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AA33" w14:textId="59C179E5" w:rsidR="00FB5F0A" w:rsidRDefault="00FC5C8D" w:rsidP="003B5923">
      <w:pPr>
        <w:pStyle w:val="Title"/>
        <w:ind w:right="2930"/>
      </w:pPr>
      <w:r>
        <w:t xml:space="preserve">Proposed workplace exposure limits for </w:t>
      </w:r>
      <w:r w:rsidR="003B5923">
        <w:br/>
      </w:r>
      <w:r>
        <w:t>9 chemicals</w:t>
      </w:r>
    </w:p>
    <w:p w14:paraId="77D3E715" w14:textId="4D314317" w:rsidR="000800EA" w:rsidRPr="000800EA" w:rsidRDefault="00DD02A5" w:rsidP="003B5923">
      <w:pPr>
        <w:pStyle w:val="Subtitle"/>
      </w:pPr>
      <w:r>
        <w:t>Decision Regulat</w:t>
      </w:r>
      <w:r w:rsidR="00BD09DA">
        <w:t>ion</w:t>
      </w:r>
      <w:r>
        <w:t xml:space="preserve"> Impact Statement</w:t>
      </w:r>
    </w:p>
    <w:p w14:paraId="7D645CE3" w14:textId="77777777" w:rsidR="00711F77" w:rsidRPr="00711F77" w:rsidRDefault="00711F77" w:rsidP="00711F77"/>
    <w:p w14:paraId="57851850" w14:textId="3AA19105" w:rsidR="000E276E" w:rsidRDefault="0009050A" w:rsidP="00DD02A5">
      <w:pPr>
        <w:pStyle w:val="Titledate"/>
        <w:sectPr w:rsidR="000E276E" w:rsidSect="008F3F28">
          <w:headerReference w:type="default" r:id="rId8"/>
          <w:footerReference w:type="default" r:id="rId9"/>
          <w:headerReference w:type="first" r:id="rId10"/>
          <w:footerReference w:type="first" r:id="rId11"/>
          <w:pgSz w:w="11906" w:h="16838" w:code="9"/>
          <w:pgMar w:top="1440" w:right="1440" w:bottom="567" w:left="1440" w:header="709" w:footer="709" w:gutter="0"/>
          <w:cols w:space="708"/>
          <w:vAlign w:val="center"/>
          <w:titlePg/>
          <w:docGrid w:linePitch="360"/>
        </w:sectPr>
      </w:pPr>
      <w:r>
        <w:t>DECember</w:t>
      </w:r>
      <w:r w:rsidRPr="00925933">
        <w:t xml:space="preserve"> </w:t>
      </w:r>
      <w:r w:rsidR="00DD02A5" w:rsidRPr="00925933">
        <w:t>2025</w:t>
      </w:r>
    </w:p>
    <w:p w14:paraId="67E5C8E8" w14:textId="77777777" w:rsidR="00E1134C" w:rsidRPr="007D5BA8" w:rsidRDefault="00E1134C" w:rsidP="00E1134C">
      <w:pPr>
        <w:pStyle w:val="Disclaimer"/>
        <w:rPr>
          <w:b/>
        </w:rPr>
      </w:pPr>
      <w:bookmarkStart w:id="1" w:name="_Hlk157615336"/>
      <w:r w:rsidRPr="007D5BA8">
        <w:rPr>
          <w:b/>
        </w:rPr>
        <w:lastRenderedPageBreak/>
        <w:t>Disclaimer</w:t>
      </w:r>
    </w:p>
    <w:p w14:paraId="75594D76" w14:textId="77777777" w:rsidR="00E1134C" w:rsidRPr="00A034C4" w:rsidRDefault="00E1134C" w:rsidP="38A49B51">
      <w:pPr>
        <w:pStyle w:val="Disclaimer"/>
        <w:rPr>
          <w:b/>
          <w:bCs/>
          <w:lang w:eastAsia="en-AU"/>
        </w:rPr>
      </w:pPr>
      <w:r w:rsidRPr="38A49B51">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DFD9842" w14:textId="31388969" w:rsidR="00E1134C" w:rsidRPr="00A034C4" w:rsidRDefault="00E1134C" w:rsidP="38A49B51">
      <w:pPr>
        <w:pStyle w:val="Disclaimer"/>
        <w:rPr>
          <w:b/>
          <w:bCs/>
          <w:lang w:eastAsia="en-AU"/>
        </w:rPr>
      </w:pPr>
      <w:r w:rsidRPr="38A49B51">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04C70781" w14:textId="77777777" w:rsidR="00E1134C" w:rsidRPr="00CD675A" w:rsidRDefault="00E1134C" w:rsidP="00E1134C">
      <w:pPr>
        <w:pStyle w:val="SWADisclaimerheading"/>
        <w:rPr>
          <w:color w:val="auto"/>
          <w:sz w:val="16"/>
          <w:szCs w:val="16"/>
        </w:rPr>
      </w:pPr>
      <w:r w:rsidRPr="00CD675A">
        <w:rPr>
          <w:color w:val="auto"/>
          <w:sz w:val="16"/>
          <w:szCs w:val="16"/>
        </w:rPr>
        <w:t>Creative Commons</w:t>
      </w:r>
    </w:p>
    <w:p w14:paraId="62778626" w14:textId="1D354F29" w:rsidR="00E1134C" w:rsidRPr="00CD675A" w:rsidRDefault="00E1134C" w:rsidP="38A49B51">
      <w:pPr>
        <w:pStyle w:val="SWADisclaimerheading"/>
        <w:rPr>
          <w:b w:val="0"/>
          <w:color w:val="auto"/>
          <w:spacing w:val="0"/>
          <w:sz w:val="16"/>
          <w:szCs w:val="16"/>
          <w:lang w:eastAsia="en-AU"/>
        </w:rPr>
      </w:pPr>
      <w:r w:rsidRPr="38A49B51">
        <w:rPr>
          <w:b w:val="0"/>
          <w:color w:val="auto"/>
          <w:spacing w:val="0"/>
          <w:sz w:val="16"/>
          <w:szCs w:val="16"/>
        </w:rPr>
        <w:t>With the exception of the Safe Work Australia logo, this copyright work is licensed under a Creative Commons Attribution 4.0 International licence. To view a copy of this licence, visit creativecommons.org/licenses</w:t>
      </w:r>
      <w:r w:rsidR="63849D3D" w:rsidRPr="38A49B51">
        <w:rPr>
          <w:b w:val="0"/>
          <w:color w:val="auto"/>
          <w:spacing w:val="0"/>
          <w:sz w:val="16"/>
          <w:szCs w:val="16"/>
        </w:rPr>
        <w:t>.</w:t>
      </w:r>
      <w:r w:rsidRPr="38A49B51">
        <w:rPr>
          <w:b w:val="0"/>
          <w:color w:val="auto"/>
          <w:spacing w:val="0"/>
          <w:sz w:val="16"/>
          <w:szCs w:val="16"/>
        </w:rPr>
        <w:t xml:space="preserve"> In essence, you are free to copy, communicate and adapt the work, even commercially, as long as you attribute the work to Safe Work Australia and abide by the other licence terms.</w:t>
      </w:r>
    </w:p>
    <w:p w14:paraId="1E62590B" w14:textId="77777777" w:rsidR="00E1134C" w:rsidRPr="0029654A" w:rsidRDefault="00E1134C" w:rsidP="00E1134C">
      <w:pPr>
        <w:pStyle w:val="Disclaimer"/>
        <w:rPr>
          <w:b/>
        </w:rPr>
      </w:pPr>
      <w:r w:rsidRPr="0029654A">
        <w:rPr>
          <w:b/>
        </w:rPr>
        <w:t>Contact information</w:t>
      </w:r>
    </w:p>
    <w:p w14:paraId="3DFEAA6D" w14:textId="309FFABD" w:rsidR="00E1134C" w:rsidRDefault="00E1134C" w:rsidP="00E1134C">
      <w:pPr>
        <w:pStyle w:val="Disclaimer"/>
      </w:pPr>
      <w:r w:rsidRPr="00A034C4">
        <w:rPr>
          <w:lang w:eastAsia="en-AU"/>
        </w:rPr>
        <w:t xml:space="preserve">Safe Work Australia | </w:t>
      </w:r>
      <w:hyperlink r:id="rId12"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3" w:history="1">
        <w:r w:rsidRPr="00A034C4">
          <w:rPr>
            <w:rStyle w:val="Hyperlink"/>
            <w:rFonts w:eastAsia="Times New Roman" w:cs="Times New Roman"/>
            <w:lang w:eastAsia="en-AU"/>
          </w:rPr>
          <w:t>www.swa.gov.au</w:t>
        </w:r>
      </w:hyperlink>
    </w:p>
    <w:bookmarkEnd w:id="1"/>
    <w:p w14:paraId="0484A1ED" w14:textId="77777777" w:rsidR="00241746" w:rsidRDefault="00241746" w:rsidP="009215CE">
      <w:pPr>
        <w:sectPr w:rsidR="00241746" w:rsidSect="00711F77">
          <w:headerReference w:type="even" r:id="rId14"/>
          <w:headerReference w:type="default" r:id="rId15"/>
          <w:headerReference w:type="first" r:id="rId16"/>
          <w:footerReference w:type="first" r:id="rId17"/>
          <w:pgSz w:w="11906" w:h="16838" w:code="9"/>
          <w:pgMar w:top="1440" w:right="1440" w:bottom="1440" w:left="1440" w:header="709" w:footer="709" w:gutter="0"/>
          <w:cols w:space="708"/>
          <w:vAlign w:val="bottom"/>
          <w:titlePg/>
          <w:docGrid w:linePitch="360"/>
        </w:sectPr>
      </w:pPr>
    </w:p>
    <w:p w14:paraId="7247C9A1" w14:textId="77777777" w:rsidR="0073759C" w:rsidRDefault="0073759C" w:rsidP="000B6D3A">
      <w:pPr>
        <w:pStyle w:val="TOC"/>
        <w:pageBreakBefore/>
        <w:spacing w:before="240" w:after="240"/>
      </w:pPr>
      <w:bookmarkStart w:id="3" w:name="_Toc193192513"/>
      <w:bookmarkStart w:id="4" w:name="_Toc196204599"/>
      <w:bookmarkStart w:id="5" w:name="_Toc488677861"/>
      <w:r w:rsidRPr="006777D3">
        <w:lastRenderedPageBreak/>
        <w:t>Contents</w:t>
      </w:r>
    </w:p>
    <w:sdt>
      <w:sdtPr>
        <w:rPr>
          <w:b w:val="0"/>
          <w:bCs w:val="0"/>
          <w:noProof w:val="0"/>
        </w:rPr>
        <w:id w:val="151489520"/>
        <w:docPartObj>
          <w:docPartGallery w:val="Table of Contents"/>
          <w:docPartUnique/>
        </w:docPartObj>
      </w:sdtPr>
      <w:sdtEndPr>
        <w:rPr>
          <w:b/>
          <w:bCs/>
        </w:rPr>
      </w:sdtEndPr>
      <w:sdtContent>
        <w:p w14:paraId="708FEA4D" w14:textId="6B78A5AF" w:rsidR="001B1ADB" w:rsidRDefault="0073759C">
          <w:pPr>
            <w:pStyle w:val="TOC1"/>
            <w:rPr>
              <w:rFonts w:asciiTheme="minorHAnsi" w:eastAsiaTheme="minorEastAsia" w:hAnsiTheme="minorHAnsi"/>
              <w:b w:val="0"/>
              <w:bCs w:val="0"/>
              <w:kern w:val="2"/>
              <w:sz w:val="24"/>
              <w:lang w:eastAsia="en-AU"/>
              <w14:ligatures w14:val="standardContextual"/>
            </w:rPr>
          </w:pPr>
          <w:r>
            <w:fldChar w:fldCharType="begin"/>
          </w:r>
          <w:r>
            <w:instrText xml:space="preserve"> TOC \o "1-3" \h \z \u </w:instrText>
          </w:r>
          <w:r>
            <w:fldChar w:fldCharType="separate"/>
          </w:r>
          <w:hyperlink w:anchor="_Toc219216850" w:history="1">
            <w:r w:rsidR="001B1ADB" w:rsidRPr="00C8573D">
              <w:rPr>
                <w:rStyle w:val="Hyperlink"/>
              </w:rPr>
              <w:t>Executive Summary</w:t>
            </w:r>
            <w:r w:rsidR="001B1ADB">
              <w:rPr>
                <w:webHidden/>
              </w:rPr>
              <w:tab/>
            </w:r>
            <w:r w:rsidR="001B1ADB">
              <w:rPr>
                <w:webHidden/>
              </w:rPr>
              <w:fldChar w:fldCharType="begin"/>
            </w:r>
            <w:r w:rsidR="001B1ADB">
              <w:rPr>
                <w:webHidden/>
              </w:rPr>
              <w:instrText xml:space="preserve"> PAGEREF _Toc219216850 \h </w:instrText>
            </w:r>
            <w:r w:rsidR="001B1ADB">
              <w:rPr>
                <w:webHidden/>
              </w:rPr>
            </w:r>
            <w:r w:rsidR="001B1ADB">
              <w:rPr>
                <w:webHidden/>
              </w:rPr>
              <w:fldChar w:fldCharType="separate"/>
            </w:r>
            <w:r w:rsidR="00A002F4">
              <w:rPr>
                <w:webHidden/>
              </w:rPr>
              <w:t>6</w:t>
            </w:r>
            <w:r w:rsidR="001B1ADB">
              <w:rPr>
                <w:webHidden/>
              </w:rPr>
              <w:fldChar w:fldCharType="end"/>
            </w:r>
          </w:hyperlink>
        </w:p>
        <w:p w14:paraId="5C1C8FFF" w14:textId="7EE745A5"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51" w:history="1">
            <w:r w:rsidRPr="00C8573D">
              <w:rPr>
                <w:rStyle w:val="Hyperlink"/>
              </w:rPr>
              <w:t>1.</w:t>
            </w:r>
            <w:r>
              <w:rPr>
                <w:rFonts w:asciiTheme="minorHAnsi" w:eastAsiaTheme="minorEastAsia" w:hAnsiTheme="minorHAnsi"/>
                <w:b w:val="0"/>
                <w:bCs w:val="0"/>
                <w:kern w:val="2"/>
                <w:sz w:val="24"/>
                <w:lang w:eastAsia="en-AU"/>
                <w14:ligatures w14:val="standardContextual"/>
              </w:rPr>
              <w:tab/>
            </w:r>
            <w:r w:rsidRPr="00C8573D">
              <w:rPr>
                <w:rStyle w:val="Hyperlink"/>
              </w:rPr>
              <w:t>Introduction and background</w:t>
            </w:r>
            <w:r>
              <w:rPr>
                <w:webHidden/>
              </w:rPr>
              <w:tab/>
            </w:r>
            <w:r>
              <w:rPr>
                <w:webHidden/>
              </w:rPr>
              <w:fldChar w:fldCharType="begin"/>
            </w:r>
            <w:r>
              <w:rPr>
                <w:webHidden/>
              </w:rPr>
              <w:instrText xml:space="preserve"> PAGEREF _Toc219216851 \h </w:instrText>
            </w:r>
            <w:r>
              <w:rPr>
                <w:webHidden/>
              </w:rPr>
            </w:r>
            <w:r>
              <w:rPr>
                <w:webHidden/>
              </w:rPr>
              <w:fldChar w:fldCharType="separate"/>
            </w:r>
            <w:r w:rsidR="00A002F4">
              <w:rPr>
                <w:webHidden/>
              </w:rPr>
              <w:t>11</w:t>
            </w:r>
            <w:r>
              <w:rPr>
                <w:webHidden/>
              </w:rPr>
              <w:fldChar w:fldCharType="end"/>
            </w:r>
          </w:hyperlink>
        </w:p>
        <w:p w14:paraId="4ECD0593" w14:textId="6CC1096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2" w:history="1">
            <w:r w:rsidRPr="00C8573D">
              <w:rPr>
                <w:rStyle w:val="Hyperlink"/>
                <w:noProof/>
                <w:lang w:eastAsia="en-AU"/>
              </w:rPr>
              <w:t>1.1</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Businesses are responsible for the health and safety of their workers</w:t>
            </w:r>
            <w:r>
              <w:rPr>
                <w:noProof/>
                <w:webHidden/>
              </w:rPr>
              <w:tab/>
            </w:r>
            <w:r>
              <w:rPr>
                <w:noProof/>
                <w:webHidden/>
              </w:rPr>
              <w:fldChar w:fldCharType="begin"/>
            </w:r>
            <w:r>
              <w:rPr>
                <w:noProof/>
                <w:webHidden/>
              </w:rPr>
              <w:instrText xml:space="preserve"> PAGEREF _Toc219216852 \h </w:instrText>
            </w:r>
            <w:r>
              <w:rPr>
                <w:noProof/>
                <w:webHidden/>
              </w:rPr>
            </w:r>
            <w:r>
              <w:rPr>
                <w:noProof/>
                <w:webHidden/>
              </w:rPr>
              <w:fldChar w:fldCharType="separate"/>
            </w:r>
            <w:r w:rsidR="00A002F4">
              <w:rPr>
                <w:noProof/>
                <w:webHidden/>
              </w:rPr>
              <w:t>11</w:t>
            </w:r>
            <w:r>
              <w:rPr>
                <w:noProof/>
                <w:webHidden/>
              </w:rPr>
              <w:fldChar w:fldCharType="end"/>
            </w:r>
          </w:hyperlink>
        </w:p>
        <w:p w14:paraId="2A5BAD5F" w14:textId="73B3D696"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3" w:history="1">
            <w:r w:rsidRPr="00C8573D">
              <w:rPr>
                <w:rStyle w:val="Hyperlink"/>
                <w:noProof/>
                <w:lang w:eastAsia="en-AU"/>
              </w:rPr>
              <w:t>1.2</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Workplace exposure standards should protect workers against airborne contaminants</w:t>
            </w:r>
            <w:r>
              <w:rPr>
                <w:noProof/>
                <w:webHidden/>
              </w:rPr>
              <w:tab/>
            </w:r>
            <w:r>
              <w:rPr>
                <w:noProof/>
                <w:webHidden/>
              </w:rPr>
              <w:fldChar w:fldCharType="begin"/>
            </w:r>
            <w:r>
              <w:rPr>
                <w:noProof/>
                <w:webHidden/>
              </w:rPr>
              <w:instrText xml:space="preserve"> PAGEREF _Toc219216853 \h </w:instrText>
            </w:r>
            <w:r>
              <w:rPr>
                <w:noProof/>
                <w:webHidden/>
              </w:rPr>
            </w:r>
            <w:r>
              <w:rPr>
                <w:noProof/>
                <w:webHidden/>
              </w:rPr>
              <w:fldChar w:fldCharType="separate"/>
            </w:r>
            <w:r w:rsidR="00A002F4">
              <w:rPr>
                <w:noProof/>
                <w:webHidden/>
              </w:rPr>
              <w:t>12</w:t>
            </w:r>
            <w:r>
              <w:rPr>
                <w:noProof/>
                <w:webHidden/>
              </w:rPr>
              <w:fldChar w:fldCharType="end"/>
            </w:r>
          </w:hyperlink>
        </w:p>
        <w:p w14:paraId="1A16EE9B" w14:textId="7F301AD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4" w:history="1">
            <w:r w:rsidRPr="00C8573D">
              <w:rPr>
                <w:rStyle w:val="Hyperlink"/>
                <w:noProof/>
              </w:rPr>
              <w:t>1.3</w:t>
            </w:r>
            <w:r>
              <w:rPr>
                <w:rFonts w:asciiTheme="minorHAnsi" w:eastAsiaTheme="minorEastAsia" w:hAnsiTheme="minorHAnsi"/>
                <w:noProof/>
                <w:kern w:val="2"/>
                <w:sz w:val="24"/>
                <w:lang w:eastAsia="en-AU"/>
                <w14:ligatures w14:val="standardContextual"/>
              </w:rPr>
              <w:tab/>
            </w:r>
            <w:r w:rsidRPr="00C8573D">
              <w:rPr>
                <w:rStyle w:val="Hyperlink"/>
                <w:noProof/>
              </w:rPr>
              <w:t>Maintaining an evidence-based approach to Australia’s workplace exposure standards</w:t>
            </w:r>
            <w:r>
              <w:rPr>
                <w:noProof/>
                <w:webHidden/>
              </w:rPr>
              <w:tab/>
            </w:r>
            <w:r>
              <w:rPr>
                <w:noProof/>
                <w:webHidden/>
              </w:rPr>
              <w:fldChar w:fldCharType="begin"/>
            </w:r>
            <w:r>
              <w:rPr>
                <w:noProof/>
                <w:webHidden/>
              </w:rPr>
              <w:instrText xml:space="preserve"> PAGEREF _Toc219216854 \h </w:instrText>
            </w:r>
            <w:r>
              <w:rPr>
                <w:noProof/>
                <w:webHidden/>
              </w:rPr>
            </w:r>
            <w:r>
              <w:rPr>
                <w:noProof/>
                <w:webHidden/>
              </w:rPr>
              <w:fldChar w:fldCharType="separate"/>
            </w:r>
            <w:r w:rsidR="00A002F4">
              <w:rPr>
                <w:noProof/>
                <w:webHidden/>
              </w:rPr>
              <w:t>12</w:t>
            </w:r>
            <w:r>
              <w:rPr>
                <w:noProof/>
                <w:webHidden/>
              </w:rPr>
              <w:fldChar w:fldCharType="end"/>
            </w:r>
          </w:hyperlink>
        </w:p>
        <w:p w14:paraId="7CCC62A8" w14:textId="5D243207"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5" w:history="1">
            <w:r w:rsidRPr="00C8573D">
              <w:rPr>
                <w:rStyle w:val="Hyperlink"/>
                <w:noProof/>
                <w:lang w:eastAsia="en-AU"/>
              </w:rPr>
              <w:t>1.4</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Additional impact analysis for nine airborne contaminants</w:t>
            </w:r>
            <w:r>
              <w:rPr>
                <w:noProof/>
                <w:webHidden/>
              </w:rPr>
              <w:tab/>
            </w:r>
            <w:r>
              <w:rPr>
                <w:noProof/>
                <w:webHidden/>
              </w:rPr>
              <w:fldChar w:fldCharType="begin"/>
            </w:r>
            <w:r>
              <w:rPr>
                <w:noProof/>
                <w:webHidden/>
              </w:rPr>
              <w:instrText xml:space="preserve"> PAGEREF _Toc219216855 \h </w:instrText>
            </w:r>
            <w:r>
              <w:rPr>
                <w:noProof/>
                <w:webHidden/>
              </w:rPr>
            </w:r>
            <w:r>
              <w:rPr>
                <w:noProof/>
                <w:webHidden/>
              </w:rPr>
              <w:fldChar w:fldCharType="separate"/>
            </w:r>
            <w:r w:rsidR="00A002F4">
              <w:rPr>
                <w:noProof/>
                <w:webHidden/>
              </w:rPr>
              <w:t>13</w:t>
            </w:r>
            <w:r>
              <w:rPr>
                <w:noProof/>
                <w:webHidden/>
              </w:rPr>
              <w:fldChar w:fldCharType="end"/>
            </w:r>
          </w:hyperlink>
        </w:p>
        <w:p w14:paraId="47F1C9A2" w14:textId="2C4D1B7A"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56" w:history="1">
            <w:r w:rsidRPr="00C8573D">
              <w:rPr>
                <w:rStyle w:val="Hyperlink"/>
              </w:rPr>
              <w:t>2.</w:t>
            </w:r>
            <w:r>
              <w:rPr>
                <w:rFonts w:asciiTheme="minorHAnsi" w:eastAsiaTheme="minorEastAsia" w:hAnsiTheme="minorHAnsi"/>
                <w:b w:val="0"/>
                <w:bCs w:val="0"/>
                <w:kern w:val="2"/>
                <w:sz w:val="24"/>
                <w:lang w:eastAsia="en-AU"/>
                <w14:ligatures w14:val="standardContextual"/>
              </w:rPr>
              <w:tab/>
            </w:r>
            <w:r w:rsidRPr="00C8573D">
              <w:rPr>
                <w:rStyle w:val="Hyperlink"/>
              </w:rPr>
              <w:t>What is the problem?</w:t>
            </w:r>
            <w:r>
              <w:rPr>
                <w:webHidden/>
              </w:rPr>
              <w:tab/>
            </w:r>
            <w:r>
              <w:rPr>
                <w:webHidden/>
              </w:rPr>
              <w:fldChar w:fldCharType="begin"/>
            </w:r>
            <w:r>
              <w:rPr>
                <w:webHidden/>
              </w:rPr>
              <w:instrText xml:space="preserve"> PAGEREF _Toc219216856 \h </w:instrText>
            </w:r>
            <w:r>
              <w:rPr>
                <w:webHidden/>
              </w:rPr>
            </w:r>
            <w:r>
              <w:rPr>
                <w:webHidden/>
              </w:rPr>
              <w:fldChar w:fldCharType="separate"/>
            </w:r>
            <w:r w:rsidR="00A002F4">
              <w:rPr>
                <w:webHidden/>
              </w:rPr>
              <w:t>14</w:t>
            </w:r>
            <w:r>
              <w:rPr>
                <w:webHidden/>
              </w:rPr>
              <w:fldChar w:fldCharType="end"/>
            </w:r>
          </w:hyperlink>
        </w:p>
        <w:p w14:paraId="21D11668" w14:textId="6AE271DD"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7" w:history="1">
            <w:r w:rsidRPr="00C8573D">
              <w:rPr>
                <w:rStyle w:val="Hyperlink"/>
                <w:noProof/>
                <w:lang w:eastAsia="en-AU"/>
              </w:rPr>
              <w:t>2.1</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Workers in a broad range of industries are exposed to these chemicals</w:t>
            </w:r>
            <w:r>
              <w:rPr>
                <w:noProof/>
                <w:webHidden/>
              </w:rPr>
              <w:tab/>
            </w:r>
            <w:r>
              <w:rPr>
                <w:noProof/>
                <w:webHidden/>
              </w:rPr>
              <w:fldChar w:fldCharType="begin"/>
            </w:r>
            <w:r>
              <w:rPr>
                <w:noProof/>
                <w:webHidden/>
              </w:rPr>
              <w:instrText xml:space="preserve"> PAGEREF _Toc219216857 \h </w:instrText>
            </w:r>
            <w:r>
              <w:rPr>
                <w:noProof/>
                <w:webHidden/>
              </w:rPr>
            </w:r>
            <w:r>
              <w:rPr>
                <w:noProof/>
                <w:webHidden/>
              </w:rPr>
              <w:fldChar w:fldCharType="separate"/>
            </w:r>
            <w:r w:rsidR="00A002F4">
              <w:rPr>
                <w:noProof/>
                <w:webHidden/>
              </w:rPr>
              <w:t>14</w:t>
            </w:r>
            <w:r>
              <w:rPr>
                <w:noProof/>
                <w:webHidden/>
              </w:rPr>
              <w:fldChar w:fldCharType="end"/>
            </w:r>
          </w:hyperlink>
        </w:p>
        <w:p w14:paraId="6D55635A" w14:textId="385BD0E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8" w:history="1">
            <w:r w:rsidRPr="00C8573D">
              <w:rPr>
                <w:rStyle w:val="Hyperlink"/>
                <w:noProof/>
                <w:lang w:eastAsia="en-AU"/>
              </w:rPr>
              <w:t>2.2</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Exposure to these chemicals can have severe and lifelong impacts on workers’ health</w:t>
            </w:r>
            <w:r>
              <w:rPr>
                <w:noProof/>
                <w:webHidden/>
              </w:rPr>
              <w:tab/>
            </w:r>
            <w:r>
              <w:rPr>
                <w:noProof/>
                <w:webHidden/>
              </w:rPr>
              <w:fldChar w:fldCharType="begin"/>
            </w:r>
            <w:r>
              <w:rPr>
                <w:noProof/>
                <w:webHidden/>
              </w:rPr>
              <w:instrText xml:space="preserve"> PAGEREF _Toc219216858 \h </w:instrText>
            </w:r>
            <w:r>
              <w:rPr>
                <w:noProof/>
                <w:webHidden/>
              </w:rPr>
            </w:r>
            <w:r>
              <w:rPr>
                <w:noProof/>
                <w:webHidden/>
              </w:rPr>
              <w:fldChar w:fldCharType="separate"/>
            </w:r>
            <w:r w:rsidR="00A002F4">
              <w:rPr>
                <w:noProof/>
                <w:webHidden/>
              </w:rPr>
              <w:t>17</w:t>
            </w:r>
            <w:r>
              <w:rPr>
                <w:noProof/>
                <w:webHidden/>
              </w:rPr>
              <w:fldChar w:fldCharType="end"/>
            </w:r>
          </w:hyperlink>
        </w:p>
        <w:p w14:paraId="7FD17026" w14:textId="26DF2D59"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59" w:history="1">
            <w:r w:rsidRPr="00C8573D">
              <w:rPr>
                <w:rStyle w:val="Hyperlink"/>
                <w:noProof/>
                <w:lang w:eastAsia="en-AU"/>
              </w:rPr>
              <w:t>2.3</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Occupational disease has direct and indirect impacts on workers, their families, PCBUs and the broader community</w:t>
            </w:r>
            <w:r>
              <w:rPr>
                <w:noProof/>
                <w:webHidden/>
              </w:rPr>
              <w:tab/>
            </w:r>
            <w:r>
              <w:rPr>
                <w:noProof/>
                <w:webHidden/>
              </w:rPr>
              <w:fldChar w:fldCharType="begin"/>
            </w:r>
            <w:r>
              <w:rPr>
                <w:noProof/>
                <w:webHidden/>
              </w:rPr>
              <w:instrText xml:space="preserve"> PAGEREF _Toc219216859 \h </w:instrText>
            </w:r>
            <w:r>
              <w:rPr>
                <w:noProof/>
                <w:webHidden/>
              </w:rPr>
            </w:r>
            <w:r>
              <w:rPr>
                <w:noProof/>
                <w:webHidden/>
              </w:rPr>
              <w:fldChar w:fldCharType="separate"/>
            </w:r>
            <w:r w:rsidR="00A002F4">
              <w:rPr>
                <w:noProof/>
                <w:webHidden/>
              </w:rPr>
              <w:t>20</w:t>
            </w:r>
            <w:r>
              <w:rPr>
                <w:noProof/>
                <w:webHidden/>
              </w:rPr>
              <w:fldChar w:fldCharType="end"/>
            </w:r>
          </w:hyperlink>
        </w:p>
        <w:p w14:paraId="20C856C5" w14:textId="3183A1AB"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60" w:history="1">
            <w:r w:rsidRPr="00C8573D">
              <w:rPr>
                <w:rStyle w:val="Hyperlink"/>
              </w:rPr>
              <w:t>3.</w:t>
            </w:r>
            <w:r>
              <w:rPr>
                <w:rFonts w:asciiTheme="minorHAnsi" w:eastAsiaTheme="minorEastAsia" w:hAnsiTheme="minorHAnsi"/>
                <w:b w:val="0"/>
                <w:bCs w:val="0"/>
                <w:kern w:val="2"/>
                <w:sz w:val="24"/>
                <w:lang w:eastAsia="en-AU"/>
                <w14:ligatures w14:val="standardContextual"/>
              </w:rPr>
              <w:tab/>
            </w:r>
            <w:r w:rsidRPr="00C8573D">
              <w:rPr>
                <w:rStyle w:val="Hyperlink"/>
              </w:rPr>
              <w:t>Why is government action needed?</w:t>
            </w:r>
            <w:r>
              <w:rPr>
                <w:webHidden/>
              </w:rPr>
              <w:tab/>
            </w:r>
            <w:r>
              <w:rPr>
                <w:webHidden/>
              </w:rPr>
              <w:fldChar w:fldCharType="begin"/>
            </w:r>
            <w:r>
              <w:rPr>
                <w:webHidden/>
              </w:rPr>
              <w:instrText xml:space="preserve"> PAGEREF _Toc219216860 \h </w:instrText>
            </w:r>
            <w:r>
              <w:rPr>
                <w:webHidden/>
              </w:rPr>
            </w:r>
            <w:r>
              <w:rPr>
                <w:webHidden/>
              </w:rPr>
              <w:fldChar w:fldCharType="separate"/>
            </w:r>
            <w:r w:rsidR="00A002F4">
              <w:rPr>
                <w:webHidden/>
              </w:rPr>
              <w:t>23</w:t>
            </w:r>
            <w:r>
              <w:rPr>
                <w:webHidden/>
              </w:rPr>
              <w:fldChar w:fldCharType="end"/>
            </w:r>
          </w:hyperlink>
        </w:p>
        <w:p w14:paraId="40B58BDF" w14:textId="5A133BA7"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1" w:history="1">
            <w:r w:rsidRPr="00C8573D">
              <w:rPr>
                <w:rStyle w:val="Hyperlink"/>
                <w:noProof/>
                <w:lang w:eastAsia="en-AU"/>
              </w:rPr>
              <w:t>3.1</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Existing legislative and regulatory requirements for airborne contaminants aim to protect workers from occupational illness</w:t>
            </w:r>
            <w:r>
              <w:rPr>
                <w:noProof/>
                <w:webHidden/>
              </w:rPr>
              <w:tab/>
            </w:r>
            <w:r>
              <w:rPr>
                <w:noProof/>
                <w:webHidden/>
              </w:rPr>
              <w:fldChar w:fldCharType="begin"/>
            </w:r>
            <w:r>
              <w:rPr>
                <w:noProof/>
                <w:webHidden/>
              </w:rPr>
              <w:instrText xml:space="preserve"> PAGEREF _Toc219216861 \h </w:instrText>
            </w:r>
            <w:r>
              <w:rPr>
                <w:noProof/>
                <w:webHidden/>
              </w:rPr>
            </w:r>
            <w:r>
              <w:rPr>
                <w:noProof/>
                <w:webHidden/>
              </w:rPr>
              <w:fldChar w:fldCharType="separate"/>
            </w:r>
            <w:r w:rsidR="00A002F4">
              <w:rPr>
                <w:noProof/>
                <w:webHidden/>
              </w:rPr>
              <w:t>23</w:t>
            </w:r>
            <w:r>
              <w:rPr>
                <w:noProof/>
                <w:webHidden/>
              </w:rPr>
              <w:fldChar w:fldCharType="end"/>
            </w:r>
          </w:hyperlink>
        </w:p>
        <w:p w14:paraId="0FC3CEB8" w14:textId="0885D77F"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2" w:history="1">
            <w:r w:rsidRPr="00C8573D">
              <w:rPr>
                <w:rStyle w:val="Hyperlink"/>
                <w:noProof/>
                <w:lang w:eastAsia="en-AU"/>
              </w:rPr>
              <w:t>3.2</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Objective of government action</w:t>
            </w:r>
            <w:r>
              <w:rPr>
                <w:noProof/>
                <w:webHidden/>
              </w:rPr>
              <w:tab/>
            </w:r>
            <w:r>
              <w:rPr>
                <w:noProof/>
                <w:webHidden/>
              </w:rPr>
              <w:fldChar w:fldCharType="begin"/>
            </w:r>
            <w:r>
              <w:rPr>
                <w:noProof/>
                <w:webHidden/>
              </w:rPr>
              <w:instrText xml:space="preserve"> PAGEREF _Toc219216862 \h </w:instrText>
            </w:r>
            <w:r>
              <w:rPr>
                <w:noProof/>
                <w:webHidden/>
              </w:rPr>
            </w:r>
            <w:r>
              <w:rPr>
                <w:noProof/>
                <w:webHidden/>
              </w:rPr>
              <w:fldChar w:fldCharType="separate"/>
            </w:r>
            <w:r w:rsidR="00A002F4">
              <w:rPr>
                <w:noProof/>
                <w:webHidden/>
              </w:rPr>
              <w:t>24</w:t>
            </w:r>
            <w:r>
              <w:rPr>
                <w:noProof/>
                <w:webHidden/>
              </w:rPr>
              <w:fldChar w:fldCharType="end"/>
            </w:r>
          </w:hyperlink>
        </w:p>
        <w:p w14:paraId="65DE211D" w14:textId="1546B65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3" w:history="1">
            <w:r w:rsidRPr="00C8573D">
              <w:rPr>
                <w:rStyle w:val="Hyperlink"/>
                <w:noProof/>
                <w:lang w:eastAsia="en-AU"/>
              </w:rPr>
              <w:t>3.3</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Government action supports harmonisation of WHS requirements</w:t>
            </w:r>
            <w:r>
              <w:rPr>
                <w:noProof/>
                <w:webHidden/>
              </w:rPr>
              <w:tab/>
            </w:r>
            <w:r>
              <w:rPr>
                <w:noProof/>
                <w:webHidden/>
              </w:rPr>
              <w:fldChar w:fldCharType="begin"/>
            </w:r>
            <w:r>
              <w:rPr>
                <w:noProof/>
                <w:webHidden/>
              </w:rPr>
              <w:instrText xml:space="preserve"> PAGEREF _Toc219216863 \h </w:instrText>
            </w:r>
            <w:r>
              <w:rPr>
                <w:noProof/>
                <w:webHidden/>
              </w:rPr>
            </w:r>
            <w:r>
              <w:rPr>
                <w:noProof/>
                <w:webHidden/>
              </w:rPr>
              <w:fldChar w:fldCharType="separate"/>
            </w:r>
            <w:r w:rsidR="00A002F4">
              <w:rPr>
                <w:noProof/>
                <w:webHidden/>
              </w:rPr>
              <w:t>24</w:t>
            </w:r>
            <w:r>
              <w:rPr>
                <w:noProof/>
                <w:webHidden/>
              </w:rPr>
              <w:fldChar w:fldCharType="end"/>
            </w:r>
          </w:hyperlink>
        </w:p>
        <w:p w14:paraId="15A93F30" w14:textId="5F700546"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4" w:history="1">
            <w:r w:rsidRPr="00C8573D">
              <w:rPr>
                <w:rStyle w:val="Hyperlink"/>
                <w:noProof/>
                <w:lang w:eastAsia="en-AU"/>
              </w:rPr>
              <w:t>3.4</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There is strong community support to ensure the WES reflect latest scientific evidence</w:t>
            </w:r>
            <w:r>
              <w:rPr>
                <w:noProof/>
                <w:webHidden/>
              </w:rPr>
              <w:tab/>
            </w:r>
            <w:r>
              <w:rPr>
                <w:noProof/>
                <w:webHidden/>
              </w:rPr>
              <w:fldChar w:fldCharType="begin"/>
            </w:r>
            <w:r>
              <w:rPr>
                <w:noProof/>
                <w:webHidden/>
              </w:rPr>
              <w:instrText xml:space="preserve"> PAGEREF _Toc219216864 \h </w:instrText>
            </w:r>
            <w:r>
              <w:rPr>
                <w:noProof/>
                <w:webHidden/>
              </w:rPr>
            </w:r>
            <w:r>
              <w:rPr>
                <w:noProof/>
                <w:webHidden/>
              </w:rPr>
              <w:fldChar w:fldCharType="separate"/>
            </w:r>
            <w:r w:rsidR="00A002F4">
              <w:rPr>
                <w:noProof/>
                <w:webHidden/>
              </w:rPr>
              <w:t>25</w:t>
            </w:r>
            <w:r>
              <w:rPr>
                <w:noProof/>
                <w:webHidden/>
              </w:rPr>
              <w:fldChar w:fldCharType="end"/>
            </w:r>
          </w:hyperlink>
        </w:p>
        <w:p w14:paraId="18E9CC43" w14:textId="492EB912"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65" w:history="1">
            <w:r w:rsidRPr="00C8573D">
              <w:rPr>
                <w:rStyle w:val="Hyperlink"/>
                <w:rFonts w:cs="Arial"/>
              </w:rPr>
              <w:t>4.</w:t>
            </w:r>
            <w:r>
              <w:rPr>
                <w:rFonts w:asciiTheme="minorHAnsi" w:eastAsiaTheme="minorEastAsia" w:hAnsiTheme="minorHAnsi"/>
                <w:b w:val="0"/>
                <w:bCs w:val="0"/>
                <w:kern w:val="2"/>
                <w:sz w:val="24"/>
                <w:lang w:eastAsia="en-AU"/>
                <w14:ligatures w14:val="standardContextual"/>
              </w:rPr>
              <w:tab/>
            </w:r>
            <w:r w:rsidRPr="00C8573D">
              <w:rPr>
                <w:rStyle w:val="Hyperlink"/>
                <w:rFonts w:cs="Arial"/>
              </w:rPr>
              <w:t>What policy options are being considered?</w:t>
            </w:r>
            <w:r>
              <w:rPr>
                <w:webHidden/>
              </w:rPr>
              <w:tab/>
            </w:r>
            <w:r>
              <w:rPr>
                <w:webHidden/>
              </w:rPr>
              <w:fldChar w:fldCharType="begin"/>
            </w:r>
            <w:r>
              <w:rPr>
                <w:webHidden/>
              </w:rPr>
              <w:instrText xml:space="preserve"> PAGEREF _Toc219216865 \h </w:instrText>
            </w:r>
            <w:r>
              <w:rPr>
                <w:webHidden/>
              </w:rPr>
            </w:r>
            <w:r>
              <w:rPr>
                <w:webHidden/>
              </w:rPr>
              <w:fldChar w:fldCharType="separate"/>
            </w:r>
            <w:r w:rsidR="00A002F4">
              <w:rPr>
                <w:webHidden/>
              </w:rPr>
              <w:t>26</w:t>
            </w:r>
            <w:r>
              <w:rPr>
                <w:webHidden/>
              </w:rPr>
              <w:fldChar w:fldCharType="end"/>
            </w:r>
          </w:hyperlink>
        </w:p>
        <w:p w14:paraId="5C4DE62D" w14:textId="3BB3420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6" w:history="1">
            <w:r w:rsidRPr="00C8573D">
              <w:rPr>
                <w:rStyle w:val="Hyperlink"/>
                <w:noProof/>
                <w:lang w:eastAsia="en-AU"/>
              </w:rPr>
              <w:t>4.1</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These options reflect previous decisions from WHS ministers</w:t>
            </w:r>
            <w:r>
              <w:rPr>
                <w:noProof/>
                <w:webHidden/>
              </w:rPr>
              <w:tab/>
            </w:r>
            <w:r>
              <w:rPr>
                <w:noProof/>
                <w:webHidden/>
              </w:rPr>
              <w:fldChar w:fldCharType="begin"/>
            </w:r>
            <w:r>
              <w:rPr>
                <w:noProof/>
                <w:webHidden/>
              </w:rPr>
              <w:instrText xml:space="preserve"> PAGEREF _Toc219216866 \h </w:instrText>
            </w:r>
            <w:r>
              <w:rPr>
                <w:noProof/>
                <w:webHidden/>
              </w:rPr>
            </w:r>
            <w:r>
              <w:rPr>
                <w:noProof/>
                <w:webHidden/>
              </w:rPr>
              <w:fldChar w:fldCharType="separate"/>
            </w:r>
            <w:r w:rsidR="00A002F4">
              <w:rPr>
                <w:noProof/>
                <w:webHidden/>
              </w:rPr>
              <w:t>26</w:t>
            </w:r>
            <w:r>
              <w:rPr>
                <w:noProof/>
                <w:webHidden/>
              </w:rPr>
              <w:fldChar w:fldCharType="end"/>
            </w:r>
          </w:hyperlink>
        </w:p>
        <w:p w14:paraId="33844343" w14:textId="1C0EBCC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7" w:history="1">
            <w:r w:rsidRPr="00C8573D">
              <w:rPr>
                <w:rStyle w:val="Hyperlink"/>
                <w:noProof/>
                <w:lang w:eastAsia="en-AU"/>
              </w:rPr>
              <w:t>4.2</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Making the WEL advisory would not achieve suitable protections</w:t>
            </w:r>
            <w:r>
              <w:rPr>
                <w:noProof/>
                <w:webHidden/>
              </w:rPr>
              <w:tab/>
            </w:r>
            <w:r>
              <w:rPr>
                <w:noProof/>
                <w:webHidden/>
              </w:rPr>
              <w:fldChar w:fldCharType="begin"/>
            </w:r>
            <w:r>
              <w:rPr>
                <w:noProof/>
                <w:webHidden/>
              </w:rPr>
              <w:instrText xml:space="preserve"> PAGEREF _Toc219216867 \h </w:instrText>
            </w:r>
            <w:r>
              <w:rPr>
                <w:noProof/>
                <w:webHidden/>
              </w:rPr>
            </w:r>
            <w:r>
              <w:rPr>
                <w:noProof/>
                <w:webHidden/>
              </w:rPr>
              <w:fldChar w:fldCharType="separate"/>
            </w:r>
            <w:r w:rsidR="00A002F4">
              <w:rPr>
                <w:noProof/>
                <w:webHidden/>
              </w:rPr>
              <w:t>26</w:t>
            </w:r>
            <w:r>
              <w:rPr>
                <w:noProof/>
                <w:webHidden/>
              </w:rPr>
              <w:fldChar w:fldCharType="end"/>
            </w:r>
          </w:hyperlink>
        </w:p>
        <w:p w14:paraId="74151EEE" w14:textId="652862F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8" w:history="1">
            <w:r w:rsidRPr="00C8573D">
              <w:rPr>
                <w:rStyle w:val="Hyperlink"/>
                <w:noProof/>
                <w:lang w:eastAsia="en-AU"/>
              </w:rPr>
              <w:t>4.3</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Non-regulatory mechanisms would not achieve suitable protections</w:t>
            </w:r>
            <w:r>
              <w:rPr>
                <w:noProof/>
                <w:webHidden/>
              </w:rPr>
              <w:tab/>
            </w:r>
            <w:r>
              <w:rPr>
                <w:noProof/>
                <w:webHidden/>
              </w:rPr>
              <w:fldChar w:fldCharType="begin"/>
            </w:r>
            <w:r>
              <w:rPr>
                <w:noProof/>
                <w:webHidden/>
              </w:rPr>
              <w:instrText xml:space="preserve"> PAGEREF _Toc219216868 \h </w:instrText>
            </w:r>
            <w:r>
              <w:rPr>
                <w:noProof/>
                <w:webHidden/>
              </w:rPr>
            </w:r>
            <w:r>
              <w:rPr>
                <w:noProof/>
                <w:webHidden/>
              </w:rPr>
              <w:fldChar w:fldCharType="separate"/>
            </w:r>
            <w:r w:rsidR="00A002F4">
              <w:rPr>
                <w:noProof/>
                <w:webHidden/>
              </w:rPr>
              <w:t>26</w:t>
            </w:r>
            <w:r>
              <w:rPr>
                <w:noProof/>
                <w:webHidden/>
              </w:rPr>
              <w:fldChar w:fldCharType="end"/>
            </w:r>
          </w:hyperlink>
        </w:p>
        <w:p w14:paraId="69507623" w14:textId="68DF013C"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69" w:history="1">
            <w:r w:rsidRPr="00C8573D">
              <w:rPr>
                <w:rStyle w:val="Hyperlink"/>
                <w:noProof/>
                <w:lang w:eastAsia="en-AU"/>
              </w:rPr>
              <w:t>4.4</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Overview of options</w:t>
            </w:r>
            <w:r>
              <w:rPr>
                <w:noProof/>
                <w:webHidden/>
              </w:rPr>
              <w:tab/>
            </w:r>
            <w:r>
              <w:rPr>
                <w:noProof/>
                <w:webHidden/>
              </w:rPr>
              <w:fldChar w:fldCharType="begin"/>
            </w:r>
            <w:r>
              <w:rPr>
                <w:noProof/>
                <w:webHidden/>
              </w:rPr>
              <w:instrText xml:space="preserve"> PAGEREF _Toc219216869 \h </w:instrText>
            </w:r>
            <w:r>
              <w:rPr>
                <w:noProof/>
                <w:webHidden/>
              </w:rPr>
            </w:r>
            <w:r>
              <w:rPr>
                <w:noProof/>
                <w:webHidden/>
              </w:rPr>
              <w:fldChar w:fldCharType="separate"/>
            </w:r>
            <w:r w:rsidR="00A002F4">
              <w:rPr>
                <w:noProof/>
                <w:webHidden/>
              </w:rPr>
              <w:t>27</w:t>
            </w:r>
            <w:r>
              <w:rPr>
                <w:noProof/>
                <w:webHidden/>
              </w:rPr>
              <w:fldChar w:fldCharType="end"/>
            </w:r>
          </w:hyperlink>
        </w:p>
        <w:p w14:paraId="4ED10949" w14:textId="6F25A595"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0" w:history="1">
            <w:r w:rsidRPr="00C8573D">
              <w:rPr>
                <w:rStyle w:val="Hyperlink"/>
                <w:noProof/>
                <w:lang w:eastAsia="en-AU"/>
              </w:rPr>
              <w:t>4.5</w:t>
            </w:r>
            <w:r>
              <w:rPr>
                <w:rFonts w:asciiTheme="minorHAnsi" w:eastAsiaTheme="minorEastAsia" w:hAnsiTheme="minorHAnsi"/>
                <w:noProof/>
                <w:kern w:val="2"/>
                <w:sz w:val="24"/>
                <w:lang w:eastAsia="en-AU"/>
                <w14:ligatures w14:val="standardContextual"/>
              </w:rPr>
              <w:tab/>
            </w:r>
            <w:r w:rsidRPr="00C8573D">
              <w:rPr>
                <w:rStyle w:val="Hyperlink"/>
                <w:noProof/>
                <w:lang w:eastAsia="en-AU"/>
              </w:rPr>
              <w:t>Option 1 – Retain the current WES as the WEL</w:t>
            </w:r>
            <w:r>
              <w:rPr>
                <w:noProof/>
                <w:webHidden/>
              </w:rPr>
              <w:tab/>
            </w:r>
            <w:r>
              <w:rPr>
                <w:noProof/>
                <w:webHidden/>
              </w:rPr>
              <w:fldChar w:fldCharType="begin"/>
            </w:r>
            <w:r>
              <w:rPr>
                <w:noProof/>
                <w:webHidden/>
              </w:rPr>
              <w:instrText xml:space="preserve"> PAGEREF _Toc219216870 \h </w:instrText>
            </w:r>
            <w:r>
              <w:rPr>
                <w:noProof/>
                <w:webHidden/>
              </w:rPr>
            </w:r>
            <w:r>
              <w:rPr>
                <w:noProof/>
                <w:webHidden/>
              </w:rPr>
              <w:fldChar w:fldCharType="separate"/>
            </w:r>
            <w:r w:rsidR="00A002F4">
              <w:rPr>
                <w:noProof/>
                <w:webHidden/>
              </w:rPr>
              <w:t>28</w:t>
            </w:r>
            <w:r>
              <w:rPr>
                <w:noProof/>
                <w:webHidden/>
              </w:rPr>
              <w:fldChar w:fldCharType="end"/>
            </w:r>
          </w:hyperlink>
        </w:p>
        <w:p w14:paraId="445E16ED" w14:textId="602E1AF8"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1" w:history="1">
            <w:r w:rsidRPr="00C8573D">
              <w:rPr>
                <w:rStyle w:val="Hyperlink"/>
                <w:noProof/>
              </w:rPr>
              <w:t>4.6</w:t>
            </w:r>
            <w:r>
              <w:rPr>
                <w:rFonts w:asciiTheme="minorHAnsi" w:eastAsiaTheme="minorEastAsia" w:hAnsiTheme="minorHAnsi"/>
                <w:noProof/>
                <w:kern w:val="2"/>
                <w:sz w:val="24"/>
                <w:lang w:eastAsia="en-AU"/>
                <w14:ligatures w14:val="standardContextual"/>
              </w:rPr>
              <w:tab/>
            </w:r>
            <w:r w:rsidRPr="00C8573D">
              <w:rPr>
                <w:rStyle w:val="Hyperlink"/>
                <w:noProof/>
              </w:rPr>
              <w:t>Option 2 – Change to the proposed health-based WEL for the 9 chemicals</w:t>
            </w:r>
            <w:r>
              <w:rPr>
                <w:noProof/>
                <w:webHidden/>
              </w:rPr>
              <w:tab/>
            </w:r>
            <w:r>
              <w:rPr>
                <w:noProof/>
                <w:webHidden/>
              </w:rPr>
              <w:fldChar w:fldCharType="begin"/>
            </w:r>
            <w:r>
              <w:rPr>
                <w:noProof/>
                <w:webHidden/>
              </w:rPr>
              <w:instrText xml:space="preserve"> PAGEREF _Toc219216871 \h </w:instrText>
            </w:r>
            <w:r>
              <w:rPr>
                <w:noProof/>
                <w:webHidden/>
              </w:rPr>
            </w:r>
            <w:r>
              <w:rPr>
                <w:noProof/>
                <w:webHidden/>
              </w:rPr>
              <w:fldChar w:fldCharType="separate"/>
            </w:r>
            <w:r w:rsidR="00A002F4">
              <w:rPr>
                <w:noProof/>
                <w:webHidden/>
              </w:rPr>
              <w:t>28</w:t>
            </w:r>
            <w:r>
              <w:rPr>
                <w:noProof/>
                <w:webHidden/>
              </w:rPr>
              <w:fldChar w:fldCharType="end"/>
            </w:r>
          </w:hyperlink>
        </w:p>
        <w:p w14:paraId="68A26108" w14:textId="5DEFAF73"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72" w:history="1">
            <w:r w:rsidRPr="00C8573D">
              <w:rPr>
                <w:rStyle w:val="Hyperlink"/>
              </w:rPr>
              <w:t>5.</w:t>
            </w:r>
            <w:r>
              <w:rPr>
                <w:rFonts w:asciiTheme="minorHAnsi" w:eastAsiaTheme="minorEastAsia" w:hAnsiTheme="minorHAnsi"/>
                <w:b w:val="0"/>
                <w:bCs w:val="0"/>
                <w:kern w:val="2"/>
                <w:sz w:val="24"/>
                <w:lang w:eastAsia="en-AU"/>
                <w14:ligatures w14:val="standardContextual"/>
              </w:rPr>
              <w:tab/>
            </w:r>
            <w:r w:rsidRPr="00C8573D">
              <w:rPr>
                <w:rStyle w:val="Hyperlink"/>
              </w:rPr>
              <w:t>What is the likely net benefit of each option?</w:t>
            </w:r>
            <w:r>
              <w:rPr>
                <w:webHidden/>
              </w:rPr>
              <w:tab/>
            </w:r>
            <w:r>
              <w:rPr>
                <w:webHidden/>
              </w:rPr>
              <w:fldChar w:fldCharType="begin"/>
            </w:r>
            <w:r>
              <w:rPr>
                <w:webHidden/>
              </w:rPr>
              <w:instrText xml:space="preserve"> PAGEREF _Toc219216872 \h </w:instrText>
            </w:r>
            <w:r>
              <w:rPr>
                <w:webHidden/>
              </w:rPr>
            </w:r>
            <w:r>
              <w:rPr>
                <w:webHidden/>
              </w:rPr>
              <w:fldChar w:fldCharType="separate"/>
            </w:r>
            <w:r w:rsidR="00A002F4">
              <w:rPr>
                <w:webHidden/>
              </w:rPr>
              <w:t>30</w:t>
            </w:r>
            <w:r>
              <w:rPr>
                <w:webHidden/>
              </w:rPr>
              <w:fldChar w:fldCharType="end"/>
            </w:r>
          </w:hyperlink>
        </w:p>
        <w:p w14:paraId="38714F11" w14:textId="3484D0B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3" w:history="1">
            <w:r w:rsidRPr="00C8573D">
              <w:rPr>
                <w:rStyle w:val="Hyperlink"/>
                <w:noProof/>
              </w:rPr>
              <w:t>5.1</w:t>
            </w:r>
            <w:r>
              <w:rPr>
                <w:rFonts w:asciiTheme="minorHAnsi" w:eastAsiaTheme="minorEastAsia" w:hAnsiTheme="minorHAnsi"/>
                <w:noProof/>
                <w:kern w:val="2"/>
                <w:sz w:val="24"/>
                <w:lang w:eastAsia="en-AU"/>
                <w14:ligatures w14:val="standardContextual"/>
              </w:rPr>
              <w:tab/>
            </w:r>
            <w:r w:rsidRPr="00C8573D">
              <w:rPr>
                <w:rStyle w:val="Hyperlink"/>
                <w:noProof/>
              </w:rPr>
              <w:t>Option 1 – Retain the current WES as the WEL</w:t>
            </w:r>
            <w:r>
              <w:rPr>
                <w:noProof/>
                <w:webHidden/>
              </w:rPr>
              <w:tab/>
            </w:r>
            <w:r>
              <w:rPr>
                <w:noProof/>
                <w:webHidden/>
              </w:rPr>
              <w:fldChar w:fldCharType="begin"/>
            </w:r>
            <w:r>
              <w:rPr>
                <w:noProof/>
                <w:webHidden/>
              </w:rPr>
              <w:instrText xml:space="preserve"> PAGEREF _Toc219216873 \h </w:instrText>
            </w:r>
            <w:r>
              <w:rPr>
                <w:noProof/>
                <w:webHidden/>
              </w:rPr>
            </w:r>
            <w:r>
              <w:rPr>
                <w:noProof/>
                <w:webHidden/>
              </w:rPr>
              <w:fldChar w:fldCharType="separate"/>
            </w:r>
            <w:r w:rsidR="00A002F4">
              <w:rPr>
                <w:noProof/>
                <w:webHidden/>
              </w:rPr>
              <w:t>31</w:t>
            </w:r>
            <w:r>
              <w:rPr>
                <w:noProof/>
                <w:webHidden/>
              </w:rPr>
              <w:fldChar w:fldCharType="end"/>
            </w:r>
          </w:hyperlink>
        </w:p>
        <w:p w14:paraId="6DF30CE0" w14:textId="528A29C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4" w:history="1">
            <w:r w:rsidRPr="00C8573D">
              <w:rPr>
                <w:rStyle w:val="Hyperlink"/>
                <w:noProof/>
              </w:rPr>
              <w:t>5.2</w:t>
            </w:r>
            <w:r>
              <w:rPr>
                <w:rFonts w:asciiTheme="minorHAnsi" w:eastAsiaTheme="minorEastAsia" w:hAnsiTheme="minorHAnsi"/>
                <w:noProof/>
                <w:kern w:val="2"/>
                <w:sz w:val="24"/>
                <w:lang w:eastAsia="en-AU"/>
                <w14:ligatures w14:val="standardContextual"/>
              </w:rPr>
              <w:tab/>
            </w:r>
            <w:r w:rsidRPr="00C8573D">
              <w:rPr>
                <w:rStyle w:val="Hyperlink"/>
                <w:noProof/>
              </w:rPr>
              <w:t>Option 2 – Change to the proposed health-based WEL for the 9 chemicals.</w:t>
            </w:r>
            <w:r>
              <w:rPr>
                <w:noProof/>
                <w:webHidden/>
              </w:rPr>
              <w:tab/>
            </w:r>
            <w:r>
              <w:rPr>
                <w:noProof/>
                <w:webHidden/>
              </w:rPr>
              <w:fldChar w:fldCharType="begin"/>
            </w:r>
            <w:r>
              <w:rPr>
                <w:noProof/>
                <w:webHidden/>
              </w:rPr>
              <w:instrText xml:space="preserve"> PAGEREF _Toc219216874 \h </w:instrText>
            </w:r>
            <w:r>
              <w:rPr>
                <w:noProof/>
                <w:webHidden/>
              </w:rPr>
            </w:r>
            <w:r>
              <w:rPr>
                <w:noProof/>
                <w:webHidden/>
              </w:rPr>
              <w:fldChar w:fldCharType="separate"/>
            </w:r>
            <w:r w:rsidR="00A002F4">
              <w:rPr>
                <w:noProof/>
                <w:webHidden/>
              </w:rPr>
              <w:t>31</w:t>
            </w:r>
            <w:r>
              <w:rPr>
                <w:noProof/>
                <w:webHidden/>
              </w:rPr>
              <w:fldChar w:fldCharType="end"/>
            </w:r>
          </w:hyperlink>
        </w:p>
        <w:p w14:paraId="2041D514" w14:textId="222D4E18"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75" w:history="1">
            <w:r w:rsidRPr="00C8573D">
              <w:rPr>
                <w:rStyle w:val="Hyperlink"/>
              </w:rPr>
              <w:t>6.</w:t>
            </w:r>
            <w:r>
              <w:rPr>
                <w:rFonts w:asciiTheme="minorHAnsi" w:eastAsiaTheme="minorEastAsia" w:hAnsiTheme="minorHAnsi"/>
                <w:b w:val="0"/>
                <w:bCs w:val="0"/>
                <w:kern w:val="2"/>
                <w:sz w:val="24"/>
                <w:lang w:eastAsia="en-AU"/>
                <w14:ligatures w14:val="standardContextual"/>
              </w:rPr>
              <w:tab/>
            </w:r>
            <w:r w:rsidRPr="00C8573D">
              <w:rPr>
                <w:rStyle w:val="Hyperlink"/>
              </w:rPr>
              <w:t>Who was consulted and how was their feedback incorporated?</w:t>
            </w:r>
            <w:r>
              <w:rPr>
                <w:webHidden/>
              </w:rPr>
              <w:tab/>
            </w:r>
            <w:r>
              <w:rPr>
                <w:webHidden/>
              </w:rPr>
              <w:fldChar w:fldCharType="begin"/>
            </w:r>
            <w:r>
              <w:rPr>
                <w:webHidden/>
              </w:rPr>
              <w:instrText xml:space="preserve"> PAGEREF _Toc219216875 \h </w:instrText>
            </w:r>
            <w:r>
              <w:rPr>
                <w:webHidden/>
              </w:rPr>
            </w:r>
            <w:r>
              <w:rPr>
                <w:webHidden/>
              </w:rPr>
              <w:fldChar w:fldCharType="separate"/>
            </w:r>
            <w:r w:rsidR="00A002F4">
              <w:rPr>
                <w:webHidden/>
              </w:rPr>
              <w:t>44</w:t>
            </w:r>
            <w:r>
              <w:rPr>
                <w:webHidden/>
              </w:rPr>
              <w:fldChar w:fldCharType="end"/>
            </w:r>
          </w:hyperlink>
        </w:p>
        <w:p w14:paraId="189822BB" w14:textId="5910A010"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6" w:history="1">
            <w:r w:rsidRPr="00C8573D">
              <w:rPr>
                <w:rStyle w:val="Hyperlink"/>
                <w:noProof/>
              </w:rPr>
              <w:t>6.1</w:t>
            </w:r>
            <w:r>
              <w:rPr>
                <w:rFonts w:asciiTheme="minorHAnsi" w:eastAsiaTheme="minorEastAsia" w:hAnsiTheme="minorHAnsi"/>
                <w:noProof/>
                <w:kern w:val="2"/>
                <w:sz w:val="24"/>
                <w:lang w:eastAsia="en-AU"/>
                <w14:ligatures w14:val="standardContextual"/>
              </w:rPr>
              <w:tab/>
            </w:r>
            <w:r w:rsidRPr="00C8573D">
              <w:rPr>
                <w:rStyle w:val="Hyperlink"/>
                <w:noProof/>
              </w:rPr>
              <w:t>Consultation to inform this Decision RIS</w:t>
            </w:r>
            <w:r>
              <w:rPr>
                <w:noProof/>
                <w:webHidden/>
              </w:rPr>
              <w:tab/>
            </w:r>
            <w:r>
              <w:rPr>
                <w:noProof/>
                <w:webHidden/>
              </w:rPr>
              <w:fldChar w:fldCharType="begin"/>
            </w:r>
            <w:r>
              <w:rPr>
                <w:noProof/>
                <w:webHidden/>
              </w:rPr>
              <w:instrText xml:space="preserve"> PAGEREF _Toc219216876 \h </w:instrText>
            </w:r>
            <w:r>
              <w:rPr>
                <w:noProof/>
                <w:webHidden/>
              </w:rPr>
            </w:r>
            <w:r>
              <w:rPr>
                <w:noProof/>
                <w:webHidden/>
              </w:rPr>
              <w:fldChar w:fldCharType="separate"/>
            </w:r>
            <w:r w:rsidR="00A002F4">
              <w:rPr>
                <w:noProof/>
                <w:webHidden/>
              </w:rPr>
              <w:t>44</w:t>
            </w:r>
            <w:r>
              <w:rPr>
                <w:noProof/>
                <w:webHidden/>
              </w:rPr>
              <w:fldChar w:fldCharType="end"/>
            </w:r>
          </w:hyperlink>
        </w:p>
        <w:p w14:paraId="1F7917D5" w14:textId="48E3A812"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77" w:history="1">
            <w:r w:rsidRPr="00C8573D">
              <w:rPr>
                <w:rStyle w:val="Hyperlink"/>
              </w:rPr>
              <w:t>7.</w:t>
            </w:r>
            <w:r>
              <w:rPr>
                <w:rFonts w:asciiTheme="minorHAnsi" w:eastAsiaTheme="minorEastAsia" w:hAnsiTheme="minorHAnsi"/>
                <w:b w:val="0"/>
                <w:bCs w:val="0"/>
                <w:kern w:val="2"/>
                <w:sz w:val="24"/>
                <w:lang w:eastAsia="en-AU"/>
                <w14:ligatures w14:val="standardContextual"/>
              </w:rPr>
              <w:tab/>
            </w:r>
            <w:r w:rsidRPr="00C8573D">
              <w:rPr>
                <w:rStyle w:val="Hyperlink"/>
              </w:rPr>
              <w:t>What is the best option from those considered and how will it be implemented?</w:t>
            </w:r>
            <w:r>
              <w:rPr>
                <w:webHidden/>
              </w:rPr>
              <w:tab/>
            </w:r>
            <w:r>
              <w:rPr>
                <w:webHidden/>
              </w:rPr>
              <w:fldChar w:fldCharType="begin"/>
            </w:r>
            <w:r>
              <w:rPr>
                <w:webHidden/>
              </w:rPr>
              <w:instrText xml:space="preserve"> PAGEREF _Toc219216877 \h </w:instrText>
            </w:r>
            <w:r>
              <w:rPr>
                <w:webHidden/>
              </w:rPr>
            </w:r>
            <w:r>
              <w:rPr>
                <w:webHidden/>
              </w:rPr>
              <w:fldChar w:fldCharType="separate"/>
            </w:r>
            <w:r w:rsidR="00A002F4">
              <w:rPr>
                <w:webHidden/>
              </w:rPr>
              <w:t>50</w:t>
            </w:r>
            <w:r>
              <w:rPr>
                <w:webHidden/>
              </w:rPr>
              <w:fldChar w:fldCharType="end"/>
            </w:r>
          </w:hyperlink>
        </w:p>
        <w:p w14:paraId="03940D31" w14:textId="64391FF1"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8" w:history="1">
            <w:r w:rsidRPr="00C8573D">
              <w:rPr>
                <w:rStyle w:val="Hyperlink"/>
                <w:noProof/>
              </w:rPr>
              <w:t>7.1</w:t>
            </w:r>
            <w:r>
              <w:rPr>
                <w:rFonts w:asciiTheme="minorHAnsi" w:eastAsiaTheme="minorEastAsia" w:hAnsiTheme="minorHAnsi"/>
                <w:noProof/>
                <w:kern w:val="2"/>
                <w:sz w:val="24"/>
                <w:lang w:eastAsia="en-AU"/>
                <w14:ligatures w14:val="standardContextual"/>
              </w:rPr>
              <w:tab/>
            </w:r>
            <w:r w:rsidRPr="00C8573D">
              <w:rPr>
                <w:rStyle w:val="Hyperlink"/>
                <w:noProof/>
              </w:rPr>
              <w:t>Recommendation</w:t>
            </w:r>
            <w:r>
              <w:rPr>
                <w:noProof/>
                <w:webHidden/>
              </w:rPr>
              <w:tab/>
            </w:r>
            <w:r>
              <w:rPr>
                <w:noProof/>
                <w:webHidden/>
              </w:rPr>
              <w:fldChar w:fldCharType="begin"/>
            </w:r>
            <w:r>
              <w:rPr>
                <w:noProof/>
                <w:webHidden/>
              </w:rPr>
              <w:instrText xml:space="preserve"> PAGEREF _Toc219216878 \h </w:instrText>
            </w:r>
            <w:r>
              <w:rPr>
                <w:noProof/>
                <w:webHidden/>
              </w:rPr>
            </w:r>
            <w:r>
              <w:rPr>
                <w:noProof/>
                <w:webHidden/>
              </w:rPr>
              <w:fldChar w:fldCharType="separate"/>
            </w:r>
            <w:r w:rsidR="00A002F4">
              <w:rPr>
                <w:noProof/>
                <w:webHidden/>
              </w:rPr>
              <w:t>50</w:t>
            </w:r>
            <w:r>
              <w:rPr>
                <w:noProof/>
                <w:webHidden/>
              </w:rPr>
              <w:fldChar w:fldCharType="end"/>
            </w:r>
          </w:hyperlink>
        </w:p>
        <w:p w14:paraId="61CAB6DD" w14:textId="432B67DF"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79" w:history="1">
            <w:r w:rsidRPr="00C8573D">
              <w:rPr>
                <w:rStyle w:val="Hyperlink"/>
                <w:rFonts w:cs="Arial"/>
                <w:noProof/>
              </w:rPr>
              <w:t>7.2</w:t>
            </w:r>
            <w:r>
              <w:rPr>
                <w:rFonts w:asciiTheme="minorHAnsi" w:eastAsiaTheme="minorEastAsia" w:hAnsiTheme="minorHAnsi"/>
                <w:noProof/>
                <w:kern w:val="2"/>
                <w:sz w:val="24"/>
                <w:lang w:eastAsia="en-AU"/>
                <w14:ligatures w14:val="standardContextual"/>
              </w:rPr>
              <w:tab/>
            </w:r>
            <w:r w:rsidRPr="00C8573D">
              <w:rPr>
                <w:rStyle w:val="Hyperlink"/>
                <w:rFonts w:cs="Arial"/>
                <w:noProof/>
              </w:rPr>
              <w:t>Why the other options are not preferred</w:t>
            </w:r>
            <w:r>
              <w:rPr>
                <w:noProof/>
                <w:webHidden/>
              </w:rPr>
              <w:tab/>
            </w:r>
            <w:r>
              <w:rPr>
                <w:noProof/>
                <w:webHidden/>
              </w:rPr>
              <w:fldChar w:fldCharType="begin"/>
            </w:r>
            <w:r>
              <w:rPr>
                <w:noProof/>
                <w:webHidden/>
              </w:rPr>
              <w:instrText xml:space="preserve"> PAGEREF _Toc219216879 \h </w:instrText>
            </w:r>
            <w:r>
              <w:rPr>
                <w:noProof/>
                <w:webHidden/>
              </w:rPr>
            </w:r>
            <w:r>
              <w:rPr>
                <w:noProof/>
                <w:webHidden/>
              </w:rPr>
              <w:fldChar w:fldCharType="separate"/>
            </w:r>
            <w:r w:rsidR="00A002F4">
              <w:rPr>
                <w:noProof/>
                <w:webHidden/>
              </w:rPr>
              <w:t>51</w:t>
            </w:r>
            <w:r>
              <w:rPr>
                <w:noProof/>
                <w:webHidden/>
              </w:rPr>
              <w:fldChar w:fldCharType="end"/>
            </w:r>
          </w:hyperlink>
        </w:p>
        <w:p w14:paraId="38D6209D" w14:textId="7C4F778D" w:rsidR="001B1ADB" w:rsidRDefault="001B1ADB" w:rsidP="003B5923">
          <w:pPr>
            <w:pStyle w:val="TOC2"/>
          </w:pPr>
          <w:hyperlink w:anchor="_Toc219216880" w:history="1">
            <w:r w:rsidRPr="00C8573D">
              <w:rPr>
                <w:rStyle w:val="Hyperlink"/>
                <w:rFonts w:cs="Arial"/>
                <w:noProof/>
              </w:rPr>
              <w:t>7.3</w:t>
            </w:r>
            <w:r>
              <w:rPr>
                <w:rFonts w:asciiTheme="minorHAnsi" w:eastAsiaTheme="minorEastAsia" w:hAnsiTheme="minorHAnsi"/>
                <w:noProof/>
                <w:kern w:val="2"/>
                <w:sz w:val="24"/>
                <w:lang w:eastAsia="en-AU"/>
                <w14:ligatures w14:val="standardContextual"/>
              </w:rPr>
              <w:tab/>
            </w:r>
            <w:r w:rsidRPr="00C8573D">
              <w:rPr>
                <w:rStyle w:val="Hyperlink"/>
                <w:rFonts w:cs="Arial"/>
                <w:noProof/>
              </w:rPr>
              <w:t>Implementation</w:t>
            </w:r>
            <w:r>
              <w:rPr>
                <w:noProof/>
                <w:webHidden/>
              </w:rPr>
              <w:tab/>
            </w:r>
            <w:r>
              <w:rPr>
                <w:noProof/>
                <w:webHidden/>
              </w:rPr>
              <w:fldChar w:fldCharType="begin"/>
            </w:r>
            <w:r>
              <w:rPr>
                <w:noProof/>
                <w:webHidden/>
              </w:rPr>
              <w:instrText xml:space="preserve"> PAGEREF _Toc219216880 \h </w:instrText>
            </w:r>
            <w:r>
              <w:rPr>
                <w:noProof/>
                <w:webHidden/>
              </w:rPr>
            </w:r>
            <w:r>
              <w:rPr>
                <w:noProof/>
                <w:webHidden/>
              </w:rPr>
              <w:fldChar w:fldCharType="separate"/>
            </w:r>
            <w:r w:rsidR="00A002F4">
              <w:rPr>
                <w:noProof/>
                <w:webHidden/>
              </w:rPr>
              <w:t>51</w:t>
            </w:r>
            <w:r>
              <w:rPr>
                <w:noProof/>
                <w:webHidden/>
              </w:rPr>
              <w:fldChar w:fldCharType="end"/>
            </w:r>
          </w:hyperlink>
        </w:p>
        <w:p w14:paraId="3F76F31D" w14:textId="77777777" w:rsidR="003B5923" w:rsidRPr="003B5923" w:rsidRDefault="003B5923" w:rsidP="003B5923"/>
        <w:p w14:paraId="09AE0932" w14:textId="147DA0CC"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81" w:history="1">
            <w:r w:rsidRPr="00C8573D">
              <w:rPr>
                <w:rStyle w:val="Hyperlink"/>
              </w:rPr>
              <w:t>8.</w:t>
            </w:r>
            <w:r>
              <w:rPr>
                <w:rFonts w:asciiTheme="minorHAnsi" w:eastAsiaTheme="minorEastAsia" w:hAnsiTheme="minorHAnsi"/>
                <w:b w:val="0"/>
                <w:bCs w:val="0"/>
                <w:kern w:val="2"/>
                <w:sz w:val="24"/>
                <w:lang w:eastAsia="en-AU"/>
                <w14:ligatures w14:val="standardContextual"/>
              </w:rPr>
              <w:tab/>
            </w:r>
            <w:r w:rsidRPr="00C8573D">
              <w:rPr>
                <w:rStyle w:val="Hyperlink"/>
              </w:rPr>
              <w:t>How will the chosen option be evaluated?</w:t>
            </w:r>
            <w:r>
              <w:rPr>
                <w:webHidden/>
              </w:rPr>
              <w:tab/>
            </w:r>
            <w:r>
              <w:rPr>
                <w:webHidden/>
              </w:rPr>
              <w:fldChar w:fldCharType="begin"/>
            </w:r>
            <w:r>
              <w:rPr>
                <w:webHidden/>
              </w:rPr>
              <w:instrText xml:space="preserve"> PAGEREF _Toc219216881 \h </w:instrText>
            </w:r>
            <w:r>
              <w:rPr>
                <w:webHidden/>
              </w:rPr>
            </w:r>
            <w:r>
              <w:rPr>
                <w:webHidden/>
              </w:rPr>
              <w:fldChar w:fldCharType="separate"/>
            </w:r>
            <w:r w:rsidR="00A002F4">
              <w:rPr>
                <w:webHidden/>
              </w:rPr>
              <w:t>53</w:t>
            </w:r>
            <w:r>
              <w:rPr>
                <w:webHidden/>
              </w:rPr>
              <w:fldChar w:fldCharType="end"/>
            </w:r>
          </w:hyperlink>
        </w:p>
        <w:p w14:paraId="74A374B0" w14:textId="1DD30689"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82" w:history="1">
            <w:r w:rsidRPr="00C8573D">
              <w:rPr>
                <w:rStyle w:val="Hyperlink"/>
                <w:rFonts w:cs="Arial"/>
              </w:rPr>
              <w:t>9.</w:t>
            </w:r>
            <w:r>
              <w:rPr>
                <w:rFonts w:asciiTheme="minorHAnsi" w:eastAsiaTheme="minorEastAsia" w:hAnsiTheme="minorHAnsi"/>
                <w:b w:val="0"/>
                <w:bCs w:val="0"/>
                <w:kern w:val="2"/>
                <w:sz w:val="24"/>
                <w:lang w:eastAsia="en-AU"/>
                <w14:ligatures w14:val="standardContextual"/>
              </w:rPr>
              <w:tab/>
            </w:r>
            <w:r w:rsidRPr="00C8573D">
              <w:rPr>
                <w:rStyle w:val="Hyperlink"/>
                <w:rFonts w:cs="Arial"/>
              </w:rPr>
              <w:t>Detailed impact assessment for benzene</w:t>
            </w:r>
            <w:r>
              <w:rPr>
                <w:webHidden/>
              </w:rPr>
              <w:tab/>
            </w:r>
            <w:r>
              <w:rPr>
                <w:webHidden/>
              </w:rPr>
              <w:fldChar w:fldCharType="begin"/>
            </w:r>
            <w:r>
              <w:rPr>
                <w:webHidden/>
              </w:rPr>
              <w:instrText xml:space="preserve"> PAGEREF _Toc219216882 \h </w:instrText>
            </w:r>
            <w:r>
              <w:rPr>
                <w:webHidden/>
              </w:rPr>
            </w:r>
            <w:r>
              <w:rPr>
                <w:webHidden/>
              </w:rPr>
              <w:fldChar w:fldCharType="separate"/>
            </w:r>
            <w:r w:rsidR="00A002F4">
              <w:rPr>
                <w:webHidden/>
              </w:rPr>
              <w:t>54</w:t>
            </w:r>
            <w:r>
              <w:rPr>
                <w:webHidden/>
              </w:rPr>
              <w:fldChar w:fldCharType="end"/>
            </w:r>
          </w:hyperlink>
        </w:p>
        <w:p w14:paraId="3DC0869D" w14:textId="161F3B0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3" w:history="1">
            <w:r w:rsidRPr="00C8573D">
              <w:rPr>
                <w:rStyle w:val="Hyperlink"/>
                <w:noProof/>
              </w:rPr>
              <w:t>9.1</w:t>
            </w:r>
            <w:r>
              <w:rPr>
                <w:rFonts w:asciiTheme="minorHAnsi" w:eastAsiaTheme="minorEastAsia" w:hAnsiTheme="minorHAnsi"/>
                <w:noProof/>
                <w:kern w:val="2"/>
                <w:sz w:val="24"/>
                <w:lang w:eastAsia="en-AU"/>
                <w14:ligatures w14:val="standardContextual"/>
              </w:rPr>
              <w:tab/>
            </w:r>
            <w:r w:rsidRPr="00C8573D">
              <w:rPr>
                <w:rStyle w:val="Hyperlink"/>
                <w:noProof/>
              </w:rPr>
              <w:t>Benefits for the proposed WEL for benzene</w:t>
            </w:r>
            <w:r>
              <w:rPr>
                <w:noProof/>
                <w:webHidden/>
              </w:rPr>
              <w:tab/>
            </w:r>
            <w:r>
              <w:rPr>
                <w:noProof/>
                <w:webHidden/>
              </w:rPr>
              <w:fldChar w:fldCharType="begin"/>
            </w:r>
            <w:r>
              <w:rPr>
                <w:noProof/>
                <w:webHidden/>
              </w:rPr>
              <w:instrText xml:space="preserve"> PAGEREF _Toc219216883 \h </w:instrText>
            </w:r>
            <w:r>
              <w:rPr>
                <w:noProof/>
                <w:webHidden/>
              </w:rPr>
            </w:r>
            <w:r>
              <w:rPr>
                <w:noProof/>
                <w:webHidden/>
              </w:rPr>
              <w:fldChar w:fldCharType="separate"/>
            </w:r>
            <w:r w:rsidR="00A002F4">
              <w:rPr>
                <w:noProof/>
                <w:webHidden/>
              </w:rPr>
              <w:t>54</w:t>
            </w:r>
            <w:r>
              <w:rPr>
                <w:noProof/>
                <w:webHidden/>
              </w:rPr>
              <w:fldChar w:fldCharType="end"/>
            </w:r>
          </w:hyperlink>
        </w:p>
        <w:p w14:paraId="1DF9067C" w14:textId="5DA5E57F"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4" w:history="1">
            <w:r w:rsidRPr="00C8573D">
              <w:rPr>
                <w:rStyle w:val="Hyperlink"/>
                <w:noProof/>
              </w:rPr>
              <w:t>9.2</w:t>
            </w:r>
            <w:r>
              <w:rPr>
                <w:rFonts w:asciiTheme="minorHAnsi" w:eastAsiaTheme="minorEastAsia" w:hAnsiTheme="minorHAnsi"/>
                <w:noProof/>
                <w:kern w:val="2"/>
                <w:sz w:val="24"/>
                <w:lang w:eastAsia="en-AU"/>
                <w14:ligatures w14:val="standardContextual"/>
              </w:rPr>
              <w:tab/>
            </w:r>
            <w:r w:rsidRPr="00C8573D">
              <w:rPr>
                <w:rStyle w:val="Hyperlink"/>
                <w:noProof/>
              </w:rPr>
              <w:t>Costs of proposed WEL for benzene</w:t>
            </w:r>
            <w:r>
              <w:rPr>
                <w:noProof/>
                <w:webHidden/>
              </w:rPr>
              <w:tab/>
            </w:r>
            <w:r>
              <w:rPr>
                <w:noProof/>
                <w:webHidden/>
              </w:rPr>
              <w:fldChar w:fldCharType="begin"/>
            </w:r>
            <w:r>
              <w:rPr>
                <w:noProof/>
                <w:webHidden/>
              </w:rPr>
              <w:instrText xml:space="preserve"> PAGEREF _Toc219216884 \h </w:instrText>
            </w:r>
            <w:r>
              <w:rPr>
                <w:noProof/>
                <w:webHidden/>
              </w:rPr>
            </w:r>
            <w:r>
              <w:rPr>
                <w:noProof/>
                <w:webHidden/>
              </w:rPr>
              <w:fldChar w:fldCharType="separate"/>
            </w:r>
            <w:r w:rsidR="00A002F4">
              <w:rPr>
                <w:noProof/>
                <w:webHidden/>
              </w:rPr>
              <w:t>58</w:t>
            </w:r>
            <w:r>
              <w:rPr>
                <w:noProof/>
                <w:webHidden/>
              </w:rPr>
              <w:fldChar w:fldCharType="end"/>
            </w:r>
          </w:hyperlink>
        </w:p>
        <w:p w14:paraId="757A8787" w14:textId="11AF024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5" w:history="1">
            <w:r w:rsidRPr="00C8573D">
              <w:rPr>
                <w:rStyle w:val="Hyperlink"/>
                <w:noProof/>
              </w:rPr>
              <w:t>9.3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benzene</w:t>
            </w:r>
            <w:r>
              <w:rPr>
                <w:noProof/>
                <w:webHidden/>
              </w:rPr>
              <w:tab/>
            </w:r>
            <w:r>
              <w:rPr>
                <w:noProof/>
                <w:webHidden/>
              </w:rPr>
              <w:fldChar w:fldCharType="begin"/>
            </w:r>
            <w:r>
              <w:rPr>
                <w:noProof/>
                <w:webHidden/>
              </w:rPr>
              <w:instrText xml:space="preserve"> PAGEREF _Toc219216885 \h </w:instrText>
            </w:r>
            <w:r>
              <w:rPr>
                <w:noProof/>
                <w:webHidden/>
              </w:rPr>
            </w:r>
            <w:r>
              <w:rPr>
                <w:noProof/>
                <w:webHidden/>
              </w:rPr>
              <w:fldChar w:fldCharType="separate"/>
            </w:r>
            <w:r w:rsidR="00A002F4">
              <w:rPr>
                <w:noProof/>
                <w:webHidden/>
              </w:rPr>
              <w:t>60</w:t>
            </w:r>
            <w:r>
              <w:rPr>
                <w:noProof/>
                <w:webHidden/>
              </w:rPr>
              <w:fldChar w:fldCharType="end"/>
            </w:r>
          </w:hyperlink>
        </w:p>
        <w:p w14:paraId="78AE46FE" w14:textId="6129C61D"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6" w:history="1">
            <w:r w:rsidRPr="00C8573D">
              <w:rPr>
                <w:rStyle w:val="Hyperlink"/>
                <w:noProof/>
              </w:rPr>
              <w:t>9.4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benzene</w:t>
            </w:r>
            <w:r>
              <w:rPr>
                <w:noProof/>
                <w:webHidden/>
              </w:rPr>
              <w:tab/>
            </w:r>
            <w:r>
              <w:rPr>
                <w:noProof/>
                <w:webHidden/>
              </w:rPr>
              <w:fldChar w:fldCharType="begin"/>
            </w:r>
            <w:r>
              <w:rPr>
                <w:noProof/>
                <w:webHidden/>
              </w:rPr>
              <w:instrText xml:space="preserve"> PAGEREF _Toc219216886 \h </w:instrText>
            </w:r>
            <w:r>
              <w:rPr>
                <w:noProof/>
                <w:webHidden/>
              </w:rPr>
            </w:r>
            <w:r>
              <w:rPr>
                <w:noProof/>
                <w:webHidden/>
              </w:rPr>
              <w:fldChar w:fldCharType="separate"/>
            </w:r>
            <w:r w:rsidR="00A002F4">
              <w:rPr>
                <w:noProof/>
                <w:webHidden/>
              </w:rPr>
              <w:t>63</w:t>
            </w:r>
            <w:r>
              <w:rPr>
                <w:noProof/>
                <w:webHidden/>
              </w:rPr>
              <w:fldChar w:fldCharType="end"/>
            </w:r>
          </w:hyperlink>
        </w:p>
        <w:p w14:paraId="50E66F57" w14:textId="5B02B18E"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87" w:history="1">
            <w:r w:rsidRPr="00C8573D">
              <w:rPr>
                <w:rStyle w:val="Hyperlink"/>
              </w:rPr>
              <w:t>10.</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chlorine</w:t>
            </w:r>
            <w:r>
              <w:rPr>
                <w:webHidden/>
              </w:rPr>
              <w:tab/>
            </w:r>
            <w:r>
              <w:rPr>
                <w:webHidden/>
              </w:rPr>
              <w:fldChar w:fldCharType="begin"/>
            </w:r>
            <w:r>
              <w:rPr>
                <w:webHidden/>
              </w:rPr>
              <w:instrText xml:space="preserve"> PAGEREF _Toc219216887 \h </w:instrText>
            </w:r>
            <w:r>
              <w:rPr>
                <w:webHidden/>
              </w:rPr>
            </w:r>
            <w:r>
              <w:rPr>
                <w:webHidden/>
              </w:rPr>
              <w:fldChar w:fldCharType="separate"/>
            </w:r>
            <w:r w:rsidR="00A002F4">
              <w:rPr>
                <w:webHidden/>
              </w:rPr>
              <w:t>65</w:t>
            </w:r>
            <w:r>
              <w:rPr>
                <w:webHidden/>
              </w:rPr>
              <w:fldChar w:fldCharType="end"/>
            </w:r>
          </w:hyperlink>
        </w:p>
        <w:p w14:paraId="334A3A31" w14:textId="091ED2A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8" w:history="1">
            <w:r w:rsidRPr="00C8573D">
              <w:rPr>
                <w:rStyle w:val="Hyperlink"/>
                <w:noProof/>
              </w:rPr>
              <w:t>10.1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chlorine</w:t>
            </w:r>
            <w:r>
              <w:rPr>
                <w:noProof/>
                <w:webHidden/>
              </w:rPr>
              <w:tab/>
            </w:r>
            <w:r>
              <w:rPr>
                <w:noProof/>
                <w:webHidden/>
              </w:rPr>
              <w:fldChar w:fldCharType="begin"/>
            </w:r>
            <w:r>
              <w:rPr>
                <w:noProof/>
                <w:webHidden/>
              </w:rPr>
              <w:instrText xml:space="preserve"> PAGEREF _Toc219216888 \h </w:instrText>
            </w:r>
            <w:r>
              <w:rPr>
                <w:noProof/>
                <w:webHidden/>
              </w:rPr>
            </w:r>
            <w:r>
              <w:rPr>
                <w:noProof/>
                <w:webHidden/>
              </w:rPr>
              <w:fldChar w:fldCharType="separate"/>
            </w:r>
            <w:r w:rsidR="00A002F4">
              <w:rPr>
                <w:noProof/>
                <w:webHidden/>
              </w:rPr>
              <w:t>65</w:t>
            </w:r>
            <w:r>
              <w:rPr>
                <w:noProof/>
                <w:webHidden/>
              </w:rPr>
              <w:fldChar w:fldCharType="end"/>
            </w:r>
          </w:hyperlink>
        </w:p>
        <w:p w14:paraId="41A73E9F" w14:textId="41A73C5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89" w:history="1">
            <w:r w:rsidRPr="00C8573D">
              <w:rPr>
                <w:rStyle w:val="Hyperlink"/>
                <w:noProof/>
              </w:rPr>
              <w:t>10.2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chlorine</w:t>
            </w:r>
            <w:r>
              <w:rPr>
                <w:noProof/>
                <w:webHidden/>
              </w:rPr>
              <w:tab/>
            </w:r>
            <w:r>
              <w:rPr>
                <w:noProof/>
                <w:webHidden/>
              </w:rPr>
              <w:fldChar w:fldCharType="begin"/>
            </w:r>
            <w:r>
              <w:rPr>
                <w:noProof/>
                <w:webHidden/>
              </w:rPr>
              <w:instrText xml:space="preserve"> PAGEREF _Toc219216889 \h </w:instrText>
            </w:r>
            <w:r>
              <w:rPr>
                <w:noProof/>
                <w:webHidden/>
              </w:rPr>
            </w:r>
            <w:r>
              <w:rPr>
                <w:noProof/>
                <w:webHidden/>
              </w:rPr>
              <w:fldChar w:fldCharType="separate"/>
            </w:r>
            <w:r w:rsidR="00A002F4">
              <w:rPr>
                <w:noProof/>
                <w:webHidden/>
              </w:rPr>
              <w:t>70</w:t>
            </w:r>
            <w:r>
              <w:rPr>
                <w:noProof/>
                <w:webHidden/>
              </w:rPr>
              <w:fldChar w:fldCharType="end"/>
            </w:r>
          </w:hyperlink>
        </w:p>
        <w:p w14:paraId="481A24EA" w14:textId="2A7169FC"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0" w:history="1">
            <w:r w:rsidRPr="00C8573D">
              <w:rPr>
                <w:rStyle w:val="Hyperlink"/>
                <w:noProof/>
              </w:rPr>
              <w:t>10.3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chlorine</w:t>
            </w:r>
            <w:r>
              <w:rPr>
                <w:noProof/>
                <w:webHidden/>
              </w:rPr>
              <w:tab/>
            </w:r>
            <w:r>
              <w:rPr>
                <w:noProof/>
                <w:webHidden/>
              </w:rPr>
              <w:fldChar w:fldCharType="begin"/>
            </w:r>
            <w:r>
              <w:rPr>
                <w:noProof/>
                <w:webHidden/>
              </w:rPr>
              <w:instrText xml:space="preserve"> PAGEREF _Toc219216890 \h </w:instrText>
            </w:r>
            <w:r>
              <w:rPr>
                <w:noProof/>
                <w:webHidden/>
              </w:rPr>
            </w:r>
            <w:r>
              <w:rPr>
                <w:noProof/>
                <w:webHidden/>
              </w:rPr>
              <w:fldChar w:fldCharType="separate"/>
            </w:r>
            <w:r w:rsidR="00A002F4">
              <w:rPr>
                <w:noProof/>
                <w:webHidden/>
              </w:rPr>
              <w:t>72</w:t>
            </w:r>
            <w:r>
              <w:rPr>
                <w:noProof/>
                <w:webHidden/>
              </w:rPr>
              <w:fldChar w:fldCharType="end"/>
            </w:r>
          </w:hyperlink>
        </w:p>
        <w:p w14:paraId="2E0705F7" w14:textId="6434E37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1" w:history="1">
            <w:r w:rsidRPr="00C8573D">
              <w:rPr>
                <w:rStyle w:val="Hyperlink"/>
                <w:noProof/>
              </w:rPr>
              <w:t>10.4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chlorine</w:t>
            </w:r>
            <w:r>
              <w:rPr>
                <w:noProof/>
                <w:webHidden/>
              </w:rPr>
              <w:tab/>
            </w:r>
            <w:r>
              <w:rPr>
                <w:noProof/>
                <w:webHidden/>
              </w:rPr>
              <w:fldChar w:fldCharType="begin"/>
            </w:r>
            <w:r>
              <w:rPr>
                <w:noProof/>
                <w:webHidden/>
              </w:rPr>
              <w:instrText xml:space="preserve"> PAGEREF _Toc219216891 \h </w:instrText>
            </w:r>
            <w:r>
              <w:rPr>
                <w:noProof/>
                <w:webHidden/>
              </w:rPr>
            </w:r>
            <w:r>
              <w:rPr>
                <w:noProof/>
                <w:webHidden/>
              </w:rPr>
              <w:fldChar w:fldCharType="separate"/>
            </w:r>
            <w:r w:rsidR="00A002F4">
              <w:rPr>
                <w:noProof/>
                <w:webHidden/>
              </w:rPr>
              <w:t>76</w:t>
            </w:r>
            <w:r>
              <w:rPr>
                <w:noProof/>
                <w:webHidden/>
              </w:rPr>
              <w:fldChar w:fldCharType="end"/>
            </w:r>
          </w:hyperlink>
        </w:p>
        <w:p w14:paraId="5E7CB037" w14:textId="7F61FCB1"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92" w:history="1">
            <w:r w:rsidRPr="00C8573D">
              <w:rPr>
                <w:rStyle w:val="Hyperlink"/>
              </w:rPr>
              <w:t>11.</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copper</w:t>
            </w:r>
            <w:r>
              <w:rPr>
                <w:webHidden/>
              </w:rPr>
              <w:tab/>
            </w:r>
            <w:r>
              <w:rPr>
                <w:webHidden/>
              </w:rPr>
              <w:fldChar w:fldCharType="begin"/>
            </w:r>
            <w:r>
              <w:rPr>
                <w:webHidden/>
              </w:rPr>
              <w:instrText xml:space="preserve"> PAGEREF _Toc219216892 \h </w:instrText>
            </w:r>
            <w:r>
              <w:rPr>
                <w:webHidden/>
              </w:rPr>
            </w:r>
            <w:r>
              <w:rPr>
                <w:webHidden/>
              </w:rPr>
              <w:fldChar w:fldCharType="separate"/>
            </w:r>
            <w:r w:rsidR="00A002F4">
              <w:rPr>
                <w:webHidden/>
              </w:rPr>
              <w:t>78</w:t>
            </w:r>
            <w:r>
              <w:rPr>
                <w:webHidden/>
              </w:rPr>
              <w:fldChar w:fldCharType="end"/>
            </w:r>
          </w:hyperlink>
        </w:p>
        <w:p w14:paraId="708125DD" w14:textId="34E1F60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3" w:history="1">
            <w:r w:rsidRPr="00C8573D">
              <w:rPr>
                <w:rStyle w:val="Hyperlink"/>
                <w:noProof/>
              </w:rPr>
              <w:t>11.1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copper</w:t>
            </w:r>
            <w:r>
              <w:rPr>
                <w:noProof/>
                <w:webHidden/>
              </w:rPr>
              <w:tab/>
            </w:r>
            <w:r>
              <w:rPr>
                <w:noProof/>
                <w:webHidden/>
              </w:rPr>
              <w:fldChar w:fldCharType="begin"/>
            </w:r>
            <w:r>
              <w:rPr>
                <w:noProof/>
                <w:webHidden/>
              </w:rPr>
              <w:instrText xml:space="preserve"> PAGEREF _Toc219216893 \h </w:instrText>
            </w:r>
            <w:r>
              <w:rPr>
                <w:noProof/>
                <w:webHidden/>
              </w:rPr>
            </w:r>
            <w:r>
              <w:rPr>
                <w:noProof/>
                <w:webHidden/>
              </w:rPr>
              <w:fldChar w:fldCharType="separate"/>
            </w:r>
            <w:r w:rsidR="00A002F4">
              <w:rPr>
                <w:noProof/>
                <w:webHidden/>
              </w:rPr>
              <w:t>78</w:t>
            </w:r>
            <w:r>
              <w:rPr>
                <w:noProof/>
                <w:webHidden/>
              </w:rPr>
              <w:fldChar w:fldCharType="end"/>
            </w:r>
          </w:hyperlink>
        </w:p>
        <w:p w14:paraId="2596811A" w14:textId="7681815D"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4" w:history="1">
            <w:r w:rsidRPr="00C8573D">
              <w:rPr>
                <w:rStyle w:val="Hyperlink"/>
                <w:noProof/>
              </w:rPr>
              <w:t>11.2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copper</w:t>
            </w:r>
            <w:r>
              <w:rPr>
                <w:noProof/>
                <w:webHidden/>
              </w:rPr>
              <w:tab/>
            </w:r>
            <w:r>
              <w:rPr>
                <w:noProof/>
                <w:webHidden/>
              </w:rPr>
              <w:fldChar w:fldCharType="begin"/>
            </w:r>
            <w:r>
              <w:rPr>
                <w:noProof/>
                <w:webHidden/>
              </w:rPr>
              <w:instrText xml:space="preserve"> PAGEREF _Toc219216894 \h </w:instrText>
            </w:r>
            <w:r>
              <w:rPr>
                <w:noProof/>
                <w:webHidden/>
              </w:rPr>
            </w:r>
            <w:r>
              <w:rPr>
                <w:noProof/>
                <w:webHidden/>
              </w:rPr>
              <w:fldChar w:fldCharType="separate"/>
            </w:r>
            <w:r w:rsidR="00A002F4">
              <w:rPr>
                <w:noProof/>
                <w:webHidden/>
              </w:rPr>
              <w:t>81</w:t>
            </w:r>
            <w:r>
              <w:rPr>
                <w:noProof/>
                <w:webHidden/>
              </w:rPr>
              <w:fldChar w:fldCharType="end"/>
            </w:r>
          </w:hyperlink>
        </w:p>
        <w:p w14:paraId="19E398FD" w14:textId="56E00001"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5" w:history="1">
            <w:r w:rsidRPr="00C8573D">
              <w:rPr>
                <w:rStyle w:val="Hyperlink"/>
                <w:noProof/>
              </w:rPr>
              <w:t>11.3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copper</w:t>
            </w:r>
            <w:r>
              <w:rPr>
                <w:noProof/>
                <w:webHidden/>
              </w:rPr>
              <w:tab/>
            </w:r>
            <w:r>
              <w:rPr>
                <w:noProof/>
                <w:webHidden/>
              </w:rPr>
              <w:fldChar w:fldCharType="begin"/>
            </w:r>
            <w:r>
              <w:rPr>
                <w:noProof/>
                <w:webHidden/>
              </w:rPr>
              <w:instrText xml:space="preserve"> PAGEREF _Toc219216895 \h </w:instrText>
            </w:r>
            <w:r>
              <w:rPr>
                <w:noProof/>
                <w:webHidden/>
              </w:rPr>
            </w:r>
            <w:r>
              <w:rPr>
                <w:noProof/>
                <w:webHidden/>
              </w:rPr>
              <w:fldChar w:fldCharType="separate"/>
            </w:r>
            <w:r w:rsidR="00A002F4">
              <w:rPr>
                <w:noProof/>
                <w:webHidden/>
              </w:rPr>
              <w:t>83</w:t>
            </w:r>
            <w:r>
              <w:rPr>
                <w:noProof/>
                <w:webHidden/>
              </w:rPr>
              <w:fldChar w:fldCharType="end"/>
            </w:r>
          </w:hyperlink>
        </w:p>
        <w:p w14:paraId="4B70F3E2" w14:textId="769E8F2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6" w:history="1">
            <w:r w:rsidRPr="00C8573D">
              <w:rPr>
                <w:rStyle w:val="Hyperlink"/>
                <w:noProof/>
              </w:rPr>
              <w:t>11.4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copper</w:t>
            </w:r>
            <w:r>
              <w:rPr>
                <w:noProof/>
                <w:webHidden/>
              </w:rPr>
              <w:tab/>
            </w:r>
            <w:r>
              <w:rPr>
                <w:noProof/>
                <w:webHidden/>
              </w:rPr>
              <w:fldChar w:fldCharType="begin"/>
            </w:r>
            <w:r>
              <w:rPr>
                <w:noProof/>
                <w:webHidden/>
              </w:rPr>
              <w:instrText xml:space="preserve"> PAGEREF _Toc219216896 \h </w:instrText>
            </w:r>
            <w:r>
              <w:rPr>
                <w:noProof/>
                <w:webHidden/>
              </w:rPr>
            </w:r>
            <w:r>
              <w:rPr>
                <w:noProof/>
                <w:webHidden/>
              </w:rPr>
              <w:fldChar w:fldCharType="separate"/>
            </w:r>
            <w:r w:rsidR="00A002F4">
              <w:rPr>
                <w:noProof/>
                <w:webHidden/>
              </w:rPr>
              <w:t>87</w:t>
            </w:r>
            <w:r>
              <w:rPr>
                <w:noProof/>
                <w:webHidden/>
              </w:rPr>
              <w:fldChar w:fldCharType="end"/>
            </w:r>
          </w:hyperlink>
        </w:p>
        <w:p w14:paraId="4748F400" w14:textId="32F4D3CA"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897" w:history="1">
            <w:r w:rsidRPr="00C8573D">
              <w:rPr>
                <w:rStyle w:val="Hyperlink"/>
              </w:rPr>
              <w:t>12.</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formaldehyde</w:t>
            </w:r>
            <w:r>
              <w:rPr>
                <w:webHidden/>
              </w:rPr>
              <w:tab/>
            </w:r>
            <w:r>
              <w:rPr>
                <w:webHidden/>
              </w:rPr>
              <w:fldChar w:fldCharType="begin"/>
            </w:r>
            <w:r>
              <w:rPr>
                <w:webHidden/>
              </w:rPr>
              <w:instrText xml:space="preserve"> PAGEREF _Toc219216897 \h </w:instrText>
            </w:r>
            <w:r>
              <w:rPr>
                <w:webHidden/>
              </w:rPr>
            </w:r>
            <w:r>
              <w:rPr>
                <w:webHidden/>
              </w:rPr>
              <w:fldChar w:fldCharType="separate"/>
            </w:r>
            <w:r w:rsidR="00A002F4">
              <w:rPr>
                <w:webHidden/>
              </w:rPr>
              <w:t>89</w:t>
            </w:r>
            <w:r>
              <w:rPr>
                <w:webHidden/>
              </w:rPr>
              <w:fldChar w:fldCharType="end"/>
            </w:r>
          </w:hyperlink>
        </w:p>
        <w:p w14:paraId="54C5881A" w14:textId="0BF9114F"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8" w:history="1">
            <w:r w:rsidRPr="00C8573D">
              <w:rPr>
                <w:rStyle w:val="Hyperlink"/>
                <w:noProof/>
              </w:rPr>
              <w:t>12.1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formaldehyde</w:t>
            </w:r>
            <w:r>
              <w:rPr>
                <w:noProof/>
                <w:webHidden/>
              </w:rPr>
              <w:tab/>
            </w:r>
            <w:r>
              <w:rPr>
                <w:noProof/>
                <w:webHidden/>
              </w:rPr>
              <w:fldChar w:fldCharType="begin"/>
            </w:r>
            <w:r>
              <w:rPr>
                <w:noProof/>
                <w:webHidden/>
              </w:rPr>
              <w:instrText xml:space="preserve"> PAGEREF _Toc219216898 \h </w:instrText>
            </w:r>
            <w:r>
              <w:rPr>
                <w:noProof/>
                <w:webHidden/>
              </w:rPr>
            </w:r>
            <w:r>
              <w:rPr>
                <w:noProof/>
                <w:webHidden/>
              </w:rPr>
              <w:fldChar w:fldCharType="separate"/>
            </w:r>
            <w:r w:rsidR="00A002F4">
              <w:rPr>
                <w:noProof/>
                <w:webHidden/>
              </w:rPr>
              <w:t>89</w:t>
            </w:r>
            <w:r>
              <w:rPr>
                <w:noProof/>
                <w:webHidden/>
              </w:rPr>
              <w:fldChar w:fldCharType="end"/>
            </w:r>
          </w:hyperlink>
        </w:p>
        <w:p w14:paraId="3903410F" w14:textId="1072358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899" w:history="1">
            <w:r w:rsidRPr="00C8573D">
              <w:rPr>
                <w:rStyle w:val="Hyperlink"/>
                <w:noProof/>
              </w:rPr>
              <w:t>12.2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formaldehyde</w:t>
            </w:r>
            <w:r>
              <w:rPr>
                <w:noProof/>
                <w:webHidden/>
              </w:rPr>
              <w:tab/>
            </w:r>
            <w:r>
              <w:rPr>
                <w:noProof/>
                <w:webHidden/>
              </w:rPr>
              <w:fldChar w:fldCharType="begin"/>
            </w:r>
            <w:r>
              <w:rPr>
                <w:noProof/>
                <w:webHidden/>
              </w:rPr>
              <w:instrText xml:space="preserve"> PAGEREF _Toc219216899 \h </w:instrText>
            </w:r>
            <w:r>
              <w:rPr>
                <w:noProof/>
                <w:webHidden/>
              </w:rPr>
            </w:r>
            <w:r>
              <w:rPr>
                <w:noProof/>
                <w:webHidden/>
              </w:rPr>
              <w:fldChar w:fldCharType="separate"/>
            </w:r>
            <w:r w:rsidR="00A002F4">
              <w:rPr>
                <w:noProof/>
                <w:webHidden/>
              </w:rPr>
              <w:t>94</w:t>
            </w:r>
            <w:r>
              <w:rPr>
                <w:noProof/>
                <w:webHidden/>
              </w:rPr>
              <w:fldChar w:fldCharType="end"/>
            </w:r>
          </w:hyperlink>
        </w:p>
        <w:p w14:paraId="4CE3C0B4" w14:textId="485BF92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0" w:history="1">
            <w:r w:rsidRPr="00C8573D">
              <w:rPr>
                <w:rStyle w:val="Hyperlink"/>
                <w:noProof/>
              </w:rPr>
              <w:t>12.3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formaldehyde</w:t>
            </w:r>
            <w:r>
              <w:rPr>
                <w:noProof/>
                <w:webHidden/>
              </w:rPr>
              <w:tab/>
            </w:r>
            <w:r>
              <w:rPr>
                <w:noProof/>
                <w:webHidden/>
              </w:rPr>
              <w:fldChar w:fldCharType="begin"/>
            </w:r>
            <w:r>
              <w:rPr>
                <w:noProof/>
                <w:webHidden/>
              </w:rPr>
              <w:instrText xml:space="preserve"> PAGEREF _Toc219216900 \h </w:instrText>
            </w:r>
            <w:r>
              <w:rPr>
                <w:noProof/>
                <w:webHidden/>
              </w:rPr>
            </w:r>
            <w:r>
              <w:rPr>
                <w:noProof/>
                <w:webHidden/>
              </w:rPr>
              <w:fldChar w:fldCharType="separate"/>
            </w:r>
            <w:r w:rsidR="00A002F4">
              <w:rPr>
                <w:noProof/>
                <w:webHidden/>
              </w:rPr>
              <w:t>96</w:t>
            </w:r>
            <w:r>
              <w:rPr>
                <w:noProof/>
                <w:webHidden/>
              </w:rPr>
              <w:fldChar w:fldCharType="end"/>
            </w:r>
          </w:hyperlink>
        </w:p>
        <w:p w14:paraId="58649494" w14:textId="2094F82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1" w:history="1">
            <w:r w:rsidRPr="00C8573D">
              <w:rPr>
                <w:rStyle w:val="Hyperlink"/>
                <w:noProof/>
              </w:rPr>
              <w:t>12.4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formaldehyde</w:t>
            </w:r>
            <w:r>
              <w:rPr>
                <w:noProof/>
                <w:webHidden/>
              </w:rPr>
              <w:tab/>
            </w:r>
            <w:r>
              <w:rPr>
                <w:noProof/>
                <w:webHidden/>
              </w:rPr>
              <w:fldChar w:fldCharType="begin"/>
            </w:r>
            <w:r>
              <w:rPr>
                <w:noProof/>
                <w:webHidden/>
              </w:rPr>
              <w:instrText xml:space="preserve"> PAGEREF _Toc219216901 \h </w:instrText>
            </w:r>
            <w:r>
              <w:rPr>
                <w:noProof/>
                <w:webHidden/>
              </w:rPr>
            </w:r>
            <w:r>
              <w:rPr>
                <w:noProof/>
                <w:webHidden/>
              </w:rPr>
              <w:fldChar w:fldCharType="separate"/>
            </w:r>
            <w:r w:rsidR="00A002F4">
              <w:rPr>
                <w:noProof/>
                <w:webHidden/>
              </w:rPr>
              <w:t>101</w:t>
            </w:r>
            <w:r>
              <w:rPr>
                <w:noProof/>
                <w:webHidden/>
              </w:rPr>
              <w:fldChar w:fldCharType="end"/>
            </w:r>
          </w:hyperlink>
        </w:p>
        <w:p w14:paraId="25A4CDC8" w14:textId="343D3855"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02" w:history="1">
            <w:r w:rsidRPr="00C8573D">
              <w:rPr>
                <w:rStyle w:val="Hyperlink"/>
              </w:rPr>
              <w:t>13.</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hydrogen cyanide</w:t>
            </w:r>
            <w:r>
              <w:rPr>
                <w:webHidden/>
              </w:rPr>
              <w:tab/>
            </w:r>
            <w:r>
              <w:rPr>
                <w:webHidden/>
              </w:rPr>
              <w:fldChar w:fldCharType="begin"/>
            </w:r>
            <w:r>
              <w:rPr>
                <w:webHidden/>
              </w:rPr>
              <w:instrText xml:space="preserve"> PAGEREF _Toc219216902 \h </w:instrText>
            </w:r>
            <w:r>
              <w:rPr>
                <w:webHidden/>
              </w:rPr>
            </w:r>
            <w:r>
              <w:rPr>
                <w:webHidden/>
              </w:rPr>
              <w:fldChar w:fldCharType="separate"/>
            </w:r>
            <w:r w:rsidR="00A002F4">
              <w:rPr>
                <w:webHidden/>
              </w:rPr>
              <w:t>103</w:t>
            </w:r>
            <w:r>
              <w:rPr>
                <w:webHidden/>
              </w:rPr>
              <w:fldChar w:fldCharType="end"/>
            </w:r>
          </w:hyperlink>
        </w:p>
        <w:p w14:paraId="3E77273B" w14:textId="3EA51491"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3" w:history="1">
            <w:r w:rsidRPr="00C8573D">
              <w:rPr>
                <w:rStyle w:val="Hyperlink"/>
                <w:noProof/>
              </w:rPr>
              <w:t>13.1</w:t>
            </w:r>
            <w:r>
              <w:rPr>
                <w:rFonts w:asciiTheme="minorHAnsi" w:eastAsiaTheme="minorEastAsia" w:hAnsiTheme="minorHAnsi"/>
                <w:noProof/>
                <w:kern w:val="2"/>
                <w:sz w:val="24"/>
                <w:lang w:eastAsia="en-AU"/>
                <w14:ligatures w14:val="standardContextual"/>
              </w:rPr>
              <w:tab/>
            </w:r>
            <w:r w:rsidRPr="00C8573D">
              <w:rPr>
                <w:rStyle w:val="Hyperlink"/>
                <w:noProof/>
              </w:rPr>
              <w:t>Benefits for the proposed WEL for hydrogen cyanide</w:t>
            </w:r>
            <w:r>
              <w:rPr>
                <w:noProof/>
                <w:webHidden/>
              </w:rPr>
              <w:tab/>
            </w:r>
            <w:r>
              <w:rPr>
                <w:noProof/>
                <w:webHidden/>
              </w:rPr>
              <w:fldChar w:fldCharType="begin"/>
            </w:r>
            <w:r>
              <w:rPr>
                <w:noProof/>
                <w:webHidden/>
              </w:rPr>
              <w:instrText xml:space="preserve"> PAGEREF _Toc219216903 \h </w:instrText>
            </w:r>
            <w:r>
              <w:rPr>
                <w:noProof/>
                <w:webHidden/>
              </w:rPr>
            </w:r>
            <w:r>
              <w:rPr>
                <w:noProof/>
                <w:webHidden/>
              </w:rPr>
              <w:fldChar w:fldCharType="separate"/>
            </w:r>
            <w:r w:rsidR="00A002F4">
              <w:rPr>
                <w:noProof/>
                <w:webHidden/>
              </w:rPr>
              <w:t>103</w:t>
            </w:r>
            <w:r>
              <w:rPr>
                <w:noProof/>
                <w:webHidden/>
              </w:rPr>
              <w:fldChar w:fldCharType="end"/>
            </w:r>
          </w:hyperlink>
        </w:p>
        <w:p w14:paraId="7C28D766" w14:textId="144E0E86"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4" w:history="1">
            <w:r w:rsidRPr="00C8573D">
              <w:rPr>
                <w:rStyle w:val="Hyperlink"/>
                <w:noProof/>
              </w:rPr>
              <w:t>13.2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hydrogen cyanide</w:t>
            </w:r>
            <w:r>
              <w:rPr>
                <w:noProof/>
                <w:webHidden/>
              </w:rPr>
              <w:tab/>
            </w:r>
            <w:r>
              <w:rPr>
                <w:noProof/>
                <w:webHidden/>
              </w:rPr>
              <w:fldChar w:fldCharType="begin"/>
            </w:r>
            <w:r>
              <w:rPr>
                <w:noProof/>
                <w:webHidden/>
              </w:rPr>
              <w:instrText xml:space="preserve"> PAGEREF _Toc219216904 \h </w:instrText>
            </w:r>
            <w:r>
              <w:rPr>
                <w:noProof/>
                <w:webHidden/>
              </w:rPr>
            </w:r>
            <w:r>
              <w:rPr>
                <w:noProof/>
                <w:webHidden/>
              </w:rPr>
              <w:fldChar w:fldCharType="separate"/>
            </w:r>
            <w:r w:rsidR="00A002F4">
              <w:rPr>
                <w:noProof/>
                <w:webHidden/>
              </w:rPr>
              <w:t>107</w:t>
            </w:r>
            <w:r>
              <w:rPr>
                <w:noProof/>
                <w:webHidden/>
              </w:rPr>
              <w:fldChar w:fldCharType="end"/>
            </w:r>
          </w:hyperlink>
        </w:p>
        <w:p w14:paraId="45DC6382" w14:textId="59A61B0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5" w:history="1">
            <w:r w:rsidRPr="00C8573D">
              <w:rPr>
                <w:rStyle w:val="Hyperlink"/>
                <w:noProof/>
              </w:rPr>
              <w:t>13.3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hydrogen cyanide</w:t>
            </w:r>
            <w:r>
              <w:rPr>
                <w:noProof/>
                <w:webHidden/>
              </w:rPr>
              <w:tab/>
            </w:r>
            <w:r>
              <w:rPr>
                <w:noProof/>
                <w:webHidden/>
              </w:rPr>
              <w:fldChar w:fldCharType="begin"/>
            </w:r>
            <w:r>
              <w:rPr>
                <w:noProof/>
                <w:webHidden/>
              </w:rPr>
              <w:instrText xml:space="preserve"> PAGEREF _Toc219216905 \h </w:instrText>
            </w:r>
            <w:r>
              <w:rPr>
                <w:noProof/>
                <w:webHidden/>
              </w:rPr>
            </w:r>
            <w:r>
              <w:rPr>
                <w:noProof/>
                <w:webHidden/>
              </w:rPr>
              <w:fldChar w:fldCharType="separate"/>
            </w:r>
            <w:r w:rsidR="00A002F4">
              <w:rPr>
                <w:noProof/>
                <w:webHidden/>
              </w:rPr>
              <w:t>108</w:t>
            </w:r>
            <w:r>
              <w:rPr>
                <w:noProof/>
                <w:webHidden/>
              </w:rPr>
              <w:fldChar w:fldCharType="end"/>
            </w:r>
          </w:hyperlink>
        </w:p>
        <w:p w14:paraId="32E24B05" w14:textId="431D9CF6"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6" w:history="1">
            <w:r w:rsidRPr="00C8573D">
              <w:rPr>
                <w:rStyle w:val="Hyperlink"/>
                <w:noProof/>
              </w:rPr>
              <w:t>13.4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hydrogen cyanide</w:t>
            </w:r>
            <w:r>
              <w:rPr>
                <w:noProof/>
                <w:webHidden/>
              </w:rPr>
              <w:tab/>
            </w:r>
            <w:r>
              <w:rPr>
                <w:noProof/>
                <w:webHidden/>
              </w:rPr>
              <w:fldChar w:fldCharType="begin"/>
            </w:r>
            <w:r>
              <w:rPr>
                <w:noProof/>
                <w:webHidden/>
              </w:rPr>
              <w:instrText xml:space="preserve"> PAGEREF _Toc219216906 \h </w:instrText>
            </w:r>
            <w:r>
              <w:rPr>
                <w:noProof/>
                <w:webHidden/>
              </w:rPr>
            </w:r>
            <w:r>
              <w:rPr>
                <w:noProof/>
                <w:webHidden/>
              </w:rPr>
              <w:fldChar w:fldCharType="separate"/>
            </w:r>
            <w:r w:rsidR="00A002F4">
              <w:rPr>
                <w:noProof/>
                <w:webHidden/>
              </w:rPr>
              <w:t>111</w:t>
            </w:r>
            <w:r>
              <w:rPr>
                <w:noProof/>
                <w:webHidden/>
              </w:rPr>
              <w:fldChar w:fldCharType="end"/>
            </w:r>
          </w:hyperlink>
        </w:p>
        <w:p w14:paraId="2E64BBA9" w14:textId="51C4E263"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07" w:history="1">
            <w:r w:rsidRPr="00C8573D">
              <w:rPr>
                <w:rStyle w:val="Hyperlink"/>
              </w:rPr>
              <w:t>14.</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hydrogen sulfide</w:t>
            </w:r>
            <w:r>
              <w:rPr>
                <w:webHidden/>
              </w:rPr>
              <w:tab/>
            </w:r>
            <w:r>
              <w:rPr>
                <w:webHidden/>
              </w:rPr>
              <w:fldChar w:fldCharType="begin"/>
            </w:r>
            <w:r>
              <w:rPr>
                <w:webHidden/>
              </w:rPr>
              <w:instrText xml:space="preserve"> PAGEREF _Toc219216907 \h </w:instrText>
            </w:r>
            <w:r>
              <w:rPr>
                <w:webHidden/>
              </w:rPr>
            </w:r>
            <w:r>
              <w:rPr>
                <w:webHidden/>
              </w:rPr>
              <w:fldChar w:fldCharType="separate"/>
            </w:r>
            <w:r w:rsidR="00A002F4">
              <w:rPr>
                <w:webHidden/>
              </w:rPr>
              <w:t>113</w:t>
            </w:r>
            <w:r>
              <w:rPr>
                <w:webHidden/>
              </w:rPr>
              <w:fldChar w:fldCharType="end"/>
            </w:r>
          </w:hyperlink>
        </w:p>
        <w:p w14:paraId="698008C0" w14:textId="3F27988A"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8" w:history="1">
            <w:r w:rsidRPr="00C8573D">
              <w:rPr>
                <w:rStyle w:val="Hyperlink"/>
                <w:noProof/>
              </w:rPr>
              <w:t>14.1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hydrogen sulfide</w:t>
            </w:r>
            <w:r>
              <w:rPr>
                <w:noProof/>
                <w:webHidden/>
              </w:rPr>
              <w:tab/>
            </w:r>
            <w:r>
              <w:rPr>
                <w:noProof/>
                <w:webHidden/>
              </w:rPr>
              <w:fldChar w:fldCharType="begin"/>
            </w:r>
            <w:r>
              <w:rPr>
                <w:noProof/>
                <w:webHidden/>
              </w:rPr>
              <w:instrText xml:space="preserve"> PAGEREF _Toc219216908 \h </w:instrText>
            </w:r>
            <w:r>
              <w:rPr>
                <w:noProof/>
                <w:webHidden/>
              </w:rPr>
            </w:r>
            <w:r>
              <w:rPr>
                <w:noProof/>
                <w:webHidden/>
              </w:rPr>
              <w:fldChar w:fldCharType="separate"/>
            </w:r>
            <w:r w:rsidR="00A002F4">
              <w:rPr>
                <w:noProof/>
                <w:webHidden/>
              </w:rPr>
              <w:t>113</w:t>
            </w:r>
            <w:r>
              <w:rPr>
                <w:noProof/>
                <w:webHidden/>
              </w:rPr>
              <w:fldChar w:fldCharType="end"/>
            </w:r>
          </w:hyperlink>
        </w:p>
        <w:p w14:paraId="6FDC9D17" w14:textId="294B4A0C"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09" w:history="1">
            <w:r w:rsidRPr="00C8573D">
              <w:rPr>
                <w:rStyle w:val="Hyperlink"/>
                <w:noProof/>
              </w:rPr>
              <w:t>14.2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hydrogen sulfide</w:t>
            </w:r>
            <w:r>
              <w:rPr>
                <w:noProof/>
                <w:webHidden/>
              </w:rPr>
              <w:tab/>
            </w:r>
            <w:r>
              <w:rPr>
                <w:noProof/>
                <w:webHidden/>
              </w:rPr>
              <w:fldChar w:fldCharType="begin"/>
            </w:r>
            <w:r>
              <w:rPr>
                <w:noProof/>
                <w:webHidden/>
              </w:rPr>
              <w:instrText xml:space="preserve"> PAGEREF _Toc219216909 \h </w:instrText>
            </w:r>
            <w:r>
              <w:rPr>
                <w:noProof/>
                <w:webHidden/>
              </w:rPr>
            </w:r>
            <w:r>
              <w:rPr>
                <w:noProof/>
                <w:webHidden/>
              </w:rPr>
              <w:fldChar w:fldCharType="separate"/>
            </w:r>
            <w:r w:rsidR="00A002F4">
              <w:rPr>
                <w:noProof/>
                <w:webHidden/>
              </w:rPr>
              <w:t>116</w:t>
            </w:r>
            <w:r>
              <w:rPr>
                <w:noProof/>
                <w:webHidden/>
              </w:rPr>
              <w:fldChar w:fldCharType="end"/>
            </w:r>
          </w:hyperlink>
        </w:p>
        <w:p w14:paraId="7D837868" w14:textId="4E719BC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0" w:history="1">
            <w:r w:rsidRPr="00C8573D">
              <w:rPr>
                <w:rStyle w:val="Hyperlink"/>
                <w:noProof/>
              </w:rPr>
              <w:t>14.3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proposed WEL for hydrogen sulfide</w:t>
            </w:r>
            <w:r>
              <w:rPr>
                <w:noProof/>
                <w:webHidden/>
              </w:rPr>
              <w:tab/>
            </w:r>
            <w:r>
              <w:rPr>
                <w:noProof/>
                <w:webHidden/>
              </w:rPr>
              <w:fldChar w:fldCharType="begin"/>
            </w:r>
            <w:r>
              <w:rPr>
                <w:noProof/>
                <w:webHidden/>
              </w:rPr>
              <w:instrText xml:space="preserve"> PAGEREF _Toc219216910 \h </w:instrText>
            </w:r>
            <w:r>
              <w:rPr>
                <w:noProof/>
                <w:webHidden/>
              </w:rPr>
            </w:r>
            <w:r>
              <w:rPr>
                <w:noProof/>
                <w:webHidden/>
              </w:rPr>
              <w:fldChar w:fldCharType="separate"/>
            </w:r>
            <w:r w:rsidR="00A002F4">
              <w:rPr>
                <w:noProof/>
                <w:webHidden/>
              </w:rPr>
              <w:t>118</w:t>
            </w:r>
            <w:r>
              <w:rPr>
                <w:noProof/>
                <w:webHidden/>
              </w:rPr>
              <w:fldChar w:fldCharType="end"/>
            </w:r>
          </w:hyperlink>
        </w:p>
        <w:p w14:paraId="37AF3421" w14:textId="4EAF9C1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1" w:history="1">
            <w:r w:rsidRPr="00C8573D">
              <w:rPr>
                <w:rStyle w:val="Hyperlink"/>
                <w:noProof/>
              </w:rPr>
              <w:t>14.4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hydrogen sulfide</w:t>
            </w:r>
            <w:r>
              <w:rPr>
                <w:noProof/>
                <w:webHidden/>
              </w:rPr>
              <w:tab/>
            </w:r>
            <w:r>
              <w:rPr>
                <w:noProof/>
                <w:webHidden/>
              </w:rPr>
              <w:fldChar w:fldCharType="begin"/>
            </w:r>
            <w:r>
              <w:rPr>
                <w:noProof/>
                <w:webHidden/>
              </w:rPr>
              <w:instrText xml:space="preserve"> PAGEREF _Toc219216911 \h </w:instrText>
            </w:r>
            <w:r>
              <w:rPr>
                <w:noProof/>
                <w:webHidden/>
              </w:rPr>
            </w:r>
            <w:r>
              <w:rPr>
                <w:noProof/>
                <w:webHidden/>
              </w:rPr>
              <w:fldChar w:fldCharType="separate"/>
            </w:r>
            <w:r w:rsidR="00A002F4">
              <w:rPr>
                <w:noProof/>
                <w:webHidden/>
              </w:rPr>
              <w:t>122</w:t>
            </w:r>
            <w:r>
              <w:rPr>
                <w:noProof/>
                <w:webHidden/>
              </w:rPr>
              <w:fldChar w:fldCharType="end"/>
            </w:r>
          </w:hyperlink>
        </w:p>
        <w:p w14:paraId="576FA3B0" w14:textId="1DF918C2"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12" w:history="1">
            <w:r w:rsidRPr="00C8573D">
              <w:rPr>
                <w:rStyle w:val="Hyperlink"/>
              </w:rPr>
              <w:t>15.</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nitrogen dioxide</w:t>
            </w:r>
            <w:r>
              <w:rPr>
                <w:webHidden/>
              </w:rPr>
              <w:tab/>
            </w:r>
            <w:r>
              <w:rPr>
                <w:webHidden/>
              </w:rPr>
              <w:fldChar w:fldCharType="begin"/>
            </w:r>
            <w:r>
              <w:rPr>
                <w:webHidden/>
              </w:rPr>
              <w:instrText xml:space="preserve"> PAGEREF _Toc219216912 \h </w:instrText>
            </w:r>
            <w:r>
              <w:rPr>
                <w:webHidden/>
              </w:rPr>
            </w:r>
            <w:r>
              <w:rPr>
                <w:webHidden/>
              </w:rPr>
              <w:fldChar w:fldCharType="separate"/>
            </w:r>
            <w:r w:rsidR="00A002F4">
              <w:rPr>
                <w:webHidden/>
              </w:rPr>
              <w:t>124</w:t>
            </w:r>
            <w:r>
              <w:rPr>
                <w:webHidden/>
              </w:rPr>
              <w:fldChar w:fldCharType="end"/>
            </w:r>
          </w:hyperlink>
        </w:p>
        <w:p w14:paraId="70E77EA3" w14:textId="03918F3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3" w:history="1">
            <w:r w:rsidRPr="00C8573D">
              <w:rPr>
                <w:rStyle w:val="Hyperlink"/>
                <w:noProof/>
              </w:rPr>
              <w:t>15.1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nitrogen dioxide</w:t>
            </w:r>
            <w:r>
              <w:rPr>
                <w:noProof/>
                <w:webHidden/>
              </w:rPr>
              <w:tab/>
            </w:r>
            <w:r>
              <w:rPr>
                <w:noProof/>
                <w:webHidden/>
              </w:rPr>
              <w:fldChar w:fldCharType="begin"/>
            </w:r>
            <w:r>
              <w:rPr>
                <w:noProof/>
                <w:webHidden/>
              </w:rPr>
              <w:instrText xml:space="preserve"> PAGEREF _Toc219216913 \h </w:instrText>
            </w:r>
            <w:r>
              <w:rPr>
                <w:noProof/>
                <w:webHidden/>
              </w:rPr>
            </w:r>
            <w:r>
              <w:rPr>
                <w:noProof/>
                <w:webHidden/>
              </w:rPr>
              <w:fldChar w:fldCharType="separate"/>
            </w:r>
            <w:r w:rsidR="00A002F4">
              <w:rPr>
                <w:noProof/>
                <w:webHidden/>
              </w:rPr>
              <w:t>124</w:t>
            </w:r>
            <w:r>
              <w:rPr>
                <w:noProof/>
                <w:webHidden/>
              </w:rPr>
              <w:fldChar w:fldCharType="end"/>
            </w:r>
          </w:hyperlink>
        </w:p>
        <w:p w14:paraId="7BF21C09" w14:textId="66D3EB48"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4" w:history="1">
            <w:r w:rsidRPr="00C8573D">
              <w:rPr>
                <w:rStyle w:val="Hyperlink"/>
                <w:noProof/>
              </w:rPr>
              <w:t>15.2</w:t>
            </w:r>
            <w:r>
              <w:rPr>
                <w:rFonts w:asciiTheme="minorHAnsi" w:eastAsiaTheme="minorEastAsia" w:hAnsiTheme="minorHAnsi"/>
                <w:noProof/>
                <w:kern w:val="2"/>
                <w:sz w:val="24"/>
                <w:lang w:eastAsia="en-AU"/>
                <w14:ligatures w14:val="standardContextual"/>
              </w:rPr>
              <w:tab/>
            </w:r>
            <w:r w:rsidRPr="00C8573D">
              <w:rPr>
                <w:rStyle w:val="Hyperlink"/>
                <w:noProof/>
              </w:rPr>
              <w:t>Costs of proposed WEL for nitrogen dioxide</w:t>
            </w:r>
            <w:r>
              <w:rPr>
                <w:noProof/>
                <w:webHidden/>
              </w:rPr>
              <w:tab/>
            </w:r>
            <w:r>
              <w:rPr>
                <w:noProof/>
                <w:webHidden/>
              </w:rPr>
              <w:fldChar w:fldCharType="begin"/>
            </w:r>
            <w:r>
              <w:rPr>
                <w:noProof/>
                <w:webHidden/>
              </w:rPr>
              <w:instrText xml:space="preserve"> PAGEREF _Toc219216914 \h </w:instrText>
            </w:r>
            <w:r>
              <w:rPr>
                <w:noProof/>
                <w:webHidden/>
              </w:rPr>
            </w:r>
            <w:r>
              <w:rPr>
                <w:noProof/>
                <w:webHidden/>
              </w:rPr>
              <w:fldChar w:fldCharType="separate"/>
            </w:r>
            <w:r w:rsidR="00A002F4">
              <w:rPr>
                <w:noProof/>
                <w:webHidden/>
              </w:rPr>
              <w:t>128</w:t>
            </w:r>
            <w:r>
              <w:rPr>
                <w:noProof/>
                <w:webHidden/>
              </w:rPr>
              <w:fldChar w:fldCharType="end"/>
            </w:r>
          </w:hyperlink>
        </w:p>
        <w:p w14:paraId="122A89F8" w14:textId="7D16FFB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5" w:history="1">
            <w:r w:rsidRPr="00C8573D">
              <w:rPr>
                <w:rStyle w:val="Hyperlink"/>
                <w:noProof/>
              </w:rPr>
              <w:t>15.3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proposed WEL for nitrogen dioxide</w:t>
            </w:r>
            <w:r>
              <w:rPr>
                <w:noProof/>
                <w:webHidden/>
              </w:rPr>
              <w:tab/>
            </w:r>
            <w:r>
              <w:rPr>
                <w:noProof/>
                <w:webHidden/>
              </w:rPr>
              <w:fldChar w:fldCharType="begin"/>
            </w:r>
            <w:r>
              <w:rPr>
                <w:noProof/>
                <w:webHidden/>
              </w:rPr>
              <w:instrText xml:space="preserve"> PAGEREF _Toc219216915 \h </w:instrText>
            </w:r>
            <w:r>
              <w:rPr>
                <w:noProof/>
                <w:webHidden/>
              </w:rPr>
            </w:r>
            <w:r>
              <w:rPr>
                <w:noProof/>
                <w:webHidden/>
              </w:rPr>
              <w:fldChar w:fldCharType="separate"/>
            </w:r>
            <w:r w:rsidR="00A002F4">
              <w:rPr>
                <w:noProof/>
                <w:webHidden/>
              </w:rPr>
              <w:t>130</w:t>
            </w:r>
            <w:r>
              <w:rPr>
                <w:noProof/>
                <w:webHidden/>
              </w:rPr>
              <w:fldChar w:fldCharType="end"/>
            </w:r>
          </w:hyperlink>
        </w:p>
        <w:p w14:paraId="04FBBCF3" w14:textId="56F9671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6" w:history="1">
            <w:r w:rsidRPr="00C8573D">
              <w:rPr>
                <w:rStyle w:val="Hyperlink"/>
                <w:noProof/>
              </w:rPr>
              <w:t>15.4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nitrogen dioxide</w:t>
            </w:r>
            <w:r>
              <w:rPr>
                <w:noProof/>
                <w:webHidden/>
              </w:rPr>
              <w:tab/>
            </w:r>
            <w:r>
              <w:rPr>
                <w:noProof/>
                <w:webHidden/>
              </w:rPr>
              <w:fldChar w:fldCharType="begin"/>
            </w:r>
            <w:r>
              <w:rPr>
                <w:noProof/>
                <w:webHidden/>
              </w:rPr>
              <w:instrText xml:space="preserve"> PAGEREF _Toc219216916 \h </w:instrText>
            </w:r>
            <w:r>
              <w:rPr>
                <w:noProof/>
                <w:webHidden/>
              </w:rPr>
            </w:r>
            <w:r>
              <w:rPr>
                <w:noProof/>
                <w:webHidden/>
              </w:rPr>
              <w:fldChar w:fldCharType="separate"/>
            </w:r>
            <w:r w:rsidR="00A002F4">
              <w:rPr>
                <w:noProof/>
                <w:webHidden/>
              </w:rPr>
              <w:t>134</w:t>
            </w:r>
            <w:r>
              <w:rPr>
                <w:noProof/>
                <w:webHidden/>
              </w:rPr>
              <w:fldChar w:fldCharType="end"/>
            </w:r>
          </w:hyperlink>
        </w:p>
        <w:p w14:paraId="488C5F30" w14:textId="39319ECD"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17" w:history="1">
            <w:r w:rsidRPr="00C8573D">
              <w:rPr>
                <w:rStyle w:val="Hyperlink"/>
              </w:rPr>
              <w:t>16.</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respirable crystalline silica</w:t>
            </w:r>
            <w:r>
              <w:rPr>
                <w:webHidden/>
              </w:rPr>
              <w:tab/>
            </w:r>
            <w:r>
              <w:rPr>
                <w:webHidden/>
              </w:rPr>
              <w:fldChar w:fldCharType="begin"/>
            </w:r>
            <w:r>
              <w:rPr>
                <w:webHidden/>
              </w:rPr>
              <w:instrText xml:space="preserve"> PAGEREF _Toc219216917 \h </w:instrText>
            </w:r>
            <w:r>
              <w:rPr>
                <w:webHidden/>
              </w:rPr>
            </w:r>
            <w:r>
              <w:rPr>
                <w:webHidden/>
              </w:rPr>
              <w:fldChar w:fldCharType="separate"/>
            </w:r>
            <w:r w:rsidR="00A002F4">
              <w:rPr>
                <w:webHidden/>
              </w:rPr>
              <w:t>136</w:t>
            </w:r>
            <w:r>
              <w:rPr>
                <w:webHidden/>
              </w:rPr>
              <w:fldChar w:fldCharType="end"/>
            </w:r>
          </w:hyperlink>
        </w:p>
        <w:p w14:paraId="4C2C9505" w14:textId="5BE0B5F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8" w:history="1">
            <w:r w:rsidRPr="00C8573D">
              <w:rPr>
                <w:rStyle w:val="Hyperlink"/>
                <w:noProof/>
              </w:rPr>
              <w:t>16.1</w:t>
            </w:r>
            <w:r>
              <w:rPr>
                <w:rFonts w:asciiTheme="minorHAnsi" w:eastAsiaTheme="minorEastAsia" w:hAnsiTheme="minorHAnsi"/>
                <w:noProof/>
                <w:kern w:val="2"/>
                <w:sz w:val="24"/>
                <w:lang w:eastAsia="en-AU"/>
                <w14:ligatures w14:val="standardContextual"/>
              </w:rPr>
              <w:tab/>
            </w:r>
            <w:r w:rsidRPr="00C8573D">
              <w:rPr>
                <w:rStyle w:val="Hyperlink"/>
                <w:noProof/>
              </w:rPr>
              <w:t>Benefits of the proposed WEL for respirable crystalline silica</w:t>
            </w:r>
            <w:r>
              <w:rPr>
                <w:noProof/>
                <w:webHidden/>
              </w:rPr>
              <w:tab/>
            </w:r>
            <w:r>
              <w:rPr>
                <w:noProof/>
                <w:webHidden/>
              </w:rPr>
              <w:fldChar w:fldCharType="begin"/>
            </w:r>
            <w:r>
              <w:rPr>
                <w:noProof/>
                <w:webHidden/>
              </w:rPr>
              <w:instrText xml:space="preserve"> PAGEREF _Toc219216918 \h </w:instrText>
            </w:r>
            <w:r>
              <w:rPr>
                <w:noProof/>
                <w:webHidden/>
              </w:rPr>
            </w:r>
            <w:r>
              <w:rPr>
                <w:noProof/>
                <w:webHidden/>
              </w:rPr>
              <w:fldChar w:fldCharType="separate"/>
            </w:r>
            <w:r w:rsidR="00A002F4">
              <w:rPr>
                <w:noProof/>
                <w:webHidden/>
              </w:rPr>
              <w:t>136</w:t>
            </w:r>
            <w:r>
              <w:rPr>
                <w:noProof/>
                <w:webHidden/>
              </w:rPr>
              <w:fldChar w:fldCharType="end"/>
            </w:r>
          </w:hyperlink>
        </w:p>
        <w:p w14:paraId="655DBFD3" w14:textId="232C9D3D"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19" w:history="1">
            <w:r w:rsidRPr="00C8573D">
              <w:rPr>
                <w:rStyle w:val="Hyperlink"/>
                <w:noProof/>
              </w:rPr>
              <w:t>16.2</w:t>
            </w:r>
            <w:r>
              <w:rPr>
                <w:rFonts w:asciiTheme="minorHAnsi" w:eastAsiaTheme="minorEastAsia" w:hAnsiTheme="minorHAnsi"/>
                <w:noProof/>
                <w:kern w:val="2"/>
                <w:sz w:val="24"/>
                <w:lang w:eastAsia="en-AU"/>
                <w14:ligatures w14:val="standardContextual"/>
              </w:rPr>
              <w:tab/>
            </w:r>
            <w:r w:rsidRPr="00C8573D">
              <w:rPr>
                <w:rStyle w:val="Hyperlink"/>
                <w:noProof/>
              </w:rPr>
              <w:t>Costs of the proposed WEL for respirable crystalline silica</w:t>
            </w:r>
            <w:r>
              <w:rPr>
                <w:noProof/>
                <w:webHidden/>
              </w:rPr>
              <w:tab/>
            </w:r>
            <w:r>
              <w:rPr>
                <w:noProof/>
                <w:webHidden/>
              </w:rPr>
              <w:fldChar w:fldCharType="begin"/>
            </w:r>
            <w:r>
              <w:rPr>
                <w:noProof/>
                <w:webHidden/>
              </w:rPr>
              <w:instrText xml:space="preserve"> PAGEREF _Toc219216919 \h </w:instrText>
            </w:r>
            <w:r>
              <w:rPr>
                <w:noProof/>
                <w:webHidden/>
              </w:rPr>
            </w:r>
            <w:r>
              <w:rPr>
                <w:noProof/>
                <w:webHidden/>
              </w:rPr>
              <w:fldChar w:fldCharType="separate"/>
            </w:r>
            <w:r w:rsidR="00A002F4">
              <w:rPr>
                <w:noProof/>
                <w:webHidden/>
              </w:rPr>
              <w:t>142</w:t>
            </w:r>
            <w:r>
              <w:rPr>
                <w:noProof/>
                <w:webHidden/>
              </w:rPr>
              <w:fldChar w:fldCharType="end"/>
            </w:r>
          </w:hyperlink>
        </w:p>
        <w:p w14:paraId="5894E7C7" w14:textId="639AC01B"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0" w:history="1">
            <w:r w:rsidRPr="00C8573D">
              <w:rPr>
                <w:rStyle w:val="Hyperlink"/>
                <w:noProof/>
              </w:rPr>
              <w:t>16.3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respirable crystalline silica</w:t>
            </w:r>
            <w:r>
              <w:rPr>
                <w:noProof/>
                <w:webHidden/>
              </w:rPr>
              <w:tab/>
            </w:r>
            <w:r>
              <w:rPr>
                <w:noProof/>
                <w:webHidden/>
              </w:rPr>
              <w:fldChar w:fldCharType="begin"/>
            </w:r>
            <w:r>
              <w:rPr>
                <w:noProof/>
                <w:webHidden/>
              </w:rPr>
              <w:instrText xml:space="preserve"> PAGEREF _Toc219216920 \h </w:instrText>
            </w:r>
            <w:r>
              <w:rPr>
                <w:noProof/>
                <w:webHidden/>
              </w:rPr>
            </w:r>
            <w:r>
              <w:rPr>
                <w:noProof/>
                <w:webHidden/>
              </w:rPr>
              <w:fldChar w:fldCharType="separate"/>
            </w:r>
            <w:r w:rsidR="00A002F4">
              <w:rPr>
                <w:noProof/>
                <w:webHidden/>
              </w:rPr>
              <w:t>146</w:t>
            </w:r>
            <w:r>
              <w:rPr>
                <w:noProof/>
                <w:webHidden/>
              </w:rPr>
              <w:fldChar w:fldCharType="end"/>
            </w:r>
          </w:hyperlink>
        </w:p>
        <w:p w14:paraId="638CAD3C" w14:textId="28F49282"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1" w:history="1">
            <w:r w:rsidRPr="00C8573D">
              <w:rPr>
                <w:rStyle w:val="Hyperlink"/>
                <w:noProof/>
              </w:rPr>
              <w:t>16.4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respirable crystalline silica</w:t>
            </w:r>
            <w:r>
              <w:rPr>
                <w:noProof/>
                <w:webHidden/>
              </w:rPr>
              <w:tab/>
            </w:r>
            <w:r>
              <w:rPr>
                <w:noProof/>
                <w:webHidden/>
              </w:rPr>
              <w:fldChar w:fldCharType="begin"/>
            </w:r>
            <w:r>
              <w:rPr>
                <w:noProof/>
                <w:webHidden/>
              </w:rPr>
              <w:instrText xml:space="preserve"> PAGEREF _Toc219216921 \h </w:instrText>
            </w:r>
            <w:r>
              <w:rPr>
                <w:noProof/>
                <w:webHidden/>
              </w:rPr>
            </w:r>
            <w:r>
              <w:rPr>
                <w:noProof/>
                <w:webHidden/>
              </w:rPr>
              <w:fldChar w:fldCharType="separate"/>
            </w:r>
            <w:r w:rsidR="00A002F4">
              <w:rPr>
                <w:noProof/>
                <w:webHidden/>
              </w:rPr>
              <w:t>152</w:t>
            </w:r>
            <w:r>
              <w:rPr>
                <w:noProof/>
                <w:webHidden/>
              </w:rPr>
              <w:fldChar w:fldCharType="end"/>
            </w:r>
          </w:hyperlink>
        </w:p>
        <w:p w14:paraId="26DEBEE0" w14:textId="65CD1CE9"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22" w:history="1">
            <w:r w:rsidRPr="00C8573D">
              <w:rPr>
                <w:rStyle w:val="Hyperlink"/>
              </w:rPr>
              <w:t>17.</w:t>
            </w:r>
            <w:r>
              <w:rPr>
                <w:rFonts w:asciiTheme="minorHAnsi" w:eastAsiaTheme="minorEastAsia" w:hAnsiTheme="minorHAnsi"/>
                <w:b w:val="0"/>
                <w:bCs w:val="0"/>
                <w:kern w:val="2"/>
                <w:sz w:val="24"/>
                <w:lang w:eastAsia="en-AU"/>
                <w14:ligatures w14:val="standardContextual"/>
              </w:rPr>
              <w:tab/>
            </w:r>
            <w:r w:rsidRPr="00C8573D">
              <w:rPr>
                <w:rStyle w:val="Hyperlink"/>
              </w:rPr>
              <w:t>Detailed impact assessment for titanium dioxide</w:t>
            </w:r>
            <w:r>
              <w:rPr>
                <w:webHidden/>
              </w:rPr>
              <w:tab/>
            </w:r>
            <w:r>
              <w:rPr>
                <w:webHidden/>
              </w:rPr>
              <w:fldChar w:fldCharType="begin"/>
            </w:r>
            <w:r>
              <w:rPr>
                <w:webHidden/>
              </w:rPr>
              <w:instrText xml:space="preserve"> PAGEREF _Toc219216922 \h </w:instrText>
            </w:r>
            <w:r>
              <w:rPr>
                <w:webHidden/>
              </w:rPr>
            </w:r>
            <w:r>
              <w:rPr>
                <w:webHidden/>
              </w:rPr>
              <w:fldChar w:fldCharType="separate"/>
            </w:r>
            <w:r w:rsidR="00A002F4">
              <w:rPr>
                <w:webHidden/>
              </w:rPr>
              <w:t>154</w:t>
            </w:r>
            <w:r>
              <w:rPr>
                <w:webHidden/>
              </w:rPr>
              <w:fldChar w:fldCharType="end"/>
            </w:r>
          </w:hyperlink>
        </w:p>
        <w:p w14:paraId="4A4D5651" w14:textId="540062E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3" w:history="1">
            <w:r w:rsidRPr="00C8573D">
              <w:rPr>
                <w:rStyle w:val="Hyperlink"/>
                <w:noProof/>
              </w:rPr>
              <w:t>17.1</w:t>
            </w:r>
            <w:r>
              <w:rPr>
                <w:rFonts w:asciiTheme="minorHAnsi" w:eastAsiaTheme="minorEastAsia" w:hAnsiTheme="minorHAnsi"/>
                <w:noProof/>
                <w:kern w:val="2"/>
                <w:sz w:val="24"/>
                <w:lang w:eastAsia="en-AU"/>
                <w14:ligatures w14:val="standardContextual"/>
              </w:rPr>
              <w:tab/>
            </w:r>
            <w:r w:rsidRPr="00C8573D">
              <w:rPr>
                <w:rStyle w:val="Hyperlink"/>
                <w:noProof/>
              </w:rPr>
              <w:t>Benefits for proposed WEL for titanium dioxide</w:t>
            </w:r>
            <w:r>
              <w:rPr>
                <w:noProof/>
                <w:webHidden/>
              </w:rPr>
              <w:tab/>
            </w:r>
            <w:r>
              <w:rPr>
                <w:noProof/>
                <w:webHidden/>
              </w:rPr>
              <w:fldChar w:fldCharType="begin"/>
            </w:r>
            <w:r>
              <w:rPr>
                <w:noProof/>
                <w:webHidden/>
              </w:rPr>
              <w:instrText xml:space="preserve"> PAGEREF _Toc219216923 \h </w:instrText>
            </w:r>
            <w:r>
              <w:rPr>
                <w:noProof/>
                <w:webHidden/>
              </w:rPr>
            </w:r>
            <w:r>
              <w:rPr>
                <w:noProof/>
                <w:webHidden/>
              </w:rPr>
              <w:fldChar w:fldCharType="separate"/>
            </w:r>
            <w:r w:rsidR="00A002F4">
              <w:rPr>
                <w:noProof/>
                <w:webHidden/>
              </w:rPr>
              <w:t>154</w:t>
            </w:r>
            <w:r>
              <w:rPr>
                <w:noProof/>
                <w:webHidden/>
              </w:rPr>
              <w:fldChar w:fldCharType="end"/>
            </w:r>
          </w:hyperlink>
        </w:p>
        <w:p w14:paraId="13F52B15" w14:textId="0D24BD0C"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4" w:history="1">
            <w:r w:rsidRPr="00C8573D">
              <w:rPr>
                <w:rStyle w:val="Hyperlink"/>
                <w:noProof/>
              </w:rPr>
              <w:t>17.2</w:t>
            </w:r>
            <w:r>
              <w:rPr>
                <w:rFonts w:asciiTheme="minorHAnsi" w:eastAsiaTheme="minorEastAsia" w:hAnsiTheme="minorHAnsi"/>
                <w:noProof/>
                <w:kern w:val="2"/>
                <w:sz w:val="24"/>
                <w:lang w:eastAsia="en-AU"/>
                <w14:ligatures w14:val="standardContextual"/>
              </w:rPr>
              <w:tab/>
            </w:r>
            <w:r w:rsidRPr="00C8573D">
              <w:rPr>
                <w:rStyle w:val="Hyperlink"/>
                <w:noProof/>
              </w:rPr>
              <w:t>Costs of proposed WEL for titanium dioxide</w:t>
            </w:r>
            <w:r>
              <w:rPr>
                <w:noProof/>
                <w:webHidden/>
              </w:rPr>
              <w:tab/>
            </w:r>
            <w:r>
              <w:rPr>
                <w:noProof/>
                <w:webHidden/>
              </w:rPr>
              <w:fldChar w:fldCharType="begin"/>
            </w:r>
            <w:r>
              <w:rPr>
                <w:noProof/>
                <w:webHidden/>
              </w:rPr>
              <w:instrText xml:space="preserve"> PAGEREF _Toc219216924 \h </w:instrText>
            </w:r>
            <w:r>
              <w:rPr>
                <w:noProof/>
                <w:webHidden/>
              </w:rPr>
            </w:r>
            <w:r>
              <w:rPr>
                <w:noProof/>
                <w:webHidden/>
              </w:rPr>
              <w:fldChar w:fldCharType="separate"/>
            </w:r>
            <w:r w:rsidR="00A002F4">
              <w:rPr>
                <w:noProof/>
                <w:webHidden/>
              </w:rPr>
              <w:t>157</w:t>
            </w:r>
            <w:r>
              <w:rPr>
                <w:noProof/>
                <w:webHidden/>
              </w:rPr>
              <w:fldChar w:fldCharType="end"/>
            </w:r>
          </w:hyperlink>
        </w:p>
        <w:p w14:paraId="3F828D4F" w14:textId="0E0DA47E"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5" w:history="1">
            <w:r w:rsidRPr="00C8573D">
              <w:rPr>
                <w:rStyle w:val="Hyperlink"/>
                <w:noProof/>
              </w:rPr>
              <w:t>17.3</w:t>
            </w:r>
            <w:r>
              <w:rPr>
                <w:rFonts w:asciiTheme="minorHAnsi" w:eastAsiaTheme="minorEastAsia" w:hAnsiTheme="minorHAnsi"/>
                <w:noProof/>
                <w:kern w:val="2"/>
                <w:sz w:val="24"/>
                <w:lang w:eastAsia="en-AU"/>
                <w14:ligatures w14:val="standardContextual"/>
              </w:rPr>
              <w:tab/>
            </w:r>
            <w:r w:rsidRPr="00C8573D">
              <w:rPr>
                <w:rStyle w:val="Hyperlink"/>
                <w:noProof/>
              </w:rPr>
              <w:t>Stakeholder views on the proposed WEL for titanium dioxide</w:t>
            </w:r>
            <w:r>
              <w:rPr>
                <w:noProof/>
                <w:webHidden/>
              </w:rPr>
              <w:tab/>
            </w:r>
            <w:r>
              <w:rPr>
                <w:noProof/>
                <w:webHidden/>
              </w:rPr>
              <w:fldChar w:fldCharType="begin"/>
            </w:r>
            <w:r>
              <w:rPr>
                <w:noProof/>
                <w:webHidden/>
              </w:rPr>
              <w:instrText xml:space="preserve"> PAGEREF _Toc219216925 \h </w:instrText>
            </w:r>
            <w:r>
              <w:rPr>
                <w:noProof/>
                <w:webHidden/>
              </w:rPr>
            </w:r>
            <w:r>
              <w:rPr>
                <w:noProof/>
                <w:webHidden/>
              </w:rPr>
              <w:fldChar w:fldCharType="separate"/>
            </w:r>
            <w:r w:rsidR="00A002F4">
              <w:rPr>
                <w:noProof/>
                <w:webHidden/>
              </w:rPr>
              <w:t>159</w:t>
            </w:r>
            <w:r>
              <w:rPr>
                <w:noProof/>
                <w:webHidden/>
              </w:rPr>
              <w:fldChar w:fldCharType="end"/>
            </w:r>
          </w:hyperlink>
        </w:p>
        <w:p w14:paraId="0E73F0E2" w14:textId="1A7A84D1"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6" w:history="1">
            <w:r w:rsidRPr="00C8573D">
              <w:rPr>
                <w:rStyle w:val="Hyperlink"/>
                <w:noProof/>
              </w:rPr>
              <w:t>17.4</w:t>
            </w:r>
            <w:r>
              <w:rPr>
                <w:rFonts w:asciiTheme="minorHAnsi" w:eastAsiaTheme="minorEastAsia" w:hAnsiTheme="minorHAnsi"/>
                <w:noProof/>
                <w:kern w:val="2"/>
                <w:sz w:val="24"/>
                <w:lang w:eastAsia="en-AU"/>
                <w14:ligatures w14:val="standardContextual"/>
              </w:rPr>
              <w:tab/>
            </w:r>
            <w:r w:rsidRPr="00C8573D">
              <w:rPr>
                <w:rStyle w:val="Hyperlink"/>
                <w:noProof/>
              </w:rPr>
              <w:t>Likely net benefit and recommended option for titanium dioxide</w:t>
            </w:r>
            <w:r>
              <w:rPr>
                <w:noProof/>
                <w:webHidden/>
              </w:rPr>
              <w:tab/>
            </w:r>
            <w:r>
              <w:rPr>
                <w:noProof/>
                <w:webHidden/>
              </w:rPr>
              <w:fldChar w:fldCharType="begin"/>
            </w:r>
            <w:r>
              <w:rPr>
                <w:noProof/>
                <w:webHidden/>
              </w:rPr>
              <w:instrText xml:space="preserve"> PAGEREF _Toc219216926 \h </w:instrText>
            </w:r>
            <w:r>
              <w:rPr>
                <w:noProof/>
                <w:webHidden/>
              </w:rPr>
            </w:r>
            <w:r>
              <w:rPr>
                <w:noProof/>
                <w:webHidden/>
              </w:rPr>
              <w:fldChar w:fldCharType="separate"/>
            </w:r>
            <w:r w:rsidR="00A002F4">
              <w:rPr>
                <w:noProof/>
                <w:webHidden/>
              </w:rPr>
              <w:t>162</w:t>
            </w:r>
            <w:r>
              <w:rPr>
                <w:noProof/>
                <w:webHidden/>
              </w:rPr>
              <w:fldChar w:fldCharType="end"/>
            </w:r>
          </w:hyperlink>
        </w:p>
        <w:p w14:paraId="10ECD822" w14:textId="3C8095F6"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27" w:history="1">
            <w:r w:rsidRPr="00C8573D">
              <w:rPr>
                <w:rStyle w:val="Hyperlink"/>
              </w:rPr>
              <w:t>Appendix A – Bibliography</w:t>
            </w:r>
            <w:r>
              <w:rPr>
                <w:webHidden/>
              </w:rPr>
              <w:tab/>
            </w:r>
            <w:r>
              <w:rPr>
                <w:webHidden/>
              </w:rPr>
              <w:fldChar w:fldCharType="begin"/>
            </w:r>
            <w:r>
              <w:rPr>
                <w:webHidden/>
              </w:rPr>
              <w:instrText xml:space="preserve"> PAGEREF _Toc219216927 \h </w:instrText>
            </w:r>
            <w:r>
              <w:rPr>
                <w:webHidden/>
              </w:rPr>
            </w:r>
            <w:r>
              <w:rPr>
                <w:webHidden/>
              </w:rPr>
              <w:fldChar w:fldCharType="separate"/>
            </w:r>
            <w:r w:rsidR="00A002F4">
              <w:rPr>
                <w:webHidden/>
              </w:rPr>
              <w:t>164</w:t>
            </w:r>
            <w:r>
              <w:rPr>
                <w:webHidden/>
              </w:rPr>
              <w:fldChar w:fldCharType="end"/>
            </w:r>
          </w:hyperlink>
        </w:p>
        <w:p w14:paraId="692C5582" w14:textId="7694E2D0"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28" w:history="1">
            <w:r w:rsidRPr="00C8573D">
              <w:rPr>
                <w:rStyle w:val="Hyperlink"/>
              </w:rPr>
              <w:t>Appendix B – Agreed methodology and sources for the WES review</w:t>
            </w:r>
            <w:r>
              <w:rPr>
                <w:webHidden/>
              </w:rPr>
              <w:tab/>
            </w:r>
            <w:r>
              <w:rPr>
                <w:webHidden/>
              </w:rPr>
              <w:fldChar w:fldCharType="begin"/>
            </w:r>
            <w:r>
              <w:rPr>
                <w:webHidden/>
              </w:rPr>
              <w:instrText xml:space="preserve"> PAGEREF _Toc219216928 \h </w:instrText>
            </w:r>
            <w:r>
              <w:rPr>
                <w:webHidden/>
              </w:rPr>
            </w:r>
            <w:r>
              <w:rPr>
                <w:webHidden/>
              </w:rPr>
              <w:fldChar w:fldCharType="separate"/>
            </w:r>
            <w:r w:rsidR="00A002F4">
              <w:rPr>
                <w:webHidden/>
              </w:rPr>
              <w:t>174</w:t>
            </w:r>
            <w:r>
              <w:rPr>
                <w:webHidden/>
              </w:rPr>
              <w:fldChar w:fldCharType="end"/>
            </w:r>
          </w:hyperlink>
        </w:p>
        <w:p w14:paraId="64D94F2A" w14:textId="29B3C045"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29" w:history="1">
            <w:r w:rsidRPr="00C8573D">
              <w:rPr>
                <w:rStyle w:val="Hyperlink"/>
                <w:noProof/>
              </w:rPr>
              <w:t>Primary sources</w:t>
            </w:r>
            <w:r>
              <w:rPr>
                <w:noProof/>
                <w:webHidden/>
              </w:rPr>
              <w:tab/>
            </w:r>
            <w:r>
              <w:rPr>
                <w:noProof/>
                <w:webHidden/>
              </w:rPr>
              <w:fldChar w:fldCharType="begin"/>
            </w:r>
            <w:r>
              <w:rPr>
                <w:noProof/>
                <w:webHidden/>
              </w:rPr>
              <w:instrText xml:space="preserve"> PAGEREF _Toc219216929 \h </w:instrText>
            </w:r>
            <w:r>
              <w:rPr>
                <w:noProof/>
                <w:webHidden/>
              </w:rPr>
            </w:r>
            <w:r>
              <w:rPr>
                <w:noProof/>
                <w:webHidden/>
              </w:rPr>
              <w:fldChar w:fldCharType="separate"/>
            </w:r>
            <w:r w:rsidR="00A002F4">
              <w:rPr>
                <w:noProof/>
                <w:webHidden/>
              </w:rPr>
              <w:t>174</w:t>
            </w:r>
            <w:r>
              <w:rPr>
                <w:noProof/>
                <w:webHidden/>
              </w:rPr>
              <w:fldChar w:fldCharType="end"/>
            </w:r>
          </w:hyperlink>
        </w:p>
        <w:p w14:paraId="7FBEF085" w14:textId="123418C8"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0" w:history="1">
            <w:r w:rsidRPr="00C8573D">
              <w:rPr>
                <w:rStyle w:val="Hyperlink"/>
                <w:noProof/>
              </w:rPr>
              <w:t>Secondary sources</w:t>
            </w:r>
            <w:r>
              <w:rPr>
                <w:noProof/>
                <w:webHidden/>
              </w:rPr>
              <w:tab/>
            </w:r>
            <w:r>
              <w:rPr>
                <w:noProof/>
                <w:webHidden/>
              </w:rPr>
              <w:fldChar w:fldCharType="begin"/>
            </w:r>
            <w:r>
              <w:rPr>
                <w:noProof/>
                <w:webHidden/>
              </w:rPr>
              <w:instrText xml:space="preserve"> PAGEREF _Toc219216930 \h </w:instrText>
            </w:r>
            <w:r>
              <w:rPr>
                <w:noProof/>
                <w:webHidden/>
              </w:rPr>
            </w:r>
            <w:r>
              <w:rPr>
                <w:noProof/>
                <w:webHidden/>
              </w:rPr>
              <w:fldChar w:fldCharType="separate"/>
            </w:r>
            <w:r w:rsidR="00A002F4">
              <w:rPr>
                <w:noProof/>
                <w:webHidden/>
              </w:rPr>
              <w:t>174</w:t>
            </w:r>
            <w:r>
              <w:rPr>
                <w:noProof/>
                <w:webHidden/>
              </w:rPr>
              <w:fldChar w:fldCharType="end"/>
            </w:r>
          </w:hyperlink>
        </w:p>
        <w:p w14:paraId="5B1E1E98" w14:textId="78E9F050"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1" w:history="1">
            <w:r w:rsidRPr="00C8573D">
              <w:rPr>
                <w:rStyle w:val="Hyperlink"/>
                <w:noProof/>
              </w:rPr>
              <w:t>Weight of evidence approach</w:t>
            </w:r>
            <w:r>
              <w:rPr>
                <w:noProof/>
                <w:webHidden/>
              </w:rPr>
              <w:tab/>
            </w:r>
            <w:r>
              <w:rPr>
                <w:noProof/>
                <w:webHidden/>
              </w:rPr>
              <w:fldChar w:fldCharType="begin"/>
            </w:r>
            <w:r>
              <w:rPr>
                <w:noProof/>
                <w:webHidden/>
              </w:rPr>
              <w:instrText xml:space="preserve"> PAGEREF _Toc219216931 \h </w:instrText>
            </w:r>
            <w:r>
              <w:rPr>
                <w:noProof/>
                <w:webHidden/>
              </w:rPr>
            </w:r>
            <w:r>
              <w:rPr>
                <w:noProof/>
                <w:webHidden/>
              </w:rPr>
              <w:fldChar w:fldCharType="separate"/>
            </w:r>
            <w:r w:rsidR="00A002F4">
              <w:rPr>
                <w:noProof/>
                <w:webHidden/>
              </w:rPr>
              <w:t>175</w:t>
            </w:r>
            <w:r>
              <w:rPr>
                <w:noProof/>
                <w:webHidden/>
              </w:rPr>
              <w:fldChar w:fldCharType="end"/>
            </w:r>
          </w:hyperlink>
        </w:p>
        <w:p w14:paraId="2D8885DC" w14:textId="5C4BF5D5"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32" w:history="1">
            <w:r w:rsidRPr="00C8573D">
              <w:rPr>
                <w:rStyle w:val="Hyperlink"/>
              </w:rPr>
              <w:t>Appendix C – Impact analysis methodology</w:t>
            </w:r>
            <w:r>
              <w:rPr>
                <w:webHidden/>
              </w:rPr>
              <w:tab/>
            </w:r>
            <w:r>
              <w:rPr>
                <w:webHidden/>
              </w:rPr>
              <w:fldChar w:fldCharType="begin"/>
            </w:r>
            <w:r>
              <w:rPr>
                <w:webHidden/>
              </w:rPr>
              <w:instrText xml:space="preserve"> PAGEREF _Toc219216932 \h </w:instrText>
            </w:r>
            <w:r>
              <w:rPr>
                <w:webHidden/>
              </w:rPr>
            </w:r>
            <w:r>
              <w:rPr>
                <w:webHidden/>
              </w:rPr>
              <w:fldChar w:fldCharType="separate"/>
            </w:r>
            <w:r w:rsidR="00A002F4">
              <w:rPr>
                <w:webHidden/>
              </w:rPr>
              <w:t>176</w:t>
            </w:r>
            <w:r>
              <w:rPr>
                <w:webHidden/>
              </w:rPr>
              <w:fldChar w:fldCharType="end"/>
            </w:r>
          </w:hyperlink>
        </w:p>
        <w:p w14:paraId="69841E30" w14:textId="7696BE74"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3" w:history="1">
            <w:r w:rsidRPr="00C8573D">
              <w:rPr>
                <w:rStyle w:val="Hyperlink"/>
                <w:noProof/>
              </w:rPr>
              <w:t>Base Case and Intervention Cases definition</w:t>
            </w:r>
            <w:r>
              <w:rPr>
                <w:noProof/>
                <w:webHidden/>
              </w:rPr>
              <w:tab/>
            </w:r>
            <w:r>
              <w:rPr>
                <w:noProof/>
                <w:webHidden/>
              </w:rPr>
              <w:fldChar w:fldCharType="begin"/>
            </w:r>
            <w:r>
              <w:rPr>
                <w:noProof/>
                <w:webHidden/>
              </w:rPr>
              <w:instrText xml:space="preserve"> PAGEREF _Toc219216933 \h </w:instrText>
            </w:r>
            <w:r>
              <w:rPr>
                <w:noProof/>
                <w:webHidden/>
              </w:rPr>
            </w:r>
            <w:r>
              <w:rPr>
                <w:noProof/>
                <w:webHidden/>
              </w:rPr>
              <w:fldChar w:fldCharType="separate"/>
            </w:r>
            <w:r w:rsidR="00A002F4">
              <w:rPr>
                <w:noProof/>
                <w:webHidden/>
              </w:rPr>
              <w:t>176</w:t>
            </w:r>
            <w:r>
              <w:rPr>
                <w:noProof/>
                <w:webHidden/>
              </w:rPr>
              <w:fldChar w:fldCharType="end"/>
            </w:r>
          </w:hyperlink>
        </w:p>
        <w:p w14:paraId="0C870C67" w14:textId="1CB0536A"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4" w:history="1">
            <w:r w:rsidRPr="00C8573D">
              <w:rPr>
                <w:rStyle w:val="Hyperlink"/>
                <w:noProof/>
              </w:rPr>
              <w:t>Analysis inputs</w:t>
            </w:r>
            <w:r>
              <w:rPr>
                <w:noProof/>
                <w:webHidden/>
              </w:rPr>
              <w:tab/>
            </w:r>
            <w:r>
              <w:rPr>
                <w:noProof/>
                <w:webHidden/>
              </w:rPr>
              <w:fldChar w:fldCharType="begin"/>
            </w:r>
            <w:r>
              <w:rPr>
                <w:noProof/>
                <w:webHidden/>
              </w:rPr>
              <w:instrText xml:space="preserve"> PAGEREF _Toc219216934 \h </w:instrText>
            </w:r>
            <w:r>
              <w:rPr>
                <w:noProof/>
                <w:webHidden/>
              </w:rPr>
            </w:r>
            <w:r>
              <w:rPr>
                <w:noProof/>
                <w:webHidden/>
              </w:rPr>
              <w:fldChar w:fldCharType="separate"/>
            </w:r>
            <w:r w:rsidR="00A002F4">
              <w:rPr>
                <w:noProof/>
                <w:webHidden/>
              </w:rPr>
              <w:t>178</w:t>
            </w:r>
            <w:r>
              <w:rPr>
                <w:noProof/>
                <w:webHidden/>
              </w:rPr>
              <w:fldChar w:fldCharType="end"/>
            </w:r>
          </w:hyperlink>
        </w:p>
        <w:p w14:paraId="33F393A6" w14:textId="575BD3D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5" w:history="1">
            <w:r w:rsidRPr="00C8573D">
              <w:rPr>
                <w:rStyle w:val="Hyperlink"/>
                <w:noProof/>
              </w:rPr>
              <w:t>Businesses and workers affected by proposed WEL</w:t>
            </w:r>
            <w:r>
              <w:rPr>
                <w:noProof/>
                <w:webHidden/>
              </w:rPr>
              <w:tab/>
            </w:r>
            <w:r>
              <w:rPr>
                <w:noProof/>
                <w:webHidden/>
              </w:rPr>
              <w:fldChar w:fldCharType="begin"/>
            </w:r>
            <w:r>
              <w:rPr>
                <w:noProof/>
                <w:webHidden/>
              </w:rPr>
              <w:instrText xml:space="preserve"> PAGEREF _Toc219216935 \h </w:instrText>
            </w:r>
            <w:r>
              <w:rPr>
                <w:noProof/>
                <w:webHidden/>
              </w:rPr>
            </w:r>
            <w:r>
              <w:rPr>
                <w:noProof/>
                <w:webHidden/>
              </w:rPr>
              <w:fldChar w:fldCharType="separate"/>
            </w:r>
            <w:r w:rsidR="00A002F4">
              <w:rPr>
                <w:noProof/>
                <w:webHidden/>
              </w:rPr>
              <w:t>179</w:t>
            </w:r>
            <w:r>
              <w:rPr>
                <w:noProof/>
                <w:webHidden/>
              </w:rPr>
              <w:fldChar w:fldCharType="end"/>
            </w:r>
          </w:hyperlink>
        </w:p>
        <w:p w14:paraId="2274250B" w14:textId="6497C3B1"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6" w:history="1">
            <w:r w:rsidRPr="00C8573D">
              <w:rPr>
                <w:rStyle w:val="Hyperlink"/>
                <w:noProof/>
              </w:rPr>
              <w:t>Benefits of the proposed WEL</w:t>
            </w:r>
            <w:r>
              <w:rPr>
                <w:noProof/>
                <w:webHidden/>
              </w:rPr>
              <w:tab/>
            </w:r>
            <w:r>
              <w:rPr>
                <w:noProof/>
                <w:webHidden/>
              </w:rPr>
              <w:fldChar w:fldCharType="begin"/>
            </w:r>
            <w:r>
              <w:rPr>
                <w:noProof/>
                <w:webHidden/>
              </w:rPr>
              <w:instrText xml:space="preserve"> PAGEREF _Toc219216936 \h </w:instrText>
            </w:r>
            <w:r>
              <w:rPr>
                <w:noProof/>
                <w:webHidden/>
              </w:rPr>
            </w:r>
            <w:r>
              <w:rPr>
                <w:noProof/>
                <w:webHidden/>
              </w:rPr>
              <w:fldChar w:fldCharType="separate"/>
            </w:r>
            <w:r w:rsidR="00A002F4">
              <w:rPr>
                <w:noProof/>
                <w:webHidden/>
              </w:rPr>
              <w:t>188</w:t>
            </w:r>
            <w:r>
              <w:rPr>
                <w:noProof/>
                <w:webHidden/>
              </w:rPr>
              <w:fldChar w:fldCharType="end"/>
            </w:r>
          </w:hyperlink>
        </w:p>
        <w:p w14:paraId="5CBDD363" w14:textId="56209655"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7" w:history="1">
            <w:r w:rsidRPr="00C8573D">
              <w:rPr>
                <w:rStyle w:val="Hyperlink"/>
                <w:noProof/>
              </w:rPr>
              <w:t>Costs of the proposed WEL</w:t>
            </w:r>
            <w:r>
              <w:rPr>
                <w:noProof/>
                <w:webHidden/>
              </w:rPr>
              <w:tab/>
            </w:r>
            <w:r>
              <w:rPr>
                <w:noProof/>
                <w:webHidden/>
              </w:rPr>
              <w:fldChar w:fldCharType="begin"/>
            </w:r>
            <w:r>
              <w:rPr>
                <w:noProof/>
                <w:webHidden/>
              </w:rPr>
              <w:instrText xml:space="preserve"> PAGEREF _Toc219216937 \h </w:instrText>
            </w:r>
            <w:r>
              <w:rPr>
                <w:noProof/>
                <w:webHidden/>
              </w:rPr>
            </w:r>
            <w:r>
              <w:rPr>
                <w:noProof/>
                <w:webHidden/>
              </w:rPr>
              <w:fldChar w:fldCharType="separate"/>
            </w:r>
            <w:r w:rsidR="00A002F4">
              <w:rPr>
                <w:noProof/>
                <w:webHidden/>
              </w:rPr>
              <w:t>203</w:t>
            </w:r>
            <w:r>
              <w:rPr>
                <w:noProof/>
                <w:webHidden/>
              </w:rPr>
              <w:fldChar w:fldCharType="end"/>
            </w:r>
          </w:hyperlink>
        </w:p>
        <w:p w14:paraId="7963663C" w14:textId="5947DA4A"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38" w:history="1">
            <w:r w:rsidRPr="00C8573D">
              <w:rPr>
                <w:rStyle w:val="Hyperlink"/>
                <w:noProof/>
              </w:rPr>
              <w:t>Limitations</w:t>
            </w:r>
            <w:r>
              <w:rPr>
                <w:noProof/>
                <w:webHidden/>
              </w:rPr>
              <w:tab/>
            </w:r>
            <w:r>
              <w:rPr>
                <w:noProof/>
                <w:webHidden/>
              </w:rPr>
              <w:fldChar w:fldCharType="begin"/>
            </w:r>
            <w:r>
              <w:rPr>
                <w:noProof/>
                <w:webHidden/>
              </w:rPr>
              <w:instrText xml:space="preserve"> PAGEREF _Toc219216938 \h </w:instrText>
            </w:r>
            <w:r>
              <w:rPr>
                <w:noProof/>
                <w:webHidden/>
              </w:rPr>
            </w:r>
            <w:r>
              <w:rPr>
                <w:noProof/>
                <w:webHidden/>
              </w:rPr>
              <w:fldChar w:fldCharType="separate"/>
            </w:r>
            <w:r w:rsidR="00A002F4">
              <w:rPr>
                <w:noProof/>
                <w:webHidden/>
              </w:rPr>
              <w:t>209</w:t>
            </w:r>
            <w:r>
              <w:rPr>
                <w:noProof/>
                <w:webHidden/>
              </w:rPr>
              <w:fldChar w:fldCharType="end"/>
            </w:r>
          </w:hyperlink>
        </w:p>
        <w:p w14:paraId="755613DD" w14:textId="4CD3D97F"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39" w:history="1">
            <w:r w:rsidRPr="00C8573D">
              <w:rPr>
                <w:rStyle w:val="Hyperlink"/>
              </w:rPr>
              <w:t>Appendix D – Sensitivity analysis</w:t>
            </w:r>
            <w:r>
              <w:rPr>
                <w:webHidden/>
              </w:rPr>
              <w:tab/>
            </w:r>
            <w:r>
              <w:rPr>
                <w:webHidden/>
              </w:rPr>
              <w:fldChar w:fldCharType="begin"/>
            </w:r>
            <w:r>
              <w:rPr>
                <w:webHidden/>
              </w:rPr>
              <w:instrText xml:space="preserve"> PAGEREF _Toc219216939 \h </w:instrText>
            </w:r>
            <w:r>
              <w:rPr>
                <w:webHidden/>
              </w:rPr>
            </w:r>
            <w:r>
              <w:rPr>
                <w:webHidden/>
              </w:rPr>
              <w:fldChar w:fldCharType="separate"/>
            </w:r>
            <w:r w:rsidR="00A002F4">
              <w:rPr>
                <w:webHidden/>
              </w:rPr>
              <w:t>214</w:t>
            </w:r>
            <w:r>
              <w:rPr>
                <w:webHidden/>
              </w:rPr>
              <w:fldChar w:fldCharType="end"/>
            </w:r>
          </w:hyperlink>
        </w:p>
        <w:p w14:paraId="02450019" w14:textId="54CB030E"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40" w:history="1">
            <w:r w:rsidRPr="00C8573D">
              <w:rPr>
                <w:rStyle w:val="Hyperlink"/>
              </w:rPr>
              <w:t>Appendix E – Stakeholder engagement questions</w:t>
            </w:r>
            <w:r>
              <w:rPr>
                <w:webHidden/>
              </w:rPr>
              <w:tab/>
            </w:r>
            <w:r>
              <w:rPr>
                <w:webHidden/>
              </w:rPr>
              <w:fldChar w:fldCharType="begin"/>
            </w:r>
            <w:r>
              <w:rPr>
                <w:webHidden/>
              </w:rPr>
              <w:instrText xml:space="preserve"> PAGEREF _Toc219216940 \h </w:instrText>
            </w:r>
            <w:r>
              <w:rPr>
                <w:webHidden/>
              </w:rPr>
            </w:r>
            <w:r>
              <w:rPr>
                <w:webHidden/>
              </w:rPr>
              <w:fldChar w:fldCharType="separate"/>
            </w:r>
            <w:r w:rsidR="00A002F4">
              <w:rPr>
                <w:webHidden/>
              </w:rPr>
              <w:t>216</w:t>
            </w:r>
            <w:r>
              <w:rPr>
                <w:webHidden/>
              </w:rPr>
              <w:fldChar w:fldCharType="end"/>
            </w:r>
          </w:hyperlink>
        </w:p>
        <w:p w14:paraId="2C216778" w14:textId="5C56F60A"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1" w:history="1">
            <w:r w:rsidRPr="00C8573D">
              <w:rPr>
                <w:rStyle w:val="Hyperlink"/>
                <w:noProof/>
              </w:rPr>
              <w:t>Public consultation questions</w:t>
            </w:r>
            <w:r>
              <w:rPr>
                <w:noProof/>
                <w:webHidden/>
              </w:rPr>
              <w:tab/>
            </w:r>
            <w:r>
              <w:rPr>
                <w:noProof/>
                <w:webHidden/>
              </w:rPr>
              <w:fldChar w:fldCharType="begin"/>
            </w:r>
            <w:r>
              <w:rPr>
                <w:noProof/>
                <w:webHidden/>
              </w:rPr>
              <w:instrText xml:space="preserve"> PAGEREF _Toc219216941 \h </w:instrText>
            </w:r>
            <w:r>
              <w:rPr>
                <w:noProof/>
                <w:webHidden/>
              </w:rPr>
            </w:r>
            <w:r>
              <w:rPr>
                <w:noProof/>
                <w:webHidden/>
              </w:rPr>
              <w:fldChar w:fldCharType="separate"/>
            </w:r>
            <w:r w:rsidR="00A002F4">
              <w:rPr>
                <w:noProof/>
                <w:webHidden/>
              </w:rPr>
              <w:t>216</w:t>
            </w:r>
            <w:r>
              <w:rPr>
                <w:noProof/>
                <w:webHidden/>
              </w:rPr>
              <w:fldChar w:fldCharType="end"/>
            </w:r>
          </w:hyperlink>
        </w:p>
        <w:p w14:paraId="188B3CC4" w14:textId="51338ED0"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2" w:history="1">
            <w:r w:rsidRPr="00C8573D">
              <w:rPr>
                <w:rStyle w:val="Hyperlink"/>
                <w:noProof/>
              </w:rPr>
              <w:t>Targeted stakeholder engagement approach</w:t>
            </w:r>
            <w:r>
              <w:rPr>
                <w:noProof/>
                <w:webHidden/>
              </w:rPr>
              <w:tab/>
            </w:r>
            <w:r>
              <w:rPr>
                <w:noProof/>
                <w:webHidden/>
              </w:rPr>
              <w:fldChar w:fldCharType="begin"/>
            </w:r>
            <w:r>
              <w:rPr>
                <w:noProof/>
                <w:webHidden/>
              </w:rPr>
              <w:instrText xml:space="preserve"> PAGEREF _Toc219216942 \h </w:instrText>
            </w:r>
            <w:r>
              <w:rPr>
                <w:noProof/>
                <w:webHidden/>
              </w:rPr>
            </w:r>
            <w:r>
              <w:rPr>
                <w:noProof/>
                <w:webHidden/>
              </w:rPr>
              <w:fldChar w:fldCharType="separate"/>
            </w:r>
            <w:r w:rsidR="00A002F4">
              <w:rPr>
                <w:noProof/>
                <w:webHidden/>
              </w:rPr>
              <w:t>217</w:t>
            </w:r>
            <w:r>
              <w:rPr>
                <w:noProof/>
                <w:webHidden/>
              </w:rPr>
              <w:fldChar w:fldCharType="end"/>
            </w:r>
          </w:hyperlink>
        </w:p>
        <w:p w14:paraId="30A6F156" w14:textId="49646AD8"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43" w:history="1">
            <w:r w:rsidRPr="00C8573D">
              <w:rPr>
                <w:rStyle w:val="Hyperlink"/>
              </w:rPr>
              <w:t>Appendix F – Affected businesses and workers</w:t>
            </w:r>
            <w:r>
              <w:rPr>
                <w:webHidden/>
              </w:rPr>
              <w:tab/>
            </w:r>
            <w:r>
              <w:rPr>
                <w:webHidden/>
              </w:rPr>
              <w:fldChar w:fldCharType="begin"/>
            </w:r>
            <w:r>
              <w:rPr>
                <w:webHidden/>
              </w:rPr>
              <w:instrText xml:space="preserve"> PAGEREF _Toc219216943 \h </w:instrText>
            </w:r>
            <w:r>
              <w:rPr>
                <w:webHidden/>
              </w:rPr>
            </w:r>
            <w:r>
              <w:rPr>
                <w:webHidden/>
              </w:rPr>
              <w:fldChar w:fldCharType="separate"/>
            </w:r>
            <w:r w:rsidR="00A002F4">
              <w:rPr>
                <w:webHidden/>
              </w:rPr>
              <w:t>224</w:t>
            </w:r>
            <w:r>
              <w:rPr>
                <w:webHidden/>
              </w:rPr>
              <w:fldChar w:fldCharType="end"/>
            </w:r>
          </w:hyperlink>
        </w:p>
        <w:p w14:paraId="0F854AAF" w14:textId="0939F70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4" w:history="1">
            <w:r w:rsidRPr="00C8573D">
              <w:rPr>
                <w:rStyle w:val="Hyperlink"/>
                <w:noProof/>
              </w:rPr>
              <w:t>Industries affected by the proposed change</w:t>
            </w:r>
            <w:r>
              <w:rPr>
                <w:noProof/>
                <w:webHidden/>
              </w:rPr>
              <w:tab/>
            </w:r>
            <w:r>
              <w:rPr>
                <w:noProof/>
                <w:webHidden/>
              </w:rPr>
              <w:fldChar w:fldCharType="begin"/>
            </w:r>
            <w:r>
              <w:rPr>
                <w:noProof/>
                <w:webHidden/>
              </w:rPr>
              <w:instrText xml:space="preserve"> PAGEREF _Toc219216944 \h </w:instrText>
            </w:r>
            <w:r>
              <w:rPr>
                <w:noProof/>
                <w:webHidden/>
              </w:rPr>
            </w:r>
            <w:r>
              <w:rPr>
                <w:noProof/>
                <w:webHidden/>
              </w:rPr>
              <w:fldChar w:fldCharType="separate"/>
            </w:r>
            <w:r w:rsidR="00A002F4">
              <w:rPr>
                <w:noProof/>
                <w:webHidden/>
              </w:rPr>
              <w:t>224</w:t>
            </w:r>
            <w:r>
              <w:rPr>
                <w:noProof/>
                <w:webHidden/>
              </w:rPr>
              <w:fldChar w:fldCharType="end"/>
            </w:r>
          </w:hyperlink>
        </w:p>
        <w:p w14:paraId="078ED845" w14:textId="368ABC6A"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45" w:history="1">
            <w:r w:rsidRPr="00C8573D">
              <w:rPr>
                <w:rStyle w:val="Hyperlink"/>
              </w:rPr>
              <w:t>Appendix G - Escalation indexes</w:t>
            </w:r>
            <w:r>
              <w:rPr>
                <w:webHidden/>
              </w:rPr>
              <w:tab/>
            </w:r>
            <w:r>
              <w:rPr>
                <w:webHidden/>
              </w:rPr>
              <w:fldChar w:fldCharType="begin"/>
            </w:r>
            <w:r>
              <w:rPr>
                <w:webHidden/>
              </w:rPr>
              <w:instrText xml:space="preserve"> PAGEREF _Toc219216945 \h </w:instrText>
            </w:r>
            <w:r>
              <w:rPr>
                <w:webHidden/>
              </w:rPr>
            </w:r>
            <w:r>
              <w:rPr>
                <w:webHidden/>
              </w:rPr>
              <w:fldChar w:fldCharType="separate"/>
            </w:r>
            <w:r w:rsidR="00A002F4">
              <w:rPr>
                <w:webHidden/>
              </w:rPr>
              <w:t>236</w:t>
            </w:r>
            <w:r>
              <w:rPr>
                <w:webHidden/>
              </w:rPr>
              <w:fldChar w:fldCharType="end"/>
            </w:r>
          </w:hyperlink>
        </w:p>
        <w:p w14:paraId="0E0B877E" w14:textId="3D963FB6"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46" w:history="1">
            <w:r w:rsidRPr="00C8573D">
              <w:rPr>
                <w:rStyle w:val="Hyperlink"/>
              </w:rPr>
              <w:t>Appendix H – Benefit Input Tables</w:t>
            </w:r>
            <w:r>
              <w:rPr>
                <w:webHidden/>
              </w:rPr>
              <w:tab/>
            </w:r>
            <w:r>
              <w:rPr>
                <w:webHidden/>
              </w:rPr>
              <w:fldChar w:fldCharType="begin"/>
            </w:r>
            <w:r>
              <w:rPr>
                <w:webHidden/>
              </w:rPr>
              <w:instrText xml:space="preserve"> PAGEREF _Toc219216946 \h </w:instrText>
            </w:r>
            <w:r>
              <w:rPr>
                <w:webHidden/>
              </w:rPr>
            </w:r>
            <w:r>
              <w:rPr>
                <w:webHidden/>
              </w:rPr>
              <w:fldChar w:fldCharType="separate"/>
            </w:r>
            <w:r w:rsidR="00A002F4">
              <w:rPr>
                <w:webHidden/>
              </w:rPr>
              <w:t>237</w:t>
            </w:r>
            <w:r>
              <w:rPr>
                <w:webHidden/>
              </w:rPr>
              <w:fldChar w:fldCharType="end"/>
            </w:r>
          </w:hyperlink>
        </w:p>
        <w:p w14:paraId="6B5997A1" w14:textId="32B466E3"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7" w:history="1">
            <w:r w:rsidRPr="00C8573D">
              <w:rPr>
                <w:rStyle w:val="Hyperlink"/>
                <w:noProof/>
              </w:rPr>
              <w:t>Benefit escalation</w:t>
            </w:r>
            <w:r>
              <w:rPr>
                <w:noProof/>
                <w:webHidden/>
              </w:rPr>
              <w:tab/>
            </w:r>
            <w:r>
              <w:rPr>
                <w:noProof/>
                <w:webHidden/>
              </w:rPr>
              <w:fldChar w:fldCharType="begin"/>
            </w:r>
            <w:r>
              <w:rPr>
                <w:noProof/>
                <w:webHidden/>
              </w:rPr>
              <w:instrText xml:space="preserve"> PAGEREF _Toc219216947 \h </w:instrText>
            </w:r>
            <w:r>
              <w:rPr>
                <w:noProof/>
                <w:webHidden/>
              </w:rPr>
            </w:r>
            <w:r>
              <w:rPr>
                <w:noProof/>
                <w:webHidden/>
              </w:rPr>
              <w:fldChar w:fldCharType="separate"/>
            </w:r>
            <w:r w:rsidR="00A002F4">
              <w:rPr>
                <w:noProof/>
                <w:webHidden/>
              </w:rPr>
              <w:t>237</w:t>
            </w:r>
            <w:r>
              <w:rPr>
                <w:noProof/>
                <w:webHidden/>
              </w:rPr>
              <w:fldChar w:fldCharType="end"/>
            </w:r>
          </w:hyperlink>
        </w:p>
        <w:p w14:paraId="671AF7CB" w14:textId="0966F99D"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8" w:history="1">
            <w:r w:rsidRPr="00C8573D">
              <w:rPr>
                <w:rStyle w:val="Hyperlink"/>
                <w:noProof/>
              </w:rPr>
              <w:t>Direct benefits inputs</w:t>
            </w:r>
            <w:r>
              <w:rPr>
                <w:noProof/>
                <w:webHidden/>
              </w:rPr>
              <w:tab/>
            </w:r>
            <w:r>
              <w:rPr>
                <w:noProof/>
                <w:webHidden/>
              </w:rPr>
              <w:fldChar w:fldCharType="begin"/>
            </w:r>
            <w:r>
              <w:rPr>
                <w:noProof/>
                <w:webHidden/>
              </w:rPr>
              <w:instrText xml:space="preserve"> PAGEREF _Toc219216948 \h </w:instrText>
            </w:r>
            <w:r>
              <w:rPr>
                <w:noProof/>
                <w:webHidden/>
              </w:rPr>
            </w:r>
            <w:r>
              <w:rPr>
                <w:noProof/>
                <w:webHidden/>
              </w:rPr>
              <w:fldChar w:fldCharType="separate"/>
            </w:r>
            <w:r w:rsidR="00A002F4">
              <w:rPr>
                <w:noProof/>
                <w:webHidden/>
              </w:rPr>
              <w:t>237</w:t>
            </w:r>
            <w:r>
              <w:rPr>
                <w:noProof/>
                <w:webHidden/>
              </w:rPr>
              <w:fldChar w:fldCharType="end"/>
            </w:r>
          </w:hyperlink>
        </w:p>
        <w:p w14:paraId="10A10DC7" w14:textId="08827005"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49" w:history="1">
            <w:r w:rsidRPr="00C8573D">
              <w:rPr>
                <w:rStyle w:val="Hyperlink"/>
                <w:noProof/>
              </w:rPr>
              <w:t>Health benefits inputs</w:t>
            </w:r>
            <w:r>
              <w:rPr>
                <w:noProof/>
                <w:webHidden/>
              </w:rPr>
              <w:tab/>
            </w:r>
            <w:r>
              <w:rPr>
                <w:noProof/>
                <w:webHidden/>
              </w:rPr>
              <w:fldChar w:fldCharType="begin"/>
            </w:r>
            <w:r>
              <w:rPr>
                <w:noProof/>
                <w:webHidden/>
              </w:rPr>
              <w:instrText xml:space="preserve"> PAGEREF _Toc219216949 \h </w:instrText>
            </w:r>
            <w:r>
              <w:rPr>
                <w:noProof/>
                <w:webHidden/>
              </w:rPr>
            </w:r>
            <w:r>
              <w:rPr>
                <w:noProof/>
                <w:webHidden/>
              </w:rPr>
              <w:fldChar w:fldCharType="separate"/>
            </w:r>
            <w:r w:rsidR="00A002F4">
              <w:rPr>
                <w:noProof/>
                <w:webHidden/>
              </w:rPr>
              <w:t>239</w:t>
            </w:r>
            <w:r>
              <w:rPr>
                <w:noProof/>
                <w:webHidden/>
              </w:rPr>
              <w:fldChar w:fldCharType="end"/>
            </w:r>
          </w:hyperlink>
        </w:p>
        <w:p w14:paraId="0D9A3568" w14:textId="7C17E408" w:rsidR="001B1ADB" w:rsidRDefault="001B1ADB" w:rsidP="003B5923">
          <w:pPr>
            <w:pStyle w:val="TOC2"/>
            <w:rPr>
              <w:rFonts w:asciiTheme="minorHAnsi" w:eastAsiaTheme="minorEastAsia" w:hAnsiTheme="minorHAnsi"/>
              <w:noProof/>
              <w:kern w:val="2"/>
              <w:sz w:val="24"/>
              <w:lang w:eastAsia="en-AU"/>
              <w14:ligatures w14:val="standardContextual"/>
            </w:rPr>
          </w:pPr>
          <w:hyperlink w:anchor="_Toc219216950" w:history="1">
            <w:r w:rsidRPr="00C8573D">
              <w:rPr>
                <w:rStyle w:val="Hyperlink"/>
                <w:noProof/>
              </w:rPr>
              <w:t>Indirect benefits inputs</w:t>
            </w:r>
            <w:r>
              <w:rPr>
                <w:noProof/>
                <w:webHidden/>
              </w:rPr>
              <w:tab/>
            </w:r>
            <w:r>
              <w:rPr>
                <w:noProof/>
                <w:webHidden/>
              </w:rPr>
              <w:fldChar w:fldCharType="begin"/>
            </w:r>
            <w:r>
              <w:rPr>
                <w:noProof/>
                <w:webHidden/>
              </w:rPr>
              <w:instrText xml:space="preserve"> PAGEREF _Toc219216950 \h </w:instrText>
            </w:r>
            <w:r>
              <w:rPr>
                <w:noProof/>
                <w:webHidden/>
              </w:rPr>
            </w:r>
            <w:r>
              <w:rPr>
                <w:noProof/>
                <w:webHidden/>
              </w:rPr>
              <w:fldChar w:fldCharType="separate"/>
            </w:r>
            <w:r w:rsidR="00A002F4">
              <w:rPr>
                <w:noProof/>
                <w:webHidden/>
              </w:rPr>
              <w:t>239</w:t>
            </w:r>
            <w:r>
              <w:rPr>
                <w:noProof/>
                <w:webHidden/>
              </w:rPr>
              <w:fldChar w:fldCharType="end"/>
            </w:r>
          </w:hyperlink>
        </w:p>
        <w:p w14:paraId="6FFF8D67" w14:textId="37FB9944"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51" w:history="1">
            <w:r w:rsidRPr="00C8573D">
              <w:rPr>
                <w:rStyle w:val="Hyperlink"/>
              </w:rPr>
              <w:t>Appendix I - Standardised cost input tables</w:t>
            </w:r>
            <w:r>
              <w:rPr>
                <w:webHidden/>
              </w:rPr>
              <w:tab/>
            </w:r>
            <w:r>
              <w:rPr>
                <w:webHidden/>
              </w:rPr>
              <w:fldChar w:fldCharType="begin"/>
            </w:r>
            <w:r>
              <w:rPr>
                <w:webHidden/>
              </w:rPr>
              <w:instrText xml:space="preserve"> PAGEREF _Toc219216951 \h </w:instrText>
            </w:r>
            <w:r>
              <w:rPr>
                <w:webHidden/>
              </w:rPr>
            </w:r>
            <w:r>
              <w:rPr>
                <w:webHidden/>
              </w:rPr>
              <w:fldChar w:fldCharType="separate"/>
            </w:r>
            <w:r w:rsidR="00A002F4">
              <w:rPr>
                <w:webHidden/>
              </w:rPr>
              <w:t>242</w:t>
            </w:r>
            <w:r>
              <w:rPr>
                <w:webHidden/>
              </w:rPr>
              <w:fldChar w:fldCharType="end"/>
            </w:r>
          </w:hyperlink>
        </w:p>
        <w:p w14:paraId="39E09238" w14:textId="382098D1"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52" w:history="1">
            <w:r w:rsidRPr="00C8573D">
              <w:rPr>
                <w:rStyle w:val="Hyperlink"/>
              </w:rPr>
              <w:t>Appendix J – Cost escalation</w:t>
            </w:r>
            <w:r>
              <w:rPr>
                <w:webHidden/>
              </w:rPr>
              <w:tab/>
            </w:r>
            <w:r>
              <w:rPr>
                <w:webHidden/>
              </w:rPr>
              <w:fldChar w:fldCharType="begin"/>
            </w:r>
            <w:r>
              <w:rPr>
                <w:webHidden/>
              </w:rPr>
              <w:instrText xml:space="preserve"> PAGEREF _Toc219216952 \h </w:instrText>
            </w:r>
            <w:r>
              <w:rPr>
                <w:webHidden/>
              </w:rPr>
            </w:r>
            <w:r>
              <w:rPr>
                <w:webHidden/>
              </w:rPr>
              <w:fldChar w:fldCharType="separate"/>
            </w:r>
            <w:r w:rsidR="00A002F4">
              <w:rPr>
                <w:webHidden/>
              </w:rPr>
              <w:t>243</w:t>
            </w:r>
            <w:r>
              <w:rPr>
                <w:webHidden/>
              </w:rPr>
              <w:fldChar w:fldCharType="end"/>
            </w:r>
          </w:hyperlink>
        </w:p>
        <w:p w14:paraId="77563419" w14:textId="125308C9" w:rsidR="001B1ADB" w:rsidRDefault="001B1ADB">
          <w:pPr>
            <w:pStyle w:val="TOC1"/>
            <w:rPr>
              <w:rFonts w:asciiTheme="minorHAnsi" w:eastAsiaTheme="minorEastAsia" w:hAnsiTheme="minorHAnsi"/>
              <w:b w:val="0"/>
              <w:bCs w:val="0"/>
              <w:kern w:val="2"/>
              <w:sz w:val="24"/>
              <w:lang w:eastAsia="en-AU"/>
              <w14:ligatures w14:val="standardContextual"/>
            </w:rPr>
          </w:pPr>
          <w:hyperlink w:anchor="_Toc219216953" w:history="1">
            <w:r w:rsidRPr="00C8573D">
              <w:rPr>
                <w:rStyle w:val="Hyperlink"/>
              </w:rPr>
              <w:t>Appendix K – Degree of confidence assessment</w:t>
            </w:r>
            <w:r>
              <w:rPr>
                <w:webHidden/>
              </w:rPr>
              <w:tab/>
            </w:r>
            <w:r>
              <w:rPr>
                <w:webHidden/>
              </w:rPr>
              <w:fldChar w:fldCharType="begin"/>
            </w:r>
            <w:r>
              <w:rPr>
                <w:webHidden/>
              </w:rPr>
              <w:instrText xml:space="preserve"> PAGEREF _Toc219216953 \h </w:instrText>
            </w:r>
            <w:r>
              <w:rPr>
                <w:webHidden/>
              </w:rPr>
            </w:r>
            <w:r>
              <w:rPr>
                <w:webHidden/>
              </w:rPr>
              <w:fldChar w:fldCharType="separate"/>
            </w:r>
            <w:r w:rsidR="00A002F4">
              <w:rPr>
                <w:webHidden/>
              </w:rPr>
              <w:t>245</w:t>
            </w:r>
            <w:r>
              <w:rPr>
                <w:webHidden/>
              </w:rPr>
              <w:fldChar w:fldCharType="end"/>
            </w:r>
          </w:hyperlink>
        </w:p>
        <w:p w14:paraId="612BC17B" w14:textId="4119A768" w:rsidR="0073759C" w:rsidRDefault="0073759C" w:rsidP="000B6D3A">
          <w:pPr>
            <w:keepNext/>
            <w:keepLines/>
            <w:rPr>
              <w:bCs/>
              <w:noProof/>
            </w:rPr>
            <w:sectPr w:rsidR="0073759C" w:rsidSect="008F3F28">
              <w:headerReference w:type="even" r:id="rId18"/>
              <w:headerReference w:type="default" r:id="rId19"/>
              <w:headerReference w:type="first" r:id="rId20"/>
              <w:pgSz w:w="11906" w:h="16838" w:code="9"/>
              <w:pgMar w:top="1440" w:right="1440" w:bottom="1440" w:left="1440" w:header="709" w:footer="709" w:gutter="0"/>
              <w:cols w:space="708"/>
              <w:titlePg/>
              <w:docGrid w:linePitch="360"/>
            </w:sectPr>
          </w:pPr>
          <w:r>
            <w:rPr>
              <w:b/>
              <w:bCs/>
              <w:noProof/>
            </w:rPr>
            <w:fldChar w:fldCharType="end"/>
          </w:r>
        </w:p>
      </w:sdtContent>
    </w:sdt>
    <w:p w14:paraId="14BBB845" w14:textId="2BF78F46" w:rsidR="00DD02A5" w:rsidRDefault="00DD02A5" w:rsidP="00DD2F9C">
      <w:pPr>
        <w:pStyle w:val="ListParagraphh1"/>
        <w:numPr>
          <w:ilvl w:val="0"/>
          <w:numId w:val="0"/>
        </w:numPr>
        <w:ind w:left="567" w:hanging="567"/>
      </w:pPr>
      <w:bookmarkStart w:id="6" w:name="_Toc219216850"/>
      <w:r>
        <w:lastRenderedPageBreak/>
        <w:t>Executive Summary</w:t>
      </w:r>
      <w:bookmarkEnd w:id="3"/>
      <w:bookmarkEnd w:id="4"/>
      <w:bookmarkEnd w:id="6"/>
    </w:p>
    <w:p w14:paraId="4BA11220" w14:textId="1409A369" w:rsidR="00313366" w:rsidRDefault="00313366" w:rsidP="00CA6B6E">
      <w:pPr>
        <w:spacing w:line="240" w:lineRule="auto"/>
        <w:contextualSpacing w:val="0"/>
        <w:textAlignment w:val="baseline"/>
        <w:rPr>
          <w:rFonts w:eastAsia="Times New Roman" w:cs="Arial"/>
          <w:lang w:eastAsia="en-AU"/>
        </w:rPr>
      </w:pPr>
      <w:r w:rsidRPr="2D7C9783">
        <w:rPr>
          <w:rFonts w:eastAsia="Times New Roman" w:cs="Arial"/>
          <w:lang w:eastAsia="en-AU"/>
        </w:rPr>
        <w:t xml:space="preserve">This Decision Regulation Impact Statement (Decision RIS) </w:t>
      </w:r>
      <w:r w:rsidR="002265B2" w:rsidRPr="2D7C9783">
        <w:rPr>
          <w:rFonts w:eastAsia="Times New Roman" w:cs="Arial"/>
          <w:lang w:eastAsia="en-AU"/>
        </w:rPr>
        <w:t xml:space="preserve">is intended to support </w:t>
      </w:r>
      <w:r w:rsidR="300252F4" w:rsidRPr="2D7C9783">
        <w:rPr>
          <w:rFonts w:eastAsia="Times New Roman" w:cs="Arial"/>
          <w:lang w:eastAsia="en-AU"/>
        </w:rPr>
        <w:t>work health and safety</w:t>
      </w:r>
      <w:r w:rsidR="002265B2" w:rsidRPr="2D7C9783">
        <w:rPr>
          <w:rFonts w:eastAsia="Times New Roman" w:cs="Arial"/>
          <w:lang w:eastAsia="en-AU"/>
        </w:rPr>
        <w:t xml:space="preserve"> </w:t>
      </w:r>
      <w:r w:rsidR="1E2C9FB7" w:rsidRPr="2D7C9783">
        <w:rPr>
          <w:rFonts w:eastAsia="Times New Roman" w:cs="Arial"/>
          <w:lang w:eastAsia="en-AU"/>
        </w:rPr>
        <w:t>(</w:t>
      </w:r>
      <w:r w:rsidR="002265B2" w:rsidRPr="2D7C9783">
        <w:rPr>
          <w:rFonts w:eastAsia="Times New Roman" w:cs="Arial"/>
          <w:lang w:eastAsia="en-AU"/>
        </w:rPr>
        <w:t>WHS</w:t>
      </w:r>
      <w:r w:rsidR="6897C548" w:rsidRPr="2D7C9783">
        <w:rPr>
          <w:rFonts w:eastAsia="Times New Roman" w:cs="Arial"/>
          <w:lang w:eastAsia="en-AU"/>
        </w:rPr>
        <w:t>)</w:t>
      </w:r>
      <w:r w:rsidR="002265B2" w:rsidRPr="2D7C9783">
        <w:rPr>
          <w:rFonts w:eastAsia="Times New Roman" w:cs="Arial"/>
          <w:lang w:eastAsia="en-AU"/>
        </w:rPr>
        <w:t xml:space="preserve"> </w:t>
      </w:r>
      <w:r w:rsidR="002265B2" w:rsidRPr="4C95DEE3">
        <w:rPr>
          <w:rFonts w:eastAsia="Times New Roman" w:cs="Arial"/>
          <w:lang w:eastAsia="en-AU"/>
        </w:rPr>
        <w:t>ministers</w:t>
      </w:r>
      <w:r w:rsidR="0E2D20C8" w:rsidRPr="4C95DEE3">
        <w:rPr>
          <w:rFonts w:eastAsia="Times New Roman" w:cs="Arial"/>
          <w:lang w:eastAsia="en-AU"/>
        </w:rPr>
        <w:t>’</w:t>
      </w:r>
      <w:r w:rsidR="002265B2" w:rsidRPr="2D7C9783">
        <w:rPr>
          <w:rFonts w:eastAsia="Times New Roman" w:cs="Arial"/>
          <w:lang w:eastAsia="en-AU"/>
        </w:rPr>
        <w:t xml:space="preserve"> </w:t>
      </w:r>
      <w:r w:rsidR="003110FA" w:rsidRPr="4C95DEE3">
        <w:rPr>
          <w:rFonts w:eastAsia="Times New Roman" w:cs="Arial"/>
          <w:lang w:eastAsia="en-AU"/>
        </w:rPr>
        <w:t>decision on</w:t>
      </w:r>
      <w:r w:rsidR="002265B2" w:rsidRPr="2D7C9783">
        <w:rPr>
          <w:rFonts w:eastAsia="Times New Roman" w:cs="Arial"/>
          <w:lang w:eastAsia="en-AU"/>
        </w:rPr>
        <w:t xml:space="preserve"> appropriate </w:t>
      </w:r>
      <w:r w:rsidR="0C1665CD" w:rsidRPr="2D7C9783">
        <w:rPr>
          <w:rFonts w:eastAsia="Times New Roman" w:cs="Arial"/>
          <w:lang w:eastAsia="en-AU"/>
        </w:rPr>
        <w:t>workplac</w:t>
      </w:r>
      <w:r w:rsidR="002265B2" w:rsidRPr="2D7C9783">
        <w:rPr>
          <w:rFonts w:eastAsia="Times New Roman" w:cs="Arial"/>
          <w:lang w:eastAsia="en-AU"/>
        </w:rPr>
        <w:t xml:space="preserve">e exposure </w:t>
      </w:r>
      <w:r w:rsidR="002265B2" w:rsidRPr="35D50BF0">
        <w:rPr>
          <w:rFonts w:eastAsia="Times New Roman" w:cs="Arial"/>
          <w:lang w:eastAsia="en-AU"/>
        </w:rPr>
        <w:t>limit</w:t>
      </w:r>
      <w:r w:rsidR="1DDA4DC9" w:rsidRPr="35D50BF0">
        <w:rPr>
          <w:rFonts w:eastAsia="Times New Roman" w:cs="Arial"/>
          <w:lang w:eastAsia="en-AU"/>
        </w:rPr>
        <w:t>s</w:t>
      </w:r>
      <w:r w:rsidR="002265B2" w:rsidRPr="2D7C9783">
        <w:rPr>
          <w:rFonts w:eastAsia="Times New Roman" w:cs="Arial"/>
          <w:lang w:eastAsia="en-AU"/>
        </w:rPr>
        <w:t xml:space="preserve"> for </w:t>
      </w:r>
      <w:r w:rsidR="001E0AF3" w:rsidRPr="2D7C9783">
        <w:rPr>
          <w:rFonts w:eastAsia="Times New Roman" w:cs="Arial"/>
          <w:lang w:eastAsia="en-AU"/>
        </w:rPr>
        <w:t xml:space="preserve">9 chemicals – benzene, chlorine, copper, formaldehyde, hydrogen cyanide, hydrogen sulfide, nitrogen dioxide, respirable crystalline silica and titanium dioxide. </w:t>
      </w:r>
      <w:r w:rsidR="001E0AF3" w:rsidRPr="6E1A4D31">
        <w:rPr>
          <w:rFonts w:eastAsia="Times New Roman" w:cs="Arial"/>
          <w:lang w:eastAsia="en-AU"/>
        </w:rPr>
        <w:t xml:space="preserve">It </w:t>
      </w:r>
      <w:r w:rsidRPr="6E1A4D31">
        <w:rPr>
          <w:rFonts w:eastAsia="Times New Roman" w:cs="Arial"/>
          <w:lang w:eastAsia="en-AU"/>
        </w:rPr>
        <w:t xml:space="preserve">follows on from the </w:t>
      </w:r>
      <w:r w:rsidR="006F0EF1" w:rsidRPr="6E1A4D31">
        <w:rPr>
          <w:rFonts w:eastAsia="Times New Roman" w:cs="Arial"/>
          <w:lang w:eastAsia="en-AU"/>
        </w:rPr>
        <w:t xml:space="preserve">2019 </w:t>
      </w:r>
      <w:hyperlink r:id="rId21">
        <w:r w:rsidRPr="6E1A4D31">
          <w:rPr>
            <w:rStyle w:val="Hyperlink"/>
            <w:rFonts w:eastAsia="Times New Roman" w:cs="Arial"/>
            <w:i/>
            <w:iCs/>
            <w:lang w:eastAsia="en-AU"/>
          </w:rPr>
          <w:t>Decision regulation impact statement: Workplace exposure standards framework under the model Work Health and Safety laws</w:t>
        </w:r>
      </w:hyperlink>
      <w:r w:rsidRPr="6E1A4D31">
        <w:rPr>
          <w:rFonts w:eastAsia="Times New Roman" w:cs="Arial"/>
          <w:lang w:eastAsia="en-AU"/>
        </w:rPr>
        <w:t xml:space="preserve"> (WES Review Decision RIS). </w:t>
      </w:r>
    </w:p>
    <w:p w14:paraId="2AA6DBEA" w14:textId="50CEA7BE" w:rsidR="007F7ED8" w:rsidRPr="009911EB" w:rsidRDefault="008A6666" w:rsidP="007F7ED8">
      <w:pPr>
        <w:spacing w:after="200" w:line="240" w:lineRule="atLeast"/>
        <w:contextualSpacing w:val="0"/>
        <w:rPr>
          <w:rFonts w:eastAsia="Times New Roman"/>
          <w:lang w:eastAsia="en-AU"/>
        </w:rPr>
      </w:pPr>
      <w:r>
        <w:rPr>
          <w:rFonts w:eastAsia="Times New Roman" w:cs="Arial"/>
          <w:szCs w:val="22"/>
          <w:lang w:eastAsia="en-AU"/>
        </w:rPr>
        <w:t xml:space="preserve">Workers in a broad range of industries </w:t>
      </w:r>
      <w:r w:rsidR="00D2327E">
        <w:rPr>
          <w:rFonts w:eastAsia="Times New Roman" w:cs="Arial"/>
          <w:szCs w:val="22"/>
          <w:lang w:eastAsia="en-AU"/>
        </w:rPr>
        <w:t xml:space="preserve">are required to engage with </w:t>
      </w:r>
      <w:r w:rsidR="00D477D2">
        <w:rPr>
          <w:rFonts w:eastAsia="Times New Roman" w:cs="Arial"/>
          <w:szCs w:val="22"/>
          <w:lang w:eastAsia="en-AU"/>
        </w:rPr>
        <w:t xml:space="preserve">one or more of these chemicals as part of their </w:t>
      </w:r>
      <w:r w:rsidR="006C3C4B">
        <w:rPr>
          <w:rFonts w:eastAsia="Times New Roman" w:cs="Arial"/>
          <w:szCs w:val="22"/>
          <w:lang w:eastAsia="en-AU"/>
        </w:rPr>
        <w:t>work</w:t>
      </w:r>
      <w:r w:rsidR="00D477D2">
        <w:rPr>
          <w:rFonts w:eastAsia="Times New Roman" w:cs="Arial"/>
          <w:szCs w:val="22"/>
          <w:lang w:eastAsia="en-AU"/>
        </w:rPr>
        <w:t xml:space="preserve">. </w:t>
      </w:r>
      <w:r w:rsidR="0060377D" w:rsidRPr="0060377D">
        <w:rPr>
          <w:rFonts w:eastAsia="Times New Roman" w:cs="Arial"/>
          <w:szCs w:val="22"/>
          <w:lang w:eastAsia="en-AU"/>
        </w:rPr>
        <w:t xml:space="preserve">Exposure to airborne contaminants </w:t>
      </w:r>
      <w:r w:rsidR="00A457E7">
        <w:rPr>
          <w:rFonts w:eastAsia="Times New Roman" w:cs="Arial"/>
          <w:szCs w:val="22"/>
          <w:lang w:eastAsia="en-AU"/>
        </w:rPr>
        <w:t>above health-based exposure limits</w:t>
      </w:r>
      <w:r w:rsidR="0060377D" w:rsidRPr="0060377D">
        <w:rPr>
          <w:rFonts w:eastAsia="Times New Roman" w:cs="Arial"/>
          <w:szCs w:val="22"/>
          <w:lang w:eastAsia="en-AU"/>
        </w:rPr>
        <w:t xml:space="preserve"> place</w:t>
      </w:r>
      <w:r w:rsidR="00A457E7">
        <w:rPr>
          <w:rFonts w:eastAsia="Times New Roman" w:cs="Arial"/>
          <w:szCs w:val="22"/>
          <w:lang w:eastAsia="en-AU"/>
        </w:rPr>
        <w:t>s</w:t>
      </w:r>
      <w:r w:rsidR="0060377D" w:rsidRPr="0060377D">
        <w:rPr>
          <w:rFonts w:eastAsia="Times New Roman" w:cs="Arial"/>
          <w:szCs w:val="22"/>
          <w:lang w:eastAsia="en-AU"/>
        </w:rPr>
        <w:t xml:space="preserve"> workers at risk of occupational disease</w:t>
      </w:r>
      <w:r w:rsidR="007F7ED8">
        <w:rPr>
          <w:rFonts w:eastAsia="Times New Roman" w:cs="Arial"/>
          <w:szCs w:val="22"/>
          <w:lang w:eastAsia="en-AU"/>
        </w:rPr>
        <w:t xml:space="preserve"> and illness</w:t>
      </w:r>
      <w:r w:rsidR="00DC4760">
        <w:rPr>
          <w:rFonts w:eastAsia="Times New Roman" w:cs="Arial"/>
          <w:szCs w:val="22"/>
          <w:lang w:eastAsia="en-AU"/>
        </w:rPr>
        <w:t xml:space="preserve"> and</w:t>
      </w:r>
      <w:r w:rsidR="002C33C6">
        <w:rPr>
          <w:rFonts w:eastAsia="Times New Roman" w:cs="Arial"/>
          <w:szCs w:val="22"/>
          <w:lang w:eastAsia="en-AU"/>
        </w:rPr>
        <w:t xml:space="preserve"> can have significant</w:t>
      </w:r>
      <w:r w:rsidR="006B308D">
        <w:rPr>
          <w:rFonts w:eastAsia="Times New Roman" w:cs="Arial"/>
          <w:szCs w:val="22"/>
          <w:lang w:eastAsia="en-AU"/>
        </w:rPr>
        <w:t xml:space="preserve"> adverse</w:t>
      </w:r>
      <w:r w:rsidR="002C33C6">
        <w:rPr>
          <w:rFonts w:eastAsia="Times New Roman" w:cs="Arial"/>
          <w:szCs w:val="22"/>
          <w:lang w:eastAsia="en-AU"/>
        </w:rPr>
        <w:t xml:space="preserve"> </w:t>
      </w:r>
      <w:r w:rsidR="00BA1F2F">
        <w:rPr>
          <w:rFonts w:eastAsia="Times New Roman" w:cs="Arial"/>
          <w:szCs w:val="22"/>
          <w:lang w:eastAsia="en-AU"/>
        </w:rPr>
        <w:t>h</w:t>
      </w:r>
      <w:r w:rsidR="007F7ED8">
        <w:rPr>
          <w:rFonts w:eastAsia="Times New Roman"/>
          <w:lang w:eastAsia="en-AU"/>
        </w:rPr>
        <w:t xml:space="preserve">ealth </w:t>
      </w:r>
      <w:r w:rsidR="006B308D">
        <w:rPr>
          <w:rFonts w:eastAsia="Times New Roman"/>
          <w:lang w:eastAsia="en-AU"/>
        </w:rPr>
        <w:t>effects</w:t>
      </w:r>
      <w:r w:rsidR="007F7ED8">
        <w:rPr>
          <w:rFonts w:eastAsia="Times New Roman"/>
          <w:lang w:eastAsia="en-AU"/>
        </w:rPr>
        <w:t xml:space="preserve"> includ</w:t>
      </w:r>
      <w:r w:rsidR="002C33C6">
        <w:rPr>
          <w:rFonts w:eastAsia="Times New Roman"/>
          <w:lang w:eastAsia="en-AU"/>
        </w:rPr>
        <w:t>ing</w:t>
      </w:r>
      <w:r w:rsidR="007F7ED8" w:rsidRPr="009911EB">
        <w:rPr>
          <w:rFonts w:eastAsia="Times New Roman"/>
          <w:lang w:eastAsia="en-AU"/>
        </w:rPr>
        <w:t>:</w:t>
      </w:r>
    </w:p>
    <w:p w14:paraId="5E4F6B16" w14:textId="03C7326A" w:rsidR="007F7ED8" w:rsidRPr="009911EB" w:rsidRDefault="007F7ED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t>respiratory diseases like asthma, pneumoconiosis and silicosis</w:t>
      </w:r>
    </w:p>
    <w:p w14:paraId="27CC04FC" w14:textId="77777777" w:rsidR="007F7ED8" w:rsidRPr="009911EB" w:rsidRDefault="007F7ED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t>cardiovascular diseases, and</w:t>
      </w:r>
    </w:p>
    <w:p w14:paraId="58E7F0CA" w14:textId="77777777" w:rsidR="007F7ED8" w:rsidRPr="009911EB" w:rsidRDefault="007F7ED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t>cancers like mesothelioma, leukaemia and lymphoma.</w:t>
      </w:r>
    </w:p>
    <w:p w14:paraId="48763D86" w14:textId="77777777" w:rsidR="00313366" w:rsidRPr="00313366" w:rsidRDefault="00313366" w:rsidP="00CA6B6E">
      <w:pPr>
        <w:pStyle w:val="SWAHeading3"/>
        <w:rPr>
          <w:rFonts w:ascii="Segoe UI" w:hAnsi="Segoe UI" w:cs="Segoe UI"/>
          <w:sz w:val="18"/>
          <w:szCs w:val="18"/>
          <w:lang w:eastAsia="en-AU"/>
        </w:rPr>
      </w:pPr>
      <w:r w:rsidRPr="00313366">
        <w:rPr>
          <w:lang w:eastAsia="en-AU"/>
        </w:rPr>
        <w:t>Background </w:t>
      </w:r>
    </w:p>
    <w:p w14:paraId="5ED33CA8" w14:textId="3AD9F713" w:rsidR="00DC5663" w:rsidRDefault="00313366" w:rsidP="00943B27">
      <w:pPr>
        <w:contextualSpacing w:val="0"/>
        <w:rPr>
          <w:rFonts w:eastAsia="Times New Roman" w:cs="Arial"/>
          <w:lang w:eastAsia="en-AU"/>
        </w:rPr>
      </w:pPr>
      <w:r w:rsidRPr="2D7C9783">
        <w:rPr>
          <w:rFonts w:eastAsia="Times New Roman" w:cs="Arial"/>
          <w:lang w:eastAsia="en-AU"/>
        </w:rPr>
        <w:t xml:space="preserve">In response to the WES Review Decision RIS, WHS ministers agreed in 2019 to review the </w:t>
      </w:r>
      <w:hyperlink r:id="rId22">
        <w:r w:rsidRPr="2D7C9783">
          <w:rPr>
            <w:rStyle w:val="Hyperlink"/>
            <w:i/>
            <w:iCs/>
          </w:rPr>
          <w:t>Workplace exposure standards for airborne contaminants</w:t>
        </w:r>
      </w:hyperlink>
      <w:r w:rsidRPr="2D7C9783">
        <w:rPr>
          <w:rFonts w:eastAsia="Times New Roman" w:cs="Arial"/>
          <w:i/>
          <w:lang w:eastAsia="en-AU"/>
        </w:rPr>
        <w:t xml:space="preserve"> (WES list)</w:t>
      </w:r>
      <w:r w:rsidRPr="2D7C9783">
        <w:rPr>
          <w:rFonts w:eastAsia="Times New Roman" w:cs="Arial"/>
          <w:lang w:eastAsia="en-AU"/>
        </w:rPr>
        <w:t xml:space="preserve"> to ensure that</w:t>
      </w:r>
      <w:r w:rsidR="00DC5663" w:rsidRPr="2D7C9783">
        <w:rPr>
          <w:rFonts w:eastAsia="Times New Roman" w:cs="Arial"/>
          <w:lang w:eastAsia="en-AU"/>
        </w:rPr>
        <w:t xml:space="preserve"> </w:t>
      </w:r>
      <w:r w:rsidRPr="2D7C9783">
        <w:rPr>
          <w:rFonts w:eastAsia="Times New Roman" w:cs="Arial"/>
          <w:lang w:eastAsia="en-AU"/>
        </w:rPr>
        <w:t>the WES adequately protect workers from the adverse health effects from exposure to the airborne hazardous chemicals.  </w:t>
      </w:r>
    </w:p>
    <w:p w14:paraId="46E158F0" w14:textId="617FB4C4" w:rsidR="00313366" w:rsidRPr="00DC5663" w:rsidRDefault="00313366" w:rsidP="00DC5663">
      <w:pPr>
        <w:spacing w:line="240" w:lineRule="auto"/>
        <w:contextualSpacing w:val="0"/>
        <w:textAlignment w:val="baseline"/>
        <w:rPr>
          <w:rFonts w:eastAsia="Times New Roman" w:cs="Arial"/>
          <w:szCs w:val="22"/>
          <w:lang w:eastAsia="en-AU"/>
        </w:rPr>
      </w:pPr>
      <w:r w:rsidRPr="00313366">
        <w:rPr>
          <w:rFonts w:eastAsia="Times New Roman" w:cs="Arial"/>
          <w:szCs w:val="22"/>
          <w:lang w:eastAsia="en-AU"/>
        </w:rPr>
        <w:t xml:space="preserve">Stakeholder feedback that informed the WES Review Decision RIS confirmed that to reduce the risks to workers from potentially harmful airborne hazardous chemicals, Australia’s WES need updating in-line with current scientific knowledge and community expectations. There was </w:t>
      </w:r>
      <w:r w:rsidR="00CC7802">
        <w:rPr>
          <w:rFonts w:eastAsia="Times New Roman" w:cs="Arial"/>
          <w:szCs w:val="22"/>
          <w:lang w:eastAsia="en-AU"/>
        </w:rPr>
        <w:t>some</w:t>
      </w:r>
      <w:r w:rsidR="0051411E" w:rsidRPr="00313366">
        <w:rPr>
          <w:rFonts w:eastAsia="Times New Roman" w:cs="Arial"/>
          <w:szCs w:val="22"/>
          <w:lang w:eastAsia="en-AU"/>
        </w:rPr>
        <w:t xml:space="preserve"> </w:t>
      </w:r>
      <w:r w:rsidRPr="00313366">
        <w:rPr>
          <w:rFonts w:eastAsia="Times New Roman" w:cs="Arial"/>
          <w:szCs w:val="22"/>
          <w:lang w:eastAsia="en-AU"/>
        </w:rPr>
        <w:t xml:space="preserve">support for maintaining </w:t>
      </w:r>
      <w:r w:rsidR="004B080B">
        <w:rPr>
          <w:rFonts w:eastAsia="Times New Roman" w:cs="Arial"/>
          <w:szCs w:val="22"/>
          <w:lang w:eastAsia="en-AU"/>
        </w:rPr>
        <w:t xml:space="preserve">the </w:t>
      </w:r>
      <w:r w:rsidRPr="00313366">
        <w:rPr>
          <w:rFonts w:eastAsia="Times New Roman" w:cs="Arial"/>
          <w:szCs w:val="22"/>
          <w:lang w:eastAsia="en-AU"/>
        </w:rPr>
        <w:t xml:space="preserve">status quo </w:t>
      </w:r>
      <w:r w:rsidR="00767515">
        <w:rPr>
          <w:rFonts w:eastAsia="Times New Roman" w:cs="Arial"/>
          <w:szCs w:val="22"/>
          <w:lang w:eastAsia="en-AU"/>
        </w:rPr>
        <w:t xml:space="preserve">– </w:t>
      </w:r>
      <w:r w:rsidRPr="00313366">
        <w:rPr>
          <w:rFonts w:eastAsia="Times New Roman" w:cs="Arial"/>
          <w:szCs w:val="22"/>
          <w:lang w:eastAsia="en-AU"/>
        </w:rPr>
        <w:t xml:space="preserve">that is retaining </w:t>
      </w:r>
      <w:r w:rsidR="00DC64E4">
        <w:rPr>
          <w:rFonts w:eastAsia="Times New Roman" w:cs="Arial"/>
          <w:szCs w:val="22"/>
          <w:lang w:eastAsia="en-AU"/>
        </w:rPr>
        <w:t>existing</w:t>
      </w:r>
      <w:r w:rsidR="0044571B" w:rsidRPr="00313366">
        <w:rPr>
          <w:rFonts w:eastAsia="Times New Roman" w:cs="Arial"/>
          <w:szCs w:val="22"/>
          <w:lang w:eastAsia="en-AU"/>
        </w:rPr>
        <w:t xml:space="preserve"> </w:t>
      </w:r>
      <w:r w:rsidRPr="00313366">
        <w:rPr>
          <w:rFonts w:eastAsia="Times New Roman" w:cs="Arial"/>
          <w:szCs w:val="22"/>
          <w:lang w:eastAsia="en-AU"/>
        </w:rPr>
        <w:t>WES</w:t>
      </w:r>
      <w:r w:rsidR="004B080B">
        <w:rPr>
          <w:rFonts w:eastAsia="Times New Roman" w:cs="Arial"/>
          <w:szCs w:val="22"/>
          <w:lang w:eastAsia="en-AU"/>
        </w:rPr>
        <w:t xml:space="preserve">, </w:t>
      </w:r>
      <w:r w:rsidR="00010391">
        <w:rPr>
          <w:rFonts w:eastAsia="Times New Roman" w:cs="Arial"/>
          <w:szCs w:val="22"/>
          <w:lang w:eastAsia="en-AU"/>
        </w:rPr>
        <w:t xml:space="preserve">with the most significant support coming from industry, </w:t>
      </w:r>
      <w:r w:rsidR="004B080B">
        <w:rPr>
          <w:rFonts w:eastAsia="Times New Roman" w:cs="Arial"/>
          <w:szCs w:val="22"/>
          <w:lang w:eastAsia="en-AU"/>
        </w:rPr>
        <w:t>however, this is unlikely to offer the most optimal protection against</w:t>
      </w:r>
      <w:r w:rsidRPr="00313366">
        <w:rPr>
          <w:rFonts w:eastAsia="Times New Roman" w:cs="Arial"/>
          <w:szCs w:val="22"/>
          <w:lang w:eastAsia="en-AU"/>
        </w:rPr>
        <w:t xml:space="preserve"> adverse health effects. </w:t>
      </w:r>
    </w:p>
    <w:p w14:paraId="4E1DD910" w14:textId="0550870E"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An expert review was undertaken of available evidence for over 600 chemicals and chemical groups to determine health-based limits (i.e. exposure levels that would be protective of adverse health effects). Evaluation reports including the recommended health-based limits were published and stakeholder feedback sought.  </w:t>
      </w:r>
    </w:p>
    <w:p w14:paraId="6A1D0789" w14:textId="2675D004"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Safe Work Australia Members</w:t>
      </w:r>
      <w:r w:rsidR="00561D05">
        <w:rPr>
          <w:rFonts w:eastAsia="Times New Roman" w:cs="Arial"/>
          <w:szCs w:val="22"/>
          <w:lang w:eastAsia="en-AU"/>
        </w:rPr>
        <w:t xml:space="preserve"> (Members)</w:t>
      </w:r>
      <w:r w:rsidRPr="00313366">
        <w:rPr>
          <w:rFonts w:eastAsia="Times New Roman" w:cs="Arial"/>
          <w:szCs w:val="22"/>
          <w:lang w:eastAsia="en-AU"/>
        </w:rPr>
        <w:t xml:space="preserve"> considered the expert review reports, together with stakeholder feedback, and recommended to WHS ministers that the proposed health-based limits for all chemicals included in the </w:t>
      </w:r>
      <w:hyperlink r:id="rId23" w:tgtFrame="_blank" w:history="1">
        <w:r w:rsidRPr="00BE73B9">
          <w:rPr>
            <w:rStyle w:val="Hyperlink"/>
            <w:i/>
            <w:iCs/>
          </w:rPr>
          <w:t>Workplace exposure limits for airborne contaminants</w:t>
        </w:r>
      </w:hyperlink>
      <w:r w:rsidRPr="00CA6B6E">
        <w:t xml:space="preserve"> </w:t>
      </w:r>
      <w:r w:rsidRPr="00313366">
        <w:rPr>
          <w:rFonts w:eastAsia="Times New Roman" w:cs="Arial"/>
          <w:szCs w:val="22"/>
          <w:lang w:eastAsia="en-AU"/>
        </w:rPr>
        <w:t xml:space="preserve">(WEL list) be implemented. WHS ministers agreed to implement all of the health-based limits with the exception of the 9 chemicals that, based on stakeholder feedback, they had previously requested additional impact analysis </w:t>
      </w:r>
      <w:r w:rsidR="002D4591">
        <w:rPr>
          <w:rFonts w:eastAsia="Times New Roman" w:cs="Arial"/>
          <w:szCs w:val="22"/>
          <w:lang w:eastAsia="en-AU"/>
        </w:rPr>
        <w:t>be undertaken</w:t>
      </w:r>
      <w:r w:rsidRPr="00313366">
        <w:rPr>
          <w:rFonts w:eastAsia="Times New Roman" w:cs="Arial"/>
          <w:szCs w:val="22"/>
          <w:lang w:eastAsia="en-AU"/>
        </w:rPr>
        <w:t xml:space="preserve"> (this Decision RIS</w:t>
      </w:r>
      <w:r w:rsidR="00232E19">
        <w:rPr>
          <w:rFonts w:eastAsia="Times New Roman" w:cs="Arial"/>
          <w:szCs w:val="22"/>
          <w:lang w:eastAsia="en-AU"/>
        </w:rPr>
        <w:t>)</w:t>
      </w:r>
      <w:r w:rsidRPr="00313366">
        <w:rPr>
          <w:rFonts w:eastAsia="Times New Roman" w:cs="Arial"/>
          <w:szCs w:val="22"/>
          <w:lang w:eastAsia="en-AU"/>
        </w:rPr>
        <w:t xml:space="preserve">. To assist persons conducting a business or undertaking (PCBUs) in complying with the new requirements, WHS ministers agreed implementation of the </w:t>
      </w:r>
      <w:r w:rsidR="00FD0232">
        <w:rPr>
          <w:rFonts w:eastAsia="Times New Roman" w:cs="Arial"/>
          <w:szCs w:val="22"/>
          <w:lang w:eastAsia="en-AU"/>
        </w:rPr>
        <w:t xml:space="preserve">new </w:t>
      </w:r>
      <w:r w:rsidRPr="00313366">
        <w:rPr>
          <w:rFonts w:eastAsia="Times New Roman" w:cs="Arial"/>
          <w:szCs w:val="22"/>
          <w:lang w:eastAsia="en-AU"/>
        </w:rPr>
        <w:t>health-based limits would be from 1 December 2026.  </w:t>
      </w:r>
    </w:p>
    <w:p w14:paraId="76B712F8" w14:textId="77777777" w:rsidR="00313366" w:rsidRPr="00313366" w:rsidRDefault="00313366" w:rsidP="00DC4760">
      <w:pPr>
        <w:pStyle w:val="SWAHeading3"/>
        <w:keepNext/>
        <w:keepLines/>
        <w:rPr>
          <w:rFonts w:ascii="Segoe UI" w:hAnsi="Segoe UI" w:cs="Segoe UI"/>
          <w:sz w:val="18"/>
          <w:szCs w:val="18"/>
          <w:lang w:eastAsia="en-AU"/>
        </w:rPr>
      </w:pPr>
      <w:r w:rsidRPr="00313366">
        <w:rPr>
          <w:lang w:eastAsia="en-AU"/>
        </w:rPr>
        <w:t>Current impact analysis </w:t>
      </w:r>
    </w:p>
    <w:p w14:paraId="685FAC20" w14:textId="5CC1AFD7"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This Decision RIS analyses the impacts of implementing the health-based limits agreed by Members</w:t>
      </w:r>
      <w:r w:rsidR="00D873C2">
        <w:rPr>
          <w:rFonts w:eastAsia="Times New Roman" w:cs="Arial"/>
          <w:szCs w:val="22"/>
          <w:lang w:eastAsia="en-AU"/>
        </w:rPr>
        <w:t xml:space="preserve"> to be recommended to WHS ministers,</w:t>
      </w:r>
      <w:r w:rsidRPr="00313366">
        <w:rPr>
          <w:rFonts w:eastAsia="Times New Roman" w:cs="Arial"/>
          <w:szCs w:val="22"/>
          <w:lang w:eastAsia="en-AU"/>
        </w:rPr>
        <w:t xml:space="preserve"> for each of the 9 chemicals (Option 2), compared to maintaining their current WES (base case/status quo; Option 1). Regulatory and non-regulatory options that did not include implementation of health-based limits were not considered as this would be inconsistent with WHS ministers’ decision</w:t>
      </w:r>
      <w:r w:rsidR="000C2981">
        <w:rPr>
          <w:rFonts w:eastAsia="Times New Roman" w:cs="Arial"/>
          <w:szCs w:val="22"/>
          <w:lang w:eastAsia="en-AU"/>
        </w:rPr>
        <w:t>,</w:t>
      </w:r>
      <w:r w:rsidRPr="00313366">
        <w:rPr>
          <w:rFonts w:eastAsia="Times New Roman" w:cs="Arial"/>
          <w:szCs w:val="22"/>
          <w:lang w:eastAsia="en-AU"/>
        </w:rPr>
        <w:t xml:space="preserve"> from the WES </w:t>
      </w:r>
      <w:r w:rsidRPr="00313366">
        <w:rPr>
          <w:rFonts w:eastAsia="Times New Roman" w:cs="Arial"/>
          <w:szCs w:val="22"/>
          <w:lang w:eastAsia="en-AU"/>
        </w:rPr>
        <w:lastRenderedPageBreak/>
        <w:t>Review Decision RIS</w:t>
      </w:r>
      <w:r w:rsidR="000C2981">
        <w:rPr>
          <w:rFonts w:eastAsia="Times New Roman" w:cs="Arial"/>
          <w:szCs w:val="22"/>
          <w:lang w:eastAsia="en-AU"/>
        </w:rPr>
        <w:t>,</w:t>
      </w:r>
      <w:r w:rsidRPr="00313366">
        <w:rPr>
          <w:rFonts w:eastAsia="Times New Roman" w:cs="Arial"/>
          <w:szCs w:val="22"/>
          <w:lang w:eastAsia="en-AU"/>
        </w:rPr>
        <w:t xml:space="preserve"> to ensure adequate protection of workers from the adverse health effects from exposure to these hazardous chemicals. However, it should be noted that Safe Work Australia is undertaking </w:t>
      </w:r>
      <w:r w:rsidR="00FD0232">
        <w:rPr>
          <w:rFonts w:eastAsia="Times New Roman" w:cs="Arial"/>
          <w:szCs w:val="22"/>
          <w:lang w:eastAsia="en-AU"/>
        </w:rPr>
        <w:t xml:space="preserve">extensive </w:t>
      </w:r>
      <w:r w:rsidRPr="00313366">
        <w:rPr>
          <w:rFonts w:eastAsia="Times New Roman" w:cs="Arial"/>
          <w:szCs w:val="22"/>
          <w:lang w:eastAsia="en-AU"/>
        </w:rPr>
        <w:t>education and awareness activities (a non-regulatory option) to support the implementation of the WEL list prior to the end of the transition period on 30 November 2026. </w:t>
      </w:r>
    </w:p>
    <w:p w14:paraId="23AE49AE" w14:textId="35C57A8B" w:rsidR="00250BBC" w:rsidRPr="00250BBC" w:rsidRDefault="00250BBC" w:rsidP="00250BBC">
      <w:pPr>
        <w:spacing w:line="240" w:lineRule="auto"/>
        <w:textAlignment w:val="baseline"/>
        <w:rPr>
          <w:rFonts w:eastAsia="Times New Roman" w:cs="Arial"/>
          <w:lang w:eastAsia="en-AU"/>
        </w:rPr>
      </w:pPr>
      <w:r w:rsidRPr="00250BBC">
        <w:rPr>
          <w:rFonts w:eastAsia="Times New Roman" w:cs="Arial"/>
          <w:lang w:eastAsia="en-AU"/>
        </w:rPr>
        <w:t xml:space="preserve">The net benefit for each option has been determined based on both quantifiable and non-quantifiable costs and benefits. Some costs and benefits were not able to be quantified due </w:t>
      </w:r>
      <w:r w:rsidR="001C46C6">
        <w:rPr>
          <w:rFonts w:eastAsia="Times New Roman" w:cs="Arial"/>
          <w:lang w:eastAsia="en-AU"/>
        </w:rPr>
        <w:t xml:space="preserve">to </w:t>
      </w:r>
      <w:r w:rsidRPr="00250BBC">
        <w:rPr>
          <w:rFonts w:eastAsia="Times New Roman" w:cs="Arial"/>
          <w:lang w:eastAsia="en-AU"/>
        </w:rPr>
        <w:t xml:space="preserve">a range of data limitations outlined in section 5 of this Decision RIS. The quantifiable and non-quantifiable costs and benefits have been assessed for each of the 9 chemicals for each option. </w:t>
      </w:r>
    </w:p>
    <w:p w14:paraId="7DD3E234" w14:textId="77777777" w:rsidR="00313366" w:rsidRPr="00313366" w:rsidRDefault="00313366" w:rsidP="00CA6B6E">
      <w:pPr>
        <w:pStyle w:val="SWAHeading3"/>
        <w:rPr>
          <w:rFonts w:ascii="Segoe UI" w:hAnsi="Segoe UI" w:cs="Segoe UI"/>
          <w:sz w:val="18"/>
          <w:szCs w:val="18"/>
          <w:lang w:eastAsia="en-AU"/>
        </w:rPr>
      </w:pPr>
      <w:r w:rsidRPr="00313366">
        <w:rPr>
          <w:lang w:eastAsia="en-AU"/>
        </w:rPr>
        <w:t>Preferred option </w:t>
      </w:r>
    </w:p>
    <w:p w14:paraId="24BC8A98" w14:textId="4CB6BE5F" w:rsidR="007A00BF" w:rsidRPr="00FC3F30" w:rsidRDefault="007A00BF" w:rsidP="00B64384">
      <w:pPr>
        <w:spacing w:line="240" w:lineRule="auto"/>
        <w:contextualSpacing w:val="0"/>
        <w:textAlignment w:val="baseline"/>
        <w:rPr>
          <w:rFonts w:eastAsia="Times New Roman" w:cs="Arial"/>
          <w:b/>
          <w:bCs/>
          <w:i/>
          <w:iCs/>
          <w:sz w:val="24"/>
          <w:lang w:eastAsia="en-AU"/>
        </w:rPr>
      </w:pPr>
      <w:r w:rsidRPr="7650885F">
        <w:rPr>
          <w:rFonts w:eastAsia="Times New Roman" w:cs="Arial"/>
          <w:b/>
          <w:bCs/>
          <w:i/>
          <w:iCs/>
          <w:sz w:val="24"/>
          <w:lang w:eastAsia="en-AU"/>
        </w:rPr>
        <w:t xml:space="preserve">Safe Work Australia recommends Option 2 be implemented </w:t>
      </w:r>
      <w:r w:rsidR="729B86B3" w:rsidRPr="7650885F">
        <w:rPr>
          <w:rFonts w:eastAsia="Times New Roman" w:cs="Arial"/>
          <w:b/>
          <w:bCs/>
          <w:i/>
          <w:iCs/>
          <w:sz w:val="24"/>
          <w:lang w:eastAsia="en-AU"/>
        </w:rPr>
        <w:t xml:space="preserve">for each chemical, </w:t>
      </w:r>
      <w:r w:rsidRPr="7650885F">
        <w:rPr>
          <w:rFonts w:eastAsia="Times New Roman" w:cs="Arial"/>
          <w:b/>
          <w:bCs/>
          <w:i/>
          <w:iCs/>
          <w:sz w:val="24"/>
          <w:lang w:eastAsia="en-AU"/>
        </w:rPr>
        <w:t xml:space="preserve">consistent with WHS ministers' previous decision </w:t>
      </w:r>
      <w:r w:rsidR="00CD1161" w:rsidRPr="7650885F">
        <w:rPr>
          <w:rFonts w:eastAsia="Times New Roman" w:cs="Arial"/>
          <w:b/>
          <w:bCs/>
          <w:i/>
          <w:iCs/>
          <w:sz w:val="24"/>
          <w:lang w:eastAsia="en-AU"/>
        </w:rPr>
        <w:t xml:space="preserve">on the WEL, on </w:t>
      </w:r>
      <w:r w:rsidRPr="7650885F">
        <w:rPr>
          <w:rFonts w:eastAsia="Times New Roman" w:cs="Arial"/>
          <w:b/>
          <w:bCs/>
          <w:i/>
          <w:iCs/>
          <w:sz w:val="24"/>
          <w:lang w:eastAsia="en-AU"/>
        </w:rPr>
        <w:t>1 Dec</w:t>
      </w:r>
      <w:r w:rsidR="001E2B93" w:rsidRPr="7650885F">
        <w:rPr>
          <w:rFonts w:eastAsia="Times New Roman" w:cs="Arial"/>
          <w:b/>
          <w:bCs/>
          <w:i/>
          <w:iCs/>
          <w:sz w:val="24"/>
          <w:lang w:eastAsia="en-AU"/>
        </w:rPr>
        <w:t>ember</w:t>
      </w:r>
      <w:r w:rsidRPr="7650885F">
        <w:rPr>
          <w:rFonts w:eastAsia="Times New Roman" w:cs="Arial"/>
          <w:b/>
          <w:bCs/>
          <w:i/>
          <w:iCs/>
          <w:sz w:val="24"/>
          <w:lang w:eastAsia="en-AU"/>
        </w:rPr>
        <w:t xml:space="preserve"> 2026</w:t>
      </w:r>
    </w:p>
    <w:p w14:paraId="4499CEC4" w14:textId="38502D77" w:rsidR="00313366" w:rsidRDefault="00313366" w:rsidP="7650885F">
      <w:pPr>
        <w:spacing w:line="240" w:lineRule="auto"/>
        <w:contextualSpacing w:val="0"/>
        <w:textAlignment w:val="baseline"/>
        <w:rPr>
          <w:rFonts w:eastAsia="Times New Roman" w:cs="Arial"/>
          <w:lang w:eastAsia="en-AU"/>
        </w:rPr>
      </w:pPr>
      <w:r w:rsidRPr="7650885F">
        <w:rPr>
          <w:rFonts w:eastAsia="Times New Roman" w:cs="Arial"/>
          <w:lang w:eastAsia="en-AU"/>
        </w:rPr>
        <w:t>The preferred option is to implement the</w:t>
      </w:r>
      <w:r w:rsidR="00010A31" w:rsidRPr="7650885F">
        <w:rPr>
          <w:rFonts w:eastAsia="Times New Roman" w:cs="Arial"/>
          <w:lang w:eastAsia="en-AU"/>
        </w:rPr>
        <w:t xml:space="preserve"> following</w:t>
      </w:r>
      <w:r w:rsidRPr="7650885F">
        <w:rPr>
          <w:rFonts w:eastAsia="Times New Roman" w:cs="Arial"/>
          <w:lang w:eastAsia="en-AU"/>
        </w:rPr>
        <w:t xml:space="preserve"> health-based limits for each of the 9 chemicals (Option 2),</w:t>
      </w:r>
      <w:r w:rsidR="56077A49" w:rsidRPr="7650885F">
        <w:rPr>
          <w:rFonts w:eastAsia="Times New Roman" w:cs="Arial"/>
          <w:lang w:eastAsia="en-AU"/>
        </w:rPr>
        <w:t xml:space="preserve"> </w:t>
      </w:r>
      <w:r w:rsidR="003E4675" w:rsidRPr="7650885F">
        <w:rPr>
          <w:rFonts w:eastAsia="Times New Roman" w:cs="Arial"/>
          <w:lang w:eastAsia="en-AU"/>
        </w:rPr>
        <w:t>as agreed by Safe Work Australia Members</w:t>
      </w:r>
      <w:r w:rsidR="00542659" w:rsidRPr="00463155">
        <w:rPr>
          <w:rFonts w:eastAsia="Times New Roman" w:cs="Arial"/>
          <w:lang w:eastAsia="en-AU"/>
        </w:rPr>
        <w:t xml:space="preserve">. </w:t>
      </w:r>
      <w:r w:rsidR="00FF3931" w:rsidRPr="0030283C">
        <w:rPr>
          <w:rFonts w:eastAsia="Times New Roman" w:cs="Arial"/>
          <w:lang w:eastAsia="en-AU"/>
        </w:rPr>
        <w:t>This analysis</w:t>
      </w:r>
      <w:r w:rsidR="00542659" w:rsidRPr="00463155">
        <w:rPr>
          <w:rFonts w:eastAsia="Times New Roman" w:cs="Arial"/>
          <w:lang w:eastAsia="en-AU"/>
        </w:rPr>
        <w:t xml:space="preserve"> has determined that Option 2 will represent a net benefit</w:t>
      </w:r>
      <w:r w:rsidR="002259A5" w:rsidRPr="0030283C">
        <w:rPr>
          <w:rFonts w:eastAsia="Times New Roman" w:cs="Arial"/>
          <w:lang w:eastAsia="en-AU"/>
        </w:rPr>
        <w:t xml:space="preserve">, </w:t>
      </w:r>
      <w:r w:rsidR="00542659" w:rsidRPr="00463155">
        <w:rPr>
          <w:rFonts w:eastAsia="Times New Roman" w:cs="Arial"/>
          <w:lang w:eastAsia="en-AU"/>
        </w:rPr>
        <w:t>following implementation</w:t>
      </w:r>
      <w:r w:rsidR="002259A5" w:rsidRPr="0030283C">
        <w:rPr>
          <w:rFonts w:eastAsia="Times New Roman" w:cs="Arial"/>
          <w:lang w:eastAsia="en-AU"/>
        </w:rPr>
        <w:t>,</w:t>
      </w:r>
      <w:r w:rsidR="00542659" w:rsidRPr="00463155">
        <w:rPr>
          <w:rFonts w:eastAsia="Times New Roman" w:cs="Arial"/>
          <w:lang w:eastAsia="en-AU"/>
        </w:rPr>
        <w:t xml:space="preserve"> for all 9 chemicals, based on an assessment of the quantifiable and non-quantifia</w:t>
      </w:r>
      <w:r w:rsidR="002259A5" w:rsidRPr="00463155">
        <w:rPr>
          <w:rFonts w:eastAsia="Times New Roman" w:cs="Arial"/>
          <w:lang w:eastAsia="en-AU"/>
        </w:rPr>
        <w:t xml:space="preserve">ble benefits and costs. The reasons </w:t>
      </w:r>
      <w:r w:rsidR="002259A5" w:rsidRPr="0030283C">
        <w:rPr>
          <w:rFonts w:eastAsia="Times New Roman" w:cs="Arial"/>
          <w:lang w:eastAsia="en-AU"/>
        </w:rPr>
        <w:t>for</w:t>
      </w:r>
      <w:r w:rsidR="002259A5" w:rsidRPr="00463155">
        <w:rPr>
          <w:rFonts w:eastAsia="Times New Roman" w:cs="Arial"/>
          <w:lang w:eastAsia="en-AU"/>
        </w:rPr>
        <w:t xml:space="preserve"> this determination of a net benefit for Option 2</w:t>
      </w:r>
      <w:r w:rsidR="0030283C">
        <w:rPr>
          <w:rFonts w:eastAsia="Times New Roman" w:cs="Arial"/>
          <w:lang w:eastAsia="en-AU"/>
        </w:rPr>
        <w:t xml:space="preserve"> </w:t>
      </w:r>
      <w:r w:rsidR="002259A5" w:rsidRPr="00463155">
        <w:rPr>
          <w:rFonts w:eastAsia="Times New Roman" w:cs="Arial"/>
          <w:lang w:eastAsia="en-AU"/>
        </w:rPr>
        <w:t>are</w:t>
      </w:r>
      <w:r w:rsidRPr="00463155">
        <w:rPr>
          <w:rFonts w:eastAsia="Times New Roman" w:cs="Arial"/>
          <w:lang w:eastAsia="en-AU"/>
        </w:rPr>
        <w:t xml:space="preserve"> outlined below.</w:t>
      </w:r>
      <w:r w:rsidRPr="7650885F">
        <w:rPr>
          <w:rFonts w:eastAsia="Times New Roman" w:cs="Arial"/>
          <w:lang w:eastAsia="en-AU"/>
        </w:rPr>
        <w:t>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4DDFC" w:themeFill="text2" w:themeFillTint="1A"/>
        <w:tblLook w:val="04A0" w:firstRow="1" w:lastRow="0" w:firstColumn="1" w:lastColumn="0" w:noHBand="0" w:noVBand="1"/>
      </w:tblPr>
      <w:tblGrid>
        <w:gridCol w:w="9015"/>
      </w:tblGrid>
      <w:tr w:rsidR="00066049" w14:paraId="6FF6B354" w14:textId="77777777" w:rsidTr="00A704CC">
        <w:tc>
          <w:tcPr>
            <w:tcW w:w="8784" w:type="dxa"/>
            <w:shd w:val="clear" w:color="auto" w:fill="DAE3F8" w:themeFill="accent1" w:themeFillTint="33"/>
          </w:tcPr>
          <w:p w14:paraId="35F6E86B" w14:textId="6DCD9A1B" w:rsidR="00624380" w:rsidRPr="00624380" w:rsidRDefault="00624380" w:rsidP="009473A2">
            <w:pPr>
              <w:spacing w:before="120"/>
              <w:contextualSpacing w:val="0"/>
              <w:rPr>
                <w:b/>
                <w:bCs/>
              </w:rPr>
            </w:pPr>
            <w:r w:rsidRPr="00624380">
              <w:rPr>
                <w:b/>
                <w:bCs/>
              </w:rPr>
              <w:t xml:space="preserve">Recommended WELs for the 9 chemicals: </w:t>
            </w:r>
          </w:p>
          <w:tbl>
            <w:tblPr>
              <w:tblStyle w:val="TableGrid"/>
              <w:tblW w:w="87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670"/>
            </w:tblGrid>
            <w:tr w:rsidR="00DC4D2B" w14:paraId="46E9E8A9" w14:textId="77777777" w:rsidTr="00F10F08">
              <w:tc>
                <w:tcPr>
                  <w:tcW w:w="3119" w:type="dxa"/>
                  <w:shd w:val="clear" w:color="auto" w:fill="DAE3F8" w:themeFill="accent1" w:themeFillTint="33"/>
                </w:tcPr>
                <w:p w14:paraId="4A4944A8" w14:textId="77777777" w:rsidR="00066049" w:rsidRDefault="00066049" w:rsidP="00A704CC">
                  <w:pPr>
                    <w:spacing w:before="120" w:line="240" w:lineRule="atLeast"/>
                    <w:contextualSpacing w:val="0"/>
                  </w:pPr>
                  <w:r>
                    <w:t>Benzene</w:t>
                  </w:r>
                </w:p>
              </w:tc>
              <w:tc>
                <w:tcPr>
                  <w:tcW w:w="5670" w:type="dxa"/>
                  <w:shd w:val="clear" w:color="auto" w:fill="DAE3F8" w:themeFill="accent1" w:themeFillTint="33"/>
                </w:tcPr>
                <w:p w14:paraId="77DBD0E5" w14:textId="77777777" w:rsidR="00066049" w:rsidRDefault="00066049" w:rsidP="00A704CC">
                  <w:pPr>
                    <w:spacing w:before="120" w:line="240" w:lineRule="atLeast"/>
                    <w:contextualSpacing w:val="0"/>
                  </w:pPr>
                  <w:r w:rsidRPr="009911EB">
                    <w:rPr>
                      <w:rFonts w:eastAsia="Times New Roman"/>
                      <w:lang w:eastAsia="en-AU"/>
                    </w:rPr>
                    <w:t>TWA: 0.2 ppm (0.7 mg/m</w:t>
                  </w:r>
                  <w:r w:rsidRPr="009911EB">
                    <w:rPr>
                      <w:rFonts w:eastAsia="Times New Roman"/>
                      <w:vertAlign w:val="superscript"/>
                      <w:lang w:eastAsia="en-AU"/>
                    </w:rPr>
                    <w:t>3</w:t>
                  </w:r>
                  <w:r w:rsidRPr="009911EB">
                    <w:rPr>
                      <w:rFonts w:eastAsia="Times New Roman"/>
                      <w:lang w:eastAsia="en-AU"/>
                    </w:rPr>
                    <w:t>)</w:t>
                  </w:r>
                </w:p>
              </w:tc>
            </w:tr>
            <w:tr w:rsidR="00DC4D2B" w14:paraId="32FEEE3E" w14:textId="77777777" w:rsidTr="00F10F08">
              <w:tc>
                <w:tcPr>
                  <w:tcW w:w="3119" w:type="dxa"/>
                  <w:shd w:val="clear" w:color="auto" w:fill="DAE3F8" w:themeFill="accent1" w:themeFillTint="33"/>
                </w:tcPr>
                <w:p w14:paraId="168F84D2" w14:textId="77777777" w:rsidR="00066049" w:rsidRDefault="00066049" w:rsidP="00A704CC">
                  <w:pPr>
                    <w:spacing w:before="120" w:line="240" w:lineRule="atLeast"/>
                    <w:contextualSpacing w:val="0"/>
                  </w:pPr>
                  <w:r>
                    <w:t>Chlorine</w:t>
                  </w:r>
                </w:p>
              </w:tc>
              <w:tc>
                <w:tcPr>
                  <w:tcW w:w="5670" w:type="dxa"/>
                  <w:shd w:val="clear" w:color="auto" w:fill="DAE3F8" w:themeFill="accent1" w:themeFillTint="33"/>
                </w:tcPr>
                <w:p w14:paraId="1AE73592" w14:textId="77777777" w:rsidR="00066049" w:rsidRDefault="00066049" w:rsidP="00A704CC">
                  <w:pPr>
                    <w:spacing w:before="120" w:line="240" w:lineRule="atLeast"/>
                    <w:contextualSpacing w:val="0"/>
                  </w:pPr>
                  <w:r w:rsidRPr="009911EB">
                    <w:rPr>
                      <w:rFonts w:eastAsia="Times New Roman"/>
                      <w:lang w:eastAsia="en-AU"/>
                    </w:rPr>
                    <w:t>TWA: 0.1 ppm (0.29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Peak limitation: 0.4 ppm (1.16 mg/m</w:t>
                  </w:r>
                  <w:r w:rsidRPr="009911EB">
                    <w:rPr>
                      <w:rFonts w:eastAsia="Times New Roman"/>
                      <w:vertAlign w:val="superscript"/>
                      <w:lang w:eastAsia="en-AU"/>
                    </w:rPr>
                    <w:t>3</w:t>
                  </w:r>
                  <w:r w:rsidRPr="009911EB">
                    <w:rPr>
                      <w:rFonts w:eastAsia="Times New Roman"/>
                      <w:lang w:eastAsia="en-AU"/>
                    </w:rPr>
                    <w:t>)</w:t>
                  </w:r>
                </w:p>
              </w:tc>
            </w:tr>
            <w:tr w:rsidR="00DC4D2B" w14:paraId="5821EA2A" w14:textId="77777777" w:rsidTr="00F10F08">
              <w:tc>
                <w:tcPr>
                  <w:tcW w:w="3119" w:type="dxa"/>
                  <w:shd w:val="clear" w:color="auto" w:fill="DAE3F8" w:themeFill="accent1" w:themeFillTint="33"/>
                </w:tcPr>
                <w:p w14:paraId="79068FF2" w14:textId="77777777" w:rsidR="00066049" w:rsidRDefault="00066049" w:rsidP="00A704CC">
                  <w:pPr>
                    <w:spacing w:before="120" w:line="240" w:lineRule="atLeast"/>
                    <w:contextualSpacing w:val="0"/>
                  </w:pPr>
                  <w:r>
                    <w:t>Copper</w:t>
                  </w:r>
                </w:p>
              </w:tc>
              <w:tc>
                <w:tcPr>
                  <w:tcW w:w="5670" w:type="dxa"/>
                  <w:shd w:val="clear" w:color="auto" w:fill="DAE3F8" w:themeFill="accent1" w:themeFillTint="33"/>
                </w:tcPr>
                <w:p w14:paraId="0BCD2570" w14:textId="77777777" w:rsidR="00066049" w:rsidRDefault="00066049" w:rsidP="00A704CC">
                  <w:pPr>
                    <w:spacing w:before="120" w:line="240" w:lineRule="atLeast"/>
                    <w:contextualSpacing w:val="0"/>
                  </w:pPr>
                  <w:r w:rsidRPr="009911EB">
                    <w:rPr>
                      <w:rFonts w:eastAsia="Times New Roman"/>
                      <w:lang w:eastAsia="en-AU"/>
                    </w:rPr>
                    <w:t>TWA: 0.01 mg/m</w:t>
                  </w:r>
                  <w:r w:rsidRPr="009911EB">
                    <w:rPr>
                      <w:rFonts w:eastAsia="Times New Roman"/>
                      <w:vertAlign w:val="superscript"/>
                      <w:lang w:eastAsia="en-AU"/>
                    </w:rPr>
                    <w:t>3</w:t>
                  </w:r>
                  <w:r w:rsidRPr="009911EB">
                    <w:rPr>
                      <w:rFonts w:eastAsia="Times New Roman"/>
                      <w:lang w:eastAsia="en-AU"/>
                    </w:rPr>
                    <w:t xml:space="preserve"> (</w:t>
                  </w:r>
                  <w:r w:rsidRPr="18E072AB">
                    <w:rPr>
                      <w:rFonts w:eastAsia="Times New Roman"/>
                      <w:lang w:eastAsia="en-AU"/>
                    </w:rPr>
                    <w:t>respirable; all</w:t>
                  </w:r>
                  <w:r w:rsidRPr="009911EB">
                    <w:rPr>
                      <w:rFonts w:eastAsia="Times New Roman"/>
                      <w:lang w:eastAsia="en-AU"/>
                    </w:rPr>
                    <w:t xml:space="preserve"> forms)</w:t>
                  </w:r>
                </w:p>
              </w:tc>
            </w:tr>
            <w:tr w:rsidR="00DC4D2B" w14:paraId="7DD1254E" w14:textId="77777777" w:rsidTr="00F10F08">
              <w:tc>
                <w:tcPr>
                  <w:tcW w:w="3119" w:type="dxa"/>
                  <w:shd w:val="clear" w:color="auto" w:fill="DAE3F8" w:themeFill="accent1" w:themeFillTint="33"/>
                </w:tcPr>
                <w:p w14:paraId="28213B1B" w14:textId="77777777" w:rsidR="00066049" w:rsidRDefault="00066049" w:rsidP="00A704CC">
                  <w:pPr>
                    <w:spacing w:before="120" w:line="240" w:lineRule="atLeast"/>
                    <w:contextualSpacing w:val="0"/>
                  </w:pPr>
                  <w:r>
                    <w:t>Formaldehyde</w:t>
                  </w:r>
                </w:p>
              </w:tc>
              <w:tc>
                <w:tcPr>
                  <w:tcW w:w="5670" w:type="dxa"/>
                  <w:shd w:val="clear" w:color="auto" w:fill="DAE3F8" w:themeFill="accent1" w:themeFillTint="33"/>
                </w:tcPr>
                <w:p w14:paraId="1DE5393A" w14:textId="77777777" w:rsidR="00066049" w:rsidRDefault="00066049" w:rsidP="00A704CC">
                  <w:pPr>
                    <w:spacing w:before="120" w:line="240" w:lineRule="atLeast"/>
                    <w:contextualSpacing w:val="0"/>
                  </w:pPr>
                  <w:r w:rsidRPr="009911EB">
                    <w:rPr>
                      <w:rFonts w:eastAsia="Times New Roman"/>
                      <w:lang w:eastAsia="en-AU"/>
                    </w:rPr>
                    <w:t>TWA: 0.3 ppm (0.369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0.6 ppm (0.738 mg/m</w:t>
                  </w:r>
                  <w:r w:rsidRPr="009911EB">
                    <w:rPr>
                      <w:rFonts w:eastAsia="Times New Roman"/>
                      <w:vertAlign w:val="superscript"/>
                      <w:lang w:eastAsia="en-AU"/>
                    </w:rPr>
                    <w:t>3</w:t>
                  </w:r>
                  <w:r w:rsidRPr="009911EB">
                    <w:rPr>
                      <w:rFonts w:eastAsia="Times New Roman"/>
                      <w:lang w:eastAsia="en-AU"/>
                    </w:rPr>
                    <w:t>)</w:t>
                  </w:r>
                </w:p>
              </w:tc>
            </w:tr>
            <w:tr w:rsidR="00DC4D2B" w14:paraId="4B6C2B0A" w14:textId="77777777" w:rsidTr="00F10F08">
              <w:tc>
                <w:tcPr>
                  <w:tcW w:w="3119" w:type="dxa"/>
                  <w:shd w:val="clear" w:color="auto" w:fill="DAE3F8" w:themeFill="accent1" w:themeFillTint="33"/>
                </w:tcPr>
                <w:p w14:paraId="5B912D3A" w14:textId="77777777" w:rsidR="00066049" w:rsidRDefault="00066049" w:rsidP="00A704CC">
                  <w:pPr>
                    <w:spacing w:before="120" w:line="240" w:lineRule="atLeast"/>
                    <w:contextualSpacing w:val="0"/>
                  </w:pPr>
                  <w:r>
                    <w:t>Hydrogen cyanide</w:t>
                  </w:r>
                </w:p>
              </w:tc>
              <w:tc>
                <w:tcPr>
                  <w:tcW w:w="5670" w:type="dxa"/>
                  <w:shd w:val="clear" w:color="auto" w:fill="DAE3F8" w:themeFill="accent1" w:themeFillTint="33"/>
                </w:tcPr>
                <w:p w14:paraId="6B80E8B4" w14:textId="77777777" w:rsidR="00066049" w:rsidRDefault="00066049" w:rsidP="00A704CC">
                  <w:pPr>
                    <w:spacing w:before="120" w:line="240" w:lineRule="atLeast"/>
                    <w:contextualSpacing w:val="0"/>
                  </w:pPr>
                  <w:r w:rsidRPr="009911EB">
                    <w:rPr>
                      <w:rFonts w:eastAsia="Times New Roman"/>
                      <w:lang w:eastAsia="en-AU"/>
                    </w:rPr>
                    <w:t>TWA: 0.9 ppm (1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4.7 ppm (5 mg/m</w:t>
                  </w:r>
                  <w:r w:rsidRPr="009911EB">
                    <w:rPr>
                      <w:rFonts w:eastAsia="Times New Roman"/>
                      <w:vertAlign w:val="superscript"/>
                      <w:lang w:eastAsia="en-AU"/>
                    </w:rPr>
                    <w:t>3</w:t>
                  </w:r>
                  <w:r w:rsidRPr="009911EB">
                    <w:rPr>
                      <w:rFonts w:eastAsia="Times New Roman"/>
                      <w:lang w:eastAsia="en-AU"/>
                    </w:rPr>
                    <w:t>)</w:t>
                  </w:r>
                </w:p>
              </w:tc>
            </w:tr>
            <w:tr w:rsidR="00DC4D2B" w14:paraId="0EA3CA52" w14:textId="77777777" w:rsidTr="00F10F08">
              <w:tc>
                <w:tcPr>
                  <w:tcW w:w="3119" w:type="dxa"/>
                  <w:shd w:val="clear" w:color="auto" w:fill="DAE3F8" w:themeFill="accent1" w:themeFillTint="33"/>
                </w:tcPr>
                <w:p w14:paraId="0FBBFCF9" w14:textId="77777777" w:rsidR="00066049" w:rsidRDefault="00066049" w:rsidP="00A704CC">
                  <w:pPr>
                    <w:spacing w:before="120" w:line="240" w:lineRule="atLeast"/>
                    <w:contextualSpacing w:val="0"/>
                  </w:pPr>
                  <w:r>
                    <w:t>Hydrogen sulfide</w:t>
                  </w:r>
                </w:p>
              </w:tc>
              <w:tc>
                <w:tcPr>
                  <w:tcW w:w="5670" w:type="dxa"/>
                  <w:shd w:val="clear" w:color="auto" w:fill="DAE3F8" w:themeFill="accent1" w:themeFillTint="33"/>
                </w:tcPr>
                <w:p w14:paraId="39E483DF" w14:textId="77777777" w:rsidR="00066049" w:rsidRDefault="00066049" w:rsidP="00A704CC">
                  <w:pPr>
                    <w:spacing w:before="120" w:line="240" w:lineRule="atLeast"/>
                    <w:contextualSpacing w:val="0"/>
                  </w:pPr>
                  <w:r w:rsidRPr="009911EB">
                    <w:rPr>
                      <w:rFonts w:eastAsia="Times New Roman"/>
                      <w:lang w:eastAsia="en-AU"/>
                    </w:rPr>
                    <w:t>TWA: 1 ppm (1.4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5 ppm (7 mg/m</w:t>
                  </w:r>
                  <w:r w:rsidRPr="009911EB">
                    <w:rPr>
                      <w:rFonts w:eastAsia="Times New Roman"/>
                      <w:vertAlign w:val="superscript"/>
                      <w:lang w:eastAsia="en-AU"/>
                    </w:rPr>
                    <w:t>3</w:t>
                  </w:r>
                  <w:r w:rsidRPr="009911EB">
                    <w:rPr>
                      <w:rFonts w:eastAsia="Times New Roman"/>
                      <w:lang w:eastAsia="en-AU"/>
                    </w:rPr>
                    <w:t>)</w:t>
                  </w:r>
                </w:p>
              </w:tc>
            </w:tr>
            <w:tr w:rsidR="00DC4D2B" w14:paraId="0C0F876A" w14:textId="77777777" w:rsidTr="00F10F08">
              <w:tc>
                <w:tcPr>
                  <w:tcW w:w="3119" w:type="dxa"/>
                  <w:shd w:val="clear" w:color="auto" w:fill="DAE3F8" w:themeFill="accent1" w:themeFillTint="33"/>
                </w:tcPr>
                <w:p w14:paraId="3C956A21" w14:textId="77777777" w:rsidR="00066049" w:rsidRDefault="00066049" w:rsidP="00A704CC">
                  <w:pPr>
                    <w:spacing w:before="120" w:line="240" w:lineRule="atLeast"/>
                    <w:contextualSpacing w:val="0"/>
                  </w:pPr>
                  <w:r>
                    <w:t>Nitrogen dioxide</w:t>
                  </w:r>
                </w:p>
              </w:tc>
              <w:tc>
                <w:tcPr>
                  <w:tcW w:w="5670" w:type="dxa"/>
                  <w:shd w:val="clear" w:color="auto" w:fill="DAE3F8" w:themeFill="accent1" w:themeFillTint="33"/>
                </w:tcPr>
                <w:p w14:paraId="4B15529F" w14:textId="77777777" w:rsidR="00066049" w:rsidRDefault="00066049" w:rsidP="00A704CC">
                  <w:pPr>
                    <w:spacing w:before="120" w:line="240" w:lineRule="atLeast"/>
                    <w:contextualSpacing w:val="0"/>
                  </w:pPr>
                  <w:r w:rsidRPr="009911EB">
                    <w:rPr>
                      <w:rFonts w:eastAsia="Times New Roman"/>
                      <w:lang w:eastAsia="en-AU"/>
                    </w:rPr>
                    <w:t>TWA: 0.2 ppm (0.38 mg/m</w:t>
                  </w:r>
                  <w:r w:rsidRPr="009911EB">
                    <w:rPr>
                      <w:rFonts w:eastAsia="Times New Roman"/>
                      <w:vertAlign w:val="superscript"/>
                      <w:lang w:eastAsia="en-AU"/>
                    </w:rPr>
                    <w:t>3</w:t>
                  </w:r>
                  <w:r w:rsidRPr="009911EB">
                    <w:rPr>
                      <w:rFonts w:eastAsia="Times New Roman"/>
                      <w:lang w:eastAsia="en-AU"/>
                    </w:rPr>
                    <w:t>)</w:t>
                  </w:r>
                </w:p>
              </w:tc>
            </w:tr>
            <w:tr w:rsidR="00DC4D2B" w14:paraId="2BBEFC65" w14:textId="77777777" w:rsidTr="00F10F08">
              <w:tc>
                <w:tcPr>
                  <w:tcW w:w="3119" w:type="dxa"/>
                  <w:shd w:val="clear" w:color="auto" w:fill="DAE3F8" w:themeFill="accent1" w:themeFillTint="33"/>
                </w:tcPr>
                <w:p w14:paraId="4ACAA554" w14:textId="77777777" w:rsidR="00066049" w:rsidRDefault="00066049" w:rsidP="00A704CC">
                  <w:pPr>
                    <w:spacing w:before="120" w:line="240" w:lineRule="atLeast"/>
                    <w:contextualSpacing w:val="0"/>
                  </w:pPr>
                  <w:r>
                    <w:t>Respirable crystalline silica</w:t>
                  </w:r>
                </w:p>
              </w:tc>
              <w:tc>
                <w:tcPr>
                  <w:tcW w:w="5670" w:type="dxa"/>
                  <w:shd w:val="clear" w:color="auto" w:fill="DAE3F8" w:themeFill="accent1" w:themeFillTint="33"/>
                </w:tcPr>
                <w:p w14:paraId="5B356DB7" w14:textId="77777777" w:rsidR="00066049" w:rsidRDefault="00066049" w:rsidP="00A704CC">
                  <w:pPr>
                    <w:spacing w:before="120" w:line="240" w:lineRule="atLeast"/>
                    <w:contextualSpacing w:val="0"/>
                  </w:pPr>
                  <w:r w:rsidRPr="009911EB">
                    <w:rPr>
                      <w:rFonts w:eastAsia="Times New Roman"/>
                      <w:lang w:eastAsia="en-AU"/>
                    </w:rPr>
                    <w:t>TWA: 0.025 mg/m</w:t>
                  </w:r>
                  <w:r w:rsidRPr="009911EB">
                    <w:rPr>
                      <w:rFonts w:eastAsia="Times New Roman"/>
                      <w:vertAlign w:val="superscript"/>
                      <w:lang w:eastAsia="en-AU"/>
                    </w:rPr>
                    <w:t>3</w:t>
                  </w:r>
                </w:p>
              </w:tc>
            </w:tr>
            <w:tr w:rsidR="00DC4D2B" w14:paraId="720909D0" w14:textId="77777777" w:rsidTr="00F10F08">
              <w:tc>
                <w:tcPr>
                  <w:tcW w:w="3119" w:type="dxa"/>
                  <w:shd w:val="clear" w:color="auto" w:fill="DAE3F8" w:themeFill="accent1" w:themeFillTint="33"/>
                </w:tcPr>
                <w:p w14:paraId="58E56C48" w14:textId="77777777" w:rsidR="00066049" w:rsidRDefault="00066049" w:rsidP="00A704CC">
                  <w:pPr>
                    <w:spacing w:before="120" w:line="240" w:lineRule="atLeast"/>
                    <w:contextualSpacing w:val="0"/>
                  </w:pPr>
                  <w:r>
                    <w:t>Titanium dioxide</w:t>
                  </w:r>
                </w:p>
              </w:tc>
              <w:tc>
                <w:tcPr>
                  <w:tcW w:w="5670" w:type="dxa"/>
                  <w:shd w:val="clear" w:color="auto" w:fill="DAE3F8" w:themeFill="accent1" w:themeFillTint="33"/>
                </w:tcPr>
                <w:p w14:paraId="7477EBD5" w14:textId="77777777" w:rsidR="00066049" w:rsidRPr="009911EB" w:rsidRDefault="00066049" w:rsidP="00A704CC">
                  <w:pPr>
                    <w:spacing w:before="120" w:line="240" w:lineRule="atLeast"/>
                    <w:contextualSpacing w:val="0"/>
                    <w:rPr>
                      <w:rFonts w:eastAsia="Times New Roman"/>
                      <w:lang w:eastAsia="en-AU"/>
                    </w:rPr>
                  </w:pPr>
                  <w:r w:rsidRPr="009911EB">
                    <w:rPr>
                      <w:rFonts w:eastAsia="Times New Roman"/>
                      <w:lang w:eastAsia="en-AU"/>
                    </w:rPr>
                    <w:t>TWA: 0.3 mg/m</w:t>
                  </w:r>
                  <w:r w:rsidRPr="009911EB">
                    <w:rPr>
                      <w:rFonts w:eastAsia="Times New Roman"/>
                      <w:vertAlign w:val="superscript"/>
                      <w:lang w:eastAsia="en-AU"/>
                    </w:rPr>
                    <w:t>3</w:t>
                  </w:r>
                  <w:r w:rsidRPr="009911EB">
                    <w:rPr>
                      <w:rFonts w:eastAsia="Times New Roman"/>
                      <w:lang w:eastAsia="en-AU"/>
                    </w:rPr>
                    <w:t xml:space="preserve"> (respirable; ultrafine/nanoscale particles)</w:t>
                  </w:r>
                </w:p>
                <w:p w14:paraId="379F36E0" w14:textId="77777777" w:rsidR="00066049" w:rsidRDefault="00066049" w:rsidP="00A704CC">
                  <w:pPr>
                    <w:spacing w:before="120" w:line="240" w:lineRule="atLeast"/>
                    <w:contextualSpacing w:val="0"/>
                  </w:pPr>
                  <w:r w:rsidRPr="009911EB">
                    <w:rPr>
                      <w:rFonts w:eastAsia="Times New Roman"/>
                      <w:lang w:eastAsia="en-AU"/>
                    </w:rPr>
                    <w:t>TWA: 2.4 mg/m</w:t>
                  </w:r>
                  <w:r w:rsidRPr="009911EB">
                    <w:rPr>
                      <w:rFonts w:eastAsia="Times New Roman"/>
                      <w:vertAlign w:val="superscript"/>
                      <w:lang w:eastAsia="en-AU"/>
                    </w:rPr>
                    <w:t>3</w:t>
                  </w:r>
                  <w:r w:rsidRPr="009911EB">
                    <w:rPr>
                      <w:rFonts w:eastAsia="Times New Roman"/>
                      <w:lang w:eastAsia="en-AU"/>
                    </w:rPr>
                    <w:t xml:space="preserve"> (respirable; fine/pigmentary grade particles)</w:t>
                  </w:r>
                </w:p>
              </w:tc>
            </w:tr>
          </w:tbl>
          <w:p w14:paraId="5FCA539E" w14:textId="77777777" w:rsidR="00066049" w:rsidRDefault="00066049">
            <w:r w:rsidRPr="008B4FD9">
              <w:rPr>
                <w:color w:val="E4DDFC" w:themeColor="text2" w:themeTint="1A"/>
              </w:rPr>
              <w:t>.</w:t>
            </w:r>
          </w:p>
        </w:tc>
      </w:tr>
    </w:tbl>
    <w:p w14:paraId="39BFA8BD" w14:textId="77777777" w:rsidR="002674AB" w:rsidRPr="00313366" w:rsidRDefault="002674AB" w:rsidP="00CA6B6E">
      <w:pPr>
        <w:spacing w:line="240" w:lineRule="auto"/>
        <w:contextualSpacing w:val="0"/>
        <w:textAlignment w:val="baseline"/>
        <w:rPr>
          <w:rFonts w:ascii="Segoe UI" w:eastAsia="Times New Roman" w:hAnsi="Segoe UI" w:cs="Segoe UI"/>
          <w:sz w:val="18"/>
          <w:szCs w:val="18"/>
          <w:lang w:eastAsia="en-AU"/>
        </w:rPr>
      </w:pPr>
    </w:p>
    <w:p w14:paraId="5B9E0201" w14:textId="77777777" w:rsidR="00313366" w:rsidRPr="00313366" w:rsidRDefault="00313366" w:rsidP="0030283C">
      <w:pPr>
        <w:keepNext/>
        <w:spacing w:line="240" w:lineRule="auto"/>
        <w:contextualSpacing w:val="0"/>
        <w:textAlignment w:val="baseline"/>
        <w:rPr>
          <w:rFonts w:ascii="Segoe UI" w:eastAsia="Times New Roman" w:hAnsi="Segoe UI" w:cs="Segoe UI"/>
          <w:b/>
          <w:bCs/>
          <w:i/>
          <w:iCs/>
          <w:sz w:val="18"/>
          <w:szCs w:val="18"/>
          <w:lang w:eastAsia="en-AU"/>
        </w:rPr>
      </w:pPr>
      <w:r w:rsidRPr="00313366">
        <w:rPr>
          <w:rFonts w:eastAsia="Times New Roman" w:cs="Arial"/>
          <w:b/>
          <w:bCs/>
          <w:i/>
          <w:iCs/>
          <w:sz w:val="24"/>
          <w:lang w:eastAsia="en-AU"/>
        </w:rPr>
        <w:lastRenderedPageBreak/>
        <w:t>Option 2 ensures workers are adequately protected from adverse health effects </w:t>
      </w:r>
    </w:p>
    <w:p w14:paraId="7ED86343" w14:textId="7B420FE7" w:rsidR="004702BA" w:rsidRDefault="002259A5" w:rsidP="0030283C">
      <w:pPr>
        <w:spacing w:line="240" w:lineRule="auto"/>
        <w:contextualSpacing w:val="0"/>
        <w:textAlignment w:val="baseline"/>
        <w:rPr>
          <w:rFonts w:eastAsia="Times New Roman" w:cs="Arial"/>
          <w:lang w:eastAsia="en-AU"/>
        </w:rPr>
      </w:pPr>
      <w:r w:rsidRPr="00463155">
        <w:rPr>
          <w:rFonts w:eastAsia="Times New Roman" w:cs="Arial"/>
          <w:lang w:eastAsia="en-AU"/>
        </w:rPr>
        <w:t>Option 2 is assessed as providing</w:t>
      </w:r>
      <w:r w:rsidR="00665AD1" w:rsidRPr="00463155">
        <w:rPr>
          <w:rFonts w:eastAsia="Times New Roman" w:cs="Arial"/>
          <w:lang w:eastAsia="en-AU"/>
        </w:rPr>
        <w:t xml:space="preserve"> </w:t>
      </w:r>
      <w:r w:rsidRPr="00463155">
        <w:rPr>
          <w:rFonts w:eastAsia="Times New Roman" w:cs="Arial"/>
          <w:lang w:eastAsia="en-AU"/>
        </w:rPr>
        <w:t xml:space="preserve">the optimum level of protection for workers </w:t>
      </w:r>
      <w:r w:rsidR="00665AD1" w:rsidRPr="00463155">
        <w:rPr>
          <w:rFonts w:eastAsia="Times New Roman" w:cs="Arial"/>
          <w:lang w:eastAsia="en-AU"/>
        </w:rPr>
        <w:t>based on quantifiable and non-quantifiable benefits and costs.</w:t>
      </w:r>
      <w:r w:rsidR="00665AD1">
        <w:rPr>
          <w:rFonts w:eastAsia="Times New Roman" w:cs="Arial"/>
          <w:lang w:eastAsia="en-AU"/>
        </w:rPr>
        <w:t xml:space="preserve"> </w:t>
      </w:r>
      <w:r w:rsidR="00313366" w:rsidRPr="379E6ABD">
        <w:rPr>
          <w:rFonts w:eastAsia="Times New Roman" w:cs="Arial"/>
          <w:lang w:eastAsia="en-AU"/>
        </w:rPr>
        <w:t xml:space="preserve">While businesses </w:t>
      </w:r>
      <w:r w:rsidR="00E423FC">
        <w:rPr>
          <w:rFonts w:eastAsia="Times New Roman" w:cs="Arial"/>
          <w:lang w:eastAsia="en-AU"/>
        </w:rPr>
        <w:t xml:space="preserve">across multiple industries </w:t>
      </w:r>
      <w:r w:rsidR="00313366" w:rsidRPr="379E6ABD">
        <w:rPr>
          <w:rFonts w:eastAsia="Times New Roman" w:cs="Arial"/>
          <w:lang w:eastAsia="en-AU"/>
        </w:rPr>
        <w:t xml:space="preserve">have </w:t>
      </w:r>
      <w:r w:rsidR="00B5535A" w:rsidRPr="379E6ABD">
        <w:rPr>
          <w:rFonts w:eastAsia="Times New Roman" w:cs="Arial"/>
          <w:lang w:eastAsia="en-AU"/>
        </w:rPr>
        <w:t>indicated there would be</w:t>
      </w:r>
      <w:r w:rsidR="005559F8" w:rsidRPr="379E6ABD">
        <w:rPr>
          <w:rFonts w:eastAsia="Times New Roman" w:cs="Arial"/>
          <w:lang w:eastAsia="en-AU"/>
        </w:rPr>
        <w:t xml:space="preserve"> </w:t>
      </w:r>
      <w:r w:rsidR="00486391">
        <w:rPr>
          <w:rFonts w:eastAsia="Times New Roman" w:cs="Arial"/>
          <w:lang w:eastAsia="en-AU"/>
        </w:rPr>
        <w:t>significant</w:t>
      </w:r>
      <w:r w:rsidR="006C1A40">
        <w:rPr>
          <w:rFonts w:eastAsia="Times New Roman" w:cs="Arial"/>
          <w:lang w:eastAsia="en-AU"/>
        </w:rPr>
        <w:t xml:space="preserve">, economy-wide </w:t>
      </w:r>
      <w:r w:rsidR="00313366" w:rsidRPr="379E6ABD">
        <w:rPr>
          <w:rFonts w:eastAsia="Times New Roman" w:cs="Arial"/>
          <w:lang w:eastAsia="en-AU"/>
        </w:rPr>
        <w:t>costs associated with implementation of Option 2 (implementing the health-based limits) for each of the chemicals</w:t>
      </w:r>
      <w:r w:rsidR="00D178F5">
        <w:rPr>
          <w:rFonts w:eastAsia="Times New Roman" w:cs="Arial"/>
          <w:lang w:eastAsia="en-AU"/>
        </w:rPr>
        <w:t xml:space="preserve"> in comparison </w:t>
      </w:r>
      <w:r w:rsidR="00CA00B3">
        <w:rPr>
          <w:rFonts w:eastAsia="Times New Roman" w:cs="Arial"/>
          <w:lang w:eastAsia="en-AU"/>
        </w:rPr>
        <w:t xml:space="preserve">with the </w:t>
      </w:r>
      <w:r w:rsidR="00056A88">
        <w:rPr>
          <w:rFonts w:eastAsia="Times New Roman" w:cs="Arial"/>
          <w:lang w:eastAsia="en-AU"/>
        </w:rPr>
        <w:t>quantifiable</w:t>
      </w:r>
      <w:r w:rsidR="00CA00B3">
        <w:rPr>
          <w:rFonts w:eastAsia="Times New Roman" w:cs="Arial"/>
          <w:lang w:eastAsia="en-AU"/>
        </w:rPr>
        <w:t xml:space="preserve"> benefits</w:t>
      </w:r>
      <w:r w:rsidR="00960014">
        <w:rPr>
          <w:rFonts w:eastAsia="Times New Roman" w:cs="Arial"/>
          <w:lang w:eastAsia="en-AU"/>
        </w:rPr>
        <w:t xml:space="preserve"> (based on available </w:t>
      </w:r>
      <w:r w:rsidR="00995406">
        <w:rPr>
          <w:rFonts w:eastAsia="Times New Roman" w:cs="Arial"/>
          <w:lang w:eastAsia="en-AU"/>
        </w:rPr>
        <w:t>burden of disease and workers’ compensation data)</w:t>
      </w:r>
      <w:r w:rsidR="00313366" w:rsidRPr="379E6ABD">
        <w:rPr>
          <w:rFonts w:eastAsia="Times New Roman" w:cs="Arial"/>
          <w:lang w:eastAsia="en-AU"/>
        </w:rPr>
        <w:t xml:space="preserve">, these cannot outweigh the significant </w:t>
      </w:r>
      <w:r w:rsidR="00CA00B3">
        <w:rPr>
          <w:rFonts w:eastAsia="Times New Roman" w:cs="Arial"/>
          <w:lang w:eastAsia="en-AU"/>
        </w:rPr>
        <w:t xml:space="preserve">non-quantifiable and qualitative </w:t>
      </w:r>
      <w:r w:rsidR="00313366" w:rsidRPr="379E6ABD">
        <w:rPr>
          <w:rFonts w:eastAsia="Times New Roman" w:cs="Arial"/>
          <w:lang w:eastAsia="en-AU"/>
        </w:rPr>
        <w:t>benefits to workers, their families</w:t>
      </w:r>
      <w:r w:rsidR="0B65C0A7" w:rsidRPr="379E6ABD">
        <w:rPr>
          <w:rFonts w:eastAsia="Times New Roman" w:cs="Arial"/>
          <w:lang w:eastAsia="en-AU"/>
        </w:rPr>
        <w:t xml:space="preserve">, </w:t>
      </w:r>
      <w:r w:rsidR="00313366" w:rsidRPr="379E6ABD">
        <w:rPr>
          <w:rFonts w:eastAsia="Times New Roman" w:cs="Arial"/>
          <w:lang w:eastAsia="en-AU"/>
        </w:rPr>
        <w:t>the broader community</w:t>
      </w:r>
      <w:r w:rsidR="0CE5FE5E" w:rsidRPr="379E6ABD">
        <w:rPr>
          <w:rFonts w:eastAsia="Times New Roman" w:cs="Arial"/>
          <w:lang w:eastAsia="en-AU"/>
        </w:rPr>
        <w:t xml:space="preserve"> and the economy</w:t>
      </w:r>
      <w:r w:rsidR="00313366" w:rsidRPr="379E6ABD">
        <w:rPr>
          <w:rFonts w:eastAsia="Times New Roman" w:cs="Arial"/>
          <w:lang w:eastAsia="en-AU"/>
        </w:rPr>
        <w:t>. </w:t>
      </w:r>
      <w:r w:rsidR="00932A8B" w:rsidRPr="00932A8B">
        <w:rPr>
          <w:rFonts w:eastAsia="Times New Roman" w:cs="Arial"/>
          <w:lang w:eastAsia="en-AU"/>
        </w:rPr>
        <w:t>Given the long latency between exposure to these chemicals and the development</w:t>
      </w:r>
      <w:r w:rsidR="00932A8B">
        <w:rPr>
          <w:rFonts w:eastAsia="Times New Roman" w:cs="Arial"/>
          <w:lang w:eastAsia="en-AU"/>
        </w:rPr>
        <w:t xml:space="preserve"> of</w:t>
      </w:r>
      <w:r w:rsidR="00932A8B" w:rsidRPr="00932A8B">
        <w:rPr>
          <w:rFonts w:eastAsia="Times New Roman" w:cs="Arial"/>
          <w:lang w:eastAsia="en-AU"/>
        </w:rPr>
        <w:t xml:space="preserve"> disease, the benefits may not be realised within the 10-year period </w:t>
      </w:r>
      <w:r w:rsidR="007C0024">
        <w:rPr>
          <w:rFonts w:eastAsia="Times New Roman" w:cs="Arial"/>
          <w:lang w:eastAsia="en-AU"/>
        </w:rPr>
        <w:t>that</w:t>
      </w:r>
      <w:r w:rsidR="00932A8B" w:rsidRPr="00932A8B">
        <w:rPr>
          <w:rFonts w:eastAsia="Times New Roman" w:cs="Arial"/>
          <w:lang w:eastAsia="en-AU"/>
        </w:rPr>
        <w:t xml:space="preserve"> this analysis</w:t>
      </w:r>
      <w:r w:rsidR="00B65459">
        <w:rPr>
          <w:rFonts w:eastAsia="Times New Roman" w:cs="Arial"/>
          <w:lang w:eastAsia="en-AU"/>
        </w:rPr>
        <w:t xml:space="preserve"> </w:t>
      </w:r>
      <w:r w:rsidR="007C0024">
        <w:rPr>
          <w:rFonts w:eastAsia="Times New Roman" w:cs="Arial"/>
          <w:lang w:eastAsia="en-AU"/>
        </w:rPr>
        <w:t>is based on.</w:t>
      </w:r>
    </w:p>
    <w:p w14:paraId="18D8334B" w14:textId="16B9E3A2" w:rsidR="008133E1" w:rsidRDefault="008133E1" w:rsidP="0030283C">
      <w:pPr>
        <w:spacing w:line="240" w:lineRule="auto"/>
        <w:contextualSpacing w:val="0"/>
        <w:textAlignment w:val="baseline"/>
        <w:rPr>
          <w:rFonts w:eastAsia="Times New Roman" w:cs="Arial"/>
          <w:lang w:eastAsia="en-AU"/>
        </w:rPr>
      </w:pPr>
      <w:r>
        <w:rPr>
          <w:rFonts w:eastAsia="Times New Roman" w:cs="Arial"/>
          <w:lang w:eastAsia="en-AU"/>
        </w:rPr>
        <w:t xml:space="preserve">Based on the analysis in this Decision RIS, it is anticipated that the </w:t>
      </w:r>
      <w:r w:rsidR="00B610E3">
        <w:rPr>
          <w:rFonts w:eastAsia="Times New Roman" w:cs="Arial"/>
          <w:lang w:eastAsia="en-AU"/>
        </w:rPr>
        <w:t>quantified</w:t>
      </w:r>
      <w:r>
        <w:rPr>
          <w:rFonts w:eastAsia="Times New Roman" w:cs="Arial"/>
          <w:lang w:eastAsia="en-AU"/>
        </w:rPr>
        <w:t xml:space="preserve"> gross benefit </w:t>
      </w:r>
      <w:r w:rsidR="0039852F" w:rsidRPr="2324EE19">
        <w:rPr>
          <w:rFonts w:eastAsia="Times New Roman" w:cs="Arial"/>
          <w:lang w:eastAsia="en-AU"/>
        </w:rPr>
        <w:t xml:space="preserve">for </w:t>
      </w:r>
      <w:r w:rsidR="0039852F" w:rsidRPr="6DB0ED51">
        <w:rPr>
          <w:rFonts w:eastAsia="Times New Roman" w:cs="Arial"/>
          <w:lang w:eastAsia="en-AU"/>
        </w:rPr>
        <w:t xml:space="preserve">each </w:t>
      </w:r>
      <w:r w:rsidR="00B610E3" w:rsidRPr="6DB0ED51">
        <w:rPr>
          <w:rFonts w:eastAsia="Times New Roman" w:cs="Arial"/>
          <w:lang w:eastAsia="en-AU"/>
        </w:rPr>
        <w:t>of</w:t>
      </w:r>
      <w:r w:rsidR="00B610E3">
        <w:rPr>
          <w:rFonts w:eastAsia="Times New Roman" w:cs="Arial"/>
          <w:lang w:eastAsia="en-AU"/>
        </w:rPr>
        <w:t xml:space="preserve"> the proposed WELs is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4DDFC" w:themeFill="text2" w:themeFillTint="1A"/>
        <w:tblLook w:val="04A0" w:firstRow="1" w:lastRow="0" w:firstColumn="1" w:lastColumn="0" w:noHBand="0" w:noVBand="1"/>
      </w:tblPr>
      <w:tblGrid>
        <w:gridCol w:w="9015"/>
      </w:tblGrid>
      <w:tr w:rsidR="008133E1" w14:paraId="4BB48B52" w14:textId="77777777">
        <w:tc>
          <w:tcPr>
            <w:tcW w:w="9015" w:type="dxa"/>
            <w:shd w:val="clear" w:color="auto" w:fill="DAE3F8" w:themeFill="accent1" w:themeFillTint="33"/>
          </w:tcPr>
          <w:p w14:paraId="06422FFC" w14:textId="77777777" w:rsidR="008133E1" w:rsidRPr="00624380" w:rsidRDefault="008133E1">
            <w:pPr>
              <w:keepNext/>
              <w:keepLines/>
              <w:spacing w:before="120"/>
              <w:contextualSpacing w:val="0"/>
              <w:rPr>
                <w:b/>
                <w:bCs/>
              </w:rPr>
            </w:pPr>
            <w:r>
              <w:rPr>
                <w:b/>
                <w:bCs/>
              </w:rPr>
              <w:t>Quantified gross benefit of the proposed WELs</w:t>
            </w:r>
          </w:p>
          <w:tbl>
            <w:tblPr>
              <w:tblStyle w:val="TableGrid"/>
              <w:tblW w:w="8789" w:type="dxa"/>
              <w:tblLook w:val="04A0" w:firstRow="1" w:lastRow="0" w:firstColumn="1" w:lastColumn="0" w:noHBand="0" w:noVBand="1"/>
            </w:tblPr>
            <w:tblGrid>
              <w:gridCol w:w="2323"/>
              <w:gridCol w:w="1398"/>
              <w:gridCol w:w="1399"/>
              <w:gridCol w:w="3669"/>
            </w:tblGrid>
            <w:tr w:rsidR="008133E1" w14:paraId="2F66744C" w14:textId="77777777">
              <w:tc>
                <w:tcPr>
                  <w:tcW w:w="2323"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AE3F8" w:themeFill="accent1" w:themeFillTint="33"/>
                  <w:vAlign w:val="center"/>
                </w:tcPr>
                <w:p w14:paraId="343799FC" w14:textId="77777777" w:rsidR="008133E1" w:rsidRPr="00A919B7" w:rsidRDefault="008133E1">
                  <w:pPr>
                    <w:keepNext/>
                    <w:keepLines/>
                    <w:spacing w:before="120" w:line="240" w:lineRule="atLeast"/>
                    <w:rPr>
                      <w:b/>
                      <w:bCs/>
                    </w:rPr>
                  </w:pPr>
                  <w:r w:rsidRPr="003729CF">
                    <w:rPr>
                      <w:b/>
                      <w:bCs/>
                    </w:rPr>
                    <w:t>Chemical</w:t>
                  </w:r>
                </w:p>
              </w:tc>
              <w:tc>
                <w:tcPr>
                  <w:tcW w:w="6466" w:type="dxa"/>
                  <w:gridSpan w:val="3"/>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1B1E4E" w14:textId="77777777" w:rsidR="008133E1" w:rsidRDefault="008133E1">
                  <w:pPr>
                    <w:keepNext/>
                    <w:keepLines/>
                    <w:spacing w:before="120" w:line="240" w:lineRule="atLeast"/>
                    <w:contextualSpacing w:val="0"/>
                    <w:rPr>
                      <w:rFonts w:eastAsia="Times New Roman"/>
                      <w:b/>
                      <w:bCs/>
                      <w:lang w:eastAsia="en-AU"/>
                    </w:rPr>
                  </w:pPr>
                  <w:r w:rsidRPr="00CA4114">
                    <w:rPr>
                      <w:rFonts w:eastAsia="Times New Roman"/>
                      <w:b/>
                      <w:bCs/>
                      <w:lang w:eastAsia="en-AU"/>
                    </w:rPr>
                    <w:t>($, millions, discounted)</w:t>
                  </w:r>
                  <w:r>
                    <w:rPr>
                      <w:rFonts w:eastAsia="Times New Roman"/>
                      <w:b/>
                      <w:bCs/>
                      <w:lang w:eastAsia="en-AU"/>
                    </w:rPr>
                    <w:t xml:space="preserve">, </w:t>
                  </w:r>
                  <w:r w:rsidRPr="008D0A07">
                    <w:rPr>
                      <w:rFonts w:eastAsia="Times New Roman"/>
                      <w:b/>
                      <w:bCs/>
                      <w:lang w:eastAsia="en-AU"/>
                    </w:rPr>
                    <w:t>FY27 to FY36</w:t>
                  </w:r>
                </w:p>
              </w:tc>
            </w:tr>
            <w:tr w:rsidR="008133E1" w14:paraId="33241A64" w14:textId="77777777">
              <w:tc>
                <w:tcPr>
                  <w:tcW w:w="232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088858E9" w14:textId="77777777" w:rsidR="008133E1" w:rsidRPr="00DC20BB" w:rsidRDefault="008133E1">
                  <w:pPr>
                    <w:keepNext/>
                    <w:keepLines/>
                    <w:spacing w:before="120" w:line="240" w:lineRule="atLeast"/>
                    <w:contextualSpacing w:val="0"/>
                    <w:rPr>
                      <w:b/>
                      <w:bCs/>
                    </w:rPr>
                  </w:pPr>
                </w:p>
              </w:tc>
              <w:tc>
                <w:tcPr>
                  <w:tcW w:w="139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C79931" w14:textId="77777777" w:rsidR="008133E1" w:rsidRDefault="008133E1">
                  <w:pPr>
                    <w:keepNext/>
                    <w:keepLines/>
                    <w:spacing w:before="120" w:line="240" w:lineRule="atLeast"/>
                    <w:contextualSpacing w:val="0"/>
                    <w:rPr>
                      <w:rFonts w:eastAsia="Times New Roman"/>
                      <w:b/>
                      <w:bCs/>
                      <w:lang w:eastAsia="en-AU"/>
                    </w:rPr>
                  </w:pPr>
                  <w:r>
                    <w:rPr>
                      <w:rFonts w:eastAsia="Times New Roman"/>
                      <w:b/>
                      <w:bCs/>
                      <w:lang w:eastAsia="en-AU"/>
                    </w:rPr>
                    <w:t>Benefits</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4CCFA2" w14:textId="77777777" w:rsidR="008133E1" w:rsidRDefault="008133E1">
                  <w:pPr>
                    <w:keepNext/>
                    <w:keepLines/>
                    <w:spacing w:before="120" w:line="240" w:lineRule="atLeast"/>
                    <w:contextualSpacing w:val="0"/>
                    <w:rPr>
                      <w:rFonts w:eastAsia="Times New Roman"/>
                      <w:b/>
                      <w:bCs/>
                      <w:lang w:eastAsia="en-AU"/>
                    </w:rPr>
                  </w:pPr>
                  <w:r>
                    <w:rPr>
                      <w:rFonts w:eastAsia="Times New Roman"/>
                      <w:b/>
                      <w:bCs/>
                      <w:lang w:eastAsia="en-AU"/>
                    </w:rPr>
                    <w:t>Costs</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643CE" w14:textId="65D75754" w:rsidR="008133E1" w:rsidRPr="00EB5F52" w:rsidRDefault="008133E1">
                  <w:pPr>
                    <w:keepNext/>
                    <w:keepLines/>
                    <w:spacing w:before="120" w:line="240" w:lineRule="atLeast"/>
                    <w:contextualSpacing w:val="0"/>
                    <w:rPr>
                      <w:rFonts w:eastAsia="Times New Roman"/>
                      <w:b/>
                      <w:bCs/>
                      <w:lang w:eastAsia="en-AU"/>
                    </w:rPr>
                  </w:pPr>
                  <w:r>
                    <w:rPr>
                      <w:rFonts w:eastAsia="Times New Roman"/>
                      <w:b/>
                      <w:bCs/>
                      <w:lang w:eastAsia="en-AU"/>
                    </w:rPr>
                    <w:t>Quantified gross</w:t>
                  </w:r>
                  <w:r w:rsidRPr="003729CF">
                    <w:rPr>
                      <w:rFonts w:eastAsia="Times New Roman"/>
                      <w:b/>
                      <w:bCs/>
                      <w:lang w:eastAsia="en-AU"/>
                    </w:rPr>
                    <w:t xml:space="preserve"> benefit</w:t>
                  </w:r>
                  <w:r w:rsidR="00F0151A">
                    <w:rPr>
                      <w:rFonts w:eastAsia="Times New Roman"/>
                      <w:b/>
                      <w:bCs/>
                      <w:lang w:eastAsia="en-AU"/>
                    </w:rPr>
                    <w:t xml:space="preserve"> **</w:t>
                  </w:r>
                  <w:r w:rsidRPr="003729CF">
                    <w:rPr>
                      <w:rFonts w:eastAsia="Times New Roman"/>
                      <w:b/>
                      <w:bCs/>
                      <w:lang w:eastAsia="en-AU"/>
                    </w:rPr>
                    <w:t xml:space="preserve"> </w:t>
                  </w:r>
                </w:p>
              </w:tc>
            </w:tr>
            <w:tr w:rsidR="008133E1" w14:paraId="36F6E3C9"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0B153F08" w14:textId="77777777" w:rsidR="008133E1" w:rsidRDefault="008133E1">
                  <w:pPr>
                    <w:keepNext/>
                    <w:keepLines/>
                    <w:spacing w:before="120" w:line="240" w:lineRule="atLeast"/>
                    <w:contextualSpacing w:val="0"/>
                  </w:pPr>
                  <w:r>
                    <w:t>Benzene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91FBB12"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439</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1587EF9"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840</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0C03B4" w14:textId="77777777" w:rsidR="008133E1" w:rsidRDefault="008133E1">
                  <w:pPr>
                    <w:keepNext/>
                    <w:keepLines/>
                    <w:spacing w:before="120" w:line="240" w:lineRule="atLeast"/>
                    <w:contextualSpacing w:val="0"/>
                  </w:pPr>
                  <w:r w:rsidRPr="00A27192">
                    <w:rPr>
                      <w:rFonts w:cs="Arial"/>
                      <w:color w:val="000000"/>
                      <w:szCs w:val="22"/>
                    </w:rPr>
                    <w:t>-401</w:t>
                  </w:r>
                </w:p>
              </w:tc>
            </w:tr>
            <w:tr w:rsidR="008133E1" w14:paraId="70B5A7AB"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388D763A" w14:textId="77777777" w:rsidR="008133E1" w:rsidRDefault="008133E1">
                  <w:pPr>
                    <w:keepNext/>
                    <w:keepLines/>
                    <w:spacing w:before="120" w:line="240" w:lineRule="atLeast"/>
                    <w:contextualSpacing w:val="0"/>
                  </w:pPr>
                  <w:r>
                    <w:t>Chlorine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5FD719A"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9</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6FBF552"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968</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EEC23" w14:textId="77777777" w:rsidR="008133E1" w:rsidRDefault="008133E1">
                  <w:pPr>
                    <w:keepNext/>
                    <w:keepLines/>
                    <w:spacing w:before="120" w:line="240" w:lineRule="atLeast"/>
                    <w:contextualSpacing w:val="0"/>
                  </w:pPr>
                  <w:r w:rsidRPr="00A27192">
                    <w:rPr>
                      <w:rFonts w:cs="Arial"/>
                      <w:color w:val="000000"/>
                      <w:szCs w:val="22"/>
                    </w:rPr>
                    <w:t>-959</w:t>
                  </w:r>
                </w:p>
              </w:tc>
            </w:tr>
            <w:tr w:rsidR="008133E1" w14:paraId="6053C7B5"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03EE4ABA" w14:textId="77777777" w:rsidR="008133E1" w:rsidRDefault="008133E1">
                  <w:pPr>
                    <w:keepNext/>
                    <w:keepLines/>
                    <w:spacing w:before="120" w:line="240" w:lineRule="atLeast"/>
                    <w:contextualSpacing w:val="0"/>
                  </w:pPr>
                  <w:r>
                    <w:t>Copper</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7B581EE" w14:textId="77777777" w:rsidR="008133E1" w:rsidRPr="004F4841" w:rsidRDefault="008133E1">
                  <w:pPr>
                    <w:keepNext/>
                    <w:keepLines/>
                    <w:spacing w:before="120" w:line="240" w:lineRule="atLeast"/>
                    <w:contextualSpacing w:val="0"/>
                    <w:rPr>
                      <w:rFonts w:cs="Arial"/>
                      <w:color w:val="000000"/>
                      <w:szCs w:val="22"/>
                    </w:rPr>
                  </w:pPr>
                  <w:r>
                    <w:rPr>
                      <w:rFonts w:cs="Arial"/>
                      <w:color w:val="000000"/>
                      <w:szCs w:val="22"/>
                    </w:rPr>
                    <w:t>ND*</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94688CA" w14:textId="4919AA73"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1</w:t>
                  </w:r>
                  <w:r w:rsidR="003123B9">
                    <w:rPr>
                      <w:rFonts w:cs="Arial"/>
                      <w:color w:val="000000"/>
                      <w:szCs w:val="22"/>
                    </w:rPr>
                    <w:t>,</w:t>
                  </w:r>
                  <w:r w:rsidRPr="00DC20BB">
                    <w:rPr>
                      <w:rFonts w:cs="Arial"/>
                      <w:color w:val="000000"/>
                      <w:szCs w:val="22"/>
                    </w:rPr>
                    <w:t>709</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FA747D" w14:textId="77777777" w:rsidR="008133E1" w:rsidRDefault="008133E1">
                  <w:pPr>
                    <w:keepNext/>
                    <w:keepLines/>
                    <w:spacing w:before="120" w:line="240" w:lineRule="atLeast"/>
                    <w:contextualSpacing w:val="0"/>
                  </w:pPr>
                  <w:r>
                    <w:rPr>
                      <w:rFonts w:cs="Arial"/>
                      <w:color w:val="000000"/>
                      <w:szCs w:val="22"/>
                    </w:rPr>
                    <w:t>-1,709</w:t>
                  </w:r>
                </w:p>
              </w:tc>
            </w:tr>
            <w:tr w:rsidR="008133E1" w14:paraId="4581E633"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092164F7" w14:textId="77777777" w:rsidR="008133E1" w:rsidRDefault="008133E1">
                  <w:pPr>
                    <w:keepNext/>
                    <w:keepLines/>
                    <w:spacing w:before="120" w:line="240" w:lineRule="atLeast"/>
                    <w:contextualSpacing w:val="0"/>
                  </w:pPr>
                  <w:r>
                    <w:t>Formaldehyde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12B1505"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45</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CD250FC" w14:textId="1EEDD818"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1</w:t>
                  </w:r>
                  <w:r w:rsidR="003123B9">
                    <w:rPr>
                      <w:rFonts w:cs="Arial"/>
                      <w:color w:val="000000"/>
                      <w:szCs w:val="22"/>
                    </w:rPr>
                    <w:t>,</w:t>
                  </w:r>
                  <w:r w:rsidRPr="00DC20BB">
                    <w:rPr>
                      <w:rFonts w:cs="Arial"/>
                      <w:color w:val="000000"/>
                      <w:szCs w:val="22"/>
                    </w:rPr>
                    <w:t>669</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9AA2A" w14:textId="77777777" w:rsidR="008133E1" w:rsidRDefault="008133E1">
                  <w:pPr>
                    <w:keepNext/>
                    <w:keepLines/>
                    <w:spacing w:before="120" w:line="240" w:lineRule="atLeast"/>
                    <w:contextualSpacing w:val="0"/>
                  </w:pPr>
                  <w:r w:rsidRPr="00A27192">
                    <w:rPr>
                      <w:rFonts w:cs="Arial"/>
                      <w:color w:val="000000"/>
                      <w:szCs w:val="22"/>
                    </w:rPr>
                    <w:t>-1,624</w:t>
                  </w:r>
                </w:p>
              </w:tc>
            </w:tr>
            <w:tr w:rsidR="008133E1" w14:paraId="23882046"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2368FD4F" w14:textId="77777777" w:rsidR="008133E1" w:rsidRDefault="008133E1">
                  <w:pPr>
                    <w:keepNext/>
                    <w:keepLines/>
                    <w:spacing w:before="120" w:line="240" w:lineRule="atLeast"/>
                    <w:contextualSpacing w:val="0"/>
                  </w:pPr>
                  <w:r>
                    <w:t>Hydrogen cyanide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DCA7DD1" w14:textId="77777777" w:rsidR="008133E1" w:rsidRPr="004F4841" w:rsidRDefault="008133E1">
                  <w:pPr>
                    <w:keepNext/>
                    <w:keepLines/>
                    <w:spacing w:before="120" w:line="240" w:lineRule="atLeast"/>
                    <w:contextualSpacing w:val="0"/>
                    <w:rPr>
                      <w:rFonts w:cs="Arial"/>
                      <w:color w:val="000000"/>
                      <w:szCs w:val="22"/>
                    </w:rPr>
                  </w:pPr>
                  <w:r>
                    <w:rPr>
                      <w:rFonts w:cs="Arial"/>
                      <w:color w:val="000000"/>
                      <w:szCs w:val="22"/>
                    </w:rPr>
                    <w:t>ND*</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C4984A8"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318</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72F0AF" w14:textId="77777777" w:rsidR="008133E1" w:rsidRDefault="008133E1">
                  <w:pPr>
                    <w:keepNext/>
                    <w:keepLines/>
                    <w:spacing w:before="120" w:line="240" w:lineRule="atLeast"/>
                    <w:contextualSpacing w:val="0"/>
                  </w:pPr>
                  <w:r>
                    <w:rPr>
                      <w:rFonts w:cs="Arial"/>
                      <w:color w:val="000000"/>
                      <w:szCs w:val="22"/>
                    </w:rPr>
                    <w:t>-318</w:t>
                  </w:r>
                </w:p>
              </w:tc>
            </w:tr>
            <w:tr w:rsidR="008133E1" w14:paraId="6CB7A32A"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384AE7D6" w14:textId="77777777" w:rsidR="008133E1" w:rsidRDefault="008133E1">
                  <w:pPr>
                    <w:keepNext/>
                    <w:keepLines/>
                    <w:spacing w:before="120" w:line="240" w:lineRule="atLeast"/>
                    <w:contextualSpacing w:val="0"/>
                  </w:pPr>
                  <w:r>
                    <w:t>Hydrogen sulfide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CACBE62"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7</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A106D92"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1,907</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486E2D" w14:textId="77777777" w:rsidR="008133E1" w:rsidRDefault="008133E1">
                  <w:pPr>
                    <w:keepNext/>
                    <w:keepLines/>
                    <w:spacing w:before="120" w:line="240" w:lineRule="atLeast"/>
                    <w:contextualSpacing w:val="0"/>
                  </w:pPr>
                  <w:r w:rsidRPr="00A27192">
                    <w:rPr>
                      <w:rFonts w:cs="Arial"/>
                      <w:color w:val="000000"/>
                      <w:szCs w:val="22"/>
                    </w:rPr>
                    <w:t>-1,900</w:t>
                  </w:r>
                </w:p>
              </w:tc>
            </w:tr>
            <w:tr w:rsidR="008133E1" w14:paraId="5AC7A5A6"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5BFB74E6" w14:textId="77777777" w:rsidR="008133E1" w:rsidRDefault="008133E1">
                  <w:pPr>
                    <w:keepNext/>
                    <w:keepLines/>
                    <w:spacing w:before="120" w:line="240" w:lineRule="atLeast"/>
                    <w:contextualSpacing w:val="0"/>
                  </w:pPr>
                  <w:r>
                    <w:t>Nitrogen dioxide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8C07218" w14:textId="77777777" w:rsidR="008133E1" w:rsidRPr="004F4841" w:rsidRDefault="008133E1">
                  <w:pPr>
                    <w:keepNext/>
                    <w:keepLines/>
                    <w:spacing w:before="120" w:line="240" w:lineRule="atLeast"/>
                    <w:contextualSpacing w:val="0"/>
                    <w:rPr>
                      <w:rFonts w:cs="Arial"/>
                      <w:color w:val="000000"/>
                      <w:szCs w:val="22"/>
                    </w:rPr>
                  </w:pPr>
                  <w:r>
                    <w:rPr>
                      <w:rFonts w:cs="Arial"/>
                      <w:color w:val="000000"/>
                      <w:szCs w:val="22"/>
                    </w:rPr>
                    <w:t>ND*</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9E5FB0D"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2,703</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DD16FC" w14:textId="77777777" w:rsidR="008133E1" w:rsidRDefault="008133E1">
                  <w:pPr>
                    <w:keepNext/>
                    <w:keepLines/>
                    <w:spacing w:before="120" w:line="240" w:lineRule="atLeast"/>
                    <w:contextualSpacing w:val="0"/>
                  </w:pPr>
                  <w:r>
                    <w:rPr>
                      <w:rFonts w:cs="Arial"/>
                      <w:color w:val="000000"/>
                      <w:szCs w:val="22"/>
                    </w:rPr>
                    <w:t>-2,703</w:t>
                  </w:r>
                </w:p>
              </w:tc>
            </w:tr>
            <w:tr w:rsidR="008133E1" w14:paraId="7D4751D6"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382AC4EB" w14:textId="4BF96969" w:rsidR="008133E1" w:rsidRDefault="008133E1">
                  <w:pPr>
                    <w:keepNext/>
                    <w:keepLines/>
                    <w:spacing w:before="120" w:line="240" w:lineRule="atLeast"/>
                    <w:contextualSpacing w:val="0"/>
                  </w:pPr>
                  <w:r>
                    <w:t>Respirable crystalline silica (</w:t>
                  </w:r>
                  <w:r w:rsidR="00323704">
                    <w:t xml:space="preserve">excl. </w:t>
                  </w:r>
                  <w:r>
                    <w:t>mining)</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BD14FA0"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10,145</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7E88851"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3,448</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C24112" w14:textId="77777777" w:rsidR="008133E1" w:rsidRDefault="008133E1">
                  <w:pPr>
                    <w:keepNext/>
                    <w:keepLines/>
                    <w:spacing w:before="120" w:line="240" w:lineRule="atLeast"/>
                    <w:contextualSpacing w:val="0"/>
                  </w:pPr>
                  <w:r>
                    <w:rPr>
                      <w:rFonts w:cs="Arial"/>
                      <w:color w:val="000000"/>
                      <w:szCs w:val="22"/>
                    </w:rPr>
                    <w:t>+</w:t>
                  </w:r>
                  <w:r w:rsidRPr="00A27192">
                    <w:rPr>
                      <w:rFonts w:cs="Arial"/>
                      <w:color w:val="000000"/>
                      <w:szCs w:val="22"/>
                    </w:rPr>
                    <w:t>6,697</w:t>
                  </w:r>
                </w:p>
              </w:tc>
            </w:tr>
            <w:tr w:rsidR="008133E1" w14:paraId="1D30C8EF"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341B7A26" w14:textId="5500699C" w:rsidR="008133E1" w:rsidRDefault="008133E1">
                  <w:pPr>
                    <w:keepNext/>
                    <w:keepLines/>
                    <w:spacing w:before="120" w:line="240" w:lineRule="atLeast"/>
                    <w:contextualSpacing w:val="0"/>
                  </w:pPr>
                  <w:r w:rsidRPr="00337FB1">
                    <w:t>Respirable crystalline silica (mining)</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D29E3F1"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2,490</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B1A49BF"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18,483</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8C233D" w14:textId="77777777" w:rsidR="008133E1" w:rsidRDefault="008133E1">
                  <w:pPr>
                    <w:keepNext/>
                    <w:keepLines/>
                    <w:spacing w:before="120" w:line="240" w:lineRule="atLeast"/>
                    <w:contextualSpacing w:val="0"/>
                  </w:pPr>
                  <w:r w:rsidRPr="00A27192">
                    <w:rPr>
                      <w:rFonts w:cs="Arial"/>
                      <w:color w:val="000000"/>
                      <w:szCs w:val="22"/>
                    </w:rPr>
                    <w:t>-15,993</w:t>
                  </w:r>
                </w:p>
              </w:tc>
            </w:tr>
            <w:tr w:rsidR="008133E1" w14:paraId="56E77502" w14:textId="77777777">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AE3F8" w:themeFill="accent1" w:themeFillTint="33"/>
                </w:tcPr>
                <w:p w14:paraId="73993045" w14:textId="77777777" w:rsidR="008133E1" w:rsidRDefault="008133E1">
                  <w:pPr>
                    <w:keepNext/>
                    <w:keepLines/>
                    <w:spacing w:before="120" w:line="240" w:lineRule="atLeast"/>
                    <w:contextualSpacing w:val="0"/>
                  </w:pPr>
                  <w:r>
                    <w:t>Titanium dioxide</w:t>
                  </w:r>
                </w:p>
              </w:tc>
              <w:tc>
                <w:tcPr>
                  <w:tcW w:w="13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6DDB0CA" w14:textId="77777777" w:rsidR="008133E1" w:rsidRPr="004F4841" w:rsidRDefault="008133E1">
                  <w:pPr>
                    <w:keepNext/>
                    <w:keepLines/>
                    <w:spacing w:before="120" w:line="240" w:lineRule="atLeast"/>
                    <w:contextualSpacing w:val="0"/>
                    <w:rPr>
                      <w:rFonts w:cs="Arial"/>
                      <w:color w:val="000000"/>
                      <w:szCs w:val="22"/>
                    </w:rPr>
                  </w:pPr>
                  <w:r>
                    <w:rPr>
                      <w:rFonts w:cs="Arial"/>
                      <w:color w:val="000000"/>
                      <w:szCs w:val="22"/>
                    </w:rPr>
                    <w:t>ND*</w:t>
                  </w:r>
                </w:p>
              </w:tc>
              <w:tc>
                <w:tcPr>
                  <w:tcW w:w="139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1D41A9D" w14:textId="77777777" w:rsidR="008133E1" w:rsidRPr="004F4841" w:rsidRDefault="008133E1">
                  <w:pPr>
                    <w:keepNext/>
                    <w:keepLines/>
                    <w:spacing w:before="120" w:line="240" w:lineRule="atLeast"/>
                    <w:contextualSpacing w:val="0"/>
                    <w:rPr>
                      <w:rFonts w:cs="Arial"/>
                      <w:color w:val="000000"/>
                      <w:szCs w:val="22"/>
                    </w:rPr>
                  </w:pPr>
                  <w:r w:rsidRPr="00DC20BB">
                    <w:rPr>
                      <w:rFonts w:cs="Arial"/>
                      <w:color w:val="000000"/>
                      <w:szCs w:val="22"/>
                    </w:rPr>
                    <w:t>62</w:t>
                  </w:r>
                </w:p>
              </w:tc>
              <w:tc>
                <w:tcPr>
                  <w:tcW w:w="3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0DBBB9" w14:textId="77777777" w:rsidR="008133E1" w:rsidRPr="00A27192" w:rsidRDefault="008133E1">
                  <w:pPr>
                    <w:keepNext/>
                    <w:keepLines/>
                    <w:spacing w:before="120" w:line="240" w:lineRule="atLeast"/>
                    <w:contextualSpacing w:val="0"/>
                    <w:rPr>
                      <w:rFonts w:cs="Arial"/>
                      <w:color w:val="000000"/>
                      <w:szCs w:val="22"/>
                    </w:rPr>
                  </w:pPr>
                  <w:r>
                    <w:rPr>
                      <w:rFonts w:cs="Arial"/>
                      <w:color w:val="000000"/>
                      <w:szCs w:val="22"/>
                    </w:rPr>
                    <w:t>-62</w:t>
                  </w:r>
                </w:p>
              </w:tc>
            </w:tr>
          </w:tbl>
          <w:p w14:paraId="0880AE8A" w14:textId="7A23972B" w:rsidR="008133E1" w:rsidRPr="00DC20BB" w:rsidRDefault="008133E1">
            <w:pPr>
              <w:keepNext/>
              <w:keepLines/>
              <w:spacing w:after="200" w:line="240" w:lineRule="atLeast"/>
              <w:ind w:left="30"/>
              <w:contextualSpacing w:val="0"/>
              <w:rPr>
                <w:rFonts w:eastAsia="Times New Roman"/>
                <w:i/>
                <w:iCs/>
                <w:sz w:val="16"/>
                <w:szCs w:val="16"/>
              </w:rPr>
            </w:pPr>
            <w:r>
              <w:rPr>
                <w:rFonts w:eastAsia="Times New Roman"/>
                <w:i/>
                <w:iCs/>
                <w:color w:val="808080" w:themeColor="background1" w:themeShade="80"/>
                <w:sz w:val="16"/>
              </w:rPr>
              <w:t xml:space="preserve">  </w:t>
            </w:r>
            <w:r w:rsidRPr="00DC20BB">
              <w:rPr>
                <w:rFonts w:eastAsia="Times New Roman"/>
                <w:i/>
                <w:iCs/>
                <w:sz w:val="16"/>
                <w:szCs w:val="16"/>
              </w:rPr>
              <w:t>ND = Not determined due to insufficient data</w:t>
            </w:r>
            <w:r>
              <w:br/>
            </w:r>
            <w:r w:rsidRPr="00DC20BB">
              <w:rPr>
                <w:rFonts w:eastAsia="Times New Roman"/>
                <w:i/>
                <w:iCs/>
                <w:sz w:val="16"/>
                <w:szCs w:val="16"/>
              </w:rPr>
              <w:t xml:space="preserve">  * Benefits exist but were unable to be quantified. </w:t>
            </w:r>
            <w:r>
              <w:rPr>
                <w:rFonts w:eastAsia="Times New Roman"/>
                <w:i/>
                <w:iCs/>
                <w:sz w:val="16"/>
                <w:szCs w:val="16"/>
              </w:rPr>
              <w:t xml:space="preserve">This should not be read as an absence of benefits. </w:t>
            </w:r>
            <w:r>
              <w:br/>
            </w:r>
            <w:r>
              <w:rPr>
                <w:rFonts w:eastAsia="Times New Roman"/>
                <w:i/>
                <w:iCs/>
                <w:sz w:val="16"/>
                <w:szCs w:val="16"/>
              </w:rPr>
              <w:t xml:space="preserve">  ** The quantified gross benefits should be read in conjunction with the non-quantifiable benefits set out </w:t>
            </w:r>
            <w:r w:rsidR="006B663F">
              <w:rPr>
                <w:rFonts w:eastAsia="Times New Roman"/>
                <w:i/>
                <w:iCs/>
                <w:sz w:val="16"/>
                <w:szCs w:val="16"/>
              </w:rPr>
              <w:t>below.</w:t>
            </w:r>
            <w:r>
              <w:rPr>
                <w:rFonts w:eastAsia="Times New Roman"/>
                <w:i/>
                <w:iCs/>
                <w:sz w:val="16"/>
                <w:szCs w:val="16"/>
              </w:rPr>
              <w:t xml:space="preserve"> </w:t>
            </w:r>
          </w:p>
        </w:tc>
      </w:tr>
    </w:tbl>
    <w:p w14:paraId="252A285E" w14:textId="77777777" w:rsidR="008133E1" w:rsidRDefault="008133E1" w:rsidP="0030283C">
      <w:pPr>
        <w:spacing w:line="240" w:lineRule="auto"/>
        <w:contextualSpacing w:val="0"/>
        <w:textAlignment w:val="baseline"/>
        <w:rPr>
          <w:rFonts w:eastAsia="Times New Roman" w:cs="Arial"/>
          <w:lang w:eastAsia="en-AU"/>
        </w:rPr>
      </w:pPr>
    </w:p>
    <w:p w14:paraId="172120A5" w14:textId="260EDF35" w:rsidR="00B610E3" w:rsidRDefault="00B610E3" w:rsidP="0030283C">
      <w:pPr>
        <w:spacing w:line="240" w:lineRule="auto"/>
        <w:contextualSpacing w:val="0"/>
        <w:textAlignment w:val="baseline"/>
        <w:rPr>
          <w:rFonts w:eastAsia="Times New Roman" w:cs="Arial"/>
          <w:lang w:eastAsia="en-AU"/>
        </w:rPr>
      </w:pPr>
      <w:r>
        <w:rPr>
          <w:rFonts w:eastAsia="Times New Roman" w:cs="Arial"/>
          <w:lang w:eastAsia="en-AU"/>
        </w:rPr>
        <w:t xml:space="preserve">In addition to the quantified costs and benefits set out above, </w:t>
      </w:r>
      <w:r w:rsidR="00977972">
        <w:rPr>
          <w:rFonts w:eastAsia="Times New Roman" w:cs="Arial"/>
          <w:lang w:eastAsia="en-AU"/>
        </w:rPr>
        <w:t>there are a number of non-quantifiable and qualitative benefits that should be considered</w:t>
      </w:r>
      <w:r w:rsidR="00333715">
        <w:rPr>
          <w:rFonts w:eastAsia="Times New Roman" w:cs="Arial"/>
          <w:lang w:eastAsia="en-AU"/>
        </w:rPr>
        <w:t>.</w:t>
      </w:r>
    </w:p>
    <w:p w14:paraId="57BFC12B" w14:textId="494382C9" w:rsidR="00313366" w:rsidRPr="001865D4" w:rsidRDefault="004702BA" w:rsidP="0012112B">
      <w:pPr>
        <w:spacing w:line="240" w:lineRule="auto"/>
        <w:contextualSpacing w:val="0"/>
        <w:textAlignment w:val="baseline"/>
        <w:rPr>
          <w:rFonts w:eastAsia="Times New Roman" w:cs="Arial"/>
          <w:lang w:eastAsia="en-AU"/>
        </w:rPr>
      </w:pPr>
      <w:r w:rsidRPr="004702BA">
        <w:rPr>
          <w:rFonts w:eastAsia="Times New Roman" w:cs="Arial"/>
          <w:lang w:eastAsia="en-AU"/>
        </w:rPr>
        <w:t xml:space="preserve">Implementation of the health-based limits is expected to lead to a range of long-term benefits for workers including reduced financial and non-financial costs due to illness and disease (physical and mental), reduced disability and death, increased quality of life, and improved </w:t>
      </w:r>
      <w:r w:rsidRPr="004702BA">
        <w:rPr>
          <w:rFonts w:eastAsia="Times New Roman" w:cs="Arial"/>
          <w:lang w:eastAsia="en-AU"/>
        </w:rPr>
        <w:lastRenderedPageBreak/>
        <w:t xml:space="preserve">workplace productivity. </w:t>
      </w:r>
      <w:r w:rsidR="0012112B" w:rsidRPr="5190F8D0">
        <w:rPr>
          <w:rStyle w:val="CommentReference"/>
          <w:rFonts w:eastAsia="Times New Roman" w:cs="Arial"/>
          <w:sz w:val="22"/>
          <w:szCs w:val="22"/>
          <w:lang w:eastAsia="en-AU"/>
        </w:rPr>
        <w:t>I</w:t>
      </w:r>
      <w:r w:rsidR="00E83833">
        <w:rPr>
          <w:rFonts w:eastAsia="Times New Roman" w:cs="Arial"/>
          <w:lang w:eastAsia="en-AU"/>
        </w:rPr>
        <w:t xml:space="preserve">t is also expected </w:t>
      </w:r>
      <w:r w:rsidR="00BC3E47">
        <w:rPr>
          <w:rFonts w:eastAsia="Times New Roman" w:cs="Arial"/>
          <w:lang w:eastAsia="en-AU"/>
        </w:rPr>
        <w:t xml:space="preserve">there </w:t>
      </w:r>
      <w:r w:rsidR="00E5293A">
        <w:rPr>
          <w:rFonts w:eastAsia="Times New Roman" w:cs="Arial"/>
          <w:lang w:eastAsia="en-AU"/>
        </w:rPr>
        <w:t xml:space="preserve">will </w:t>
      </w:r>
      <w:r w:rsidR="00BC3E47">
        <w:rPr>
          <w:rFonts w:eastAsia="Times New Roman" w:cs="Arial"/>
          <w:lang w:eastAsia="en-AU"/>
        </w:rPr>
        <w:t xml:space="preserve">be </w:t>
      </w:r>
      <w:r w:rsidR="00E83833">
        <w:rPr>
          <w:rFonts w:eastAsia="Times New Roman" w:cs="Arial"/>
          <w:lang w:eastAsia="en-AU"/>
        </w:rPr>
        <w:t>r</w:t>
      </w:r>
      <w:r w:rsidRPr="004702BA">
        <w:rPr>
          <w:rFonts w:eastAsia="Times New Roman" w:cs="Arial"/>
          <w:lang w:eastAsia="en-AU"/>
        </w:rPr>
        <w:t xml:space="preserve">educed costs to the public health system </w:t>
      </w:r>
      <w:r w:rsidR="00312FC1" w:rsidRPr="004702BA">
        <w:rPr>
          <w:rFonts w:eastAsia="Times New Roman" w:cs="Arial"/>
          <w:lang w:eastAsia="en-AU"/>
        </w:rPr>
        <w:t>in relation to diagnosis, treatment and disease management</w:t>
      </w:r>
      <w:r w:rsidR="00E5293A">
        <w:rPr>
          <w:rFonts w:eastAsia="Times New Roman" w:cs="Arial"/>
          <w:lang w:eastAsia="en-AU"/>
        </w:rPr>
        <w:t>.</w:t>
      </w:r>
      <w:r w:rsidR="005B6689">
        <w:rPr>
          <w:rFonts w:eastAsia="Times New Roman" w:cs="Arial"/>
          <w:lang w:eastAsia="en-AU"/>
        </w:rPr>
        <w:t xml:space="preserve"> </w:t>
      </w:r>
      <w:r w:rsidR="00E5293A">
        <w:rPr>
          <w:rFonts w:eastAsia="Times New Roman" w:cs="Arial"/>
          <w:lang w:eastAsia="en-AU"/>
        </w:rPr>
        <w:t>T</w:t>
      </w:r>
      <w:r w:rsidR="005B6689">
        <w:rPr>
          <w:rFonts w:eastAsia="Times New Roman" w:cs="Arial"/>
          <w:lang w:eastAsia="en-AU"/>
        </w:rPr>
        <w:t>he actual benefit</w:t>
      </w:r>
      <w:r w:rsidR="00F569C4">
        <w:rPr>
          <w:rFonts w:eastAsia="Times New Roman" w:cs="Arial"/>
          <w:lang w:eastAsia="en-AU"/>
        </w:rPr>
        <w:t>,</w:t>
      </w:r>
      <w:r w:rsidR="005B6689">
        <w:rPr>
          <w:rFonts w:eastAsia="Times New Roman" w:cs="Arial"/>
          <w:lang w:eastAsia="en-AU"/>
        </w:rPr>
        <w:t xml:space="preserve"> </w:t>
      </w:r>
      <w:r w:rsidR="00F569C4">
        <w:rPr>
          <w:rFonts w:eastAsia="Times New Roman" w:cs="Arial"/>
          <w:lang w:eastAsia="en-AU"/>
        </w:rPr>
        <w:t>considering</w:t>
      </w:r>
      <w:r w:rsidR="00555AFF">
        <w:rPr>
          <w:rFonts w:eastAsia="Times New Roman" w:cs="Arial"/>
          <w:lang w:eastAsia="en-AU"/>
        </w:rPr>
        <w:t xml:space="preserve"> reduced costs to the health system</w:t>
      </w:r>
      <w:r w:rsidR="004A2087">
        <w:rPr>
          <w:rFonts w:eastAsia="Times New Roman" w:cs="Arial"/>
          <w:lang w:eastAsia="en-AU"/>
        </w:rPr>
        <w:t xml:space="preserve">, </w:t>
      </w:r>
      <w:r w:rsidR="004A2087" w:rsidRPr="004A2087">
        <w:rPr>
          <w:rFonts w:eastAsia="Times New Roman" w:cs="Arial"/>
          <w:lang w:eastAsia="en-AU"/>
        </w:rPr>
        <w:t xml:space="preserve">would be greater than what was quantified </w:t>
      </w:r>
      <w:r w:rsidR="004A2087">
        <w:rPr>
          <w:rFonts w:eastAsia="Times New Roman" w:cs="Arial"/>
          <w:lang w:eastAsia="en-AU"/>
        </w:rPr>
        <w:t>in this Decision RIS</w:t>
      </w:r>
      <w:r w:rsidR="0016194E">
        <w:rPr>
          <w:rFonts w:eastAsia="Times New Roman" w:cs="Arial"/>
          <w:lang w:eastAsia="en-AU"/>
        </w:rPr>
        <w:t>.</w:t>
      </w:r>
      <w:r w:rsidRPr="004702BA">
        <w:rPr>
          <w:rFonts w:eastAsia="Times New Roman" w:cs="Arial"/>
          <w:lang w:eastAsia="en-AU"/>
        </w:rPr>
        <w:t xml:space="preserve"> There are also direct and indirect benefits to workers’ families, friends and communities. </w:t>
      </w:r>
      <w:r w:rsidR="009B1A9B">
        <w:rPr>
          <w:rFonts w:eastAsia="Times New Roman" w:cs="Arial"/>
          <w:lang w:eastAsia="en-AU"/>
        </w:rPr>
        <w:t>As part of the public consultation</w:t>
      </w:r>
      <w:r w:rsidR="00326181">
        <w:rPr>
          <w:rFonts w:eastAsia="Times New Roman" w:cs="Arial"/>
          <w:lang w:eastAsia="en-AU"/>
        </w:rPr>
        <w:t xml:space="preserve"> for this Decision RIS, s</w:t>
      </w:r>
      <w:r w:rsidR="00CA640E">
        <w:rPr>
          <w:rFonts w:eastAsia="Times New Roman" w:cs="Arial"/>
          <w:lang w:eastAsia="en-AU"/>
        </w:rPr>
        <w:t xml:space="preserve">takeholders also suggested qualitative benefits </w:t>
      </w:r>
      <w:r w:rsidR="009B1A9B">
        <w:rPr>
          <w:rFonts w:eastAsia="Times New Roman" w:cs="Arial"/>
          <w:lang w:eastAsia="en-AU"/>
        </w:rPr>
        <w:t>from the proposed WELs</w:t>
      </w:r>
      <w:r w:rsidR="00A6602D">
        <w:rPr>
          <w:rFonts w:eastAsia="Times New Roman" w:cs="Arial"/>
          <w:lang w:eastAsia="en-AU"/>
        </w:rPr>
        <w:t xml:space="preserve">, such as </w:t>
      </w:r>
      <w:r w:rsidR="001865D4">
        <w:rPr>
          <w:rFonts w:eastAsia="Times New Roman" w:cs="Arial"/>
          <w:lang w:eastAsia="en-AU"/>
        </w:rPr>
        <w:t>promotion of healthier and safer workplaces</w:t>
      </w:r>
      <w:r w:rsidR="00410E1F">
        <w:rPr>
          <w:rFonts w:eastAsia="Times New Roman" w:cs="Arial"/>
          <w:lang w:eastAsia="en-AU"/>
        </w:rPr>
        <w:t xml:space="preserve">; </w:t>
      </w:r>
      <w:r w:rsidR="00A6602D" w:rsidRPr="003C514A">
        <w:rPr>
          <w:rFonts w:eastAsia="Times New Roman" w:cs="Arial"/>
          <w:lang w:eastAsia="en-AU"/>
        </w:rPr>
        <w:t>opportunities for innovation, new technology and research</w:t>
      </w:r>
      <w:r w:rsidR="00410E1F">
        <w:rPr>
          <w:rFonts w:eastAsia="Times New Roman" w:cs="Arial"/>
          <w:lang w:eastAsia="en-AU"/>
        </w:rPr>
        <w:t>;</w:t>
      </w:r>
      <w:r w:rsidR="00A6602D" w:rsidRPr="003C514A">
        <w:rPr>
          <w:rFonts w:eastAsia="Times New Roman" w:cs="Arial"/>
          <w:lang w:eastAsia="en-AU"/>
        </w:rPr>
        <w:t xml:space="preserve"> </w:t>
      </w:r>
      <w:r w:rsidR="00521A43" w:rsidRPr="003C514A">
        <w:rPr>
          <w:rFonts w:eastAsia="Times New Roman" w:cs="Arial"/>
          <w:lang w:eastAsia="en-AU"/>
        </w:rPr>
        <w:t>use of</w:t>
      </w:r>
      <w:r w:rsidR="001865D4" w:rsidRPr="003C514A">
        <w:rPr>
          <w:rFonts w:eastAsia="Times New Roman" w:cs="Arial"/>
          <w:lang w:eastAsia="en-AU"/>
        </w:rPr>
        <w:t xml:space="preserve"> products free of the 9 chemicals</w:t>
      </w:r>
      <w:r w:rsidR="27D4C9BB" w:rsidRPr="5190F8D0">
        <w:rPr>
          <w:rFonts w:eastAsia="Times New Roman" w:cs="Arial"/>
          <w:lang w:eastAsia="en-AU"/>
        </w:rPr>
        <w:t>,</w:t>
      </w:r>
      <w:r w:rsidR="00410E1F">
        <w:rPr>
          <w:rFonts w:eastAsia="Times New Roman" w:cs="Arial"/>
          <w:lang w:eastAsia="en-AU"/>
        </w:rPr>
        <w:t xml:space="preserve"> etc.</w:t>
      </w:r>
    </w:p>
    <w:p w14:paraId="57B675AC" w14:textId="71283518" w:rsidR="00EE504C" w:rsidRDefault="00EE504C" w:rsidP="00EE504C">
      <w:pPr>
        <w:spacing w:line="240" w:lineRule="auto"/>
        <w:contextualSpacing w:val="0"/>
        <w:textAlignment w:val="baseline"/>
        <w:rPr>
          <w:rFonts w:eastAsia="Times New Roman" w:cs="Arial"/>
          <w:lang w:eastAsia="en-AU"/>
        </w:rPr>
      </w:pPr>
      <w:r w:rsidRPr="00EE504C">
        <w:rPr>
          <w:rFonts w:eastAsia="Times New Roman" w:cs="Arial"/>
          <w:lang w:eastAsia="en-AU"/>
        </w:rPr>
        <w:t xml:space="preserve">Due to data limitations, benefits were not </w:t>
      </w:r>
      <w:r w:rsidR="00893DEC">
        <w:rPr>
          <w:rFonts w:eastAsia="Times New Roman" w:cs="Arial"/>
          <w:lang w:eastAsia="en-AU"/>
        </w:rPr>
        <w:t>quantifiable</w:t>
      </w:r>
      <w:r w:rsidRPr="00EE504C">
        <w:rPr>
          <w:rFonts w:eastAsia="Times New Roman" w:cs="Arial"/>
          <w:lang w:eastAsia="en-AU"/>
        </w:rPr>
        <w:t xml:space="preserve"> for 4 of the 9 chemicals</w:t>
      </w:r>
      <w:r w:rsidR="005C4A9D">
        <w:rPr>
          <w:rFonts w:eastAsia="Times New Roman" w:cs="Arial"/>
          <w:lang w:eastAsia="en-AU"/>
        </w:rPr>
        <w:t xml:space="preserve"> (copper, hydrogen cyanide, nitrogen dioxide and titanium dioxide)</w:t>
      </w:r>
      <w:r w:rsidRPr="00EE504C">
        <w:rPr>
          <w:rFonts w:eastAsia="Times New Roman" w:cs="Arial"/>
          <w:lang w:eastAsia="en-AU"/>
        </w:rPr>
        <w:t xml:space="preserve">. </w:t>
      </w:r>
      <w:r w:rsidR="005C4A9D">
        <w:rPr>
          <w:rFonts w:eastAsia="Times New Roman" w:cs="Arial"/>
          <w:lang w:eastAsia="en-AU"/>
        </w:rPr>
        <w:t xml:space="preserve">Thus, a net </w:t>
      </w:r>
      <w:r w:rsidR="0071693B">
        <w:rPr>
          <w:rFonts w:eastAsia="Times New Roman" w:cs="Arial"/>
          <w:lang w:eastAsia="en-AU"/>
        </w:rPr>
        <w:t>quantified</w:t>
      </w:r>
      <w:r w:rsidR="005C4A9D">
        <w:rPr>
          <w:rFonts w:eastAsia="Times New Roman" w:cs="Arial"/>
          <w:lang w:eastAsia="en-AU"/>
        </w:rPr>
        <w:t xml:space="preserve"> benefit could not be determined for these chemicals. </w:t>
      </w:r>
      <w:r w:rsidR="00634D97">
        <w:rPr>
          <w:rFonts w:eastAsia="Times New Roman" w:cs="Arial"/>
          <w:lang w:eastAsia="en-AU"/>
        </w:rPr>
        <w:t>However, t</w:t>
      </w:r>
      <w:r w:rsidRPr="00EE504C">
        <w:rPr>
          <w:rFonts w:eastAsia="Times New Roman" w:cs="Arial"/>
          <w:lang w:eastAsia="en-AU"/>
        </w:rPr>
        <w:t xml:space="preserve">his lack of quantifiable data does not mean the significant benefits from preventing occupational disease will not be realised by implementing the proposed WELs for these chemicals. Further, </w:t>
      </w:r>
      <w:r w:rsidR="00F72280">
        <w:rPr>
          <w:rFonts w:eastAsia="Times New Roman" w:cs="Arial"/>
          <w:lang w:eastAsia="en-AU"/>
        </w:rPr>
        <w:t xml:space="preserve">continuing to </w:t>
      </w:r>
      <w:r w:rsidR="00A83233">
        <w:rPr>
          <w:rFonts w:eastAsia="Times New Roman" w:cs="Arial"/>
          <w:lang w:eastAsia="en-AU"/>
        </w:rPr>
        <w:t>implement</w:t>
      </w:r>
      <w:r w:rsidR="006E52E7">
        <w:rPr>
          <w:rFonts w:eastAsia="Times New Roman" w:cs="Arial"/>
          <w:lang w:eastAsia="en-AU"/>
        </w:rPr>
        <w:t xml:space="preserve"> </w:t>
      </w:r>
      <w:r w:rsidR="00A83233">
        <w:rPr>
          <w:rFonts w:eastAsia="Times New Roman" w:cs="Arial"/>
          <w:lang w:eastAsia="en-AU"/>
        </w:rPr>
        <w:t>current</w:t>
      </w:r>
      <w:r w:rsidR="006E52E7">
        <w:rPr>
          <w:rFonts w:eastAsia="Times New Roman" w:cs="Arial"/>
          <w:lang w:eastAsia="en-AU"/>
        </w:rPr>
        <w:t xml:space="preserve"> </w:t>
      </w:r>
      <w:r w:rsidR="00A83233">
        <w:rPr>
          <w:rFonts w:eastAsia="Times New Roman" w:cs="Arial"/>
          <w:lang w:eastAsia="en-AU"/>
        </w:rPr>
        <w:t>WES,</w:t>
      </w:r>
      <w:r w:rsidRPr="00EE504C">
        <w:rPr>
          <w:rFonts w:eastAsia="Times New Roman" w:cs="Arial"/>
          <w:lang w:eastAsia="en-AU"/>
        </w:rPr>
        <w:t xml:space="preserve"> which are not health-based</w:t>
      </w:r>
      <w:r w:rsidR="006E52E7">
        <w:rPr>
          <w:rFonts w:eastAsia="Times New Roman" w:cs="Arial"/>
          <w:lang w:eastAsia="en-AU"/>
        </w:rPr>
        <w:t>,</w:t>
      </w:r>
      <w:r w:rsidRPr="00EE504C">
        <w:rPr>
          <w:rFonts w:eastAsia="Times New Roman" w:cs="Arial"/>
          <w:lang w:eastAsia="en-AU"/>
        </w:rPr>
        <w:t xml:space="preserve"> pose</w:t>
      </w:r>
      <w:r w:rsidR="00655A05">
        <w:rPr>
          <w:rFonts w:eastAsia="Times New Roman" w:cs="Arial"/>
          <w:lang w:eastAsia="en-AU"/>
        </w:rPr>
        <w:t>s</w:t>
      </w:r>
      <w:r w:rsidRPr="00EE504C">
        <w:rPr>
          <w:rFonts w:eastAsia="Times New Roman" w:cs="Arial"/>
          <w:lang w:eastAsia="en-AU"/>
        </w:rPr>
        <w:t xml:space="preserve"> an unacceptable risk to workers, and </w:t>
      </w:r>
      <w:r w:rsidR="0085319A">
        <w:rPr>
          <w:rFonts w:eastAsia="Times New Roman" w:cs="Arial"/>
          <w:lang w:eastAsia="en-AU"/>
        </w:rPr>
        <w:t>is</w:t>
      </w:r>
      <w:r w:rsidRPr="00EE504C">
        <w:rPr>
          <w:rFonts w:eastAsia="Times New Roman" w:cs="Arial"/>
          <w:lang w:eastAsia="en-AU"/>
        </w:rPr>
        <w:t xml:space="preserve"> counter to a modern approach to preventing injury and illness arising from work, as outlined in the model WHS framework.</w:t>
      </w:r>
      <w:r w:rsidR="007B2CF4">
        <w:rPr>
          <w:rFonts w:eastAsia="Times New Roman" w:cs="Arial"/>
          <w:lang w:eastAsia="en-AU"/>
        </w:rPr>
        <w:t xml:space="preserve"> </w:t>
      </w:r>
      <w:r w:rsidRPr="00EE504C">
        <w:rPr>
          <w:rFonts w:eastAsia="Times New Roman" w:cs="Arial"/>
          <w:lang w:eastAsia="en-AU"/>
        </w:rPr>
        <w:t>In contrast many of the costs to businesses</w:t>
      </w:r>
      <w:r w:rsidR="00651D93">
        <w:rPr>
          <w:rFonts w:eastAsia="Times New Roman" w:cs="Arial"/>
          <w:lang w:eastAsia="en-AU"/>
        </w:rPr>
        <w:t xml:space="preserve">, such as </w:t>
      </w:r>
      <w:r w:rsidR="004A6199">
        <w:rPr>
          <w:rFonts w:eastAsia="Times New Roman" w:cs="Arial"/>
          <w:lang w:eastAsia="en-AU"/>
        </w:rPr>
        <w:t xml:space="preserve">costs of </w:t>
      </w:r>
      <w:r w:rsidR="002828B5">
        <w:rPr>
          <w:rFonts w:eastAsia="Times New Roman" w:cs="Arial"/>
          <w:lang w:eastAsia="en-AU"/>
        </w:rPr>
        <w:t>implementing controls to comply with the proposed WEL,</w:t>
      </w:r>
      <w:r w:rsidR="004E5880">
        <w:rPr>
          <w:rFonts w:eastAsia="Times New Roman" w:cs="Arial"/>
          <w:lang w:eastAsia="en-AU"/>
        </w:rPr>
        <w:t xml:space="preserve"> </w:t>
      </w:r>
      <w:r w:rsidRPr="00EE504C">
        <w:rPr>
          <w:rFonts w:eastAsia="Times New Roman" w:cs="Arial"/>
          <w:lang w:eastAsia="en-AU"/>
        </w:rPr>
        <w:t xml:space="preserve">were able to be better estimated. </w:t>
      </w:r>
      <w:r w:rsidRPr="007A5A7A">
        <w:rPr>
          <w:rFonts w:eastAsia="Times New Roman" w:cs="Arial"/>
          <w:lang w:eastAsia="en-AU"/>
        </w:rPr>
        <w:t>Given this, it is not appropriate to determine the net benefit</w:t>
      </w:r>
      <w:r w:rsidR="00977A0C" w:rsidRPr="007A5A7A">
        <w:rPr>
          <w:rFonts w:eastAsia="Times New Roman" w:cs="Arial"/>
          <w:lang w:eastAsia="en-AU"/>
        </w:rPr>
        <w:t xml:space="preserve"> </w:t>
      </w:r>
      <w:r w:rsidR="00CC125D" w:rsidRPr="007A5A7A">
        <w:rPr>
          <w:rFonts w:eastAsia="Times New Roman" w:cs="Arial"/>
          <w:lang w:eastAsia="en-AU"/>
        </w:rPr>
        <w:t xml:space="preserve">for the proposed WELs </w:t>
      </w:r>
      <w:r w:rsidRPr="007A5A7A">
        <w:rPr>
          <w:rFonts w:eastAsia="Times New Roman" w:cs="Arial"/>
          <w:lang w:eastAsia="en-AU"/>
        </w:rPr>
        <w:t>using a simple comparison of quantifiable costs and benefits</w:t>
      </w:r>
      <w:r w:rsidRPr="00EE504C">
        <w:rPr>
          <w:rFonts w:eastAsia="Times New Roman" w:cs="Arial"/>
          <w:lang w:eastAsia="en-AU"/>
        </w:rPr>
        <w:t xml:space="preserve">. </w:t>
      </w:r>
    </w:p>
    <w:p w14:paraId="498FE713" w14:textId="0699153F" w:rsidR="00B375CC" w:rsidRPr="00B375CC" w:rsidRDefault="00B375CC" w:rsidP="00B375CC">
      <w:pPr>
        <w:spacing w:line="240" w:lineRule="auto"/>
        <w:contextualSpacing w:val="0"/>
        <w:textAlignment w:val="baseline"/>
        <w:rPr>
          <w:rFonts w:eastAsia="Times New Roman" w:cs="Arial"/>
          <w:lang w:eastAsia="en-AU"/>
        </w:rPr>
      </w:pPr>
      <w:r w:rsidRPr="00B375CC">
        <w:rPr>
          <w:rFonts w:eastAsia="Times New Roman" w:cs="Arial"/>
          <w:lang w:eastAsia="en-AU"/>
        </w:rPr>
        <w:t>The significant qualitative benefits must also be considered, as well as the fact that independent expert review of evidence informed the health-based limits for these chemicals, consistent with Members and WHS ministers’ agreed WES review methodology</w:t>
      </w:r>
      <w:r w:rsidRPr="00B375CC">
        <w:rPr>
          <w:rFonts w:eastAsia="Times New Roman" w:cs="Arial"/>
          <w:vertAlign w:val="superscript"/>
          <w:lang w:eastAsia="en-AU"/>
        </w:rPr>
        <w:footnoteReference w:id="2"/>
      </w:r>
      <w:r w:rsidRPr="00B375CC">
        <w:rPr>
          <w:rFonts w:eastAsia="Times New Roman" w:cs="Arial"/>
          <w:lang w:eastAsia="en-AU"/>
        </w:rPr>
        <w:t>. The WES review evaluation reports</w:t>
      </w:r>
      <w:r w:rsidRPr="00B375CC">
        <w:rPr>
          <w:rFonts w:eastAsia="Times New Roman" w:cs="Arial"/>
          <w:vertAlign w:val="superscript"/>
          <w:lang w:eastAsia="en-AU"/>
        </w:rPr>
        <w:footnoteReference w:id="3"/>
      </w:r>
      <w:r w:rsidRPr="00B375CC">
        <w:rPr>
          <w:rFonts w:eastAsia="Times New Roman" w:cs="Arial"/>
          <w:lang w:eastAsia="en-AU"/>
        </w:rPr>
        <w:t xml:space="preserve">, published for each chemical, outline how the agreed data sources were used in the independent expert review. These limits </w:t>
      </w:r>
      <w:r w:rsidR="00A4798B">
        <w:rPr>
          <w:rFonts w:eastAsia="Times New Roman" w:cs="Arial"/>
          <w:lang w:eastAsia="en-AU"/>
        </w:rPr>
        <w:t xml:space="preserve">are based on </w:t>
      </w:r>
      <w:r w:rsidRPr="00B375CC">
        <w:rPr>
          <w:rFonts w:eastAsia="Times New Roman" w:cs="Arial"/>
          <w:lang w:eastAsia="en-AU"/>
        </w:rPr>
        <w:t xml:space="preserve">the current, established </w:t>
      </w:r>
      <w:r w:rsidR="00A4798B">
        <w:rPr>
          <w:rFonts w:eastAsia="Times New Roman" w:cs="Arial"/>
          <w:lang w:eastAsia="en-AU"/>
        </w:rPr>
        <w:t>evidence</w:t>
      </w:r>
      <w:r w:rsidR="0073574D">
        <w:rPr>
          <w:rFonts w:eastAsia="Times New Roman" w:cs="Arial"/>
          <w:lang w:eastAsia="en-AU"/>
        </w:rPr>
        <w:t xml:space="preserve"> and provide</w:t>
      </w:r>
      <w:r w:rsidRPr="00B375CC">
        <w:rPr>
          <w:rFonts w:eastAsia="Times New Roman" w:cs="Arial"/>
          <w:lang w:eastAsia="en-AU"/>
        </w:rPr>
        <w:t xml:space="preserve"> for optimum protection of workers from adverse health effects. Taken together, </w:t>
      </w:r>
      <w:r w:rsidRPr="00B375CC">
        <w:rPr>
          <w:rFonts w:eastAsia="Times New Roman" w:cs="Arial"/>
          <w:b/>
          <w:bCs/>
          <w:lang w:eastAsia="en-AU"/>
        </w:rPr>
        <w:t xml:space="preserve">Option 2 meets the objective agreed by WHS ministers that the </w:t>
      </w:r>
      <w:r w:rsidR="00717C1F">
        <w:rPr>
          <w:rFonts w:eastAsia="Times New Roman" w:cs="Arial"/>
          <w:b/>
          <w:bCs/>
          <w:lang w:eastAsia="en-AU"/>
        </w:rPr>
        <w:t>proposed WEL</w:t>
      </w:r>
      <w:r w:rsidR="00717C1F" w:rsidRPr="00B375CC">
        <w:rPr>
          <w:rFonts w:eastAsia="Times New Roman" w:cs="Arial"/>
          <w:b/>
          <w:bCs/>
          <w:lang w:eastAsia="en-AU"/>
        </w:rPr>
        <w:t xml:space="preserve"> </w:t>
      </w:r>
      <w:r w:rsidRPr="00B375CC">
        <w:rPr>
          <w:rFonts w:eastAsia="Times New Roman" w:cs="Arial"/>
          <w:b/>
          <w:bCs/>
          <w:lang w:eastAsia="en-AU"/>
        </w:rPr>
        <w:t>adequately protect workers from the adverse health effects from exposure to the airborne hazardous chemicals</w:t>
      </w:r>
      <w:r w:rsidRPr="00B375CC">
        <w:rPr>
          <w:rFonts w:eastAsia="Times New Roman" w:cs="Arial"/>
          <w:lang w:eastAsia="en-AU"/>
        </w:rPr>
        <w:t>.  </w:t>
      </w:r>
    </w:p>
    <w:p w14:paraId="0D203A9A" w14:textId="03406D07" w:rsidR="00CA00B3" w:rsidRPr="00313366" w:rsidRDefault="00B375CC" w:rsidP="0030283C">
      <w:pPr>
        <w:spacing w:line="240" w:lineRule="auto"/>
        <w:contextualSpacing w:val="0"/>
        <w:textAlignment w:val="baseline"/>
        <w:rPr>
          <w:rFonts w:ascii="Segoe UI" w:eastAsia="Times New Roman" w:hAnsi="Segoe UI" w:cs="Segoe UI"/>
          <w:sz w:val="18"/>
          <w:szCs w:val="18"/>
          <w:lang w:eastAsia="en-AU"/>
        </w:rPr>
      </w:pPr>
      <w:r w:rsidRPr="00B375CC">
        <w:rPr>
          <w:rFonts w:eastAsia="Times New Roman" w:cs="Arial"/>
          <w:lang w:eastAsia="en-AU"/>
        </w:rPr>
        <w:t>Costs and benefits must also be considered in the context of the object of the model WHS Act and the existing requirements in the model WHS Act and Regulations. </w:t>
      </w:r>
    </w:p>
    <w:p w14:paraId="10BA3C36" w14:textId="77777777" w:rsidR="00313366" w:rsidRPr="00313366" w:rsidRDefault="00313366" w:rsidP="00CA6B6E">
      <w:pPr>
        <w:spacing w:line="240" w:lineRule="auto"/>
        <w:contextualSpacing w:val="0"/>
        <w:textAlignment w:val="baseline"/>
        <w:rPr>
          <w:rFonts w:ascii="Segoe UI" w:eastAsia="Times New Roman" w:hAnsi="Segoe UI" w:cs="Segoe UI"/>
          <w:b/>
          <w:bCs/>
          <w:i/>
          <w:iCs/>
          <w:sz w:val="18"/>
          <w:szCs w:val="18"/>
          <w:lang w:eastAsia="en-AU"/>
        </w:rPr>
      </w:pPr>
      <w:r w:rsidRPr="00313366">
        <w:rPr>
          <w:rFonts w:eastAsia="Times New Roman" w:cs="Arial"/>
          <w:b/>
          <w:bCs/>
          <w:i/>
          <w:iCs/>
          <w:sz w:val="24"/>
          <w:lang w:eastAsia="en-AU"/>
        </w:rPr>
        <w:t>Option 2 is consistent with the object and requirements of the model WHS laws </w:t>
      </w:r>
    </w:p>
    <w:p w14:paraId="53A4A960" w14:textId="6A31E5B4"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One of the key objectives of the model WHS Act is to protect workers and other persons against harm to their health, safety and welfare through the elimination or minimisation of risks arising from work, including from hazardous chemicals. </w:t>
      </w:r>
    </w:p>
    <w:p w14:paraId="6F02A5D5" w14:textId="3F95F2A7"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 xml:space="preserve">The </w:t>
      </w:r>
      <w:r w:rsidR="00D8608C">
        <w:rPr>
          <w:rFonts w:eastAsia="Times New Roman" w:cs="Arial"/>
          <w:szCs w:val="22"/>
          <w:lang w:eastAsia="en-AU"/>
        </w:rPr>
        <w:t>model WHS</w:t>
      </w:r>
      <w:r w:rsidRPr="00313366">
        <w:rPr>
          <w:rFonts w:eastAsia="Times New Roman" w:cs="Arial"/>
          <w:szCs w:val="22"/>
          <w:lang w:eastAsia="en-AU"/>
        </w:rPr>
        <w:t xml:space="preserve"> Act specifies that regard must be given to the principle that workers and other persons </w:t>
      </w:r>
      <w:r w:rsidR="002A426E">
        <w:rPr>
          <w:rFonts w:eastAsia="Times New Roman" w:cs="Arial"/>
          <w:szCs w:val="22"/>
          <w:lang w:eastAsia="en-AU"/>
        </w:rPr>
        <w:t>must be protected</w:t>
      </w:r>
      <w:r w:rsidRPr="00313366">
        <w:rPr>
          <w:rFonts w:eastAsia="Times New Roman" w:cs="Arial"/>
          <w:szCs w:val="22"/>
          <w:lang w:eastAsia="en-AU"/>
        </w:rPr>
        <w:t xml:space="preserve"> against harm to their health, safety and welfare from hazards and risks arising from work (including from hazardous chemicals) as is reasonably practicable. </w:t>
      </w:r>
    </w:p>
    <w:p w14:paraId="53A0D40A" w14:textId="0E66E569"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 xml:space="preserve">Further, section 19 of the </w:t>
      </w:r>
      <w:r w:rsidR="00D8608C">
        <w:rPr>
          <w:rFonts w:eastAsia="Times New Roman" w:cs="Arial"/>
          <w:szCs w:val="22"/>
          <w:lang w:eastAsia="en-AU"/>
        </w:rPr>
        <w:t>model WHS</w:t>
      </w:r>
      <w:r w:rsidRPr="00313366">
        <w:rPr>
          <w:rFonts w:eastAsia="Times New Roman" w:cs="Arial"/>
          <w:szCs w:val="22"/>
          <w:lang w:eastAsia="en-AU"/>
        </w:rPr>
        <w:t xml:space="preserve"> Act establishes the primary duty of care for </w:t>
      </w:r>
      <w:r w:rsidR="00265829">
        <w:rPr>
          <w:rFonts w:eastAsia="Times New Roman" w:cs="Arial"/>
          <w:szCs w:val="22"/>
          <w:lang w:eastAsia="en-AU"/>
        </w:rPr>
        <w:t>person</w:t>
      </w:r>
      <w:r w:rsidR="007E3863">
        <w:rPr>
          <w:rFonts w:eastAsia="Times New Roman" w:cs="Arial"/>
          <w:szCs w:val="22"/>
          <w:lang w:eastAsia="en-AU"/>
        </w:rPr>
        <w:t>s</w:t>
      </w:r>
      <w:r w:rsidR="00265829">
        <w:rPr>
          <w:rFonts w:eastAsia="Times New Roman" w:cs="Arial"/>
          <w:szCs w:val="22"/>
          <w:lang w:eastAsia="en-AU"/>
        </w:rPr>
        <w:t xml:space="preserve"> conducting a business or undertaking (</w:t>
      </w:r>
      <w:r w:rsidRPr="00313366">
        <w:rPr>
          <w:rFonts w:eastAsia="Times New Roman" w:cs="Arial"/>
          <w:szCs w:val="22"/>
          <w:lang w:eastAsia="en-AU"/>
        </w:rPr>
        <w:t>PCBUs</w:t>
      </w:r>
      <w:r w:rsidR="007E3863">
        <w:rPr>
          <w:rFonts w:eastAsia="Times New Roman" w:cs="Arial"/>
          <w:szCs w:val="22"/>
          <w:lang w:eastAsia="en-AU"/>
        </w:rPr>
        <w:t>)</w:t>
      </w:r>
      <w:r w:rsidRPr="00313366">
        <w:rPr>
          <w:rFonts w:eastAsia="Times New Roman" w:cs="Arial"/>
          <w:szCs w:val="22"/>
          <w:lang w:eastAsia="en-AU"/>
        </w:rPr>
        <w:t xml:space="preserve"> to ensure, so far as is reasonably practicable, the health and safety of workers and others in the workplace. In fulfilling this duty, section 17 of the </w:t>
      </w:r>
      <w:r w:rsidR="006E3969">
        <w:rPr>
          <w:rFonts w:eastAsia="Times New Roman" w:cs="Arial"/>
          <w:szCs w:val="22"/>
          <w:lang w:eastAsia="en-AU"/>
        </w:rPr>
        <w:t xml:space="preserve">model WHS </w:t>
      </w:r>
      <w:r w:rsidRPr="00313366">
        <w:rPr>
          <w:rFonts w:eastAsia="Times New Roman" w:cs="Arial"/>
          <w:szCs w:val="22"/>
          <w:lang w:eastAsia="en-AU"/>
        </w:rPr>
        <w:t>Act requires a PCBU to eliminate risks to health and safety, so far as is reasonably practicable. Where elimination is not reasonably practicable (e.g. eliminating the use of a hazardous chemical at the workplace), a PCBU must minimise risks to health and safety so far as is reasonably practicable. </w:t>
      </w:r>
    </w:p>
    <w:p w14:paraId="5BF3609E" w14:textId="672848C2"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lastRenderedPageBreak/>
        <w:t xml:space="preserve">The model WHS Regulations require PCBUs to review and as necessary revise control measures so as to maintain, so far as is reasonably practicable, a work environment that is without risks to health or safety. This includes reviewing control measures when new information about a hazard or risk is available, such as current evidence relating to the health effects from exposure </w:t>
      </w:r>
      <w:r w:rsidR="00151E43">
        <w:rPr>
          <w:rFonts w:eastAsia="Times New Roman" w:cs="Arial"/>
          <w:szCs w:val="22"/>
          <w:lang w:eastAsia="en-AU"/>
        </w:rPr>
        <w:t xml:space="preserve">to </w:t>
      </w:r>
      <w:r w:rsidRPr="00313366">
        <w:rPr>
          <w:rFonts w:eastAsia="Times New Roman" w:cs="Arial"/>
          <w:szCs w:val="22"/>
          <w:lang w:eastAsia="en-AU"/>
        </w:rPr>
        <w:t>the hazardous chemicals. </w:t>
      </w:r>
    </w:p>
    <w:p w14:paraId="22CE7733" w14:textId="05692375"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 xml:space="preserve">In considering what is reasonably practicable, PCBUs must take into account and weigh up all relevant matters, including what they know, or ought reasonably to know, about the hazard or the risk. This includes information about level of exposure to a hazardous chemical that can cause </w:t>
      </w:r>
      <w:r w:rsidR="00567985">
        <w:rPr>
          <w:rFonts w:eastAsia="Times New Roman" w:cs="Arial"/>
          <w:szCs w:val="22"/>
          <w:lang w:eastAsia="en-AU"/>
        </w:rPr>
        <w:t xml:space="preserve">adverse </w:t>
      </w:r>
      <w:r w:rsidRPr="00313366">
        <w:rPr>
          <w:rFonts w:eastAsia="Times New Roman" w:cs="Arial"/>
          <w:szCs w:val="22"/>
          <w:lang w:eastAsia="en-AU"/>
        </w:rPr>
        <w:t>health effects. </w:t>
      </w:r>
    </w:p>
    <w:p w14:paraId="65BFA549" w14:textId="1B8C9759"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b/>
          <w:bCs/>
          <w:szCs w:val="22"/>
          <w:lang w:eastAsia="en-AU"/>
        </w:rPr>
        <w:t>Retaining the current WES (Option 1) would be inconsistent with the requirements of the model WHS laws and does not adequately assist PCBUs in meeting their obligations. Further, it would lead to regulatory confusion</w:t>
      </w:r>
      <w:r w:rsidR="00DF6D2A">
        <w:rPr>
          <w:rFonts w:eastAsia="Times New Roman" w:cs="Arial"/>
          <w:b/>
          <w:bCs/>
          <w:szCs w:val="22"/>
          <w:lang w:eastAsia="en-AU"/>
        </w:rPr>
        <w:t>.</w:t>
      </w:r>
      <w:r w:rsidRPr="00313366">
        <w:rPr>
          <w:rFonts w:eastAsia="Times New Roman" w:cs="Arial"/>
          <w:b/>
          <w:bCs/>
          <w:szCs w:val="22"/>
          <w:lang w:eastAsia="en-AU"/>
        </w:rPr>
        <w:t> </w:t>
      </w:r>
      <w:r w:rsidRPr="00313366">
        <w:rPr>
          <w:rFonts w:eastAsia="Times New Roman" w:cs="Arial"/>
          <w:color w:val="0078D4"/>
          <w:szCs w:val="22"/>
          <w:lang w:eastAsia="en-AU"/>
        </w:rPr>
        <w:t> </w:t>
      </w:r>
    </w:p>
    <w:p w14:paraId="0434BF7C" w14:textId="3CFCFDBC" w:rsidR="00313366" w:rsidRPr="00F13947"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The requirement in the model WHS Regulations for a PCBU to ensure a person is not exposed to a level of hazardous chemicals above its WES is intended to clarify the requirements in the Act and does not introduce new regulatory requirements. This regulation is intended to assist PCBUs in minimising risk from exposure to hazardous chemicals</w:t>
      </w:r>
      <w:r w:rsidR="001F0A42">
        <w:rPr>
          <w:rFonts w:eastAsia="Times New Roman" w:cs="Arial"/>
          <w:szCs w:val="22"/>
          <w:lang w:eastAsia="en-AU"/>
        </w:rPr>
        <w:t xml:space="preserve"> so far as is reasonably practicable</w:t>
      </w:r>
      <w:r w:rsidRPr="00F13947">
        <w:rPr>
          <w:rFonts w:eastAsia="Times New Roman" w:cs="Arial"/>
          <w:szCs w:val="22"/>
          <w:lang w:eastAsia="en-AU"/>
        </w:rPr>
        <w:t>.</w:t>
      </w:r>
      <w:r w:rsidR="00D77A7B" w:rsidRPr="00527EC3">
        <w:rPr>
          <w:rFonts w:eastAsia="Times New Roman" w:cs="Arial"/>
          <w:szCs w:val="22"/>
          <w:lang w:eastAsia="en-AU"/>
        </w:rPr>
        <w:t xml:space="preserve"> </w:t>
      </w:r>
      <w:r w:rsidR="0048319D">
        <w:rPr>
          <w:rFonts w:eastAsia="Times New Roman" w:cs="Arial"/>
          <w:szCs w:val="22"/>
          <w:lang w:eastAsia="en-AU"/>
        </w:rPr>
        <w:t>However</w:t>
      </w:r>
      <w:r w:rsidR="000A7190">
        <w:rPr>
          <w:rFonts w:eastAsia="Times New Roman" w:cs="Arial"/>
          <w:szCs w:val="22"/>
          <w:lang w:eastAsia="en-AU"/>
        </w:rPr>
        <w:t>,</w:t>
      </w:r>
      <w:r w:rsidR="0048319D">
        <w:rPr>
          <w:rFonts w:eastAsia="Times New Roman" w:cs="Arial"/>
          <w:szCs w:val="22"/>
          <w:lang w:eastAsia="en-AU"/>
        </w:rPr>
        <w:t xml:space="preserve"> </w:t>
      </w:r>
      <w:r w:rsidR="00BB42C5">
        <w:rPr>
          <w:rFonts w:eastAsia="Times New Roman" w:cs="Arial"/>
          <w:szCs w:val="22"/>
          <w:lang w:eastAsia="en-AU"/>
        </w:rPr>
        <w:t xml:space="preserve">evaluation of </w:t>
      </w:r>
      <w:r w:rsidR="0048319D">
        <w:rPr>
          <w:rFonts w:eastAsia="Times New Roman" w:cs="Arial"/>
          <w:szCs w:val="22"/>
          <w:lang w:eastAsia="en-AU"/>
        </w:rPr>
        <w:t>the current</w:t>
      </w:r>
      <w:r w:rsidR="00D77A7B" w:rsidRPr="00F13947">
        <w:rPr>
          <w:rFonts w:eastAsia="Times New Roman" w:cs="Arial"/>
          <w:szCs w:val="22"/>
          <w:lang w:eastAsia="en-AU"/>
        </w:rPr>
        <w:t xml:space="preserve"> WES </w:t>
      </w:r>
      <w:r w:rsidR="002960D8">
        <w:rPr>
          <w:rFonts w:eastAsia="Times New Roman" w:cs="Arial"/>
          <w:szCs w:val="22"/>
          <w:lang w:eastAsia="en-AU"/>
        </w:rPr>
        <w:t>for</w:t>
      </w:r>
      <w:r w:rsidR="0048319D">
        <w:rPr>
          <w:rFonts w:eastAsia="Times New Roman" w:cs="Arial"/>
          <w:szCs w:val="22"/>
          <w:lang w:eastAsia="en-AU"/>
        </w:rPr>
        <w:t xml:space="preserve"> </w:t>
      </w:r>
      <w:r w:rsidR="00A10A58">
        <w:rPr>
          <w:rFonts w:eastAsia="Times New Roman" w:cs="Arial"/>
          <w:szCs w:val="22"/>
          <w:lang w:eastAsia="en-AU"/>
        </w:rPr>
        <w:t xml:space="preserve">each of the 9 chemicals </w:t>
      </w:r>
      <w:r w:rsidR="00BB42C5">
        <w:rPr>
          <w:rFonts w:eastAsia="Times New Roman" w:cs="Arial"/>
          <w:szCs w:val="22"/>
          <w:lang w:eastAsia="en-AU"/>
        </w:rPr>
        <w:t xml:space="preserve">has determined they </w:t>
      </w:r>
      <w:r w:rsidR="00102BEB">
        <w:rPr>
          <w:rFonts w:eastAsia="Times New Roman" w:cs="Arial"/>
          <w:szCs w:val="22"/>
          <w:lang w:eastAsia="en-AU"/>
        </w:rPr>
        <w:t>are not health-based</w:t>
      </w:r>
      <w:r w:rsidR="00D77A7B" w:rsidRPr="00F13947">
        <w:rPr>
          <w:rFonts w:eastAsia="Times New Roman" w:cs="Arial"/>
          <w:szCs w:val="22"/>
          <w:lang w:eastAsia="en-AU"/>
        </w:rPr>
        <w:t xml:space="preserve">. </w:t>
      </w:r>
      <w:r w:rsidRPr="00F13947">
        <w:rPr>
          <w:rFonts w:eastAsia="Times New Roman" w:cs="Arial"/>
          <w:szCs w:val="22"/>
          <w:lang w:eastAsia="en-AU"/>
        </w:rPr>
        <w:t>  </w:t>
      </w:r>
    </w:p>
    <w:p w14:paraId="76A2A2FA" w14:textId="17462846"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Retaining the current WES (or even implementing another limit</w:t>
      </w:r>
      <w:r w:rsidR="007D1ABD">
        <w:rPr>
          <w:rFonts w:eastAsia="Times New Roman" w:cs="Arial"/>
          <w:szCs w:val="22"/>
          <w:lang w:eastAsia="en-AU"/>
        </w:rPr>
        <w:t xml:space="preserve"> that is not health-based</w:t>
      </w:r>
      <w:r w:rsidRPr="00313366">
        <w:rPr>
          <w:rFonts w:eastAsia="Times New Roman" w:cs="Arial"/>
          <w:szCs w:val="22"/>
          <w:lang w:eastAsia="en-AU"/>
        </w:rPr>
        <w:t>) is likely to imply (erroneously) to PCBUs that exposure to those levels of the hazardous chemicals is consistent with the obligations to minimise risk so far as is reasonably practicable, when the current evidence demonstrates otherwise.  </w:t>
      </w:r>
    </w:p>
    <w:p w14:paraId="58535418" w14:textId="29F88401"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b/>
          <w:bCs/>
          <w:szCs w:val="22"/>
          <w:lang w:eastAsia="en-AU"/>
        </w:rPr>
        <w:t xml:space="preserve">Retaining the current WES is likely to imply to workers a false sense of safety </w:t>
      </w:r>
      <w:r w:rsidR="00B7627D">
        <w:rPr>
          <w:rFonts w:eastAsia="Times New Roman" w:cs="Arial"/>
          <w:b/>
          <w:bCs/>
          <w:szCs w:val="22"/>
          <w:lang w:eastAsia="en-AU"/>
        </w:rPr>
        <w:t>–</w:t>
      </w:r>
      <w:r w:rsidRPr="00313366">
        <w:rPr>
          <w:rFonts w:eastAsia="Times New Roman" w:cs="Arial"/>
          <w:b/>
          <w:bCs/>
          <w:szCs w:val="22"/>
          <w:lang w:eastAsia="en-AU"/>
        </w:rPr>
        <w:t xml:space="preserve"> that exposure at the level of the WES will not cause adverse health effects.</w:t>
      </w:r>
      <w:r w:rsidRPr="00313366">
        <w:rPr>
          <w:rFonts w:eastAsia="Times New Roman" w:cs="Arial"/>
          <w:color w:val="0078D4"/>
          <w:szCs w:val="22"/>
          <w:lang w:eastAsia="en-AU"/>
        </w:rPr>
        <w:t> </w:t>
      </w:r>
    </w:p>
    <w:p w14:paraId="0FCDFF8D" w14:textId="4E3F639B" w:rsidR="00313366" w:rsidRPr="00313366" w:rsidRDefault="00313366" w:rsidP="00CA6B6E">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 xml:space="preserve">As noted in the WES Review Decision RIS, the WES list referenced in the model WHS Regulations does not </w:t>
      </w:r>
      <w:r w:rsidR="00F23F85">
        <w:rPr>
          <w:rFonts w:eastAsia="Times New Roman" w:cs="Arial"/>
          <w:szCs w:val="22"/>
          <w:lang w:eastAsia="en-AU"/>
        </w:rPr>
        <w:t xml:space="preserve">adequately protect workers </w:t>
      </w:r>
      <w:r w:rsidR="00697424">
        <w:rPr>
          <w:rFonts w:eastAsia="Times New Roman" w:cs="Arial"/>
          <w:szCs w:val="22"/>
          <w:lang w:eastAsia="en-AU"/>
        </w:rPr>
        <w:t xml:space="preserve">from </w:t>
      </w:r>
      <w:r w:rsidR="00697424" w:rsidRPr="00313366">
        <w:rPr>
          <w:rFonts w:eastAsia="Times New Roman" w:cs="Arial"/>
          <w:szCs w:val="22"/>
          <w:lang w:eastAsia="en-AU"/>
        </w:rPr>
        <w:t xml:space="preserve">adverse health effects </w:t>
      </w:r>
      <w:r w:rsidR="00697424">
        <w:rPr>
          <w:rFonts w:eastAsia="Times New Roman" w:cs="Arial"/>
          <w:szCs w:val="22"/>
          <w:lang w:eastAsia="en-AU"/>
        </w:rPr>
        <w:t xml:space="preserve">based on </w:t>
      </w:r>
      <w:r w:rsidRPr="00313366">
        <w:rPr>
          <w:rFonts w:eastAsia="Times New Roman" w:cs="Arial"/>
          <w:szCs w:val="22"/>
          <w:lang w:eastAsia="en-AU"/>
        </w:rPr>
        <w:t xml:space="preserve">current scientific evidence. Based on the outcomes of the expert review, exposure </w:t>
      </w:r>
      <w:r w:rsidRPr="00313366" w:rsidDel="006562FE">
        <w:rPr>
          <w:rFonts w:eastAsia="Times New Roman" w:cs="Arial"/>
          <w:szCs w:val="22"/>
          <w:lang w:eastAsia="en-AU"/>
        </w:rPr>
        <w:t xml:space="preserve">to </w:t>
      </w:r>
      <w:r w:rsidR="006562FE">
        <w:rPr>
          <w:rFonts w:eastAsia="Times New Roman" w:cs="Arial"/>
          <w:szCs w:val="22"/>
          <w:lang w:eastAsia="en-AU"/>
        </w:rPr>
        <w:t>some</w:t>
      </w:r>
      <w:r w:rsidRPr="00313366" w:rsidDel="00FE1E68">
        <w:rPr>
          <w:rFonts w:eastAsia="Times New Roman" w:cs="Arial"/>
          <w:szCs w:val="22"/>
          <w:lang w:eastAsia="en-AU"/>
        </w:rPr>
        <w:t xml:space="preserve"> </w:t>
      </w:r>
      <w:r w:rsidRPr="00313366">
        <w:rPr>
          <w:rFonts w:eastAsia="Times New Roman" w:cs="Arial"/>
          <w:szCs w:val="22"/>
          <w:lang w:eastAsia="en-AU"/>
        </w:rPr>
        <w:t xml:space="preserve">chemicals </w:t>
      </w:r>
      <w:r w:rsidR="001F7409">
        <w:rPr>
          <w:rFonts w:eastAsia="Times New Roman" w:cs="Arial"/>
          <w:szCs w:val="22"/>
          <w:lang w:eastAsia="en-AU"/>
        </w:rPr>
        <w:t>at their current WES</w:t>
      </w:r>
      <w:r w:rsidR="0058241D">
        <w:rPr>
          <w:rFonts w:eastAsia="Times New Roman" w:cs="Arial"/>
          <w:szCs w:val="22"/>
          <w:lang w:eastAsia="en-AU"/>
        </w:rPr>
        <w:t xml:space="preserve"> </w:t>
      </w:r>
      <w:r w:rsidRPr="00313366">
        <w:rPr>
          <w:rFonts w:eastAsia="Times New Roman" w:cs="Arial"/>
          <w:szCs w:val="22"/>
          <w:lang w:eastAsia="en-AU"/>
        </w:rPr>
        <w:t>could cause adverse health effects in workers. These adverse health effects are avoided if the health-based limits (Option 2) are implemented.  </w:t>
      </w:r>
    </w:p>
    <w:p w14:paraId="6CD18E19" w14:textId="6BF37F8F" w:rsidR="00313366" w:rsidRPr="00313366" w:rsidRDefault="00313366" w:rsidP="6D8350BD">
      <w:pPr>
        <w:spacing w:line="240" w:lineRule="auto"/>
        <w:textAlignment w:val="baseline"/>
        <w:rPr>
          <w:rFonts w:ascii="Segoe UI" w:eastAsia="Times New Roman" w:hAnsi="Segoe UI" w:cs="Segoe UI"/>
          <w:sz w:val="18"/>
          <w:szCs w:val="18"/>
          <w:lang w:eastAsia="en-AU"/>
        </w:rPr>
      </w:pPr>
      <w:r w:rsidRPr="6D8350BD">
        <w:rPr>
          <w:rFonts w:eastAsia="Times New Roman" w:cs="Arial"/>
          <w:lang w:eastAsia="en-AU"/>
        </w:rPr>
        <w:t xml:space="preserve">WHS ministers have agreed the health-based limits for all chemicals in the WES list, with the exception of the 9 chemicals. </w:t>
      </w:r>
      <w:r w:rsidR="00ED223C">
        <w:t xml:space="preserve">Some stakeholders proposed alternative exposure limits </w:t>
      </w:r>
      <w:r w:rsidR="0AD1AB6B">
        <w:t>for one or more of the 9 chemicals</w:t>
      </w:r>
      <w:r w:rsidR="00ED223C">
        <w:t xml:space="preserve"> in their submissions. These suggest</w:t>
      </w:r>
      <w:r w:rsidR="000C458A">
        <w:t>ed alternative exposure limits</w:t>
      </w:r>
      <w:r w:rsidR="00ED223C">
        <w:t xml:space="preserve"> </w:t>
      </w:r>
      <w:r w:rsidR="00ED223C" w:rsidDel="008A4A80">
        <w:t xml:space="preserve">were </w:t>
      </w:r>
      <w:r w:rsidR="00ED223C">
        <w:t xml:space="preserve">considered </w:t>
      </w:r>
      <w:r w:rsidR="008A24AF">
        <w:t>against the criteria</w:t>
      </w:r>
      <w:r w:rsidR="002A713A">
        <w:t xml:space="preserve"> contained</w:t>
      </w:r>
      <w:r w:rsidR="00ED223C">
        <w:t xml:space="preserve"> with</w:t>
      </w:r>
      <w:r w:rsidR="002A713A">
        <w:t>in</w:t>
      </w:r>
      <w:r w:rsidR="00ED223C">
        <w:t xml:space="preserve"> the WES review methodology </w:t>
      </w:r>
      <w:r w:rsidR="00961959">
        <w:t>agreed by WHS ministers</w:t>
      </w:r>
      <w:r w:rsidR="008A4A80">
        <w:t xml:space="preserve"> </w:t>
      </w:r>
      <w:r w:rsidR="000C458A">
        <w:t>and</w:t>
      </w:r>
      <w:r w:rsidR="00596890">
        <w:t xml:space="preserve"> the analysis is </w:t>
      </w:r>
      <w:r w:rsidR="008A4A80" w:rsidRPr="008A4A80">
        <w:t>outlined in the chemical specific chapters of this Decision RIS</w:t>
      </w:r>
      <w:r w:rsidR="008A4A80">
        <w:t>.</w:t>
      </w:r>
    </w:p>
    <w:p w14:paraId="226AD661" w14:textId="156D395B" w:rsidR="00E6439B" w:rsidRPr="00C55110" w:rsidRDefault="2C017908" w:rsidP="00C55110">
      <w:pPr>
        <w:sectPr w:rsidR="00E6439B" w:rsidRPr="00C55110" w:rsidSect="008F3F28">
          <w:pgSz w:w="11906" w:h="16838" w:code="9"/>
          <w:pgMar w:top="1440" w:right="1440" w:bottom="1440" w:left="1440" w:header="709" w:footer="709" w:gutter="0"/>
          <w:cols w:space="708"/>
          <w:titlePg/>
          <w:docGrid w:linePitch="360"/>
        </w:sectPr>
      </w:pPr>
      <w:r w:rsidRPr="556AD3C1">
        <w:rPr>
          <w:rFonts w:eastAsia="Times New Roman" w:cs="Arial"/>
          <w:lang w:eastAsia="en-AU"/>
        </w:rPr>
        <w:t> </w:t>
      </w:r>
      <w:bookmarkEnd w:id="5"/>
    </w:p>
    <w:p w14:paraId="5C6E613F" w14:textId="62E6753D" w:rsidR="009911EB" w:rsidRPr="00F85B74" w:rsidRDefault="009911EB" w:rsidP="00707ADD">
      <w:pPr>
        <w:pStyle w:val="SWAHeading1"/>
      </w:pPr>
      <w:bookmarkStart w:id="7" w:name="_Toc194509989"/>
      <w:bookmarkStart w:id="8" w:name="_Toc219216851"/>
      <w:bookmarkStart w:id="9" w:name="_Toc193192515"/>
      <w:r w:rsidRPr="00F85B74">
        <w:lastRenderedPageBreak/>
        <w:t>Introduction</w:t>
      </w:r>
      <w:bookmarkEnd w:id="7"/>
      <w:r w:rsidR="008A6CDB">
        <w:t xml:space="preserve"> and </w:t>
      </w:r>
      <w:r w:rsidR="00A615A0">
        <w:t>background</w:t>
      </w:r>
      <w:bookmarkEnd w:id="8"/>
      <w:r w:rsidR="009002B3">
        <w:t xml:space="preserve"> </w:t>
      </w:r>
    </w:p>
    <w:p w14:paraId="11959E22" w14:textId="1EB77AEC" w:rsidR="009911EB" w:rsidRPr="009911EB" w:rsidRDefault="009911EB" w:rsidP="009911EB">
      <w:pPr>
        <w:keepNext/>
        <w:spacing w:after="200" w:line="240" w:lineRule="atLeast"/>
        <w:contextualSpacing w:val="0"/>
        <w:rPr>
          <w:rFonts w:eastAsia="Times New Roman"/>
        </w:rPr>
      </w:pPr>
      <w:r w:rsidRPr="009911EB">
        <w:rPr>
          <w:rFonts w:eastAsia="Times New Roman"/>
        </w:rPr>
        <w:t>Many Australian workers encounter chemicals in their workplace in some form every day. Some chemicals can cause harm</w:t>
      </w:r>
      <w:r w:rsidR="00474476">
        <w:rPr>
          <w:rFonts w:eastAsia="Times New Roman"/>
        </w:rPr>
        <w:t xml:space="preserve"> to</w:t>
      </w:r>
      <w:r w:rsidRPr="009911EB">
        <w:rPr>
          <w:rFonts w:eastAsia="Times New Roman"/>
        </w:rPr>
        <w:t xml:space="preserve"> workers</w:t>
      </w:r>
      <w:r w:rsidR="0039055C">
        <w:rPr>
          <w:rFonts w:eastAsia="Times New Roman"/>
        </w:rPr>
        <w:t>, particularly</w:t>
      </w:r>
      <w:r w:rsidRPr="009911EB">
        <w:rPr>
          <w:rFonts w:eastAsia="Times New Roman"/>
        </w:rPr>
        <w:t xml:space="preserve"> if not used or handled safely</w:t>
      </w:r>
      <w:r w:rsidR="00241FBB">
        <w:rPr>
          <w:rFonts w:eastAsia="Times New Roman"/>
        </w:rPr>
        <w:t xml:space="preserve">. </w:t>
      </w:r>
      <w:r w:rsidRPr="009911EB">
        <w:rPr>
          <w:rFonts w:eastAsia="Times New Roman"/>
        </w:rPr>
        <w:t xml:space="preserve">Harmful effects can range from physical hazards (such as fires) to health hazards (such as cancer). </w:t>
      </w:r>
    </w:p>
    <w:p w14:paraId="307FC8D6" w14:textId="75CBE6F6" w:rsidR="001C47FD" w:rsidRDefault="001C47FD" w:rsidP="009911EB">
      <w:pPr>
        <w:keepNext/>
        <w:spacing w:after="200" w:line="240" w:lineRule="atLeast"/>
        <w:contextualSpacing w:val="0"/>
        <w:rPr>
          <w:rFonts w:eastAsia="Times New Roman"/>
        </w:rPr>
      </w:pPr>
      <w:r w:rsidRPr="00993B73">
        <w:rPr>
          <w:color w:val="000000" w:themeColor="text1"/>
          <w:lang w:eastAsia="en-AU"/>
        </w:rPr>
        <w:t xml:space="preserve">Airborne contaminants exist in the form of dusts, gases, fumes, vapours and mists, many of which are not visible to the naked eye. Airborne contaminants are potentially harmful in work environments where they do not occur naturally in the air and/or where they present in unnaturally high concentrations. People exposed to airborne contaminants at work may be at risk of adverse health effects, ranging </w:t>
      </w:r>
      <w:r w:rsidRPr="001C47FD">
        <w:rPr>
          <w:color w:val="000000" w:themeColor="text1"/>
          <w:lang w:eastAsia="en-AU"/>
        </w:rPr>
        <w:t>from irritation of the skin and upper respiratory tract to chronic respiratory disease and cancers,</w:t>
      </w:r>
      <w:r w:rsidRPr="001C47FD">
        <w:rPr>
          <w:rFonts w:eastAsia="Times New Roman"/>
        </w:rPr>
        <w:t xml:space="preserve"> and ultimately death. The impacts of exposure can have both </w:t>
      </w:r>
      <w:r w:rsidR="00D67986" w:rsidRPr="001C47FD">
        <w:rPr>
          <w:rFonts w:eastAsia="Times New Roman"/>
        </w:rPr>
        <w:t>short- and long-term</w:t>
      </w:r>
      <w:r w:rsidRPr="001C47FD">
        <w:rPr>
          <w:rFonts w:eastAsia="Times New Roman"/>
        </w:rPr>
        <w:t xml:space="preserve"> consequences for workers, as well as their families and friends, businesses and the broader community</w:t>
      </w:r>
      <w:r w:rsidR="000C01FC">
        <w:rPr>
          <w:rFonts w:eastAsia="Times New Roman"/>
        </w:rPr>
        <w:t xml:space="preserve">. Further, due to long latency periods, the </w:t>
      </w:r>
      <w:r w:rsidR="0048337C">
        <w:rPr>
          <w:rFonts w:eastAsia="Times New Roman"/>
        </w:rPr>
        <w:t>health impacts of exposure may not become evident until many years following exposure</w:t>
      </w:r>
      <w:r w:rsidRPr="001C47FD">
        <w:rPr>
          <w:rFonts w:eastAsia="Times New Roman"/>
        </w:rPr>
        <w:t>.</w:t>
      </w:r>
      <w:r>
        <w:rPr>
          <w:rFonts w:eastAsia="Times New Roman"/>
        </w:rPr>
        <w:t xml:space="preserve">  </w:t>
      </w:r>
    </w:p>
    <w:p w14:paraId="6EF2441A" w14:textId="11550F0A" w:rsidR="0005455E" w:rsidRDefault="6AB6A4DB" w:rsidP="005B6141">
      <w:pPr>
        <w:keepNext/>
        <w:spacing w:after="200" w:line="240" w:lineRule="atLeast"/>
        <w:contextualSpacing w:val="0"/>
        <w:rPr>
          <w:rFonts w:eastAsia="Times New Roman"/>
        </w:rPr>
      </w:pPr>
      <w:r w:rsidRPr="0A4D1FF8">
        <w:rPr>
          <w:rFonts w:eastAsia="Times New Roman"/>
        </w:rPr>
        <w:t xml:space="preserve">The model Work Health and Safety (WHS) legislative and regulatory framework </w:t>
      </w:r>
      <w:r w:rsidR="7BA7E9A4" w:rsidRPr="0A4D1FF8">
        <w:rPr>
          <w:rFonts w:eastAsia="Times New Roman"/>
        </w:rPr>
        <w:t>seeks</w:t>
      </w:r>
      <w:r w:rsidR="0946001F" w:rsidRPr="0A4D1FF8">
        <w:rPr>
          <w:rFonts w:eastAsia="Times New Roman"/>
        </w:rPr>
        <w:t xml:space="preserve"> to </w:t>
      </w:r>
      <w:r w:rsidR="7AA9FCE7" w:rsidRPr="0A4D1FF8">
        <w:rPr>
          <w:rFonts w:eastAsia="Times New Roman"/>
        </w:rPr>
        <w:t xml:space="preserve">secure the health and safety of workers and workplaces. </w:t>
      </w:r>
      <w:r w:rsidR="4E5F498A" w:rsidRPr="0A4D1FF8">
        <w:rPr>
          <w:rFonts w:eastAsia="Times New Roman"/>
        </w:rPr>
        <w:t>This includes protecting workers and other persons from harm by requiring</w:t>
      </w:r>
      <w:r w:rsidR="009D466E">
        <w:rPr>
          <w:rFonts w:eastAsia="Times New Roman"/>
        </w:rPr>
        <w:t xml:space="preserve"> persons conducting a business or undertaking</w:t>
      </w:r>
      <w:r w:rsidR="4E5F498A" w:rsidRPr="0A4D1FF8">
        <w:rPr>
          <w:rFonts w:eastAsia="Times New Roman"/>
        </w:rPr>
        <w:t xml:space="preserve"> </w:t>
      </w:r>
      <w:r w:rsidR="009D466E">
        <w:rPr>
          <w:rFonts w:eastAsia="Times New Roman"/>
        </w:rPr>
        <w:t>(</w:t>
      </w:r>
      <w:r w:rsidR="4E5F498A" w:rsidRPr="0A4D1FF8">
        <w:rPr>
          <w:rFonts w:eastAsia="Times New Roman"/>
        </w:rPr>
        <w:t>PCBUs</w:t>
      </w:r>
      <w:r w:rsidR="009D466E">
        <w:rPr>
          <w:rFonts w:eastAsia="Times New Roman"/>
        </w:rPr>
        <w:t>)</w:t>
      </w:r>
      <w:r w:rsidR="4E5F498A" w:rsidRPr="0A4D1FF8">
        <w:rPr>
          <w:rFonts w:eastAsia="Times New Roman"/>
        </w:rPr>
        <w:t xml:space="preserve"> to eliminate or minimise risk</w:t>
      </w:r>
      <w:r w:rsidR="59ACE828" w:rsidRPr="0A4D1FF8">
        <w:rPr>
          <w:rFonts w:eastAsia="Times New Roman"/>
        </w:rPr>
        <w:t xml:space="preserve">. </w:t>
      </w:r>
      <w:r w:rsidR="20C8EFE2" w:rsidRPr="0A4D1FF8">
        <w:rPr>
          <w:rFonts w:eastAsia="Times New Roman"/>
        </w:rPr>
        <w:t>W</w:t>
      </w:r>
      <w:r w:rsidR="76CB4E78" w:rsidRPr="0A4D1FF8">
        <w:rPr>
          <w:rFonts w:eastAsia="Times New Roman"/>
        </w:rPr>
        <w:t xml:space="preserve">orkplace exposure standards (WES) </w:t>
      </w:r>
      <w:r w:rsidR="52ACCBDD" w:rsidRPr="0A4D1FF8">
        <w:rPr>
          <w:rFonts w:eastAsia="Times New Roman"/>
        </w:rPr>
        <w:t xml:space="preserve">that are health-based </w:t>
      </w:r>
      <w:r w:rsidR="3782C54C" w:rsidRPr="0A4D1FF8">
        <w:rPr>
          <w:rFonts w:eastAsia="Times New Roman"/>
        </w:rPr>
        <w:t>provide important information</w:t>
      </w:r>
      <w:r w:rsidR="44E64C27" w:rsidRPr="0A4D1FF8">
        <w:rPr>
          <w:rFonts w:eastAsia="Times New Roman"/>
        </w:rPr>
        <w:t xml:space="preserve"> </w:t>
      </w:r>
      <w:r w:rsidR="5B461710" w:rsidRPr="0A4D1FF8">
        <w:rPr>
          <w:rFonts w:eastAsia="Times New Roman"/>
        </w:rPr>
        <w:t>for</w:t>
      </w:r>
      <w:r w:rsidR="44E64C27" w:rsidRPr="0A4D1FF8">
        <w:rPr>
          <w:rFonts w:eastAsia="Times New Roman"/>
        </w:rPr>
        <w:t xml:space="preserve"> </w:t>
      </w:r>
      <w:r w:rsidR="76CB4E78" w:rsidRPr="0A4D1FF8">
        <w:rPr>
          <w:rFonts w:eastAsia="Times New Roman"/>
        </w:rPr>
        <w:t xml:space="preserve">PCBUs </w:t>
      </w:r>
      <w:r w:rsidR="39CDD9A4" w:rsidRPr="0A4D1FF8">
        <w:rPr>
          <w:rFonts w:eastAsia="Times New Roman"/>
        </w:rPr>
        <w:t xml:space="preserve">in minimising </w:t>
      </w:r>
      <w:r w:rsidR="32C4CBCE" w:rsidRPr="0A4D1FF8">
        <w:rPr>
          <w:rFonts w:eastAsia="Times New Roman"/>
        </w:rPr>
        <w:t>risks</w:t>
      </w:r>
      <w:r w:rsidR="29BE60C6" w:rsidRPr="0A4D1FF8">
        <w:rPr>
          <w:rFonts w:eastAsia="Times New Roman"/>
        </w:rPr>
        <w:t xml:space="preserve"> to workers and others</w:t>
      </w:r>
      <w:r w:rsidR="0946001F" w:rsidRPr="0A4D1FF8">
        <w:rPr>
          <w:rFonts w:eastAsia="Times New Roman"/>
        </w:rPr>
        <w:t xml:space="preserve"> from exposure to airborne conta</w:t>
      </w:r>
      <w:r w:rsidR="58E8C53C" w:rsidRPr="0A4D1FF8">
        <w:rPr>
          <w:rFonts w:eastAsia="Times New Roman"/>
        </w:rPr>
        <w:t>minants in the workplace</w:t>
      </w:r>
      <w:r w:rsidR="006122E1" w:rsidRPr="0A4D1FF8" w:rsidDel="58E8C53C">
        <w:rPr>
          <w:rFonts w:eastAsia="Times New Roman"/>
        </w:rPr>
        <w:t>.</w:t>
      </w:r>
    </w:p>
    <w:p w14:paraId="4B5987B9" w14:textId="62D8D49F" w:rsidR="006900F7" w:rsidRPr="004968CC" w:rsidRDefault="006900F7" w:rsidP="006900F7">
      <w:pPr>
        <w:spacing w:after="200" w:line="240" w:lineRule="atLeast"/>
        <w:contextualSpacing w:val="0"/>
        <w:rPr>
          <w:rFonts w:eastAsia="Times New Roman"/>
          <w:lang w:eastAsia="en-AU"/>
        </w:rPr>
      </w:pPr>
      <w:r>
        <w:rPr>
          <w:rFonts w:eastAsia="Times New Roman"/>
          <w:lang w:eastAsia="en-AU"/>
        </w:rPr>
        <w:t xml:space="preserve">This Decision RIS focuses on the WES </w:t>
      </w:r>
      <w:r w:rsidR="00587D80">
        <w:rPr>
          <w:rFonts w:eastAsia="Times New Roman"/>
          <w:lang w:eastAsia="en-AU"/>
        </w:rPr>
        <w:t>(</w:t>
      </w:r>
      <w:r w:rsidR="00365F89">
        <w:rPr>
          <w:rFonts w:eastAsia="Times New Roman"/>
          <w:lang w:eastAsia="en-AU"/>
        </w:rPr>
        <w:t xml:space="preserve">from 1 December 2026 to be known as the workplace exposure limits (WEL)) </w:t>
      </w:r>
      <w:r>
        <w:rPr>
          <w:rFonts w:eastAsia="Times New Roman"/>
          <w:lang w:eastAsia="en-AU"/>
        </w:rPr>
        <w:t xml:space="preserve">for the following 9 chemicals: </w:t>
      </w:r>
      <w:r w:rsidRPr="00873686">
        <w:rPr>
          <w:rFonts w:eastAsia="Times New Roman"/>
          <w:lang w:eastAsia="en-AU"/>
        </w:rPr>
        <w:t>benzene, chlorine, copper, formaldehyde, hydrogen cyanide, hydrogen sulfide, nitrogen dioxide, respirable crystalline silica and titanium dioxide</w:t>
      </w:r>
      <w:r>
        <w:rPr>
          <w:rFonts w:eastAsia="Times New Roman"/>
          <w:lang w:eastAsia="en-AU"/>
        </w:rPr>
        <w:t xml:space="preserve">. </w:t>
      </w:r>
      <w:r w:rsidR="001011D6">
        <w:rPr>
          <w:rFonts w:eastAsia="Times New Roman"/>
          <w:lang w:eastAsia="en-AU"/>
        </w:rPr>
        <w:t xml:space="preserve">The Decision RIS </w:t>
      </w:r>
      <w:r w:rsidR="005C3CA5">
        <w:rPr>
          <w:rFonts w:eastAsia="Times New Roman"/>
          <w:lang w:eastAsia="en-AU"/>
        </w:rPr>
        <w:t xml:space="preserve">is </w:t>
      </w:r>
      <w:r w:rsidR="001011D6">
        <w:rPr>
          <w:rFonts w:eastAsia="Times New Roman"/>
          <w:lang w:eastAsia="en-AU"/>
        </w:rPr>
        <w:t xml:space="preserve">intended to support WHS ministers to determine the </w:t>
      </w:r>
      <w:r w:rsidR="00B96B36">
        <w:rPr>
          <w:rFonts w:eastAsia="Times New Roman"/>
          <w:lang w:eastAsia="en-AU"/>
        </w:rPr>
        <w:t xml:space="preserve">appropriate </w:t>
      </w:r>
      <w:r w:rsidR="00EF1EFF">
        <w:rPr>
          <w:rFonts w:eastAsia="Times New Roman"/>
          <w:lang w:eastAsia="en-AU"/>
        </w:rPr>
        <w:t>exposure limit</w:t>
      </w:r>
      <w:r w:rsidR="00B96B36">
        <w:rPr>
          <w:rFonts w:eastAsia="Times New Roman"/>
          <w:lang w:eastAsia="en-AU"/>
        </w:rPr>
        <w:t xml:space="preserve"> </w:t>
      </w:r>
      <w:r w:rsidR="005C3CA5">
        <w:rPr>
          <w:rFonts w:eastAsia="Times New Roman"/>
          <w:lang w:eastAsia="en-AU"/>
        </w:rPr>
        <w:t xml:space="preserve">for these 9 chemicals. </w:t>
      </w:r>
    </w:p>
    <w:p w14:paraId="76789168" w14:textId="5CA290D5" w:rsidR="002C73B1" w:rsidRPr="00993B73" w:rsidRDefault="002C73B1" w:rsidP="00707ADD">
      <w:pPr>
        <w:pStyle w:val="SWAHeading2"/>
        <w:ind w:left="709"/>
        <w:rPr>
          <w:lang w:eastAsia="en-AU"/>
        </w:rPr>
      </w:pPr>
      <w:bookmarkStart w:id="10" w:name="_Toc219216852"/>
      <w:r w:rsidRPr="00993B73">
        <w:rPr>
          <w:lang w:eastAsia="en-AU"/>
        </w:rPr>
        <w:t xml:space="preserve">Businesses are responsible for the health and safety </w:t>
      </w:r>
      <w:r w:rsidR="00E06393">
        <w:rPr>
          <w:lang w:eastAsia="en-AU"/>
        </w:rPr>
        <w:t>of</w:t>
      </w:r>
      <w:r w:rsidRPr="00993B73">
        <w:rPr>
          <w:lang w:eastAsia="en-AU"/>
        </w:rPr>
        <w:t xml:space="preserve"> their workers</w:t>
      </w:r>
      <w:bookmarkEnd w:id="10"/>
    </w:p>
    <w:p w14:paraId="0A6F3068" w14:textId="2608B66E" w:rsidR="002C73B1" w:rsidRPr="00365F89" w:rsidRDefault="5F5A09B7" w:rsidP="008262F0">
      <w:pPr>
        <w:spacing w:line="240" w:lineRule="atLeast"/>
        <w:contextualSpacing w:val="0"/>
        <w:rPr>
          <w:rFonts w:eastAsia="Times New Roman"/>
          <w:lang w:eastAsia="en-AU"/>
        </w:rPr>
      </w:pPr>
      <w:r w:rsidRPr="0A4D1FF8">
        <w:rPr>
          <w:color w:val="000000" w:themeColor="text1"/>
          <w:lang w:eastAsia="en-AU"/>
        </w:rPr>
        <w:t>Under the model Work Health and Safety laws (model WHS laws), which have been implemented in all Australian jurisdictions except Victoria</w:t>
      </w:r>
      <w:r w:rsidR="50A00A1A" w:rsidRPr="0A4D1FF8">
        <w:rPr>
          <w:color w:val="000000" w:themeColor="text1"/>
          <w:lang w:eastAsia="en-AU"/>
        </w:rPr>
        <w:t xml:space="preserve"> (noting </w:t>
      </w:r>
      <w:r w:rsidR="595CAB82" w:rsidRPr="0A4D1FF8">
        <w:rPr>
          <w:color w:val="000000" w:themeColor="text1"/>
          <w:lang w:eastAsia="en-AU"/>
        </w:rPr>
        <w:t>Vic</w:t>
      </w:r>
      <w:r w:rsidR="231C39DF" w:rsidRPr="0A4D1FF8">
        <w:rPr>
          <w:color w:val="000000" w:themeColor="text1"/>
          <w:lang w:eastAsia="en-AU"/>
        </w:rPr>
        <w:t>to</w:t>
      </w:r>
      <w:r w:rsidR="595CAB82" w:rsidRPr="0A4D1FF8">
        <w:rPr>
          <w:color w:val="000000" w:themeColor="text1"/>
          <w:lang w:eastAsia="en-AU"/>
        </w:rPr>
        <w:t xml:space="preserve">ria’s laws have </w:t>
      </w:r>
      <w:r w:rsidR="50A00A1A" w:rsidRPr="0A4D1FF8">
        <w:rPr>
          <w:color w:val="000000" w:themeColor="text1"/>
          <w:lang w:eastAsia="en-AU"/>
        </w:rPr>
        <w:t xml:space="preserve">similar </w:t>
      </w:r>
      <w:r w:rsidR="595CAB82" w:rsidRPr="0A4D1FF8">
        <w:rPr>
          <w:color w:val="000000" w:themeColor="text1"/>
          <w:lang w:eastAsia="en-AU"/>
        </w:rPr>
        <w:t>duties and responsibilities</w:t>
      </w:r>
      <w:r w:rsidR="50A00A1A" w:rsidRPr="0A4D1FF8">
        <w:rPr>
          <w:color w:val="000000" w:themeColor="text1"/>
          <w:lang w:eastAsia="en-AU"/>
        </w:rPr>
        <w:t>)</w:t>
      </w:r>
      <w:r w:rsidRPr="0A4D1FF8">
        <w:rPr>
          <w:color w:val="000000" w:themeColor="text1"/>
          <w:lang w:eastAsia="en-AU"/>
        </w:rPr>
        <w:t>, PCBUs have a primary duty of care to ensure the health and safety of workers and other persons.</w:t>
      </w:r>
      <w:r w:rsidR="37219514" w:rsidRPr="0A4D1FF8">
        <w:rPr>
          <w:color w:val="000000" w:themeColor="text1"/>
          <w:lang w:eastAsia="en-AU"/>
        </w:rPr>
        <w:t xml:space="preserve"> </w:t>
      </w:r>
      <w:r w:rsidRPr="0A4D1FF8">
        <w:rPr>
          <w:color w:val="000000" w:themeColor="text1"/>
          <w:lang w:eastAsia="en-AU"/>
        </w:rPr>
        <w:t xml:space="preserve">This duty is founded on a key objective of the </w:t>
      </w:r>
      <w:r w:rsidRPr="00E20A99">
        <w:rPr>
          <w:color w:val="000000" w:themeColor="text1"/>
          <w:lang w:eastAsia="en-AU"/>
        </w:rPr>
        <w:t>model Work Health and Safety Act 2011</w:t>
      </w:r>
      <w:r w:rsidRPr="0A4D1FF8">
        <w:rPr>
          <w:color w:val="000000" w:themeColor="text1"/>
          <w:lang w:eastAsia="en-AU"/>
        </w:rPr>
        <w:t xml:space="preserve"> (WHS Act) to protect workers and others against harm to their health, safety and welfare through the elimination or minimisation of risks arising from work, including from hazardous c</w:t>
      </w:r>
      <w:r w:rsidRPr="0A4D1FF8">
        <w:rPr>
          <w:rFonts w:eastAsia="Times New Roman"/>
          <w:lang w:eastAsia="en-AU"/>
        </w:rPr>
        <w:t>hemicals.</w:t>
      </w:r>
    </w:p>
    <w:p w14:paraId="66A0AF5D" w14:textId="6A99CB27" w:rsidR="002C73B1" w:rsidRPr="002C73B1" w:rsidRDefault="5F5A09B7" w:rsidP="008262F0">
      <w:pPr>
        <w:spacing w:line="240" w:lineRule="atLeast"/>
        <w:contextualSpacing w:val="0"/>
        <w:rPr>
          <w:rFonts w:eastAsia="Times New Roman"/>
          <w:lang w:eastAsia="en-AU"/>
        </w:rPr>
      </w:pPr>
      <w:r w:rsidRPr="0A4D1FF8">
        <w:rPr>
          <w:rFonts w:eastAsia="Times New Roman"/>
          <w:lang w:eastAsia="en-AU"/>
        </w:rPr>
        <w:t xml:space="preserve">The </w:t>
      </w:r>
      <w:r w:rsidR="00A174D4">
        <w:rPr>
          <w:rFonts w:eastAsia="Times New Roman"/>
          <w:lang w:eastAsia="en-AU"/>
        </w:rPr>
        <w:t>model</w:t>
      </w:r>
      <w:r w:rsidRPr="0A4D1FF8">
        <w:rPr>
          <w:rFonts w:eastAsia="Times New Roman"/>
          <w:lang w:eastAsia="en-AU"/>
        </w:rPr>
        <w:t xml:space="preserve"> WHS Act specifies that regard must be given to the principle that workers and other persons should</w:t>
      </w:r>
      <w:r w:rsidRPr="0A4D1FF8">
        <w:rPr>
          <w:color w:val="000000" w:themeColor="text1"/>
          <w:lang w:eastAsia="en-AU"/>
        </w:rPr>
        <w:t xml:space="preserve"> be given the highest level of protection against health and safety risks as is reasonably practicable. To comply with this, </w:t>
      </w:r>
      <w:r w:rsidR="0011503B">
        <w:rPr>
          <w:color w:val="000000" w:themeColor="text1"/>
          <w:lang w:eastAsia="en-AU"/>
        </w:rPr>
        <w:t>PCBU</w:t>
      </w:r>
      <w:r w:rsidR="00BB17E0">
        <w:rPr>
          <w:color w:val="000000" w:themeColor="text1"/>
          <w:lang w:eastAsia="en-AU"/>
        </w:rPr>
        <w:t>s</w:t>
      </w:r>
      <w:r w:rsidRPr="0A4D1FF8">
        <w:rPr>
          <w:color w:val="000000" w:themeColor="text1"/>
          <w:lang w:eastAsia="en-AU"/>
        </w:rPr>
        <w:t xml:space="preserve"> must eliminate risks to health and safety. </w:t>
      </w:r>
      <w:r w:rsidRPr="0A4D1FF8">
        <w:rPr>
          <w:rFonts w:eastAsia="Times New Roman"/>
          <w:lang w:eastAsia="en-AU"/>
        </w:rPr>
        <w:t xml:space="preserve">Where it is not possible to eliminate risks, </w:t>
      </w:r>
      <w:r w:rsidR="007A6E39">
        <w:rPr>
          <w:rFonts w:eastAsia="Times New Roman"/>
          <w:lang w:eastAsia="en-AU"/>
        </w:rPr>
        <w:t>PCBUs</w:t>
      </w:r>
      <w:r w:rsidR="007A6E39" w:rsidRPr="0A4D1FF8">
        <w:rPr>
          <w:rFonts w:eastAsia="Times New Roman"/>
          <w:lang w:eastAsia="en-AU"/>
        </w:rPr>
        <w:t xml:space="preserve"> </w:t>
      </w:r>
      <w:r w:rsidRPr="0A4D1FF8">
        <w:rPr>
          <w:rFonts w:eastAsia="Times New Roman"/>
          <w:lang w:eastAsia="en-AU"/>
        </w:rPr>
        <w:t xml:space="preserve">must minimise risks so far as is reasonably practicable. </w:t>
      </w:r>
    </w:p>
    <w:p w14:paraId="3D747BB8" w14:textId="26B83A6F" w:rsidR="002C73B1" w:rsidRPr="00993B73" w:rsidRDefault="659E4B65" w:rsidP="008262F0">
      <w:pPr>
        <w:spacing w:line="240" w:lineRule="atLeast"/>
        <w:contextualSpacing w:val="0"/>
        <w:rPr>
          <w:color w:val="000000" w:themeColor="text1"/>
          <w:lang w:eastAsia="en-AU"/>
        </w:rPr>
      </w:pPr>
      <w:r w:rsidRPr="33099B00">
        <w:rPr>
          <w:rFonts w:eastAsia="Times New Roman"/>
          <w:lang w:eastAsia="en-AU"/>
        </w:rPr>
        <w:t xml:space="preserve">These requirements include the </w:t>
      </w:r>
      <w:r w:rsidR="5F5A09B7" w:rsidRPr="0A4D1FF8">
        <w:rPr>
          <w:rFonts w:eastAsia="Times New Roman"/>
          <w:lang w:eastAsia="en-AU"/>
        </w:rPr>
        <w:t xml:space="preserve">elimination or minimisation </w:t>
      </w:r>
      <w:r w:rsidR="0108A7EE" w:rsidRPr="33099B00">
        <w:rPr>
          <w:rFonts w:eastAsia="Times New Roman"/>
          <w:lang w:eastAsia="en-AU"/>
        </w:rPr>
        <w:t xml:space="preserve">of </w:t>
      </w:r>
      <w:r w:rsidR="0108A7EE" w:rsidRPr="6F7B2AC0">
        <w:rPr>
          <w:rFonts w:eastAsia="Times New Roman"/>
          <w:lang w:eastAsia="en-AU"/>
        </w:rPr>
        <w:t xml:space="preserve">risks from </w:t>
      </w:r>
      <w:r w:rsidR="0108A7EE" w:rsidRPr="56C63A78">
        <w:rPr>
          <w:rFonts w:eastAsia="Times New Roman"/>
          <w:lang w:eastAsia="en-AU"/>
        </w:rPr>
        <w:t xml:space="preserve">exposure </w:t>
      </w:r>
      <w:r w:rsidR="5F5A09B7" w:rsidRPr="0A4D1FF8">
        <w:rPr>
          <w:rFonts w:eastAsia="Times New Roman"/>
          <w:lang w:eastAsia="en-AU"/>
        </w:rPr>
        <w:t xml:space="preserve">to airborne contaminants. </w:t>
      </w:r>
      <w:r w:rsidR="0011503B">
        <w:rPr>
          <w:color w:val="000000" w:themeColor="text1"/>
          <w:lang w:eastAsia="en-AU"/>
        </w:rPr>
        <w:t>PCBUs</w:t>
      </w:r>
      <w:r w:rsidR="0011503B" w:rsidRPr="0A4D1FF8">
        <w:rPr>
          <w:color w:val="000000" w:themeColor="text1"/>
          <w:lang w:eastAsia="en-AU"/>
        </w:rPr>
        <w:t xml:space="preserve"> </w:t>
      </w:r>
      <w:r w:rsidR="5F5A09B7" w:rsidRPr="0A4D1FF8">
        <w:rPr>
          <w:color w:val="000000" w:themeColor="text1"/>
          <w:lang w:eastAsia="en-AU"/>
        </w:rPr>
        <w:t xml:space="preserve">must also regularly review and revise control measures to maintain a work environment that is without risks to health and safety, particularly when new information on hazards becomes available. In determining what is reasonably practicable, </w:t>
      </w:r>
      <w:r w:rsidR="00C856B2">
        <w:rPr>
          <w:color w:val="000000" w:themeColor="text1"/>
          <w:lang w:eastAsia="en-AU"/>
        </w:rPr>
        <w:t>PCBUs</w:t>
      </w:r>
      <w:r w:rsidR="00C856B2" w:rsidRPr="0A4D1FF8">
        <w:rPr>
          <w:color w:val="000000" w:themeColor="text1"/>
          <w:lang w:eastAsia="en-AU"/>
        </w:rPr>
        <w:t xml:space="preserve"> </w:t>
      </w:r>
      <w:r w:rsidR="5F5A09B7" w:rsidRPr="0A4D1FF8">
        <w:rPr>
          <w:color w:val="000000" w:themeColor="text1"/>
          <w:lang w:eastAsia="en-AU"/>
        </w:rPr>
        <w:t xml:space="preserve">must consider what they know, or ought reasonably to know, about hazards or the risk, including information on the level of exposure to </w:t>
      </w:r>
      <w:r w:rsidR="5F5A09B7" w:rsidRPr="6A521354">
        <w:rPr>
          <w:color w:val="000000" w:themeColor="text1"/>
          <w:lang w:eastAsia="en-AU"/>
        </w:rPr>
        <w:t>a</w:t>
      </w:r>
      <w:r w:rsidR="10A2E977" w:rsidRPr="6A521354">
        <w:rPr>
          <w:color w:val="000000" w:themeColor="text1"/>
          <w:lang w:eastAsia="en-AU"/>
        </w:rPr>
        <w:t>n airborne contaminant</w:t>
      </w:r>
      <w:r w:rsidR="5F5A09B7" w:rsidRPr="0A4D1FF8">
        <w:rPr>
          <w:color w:val="000000" w:themeColor="text1"/>
          <w:lang w:eastAsia="en-AU"/>
        </w:rPr>
        <w:t xml:space="preserve"> that can cause </w:t>
      </w:r>
      <w:r w:rsidR="007D26B4">
        <w:rPr>
          <w:color w:val="000000" w:themeColor="text1"/>
          <w:lang w:eastAsia="en-AU"/>
        </w:rPr>
        <w:t xml:space="preserve">adverse </w:t>
      </w:r>
      <w:r w:rsidR="5F5A09B7" w:rsidRPr="0A4D1FF8">
        <w:rPr>
          <w:color w:val="000000" w:themeColor="text1"/>
          <w:lang w:eastAsia="en-AU"/>
        </w:rPr>
        <w:t>health effects.</w:t>
      </w:r>
    </w:p>
    <w:p w14:paraId="35DCC8B7" w14:textId="53B5E15E" w:rsidR="00CA73A2" w:rsidRPr="008F4C5A" w:rsidRDefault="00CA73A2" w:rsidP="00707ADD">
      <w:pPr>
        <w:pStyle w:val="SWAHeading2"/>
        <w:ind w:left="709"/>
        <w:rPr>
          <w:lang w:eastAsia="en-AU"/>
        </w:rPr>
      </w:pPr>
      <w:bookmarkStart w:id="11" w:name="_Toc219216853"/>
      <w:r w:rsidRPr="008F4C5A">
        <w:rPr>
          <w:lang w:eastAsia="en-AU"/>
        </w:rPr>
        <w:lastRenderedPageBreak/>
        <w:t xml:space="preserve">Workplace exposure standards </w:t>
      </w:r>
      <w:r w:rsidR="00A81DB5" w:rsidRPr="00A81DB5">
        <w:rPr>
          <w:lang w:eastAsia="en-AU"/>
        </w:rPr>
        <w:t>should protect workers against airborne contaminants</w:t>
      </w:r>
      <w:bookmarkEnd w:id="11"/>
    </w:p>
    <w:p w14:paraId="720CDAC3" w14:textId="1F89D526" w:rsidR="00CA73A2" w:rsidRPr="006579E8" w:rsidRDefault="00007201" w:rsidP="006579E8">
      <w:pPr>
        <w:spacing w:line="240" w:lineRule="auto"/>
        <w:contextualSpacing w:val="0"/>
      </w:pPr>
      <w:r w:rsidRPr="006579E8">
        <w:t xml:space="preserve">Under the model WHS Regulations, </w:t>
      </w:r>
      <w:r w:rsidR="0011503B" w:rsidRPr="006579E8">
        <w:t>PCBUs</w:t>
      </w:r>
      <w:r w:rsidRPr="006579E8">
        <w:t xml:space="preserve"> must ensure that no workers or other persons at the workplace are exposed to levels of airborne contaminants above their </w:t>
      </w:r>
      <w:r w:rsidR="00AE1B80" w:rsidRPr="006579E8">
        <w:t>WES</w:t>
      </w:r>
      <w:r w:rsidRPr="006579E8">
        <w:t xml:space="preserve">. </w:t>
      </w:r>
      <w:r w:rsidR="0036615D" w:rsidRPr="006579E8">
        <w:t xml:space="preserve">The </w:t>
      </w:r>
      <w:r w:rsidR="000054FA" w:rsidRPr="006579E8">
        <w:t>WES represents the airborne concentration of a particular substance or mixture, which must not be exceeded.</w:t>
      </w:r>
      <w:r w:rsidR="001063AC" w:rsidRPr="006579E8">
        <w:t xml:space="preserve"> Exposure to airborne contaminants above their WES may result in the worker developing adverse health effects</w:t>
      </w:r>
      <w:r w:rsidR="00577841">
        <w:t>.</w:t>
      </w:r>
    </w:p>
    <w:p w14:paraId="72315336" w14:textId="12DF292E" w:rsidR="00CA73A2" w:rsidRDefault="00FE5467" w:rsidP="00CA73A2">
      <w:pPr>
        <w:spacing w:after="200" w:line="240" w:lineRule="atLeast"/>
        <w:contextualSpacing w:val="0"/>
        <w:rPr>
          <w:rFonts w:eastAsia="Times New Roman"/>
          <w:lang w:eastAsia="en-AU"/>
        </w:rPr>
      </w:pPr>
      <w:r>
        <w:rPr>
          <w:rFonts w:eastAsia="Times New Roman"/>
          <w:lang w:eastAsia="en-AU"/>
        </w:rPr>
        <w:t>WES</w:t>
      </w:r>
      <w:r w:rsidR="00CA73A2" w:rsidRPr="00D70264">
        <w:rPr>
          <w:rFonts w:eastAsia="Times New Roman"/>
          <w:lang w:eastAsia="en-AU"/>
        </w:rPr>
        <w:t xml:space="preserve"> play a key role in helping to minimise the risks of work</w:t>
      </w:r>
      <w:r w:rsidR="00CA73A2" w:rsidRPr="00556CFA">
        <w:rPr>
          <w:rFonts w:eastAsia="Times New Roman"/>
          <w:lang w:eastAsia="en-AU"/>
        </w:rPr>
        <w:t>place illness and disease by</w:t>
      </w:r>
      <w:r w:rsidR="00CA73A2">
        <w:rPr>
          <w:rFonts w:eastAsia="Times New Roman"/>
          <w:lang w:eastAsia="en-AU"/>
        </w:rPr>
        <w:t>:</w:t>
      </w:r>
    </w:p>
    <w:p w14:paraId="69523FDE" w14:textId="24E2753B" w:rsidR="00CA73A2" w:rsidRPr="00DD2B4B" w:rsidRDefault="00CA73A2" w:rsidP="00A2768E">
      <w:pPr>
        <w:pStyle w:val="ListParagraph"/>
        <w:numPr>
          <w:ilvl w:val="0"/>
          <w:numId w:val="71"/>
        </w:numPr>
        <w:spacing w:after="200" w:line="240" w:lineRule="atLeast"/>
        <w:contextualSpacing w:val="0"/>
        <w:rPr>
          <w:rFonts w:eastAsia="Times New Roman"/>
          <w:lang w:eastAsia="en-AU"/>
        </w:rPr>
      </w:pPr>
      <w:r w:rsidRPr="00DD2B4B">
        <w:rPr>
          <w:rFonts w:eastAsia="Times New Roman"/>
          <w:lang w:eastAsia="en-AU"/>
        </w:rPr>
        <w:t xml:space="preserve">providing information to </w:t>
      </w:r>
      <w:r w:rsidR="00EA4215">
        <w:rPr>
          <w:rFonts w:eastAsia="Times New Roman"/>
          <w:lang w:eastAsia="en-AU"/>
        </w:rPr>
        <w:t>PCBUs</w:t>
      </w:r>
      <w:r w:rsidRPr="00DD2B4B">
        <w:rPr>
          <w:rFonts w:eastAsia="Times New Roman"/>
          <w:lang w:eastAsia="en-AU"/>
        </w:rPr>
        <w:t>, unions and workers about the health risks of workplace exposures to chemicals</w:t>
      </w:r>
    </w:p>
    <w:p w14:paraId="13690E3A" w14:textId="7350BA9A" w:rsidR="00CA73A2" w:rsidRPr="00DD2B4B" w:rsidRDefault="00CA73A2" w:rsidP="00A2768E">
      <w:pPr>
        <w:pStyle w:val="ListParagraph"/>
        <w:numPr>
          <w:ilvl w:val="0"/>
          <w:numId w:val="71"/>
        </w:numPr>
        <w:spacing w:after="200" w:line="240" w:lineRule="atLeast"/>
        <w:contextualSpacing w:val="0"/>
        <w:rPr>
          <w:rFonts w:eastAsia="Times New Roman"/>
          <w:lang w:eastAsia="en-AU"/>
        </w:rPr>
      </w:pPr>
      <w:r w:rsidRPr="00DD2B4B">
        <w:rPr>
          <w:rFonts w:eastAsia="Times New Roman"/>
          <w:lang w:eastAsia="en-AU"/>
        </w:rPr>
        <w:t xml:space="preserve">providing </w:t>
      </w:r>
      <w:r w:rsidR="008A5F54">
        <w:rPr>
          <w:rFonts w:eastAsia="Times New Roman"/>
          <w:lang w:eastAsia="en-AU"/>
        </w:rPr>
        <w:t>limits</w:t>
      </w:r>
      <w:r w:rsidR="008A5F54" w:rsidRPr="00DD2B4B">
        <w:rPr>
          <w:rFonts w:eastAsia="Times New Roman"/>
          <w:lang w:eastAsia="en-AU"/>
        </w:rPr>
        <w:t xml:space="preserve"> </w:t>
      </w:r>
      <w:r w:rsidRPr="00DD2B4B">
        <w:rPr>
          <w:rFonts w:eastAsia="Times New Roman"/>
          <w:lang w:eastAsia="en-AU"/>
        </w:rPr>
        <w:t>for WHS professionals, and</w:t>
      </w:r>
    </w:p>
    <w:p w14:paraId="40539419" w14:textId="03D5E42F" w:rsidR="00CA73A2" w:rsidRDefault="00CA73A2" w:rsidP="00A2768E">
      <w:pPr>
        <w:pStyle w:val="ListParagraph"/>
        <w:numPr>
          <w:ilvl w:val="0"/>
          <w:numId w:val="71"/>
        </w:numPr>
        <w:spacing w:after="200" w:line="240" w:lineRule="atLeast"/>
        <w:contextualSpacing w:val="0"/>
        <w:rPr>
          <w:rFonts w:eastAsia="Times New Roman"/>
          <w:lang w:eastAsia="en-AU"/>
        </w:rPr>
      </w:pPr>
      <w:r w:rsidRPr="00DD2B4B">
        <w:rPr>
          <w:rFonts w:eastAsia="Times New Roman"/>
          <w:lang w:eastAsia="en-AU"/>
        </w:rPr>
        <w:t>assisting in selecting effective control measures or checking the effectiveness of</w:t>
      </w:r>
      <w:r>
        <w:rPr>
          <w:rFonts w:eastAsia="Times New Roman"/>
          <w:lang w:eastAsia="en-AU"/>
        </w:rPr>
        <w:t xml:space="preserve"> </w:t>
      </w:r>
      <w:r w:rsidRPr="00DD2B4B">
        <w:rPr>
          <w:rFonts w:eastAsia="Times New Roman"/>
          <w:lang w:eastAsia="en-AU"/>
        </w:rPr>
        <w:t>controls</w:t>
      </w:r>
      <w:r>
        <w:rPr>
          <w:rFonts w:eastAsia="Times New Roman"/>
          <w:lang w:eastAsia="en-AU"/>
        </w:rPr>
        <w:t>.</w:t>
      </w:r>
    </w:p>
    <w:p w14:paraId="66660E71" w14:textId="7E170A52" w:rsidR="00D8750D" w:rsidRPr="00707ADD" w:rsidRDefault="004B1D47" w:rsidP="00707ADD">
      <w:pPr>
        <w:pStyle w:val="SWAHeading2"/>
        <w:ind w:left="709"/>
      </w:pPr>
      <w:bookmarkStart w:id="12" w:name="_Toc219216854"/>
      <w:r w:rsidRPr="00707ADD">
        <w:t>Maintaining</w:t>
      </w:r>
      <w:r w:rsidR="0011580E" w:rsidRPr="00707ADD">
        <w:t xml:space="preserve"> </w:t>
      </w:r>
      <w:r w:rsidR="008E226D" w:rsidRPr="00707ADD">
        <w:t>an evidence</w:t>
      </w:r>
      <w:r w:rsidR="00C743B9">
        <w:t>-</w:t>
      </w:r>
      <w:r w:rsidR="008E226D" w:rsidRPr="00707ADD">
        <w:t xml:space="preserve">based approach to Australia’s </w:t>
      </w:r>
      <w:r w:rsidR="00172DDA" w:rsidRPr="00707ADD">
        <w:t>workplace exposure standards</w:t>
      </w:r>
      <w:bookmarkEnd w:id="12"/>
    </w:p>
    <w:p w14:paraId="14169166" w14:textId="0A59A79D" w:rsidR="001B1BD5" w:rsidRPr="009911EB" w:rsidRDefault="001B1BD5" w:rsidP="00CC05BC">
      <w:pPr>
        <w:spacing w:line="240" w:lineRule="atLeast"/>
        <w:contextualSpacing w:val="0"/>
      </w:pPr>
      <w:r w:rsidRPr="009911EB">
        <w:t xml:space="preserve">Australia first adopted </w:t>
      </w:r>
      <w:r w:rsidR="003475C0">
        <w:t>a</w:t>
      </w:r>
      <w:r w:rsidRPr="009911EB">
        <w:t> </w:t>
      </w:r>
      <w:hyperlink r:id="rId24">
        <w:r w:rsidRPr="5CBF13F4">
          <w:rPr>
            <w:rStyle w:val="Hyperlink"/>
          </w:rPr>
          <w:t>WES list</w:t>
        </w:r>
      </w:hyperlink>
      <w:r w:rsidRPr="009911EB">
        <w:t xml:space="preserve"> </w:t>
      </w:r>
      <w:r w:rsidR="00F025A2">
        <w:t>for airborne contaminants</w:t>
      </w:r>
      <w:r w:rsidRPr="009911EB">
        <w:t xml:space="preserve"> in 1995</w:t>
      </w:r>
      <w:r w:rsidR="00B34BD2">
        <w:t xml:space="preserve">, </w:t>
      </w:r>
      <w:r w:rsidR="00872D44">
        <w:t xml:space="preserve">and </w:t>
      </w:r>
      <w:r w:rsidR="000900F6">
        <w:t>the WES list has continued to be review</w:t>
      </w:r>
      <w:r w:rsidR="00E55E27">
        <w:t>ed</w:t>
      </w:r>
      <w:r w:rsidR="000900F6">
        <w:t xml:space="preserve"> to ensure it remains current</w:t>
      </w:r>
      <w:r w:rsidR="004B3234">
        <w:t xml:space="preserve"> and reflects </w:t>
      </w:r>
      <w:r w:rsidR="00AD0243">
        <w:t>the</w:t>
      </w:r>
      <w:r w:rsidR="004B3234">
        <w:t xml:space="preserve"> latest evidence</w:t>
      </w:r>
      <w:r w:rsidR="00E90592">
        <w:t xml:space="preserve">, including in relation to </w:t>
      </w:r>
      <w:r w:rsidR="00E90592" w:rsidRPr="009911EB">
        <w:t>the harmful effects, and the thresholds below which no adverse effects are observed</w:t>
      </w:r>
      <w:r w:rsidR="00E90592">
        <w:t>. A</w:t>
      </w:r>
      <w:r w:rsidR="00872D44">
        <w:t xml:space="preserve"> </w:t>
      </w:r>
      <w:r w:rsidR="00B34BD2">
        <w:t>comprehensive</w:t>
      </w:r>
      <w:r w:rsidR="003C3ADB">
        <w:t xml:space="preserve"> review </w:t>
      </w:r>
      <w:r w:rsidR="00E90592">
        <w:t xml:space="preserve">was undertaken </w:t>
      </w:r>
      <w:r w:rsidR="003C3ADB">
        <w:t>in 2003</w:t>
      </w:r>
      <w:r w:rsidR="00E90592">
        <w:t xml:space="preserve"> and a</w:t>
      </w:r>
      <w:r w:rsidRPr="009911EB">
        <w:t xml:space="preserve"> preliminary review of the WES list in 2016 suggested that:</w:t>
      </w:r>
    </w:p>
    <w:p w14:paraId="40D4B478" w14:textId="77777777" w:rsidR="001B1BD5" w:rsidRPr="009911EB" w:rsidRDefault="001B1BD5" w:rsidP="00B57E6C">
      <w:pPr>
        <w:numPr>
          <w:ilvl w:val="0"/>
          <w:numId w:val="28"/>
        </w:numPr>
        <w:spacing w:line="240" w:lineRule="auto"/>
        <w:contextualSpacing w:val="0"/>
        <w:rPr>
          <w:rFonts w:eastAsia="Times New Roman" w:cs="Times New Roman"/>
          <w:szCs w:val="28"/>
          <w:lang w:eastAsia="en-AU"/>
        </w:rPr>
      </w:pPr>
      <w:r w:rsidRPr="009911EB">
        <w:rPr>
          <w:rFonts w:eastAsia="Times New Roman" w:cs="Times New Roman"/>
          <w:szCs w:val="28"/>
          <w:lang w:eastAsia="en-AU"/>
        </w:rPr>
        <w:t>some WES values were under-protective or over-protective</w:t>
      </w:r>
    </w:p>
    <w:p w14:paraId="3B1C4532" w14:textId="77777777" w:rsidR="001B1BD5" w:rsidRPr="009911EB" w:rsidRDefault="001B1BD5" w:rsidP="00B57E6C">
      <w:pPr>
        <w:numPr>
          <w:ilvl w:val="0"/>
          <w:numId w:val="28"/>
        </w:numPr>
        <w:spacing w:line="240" w:lineRule="auto"/>
        <w:contextualSpacing w:val="0"/>
        <w:rPr>
          <w:rFonts w:eastAsia="Times New Roman" w:cs="Times New Roman"/>
          <w:szCs w:val="28"/>
          <w:lang w:eastAsia="en-AU"/>
        </w:rPr>
      </w:pPr>
      <w:r w:rsidRPr="009911EB">
        <w:rPr>
          <w:rFonts w:eastAsia="Times New Roman" w:cs="Times New Roman"/>
          <w:szCs w:val="28"/>
          <w:lang w:eastAsia="en-AU"/>
        </w:rPr>
        <w:t>some airborne contaminants were no longer relevant to Australian workplaces</w:t>
      </w:r>
    </w:p>
    <w:p w14:paraId="469774B1" w14:textId="386B0214" w:rsidR="001B1BD5" w:rsidRPr="009911EB" w:rsidRDefault="001B1BD5" w:rsidP="00B57E6C">
      <w:pPr>
        <w:numPr>
          <w:ilvl w:val="0"/>
          <w:numId w:val="28"/>
        </w:numPr>
        <w:spacing w:line="240" w:lineRule="auto"/>
        <w:contextualSpacing w:val="0"/>
        <w:rPr>
          <w:rFonts w:eastAsia="Times New Roman" w:cs="Times New Roman"/>
          <w:sz w:val="20"/>
          <w:lang w:eastAsia="en-AU"/>
        </w:rPr>
      </w:pPr>
      <w:r w:rsidRPr="009911EB">
        <w:rPr>
          <w:rFonts w:eastAsia="Times New Roman" w:cs="Times New Roman"/>
          <w:szCs w:val="28"/>
          <w:lang w:eastAsia="en-AU"/>
        </w:rPr>
        <w:t>some airborne contaminants are present in Australian workplaces and do not have a WES</w:t>
      </w:r>
      <w:sdt>
        <w:sdtPr>
          <w:rPr>
            <w:rFonts w:eastAsia="Times New Roman" w:cs="Times New Roman"/>
            <w:szCs w:val="28"/>
            <w:lang w:eastAsia="en-AU"/>
          </w:rPr>
          <w:id w:val="18667594"/>
          <w:citation/>
        </w:sdtPr>
        <w:sdtEndPr/>
        <w:sdtContent>
          <w:r>
            <w:rPr>
              <w:rFonts w:eastAsia="Times New Roman" w:cs="Times New Roman"/>
              <w:szCs w:val="28"/>
              <w:lang w:eastAsia="en-AU"/>
            </w:rPr>
            <w:fldChar w:fldCharType="begin"/>
          </w:r>
          <w:r>
            <w:rPr>
              <w:rFonts w:eastAsia="Times New Roman" w:cs="Times New Roman"/>
              <w:szCs w:val="28"/>
              <w:lang w:eastAsia="en-AU"/>
            </w:rPr>
            <w:instrText xml:space="preserve"> CITATION Saf19 \l 3081 </w:instrText>
          </w:r>
          <w:r>
            <w:rPr>
              <w:rFonts w:eastAsia="Times New Roman" w:cs="Times New Roman"/>
              <w:szCs w:val="28"/>
              <w:lang w:eastAsia="en-AU"/>
            </w:rPr>
            <w:fldChar w:fldCharType="separate"/>
          </w:r>
          <w:r w:rsidR="00490B21">
            <w:rPr>
              <w:rFonts w:eastAsia="Times New Roman" w:cs="Times New Roman"/>
              <w:noProof/>
              <w:szCs w:val="28"/>
              <w:lang w:eastAsia="en-AU"/>
            </w:rPr>
            <w:t xml:space="preserve"> </w:t>
          </w:r>
          <w:r w:rsidR="00490B21" w:rsidRPr="00490B21">
            <w:rPr>
              <w:rFonts w:eastAsia="Times New Roman" w:cs="Times New Roman"/>
              <w:noProof/>
              <w:szCs w:val="28"/>
              <w:lang w:eastAsia="en-AU"/>
            </w:rPr>
            <w:t>(Safe Work Australia, 2019)</w:t>
          </w:r>
          <w:r>
            <w:rPr>
              <w:rFonts w:eastAsia="Times New Roman" w:cs="Times New Roman"/>
              <w:szCs w:val="28"/>
              <w:lang w:eastAsia="en-AU"/>
            </w:rPr>
            <w:fldChar w:fldCharType="end"/>
          </w:r>
        </w:sdtContent>
      </w:sdt>
      <w:r>
        <w:rPr>
          <w:rFonts w:eastAsia="Times New Roman" w:cs="Times New Roman"/>
          <w:szCs w:val="28"/>
          <w:lang w:eastAsia="en-AU"/>
        </w:rPr>
        <w:t>.</w:t>
      </w:r>
    </w:p>
    <w:p w14:paraId="3B6488DC" w14:textId="6C27A0D6" w:rsidR="001B1BD5" w:rsidRPr="009911EB" w:rsidRDefault="001B1BD5" w:rsidP="001B1BD5">
      <w:pPr>
        <w:spacing w:line="240" w:lineRule="auto"/>
        <w:contextualSpacing w:val="0"/>
      </w:pPr>
      <w:r w:rsidRPr="009911EB">
        <w:t>This mean</w:t>
      </w:r>
      <w:r>
        <w:t>t</w:t>
      </w:r>
      <w:r w:rsidRPr="009911EB">
        <w:t xml:space="preserve"> Australian workers faced an increased risk of illness and disease from exposure to airborne contaminants where the WES was not </w:t>
      </w:r>
      <w:r>
        <w:t xml:space="preserve">at an appropriate </w:t>
      </w:r>
      <w:r w:rsidRPr="009911EB">
        <w:t xml:space="preserve">health-based level and </w:t>
      </w:r>
      <w:r>
        <w:t xml:space="preserve">therefore </w:t>
      </w:r>
      <w:r w:rsidRPr="009911EB">
        <w:t>under-protective, or where the airborne contaminant is present and no WES for that airborne contaminant exist</w:t>
      </w:r>
      <w:r w:rsidR="004B1D47">
        <w:t>ed</w:t>
      </w:r>
      <w:r w:rsidRPr="009911EB">
        <w:t xml:space="preserve">. </w:t>
      </w:r>
    </w:p>
    <w:p w14:paraId="752256C0" w14:textId="2D68CA8E" w:rsidR="00C53ED3" w:rsidRPr="009911EB" w:rsidRDefault="00C53330" w:rsidP="00C53330">
      <w:pPr>
        <w:spacing w:line="240" w:lineRule="auto"/>
        <w:contextualSpacing w:val="0"/>
      </w:pPr>
      <w:r w:rsidRPr="00993B73">
        <w:rPr>
          <w:color w:val="000000" w:themeColor="text1"/>
          <w:lang w:eastAsia="en-AU"/>
        </w:rPr>
        <w:t xml:space="preserve">In 2018, </w:t>
      </w:r>
      <w:r w:rsidR="001A3B9D">
        <w:rPr>
          <w:color w:val="000000" w:themeColor="text1"/>
          <w:lang w:eastAsia="en-AU"/>
        </w:rPr>
        <w:t>Safe Work Australia (</w:t>
      </w:r>
      <w:r w:rsidRPr="00993B73">
        <w:rPr>
          <w:color w:val="000000" w:themeColor="text1"/>
          <w:lang w:eastAsia="en-AU"/>
        </w:rPr>
        <w:t>SWA</w:t>
      </w:r>
      <w:r w:rsidR="001A3B9D">
        <w:rPr>
          <w:color w:val="000000" w:themeColor="text1"/>
          <w:lang w:eastAsia="en-AU"/>
        </w:rPr>
        <w:t>)</w:t>
      </w:r>
      <w:r w:rsidRPr="00993B73">
        <w:rPr>
          <w:color w:val="000000" w:themeColor="text1"/>
          <w:lang w:eastAsia="en-AU"/>
        </w:rPr>
        <w:t xml:space="preserve"> commenced a review of the WES list to ensure that </w:t>
      </w:r>
      <w:r w:rsidR="002F0CE7">
        <w:rPr>
          <w:color w:val="000000" w:themeColor="text1"/>
          <w:lang w:eastAsia="en-AU"/>
        </w:rPr>
        <w:t xml:space="preserve">the </w:t>
      </w:r>
      <w:r w:rsidRPr="00993B73">
        <w:rPr>
          <w:color w:val="000000" w:themeColor="text1"/>
          <w:lang w:eastAsia="en-AU"/>
        </w:rPr>
        <w:t>WES are based on contemporary health evidence and provide the best protection of workers. As part of that review, SWA procured a business survey</w:t>
      </w:r>
      <w:r w:rsidR="00482BA0">
        <w:rPr>
          <w:color w:val="000000" w:themeColor="text1"/>
          <w:lang w:eastAsia="en-AU"/>
        </w:rPr>
        <w:t xml:space="preserve">, </w:t>
      </w:r>
      <w:r w:rsidRPr="00993B73">
        <w:rPr>
          <w:color w:val="000000" w:themeColor="text1"/>
          <w:lang w:eastAsia="en-AU"/>
        </w:rPr>
        <w:t>a baseline regulatory burden measurement tool</w:t>
      </w:r>
      <w:r w:rsidR="00482BA0">
        <w:rPr>
          <w:color w:val="000000" w:themeColor="text1"/>
          <w:lang w:eastAsia="en-AU"/>
        </w:rPr>
        <w:t xml:space="preserve"> and </w:t>
      </w:r>
      <w:r w:rsidR="00862DD4">
        <w:rPr>
          <w:color w:val="000000" w:themeColor="text1"/>
          <w:lang w:eastAsia="en-AU"/>
        </w:rPr>
        <w:t xml:space="preserve">an </w:t>
      </w:r>
      <w:r w:rsidR="00482BA0">
        <w:rPr>
          <w:color w:val="000000" w:themeColor="text1"/>
          <w:lang w:eastAsia="en-AU"/>
        </w:rPr>
        <w:t>impact analysis</w:t>
      </w:r>
      <w:r w:rsidR="00866705">
        <w:rPr>
          <w:color w:val="000000" w:themeColor="text1"/>
          <w:lang w:eastAsia="en-AU"/>
        </w:rPr>
        <w:t xml:space="preserve">. This </w:t>
      </w:r>
      <w:r>
        <w:t xml:space="preserve">informed </w:t>
      </w:r>
      <w:r w:rsidR="00866705">
        <w:t xml:space="preserve">the development of </w:t>
      </w:r>
      <w:r w:rsidR="00674766">
        <w:t>SWA</w:t>
      </w:r>
      <w:r>
        <w:t xml:space="preserve">’s </w:t>
      </w:r>
      <w:hyperlink r:id="rId25" w:history="1">
        <w:r w:rsidR="007913E8" w:rsidRPr="00395F22">
          <w:rPr>
            <w:rStyle w:val="Hyperlink"/>
            <w:i/>
            <w:iCs/>
          </w:rPr>
          <w:t>Decision regulation impact statement: Workplace exposure standards framework under the model Work Health and Safety laws</w:t>
        </w:r>
      </w:hyperlink>
      <w:r w:rsidR="007913E8" w:rsidRPr="007913E8">
        <w:t xml:space="preserve"> (</w:t>
      </w:r>
      <w:r w:rsidR="00007D1E">
        <w:t>WES Review Decision RIS</w:t>
      </w:r>
      <w:r w:rsidR="007913E8">
        <w:t>)</w:t>
      </w:r>
      <w:r w:rsidR="00007D1E">
        <w:t xml:space="preserve">. </w:t>
      </w:r>
    </w:p>
    <w:p w14:paraId="58BA8AF0" w14:textId="2245EA8D" w:rsidR="00EC37B4" w:rsidRDefault="008D519D" w:rsidP="00395F22">
      <w:pPr>
        <w:tabs>
          <w:tab w:val="left" w:pos="425"/>
        </w:tabs>
        <w:spacing w:line="240" w:lineRule="atLeast"/>
        <w:contextualSpacing w:val="0"/>
      </w:pPr>
      <w:r>
        <w:t>I</w:t>
      </w:r>
      <w:r w:rsidR="00007D1E">
        <w:t xml:space="preserve">n response to the </w:t>
      </w:r>
      <w:r w:rsidR="00E23476">
        <w:t>WES Review Decision RIS</w:t>
      </w:r>
      <w:r w:rsidR="00055B7E" w:rsidDel="008D519D">
        <w:t>,</w:t>
      </w:r>
      <w:r w:rsidR="00055B7E">
        <w:t xml:space="preserve"> </w:t>
      </w:r>
      <w:r w:rsidR="008E03BF">
        <w:t xml:space="preserve">in 2019 </w:t>
      </w:r>
      <w:r w:rsidR="00EC37B4" w:rsidRPr="009911EB">
        <w:t xml:space="preserve">WHS ministers agreed to maintain the mandatory nature of the WES </w:t>
      </w:r>
      <w:r w:rsidR="00EC37B4">
        <w:t>under the</w:t>
      </w:r>
      <w:r w:rsidR="00EC37B4" w:rsidRPr="009911EB">
        <w:t xml:space="preserve"> model WHS </w:t>
      </w:r>
      <w:r w:rsidR="00EC37B4">
        <w:t>laws</w:t>
      </w:r>
      <w:r w:rsidR="00EC37B4" w:rsidRPr="009911EB">
        <w:t xml:space="preserve"> </w:t>
      </w:r>
      <w:r w:rsidR="00EC37B4" w:rsidRPr="007E74E2">
        <w:t>and to update the WES</w:t>
      </w:r>
      <w:r w:rsidR="00EC37B4" w:rsidRPr="009911EB">
        <w:t>. WHS ministers also agreed to change the name from WES to workplace exposure limits (WEL) to better communicate that the values are limits not to be exceeded and to align Australia with language used internationally.</w:t>
      </w:r>
      <w:r w:rsidR="007E74E2">
        <w:t xml:space="preserve"> </w:t>
      </w:r>
    </w:p>
    <w:p w14:paraId="0A882EA5" w14:textId="34AF8274" w:rsidR="00AA2236" w:rsidRPr="00AA2236" w:rsidRDefault="00276072" w:rsidP="4802D3D3">
      <w:pPr>
        <w:tabs>
          <w:tab w:val="left" w:pos="425"/>
        </w:tabs>
        <w:spacing w:line="240" w:lineRule="atLeast"/>
        <w:contextualSpacing w:val="0"/>
      </w:pPr>
      <w:r>
        <w:t xml:space="preserve">To support </w:t>
      </w:r>
      <w:r w:rsidR="00BC705C">
        <w:t xml:space="preserve">the development of </w:t>
      </w:r>
      <w:r w:rsidR="00521501">
        <w:t>recommendations to</w:t>
      </w:r>
      <w:r>
        <w:t xml:space="preserve"> </w:t>
      </w:r>
      <w:r w:rsidR="3008E670">
        <w:t xml:space="preserve">WHS </w:t>
      </w:r>
      <w:r>
        <w:t>ministers</w:t>
      </w:r>
      <w:r w:rsidR="008E03BF">
        <w:t xml:space="preserve"> </w:t>
      </w:r>
      <w:r w:rsidR="00366438">
        <w:t>on update</w:t>
      </w:r>
      <w:r w:rsidR="00054862">
        <w:t>s to the WE</w:t>
      </w:r>
      <w:r w:rsidR="008D3F76">
        <w:t>S</w:t>
      </w:r>
      <w:r w:rsidR="00873CE7">
        <w:t>,</w:t>
      </w:r>
      <w:r w:rsidR="0039338A" w:rsidRPr="009911EB">
        <w:t xml:space="preserve"> Safe Work Australia engaged independent experts to review and make health-based recommendations for each chemical</w:t>
      </w:r>
      <w:r w:rsidR="0039338A" w:rsidRPr="009911EB" w:rsidDel="00592A2D">
        <w:t xml:space="preserve"> </w:t>
      </w:r>
      <w:r w:rsidR="0039338A" w:rsidRPr="009911EB">
        <w:t xml:space="preserve">using the </w:t>
      </w:r>
      <w:hyperlink r:id="rId26">
        <w:r w:rsidR="0039338A" w:rsidRPr="04592658">
          <w:rPr>
            <w:color w:val="145B85"/>
            <w:u w:val="single"/>
          </w:rPr>
          <w:t>WES review methodology</w:t>
        </w:r>
      </w:hyperlink>
      <w:r w:rsidR="0039338A">
        <w:t xml:space="preserve"> agreed by WHS ministers</w:t>
      </w:r>
      <w:r w:rsidR="0039338A" w:rsidRPr="006D6899">
        <w:t xml:space="preserve">. </w:t>
      </w:r>
      <w:r w:rsidR="0087409E" w:rsidRPr="006D6899">
        <w:t>The evaluation</w:t>
      </w:r>
      <w:r w:rsidR="002D4591" w:rsidRPr="006D6899">
        <w:t xml:space="preserve">s undertaken </w:t>
      </w:r>
      <w:r w:rsidR="006203B4" w:rsidRPr="006D6899">
        <w:t>using this methodology</w:t>
      </w:r>
      <w:r w:rsidR="00E15F81" w:rsidRPr="006D6899">
        <w:t xml:space="preserve"> </w:t>
      </w:r>
      <w:r w:rsidR="000D55DD" w:rsidRPr="006D6899">
        <w:t>employed a</w:t>
      </w:r>
      <w:r w:rsidR="00E15F81" w:rsidRPr="006D6899">
        <w:t xml:space="preserve"> weight of evidence </w:t>
      </w:r>
      <w:r w:rsidR="000D55DD" w:rsidRPr="006D6899">
        <w:t xml:space="preserve">approach </w:t>
      </w:r>
      <w:r w:rsidR="002D4591" w:rsidRPr="006D6899">
        <w:t>considering</w:t>
      </w:r>
      <w:r w:rsidR="00E15F81" w:rsidRPr="006D6899">
        <w:t xml:space="preserve"> </w:t>
      </w:r>
      <w:r w:rsidR="32D11AFB" w:rsidRPr="006D6899">
        <w:t xml:space="preserve">available </w:t>
      </w:r>
      <w:r w:rsidR="00E15F81" w:rsidRPr="006D6899">
        <w:t xml:space="preserve">information from agreed </w:t>
      </w:r>
      <w:r w:rsidR="00FD2361" w:rsidRPr="006D6899">
        <w:t>primary</w:t>
      </w:r>
      <w:r w:rsidR="004FEA30" w:rsidRPr="006D6899">
        <w:t xml:space="preserve"> sources</w:t>
      </w:r>
      <w:r w:rsidR="00602BCD" w:rsidRPr="006D6899">
        <w:t>,</w:t>
      </w:r>
      <w:r w:rsidR="00FD2361" w:rsidRPr="006D6899">
        <w:t xml:space="preserve"> </w:t>
      </w:r>
      <w:r w:rsidR="00FD2361" w:rsidRPr="006D6899">
        <w:lastRenderedPageBreak/>
        <w:t>supported by information from agreed secondary sources</w:t>
      </w:r>
      <w:r w:rsidR="000D55DD" w:rsidRPr="006D6899">
        <w:t>.</w:t>
      </w:r>
      <w:r w:rsidR="003A6B29" w:rsidRPr="006D6899">
        <w:t xml:space="preserve"> </w:t>
      </w:r>
      <w:r w:rsidR="00EE6622" w:rsidRPr="006D6899">
        <w:t>The WES review evaluation reports</w:t>
      </w:r>
      <w:r w:rsidR="00602BCD" w:rsidRPr="006D6899">
        <w:rPr>
          <w:rStyle w:val="FootnoteReference"/>
        </w:rPr>
        <w:footnoteReference w:id="4"/>
      </w:r>
      <w:r w:rsidR="00EE6622" w:rsidRPr="006D6899">
        <w:t xml:space="preserve">, published for each chemical, outline the data </w:t>
      </w:r>
      <w:r w:rsidR="00C57ABA" w:rsidRPr="006D6899">
        <w:t xml:space="preserve">from agreed sources </w:t>
      </w:r>
      <w:r w:rsidR="001E2A48" w:rsidRPr="006D6899">
        <w:t>that informed the recommendation</w:t>
      </w:r>
      <w:r w:rsidR="001650D2" w:rsidRPr="006D6899">
        <w:t xml:space="preserve">. </w:t>
      </w:r>
      <w:r w:rsidR="00DC0EBA" w:rsidRPr="006D6899">
        <w:t>A summary of primary and secondary sources</w:t>
      </w:r>
      <w:r w:rsidR="006C7EFD" w:rsidRPr="006D6899">
        <w:t xml:space="preserve">, and how </w:t>
      </w:r>
      <w:r w:rsidR="00B26218" w:rsidRPr="006D6899">
        <w:t>their evidence was used in the evaluations,</w:t>
      </w:r>
      <w:r w:rsidR="00DC0EBA" w:rsidRPr="006D6899">
        <w:t xml:space="preserve"> </w:t>
      </w:r>
      <w:r w:rsidR="00772320" w:rsidRPr="006D6899">
        <w:t>is</w:t>
      </w:r>
      <w:r w:rsidR="00DC0EBA" w:rsidRPr="006D6899">
        <w:t xml:space="preserve"> provided in </w:t>
      </w:r>
      <w:hyperlink w:anchor="AppendixB_AgreedSources" w:history="1">
        <w:r w:rsidR="009C5233" w:rsidRPr="006D6899">
          <w:rPr>
            <w:rStyle w:val="Hyperlink"/>
          </w:rPr>
          <w:t>Appendix B</w:t>
        </w:r>
      </w:hyperlink>
      <w:r w:rsidR="009C5233" w:rsidRPr="006D6899">
        <w:t>.</w:t>
      </w:r>
      <w:r w:rsidR="009C5233">
        <w:t xml:space="preserve"> </w:t>
      </w:r>
    </w:p>
    <w:p w14:paraId="38F034EA" w14:textId="7898E7BC" w:rsidR="00847F34" w:rsidRPr="009911EB" w:rsidRDefault="00847F34" w:rsidP="00CC05BC">
      <w:pPr>
        <w:tabs>
          <w:tab w:val="left" w:pos="425"/>
        </w:tabs>
        <w:spacing w:line="240" w:lineRule="atLeast"/>
        <w:contextualSpacing w:val="0"/>
        <w:rPr>
          <w:rFonts w:eastAsia="Times New Roman" w:cs="Times New Roman"/>
          <w:lang w:eastAsia="en-AU"/>
        </w:rPr>
      </w:pPr>
      <w:r w:rsidRPr="04592658">
        <w:rPr>
          <w:rFonts w:eastAsia="Times New Roman" w:cs="Times New Roman"/>
          <w:lang w:eastAsia="en-AU"/>
        </w:rPr>
        <w:t xml:space="preserve">The independent experts determined that the current WES for a number of chemicals was not health-based (i.e. not sufficiently protective against adverse health effects). This includes the WES for the 9 chemicals </w:t>
      </w:r>
      <w:r w:rsidR="410C0AB9" w:rsidRPr="2F5BEF56">
        <w:rPr>
          <w:rFonts w:eastAsia="Times New Roman" w:cs="Times New Roman"/>
          <w:lang w:eastAsia="en-AU"/>
        </w:rPr>
        <w:t xml:space="preserve">that are </w:t>
      </w:r>
      <w:r w:rsidR="00D321AD">
        <w:rPr>
          <w:rFonts w:eastAsia="Times New Roman" w:cs="Times New Roman"/>
          <w:lang w:eastAsia="en-AU"/>
        </w:rPr>
        <w:t>considered in</w:t>
      </w:r>
      <w:r w:rsidR="5219C164" w:rsidRPr="2F5BEF56">
        <w:rPr>
          <w:rFonts w:eastAsia="Times New Roman" w:cs="Times New Roman"/>
          <w:lang w:eastAsia="en-AU"/>
        </w:rPr>
        <w:t xml:space="preserve"> </w:t>
      </w:r>
      <w:r w:rsidRPr="04592658">
        <w:rPr>
          <w:rFonts w:eastAsia="Times New Roman" w:cs="Times New Roman"/>
          <w:lang w:eastAsia="en-AU"/>
        </w:rPr>
        <w:t xml:space="preserve">this </w:t>
      </w:r>
      <w:r w:rsidR="004B2572" w:rsidRPr="04592658">
        <w:rPr>
          <w:rFonts w:eastAsia="Times New Roman" w:cs="Times New Roman"/>
          <w:lang w:eastAsia="en-AU"/>
        </w:rPr>
        <w:t>Decision RIS</w:t>
      </w:r>
      <w:r w:rsidRPr="04592658">
        <w:rPr>
          <w:rFonts w:eastAsia="Times New Roman" w:cs="Times New Roman"/>
          <w:lang w:eastAsia="en-AU"/>
        </w:rPr>
        <w:t>.</w:t>
      </w:r>
    </w:p>
    <w:p w14:paraId="70173196" w14:textId="61916606" w:rsidR="001B1BD5" w:rsidRDefault="001B1BD5" w:rsidP="00052984">
      <w:pPr>
        <w:spacing w:line="240" w:lineRule="auto"/>
        <w:contextualSpacing w:val="0"/>
        <w:rPr>
          <w:rFonts w:eastAsia="Times New Roman" w:cs="Times New Roman"/>
          <w:szCs w:val="22"/>
          <w:lang w:eastAsia="en-AU"/>
        </w:rPr>
      </w:pPr>
      <w:r w:rsidRPr="009911EB">
        <w:rPr>
          <w:rFonts w:eastAsia="Times New Roman" w:cs="Times New Roman"/>
          <w:szCs w:val="22"/>
          <w:lang w:eastAsia="en-AU"/>
        </w:rPr>
        <w:t>Over 600 evaluation reports</w:t>
      </w:r>
      <w:r w:rsidR="00BC35FE">
        <w:rPr>
          <w:rFonts w:eastAsia="Times New Roman" w:cs="Times New Roman"/>
          <w:szCs w:val="22"/>
          <w:lang w:eastAsia="en-AU"/>
        </w:rPr>
        <w:t>,</w:t>
      </w:r>
      <w:r w:rsidRPr="009911EB">
        <w:rPr>
          <w:rFonts w:eastAsia="Times New Roman" w:cs="Times New Roman"/>
          <w:szCs w:val="22"/>
          <w:lang w:eastAsia="en-AU"/>
        </w:rPr>
        <w:t xml:space="preserve"> </w:t>
      </w:r>
      <w:r w:rsidR="00BC35FE">
        <w:rPr>
          <w:rFonts w:eastAsia="Times New Roman" w:cs="Times New Roman"/>
          <w:szCs w:val="22"/>
          <w:lang w:eastAsia="en-AU"/>
        </w:rPr>
        <w:t>covering</w:t>
      </w:r>
      <w:r w:rsidRPr="009911EB">
        <w:rPr>
          <w:rFonts w:eastAsia="Times New Roman" w:cs="Times New Roman"/>
          <w:szCs w:val="22"/>
          <w:lang w:eastAsia="en-AU"/>
        </w:rPr>
        <w:t xml:space="preserve"> each chemical</w:t>
      </w:r>
      <w:r w:rsidR="00BC35FE">
        <w:rPr>
          <w:rFonts w:eastAsia="Times New Roman" w:cs="Times New Roman"/>
          <w:szCs w:val="22"/>
          <w:lang w:eastAsia="en-AU"/>
        </w:rPr>
        <w:t xml:space="preserve"> or </w:t>
      </w:r>
      <w:r w:rsidRPr="009911EB">
        <w:rPr>
          <w:rFonts w:eastAsia="Times New Roman" w:cs="Times New Roman"/>
          <w:szCs w:val="22"/>
          <w:lang w:eastAsia="en-AU"/>
        </w:rPr>
        <w:t xml:space="preserve">chemical group, including the health-based recommendations, were </w:t>
      </w:r>
      <w:r w:rsidR="00714CAE">
        <w:rPr>
          <w:rFonts w:eastAsia="Times New Roman" w:cs="Times New Roman"/>
          <w:szCs w:val="22"/>
          <w:lang w:eastAsia="en-AU"/>
        </w:rPr>
        <w:t>made available for public feedback on</w:t>
      </w:r>
      <w:r w:rsidRPr="009911EB">
        <w:rPr>
          <w:rFonts w:eastAsia="Times New Roman" w:cs="Times New Roman"/>
          <w:szCs w:val="22"/>
          <w:lang w:eastAsia="en-AU"/>
        </w:rPr>
        <w:t xml:space="preserve"> SWA’s website between 2019 to 2021. Stakeholders were invited to provide feedback on the recommendations and the </w:t>
      </w:r>
      <w:r>
        <w:rPr>
          <w:rFonts w:eastAsia="Times New Roman" w:cs="Times New Roman"/>
          <w:szCs w:val="22"/>
          <w:lang w:eastAsia="en-AU"/>
        </w:rPr>
        <w:t>evidence</w:t>
      </w:r>
      <w:r w:rsidRPr="009911EB">
        <w:rPr>
          <w:rFonts w:eastAsia="Times New Roman" w:cs="Times New Roman"/>
          <w:szCs w:val="22"/>
          <w:lang w:eastAsia="en-AU"/>
        </w:rPr>
        <w:t xml:space="preserve"> used to de</w:t>
      </w:r>
      <w:r>
        <w:rPr>
          <w:rFonts w:eastAsia="Times New Roman" w:cs="Times New Roman"/>
          <w:szCs w:val="22"/>
          <w:lang w:eastAsia="en-AU"/>
        </w:rPr>
        <w:t>termine the limits</w:t>
      </w:r>
      <w:r w:rsidRPr="009911EB">
        <w:rPr>
          <w:rFonts w:eastAsia="Times New Roman" w:cs="Times New Roman"/>
          <w:szCs w:val="22"/>
          <w:lang w:eastAsia="en-AU"/>
        </w:rPr>
        <w:t>.</w:t>
      </w:r>
      <w:r w:rsidRPr="009911EB">
        <w:rPr>
          <w:rFonts w:eastAsiaTheme="minorEastAsia" w:cs="Times New Roman"/>
          <w:szCs w:val="22"/>
          <w:lang w:eastAsia="en-AU"/>
        </w:rPr>
        <w:t xml:space="preserve"> </w:t>
      </w:r>
      <w:r w:rsidRPr="009911EB">
        <w:rPr>
          <w:rFonts w:eastAsia="Times New Roman" w:cs="Times New Roman"/>
          <w:szCs w:val="22"/>
          <w:lang w:eastAsia="en-AU"/>
        </w:rPr>
        <w:t xml:space="preserve">Safe Work Australia received more than 1,100 submissions throughout the public consultation period. </w:t>
      </w:r>
    </w:p>
    <w:p w14:paraId="0D4C4D85" w14:textId="00AC0C27" w:rsidR="00891D6D" w:rsidRDefault="001B1BD5" w:rsidP="00052984">
      <w:pPr>
        <w:spacing w:line="240" w:lineRule="auto"/>
        <w:contextualSpacing w:val="0"/>
        <w:rPr>
          <w:rFonts w:eastAsia="Times New Roman" w:cs="Times New Roman"/>
          <w:lang w:eastAsia="en-AU"/>
        </w:rPr>
      </w:pPr>
      <w:r w:rsidRPr="4F76DFDE">
        <w:rPr>
          <w:rFonts w:eastAsia="Times New Roman" w:cs="Times New Roman"/>
          <w:lang w:eastAsia="en-AU"/>
        </w:rPr>
        <w:t>All recommendations for changes to the WES, along with stakeholder feedback, were considered by Safe Work Australia Members (Members)</w:t>
      </w:r>
      <w:r w:rsidR="000A3AC1" w:rsidRPr="4F76DFDE">
        <w:rPr>
          <w:rFonts w:eastAsia="Times New Roman" w:cs="Times New Roman"/>
          <w:lang w:eastAsia="en-AU"/>
        </w:rPr>
        <w:t xml:space="preserve"> throughout 2021</w:t>
      </w:r>
      <w:r w:rsidRPr="4F76DFDE">
        <w:rPr>
          <w:rFonts w:eastAsia="Times New Roman" w:cs="Times New Roman"/>
          <w:lang w:eastAsia="en-AU"/>
        </w:rPr>
        <w:t>. Members recommended that WHS ministers adopt the health-based limits</w:t>
      </w:r>
      <w:r w:rsidR="00975190" w:rsidRPr="4F76DFDE">
        <w:rPr>
          <w:rFonts w:eastAsia="Times New Roman" w:cs="Times New Roman"/>
          <w:lang w:eastAsia="en-AU"/>
        </w:rPr>
        <w:t xml:space="preserve"> as the WES</w:t>
      </w:r>
      <w:r w:rsidRPr="4F76DFDE">
        <w:rPr>
          <w:rFonts w:eastAsia="Times New Roman" w:cs="Times New Roman"/>
          <w:lang w:eastAsia="en-AU"/>
        </w:rPr>
        <w:t xml:space="preserve">. </w:t>
      </w:r>
      <w:r w:rsidR="004334E1" w:rsidRPr="4F76DFDE">
        <w:rPr>
          <w:rFonts w:eastAsia="Times New Roman" w:cs="Times New Roman"/>
          <w:lang w:eastAsia="en-AU"/>
        </w:rPr>
        <w:t>I</w:t>
      </w:r>
      <w:r w:rsidR="007F77EC" w:rsidRPr="4F76DFDE">
        <w:rPr>
          <w:rFonts w:eastAsia="Times New Roman" w:cs="Times New Roman"/>
          <w:lang w:eastAsia="en-AU"/>
        </w:rPr>
        <w:t>n 202</w:t>
      </w:r>
      <w:r w:rsidR="00383BA5" w:rsidRPr="4F76DFDE">
        <w:rPr>
          <w:rFonts w:eastAsia="Times New Roman" w:cs="Times New Roman"/>
          <w:lang w:eastAsia="en-AU"/>
        </w:rPr>
        <w:t>4</w:t>
      </w:r>
      <w:r w:rsidR="007F77EC" w:rsidRPr="4F76DFDE">
        <w:rPr>
          <w:rFonts w:eastAsia="Times New Roman" w:cs="Times New Roman"/>
          <w:lang w:eastAsia="en-AU"/>
        </w:rPr>
        <w:t xml:space="preserve">, </w:t>
      </w:r>
      <w:r w:rsidRPr="4F76DFDE">
        <w:rPr>
          <w:rFonts w:eastAsia="Times New Roman" w:cs="Times New Roman"/>
          <w:lang w:eastAsia="en-AU"/>
        </w:rPr>
        <w:t>WHS ministers agreed to the health-based recommendations (</w:t>
      </w:r>
      <w:r w:rsidR="00114A3B" w:rsidRPr="4F76DFDE">
        <w:rPr>
          <w:rFonts w:eastAsia="Times New Roman" w:cs="Times New Roman"/>
          <w:lang w:eastAsia="en-AU"/>
        </w:rPr>
        <w:t>except for</w:t>
      </w:r>
      <w:r w:rsidRPr="4F76DFDE">
        <w:rPr>
          <w:rFonts w:eastAsia="Times New Roman" w:cs="Times New Roman"/>
          <w:lang w:eastAsia="en-AU"/>
        </w:rPr>
        <w:t xml:space="preserve"> the 9 chemicals</w:t>
      </w:r>
      <w:r w:rsidR="00114A3B" w:rsidRPr="4F76DFDE">
        <w:rPr>
          <w:rFonts w:eastAsia="Times New Roman" w:cs="Times New Roman"/>
          <w:lang w:eastAsia="en-AU"/>
        </w:rPr>
        <w:t xml:space="preserve"> where </w:t>
      </w:r>
      <w:r w:rsidR="00E05C5D" w:rsidRPr="4F76DFDE">
        <w:rPr>
          <w:rFonts w:eastAsia="Times New Roman" w:cs="Times New Roman"/>
          <w:lang w:eastAsia="en-AU"/>
        </w:rPr>
        <w:t>WHS m</w:t>
      </w:r>
      <w:r w:rsidR="00891D6D" w:rsidRPr="4F76DFDE">
        <w:rPr>
          <w:rFonts w:eastAsia="Times New Roman" w:cs="Times New Roman"/>
          <w:lang w:eastAsia="en-AU"/>
        </w:rPr>
        <w:t>inister</w:t>
      </w:r>
      <w:r w:rsidR="00E05C5D" w:rsidRPr="4F76DFDE">
        <w:rPr>
          <w:rFonts w:eastAsia="Times New Roman" w:cs="Times New Roman"/>
          <w:lang w:eastAsia="en-AU"/>
        </w:rPr>
        <w:t>s</w:t>
      </w:r>
      <w:r w:rsidR="00891D6D" w:rsidRPr="4F76DFDE">
        <w:rPr>
          <w:rFonts w:eastAsia="Times New Roman" w:cs="Times New Roman"/>
          <w:lang w:eastAsia="en-AU"/>
        </w:rPr>
        <w:t xml:space="preserve"> had requested </w:t>
      </w:r>
      <w:r w:rsidR="00114A3B" w:rsidRPr="4F76DFDE">
        <w:rPr>
          <w:rFonts w:eastAsia="Times New Roman" w:cs="Times New Roman"/>
          <w:lang w:eastAsia="en-AU"/>
        </w:rPr>
        <w:t>further impact analysis</w:t>
      </w:r>
      <w:r w:rsidR="00891D6D" w:rsidRPr="4F76DFDE">
        <w:rPr>
          <w:rFonts w:eastAsia="Times New Roman" w:cs="Times New Roman"/>
          <w:lang w:eastAsia="en-AU"/>
        </w:rPr>
        <w:t xml:space="preserve"> be undertaken</w:t>
      </w:r>
      <w:r w:rsidR="2B9F3516" w:rsidRPr="60FA0FEB">
        <w:rPr>
          <w:rFonts w:eastAsia="Times New Roman" w:cs="Times New Roman"/>
          <w:lang w:eastAsia="en-AU"/>
        </w:rPr>
        <w:t xml:space="preserve"> – this </w:t>
      </w:r>
      <w:r w:rsidR="2B9F3516" w:rsidRPr="35FD04C1">
        <w:rPr>
          <w:rFonts w:eastAsia="Times New Roman" w:cs="Times New Roman"/>
          <w:lang w:eastAsia="en-AU"/>
        </w:rPr>
        <w:t>Decision RIS</w:t>
      </w:r>
      <w:r w:rsidRPr="35FD04C1">
        <w:rPr>
          <w:rFonts w:eastAsia="Times New Roman" w:cs="Times New Roman"/>
          <w:lang w:eastAsia="en-AU"/>
        </w:rPr>
        <w:t>)</w:t>
      </w:r>
      <w:r w:rsidR="00D22ACA" w:rsidRPr="35FD04C1">
        <w:rPr>
          <w:rFonts w:eastAsia="Times New Roman" w:cs="Times New Roman"/>
          <w:lang w:eastAsia="en-AU"/>
        </w:rPr>
        <w:t xml:space="preserve">. </w:t>
      </w:r>
    </w:p>
    <w:p w14:paraId="44D6393C" w14:textId="2203EDA4" w:rsidR="001B1BD5" w:rsidRPr="009911EB" w:rsidRDefault="00D22ACA" w:rsidP="00052984">
      <w:pPr>
        <w:spacing w:line="240" w:lineRule="auto"/>
        <w:contextualSpacing w:val="0"/>
        <w:rPr>
          <w:rFonts w:eastAsia="Times New Roman" w:cs="Times New Roman"/>
          <w:lang w:eastAsia="en-AU"/>
        </w:rPr>
      </w:pPr>
      <w:r w:rsidRPr="069224B8">
        <w:rPr>
          <w:rFonts w:eastAsia="Times New Roman" w:cs="Times New Roman"/>
          <w:lang w:eastAsia="en-AU"/>
        </w:rPr>
        <w:t xml:space="preserve">The new health-based limits </w:t>
      </w:r>
      <w:r w:rsidR="2C04D9CF" w:rsidRPr="5483CFE2">
        <w:rPr>
          <w:rFonts w:eastAsia="Times New Roman" w:cs="Times New Roman"/>
          <w:lang w:eastAsia="en-AU"/>
        </w:rPr>
        <w:t>are included in</w:t>
      </w:r>
      <w:r w:rsidR="001B1BD5" w:rsidRPr="069224B8">
        <w:rPr>
          <w:rFonts w:eastAsia="Times New Roman" w:cs="Times New Roman"/>
          <w:lang w:eastAsia="en-AU"/>
        </w:rPr>
        <w:t xml:space="preserve"> the </w:t>
      </w:r>
      <w:hyperlink r:id="rId27">
        <w:r w:rsidR="001B1BD5" w:rsidRPr="069224B8">
          <w:rPr>
            <w:rFonts w:eastAsia="Times New Roman" w:cs="Times New Roman"/>
            <w:i/>
            <w:iCs/>
            <w:color w:val="145B85"/>
            <w:u w:val="single"/>
            <w:lang w:eastAsia="en-AU"/>
          </w:rPr>
          <w:t>Workplace exposure limits for airborne contaminants</w:t>
        </w:r>
      </w:hyperlink>
      <w:r w:rsidR="001B1BD5" w:rsidRPr="069224B8">
        <w:rPr>
          <w:rFonts w:eastAsia="Times New Roman" w:cs="Times New Roman"/>
          <w:lang w:eastAsia="en-AU"/>
        </w:rPr>
        <w:t xml:space="preserve"> (WEL list). </w:t>
      </w:r>
      <w:r w:rsidR="00052984">
        <w:rPr>
          <w:rFonts w:eastAsia="Times New Roman" w:cs="Times New Roman"/>
          <w:lang w:eastAsia="en-AU"/>
        </w:rPr>
        <w:t xml:space="preserve">The </w:t>
      </w:r>
      <w:r w:rsidR="00031929" w:rsidRPr="069224B8">
        <w:rPr>
          <w:rFonts w:eastAsia="Times New Roman" w:cs="Times New Roman"/>
          <w:lang w:eastAsia="en-AU"/>
        </w:rPr>
        <w:t>WEL</w:t>
      </w:r>
      <w:r w:rsidR="00052984">
        <w:rPr>
          <w:rFonts w:eastAsia="Times New Roman" w:cs="Times New Roman"/>
          <w:lang w:eastAsia="en-AU"/>
        </w:rPr>
        <w:t xml:space="preserve"> list</w:t>
      </w:r>
      <w:r w:rsidR="00031929" w:rsidRPr="069224B8">
        <w:rPr>
          <w:rFonts w:eastAsia="Times New Roman" w:cs="Times New Roman"/>
          <w:lang w:eastAsia="en-AU"/>
        </w:rPr>
        <w:t xml:space="preserve"> will only become mandatory once implemented in the WHS laws of the Commonwealth, states and territories. </w:t>
      </w:r>
      <w:r w:rsidR="001B1BD5" w:rsidRPr="069224B8">
        <w:rPr>
          <w:rFonts w:eastAsia="Times New Roman" w:cs="Times New Roman"/>
          <w:lang w:eastAsia="en-AU"/>
        </w:rPr>
        <w:t xml:space="preserve">WHS ministers </w:t>
      </w:r>
      <w:r w:rsidR="00031929" w:rsidRPr="069224B8">
        <w:rPr>
          <w:rFonts w:eastAsia="Times New Roman" w:cs="Times New Roman"/>
          <w:lang w:eastAsia="en-AU"/>
        </w:rPr>
        <w:t xml:space="preserve">have </w:t>
      </w:r>
      <w:r w:rsidR="001B1BD5" w:rsidRPr="069224B8">
        <w:rPr>
          <w:rFonts w:eastAsia="Times New Roman" w:cs="Times New Roman"/>
          <w:lang w:eastAsia="en-AU"/>
        </w:rPr>
        <w:t>agreed to a harmonised date</w:t>
      </w:r>
      <w:r w:rsidR="002D3E18">
        <w:rPr>
          <w:rFonts w:eastAsia="Times New Roman" w:cs="Times New Roman"/>
          <w:lang w:eastAsia="en-AU"/>
        </w:rPr>
        <w:t>,</w:t>
      </w:r>
      <w:r w:rsidR="001B1BD5" w:rsidRPr="069224B8">
        <w:rPr>
          <w:rFonts w:eastAsia="Times New Roman" w:cs="Times New Roman"/>
          <w:lang w:eastAsia="en-AU"/>
        </w:rPr>
        <w:t xml:space="preserve"> for implementation of the WEL list in the jurisdictions</w:t>
      </w:r>
      <w:r w:rsidR="002D3E18">
        <w:rPr>
          <w:rFonts w:eastAsia="Times New Roman" w:cs="Times New Roman"/>
          <w:lang w:eastAsia="en-AU"/>
        </w:rPr>
        <w:t>,</w:t>
      </w:r>
      <w:r w:rsidR="001B1BD5" w:rsidRPr="069224B8">
        <w:rPr>
          <w:rFonts w:eastAsia="Times New Roman" w:cs="Times New Roman"/>
          <w:lang w:eastAsia="en-AU"/>
        </w:rPr>
        <w:t xml:space="preserve"> o</w:t>
      </w:r>
      <w:r w:rsidR="002D3E18">
        <w:rPr>
          <w:rFonts w:eastAsia="Times New Roman" w:cs="Times New Roman"/>
          <w:lang w:eastAsia="en-AU"/>
        </w:rPr>
        <w:t>f</w:t>
      </w:r>
      <w:r w:rsidR="001B1BD5" w:rsidRPr="069224B8">
        <w:rPr>
          <w:rFonts w:eastAsia="Times New Roman" w:cs="Times New Roman"/>
          <w:lang w:eastAsia="en-AU"/>
        </w:rPr>
        <w:t xml:space="preserve"> 1 December 2026. This transition period allows</w:t>
      </w:r>
      <w:r w:rsidR="00003D28" w:rsidRPr="069224B8">
        <w:rPr>
          <w:rFonts w:eastAsia="Times New Roman" w:cs="Times New Roman"/>
          <w:lang w:eastAsia="en-AU"/>
        </w:rPr>
        <w:t xml:space="preserve"> </w:t>
      </w:r>
      <w:r w:rsidR="001B1BD5" w:rsidRPr="069224B8">
        <w:rPr>
          <w:rFonts w:eastAsia="Times New Roman" w:cs="Times New Roman"/>
          <w:lang w:eastAsia="en-AU"/>
        </w:rPr>
        <w:t>PCBUs and regulators to prepare and implement any changes necessary to comply with the exposure limits in the WEL list.</w:t>
      </w:r>
    </w:p>
    <w:p w14:paraId="01E9CD88" w14:textId="27129EDE" w:rsidR="00314BB6" w:rsidRDefault="00C23205" w:rsidP="00707ADD">
      <w:pPr>
        <w:pStyle w:val="SWAHeading2"/>
        <w:ind w:left="709"/>
        <w:rPr>
          <w:lang w:eastAsia="en-AU"/>
        </w:rPr>
      </w:pPr>
      <w:bookmarkStart w:id="13" w:name="_Toc219216855"/>
      <w:r w:rsidRPr="00955CBC">
        <w:rPr>
          <w:lang w:eastAsia="en-AU"/>
        </w:rPr>
        <w:t>Additional impact analysis for nine airborne contaminants</w:t>
      </w:r>
      <w:bookmarkEnd w:id="13"/>
      <w:r>
        <w:rPr>
          <w:lang w:eastAsia="en-AU"/>
        </w:rPr>
        <w:t xml:space="preserve"> </w:t>
      </w:r>
    </w:p>
    <w:p w14:paraId="350B99E0" w14:textId="490F210E" w:rsidR="00395F22" w:rsidRDefault="003D112D" w:rsidP="00395F22">
      <w:pPr>
        <w:tabs>
          <w:tab w:val="left" w:pos="425"/>
        </w:tabs>
        <w:spacing w:line="240" w:lineRule="atLeast"/>
        <w:contextualSpacing w:val="0"/>
        <w:rPr>
          <w:rFonts w:eastAsia="Times New Roman"/>
        </w:rPr>
      </w:pPr>
      <w:r w:rsidRPr="00395F22">
        <w:rPr>
          <w:rFonts w:eastAsia="Times New Roman" w:cs="Times New Roman"/>
          <w:lang w:eastAsia="en-AU"/>
        </w:rPr>
        <w:t xml:space="preserve">This Decision </w:t>
      </w:r>
      <w:r w:rsidR="006F4AB7" w:rsidRPr="00395F22">
        <w:rPr>
          <w:rFonts w:eastAsia="Times New Roman" w:cs="Times New Roman"/>
          <w:lang w:eastAsia="en-AU"/>
        </w:rPr>
        <w:t>RIS</w:t>
      </w:r>
      <w:r w:rsidRPr="00395F22">
        <w:rPr>
          <w:rFonts w:eastAsia="Times New Roman" w:cs="Times New Roman"/>
          <w:lang w:eastAsia="en-AU"/>
        </w:rPr>
        <w:t xml:space="preserve"> focuses on </w:t>
      </w:r>
      <w:r w:rsidR="7CE7A702" w:rsidRPr="00395F22">
        <w:rPr>
          <w:rFonts w:eastAsia="Times New Roman" w:cs="Times New Roman"/>
          <w:lang w:eastAsia="en-AU"/>
        </w:rPr>
        <w:t xml:space="preserve">exposure limits for </w:t>
      </w:r>
      <w:r w:rsidRPr="00395F22">
        <w:rPr>
          <w:rFonts w:eastAsia="Times New Roman" w:cs="Times New Roman"/>
          <w:lang w:eastAsia="en-AU"/>
        </w:rPr>
        <w:t xml:space="preserve">9 chemicals: benzene, chlorine, copper, formaldehyde, hydrogen cyanide, hydrogen sulfide, nitrogen dioxide, respirable crystalline silica and titanium dioxide. </w:t>
      </w:r>
    </w:p>
    <w:p w14:paraId="54C460D4" w14:textId="18C07E37" w:rsidR="00003D28" w:rsidRDefault="00003D28" w:rsidP="00395F22">
      <w:pPr>
        <w:tabs>
          <w:tab w:val="left" w:pos="425"/>
        </w:tabs>
        <w:spacing w:line="240" w:lineRule="atLeast"/>
        <w:contextualSpacing w:val="0"/>
        <w:rPr>
          <w:rFonts w:eastAsia="Times New Roman"/>
        </w:rPr>
      </w:pPr>
      <w:r w:rsidRPr="00A20E46">
        <w:rPr>
          <w:rFonts w:eastAsia="Times New Roman"/>
        </w:rPr>
        <w:t>As noted above, WHS ministers had requested further impact analysis for these chemicals</w:t>
      </w:r>
      <w:r w:rsidR="00C114CA">
        <w:rPr>
          <w:rFonts w:eastAsia="Times New Roman"/>
        </w:rPr>
        <w:t xml:space="preserve"> </w:t>
      </w:r>
      <w:r w:rsidR="00BE09E8" w:rsidRPr="00A20E46">
        <w:rPr>
          <w:rFonts w:eastAsia="Times New Roman"/>
        </w:rPr>
        <w:t>moving to health-based exposure limits</w:t>
      </w:r>
      <w:r w:rsidRPr="00A20E46">
        <w:rPr>
          <w:rFonts w:eastAsia="Times New Roman"/>
        </w:rPr>
        <w:t xml:space="preserve">. </w:t>
      </w:r>
    </w:p>
    <w:p w14:paraId="49050E4D" w14:textId="0BC070EB" w:rsidR="003D112D" w:rsidRDefault="00BE09E8" w:rsidP="003D112D">
      <w:pPr>
        <w:pStyle w:val="Paragraph"/>
        <w:rPr>
          <w:rFonts w:eastAsiaTheme="minorEastAsia"/>
        </w:rPr>
      </w:pPr>
      <w:r w:rsidRPr="12710E77">
        <w:rPr>
          <w:rFonts w:eastAsiaTheme="minorEastAsia"/>
        </w:rPr>
        <w:t xml:space="preserve">To support this, </w:t>
      </w:r>
      <w:r w:rsidR="003F09A0" w:rsidRPr="12710E77">
        <w:rPr>
          <w:rFonts w:eastAsiaTheme="minorEastAsia"/>
        </w:rPr>
        <w:t>Safe Work Australia engaged Nous</w:t>
      </w:r>
      <w:r w:rsidR="00702369">
        <w:rPr>
          <w:rFonts w:eastAsiaTheme="minorEastAsia"/>
        </w:rPr>
        <w:t xml:space="preserve"> Group</w:t>
      </w:r>
      <w:r w:rsidR="003F09A0" w:rsidRPr="12710E77">
        <w:rPr>
          <w:rFonts w:eastAsiaTheme="minorEastAsia"/>
        </w:rPr>
        <w:t xml:space="preserve"> to undertake impact analysis of the</w:t>
      </w:r>
      <w:r w:rsidR="009750A9" w:rsidRPr="12710E77">
        <w:rPr>
          <w:rFonts w:eastAsiaTheme="minorEastAsia"/>
        </w:rPr>
        <w:t xml:space="preserve"> costs and benefits of moving to</w:t>
      </w:r>
      <w:r w:rsidR="00211C90">
        <w:rPr>
          <w:rFonts w:eastAsiaTheme="minorEastAsia"/>
        </w:rPr>
        <w:t xml:space="preserve"> </w:t>
      </w:r>
      <w:r w:rsidR="009750A9" w:rsidRPr="12710E77">
        <w:rPr>
          <w:rFonts w:eastAsiaTheme="minorEastAsia"/>
        </w:rPr>
        <w:t>health-based limits for the</w:t>
      </w:r>
      <w:r w:rsidR="003F09A0" w:rsidRPr="12710E77">
        <w:rPr>
          <w:rFonts w:eastAsiaTheme="minorEastAsia"/>
        </w:rPr>
        <w:t xml:space="preserve"> 9 chemicals</w:t>
      </w:r>
      <w:r w:rsidR="009A1CF9">
        <w:rPr>
          <w:rFonts w:eastAsiaTheme="minorEastAsia"/>
        </w:rPr>
        <w:t xml:space="preserve"> </w:t>
      </w:r>
      <w:r w:rsidR="00702369">
        <w:rPr>
          <w:rFonts w:eastAsiaTheme="minorEastAsia"/>
        </w:rPr>
        <w:t xml:space="preserve">that are </w:t>
      </w:r>
      <w:r w:rsidR="00D321AD">
        <w:rPr>
          <w:rFonts w:eastAsiaTheme="minorEastAsia"/>
        </w:rPr>
        <w:t>considered</w:t>
      </w:r>
      <w:r w:rsidR="00DE3848">
        <w:rPr>
          <w:rFonts w:eastAsiaTheme="minorEastAsia"/>
        </w:rPr>
        <w:t xml:space="preserve"> in</w:t>
      </w:r>
      <w:r w:rsidR="009A1CF9">
        <w:rPr>
          <w:rFonts w:eastAsiaTheme="minorEastAsia"/>
        </w:rPr>
        <w:t xml:space="preserve"> this Decision RIS</w:t>
      </w:r>
      <w:r w:rsidR="00112D48">
        <w:rPr>
          <w:rFonts w:eastAsiaTheme="minorEastAsia"/>
        </w:rPr>
        <w:t xml:space="preserve"> and summarised in section 4.4</w:t>
      </w:r>
      <w:r w:rsidR="009750A9" w:rsidRPr="12710E77">
        <w:rPr>
          <w:rFonts w:eastAsiaTheme="minorEastAsia"/>
        </w:rPr>
        <w:t xml:space="preserve">. The Agency has also undertaken additional </w:t>
      </w:r>
      <w:r w:rsidR="00A55ECC" w:rsidRPr="12710E77">
        <w:rPr>
          <w:rFonts w:eastAsiaTheme="minorEastAsia"/>
        </w:rPr>
        <w:t xml:space="preserve">consultation to support this </w:t>
      </w:r>
      <w:r w:rsidR="69FD9C90" w:rsidRPr="3C27783E">
        <w:rPr>
          <w:rFonts w:eastAsiaTheme="minorEastAsia"/>
        </w:rPr>
        <w:t>analysis</w:t>
      </w:r>
      <w:r w:rsidR="00C36316" w:rsidRPr="12710E77">
        <w:rPr>
          <w:rFonts w:eastAsiaTheme="minorEastAsia"/>
        </w:rPr>
        <w:t>, which is outlined further throughout this Decision RIS</w:t>
      </w:r>
      <w:r w:rsidR="009750A9" w:rsidRPr="12710E77">
        <w:rPr>
          <w:rFonts w:eastAsiaTheme="minorEastAsia"/>
        </w:rPr>
        <w:t>.</w:t>
      </w:r>
    </w:p>
    <w:p w14:paraId="1AADFD2F" w14:textId="49F45805" w:rsidR="00917FC8" w:rsidRPr="00A55ECC" w:rsidRDefault="00917FC8" w:rsidP="00707ADD">
      <w:pPr>
        <w:pStyle w:val="SWAHeading1"/>
      </w:pPr>
      <w:bookmarkStart w:id="14" w:name="_Toc219216856"/>
      <w:r w:rsidRPr="00A55ECC">
        <w:lastRenderedPageBreak/>
        <w:t>What is the problem?</w:t>
      </w:r>
      <w:bookmarkEnd w:id="14"/>
    </w:p>
    <w:p w14:paraId="5B82C554" w14:textId="67090B81" w:rsidR="00E51B9E" w:rsidRPr="00E51B9E" w:rsidRDefault="00E51B9E" w:rsidP="00E51B9E">
      <w:pPr>
        <w:spacing w:after="240" w:line="240" w:lineRule="auto"/>
        <w:contextualSpacing w:val="0"/>
        <w:rPr>
          <w:rFonts w:eastAsia="Times New Roman"/>
          <w:lang w:eastAsia="en-AU"/>
        </w:rPr>
      </w:pPr>
      <w:r w:rsidRPr="00E51B9E">
        <w:rPr>
          <w:rFonts w:eastAsia="Times New Roman" w:cs="Times New Roman"/>
          <w:szCs w:val="28"/>
          <w:lang w:eastAsia="en-AU"/>
        </w:rPr>
        <w:t xml:space="preserve">Australia’s current WHS policy and regulatory framework </w:t>
      </w:r>
      <w:r w:rsidR="00F70CAA">
        <w:rPr>
          <w:rFonts w:eastAsia="Times New Roman" w:cs="Times New Roman"/>
          <w:szCs w:val="28"/>
          <w:lang w:eastAsia="en-AU"/>
        </w:rPr>
        <w:t xml:space="preserve">requires that </w:t>
      </w:r>
      <w:r w:rsidRPr="00E51B9E">
        <w:rPr>
          <w:rFonts w:eastAsia="Times New Roman" w:cs="Times New Roman"/>
          <w:szCs w:val="28"/>
          <w:lang w:eastAsia="en-AU"/>
        </w:rPr>
        <w:t xml:space="preserve">workers are protected at work, including from exposure to hazardous chemicals. </w:t>
      </w:r>
      <w:r w:rsidR="000A48E0">
        <w:rPr>
          <w:rFonts w:eastAsia="Times New Roman" w:cs="Times New Roman"/>
          <w:szCs w:val="28"/>
          <w:lang w:eastAsia="en-AU"/>
        </w:rPr>
        <w:t xml:space="preserve">The WES list </w:t>
      </w:r>
      <w:r w:rsidR="001E3609">
        <w:rPr>
          <w:rFonts w:eastAsia="Times New Roman" w:cs="Times New Roman"/>
          <w:szCs w:val="28"/>
          <w:lang w:eastAsia="en-AU"/>
        </w:rPr>
        <w:t xml:space="preserve">is a critical </w:t>
      </w:r>
      <w:r w:rsidR="00D31733">
        <w:rPr>
          <w:rFonts w:eastAsia="Times New Roman" w:cs="Times New Roman"/>
          <w:szCs w:val="28"/>
          <w:lang w:eastAsia="en-AU"/>
        </w:rPr>
        <w:t xml:space="preserve">component of this </w:t>
      </w:r>
      <w:r w:rsidR="00EA2E14">
        <w:rPr>
          <w:rFonts w:eastAsia="Times New Roman" w:cs="Times New Roman"/>
          <w:szCs w:val="28"/>
          <w:lang w:eastAsia="en-AU"/>
        </w:rPr>
        <w:t xml:space="preserve">framework, by setting the limit </w:t>
      </w:r>
      <w:r w:rsidR="00121396">
        <w:rPr>
          <w:rFonts w:eastAsia="Times New Roman" w:cs="Times New Roman"/>
          <w:szCs w:val="28"/>
          <w:lang w:eastAsia="en-AU"/>
        </w:rPr>
        <w:t>of exposure</w:t>
      </w:r>
      <w:r w:rsidR="0027667A">
        <w:rPr>
          <w:rFonts w:eastAsia="Times New Roman" w:cs="Times New Roman"/>
          <w:szCs w:val="28"/>
          <w:lang w:eastAsia="en-AU"/>
        </w:rPr>
        <w:t xml:space="preserve"> that </w:t>
      </w:r>
      <w:r w:rsidR="00700692">
        <w:rPr>
          <w:rFonts w:eastAsia="Times New Roman" w:cs="Times New Roman"/>
          <w:szCs w:val="28"/>
          <w:lang w:eastAsia="en-AU"/>
        </w:rPr>
        <w:t>must</w:t>
      </w:r>
      <w:r w:rsidR="0027667A">
        <w:rPr>
          <w:rFonts w:eastAsia="Times New Roman" w:cs="Times New Roman"/>
          <w:szCs w:val="28"/>
          <w:lang w:eastAsia="en-AU"/>
        </w:rPr>
        <w:t xml:space="preserve"> not be exceeded</w:t>
      </w:r>
      <w:r w:rsidR="00121396">
        <w:rPr>
          <w:rFonts w:eastAsia="Times New Roman" w:cs="Times New Roman"/>
          <w:szCs w:val="28"/>
          <w:lang w:eastAsia="en-AU"/>
        </w:rPr>
        <w:t xml:space="preserve"> for </w:t>
      </w:r>
      <w:r w:rsidR="00C12D02">
        <w:rPr>
          <w:rFonts w:eastAsia="Times New Roman" w:cs="Times New Roman"/>
          <w:szCs w:val="28"/>
          <w:lang w:eastAsia="en-AU"/>
        </w:rPr>
        <w:t>workers</w:t>
      </w:r>
      <w:r w:rsidR="00AA6131">
        <w:rPr>
          <w:rFonts w:eastAsia="Times New Roman" w:cs="Times New Roman"/>
          <w:szCs w:val="28"/>
          <w:lang w:eastAsia="en-AU"/>
        </w:rPr>
        <w:t>.</w:t>
      </w:r>
      <w:r w:rsidR="00C12D02">
        <w:rPr>
          <w:rFonts w:eastAsia="Times New Roman" w:cs="Times New Roman"/>
          <w:szCs w:val="28"/>
          <w:lang w:eastAsia="en-AU"/>
        </w:rPr>
        <w:t xml:space="preserve"> </w:t>
      </w:r>
      <w:r w:rsidRPr="00E51B9E">
        <w:rPr>
          <w:rFonts w:eastAsia="Times New Roman" w:cs="Times New Roman"/>
          <w:szCs w:val="28"/>
          <w:lang w:eastAsia="en-AU"/>
        </w:rPr>
        <w:t xml:space="preserve">  </w:t>
      </w:r>
    </w:p>
    <w:p w14:paraId="054F7FBC" w14:textId="602A4493" w:rsidR="00D74739" w:rsidRDefault="005C22BC" w:rsidP="00E706FE">
      <w:pPr>
        <w:spacing w:after="240" w:line="240" w:lineRule="auto"/>
        <w:contextualSpacing w:val="0"/>
        <w:rPr>
          <w:rFonts w:eastAsia="Times New Roman"/>
          <w:lang w:eastAsia="en-AU"/>
        </w:rPr>
      </w:pPr>
      <w:r>
        <w:rPr>
          <w:rFonts w:eastAsia="Times New Roman"/>
          <w:lang w:eastAsia="en-AU"/>
        </w:rPr>
        <w:t xml:space="preserve">Safe Work Australia’s </w:t>
      </w:r>
      <w:r w:rsidR="007D663F" w:rsidRPr="009911EB">
        <w:rPr>
          <w:rFonts w:eastAsia="Times New Roman"/>
          <w:lang w:eastAsia="en-AU"/>
        </w:rPr>
        <w:t>review</w:t>
      </w:r>
      <w:r>
        <w:rPr>
          <w:rFonts w:eastAsia="Times New Roman"/>
          <w:lang w:eastAsia="en-AU"/>
        </w:rPr>
        <w:t xml:space="preserve"> of </w:t>
      </w:r>
      <w:r w:rsidR="00BF541D">
        <w:rPr>
          <w:rFonts w:eastAsia="Times New Roman"/>
          <w:lang w:eastAsia="en-AU"/>
        </w:rPr>
        <w:t xml:space="preserve">the </w:t>
      </w:r>
      <w:r>
        <w:rPr>
          <w:rFonts w:eastAsia="Times New Roman"/>
          <w:lang w:eastAsia="en-AU"/>
        </w:rPr>
        <w:t>WES</w:t>
      </w:r>
      <w:r w:rsidR="006F4AB7">
        <w:rPr>
          <w:rFonts w:eastAsia="Times New Roman"/>
          <w:lang w:eastAsia="en-AU"/>
        </w:rPr>
        <w:t xml:space="preserve"> list</w:t>
      </w:r>
      <w:r w:rsidR="007D663F" w:rsidRPr="009911EB">
        <w:rPr>
          <w:rFonts w:eastAsia="Times New Roman"/>
          <w:lang w:eastAsia="en-AU"/>
        </w:rPr>
        <w:t xml:space="preserve"> identified that the </w:t>
      </w:r>
      <w:r w:rsidR="007D663F">
        <w:rPr>
          <w:rFonts w:eastAsia="Times New Roman"/>
          <w:lang w:eastAsia="en-AU"/>
        </w:rPr>
        <w:t xml:space="preserve">current </w:t>
      </w:r>
      <w:r w:rsidR="007D663F" w:rsidRPr="009911EB">
        <w:rPr>
          <w:rFonts w:eastAsia="Times New Roman"/>
          <w:lang w:eastAsia="en-AU"/>
        </w:rPr>
        <w:t xml:space="preserve">WES for the 9 chemicals </w:t>
      </w:r>
      <w:r w:rsidR="5A6558B9" w:rsidRPr="11D7A45C">
        <w:rPr>
          <w:rFonts w:eastAsia="Times New Roman"/>
          <w:lang w:eastAsia="en-AU"/>
        </w:rPr>
        <w:t xml:space="preserve">that are </w:t>
      </w:r>
      <w:r w:rsidR="00DE3848">
        <w:rPr>
          <w:rFonts w:eastAsia="Times New Roman"/>
          <w:lang w:eastAsia="en-AU"/>
        </w:rPr>
        <w:t>considered in</w:t>
      </w:r>
      <w:r w:rsidR="007D663F" w:rsidRPr="009911EB">
        <w:rPr>
          <w:rFonts w:eastAsia="Times New Roman"/>
          <w:lang w:eastAsia="en-AU"/>
        </w:rPr>
        <w:t xml:space="preserve"> this </w:t>
      </w:r>
      <w:r w:rsidR="004C7653">
        <w:rPr>
          <w:rFonts w:eastAsia="Times New Roman"/>
          <w:lang w:eastAsia="en-AU"/>
        </w:rPr>
        <w:t>Decision RIS</w:t>
      </w:r>
      <w:r w:rsidR="00D770FE">
        <w:rPr>
          <w:rFonts w:eastAsia="Times New Roman"/>
          <w:lang w:eastAsia="en-AU"/>
        </w:rPr>
        <w:t xml:space="preserve"> </w:t>
      </w:r>
      <w:r>
        <w:rPr>
          <w:rFonts w:eastAsia="Times New Roman"/>
          <w:lang w:eastAsia="en-AU"/>
        </w:rPr>
        <w:t xml:space="preserve">do not </w:t>
      </w:r>
      <w:r w:rsidR="007D663F" w:rsidRPr="009911EB">
        <w:rPr>
          <w:rFonts w:eastAsia="Times New Roman"/>
          <w:lang w:eastAsia="en-AU"/>
        </w:rPr>
        <w:t xml:space="preserve">sufficiently protect workers who are at risk of exposure to the chemicals </w:t>
      </w:r>
      <w:r w:rsidR="007D663F">
        <w:rPr>
          <w:rFonts w:eastAsia="Times New Roman"/>
          <w:lang w:eastAsia="en-AU"/>
        </w:rPr>
        <w:t>from</w:t>
      </w:r>
      <w:r w:rsidR="007D663F" w:rsidRPr="009911EB">
        <w:rPr>
          <w:rFonts w:eastAsia="Times New Roman"/>
          <w:lang w:eastAsia="en-AU"/>
        </w:rPr>
        <w:t xml:space="preserve"> adverse health effects</w:t>
      </w:r>
      <w:r w:rsidR="007D663F">
        <w:rPr>
          <w:rFonts w:eastAsia="Times New Roman"/>
          <w:lang w:eastAsia="en-AU"/>
        </w:rPr>
        <w:t xml:space="preserve">. </w:t>
      </w:r>
    </w:p>
    <w:p w14:paraId="43A2BC0C" w14:textId="70B88DA8" w:rsidR="007D663F" w:rsidRDefault="00E43352" w:rsidP="001A49A6">
      <w:pPr>
        <w:spacing w:after="240" w:line="240" w:lineRule="auto"/>
        <w:contextualSpacing w:val="0"/>
        <w:rPr>
          <w:rFonts w:eastAsia="Times New Roman" w:cs="Times New Roman"/>
          <w:szCs w:val="28"/>
          <w:lang w:eastAsia="en-AU"/>
        </w:rPr>
      </w:pPr>
      <w:r w:rsidRPr="007D663F">
        <w:rPr>
          <w:rFonts w:eastAsia="Times New Roman" w:cs="Times New Roman"/>
          <w:szCs w:val="28"/>
          <w:lang w:eastAsia="en-AU"/>
        </w:rPr>
        <w:t xml:space="preserve">WHS ministers have requested that further impact analysis </w:t>
      </w:r>
      <w:r>
        <w:rPr>
          <w:rFonts w:eastAsia="Times New Roman" w:cs="Times New Roman"/>
          <w:szCs w:val="28"/>
          <w:lang w:eastAsia="en-AU"/>
        </w:rPr>
        <w:t xml:space="preserve">on </w:t>
      </w:r>
      <w:r w:rsidRPr="007D663F">
        <w:rPr>
          <w:rFonts w:eastAsia="Times New Roman" w:cs="Times New Roman"/>
          <w:szCs w:val="28"/>
          <w:lang w:eastAsia="en-AU"/>
        </w:rPr>
        <w:t>implementing</w:t>
      </w:r>
      <w:r>
        <w:rPr>
          <w:rFonts w:eastAsia="Times New Roman" w:cs="Times New Roman"/>
          <w:szCs w:val="28"/>
          <w:lang w:eastAsia="en-AU"/>
        </w:rPr>
        <w:t xml:space="preserve"> </w:t>
      </w:r>
      <w:r w:rsidR="00C1369B">
        <w:rPr>
          <w:rFonts w:eastAsia="Times New Roman" w:cs="Times New Roman"/>
          <w:szCs w:val="28"/>
          <w:lang w:eastAsia="en-AU"/>
        </w:rPr>
        <w:t xml:space="preserve">the </w:t>
      </w:r>
      <w:r>
        <w:rPr>
          <w:rFonts w:eastAsia="Times New Roman" w:cs="Times New Roman"/>
          <w:szCs w:val="28"/>
          <w:lang w:eastAsia="en-AU"/>
        </w:rPr>
        <w:t>proposed</w:t>
      </w:r>
      <w:r w:rsidRPr="007D663F">
        <w:rPr>
          <w:rFonts w:eastAsia="Times New Roman" w:cs="Times New Roman"/>
          <w:szCs w:val="28"/>
          <w:lang w:eastAsia="en-AU"/>
        </w:rPr>
        <w:t xml:space="preserve"> health-based </w:t>
      </w:r>
      <w:r w:rsidR="00C1369B">
        <w:rPr>
          <w:rFonts w:eastAsia="Times New Roman" w:cs="Times New Roman"/>
          <w:szCs w:val="28"/>
          <w:lang w:eastAsia="en-AU"/>
        </w:rPr>
        <w:t xml:space="preserve">exposure </w:t>
      </w:r>
      <w:r w:rsidRPr="007D663F">
        <w:rPr>
          <w:rFonts w:eastAsia="Times New Roman" w:cs="Times New Roman"/>
          <w:szCs w:val="28"/>
          <w:lang w:eastAsia="en-AU"/>
        </w:rPr>
        <w:t xml:space="preserve">limits for the 9 chemicals </w:t>
      </w:r>
      <w:r>
        <w:rPr>
          <w:rFonts w:eastAsia="Times New Roman" w:cs="Times New Roman"/>
          <w:szCs w:val="28"/>
          <w:lang w:eastAsia="en-AU"/>
        </w:rPr>
        <w:t>be undertake</w:t>
      </w:r>
      <w:r w:rsidR="00112303">
        <w:rPr>
          <w:rFonts w:eastAsia="Times New Roman" w:cs="Times New Roman"/>
          <w:szCs w:val="28"/>
          <w:lang w:eastAsia="en-AU"/>
        </w:rPr>
        <w:t>n</w:t>
      </w:r>
      <w:r>
        <w:rPr>
          <w:rFonts w:eastAsia="Times New Roman" w:cs="Times New Roman"/>
          <w:szCs w:val="28"/>
          <w:lang w:eastAsia="en-AU"/>
        </w:rPr>
        <w:t xml:space="preserve"> to inform their consideration of the </w:t>
      </w:r>
      <w:r w:rsidR="00A9217F">
        <w:rPr>
          <w:rFonts w:eastAsia="Times New Roman" w:cs="Times New Roman"/>
          <w:szCs w:val="28"/>
          <w:lang w:eastAsia="en-AU"/>
        </w:rPr>
        <w:t>proposed WEL</w:t>
      </w:r>
      <w:r w:rsidRPr="007D663F">
        <w:rPr>
          <w:rFonts w:eastAsia="Times New Roman" w:cs="Times New Roman"/>
          <w:szCs w:val="28"/>
          <w:lang w:eastAsia="en-AU"/>
        </w:rPr>
        <w:t xml:space="preserve">. </w:t>
      </w:r>
    </w:p>
    <w:p w14:paraId="798FD527" w14:textId="0334D824" w:rsidR="00ED7FAB" w:rsidRPr="00ED7FAB" w:rsidRDefault="00ED7FAB" w:rsidP="00707ADD">
      <w:pPr>
        <w:pStyle w:val="SWAHeading2"/>
        <w:ind w:left="709"/>
        <w:rPr>
          <w:lang w:eastAsia="en-AU"/>
        </w:rPr>
      </w:pPr>
      <w:bookmarkStart w:id="15" w:name="_Toc219216857"/>
      <w:r w:rsidRPr="00993B73">
        <w:rPr>
          <w:lang w:eastAsia="en-AU"/>
        </w:rPr>
        <w:t>Workers in a broad range of industries are exposed</w:t>
      </w:r>
      <w:r>
        <w:rPr>
          <w:lang w:eastAsia="en-AU"/>
        </w:rPr>
        <w:t xml:space="preserve"> to these chemicals</w:t>
      </w:r>
      <w:bookmarkEnd w:id="15"/>
      <w:r>
        <w:rPr>
          <w:lang w:eastAsia="en-AU"/>
        </w:rPr>
        <w:t xml:space="preserve"> </w:t>
      </w:r>
    </w:p>
    <w:p w14:paraId="324A9A8C" w14:textId="159689A6" w:rsidR="009010D5" w:rsidRPr="009010D5" w:rsidRDefault="009010D5" w:rsidP="004A5643">
      <w:pPr>
        <w:spacing w:line="240" w:lineRule="atLeast"/>
        <w:contextualSpacing w:val="0"/>
        <w:rPr>
          <w:rFonts w:eastAsia="Times New Roman" w:cs="Times New Roman"/>
          <w:lang w:eastAsia="en-AU"/>
        </w:rPr>
      </w:pPr>
      <w:r w:rsidRPr="5BF660C3">
        <w:rPr>
          <w:rFonts w:eastAsia="Times New Roman" w:cs="Times New Roman"/>
          <w:lang w:eastAsia="en-AU"/>
        </w:rPr>
        <w:t xml:space="preserve">Workers are </w:t>
      </w:r>
      <w:r w:rsidR="00C46074" w:rsidRPr="5BF660C3">
        <w:rPr>
          <w:rFonts w:eastAsia="Times New Roman" w:cs="Times New Roman"/>
          <w:lang w:eastAsia="en-AU"/>
        </w:rPr>
        <w:t xml:space="preserve">at risk of </w:t>
      </w:r>
      <w:r w:rsidR="60740C87" w:rsidRPr="5A885E0C">
        <w:rPr>
          <w:rFonts w:eastAsia="Times New Roman" w:cs="Times New Roman"/>
          <w:lang w:eastAsia="en-AU"/>
        </w:rPr>
        <w:t>exposure</w:t>
      </w:r>
      <w:r w:rsidRPr="5BF660C3">
        <w:rPr>
          <w:rFonts w:eastAsia="Times New Roman" w:cs="Times New Roman"/>
          <w:lang w:eastAsia="en-AU"/>
        </w:rPr>
        <w:t xml:space="preserve"> to one or more of the nine chemicals in a broad range of workplaces</w:t>
      </w:r>
      <w:r w:rsidR="00E837AC" w:rsidRPr="5BF660C3">
        <w:rPr>
          <w:rFonts w:eastAsia="Times New Roman" w:cs="Times New Roman"/>
          <w:lang w:eastAsia="en-AU"/>
        </w:rPr>
        <w:t xml:space="preserve"> </w:t>
      </w:r>
      <w:r w:rsidRPr="5BF660C3">
        <w:rPr>
          <w:rFonts w:eastAsia="Times New Roman" w:cs="Times New Roman"/>
          <w:lang w:eastAsia="en-AU"/>
        </w:rPr>
        <w:t xml:space="preserve">through regular operations, spanning tasks including handling and processing, resource and mineral extraction and manufacturing. As of June 2024, it is estimated that up to </w:t>
      </w:r>
      <w:r w:rsidR="2F158A4C" w:rsidRPr="5A885E0C">
        <w:rPr>
          <w:rFonts w:eastAsia="Times New Roman" w:cs="Times New Roman"/>
          <w:lang w:eastAsia="en-AU"/>
        </w:rPr>
        <w:t xml:space="preserve">3.11 million </w:t>
      </w:r>
      <w:r w:rsidR="2F158A4C" w:rsidRPr="38C8878A">
        <w:rPr>
          <w:rFonts w:eastAsia="Times New Roman" w:cs="Times New Roman"/>
          <w:lang w:eastAsia="en-AU"/>
        </w:rPr>
        <w:t xml:space="preserve">workers across </w:t>
      </w:r>
      <w:r w:rsidRPr="38C8878A">
        <w:rPr>
          <w:rFonts w:eastAsia="Times New Roman" w:cs="Times New Roman"/>
          <w:lang w:eastAsia="en-AU"/>
        </w:rPr>
        <w:t>373</w:t>
      </w:r>
      <w:r w:rsidRPr="5BF660C3">
        <w:rPr>
          <w:rFonts w:eastAsia="Times New Roman" w:cs="Times New Roman"/>
          <w:lang w:eastAsia="en-AU"/>
        </w:rPr>
        <w:t xml:space="preserve">,800 businesses in Australia may </w:t>
      </w:r>
      <w:r w:rsidR="4D3F77FB" w:rsidRPr="38C8878A">
        <w:rPr>
          <w:rFonts w:eastAsia="Times New Roman" w:cs="Times New Roman"/>
          <w:lang w:eastAsia="en-AU"/>
        </w:rPr>
        <w:t xml:space="preserve">be </w:t>
      </w:r>
      <w:r w:rsidRPr="09C05DFB">
        <w:rPr>
          <w:rFonts w:eastAsia="Times New Roman" w:cs="Times New Roman"/>
          <w:lang w:eastAsia="en-AU"/>
        </w:rPr>
        <w:t>expose</w:t>
      </w:r>
      <w:r w:rsidR="621EA7F2" w:rsidRPr="09C05DFB">
        <w:rPr>
          <w:rFonts w:eastAsia="Times New Roman" w:cs="Times New Roman"/>
          <w:lang w:eastAsia="en-AU"/>
        </w:rPr>
        <w:t>d</w:t>
      </w:r>
      <w:r w:rsidRPr="5BF660C3">
        <w:rPr>
          <w:rFonts w:eastAsia="Times New Roman" w:cs="Times New Roman"/>
          <w:lang w:eastAsia="en-AU"/>
        </w:rPr>
        <w:t xml:space="preserve"> to </w:t>
      </w:r>
      <w:r w:rsidRPr="3330ABC1">
        <w:rPr>
          <w:rFonts w:eastAsia="Times New Roman" w:cs="Times New Roman"/>
          <w:lang w:eastAsia="en-AU"/>
        </w:rPr>
        <w:t>these</w:t>
      </w:r>
      <w:r w:rsidRPr="5BF660C3">
        <w:rPr>
          <w:rFonts w:eastAsia="Times New Roman" w:cs="Times New Roman"/>
          <w:lang w:eastAsia="en-AU"/>
        </w:rPr>
        <w:t xml:space="preserve"> chemicals. These estimates represent the sum of businesses and workers across all </w:t>
      </w:r>
      <w:r w:rsidR="006E7E5D" w:rsidRPr="5BF660C3">
        <w:rPr>
          <w:rFonts w:eastAsia="Times New Roman" w:cs="Times New Roman"/>
          <w:lang w:eastAsia="en-AU"/>
        </w:rPr>
        <w:t xml:space="preserve">9 </w:t>
      </w:r>
      <w:r w:rsidRPr="5BF660C3">
        <w:rPr>
          <w:rFonts w:eastAsia="Times New Roman" w:cs="Times New Roman"/>
          <w:lang w:eastAsia="en-AU"/>
        </w:rPr>
        <w:t>chemicals</w:t>
      </w:r>
      <w:r w:rsidR="006E7E5D" w:rsidRPr="5BF660C3">
        <w:rPr>
          <w:rFonts w:eastAsia="Times New Roman" w:cs="Times New Roman"/>
          <w:lang w:eastAsia="en-AU"/>
        </w:rPr>
        <w:t xml:space="preserve"> </w:t>
      </w:r>
      <w:r w:rsidR="47502C70" w:rsidRPr="03105ACB">
        <w:rPr>
          <w:rFonts w:eastAsia="Times New Roman" w:cs="Times New Roman"/>
          <w:lang w:eastAsia="en-AU"/>
        </w:rPr>
        <w:t xml:space="preserve">that are </w:t>
      </w:r>
      <w:r w:rsidR="00DE3848">
        <w:rPr>
          <w:rFonts w:eastAsia="Times New Roman" w:cs="Times New Roman"/>
          <w:lang w:eastAsia="en-AU"/>
        </w:rPr>
        <w:t>considered in</w:t>
      </w:r>
      <w:r w:rsidR="006E7E5D" w:rsidRPr="009911EB">
        <w:rPr>
          <w:rFonts w:eastAsia="Times New Roman"/>
          <w:lang w:eastAsia="en-AU"/>
        </w:rPr>
        <w:t xml:space="preserve"> this </w:t>
      </w:r>
      <w:r w:rsidR="006E7E5D">
        <w:rPr>
          <w:rFonts w:eastAsia="Times New Roman"/>
          <w:lang w:eastAsia="en-AU"/>
        </w:rPr>
        <w:t>Decision RIS</w:t>
      </w:r>
      <w:r w:rsidRPr="5BF660C3">
        <w:rPr>
          <w:rFonts w:eastAsia="Times New Roman" w:cs="Times New Roman"/>
          <w:lang w:eastAsia="en-AU"/>
        </w:rPr>
        <w:t xml:space="preserve">. </w:t>
      </w:r>
      <w:r w:rsidRPr="1B86C88A">
        <w:rPr>
          <w:rFonts w:eastAsia="Times New Roman" w:cs="Times New Roman"/>
          <w:lang w:eastAsia="en-AU"/>
        </w:rPr>
        <w:t>The</w:t>
      </w:r>
      <w:r w:rsidRPr="5BF660C3">
        <w:rPr>
          <w:rFonts w:eastAsia="Times New Roman" w:cs="Times New Roman"/>
          <w:lang w:eastAsia="en-AU"/>
        </w:rPr>
        <w:t xml:space="preserve"> actual number of businesses and workers is likely to be significantly lower, because </w:t>
      </w:r>
      <w:r w:rsidR="00302460" w:rsidRPr="5BF660C3">
        <w:rPr>
          <w:rFonts w:eastAsia="Times New Roman" w:cs="Times New Roman"/>
          <w:lang w:eastAsia="en-AU"/>
        </w:rPr>
        <w:t xml:space="preserve">not all workers within a business may be exposed to </w:t>
      </w:r>
      <w:r w:rsidR="00385345" w:rsidRPr="5BF660C3">
        <w:rPr>
          <w:rFonts w:eastAsia="Times New Roman" w:cs="Times New Roman"/>
          <w:lang w:eastAsia="en-AU"/>
        </w:rPr>
        <w:t>one of the 9 chemicals</w:t>
      </w:r>
      <w:r w:rsidR="006E7E5D" w:rsidRPr="5BF660C3">
        <w:rPr>
          <w:rFonts w:eastAsia="Times New Roman" w:cs="Times New Roman"/>
          <w:lang w:eastAsia="en-AU"/>
        </w:rPr>
        <w:t xml:space="preserve"> and </w:t>
      </w:r>
      <w:r w:rsidRPr="5BF660C3">
        <w:rPr>
          <w:rFonts w:eastAsia="Times New Roman" w:cs="Times New Roman"/>
          <w:lang w:eastAsia="en-AU"/>
        </w:rPr>
        <w:t xml:space="preserve">some workers may be exposed to more than one of the </w:t>
      </w:r>
      <w:r w:rsidR="001353F9" w:rsidRPr="5BF660C3">
        <w:rPr>
          <w:rFonts w:eastAsia="Times New Roman" w:cs="Times New Roman"/>
          <w:lang w:eastAsia="en-AU"/>
        </w:rPr>
        <w:t xml:space="preserve">9 </w:t>
      </w:r>
      <w:r w:rsidRPr="5BF660C3">
        <w:rPr>
          <w:rFonts w:eastAsia="Times New Roman" w:cs="Times New Roman"/>
          <w:lang w:eastAsia="en-AU"/>
        </w:rPr>
        <w:t>chemicals in their workplace</w:t>
      </w:r>
      <w:r w:rsidR="007532AC" w:rsidRPr="5BF660C3">
        <w:rPr>
          <w:rFonts w:eastAsia="Times New Roman" w:cs="Times New Roman"/>
          <w:lang w:eastAsia="en-AU"/>
        </w:rPr>
        <w:t>, however it was not possible to ascertain this from data sources to inform this analysis</w:t>
      </w:r>
      <w:r w:rsidRPr="5BF660C3">
        <w:rPr>
          <w:rFonts w:eastAsia="Times New Roman" w:cs="Times New Roman"/>
          <w:lang w:eastAsia="en-AU"/>
        </w:rPr>
        <w:t>.</w:t>
      </w:r>
    </w:p>
    <w:p w14:paraId="08BBB4F2" w14:textId="63E19ED5" w:rsidR="009010D5" w:rsidRDefault="009010D5" w:rsidP="004A5643">
      <w:pPr>
        <w:spacing w:line="240" w:lineRule="atLeast"/>
        <w:contextualSpacing w:val="0"/>
        <w:rPr>
          <w:rFonts w:eastAsia="Times New Roman"/>
          <w:lang w:eastAsia="en-AU"/>
        </w:rPr>
      </w:pPr>
      <w:r w:rsidRPr="00CE13E8">
        <w:rPr>
          <w:rFonts w:eastAsia="Times New Roman"/>
          <w:lang w:eastAsia="en-AU"/>
        </w:rPr>
        <w:t xml:space="preserve">Some workers are exposed to airborne contaminants on each working day, while others are exposed periodically. </w:t>
      </w:r>
      <w:r w:rsidRPr="009010D5">
        <w:rPr>
          <w:rFonts w:eastAsia="Times New Roman" w:cs="Times New Roman"/>
          <w:szCs w:val="28"/>
          <w:lang w:eastAsia="en-AU"/>
        </w:rPr>
        <w:t>Workers may be exposed to more than one airborne contaminant in the workplace. For example, workers in the mining industr</w:t>
      </w:r>
      <w:r w:rsidR="001649E4">
        <w:rPr>
          <w:rFonts w:eastAsia="Times New Roman" w:cs="Times New Roman"/>
          <w:szCs w:val="28"/>
          <w:lang w:eastAsia="en-AU"/>
        </w:rPr>
        <w:t>y</w:t>
      </w:r>
      <w:r w:rsidRPr="009010D5">
        <w:rPr>
          <w:rFonts w:eastAsia="Times New Roman" w:cs="Times New Roman"/>
          <w:szCs w:val="28"/>
          <w:lang w:eastAsia="en-AU"/>
        </w:rPr>
        <w:t xml:space="preserve"> may be exposed to one or more of benzene,</w:t>
      </w:r>
      <w:r w:rsidR="000B4C08">
        <w:rPr>
          <w:rFonts w:eastAsia="Times New Roman" w:cs="Times New Roman"/>
          <w:szCs w:val="28"/>
          <w:lang w:eastAsia="en-AU"/>
        </w:rPr>
        <w:t xml:space="preserve"> copper,</w:t>
      </w:r>
      <w:r w:rsidR="00861ECA">
        <w:rPr>
          <w:rFonts w:eastAsia="Times New Roman" w:cs="Times New Roman"/>
          <w:szCs w:val="28"/>
          <w:lang w:eastAsia="en-AU"/>
        </w:rPr>
        <w:t xml:space="preserve"> hydrogen cyanide, hydrogen sul</w:t>
      </w:r>
      <w:r w:rsidR="00312B4B">
        <w:rPr>
          <w:rFonts w:eastAsia="Times New Roman" w:cs="Times New Roman"/>
          <w:szCs w:val="28"/>
          <w:lang w:eastAsia="en-AU"/>
        </w:rPr>
        <w:t>f</w:t>
      </w:r>
      <w:r w:rsidR="00341059">
        <w:rPr>
          <w:rFonts w:eastAsia="Times New Roman" w:cs="Times New Roman"/>
          <w:szCs w:val="28"/>
          <w:lang w:eastAsia="en-AU"/>
        </w:rPr>
        <w:t>ide, nitrogen dioxide</w:t>
      </w:r>
      <w:r w:rsidR="004A1091">
        <w:rPr>
          <w:rFonts w:eastAsia="Times New Roman" w:cs="Times New Roman"/>
          <w:szCs w:val="28"/>
          <w:lang w:eastAsia="en-AU"/>
        </w:rPr>
        <w:t>,</w:t>
      </w:r>
      <w:r w:rsidRPr="009010D5">
        <w:rPr>
          <w:rFonts w:eastAsia="Times New Roman" w:cs="Times New Roman"/>
          <w:szCs w:val="28"/>
          <w:lang w:eastAsia="en-AU"/>
        </w:rPr>
        <w:t xml:space="preserve"> RCS and </w:t>
      </w:r>
      <w:r w:rsidR="00341059">
        <w:rPr>
          <w:rFonts w:eastAsia="Times New Roman" w:cs="Times New Roman"/>
          <w:szCs w:val="28"/>
          <w:lang w:eastAsia="en-AU"/>
        </w:rPr>
        <w:t>titanium dioxide</w:t>
      </w:r>
      <w:r w:rsidRPr="009010D5">
        <w:rPr>
          <w:rFonts w:eastAsia="Times New Roman" w:cs="Times New Roman"/>
          <w:szCs w:val="28"/>
          <w:lang w:eastAsia="en-AU"/>
        </w:rPr>
        <w:t xml:space="preserve"> during their operations. Workers are exposed to the chemicals</w:t>
      </w:r>
      <w:r w:rsidR="00702369">
        <w:rPr>
          <w:rFonts w:eastAsia="Times New Roman" w:cs="Times New Roman"/>
          <w:szCs w:val="28"/>
          <w:lang w:eastAsia="en-AU"/>
        </w:rPr>
        <w:t xml:space="preserve"> </w:t>
      </w:r>
      <w:r w:rsidR="001130C7">
        <w:rPr>
          <w:rFonts w:eastAsia="Times New Roman" w:cs="Times New Roman"/>
          <w:szCs w:val="28"/>
          <w:lang w:eastAsia="en-AU"/>
        </w:rPr>
        <w:t>considered in</w:t>
      </w:r>
      <w:r w:rsidR="00702369" w:rsidRPr="00702369">
        <w:rPr>
          <w:rFonts w:eastAsia="Times New Roman" w:cs="Times New Roman"/>
          <w:szCs w:val="28"/>
          <w:lang w:eastAsia="en-AU"/>
        </w:rPr>
        <w:t xml:space="preserve"> this Decision RIS</w:t>
      </w:r>
      <w:r w:rsidRPr="009010D5">
        <w:rPr>
          <w:rFonts w:eastAsia="Times New Roman" w:cs="Times New Roman"/>
          <w:szCs w:val="28"/>
          <w:lang w:eastAsia="en-AU"/>
        </w:rPr>
        <w:t xml:space="preserve"> at different points of businesses operations. Some chemicals are used as inputs, ingredients and additives in industrial processes, while others are naturally occurring in work environments or emitted as byproducts.</w:t>
      </w:r>
      <w:r w:rsidRPr="009010D5">
        <w:rPr>
          <w:rFonts w:eastAsia="Times New Roman"/>
          <w:lang w:eastAsia="en-AU"/>
        </w:rPr>
        <w:t xml:space="preserve"> </w:t>
      </w:r>
    </w:p>
    <w:p w14:paraId="06669369" w14:textId="3BE72CE0" w:rsidR="00436E5F" w:rsidRPr="00436E5F" w:rsidRDefault="00035118" w:rsidP="00F00D3D">
      <w:pPr>
        <w:pStyle w:val="Paragraph"/>
        <w:keepNext w:val="0"/>
        <w:spacing w:after="120"/>
      </w:pPr>
      <w:r>
        <w:t xml:space="preserve">The industries where exposure to these chemicals may occur is broad and represent some </w:t>
      </w:r>
      <w:r w:rsidR="00B17B13">
        <w:t xml:space="preserve">key sectors across the Australian economy. </w:t>
      </w:r>
      <w:r w:rsidR="00F00D3D">
        <w:fldChar w:fldCharType="begin"/>
      </w:r>
      <w:r w:rsidR="00F00D3D">
        <w:instrText xml:space="preserve"> REF _Ref199834518 \h </w:instrText>
      </w:r>
      <w:r w:rsidR="00F00D3D">
        <w:fldChar w:fldCharType="separate"/>
      </w:r>
      <w:r w:rsidR="00A002F4">
        <w:t xml:space="preserve">Table </w:t>
      </w:r>
      <w:r w:rsidR="00A002F4">
        <w:rPr>
          <w:noProof/>
        </w:rPr>
        <w:t>1</w:t>
      </w:r>
      <w:r w:rsidR="00F00D3D">
        <w:fldChar w:fldCharType="end"/>
      </w:r>
      <w:r w:rsidR="00F00D3D">
        <w:t xml:space="preserve"> </w:t>
      </w:r>
      <w:r w:rsidR="00393B65">
        <w:t xml:space="preserve">below outlines </w:t>
      </w:r>
      <w:r w:rsidR="00E72EE9">
        <w:t xml:space="preserve">some of </w:t>
      </w:r>
      <w:r w:rsidR="00393B65">
        <w:t xml:space="preserve">the </w:t>
      </w:r>
      <w:r w:rsidR="00E72EE9">
        <w:t xml:space="preserve">primary </w:t>
      </w:r>
      <w:r w:rsidR="00AF67F5">
        <w:t xml:space="preserve">industrial uses and key industries for the 9 chemicals. </w:t>
      </w:r>
    </w:p>
    <w:p w14:paraId="2242B90F" w14:textId="33DB9C9E" w:rsidR="00E7617F" w:rsidRDefault="00E7617F" w:rsidP="00D17D42">
      <w:pPr>
        <w:pStyle w:val="Caption"/>
        <w:keepLines/>
      </w:pPr>
      <w:bookmarkStart w:id="16" w:name="_Ref199834518"/>
      <w:r>
        <w:lastRenderedPageBreak/>
        <w:t xml:space="preserve">Table </w:t>
      </w:r>
      <w:fldSimple w:instr=" SEQ Table \* ARABIC ">
        <w:r w:rsidR="00A002F4">
          <w:rPr>
            <w:noProof/>
          </w:rPr>
          <w:t>1</w:t>
        </w:r>
      </w:fldSimple>
      <w:bookmarkEnd w:id="16"/>
      <w:r>
        <w:t xml:space="preserve"> - </w:t>
      </w:r>
      <w:r w:rsidRPr="000D06A8">
        <w:t xml:space="preserve">Industrial uses and key industries for the </w:t>
      </w:r>
      <w:r w:rsidR="00934E56">
        <w:t>9</w:t>
      </w:r>
      <w:r w:rsidRPr="000D06A8">
        <w:t xml:space="preserve"> chemicals</w:t>
      </w:r>
      <w:r w:rsidR="007479BE">
        <w:rPr>
          <w:rStyle w:val="FootnoteReference"/>
        </w:rPr>
        <w:footnoteReference w:id="5"/>
      </w:r>
    </w:p>
    <w:tbl>
      <w:tblPr>
        <w:tblStyle w:val="LightShading-Accent2"/>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20" w:firstRow="1" w:lastRow="0" w:firstColumn="0" w:lastColumn="0" w:noHBand="0" w:noVBand="1"/>
        <w:tblDescription w:val="Alt text here describing what the data is illustrating"/>
      </w:tblPr>
      <w:tblGrid>
        <w:gridCol w:w="1838"/>
        <w:gridCol w:w="4128"/>
        <w:gridCol w:w="3074"/>
      </w:tblGrid>
      <w:tr w:rsidR="001B08B0" w:rsidRPr="0016581D" w14:paraId="532FB864" w14:textId="77777777" w:rsidTr="00463155">
        <w:trPr>
          <w:cnfStyle w:val="100000000000" w:firstRow="1" w:lastRow="0" w:firstColumn="0" w:lastColumn="0" w:oddVBand="0" w:evenVBand="0" w:oddHBand="0" w:evenHBand="0" w:firstRowFirstColumn="0" w:firstRowLastColumn="0" w:lastRowFirstColumn="0" w:lastRowLastColumn="0"/>
          <w:tblHeader/>
        </w:trPr>
        <w:tc>
          <w:tcPr>
            <w:tcW w:w="1017" w:type="pct"/>
            <w:shd w:val="clear" w:color="auto" w:fill="4877E0" w:themeFill="accent1"/>
            <w:hideMark/>
          </w:tcPr>
          <w:p w14:paraId="701C2168" w14:textId="201BF9EA" w:rsidR="00436E5F" w:rsidRPr="0016581D" w:rsidRDefault="00436E5F" w:rsidP="00D17D42">
            <w:pPr>
              <w:keepNext/>
              <w:keepLines/>
              <w:spacing w:after="80"/>
            </w:pPr>
            <w:r w:rsidRPr="00436E5F">
              <w:t>Chemical</w:t>
            </w:r>
            <w:r>
              <w:t xml:space="preserve"> </w:t>
            </w:r>
          </w:p>
        </w:tc>
        <w:tc>
          <w:tcPr>
            <w:tcW w:w="2283" w:type="pct"/>
            <w:shd w:val="clear" w:color="auto" w:fill="4877E0" w:themeFill="accent1"/>
            <w:hideMark/>
          </w:tcPr>
          <w:p w14:paraId="023A813B" w14:textId="16C9D5BA" w:rsidR="00436E5F" w:rsidRPr="0016581D" w:rsidRDefault="00436E5F" w:rsidP="00D17D42">
            <w:pPr>
              <w:keepNext/>
              <w:keepLines/>
              <w:spacing w:after="80"/>
            </w:pPr>
            <w:r w:rsidRPr="00041C60">
              <w:t>Primary industrial uses or risk of exposure</w:t>
            </w:r>
          </w:p>
        </w:tc>
        <w:tc>
          <w:tcPr>
            <w:tcW w:w="1701" w:type="pct"/>
            <w:shd w:val="clear" w:color="auto" w:fill="4877E0" w:themeFill="accent1"/>
            <w:hideMark/>
          </w:tcPr>
          <w:p w14:paraId="197C5E05" w14:textId="7854831A" w:rsidR="00436E5F" w:rsidRPr="0016581D" w:rsidRDefault="00436E5F" w:rsidP="00D17D42">
            <w:pPr>
              <w:keepNext/>
              <w:keepLines/>
              <w:spacing w:after="80"/>
              <w:ind w:left="-48"/>
            </w:pPr>
            <w:r w:rsidRPr="00041C60">
              <w:t>Key industries where workplace exposure may occur</w:t>
            </w:r>
          </w:p>
        </w:tc>
      </w:tr>
      <w:tr w:rsidR="001B08B0" w:rsidRPr="00282770" w14:paraId="3AFEF250" w14:textId="77777777" w:rsidTr="00463155">
        <w:trPr>
          <w:trHeight w:val="340"/>
        </w:trPr>
        <w:tc>
          <w:tcPr>
            <w:tcW w:w="1017" w:type="pct"/>
            <w:noWrap/>
          </w:tcPr>
          <w:p w14:paraId="68C1A540" w14:textId="780AF67A" w:rsidR="00436E5F" w:rsidRPr="00282770" w:rsidRDefault="00436E5F" w:rsidP="00F3624F">
            <w:pPr>
              <w:keepNext/>
              <w:keepLines/>
              <w:spacing w:after="80"/>
            </w:pPr>
            <w:r w:rsidRPr="00041C60">
              <w:t>Benzene</w:t>
            </w:r>
          </w:p>
        </w:tc>
        <w:tc>
          <w:tcPr>
            <w:tcW w:w="2283" w:type="pct"/>
          </w:tcPr>
          <w:p w14:paraId="5F6A712C" w14:textId="77777777" w:rsidR="00436E5F" w:rsidRPr="00436E5F" w:rsidRDefault="00436E5F" w:rsidP="00F3624F">
            <w:pPr>
              <w:pStyle w:val="ListParagraph"/>
              <w:keepNext/>
              <w:keepLines/>
              <w:numPr>
                <w:ilvl w:val="0"/>
                <w:numId w:val="73"/>
              </w:numPr>
              <w:spacing w:after="80"/>
              <w:ind w:left="413" w:hanging="413"/>
            </w:pPr>
            <w:r w:rsidRPr="00436E5F">
              <w:t xml:space="preserve">Manufacturing of organic chemicals to make plastics, rubber, resins, synthetic fibres, lubricants, dyes, detergents, pharmaceutical drugs, pesticides and explosives. </w:t>
            </w:r>
          </w:p>
          <w:p w14:paraId="11848B1D" w14:textId="77777777" w:rsidR="00436E5F" w:rsidRPr="00436E5F" w:rsidRDefault="00436E5F" w:rsidP="00F3624F">
            <w:pPr>
              <w:pStyle w:val="ListParagraph"/>
              <w:keepNext/>
              <w:keepLines/>
              <w:numPr>
                <w:ilvl w:val="0"/>
                <w:numId w:val="73"/>
              </w:numPr>
              <w:spacing w:after="80"/>
              <w:ind w:left="413" w:hanging="413"/>
            </w:pPr>
            <w:r w:rsidRPr="00436E5F">
              <w:t>Manufacturing of tobacco products.</w:t>
            </w:r>
          </w:p>
          <w:p w14:paraId="24D9A11E" w14:textId="77777777" w:rsidR="00436E5F" w:rsidRPr="00436E5F" w:rsidRDefault="00436E5F" w:rsidP="00F3624F">
            <w:pPr>
              <w:pStyle w:val="ListParagraph"/>
              <w:keepNext/>
              <w:keepLines/>
              <w:numPr>
                <w:ilvl w:val="0"/>
                <w:numId w:val="73"/>
              </w:numPr>
              <w:spacing w:after="80"/>
              <w:ind w:left="413" w:hanging="413"/>
            </w:pPr>
            <w:r w:rsidRPr="00436E5F">
              <w:t xml:space="preserve">Production of petrochemicals. </w:t>
            </w:r>
          </w:p>
          <w:p w14:paraId="4C06BD9C" w14:textId="77777777" w:rsidR="00436E5F" w:rsidRPr="00436E5F" w:rsidRDefault="00436E5F" w:rsidP="00F3624F">
            <w:pPr>
              <w:pStyle w:val="ListParagraph"/>
              <w:keepNext/>
              <w:keepLines/>
              <w:numPr>
                <w:ilvl w:val="0"/>
                <w:numId w:val="73"/>
              </w:numPr>
              <w:spacing w:after="80"/>
              <w:ind w:left="413" w:hanging="413"/>
            </w:pPr>
            <w:r w:rsidRPr="00436E5F">
              <w:t>Extraction and production of crude oil and natural gas.</w:t>
            </w:r>
          </w:p>
          <w:p w14:paraId="67ED68AE" w14:textId="39A4EEFA" w:rsidR="00436E5F" w:rsidRPr="00436E5F" w:rsidRDefault="00436E5F" w:rsidP="00F3624F">
            <w:pPr>
              <w:pStyle w:val="ListParagraph"/>
              <w:keepNext/>
              <w:keepLines/>
              <w:numPr>
                <w:ilvl w:val="0"/>
                <w:numId w:val="73"/>
              </w:numPr>
              <w:spacing w:after="80"/>
              <w:ind w:left="413" w:hanging="413"/>
            </w:pPr>
            <w:r w:rsidRPr="00436E5F">
              <w:t>Combustion of organic matter such as wood, coal and petroleum products, which may occur in a fire, coke and steel manufacturing, and vehicle and machinery operation.</w:t>
            </w:r>
          </w:p>
        </w:tc>
        <w:tc>
          <w:tcPr>
            <w:tcW w:w="1701" w:type="pct"/>
          </w:tcPr>
          <w:p w14:paraId="1DFC4EED" w14:textId="77777777" w:rsidR="00436E5F" w:rsidRDefault="00436E5F" w:rsidP="00F3624F">
            <w:pPr>
              <w:pStyle w:val="ListParagraph"/>
              <w:keepNext/>
              <w:keepLines/>
              <w:numPr>
                <w:ilvl w:val="0"/>
                <w:numId w:val="73"/>
              </w:numPr>
              <w:spacing w:after="80"/>
              <w:ind w:left="413" w:hanging="413"/>
            </w:pPr>
            <w:r>
              <w:t>Mining</w:t>
            </w:r>
          </w:p>
          <w:p w14:paraId="736CAC97" w14:textId="1556C6E0" w:rsidR="00436E5F" w:rsidRDefault="00436E5F" w:rsidP="00F3624F">
            <w:pPr>
              <w:pStyle w:val="ListParagraph"/>
              <w:keepNext/>
              <w:keepLines/>
              <w:numPr>
                <w:ilvl w:val="0"/>
                <w:numId w:val="73"/>
              </w:numPr>
              <w:spacing w:after="80"/>
              <w:ind w:left="413" w:hanging="413"/>
            </w:pPr>
            <w:r>
              <w:t>Manufacturing</w:t>
            </w:r>
          </w:p>
          <w:p w14:paraId="3FE3A311" w14:textId="77777777" w:rsidR="00436E5F" w:rsidRDefault="00436E5F" w:rsidP="00F3624F">
            <w:pPr>
              <w:pStyle w:val="ListParagraph"/>
              <w:keepNext/>
              <w:keepLines/>
              <w:numPr>
                <w:ilvl w:val="0"/>
                <w:numId w:val="73"/>
              </w:numPr>
              <w:spacing w:after="80"/>
              <w:ind w:left="413" w:hanging="413"/>
            </w:pPr>
            <w:r>
              <w:t>Electricity, Gas, Water and Waste Services</w:t>
            </w:r>
          </w:p>
          <w:p w14:paraId="19D5D2A6" w14:textId="2BC501D2" w:rsidR="00436E5F" w:rsidRPr="00282770" w:rsidRDefault="00436E5F" w:rsidP="00F3624F">
            <w:pPr>
              <w:pStyle w:val="ListParagraph"/>
              <w:keepNext/>
              <w:keepLines/>
              <w:numPr>
                <w:ilvl w:val="0"/>
                <w:numId w:val="73"/>
              </w:numPr>
              <w:spacing w:after="80"/>
              <w:ind w:left="413" w:hanging="413"/>
            </w:pPr>
            <w:r>
              <w:t>Public Administration and Safety</w:t>
            </w:r>
          </w:p>
        </w:tc>
      </w:tr>
      <w:tr w:rsidR="00436E5F" w:rsidRPr="00282770" w14:paraId="4AC95A15" w14:textId="77777777" w:rsidTr="00463155">
        <w:trPr>
          <w:trHeight w:val="340"/>
        </w:trPr>
        <w:tc>
          <w:tcPr>
            <w:tcW w:w="1017" w:type="pct"/>
            <w:noWrap/>
          </w:tcPr>
          <w:p w14:paraId="61A2AFE4" w14:textId="09EE230A" w:rsidR="00436E5F" w:rsidRPr="00282770" w:rsidRDefault="00041C60">
            <w:pPr>
              <w:spacing w:after="80"/>
            </w:pPr>
            <w:r w:rsidRPr="00041C60">
              <w:t>Chlorine</w:t>
            </w:r>
          </w:p>
        </w:tc>
        <w:tc>
          <w:tcPr>
            <w:tcW w:w="2283" w:type="pct"/>
          </w:tcPr>
          <w:p w14:paraId="36246224" w14:textId="77777777" w:rsidR="00041C60" w:rsidRDefault="00041C60" w:rsidP="00A2768E">
            <w:pPr>
              <w:pStyle w:val="ListParagraph"/>
              <w:numPr>
                <w:ilvl w:val="0"/>
                <w:numId w:val="73"/>
              </w:numPr>
              <w:spacing w:after="80"/>
              <w:ind w:left="413" w:hanging="413"/>
            </w:pPr>
            <w:r>
              <w:t xml:space="preserve">Chemical manufacturing, as a raw material and additive in cleaning products, PVC materials, plastics, solvents, pharmaceuticals and metallurgy and mineral processing. </w:t>
            </w:r>
          </w:p>
          <w:p w14:paraId="3942ACF3" w14:textId="2CD5C390" w:rsidR="00436E5F" w:rsidRPr="00282770" w:rsidRDefault="00041C60" w:rsidP="00A2768E">
            <w:pPr>
              <w:pStyle w:val="ListParagraph"/>
              <w:numPr>
                <w:ilvl w:val="0"/>
                <w:numId w:val="73"/>
              </w:numPr>
              <w:spacing w:after="80"/>
              <w:ind w:left="413" w:hanging="413"/>
            </w:pPr>
            <w:r>
              <w:t>Common disinfectant, cleaning and bleaching agent in water, sewage systems, electrical and paper and pulp industries.</w:t>
            </w:r>
          </w:p>
        </w:tc>
        <w:tc>
          <w:tcPr>
            <w:tcW w:w="1701" w:type="pct"/>
          </w:tcPr>
          <w:p w14:paraId="477891FB" w14:textId="77777777" w:rsidR="00041C60" w:rsidRDefault="00041C60" w:rsidP="00A2768E">
            <w:pPr>
              <w:pStyle w:val="ListParagraph"/>
              <w:numPr>
                <w:ilvl w:val="0"/>
                <w:numId w:val="73"/>
              </w:numPr>
              <w:spacing w:after="80"/>
              <w:ind w:left="413" w:hanging="413"/>
            </w:pPr>
            <w:r>
              <w:t>Manufacturing</w:t>
            </w:r>
          </w:p>
          <w:p w14:paraId="7785146F" w14:textId="2CAE7C97" w:rsidR="00041C60" w:rsidRDefault="00041C60" w:rsidP="00A2768E">
            <w:pPr>
              <w:pStyle w:val="ListParagraph"/>
              <w:numPr>
                <w:ilvl w:val="0"/>
                <w:numId w:val="73"/>
              </w:numPr>
              <w:spacing w:after="80"/>
              <w:ind w:left="413" w:hanging="413"/>
            </w:pPr>
            <w:r>
              <w:t xml:space="preserve">Electricity, Gas, Water and Waste Services </w:t>
            </w:r>
          </w:p>
          <w:p w14:paraId="476DE6C0" w14:textId="11837AE5" w:rsidR="00041C60" w:rsidRDefault="00041C60" w:rsidP="00A2768E">
            <w:pPr>
              <w:pStyle w:val="ListParagraph"/>
              <w:numPr>
                <w:ilvl w:val="0"/>
                <w:numId w:val="73"/>
              </w:numPr>
              <w:spacing w:after="80"/>
              <w:ind w:left="413" w:hanging="413"/>
            </w:pPr>
            <w:r>
              <w:t xml:space="preserve">Administrative and Support Services </w:t>
            </w:r>
          </w:p>
          <w:p w14:paraId="4DF1A810" w14:textId="16C3671B" w:rsidR="00436E5F" w:rsidRPr="00282770" w:rsidRDefault="00041C60" w:rsidP="00A2768E">
            <w:pPr>
              <w:pStyle w:val="ListParagraph"/>
              <w:numPr>
                <w:ilvl w:val="0"/>
                <w:numId w:val="73"/>
              </w:numPr>
              <w:spacing w:after="80"/>
              <w:ind w:left="413" w:hanging="413"/>
            </w:pPr>
            <w:r>
              <w:t>Arts and Recreation Services</w:t>
            </w:r>
          </w:p>
        </w:tc>
      </w:tr>
      <w:tr w:rsidR="001B08B0" w:rsidRPr="00282770" w14:paraId="0B44AFF4" w14:textId="77777777" w:rsidTr="00463155">
        <w:trPr>
          <w:trHeight w:val="340"/>
        </w:trPr>
        <w:tc>
          <w:tcPr>
            <w:tcW w:w="1017" w:type="pct"/>
            <w:noWrap/>
          </w:tcPr>
          <w:p w14:paraId="22E2DDC0" w14:textId="41DC1120" w:rsidR="00041C60" w:rsidRPr="00041C60" w:rsidRDefault="00041C60">
            <w:pPr>
              <w:spacing w:after="80"/>
            </w:pPr>
            <w:r w:rsidRPr="00041C60">
              <w:t>Copper</w:t>
            </w:r>
          </w:p>
        </w:tc>
        <w:tc>
          <w:tcPr>
            <w:tcW w:w="2283" w:type="pct"/>
          </w:tcPr>
          <w:p w14:paraId="1DB3182B" w14:textId="77777777" w:rsidR="00041C60" w:rsidRDefault="00041C60" w:rsidP="00A2768E">
            <w:pPr>
              <w:pStyle w:val="ListParagraph"/>
              <w:numPr>
                <w:ilvl w:val="0"/>
                <w:numId w:val="73"/>
              </w:numPr>
              <w:spacing w:after="80"/>
              <w:ind w:left="413" w:hanging="413"/>
            </w:pPr>
            <w:r>
              <w:t>Primary input for mining operations including the extraction of copper ore and fabrication of metal products (smelting and welding).</w:t>
            </w:r>
          </w:p>
          <w:p w14:paraId="7AB2DB85" w14:textId="77777777" w:rsidR="00041C60" w:rsidRDefault="00041C60" w:rsidP="00A2768E">
            <w:pPr>
              <w:pStyle w:val="ListParagraph"/>
              <w:numPr>
                <w:ilvl w:val="0"/>
                <w:numId w:val="73"/>
              </w:numPr>
              <w:spacing w:after="80"/>
              <w:ind w:left="413" w:hanging="413"/>
            </w:pPr>
            <w:r>
              <w:t xml:space="preserve">Input to wastewater treatment processes to remove contaminants. </w:t>
            </w:r>
          </w:p>
          <w:p w14:paraId="3A9C7C78" w14:textId="77777777" w:rsidR="00041C60" w:rsidRDefault="00041C60" w:rsidP="00A2768E">
            <w:pPr>
              <w:pStyle w:val="ListParagraph"/>
              <w:numPr>
                <w:ilvl w:val="0"/>
                <w:numId w:val="73"/>
              </w:numPr>
              <w:spacing w:after="80"/>
              <w:ind w:left="413" w:hanging="413"/>
            </w:pPr>
            <w:r>
              <w:t xml:space="preserve">Common element in the production of electronics, pipes, roof coverings, pharmaceutical manufacturing, coins and dyes. </w:t>
            </w:r>
          </w:p>
          <w:p w14:paraId="7461D734" w14:textId="205FEAE0" w:rsidR="00041C60" w:rsidRDefault="00041C60" w:rsidP="00A2768E">
            <w:pPr>
              <w:pStyle w:val="ListParagraph"/>
              <w:numPr>
                <w:ilvl w:val="0"/>
                <w:numId w:val="73"/>
              </w:numPr>
              <w:spacing w:after="80"/>
              <w:ind w:left="413" w:hanging="413"/>
            </w:pPr>
            <w:r>
              <w:t>Manufacturing of many agricultural and environmental products such as fertilisers, animal food, pesticides and antifouling agents, where the chemical is a common ingredient.</w:t>
            </w:r>
          </w:p>
        </w:tc>
        <w:tc>
          <w:tcPr>
            <w:tcW w:w="1701" w:type="pct"/>
          </w:tcPr>
          <w:p w14:paraId="3E7B1BB9" w14:textId="65DB4FE6" w:rsidR="00041C60" w:rsidRDefault="00041C60" w:rsidP="00A2768E">
            <w:pPr>
              <w:pStyle w:val="ListParagraph"/>
              <w:numPr>
                <w:ilvl w:val="0"/>
                <w:numId w:val="73"/>
              </w:numPr>
              <w:spacing w:after="80"/>
              <w:ind w:left="413" w:hanging="413"/>
            </w:pPr>
            <w:r>
              <w:t>Mining</w:t>
            </w:r>
          </w:p>
          <w:p w14:paraId="13E36220" w14:textId="1D392380" w:rsidR="00041C60" w:rsidRDefault="00041C60" w:rsidP="00A2768E">
            <w:pPr>
              <w:pStyle w:val="ListParagraph"/>
              <w:numPr>
                <w:ilvl w:val="0"/>
                <w:numId w:val="73"/>
              </w:numPr>
              <w:spacing w:after="80"/>
              <w:ind w:left="413" w:hanging="413"/>
            </w:pPr>
            <w:r>
              <w:t xml:space="preserve">Manufacturing </w:t>
            </w:r>
          </w:p>
          <w:p w14:paraId="6889D887" w14:textId="7D0C0DD1" w:rsidR="00041C60" w:rsidRDefault="00041C60" w:rsidP="00A2768E">
            <w:pPr>
              <w:pStyle w:val="ListParagraph"/>
              <w:numPr>
                <w:ilvl w:val="0"/>
                <w:numId w:val="73"/>
              </w:numPr>
              <w:spacing w:after="80"/>
              <w:ind w:left="413" w:hanging="413"/>
            </w:pPr>
            <w:r>
              <w:t>Electricity, Gas, Water and Waste Services</w:t>
            </w:r>
          </w:p>
        </w:tc>
      </w:tr>
      <w:tr w:rsidR="00041C60" w:rsidRPr="00282770" w14:paraId="7F675E11" w14:textId="77777777" w:rsidTr="00463155">
        <w:trPr>
          <w:trHeight w:val="340"/>
        </w:trPr>
        <w:tc>
          <w:tcPr>
            <w:tcW w:w="1017" w:type="pct"/>
            <w:noWrap/>
          </w:tcPr>
          <w:p w14:paraId="425C6C61" w14:textId="68A225BB" w:rsidR="00041C60" w:rsidRPr="00041C60" w:rsidRDefault="00041C60">
            <w:pPr>
              <w:spacing w:after="80"/>
            </w:pPr>
            <w:r w:rsidRPr="00041C60">
              <w:lastRenderedPageBreak/>
              <w:t>Formaldehyde</w:t>
            </w:r>
          </w:p>
        </w:tc>
        <w:tc>
          <w:tcPr>
            <w:tcW w:w="2283" w:type="pct"/>
          </w:tcPr>
          <w:p w14:paraId="0DF04E13" w14:textId="77777777" w:rsidR="00041C60" w:rsidRDefault="00041C60" w:rsidP="00A2768E">
            <w:pPr>
              <w:pStyle w:val="ListParagraph"/>
              <w:numPr>
                <w:ilvl w:val="0"/>
                <w:numId w:val="73"/>
              </w:numPr>
              <w:spacing w:after="80"/>
              <w:ind w:left="413" w:hanging="413"/>
            </w:pPr>
            <w:r>
              <w:t xml:space="preserve">Common preservative used in hospitals, pathology, anatomy laboratories, museums and funeral homes. </w:t>
            </w:r>
          </w:p>
          <w:p w14:paraId="56EFEBAB" w14:textId="77777777" w:rsidR="00041C60" w:rsidRDefault="00041C60" w:rsidP="00A2768E">
            <w:pPr>
              <w:pStyle w:val="ListParagraph"/>
              <w:numPr>
                <w:ilvl w:val="0"/>
                <w:numId w:val="73"/>
              </w:numPr>
              <w:spacing w:after="80"/>
              <w:ind w:left="413" w:hanging="413"/>
            </w:pPr>
            <w:r>
              <w:t xml:space="preserve">Use of wood-pressed products including plywood and particle board and adhesives. </w:t>
            </w:r>
          </w:p>
          <w:p w14:paraId="4D30E4E0" w14:textId="77777777" w:rsidR="00041C60" w:rsidRDefault="00041C60" w:rsidP="00A2768E">
            <w:pPr>
              <w:pStyle w:val="ListParagraph"/>
              <w:numPr>
                <w:ilvl w:val="0"/>
                <w:numId w:val="73"/>
              </w:numPr>
              <w:spacing w:after="80"/>
              <w:ind w:left="413" w:hanging="413"/>
            </w:pPr>
            <w:r>
              <w:t>Binding resin for foam insulation and fibreglass.</w:t>
            </w:r>
          </w:p>
          <w:p w14:paraId="67C93279" w14:textId="77777777" w:rsidR="00041C60" w:rsidRDefault="00041C60" w:rsidP="00A2768E">
            <w:pPr>
              <w:pStyle w:val="ListParagraph"/>
              <w:numPr>
                <w:ilvl w:val="0"/>
                <w:numId w:val="73"/>
              </w:numPr>
              <w:spacing w:after="80"/>
              <w:ind w:left="413" w:hanging="413"/>
            </w:pPr>
            <w:r>
              <w:t xml:space="preserve">Manufacturing and use of disinfectant in primary industry and agricultural settings. </w:t>
            </w:r>
          </w:p>
          <w:p w14:paraId="2CA248A4" w14:textId="77777777" w:rsidR="00041C60" w:rsidRDefault="00041C60" w:rsidP="00A2768E">
            <w:pPr>
              <w:pStyle w:val="ListParagraph"/>
              <w:numPr>
                <w:ilvl w:val="0"/>
                <w:numId w:val="73"/>
              </w:numPr>
              <w:spacing w:after="80"/>
              <w:ind w:left="413" w:hanging="413"/>
            </w:pPr>
            <w:r>
              <w:t xml:space="preserve">Component ingredient in some explosives. </w:t>
            </w:r>
          </w:p>
          <w:p w14:paraId="6EB6994E" w14:textId="68C978A4" w:rsidR="00041C60" w:rsidRDefault="00041C60" w:rsidP="00A2768E">
            <w:pPr>
              <w:pStyle w:val="ListParagraph"/>
              <w:numPr>
                <w:ilvl w:val="0"/>
                <w:numId w:val="73"/>
              </w:numPr>
              <w:spacing w:after="80"/>
              <w:ind w:left="413" w:hanging="413"/>
            </w:pPr>
            <w:r>
              <w:t>Introduced into the air through forest fires.</w:t>
            </w:r>
          </w:p>
        </w:tc>
        <w:tc>
          <w:tcPr>
            <w:tcW w:w="1701" w:type="pct"/>
          </w:tcPr>
          <w:p w14:paraId="5292017C" w14:textId="77777777" w:rsidR="00041C60" w:rsidRDefault="00041C60" w:rsidP="00A2768E">
            <w:pPr>
              <w:pStyle w:val="ListParagraph"/>
              <w:numPr>
                <w:ilvl w:val="0"/>
                <w:numId w:val="73"/>
              </w:numPr>
              <w:spacing w:after="80"/>
              <w:ind w:left="413" w:hanging="413"/>
            </w:pPr>
            <w:r>
              <w:t>Agriculture – Manufacturing</w:t>
            </w:r>
          </w:p>
          <w:p w14:paraId="464FCF1C" w14:textId="38DE7711" w:rsidR="00041C60" w:rsidRDefault="00041C60" w:rsidP="00A2768E">
            <w:pPr>
              <w:pStyle w:val="ListParagraph"/>
              <w:numPr>
                <w:ilvl w:val="0"/>
                <w:numId w:val="73"/>
              </w:numPr>
              <w:spacing w:after="80"/>
              <w:ind w:left="413" w:hanging="413"/>
            </w:pPr>
            <w:r>
              <w:t>Construction</w:t>
            </w:r>
          </w:p>
          <w:p w14:paraId="7EC92F92" w14:textId="3CEEBA31" w:rsidR="00041C60" w:rsidRDefault="00041C60" w:rsidP="00A2768E">
            <w:pPr>
              <w:pStyle w:val="ListParagraph"/>
              <w:numPr>
                <w:ilvl w:val="0"/>
                <w:numId w:val="73"/>
              </w:numPr>
              <w:spacing w:after="80"/>
              <w:ind w:left="413" w:hanging="413"/>
            </w:pPr>
            <w:r>
              <w:t>Professional, Scientific and Technical Services</w:t>
            </w:r>
          </w:p>
          <w:p w14:paraId="07330268" w14:textId="766504FD" w:rsidR="00041C60" w:rsidRDefault="00041C60" w:rsidP="00A2768E">
            <w:pPr>
              <w:pStyle w:val="ListParagraph"/>
              <w:numPr>
                <w:ilvl w:val="0"/>
                <w:numId w:val="73"/>
              </w:numPr>
              <w:spacing w:after="80"/>
              <w:ind w:left="413" w:hanging="413"/>
            </w:pPr>
            <w:r>
              <w:t>Public Administration and Safety</w:t>
            </w:r>
          </w:p>
          <w:p w14:paraId="4AF007C1" w14:textId="2A45CD9C" w:rsidR="00041C60" w:rsidRDefault="00041C60" w:rsidP="00A2768E">
            <w:pPr>
              <w:pStyle w:val="ListParagraph"/>
              <w:numPr>
                <w:ilvl w:val="0"/>
                <w:numId w:val="73"/>
              </w:numPr>
              <w:spacing w:after="80"/>
              <w:ind w:left="413" w:hanging="413"/>
            </w:pPr>
            <w:r>
              <w:t>Health Care and Social Assistance</w:t>
            </w:r>
          </w:p>
          <w:p w14:paraId="6E243DE5" w14:textId="09759061" w:rsidR="00041C60" w:rsidRDefault="00041C60" w:rsidP="00A2768E">
            <w:pPr>
              <w:pStyle w:val="ListParagraph"/>
              <w:numPr>
                <w:ilvl w:val="0"/>
                <w:numId w:val="73"/>
              </w:numPr>
              <w:spacing w:after="80"/>
              <w:ind w:left="413" w:hanging="413"/>
            </w:pPr>
            <w:r>
              <w:t>Other Services</w:t>
            </w:r>
          </w:p>
        </w:tc>
      </w:tr>
      <w:tr w:rsidR="001B08B0" w:rsidRPr="00282770" w14:paraId="2DA82D4D" w14:textId="77777777" w:rsidTr="00463155">
        <w:trPr>
          <w:trHeight w:val="340"/>
        </w:trPr>
        <w:tc>
          <w:tcPr>
            <w:tcW w:w="1017" w:type="pct"/>
            <w:noWrap/>
          </w:tcPr>
          <w:p w14:paraId="698F1DF8" w14:textId="47110CC3" w:rsidR="00041C60" w:rsidRPr="00B55BD2" w:rsidRDefault="00041C60">
            <w:pPr>
              <w:spacing w:after="80"/>
              <w:rPr>
                <w:rFonts w:ascii="Segoe UI Semibold" w:eastAsia="Segoe UI" w:hAnsi="Segoe UI Semibold" w:cs="Segoe UI Semibold"/>
                <w:bCs/>
                <w:sz w:val="17"/>
                <w:szCs w:val="22"/>
              </w:rPr>
            </w:pPr>
            <w:r w:rsidRPr="00041C60">
              <w:t>Hydrogen cyanide</w:t>
            </w:r>
          </w:p>
        </w:tc>
        <w:tc>
          <w:tcPr>
            <w:tcW w:w="2283" w:type="pct"/>
          </w:tcPr>
          <w:p w14:paraId="6F222DAF" w14:textId="77777777" w:rsidR="00041C60" w:rsidRDefault="00041C60" w:rsidP="00A2768E">
            <w:pPr>
              <w:pStyle w:val="ListParagraph"/>
              <w:numPr>
                <w:ilvl w:val="0"/>
                <w:numId w:val="73"/>
              </w:numPr>
              <w:spacing w:after="80"/>
              <w:ind w:left="413" w:hanging="413"/>
            </w:pPr>
            <w:r>
              <w:t xml:space="preserve">Input to extract gold and silver from ore, and electroplating applications. </w:t>
            </w:r>
          </w:p>
          <w:p w14:paraId="0D3F7D0D" w14:textId="77777777" w:rsidR="00041C60" w:rsidRDefault="00041C60" w:rsidP="00A2768E">
            <w:pPr>
              <w:pStyle w:val="ListParagraph"/>
              <w:numPr>
                <w:ilvl w:val="0"/>
                <w:numId w:val="73"/>
              </w:numPr>
              <w:spacing w:after="80"/>
              <w:ind w:left="413" w:hanging="413"/>
            </w:pPr>
            <w:r>
              <w:t xml:space="preserve">Component in the manufacturing of plastics and nitrites. </w:t>
            </w:r>
          </w:p>
          <w:p w14:paraId="57AD138B" w14:textId="77777777" w:rsidR="00041C60" w:rsidRDefault="00041C60" w:rsidP="00A2768E">
            <w:pPr>
              <w:pStyle w:val="ListParagraph"/>
              <w:numPr>
                <w:ilvl w:val="0"/>
                <w:numId w:val="73"/>
              </w:numPr>
              <w:spacing w:after="80"/>
              <w:ind w:left="413" w:hanging="413"/>
            </w:pPr>
            <w:r>
              <w:t xml:space="preserve">Manufacturing of pest control (fumigation and extermination), where the chemical is a common ingredient. </w:t>
            </w:r>
          </w:p>
          <w:p w14:paraId="327D9ACC" w14:textId="25D3A1B3" w:rsidR="00041C60" w:rsidRDefault="00041C60" w:rsidP="00A2768E">
            <w:pPr>
              <w:pStyle w:val="ListParagraph"/>
              <w:numPr>
                <w:ilvl w:val="0"/>
                <w:numId w:val="73"/>
              </w:numPr>
              <w:spacing w:after="80"/>
              <w:ind w:left="413" w:hanging="413"/>
            </w:pPr>
            <w:r>
              <w:t>Released during fires and machinery overhaul activities.</w:t>
            </w:r>
          </w:p>
        </w:tc>
        <w:tc>
          <w:tcPr>
            <w:tcW w:w="1701" w:type="pct"/>
          </w:tcPr>
          <w:p w14:paraId="1F37029B" w14:textId="77777777" w:rsidR="00041C60" w:rsidRDefault="00041C60" w:rsidP="00A2768E">
            <w:pPr>
              <w:pStyle w:val="ListParagraph"/>
              <w:numPr>
                <w:ilvl w:val="0"/>
                <w:numId w:val="73"/>
              </w:numPr>
              <w:spacing w:after="80"/>
              <w:ind w:left="413" w:hanging="413"/>
            </w:pPr>
            <w:r>
              <w:t>Mining</w:t>
            </w:r>
          </w:p>
          <w:p w14:paraId="1C6BBD24" w14:textId="0BB3137D" w:rsidR="00041C60" w:rsidRDefault="00041C60" w:rsidP="00A2768E">
            <w:pPr>
              <w:pStyle w:val="ListParagraph"/>
              <w:numPr>
                <w:ilvl w:val="0"/>
                <w:numId w:val="73"/>
              </w:numPr>
              <w:spacing w:after="80"/>
              <w:ind w:left="413" w:hanging="413"/>
            </w:pPr>
            <w:r>
              <w:t>Manufacturing</w:t>
            </w:r>
          </w:p>
          <w:p w14:paraId="17A84693" w14:textId="467E0489" w:rsidR="00041C60" w:rsidRDefault="00041C60" w:rsidP="00A2768E">
            <w:pPr>
              <w:pStyle w:val="ListParagraph"/>
              <w:numPr>
                <w:ilvl w:val="0"/>
                <w:numId w:val="73"/>
              </w:numPr>
              <w:spacing w:after="80"/>
              <w:ind w:left="413" w:hanging="413"/>
            </w:pPr>
            <w:r>
              <w:t>Public Administration and Safety</w:t>
            </w:r>
          </w:p>
        </w:tc>
      </w:tr>
      <w:tr w:rsidR="00041C60" w:rsidRPr="00282770" w14:paraId="28E7AF40" w14:textId="77777777" w:rsidTr="00463155">
        <w:trPr>
          <w:trHeight w:val="340"/>
        </w:trPr>
        <w:tc>
          <w:tcPr>
            <w:tcW w:w="1017" w:type="pct"/>
            <w:noWrap/>
          </w:tcPr>
          <w:p w14:paraId="3022F831" w14:textId="5D90D57E" w:rsidR="00041C60" w:rsidRPr="00041C60" w:rsidRDefault="00041C60">
            <w:pPr>
              <w:spacing w:after="80"/>
            </w:pPr>
            <w:r w:rsidRPr="00041C60">
              <w:t xml:space="preserve">Hydrogen </w:t>
            </w:r>
            <w:r w:rsidR="05ACBFC6">
              <w:t>sul</w:t>
            </w:r>
            <w:r w:rsidR="006D24CD">
              <w:t>fi</w:t>
            </w:r>
            <w:r w:rsidR="05ACBFC6">
              <w:t>de</w:t>
            </w:r>
          </w:p>
        </w:tc>
        <w:tc>
          <w:tcPr>
            <w:tcW w:w="2283" w:type="pct"/>
          </w:tcPr>
          <w:p w14:paraId="7C22D617" w14:textId="77777777" w:rsidR="00041C60" w:rsidRDefault="00041C60" w:rsidP="00A2768E">
            <w:pPr>
              <w:pStyle w:val="ListParagraph"/>
              <w:numPr>
                <w:ilvl w:val="0"/>
                <w:numId w:val="73"/>
              </w:numPr>
              <w:spacing w:after="80"/>
              <w:ind w:left="413" w:hanging="413"/>
            </w:pPr>
            <w:r>
              <w:t xml:space="preserve">Input to petroleum industry, particularly during refining and processing. </w:t>
            </w:r>
          </w:p>
          <w:p w14:paraId="5F7C2B50" w14:textId="77777777" w:rsidR="00041C60" w:rsidRDefault="00041C60" w:rsidP="00A2768E">
            <w:pPr>
              <w:pStyle w:val="ListParagraph"/>
              <w:numPr>
                <w:ilvl w:val="0"/>
                <w:numId w:val="73"/>
              </w:numPr>
              <w:spacing w:after="80"/>
              <w:ind w:left="413" w:hanging="413"/>
            </w:pPr>
            <w:r>
              <w:t>Manufacturing of dyes, fertilisers and pharmaceuticals, as the chemical is a frequent ingredient</w:t>
            </w:r>
          </w:p>
          <w:p w14:paraId="399678C0" w14:textId="77777777" w:rsidR="00041C60" w:rsidRDefault="00041C60" w:rsidP="00A2768E">
            <w:pPr>
              <w:pStyle w:val="ListParagraph"/>
              <w:numPr>
                <w:ilvl w:val="0"/>
                <w:numId w:val="73"/>
              </w:numPr>
              <w:spacing w:after="80"/>
              <w:ind w:left="413" w:hanging="413"/>
            </w:pPr>
            <w:r>
              <w:t xml:space="preserve">Byproduct from resources and mining sector </w:t>
            </w:r>
          </w:p>
          <w:p w14:paraId="5CA32BAD" w14:textId="77777777" w:rsidR="00041C60" w:rsidRDefault="00041C60" w:rsidP="00A2768E">
            <w:pPr>
              <w:pStyle w:val="ListParagraph"/>
              <w:numPr>
                <w:ilvl w:val="0"/>
                <w:numId w:val="73"/>
              </w:numPr>
              <w:spacing w:after="80"/>
              <w:ind w:left="413" w:hanging="413"/>
            </w:pPr>
            <w:r>
              <w:t xml:space="preserve">Byproduct from sewerage treatment. </w:t>
            </w:r>
          </w:p>
          <w:p w14:paraId="7ACF6216" w14:textId="77777777" w:rsidR="00041C60" w:rsidRDefault="00041C60" w:rsidP="00A2768E">
            <w:pPr>
              <w:pStyle w:val="ListParagraph"/>
              <w:numPr>
                <w:ilvl w:val="0"/>
                <w:numId w:val="73"/>
              </w:numPr>
              <w:spacing w:after="80"/>
              <w:ind w:left="413" w:hanging="413"/>
            </w:pPr>
            <w:r>
              <w:t xml:space="preserve">Byproduct from the manufacturing of pulp and paper products. </w:t>
            </w:r>
          </w:p>
          <w:p w14:paraId="48982B12" w14:textId="00F2E8D2" w:rsidR="00041C60" w:rsidRDefault="00041C60" w:rsidP="00A2768E">
            <w:pPr>
              <w:pStyle w:val="ListParagraph"/>
              <w:numPr>
                <w:ilvl w:val="0"/>
                <w:numId w:val="73"/>
              </w:numPr>
              <w:spacing w:after="80"/>
              <w:ind w:left="413" w:hanging="413"/>
            </w:pPr>
            <w:r>
              <w:t>Civil and infrastructure work, including drilling of extraction bores and excavation.</w:t>
            </w:r>
          </w:p>
        </w:tc>
        <w:tc>
          <w:tcPr>
            <w:tcW w:w="1701" w:type="pct"/>
          </w:tcPr>
          <w:p w14:paraId="72D70D96" w14:textId="77777777" w:rsidR="00041C60" w:rsidRDefault="00041C60" w:rsidP="00A2768E">
            <w:pPr>
              <w:pStyle w:val="ListParagraph"/>
              <w:numPr>
                <w:ilvl w:val="0"/>
                <w:numId w:val="73"/>
              </w:numPr>
              <w:spacing w:after="80"/>
              <w:ind w:left="413" w:hanging="413"/>
            </w:pPr>
            <w:r>
              <w:t>Mining</w:t>
            </w:r>
          </w:p>
          <w:p w14:paraId="3F3133B2" w14:textId="3491327C" w:rsidR="00041C60" w:rsidRDefault="00041C60" w:rsidP="00A2768E">
            <w:pPr>
              <w:pStyle w:val="ListParagraph"/>
              <w:numPr>
                <w:ilvl w:val="0"/>
                <w:numId w:val="73"/>
              </w:numPr>
              <w:spacing w:after="80"/>
              <w:ind w:left="413" w:hanging="413"/>
            </w:pPr>
            <w:r>
              <w:t>Manufacturing</w:t>
            </w:r>
          </w:p>
          <w:p w14:paraId="5D990569" w14:textId="22067B2C" w:rsidR="00041C60" w:rsidRDefault="00041C60" w:rsidP="00A2768E">
            <w:pPr>
              <w:pStyle w:val="ListParagraph"/>
              <w:numPr>
                <w:ilvl w:val="0"/>
                <w:numId w:val="73"/>
              </w:numPr>
              <w:spacing w:after="80"/>
              <w:ind w:left="413" w:hanging="413"/>
            </w:pPr>
            <w:r>
              <w:t>Electricity, Gas, Water and Waste Services</w:t>
            </w:r>
          </w:p>
          <w:p w14:paraId="10B91F05" w14:textId="69EA329E" w:rsidR="00041C60" w:rsidRDefault="00041C60" w:rsidP="00A2768E">
            <w:pPr>
              <w:pStyle w:val="ListParagraph"/>
              <w:numPr>
                <w:ilvl w:val="0"/>
                <w:numId w:val="73"/>
              </w:numPr>
              <w:spacing w:after="80"/>
              <w:ind w:left="413" w:hanging="413"/>
            </w:pPr>
            <w:r>
              <w:t>Construction</w:t>
            </w:r>
          </w:p>
        </w:tc>
      </w:tr>
      <w:tr w:rsidR="001B08B0" w:rsidRPr="00282770" w14:paraId="4E3055B3" w14:textId="77777777" w:rsidTr="00463155">
        <w:trPr>
          <w:trHeight w:val="340"/>
        </w:trPr>
        <w:tc>
          <w:tcPr>
            <w:tcW w:w="1017" w:type="pct"/>
            <w:noWrap/>
          </w:tcPr>
          <w:p w14:paraId="795282D9" w14:textId="16CA3B59" w:rsidR="00041C60" w:rsidRPr="00041C60" w:rsidRDefault="00041C60">
            <w:pPr>
              <w:spacing w:after="80"/>
            </w:pPr>
            <w:r w:rsidRPr="00041C60">
              <w:t>Nitrogen dioxide</w:t>
            </w:r>
          </w:p>
        </w:tc>
        <w:tc>
          <w:tcPr>
            <w:tcW w:w="2283" w:type="pct"/>
          </w:tcPr>
          <w:p w14:paraId="2516782B" w14:textId="77777777" w:rsidR="00041C60" w:rsidRPr="00041C60" w:rsidRDefault="00041C60" w:rsidP="00A2768E">
            <w:pPr>
              <w:pStyle w:val="ListParagraph"/>
              <w:numPr>
                <w:ilvl w:val="0"/>
                <w:numId w:val="73"/>
              </w:numPr>
              <w:spacing w:after="80"/>
              <w:ind w:left="413" w:hanging="413"/>
            </w:pPr>
            <w:r w:rsidRPr="00041C60">
              <w:t xml:space="preserve">Emitted by chemical manufacturing, welding, agriculture, mining and any industry and activity that burns fossil fuels. </w:t>
            </w:r>
          </w:p>
          <w:p w14:paraId="6A0CD7FE" w14:textId="77777777" w:rsidR="00041C60" w:rsidRPr="00041C60" w:rsidRDefault="00041C60" w:rsidP="00A2768E">
            <w:pPr>
              <w:pStyle w:val="ListParagraph"/>
              <w:numPr>
                <w:ilvl w:val="0"/>
                <w:numId w:val="73"/>
              </w:numPr>
              <w:spacing w:after="80"/>
              <w:ind w:left="413" w:hanging="413"/>
            </w:pPr>
            <w:r w:rsidRPr="00041C60">
              <w:t xml:space="preserve">Emission from diesel engines, gas stoves and un-flued gas heaters. </w:t>
            </w:r>
          </w:p>
          <w:p w14:paraId="6D72C088" w14:textId="4D46782B" w:rsidR="00041C60" w:rsidRPr="00041C60" w:rsidRDefault="00041C60" w:rsidP="00A2768E">
            <w:pPr>
              <w:pStyle w:val="ListParagraph"/>
              <w:numPr>
                <w:ilvl w:val="0"/>
                <w:numId w:val="73"/>
              </w:numPr>
              <w:spacing w:after="80"/>
              <w:ind w:left="413" w:hanging="413"/>
            </w:pPr>
            <w:r w:rsidRPr="00041C60">
              <w:t>Released through smoke emissions generated by fires.</w:t>
            </w:r>
          </w:p>
        </w:tc>
        <w:tc>
          <w:tcPr>
            <w:tcW w:w="1701" w:type="pct"/>
          </w:tcPr>
          <w:p w14:paraId="666964D7" w14:textId="77777777" w:rsidR="00041C60" w:rsidRPr="00041C60" w:rsidRDefault="00041C60" w:rsidP="00A2768E">
            <w:pPr>
              <w:pStyle w:val="ListParagraph"/>
              <w:numPr>
                <w:ilvl w:val="0"/>
                <w:numId w:val="73"/>
              </w:numPr>
              <w:spacing w:after="80"/>
              <w:ind w:left="413" w:hanging="413"/>
            </w:pPr>
            <w:r w:rsidRPr="00041C60">
              <w:t>Agriculture</w:t>
            </w:r>
          </w:p>
          <w:p w14:paraId="744E7467" w14:textId="2688AE62" w:rsidR="00041C60" w:rsidRPr="00041C60" w:rsidRDefault="00041C60" w:rsidP="00A2768E">
            <w:pPr>
              <w:pStyle w:val="ListParagraph"/>
              <w:numPr>
                <w:ilvl w:val="0"/>
                <w:numId w:val="73"/>
              </w:numPr>
              <w:spacing w:after="80"/>
              <w:ind w:left="413" w:hanging="413"/>
            </w:pPr>
            <w:r w:rsidRPr="00041C60">
              <w:t>Mining</w:t>
            </w:r>
          </w:p>
          <w:p w14:paraId="00D48DA1" w14:textId="4CD95200" w:rsidR="00041C60" w:rsidRPr="00041C60" w:rsidRDefault="00041C60" w:rsidP="00A2768E">
            <w:pPr>
              <w:pStyle w:val="ListParagraph"/>
              <w:numPr>
                <w:ilvl w:val="0"/>
                <w:numId w:val="73"/>
              </w:numPr>
              <w:spacing w:after="80"/>
              <w:ind w:left="413" w:hanging="413"/>
            </w:pPr>
            <w:r w:rsidRPr="00041C60">
              <w:t>Manufacturing</w:t>
            </w:r>
          </w:p>
          <w:p w14:paraId="16F7A674" w14:textId="77777777" w:rsidR="00041C60" w:rsidRDefault="00041C60" w:rsidP="00A2768E">
            <w:pPr>
              <w:pStyle w:val="ListParagraph"/>
              <w:numPr>
                <w:ilvl w:val="0"/>
                <w:numId w:val="73"/>
              </w:numPr>
              <w:spacing w:after="80"/>
              <w:ind w:left="413" w:hanging="413"/>
            </w:pPr>
            <w:r w:rsidRPr="00041C60">
              <w:t>Electricity, Gas, Water and Waste Services</w:t>
            </w:r>
          </w:p>
          <w:p w14:paraId="1C1599E4" w14:textId="7B573116" w:rsidR="00041C60" w:rsidRPr="00041C60" w:rsidRDefault="00041C60" w:rsidP="00A2768E">
            <w:pPr>
              <w:pStyle w:val="ListParagraph"/>
              <w:numPr>
                <w:ilvl w:val="0"/>
                <w:numId w:val="73"/>
              </w:numPr>
              <w:spacing w:after="80"/>
              <w:ind w:left="413" w:hanging="413"/>
            </w:pPr>
            <w:r w:rsidRPr="00041C60">
              <w:t>Transport, Postal and Warehousing</w:t>
            </w:r>
          </w:p>
          <w:p w14:paraId="66510B6E" w14:textId="5353099B" w:rsidR="00041C60" w:rsidRPr="00041C60" w:rsidRDefault="00041C60" w:rsidP="00A2768E">
            <w:pPr>
              <w:pStyle w:val="ListParagraph"/>
              <w:numPr>
                <w:ilvl w:val="0"/>
                <w:numId w:val="73"/>
              </w:numPr>
              <w:spacing w:after="80"/>
              <w:ind w:left="413" w:hanging="413"/>
            </w:pPr>
            <w:r w:rsidRPr="00041C60">
              <w:t>Public Administration and Safety</w:t>
            </w:r>
          </w:p>
        </w:tc>
      </w:tr>
      <w:tr w:rsidR="00041C60" w:rsidRPr="00282770" w14:paraId="48C466FC" w14:textId="77777777" w:rsidTr="00463155">
        <w:trPr>
          <w:cantSplit/>
          <w:trHeight w:val="340"/>
        </w:trPr>
        <w:tc>
          <w:tcPr>
            <w:tcW w:w="1017" w:type="pct"/>
            <w:noWrap/>
          </w:tcPr>
          <w:p w14:paraId="05AE0A23" w14:textId="4F3FA907" w:rsidR="00041C60" w:rsidRPr="00041C60" w:rsidRDefault="00041C60">
            <w:pPr>
              <w:spacing w:after="80"/>
            </w:pPr>
            <w:r w:rsidRPr="00041C60">
              <w:lastRenderedPageBreak/>
              <w:t>RCS</w:t>
            </w:r>
          </w:p>
        </w:tc>
        <w:tc>
          <w:tcPr>
            <w:tcW w:w="2283" w:type="pct"/>
          </w:tcPr>
          <w:p w14:paraId="7F9F9ADB" w14:textId="77777777" w:rsidR="00041C60" w:rsidRDefault="00041C60" w:rsidP="00A2768E">
            <w:pPr>
              <w:pStyle w:val="ListParagraph"/>
              <w:numPr>
                <w:ilvl w:val="0"/>
                <w:numId w:val="73"/>
              </w:numPr>
              <w:spacing w:after="80"/>
              <w:ind w:left="413" w:hanging="413"/>
            </w:pPr>
            <w:r>
              <w:t>Common component of construction materials, including mortar, stone, brick, concrete, glass and ceramic products (including dental prosthesis).</w:t>
            </w:r>
          </w:p>
          <w:p w14:paraId="2904B0F5" w14:textId="77777777" w:rsidR="00041C60" w:rsidRDefault="00041C60" w:rsidP="00A2768E">
            <w:pPr>
              <w:pStyle w:val="ListParagraph"/>
              <w:numPr>
                <w:ilvl w:val="0"/>
                <w:numId w:val="73"/>
              </w:numPr>
              <w:spacing w:after="80"/>
              <w:ind w:left="413" w:hanging="413"/>
            </w:pPr>
            <w:r>
              <w:t>Generated during cutting, grinding and polishing in engineered stone benchtop fabrication and natural stone (sandstone) processing.</w:t>
            </w:r>
          </w:p>
          <w:p w14:paraId="340561F9" w14:textId="77777777" w:rsidR="00041C60" w:rsidRDefault="00041C60" w:rsidP="00A2768E">
            <w:pPr>
              <w:pStyle w:val="ListParagraph"/>
              <w:numPr>
                <w:ilvl w:val="0"/>
                <w:numId w:val="73"/>
              </w:numPr>
              <w:spacing w:after="80"/>
              <w:ind w:left="413" w:hanging="413"/>
            </w:pPr>
            <w:r>
              <w:t xml:space="preserve">Component of industrial sand used in foundry work and hydraulic fracturing (fracking) of gas and oil wells. </w:t>
            </w:r>
          </w:p>
          <w:p w14:paraId="4D8C656C" w14:textId="77777777" w:rsidR="00041C60" w:rsidRDefault="00041C60" w:rsidP="00A2768E">
            <w:pPr>
              <w:pStyle w:val="ListParagraph"/>
              <w:numPr>
                <w:ilvl w:val="0"/>
                <w:numId w:val="73"/>
              </w:numPr>
              <w:spacing w:after="80"/>
              <w:ind w:left="413" w:hanging="413"/>
            </w:pPr>
            <w:r>
              <w:t>Generated through drilling, blasting and crushing rock in mining, exploration, quarrying and tunnelling operations.</w:t>
            </w:r>
          </w:p>
          <w:p w14:paraId="00C78E47" w14:textId="1E1BC384" w:rsidR="00041C60" w:rsidRDefault="00041C60" w:rsidP="00A2768E">
            <w:pPr>
              <w:pStyle w:val="ListParagraph"/>
              <w:numPr>
                <w:ilvl w:val="0"/>
                <w:numId w:val="73"/>
              </w:numPr>
              <w:spacing w:after="80"/>
              <w:ind w:left="413" w:hanging="413"/>
            </w:pPr>
            <w:r>
              <w:t>Generated through cutting concrete pipes, and handling dry sludge or dust in water facilities.</w:t>
            </w:r>
          </w:p>
        </w:tc>
        <w:tc>
          <w:tcPr>
            <w:tcW w:w="1701" w:type="pct"/>
          </w:tcPr>
          <w:p w14:paraId="15373B64" w14:textId="77777777" w:rsidR="00041C60" w:rsidRDefault="00041C60" w:rsidP="00A2768E">
            <w:pPr>
              <w:pStyle w:val="ListParagraph"/>
              <w:numPr>
                <w:ilvl w:val="0"/>
                <w:numId w:val="73"/>
              </w:numPr>
              <w:spacing w:after="80"/>
              <w:ind w:left="413" w:hanging="413"/>
            </w:pPr>
            <w:r>
              <w:t>Mining</w:t>
            </w:r>
          </w:p>
          <w:p w14:paraId="02EE172A" w14:textId="46C2B549" w:rsidR="00041C60" w:rsidRDefault="00041C60" w:rsidP="00A2768E">
            <w:pPr>
              <w:pStyle w:val="ListParagraph"/>
              <w:numPr>
                <w:ilvl w:val="0"/>
                <w:numId w:val="73"/>
              </w:numPr>
              <w:spacing w:after="80"/>
              <w:ind w:left="413" w:hanging="413"/>
            </w:pPr>
            <w:r>
              <w:t>Manufacturing</w:t>
            </w:r>
          </w:p>
          <w:p w14:paraId="02FB63B4" w14:textId="1079193D" w:rsidR="00041C60" w:rsidRDefault="00041C60" w:rsidP="00A2768E">
            <w:pPr>
              <w:pStyle w:val="ListParagraph"/>
              <w:numPr>
                <w:ilvl w:val="0"/>
                <w:numId w:val="73"/>
              </w:numPr>
              <w:spacing w:after="80"/>
              <w:ind w:left="413" w:hanging="413"/>
            </w:pPr>
            <w:r>
              <w:t>Electricity, Gas, Water and Waste Services</w:t>
            </w:r>
          </w:p>
          <w:p w14:paraId="02A9D7B2" w14:textId="3FC7AA47" w:rsidR="00041C60" w:rsidRDefault="00041C60" w:rsidP="00A2768E">
            <w:pPr>
              <w:pStyle w:val="ListParagraph"/>
              <w:numPr>
                <w:ilvl w:val="0"/>
                <w:numId w:val="73"/>
              </w:numPr>
              <w:spacing w:after="80"/>
              <w:ind w:left="413" w:hanging="413"/>
            </w:pPr>
            <w:r>
              <w:t>Construction</w:t>
            </w:r>
          </w:p>
        </w:tc>
      </w:tr>
      <w:tr w:rsidR="001B08B0" w:rsidRPr="00282770" w14:paraId="36F3D91C" w14:textId="77777777" w:rsidTr="00463155">
        <w:trPr>
          <w:trHeight w:val="340"/>
        </w:trPr>
        <w:tc>
          <w:tcPr>
            <w:tcW w:w="1017" w:type="pct"/>
            <w:noWrap/>
          </w:tcPr>
          <w:p w14:paraId="442590AB" w14:textId="33B79478" w:rsidR="00041C60" w:rsidRPr="00B55BD2" w:rsidRDefault="00041C60">
            <w:pPr>
              <w:spacing w:after="80"/>
              <w:rPr>
                <w:rFonts w:ascii="Segoe UI Semibold" w:eastAsia="Segoe UI" w:hAnsi="Segoe UI Semibold" w:cs="Segoe UI Semibold"/>
                <w:bCs/>
                <w:sz w:val="17"/>
                <w:szCs w:val="22"/>
              </w:rPr>
            </w:pPr>
            <w:r w:rsidRPr="00AE2014">
              <w:t>Titanium dioxide</w:t>
            </w:r>
          </w:p>
        </w:tc>
        <w:tc>
          <w:tcPr>
            <w:tcW w:w="2283" w:type="pct"/>
          </w:tcPr>
          <w:p w14:paraId="1549A9F2" w14:textId="77777777" w:rsidR="00041C60" w:rsidRDefault="00041C60" w:rsidP="00A2768E">
            <w:pPr>
              <w:pStyle w:val="ListParagraph"/>
              <w:numPr>
                <w:ilvl w:val="0"/>
                <w:numId w:val="73"/>
              </w:numPr>
              <w:spacing w:after="80"/>
              <w:ind w:left="413" w:hanging="413"/>
            </w:pPr>
            <w:r>
              <w:t>Manufacturing of paints, varnishes, lacquers, paper, ink, where the chemical is used as a pigment and brightener.</w:t>
            </w:r>
          </w:p>
          <w:p w14:paraId="460975F1" w14:textId="77777777" w:rsidR="00041C60" w:rsidRDefault="00041C60" w:rsidP="00A2768E">
            <w:pPr>
              <w:pStyle w:val="ListParagraph"/>
              <w:numPr>
                <w:ilvl w:val="0"/>
                <w:numId w:val="73"/>
              </w:numPr>
              <w:spacing w:after="80"/>
              <w:ind w:left="413" w:hanging="413"/>
            </w:pPr>
            <w:r>
              <w:t>Manufacturing of sunscreen and cosmetics, where the chemical is a common ingredient.</w:t>
            </w:r>
          </w:p>
          <w:p w14:paraId="73FE6DE6" w14:textId="77777777" w:rsidR="00041C60" w:rsidRDefault="00041C60" w:rsidP="00A2768E">
            <w:pPr>
              <w:pStyle w:val="ListParagraph"/>
              <w:numPr>
                <w:ilvl w:val="0"/>
                <w:numId w:val="73"/>
              </w:numPr>
              <w:spacing w:after="80"/>
              <w:ind w:left="413" w:hanging="413"/>
            </w:pPr>
            <w:r>
              <w:t>Manufacturing of medical surgical equipment including titanium pins and replacement joints.</w:t>
            </w:r>
          </w:p>
          <w:p w14:paraId="02CAF81C" w14:textId="77777777" w:rsidR="00041C60" w:rsidRDefault="00041C60" w:rsidP="00A2768E">
            <w:pPr>
              <w:pStyle w:val="ListParagraph"/>
              <w:numPr>
                <w:ilvl w:val="0"/>
                <w:numId w:val="73"/>
              </w:numPr>
              <w:spacing w:after="80"/>
              <w:ind w:left="413" w:hanging="413"/>
            </w:pPr>
            <w:r>
              <w:t>Manufacturing of wire coating for electrical components, other self-cleaning coatings, and PVC piping for water transfer.</w:t>
            </w:r>
          </w:p>
          <w:p w14:paraId="702BC743" w14:textId="3F9CFED9" w:rsidR="00041C60" w:rsidRDefault="00041C60" w:rsidP="00A2768E">
            <w:pPr>
              <w:pStyle w:val="ListParagraph"/>
              <w:numPr>
                <w:ilvl w:val="0"/>
                <w:numId w:val="73"/>
              </w:numPr>
              <w:spacing w:after="80"/>
              <w:ind w:left="413" w:hanging="413"/>
            </w:pPr>
            <w:r>
              <w:t>Catalyst properties at nanoscale grade.</w:t>
            </w:r>
          </w:p>
        </w:tc>
        <w:tc>
          <w:tcPr>
            <w:tcW w:w="1701" w:type="pct"/>
          </w:tcPr>
          <w:p w14:paraId="691C6879" w14:textId="77777777" w:rsidR="00041C60" w:rsidRDefault="00041C60" w:rsidP="00A2768E">
            <w:pPr>
              <w:pStyle w:val="ListParagraph"/>
              <w:numPr>
                <w:ilvl w:val="0"/>
                <w:numId w:val="73"/>
              </w:numPr>
              <w:spacing w:after="80"/>
              <w:ind w:left="413" w:hanging="413"/>
            </w:pPr>
            <w:r>
              <w:t>Mining</w:t>
            </w:r>
          </w:p>
          <w:p w14:paraId="01E0D03D" w14:textId="50F2471F" w:rsidR="00041C60" w:rsidRDefault="00041C60" w:rsidP="00A2768E">
            <w:pPr>
              <w:pStyle w:val="ListParagraph"/>
              <w:numPr>
                <w:ilvl w:val="0"/>
                <w:numId w:val="73"/>
              </w:numPr>
              <w:spacing w:after="80"/>
              <w:ind w:left="413" w:hanging="413"/>
            </w:pPr>
            <w:r>
              <w:t>Manufacturing</w:t>
            </w:r>
          </w:p>
          <w:p w14:paraId="28A16551" w14:textId="55ABD55B" w:rsidR="00041C60" w:rsidRDefault="00041C60" w:rsidP="00A2768E">
            <w:pPr>
              <w:pStyle w:val="ListParagraph"/>
              <w:numPr>
                <w:ilvl w:val="0"/>
                <w:numId w:val="73"/>
              </w:numPr>
              <w:spacing w:after="80"/>
              <w:ind w:left="413" w:hanging="413"/>
            </w:pPr>
            <w:r>
              <w:t>Electricity, Gas, Water and Waste Services</w:t>
            </w:r>
          </w:p>
          <w:p w14:paraId="5A8838B2" w14:textId="14EEB1EB" w:rsidR="00041C60" w:rsidRDefault="00041C60" w:rsidP="00A2768E">
            <w:pPr>
              <w:pStyle w:val="ListParagraph"/>
              <w:numPr>
                <w:ilvl w:val="0"/>
                <w:numId w:val="73"/>
              </w:numPr>
              <w:spacing w:after="80"/>
              <w:ind w:left="413" w:hanging="413"/>
            </w:pPr>
            <w:r>
              <w:t>Construction</w:t>
            </w:r>
          </w:p>
        </w:tc>
      </w:tr>
    </w:tbl>
    <w:p w14:paraId="12EBAA35" w14:textId="030DDFF1" w:rsidR="00496A18" w:rsidRDefault="006E2420" w:rsidP="00707ADD">
      <w:pPr>
        <w:pStyle w:val="SWAHeading2"/>
        <w:ind w:left="709"/>
        <w:rPr>
          <w:lang w:eastAsia="en-AU"/>
        </w:rPr>
      </w:pPr>
      <w:bookmarkStart w:id="17" w:name="_Toc219216858"/>
      <w:r>
        <w:rPr>
          <w:lang w:eastAsia="en-AU"/>
        </w:rPr>
        <w:t>Exposure to these chemicals can have severe and lifelong impacts on workers’ health</w:t>
      </w:r>
      <w:bookmarkEnd w:id="17"/>
      <w:r>
        <w:rPr>
          <w:lang w:eastAsia="en-AU"/>
        </w:rPr>
        <w:t xml:space="preserve"> </w:t>
      </w:r>
    </w:p>
    <w:p w14:paraId="0081B3EF" w14:textId="77777777" w:rsidR="00747042" w:rsidRDefault="0091184E" w:rsidP="00496A18">
      <w:pPr>
        <w:spacing w:after="200" w:line="240" w:lineRule="atLeast"/>
        <w:contextualSpacing w:val="0"/>
        <w:rPr>
          <w:rFonts w:eastAsia="Times New Roman"/>
          <w:lang w:eastAsia="en-AU"/>
        </w:rPr>
      </w:pPr>
      <w:r w:rsidRPr="0091184E">
        <w:rPr>
          <w:rFonts w:eastAsia="Times New Roman"/>
          <w:lang w:eastAsia="en-AU"/>
        </w:rPr>
        <w:t xml:space="preserve">The object of the model WHS Act is to ensure the health and safety of workers by protecting workers and other persons against harm to their health, safety and welfare through the elimination or minimisation of risks arising from work.  </w:t>
      </w:r>
    </w:p>
    <w:p w14:paraId="37AE8EF5" w14:textId="77E6CE43" w:rsidR="00496A18" w:rsidRDefault="00496A18" w:rsidP="00081D1A">
      <w:pPr>
        <w:spacing w:line="240" w:lineRule="atLeast"/>
        <w:contextualSpacing w:val="0"/>
        <w:rPr>
          <w:rFonts w:eastAsia="Times New Roman"/>
          <w:lang w:eastAsia="en-AU"/>
        </w:rPr>
      </w:pPr>
      <w:r>
        <w:rPr>
          <w:rFonts w:eastAsia="Times New Roman"/>
          <w:lang w:eastAsia="en-AU"/>
        </w:rPr>
        <w:t>A</w:t>
      </w:r>
      <w:r w:rsidRPr="003C475C">
        <w:rPr>
          <w:rFonts w:eastAsia="Times New Roman"/>
          <w:lang w:eastAsia="en-AU"/>
        </w:rPr>
        <w:t>dverse health effects</w:t>
      </w:r>
      <w:r>
        <w:rPr>
          <w:rFonts w:eastAsia="Times New Roman"/>
          <w:lang w:eastAsia="en-AU"/>
        </w:rPr>
        <w:t xml:space="preserve"> </w:t>
      </w:r>
      <w:r w:rsidR="006A1168" w:rsidRPr="5D199CDB">
        <w:rPr>
          <w:rFonts w:eastAsia="Times New Roman"/>
          <w:lang w:eastAsia="en-AU"/>
        </w:rPr>
        <w:t>in</w:t>
      </w:r>
      <w:r w:rsidR="006A1168">
        <w:rPr>
          <w:rFonts w:eastAsia="Times New Roman"/>
          <w:lang w:eastAsia="en-AU"/>
        </w:rPr>
        <w:t>c</w:t>
      </w:r>
      <w:r w:rsidR="006A1168" w:rsidRPr="5D199CDB">
        <w:rPr>
          <w:rFonts w:eastAsia="Times New Roman"/>
          <w:lang w:eastAsia="en-AU"/>
        </w:rPr>
        <w:t>luding</w:t>
      </w:r>
      <w:r w:rsidR="00D633EF">
        <w:rPr>
          <w:rFonts w:eastAsia="Times New Roman"/>
          <w:lang w:eastAsia="en-AU"/>
        </w:rPr>
        <w:t xml:space="preserve"> </w:t>
      </w:r>
      <w:r w:rsidRPr="003C475C">
        <w:rPr>
          <w:rFonts w:eastAsia="Times New Roman"/>
          <w:lang w:eastAsia="en-AU"/>
        </w:rPr>
        <w:t>occupational illnesses or diseases</w:t>
      </w:r>
      <w:r>
        <w:rPr>
          <w:rFonts w:eastAsia="Times New Roman"/>
          <w:lang w:eastAsia="en-AU"/>
        </w:rPr>
        <w:t xml:space="preserve"> are</w:t>
      </w:r>
      <w:r w:rsidR="00A86A5B">
        <w:rPr>
          <w:rFonts w:eastAsia="Times New Roman"/>
          <w:lang w:eastAsia="en-AU"/>
        </w:rPr>
        <w:t xml:space="preserve"> </w:t>
      </w:r>
      <w:r>
        <w:rPr>
          <w:rFonts w:eastAsia="Times New Roman"/>
          <w:lang w:eastAsia="en-AU"/>
        </w:rPr>
        <w:t xml:space="preserve">preventable by </w:t>
      </w:r>
      <w:r w:rsidRPr="003C475C">
        <w:rPr>
          <w:rFonts w:eastAsia="Times New Roman"/>
          <w:lang w:eastAsia="en-AU"/>
        </w:rPr>
        <w:t xml:space="preserve">limiting workers’ exposures to the </w:t>
      </w:r>
      <w:r>
        <w:rPr>
          <w:rFonts w:eastAsia="Times New Roman"/>
          <w:lang w:eastAsia="en-AU"/>
        </w:rPr>
        <w:t xml:space="preserve">agents that causes them, such as hazardous </w:t>
      </w:r>
      <w:r w:rsidRPr="003C475C">
        <w:rPr>
          <w:rFonts w:eastAsia="Times New Roman"/>
          <w:lang w:eastAsia="en-AU"/>
        </w:rPr>
        <w:t>chemicals</w:t>
      </w:r>
      <w:r>
        <w:rPr>
          <w:rFonts w:eastAsia="Times New Roman"/>
          <w:lang w:eastAsia="en-AU"/>
        </w:rPr>
        <w:t xml:space="preserve"> and airborne contaminants</w:t>
      </w:r>
      <w:r w:rsidRPr="003C475C">
        <w:rPr>
          <w:rFonts w:eastAsia="Times New Roman"/>
          <w:lang w:eastAsia="en-AU"/>
        </w:rPr>
        <w:t>.</w:t>
      </w:r>
    </w:p>
    <w:p w14:paraId="3EAF318F" w14:textId="13A100AF" w:rsidR="00496A18" w:rsidRPr="009911EB" w:rsidRDefault="6942F504" w:rsidP="00081D1A">
      <w:pPr>
        <w:spacing w:line="240" w:lineRule="atLeast"/>
        <w:contextualSpacing w:val="0"/>
        <w:rPr>
          <w:rFonts w:eastAsia="Times New Roman"/>
          <w:lang w:eastAsia="en-AU"/>
        </w:rPr>
      </w:pPr>
      <w:r w:rsidRPr="5D199CDB">
        <w:rPr>
          <w:rFonts w:eastAsia="Times New Roman"/>
          <w:lang w:eastAsia="en-AU"/>
        </w:rPr>
        <w:t xml:space="preserve">Adverse health effects </w:t>
      </w:r>
      <w:r w:rsidR="00D97747">
        <w:rPr>
          <w:rFonts w:eastAsia="Times New Roman"/>
          <w:lang w:eastAsia="en-AU"/>
        </w:rPr>
        <w:t>from exposure to airborne contaminants</w:t>
      </w:r>
      <w:r w:rsidR="00496A18">
        <w:rPr>
          <w:rFonts w:eastAsia="Times New Roman"/>
          <w:lang w:eastAsia="en-AU"/>
        </w:rPr>
        <w:t xml:space="preserve"> includes </w:t>
      </w:r>
      <w:r w:rsidR="00496A18" w:rsidRPr="009911EB">
        <w:rPr>
          <w:rFonts w:eastAsia="Times New Roman"/>
          <w:lang w:eastAsia="en-AU"/>
        </w:rPr>
        <w:t>occupational illness or diseases like</w:t>
      </w:r>
      <w:r w:rsidR="008E7516">
        <w:rPr>
          <w:rFonts w:eastAsia="Times New Roman"/>
          <w:lang w:eastAsia="en-AU"/>
        </w:rPr>
        <w:t xml:space="preserve"> (outlined further below in </w:t>
      </w:r>
      <w:r w:rsidR="001D063C">
        <w:rPr>
          <w:rFonts w:eastAsia="Times New Roman"/>
          <w:lang w:eastAsia="en-AU"/>
        </w:rPr>
        <w:fldChar w:fldCharType="begin"/>
      </w:r>
      <w:r w:rsidR="001D063C">
        <w:rPr>
          <w:rFonts w:eastAsia="Times New Roman"/>
          <w:lang w:eastAsia="en-AU"/>
        </w:rPr>
        <w:instrText xml:space="preserve"> REF _Ref199835096 \h </w:instrText>
      </w:r>
      <w:r w:rsidR="001D063C">
        <w:rPr>
          <w:rFonts w:eastAsia="Times New Roman"/>
          <w:lang w:eastAsia="en-AU"/>
        </w:rPr>
      </w:r>
      <w:r w:rsidR="001D063C">
        <w:rPr>
          <w:rFonts w:eastAsia="Times New Roman"/>
          <w:lang w:eastAsia="en-AU"/>
        </w:rPr>
        <w:fldChar w:fldCharType="separate"/>
      </w:r>
      <w:r w:rsidR="00A002F4">
        <w:t xml:space="preserve">Table </w:t>
      </w:r>
      <w:r w:rsidR="00A002F4">
        <w:rPr>
          <w:noProof/>
        </w:rPr>
        <w:t>2</w:t>
      </w:r>
      <w:r w:rsidR="001D063C">
        <w:rPr>
          <w:rFonts w:eastAsia="Times New Roman"/>
          <w:lang w:eastAsia="en-AU"/>
        </w:rPr>
        <w:fldChar w:fldCharType="end"/>
      </w:r>
      <w:r w:rsidR="008E7516">
        <w:rPr>
          <w:rFonts w:eastAsia="Times New Roman"/>
          <w:lang w:eastAsia="en-AU"/>
        </w:rPr>
        <w:t>)</w:t>
      </w:r>
      <w:r w:rsidR="00496A18" w:rsidRPr="009911EB">
        <w:rPr>
          <w:rFonts w:eastAsia="Times New Roman"/>
          <w:lang w:eastAsia="en-AU"/>
        </w:rPr>
        <w:t>:</w:t>
      </w:r>
    </w:p>
    <w:p w14:paraId="620D0BA5" w14:textId="5AF3AB91" w:rsidR="00496A18" w:rsidRPr="009911EB" w:rsidRDefault="00496A1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t xml:space="preserve">respiratory diseases </w:t>
      </w:r>
      <w:r w:rsidR="00701168">
        <w:rPr>
          <w:rFonts w:eastAsia="Times New Roman"/>
          <w:lang w:eastAsia="en-AU"/>
        </w:rPr>
        <w:t>including</w:t>
      </w:r>
      <w:r w:rsidRPr="009911EB">
        <w:rPr>
          <w:rFonts w:eastAsia="Times New Roman"/>
          <w:lang w:eastAsia="en-AU"/>
        </w:rPr>
        <w:t xml:space="preserve"> asthma, pneumoconiosis and silicosis</w:t>
      </w:r>
    </w:p>
    <w:p w14:paraId="2984AAD6" w14:textId="77777777" w:rsidR="00496A18" w:rsidRPr="009911EB" w:rsidRDefault="00496A1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t>cardiovascular diseases, and</w:t>
      </w:r>
    </w:p>
    <w:p w14:paraId="2009D325" w14:textId="5109B6A9" w:rsidR="004C2BE8" w:rsidRDefault="00496A18" w:rsidP="00B57E6C">
      <w:pPr>
        <w:numPr>
          <w:ilvl w:val="0"/>
          <w:numId w:val="49"/>
        </w:numPr>
        <w:spacing w:line="240" w:lineRule="atLeast"/>
        <w:ind w:left="714" w:hanging="357"/>
        <w:contextualSpacing w:val="0"/>
        <w:rPr>
          <w:rFonts w:eastAsia="Times New Roman"/>
          <w:lang w:eastAsia="en-AU"/>
        </w:rPr>
      </w:pPr>
      <w:r w:rsidRPr="009911EB">
        <w:rPr>
          <w:rFonts w:eastAsia="Times New Roman"/>
          <w:lang w:eastAsia="en-AU"/>
        </w:rPr>
        <w:lastRenderedPageBreak/>
        <w:t xml:space="preserve">cancers </w:t>
      </w:r>
      <w:r w:rsidR="00701168">
        <w:rPr>
          <w:rFonts w:eastAsia="Times New Roman"/>
          <w:lang w:eastAsia="en-AU"/>
        </w:rPr>
        <w:t>including</w:t>
      </w:r>
      <w:r w:rsidRPr="009911EB">
        <w:rPr>
          <w:rFonts w:eastAsia="Times New Roman"/>
          <w:lang w:eastAsia="en-AU"/>
        </w:rPr>
        <w:t xml:space="preserve"> mesothelioma, leukaemia and lymphoma.</w:t>
      </w:r>
    </w:p>
    <w:p w14:paraId="77BA0691" w14:textId="77777777" w:rsidR="00B3746B" w:rsidRPr="004C2BE8" w:rsidRDefault="004C2BE8" w:rsidP="00050123">
      <w:pPr>
        <w:spacing w:after="200" w:line="240" w:lineRule="atLeast"/>
        <w:contextualSpacing w:val="0"/>
        <w:rPr>
          <w:rFonts w:eastAsia="Times New Roman"/>
          <w:lang w:eastAsia="en-AU"/>
        </w:rPr>
      </w:pPr>
      <w:r>
        <w:rPr>
          <w:rFonts w:eastAsia="Times New Roman"/>
          <w:lang w:eastAsia="en-AU"/>
        </w:rPr>
        <w:t>Exposure to these chemicals can have lifelong</w:t>
      </w:r>
      <w:r w:rsidR="009327B4">
        <w:rPr>
          <w:rFonts w:eastAsia="Times New Roman"/>
          <w:lang w:eastAsia="en-AU"/>
        </w:rPr>
        <w:t>,</w:t>
      </w:r>
      <w:r>
        <w:rPr>
          <w:rFonts w:eastAsia="Times New Roman"/>
          <w:lang w:eastAsia="en-AU"/>
        </w:rPr>
        <w:t xml:space="preserve"> detrimental impacts on workers</w:t>
      </w:r>
      <w:r w:rsidR="00F216AE">
        <w:rPr>
          <w:rFonts w:eastAsia="Times New Roman"/>
          <w:lang w:eastAsia="en-AU"/>
        </w:rPr>
        <w:t>.</w:t>
      </w:r>
      <w:r w:rsidR="00C467DF" w:rsidDel="007211C5">
        <w:rPr>
          <w:rFonts w:eastAsia="Times New Roman"/>
          <w:lang w:eastAsia="en-AU"/>
        </w:rPr>
        <w:t xml:space="preserve"> </w:t>
      </w:r>
      <w:r w:rsidR="00C467DF">
        <w:rPr>
          <w:rFonts w:eastAsia="Times New Roman"/>
          <w:lang w:eastAsia="en-AU"/>
        </w:rPr>
        <w:t>For example</w:t>
      </w:r>
      <w:r w:rsidR="00F216AE">
        <w:rPr>
          <w:rFonts w:eastAsia="Times New Roman"/>
          <w:lang w:eastAsia="en-AU"/>
        </w:rPr>
        <w:t xml:space="preserve">, </w:t>
      </w:r>
      <w:r w:rsidR="008F5FB2">
        <w:rPr>
          <w:rFonts w:eastAsia="Times New Roman"/>
          <w:lang w:eastAsia="en-AU"/>
        </w:rPr>
        <w:t xml:space="preserve">exposure can cause </w:t>
      </w:r>
      <w:r w:rsidR="00FD62F2">
        <w:rPr>
          <w:rFonts w:eastAsia="Times New Roman"/>
          <w:lang w:eastAsia="en-AU"/>
        </w:rPr>
        <w:t xml:space="preserve">irritation </w:t>
      </w:r>
      <w:r w:rsidR="008F5FB2">
        <w:rPr>
          <w:rFonts w:eastAsia="Times New Roman"/>
          <w:lang w:eastAsia="en-AU"/>
        </w:rPr>
        <w:t>of the respiratory tract</w:t>
      </w:r>
      <w:r w:rsidR="00F1140D">
        <w:rPr>
          <w:rFonts w:eastAsia="Times New Roman"/>
          <w:lang w:eastAsia="en-AU"/>
        </w:rPr>
        <w:t>,</w:t>
      </w:r>
      <w:r w:rsidR="003B5837">
        <w:rPr>
          <w:rFonts w:eastAsia="Times New Roman"/>
          <w:lang w:eastAsia="en-AU"/>
        </w:rPr>
        <w:t xml:space="preserve"> that reduces work capacity and quality of life in the short-term for the worker, </w:t>
      </w:r>
      <w:r w:rsidR="00BE62E7">
        <w:rPr>
          <w:rFonts w:eastAsia="Times New Roman"/>
          <w:lang w:eastAsia="en-AU"/>
        </w:rPr>
        <w:t>and long-term</w:t>
      </w:r>
      <w:r w:rsidR="000677B6">
        <w:rPr>
          <w:rFonts w:eastAsia="Times New Roman"/>
          <w:lang w:eastAsia="en-AU"/>
        </w:rPr>
        <w:t xml:space="preserve"> can</w:t>
      </w:r>
      <w:r w:rsidR="00AA695C">
        <w:rPr>
          <w:rFonts w:eastAsia="Times New Roman"/>
          <w:lang w:eastAsia="en-AU"/>
        </w:rPr>
        <w:t xml:space="preserve"> </w:t>
      </w:r>
      <w:r w:rsidR="003E4BF8">
        <w:rPr>
          <w:rFonts w:eastAsia="Times New Roman"/>
          <w:lang w:eastAsia="en-AU"/>
        </w:rPr>
        <w:t xml:space="preserve">cause lung </w:t>
      </w:r>
      <w:r w:rsidR="007211C5">
        <w:rPr>
          <w:rFonts w:eastAsia="Times New Roman"/>
          <w:lang w:eastAsia="en-AU"/>
        </w:rPr>
        <w:t xml:space="preserve">diseases such as </w:t>
      </w:r>
      <w:r w:rsidR="00060359">
        <w:rPr>
          <w:rFonts w:eastAsia="Times New Roman"/>
          <w:lang w:eastAsia="en-AU"/>
        </w:rPr>
        <w:t>cancer</w:t>
      </w:r>
      <w:r w:rsidR="007211C5">
        <w:rPr>
          <w:rFonts w:eastAsia="Times New Roman"/>
          <w:lang w:eastAsia="en-AU"/>
        </w:rPr>
        <w:t>,</w:t>
      </w:r>
      <w:r w:rsidR="003E4BF8">
        <w:rPr>
          <w:rFonts w:eastAsia="Times New Roman"/>
          <w:lang w:eastAsia="en-AU"/>
        </w:rPr>
        <w:t xml:space="preserve"> and</w:t>
      </w:r>
      <w:r w:rsidR="008F5FB2">
        <w:rPr>
          <w:rFonts w:eastAsia="Times New Roman"/>
          <w:lang w:eastAsia="en-AU"/>
        </w:rPr>
        <w:t xml:space="preserve"> </w:t>
      </w:r>
      <w:r w:rsidR="00EF72C4">
        <w:rPr>
          <w:rFonts w:eastAsia="Times New Roman"/>
          <w:lang w:eastAsia="en-AU"/>
        </w:rPr>
        <w:t xml:space="preserve">ultimately premature </w:t>
      </w:r>
      <w:r w:rsidR="000677B6">
        <w:rPr>
          <w:rFonts w:eastAsia="Times New Roman"/>
          <w:lang w:eastAsia="en-AU"/>
        </w:rPr>
        <w:t>death</w:t>
      </w:r>
      <w:r w:rsidR="008F5FB2">
        <w:rPr>
          <w:rFonts w:eastAsia="Times New Roman"/>
          <w:lang w:eastAsia="en-AU"/>
        </w:rPr>
        <w:t xml:space="preserve"> of the</w:t>
      </w:r>
      <w:r w:rsidR="008F5FB2" w:rsidDel="003D40EF">
        <w:rPr>
          <w:rFonts w:eastAsia="Times New Roman"/>
          <w:lang w:eastAsia="en-AU"/>
        </w:rPr>
        <w:t xml:space="preserve"> </w:t>
      </w:r>
      <w:r w:rsidR="003D40EF">
        <w:rPr>
          <w:rFonts w:eastAsia="Times New Roman"/>
          <w:lang w:eastAsia="en-AU"/>
        </w:rPr>
        <w:t xml:space="preserve">exposed </w:t>
      </w:r>
      <w:r w:rsidR="008F5FB2">
        <w:rPr>
          <w:rFonts w:eastAsia="Times New Roman"/>
          <w:lang w:eastAsia="en-AU"/>
        </w:rPr>
        <w:t xml:space="preserve">worker. </w:t>
      </w:r>
    </w:p>
    <w:p w14:paraId="6C666377" w14:textId="62F3BDBA" w:rsidR="00EC5832" w:rsidRDefault="00EC5832" w:rsidP="00050123">
      <w:pPr>
        <w:spacing w:after="200" w:line="240" w:lineRule="atLeast"/>
        <w:contextualSpacing w:val="0"/>
        <w:rPr>
          <w:rFonts w:eastAsia="Times New Roman"/>
        </w:rPr>
      </w:pPr>
      <w:r w:rsidRPr="00EC5832">
        <w:rPr>
          <w:rFonts w:eastAsia="Times New Roman"/>
          <w:lang w:eastAsia="en-AU"/>
        </w:rPr>
        <w:t xml:space="preserve">Globally, the International Labour Organisation estimated over 1 billion workers </w:t>
      </w:r>
      <w:r w:rsidR="085B4F59" w:rsidRPr="3309C52B">
        <w:rPr>
          <w:rFonts w:eastAsia="Times New Roman"/>
          <w:lang w:eastAsia="en-AU"/>
        </w:rPr>
        <w:t xml:space="preserve">annually </w:t>
      </w:r>
      <w:r w:rsidRPr="00EC5832">
        <w:rPr>
          <w:rFonts w:eastAsia="Times New Roman"/>
          <w:lang w:eastAsia="en-AU"/>
        </w:rPr>
        <w:t>are exposed</w:t>
      </w:r>
      <w:r w:rsidRPr="00EC5832">
        <w:rPr>
          <w:rFonts w:eastAsia="Times New Roman"/>
        </w:rPr>
        <w:t xml:space="preserve"> to hazardous substances in their workplace, including pollutants, dusts, vapours and fumes. From these exposures, almost 1 million work-related deaths were attributed to workplace exposures to a hazardous substance (International Labour Organization, 2021). The ILO has</w:t>
      </w:r>
      <w:r w:rsidRPr="00EC5832" w:rsidDel="008721BF">
        <w:rPr>
          <w:rFonts w:eastAsia="Times New Roman"/>
        </w:rPr>
        <w:t xml:space="preserve"> </w:t>
      </w:r>
      <w:r w:rsidRPr="00EC5832">
        <w:rPr>
          <w:rFonts w:eastAsia="Times New Roman"/>
        </w:rPr>
        <w:t xml:space="preserve">estimated that </w:t>
      </w:r>
      <w:r w:rsidR="008721BF">
        <w:rPr>
          <w:rFonts w:eastAsia="Times New Roman"/>
        </w:rPr>
        <w:t xml:space="preserve">the </w:t>
      </w:r>
      <w:r w:rsidRPr="00EC5832">
        <w:rPr>
          <w:rFonts w:eastAsia="Times New Roman"/>
        </w:rPr>
        <w:t xml:space="preserve">majority (approximately 88.7%) of work-related deaths are caused by occupational diseases like circulatory diseases, cancers and chronic obstructive pulmonary disease (International Labour Organization, 2023). </w:t>
      </w:r>
    </w:p>
    <w:p w14:paraId="529A17A8" w14:textId="7A93C15F" w:rsidR="00713C83" w:rsidRPr="00EC5832" w:rsidRDefault="008B2425" w:rsidP="4F15B73D">
      <w:pPr>
        <w:keepNext/>
        <w:spacing w:after="200" w:line="240" w:lineRule="atLeast"/>
        <w:rPr>
          <w:rFonts w:eastAsia="Times New Roman"/>
        </w:rPr>
      </w:pPr>
      <w:r>
        <w:rPr>
          <w:rFonts w:eastAsia="Times New Roman"/>
        </w:rPr>
        <w:fldChar w:fldCharType="begin"/>
      </w:r>
      <w:r>
        <w:rPr>
          <w:rFonts w:eastAsia="Times New Roman"/>
        </w:rPr>
        <w:instrText xml:space="preserve"> REF _Ref199835096 \h </w:instrText>
      </w:r>
      <w:r>
        <w:rPr>
          <w:rFonts w:eastAsia="Times New Roman"/>
        </w:rPr>
      </w:r>
      <w:r>
        <w:rPr>
          <w:rFonts w:eastAsia="Times New Roman"/>
        </w:rPr>
        <w:fldChar w:fldCharType="separate"/>
      </w:r>
      <w:r w:rsidR="00A002F4">
        <w:t xml:space="preserve">Table </w:t>
      </w:r>
      <w:r w:rsidR="00A002F4">
        <w:rPr>
          <w:noProof/>
        </w:rPr>
        <w:t>2</w:t>
      </w:r>
      <w:r>
        <w:rPr>
          <w:rFonts w:eastAsia="Times New Roman"/>
        </w:rPr>
        <w:fldChar w:fldCharType="end"/>
      </w:r>
      <w:r>
        <w:rPr>
          <w:rFonts w:eastAsia="Times New Roman"/>
        </w:rPr>
        <w:t xml:space="preserve"> </w:t>
      </w:r>
      <w:r w:rsidR="00713C83">
        <w:rPr>
          <w:rFonts w:eastAsia="Times New Roman"/>
        </w:rPr>
        <w:t>below summari</w:t>
      </w:r>
      <w:r w:rsidR="001E3046">
        <w:rPr>
          <w:rFonts w:eastAsia="Times New Roman"/>
        </w:rPr>
        <w:t>s</w:t>
      </w:r>
      <w:r w:rsidR="00713C83">
        <w:rPr>
          <w:rFonts w:eastAsia="Times New Roman"/>
        </w:rPr>
        <w:t xml:space="preserve">es </w:t>
      </w:r>
      <w:r w:rsidR="007B3C9D">
        <w:rPr>
          <w:rFonts w:eastAsia="Times New Roman"/>
        </w:rPr>
        <w:t xml:space="preserve">a number of the </w:t>
      </w:r>
      <w:r w:rsidR="00D92A15" w:rsidRPr="00D92A15">
        <w:rPr>
          <w:rFonts w:eastAsia="Times New Roman"/>
        </w:rPr>
        <w:t xml:space="preserve">reported health impacts of exposure to each </w:t>
      </w:r>
      <w:r w:rsidR="00AA1A6C">
        <w:rPr>
          <w:rFonts w:eastAsia="Times New Roman"/>
        </w:rPr>
        <w:t xml:space="preserve">of the 9 </w:t>
      </w:r>
      <w:r w:rsidR="00D92A15" w:rsidRPr="00D92A15">
        <w:rPr>
          <w:rFonts w:eastAsia="Times New Roman"/>
        </w:rPr>
        <w:t>chemical</w:t>
      </w:r>
      <w:r w:rsidR="007B3C9D">
        <w:rPr>
          <w:rFonts w:eastAsia="Times New Roman"/>
        </w:rPr>
        <w:t xml:space="preserve">s considered </w:t>
      </w:r>
      <w:r w:rsidR="36428C7C">
        <w:rPr>
          <w:rFonts w:eastAsia="Times New Roman"/>
        </w:rPr>
        <w:t xml:space="preserve">in </w:t>
      </w:r>
      <w:r w:rsidR="007B3C9D">
        <w:rPr>
          <w:rFonts w:eastAsia="Times New Roman"/>
        </w:rPr>
        <w:t xml:space="preserve">this Decision RIS. </w:t>
      </w:r>
      <w:r w:rsidR="00373C29">
        <w:rPr>
          <w:rFonts w:eastAsia="Times New Roman"/>
        </w:rPr>
        <w:t>Section</w:t>
      </w:r>
      <w:r w:rsidR="51279D83">
        <w:rPr>
          <w:rFonts w:eastAsia="Times New Roman"/>
        </w:rPr>
        <w:t>s</w:t>
      </w:r>
      <w:r w:rsidR="00373C29">
        <w:rPr>
          <w:rFonts w:eastAsia="Times New Roman"/>
        </w:rPr>
        <w:t xml:space="preserve"> 9</w:t>
      </w:r>
      <w:r w:rsidR="001D063C">
        <w:rPr>
          <w:rFonts w:eastAsia="Times New Roman"/>
        </w:rPr>
        <w:t xml:space="preserve"> to </w:t>
      </w:r>
      <w:r w:rsidR="00CF2930">
        <w:rPr>
          <w:rFonts w:eastAsia="Times New Roman"/>
        </w:rPr>
        <w:t>17</w:t>
      </w:r>
      <w:r w:rsidR="00373C29">
        <w:rPr>
          <w:rFonts w:eastAsia="Times New Roman"/>
        </w:rPr>
        <w:t xml:space="preserve"> outlines the specific health impacts of each chemical. </w:t>
      </w:r>
      <w:r w:rsidR="00422299">
        <w:rPr>
          <w:rFonts w:eastAsia="Times New Roman"/>
        </w:rPr>
        <w:t>The existing WES provides</w:t>
      </w:r>
      <w:r w:rsidR="007C59B3">
        <w:rPr>
          <w:rFonts w:eastAsia="Times New Roman"/>
        </w:rPr>
        <w:t xml:space="preserve"> some protection for workers from adverse health impacts</w:t>
      </w:r>
      <w:r w:rsidR="00684AB6">
        <w:rPr>
          <w:rFonts w:eastAsia="Times New Roman"/>
        </w:rPr>
        <w:t xml:space="preserve"> from the 9 chemicals. However, the best available evidence indic</w:t>
      </w:r>
      <w:r w:rsidR="000F2317">
        <w:rPr>
          <w:rFonts w:eastAsia="Times New Roman"/>
        </w:rPr>
        <w:t>ates that the existing WES for the 9 chemicals does not provide workers with the optimum level of protection from adverse health effects</w:t>
      </w:r>
      <w:r w:rsidR="006E43CB">
        <w:rPr>
          <w:rFonts w:eastAsia="Times New Roman"/>
        </w:rPr>
        <w:t xml:space="preserve"> arising from exposure to these chemicals.</w:t>
      </w:r>
    </w:p>
    <w:p w14:paraId="5AE77ABB" w14:textId="09ECD0C4" w:rsidR="00005E53" w:rsidRDefault="00005E53" w:rsidP="00005E53">
      <w:pPr>
        <w:pStyle w:val="Caption"/>
      </w:pPr>
      <w:bookmarkStart w:id="18" w:name="_Ref199835096"/>
      <w:r>
        <w:t xml:space="preserve">Table </w:t>
      </w:r>
      <w:fldSimple w:instr=" SEQ Table \* ARABIC ">
        <w:r w:rsidR="00A002F4">
          <w:rPr>
            <w:noProof/>
          </w:rPr>
          <w:t>2</w:t>
        </w:r>
      </w:fldSimple>
      <w:bookmarkEnd w:id="18"/>
      <w:r>
        <w:t xml:space="preserve"> - </w:t>
      </w:r>
      <w:r w:rsidRPr="00F476E2">
        <w:t xml:space="preserve">Health impacts of the </w:t>
      </w:r>
      <w:r>
        <w:t>9</w:t>
      </w:r>
      <w:r w:rsidRPr="00F476E2">
        <w:t xml:space="preserve"> chemicals</w:t>
      </w:r>
    </w:p>
    <w:tbl>
      <w:tblPr>
        <w:tblStyle w:val="LightShading-Accent2"/>
        <w:tblW w:w="5407"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20" w:firstRow="1" w:lastRow="0" w:firstColumn="0" w:lastColumn="0" w:noHBand="0" w:noVBand="1"/>
        <w:tblDescription w:val="Alt text here describing what the data is illustrating"/>
      </w:tblPr>
      <w:tblGrid>
        <w:gridCol w:w="1891"/>
        <w:gridCol w:w="7885"/>
      </w:tblGrid>
      <w:tr w:rsidR="00D63874" w:rsidRPr="0016581D" w14:paraId="5FA0CAB1" w14:textId="77777777" w:rsidTr="00B64384">
        <w:trPr>
          <w:cnfStyle w:val="100000000000" w:firstRow="1" w:lastRow="0" w:firstColumn="0" w:lastColumn="0" w:oddVBand="0" w:evenVBand="0" w:oddHBand="0" w:evenHBand="0" w:firstRowFirstColumn="0" w:firstRowLastColumn="0" w:lastRowFirstColumn="0" w:lastRowLastColumn="0"/>
          <w:tblHeader/>
        </w:trPr>
        <w:tc>
          <w:tcPr>
            <w:tcW w:w="967" w:type="pct"/>
            <w:shd w:val="clear" w:color="auto" w:fill="4877E0" w:themeFill="accent1"/>
            <w:hideMark/>
          </w:tcPr>
          <w:p w14:paraId="07B5B83E" w14:textId="31ED7B73" w:rsidR="002C31C0" w:rsidRPr="0016581D" w:rsidRDefault="00C9419E">
            <w:pPr>
              <w:keepNext/>
              <w:keepLines/>
              <w:spacing w:after="80"/>
              <w:contextualSpacing w:val="0"/>
            </w:pPr>
            <w:r>
              <w:t>Chemical</w:t>
            </w:r>
          </w:p>
        </w:tc>
        <w:tc>
          <w:tcPr>
            <w:tcW w:w="4033" w:type="pct"/>
            <w:shd w:val="clear" w:color="auto" w:fill="4877E0" w:themeFill="accent1"/>
            <w:hideMark/>
          </w:tcPr>
          <w:p w14:paraId="6169E116" w14:textId="38AFF7CE" w:rsidR="002C31C0" w:rsidRPr="0016581D" w:rsidRDefault="00C9419E">
            <w:pPr>
              <w:keepNext/>
              <w:keepLines/>
              <w:spacing w:after="80"/>
              <w:contextualSpacing w:val="0"/>
            </w:pPr>
            <w:r>
              <w:t xml:space="preserve">Health impacts </w:t>
            </w:r>
          </w:p>
        </w:tc>
      </w:tr>
      <w:tr w:rsidR="00D63874" w:rsidRPr="00282770" w14:paraId="0308051C" w14:textId="77777777" w:rsidTr="00B64384">
        <w:trPr>
          <w:trHeight w:val="340"/>
        </w:trPr>
        <w:tc>
          <w:tcPr>
            <w:tcW w:w="967" w:type="pct"/>
            <w:noWrap/>
          </w:tcPr>
          <w:p w14:paraId="368CC79C" w14:textId="7D09B9EC" w:rsidR="00935B52" w:rsidRPr="00282770" w:rsidRDefault="00935B52" w:rsidP="001623A6">
            <w:pPr>
              <w:spacing w:after="80" w:line="240" w:lineRule="auto"/>
              <w:contextualSpacing w:val="0"/>
            </w:pPr>
            <w:r w:rsidRPr="00D301D2">
              <w:t>Benzene</w:t>
            </w:r>
          </w:p>
        </w:tc>
        <w:tc>
          <w:tcPr>
            <w:tcW w:w="4033" w:type="pct"/>
          </w:tcPr>
          <w:p w14:paraId="57BC4220" w14:textId="68735852" w:rsidR="008128E1"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Leukaemia</w:t>
            </w:r>
            <w:r w:rsidR="00964E6B" w:rsidRPr="003A2709">
              <w:rPr>
                <w:rFonts w:asciiTheme="minorHAnsi" w:hAnsiTheme="minorHAnsi" w:cstheme="minorHAnsi"/>
                <w:sz w:val="20"/>
                <w:szCs w:val="20"/>
              </w:rPr>
              <w:t>, like acute myeloid leukaemia,</w:t>
            </w:r>
            <w:r w:rsidRPr="003A2709">
              <w:rPr>
                <w:rFonts w:asciiTheme="minorHAnsi" w:hAnsiTheme="minorHAnsi" w:cstheme="minorHAnsi"/>
                <w:sz w:val="20"/>
                <w:szCs w:val="20"/>
              </w:rPr>
              <w:t xml:space="preserve"> </w:t>
            </w:r>
            <w:r w:rsidR="008128E1" w:rsidRPr="003A2709">
              <w:rPr>
                <w:rFonts w:asciiTheme="minorHAnsi" w:hAnsiTheme="minorHAnsi" w:cstheme="minorHAnsi"/>
                <w:sz w:val="20"/>
                <w:szCs w:val="20"/>
              </w:rPr>
              <w:t xml:space="preserve">chronic myeloid leukaemia, acute lymphocytic leukaemia, chronic lymphocytic leukaemia, non-Hodgkin lymphoma, multiple myeloma </w:t>
            </w:r>
            <w:sdt>
              <w:sdtPr>
                <w:rPr>
                  <w:rFonts w:asciiTheme="minorHAnsi" w:hAnsiTheme="minorHAnsi" w:cstheme="minorHAnsi"/>
                  <w:sz w:val="20"/>
                  <w:szCs w:val="22"/>
                </w:rPr>
                <w:id w:val="1692958288"/>
                <w:citation/>
              </w:sdtPr>
              <w:sdtEndPr/>
              <w:sdtContent>
                <w:r w:rsidR="008128E1" w:rsidRPr="00201EC2">
                  <w:rPr>
                    <w:rFonts w:asciiTheme="minorHAnsi" w:hAnsiTheme="minorHAnsi" w:cstheme="minorHAnsi"/>
                    <w:sz w:val="20"/>
                    <w:szCs w:val="22"/>
                  </w:rPr>
                  <w:fldChar w:fldCharType="begin"/>
                </w:r>
                <w:r w:rsidR="008128E1" w:rsidRPr="00596786">
                  <w:rPr>
                    <w:rFonts w:asciiTheme="minorHAnsi" w:hAnsiTheme="minorHAnsi" w:cstheme="minorHAnsi"/>
                    <w:sz w:val="20"/>
                    <w:szCs w:val="22"/>
                  </w:rPr>
                  <w:instrText xml:space="preserve"> CITATION Int18 \l 3081 </w:instrText>
                </w:r>
                <w:r w:rsidR="00480387">
                  <w:rPr>
                    <w:rFonts w:asciiTheme="minorHAnsi" w:hAnsiTheme="minorHAnsi" w:cstheme="minorHAnsi"/>
                    <w:sz w:val="20"/>
                    <w:szCs w:val="22"/>
                  </w:rPr>
                  <w:instrText xml:space="preserve"> \m Saf191</w:instrText>
                </w:r>
                <w:r w:rsidR="008128E1" w:rsidRPr="00201EC2">
                  <w:rPr>
                    <w:rFonts w:asciiTheme="minorHAnsi" w:hAnsiTheme="minorHAnsi" w:cstheme="minorHAnsi"/>
                    <w:sz w:val="20"/>
                    <w:szCs w:val="22"/>
                  </w:rPr>
                  <w:fldChar w:fldCharType="separate"/>
                </w:r>
                <w:r w:rsidR="00490B21" w:rsidRPr="00490B21">
                  <w:rPr>
                    <w:rFonts w:asciiTheme="minorHAnsi" w:hAnsiTheme="minorHAnsi" w:cstheme="minorHAnsi"/>
                    <w:noProof/>
                    <w:sz w:val="20"/>
                    <w:szCs w:val="22"/>
                  </w:rPr>
                  <w:t>(International Agency for Research on Cancer, 2018; Safe Work Australia, 2019)</w:t>
                </w:r>
                <w:r w:rsidR="008128E1" w:rsidRPr="00201EC2">
                  <w:rPr>
                    <w:rFonts w:asciiTheme="minorHAnsi" w:hAnsiTheme="minorHAnsi" w:cstheme="minorHAnsi"/>
                    <w:sz w:val="20"/>
                    <w:szCs w:val="22"/>
                  </w:rPr>
                  <w:fldChar w:fldCharType="end"/>
                </w:r>
              </w:sdtContent>
            </w:sdt>
            <w:r w:rsidR="008128E1" w:rsidRPr="003A2709" w:rsidDel="008128E1">
              <w:rPr>
                <w:rFonts w:asciiTheme="minorHAnsi" w:hAnsiTheme="minorHAnsi" w:cstheme="minorHAnsi"/>
                <w:sz w:val="20"/>
                <w:szCs w:val="20"/>
              </w:rPr>
              <w:t xml:space="preserve"> </w:t>
            </w:r>
          </w:p>
          <w:p w14:paraId="50426EC4" w14:textId="63E1900A" w:rsidR="00935B52" w:rsidRPr="003A2709" w:rsidRDefault="008128E1"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L</w:t>
            </w:r>
            <w:r w:rsidR="00935B52" w:rsidRPr="003A2709">
              <w:rPr>
                <w:rFonts w:asciiTheme="minorHAnsi" w:hAnsiTheme="minorHAnsi" w:cstheme="minorHAnsi"/>
                <w:sz w:val="20"/>
                <w:szCs w:val="20"/>
              </w:rPr>
              <w:t xml:space="preserve">ung cancer </w:t>
            </w:r>
          </w:p>
          <w:p w14:paraId="1FA0400E" w14:textId="21822067" w:rsidR="00935B52"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 xml:space="preserve">Anaplastic anaemia </w:t>
            </w:r>
          </w:p>
          <w:p w14:paraId="51D2874F" w14:textId="0B9FC00E" w:rsidR="00935B52" w:rsidRPr="003A2709" w:rsidRDefault="00935B52" w:rsidP="00480387">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Changes to haematologic parameters</w:t>
            </w:r>
            <w:r w:rsidR="00C462C3" w:rsidRPr="003A2709">
              <w:rPr>
                <w:rFonts w:asciiTheme="minorHAnsi" w:hAnsiTheme="minorHAnsi" w:cstheme="minorHAnsi"/>
                <w:sz w:val="20"/>
                <w:szCs w:val="20"/>
              </w:rPr>
              <w:t xml:space="preserve"> </w:t>
            </w:r>
            <w:sdt>
              <w:sdtPr>
                <w:rPr>
                  <w:rFonts w:asciiTheme="minorHAnsi" w:hAnsiTheme="minorHAnsi" w:cstheme="minorHAnsi"/>
                  <w:sz w:val="20"/>
                  <w:szCs w:val="20"/>
                </w:rPr>
                <w:id w:val="-1022162318"/>
                <w:citation/>
              </w:sdtPr>
              <w:sdtEndPr/>
              <w:sdtContent>
                <w:r w:rsidR="00C462C3" w:rsidRPr="003A2709">
                  <w:rPr>
                    <w:rFonts w:asciiTheme="minorHAnsi" w:hAnsiTheme="minorHAnsi" w:cstheme="minorHAnsi"/>
                    <w:sz w:val="20"/>
                    <w:szCs w:val="20"/>
                  </w:rPr>
                  <w:fldChar w:fldCharType="begin"/>
                </w:r>
                <w:r w:rsidR="00C462C3" w:rsidRPr="003A2709">
                  <w:rPr>
                    <w:rFonts w:asciiTheme="minorHAnsi" w:hAnsiTheme="minorHAnsi" w:cstheme="minorHAnsi"/>
                    <w:sz w:val="20"/>
                    <w:szCs w:val="20"/>
                  </w:rPr>
                  <w:instrText xml:space="preserve"> CITATION Saf191 \l 3081 </w:instrText>
                </w:r>
                <w:r w:rsidR="00C462C3"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2019)</w:t>
                </w:r>
                <w:r w:rsidR="00C462C3" w:rsidRPr="003A2709">
                  <w:rPr>
                    <w:rFonts w:asciiTheme="minorHAnsi" w:hAnsiTheme="minorHAnsi" w:cstheme="minorHAnsi"/>
                    <w:sz w:val="20"/>
                    <w:szCs w:val="20"/>
                  </w:rPr>
                  <w:fldChar w:fldCharType="end"/>
                </w:r>
              </w:sdtContent>
            </w:sdt>
            <w:r w:rsidR="00480387" w:rsidRPr="003A2709">
              <w:rPr>
                <w:rFonts w:asciiTheme="minorHAnsi" w:hAnsiTheme="minorHAnsi" w:cstheme="minorHAnsi"/>
                <w:sz w:val="20"/>
                <w:szCs w:val="20"/>
              </w:rPr>
              <w:t xml:space="preserve">. </w:t>
            </w:r>
          </w:p>
        </w:tc>
      </w:tr>
      <w:tr w:rsidR="00D301D2" w:rsidRPr="00282770" w14:paraId="044FFE1F" w14:textId="77777777" w:rsidTr="00B64384">
        <w:trPr>
          <w:trHeight w:val="340"/>
        </w:trPr>
        <w:tc>
          <w:tcPr>
            <w:tcW w:w="0" w:type="pct"/>
            <w:noWrap/>
          </w:tcPr>
          <w:p w14:paraId="65B8B406" w14:textId="792E8D77" w:rsidR="00935B52" w:rsidRPr="00282770" w:rsidRDefault="00935B52" w:rsidP="001623A6">
            <w:pPr>
              <w:spacing w:after="80" w:line="240" w:lineRule="auto"/>
              <w:contextualSpacing w:val="0"/>
            </w:pPr>
            <w:r w:rsidRPr="00D301D2">
              <w:t>Chlorine</w:t>
            </w:r>
          </w:p>
        </w:tc>
        <w:tc>
          <w:tcPr>
            <w:tcW w:w="0" w:type="pct"/>
          </w:tcPr>
          <w:p w14:paraId="4FCADCD8" w14:textId="0E334FF8"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Eye and respiratory tract irritation</w:t>
            </w:r>
            <w:r w:rsidR="00F37D7B" w:rsidRPr="003A2709">
              <w:rPr>
                <w:rFonts w:asciiTheme="minorHAnsi" w:hAnsiTheme="minorHAnsi" w:cstheme="minorHAnsi"/>
                <w:sz w:val="20"/>
                <w:szCs w:val="20"/>
              </w:rPr>
              <w:t xml:space="preserve"> - h</w:t>
            </w:r>
            <w:r w:rsidRPr="003A2709">
              <w:rPr>
                <w:rFonts w:asciiTheme="minorHAnsi" w:hAnsiTheme="minorHAnsi" w:cstheme="minorHAnsi"/>
                <w:sz w:val="20"/>
                <w:szCs w:val="20"/>
              </w:rPr>
              <w:t>igh exposure can also result in acute bronchial inflammation</w:t>
            </w:r>
            <w:r w:rsidR="00C203A6">
              <w:rPr>
                <w:rFonts w:asciiTheme="minorHAnsi" w:hAnsiTheme="minorHAnsi" w:cstheme="minorHAnsi"/>
                <w:sz w:val="20"/>
                <w:szCs w:val="20"/>
              </w:rPr>
              <w:t xml:space="preserve"> (Safe Work Australia, 2019)</w:t>
            </w:r>
          </w:p>
          <w:p w14:paraId="34871C71" w14:textId="7CB15B31" w:rsidR="00935B52" w:rsidRPr="003A2709" w:rsidRDefault="008001FA"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Respiratory tract</w:t>
            </w:r>
            <w:r w:rsidR="00935B52" w:rsidRPr="003A2709">
              <w:rPr>
                <w:rFonts w:asciiTheme="minorHAnsi" w:hAnsiTheme="minorHAnsi" w:cstheme="minorHAnsi"/>
                <w:sz w:val="20"/>
                <w:szCs w:val="20"/>
              </w:rPr>
              <w:t xml:space="preserve"> irritation and impaired </w:t>
            </w:r>
            <w:r>
              <w:rPr>
                <w:rFonts w:asciiTheme="minorHAnsi" w:hAnsiTheme="minorHAnsi" w:cstheme="minorHAnsi"/>
                <w:sz w:val="20"/>
                <w:szCs w:val="20"/>
              </w:rPr>
              <w:t xml:space="preserve">lung </w:t>
            </w:r>
            <w:r w:rsidR="00935B52" w:rsidRPr="003A2709">
              <w:rPr>
                <w:rFonts w:asciiTheme="minorHAnsi" w:hAnsiTheme="minorHAnsi" w:cstheme="minorHAnsi"/>
                <w:sz w:val="20"/>
                <w:szCs w:val="20"/>
              </w:rPr>
              <w:t>function</w:t>
            </w:r>
            <w:r>
              <w:rPr>
                <w:rFonts w:asciiTheme="minorHAnsi" w:hAnsiTheme="minorHAnsi" w:cstheme="minorHAnsi"/>
                <w:sz w:val="20"/>
                <w:szCs w:val="20"/>
              </w:rPr>
              <w:t xml:space="preserve"> (Safe Work Australia, 2019)</w:t>
            </w:r>
          </w:p>
          <w:p w14:paraId="35678D04" w14:textId="1FF8BC0A" w:rsidR="00480387" w:rsidRPr="000C7348" w:rsidRDefault="009A5518"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2"/>
              </w:rPr>
              <w:t>E</w:t>
            </w:r>
            <w:r w:rsidR="00480387" w:rsidRPr="00E11ABB">
              <w:rPr>
                <w:rFonts w:asciiTheme="minorHAnsi" w:hAnsiTheme="minorHAnsi" w:cstheme="minorHAnsi"/>
                <w:sz w:val="20"/>
                <w:szCs w:val="22"/>
              </w:rPr>
              <w:t xml:space="preserve">xacerbate occupational asthma </w:t>
            </w:r>
            <w:sdt>
              <w:sdtPr>
                <w:rPr>
                  <w:rFonts w:asciiTheme="minorHAnsi" w:hAnsiTheme="minorHAnsi" w:cstheme="minorHAnsi"/>
                  <w:sz w:val="20"/>
                  <w:szCs w:val="22"/>
                </w:rPr>
                <w:id w:val="1279222362"/>
                <w:citation/>
              </w:sdtPr>
              <w:sdtEndPr/>
              <w:sdtContent>
                <w:r w:rsidR="0085227C">
                  <w:rPr>
                    <w:rFonts w:asciiTheme="minorHAnsi" w:hAnsiTheme="minorHAnsi" w:cstheme="minorHAnsi"/>
                    <w:sz w:val="20"/>
                    <w:szCs w:val="22"/>
                  </w:rPr>
                  <w:fldChar w:fldCharType="begin"/>
                </w:r>
                <w:r w:rsidR="0085227C">
                  <w:rPr>
                    <w:rFonts w:asciiTheme="minorHAnsi" w:hAnsiTheme="minorHAnsi" w:cstheme="minorHAnsi"/>
                    <w:sz w:val="20"/>
                    <w:szCs w:val="22"/>
                  </w:rPr>
                  <w:instrText xml:space="preserve"> CITATION Can25 \l 3081 </w:instrText>
                </w:r>
                <w:r w:rsidR="0085227C">
                  <w:rPr>
                    <w:rFonts w:asciiTheme="minorHAnsi" w:hAnsiTheme="minorHAnsi" w:cstheme="minorHAnsi"/>
                    <w:sz w:val="20"/>
                    <w:szCs w:val="22"/>
                  </w:rPr>
                  <w:fldChar w:fldCharType="separate"/>
                </w:r>
                <w:r w:rsidR="00490B21" w:rsidRPr="00490B21">
                  <w:rPr>
                    <w:rFonts w:asciiTheme="minorHAnsi" w:hAnsiTheme="minorHAnsi" w:cstheme="minorHAnsi"/>
                    <w:noProof/>
                    <w:sz w:val="20"/>
                    <w:szCs w:val="22"/>
                  </w:rPr>
                  <w:t>(Canadian Centre of Occupational Health and Safety, 2025)</w:t>
                </w:r>
                <w:r w:rsidR="0085227C">
                  <w:rPr>
                    <w:rFonts w:asciiTheme="minorHAnsi" w:hAnsiTheme="minorHAnsi" w:cstheme="minorHAnsi"/>
                    <w:sz w:val="20"/>
                    <w:szCs w:val="22"/>
                  </w:rPr>
                  <w:fldChar w:fldCharType="end"/>
                </w:r>
              </w:sdtContent>
            </w:sdt>
          </w:p>
          <w:p w14:paraId="79DF3481" w14:textId="069E6E51" w:rsidR="00935B52" w:rsidRPr="003A2709" w:rsidRDefault="009A5518"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2"/>
              </w:rPr>
              <w:t>I</w:t>
            </w:r>
            <w:r w:rsidR="00480387" w:rsidRPr="00E11ABB">
              <w:rPr>
                <w:rFonts w:asciiTheme="minorHAnsi" w:hAnsiTheme="minorHAnsi" w:cstheme="minorHAnsi"/>
                <w:sz w:val="20"/>
                <w:szCs w:val="22"/>
              </w:rPr>
              <w:t>ncreased phlegm production, painful breathing, wheezing, shortness of breath, impaired neurobehavioural functions, skin rashes and burns</w:t>
            </w:r>
            <w:r w:rsidR="00E11ABB" w:rsidRPr="000C7348">
              <w:rPr>
                <w:rFonts w:asciiTheme="minorHAnsi" w:hAnsiTheme="minorHAnsi" w:cstheme="minorHAnsi"/>
                <w:sz w:val="20"/>
                <w:szCs w:val="20"/>
              </w:rPr>
              <w:t xml:space="preserve"> </w:t>
            </w:r>
            <w:sdt>
              <w:sdtPr>
                <w:rPr>
                  <w:rFonts w:asciiTheme="minorHAnsi" w:hAnsiTheme="minorHAnsi" w:cstheme="minorHAnsi"/>
                  <w:sz w:val="20"/>
                  <w:szCs w:val="22"/>
                </w:rPr>
                <w:id w:val="-1670868754"/>
                <w:citation/>
              </w:sdtPr>
              <w:sdtEndPr/>
              <w:sdtContent>
                <w:r w:rsidR="00E11ABB" w:rsidRPr="00E11ABB">
                  <w:rPr>
                    <w:rFonts w:asciiTheme="minorHAnsi" w:hAnsiTheme="minorHAnsi" w:cstheme="minorHAnsi"/>
                    <w:sz w:val="20"/>
                    <w:szCs w:val="22"/>
                  </w:rPr>
                  <w:fldChar w:fldCharType="begin"/>
                </w:r>
                <w:r w:rsidR="00E11ABB" w:rsidRPr="0085227C">
                  <w:rPr>
                    <w:rFonts w:asciiTheme="minorHAnsi" w:hAnsiTheme="minorHAnsi" w:cstheme="minorHAnsi"/>
                    <w:sz w:val="20"/>
                    <w:szCs w:val="22"/>
                  </w:rPr>
                  <w:instrText xml:space="preserve"> CITATION Can25 \l 3081  \m Aus16</w:instrText>
                </w:r>
                <w:r w:rsidR="00E11ABB" w:rsidRPr="00E11ABB">
                  <w:rPr>
                    <w:rFonts w:asciiTheme="minorHAnsi" w:hAnsiTheme="minorHAnsi" w:cstheme="minorHAnsi"/>
                    <w:sz w:val="20"/>
                    <w:szCs w:val="22"/>
                  </w:rPr>
                  <w:fldChar w:fldCharType="separate"/>
                </w:r>
                <w:r w:rsidR="00490B21" w:rsidRPr="00490B21">
                  <w:rPr>
                    <w:rFonts w:asciiTheme="minorHAnsi" w:hAnsiTheme="minorHAnsi" w:cstheme="minorHAnsi"/>
                    <w:noProof/>
                    <w:sz w:val="20"/>
                    <w:szCs w:val="22"/>
                  </w:rPr>
                  <w:t>(Canadian Centre of Occupational Health and Safety, 2025; Australian Industrial Chemicals Introduction Scheme, 2016)</w:t>
                </w:r>
                <w:r w:rsidR="00E11ABB" w:rsidRPr="00E11ABB">
                  <w:rPr>
                    <w:rFonts w:asciiTheme="minorHAnsi" w:hAnsiTheme="minorHAnsi" w:cstheme="minorHAnsi"/>
                    <w:sz w:val="20"/>
                    <w:szCs w:val="22"/>
                  </w:rPr>
                  <w:fldChar w:fldCharType="end"/>
                </w:r>
              </w:sdtContent>
            </w:sdt>
          </w:p>
        </w:tc>
      </w:tr>
      <w:tr w:rsidR="00D63874" w:rsidRPr="00282770" w14:paraId="6F9B57A4" w14:textId="77777777" w:rsidTr="00B64384">
        <w:trPr>
          <w:trHeight w:val="340"/>
        </w:trPr>
        <w:tc>
          <w:tcPr>
            <w:tcW w:w="967" w:type="pct"/>
            <w:noWrap/>
          </w:tcPr>
          <w:p w14:paraId="3F10292F" w14:textId="09F5FC74" w:rsidR="00935B52" w:rsidRPr="00282770" w:rsidRDefault="00935B52" w:rsidP="001623A6">
            <w:pPr>
              <w:spacing w:after="80" w:line="240" w:lineRule="auto"/>
              <w:contextualSpacing w:val="0"/>
            </w:pPr>
            <w:r w:rsidRPr="00D301D2">
              <w:t>Copper</w:t>
            </w:r>
          </w:p>
        </w:tc>
        <w:tc>
          <w:tcPr>
            <w:tcW w:w="4033" w:type="pct"/>
          </w:tcPr>
          <w:p w14:paraId="37FEC3DA" w14:textId="6BBC6192" w:rsidR="00935B52"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Upper respiratory tract irritation and potential inflammatory reactions in the lungs</w:t>
            </w:r>
          </w:p>
          <w:p w14:paraId="43AC6673" w14:textId="43C11DD4" w:rsidR="00935B52"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 xml:space="preserve">Impaired liver and kidney function </w:t>
            </w:r>
          </w:p>
          <w:p w14:paraId="188A03F5" w14:textId="0D05A98C" w:rsidR="0085227C" w:rsidRPr="000C7348"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Other symptoms, like nausea, metal fume fever, irritation of the eyes and skin in humans</w:t>
            </w:r>
            <w:r w:rsidR="00F37D7B" w:rsidRPr="003A2709">
              <w:rPr>
                <w:rFonts w:asciiTheme="minorHAnsi" w:hAnsiTheme="minorHAnsi" w:cstheme="minorHAnsi"/>
                <w:sz w:val="20"/>
                <w:szCs w:val="20"/>
              </w:rPr>
              <w:t xml:space="preserve"> </w:t>
            </w:r>
            <w:sdt>
              <w:sdtPr>
                <w:rPr>
                  <w:rFonts w:asciiTheme="minorHAnsi" w:hAnsiTheme="minorHAnsi" w:cstheme="minorHAnsi"/>
                  <w:sz w:val="20"/>
                  <w:szCs w:val="20"/>
                </w:rPr>
                <w:id w:val="2027909392"/>
                <w:citation/>
              </w:sdtPr>
              <w:sdtEndPr/>
              <w:sdtContent>
                <w:r w:rsidR="00F37D7B" w:rsidRPr="003A2709">
                  <w:rPr>
                    <w:rFonts w:asciiTheme="minorHAnsi" w:hAnsiTheme="minorHAnsi" w:cstheme="minorHAnsi"/>
                    <w:sz w:val="20"/>
                    <w:szCs w:val="20"/>
                  </w:rPr>
                  <w:fldChar w:fldCharType="begin"/>
                </w:r>
                <w:r w:rsidR="00F37D7B" w:rsidRPr="003A2709">
                  <w:rPr>
                    <w:rFonts w:asciiTheme="minorHAnsi" w:hAnsiTheme="minorHAnsi" w:cstheme="minorHAnsi"/>
                    <w:sz w:val="20"/>
                    <w:szCs w:val="20"/>
                  </w:rPr>
                  <w:instrText xml:space="preserve"> CITATION Saf194 \l 3081 </w:instrText>
                </w:r>
                <w:r w:rsidR="00F37D7B"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2019)</w:t>
                </w:r>
                <w:r w:rsidR="00F37D7B" w:rsidRPr="003A2709">
                  <w:rPr>
                    <w:rFonts w:asciiTheme="minorHAnsi" w:hAnsiTheme="minorHAnsi" w:cstheme="minorHAnsi"/>
                    <w:sz w:val="20"/>
                    <w:szCs w:val="20"/>
                  </w:rPr>
                  <w:fldChar w:fldCharType="end"/>
                </w:r>
              </w:sdtContent>
            </w:sdt>
            <w:r w:rsidR="0085227C" w:rsidRPr="000C7348">
              <w:rPr>
                <w:rFonts w:asciiTheme="minorHAnsi" w:hAnsiTheme="minorHAnsi" w:cstheme="minorHAnsi"/>
                <w:sz w:val="20"/>
                <w:szCs w:val="20"/>
              </w:rPr>
              <w:t xml:space="preserve"> </w:t>
            </w:r>
          </w:p>
          <w:p w14:paraId="1B691905" w14:textId="611355E5" w:rsidR="0085227C" w:rsidRPr="000C7348" w:rsidRDefault="0085227C" w:rsidP="00D301D2">
            <w:pPr>
              <w:pStyle w:val="TableNBullet"/>
              <w:spacing w:line="240" w:lineRule="auto"/>
              <w:rPr>
                <w:rFonts w:asciiTheme="minorHAnsi" w:hAnsiTheme="minorHAnsi" w:cstheme="minorHAnsi"/>
                <w:sz w:val="20"/>
                <w:szCs w:val="20"/>
              </w:rPr>
            </w:pPr>
            <w:r w:rsidRPr="000C7348">
              <w:rPr>
                <w:rFonts w:asciiTheme="minorHAnsi" w:hAnsiTheme="minorHAnsi" w:cstheme="minorHAnsi"/>
                <w:sz w:val="20"/>
                <w:szCs w:val="20"/>
              </w:rPr>
              <w:t>Dermal sensitisation (allergic reaction on the skin caused by repeated exposure to a sensitising substance,</w:t>
            </w:r>
          </w:p>
          <w:p w14:paraId="6A08D334" w14:textId="6C4A28BE" w:rsidR="00935B52" w:rsidRPr="003A2709" w:rsidRDefault="0085227C" w:rsidP="00D301D2">
            <w:pPr>
              <w:pStyle w:val="TableNBullet"/>
              <w:spacing w:line="240" w:lineRule="auto"/>
              <w:rPr>
                <w:rFonts w:asciiTheme="minorHAnsi" w:hAnsiTheme="minorHAnsi" w:cstheme="minorHAnsi"/>
                <w:sz w:val="20"/>
                <w:szCs w:val="20"/>
              </w:rPr>
            </w:pPr>
            <w:r w:rsidRPr="000C7348">
              <w:rPr>
                <w:rFonts w:asciiTheme="minorHAnsi" w:hAnsiTheme="minorHAnsi" w:cstheme="minorHAnsi"/>
                <w:sz w:val="20"/>
                <w:szCs w:val="20"/>
              </w:rPr>
              <w:t xml:space="preserve">Lung and stomach cancer </w:t>
            </w:r>
            <w:sdt>
              <w:sdtPr>
                <w:rPr>
                  <w:rFonts w:asciiTheme="minorHAnsi" w:hAnsiTheme="minorHAnsi" w:cstheme="minorHAnsi"/>
                  <w:sz w:val="20"/>
                  <w:szCs w:val="20"/>
                </w:rPr>
                <w:id w:val="-180735417"/>
                <w:citation/>
              </w:sdtPr>
              <w:sdtEndPr/>
              <w:sdtContent>
                <w:r w:rsidRPr="000C7348">
                  <w:rPr>
                    <w:rFonts w:asciiTheme="minorHAnsi" w:hAnsiTheme="minorHAnsi" w:cstheme="minorHAnsi"/>
                    <w:sz w:val="20"/>
                    <w:szCs w:val="20"/>
                  </w:rPr>
                  <w:fldChar w:fldCharType="begin"/>
                </w:r>
                <w:r w:rsidRPr="000C7348">
                  <w:rPr>
                    <w:rFonts w:asciiTheme="minorHAnsi" w:hAnsiTheme="minorHAnsi" w:cstheme="minorHAnsi"/>
                    <w:sz w:val="20"/>
                    <w:szCs w:val="20"/>
                  </w:rPr>
                  <w:instrText xml:space="preserve"> CITATION Dir14 \l 3081 </w:instrText>
                </w:r>
                <w:r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(Directorate-General for Employment, Social Affairs &amp; Inclusion, 2014)</w:t>
                </w:r>
                <w:r w:rsidRPr="000C7348">
                  <w:rPr>
                    <w:rFonts w:asciiTheme="minorHAnsi" w:hAnsiTheme="minorHAnsi" w:cstheme="minorHAnsi"/>
                    <w:sz w:val="20"/>
                    <w:szCs w:val="20"/>
                  </w:rPr>
                  <w:fldChar w:fldCharType="end"/>
                </w:r>
              </w:sdtContent>
            </w:sdt>
            <w:r w:rsidRPr="000C7348">
              <w:rPr>
                <w:rFonts w:asciiTheme="minorHAnsi" w:hAnsiTheme="minorHAnsi" w:cstheme="minorHAnsi"/>
                <w:sz w:val="20"/>
                <w:szCs w:val="20"/>
              </w:rPr>
              <w:t>.</w:t>
            </w:r>
          </w:p>
        </w:tc>
      </w:tr>
      <w:tr w:rsidR="00D301D2" w:rsidRPr="00282770" w14:paraId="79D6EE30" w14:textId="77777777" w:rsidTr="00B64384">
        <w:trPr>
          <w:cantSplit/>
          <w:trHeight w:val="340"/>
        </w:trPr>
        <w:tc>
          <w:tcPr>
            <w:tcW w:w="0" w:type="pct"/>
            <w:noWrap/>
          </w:tcPr>
          <w:p w14:paraId="5AE55EA9" w14:textId="3CE2A91C" w:rsidR="00935B52" w:rsidRPr="00282770" w:rsidRDefault="00935B52" w:rsidP="001623A6">
            <w:pPr>
              <w:spacing w:after="80" w:line="240" w:lineRule="auto"/>
              <w:contextualSpacing w:val="0"/>
            </w:pPr>
            <w:r w:rsidRPr="00D301D2">
              <w:lastRenderedPageBreak/>
              <w:t>Formaldehyde</w:t>
            </w:r>
          </w:p>
        </w:tc>
        <w:tc>
          <w:tcPr>
            <w:tcW w:w="0" w:type="pct"/>
          </w:tcPr>
          <w:p w14:paraId="624C9BF5" w14:textId="62A21AF7"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Nasal cancer, following irritation of the eyes and upper respiratory tract</w:t>
            </w:r>
          </w:p>
          <w:p w14:paraId="3C29BBC0" w14:textId="019002CA"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Sensory irritation</w:t>
            </w:r>
            <w:r w:rsidR="00F37D7B" w:rsidRPr="003A2709">
              <w:rPr>
                <w:rFonts w:asciiTheme="minorHAnsi" w:hAnsiTheme="minorHAnsi" w:cstheme="minorHAnsi"/>
                <w:sz w:val="20"/>
                <w:szCs w:val="20"/>
              </w:rPr>
              <w:t xml:space="preserve"> </w:t>
            </w:r>
            <w:sdt>
              <w:sdtPr>
                <w:rPr>
                  <w:rFonts w:asciiTheme="minorHAnsi" w:hAnsiTheme="minorHAnsi" w:cstheme="minorHAnsi"/>
                  <w:sz w:val="20"/>
                  <w:szCs w:val="20"/>
                </w:rPr>
                <w:id w:val="-146285002"/>
                <w:citation/>
              </w:sdtPr>
              <w:sdtEndPr/>
              <w:sdtContent>
                <w:r w:rsidR="00F37D7B" w:rsidRPr="003A2709">
                  <w:rPr>
                    <w:rFonts w:asciiTheme="minorHAnsi" w:hAnsiTheme="minorHAnsi" w:cstheme="minorHAnsi"/>
                    <w:sz w:val="20"/>
                    <w:szCs w:val="20"/>
                  </w:rPr>
                  <w:fldChar w:fldCharType="begin"/>
                </w:r>
                <w:r w:rsidR="00F37D7B" w:rsidRPr="003A2709">
                  <w:rPr>
                    <w:rFonts w:asciiTheme="minorHAnsi" w:hAnsiTheme="minorHAnsi" w:cstheme="minorHAnsi"/>
                    <w:sz w:val="20"/>
                    <w:szCs w:val="20"/>
                  </w:rPr>
                  <w:instrText xml:space="preserve"> CITATION Saf192 \l 3081 </w:instrText>
                </w:r>
                <w:r w:rsidR="00F37D7B"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2019)</w:t>
                </w:r>
                <w:r w:rsidR="00F37D7B" w:rsidRPr="003A2709">
                  <w:rPr>
                    <w:rFonts w:asciiTheme="minorHAnsi" w:hAnsiTheme="minorHAnsi" w:cstheme="minorHAnsi"/>
                    <w:sz w:val="20"/>
                    <w:szCs w:val="20"/>
                  </w:rPr>
                  <w:fldChar w:fldCharType="end"/>
                </w:r>
              </w:sdtContent>
            </w:sdt>
          </w:p>
          <w:p w14:paraId="014536E1" w14:textId="36BFED4D" w:rsidR="0085227C" w:rsidRPr="003A2709" w:rsidRDefault="0085227C"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 xml:space="preserve">Leukemia, particularly myeloid leukaemia </w:t>
            </w:r>
            <w:sdt>
              <w:sdtPr>
                <w:rPr>
                  <w:rFonts w:asciiTheme="minorHAnsi" w:hAnsiTheme="minorHAnsi" w:cstheme="minorHAnsi"/>
                  <w:sz w:val="20"/>
                  <w:szCs w:val="20"/>
                </w:rPr>
                <w:id w:val="-958715520"/>
                <w:citation/>
              </w:sdtPr>
              <w:sdtEndPr/>
              <w:sdtContent>
                <w:r w:rsidRPr="003A2709">
                  <w:rPr>
                    <w:rFonts w:asciiTheme="minorHAnsi" w:hAnsiTheme="minorHAnsi" w:cstheme="minorHAnsi"/>
                    <w:sz w:val="20"/>
                    <w:szCs w:val="20"/>
                  </w:rPr>
                  <w:fldChar w:fldCharType="begin"/>
                </w:r>
                <w:r w:rsidRPr="003A2709">
                  <w:rPr>
                    <w:rFonts w:asciiTheme="minorHAnsi" w:hAnsiTheme="minorHAnsi" w:cstheme="minorHAnsi"/>
                    <w:sz w:val="20"/>
                    <w:szCs w:val="20"/>
                  </w:rPr>
                  <w:instrText xml:space="preserve"> CITATION Int06 \l 3081 </w:instrText>
                </w:r>
                <w:r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(International Agency for Research on Cancer, 2006)</w:t>
                </w:r>
                <w:r w:rsidRPr="003A2709">
                  <w:rPr>
                    <w:rFonts w:asciiTheme="minorHAnsi" w:hAnsiTheme="minorHAnsi" w:cstheme="minorHAnsi"/>
                    <w:sz w:val="20"/>
                    <w:szCs w:val="20"/>
                  </w:rPr>
                  <w:fldChar w:fldCharType="end"/>
                </w:r>
              </w:sdtContent>
            </w:sdt>
          </w:p>
          <w:p w14:paraId="2C6D5808" w14:textId="05B81E55" w:rsidR="0085227C" w:rsidRPr="003A2709" w:rsidRDefault="0085227C"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 xml:space="preserve">Dermal sensitisation </w:t>
            </w:r>
            <w:sdt>
              <w:sdtPr>
                <w:rPr>
                  <w:rFonts w:asciiTheme="minorHAnsi" w:hAnsiTheme="minorHAnsi" w:cstheme="minorHAnsi"/>
                  <w:sz w:val="20"/>
                  <w:szCs w:val="20"/>
                </w:rPr>
                <w:id w:val="1422759854"/>
                <w:citation/>
              </w:sdtPr>
              <w:sdtEndPr/>
              <w:sdtContent>
                <w:r w:rsidRPr="003A2709">
                  <w:rPr>
                    <w:rFonts w:asciiTheme="minorHAnsi" w:hAnsiTheme="minorHAnsi" w:cstheme="minorHAnsi"/>
                    <w:sz w:val="20"/>
                    <w:szCs w:val="20"/>
                  </w:rPr>
                  <w:fldChar w:fldCharType="begin"/>
                </w:r>
                <w:r w:rsidRPr="003A2709">
                  <w:rPr>
                    <w:rFonts w:asciiTheme="minorHAnsi" w:hAnsiTheme="minorHAnsi" w:cstheme="minorHAnsi"/>
                    <w:sz w:val="20"/>
                    <w:szCs w:val="20"/>
                  </w:rPr>
                  <w:instrText xml:space="preserve">CITATION Dir16 \m Saf192 \l 3081 </w:instrText>
                </w:r>
                <w:r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(Directorate-General for Employment, Social Affairs and Inclusion (European Commission), 2016; Safe Work Australia, 2019)</w:t>
                </w:r>
                <w:r w:rsidRPr="003A2709">
                  <w:rPr>
                    <w:rFonts w:asciiTheme="minorHAnsi" w:hAnsiTheme="minorHAnsi" w:cstheme="minorHAnsi"/>
                    <w:sz w:val="20"/>
                    <w:szCs w:val="20"/>
                  </w:rPr>
                  <w:fldChar w:fldCharType="end"/>
                </w:r>
              </w:sdtContent>
            </w:sdt>
          </w:p>
        </w:tc>
      </w:tr>
      <w:tr w:rsidR="00D63874" w:rsidRPr="00282770" w14:paraId="22373052" w14:textId="77777777" w:rsidTr="00B64384">
        <w:trPr>
          <w:trHeight w:val="340"/>
        </w:trPr>
        <w:tc>
          <w:tcPr>
            <w:tcW w:w="967" w:type="pct"/>
            <w:noWrap/>
          </w:tcPr>
          <w:p w14:paraId="57EF10C0" w14:textId="5E7E6F23" w:rsidR="00935B52" w:rsidRPr="00282770" w:rsidRDefault="00935B52" w:rsidP="001623A6">
            <w:pPr>
              <w:spacing w:after="80" w:line="240" w:lineRule="auto"/>
              <w:contextualSpacing w:val="0"/>
            </w:pPr>
            <w:r w:rsidRPr="00D301D2">
              <w:t>Hydrogen cyanide</w:t>
            </w:r>
          </w:p>
        </w:tc>
        <w:tc>
          <w:tcPr>
            <w:tcW w:w="4033" w:type="pct"/>
          </w:tcPr>
          <w:p w14:paraId="11A7147D" w14:textId="3E2B24BC"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Thyroid enlargement, neurological symptoms and central nervous system symptoms that can lead to chronic neurological symptoms</w:t>
            </w:r>
          </w:p>
          <w:p w14:paraId="51C9B5A8" w14:textId="182D1245"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Severe health effects, like respiratory failure, coma or death</w:t>
            </w:r>
          </w:p>
          <w:p w14:paraId="613579DD" w14:textId="077DE1D2" w:rsidR="0085227C"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Other symptoms, like headaches, light-headedness, loss of consciousness, change in taste and smell, irritation in the throat, vomiting, effort dyspnoea, nasal irritation and septum ulceration</w:t>
            </w:r>
            <w:r w:rsidR="00F37D7B" w:rsidRPr="003A2709">
              <w:rPr>
                <w:rFonts w:asciiTheme="minorHAnsi" w:hAnsiTheme="minorHAnsi" w:cstheme="minorHAnsi"/>
                <w:sz w:val="20"/>
                <w:szCs w:val="20"/>
              </w:rPr>
              <w:t xml:space="preserve"> </w:t>
            </w:r>
            <w:sdt>
              <w:sdtPr>
                <w:rPr>
                  <w:rFonts w:asciiTheme="minorHAnsi" w:hAnsiTheme="minorHAnsi" w:cstheme="minorHAnsi"/>
                  <w:sz w:val="20"/>
                  <w:szCs w:val="20"/>
                </w:rPr>
                <w:id w:val="-560169553"/>
                <w:citation/>
              </w:sdtPr>
              <w:sdtEndPr/>
              <w:sdtContent>
                <w:r w:rsidR="00C90411" w:rsidRPr="003A2709">
                  <w:rPr>
                    <w:rFonts w:asciiTheme="minorHAnsi" w:hAnsiTheme="minorHAnsi" w:cstheme="minorHAnsi"/>
                    <w:sz w:val="20"/>
                    <w:szCs w:val="20"/>
                  </w:rPr>
                  <w:fldChar w:fldCharType="begin"/>
                </w:r>
                <w:r w:rsidR="00C90411" w:rsidRPr="003A2709">
                  <w:rPr>
                    <w:rFonts w:asciiTheme="minorHAnsi" w:hAnsiTheme="minorHAnsi" w:cstheme="minorHAnsi"/>
                    <w:sz w:val="20"/>
                    <w:szCs w:val="20"/>
                  </w:rPr>
                  <w:instrText xml:space="preserve"> CITATION Saf20 \l 3081 </w:instrText>
                </w:r>
                <w:r w:rsidR="00C90411"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2020)</w:t>
                </w:r>
                <w:r w:rsidR="00C90411" w:rsidRPr="003A2709">
                  <w:rPr>
                    <w:rFonts w:asciiTheme="minorHAnsi" w:hAnsiTheme="minorHAnsi" w:cstheme="minorHAnsi"/>
                    <w:sz w:val="20"/>
                    <w:szCs w:val="20"/>
                  </w:rPr>
                  <w:fldChar w:fldCharType="end"/>
                </w:r>
              </w:sdtContent>
            </w:sdt>
          </w:p>
          <w:p w14:paraId="09627BE2" w14:textId="5F354CC7" w:rsidR="00935B52" w:rsidRPr="003A2709" w:rsidRDefault="0085227C" w:rsidP="00D301D2">
            <w:pPr>
              <w:pStyle w:val="TableNBullet"/>
              <w:spacing w:line="240" w:lineRule="auto"/>
              <w:rPr>
                <w:rFonts w:asciiTheme="minorHAnsi" w:hAnsiTheme="minorHAnsi" w:cstheme="minorHAnsi"/>
                <w:sz w:val="20"/>
                <w:szCs w:val="20"/>
              </w:rPr>
            </w:pPr>
            <w:r w:rsidRPr="000C7348">
              <w:rPr>
                <w:rFonts w:asciiTheme="minorHAnsi" w:hAnsiTheme="minorHAnsi" w:cstheme="minorHAnsi"/>
                <w:sz w:val="20"/>
                <w:szCs w:val="20"/>
              </w:rPr>
              <w:t xml:space="preserve">Skin and nasal irritation, and ulceration of the nasal septum lining and mucosa </w:t>
            </w:r>
            <w:sdt>
              <w:sdtPr>
                <w:rPr>
                  <w:rFonts w:asciiTheme="minorHAnsi" w:hAnsiTheme="minorHAnsi" w:cstheme="minorHAnsi"/>
                  <w:sz w:val="20"/>
                  <w:szCs w:val="20"/>
                </w:rPr>
                <w:id w:val="672539509"/>
                <w:citation/>
              </w:sdtPr>
              <w:sdtEndPr/>
              <w:sdtContent>
                <w:r w:rsidRPr="000C7348">
                  <w:rPr>
                    <w:rFonts w:asciiTheme="minorHAnsi" w:hAnsiTheme="minorHAnsi" w:cstheme="minorHAnsi"/>
                    <w:sz w:val="20"/>
                    <w:szCs w:val="20"/>
                  </w:rPr>
                  <w:fldChar w:fldCharType="begin"/>
                </w:r>
                <w:r w:rsidR="008C5372">
                  <w:rPr>
                    <w:rFonts w:asciiTheme="minorHAnsi" w:hAnsiTheme="minorHAnsi" w:cstheme="minorHAnsi"/>
                    <w:sz w:val="20"/>
                    <w:szCs w:val="20"/>
                  </w:rPr>
                  <w:instrText xml:space="preserve">CITATION Dir09 \m Hea \l 3081 </w:instrText>
                </w:r>
                <w:r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(European Commission Directorate-General of Department of Employment, Social Affairs and Inclusion, 2009; Health Council of the Netherlands, 2002)</w:t>
                </w:r>
                <w:r w:rsidRPr="000C7348">
                  <w:rPr>
                    <w:rFonts w:asciiTheme="minorHAnsi" w:hAnsiTheme="minorHAnsi" w:cstheme="minorHAnsi"/>
                    <w:sz w:val="20"/>
                    <w:szCs w:val="20"/>
                  </w:rPr>
                  <w:fldChar w:fldCharType="end"/>
                </w:r>
              </w:sdtContent>
            </w:sdt>
          </w:p>
        </w:tc>
      </w:tr>
      <w:tr w:rsidR="00D301D2" w:rsidRPr="00282770" w14:paraId="3060EAFC" w14:textId="77777777" w:rsidTr="00B64384">
        <w:trPr>
          <w:trHeight w:val="340"/>
        </w:trPr>
        <w:tc>
          <w:tcPr>
            <w:tcW w:w="0" w:type="pct"/>
            <w:noWrap/>
          </w:tcPr>
          <w:p w14:paraId="7A803CA5" w14:textId="6BDEC110" w:rsidR="00935B52" w:rsidRPr="00282770" w:rsidRDefault="00935B52" w:rsidP="001623A6">
            <w:pPr>
              <w:spacing w:after="80" w:line="240" w:lineRule="auto"/>
              <w:contextualSpacing w:val="0"/>
            </w:pPr>
            <w:r w:rsidRPr="00D301D2">
              <w:t>Hydrogen sul</w:t>
            </w:r>
            <w:r w:rsidR="00312B4B">
              <w:t>f</w:t>
            </w:r>
            <w:r w:rsidRPr="00D301D2">
              <w:t>ide</w:t>
            </w:r>
          </w:p>
        </w:tc>
        <w:tc>
          <w:tcPr>
            <w:tcW w:w="0" w:type="pct"/>
          </w:tcPr>
          <w:p w14:paraId="11FFA98A" w14:textId="4D2F3C79" w:rsidR="00935B52"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Irritation to eyes and upper respiratory tract, and effects on corneas</w:t>
            </w:r>
            <w:r w:rsidR="00151254">
              <w:rPr>
                <w:rFonts w:asciiTheme="minorHAnsi" w:hAnsiTheme="minorHAnsi" w:cstheme="minorHAnsi"/>
                <w:sz w:val="20"/>
                <w:szCs w:val="20"/>
              </w:rPr>
              <w:t xml:space="preserve"> (Safe Work Australia, 2020)</w:t>
            </w:r>
          </w:p>
          <w:p w14:paraId="6AEAFDE7" w14:textId="39F4B77A" w:rsidR="00B00199" w:rsidRPr="003A2709" w:rsidRDefault="00EF0AD2"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 xml:space="preserve">Central nervous system impairment </w:t>
            </w:r>
            <w:sdt>
              <w:sdtPr>
                <w:rPr>
                  <w:rFonts w:asciiTheme="minorHAnsi" w:hAnsiTheme="minorHAnsi" w:cstheme="minorHAnsi"/>
                  <w:sz w:val="20"/>
                  <w:szCs w:val="20"/>
                </w:rPr>
                <w:id w:val="-1062397847"/>
                <w:citation/>
              </w:sdtPr>
              <w:sdtEndPr/>
              <w:sdtContent>
                <w:r w:rsidR="00C90411" w:rsidRPr="003A2709">
                  <w:rPr>
                    <w:rFonts w:asciiTheme="minorHAnsi" w:hAnsiTheme="minorHAnsi" w:cstheme="minorHAnsi"/>
                    <w:sz w:val="20"/>
                    <w:szCs w:val="20"/>
                  </w:rPr>
                  <w:fldChar w:fldCharType="begin"/>
                </w:r>
                <w:r w:rsidR="00C90411" w:rsidRPr="003A2709">
                  <w:rPr>
                    <w:rFonts w:asciiTheme="minorHAnsi" w:hAnsiTheme="minorHAnsi" w:cstheme="minorHAnsi"/>
                    <w:sz w:val="20"/>
                    <w:szCs w:val="20"/>
                  </w:rPr>
                  <w:instrText xml:space="preserve"> CITATION Saf201 \l 3081 </w:instrText>
                </w:r>
                <w:r w:rsidR="00C90411"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2020)</w:t>
                </w:r>
                <w:r w:rsidR="00C90411" w:rsidRPr="003A2709">
                  <w:rPr>
                    <w:rFonts w:asciiTheme="minorHAnsi" w:hAnsiTheme="minorHAnsi" w:cstheme="minorHAnsi"/>
                    <w:sz w:val="20"/>
                    <w:szCs w:val="20"/>
                  </w:rPr>
                  <w:fldChar w:fldCharType="end"/>
                </w:r>
              </w:sdtContent>
            </w:sdt>
          </w:p>
          <w:p w14:paraId="24A38638" w14:textId="0402C4C6" w:rsidR="00935B52" w:rsidRPr="002F3D55" w:rsidRDefault="0085227C" w:rsidP="002F3D55">
            <w:pPr>
              <w:pStyle w:val="TableNBullet"/>
              <w:spacing w:line="240" w:lineRule="auto"/>
              <w:rPr>
                <w:rFonts w:asciiTheme="minorHAnsi" w:hAnsiTheme="minorHAnsi" w:cstheme="minorHAnsi"/>
                <w:sz w:val="20"/>
                <w:szCs w:val="20"/>
              </w:rPr>
            </w:pPr>
            <w:r w:rsidRPr="000C7348">
              <w:rPr>
                <w:rFonts w:asciiTheme="minorHAnsi" w:hAnsiTheme="minorHAnsi" w:cstheme="minorHAnsi"/>
                <w:sz w:val="20"/>
                <w:szCs w:val="20"/>
              </w:rPr>
              <w:t>Lung function impairment, olfactory fatigue and persistent neurological</w:t>
            </w:r>
            <w:r w:rsidR="006529E5">
              <w:rPr>
                <w:rFonts w:asciiTheme="minorHAnsi" w:hAnsiTheme="minorHAnsi" w:cstheme="minorHAnsi"/>
                <w:sz w:val="20"/>
                <w:szCs w:val="20"/>
              </w:rPr>
              <w:t xml:space="preserve"> and n</w:t>
            </w:r>
            <w:r w:rsidRPr="002F3D55">
              <w:rPr>
                <w:rFonts w:asciiTheme="minorHAnsi" w:hAnsiTheme="minorHAnsi" w:cstheme="minorHAnsi"/>
                <w:sz w:val="20"/>
                <w:szCs w:val="20"/>
              </w:rPr>
              <w:t xml:space="preserve">europsychological abnormalities like hazy sight and photophobia </w:t>
            </w:r>
            <w:sdt>
              <w:sdtPr>
                <w:rPr>
                  <w:rFonts w:asciiTheme="minorHAnsi" w:hAnsiTheme="minorHAnsi" w:cstheme="minorHAnsi"/>
                  <w:sz w:val="20"/>
                  <w:szCs w:val="20"/>
                </w:rPr>
                <w:id w:val="-522701781"/>
                <w:citation/>
              </w:sdtPr>
              <w:sdtEndPr/>
              <w:sdtContent>
                <w:r w:rsidRPr="002F3D55">
                  <w:rPr>
                    <w:rFonts w:asciiTheme="minorHAnsi" w:hAnsiTheme="minorHAnsi" w:cstheme="minorHAnsi"/>
                    <w:sz w:val="20"/>
                    <w:szCs w:val="20"/>
                  </w:rPr>
                  <w:fldChar w:fldCharType="begin"/>
                </w:r>
                <w:r w:rsidRPr="002F3D55">
                  <w:rPr>
                    <w:rFonts w:asciiTheme="minorHAnsi" w:hAnsiTheme="minorHAnsi" w:cstheme="minorHAnsi"/>
                    <w:sz w:val="20"/>
                    <w:szCs w:val="20"/>
                  </w:rPr>
                  <w:instrText xml:space="preserve"> CITATION Dir07 \l 3081  \m Hea14</w:instrText>
                </w:r>
                <w:r w:rsidRPr="002F3D55">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(Directorate-General for Employment, Social Affairs and Inclusion, 2007; Health Council of the Netherlands, 2014)</w:t>
                </w:r>
                <w:r w:rsidRPr="002F3D55">
                  <w:rPr>
                    <w:rFonts w:asciiTheme="minorHAnsi" w:hAnsiTheme="minorHAnsi" w:cstheme="minorHAnsi"/>
                    <w:sz w:val="20"/>
                    <w:szCs w:val="20"/>
                  </w:rPr>
                  <w:fldChar w:fldCharType="end"/>
                </w:r>
              </w:sdtContent>
            </w:sdt>
          </w:p>
        </w:tc>
      </w:tr>
      <w:tr w:rsidR="00D63874" w:rsidRPr="00282770" w14:paraId="74A3EFCE" w14:textId="77777777" w:rsidTr="00B64384">
        <w:trPr>
          <w:trHeight w:val="340"/>
        </w:trPr>
        <w:tc>
          <w:tcPr>
            <w:tcW w:w="967" w:type="pct"/>
            <w:noWrap/>
          </w:tcPr>
          <w:p w14:paraId="5D5589F3" w14:textId="7BE727F6" w:rsidR="00935B52" w:rsidRPr="00282770" w:rsidRDefault="00935B52" w:rsidP="001623A6">
            <w:pPr>
              <w:spacing w:after="80" w:line="240" w:lineRule="auto"/>
              <w:contextualSpacing w:val="0"/>
            </w:pPr>
            <w:r w:rsidRPr="00D301D2">
              <w:t>Nitrogen dioxide</w:t>
            </w:r>
          </w:p>
        </w:tc>
        <w:tc>
          <w:tcPr>
            <w:tcW w:w="4033" w:type="pct"/>
          </w:tcPr>
          <w:p w14:paraId="293A09EB" w14:textId="069980EC" w:rsidR="0085227C" w:rsidRPr="003A2709"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Lower respiratory tract irritation and tissue damage. Exposure may further negatively impact asthmatics</w:t>
            </w:r>
            <w:r w:rsidR="00C90411" w:rsidRPr="003A2709">
              <w:rPr>
                <w:rFonts w:asciiTheme="minorHAnsi" w:hAnsiTheme="minorHAnsi" w:cstheme="minorHAnsi"/>
                <w:sz w:val="20"/>
                <w:szCs w:val="20"/>
              </w:rPr>
              <w:t xml:space="preserve"> </w:t>
            </w:r>
            <w:sdt>
              <w:sdtPr>
                <w:rPr>
                  <w:rFonts w:asciiTheme="minorHAnsi" w:hAnsiTheme="minorHAnsi" w:cstheme="minorHAnsi"/>
                  <w:sz w:val="20"/>
                  <w:szCs w:val="20"/>
                </w:rPr>
                <w:id w:val="-1338606425"/>
                <w:citation/>
              </w:sdtPr>
              <w:sdtEndPr/>
              <w:sdtContent>
                <w:r w:rsidR="00C90411" w:rsidRPr="003A2709">
                  <w:rPr>
                    <w:rFonts w:asciiTheme="minorHAnsi" w:hAnsiTheme="minorHAnsi" w:cstheme="minorHAnsi"/>
                    <w:sz w:val="20"/>
                    <w:szCs w:val="20"/>
                  </w:rPr>
                  <w:fldChar w:fldCharType="begin"/>
                </w:r>
                <w:r w:rsidR="00C90411" w:rsidRPr="003A2709">
                  <w:rPr>
                    <w:rFonts w:asciiTheme="minorHAnsi" w:hAnsiTheme="minorHAnsi" w:cstheme="minorHAnsi"/>
                    <w:sz w:val="20"/>
                    <w:szCs w:val="20"/>
                  </w:rPr>
                  <w:instrText xml:space="preserve"> CITATION Saf202 \l 3081 </w:instrText>
                </w:r>
                <w:r w:rsidR="00C90411"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2020)</w:t>
                </w:r>
                <w:r w:rsidR="00C90411" w:rsidRPr="003A2709">
                  <w:rPr>
                    <w:rFonts w:asciiTheme="minorHAnsi" w:hAnsiTheme="minorHAnsi" w:cstheme="minorHAnsi"/>
                    <w:sz w:val="20"/>
                    <w:szCs w:val="20"/>
                  </w:rPr>
                  <w:fldChar w:fldCharType="end"/>
                </w:r>
              </w:sdtContent>
            </w:sdt>
          </w:p>
          <w:p w14:paraId="47FEA089" w14:textId="5A18A92B" w:rsidR="00792B11" w:rsidRPr="000C7348" w:rsidRDefault="0085227C" w:rsidP="00D301D2">
            <w:pPr>
              <w:pStyle w:val="TableNBullet"/>
              <w:spacing w:line="240" w:lineRule="auto"/>
              <w:rPr>
                <w:rFonts w:asciiTheme="minorHAnsi" w:hAnsiTheme="minorHAnsi" w:cstheme="minorHAnsi"/>
                <w:sz w:val="20"/>
                <w:szCs w:val="20"/>
              </w:rPr>
            </w:pPr>
            <w:r w:rsidRPr="000C7348">
              <w:rPr>
                <w:rFonts w:asciiTheme="minorHAnsi" w:hAnsiTheme="minorHAnsi" w:cstheme="minorHAnsi"/>
                <w:sz w:val="20"/>
                <w:szCs w:val="20"/>
              </w:rPr>
              <w:t>Eye irritation</w:t>
            </w:r>
          </w:p>
          <w:p w14:paraId="3F576322" w14:textId="5B609728" w:rsidR="00792B11" w:rsidRPr="000C7348" w:rsidRDefault="00DB5F39"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C</w:t>
            </w:r>
            <w:r w:rsidR="0085227C" w:rsidRPr="000C7348">
              <w:rPr>
                <w:rFonts w:asciiTheme="minorHAnsi" w:hAnsiTheme="minorHAnsi" w:cstheme="minorHAnsi"/>
                <w:sz w:val="20"/>
                <w:szCs w:val="20"/>
              </w:rPr>
              <w:t>hanges in lung morphology that resembles lung fibrosi</w:t>
            </w:r>
            <w:r>
              <w:rPr>
                <w:rFonts w:asciiTheme="minorHAnsi" w:hAnsiTheme="minorHAnsi" w:cstheme="minorHAnsi"/>
                <w:sz w:val="20"/>
                <w:szCs w:val="20"/>
              </w:rPr>
              <w:t>s</w:t>
            </w:r>
          </w:p>
          <w:p w14:paraId="21781F55" w14:textId="7665FD62" w:rsidR="00792B11" w:rsidRPr="000C7348" w:rsidRDefault="00DB5F39"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O</w:t>
            </w:r>
            <w:r w:rsidR="0085227C" w:rsidRPr="000C7348">
              <w:rPr>
                <w:rFonts w:asciiTheme="minorHAnsi" w:hAnsiTheme="minorHAnsi" w:cstheme="minorHAnsi"/>
                <w:sz w:val="20"/>
                <w:szCs w:val="20"/>
              </w:rPr>
              <w:t xml:space="preserve">ther respiratory and cardiovascular diseases like chronic obstructive pulmonary disease (COPD) </w:t>
            </w:r>
            <w:r w:rsidR="00792B11" w:rsidRPr="000C7348">
              <w:rPr>
                <w:rFonts w:asciiTheme="minorHAnsi" w:hAnsiTheme="minorHAnsi" w:cstheme="minorHAnsi"/>
                <w:sz w:val="20"/>
                <w:szCs w:val="20"/>
              </w:rPr>
              <w:t xml:space="preserve">and </w:t>
            </w:r>
            <w:r w:rsidR="0085227C" w:rsidRPr="000C7348">
              <w:rPr>
                <w:rFonts w:asciiTheme="minorHAnsi" w:hAnsiTheme="minorHAnsi" w:cstheme="minorHAnsi"/>
                <w:sz w:val="20"/>
                <w:szCs w:val="20"/>
              </w:rPr>
              <w:t>hypertension</w:t>
            </w:r>
          </w:p>
          <w:p w14:paraId="359A1EFF" w14:textId="39701A1E" w:rsidR="00935B52" w:rsidRPr="003A2709" w:rsidRDefault="00DB5F39"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E</w:t>
            </w:r>
            <w:r w:rsidR="0085227C" w:rsidRPr="000C7348">
              <w:rPr>
                <w:rFonts w:asciiTheme="minorHAnsi" w:hAnsiTheme="minorHAnsi" w:cstheme="minorHAnsi"/>
                <w:sz w:val="20"/>
                <w:szCs w:val="20"/>
              </w:rPr>
              <w:t xml:space="preserve">xacerbate pre-existing heart disease in workers </w:t>
            </w:r>
            <w:sdt>
              <w:sdtPr>
                <w:rPr>
                  <w:rFonts w:asciiTheme="minorHAnsi" w:hAnsiTheme="minorHAnsi" w:cstheme="minorHAnsi"/>
                  <w:sz w:val="20"/>
                  <w:szCs w:val="20"/>
                </w:rPr>
                <w:id w:val="1334414575"/>
                <w:citation/>
              </w:sdtPr>
              <w:sdtEndPr/>
              <w:sdtContent>
                <w:r w:rsidR="0085227C" w:rsidRPr="000C7348">
                  <w:rPr>
                    <w:rFonts w:asciiTheme="minorHAnsi" w:hAnsiTheme="minorHAnsi" w:cstheme="minorHAnsi"/>
                    <w:sz w:val="20"/>
                    <w:szCs w:val="20"/>
                  </w:rPr>
                  <w:fldChar w:fldCharType="begin"/>
                </w:r>
                <w:r w:rsidR="0085227C" w:rsidRPr="000C7348">
                  <w:rPr>
                    <w:rFonts w:asciiTheme="minorHAnsi" w:hAnsiTheme="minorHAnsi" w:cstheme="minorHAnsi"/>
                    <w:sz w:val="20"/>
                    <w:szCs w:val="20"/>
                  </w:rPr>
                  <w:instrText xml:space="preserve"> CITATION Hea04 \l 3081  \m Sel25 \m Saf201</w:instrText>
                </w:r>
                <w:r w:rsidR="0085227C"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(Health Council of The Netherlands, 2004; Sell, Plass, Kienzler, &amp; Zeeb, 2025; Safe Work Australia, 2020)</w:t>
                </w:r>
                <w:r w:rsidR="0085227C" w:rsidRPr="000C7348">
                  <w:rPr>
                    <w:rFonts w:asciiTheme="minorHAnsi" w:hAnsiTheme="minorHAnsi" w:cstheme="minorHAnsi"/>
                    <w:sz w:val="20"/>
                    <w:szCs w:val="20"/>
                  </w:rPr>
                  <w:fldChar w:fldCharType="end"/>
                </w:r>
              </w:sdtContent>
            </w:sdt>
          </w:p>
        </w:tc>
      </w:tr>
      <w:tr w:rsidR="00D301D2" w:rsidRPr="00282770" w14:paraId="22E67A48" w14:textId="77777777" w:rsidTr="00B64384">
        <w:trPr>
          <w:trHeight w:val="340"/>
        </w:trPr>
        <w:tc>
          <w:tcPr>
            <w:tcW w:w="0" w:type="pct"/>
            <w:noWrap/>
          </w:tcPr>
          <w:p w14:paraId="3065B38D" w14:textId="6DF4F396" w:rsidR="00935B52" w:rsidRPr="00282770" w:rsidRDefault="00935B52" w:rsidP="001623A6">
            <w:pPr>
              <w:spacing w:after="80" w:line="240" w:lineRule="auto"/>
              <w:contextualSpacing w:val="0"/>
            </w:pPr>
            <w:r w:rsidRPr="00D301D2">
              <w:t>RCS</w:t>
            </w:r>
          </w:p>
        </w:tc>
        <w:tc>
          <w:tcPr>
            <w:tcW w:w="0" w:type="pct"/>
          </w:tcPr>
          <w:p w14:paraId="402C03B5" w14:textId="1505602E" w:rsidR="00935B52"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 xml:space="preserve">Adverse effects on the lungs, including silicosis, fibrosis, lung cancer and/or tuberculosis </w:t>
            </w:r>
          </w:p>
          <w:p w14:paraId="7397031A" w14:textId="7259E496" w:rsidR="00935B52" w:rsidRPr="003A2709" w:rsidRDefault="00935B52" w:rsidP="00935B5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Renal disease or disorders</w:t>
            </w:r>
          </w:p>
          <w:p w14:paraId="593BCB7B" w14:textId="3470A2BE" w:rsidR="007F5E9F" w:rsidRDefault="00935B52" w:rsidP="1D397EB2">
            <w:pPr>
              <w:pStyle w:val="TableNBullet"/>
              <w:spacing w:line="240" w:lineRule="auto"/>
              <w:rPr>
                <w:rFonts w:asciiTheme="minorHAnsi" w:hAnsiTheme="minorHAnsi" w:cstheme="minorBidi"/>
                <w:sz w:val="20"/>
                <w:szCs w:val="20"/>
              </w:rPr>
            </w:pPr>
            <w:r w:rsidRPr="1D397EB2">
              <w:rPr>
                <w:rFonts w:asciiTheme="minorHAnsi" w:hAnsiTheme="minorHAnsi" w:cstheme="minorBidi"/>
                <w:sz w:val="20"/>
                <w:szCs w:val="20"/>
              </w:rPr>
              <w:t xml:space="preserve">Autoimmune </w:t>
            </w:r>
            <w:r w:rsidR="007F5E9F">
              <w:rPr>
                <w:rFonts w:asciiTheme="minorHAnsi" w:hAnsiTheme="minorHAnsi" w:cstheme="minorBidi"/>
                <w:sz w:val="20"/>
                <w:szCs w:val="20"/>
              </w:rPr>
              <w:t>diseases</w:t>
            </w:r>
            <w:r w:rsidRPr="1D397EB2">
              <w:rPr>
                <w:rFonts w:asciiTheme="minorHAnsi" w:hAnsiTheme="minorHAnsi" w:cstheme="minorBidi"/>
                <w:sz w:val="20"/>
                <w:szCs w:val="20"/>
              </w:rPr>
              <w:t xml:space="preserve"> such as scleroderma, rheumatoid arthritis and/or sarcoidosis</w:t>
            </w:r>
            <w:r w:rsidR="00C90411" w:rsidRPr="1D397EB2">
              <w:rPr>
                <w:rFonts w:asciiTheme="minorHAnsi" w:hAnsiTheme="minorHAnsi" w:cstheme="minorBidi"/>
                <w:sz w:val="20"/>
                <w:szCs w:val="20"/>
              </w:rPr>
              <w:t xml:space="preserve"> </w:t>
            </w:r>
            <w:sdt>
              <w:sdtPr>
                <w:rPr>
                  <w:rFonts w:asciiTheme="minorHAnsi" w:hAnsiTheme="minorHAnsi" w:cstheme="minorBidi"/>
                  <w:sz w:val="20"/>
                  <w:szCs w:val="20"/>
                </w:rPr>
                <w:id w:val="-2048751785"/>
                <w:citation/>
              </w:sdtPr>
              <w:sdtEndPr/>
              <w:sdtContent>
                <w:r w:rsidR="00C90411" w:rsidRPr="1D397EB2">
                  <w:rPr>
                    <w:rFonts w:asciiTheme="minorHAnsi" w:hAnsiTheme="minorHAnsi" w:cstheme="minorBidi"/>
                    <w:sz w:val="20"/>
                    <w:szCs w:val="20"/>
                  </w:rPr>
                  <w:fldChar w:fldCharType="begin"/>
                </w:r>
                <w:r w:rsidR="00C90411" w:rsidRPr="1D397EB2">
                  <w:rPr>
                    <w:rFonts w:asciiTheme="minorHAnsi" w:hAnsiTheme="minorHAnsi" w:cstheme="minorBidi"/>
                    <w:sz w:val="20"/>
                    <w:szCs w:val="20"/>
                  </w:rPr>
                  <w:instrText xml:space="preserve"> CITATION Saf195 \l 3081 </w:instrText>
                </w:r>
                <w:r w:rsidR="00C90411" w:rsidRPr="1D397EB2">
                  <w:rPr>
                    <w:rFonts w:asciiTheme="minorHAnsi" w:hAnsiTheme="minorHAnsi" w:cstheme="minorBidi"/>
                    <w:sz w:val="20"/>
                    <w:szCs w:val="20"/>
                  </w:rPr>
                  <w:fldChar w:fldCharType="separate"/>
                </w:r>
                <w:r w:rsidR="00490B21" w:rsidRPr="00490B21">
                  <w:rPr>
                    <w:rFonts w:asciiTheme="minorHAnsi" w:hAnsiTheme="minorHAnsi" w:cstheme="minorBidi"/>
                    <w:noProof/>
                    <w:sz w:val="20"/>
                    <w:szCs w:val="20"/>
                  </w:rPr>
                  <w:t>(Safe Work Australia, 2019)</w:t>
                </w:r>
                <w:r w:rsidR="00C90411" w:rsidRPr="1D397EB2">
                  <w:rPr>
                    <w:rFonts w:asciiTheme="minorHAnsi" w:hAnsiTheme="minorHAnsi" w:cstheme="minorBidi"/>
                    <w:sz w:val="20"/>
                    <w:szCs w:val="20"/>
                  </w:rPr>
                  <w:fldChar w:fldCharType="end"/>
                </w:r>
              </w:sdtContent>
            </w:sdt>
            <w:r w:rsidRPr="1D397EB2">
              <w:rPr>
                <w:rFonts w:asciiTheme="minorHAnsi" w:hAnsiTheme="minorHAnsi" w:cstheme="minorBidi"/>
                <w:sz w:val="20"/>
                <w:szCs w:val="20"/>
              </w:rPr>
              <w:t xml:space="preserve"> </w:t>
            </w:r>
          </w:p>
          <w:p w14:paraId="5A4413C9" w14:textId="46F56828" w:rsidR="007F5E9F" w:rsidRPr="000C7348" w:rsidRDefault="006529E5" w:rsidP="1D397EB2">
            <w:pPr>
              <w:pStyle w:val="TableNBullet"/>
              <w:spacing w:line="240" w:lineRule="auto"/>
              <w:rPr>
                <w:rFonts w:asciiTheme="minorHAnsi" w:hAnsiTheme="minorHAnsi" w:cstheme="minorBidi"/>
                <w:sz w:val="20"/>
                <w:szCs w:val="20"/>
              </w:rPr>
            </w:pPr>
            <w:r>
              <w:rPr>
                <w:rFonts w:asciiTheme="minorHAnsi" w:hAnsiTheme="minorHAnsi" w:cstheme="minorHAnsi"/>
                <w:sz w:val="20"/>
                <w:szCs w:val="20"/>
              </w:rPr>
              <w:t>C</w:t>
            </w:r>
            <w:r w:rsidR="007F5E9F" w:rsidRPr="000C7348">
              <w:rPr>
                <w:rFonts w:asciiTheme="minorHAnsi" w:hAnsiTheme="minorHAnsi" w:cstheme="minorHAnsi"/>
                <w:sz w:val="20"/>
                <w:szCs w:val="20"/>
              </w:rPr>
              <w:t xml:space="preserve">hronic obstructive pulmonary disease </w:t>
            </w:r>
            <w:sdt>
              <w:sdtPr>
                <w:rPr>
                  <w:rFonts w:asciiTheme="minorHAnsi" w:hAnsiTheme="minorHAnsi" w:cstheme="minorHAnsi"/>
                  <w:sz w:val="20"/>
                  <w:szCs w:val="20"/>
                </w:rPr>
                <w:id w:val="-368772320"/>
                <w:citation/>
              </w:sdtPr>
              <w:sdtEndPr/>
              <w:sdtContent>
                <w:r w:rsidR="007F5E9F" w:rsidRPr="000C7348">
                  <w:rPr>
                    <w:rFonts w:asciiTheme="minorHAnsi" w:hAnsiTheme="minorHAnsi" w:cstheme="minorHAnsi"/>
                    <w:sz w:val="20"/>
                    <w:szCs w:val="20"/>
                  </w:rPr>
                  <w:fldChar w:fldCharType="begin"/>
                </w:r>
                <w:r w:rsidR="007F5E9F" w:rsidRPr="000C7348">
                  <w:rPr>
                    <w:rFonts w:asciiTheme="minorHAnsi" w:hAnsiTheme="minorHAnsi" w:cstheme="minorHAnsi"/>
                    <w:sz w:val="20"/>
                    <w:szCs w:val="20"/>
                  </w:rPr>
                  <w:instrText xml:space="preserve"> CITATION Saf241 \l 3081 </w:instrText>
                </w:r>
                <w:r w:rsidR="00A51F5D" w:rsidRPr="000C7348">
                  <w:rPr>
                    <w:rFonts w:asciiTheme="minorHAnsi" w:hAnsiTheme="minorHAnsi" w:cstheme="minorHAnsi"/>
                    <w:sz w:val="20"/>
                    <w:szCs w:val="20"/>
                  </w:rPr>
                  <w:instrText xml:space="preserve"> \m Lunnd</w:instrText>
                </w:r>
                <w:r w:rsidR="007F5E9F"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2024; Lung Foundation Australia, n.d.)</w:t>
                </w:r>
                <w:r w:rsidR="007F5E9F" w:rsidRPr="000C7348">
                  <w:rPr>
                    <w:rFonts w:asciiTheme="minorHAnsi" w:hAnsiTheme="minorHAnsi" w:cstheme="minorHAnsi"/>
                    <w:sz w:val="20"/>
                    <w:szCs w:val="20"/>
                  </w:rPr>
                  <w:fldChar w:fldCharType="end"/>
                </w:r>
              </w:sdtContent>
            </w:sdt>
            <w:r w:rsidR="007F5E9F" w:rsidRPr="000C7348">
              <w:rPr>
                <w:rFonts w:asciiTheme="minorHAnsi" w:hAnsiTheme="minorHAnsi" w:cstheme="minorHAnsi"/>
                <w:sz w:val="20"/>
                <w:szCs w:val="20"/>
              </w:rPr>
              <w:t xml:space="preserve"> </w:t>
            </w:r>
          </w:p>
          <w:p w14:paraId="480BCC48" w14:textId="058CB0B0" w:rsidR="007F5E9F" w:rsidRPr="000C7348" w:rsidRDefault="006529E5" w:rsidP="1D397EB2">
            <w:pPr>
              <w:pStyle w:val="TableNBullet"/>
              <w:spacing w:line="240" w:lineRule="auto"/>
              <w:rPr>
                <w:rFonts w:asciiTheme="minorHAnsi" w:hAnsiTheme="minorHAnsi" w:cstheme="minorBidi"/>
                <w:sz w:val="20"/>
                <w:szCs w:val="20"/>
              </w:rPr>
            </w:pPr>
            <w:r>
              <w:rPr>
                <w:rFonts w:asciiTheme="minorHAnsi" w:hAnsiTheme="minorHAnsi" w:cstheme="minorHAnsi"/>
                <w:sz w:val="20"/>
                <w:szCs w:val="20"/>
              </w:rPr>
              <w:t>A</w:t>
            </w:r>
            <w:r w:rsidR="007F5E9F" w:rsidRPr="000C7348">
              <w:rPr>
                <w:rFonts w:asciiTheme="minorHAnsi" w:hAnsiTheme="minorHAnsi" w:cstheme="minorHAnsi"/>
                <w:sz w:val="20"/>
                <w:szCs w:val="20"/>
              </w:rPr>
              <w:t>ctivation of latent tuberculosis</w:t>
            </w:r>
            <w:r w:rsidR="00A51F5D" w:rsidRPr="000C7348">
              <w:rPr>
                <w:rFonts w:asciiTheme="minorHAnsi" w:hAnsiTheme="minorHAnsi" w:cstheme="minorHAnsi"/>
                <w:sz w:val="20"/>
                <w:szCs w:val="20"/>
              </w:rPr>
              <w:t xml:space="preserve"> </w:t>
            </w:r>
            <w:sdt>
              <w:sdtPr>
                <w:rPr>
                  <w:rFonts w:asciiTheme="minorHAnsi" w:hAnsiTheme="minorHAnsi" w:cstheme="minorHAnsi"/>
                  <w:sz w:val="20"/>
                  <w:szCs w:val="20"/>
                </w:rPr>
                <w:id w:val="1664122557"/>
                <w:citation/>
              </w:sdtPr>
              <w:sdtEndPr/>
              <w:sdtContent>
                <w:r w:rsidR="00A51F5D" w:rsidRPr="000C7348">
                  <w:rPr>
                    <w:rFonts w:asciiTheme="minorHAnsi" w:hAnsiTheme="minorHAnsi" w:cstheme="minorHAnsi"/>
                    <w:sz w:val="20"/>
                    <w:szCs w:val="20"/>
                  </w:rPr>
                  <w:fldChar w:fldCharType="begin"/>
                </w:r>
                <w:r w:rsidR="00A51F5D" w:rsidRPr="000C7348">
                  <w:rPr>
                    <w:rFonts w:asciiTheme="minorHAnsi" w:hAnsiTheme="minorHAnsi" w:cstheme="minorHAnsi"/>
                    <w:sz w:val="20"/>
                    <w:szCs w:val="20"/>
                  </w:rPr>
                  <w:instrText xml:space="preserve"> CITATION Saf241 \l 3081 </w:instrText>
                </w:r>
                <w:r w:rsidR="00A51F5D"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2024)</w:t>
                </w:r>
                <w:r w:rsidR="00A51F5D" w:rsidRPr="000C7348">
                  <w:rPr>
                    <w:rFonts w:asciiTheme="minorHAnsi" w:hAnsiTheme="minorHAnsi" w:cstheme="minorHAnsi"/>
                    <w:sz w:val="20"/>
                    <w:szCs w:val="20"/>
                  </w:rPr>
                  <w:fldChar w:fldCharType="end"/>
                </w:r>
              </w:sdtContent>
            </w:sdt>
          </w:p>
          <w:p w14:paraId="48A5FCF7" w14:textId="402719DA" w:rsidR="00935B52" w:rsidRPr="00D301D2" w:rsidRDefault="006529E5" w:rsidP="1D397EB2">
            <w:pPr>
              <w:pStyle w:val="TableNBullet"/>
              <w:spacing w:line="240" w:lineRule="auto"/>
              <w:rPr>
                <w:rFonts w:asciiTheme="minorHAnsi" w:hAnsiTheme="minorHAnsi" w:cstheme="minorBidi"/>
                <w:sz w:val="20"/>
                <w:szCs w:val="20"/>
              </w:rPr>
            </w:pPr>
            <w:r>
              <w:rPr>
                <w:rFonts w:asciiTheme="minorHAnsi" w:hAnsiTheme="minorHAnsi" w:cstheme="minorHAnsi"/>
                <w:sz w:val="20"/>
                <w:szCs w:val="20"/>
              </w:rPr>
              <w:t>E</w:t>
            </w:r>
            <w:r w:rsidR="007F5E9F" w:rsidRPr="000C7348">
              <w:rPr>
                <w:rFonts w:asciiTheme="minorHAnsi" w:hAnsiTheme="minorHAnsi" w:cstheme="minorHAnsi"/>
                <w:sz w:val="20"/>
                <w:szCs w:val="20"/>
              </w:rPr>
              <w:t xml:space="preserve">ye irritation and eye damage </w:t>
            </w:r>
            <w:sdt>
              <w:sdtPr>
                <w:rPr>
                  <w:rFonts w:asciiTheme="minorHAnsi" w:hAnsiTheme="minorHAnsi" w:cstheme="minorHAnsi"/>
                  <w:sz w:val="20"/>
                  <w:szCs w:val="20"/>
                </w:rPr>
                <w:id w:val="-645666789"/>
                <w:citation/>
              </w:sdtPr>
              <w:sdtEndPr/>
              <w:sdtContent>
                <w:r w:rsidR="007F5E9F" w:rsidRPr="000C7348">
                  <w:rPr>
                    <w:rFonts w:asciiTheme="minorHAnsi" w:hAnsiTheme="minorHAnsi" w:cstheme="minorHAnsi"/>
                    <w:sz w:val="20"/>
                    <w:szCs w:val="20"/>
                  </w:rPr>
                  <w:fldChar w:fldCharType="begin"/>
                </w:r>
                <w:r w:rsidR="00A51F5D" w:rsidRPr="000C7348">
                  <w:rPr>
                    <w:rFonts w:asciiTheme="minorHAnsi" w:hAnsiTheme="minorHAnsi" w:cstheme="minorHAnsi"/>
                    <w:sz w:val="20"/>
                    <w:szCs w:val="20"/>
                  </w:rPr>
                  <w:instrText xml:space="preserve">CITATION Occnd \l 3081 </w:instrText>
                </w:r>
                <w:r w:rsidR="007F5E9F"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(Occupational Safety and Health Adminstration, n.d.)</w:t>
                </w:r>
                <w:r w:rsidR="007F5E9F" w:rsidRPr="000C7348">
                  <w:rPr>
                    <w:rFonts w:asciiTheme="minorHAnsi" w:hAnsiTheme="minorHAnsi" w:cstheme="minorHAnsi"/>
                    <w:sz w:val="20"/>
                    <w:szCs w:val="20"/>
                  </w:rPr>
                  <w:fldChar w:fldCharType="end"/>
                </w:r>
              </w:sdtContent>
            </w:sdt>
          </w:p>
        </w:tc>
      </w:tr>
      <w:tr w:rsidR="00D63874" w:rsidRPr="00282770" w14:paraId="7C06AAEE" w14:textId="77777777" w:rsidTr="00B64384">
        <w:trPr>
          <w:trHeight w:val="340"/>
        </w:trPr>
        <w:tc>
          <w:tcPr>
            <w:tcW w:w="967" w:type="pct"/>
            <w:noWrap/>
          </w:tcPr>
          <w:p w14:paraId="28DDBEB7" w14:textId="6931BEFF" w:rsidR="00935B52" w:rsidRPr="00282770" w:rsidRDefault="00935B52" w:rsidP="001623A6">
            <w:pPr>
              <w:spacing w:after="80" w:line="240" w:lineRule="auto"/>
              <w:contextualSpacing w:val="0"/>
            </w:pPr>
            <w:r w:rsidRPr="00D301D2">
              <w:t>Titanium dioxide</w:t>
            </w:r>
          </w:p>
        </w:tc>
        <w:tc>
          <w:tcPr>
            <w:tcW w:w="4033" w:type="pct"/>
          </w:tcPr>
          <w:p w14:paraId="6CA30953" w14:textId="12C7FBFE" w:rsidR="00A51F5D" w:rsidRPr="000C7348" w:rsidRDefault="00935B52" w:rsidP="00D301D2">
            <w:pPr>
              <w:pStyle w:val="TableNBullet"/>
              <w:spacing w:line="240" w:lineRule="auto"/>
              <w:rPr>
                <w:rFonts w:asciiTheme="minorHAnsi" w:hAnsiTheme="minorHAnsi" w:cstheme="minorHAnsi"/>
                <w:sz w:val="20"/>
                <w:szCs w:val="20"/>
              </w:rPr>
            </w:pPr>
            <w:r w:rsidRPr="003A2709">
              <w:rPr>
                <w:rFonts w:asciiTheme="minorHAnsi" w:hAnsiTheme="minorHAnsi" w:cstheme="minorHAnsi"/>
                <w:sz w:val="20"/>
                <w:szCs w:val="20"/>
              </w:rPr>
              <w:t>Cancer and reduced lung function</w:t>
            </w:r>
            <w:r w:rsidR="00C90411" w:rsidRPr="003A2709">
              <w:rPr>
                <w:rFonts w:asciiTheme="minorHAnsi" w:hAnsiTheme="minorHAnsi" w:cstheme="minorHAnsi"/>
                <w:sz w:val="20"/>
                <w:szCs w:val="20"/>
              </w:rPr>
              <w:t xml:space="preserve"> </w:t>
            </w:r>
            <w:sdt>
              <w:sdtPr>
                <w:rPr>
                  <w:rFonts w:asciiTheme="minorHAnsi" w:hAnsiTheme="minorHAnsi" w:cstheme="minorHAnsi"/>
                  <w:sz w:val="20"/>
                  <w:szCs w:val="20"/>
                </w:rPr>
                <w:id w:val="585125127"/>
                <w:citation/>
              </w:sdtPr>
              <w:sdtEndPr/>
              <w:sdtContent>
                <w:r w:rsidR="00C90411" w:rsidRPr="003A2709">
                  <w:rPr>
                    <w:rFonts w:asciiTheme="minorHAnsi" w:hAnsiTheme="minorHAnsi" w:cstheme="minorHAnsi"/>
                    <w:sz w:val="20"/>
                    <w:szCs w:val="20"/>
                  </w:rPr>
                  <w:fldChar w:fldCharType="begin"/>
                </w:r>
                <w:r w:rsidR="00C90411" w:rsidRPr="003A2709">
                  <w:rPr>
                    <w:rFonts w:asciiTheme="minorHAnsi" w:hAnsiTheme="minorHAnsi" w:cstheme="minorHAnsi"/>
                    <w:sz w:val="20"/>
                    <w:szCs w:val="20"/>
                  </w:rPr>
                  <w:instrText xml:space="preserve"> CITATION Saf21 \l 3081 </w:instrText>
                </w:r>
                <w:r w:rsidR="00C90411" w:rsidRPr="003A2709">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2021)</w:t>
                </w:r>
                <w:r w:rsidR="00C90411" w:rsidRPr="003A2709">
                  <w:rPr>
                    <w:rFonts w:asciiTheme="minorHAnsi" w:hAnsiTheme="minorHAnsi" w:cstheme="minorHAnsi"/>
                    <w:sz w:val="20"/>
                    <w:szCs w:val="20"/>
                  </w:rPr>
                  <w:fldChar w:fldCharType="end"/>
                </w:r>
              </w:sdtContent>
            </w:sdt>
            <w:r w:rsidR="00A51F5D" w:rsidRPr="000C7348">
              <w:rPr>
                <w:rFonts w:asciiTheme="minorHAnsi" w:hAnsiTheme="minorHAnsi" w:cstheme="minorHAnsi"/>
                <w:sz w:val="20"/>
                <w:szCs w:val="20"/>
              </w:rPr>
              <w:t xml:space="preserve"> </w:t>
            </w:r>
          </w:p>
          <w:p w14:paraId="0E7EBA22" w14:textId="31447FFE" w:rsidR="00F273C6" w:rsidRPr="000C7348" w:rsidRDefault="006529E5"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P</w:t>
            </w:r>
            <w:r w:rsidR="00A51F5D" w:rsidRPr="000C7348">
              <w:rPr>
                <w:rFonts w:asciiTheme="minorHAnsi" w:hAnsiTheme="minorHAnsi" w:cstheme="minorHAnsi"/>
                <w:sz w:val="20"/>
                <w:szCs w:val="20"/>
              </w:rPr>
              <w:t>ulmonary inflammation</w:t>
            </w:r>
            <w:r w:rsidR="00F273C6" w:rsidRPr="000C7348">
              <w:rPr>
                <w:rFonts w:asciiTheme="minorHAnsi" w:hAnsiTheme="minorHAnsi" w:cstheme="minorHAnsi"/>
                <w:sz w:val="20"/>
                <w:szCs w:val="20"/>
              </w:rPr>
              <w:t xml:space="preserve"> </w:t>
            </w:r>
            <w:sdt>
              <w:sdtPr>
                <w:rPr>
                  <w:rFonts w:asciiTheme="minorHAnsi" w:hAnsiTheme="minorHAnsi" w:cstheme="minorHAnsi"/>
                  <w:sz w:val="20"/>
                  <w:szCs w:val="20"/>
                </w:rPr>
                <w:id w:val="789793231"/>
                <w:citation/>
              </w:sdtPr>
              <w:sdtEndPr/>
              <w:sdtContent>
                <w:r w:rsidR="00F273C6" w:rsidRPr="000C7348">
                  <w:rPr>
                    <w:rFonts w:asciiTheme="minorHAnsi" w:hAnsiTheme="minorHAnsi" w:cstheme="minorHAnsi"/>
                    <w:sz w:val="20"/>
                    <w:szCs w:val="20"/>
                  </w:rPr>
                  <w:fldChar w:fldCharType="begin"/>
                </w:r>
                <w:r w:rsidR="00F273C6" w:rsidRPr="000C7348">
                  <w:rPr>
                    <w:rFonts w:asciiTheme="minorHAnsi" w:hAnsiTheme="minorHAnsi" w:cstheme="minorHAnsi"/>
                    <w:sz w:val="20"/>
                    <w:szCs w:val="20"/>
                  </w:rPr>
                  <w:instrText xml:space="preserve"> CITATION Nat11 \l 3081 </w:instrText>
                </w:r>
                <w:r w:rsidR="00F273C6"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(National Insitute of Occupational Safety and Health, 2011)</w:t>
                </w:r>
                <w:r w:rsidR="00F273C6" w:rsidRPr="000C7348">
                  <w:rPr>
                    <w:rFonts w:asciiTheme="minorHAnsi" w:hAnsiTheme="minorHAnsi" w:cstheme="minorHAnsi"/>
                    <w:sz w:val="20"/>
                    <w:szCs w:val="20"/>
                  </w:rPr>
                  <w:fldChar w:fldCharType="end"/>
                </w:r>
              </w:sdtContent>
            </w:sdt>
          </w:p>
          <w:p w14:paraId="5DEA2E7F" w14:textId="207F96FD" w:rsidR="00935B52" w:rsidRPr="003A2709" w:rsidRDefault="006529E5" w:rsidP="00D301D2">
            <w:pPr>
              <w:pStyle w:val="TableNBullet"/>
              <w:spacing w:line="240" w:lineRule="auto"/>
              <w:rPr>
                <w:rFonts w:asciiTheme="minorHAnsi" w:hAnsiTheme="minorHAnsi" w:cstheme="minorHAnsi"/>
                <w:sz w:val="20"/>
                <w:szCs w:val="20"/>
              </w:rPr>
            </w:pPr>
            <w:r>
              <w:rPr>
                <w:rFonts w:asciiTheme="minorHAnsi" w:hAnsiTheme="minorHAnsi" w:cstheme="minorHAnsi"/>
                <w:sz w:val="20"/>
                <w:szCs w:val="20"/>
              </w:rPr>
              <w:t>R</w:t>
            </w:r>
            <w:r w:rsidR="00A51F5D" w:rsidRPr="000C7348">
              <w:rPr>
                <w:rFonts w:asciiTheme="minorHAnsi" w:hAnsiTheme="minorHAnsi" w:cstheme="minorHAnsi"/>
                <w:sz w:val="20"/>
                <w:szCs w:val="20"/>
              </w:rPr>
              <w:t xml:space="preserve">espiratory tract irritation and pulmonary overload </w:t>
            </w:r>
            <w:sdt>
              <w:sdtPr>
                <w:rPr>
                  <w:rFonts w:asciiTheme="minorHAnsi" w:hAnsiTheme="minorHAnsi" w:cstheme="minorHAnsi"/>
                  <w:sz w:val="20"/>
                  <w:szCs w:val="20"/>
                </w:rPr>
                <w:id w:val="1379210954"/>
                <w:citation/>
              </w:sdtPr>
              <w:sdtEndPr/>
              <w:sdtContent>
                <w:r w:rsidR="00A51F5D" w:rsidRPr="000C7348">
                  <w:rPr>
                    <w:rFonts w:asciiTheme="minorHAnsi" w:hAnsiTheme="minorHAnsi" w:cstheme="minorHAnsi"/>
                    <w:sz w:val="20"/>
                    <w:szCs w:val="20"/>
                  </w:rPr>
                  <w:fldChar w:fldCharType="begin"/>
                </w:r>
                <w:r w:rsidR="00F273C6" w:rsidRPr="000C7348">
                  <w:rPr>
                    <w:rFonts w:asciiTheme="minorHAnsi" w:hAnsiTheme="minorHAnsi" w:cstheme="minorHAnsi"/>
                    <w:sz w:val="20"/>
                    <w:szCs w:val="20"/>
                  </w:rPr>
                  <w:instrText xml:space="preserve">CITATION Saf21 \l 3081 </w:instrText>
                </w:r>
                <w:r w:rsidR="00A51F5D" w:rsidRPr="000C7348">
                  <w:rPr>
                    <w:rFonts w:asciiTheme="minorHAnsi" w:hAnsiTheme="minorHAnsi" w:cstheme="minorHAnsi"/>
                    <w:sz w:val="20"/>
                    <w:szCs w:val="20"/>
                  </w:rPr>
                  <w:fldChar w:fldCharType="separate"/>
                </w:r>
                <w:r w:rsidR="00490B21" w:rsidRPr="00490B21">
                  <w:rPr>
                    <w:rFonts w:asciiTheme="minorHAnsi" w:hAnsiTheme="minorHAnsi" w:cstheme="minorHAnsi"/>
                    <w:noProof/>
                    <w:sz w:val="20"/>
                    <w:szCs w:val="20"/>
                  </w:rPr>
                  <w:t>(Safe Work Australia, 2021)</w:t>
                </w:r>
                <w:r w:rsidR="00A51F5D" w:rsidRPr="000C7348">
                  <w:rPr>
                    <w:rFonts w:asciiTheme="minorHAnsi" w:hAnsiTheme="minorHAnsi" w:cstheme="minorHAnsi"/>
                    <w:sz w:val="20"/>
                    <w:szCs w:val="20"/>
                  </w:rPr>
                  <w:fldChar w:fldCharType="end"/>
                </w:r>
              </w:sdtContent>
            </w:sdt>
          </w:p>
        </w:tc>
      </w:tr>
    </w:tbl>
    <w:p w14:paraId="559AC695" w14:textId="77777777" w:rsidR="00050123" w:rsidRDefault="00050123" w:rsidP="00496A18">
      <w:pPr>
        <w:spacing w:line="240" w:lineRule="atLeast"/>
        <w:contextualSpacing w:val="0"/>
        <w:rPr>
          <w:rFonts w:eastAsia="Times New Roman"/>
          <w:lang w:eastAsia="en-AU"/>
        </w:rPr>
      </w:pPr>
    </w:p>
    <w:p w14:paraId="0A0B1124" w14:textId="0A01CE11" w:rsidR="00496A18" w:rsidRPr="00976823" w:rsidRDefault="00FC0BBD" w:rsidP="00707ADD">
      <w:pPr>
        <w:pStyle w:val="SWAHeading2"/>
        <w:ind w:left="709"/>
        <w:rPr>
          <w:lang w:eastAsia="en-AU"/>
        </w:rPr>
      </w:pPr>
      <w:bookmarkStart w:id="19" w:name="_Toc219216859"/>
      <w:r w:rsidRPr="00FC0BBD">
        <w:rPr>
          <w:lang w:eastAsia="en-AU"/>
        </w:rPr>
        <w:lastRenderedPageBreak/>
        <w:t xml:space="preserve">Occupational </w:t>
      </w:r>
      <w:r w:rsidR="62A1920B" w:rsidRPr="72A60810">
        <w:rPr>
          <w:lang w:eastAsia="en-AU"/>
        </w:rPr>
        <w:t>disease</w:t>
      </w:r>
      <w:r w:rsidRPr="72A60810">
        <w:rPr>
          <w:lang w:eastAsia="en-AU"/>
        </w:rPr>
        <w:t xml:space="preserve"> </w:t>
      </w:r>
      <w:r w:rsidR="00E6095E" w:rsidRPr="00E6095E">
        <w:rPr>
          <w:lang w:eastAsia="en-AU"/>
        </w:rPr>
        <w:t>has direct and indirect</w:t>
      </w:r>
      <w:r w:rsidRPr="00FC0BBD">
        <w:rPr>
          <w:lang w:eastAsia="en-AU"/>
        </w:rPr>
        <w:t xml:space="preserve"> impacts </w:t>
      </w:r>
      <w:r w:rsidR="55FED9E3" w:rsidRPr="41E1367C">
        <w:rPr>
          <w:lang w:eastAsia="en-AU"/>
        </w:rPr>
        <w:t xml:space="preserve">on </w:t>
      </w:r>
      <w:r w:rsidR="00A30A3A" w:rsidRPr="41E1367C">
        <w:rPr>
          <w:lang w:eastAsia="en-AU"/>
        </w:rPr>
        <w:t>workers</w:t>
      </w:r>
      <w:r w:rsidR="00A30A3A" w:rsidRPr="00976823">
        <w:rPr>
          <w:lang w:eastAsia="en-AU"/>
        </w:rPr>
        <w:t xml:space="preserve">, </w:t>
      </w:r>
      <w:r w:rsidR="004E346F">
        <w:rPr>
          <w:lang w:eastAsia="en-AU"/>
        </w:rPr>
        <w:t xml:space="preserve">their families, </w:t>
      </w:r>
      <w:r w:rsidR="00454A8E">
        <w:rPr>
          <w:lang w:eastAsia="en-AU"/>
        </w:rPr>
        <w:t>PCBUs</w:t>
      </w:r>
      <w:r w:rsidR="00454A8E" w:rsidRPr="00976823">
        <w:rPr>
          <w:lang w:eastAsia="en-AU"/>
        </w:rPr>
        <w:t xml:space="preserve"> </w:t>
      </w:r>
      <w:r w:rsidR="00A30A3A" w:rsidRPr="00976823">
        <w:rPr>
          <w:lang w:eastAsia="en-AU"/>
        </w:rPr>
        <w:t xml:space="preserve">and </w:t>
      </w:r>
      <w:r w:rsidR="004635C4" w:rsidRPr="00976823">
        <w:rPr>
          <w:lang w:eastAsia="en-AU"/>
        </w:rPr>
        <w:t xml:space="preserve">the </w:t>
      </w:r>
      <w:r w:rsidR="00976823" w:rsidRPr="00976823">
        <w:rPr>
          <w:lang w:eastAsia="en-AU"/>
        </w:rPr>
        <w:t xml:space="preserve">broader </w:t>
      </w:r>
      <w:r w:rsidR="004635C4" w:rsidRPr="00976823">
        <w:rPr>
          <w:lang w:eastAsia="en-AU"/>
        </w:rPr>
        <w:t>community</w:t>
      </w:r>
      <w:bookmarkEnd w:id="19"/>
      <w:r w:rsidR="004635C4" w:rsidRPr="00976823">
        <w:rPr>
          <w:lang w:eastAsia="en-AU"/>
        </w:rPr>
        <w:t xml:space="preserve"> </w:t>
      </w:r>
    </w:p>
    <w:p w14:paraId="35088A88" w14:textId="501F1023" w:rsidR="001E7477" w:rsidRDefault="00646C92" w:rsidP="00423067">
      <w:pPr>
        <w:spacing w:after="200" w:line="240" w:lineRule="atLeast"/>
        <w:contextualSpacing w:val="0"/>
        <w:rPr>
          <w:lang w:eastAsia="en-AU"/>
        </w:rPr>
      </w:pPr>
      <w:r>
        <w:rPr>
          <w:lang w:eastAsia="en-AU"/>
        </w:rPr>
        <w:t>O</w:t>
      </w:r>
      <w:r w:rsidR="001E7477">
        <w:rPr>
          <w:lang w:eastAsia="en-AU"/>
        </w:rPr>
        <w:t xml:space="preserve">ccupational disease has both direct and indirect impacts on workers, their families, </w:t>
      </w:r>
      <w:r w:rsidR="00454A8E">
        <w:rPr>
          <w:lang w:eastAsia="en-AU"/>
        </w:rPr>
        <w:t>PCBU</w:t>
      </w:r>
      <w:r w:rsidR="001E7477">
        <w:rPr>
          <w:lang w:eastAsia="en-AU"/>
        </w:rPr>
        <w:t>s and communities. Many occupational diseases, particularly those resulting from chemical exposures, have long latency periods, sometimes developing years or decades after exposure, which complicates prevention efforts and extends the timeline of impacts.</w:t>
      </w:r>
    </w:p>
    <w:p w14:paraId="02B0DB03" w14:textId="063314AD" w:rsidR="005F31FE" w:rsidRPr="001B694D" w:rsidRDefault="00293C8A" w:rsidP="00E7637E">
      <w:pPr>
        <w:spacing w:before="120" w:line="240" w:lineRule="atLeast"/>
        <w:contextualSpacing w:val="0"/>
        <w:rPr>
          <w:lang w:eastAsia="en-AU"/>
        </w:rPr>
      </w:pPr>
      <w:r w:rsidRPr="001B694D">
        <w:rPr>
          <w:lang w:eastAsia="en-AU"/>
        </w:rPr>
        <w:t>As noted above, t</w:t>
      </w:r>
      <w:r w:rsidR="001E7477" w:rsidRPr="001B694D">
        <w:rPr>
          <w:lang w:eastAsia="en-AU"/>
        </w:rPr>
        <w:t xml:space="preserve">he direct impact of occupational disease </w:t>
      </w:r>
      <w:r w:rsidR="37AD7119" w:rsidRPr="001B694D">
        <w:rPr>
          <w:lang w:eastAsia="en-AU"/>
        </w:rPr>
        <w:t>is a</w:t>
      </w:r>
      <w:r w:rsidR="00FD7E47" w:rsidRPr="001B694D">
        <w:rPr>
          <w:lang w:eastAsia="en-AU"/>
        </w:rPr>
        <w:t xml:space="preserve"> reduction </w:t>
      </w:r>
      <w:r w:rsidR="001E7477" w:rsidRPr="001B694D">
        <w:rPr>
          <w:lang w:eastAsia="en-AU"/>
        </w:rPr>
        <w:t xml:space="preserve">in </w:t>
      </w:r>
      <w:r w:rsidR="00204FA4" w:rsidRPr="001B694D">
        <w:rPr>
          <w:lang w:eastAsia="en-AU"/>
        </w:rPr>
        <w:t xml:space="preserve">both </w:t>
      </w:r>
      <w:r w:rsidR="001E7477" w:rsidRPr="001B694D">
        <w:rPr>
          <w:lang w:eastAsia="en-AU"/>
        </w:rPr>
        <w:t>the quality and length of life of affected workers</w:t>
      </w:r>
      <w:r w:rsidR="00FD3192" w:rsidRPr="001B694D">
        <w:rPr>
          <w:lang w:eastAsia="en-AU"/>
        </w:rPr>
        <w:t xml:space="preserve">. </w:t>
      </w:r>
      <w:r w:rsidR="00853C2D" w:rsidRPr="001B694D">
        <w:rPr>
          <w:lang w:eastAsia="en-AU"/>
        </w:rPr>
        <w:t>Affected workers will also need to seek care and treatment for the adverse health impacts, creating costs to them and to the Australian health care system. Occupational disease</w:t>
      </w:r>
      <w:r w:rsidR="00104F49" w:rsidRPr="001B694D">
        <w:rPr>
          <w:lang w:eastAsia="en-AU"/>
        </w:rPr>
        <w:t xml:space="preserve"> </w:t>
      </w:r>
      <w:r w:rsidR="007A7A49" w:rsidRPr="001B694D">
        <w:rPr>
          <w:lang w:eastAsia="en-AU"/>
        </w:rPr>
        <w:t xml:space="preserve">can </w:t>
      </w:r>
      <w:r w:rsidR="0001262A" w:rsidRPr="001B694D">
        <w:rPr>
          <w:lang w:eastAsia="en-AU"/>
        </w:rPr>
        <w:t xml:space="preserve">also </w:t>
      </w:r>
      <w:r w:rsidR="007A7A49" w:rsidRPr="001B694D">
        <w:rPr>
          <w:lang w:eastAsia="en-AU"/>
        </w:rPr>
        <w:t xml:space="preserve">lead to </w:t>
      </w:r>
      <w:r w:rsidR="00853C2D" w:rsidRPr="001B694D">
        <w:rPr>
          <w:lang w:eastAsia="en-AU"/>
        </w:rPr>
        <w:t>additional</w:t>
      </w:r>
      <w:r w:rsidR="007A7A49" w:rsidRPr="001B694D">
        <w:rPr>
          <w:lang w:eastAsia="en-AU"/>
        </w:rPr>
        <w:t xml:space="preserve"> and ongoing </w:t>
      </w:r>
      <w:r w:rsidR="0076151D" w:rsidRPr="001B694D">
        <w:rPr>
          <w:lang w:eastAsia="en-AU"/>
        </w:rPr>
        <w:t xml:space="preserve">physical and mental health </w:t>
      </w:r>
      <w:r w:rsidR="001A4EF4" w:rsidRPr="001B694D">
        <w:rPr>
          <w:lang w:eastAsia="en-AU"/>
        </w:rPr>
        <w:t>impacts on workers.</w:t>
      </w:r>
      <w:r w:rsidR="0076151D" w:rsidRPr="001B694D">
        <w:rPr>
          <w:lang w:eastAsia="en-AU"/>
        </w:rPr>
        <w:t xml:space="preserve"> For example, in a case study that explores the quality of life of a patient who developed acute leukemia, which can be caused by work-related exposure to benzene and formaldehyde, it was observed that the patient faced psychological distress from the diagnosis and living with acute leukaemia (Charalambous, et al., 2024). The patient gave account that their diagnosis created barriers to social interaction, leading to impacts on their physical and mental health. The patient also indicated that following treatment for the acute leukaemia, they experienced persistent fatigue and insomnia. There was also the “substantial medical bills and treatment costs” that the patient and their family described as “unexpected” financial strain, which led to them making sacrifices and trimming certain expenses (Charalambous, et al., 2024).</w:t>
      </w:r>
    </w:p>
    <w:p w14:paraId="37E4246A" w14:textId="13977D3D" w:rsidR="001B694D" w:rsidRPr="002955BB" w:rsidRDefault="001E7477" w:rsidP="00E7637E">
      <w:pPr>
        <w:spacing w:before="120" w:line="240" w:lineRule="atLeast"/>
        <w:contextualSpacing w:val="0"/>
        <w:rPr>
          <w:rFonts w:eastAsia="Times New Roman"/>
        </w:rPr>
      </w:pPr>
      <w:r w:rsidRPr="005F31FE" w:rsidDel="00EA3561">
        <w:rPr>
          <w:lang w:eastAsia="en-AU"/>
        </w:rPr>
        <w:t>The</w:t>
      </w:r>
      <w:r w:rsidR="004358FE" w:rsidRPr="005F31FE">
        <w:rPr>
          <w:lang w:eastAsia="en-AU"/>
        </w:rPr>
        <w:t>re are also a range of</w:t>
      </w:r>
      <w:r w:rsidRPr="005F31FE" w:rsidDel="00EA3561">
        <w:rPr>
          <w:lang w:eastAsia="en-AU"/>
        </w:rPr>
        <w:t xml:space="preserve"> indirect impacts </w:t>
      </w:r>
      <w:r w:rsidR="00FC4700" w:rsidRPr="005F31FE">
        <w:rPr>
          <w:lang w:eastAsia="en-AU"/>
        </w:rPr>
        <w:t>on</w:t>
      </w:r>
      <w:r w:rsidR="004358FE" w:rsidRPr="005F31FE">
        <w:rPr>
          <w:lang w:eastAsia="en-AU"/>
        </w:rPr>
        <w:t xml:space="preserve"> </w:t>
      </w:r>
      <w:r w:rsidRPr="005F31FE" w:rsidDel="00EA3561">
        <w:rPr>
          <w:lang w:eastAsia="en-AU"/>
        </w:rPr>
        <w:t>affected workers</w:t>
      </w:r>
      <w:r w:rsidR="004D46B0" w:rsidRPr="005F31FE">
        <w:rPr>
          <w:lang w:eastAsia="en-AU"/>
        </w:rPr>
        <w:t xml:space="preserve">, their </w:t>
      </w:r>
      <w:r w:rsidRPr="005F31FE" w:rsidDel="00EA3561">
        <w:rPr>
          <w:lang w:eastAsia="en-AU"/>
        </w:rPr>
        <w:t>support networks, employers and the broader community, as a result of occupational disease.</w:t>
      </w:r>
      <w:r w:rsidR="009C335A" w:rsidRPr="005F31FE">
        <w:rPr>
          <w:lang w:eastAsia="en-AU"/>
        </w:rPr>
        <w:t xml:space="preserve"> </w:t>
      </w:r>
    </w:p>
    <w:p w14:paraId="09673DA1" w14:textId="0DC590C1" w:rsidR="00E737CD" w:rsidRDefault="001E7477" w:rsidP="00E737CD">
      <w:pPr>
        <w:pStyle w:val="SWAHeading4"/>
      </w:pPr>
      <w:r w:rsidRPr="004358FE">
        <w:t>Indirect impact on affected workers</w:t>
      </w:r>
    </w:p>
    <w:p w14:paraId="593332A7" w14:textId="72AE86F2" w:rsidR="001E7477" w:rsidRPr="00646C92" w:rsidRDefault="001E7477" w:rsidP="7F471D6B">
      <w:pPr>
        <w:spacing w:line="240" w:lineRule="atLeast"/>
        <w:rPr>
          <w:rFonts w:eastAsia="Times New Roman"/>
        </w:rPr>
      </w:pPr>
      <w:r w:rsidRPr="00646C92">
        <w:rPr>
          <w:rFonts w:eastAsia="Times New Roman"/>
        </w:rPr>
        <w:t>Affected workers often experience reduced workforce participation and earning capacity, leading to financial instability</w:t>
      </w:r>
      <w:r w:rsidR="00ED4780">
        <w:rPr>
          <w:rFonts w:eastAsia="Times New Roman"/>
        </w:rPr>
        <w:t>. They may also face increased financial pressures</w:t>
      </w:r>
      <w:r w:rsidRPr="00646C92">
        <w:rPr>
          <w:rFonts w:eastAsia="Times New Roman"/>
        </w:rPr>
        <w:t xml:space="preserve"> from medical expenses and reduced income. Some workers may face social isolation due to disability or illness, along with mental health challenges such as depression and anxiety, all contributing to an overall decreased quality of life beyond the direct health effects.</w:t>
      </w:r>
    </w:p>
    <w:p w14:paraId="65E31354" w14:textId="4B67CA3A" w:rsidR="00E737CD" w:rsidRPr="00E737CD" w:rsidRDefault="001E7477" w:rsidP="00B0669B">
      <w:pPr>
        <w:pStyle w:val="SWAHeading4"/>
      </w:pPr>
      <w:r w:rsidRPr="00B0669B">
        <w:t>Indirect impact on businesses</w:t>
      </w:r>
    </w:p>
    <w:p w14:paraId="5D287059" w14:textId="65EC00D6" w:rsidR="004E50FB" w:rsidRDefault="001E7477" w:rsidP="05152E78">
      <w:pPr>
        <w:spacing w:after="200" w:line="240" w:lineRule="atLeast"/>
        <w:contextualSpacing w:val="0"/>
        <w:rPr>
          <w:rFonts w:eastAsia="Times New Roman"/>
        </w:rPr>
      </w:pPr>
      <w:r w:rsidRPr="006E4C82">
        <w:t xml:space="preserve">Businesses </w:t>
      </w:r>
      <w:r w:rsidR="00320233">
        <w:t xml:space="preserve">can </w:t>
      </w:r>
      <w:r w:rsidRPr="006E4C82">
        <w:t>experience reduced productivity as a result of exposed workers’ reduced ability to work, absenteeism and presenteeism</w:t>
      </w:r>
      <w:r w:rsidRPr="004D0B42">
        <w:t>.</w:t>
      </w:r>
      <w:r w:rsidR="006177F7">
        <w:t xml:space="preserve"> </w:t>
      </w:r>
      <w:r w:rsidR="00812618">
        <w:t>Absenteeism</w:t>
      </w:r>
      <w:r w:rsidR="00C91826">
        <w:t xml:space="preserve"> represents</w:t>
      </w:r>
      <w:r w:rsidR="00637B3B">
        <w:t xml:space="preserve"> the additional </w:t>
      </w:r>
      <w:r w:rsidR="006B725A">
        <w:t>time</w:t>
      </w:r>
      <w:r w:rsidR="00637B3B">
        <w:t xml:space="preserve"> off work a </w:t>
      </w:r>
      <w:r w:rsidR="00C91826">
        <w:t xml:space="preserve">worker </w:t>
      </w:r>
      <w:r w:rsidR="00637B3B">
        <w:t xml:space="preserve">may take due to their </w:t>
      </w:r>
      <w:r w:rsidR="00812618">
        <w:t>work-related injur</w:t>
      </w:r>
      <w:r w:rsidR="00637B3B">
        <w:t>y or illness</w:t>
      </w:r>
      <w:r w:rsidR="00A54268">
        <w:t xml:space="preserve"> and</w:t>
      </w:r>
      <w:r w:rsidR="00637B3B">
        <w:t xml:space="preserve"> contributed towards</w:t>
      </w:r>
      <w:r w:rsidR="006B725A">
        <w:t xml:space="preserve"> an equivalent </w:t>
      </w:r>
      <w:r w:rsidR="006959E6">
        <w:t>loss of 835,7</w:t>
      </w:r>
      <w:r w:rsidR="00492919">
        <w:t>7</w:t>
      </w:r>
      <w:r w:rsidR="006959E6">
        <w:t>0 full time workers in the Australian labour supply</w:t>
      </w:r>
      <w:r w:rsidR="007C088C">
        <w:t xml:space="preserve"> between 2008 to 2018 </w:t>
      </w:r>
      <w:sdt>
        <w:sdtPr>
          <w:id w:val="-1834282269"/>
          <w:citation/>
        </w:sdtPr>
        <w:sdtEndPr/>
        <w:sdtContent>
          <w:r w:rsidR="004D2EFA">
            <w:fldChar w:fldCharType="begin"/>
          </w:r>
          <w:r w:rsidR="004D2EFA">
            <w:instrText xml:space="preserve"> CITATION Saf22 \l 3081 </w:instrText>
          </w:r>
          <w:r w:rsidR="004D2EFA">
            <w:fldChar w:fldCharType="separate"/>
          </w:r>
          <w:r w:rsidR="00490B21">
            <w:rPr>
              <w:noProof/>
            </w:rPr>
            <w:t>(Safe Work Australia, 2022)</w:t>
          </w:r>
          <w:r w:rsidR="004D2EFA">
            <w:fldChar w:fldCharType="end"/>
          </w:r>
        </w:sdtContent>
      </w:sdt>
      <w:r w:rsidR="006959E6">
        <w:t xml:space="preserve">. </w:t>
      </w:r>
      <w:r w:rsidR="004A4409">
        <w:t>Workers may need</w:t>
      </w:r>
      <w:r w:rsidR="00A54268">
        <w:t xml:space="preserve"> additional</w:t>
      </w:r>
      <w:r w:rsidR="004A4409">
        <w:t xml:space="preserve"> time off to </w:t>
      </w:r>
      <w:r w:rsidR="00C91826">
        <w:t>seek medical treatment</w:t>
      </w:r>
      <w:r w:rsidR="00381D25">
        <w:t xml:space="preserve"> or recover from </w:t>
      </w:r>
      <w:r w:rsidR="00A54268">
        <w:t xml:space="preserve">their </w:t>
      </w:r>
      <w:r w:rsidR="00381D25">
        <w:t xml:space="preserve">work-related injuries or </w:t>
      </w:r>
      <w:r w:rsidR="00A54268">
        <w:t>illness, which impacts</w:t>
      </w:r>
      <w:r w:rsidR="007339CA">
        <w:t xml:space="preserve"> </w:t>
      </w:r>
      <w:r w:rsidR="0038484C">
        <w:t xml:space="preserve">business </w:t>
      </w:r>
      <w:r w:rsidR="007339CA">
        <w:t>productivity.</w:t>
      </w:r>
    </w:p>
    <w:p w14:paraId="5DD836C2" w14:textId="2A3DC700" w:rsidR="007449ED" w:rsidRPr="00983EF8" w:rsidRDefault="004E50FB" w:rsidP="05152E78">
      <w:pPr>
        <w:spacing w:after="200" w:line="240" w:lineRule="atLeast"/>
        <w:contextualSpacing w:val="0"/>
        <w:rPr>
          <w:rFonts w:eastAsia="Times New Roman"/>
        </w:rPr>
      </w:pPr>
      <w:r>
        <w:rPr>
          <w:rFonts w:eastAsia="Times New Roman"/>
        </w:rPr>
        <w:t xml:space="preserve">Presenteeism </w:t>
      </w:r>
      <w:r w:rsidR="00A54268" w:rsidRPr="004D0B42">
        <w:t xml:space="preserve">(where workers are present for work, but functioning at reduced capacity due to </w:t>
      </w:r>
      <w:r w:rsidR="00A54268">
        <w:t>ill</w:t>
      </w:r>
      <w:r w:rsidR="00A54268" w:rsidRPr="004D0B42">
        <w:t>ness)</w:t>
      </w:r>
      <w:r>
        <w:rPr>
          <w:rFonts w:eastAsia="Times New Roman"/>
        </w:rPr>
        <w:t xml:space="preserve"> </w:t>
      </w:r>
      <w:r w:rsidR="007E0E31">
        <w:rPr>
          <w:rFonts w:eastAsia="Times New Roman"/>
        </w:rPr>
        <w:t xml:space="preserve">due to work-related injuries and illnesses </w:t>
      </w:r>
      <w:r w:rsidR="00DB0F95">
        <w:rPr>
          <w:rFonts w:eastAsia="Times New Roman"/>
        </w:rPr>
        <w:t xml:space="preserve">led to the loss of </w:t>
      </w:r>
      <w:r w:rsidR="000B232E">
        <w:rPr>
          <w:rFonts w:eastAsia="Times New Roman"/>
        </w:rPr>
        <w:t xml:space="preserve">331,000 full-time </w:t>
      </w:r>
      <w:r w:rsidR="00983EF8">
        <w:rPr>
          <w:rFonts w:eastAsia="Times New Roman"/>
        </w:rPr>
        <w:t>workers</w:t>
      </w:r>
      <w:r w:rsidR="00B64CEA">
        <w:rPr>
          <w:rFonts w:eastAsia="Times New Roman"/>
        </w:rPr>
        <w:t xml:space="preserve"> </w:t>
      </w:r>
      <w:r w:rsidR="00633A97">
        <w:rPr>
          <w:rFonts w:eastAsia="Times New Roman"/>
        </w:rPr>
        <w:t xml:space="preserve">in the </w:t>
      </w:r>
      <w:r w:rsidR="00D03FA2">
        <w:rPr>
          <w:rFonts w:eastAsia="Times New Roman"/>
        </w:rPr>
        <w:t xml:space="preserve">Australian </w:t>
      </w:r>
      <w:r w:rsidR="00633A97">
        <w:rPr>
          <w:rFonts w:eastAsia="Times New Roman"/>
        </w:rPr>
        <w:t>labour supply</w:t>
      </w:r>
      <w:r w:rsidR="00DB0F95">
        <w:rPr>
          <w:rFonts w:eastAsia="Times New Roman"/>
        </w:rPr>
        <w:t xml:space="preserve"> </w:t>
      </w:r>
      <w:r w:rsidR="00071161">
        <w:rPr>
          <w:rFonts w:eastAsia="Times New Roman"/>
        </w:rPr>
        <w:t>between 2008</w:t>
      </w:r>
      <w:r w:rsidR="00CA590A">
        <w:rPr>
          <w:rFonts w:eastAsia="Times New Roman"/>
        </w:rPr>
        <w:t xml:space="preserve"> </w:t>
      </w:r>
      <w:r w:rsidR="00242E2F">
        <w:rPr>
          <w:rFonts w:eastAsia="Times New Roman"/>
        </w:rPr>
        <w:t>to</w:t>
      </w:r>
      <w:r w:rsidR="00CA590A">
        <w:rPr>
          <w:rFonts w:eastAsia="Times New Roman"/>
        </w:rPr>
        <w:t xml:space="preserve"> 2018 </w:t>
      </w:r>
      <w:sdt>
        <w:sdtPr>
          <w:rPr>
            <w:rFonts w:eastAsia="Times New Roman"/>
          </w:rPr>
          <w:id w:val="-1881238719"/>
          <w:citation/>
        </w:sdtPr>
        <w:sdtEndPr/>
        <w:sdtContent>
          <w:r w:rsidR="00796C5A">
            <w:rPr>
              <w:rFonts w:eastAsia="Times New Roman"/>
            </w:rPr>
            <w:fldChar w:fldCharType="begin"/>
          </w:r>
          <w:r w:rsidR="00796C5A">
            <w:rPr>
              <w:rFonts w:eastAsia="Times New Roman"/>
            </w:rPr>
            <w:instrText xml:space="preserve"> CITATION Saf22 \l 3081 </w:instrText>
          </w:r>
          <w:r w:rsidR="00796C5A">
            <w:rPr>
              <w:rFonts w:eastAsia="Times New Roman"/>
            </w:rPr>
            <w:fldChar w:fldCharType="separate"/>
          </w:r>
          <w:r w:rsidR="00490B21" w:rsidRPr="00490B21">
            <w:rPr>
              <w:rFonts w:eastAsia="Times New Roman"/>
              <w:noProof/>
            </w:rPr>
            <w:t>(Safe Work Australia, 2022)</w:t>
          </w:r>
          <w:r w:rsidR="00796C5A">
            <w:rPr>
              <w:rFonts w:eastAsia="Times New Roman"/>
            </w:rPr>
            <w:fldChar w:fldCharType="end"/>
          </w:r>
        </w:sdtContent>
      </w:sdt>
      <w:r w:rsidR="009B25F7">
        <w:rPr>
          <w:rFonts w:eastAsia="Times New Roman"/>
        </w:rPr>
        <w:t xml:space="preserve">. </w:t>
      </w:r>
      <w:r w:rsidR="0079382E">
        <w:rPr>
          <w:rFonts w:eastAsia="Times New Roman"/>
        </w:rPr>
        <w:t>A key</w:t>
      </w:r>
      <w:r w:rsidR="00080A82">
        <w:rPr>
          <w:rFonts w:eastAsia="Times New Roman"/>
        </w:rPr>
        <w:t xml:space="preserve"> challenge of linking workplace exposures to occupational disease</w:t>
      </w:r>
      <w:r w:rsidR="0079382E">
        <w:rPr>
          <w:rFonts w:eastAsia="Times New Roman"/>
        </w:rPr>
        <w:t xml:space="preserve"> is that</w:t>
      </w:r>
      <w:r w:rsidR="00E73D8E">
        <w:rPr>
          <w:rFonts w:eastAsia="Times New Roman"/>
        </w:rPr>
        <w:t xml:space="preserve"> initial</w:t>
      </w:r>
      <w:r w:rsidR="0079382E">
        <w:rPr>
          <w:rFonts w:eastAsia="Times New Roman"/>
        </w:rPr>
        <w:t xml:space="preserve"> adverse</w:t>
      </w:r>
      <w:r w:rsidR="00E73D8E">
        <w:rPr>
          <w:rFonts w:eastAsia="Times New Roman"/>
        </w:rPr>
        <w:t xml:space="preserve"> effects from occupational exposures, such as</w:t>
      </w:r>
      <w:r w:rsidR="0068353A">
        <w:rPr>
          <w:rFonts w:eastAsia="Times New Roman"/>
        </w:rPr>
        <w:t xml:space="preserve"> </w:t>
      </w:r>
      <w:r w:rsidR="00C3611E">
        <w:rPr>
          <w:rFonts w:eastAsia="Times New Roman"/>
        </w:rPr>
        <w:t>headaches, eye and</w:t>
      </w:r>
      <w:r w:rsidR="0068353A">
        <w:rPr>
          <w:rFonts w:eastAsia="Times New Roman"/>
        </w:rPr>
        <w:t xml:space="preserve"> </w:t>
      </w:r>
      <w:r w:rsidR="00B87AFC">
        <w:rPr>
          <w:rFonts w:eastAsia="Times New Roman"/>
        </w:rPr>
        <w:t>respiratory tract</w:t>
      </w:r>
      <w:r w:rsidR="00796C5A">
        <w:rPr>
          <w:rFonts w:eastAsia="Times New Roman"/>
        </w:rPr>
        <w:t xml:space="preserve"> irritation</w:t>
      </w:r>
      <w:r w:rsidR="00E73D8E">
        <w:rPr>
          <w:rFonts w:eastAsia="Times New Roman"/>
        </w:rPr>
        <w:t xml:space="preserve"> may not be perceived as being serious or </w:t>
      </w:r>
      <w:r w:rsidR="00A54268">
        <w:rPr>
          <w:rFonts w:eastAsia="Times New Roman"/>
        </w:rPr>
        <w:t>work-related</w:t>
      </w:r>
      <w:r w:rsidR="00820170">
        <w:rPr>
          <w:rFonts w:eastAsia="Times New Roman"/>
        </w:rPr>
        <w:t>.</w:t>
      </w:r>
      <w:r w:rsidR="0022650D">
        <w:rPr>
          <w:rFonts w:eastAsia="Times New Roman"/>
        </w:rPr>
        <w:t xml:space="preserve"> </w:t>
      </w:r>
      <w:r w:rsidR="00820170">
        <w:rPr>
          <w:rFonts w:eastAsia="Times New Roman"/>
        </w:rPr>
        <w:t>C</w:t>
      </w:r>
      <w:r w:rsidR="0022650D">
        <w:rPr>
          <w:rFonts w:eastAsia="Times New Roman"/>
        </w:rPr>
        <w:t>onsequently</w:t>
      </w:r>
      <w:r w:rsidR="00A54268">
        <w:rPr>
          <w:rFonts w:eastAsia="Times New Roman"/>
        </w:rPr>
        <w:t>,</w:t>
      </w:r>
      <w:r w:rsidR="0022650D">
        <w:rPr>
          <w:rFonts w:eastAsia="Times New Roman"/>
        </w:rPr>
        <w:t xml:space="preserve"> </w:t>
      </w:r>
      <w:r w:rsidR="00267B13">
        <w:rPr>
          <w:rFonts w:eastAsia="Times New Roman"/>
        </w:rPr>
        <w:t xml:space="preserve">the worker may </w:t>
      </w:r>
      <w:r w:rsidR="0022650D">
        <w:rPr>
          <w:rFonts w:eastAsia="Times New Roman"/>
        </w:rPr>
        <w:t>continu</w:t>
      </w:r>
      <w:r w:rsidR="00267B13">
        <w:rPr>
          <w:rFonts w:eastAsia="Times New Roman"/>
        </w:rPr>
        <w:t>e</w:t>
      </w:r>
      <w:r w:rsidR="0022650D">
        <w:rPr>
          <w:rFonts w:eastAsia="Times New Roman"/>
        </w:rPr>
        <w:t xml:space="preserve"> to attend work</w:t>
      </w:r>
      <w:r w:rsidR="00E73D8E">
        <w:rPr>
          <w:rFonts w:eastAsia="Times New Roman"/>
        </w:rPr>
        <w:t xml:space="preserve">. However, these </w:t>
      </w:r>
      <w:r w:rsidR="0022650D">
        <w:rPr>
          <w:rFonts w:eastAsia="Times New Roman"/>
        </w:rPr>
        <w:t xml:space="preserve">symptoms can result in </w:t>
      </w:r>
      <w:r w:rsidR="00673E56">
        <w:rPr>
          <w:rFonts w:eastAsia="Times New Roman"/>
        </w:rPr>
        <w:t>productivity</w:t>
      </w:r>
      <w:r w:rsidR="0022650D">
        <w:rPr>
          <w:rFonts w:eastAsia="Times New Roman"/>
        </w:rPr>
        <w:t xml:space="preserve"> </w:t>
      </w:r>
      <w:r w:rsidR="00773977">
        <w:rPr>
          <w:rFonts w:eastAsia="Times New Roman"/>
        </w:rPr>
        <w:t>losses</w:t>
      </w:r>
      <w:r w:rsidR="0022650D">
        <w:rPr>
          <w:rFonts w:eastAsia="Times New Roman"/>
        </w:rPr>
        <w:t xml:space="preserve"> when at work</w:t>
      </w:r>
      <w:r w:rsidR="006265D5">
        <w:rPr>
          <w:rFonts w:eastAsia="Times New Roman"/>
        </w:rPr>
        <w:t xml:space="preserve">, </w:t>
      </w:r>
      <w:r w:rsidR="00A54268">
        <w:rPr>
          <w:rFonts w:eastAsia="Times New Roman"/>
        </w:rPr>
        <w:t>including</w:t>
      </w:r>
      <w:r w:rsidR="00606039">
        <w:rPr>
          <w:rFonts w:eastAsia="Times New Roman"/>
        </w:rPr>
        <w:t xml:space="preserve"> </w:t>
      </w:r>
      <w:r w:rsidR="00AA5185">
        <w:rPr>
          <w:rFonts w:eastAsia="Times New Roman"/>
        </w:rPr>
        <w:t>reduced outputs, not meet</w:t>
      </w:r>
      <w:r w:rsidR="00A54268">
        <w:rPr>
          <w:rFonts w:eastAsia="Times New Roman"/>
        </w:rPr>
        <w:t>ing</w:t>
      </w:r>
      <w:r w:rsidR="00AA5185">
        <w:rPr>
          <w:rFonts w:eastAsia="Times New Roman"/>
        </w:rPr>
        <w:t xml:space="preserve"> deadlines, difficulty concentrating, not think</w:t>
      </w:r>
      <w:r w:rsidR="00A54268">
        <w:rPr>
          <w:rFonts w:eastAsia="Times New Roman"/>
        </w:rPr>
        <w:t>ing</w:t>
      </w:r>
      <w:r w:rsidR="00AA5185">
        <w:rPr>
          <w:rFonts w:eastAsia="Times New Roman"/>
        </w:rPr>
        <w:t xml:space="preserve"> clearly, mak</w:t>
      </w:r>
      <w:r w:rsidR="00A54268">
        <w:rPr>
          <w:rFonts w:eastAsia="Times New Roman"/>
        </w:rPr>
        <w:t>ing</w:t>
      </w:r>
      <w:r w:rsidR="00AA5185">
        <w:rPr>
          <w:rFonts w:eastAsia="Times New Roman"/>
        </w:rPr>
        <w:t xml:space="preserve"> mistakes </w:t>
      </w:r>
      <w:r w:rsidR="00606039">
        <w:rPr>
          <w:rFonts w:eastAsia="Times New Roman"/>
        </w:rPr>
        <w:t>or</w:t>
      </w:r>
      <w:r w:rsidR="00AA5185">
        <w:rPr>
          <w:rFonts w:eastAsia="Times New Roman"/>
        </w:rPr>
        <w:t xml:space="preserve"> not being able to undertake physical requirements of </w:t>
      </w:r>
      <w:r w:rsidR="00B63284">
        <w:rPr>
          <w:rFonts w:eastAsia="Times New Roman"/>
        </w:rPr>
        <w:t xml:space="preserve">their </w:t>
      </w:r>
      <w:r w:rsidR="00AA5185">
        <w:rPr>
          <w:rFonts w:eastAsia="Times New Roman"/>
        </w:rPr>
        <w:t xml:space="preserve">job </w:t>
      </w:r>
      <w:sdt>
        <w:sdtPr>
          <w:rPr>
            <w:rFonts w:eastAsia="Times New Roman"/>
          </w:rPr>
          <w:id w:val="157200468"/>
          <w:citation/>
        </w:sdtPr>
        <w:sdtEndPr/>
        <w:sdtContent>
          <w:r w:rsidR="00AA5185">
            <w:rPr>
              <w:rFonts w:eastAsia="Times New Roman"/>
            </w:rPr>
            <w:fldChar w:fldCharType="begin"/>
          </w:r>
          <w:r w:rsidR="00AA5185">
            <w:rPr>
              <w:rFonts w:eastAsia="Times New Roman"/>
            </w:rPr>
            <w:instrText xml:space="preserve"> CITATION San13 \l 3081 </w:instrText>
          </w:r>
          <w:r w:rsidR="00AA5185">
            <w:rPr>
              <w:rFonts w:eastAsia="Times New Roman"/>
            </w:rPr>
            <w:fldChar w:fldCharType="separate"/>
          </w:r>
          <w:r w:rsidR="00490B21" w:rsidRPr="00490B21">
            <w:rPr>
              <w:rFonts w:eastAsia="Times New Roman"/>
              <w:noProof/>
            </w:rPr>
            <w:t>(Sanderson &amp; Cocker, 2013)</w:t>
          </w:r>
          <w:r w:rsidR="00AA5185">
            <w:rPr>
              <w:rFonts w:eastAsia="Times New Roman"/>
            </w:rPr>
            <w:fldChar w:fldCharType="end"/>
          </w:r>
        </w:sdtContent>
      </w:sdt>
      <w:r w:rsidR="00267B13">
        <w:rPr>
          <w:rFonts w:eastAsia="Times New Roman"/>
        </w:rPr>
        <w:t>.</w:t>
      </w:r>
    </w:p>
    <w:p w14:paraId="4CB60EA7" w14:textId="4F010BD6" w:rsidR="0076151D" w:rsidRDefault="0069161B" w:rsidP="0076151D">
      <w:pPr>
        <w:spacing w:after="200" w:line="240" w:lineRule="atLeast"/>
        <w:contextualSpacing w:val="0"/>
      </w:pPr>
      <w:r w:rsidRPr="00983EF8">
        <w:rPr>
          <w:rFonts w:eastAsia="Times New Roman"/>
        </w:rPr>
        <w:lastRenderedPageBreak/>
        <w:t xml:space="preserve">Businesses </w:t>
      </w:r>
      <w:r w:rsidR="00523CE2" w:rsidRPr="00983EF8">
        <w:rPr>
          <w:rFonts w:eastAsia="Times New Roman"/>
        </w:rPr>
        <w:t>can</w:t>
      </w:r>
      <w:r w:rsidR="00523CE2">
        <w:t xml:space="preserve"> also experience an </w:t>
      </w:r>
      <w:r w:rsidR="00DF5D30">
        <w:t>increase in</w:t>
      </w:r>
      <w:r w:rsidR="00523CE2">
        <w:t xml:space="preserve"> </w:t>
      </w:r>
      <w:r w:rsidR="00C85B59">
        <w:t>insurance premiums due to an</w:t>
      </w:r>
      <w:r w:rsidR="00523CE2">
        <w:t xml:space="preserve"> </w:t>
      </w:r>
      <w:r w:rsidR="0083397E">
        <w:t>increase</w:t>
      </w:r>
      <w:r w:rsidR="00523CE2">
        <w:t xml:space="preserve"> in workers</w:t>
      </w:r>
      <w:r w:rsidR="00617F97">
        <w:t>’</w:t>
      </w:r>
      <w:r w:rsidR="00523CE2">
        <w:t xml:space="preserve"> compensation claims</w:t>
      </w:r>
      <w:r w:rsidR="00363BC2">
        <w:t xml:space="preserve"> </w:t>
      </w:r>
      <w:r w:rsidR="00A54268">
        <w:t>in either</w:t>
      </w:r>
      <w:r w:rsidR="0083397E">
        <w:t xml:space="preserve"> their business or across the industry</w:t>
      </w:r>
      <w:r w:rsidR="00363BC2">
        <w:t>.</w:t>
      </w:r>
      <w:r w:rsidR="00BD1203">
        <w:t xml:space="preserve"> </w:t>
      </w:r>
    </w:p>
    <w:p w14:paraId="1960490D" w14:textId="77777777" w:rsidR="00E737CD" w:rsidRDefault="00702E54" w:rsidP="008724BB">
      <w:pPr>
        <w:pStyle w:val="SWAHeading4"/>
      </w:pPr>
      <w:r w:rsidRPr="00412DE5">
        <w:t>Other indirect impacts</w:t>
      </w:r>
      <w:r w:rsidRPr="009163A0">
        <w:t xml:space="preserve"> </w:t>
      </w:r>
      <w:r>
        <w:t>(including i</w:t>
      </w:r>
      <w:r w:rsidR="009163A0" w:rsidRPr="009163A0">
        <w:t>ndirect impact on families, friends and communities who support affected workers</w:t>
      </w:r>
      <w:r>
        <w:t>)</w:t>
      </w:r>
    </w:p>
    <w:p w14:paraId="22670399" w14:textId="4985BFDF" w:rsidR="00702E54" w:rsidRDefault="00702E54" w:rsidP="00702E54">
      <w:pPr>
        <w:spacing w:after="200" w:line="240" w:lineRule="atLeast"/>
        <w:contextualSpacing w:val="0"/>
      </w:pPr>
      <w:r>
        <w:t>There are also broader impacts on the community and economy, including increased costs for government in terms of health spending to support affected workers. Helping keep workers in the workforce and the job for longer</w:t>
      </w:r>
      <w:r w:rsidRPr="00E85029">
        <w:t xml:space="preserve"> also represents savings and gains in the Australian economy, such as additional economic growth</w:t>
      </w:r>
      <w:r>
        <w:t xml:space="preserve"> </w:t>
      </w:r>
      <w:sdt>
        <w:sdtPr>
          <w:id w:val="2114549255"/>
          <w:citation/>
        </w:sdtPr>
        <w:sdtEndPr/>
        <w:sdtContent>
          <w:r>
            <w:fldChar w:fldCharType="begin"/>
          </w:r>
          <w:r>
            <w:instrText xml:space="preserve"> CITATION Saf22 \l 3081 </w:instrText>
          </w:r>
          <w:r>
            <w:fldChar w:fldCharType="separate"/>
          </w:r>
          <w:r w:rsidR="00490B21">
            <w:rPr>
              <w:noProof/>
            </w:rPr>
            <w:t>(Safe Work Australia, 2022)</w:t>
          </w:r>
          <w:r>
            <w:fldChar w:fldCharType="end"/>
          </w:r>
        </w:sdtContent>
      </w:sdt>
      <w:r w:rsidRPr="00E85029">
        <w:t>.</w:t>
      </w:r>
    </w:p>
    <w:p w14:paraId="40083A6C" w14:textId="1C88E0F4" w:rsidR="009163A0" w:rsidRPr="009163A0" w:rsidRDefault="00853C2D" w:rsidP="009163A0">
      <w:pPr>
        <w:spacing w:after="200" w:line="240" w:lineRule="atLeast"/>
        <w:contextualSpacing w:val="0"/>
      </w:pPr>
      <w:r w:rsidRPr="007F0114">
        <w:rPr>
          <w:rFonts w:cs="Arial"/>
          <w:szCs w:val="22"/>
          <w:lang w:eastAsia="en-AU"/>
        </w:rPr>
        <w:t xml:space="preserve">When a </w:t>
      </w:r>
      <w:r>
        <w:rPr>
          <w:rFonts w:cs="Arial"/>
          <w:szCs w:val="22"/>
          <w:lang w:eastAsia="en-AU"/>
        </w:rPr>
        <w:t xml:space="preserve">worker </w:t>
      </w:r>
      <w:r w:rsidRPr="007F0114">
        <w:rPr>
          <w:rFonts w:cs="Arial"/>
          <w:szCs w:val="22"/>
          <w:lang w:eastAsia="en-AU"/>
        </w:rPr>
        <w:t xml:space="preserve">becomes unwell due to an </w:t>
      </w:r>
      <w:r>
        <w:rPr>
          <w:rFonts w:cs="Arial"/>
          <w:szCs w:val="22"/>
          <w:lang w:eastAsia="en-AU"/>
        </w:rPr>
        <w:t>adverse health impact</w:t>
      </w:r>
      <w:r w:rsidRPr="007F0114">
        <w:rPr>
          <w:rFonts w:cs="Arial"/>
          <w:szCs w:val="22"/>
          <w:lang w:eastAsia="en-AU"/>
        </w:rPr>
        <w:t>, this can</w:t>
      </w:r>
      <w:r>
        <w:rPr>
          <w:rFonts w:cs="Arial"/>
          <w:szCs w:val="22"/>
          <w:lang w:eastAsia="en-AU"/>
        </w:rPr>
        <w:t xml:space="preserve"> also result in</w:t>
      </w:r>
      <w:r w:rsidRPr="007F0114">
        <w:rPr>
          <w:rFonts w:cs="Arial"/>
          <w:szCs w:val="22"/>
          <w:lang w:eastAsia="en-AU"/>
        </w:rPr>
        <w:t xml:space="preserve"> additional strain on their families</w:t>
      </w:r>
      <w:r w:rsidRPr="00853C2D">
        <w:rPr>
          <w:rFonts w:cs="Arial"/>
          <w:szCs w:val="22"/>
          <w:lang w:eastAsia="en-AU"/>
        </w:rPr>
        <w:t xml:space="preserve"> </w:t>
      </w:r>
      <w:r w:rsidRPr="007F0114">
        <w:rPr>
          <w:rFonts w:cs="Arial"/>
          <w:szCs w:val="22"/>
          <w:lang w:eastAsia="en-AU"/>
        </w:rPr>
        <w:t xml:space="preserve">and networks. </w:t>
      </w:r>
      <w:r w:rsidR="009163A0" w:rsidRPr="009163A0">
        <w:t xml:space="preserve">Families and close support networks can often shoulder additional unpaid care responsibilities. In the case study mentioned above about the patient with acute leukemia, their caregiver (the patient’s partner) also gave account of the impacts the patient’s diagnosis had on them. Like the patient, it was observed that the caregiver also undergoes psychological distress, which has also been observed in other studies. The caregiver also mentioned that they too have experienced a reduced social life due to the patient’s compromised immune system, that they had to find a job that allows the flexibility to care for the patient, changes to their daily routine and relationship with the partner and the uptake of new responsibilities (such as administering medication) and household chores </w:t>
      </w:r>
      <w:sdt>
        <w:sdtPr>
          <w:id w:val="-1295139765"/>
          <w:citation/>
        </w:sdtPr>
        <w:sdtEndPr/>
        <w:sdtContent>
          <w:r w:rsidR="009163A0" w:rsidRPr="009163A0">
            <w:fldChar w:fldCharType="begin"/>
          </w:r>
          <w:r w:rsidR="009163A0" w:rsidRPr="009163A0">
            <w:instrText xml:space="preserve"> CITATION Cha24 \l 3081 </w:instrText>
          </w:r>
          <w:r w:rsidR="009163A0" w:rsidRPr="009163A0">
            <w:fldChar w:fldCharType="separate"/>
          </w:r>
          <w:r w:rsidR="00490B21">
            <w:rPr>
              <w:noProof/>
            </w:rPr>
            <w:t>(Charalambous, et al., 2024)</w:t>
          </w:r>
          <w:r w:rsidR="009163A0" w:rsidRPr="009163A0">
            <w:fldChar w:fldCharType="end"/>
          </w:r>
        </w:sdtContent>
      </w:sdt>
      <w:r w:rsidR="009163A0" w:rsidRPr="009163A0">
        <w:t>.</w:t>
      </w:r>
    </w:p>
    <w:p w14:paraId="0C56493F" w14:textId="5FE84554" w:rsidR="00BC50EB" w:rsidRDefault="009163A0" w:rsidP="0076151D">
      <w:pPr>
        <w:spacing w:after="200" w:line="240" w:lineRule="atLeast"/>
        <w:contextualSpacing w:val="0"/>
      </w:pPr>
      <w:r w:rsidRPr="009163A0">
        <w:t xml:space="preserve">Many families face financial strain, although these impacts may be partially addressed through workers’ compensation claims (if accepted), which provides payments to affected workers or their families to at least partially cover lost wages, medical expenses, rehabilitation and legal costs </w:t>
      </w:r>
      <w:sdt>
        <w:sdtPr>
          <w:id w:val="-24950492"/>
          <w:citation/>
        </w:sdtPr>
        <w:sdtEndPr/>
        <w:sdtContent>
          <w:r w:rsidRPr="009163A0">
            <w:fldChar w:fldCharType="begin"/>
          </w:r>
          <w:r w:rsidRPr="009163A0">
            <w:instrText xml:space="preserve"> CITATION Fai24 \l 3081 </w:instrText>
          </w:r>
          <w:r w:rsidRPr="009163A0">
            <w:fldChar w:fldCharType="separate"/>
          </w:r>
          <w:r w:rsidR="00490B21">
            <w:rPr>
              <w:noProof/>
            </w:rPr>
            <w:t>(Fair Work Ombudsman, 2024)</w:t>
          </w:r>
          <w:r w:rsidRPr="009163A0">
            <w:fldChar w:fldCharType="end"/>
          </w:r>
        </w:sdtContent>
      </w:sdt>
      <w:r w:rsidRPr="009163A0">
        <w:t>.</w:t>
      </w:r>
      <w:r w:rsidRPr="009163A0" w:rsidDel="00AB50AF">
        <w:t xml:space="preserve"> </w:t>
      </w:r>
    </w:p>
    <w:p w14:paraId="71CE4F6F" w14:textId="5AA7BB45" w:rsidR="00D000E7" w:rsidRDefault="00D000E7" w:rsidP="00D000E7">
      <w:pPr>
        <w:pStyle w:val="SWAHeading4"/>
      </w:pPr>
      <w:r>
        <w:t>Estimating costs of occupational disease associated with 9 chemicals</w:t>
      </w:r>
    </w:p>
    <w:p w14:paraId="267580FF" w14:textId="57E93D1D" w:rsidR="0001262A" w:rsidRPr="00646C92" w:rsidDel="00EA3561" w:rsidRDefault="00D000E7" w:rsidP="0001262A">
      <w:pPr>
        <w:spacing w:after="200" w:line="240" w:lineRule="atLeast"/>
        <w:rPr>
          <w:rFonts w:eastAsia="Times New Roman"/>
        </w:rPr>
      </w:pPr>
      <w:r>
        <w:t>Costs were able to be estimated for 5</w:t>
      </w:r>
      <w:r w:rsidR="0001262A">
        <w:t xml:space="preserve"> of the 9 chemicals considered in this Decision RIS </w:t>
      </w:r>
      <w:r w:rsidR="0001262A" w:rsidRPr="78E28754">
        <w:rPr>
          <w:rFonts w:eastAsia="Times New Roman"/>
        </w:rPr>
        <w:t xml:space="preserve">(benzene, chlorine, </w:t>
      </w:r>
      <w:r w:rsidR="0001262A">
        <w:rPr>
          <w:rFonts w:eastAsia="Times New Roman"/>
        </w:rPr>
        <w:t xml:space="preserve">formaldehyde, </w:t>
      </w:r>
      <w:r w:rsidR="0001262A" w:rsidRPr="78E28754">
        <w:rPr>
          <w:rFonts w:eastAsia="Times New Roman"/>
        </w:rPr>
        <w:t>hydrogen sulfide and RCS)</w:t>
      </w:r>
      <w:r>
        <w:t>.</w:t>
      </w:r>
      <w:r w:rsidR="0001262A">
        <w:t xml:space="preserve"> </w:t>
      </w:r>
      <w:r>
        <w:t>T</w:t>
      </w:r>
      <w:r w:rsidR="0001262A">
        <w:t xml:space="preserve">he estimated costs to workers, businesses, government and the wider community </w:t>
      </w:r>
      <w:r w:rsidR="0001262A">
        <w:rPr>
          <w:rFonts w:eastAsia="Times New Roman"/>
        </w:rPr>
        <w:t xml:space="preserve">from exposure to </w:t>
      </w:r>
      <w:r>
        <w:rPr>
          <w:rFonts w:eastAsia="Times New Roman"/>
        </w:rPr>
        <w:t xml:space="preserve">5 of </w:t>
      </w:r>
      <w:r w:rsidR="0001262A">
        <w:rPr>
          <w:rFonts w:eastAsia="Times New Roman"/>
        </w:rPr>
        <w:t xml:space="preserve">these chemicals at current permitted exposure levels </w:t>
      </w:r>
      <w:r w:rsidR="0001262A" w:rsidRPr="78E28754">
        <w:rPr>
          <w:rFonts w:eastAsia="Times New Roman"/>
        </w:rPr>
        <w:t xml:space="preserve">is $13.1 billion over the 10 year appraisal period (FY27 to FY36). However, the </w:t>
      </w:r>
      <w:r w:rsidR="0001262A">
        <w:rPr>
          <w:rFonts w:eastAsia="Times New Roman"/>
        </w:rPr>
        <w:t xml:space="preserve">costs of occupational disease associated </w:t>
      </w:r>
      <w:r>
        <w:rPr>
          <w:rFonts w:eastAsia="Times New Roman"/>
        </w:rPr>
        <w:t xml:space="preserve">with </w:t>
      </w:r>
      <w:r w:rsidR="0001262A">
        <w:rPr>
          <w:rFonts w:eastAsia="Times New Roman"/>
        </w:rPr>
        <w:t>exposure to all 9 chemicals</w:t>
      </w:r>
      <w:r w:rsidR="0001262A" w:rsidRPr="78E28754">
        <w:rPr>
          <w:rFonts w:eastAsia="Times New Roman"/>
        </w:rPr>
        <w:t xml:space="preserve"> is </w:t>
      </w:r>
      <w:r>
        <w:rPr>
          <w:rFonts w:eastAsia="Times New Roman"/>
        </w:rPr>
        <w:t>expected</w:t>
      </w:r>
      <w:r w:rsidR="0001262A" w:rsidRPr="78E28754">
        <w:rPr>
          <w:rFonts w:eastAsia="Times New Roman"/>
        </w:rPr>
        <w:t xml:space="preserve"> to be significantly greater as: </w:t>
      </w:r>
    </w:p>
    <w:p w14:paraId="321098BC" w14:textId="77777777" w:rsidR="0001262A" w:rsidRPr="0001262A" w:rsidRDefault="0001262A" w:rsidP="0001262A">
      <w:pPr>
        <w:pStyle w:val="ListParagraph"/>
        <w:numPr>
          <w:ilvl w:val="0"/>
          <w:numId w:val="1"/>
        </w:numPr>
        <w:spacing w:after="200" w:line="240" w:lineRule="atLeast"/>
        <w:rPr>
          <w:rFonts w:eastAsia="Times New Roman"/>
          <w:szCs w:val="22"/>
        </w:rPr>
      </w:pPr>
      <w:r>
        <w:rPr>
          <w:rFonts w:eastAsia="Times New Roman"/>
        </w:rPr>
        <w:t xml:space="preserve">many of the costs for the 5 chemicals, particularly indirect impacts, were unable to be quantified, </w:t>
      </w:r>
    </w:p>
    <w:p w14:paraId="5386276A" w14:textId="77777777" w:rsidR="0001262A" w:rsidRPr="0001262A" w:rsidRDefault="0001262A" w:rsidP="0001262A">
      <w:pPr>
        <w:pStyle w:val="ListParagraph"/>
        <w:numPr>
          <w:ilvl w:val="0"/>
          <w:numId w:val="1"/>
        </w:numPr>
        <w:spacing w:after="200" w:line="240" w:lineRule="atLeast"/>
        <w:rPr>
          <w:rFonts w:eastAsia="Times New Roman"/>
          <w:szCs w:val="22"/>
        </w:rPr>
      </w:pPr>
      <w:r w:rsidRPr="78E28754">
        <w:rPr>
          <w:rFonts w:eastAsia="Times New Roman"/>
        </w:rPr>
        <w:t xml:space="preserve">there was insufficient data to quantify </w:t>
      </w:r>
      <w:r>
        <w:rPr>
          <w:rFonts w:eastAsia="Times New Roman"/>
        </w:rPr>
        <w:t xml:space="preserve">any costs </w:t>
      </w:r>
      <w:r w:rsidRPr="78E28754">
        <w:rPr>
          <w:rFonts w:eastAsia="Times New Roman"/>
        </w:rPr>
        <w:t xml:space="preserve">for the remaining </w:t>
      </w:r>
      <w:r>
        <w:rPr>
          <w:rFonts w:eastAsia="Times New Roman"/>
        </w:rPr>
        <w:t>4</w:t>
      </w:r>
      <w:r w:rsidRPr="78E28754">
        <w:rPr>
          <w:rFonts w:eastAsia="Times New Roman"/>
        </w:rPr>
        <w:t xml:space="preserve"> chemicals</w:t>
      </w:r>
      <w:r>
        <w:rPr>
          <w:rFonts w:eastAsia="Times New Roman"/>
        </w:rPr>
        <w:t>, and</w:t>
      </w:r>
    </w:p>
    <w:p w14:paraId="5FA6591F" w14:textId="58F60221" w:rsidR="00D000E7" w:rsidRPr="00D000E7" w:rsidRDefault="0001262A" w:rsidP="0001262A">
      <w:pPr>
        <w:pStyle w:val="ListParagraph"/>
        <w:numPr>
          <w:ilvl w:val="0"/>
          <w:numId w:val="1"/>
        </w:numPr>
        <w:spacing w:after="200" w:line="240" w:lineRule="atLeast"/>
        <w:rPr>
          <w:rFonts w:eastAsia="Times New Roman"/>
          <w:szCs w:val="22"/>
        </w:rPr>
      </w:pPr>
      <w:r>
        <w:rPr>
          <w:rFonts w:eastAsia="Times New Roman"/>
        </w:rPr>
        <w:t xml:space="preserve">where costs were able to be quantified, they are likely underestimated. </w:t>
      </w:r>
    </w:p>
    <w:p w14:paraId="1DC14417" w14:textId="0E201CDE" w:rsidR="0001262A" w:rsidRPr="00D000E7" w:rsidRDefault="0001262A" w:rsidP="00D000E7">
      <w:pPr>
        <w:spacing w:after="200" w:line="240" w:lineRule="atLeast"/>
        <w:rPr>
          <w:rFonts w:eastAsia="Times New Roman"/>
          <w:szCs w:val="22"/>
        </w:rPr>
      </w:pPr>
      <w:r w:rsidRPr="00D000E7">
        <w:rPr>
          <w:rFonts w:eastAsia="Times New Roman"/>
        </w:rPr>
        <w:t>For example, b</w:t>
      </w:r>
      <w:r w:rsidRPr="00D000E7">
        <w:rPr>
          <w:rFonts w:eastAsia="Times New Roman"/>
          <w:lang w:eastAsia="en-AU"/>
        </w:rPr>
        <w:t xml:space="preserve">etween 2017 and 2021, there were 668 workers’ compensation claims relating to the work exposures for benzene, chlorine, hydrogen sulfide and RCS, which totalled $219 million and resulted in a combined 29,000 weeks of absenteeism </w:t>
      </w:r>
      <w:sdt>
        <w:sdtPr>
          <w:rPr>
            <w:lang w:eastAsia="en-AU"/>
          </w:rPr>
          <w:id w:val="791635869"/>
          <w:citation/>
        </w:sdtPr>
        <w:sdtEndPr/>
        <w:sdtContent>
          <w:r w:rsidRPr="00D000E7">
            <w:rPr>
              <w:rFonts w:eastAsia="Times New Roman"/>
              <w:lang w:eastAsia="en-AU"/>
            </w:rPr>
            <w:fldChar w:fldCharType="begin"/>
          </w:r>
          <w:r w:rsidRPr="00D000E7">
            <w:rPr>
              <w:rFonts w:eastAsia="Times New Roman"/>
              <w:lang w:eastAsia="en-AU"/>
            </w:rPr>
            <w:instrText xml:space="preserve"> CITATION Saf233 \l 3081 </w:instrText>
          </w:r>
          <w:r w:rsidRPr="00D000E7">
            <w:rPr>
              <w:rFonts w:eastAsia="Times New Roman"/>
              <w:lang w:eastAsia="en-AU"/>
            </w:rPr>
            <w:fldChar w:fldCharType="separate"/>
          </w:r>
          <w:r w:rsidR="00490B21" w:rsidRPr="00490B21">
            <w:rPr>
              <w:rFonts w:eastAsia="Times New Roman"/>
              <w:noProof/>
              <w:lang w:eastAsia="en-AU"/>
            </w:rPr>
            <w:t>(Safe Work Australia, 2023)</w:t>
          </w:r>
          <w:r w:rsidRPr="00D000E7">
            <w:rPr>
              <w:rFonts w:eastAsia="Times New Roman"/>
              <w:lang w:eastAsia="en-AU"/>
            </w:rPr>
            <w:fldChar w:fldCharType="end"/>
          </w:r>
        </w:sdtContent>
      </w:sdt>
      <w:r w:rsidRPr="00D000E7">
        <w:rPr>
          <w:rFonts w:eastAsia="Times New Roman"/>
          <w:lang w:eastAsia="en-AU"/>
        </w:rPr>
        <w:t xml:space="preserve">. However, considering the results from the Australian Bureau of Statistics’ Work-Related Injuries Survey 2021-22 below and that these claims are only associated with 4 of the 9 chemicals considered in this Decision RIS, the number of workers’ compensation claims is </w:t>
      </w:r>
      <w:r>
        <w:t>likely to</w:t>
      </w:r>
      <w:r w:rsidRPr="00082FE8">
        <w:t xml:space="preserve"> significantly under-represent</w:t>
      </w:r>
      <w:r>
        <w:t xml:space="preserve"> </w:t>
      </w:r>
      <w:r w:rsidRPr="00082FE8">
        <w:t xml:space="preserve">the scale of workplace injury or illness attributable to the </w:t>
      </w:r>
      <w:r>
        <w:t>9</w:t>
      </w:r>
      <w:r w:rsidRPr="00082FE8">
        <w:t xml:space="preserve"> chemicals</w:t>
      </w:r>
      <w:r>
        <w:t xml:space="preserve">, and thus the </w:t>
      </w:r>
      <w:r w:rsidRPr="00285815">
        <w:t xml:space="preserve">associated </w:t>
      </w:r>
      <w:r w:rsidRPr="00D000E7">
        <w:rPr>
          <w:rFonts w:eastAsia="Times New Roman"/>
          <w:lang w:eastAsia="en-AU"/>
        </w:rPr>
        <w:t xml:space="preserve">costs. </w:t>
      </w:r>
    </w:p>
    <w:p w14:paraId="1A5DED8A" w14:textId="2D250C41" w:rsidR="0001262A" w:rsidRPr="006448F8" w:rsidRDefault="0001262A" w:rsidP="00D000E7">
      <w:pPr>
        <w:pStyle w:val="Paragraph"/>
        <w:keepNext w:val="0"/>
        <w:rPr>
          <w:lang w:eastAsia="en-US"/>
        </w:rPr>
      </w:pPr>
      <w:r>
        <w:rPr>
          <w:lang w:eastAsia="en-US"/>
        </w:rPr>
        <w:t>T</w:t>
      </w:r>
      <w:r w:rsidRPr="006448F8">
        <w:rPr>
          <w:lang w:eastAsia="en-US"/>
        </w:rPr>
        <w:t xml:space="preserve">he </w:t>
      </w:r>
      <w:r>
        <w:rPr>
          <w:lang w:eastAsia="en-US"/>
        </w:rPr>
        <w:t>Australia Bureau of Statistics (</w:t>
      </w:r>
      <w:r w:rsidRPr="006448F8">
        <w:rPr>
          <w:lang w:eastAsia="en-US"/>
        </w:rPr>
        <w:t>ABS</w:t>
      </w:r>
      <w:r>
        <w:rPr>
          <w:lang w:eastAsia="en-US"/>
        </w:rPr>
        <w:t>)</w:t>
      </w:r>
      <w:r w:rsidRPr="006448F8">
        <w:rPr>
          <w:lang w:eastAsia="en-US"/>
        </w:rPr>
        <w:t xml:space="preserve"> Work-Related Injuries Survey 2021-22 stated that 96.7</w:t>
      </w:r>
      <w:r>
        <w:rPr>
          <w:lang w:eastAsia="en-US"/>
        </w:rPr>
        <w:t xml:space="preserve">% </w:t>
      </w:r>
      <w:r w:rsidRPr="006448F8">
        <w:rPr>
          <w:lang w:eastAsia="en-US"/>
        </w:rPr>
        <w:t>of individuals that experienced a work-related injury or illness attributable to contact with a chemical or substance did not receive workers’ compensation</w:t>
      </w:r>
      <w:r>
        <w:rPr>
          <w:lang w:eastAsia="en-US"/>
        </w:rPr>
        <w:t xml:space="preserve"> </w:t>
      </w:r>
      <w:sdt>
        <w:sdtPr>
          <w:rPr>
            <w:lang w:eastAsia="en-US"/>
          </w:rPr>
          <w:id w:val="1058436114"/>
          <w:citation/>
        </w:sdtPr>
        <w:sdtEndPr/>
        <w:sdtContent>
          <w:r>
            <w:rPr>
              <w:lang w:eastAsia="en-US"/>
            </w:rPr>
            <w:fldChar w:fldCharType="begin"/>
          </w:r>
          <w:r>
            <w:rPr>
              <w:lang w:eastAsia="en-US"/>
            </w:rPr>
            <w:instrText xml:space="preserve"> CITATION Aus23 \l 3081 </w:instrText>
          </w:r>
          <w:r>
            <w:rPr>
              <w:lang w:eastAsia="en-US"/>
            </w:rPr>
            <w:fldChar w:fldCharType="separate"/>
          </w:r>
          <w:r w:rsidR="00490B21">
            <w:rPr>
              <w:noProof/>
              <w:lang w:eastAsia="en-US"/>
            </w:rPr>
            <w:t>(Australian Bureau of Statistics, 2023)</w:t>
          </w:r>
          <w:r>
            <w:rPr>
              <w:lang w:eastAsia="en-US"/>
            </w:rPr>
            <w:fldChar w:fldCharType="end"/>
          </w:r>
        </w:sdtContent>
      </w:sdt>
      <w:r w:rsidRPr="006448F8">
        <w:rPr>
          <w:lang w:eastAsia="en-US"/>
        </w:rPr>
        <w:t>. Among those who did not apply for workers’ compensation, the survey identifies that:</w:t>
      </w:r>
    </w:p>
    <w:p w14:paraId="206E900A" w14:textId="77777777" w:rsidR="0001262A" w:rsidRPr="006448F8" w:rsidRDefault="0001262A" w:rsidP="00D000E7">
      <w:pPr>
        <w:pStyle w:val="Paragraph"/>
        <w:keepNext w:val="0"/>
        <w:numPr>
          <w:ilvl w:val="0"/>
          <w:numId w:val="1"/>
        </w:numPr>
        <w:rPr>
          <w:lang w:eastAsia="en-US"/>
        </w:rPr>
      </w:pPr>
      <w:r w:rsidRPr="006448F8">
        <w:rPr>
          <w:lang w:eastAsia="en-US"/>
        </w:rPr>
        <w:lastRenderedPageBreak/>
        <w:t>39 per cent considered their injury too minor or did not believe workers' compensation was necessary.</w:t>
      </w:r>
    </w:p>
    <w:p w14:paraId="4C989F5B" w14:textId="77777777" w:rsidR="0001262A" w:rsidRPr="006448F8" w:rsidRDefault="0001262A" w:rsidP="00D000E7">
      <w:pPr>
        <w:pStyle w:val="Paragraph"/>
        <w:keepNext w:val="0"/>
        <w:numPr>
          <w:ilvl w:val="0"/>
          <w:numId w:val="1"/>
        </w:numPr>
        <w:rPr>
          <w:lang w:eastAsia="en-US"/>
        </w:rPr>
      </w:pPr>
      <w:r w:rsidRPr="006448F8">
        <w:rPr>
          <w:lang w:eastAsia="en-US"/>
        </w:rPr>
        <w:t>14 per cent did not think they were eligible.</w:t>
      </w:r>
    </w:p>
    <w:p w14:paraId="16264A17" w14:textId="6813BFF2" w:rsidR="0001262A" w:rsidRDefault="0001262A" w:rsidP="00D000E7">
      <w:pPr>
        <w:pStyle w:val="Paragraph"/>
        <w:keepNext w:val="0"/>
        <w:numPr>
          <w:ilvl w:val="0"/>
          <w:numId w:val="1"/>
        </w:numPr>
        <w:rPr>
          <w:lang w:eastAsia="en-US"/>
        </w:rPr>
      </w:pPr>
      <w:r w:rsidRPr="006448F8">
        <w:rPr>
          <w:lang w:eastAsia="en-US"/>
        </w:rPr>
        <w:t>10 per cent were either not covered or unaware of workers' compensation</w:t>
      </w:r>
      <w:r>
        <w:rPr>
          <w:lang w:eastAsia="en-US"/>
        </w:rPr>
        <w:t xml:space="preserve"> </w:t>
      </w:r>
      <w:sdt>
        <w:sdtPr>
          <w:rPr>
            <w:lang w:eastAsia="en-US"/>
          </w:rPr>
          <w:id w:val="1067613029"/>
          <w:citation/>
        </w:sdtPr>
        <w:sdtEndPr/>
        <w:sdtContent>
          <w:r>
            <w:rPr>
              <w:lang w:eastAsia="en-US"/>
            </w:rPr>
            <w:fldChar w:fldCharType="begin"/>
          </w:r>
          <w:r>
            <w:rPr>
              <w:lang w:eastAsia="en-US"/>
            </w:rPr>
            <w:instrText xml:space="preserve"> CITATION Aus23 \l 3081 </w:instrText>
          </w:r>
          <w:r>
            <w:rPr>
              <w:lang w:eastAsia="en-US"/>
            </w:rPr>
            <w:fldChar w:fldCharType="separate"/>
          </w:r>
          <w:r w:rsidR="00490B21">
            <w:rPr>
              <w:noProof/>
              <w:lang w:eastAsia="en-US"/>
            </w:rPr>
            <w:t>(Australian Bureau of Statistics, 2023)</w:t>
          </w:r>
          <w:r>
            <w:rPr>
              <w:lang w:eastAsia="en-US"/>
            </w:rPr>
            <w:fldChar w:fldCharType="end"/>
          </w:r>
        </w:sdtContent>
      </w:sdt>
      <w:r w:rsidR="00D000E7">
        <w:rPr>
          <w:rStyle w:val="FootnoteReference"/>
          <w:lang w:eastAsia="en-US"/>
        </w:rPr>
        <w:footnoteReference w:id="6"/>
      </w:r>
      <w:r w:rsidRPr="006448F8">
        <w:rPr>
          <w:lang w:eastAsia="en-US"/>
        </w:rPr>
        <w:t>.</w:t>
      </w:r>
    </w:p>
    <w:p w14:paraId="7B02C383" w14:textId="3829F55C" w:rsidR="0001262A" w:rsidRPr="00D000E7" w:rsidRDefault="0001262A" w:rsidP="00D000E7">
      <w:pPr>
        <w:pStyle w:val="Paragraph"/>
        <w:keepNext w:val="0"/>
        <w:rPr>
          <w:lang w:eastAsia="en-US"/>
        </w:rPr>
      </w:pPr>
      <w:r>
        <w:rPr>
          <w:lang w:eastAsia="en-US"/>
        </w:rPr>
        <w:t xml:space="preserve">Further, long latency periods between exposure and the observable onset of disease may result in individuals not linking the disease to work-related exposure or having insufficient evidence to link the disease to work-related exposure. </w:t>
      </w:r>
    </w:p>
    <w:p w14:paraId="2DA840F4" w14:textId="13F1235F" w:rsidR="009911EB" w:rsidRPr="009911EB" w:rsidRDefault="009911EB" w:rsidP="00190818">
      <w:pPr>
        <w:pStyle w:val="SWAHeading1"/>
      </w:pPr>
      <w:bookmarkStart w:id="20" w:name="_Toc194509994"/>
      <w:bookmarkStart w:id="21" w:name="_Toc219216860"/>
      <w:r w:rsidRPr="009911EB">
        <w:lastRenderedPageBreak/>
        <w:t>Why is government action needed?</w:t>
      </w:r>
      <w:bookmarkEnd w:id="20"/>
      <w:bookmarkEnd w:id="21"/>
    </w:p>
    <w:p w14:paraId="471B3555" w14:textId="77777777" w:rsidR="00857ECB" w:rsidRDefault="009911EB" w:rsidP="009911EB">
      <w:pPr>
        <w:keepNext/>
        <w:spacing w:after="200" w:line="240" w:lineRule="atLeast"/>
        <w:contextualSpacing w:val="0"/>
        <w:rPr>
          <w:rFonts w:eastAsia="Times New Roman"/>
          <w:lang w:eastAsia="en-AU"/>
        </w:rPr>
      </w:pPr>
      <w:r w:rsidRPr="009911EB">
        <w:rPr>
          <w:rFonts w:eastAsia="Times New Roman"/>
          <w:lang w:eastAsia="en-AU"/>
        </w:rPr>
        <w:t xml:space="preserve">The development of adverse health effects for workplace exposures to airborne contaminants, such as occupational diseases and illnesses, is an unacceptable health risk to workers. </w:t>
      </w:r>
    </w:p>
    <w:p w14:paraId="7112C91F" w14:textId="5D886568" w:rsidR="00816E83" w:rsidRDefault="00D4181C" w:rsidP="6CEA0760">
      <w:pPr>
        <w:keepNext/>
        <w:spacing w:after="200" w:line="240" w:lineRule="atLeast"/>
        <w:rPr>
          <w:rFonts w:eastAsia="Times New Roman"/>
          <w:lang w:eastAsia="en-AU"/>
        </w:rPr>
      </w:pPr>
      <w:r>
        <w:rPr>
          <w:rFonts w:eastAsia="Times New Roman"/>
          <w:lang w:eastAsia="en-AU"/>
        </w:rPr>
        <w:t>Government</w:t>
      </w:r>
      <w:r w:rsidR="0002639C">
        <w:rPr>
          <w:rFonts w:eastAsia="Times New Roman"/>
          <w:lang w:eastAsia="en-AU"/>
        </w:rPr>
        <w:t>s</w:t>
      </w:r>
      <w:r w:rsidR="00AC104D">
        <w:rPr>
          <w:rFonts w:eastAsia="Times New Roman"/>
          <w:lang w:eastAsia="en-AU"/>
        </w:rPr>
        <w:t xml:space="preserve">, through the establishment of the model WHS framework, </w:t>
      </w:r>
      <w:r w:rsidR="0002639C">
        <w:rPr>
          <w:rFonts w:eastAsia="Times New Roman"/>
          <w:lang w:eastAsia="en-AU"/>
        </w:rPr>
        <w:t xml:space="preserve">have recognised the </w:t>
      </w:r>
      <w:r w:rsidR="00AC104D">
        <w:rPr>
          <w:rFonts w:eastAsia="Times New Roman"/>
          <w:lang w:eastAsia="en-AU"/>
        </w:rPr>
        <w:t>need</w:t>
      </w:r>
      <w:r>
        <w:rPr>
          <w:rFonts w:eastAsia="Times New Roman"/>
          <w:lang w:eastAsia="en-AU"/>
        </w:rPr>
        <w:t xml:space="preserve"> to </w:t>
      </w:r>
      <w:r w:rsidR="00E17FAB">
        <w:rPr>
          <w:rFonts w:eastAsia="Times New Roman"/>
          <w:lang w:eastAsia="en-AU"/>
        </w:rPr>
        <w:t>eliminate</w:t>
      </w:r>
      <w:r>
        <w:rPr>
          <w:rFonts w:eastAsia="Times New Roman"/>
          <w:lang w:eastAsia="en-AU"/>
        </w:rPr>
        <w:t xml:space="preserve">, </w:t>
      </w:r>
      <w:r w:rsidR="00491A1B">
        <w:rPr>
          <w:rFonts w:eastAsia="Times New Roman"/>
          <w:lang w:eastAsia="en-AU"/>
        </w:rPr>
        <w:t xml:space="preserve">and </w:t>
      </w:r>
      <w:r w:rsidR="00E17FAB">
        <w:rPr>
          <w:rFonts w:eastAsia="Times New Roman"/>
          <w:lang w:eastAsia="en-AU"/>
        </w:rPr>
        <w:t xml:space="preserve">where this is not possible, </w:t>
      </w:r>
      <w:r>
        <w:rPr>
          <w:rFonts w:eastAsia="Times New Roman"/>
          <w:lang w:eastAsia="en-AU"/>
        </w:rPr>
        <w:t>minimise risk</w:t>
      </w:r>
      <w:r w:rsidR="00AC104D">
        <w:rPr>
          <w:rFonts w:eastAsia="Times New Roman"/>
          <w:lang w:eastAsia="en-AU"/>
        </w:rPr>
        <w:t>s to workers</w:t>
      </w:r>
      <w:r w:rsidR="004A6272">
        <w:rPr>
          <w:rFonts w:eastAsia="Times New Roman"/>
          <w:lang w:eastAsia="en-AU"/>
        </w:rPr>
        <w:t>, including from airborne contaminants</w:t>
      </w:r>
      <w:r w:rsidR="00AC104D">
        <w:rPr>
          <w:rFonts w:eastAsia="Times New Roman"/>
          <w:lang w:eastAsia="en-AU"/>
        </w:rPr>
        <w:t xml:space="preserve">. </w:t>
      </w:r>
      <w:r w:rsidR="00857ECB">
        <w:rPr>
          <w:rFonts w:eastAsia="Times New Roman"/>
          <w:lang w:eastAsia="en-AU"/>
        </w:rPr>
        <w:t xml:space="preserve">The establishment of appropriate WEL is a </w:t>
      </w:r>
      <w:r w:rsidR="003F51D8">
        <w:rPr>
          <w:rFonts w:eastAsia="Times New Roman"/>
          <w:lang w:eastAsia="en-AU"/>
        </w:rPr>
        <w:t xml:space="preserve">key </w:t>
      </w:r>
      <w:r w:rsidR="00857ECB">
        <w:rPr>
          <w:rFonts w:eastAsia="Times New Roman"/>
          <w:lang w:eastAsia="en-AU"/>
        </w:rPr>
        <w:t xml:space="preserve">part of </w:t>
      </w:r>
      <w:r w:rsidR="003F51D8">
        <w:rPr>
          <w:rFonts w:eastAsia="Times New Roman"/>
          <w:lang w:eastAsia="en-AU"/>
        </w:rPr>
        <w:t>this</w:t>
      </w:r>
      <w:r w:rsidR="00857ECB">
        <w:rPr>
          <w:rFonts w:eastAsia="Times New Roman"/>
          <w:lang w:eastAsia="en-AU"/>
        </w:rPr>
        <w:t>.</w:t>
      </w:r>
      <w:r w:rsidR="00AC104D">
        <w:rPr>
          <w:rFonts w:eastAsia="Times New Roman"/>
          <w:lang w:eastAsia="en-AU"/>
        </w:rPr>
        <w:t xml:space="preserve"> </w:t>
      </w:r>
    </w:p>
    <w:p w14:paraId="6BCBDE9D" w14:textId="60523540" w:rsidR="00AA0BC5" w:rsidRDefault="003F51D8" w:rsidP="11446642">
      <w:pPr>
        <w:keepNext/>
        <w:spacing w:after="200" w:line="240" w:lineRule="atLeast"/>
        <w:rPr>
          <w:rFonts w:eastAsia="Times New Roman"/>
          <w:lang w:eastAsia="en-AU"/>
        </w:rPr>
      </w:pPr>
      <w:r>
        <w:rPr>
          <w:rFonts w:eastAsia="Times New Roman"/>
          <w:lang w:eastAsia="en-AU"/>
        </w:rPr>
        <w:t xml:space="preserve">WHS </w:t>
      </w:r>
      <w:r w:rsidRPr="11446642">
        <w:rPr>
          <w:rFonts w:eastAsia="Times New Roman"/>
          <w:lang w:eastAsia="en-AU"/>
        </w:rPr>
        <w:t>minister</w:t>
      </w:r>
      <w:r w:rsidR="6D2E3BEF" w:rsidRPr="11446642">
        <w:rPr>
          <w:rFonts w:eastAsia="Times New Roman"/>
          <w:lang w:eastAsia="en-AU"/>
        </w:rPr>
        <w:t>s</w:t>
      </w:r>
      <w:r>
        <w:rPr>
          <w:rFonts w:eastAsia="Times New Roman"/>
          <w:lang w:eastAsia="en-AU"/>
        </w:rPr>
        <w:t xml:space="preserve"> have agreed to maintain the</w:t>
      </w:r>
      <w:r w:rsidRPr="00313568">
        <w:rPr>
          <w:rFonts w:eastAsia="Times New Roman"/>
          <w:lang w:eastAsia="en-AU"/>
        </w:rPr>
        <w:t xml:space="preserve"> mandatory nature of the WES under regulation 49 of the model WHS Regulations and to update the </w:t>
      </w:r>
      <w:r w:rsidRPr="00313568" w:rsidDel="00466AA2">
        <w:rPr>
          <w:rFonts w:eastAsia="Times New Roman"/>
          <w:lang w:eastAsia="en-AU"/>
        </w:rPr>
        <w:t xml:space="preserve">WES </w:t>
      </w:r>
      <w:r w:rsidRPr="00313568">
        <w:rPr>
          <w:rFonts w:eastAsia="Times New Roman"/>
          <w:lang w:eastAsia="en-AU"/>
        </w:rPr>
        <w:t>list</w:t>
      </w:r>
      <w:r w:rsidR="009A0182">
        <w:rPr>
          <w:rFonts w:eastAsia="Times New Roman"/>
          <w:lang w:eastAsia="en-AU"/>
        </w:rPr>
        <w:t xml:space="preserve"> – this recognises the established, critical role the WES list has in </w:t>
      </w:r>
      <w:r w:rsidR="00DE1390">
        <w:rPr>
          <w:rFonts w:eastAsia="Times New Roman"/>
          <w:lang w:eastAsia="en-AU"/>
        </w:rPr>
        <w:t>protecting workers</w:t>
      </w:r>
      <w:r>
        <w:rPr>
          <w:rFonts w:eastAsia="Times New Roman"/>
          <w:lang w:eastAsia="en-AU"/>
        </w:rPr>
        <w:t xml:space="preserve">. The 9 chemicals </w:t>
      </w:r>
      <w:r w:rsidR="00CF4C15">
        <w:rPr>
          <w:rFonts w:eastAsia="Times New Roman"/>
          <w:lang w:eastAsia="en-AU"/>
        </w:rPr>
        <w:t>considered in</w:t>
      </w:r>
      <w:r w:rsidR="0051048B" w:rsidRPr="0051048B">
        <w:rPr>
          <w:rFonts w:eastAsia="Times New Roman"/>
          <w:lang w:eastAsia="en-AU"/>
        </w:rPr>
        <w:t xml:space="preserve"> this Decision RIS</w:t>
      </w:r>
      <w:r w:rsidR="0051048B" w:rsidRPr="0051048B" w:rsidDel="0051048B">
        <w:rPr>
          <w:rFonts w:eastAsia="Times New Roman"/>
          <w:lang w:eastAsia="en-AU"/>
        </w:rPr>
        <w:t xml:space="preserve"> </w:t>
      </w:r>
      <w:r w:rsidR="003F3E3D">
        <w:rPr>
          <w:rFonts w:eastAsia="Times New Roman"/>
          <w:lang w:eastAsia="en-AU"/>
        </w:rPr>
        <w:t>will</w:t>
      </w:r>
      <w:r>
        <w:rPr>
          <w:rFonts w:eastAsia="Times New Roman"/>
          <w:lang w:eastAsia="en-AU"/>
        </w:rPr>
        <w:t xml:space="preserve"> form part of the </w:t>
      </w:r>
      <w:r w:rsidR="00695DAA">
        <w:rPr>
          <w:rFonts w:eastAsia="Times New Roman"/>
          <w:lang w:eastAsia="en-AU"/>
        </w:rPr>
        <w:t xml:space="preserve">(renamed) </w:t>
      </w:r>
      <w:r>
        <w:rPr>
          <w:rFonts w:eastAsia="Times New Roman"/>
          <w:lang w:eastAsia="en-AU"/>
        </w:rPr>
        <w:t>WE</w:t>
      </w:r>
      <w:r w:rsidR="003F3E3D">
        <w:rPr>
          <w:rFonts w:eastAsia="Times New Roman"/>
          <w:lang w:eastAsia="en-AU"/>
        </w:rPr>
        <w:t>L</w:t>
      </w:r>
      <w:r>
        <w:rPr>
          <w:rFonts w:eastAsia="Times New Roman"/>
          <w:lang w:eastAsia="en-AU"/>
        </w:rPr>
        <w:t xml:space="preserve"> list</w:t>
      </w:r>
      <w:r w:rsidR="00C761FF">
        <w:rPr>
          <w:rFonts w:eastAsia="Times New Roman"/>
          <w:lang w:eastAsia="en-AU"/>
        </w:rPr>
        <w:t xml:space="preserve"> when it commences from 1 December 2026</w:t>
      </w:r>
      <w:r w:rsidR="00604E18">
        <w:rPr>
          <w:rFonts w:eastAsia="Times New Roman"/>
          <w:lang w:eastAsia="en-AU"/>
        </w:rPr>
        <w:t>.</w:t>
      </w:r>
      <w:r w:rsidR="00C77CE1" w:rsidRPr="00C77CE1">
        <w:rPr>
          <w:rFonts w:eastAsia="Times New Roman"/>
          <w:lang w:eastAsia="en-AU"/>
        </w:rPr>
        <w:t xml:space="preserve"> </w:t>
      </w:r>
    </w:p>
    <w:p w14:paraId="40ED215C" w14:textId="368A8882" w:rsidR="00E561F1" w:rsidRPr="009911EB" w:rsidRDefault="00D2588F" w:rsidP="00707ADD">
      <w:pPr>
        <w:pStyle w:val="SWAHeading2"/>
        <w:ind w:left="709"/>
        <w:rPr>
          <w:lang w:eastAsia="en-AU"/>
        </w:rPr>
      </w:pPr>
      <w:bookmarkStart w:id="22" w:name="_Toc219216861"/>
      <w:r>
        <w:rPr>
          <w:lang w:eastAsia="en-AU"/>
        </w:rPr>
        <w:t>Existing l</w:t>
      </w:r>
      <w:r w:rsidR="00E561F1" w:rsidRPr="009911EB">
        <w:rPr>
          <w:lang w:eastAsia="en-AU"/>
        </w:rPr>
        <w:t xml:space="preserve">egislative and regulatory </w:t>
      </w:r>
      <w:r w:rsidR="00E561F1">
        <w:rPr>
          <w:lang w:eastAsia="en-AU"/>
        </w:rPr>
        <w:t xml:space="preserve">requirements </w:t>
      </w:r>
      <w:r w:rsidR="00E561F1" w:rsidRPr="009911EB">
        <w:rPr>
          <w:lang w:eastAsia="en-AU"/>
        </w:rPr>
        <w:t xml:space="preserve">for airborne contaminants </w:t>
      </w:r>
      <w:r w:rsidR="00E561F1">
        <w:rPr>
          <w:lang w:eastAsia="en-AU"/>
        </w:rPr>
        <w:t>aim to protect workers from occupational illness</w:t>
      </w:r>
      <w:bookmarkEnd w:id="22"/>
      <w:r w:rsidR="00E561F1">
        <w:rPr>
          <w:lang w:eastAsia="en-AU"/>
        </w:rPr>
        <w:t xml:space="preserve"> </w:t>
      </w:r>
    </w:p>
    <w:p w14:paraId="6425AD4C" w14:textId="7811FC53" w:rsidR="00E561F1" w:rsidRDefault="00E561F1" w:rsidP="005E1481">
      <w:pPr>
        <w:spacing w:before="240" w:line="240" w:lineRule="atLeast"/>
        <w:contextualSpacing w:val="0"/>
        <w:rPr>
          <w:rFonts w:eastAsia="Times New Roman"/>
        </w:rPr>
      </w:pPr>
      <w:r w:rsidRPr="008A340B">
        <w:rPr>
          <w:rFonts w:eastAsia="Times New Roman"/>
        </w:rPr>
        <w:t xml:space="preserve">The model </w:t>
      </w:r>
      <w:r w:rsidR="006447B2">
        <w:rPr>
          <w:rFonts w:eastAsia="Times New Roman"/>
        </w:rPr>
        <w:t>WHS</w:t>
      </w:r>
      <w:r w:rsidRPr="008A340B">
        <w:rPr>
          <w:rFonts w:eastAsia="Times New Roman"/>
        </w:rPr>
        <w:t xml:space="preserve"> l</w:t>
      </w:r>
      <w:r>
        <w:rPr>
          <w:rFonts w:eastAsia="Times New Roman"/>
        </w:rPr>
        <w:t>egislative framework</w:t>
      </w:r>
      <w:r w:rsidRPr="008A340B">
        <w:rPr>
          <w:rFonts w:eastAsia="Times New Roman"/>
        </w:rPr>
        <w:t xml:space="preserve"> seeks to protect workers from developing adverse health effects, like occupational illness and diseases due to exposure to hazardous chemicals and airborne contaminants</w:t>
      </w:r>
      <w:r>
        <w:rPr>
          <w:rFonts w:eastAsia="Times New Roman"/>
        </w:rPr>
        <w:t xml:space="preserve">. </w:t>
      </w:r>
      <w:r w:rsidR="00513914">
        <w:rPr>
          <w:rFonts w:eastAsia="Times New Roman"/>
        </w:rPr>
        <w:t xml:space="preserve">The Commonwealth, </w:t>
      </w:r>
      <w:r w:rsidR="00086FEC">
        <w:rPr>
          <w:rFonts w:eastAsia="Times New Roman"/>
        </w:rPr>
        <w:t>and all</w:t>
      </w:r>
      <w:r w:rsidR="00513914">
        <w:rPr>
          <w:rFonts w:eastAsia="Times New Roman"/>
        </w:rPr>
        <w:t xml:space="preserve"> state and territory governments have </w:t>
      </w:r>
      <w:r w:rsidR="00086FEC">
        <w:rPr>
          <w:rFonts w:eastAsia="Times New Roman"/>
        </w:rPr>
        <w:t xml:space="preserve">implemented the </w:t>
      </w:r>
      <w:r w:rsidRPr="00BE6A0B">
        <w:rPr>
          <w:rFonts w:eastAsia="Times New Roman"/>
        </w:rPr>
        <w:t xml:space="preserve">mandatory workplace exposure standards </w:t>
      </w:r>
      <w:r w:rsidR="00B769CD">
        <w:rPr>
          <w:rFonts w:eastAsia="Times New Roman"/>
        </w:rPr>
        <w:t>in the WES list</w:t>
      </w:r>
      <w:r w:rsidR="00086FEC" w:rsidRPr="00BE6A0B">
        <w:rPr>
          <w:rFonts w:eastAsia="Times New Roman"/>
        </w:rPr>
        <w:t xml:space="preserve"> </w:t>
      </w:r>
      <w:r w:rsidRPr="00BE6A0B">
        <w:rPr>
          <w:rFonts w:eastAsia="Times New Roman"/>
        </w:rPr>
        <w:t>under</w:t>
      </w:r>
      <w:r w:rsidR="006575D3">
        <w:rPr>
          <w:rFonts w:eastAsia="Times New Roman"/>
        </w:rPr>
        <w:t xml:space="preserve"> their</w:t>
      </w:r>
      <w:r w:rsidRPr="00BE6A0B">
        <w:rPr>
          <w:rFonts w:eastAsia="Times New Roman"/>
        </w:rPr>
        <w:t xml:space="preserve"> </w:t>
      </w:r>
      <w:r w:rsidR="00086FEC">
        <w:rPr>
          <w:rFonts w:eastAsia="Times New Roman"/>
        </w:rPr>
        <w:t xml:space="preserve">WHS </w:t>
      </w:r>
      <w:r w:rsidRPr="00BE6A0B">
        <w:rPr>
          <w:rFonts w:eastAsia="Times New Roman"/>
        </w:rPr>
        <w:t>laws</w:t>
      </w:r>
      <w:r w:rsidR="00086FEC">
        <w:rPr>
          <w:rFonts w:eastAsia="Times New Roman"/>
        </w:rPr>
        <w:t xml:space="preserve"> (or equivalent)</w:t>
      </w:r>
      <w:r w:rsidRPr="00BE6A0B">
        <w:rPr>
          <w:rFonts w:eastAsia="Times New Roman"/>
        </w:rPr>
        <w:t xml:space="preserve">. </w:t>
      </w:r>
    </w:p>
    <w:p w14:paraId="14762583" w14:textId="73EE2852" w:rsidR="00E561F1" w:rsidRPr="009911EB" w:rsidRDefault="00E561F1" w:rsidP="005E1481">
      <w:pPr>
        <w:spacing w:before="240" w:line="240" w:lineRule="atLeast"/>
        <w:contextualSpacing w:val="0"/>
        <w:rPr>
          <w:rFonts w:eastAsia="Times New Roman" w:cs="Times New Roman"/>
          <w:szCs w:val="22"/>
          <w:lang w:eastAsia="en-AU"/>
        </w:rPr>
      </w:pPr>
      <w:r>
        <w:rPr>
          <w:rFonts w:eastAsia="Times New Roman"/>
        </w:rPr>
        <w:t>The model WHS laws, in both the WHS Act and WHS Regulations, set out o</w:t>
      </w:r>
      <w:r w:rsidRPr="008A340B">
        <w:rPr>
          <w:rFonts w:eastAsia="Times New Roman"/>
        </w:rPr>
        <w:t xml:space="preserve">bligations </w:t>
      </w:r>
      <w:r>
        <w:rPr>
          <w:rFonts w:eastAsia="Times New Roman"/>
        </w:rPr>
        <w:t xml:space="preserve">for employers to manage </w:t>
      </w:r>
      <w:r w:rsidRPr="008A340B">
        <w:rPr>
          <w:rFonts w:eastAsia="Times New Roman"/>
        </w:rPr>
        <w:t>these hazards in the workplace.</w:t>
      </w:r>
      <w:r w:rsidRPr="00721C1F">
        <w:rPr>
          <w:rFonts w:eastAsia="Times New Roman"/>
        </w:rPr>
        <w:t xml:space="preserve"> </w:t>
      </w:r>
      <w:r w:rsidR="00E15333">
        <w:rPr>
          <w:rFonts w:eastAsia="Times New Roman"/>
        </w:rPr>
        <w:t>S</w:t>
      </w:r>
      <w:r w:rsidR="00E15333" w:rsidRPr="00E15333">
        <w:rPr>
          <w:rFonts w:eastAsia="Times New Roman"/>
        </w:rPr>
        <w:t xml:space="preserve">ection 19 of the </w:t>
      </w:r>
      <w:r w:rsidR="00294697">
        <w:rPr>
          <w:rFonts w:eastAsia="Times New Roman"/>
        </w:rPr>
        <w:t xml:space="preserve">model </w:t>
      </w:r>
      <w:r w:rsidR="008E6EFE">
        <w:rPr>
          <w:rFonts w:eastAsia="Times New Roman"/>
        </w:rPr>
        <w:t xml:space="preserve">WHS </w:t>
      </w:r>
      <w:r w:rsidR="00E15333" w:rsidRPr="00E15333">
        <w:rPr>
          <w:rFonts w:eastAsia="Times New Roman"/>
        </w:rPr>
        <w:t xml:space="preserve">Act establishes the primary duty of care for PCBUs to ensure, so far as is reasonably practicable, the health and safety of workers and others in the workplace. In fulfilling this duty, </w:t>
      </w:r>
      <w:r w:rsidRPr="009911EB">
        <w:rPr>
          <w:rFonts w:eastAsia="Times New Roman" w:cs="Times New Roman"/>
          <w:szCs w:val="22"/>
          <w:lang w:eastAsia="en-AU"/>
        </w:rPr>
        <w:t xml:space="preserve">PCBUs must ensure risks to </w:t>
      </w:r>
      <w:r>
        <w:rPr>
          <w:rFonts w:eastAsia="Times New Roman"/>
          <w:szCs w:val="22"/>
          <w:lang w:eastAsia="en-AU"/>
        </w:rPr>
        <w:t xml:space="preserve">the </w:t>
      </w:r>
      <w:r w:rsidRPr="009911EB">
        <w:rPr>
          <w:rFonts w:eastAsia="Times New Roman" w:cs="Times New Roman"/>
          <w:szCs w:val="22"/>
          <w:lang w:eastAsia="en-AU"/>
        </w:rPr>
        <w:t xml:space="preserve">health and safety of workers and others at the workplace is eliminated or minimised, so far as is reasonably practicable (section 17 of the </w:t>
      </w:r>
      <w:r>
        <w:rPr>
          <w:rFonts w:eastAsia="Times New Roman"/>
          <w:szCs w:val="22"/>
          <w:lang w:eastAsia="en-AU"/>
        </w:rPr>
        <w:t xml:space="preserve">model WHS </w:t>
      </w:r>
      <w:r w:rsidRPr="009911EB">
        <w:rPr>
          <w:rFonts w:eastAsia="Times New Roman" w:cs="Times New Roman"/>
          <w:szCs w:val="22"/>
          <w:lang w:eastAsia="en-AU"/>
        </w:rPr>
        <w:t xml:space="preserve">Act). This includes </w:t>
      </w:r>
      <w:r>
        <w:rPr>
          <w:rFonts w:eastAsia="Times New Roman" w:cs="Times New Roman"/>
          <w:szCs w:val="22"/>
          <w:lang w:eastAsia="en-AU"/>
        </w:rPr>
        <w:t xml:space="preserve">eliminating or minimising </w:t>
      </w:r>
      <w:r w:rsidRPr="009911EB">
        <w:rPr>
          <w:rFonts w:eastAsia="Times New Roman" w:cs="Times New Roman"/>
          <w:szCs w:val="22"/>
          <w:lang w:eastAsia="en-AU"/>
        </w:rPr>
        <w:t xml:space="preserve">the risks that arise from hazardous chemicals and airborne contaminants. </w:t>
      </w:r>
      <w:r>
        <w:rPr>
          <w:rFonts w:eastAsia="Times New Roman" w:cs="Times New Roman"/>
          <w:szCs w:val="22"/>
          <w:lang w:eastAsia="en-AU"/>
        </w:rPr>
        <w:t xml:space="preserve">They are required to provide </w:t>
      </w:r>
      <w:r w:rsidRPr="009911EB">
        <w:rPr>
          <w:rFonts w:eastAsia="Times New Roman" w:cs="Times New Roman"/>
          <w:szCs w:val="22"/>
          <w:lang w:eastAsia="en-AU"/>
        </w:rPr>
        <w:t>and maint</w:t>
      </w:r>
      <w:r>
        <w:rPr>
          <w:rFonts w:eastAsia="Times New Roman" w:cs="Times New Roman"/>
          <w:szCs w:val="22"/>
          <w:lang w:eastAsia="en-AU"/>
        </w:rPr>
        <w:t>ain</w:t>
      </w:r>
      <w:r w:rsidRPr="009911EB">
        <w:rPr>
          <w:rFonts w:eastAsia="Times New Roman" w:cs="Times New Roman"/>
          <w:szCs w:val="22"/>
          <w:lang w:eastAsia="en-AU"/>
        </w:rPr>
        <w:t xml:space="preserve"> </w:t>
      </w:r>
      <w:r>
        <w:rPr>
          <w:rFonts w:eastAsia="Times New Roman" w:cs="Times New Roman"/>
          <w:szCs w:val="22"/>
          <w:lang w:eastAsia="en-AU"/>
        </w:rPr>
        <w:t>a</w:t>
      </w:r>
      <w:r w:rsidRPr="009911EB">
        <w:rPr>
          <w:rFonts w:eastAsia="Times New Roman" w:cs="Times New Roman"/>
          <w:szCs w:val="22"/>
          <w:lang w:eastAsia="en-AU"/>
        </w:rPr>
        <w:t xml:space="preserve"> workplace environment </w:t>
      </w:r>
      <w:r>
        <w:rPr>
          <w:rFonts w:eastAsia="Times New Roman" w:cs="Times New Roman"/>
          <w:szCs w:val="22"/>
          <w:lang w:eastAsia="en-AU"/>
        </w:rPr>
        <w:t xml:space="preserve">that is </w:t>
      </w:r>
      <w:r w:rsidRPr="009911EB">
        <w:rPr>
          <w:rFonts w:eastAsia="Times New Roman" w:cs="Times New Roman"/>
          <w:szCs w:val="22"/>
          <w:lang w:eastAsia="en-AU"/>
        </w:rPr>
        <w:t xml:space="preserve">without risks to health and safety, and </w:t>
      </w:r>
      <w:r>
        <w:rPr>
          <w:rFonts w:eastAsia="Times New Roman" w:cs="Times New Roman"/>
          <w:szCs w:val="22"/>
          <w:lang w:eastAsia="en-AU"/>
        </w:rPr>
        <w:t>provide</w:t>
      </w:r>
      <w:r w:rsidRPr="009911EB">
        <w:rPr>
          <w:rFonts w:eastAsia="Times New Roman" w:cs="Times New Roman"/>
          <w:szCs w:val="22"/>
          <w:lang w:eastAsia="en-AU"/>
        </w:rPr>
        <w:t xml:space="preserve"> any information, training, instruction, or supervision necessary to protect people from risks to their health and safety. </w:t>
      </w:r>
    </w:p>
    <w:p w14:paraId="1389D175" w14:textId="77777777" w:rsidR="00E561F1" w:rsidRPr="00E22D3A" w:rsidRDefault="00E561F1" w:rsidP="005E1481">
      <w:pPr>
        <w:spacing w:before="240" w:line="240" w:lineRule="atLeast"/>
        <w:contextualSpacing w:val="0"/>
        <w:rPr>
          <w:rFonts w:eastAsia="Times New Roman"/>
          <w:szCs w:val="22"/>
          <w:lang w:eastAsia="en-AU"/>
        </w:rPr>
      </w:pPr>
      <w:r>
        <w:rPr>
          <w:rFonts w:eastAsia="Times New Roman"/>
          <w:szCs w:val="22"/>
          <w:lang w:eastAsia="en-AU"/>
        </w:rPr>
        <w:t xml:space="preserve">Further, employers </w:t>
      </w:r>
      <w:r w:rsidRPr="00E22D3A">
        <w:rPr>
          <w:rFonts w:eastAsia="Times New Roman"/>
          <w:szCs w:val="22"/>
          <w:lang w:eastAsia="en-AU"/>
        </w:rPr>
        <w:t xml:space="preserve">must ensure workers and others at the workplace are not exposed to an airborne concentration of the chemical that exceeds the workplace exposure standard (WES) for that chemical (regulation 49). </w:t>
      </w:r>
      <w:r>
        <w:rPr>
          <w:rFonts w:eastAsia="Times New Roman"/>
          <w:szCs w:val="22"/>
          <w:lang w:eastAsia="en-AU"/>
        </w:rPr>
        <w:t>If an employer</w:t>
      </w:r>
      <w:r w:rsidRPr="00E22D3A">
        <w:rPr>
          <w:rFonts w:eastAsia="Times New Roman"/>
          <w:szCs w:val="22"/>
          <w:lang w:eastAsia="en-AU"/>
        </w:rPr>
        <w:t xml:space="preserve"> is not certain whether or not the airborne concentration of the substance or mixture at the workplace exceeds the WES, or monitoring is necessary to determine whether there is a risk to health, then the PCBU must ensure that air monitoring is carried out to determine the airborne concentration of the substance or mixture at the workplace (regulation 50).</w:t>
      </w:r>
    </w:p>
    <w:p w14:paraId="1E54B2B8" w14:textId="1C46A472" w:rsidR="00E10E87" w:rsidRDefault="00E561F1" w:rsidP="005E1481">
      <w:pPr>
        <w:spacing w:line="240" w:lineRule="atLeast"/>
        <w:contextualSpacing w:val="0"/>
        <w:rPr>
          <w:rFonts w:eastAsia="Times New Roman" w:cs="Times New Roman"/>
          <w:lang w:eastAsia="en-AU"/>
        </w:rPr>
      </w:pPr>
      <w:r w:rsidRPr="0E7A84C0">
        <w:rPr>
          <w:rFonts w:eastAsia="Times New Roman" w:cs="Times New Roman"/>
          <w:lang w:eastAsia="en-AU"/>
        </w:rPr>
        <w:t>The model WHS Regulations also have specific requirements which apply to managing airborne contaminant</w:t>
      </w:r>
      <w:r w:rsidR="4B54583D" w:rsidRPr="0E7A84C0">
        <w:rPr>
          <w:rFonts w:eastAsia="Times New Roman" w:cs="Times New Roman"/>
          <w:lang w:eastAsia="en-AU"/>
        </w:rPr>
        <w:t>s</w:t>
      </w:r>
      <w:r w:rsidR="005734D7">
        <w:rPr>
          <w:rFonts w:eastAsia="Times New Roman" w:cs="Times New Roman"/>
          <w:lang w:eastAsia="en-AU"/>
        </w:rPr>
        <w:t xml:space="preserve"> and hazardous chemicals</w:t>
      </w:r>
      <w:r w:rsidR="003426B4">
        <w:rPr>
          <w:rFonts w:eastAsia="Times New Roman" w:cs="Times New Roman"/>
          <w:lang w:eastAsia="en-AU"/>
        </w:rPr>
        <w:t xml:space="preserve"> more broadly</w:t>
      </w:r>
      <w:r w:rsidRPr="0E7A84C0">
        <w:rPr>
          <w:rFonts w:eastAsia="Times New Roman" w:cs="Times New Roman"/>
          <w:lang w:eastAsia="en-AU"/>
        </w:rPr>
        <w:t>. Part 3.1 of the model WHS Regulation</w:t>
      </w:r>
      <w:r w:rsidR="008E6EFE">
        <w:rPr>
          <w:rFonts w:eastAsia="Times New Roman" w:cs="Times New Roman"/>
          <w:lang w:eastAsia="en-AU"/>
        </w:rPr>
        <w:t>s</w:t>
      </w:r>
      <w:r w:rsidRPr="0E7A84C0">
        <w:rPr>
          <w:rFonts w:eastAsia="Times New Roman" w:cs="Times New Roman"/>
          <w:lang w:eastAsia="en-AU"/>
        </w:rPr>
        <w:t xml:space="preserve"> requires the PCBU to identify hazards that could give rise to risks to health and safety and apply the </w:t>
      </w:r>
      <w:hyperlink r:id="rId28">
        <w:r w:rsidRPr="0E7A84C0">
          <w:rPr>
            <w:rFonts w:eastAsia="Times New Roman" w:cs="Times New Roman"/>
            <w:color w:val="145B85"/>
            <w:u w:val="single"/>
            <w:lang w:eastAsia="en-AU"/>
          </w:rPr>
          <w:t>hierarchy of controls</w:t>
        </w:r>
      </w:hyperlink>
      <w:r>
        <w:t xml:space="preserve"> </w:t>
      </w:r>
      <w:r w:rsidRPr="0E7A84C0">
        <w:rPr>
          <w:rFonts w:eastAsia="Times New Roman" w:cs="Times New Roman"/>
          <w:lang w:eastAsia="en-AU"/>
        </w:rPr>
        <w:t>to minimise the risks to health and safety if it is not reasonably practicable to eliminate the risks.</w:t>
      </w:r>
      <w:r w:rsidR="005812A6">
        <w:rPr>
          <w:rFonts w:eastAsia="Times New Roman" w:cs="Times New Roman"/>
          <w:lang w:eastAsia="en-AU"/>
        </w:rPr>
        <w:t xml:space="preserve"> This </w:t>
      </w:r>
      <w:r w:rsidR="004757BD">
        <w:rPr>
          <w:rFonts w:eastAsia="Times New Roman" w:cs="Times New Roman"/>
          <w:lang w:eastAsia="en-AU"/>
        </w:rPr>
        <w:t>can include substituting</w:t>
      </w:r>
      <w:r w:rsidR="00601B7F">
        <w:rPr>
          <w:rFonts w:eastAsia="Times New Roman" w:cs="Times New Roman"/>
          <w:lang w:eastAsia="en-AU"/>
        </w:rPr>
        <w:t xml:space="preserve"> the hazard with something with a lesser risk, isolating the hazard from workers, or implementing engineering controls.</w:t>
      </w:r>
      <w:r w:rsidR="000929AC">
        <w:rPr>
          <w:rFonts w:eastAsia="Times New Roman" w:cs="Times New Roman"/>
          <w:lang w:eastAsia="en-AU"/>
        </w:rPr>
        <w:t xml:space="preserve"> </w:t>
      </w:r>
      <w:r w:rsidRPr="7C46527B">
        <w:rPr>
          <w:rFonts w:eastAsia="Times New Roman" w:cs="Times New Roman"/>
          <w:lang w:eastAsia="en-AU"/>
        </w:rPr>
        <w:t>Where</w:t>
      </w:r>
      <w:r w:rsidRPr="0E7A84C0">
        <w:rPr>
          <w:rFonts w:eastAsia="Times New Roman" w:cs="Times New Roman"/>
          <w:lang w:eastAsia="en-AU"/>
        </w:rPr>
        <w:t xml:space="preserve"> the risk remains, the PCBU must minimise the remaining risk, so far as is reasonably practicable, by implementing administrative controls, and then by ensuring the </w:t>
      </w:r>
      <w:r w:rsidRPr="0E7A84C0">
        <w:rPr>
          <w:rFonts w:eastAsia="Times New Roman" w:cs="Times New Roman"/>
          <w:lang w:eastAsia="en-AU"/>
        </w:rPr>
        <w:lastRenderedPageBreak/>
        <w:t xml:space="preserve">provision and use of suitable personal protective equipment, including respiratory protective equipment. </w:t>
      </w:r>
    </w:p>
    <w:p w14:paraId="4EF9587F" w14:textId="66986614" w:rsidR="0012515A" w:rsidRDefault="001607D0" w:rsidP="00707ADD">
      <w:pPr>
        <w:pStyle w:val="SWAHeading2"/>
        <w:ind w:left="709"/>
        <w:rPr>
          <w:lang w:eastAsia="en-AU"/>
        </w:rPr>
      </w:pPr>
      <w:bookmarkStart w:id="23" w:name="_Toc219216862"/>
      <w:r w:rsidRPr="001607D0">
        <w:rPr>
          <w:lang w:eastAsia="en-AU"/>
        </w:rPr>
        <w:t xml:space="preserve">Objective of </w:t>
      </w:r>
      <w:r w:rsidR="00F4462F">
        <w:rPr>
          <w:lang w:eastAsia="en-AU"/>
        </w:rPr>
        <w:t>g</w:t>
      </w:r>
      <w:r w:rsidRPr="001607D0">
        <w:rPr>
          <w:lang w:eastAsia="en-AU"/>
        </w:rPr>
        <w:t>overnment action</w:t>
      </w:r>
      <w:bookmarkEnd w:id="23"/>
      <w:r w:rsidRPr="001607D0">
        <w:rPr>
          <w:lang w:eastAsia="en-AU"/>
        </w:rPr>
        <w:t xml:space="preserve"> </w:t>
      </w:r>
      <w:r w:rsidR="00D2588F" w:rsidRPr="001607D0">
        <w:rPr>
          <w:lang w:eastAsia="en-AU"/>
        </w:rPr>
        <w:t xml:space="preserve"> </w:t>
      </w:r>
    </w:p>
    <w:p w14:paraId="7CDE3DCE" w14:textId="2E3B02A0" w:rsidR="00885E43" w:rsidRDefault="00885E43" w:rsidP="00933933">
      <w:pPr>
        <w:keepNext/>
        <w:spacing w:after="200" w:line="240" w:lineRule="atLeast"/>
        <w:contextualSpacing w:val="0"/>
        <w:rPr>
          <w:rFonts w:eastAsia="Times New Roman"/>
          <w:lang w:eastAsia="en-AU"/>
        </w:rPr>
      </w:pPr>
      <w:r>
        <w:rPr>
          <w:rFonts w:eastAsia="Times New Roman"/>
          <w:lang w:eastAsia="en-AU"/>
        </w:rPr>
        <w:t>Government action to ensure evidenced-based WE</w:t>
      </w:r>
      <w:r w:rsidR="00AB41FE">
        <w:rPr>
          <w:rFonts w:eastAsia="Times New Roman"/>
          <w:lang w:eastAsia="en-AU"/>
        </w:rPr>
        <w:t>S</w:t>
      </w:r>
      <w:r>
        <w:rPr>
          <w:rFonts w:eastAsia="Times New Roman"/>
          <w:lang w:eastAsia="en-AU"/>
        </w:rPr>
        <w:t xml:space="preserve"> for these 9 chemicals is critical to reduce the risk of harm to workers and protect them from potentially harmful airborne </w:t>
      </w:r>
      <w:r w:rsidR="00B11DE7">
        <w:rPr>
          <w:rFonts w:eastAsia="Times New Roman"/>
          <w:lang w:eastAsia="en-AU"/>
        </w:rPr>
        <w:t>contaminants</w:t>
      </w:r>
      <w:r>
        <w:rPr>
          <w:rFonts w:eastAsia="Times New Roman"/>
          <w:lang w:eastAsia="en-AU"/>
        </w:rPr>
        <w:t xml:space="preserve">. As outlined above, the impact of occupational disease and illness </w:t>
      </w:r>
      <w:r w:rsidR="64605D19" w:rsidRPr="3B924FD5">
        <w:rPr>
          <w:rFonts w:eastAsia="Times New Roman"/>
          <w:lang w:eastAsia="en-AU"/>
        </w:rPr>
        <w:t>from</w:t>
      </w:r>
      <w:r>
        <w:rPr>
          <w:rFonts w:eastAsia="Times New Roman"/>
          <w:lang w:eastAsia="en-AU"/>
        </w:rPr>
        <w:t xml:space="preserve"> exposure to hazardous chemicals in the workplace can be significant, particularly to workers and their families. As noted previously, it is estimate</w:t>
      </w:r>
      <w:r w:rsidR="00354E76">
        <w:rPr>
          <w:rFonts w:eastAsia="Times New Roman"/>
          <w:lang w:eastAsia="en-AU"/>
        </w:rPr>
        <w:t>d</w:t>
      </w:r>
      <w:r>
        <w:rPr>
          <w:rFonts w:eastAsia="Times New Roman"/>
          <w:lang w:eastAsia="en-AU"/>
        </w:rPr>
        <w:t xml:space="preserve"> up to 3.11 million workers may be expo</w:t>
      </w:r>
      <w:r w:rsidR="00DE6E4B">
        <w:rPr>
          <w:rFonts w:eastAsia="Times New Roman"/>
          <w:lang w:eastAsia="en-AU"/>
        </w:rPr>
        <w:t>sed</w:t>
      </w:r>
      <w:r>
        <w:rPr>
          <w:rFonts w:eastAsia="Times New Roman"/>
          <w:lang w:eastAsia="en-AU"/>
        </w:rPr>
        <w:t xml:space="preserve"> to these chemicals in their workplace. </w:t>
      </w:r>
    </w:p>
    <w:p w14:paraId="6717ECBB" w14:textId="6787A864" w:rsidR="00011C73" w:rsidRPr="009B46B1" w:rsidRDefault="00885E43" w:rsidP="004D3C57">
      <w:pPr>
        <w:keepNext/>
        <w:spacing w:after="200" w:line="240" w:lineRule="atLeast"/>
        <w:contextualSpacing w:val="0"/>
        <w:rPr>
          <w:rFonts w:eastAsia="Times New Roman"/>
          <w:lang w:eastAsia="en-AU"/>
        </w:rPr>
      </w:pPr>
      <w:r w:rsidRPr="598F94DA">
        <w:rPr>
          <w:rFonts w:eastAsia="Times New Roman" w:cs="Times New Roman"/>
          <w:lang w:eastAsia="en-AU"/>
        </w:rPr>
        <w:t xml:space="preserve">Further, </w:t>
      </w:r>
      <w:r w:rsidR="001607D0" w:rsidRPr="598F94DA">
        <w:rPr>
          <w:rFonts w:eastAsia="Times New Roman" w:cs="Times New Roman"/>
          <w:lang w:eastAsia="en-AU"/>
        </w:rPr>
        <w:t xml:space="preserve">to support PCBUs in meeting their </w:t>
      </w:r>
      <w:r w:rsidR="7F3067E4" w:rsidRPr="6534A09F">
        <w:rPr>
          <w:rFonts w:eastAsia="Times New Roman" w:cs="Times New Roman"/>
          <w:lang w:eastAsia="en-AU"/>
        </w:rPr>
        <w:t xml:space="preserve">WHS </w:t>
      </w:r>
      <w:r w:rsidR="001607D0" w:rsidRPr="598F94DA">
        <w:rPr>
          <w:rFonts w:eastAsia="Times New Roman" w:cs="Times New Roman"/>
          <w:lang w:eastAsia="en-AU"/>
        </w:rPr>
        <w:t>requirements</w:t>
      </w:r>
      <w:r w:rsidR="001607D0" w:rsidRPr="6534A09F">
        <w:rPr>
          <w:rFonts w:eastAsia="Times New Roman" w:cs="Times New Roman"/>
          <w:lang w:eastAsia="en-AU"/>
        </w:rPr>
        <w:t>,</w:t>
      </w:r>
      <w:r w:rsidR="001607D0" w:rsidRPr="598F94DA">
        <w:rPr>
          <w:rFonts w:eastAsia="Times New Roman" w:cs="Times New Roman"/>
          <w:lang w:eastAsia="en-AU"/>
        </w:rPr>
        <w:t xml:space="preserve"> and to achieve the object of the WHS Act, it is important that the WES is set at a level informed by the latest evidence.</w:t>
      </w:r>
      <w:r w:rsidR="00646069" w:rsidRPr="598F94DA">
        <w:rPr>
          <w:rFonts w:eastAsia="Times New Roman" w:cs="Times New Roman"/>
          <w:lang w:eastAsia="en-AU"/>
        </w:rPr>
        <w:t xml:space="preserve"> </w:t>
      </w:r>
      <w:r w:rsidRPr="598F94DA">
        <w:rPr>
          <w:rFonts w:eastAsia="Times New Roman" w:cs="Times New Roman"/>
          <w:lang w:eastAsia="en-AU"/>
        </w:rPr>
        <w:t xml:space="preserve">This will ensure that the WES is not under-protective </w:t>
      </w:r>
      <w:r w:rsidR="0026302E" w:rsidRPr="598F94DA">
        <w:rPr>
          <w:rFonts w:eastAsia="Times New Roman" w:cs="Times New Roman"/>
          <w:lang w:eastAsia="en-AU"/>
        </w:rPr>
        <w:t xml:space="preserve">(whereby the WES </w:t>
      </w:r>
      <w:r w:rsidR="0058306D" w:rsidRPr="598F94DA">
        <w:rPr>
          <w:rFonts w:eastAsia="Times New Roman" w:cs="Times New Roman"/>
          <w:lang w:eastAsia="en-AU"/>
        </w:rPr>
        <w:t xml:space="preserve">is not sufficiently </w:t>
      </w:r>
      <w:r w:rsidR="0058306D" w:rsidRPr="009B46B1">
        <w:rPr>
          <w:rFonts w:eastAsia="Times New Roman"/>
          <w:lang w:eastAsia="en-AU"/>
        </w:rPr>
        <w:t>protective</w:t>
      </w:r>
      <w:r w:rsidR="00DE6E4B" w:rsidRPr="009B46B1">
        <w:rPr>
          <w:rFonts w:eastAsia="Times New Roman"/>
          <w:lang w:eastAsia="en-AU"/>
        </w:rPr>
        <w:t xml:space="preserve"> </w:t>
      </w:r>
      <w:r w:rsidR="00795525" w:rsidRPr="009B46B1">
        <w:rPr>
          <w:rFonts w:eastAsia="Times New Roman"/>
          <w:lang w:eastAsia="en-AU"/>
        </w:rPr>
        <w:t>for workers</w:t>
      </w:r>
      <w:r w:rsidR="0058306D" w:rsidRPr="009B46B1">
        <w:rPr>
          <w:rFonts w:eastAsia="Times New Roman"/>
          <w:lang w:eastAsia="en-AU"/>
        </w:rPr>
        <w:t>) or over</w:t>
      </w:r>
      <w:r w:rsidR="006B3352" w:rsidRPr="009B46B1">
        <w:rPr>
          <w:rFonts w:eastAsia="Times New Roman"/>
          <w:lang w:eastAsia="en-AU"/>
        </w:rPr>
        <w:t>-protective (potentially creating unnecessary burden)</w:t>
      </w:r>
      <w:r w:rsidR="009E351A" w:rsidRPr="001B75DC">
        <w:rPr>
          <w:vertAlign w:val="superscript"/>
        </w:rPr>
        <w:footnoteReference w:id="7"/>
      </w:r>
      <w:r w:rsidR="006B3352" w:rsidRPr="009B46B1">
        <w:rPr>
          <w:rFonts w:eastAsia="Times New Roman"/>
          <w:lang w:eastAsia="en-AU"/>
        </w:rPr>
        <w:t>.</w:t>
      </w:r>
    </w:p>
    <w:p w14:paraId="6DE44910" w14:textId="592FCF98" w:rsidR="00795525" w:rsidRPr="00795525" w:rsidRDefault="00795525" w:rsidP="004D3C57">
      <w:pPr>
        <w:keepNext/>
        <w:spacing w:after="200" w:line="240" w:lineRule="atLeast"/>
        <w:contextualSpacing w:val="0"/>
        <w:rPr>
          <w:rFonts w:eastAsia="Times New Roman" w:cs="Times New Roman"/>
          <w:lang w:eastAsia="en-AU"/>
        </w:rPr>
      </w:pPr>
      <w:r w:rsidRPr="004D3C57">
        <w:rPr>
          <w:rFonts w:eastAsia="Times New Roman"/>
          <w:lang w:eastAsia="en-AU"/>
        </w:rPr>
        <w:t>It is important</w:t>
      </w:r>
      <w:r w:rsidRPr="1CCD73C1">
        <w:rPr>
          <w:lang w:eastAsia="en-AU"/>
        </w:rPr>
        <w:t xml:space="preserve"> to note that given the overarching duty to eliminate or minimise risk so far as is reasonably practicable, </w:t>
      </w:r>
      <w:r w:rsidRPr="1BE0CC47">
        <w:rPr>
          <w:b/>
          <w:lang w:eastAsia="en-AU"/>
        </w:rPr>
        <w:t xml:space="preserve">WES should not be considered as representing an acceptable level of exposure to workers. They establish a statutory maximum upper limit. </w:t>
      </w:r>
      <w:r w:rsidRPr="00604E18">
        <w:rPr>
          <w:lang w:eastAsia="en-AU"/>
        </w:rPr>
        <w:t xml:space="preserve">To comply with </w:t>
      </w:r>
      <w:r w:rsidRPr="4F117116">
        <w:rPr>
          <w:rFonts w:eastAsia="Times New Roman" w:cs="Times New Roman"/>
          <w:lang w:eastAsia="en-AU"/>
        </w:rPr>
        <w:t xml:space="preserve">their WHS duties, PCBUs must implement all reasonably practicable control measures to minimise exposure, which may be to a level well below the WES. </w:t>
      </w:r>
    </w:p>
    <w:p w14:paraId="0546F1D2" w14:textId="3D160DD6" w:rsidR="00BC55BF" w:rsidRPr="007033B6" w:rsidRDefault="00646069" w:rsidP="00520EA9">
      <w:pPr>
        <w:spacing w:line="240" w:lineRule="auto"/>
        <w:contextualSpacing w:val="0"/>
        <w:rPr>
          <w:rFonts w:eastAsia="Times New Roman" w:cs="Times New Roman"/>
          <w:lang w:eastAsia="en-AU"/>
        </w:rPr>
      </w:pPr>
      <w:r w:rsidRPr="28F6DE59">
        <w:rPr>
          <w:rFonts w:eastAsia="Times New Roman" w:cs="Times New Roman"/>
          <w:lang w:eastAsia="en-AU"/>
        </w:rPr>
        <w:t xml:space="preserve">The proposed </w:t>
      </w:r>
      <w:r w:rsidR="00BA491C" w:rsidRPr="28F6DE59">
        <w:rPr>
          <w:rFonts w:eastAsia="Times New Roman" w:cs="Times New Roman"/>
          <w:lang w:eastAsia="en-AU"/>
        </w:rPr>
        <w:t>h</w:t>
      </w:r>
      <w:r w:rsidRPr="28F6DE59">
        <w:rPr>
          <w:rFonts w:eastAsia="Times New Roman" w:cs="Times New Roman"/>
          <w:lang w:eastAsia="en-AU"/>
        </w:rPr>
        <w:t>ealth</w:t>
      </w:r>
      <w:r w:rsidR="00F73C03" w:rsidRPr="28F6DE59">
        <w:rPr>
          <w:rFonts w:eastAsia="Times New Roman" w:cs="Times New Roman"/>
          <w:lang w:eastAsia="en-AU"/>
        </w:rPr>
        <w:t>-</w:t>
      </w:r>
      <w:r w:rsidRPr="28F6DE59">
        <w:rPr>
          <w:rFonts w:eastAsia="Times New Roman" w:cs="Times New Roman"/>
          <w:lang w:eastAsia="en-AU"/>
        </w:rPr>
        <w:t>based exposure limits have been developed based on current available evidence</w:t>
      </w:r>
      <w:r w:rsidR="00795525" w:rsidRPr="28F6DE59">
        <w:rPr>
          <w:rFonts w:eastAsia="Times New Roman" w:cs="Times New Roman"/>
          <w:lang w:eastAsia="en-AU"/>
        </w:rPr>
        <w:t xml:space="preserve"> </w:t>
      </w:r>
      <w:r w:rsidR="00A04659" w:rsidRPr="28F6DE59">
        <w:rPr>
          <w:rFonts w:eastAsia="Times New Roman" w:cs="Times New Roman"/>
          <w:lang w:eastAsia="en-AU"/>
        </w:rPr>
        <w:t xml:space="preserve">(both in Australia and internationally) </w:t>
      </w:r>
      <w:r w:rsidR="00795525" w:rsidRPr="28F6DE59">
        <w:rPr>
          <w:rFonts w:eastAsia="Times New Roman" w:cs="Times New Roman"/>
          <w:lang w:eastAsia="en-AU"/>
        </w:rPr>
        <w:t xml:space="preserve">and to reflect </w:t>
      </w:r>
      <w:r w:rsidR="0098346A" w:rsidRPr="28F6DE59">
        <w:rPr>
          <w:rFonts w:eastAsia="Times New Roman" w:cs="Times New Roman"/>
          <w:lang w:eastAsia="en-AU"/>
        </w:rPr>
        <w:t xml:space="preserve">contemporary </w:t>
      </w:r>
      <w:r w:rsidR="00A04659" w:rsidRPr="28F6DE59">
        <w:rPr>
          <w:rFonts w:eastAsia="Times New Roman" w:cs="Times New Roman"/>
          <w:lang w:eastAsia="en-AU"/>
        </w:rPr>
        <w:t xml:space="preserve">Australian </w:t>
      </w:r>
      <w:r w:rsidR="0098346A" w:rsidRPr="28F6DE59">
        <w:rPr>
          <w:rFonts w:eastAsia="Times New Roman" w:cs="Times New Roman"/>
          <w:lang w:eastAsia="en-AU"/>
        </w:rPr>
        <w:t>settings</w:t>
      </w:r>
      <w:r w:rsidR="00795525" w:rsidRPr="28F6DE59">
        <w:rPr>
          <w:rFonts w:eastAsia="Times New Roman" w:cs="Times New Roman"/>
          <w:lang w:eastAsia="en-AU"/>
        </w:rPr>
        <w:t>.</w:t>
      </w:r>
      <w:r w:rsidR="00952FE9" w:rsidRPr="28F6DE59">
        <w:rPr>
          <w:rFonts w:eastAsia="Times New Roman" w:cs="Times New Roman"/>
          <w:lang w:eastAsia="en-AU"/>
        </w:rPr>
        <w:t xml:space="preserve"> They have been developed based on a considered, evidence-informed approach</w:t>
      </w:r>
      <w:r w:rsidR="000F422D" w:rsidRPr="28F6DE59">
        <w:rPr>
          <w:rFonts w:eastAsia="Times New Roman" w:cs="Times New Roman"/>
          <w:lang w:eastAsia="en-AU"/>
        </w:rPr>
        <w:t xml:space="preserve">, and reflect extensive consultation. </w:t>
      </w:r>
      <w:r w:rsidR="006964D5">
        <w:rPr>
          <w:rFonts w:eastAsia="Times New Roman" w:cs="Times New Roman"/>
          <w:lang w:eastAsia="en-AU"/>
        </w:rPr>
        <w:t>Reference to international limits</w:t>
      </w:r>
      <w:r w:rsidR="00903C59">
        <w:rPr>
          <w:rFonts w:eastAsia="Times New Roman" w:cs="Times New Roman"/>
          <w:lang w:eastAsia="en-AU"/>
        </w:rPr>
        <w:t xml:space="preserve">, and their status as </w:t>
      </w:r>
      <w:r w:rsidR="00BE1051">
        <w:rPr>
          <w:rFonts w:eastAsia="Times New Roman" w:cs="Times New Roman"/>
          <w:lang w:eastAsia="en-AU"/>
        </w:rPr>
        <w:t>mandatory</w:t>
      </w:r>
      <w:r w:rsidR="00CC63BE">
        <w:rPr>
          <w:rFonts w:eastAsia="Times New Roman" w:cs="Times New Roman"/>
          <w:lang w:eastAsia="en-AU"/>
        </w:rPr>
        <w:t xml:space="preserve"> or </w:t>
      </w:r>
      <w:r w:rsidR="00BE1051">
        <w:rPr>
          <w:rFonts w:eastAsia="Times New Roman" w:cs="Times New Roman"/>
          <w:lang w:eastAsia="en-AU"/>
        </w:rPr>
        <w:t>advisory</w:t>
      </w:r>
      <w:r w:rsidR="00CC63BE">
        <w:rPr>
          <w:rFonts w:eastAsia="Times New Roman" w:cs="Times New Roman"/>
          <w:lang w:eastAsia="en-AU"/>
        </w:rPr>
        <w:t>, is</w:t>
      </w:r>
      <w:r w:rsidR="00EF5C6B">
        <w:rPr>
          <w:rFonts w:eastAsia="Times New Roman" w:cs="Times New Roman"/>
          <w:lang w:eastAsia="en-AU"/>
        </w:rPr>
        <w:t xml:space="preserve"> made throughout this Decision RIS to provide context</w:t>
      </w:r>
      <w:r w:rsidR="006C7D39">
        <w:rPr>
          <w:rFonts w:eastAsia="Times New Roman" w:cs="Times New Roman"/>
          <w:lang w:eastAsia="en-AU"/>
        </w:rPr>
        <w:t xml:space="preserve">, noting that WHS </w:t>
      </w:r>
      <w:r w:rsidR="00294697">
        <w:rPr>
          <w:rFonts w:eastAsia="Times New Roman" w:cs="Times New Roman"/>
          <w:lang w:eastAsia="en-AU"/>
        </w:rPr>
        <w:t>m</w:t>
      </w:r>
      <w:r w:rsidR="006C7D39">
        <w:rPr>
          <w:rFonts w:eastAsia="Times New Roman" w:cs="Times New Roman"/>
          <w:lang w:eastAsia="en-AU"/>
        </w:rPr>
        <w:t xml:space="preserve">inisters decided that in Australia the WEL should </w:t>
      </w:r>
      <w:r w:rsidR="00294697">
        <w:rPr>
          <w:rFonts w:eastAsia="Times New Roman" w:cs="Times New Roman"/>
          <w:lang w:eastAsia="en-AU"/>
        </w:rPr>
        <w:t xml:space="preserve">continue to </w:t>
      </w:r>
      <w:r w:rsidR="006C7D39">
        <w:rPr>
          <w:rFonts w:eastAsia="Times New Roman" w:cs="Times New Roman"/>
          <w:lang w:eastAsia="en-AU"/>
        </w:rPr>
        <w:t>be mandatory</w:t>
      </w:r>
      <w:r w:rsidR="00903C59">
        <w:rPr>
          <w:rFonts w:eastAsia="Times New Roman" w:cs="Times New Roman"/>
          <w:lang w:eastAsia="en-AU"/>
        </w:rPr>
        <w:t>.</w:t>
      </w:r>
    </w:p>
    <w:p w14:paraId="291FB02B" w14:textId="0C555417" w:rsidR="00FF5A3D" w:rsidRPr="00FF5A3D" w:rsidRDefault="00515498" w:rsidP="00FF5A3D">
      <w:pPr>
        <w:pStyle w:val="SWAHeading2"/>
        <w:ind w:left="709"/>
        <w:rPr>
          <w:lang w:eastAsia="en-AU"/>
        </w:rPr>
      </w:pPr>
      <w:bookmarkStart w:id="24" w:name="_Toc219216863"/>
      <w:r>
        <w:rPr>
          <w:lang w:eastAsia="en-AU"/>
        </w:rPr>
        <w:t xml:space="preserve">Government action </w:t>
      </w:r>
      <w:r w:rsidR="00DF2EFB">
        <w:rPr>
          <w:lang w:eastAsia="en-AU"/>
        </w:rPr>
        <w:t xml:space="preserve">supports harmonisation of </w:t>
      </w:r>
      <w:r w:rsidR="00B96064">
        <w:rPr>
          <w:lang w:eastAsia="en-AU"/>
        </w:rPr>
        <w:t>WHS requirements</w:t>
      </w:r>
      <w:bookmarkEnd w:id="24"/>
    </w:p>
    <w:p w14:paraId="1C1B060F" w14:textId="438824FB" w:rsidR="00546984" w:rsidRPr="00025991" w:rsidRDefault="00546984" w:rsidP="00F1438C">
      <w:pPr>
        <w:pStyle w:val="SWAHeading4"/>
        <w:rPr>
          <w:b w:val="0"/>
          <w:bCs w:val="0"/>
          <w:i w:val="0"/>
          <w:iCs w:val="0"/>
          <w:sz w:val="22"/>
          <w:szCs w:val="24"/>
          <w:lang w:eastAsia="en-AU"/>
        </w:rPr>
      </w:pPr>
      <w:r>
        <w:rPr>
          <w:b w:val="0"/>
          <w:bCs w:val="0"/>
          <w:i w:val="0"/>
          <w:iCs w:val="0"/>
          <w:sz w:val="22"/>
          <w:szCs w:val="24"/>
        </w:rPr>
        <w:t xml:space="preserve">In 2008 WHS ministers agreed </w:t>
      </w:r>
      <w:r w:rsidR="00C5797F">
        <w:rPr>
          <w:b w:val="0"/>
          <w:bCs w:val="0"/>
          <w:i w:val="0"/>
          <w:iCs w:val="0"/>
          <w:sz w:val="22"/>
          <w:szCs w:val="24"/>
        </w:rPr>
        <w:t>(</w:t>
      </w:r>
      <w:r>
        <w:rPr>
          <w:b w:val="0"/>
          <w:bCs w:val="0"/>
          <w:i w:val="0"/>
          <w:iCs w:val="0"/>
          <w:sz w:val="22"/>
          <w:szCs w:val="24"/>
          <w:lang w:eastAsia="en-AU"/>
        </w:rPr>
        <w:t xml:space="preserve">as part of the </w:t>
      </w:r>
      <w:hyperlink r:id="rId29" w:history="1">
        <w:r w:rsidRPr="00EC4D79">
          <w:rPr>
            <w:rStyle w:val="Hyperlink"/>
            <w:b w:val="0"/>
            <w:bCs w:val="0"/>
            <w:i w:val="0"/>
            <w:iCs w:val="0"/>
            <w:sz w:val="22"/>
            <w:szCs w:val="24"/>
            <w:lang w:eastAsia="en-AU"/>
          </w:rPr>
          <w:t>Inter-Governmental Agreement for Regulatory and Operational Reform in Occupational Health and Safety</w:t>
        </w:r>
      </w:hyperlink>
      <w:r w:rsidR="00C5797F">
        <w:rPr>
          <w:b w:val="0"/>
          <w:bCs w:val="0"/>
          <w:i w:val="0"/>
          <w:iCs w:val="0"/>
          <w:sz w:val="22"/>
          <w:szCs w:val="24"/>
          <w:lang w:eastAsia="en-AU"/>
        </w:rPr>
        <w:t>)</w:t>
      </w:r>
      <w:r>
        <w:rPr>
          <w:b w:val="0"/>
          <w:bCs w:val="0"/>
          <w:i w:val="0"/>
          <w:iCs w:val="0"/>
          <w:sz w:val="22"/>
          <w:szCs w:val="24"/>
          <w:lang w:eastAsia="en-AU"/>
        </w:rPr>
        <w:t xml:space="preserve">, where </w:t>
      </w:r>
      <w:r w:rsidR="00C5797F">
        <w:rPr>
          <w:b w:val="0"/>
          <w:bCs w:val="0"/>
          <w:i w:val="0"/>
          <w:iCs w:val="0"/>
          <w:sz w:val="22"/>
          <w:szCs w:val="24"/>
          <w:lang w:eastAsia="en-AU"/>
        </w:rPr>
        <w:t>they</w:t>
      </w:r>
      <w:r>
        <w:rPr>
          <w:b w:val="0"/>
          <w:bCs w:val="0"/>
          <w:i w:val="0"/>
          <w:iCs w:val="0"/>
          <w:sz w:val="22"/>
          <w:szCs w:val="24"/>
          <w:lang w:eastAsia="en-AU"/>
        </w:rPr>
        <w:t xml:space="preserve"> have approved an amendment to legislation or new legislation, that each jurisdiction would undertake all necessary steps to introduce </w:t>
      </w:r>
      <w:r w:rsidR="00166B44">
        <w:rPr>
          <w:b w:val="0"/>
          <w:bCs w:val="0"/>
          <w:i w:val="0"/>
          <w:iCs w:val="0"/>
          <w:sz w:val="22"/>
          <w:szCs w:val="24"/>
          <w:lang w:eastAsia="en-AU"/>
        </w:rPr>
        <w:t xml:space="preserve">those </w:t>
      </w:r>
      <w:r>
        <w:rPr>
          <w:b w:val="0"/>
          <w:bCs w:val="0"/>
          <w:i w:val="0"/>
          <w:iCs w:val="0"/>
          <w:sz w:val="22"/>
          <w:szCs w:val="24"/>
          <w:lang w:eastAsia="en-AU"/>
        </w:rPr>
        <w:t xml:space="preserve">changes to their WHS or OHS legislation with a view to ensuring </w:t>
      </w:r>
      <w:r w:rsidR="007005C4">
        <w:rPr>
          <w:b w:val="0"/>
          <w:bCs w:val="0"/>
          <w:i w:val="0"/>
          <w:iCs w:val="0"/>
          <w:sz w:val="22"/>
          <w:szCs w:val="24"/>
          <w:lang w:eastAsia="en-AU"/>
        </w:rPr>
        <w:t>they</w:t>
      </w:r>
      <w:r>
        <w:rPr>
          <w:b w:val="0"/>
          <w:bCs w:val="0"/>
          <w:i w:val="0"/>
          <w:iCs w:val="0"/>
          <w:sz w:val="22"/>
          <w:szCs w:val="24"/>
          <w:lang w:eastAsia="en-AU"/>
        </w:rPr>
        <w:t xml:space="preserve"> remain nationally consistent </w:t>
      </w:r>
      <w:sdt>
        <w:sdtPr>
          <w:rPr>
            <w:b w:val="0"/>
            <w:bCs w:val="0"/>
            <w:i w:val="0"/>
            <w:iCs w:val="0"/>
            <w:sz w:val="22"/>
            <w:szCs w:val="24"/>
            <w:lang w:eastAsia="en-AU"/>
          </w:rPr>
          <w:id w:val="-1152822892"/>
          <w:citation/>
        </w:sdtPr>
        <w:sdtEndPr/>
        <w:sdtContent>
          <w:r w:rsidRPr="00B64384">
            <w:rPr>
              <w:b w:val="0"/>
              <w:bCs w:val="0"/>
              <w:i w:val="0"/>
              <w:iCs w:val="0"/>
              <w:sz w:val="22"/>
              <w:szCs w:val="24"/>
              <w:lang w:eastAsia="en-AU"/>
            </w:rPr>
            <w:fldChar w:fldCharType="begin"/>
          </w:r>
          <w:r w:rsidRPr="00B64384">
            <w:rPr>
              <w:b w:val="0"/>
              <w:bCs w:val="0"/>
              <w:i w:val="0"/>
              <w:iCs w:val="0"/>
              <w:sz w:val="22"/>
              <w:szCs w:val="24"/>
              <w:lang w:eastAsia="en-AU"/>
            </w:rPr>
            <w:instrText xml:space="preserve"> CITATION Dep08 \l 3081 </w:instrText>
          </w:r>
          <w:r w:rsidRPr="00B64384">
            <w:rPr>
              <w:b w:val="0"/>
              <w:bCs w:val="0"/>
              <w:i w:val="0"/>
              <w:iCs w:val="0"/>
              <w:sz w:val="22"/>
              <w:szCs w:val="24"/>
              <w:lang w:eastAsia="en-AU"/>
            </w:rPr>
            <w:fldChar w:fldCharType="separate"/>
          </w:r>
          <w:r w:rsidR="00490B21" w:rsidRPr="00B64384">
            <w:rPr>
              <w:b w:val="0"/>
              <w:bCs w:val="0"/>
              <w:i w:val="0"/>
              <w:iCs w:val="0"/>
              <w:noProof/>
              <w:sz w:val="22"/>
              <w:szCs w:val="24"/>
              <w:lang w:eastAsia="en-AU"/>
            </w:rPr>
            <w:t>(Department of the Prime Minister and Cabinet, 2008)</w:t>
          </w:r>
          <w:r w:rsidRPr="00B64384">
            <w:rPr>
              <w:b w:val="0"/>
              <w:bCs w:val="0"/>
              <w:i w:val="0"/>
              <w:iCs w:val="0"/>
              <w:sz w:val="22"/>
              <w:szCs w:val="24"/>
              <w:lang w:eastAsia="en-AU"/>
            </w:rPr>
            <w:fldChar w:fldCharType="end"/>
          </w:r>
        </w:sdtContent>
      </w:sdt>
      <w:r w:rsidRPr="00025991">
        <w:rPr>
          <w:b w:val="0"/>
          <w:bCs w:val="0"/>
          <w:i w:val="0"/>
          <w:iCs w:val="0"/>
          <w:sz w:val="22"/>
          <w:szCs w:val="24"/>
          <w:lang w:eastAsia="en-AU"/>
        </w:rPr>
        <w:t xml:space="preserve">. </w:t>
      </w:r>
    </w:p>
    <w:p w14:paraId="2C5C8F88" w14:textId="59EB84D2" w:rsidR="007E0B81" w:rsidRDefault="00546984" w:rsidP="00F1438C">
      <w:pPr>
        <w:pStyle w:val="SWAHeading4"/>
        <w:rPr>
          <w:b w:val="0"/>
          <w:bCs w:val="0"/>
          <w:i w:val="0"/>
          <w:iCs w:val="0"/>
          <w:sz w:val="22"/>
          <w:szCs w:val="24"/>
        </w:rPr>
      </w:pPr>
      <w:r>
        <w:rPr>
          <w:b w:val="0"/>
          <w:bCs w:val="0"/>
          <w:i w:val="0"/>
          <w:iCs w:val="0"/>
          <w:sz w:val="22"/>
          <w:szCs w:val="24"/>
          <w:lang w:eastAsia="en-AU"/>
        </w:rPr>
        <w:t xml:space="preserve">Since this time </w:t>
      </w:r>
      <w:r>
        <w:rPr>
          <w:b w:val="0"/>
          <w:bCs w:val="0"/>
          <w:i w:val="0"/>
          <w:iCs w:val="0"/>
          <w:sz w:val="22"/>
          <w:szCs w:val="24"/>
        </w:rPr>
        <w:t>t</w:t>
      </w:r>
      <w:r w:rsidR="00B96064">
        <w:rPr>
          <w:b w:val="0"/>
          <w:bCs w:val="0"/>
          <w:i w:val="0"/>
          <w:iCs w:val="0"/>
          <w:sz w:val="22"/>
          <w:szCs w:val="24"/>
        </w:rPr>
        <w:t xml:space="preserve">he </w:t>
      </w:r>
      <w:r w:rsidR="000D544F">
        <w:rPr>
          <w:b w:val="0"/>
          <w:bCs w:val="0"/>
          <w:i w:val="0"/>
          <w:iCs w:val="0"/>
          <w:sz w:val="22"/>
          <w:szCs w:val="24"/>
        </w:rPr>
        <w:t xml:space="preserve">model WHS laws have been </w:t>
      </w:r>
      <w:r w:rsidR="007005C4">
        <w:rPr>
          <w:b w:val="0"/>
          <w:bCs w:val="0"/>
          <w:i w:val="0"/>
          <w:iCs w:val="0"/>
          <w:sz w:val="22"/>
          <w:szCs w:val="24"/>
        </w:rPr>
        <w:t xml:space="preserve">developed and </w:t>
      </w:r>
      <w:r w:rsidR="000D544F">
        <w:rPr>
          <w:b w:val="0"/>
          <w:bCs w:val="0"/>
          <w:i w:val="0"/>
          <w:iCs w:val="0"/>
          <w:sz w:val="22"/>
          <w:szCs w:val="24"/>
        </w:rPr>
        <w:t xml:space="preserve">implemented in all jurisdictions </w:t>
      </w:r>
      <w:r>
        <w:rPr>
          <w:b w:val="0"/>
          <w:bCs w:val="0"/>
          <w:i w:val="0"/>
          <w:iCs w:val="0"/>
          <w:sz w:val="22"/>
          <w:szCs w:val="24"/>
        </w:rPr>
        <w:t xml:space="preserve">except Victoria. This includes </w:t>
      </w:r>
      <w:r w:rsidR="00CB2B37">
        <w:rPr>
          <w:b w:val="0"/>
          <w:bCs w:val="0"/>
          <w:i w:val="0"/>
          <w:iCs w:val="0"/>
          <w:sz w:val="22"/>
          <w:szCs w:val="24"/>
        </w:rPr>
        <w:t xml:space="preserve">harmonised implementation </w:t>
      </w:r>
      <w:r w:rsidR="002A38D1">
        <w:rPr>
          <w:b w:val="0"/>
          <w:bCs w:val="0"/>
          <w:i w:val="0"/>
          <w:iCs w:val="0"/>
          <w:sz w:val="22"/>
          <w:szCs w:val="24"/>
        </w:rPr>
        <w:t xml:space="preserve">across all jurisdictions (including Victoria) </w:t>
      </w:r>
      <w:r w:rsidR="00CB2B37">
        <w:rPr>
          <w:b w:val="0"/>
          <w:bCs w:val="0"/>
          <w:i w:val="0"/>
          <w:iCs w:val="0"/>
          <w:sz w:val="22"/>
          <w:szCs w:val="24"/>
        </w:rPr>
        <w:t xml:space="preserve">of </w:t>
      </w:r>
      <w:r w:rsidR="00EA6814">
        <w:rPr>
          <w:b w:val="0"/>
          <w:bCs w:val="0"/>
          <w:i w:val="0"/>
          <w:iCs w:val="0"/>
          <w:sz w:val="22"/>
          <w:szCs w:val="24"/>
        </w:rPr>
        <w:t xml:space="preserve">the </w:t>
      </w:r>
      <w:r w:rsidR="001D53FF">
        <w:rPr>
          <w:b w:val="0"/>
          <w:bCs w:val="0"/>
          <w:i w:val="0"/>
          <w:iCs w:val="0"/>
          <w:sz w:val="22"/>
          <w:szCs w:val="24"/>
        </w:rPr>
        <w:t>WES list</w:t>
      </w:r>
      <w:r w:rsidR="00841173">
        <w:rPr>
          <w:b w:val="0"/>
          <w:bCs w:val="0"/>
          <w:i w:val="0"/>
          <w:iCs w:val="0"/>
          <w:sz w:val="22"/>
          <w:szCs w:val="24"/>
        </w:rPr>
        <w:t xml:space="preserve"> published by Safe Work Australia</w:t>
      </w:r>
      <w:r w:rsidR="00D476CD">
        <w:rPr>
          <w:b w:val="0"/>
          <w:bCs w:val="0"/>
          <w:i w:val="0"/>
          <w:iCs w:val="0"/>
          <w:sz w:val="22"/>
          <w:szCs w:val="24"/>
        </w:rPr>
        <w:t>.</w:t>
      </w:r>
    </w:p>
    <w:p w14:paraId="3C79787C" w14:textId="0B084DD5" w:rsidR="00A20642" w:rsidRDefault="00A20642" w:rsidP="00A20642">
      <w:pPr>
        <w:pStyle w:val="SWAHeading4"/>
        <w:rPr>
          <w:b w:val="0"/>
          <w:bCs w:val="0"/>
          <w:i w:val="0"/>
          <w:iCs w:val="0"/>
          <w:sz w:val="22"/>
          <w:szCs w:val="24"/>
        </w:rPr>
      </w:pPr>
      <w:r>
        <w:rPr>
          <w:b w:val="0"/>
          <w:bCs w:val="0"/>
          <w:i w:val="0"/>
          <w:iCs w:val="0"/>
          <w:sz w:val="22"/>
          <w:szCs w:val="24"/>
        </w:rPr>
        <w:t xml:space="preserve">WHS ministers have demonstrated their ongoing commitment to ensuring the WHS laws remain harmonised across jurisdictions in agreeing </w:t>
      </w:r>
      <w:r>
        <w:rPr>
          <w:rStyle w:val="CommentReference"/>
          <w:b w:val="0"/>
          <w:i w:val="0"/>
          <w:sz w:val="22"/>
          <w:szCs w:val="24"/>
          <w:lang w:eastAsia="en-AU"/>
        </w:rPr>
        <w:t xml:space="preserve">the WEL list and </w:t>
      </w:r>
      <w:r>
        <w:rPr>
          <w:b w:val="0"/>
          <w:bCs w:val="0"/>
          <w:i w:val="0"/>
          <w:iCs w:val="0"/>
          <w:sz w:val="22"/>
          <w:szCs w:val="24"/>
        </w:rPr>
        <w:t xml:space="preserve">a harmonised implementation date of 1 December 2026. </w:t>
      </w:r>
      <w:r w:rsidR="00732F2A">
        <w:rPr>
          <w:b w:val="0"/>
          <w:bCs w:val="0"/>
          <w:i w:val="0"/>
          <w:iCs w:val="0"/>
          <w:sz w:val="22"/>
          <w:szCs w:val="24"/>
        </w:rPr>
        <w:t>Inclusion of the proposed</w:t>
      </w:r>
      <w:r w:rsidR="00821B70">
        <w:rPr>
          <w:b w:val="0"/>
          <w:bCs w:val="0"/>
          <w:i w:val="0"/>
          <w:iCs w:val="0"/>
          <w:sz w:val="22"/>
          <w:szCs w:val="24"/>
        </w:rPr>
        <w:t xml:space="preserve"> WEL </w:t>
      </w:r>
      <w:r w:rsidR="00387593">
        <w:rPr>
          <w:b w:val="0"/>
          <w:bCs w:val="0"/>
          <w:i w:val="0"/>
          <w:iCs w:val="0"/>
          <w:sz w:val="22"/>
          <w:szCs w:val="24"/>
        </w:rPr>
        <w:t xml:space="preserve">for </w:t>
      </w:r>
      <w:r w:rsidR="00732F2A">
        <w:rPr>
          <w:b w:val="0"/>
          <w:bCs w:val="0"/>
          <w:i w:val="0"/>
          <w:iCs w:val="0"/>
          <w:sz w:val="22"/>
          <w:szCs w:val="24"/>
        </w:rPr>
        <w:t xml:space="preserve">the </w:t>
      </w:r>
      <w:r w:rsidR="004818F6">
        <w:rPr>
          <w:b w:val="0"/>
          <w:bCs w:val="0"/>
          <w:i w:val="0"/>
          <w:iCs w:val="0"/>
          <w:sz w:val="22"/>
          <w:szCs w:val="24"/>
        </w:rPr>
        <w:t>9 chemicals in the harmonised WEL list represents a continued benefit for industry and jurisdictions</w:t>
      </w:r>
      <w:r w:rsidR="000D1C36">
        <w:rPr>
          <w:b w:val="0"/>
          <w:bCs w:val="0"/>
          <w:i w:val="0"/>
          <w:iCs w:val="0"/>
          <w:sz w:val="22"/>
          <w:szCs w:val="24"/>
        </w:rPr>
        <w:t xml:space="preserve"> through national consistency in implementation</w:t>
      </w:r>
      <w:r>
        <w:rPr>
          <w:b w:val="0"/>
          <w:bCs w:val="0"/>
          <w:i w:val="0"/>
          <w:iCs w:val="0"/>
          <w:sz w:val="22"/>
          <w:szCs w:val="24"/>
        </w:rPr>
        <w:t xml:space="preserve">. </w:t>
      </w:r>
    </w:p>
    <w:p w14:paraId="204F19E5" w14:textId="57541CCF" w:rsidR="00153810" w:rsidRDefault="00204056" w:rsidP="00F1438C">
      <w:pPr>
        <w:pStyle w:val="SWAHeading4"/>
        <w:rPr>
          <w:b w:val="0"/>
          <w:bCs w:val="0"/>
          <w:i w:val="0"/>
          <w:iCs w:val="0"/>
          <w:sz w:val="22"/>
          <w:szCs w:val="24"/>
        </w:rPr>
      </w:pPr>
      <w:r>
        <w:rPr>
          <w:b w:val="0"/>
          <w:bCs w:val="0"/>
          <w:i w:val="0"/>
          <w:iCs w:val="0"/>
          <w:sz w:val="22"/>
          <w:szCs w:val="24"/>
        </w:rPr>
        <w:lastRenderedPageBreak/>
        <w:t xml:space="preserve">Failure to maintain the WES/WEL list </w:t>
      </w:r>
      <w:r w:rsidR="00D3125E">
        <w:rPr>
          <w:b w:val="0"/>
          <w:bCs w:val="0"/>
          <w:i w:val="0"/>
          <w:iCs w:val="0"/>
          <w:sz w:val="22"/>
          <w:szCs w:val="24"/>
        </w:rPr>
        <w:t xml:space="preserve">at the national level </w:t>
      </w:r>
      <w:r>
        <w:rPr>
          <w:b w:val="0"/>
          <w:bCs w:val="0"/>
          <w:i w:val="0"/>
          <w:iCs w:val="0"/>
          <w:sz w:val="22"/>
          <w:szCs w:val="24"/>
        </w:rPr>
        <w:t xml:space="preserve">could result in jurisdictional differences in exposure </w:t>
      </w:r>
      <w:r w:rsidR="008C480C">
        <w:rPr>
          <w:b w:val="0"/>
          <w:bCs w:val="0"/>
          <w:i w:val="0"/>
          <w:iCs w:val="0"/>
          <w:sz w:val="22"/>
          <w:szCs w:val="24"/>
        </w:rPr>
        <w:t>limits</w:t>
      </w:r>
      <w:r w:rsidR="00D3125E">
        <w:rPr>
          <w:b w:val="0"/>
          <w:bCs w:val="0"/>
          <w:i w:val="0"/>
          <w:iCs w:val="0"/>
          <w:sz w:val="22"/>
          <w:szCs w:val="24"/>
        </w:rPr>
        <w:t>. This would not only be</w:t>
      </w:r>
      <w:r>
        <w:rPr>
          <w:b w:val="0"/>
          <w:bCs w:val="0"/>
          <w:i w:val="0"/>
          <w:iCs w:val="0"/>
          <w:sz w:val="22"/>
          <w:szCs w:val="24"/>
        </w:rPr>
        <w:t xml:space="preserve"> inconsistent with the agreed harmonisation </w:t>
      </w:r>
      <w:r w:rsidR="00D3125E">
        <w:rPr>
          <w:b w:val="0"/>
          <w:bCs w:val="0"/>
          <w:i w:val="0"/>
          <w:iCs w:val="0"/>
          <w:sz w:val="22"/>
          <w:szCs w:val="24"/>
        </w:rPr>
        <w:t xml:space="preserve">of WHS laws but </w:t>
      </w:r>
      <w:r w:rsidR="000B5356">
        <w:rPr>
          <w:b w:val="0"/>
          <w:bCs w:val="0"/>
          <w:i w:val="0"/>
          <w:iCs w:val="0"/>
          <w:sz w:val="22"/>
          <w:szCs w:val="24"/>
        </w:rPr>
        <w:t xml:space="preserve">may also create confusion and additional </w:t>
      </w:r>
      <w:r w:rsidR="00F37077">
        <w:rPr>
          <w:b w:val="0"/>
          <w:bCs w:val="0"/>
          <w:i w:val="0"/>
          <w:iCs w:val="0"/>
          <w:sz w:val="22"/>
          <w:szCs w:val="24"/>
        </w:rPr>
        <w:t xml:space="preserve">complexity </w:t>
      </w:r>
      <w:r w:rsidR="000B5356">
        <w:rPr>
          <w:b w:val="0"/>
          <w:bCs w:val="0"/>
          <w:i w:val="0"/>
          <w:iCs w:val="0"/>
          <w:sz w:val="22"/>
          <w:szCs w:val="24"/>
        </w:rPr>
        <w:t>for PCBUs where work is occurring across multiple jurisdictions.</w:t>
      </w:r>
      <w:r w:rsidR="00324CA9">
        <w:rPr>
          <w:b w:val="0"/>
          <w:bCs w:val="0"/>
          <w:i w:val="0"/>
          <w:iCs w:val="0"/>
          <w:sz w:val="22"/>
          <w:szCs w:val="24"/>
        </w:rPr>
        <w:t xml:space="preserve"> </w:t>
      </w:r>
    </w:p>
    <w:p w14:paraId="3EEF1DA7" w14:textId="77777777" w:rsidR="007525B2" w:rsidRPr="006D50EE" w:rsidRDefault="007525B2" w:rsidP="007525B2">
      <w:pPr>
        <w:pStyle w:val="SWAHeading2"/>
        <w:ind w:left="709"/>
        <w:rPr>
          <w:lang w:eastAsia="en-AU"/>
        </w:rPr>
      </w:pPr>
      <w:bookmarkStart w:id="25" w:name="_Toc219216864"/>
      <w:r w:rsidRPr="006D50EE">
        <w:rPr>
          <w:lang w:eastAsia="en-AU"/>
        </w:rPr>
        <w:t>There is strong community support to ensure the WES reflect latest scientific evidence</w:t>
      </w:r>
      <w:bookmarkEnd w:id="25"/>
    </w:p>
    <w:p w14:paraId="76516562" w14:textId="77777777" w:rsidR="007525B2" w:rsidRPr="00356B9F" w:rsidRDefault="007525B2" w:rsidP="007525B2">
      <w:pPr>
        <w:spacing w:line="240" w:lineRule="auto"/>
        <w:contextualSpacing w:val="0"/>
        <w:rPr>
          <w:rFonts w:eastAsia="Times New Roman" w:cs="Times New Roman"/>
          <w:lang w:eastAsia="en-AU"/>
        </w:rPr>
      </w:pPr>
      <w:r w:rsidRPr="27F845C1">
        <w:rPr>
          <w:rFonts w:eastAsia="Times New Roman"/>
          <w:lang w:eastAsia="en-AU"/>
        </w:rPr>
        <w:t>Community expectations, as reflected in the 2019 WES Review Decision RIS, showed that</w:t>
      </w:r>
      <w:r w:rsidRPr="27F845C1" w:rsidDel="135A7FBC">
        <w:rPr>
          <w:rFonts w:eastAsia="Times New Roman"/>
          <w:lang w:eastAsia="en-AU"/>
        </w:rPr>
        <w:t xml:space="preserve"> </w:t>
      </w:r>
      <w:r w:rsidRPr="27F845C1">
        <w:rPr>
          <w:rFonts w:eastAsia="Times New Roman"/>
          <w:lang w:eastAsia="en-AU"/>
        </w:rPr>
        <w:t xml:space="preserve">most stakeholders supported the option for governments (through Safe Work Australia) to update workplace exposure standards using a streamlined methodology to align with current </w:t>
      </w:r>
      <w:r w:rsidRPr="00356B9F">
        <w:rPr>
          <w:rFonts w:eastAsia="Times New Roman" w:cs="Times New Roman"/>
          <w:lang w:eastAsia="en-AU"/>
        </w:rPr>
        <w:t xml:space="preserve">scientific knowledge and to maintain the mandatory status of the workplace exposure standards under the model WHS laws. </w:t>
      </w:r>
    </w:p>
    <w:p w14:paraId="2BAB5903" w14:textId="77777777" w:rsidR="007525B2" w:rsidRDefault="007525B2" w:rsidP="007525B2">
      <w:pPr>
        <w:spacing w:line="240" w:lineRule="auto"/>
        <w:contextualSpacing w:val="0"/>
        <w:rPr>
          <w:rFonts w:eastAsia="Times New Roman"/>
          <w:lang w:eastAsia="en-AU"/>
        </w:rPr>
      </w:pPr>
      <w:r w:rsidRPr="00356B9F">
        <w:rPr>
          <w:rFonts w:eastAsia="Times New Roman" w:cs="Times New Roman"/>
          <w:lang w:eastAsia="en-AU"/>
        </w:rPr>
        <w:t>Further, as part of consultation to inform this impact analysis, there</w:t>
      </w:r>
      <w:r>
        <w:rPr>
          <w:rFonts w:eastAsia="Times New Roman"/>
          <w:lang w:eastAsia="en-AU"/>
        </w:rPr>
        <w:t xml:space="preserve"> was general agreement of the need to ensure WES </w:t>
      </w:r>
      <w:r w:rsidRPr="6534A09F">
        <w:rPr>
          <w:rFonts w:eastAsia="Times New Roman"/>
          <w:lang w:eastAsia="en-AU"/>
        </w:rPr>
        <w:t>are set</w:t>
      </w:r>
      <w:r>
        <w:rPr>
          <w:rFonts w:eastAsia="Times New Roman"/>
          <w:lang w:eastAsia="en-AU"/>
        </w:rPr>
        <w:t xml:space="preserve"> at a suitable protective level (see consultation below).</w:t>
      </w:r>
    </w:p>
    <w:p w14:paraId="55FE4F02" w14:textId="77777777" w:rsidR="00137CBC" w:rsidRDefault="00137CBC" w:rsidP="00137CBC">
      <w:pPr>
        <w:pStyle w:val="SWAHeading4"/>
        <w:rPr>
          <w:rFonts w:asciiTheme="minorHAnsi" w:hAnsiTheme="minorHAnsi" w:cstheme="minorHAnsi"/>
          <w:b w:val="0"/>
          <w:bCs w:val="0"/>
          <w:i w:val="0"/>
          <w:iCs w:val="0"/>
          <w:sz w:val="22"/>
          <w:szCs w:val="24"/>
        </w:rPr>
      </w:pPr>
    </w:p>
    <w:p w14:paraId="29995672" w14:textId="77777777" w:rsidR="009911EB" w:rsidRPr="009911EB" w:rsidRDefault="009911EB" w:rsidP="00B57E6C">
      <w:pPr>
        <w:pageBreakBefore/>
        <w:numPr>
          <w:ilvl w:val="2"/>
          <w:numId w:val="10"/>
        </w:numPr>
        <w:spacing w:before="240" w:line="276" w:lineRule="auto"/>
        <w:contextualSpacing w:val="0"/>
        <w:outlineLvl w:val="0"/>
        <w:rPr>
          <w:rFonts w:cs="Arial"/>
          <w:b/>
          <w:bCs/>
          <w:sz w:val="40"/>
          <w:szCs w:val="40"/>
        </w:rPr>
      </w:pPr>
      <w:bookmarkStart w:id="26" w:name="_Toc194509995"/>
      <w:bookmarkStart w:id="27" w:name="_Toc219216865"/>
      <w:r w:rsidRPr="009911EB">
        <w:rPr>
          <w:rFonts w:cs="Arial"/>
          <w:b/>
          <w:bCs/>
          <w:sz w:val="40"/>
          <w:szCs w:val="40"/>
        </w:rPr>
        <w:lastRenderedPageBreak/>
        <w:t>What policy options are being considered?</w:t>
      </w:r>
      <w:bookmarkEnd w:id="26"/>
      <w:bookmarkEnd w:id="27"/>
    </w:p>
    <w:p w14:paraId="5BA41686" w14:textId="05758B31" w:rsidR="003241D3" w:rsidRDefault="00E66426" w:rsidP="002F2957">
      <w:pPr>
        <w:spacing w:line="240" w:lineRule="atLeast"/>
        <w:contextualSpacing w:val="0"/>
        <w:rPr>
          <w:rFonts w:eastAsia="Times New Roman"/>
          <w:lang w:eastAsia="en-AU"/>
        </w:rPr>
      </w:pPr>
      <w:r>
        <w:rPr>
          <w:rFonts w:eastAsia="Times New Roman"/>
          <w:lang w:eastAsia="en-AU"/>
        </w:rPr>
        <w:t>T</w:t>
      </w:r>
      <w:r w:rsidR="003241D3">
        <w:rPr>
          <w:rFonts w:eastAsia="Times New Roman"/>
          <w:lang w:eastAsia="en-AU"/>
        </w:rPr>
        <w:t>wo options are being considered as part of this Decision RIS:</w:t>
      </w:r>
    </w:p>
    <w:p w14:paraId="36E54ED9" w14:textId="41A8C0FE" w:rsidR="00E15F32" w:rsidRDefault="003241D3" w:rsidP="009D6EA3">
      <w:pPr>
        <w:pStyle w:val="ListParagraph"/>
        <w:tabs>
          <w:tab w:val="clear" w:pos="720"/>
        </w:tabs>
        <w:spacing w:line="240" w:lineRule="atLeast"/>
        <w:ind w:left="781" w:firstLine="0"/>
        <w:contextualSpacing w:val="0"/>
        <w:rPr>
          <w:rFonts w:eastAsia="Times New Roman"/>
          <w:lang w:eastAsia="en-AU"/>
        </w:rPr>
      </w:pPr>
      <w:r w:rsidRPr="00156D26">
        <w:rPr>
          <w:rFonts w:eastAsia="Times New Roman"/>
          <w:b/>
          <w:bCs/>
          <w:lang w:eastAsia="en-AU"/>
        </w:rPr>
        <w:t>Option 1</w:t>
      </w:r>
      <w:r>
        <w:rPr>
          <w:rFonts w:eastAsia="Times New Roman"/>
          <w:lang w:eastAsia="en-AU"/>
        </w:rPr>
        <w:t xml:space="preserve"> </w:t>
      </w:r>
      <w:r w:rsidR="009C20E8">
        <w:rPr>
          <w:rFonts w:eastAsia="Times New Roman"/>
          <w:lang w:eastAsia="en-AU"/>
        </w:rPr>
        <w:t>–</w:t>
      </w:r>
      <w:r>
        <w:rPr>
          <w:rFonts w:eastAsia="Times New Roman"/>
          <w:lang w:eastAsia="en-AU"/>
        </w:rPr>
        <w:t xml:space="preserve"> retain current WES for each of the 9 </w:t>
      </w:r>
      <w:r w:rsidR="00E15F32">
        <w:rPr>
          <w:rFonts w:eastAsia="Times New Roman"/>
          <w:lang w:eastAsia="en-AU"/>
        </w:rPr>
        <w:t>chemicals</w:t>
      </w:r>
      <w:r w:rsidR="0051048B">
        <w:rPr>
          <w:rFonts w:eastAsia="Times New Roman"/>
          <w:lang w:eastAsia="en-AU"/>
        </w:rPr>
        <w:t xml:space="preserve"> </w:t>
      </w:r>
      <w:r w:rsidR="00834A1C">
        <w:rPr>
          <w:rFonts w:eastAsia="Times New Roman"/>
          <w:lang w:eastAsia="en-AU"/>
        </w:rPr>
        <w:t>considered in</w:t>
      </w:r>
      <w:r w:rsidR="0051048B" w:rsidRPr="0051048B">
        <w:rPr>
          <w:rFonts w:eastAsia="Times New Roman"/>
          <w:lang w:eastAsia="en-AU"/>
        </w:rPr>
        <w:t xml:space="preserve"> this Decision RIS</w:t>
      </w:r>
      <w:r w:rsidR="00B727E5">
        <w:rPr>
          <w:rFonts w:eastAsia="Times New Roman"/>
          <w:lang w:eastAsia="en-AU"/>
        </w:rPr>
        <w:t xml:space="preserve"> (status quo)</w:t>
      </w:r>
      <w:r w:rsidR="00E15F32">
        <w:rPr>
          <w:rFonts w:eastAsia="Times New Roman"/>
          <w:lang w:eastAsia="en-AU"/>
        </w:rPr>
        <w:t>, and</w:t>
      </w:r>
    </w:p>
    <w:p w14:paraId="5A35EA39" w14:textId="47D24323" w:rsidR="00DD1E63" w:rsidRDefault="005E6298" w:rsidP="009D6EA3">
      <w:pPr>
        <w:pStyle w:val="ListParagraph"/>
        <w:tabs>
          <w:tab w:val="clear" w:pos="720"/>
        </w:tabs>
        <w:spacing w:line="240" w:lineRule="atLeast"/>
        <w:ind w:left="781" w:firstLine="0"/>
        <w:contextualSpacing w:val="0"/>
      </w:pPr>
      <w:r w:rsidRPr="00156D26">
        <w:rPr>
          <w:rFonts w:eastAsia="Times New Roman"/>
          <w:b/>
          <w:bCs/>
          <w:lang w:eastAsia="en-AU"/>
        </w:rPr>
        <w:t>Option 2</w:t>
      </w:r>
      <w:r>
        <w:rPr>
          <w:rFonts w:eastAsia="Times New Roman"/>
          <w:lang w:eastAsia="en-AU"/>
        </w:rPr>
        <w:t xml:space="preserve"> </w:t>
      </w:r>
      <w:r w:rsidR="001137FF">
        <w:rPr>
          <w:rFonts w:eastAsia="Times New Roman"/>
          <w:lang w:eastAsia="en-AU"/>
        </w:rPr>
        <w:t>–</w:t>
      </w:r>
      <w:r>
        <w:rPr>
          <w:rFonts w:eastAsia="Times New Roman"/>
          <w:lang w:eastAsia="en-AU"/>
        </w:rPr>
        <w:t xml:space="preserve"> </w:t>
      </w:r>
      <w:r w:rsidR="001137FF">
        <w:rPr>
          <w:rFonts w:eastAsia="Times New Roman"/>
          <w:lang w:eastAsia="en-AU"/>
        </w:rPr>
        <w:t>change to</w:t>
      </w:r>
      <w:r w:rsidR="00E66426">
        <w:rPr>
          <w:rFonts w:eastAsia="Times New Roman"/>
          <w:lang w:eastAsia="en-AU"/>
        </w:rPr>
        <w:t xml:space="preserve"> the proposed health-based WEL </w:t>
      </w:r>
      <w:r w:rsidR="00591938">
        <w:rPr>
          <w:rFonts w:eastAsia="Times New Roman"/>
          <w:lang w:eastAsia="en-AU"/>
        </w:rPr>
        <w:t>for</w:t>
      </w:r>
      <w:r w:rsidR="00E66426">
        <w:rPr>
          <w:rFonts w:eastAsia="Times New Roman"/>
          <w:lang w:eastAsia="en-AU"/>
        </w:rPr>
        <w:t xml:space="preserve"> the 9 chemicals. </w:t>
      </w:r>
    </w:p>
    <w:p w14:paraId="78ECADBE" w14:textId="7259F743" w:rsidR="002F6B21" w:rsidRDefault="002F6B21" w:rsidP="00707ADD">
      <w:pPr>
        <w:pStyle w:val="SWAHeading2"/>
        <w:ind w:left="709"/>
        <w:rPr>
          <w:lang w:eastAsia="en-AU"/>
        </w:rPr>
      </w:pPr>
      <w:bookmarkStart w:id="28" w:name="_Toc219216866"/>
      <w:r>
        <w:rPr>
          <w:lang w:eastAsia="en-AU"/>
        </w:rPr>
        <w:t>These options reflect previous decisions from WHS ministers</w:t>
      </w:r>
      <w:bookmarkEnd w:id="28"/>
      <w:r>
        <w:rPr>
          <w:lang w:eastAsia="en-AU"/>
        </w:rPr>
        <w:t xml:space="preserve"> </w:t>
      </w:r>
    </w:p>
    <w:p w14:paraId="3E38DBBA" w14:textId="28CF21C6" w:rsidR="00313251" w:rsidRDefault="00CD459E">
      <w:pPr>
        <w:spacing w:line="240" w:lineRule="atLeast"/>
        <w:contextualSpacing w:val="0"/>
      </w:pPr>
      <w:r w:rsidRPr="00CD459E">
        <w:t xml:space="preserve">In 2024, WHS ministers agreed to the health-based recommendations </w:t>
      </w:r>
      <w:r>
        <w:t xml:space="preserve">for the WEL, </w:t>
      </w:r>
      <w:r w:rsidRPr="00CD459E">
        <w:t>except for the 9 chemicals where WHS ministers had requested further impact analysis be undertaken – this Decision RIS.</w:t>
      </w:r>
    </w:p>
    <w:p w14:paraId="3B3DDC29" w14:textId="3392C9BE" w:rsidR="1C9396B1" w:rsidRDefault="1C9396B1">
      <w:pPr>
        <w:spacing w:line="240" w:lineRule="atLeast"/>
        <w:contextualSpacing w:val="0"/>
      </w:pPr>
      <w:r>
        <w:t>Th</w:t>
      </w:r>
      <w:r w:rsidR="73248909">
        <w:t>e options</w:t>
      </w:r>
      <w:r>
        <w:t xml:space="preserve"> </w:t>
      </w:r>
      <w:r w:rsidR="00A52DAF">
        <w:t xml:space="preserve">included </w:t>
      </w:r>
      <w:r>
        <w:t>recognise that consideration of limits outside a health-based approach would be inconsistent with previous decisions by WHS ministers. Specifically, their decision as part of the WES Review Decision RIS</w:t>
      </w:r>
      <w:r w:rsidR="40B9792B">
        <w:t xml:space="preserve">, where </w:t>
      </w:r>
      <w:r w:rsidR="4E8297C8">
        <w:t xml:space="preserve">WHS ministers </w:t>
      </w:r>
      <w:r w:rsidR="40B9792B">
        <w:t>agreed to</w:t>
      </w:r>
      <w:r w:rsidDel="40B9792B">
        <w:t xml:space="preserve"> </w:t>
      </w:r>
      <w:r w:rsidR="3EDF0171">
        <w:t>changes to</w:t>
      </w:r>
      <w:r w:rsidR="3D34AA03">
        <w:t xml:space="preserve"> exposure standards</w:t>
      </w:r>
      <w:r w:rsidR="7FEE1DE0">
        <w:t xml:space="preserve"> for other chemicals to reflect the health-based WEL</w:t>
      </w:r>
      <w:r>
        <w:t>. This decision was made on the basis of ensuring adequate protection of workers from adverse health effects from expo</w:t>
      </w:r>
      <w:r w:rsidRPr="008F113D">
        <w:rPr>
          <w:rFonts w:asciiTheme="minorHAnsi" w:eastAsiaTheme="minorEastAsia" w:hAnsiTheme="minorHAnsi"/>
          <w:szCs w:val="22"/>
        </w:rPr>
        <w:t xml:space="preserve">sure to </w:t>
      </w:r>
      <w:r w:rsidR="5E3DCC19" w:rsidRPr="008F113D">
        <w:rPr>
          <w:rFonts w:asciiTheme="minorHAnsi" w:eastAsiaTheme="minorEastAsia" w:hAnsiTheme="minorHAnsi"/>
          <w:szCs w:val="22"/>
        </w:rPr>
        <w:t xml:space="preserve">the </w:t>
      </w:r>
      <w:r w:rsidRPr="008F113D">
        <w:rPr>
          <w:rFonts w:asciiTheme="minorHAnsi" w:eastAsiaTheme="minorEastAsia" w:hAnsiTheme="minorHAnsi"/>
          <w:szCs w:val="22"/>
        </w:rPr>
        <w:t xml:space="preserve">chemicals.  </w:t>
      </w:r>
    </w:p>
    <w:p w14:paraId="35982DBB" w14:textId="1FB09373" w:rsidR="003241D3" w:rsidRDefault="31918AF9" w:rsidP="27F845C1">
      <w:pPr>
        <w:spacing w:line="240" w:lineRule="atLeast"/>
        <w:contextualSpacing w:val="0"/>
        <w:rPr>
          <w:rFonts w:eastAsia="Times New Roman"/>
          <w:lang w:eastAsia="en-AU"/>
        </w:rPr>
      </w:pPr>
      <w:r w:rsidRPr="008F113D">
        <w:rPr>
          <w:rFonts w:asciiTheme="minorHAnsi" w:eastAsiaTheme="minorEastAsia" w:hAnsiTheme="minorHAnsi"/>
          <w:szCs w:val="22"/>
        </w:rPr>
        <w:t>Th</w:t>
      </w:r>
      <w:r w:rsidR="3D34AA03" w:rsidRPr="008F113D">
        <w:rPr>
          <w:rFonts w:asciiTheme="minorHAnsi" w:eastAsiaTheme="minorEastAsia" w:hAnsiTheme="minorHAnsi"/>
          <w:szCs w:val="22"/>
        </w:rPr>
        <w:t>e</w:t>
      </w:r>
      <w:r w:rsidR="3D34AA03">
        <w:t>se options are</w:t>
      </w:r>
      <w:r>
        <w:t xml:space="preserve"> also consistent with the recommendations from Members. The health-based limits </w:t>
      </w:r>
      <w:r w:rsidR="39505B27">
        <w:t xml:space="preserve">were recommended as they were </w:t>
      </w:r>
      <w:r>
        <w:t>considered protective of workers and others in the workplace from the adverse health effects from exposure.</w:t>
      </w:r>
    </w:p>
    <w:p w14:paraId="63079172" w14:textId="54BA3AA1" w:rsidR="002904A7" w:rsidRPr="003E755D" w:rsidRDefault="000C2E09" w:rsidP="003E755D">
      <w:pPr>
        <w:spacing w:line="240" w:lineRule="auto"/>
        <w:contextualSpacing w:val="0"/>
        <w:textAlignment w:val="baseline"/>
        <w:rPr>
          <w:rFonts w:ascii="Segoe UI" w:eastAsia="Times New Roman" w:hAnsi="Segoe UI" w:cs="Segoe UI"/>
          <w:sz w:val="18"/>
          <w:szCs w:val="18"/>
          <w:lang w:eastAsia="en-AU"/>
        </w:rPr>
      </w:pPr>
      <w:r>
        <w:rPr>
          <w:rFonts w:eastAsia="Times New Roman"/>
          <w:lang w:eastAsia="en-AU"/>
        </w:rPr>
        <w:t>A</w:t>
      </w:r>
      <w:r w:rsidR="4B5C13B0" w:rsidRPr="27F845C1">
        <w:rPr>
          <w:rFonts w:eastAsia="Times New Roman"/>
        </w:rPr>
        <w:t xml:space="preserve"> policy option that did not align with the health-based limits would be counter to the </w:t>
      </w:r>
      <w:r w:rsidR="7FEE1DE0" w:rsidRPr="27F845C1">
        <w:rPr>
          <w:rFonts w:eastAsia="Times New Roman"/>
          <w:lang w:eastAsia="en-AU"/>
        </w:rPr>
        <w:t>object and requirements of the model WHS Act</w:t>
      </w:r>
      <w:r w:rsidR="73248909" w:rsidRPr="27F845C1">
        <w:rPr>
          <w:rFonts w:eastAsia="Times New Roman"/>
          <w:lang w:eastAsia="en-AU"/>
        </w:rPr>
        <w:t xml:space="preserve"> to protect workers </w:t>
      </w:r>
      <w:r w:rsidR="451EE640" w:rsidRPr="27F845C1">
        <w:rPr>
          <w:rFonts w:eastAsia="Times New Roman"/>
        </w:rPr>
        <w:t>from developing adverse health effects</w:t>
      </w:r>
      <w:r w:rsidR="000244F6">
        <w:rPr>
          <w:rFonts w:eastAsia="Times New Roman"/>
        </w:rPr>
        <w:t>.</w:t>
      </w:r>
      <w:r w:rsidR="002123BE">
        <w:rPr>
          <w:rFonts w:eastAsia="Times New Roman"/>
        </w:rPr>
        <w:t xml:space="preserve"> </w:t>
      </w:r>
      <w:r w:rsidR="0088370D">
        <w:rPr>
          <w:rFonts w:eastAsia="Times New Roman"/>
        </w:rPr>
        <w:t xml:space="preserve">Alternative WEL were suggested by stakeholders for some of the chemicals considered in this Decision RIS. </w:t>
      </w:r>
      <w:r w:rsidR="004042BC" w:rsidRPr="00016321">
        <w:t xml:space="preserve">These suggestions were considered </w:t>
      </w:r>
      <w:r w:rsidR="004042BC">
        <w:t>against the criteria contained</w:t>
      </w:r>
      <w:r w:rsidR="004042BC" w:rsidRPr="00016321">
        <w:t xml:space="preserve"> with</w:t>
      </w:r>
      <w:r w:rsidR="004042BC">
        <w:t>in</w:t>
      </w:r>
      <w:r w:rsidR="004042BC" w:rsidRPr="00016321">
        <w:t xml:space="preserve"> the WES review methodology </w:t>
      </w:r>
      <w:r w:rsidR="004042BC">
        <w:t>agreed by WHS ministers</w:t>
      </w:r>
      <w:r w:rsidR="00D83E73">
        <w:t xml:space="preserve"> (see </w:t>
      </w:r>
      <w:hyperlink w:anchor="AppendixB_AgreedSources" w:history="1">
        <w:r w:rsidR="00D83E73" w:rsidRPr="00A3400D">
          <w:rPr>
            <w:rStyle w:val="Hyperlink"/>
          </w:rPr>
          <w:t>Appendix B</w:t>
        </w:r>
      </w:hyperlink>
      <w:r w:rsidR="00D83E73">
        <w:t>)</w:t>
      </w:r>
      <w:r w:rsidR="00C71660">
        <w:t>.</w:t>
      </w:r>
    </w:p>
    <w:p w14:paraId="4DA8D68E" w14:textId="271476EA" w:rsidR="00B727E5" w:rsidRDefault="00D158C2" w:rsidP="6534A09F">
      <w:pPr>
        <w:spacing w:line="240" w:lineRule="atLeast"/>
        <w:contextualSpacing w:val="0"/>
        <w:rPr>
          <w:rFonts w:eastAsia="Times New Roman"/>
          <w:lang w:eastAsia="en-AU"/>
        </w:rPr>
      </w:pPr>
      <w:r>
        <w:rPr>
          <w:rFonts w:eastAsia="Times New Roman"/>
        </w:rPr>
        <w:t xml:space="preserve">It is also important to note that as part of </w:t>
      </w:r>
      <w:r w:rsidR="00687FE1">
        <w:rPr>
          <w:rFonts w:eastAsia="Times New Roman"/>
        </w:rPr>
        <w:t xml:space="preserve">previous </w:t>
      </w:r>
      <w:r>
        <w:rPr>
          <w:rFonts w:eastAsia="Times New Roman"/>
        </w:rPr>
        <w:t xml:space="preserve">consultation on </w:t>
      </w:r>
      <w:r w:rsidR="00BF6EDA">
        <w:rPr>
          <w:rFonts w:eastAsia="Times New Roman"/>
        </w:rPr>
        <w:t>the</w:t>
      </w:r>
      <w:r>
        <w:rPr>
          <w:rFonts w:eastAsia="Times New Roman"/>
        </w:rPr>
        <w:t xml:space="preserve"> </w:t>
      </w:r>
      <w:r w:rsidR="00BF6EDA">
        <w:rPr>
          <w:rFonts w:eastAsia="Times New Roman"/>
        </w:rPr>
        <w:t xml:space="preserve">proposed health-based limits, stakeholders </w:t>
      </w:r>
      <w:r w:rsidR="00BF6EDA" w:rsidDel="00207A87">
        <w:rPr>
          <w:rFonts w:eastAsia="Times New Roman"/>
        </w:rPr>
        <w:t xml:space="preserve">were </w:t>
      </w:r>
      <w:r w:rsidR="00BC5777" w:rsidDel="00207A87">
        <w:rPr>
          <w:rFonts w:eastAsia="Times New Roman"/>
        </w:rPr>
        <w:t xml:space="preserve">asked to </w:t>
      </w:r>
      <w:r w:rsidR="00BC5777">
        <w:rPr>
          <w:rFonts w:eastAsia="Times New Roman"/>
        </w:rPr>
        <w:t xml:space="preserve">provide </w:t>
      </w:r>
      <w:r w:rsidR="00BC5777" w:rsidDel="00207A87">
        <w:rPr>
          <w:rFonts w:eastAsia="Times New Roman"/>
        </w:rPr>
        <w:t>evidence</w:t>
      </w:r>
      <w:r w:rsidR="002A5883">
        <w:rPr>
          <w:rFonts w:eastAsia="Times New Roman"/>
        </w:rPr>
        <w:t xml:space="preserve"> </w:t>
      </w:r>
      <w:r w:rsidR="00CC62FC">
        <w:rPr>
          <w:rFonts w:eastAsia="Times New Roman"/>
        </w:rPr>
        <w:t>in support of any proposed</w:t>
      </w:r>
      <w:r w:rsidR="00CC62FC" w:rsidDel="00207A87">
        <w:rPr>
          <w:rFonts w:eastAsia="Times New Roman"/>
        </w:rPr>
        <w:t xml:space="preserve"> </w:t>
      </w:r>
      <w:r w:rsidR="00BC5777">
        <w:rPr>
          <w:rFonts w:eastAsia="Times New Roman"/>
        </w:rPr>
        <w:t>alternate health-based limits</w:t>
      </w:r>
      <w:r w:rsidR="00E105C2">
        <w:rPr>
          <w:rFonts w:eastAsia="Times New Roman"/>
        </w:rPr>
        <w:t xml:space="preserve">. </w:t>
      </w:r>
      <w:r w:rsidR="00FA6B9F">
        <w:rPr>
          <w:rFonts w:eastAsia="Times New Roman"/>
        </w:rPr>
        <w:t>For formaldehyde and titanium dioxide, s</w:t>
      </w:r>
      <w:r w:rsidR="006166D0">
        <w:rPr>
          <w:rFonts w:eastAsia="Times New Roman"/>
        </w:rPr>
        <w:t xml:space="preserve">takeholders </w:t>
      </w:r>
      <w:r w:rsidR="002A5883">
        <w:rPr>
          <w:rFonts w:eastAsia="Times New Roman"/>
        </w:rPr>
        <w:t>did</w:t>
      </w:r>
      <w:r w:rsidR="006166D0">
        <w:rPr>
          <w:rFonts w:eastAsia="Times New Roman"/>
        </w:rPr>
        <w:t xml:space="preserve"> suggest </w:t>
      </w:r>
      <w:r w:rsidR="000A6340">
        <w:rPr>
          <w:rFonts w:eastAsia="Times New Roman"/>
        </w:rPr>
        <w:t>alternate</w:t>
      </w:r>
      <w:r w:rsidR="006166D0">
        <w:rPr>
          <w:rFonts w:eastAsia="Times New Roman"/>
        </w:rPr>
        <w:t xml:space="preserve"> </w:t>
      </w:r>
      <w:r w:rsidR="004D1E79">
        <w:rPr>
          <w:rFonts w:eastAsia="Times New Roman"/>
        </w:rPr>
        <w:t xml:space="preserve">health-based limits </w:t>
      </w:r>
      <w:r w:rsidR="00A86F6D">
        <w:rPr>
          <w:rFonts w:eastAsia="Times New Roman"/>
        </w:rPr>
        <w:t>support</w:t>
      </w:r>
      <w:r w:rsidR="004D1E79">
        <w:rPr>
          <w:rFonts w:eastAsia="Times New Roman"/>
        </w:rPr>
        <w:t>ed</w:t>
      </w:r>
      <w:r w:rsidR="00A86F6D">
        <w:rPr>
          <w:rFonts w:eastAsia="Times New Roman"/>
        </w:rPr>
        <w:t xml:space="preserve"> </w:t>
      </w:r>
      <w:r w:rsidR="004D1E79">
        <w:rPr>
          <w:rFonts w:eastAsia="Times New Roman"/>
        </w:rPr>
        <w:t>by</w:t>
      </w:r>
      <w:r w:rsidR="00F90EDF">
        <w:rPr>
          <w:rFonts w:eastAsia="Times New Roman"/>
        </w:rPr>
        <w:t xml:space="preserve"> evidence</w:t>
      </w:r>
      <w:r w:rsidR="009351BD">
        <w:rPr>
          <w:rFonts w:eastAsia="Times New Roman"/>
        </w:rPr>
        <w:t xml:space="preserve">. Members were able to consider these alternate </w:t>
      </w:r>
      <w:r w:rsidR="00EB2E77">
        <w:rPr>
          <w:rFonts w:eastAsia="Times New Roman"/>
        </w:rPr>
        <w:t>health-based limits</w:t>
      </w:r>
      <w:r w:rsidR="007C73BE">
        <w:rPr>
          <w:rFonts w:eastAsia="Times New Roman"/>
        </w:rPr>
        <w:t xml:space="preserve"> alongside the</w:t>
      </w:r>
      <w:r w:rsidR="00EB2E77">
        <w:rPr>
          <w:rFonts w:eastAsia="Times New Roman"/>
        </w:rPr>
        <w:t xml:space="preserve"> </w:t>
      </w:r>
      <w:r w:rsidR="007C73BE">
        <w:rPr>
          <w:rFonts w:eastAsia="Times New Roman"/>
        </w:rPr>
        <w:t>recommendations from the WES review</w:t>
      </w:r>
      <w:r w:rsidR="00EB2E77">
        <w:rPr>
          <w:rFonts w:eastAsia="Times New Roman"/>
        </w:rPr>
        <w:t xml:space="preserve"> prior to </w:t>
      </w:r>
      <w:r w:rsidR="006540CA">
        <w:rPr>
          <w:rFonts w:eastAsia="Times New Roman"/>
        </w:rPr>
        <w:t xml:space="preserve">agreeing the </w:t>
      </w:r>
      <w:r w:rsidR="00EB2E77">
        <w:rPr>
          <w:rFonts w:eastAsia="Times New Roman"/>
        </w:rPr>
        <w:t>WEL for</w:t>
      </w:r>
      <w:r w:rsidR="006540CA">
        <w:rPr>
          <w:rFonts w:eastAsia="Times New Roman"/>
        </w:rPr>
        <w:t xml:space="preserve"> consideration in this Decision RIS</w:t>
      </w:r>
      <w:r w:rsidR="006166D0">
        <w:rPr>
          <w:rFonts w:eastAsia="Times New Roman"/>
        </w:rPr>
        <w:t xml:space="preserve">. </w:t>
      </w:r>
    </w:p>
    <w:p w14:paraId="4B39D09D" w14:textId="5BC050BD" w:rsidR="00A272CC" w:rsidRDefault="00A272CC" w:rsidP="00707ADD">
      <w:pPr>
        <w:pStyle w:val="SWAHeading2"/>
        <w:ind w:left="709"/>
        <w:rPr>
          <w:lang w:eastAsia="en-AU"/>
        </w:rPr>
      </w:pPr>
      <w:bookmarkStart w:id="29" w:name="_Toc219216867"/>
      <w:r>
        <w:rPr>
          <w:lang w:eastAsia="en-AU"/>
        </w:rPr>
        <w:t xml:space="preserve">Making the </w:t>
      </w:r>
      <w:r w:rsidR="00EE237B">
        <w:rPr>
          <w:lang w:eastAsia="en-AU"/>
        </w:rPr>
        <w:t>WEL</w:t>
      </w:r>
      <w:r w:rsidR="00C45CC7">
        <w:rPr>
          <w:lang w:eastAsia="en-AU"/>
        </w:rPr>
        <w:t xml:space="preserve"> advisory</w:t>
      </w:r>
      <w:r w:rsidR="009E22F0">
        <w:rPr>
          <w:lang w:eastAsia="en-AU"/>
        </w:rPr>
        <w:t xml:space="preserve"> would not achieve suitable protections</w:t>
      </w:r>
      <w:bookmarkEnd w:id="29"/>
    </w:p>
    <w:p w14:paraId="2F2D7781" w14:textId="5722C16E" w:rsidR="00DF606C" w:rsidRPr="00C45CC7" w:rsidRDefault="007C7A70" w:rsidP="00100D4B">
      <w:pPr>
        <w:pStyle w:val="Paragraph"/>
      </w:pPr>
      <w:r>
        <w:t xml:space="preserve">This option was </w:t>
      </w:r>
      <w:r w:rsidR="009F356B">
        <w:t xml:space="preserve">previously </w:t>
      </w:r>
      <w:r>
        <w:t xml:space="preserve">considered by WHS ministers </w:t>
      </w:r>
      <w:r w:rsidR="00B258A7">
        <w:t>in the WES Review Decision RIS</w:t>
      </w:r>
      <w:r w:rsidR="00202EEA">
        <w:t xml:space="preserve"> but not </w:t>
      </w:r>
      <w:r w:rsidR="002824E4">
        <w:t xml:space="preserve">supported </w:t>
      </w:r>
      <w:r w:rsidR="00047C0E">
        <w:t>because</w:t>
      </w:r>
      <w:r w:rsidR="00FA7871">
        <w:t xml:space="preserve"> it </w:t>
      </w:r>
      <w:r w:rsidR="00555B32">
        <w:t xml:space="preserve">did not </w:t>
      </w:r>
      <w:r w:rsidR="00BC039C">
        <w:t xml:space="preserve">sufficiently </w:t>
      </w:r>
      <w:r w:rsidR="00555B32">
        <w:t xml:space="preserve">meet </w:t>
      </w:r>
      <w:r w:rsidR="00FC5C6D">
        <w:t>their</w:t>
      </w:r>
      <w:r w:rsidR="00555B32">
        <w:t xml:space="preserve"> objective of reducing the risk of harm to workers</w:t>
      </w:r>
      <w:r w:rsidR="00BC039C">
        <w:t>. As such, i</w:t>
      </w:r>
      <w:r w:rsidR="00800F7B">
        <w:t>t</w:t>
      </w:r>
      <w:r w:rsidR="00D95508">
        <w:t xml:space="preserve"> was not considered </w:t>
      </w:r>
      <w:r w:rsidR="00800F7B">
        <w:t>in this Decision RIS</w:t>
      </w:r>
      <w:r w:rsidR="00D95508">
        <w:t xml:space="preserve">. </w:t>
      </w:r>
    </w:p>
    <w:p w14:paraId="08F5B475" w14:textId="7B216558" w:rsidR="002F6B21" w:rsidRPr="00707ADD" w:rsidRDefault="002F6B21" w:rsidP="00707ADD">
      <w:pPr>
        <w:pStyle w:val="SWAHeading2"/>
        <w:ind w:left="709"/>
        <w:rPr>
          <w:lang w:eastAsia="en-AU"/>
        </w:rPr>
      </w:pPr>
      <w:bookmarkStart w:id="30" w:name="_Toc219216868"/>
      <w:r w:rsidRPr="00E44849">
        <w:rPr>
          <w:lang w:eastAsia="en-AU"/>
        </w:rPr>
        <w:t xml:space="preserve">Non-regulatory </w:t>
      </w:r>
      <w:r w:rsidR="00E44849" w:rsidRPr="00E44849">
        <w:rPr>
          <w:lang w:eastAsia="en-AU"/>
        </w:rPr>
        <w:t xml:space="preserve">mechanisms would not achieve </w:t>
      </w:r>
      <w:r w:rsidR="00E44849">
        <w:rPr>
          <w:lang w:eastAsia="en-AU"/>
        </w:rPr>
        <w:t>suitable protections</w:t>
      </w:r>
      <w:bookmarkEnd w:id="30"/>
      <w:r w:rsidR="00E44849">
        <w:rPr>
          <w:lang w:eastAsia="en-AU"/>
        </w:rPr>
        <w:t xml:space="preserve"> </w:t>
      </w:r>
    </w:p>
    <w:p w14:paraId="1DE3B4F6" w14:textId="77777777" w:rsidR="00A151A1" w:rsidRDefault="0097191F" w:rsidP="004477D2">
      <w:pPr>
        <w:keepLines/>
        <w:spacing w:line="240" w:lineRule="atLeast"/>
        <w:contextualSpacing w:val="0"/>
        <w:rPr>
          <w:rFonts w:eastAsia="Times New Roman"/>
          <w:lang w:eastAsia="en-AU"/>
        </w:rPr>
      </w:pPr>
      <w:r>
        <w:rPr>
          <w:rFonts w:eastAsia="Times New Roman"/>
          <w:lang w:eastAsia="en-AU"/>
        </w:rPr>
        <w:t xml:space="preserve">Non-regulatory options, such as guidance, education and awareness raising, were not considered as part of this Decision RIS. It is important to note that while non-regulatory options would complement implementation of either option, and are a core function for Safe Work Australia, on their own these activities would not satisfactorily meet the object of the model WHS Act, nor provide appropriate protections to workers. </w:t>
      </w:r>
    </w:p>
    <w:p w14:paraId="4516EB44" w14:textId="2475F6A6" w:rsidR="0097191F" w:rsidRDefault="0097191F" w:rsidP="004477D2">
      <w:pPr>
        <w:keepLines/>
        <w:spacing w:line="240" w:lineRule="atLeast"/>
        <w:contextualSpacing w:val="0"/>
        <w:rPr>
          <w:rFonts w:eastAsia="Times New Roman"/>
          <w:lang w:eastAsia="en-AU"/>
        </w:rPr>
      </w:pPr>
      <w:r>
        <w:rPr>
          <w:rFonts w:eastAsia="Times New Roman"/>
          <w:lang w:eastAsia="en-AU"/>
        </w:rPr>
        <w:lastRenderedPageBreak/>
        <w:t xml:space="preserve">Guidance, education and awareness raising are already in train as part of the broader transition from the WES </w:t>
      </w:r>
      <w:r w:rsidDel="002D155D">
        <w:rPr>
          <w:rFonts w:eastAsia="Times New Roman"/>
          <w:lang w:eastAsia="en-AU"/>
        </w:rPr>
        <w:t xml:space="preserve">and </w:t>
      </w:r>
      <w:r>
        <w:rPr>
          <w:rFonts w:eastAsia="Times New Roman"/>
          <w:lang w:eastAsia="en-AU"/>
        </w:rPr>
        <w:t xml:space="preserve">WEL that WHS ministers agreed </w:t>
      </w:r>
      <w:r w:rsidR="70D878C8" w:rsidRPr="24914EC4">
        <w:rPr>
          <w:rFonts w:eastAsia="Times New Roman"/>
          <w:lang w:eastAsia="en-AU"/>
        </w:rPr>
        <w:t>would</w:t>
      </w:r>
      <w:r w:rsidR="009715F5">
        <w:rPr>
          <w:rFonts w:eastAsia="Times New Roman"/>
          <w:lang w:eastAsia="en-AU"/>
        </w:rPr>
        <w:t xml:space="preserve"> </w:t>
      </w:r>
      <w:r>
        <w:rPr>
          <w:rFonts w:eastAsia="Times New Roman"/>
          <w:lang w:eastAsia="en-AU"/>
        </w:rPr>
        <w:t>come in</w:t>
      </w:r>
      <w:r w:rsidR="005B68FB">
        <w:rPr>
          <w:rFonts w:eastAsia="Times New Roman"/>
          <w:lang w:eastAsia="en-AU"/>
        </w:rPr>
        <w:t>to</w:t>
      </w:r>
      <w:r>
        <w:rPr>
          <w:rFonts w:eastAsia="Times New Roman"/>
          <w:lang w:eastAsia="en-AU"/>
        </w:rPr>
        <w:t xml:space="preserve"> effect from 1 December 2026.  </w:t>
      </w:r>
    </w:p>
    <w:p w14:paraId="3D941D5C" w14:textId="57EA3C11" w:rsidR="00E44849" w:rsidRPr="00E44849" w:rsidRDefault="00E44849" w:rsidP="004477D2">
      <w:pPr>
        <w:pStyle w:val="SWAHeading2"/>
        <w:keepNext/>
        <w:ind w:left="709"/>
        <w:rPr>
          <w:lang w:eastAsia="en-AU"/>
        </w:rPr>
      </w:pPr>
      <w:bookmarkStart w:id="31" w:name="_Toc219216869"/>
      <w:r w:rsidRPr="00E44849">
        <w:rPr>
          <w:lang w:eastAsia="en-AU"/>
        </w:rPr>
        <w:t>Overview of options</w:t>
      </w:r>
      <w:bookmarkEnd w:id="31"/>
    </w:p>
    <w:p w14:paraId="6E1B4199" w14:textId="43D873FA" w:rsidR="004F4363" w:rsidRDefault="00D72A1A" w:rsidP="004477D2">
      <w:pPr>
        <w:keepNext/>
        <w:spacing w:line="240" w:lineRule="atLeast"/>
        <w:contextualSpacing w:val="0"/>
        <w:rPr>
          <w:rFonts w:eastAsia="Times New Roman"/>
          <w:lang w:eastAsia="en-AU"/>
        </w:rPr>
      </w:pPr>
      <w:r>
        <w:rPr>
          <w:rFonts w:eastAsia="Times New Roman"/>
          <w:lang w:eastAsia="en-AU"/>
        </w:rPr>
        <w:fldChar w:fldCharType="begin"/>
      </w:r>
      <w:r>
        <w:rPr>
          <w:rFonts w:eastAsia="Times New Roman"/>
          <w:lang w:eastAsia="en-AU"/>
        </w:rPr>
        <w:instrText xml:space="preserve"> REF _Ref199839947 \h </w:instrText>
      </w:r>
      <w:r>
        <w:rPr>
          <w:rFonts w:eastAsia="Times New Roman"/>
          <w:lang w:eastAsia="en-AU"/>
        </w:rPr>
      </w:r>
      <w:r>
        <w:rPr>
          <w:rFonts w:eastAsia="Times New Roman"/>
          <w:lang w:eastAsia="en-AU"/>
        </w:rPr>
        <w:fldChar w:fldCharType="separate"/>
      </w:r>
      <w:r w:rsidR="00A002F4">
        <w:t xml:space="preserve">Table </w:t>
      </w:r>
      <w:r w:rsidR="00A002F4">
        <w:rPr>
          <w:noProof/>
        </w:rPr>
        <w:t>3</w:t>
      </w:r>
      <w:r>
        <w:rPr>
          <w:rFonts w:eastAsia="Times New Roman"/>
          <w:lang w:eastAsia="en-AU"/>
        </w:rPr>
        <w:fldChar w:fldCharType="end"/>
      </w:r>
      <w:r>
        <w:rPr>
          <w:rFonts w:eastAsia="Times New Roman"/>
          <w:lang w:eastAsia="en-AU"/>
        </w:rPr>
        <w:t xml:space="preserve"> </w:t>
      </w:r>
      <w:r w:rsidR="00687FE1">
        <w:rPr>
          <w:rFonts w:eastAsia="Times New Roman"/>
          <w:lang w:eastAsia="en-AU"/>
        </w:rPr>
        <w:t xml:space="preserve">below provides an overview of the </w:t>
      </w:r>
      <w:r w:rsidR="001A6C27">
        <w:rPr>
          <w:rFonts w:eastAsia="Times New Roman"/>
          <w:lang w:eastAsia="en-AU"/>
        </w:rPr>
        <w:t xml:space="preserve">current WES and </w:t>
      </w:r>
      <w:r w:rsidR="00C65EDB">
        <w:rPr>
          <w:rFonts w:eastAsia="Times New Roman"/>
          <w:lang w:eastAsia="en-AU"/>
        </w:rPr>
        <w:t xml:space="preserve">proposed </w:t>
      </w:r>
      <w:r w:rsidR="0097191F">
        <w:rPr>
          <w:rFonts w:eastAsia="Times New Roman"/>
          <w:lang w:eastAsia="en-AU"/>
        </w:rPr>
        <w:t>WEL</w:t>
      </w:r>
      <w:r w:rsidR="00C65EDB">
        <w:rPr>
          <w:rFonts w:eastAsia="Times New Roman"/>
          <w:lang w:eastAsia="en-AU"/>
        </w:rPr>
        <w:t xml:space="preserve"> </w:t>
      </w:r>
      <w:r w:rsidR="001A6C27">
        <w:rPr>
          <w:rFonts w:eastAsia="Times New Roman"/>
          <w:lang w:eastAsia="en-AU"/>
        </w:rPr>
        <w:t xml:space="preserve">for </w:t>
      </w:r>
      <w:r w:rsidR="00C65EDB">
        <w:rPr>
          <w:rFonts w:eastAsia="Times New Roman"/>
          <w:lang w:eastAsia="en-AU"/>
        </w:rPr>
        <w:t xml:space="preserve">each </w:t>
      </w:r>
      <w:r w:rsidR="001A6C27">
        <w:rPr>
          <w:rFonts w:eastAsia="Times New Roman"/>
          <w:lang w:eastAsia="en-AU"/>
        </w:rPr>
        <w:t xml:space="preserve">of the 9 chemicals </w:t>
      </w:r>
      <w:r w:rsidR="03C75197">
        <w:rPr>
          <w:rFonts w:eastAsia="Times New Roman"/>
          <w:lang w:eastAsia="en-AU"/>
        </w:rPr>
        <w:t>considered in</w:t>
      </w:r>
      <w:r w:rsidR="001A6C27">
        <w:rPr>
          <w:rFonts w:eastAsia="Times New Roman"/>
          <w:lang w:eastAsia="en-AU"/>
        </w:rPr>
        <w:t xml:space="preserve"> this </w:t>
      </w:r>
      <w:r w:rsidR="67653381">
        <w:rPr>
          <w:rFonts w:eastAsia="Times New Roman"/>
          <w:lang w:eastAsia="en-AU"/>
        </w:rPr>
        <w:t>Decision RIS</w:t>
      </w:r>
      <w:r w:rsidR="00C65EDB">
        <w:rPr>
          <w:rFonts w:eastAsia="Times New Roman"/>
          <w:lang w:eastAsia="en-AU"/>
        </w:rPr>
        <w:t xml:space="preserve">. </w:t>
      </w:r>
    </w:p>
    <w:p w14:paraId="7012634C" w14:textId="77777777" w:rsidR="00696CE1" w:rsidRPr="00696CE1" w:rsidRDefault="00696CE1" w:rsidP="00696CE1">
      <w:pPr>
        <w:spacing w:line="240" w:lineRule="atLeast"/>
        <w:contextualSpacing w:val="0"/>
        <w:rPr>
          <w:rFonts w:eastAsia="Times New Roman"/>
          <w:lang w:eastAsia="en-AU"/>
        </w:rPr>
      </w:pPr>
      <w:r w:rsidRPr="00696CE1">
        <w:rPr>
          <w:rFonts w:eastAsia="Times New Roman"/>
          <w:lang w:eastAsia="en-AU"/>
        </w:rPr>
        <w:t>There are three types of exposure standards used within the WES and WEL lists:</w:t>
      </w:r>
    </w:p>
    <w:p w14:paraId="0C78581E" w14:textId="36C98DDE" w:rsidR="00696CE1" w:rsidRPr="00696CE1" w:rsidRDefault="001E0213" w:rsidP="00A2768E">
      <w:pPr>
        <w:pStyle w:val="ListParagraph"/>
        <w:numPr>
          <w:ilvl w:val="0"/>
          <w:numId w:val="74"/>
        </w:numPr>
        <w:spacing w:line="240" w:lineRule="atLeast"/>
        <w:ind w:left="851" w:hanging="491"/>
        <w:contextualSpacing w:val="0"/>
        <w:rPr>
          <w:rFonts w:eastAsia="Times New Roman"/>
          <w:lang w:eastAsia="en-AU"/>
        </w:rPr>
      </w:pPr>
      <w:r w:rsidRPr="00696CE1">
        <w:rPr>
          <w:rFonts w:eastAsia="Times New Roman"/>
          <w:lang w:eastAsia="en-AU"/>
        </w:rPr>
        <w:t>Eight-hour time weighted average (TWA) is the maximum average airborne concentration of a</w:t>
      </w:r>
      <w:r>
        <w:rPr>
          <w:rFonts w:eastAsia="Times New Roman"/>
          <w:lang w:eastAsia="en-AU"/>
        </w:rPr>
        <w:t>n airborne contaminant</w:t>
      </w:r>
      <w:r w:rsidRPr="00696CE1" w:rsidDel="001E0213">
        <w:rPr>
          <w:rFonts w:eastAsia="Times New Roman"/>
          <w:lang w:eastAsia="en-AU"/>
        </w:rPr>
        <w:t xml:space="preserve"> </w:t>
      </w:r>
      <w:r w:rsidRPr="00696CE1">
        <w:rPr>
          <w:rFonts w:eastAsia="Times New Roman"/>
          <w:lang w:eastAsia="en-AU"/>
        </w:rPr>
        <w:t>when calculated over an eight-hour working day, for a five-day working week.</w:t>
      </w:r>
      <w:r w:rsidR="00696CE1" w:rsidRPr="00696CE1">
        <w:rPr>
          <w:rFonts w:eastAsia="Times New Roman"/>
          <w:lang w:eastAsia="en-AU"/>
        </w:rPr>
        <w:t xml:space="preserve"> </w:t>
      </w:r>
    </w:p>
    <w:p w14:paraId="7FD933F6" w14:textId="42AB27DC" w:rsidR="00696CE1" w:rsidRPr="00696CE1" w:rsidRDefault="00696CE1" w:rsidP="00A2768E">
      <w:pPr>
        <w:pStyle w:val="ListParagraph"/>
        <w:numPr>
          <w:ilvl w:val="0"/>
          <w:numId w:val="74"/>
        </w:numPr>
        <w:spacing w:line="240" w:lineRule="atLeast"/>
        <w:ind w:left="851" w:hanging="491"/>
        <w:contextualSpacing w:val="0"/>
        <w:rPr>
          <w:rFonts w:eastAsia="Times New Roman"/>
          <w:lang w:eastAsia="en-AU"/>
        </w:rPr>
      </w:pPr>
      <w:r w:rsidRPr="00696CE1">
        <w:rPr>
          <w:rFonts w:eastAsia="Times New Roman"/>
          <w:lang w:eastAsia="en-AU"/>
        </w:rPr>
        <w:t>Short term exposure limit (STEL) is the time weighted average maximum airborne concentration of a</w:t>
      </w:r>
      <w:r w:rsidR="004B515F">
        <w:rPr>
          <w:rFonts w:eastAsia="Times New Roman"/>
          <w:lang w:eastAsia="en-AU"/>
        </w:rPr>
        <w:t>n airborne contaminant</w:t>
      </w:r>
      <w:r w:rsidRPr="00696CE1" w:rsidDel="004B515F">
        <w:rPr>
          <w:rFonts w:eastAsia="Times New Roman"/>
          <w:lang w:eastAsia="en-AU"/>
        </w:rPr>
        <w:t xml:space="preserve"> </w:t>
      </w:r>
      <w:r w:rsidRPr="00696CE1">
        <w:rPr>
          <w:rFonts w:eastAsia="Times New Roman"/>
          <w:lang w:eastAsia="en-AU"/>
        </w:rPr>
        <w:t>calculated over a 15-minute period.</w:t>
      </w:r>
    </w:p>
    <w:p w14:paraId="4AAB65FE" w14:textId="2793C42C" w:rsidR="00696CE1" w:rsidRPr="00696CE1" w:rsidRDefault="001E0213" w:rsidP="00A2768E">
      <w:pPr>
        <w:pStyle w:val="ListParagraph"/>
        <w:numPr>
          <w:ilvl w:val="0"/>
          <w:numId w:val="74"/>
        </w:numPr>
        <w:spacing w:line="240" w:lineRule="atLeast"/>
        <w:ind w:left="851" w:hanging="491"/>
        <w:contextualSpacing w:val="0"/>
        <w:rPr>
          <w:rFonts w:eastAsia="Times New Roman"/>
          <w:lang w:eastAsia="en-AU"/>
        </w:rPr>
      </w:pPr>
      <w:r w:rsidRPr="00696CE1">
        <w:rPr>
          <w:rFonts w:eastAsia="Times New Roman"/>
          <w:lang w:eastAsia="en-AU"/>
        </w:rPr>
        <w:t>Peak limitation is the</w:t>
      </w:r>
      <w:r w:rsidR="00DC598B">
        <w:rPr>
          <w:rFonts w:eastAsia="Times New Roman"/>
          <w:lang w:eastAsia="en-AU"/>
        </w:rPr>
        <w:t xml:space="preserve"> maximum or</w:t>
      </w:r>
      <w:r w:rsidRPr="00696CE1">
        <w:rPr>
          <w:rFonts w:eastAsia="Times New Roman"/>
          <w:lang w:eastAsia="en-AU"/>
        </w:rPr>
        <w:t xml:space="preserve"> peak concentration of a</w:t>
      </w:r>
      <w:r w:rsidR="004A232D">
        <w:rPr>
          <w:rFonts w:eastAsia="Times New Roman"/>
          <w:lang w:eastAsia="en-AU"/>
        </w:rPr>
        <w:t>n airborne contaminant</w:t>
      </w:r>
      <w:r w:rsidRPr="00696CE1">
        <w:rPr>
          <w:rFonts w:eastAsia="Times New Roman"/>
          <w:lang w:eastAsia="en-AU"/>
        </w:rPr>
        <w:t xml:space="preserve"> </w:t>
      </w:r>
      <w:r w:rsidR="00341C2F">
        <w:rPr>
          <w:rFonts w:eastAsia="Times New Roman"/>
          <w:lang w:eastAsia="en-AU"/>
        </w:rPr>
        <w:t>measured</w:t>
      </w:r>
      <w:r w:rsidRPr="00696CE1">
        <w:rPr>
          <w:rFonts w:eastAsia="Times New Roman"/>
          <w:lang w:eastAsia="en-AU"/>
        </w:rPr>
        <w:t xml:space="preserve"> over the shortest analytically practicable period of time</w:t>
      </w:r>
      <w:r w:rsidR="001028E3">
        <w:rPr>
          <w:rFonts w:eastAsia="Times New Roman"/>
          <w:lang w:eastAsia="en-AU"/>
        </w:rPr>
        <w:t xml:space="preserve"> and</w:t>
      </w:r>
      <w:r w:rsidRPr="00696CE1">
        <w:rPr>
          <w:rFonts w:eastAsia="Times New Roman"/>
          <w:lang w:eastAsia="en-AU"/>
        </w:rPr>
        <w:t xml:space="preserve"> not exceed</w:t>
      </w:r>
      <w:r w:rsidR="001028E3">
        <w:rPr>
          <w:rFonts w:eastAsia="Times New Roman"/>
          <w:lang w:eastAsia="en-AU"/>
        </w:rPr>
        <w:t>ing</w:t>
      </w:r>
      <w:r w:rsidRPr="00696CE1">
        <w:rPr>
          <w:rFonts w:eastAsia="Times New Roman"/>
          <w:lang w:eastAsia="en-AU"/>
        </w:rPr>
        <w:t xml:space="preserve"> 15 minutes</w:t>
      </w:r>
      <w:r>
        <w:rPr>
          <w:rFonts w:eastAsia="Times New Roman"/>
          <w:lang w:eastAsia="en-AU"/>
        </w:rPr>
        <w:t>.</w:t>
      </w:r>
    </w:p>
    <w:p w14:paraId="4F641C8B" w14:textId="4731DE0A" w:rsidR="0014308F" w:rsidRPr="009911EB" w:rsidRDefault="00696CE1" w:rsidP="00CA6B6E">
      <w:pPr>
        <w:spacing w:line="240" w:lineRule="atLeast"/>
        <w:contextualSpacing w:val="0"/>
        <w:rPr>
          <w:rFonts w:eastAsia="Times New Roman"/>
          <w:b/>
          <w:bCs/>
          <w:lang w:eastAsia="en-AU"/>
        </w:rPr>
      </w:pPr>
      <w:r w:rsidRPr="00696CE1">
        <w:rPr>
          <w:rFonts w:eastAsia="Times New Roman"/>
          <w:lang w:eastAsia="en-AU"/>
        </w:rPr>
        <w:t>The limits are present as either parts per million (ppm) or milligrams per cubic metre (mg/m</w:t>
      </w:r>
      <w:r w:rsidRPr="008B69BB">
        <w:rPr>
          <w:rFonts w:eastAsia="Times New Roman"/>
          <w:vertAlign w:val="superscript"/>
          <w:lang w:eastAsia="en-AU"/>
        </w:rPr>
        <w:t>3</w:t>
      </w:r>
      <w:r w:rsidRPr="00696CE1">
        <w:rPr>
          <w:rFonts w:eastAsia="Times New Roman"/>
          <w:lang w:eastAsia="en-AU"/>
        </w:rPr>
        <w:t>).</w:t>
      </w:r>
    </w:p>
    <w:p w14:paraId="79D7DF20" w14:textId="315F441D" w:rsidR="008B69BB" w:rsidRDefault="008B69BB" w:rsidP="008B69BB">
      <w:pPr>
        <w:pStyle w:val="Caption"/>
      </w:pPr>
      <w:bookmarkStart w:id="32" w:name="_Ref199839947"/>
      <w:r>
        <w:t xml:space="preserve">Table </w:t>
      </w:r>
      <w:fldSimple w:instr=" SEQ Table \* ARABIC ">
        <w:r w:rsidR="00A002F4">
          <w:rPr>
            <w:noProof/>
          </w:rPr>
          <w:t>3</w:t>
        </w:r>
      </w:fldSimple>
      <w:bookmarkEnd w:id="32"/>
      <w:r>
        <w:t xml:space="preserve"> - </w:t>
      </w:r>
      <w:r w:rsidRPr="009B5DC5">
        <w:t>List of 9 chemicals subject to a regulatory impact analysis, their current workplace exposure standards and proposed work exposure limits</w:t>
      </w:r>
    </w:p>
    <w:tbl>
      <w:tblPr>
        <w:tblStyle w:val="TableGrid"/>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3258"/>
        <w:gridCol w:w="3971"/>
      </w:tblGrid>
      <w:tr w:rsidR="0014308F" w:rsidRPr="009911EB" w14:paraId="6BEB3EA2" w14:textId="77777777" w:rsidTr="00AC0F1D">
        <w:trPr>
          <w:trHeight w:val="277"/>
          <w:tblHeader/>
        </w:trPr>
        <w:tc>
          <w:tcPr>
            <w:tcW w:w="2122" w:type="dxa"/>
            <w:shd w:val="clear" w:color="auto" w:fill="4877E0" w:themeFill="accent1"/>
          </w:tcPr>
          <w:p w14:paraId="4EA7CE45" w14:textId="77777777" w:rsidR="0014308F" w:rsidRPr="009911EB" w:rsidRDefault="0014308F" w:rsidP="00CA6B6E">
            <w:pPr>
              <w:spacing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Chemical</w:t>
            </w:r>
          </w:p>
        </w:tc>
        <w:tc>
          <w:tcPr>
            <w:tcW w:w="3258" w:type="dxa"/>
            <w:shd w:val="clear" w:color="auto" w:fill="4877E0" w:themeFill="accent1"/>
          </w:tcPr>
          <w:p w14:paraId="16A11BBD" w14:textId="77777777" w:rsidR="0014308F" w:rsidRPr="009911EB" w:rsidRDefault="0014308F" w:rsidP="00CA6B6E">
            <w:pPr>
              <w:spacing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Current WES (Option 1)</w:t>
            </w:r>
          </w:p>
        </w:tc>
        <w:tc>
          <w:tcPr>
            <w:tcW w:w="3971" w:type="dxa"/>
            <w:shd w:val="clear" w:color="auto" w:fill="4877E0" w:themeFill="accent1"/>
          </w:tcPr>
          <w:p w14:paraId="3DB1E000" w14:textId="77777777" w:rsidR="0014308F" w:rsidRPr="009911EB" w:rsidRDefault="0014308F" w:rsidP="00CA6B6E">
            <w:pPr>
              <w:spacing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Proposed WEL (Option 2)</w:t>
            </w:r>
          </w:p>
        </w:tc>
      </w:tr>
      <w:tr w:rsidR="002C790E" w:rsidRPr="009911EB" w14:paraId="32C6B3A0" w14:textId="77777777" w:rsidTr="00AC0F1D">
        <w:trPr>
          <w:trHeight w:val="383"/>
        </w:trPr>
        <w:tc>
          <w:tcPr>
            <w:tcW w:w="2122" w:type="dxa"/>
          </w:tcPr>
          <w:p w14:paraId="3ACEB680"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Benzene</w:t>
            </w:r>
          </w:p>
        </w:tc>
        <w:tc>
          <w:tcPr>
            <w:tcW w:w="3258" w:type="dxa"/>
          </w:tcPr>
          <w:p w14:paraId="273C2AD6" w14:textId="3BB2ABDC"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1 ppm (3.2 mg/m</w:t>
            </w:r>
            <w:r w:rsidRPr="009911EB">
              <w:rPr>
                <w:rFonts w:eastAsia="Times New Roman"/>
                <w:vertAlign w:val="superscript"/>
                <w:lang w:eastAsia="en-AU"/>
              </w:rPr>
              <w:t>3</w:t>
            </w:r>
            <w:r w:rsidRPr="009911EB">
              <w:rPr>
                <w:rFonts w:eastAsia="Times New Roman"/>
                <w:lang w:eastAsia="en-AU"/>
              </w:rPr>
              <w:t>)</w:t>
            </w:r>
          </w:p>
        </w:tc>
        <w:tc>
          <w:tcPr>
            <w:tcW w:w="3971" w:type="dxa"/>
          </w:tcPr>
          <w:p w14:paraId="4A442184"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0.2 ppm (0.7 mg/m</w:t>
            </w:r>
            <w:r w:rsidRPr="009911EB">
              <w:rPr>
                <w:rFonts w:eastAsia="Times New Roman"/>
                <w:vertAlign w:val="superscript"/>
                <w:lang w:eastAsia="en-AU"/>
              </w:rPr>
              <w:t>3</w:t>
            </w:r>
            <w:r w:rsidRPr="009911EB">
              <w:rPr>
                <w:rFonts w:eastAsia="Times New Roman"/>
                <w:lang w:eastAsia="en-AU"/>
              </w:rPr>
              <w:t>)</w:t>
            </w:r>
          </w:p>
        </w:tc>
      </w:tr>
      <w:tr w:rsidR="0014308F" w:rsidRPr="009911EB" w14:paraId="77E98002" w14:textId="77777777" w:rsidTr="00AC0F1D">
        <w:trPr>
          <w:trHeight w:val="300"/>
        </w:trPr>
        <w:tc>
          <w:tcPr>
            <w:tcW w:w="2122" w:type="dxa"/>
            <w:shd w:val="clear" w:color="auto" w:fill="DAE3F8" w:themeFill="accent1" w:themeFillTint="33"/>
          </w:tcPr>
          <w:p w14:paraId="0BE5BF78"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Chlorine</w:t>
            </w:r>
          </w:p>
        </w:tc>
        <w:tc>
          <w:tcPr>
            <w:tcW w:w="3258" w:type="dxa"/>
            <w:shd w:val="clear" w:color="auto" w:fill="DAE3F8" w:themeFill="accent1" w:themeFillTint="33"/>
          </w:tcPr>
          <w:p w14:paraId="07EF16DE" w14:textId="770708C9"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Peak limitation: 1 ppm (3 mg/m</w:t>
            </w:r>
            <w:r w:rsidRPr="009911EB">
              <w:rPr>
                <w:rFonts w:eastAsia="Times New Roman"/>
                <w:vertAlign w:val="superscript"/>
                <w:lang w:eastAsia="en-AU"/>
              </w:rPr>
              <w:t>3</w:t>
            </w:r>
            <w:r w:rsidRPr="009911EB">
              <w:rPr>
                <w:rFonts w:eastAsia="Times New Roman"/>
                <w:lang w:eastAsia="en-AU"/>
              </w:rPr>
              <w:t>)</w:t>
            </w:r>
          </w:p>
        </w:tc>
        <w:tc>
          <w:tcPr>
            <w:tcW w:w="3971" w:type="dxa"/>
            <w:shd w:val="clear" w:color="auto" w:fill="DAE3F8" w:themeFill="accent1" w:themeFillTint="33"/>
          </w:tcPr>
          <w:p w14:paraId="7A4D05EE"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0.1 ppm (0.29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Peak limitation: 0.4 ppm (1.16 mg/m</w:t>
            </w:r>
            <w:r w:rsidRPr="009911EB">
              <w:rPr>
                <w:rFonts w:eastAsia="Times New Roman"/>
                <w:vertAlign w:val="superscript"/>
                <w:lang w:eastAsia="en-AU"/>
              </w:rPr>
              <w:t>3</w:t>
            </w:r>
            <w:r w:rsidRPr="009911EB">
              <w:rPr>
                <w:rFonts w:eastAsia="Times New Roman"/>
                <w:lang w:eastAsia="en-AU"/>
              </w:rPr>
              <w:t>)</w:t>
            </w:r>
          </w:p>
        </w:tc>
      </w:tr>
      <w:tr w:rsidR="002C790E" w:rsidRPr="009911EB" w14:paraId="22F72FFC" w14:textId="77777777" w:rsidTr="00AC0F1D">
        <w:trPr>
          <w:trHeight w:val="300"/>
        </w:trPr>
        <w:tc>
          <w:tcPr>
            <w:tcW w:w="2122" w:type="dxa"/>
          </w:tcPr>
          <w:p w14:paraId="53E0B301"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 xml:space="preserve">Copper </w:t>
            </w:r>
          </w:p>
        </w:tc>
        <w:tc>
          <w:tcPr>
            <w:tcW w:w="3258" w:type="dxa"/>
          </w:tcPr>
          <w:p w14:paraId="6E4004F4"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0.2 mg/m</w:t>
            </w:r>
            <w:r w:rsidRPr="009911EB">
              <w:rPr>
                <w:rFonts w:eastAsia="Times New Roman"/>
                <w:vertAlign w:val="superscript"/>
                <w:lang w:eastAsia="en-AU"/>
              </w:rPr>
              <w:t>3</w:t>
            </w:r>
            <w:r w:rsidRPr="009911EB">
              <w:rPr>
                <w:rFonts w:eastAsia="Times New Roman"/>
                <w:lang w:eastAsia="en-AU"/>
              </w:rPr>
              <w:t xml:space="preserve"> (for fumes)</w:t>
            </w:r>
            <w:r w:rsidRPr="009911EB">
              <w:rPr>
                <w:rFonts w:eastAsia="Times New Roman"/>
                <w:lang w:eastAsia="en-AU"/>
              </w:rPr>
              <w:br/>
              <w:t>TWA: 1 mg/m</w:t>
            </w:r>
            <w:r w:rsidRPr="009911EB">
              <w:rPr>
                <w:rFonts w:eastAsia="Times New Roman"/>
                <w:vertAlign w:val="superscript"/>
                <w:lang w:eastAsia="en-AU"/>
              </w:rPr>
              <w:t>3</w:t>
            </w:r>
            <w:r w:rsidRPr="009911EB">
              <w:rPr>
                <w:rFonts w:eastAsia="Times New Roman"/>
                <w:lang w:eastAsia="en-AU"/>
              </w:rPr>
              <w:t xml:space="preserve"> (for dusts and mists)</w:t>
            </w:r>
          </w:p>
        </w:tc>
        <w:tc>
          <w:tcPr>
            <w:tcW w:w="3971" w:type="dxa"/>
          </w:tcPr>
          <w:p w14:paraId="290AEB72" w14:textId="6068ECF2" w:rsidR="0014308F" w:rsidRPr="009911EB" w:rsidRDefault="0014308F" w:rsidP="1BEECE07">
            <w:pPr>
              <w:spacing w:line="240" w:lineRule="atLeast"/>
              <w:rPr>
                <w:rFonts w:eastAsia="Times New Roman"/>
                <w:lang w:eastAsia="en-AU"/>
              </w:rPr>
            </w:pPr>
            <w:r w:rsidRPr="009911EB">
              <w:rPr>
                <w:rFonts w:eastAsia="Times New Roman"/>
                <w:lang w:eastAsia="en-AU"/>
              </w:rPr>
              <w:t>TWA: 0.01 mg/m</w:t>
            </w:r>
            <w:r w:rsidRPr="009911EB">
              <w:rPr>
                <w:rFonts w:eastAsia="Times New Roman"/>
                <w:vertAlign w:val="superscript"/>
                <w:lang w:eastAsia="en-AU"/>
              </w:rPr>
              <w:t>3</w:t>
            </w:r>
            <w:r w:rsidRPr="009911EB">
              <w:rPr>
                <w:rFonts w:eastAsia="Times New Roman"/>
                <w:lang w:eastAsia="en-AU"/>
              </w:rPr>
              <w:t xml:space="preserve"> (</w:t>
            </w:r>
            <w:r w:rsidR="68BC5802" w:rsidRPr="18E072AB">
              <w:rPr>
                <w:rFonts w:eastAsia="Times New Roman"/>
                <w:lang w:eastAsia="en-AU"/>
              </w:rPr>
              <w:t xml:space="preserve">respirable; </w:t>
            </w:r>
            <w:r w:rsidR="3333C46C" w:rsidRPr="18E072AB">
              <w:rPr>
                <w:rFonts w:eastAsia="Times New Roman"/>
                <w:lang w:eastAsia="en-AU"/>
              </w:rPr>
              <w:t>all</w:t>
            </w:r>
            <w:r w:rsidRPr="009911EB">
              <w:rPr>
                <w:rFonts w:eastAsia="Times New Roman"/>
                <w:lang w:eastAsia="en-AU"/>
              </w:rPr>
              <w:t xml:space="preserve"> forms)</w:t>
            </w:r>
          </w:p>
        </w:tc>
      </w:tr>
      <w:tr w:rsidR="0014308F" w:rsidRPr="009911EB" w14:paraId="378657A3" w14:textId="77777777" w:rsidTr="00AC0F1D">
        <w:trPr>
          <w:trHeight w:val="300"/>
        </w:trPr>
        <w:tc>
          <w:tcPr>
            <w:tcW w:w="2122" w:type="dxa"/>
            <w:shd w:val="clear" w:color="auto" w:fill="DAE3F8" w:themeFill="accent1" w:themeFillTint="33"/>
          </w:tcPr>
          <w:p w14:paraId="7FF89987"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Formaldehyde</w:t>
            </w:r>
          </w:p>
        </w:tc>
        <w:tc>
          <w:tcPr>
            <w:tcW w:w="3258" w:type="dxa"/>
            <w:shd w:val="clear" w:color="auto" w:fill="DAE3F8" w:themeFill="accent1" w:themeFillTint="33"/>
          </w:tcPr>
          <w:p w14:paraId="7F26DF14" w14:textId="6EAADD1C"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1 ppm (1.2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2 ppm (2.5 mg/m</w:t>
            </w:r>
            <w:r w:rsidRPr="009911EB">
              <w:rPr>
                <w:rFonts w:eastAsia="Times New Roman"/>
                <w:vertAlign w:val="superscript"/>
                <w:lang w:eastAsia="en-AU"/>
              </w:rPr>
              <w:t>3</w:t>
            </w:r>
            <w:r w:rsidRPr="009911EB">
              <w:rPr>
                <w:rFonts w:eastAsia="Times New Roman"/>
                <w:lang w:eastAsia="en-AU"/>
              </w:rPr>
              <w:t>)</w:t>
            </w:r>
          </w:p>
        </w:tc>
        <w:tc>
          <w:tcPr>
            <w:tcW w:w="3971" w:type="dxa"/>
            <w:shd w:val="clear" w:color="auto" w:fill="DAE3F8" w:themeFill="accent1" w:themeFillTint="33"/>
          </w:tcPr>
          <w:p w14:paraId="1148F908"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0.3 ppm (0.369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0.6 ppm (0.738 mg/m</w:t>
            </w:r>
            <w:r w:rsidRPr="009911EB">
              <w:rPr>
                <w:rFonts w:eastAsia="Times New Roman"/>
                <w:vertAlign w:val="superscript"/>
                <w:lang w:eastAsia="en-AU"/>
              </w:rPr>
              <w:t>3</w:t>
            </w:r>
            <w:r w:rsidRPr="009911EB">
              <w:rPr>
                <w:rFonts w:eastAsia="Times New Roman"/>
                <w:lang w:eastAsia="en-AU"/>
              </w:rPr>
              <w:t>)</w:t>
            </w:r>
          </w:p>
        </w:tc>
      </w:tr>
      <w:tr w:rsidR="002C790E" w:rsidRPr="009911EB" w14:paraId="059F4742" w14:textId="77777777" w:rsidTr="00AC0F1D">
        <w:trPr>
          <w:trHeight w:val="300"/>
        </w:trPr>
        <w:tc>
          <w:tcPr>
            <w:tcW w:w="2122" w:type="dxa"/>
          </w:tcPr>
          <w:p w14:paraId="37DCD6BE"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Hydrogen cyanide</w:t>
            </w:r>
          </w:p>
        </w:tc>
        <w:tc>
          <w:tcPr>
            <w:tcW w:w="3258" w:type="dxa"/>
          </w:tcPr>
          <w:p w14:paraId="2E26F84A"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Peak limitation: 10 ppm (11 mg/m</w:t>
            </w:r>
            <w:r w:rsidRPr="009911EB">
              <w:rPr>
                <w:rFonts w:eastAsia="Times New Roman"/>
                <w:vertAlign w:val="superscript"/>
                <w:lang w:eastAsia="en-AU"/>
              </w:rPr>
              <w:t>3</w:t>
            </w:r>
            <w:r w:rsidRPr="009911EB">
              <w:rPr>
                <w:rFonts w:eastAsia="Times New Roman"/>
                <w:lang w:eastAsia="en-AU"/>
              </w:rPr>
              <w:t>)</w:t>
            </w:r>
          </w:p>
        </w:tc>
        <w:tc>
          <w:tcPr>
            <w:tcW w:w="3971" w:type="dxa"/>
          </w:tcPr>
          <w:p w14:paraId="280FEA61"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0.9 ppm (1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4.7 ppm (5 mg/m</w:t>
            </w:r>
            <w:r w:rsidRPr="009911EB">
              <w:rPr>
                <w:rFonts w:eastAsia="Times New Roman"/>
                <w:vertAlign w:val="superscript"/>
                <w:lang w:eastAsia="en-AU"/>
              </w:rPr>
              <w:t>3</w:t>
            </w:r>
            <w:r w:rsidRPr="009911EB">
              <w:rPr>
                <w:rFonts w:eastAsia="Times New Roman"/>
                <w:lang w:eastAsia="en-AU"/>
              </w:rPr>
              <w:t>)</w:t>
            </w:r>
          </w:p>
        </w:tc>
      </w:tr>
      <w:tr w:rsidR="0014308F" w:rsidRPr="009911EB" w14:paraId="17920B2B" w14:textId="77777777" w:rsidTr="00AC0F1D">
        <w:trPr>
          <w:trHeight w:val="300"/>
        </w:trPr>
        <w:tc>
          <w:tcPr>
            <w:tcW w:w="2122" w:type="dxa"/>
            <w:shd w:val="clear" w:color="auto" w:fill="DAE3F8" w:themeFill="accent1" w:themeFillTint="33"/>
          </w:tcPr>
          <w:p w14:paraId="4A7D7569"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Hydrogen sulfide</w:t>
            </w:r>
          </w:p>
        </w:tc>
        <w:tc>
          <w:tcPr>
            <w:tcW w:w="3258" w:type="dxa"/>
            <w:shd w:val="clear" w:color="auto" w:fill="DAE3F8" w:themeFill="accent1" w:themeFillTint="33"/>
          </w:tcPr>
          <w:p w14:paraId="4A0E0D18"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10 ppm (14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15 ppm (21 mg/m</w:t>
            </w:r>
            <w:r w:rsidRPr="009911EB">
              <w:rPr>
                <w:rFonts w:eastAsia="Times New Roman"/>
                <w:vertAlign w:val="superscript"/>
                <w:lang w:eastAsia="en-AU"/>
              </w:rPr>
              <w:t>3</w:t>
            </w:r>
            <w:r w:rsidRPr="009911EB">
              <w:rPr>
                <w:rFonts w:eastAsia="Times New Roman"/>
                <w:lang w:eastAsia="en-AU"/>
              </w:rPr>
              <w:t>)</w:t>
            </w:r>
          </w:p>
        </w:tc>
        <w:tc>
          <w:tcPr>
            <w:tcW w:w="3971" w:type="dxa"/>
            <w:shd w:val="clear" w:color="auto" w:fill="DAE3F8" w:themeFill="accent1" w:themeFillTint="33"/>
          </w:tcPr>
          <w:p w14:paraId="1819244B"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1 ppm (1.4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5 ppm (7 mg/m</w:t>
            </w:r>
            <w:r w:rsidRPr="009911EB">
              <w:rPr>
                <w:rFonts w:eastAsia="Times New Roman"/>
                <w:vertAlign w:val="superscript"/>
                <w:lang w:eastAsia="en-AU"/>
              </w:rPr>
              <w:t>3</w:t>
            </w:r>
            <w:r w:rsidRPr="009911EB">
              <w:rPr>
                <w:rFonts w:eastAsia="Times New Roman"/>
                <w:lang w:eastAsia="en-AU"/>
              </w:rPr>
              <w:t>)</w:t>
            </w:r>
          </w:p>
        </w:tc>
      </w:tr>
      <w:tr w:rsidR="002C790E" w:rsidRPr="009911EB" w14:paraId="2418F278" w14:textId="77777777" w:rsidTr="00AC0F1D">
        <w:trPr>
          <w:cantSplit/>
          <w:trHeight w:val="300"/>
        </w:trPr>
        <w:tc>
          <w:tcPr>
            <w:tcW w:w="2122" w:type="dxa"/>
          </w:tcPr>
          <w:p w14:paraId="58C333C1"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Nitrogen dioxide</w:t>
            </w:r>
          </w:p>
        </w:tc>
        <w:tc>
          <w:tcPr>
            <w:tcW w:w="3258" w:type="dxa"/>
          </w:tcPr>
          <w:p w14:paraId="53A569B9"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3 ppm (5.6 mg/m</w:t>
            </w:r>
            <w:r w:rsidRPr="009911EB">
              <w:rPr>
                <w:rFonts w:eastAsia="Times New Roman"/>
                <w:vertAlign w:val="superscript"/>
                <w:lang w:eastAsia="en-AU"/>
              </w:rPr>
              <w:t>3</w:t>
            </w:r>
            <w:r w:rsidRPr="009911EB">
              <w:rPr>
                <w:rFonts w:eastAsia="Times New Roman"/>
                <w:lang w:eastAsia="en-AU"/>
              </w:rPr>
              <w:t>)</w:t>
            </w:r>
            <w:r w:rsidRPr="009911EB">
              <w:rPr>
                <w:rFonts w:eastAsia="Times New Roman"/>
                <w:lang w:eastAsia="en-AU"/>
              </w:rPr>
              <w:br/>
              <w:t>STEL: 5 ppm (9.4 mg/m</w:t>
            </w:r>
            <w:r w:rsidRPr="009911EB">
              <w:rPr>
                <w:rFonts w:eastAsia="Times New Roman"/>
                <w:vertAlign w:val="superscript"/>
                <w:lang w:eastAsia="en-AU"/>
              </w:rPr>
              <w:t>3</w:t>
            </w:r>
            <w:r w:rsidRPr="009911EB">
              <w:rPr>
                <w:rFonts w:eastAsia="Times New Roman"/>
                <w:lang w:eastAsia="en-AU"/>
              </w:rPr>
              <w:t>)</w:t>
            </w:r>
          </w:p>
        </w:tc>
        <w:tc>
          <w:tcPr>
            <w:tcW w:w="3971" w:type="dxa"/>
          </w:tcPr>
          <w:p w14:paraId="0BD5CCA8"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0.2 ppm (0.38 mg/m</w:t>
            </w:r>
            <w:r w:rsidRPr="009911EB">
              <w:rPr>
                <w:rFonts w:eastAsia="Times New Roman"/>
                <w:vertAlign w:val="superscript"/>
                <w:lang w:eastAsia="en-AU"/>
              </w:rPr>
              <w:t>3</w:t>
            </w:r>
            <w:r w:rsidRPr="009911EB">
              <w:rPr>
                <w:rFonts w:eastAsia="Times New Roman"/>
                <w:lang w:eastAsia="en-AU"/>
              </w:rPr>
              <w:t>)</w:t>
            </w:r>
          </w:p>
        </w:tc>
      </w:tr>
      <w:tr w:rsidR="0014308F" w:rsidRPr="009911EB" w14:paraId="2F64E742" w14:textId="77777777" w:rsidTr="00AC0F1D">
        <w:trPr>
          <w:trHeight w:val="300"/>
        </w:trPr>
        <w:tc>
          <w:tcPr>
            <w:tcW w:w="2122" w:type="dxa"/>
            <w:shd w:val="clear" w:color="auto" w:fill="DAE3F8" w:themeFill="accent1" w:themeFillTint="33"/>
          </w:tcPr>
          <w:p w14:paraId="6C1AAA3A"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Respirable crystalline silica</w:t>
            </w:r>
            <w:r w:rsidRPr="009911EB">
              <w:rPr>
                <w:rFonts w:eastAsia="Times New Roman"/>
                <w:b/>
                <w:bCs/>
                <w:vertAlign w:val="superscript"/>
                <w:lang w:eastAsia="en-AU"/>
              </w:rPr>
              <w:footnoteReference w:id="8"/>
            </w:r>
          </w:p>
        </w:tc>
        <w:tc>
          <w:tcPr>
            <w:tcW w:w="3258" w:type="dxa"/>
            <w:shd w:val="clear" w:color="auto" w:fill="DAE3F8" w:themeFill="accent1" w:themeFillTint="33"/>
          </w:tcPr>
          <w:p w14:paraId="56015B98"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0.05 mg/m</w:t>
            </w:r>
            <w:r w:rsidRPr="009911EB">
              <w:rPr>
                <w:rFonts w:eastAsia="Times New Roman"/>
                <w:vertAlign w:val="superscript"/>
                <w:lang w:eastAsia="en-AU"/>
              </w:rPr>
              <w:t>3</w:t>
            </w:r>
          </w:p>
        </w:tc>
        <w:tc>
          <w:tcPr>
            <w:tcW w:w="3971" w:type="dxa"/>
            <w:shd w:val="clear" w:color="auto" w:fill="DAE3F8" w:themeFill="accent1" w:themeFillTint="33"/>
          </w:tcPr>
          <w:p w14:paraId="0D23BF0C"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0.025 mg/m</w:t>
            </w:r>
            <w:r w:rsidRPr="009911EB">
              <w:rPr>
                <w:rFonts w:eastAsia="Times New Roman"/>
                <w:vertAlign w:val="superscript"/>
                <w:lang w:eastAsia="en-AU"/>
              </w:rPr>
              <w:t>3</w:t>
            </w:r>
          </w:p>
        </w:tc>
      </w:tr>
      <w:tr w:rsidR="002C790E" w:rsidRPr="009911EB" w14:paraId="075C889B" w14:textId="77777777" w:rsidTr="00AC0F1D">
        <w:trPr>
          <w:trHeight w:val="300"/>
        </w:trPr>
        <w:tc>
          <w:tcPr>
            <w:tcW w:w="2122" w:type="dxa"/>
          </w:tcPr>
          <w:p w14:paraId="4D0895C9" w14:textId="77777777" w:rsidR="0014308F" w:rsidRPr="009911EB" w:rsidRDefault="0014308F" w:rsidP="00CA6B6E">
            <w:pPr>
              <w:spacing w:line="240" w:lineRule="atLeast"/>
              <w:contextualSpacing w:val="0"/>
              <w:rPr>
                <w:rFonts w:eastAsia="Times New Roman"/>
                <w:b/>
                <w:bCs/>
                <w:lang w:eastAsia="en-AU"/>
              </w:rPr>
            </w:pPr>
            <w:r w:rsidRPr="009911EB">
              <w:rPr>
                <w:rFonts w:eastAsia="Times New Roman"/>
                <w:b/>
                <w:bCs/>
                <w:lang w:eastAsia="en-AU"/>
              </w:rPr>
              <w:t>Titanium dioxide</w:t>
            </w:r>
          </w:p>
        </w:tc>
        <w:tc>
          <w:tcPr>
            <w:tcW w:w="3258" w:type="dxa"/>
          </w:tcPr>
          <w:p w14:paraId="5D670C72" w14:textId="77777777"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10 mg/m</w:t>
            </w:r>
            <w:r w:rsidRPr="009911EB">
              <w:rPr>
                <w:rFonts w:eastAsia="Times New Roman"/>
                <w:vertAlign w:val="superscript"/>
                <w:lang w:eastAsia="en-AU"/>
              </w:rPr>
              <w:t>3</w:t>
            </w:r>
          </w:p>
        </w:tc>
        <w:tc>
          <w:tcPr>
            <w:tcW w:w="3971" w:type="dxa"/>
          </w:tcPr>
          <w:p w14:paraId="555555BE" w14:textId="184A567C"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0.3 mg/m</w:t>
            </w:r>
            <w:r w:rsidRPr="009911EB">
              <w:rPr>
                <w:rFonts w:eastAsia="Times New Roman"/>
                <w:vertAlign w:val="superscript"/>
                <w:lang w:eastAsia="en-AU"/>
              </w:rPr>
              <w:t>3</w:t>
            </w:r>
            <w:r w:rsidRPr="009911EB">
              <w:rPr>
                <w:rFonts w:eastAsia="Times New Roman"/>
                <w:lang w:eastAsia="en-AU"/>
              </w:rPr>
              <w:t xml:space="preserve"> (respirable; ultrafine/nanoscale particles)</w:t>
            </w:r>
          </w:p>
          <w:p w14:paraId="45C73C2E" w14:textId="76E49A3A" w:rsidR="0014308F" w:rsidRPr="009911EB" w:rsidRDefault="0014308F" w:rsidP="00CA6B6E">
            <w:pPr>
              <w:spacing w:line="240" w:lineRule="atLeast"/>
              <w:contextualSpacing w:val="0"/>
              <w:rPr>
                <w:rFonts w:eastAsia="Times New Roman"/>
                <w:lang w:eastAsia="en-AU"/>
              </w:rPr>
            </w:pPr>
            <w:r w:rsidRPr="009911EB">
              <w:rPr>
                <w:rFonts w:eastAsia="Times New Roman"/>
                <w:lang w:eastAsia="en-AU"/>
              </w:rPr>
              <w:t>TWA: 2.4 mg/m</w:t>
            </w:r>
            <w:r w:rsidRPr="009911EB">
              <w:rPr>
                <w:rFonts w:eastAsia="Times New Roman"/>
                <w:vertAlign w:val="superscript"/>
                <w:lang w:eastAsia="en-AU"/>
              </w:rPr>
              <w:t>3</w:t>
            </w:r>
            <w:r w:rsidRPr="009911EB">
              <w:rPr>
                <w:rFonts w:eastAsia="Times New Roman"/>
                <w:lang w:eastAsia="en-AU"/>
              </w:rPr>
              <w:t xml:space="preserve"> (respirable; fine/pigmentary grade particles)</w:t>
            </w:r>
          </w:p>
        </w:tc>
      </w:tr>
    </w:tbl>
    <w:p w14:paraId="50B42509" w14:textId="77777777" w:rsidR="009911EB" w:rsidRPr="009911EB" w:rsidRDefault="009911EB" w:rsidP="00F779F9">
      <w:pPr>
        <w:pStyle w:val="SWAHeading2"/>
        <w:keepNext/>
        <w:ind w:left="709"/>
        <w:rPr>
          <w:lang w:eastAsia="en-AU"/>
        </w:rPr>
      </w:pPr>
      <w:bookmarkStart w:id="33" w:name="_Toc197676325"/>
      <w:bookmarkStart w:id="34" w:name="_Toc197676324"/>
      <w:bookmarkStart w:id="35" w:name="_Toc194509996"/>
      <w:bookmarkStart w:id="36" w:name="_Toc196204603"/>
      <w:bookmarkStart w:id="37" w:name="_Toc219216870"/>
      <w:bookmarkEnd w:id="33"/>
      <w:bookmarkEnd w:id="34"/>
      <w:r w:rsidRPr="009911EB">
        <w:rPr>
          <w:lang w:eastAsia="en-AU"/>
        </w:rPr>
        <w:lastRenderedPageBreak/>
        <w:t>Option 1 – Retain the current WES as the WEL</w:t>
      </w:r>
      <w:bookmarkEnd w:id="35"/>
      <w:bookmarkEnd w:id="36"/>
      <w:bookmarkEnd w:id="37"/>
    </w:p>
    <w:p w14:paraId="29FD9C51" w14:textId="769DF889" w:rsidR="009911EB" w:rsidRPr="009911EB" w:rsidRDefault="00BE6AF7" w:rsidP="009911EB">
      <w:pPr>
        <w:spacing w:before="120"/>
        <w:contextualSpacing w:val="0"/>
      </w:pPr>
      <w:r>
        <w:t>Under this option, t</w:t>
      </w:r>
      <w:r w:rsidR="009911EB" w:rsidRPr="009911EB">
        <w:t xml:space="preserve">he current WES </w:t>
      </w:r>
      <w:r w:rsidR="009911EB" w:rsidRPr="009A5365">
        <w:t xml:space="preserve">for each chemical, as outlined in </w:t>
      </w:r>
      <w:r w:rsidR="00815450">
        <w:fldChar w:fldCharType="begin"/>
      </w:r>
      <w:r w:rsidR="00815450">
        <w:instrText xml:space="preserve"> REF _Ref199839947 \h </w:instrText>
      </w:r>
      <w:r w:rsidR="00815450">
        <w:fldChar w:fldCharType="separate"/>
      </w:r>
      <w:r w:rsidR="00A002F4">
        <w:t xml:space="preserve">Table </w:t>
      </w:r>
      <w:r w:rsidR="00A002F4">
        <w:rPr>
          <w:noProof/>
        </w:rPr>
        <w:t>3</w:t>
      </w:r>
      <w:r w:rsidR="00815450">
        <w:fldChar w:fldCharType="end"/>
      </w:r>
      <w:r w:rsidR="009911EB" w:rsidRPr="009A5365">
        <w:t>, w</w:t>
      </w:r>
      <w:r w:rsidR="0011277C">
        <w:t>ould</w:t>
      </w:r>
      <w:r w:rsidR="009911EB" w:rsidRPr="009A5365">
        <w:t xml:space="preserve"> be retained as </w:t>
      </w:r>
      <w:r w:rsidRPr="009A5365">
        <w:t>the</w:t>
      </w:r>
      <w:r w:rsidR="009911EB" w:rsidRPr="009A5365">
        <w:t xml:space="preserve"> exposure limit in the WEL list. </w:t>
      </w:r>
      <w:r w:rsidR="00BE3015" w:rsidRPr="009A5365">
        <w:t>This</w:t>
      </w:r>
      <w:r w:rsidR="00BE3015" w:rsidRPr="009911EB">
        <w:t xml:space="preserve"> option represents the status quo.</w:t>
      </w:r>
    </w:p>
    <w:p w14:paraId="5EA4AE18" w14:textId="0F5A75E4" w:rsidR="00017DF7" w:rsidRDefault="00017DF7" w:rsidP="009911EB">
      <w:pPr>
        <w:spacing w:before="120"/>
        <w:contextualSpacing w:val="0"/>
      </w:pPr>
      <w:r>
        <w:t xml:space="preserve">This option would represent minimal impact to affected businesses </w:t>
      </w:r>
      <w:r w:rsidR="00BE6AF7">
        <w:t>as</w:t>
      </w:r>
      <w:r w:rsidR="00AB5A0F">
        <w:t xml:space="preserve"> the current </w:t>
      </w:r>
      <w:r w:rsidR="00AF5F3B">
        <w:t xml:space="preserve">workplace exposure standard </w:t>
      </w:r>
      <w:r w:rsidR="009D0DD9">
        <w:t>would continue to apply</w:t>
      </w:r>
      <w:r w:rsidR="00BB1FE4">
        <w:t xml:space="preserve"> (note,</w:t>
      </w:r>
      <w:r w:rsidR="005C2B83">
        <w:t xml:space="preserve"> this assumes that all </w:t>
      </w:r>
      <w:r w:rsidR="006C098A">
        <w:t xml:space="preserve">relevant </w:t>
      </w:r>
      <w:r w:rsidR="005C2B83">
        <w:t>business</w:t>
      </w:r>
      <w:r w:rsidR="00C849BD">
        <w:t>es</w:t>
      </w:r>
      <w:r w:rsidR="005C2B83">
        <w:t xml:space="preserve"> are currently meeting</w:t>
      </w:r>
      <w:r w:rsidR="006C098A">
        <w:t xml:space="preserve"> the existing</w:t>
      </w:r>
      <w:r w:rsidR="005C2B83">
        <w:t xml:space="preserve"> regulatory requirements</w:t>
      </w:r>
      <w:r w:rsidR="00BE6AF7">
        <w:t xml:space="preserve"> in relation to the WES</w:t>
      </w:r>
      <w:r w:rsidR="005C2B83">
        <w:t>)</w:t>
      </w:r>
      <w:r w:rsidR="009D0DD9">
        <w:t xml:space="preserve">.  </w:t>
      </w:r>
      <w:r>
        <w:t xml:space="preserve"> </w:t>
      </w:r>
    </w:p>
    <w:p w14:paraId="2D140A5C" w14:textId="5FF69DAE" w:rsidR="002F3450" w:rsidRDefault="00377E71" w:rsidP="00377E71">
      <w:pPr>
        <w:keepNext/>
        <w:keepLines/>
        <w:spacing w:before="120"/>
        <w:contextualSpacing w:val="0"/>
      </w:pPr>
      <w:r>
        <w:t>However, r</w:t>
      </w:r>
      <w:r w:rsidR="009911EB" w:rsidRPr="009911EB">
        <w:t xml:space="preserve">etaining the current WES for these chemicals </w:t>
      </w:r>
      <w:r w:rsidR="00B97B25">
        <w:t xml:space="preserve">is expected to </w:t>
      </w:r>
      <w:r w:rsidR="009911EB" w:rsidRPr="009911EB">
        <w:t xml:space="preserve">expose workers to levels </w:t>
      </w:r>
      <w:r w:rsidR="00B97B25">
        <w:t>of hazardous chemicals</w:t>
      </w:r>
      <w:r w:rsidR="009911EB" w:rsidRPr="009911EB">
        <w:t xml:space="preserve"> that may cause adverse health effect</w:t>
      </w:r>
      <w:r>
        <w:t>s</w:t>
      </w:r>
      <w:r w:rsidR="00B97B25">
        <w:t>, based on the latest available evidence</w:t>
      </w:r>
      <w:r w:rsidR="009911EB" w:rsidRPr="009911EB">
        <w:t xml:space="preserve">. </w:t>
      </w:r>
      <w:r w:rsidR="006A0B04" w:rsidRPr="009911EB">
        <w:t>Th</w:t>
      </w:r>
      <w:r w:rsidR="006A0B04">
        <w:t>erefore, th</w:t>
      </w:r>
      <w:r w:rsidR="009911EB" w:rsidRPr="009911EB">
        <w:t xml:space="preserve">is option </w:t>
      </w:r>
      <w:r w:rsidR="006C098A">
        <w:t>would</w:t>
      </w:r>
      <w:r w:rsidR="006C098A" w:rsidRPr="009911EB">
        <w:t xml:space="preserve"> </w:t>
      </w:r>
      <w:r>
        <w:t>be counter to</w:t>
      </w:r>
      <w:r w:rsidR="009911EB" w:rsidRPr="009911EB">
        <w:t xml:space="preserve"> the object of the model WHS Act.</w:t>
      </w:r>
    </w:p>
    <w:p w14:paraId="0162A54C" w14:textId="4FDD49AF" w:rsidR="009911EB" w:rsidRDefault="009911EB" w:rsidP="009C5725">
      <w:pPr>
        <w:spacing w:before="120"/>
        <w:contextualSpacing w:val="0"/>
      </w:pPr>
      <w:r w:rsidRPr="009911EB">
        <w:t xml:space="preserve">Retention of the current WES could also hinder PCBUs from complying with their primary duty </w:t>
      </w:r>
      <w:r w:rsidR="00C06313">
        <w:t xml:space="preserve">of care </w:t>
      </w:r>
      <w:r w:rsidRPr="009911EB">
        <w:t>under the model WHS Act</w:t>
      </w:r>
      <w:r w:rsidR="00820C43">
        <w:t>, which requires PCBUs</w:t>
      </w:r>
      <w:r w:rsidR="000F0D58">
        <w:t xml:space="preserve"> to ensure, so far is as reasonably practicable</w:t>
      </w:r>
      <w:r w:rsidRPr="009911EB">
        <w:t>,</w:t>
      </w:r>
      <w:r w:rsidR="000F0D58">
        <w:t xml:space="preserve"> the health and safety of workers </w:t>
      </w:r>
      <w:r w:rsidR="00BF2EAF">
        <w:t>and o</w:t>
      </w:r>
      <w:r w:rsidR="005A1C46">
        <w:t xml:space="preserve">thers in the workplace. This is </w:t>
      </w:r>
      <w:r w:rsidRPr="009911EB">
        <w:t xml:space="preserve">especially </w:t>
      </w:r>
      <w:r w:rsidR="00BA51F7">
        <w:t xml:space="preserve">true </w:t>
      </w:r>
      <w:r w:rsidRPr="009911EB">
        <w:t>knowing that</w:t>
      </w:r>
      <w:r w:rsidR="001A0D94">
        <w:t>,</w:t>
      </w:r>
      <w:r w:rsidRPr="009911EB">
        <w:t xml:space="preserve"> </w:t>
      </w:r>
      <w:r w:rsidR="0072557D" w:rsidRPr="009911EB">
        <w:t>based on current scientific evidence</w:t>
      </w:r>
      <w:r w:rsidR="001A0D94">
        <w:t>,</w:t>
      </w:r>
      <w:r w:rsidR="0072557D" w:rsidRPr="009911EB">
        <w:t xml:space="preserve"> </w:t>
      </w:r>
      <w:r w:rsidRPr="009911EB">
        <w:t xml:space="preserve">the current WES </w:t>
      </w:r>
      <w:r w:rsidR="57B614B5">
        <w:t xml:space="preserve">for these 9 chemicals </w:t>
      </w:r>
      <w:r w:rsidR="00DE2742">
        <w:t>is</w:t>
      </w:r>
      <w:r w:rsidRPr="009911EB">
        <w:t xml:space="preserve"> not protective of workers. </w:t>
      </w:r>
      <w:r w:rsidR="00DE2742">
        <w:t>B</w:t>
      </w:r>
      <w:r w:rsidR="00B130B0">
        <w:t xml:space="preserve">usinesses, workers and the broader community </w:t>
      </w:r>
      <w:r w:rsidR="63A364C1">
        <w:t xml:space="preserve">likely have </w:t>
      </w:r>
      <w:r w:rsidR="00211E0E">
        <w:t xml:space="preserve">an expectation that the WES is set at a safe level, however </w:t>
      </w:r>
      <w:r w:rsidR="00A04659">
        <w:t>this option does not reflect current evidence</w:t>
      </w:r>
      <w:r w:rsidR="004536BF">
        <w:t xml:space="preserve"> for safe levels of exposure</w:t>
      </w:r>
      <w:r w:rsidR="00A04659">
        <w:t xml:space="preserve">. </w:t>
      </w:r>
    </w:p>
    <w:p w14:paraId="6B4A3BC8" w14:textId="1130F09B" w:rsidR="0039709C" w:rsidRPr="009911EB" w:rsidRDefault="0063151E" w:rsidP="009911EB">
      <w:pPr>
        <w:spacing w:before="120"/>
        <w:contextualSpacing w:val="0"/>
      </w:pPr>
      <w:r>
        <w:t>Recognising this option is a continuation of existing arrangement, there are no specific timeframe considerations in relation to implementation.</w:t>
      </w:r>
    </w:p>
    <w:p w14:paraId="406C0E3B" w14:textId="19C7175A" w:rsidR="009911EB" w:rsidRPr="009911EB" w:rsidRDefault="009911EB" w:rsidP="001E0F11">
      <w:pPr>
        <w:pStyle w:val="SWAHeading2"/>
        <w:ind w:left="709"/>
      </w:pPr>
      <w:bookmarkStart w:id="38" w:name="_Toc194509997"/>
      <w:bookmarkStart w:id="39" w:name="_Toc196204604"/>
      <w:bookmarkStart w:id="40" w:name="_Toc219216871"/>
      <w:r w:rsidRPr="009911EB">
        <w:t xml:space="preserve">Option 2 </w:t>
      </w:r>
      <w:r w:rsidR="0063151E">
        <w:t>–</w:t>
      </w:r>
      <w:r w:rsidRPr="009911EB">
        <w:t xml:space="preserve"> </w:t>
      </w:r>
      <w:r w:rsidR="00A87E99">
        <w:t>C</w:t>
      </w:r>
      <w:r w:rsidR="0063151E" w:rsidRPr="0063151E">
        <w:t xml:space="preserve">hange to the proposed health-based WEL </w:t>
      </w:r>
      <w:r w:rsidR="007F66D2">
        <w:t>for</w:t>
      </w:r>
      <w:r w:rsidR="0063151E" w:rsidRPr="0063151E">
        <w:t xml:space="preserve"> the 9 chemicals</w:t>
      </w:r>
      <w:bookmarkEnd w:id="38"/>
      <w:bookmarkEnd w:id="39"/>
      <w:bookmarkEnd w:id="40"/>
    </w:p>
    <w:p w14:paraId="0C6ABB10" w14:textId="29DBA8AC" w:rsidR="009911EB" w:rsidRPr="0039709C" w:rsidRDefault="009911EB" w:rsidP="009911EB">
      <w:pPr>
        <w:keepNext/>
        <w:spacing w:after="200" w:line="240" w:lineRule="atLeast"/>
        <w:contextualSpacing w:val="0"/>
        <w:rPr>
          <w:rFonts w:eastAsia="Times New Roman"/>
          <w:lang w:eastAsia="en-AU"/>
        </w:rPr>
      </w:pPr>
      <w:r w:rsidRPr="0039709C">
        <w:rPr>
          <w:rFonts w:eastAsia="Times New Roman"/>
          <w:lang w:eastAsia="en-AU"/>
        </w:rPr>
        <w:t xml:space="preserve">Under this option, the exposure limit for each of the chemicals </w:t>
      </w:r>
      <w:r w:rsidR="00AC75D2">
        <w:rPr>
          <w:rFonts w:eastAsia="Times New Roman"/>
          <w:lang w:eastAsia="en-AU"/>
        </w:rPr>
        <w:t xml:space="preserve">would be </w:t>
      </w:r>
      <w:r w:rsidRPr="0039709C">
        <w:rPr>
          <w:rFonts w:eastAsia="Times New Roman"/>
          <w:lang w:eastAsia="en-AU"/>
        </w:rPr>
        <w:t xml:space="preserve">reduced to the proposed WEL outlined in </w:t>
      </w:r>
      <w:r w:rsidR="0068682B">
        <w:rPr>
          <w:rFonts w:eastAsia="Times New Roman"/>
          <w:lang w:eastAsia="en-AU"/>
        </w:rPr>
        <w:fldChar w:fldCharType="begin"/>
      </w:r>
      <w:r w:rsidR="0068682B">
        <w:rPr>
          <w:rFonts w:eastAsia="Times New Roman"/>
          <w:lang w:eastAsia="en-AU"/>
        </w:rPr>
        <w:instrText xml:space="preserve"> REF _Ref199839947 \h </w:instrText>
      </w:r>
      <w:r w:rsidR="0068682B">
        <w:rPr>
          <w:rFonts w:eastAsia="Times New Roman"/>
          <w:lang w:eastAsia="en-AU"/>
        </w:rPr>
      </w:r>
      <w:r w:rsidR="0068682B">
        <w:rPr>
          <w:rFonts w:eastAsia="Times New Roman"/>
          <w:lang w:eastAsia="en-AU"/>
        </w:rPr>
        <w:fldChar w:fldCharType="separate"/>
      </w:r>
      <w:r w:rsidR="00A002F4">
        <w:t xml:space="preserve">Table </w:t>
      </w:r>
      <w:r w:rsidR="00A002F4">
        <w:rPr>
          <w:noProof/>
        </w:rPr>
        <w:t>3</w:t>
      </w:r>
      <w:r w:rsidR="0068682B">
        <w:rPr>
          <w:rFonts w:eastAsia="Times New Roman"/>
          <w:lang w:eastAsia="en-AU"/>
        </w:rPr>
        <w:fldChar w:fldCharType="end"/>
      </w:r>
      <w:r w:rsidRPr="0039709C">
        <w:rPr>
          <w:rFonts w:eastAsia="Times New Roman"/>
          <w:lang w:eastAsia="en-AU"/>
        </w:rPr>
        <w:t>.</w:t>
      </w:r>
    </w:p>
    <w:p w14:paraId="1C8868D8" w14:textId="60188113" w:rsidR="00864CB3" w:rsidRDefault="00484F9C" w:rsidP="003979A3">
      <w:pPr>
        <w:spacing w:line="240" w:lineRule="atLeast"/>
        <w:contextualSpacing w:val="0"/>
      </w:pPr>
      <w:r>
        <w:t xml:space="preserve">This option would ensure that the WEL reflect latest </w:t>
      </w:r>
      <w:r w:rsidR="0076027B">
        <w:t xml:space="preserve">scientific </w:t>
      </w:r>
      <w:r>
        <w:t>evidence</w:t>
      </w:r>
      <w:r w:rsidR="0076027B">
        <w:t xml:space="preserve"> and therefore </w:t>
      </w:r>
      <w:r w:rsidR="0076027B" w:rsidRPr="0063151E">
        <w:t>provide the greatest protection to workers.</w:t>
      </w:r>
      <w:r w:rsidRPr="0063151E">
        <w:t xml:space="preserve"> </w:t>
      </w:r>
      <w:r w:rsidR="00282D9B">
        <w:t>Th</w:t>
      </w:r>
      <w:r w:rsidR="00E81176">
        <w:t xml:space="preserve">e </w:t>
      </w:r>
      <w:r w:rsidR="007E0D89">
        <w:t>health-based WEL for the 9 chemicals have been determined using the methodology agreed by WHS ministers and employed a weight of evidence approach</w:t>
      </w:r>
      <w:r w:rsidR="00A12FFD">
        <w:t xml:space="preserve">, </w:t>
      </w:r>
      <w:r w:rsidR="00F12F91">
        <w:t>considering</w:t>
      </w:r>
      <w:r w:rsidR="00A12FFD">
        <w:t xml:space="preserve"> information from agreed primary sources, supported by information from agreed secondary sources as appropriate. </w:t>
      </w:r>
      <w:r w:rsidR="003A566D" w:rsidRPr="0063151E">
        <w:t>This option would also support PCBUs in meeting their primary duty of care under the model WHS Act</w:t>
      </w:r>
      <w:r w:rsidR="007735A2">
        <w:t xml:space="preserve">. </w:t>
      </w:r>
      <w:r w:rsidR="00CA4020">
        <w:t>E</w:t>
      </w:r>
      <w:r w:rsidR="00731375">
        <w:t>nsur</w:t>
      </w:r>
      <w:r w:rsidR="00CA4020">
        <w:t>ing</w:t>
      </w:r>
      <w:r w:rsidR="009C5725">
        <w:t xml:space="preserve"> workers are not exposed to levels of these chemicals above </w:t>
      </w:r>
      <w:r w:rsidR="009B65DD">
        <w:t>the</w:t>
      </w:r>
      <w:r w:rsidR="009C5725">
        <w:t xml:space="preserve"> health-based </w:t>
      </w:r>
      <w:r w:rsidR="009B65DD">
        <w:t>WEL</w:t>
      </w:r>
      <w:r w:rsidR="00CA4020">
        <w:t xml:space="preserve"> </w:t>
      </w:r>
      <w:r w:rsidR="005C1113">
        <w:t xml:space="preserve">can be used to </w:t>
      </w:r>
      <w:r w:rsidR="00FE6C89">
        <w:t>support</w:t>
      </w:r>
      <w:r w:rsidR="005C1113">
        <w:t xml:space="preserve"> </w:t>
      </w:r>
      <w:r w:rsidR="00D134F1">
        <w:t>compliance with the primary duty</w:t>
      </w:r>
      <w:r w:rsidR="009C5725">
        <w:t>.</w:t>
      </w:r>
      <w:r w:rsidR="004138B6">
        <w:t xml:space="preserve"> </w:t>
      </w:r>
    </w:p>
    <w:p w14:paraId="0B178C86" w14:textId="099F1110" w:rsidR="003A566D" w:rsidRPr="0063151E" w:rsidRDefault="006F14E2" w:rsidP="003979A3">
      <w:pPr>
        <w:spacing w:line="240" w:lineRule="atLeast"/>
        <w:contextualSpacing w:val="0"/>
      </w:pPr>
      <w:r>
        <w:t>It also ensures that Australia’</w:t>
      </w:r>
      <w:r w:rsidR="00A147E8">
        <w:t>s</w:t>
      </w:r>
      <w:r>
        <w:t xml:space="preserve"> WEL for the 9 chemicals </w:t>
      </w:r>
      <w:r w:rsidR="00182345">
        <w:t xml:space="preserve">considered in </w:t>
      </w:r>
      <w:r w:rsidR="0051048B" w:rsidRPr="0051048B">
        <w:t xml:space="preserve">this Decision RIS </w:t>
      </w:r>
      <w:r>
        <w:t xml:space="preserve">are </w:t>
      </w:r>
      <w:r w:rsidR="00E63B0B">
        <w:t xml:space="preserve">aligned with </w:t>
      </w:r>
      <w:r w:rsidR="3A4FE38F">
        <w:t>i</w:t>
      </w:r>
      <w:r w:rsidR="00E63B0B">
        <w:t xml:space="preserve">nternational best practice. </w:t>
      </w:r>
      <w:r w:rsidR="00732E36">
        <w:t xml:space="preserve">International limits, both </w:t>
      </w:r>
      <w:r w:rsidR="000845D1">
        <w:t>mandatory</w:t>
      </w:r>
      <w:r w:rsidR="00732E36">
        <w:t xml:space="preserve"> and </w:t>
      </w:r>
      <w:r w:rsidR="000845D1">
        <w:t>advisory</w:t>
      </w:r>
      <w:r w:rsidR="00732E36">
        <w:t>, were considered for context.</w:t>
      </w:r>
    </w:p>
    <w:p w14:paraId="0A033A39" w14:textId="271CABEB" w:rsidR="003A566D" w:rsidRPr="0063151E" w:rsidRDefault="003A566D" w:rsidP="0051048B">
      <w:pPr>
        <w:spacing w:line="240" w:lineRule="auto"/>
        <w:contextualSpacing w:val="0"/>
        <w:textAlignment w:val="baseline"/>
        <w:rPr>
          <w:rFonts w:ascii="Segoe UI" w:eastAsia="Times New Roman" w:hAnsi="Segoe UI" w:cs="Segoe UI"/>
          <w:sz w:val="18"/>
          <w:szCs w:val="18"/>
          <w:lang w:eastAsia="en-AU"/>
        </w:rPr>
      </w:pPr>
      <w:r w:rsidRPr="0063151E">
        <w:rPr>
          <w:rFonts w:eastAsia="Times New Roman" w:cs="Arial"/>
          <w:szCs w:val="22"/>
          <w:lang w:eastAsia="en-AU"/>
        </w:rPr>
        <w:t xml:space="preserve">While businesses have </w:t>
      </w:r>
      <w:r w:rsidRPr="00170AA6">
        <w:rPr>
          <w:rFonts w:eastAsia="Times New Roman" w:cs="Arial"/>
          <w:szCs w:val="22"/>
          <w:lang w:eastAsia="en-AU"/>
        </w:rPr>
        <w:t xml:space="preserve">identified </w:t>
      </w:r>
      <w:r w:rsidR="00170AA6">
        <w:rPr>
          <w:rFonts w:eastAsia="Times New Roman" w:cs="Arial"/>
          <w:szCs w:val="22"/>
          <w:lang w:eastAsia="en-AU"/>
        </w:rPr>
        <w:t xml:space="preserve">significant </w:t>
      </w:r>
      <w:r w:rsidRPr="00170AA6">
        <w:rPr>
          <w:rFonts w:eastAsia="Times New Roman" w:cs="Arial"/>
          <w:szCs w:val="22"/>
          <w:lang w:eastAsia="en-AU"/>
        </w:rPr>
        <w:t>costs</w:t>
      </w:r>
      <w:r w:rsidRPr="0063151E">
        <w:rPr>
          <w:rFonts w:eastAsia="Times New Roman" w:cs="Arial"/>
          <w:szCs w:val="22"/>
          <w:lang w:eastAsia="en-AU"/>
        </w:rPr>
        <w:t xml:space="preserve"> associated with implementation of Option 2 for each of the chemicals, these </w:t>
      </w:r>
      <w:r w:rsidR="00D600E3">
        <w:rPr>
          <w:rFonts w:eastAsia="Times New Roman" w:cs="Arial"/>
          <w:szCs w:val="22"/>
          <w:lang w:eastAsia="en-AU"/>
        </w:rPr>
        <w:t xml:space="preserve">have been considered </w:t>
      </w:r>
      <w:r w:rsidR="00EF5627">
        <w:rPr>
          <w:rFonts w:eastAsia="Times New Roman" w:cs="Arial"/>
          <w:szCs w:val="22"/>
          <w:lang w:eastAsia="en-AU"/>
        </w:rPr>
        <w:t xml:space="preserve">in light of </w:t>
      </w:r>
      <w:r w:rsidRPr="0063151E">
        <w:rPr>
          <w:rFonts w:eastAsia="Times New Roman" w:cs="Arial"/>
          <w:szCs w:val="22"/>
          <w:lang w:eastAsia="en-AU"/>
        </w:rPr>
        <w:t>the significant benefits to workers, their families and the broader community.  </w:t>
      </w:r>
    </w:p>
    <w:p w14:paraId="5F884C41" w14:textId="29406EB1" w:rsidR="006A070A" w:rsidRPr="0063151E" w:rsidRDefault="006A070A" w:rsidP="003A566D">
      <w:pPr>
        <w:spacing w:line="240" w:lineRule="auto"/>
        <w:contextualSpacing w:val="0"/>
        <w:textAlignment w:val="baseline"/>
        <w:rPr>
          <w:rFonts w:eastAsia="Times New Roman" w:cs="Arial"/>
          <w:szCs w:val="22"/>
          <w:lang w:eastAsia="en-AU"/>
        </w:rPr>
      </w:pPr>
      <w:r w:rsidRPr="0063151E">
        <w:rPr>
          <w:rFonts w:eastAsia="Times New Roman" w:cs="Arial"/>
          <w:szCs w:val="22"/>
          <w:lang w:eastAsia="en-AU"/>
        </w:rPr>
        <w:t>This option</w:t>
      </w:r>
      <w:r w:rsidR="003A566D" w:rsidRPr="0063151E">
        <w:rPr>
          <w:rFonts w:eastAsia="Times New Roman" w:cs="Arial"/>
          <w:szCs w:val="22"/>
          <w:lang w:eastAsia="en-AU"/>
        </w:rPr>
        <w:t xml:space="preserve"> is expected to lead to a range of long-term benefits for workers including reduced illness and disease (physical and mental), </w:t>
      </w:r>
      <w:r w:rsidR="000B2C98">
        <w:rPr>
          <w:rFonts w:eastAsia="Times New Roman" w:cs="Arial"/>
          <w:szCs w:val="22"/>
          <w:lang w:eastAsia="en-AU"/>
        </w:rPr>
        <w:t xml:space="preserve">improved financial stability and outcomes, </w:t>
      </w:r>
      <w:r w:rsidR="003A566D" w:rsidRPr="0063151E">
        <w:rPr>
          <w:rFonts w:eastAsia="Times New Roman" w:cs="Arial"/>
          <w:szCs w:val="22"/>
          <w:lang w:eastAsia="en-AU"/>
        </w:rPr>
        <w:t xml:space="preserve">reduced disability and death, increased quality of life, and improved workplace productivity. </w:t>
      </w:r>
    </w:p>
    <w:p w14:paraId="38DD5EA5" w14:textId="283EDFBF" w:rsidR="003A566D" w:rsidRPr="0063151E" w:rsidRDefault="003A566D" w:rsidP="003A566D">
      <w:pPr>
        <w:spacing w:line="240" w:lineRule="auto"/>
        <w:contextualSpacing w:val="0"/>
        <w:textAlignment w:val="baseline"/>
        <w:rPr>
          <w:rFonts w:eastAsia="Times New Roman" w:cs="Arial"/>
          <w:szCs w:val="22"/>
          <w:lang w:eastAsia="en-AU"/>
        </w:rPr>
      </w:pPr>
      <w:r w:rsidRPr="0063151E">
        <w:rPr>
          <w:rFonts w:eastAsia="Times New Roman" w:cs="Arial"/>
          <w:szCs w:val="22"/>
          <w:lang w:eastAsia="en-AU"/>
        </w:rPr>
        <w:t xml:space="preserve">It is also expected that there would be reduced costs </w:t>
      </w:r>
      <w:r w:rsidR="006A070A" w:rsidRPr="0063151E">
        <w:rPr>
          <w:rFonts w:eastAsia="Times New Roman" w:cs="Arial"/>
          <w:szCs w:val="22"/>
          <w:lang w:eastAsia="en-AU"/>
        </w:rPr>
        <w:t xml:space="preserve">for governments, including </w:t>
      </w:r>
      <w:r w:rsidRPr="0063151E">
        <w:rPr>
          <w:rFonts w:eastAsia="Times New Roman" w:cs="Arial"/>
          <w:szCs w:val="22"/>
          <w:lang w:eastAsia="en-AU"/>
        </w:rPr>
        <w:t>to the public health system, relating to diagnosis, treatment and disease management. There are also direct and indirect benefits to workers’ families, friends and communities.  </w:t>
      </w:r>
    </w:p>
    <w:p w14:paraId="75971AA5" w14:textId="23B8468E" w:rsidR="009911EB" w:rsidRPr="009911EB" w:rsidRDefault="00B97629" w:rsidP="00076690">
      <w:pPr>
        <w:spacing w:line="240" w:lineRule="atLeast"/>
        <w:contextualSpacing w:val="0"/>
      </w:pPr>
      <w:r>
        <w:lastRenderedPageBreak/>
        <w:t xml:space="preserve">For </w:t>
      </w:r>
      <w:r w:rsidR="00941EEE">
        <w:t>consistency</w:t>
      </w:r>
      <w:r w:rsidR="00232795">
        <w:t xml:space="preserve"> with the transition to the WEL for other chemicals</w:t>
      </w:r>
      <w:r w:rsidR="00941EEE">
        <w:t xml:space="preserve">, </w:t>
      </w:r>
      <w:r w:rsidR="00D970DD">
        <w:t xml:space="preserve">and to prevent potential confusion, </w:t>
      </w:r>
      <w:r w:rsidR="00941EEE">
        <w:t xml:space="preserve">implementation </w:t>
      </w:r>
      <w:r w:rsidR="00232795">
        <w:t>would be proposed to commence from 1 December 2026.</w:t>
      </w:r>
      <w:r w:rsidR="007C69EE">
        <w:t xml:space="preserve"> </w:t>
      </w:r>
      <w:r w:rsidR="00CD0599">
        <w:t xml:space="preserve">Stakeholder suggestions for </w:t>
      </w:r>
      <w:r w:rsidR="00F136CC">
        <w:t>transitional timelines and arrangements</w:t>
      </w:r>
      <w:r w:rsidR="00F458BC">
        <w:t xml:space="preserve"> are outlined </w:t>
      </w:r>
      <w:r w:rsidR="007E1D65">
        <w:t>in chemical</w:t>
      </w:r>
      <w:r w:rsidR="00F458BC">
        <w:t xml:space="preserve"> specific </w:t>
      </w:r>
      <w:r w:rsidR="007E1D65">
        <w:t>sections of this Decision RIS</w:t>
      </w:r>
      <w:r w:rsidR="007E1D65" w:rsidRPr="006D6899">
        <w:t>.</w:t>
      </w:r>
      <w:r w:rsidR="00F976E3">
        <w:t xml:space="preserve"> </w:t>
      </w:r>
    </w:p>
    <w:p w14:paraId="27FCC272" w14:textId="77777777" w:rsidR="005C2402" w:rsidRDefault="006F284B" w:rsidP="00EE0A46">
      <w:pPr>
        <w:pStyle w:val="SWAHeading1"/>
      </w:pPr>
      <w:bookmarkStart w:id="41" w:name="_Toc219216872"/>
      <w:bookmarkStart w:id="42" w:name="_Ref194507512"/>
      <w:bookmarkStart w:id="43" w:name="_Toc194509998"/>
      <w:r w:rsidRPr="005C2402">
        <w:lastRenderedPageBreak/>
        <w:t>What is the likely net benefit of each option?</w:t>
      </w:r>
      <w:bookmarkEnd w:id="41"/>
      <w:r w:rsidRPr="005C2402">
        <w:t xml:space="preserve"> </w:t>
      </w:r>
      <w:bookmarkEnd w:id="42"/>
      <w:bookmarkEnd w:id="43"/>
      <w:r w:rsidR="00AB6F69" w:rsidRPr="005C2402">
        <w:t xml:space="preserve"> </w:t>
      </w:r>
    </w:p>
    <w:p w14:paraId="58C9CD10" w14:textId="425F86B7" w:rsidR="00935943" w:rsidRDefault="007C7D2F" w:rsidP="00274AF4">
      <w:pPr>
        <w:spacing w:line="259" w:lineRule="auto"/>
        <w:contextualSpacing w:val="0"/>
        <w:rPr>
          <w:lang w:eastAsia="en-AU"/>
        </w:rPr>
      </w:pPr>
      <w:r>
        <w:rPr>
          <w:rFonts w:eastAsia="Times New Roman" w:cs="Arial"/>
          <w:lang w:eastAsia="en-AU"/>
        </w:rPr>
        <w:t xml:space="preserve">This Decision RIS has identified that the quantified costs associated with </w:t>
      </w:r>
      <w:r w:rsidR="00665AD1" w:rsidRPr="00463155">
        <w:rPr>
          <w:rFonts w:eastAsia="Times New Roman" w:cs="Arial"/>
          <w:lang w:eastAsia="en-AU"/>
        </w:rPr>
        <w:t xml:space="preserve">Option 2 </w:t>
      </w:r>
      <w:r w:rsidR="008D0F93">
        <w:rPr>
          <w:rFonts w:eastAsia="Times New Roman" w:cs="Arial"/>
          <w:lang w:eastAsia="en-AU"/>
        </w:rPr>
        <w:t xml:space="preserve">for each of the 9 chemicals </w:t>
      </w:r>
      <w:r w:rsidR="008D6E2E">
        <w:rPr>
          <w:rFonts w:eastAsia="Times New Roman" w:cs="Arial"/>
          <w:lang w:eastAsia="en-AU"/>
        </w:rPr>
        <w:t>outw</w:t>
      </w:r>
      <w:r w:rsidR="00362767">
        <w:rPr>
          <w:rFonts w:eastAsia="Times New Roman" w:cs="Arial"/>
          <w:lang w:eastAsia="en-AU"/>
        </w:rPr>
        <w:t>e</w:t>
      </w:r>
      <w:r w:rsidR="008D6E2E">
        <w:rPr>
          <w:rFonts w:eastAsia="Times New Roman" w:cs="Arial"/>
          <w:lang w:eastAsia="en-AU"/>
        </w:rPr>
        <w:t>i</w:t>
      </w:r>
      <w:r w:rsidR="00362767">
        <w:rPr>
          <w:rFonts w:eastAsia="Times New Roman" w:cs="Arial"/>
          <w:lang w:eastAsia="en-AU"/>
        </w:rPr>
        <w:t>g</w:t>
      </w:r>
      <w:r w:rsidR="008D6E2E">
        <w:rPr>
          <w:rFonts w:eastAsia="Times New Roman" w:cs="Arial"/>
          <w:lang w:eastAsia="en-AU"/>
        </w:rPr>
        <w:t>h</w:t>
      </w:r>
      <w:r w:rsidR="00362767">
        <w:rPr>
          <w:rFonts w:eastAsia="Times New Roman" w:cs="Arial"/>
          <w:lang w:eastAsia="en-AU"/>
        </w:rPr>
        <w:t>s</w:t>
      </w:r>
      <w:r w:rsidR="008D6E2E">
        <w:rPr>
          <w:rFonts w:eastAsia="Times New Roman" w:cs="Arial"/>
          <w:lang w:eastAsia="en-AU"/>
        </w:rPr>
        <w:t xml:space="preserve"> the quantified benefits</w:t>
      </w:r>
      <w:r w:rsidR="008A6DF0">
        <w:rPr>
          <w:rFonts w:eastAsia="Times New Roman" w:cs="Arial"/>
          <w:lang w:eastAsia="en-AU"/>
        </w:rPr>
        <w:t xml:space="preserve">. </w:t>
      </w:r>
      <w:r w:rsidR="00B85AFD" w:rsidRPr="00463155">
        <w:rPr>
          <w:lang w:eastAsia="en-AU"/>
        </w:rPr>
        <w:t>Limited a</w:t>
      </w:r>
      <w:r w:rsidR="00554C05" w:rsidRPr="00463155">
        <w:rPr>
          <w:lang w:eastAsia="en-AU"/>
        </w:rPr>
        <w:t xml:space="preserve">vailable data and documentation </w:t>
      </w:r>
      <w:r w:rsidR="00B85AFD" w:rsidRPr="00463155">
        <w:rPr>
          <w:lang w:eastAsia="en-AU"/>
        </w:rPr>
        <w:t xml:space="preserve">has </w:t>
      </w:r>
      <w:r w:rsidR="00EF6FB8">
        <w:rPr>
          <w:lang w:eastAsia="en-AU"/>
        </w:rPr>
        <w:t>a</w:t>
      </w:r>
      <w:r w:rsidR="00C03677" w:rsidRPr="00463155">
        <w:rPr>
          <w:lang w:eastAsia="en-AU"/>
        </w:rPr>
        <w:t>ffected</w:t>
      </w:r>
      <w:r w:rsidR="00B85AFD" w:rsidRPr="00463155">
        <w:rPr>
          <w:lang w:eastAsia="en-AU"/>
        </w:rPr>
        <w:t xml:space="preserve"> the</w:t>
      </w:r>
      <w:r w:rsidR="00554C05" w:rsidRPr="00463155">
        <w:rPr>
          <w:lang w:eastAsia="en-AU"/>
        </w:rPr>
        <w:t xml:space="preserve"> </w:t>
      </w:r>
      <w:r w:rsidR="00E91E6B">
        <w:rPr>
          <w:lang w:eastAsia="en-AU"/>
        </w:rPr>
        <w:t>quantification of impacts</w:t>
      </w:r>
      <w:r w:rsidR="006C3B78" w:rsidRPr="00463155">
        <w:rPr>
          <w:lang w:eastAsia="en-AU"/>
        </w:rPr>
        <w:t xml:space="preserve">, particularly in </w:t>
      </w:r>
      <w:r w:rsidR="332DBD67" w:rsidRPr="08959E9A">
        <w:rPr>
          <w:lang w:eastAsia="en-AU"/>
        </w:rPr>
        <w:t xml:space="preserve">estimating </w:t>
      </w:r>
      <w:r w:rsidR="006C3B78" w:rsidRPr="00463155">
        <w:rPr>
          <w:lang w:eastAsia="en-AU"/>
        </w:rPr>
        <w:t xml:space="preserve">the benefits </w:t>
      </w:r>
      <w:r w:rsidR="00B85AFD" w:rsidRPr="00463155">
        <w:rPr>
          <w:lang w:eastAsia="en-AU"/>
        </w:rPr>
        <w:t xml:space="preserve">through </w:t>
      </w:r>
      <w:r w:rsidR="006C3B78" w:rsidRPr="00463155">
        <w:rPr>
          <w:lang w:eastAsia="en-AU"/>
        </w:rPr>
        <w:t>preventing adverse health impacts</w:t>
      </w:r>
      <w:r w:rsidR="00554C05" w:rsidRPr="00463155">
        <w:rPr>
          <w:lang w:eastAsia="en-AU"/>
        </w:rPr>
        <w:t xml:space="preserve">. </w:t>
      </w:r>
      <w:r w:rsidR="004E5BCC">
        <w:rPr>
          <w:lang w:eastAsia="en-AU"/>
        </w:rPr>
        <w:t>It should be noted that for</w:t>
      </w:r>
      <w:r w:rsidR="006D5BC8" w:rsidRPr="00463155">
        <w:rPr>
          <w:lang w:eastAsia="en-AU"/>
        </w:rPr>
        <w:t xml:space="preserve"> 4 of the 9 chemicals</w:t>
      </w:r>
      <w:r w:rsidR="0051048B" w:rsidRPr="00463155">
        <w:rPr>
          <w:lang w:eastAsia="en-AU"/>
        </w:rPr>
        <w:t xml:space="preserve"> </w:t>
      </w:r>
      <w:r w:rsidR="00182345" w:rsidRPr="00463155">
        <w:rPr>
          <w:lang w:eastAsia="en-AU"/>
        </w:rPr>
        <w:t>considered in</w:t>
      </w:r>
      <w:r w:rsidR="0051048B" w:rsidRPr="00463155">
        <w:rPr>
          <w:lang w:eastAsia="en-AU"/>
        </w:rPr>
        <w:t xml:space="preserve"> this Decision RIS,</w:t>
      </w:r>
      <w:r w:rsidR="006D5BC8" w:rsidRPr="00463155">
        <w:rPr>
          <w:lang w:eastAsia="en-AU"/>
        </w:rPr>
        <w:t xml:space="preserve"> it has not been possible to </w:t>
      </w:r>
      <w:r w:rsidR="00274AF4" w:rsidRPr="00463155">
        <w:rPr>
          <w:lang w:eastAsia="en-AU"/>
        </w:rPr>
        <w:t xml:space="preserve">quantify </w:t>
      </w:r>
      <w:r w:rsidR="006D5BC8" w:rsidRPr="00463155">
        <w:rPr>
          <w:lang w:eastAsia="en-AU"/>
        </w:rPr>
        <w:t xml:space="preserve">the benefit of the </w:t>
      </w:r>
      <w:r w:rsidR="00254B0E" w:rsidRPr="00463155">
        <w:rPr>
          <w:lang w:eastAsia="en-AU"/>
        </w:rPr>
        <w:t xml:space="preserve">proposed </w:t>
      </w:r>
      <w:r w:rsidR="00C03677" w:rsidRPr="00463155">
        <w:rPr>
          <w:lang w:eastAsia="en-AU"/>
        </w:rPr>
        <w:t>WEL</w:t>
      </w:r>
      <w:r w:rsidR="00254B0E" w:rsidRPr="00463155">
        <w:rPr>
          <w:lang w:eastAsia="en-AU"/>
        </w:rPr>
        <w:t>.</w:t>
      </w:r>
      <w:r w:rsidR="004E5BCC">
        <w:rPr>
          <w:lang w:eastAsia="en-AU"/>
        </w:rPr>
        <w:t xml:space="preserve"> But this </w:t>
      </w:r>
      <w:r w:rsidR="000A5A4E">
        <w:rPr>
          <w:lang w:eastAsia="en-AU"/>
        </w:rPr>
        <w:t>does not mean there is an</w:t>
      </w:r>
      <w:r w:rsidR="004E5BCC">
        <w:rPr>
          <w:lang w:eastAsia="en-AU"/>
        </w:rPr>
        <w:t xml:space="preserve"> absence of any benefits. </w:t>
      </w:r>
    </w:p>
    <w:p w14:paraId="55220843" w14:textId="01370406" w:rsidR="009911EB" w:rsidRDefault="00254B0E" w:rsidP="00274AF4">
      <w:pPr>
        <w:spacing w:line="259" w:lineRule="auto"/>
        <w:contextualSpacing w:val="0"/>
      </w:pPr>
      <w:r>
        <w:rPr>
          <w:lang w:eastAsia="en-AU"/>
        </w:rPr>
        <w:t xml:space="preserve">Therefore, </w:t>
      </w:r>
      <w:r w:rsidR="00E1710D">
        <w:rPr>
          <w:lang w:eastAsia="en-AU"/>
        </w:rPr>
        <w:t>while estimate</w:t>
      </w:r>
      <w:r w:rsidR="006C3B78">
        <w:rPr>
          <w:lang w:eastAsia="en-AU"/>
        </w:rPr>
        <w:t>d</w:t>
      </w:r>
      <w:r w:rsidR="00E1710D">
        <w:rPr>
          <w:lang w:eastAsia="en-AU"/>
        </w:rPr>
        <w:t xml:space="preserve"> benefits and costs are included</w:t>
      </w:r>
      <w:r w:rsidR="004A3357">
        <w:rPr>
          <w:lang w:eastAsia="en-AU"/>
        </w:rPr>
        <w:t>, noting they are still of value to the consideration</w:t>
      </w:r>
      <w:r w:rsidR="00935943">
        <w:rPr>
          <w:lang w:eastAsia="en-AU"/>
        </w:rPr>
        <w:t>,</w:t>
      </w:r>
      <w:r w:rsidR="003C78D4">
        <w:rPr>
          <w:lang w:eastAsia="en-AU"/>
        </w:rPr>
        <w:t xml:space="preserve"> the</w:t>
      </w:r>
      <w:r w:rsidR="00935943">
        <w:rPr>
          <w:lang w:eastAsia="en-AU"/>
        </w:rPr>
        <w:t xml:space="preserve"> limitation</w:t>
      </w:r>
      <w:r w:rsidR="009466C8">
        <w:rPr>
          <w:lang w:eastAsia="en-AU"/>
        </w:rPr>
        <w:t xml:space="preserve">s of </w:t>
      </w:r>
      <w:r w:rsidR="00043481">
        <w:rPr>
          <w:lang w:eastAsia="en-AU"/>
        </w:rPr>
        <w:t xml:space="preserve">the </w:t>
      </w:r>
      <w:r w:rsidR="009466C8">
        <w:rPr>
          <w:lang w:eastAsia="en-AU"/>
        </w:rPr>
        <w:t>data</w:t>
      </w:r>
      <w:r w:rsidR="00043481">
        <w:rPr>
          <w:lang w:eastAsia="en-AU"/>
        </w:rPr>
        <w:t xml:space="preserve"> </w:t>
      </w:r>
      <w:r w:rsidR="00F30295">
        <w:rPr>
          <w:lang w:eastAsia="en-AU"/>
        </w:rPr>
        <w:t xml:space="preserve">used for the estimation </w:t>
      </w:r>
      <w:r w:rsidR="00043481">
        <w:rPr>
          <w:lang w:eastAsia="en-AU"/>
        </w:rPr>
        <w:t>are recognised</w:t>
      </w:r>
      <w:r w:rsidR="003C78D4">
        <w:rPr>
          <w:lang w:eastAsia="en-AU"/>
        </w:rPr>
        <w:t xml:space="preserve"> below</w:t>
      </w:r>
      <w:r w:rsidR="00F30295">
        <w:rPr>
          <w:lang w:eastAsia="en-AU"/>
        </w:rPr>
        <w:t>.</w:t>
      </w:r>
    </w:p>
    <w:p w14:paraId="679660CA" w14:textId="28796B39" w:rsidR="007837F1" w:rsidRDefault="00CF1A92" w:rsidP="4D422038">
      <w:pPr>
        <w:spacing w:line="259" w:lineRule="auto"/>
      </w:pPr>
      <w:r>
        <w:t>This sec</w:t>
      </w:r>
      <w:r w:rsidR="00112A5C">
        <w:t xml:space="preserve">tion provides an overview of </w:t>
      </w:r>
      <w:r w:rsidR="00784893">
        <w:t xml:space="preserve">the two options considered </w:t>
      </w:r>
      <w:r w:rsidR="5EDB2CB9">
        <w:t xml:space="preserve">in </w:t>
      </w:r>
      <w:r w:rsidR="00784893">
        <w:t xml:space="preserve">this Decision RIS. In addition, a detailed assessment of the </w:t>
      </w:r>
      <w:r w:rsidR="00276902">
        <w:t>options against each chemical is provided at Section</w:t>
      </w:r>
      <w:r w:rsidR="56A6EC3D">
        <w:t>s</w:t>
      </w:r>
      <w:r w:rsidR="00276902">
        <w:t xml:space="preserve"> </w:t>
      </w:r>
      <w:r w:rsidR="001B0A48">
        <w:t>9</w:t>
      </w:r>
      <w:r w:rsidR="00F80BC1">
        <w:t xml:space="preserve"> </w:t>
      </w:r>
      <w:r w:rsidR="00F80BC1" w:rsidRPr="009A5365">
        <w:t xml:space="preserve">to </w:t>
      </w:r>
      <w:r w:rsidR="009A5365" w:rsidRPr="009A5365">
        <w:t>17</w:t>
      </w:r>
      <w:r w:rsidR="00FC3C34" w:rsidRPr="009A5365">
        <w:t>.</w:t>
      </w:r>
      <w:r w:rsidR="00FC3C34">
        <w:t xml:space="preserve"> </w:t>
      </w:r>
    </w:p>
    <w:p w14:paraId="6DC75D68" w14:textId="77777777" w:rsidR="00773C88" w:rsidRPr="009911EB" w:rsidRDefault="00773C88" w:rsidP="00773C88">
      <w:pPr>
        <w:pStyle w:val="SWAHeading3"/>
        <w:rPr>
          <w:lang w:eastAsia="en-AU"/>
        </w:rPr>
      </w:pPr>
      <w:r>
        <w:rPr>
          <w:lang w:eastAsia="en-AU"/>
        </w:rPr>
        <w:t xml:space="preserve">Data </w:t>
      </w:r>
      <w:r w:rsidRPr="00EE0A46">
        <w:t>limitations</w:t>
      </w:r>
      <w:r>
        <w:rPr>
          <w:lang w:eastAsia="en-AU"/>
        </w:rPr>
        <w:t xml:space="preserve">  </w:t>
      </w:r>
    </w:p>
    <w:p w14:paraId="145763B5" w14:textId="2D8E1EF8" w:rsidR="00773C88" w:rsidRDefault="00773C88" w:rsidP="00773C88">
      <w:pPr>
        <w:pStyle w:val="Paragraph"/>
        <w:rPr>
          <w:lang w:eastAsia="en-US"/>
        </w:rPr>
      </w:pPr>
      <w:r>
        <w:rPr>
          <w:lang w:eastAsia="en-US"/>
        </w:rPr>
        <w:t>The costs and benefits in this impact analysis are</w:t>
      </w:r>
      <w:r w:rsidR="000414D5">
        <w:rPr>
          <w:lang w:eastAsia="en-US"/>
        </w:rPr>
        <w:t xml:space="preserve"> estimated </w:t>
      </w:r>
      <w:r w:rsidR="001F6427">
        <w:rPr>
          <w:lang w:eastAsia="en-US"/>
        </w:rPr>
        <w:t>with low-medium confidence (</w:t>
      </w:r>
      <w:r w:rsidR="001F6427" w:rsidRPr="00222BE0">
        <w:rPr>
          <w:lang w:eastAsia="en-US"/>
        </w:rPr>
        <w:t xml:space="preserve">see </w:t>
      </w:r>
      <w:hyperlink w:anchor="AppendixK" w:history="1">
        <w:r w:rsidR="001F6427" w:rsidRPr="00B64384">
          <w:rPr>
            <w:rStyle w:val="Hyperlink"/>
            <w:color w:val="auto"/>
            <w:u w:val="none"/>
            <w:lang w:eastAsia="en-US"/>
          </w:rPr>
          <w:t xml:space="preserve">Appendix </w:t>
        </w:r>
        <w:r w:rsidR="00222BE0" w:rsidRPr="00B64384">
          <w:rPr>
            <w:rStyle w:val="Hyperlink"/>
            <w:color w:val="auto"/>
            <w:u w:val="none"/>
            <w:lang w:eastAsia="en-US"/>
          </w:rPr>
          <w:t>K</w:t>
        </w:r>
      </w:hyperlink>
      <w:r w:rsidR="00A42970">
        <w:rPr>
          <w:lang w:eastAsia="en-US"/>
        </w:rPr>
        <w:t>)</w:t>
      </w:r>
      <w:r>
        <w:rPr>
          <w:lang w:eastAsia="en-US"/>
        </w:rPr>
        <w:t xml:space="preserve"> </w:t>
      </w:r>
      <w:r w:rsidR="00AE6B1A">
        <w:rPr>
          <w:lang w:eastAsia="en-US"/>
        </w:rPr>
        <w:t>due to</w:t>
      </w:r>
      <w:r>
        <w:rPr>
          <w:lang w:eastAsia="en-US"/>
        </w:rPr>
        <w:t xml:space="preserve"> the significant gaps</w:t>
      </w:r>
      <w:r w:rsidR="00B72BC9">
        <w:rPr>
          <w:lang w:eastAsia="en-US"/>
        </w:rPr>
        <w:t xml:space="preserve"> and limitations</w:t>
      </w:r>
      <w:r>
        <w:rPr>
          <w:lang w:eastAsia="en-US"/>
        </w:rPr>
        <w:t xml:space="preserve"> in the data and documentation available </w:t>
      </w:r>
      <w:r w:rsidR="001F3177">
        <w:rPr>
          <w:lang w:eastAsia="en-US"/>
        </w:rPr>
        <w:t>for the impact analys</w:t>
      </w:r>
      <w:r w:rsidR="006A6A55">
        <w:rPr>
          <w:lang w:eastAsia="en-US"/>
        </w:rPr>
        <w:t>is</w:t>
      </w:r>
      <w:r>
        <w:rPr>
          <w:lang w:eastAsia="en-US"/>
        </w:rPr>
        <w:t xml:space="preserve"> through the desktop research and stakeholder engagement.</w:t>
      </w:r>
    </w:p>
    <w:p w14:paraId="7798D338" w14:textId="77777777" w:rsidR="00773C88" w:rsidRDefault="00773C88" w:rsidP="00773C88">
      <w:pPr>
        <w:pStyle w:val="Paragraph"/>
        <w:rPr>
          <w:lang w:eastAsia="en-US"/>
        </w:rPr>
      </w:pPr>
      <w:r>
        <w:rPr>
          <w:lang w:eastAsia="en-US"/>
        </w:rPr>
        <w:t>The key limitations to the cost estimates include:</w:t>
      </w:r>
    </w:p>
    <w:p w14:paraId="3CEBFB96" w14:textId="77777777"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t xml:space="preserve">A lack of data on the actual number of businesses and workers that would be affected by </w:t>
      </w:r>
      <w:r w:rsidRPr="00CE408E">
        <w:rPr>
          <w:rFonts w:eastAsia="Times New Roman"/>
          <w:lang w:eastAsia="en-AU"/>
        </w:rPr>
        <w:t xml:space="preserve">the proposed WEL </w:t>
      </w:r>
    </w:p>
    <w:p w14:paraId="441F873A" w14:textId="1382B5B8"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rsidRPr="00CE408E">
        <w:rPr>
          <w:rFonts w:eastAsia="Times New Roman"/>
          <w:lang w:eastAsia="en-AU"/>
        </w:rPr>
        <w:t>A lack of reliable</w:t>
      </w:r>
      <w:r w:rsidR="00D42358">
        <w:rPr>
          <w:rFonts w:eastAsia="Times New Roman"/>
          <w:lang w:eastAsia="en-AU"/>
        </w:rPr>
        <w:t>, verifiable</w:t>
      </w:r>
      <w:r w:rsidRPr="00CE408E">
        <w:rPr>
          <w:rFonts w:eastAsia="Times New Roman"/>
          <w:lang w:eastAsia="en-AU"/>
        </w:rPr>
        <w:t xml:space="preserve"> and detailed industry-level cost data to implement the WEL</w:t>
      </w:r>
    </w:p>
    <w:p w14:paraId="08939ED4" w14:textId="11AAC627"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rsidRPr="00CE408E">
        <w:rPr>
          <w:rFonts w:eastAsia="Times New Roman"/>
          <w:lang w:eastAsia="en-AU"/>
        </w:rPr>
        <w:t xml:space="preserve">Uncertainty regarding </w:t>
      </w:r>
      <w:r w:rsidR="00345674">
        <w:rPr>
          <w:rFonts w:eastAsia="Times New Roman"/>
          <w:lang w:eastAsia="en-AU"/>
        </w:rPr>
        <w:t xml:space="preserve">the nature of the </w:t>
      </w:r>
      <w:r w:rsidRPr="00CE408E">
        <w:rPr>
          <w:rFonts w:eastAsia="Times New Roman"/>
          <w:lang w:eastAsia="en-AU"/>
        </w:rPr>
        <w:t xml:space="preserve">flow-on impacts where businesses and workers are affected by the implementation of more than one WEL </w:t>
      </w:r>
    </w:p>
    <w:p w14:paraId="2240EDEE" w14:textId="115AB666"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rsidRPr="00CE408E">
        <w:rPr>
          <w:rFonts w:eastAsia="Times New Roman"/>
          <w:lang w:eastAsia="en-AU"/>
        </w:rPr>
        <w:t xml:space="preserve">Uncertainty regarding flow-on impacts where incremental costs incurred by businesses </w:t>
      </w:r>
      <w:r w:rsidR="0044560A">
        <w:rPr>
          <w:rFonts w:eastAsia="Times New Roman"/>
          <w:lang w:eastAsia="en-AU"/>
        </w:rPr>
        <w:t xml:space="preserve">are </w:t>
      </w:r>
      <w:r w:rsidRPr="00CE408E">
        <w:rPr>
          <w:rFonts w:eastAsia="Times New Roman"/>
          <w:lang w:eastAsia="en-AU"/>
        </w:rPr>
        <w:t>passed onto consumers and/or other suppliers</w:t>
      </w:r>
      <w:r w:rsidR="009231C0">
        <w:rPr>
          <w:rFonts w:eastAsia="Times New Roman"/>
          <w:lang w:eastAsia="en-AU"/>
        </w:rPr>
        <w:t>. These impacts</w:t>
      </w:r>
      <w:r w:rsidRPr="00CE408E">
        <w:rPr>
          <w:rFonts w:eastAsia="Times New Roman"/>
          <w:lang w:eastAsia="en-AU"/>
        </w:rPr>
        <w:t xml:space="preserve"> may result in reduced competitiveness with international competitors, and </w:t>
      </w:r>
      <w:r w:rsidR="00595F02">
        <w:rPr>
          <w:rFonts w:eastAsia="Times New Roman"/>
          <w:lang w:eastAsia="en-AU"/>
        </w:rPr>
        <w:t xml:space="preserve">therefore </w:t>
      </w:r>
      <w:r w:rsidRPr="00CE408E">
        <w:rPr>
          <w:rFonts w:eastAsia="Times New Roman"/>
          <w:lang w:eastAsia="en-AU"/>
        </w:rPr>
        <w:t>reduced demand for their goods and services</w:t>
      </w:r>
      <w:r w:rsidR="009231C0">
        <w:rPr>
          <w:rFonts w:eastAsia="Times New Roman"/>
          <w:lang w:eastAsia="en-AU"/>
        </w:rPr>
        <w:t xml:space="preserve">, or alternatively </w:t>
      </w:r>
      <w:r w:rsidR="00A34A1D">
        <w:rPr>
          <w:rFonts w:eastAsia="Times New Roman"/>
          <w:lang w:eastAsia="en-AU"/>
        </w:rPr>
        <w:t xml:space="preserve">adjustments to </w:t>
      </w:r>
      <w:r w:rsidR="00791483">
        <w:rPr>
          <w:rFonts w:eastAsia="Times New Roman"/>
          <w:lang w:eastAsia="en-AU"/>
        </w:rPr>
        <w:t>implement the WEL</w:t>
      </w:r>
      <w:r w:rsidRPr="00CE408E">
        <w:rPr>
          <w:rFonts w:eastAsia="Times New Roman"/>
          <w:lang w:eastAsia="en-AU"/>
        </w:rPr>
        <w:t xml:space="preserve"> </w:t>
      </w:r>
      <w:r w:rsidR="00A638E4">
        <w:rPr>
          <w:rFonts w:eastAsia="Times New Roman"/>
          <w:lang w:eastAsia="en-AU"/>
        </w:rPr>
        <w:t xml:space="preserve">may provide </w:t>
      </w:r>
      <w:r w:rsidR="00791483">
        <w:rPr>
          <w:rFonts w:eastAsia="Times New Roman"/>
          <w:lang w:eastAsia="en-AU"/>
        </w:rPr>
        <w:t>efficiencies in operations</w:t>
      </w:r>
      <w:r w:rsidRPr="00CE408E" w:rsidDel="00791483">
        <w:rPr>
          <w:rFonts w:eastAsia="Times New Roman"/>
          <w:lang w:eastAsia="en-AU"/>
        </w:rPr>
        <w:t xml:space="preserve"> </w:t>
      </w:r>
      <w:r w:rsidR="0A4BC553" w:rsidRPr="63436AC0">
        <w:rPr>
          <w:rFonts w:eastAsia="Times New Roman"/>
          <w:lang w:eastAsia="en-AU"/>
        </w:rPr>
        <w:t>and saving</w:t>
      </w:r>
      <w:r w:rsidR="00DB7473">
        <w:rPr>
          <w:rFonts w:eastAsia="Times New Roman"/>
          <w:lang w:eastAsia="en-AU"/>
        </w:rPr>
        <w:t>s</w:t>
      </w:r>
    </w:p>
    <w:p w14:paraId="2FF47ECE" w14:textId="77777777" w:rsidR="00773C88" w:rsidRDefault="00773C88" w:rsidP="00A2768E">
      <w:pPr>
        <w:pStyle w:val="ListParagraph"/>
        <w:numPr>
          <w:ilvl w:val="0"/>
          <w:numId w:val="74"/>
        </w:numPr>
        <w:spacing w:after="240" w:line="240" w:lineRule="atLeast"/>
        <w:ind w:left="850" w:hanging="493"/>
        <w:contextualSpacing w:val="0"/>
      </w:pPr>
      <w:r w:rsidRPr="00CE408E">
        <w:rPr>
          <w:rFonts w:eastAsia="Times New Roman"/>
          <w:lang w:eastAsia="en-AU"/>
        </w:rPr>
        <w:t>Limited information on the nature and extent of the actual changes that would be required at an individual</w:t>
      </w:r>
      <w:r>
        <w:t xml:space="preserve"> business-level. </w:t>
      </w:r>
    </w:p>
    <w:p w14:paraId="51B17948" w14:textId="5BA17F58" w:rsidR="00773C88" w:rsidRDefault="00773C88" w:rsidP="00773C88">
      <w:pPr>
        <w:pStyle w:val="Paragraph"/>
        <w:rPr>
          <w:lang w:eastAsia="en-US"/>
        </w:rPr>
      </w:pPr>
      <w:r>
        <w:rPr>
          <w:lang w:eastAsia="en-US"/>
        </w:rPr>
        <w:t>The key limitations to the benefits estimates for the five chemicals (benzene, chlorine, formaldehyde, hydrogen sul</w:t>
      </w:r>
      <w:r w:rsidR="00312B4B">
        <w:rPr>
          <w:lang w:eastAsia="en-US"/>
        </w:rPr>
        <w:t>f</w:t>
      </w:r>
      <w:r>
        <w:rPr>
          <w:lang w:eastAsia="en-US"/>
        </w:rPr>
        <w:t>ide and RCS) where benefits were able to be quantified, include:</w:t>
      </w:r>
    </w:p>
    <w:p w14:paraId="20868DD5" w14:textId="182BFBEA"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rsidRPr="00CE408E">
        <w:rPr>
          <w:rFonts w:eastAsia="Times New Roman"/>
          <w:lang w:eastAsia="en-AU"/>
        </w:rPr>
        <w:t>Limited data on the current health burden of workplace exposure. This includes the likely under-reporting of occupational disease in relation to workers’ compensation claims due to the long latency periods and difficulty attributing a particular individual’s disease to past workplace exposure to a specific chemical</w:t>
      </w:r>
    </w:p>
    <w:p w14:paraId="64FBF394" w14:textId="77777777" w:rsidR="00773C88" w:rsidRPr="00CE408E" w:rsidRDefault="00773C88" w:rsidP="00A2768E">
      <w:pPr>
        <w:pStyle w:val="ListParagraph"/>
        <w:numPr>
          <w:ilvl w:val="0"/>
          <w:numId w:val="74"/>
        </w:numPr>
        <w:spacing w:line="240" w:lineRule="atLeast"/>
        <w:ind w:left="851" w:hanging="491"/>
        <w:contextualSpacing w:val="0"/>
        <w:rPr>
          <w:rFonts w:eastAsia="Times New Roman"/>
          <w:lang w:eastAsia="en-AU"/>
        </w:rPr>
      </w:pPr>
      <w:r w:rsidRPr="00CE408E">
        <w:rPr>
          <w:rFonts w:eastAsia="Times New Roman"/>
          <w:lang w:eastAsia="en-AU"/>
        </w:rPr>
        <w:t>Uncertainty regarding the impact of the proposed WEL on the incidence of occupational disease in the future</w:t>
      </w:r>
    </w:p>
    <w:p w14:paraId="30BC4E62" w14:textId="2EA5894C" w:rsidR="00773C88" w:rsidRPr="00CE408E" w:rsidRDefault="223BAF6A" w:rsidP="00A2768E">
      <w:pPr>
        <w:pStyle w:val="ListParagraph"/>
        <w:numPr>
          <w:ilvl w:val="0"/>
          <w:numId w:val="74"/>
        </w:numPr>
        <w:spacing w:line="240" w:lineRule="atLeast"/>
        <w:ind w:left="850" w:hanging="493"/>
        <w:contextualSpacing w:val="0"/>
        <w:rPr>
          <w:rFonts w:eastAsia="Times New Roman"/>
          <w:lang w:eastAsia="en-AU"/>
        </w:rPr>
      </w:pPr>
      <w:r w:rsidRPr="27F845C1">
        <w:rPr>
          <w:rFonts w:eastAsia="Times New Roman"/>
          <w:lang w:eastAsia="en-AU"/>
        </w:rPr>
        <w:t>Uncertainty around the levels of exposure that have given rise to the observed incidences of occupational disease and whether these exposures were within the levels of the current WES</w:t>
      </w:r>
    </w:p>
    <w:p w14:paraId="4317C25E" w14:textId="64269D1D" w:rsidR="00773C88" w:rsidRPr="00CE408E" w:rsidRDefault="00773C88" w:rsidP="00A2768E">
      <w:pPr>
        <w:pStyle w:val="ListParagraph"/>
        <w:numPr>
          <w:ilvl w:val="0"/>
          <w:numId w:val="74"/>
        </w:numPr>
        <w:spacing w:line="240" w:lineRule="atLeast"/>
        <w:ind w:left="851" w:hanging="491"/>
        <w:contextualSpacing w:val="0"/>
      </w:pPr>
      <w:r w:rsidRPr="00CE408E">
        <w:rPr>
          <w:rFonts w:eastAsia="Times New Roman"/>
          <w:lang w:eastAsia="en-AU"/>
        </w:rPr>
        <w:t>The estimates do not capture the qualitative benefits associated with reduced occupational</w:t>
      </w:r>
      <w:r>
        <w:t xml:space="preserve"> diseases related to the </w:t>
      </w:r>
      <w:r w:rsidR="0051048B">
        <w:t>9</w:t>
      </w:r>
      <w:r w:rsidDel="0051048B">
        <w:t xml:space="preserve"> </w:t>
      </w:r>
      <w:r>
        <w:t>chemicals</w:t>
      </w:r>
      <w:r w:rsidR="0051048B">
        <w:t xml:space="preserve"> </w:t>
      </w:r>
      <w:r w:rsidR="00F12BBA">
        <w:t>considered in</w:t>
      </w:r>
      <w:r w:rsidR="0051048B" w:rsidRPr="0051048B">
        <w:t xml:space="preserve"> this Decision RIS</w:t>
      </w:r>
      <w:r>
        <w:t xml:space="preserve"> </w:t>
      </w:r>
      <w:r w:rsidR="005E4312" w:rsidRPr="005E4312">
        <w:lastRenderedPageBreak/>
        <w:t xml:space="preserve">such as increased </w:t>
      </w:r>
      <w:r w:rsidR="00D80BCE">
        <w:t>confidence</w:t>
      </w:r>
      <w:r w:rsidR="00D80BCE" w:rsidRPr="005E4312">
        <w:t xml:space="preserve"> </w:t>
      </w:r>
      <w:r w:rsidR="00E42EE2">
        <w:t>in</w:t>
      </w:r>
      <w:r w:rsidR="005E4312" w:rsidRPr="005E4312">
        <w:t xml:space="preserve"> safety and wellbeing for</w:t>
      </w:r>
      <w:r w:rsidR="00E07800">
        <w:t xml:space="preserve"> PCBUs,</w:t>
      </w:r>
      <w:r w:rsidR="005E4312" w:rsidRPr="005E4312">
        <w:t xml:space="preserve"> workers</w:t>
      </w:r>
      <w:r w:rsidR="00903A2C">
        <w:t xml:space="preserve">, </w:t>
      </w:r>
      <w:r w:rsidR="005E4312" w:rsidRPr="005E4312">
        <w:t>their families</w:t>
      </w:r>
      <w:r w:rsidR="00903A2C">
        <w:t xml:space="preserve"> and the broader community</w:t>
      </w:r>
      <w:r>
        <w:t>.</w:t>
      </w:r>
    </w:p>
    <w:p w14:paraId="6165229B" w14:textId="286754D2" w:rsidR="007448F1" w:rsidRDefault="007448F1" w:rsidP="00EE0A46">
      <w:pPr>
        <w:pStyle w:val="SWAHeading2"/>
        <w:ind w:left="709"/>
      </w:pPr>
      <w:bookmarkStart w:id="44" w:name="_Toc219216873"/>
      <w:r w:rsidRPr="001E3994">
        <w:t>Option 1</w:t>
      </w:r>
      <w:r w:rsidR="001E3994" w:rsidRPr="001E3994">
        <w:t xml:space="preserve"> </w:t>
      </w:r>
      <w:r w:rsidR="001E3994">
        <w:t>–</w:t>
      </w:r>
      <w:r w:rsidR="001E3994" w:rsidRPr="001E3994">
        <w:t xml:space="preserve"> Retain the current WES as the WEL</w:t>
      </w:r>
      <w:bookmarkEnd w:id="44"/>
    </w:p>
    <w:p w14:paraId="1AB32D0A" w14:textId="77777777" w:rsidR="00083384" w:rsidRDefault="00784E9C" w:rsidP="00FF1B91">
      <w:pPr>
        <w:pStyle w:val="Paragraph"/>
        <w:rPr>
          <w:lang w:eastAsia="en-US"/>
        </w:rPr>
      </w:pPr>
      <w:r>
        <w:rPr>
          <w:lang w:eastAsia="en-US"/>
        </w:rPr>
        <w:t xml:space="preserve">With this option representing status quo and on the assumption that PCBUs are currently meeting their requirements under the model WHS laws, this option has no </w:t>
      </w:r>
      <w:r w:rsidR="00083384">
        <w:rPr>
          <w:lang w:eastAsia="en-US"/>
        </w:rPr>
        <w:t xml:space="preserve">net impact (no </w:t>
      </w:r>
      <w:r>
        <w:rPr>
          <w:lang w:eastAsia="en-US"/>
        </w:rPr>
        <w:t>new benefits or costs</w:t>
      </w:r>
      <w:r w:rsidR="00083384">
        <w:rPr>
          <w:lang w:eastAsia="en-US"/>
        </w:rPr>
        <w:t>)</w:t>
      </w:r>
      <w:r>
        <w:rPr>
          <w:lang w:eastAsia="en-US"/>
        </w:rPr>
        <w:t xml:space="preserve">. </w:t>
      </w:r>
    </w:p>
    <w:p w14:paraId="20C7703B" w14:textId="44637133" w:rsidR="007448F1" w:rsidRDefault="00083384" w:rsidP="00FF1B91">
      <w:pPr>
        <w:pStyle w:val="Paragraph"/>
      </w:pPr>
      <w:r w:rsidRPr="7650885F">
        <w:rPr>
          <w:lang w:eastAsia="en-US"/>
        </w:rPr>
        <w:t>There would be no additional costs to businesses in complying with the current WES for the 9 chemicals as they should have appropriate controls already in place. There would be no additional cost to government in administering the regulatory framework.</w:t>
      </w:r>
      <w:r w:rsidR="00784E9C" w:rsidRPr="7650885F">
        <w:rPr>
          <w:lang w:eastAsia="en-US"/>
        </w:rPr>
        <w:t xml:space="preserve"> However, as outlined in </w:t>
      </w:r>
      <w:r w:rsidR="00B55821" w:rsidRPr="7650885F">
        <w:rPr>
          <w:lang w:eastAsia="en-US"/>
        </w:rPr>
        <w:t>Section</w:t>
      </w:r>
      <w:r w:rsidR="00784E9C" w:rsidRPr="7650885F">
        <w:rPr>
          <w:lang w:eastAsia="en-US"/>
        </w:rPr>
        <w:t xml:space="preserve"> 2, there are </w:t>
      </w:r>
      <w:r w:rsidR="004C0697" w:rsidRPr="7650885F">
        <w:rPr>
          <w:lang w:eastAsia="en-US"/>
        </w:rPr>
        <w:t>significant costs to businesses, workers, their families and the broader community</w:t>
      </w:r>
      <w:r w:rsidR="00784E9C" w:rsidRPr="7650885F">
        <w:rPr>
          <w:lang w:eastAsia="en-US"/>
        </w:rPr>
        <w:t>.</w:t>
      </w:r>
    </w:p>
    <w:p w14:paraId="7DACA685" w14:textId="3017B77D" w:rsidR="00A32655" w:rsidRDefault="00C73425" w:rsidP="00A129EE">
      <w:pPr>
        <w:spacing w:line="240" w:lineRule="atLeast"/>
        <w:contextualSpacing w:val="0"/>
      </w:pPr>
      <w:r>
        <w:t>A</w:t>
      </w:r>
      <w:r w:rsidR="00FE26E5">
        <w:t>s this option</w:t>
      </w:r>
      <w:r w:rsidR="00087236">
        <w:t xml:space="preserve"> does not reflect </w:t>
      </w:r>
      <w:r w:rsidR="3FCCA1E9">
        <w:t xml:space="preserve">current </w:t>
      </w:r>
      <w:r w:rsidR="00087236">
        <w:t xml:space="preserve">scientific </w:t>
      </w:r>
      <w:r w:rsidR="00191C06">
        <w:t xml:space="preserve">evidence </w:t>
      </w:r>
      <w:r w:rsidR="00F30A88">
        <w:t xml:space="preserve">on </w:t>
      </w:r>
      <w:r w:rsidR="46A71418">
        <w:t>health</w:t>
      </w:r>
      <w:r w:rsidR="6E18580C">
        <w:t xml:space="preserve"> effects from </w:t>
      </w:r>
      <w:r w:rsidR="00F30A88">
        <w:t xml:space="preserve">exposure </w:t>
      </w:r>
      <w:r w:rsidR="00FE26E5">
        <w:t>i</w:t>
      </w:r>
      <w:r w:rsidR="00C543C3">
        <w:t xml:space="preserve">t can reasonably be expected that workers will continue to experience </w:t>
      </w:r>
      <w:r w:rsidR="005A5CDD">
        <w:t>adverse health impacts a</w:t>
      </w:r>
      <w:r w:rsidR="00946C5E">
        <w:t>t rates similar to current levels</w:t>
      </w:r>
      <w:r w:rsidR="008E5C5D">
        <w:t xml:space="preserve">, noting </w:t>
      </w:r>
      <w:r w:rsidR="00DC7F8A">
        <w:t xml:space="preserve">that </w:t>
      </w:r>
      <w:r w:rsidR="00C61616">
        <w:t xml:space="preserve">the above </w:t>
      </w:r>
      <w:r w:rsidR="00DC7F8A">
        <w:t>data limitations</w:t>
      </w:r>
      <w:r w:rsidR="003B796A">
        <w:t xml:space="preserve"> </w:t>
      </w:r>
      <w:r w:rsidR="00853C2D">
        <w:t>and that</w:t>
      </w:r>
      <w:r w:rsidR="00536057">
        <w:t xml:space="preserve"> occupational disease</w:t>
      </w:r>
      <w:r w:rsidR="00DC7F8A">
        <w:t>s</w:t>
      </w:r>
      <w:r w:rsidR="00536057">
        <w:t xml:space="preserve"> </w:t>
      </w:r>
      <w:r w:rsidR="00DC7F8A">
        <w:t>are</w:t>
      </w:r>
      <w:r w:rsidR="00536057">
        <w:t xml:space="preserve"> </w:t>
      </w:r>
      <w:r w:rsidR="00853C2D">
        <w:t xml:space="preserve">likely </w:t>
      </w:r>
      <w:r w:rsidR="00536057">
        <w:t>under-reported</w:t>
      </w:r>
      <w:r w:rsidR="004C0697">
        <w:t>, there may even be increased costs into the future (e.g. due to increased workers’ compensation claims)</w:t>
      </w:r>
      <w:r w:rsidR="00D14763">
        <w:t xml:space="preserve">. </w:t>
      </w:r>
    </w:p>
    <w:p w14:paraId="20D83C0A" w14:textId="4B2089BA" w:rsidR="00087236" w:rsidRDefault="00CD16EB" w:rsidP="00A96025">
      <w:pPr>
        <w:pStyle w:val="SWAHeading3"/>
        <w:keepNext/>
        <w:rPr>
          <w:lang w:eastAsia="en-AU"/>
        </w:rPr>
      </w:pPr>
      <w:r>
        <w:rPr>
          <w:lang w:eastAsia="en-AU"/>
        </w:rPr>
        <w:t xml:space="preserve">Important </w:t>
      </w:r>
      <w:r w:rsidR="00F020D8">
        <w:rPr>
          <w:lang w:eastAsia="en-AU"/>
        </w:rPr>
        <w:t>risk of implementing</w:t>
      </w:r>
      <w:r w:rsidR="00A96025">
        <w:rPr>
          <w:lang w:eastAsia="en-AU"/>
        </w:rPr>
        <w:t xml:space="preserve"> Option 1</w:t>
      </w:r>
      <w:r w:rsidR="00BB3851">
        <w:rPr>
          <w:lang w:eastAsia="en-AU"/>
        </w:rPr>
        <w:t xml:space="preserve"> </w:t>
      </w:r>
    </w:p>
    <w:p w14:paraId="2CD9C232" w14:textId="27A625CF" w:rsidR="00BB3851" w:rsidRDefault="00BB3851" w:rsidP="00BB3851">
      <w:pPr>
        <w:pStyle w:val="Paragraph"/>
        <w:rPr>
          <w:lang w:eastAsia="en-US"/>
        </w:rPr>
      </w:pPr>
      <w:r>
        <w:rPr>
          <w:lang w:eastAsia="en-US"/>
        </w:rPr>
        <w:t>It is important to note that retaining the current WES would be inconsistent with the requirements of the model WHS laws and therefore does not adequately assist PCBUs in meeting their obligations</w:t>
      </w:r>
      <w:r w:rsidR="00E92740">
        <w:rPr>
          <w:lang w:eastAsia="en-US"/>
        </w:rPr>
        <w:t>.</w:t>
      </w:r>
    </w:p>
    <w:p w14:paraId="4A243ACA" w14:textId="38FBB3BC" w:rsidR="00BB3851" w:rsidRPr="00BB3851" w:rsidRDefault="00BB3851" w:rsidP="00BB3851">
      <w:pPr>
        <w:pStyle w:val="Paragraph"/>
        <w:rPr>
          <w:lang w:eastAsia="en-US"/>
        </w:rPr>
      </w:pPr>
      <w:r>
        <w:rPr>
          <w:lang w:eastAsia="en-US"/>
        </w:rPr>
        <w:t xml:space="preserve">Retaining the current WES is likely to incorrectly imply to businesses that exposure to those levels of the hazardous chemicals is consistent with the obligations to minimise risk so far as is reasonably practicable, when the current evidence demonstrates otherwise.  </w:t>
      </w:r>
    </w:p>
    <w:p w14:paraId="515A4A01" w14:textId="78B60F39" w:rsidR="00781686" w:rsidRDefault="007448F1" w:rsidP="00EE0A46">
      <w:pPr>
        <w:pStyle w:val="SWAHeading2"/>
        <w:ind w:left="709"/>
      </w:pPr>
      <w:bookmarkStart w:id="45" w:name="Section5_2"/>
      <w:bookmarkStart w:id="46" w:name="_Toc219216874"/>
      <w:bookmarkEnd w:id="45"/>
      <w:r>
        <w:t xml:space="preserve">Option 2 </w:t>
      </w:r>
      <w:r w:rsidR="00781686">
        <w:t xml:space="preserve">– </w:t>
      </w:r>
      <w:r w:rsidR="003F0D87">
        <w:t>C</w:t>
      </w:r>
      <w:r w:rsidR="00781686" w:rsidRPr="00781686">
        <w:t xml:space="preserve">hange to the proposed health-based WEL </w:t>
      </w:r>
      <w:r w:rsidR="00591938">
        <w:t>for</w:t>
      </w:r>
      <w:r w:rsidR="00781686" w:rsidRPr="00781686">
        <w:t xml:space="preserve"> the 9 chemicals.</w:t>
      </w:r>
      <w:bookmarkEnd w:id="46"/>
      <w:r w:rsidR="00781686" w:rsidRPr="00781686">
        <w:t xml:space="preserve"> </w:t>
      </w:r>
    </w:p>
    <w:p w14:paraId="0A83CEDB" w14:textId="26F9D83E" w:rsidR="005D6CD3" w:rsidRDefault="00C23628" w:rsidP="002E3A8F">
      <w:pPr>
        <w:spacing w:line="240" w:lineRule="atLeast"/>
        <w:contextualSpacing w:val="0"/>
        <w:rPr>
          <w:lang w:eastAsia="en-AU"/>
        </w:rPr>
      </w:pPr>
      <w:r>
        <w:t xml:space="preserve">As outlined previously, </w:t>
      </w:r>
      <w:r w:rsidR="002319EC">
        <w:t>this</w:t>
      </w:r>
      <w:r w:rsidR="00F02CF6">
        <w:rPr>
          <w:lang w:eastAsia="en-AU"/>
        </w:rPr>
        <w:t xml:space="preserve"> analysis could only quantify benefits for 5</w:t>
      </w:r>
      <w:r w:rsidR="00F02CF6">
        <w:t xml:space="preserve"> </w:t>
      </w:r>
      <w:r w:rsidR="00F02CF6">
        <w:rPr>
          <w:lang w:eastAsia="en-AU"/>
        </w:rPr>
        <w:t>(benzene, chlorine, formaldehyde, hydrogen sulfide and RCS) of the 9 chemicals and there were limitations to the analysis.</w:t>
      </w:r>
      <w:r w:rsidR="004D0456">
        <w:rPr>
          <w:lang w:eastAsia="en-AU"/>
        </w:rPr>
        <w:t xml:space="preserve"> </w:t>
      </w:r>
      <w:r w:rsidR="00BE3472">
        <w:rPr>
          <w:lang w:eastAsia="en-AU"/>
        </w:rPr>
        <w:t xml:space="preserve">Benefits could not be </w:t>
      </w:r>
      <w:r w:rsidR="001B34E3">
        <w:rPr>
          <w:lang w:eastAsia="en-AU"/>
        </w:rPr>
        <w:t>quantified for the remaining 4 chemicals</w:t>
      </w:r>
      <w:r w:rsidR="00CA24DD">
        <w:rPr>
          <w:lang w:eastAsia="en-AU"/>
        </w:rPr>
        <w:t>, but this does</w:t>
      </w:r>
      <w:r w:rsidR="00DF39BC">
        <w:rPr>
          <w:lang w:eastAsia="en-AU"/>
        </w:rPr>
        <w:t xml:space="preserve"> </w:t>
      </w:r>
      <w:r w:rsidR="00CA24DD">
        <w:rPr>
          <w:lang w:eastAsia="en-AU"/>
        </w:rPr>
        <w:t>n</w:t>
      </w:r>
      <w:r w:rsidR="00DF39BC">
        <w:rPr>
          <w:lang w:eastAsia="en-AU"/>
        </w:rPr>
        <w:t>o</w:t>
      </w:r>
      <w:r w:rsidR="00CA24DD">
        <w:rPr>
          <w:lang w:eastAsia="en-AU"/>
        </w:rPr>
        <w:t xml:space="preserve">t </w:t>
      </w:r>
      <w:r w:rsidR="000D4CC7">
        <w:rPr>
          <w:lang w:eastAsia="en-AU"/>
        </w:rPr>
        <w:t>mean an absence of benefits</w:t>
      </w:r>
      <w:r w:rsidR="001B34E3">
        <w:rPr>
          <w:lang w:eastAsia="en-AU"/>
        </w:rPr>
        <w:t>. Further, c</w:t>
      </w:r>
      <w:r w:rsidR="004D0456">
        <w:rPr>
          <w:lang w:eastAsia="en-AU"/>
        </w:rPr>
        <w:t xml:space="preserve">ost </w:t>
      </w:r>
      <w:r w:rsidR="000C0D84">
        <w:rPr>
          <w:lang w:eastAsia="en-AU"/>
        </w:rPr>
        <w:t xml:space="preserve">estimates </w:t>
      </w:r>
      <w:r w:rsidR="000D3491">
        <w:rPr>
          <w:lang w:eastAsia="en-AU"/>
        </w:rPr>
        <w:t xml:space="preserve">were made for all 9 chemicals, however </w:t>
      </w:r>
      <w:r w:rsidR="000D1DF3">
        <w:rPr>
          <w:lang w:eastAsia="en-AU"/>
        </w:rPr>
        <w:t xml:space="preserve">there were also significant limitations in </w:t>
      </w:r>
      <w:r w:rsidR="007668C1">
        <w:rPr>
          <w:lang w:eastAsia="en-AU"/>
        </w:rPr>
        <w:t>data underpinning this analysis</w:t>
      </w:r>
      <w:r w:rsidR="000D1DF3">
        <w:rPr>
          <w:lang w:eastAsia="en-AU"/>
        </w:rPr>
        <w:t xml:space="preserve">. </w:t>
      </w:r>
      <w:r w:rsidR="00587F29">
        <w:rPr>
          <w:lang w:eastAsia="en-AU"/>
        </w:rPr>
        <w:t xml:space="preserve">As such, both the </w:t>
      </w:r>
      <w:r w:rsidR="00CA7EFB">
        <w:rPr>
          <w:lang w:eastAsia="en-AU"/>
        </w:rPr>
        <w:t>cost</w:t>
      </w:r>
      <w:r w:rsidR="00587F29">
        <w:rPr>
          <w:lang w:eastAsia="en-AU"/>
        </w:rPr>
        <w:t>s</w:t>
      </w:r>
      <w:r w:rsidR="00CA7EFB">
        <w:rPr>
          <w:lang w:eastAsia="en-AU"/>
        </w:rPr>
        <w:t xml:space="preserve"> and benefit</w:t>
      </w:r>
      <w:r w:rsidR="00587F29">
        <w:rPr>
          <w:lang w:eastAsia="en-AU"/>
        </w:rPr>
        <w:t>s</w:t>
      </w:r>
      <w:r w:rsidR="00CA7EFB">
        <w:rPr>
          <w:lang w:eastAsia="en-AU"/>
        </w:rPr>
        <w:t xml:space="preserve"> estimates </w:t>
      </w:r>
      <w:r w:rsidR="3D61FC59">
        <w:t xml:space="preserve">are </w:t>
      </w:r>
      <w:r w:rsidR="008D26FE" w:rsidRPr="12BC5E9F">
        <w:rPr>
          <w:lang w:eastAsia="en-AU"/>
        </w:rPr>
        <w:t>made</w:t>
      </w:r>
      <w:r w:rsidR="008D26FE">
        <w:rPr>
          <w:lang w:eastAsia="en-AU"/>
        </w:rPr>
        <w:t xml:space="preserve"> with low-medium confidence</w:t>
      </w:r>
      <w:r w:rsidR="00CA7EFB">
        <w:rPr>
          <w:lang w:eastAsia="en-AU"/>
        </w:rPr>
        <w:t>.</w:t>
      </w:r>
      <w:r w:rsidR="007668C1">
        <w:rPr>
          <w:lang w:eastAsia="en-AU"/>
        </w:rPr>
        <w:t xml:space="preserve"> </w:t>
      </w:r>
    </w:p>
    <w:p w14:paraId="62135D0D" w14:textId="115E82D4" w:rsidR="00F02CF6" w:rsidRDefault="00E34079" w:rsidP="002E3A8F">
      <w:pPr>
        <w:spacing w:line="240" w:lineRule="atLeast"/>
        <w:contextualSpacing w:val="0"/>
        <w:rPr>
          <w:lang w:eastAsia="en-AU"/>
        </w:rPr>
      </w:pPr>
      <w:r>
        <w:rPr>
          <w:lang w:eastAsia="en-AU"/>
        </w:rPr>
        <w:t>Despite th</w:t>
      </w:r>
      <w:r w:rsidR="000D4CC7">
        <w:rPr>
          <w:lang w:eastAsia="en-AU"/>
        </w:rPr>
        <w:t>ese limitations,</w:t>
      </w:r>
      <w:r w:rsidR="00FD39BB" w:rsidRPr="00FD39BB">
        <w:rPr>
          <w:lang w:eastAsia="en-AU"/>
        </w:rPr>
        <w:t xml:space="preserve"> </w:t>
      </w:r>
      <w:r>
        <w:rPr>
          <w:lang w:eastAsia="en-AU"/>
        </w:rPr>
        <w:t>a</w:t>
      </w:r>
      <w:r w:rsidR="006872D1">
        <w:rPr>
          <w:lang w:eastAsia="en-AU"/>
        </w:rPr>
        <w:t xml:space="preserve"> net </w:t>
      </w:r>
      <w:r w:rsidR="00765DC5">
        <w:rPr>
          <w:lang w:eastAsia="en-AU"/>
        </w:rPr>
        <w:t>quantified</w:t>
      </w:r>
      <w:r w:rsidR="007D359C">
        <w:rPr>
          <w:lang w:eastAsia="en-AU"/>
        </w:rPr>
        <w:t xml:space="preserve"> </w:t>
      </w:r>
      <w:r w:rsidR="006872D1">
        <w:rPr>
          <w:lang w:eastAsia="en-AU"/>
        </w:rPr>
        <w:t xml:space="preserve">benefit figure for this option was determined for </w:t>
      </w:r>
      <w:r w:rsidR="00765DC5">
        <w:rPr>
          <w:lang w:eastAsia="en-AU"/>
        </w:rPr>
        <w:t>all</w:t>
      </w:r>
      <w:r w:rsidR="00BF095C">
        <w:rPr>
          <w:lang w:eastAsia="en-AU"/>
        </w:rPr>
        <w:t xml:space="preserve"> </w:t>
      </w:r>
      <w:r w:rsidR="75133063" w:rsidRPr="12BC5E9F">
        <w:rPr>
          <w:lang w:eastAsia="en-AU"/>
        </w:rPr>
        <w:t xml:space="preserve">chemicals </w:t>
      </w:r>
      <w:r w:rsidR="75133063" w:rsidRPr="216C91C8">
        <w:rPr>
          <w:lang w:eastAsia="en-AU"/>
        </w:rPr>
        <w:t xml:space="preserve">that are the </w:t>
      </w:r>
      <w:r w:rsidR="00BF095C" w:rsidRPr="216C91C8">
        <w:rPr>
          <w:lang w:eastAsia="en-AU"/>
        </w:rPr>
        <w:t>subject</w:t>
      </w:r>
      <w:r w:rsidR="00BF095C">
        <w:rPr>
          <w:lang w:eastAsia="en-AU"/>
        </w:rPr>
        <w:t xml:space="preserve"> of this Decision RIS. </w:t>
      </w:r>
      <w:r w:rsidR="00D04DA1">
        <w:rPr>
          <w:lang w:eastAsia="en-AU"/>
        </w:rPr>
        <w:t>However, t</w:t>
      </w:r>
      <w:r w:rsidR="002B68D0">
        <w:rPr>
          <w:lang w:eastAsia="en-AU"/>
        </w:rPr>
        <w:t>hese figure</w:t>
      </w:r>
      <w:r w:rsidR="00D12B77">
        <w:rPr>
          <w:lang w:eastAsia="en-AU"/>
        </w:rPr>
        <w:t xml:space="preserve">s should be read in conjunction with the non-quantifiable and qualitative </w:t>
      </w:r>
      <w:r w:rsidR="004514CC">
        <w:rPr>
          <w:lang w:eastAsia="en-AU"/>
        </w:rPr>
        <w:t xml:space="preserve">costs and </w:t>
      </w:r>
      <w:r w:rsidR="00D12B77">
        <w:rPr>
          <w:lang w:eastAsia="en-AU"/>
        </w:rPr>
        <w:t xml:space="preserve">benefits </w:t>
      </w:r>
      <w:r w:rsidR="004E5880">
        <w:rPr>
          <w:lang w:eastAsia="en-AU"/>
        </w:rPr>
        <w:t xml:space="preserve">outlined </w:t>
      </w:r>
      <w:r w:rsidR="00DC715B">
        <w:rPr>
          <w:lang w:eastAsia="en-AU"/>
        </w:rPr>
        <w:t xml:space="preserve">in </w:t>
      </w:r>
      <w:r w:rsidR="004E5880">
        <w:rPr>
          <w:lang w:eastAsia="en-AU"/>
        </w:rPr>
        <w:t>this section</w:t>
      </w:r>
      <w:r w:rsidR="00B953A6">
        <w:rPr>
          <w:lang w:eastAsia="en-AU"/>
        </w:rPr>
        <w:t>. Further</w:t>
      </w:r>
      <w:r w:rsidR="00F02CF6" w:rsidRPr="00463155">
        <w:t xml:space="preserve"> detail on each chemical presented in subsequent sections (Section</w:t>
      </w:r>
      <w:r w:rsidR="264F9946" w:rsidRPr="00463155">
        <w:t>s</w:t>
      </w:r>
      <w:r w:rsidR="00F02CF6" w:rsidRPr="00463155">
        <w:t xml:space="preserve"> </w:t>
      </w:r>
      <w:r w:rsidR="00E63B0B" w:rsidRPr="00463155">
        <w:t>9</w:t>
      </w:r>
      <w:r w:rsidR="00F02CF6" w:rsidRPr="00463155">
        <w:t xml:space="preserve"> - </w:t>
      </w:r>
      <w:r w:rsidR="00957126" w:rsidRPr="00463155">
        <w:t>17</w:t>
      </w:r>
      <w:r w:rsidR="00F02CF6" w:rsidRPr="00463155">
        <w:t>).</w:t>
      </w:r>
      <w:r w:rsidR="00F02CF6" w:rsidRPr="00463155">
        <w:rPr>
          <w:lang w:eastAsia="en-AU"/>
        </w:rPr>
        <w:t xml:space="preserve"> </w:t>
      </w:r>
    </w:p>
    <w:p w14:paraId="15A3D699" w14:textId="4C58BD2E" w:rsidR="009911EB" w:rsidRDefault="00D70920" w:rsidP="00463155">
      <w:pPr>
        <w:pStyle w:val="SWAHeading3"/>
        <w:keepNext/>
        <w:rPr>
          <w:lang w:eastAsia="en-AU"/>
        </w:rPr>
      </w:pPr>
      <w:r>
        <w:rPr>
          <w:lang w:eastAsia="en-AU"/>
        </w:rPr>
        <w:t xml:space="preserve">Approach to </w:t>
      </w:r>
      <w:r w:rsidRPr="00EE0A46">
        <w:t>assessment</w:t>
      </w:r>
      <w:r>
        <w:rPr>
          <w:lang w:eastAsia="en-AU"/>
        </w:rPr>
        <w:t xml:space="preserve">  </w:t>
      </w:r>
    </w:p>
    <w:p w14:paraId="0B0457FF" w14:textId="30686D95" w:rsidR="001C08E4" w:rsidRDefault="001C08E4" w:rsidP="00463155">
      <w:pPr>
        <w:keepNext/>
        <w:spacing w:line="259" w:lineRule="auto"/>
        <w:contextualSpacing w:val="0"/>
        <w:rPr>
          <w:rFonts w:eastAsia="Times New Roman"/>
        </w:rPr>
      </w:pPr>
      <w:r>
        <w:rPr>
          <w:rFonts w:eastAsia="Times New Roman"/>
        </w:rPr>
        <w:t>To support as robust as possible an assessment of benefit</w:t>
      </w:r>
      <w:r w:rsidR="00E4207C">
        <w:rPr>
          <w:rFonts w:eastAsia="Times New Roman"/>
        </w:rPr>
        <w:t>s</w:t>
      </w:r>
      <w:r>
        <w:rPr>
          <w:rFonts w:eastAsia="Times New Roman"/>
        </w:rPr>
        <w:t xml:space="preserve"> and costs of this option, recognising the data limitations, SWA engaged Nous Group to undertake an impact analysis for each of the 9 chemicals subject to this regulatory impact analysis. Their analysis </w:t>
      </w:r>
      <w:r w:rsidR="0024564C">
        <w:rPr>
          <w:rFonts w:eastAsia="Times New Roman"/>
        </w:rPr>
        <w:t>was</w:t>
      </w:r>
      <w:r>
        <w:rPr>
          <w:rFonts w:eastAsia="Times New Roman"/>
        </w:rPr>
        <w:t xml:space="preserve"> </w:t>
      </w:r>
      <w:r w:rsidR="0024564C">
        <w:rPr>
          <w:rFonts w:eastAsia="Times New Roman"/>
        </w:rPr>
        <w:t xml:space="preserve">informed by the approach </w:t>
      </w:r>
      <w:r w:rsidR="0024564C" w:rsidRPr="0A067B13">
        <w:rPr>
          <w:rFonts w:eastAsia="Times New Roman"/>
        </w:rPr>
        <w:t>taken</w:t>
      </w:r>
      <w:r w:rsidR="0024564C">
        <w:rPr>
          <w:rFonts w:eastAsia="Times New Roman"/>
        </w:rPr>
        <w:t xml:space="preserve"> for the WES Review Decision RIS, and involved </w:t>
      </w:r>
      <w:r>
        <w:rPr>
          <w:rFonts w:eastAsia="Times New Roman"/>
        </w:rPr>
        <w:t>desktop review, analysis of publicly available data sources and stakeholder consultation</w:t>
      </w:r>
      <w:r w:rsidR="0024564C">
        <w:rPr>
          <w:rFonts w:eastAsia="Times New Roman"/>
        </w:rPr>
        <w:t>.</w:t>
      </w:r>
      <w:r w:rsidDel="0024564C">
        <w:rPr>
          <w:rFonts w:eastAsia="Times New Roman"/>
        </w:rPr>
        <w:t xml:space="preserve"> </w:t>
      </w:r>
    </w:p>
    <w:p w14:paraId="24FD87AB" w14:textId="3C376599" w:rsidR="004721E3" w:rsidRPr="004721E3" w:rsidRDefault="004721E3" w:rsidP="004721E3">
      <w:pPr>
        <w:spacing w:line="259" w:lineRule="auto"/>
        <w:contextualSpacing w:val="0"/>
        <w:rPr>
          <w:lang w:eastAsia="en-AU"/>
        </w:rPr>
      </w:pPr>
      <w:r w:rsidRPr="004721E3">
        <w:rPr>
          <w:lang w:eastAsia="en-AU"/>
        </w:rPr>
        <w:t>The conceptual approach for this impact analysis</w:t>
      </w:r>
      <w:r w:rsidR="002A16AB">
        <w:rPr>
          <w:lang w:eastAsia="en-AU"/>
        </w:rPr>
        <w:t xml:space="preserve">, shown in </w:t>
      </w:r>
      <w:r w:rsidR="00CA0BE2">
        <w:rPr>
          <w:lang w:eastAsia="en-AU"/>
        </w:rPr>
        <w:fldChar w:fldCharType="begin"/>
      </w:r>
      <w:r w:rsidR="00CA0BE2">
        <w:rPr>
          <w:lang w:eastAsia="en-AU"/>
        </w:rPr>
        <w:instrText xml:space="preserve"> REF _Ref202270119 \h </w:instrText>
      </w:r>
      <w:r w:rsidR="00CA0BE2">
        <w:rPr>
          <w:lang w:eastAsia="en-AU"/>
        </w:rPr>
      </w:r>
      <w:r w:rsidR="00CA0BE2">
        <w:rPr>
          <w:lang w:eastAsia="en-AU"/>
        </w:rPr>
        <w:fldChar w:fldCharType="separate"/>
      </w:r>
      <w:r w:rsidR="00A002F4">
        <w:t xml:space="preserve">Figure </w:t>
      </w:r>
      <w:r w:rsidR="00A002F4">
        <w:rPr>
          <w:noProof/>
        </w:rPr>
        <w:t>1</w:t>
      </w:r>
      <w:r w:rsidR="00CA0BE2">
        <w:rPr>
          <w:lang w:eastAsia="en-AU"/>
        </w:rPr>
        <w:fldChar w:fldCharType="end"/>
      </w:r>
      <w:r w:rsidR="002A16AB">
        <w:rPr>
          <w:lang w:eastAsia="en-AU"/>
        </w:rPr>
        <w:t>,</w:t>
      </w:r>
      <w:r w:rsidR="001D4893">
        <w:rPr>
          <w:lang w:eastAsia="en-AU"/>
        </w:rPr>
        <w:t xml:space="preserve"> </w:t>
      </w:r>
      <w:r w:rsidRPr="004721E3">
        <w:rPr>
          <w:lang w:eastAsia="en-AU"/>
        </w:rPr>
        <w:t>focuses on three key measures of impact:</w:t>
      </w:r>
    </w:p>
    <w:p w14:paraId="2D4A7D52" w14:textId="77777777" w:rsidR="004721E3" w:rsidRPr="004721E3" w:rsidRDefault="004721E3" w:rsidP="00A2768E">
      <w:pPr>
        <w:numPr>
          <w:ilvl w:val="0"/>
          <w:numId w:val="98"/>
        </w:numPr>
        <w:spacing w:line="259" w:lineRule="auto"/>
        <w:contextualSpacing w:val="0"/>
        <w:rPr>
          <w:lang w:eastAsia="en-AU"/>
        </w:rPr>
      </w:pPr>
      <w:r w:rsidRPr="004721E3">
        <w:rPr>
          <w:lang w:eastAsia="en-AU"/>
        </w:rPr>
        <w:lastRenderedPageBreak/>
        <w:t>The potential number of affected businesses, by business size category.</w:t>
      </w:r>
    </w:p>
    <w:p w14:paraId="63F6511F" w14:textId="77777777" w:rsidR="002A16AB" w:rsidRDefault="004721E3" w:rsidP="00A2768E">
      <w:pPr>
        <w:numPr>
          <w:ilvl w:val="0"/>
          <w:numId w:val="98"/>
        </w:numPr>
        <w:spacing w:line="259" w:lineRule="auto"/>
        <w:contextualSpacing w:val="0"/>
        <w:rPr>
          <w:lang w:eastAsia="en-AU"/>
        </w:rPr>
      </w:pPr>
      <w:r w:rsidRPr="004721E3">
        <w:rPr>
          <w:lang w:eastAsia="en-AU"/>
        </w:rPr>
        <w:t>The estimated costs that would be incurred by businesses relating to</w:t>
      </w:r>
      <w:r w:rsidR="002A16AB">
        <w:rPr>
          <w:lang w:eastAsia="en-AU"/>
        </w:rPr>
        <w:t>:</w:t>
      </w:r>
    </w:p>
    <w:p w14:paraId="6E05D3FA" w14:textId="2B79E6DC" w:rsidR="002A16AB" w:rsidRDefault="005C50B1" w:rsidP="00A2768E">
      <w:pPr>
        <w:numPr>
          <w:ilvl w:val="1"/>
          <w:numId w:val="98"/>
        </w:numPr>
        <w:spacing w:line="259" w:lineRule="auto"/>
        <w:contextualSpacing w:val="0"/>
        <w:rPr>
          <w:lang w:eastAsia="en-AU"/>
        </w:rPr>
      </w:pPr>
      <w:r>
        <w:rPr>
          <w:lang w:eastAsia="en-AU"/>
        </w:rPr>
        <w:t xml:space="preserve">additional </w:t>
      </w:r>
      <w:r w:rsidR="004721E3" w:rsidRPr="004721E3">
        <w:rPr>
          <w:lang w:eastAsia="en-AU"/>
        </w:rPr>
        <w:t>control measures (isolation controls, engineering controls, administrative controls and personal protective equipment)</w:t>
      </w:r>
      <w:r w:rsidR="002A16AB">
        <w:rPr>
          <w:lang w:eastAsia="en-AU"/>
        </w:rPr>
        <w:t xml:space="preserve">, </w:t>
      </w:r>
      <w:r w:rsidR="004721E3" w:rsidRPr="004721E3">
        <w:rPr>
          <w:lang w:eastAsia="en-AU"/>
        </w:rPr>
        <w:t xml:space="preserve">and </w:t>
      </w:r>
    </w:p>
    <w:p w14:paraId="1DB6703C" w14:textId="02AD040B" w:rsidR="004721E3" w:rsidRPr="004721E3" w:rsidRDefault="004721E3" w:rsidP="00A2768E">
      <w:pPr>
        <w:numPr>
          <w:ilvl w:val="1"/>
          <w:numId w:val="98"/>
        </w:numPr>
        <w:spacing w:line="259" w:lineRule="auto"/>
        <w:contextualSpacing w:val="0"/>
        <w:rPr>
          <w:lang w:eastAsia="en-AU"/>
        </w:rPr>
      </w:pPr>
      <w:r w:rsidRPr="004721E3">
        <w:rPr>
          <w:lang w:eastAsia="en-AU"/>
        </w:rPr>
        <w:t>management practices (</w:t>
      </w:r>
      <w:r w:rsidR="000530E8">
        <w:rPr>
          <w:lang w:eastAsia="en-AU"/>
        </w:rPr>
        <w:t xml:space="preserve">expert occupational hygiene advice, </w:t>
      </w:r>
      <w:r w:rsidRPr="004721E3">
        <w:rPr>
          <w:lang w:eastAsia="en-AU"/>
        </w:rPr>
        <w:t>air monitoring and health monitoring).</w:t>
      </w:r>
    </w:p>
    <w:p w14:paraId="6077E7FC" w14:textId="73829AB7" w:rsidR="002A16AB" w:rsidRDefault="004721E3" w:rsidP="00A2768E">
      <w:pPr>
        <w:pStyle w:val="ListParagraph"/>
        <w:numPr>
          <w:ilvl w:val="0"/>
          <w:numId w:val="98"/>
        </w:numPr>
        <w:spacing w:line="259" w:lineRule="auto"/>
        <w:contextualSpacing w:val="0"/>
        <w:rPr>
          <w:lang w:eastAsia="en-AU"/>
        </w:rPr>
      </w:pPr>
      <w:r w:rsidRPr="004721E3">
        <w:rPr>
          <w:lang w:eastAsia="en-AU"/>
        </w:rPr>
        <w:t xml:space="preserve">The </w:t>
      </w:r>
      <w:r w:rsidR="00A9058C">
        <w:rPr>
          <w:lang w:eastAsia="en-AU"/>
        </w:rPr>
        <w:t xml:space="preserve">quantified </w:t>
      </w:r>
      <w:r w:rsidR="001A4466">
        <w:rPr>
          <w:lang w:eastAsia="en-AU"/>
        </w:rPr>
        <w:t>and qualitative</w:t>
      </w:r>
      <w:r w:rsidR="009B1C06">
        <w:rPr>
          <w:lang w:eastAsia="en-AU"/>
        </w:rPr>
        <w:t xml:space="preserve"> </w:t>
      </w:r>
      <w:r w:rsidRPr="004721E3">
        <w:rPr>
          <w:lang w:eastAsia="en-AU"/>
        </w:rPr>
        <w:t>benefits</w:t>
      </w:r>
      <w:r w:rsidR="009B1C06">
        <w:rPr>
          <w:lang w:eastAsia="en-AU"/>
        </w:rPr>
        <w:t xml:space="preserve"> </w:t>
      </w:r>
      <w:r w:rsidR="004F2BE0" w:rsidRPr="004721E3">
        <w:rPr>
          <w:lang w:eastAsia="en-AU"/>
        </w:rPr>
        <w:t>to affected workers, their families</w:t>
      </w:r>
      <w:r w:rsidR="004F2BE0">
        <w:rPr>
          <w:lang w:eastAsia="en-AU"/>
        </w:rPr>
        <w:t xml:space="preserve">, businesses or PCBUs, government </w:t>
      </w:r>
      <w:r w:rsidR="004F2BE0" w:rsidRPr="004721E3">
        <w:rPr>
          <w:lang w:eastAsia="en-AU"/>
        </w:rPr>
        <w:t xml:space="preserve">and the broader community </w:t>
      </w:r>
      <w:r w:rsidR="000601AB" w:rsidRPr="004721E3">
        <w:rPr>
          <w:lang w:eastAsia="en-AU"/>
        </w:rPr>
        <w:t>resulting from reduced workplace exposure to these chemicals</w:t>
      </w:r>
      <w:r w:rsidR="00505A11">
        <w:rPr>
          <w:lang w:eastAsia="en-AU"/>
        </w:rPr>
        <w:t>, including</w:t>
      </w:r>
      <w:r w:rsidR="00A60810">
        <w:rPr>
          <w:lang w:eastAsia="en-AU"/>
        </w:rPr>
        <w:t xml:space="preserve"> (but not limited to)</w:t>
      </w:r>
      <w:r w:rsidR="00505A11">
        <w:rPr>
          <w:lang w:eastAsia="en-AU"/>
        </w:rPr>
        <w:t>:</w:t>
      </w:r>
    </w:p>
    <w:p w14:paraId="44D8B8B1" w14:textId="77777777" w:rsidR="00F67770" w:rsidRDefault="00F67770" w:rsidP="00A2768E">
      <w:pPr>
        <w:pStyle w:val="ListParagraph"/>
        <w:numPr>
          <w:ilvl w:val="1"/>
          <w:numId w:val="98"/>
        </w:numPr>
        <w:spacing w:line="259" w:lineRule="auto"/>
        <w:contextualSpacing w:val="0"/>
        <w:rPr>
          <w:lang w:eastAsia="en-AU"/>
        </w:rPr>
      </w:pPr>
      <w:r w:rsidRPr="00505A11">
        <w:rPr>
          <w:lang w:eastAsia="en-AU"/>
        </w:rPr>
        <w:t xml:space="preserve">reduced occupational disease, </w:t>
      </w:r>
      <w:r>
        <w:rPr>
          <w:lang w:eastAsia="en-AU"/>
        </w:rPr>
        <w:t xml:space="preserve">which can contribute towards reduced cost to government and the health system, </w:t>
      </w:r>
    </w:p>
    <w:p w14:paraId="08D9FC5E" w14:textId="77777777" w:rsidR="00C80666" w:rsidRDefault="00C80666" w:rsidP="00A2768E">
      <w:pPr>
        <w:pStyle w:val="ListParagraph"/>
        <w:numPr>
          <w:ilvl w:val="1"/>
          <w:numId w:val="98"/>
        </w:numPr>
        <w:spacing w:line="259" w:lineRule="auto"/>
        <w:contextualSpacing w:val="0"/>
        <w:rPr>
          <w:lang w:eastAsia="en-AU"/>
        </w:rPr>
      </w:pPr>
      <w:r>
        <w:rPr>
          <w:lang w:eastAsia="en-AU"/>
        </w:rPr>
        <w:t>reduced costs associated with workers’ compensation claims for businesses and PCBUs,</w:t>
      </w:r>
    </w:p>
    <w:p w14:paraId="684007AB" w14:textId="4BE794E5" w:rsidR="00505A11" w:rsidRDefault="00505A11" w:rsidP="00A2768E">
      <w:pPr>
        <w:pStyle w:val="ListParagraph"/>
        <w:numPr>
          <w:ilvl w:val="1"/>
          <w:numId w:val="98"/>
        </w:numPr>
        <w:spacing w:line="259" w:lineRule="auto"/>
        <w:contextualSpacing w:val="0"/>
        <w:rPr>
          <w:lang w:eastAsia="en-AU"/>
        </w:rPr>
      </w:pPr>
      <w:r w:rsidRPr="00505A11">
        <w:rPr>
          <w:lang w:eastAsia="en-AU"/>
        </w:rPr>
        <w:t xml:space="preserve">improved health outcomes, </w:t>
      </w:r>
      <w:r w:rsidR="001A4466">
        <w:rPr>
          <w:lang w:eastAsia="en-AU"/>
        </w:rPr>
        <w:t>including protection from adverse health effects caused by work-related exposure to the 9 chemicals</w:t>
      </w:r>
      <w:r w:rsidR="0047113C">
        <w:rPr>
          <w:lang w:eastAsia="en-AU"/>
        </w:rPr>
        <w:t>,</w:t>
      </w:r>
    </w:p>
    <w:p w14:paraId="21D015FE" w14:textId="7B751F08" w:rsidR="00505A11" w:rsidRDefault="00505A11" w:rsidP="00A2768E">
      <w:pPr>
        <w:pStyle w:val="ListParagraph"/>
        <w:numPr>
          <w:ilvl w:val="1"/>
          <w:numId w:val="98"/>
        </w:numPr>
        <w:spacing w:line="259" w:lineRule="auto"/>
        <w:contextualSpacing w:val="0"/>
        <w:rPr>
          <w:lang w:eastAsia="en-AU"/>
        </w:rPr>
      </w:pPr>
      <w:r w:rsidRPr="00505A11">
        <w:rPr>
          <w:lang w:eastAsia="en-AU"/>
        </w:rPr>
        <w:t>increased workplace productivity</w:t>
      </w:r>
      <w:r>
        <w:rPr>
          <w:lang w:eastAsia="en-AU"/>
        </w:rPr>
        <w:t>,</w:t>
      </w:r>
      <w:r w:rsidR="00C661BF">
        <w:rPr>
          <w:lang w:eastAsia="en-AU"/>
        </w:rPr>
        <w:t xml:space="preserve"> including </w:t>
      </w:r>
      <w:r w:rsidR="00923E39">
        <w:rPr>
          <w:lang w:eastAsia="en-AU"/>
        </w:rPr>
        <w:t xml:space="preserve">from </w:t>
      </w:r>
      <w:r w:rsidR="00C661BF">
        <w:rPr>
          <w:lang w:eastAsia="en-AU"/>
        </w:rPr>
        <w:t>a reduction in psychosocial hazards</w:t>
      </w:r>
      <w:r w:rsidR="0002280E">
        <w:rPr>
          <w:lang w:eastAsia="en-AU"/>
        </w:rPr>
        <w:t xml:space="preserve">, </w:t>
      </w:r>
      <w:r w:rsidRPr="00505A11">
        <w:rPr>
          <w:lang w:eastAsia="en-AU"/>
        </w:rPr>
        <w:t xml:space="preserve">and </w:t>
      </w:r>
    </w:p>
    <w:p w14:paraId="6D5B2AFB" w14:textId="435CBA58" w:rsidR="00505A11" w:rsidRDefault="00505A11" w:rsidP="00A2768E">
      <w:pPr>
        <w:pStyle w:val="ListParagraph"/>
        <w:numPr>
          <w:ilvl w:val="1"/>
          <w:numId w:val="98"/>
        </w:numPr>
        <w:spacing w:line="259" w:lineRule="auto"/>
        <w:contextualSpacing w:val="0"/>
        <w:rPr>
          <w:lang w:eastAsia="en-AU"/>
        </w:rPr>
      </w:pPr>
      <w:r w:rsidRPr="00505A11">
        <w:rPr>
          <w:lang w:eastAsia="en-AU"/>
        </w:rPr>
        <w:t>improved quality of life</w:t>
      </w:r>
      <w:r w:rsidR="0002280E">
        <w:rPr>
          <w:lang w:eastAsia="en-AU"/>
        </w:rPr>
        <w:t xml:space="preserve"> of workers, their families and the broader community</w:t>
      </w:r>
      <w:r>
        <w:rPr>
          <w:lang w:eastAsia="en-AU"/>
        </w:rPr>
        <w:t xml:space="preserve">. </w:t>
      </w:r>
    </w:p>
    <w:p w14:paraId="08516DD2" w14:textId="56DB0EBF" w:rsidR="006F5DF2" w:rsidRDefault="0022583A" w:rsidP="00F01BA9">
      <w:pPr>
        <w:keepNext/>
        <w:spacing w:after="0" w:line="259" w:lineRule="auto"/>
        <w:contextualSpacing w:val="0"/>
      </w:pPr>
      <w:r w:rsidRPr="0022583A">
        <w:rPr>
          <w:noProof/>
        </w:rPr>
        <w:lastRenderedPageBreak/>
        <w:drawing>
          <wp:inline distT="0" distB="0" distL="0" distR="0" wp14:anchorId="2CD19E37" wp14:editId="29F2E050">
            <wp:extent cx="5746750" cy="6109335"/>
            <wp:effectExtent l="0" t="0" r="6350" b="5715"/>
            <wp:docPr id="60952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0030" name=""/>
                    <pic:cNvPicPr/>
                  </pic:nvPicPr>
                  <pic:blipFill>
                    <a:blip r:embed="rId30"/>
                    <a:stretch>
                      <a:fillRect/>
                    </a:stretch>
                  </pic:blipFill>
                  <pic:spPr>
                    <a:xfrm>
                      <a:off x="0" y="0"/>
                      <a:ext cx="5746750" cy="6109335"/>
                    </a:xfrm>
                    <a:prstGeom prst="rect">
                      <a:avLst/>
                    </a:prstGeom>
                  </pic:spPr>
                </pic:pic>
              </a:graphicData>
            </a:graphic>
          </wp:inline>
        </w:drawing>
      </w:r>
    </w:p>
    <w:p w14:paraId="7A33BCA5" w14:textId="1D915E38" w:rsidR="006C1D40" w:rsidRPr="004721E3" w:rsidRDefault="006F5DF2" w:rsidP="006F5DF2">
      <w:pPr>
        <w:pStyle w:val="Caption"/>
        <w:spacing w:before="0"/>
        <w:rPr>
          <w:lang w:eastAsia="en-AU"/>
        </w:rPr>
      </w:pPr>
      <w:bookmarkStart w:id="47" w:name="_Ref202270119"/>
      <w:r>
        <w:t xml:space="preserve">Figure </w:t>
      </w:r>
      <w:fldSimple w:instr=" SEQ Figure \* ARABIC ">
        <w:r w:rsidR="00A002F4">
          <w:rPr>
            <w:noProof/>
          </w:rPr>
          <w:t>1</w:t>
        </w:r>
      </w:fldSimple>
      <w:bookmarkEnd w:id="47"/>
      <w:r>
        <w:t xml:space="preserve"> - </w:t>
      </w:r>
      <w:r w:rsidRPr="00BE1194">
        <w:t>Conceptual approach to the impact analysis</w:t>
      </w:r>
    </w:p>
    <w:p w14:paraId="13E1B1A0" w14:textId="22F0D208" w:rsidR="00F80F96" w:rsidRDefault="004721E3" w:rsidP="00917005">
      <w:pPr>
        <w:spacing w:before="120" w:line="259" w:lineRule="auto"/>
        <w:contextualSpacing w:val="0"/>
        <w:rPr>
          <w:lang w:eastAsia="en-AU"/>
        </w:rPr>
      </w:pPr>
      <w:r w:rsidRPr="004721E3">
        <w:rPr>
          <w:lang w:eastAsia="en-AU"/>
        </w:rPr>
        <w:t xml:space="preserve">This approach is applied for each of the 9 chemicals considered in this Decision RIS, although not all cost and benefit items were able to be estimated for </w:t>
      </w:r>
      <w:r w:rsidR="004B118B">
        <w:rPr>
          <w:lang w:eastAsia="en-AU"/>
        </w:rPr>
        <w:t>each</w:t>
      </w:r>
      <w:r w:rsidRPr="004721E3">
        <w:rPr>
          <w:lang w:eastAsia="en-AU"/>
        </w:rPr>
        <w:t xml:space="preserve"> chemical due to limited publicly available data. </w:t>
      </w:r>
      <w:r w:rsidR="008C4CF1">
        <w:rPr>
          <w:lang w:eastAsia="en-AU"/>
        </w:rPr>
        <w:t>For example, b</w:t>
      </w:r>
      <w:r w:rsidRPr="004721E3">
        <w:rPr>
          <w:lang w:eastAsia="en-AU"/>
        </w:rPr>
        <w:t>enefits for</w:t>
      </w:r>
      <w:r w:rsidRPr="004721E3" w:rsidDel="00752E4A">
        <w:rPr>
          <w:lang w:eastAsia="en-AU"/>
        </w:rPr>
        <w:t xml:space="preserve"> </w:t>
      </w:r>
      <w:r w:rsidRPr="004721E3">
        <w:rPr>
          <w:lang w:eastAsia="en-AU"/>
        </w:rPr>
        <w:t>4 of the 9</w:t>
      </w:r>
      <w:r w:rsidRPr="004721E3" w:rsidDel="00752E4A">
        <w:rPr>
          <w:lang w:eastAsia="en-AU"/>
        </w:rPr>
        <w:t xml:space="preserve"> </w:t>
      </w:r>
      <w:r w:rsidRPr="004721E3">
        <w:rPr>
          <w:lang w:eastAsia="en-AU"/>
        </w:rPr>
        <w:t xml:space="preserve">chemicals were not able to be quantified due to a lack of publicly available data, while certain cost estimates required industry-specific assumptions where sector-level data was limited. </w:t>
      </w:r>
      <w:r w:rsidR="00F80F96">
        <w:rPr>
          <w:lang w:eastAsia="en-AU"/>
        </w:rPr>
        <w:t xml:space="preserve">Where benefits were not </w:t>
      </w:r>
      <w:r w:rsidR="00F80F96" w:rsidRPr="00C03677">
        <w:rPr>
          <w:lang w:eastAsia="en-AU"/>
        </w:rPr>
        <w:t>quantifi</w:t>
      </w:r>
      <w:r w:rsidR="00B85AFD" w:rsidRPr="00C03677">
        <w:rPr>
          <w:lang w:eastAsia="en-AU"/>
        </w:rPr>
        <w:t>able</w:t>
      </w:r>
      <w:r w:rsidR="00F80F96" w:rsidRPr="00C03677">
        <w:rPr>
          <w:lang w:eastAsia="en-AU"/>
        </w:rPr>
        <w:t xml:space="preserve"> </w:t>
      </w:r>
      <w:r w:rsidR="00F80F96">
        <w:rPr>
          <w:lang w:eastAsia="en-AU"/>
        </w:rPr>
        <w:t xml:space="preserve">for any of the 9 chemicals, they were </w:t>
      </w:r>
      <w:r w:rsidR="00277D7A">
        <w:rPr>
          <w:lang w:eastAsia="en-AU"/>
        </w:rPr>
        <w:t xml:space="preserve">described </w:t>
      </w:r>
      <w:r w:rsidR="00F80F96">
        <w:rPr>
          <w:lang w:eastAsia="en-AU"/>
        </w:rPr>
        <w:t>qualitatively.</w:t>
      </w:r>
    </w:p>
    <w:p w14:paraId="5B181AEB" w14:textId="0BB633FB" w:rsidR="000A3F23" w:rsidRDefault="00F80F96" w:rsidP="70F40EC5">
      <w:pPr>
        <w:spacing w:before="120" w:line="240" w:lineRule="atLeast"/>
        <w:rPr>
          <w:lang w:val="en-US"/>
        </w:rPr>
      </w:pPr>
      <w:r>
        <w:rPr>
          <w:lang w:eastAsia="en-AU"/>
        </w:rPr>
        <w:t>A</w:t>
      </w:r>
      <w:r w:rsidR="00A74319" w:rsidRPr="70F40EC5">
        <w:rPr>
          <w:lang w:val="en-US"/>
        </w:rPr>
        <w:t xml:space="preserve">n </w:t>
      </w:r>
      <w:r w:rsidR="008E2A74" w:rsidRPr="70F40EC5">
        <w:rPr>
          <w:lang w:val="en-US"/>
        </w:rPr>
        <w:t>absence of quantifi</w:t>
      </w:r>
      <w:r w:rsidR="00B85AFD">
        <w:rPr>
          <w:lang w:val="en-US"/>
        </w:rPr>
        <w:t>able</w:t>
      </w:r>
      <w:r w:rsidR="008E2A74" w:rsidRPr="70F40EC5">
        <w:rPr>
          <w:lang w:val="en-US"/>
        </w:rPr>
        <w:t xml:space="preserve"> benefits</w:t>
      </w:r>
      <w:r w:rsidR="002863A7" w:rsidRPr="70F40EC5">
        <w:rPr>
          <w:lang w:val="en-US"/>
        </w:rPr>
        <w:t xml:space="preserve"> due to a lack of publicly available data</w:t>
      </w:r>
      <w:r w:rsidR="008E2A74" w:rsidRPr="70F40EC5">
        <w:rPr>
          <w:lang w:val="en-US"/>
        </w:rPr>
        <w:t xml:space="preserve"> </w:t>
      </w:r>
      <w:r w:rsidR="008E2A74" w:rsidRPr="70F40EC5">
        <w:rPr>
          <w:b/>
          <w:lang w:val="en-US"/>
        </w:rPr>
        <w:t>does not</w:t>
      </w:r>
      <w:r w:rsidR="008E2A74" w:rsidRPr="70F40EC5">
        <w:rPr>
          <w:lang w:val="en-US"/>
        </w:rPr>
        <w:t xml:space="preserve"> mean </w:t>
      </w:r>
      <w:r w:rsidR="0040647F" w:rsidRPr="70F40EC5">
        <w:rPr>
          <w:lang w:val="en-US"/>
        </w:rPr>
        <w:t>the</w:t>
      </w:r>
      <w:r w:rsidR="008E2A74" w:rsidRPr="70F40EC5">
        <w:rPr>
          <w:lang w:val="en-US"/>
        </w:rPr>
        <w:t xml:space="preserve"> </w:t>
      </w:r>
      <w:r w:rsidR="00A74319" w:rsidRPr="70F40EC5">
        <w:rPr>
          <w:lang w:val="en-US"/>
        </w:rPr>
        <w:t>proposed WEL</w:t>
      </w:r>
      <w:r w:rsidR="00365684" w:rsidRPr="70F40EC5">
        <w:rPr>
          <w:lang w:val="en-US"/>
        </w:rPr>
        <w:t xml:space="preserve"> will not result in any benefits</w:t>
      </w:r>
      <w:r w:rsidR="00A74319" w:rsidRPr="70F40EC5">
        <w:rPr>
          <w:lang w:val="en-US"/>
        </w:rPr>
        <w:t>.</w:t>
      </w:r>
      <w:r w:rsidR="00365684" w:rsidRPr="70F40EC5">
        <w:rPr>
          <w:lang w:val="en-US"/>
        </w:rPr>
        <w:t xml:space="preserve"> </w:t>
      </w:r>
      <w:r w:rsidR="003C62CD" w:rsidRPr="70F40EC5">
        <w:rPr>
          <w:lang w:val="en-US"/>
        </w:rPr>
        <w:t>For example, t</w:t>
      </w:r>
      <w:r w:rsidR="00365684" w:rsidRPr="70F40EC5">
        <w:rPr>
          <w:lang w:val="en-US"/>
        </w:rPr>
        <w:t xml:space="preserve">his Decision RIS </w:t>
      </w:r>
      <w:r w:rsidR="00B22A7E" w:rsidRPr="70F40EC5">
        <w:rPr>
          <w:lang w:val="en-US"/>
        </w:rPr>
        <w:t>recogni</w:t>
      </w:r>
      <w:r w:rsidR="003C62CD" w:rsidRPr="70F40EC5">
        <w:rPr>
          <w:lang w:val="en-US"/>
        </w:rPr>
        <w:t>s</w:t>
      </w:r>
      <w:r w:rsidR="00B22A7E" w:rsidRPr="70F40EC5">
        <w:rPr>
          <w:lang w:val="en-US"/>
        </w:rPr>
        <w:t>e</w:t>
      </w:r>
      <w:r w:rsidR="69DD8844" w:rsidRPr="70F40EC5">
        <w:rPr>
          <w:lang w:val="en-US"/>
        </w:rPr>
        <w:t>s</w:t>
      </w:r>
      <w:r w:rsidR="00365684" w:rsidRPr="70F40EC5">
        <w:rPr>
          <w:lang w:val="en-US"/>
        </w:rPr>
        <w:t xml:space="preserve"> that</w:t>
      </w:r>
      <w:r w:rsidR="003C62CD" w:rsidRPr="70F40EC5">
        <w:rPr>
          <w:lang w:val="en-US"/>
        </w:rPr>
        <w:t xml:space="preserve"> the health evidence</w:t>
      </w:r>
      <w:r w:rsidR="005A557C" w:rsidRPr="70F40EC5">
        <w:rPr>
          <w:lang w:val="en-US"/>
        </w:rPr>
        <w:t xml:space="preserve"> used to recommend the proposed WEL for each of the 9 chemicals </w:t>
      </w:r>
      <w:r w:rsidR="003C62CD" w:rsidRPr="70F40EC5">
        <w:rPr>
          <w:lang w:val="en-US"/>
        </w:rPr>
        <w:t xml:space="preserve">shows </w:t>
      </w:r>
      <w:r w:rsidR="005A557C" w:rsidRPr="70F40EC5">
        <w:rPr>
          <w:lang w:val="en-US"/>
        </w:rPr>
        <w:t xml:space="preserve">that </w:t>
      </w:r>
      <w:r w:rsidR="004F5465" w:rsidRPr="70F40EC5">
        <w:rPr>
          <w:lang w:val="en-US"/>
        </w:rPr>
        <w:t xml:space="preserve">there can be a reduction in </w:t>
      </w:r>
      <w:r w:rsidR="00365684" w:rsidRPr="70F40EC5">
        <w:rPr>
          <w:lang w:val="en-US"/>
        </w:rPr>
        <w:t xml:space="preserve">occupational disease </w:t>
      </w:r>
      <w:r w:rsidR="004F5465" w:rsidRPr="70F40EC5">
        <w:rPr>
          <w:lang w:val="en-US"/>
        </w:rPr>
        <w:t xml:space="preserve">as a result of </w:t>
      </w:r>
      <w:r w:rsidR="005A557C" w:rsidRPr="70F40EC5">
        <w:rPr>
          <w:lang w:val="en-US"/>
        </w:rPr>
        <w:t xml:space="preserve">implementing the </w:t>
      </w:r>
      <w:r w:rsidR="0086318A" w:rsidRPr="70F40EC5">
        <w:rPr>
          <w:lang w:val="en-US"/>
        </w:rPr>
        <w:t>proposed WEL</w:t>
      </w:r>
      <w:r w:rsidR="00913CBA" w:rsidRPr="70F40EC5">
        <w:rPr>
          <w:lang w:val="en-US"/>
        </w:rPr>
        <w:t xml:space="preserve">, which </w:t>
      </w:r>
      <w:r w:rsidR="00F71A52" w:rsidRPr="70F40EC5">
        <w:rPr>
          <w:lang w:val="en-US"/>
        </w:rPr>
        <w:t xml:space="preserve">can have flow-on impacts on other </w:t>
      </w:r>
      <w:r w:rsidR="00597D58" w:rsidRPr="70F40EC5">
        <w:rPr>
          <w:lang w:val="en-US"/>
        </w:rPr>
        <w:t>areas like reduce</w:t>
      </w:r>
      <w:r w:rsidR="000326E0">
        <w:rPr>
          <w:lang w:val="en-US"/>
        </w:rPr>
        <w:t>d</w:t>
      </w:r>
      <w:r w:rsidR="00597D58" w:rsidRPr="70F40EC5">
        <w:rPr>
          <w:lang w:val="en-US"/>
        </w:rPr>
        <w:t xml:space="preserve"> workers’ compensation claims and cost to government through savings in the health system</w:t>
      </w:r>
      <w:r w:rsidR="0086318A" w:rsidRPr="70F40EC5">
        <w:rPr>
          <w:lang w:val="en-US"/>
        </w:rPr>
        <w:t xml:space="preserve">. </w:t>
      </w:r>
      <w:r w:rsidRPr="70F40EC5">
        <w:rPr>
          <w:lang w:val="en-US"/>
        </w:rPr>
        <w:t xml:space="preserve">These </w:t>
      </w:r>
      <w:r w:rsidR="00597D58" w:rsidRPr="70F40EC5">
        <w:rPr>
          <w:lang w:val="en-US"/>
        </w:rPr>
        <w:t>are important</w:t>
      </w:r>
      <w:r w:rsidR="00222F21" w:rsidRPr="70F40EC5">
        <w:rPr>
          <w:lang w:val="en-US"/>
        </w:rPr>
        <w:t xml:space="preserve"> consideration</w:t>
      </w:r>
      <w:r w:rsidR="004913E6" w:rsidRPr="70F40EC5">
        <w:rPr>
          <w:lang w:val="en-US"/>
        </w:rPr>
        <w:t>s that should be considered</w:t>
      </w:r>
      <w:r w:rsidR="00222F21" w:rsidRPr="70F40EC5">
        <w:rPr>
          <w:lang w:val="en-US"/>
        </w:rPr>
        <w:t xml:space="preserve"> when determining the net benefit </w:t>
      </w:r>
      <w:r w:rsidR="00777FD9" w:rsidRPr="70F40EC5">
        <w:rPr>
          <w:lang w:val="en-US"/>
        </w:rPr>
        <w:t xml:space="preserve">of </w:t>
      </w:r>
      <w:r w:rsidR="00777FD9" w:rsidRPr="70F40EC5">
        <w:rPr>
          <w:lang w:val="en-US"/>
        </w:rPr>
        <w:lastRenderedPageBreak/>
        <w:t>Option 2</w:t>
      </w:r>
      <w:r w:rsidR="004913E6" w:rsidRPr="70F40EC5">
        <w:rPr>
          <w:lang w:val="en-US"/>
        </w:rPr>
        <w:t xml:space="preserve">, as </w:t>
      </w:r>
      <w:r w:rsidR="008026BD" w:rsidRPr="70F40EC5">
        <w:rPr>
          <w:lang w:val="en-US"/>
        </w:rPr>
        <w:t>they impact</w:t>
      </w:r>
      <w:r w:rsidR="004913E6" w:rsidRPr="70F40EC5">
        <w:rPr>
          <w:lang w:val="en-US"/>
        </w:rPr>
        <w:t xml:space="preserve"> affected workers, their families, businesses, the government and </w:t>
      </w:r>
      <w:r w:rsidR="00172DA4" w:rsidRPr="70F40EC5">
        <w:rPr>
          <w:lang w:val="en-US"/>
        </w:rPr>
        <w:t>the broader community</w:t>
      </w:r>
      <w:r w:rsidR="00777FD9" w:rsidRPr="70F40EC5">
        <w:rPr>
          <w:lang w:val="en-US"/>
        </w:rPr>
        <w:t xml:space="preserve">. </w:t>
      </w:r>
      <w:r w:rsidRPr="70F40EC5">
        <w:rPr>
          <w:lang w:val="en-US"/>
        </w:rPr>
        <w:t xml:space="preserve"> </w:t>
      </w:r>
    </w:p>
    <w:p w14:paraId="0BC10A39" w14:textId="77777777" w:rsidR="00A555F0" w:rsidRDefault="00A555F0" w:rsidP="70F40EC5">
      <w:pPr>
        <w:spacing w:before="120" w:line="240" w:lineRule="atLeast"/>
        <w:rPr>
          <w:lang w:eastAsia="en-AU"/>
        </w:rPr>
      </w:pPr>
    </w:p>
    <w:p w14:paraId="5CF7889D" w14:textId="79E2BA81" w:rsidR="006A7786" w:rsidRDefault="00D70920" w:rsidP="009911EB">
      <w:pPr>
        <w:spacing w:line="259" w:lineRule="auto"/>
        <w:contextualSpacing w:val="0"/>
        <w:rPr>
          <w:lang w:eastAsia="en-AU"/>
        </w:rPr>
      </w:pPr>
      <w:r>
        <w:rPr>
          <w:lang w:eastAsia="en-AU"/>
        </w:rPr>
        <w:t xml:space="preserve">The methodology </w:t>
      </w:r>
      <w:r w:rsidR="002F0C93">
        <w:rPr>
          <w:lang w:eastAsia="en-AU"/>
        </w:rPr>
        <w:t xml:space="preserve">and data sources </w:t>
      </w:r>
      <w:r>
        <w:rPr>
          <w:lang w:eastAsia="en-AU"/>
        </w:rPr>
        <w:t xml:space="preserve">underpinning the </w:t>
      </w:r>
      <w:r w:rsidR="009C32BB">
        <w:rPr>
          <w:lang w:eastAsia="en-AU"/>
        </w:rPr>
        <w:t xml:space="preserve">assessment of impact is included at </w:t>
      </w:r>
      <w:hyperlink w:anchor="AppendixC_Methodology" w:history="1">
        <w:r w:rsidR="00993680" w:rsidRPr="00B64384">
          <w:rPr>
            <w:rStyle w:val="Hyperlink"/>
            <w:color w:val="auto"/>
            <w:u w:val="none"/>
            <w:lang w:eastAsia="en-AU"/>
          </w:rPr>
          <w:t xml:space="preserve">Appendix </w:t>
        </w:r>
        <w:r w:rsidR="00222BE0" w:rsidRPr="00B64384">
          <w:rPr>
            <w:rStyle w:val="Hyperlink"/>
            <w:color w:val="auto"/>
            <w:u w:val="none"/>
            <w:lang w:eastAsia="en-AU"/>
          </w:rPr>
          <w:t>C</w:t>
        </w:r>
      </w:hyperlink>
      <w:r w:rsidR="00F37918">
        <w:rPr>
          <w:lang w:eastAsia="en-AU"/>
        </w:rPr>
        <w:t xml:space="preserve">. Also included in Appendix </w:t>
      </w:r>
      <w:r w:rsidR="00222BE0">
        <w:rPr>
          <w:lang w:eastAsia="en-AU"/>
        </w:rPr>
        <w:t>C</w:t>
      </w:r>
      <w:r w:rsidR="00F37918">
        <w:rPr>
          <w:lang w:eastAsia="en-AU"/>
        </w:rPr>
        <w:t xml:space="preserve"> are details regarding the </w:t>
      </w:r>
      <w:r w:rsidR="009C32BB">
        <w:rPr>
          <w:lang w:eastAsia="en-AU"/>
        </w:rPr>
        <w:t>assumptions underpinning the assessment</w:t>
      </w:r>
      <w:r w:rsidR="005D6CD3">
        <w:rPr>
          <w:lang w:eastAsia="en-AU"/>
        </w:rPr>
        <w:t xml:space="preserve"> of benefits and costs under this option</w:t>
      </w:r>
      <w:r w:rsidR="006A7786">
        <w:rPr>
          <w:lang w:eastAsia="en-AU"/>
        </w:rPr>
        <w:t>.</w:t>
      </w:r>
    </w:p>
    <w:p w14:paraId="4C938506" w14:textId="3DE582BC" w:rsidR="00E01DD3" w:rsidRDefault="00921328" w:rsidP="009911EB">
      <w:pPr>
        <w:spacing w:line="259" w:lineRule="auto"/>
        <w:contextualSpacing w:val="0"/>
        <w:rPr>
          <w:lang w:eastAsia="en-AU"/>
        </w:rPr>
      </w:pPr>
      <w:r>
        <w:rPr>
          <w:lang w:eastAsia="en-AU"/>
        </w:rPr>
        <w:t>In estimating</w:t>
      </w:r>
      <w:r w:rsidR="000C3A2C">
        <w:rPr>
          <w:lang w:eastAsia="en-AU"/>
        </w:rPr>
        <w:t xml:space="preserve"> the</w:t>
      </w:r>
      <w:r>
        <w:rPr>
          <w:lang w:eastAsia="en-AU"/>
        </w:rPr>
        <w:t xml:space="preserve"> costs, it has been assumed</w:t>
      </w:r>
      <w:r w:rsidR="00833535">
        <w:rPr>
          <w:lang w:eastAsia="en-AU"/>
        </w:rPr>
        <w:t>, for the purposes of setting a base case for this impact analysis,</w:t>
      </w:r>
      <w:r>
        <w:rPr>
          <w:lang w:eastAsia="en-AU"/>
        </w:rPr>
        <w:t xml:space="preserve"> that:</w:t>
      </w:r>
    </w:p>
    <w:p w14:paraId="56F1C8A7" w14:textId="28F19E6B" w:rsidR="002F0C93" w:rsidRPr="00E820FA" w:rsidRDefault="002F0C93" w:rsidP="00A2768E">
      <w:pPr>
        <w:pStyle w:val="ListParagraph"/>
        <w:numPr>
          <w:ilvl w:val="0"/>
          <w:numId w:val="89"/>
        </w:numPr>
        <w:spacing w:line="240" w:lineRule="atLeast"/>
        <w:contextualSpacing w:val="0"/>
        <w:rPr>
          <w:rFonts w:eastAsia="Times New Roman"/>
          <w:lang w:eastAsia="en-AU"/>
        </w:rPr>
      </w:pPr>
      <w:r w:rsidRPr="00E820FA">
        <w:rPr>
          <w:rFonts w:eastAsia="Times New Roman"/>
          <w:lang w:eastAsia="en-AU"/>
        </w:rPr>
        <w:t xml:space="preserve">all businesses comply with the current WES for each of the </w:t>
      </w:r>
      <w:r w:rsidR="00B470E9">
        <w:rPr>
          <w:rFonts w:eastAsia="Times New Roman"/>
          <w:lang w:eastAsia="en-AU"/>
        </w:rPr>
        <w:t>9</w:t>
      </w:r>
      <w:r w:rsidR="00B470E9" w:rsidRPr="00E820FA">
        <w:rPr>
          <w:rFonts w:eastAsia="Times New Roman"/>
          <w:lang w:eastAsia="en-AU"/>
        </w:rPr>
        <w:t xml:space="preserve"> </w:t>
      </w:r>
      <w:r w:rsidRPr="00E820FA">
        <w:rPr>
          <w:rFonts w:eastAsia="Times New Roman"/>
          <w:lang w:eastAsia="en-AU"/>
        </w:rPr>
        <w:t xml:space="preserve">chemicals, </w:t>
      </w:r>
    </w:p>
    <w:p w14:paraId="14AB9B18" w14:textId="09AB4C1B" w:rsidR="002F0C93" w:rsidRPr="00E820FA" w:rsidRDefault="002F0C93" w:rsidP="00A2768E">
      <w:pPr>
        <w:pStyle w:val="ListParagraph"/>
        <w:numPr>
          <w:ilvl w:val="0"/>
          <w:numId w:val="89"/>
        </w:numPr>
        <w:spacing w:line="240" w:lineRule="atLeast"/>
        <w:contextualSpacing w:val="0"/>
        <w:rPr>
          <w:rFonts w:eastAsia="Times New Roman"/>
          <w:lang w:eastAsia="en-AU"/>
        </w:rPr>
      </w:pPr>
      <w:r w:rsidRPr="00E820FA">
        <w:rPr>
          <w:rFonts w:eastAsia="Times New Roman"/>
          <w:lang w:eastAsia="en-AU"/>
        </w:rPr>
        <w:t>all businesses comply with the recent changes to regulations for the processing of silica-containing substances,</w:t>
      </w:r>
      <w:r w:rsidR="0047113C">
        <w:rPr>
          <w:rFonts w:eastAsia="Times New Roman"/>
          <w:lang w:eastAsia="en-AU"/>
        </w:rPr>
        <w:t xml:space="preserve"> and</w:t>
      </w:r>
    </w:p>
    <w:p w14:paraId="57DF115B" w14:textId="4B4EACDF" w:rsidR="00E01DD3" w:rsidRPr="009911EB" w:rsidRDefault="002F0C93" w:rsidP="00A2768E">
      <w:pPr>
        <w:pStyle w:val="ListParagraph"/>
        <w:numPr>
          <w:ilvl w:val="0"/>
          <w:numId w:val="89"/>
        </w:numPr>
        <w:spacing w:line="240" w:lineRule="atLeast"/>
        <w:contextualSpacing w:val="0"/>
        <w:rPr>
          <w:lang w:eastAsia="en-AU"/>
        </w:rPr>
      </w:pPr>
      <w:r w:rsidRPr="00E820FA">
        <w:rPr>
          <w:rFonts w:eastAsia="Times New Roman"/>
          <w:lang w:eastAsia="en-AU"/>
        </w:rPr>
        <w:t>all businesses fulfill their obligations under the model WHS Act.</w:t>
      </w:r>
    </w:p>
    <w:p w14:paraId="6BA6CB6C" w14:textId="50076D3B" w:rsidR="002F0C93" w:rsidRPr="002F0C93" w:rsidRDefault="00921328" w:rsidP="002F0C93">
      <w:pPr>
        <w:spacing w:line="240" w:lineRule="atLeast"/>
        <w:contextualSpacing w:val="0"/>
        <w:rPr>
          <w:rFonts w:eastAsia="Times New Roman"/>
          <w:lang w:eastAsia="en-AU"/>
        </w:rPr>
      </w:pPr>
      <w:r>
        <w:rPr>
          <w:rFonts w:eastAsia="Times New Roman"/>
          <w:lang w:eastAsia="en-AU"/>
        </w:rPr>
        <w:t xml:space="preserve">In estimating </w:t>
      </w:r>
      <w:r w:rsidR="000C3A2C">
        <w:rPr>
          <w:rFonts w:eastAsia="Times New Roman"/>
          <w:lang w:eastAsia="en-AU"/>
        </w:rPr>
        <w:t xml:space="preserve">the </w:t>
      </w:r>
      <w:r w:rsidR="00957126">
        <w:rPr>
          <w:rFonts w:eastAsia="Times New Roman"/>
          <w:lang w:eastAsia="en-AU"/>
        </w:rPr>
        <w:t>benefits,</w:t>
      </w:r>
      <w:r>
        <w:rPr>
          <w:rFonts w:eastAsia="Times New Roman"/>
          <w:lang w:eastAsia="en-AU"/>
        </w:rPr>
        <w:t xml:space="preserve"> it has been assumed that:</w:t>
      </w:r>
    </w:p>
    <w:p w14:paraId="1CEE446C" w14:textId="02503CC7" w:rsidR="00921328" w:rsidRPr="00E820FA" w:rsidRDefault="00D9075D" w:rsidP="00A2768E">
      <w:pPr>
        <w:pStyle w:val="ListParagraph"/>
        <w:numPr>
          <w:ilvl w:val="0"/>
          <w:numId w:val="90"/>
        </w:numPr>
        <w:spacing w:line="240" w:lineRule="atLeast"/>
        <w:contextualSpacing w:val="0"/>
        <w:rPr>
          <w:rFonts w:eastAsia="Times New Roman"/>
          <w:lang w:eastAsia="en-AU"/>
        </w:rPr>
      </w:pPr>
      <w:r w:rsidRPr="00E820FA">
        <w:rPr>
          <w:rFonts w:eastAsia="Times New Roman"/>
          <w:lang w:eastAsia="en-AU"/>
        </w:rPr>
        <w:t>t</w:t>
      </w:r>
      <w:r w:rsidR="007F519E" w:rsidRPr="00E820FA">
        <w:rPr>
          <w:rFonts w:eastAsia="Times New Roman"/>
          <w:lang w:eastAsia="en-AU"/>
        </w:rPr>
        <w:t xml:space="preserve">he shift to the proposed WEL </w:t>
      </w:r>
      <w:r w:rsidR="00D37DCF">
        <w:rPr>
          <w:rFonts w:eastAsia="Times New Roman"/>
          <w:lang w:eastAsia="en-AU"/>
        </w:rPr>
        <w:t>will</w:t>
      </w:r>
      <w:r w:rsidR="007F519E" w:rsidRPr="00E820FA">
        <w:rPr>
          <w:rFonts w:eastAsia="Times New Roman"/>
          <w:lang w:eastAsia="en-AU"/>
        </w:rPr>
        <w:t xml:space="preserve"> avert all </w:t>
      </w:r>
      <w:r w:rsidR="004D126E">
        <w:rPr>
          <w:rFonts w:eastAsia="Times New Roman"/>
          <w:lang w:eastAsia="en-AU"/>
        </w:rPr>
        <w:t>work-related</w:t>
      </w:r>
      <w:r w:rsidR="004D126E" w:rsidRPr="00E820FA">
        <w:rPr>
          <w:rFonts w:eastAsia="Times New Roman"/>
          <w:lang w:eastAsia="en-AU"/>
        </w:rPr>
        <w:t xml:space="preserve"> </w:t>
      </w:r>
      <w:r w:rsidR="007F519E" w:rsidRPr="00E820FA">
        <w:rPr>
          <w:rFonts w:eastAsia="Times New Roman"/>
          <w:lang w:eastAsia="en-AU"/>
        </w:rPr>
        <w:t>disease attributable to workplace exposure</w:t>
      </w:r>
      <w:r w:rsidR="00963B34">
        <w:rPr>
          <w:rFonts w:eastAsia="Times New Roman"/>
          <w:lang w:eastAsia="en-AU"/>
        </w:rPr>
        <w:t xml:space="preserve"> due to the absence of data that estimates </w:t>
      </w:r>
      <w:r w:rsidR="00E71EA6">
        <w:rPr>
          <w:rFonts w:eastAsia="Times New Roman"/>
          <w:lang w:eastAsia="en-AU"/>
        </w:rPr>
        <w:t>the reduction in occupational diseases that can be attributed to the proposed WELs,</w:t>
      </w:r>
    </w:p>
    <w:p w14:paraId="7E61A481" w14:textId="6D0739A4" w:rsidR="007F519E" w:rsidRPr="00E820FA" w:rsidRDefault="00D9075D" w:rsidP="00A2768E">
      <w:pPr>
        <w:pStyle w:val="ListParagraph"/>
        <w:numPr>
          <w:ilvl w:val="0"/>
          <w:numId w:val="90"/>
        </w:numPr>
        <w:spacing w:line="240" w:lineRule="atLeast"/>
        <w:ind w:left="1077" w:hanging="357"/>
        <w:contextualSpacing w:val="0"/>
        <w:rPr>
          <w:rFonts w:eastAsia="Times New Roman"/>
          <w:lang w:eastAsia="en-AU"/>
        </w:rPr>
      </w:pPr>
      <w:r w:rsidRPr="00E820FA">
        <w:rPr>
          <w:rFonts w:eastAsia="Times New Roman"/>
          <w:lang w:eastAsia="en-AU"/>
        </w:rPr>
        <w:t xml:space="preserve">the full scale of benefits </w:t>
      </w:r>
      <w:r w:rsidR="00D37DCF">
        <w:rPr>
          <w:rFonts w:eastAsia="Times New Roman"/>
          <w:lang w:eastAsia="en-AU"/>
        </w:rPr>
        <w:t>will</w:t>
      </w:r>
      <w:r w:rsidRPr="00E820FA">
        <w:rPr>
          <w:rFonts w:eastAsia="Times New Roman"/>
          <w:lang w:eastAsia="en-AU"/>
        </w:rPr>
        <w:t xml:space="preserve"> be incurred from the first year following the adoption of the proposed WEL</w:t>
      </w:r>
      <w:r w:rsidR="00CD61A0">
        <w:rPr>
          <w:rFonts w:eastAsia="Times New Roman"/>
          <w:lang w:eastAsia="en-AU"/>
        </w:rPr>
        <w:t xml:space="preserve">, </w:t>
      </w:r>
      <w:r w:rsidR="008224F6">
        <w:rPr>
          <w:rFonts w:eastAsia="Times New Roman"/>
          <w:lang w:eastAsia="en-AU"/>
        </w:rPr>
        <w:t xml:space="preserve">noting </w:t>
      </w:r>
      <w:r w:rsidR="00316B20">
        <w:rPr>
          <w:rFonts w:eastAsia="Times New Roman"/>
          <w:lang w:eastAsia="en-AU"/>
        </w:rPr>
        <w:t xml:space="preserve">that due to long latency of some occupational diseases caused by exposure to the 9 chemicals, </w:t>
      </w:r>
      <w:r w:rsidR="008224F6">
        <w:rPr>
          <w:rFonts w:eastAsia="Times New Roman"/>
          <w:lang w:eastAsia="en-AU"/>
        </w:rPr>
        <w:t xml:space="preserve">it is more likely </w:t>
      </w:r>
      <w:r w:rsidR="009E577A">
        <w:rPr>
          <w:rFonts w:eastAsia="Times New Roman"/>
          <w:lang w:eastAsia="en-AU"/>
        </w:rPr>
        <w:t xml:space="preserve">the benefits </w:t>
      </w:r>
      <w:r w:rsidR="24FB818D" w:rsidRPr="1B53981F">
        <w:rPr>
          <w:rFonts w:eastAsia="Times New Roman"/>
          <w:lang w:eastAsia="en-AU"/>
        </w:rPr>
        <w:t xml:space="preserve">will be experienced </w:t>
      </w:r>
      <w:r w:rsidR="24FB818D" w:rsidRPr="5F69CA01">
        <w:rPr>
          <w:rFonts w:eastAsia="Times New Roman"/>
          <w:lang w:eastAsia="en-AU"/>
        </w:rPr>
        <w:t>beyond</w:t>
      </w:r>
      <w:r w:rsidR="00CD61A0">
        <w:rPr>
          <w:rFonts w:eastAsia="Times New Roman"/>
          <w:lang w:eastAsia="en-AU"/>
        </w:rPr>
        <w:t xml:space="preserve"> the 10-year period this analysis is based on</w:t>
      </w:r>
      <w:r w:rsidR="00101F4A">
        <w:rPr>
          <w:rFonts w:eastAsia="Times New Roman"/>
          <w:lang w:eastAsia="en-AU"/>
        </w:rPr>
        <w:t>, and</w:t>
      </w:r>
    </w:p>
    <w:p w14:paraId="706EE1FA" w14:textId="493B488E" w:rsidR="002E56D0" w:rsidRPr="00E820FA" w:rsidRDefault="002E56D0" w:rsidP="00A2768E">
      <w:pPr>
        <w:pStyle w:val="ListParagraph"/>
        <w:numPr>
          <w:ilvl w:val="0"/>
          <w:numId w:val="90"/>
        </w:numPr>
        <w:spacing w:line="240" w:lineRule="atLeast"/>
        <w:contextualSpacing w:val="0"/>
        <w:rPr>
          <w:rFonts w:eastAsia="Times New Roman"/>
          <w:lang w:eastAsia="en-AU"/>
        </w:rPr>
      </w:pPr>
      <w:r w:rsidRPr="00E820FA">
        <w:rPr>
          <w:rFonts w:asciiTheme="majorHAnsi" w:hAnsiTheme="majorHAnsi" w:cstheme="majorHAnsi"/>
        </w:rPr>
        <w:t>all existing direct and indirect health impacts are due to exposure at levels within the current WES</w:t>
      </w:r>
      <w:r w:rsidR="00907079">
        <w:rPr>
          <w:rFonts w:asciiTheme="majorHAnsi" w:hAnsiTheme="majorHAnsi" w:cstheme="majorHAnsi"/>
        </w:rPr>
        <w:t xml:space="preserve"> </w:t>
      </w:r>
      <w:r w:rsidR="009D5877">
        <w:rPr>
          <w:rFonts w:asciiTheme="majorHAnsi" w:hAnsiTheme="majorHAnsi" w:cstheme="majorHAnsi"/>
        </w:rPr>
        <w:t xml:space="preserve">as the data used to quantify the benefits (i.e., </w:t>
      </w:r>
      <w:r w:rsidR="008F4FA3">
        <w:rPr>
          <w:rFonts w:asciiTheme="majorHAnsi" w:hAnsiTheme="majorHAnsi" w:cstheme="majorHAnsi"/>
        </w:rPr>
        <w:t xml:space="preserve">burden of disease and workers’ compensation) does not identify the exposure levels that caused the adverse health effect. </w:t>
      </w:r>
      <w:r w:rsidR="00907079">
        <w:rPr>
          <w:rFonts w:asciiTheme="majorHAnsi" w:hAnsiTheme="majorHAnsi" w:cstheme="majorHAnsi"/>
        </w:rPr>
        <w:t xml:space="preserve"> </w:t>
      </w:r>
    </w:p>
    <w:p w14:paraId="496C6068" w14:textId="77777777" w:rsidR="009911EB" w:rsidRPr="009911EB" w:rsidRDefault="009911EB" w:rsidP="00EE0A46">
      <w:pPr>
        <w:pStyle w:val="SWAHeading3"/>
      </w:pPr>
      <w:bookmarkStart w:id="48" w:name="_Toc194509999"/>
      <w:bookmarkStart w:id="49" w:name="_Toc196204605"/>
      <w:r w:rsidRPr="009911EB">
        <w:t>Benefits</w:t>
      </w:r>
      <w:bookmarkEnd w:id="48"/>
      <w:bookmarkEnd w:id="49"/>
    </w:p>
    <w:p w14:paraId="2CC95643" w14:textId="0A19DE9A" w:rsidR="00D27868" w:rsidRDefault="009911EB" w:rsidP="00B64384">
      <w:pPr>
        <w:spacing w:line="240" w:lineRule="atLeast"/>
        <w:contextualSpacing w:val="0"/>
        <w:rPr>
          <w:rFonts w:eastAsia="Times New Roman"/>
        </w:rPr>
      </w:pPr>
      <w:r w:rsidRPr="009911EB">
        <w:rPr>
          <w:rFonts w:eastAsia="Times New Roman"/>
        </w:rPr>
        <w:t xml:space="preserve">The primary benefit of the proposed </w:t>
      </w:r>
      <w:r w:rsidR="005D6CD3">
        <w:rPr>
          <w:rFonts w:eastAsia="Times New Roman"/>
        </w:rPr>
        <w:t>health</w:t>
      </w:r>
      <w:r w:rsidR="00B23B55">
        <w:rPr>
          <w:rFonts w:eastAsia="Times New Roman"/>
        </w:rPr>
        <w:t>-</w:t>
      </w:r>
      <w:r w:rsidR="005D6CD3">
        <w:rPr>
          <w:rFonts w:eastAsia="Times New Roman"/>
        </w:rPr>
        <w:t xml:space="preserve">based </w:t>
      </w:r>
      <w:r w:rsidRPr="009911EB">
        <w:rPr>
          <w:rFonts w:eastAsia="Times New Roman"/>
        </w:rPr>
        <w:t>WELs is to protect workers from the adverse health effects that could develop if the current WES are retained. However,</w:t>
      </w:r>
      <w:r w:rsidR="00403FE3">
        <w:rPr>
          <w:rFonts w:eastAsia="Times New Roman"/>
        </w:rPr>
        <w:t xml:space="preserve"> </w:t>
      </w:r>
      <w:r w:rsidR="004DDAB1" w:rsidRPr="2BC29B7B">
        <w:rPr>
          <w:rFonts w:eastAsia="Times New Roman"/>
        </w:rPr>
        <w:t xml:space="preserve">there are </w:t>
      </w:r>
      <w:r w:rsidRPr="2BC29B7B">
        <w:rPr>
          <w:rFonts w:eastAsia="Times New Roman"/>
        </w:rPr>
        <w:t>additional</w:t>
      </w:r>
      <w:r w:rsidRPr="009911EB">
        <w:rPr>
          <w:rFonts w:eastAsia="Times New Roman"/>
        </w:rPr>
        <w:t xml:space="preserve"> quantitative and qualitative benefits </w:t>
      </w:r>
      <w:r w:rsidR="009D5ABD" w:rsidRPr="009D5ABD">
        <w:rPr>
          <w:rFonts w:eastAsia="Times New Roman"/>
        </w:rPr>
        <w:t xml:space="preserve">for individuals </w:t>
      </w:r>
      <w:r w:rsidRPr="009911EB">
        <w:rPr>
          <w:rFonts w:eastAsia="Times New Roman"/>
        </w:rPr>
        <w:t>and the community because of the proposed WELs.</w:t>
      </w:r>
      <w:r w:rsidR="007F6468">
        <w:rPr>
          <w:rFonts w:eastAsia="Times New Roman"/>
        </w:rPr>
        <w:t xml:space="preserve"> The proposed </w:t>
      </w:r>
      <w:r w:rsidR="007F6468" w:rsidRPr="5F69CA01">
        <w:rPr>
          <w:rFonts w:eastAsia="Times New Roman"/>
        </w:rPr>
        <w:t>WEL</w:t>
      </w:r>
      <w:r w:rsidR="7C203DB3" w:rsidRPr="5F69CA01">
        <w:rPr>
          <w:rFonts w:eastAsia="Times New Roman"/>
        </w:rPr>
        <w:t>s</w:t>
      </w:r>
      <w:r w:rsidR="007F6468">
        <w:rPr>
          <w:rFonts w:eastAsia="Times New Roman"/>
        </w:rPr>
        <w:t xml:space="preserve"> are based on expert review of available evidence which indicates that exposure of workers </w:t>
      </w:r>
      <w:r w:rsidR="612AEF5E" w:rsidRPr="013B2285">
        <w:rPr>
          <w:rFonts w:eastAsia="Times New Roman"/>
        </w:rPr>
        <w:t xml:space="preserve">below </w:t>
      </w:r>
      <w:r w:rsidR="00525CE4">
        <w:rPr>
          <w:rFonts w:eastAsia="Times New Roman"/>
        </w:rPr>
        <w:t xml:space="preserve">the proposed WEL provides protection against adverse health effects. </w:t>
      </w:r>
      <w:r w:rsidR="00F61B2A">
        <w:rPr>
          <w:rFonts w:eastAsia="Times New Roman"/>
        </w:rPr>
        <w:t xml:space="preserve">Based on the </w:t>
      </w:r>
      <w:r w:rsidR="69BC7647" w:rsidRPr="5E12712A">
        <w:rPr>
          <w:rFonts w:eastAsia="Times New Roman"/>
        </w:rPr>
        <w:t>evidence</w:t>
      </w:r>
      <w:r w:rsidR="00F61B2A" w:rsidRPr="5E12712A">
        <w:rPr>
          <w:rFonts w:eastAsia="Times New Roman"/>
        </w:rPr>
        <w:t xml:space="preserve"> </w:t>
      </w:r>
      <w:r w:rsidR="1DC6B2A0" w:rsidRPr="5E12712A">
        <w:rPr>
          <w:rFonts w:eastAsia="Times New Roman"/>
        </w:rPr>
        <w:t>used to determine</w:t>
      </w:r>
      <w:r w:rsidR="00F61B2A">
        <w:rPr>
          <w:rFonts w:eastAsia="Times New Roman"/>
        </w:rPr>
        <w:t xml:space="preserve"> </w:t>
      </w:r>
      <w:r w:rsidR="007E0993">
        <w:rPr>
          <w:rFonts w:eastAsia="Times New Roman"/>
        </w:rPr>
        <w:t xml:space="preserve">the proposed </w:t>
      </w:r>
      <w:r w:rsidR="007E0993" w:rsidRPr="5E12712A">
        <w:rPr>
          <w:rFonts w:eastAsia="Times New Roman"/>
        </w:rPr>
        <w:t>WEL</w:t>
      </w:r>
      <w:r w:rsidR="1AE0A013" w:rsidRPr="5E12712A">
        <w:rPr>
          <w:rFonts w:eastAsia="Times New Roman"/>
        </w:rPr>
        <w:t>s</w:t>
      </w:r>
      <w:r w:rsidR="74A6A17C" w:rsidRPr="5E12712A">
        <w:rPr>
          <w:rFonts w:eastAsia="Times New Roman"/>
        </w:rPr>
        <w:t>,</w:t>
      </w:r>
      <w:r w:rsidR="007E0993">
        <w:rPr>
          <w:rFonts w:eastAsia="Times New Roman"/>
        </w:rPr>
        <w:t xml:space="preserve"> there is a high degree of certainty that the benefit of worker protection will be realised.</w:t>
      </w:r>
    </w:p>
    <w:p w14:paraId="2BE609D0" w14:textId="3715C69A" w:rsidR="00D27868" w:rsidRDefault="00017DEA" w:rsidP="00B64384">
      <w:pPr>
        <w:spacing w:line="240" w:lineRule="atLeast"/>
        <w:contextualSpacing w:val="0"/>
        <w:rPr>
          <w:rFonts w:eastAsia="Times New Roman"/>
        </w:rPr>
      </w:pPr>
      <w:r>
        <w:rPr>
          <w:rFonts w:eastAsia="Times New Roman"/>
        </w:rPr>
        <w:t>The</w:t>
      </w:r>
      <w:r w:rsidR="00D27868">
        <w:rPr>
          <w:rFonts w:eastAsia="Times New Roman"/>
        </w:rPr>
        <w:t xml:space="preserve"> quantitative benefits have</w:t>
      </w:r>
      <w:r w:rsidR="00D602C2">
        <w:rPr>
          <w:rFonts w:eastAsia="Times New Roman"/>
        </w:rPr>
        <w:t xml:space="preserve"> </w:t>
      </w:r>
      <w:r w:rsidR="00D27868">
        <w:rPr>
          <w:rFonts w:eastAsia="Times New Roman"/>
        </w:rPr>
        <w:t xml:space="preserve">been estimated over a 10-year appraisal period </w:t>
      </w:r>
      <w:r w:rsidR="00616B90">
        <w:rPr>
          <w:rFonts w:eastAsia="Times New Roman"/>
        </w:rPr>
        <w:t>(FY27 to FY36) for the purposes of this Decision RIS</w:t>
      </w:r>
      <w:r w:rsidR="00EF39D2">
        <w:rPr>
          <w:rFonts w:eastAsia="Times New Roman"/>
        </w:rPr>
        <w:t>. However,</w:t>
      </w:r>
      <w:r w:rsidR="00616B90">
        <w:rPr>
          <w:rFonts w:eastAsia="Times New Roman"/>
        </w:rPr>
        <w:t xml:space="preserve"> it is expected that these benefits, as well as </w:t>
      </w:r>
      <w:r w:rsidR="00EF39D2">
        <w:rPr>
          <w:rFonts w:eastAsia="Times New Roman"/>
        </w:rPr>
        <w:t xml:space="preserve">the </w:t>
      </w:r>
      <w:r w:rsidR="00616B90">
        <w:rPr>
          <w:rFonts w:eastAsia="Times New Roman"/>
        </w:rPr>
        <w:t>non-quantified and qualitative benefits</w:t>
      </w:r>
      <w:r w:rsidR="00EF39D2">
        <w:rPr>
          <w:rFonts w:eastAsia="Times New Roman"/>
        </w:rPr>
        <w:t xml:space="preserve"> discussed throughout this section and in the chemical-specific sections</w:t>
      </w:r>
      <w:r w:rsidR="00616B90">
        <w:rPr>
          <w:rFonts w:eastAsia="Times New Roman"/>
        </w:rPr>
        <w:t xml:space="preserve">, </w:t>
      </w:r>
      <w:r w:rsidR="00943DF1">
        <w:rPr>
          <w:rFonts w:eastAsia="Times New Roman"/>
        </w:rPr>
        <w:t xml:space="preserve">will continue to be realised beyond </w:t>
      </w:r>
      <w:r w:rsidR="00EF39D2">
        <w:rPr>
          <w:rFonts w:eastAsia="Times New Roman"/>
        </w:rPr>
        <w:t>this period</w:t>
      </w:r>
      <w:r w:rsidR="00943DF1">
        <w:rPr>
          <w:rFonts w:eastAsia="Times New Roman"/>
        </w:rPr>
        <w:t xml:space="preserve">. </w:t>
      </w:r>
    </w:p>
    <w:p w14:paraId="763DB4AE" w14:textId="77777777" w:rsidR="009911EB" w:rsidRPr="009911EB" w:rsidRDefault="009911EB" w:rsidP="00A129EE">
      <w:pPr>
        <w:pStyle w:val="SWAHeading4"/>
        <w:spacing w:before="240"/>
      </w:pPr>
      <w:r w:rsidRPr="009911EB">
        <w:t>Quantitative benefits</w:t>
      </w:r>
    </w:p>
    <w:p w14:paraId="3849728B" w14:textId="0568BF2F" w:rsidR="009911EB" w:rsidRPr="009911EB" w:rsidRDefault="009911EB" w:rsidP="007033B6">
      <w:pPr>
        <w:spacing w:after="200" w:line="240" w:lineRule="atLeast"/>
        <w:contextualSpacing w:val="0"/>
        <w:rPr>
          <w:rFonts w:eastAsia="Times New Roman"/>
          <w:lang w:eastAsia="en-AU"/>
        </w:rPr>
      </w:pPr>
      <w:r w:rsidRPr="009911EB">
        <w:rPr>
          <w:rFonts w:eastAsia="Times New Roman"/>
        </w:rPr>
        <w:t xml:space="preserve">A summary of quantitative benefits for each of the 9 chemicals is found in </w:t>
      </w:r>
      <w:r w:rsidR="006C20F4">
        <w:rPr>
          <w:rFonts w:eastAsia="Times New Roman"/>
        </w:rPr>
        <w:fldChar w:fldCharType="begin"/>
      </w:r>
      <w:r w:rsidR="006C20F4">
        <w:rPr>
          <w:rFonts w:eastAsia="Times New Roman"/>
        </w:rPr>
        <w:instrText xml:space="preserve"> REF _Ref199843207 \h </w:instrText>
      </w:r>
      <w:r w:rsidR="006C20F4">
        <w:rPr>
          <w:rFonts w:eastAsia="Times New Roman"/>
        </w:rPr>
      </w:r>
      <w:r w:rsidR="006C20F4">
        <w:rPr>
          <w:rFonts w:eastAsia="Times New Roman"/>
        </w:rPr>
        <w:fldChar w:fldCharType="separate"/>
      </w:r>
      <w:r w:rsidR="00A002F4">
        <w:t xml:space="preserve">Table </w:t>
      </w:r>
      <w:r w:rsidR="00A002F4">
        <w:rPr>
          <w:noProof/>
        </w:rPr>
        <w:t>4</w:t>
      </w:r>
      <w:r w:rsidR="006C20F4">
        <w:rPr>
          <w:rFonts w:eastAsia="Times New Roman"/>
        </w:rPr>
        <w:fldChar w:fldCharType="end"/>
      </w:r>
      <w:r w:rsidRPr="009911EB">
        <w:rPr>
          <w:rFonts w:eastAsia="Times New Roman"/>
        </w:rPr>
        <w:t xml:space="preserve">. </w:t>
      </w:r>
      <w:r w:rsidRPr="009911EB">
        <w:rPr>
          <w:rFonts w:eastAsia="Times New Roman"/>
          <w:lang w:eastAsia="en-AU"/>
        </w:rPr>
        <w:t>The total benefits represent the sum of the quantifi</w:t>
      </w:r>
      <w:r w:rsidR="00B85AFD">
        <w:rPr>
          <w:rFonts w:eastAsia="Times New Roman"/>
          <w:lang w:eastAsia="en-AU"/>
        </w:rPr>
        <w:t>able</w:t>
      </w:r>
      <w:r w:rsidRPr="009911EB">
        <w:rPr>
          <w:rFonts w:eastAsia="Times New Roman"/>
          <w:lang w:eastAsia="en-AU"/>
        </w:rPr>
        <w:t xml:space="preserve"> health and financial benefits over the 10-year appraisal period</w:t>
      </w:r>
      <w:r w:rsidR="00017DEA">
        <w:rPr>
          <w:rFonts w:eastAsia="Times New Roman"/>
          <w:lang w:eastAsia="en-AU"/>
        </w:rPr>
        <w:t xml:space="preserve"> </w:t>
      </w:r>
      <w:r w:rsidRPr="009911EB">
        <w:rPr>
          <w:rFonts w:eastAsia="Times New Roman"/>
          <w:lang w:eastAsia="en-AU"/>
        </w:rPr>
        <w:t>and are presented in real, discounted present value terms. The 10-year appraisal period was assumed to begin in the financial year when the WEL list would come into effect (1 December 2026).</w:t>
      </w:r>
    </w:p>
    <w:p w14:paraId="1897F010" w14:textId="1D7D779D" w:rsidR="00EE3A4C" w:rsidRPr="009911EB" w:rsidRDefault="00C03BDE" w:rsidP="0063521B">
      <w:pPr>
        <w:spacing w:after="200" w:line="240" w:lineRule="atLeast"/>
        <w:contextualSpacing w:val="0"/>
        <w:rPr>
          <w:rFonts w:eastAsia="Times New Roman"/>
        </w:rPr>
      </w:pPr>
      <w:r>
        <w:lastRenderedPageBreak/>
        <w:t xml:space="preserve">The benefits </w:t>
      </w:r>
      <w:r w:rsidR="00B85AFD">
        <w:t xml:space="preserve">that were </w:t>
      </w:r>
      <w:r>
        <w:t>quantifi</w:t>
      </w:r>
      <w:r w:rsidR="00B85AFD">
        <w:t>able</w:t>
      </w:r>
      <w:r>
        <w:t xml:space="preserve"> in this analysis are made up of direct financial</w:t>
      </w:r>
      <w:r w:rsidRPr="6987B8A9">
        <w:t xml:space="preserve"> benefits</w:t>
      </w:r>
      <w:r>
        <w:rPr>
          <w:rStyle w:val="FootnoteReference"/>
        </w:rPr>
        <w:footnoteReference w:id="9"/>
      </w:r>
      <w:r>
        <w:t>, improved health outcomes</w:t>
      </w:r>
      <w:r>
        <w:rPr>
          <w:rStyle w:val="FootnoteReference"/>
        </w:rPr>
        <w:footnoteReference w:id="10"/>
      </w:r>
      <w:r>
        <w:t xml:space="preserve"> and indirect financial benefits</w:t>
      </w:r>
      <w:r>
        <w:rPr>
          <w:rStyle w:val="FootnoteReference"/>
        </w:rPr>
        <w:footnoteReference w:id="11"/>
      </w:r>
      <w:r>
        <w:t xml:space="preserve">. </w:t>
      </w:r>
      <w:r w:rsidR="009911EB" w:rsidRPr="009911EB">
        <w:rPr>
          <w:rFonts w:eastAsia="Times New Roman"/>
        </w:rPr>
        <w:t>The</w:t>
      </w:r>
      <w:r w:rsidR="00A77321">
        <w:rPr>
          <w:rFonts w:eastAsia="Times New Roman"/>
        </w:rPr>
        <w:t xml:space="preserve">se </w:t>
      </w:r>
      <w:r w:rsidR="009911EB" w:rsidRPr="009911EB">
        <w:rPr>
          <w:rFonts w:eastAsia="Times New Roman"/>
        </w:rPr>
        <w:t>estimate</w:t>
      </w:r>
      <w:r w:rsidR="00A77321">
        <w:rPr>
          <w:rFonts w:eastAsia="Times New Roman"/>
        </w:rPr>
        <w:t>s</w:t>
      </w:r>
      <w:r w:rsidR="009911EB" w:rsidRPr="009911EB">
        <w:rPr>
          <w:rFonts w:eastAsia="Times New Roman"/>
        </w:rPr>
        <w:t xml:space="preserve"> are indicative and only capture the incremental benefits of a shift from the current WES to proposed WEL for each chemical, in line with the definitions provided in</w:t>
      </w:r>
      <w:r w:rsidR="00780E3D">
        <w:rPr>
          <w:rFonts w:eastAsia="Times New Roman"/>
        </w:rPr>
        <w:t xml:space="preserve"> </w:t>
      </w:r>
      <w:hyperlink w:anchor="AppendixC_Methodology" w:history="1">
        <w:r w:rsidR="0063521B" w:rsidRPr="00B64384">
          <w:rPr>
            <w:rStyle w:val="Hyperlink"/>
            <w:rFonts w:eastAsia="Times New Roman"/>
            <w:color w:val="auto"/>
            <w:u w:val="none"/>
          </w:rPr>
          <w:t xml:space="preserve">Appendix </w:t>
        </w:r>
        <w:r w:rsidR="00AB67D2" w:rsidRPr="00B64384">
          <w:rPr>
            <w:rStyle w:val="Hyperlink"/>
            <w:rFonts w:eastAsia="Times New Roman"/>
            <w:color w:val="auto"/>
            <w:u w:val="none"/>
          </w:rPr>
          <w:t>C</w:t>
        </w:r>
      </w:hyperlink>
      <w:r w:rsidR="009911EB" w:rsidRPr="006C20F4">
        <w:rPr>
          <w:rFonts w:eastAsia="Times New Roman"/>
        </w:rPr>
        <w:t xml:space="preserve">. </w:t>
      </w:r>
    </w:p>
    <w:p w14:paraId="258F4264" w14:textId="77777777" w:rsidR="00C15CC1" w:rsidRDefault="00C15CC1" w:rsidP="004A631B">
      <w:pPr>
        <w:pStyle w:val="Paragraph"/>
        <w:keepNext w:val="0"/>
      </w:pPr>
      <w:r w:rsidRPr="00C15CC1">
        <w:t>Results for RCS are split between the impacts on all industries (excluding mining) and the impacts on the mining industry only. This is due to the significant difference in the magnitude of the average impacts on businesses between the two groups.</w:t>
      </w:r>
    </w:p>
    <w:p w14:paraId="2DCE8E0D" w14:textId="6516671C" w:rsidR="006C20F4" w:rsidRDefault="006C20F4" w:rsidP="006C20F4">
      <w:pPr>
        <w:pStyle w:val="Caption"/>
      </w:pPr>
      <w:bookmarkStart w:id="50" w:name="_Ref199843207"/>
      <w:r>
        <w:t xml:space="preserve">Table </w:t>
      </w:r>
      <w:fldSimple w:instr=" SEQ Table \* ARABIC ">
        <w:r w:rsidR="00A002F4">
          <w:rPr>
            <w:noProof/>
          </w:rPr>
          <w:t>4</w:t>
        </w:r>
      </w:fldSimple>
      <w:bookmarkEnd w:id="50"/>
      <w:r>
        <w:t xml:space="preserve"> - </w:t>
      </w:r>
      <w:r w:rsidRPr="003A2123">
        <w:t>Summary of total quantifi</w:t>
      </w:r>
      <w:r w:rsidR="00A91661">
        <w:t>able</w:t>
      </w:r>
      <w:r w:rsidRPr="003A2123">
        <w:t xml:space="preserve"> benefits, FY27 to FY36</w:t>
      </w:r>
    </w:p>
    <w:tbl>
      <w:tblPr>
        <w:tblStyle w:val="TableGrid"/>
        <w:tblW w:w="8850" w:type="dxa"/>
        <w:tblInd w:w="5" w:type="dxa"/>
        <w:tblBorders>
          <w:insideH w:val="single" w:sz="8" w:space="0" w:color="D9D9D9" w:themeColor="background1" w:themeShade="D9"/>
        </w:tblBorders>
        <w:tblLayout w:type="fixed"/>
        <w:tblLook w:val="04A0" w:firstRow="1" w:lastRow="0" w:firstColumn="1" w:lastColumn="0" w:noHBand="0" w:noVBand="1"/>
      </w:tblPr>
      <w:tblGrid>
        <w:gridCol w:w="5807"/>
        <w:gridCol w:w="3043"/>
      </w:tblGrid>
      <w:tr w:rsidR="009911EB" w:rsidRPr="009911EB" w14:paraId="237E97AB" w14:textId="77777777" w:rsidTr="00AD5515">
        <w:trPr>
          <w:trHeight w:val="144"/>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4877E0" w:themeFill="accent1"/>
          </w:tcPr>
          <w:p w14:paraId="0D62237A" w14:textId="77777777" w:rsidR="009911EB" w:rsidRPr="009911EB" w:rsidRDefault="009911EB" w:rsidP="009911EB">
            <w:pPr>
              <w:keepNext/>
              <w:keepLines/>
              <w:spacing w:after="0" w:line="240" w:lineRule="atLeast"/>
              <w:contextualSpacing w:val="0"/>
              <w:rPr>
                <w:rFonts w:eastAsia="Times New Roman"/>
                <w:b/>
                <w:color w:val="FFFFFF" w:themeColor="background1"/>
                <w:lang w:eastAsia="en-AU"/>
              </w:rPr>
            </w:pPr>
            <w:r w:rsidRPr="009911EB">
              <w:rPr>
                <w:rFonts w:eastAsia="Times New Roman"/>
                <w:b/>
                <w:color w:val="FFFFFF" w:themeColor="background1"/>
                <w:lang w:eastAsia="en-AU"/>
              </w:rPr>
              <w:t>Chemical</w:t>
            </w:r>
          </w:p>
        </w:tc>
        <w:tc>
          <w:tcPr>
            <w:tcW w:w="3043"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4877E0" w:themeFill="accent1"/>
          </w:tcPr>
          <w:p w14:paraId="08F7BF9D" w14:textId="0B465FDC" w:rsidR="009911EB" w:rsidRPr="009911EB" w:rsidRDefault="009911EB" w:rsidP="009911EB">
            <w:pPr>
              <w:keepNext/>
              <w:keepLines/>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Total quantifi</w:t>
            </w:r>
            <w:r w:rsidR="00A91661">
              <w:rPr>
                <w:rFonts w:eastAsia="Times New Roman"/>
                <w:b/>
                <w:bCs/>
                <w:color w:val="FFFFFF" w:themeColor="background1"/>
                <w:lang w:eastAsia="en-AU"/>
              </w:rPr>
              <w:t>able</w:t>
            </w:r>
            <w:r w:rsidRPr="009911EB">
              <w:rPr>
                <w:rFonts w:eastAsia="Times New Roman"/>
                <w:b/>
                <w:bCs/>
                <w:color w:val="FFFFFF" w:themeColor="background1"/>
                <w:lang w:eastAsia="en-AU"/>
              </w:rPr>
              <w:t xml:space="preserve"> benefits ($, millions, discounted)</w:t>
            </w:r>
          </w:p>
        </w:tc>
      </w:tr>
      <w:tr w:rsidR="009911EB" w:rsidRPr="009911EB" w14:paraId="686D3757" w14:textId="77777777" w:rsidTr="00AD5515">
        <w:trPr>
          <w:trHeight w:val="302"/>
        </w:trPr>
        <w:tc>
          <w:tcPr>
            <w:tcW w:w="5807" w:type="dxa"/>
            <w:tcBorders>
              <w:top w:val="single" w:sz="4" w:space="0" w:color="BFBFBF" w:themeColor="background1" w:themeShade="BF"/>
              <w:left w:val="single" w:sz="4" w:space="0" w:color="D9D9D9" w:themeColor="background1" w:themeShade="D9"/>
              <w:bottom w:val="single" w:sz="8" w:space="0" w:color="D9D9D9" w:themeColor="background1" w:themeShade="D9"/>
              <w:right w:val="single" w:sz="4" w:space="0" w:color="D9D9D9" w:themeColor="background1" w:themeShade="D9"/>
            </w:tcBorders>
          </w:tcPr>
          <w:p w14:paraId="4A8D4659"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Benzene</w:t>
            </w:r>
          </w:p>
        </w:tc>
        <w:tc>
          <w:tcPr>
            <w:tcW w:w="3043" w:type="dxa"/>
            <w:tcBorders>
              <w:top w:val="single" w:sz="4" w:space="0" w:color="BFBFBF" w:themeColor="background1" w:themeShade="BF"/>
              <w:bottom w:val="single" w:sz="4" w:space="0" w:color="D9D9D9" w:themeColor="background1" w:themeShade="D9"/>
              <w:right w:val="single" w:sz="4" w:space="0" w:color="D9D9D9" w:themeColor="background1" w:themeShade="D9"/>
            </w:tcBorders>
          </w:tcPr>
          <w:p w14:paraId="28D0AC42"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439 </w:t>
            </w:r>
          </w:p>
        </w:tc>
      </w:tr>
      <w:tr w:rsidR="009911EB" w:rsidRPr="009911EB" w14:paraId="3BE74DFE" w14:textId="77777777">
        <w:trPr>
          <w:trHeight w:val="286"/>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40F0FCDE"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Chlorine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8219894"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9 </w:t>
            </w:r>
          </w:p>
        </w:tc>
      </w:tr>
      <w:tr w:rsidR="009911EB" w:rsidRPr="009911EB" w14:paraId="43A62273" w14:textId="77777777">
        <w:trPr>
          <w:trHeight w:val="302"/>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3A7D63A"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Copper</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8D23773"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ND</w:t>
            </w:r>
          </w:p>
        </w:tc>
      </w:tr>
      <w:tr w:rsidR="009911EB" w:rsidRPr="009911EB" w14:paraId="10938EF3" w14:textId="77777777">
        <w:trPr>
          <w:trHeight w:val="302"/>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5784704A"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Formaldehyde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ED4B0E9"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45 </w:t>
            </w:r>
          </w:p>
        </w:tc>
      </w:tr>
      <w:tr w:rsidR="009911EB" w:rsidRPr="009911EB" w14:paraId="2BEBAC70" w14:textId="77777777">
        <w:trPr>
          <w:trHeight w:val="286"/>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07DFAB84"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Hydrogen cyanide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AC39303"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ND </w:t>
            </w:r>
          </w:p>
        </w:tc>
      </w:tr>
      <w:tr w:rsidR="009911EB" w:rsidRPr="009911EB" w14:paraId="01B45AFA" w14:textId="77777777">
        <w:trPr>
          <w:trHeight w:val="230"/>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0B431012" w14:textId="77777777" w:rsidR="009911EB" w:rsidRPr="009911EB" w:rsidRDefault="009911EB" w:rsidP="009911EB">
            <w:pPr>
              <w:keepNext/>
              <w:keepLines/>
              <w:spacing w:after="0" w:line="276" w:lineRule="auto"/>
              <w:contextualSpacing w:val="0"/>
              <w:rPr>
                <w:rFonts w:eastAsia="Times New Roman"/>
                <w:b/>
                <w:bCs/>
                <w:lang w:eastAsia="en-AU"/>
              </w:rPr>
            </w:pPr>
            <w:r w:rsidRPr="009911EB">
              <w:rPr>
                <w:rFonts w:eastAsia="Times New Roman"/>
                <w:b/>
                <w:bCs/>
                <w:lang w:eastAsia="en-AU"/>
              </w:rPr>
              <w:t>Hydrogen sulfide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6CC2BAD"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7 </w:t>
            </w:r>
          </w:p>
        </w:tc>
      </w:tr>
      <w:tr w:rsidR="009911EB" w:rsidRPr="009911EB" w14:paraId="06940220" w14:textId="77777777">
        <w:trPr>
          <w:trHeight w:val="302"/>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7F12D519"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Nitrogen dioxide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0862DB4"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ND </w:t>
            </w:r>
          </w:p>
        </w:tc>
      </w:tr>
      <w:tr w:rsidR="009911EB" w:rsidRPr="009911EB" w14:paraId="34B91EE0" w14:textId="77777777">
        <w:trPr>
          <w:trHeight w:val="286"/>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77222DC9"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Respirable crystalline silica (excluding the mining industry)</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5435FA4" w14:textId="7A379420"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10,1</w:t>
            </w:r>
            <w:r w:rsidR="007F31F7">
              <w:rPr>
                <w:rFonts w:eastAsia="Times New Roman"/>
                <w:lang w:eastAsia="en-AU"/>
              </w:rPr>
              <w:t>45</w:t>
            </w:r>
            <w:r w:rsidRPr="009911EB">
              <w:rPr>
                <w:rFonts w:eastAsia="Times New Roman"/>
                <w:lang w:eastAsia="en-AU"/>
              </w:rPr>
              <w:t xml:space="preserve"> </w:t>
            </w:r>
          </w:p>
        </w:tc>
      </w:tr>
      <w:tr w:rsidR="009911EB" w:rsidRPr="009911EB" w14:paraId="70E72D4B" w14:textId="77777777">
        <w:trPr>
          <w:trHeight w:val="286"/>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CE23A70" w14:textId="77777777" w:rsidR="009911EB" w:rsidRPr="009911EB" w:rsidRDefault="009911EB" w:rsidP="009911EB">
            <w:pPr>
              <w:keepNext/>
              <w:keepLines/>
              <w:spacing w:after="0" w:line="276" w:lineRule="auto"/>
              <w:contextualSpacing w:val="0"/>
              <w:rPr>
                <w:rFonts w:eastAsia="Times New Roman"/>
                <w:b/>
                <w:bCs/>
                <w:lang w:eastAsia="en-AU"/>
              </w:rPr>
            </w:pPr>
            <w:r w:rsidRPr="009911EB">
              <w:rPr>
                <w:rFonts w:eastAsia="Times New Roman"/>
                <w:b/>
                <w:bCs/>
                <w:lang w:eastAsia="en-AU"/>
              </w:rPr>
              <w:t>Respirable crystalline silica (mining industry)</w:t>
            </w:r>
            <w:r w:rsidRPr="009911EB">
              <w:rPr>
                <w:rFonts w:eastAsia="Times New Roman"/>
                <w:b/>
                <w:bCs/>
                <w:vertAlign w:val="superscript"/>
                <w:lang w:eastAsia="en-AU"/>
              </w:rPr>
              <w:footnoteReference w:id="12"/>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DE8A3F8" w14:textId="786F3100"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2,4</w:t>
            </w:r>
            <w:r w:rsidR="007F31F7">
              <w:rPr>
                <w:rFonts w:eastAsia="Times New Roman"/>
                <w:lang w:eastAsia="en-AU"/>
              </w:rPr>
              <w:t>90</w:t>
            </w:r>
          </w:p>
        </w:tc>
      </w:tr>
      <w:tr w:rsidR="009911EB" w:rsidRPr="009911EB" w14:paraId="1F781571" w14:textId="77777777">
        <w:trPr>
          <w:trHeight w:val="302"/>
        </w:trPr>
        <w:tc>
          <w:tcPr>
            <w:tcW w:w="5807"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6FC18C08" w14:textId="77777777" w:rsidR="009911EB" w:rsidRPr="009911EB" w:rsidRDefault="009911EB" w:rsidP="009911EB">
            <w:pPr>
              <w:keepNext/>
              <w:keepLines/>
              <w:spacing w:after="0" w:line="276" w:lineRule="auto"/>
              <w:contextualSpacing w:val="0"/>
              <w:rPr>
                <w:rFonts w:eastAsia="Times New Roman"/>
                <w:b/>
                <w:lang w:eastAsia="en-AU"/>
              </w:rPr>
            </w:pPr>
            <w:r w:rsidRPr="009911EB">
              <w:rPr>
                <w:rFonts w:eastAsia="Times New Roman"/>
                <w:b/>
                <w:lang w:eastAsia="en-AU"/>
              </w:rPr>
              <w:t>Titanium dioxide</w:t>
            </w:r>
          </w:p>
        </w:tc>
        <w:tc>
          <w:tcPr>
            <w:tcW w:w="304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6F25FD6C" w14:textId="77777777" w:rsidR="009911EB" w:rsidRPr="009911EB" w:rsidRDefault="009911EB" w:rsidP="009911EB">
            <w:pPr>
              <w:keepNext/>
              <w:keepLines/>
              <w:spacing w:after="0" w:line="276" w:lineRule="auto"/>
              <w:contextualSpacing w:val="0"/>
              <w:jc w:val="right"/>
              <w:rPr>
                <w:rFonts w:eastAsia="Times New Roman"/>
                <w:lang w:eastAsia="en-AU"/>
              </w:rPr>
            </w:pPr>
            <w:r w:rsidRPr="009911EB">
              <w:rPr>
                <w:rFonts w:eastAsia="Times New Roman"/>
                <w:lang w:eastAsia="en-AU"/>
              </w:rPr>
              <w:t xml:space="preserve">ND </w:t>
            </w:r>
          </w:p>
        </w:tc>
      </w:tr>
    </w:tbl>
    <w:p w14:paraId="5CDB579B" w14:textId="77777777" w:rsidR="009911EB" w:rsidRPr="009911EB" w:rsidRDefault="009911EB" w:rsidP="009911EB">
      <w:pPr>
        <w:keepNext/>
        <w:keepLines/>
        <w:spacing w:after="200" w:line="240" w:lineRule="atLeast"/>
        <w:contextualSpacing w:val="0"/>
        <w:rPr>
          <w:rFonts w:eastAsia="Times New Roman"/>
          <w:i/>
          <w:iCs/>
          <w:color w:val="7B7B7B" w:themeColor="accent6" w:themeShade="BF"/>
          <w:sz w:val="18"/>
          <w:szCs w:val="20"/>
        </w:rPr>
      </w:pPr>
      <w:r w:rsidRPr="009911EB">
        <w:rPr>
          <w:rFonts w:eastAsia="Times New Roman"/>
          <w:i/>
          <w:iCs/>
          <w:color w:val="7B7B7B" w:themeColor="accent6" w:themeShade="BF"/>
          <w:sz w:val="18"/>
          <w:szCs w:val="20"/>
        </w:rPr>
        <w:t>ND = Not determined due to insufficient data</w:t>
      </w:r>
    </w:p>
    <w:p w14:paraId="629A7D1E" w14:textId="40C9E091" w:rsidR="00FC0AD2" w:rsidRDefault="00FC0AD2" w:rsidP="009911EB">
      <w:pPr>
        <w:contextualSpacing w:val="0"/>
      </w:pPr>
      <w:r>
        <w:t>Key results for each of the 5 chemicals where benefit was assessed included:</w:t>
      </w:r>
    </w:p>
    <w:p w14:paraId="35F4DE4D" w14:textId="25D82C87" w:rsidR="00103F92" w:rsidRDefault="00103F92" w:rsidP="00A2768E">
      <w:pPr>
        <w:pStyle w:val="ListParagraph"/>
        <w:numPr>
          <w:ilvl w:val="0"/>
          <w:numId w:val="91"/>
        </w:numPr>
        <w:contextualSpacing w:val="0"/>
      </w:pPr>
      <w:r w:rsidRPr="00E820FA">
        <w:rPr>
          <w:b/>
          <w:bCs/>
        </w:rPr>
        <w:t>Benzene:</w:t>
      </w:r>
      <w:r>
        <w:t xml:space="preserve"> the estimated quantifi</w:t>
      </w:r>
      <w:r w:rsidR="00A91661">
        <w:t>able</w:t>
      </w:r>
      <w:r>
        <w:t xml:space="preserve"> benefits for workers, communities and businesses are $439 million over 10 years.</w:t>
      </w:r>
    </w:p>
    <w:p w14:paraId="0E00FCA1" w14:textId="7130F3F5" w:rsidR="00103F92" w:rsidRDefault="00103F92" w:rsidP="00A2768E">
      <w:pPr>
        <w:pStyle w:val="ListParagraph"/>
        <w:numPr>
          <w:ilvl w:val="0"/>
          <w:numId w:val="91"/>
        </w:numPr>
        <w:contextualSpacing w:val="0"/>
      </w:pPr>
      <w:r w:rsidRPr="00E820FA">
        <w:rPr>
          <w:b/>
          <w:bCs/>
        </w:rPr>
        <w:t>Chlorine:</w:t>
      </w:r>
      <w:r>
        <w:t xml:space="preserve"> the estimated quantifi</w:t>
      </w:r>
      <w:r w:rsidR="00A91661">
        <w:t>able</w:t>
      </w:r>
      <w:r>
        <w:t xml:space="preserve"> benefits for workers, communities and businesses are $9 million over 10 years.</w:t>
      </w:r>
    </w:p>
    <w:p w14:paraId="56E858FF" w14:textId="7E0BF1B1" w:rsidR="00103F92" w:rsidRDefault="00103F92" w:rsidP="00A2768E">
      <w:pPr>
        <w:pStyle w:val="ListParagraph"/>
        <w:numPr>
          <w:ilvl w:val="0"/>
          <w:numId w:val="91"/>
        </w:numPr>
        <w:contextualSpacing w:val="0"/>
      </w:pPr>
      <w:r w:rsidRPr="00E820FA">
        <w:rPr>
          <w:b/>
          <w:bCs/>
        </w:rPr>
        <w:t>Formaldehyde:</w:t>
      </w:r>
      <w:r>
        <w:t xml:space="preserve"> the estimated quantifi</w:t>
      </w:r>
      <w:r w:rsidR="00A91661">
        <w:t>able</w:t>
      </w:r>
      <w:r>
        <w:t xml:space="preserve"> benefits for workers, communities and businesses are $45 million over 10 years.</w:t>
      </w:r>
    </w:p>
    <w:p w14:paraId="2AAB046E" w14:textId="2B43FE86" w:rsidR="00103F92" w:rsidRDefault="00103F92" w:rsidP="00A2768E">
      <w:pPr>
        <w:pStyle w:val="ListParagraph"/>
        <w:numPr>
          <w:ilvl w:val="0"/>
          <w:numId w:val="91"/>
        </w:numPr>
        <w:contextualSpacing w:val="0"/>
      </w:pPr>
      <w:r w:rsidRPr="00E820FA">
        <w:rPr>
          <w:b/>
          <w:bCs/>
        </w:rPr>
        <w:t>Hydrogen sul</w:t>
      </w:r>
      <w:r w:rsidR="00312B4B">
        <w:rPr>
          <w:b/>
          <w:bCs/>
        </w:rPr>
        <w:t>f</w:t>
      </w:r>
      <w:r w:rsidRPr="00E820FA">
        <w:rPr>
          <w:b/>
          <w:bCs/>
        </w:rPr>
        <w:t>ide:</w:t>
      </w:r>
      <w:r>
        <w:t xml:space="preserve"> the estimated quantifi</w:t>
      </w:r>
      <w:r w:rsidR="00A91661">
        <w:t>able</w:t>
      </w:r>
      <w:r>
        <w:t xml:space="preserve"> benefits for workers, communities and businesses are $7 million over 10 years.</w:t>
      </w:r>
    </w:p>
    <w:p w14:paraId="7DD5C8F9" w14:textId="6A8831D2" w:rsidR="00103F92" w:rsidRDefault="00103F92" w:rsidP="00A2768E">
      <w:pPr>
        <w:pStyle w:val="ListParagraph"/>
        <w:numPr>
          <w:ilvl w:val="0"/>
          <w:numId w:val="91"/>
        </w:numPr>
        <w:contextualSpacing w:val="0"/>
      </w:pPr>
      <w:r w:rsidRPr="00E820FA">
        <w:rPr>
          <w:b/>
          <w:bCs/>
        </w:rPr>
        <w:t>RCS (excl. mining):</w:t>
      </w:r>
      <w:r>
        <w:t xml:space="preserve"> the estimated quantifi</w:t>
      </w:r>
      <w:r w:rsidR="00A91661">
        <w:t>able</w:t>
      </w:r>
      <w:r>
        <w:t xml:space="preserve"> benefits for workers, communities and businesses are $10.1 billion over 10 years.</w:t>
      </w:r>
    </w:p>
    <w:p w14:paraId="51C54438" w14:textId="05EC28A6" w:rsidR="00FC0AD2" w:rsidRDefault="00103F92" w:rsidP="00A2768E">
      <w:pPr>
        <w:pStyle w:val="ListParagraph"/>
        <w:numPr>
          <w:ilvl w:val="0"/>
          <w:numId w:val="91"/>
        </w:numPr>
        <w:contextualSpacing w:val="0"/>
      </w:pPr>
      <w:r w:rsidRPr="00E820FA">
        <w:rPr>
          <w:b/>
          <w:bCs/>
        </w:rPr>
        <w:t>RCS (mining only):</w:t>
      </w:r>
      <w:r>
        <w:t xml:space="preserve"> the estimated quantifi</w:t>
      </w:r>
      <w:r w:rsidR="00A91661">
        <w:t>able</w:t>
      </w:r>
      <w:r>
        <w:t xml:space="preserve"> benefits for workers, communities and businesses are $2.5 billion</w:t>
      </w:r>
      <w:r w:rsidR="00311C12">
        <w:t xml:space="preserve"> </w:t>
      </w:r>
      <w:r w:rsidR="00311C12" w:rsidRPr="00311C12">
        <w:t>over 10 years</w:t>
      </w:r>
      <w:r>
        <w:t>.</w:t>
      </w:r>
    </w:p>
    <w:p w14:paraId="0D3BA813" w14:textId="3FCC9CB1" w:rsidR="00CC5230" w:rsidRDefault="009911EB" w:rsidP="00CF337E">
      <w:pPr>
        <w:spacing w:line="240" w:lineRule="atLeast"/>
      </w:pPr>
      <w:r w:rsidRPr="009911EB">
        <w:lastRenderedPageBreak/>
        <w:t xml:space="preserve">The most significant limitation of the benefits estimates is a lack of data on the current health burden of workplace exposure for </w:t>
      </w:r>
      <w:r w:rsidR="43A778B0">
        <w:t xml:space="preserve">the </w:t>
      </w:r>
      <w:r w:rsidRPr="009911EB">
        <w:t xml:space="preserve">chemicals (which should not be used to infer the lack of a health burden). This is largely due </w:t>
      </w:r>
      <w:r w:rsidR="00701B77">
        <w:t xml:space="preserve">to </w:t>
      </w:r>
      <w:r w:rsidRPr="009911EB">
        <w:t>the likely under-reporting of occupational disease in relation to workers’ compensation claims due to the long latency periods and difficulty attributing a particular individual’s disease</w:t>
      </w:r>
      <w:r w:rsidRPr="009911EB" w:rsidDel="007B686F">
        <w:t xml:space="preserve"> </w:t>
      </w:r>
      <w:r w:rsidRPr="009911EB">
        <w:t xml:space="preserve">to past workplace exposure to a specific chemical. </w:t>
      </w:r>
      <w:r w:rsidR="00751F33">
        <w:t>Furthe</w:t>
      </w:r>
      <w:r w:rsidR="00AA53E2">
        <w:t>rmore, the</w:t>
      </w:r>
      <w:r w:rsidR="00715819">
        <w:t xml:space="preserve"> Australian Bureau of Statistics</w:t>
      </w:r>
      <w:r w:rsidR="00F85DC4">
        <w:t xml:space="preserve">’ Work-related injuries survey </w:t>
      </w:r>
      <w:r w:rsidR="00793839">
        <w:t xml:space="preserve">conducted in 2021-2022 </w:t>
      </w:r>
      <w:r w:rsidR="00843B47">
        <w:t xml:space="preserve">found that </w:t>
      </w:r>
      <w:r w:rsidR="00486928">
        <w:t xml:space="preserve">43% of </w:t>
      </w:r>
      <w:r w:rsidR="00843B47">
        <w:t>those who experience a work-related injury</w:t>
      </w:r>
      <w:r w:rsidR="004640BE">
        <w:t xml:space="preserve"> or illness</w:t>
      </w:r>
      <w:r w:rsidR="003F451E">
        <w:t xml:space="preserve"> in 2021-22</w:t>
      </w:r>
      <w:r w:rsidR="00AA53E2">
        <w:t xml:space="preserve"> </w:t>
      </w:r>
      <w:r w:rsidR="003F451E">
        <w:t>did not apply for workers’ compensation</w:t>
      </w:r>
      <w:r w:rsidR="009B747C">
        <w:t>. Reasons included</w:t>
      </w:r>
      <w:r w:rsidR="00793839">
        <w:t xml:space="preserve"> they </w:t>
      </w:r>
      <w:r w:rsidR="00751F33">
        <w:t>consider</w:t>
      </w:r>
      <w:r w:rsidR="00BB61C3">
        <w:t>ed</w:t>
      </w:r>
      <w:r w:rsidR="00751F33">
        <w:t xml:space="preserve"> their injury </w:t>
      </w:r>
      <w:r w:rsidR="00793839">
        <w:t xml:space="preserve">or illness </w:t>
      </w:r>
      <w:r w:rsidR="00751F33">
        <w:t xml:space="preserve">to be minor or </w:t>
      </w:r>
      <w:r w:rsidR="00793839">
        <w:t xml:space="preserve">that </w:t>
      </w:r>
      <w:r w:rsidR="00751F33">
        <w:t xml:space="preserve">workers’ compensation was unnecessary, did not </w:t>
      </w:r>
      <w:r w:rsidR="00DD5D53">
        <w:t>think they were eligible for workers’ compensation</w:t>
      </w:r>
      <w:r w:rsidR="00B020B8">
        <w:t>,</w:t>
      </w:r>
      <w:r w:rsidR="00FC05FE">
        <w:t xml:space="preserve"> </w:t>
      </w:r>
      <w:r w:rsidR="00E73372">
        <w:t xml:space="preserve">or did not think their injury or illness would be covered </w:t>
      </w:r>
      <w:r w:rsidR="009B747C">
        <w:t xml:space="preserve">or </w:t>
      </w:r>
      <w:r w:rsidR="0032577C">
        <w:t xml:space="preserve">were not </w:t>
      </w:r>
      <w:r w:rsidR="009B747C">
        <w:t xml:space="preserve">aware </w:t>
      </w:r>
      <w:r w:rsidR="00F53BFA">
        <w:t xml:space="preserve">of their rights to </w:t>
      </w:r>
      <w:r w:rsidR="009B747C">
        <w:t>workers’ compensation</w:t>
      </w:r>
      <w:r w:rsidR="000E2E53">
        <w:t xml:space="preserve"> </w:t>
      </w:r>
      <w:sdt>
        <w:sdtPr>
          <w:id w:val="482276340"/>
          <w:citation/>
        </w:sdtPr>
        <w:sdtEndPr/>
        <w:sdtContent>
          <w:r w:rsidR="000E2E53">
            <w:fldChar w:fldCharType="begin"/>
          </w:r>
          <w:r w:rsidR="000E2E53">
            <w:instrText xml:space="preserve"> CITATION Aus23 \l 3081 </w:instrText>
          </w:r>
          <w:r w:rsidR="000E2E53">
            <w:fldChar w:fldCharType="separate"/>
          </w:r>
          <w:r w:rsidR="00490B21">
            <w:rPr>
              <w:noProof/>
            </w:rPr>
            <w:t>(Australian Bureau of Statistics, 2023)</w:t>
          </w:r>
          <w:r w:rsidR="000E2E53">
            <w:fldChar w:fldCharType="end"/>
          </w:r>
        </w:sdtContent>
      </w:sdt>
      <w:r w:rsidR="009B747C">
        <w:t xml:space="preserve">. </w:t>
      </w:r>
    </w:p>
    <w:p w14:paraId="7860B2A1" w14:textId="60109890" w:rsidR="00FD05FD" w:rsidRPr="00565A00" w:rsidRDefault="00FD05FD" w:rsidP="000C347E">
      <w:pPr>
        <w:pStyle w:val="SWAHeading5"/>
        <w:rPr>
          <w:color w:val="000000" w:themeColor="text1"/>
          <w:sz w:val="22"/>
          <w:szCs w:val="20"/>
        </w:rPr>
      </w:pPr>
      <w:r w:rsidRPr="00565A00">
        <w:rPr>
          <w:color w:val="000000" w:themeColor="text1"/>
          <w:sz w:val="22"/>
          <w:szCs w:val="20"/>
        </w:rPr>
        <w:t>Reduced years of life lost due to occupational disease</w:t>
      </w:r>
    </w:p>
    <w:p w14:paraId="5BEEFCF3" w14:textId="525C5F3D" w:rsidR="00BF4D56" w:rsidRDefault="00FD05FD" w:rsidP="009A24FC">
      <w:pPr>
        <w:keepNext/>
        <w:keepLines/>
        <w:spacing w:line="240" w:lineRule="atLeast"/>
        <w:rPr>
          <w:lang w:eastAsia="en-AU"/>
        </w:rPr>
      </w:pPr>
      <w:r>
        <w:t xml:space="preserve">The </w:t>
      </w:r>
      <w:r w:rsidR="00C43D9A">
        <w:t>estimated benefits above</w:t>
      </w:r>
      <w:r w:rsidR="004F2932">
        <w:t xml:space="preserve"> </w:t>
      </w:r>
      <w:r w:rsidR="001236C9">
        <w:t>have</w:t>
      </w:r>
      <w:r w:rsidR="004F2932">
        <w:t xml:space="preserve"> sought to</w:t>
      </w:r>
      <w:r w:rsidR="00C43D9A">
        <w:t xml:space="preserve"> </w:t>
      </w:r>
      <w:r w:rsidR="00CA16E7">
        <w:t xml:space="preserve">capture available data </w:t>
      </w:r>
      <w:r w:rsidR="006426A7">
        <w:t xml:space="preserve">related to reductions in </w:t>
      </w:r>
      <w:r w:rsidR="00264DBE">
        <w:t>a year of healthy life lost</w:t>
      </w:r>
      <w:r w:rsidR="004F2932">
        <w:t xml:space="preserve"> </w:t>
      </w:r>
      <w:r w:rsidR="00034F0B">
        <w:t>due to occupational disease</w:t>
      </w:r>
      <w:r w:rsidR="0087517E">
        <w:t>, attributable to reduced workplace exposure to airborne contaminants</w:t>
      </w:r>
      <w:r w:rsidR="00034F0B">
        <w:t xml:space="preserve">. </w:t>
      </w:r>
      <w:r w:rsidR="00BF4D56">
        <w:t>It is worth noting that as part of this assessment, t</w:t>
      </w:r>
      <w:r w:rsidR="009F09AC" w:rsidRPr="00993B73">
        <w:rPr>
          <w:lang w:eastAsia="en-AU"/>
        </w:rPr>
        <w:t xml:space="preserve">he forecast fatal burden of disease for benzene, formaldehyde and RCS over the appraisal period </w:t>
      </w:r>
      <w:r w:rsidR="00BF4D56">
        <w:rPr>
          <w:lang w:eastAsia="en-AU"/>
        </w:rPr>
        <w:t>were assessed</w:t>
      </w:r>
      <w:r w:rsidR="005C068D">
        <w:rPr>
          <w:lang w:eastAsia="en-AU"/>
        </w:rPr>
        <w:t xml:space="preserve">, noting </w:t>
      </w:r>
      <w:r w:rsidR="004427DC" w:rsidRPr="004427DC">
        <w:rPr>
          <w:lang w:eastAsia="en-AU"/>
        </w:rPr>
        <w:t xml:space="preserve">these </w:t>
      </w:r>
      <w:r w:rsidR="00BB57A6">
        <w:rPr>
          <w:lang w:eastAsia="en-AU"/>
        </w:rPr>
        <w:t>3</w:t>
      </w:r>
      <w:r w:rsidR="004427DC" w:rsidRPr="004427DC">
        <w:rPr>
          <w:lang w:eastAsia="en-AU"/>
        </w:rPr>
        <w:t xml:space="preserve"> chemicals </w:t>
      </w:r>
      <w:r w:rsidR="00BB57A6">
        <w:rPr>
          <w:lang w:eastAsia="en-AU"/>
        </w:rPr>
        <w:t xml:space="preserve">are classified </w:t>
      </w:r>
      <w:r w:rsidR="004427DC" w:rsidRPr="004427DC">
        <w:rPr>
          <w:lang w:eastAsia="en-AU"/>
        </w:rPr>
        <w:t>as carcinogens</w:t>
      </w:r>
      <w:r w:rsidR="00BB57A6">
        <w:rPr>
          <w:lang w:eastAsia="en-AU"/>
        </w:rPr>
        <w:t xml:space="preserve"> under the GHS</w:t>
      </w:r>
      <w:r w:rsidR="005C068D">
        <w:rPr>
          <w:lang w:eastAsia="en-AU"/>
        </w:rPr>
        <w:t xml:space="preserve">. </w:t>
      </w:r>
      <w:r w:rsidR="005C068D" w:rsidRPr="00993B73">
        <w:rPr>
          <w:lang w:eastAsia="en-AU"/>
        </w:rPr>
        <w:t xml:space="preserve">The forecast burden of disease for RCS in FY27 (7,421 </w:t>
      </w:r>
      <w:r w:rsidR="00B918FB" w:rsidRPr="00B918FB">
        <w:rPr>
          <w:lang w:eastAsia="en-AU"/>
        </w:rPr>
        <w:t>Disability-adjusted life years</w:t>
      </w:r>
      <w:r w:rsidR="005C068D" w:rsidRPr="00993B73">
        <w:rPr>
          <w:lang w:eastAsia="en-AU"/>
        </w:rPr>
        <w:t xml:space="preserve"> </w:t>
      </w:r>
      <w:r w:rsidR="00AC4B16">
        <w:rPr>
          <w:lang w:eastAsia="en-AU"/>
        </w:rPr>
        <w:t xml:space="preserve">(DALY) </w:t>
      </w:r>
      <w:r w:rsidR="005C068D" w:rsidRPr="00993B73">
        <w:rPr>
          <w:lang w:eastAsia="en-AU"/>
        </w:rPr>
        <w:t>or $1.82 billion)</w:t>
      </w:r>
      <w:r w:rsidR="00AC221B">
        <w:rPr>
          <w:lang w:eastAsia="en-AU"/>
        </w:rPr>
        <w:t xml:space="preserve">, which was </w:t>
      </w:r>
      <w:r w:rsidR="005C068D" w:rsidRPr="00993B73">
        <w:rPr>
          <w:lang w:eastAsia="en-AU"/>
        </w:rPr>
        <w:t>significantly higher than for benzene (270 DALYs or $66.1 million) and formaldehyde (28 DALYs or $6.9 million)</w:t>
      </w:r>
      <w:r w:rsidR="00AB402A">
        <w:rPr>
          <w:lang w:eastAsia="en-AU"/>
        </w:rPr>
        <w:t xml:space="preserve"> </w:t>
      </w:r>
      <w:sdt>
        <w:sdtPr>
          <w:rPr>
            <w:lang w:eastAsia="en-AU"/>
          </w:rPr>
          <w:id w:val="-919709352"/>
          <w:citation/>
        </w:sdtPr>
        <w:sdtEndPr/>
        <w:sdtContent>
          <w:r w:rsidR="00AB402A">
            <w:rPr>
              <w:lang w:eastAsia="en-AU"/>
            </w:rPr>
            <w:fldChar w:fldCharType="begin"/>
          </w:r>
          <w:r w:rsidR="00AB402A">
            <w:rPr>
              <w:lang w:eastAsia="en-AU"/>
            </w:rPr>
            <w:instrText xml:space="preserve"> CITATION Ins24 \l 3081 </w:instrText>
          </w:r>
          <w:r w:rsidR="00AB402A">
            <w:rPr>
              <w:lang w:eastAsia="en-AU"/>
            </w:rPr>
            <w:fldChar w:fldCharType="separate"/>
          </w:r>
          <w:r w:rsidR="00490B21">
            <w:rPr>
              <w:noProof/>
              <w:lang w:eastAsia="en-AU"/>
            </w:rPr>
            <w:t>(Institute For Health Metrics and Evaluation, 2024)</w:t>
          </w:r>
          <w:r w:rsidR="00AB402A">
            <w:rPr>
              <w:lang w:eastAsia="en-AU"/>
            </w:rPr>
            <w:fldChar w:fldCharType="end"/>
          </w:r>
        </w:sdtContent>
      </w:sdt>
      <w:r w:rsidR="005C068D" w:rsidRPr="00993B73">
        <w:rPr>
          <w:lang w:eastAsia="en-AU"/>
        </w:rPr>
        <w:t>.</w:t>
      </w:r>
    </w:p>
    <w:p w14:paraId="744337CD" w14:textId="40B98388" w:rsidR="009911EB" w:rsidRPr="0001460D" w:rsidRDefault="009911EB" w:rsidP="00A129EE">
      <w:pPr>
        <w:pStyle w:val="SWAHeading4"/>
      </w:pPr>
      <w:r w:rsidRPr="0001460D">
        <w:t>Other benefits</w:t>
      </w:r>
      <w:r w:rsidR="003022CE" w:rsidRPr="0001460D">
        <w:t xml:space="preserve"> not quantifi</w:t>
      </w:r>
      <w:r w:rsidR="00A91661">
        <w:t>able</w:t>
      </w:r>
      <w:r w:rsidR="003022CE" w:rsidRPr="0001460D">
        <w:t xml:space="preserve"> in this analysis</w:t>
      </w:r>
    </w:p>
    <w:p w14:paraId="51C0A7E9" w14:textId="38311893" w:rsidR="009911EB" w:rsidRDefault="009911EB" w:rsidP="00CF337E">
      <w:pPr>
        <w:keepNext/>
        <w:keepLines/>
        <w:spacing w:line="240" w:lineRule="atLeast"/>
        <w:contextualSpacing w:val="0"/>
        <w:rPr>
          <w:rFonts w:eastAsia="Arial"/>
        </w:rPr>
      </w:pPr>
      <w:r w:rsidRPr="009911EB">
        <w:rPr>
          <w:rFonts w:eastAsia="Arial"/>
        </w:rPr>
        <w:t xml:space="preserve">There are additional quantifiable benefits that </w:t>
      </w:r>
      <w:r w:rsidR="00AA2513">
        <w:rPr>
          <w:rFonts w:eastAsia="Arial"/>
        </w:rPr>
        <w:t>have</w:t>
      </w:r>
      <w:r w:rsidR="00AA2513" w:rsidRPr="009911EB">
        <w:rPr>
          <w:rFonts w:eastAsia="Arial"/>
        </w:rPr>
        <w:t xml:space="preserve"> </w:t>
      </w:r>
      <w:r w:rsidRPr="009911EB">
        <w:rPr>
          <w:rFonts w:eastAsia="Arial"/>
        </w:rPr>
        <w:t xml:space="preserve">not </w:t>
      </w:r>
      <w:r w:rsidR="00AA2513">
        <w:rPr>
          <w:rFonts w:eastAsia="Arial"/>
        </w:rPr>
        <w:t>been</w:t>
      </w:r>
      <w:r w:rsidR="003022CE">
        <w:rPr>
          <w:rFonts w:eastAsia="Arial"/>
        </w:rPr>
        <w:t xml:space="preserve"> captured </w:t>
      </w:r>
      <w:r w:rsidRPr="009911EB">
        <w:rPr>
          <w:rFonts w:eastAsia="Arial"/>
        </w:rPr>
        <w:t xml:space="preserve">in this analysis due to a lack of data that can attribute the benefits to </w:t>
      </w:r>
      <w:r w:rsidR="244C9F61" w:rsidRPr="710BA086">
        <w:rPr>
          <w:rFonts w:eastAsia="Arial"/>
        </w:rPr>
        <w:t>r</w:t>
      </w:r>
      <w:r w:rsidRPr="710BA086">
        <w:rPr>
          <w:rFonts w:eastAsia="Arial"/>
        </w:rPr>
        <w:t>e</w:t>
      </w:r>
      <w:r w:rsidR="244C9F61" w:rsidRPr="710BA086">
        <w:rPr>
          <w:rFonts w:eastAsia="Arial"/>
        </w:rPr>
        <w:t xml:space="preserve">duced </w:t>
      </w:r>
      <w:r w:rsidRPr="009911EB">
        <w:rPr>
          <w:rFonts w:eastAsia="Arial"/>
        </w:rPr>
        <w:t xml:space="preserve">exposure to the 9 chemicals. However, this lack of data does not mean the benefits </w:t>
      </w:r>
      <w:r w:rsidR="003022CE">
        <w:rPr>
          <w:rFonts w:eastAsia="Arial"/>
        </w:rPr>
        <w:t>will not be realised</w:t>
      </w:r>
      <w:r w:rsidRPr="009911EB">
        <w:rPr>
          <w:rFonts w:eastAsia="Arial"/>
        </w:rPr>
        <w:t xml:space="preserve"> </w:t>
      </w:r>
      <w:r w:rsidR="27C10DE3" w:rsidRPr="248D367D">
        <w:rPr>
          <w:rFonts w:eastAsia="Arial"/>
        </w:rPr>
        <w:t>by implementing the</w:t>
      </w:r>
      <w:r w:rsidRPr="009911EB">
        <w:rPr>
          <w:rFonts w:eastAsia="Arial"/>
        </w:rPr>
        <w:t xml:space="preserve"> proposed WELs for the 9 chemicals. </w:t>
      </w:r>
    </w:p>
    <w:p w14:paraId="7F4641CA" w14:textId="0BD5F419" w:rsidR="009D5ABD" w:rsidRPr="009D5ABD" w:rsidRDefault="009D5ABD" w:rsidP="009D5ABD">
      <w:pPr>
        <w:spacing w:line="240" w:lineRule="atLeast"/>
        <w:contextualSpacing w:val="0"/>
        <w:rPr>
          <w:rFonts w:eastAsia="Arial"/>
        </w:rPr>
      </w:pPr>
      <w:r w:rsidRPr="009D5ABD">
        <w:rPr>
          <w:rFonts w:eastAsia="Arial"/>
        </w:rPr>
        <w:t>The actual benefit of the proposed WELs for all 9 chemicals, including the non-quantifiable benefits, are assessed to be greater than the quantifiable benefits outlined in this Decision RIS (</w:t>
      </w:r>
      <w:r w:rsidRPr="009D5ABD">
        <w:rPr>
          <w:rFonts w:eastAsia="Arial"/>
        </w:rPr>
        <w:fldChar w:fldCharType="begin"/>
      </w:r>
      <w:r w:rsidRPr="009D5ABD">
        <w:rPr>
          <w:rFonts w:eastAsia="Arial"/>
        </w:rPr>
        <w:instrText xml:space="preserve"> REF _Ref199843207 \h  \* MERGEFORMAT </w:instrText>
      </w:r>
      <w:r w:rsidRPr="009D5ABD">
        <w:rPr>
          <w:rFonts w:eastAsia="Arial"/>
        </w:rPr>
      </w:r>
      <w:r w:rsidRPr="009D5ABD">
        <w:rPr>
          <w:rFonts w:eastAsia="Arial"/>
        </w:rPr>
        <w:fldChar w:fldCharType="separate"/>
      </w:r>
      <w:r w:rsidR="00A002F4" w:rsidRPr="00A002F4">
        <w:rPr>
          <w:rFonts w:eastAsia="Arial"/>
        </w:rPr>
        <w:t>Table 4</w:t>
      </w:r>
      <w:r w:rsidRPr="009D5ABD">
        <w:rPr>
          <w:rFonts w:eastAsia="Arial"/>
        </w:rPr>
        <w:fldChar w:fldCharType="end"/>
      </w:r>
      <w:r w:rsidRPr="009D5ABD">
        <w:rPr>
          <w:rFonts w:eastAsia="Arial"/>
        </w:rPr>
        <w:t xml:space="preserve">). </w:t>
      </w:r>
    </w:p>
    <w:p w14:paraId="59233BA1" w14:textId="5E78FC01" w:rsidR="00333214" w:rsidRPr="009911EB" w:rsidRDefault="003022CE" w:rsidP="00463155">
      <w:pPr>
        <w:spacing w:line="240" w:lineRule="atLeast"/>
        <w:contextualSpacing w:val="0"/>
      </w:pPr>
      <w:r>
        <w:t xml:space="preserve">Importantly, </w:t>
      </w:r>
      <w:r w:rsidR="00333214" w:rsidRPr="009911EB">
        <w:t xml:space="preserve">it must be acknowledged that the proposed changes are </w:t>
      </w:r>
      <w:r w:rsidR="00290481">
        <w:t>expected</w:t>
      </w:r>
      <w:r w:rsidR="00333214" w:rsidRPr="009911EB">
        <w:t xml:space="preserve"> to prevent most workers</w:t>
      </w:r>
      <w:r w:rsidR="00AC4B16">
        <w:t xml:space="preserve"> who are exposed to these 9 chemicals</w:t>
      </w:r>
      <w:r w:rsidR="00333214" w:rsidRPr="009911EB">
        <w:t xml:space="preserve"> from developing occupational diseases, thus </w:t>
      </w:r>
      <w:r w:rsidR="00290481">
        <w:t>keeping</w:t>
      </w:r>
      <w:r w:rsidR="00333214">
        <w:t xml:space="preserve"> workers in the workforce for longer, increasing workers’ </w:t>
      </w:r>
      <w:r w:rsidR="00A05C91">
        <w:t xml:space="preserve">and their </w:t>
      </w:r>
      <w:r w:rsidR="00D3364C">
        <w:t>family’s</w:t>
      </w:r>
      <w:r w:rsidR="00A05C91">
        <w:t xml:space="preserve"> </w:t>
      </w:r>
      <w:r w:rsidR="00333214">
        <w:t xml:space="preserve">quality of life and </w:t>
      </w:r>
      <w:r w:rsidR="00333214" w:rsidRPr="00E85029">
        <w:t>saving workers’ lives</w:t>
      </w:r>
      <w:r w:rsidR="00333214" w:rsidRPr="009911EB">
        <w:t>. This also represents savings and gains in the Australian economy, such as additional economic growth</w:t>
      </w:r>
      <w:r w:rsidR="00333214">
        <w:t xml:space="preserve"> </w:t>
      </w:r>
      <w:sdt>
        <w:sdtPr>
          <w:id w:val="-684138497"/>
          <w:citation/>
        </w:sdtPr>
        <w:sdtEndPr/>
        <w:sdtContent>
          <w:r w:rsidR="00333214">
            <w:fldChar w:fldCharType="begin"/>
          </w:r>
          <w:r w:rsidR="00333214">
            <w:instrText xml:space="preserve"> CITATION Saf22 \l 3081 </w:instrText>
          </w:r>
          <w:r w:rsidR="00333214">
            <w:fldChar w:fldCharType="separate"/>
          </w:r>
          <w:r w:rsidR="00490B21">
            <w:rPr>
              <w:noProof/>
            </w:rPr>
            <w:t>(Safe Work Australia, 2022)</w:t>
          </w:r>
          <w:r w:rsidR="00333214">
            <w:fldChar w:fldCharType="end"/>
          </w:r>
        </w:sdtContent>
      </w:sdt>
      <w:r w:rsidR="00333214" w:rsidRPr="009911EB">
        <w:t>.</w:t>
      </w:r>
    </w:p>
    <w:p w14:paraId="66F679F9" w14:textId="77777777" w:rsidR="009911EB" w:rsidRPr="009911EB" w:rsidRDefault="009911EB" w:rsidP="00A129EE">
      <w:pPr>
        <w:spacing w:before="240" w:line="240" w:lineRule="atLeast"/>
        <w:contextualSpacing w:val="0"/>
        <w:rPr>
          <w:rFonts w:eastAsia="Arial"/>
          <w:b/>
          <w:bCs/>
        </w:rPr>
      </w:pPr>
      <w:r w:rsidRPr="009911EB">
        <w:rPr>
          <w:rFonts w:eastAsia="Arial"/>
          <w:b/>
          <w:bCs/>
        </w:rPr>
        <w:t>Increased economic growth, savings, jobs and wage growth in the Australian economy</w:t>
      </w:r>
    </w:p>
    <w:p w14:paraId="286DAF39" w14:textId="1CDFEB74" w:rsidR="008522BD" w:rsidRPr="006C340F" w:rsidRDefault="00E75808" w:rsidP="00A129EE">
      <w:pPr>
        <w:spacing w:before="120" w:line="240" w:lineRule="atLeast"/>
        <w:contextualSpacing w:val="0"/>
        <w:rPr>
          <w:rFonts w:eastAsia="Arial"/>
        </w:rPr>
      </w:pPr>
      <w:r w:rsidRPr="006C340F">
        <w:rPr>
          <w:rFonts w:eastAsia="Arial"/>
        </w:rPr>
        <w:t xml:space="preserve">Previous research by Safe Work Australia outlines a number of broader quantitative benefits that can be achieved </w:t>
      </w:r>
      <w:r w:rsidR="006C340F" w:rsidRPr="006C340F">
        <w:rPr>
          <w:rFonts w:eastAsia="Arial"/>
        </w:rPr>
        <w:t xml:space="preserve">through </w:t>
      </w:r>
      <w:r w:rsidR="00D25FDE">
        <w:rPr>
          <w:rFonts w:eastAsia="Arial"/>
        </w:rPr>
        <w:t>r</w:t>
      </w:r>
      <w:r w:rsidR="006C340F" w:rsidRPr="006C340F">
        <w:rPr>
          <w:rFonts w:eastAsia="Arial"/>
        </w:rPr>
        <w:t>educing work-related illness and injury. These include:</w:t>
      </w:r>
    </w:p>
    <w:p w14:paraId="05A689EE" w14:textId="09D07463" w:rsidR="009911EB" w:rsidRPr="00E820FA" w:rsidRDefault="00701575" w:rsidP="00A2768E">
      <w:pPr>
        <w:pStyle w:val="ListParagraph"/>
        <w:numPr>
          <w:ilvl w:val="0"/>
          <w:numId w:val="92"/>
        </w:numPr>
        <w:spacing w:after="80"/>
        <w:ind w:left="567"/>
        <w:contextualSpacing w:val="0"/>
        <w:rPr>
          <w:rFonts w:eastAsia="Arial"/>
        </w:rPr>
      </w:pPr>
      <w:r>
        <w:t xml:space="preserve">Safe Work Australia’s </w:t>
      </w:r>
      <w:r w:rsidRPr="00E820FA">
        <w:rPr>
          <w:i/>
          <w:iCs/>
          <w:noProof/>
        </w:rPr>
        <w:t>Safer, healthier, wealthier: The economic value of reducing work-related injuries and illnesses</w:t>
      </w:r>
      <w:r w:rsidRPr="00324716">
        <w:t xml:space="preserve"> </w:t>
      </w:r>
      <w:r w:rsidR="009911EB" w:rsidRPr="00E820FA">
        <w:rPr>
          <w:rFonts w:eastAsia="Arial"/>
        </w:rPr>
        <w:t>identified that if work-related injuries and illnesses were absent, it would result in approximately 185,500 additional jobs per annum</w:t>
      </w:r>
      <w:sdt>
        <w:sdtPr>
          <w:id w:val="1569690663"/>
          <w:citation/>
        </w:sdtPr>
        <w:sdtEndPr/>
        <w:sdtContent>
          <w:r w:rsidR="00F135A3" w:rsidRPr="00E820FA">
            <w:rPr>
              <w:rFonts w:eastAsia="Arial"/>
            </w:rPr>
            <w:fldChar w:fldCharType="begin"/>
          </w:r>
          <w:r w:rsidR="00F135A3" w:rsidRPr="00E820FA">
            <w:rPr>
              <w:rFonts w:eastAsia="Arial"/>
            </w:rPr>
            <w:instrText xml:space="preserve"> CITATION Saf22 \l 3081 </w:instrText>
          </w:r>
          <w:r w:rsidR="00F135A3" w:rsidRPr="00E820FA">
            <w:rPr>
              <w:rFonts w:eastAsia="Arial"/>
            </w:rPr>
            <w:fldChar w:fldCharType="separate"/>
          </w:r>
          <w:r w:rsidR="00490B21">
            <w:rPr>
              <w:rFonts w:eastAsia="Arial"/>
              <w:noProof/>
            </w:rPr>
            <w:t xml:space="preserve"> </w:t>
          </w:r>
          <w:r w:rsidR="00490B21" w:rsidRPr="00490B21">
            <w:rPr>
              <w:rFonts w:eastAsia="Arial"/>
              <w:noProof/>
            </w:rPr>
            <w:t>(Safe Work Australia, 2022)</w:t>
          </w:r>
          <w:r w:rsidR="00F135A3" w:rsidRPr="00E820FA">
            <w:rPr>
              <w:rFonts w:eastAsia="Arial"/>
            </w:rPr>
            <w:fldChar w:fldCharType="end"/>
          </w:r>
        </w:sdtContent>
      </w:sdt>
      <w:r w:rsidR="009911EB" w:rsidRPr="00E820FA">
        <w:rPr>
          <w:rFonts w:eastAsia="Arial"/>
        </w:rPr>
        <w:t xml:space="preserve">. </w:t>
      </w:r>
    </w:p>
    <w:p w14:paraId="27D50F9F" w14:textId="3BA61E43" w:rsidR="005B6B37" w:rsidRPr="00E820FA" w:rsidRDefault="00D3364C" w:rsidP="00A2768E">
      <w:pPr>
        <w:pStyle w:val="ListParagraph"/>
        <w:numPr>
          <w:ilvl w:val="0"/>
          <w:numId w:val="92"/>
        </w:numPr>
        <w:spacing w:line="240" w:lineRule="auto"/>
        <w:ind w:left="567" w:hanging="357"/>
        <w:contextualSpacing w:val="0"/>
        <w:rPr>
          <w:rFonts w:eastAsia="Arial"/>
        </w:rPr>
      </w:pPr>
      <w:r w:rsidRPr="00E820FA">
        <w:rPr>
          <w:rFonts w:eastAsia="Arial"/>
        </w:rPr>
        <w:t>L</w:t>
      </w:r>
      <w:r w:rsidR="00143CC0" w:rsidRPr="00E820FA">
        <w:rPr>
          <w:rFonts w:eastAsia="Arial"/>
        </w:rPr>
        <w:t xml:space="preserve">owering the </w:t>
      </w:r>
      <w:r w:rsidR="00EB1C6E" w:rsidRPr="00E820FA">
        <w:rPr>
          <w:rFonts w:eastAsia="Arial"/>
        </w:rPr>
        <w:t xml:space="preserve">current WES to the health-based WEL for the 9 chemicals to </w:t>
      </w:r>
      <w:r w:rsidR="001F4980" w:rsidRPr="00E820FA">
        <w:rPr>
          <w:rFonts w:eastAsia="Arial"/>
        </w:rPr>
        <w:t>reduce</w:t>
      </w:r>
      <w:r w:rsidR="005B6B37" w:rsidRPr="00E820FA">
        <w:rPr>
          <w:rFonts w:eastAsia="Arial"/>
        </w:rPr>
        <w:t xml:space="preserve"> occupational diseases and illnesses </w:t>
      </w:r>
      <w:r w:rsidR="00A93455">
        <w:rPr>
          <w:rFonts w:eastAsia="Arial"/>
        </w:rPr>
        <w:t>is</w:t>
      </w:r>
      <w:r w:rsidR="1540FCAD" w:rsidRPr="00E820FA">
        <w:rPr>
          <w:rFonts w:eastAsia="Arial"/>
        </w:rPr>
        <w:t xml:space="preserve"> expected to</w:t>
      </w:r>
      <w:r w:rsidR="005B6B37" w:rsidRPr="00E820FA">
        <w:rPr>
          <w:rFonts w:eastAsia="Arial"/>
        </w:rPr>
        <w:t xml:space="preserve"> have a positive impact on industries</w:t>
      </w:r>
      <w:r w:rsidR="00D114D8" w:rsidRPr="00E820FA">
        <w:rPr>
          <w:rFonts w:eastAsia="Arial"/>
        </w:rPr>
        <w:t>.</w:t>
      </w:r>
      <w:r w:rsidR="005B6B37" w:rsidRPr="00E820FA">
        <w:rPr>
          <w:rFonts w:eastAsia="Arial"/>
        </w:rPr>
        <w:t xml:space="preserve"> </w:t>
      </w:r>
      <w:r w:rsidR="0020335E" w:rsidRPr="00E820FA">
        <w:rPr>
          <w:rFonts w:eastAsia="Arial"/>
        </w:rPr>
        <w:t>R</w:t>
      </w:r>
      <w:r w:rsidR="001F4980" w:rsidRPr="00E820FA">
        <w:rPr>
          <w:rFonts w:eastAsia="Arial"/>
        </w:rPr>
        <w:t xml:space="preserve">esearch </w:t>
      </w:r>
      <w:r w:rsidR="00AC278B" w:rsidRPr="00E820FA">
        <w:rPr>
          <w:rFonts w:eastAsia="Arial"/>
        </w:rPr>
        <w:t xml:space="preserve">suggests </w:t>
      </w:r>
      <w:r w:rsidR="00243D55" w:rsidRPr="00E820FA">
        <w:rPr>
          <w:rFonts w:eastAsia="Arial"/>
        </w:rPr>
        <w:t xml:space="preserve">that there would be </w:t>
      </w:r>
      <w:r w:rsidR="007C6BF2" w:rsidRPr="00E820FA">
        <w:rPr>
          <w:rFonts w:eastAsia="Arial"/>
        </w:rPr>
        <w:t xml:space="preserve">productivity gains, </w:t>
      </w:r>
      <w:r w:rsidR="004D1C81" w:rsidRPr="00E820FA">
        <w:rPr>
          <w:rFonts w:eastAsia="Arial"/>
        </w:rPr>
        <w:t>reduced employer overheads (such as from workers’ compensation claims</w:t>
      </w:r>
      <w:r w:rsidR="00C1193C" w:rsidRPr="00E820FA">
        <w:rPr>
          <w:rFonts w:eastAsia="Arial"/>
        </w:rPr>
        <w:t xml:space="preserve"> and the costs incurred from hiring and training new staff to account </w:t>
      </w:r>
      <w:r w:rsidR="004B7648" w:rsidRPr="00E820FA">
        <w:rPr>
          <w:rFonts w:eastAsia="Arial"/>
        </w:rPr>
        <w:t xml:space="preserve">for staff who are </w:t>
      </w:r>
      <w:r w:rsidR="00243D55" w:rsidRPr="00E820FA">
        <w:rPr>
          <w:rFonts w:eastAsia="Arial"/>
        </w:rPr>
        <w:t>absent</w:t>
      </w:r>
      <w:r w:rsidR="004B7648" w:rsidRPr="00E820FA">
        <w:rPr>
          <w:rFonts w:eastAsia="Arial"/>
        </w:rPr>
        <w:t xml:space="preserve"> or </w:t>
      </w:r>
      <w:r w:rsidR="004B7648" w:rsidRPr="00E820FA">
        <w:rPr>
          <w:rFonts w:eastAsia="Arial"/>
        </w:rPr>
        <w:lastRenderedPageBreak/>
        <w:t>withdrew from work due to an occupational illness or injury)</w:t>
      </w:r>
      <w:r w:rsidR="00243D55" w:rsidRPr="00E820FA">
        <w:rPr>
          <w:rFonts w:eastAsia="Arial"/>
        </w:rPr>
        <w:t xml:space="preserve"> and increased outputs </w:t>
      </w:r>
      <w:r w:rsidR="00C10193" w:rsidRPr="00E820FA">
        <w:rPr>
          <w:rFonts w:eastAsia="Arial"/>
        </w:rPr>
        <w:t>to</w:t>
      </w:r>
      <w:r w:rsidR="001F3F5F" w:rsidRPr="00E820FA">
        <w:rPr>
          <w:rFonts w:eastAsia="Arial"/>
        </w:rPr>
        <w:t xml:space="preserve"> industr</w:t>
      </w:r>
      <w:r w:rsidR="00C10193" w:rsidRPr="00E820FA">
        <w:rPr>
          <w:rFonts w:eastAsia="Arial"/>
        </w:rPr>
        <w:t>ies identified in this analysis</w:t>
      </w:r>
      <w:r w:rsidR="00655CB8" w:rsidRPr="00E820FA">
        <w:rPr>
          <w:rFonts w:eastAsia="Arial"/>
        </w:rPr>
        <w:t>, if occupational diseases and illnesses are reduced</w:t>
      </w:r>
      <w:sdt>
        <w:sdtPr>
          <w:id w:val="68007108"/>
          <w:citation/>
        </w:sdtPr>
        <w:sdtEndPr/>
        <w:sdtContent>
          <w:r w:rsidR="00F135A3" w:rsidRPr="00E820FA">
            <w:rPr>
              <w:rFonts w:eastAsia="Arial"/>
            </w:rPr>
            <w:fldChar w:fldCharType="begin"/>
          </w:r>
          <w:r w:rsidR="00F135A3">
            <w:rPr>
              <w:rStyle w:val="FootnoteReference"/>
            </w:rPr>
            <w:instrText xml:space="preserve"> CITATION Saf22 \l 3081 </w:instrText>
          </w:r>
          <w:r w:rsidR="00F135A3" w:rsidRPr="00E820FA">
            <w:rPr>
              <w:rFonts w:eastAsia="Arial"/>
            </w:rPr>
            <w:fldChar w:fldCharType="separate"/>
          </w:r>
          <w:r w:rsidR="00490B21">
            <w:rPr>
              <w:rStyle w:val="FootnoteReference"/>
              <w:noProof/>
            </w:rPr>
            <w:t xml:space="preserve"> </w:t>
          </w:r>
          <w:r w:rsidR="00490B21">
            <w:rPr>
              <w:noProof/>
            </w:rPr>
            <w:t>(Safe Work Australia, 2022)</w:t>
          </w:r>
          <w:r w:rsidR="00F135A3" w:rsidRPr="00E820FA">
            <w:rPr>
              <w:rFonts w:eastAsia="Arial"/>
            </w:rPr>
            <w:fldChar w:fldCharType="end"/>
          </w:r>
        </w:sdtContent>
      </w:sdt>
      <w:r w:rsidR="00655CB8" w:rsidRPr="00E820FA">
        <w:rPr>
          <w:rFonts w:eastAsia="Arial"/>
        </w:rPr>
        <w:t xml:space="preserve">. </w:t>
      </w:r>
    </w:p>
    <w:p w14:paraId="61062568" w14:textId="785E6066" w:rsidR="009911EB" w:rsidRPr="00E820FA" w:rsidRDefault="00CD35E2" w:rsidP="00A2768E">
      <w:pPr>
        <w:pStyle w:val="ListParagraph"/>
        <w:numPr>
          <w:ilvl w:val="0"/>
          <w:numId w:val="92"/>
        </w:numPr>
        <w:spacing w:after="80"/>
        <w:ind w:left="567" w:hanging="357"/>
        <w:contextualSpacing w:val="0"/>
        <w:rPr>
          <w:rFonts w:eastAsia="Arial"/>
        </w:rPr>
      </w:pPr>
      <w:r w:rsidRPr="00E820FA">
        <w:rPr>
          <w:rFonts w:eastAsia="Arial"/>
        </w:rPr>
        <w:t>T</w:t>
      </w:r>
      <w:r w:rsidR="008644E2" w:rsidRPr="00E820FA">
        <w:rPr>
          <w:rFonts w:eastAsia="Arial"/>
        </w:rPr>
        <w:t>he</w:t>
      </w:r>
      <w:r w:rsidR="00E41482" w:rsidRPr="00E820FA">
        <w:rPr>
          <w:rFonts w:eastAsia="Arial"/>
        </w:rPr>
        <w:t xml:space="preserve"> </w:t>
      </w:r>
      <w:r w:rsidR="009911EB" w:rsidRPr="00E820FA">
        <w:rPr>
          <w:rFonts w:eastAsia="Arial"/>
        </w:rPr>
        <w:t xml:space="preserve">International Labor Organisation (ILO) </w:t>
      </w:r>
      <w:r w:rsidR="000C210B" w:rsidRPr="00E820FA">
        <w:rPr>
          <w:rFonts w:eastAsia="Arial"/>
        </w:rPr>
        <w:t>describes</w:t>
      </w:r>
      <w:r w:rsidR="00E41482" w:rsidRPr="00E820FA">
        <w:rPr>
          <w:rFonts w:eastAsia="Arial"/>
        </w:rPr>
        <w:t xml:space="preserve"> occupational diseases as a ‘hidden epidemic’. The ILO estimated</w:t>
      </w:r>
      <w:r w:rsidR="009911EB" w:rsidRPr="00E820FA">
        <w:rPr>
          <w:rFonts w:eastAsia="Arial"/>
        </w:rPr>
        <w:t xml:space="preserve"> work-related accidents and diseases reduces the</w:t>
      </w:r>
      <w:r w:rsidR="009911EB" w:rsidRPr="00E820FA" w:rsidDel="00AC33F0">
        <w:rPr>
          <w:rFonts w:eastAsia="Arial"/>
        </w:rPr>
        <w:t xml:space="preserve"> </w:t>
      </w:r>
      <w:r w:rsidR="009911EB" w:rsidRPr="00E820FA">
        <w:rPr>
          <w:rFonts w:eastAsia="Arial"/>
        </w:rPr>
        <w:t>global gross domestic product (GDP) by 4% or about US$2.8 trillion in direct and indirect costs of injuries and diseases</w:t>
      </w:r>
      <w:r w:rsidR="00E41482" w:rsidRPr="00E820FA">
        <w:rPr>
          <w:rFonts w:eastAsia="Arial"/>
        </w:rPr>
        <w:t xml:space="preserve">, and that 2.02 million workers </w:t>
      </w:r>
      <w:r w:rsidR="00B74746" w:rsidRPr="00E820FA">
        <w:rPr>
          <w:rFonts w:eastAsia="Arial"/>
        </w:rPr>
        <w:t>die globally from work-related diseases each year</w:t>
      </w:r>
      <w:r w:rsidR="00DF1984" w:rsidRPr="00E820FA">
        <w:rPr>
          <w:rFonts w:eastAsia="Arial"/>
        </w:rPr>
        <w:t xml:space="preserve"> </w:t>
      </w:r>
      <w:sdt>
        <w:sdtPr>
          <w:id w:val="1215539409"/>
          <w:citation/>
        </w:sdtPr>
        <w:sdtEndPr/>
        <w:sdtContent>
          <w:r w:rsidR="00DF1984" w:rsidRPr="00E820FA">
            <w:rPr>
              <w:rFonts w:eastAsia="Arial"/>
            </w:rPr>
            <w:fldChar w:fldCharType="begin"/>
          </w:r>
          <w:r w:rsidR="00DF1984" w:rsidRPr="00E820FA">
            <w:rPr>
              <w:rFonts w:eastAsia="Arial"/>
            </w:rPr>
            <w:instrText xml:space="preserve"> CITATION Int13 \l 3081 </w:instrText>
          </w:r>
          <w:r w:rsidR="00DF1984" w:rsidRPr="00E820FA">
            <w:rPr>
              <w:rFonts w:eastAsia="Arial"/>
            </w:rPr>
            <w:fldChar w:fldCharType="separate"/>
          </w:r>
          <w:r w:rsidR="00490B21" w:rsidRPr="00490B21">
            <w:rPr>
              <w:rFonts w:eastAsia="Arial"/>
              <w:noProof/>
            </w:rPr>
            <w:t>(International Labour Organization, 2013)</w:t>
          </w:r>
          <w:r w:rsidR="00DF1984" w:rsidRPr="00E820FA">
            <w:rPr>
              <w:rFonts w:eastAsia="Arial"/>
            </w:rPr>
            <w:fldChar w:fldCharType="end"/>
          </w:r>
        </w:sdtContent>
      </w:sdt>
      <w:r w:rsidR="009911EB" w:rsidRPr="00E820FA">
        <w:rPr>
          <w:rFonts w:eastAsia="Arial"/>
        </w:rPr>
        <w:t xml:space="preserve">. </w:t>
      </w:r>
    </w:p>
    <w:p w14:paraId="7FA35386" w14:textId="1BE8E842" w:rsidR="000D18B2" w:rsidRPr="00E820FA" w:rsidRDefault="40D91189" w:rsidP="00A2768E">
      <w:pPr>
        <w:pStyle w:val="ListParagraph"/>
        <w:numPr>
          <w:ilvl w:val="0"/>
          <w:numId w:val="92"/>
        </w:numPr>
        <w:spacing w:after="80"/>
        <w:ind w:left="567"/>
        <w:rPr>
          <w:rFonts w:eastAsia="Arial"/>
        </w:rPr>
      </w:pPr>
      <w:r w:rsidRPr="27F845C1">
        <w:rPr>
          <w:rFonts w:eastAsia="Arial"/>
        </w:rPr>
        <w:t>R</w:t>
      </w:r>
      <w:r w:rsidR="7DC3A914" w:rsidRPr="27F845C1">
        <w:rPr>
          <w:rFonts w:eastAsia="Arial"/>
        </w:rPr>
        <w:t>educed absenteeism and presenteeism</w:t>
      </w:r>
      <w:r w:rsidR="2D89C7C5" w:rsidRPr="27F845C1">
        <w:rPr>
          <w:rFonts w:eastAsia="Arial"/>
        </w:rPr>
        <w:t xml:space="preserve"> will increase productivity</w:t>
      </w:r>
      <w:r w:rsidR="7DC3A914" w:rsidRPr="27F845C1">
        <w:rPr>
          <w:rFonts w:eastAsia="Arial"/>
        </w:rPr>
        <w:t>.</w:t>
      </w:r>
      <w:r w:rsidR="00BE0DF0">
        <w:rPr>
          <w:rFonts w:eastAsia="Arial"/>
        </w:rPr>
        <w:t xml:space="preserve"> </w:t>
      </w:r>
      <w:r w:rsidR="00B147CF">
        <w:rPr>
          <w:rFonts w:eastAsia="Arial"/>
        </w:rPr>
        <w:t>B</w:t>
      </w:r>
      <w:r w:rsidR="002D1510">
        <w:rPr>
          <w:rFonts w:eastAsia="Arial"/>
        </w:rPr>
        <w:t>etween 2008</w:t>
      </w:r>
      <w:r w:rsidR="00B105EA">
        <w:rPr>
          <w:rFonts w:eastAsia="Arial"/>
        </w:rPr>
        <w:t xml:space="preserve"> and 20</w:t>
      </w:r>
      <w:r w:rsidR="002D1510">
        <w:rPr>
          <w:rFonts w:eastAsia="Arial"/>
        </w:rPr>
        <w:t xml:space="preserve">18, </w:t>
      </w:r>
      <w:r w:rsidR="00B105EA">
        <w:rPr>
          <w:rFonts w:eastAsia="Arial"/>
        </w:rPr>
        <w:t xml:space="preserve"> </w:t>
      </w:r>
      <w:r w:rsidR="002D1510">
        <w:rPr>
          <w:rFonts w:eastAsia="Arial"/>
        </w:rPr>
        <w:t xml:space="preserve">2.2 million </w:t>
      </w:r>
      <w:r w:rsidR="00EE1D35">
        <w:rPr>
          <w:rFonts w:eastAsia="Arial"/>
        </w:rPr>
        <w:t>jobs (F</w:t>
      </w:r>
      <w:r w:rsidR="002D1510">
        <w:rPr>
          <w:rFonts w:eastAsia="Arial"/>
        </w:rPr>
        <w:t xml:space="preserve">ull </w:t>
      </w:r>
      <w:r w:rsidR="00175E8F">
        <w:rPr>
          <w:rFonts w:eastAsia="Arial"/>
        </w:rPr>
        <w:t>T</w:t>
      </w:r>
      <w:r w:rsidR="002D1510">
        <w:rPr>
          <w:rFonts w:eastAsia="Arial"/>
        </w:rPr>
        <w:t xml:space="preserve">ime </w:t>
      </w:r>
      <w:r w:rsidR="00175E8F">
        <w:rPr>
          <w:rFonts w:eastAsia="Arial"/>
        </w:rPr>
        <w:t>Equivalent</w:t>
      </w:r>
      <w:r w:rsidR="00C81ED5">
        <w:rPr>
          <w:rFonts w:eastAsia="Arial"/>
        </w:rPr>
        <w:t>)</w:t>
      </w:r>
      <w:r w:rsidR="00CB602A">
        <w:rPr>
          <w:rFonts w:eastAsia="Arial"/>
        </w:rPr>
        <w:t xml:space="preserve"> were los</w:t>
      </w:r>
      <w:r w:rsidR="00C81ED5">
        <w:rPr>
          <w:rFonts w:eastAsia="Arial"/>
        </w:rPr>
        <w:t>t</w:t>
      </w:r>
      <w:r w:rsidR="00CB602A">
        <w:rPr>
          <w:rFonts w:eastAsia="Arial"/>
        </w:rPr>
        <w:t xml:space="preserve"> due to work</w:t>
      </w:r>
      <w:r w:rsidR="007462DB">
        <w:rPr>
          <w:rFonts w:eastAsia="Arial"/>
        </w:rPr>
        <w:t xml:space="preserve"> </w:t>
      </w:r>
      <w:r w:rsidR="00CB602A">
        <w:rPr>
          <w:rFonts w:eastAsia="Arial"/>
        </w:rPr>
        <w:t xml:space="preserve">related injuries and illnesses </w:t>
      </w:r>
      <w:sdt>
        <w:sdtPr>
          <w:rPr>
            <w:rFonts w:eastAsia="Arial"/>
          </w:rPr>
          <w:id w:val="-1426185181"/>
          <w:citation/>
        </w:sdtPr>
        <w:sdtEndPr/>
        <w:sdtContent>
          <w:r w:rsidR="007448C3">
            <w:rPr>
              <w:rFonts w:eastAsia="Arial"/>
            </w:rPr>
            <w:fldChar w:fldCharType="begin"/>
          </w:r>
          <w:r w:rsidR="007448C3">
            <w:rPr>
              <w:rFonts w:eastAsia="Arial"/>
            </w:rPr>
            <w:instrText xml:space="preserve"> CITATION Saf22 \l 3081 </w:instrText>
          </w:r>
          <w:r w:rsidR="007448C3">
            <w:rPr>
              <w:rFonts w:eastAsia="Arial"/>
            </w:rPr>
            <w:fldChar w:fldCharType="separate"/>
          </w:r>
          <w:r w:rsidR="00490B21" w:rsidRPr="00490B21">
            <w:rPr>
              <w:rFonts w:eastAsia="Arial"/>
              <w:noProof/>
            </w:rPr>
            <w:t>(Safe Work Australia, 2022)</w:t>
          </w:r>
          <w:r w:rsidR="007448C3">
            <w:rPr>
              <w:rFonts w:eastAsia="Arial"/>
            </w:rPr>
            <w:fldChar w:fldCharType="end"/>
          </w:r>
        </w:sdtContent>
      </w:sdt>
      <w:r w:rsidR="00885094">
        <w:rPr>
          <w:rFonts w:eastAsia="Arial"/>
        </w:rPr>
        <w:t>.</w:t>
      </w:r>
      <w:r w:rsidR="00464C20">
        <w:rPr>
          <w:rFonts w:eastAsia="Arial"/>
        </w:rPr>
        <w:t xml:space="preserve"> By reducing work-related injuries and illnesses, </w:t>
      </w:r>
      <w:r w:rsidR="00464C20">
        <w:rPr>
          <w:rFonts w:eastAsia="Times New Roman" w:cs="Arial"/>
          <w:lang w:eastAsia="en-AU"/>
        </w:rPr>
        <w:t>t</w:t>
      </w:r>
      <w:r w:rsidR="2D89C7C5" w:rsidRPr="27F845C1">
        <w:rPr>
          <w:rFonts w:eastAsia="Times New Roman" w:cs="Arial"/>
          <w:lang w:eastAsia="en-AU"/>
        </w:rPr>
        <w:t xml:space="preserve">here will be less workers seeking time off to attend medical appointments to seek treatment for, or to recover from, an occupational disease or illness. Further, workers will be able to perform at their full potential if they are not experiencing an adverse health effect, reducing presenteeism in the workplace and </w:t>
      </w:r>
      <w:r w:rsidR="2D89C7C5" w:rsidRPr="2DB50698">
        <w:rPr>
          <w:rFonts w:eastAsia="Times New Roman" w:cs="Arial"/>
          <w:lang w:eastAsia="en-AU"/>
        </w:rPr>
        <w:t>increas</w:t>
      </w:r>
      <w:r w:rsidR="5A52ADF7" w:rsidRPr="2DB50698">
        <w:rPr>
          <w:rFonts w:eastAsia="Times New Roman" w:cs="Arial"/>
          <w:lang w:eastAsia="en-AU"/>
        </w:rPr>
        <w:t>ing</w:t>
      </w:r>
      <w:r w:rsidR="2D89C7C5" w:rsidRPr="27F845C1">
        <w:rPr>
          <w:rFonts w:eastAsia="Times New Roman" w:cs="Arial"/>
          <w:lang w:eastAsia="en-AU"/>
        </w:rPr>
        <w:t xml:space="preserve"> business productivity.</w:t>
      </w:r>
      <w:r w:rsidR="00141C8D">
        <w:rPr>
          <w:rFonts w:eastAsia="Times New Roman" w:cs="Arial"/>
          <w:lang w:eastAsia="en-AU"/>
        </w:rPr>
        <w:t xml:space="preserve"> </w:t>
      </w:r>
      <w:r w:rsidR="00CF571D">
        <w:rPr>
          <w:rFonts w:eastAsia="Times New Roman" w:cs="Arial"/>
          <w:lang w:eastAsia="en-AU"/>
        </w:rPr>
        <w:t xml:space="preserve">By avoiding productivity losses and costs from work-related </w:t>
      </w:r>
      <w:r w:rsidR="00141C8D">
        <w:rPr>
          <w:rFonts w:eastAsia="Times New Roman" w:cs="Arial"/>
          <w:lang w:eastAsia="en-AU"/>
        </w:rPr>
        <w:t>injuries</w:t>
      </w:r>
      <w:r w:rsidR="00CF571D">
        <w:rPr>
          <w:rFonts w:eastAsia="Times New Roman" w:cs="Arial"/>
          <w:lang w:eastAsia="en-AU"/>
        </w:rPr>
        <w:t xml:space="preserve"> or illnesses, </w:t>
      </w:r>
      <w:r w:rsidR="00141C8D">
        <w:rPr>
          <w:rFonts w:eastAsia="Times New Roman" w:cs="Arial"/>
          <w:lang w:eastAsia="en-AU"/>
        </w:rPr>
        <w:t xml:space="preserve">Australia’s economy would have been $28.6 billion larger each year </w:t>
      </w:r>
      <w:sdt>
        <w:sdtPr>
          <w:rPr>
            <w:rFonts w:eastAsia="Times New Roman" w:cs="Arial"/>
            <w:lang w:eastAsia="en-AU"/>
          </w:rPr>
          <w:id w:val="-945388338"/>
          <w:citation/>
        </w:sdtPr>
        <w:sdtEndPr/>
        <w:sdtContent>
          <w:r w:rsidR="00141C8D">
            <w:rPr>
              <w:rFonts w:eastAsia="Times New Roman" w:cs="Arial"/>
              <w:lang w:eastAsia="en-AU"/>
            </w:rPr>
            <w:fldChar w:fldCharType="begin"/>
          </w:r>
          <w:r w:rsidR="00141C8D">
            <w:rPr>
              <w:rFonts w:eastAsia="Times New Roman" w:cs="Arial"/>
              <w:lang w:eastAsia="en-AU"/>
            </w:rPr>
            <w:instrText xml:space="preserve"> CITATION Saf22 \l 3081 </w:instrText>
          </w:r>
          <w:r w:rsidR="00141C8D">
            <w:rPr>
              <w:rFonts w:eastAsia="Times New Roman" w:cs="Arial"/>
              <w:lang w:eastAsia="en-AU"/>
            </w:rPr>
            <w:fldChar w:fldCharType="separate"/>
          </w:r>
          <w:r w:rsidR="00490B21" w:rsidRPr="00490B21">
            <w:rPr>
              <w:rFonts w:eastAsia="Times New Roman" w:cs="Arial"/>
              <w:noProof/>
              <w:lang w:eastAsia="en-AU"/>
            </w:rPr>
            <w:t>(Safe Work Australia, 2022)</w:t>
          </w:r>
          <w:r w:rsidR="00141C8D">
            <w:rPr>
              <w:rFonts w:eastAsia="Times New Roman" w:cs="Arial"/>
              <w:lang w:eastAsia="en-AU"/>
            </w:rPr>
            <w:fldChar w:fldCharType="end"/>
          </w:r>
        </w:sdtContent>
      </w:sdt>
      <w:r w:rsidR="00141C8D">
        <w:rPr>
          <w:rFonts w:eastAsia="Times New Roman" w:cs="Arial"/>
          <w:lang w:eastAsia="en-AU"/>
        </w:rPr>
        <w:t xml:space="preserve">. </w:t>
      </w:r>
    </w:p>
    <w:p w14:paraId="5FCE04E9" w14:textId="77777777" w:rsidR="00D70371" w:rsidRDefault="00D70371" w:rsidP="00D70371">
      <w:pPr>
        <w:keepNext/>
        <w:keepLines/>
        <w:spacing w:before="240" w:line="276" w:lineRule="auto"/>
        <w:contextualSpacing w:val="0"/>
        <w:rPr>
          <w:rFonts w:eastAsiaTheme="majorEastAsia" w:cs="Arial"/>
          <w:b/>
          <w:bCs/>
        </w:rPr>
      </w:pPr>
      <w:r w:rsidRPr="00256C81">
        <w:rPr>
          <w:rFonts w:eastAsiaTheme="majorEastAsia" w:cs="Arial"/>
          <w:b/>
          <w:bCs/>
        </w:rPr>
        <w:t>Reduction in costs associated with worker compensation claims</w:t>
      </w:r>
    </w:p>
    <w:p w14:paraId="7D9F5986" w14:textId="77777777" w:rsidR="00D70371" w:rsidRDefault="00D70371" w:rsidP="00D70371">
      <w:pPr>
        <w:keepLines/>
        <w:numPr>
          <w:ilvl w:val="2"/>
          <w:numId w:val="50"/>
        </w:numPr>
        <w:spacing w:after="200" w:line="240" w:lineRule="atLeast"/>
        <w:ind w:left="584" w:hanging="357"/>
        <w:contextualSpacing w:val="0"/>
        <w:rPr>
          <w:rFonts w:eastAsia="Times New Roman" w:cs="Arial"/>
          <w:szCs w:val="22"/>
          <w:lang w:eastAsia="en-AU"/>
        </w:rPr>
      </w:pPr>
      <w:r w:rsidRPr="009911EB">
        <w:rPr>
          <w:rFonts w:eastAsia="Times New Roman" w:cs="Arial"/>
          <w:szCs w:val="22"/>
          <w:lang w:eastAsia="en-AU"/>
        </w:rPr>
        <w:t xml:space="preserve">Workers who develop </w:t>
      </w:r>
      <w:r>
        <w:rPr>
          <w:rFonts w:eastAsia="Times New Roman" w:cs="Arial"/>
          <w:szCs w:val="22"/>
          <w:lang w:eastAsia="en-AU"/>
        </w:rPr>
        <w:t xml:space="preserve">a physical injury or illness like </w:t>
      </w:r>
      <w:r w:rsidRPr="009911EB">
        <w:rPr>
          <w:rFonts w:eastAsia="Times New Roman" w:cs="Arial"/>
          <w:szCs w:val="22"/>
          <w:lang w:eastAsia="en-AU"/>
        </w:rPr>
        <w:t>an occupational disease or illness</w:t>
      </w:r>
      <w:r>
        <w:rPr>
          <w:rFonts w:eastAsia="Times New Roman" w:cs="Arial"/>
          <w:szCs w:val="22"/>
          <w:lang w:eastAsia="en-AU"/>
        </w:rPr>
        <w:t>, or a psychological injury or illness from exposure to any airborne contaminant or hazardous chemical or from developing an occupational disease or illness,</w:t>
      </w:r>
      <w:r w:rsidRPr="009911EB">
        <w:rPr>
          <w:rFonts w:eastAsia="Times New Roman" w:cs="Arial"/>
          <w:szCs w:val="22"/>
          <w:lang w:eastAsia="en-AU"/>
        </w:rPr>
        <w:t xml:space="preserve"> are able to seek workers’ compensation if the </w:t>
      </w:r>
      <w:r>
        <w:rPr>
          <w:rFonts w:eastAsia="Times New Roman" w:cs="Arial"/>
          <w:szCs w:val="22"/>
          <w:lang w:eastAsia="en-AU"/>
        </w:rPr>
        <w:t>physical or psychosocial injury or illness</w:t>
      </w:r>
      <w:r w:rsidRPr="009911EB">
        <w:rPr>
          <w:rFonts w:eastAsia="Times New Roman" w:cs="Arial"/>
          <w:szCs w:val="22"/>
          <w:lang w:eastAsia="en-AU"/>
        </w:rPr>
        <w:t xml:space="preserve"> can be linked to any workplace exposure to any airborne contaminant or hazardous chemical.</w:t>
      </w:r>
    </w:p>
    <w:p w14:paraId="653A65AF" w14:textId="13914636" w:rsidR="00D70371" w:rsidRPr="009911EB" w:rsidRDefault="00FA61A2" w:rsidP="00D70371">
      <w:pPr>
        <w:keepLines/>
        <w:numPr>
          <w:ilvl w:val="2"/>
          <w:numId w:val="50"/>
        </w:numPr>
        <w:spacing w:after="200" w:line="240" w:lineRule="atLeast"/>
        <w:ind w:left="584" w:hanging="357"/>
        <w:contextualSpacing w:val="0"/>
        <w:rPr>
          <w:rFonts w:eastAsia="Times New Roman" w:cs="Arial"/>
          <w:szCs w:val="22"/>
          <w:lang w:eastAsia="en-AU"/>
        </w:rPr>
      </w:pPr>
      <w:r>
        <w:rPr>
          <w:rFonts w:eastAsia="Times New Roman" w:cs="Arial"/>
          <w:szCs w:val="22"/>
          <w:lang w:eastAsia="en-AU"/>
        </w:rPr>
        <w:t xml:space="preserve">Workers’ compensation can </w:t>
      </w:r>
      <w:r w:rsidR="00D70371" w:rsidRPr="003673C7">
        <w:rPr>
          <w:rFonts w:eastAsia="Times New Roman" w:cs="Arial"/>
          <w:szCs w:val="22"/>
          <w:lang w:eastAsia="en-AU"/>
        </w:rPr>
        <w:t>offer financial support to help affected workers to focus on getting better without having to worry about treatment costs</w:t>
      </w:r>
      <w:r w:rsidR="00D70371">
        <w:rPr>
          <w:rFonts w:eastAsia="Times New Roman" w:cs="Arial"/>
          <w:szCs w:val="22"/>
          <w:lang w:eastAsia="en-AU"/>
        </w:rPr>
        <w:t xml:space="preserve"> or cover part of their wage whilst affected workers are recovering from the physical or psychological illness</w:t>
      </w:r>
      <w:r w:rsidR="00D70371" w:rsidRPr="003673C7">
        <w:rPr>
          <w:rFonts w:eastAsia="Times New Roman" w:cs="Arial"/>
          <w:szCs w:val="22"/>
          <w:lang w:eastAsia="en-AU"/>
        </w:rPr>
        <w:t>. It also provides rehabilitation services to ensure affected workers have a safe, durable and timely return to work. </w:t>
      </w:r>
    </w:p>
    <w:p w14:paraId="0C5BDC18" w14:textId="0CC6368C" w:rsidR="00D70371" w:rsidRPr="002D629A" w:rsidRDefault="00D70371" w:rsidP="00D70371">
      <w:pPr>
        <w:keepLines/>
        <w:numPr>
          <w:ilvl w:val="2"/>
          <w:numId w:val="50"/>
        </w:numPr>
        <w:spacing w:after="200" w:line="240" w:lineRule="atLeast"/>
        <w:ind w:left="584" w:hanging="357"/>
        <w:contextualSpacing w:val="0"/>
        <w:rPr>
          <w:rFonts w:eastAsia="Times New Roman" w:cs="Arial"/>
          <w:szCs w:val="22"/>
          <w:lang w:eastAsia="en-AU"/>
        </w:rPr>
      </w:pPr>
      <w:r w:rsidRPr="002D629A">
        <w:rPr>
          <w:rFonts w:eastAsia="Times New Roman" w:cs="Arial"/>
          <w:szCs w:val="22"/>
          <w:lang w:eastAsia="en-AU"/>
        </w:rPr>
        <w:t xml:space="preserve">Certain adverse health effects as a result of exposure to one or more of the 9 chemicals are part of Safe Work Australia’s List of Deemed Diseases in Australia </w:t>
      </w:r>
      <w:sdt>
        <w:sdtPr>
          <w:rPr>
            <w:rFonts w:eastAsia="Times New Roman" w:cs="Arial"/>
            <w:szCs w:val="22"/>
            <w:lang w:eastAsia="en-AU"/>
          </w:rPr>
          <w:id w:val="-1482459634"/>
          <w:citation/>
        </w:sdtPr>
        <w:sdtEndPr/>
        <w:sdtContent>
          <w:r w:rsidRPr="002D629A">
            <w:rPr>
              <w:rFonts w:eastAsia="Times New Roman" w:cs="Arial"/>
              <w:szCs w:val="22"/>
              <w:lang w:eastAsia="en-AU"/>
            </w:rPr>
            <w:fldChar w:fldCharType="begin"/>
          </w:r>
          <w:r w:rsidRPr="002D629A">
            <w:rPr>
              <w:rFonts w:eastAsia="Times New Roman" w:cs="Arial"/>
              <w:szCs w:val="22"/>
              <w:lang w:eastAsia="en-AU"/>
            </w:rPr>
            <w:instrText xml:space="preserve"> CITATION Saf24 \l 3081 </w:instrText>
          </w:r>
          <w:r w:rsidRPr="002D629A">
            <w:rPr>
              <w:rFonts w:eastAsia="Times New Roman" w:cs="Arial"/>
              <w:szCs w:val="22"/>
              <w:lang w:eastAsia="en-AU"/>
            </w:rPr>
            <w:fldChar w:fldCharType="separate"/>
          </w:r>
          <w:r w:rsidR="00490B21" w:rsidRPr="00490B21">
            <w:rPr>
              <w:rFonts w:eastAsia="Times New Roman" w:cs="Arial"/>
              <w:noProof/>
              <w:szCs w:val="22"/>
              <w:lang w:eastAsia="en-AU"/>
            </w:rPr>
            <w:t>(Safe Work Australia, 2024)</w:t>
          </w:r>
          <w:r w:rsidRPr="002D629A">
            <w:rPr>
              <w:rFonts w:eastAsia="Times New Roman" w:cs="Arial"/>
              <w:szCs w:val="22"/>
              <w:lang w:eastAsia="en-AU"/>
            </w:rPr>
            <w:fldChar w:fldCharType="end"/>
          </w:r>
        </w:sdtContent>
      </w:sdt>
      <w:r w:rsidRPr="002D629A">
        <w:rPr>
          <w:rFonts w:eastAsia="Times New Roman" w:cs="Arial"/>
          <w:szCs w:val="22"/>
          <w:lang w:eastAsia="en-AU"/>
        </w:rPr>
        <w:t xml:space="preserve">. 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 </w:t>
      </w:r>
      <w:sdt>
        <w:sdtPr>
          <w:rPr>
            <w:rFonts w:eastAsia="Times New Roman" w:cs="Arial"/>
            <w:szCs w:val="22"/>
            <w:lang w:eastAsia="en-AU"/>
          </w:rPr>
          <w:id w:val="1384290292"/>
          <w:citation/>
        </w:sdtPr>
        <w:sdtEndPr/>
        <w:sdtContent>
          <w:r w:rsidRPr="002D629A">
            <w:rPr>
              <w:rFonts w:eastAsia="Times New Roman" w:cs="Arial"/>
              <w:szCs w:val="22"/>
              <w:lang w:eastAsia="en-AU"/>
            </w:rPr>
            <w:fldChar w:fldCharType="begin"/>
          </w:r>
          <w:r w:rsidRPr="002D629A">
            <w:rPr>
              <w:rFonts w:eastAsia="Times New Roman" w:cs="Arial"/>
              <w:szCs w:val="22"/>
              <w:lang w:eastAsia="en-AU"/>
            </w:rPr>
            <w:instrText xml:space="preserve">CITATION Saf \l 3081 </w:instrText>
          </w:r>
          <w:r w:rsidRPr="002D629A">
            <w:rPr>
              <w:rFonts w:eastAsia="Times New Roman" w:cs="Arial"/>
              <w:szCs w:val="22"/>
              <w:lang w:eastAsia="en-AU"/>
            </w:rPr>
            <w:fldChar w:fldCharType="separate"/>
          </w:r>
          <w:r w:rsidR="00490B21" w:rsidRPr="00490B21">
            <w:rPr>
              <w:rFonts w:eastAsia="Times New Roman" w:cs="Arial"/>
              <w:noProof/>
              <w:szCs w:val="22"/>
              <w:lang w:eastAsia="en-AU"/>
            </w:rPr>
            <w:t>(Safe Work Australia, n.d.)</w:t>
          </w:r>
          <w:r w:rsidRPr="002D629A">
            <w:rPr>
              <w:rFonts w:eastAsia="Times New Roman" w:cs="Arial"/>
              <w:szCs w:val="22"/>
              <w:lang w:eastAsia="en-AU"/>
            </w:rPr>
            <w:fldChar w:fldCharType="end"/>
          </w:r>
        </w:sdtContent>
      </w:sdt>
      <w:r>
        <w:rPr>
          <w:rFonts w:eastAsia="Times New Roman" w:cs="Arial"/>
          <w:szCs w:val="22"/>
          <w:lang w:eastAsia="en-AU"/>
        </w:rPr>
        <w:t>. This includes:</w:t>
      </w:r>
    </w:p>
    <w:p w14:paraId="3B173F50" w14:textId="77777777" w:rsidR="00D70371" w:rsidRPr="009911EB" w:rsidRDefault="00D70371" w:rsidP="00A2768E">
      <w:pPr>
        <w:keepNext/>
        <w:numPr>
          <w:ilvl w:val="1"/>
          <w:numId w:val="65"/>
        </w:numPr>
        <w:spacing w:after="200" w:line="240" w:lineRule="atLeast"/>
        <w:ind w:left="1276" w:hanging="425"/>
        <w:contextualSpacing w:val="0"/>
        <w:rPr>
          <w:rFonts w:eastAsia="Times New Roman" w:cs="Arial"/>
          <w:szCs w:val="22"/>
          <w:lang w:eastAsia="en-AU"/>
        </w:rPr>
      </w:pPr>
      <w:r w:rsidRPr="009911EB">
        <w:rPr>
          <w:rFonts w:eastAsia="Times New Roman" w:cs="Arial"/>
          <w:szCs w:val="22"/>
          <w:shd w:val="clear" w:color="auto" w:fill="FFFFFF"/>
          <w:lang w:eastAsia="en-AU"/>
        </w:rPr>
        <w:t>Lung cancer and silicosis – caused by exposure to RCS</w:t>
      </w:r>
    </w:p>
    <w:p w14:paraId="05E4BB8E" w14:textId="77777777" w:rsidR="00D70371" w:rsidRPr="009911EB" w:rsidRDefault="00D70371" w:rsidP="00A2768E">
      <w:pPr>
        <w:keepNext/>
        <w:numPr>
          <w:ilvl w:val="1"/>
          <w:numId w:val="65"/>
        </w:numPr>
        <w:spacing w:line="240" w:lineRule="atLeast"/>
        <w:ind w:left="1276" w:hanging="425"/>
        <w:contextualSpacing w:val="0"/>
        <w:rPr>
          <w:rFonts w:eastAsia="Times New Roman" w:cs="Arial"/>
          <w:lang w:eastAsia="en-AU"/>
        </w:rPr>
      </w:pPr>
      <w:r w:rsidRPr="5B165507">
        <w:rPr>
          <w:rFonts w:eastAsia="Times New Roman" w:cs="Arial"/>
          <w:shd w:val="clear" w:color="auto" w:fill="FFFFFF"/>
          <w:lang w:eastAsia="en-AU"/>
        </w:rPr>
        <w:t xml:space="preserve">Nasopharyngeal cancer </w:t>
      </w:r>
      <w:r w:rsidRPr="33832173">
        <w:rPr>
          <w:rFonts w:eastAsia="Times New Roman" w:cs="Arial"/>
          <w:shd w:val="clear" w:color="auto" w:fill="FFFFFF"/>
          <w:lang w:eastAsia="en-AU"/>
        </w:rPr>
        <w:t>caused by formaldehyde</w:t>
      </w:r>
    </w:p>
    <w:p w14:paraId="32FBE1BF" w14:textId="77777777" w:rsidR="00D70371" w:rsidRPr="009911EB" w:rsidRDefault="00D70371" w:rsidP="00A2768E">
      <w:pPr>
        <w:keepNext/>
        <w:numPr>
          <w:ilvl w:val="1"/>
          <w:numId w:val="65"/>
        </w:numPr>
        <w:spacing w:line="240" w:lineRule="atLeast"/>
        <w:ind w:left="1276" w:hanging="425"/>
        <w:contextualSpacing w:val="0"/>
        <w:rPr>
          <w:rFonts w:eastAsia="Times New Roman" w:cs="Arial"/>
          <w:lang w:eastAsia="en-AU"/>
        </w:rPr>
      </w:pPr>
      <w:r w:rsidRPr="5B165507">
        <w:rPr>
          <w:rFonts w:eastAsia="Times New Roman" w:cs="Arial"/>
          <w:shd w:val="clear" w:color="auto" w:fill="FFFFFF"/>
          <w:lang w:eastAsia="en-AU"/>
        </w:rPr>
        <w:t>Leukemia</w:t>
      </w:r>
      <w:r w:rsidRPr="18237C43">
        <w:rPr>
          <w:rFonts w:eastAsia="Times New Roman" w:cs="Arial"/>
          <w:shd w:val="clear" w:color="auto" w:fill="FFFFFF"/>
          <w:lang w:eastAsia="en-AU"/>
        </w:rPr>
        <w:t xml:space="preserve"> (excluding chronic lymphatic leukemia) - caused by exposure to benzene and formaldehyde</w:t>
      </w:r>
    </w:p>
    <w:p w14:paraId="041027D8" w14:textId="77777777" w:rsidR="00D70371" w:rsidRPr="009911EB" w:rsidRDefault="00D70371" w:rsidP="00A2768E">
      <w:pPr>
        <w:numPr>
          <w:ilvl w:val="1"/>
          <w:numId w:val="65"/>
        </w:numPr>
        <w:spacing w:line="240" w:lineRule="atLeast"/>
        <w:ind w:left="1276" w:hanging="425"/>
        <w:contextualSpacing w:val="0"/>
        <w:rPr>
          <w:rFonts w:eastAsia="Times New Roman" w:cs="Arial"/>
          <w:szCs w:val="22"/>
          <w:lang w:eastAsia="en-AU"/>
        </w:rPr>
      </w:pPr>
      <w:r w:rsidRPr="009911EB">
        <w:rPr>
          <w:rFonts w:eastAsia="Times New Roman"/>
          <w:lang w:eastAsia="en-AU"/>
        </w:rPr>
        <w:t xml:space="preserve">Acute poisoning / toxicity (includes acute damage to the heart, lungs, liver, kidney, nervous system and blood) – caused by exposures to benzene, copper, nitrogen dioxide, chemical asphyxiants (like hydrogen cyanide and hydrogen sulfide). </w:t>
      </w:r>
    </w:p>
    <w:p w14:paraId="7AD53992" w14:textId="77777777" w:rsidR="00D70371" w:rsidRDefault="00D70371" w:rsidP="00D70371">
      <w:pPr>
        <w:keepLines/>
        <w:numPr>
          <w:ilvl w:val="2"/>
          <w:numId w:val="50"/>
        </w:numPr>
        <w:spacing w:after="200" w:line="240" w:lineRule="atLeast"/>
        <w:ind w:left="584" w:hanging="357"/>
        <w:contextualSpacing w:val="0"/>
        <w:rPr>
          <w:rFonts w:eastAsia="Times New Roman" w:cs="Arial"/>
          <w:lang w:eastAsia="en-AU"/>
        </w:rPr>
      </w:pPr>
      <w:r w:rsidRPr="27F845C1">
        <w:rPr>
          <w:rFonts w:eastAsia="Times New Roman" w:cs="Arial"/>
          <w:lang w:eastAsia="en-AU"/>
        </w:rPr>
        <w:lastRenderedPageBreak/>
        <w:t xml:space="preserve">Workers’ compensation claims represent a cost to business, usually as an insurance premium. There are also certain circumstances where an insurance company chooses not </w:t>
      </w:r>
      <w:r w:rsidRPr="5DE8984B">
        <w:rPr>
          <w:rFonts w:eastAsia="Times New Roman" w:cs="Arial"/>
          <w:lang w:eastAsia="en-AU"/>
        </w:rPr>
        <w:t>to</w:t>
      </w:r>
      <w:r w:rsidRPr="27F845C1">
        <w:rPr>
          <w:rFonts w:eastAsia="Times New Roman" w:cs="Arial"/>
          <w:lang w:eastAsia="en-AU"/>
        </w:rPr>
        <w:t xml:space="preserve"> cover the workers’ compensation partly or in full, resulting in businesses carrying the remaining cost of the claim. This can include a direct compensation costs like benefits paid directly to workers or their family, costs paid to workers as income replacement, medical costs and costs involved with a worker returning to work or legal costs associated with compensation related expenses. </w:t>
      </w:r>
    </w:p>
    <w:p w14:paraId="610E8767" w14:textId="766E73F7" w:rsidR="00D70371" w:rsidRDefault="00D70371" w:rsidP="00D70371">
      <w:pPr>
        <w:keepLines/>
        <w:numPr>
          <w:ilvl w:val="2"/>
          <w:numId w:val="50"/>
        </w:numPr>
        <w:spacing w:after="200" w:line="240" w:lineRule="atLeast"/>
        <w:ind w:left="584" w:hanging="357"/>
        <w:contextualSpacing w:val="0"/>
        <w:rPr>
          <w:rFonts w:eastAsia="Times New Roman" w:cs="Arial"/>
          <w:lang w:eastAsia="en-AU"/>
        </w:rPr>
      </w:pPr>
      <w:r>
        <w:rPr>
          <w:rFonts w:eastAsia="Times New Roman" w:cs="Arial"/>
          <w:lang w:eastAsia="en-AU"/>
        </w:rPr>
        <w:t xml:space="preserve">Reducing the number of workers’ compensation claims that are the result of work-related exposures to airborne contaminants, like the 9 chemicals considered in this Decision RIS, can also help make workers’ compensation schemes more sustainable and reduce cost to governments. Furthermore, reducing any costs with the workers’ compensation claims, like those outlined above, will make business premiums more affordable.  </w:t>
      </w:r>
    </w:p>
    <w:p w14:paraId="0394D1B5" w14:textId="77777777" w:rsidR="009911EB" w:rsidRPr="009911EB" w:rsidRDefault="009911EB" w:rsidP="00E7123F">
      <w:pPr>
        <w:keepNext/>
        <w:keepLines/>
        <w:spacing w:before="240" w:line="276" w:lineRule="auto"/>
        <w:contextualSpacing w:val="0"/>
        <w:rPr>
          <w:rFonts w:eastAsiaTheme="majorEastAsia" w:cs="Arial"/>
          <w:b/>
          <w:bCs/>
        </w:rPr>
      </w:pPr>
      <w:r w:rsidRPr="009911EB">
        <w:rPr>
          <w:rFonts w:eastAsiaTheme="majorEastAsia" w:cs="Arial"/>
          <w:b/>
          <w:bCs/>
        </w:rPr>
        <w:t>Reduced costs to government and impacts on health system</w:t>
      </w:r>
    </w:p>
    <w:p w14:paraId="1555808B" w14:textId="099264B4" w:rsidR="00927D80" w:rsidRPr="00EE3CF0" w:rsidRDefault="009911EB" w:rsidP="00EE3CF0">
      <w:pPr>
        <w:keepNext/>
        <w:keepLines/>
        <w:numPr>
          <w:ilvl w:val="2"/>
          <w:numId w:val="50"/>
        </w:numPr>
        <w:spacing w:after="200" w:line="240" w:lineRule="atLeast"/>
        <w:ind w:left="584" w:hanging="357"/>
        <w:contextualSpacing w:val="0"/>
        <w:rPr>
          <w:rFonts w:eastAsia="Times New Roman" w:cs="Arial"/>
          <w:lang w:eastAsia="en-AU"/>
        </w:rPr>
      </w:pPr>
      <w:r w:rsidRPr="025F89B7">
        <w:rPr>
          <w:rFonts w:eastAsia="Times New Roman" w:cs="Arial"/>
          <w:lang w:eastAsia="en-AU"/>
        </w:rPr>
        <w:t>The Australian Institute of Health and Welfare</w:t>
      </w:r>
      <w:r w:rsidR="00DF3CDC" w:rsidRPr="025F89B7">
        <w:rPr>
          <w:rFonts w:eastAsia="Times New Roman" w:cs="Arial"/>
          <w:lang w:eastAsia="en-AU"/>
        </w:rPr>
        <w:t xml:space="preserve"> </w:t>
      </w:r>
      <w:r w:rsidRPr="025F89B7">
        <w:rPr>
          <w:rFonts w:eastAsia="Times New Roman" w:cs="Arial"/>
          <w:lang w:eastAsia="en-AU"/>
        </w:rPr>
        <w:t xml:space="preserve">web report states the healthcare expenditure on common diseases and illnesses linked to work-related exposures to </w:t>
      </w:r>
      <w:r w:rsidR="000445E9" w:rsidRPr="025F89B7">
        <w:rPr>
          <w:rFonts w:eastAsia="Times New Roman" w:cs="Arial"/>
          <w:lang w:eastAsia="en-AU"/>
        </w:rPr>
        <w:t xml:space="preserve">airborne </w:t>
      </w:r>
      <w:r w:rsidR="002C6B99" w:rsidRPr="025F89B7">
        <w:rPr>
          <w:rFonts w:eastAsia="Times New Roman" w:cs="Arial"/>
          <w:lang w:eastAsia="en-AU"/>
        </w:rPr>
        <w:t>contaminants</w:t>
      </w:r>
      <w:r w:rsidRPr="025F89B7">
        <w:rPr>
          <w:rFonts w:eastAsia="Times New Roman" w:cs="Arial"/>
          <w:lang w:eastAsia="en-AU"/>
        </w:rPr>
        <w:t>, such as cancers and other neoplasms</w:t>
      </w:r>
      <w:r w:rsidR="00363CB7" w:rsidRPr="025F89B7">
        <w:rPr>
          <w:rFonts w:eastAsia="Times New Roman" w:cs="Arial"/>
          <w:lang w:eastAsia="en-AU"/>
        </w:rPr>
        <w:t>,</w:t>
      </w:r>
      <w:r w:rsidRPr="025F89B7">
        <w:rPr>
          <w:rFonts w:eastAsia="Times New Roman" w:cs="Arial"/>
          <w:lang w:eastAsia="en-AU"/>
        </w:rPr>
        <w:t xml:space="preserve"> cardiovascular diseases and respiratory diseases, was approximately $40.5 billion in 2022-23</w:t>
      </w:r>
      <w:r w:rsidR="00373453" w:rsidRPr="025F89B7">
        <w:rPr>
          <w:rFonts w:eastAsia="Times New Roman" w:cs="Arial"/>
          <w:lang w:eastAsia="en-AU"/>
        </w:rPr>
        <w:t xml:space="preserve"> </w:t>
      </w:r>
      <w:sdt>
        <w:sdtPr>
          <w:rPr>
            <w:rFonts w:eastAsia="Times New Roman" w:cs="Arial"/>
            <w:lang w:eastAsia="en-AU"/>
          </w:rPr>
          <w:id w:val="1069163795"/>
          <w:citation/>
        </w:sdtPr>
        <w:sdtEndPr/>
        <w:sdtContent>
          <w:r w:rsidR="00373453" w:rsidRPr="025F89B7">
            <w:rPr>
              <w:rFonts w:eastAsia="Times New Roman" w:cs="Arial"/>
              <w:lang w:eastAsia="en-AU"/>
            </w:rPr>
            <w:fldChar w:fldCharType="begin"/>
          </w:r>
          <w:r w:rsidR="00CE68FD">
            <w:rPr>
              <w:rFonts w:eastAsia="Times New Roman" w:cs="Arial"/>
              <w:lang w:eastAsia="en-AU"/>
            </w:rPr>
            <w:instrText xml:space="preserve">CITATION Aus24 \l 3081 </w:instrText>
          </w:r>
          <w:r w:rsidR="00373453" w:rsidRPr="025F89B7">
            <w:rPr>
              <w:rFonts w:eastAsia="Times New Roman" w:cs="Arial"/>
              <w:lang w:eastAsia="en-AU"/>
            </w:rPr>
            <w:fldChar w:fldCharType="separate"/>
          </w:r>
          <w:r w:rsidR="00490B21" w:rsidRPr="00490B21">
            <w:rPr>
              <w:rFonts w:eastAsia="Times New Roman" w:cs="Arial"/>
              <w:noProof/>
              <w:lang w:eastAsia="en-AU"/>
            </w:rPr>
            <w:t>(Australian Institute of Health and Welfare, 2025)</w:t>
          </w:r>
          <w:r w:rsidR="00373453" w:rsidRPr="025F89B7">
            <w:rPr>
              <w:rFonts w:eastAsia="Times New Roman" w:cs="Arial"/>
              <w:lang w:eastAsia="en-AU"/>
            </w:rPr>
            <w:fldChar w:fldCharType="end"/>
          </w:r>
        </w:sdtContent>
      </w:sdt>
      <w:r w:rsidRPr="025F89B7">
        <w:rPr>
          <w:rFonts w:eastAsia="Times New Roman" w:cs="Arial"/>
          <w:lang w:eastAsia="en-AU"/>
        </w:rPr>
        <w:t xml:space="preserve">. </w:t>
      </w:r>
    </w:p>
    <w:p w14:paraId="3D5A61FE" w14:textId="3283B416" w:rsidR="00C560F1" w:rsidRDefault="00F85A46" w:rsidP="00C560F1">
      <w:pPr>
        <w:keepLines/>
        <w:numPr>
          <w:ilvl w:val="2"/>
          <w:numId w:val="50"/>
        </w:numPr>
        <w:spacing w:after="200" w:line="240" w:lineRule="atLeast"/>
        <w:ind w:left="584" w:hanging="357"/>
        <w:contextualSpacing w:val="0"/>
        <w:rPr>
          <w:rFonts w:eastAsia="Times New Roman" w:cs="Arial"/>
          <w:lang w:eastAsia="en-AU"/>
        </w:rPr>
      </w:pPr>
      <w:r>
        <w:rPr>
          <w:rFonts w:eastAsia="Times New Roman" w:cs="Arial"/>
          <w:lang w:eastAsia="en-AU"/>
        </w:rPr>
        <w:t>The</w:t>
      </w:r>
      <w:r w:rsidR="00C560F1">
        <w:rPr>
          <w:rFonts w:eastAsia="Times New Roman" w:cs="Arial"/>
          <w:lang w:eastAsia="en-AU"/>
        </w:rPr>
        <w:t xml:space="preserve"> ABS </w:t>
      </w:r>
      <w:r w:rsidR="00C560F1" w:rsidRPr="00D55C82">
        <w:rPr>
          <w:rFonts w:eastAsia="Times New Roman" w:cs="Arial"/>
          <w:lang w:eastAsia="en-AU"/>
        </w:rPr>
        <w:t>Work-Related Injuries Survey 2021-22</w:t>
      </w:r>
      <w:r w:rsidR="00C560F1">
        <w:rPr>
          <w:rFonts w:eastAsia="Times New Roman" w:cs="Arial"/>
          <w:lang w:eastAsia="en-AU"/>
        </w:rPr>
        <w:t xml:space="preserve"> stated </w:t>
      </w:r>
      <w:r w:rsidR="00C560F1" w:rsidRPr="00D55C82">
        <w:rPr>
          <w:rFonts w:eastAsia="Times New Roman" w:cs="Arial"/>
          <w:lang w:eastAsia="en-AU"/>
        </w:rPr>
        <w:t xml:space="preserve">96.7% of individuals </w:t>
      </w:r>
      <w:r w:rsidR="005F31FE">
        <w:rPr>
          <w:rFonts w:eastAsia="Times New Roman" w:cs="Arial"/>
          <w:lang w:eastAsia="en-AU"/>
        </w:rPr>
        <w:t>who</w:t>
      </w:r>
      <w:r w:rsidR="00C560F1" w:rsidRPr="00D55C82">
        <w:rPr>
          <w:rFonts w:eastAsia="Times New Roman" w:cs="Arial"/>
          <w:lang w:eastAsia="en-AU"/>
        </w:rPr>
        <w:t xml:space="preserve"> experienced a work-related injury or illness attributable to contact with a chemical or substance did not receive workers’ compensation</w:t>
      </w:r>
      <w:r w:rsidR="009F0B5F">
        <w:rPr>
          <w:rFonts w:eastAsia="Times New Roman" w:cs="Arial"/>
          <w:lang w:eastAsia="en-AU"/>
        </w:rPr>
        <w:t xml:space="preserve"> </w:t>
      </w:r>
      <w:sdt>
        <w:sdtPr>
          <w:rPr>
            <w:rFonts w:eastAsia="Times New Roman" w:cs="Arial"/>
            <w:lang w:eastAsia="en-AU"/>
          </w:rPr>
          <w:id w:val="125439085"/>
          <w:citation/>
        </w:sdtPr>
        <w:sdtEndPr/>
        <w:sdtContent>
          <w:r w:rsidR="009F0B5F">
            <w:rPr>
              <w:rFonts w:eastAsia="Times New Roman" w:cs="Arial"/>
              <w:lang w:eastAsia="en-AU"/>
            </w:rPr>
            <w:fldChar w:fldCharType="begin"/>
          </w:r>
          <w:r w:rsidR="009F0B5F">
            <w:rPr>
              <w:rFonts w:eastAsia="Times New Roman" w:cs="Arial"/>
              <w:lang w:eastAsia="en-AU"/>
            </w:rPr>
            <w:instrText xml:space="preserve"> CITATION Aus23 \l 3081 </w:instrText>
          </w:r>
          <w:r w:rsidR="009F0B5F">
            <w:rPr>
              <w:rFonts w:eastAsia="Times New Roman" w:cs="Arial"/>
              <w:lang w:eastAsia="en-AU"/>
            </w:rPr>
            <w:fldChar w:fldCharType="separate"/>
          </w:r>
          <w:r w:rsidR="00490B21" w:rsidRPr="00490B21">
            <w:rPr>
              <w:rFonts w:eastAsia="Times New Roman" w:cs="Arial"/>
              <w:noProof/>
              <w:lang w:eastAsia="en-AU"/>
            </w:rPr>
            <w:t>(Australian Bureau of Statistics, 2023)</w:t>
          </w:r>
          <w:r w:rsidR="009F0B5F">
            <w:rPr>
              <w:rFonts w:eastAsia="Times New Roman" w:cs="Arial"/>
              <w:lang w:eastAsia="en-AU"/>
            </w:rPr>
            <w:fldChar w:fldCharType="end"/>
          </w:r>
        </w:sdtContent>
      </w:sdt>
      <w:r>
        <w:rPr>
          <w:rFonts w:eastAsia="Times New Roman" w:cs="Arial"/>
          <w:lang w:eastAsia="en-AU"/>
        </w:rPr>
        <w:t xml:space="preserve">. </w:t>
      </w:r>
      <w:r w:rsidR="005F31FE">
        <w:rPr>
          <w:rFonts w:eastAsia="Times New Roman" w:cs="Arial"/>
          <w:lang w:eastAsia="en-AU"/>
        </w:rPr>
        <w:t>On this basis, i</w:t>
      </w:r>
      <w:r>
        <w:rPr>
          <w:rFonts w:eastAsia="Times New Roman" w:cs="Arial"/>
          <w:lang w:eastAsia="en-AU"/>
        </w:rPr>
        <w:t xml:space="preserve">t is likely that a large </w:t>
      </w:r>
      <w:r w:rsidR="005F31FE">
        <w:rPr>
          <w:rFonts w:eastAsia="Times New Roman" w:cs="Arial"/>
          <w:lang w:eastAsia="en-AU"/>
        </w:rPr>
        <w:t>pro</w:t>
      </w:r>
      <w:r>
        <w:rPr>
          <w:rFonts w:eastAsia="Times New Roman" w:cs="Arial"/>
          <w:lang w:eastAsia="en-AU"/>
        </w:rPr>
        <w:t xml:space="preserve">portion of workers </w:t>
      </w:r>
      <w:r w:rsidR="005F31FE">
        <w:rPr>
          <w:rFonts w:eastAsia="Times New Roman" w:cs="Arial"/>
          <w:lang w:eastAsia="en-AU"/>
        </w:rPr>
        <w:t>experiencing adverse effects from</w:t>
      </w:r>
      <w:r w:rsidR="00C560F1">
        <w:rPr>
          <w:rFonts w:eastAsia="Times New Roman" w:cs="Arial"/>
          <w:lang w:eastAsia="en-AU"/>
        </w:rPr>
        <w:t xml:space="preserve"> </w:t>
      </w:r>
      <w:r w:rsidR="005F31FE">
        <w:rPr>
          <w:rFonts w:eastAsia="Times New Roman" w:cs="Arial"/>
          <w:lang w:eastAsia="en-AU"/>
        </w:rPr>
        <w:t>exposure</w:t>
      </w:r>
      <w:r w:rsidR="00C560F1">
        <w:rPr>
          <w:rFonts w:eastAsia="Times New Roman" w:cs="Arial"/>
          <w:lang w:eastAsia="en-AU"/>
        </w:rPr>
        <w:t xml:space="preserve"> to the 9 chemicals are seeking treatment or medical care directly from the health system and not through the workers’ compensation schemes</w:t>
      </w:r>
      <w:r w:rsidR="007D5771">
        <w:rPr>
          <w:rFonts w:eastAsia="Times New Roman" w:cs="Arial"/>
          <w:lang w:eastAsia="en-AU"/>
        </w:rPr>
        <w:t xml:space="preserve">, </w:t>
      </w:r>
      <w:r w:rsidR="00061050">
        <w:rPr>
          <w:rFonts w:eastAsia="Times New Roman" w:cs="Arial"/>
          <w:lang w:eastAsia="en-AU"/>
        </w:rPr>
        <w:t>likely at significant cost</w:t>
      </w:r>
      <w:r w:rsidR="007D5771">
        <w:rPr>
          <w:rFonts w:eastAsia="Times New Roman" w:cs="Arial"/>
          <w:lang w:eastAsia="en-AU"/>
        </w:rPr>
        <w:t xml:space="preserve"> to </w:t>
      </w:r>
      <w:r w:rsidR="00061050">
        <w:rPr>
          <w:rFonts w:eastAsia="Times New Roman" w:cs="Arial"/>
          <w:lang w:eastAsia="en-AU"/>
        </w:rPr>
        <w:t>governments</w:t>
      </w:r>
      <w:r w:rsidR="00FC5474">
        <w:rPr>
          <w:rFonts w:eastAsia="Times New Roman" w:cs="Arial"/>
          <w:lang w:eastAsia="en-AU"/>
        </w:rPr>
        <w:t xml:space="preserve">. </w:t>
      </w:r>
    </w:p>
    <w:p w14:paraId="729E2E92" w14:textId="77777777" w:rsidR="00E54CB7" w:rsidRDefault="009911EB" w:rsidP="00043C93">
      <w:pPr>
        <w:keepLines/>
        <w:numPr>
          <w:ilvl w:val="2"/>
          <w:numId w:val="50"/>
        </w:numPr>
        <w:spacing w:after="200" w:line="240" w:lineRule="atLeast"/>
        <w:ind w:left="584" w:hanging="357"/>
        <w:contextualSpacing w:val="0"/>
        <w:rPr>
          <w:rFonts w:eastAsia="Times New Roman" w:cs="Arial"/>
          <w:lang w:eastAsia="en-AU"/>
        </w:rPr>
      </w:pPr>
      <w:r w:rsidRPr="13FE3FD4">
        <w:rPr>
          <w:rFonts w:eastAsia="Times New Roman" w:cs="Arial"/>
          <w:lang w:eastAsia="en-AU"/>
        </w:rPr>
        <w:t>A reduction in workplace exposure to the 9 chemicals</w:t>
      </w:r>
      <w:r w:rsidR="00C92E44" w:rsidRPr="13FE3FD4">
        <w:rPr>
          <w:rFonts w:eastAsia="Times New Roman" w:cs="Arial"/>
          <w:lang w:eastAsia="en-AU"/>
        </w:rPr>
        <w:t xml:space="preserve"> </w:t>
      </w:r>
      <w:r w:rsidR="693F32EB" w:rsidRPr="13FE3FD4">
        <w:rPr>
          <w:rFonts w:eastAsia="Times New Roman" w:cs="Arial"/>
          <w:lang w:eastAsia="en-AU"/>
        </w:rPr>
        <w:t xml:space="preserve">through implementation of </w:t>
      </w:r>
      <w:r w:rsidR="00C92E44" w:rsidRPr="13FE3FD4">
        <w:rPr>
          <w:rFonts w:eastAsia="Times New Roman" w:cs="Arial"/>
          <w:lang w:eastAsia="en-AU"/>
        </w:rPr>
        <w:t xml:space="preserve">the </w:t>
      </w:r>
      <w:r w:rsidR="00263296" w:rsidRPr="13FE3FD4">
        <w:rPr>
          <w:rFonts w:eastAsia="Times New Roman" w:cs="Arial"/>
          <w:lang w:eastAsia="en-AU"/>
        </w:rPr>
        <w:t>proposed health-based WELs</w:t>
      </w:r>
      <w:r w:rsidRPr="13FE3FD4">
        <w:rPr>
          <w:rFonts w:eastAsia="Times New Roman" w:cs="Arial"/>
          <w:lang w:eastAsia="en-AU"/>
        </w:rPr>
        <w:t xml:space="preserve"> </w:t>
      </w:r>
      <w:r w:rsidR="00E7123F" w:rsidRPr="13FE3FD4">
        <w:rPr>
          <w:rFonts w:eastAsia="Times New Roman" w:cs="Arial"/>
          <w:lang w:eastAsia="en-AU"/>
        </w:rPr>
        <w:t>is expected to</w:t>
      </w:r>
      <w:r w:rsidR="00363CB7" w:rsidRPr="13FE3FD4">
        <w:rPr>
          <w:rFonts w:eastAsia="Times New Roman" w:cs="Arial"/>
          <w:lang w:eastAsia="en-AU"/>
        </w:rPr>
        <w:t xml:space="preserve"> result </w:t>
      </w:r>
      <w:r w:rsidR="001B09A7" w:rsidRPr="13FE3FD4">
        <w:rPr>
          <w:rFonts w:eastAsia="Times New Roman" w:cs="Arial"/>
          <w:lang w:eastAsia="en-AU"/>
        </w:rPr>
        <w:t xml:space="preserve">in a reduction of </w:t>
      </w:r>
      <w:r w:rsidR="00CA4256" w:rsidRPr="13FE3FD4">
        <w:rPr>
          <w:rFonts w:eastAsia="Times New Roman" w:cs="Arial"/>
          <w:lang w:eastAsia="en-AU"/>
        </w:rPr>
        <w:t xml:space="preserve">workers developing </w:t>
      </w:r>
      <w:r w:rsidR="001B09A7" w:rsidRPr="13FE3FD4">
        <w:rPr>
          <w:rFonts w:eastAsia="Times New Roman" w:cs="Arial"/>
          <w:lang w:eastAsia="en-AU"/>
        </w:rPr>
        <w:t>c</w:t>
      </w:r>
      <w:r w:rsidR="00D50B1A" w:rsidRPr="13FE3FD4">
        <w:rPr>
          <w:rFonts w:eastAsia="Times New Roman" w:cs="Arial"/>
          <w:lang w:eastAsia="en-AU"/>
        </w:rPr>
        <w:t>ancers</w:t>
      </w:r>
      <w:r w:rsidR="00DA7A5F" w:rsidRPr="13FE3FD4">
        <w:rPr>
          <w:rFonts w:eastAsia="Times New Roman" w:cs="Arial"/>
          <w:lang w:eastAsia="en-AU"/>
        </w:rPr>
        <w:t xml:space="preserve"> and</w:t>
      </w:r>
      <w:r w:rsidR="006C4A72" w:rsidRPr="13FE3FD4">
        <w:rPr>
          <w:rFonts w:eastAsia="Times New Roman" w:cs="Arial"/>
          <w:lang w:eastAsia="en-AU"/>
        </w:rPr>
        <w:t xml:space="preserve"> other neoplasms</w:t>
      </w:r>
      <w:r w:rsidR="00F10622" w:rsidRPr="13FE3FD4">
        <w:rPr>
          <w:rFonts w:eastAsia="Times New Roman" w:cs="Arial"/>
          <w:lang w:eastAsia="en-AU"/>
        </w:rPr>
        <w:t xml:space="preserve">, cardiovascular </w:t>
      </w:r>
      <w:r w:rsidR="006A2B4F" w:rsidRPr="13FE3FD4">
        <w:rPr>
          <w:rFonts w:eastAsia="Times New Roman" w:cs="Arial"/>
          <w:lang w:eastAsia="en-AU"/>
        </w:rPr>
        <w:t>diseases and respiratory disease</w:t>
      </w:r>
      <w:r w:rsidR="00C92E44" w:rsidRPr="13FE3FD4">
        <w:rPr>
          <w:rFonts w:eastAsia="Times New Roman" w:cs="Arial"/>
          <w:lang w:eastAsia="en-AU"/>
        </w:rPr>
        <w:t>s</w:t>
      </w:r>
      <w:r w:rsidR="00B9185A" w:rsidRPr="13FE3FD4">
        <w:rPr>
          <w:rFonts w:eastAsia="Times New Roman" w:cs="Arial"/>
          <w:lang w:eastAsia="en-AU"/>
        </w:rPr>
        <w:t xml:space="preserve">. As well as the obvious benefits for workers, this also represents </w:t>
      </w:r>
      <w:r w:rsidR="00E7123F" w:rsidRPr="13FE3FD4">
        <w:rPr>
          <w:rFonts w:eastAsia="Times New Roman" w:cs="Arial"/>
          <w:lang w:eastAsia="en-AU"/>
        </w:rPr>
        <w:t xml:space="preserve">potential </w:t>
      </w:r>
      <w:r w:rsidRPr="13FE3FD4">
        <w:rPr>
          <w:rFonts w:eastAsia="Times New Roman" w:cs="Arial"/>
          <w:lang w:eastAsia="en-AU"/>
        </w:rPr>
        <w:t>saving</w:t>
      </w:r>
      <w:r w:rsidR="00E7123F" w:rsidRPr="13FE3FD4">
        <w:rPr>
          <w:rFonts w:eastAsia="Times New Roman" w:cs="Arial"/>
          <w:lang w:eastAsia="en-AU"/>
        </w:rPr>
        <w:t>s</w:t>
      </w:r>
      <w:r w:rsidRPr="13FE3FD4">
        <w:rPr>
          <w:rFonts w:eastAsia="Times New Roman" w:cs="Arial"/>
          <w:lang w:eastAsia="en-AU"/>
        </w:rPr>
        <w:t xml:space="preserve"> for the health</w:t>
      </w:r>
      <w:r w:rsidR="00E7123F" w:rsidRPr="13FE3FD4">
        <w:rPr>
          <w:rFonts w:eastAsia="Times New Roman" w:cs="Arial"/>
          <w:lang w:eastAsia="en-AU"/>
        </w:rPr>
        <w:t xml:space="preserve"> </w:t>
      </w:r>
      <w:r w:rsidRPr="13FE3FD4">
        <w:rPr>
          <w:rFonts w:eastAsia="Times New Roman" w:cs="Arial"/>
          <w:lang w:eastAsia="en-AU"/>
        </w:rPr>
        <w:t>care sector and the government</w:t>
      </w:r>
      <w:r w:rsidR="258DAD32" w:rsidRPr="13FE3FD4">
        <w:rPr>
          <w:rFonts w:eastAsia="Times New Roman" w:cs="Arial"/>
          <w:lang w:eastAsia="en-AU"/>
        </w:rPr>
        <w:t>,</w:t>
      </w:r>
      <w:r w:rsidR="00AB5D57" w:rsidRPr="13FE3FD4">
        <w:rPr>
          <w:rFonts w:eastAsia="Times New Roman" w:cs="Arial"/>
          <w:lang w:eastAsia="en-AU"/>
        </w:rPr>
        <w:t xml:space="preserve"> recognising the significant and </w:t>
      </w:r>
      <w:r w:rsidR="00381A25" w:rsidRPr="13FE3FD4">
        <w:rPr>
          <w:rFonts w:eastAsia="Times New Roman" w:cs="Arial"/>
          <w:lang w:eastAsia="en-AU"/>
        </w:rPr>
        <w:t>long-term</w:t>
      </w:r>
      <w:r w:rsidR="00467B2E" w:rsidRPr="13FE3FD4">
        <w:rPr>
          <w:rFonts w:eastAsia="Times New Roman" w:cs="Arial"/>
          <w:lang w:eastAsia="en-AU"/>
        </w:rPr>
        <w:t xml:space="preserve"> </w:t>
      </w:r>
      <w:r w:rsidR="001D421C" w:rsidRPr="13FE3FD4">
        <w:rPr>
          <w:rFonts w:eastAsia="Times New Roman" w:cs="Arial"/>
          <w:lang w:eastAsia="en-AU"/>
        </w:rPr>
        <w:t xml:space="preserve">medical interventions </w:t>
      </w:r>
      <w:r w:rsidR="00381A25" w:rsidRPr="13FE3FD4">
        <w:rPr>
          <w:rFonts w:eastAsia="Times New Roman" w:cs="Arial"/>
          <w:lang w:eastAsia="en-AU"/>
        </w:rPr>
        <w:t xml:space="preserve">necessary </w:t>
      </w:r>
      <w:r w:rsidR="001D421C" w:rsidRPr="13FE3FD4">
        <w:rPr>
          <w:rFonts w:eastAsia="Times New Roman" w:cs="Arial"/>
          <w:lang w:eastAsia="en-AU"/>
        </w:rPr>
        <w:t xml:space="preserve">to </w:t>
      </w:r>
      <w:r w:rsidR="00FF2A90" w:rsidRPr="13FE3FD4">
        <w:rPr>
          <w:rFonts w:eastAsia="Times New Roman" w:cs="Arial"/>
          <w:lang w:eastAsia="en-AU"/>
        </w:rPr>
        <w:t xml:space="preserve">provide treatment </w:t>
      </w:r>
      <w:r w:rsidR="00381A25" w:rsidRPr="13FE3FD4">
        <w:rPr>
          <w:rFonts w:eastAsia="Times New Roman" w:cs="Arial"/>
          <w:lang w:eastAsia="en-AU"/>
        </w:rPr>
        <w:t>to people experiencing these conditions</w:t>
      </w:r>
      <w:r w:rsidR="004441D5">
        <w:rPr>
          <w:rFonts w:eastAsia="Times New Roman" w:cs="Arial"/>
          <w:lang w:eastAsia="en-AU"/>
        </w:rPr>
        <w:t>.</w:t>
      </w:r>
    </w:p>
    <w:p w14:paraId="7F2127CF" w14:textId="296B2F86" w:rsidR="009911EB" w:rsidRPr="007D42E5" w:rsidRDefault="00E54CB7" w:rsidP="007D42E5">
      <w:pPr>
        <w:numPr>
          <w:ilvl w:val="2"/>
          <w:numId w:val="50"/>
        </w:numPr>
        <w:spacing w:after="200" w:line="240" w:lineRule="atLeast"/>
        <w:contextualSpacing w:val="0"/>
        <w:rPr>
          <w:rFonts w:eastAsia="Times New Roman" w:cs="Arial"/>
          <w:szCs w:val="22"/>
          <w:lang w:eastAsia="en-AU"/>
        </w:rPr>
      </w:pPr>
      <w:r>
        <w:rPr>
          <w:rFonts w:eastAsia="Times New Roman" w:cs="Arial"/>
          <w:szCs w:val="22"/>
          <w:lang w:eastAsia="en-AU"/>
        </w:rPr>
        <w:t xml:space="preserve">With this Decision RIS identifying that, in FY27, the </w:t>
      </w:r>
      <w:r w:rsidRPr="00C052FA">
        <w:rPr>
          <w:rFonts w:eastAsia="Times New Roman" w:cs="Arial"/>
          <w:szCs w:val="22"/>
          <w:lang w:eastAsia="en-AU"/>
        </w:rPr>
        <w:t xml:space="preserve">forecast burden of disease for </w:t>
      </w:r>
      <w:r>
        <w:rPr>
          <w:rFonts w:eastAsia="Times New Roman" w:cs="Arial"/>
          <w:szCs w:val="22"/>
          <w:lang w:eastAsia="en-AU"/>
        </w:rPr>
        <w:t xml:space="preserve">benzene is 270 DALYs (or $66.1 million), </w:t>
      </w:r>
      <w:r w:rsidRPr="00C052FA">
        <w:rPr>
          <w:rFonts w:eastAsia="Times New Roman" w:cs="Arial"/>
          <w:szCs w:val="22"/>
          <w:lang w:eastAsia="en-AU"/>
        </w:rPr>
        <w:t xml:space="preserve">formaldehyde </w:t>
      </w:r>
      <w:r>
        <w:rPr>
          <w:rFonts w:eastAsia="Times New Roman" w:cs="Arial"/>
          <w:szCs w:val="22"/>
          <w:lang w:eastAsia="en-AU"/>
        </w:rPr>
        <w:t xml:space="preserve">is </w:t>
      </w:r>
      <w:r w:rsidRPr="00C052FA">
        <w:rPr>
          <w:rFonts w:eastAsia="Times New Roman" w:cs="Arial"/>
          <w:szCs w:val="22"/>
          <w:lang w:eastAsia="en-AU"/>
        </w:rPr>
        <w:t xml:space="preserve">28 DALYs or </w:t>
      </w:r>
      <w:r>
        <w:rPr>
          <w:rFonts w:eastAsia="Times New Roman" w:cs="Arial"/>
          <w:szCs w:val="22"/>
          <w:lang w:eastAsia="en-AU"/>
        </w:rPr>
        <w:t>(</w:t>
      </w:r>
      <w:r w:rsidRPr="00C052FA">
        <w:rPr>
          <w:rFonts w:eastAsia="Times New Roman" w:cs="Arial"/>
          <w:szCs w:val="22"/>
          <w:lang w:eastAsia="en-AU"/>
        </w:rPr>
        <w:t>$6.9 million)</w:t>
      </w:r>
      <w:r>
        <w:rPr>
          <w:rFonts w:eastAsia="Times New Roman" w:cs="Arial"/>
          <w:szCs w:val="22"/>
          <w:lang w:eastAsia="en-AU"/>
        </w:rPr>
        <w:t xml:space="preserve"> and </w:t>
      </w:r>
      <w:r w:rsidRPr="00C052FA">
        <w:rPr>
          <w:rFonts w:eastAsia="Times New Roman" w:cs="Arial"/>
          <w:szCs w:val="22"/>
          <w:lang w:eastAsia="en-AU"/>
        </w:rPr>
        <w:t>RCS i</w:t>
      </w:r>
      <w:r>
        <w:rPr>
          <w:rFonts w:eastAsia="Times New Roman" w:cs="Arial"/>
          <w:szCs w:val="22"/>
          <w:lang w:eastAsia="en-AU"/>
        </w:rPr>
        <w:t xml:space="preserve">s </w:t>
      </w:r>
      <w:r w:rsidRPr="00C052FA">
        <w:rPr>
          <w:rFonts w:eastAsia="Times New Roman" w:cs="Arial"/>
          <w:szCs w:val="22"/>
          <w:lang w:eastAsia="en-AU"/>
        </w:rPr>
        <w:t>7,421 DALY</w:t>
      </w:r>
      <w:r>
        <w:rPr>
          <w:rFonts w:eastAsia="Times New Roman" w:cs="Arial"/>
          <w:szCs w:val="22"/>
          <w:lang w:eastAsia="en-AU"/>
        </w:rPr>
        <w:t>s</w:t>
      </w:r>
      <w:r w:rsidRPr="00C052FA">
        <w:rPr>
          <w:rFonts w:eastAsia="Times New Roman" w:cs="Arial"/>
          <w:szCs w:val="22"/>
          <w:lang w:eastAsia="en-AU"/>
        </w:rPr>
        <w:t xml:space="preserve"> </w:t>
      </w:r>
      <w:r>
        <w:rPr>
          <w:rFonts w:eastAsia="Times New Roman" w:cs="Arial"/>
          <w:szCs w:val="22"/>
          <w:lang w:eastAsia="en-AU"/>
        </w:rPr>
        <w:t>(</w:t>
      </w:r>
      <w:r w:rsidRPr="00C052FA">
        <w:rPr>
          <w:rFonts w:eastAsia="Times New Roman" w:cs="Arial"/>
          <w:szCs w:val="22"/>
          <w:lang w:eastAsia="en-AU"/>
        </w:rPr>
        <w:t>or $1.82 billion)</w:t>
      </w:r>
      <w:r>
        <w:rPr>
          <w:rFonts w:eastAsia="Times New Roman" w:cs="Arial"/>
          <w:szCs w:val="22"/>
          <w:lang w:eastAsia="en-AU"/>
        </w:rPr>
        <w:t xml:space="preserve">, </w:t>
      </w:r>
      <w:r w:rsidR="00234084">
        <w:rPr>
          <w:rFonts w:eastAsia="Times New Roman" w:cs="Arial"/>
          <w:szCs w:val="22"/>
          <w:lang w:eastAsia="en-AU"/>
        </w:rPr>
        <w:t>implementing the proposed WEL for</w:t>
      </w:r>
      <w:r>
        <w:rPr>
          <w:rFonts w:eastAsia="Times New Roman" w:cs="Arial"/>
          <w:szCs w:val="22"/>
          <w:lang w:eastAsia="en-AU"/>
        </w:rPr>
        <w:t xml:space="preserve"> benzene, formaldehyde and RCS would result in a reduction in the burden of disease. </w:t>
      </w:r>
    </w:p>
    <w:p w14:paraId="0FAA7D72" w14:textId="52F144BC" w:rsidR="002E6E56" w:rsidRPr="009911EB" w:rsidRDefault="002E6E56" w:rsidP="002E6E56">
      <w:pPr>
        <w:keepNext/>
        <w:spacing w:before="240" w:line="276" w:lineRule="auto"/>
        <w:contextualSpacing w:val="0"/>
        <w:rPr>
          <w:rFonts w:eastAsiaTheme="majorEastAsia" w:cs="Arial"/>
          <w:b/>
          <w:bCs/>
        </w:rPr>
      </w:pPr>
      <w:r>
        <w:rPr>
          <w:rFonts w:eastAsiaTheme="majorEastAsia" w:cs="Arial"/>
          <w:b/>
          <w:bCs/>
        </w:rPr>
        <w:t>I</w:t>
      </w:r>
      <w:r w:rsidRPr="009911EB">
        <w:rPr>
          <w:rFonts w:eastAsiaTheme="majorEastAsia" w:cs="Arial"/>
          <w:b/>
          <w:bCs/>
        </w:rPr>
        <w:t>ncrease in</w:t>
      </w:r>
      <w:r>
        <w:rPr>
          <w:rFonts w:eastAsiaTheme="majorEastAsia" w:cs="Arial"/>
          <w:b/>
          <w:bCs/>
        </w:rPr>
        <w:t xml:space="preserve"> workers’</w:t>
      </w:r>
      <w:r w:rsidRPr="009911EB">
        <w:rPr>
          <w:rFonts w:eastAsiaTheme="majorEastAsia" w:cs="Arial"/>
          <w:b/>
          <w:bCs/>
        </w:rPr>
        <w:t xml:space="preserve"> quality of life and confidence that workplaces are safer </w:t>
      </w:r>
    </w:p>
    <w:p w14:paraId="1A9B4A18" w14:textId="47129C54" w:rsidR="002E6E56" w:rsidRDefault="002E6E56" w:rsidP="00B64384">
      <w:pPr>
        <w:numPr>
          <w:ilvl w:val="2"/>
          <w:numId w:val="51"/>
        </w:numPr>
        <w:spacing w:after="200" w:line="240" w:lineRule="atLeast"/>
        <w:ind w:left="584" w:hanging="357"/>
        <w:contextualSpacing w:val="0"/>
        <w:rPr>
          <w:rFonts w:eastAsia="Times New Roman" w:cs="Arial"/>
          <w:szCs w:val="22"/>
          <w:lang w:eastAsia="en-AU"/>
        </w:rPr>
      </w:pPr>
      <w:r w:rsidRPr="009911EB">
        <w:rPr>
          <w:rFonts w:eastAsia="Times New Roman" w:cs="Arial"/>
          <w:szCs w:val="22"/>
          <w:lang w:eastAsia="en-AU"/>
        </w:rPr>
        <w:t xml:space="preserve">Exposure to </w:t>
      </w:r>
      <w:r>
        <w:rPr>
          <w:rFonts w:eastAsia="Times New Roman" w:cs="Arial"/>
          <w:szCs w:val="22"/>
          <w:lang w:eastAsia="en-AU"/>
        </w:rPr>
        <w:t>any airborne contaminant, including the 9 chemicals,</w:t>
      </w:r>
      <w:r w:rsidRPr="009911EB">
        <w:rPr>
          <w:rFonts w:eastAsia="Times New Roman" w:cs="Arial"/>
          <w:szCs w:val="22"/>
          <w:lang w:eastAsia="en-AU"/>
        </w:rPr>
        <w:t xml:space="preserve"> can result in different </w:t>
      </w:r>
      <w:r>
        <w:rPr>
          <w:rFonts w:eastAsia="Times New Roman" w:cs="Arial"/>
          <w:szCs w:val="22"/>
          <w:lang w:eastAsia="en-AU"/>
        </w:rPr>
        <w:t>adverse health effects like dizziness, headaches, nausea, cancers, cardiovascular diseases or respiratory diseases. These adverse health effects can decrease a workers’ quality of life in many ways.</w:t>
      </w:r>
      <w:r w:rsidR="007B0F56">
        <w:rPr>
          <w:rFonts w:eastAsia="Times New Roman" w:cs="Arial"/>
          <w:szCs w:val="22"/>
          <w:lang w:eastAsia="en-AU"/>
        </w:rPr>
        <w:t xml:space="preserve"> Reductions in occupational disease or illnesses will support workers to have increased quality of life and provide</w:t>
      </w:r>
      <w:r w:rsidR="00591DCE">
        <w:rPr>
          <w:rFonts w:eastAsia="Times New Roman" w:cs="Arial"/>
          <w:szCs w:val="22"/>
          <w:lang w:eastAsia="en-AU"/>
        </w:rPr>
        <w:t xml:space="preserve"> increased</w:t>
      </w:r>
      <w:r w:rsidR="007B0F56">
        <w:rPr>
          <w:rFonts w:eastAsia="Times New Roman" w:cs="Arial"/>
          <w:szCs w:val="22"/>
          <w:lang w:eastAsia="en-AU"/>
        </w:rPr>
        <w:t xml:space="preserve"> confidence in their employer</w:t>
      </w:r>
      <w:r w:rsidR="00D558C1">
        <w:rPr>
          <w:rFonts w:eastAsia="Times New Roman" w:cs="Arial"/>
          <w:szCs w:val="22"/>
          <w:lang w:eastAsia="en-AU"/>
        </w:rPr>
        <w:t xml:space="preserve">, driving </w:t>
      </w:r>
      <w:r w:rsidR="007B0F56">
        <w:rPr>
          <w:rFonts w:eastAsia="Times New Roman" w:cs="Arial"/>
          <w:szCs w:val="22"/>
          <w:lang w:eastAsia="en-AU"/>
        </w:rPr>
        <w:t>productivity and better staff retention long term</w:t>
      </w:r>
      <w:r w:rsidR="00D558C1">
        <w:rPr>
          <w:rFonts w:eastAsia="Times New Roman" w:cs="Arial"/>
          <w:szCs w:val="22"/>
          <w:lang w:eastAsia="en-AU"/>
        </w:rPr>
        <w:t>.</w:t>
      </w:r>
    </w:p>
    <w:p w14:paraId="6CDED643" w14:textId="4395A76F" w:rsidR="009911EB" w:rsidRPr="009911EB" w:rsidRDefault="009911EB" w:rsidP="007033B6">
      <w:pPr>
        <w:pStyle w:val="SWAHeading4"/>
        <w:keepNext/>
        <w:keepLines/>
        <w:spacing w:before="240"/>
      </w:pPr>
      <w:r w:rsidRPr="009911EB">
        <w:lastRenderedPageBreak/>
        <w:t>Qualitative benefits</w:t>
      </w:r>
    </w:p>
    <w:p w14:paraId="3BCEB4E9" w14:textId="3CBEB33D" w:rsidR="009911EB" w:rsidRPr="009911EB" w:rsidRDefault="004D2ACE" w:rsidP="007033B6">
      <w:pPr>
        <w:keepNext/>
        <w:keepLines/>
        <w:spacing w:after="0" w:line="240" w:lineRule="atLeast"/>
        <w:contextualSpacing w:val="0"/>
        <w:rPr>
          <w:rFonts w:eastAsia="Times New Roman" w:cs="Arial"/>
          <w:lang w:eastAsia="en-AU"/>
        </w:rPr>
      </w:pPr>
      <w:r>
        <w:rPr>
          <w:rFonts w:eastAsia="Times New Roman" w:cs="Arial"/>
          <w:lang w:eastAsia="en-AU"/>
        </w:rPr>
        <w:t xml:space="preserve">Using health-based </w:t>
      </w:r>
      <w:r w:rsidR="006B0344">
        <w:rPr>
          <w:rFonts w:eastAsia="Times New Roman" w:cs="Arial"/>
          <w:lang w:eastAsia="en-AU"/>
        </w:rPr>
        <w:t xml:space="preserve">exposure limits for the WEL </w:t>
      </w:r>
      <w:r w:rsidR="00C25969">
        <w:rPr>
          <w:rFonts w:eastAsia="Times New Roman" w:cs="Arial"/>
          <w:lang w:eastAsia="en-AU"/>
        </w:rPr>
        <w:t xml:space="preserve">is also expected to achieve a number of qualitative benefits which could not be </w:t>
      </w:r>
      <w:r w:rsidR="00FA20A8">
        <w:rPr>
          <w:rFonts w:eastAsia="Times New Roman" w:cs="Arial"/>
          <w:lang w:eastAsia="en-AU"/>
        </w:rPr>
        <w:t xml:space="preserve">quantified </w:t>
      </w:r>
      <w:r w:rsidR="003038BC">
        <w:rPr>
          <w:rFonts w:eastAsia="Times New Roman" w:cs="Arial"/>
          <w:lang w:eastAsia="en-AU"/>
        </w:rPr>
        <w:t>in the impact assessment due to lack of public</w:t>
      </w:r>
      <w:r w:rsidR="00F81D6B">
        <w:rPr>
          <w:rFonts w:eastAsia="Times New Roman" w:cs="Arial"/>
          <w:lang w:eastAsia="en-AU"/>
        </w:rPr>
        <w:t>ly available</w:t>
      </w:r>
      <w:r w:rsidR="003038BC">
        <w:rPr>
          <w:rFonts w:eastAsia="Times New Roman" w:cs="Arial"/>
          <w:lang w:eastAsia="en-AU"/>
        </w:rPr>
        <w:t xml:space="preserve"> data</w:t>
      </w:r>
      <w:r w:rsidR="006A506A">
        <w:rPr>
          <w:rFonts w:eastAsia="Times New Roman" w:cs="Arial"/>
          <w:lang w:eastAsia="en-AU"/>
        </w:rPr>
        <w:t xml:space="preserve"> </w:t>
      </w:r>
      <w:r w:rsidR="007D098E">
        <w:rPr>
          <w:rFonts w:eastAsia="Times New Roman" w:cs="Arial"/>
          <w:lang w:eastAsia="en-AU"/>
        </w:rPr>
        <w:t>at a</w:t>
      </w:r>
      <w:r w:rsidR="00633AA6">
        <w:rPr>
          <w:rFonts w:eastAsia="Times New Roman" w:cs="Arial"/>
          <w:lang w:eastAsia="en-AU"/>
        </w:rPr>
        <w:t xml:space="preserve"> specific chemical</w:t>
      </w:r>
      <w:r w:rsidR="007D098E">
        <w:rPr>
          <w:rFonts w:eastAsia="Times New Roman" w:cs="Arial"/>
          <w:lang w:eastAsia="en-AU"/>
        </w:rPr>
        <w:t xml:space="preserve"> level</w:t>
      </w:r>
      <w:r w:rsidR="009911EB" w:rsidRPr="009911EB">
        <w:rPr>
          <w:rFonts w:eastAsia="Times New Roman" w:cs="Arial"/>
          <w:lang w:eastAsia="en-AU"/>
        </w:rPr>
        <w:t xml:space="preserve">. The qualitative benefits detailed below incorporate stakeholder feedback, </w:t>
      </w:r>
      <w:r w:rsidR="006B0344">
        <w:rPr>
          <w:rFonts w:eastAsia="Times New Roman" w:cs="Arial"/>
          <w:lang w:eastAsia="en-AU"/>
        </w:rPr>
        <w:t xml:space="preserve">and </w:t>
      </w:r>
      <w:r w:rsidR="009911EB" w:rsidRPr="009911EB">
        <w:rPr>
          <w:rFonts w:eastAsia="Times New Roman" w:cs="Arial"/>
          <w:lang w:eastAsia="en-AU"/>
        </w:rPr>
        <w:t xml:space="preserve">research findings from academia and industry in Australia and internationally to illustrate the anticipated </w:t>
      </w:r>
      <w:r w:rsidR="0048370B">
        <w:rPr>
          <w:rFonts w:eastAsia="Times New Roman" w:cs="Arial"/>
          <w:lang w:eastAsia="en-AU"/>
        </w:rPr>
        <w:t xml:space="preserve">qualitative </w:t>
      </w:r>
      <w:r w:rsidR="009911EB" w:rsidRPr="009911EB">
        <w:rPr>
          <w:rFonts w:eastAsia="Times New Roman" w:cs="Arial"/>
          <w:lang w:eastAsia="en-AU"/>
        </w:rPr>
        <w:t>benefits</w:t>
      </w:r>
      <w:r w:rsidR="00E008CD">
        <w:rPr>
          <w:rFonts w:eastAsia="Times New Roman" w:cs="Arial"/>
          <w:lang w:eastAsia="en-AU"/>
        </w:rPr>
        <w:t xml:space="preserve"> which could be achieved through </w:t>
      </w:r>
      <w:r w:rsidR="009911EB" w:rsidRPr="009911EB">
        <w:rPr>
          <w:rFonts w:eastAsia="Times New Roman" w:cs="Arial"/>
          <w:lang w:eastAsia="en-AU"/>
        </w:rPr>
        <w:t xml:space="preserve">lowering the exposure limits for the 9 chemicals. </w:t>
      </w:r>
    </w:p>
    <w:p w14:paraId="22C8E75B" w14:textId="746D0E8B" w:rsidR="00640E75" w:rsidRDefault="310BD91C" w:rsidP="000868EC">
      <w:pPr>
        <w:keepNext/>
        <w:spacing w:before="240" w:line="240" w:lineRule="atLeast"/>
        <w:contextualSpacing w:val="0"/>
        <w:rPr>
          <w:rFonts w:eastAsiaTheme="majorEastAsia" w:cs="Arial"/>
          <w:b/>
          <w:bCs/>
        </w:rPr>
      </w:pPr>
      <w:r w:rsidRPr="27F845C1">
        <w:rPr>
          <w:rFonts w:eastAsiaTheme="majorEastAsia" w:cs="Arial"/>
          <w:b/>
          <w:bCs/>
        </w:rPr>
        <w:t>Reduction</w:t>
      </w:r>
      <w:r w:rsidRPr="27F845C1">
        <w:rPr>
          <w:rFonts w:eastAsiaTheme="majorEastAsia" w:cs="Arial"/>
          <w:b/>
          <w:bCs/>
          <w:i/>
          <w:iCs/>
          <w:sz w:val="24"/>
        </w:rPr>
        <w:t xml:space="preserve"> </w:t>
      </w:r>
      <w:r w:rsidRPr="27F845C1">
        <w:rPr>
          <w:rFonts w:eastAsiaTheme="majorEastAsia" w:cs="Arial"/>
          <w:b/>
          <w:bCs/>
        </w:rPr>
        <w:t>of psychosocial hazards</w:t>
      </w:r>
    </w:p>
    <w:p w14:paraId="2B595E71" w14:textId="602F10D7" w:rsidR="00DA3A28" w:rsidRDefault="310BD91C" w:rsidP="00D409E8">
      <w:pPr>
        <w:spacing w:before="240" w:line="240" w:lineRule="atLeast"/>
        <w:contextualSpacing w:val="0"/>
        <w:rPr>
          <w:rFonts w:eastAsia="Times New Roman" w:cs="Arial"/>
          <w:lang w:eastAsia="en-AU"/>
        </w:rPr>
      </w:pPr>
      <w:r w:rsidRPr="27F845C1">
        <w:rPr>
          <w:rFonts w:eastAsia="Times New Roman" w:cs="Arial"/>
          <w:lang w:eastAsia="en-AU"/>
        </w:rPr>
        <w:t xml:space="preserve">The </w:t>
      </w:r>
      <w:hyperlink r:id="rId31" w:history="1">
        <w:r w:rsidRPr="00CA6B6E">
          <w:rPr>
            <w:rStyle w:val="Hyperlink"/>
          </w:rPr>
          <w:t>model Code of Practice: Managing psychosocial hazards</w:t>
        </w:r>
        <w:r w:rsidRPr="27F845C1">
          <w:rPr>
            <w:rStyle w:val="Hyperlink"/>
            <w:rFonts w:eastAsia="Times New Roman" w:cs="Arial"/>
            <w:i/>
            <w:iCs/>
            <w:lang w:eastAsia="en-AU"/>
          </w:rPr>
          <w:t xml:space="preserve"> </w:t>
        </w:r>
        <w:r w:rsidRPr="27F845C1">
          <w:rPr>
            <w:rStyle w:val="Hyperlink"/>
            <w:rFonts w:eastAsia="Times New Roman" w:cs="Arial"/>
            <w:lang w:eastAsia="en-AU"/>
          </w:rPr>
          <w:t>at work</w:t>
        </w:r>
      </w:hyperlink>
      <w:r w:rsidRPr="27F845C1">
        <w:rPr>
          <w:rFonts w:eastAsia="Times New Roman" w:cs="Arial"/>
          <w:lang w:eastAsia="en-AU"/>
        </w:rPr>
        <w:t xml:space="preserve"> </w:t>
      </w:r>
      <w:r w:rsidRPr="002559C0">
        <w:rPr>
          <w:rFonts w:eastAsia="Times New Roman" w:cs="Arial"/>
          <w:lang w:eastAsia="en-AU"/>
        </w:rPr>
        <w:t xml:space="preserve">identifies </w:t>
      </w:r>
      <w:r w:rsidR="6CACDD9D" w:rsidRPr="002559C0">
        <w:rPr>
          <w:rFonts w:eastAsia="Times New Roman" w:cs="Arial"/>
          <w:lang w:eastAsia="en-AU"/>
        </w:rPr>
        <w:t xml:space="preserve">that </w:t>
      </w:r>
      <w:r w:rsidRPr="002559C0">
        <w:rPr>
          <w:rFonts w:eastAsia="Times New Roman" w:cs="Arial"/>
          <w:lang w:eastAsia="en-AU"/>
        </w:rPr>
        <w:t xml:space="preserve">exposure to hazardous working environments, or working in hazardous conditions such as </w:t>
      </w:r>
      <w:r w:rsidR="523FB923" w:rsidRPr="002559C0">
        <w:rPr>
          <w:rFonts w:eastAsia="Times New Roman" w:cs="Arial"/>
          <w:lang w:eastAsia="en-AU"/>
        </w:rPr>
        <w:t>near or around</w:t>
      </w:r>
      <w:r w:rsidRPr="002559C0">
        <w:rPr>
          <w:rFonts w:eastAsia="Times New Roman" w:cs="Arial"/>
          <w:lang w:eastAsia="en-AU"/>
        </w:rPr>
        <w:t xml:space="preserve"> hazardous chemicals, </w:t>
      </w:r>
      <w:r w:rsidR="11FC909F" w:rsidRPr="002559C0">
        <w:rPr>
          <w:rFonts w:eastAsia="Times New Roman" w:cs="Arial"/>
          <w:lang w:eastAsia="en-AU"/>
        </w:rPr>
        <w:t xml:space="preserve">may </w:t>
      </w:r>
      <w:r w:rsidRPr="002559C0">
        <w:rPr>
          <w:rFonts w:eastAsia="Times New Roman" w:cs="Arial"/>
          <w:lang w:eastAsia="en-AU"/>
        </w:rPr>
        <w:t>be a psychosocial hazard</w:t>
      </w:r>
      <w:r w:rsidR="7B5DAB10" w:rsidRPr="002559C0">
        <w:rPr>
          <w:rFonts w:eastAsia="Times New Roman" w:cs="Arial"/>
          <w:lang w:eastAsia="en-AU"/>
        </w:rPr>
        <w:t xml:space="preserve"> </w:t>
      </w:r>
      <w:sdt>
        <w:sdtPr>
          <w:rPr>
            <w:rFonts w:eastAsia="Times New Roman" w:cs="Arial"/>
            <w:lang w:eastAsia="en-AU"/>
          </w:rPr>
          <w:id w:val="-251899401"/>
          <w:citation/>
        </w:sdtPr>
        <w:sdtEndPr/>
        <w:sdtContent>
          <w:r w:rsidR="00370EBD" w:rsidRPr="002559C0">
            <w:rPr>
              <w:rFonts w:eastAsia="Times New Roman" w:cs="Arial"/>
              <w:lang w:eastAsia="en-AU"/>
            </w:rPr>
            <w:fldChar w:fldCharType="begin"/>
          </w:r>
          <w:r w:rsidR="00370EBD" w:rsidRPr="002559C0">
            <w:rPr>
              <w:rFonts w:eastAsia="Times New Roman" w:cs="Arial"/>
              <w:lang w:eastAsia="en-AU"/>
            </w:rPr>
            <w:instrText xml:space="preserve"> CITATION Saf221 \l 3081 </w:instrText>
          </w:r>
          <w:r w:rsidR="00370EBD" w:rsidRPr="002559C0">
            <w:rPr>
              <w:rFonts w:eastAsia="Times New Roman" w:cs="Arial"/>
              <w:lang w:eastAsia="en-AU"/>
            </w:rPr>
            <w:fldChar w:fldCharType="separate"/>
          </w:r>
          <w:r w:rsidR="00490B21" w:rsidRPr="00490B21">
            <w:rPr>
              <w:rFonts w:eastAsia="Times New Roman" w:cs="Arial"/>
              <w:noProof/>
              <w:lang w:eastAsia="en-AU"/>
            </w:rPr>
            <w:t>(Safe Work Australia, 2022)</w:t>
          </w:r>
          <w:r w:rsidR="00370EBD" w:rsidRPr="002559C0">
            <w:rPr>
              <w:rFonts w:eastAsia="Times New Roman" w:cs="Arial"/>
              <w:lang w:eastAsia="en-AU"/>
            </w:rPr>
            <w:fldChar w:fldCharType="end"/>
          </w:r>
        </w:sdtContent>
      </w:sdt>
      <w:r w:rsidR="6AC11DCB" w:rsidRPr="002559C0">
        <w:rPr>
          <w:rFonts w:eastAsia="Times New Roman" w:cs="Arial"/>
          <w:lang w:eastAsia="en-AU"/>
        </w:rPr>
        <w:t>.</w:t>
      </w:r>
      <w:r w:rsidR="003713ED" w:rsidRPr="27F845C1">
        <w:rPr>
          <w:rFonts w:eastAsia="Times New Roman" w:cs="Arial"/>
          <w:lang w:eastAsia="en-AU"/>
        </w:rPr>
        <w:t xml:space="preserve"> </w:t>
      </w:r>
    </w:p>
    <w:p w14:paraId="572826FC" w14:textId="70C59007" w:rsidR="00B03E18" w:rsidRDefault="008B69A7" w:rsidP="000868EC">
      <w:pPr>
        <w:keepNext/>
        <w:spacing w:after="200" w:line="240" w:lineRule="atLeast"/>
        <w:contextualSpacing w:val="0"/>
        <w:rPr>
          <w:rFonts w:eastAsia="Times New Roman" w:cs="Arial"/>
          <w:lang w:eastAsia="en-AU"/>
        </w:rPr>
      </w:pPr>
      <w:r w:rsidRPr="002559C0">
        <w:rPr>
          <w:rFonts w:eastAsia="Times New Roman" w:cs="Arial"/>
          <w:lang w:eastAsia="en-AU"/>
        </w:rPr>
        <w:t xml:space="preserve">Workers who </w:t>
      </w:r>
      <w:r w:rsidR="00140DDD" w:rsidRPr="002559C0">
        <w:rPr>
          <w:rFonts w:eastAsia="Times New Roman" w:cs="Arial"/>
          <w:lang w:eastAsia="en-AU"/>
        </w:rPr>
        <w:t xml:space="preserve">work with or are </w:t>
      </w:r>
      <w:r w:rsidR="00EE084F" w:rsidRPr="002559C0">
        <w:rPr>
          <w:rFonts w:eastAsia="Times New Roman" w:cs="Arial"/>
          <w:lang w:eastAsia="en-AU"/>
        </w:rPr>
        <w:t>expos</w:t>
      </w:r>
      <w:r w:rsidRPr="002559C0">
        <w:rPr>
          <w:rFonts w:eastAsia="Times New Roman" w:cs="Arial"/>
          <w:lang w:eastAsia="en-AU"/>
        </w:rPr>
        <w:t>ed</w:t>
      </w:r>
      <w:r w:rsidR="00EE084F" w:rsidRPr="002559C0">
        <w:rPr>
          <w:rFonts w:eastAsia="Times New Roman" w:cs="Arial"/>
          <w:lang w:eastAsia="en-AU"/>
        </w:rPr>
        <w:t xml:space="preserve"> to an </w:t>
      </w:r>
      <w:r w:rsidR="00E631EB" w:rsidRPr="002559C0">
        <w:rPr>
          <w:rFonts w:eastAsia="Times New Roman" w:cs="Arial"/>
          <w:lang w:eastAsia="en-AU"/>
        </w:rPr>
        <w:t>airborne</w:t>
      </w:r>
      <w:r w:rsidR="00BD58D4" w:rsidRPr="002559C0">
        <w:rPr>
          <w:rFonts w:eastAsia="Times New Roman" w:cs="Arial"/>
          <w:lang w:eastAsia="en-AU"/>
        </w:rPr>
        <w:t xml:space="preserve"> </w:t>
      </w:r>
      <w:r w:rsidR="00E631EB" w:rsidRPr="002559C0">
        <w:rPr>
          <w:rFonts w:eastAsia="Times New Roman" w:cs="Arial"/>
          <w:lang w:eastAsia="en-AU"/>
        </w:rPr>
        <w:t>contaminant</w:t>
      </w:r>
      <w:r w:rsidRPr="002559C0">
        <w:rPr>
          <w:rFonts w:eastAsia="Times New Roman" w:cs="Arial"/>
          <w:lang w:eastAsia="en-AU"/>
        </w:rPr>
        <w:t xml:space="preserve"> </w:t>
      </w:r>
      <w:r w:rsidR="00793A1E" w:rsidRPr="002559C0">
        <w:rPr>
          <w:rFonts w:eastAsia="Times New Roman" w:cs="Arial"/>
          <w:lang w:eastAsia="en-AU"/>
        </w:rPr>
        <w:t>in their workplace</w:t>
      </w:r>
      <w:r w:rsidR="00793A1E">
        <w:rPr>
          <w:rFonts w:eastAsia="Times New Roman" w:cs="Arial"/>
          <w:lang w:eastAsia="en-AU"/>
        </w:rPr>
        <w:t>,</w:t>
      </w:r>
      <w:r w:rsidR="00793A1E" w:rsidRPr="002559C0" w:rsidDel="00793A1E">
        <w:rPr>
          <w:rFonts w:eastAsia="Times New Roman" w:cs="Arial"/>
          <w:lang w:eastAsia="en-AU"/>
        </w:rPr>
        <w:t xml:space="preserve"> </w:t>
      </w:r>
      <w:r w:rsidR="00793A1E">
        <w:rPr>
          <w:rFonts w:eastAsia="Times New Roman" w:cs="Arial"/>
          <w:lang w:eastAsia="en-AU"/>
        </w:rPr>
        <w:t>such as</w:t>
      </w:r>
      <w:r w:rsidR="00793A1E" w:rsidRPr="002559C0">
        <w:rPr>
          <w:rFonts w:eastAsia="Times New Roman" w:cs="Arial"/>
          <w:lang w:eastAsia="en-AU"/>
        </w:rPr>
        <w:t xml:space="preserve"> </w:t>
      </w:r>
      <w:r w:rsidRPr="002559C0">
        <w:rPr>
          <w:rFonts w:eastAsia="Times New Roman" w:cs="Arial"/>
          <w:lang w:eastAsia="en-AU"/>
        </w:rPr>
        <w:t>the</w:t>
      </w:r>
      <w:r w:rsidR="00E631EB" w:rsidRPr="002559C0">
        <w:rPr>
          <w:rFonts w:eastAsia="Times New Roman" w:cs="Arial"/>
          <w:lang w:eastAsia="en-AU"/>
        </w:rPr>
        <w:t xml:space="preserve"> 9 </w:t>
      </w:r>
      <w:r w:rsidR="009911EB" w:rsidRPr="002559C0">
        <w:rPr>
          <w:rFonts w:eastAsia="Times New Roman" w:cs="Arial"/>
          <w:lang w:eastAsia="en-AU"/>
        </w:rPr>
        <w:t>chemical</w:t>
      </w:r>
      <w:r w:rsidRPr="002559C0">
        <w:rPr>
          <w:rFonts w:eastAsia="Times New Roman" w:cs="Arial"/>
          <w:lang w:eastAsia="en-AU"/>
        </w:rPr>
        <w:t>s</w:t>
      </w:r>
      <w:r w:rsidR="00950541">
        <w:rPr>
          <w:rFonts w:eastAsia="Times New Roman" w:cs="Arial"/>
          <w:lang w:eastAsia="en-AU"/>
        </w:rPr>
        <w:t xml:space="preserve"> </w:t>
      </w:r>
      <w:r w:rsidR="150523FD" w:rsidRPr="276296F8">
        <w:rPr>
          <w:rFonts w:eastAsia="Times New Roman" w:cs="Arial"/>
          <w:lang w:eastAsia="en-AU"/>
        </w:rPr>
        <w:t>considered in</w:t>
      </w:r>
      <w:r w:rsidR="00950541">
        <w:rPr>
          <w:rFonts w:eastAsia="Times New Roman" w:cs="Arial"/>
          <w:lang w:eastAsia="en-AU"/>
        </w:rPr>
        <w:t xml:space="preserve"> this regulatory impact analysis</w:t>
      </w:r>
      <w:r w:rsidR="00EE084F" w:rsidRPr="002559C0">
        <w:rPr>
          <w:rFonts w:eastAsia="Times New Roman" w:cs="Arial"/>
          <w:lang w:eastAsia="en-AU"/>
        </w:rPr>
        <w:t>,</w:t>
      </w:r>
      <w:r w:rsidR="00786270" w:rsidRPr="002559C0">
        <w:rPr>
          <w:rFonts w:eastAsia="Times New Roman" w:cs="Arial"/>
          <w:lang w:eastAsia="en-AU"/>
        </w:rPr>
        <w:t xml:space="preserve"> or</w:t>
      </w:r>
      <w:r w:rsidR="00EE084F" w:rsidRPr="002559C0">
        <w:rPr>
          <w:rFonts w:eastAsia="Times New Roman" w:cs="Arial"/>
          <w:lang w:eastAsia="en-AU"/>
        </w:rPr>
        <w:t xml:space="preserve"> </w:t>
      </w:r>
      <w:r w:rsidR="00793A1E">
        <w:rPr>
          <w:rFonts w:eastAsia="Times New Roman" w:cs="Arial"/>
          <w:lang w:eastAsia="en-AU"/>
        </w:rPr>
        <w:t xml:space="preserve">where </w:t>
      </w:r>
      <w:r w:rsidR="00EE084F" w:rsidRPr="002559C0">
        <w:rPr>
          <w:rFonts w:eastAsia="Times New Roman" w:cs="Arial"/>
          <w:lang w:eastAsia="en-AU"/>
        </w:rPr>
        <w:t>the workplace</w:t>
      </w:r>
      <w:r w:rsidR="00786270" w:rsidRPr="002559C0">
        <w:rPr>
          <w:rFonts w:eastAsia="Times New Roman" w:cs="Arial"/>
          <w:lang w:eastAsia="en-AU"/>
        </w:rPr>
        <w:t xml:space="preserve"> </w:t>
      </w:r>
      <w:r w:rsidR="00180563" w:rsidRPr="002559C0">
        <w:rPr>
          <w:rFonts w:eastAsia="Times New Roman" w:cs="Arial"/>
          <w:lang w:eastAsia="en-AU"/>
        </w:rPr>
        <w:t>is not kept tidy</w:t>
      </w:r>
      <w:r w:rsidR="00786270" w:rsidRPr="002559C0">
        <w:rPr>
          <w:rFonts w:eastAsia="Times New Roman" w:cs="Arial"/>
          <w:lang w:eastAsia="en-AU"/>
        </w:rPr>
        <w:t xml:space="preserve"> (</w:t>
      </w:r>
      <w:r w:rsidR="00180563" w:rsidRPr="002559C0">
        <w:rPr>
          <w:rFonts w:eastAsia="Times New Roman" w:cs="Arial"/>
          <w:lang w:eastAsia="en-AU"/>
        </w:rPr>
        <w:t>i.e., the workplace appears</w:t>
      </w:r>
      <w:r w:rsidR="00786270" w:rsidRPr="002559C0">
        <w:rPr>
          <w:rFonts w:eastAsia="Times New Roman" w:cs="Arial"/>
          <w:lang w:eastAsia="en-AU"/>
        </w:rPr>
        <w:t xml:space="preserve"> dusty </w:t>
      </w:r>
      <w:r w:rsidR="00152283" w:rsidRPr="002559C0">
        <w:rPr>
          <w:rFonts w:eastAsia="Times New Roman" w:cs="Arial"/>
          <w:lang w:eastAsia="en-AU"/>
        </w:rPr>
        <w:t>or hazy)</w:t>
      </w:r>
      <w:r w:rsidRPr="002559C0">
        <w:rPr>
          <w:rFonts w:eastAsia="Times New Roman" w:cs="Arial"/>
          <w:lang w:eastAsia="en-AU"/>
        </w:rPr>
        <w:t>,</w:t>
      </w:r>
      <w:r w:rsidR="00152283" w:rsidRPr="002559C0">
        <w:rPr>
          <w:rFonts w:eastAsia="Times New Roman" w:cs="Arial"/>
          <w:lang w:eastAsia="en-AU"/>
        </w:rPr>
        <w:t xml:space="preserve"> </w:t>
      </w:r>
      <w:r w:rsidR="009911EB" w:rsidRPr="002559C0">
        <w:rPr>
          <w:rFonts w:eastAsia="Times New Roman" w:cs="Arial"/>
          <w:lang w:eastAsia="en-AU"/>
        </w:rPr>
        <w:t xml:space="preserve">can </w:t>
      </w:r>
      <w:r w:rsidR="007559F7" w:rsidRPr="002559C0">
        <w:rPr>
          <w:rFonts w:eastAsia="Times New Roman" w:cs="Arial"/>
          <w:lang w:eastAsia="en-AU"/>
        </w:rPr>
        <w:t xml:space="preserve">experience </w:t>
      </w:r>
      <w:r w:rsidR="009911EB" w:rsidRPr="002559C0">
        <w:rPr>
          <w:rFonts w:eastAsia="Times New Roman" w:cs="Arial"/>
          <w:lang w:eastAsia="en-AU"/>
        </w:rPr>
        <w:t>anxiety and stress</w:t>
      </w:r>
      <w:r w:rsidR="004D61DB" w:rsidRPr="002559C0">
        <w:rPr>
          <w:rFonts w:eastAsia="Times New Roman" w:cs="Arial"/>
          <w:lang w:eastAsia="en-AU"/>
        </w:rPr>
        <w:t xml:space="preserve"> from the potential of developing an adverse health effect</w:t>
      </w:r>
      <w:r w:rsidR="009911EB" w:rsidRPr="002559C0" w:rsidDel="007559F7">
        <w:rPr>
          <w:rFonts w:eastAsia="Times New Roman" w:cs="Arial"/>
          <w:lang w:eastAsia="en-AU"/>
        </w:rPr>
        <w:t>,</w:t>
      </w:r>
      <w:r w:rsidR="00F72F46" w:rsidRPr="002559C0">
        <w:rPr>
          <w:rFonts w:eastAsia="Times New Roman" w:cs="Arial"/>
          <w:lang w:eastAsia="en-AU"/>
        </w:rPr>
        <w:t xml:space="preserve"> especially if they </w:t>
      </w:r>
      <w:r w:rsidR="00283176" w:rsidRPr="002559C0">
        <w:rPr>
          <w:rFonts w:eastAsia="Times New Roman" w:cs="Arial"/>
          <w:lang w:eastAsia="en-AU"/>
        </w:rPr>
        <w:t>are</w:t>
      </w:r>
      <w:r w:rsidR="009911EB" w:rsidRPr="002559C0">
        <w:rPr>
          <w:rFonts w:eastAsia="Times New Roman" w:cs="Arial"/>
          <w:lang w:eastAsia="en-AU"/>
        </w:rPr>
        <w:t xml:space="preserve"> aware </w:t>
      </w:r>
      <w:r w:rsidR="00283176" w:rsidRPr="002559C0">
        <w:rPr>
          <w:rFonts w:eastAsia="Times New Roman" w:cs="Arial"/>
          <w:lang w:eastAsia="en-AU"/>
        </w:rPr>
        <w:t xml:space="preserve">or become aware </w:t>
      </w:r>
      <w:r w:rsidR="009911EB" w:rsidRPr="002559C0">
        <w:rPr>
          <w:rFonts w:eastAsia="Times New Roman" w:cs="Arial"/>
          <w:lang w:eastAsia="en-AU"/>
        </w:rPr>
        <w:t>of the hazards</w:t>
      </w:r>
      <w:r w:rsidR="00E631EB" w:rsidRPr="002559C0">
        <w:rPr>
          <w:rFonts w:eastAsia="Times New Roman" w:cs="Arial"/>
          <w:lang w:eastAsia="en-AU"/>
        </w:rPr>
        <w:t xml:space="preserve"> associated with the airborne contaminant. </w:t>
      </w:r>
      <w:r w:rsidR="00D97B11">
        <w:rPr>
          <w:rFonts w:eastAsia="Times New Roman" w:cs="Arial"/>
          <w:lang w:eastAsia="en-AU"/>
        </w:rPr>
        <w:t>An evidence</w:t>
      </w:r>
      <w:r w:rsidR="00444655">
        <w:rPr>
          <w:rFonts w:eastAsia="Times New Roman" w:cs="Arial"/>
          <w:lang w:eastAsia="en-AU"/>
        </w:rPr>
        <w:t>d</w:t>
      </w:r>
      <w:r w:rsidR="00D97B11">
        <w:rPr>
          <w:rFonts w:eastAsia="Times New Roman" w:cs="Arial"/>
          <w:lang w:eastAsia="en-AU"/>
        </w:rPr>
        <w:t xml:space="preserve"> informed</w:t>
      </w:r>
      <w:r w:rsidR="004E4E01">
        <w:rPr>
          <w:rFonts w:eastAsia="Times New Roman" w:cs="Arial"/>
          <w:lang w:eastAsia="en-AU"/>
        </w:rPr>
        <w:t xml:space="preserve"> approach to WHS, including </w:t>
      </w:r>
      <w:r w:rsidR="00CA08E9">
        <w:rPr>
          <w:rFonts w:eastAsia="Times New Roman" w:cs="Arial"/>
          <w:lang w:eastAsia="en-AU"/>
        </w:rPr>
        <w:t>health</w:t>
      </w:r>
      <w:r w:rsidR="004E4E01">
        <w:rPr>
          <w:rFonts w:eastAsia="Times New Roman" w:cs="Arial"/>
          <w:lang w:eastAsia="en-AU"/>
        </w:rPr>
        <w:t>-</w:t>
      </w:r>
      <w:r w:rsidR="00CA08E9">
        <w:rPr>
          <w:rFonts w:eastAsia="Times New Roman" w:cs="Arial"/>
          <w:lang w:eastAsia="en-AU"/>
        </w:rPr>
        <w:t xml:space="preserve">based limits </w:t>
      </w:r>
      <w:r w:rsidR="004E4E01">
        <w:rPr>
          <w:rFonts w:eastAsia="Times New Roman" w:cs="Arial"/>
          <w:lang w:eastAsia="en-AU"/>
        </w:rPr>
        <w:t xml:space="preserve">for airborne contaminants, </w:t>
      </w:r>
      <w:r w:rsidR="00CA08E9">
        <w:rPr>
          <w:rFonts w:eastAsia="Times New Roman" w:cs="Arial"/>
          <w:lang w:eastAsia="en-AU"/>
        </w:rPr>
        <w:t xml:space="preserve">may </w:t>
      </w:r>
      <w:r w:rsidR="00CA08E9" w:rsidDel="007576AC">
        <w:rPr>
          <w:rFonts w:eastAsia="Times New Roman" w:cs="Arial"/>
          <w:lang w:eastAsia="en-AU"/>
        </w:rPr>
        <w:t xml:space="preserve">provide </w:t>
      </w:r>
      <w:r w:rsidR="00CA08E9">
        <w:rPr>
          <w:rFonts w:eastAsia="Times New Roman" w:cs="Arial"/>
          <w:lang w:eastAsia="en-AU"/>
        </w:rPr>
        <w:t>assurance to workers</w:t>
      </w:r>
      <w:r w:rsidR="007576AC">
        <w:rPr>
          <w:rFonts w:eastAsia="Times New Roman" w:cs="Arial"/>
          <w:lang w:eastAsia="en-AU"/>
        </w:rPr>
        <w:t xml:space="preserve"> that they are protected </w:t>
      </w:r>
      <w:r w:rsidR="00CA08E9">
        <w:rPr>
          <w:rFonts w:eastAsia="Times New Roman" w:cs="Arial"/>
          <w:lang w:eastAsia="en-AU"/>
        </w:rPr>
        <w:t xml:space="preserve">and alleviate some of these psychosocial hazards. </w:t>
      </w:r>
    </w:p>
    <w:p w14:paraId="199E2746" w14:textId="45000E46" w:rsidR="006A3198" w:rsidRPr="002559C0" w:rsidRDefault="006A3198" w:rsidP="000868EC">
      <w:pPr>
        <w:keepNext/>
        <w:spacing w:after="200" w:line="240" w:lineRule="atLeast"/>
        <w:contextualSpacing w:val="0"/>
        <w:rPr>
          <w:rFonts w:eastAsia="Times New Roman" w:cs="Arial"/>
          <w:lang w:eastAsia="en-AU"/>
        </w:rPr>
      </w:pPr>
      <w:r>
        <w:rPr>
          <w:rFonts w:eastAsia="Times New Roman" w:cs="Arial"/>
          <w:lang w:eastAsia="en-AU"/>
        </w:rPr>
        <w:t>A reduction in psychosocial hazards in</w:t>
      </w:r>
      <w:r w:rsidR="00E6372B">
        <w:rPr>
          <w:rFonts w:eastAsia="Times New Roman" w:cs="Arial"/>
          <w:lang w:eastAsia="en-AU"/>
        </w:rPr>
        <w:t xml:space="preserve"> relation to exposure to </w:t>
      </w:r>
      <w:r w:rsidR="00C10800">
        <w:rPr>
          <w:rFonts w:eastAsia="Times New Roman" w:cs="Arial"/>
          <w:lang w:eastAsia="en-AU"/>
        </w:rPr>
        <w:t>or working with the 9 chemicals considered in this Decision RIS</w:t>
      </w:r>
      <w:r w:rsidR="00040174">
        <w:rPr>
          <w:rFonts w:eastAsia="Times New Roman" w:cs="Arial"/>
          <w:lang w:eastAsia="en-AU"/>
        </w:rPr>
        <w:t xml:space="preserve"> </w:t>
      </w:r>
      <w:r w:rsidR="00BF1FB4">
        <w:rPr>
          <w:rFonts w:eastAsia="Times New Roman" w:cs="Arial"/>
          <w:lang w:eastAsia="en-AU"/>
        </w:rPr>
        <w:t xml:space="preserve">can also </w:t>
      </w:r>
      <w:r w:rsidR="00040174">
        <w:rPr>
          <w:rFonts w:eastAsia="Times New Roman" w:cs="Arial"/>
          <w:lang w:eastAsia="en-AU"/>
        </w:rPr>
        <w:t>contribute towards</w:t>
      </w:r>
      <w:r w:rsidR="00BF1FB4">
        <w:rPr>
          <w:rFonts w:eastAsia="Times New Roman" w:cs="Arial"/>
          <w:lang w:eastAsia="en-AU"/>
        </w:rPr>
        <w:t xml:space="preserve"> a reduction in workers’ compensation claims associated with psychosocial hazards. </w:t>
      </w:r>
    </w:p>
    <w:p w14:paraId="39F45E95" w14:textId="32F88EC8" w:rsidR="00640E75" w:rsidRDefault="310BD91C" w:rsidP="002963F9">
      <w:pPr>
        <w:spacing w:line="240" w:lineRule="atLeast"/>
        <w:contextualSpacing w:val="0"/>
        <w:rPr>
          <w:b/>
          <w:bCs/>
        </w:rPr>
      </w:pPr>
      <w:r w:rsidRPr="00181FD9">
        <w:rPr>
          <w:b/>
          <w:bCs/>
        </w:rPr>
        <w:t>Reduced impacts on the support networks (such as family and friends) and carers for individuals experiencing an occupational disease</w:t>
      </w:r>
    </w:p>
    <w:p w14:paraId="4AE37CFD" w14:textId="0287F385" w:rsidR="009911EB" w:rsidRPr="009911EB" w:rsidRDefault="310BD91C" w:rsidP="002963F9">
      <w:pPr>
        <w:spacing w:line="240" w:lineRule="atLeast"/>
        <w:contextualSpacing w:val="0"/>
        <w:rPr>
          <w:rFonts w:eastAsia="Times New Roman" w:cs="Arial"/>
          <w:lang w:eastAsia="en-AU"/>
        </w:rPr>
      </w:pPr>
      <w:r w:rsidRPr="27F845C1">
        <w:rPr>
          <w:rFonts w:eastAsia="Times New Roman" w:cs="Arial"/>
          <w:lang w:eastAsia="en-AU"/>
        </w:rPr>
        <w:t>According to</w:t>
      </w:r>
      <w:r w:rsidR="11AB85B3" w:rsidRPr="27F845C1">
        <w:rPr>
          <w:rFonts w:eastAsia="Times New Roman" w:cs="Arial"/>
          <w:lang w:eastAsia="en-AU"/>
        </w:rPr>
        <w:t xml:space="preserve"> the</w:t>
      </w:r>
      <w:r w:rsidRPr="27F845C1">
        <w:rPr>
          <w:rFonts w:eastAsia="Times New Roman" w:cs="Arial"/>
          <w:lang w:eastAsia="en-AU"/>
        </w:rPr>
        <w:t xml:space="preserve"> ABS, 3 million Australians are carers</w:t>
      </w:r>
      <w:r w:rsidR="67C896DB" w:rsidRPr="27F845C1">
        <w:rPr>
          <w:rFonts w:eastAsia="Times New Roman" w:cs="Arial"/>
          <w:lang w:eastAsia="en-AU"/>
        </w:rPr>
        <w:t xml:space="preserve"> </w:t>
      </w:r>
      <w:sdt>
        <w:sdtPr>
          <w:rPr>
            <w:rFonts w:eastAsia="Times New Roman" w:cs="Arial"/>
            <w:lang w:eastAsia="en-AU"/>
          </w:rPr>
          <w:id w:val="-1633549630"/>
          <w:citation/>
        </w:sdtPr>
        <w:sdtEndPr/>
        <w:sdtContent>
          <w:r w:rsidR="00473B96" w:rsidRPr="27F845C1">
            <w:rPr>
              <w:rFonts w:eastAsia="Times New Roman" w:cs="Arial"/>
              <w:lang w:eastAsia="en-AU"/>
            </w:rPr>
            <w:fldChar w:fldCharType="begin"/>
          </w:r>
          <w:r w:rsidR="00473B96" w:rsidRPr="27F845C1">
            <w:rPr>
              <w:rFonts w:eastAsia="Times New Roman" w:cs="Arial"/>
              <w:lang w:eastAsia="en-AU"/>
            </w:rPr>
            <w:instrText xml:space="preserve"> CITATION Aus241 \l 3081 </w:instrText>
          </w:r>
          <w:r w:rsidR="00473B96" w:rsidRPr="27F845C1">
            <w:rPr>
              <w:rFonts w:eastAsia="Times New Roman" w:cs="Arial"/>
              <w:lang w:eastAsia="en-AU"/>
            </w:rPr>
            <w:fldChar w:fldCharType="separate"/>
          </w:r>
          <w:r w:rsidR="00490B21" w:rsidRPr="00490B21">
            <w:rPr>
              <w:rFonts w:eastAsia="Times New Roman" w:cs="Arial"/>
              <w:noProof/>
              <w:lang w:eastAsia="en-AU"/>
            </w:rPr>
            <w:t>(Australian Bureau of Statistics, 2024)</w:t>
          </w:r>
          <w:r w:rsidR="00473B96" w:rsidRPr="27F845C1">
            <w:rPr>
              <w:rFonts w:eastAsia="Times New Roman" w:cs="Arial"/>
              <w:lang w:eastAsia="en-AU"/>
            </w:rPr>
            <w:fldChar w:fldCharType="end"/>
          </w:r>
        </w:sdtContent>
      </w:sdt>
      <w:r w:rsidRPr="27F845C1">
        <w:rPr>
          <w:rFonts w:eastAsia="Times New Roman" w:cs="Arial"/>
          <w:lang w:eastAsia="en-AU"/>
        </w:rPr>
        <w:t>.</w:t>
      </w:r>
      <w:r w:rsidR="784440A1" w:rsidRPr="27F845C1">
        <w:rPr>
          <w:rFonts w:eastAsia="Times New Roman" w:cs="Arial"/>
          <w:lang w:eastAsia="en-AU"/>
        </w:rPr>
        <w:t xml:space="preserve"> It is likely that </w:t>
      </w:r>
      <w:r w:rsidR="371CAA0D" w:rsidRPr="27F845C1">
        <w:rPr>
          <w:rFonts w:eastAsia="Times New Roman" w:cs="Arial"/>
          <w:lang w:eastAsia="en-AU"/>
        </w:rPr>
        <w:t xml:space="preserve">a portion of carers in Australia are providing informal assistance to </w:t>
      </w:r>
      <w:r w:rsidR="37079807" w:rsidRPr="27F845C1">
        <w:rPr>
          <w:rFonts w:eastAsia="Times New Roman" w:cs="Arial"/>
          <w:lang w:eastAsia="en-AU"/>
        </w:rPr>
        <w:t>workers</w:t>
      </w:r>
      <w:r w:rsidR="371CAA0D" w:rsidRPr="27F845C1">
        <w:rPr>
          <w:rFonts w:eastAsia="Times New Roman" w:cs="Arial"/>
          <w:lang w:eastAsia="en-AU"/>
        </w:rPr>
        <w:t xml:space="preserve"> who have developed </w:t>
      </w:r>
      <w:r w:rsidR="67C896DB" w:rsidRPr="27F845C1">
        <w:rPr>
          <w:rFonts w:eastAsia="Times New Roman" w:cs="Arial"/>
          <w:lang w:eastAsia="en-AU"/>
        </w:rPr>
        <w:t xml:space="preserve">and </w:t>
      </w:r>
      <w:r w:rsidR="67C896DB" w:rsidRPr="72130041">
        <w:rPr>
          <w:rFonts w:eastAsia="Times New Roman" w:cs="Arial"/>
          <w:lang w:eastAsia="en-AU"/>
        </w:rPr>
        <w:t>liv</w:t>
      </w:r>
      <w:r w:rsidR="7BE82C68" w:rsidRPr="72130041">
        <w:rPr>
          <w:rFonts w:eastAsia="Times New Roman" w:cs="Arial"/>
          <w:lang w:eastAsia="en-AU"/>
        </w:rPr>
        <w:t>e</w:t>
      </w:r>
      <w:r w:rsidR="67C896DB" w:rsidRPr="27F845C1">
        <w:rPr>
          <w:rFonts w:eastAsia="Times New Roman" w:cs="Arial"/>
          <w:lang w:eastAsia="en-AU"/>
        </w:rPr>
        <w:t xml:space="preserve"> </w:t>
      </w:r>
      <w:r w:rsidR="49E04293" w:rsidRPr="27F845C1">
        <w:rPr>
          <w:rFonts w:eastAsia="Times New Roman" w:cs="Arial"/>
          <w:lang w:eastAsia="en-AU"/>
        </w:rPr>
        <w:t xml:space="preserve">with </w:t>
      </w:r>
      <w:r w:rsidR="371CAA0D" w:rsidRPr="27F845C1">
        <w:rPr>
          <w:rFonts w:eastAsia="Times New Roman" w:cs="Arial"/>
          <w:lang w:eastAsia="en-AU"/>
        </w:rPr>
        <w:t xml:space="preserve">an adverse health effect from exposure to </w:t>
      </w:r>
      <w:r w:rsidR="0EE6BF8F" w:rsidRPr="27F845C1">
        <w:rPr>
          <w:rFonts w:eastAsia="Times New Roman" w:cs="Arial"/>
          <w:lang w:eastAsia="en-AU"/>
        </w:rPr>
        <w:t>chemicals</w:t>
      </w:r>
      <w:r w:rsidR="6149285E" w:rsidRPr="27F845C1">
        <w:rPr>
          <w:rFonts w:eastAsia="Times New Roman" w:cs="Arial"/>
          <w:lang w:eastAsia="en-AU"/>
        </w:rPr>
        <w:t>, including the 9 chemicals</w:t>
      </w:r>
      <w:r w:rsidR="0DE342D0" w:rsidRPr="27F845C1">
        <w:rPr>
          <w:rFonts w:eastAsia="Times New Roman" w:cs="Arial"/>
          <w:lang w:eastAsia="en-AU"/>
        </w:rPr>
        <w:t xml:space="preserve"> subject to this regulatory impact analysis</w:t>
      </w:r>
      <w:r w:rsidR="6149285E" w:rsidRPr="27F845C1">
        <w:rPr>
          <w:rFonts w:eastAsia="Times New Roman" w:cs="Arial"/>
          <w:lang w:eastAsia="en-AU"/>
        </w:rPr>
        <w:t>,</w:t>
      </w:r>
      <w:r w:rsidR="0EE6BF8F" w:rsidRPr="27F845C1">
        <w:rPr>
          <w:rFonts w:eastAsia="Times New Roman" w:cs="Arial"/>
          <w:lang w:eastAsia="en-AU"/>
        </w:rPr>
        <w:t xml:space="preserve"> in the workplace. </w:t>
      </w:r>
      <w:r w:rsidRPr="27F845C1">
        <w:rPr>
          <w:rFonts w:eastAsia="Times New Roman" w:cs="Arial"/>
          <w:lang w:eastAsia="en-AU"/>
        </w:rPr>
        <w:t>Informal assistance may include (but is not limited to) providing transport, household chores and health care to the recipient who has the disability</w:t>
      </w:r>
      <w:r w:rsidR="11AB85B3" w:rsidRPr="27F845C1">
        <w:rPr>
          <w:rFonts w:eastAsia="Times New Roman" w:cs="Arial"/>
          <w:lang w:eastAsia="en-AU"/>
        </w:rPr>
        <w:t xml:space="preserve"> </w:t>
      </w:r>
      <w:sdt>
        <w:sdtPr>
          <w:rPr>
            <w:rFonts w:eastAsia="Times New Roman" w:cs="Arial"/>
            <w:lang w:eastAsia="en-AU"/>
          </w:rPr>
          <w:id w:val="708070317"/>
          <w:citation/>
        </w:sdtPr>
        <w:sdtEndPr/>
        <w:sdtContent>
          <w:r w:rsidR="00473B96" w:rsidRPr="27F845C1">
            <w:rPr>
              <w:rFonts w:eastAsia="Times New Roman" w:cs="Arial"/>
              <w:lang w:eastAsia="en-AU"/>
            </w:rPr>
            <w:fldChar w:fldCharType="begin"/>
          </w:r>
          <w:r w:rsidR="00473B96" w:rsidRPr="27F845C1">
            <w:rPr>
              <w:rFonts w:eastAsia="Times New Roman" w:cs="Arial"/>
              <w:lang w:eastAsia="en-AU"/>
            </w:rPr>
            <w:instrText xml:space="preserve"> CITATION Aus241 \l 3081 </w:instrText>
          </w:r>
          <w:r w:rsidR="00473B96" w:rsidRPr="27F845C1">
            <w:rPr>
              <w:rFonts w:eastAsia="Times New Roman" w:cs="Arial"/>
              <w:lang w:eastAsia="en-AU"/>
            </w:rPr>
            <w:fldChar w:fldCharType="separate"/>
          </w:r>
          <w:r w:rsidR="00490B21" w:rsidRPr="00490B21">
            <w:rPr>
              <w:rFonts w:eastAsia="Times New Roman" w:cs="Arial"/>
              <w:noProof/>
              <w:lang w:eastAsia="en-AU"/>
            </w:rPr>
            <w:t>(Australian Bureau of Statistics, 2024)</w:t>
          </w:r>
          <w:r w:rsidR="00473B96" w:rsidRPr="27F845C1">
            <w:rPr>
              <w:rFonts w:eastAsia="Times New Roman" w:cs="Arial"/>
              <w:lang w:eastAsia="en-AU"/>
            </w:rPr>
            <w:fldChar w:fldCharType="end"/>
          </w:r>
        </w:sdtContent>
      </w:sdt>
      <w:r w:rsidR="7DBDDF45" w:rsidRPr="27F845C1">
        <w:rPr>
          <w:rFonts w:eastAsia="Times New Roman" w:cs="Arial"/>
          <w:lang w:eastAsia="en-AU"/>
        </w:rPr>
        <w:t>.</w:t>
      </w:r>
    </w:p>
    <w:p w14:paraId="143EC137" w14:textId="28D0CA49" w:rsidR="009911EB" w:rsidRPr="009911EB" w:rsidRDefault="009911EB" w:rsidP="002963F9">
      <w:pPr>
        <w:spacing w:line="240" w:lineRule="atLeast"/>
        <w:contextualSpacing w:val="0"/>
        <w:rPr>
          <w:rFonts w:eastAsia="Times New Roman" w:cs="Arial"/>
          <w:szCs w:val="22"/>
          <w:lang w:eastAsia="en-AU"/>
        </w:rPr>
      </w:pPr>
      <w:r w:rsidRPr="009911EB">
        <w:rPr>
          <w:rFonts w:eastAsia="Times New Roman" w:cs="Arial"/>
          <w:szCs w:val="22"/>
          <w:lang w:eastAsia="en-AU"/>
        </w:rPr>
        <w:t>Research shows the pressures of caring for family members or friends can result in a negative effect on mental health, stress and lifestyle of the caregiver, when compared with non-caregivers</w:t>
      </w:r>
      <w:r w:rsidR="002A320F">
        <w:rPr>
          <w:rFonts w:eastAsia="Times New Roman" w:cs="Arial"/>
          <w:szCs w:val="22"/>
          <w:lang w:eastAsia="en-AU"/>
        </w:rPr>
        <w:t xml:space="preserve"> </w:t>
      </w:r>
      <w:sdt>
        <w:sdtPr>
          <w:rPr>
            <w:rFonts w:eastAsia="Times New Roman" w:cs="Arial"/>
            <w:szCs w:val="22"/>
            <w:lang w:eastAsia="en-AU"/>
          </w:rPr>
          <w:id w:val="1419288891"/>
          <w:citation/>
        </w:sdtPr>
        <w:sdtEndPr/>
        <w:sdtContent>
          <w:r w:rsidR="002A320F">
            <w:rPr>
              <w:rFonts w:eastAsia="Times New Roman" w:cs="Arial"/>
              <w:szCs w:val="22"/>
              <w:lang w:eastAsia="en-AU"/>
            </w:rPr>
            <w:fldChar w:fldCharType="begin"/>
          </w:r>
          <w:r w:rsidR="002A320F">
            <w:rPr>
              <w:rFonts w:eastAsia="Times New Roman" w:cs="Arial"/>
              <w:szCs w:val="22"/>
              <w:lang w:eastAsia="en-AU"/>
            </w:rPr>
            <w:instrText xml:space="preserve">CITATION Sav24 \l 3081 </w:instrText>
          </w:r>
          <w:r w:rsidR="002A320F">
            <w:rPr>
              <w:rFonts w:eastAsia="Times New Roman" w:cs="Arial"/>
              <w:szCs w:val="22"/>
              <w:lang w:eastAsia="en-AU"/>
            </w:rPr>
            <w:fldChar w:fldCharType="separate"/>
          </w:r>
          <w:r w:rsidR="00490B21" w:rsidRPr="00490B21">
            <w:rPr>
              <w:rFonts w:eastAsia="Times New Roman" w:cs="Arial"/>
              <w:noProof/>
              <w:szCs w:val="22"/>
              <w:lang w:eastAsia="en-AU"/>
            </w:rPr>
            <w:t>(Savage &amp; Bailey, 2004)</w:t>
          </w:r>
          <w:r w:rsidR="002A320F">
            <w:rPr>
              <w:rFonts w:eastAsia="Times New Roman" w:cs="Arial"/>
              <w:szCs w:val="22"/>
              <w:lang w:eastAsia="en-AU"/>
            </w:rPr>
            <w:fldChar w:fldCharType="end"/>
          </w:r>
        </w:sdtContent>
      </w:sdt>
      <w:r w:rsidRPr="009911EB">
        <w:rPr>
          <w:rFonts w:eastAsia="Times New Roman" w:cs="Arial"/>
          <w:szCs w:val="22"/>
          <w:lang w:eastAsia="en-AU"/>
        </w:rPr>
        <w:t>.</w:t>
      </w:r>
      <w:r w:rsidR="0089532E">
        <w:rPr>
          <w:rFonts w:eastAsia="Times New Roman" w:cs="Arial"/>
          <w:szCs w:val="22"/>
          <w:lang w:eastAsia="en-AU"/>
        </w:rPr>
        <w:t xml:space="preserve"> </w:t>
      </w:r>
      <w:r w:rsidR="002A320F">
        <w:rPr>
          <w:rFonts w:eastAsia="Times New Roman" w:cs="Arial"/>
          <w:szCs w:val="22"/>
          <w:lang w:eastAsia="en-AU"/>
        </w:rPr>
        <w:t>Furthermore, a</w:t>
      </w:r>
      <w:r w:rsidRPr="009911EB" w:rsidDel="002A320F">
        <w:rPr>
          <w:rFonts w:eastAsia="Times New Roman" w:cs="Arial"/>
          <w:szCs w:val="22"/>
          <w:lang w:eastAsia="en-AU"/>
        </w:rPr>
        <w:t xml:space="preserve"> </w:t>
      </w:r>
      <w:r w:rsidRPr="009911EB">
        <w:rPr>
          <w:rFonts w:eastAsia="Times New Roman" w:cs="Arial"/>
          <w:szCs w:val="22"/>
          <w:lang w:eastAsia="en-AU"/>
        </w:rPr>
        <w:t>recent survey by Carers Australia identifies that carers in Australia have reported experiencing lower wellbeing and quality of life outcomes than the average Australian</w:t>
      </w:r>
      <w:r w:rsidR="002A320F">
        <w:rPr>
          <w:rFonts w:eastAsia="Times New Roman" w:cs="Arial"/>
          <w:szCs w:val="22"/>
          <w:lang w:eastAsia="en-AU"/>
        </w:rPr>
        <w:t xml:space="preserve"> </w:t>
      </w:r>
      <w:sdt>
        <w:sdtPr>
          <w:rPr>
            <w:rFonts w:eastAsia="Times New Roman" w:cs="Arial"/>
            <w:szCs w:val="22"/>
            <w:lang w:eastAsia="en-AU"/>
          </w:rPr>
          <w:id w:val="385609606"/>
          <w:citation/>
        </w:sdtPr>
        <w:sdtEndPr/>
        <w:sdtContent>
          <w:r w:rsidR="00354C3A">
            <w:rPr>
              <w:rFonts w:eastAsia="Times New Roman" w:cs="Arial"/>
              <w:szCs w:val="22"/>
              <w:lang w:eastAsia="en-AU"/>
            </w:rPr>
            <w:fldChar w:fldCharType="begin"/>
          </w:r>
          <w:r w:rsidR="00354C3A">
            <w:rPr>
              <w:rFonts w:eastAsia="Times New Roman" w:cs="Arial"/>
              <w:szCs w:val="22"/>
              <w:lang w:eastAsia="en-AU"/>
            </w:rPr>
            <w:instrText xml:space="preserve"> CITATION Myl24 \l 3081 </w:instrText>
          </w:r>
          <w:r w:rsidR="00354C3A">
            <w:rPr>
              <w:rFonts w:eastAsia="Times New Roman" w:cs="Arial"/>
              <w:szCs w:val="22"/>
              <w:lang w:eastAsia="en-AU"/>
            </w:rPr>
            <w:fldChar w:fldCharType="separate"/>
          </w:r>
          <w:r w:rsidR="00490B21" w:rsidRPr="00490B21">
            <w:rPr>
              <w:rFonts w:eastAsia="Times New Roman" w:cs="Arial"/>
              <w:noProof/>
              <w:szCs w:val="22"/>
              <w:lang w:eastAsia="en-AU"/>
            </w:rPr>
            <w:t>(Mylek &amp; Schirmer, 2024)</w:t>
          </w:r>
          <w:r w:rsidR="00354C3A">
            <w:rPr>
              <w:rFonts w:eastAsia="Times New Roman" w:cs="Arial"/>
              <w:szCs w:val="22"/>
              <w:lang w:eastAsia="en-AU"/>
            </w:rPr>
            <w:fldChar w:fldCharType="end"/>
          </w:r>
        </w:sdtContent>
      </w:sdt>
      <w:r w:rsidRPr="009911EB">
        <w:rPr>
          <w:rFonts w:eastAsia="Times New Roman" w:cs="Arial"/>
          <w:szCs w:val="22"/>
          <w:lang w:eastAsia="en-AU"/>
        </w:rPr>
        <w:t xml:space="preserve">. </w:t>
      </w:r>
    </w:p>
    <w:p w14:paraId="46872383" w14:textId="784812CD" w:rsidR="009911EB" w:rsidRPr="009911EB" w:rsidRDefault="009911EB" w:rsidP="003123B9">
      <w:pPr>
        <w:spacing w:after="200" w:line="240" w:lineRule="atLeast"/>
        <w:contextualSpacing w:val="0"/>
        <w:rPr>
          <w:rFonts w:eastAsia="Times New Roman" w:cs="Arial"/>
          <w:szCs w:val="22"/>
          <w:lang w:eastAsia="en-AU"/>
        </w:rPr>
      </w:pPr>
      <w:r w:rsidRPr="009911EB">
        <w:rPr>
          <w:rFonts w:eastAsia="Times New Roman" w:cs="Arial"/>
          <w:szCs w:val="22"/>
          <w:lang w:eastAsia="en-AU"/>
        </w:rPr>
        <w:t xml:space="preserve">Lowering exposures </w:t>
      </w:r>
      <w:r w:rsidRPr="009911EB" w:rsidDel="00BA4747">
        <w:rPr>
          <w:rFonts w:eastAsia="Times New Roman" w:cs="Arial"/>
          <w:szCs w:val="22"/>
          <w:lang w:eastAsia="en-AU"/>
        </w:rPr>
        <w:t xml:space="preserve">to </w:t>
      </w:r>
      <w:r w:rsidR="00BA4747">
        <w:rPr>
          <w:rFonts w:eastAsia="Times New Roman" w:cs="Arial"/>
          <w:szCs w:val="22"/>
          <w:lang w:eastAsia="en-AU"/>
        </w:rPr>
        <w:t>the 9 chemicals through the</w:t>
      </w:r>
      <w:r w:rsidRPr="009911EB">
        <w:rPr>
          <w:rFonts w:eastAsia="Times New Roman" w:cs="Arial"/>
          <w:szCs w:val="22"/>
          <w:lang w:eastAsia="en-AU"/>
        </w:rPr>
        <w:t xml:space="preserve"> proposed WELs </w:t>
      </w:r>
      <w:r w:rsidR="00FE06F8">
        <w:rPr>
          <w:rFonts w:eastAsia="Times New Roman" w:cs="Arial"/>
          <w:szCs w:val="22"/>
          <w:lang w:eastAsia="en-AU"/>
        </w:rPr>
        <w:t>is likely to</w:t>
      </w:r>
      <w:r w:rsidRPr="009911EB">
        <w:rPr>
          <w:rFonts w:eastAsia="Times New Roman" w:cs="Arial"/>
          <w:szCs w:val="22"/>
          <w:lang w:eastAsia="en-AU"/>
        </w:rPr>
        <w:t xml:space="preserve"> reduce the likelihood of exposed workers developing an acute or chronic occupational disease or illness that could </w:t>
      </w:r>
      <w:r w:rsidR="00935384">
        <w:rPr>
          <w:rFonts w:eastAsia="Times New Roman" w:cs="Arial"/>
          <w:szCs w:val="22"/>
          <w:lang w:eastAsia="en-AU"/>
        </w:rPr>
        <w:t xml:space="preserve">develop into </w:t>
      </w:r>
      <w:r w:rsidR="00BE5A3F">
        <w:rPr>
          <w:rFonts w:eastAsia="Times New Roman" w:cs="Arial"/>
          <w:szCs w:val="22"/>
          <w:lang w:eastAsia="en-AU"/>
        </w:rPr>
        <w:t xml:space="preserve">or contribute towards </w:t>
      </w:r>
      <w:r w:rsidRPr="009911EB">
        <w:rPr>
          <w:rFonts w:eastAsia="Times New Roman" w:cs="Arial"/>
          <w:szCs w:val="22"/>
          <w:lang w:eastAsia="en-AU"/>
        </w:rPr>
        <w:t xml:space="preserve">a disability. </w:t>
      </w:r>
      <w:r w:rsidR="00F33813">
        <w:rPr>
          <w:rFonts w:eastAsia="Times New Roman" w:cs="Arial"/>
          <w:szCs w:val="22"/>
          <w:lang w:eastAsia="en-AU"/>
        </w:rPr>
        <w:t>This</w:t>
      </w:r>
      <w:r w:rsidRPr="009911EB" w:rsidDel="00F33813">
        <w:rPr>
          <w:rFonts w:eastAsia="Times New Roman" w:cs="Arial"/>
          <w:szCs w:val="22"/>
          <w:lang w:eastAsia="en-AU"/>
        </w:rPr>
        <w:t xml:space="preserve"> will </w:t>
      </w:r>
      <w:r w:rsidRPr="009911EB">
        <w:rPr>
          <w:rFonts w:eastAsia="Times New Roman" w:cs="Arial"/>
          <w:szCs w:val="22"/>
          <w:lang w:eastAsia="en-AU"/>
        </w:rPr>
        <w:t>reduce reliance on support networks</w:t>
      </w:r>
      <w:r w:rsidR="00736419">
        <w:rPr>
          <w:rFonts w:eastAsia="Times New Roman" w:cs="Arial"/>
          <w:szCs w:val="22"/>
          <w:lang w:eastAsia="en-AU"/>
        </w:rPr>
        <w:t>, such as family and friends,</w:t>
      </w:r>
      <w:r w:rsidRPr="009911EB">
        <w:rPr>
          <w:rFonts w:eastAsia="Times New Roman" w:cs="Arial"/>
          <w:szCs w:val="22"/>
          <w:lang w:eastAsia="en-AU"/>
        </w:rPr>
        <w:t xml:space="preserve"> to provide paid or unpaid support and care, and consequently </w:t>
      </w:r>
      <w:r w:rsidR="00B007FC">
        <w:rPr>
          <w:rFonts w:eastAsia="Times New Roman" w:cs="Arial"/>
          <w:szCs w:val="22"/>
          <w:lang w:eastAsia="en-AU"/>
        </w:rPr>
        <w:t>minimise</w:t>
      </w:r>
      <w:r w:rsidRPr="009911EB">
        <w:rPr>
          <w:rFonts w:eastAsia="Times New Roman" w:cs="Arial"/>
          <w:szCs w:val="22"/>
          <w:lang w:eastAsia="en-AU"/>
        </w:rPr>
        <w:t xml:space="preserve"> impacts on the </w:t>
      </w:r>
      <w:r w:rsidR="00B007FC">
        <w:rPr>
          <w:rFonts w:eastAsia="Times New Roman" w:cs="Arial"/>
          <w:szCs w:val="22"/>
          <w:lang w:eastAsia="en-AU"/>
        </w:rPr>
        <w:t xml:space="preserve">potential </w:t>
      </w:r>
      <w:r w:rsidRPr="009911EB">
        <w:rPr>
          <w:rFonts w:eastAsia="Times New Roman" w:cs="Arial"/>
          <w:szCs w:val="22"/>
          <w:lang w:eastAsia="en-AU"/>
        </w:rPr>
        <w:t>caregiver’s mental health, stress, wellbeing and quality of life</w:t>
      </w:r>
      <w:r w:rsidR="00B007FC">
        <w:rPr>
          <w:rFonts w:eastAsia="Times New Roman" w:cs="Arial"/>
          <w:szCs w:val="22"/>
          <w:lang w:eastAsia="en-AU"/>
        </w:rPr>
        <w:t xml:space="preserve"> </w:t>
      </w:r>
      <w:sdt>
        <w:sdtPr>
          <w:rPr>
            <w:rFonts w:eastAsia="Times New Roman" w:cs="Arial"/>
            <w:szCs w:val="22"/>
            <w:lang w:eastAsia="en-AU"/>
          </w:rPr>
          <w:id w:val="1373568472"/>
          <w:citation/>
        </w:sdtPr>
        <w:sdtEndPr/>
        <w:sdtContent>
          <w:r w:rsidR="00BA4747">
            <w:rPr>
              <w:rFonts w:eastAsia="Times New Roman" w:cs="Arial"/>
              <w:szCs w:val="22"/>
              <w:lang w:eastAsia="en-AU"/>
            </w:rPr>
            <w:fldChar w:fldCharType="begin"/>
          </w:r>
          <w:r w:rsidR="00BA4747">
            <w:rPr>
              <w:rFonts w:eastAsia="Times New Roman" w:cs="Arial"/>
              <w:szCs w:val="22"/>
              <w:lang w:eastAsia="en-AU"/>
            </w:rPr>
            <w:instrText xml:space="preserve"> CITATION Sav24 \l 3081 </w:instrText>
          </w:r>
          <w:r w:rsidR="00BA4747">
            <w:rPr>
              <w:rFonts w:eastAsia="Times New Roman" w:cs="Arial"/>
              <w:szCs w:val="22"/>
              <w:lang w:eastAsia="en-AU"/>
            </w:rPr>
            <w:fldChar w:fldCharType="separate"/>
          </w:r>
          <w:r w:rsidR="00490B21" w:rsidRPr="00490B21">
            <w:rPr>
              <w:rFonts w:eastAsia="Times New Roman" w:cs="Arial"/>
              <w:noProof/>
              <w:szCs w:val="22"/>
              <w:lang w:eastAsia="en-AU"/>
            </w:rPr>
            <w:t>(Savage &amp; Bailey, 2004)</w:t>
          </w:r>
          <w:r w:rsidR="00BA4747">
            <w:rPr>
              <w:rFonts w:eastAsia="Times New Roman" w:cs="Arial"/>
              <w:szCs w:val="22"/>
              <w:lang w:eastAsia="en-AU"/>
            </w:rPr>
            <w:fldChar w:fldCharType="end"/>
          </w:r>
        </w:sdtContent>
      </w:sdt>
      <w:r w:rsidR="00365632">
        <w:rPr>
          <w:rFonts w:eastAsia="Times New Roman" w:cs="Arial"/>
          <w:szCs w:val="22"/>
          <w:lang w:eastAsia="en-AU"/>
        </w:rPr>
        <w:t>.</w:t>
      </w:r>
    </w:p>
    <w:p w14:paraId="79941667" w14:textId="2972B813" w:rsidR="000C1FBB" w:rsidRDefault="009911EB" w:rsidP="00B64384">
      <w:pPr>
        <w:keepNext/>
        <w:spacing w:before="240" w:line="240" w:lineRule="atLeast"/>
        <w:contextualSpacing w:val="0"/>
        <w:rPr>
          <w:rFonts w:eastAsiaTheme="majorEastAsia" w:cs="Arial"/>
          <w:b/>
          <w:bCs/>
        </w:rPr>
      </w:pPr>
      <w:r w:rsidRPr="009911EB">
        <w:rPr>
          <w:rFonts w:eastAsiaTheme="majorEastAsia" w:cs="Arial"/>
          <w:b/>
          <w:bCs/>
        </w:rPr>
        <w:t>Opportunities for innovation, new technology and research</w:t>
      </w:r>
      <w:r w:rsidR="00B716A9">
        <w:rPr>
          <w:rFonts w:eastAsiaTheme="majorEastAsia" w:cs="Arial"/>
          <w:b/>
          <w:bCs/>
        </w:rPr>
        <w:t xml:space="preserve"> </w:t>
      </w:r>
    </w:p>
    <w:p w14:paraId="717334B1" w14:textId="77777777" w:rsidR="0027394D" w:rsidRDefault="009911EB" w:rsidP="00222BE0">
      <w:pPr>
        <w:spacing w:before="240" w:line="240" w:lineRule="atLeast"/>
        <w:contextualSpacing w:val="0"/>
        <w:rPr>
          <w:rFonts w:eastAsia="Times New Roman" w:cs="Arial"/>
          <w:szCs w:val="22"/>
          <w:lang w:eastAsia="en-AU"/>
        </w:rPr>
      </w:pPr>
      <w:r w:rsidRPr="009911EB">
        <w:rPr>
          <w:rFonts w:eastAsia="Times New Roman" w:cs="Arial"/>
          <w:szCs w:val="22"/>
          <w:lang w:eastAsia="en-AU"/>
        </w:rPr>
        <w:t>The proposed changes in WELs for the 9 chemicals can prompt job creation in the safety sector, such as advancements in controls like</w:t>
      </w:r>
      <w:r w:rsidRPr="009911EB" w:rsidDel="005A3ED7">
        <w:rPr>
          <w:rFonts w:eastAsia="Times New Roman" w:cs="Arial"/>
          <w:szCs w:val="22"/>
          <w:lang w:eastAsia="en-AU"/>
        </w:rPr>
        <w:t xml:space="preserve"> </w:t>
      </w:r>
      <w:r w:rsidRPr="009911EB">
        <w:rPr>
          <w:rFonts w:eastAsia="Times New Roman" w:cs="Arial"/>
          <w:szCs w:val="22"/>
          <w:lang w:eastAsia="en-AU"/>
        </w:rPr>
        <w:t xml:space="preserve">ventilation and PPE (i.e. affordability, opportunities for new or for the expansion of training and education for the new industry requirements). </w:t>
      </w:r>
    </w:p>
    <w:p w14:paraId="16449A12" w14:textId="4A881398" w:rsidR="00D44E0A" w:rsidRDefault="0023345B" w:rsidP="006B3DA3">
      <w:pPr>
        <w:spacing w:before="240" w:line="240" w:lineRule="atLeast"/>
        <w:contextualSpacing w:val="0"/>
        <w:rPr>
          <w:rFonts w:eastAsia="Times New Roman" w:cs="Arial"/>
          <w:szCs w:val="22"/>
          <w:lang w:eastAsia="en-AU"/>
        </w:rPr>
      </w:pPr>
      <w:r>
        <w:rPr>
          <w:rFonts w:eastAsia="Times New Roman" w:cs="Arial"/>
          <w:szCs w:val="22"/>
          <w:lang w:eastAsia="en-AU"/>
        </w:rPr>
        <w:lastRenderedPageBreak/>
        <w:t xml:space="preserve">Stakeholders also suggested that the lowered WELs would help drive </w:t>
      </w:r>
      <w:r w:rsidR="007F5AE2">
        <w:rPr>
          <w:rFonts w:eastAsia="Times New Roman" w:cs="Arial"/>
          <w:szCs w:val="22"/>
          <w:lang w:eastAsia="en-AU"/>
        </w:rPr>
        <w:t>innovation into alternative safer chemicals</w:t>
      </w:r>
      <w:r w:rsidR="00F2411C">
        <w:rPr>
          <w:rFonts w:eastAsia="Times New Roman" w:cs="Arial"/>
          <w:szCs w:val="22"/>
          <w:lang w:eastAsia="en-AU"/>
        </w:rPr>
        <w:t xml:space="preserve"> to use in place of </w:t>
      </w:r>
      <w:r w:rsidR="00491CE4">
        <w:rPr>
          <w:rFonts w:eastAsia="Times New Roman" w:cs="Arial"/>
          <w:szCs w:val="22"/>
          <w:lang w:eastAsia="en-AU"/>
        </w:rPr>
        <w:t xml:space="preserve">some of </w:t>
      </w:r>
      <w:r w:rsidR="00F2411C">
        <w:rPr>
          <w:rFonts w:eastAsia="Times New Roman" w:cs="Arial"/>
          <w:szCs w:val="22"/>
          <w:lang w:eastAsia="en-AU"/>
        </w:rPr>
        <w:t>the 9 chemicals</w:t>
      </w:r>
      <w:r w:rsidR="00491CE4">
        <w:rPr>
          <w:rFonts w:eastAsia="Times New Roman" w:cs="Arial"/>
          <w:szCs w:val="22"/>
          <w:lang w:eastAsia="en-AU"/>
        </w:rPr>
        <w:t xml:space="preserve"> (i.e., </w:t>
      </w:r>
      <w:r w:rsidR="00B072FF">
        <w:rPr>
          <w:rFonts w:eastAsia="Times New Roman" w:cs="Arial"/>
          <w:szCs w:val="22"/>
          <w:lang w:eastAsia="en-AU"/>
        </w:rPr>
        <w:t>benzene, chlorine, copper and formaldehyde</w:t>
      </w:r>
      <w:r w:rsidR="00491CE4">
        <w:rPr>
          <w:rFonts w:eastAsia="Times New Roman" w:cs="Arial"/>
          <w:szCs w:val="22"/>
          <w:lang w:eastAsia="en-AU"/>
        </w:rPr>
        <w:t>)</w:t>
      </w:r>
      <w:r w:rsidR="00B072FF">
        <w:rPr>
          <w:rFonts w:eastAsia="Times New Roman" w:cs="Arial"/>
          <w:szCs w:val="22"/>
          <w:lang w:eastAsia="en-AU"/>
        </w:rPr>
        <w:t xml:space="preserve">. Some examples are provided in the respective chemical-specific sections. </w:t>
      </w:r>
      <w:r w:rsidR="00B8632E">
        <w:rPr>
          <w:rFonts w:eastAsia="Times New Roman" w:cs="Arial"/>
          <w:szCs w:val="22"/>
          <w:lang w:eastAsia="en-AU"/>
        </w:rPr>
        <w:t xml:space="preserve"> </w:t>
      </w:r>
    </w:p>
    <w:p w14:paraId="629C1DC1" w14:textId="3FF1F55A" w:rsidR="000C1FBB" w:rsidRDefault="00F44736" w:rsidP="006B3DA3">
      <w:pPr>
        <w:spacing w:before="240" w:line="240" w:lineRule="atLeast"/>
        <w:contextualSpacing w:val="0"/>
        <w:rPr>
          <w:rFonts w:eastAsiaTheme="majorEastAsia" w:cs="Arial"/>
          <w:b/>
          <w:bCs/>
        </w:rPr>
      </w:pPr>
      <w:r w:rsidRPr="00F44736">
        <w:rPr>
          <w:rFonts w:eastAsiaTheme="majorEastAsia" w:cs="Arial"/>
          <w:b/>
          <w:bCs/>
        </w:rPr>
        <w:t>Ensure Australia is consistent with international best practice</w:t>
      </w:r>
      <w:bookmarkStart w:id="51" w:name="_Toc196902040"/>
      <w:bookmarkStart w:id="52" w:name="_Toc197676372"/>
      <w:bookmarkStart w:id="53" w:name="_Toc196902041"/>
      <w:bookmarkStart w:id="54" w:name="_Toc197676373"/>
      <w:bookmarkStart w:id="55" w:name="_Toc196902042"/>
      <w:bookmarkStart w:id="56" w:name="_Toc197676374"/>
      <w:bookmarkStart w:id="57" w:name="_Toc194510000"/>
      <w:bookmarkStart w:id="58" w:name="_Toc196204606"/>
      <w:bookmarkEnd w:id="51"/>
      <w:bookmarkEnd w:id="52"/>
      <w:bookmarkEnd w:id="53"/>
      <w:bookmarkEnd w:id="54"/>
      <w:bookmarkEnd w:id="55"/>
      <w:bookmarkEnd w:id="56"/>
    </w:p>
    <w:p w14:paraId="4A504B1A" w14:textId="141A449A" w:rsidR="00F44736" w:rsidRDefault="007F3BDE" w:rsidP="006B3DA3">
      <w:pPr>
        <w:spacing w:before="240" w:line="240" w:lineRule="atLeast"/>
        <w:contextualSpacing w:val="0"/>
      </w:pPr>
      <w:r>
        <w:t xml:space="preserve">The </w:t>
      </w:r>
      <w:r w:rsidR="00110678">
        <w:t>approach to developing the health</w:t>
      </w:r>
      <w:r w:rsidR="00C709E4">
        <w:t>-</w:t>
      </w:r>
      <w:r w:rsidR="00110678">
        <w:t xml:space="preserve">based </w:t>
      </w:r>
      <w:r w:rsidR="006C7B57">
        <w:t>exposure limits</w:t>
      </w:r>
      <w:r w:rsidR="00110678">
        <w:t xml:space="preserve"> </w:t>
      </w:r>
      <w:r w:rsidR="008E1388">
        <w:t xml:space="preserve">will </w:t>
      </w:r>
      <w:r w:rsidR="00BD7478">
        <w:t xml:space="preserve">ensure </w:t>
      </w:r>
      <w:r w:rsidR="008E1388">
        <w:t xml:space="preserve">Australia’s </w:t>
      </w:r>
      <w:r w:rsidR="006C7B57">
        <w:t xml:space="preserve">WEL </w:t>
      </w:r>
      <w:r w:rsidR="00BD7478">
        <w:t>for these 9 chemicals i</w:t>
      </w:r>
      <w:r w:rsidR="008E1388">
        <w:t>s consistent with international</w:t>
      </w:r>
      <w:r w:rsidR="000D269E">
        <w:t xml:space="preserve"> best practice</w:t>
      </w:r>
      <w:r w:rsidR="00E52865">
        <w:t xml:space="preserve"> </w:t>
      </w:r>
      <w:r w:rsidR="00371251">
        <w:t>and</w:t>
      </w:r>
      <w:r w:rsidR="00E52865">
        <w:t xml:space="preserve"> </w:t>
      </w:r>
      <w:r w:rsidR="00371251">
        <w:t xml:space="preserve">reflects </w:t>
      </w:r>
      <w:r w:rsidR="00E52865">
        <w:t xml:space="preserve">Australia’s commitment to </w:t>
      </w:r>
      <w:r w:rsidR="00371251">
        <w:t>international conventions for hazardous chemicals</w:t>
      </w:r>
      <w:r w:rsidR="008E1388">
        <w:t xml:space="preserve">. </w:t>
      </w:r>
    </w:p>
    <w:p w14:paraId="2C2F4766" w14:textId="6383974D" w:rsidR="009911EB" w:rsidRPr="009911EB" w:rsidRDefault="009911EB" w:rsidP="00C43750">
      <w:pPr>
        <w:pStyle w:val="SWAHeading3"/>
      </w:pPr>
      <w:r w:rsidRPr="00C43750">
        <w:t>Costs</w:t>
      </w:r>
      <w:bookmarkEnd w:id="57"/>
      <w:bookmarkEnd w:id="58"/>
    </w:p>
    <w:p w14:paraId="256940B0" w14:textId="1396FF01" w:rsidR="00BC3DBD" w:rsidRDefault="007D55FB" w:rsidP="00BC3DBD">
      <w:pPr>
        <w:contextualSpacing w:val="0"/>
        <w:rPr>
          <w:lang w:eastAsia="en-AU"/>
        </w:rPr>
      </w:pPr>
      <w:r>
        <w:rPr>
          <w:lang w:eastAsia="en-AU"/>
        </w:rPr>
        <w:t xml:space="preserve">The analysis </w:t>
      </w:r>
      <w:r w:rsidR="00BC3DBD">
        <w:rPr>
          <w:lang w:eastAsia="en-AU"/>
        </w:rPr>
        <w:t>uses two key estimation approaches to estimate the costs to industry of the proposed WELs:</w:t>
      </w:r>
    </w:p>
    <w:p w14:paraId="51E36FA9" w14:textId="73422307" w:rsidR="00BC3DBD" w:rsidRDefault="00BC3DBD" w:rsidP="00B57E6C">
      <w:pPr>
        <w:pStyle w:val="ListParagraph"/>
        <w:numPr>
          <w:ilvl w:val="2"/>
          <w:numId w:val="51"/>
        </w:numPr>
        <w:ind w:left="709"/>
        <w:contextualSpacing w:val="0"/>
        <w:rPr>
          <w:lang w:eastAsia="en-AU"/>
        </w:rPr>
      </w:pPr>
      <w:r>
        <w:rPr>
          <w:lang w:eastAsia="en-AU"/>
        </w:rPr>
        <w:t xml:space="preserve">Standardised costs use a standardised set of inputs to estimate the costs to business of the proposed WEL. These costs are estimated using the inputs and methodology from </w:t>
      </w:r>
      <w:r w:rsidR="00A87E99">
        <w:rPr>
          <w:lang w:eastAsia="en-AU"/>
        </w:rPr>
        <w:t xml:space="preserve">the </w:t>
      </w:r>
      <w:hyperlink r:id="rId32" w:history="1">
        <w:r w:rsidR="00A87E99" w:rsidRPr="00A87E99">
          <w:rPr>
            <w:rStyle w:val="Hyperlink"/>
            <w:lang w:eastAsia="en-AU"/>
          </w:rPr>
          <w:t>WES Review Decision RIS</w:t>
        </w:r>
      </w:hyperlink>
      <w:r w:rsidR="00C32FC2">
        <w:rPr>
          <w:lang w:eastAsia="en-AU"/>
        </w:rPr>
        <w:t>, and</w:t>
      </w:r>
      <w:r>
        <w:rPr>
          <w:lang w:eastAsia="en-AU"/>
        </w:rPr>
        <w:t xml:space="preserve"> stakeholder input via public submissions, with all cost inputs escalated to June 2024.</w:t>
      </w:r>
      <w:r w:rsidR="00EF2A8A">
        <w:rPr>
          <w:lang w:eastAsia="en-AU"/>
        </w:rPr>
        <w:t xml:space="preserve"> It included costs such as:</w:t>
      </w:r>
    </w:p>
    <w:p w14:paraId="16CCE1E9" w14:textId="17CF4E95" w:rsidR="00ED792F" w:rsidRPr="00ED792F" w:rsidRDefault="00931D22" w:rsidP="00A2768E">
      <w:pPr>
        <w:pStyle w:val="ListParagraph"/>
        <w:numPr>
          <w:ilvl w:val="3"/>
          <w:numId w:val="87"/>
        </w:numPr>
        <w:contextualSpacing w:val="0"/>
        <w:rPr>
          <w:lang w:eastAsia="en-AU"/>
        </w:rPr>
      </w:pPr>
      <w:r>
        <w:rPr>
          <w:lang w:eastAsia="en-AU"/>
        </w:rPr>
        <w:t xml:space="preserve">Control measure costs </w:t>
      </w:r>
      <w:r w:rsidR="00451084">
        <w:rPr>
          <w:lang w:eastAsia="en-AU"/>
        </w:rPr>
        <w:t xml:space="preserve">– estimated </w:t>
      </w:r>
      <w:r w:rsidR="00EA32D1">
        <w:rPr>
          <w:lang w:eastAsia="en-AU"/>
        </w:rPr>
        <w:t xml:space="preserve">increased costs to businesses related to </w:t>
      </w:r>
      <w:r w:rsidR="00ED792F" w:rsidRPr="00ED792F">
        <w:rPr>
          <w:lang w:eastAsia="en-AU"/>
        </w:rPr>
        <w:t>additional expenditure from implementing control measures to comply with the reduced WEL for the nine chemicals. Control measure costs include isolation controls, engineering controls, administrative controls and PPE.</w:t>
      </w:r>
    </w:p>
    <w:p w14:paraId="258FD508" w14:textId="2B51D326" w:rsidR="00451084" w:rsidRPr="00451084" w:rsidRDefault="00451084" w:rsidP="00A2768E">
      <w:pPr>
        <w:pStyle w:val="ListParagraph"/>
        <w:numPr>
          <w:ilvl w:val="3"/>
          <w:numId w:val="87"/>
        </w:numPr>
        <w:contextualSpacing w:val="0"/>
        <w:rPr>
          <w:lang w:eastAsia="en-AU"/>
        </w:rPr>
      </w:pPr>
      <w:r w:rsidRPr="00451084">
        <w:rPr>
          <w:lang w:eastAsia="en-AU"/>
        </w:rPr>
        <w:t xml:space="preserve">Management practice costs </w:t>
      </w:r>
      <w:r w:rsidR="00EA32D1">
        <w:rPr>
          <w:lang w:eastAsia="en-AU"/>
        </w:rPr>
        <w:t xml:space="preserve">– the </w:t>
      </w:r>
      <w:r w:rsidRPr="00451084">
        <w:rPr>
          <w:lang w:eastAsia="en-AU"/>
        </w:rPr>
        <w:t>estimated increased costs to businesses related to additional expenditure on measures that support the business to comply with the reduced WEL for the nine chemicals. Management practice costs include air monitoring and occupational hygienist costs.</w:t>
      </w:r>
    </w:p>
    <w:p w14:paraId="308A4B08" w14:textId="4E506560" w:rsidR="007D55FB" w:rsidRDefault="00BC3DBD" w:rsidP="00A2768E">
      <w:pPr>
        <w:pStyle w:val="ListParagraph"/>
        <w:numPr>
          <w:ilvl w:val="2"/>
          <w:numId w:val="87"/>
        </w:numPr>
        <w:ind w:left="709"/>
        <w:contextualSpacing w:val="0"/>
        <w:rPr>
          <w:lang w:eastAsia="en-AU"/>
        </w:rPr>
      </w:pPr>
      <w:r>
        <w:rPr>
          <w:lang w:eastAsia="en-AU"/>
        </w:rPr>
        <w:t>Specific costs use chemical and/or industry-specific information to estimate the costs to business of the proposed WEL. These costs are estimated using information obtained through stakeholder engagement.</w:t>
      </w:r>
    </w:p>
    <w:p w14:paraId="0D4E62E2" w14:textId="05FF63CD" w:rsidR="00580155" w:rsidRDefault="009911EB" w:rsidP="009911EB">
      <w:pPr>
        <w:contextualSpacing w:val="0"/>
        <w:rPr>
          <w:lang w:eastAsia="en-AU"/>
        </w:rPr>
      </w:pPr>
      <w:r w:rsidRPr="009911EB">
        <w:rPr>
          <w:lang w:eastAsia="en-AU"/>
        </w:rPr>
        <w:t>A summary of costs for each of the 9 chemicals is found in</w:t>
      </w:r>
      <w:r w:rsidR="00815450">
        <w:rPr>
          <w:lang w:eastAsia="en-AU"/>
        </w:rPr>
        <w:t xml:space="preserve"> </w:t>
      </w:r>
      <w:r w:rsidR="00815450">
        <w:rPr>
          <w:lang w:eastAsia="en-AU"/>
        </w:rPr>
        <w:fldChar w:fldCharType="begin"/>
      </w:r>
      <w:r w:rsidR="00815450">
        <w:rPr>
          <w:lang w:eastAsia="en-AU"/>
        </w:rPr>
        <w:instrText xml:space="preserve"> REF _Ref199844686 \h </w:instrText>
      </w:r>
      <w:r w:rsidR="00815450">
        <w:rPr>
          <w:lang w:eastAsia="en-AU"/>
        </w:rPr>
      </w:r>
      <w:r w:rsidR="00815450">
        <w:rPr>
          <w:lang w:eastAsia="en-AU"/>
        </w:rPr>
        <w:fldChar w:fldCharType="separate"/>
      </w:r>
      <w:r w:rsidR="00A002F4">
        <w:t xml:space="preserve">Table </w:t>
      </w:r>
      <w:r w:rsidR="00A002F4">
        <w:rPr>
          <w:noProof/>
        </w:rPr>
        <w:t>5</w:t>
      </w:r>
      <w:r w:rsidR="00815450">
        <w:rPr>
          <w:lang w:eastAsia="en-AU"/>
        </w:rPr>
        <w:fldChar w:fldCharType="end"/>
      </w:r>
      <w:r w:rsidR="00A87E99">
        <w:rPr>
          <w:lang w:eastAsia="en-AU"/>
        </w:rPr>
        <w:t>.</w:t>
      </w:r>
      <w:r w:rsidRPr="009911EB">
        <w:rPr>
          <w:lang w:eastAsia="en-AU"/>
        </w:rPr>
        <w:t xml:space="preserve"> The total incremental costs associated with the proposed WELs represent the sum over the 10-year appraisal period (FY27 to FY36) and are presented in real, discounted present value terms. The 10-year appraisal period was assumed to begin in the financial year when the WEL list would come into effect (1 December 2026). The average annual costs represent the average over the 10-year appraisal period and are presented in real, undiscounted terms.</w:t>
      </w:r>
      <w:r w:rsidR="00580155">
        <w:rPr>
          <w:lang w:eastAsia="en-AU"/>
        </w:rPr>
        <w:t xml:space="preserve"> </w:t>
      </w:r>
    </w:p>
    <w:p w14:paraId="2EB04D65" w14:textId="1926C4BA" w:rsidR="009911EB" w:rsidRPr="009911EB" w:rsidRDefault="009911EB" w:rsidP="009911EB">
      <w:pPr>
        <w:contextualSpacing w:val="0"/>
        <w:rPr>
          <w:lang w:eastAsia="en-AU"/>
        </w:rPr>
      </w:pPr>
      <w:r w:rsidRPr="009911EB">
        <w:rPr>
          <w:lang w:eastAsia="en-AU"/>
        </w:rPr>
        <w:t>The costs for RCS are split between all industries (excluding mining) and the mining industry only</w:t>
      </w:r>
      <w:r w:rsidR="00B83F25">
        <w:rPr>
          <w:lang w:eastAsia="en-AU"/>
        </w:rPr>
        <w:t>, as outlined above</w:t>
      </w:r>
      <w:r w:rsidRPr="009911EB">
        <w:rPr>
          <w:lang w:eastAsia="en-AU"/>
        </w:rPr>
        <w:t xml:space="preserve">.  </w:t>
      </w:r>
    </w:p>
    <w:p w14:paraId="39B1D0E5" w14:textId="4E93ED9C" w:rsidR="00C31460" w:rsidRPr="00993B73" w:rsidRDefault="00752A28" w:rsidP="001D3E97">
      <w:pPr>
        <w:contextualSpacing w:val="0"/>
        <w:rPr>
          <w:lang w:eastAsia="en-AU"/>
        </w:rPr>
      </w:pPr>
      <w:r>
        <w:rPr>
          <w:lang w:eastAsia="en-AU"/>
        </w:rPr>
        <w:t>To support an analysis of cost implications</w:t>
      </w:r>
      <w:r w:rsidR="008D7DAD">
        <w:rPr>
          <w:lang w:eastAsia="en-AU"/>
        </w:rPr>
        <w:t xml:space="preserve"> for businesses</w:t>
      </w:r>
      <w:r>
        <w:rPr>
          <w:lang w:eastAsia="en-AU"/>
        </w:rPr>
        <w:t xml:space="preserve">, costs have been broken down </w:t>
      </w:r>
      <w:r w:rsidR="006C4F98">
        <w:rPr>
          <w:lang w:eastAsia="en-AU"/>
        </w:rPr>
        <w:t xml:space="preserve">to provide an estimate of costs across various </w:t>
      </w:r>
      <w:r>
        <w:rPr>
          <w:lang w:eastAsia="en-AU"/>
        </w:rPr>
        <w:t xml:space="preserve">size of business. </w:t>
      </w:r>
      <w:r w:rsidR="00C31460" w:rsidRPr="00993B73">
        <w:rPr>
          <w:lang w:eastAsia="en-AU"/>
        </w:rPr>
        <w:t>The size of business is categorised in line with ABS classification, as follows:</w:t>
      </w:r>
    </w:p>
    <w:p w14:paraId="75A7AF1D" w14:textId="77777777" w:rsidR="00C31460" w:rsidRPr="00993B73" w:rsidRDefault="00C31460" w:rsidP="00A2768E">
      <w:pPr>
        <w:pStyle w:val="ListParagraph"/>
        <w:numPr>
          <w:ilvl w:val="0"/>
          <w:numId w:val="88"/>
        </w:numPr>
        <w:suppressAutoHyphens/>
        <w:spacing w:line="259" w:lineRule="auto"/>
        <w:contextualSpacing w:val="0"/>
      </w:pPr>
      <w:r w:rsidRPr="00993B73">
        <w:t>Small businesses employ 1 to 19 people</w:t>
      </w:r>
    </w:p>
    <w:p w14:paraId="3CF5E824" w14:textId="77777777" w:rsidR="00C31460" w:rsidRPr="00993B73" w:rsidRDefault="00C31460" w:rsidP="00A2768E">
      <w:pPr>
        <w:pStyle w:val="ListParagraph"/>
        <w:numPr>
          <w:ilvl w:val="0"/>
          <w:numId w:val="88"/>
        </w:numPr>
        <w:suppressAutoHyphens/>
        <w:spacing w:line="259" w:lineRule="auto"/>
        <w:contextualSpacing w:val="0"/>
      </w:pPr>
      <w:r w:rsidRPr="00993B73">
        <w:t>Medium businesses employ 20 to 199 people</w:t>
      </w:r>
    </w:p>
    <w:p w14:paraId="40D7899D" w14:textId="7B02F8D6" w:rsidR="00C31460" w:rsidRDefault="00C31460" w:rsidP="00A2768E">
      <w:pPr>
        <w:pStyle w:val="ListParagraph"/>
        <w:numPr>
          <w:ilvl w:val="0"/>
          <w:numId w:val="88"/>
        </w:numPr>
        <w:suppressAutoHyphens/>
        <w:spacing w:line="259" w:lineRule="auto"/>
        <w:contextualSpacing w:val="0"/>
      </w:pPr>
      <w:r w:rsidRPr="00993B73">
        <w:t>Large businesses employ 200 or more people</w:t>
      </w:r>
      <w:r w:rsidR="002A71B5">
        <w:t xml:space="preserve"> </w:t>
      </w:r>
      <w:sdt>
        <w:sdtPr>
          <w:id w:val="114959240"/>
          <w:citation/>
        </w:sdtPr>
        <w:sdtEndPr/>
        <w:sdtContent>
          <w:r w:rsidR="002A71B5">
            <w:fldChar w:fldCharType="begin"/>
          </w:r>
          <w:r w:rsidR="002A71B5">
            <w:instrText xml:space="preserve"> CITATION Aus18 \l 3081 </w:instrText>
          </w:r>
          <w:r w:rsidR="002A71B5">
            <w:fldChar w:fldCharType="separate"/>
          </w:r>
          <w:r w:rsidR="00490B21">
            <w:rPr>
              <w:noProof/>
            </w:rPr>
            <w:t>(Australian Bureau of Statistics, 2018)</w:t>
          </w:r>
          <w:r w:rsidR="002A71B5">
            <w:fldChar w:fldCharType="end"/>
          </w:r>
        </w:sdtContent>
      </w:sdt>
      <w:r w:rsidRPr="00993B73">
        <w:t>.</w:t>
      </w:r>
      <w:r w:rsidR="00604171" w:rsidRPr="00993B73" w:rsidDel="00604171">
        <w:rPr>
          <w:rStyle w:val="FootnoteReference"/>
        </w:rPr>
        <w:t xml:space="preserve"> </w:t>
      </w:r>
    </w:p>
    <w:p w14:paraId="068518F9" w14:textId="0D370C56" w:rsidR="00544A55" w:rsidRPr="009911EB" w:rsidRDefault="00974250" w:rsidP="00371251">
      <w:pPr>
        <w:contextualSpacing w:val="0"/>
        <w:rPr>
          <w:lang w:eastAsia="en-AU"/>
        </w:rPr>
      </w:pPr>
      <w:r>
        <w:rPr>
          <w:lang w:eastAsia="en-AU"/>
        </w:rPr>
        <w:lastRenderedPageBreak/>
        <w:t>Per stakeholder feedback, i</w:t>
      </w:r>
      <w:r w:rsidR="00544A55">
        <w:rPr>
          <w:lang w:eastAsia="en-AU"/>
        </w:rPr>
        <w:t>t is expected that a</w:t>
      </w:r>
      <w:r w:rsidR="00544A55" w:rsidRPr="00580155">
        <w:rPr>
          <w:lang w:eastAsia="en-AU"/>
        </w:rPr>
        <w:t xml:space="preserve">ctual costs to business are likely to be skewed towards the initial years of the reform, for example, upfront capital investment in higher-order control measures such as isolation and engineering controls. </w:t>
      </w:r>
    </w:p>
    <w:p w14:paraId="1DE7ABB5" w14:textId="374FBE54" w:rsidR="001E58C7" w:rsidRDefault="001E58C7" w:rsidP="00604171">
      <w:pPr>
        <w:pStyle w:val="Caption"/>
      </w:pPr>
      <w:bookmarkStart w:id="59" w:name="_Ref199844686"/>
      <w:r>
        <w:t xml:space="preserve">Table </w:t>
      </w:r>
      <w:fldSimple w:instr=" SEQ Table \* ARABIC ">
        <w:r w:rsidR="00A002F4">
          <w:rPr>
            <w:noProof/>
          </w:rPr>
          <w:t>5</w:t>
        </w:r>
      </w:fldSimple>
      <w:bookmarkEnd w:id="59"/>
      <w:r>
        <w:t xml:space="preserve"> - </w:t>
      </w:r>
      <w:r w:rsidRPr="004F614B">
        <w:t>Summary of total incremental costs estimated and average cost per business per annum by business size, FY27 to FY36</w:t>
      </w:r>
    </w:p>
    <w:tbl>
      <w:tblPr>
        <w:tblStyle w:val="GridTable4-Accent1"/>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972"/>
        <w:gridCol w:w="2410"/>
        <w:gridCol w:w="992"/>
        <w:gridCol w:w="1276"/>
        <w:gridCol w:w="1417"/>
      </w:tblGrid>
      <w:tr w:rsidR="002C010D" w:rsidRPr="009911EB" w14:paraId="71B3A6A4" w14:textId="77777777" w:rsidTr="004F2988">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tcPr>
          <w:p w14:paraId="60B9CB69" w14:textId="528B0388" w:rsidR="009911EB" w:rsidRPr="009911EB" w:rsidRDefault="009911EB" w:rsidP="005C2402">
            <w:pPr>
              <w:keepNext/>
              <w:keepLines/>
              <w:spacing w:after="0" w:line="240" w:lineRule="atLeast"/>
              <w:contextualSpacing w:val="0"/>
              <w:rPr>
                <w:rFonts w:eastAsia="Times New Roman"/>
                <w:lang w:eastAsia="en-AU"/>
              </w:rPr>
            </w:pPr>
            <w:r w:rsidRPr="009911EB">
              <w:rPr>
                <w:rFonts w:eastAsia="Times New Roman"/>
                <w:lang w:eastAsia="en-AU"/>
              </w:rPr>
              <w:t>Chemical</w:t>
            </w:r>
          </w:p>
        </w:tc>
        <w:tc>
          <w:tcPr>
            <w:tcW w:w="0" w:type="dxa"/>
            <w:vMerge w:val="restart"/>
            <w:tcBorders>
              <w:top w:val="none" w:sz="0" w:space="0" w:color="auto"/>
              <w:left w:val="none" w:sz="0" w:space="0" w:color="auto"/>
              <w:bottom w:val="none" w:sz="0" w:space="0" w:color="auto"/>
              <w:right w:val="none" w:sz="0" w:space="0" w:color="auto"/>
            </w:tcBorders>
          </w:tcPr>
          <w:p w14:paraId="48FE44D7" w14:textId="0B8463F3" w:rsidR="009911EB" w:rsidRPr="009911EB" w:rsidRDefault="009911EB" w:rsidP="005C2402">
            <w:pPr>
              <w:keepNext/>
              <w:keepLines/>
              <w:spacing w:after="0" w:line="240" w:lineRule="atLeast"/>
              <w:contextualSpacing w:val="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Total incremental costs ($ millions, discounted)</w:t>
            </w:r>
          </w:p>
        </w:tc>
        <w:tc>
          <w:tcPr>
            <w:tcW w:w="0" w:type="dxa"/>
            <w:gridSpan w:val="3"/>
            <w:tcBorders>
              <w:top w:val="none" w:sz="0" w:space="0" w:color="auto"/>
              <w:left w:val="none" w:sz="0" w:space="0" w:color="auto"/>
              <w:bottom w:val="none" w:sz="0" w:space="0" w:color="auto"/>
              <w:right w:val="none" w:sz="0" w:space="0" w:color="auto"/>
            </w:tcBorders>
          </w:tcPr>
          <w:p w14:paraId="5DA3D873" w14:textId="77777777" w:rsidR="009911EB" w:rsidRPr="009911EB" w:rsidRDefault="009911EB" w:rsidP="005C2402">
            <w:pPr>
              <w:keepNext/>
              <w:keepLines/>
              <w:spacing w:after="0" w:line="240" w:lineRule="atLeast"/>
              <w:contextualSpacing w:val="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Average cost per business p.a. ($, undiscounted)</w:t>
            </w:r>
          </w:p>
        </w:tc>
      </w:tr>
      <w:tr w:rsidR="00551FFE" w:rsidRPr="009911EB" w14:paraId="3994F044" w14:textId="77777777" w:rsidTr="004F2988">
        <w:trPr>
          <w:trHeight w:val="145"/>
        </w:trPr>
        <w:tc>
          <w:tcPr>
            <w:cnfStyle w:val="001000000000" w:firstRow="0" w:lastRow="0" w:firstColumn="1" w:lastColumn="0" w:oddVBand="0" w:evenVBand="0" w:oddHBand="0" w:evenHBand="0" w:firstRowFirstColumn="0" w:firstRowLastColumn="0" w:lastRowFirstColumn="0" w:lastRowLastColumn="0"/>
            <w:tcW w:w="0" w:type="dxa"/>
            <w:vMerge/>
          </w:tcPr>
          <w:p w14:paraId="140CCCE1" w14:textId="77777777" w:rsidR="009911EB" w:rsidRPr="009911EB" w:rsidRDefault="009911EB" w:rsidP="005C2402">
            <w:pPr>
              <w:keepNext/>
              <w:keepLines/>
              <w:spacing w:after="0" w:line="240" w:lineRule="atLeast"/>
              <w:contextualSpacing w:val="0"/>
              <w:rPr>
                <w:rFonts w:eastAsia="Times New Roman"/>
                <w:lang w:eastAsia="en-AU"/>
              </w:rPr>
            </w:pPr>
          </w:p>
        </w:tc>
        <w:tc>
          <w:tcPr>
            <w:tcW w:w="0" w:type="dxa"/>
            <w:vMerge/>
          </w:tcPr>
          <w:p w14:paraId="4A1C8B69" w14:textId="77777777" w:rsidR="009911EB" w:rsidRPr="009911EB" w:rsidRDefault="009911EB" w:rsidP="005C2402">
            <w:pPr>
              <w:keepNext/>
              <w:keepLines/>
              <w:spacing w:after="0" w:line="240" w:lineRule="atLeast"/>
              <w:contextualSpacing w:val="0"/>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eastAsia="en-AU"/>
              </w:rPr>
            </w:pPr>
          </w:p>
        </w:tc>
        <w:tc>
          <w:tcPr>
            <w:tcW w:w="0" w:type="dxa"/>
            <w:shd w:val="clear" w:color="auto" w:fill="91ACEC" w:themeFill="accent1" w:themeFillTint="99"/>
          </w:tcPr>
          <w:p w14:paraId="441D1369" w14:textId="77777777" w:rsidR="009911EB" w:rsidRPr="009911EB" w:rsidRDefault="009911EB" w:rsidP="00343921">
            <w:pPr>
              <w:keepNext/>
              <w:keepLines/>
              <w:spacing w:after="0" w:line="240" w:lineRule="atLeast"/>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eastAsia="en-AU"/>
              </w:rPr>
            </w:pPr>
            <w:r w:rsidRPr="009911EB">
              <w:rPr>
                <w:rFonts w:eastAsia="Times New Roman"/>
                <w:b/>
                <w:bCs/>
                <w:color w:val="FFFFFF" w:themeColor="background1"/>
                <w:lang w:eastAsia="en-AU"/>
              </w:rPr>
              <w:t>Small</w:t>
            </w:r>
          </w:p>
        </w:tc>
        <w:tc>
          <w:tcPr>
            <w:tcW w:w="0" w:type="dxa"/>
            <w:shd w:val="clear" w:color="auto" w:fill="91ACEC" w:themeFill="accent1" w:themeFillTint="99"/>
          </w:tcPr>
          <w:p w14:paraId="2A7E7BF0" w14:textId="77777777" w:rsidR="009911EB" w:rsidRPr="009911EB" w:rsidRDefault="009911EB" w:rsidP="00343921">
            <w:pPr>
              <w:keepNext/>
              <w:keepLines/>
              <w:spacing w:after="0" w:line="240" w:lineRule="atLeast"/>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eastAsia="en-AU"/>
              </w:rPr>
            </w:pPr>
            <w:r w:rsidRPr="009911EB">
              <w:rPr>
                <w:rFonts w:eastAsia="Times New Roman"/>
                <w:b/>
                <w:bCs/>
                <w:color w:val="FFFFFF" w:themeColor="background1"/>
                <w:lang w:eastAsia="en-AU"/>
              </w:rPr>
              <w:t>Medium</w:t>
            </w:r>
          </w:p>
        </w:tc>
        <w:tc>
          <w:tcPr>
            <w:tcW w:w="0" w:type="dxa"/>
            <w:shd w:val="clear" w:color="auto" w:fill="91ACEC" w:themeFill="accent1" w:themeFillTint="99"/>
          </w:tcPr>
          <w:p w14:paraId="51656307" w14:textId="77777777" w:rsidR="009911EB" w:rsidRPr="009911EB" w:rsidRDefault="009911EB" w:rsidP="00343921">
            <w:pPr>
              <w:keepNext/>
              <w:keepLines/>
              <w:spacing w:after="0" w:line="240" w:lineRule="atLeast"/>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eastAsia="en-AU"/>
              </w:rPr>
            </w:pPr>
            <w:r w:rsidRPr="009911EB">
              <w:rPr>
                <w:rFonts w:eastAsia="Times New Roman"/>
                <w:b/>
                <w:bCs/>
                <w:color w:val="FFFFFF" w:themeColor="background1"/>
                <w:lang w:eastAsia="en-AU"/>
              </w:rPr>
              <w:t>Large</w:t>
            </w:r>
          </w:p>
        </w:tc>
      </w:tr>
      <w:tr w:rsidR="009911EB" w:rsidRPr="009911EB" w14:paraId="03936DBE"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21D229AF" w14:textId="77777777" w:rsidR="009911EB" w:rsidRPr="009911EB" w:rsidRDefault="009911EB" w:rsidP="005C2402">
            <w:pPr>
              <w:keepNext/>
              <w:keepLines/>
              <w:spacing w:after="0" w:line="276" w:lineRule="auto"/>
              <w:contextualSpacing w:val="0"/>
              <w:rPr>
                <w:rFonts w:eastAsia="Times New Roman"/>
                <w:lang w:eastAsia="en-AU"/>
              </w:rPr>
            </w:pPr>
            <w:r w:rsidRPr="009911EB">
              <w:rPr>
                <w:rFonts w:eastAsia="Times New Roman"/>
                <w:lang w:eastAsia="en-AU"/>
              </w:rPr>
              <w:t>Benzene</w:t>
            </w:r>
          </w:p>
        </w:tc>
        <w:tc>
          <w:tcPr>
            <w:tcW w:w="0" w:type="dxa"/>
          </w:tcPr>
          <w:p w14:paraId="1695F545" w14:textId="2DCB17BF" w:rsidR="009911EB" w:rsidRPr="009911EB" w:rsidRDefault="005E67B1" w:rsidP="005C2402">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840</w:t>
            </w:r>
          </w:p>
        </w:tc>
        <w:tc>
          <w:tcPr>
            <w:tcW w:w="0" w:type="dxa"/>
          </w:tcPr>
          <w:p w14:paraId="11EF119D" w14:textId="77777777" w:rsidR="009911EB" w:rsidRPr="009911EB" w:rsidRDefault="009911EB" w:rsidP="005C2402">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1,800</w:t>
            </w:r>
          </w:p>
        </w:tc>
        <w:tc>
          <w:tcPr>
            <w:tcW w:w="0" w:type="dxa"/>
          </w:tcPr>
          <w:p w14:paraId="1B837AB2" w14:textId="77777777" w:rsidR="009911EB" w:rsidRPr="009911EB" w:rsidRDefault="009911EB" w:rsidP="005C2402">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10,200</w:t>
            </w:r>
          </w:p>
        </w:tc>
        <w:tc>
          <w:tcPr>
            <w:tcW w:w="0" w:type="dxa"/>
          </w:tcPr>
          <w:p w14:paraId="1E06BD28" w14:textId="77777777" w:rsidR="009911EB" w:rsidRPr="009911EB" w:rsidRDefault="009911EB" w:rsidP="005C2402">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320,700</w:t>
            </w:r>
          </w:p>
        </w:tc>
      </w:tr>
      <w:tr w:rsidR="00563D5A" w:rsidRPr="009911EB" w14:paraId="2FDBA090"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C01BC2F" w14:textId="6B49D75D" w:rsidR="00FB720B" w:rsidRPr="009911EB" w:rsidRDefault="00FB720B" w:rsidP="00FB720B">
            <w:pPr>
              <w:keepNext/>
              <w:keepLines/>
              <w:spacing w:after="0" w:line="276" w:lineRule="auto"/>
              <w:contextualSpacing w:val="0"/>
              <w:rPr>
                <w:rFonts w:eastAsia="Times New Roman"/>
                <w:lang w:eastAsia="en-AU"/>
              </w:rPr>
            </w:pPr>
            <w:r w:rsidRPr="009911EB">
              <w:rPr>
                <w:rFonts w:eastAsia="Times New Roman"/>
                <w:lang w:eastAsia="en-AU"/>
              </w:rPr>
              <w:t>Chlorine</w:t>
            </w:r>
          </w:p>
        </w:tc>
        <w:tc>
          <w:tcPr>
            <w:tcW w:w="2410" w:type="dxa"/>
            <w:shd w:val="clear" w:color="auto" w:fill="auto"/>
          </w:tcPr>
          <w:p w14:paraId="599D2E70" w14:textId="0AD7F94F" w:rsidR="00FB720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968</w:t>
            </w:r>
            <w:r w:rsidRPr="009911EB">
              <w:rPr>
                <w:rFonts w:eastAsia="Times New Roman"/>
                <w:lang w:eastAsia="en-AU"/>
              </w:rPr>
              <w:t xml:space="preserve"> </w:t>
            </w:r>
          </w:p>
        </w:tc>
        <w:tc>
          <w:tcPr>
            <w:tcW w:w="992" w:type="dxa"/>
            <w:shd w:val="clear" w:color="auto" w:fill="auto"/>
          </w:tcPr>
          <w:p w14:paraId="7E0B76F2" w14:textId="1A83FC2E"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2,100</w:t>
            </w:r>
          </w:p>
        </w:tc>
        <w:tc>
          <w:tcPr>
            <w:tcW w:w="1276" w:type="dxa"/>
            <w:shd w:val="clear" w:color="auto" w:fill="auto"/>
          </w:tcPr>
          <w:p w14:paraId="18DF1036" w14:textId="546E3831"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w:t>
            </w:r>
            <w:r>
              <w:rPr>
                <w:rFonts w:eastAsia="Times New Roman"/>
                <w:lang w:eastAsia="en-AU"/>
              </w:rPr>
              <w:t>2</w:t>
            </w:r>
            <w:r w:rsidRPr="009911EB">
              <w:rPr>
                <w:rFonts w:eastAsia="Times New Roman"/>
                <w:lang w:eastAsia="en-AU"/>
              </w:rPr>
              <w:t>,</w:t>
            </w:r>
            <w:r>
              <w:rPr>
                <w:rFonts w:eastAsia="Times New Roman"/>
                <w:lang w:eastAsia="en-AU"/>
              </w:rPr>
              <w:t>1</w:t>
            </w:r>
            <w:r w:rsidRPr="009911EB">
              <w:rPr>
                <w:rFonts w:eastAsia="Times New Roman"/>
                <w:lang w:eastAsia="en-AU"/>
              </w:rPr>
              <w:t>00</w:t>
            </w:r>
          </w:p>
        </w:tc>
        <w:tc>
          <w:tcPr>
            <w:tcW w:w="1417" w:type="dxa"/>
            <w:shd w:val="clear" w:color="auto" w:fill="auto"/>
          </w:tcPr>
          <w:p w14:paraId="407DA97B" w14:textId="236E9495"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4</w:t>
            </w:r>
            <w:r>
              <w:rPr>
                <w:rFonts w:eastAsia="Times New Roman"/>
                <w:lang w:eastAsia="en-AU"/>
              </w:rPr>
              <w:t>80</w:t>
            </w:r>
            <w:r w:rsidRPr="009911EB">
              <w:rPr>
                <w:rFonts w:eastAsia="Times New Roman"/>
                <w:lang w:eastAsia="en-AU"/>
              </w:rPr>
              <w:t>,</w:t>
            </w:r>
            <w:r>
              <w:rPr>
                <w:rFonts w:eastAsia="Times New Roman"/>
                <w:lang w:eastAsia="en-AU"/>
              </w:rPr>
              <w:t>5</w:t>
            </w:r>
            <w:r w:rsidRPr="009911EB">
              <w:rPr>
                <w:rFonts w:eastAsia="Times New Roman"/>
                <w:lang w:eastAsia="en-AU"/>
              </w:rPr>
              <w:t>00</w:t>
            </w:r>
          </w:p>
        </w:tc>
      </w:tr>
      <w:tr w:rsidR="00FB720B" w:rsidRPr="009911EB" w14:paraId="5176320E"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49E5CD11" w14:textId="11B402D3" w:rsidR="00FB720B" w:rsidRPr="009911EB" w:rsidRDefault="00FB720B" w:rsidP="00FB720B">
            <w:pPr>
              <w:keepNext/>
              <w:keepLines/>
              <w:spacing w:after="0" w:line="276" w:lineRule="auto"/>
              <w:contextualSpacing w:val="0"/>
              <w:rPr>
                <w:rFonts w:eastAsia="Times New Roman"/>
                <w:lang w:eastAsia="en-AU"/>
              </w:rPr>
            </w:pPr>
            <w:r w:rsidRPr="009911EB">
              <w:rPr>
                <w:rFonts w:eastAsia="Times New Roman"/>
                <w:lang w:eastAsia="en-AU"/>
              </w:rPr>
              <w:t>Copper</w:t>
            </w:r>
          </w:p>
        </w:tc>
        <w:tc>
          <w:tcPr>
            <w:tcW w:w="0" w:type="dxa"/>
          </w:tcPr>
          <w:p w14:paraId="0FF8E41D" w14:textId="57668853"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 xml:space="preserve"> </w:t>
            </w:r>
            <w:r>
              <w:rPr>
                <w:rFonts w:eastAsia="Times New Roman"/>
                <w:lang w:eastAsia="en-AU"/>
              </w:rPr>
              <w:t>1,709</w:t>
            </w:r>
          </w:p>
        </w:tc>
        <w:tc>
          <w:tcPr>
            <w:tcW w:w="0" w:type="dxa"/>
          </w:tcPr>
          <w:p w14:paraId="5A53E554" w14:textId="1388B91D"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2,300</w:t>
            </w:r>
          </w:p>
        </w:tc>
        <w:tc>
          <w:tcPr>
            <w:tcW w:w="0" w:type="dxa"/>
          </w:tcPr>
          <w:p w14:paraId="5F91BB94" w14:textId="2C361944"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10,700</w:t>
            </w:r>
          </w:p>
        </w:tc>
        <w:tc>
          <w:tcPr>
            <w:tcW w:w="0" w:type="dxa"/>
          </w:tcPr>
          <w:p w14:paraId="74D60477" w14:textId="6D866D99"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423,900</w:t>
            </w:r>
          </w:p>
        </w:tc>
      </w:tr>
      <w:tr w:rsidR="00563D5A" w:rsidRPr="009911EB" w14:paraId="53D3D195"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1D68AF3" w14:textId="734792F3" w:rsidR="00FB720B" w:rsidRPr="009911EB" w:rsidRDefault="00FB720B" w:rsidP="00FB720B">
            <w:pPr>
              <w:keepNext/>
              <w:keepLines/>
              <w:spacing w:after="0" w:line="276" w:lineRule="auto"/>
              <w:contextualSpacing w:val="0"/>
              <w:rPr>
                <w:rFonts w:eastAsia="Times New Roman"/>
                <w:b w:val="0"/>
                <w:lang w:eastAsia="en-AU"/>
              </w:rPr>
            </w:pPr>
            <w:r w:rsidRPr="009911EB">
              <w:rPr>
                <w:rFonts w:eastAsia="Times New Roman"/>
                <w:lang w:eastAsia="en-AU"/>
              </w:rPr>
              <w:t>Formaldehyde</w:t>
            </w:r>
          </w:p>
        </w:tc>
        <w:tc>
          <w:tcPr>
            <w:tcW w:w="2410" w:type="dxa"/>
            <w:shd w:val="clear" w:color="auto" w:fill="auto"/>
          </w:tcPr>
          <w:p w14:paraId="1E9D37D0" w14:textId="1BDD6054"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1,669</w:t>
            </w:r>
            <w:r w:rsidRPr="009911EB">
              <w:rPr>
                <w:rFonts w:eastAsia="Times New Roman"/>
                <w:lang w:eastAsia="en-AU"/>
              </w:rPr>
              <w:t xml:space="preserve">  </w:t>
            </w:r>
          </w:p>
        </w:tc>
        <w:tc>
          <w:tcPr>
            <w:tcW w:w="992" w:type="dxa"/>
            <w:shd w:val="clear" w:color="auto" w:fill="auto"/>
          </w:tcPr>
          <w:p w14:paraId="1072EE80" w14:textId="16C5274C"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1,600</w:t>
            </w:r>
          </w:p>
        </w:tc>
        <w:tc>
          <w:tcPr>
            <w:tcW w:w="1276" w:type="dxa"/>
            <w:shd w:val="clear" w:color="auto" w:fill="auto"/>
          </w:tcPr>
          <w:p w14:paraId="24345701" w14:textId="24814B9A"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7,</w:t>
            </w:r>
            <w:r>
              <w:rPr>
                <w:rFonts w:eastAsia="Times New Roman"/>
                <w:lang w:eastAsia="en-AU"/>
              </w:rPr>
              <w:t>8</w:t>
            </w:r>
            <w:r w:rsidRPr="009911EB">
              <w:rPr>
                <w:rFonts w:eastAsia="Times New Roman"/>
                <w:lang w:eastAsia="en-AU"/>
              </w:rPr>
              <w:t>00</w:t>
            </w:r>
          </w:p>
        </w:tc>
        <w:tc>
          <w:tcPr>
            <w:tcW w:w="1417" w:type="dxa"/>
            <w:shd w:val="clear" w:color="auto" w:fill="auto"/>
          </w:tcPr>
          <w:p w14:paraId="06FA852D" w14:textId="0F3E273E"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30</w:t>
            </w:r>
            <w:r>
              <w:rPr>
                <w:rFonts w:eastAsia="Times New Roman"/>
                <w:lang w:eastAsia="en-AU"/>
              </w:rPr>
              <w:t>8</w:t>
            </w:r>
            <w:r w:rsidRPr="009911EB">
              <w:rPr>
                <w:rFonts w:eastAsia="Times New Roman"/>
                <w:lang w:eastAsia="en-AU"/>
              </w:rPr>
              <w:t>,</w:t>
            </w:r>
            <w:r>
              <w:rPr>
                <w:rFonts w:eastAsia="Times New Roman"/>
                <w:lang w:eastAsia="en-AU"/>
              </w:rPr>
              <w:t>7</w:t>
            </w:r>
            <w:r w:rsidRPr="009911EB">
              <w:rPr>
                <w:rFonts w:eastAsia="Times New Roman"/>
                <w:lang w:eastAsia="en-AU"/>
              </w:rPr>
              <w:t>00</w:t>
            </w:r>
          </w:p>
        </w:tc>
      </w:tr>
      <w:tr w:rsidR="00FB720B" w:rsidRPr="009911EB" w14:paraId="7E9D7341"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52D7C5B0" w14:textId="4B5159F0" w:rsidR="00FB720B" w:rsidRPr="009911EB" w:rsidRDefault="00FB720B" w:rsidP="00FB720B">
            <w:pPr>
              <w:keepNext/>
              <w:keepLines/>
              <w:spacing w:after="0" w:line="276" w:lineRule="auto"/>
              <w:contextualSpacing w:val="0"/>
              <w:rPr>
                <w:rFonts w:eastAsia="Times New Roman"/>
                <w:lang w:eastAsia="en-AU"/>
              </w:rPr>
            </w:pPr>
            <w:r w:rsidRPr="009911EB">
              <w:rPr>
                <w:rFonts w:eastAsia="Times New Roman"/>
                <w:lang w:eastAsia="en-AU"/>
              </w:rPr>
              <w:t>Hydrogen cyanide</w:t>
            </w:r>
          </w:p>
        </w:tc>
        <w:tc>
          <w:tcPr>
            <w:tcW w:w="2410" w:type="dxa"/>
          </w:tcPr>
          <w:p w14:paraId="3AC7DDE2" w14:textId="0AF42488"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 xml:space="preserve">318 </w:t>
            </w:r>
          </w:p>
        </w:tc>
        <w:tc>
          <w:tcPr>
            <w:tcW w:w="992" w:type="dxa"/>
          </w:tcPr>
          <w:p w14:paraId="209804FD" w14:textId="532A2ECD"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1,800</w:t>
            </w:r>
          </w:p>
        </w:tc>
        <w:tc>
          <w:tcPr>
            <w:tcW w:w="1276" w:type="dxa"/>
          </w:tcPr>
          <w:p w14:paraId="0304283E" w14:textId="14524D8F"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8,000</w:t>
            </w:r>
          </w:p>
        </w:tc>
        <w:tc>
          <w:tcPr>
            <w:tcW w:w="1417" w:type="dxa"/>
          </w:tcPr>
          <w:p w14:paraId="51888D31" w14:textId="34762DAF" w:rsidR="00FB720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317,900</w:t>
            </w:r>
          </w:p>
        </w:tc>
      </w:tr>
      <w:tr w:rsidR="00563D5A" w:rsidRPr="009911EB" w14:paraId="61DD0D44"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5D77ECB" w14:textId="0FCD078B" w:rsidR="00FB720B" w:rsidRPr="009911EB" w:rsidRDefault="00FB720B" w:rsidP="00FB720B">
            <w:pPr>
              <w:keepNext/>
              <w:keepLines/>
              <w:spacing w:after="0" w:line="276" w:lineRule="auto"/>
              <w:contextualSpacing w:val="0"/>
              <w:rPr>
                <w:rFonts w:eastAsia="Times New Roman"/>
                <w:b w:val="0"/>
                <w:lang w:eastAsia="en-AU"/>
              </w:rPr>
            </w:pPr>
            <w:r w:rsidRPr="009911EB">
              <w:rPr>
                <w:rFonts w:eastAsia="Times New Roman"/>
                <w:lang w:eastAsia="en-AU"/>
              </w:rPr>
              <w:t>Hydrogen sulfide</w:t>
            </w:r>
          </w:p>
        </w:tc>
        <w:tc>
          <w:tcPr>
            <w:tcW w:w="2410" w:type="dxa"/>
            <w:shd w:val="clear" w:color="auto" w:fill="auto"/>
          </w:tcPr>
          <w:p w14:paraId="0727DEDC" w14:textId="47A7270D"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1,9</w:t>
            </w:r>
            <w:r>
              <w:rPr>
                <w:rFonts w:eastAsia="Times New Roman"/>
                <w:lang w:eastAsia="en-AU"/>
              </w:rPr>
              <w:t>0</w:t>
            </w:r>
            <w:r w:rsidRPr="009911EB">
              <w:rPr>
                <w:rFonts w:eastAsia="Times New Roman"/>
                <w:lang w:eastAsia="en-AU"/>
              </w:rPr>
              <w:t xml:space="preserve">7 </w:t>
            </w:r>
          </w:p>
        </w:tc>
        <w:tc>
          <w:tcPr>
            <w:tcW w:w="992" w:type="dxa"/>
            <w:shd w:val="clear" w:color="auto" w:fill="auto"/>
          </w:tcPr>
          <w:p w14:paraId="1F9D4F60" w14:textId="72920977"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2,000</w:t>
            </w:r>
          </w:p>
        </w:tc>
        <w:tc>
          <w:tcPr>
            <w:tcW w:w="1276" w:type="dxa"/>
            <w:shd w:val="clear" w:color="auto" w:fill="auto"/>
          </w:tcPr>
          <w:p w14:paraId="70FAEB37" w14:textId="67822213"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w:t>
            </w:r>
            <w:r>
              <w:rPr>
                <w:rFonts w:eastAsia="Times New Roman"/>
                <w:lang w:eastAsia="en-AU"/>
              </w:rPr>
              <w:t>6</w:t>
            </w:r>
            <w:r w:rsidRPr="009911EB">
              <w:rPr>
                <w:rFonts w:eastAsia="Times New Roman"/>
                <w:lang w:eastAsia="en-AU"/>
              </w:rPr>
              <w:t>,</w:t>
            </w:r>
            <w:r>
              <w:rPr>
                <w:rFonts w:eastAsia="Times New Roman"/>
                <w:lang w:eastAsia="en-AU"/>
              </w:rPr>
              <w:t>2</w:t>
            </w:r>
            <w:r w:rsidRPr="009911EB">
              <w:rPr>
                <w:rFonts w:eastAsia="Times New Roman"/>
                <w:lang w:eastAsia="en-AU"/>
              </w:rPr>
              <w:t>00</w:t>
            </w:r>
          </w:p>
        </w:tc>
        <w:tc>
          <w:tcPr>
            <w:tcW w:w="1417" w:type="dxa"/>
            <w:shd w:val="clear" w:color="auto" w:fill="auto"/>
          </w:tcPr>
          <w:p w14:paraId="651E98E9" w14:textId="2145401C"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1,039</w:t>
            </w:r>
            <w:r w:rsidRPr="009911EB">
              <w:rPr>
                <w:rFonts w:eastAsia="Times New Roman"/>
                <w:lang w:eastAsia="en-AU"/>
              </w:rPr>
              <w:t>,</w:t>
            </w:r>
            <w:r>
              <w:rPr>
                <w:rFonts w:eastAsia="Times New Roman"/>
                <w:lang w:eastAsia="en-AU"/>
              </w:rPr>
              <w:t>6</w:t>
            </w:r>
            <w:r w:rsidRPr="009911EB">
              <w:rPr>
                <w:rFonts w:eastAsia="Times New Roman"/>
                <w:lang w:eastAsia="en-AU"/>
              </w:rPr>
              <w:t>00</w:t>
            </w:r>
          </w:p>
        </w:tc>
      </w:tr>
      <w:tr w:rsidR="00FB720B" w:rsidRPr="009911EB" w14:paraId="1B328C67"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693169D2" w14:textId="5D972D83" w:rsidR="00FB720B" w:rsidRPr="009911EB" w:rsidRDefault="00FB720B" w:rsidP="00FB720B">
            <w:pPr>
              <w:keepNext/>
              <w:keepLines/>
              <w:spacing w:after="0" w:line="276" w:lineRule="auto"/>
              <w:contextualSpacing w:val="0"/>
              <w:rPr>
                <w:rFonts w:eastAsia="Times New Roman"/>
                <w:b w:val="0"/>
                <w:bCs w:val="0"/>
                <w:lang w:eastAsia="en-AU"/>
              </w:rPr>
            </w:pPr>
            <w:r w:rsidRPr="009911EB">
              <w:rPr>
                <w:rFonts w:eastAsia="Times New Roman"/>
                <w:lang w:eastAsia="en-AU"/>
              </w:rPr>
              <w:t>Nitrogen dioxide</w:t>
            </w:r>
          </w:p>
        </w:tc>
        <w:tc>
          <w:tcPr>
            <w:tcW w:w="2410" w:type="dxa"/>
          </w:tcPr>
          <w:p w14:paraId="27B58E48" w14:textId="1912AF2F"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2,703</w:t>
            </w:r>
            <w:r w:rsidRPr="009911EB">
              <w:rPr>
                <w:rFonts w:eastAsia="Times New Roman"/>
                <w:lang w:eastAsia="en-AU"/>
              </w:rPr>
              <w:t xml:space="preserve"> </w:t>
            </w:r>
          </w:p>
        </w:tc>
        <w:tc>
          <w:tcPr>
            <w:tcW w:w="992" w:type="dxa"/>
          </w:tcPr>
          <w:p w14:paraId="7B2036B2" w14:textId="7CD74FE6"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2,200</w:t>
            </w:r>
          </w:p>
        </w:tc>
        <w:tc>
          <w:tcPr>
            <w:tcW w:w="1276" w:type="dxa"/>
          </w:tcPr>
          <w:p w14:paraId="1DDF4300" w14:textId="6B2122BD"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10,200</w:t>
            </w:r>
          </w:p>
        </w:tc>
        <w:tc>
          <w:tcPr>
            <w:tcW w:w="1417" w:type="dxa"/>
          </w:tcPr>
          <w:p w14:paraId="191A260D" w14:textId="7C3C19C1" w:rsidR="00FB720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402,700</w:t>
            </w:r>
          </w:p>
        </w:tc>
      </w:tr>
      <w:tr w:rsidR="00563D5A" w:rsidRPr="009911EB" w14:paraId="5342A635"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53F23D8" w14:textId="5FCCA037" w:rsidR="00FB720B" w:rsidRPr="009911EB" w:rsidRDefault="00FB720B" w:rsidP="00FB720B">
            <w:pPr>
              <w:keepNext/>
              <w:keepLines/>
              <w:spacing w:after="0" w:line="276" w:lineRule="auto"/>
              <w:contextualSpacing w:val="0"/>
              <w:rPr>
                <w:rFonts w:eastAsia="Times New Roman"/>
                <w:b w:val="0"/>
                <w:bCs w:val="0"/>
                <w:lang w:eastAsia="en-AU"/>
              </w:rPr>
            </w:pPr>
            <w:r w:rsidRPr="009911EB">
              <w:rPr>
                <w:rFonts w:eastAsia="Times New Roman"/>
                <w:lang w:eastAsia="en-AU"/>
              </w:rPr>
              <w:t>Respirable crystalline silica (excl</w:t>
            </w:r>
            <w:r w:rsidR="000D0F07">
              <w:rPr>
                <w:rFonts w:eastAsia="Times New Roman"/>
                <w:lang w:eastAsia="en-AU"/>
              </w:rPr>
              <w:t>.</w:t>
            </w:r>
            <w:r w:rsidRPr="009911EB">
              <w:rPr>
                <w:rFonts w:eastAsia="Times New Roman"/>
                <w:lang w:eastAsia="en-AU"/>
              </w:rPr>
              <w:t xml:space="preserve"> mining industry)</w:t>
            </w:r>
          </w:p>
        </w:tc>
        <w:tc>
          <w:tcPr>
            <w:tcW w:w="2410" w:type="dxa"/>
            <w:shd w:val="clear" w:color="auto" w:fill="auto"/>
          </w:tcPr>
          <w:p w14:paraId="024EEC9D" w14:textId="188C7958"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3,</w:t>
            </w:r>
            <w:r>
              <w:rPr>
                <w:rFonts w:eastAsia="Times New Roman"/>
                <w:lang w:eastAsia="en-AU"/>
              </w:rPr>
              <w:t>448</w:t>
            </w:r>
            <w:r w:rsidRPr="009911EB">
              <w:rPr>
                <w:rFonts w:eastAsia="Times New Roman"/>
                <w:lang w:eastAsia="en-AU"/>
              </w:rPr>
              <w:t xml:space="preserve"> </w:t>
            </w:r>
          </w:p>
        </w:tc>
        <w:tc>
          <w:tcPr>
            <w:tcW w:w="992" w:type="dxa"/>
            <w:shd w:val="clear" w:color="auto" w:fill="auto"/>
          </w:tcPr>
          <w:p w14:paraId="28D80007" w14:textId="5572B0D5"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1,600</w:t>
            </w:r>
          </w:p>
        </w:tc>
        <w:tc>
          <w:tcPr>
            <w:tcW w:w="1276" w:type="dxa"/>
            <w:shd w:val="clear" w:color="auto" w:fill="auto"/>
          </w:tcPr>
          <w:p w14:paraId="0185E0D8" w14:textId="418622A8"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9,500</w:t>
            </w:r>
          </w:p>
        </w:tc>
        <w:tc>
          <w:tcPr>
            <w:tcW w:w="1417" w:type="dxa"/>
            <w:shd w:val="clear" w:color="auto" w:fill="auto"/>
          </w:tcPr>
          <w:p w14:paraId="080F6FDA" w14:textId="70A64E13" w:rsidR="00FB720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299,300</w:t>
            </w:r>
          </w:p>
        </w:tc>
      </w:tr>
      <w:tr w:rsidR="00FB720B" w:rsidRPr="009911EB" w14:paraId="1DD176E1"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3E6B216C" w14:textId="370E14BB" w:rsidR="00FB720B" w:rsidRPr="009911EB" w:rsidRDefault="00FB720B" w:rsidP="00FB720B">
            <w:pPr>
              <w:keepNext/>
              <w:keepLines/>
              <w:spacing w:after="0" w:line="276" w:lineRule="auto"/>
              <w:contextualSpacing w:val="0"/>
              <w:rPr>
                <w:rFonts w:eastAsia="Times New Roman"/>
                <w:lang w:eastAsia="en-AU"/>
              </w:rPr>
            </w:pPr>
            <w:r w:rsidRPr="009911EB">
              <w:rPr>
                <w:rFonts w:eastAsia="Times New Roman"/>
                <w:lang w:eastAsia="en-AU"/>
              </w:rPr>
              <w:t>Respirable crystalline silica (mining industry)</w:t>
            </w:r>
            <w:r w:rsidRPr="009911EB">
              <w:rPr>
                <w:rFonts w:eastAsia="Times New Roman"/>
                <w:vertAlign w:val="superscript"/>
                <w:lang w:eastAsia="en-AU"/>
              </w:rPr>
              <w:footnoteReference w:id="13"/>
            </w:r>
          </w:p>
        </w:tc>
        <w:tc>
          <w:tcPr>
            <w:tcW w:w="2410" w:type="dxa"/>
          </w:tcPr>
          <w:p w14:paraId="2EEDFA03" w14:textId="1414BE6F"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sidDel="00AB48B0">
              <w:rPr>
                <w:rFonts w:eastAsia="Times New Roman"/>
                <w:lang w:eastAsia="en-AU"/>
              </w:rPr>
              <w:t>18,</w:t>
            </w:r>
            <w:r w:rsidRPr="009911EB">
              <w:rPr>
                <w:rFonts w:eastAsia="Times New Roman"/>
                <w:lang w:eastAsia="en-AU"/>
              </w:rPr>
              <w:t>483</w:t>
            </w:r>
          </w:p>
        </w:tc>
        <w:tc>
          <w:tcPr>
            <w:tcW w:w="992" w:type="dxa"/>
          </w:tcPr>
          <w:p w14:paraId="7A9D0D64" w14:textId="4E671412"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1,600</w:t>
            </w:r>
            <w:r w:rsidRPr="009911EB">
              <w:rPr>
                <w:rFonts w:eastAsia="Times New Roman"/>
                <w:vertAlign w:val="superscript"/>
                <w:lang w:eastAsia="en-AU"/>
              </w:rPr>
              <w:footnoteReference w:id="14"/>
            </w:r>
          </w:p>
        </w:tc>
        <w:tc>
          <w:tcPr>
            <w:tcW w:w="1276" w:type="dxa"/>
          </w:tcPr>
          <w:p w14:paraId="7617C064" w14:textId="6379E728"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sidDel="00AB48B0">
              <w:rPr>
                <w:rFonts w:eastAsia="Times New Roman"/>
                <w:lang w:eastAsia="en-AU"/>
              </w:rPr>
              <w:t>2,</w:t>
            </w:r>
            <w:r>
              <w:rPr>
                <w:rFonts w:eastAsia="Times New Roman"/>
                <w:lang w:eastAsia="en-AU"/>
              </w:rPr>
              <w:t>675</w:t>
            </w:r>
            <w:r w:rsidRPr="009911EB">
              <w:rPr>
                <w:rFonts w:eastAsia="Times New Roman"/>
                <w:lang w:eastAsia="en-AU"/>
              </w:rPr>
              <w:t>,</w:t>
            </w:r>
            <w:r>
              <w:rPr>
                <w:rFonts w:eastAsia="Times New Roman"/>
                <w:lang w:eastAsia="en-AU"/>
              </w:rPr>
              <w:t>8</w:t>
            </w:r>
            <w:r w:rsidRPr="009911EB">
              <w:rPr>
                <w:rFonts w:eastAsia="Times New Roman"/>
                <w:lang w:eastAsia="en-AU"/>
              </w:rPr>
              <w:t>00</w:t>
            </w:r>
          </w:p>
        </w:tc>
        <w:tc>
          <w:tcPr>
            <w:tcW w:w="1417" w:type="dxa"/>
          </w:tcPr>
          <w:p w14:paraId="083CC154" w14:textId="7205E142"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9,</w:t>
            </w:r>
            <w:r>
              <w:rPr>
                <w:rFonts w:eastAsia="Times New Roman"/>
                <w:lang w:eastAsia="en-AU"/>
              </w:rPr>
              <w:t>412</w:t>
            </w:r>
            <w:r w:rsidRPr="009911EB">
              <w:rPr>
                <w:rFonts w:eastAsia="Times New Roman"/>
                <w:lang w:eastAsia="en-AU"/>
              </w:rPr>
              <w:t>,700</w:t>
            </w:r>
          </w:p>
        </w:tc>
      </w:tr>
      <w:tr w:rsidR="00563D5A" w:rsidRPr="009911EB" w14:paraId="6C9061FB" w14:textId="77777777" w:rsidTr="004F2988">
        <w:trPr>
          <w:trHeight w:val="2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FBAA91B" w14:textId="77777777" w:rsidR="00FB720B" w:rsidRPr="009911EB" w:rsidRDefault="00FB720B" w:rsidP="00FB720B">
            <w:pPr>
              <w:keepNext/>
              <w:keepLines/>
              <w:spacing w:after="0" w:line="276" w:lineRule="auto"/>
              <w:contextualSpacing w:val="0"/>
              <w:rPr>
                <w:rFonts w:eastAsia="Times New Roman"/>
                <w:lang w:eastAsia="en-AU"/>
              </w:rPr>
            </w:pPr>
            <w:r w:rsidRPr="009911EB">
              <w:rPr>
                <w:rFonts w:eastAsia="Times New Roman"/>
                <w:lang w:eastAsia="en-AU"/>
              </w:rPr>
              <w:t>Titanium dioxide</w:t>
            </w:r>
          </w:p>
        </w:tc>
        <w:tc>
          <w:tcPr>
            <w:tcW w:w="2410" w:type="dxa"/>
            <w:shd w:val="clear" w:color="auto" w:fill="auto"/>
          </w:tcPr>
          <w:p w14:paraId="26F62B54" w14:textId="1C708958"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62</w:t>
            </w:r>
            <w:r w:rsidRPr="009911EB">
              <w:rPr>
                <w:rFonts w:eastAsia="Times New Roman"/>
                <w:lang w:eastAsia="en-AU"/>
              </w:rPr>
              <w:t xml:space="preserve"> </w:t>
            </w:r>
          </w:p>
        </w:tc>
        <w:tc>
          <w:tcPr>
            <w:tcW w:w="992" w:type="dxa"/>
            <w:shd w:val="clear" w:color="auto" w:fill="auto"/>
          </w:tcPr>
          <w:p w14:paraId="4CE90A09" w14:textId="77777777"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2,300</w:t>
            </w:r>
          </w:p>
        </w:tc>
        <w:tc>
          <w:tcPr>
            <w:tcW w:w="1276" w:type="dxa"/>
            <w:shd w:val="clear" w:color="auto" w:fill="auto"/>
          </w:tcPr>
          <w:p w14:paraId="2332D0EA" w14:textId="77777777"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10,700</w:t>
            </w:r>
          </w:p>
        </w:tc>
        <w:tc>
          <w:tcPr>
            <w:tcW w:w="1417" w:type="dxa"/>
            <w:shd w:val="clear" w:color="auto" w:fill="auto"/>
          </w:tcPr>
          <w:p w14:paraId="6F856C15" w14:textId="77777777" w:rsidR="00FB720B" w:rsidRPr="009911EB" w:rsidRDefault="00FB720B" w:rsidP="00FB720B">
            <w:pPr>
              <w:keepNext/>
              <w:keepLines/>
              <w:spacing w:after="0"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911EB">
              <w:rPr>
                <w:rFonts w:eastAsia="Times New Roman"/>
                <w:lang w:eastAsia="en-AU"/>
              </w:rPr>
              <w:t>423,900</w:t>
            </w:r>
          </w:p>
        </w:tc>
      </w:tr>
    </w:tbl>
    <w:p w14:paraId="699D4D96" w14:textId="77777777" w:rsidR="00717A84" w:rsidRDefault="00717A84" w:rsidP="00974250">
      <w:pPr>
        <w:spacing w:before="240" w:line="259" w:lineRule="auto"/>
        <w:contextualSpacing w:val="0"/>
      </w:pPr>
      <w:r>
        <w:t>The key results for each chemical are:</w:t>
      </w:r>
    </w:p>
    <w:p w14:paraId="52B667A1" w14:textId="691829FF" w:rsidR="00717A84" w:rsidRDefault="00717A84" w:rsidP="00A2768E">
      <w:pPr>
        <w:pStyle w:val="ListParagraph"/>
        <w:numPr>
          <w:ilvl w:val="0"/>
          <w:numId w:val="93"/>
        </w:numPr>
        <w:spacing w:line="240" w:lineRule="atLeast"/>
        <w:ind w:left="1077" w:hanging="357"/>
        <w:contextualSpacing w:val="0"/>
      </w:pPr>
      <w:r w:rsidRPr="00604171">
        <w:rPr>
          <w:b/>
        </w:rPr>
        <w:t>Benzene</w:t>
      </w:r>
      <w:r>
        <w:t xml:space="preserve">: An estimated 9,900 businesses would be affected by the proposed WEL for benzene. The indicative average annual incremental cost per business is $1,800 for small businesses, $10,200 for medium businesses and $320,700 for large businesses. The estimated total incremental costs for businesses are $840 million over 10 years. </w:t>
      </w:r>
    </w:p>
    <w:p w14:paraId="43FF484B" w14:textId="77777777" w:rsidR="00374BDC" w:rsidRPr="00343921" w:rsidRDefault="00717A84" w:rsidP="00A2768E">
      <w:pPr>
        <w:pStyle w:val="ListParagraph"/>
        <w:numPr>
          <w:ilvl w:val="0"/>
          <w:numId w:val="93"/>
        </w:numPr>
        <w:spacing w:line="240" w:lineRule="atLeast"/>
        <w:ind w:left="1077" w:hanging="357"/>
        <w:contextualSpacing w:val="0"/>
      </w:pPr>
      <w:r w:rsidRPr="00604171">
        <w:rPr>
          <w:b/>
        </w:rPr>
        <w:t>Chlorine:</w:t>
      </w:r>
      <w:r>
        <w:t xml:space="preserve"> An estimated 18,100 businesses would be affected by the proposed WEL for chlorine. The indicative average annual incremental cost per business is $2,100 for small businesses, $12,100 for medium businesses and $480,500 for large businesses. The estimated total incremental costs for businesses are $968 million over 10 years.</w:t>
      </w:r>
      <w:r w:rsidR="00374BDC" w:rsidRPr="00374BDC">
        <w:rPr>
          <w:b/>
          <w:bCs/>
        </w:rPr>
        <w:t xml:space="preserve"> </w:t>
      </w:r>
    </w:p>
    <w:p w14:paraId="2992D901" w14:textId="3C016B39" w:rsidR="00717A84" w:rsidRDefault="00374BDC" w:rsidP="00A2768E">
      <w:pPr>
        <w:pStyle w:val="ListParagraph"/>
        <w:numPr>
          <w:ilvl w:val="0"/>
          <w:numId w:val="93"/>
        </w:numPr>
        <w:spacing w:line="240" w:lineRule="atLeast"/>
        <w:ind w:left="1077" w:hanging="357"/>
        <w:contextualSpacing w:val="0"/>
      </w:pPr>
      <w:r w:rsidRPr="00604171">
        <w:rPr>
          <w:b/>
          <w:bCs/>
        </w:rPr>
        <w:t>Copper:</w:t>
      </w:r>
      <w:r>
        <w:t xml:space="preserve"> An estimated 22,300 businesses would be affected by the proposed WEL for copper. The indicative average annual incremental cost per business is $2,300 for small businesses, $10,700 for medium businesses and $423,900 for large businesses. The estimated total incremental costs for businesses are $1.7 billion over 10 years. </w:t>
      </w:r>
    </w:p>
    <w:p w14:paraId="6C05353C" w14:textId="5BF9D331" w:rsidR="00717A84" w:rsidRDefault="00717A84" w:rsidP="00A2768E">
      <w:pPr>
        <w:pStyle w:val="ListParagraph"/>
        <w:numPr>
          <w:ilvl w:val="0"/>
          <w:numId w:val="93"/>
        </w:numPr>
        <w:spacing w:line="240" w:lineRule="atLeast"/>
        <w:ind w:left="1077" w:hanging="357"/>
        <w:contextualSpacing w:val="0"/>
      </w:pPr>
      <w:r w:rsidRPr="00604171">
        <w:rPr>
          <w:b/>
        </w:rPr>
        <w:t>Formaldehyde:</w:t>
      </w:r>
      <w:r>
        <w:t xml:space="preserve"> An estimated 72,200 businesses would be affected by the proposed WEL for formaldehyde. The indicative average annual incremental cost per business is $1,600 for small businesses, $7,800 for medium businesses and </w:t>
      </w:r>
      <w:r>
        <w:lastRenderedPageBreak/>
        <w:t>$308,700 for large businesses. The estimated total incremental costs for businesses are $1.7 billion over 10 years.</w:t>
      </w:r>
    </w:p>
    <w:p w14:paraId="18B59571" w14:textId="77777777" w:rsidR="00374BDC" w:rsidRDefault="00374BDC" w:rsidP="002827AE">
      <w:pPr>
        <w:pStyle w:val="ListParagraph"/>
        <w:keepNext/>
        <w:keepLines/>
        <w:numPr>
          <w:ilvl w:val="0"/>
          <w:numId w:val="93"/>
        </w:numPr>
        <w:spacing w:line="240" w:lineRule="atLeast"/>
        <w:ind w:left="1077" w:hanging="357"/>
        <w:contextualSpacing w:val="0"/>
      </w:pPr>
      <w:r w:rsidRPr="00604171">
        <w:rPr>
          <w:b/>
          <w:bCs/>
        </w:rPr>
        <w:t>Hydrogen cyanide:</w:t>
      </w:r>
      <w:r>
        <w:t xml:space="preserve"> An estimated 2,300 businesses would be affected by the proposed WEL for hydrogen cyanide. The indicative average annual incremental cost per business is $1,800 for small businesses, $8,000 for medium businesses and $317,900 for large businesses. The estimated total incremental costs for businesses are $318 million over 10 years.</w:t>
      </w:r>
    </w:p>
    <w:p w14:paraId="1ED81D6F" w14:textId="6F364849" w:rsidR="00717A84" w:rsidRDefault="00717A84" w:rsidP="00A2768E">
      <w:pPr>
        <w:pStyle w:val="ListParagraph"/>
        <w:numPr>
          <w:ilvl w:val="0"/>
          <w:numId w:val="93"/>
        </w:numPr>
        <w:spacing w:line="240" w:lineRule="atLeast"/>
        <w:ind w:left="1077" w:hanging="357"/>
        <w:contextualSpacing w:val="0"/>
      </w:pPr>
      <w:r w:rsidRPr="00604171">
        <w:rPr>
          <w:b/>
        </w:rPr>
        <w:t>Hydrogen sul</w:t>
      </w:r>
      <w:r w:rsidR="00312B4B">
        <w:rPr>
          <w:b/>
        </w:rPr>
        <w:t>f</w:t>
      </w:r>
      <w:r w:rsidRPr="00604171">
        <w:rPr>
          <w:b/>
        </w:rPr>
        <w:t>ide:</w:t>
      </w:r>
      <w:r>
        <w:t xml:space="preserve"> An estimated 35,800 businesses would be affected by the proposed WEL for hydrogen sul</w:t>
      </w:r>
      <w:r w:rsidR="00312B4B">
        <w:t>f</w:t>
      </w:r>
      <w:r>
        <w:t xml:space="preserve">ide. The indicative average annual incremental cost per business is $2,000 for small businesses, $26,200 for medium businesses and $1.04 million for large businesses. The estimated total incremental costs for businesses are $1.9 billion over 10 years. </w:t>
      </w:r>
    </w:p>
    <w:p w14:paraId="52532839" w14:textId="77777777" w:rsidR="00374BDC" w:rsidRDefault="00374BDC" w:rsidP="00A2768E">
      <w:pPr>
        <w:pStyle w:val="ListParagraph"/>
        <w:numPr>
          <w:ilvl w:val="0"/>
          <w:numId w:val="93"/>
        </w:numPr>
        <w:spacing w:line="240" w:lineRule="atLeast"/>
        <w:ind w:left="1077" w:hanging="357"/>
        <w:contextualSpacing w:val="0"/>
      </w:pPr>
      <w:r w:rsidRPr="00604171">
        <w:rPr>
          <w:b/>
          <w:bCs/>
        </w:rPr>
        <w:t>Nitrogen dioxide</w:t>
      </w:r>
      <w:r>
        <w:t xml:space="preserve">: An estimated 52,200 businesses would be affected by the proposed WEL for nitrogen dioxide. The indicative average annual incremental cost per business is $2,200 for small businesses, $10,200 for medium businesses and $402,700 for large businesses. The estimated total incremental costs for businesses are $2.7 billion over 10 years. </w:t>
      </w:r>
    </w:p>
    <w:p w14:paraId="63EDEEAF" w14:textId="30659767" w:rsidR="00717A84" w:rsidRDefault="00717A84" w:rsidP="00A2768E">
      <w:pPr>
        <w:pStyle w:val="ListParagraph"/>
        <w:numPr>
          <w:ilvl w:val="0"/>
          <w:numId w:val="93"/>
        </w:numPr>
        <w:spacing w:line="240" w:lineRule="atLeast"/>
        <w:ind w:left="1077" w:hanging="357"/>
        <w:contextualSpacing w:val="0"/>
      </w:pPr>
      <w:r w:rsidRPr="00604171">
        <w:rPr>
          <w:b/>
        </w:rPr>
        <w:t>RCS (excl. mining):</w:t>
      </w:r>
      <w:r>
        <w:t xml:space="preserve"> An estimated 240,300 businesses would be affected by the proposed WEL for RCS. The indicative average annual incremental cost per business is $1,600 for small businesses, $9,500 for medium businesses and $299,300 for large businesses. The estimated total incremental costs for these businesses are $3.4 billion over 10 years.  </w:t>
      </w:r>
    </w:p>
    <w:p w14:paraId="5E50457F" w14:textId="4FF36BBE" w:rsidR="0067641B" w:rsidRDefault="343FE6E7" w:rsidP="00A2768E">
      <w:pPr>
        <w:pStyle w:val="ListParagraph"/>
        <w:numPr>
          <w:ilvl w:val="0"/>
          <w:numId w:val="93"/>
        </w:numPr>
        <w:spacing w:line="240" w:lineRule="atLeast"/>
        <w:ind w:left="1077" w:hanging="357"/>
        <w:contextualSpacing w:val="0"/>
      </w:pPr>
      <w:r w:rsidRPr="27F845C1">
        <w:rPr>
          <w:b/>
          <w:bCs/>
        </w:rPr>
        <w:t>RCS (mining only):</w:t>
      </w:r>
      <w:r>
        <w:t xml:space="preserve"> An estimated 3,400 mining businesses would be affected by the proposed WEL for RCS. The indicative average annual incremental cost per business is $1,600 for small businesses, $2.68 million for medium businesses and $9.41 million for large businesses.  The estimated total incremental costs for mining businesses are $18.5 billion over 10 years.</w:t>
      </w:r>
    </w:p>
    <w:p w14:paraId="08ADA4AE" w14:textId="26495E1F" w:rsidR="0067641B" w:rsidRDefault="0067641B" w:rsidP="00A2768E">
      <w:pPr>
        <w:pStyle w:val="ListParagraph"/>
        <w:numPr>
          <w:ilvl w:val="0"/>
          <w:numId w:val="93"/>
        </w:numPr>
        <w:spacing w:line="240" w:lineRule="atLeast"/>
        <w:ind w:left="1077" w:hanging="357"/>
        <w:contextualSpacing w:val="0"/>
      </w:pPr>
      <w:r w:rsidRPr="00604171">
        <w:rPr>
          <w:b/>
          <w:bCs/>
        </w:rPr>
        <w:t>Titanium dioxide:</w:t>
      </w:r>
      <w:r>
        <w:t xml:space="preserve"> An estimated 900 businesses would be affected by the proposed WEL for titanium dioxide. The indicative average annual incremental cost per business is $2,300 for small businesses, $10,700 for medium businesses and $423,900 for large businesses. The estimated total incremental costs for businesses are $62 million over 10 years. </w:t>
      </w:r>
    </w:p>
    <w:p w14:paraId="2EE651D7" w14:textId="754596F0" w:rsidR="009911EB" w:rsidRDefault="009911EB" w:rsidP="001D3E97">
      <w:pPr>
        <w:spacing w:line="240" w:lineRule="atLeast"/>
        <w:contextualSpacing w:val="0"/>
      </w:pPr>
      <w:r w:rsidRPr="009911EB">
        <w:t xml:space="preserve">The costs estimated above </w:t>
      </w:r>
      <w:r w:rsidR="30F597F8">
        <w:t xml:space="preserve">are </w:t>
      </w:r>
      <w:r w:rsidR="006D6188">
        <w:t>estimated with low-medium confidence</w:t>
      </w:r>
      <w:r w:rsidRPr="009911EB">
        <w:t xml:space="preserve"> and capture only the incremental costs of a shift from the current WES to proposed WEL for each chemical, in line with the definitions provided in </w:t>
      </w:r>
      <w:hyperlink w:anchor="AppendixC_Methodology">
        <w:r w:rsidR="00537045" w:rsidRPr="00B64384">
          <w:rPr>
            <w:rStyle w:val="Hyperlink"/>
            <w:color w:val="auto"/>
            <w:u w:val="none"/>
          </w:rPr>
          <w:t xml:space="preserve">Appendix </w:t>
        </w:r>
        <w:r w:rsidR="00AB67D2" w:rsidRPr="00B64384">
          <w:rPr>
            <w:rStyle w:val="Hyperlink"/>
            <w:color w:val="auto"/>
            <w:u w:val="none"/>
          </w:rPr>
          <w:t>C</w:t>
        </w:r>
      </w:hyperlink>
      <w:r w:rsidRPr="009911EB">
        <w:t xml:space="preserve">. </w:t>
      </w:r>
      <w:r w:rsidR="006D17E1">
        <w:t xml:space="preserve"> </w:t>
      </w:r>
    </w:p>
    <w:p w14:paraId="322D93DD" w14:textId="77777777" w:rsidR="00D552DB" w:rsidRPr="00405780" w:rsidRDefault="00D552DB" w:rsidP="00D552DB">
      <w:pPr>
        <w:pStyle w:val="SWAHeading3"/>
      </w:pPr>
      <w:r w:rsidRPr="00405780">
        <w:t xml:space="preserve">Other potential costs noted by stakeholders </w:t>
      </w:r>
    </w:p>
    <w:p w14:paraId="198E44FA" w14:textId="77777777" w:rsidR="00D552DB" w:rsidRDefault="00D552DB" w:rsidP="00D552DB">
      <w:pPr>
        <w:spacing w:line="240" w:lineRule="atLeast"/>
        <w:contextualSpacing w:val="0"/>
      </w:pPr>
      <w:r>
        <w:t>Stakeholders consulted on these options raised that there were likely to be other costs that could be expected as part of the implementation of the proposed WEL, particularly control measures and compliance monitoring. For example, stakeholders raised the potential need to hire new staff to monitor exposure levels to the chemicals in their workplace. This is not able to be quantified as part of the analysis due to lack of publicly available data. However, Nous Group, as part of their assessment did try to determine the extent of these potential costs and reflected them in the analysis where verified. Nous Group noted that s</w:t>
      </w:r>
      <w:r w:rsidRPr="004A23C1">
        <w:t>ubsequent engagement with industry and WHS experts to test these assumptions and cost estimates indicated that many of these control measures are relevant to complying with the existing WES and some items are not directly required by the WEL</w:t>
      </w:r>
      <w:r>
        <w:t xml:space="preserve">. </w:t>
      </w:r>
    </w:p>
    <w:p w14:paraId="3518F009" w14:textId="77777777" w:rsidR="00D552DB" w:rsidRDefault="00D552DB" w:rsidP="00D552DB">
      <w:pPr>
        <w:spacing w:line="240" w:lineRule="atLeast"/>
        <w:contextualSpacing w:val="0"/>
      </w:pPr>
      <w:r>
        <w:t xml:space="preserve">Other costs, such as those associated with the management of new risks associated with the implementation of new controls in response to the proposed WEL were not considered as this would be out of scope for this Decision RIS. There was also insufficient information to </w:t>
      </w:r>
      <w:r>
        <w:lastRenderedPageBreak/>
        <w:t xml:space="preserve">determine the specific impact that may be associated with the changing from a peak limitation to a TWA or STEL. </w:t>
      </w:r>
    </w:p>
    <w:p w14:paraId="6C09884C" w14:textId="621F1C34" w:rsidR="00103F7A" w:rsidRDefault="00717A15" w:rsidP="00103F7A">
      <w:pPr>
        <w:spacing w:line="240" w:lineRule="atLeast"/>
        <w:contextualSpacing w:val="0"/>
      </w:pPr>
      <w:r>
        <w:t xml:space="preserve">Stakeholders also raised that </w:t>
      </w:r>
      <w:r w:rsidR="006956AB">
        <w:t xml:space="preserve">there may be </w:t>
      </w:r>
      <w:r w:rsidR="00BD2EE1">
        <w:t xml:space="preserve">potential flow-on </w:t>
      </w:r>
      <w:r w:rsidR="006956AB">
        <w:t>costs associated with the proposed WELs</w:t>
      </w:r>
      <w:r w:rsidR="00BD2EE1">
        <w:t xml:space="preserve"> </w:t>
      </w:r>
      <w:r w:rsidR="002C7F01">
        <w:t>once</w:t>
      </w:r>
      <w:r w:rsidR="00BD2EE1">
        <w:t xml:space="preserve"> implement</w:t>
      </w:r>
      <w:r w:rsidR="002C7F01">
        <w:t>ed</w:t>
      </w:r>
      <w:r w:rsidR="00982F2F">
        <w:t>, such as businesses passing on costs to consumers and</w:t>
      </w:r>
      <w:r w:rsidR="00593C8B">
        <w:t xml:space="preserve"> </w:t>
      </w:r>
      <w:r w:rsidR="00CE01F1">
        <w:t xml:space="preserve">reduced business competitiveness with international competitors. However, </w:t>
      </w:r>
      <w:r w:rsidR="004F7383">
        <w:t xml:space="preserve">no </w:t>
      </w:r>
      <w:r w:rsidR="00596189">
        <w:t xml:space="preserve">further </w:t>
      </w:r>
      <w:r w:rsidR="00192F18">
        <w:t>information</w:t>
      </w:r>
      <w:r w:rsidR="00EE3C02">
        <w:t xml:space="preserve"> and data</w:t>
      </w:r>
      <w:r w:rsidR="00192F18">
        <w:t xml:space="preserve"> w</w:t>
      </w:r>
      <w:r w:rsidR="003C3393">
        <w:t>ere</w:t>
      </w:r>
      <w:r w:rsidR="00192F18">
        <w:t xml:space="preserve"> provided </w:t>
      </w:r>
      <w:r w:rsidR="00EE3C02">
        <w:t xml:space="preserve">by stakeholders </w:t>
      </w:r>
      <w:r w:rsidR="00192F18">
        <w:t>to demonstrate</w:t>
      </w:r>
      <w:r w:rsidR="00EE3C02">
        <w:t xml:space="preserve"> the </w:t>
      </w:r>
      <w:r w:rsidR="00103968">
        <w:t xml:space="preserve">detailed nature, </w:t>
      </w:r>
      <w:r w:rsidR="00EE3C02">
        <w:t>extent</w:t>
      </w:r>
      <w:r w:rsidR="00103968">
        <w:t xml:space="preserve">, or </w:t>
      </w:r>
      <w:r w:rsidR="00CF0E36">
        <w:t>potential timing</w:t>
      </w:r>
      <w:r w:rsidR="00EE3C02">
        <w:t xml:space="preserve"> of the</w:t>
      </w:r>
      <w:r w:rsidR="00CF0E36">
        <w:t>se potential cost</w:t>
      </w:r>
      <w:r w:rsidR="00EE3C02">
        <w:t xml:space="preserve"> </w:t>
      </w:r>
      <w:r w:rsidR="003C3393">
        <w:t xml:space="preserve">implications. </w:t>
      </w:r>
    </w:p>
    <w:p w14:paraId="02AD0DE6" w14:textId="0EAE2659" w:rsidR="00537045" w:rsidRDefault="005D0BD0" w:rsidP="00103F7A">
      <w:pPr>
        <w:pStyle w:val="SWAHeading3"/>
      </w:pPr>
      <w:r>
        <w:t>N</w:t>
      </w:r>
      <w:r w:rsidR="0070496E">
        <w:t>et</w:t>
      </w:r>
      <w:r w:rsidR="000B5B09">
        <w:t xml:space="preserve"> benefit</w:t>
      </w:r>
    </w:p>
    <w:p w14:paraId="7DAC4ACC" w14:textId="2811E7F0" w:rsidR="007F7C2E" w:rsidRDefault="00286646" w:rsidP="00C95257">
      <w:pPr>
        <w:pStyle w:val="Paragraph"/>
        <w:keepNext w:val="0"/>
        <w:rPr>
          <w:lang w:eastAsia="en-US"/>
        </w:rPr>
      </w:pPr>
      <w:r>
        <w:rPr>
          <w:lang w:eastAsia="en-US"/>
        </w:rPr>
        <w:fldChar w:fldCharType="begin"/>
      </w:r>
      <w:r>
        <w:rPr>
          <w:lang w:eastAsia="en-US"/>
        </w:rPr>
        <w:instrText xml:space="preserve"> REF _Ref216691758 \h </w:instrText>
      </w:r>
      <w:r>
        <w:rPr>
          <w:lang w:eastAsia="en-US"/>
        </w:rPr>
      </w:r>
      <w:r>
        <w:rPr>
          <w:lang w:eastAsia="en-US"/>
        </w:rPr>
        <w:fldChar w:fldCharType="separate"/>
      </w:r>
      <w:r w:rsidR="00A002F4">
        <w:t xml:space="preserve">Table </w:t>
      </w:r>
      <w:r w:rsidR="00A002F4">
        <w:rPr>
          <w:noProof/>
        </w:rPr>
        <w:t>6</w:t>
      </w:r>
      <w:r>
        <w:rPr>
          <w:lang w:eastAsia="en-US"/>
        </w:rPr>
        <w:fldChar w:fldCharType="end"/>
      </w:r>
      <w:r w:rsidR="001A5531">
        <w:rPr>
          <w:lang w:eastAsia="en-US"/>
        </w:rPr>
        <w:t xml:space="preserve"> </w:t>
      </w:r>
      <w:r w:rsidR="00D94061">
        <w:rPr>
          <w:lang w:eastAsia="en-US"/>
        </w:rPr>
        <w:t>s</w:t>
      </w:r>
      <w:r w:rsidR="007F773C">
        <w:rPr>
          <w:lang w:eastAsia="en-US"/>
        </w:rPr>
        <w:t xml:space="preserve">ummarises the </w:t>
      </w:r>
      <w:r w:rsidR="001C18E4">
        <w:rPr>
          <w:lang w:eastAsia="en-US"/>
        </w:rPr>
        <w:t>quantified costs</w:t>
      </w:r>
      <w:r w:rsidR="007F773C">
        <w:rPr>
          <w:lang w:eastAsia="en-US"/>
        </w:rPr>
        <w:t xml:space="preserve"> and benefits</w:t>
      </w:r>
      <w:r w:rsidR="001C18E4">
        <w:rPr>
          <w:lang w:eastAsia="en-US"/>
        </w:rPr>
        <w:t xml:space="preserve"> associated with Option 2</w:t>
      </w:r>
      <w:r w:rsidR="007F773C">
        <w:rPr>
          <w:lang w:eastAsia="en-US"/>
        </w:rPr>
        <w:t xml:space="preserve">, noting that </w:t>
      </w:r>
      <w:r w:rsidR="00CD7D79">
        <w:rPr>
          <w:lang w:eastAsia="en-US"/>
        </w:rPr>
        <w:t xml:space="preserve">benefits could not be quantified </w:t>
      </w:r>
      <w:r w:rsidR="007F773C">
        <w:rPr>
          <w:lang w:eastAsia="en-US"/>
        </w:rPr>
        <w:t>for 4 out of the 9 chemicals considered in this Decision RIS</w:t>
      </w:r>
      <w:r w:rsidR="00EC6C73">
        <w:rPr>
          <w:lang w:eastAsia="en-US"/>
        </w:rPr>
        <w:t xml:space="preserve">. </w:t>
      </w:r>
      <w:r w:rsidR="00070546">
        <w:rPr>
          <w:lang w:eastAsia="en-US"/>
        </w:rPr>
        <w:t xml:space="preserve">It shows there is a </w:t>
      </w:r>
      <w:r w:rsidR="008B420C">
        <w:rPr>
          <w:lang w:eastAsia="en-US"/>
        </w:rPr>
        <w:t xml:space="preserve">quantified </w:t>
      </w:r>
      <w:r w:rsidR="00355530">
        <w:rPr>
          <w:lang w:eastAsia="en-US"/>
        </w:rPr>
        <w:t xml:space="preserve">gross </w:t>
      </w:r>
      <w:r w:rsidR="00070546">
        <w:rPr>
          <w:lang w:eastAsia="en-US"/>
        </w:rPr>
        <w:t xml:space="preserve">cost </w:t>
      </w:r>
      <w:r w:rsidR="008B420C">
        <w:rPr>
          <w:lang w:eastAsia="en-US"/>
        </w:rPr>
        <w:t xml:space="preserve">for each of the 9 chemicals, </w:t>
      </w:r>
      <w:r w:rsidR="001C18E4">
        <w:rPr>
          <w:lang w:eastAsia="en-US"/>
        </w:rPr>
        <w:t xml:space="preserve">with the exception of RCS </w:t>
      </w:r>
      <w:r w:rsidR="00D94061">
        <w:rPr>
          <w:lang w:eastAsia="en-US"/>
        </w:rPr>
        <w:t>for all industries excluding the mining industry.</w:t>
      </w:r>
    </w:p>
    <w:p w14:paraId="2C37218B" w14:textId="119B6DBF" w:rsidR="00C95257" w:rsidRDefault="003232E8" w:rsidP="00DB378B">
      <w:pPr>
        <w:pStyle w:val="Paragraph"/>
        <w:keepNext w:val="0"/>
        <w:rPr>
          <w:lang w:eastAsia="en-US"/>
        </w:rPr>
      </w:pPr>
      <w:r>
        <w:rPr>
          <w:lang w:eastAsia="en-US"/>
        </w:rPr>
        <w:t>For the 4 chemicals where benefits could not be quantified, t</w:t>
      </w:r>
      <w:r w:rsidR="007F7C2E">
        <w:rPr>
          <w:lang w:eastAsia="en-US"/>
        </w:rPr>
        <w:t xml:space="preserve">his </w:t>
      </w:r>
      <w:r>
        <w:rPr>
          <w:lang w:eastAsia="en-US"/>
        </w:rPr>
        <w:t>wa</w:t>
      </w:r>
      <w:r w:rsidR="003457B6">
        <w:rPr>
          <w:lang w:eastAsia="en-US"/>
        </w:rPr>
        <w:t xml:space="preserve">s due to the limited data available </w:t>
      </w:r>
      <w:r w:rsidR="0069081E">
        <w:rPr>
          <w:lang w:eastAsia="en-US"/>
        </w:rPr>
        <w:t>to quantify</w:t>
      </w:r>
      <w:r w:rsidR="000D02E3">
        <w:rPr>
          <w:lang w:eastAsia="en-US"/>
        </w:rPr>
        <w:t xml:space="preserve"> the </w:t>
      </w:r>
      <w:r w:rsidR="0069081E">
        <w:rPr>
          <w:lang w:eastAsia="en-US"/>
        </w:rPr>
        <w:t xml:space="preserve">benefits </w:t>
      </w:r>
      <w:r w:rsidR="00635E17">
        <w:rPr>
          <w:lang w:eastAsia="en-US"/>
        </w:rPr>
        <w:t>of the proposed WEL</w:t>
      </w:r>
      <w:r w:rsidR="0069081E">
        <w:rPr>
          <w:lang w:eastAsia="en-US"/>
        </w:rPr>
        <w:t xml:space="preserve">. </w:t>
      </w:r>
      <w:r w:rsidR="006312CC">
        <w:rPr>
          <w:lang w:eastAsia="en-US"/>
        </w:rPr>
        <w:t>However, this does not represent an absence of benefits for the proposed WELs for these 9 chemicals</w:t>
      </w:r>
      <w:r w:rsidR="0069081E">
        <w:rPr>
          <w:lang w:eastAsia="en-US"/>
        </w:rPr>
        <w:t xml:space="preserve">, if implemented. </w:t>
      </w:r>
    </w:p>
    <w:p w14:paraId="7C4C438F" w14:textId="3E02941E" w:rsidR="00286646" w:rsidRDefault="00286646" w:rsidP="00701063">
      <w:pPr>
        <w:pStyle w:val="Caption"/>
      </w:pPr>
      <w:bookmarkStart w:id="60" w:name="_Ref216691758"/>
      <w:r>
        <w:t xml:space="preserve">Table </w:t>
      </w:r>
      <w:fldSimple w:instr=" SEQ Table \* ARABIC ">
        <w:r w:rsidR="00A002F4">
          <w:rPr>
            <w:noProof/>
          </w:rPr>
          <w:t>6</w:t>
        </w:r>
      </w:fldSimple>
      <w:bookmarkEnd w:id="60"/>
      <w:r>
        <w:t xml:space="preserve"> -</w:t>
      </w:r>
      <w:r w:rsidRPr="00F21CB0">
        <w:t xml:space="preserve"> </w:t>
      </w:r>
      <w:r w:rsidR="006D03CA">
        <w:t>Q</w:t>
      </w:r>
      <w:r w:rsidRPr="00F21CB0">
        <w:t xml:space="preserve">uantified </w:t>
      </w:r>
      <w:r w:rsidR="006D03CA">
        <w:t>gross</w:t>
      </w:r>
      <w:r w:rsidRPr="00F21CB0">
        <w:t xml:space="preserve"> benefits </w:t>
      </w:r>
      <w:r w:rsidR="006D03CA">
        <w:t>of</w:t>
      </w:r>
      <w:r w:rsidRPr="00F21CB0">
        <w:t xml:space="preserve"> the </w:t>
      </w:r>
      <w:r w:rsidR="006D03CA">
        <w:t xml:space="preserve">proposed WEL for </w:t>
      </w:r>
      <w:r w:rsidRPr="00F21CB0">
        <w:t>9 chemicals, FY27 to FY36</w:t>
      </w:r>
    </w:p>
    <w:tbl>
      <w:tblPr>
        <w:tblStyle w:val="TableGrid"/>
        <w:tblW w:w="877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00"/>
        <w:gridCol w:w="2126"/>
        <w:gridCol w:w="2126"/>
        <w:gridCol w:w="2127"/>
      </w:tblGrid>
      <w:tr w:rsidR="003B57D4" w:rsidRPr="009911EB" w14:paraId="2F4C358E" w14:textId="77777777">
        <w:trPr>
          <w:trHeight w:val="144"/>
        </w:trPr>
        <w:tc>
          <w:tcPr>
            <w:tcW w:w="2400" w:type="dxa"/>
            <w:vMerge w:val="restart"/>
            <w:shd w:val="clear" w:color="auto" w:fill="4877E0"/>
          </w:tcPr>
          <w:p w14:paraId="551E2CAB" w14:textId="0CFB4479" w:rsidR="003B57D4" w:rsidRPr="00B331EE" w:rsidRDefault="003B57D4">
            <w:pPr>
              <w:spacing w:after="0" w:line="240" w:lineRule="atLeast"/>
              <w:rPr>
                <w:rFonts w:eastAsia="Times New Roman"/>
                <w:b/>
                <w:color w:val="FFFFFF" w:themeColor="background1"/>
                <w:sz w:val="20"/>
                <w:szCs w:val="20"/>
                <w:lang w:eastAsia="en-AU"/>
              </w:rPr>
            </w:pPr>
            <w:r w:rsidRPr="00701063">
              <w:rPr>
                <w:rFonts w:eastAsia="Times New Roman"/>
                <w:b/>
                <w:color w:val="FFFFFF" w:themeColor="background1"/>
                <w:sz w:val="20"/>
                <w:szCs w:val="20"/>
                <w:lang w:eastAsia="en-AU"/>
              </w:rPr>
              <w:t>Chemical</w:t>
            </w:r>
          </w:p>
        </w:tc>
        <w:tc>
          <w:tcPr>
            <w:tcW w:w="6379" w:type="dxa"/>
            <w:gridSpan w:val="3"/>
            <w:shd w:val="clear" w:color="auto" w:fill="4877E0" w:themeFill="accent1"/>
          </w:tcPr>
          <w:p w14:paraId="35DE616C" w14:textId="2B49D8B0" w:rsidR="003B57D4" w:rsidRDefault="003B57D4">
            <w:pPr>
              <w:spacing w:after="0" w:line="240" w:lineRule="atLeast"/>
              <w:contextualSpacing w:val="0"/>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Quantified ($, millions, discounted)</w:t>
            </w:r>
          </w:p>
        </w:tc>
      </w:tr>
      <w:tr w:rsidR="00194780" w:rsidRPr="009911EB" w14:paraId="76E6027F" w14:textId="75A094CD" w:rsidTr="00981B37">
        <w:trPr>
          <w:trHeight w:val="144"/>
        </w:trPr>
        <w:tc>
          <w:tcPr>
            <w:tcW w:w="2400" w:type="dxa"/>
            <w:vMerge/>
            <w:shd w:val="clear" w:color="auto" w:fill="4877E0"/>
          </w:tcPr>
          <w:p w14:paraId="6E42AD6C" w14:textId="3E83BFC3" w:rsidR="003B57D4" w:rsidRPr="009576C3" w:rsidRDefault="003B57D4" w:rsidP="009576C3">
            <w:pPr>
              <w:spacing w:after="0" w:line="240" w:lineRule="atLeast"/>
              <w:contextualSpacing w:val="0"/>
              <w:rPr>
                <w:rFonts w:eastAsia="Times New Roman"/>
                <w:b/>
                <w:color w:val="FFFFFF" w:themeColor="background1"/>
                <w:sz w:val="20"/>
                <w:szCs w:val="20"/>
                <w:lang w:eastAsia="en-AU"/>
              </w:rPr>
            </w:pPr>
          </w:p>
        </w:tc>
        <w:tc>
          <w:tcPr>
            <w:tcW w:w="2126" w:type="dxa"/>
            <w:shd w:val="clear" w:color="auto" w:fill="4877E0" w:themeFill="accent1"/>
          </w:tcPr>
          <w:p w14:paraId="2D4F6E89" w14:textId="19B2D94C" w:rsidR="003B57D4" w:rsidRPr="00F42B20" w:rsidRDefault="003B57D4" w:rsidP="009576C3">
            <w:pPr>
              <w:spacing w:after="0" w:line="240" w:lineRule="atLeast"/>
              <w:contextualSpacing w:val="0"/>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B</w:t>
            </w:r>
            <w:r w:rsidRPr="00F42B20">
              <w:rPr>
                <w:rFonts w:eastAsia="Times New Roman"/>
                <w:b/>
                <w:bCs/>
                <w:color w:val="FFFFFF" w:themeColor="background1"/>
                <w:sz w:val="20"/>
                <w:szCs w:val="20"/>
                <w:lang w:eastAsia="en-AU"/>
              </w:rPr>
              <w:t>enefits</w:t>
            </w:r>
          </w:p>
        </w:tc>
        <w:tc>
          <w:tcPr>
            <w:tcW w:w="2126" w:type="dxa"/>
            <w:shd w:val="clear" w:color="auto" w:fill="4877E0" w:themeFill="accent1"/>
          </w:tcPr>
          <w:p w14:paraId="2FB19708" w14:textId="402DB276" w:rsidR="003B57D4" w:rsidRPr="00F42B20" w:rsidRDefault="003B57D4" w:rsidP="009576C3">
            <w:pPr>
              <w:spacing w:after="0" w:line="240" w:lineRule="atLeast"/>
              <w:contextualSpacing w:val="0"/>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C</w:t>
            </w:r>
            <w:r w:rsidRPr="00F42B20">
              <w:rPr>
                <w:rFonts w:eastAsia="Times New Roman"/>
                <w:b/>
                <w:bCs/>
                <w:color w:val="FFFFFF" w:themeColor="background1"/>
                <w:sz w:val="20"/>
                <w:szCs w:val="20"/>
                <w:lang w:eastAsia="en-AU"/>
              </w:rPr>
              <w:t>osts</w:t>
            </w:r>
          </w:p>
        </w:tc>
        <w:tc>
          <w:tcPr>
            <w:tcW w:w="2127" w:type="dxa"/>
            <w:tcBorders>
              <w:bottom w:val="single" w:sz="4" w:space="0" w:color="BFBFBF" w:themeColor="background1" w:themeShade="BF"/>
            </w:tcBorders>
            <w:shd w:val="clear" w:color="auto" w:fill="4877E0"/>
          </w:tcPr>
          <w:p w14:paraId="2C796FDD" w14:textId="1CF67D88" w:rsidR="003B57D4" w:rsidRPr="00F42B20" w:rsidRDefault="005F229A" w:rsidP="009576C3">
            <w:pPr>
              <w:spacing w:after="0" w:line="240" w:lineRule="atLeast"/>
              <w:contextualSpacing w:val="0"/>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 xml:space="preserve">Quantified gross </w:t>
            </w:r>
            <w:r w:rsidR="003B57D4">
              <w:rPr>
                <w:rFonts w:eastAsia="Times New Roman"/>
                <w:b/>
                <w:bCs/>
                <w:color w:val="FFFFFF" w:themeColor="background1"/>
                <w:sz w:val="20"/>
                <w:szCs w:val="20"/>
                <w:lang w:eastAsia="en-AU"/>
              </w:rPr>
              <w:t>benefit</w:t>
            </w:r>
            <w:r w:rsidR="006D69D1">
              <w:rPr>
                <w:rFonts w:eastAsia="Times New Roman"/>
                <w:b/>
                <w:bCs/>
                <w:color w:val="FFFFFF" w:themeColor="background1"/>
                <w:sz w:val="20"/>
                <w:szCs w:val="20"/>
                <w:lang w:eastAsia="en-AU"/>
              </w:rPr>
              <w:t xml:space="preserve"> **</w:t>
            </w:r>
          </w:p>
        </w:tc>
      </w:tr>
      <w:tr w:rsidR="00053BA5" w:rsidRPr="009911EB" w14:paraId="777CAE43" w14:textId="77777777" w:rsidTr="00F42B20">
        <w:trPr>
          <w:trHeight w:val="302"/>
        </w:trPr>
        <w:tc>
          <w:tcPr>
            <w:tcW w:w="2400" w:type="dxa"/>
          </w:tcPr>
          <w:p w14:paraId="7E3F5D45" w14:textId="77777777" w:rsidR="00053BA5" w:rsidRPr="00F42B20" w:rsidRDefault="00053BA5" w:rsidP="00F42B20">
            <w:pPr>
              <w:spacing w:after="0" w:line="276" w:lineRule="auto"/>
              <w:contextualSpacing w:val="0"/>
              <w:rPr>
                <w:rFonts w:eastAsia="Times New Roman"/>
                <w:b/>
                <w:sz w:val="20"/>
                <w:szCs w:val="20"/>
                <w:lang w:eastAsia="en-AU"/>
              </w:rPr>
            </w:pPr>
            <w:r w:rsidRPr="00F42B20">
              <w:rPr>
                <w:rFonts w:eastAsia="Times New Roman"/>
                <w:b/>
                <w:sz w:val="20"/>
                <w:szCs w:val="20"/>
                <w:lang w:eastAsia="en-AU"/>
              </w:rPr>
              <w:t>Benzene</w:t>
            </w:r>
          </w:p>
        </w:tc>
        <w:tc>
          <w:tcPr>
            <w:tcW w:w="2126" w:type="dxa"/>
            <w:vAlign w:val="bottom"/>
          </w:tcPr>
          <w:p w14:paraId="37775745" w14:textId="67C3BD4C" w:rsidR="00053BA5" w:rsidRPr="00053BA5" w:rsidRDefault="00053BA5" w:rsidP="00F42B20">
            <w:pPr>
              <w:spacing w:after="0" w:line="276" w:lineRule="auto"/>
              <w:contextualSpacing w:val="0"/>
              <w:jc w:val="right"/>
              <w:rPr>
                <w:rFonts w:cs="Arial"/>
                <w:color w:val="000000"/>
                <w:szCs w:val="22"/>
              </w:rPr>
            </w:pPr>
            <w:r w:rsidRPr="00F42B20">
              <w:rPr>
                <w:rFonts w:cs="Arial"/>
                <w:color w:val="000000"/>
                <w:szCs w:val="22"/>
              </w:rPr>
              <w:t>439</w:t>
            </w:r>
          </w:p>
        </w:tc>
        <w:tc>
          <w:tcPr>
            <w:tcW w:w="2126" w:type="dxa"/>
            <w:tcBorders>
              <w:right w:val="single" w:sz="4" w:space="0" w:color="BFBFBF" w:themeColor="background1" w:themeShade="BF"/>
            </w:tcBorders>
            <w:vAlign w:val="bottom"/>
          </w:tcPr>
          <w:p w14:paraId="78DC9100" w14:textId="30E284DC" w:rsidR="00053BA5" w:rsidRPr="00053BA5" w:rsidRDefault="00053BA5" w:rsidP="00F42B20">
            <w:pPr>
              <w:spacing w:after="0" w:line="276" w:lineRule="auto"/>
              <w:contextualSpacing w:val="0"/>
              <w:jc w:val="right"/>
              <w:rPr>
                <w:rFonts w:cs="Arial"/>
                <w:color w:val="000000"/>
                <w:szCs w:val="22"/>
              </w:rPr>
            </w:pPr>
            <w:r w:rsidRPr="00F42B20">
              <w:rPr>
                <w:rFonts w:cs="Arial"/>
                <w:color w:val="000000"/>
                <w:szCs w:val="22"/>
              </w:rPr>
              <w:t>840</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CD6D7" w14:textId="3A438569" w:rsidR="00053BA5" w:rsidRPr="00F42B20" w:rsidRDefault="00053BA5" w:rsidP="00F42B20">
            <w:pPr>
              <w:spacing w:after="0" w:line="276" w:lineRule="auto"/>
              <w:contextualSpacing w:val="0"/>
              <w:jc w:val="right"/>
              <w:rPr>
                <w:rFonts w:eastAsia="Times New Roman" w:cs="Arial"/>
                <w:sz w:val="20"/>
                <w:szCs w:val="20"/>
                <w:lang w:eastAsia="en-AU"/>
              </w:rPr>
            </w:pPr>
            <w:r w:rsidRPr="00A27192">
              <w:rPr>
                <w:rFonts w:cs="Arial"/>
                <w:color w:val="000000"/>
                <w:szCs w:val="22"/>
              </w:rPr>
              <w:t>-401</w:t>
            </w:r>
          </w:p>
        </w:tc>
      </w:tr>
      <w:tr w:rsidR="00981B37" w:rsidRPr="009911EB" w14:paraId="07BB2FE0" w14:textId="77777777" w:rsidTr="00981B37">
        <w:trPr>
          <w:trHeight w:val="286"/>
        </w:trPr>
        <w:tc>
          <w:tcPr>
            <w:tcW w:w="2400" w:type="dxa"/>
            <w:shd w:val="clear" w:color="auto" w:fill="DAE3F8" w:themeFill="accent1" w:themeFillTint="33"/>
          </w:tcPr>
          <w:p w14:paraId="0C46C1DD" w14:textId="77777777" w:rsidR="00053BA5" w:rsidRPr="00F42B20" w:rsidRDefault="00053BA5" w:rsidP="00F4272B">
            <w:pPr>
              <w:spacing w:after="0" w:line="276" w:lineRule="auto"/>
              <w:contextualSpacing w:val="0"/>
              <w:rPr>
                <w:rFonts w:eastAsia="Times New Roman"/>
                <w:b/>
                <w:sz w:val="20"/>
                <w:szCs w:val="20"/>
                <w:lang w:eastAsia="en-AU"/>
              </w:rPr>
            </w:pPr>
            <w:r w:rsidRPr="00F42B20">
              <w:rPr>
                <w:rFonts w:eastAsia="Times New Roman"/>
                <w:b/>
                <w:sz w:val="20"/>
                <w:szCs w:val="20"/>
                <w:lang w:eastAsia="en-AU"/>
              </w:rPr>
              <w:t>Chlorine</w:t>
            </w:r>
          </w:p>
        </w:tc>
        <w:tc>
          <w:tcPr>
            <w:tcW w:w="2126" w:type="dxa"/>
            <w:shd w:val="clear" w:color="auto" w:fill="DAE3F8"/>
            <w:vAlign w:val="bottom"/>
          </w:tcPr>
          <w:p w14:paraId="24C73439" w14:textId="5B41F1B0" w:rsidR="00053BA5" w:rsidRPr="00053BA5" w:rsidRDefault="00053BA5" w:rsidP="00F4272B">
            <w:pPr>
              <w:spacing w:after="0" w:line="276" w:lineRule="auto"/>
              <w:contextualSpacing w:val="0"/>
              <w:jc w:val="right"/>
              <w:rPr>
                <w:rFonts w:cs="Arial"/>
                <w:color w:val="000000"/>
                <w:szCs w:val="22"/>
              </w:rPr>
            </w:pPr>
            <w:r w:rsidRPr="00C569A8">
              <w:rPr>
                <w:rFonts w:cs="Arial"/>
                <w:color w:val="000000"/>
                <w:szCs w:val="22"/>
              </w:rPr>
              <w:t>9</w:t>
            </w:r>
          </w:p>
        </w:tc>
        <w:tc>
          <w:tcPr>
            <w:tcW w:w="2126" w:type="dxa"/>
            <w:tcBorders>
              <w:right w:val="single" w:sz="4" w:space="0" w:color="BFBFBF" w:themeColor="background1" w:themeShade="BF"/>
            </w:tcBorders>
            <w:shd w:val="clear" w:color="auto" w:fill="DAE3F8"/>
            <w:vAlign w:val="bottom"/>
          </w:tcPr>
          <w:p w14:paraId="7B6F2BA9" w14:textId="7D0FB4C0" w:rsidR="00053BA5" w:rsidRPr="00053BA5" w:rsidRDefault="00053BA5" w:rsidP="00F4272B">
            <w:pPr>
              <w:spacing w:after="0" w:line="276" w:lineRule="auto"/>
              <w:contextualSpacing w:val="0"/>
              <w:jc w:val="right"/>
              <w:rPr>
                <w:rFonts w:cs="Arial"/>
                <w:color w:val="000000"/>
                <w:szCs w:val="22"/>
              </w:rPr>
            </w:pPr>
            <w:r w:rsidRPr="00C569A8">
              <w:rPr>
                <w:rFonts w:cs="Arial"/>
                <w:color w:val="000000"/>
                <w:szCs w:val="22"/>
              </w:rPr>
              <w:t>968</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6CBBA5CB" w14:textId="2C91FE32" w:rsidR="00053BA5" w:rsidRPr="00C569A8" w:rsidRDefault="00053BA5" w:rsidP="00F4272B">
            <w:pPr>
              <w:spacing w:after="0" w:line="276" w:lineRule="auto"/>
              <w:contextualSpacing w:val="0"/>
              <w:jc w:val="right"/>
              <w:rPr>
                <w:rFonts w:eastAsia="Times New Roman" w:cs="Arial"/>
                <w:sz w:val="20"/>
                <w:szCs w:val="20"/>
                <w:lang w:eastAsia="en-AU"/>
              </w:rPr>
            </w:pPr>
            <w:r w:rsidRPr="00A27192">
              <w:rPr>
                <w:rFonts w:cs="Arial"/>
                <w:color w:val="000000"/>
                <w:szCs w:val="22"/>
              </w:rPr>
              <w:t>-959</w:t>
            </w:r>
          </w:p>
        </w:tc>
      </w:tr>
      <w:tr w:rsidR="00053BA5" w:rsidRPr="009911EB" w14:paraId="3B5725B9" w14:textId="77777777" w:rsidTr="00C569A8">
        <w:trPr>
          <w:trHeight w:val="302"/>
        </w:trPr>
        <w:tc>
          <w:tcPr>
            <w:tcW w:w="2400" w:type="dxa"/>
          </w:tcPr>
          <w:p w14:paraId="181563A6" w14:textId="77777777" w:rsidR="00053BA5" w:rsidRPr="00C569A8" w:rsidRDefault="00053BA5" w:rsidP="00C569A8">
            <w:pPr>
              <w:spacing w:after="0" w:line="276" w:lineRule="auto"/>
              <w:contextualSpacing w:val="0"/>
              <w:rPr>
                <w:rFonts w:eastAsia="Times New Roman"/>
                <w:b/>
                <w:sz w:val="20"/>
                <w:szCs w:val="20"/>
                <w:lang w:eastAsia="en-AU"/>
              </w:rPr>
            </w:pPr>
            <w:r w:rsidRPr="00C569A8">
              <w:rPr>
                <w:rFonts w:eastAsia="Times New Roman"/>
                <w:b/>
                <w:sz w:val="20"/>
                <w:szCs w:val="20"/>
                <w:lang w:eastAsia="en-AU"/>
              </w:rPr>
              <w:t>Copper</w:t>
            </w:r>
          </w:p>
        </w:tc>
        <w:tc>
          <w:tcPr>
            <w:tcW w:w="2126" w:type="dxa"/>
            <w:vAlign w:val="bottom"/>
          </w:tcPr>
          <w:p w14:paraId="33B9C7DD" w14:textId="7F0CDDFB" w:rsidR="00053BA5" w:rsidRPr="00053BA5" w:rsidRDefault="00053BA5" w:rsidP="00C569A8">
            <w:pPr>
              <w:spacing w:after="0" w:line="276" w:lineRule="auto"/>
              <w:contextualSpacing w:val="0"/>
              <w:jc w:val="right"/>
              <w:rPr>
                <w:rFonts w:cs="Arial"/>
                <w:color w:val="000000"/>
                <w:szCs w:val="22"/>
              </w:rPr>
            </w:pPr>
            <w:r w:rsidRPr="00A51E76">
              <w:rPr>
                <w:rFonts w:cs="Arial"/>
                <w:color w:val="000000"/>
                <w:szCs w:val="22"/>
              </w:rPr>
              <w:t>ND</w:t>
            </w:r>
            <w:r w:rsidR="00C97A06">
              <w:rPr>
                <w:rFonts w:cs="Arial"/>
                <w:color w:val="000000"/>
                <w:szCs w:val="22"/>
              </w:rPr>
              <w:t>*</w:t>
            </w:r>
          </w:p>
        </w:tc>
        <w:tc>
          <w:tcPr>
            <w:tcW w:w="2126" w:type="dxa"/>
            <w:tcBorders>
              <w:right w:val="single" w:sz="4" w:space="0" w:color="BFBFBF" w:themeColor="background1" w:themeShade="BF"/>
            </w:tcBorders>
            <w:vAlign w:val="bottom"/>
          </w:tcPr>
          <w:p w14:paraId="5C2BAA2C" w14:textId="4B7BDB62" w:rsidR="00053BA5" w:rsidRPr="00053BA5" w:rsidRDefault="00053BA5" w:rsidP="00C569A8">
            <w:pPr>
              <w:spacing w:after="0" w:line="276" w:lineRule="auto"/>
              <w:contextualSpacing w:val="0"/>
              <w:jc w:val="right"/>
              <w:rPr>
                <w:rFonts w:cs="Arial"/>
                <w:color w:val="000000"/>
                <w:szCs w:val="22"/>
              </w:rPr>
            </w:pPr>
            <w:r w:rsidRPr="00A51E76">
              <w:rPr>
                <w:rFonts w:cs="Arial"/>
                <w:color w:val="000000"/>
                <w:szCs w:val="22"/>
              </w:rPr>
              <w:t>1</w:t>
            </w:r>
            <w:r w:rsidR="003123B9">
              <w:rPr>
                <w:rFonts w:cs="Arial"/>
                <w:color w:val="000000"/>
                <w:szCs w:val="22"/>
              </w:rPr>
              <w:t>,</w:t>
            </w:r>
            <w:r w:rsidRPr="00A51E76">
              <w:rPr>
                <w:rFonts w:cs="Arial"/>
                <w:color w:val="000000"/>
                <w:szCs w:val="22"/>
              </w:rPr>
              <w:t>709</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3DE066" w14:textId="3EB5E8E6" w:rsidR="00053BA5" w:rsidRPr="00C569A8" w:rsidRDefault="00053BA5" w:rsidP="00C569A8">
            <w:pPr>
              <w:spacing w:after="0" w:line="276" w:lineRule="auto"/>
              <w:contextualSpacing w:val="0"/>
              <w:jc w:val="right"/>
              <w:rPr>
                <w:rFonts w:eastAsia="Times New Roman" w:cs="Arial"/>
                <w:sz w:val="20"/>
                <w:szCs w:val="20"/>
                <w:lang w:eastAsia="en-AU"/>
              </w:rPr>
            </w:pPr>
            <w:r>
              <w:rPr>
                <w:rFonts w:cs="Arial"/>
                <w:color w:val="000000"/>
                <w:szCs w:val="22"/>
              </w:rPr>
              <w:t>-1,709</w:t>
            </w:r>
          </w:p>
        </w:tc>
      </w:tr>
      <w:tr w:rsidR="00981B37" w:rsidRPr="009911EB" w14:paraId="621136E7" w14:textId="77777777" w:rsidTr="00981B37">
        <w:trPr>
          <w:trHeight w:val="302"/>
        </w:trPr>
        <w:tc>
          <w:tcPr>
            <w:tcW w:w="2400" w:type="dxa"/>
            <w:shd w:val="clear" w:color="auto" w:fill="DAE3F8" w:themeFill="accent1" w:themeFillTint="33"/>
          </w:tcPr>
          <w:p w14:paraId="6AF28A24" w14:textId="77777777" w:rsidR="00053BA5" w:rsidRPr="00A51E76" w:rsidRDefault="00053BA5" w:rsidP="00F4272B">
            <w:pPr>
              <w:spacing w:after="0" w:line="276" w:lineRule="auto"/>
              <w:contextualSpacing w:val="0"/>
              <w:rPr>
                <w:rFonts w:eastAsia="Times New Roman"/>
                <w:b/>
                <w:sz w:val="20"/>
                <w:szCs w:val="20"/>
                <w:lang w:eastAsia="en-AU"/>
              </w:rPr>
            </w:pPr>
            <w:r w:rsidRPr="00A51E76">
              <w:rPr>
                <w:rFonts w:eastAsia="Times New Roman"/>
                <w:b/>
                <w:sz w:val="20"/>
                <w:szCs w:val="20"/>
                <w:lang w:eastAsia="en-AU"/>
              </w:rPr>
              <w:t>Formaldehyde</w:t>
            </w:r>
          </w:p>
        </w:tc>
        <w:tc>
          <w:tcPr>
            <w:tcW w:w="2126" w:type="dxa"/>
            <w:shd w:val="clear" w:color="auto" w:fill="DAE3F8"/>
            <w:vAlign w:val="bottom"/>
          </w:tcPr>
          <w:p w14:paraId="2F30CB85" w14:textId="6FC46FC4" w:rsidR="00053BA5" w:rsidRPr="00053BA5" w:rsidRDefault="00053BA5" w:rsidP="00F4272B">
            <w:pPr>
              <w:spacing w:after="0" w:line="276" w:lineRule="auto"/>
              <w:contextualSpacing w:val="0"/>
              <w:jc w:val="right"/>
              <w:rPr>
                <w:rFonts w:cs="Arial"/>
                <w:color w:val="000000"/>
                <w:szCs w:val="22"/>
              </w:rPr>
            </w:pPr>
            <w:r w:rsidRPr="00F212F9">
              <w:rPr>
                <w:rFonts w:cs="Arial"/>
                <w:color w:val="000000"/>
                <w:szCs w:val="22"/>
              </w:rPr>
              <w:t>45</w:t>
            </w:r>
          </w:p>
        </w:tc>
        <w:tc>
          <w:tcPr>
            <w:tcW w:w="2126" w:type="dxa"/>
            <w:tcBorders>
              <w:right w:val="single" w:sz="4" w:space="0" w:color="BFBFBF" w:themeColor="background1" w:themeShade="BF"/>
            </w:tcBorders>
            <w:shd w:val="clear" w:color="auto" w:fill="DAE3F8"/>
            <w:vAlign w:val="bottom"/>
          </w:tcPr>
          <w:p w14:paraId="47139D3F" w14:textId="60AC744B" w:rsidR="00053BA5" w:rsidRPr="00053BA5" w:rsidRDefault="00053BA5" w:rsidP="00F4272B">
            <w:pPr>
              <w:spacing w:after="0" w:line="276" w:lineRule="auto"/>
              <w:contextualSpacing w:val="0"/>
              <w:jc w:val="right"/>
              <w:rPr>
                <w:rFonts w:cs="Arial"/>
                <w:color w:val="000000"/>
                <w:szCs w:val="22"/>
              </w:rPr>
            </w:pPr>
            <w:r w:rsidRPr="00F212F9">
              <w:rPr>
                <w:rFonts w:cs="Arial"/>
                <w:color w:val="000000"/>
                <w:szCs w:val="22"/>
              </w:rPr>
              <w:t>1</w:t>
            </w:r>
            <w:r w:rsidR="003123B9">
              <w:rPr>
                <w:rFonts w:cs="Arial"/>
                <w:color w:val="000000"/>
                <w:szCs w:val="22"/>
              </w:rPr>
              <w:t>,</w:t>
            </w:r>
            <w:r w:rsidRPr="00F212F9">
              <w:rPr>
                <w:rFonts w:cs="Arial"/>
                <w:color w:val="000000"/>
                <w:szCs w:val="22"/>
              </w:rPr>
              <w:t>669</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4EC90633" w14:textId="22848855" w:rsidR="00053BA5" w:rsidRPr="00A51E76" w:rsidRDefault="00053BA5" w:rsidP="00F4272B">
            <w:pPr>
              <w:spacing w:after="0" w:line="276" w:lineRule="auto"/>
              <w:contextualSpacing w:val="0"/>
              <w:jc w:val="right"/>
              <w:rPr>
                <w:rFonts w:eastAsia="Times New Roman" w:cs="Arial"/>
                <w:sz w:val="20"/>
                <w:szCs w:val="20"/>
                <w:lang w:eastAsia="en-AU"/>
              </w:rPr>
            </w:pPr>
            <w:r w:rsidRPr="00A27192">
              <w:rPr>
                <w:rFonts w:cs="Arial"/>
                <w:color w:val="000000"/>
                <w:szCs w:val="22"/>
              </w:rPr>
              <w:t>-1,624</w:t>
            </w:r>
          </w:p>
        </w:tc>
      </w:tr>
      <w:tr w:rsidR="00053BA5" w:rsidRPr="009911EB" w14:paraId="0EE60E1B" w14:textId="77777777" w:rsidTr="00F212F9">
        <w:trPr>
          <w:trHeight w:val="286"/>
        </w:trPr>
        <w:tc>
          <w:tcPr>
            <w:tcW w:w="2400" w:type="dxa"/>
          </w:tcPr>
          <w:p w14:paraId="0F82BE78" w14:textId="77777777" w:rsidR="00053BA5" w:rsidRPr="00F212F9" w:rsidRDefault="00053BA5" w:rsidP="00F212F9">
            <w:pPr>
              <w:spacing w:after="0" w:line="276" w:lineRule="auto"/>
              <w:contextualSpacing w:val="0"/>
              <w:rPr>
                <w:rFonts w:eastAsia="Times New Roman"/>
                <w:b/>
                <w:sz w:val="20"/>
                <w:szCs w:val="20"/>
                <w:lang w:eastAsia="en-AU"/>
              </w:rPr>
            </w:pPr>
            <w:r w:rsidRPr="00F212F9">
              <w:rPr>
                <w:rFonts w:eastAsia="Times New Roman"/>
                <w:b/>
                <w:sz w:val="20"/>
                <w:szCs w:val="20"/>
                <w:lang w:eastAsia="en-AU"/>
              </w:rPr>
              <w:t>Hydrogen cyanide</w:t>
            </w:r>
          </w:p>
        </w:tc>
        <w:tc>
          <w:tcPr>
            <w:tcW w:w="2126" w:type="dxa"/>
            <w:vAlign w:val="bottom"/>
          </w:tcPr>
          <w:p w14:paraId="79FFE8DA" w14:textId="005BE1BF"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ND</w:t>
            </w:r>
            <w:r w:rsidR="00C97A06">
              <w:rPr>
                <w:rFonts w:cs="Arial"/>
                <w:color w:val="000000"/>
                <w:szCs w:val="22"/>
              </w:rPr>
              <w:t>*</w:t>
            </w:r>
          </w:p>
        </w:tc>
        <w:tc>
          <w:tcPr>
            <w:tcW w:w="2126" w:type="dxa"/>
            <w:tcBorders>
              <w:right w:val="single" w:sz="4" w:space="0" w:color="BFBFBF" w:themeColor="background1" w:themeShade="BF"/>
            </w:tcBorders>
            <w:vAlign w:val="bottom"/>
          </w:tcPr>
          <w:p w14:paraId="65B0E21A" w14:textId="510D3240"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318</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DA3A19" w14:textId="252CA432" w:rsidR="00053BA5" w:rsidRPr="00F212F9" w:rsidRDefault="00053BA5" w:rsidP="00F212F9">
            <w:pPr>
              <w:spacing w:after="0" w:line="276" w:lineRule="auto"/>
              <w:contextualSpacing w:val="0"/>
              <w:jc w:val="right"/>
              <w:rPr>
                <w:rFonts w:eastAsia="Times New Roman" w:cs="Arial"/>
                <w:sz w:val="20"/>
                <w:szCs w:val="20"/>
                <w:lang w:eastAsia="en-AU"/>
              </w:rPr>
            </w:pPr>
            <w:r>
              <w:rPr>
                <w:rFonts w:cs="Arial"/>
                <w:color w:val="000000"/>
                <w:szCs w:val="22"/>
              </w:rPr>
              <w:t>-318</w:t>
            </w:r>
          </w:p>
        </w:tc>
      </w:tr>
      <w:tr w:rsidR="00981B37" w:rsidRPr="009911EB" w14:paraId="7588F5BE" w14:textId="77777777" w:rsidTr="00981B37">
        <w:trPr>
          <w:trHeight w:val="230"/>
        </w:trPr>
        <w:tc>
          <w:tcPr>
            <w:tcW w:w="2400" w:type="dxa"/>
            <w:shd w:val="clear" w:color="auto" w:fill="DAE3F8" w:themeFill="accent1" w:themeFillTint="33"/>
          </w:tcPr>
          <w:p w14:paraId="0FCFAF6D" w14:textId="77777777" w:rsidR="00053BA5" w:rsidRPr="00F212F9" w:rsidRDefault="00053BA5" w:rsidP="00C569A8">
            <w:pPr>
              <w:spacing w:after="0" w:line="276" w:lineRule="auto"/>
              <w:contextualSpacing w:val="0"/>
              <w:rPr>
                <w:rFonts w:eastAsia="Times New Roman"/>
                <w:b/>
                <w:bCs/>
                <w:sz w:val="20"/>
                <w:szCs w:val="20"/>
                <w:lang w:eastAsia="en-AU"/>
              </w:rPr>
            </w:pPr>
            <w:r w:rsidRPr="00F212F9">
              <w:rPr>
                <w:rFonts w:eastAsia="Times New Roman"/>
                <w:b/>
                <w:bCs/>
                <w:sz w:val="20"/>
                <w:szCs w:val="20"/>
                <w:lang w:eastAsia="en-AU"/>
              </w:rPr>
              <w:t>Hydrogen sulfide</w:t>
            </w:r>
          </w:p>
        </w:tc>
        <w:tc>
          <w:tcPr>
            <w:tcW w:w="2126" w:type="dxa"/>
            <w:shd w:val="clear" w:color="auto" w:fill="DAE3F8"/>
            <w:vAlign w:val="bottom"/>
          </w:tcPr>
          <w:p w14:paraId="31F8981B" w14:textId="56F7E915" w:rsidR="00053BA5" w:rsidRPr="00053BA5" w:rsidRDefault="00053BA5" w:rsidP="00C569A8">
            <w:pPr>
              <w:spacing w:after="0" w:line="276" w:lineRule="auto"/>
              <w:contextualSpacing w:val="0"/>
              <w:jc w:val="right"/>
              <w:rPr>
                <w:rFonts w:cs="Arial"/>
                <w:color w:val="000000"/>
                <w:szCs w:val="22"/>
              </w:rPr>
            </w:pPr>
            <w:r w:rsidRPr="00F212F9">
              <w:rPr>
                <w:rFonts w:cs="Arial"/>
                <w:color w:val="000000"/>
                <w:szCs w:val="22"/>
              </w:rPr>
              <w:t>7</w:t>
            </w:r>
          </w:p>
        </w:tc>
        <w:tc>
          <w:tcPr>
            <w:tcW w:w="2126" w:type="dxa"/>
            <w:tcBorders>
              <w:right w:val="single" w:sz="4" w:space="0" w:color="BFBFBF" w:themeColor="background1" w:themeShade="BF"/>
            </w:tcBorders>
            <w:shd w:val="clear" w:color="auto" w:fill="DAE3F8"/>
            <w:vAlign w:val="bottom"/>
          </w:tcPr>
          <w:p w14:paraId="2BA1A434" w14:textId="024DA908" w:rsidR="00053BA5" w:rsidRPr="00053BA5" w:rsidRDefault="00053BA5" w:rsidP="00C569A8">
            <w:pPr>
              <w:spacing w:after="0" w:line="276" w:lineRule="auto"/>
              <w:contextualSpacing w:val="0"/>
              <w:jc w:val="right"/>
              <w:rPr>
                <w:rFonts w:cs="Arial"/>
                <w:color w:val="000000"/>
                <w:szCs w:val="22"/>
              </w:rPr>
            </w:pPr>
            <w:r w:rsidRPr="00F212F9">
              <w:rPr>
                <w:rFonts w:cs="Arial"/>
                <w:color w:val="000000"/>
                <w:szCs w:val="22"/>
              </w:rPr>
              <w:t>1,907</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2F12DA8E" w14:textId="770C3AC2" w:rsidR="00053BA5" w:rsidRPr="00F212F9" w:rsidRDefault="00053BA5" w:rsidP="00C569A8">
            <w:pPr>
              <w:spacing w:after="0" w:line="276" w:lineRule="auto"/>
              <w:contextualSpacing w:val="0"/>
              <w:jc w:val="right"/>
              <w:rPr>
                <w:rFonts w:eastAsia="Times New Roman" w:cs="Arial"/>
                <w:sz w:val="20"/>
                <w:szCs w:val="20"/>
                <w:lang w:eastAsia="en-AU"/>
              </w:rPr>
            </w:pPr>
            <w:r w:rsidRPr="00A27192">
              <w:rPr>
                <w:rFonts w:cs="Arial"/>
                <w:color w:val="000000"/>
                <w:szCs w:val="22"/>
              </w:rPr>
              <w:t>-1,900</w:t>
            </w:r>
          </w:p>
        </w:tc>
      </w:tr>
      <w:tr w:rsidR="00053BA5" w:rsidRPr="009911EB" w14:paraId="5071206F" w14:textId="77777777" w:rsidTr="00F212F9">
        <w:trPr>
          <w:trHeight w:val="302"/>
        </w:trPr>
        <w:tc>
          <w:tcPr>
            <w:tcW w:w="2400" w:type="dxa"/>
          </w:tcPr>
          <w:p w14:paraId="2562F4DD" w14:textId="77777777" w:rsidR="00053BA5" w:rsidRPr="00F212F9" w:rsidRDefault="00053BA5" w:rsidP="00F212F9">
            <w:pPr>
              <w:spacing w:after="0" w:line="276" w:lineRule="auto"/>
              <w:contextualSpacing w:val="0"/>
              <w:rPr>
                <w:rFonts w:eastAsia="Times New Roman"/>
                <w:b/>
                <w:sz w:val="20"/>
                <w:szCs w:val="20"/>
                <w:lang w:eastAsia="en-AU"/>
              </w:rPr>
            </w:pPr>
            <w:r w:rsidRPr="00F212F9">
              <w:rPr>
                <w:rFonts w:eastAsia="Times New Roman"/>
                <w:b/>
                <w:sz w:val="20"/>
                <w:szCs w:val="20"/>
                <w:lang w:eastAsia="en-AU"/>
              </w:rPr>
              <w:t>Nitrogen dioxide</w:t>
            </w:r>
          </w:p>
        </w:tc>
        <w:tc>
          <w:tcPr>
            <w:tcW w:w="2126" w:type="dxa"/>
            <w:vAlign w:val="bottom"/>
          </w:tcPr>
          <w:p w14:paraId="56D6C650" w14:textId="1033F51E"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ND</w:t>
            </w:r>
            <w:r w:rsidR="00C97A06">
              <w:rPr>
                <w:rFonts w:cs="Arial"/>
                <w:color w:val="000000"/>
                <w:szCs w:val="22"/>
              </w:rPr>
              <w:t>*</w:t>
            </w:r>
          </w:p>
        </w:tc>
        <w:tc>
          <w:tcPr>
            <w:tcW w:w="2126" w:type="dxa"/>
            <w:tcBorders>
              <w:right w:val="single" w:sz="4" w:space="0" w:color="BFBFBF" w:themeColor="background1" w:themeShade="BF"/>
            </w:tcBorders>
            <w:vAlign w:val="bottom"/>
          </w:tcPr>
          <w:p w14:paraId="77AEA3B6" w14:textId="785A3AF8"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2,703</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9CDEBD" w14:textId="7B145526" w:rsidR="00053BA5" w:rsidRPr="00F212F9" w:rsidRDefault="00053BA5" w:rsidP="00F212F9">
            <w:pPr>
              <w:spacing w:after="0" w:line="276" w:lineRule="auto"/>
              <w:contextualSpacing w:val="0"/>
              <w:jc w:val="right"/>
              <w:rPr>
                <w:rFonts w:eastAsia="Times New Roman" w:cs="Arial"/>
                <w:sz w:val="20"/>
                <w:szCs w:val="20"/>
                <w:lang w:eastAsia="en-AU"/>
              </w:rPr>
            </w:pPr>
            <w:r>
              <w:rPr>
                <w:rFonts w:cs="Arial"/>
                <w:color w:val="000000"/>
                <w:szCs w:val="22"/>
              </w:rPr>
              <w:t>-2,703</w:t>
            </w:r>
          </w:p>
        </w:tc>
      </w:tr>
      <w:tr w:rsidR="00053BA5" w:rsidRPr="009911EB" w14:paraId="50B05F6F" w14:textId="77777777" w:rsidTr="00F212F9">
        <w:trPr>
          <w:trHeight w:val="286"/>
        </w:trPr>
        <w:tc>
          <w:tcPr>
            <w:tcW w:w="2400" w:type="dxa"/>
            <w:shd w:val="clear" w:color="auto" w:fill="DAE3F8" w:themeFill="accent1" w:themeFillTint="33"/>
          </w:tcPr>
          <w:p w14:paraId="5DCC4340" w14:textId="00A7EE22" w:rsidR="00053BA5" w:rsidRPr="00F212F9" w:rsidRDefault="00053BA5" w:rsidP="00F212F9">
            <w:pPr>
              <w:spacing w:after="0" w:line="276" w:lineRule="auto"/>
              <w:contextualSpacing w:val="0"/>
              <w:rPr>
                <w:rFonts w:eastAsia="Times New Roman"/>
                <w:b/>
                <w:sz w:val="20"/>
                <w:szCs w:val="20"/>
                <w:lang w:eastAsia="en-AU"/>
              </w:rPr>
            </w:pPr>
            <w:r w:rsidRPr="00F212F9">
              <w:rPr>
                <w:rFonts w:eastAsia="Times New Roman"/>
                <w:b/>
                <w:sz w:val="20"/>
                <w:szCs w:val="20"/>
                <w:lang w:eastAsia="en-AU"/>
              </w:rPr>
              <w:t>Respirable crystalline silica (excl. mining industry)</w:t>
            </w:r>
          </w:p>
        </w:tc>
        <w:tc>
          <w:tcPr>
            <w:tcW w:w="2126" w:type="dxa"/>
            <w:shd w:val="clear" w:color="auto" w:fill="DAE3F8"/>
          </w:tcPr>
          <w:p w14:paraId="6FE816A2" w14:textId="78F4646C"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10,145</w:t>
            </w:r>
          </w:p>
        </w:tc>
        <w:tc>
          <w:tcPr>
            <w:tcW w:w="2126" w:type="dxa"/>
            <w:tcBorders>
              <w:right w:val="single" w:sz="4" w:space="0" w:color="BFBFBF" w:themeColor="background1" w:themeShade="BF"/>
            </w:tcBorders>
            <w:shd w:val="clear" w:color="auto" w:fill="DAE3F8"/>
          </w:tcPr>
          <w:p w14:paraId="218BFE18" w14:textId="38953C99"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3,448</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21DF6862" w14:textId="459D00B0" w:rsidR="00053BA5" w:rsidRPr="00F212F9" w:rsidRDefault="00053BA5" w:rsidP="00F212F9">
            <w:pPr>
              <w:spacing w:after="0" w:line="276" w:lineRule="auto"/>
              <w:contextualSpacing w:val="0"/>
              <w:jc w:val="right"/>
              <w:rPr>
                <w:rFonts w:eastAsia="Times New Roman" w:cs="Arial"/>
                <w:sz w:val="20"/>
                <w:szCs w:val="20"/>
                <w:lang w:eastAsia="en-AU"/>
              </w:rPr>
            </w:pPr>
            <w:r>
              <w:rPr>
                <w:rFonts w:cs="Arial"/>
                <w:color w:val="000000"/>
                <w:szCs w:val="22"/>
              </w:rPr>
              <w:t>+</w:t>
            </w:r>
            <w:r w:rsidRPr="00A27192">
              <w:rPr>
                <w:rFonts w:cs="Arial"/>
                <w:color w:val="000000"/>
                <w:szCs w:val="22"/>
              </w:rPr>
              <w:t>6,697</w:t>
            </w:r>
          </w:p>
        </w:tc>
      </w:tr>
      <w:tr w:rsidR="00053BA5" w:rsidRPr="009911EB" w14:paraId="4473FCA2" w14:textId="77777777" w:rsidTr="00F212F9">
        <w:trPr>
          <w:trHeight w:val="286"/>
        </w:trPr>
        <w:tc>
          <w:tcPr>
            <w:tcW w:w="2400" w:type="dxa"/>
          </w:tcPr>
          <w:p w14:paraId="58642B38" w14:textId="77777777" w:rsidR="00053BA5" w:rsidRPr="00F212F9" w:rsidRDefault="00053BA5" w:rsidP="00F212F9">
            <w:pPr>
              <w:spacing w:after="0" w:line="276" w:lineRule="auto"/>
              <w:contextualSpacing w:val="0"/>
              <w:rPr>
                <w:rFonts w:eastAsia="Times New Roman"/>
                <w:b/>
                <w:bCs/>
                <w:sz w:val="20"/>
                <w:szCs w:val="20"/>
                <w:lang w:eastAsia="en-AU"/>
              </w:rPr>
            </w:pPr>
            <w:r w:rsidRPr="00F212F9">
              <w:rPr>
                <w:rFonts w:eastAsia="Times New Roman"/>
                <w:b/>
                <w:bCs/>
                <w:sz w:val="20"/>
                <w:szCs w:val="20"/>
                <w:lang w:eastAsia="en-AU"/>
              </w:rPr>
              <w:t>Respirable crystalline silica (mining industry)</w:t>
            </w:r>
            <w:r w:rsidRPr="00F212F9">
              <w:rPr>
                <w:rFonts w:eastAsia="Times New Roman"/>
                <w:b/>
                <w:bCs/>
                <w:sz w:val="20"/>
                <w:szCs w:val="20"/>
                <w:vertAlign w:val="superscript"/>
                <w:lang w:eastAsia="en-AU"/>
              </w:rPr>
              <w:footnoteReference w:id="15"/>
            </w:r>
          </w:p>
        </w:tc>
        <w:tc>
          <w:tcPr>
            <w:tcW w:w="2126" w:type="dxa"/>
          </w:tcPr>
          <w:p w14:paraId="6F46606E" w14:textId="52BD84C9"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2,490</w:t>
            </w:r>
          </w:p>
        </w:tc>
        <w:tc>
          <w:tcPr>
            <w:tcW w:w="2126" w:type="dxa"/>
            <w:tcBorders>
              <w:right w:val="single" w:sz="4" w:space="0" w:color="BFBFBF" w:themeColor="background1" w:themeShade="BF"/>
            </w:tcBorders>
          </w:tcPr>
          <w:p w14:paraId="06D58A53" w14:textId="504297C4"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18,483</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793984" w14:textId="5A288FDB" w:rsidR="00053BA5" w:rsidRPr="00F212F9" w:rsidRDefault="00053BA5" w:rsidP="00F212F9">
            <w:pPr>
              <w:spacing w:after="0" w:line="276" w:lineRule="auto"/>
              <w:contextualSpacing w:val="0"/>
              <w:jc w:val="right"/>
              <w:rPr>
                <w:rFonts w:eastAsia="Times New Roman" w:cs="Arial"/>
                <w:sz w:val="20"/>
                <w:szCs w:val="20"/>
                <w:lang w:eastAsia="en-AU"/>
              </w:rPr>
            </w:pPr>
            <w:r w:rsidRPr="00A27192">
              <w:rPr>
                <w:rFonts w:cs="Arial"/>
                <w:color w:val="000000"/>
                <w:szCs w:val="22"/>
              </w:rPr>
              <w:t>-15,993</w:t>
            </w:r>
          </w:p>
        </w:tc>
      </w:tr>
      <w:tr w:rsidR="00981B37" w:rsidRPr="009911EB" w14:paraId="264A6ECE" w14:textId="77777777" w:rsidTr="00981B37">
        <w:trPr>
          <w:trHeight w:val="60"/>
        </w:trPr>
        <w:tc>
          <w:tcPr>
            <w:tcW w:w="2400" w:type="dxa"/>
            <w:shd w:val="clear" w:color="auto" w:fill="DAE3F8" w:themeFill="accent1" w:themeFillTint="33"/>
          </w:tcPr>
          <w:p w14:paraId="7B291E22" w14:textId="77777777" w:rsidR="00053BA5" w:rsidRPr="00F212F9" w:rsidRDefault="00053BA5" w:rsidP="00F212F9">
            <w:pPr>
              <w:spacing w:after="0" w:line="276" w:lineRule="auto"/>
              <w:contextualSpacing w:val="0"/>
              <w:rPr>
                <w:rFonts w:eastAsia="Times New Roman"/>
                <w:b/>
                <w:sz w:val="20"/>
                <w:szCs w:val="20"/>
                <w:lang w:eastAsia="en-AU"/>
              </w:rPr>
            </w:pPr>
            <w:r w:rsidRPr="00F212F9">
              <w:rPr>
                <w:rFonts w:eastAsia="Times New Roman"/>
                <w:b/>
                <w:sz w:val="20"/>
                <w:szCs w:val="20"/>
                <w:lang w:eastAsia="en-AU"/>
              </w:rPr>
              <w:t>Titanium dioxide</w:t>
            </w:r>
          </w:p>
        </w:tc>
        <w:tc>
          <w:tcPr>
            <w:tcW w:w="2126" w:type="dxa"/>
            <w:shd w:val="clear" w:color="auto" w:fill="DAE3F8"/>
            <w:vAlign w:val="bottom"/>
          </w:tcPr>
          <w:p w14:paraId="69F28A0A" w14:textId="2BCD5871"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ND</w:t>
            </w:r>
            <w:r w:rsidR="00C97A06">
              <w:rPr>
                <w:rFonts w:cs="Arial"/>
                <w:color w:val="000000"/>
                <w:szCs w:val="22"/>
              </w:rPr>
              <w:t>*</w:t>
            </w:r>
          </w:p>
        </w:tc>
        <w:tc>
          <w:tcPr>
            <w:tcW w:w="2126" w:type="dxa"/>
            <w:tcBorders>
              <w:right w:val="single" w:sz="4" w:space="0" w:color="BFBFBF" w:themeColor="background1" w:themeShade="BF"/>
            </w:tcBorders>
            <w:shd w:val="clear" w:color="auto" w:fill="DAE3F8"/>
            <w:vAlign w:val="bottom"/>
          </w:tcPr>
          <w:p w14:paraId="526E92C0" w14:textId="25C52068" w:rsidR="00053BA5" w:rsidRPr="00053BA5" w:rsidRDefault="00053BA5" w:rsidP="00F212F9">
            <w:pPr>
              <w:spacing w:after="0" w:line="276" w:lineRule="auto"/>
              <w:contextualSpacing w:val="0"/>
              <w:jc w:val="right"/>
              <w:rPr>
                <w:rFonts w:cs="Arial"/>
                <w:color w:val="000000"/>
                <w:szCs w:val="22"/>
              </w:rPr>
            </w:pPr>
            <w:r w:rsidRPr="00F212F9">
              <w:rPr>
                <w:rFonts w:cs="Arial"/>
                <w:color w:val="000000"/>
                <w:szCs w:val="22"/>
              </w:rPr>
              <w:t>62</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6FA5396F" w14:textId="2E836099" w:rsidR="00053BA5" w:rsidRPr="00A51E76" w:rsidRDefault="00053BA5" w:rsidP="00F212F9">
            <w:pPr>
              <w:spacing w:after="0" w:line="276" w:lineRule="auto"/>
              <w:contextualSpacing w:val="0"/>
              <w:jc w:val="right"/>
              <w:rPr>
                <w:rFonts w:eastAsia="Times New Roman" w:cs="Arial"/>
                <w:sz w:val="20"/>
                <w:szCs w:val="20"/>
                <w:lang w:eastAsia="en-AU"/>
              </w:rPr>
            </w:pPr>
            <w:r>
              <w:rPr>
                <w:rFonts w:cs="Arial"/>
                <w:color w:val="000000"/>
                <w:szCs w:val="22"/>
              </w:rPr>
              <w:t>-62</w:t>
            </w:r>
          </w:p>
        </w:tc>
      </w:tr>
    </w:tbl>
    <w:p w14:paraId="0BC3CC02" w14:textId="55B4DBC7" w:rsidR="00C2747D" w:rsidRDefault="00DC38B5" w:rsidP="00A51E76">
      <w:pPr>
        <w:spacing w:after="200" w:line="240" w:lineRule="atLeast"/>
        <w:rPr>
          <w:i/>
          <w:iCs/>
          <w:color w:val="7F7F7F" w:themeColor="accent5"/>
          <w:sz w:val="14"/>
          <w:szCs w:val="14"/>
        </w:rPr>
      </w:pPr>
      <w:r w:rsidRPr="00A51E76">
        <w:rPr>
          <w:rFonts w:eastAsia="Times New Roman"/>
          <w:i/>
          <w:iCs/>
          <w:color w:val="808080" w:themeColor="background1" w:themeShade="80"/>
          <w:sz w:val="14"/>
          <w:szCs w:val="14"/>
        </w:rPr>
        <w:t>ND = Not determined due to insufficient data</w:t>
      </w:r>
      <w:r w:rsidR="00252EC9">
        <w:rPr>
          <w:rFonts w:eastAsia="Times New Roman"/>
          <w:i/>
          <w:iCs/>
          <w:color w:val="808080" w:themeColor="background1" w:themeShade="80"/>
          <w:sz w:val="14"/>
          <w:szCs w:val="14"/>
        </w:rPr>
        <w:t xml:space="preserve">. </w:t>
      </w:r>
      <w:r w:rsidR="00C97A06">
        <w:rPr>
          <w:rFonts w:eastAsia="Times New Roman"/>
          <w:i/>
          <w:iCs/>
          <w:color w:val="808080" w:themeColor="background1" w:themeShade="80"/>
          <w:sz w:val="14"/>
          <w:szCs w:val="14"/>
        </w:rPr>
        <w:br/>
        <w:t xml:space="preserve">* </w:t>
      </w:r>
      <w:r w:rsidR="00C2747D" w:rsidRPr="00A51E76">
        <w:rPr>
          <w:i/>
          <w:iCs/>
          <w:color w:val="7F7F7F" w:themeColor="accent5"/>
          <w:sz w:val="14"/>
          <w:szCs w:val="16"/>
        </w:rPr>
        <w:t xml:space="preserve">Benefits exist but were unable to be quantified. This should not be read as an absence of benefits. </w:t>
      </w:r>
      <w:r w:rsidR="00C97A06">
        <w:rPr>
          <w:i/>
          <w:iCs/>
          <w:color w:val="7F7F7F" w:themeColor="accent5"/>
          <w:sz w:val="14"/>
          <w:szCs w:val="16"/>
        </w:rPr>
        <w:br/>
      </w:r>
      <w:r w:rsidR="00C2747D" w:rsidRPr="00A51E76">
        <w:rPr>
          <w:i/>
          <w:iCs/>
          <w:color w:val="7F7F7F" w:themeColor="accent5"/>
          <w:sz w:val="14"/>
          <w:szCs w:val="14"/>
        </w:rPr>
        <w:t>** The</w:t>
      </w:r>
      <w:r w:rsidR="006D69D1">
        <w:rPr>
          <w:i/>
          <w:iCs/>
          <w:color w:val="7F7F7F" w:themeColor="accent5"/>
          <w:sz w:val="14"/>
          <w:szCs w:val="14"/>
        </w:rPr>
        <w:t xml:space="preserve"> net</w:t>
      </w:r>
      <w:r w:rsidR="00C2747D" w:rsidRPr="00A51E76">
        <w:rPr>
          <w:i/>
          <w:iCs/>
          <w:color w:val="7F7F7F" w:themeColor="accent5"/>
          <w:sz w:val="14"/>
          <w:szCs w:val="14"/>
        </w:rPr>
        <w:t xml:space="preserve"> quantified benefits should be read in conjunction with the non-quantifiable benefits set out above.</w:t>
      </w:r>
    </w:p>
    <w:p w14:paraId="1077AE7D" w14:textId="77777777" w:rsidR="00061FDC" w:rsidRDefault="00061FDC" w:rsidP="00061FDC"/>
    <w:p w14:paraId="503E70CF" w14:textId="67A5BCFF" w:rsidR="00061FDC" w:rsidRPr="00A51E76" w:rsidRDefault="00061FDC" w:rsidP="00B64384">
      <w:pPr>
        <w:spacing w:after="0"/>
      </w:pPr>
      <w:r>
        <w:t xml:space="preserve">The quantified gross benefit in </w:t>
      </w:r>
      <w:r>
        <w:fldChar w:fldCharType="begin"/>
      </w:r>
      <w:r>
        <w:instrText xml:space="preserve"> REF _Ref216691758 \h </w:instrText>
      </w:r>
      <w:r>
        <w:fldChar w:fldCharType="separate"/>
      </w:r>
      <w:r w:rsidR="00A002F4">
        <w:t xml:space="preserve">Table </w:t>
      </w:r>
      <w:r w:rsidR="00A002F4">
        <w:rPr>
          <w:noProof/>
        </w:rPr>
        <w:t>6</w:t>
      </w:r>
      <w:r>
        <w:fldChar w:fldCharType="end"/>
      </w:r>
      <w:r>
        <w:t xml:space="preserve"> </w:t>
      </w:r>
      <w:r w:rsidR="00224C36">
        <w:t>was considered</w:t>
      </w:r>
      <w:r>
        <w:t xml:space="preserve"> in conjunction with the non-quantifiable and qualitive benefits </w:t>
      </w:r>
      <w:r w:rsidR="00406054">
        <w:t>to determine net benefit</w:t>
      </w:r>
      <w:r w:rsidR="00906A98">
        <w:t xml:space="preserve"> </w:t>
      </w:r>
      <w:r w:rsidR="004F1CCF">
        <w:t xml:space="preserve">for each of the chemicals </w:t>
      </w:r>
      <w:r w:rsidR="00906A98">
        <w:t>(see Sections 9 to 17)</w:t>
      </w:r>
      <w:r w:rsidR="00406054">
        <w:t>.</w:t>
      </w:r>
      <w:r>
        <w:t xml:space="preserve"> Given the limited data available to quantify the benefits of the proposed WEL and the significant non-quantifiable and qualitative benefits, </w:t>
      </w:r>
      <w:r w:rsidRPr="007A5A7A">
        <w:rPr>
          <w:rFonts w:eastAsia="Times New Roman" w:cs="Arial"/>
          <w:lang w:eastAsia="en-AU"/>
        </w:rPr>
        <w:t>it is not appropriate to determine the net benefit for the proposed WELs using a simple comparison of quantifiable costs and benefits</w:t>
      </w:r>
      <w:r w:rsidRPr="00EE504C">
        <w:rPr>
          <w:rFonts w:eastAsia="Times New Roman" w:cs="Arial"/>
          <w:lang w:eastAsia="en-AU"/>
        </w:rPr>
        <w:t xml:space="preserve">. </w:t>
      </w:r>
      <w:r>
        <w:t xml:space="preserve">  </w:t>
      </w:r>
    </w:p>
    <w:p w14:paraId="03A50A7A" w14:textId="206A3ABA" w:rsidR="009911EB" w:rsidRPr="009911EB" w:rsidRDefault="009911EB" w:rsidP="00EE0A46">
      <w:pPr>
        <w:pStyle w:val="SWAHeading1"/>
      </w:pPr>
      <w:bookmarkStart w:id="61" w:name="_Toc194510001"/>
      <w:bookmarkStart w:id="62" w:name="_Toc219216875"/>
      <w:r w:rsidRPr="009911EB">
        <w:lastRenderedPageBreak/>
        <w:t>Who was consulted and how was their feedback incorporated?</w:t>
      </w:r>
      <w:bookmarkEnd w:id="61"/>
      <w:bookmarkEnd w:id="62"/>
    </w:p>
    <w:p w14:paraId="6D8F90E8" w14:textId="224968D0" w:rsidR="009911EB" w:rsidRPr="009911EB" w:rsidRDefault="009911EB" w:rsidP="00EE0A46">
      <w:pPr>
        <w:pStyle w:val="SWAHeading2"/>
        <w:ind w:left="709"/>
      </w:pPr>
      <w:bookmarkStart w:id="63" w:name="_Ref194507459"/>
      <w:bookmarkStart w:id="64" w:name="_Toc194510002"/>
      <w:bookmarkStart w:id="65" w:name="_Toc196204607"/>
      <w:bookmarkStart w:id="66" w:name="_Toc219216876"/>
      <w:r w:rsidRPr="009911EB">
        <w:t xml:space="preserve">Consultation </w:t>
      </w:r>
      <w:r w:rsidR="00827514">
        <w:t xml:space="preserve">to inform this </w:t>
      </w:r>
      <w:r w:rsidRPr="009911EB">
        <w:t>Decision RIS</w:t>
      </w:r>
      <w:bookmarkEnd w:id="63"/>
      <w:bookmarkEnd w:id="64"/>
      <w:bookmarkEnd w:id="65"/>
      <w:bookmarkEnd w:id="66"/>
    </w:p>
    <w:p w14:paraId="15268D74" w14:textId="390CFD8D" w:rsidR="009911EB" w:rsidRPr="009911EB" w:rsidRDefault="009911EB" w:rsidP="009911EB">
      <w:pPr>
        <w:keepNext/>
        <w:spacing w:after="200" w:line="240" w:lineRule="atLeast"/>
        <w:contextualSpacing w:val="0"/>
        <w:rPr>
          <w:rFonts w:eastAsia="Times New Roman"/>
          <w:lang w:eastAsia="en-AU"/>
        </w:rPr>
      </w:pPr>
      <w:r w:rsidRPr="009911EB">
        <w:rPr>
          <w:rFonts w:eastAsia="Times New Roman"/>
        </w:rPr>
        <w:t xml:space="preserve">Safe Work Australia </w:t>
      </w:r>
      <w:r w:rsidR="0032659C">
        <w:rPr>
          <w:rFonts w:eastAsia="Times New Roman"/>
        </w:rPr>
        <w:t xml:space="preserve">has undertaken a broad range of </w:t>
      </w:r>
      <w:r w:rsidRPr="009911EB">
        <w:rPr>
          <w:rFonts w:eastAsia="Times New Roman"/>
        </w:rPr>
        <w:t>public and targeted consultation to inform this Decision RIS.</w:t>
      </w:r>
      <w:r w:rsidR="003F3F6F">
        <w:rPr>
          <w:rFonts w:eastAsia="Times New Roman"/>
        </w:rPr>
        <w:t xml:space="preserve"> </w:t>
      </w:r>
      <w:r w:rsidR="00E46626">
        <w:rPr>
          <w:rFonts w:eastAsia="Times New Roman"/>
        </w:rPr>
        <w:t>Nous</w:t>
      </w:r>
      <w:r w:rsidR="007651FC">
        <w:rPr>
          <w:rFonts w:eastAsia="Times New Roman"/>
        </w:rPr>
        <w:t xml:space="preserve"> Group</w:t>
      </w:r>
      <w:r w:rsidR="00E46626">
        <w:rPr>
          <w:rFonts w:eastAsia="Times New Roman"/>
        </w:rPr>
        <w:t>, who were engaged to assist with the impact analysis, also undertook targeted consultations, including workshops, with key stakeholder</w:t>
      </w:r>
      <w:r w:rsidR="00272D4F">
        <w:rPr>
          <w:rFonts w:eastAsia="Times New Roman"/>
        </w:rPr>
        <w:t>s</w:t>
      </w:r>
      <w:r w:rsidR="00E46626">
        <w:rPr>
          <w:rFonts w:eastAsia="Times New Roman"/>
        </w:rPr>
        <w:t xml:space="preserve">. </w:t>
      </w:r>
      <w:r w:rsidRPr="009911EB">
        <w:rPr>
          <w:rFonts w:eastAsia="Times New Roman"/>
          <w:lang w:eastAsia="en-AU"/>
        </w:rPr>
        <w:t>The objectives for consultation were to:</w:t>
      </w:r>
    </w:p>
    <w:p w14:paraId="030D5691" w14:textId="5176D7EE" w:rsidR="009911EB" w:rsidRPr="009911EB" w:rsidRDefault="310BD91C" w:rsidP="00A40A1C">
      <w:pPr>
        <w:keepNext/>
        <w:numPr>
          <w:ilvl w:val="0"/>
          <w:numId w:val="27"/>
        </w:numPr>
        <w:spacing w:after="200" w:line="240" w:lineRule="atLeast"/>
        <w:ind w:left="714" w:hanging="357"/>
        <w:contextualSpacing w:val="0"/>
        <w:rPr>
          <w:rFonts w:eastAsia="Times New Roman"/>
          <w:lang w:eastAsia="en-AU"/>
        </w:rPr>
      </w:pPr>
      <w:r w:rsidRPr="27F845C1">
        <w:rPr>
          <w:rFonts w:eastAsia="Times New Roman"/>
          <w:lang w:eastAsia="en-AU"/>
        </w:rPr>
        <w:t>collect data and evidence of impacts of the proposed WELs for the 9 chemicals to inform the preliminary analysis for the consultation paper and</w:t>
      </w:r>
      <w:r w:rsidR="6D836B58" w:rsidRPr="27F845C1">
        <w:rPr>
          <w:rFonts w:eastAsia="Times New Roman"/>
          <w:lang w:eastAsia="en-AU"/>
        </w:rPr>
        <w:t xml:space="preserve"> the</w:t>
      </w:r>
      <w:r w:rsidRPr="27F845C1">
        <w:rPr>
          <w:rFonts w:eastAsia="Times New Roman"/>
          <w:lang w:eastAsia="en-AU"/>
        </w:rPr>
        <w:t xml:space="preserve"> Decision RIS</w:t>
      </w:r>
      <w:r w:rsidR="00374D36">
        <w:rPr>
          <w:rFonts w:eastAsia="Times New Roman"/>
          <w:lang w:eastAsia="en-AU"/>
        </w:rPr>
        <w:t>,</w:t>
      </w:r>
    </w:p>
    <w:p w14:paraId="31BE9E5E" w14:textId="0FF69895" w:rsidR="009911EB" w:rsidRPr="009911EB" w:rsidRDefault="009911EB" w:rsidP="00B57E6C">
      <w:pPr>
        <w:keepNext/>
        <w:numPr>
          <w:ilvl w:val="0"/>
          <w:numId w:val="27"/>
        </w:numPr>
        <w:spacing w:after="200" w:line="240" w:lineRule="atLeast"/>
        <w:contextualSpacing w:val="0"/>
        <w:rPr>
          <w:rFonts w:eastAsia="Times New Roman"/>
          <w:lang w:eastAsia="en-AU"/>
        </w:rPr>
      </w:pPr>
      <w:r w:rsidRPr="009911EB">
        <w:rPr>
          <w:rFonts w:eastAsia="Times New Roman"/>
          <w:lang w:eastAsia="en-AU"/>
        </w:rPr>
        <w:t xml:space="preserve">test the preliminary estimates of costs and benefits of the proposed WELs that was produced </w:t>
      </w:r>
      <w:r w:rsidR="00A348DD">
        <w:rPr>
          <w:rFonts w:eastAsia="Times New Roman"/>
          <w:lang w:eastAsia="en-AU"/>
        </w:rPr>
        <w:t>to support</w:t>
      </w:r>
      <w:r w:rsidR="00A348DD" w:rsidRPr="009911EB">
        <w:rPr>
          <w:rFonts w:eastAsia="Times New Roman"/>
          <w:lang w:eastAsia="en-AU"/>
        </w:rPr>
        <w:t xml:space="preserve"> </w:t>
      </w:r>
      <w:r w:rsidRPr="009911EB">
        <w:rPr>
          <w:rFonts w:eastAsia="Times New Roman"/>
          <w:lang w:eastAsia="en-AU"/>
        </w:rPr>
        <w:t xml:space="preserve">public consultation with stakeholders, and </w:t>
      </w:r>
    </w:p>
    <w:p w14:paraId="78CE3DA3" w14:textId="6459AA45" w:rsidR="009911EB" w:rsidRPr="009911EB" w:rsidRDefault="009911EB" w:rsidP="00B57E6C">
      <w:pPr>
        <w:keepNext/>
        <w:numPr>
          <w:ilvl w:val="0"/>
          <w:numId w:val="27"/>
        </w:numPr>
        <w:spacing w:after="200" w:line="240" w:lineRule="atLeast"/>
        <w:contextualSpacing w:val="0"/>
        <w:rPr>
          <w:rFonts w:eastAsia="Times New Roman"/>
          <w:lang w:eastAsia="en-AU"/>
        </w:rPr>
      </w:pPr>
      <w:r w:rsidRPr="009911EB">
        <w:rPr>
          <w:rFonts w:eastAsia="Times New Roman"/>
          <w:lang w:eastAsia="en-AU"/>
        </w:rPr>
        <w:t xml:space="preserve">gauge stakeholder opinions on the </w:t>
      </w:r>
      <w:r w:rsidR="00A348DD">
        <w:rPr>
          <w:rFonts w:eastAsia="Times New Roman"/>
          <w:lang w:eastAsia="en-AU"/>
        </w:rPr>
        <w:t xml:space="preserve">two options in relation to determining the </w:t>
      </w:r>
      <w:r w:rsidRPr="009911EB">
        <w:rPr>
          <w:rFonts w:eastAsia="Times New Roman"/>
          <w:lang w:eastAsia="en-AU"/>
        </w:rPr>
        <w:t xml:space="preserve">workplace exposure standards for the 9 chemicals.  </w:t>
      </w:r>
    </w:p>
    <w:p w14:paraId="1B1F7D9E" w14:textId="77777777" w:rsidR="009911EB" w:rsidRPr="009911EB" w:rsidRDefault="009911EB" w:rsidP="00EE0A46">
      <w:pPr>
        <w:pStyle w:val="SWAHeading3"/>
      </w:pPr>
      <w:r w:rsidRPr="009911EB">
        <w:t>Details of consultation</w:t>
      </w:r>
    </w:p>
    <w:p w14:paraId="2222E35A" w14:textId="77777777" w:rsidR="009911EB" w:rsidRPr="009911EB" w:rsidRDefault="009911EB" w:rsidP="009911EB">
      <w:pPr>
        <w:spacing w:after="200" w:line="276" w:lineRule="auto"/>
        <w:contextualSpacing w:val="0"/>
        <w:rPr>
          <w:rFonts w:eastAsiaTheme="majorEastAsia" w:cs="Arial"/>
          <w:b/>
          <w:bCs/>
          <w:i/>
          <w:iCs/>
          <w:sz w:val="24"/>
          <w:szCs w:val="28"/>
        </w:rPr>
      </w:pPr>
      <w:r w:rsidRPr="009911EB">
        <w:rPr>
          <w:rFonts w:eastAsia="Times New Roman" w:cs="Arial"/>
          <w:b/>
          <w:bCs/>
          <w:i/>
          <w:iCs/>
          <w:sz w:val="24"/>
          <w:szCs w:val="28"/>
        </w:rPr>
        <w:t>Targeted consultation</w:t>
      </w:r>
    </w:p>
    <w:p w14:paraId="21621D7E" w14:textId="37621B7F" w:rsidR="004B6F77" w:rsidRDefault="002C6FCF" w:rsidP="009911EB">
      <w:pPr>
        <w:spacing w:after="200" w:line="240" w:lineRule="atLeast"/>
        <w:contextualSpacing w:val="0"/>
        <w:rPr>
          <w:rFonts w:eastAsia="Times New Roman"/>
          <w:lang w:eastAsia="en-AU"/>
        </w:rPr>
      </w:pPr>
      <w:r w:rsidRPr="009911EB">
        <w:rPr>
          <w:rFonts w:eastAsia="Times New Roman"/>
          <w:lang w:eastAsia="en-AU"/>
        </w:rPr>
        <w:t>To understand the impact of the proposed changes to the exposure limits for the 9 chemica</w:t>
      </w:r>
      <w:r>
        <w:rPr>
          <w:rFonts w:eastAsia="Times New Roman"/>
          <w:lang w:eastAsia="en-AU"/>
        </w:rPr>
        <w:t xml:space="preserve">ls, </w:t>
      </w:r>
      <w:r w:rsidR="00551B54">
        <w:rPr>
          <w:rFonts w:eastAsia="Times New Roman"/>
          <w:lang w:eastAsia="en-AU"/>
        </w:rPr>
        <w:t xml:space="preserve">Nous </w:t>
      </w:r>
      <w:r w:rsidR="005B4E38">
        <w:rPr>
          <w:rFonts w:eastAsia="Times New Roman"/>
          <w:lang w:eastAsia="en-AU"/>
        </w:rPr>
        <w:t>Group</w:t>
      </w:r>
      <w:r w:rsidR="00551B54">
        <w:rPr>
          <w:rFonts w:eastAsia="Times New Roman"/>
          <w:lang w:eastAsia="en-AU"/>
        </w:rPr>
        <w:t xml:space="preserve"> facilitated </w:t>
      </w:r>
      <w:r w:rsidR="009911EB" w:rsidRPr="009911EB">
        <w:rPr>
          <w:rFonts w:eastAsia="Times New Roman"/>
          <w:lang w:eastAsia="en-AU"/>
        </w:rPr>
        <w:t xml:space="preserve">targeted consultation </w:t>
      </w:r>
      <w:r w:rsidR="00551B54">
        <w:rPr>
          <w:rFonts w:eastAsia="Times New Roman"/>
          <w:lang w:eastAsia="en-AU"/>
        </w:rPr>
        <w:t>with</w:t>
      </w:r>
      <w:r w:rsidR="009911EB" w:rsidRPr="009911EB">
        <w:rPr>
          <w:rFonts w:eastAsia="Times New Roman"/>
          <w:lang w:eastAsia="en-AU"/>
        </w:rPr>
        <w:t xml:space="preserve"> stakeholders from the Commonwealth, state and territory WHS and mining regulators, </w:t>
      </w:r>
      <w:r w:rsidR="0073171A" w:rsidRPr="009911EB">
        <w:rPr>
          <w:rFonts w:eastAsia="Times New Roman"/>
          <w:lang w:eastAsia="en-AU"/>
        </w:rPr>
        <w:t>the Australian Chamber of Commerce and Industry and the Australian Industry Group (Safe Work Australia Members representing the interests of employers) and the Australian Council of Trade Unions (Safe Work Australia Members representing the interest of workers)</w:t>
      </w:r>
      <w:r w:rsidR="0073171A">
        <w:rPr>
          <w:rFonts w:eastAsia="Times New Roman"/>
          <w:lang w:eastAsia="en-AU"/>
        </w:rPr>
        <w:t xml:space="preserve">, the </w:t>
      </w:r>
      <w:r w:rsidR="009911EB" w:rsidRPr="009911EB">
        <w:rPr>
          <w:rFonts w:eastAsia="Times New Roman"/>
          <w:lang w:eastAsia="en-AU"/>
        </w:rPr>
        <w:t>Australian Institute of Occupational Hygienists and academics.</w:t>
      </w:r>
    </w:p>
    <w:p w14:paraId="77924807" w14:textId="44FDCA46" w:rsidR="009911EB" w:rsidRPr="009911EB" w:rsidRDefault="00551B54" w:rsidP="009911EB">
      <w:pPr>
        <w:spacing w:after="200" w:line="240" w:lineRule="atLeast"/>
        <w:contextualSpacing w:val="0"/>
        <w:rPr>
          <w:rFonts w:eastAsia="Times New Roman"/>
          <w:lang w:eastAsia="en-AU"/>
        </w:rPr>
      </w:pPr>
      <w:r>
        <w:rPr>
          <w:rFonts w:eastAsia="Times New Roman"/>
          <w:lang w:eastAsia="en-AU"/>
        </w:rPr>
        <w:t xml:space="preserve">This included </w:t>
      </w:r>
      <w:r w:rsidR="009911EB" w:rsidRPr="009911EB">
        <w:rPr>
          <w:rFonts w:eastAsia="Times New Roman"/>
          <w:lang w:eastAsia="en-AU"/>
        </w:rPr>
        <w:t xml:space="preserve">11 targeted consultations </w:t>
      </w:r>
      <w:r>
        <w:rPr>
          <w:rFonts w:eastAsia="Times New Roman"/>
          <w:lang w:eastAsia="en-AU"/>
        </w:rPr>
        <w:t xml:space="preserve">sessions </w:t>
      </w:r>
      <w:r w:rsidR="009911EB" w:rsidRPr="009911EB">
        <w:rPr>
          <w:rFonts w:eastAsia="Times New Roman"/>
          <w:lang w:eastAsia="en-AU"/>
        </w:rPr>
        <w:t xml:space="preserve">with the above stakeholders through written questions, roundtables, workshops, follow-up meetings and interviews. </w:t>
      </w:r>
      <w:r w:rsidR="00710423">
        <w:rPr>
          <w:rFonts w:eastAsia="Times New Roman"/>
          <w:lang w:eastAsia="en-AU"/>
        </w:rPr>
        <w:t xml:space="preserve">The questions </w:t>
      </w:r>
      <w:r w:rsidR="00B27E47">
        <w:rPr>
          <w:rFonts w:eastAsia="Times New Roman"/>
          <w:lang w:eastAsia="en-AU"/>
        </w:rPr>
        <w:t>put forward to stakeholders</w:t>
      </w:r>
      <w:r w:rsidR="008B2073">
        <w:rPr>
          <w:rFonts w:eastAsia="Times New Roman"/>
          <w:lang w:eastAsia="en-AU"/>
        </w:rPr>
        <w:t xml:space="preserve"> during these targeted consultations can be found in </w:t>
      </w:r>
      <w:hyperlink w:anchor="AppendixF_StakeholdersQuestions" w:history="1">
        <w:r w:rsidR="00D05AC0" w:rsidRPr="00D05AC0">
          <w:rPr>
            <w:rStyle w:val="Hyperlink"/>
            <w:rFonts w:eastAsia="Times New Roman"/>
            <w:lang w:eastAsia="en-AU"/>
          </w:rPr>
          <w:t xml:space="preserve">Appendix </w:t>
        </w:r>
        <w:r w:rsidR="0088340E">
          <w:rPr>
            <w:rStyle w:val="Hyperlink"/>
            <w:rFonts w:eastAsia="Times New Roman"/>
            <w:lang w:eastAsia="en-AU"/>
          </w:rPr>
          <w:t>E</w:t>
        </w:r>
      </w:hyperlink>
      <w:r w:rsidR="00D05AC0">
        <w:rPr>
          <w:rFonts w:eastAsia="Times New Roman"/>
          <w:lang w:eastAsia="en-AU"/>
        </w:rPr>
        <w:t xml:space="preserve">. </w:t>
      </w:r>
    </w:p>
    <w:p w14:paraId="41E235A5" w14:textId="77777777" w:rsidR="009911EB" w:rsidRPr="009911EB" w:rsidRDefault="009911EB" w:rsidP="009911EB">
      <w:pPr>
        <w:spacing w:after="200" w:line="240" w:lineRule="atLeast"/>
        <w:contextualSpacing w:val="0"/>
        <w:rPr>
          <w:rFonts w:eastAsia="Times New Roman"/>
          <w:lang w:eastAsia="en-AU"/>
        </w:rPr>
      </w:pPr>
      <w:r w:rsidRPr="009911EB">
        <w:rPr>
          <w:rFonts w:eastAsia="Times New Roman"/>
          <w:lang w:eastAsia="en-AU"/>
        </w:rPr>
        <w:t>This targeted consultation aimed to collect further information on:</w:t>
      </w:r>
    </w:p>
    <w:p w14:paraId="1E30D395" w14:textId="644D91FB" w:rsidR="009911EB" w:rsidRPr="009911EB" w:rsidRDefault="310BD91C" w:rsidP="00011855">
      <w:pPr>
        <w:numPr>
          <w:ilvl w:val="0"/>
          <w:numId w:val="20"/>
        </w:numPr>
        <w:spacing w:line="240" w:lineRule="atLeast"/>
        <w:ind w:left="714" w:hanging="357"/>
        <w:contextualSpacing w:val="0"/>
        <w:rPr>
          <w:rFonts w:eastAsia="Times New Roman"/>
          <w:lang w:eastAsia="en-AU"/>
        </w:rPr>
      </w:pPr>
      <w:r w:rsidRPr="27F845C1">
        <w:rPr>
          <w:rFonts w:eastAsia="Times New Roman"/>
          <w:lang w:eastAsia="en-AU"/>
        </w:rPr>
        <w:t>exposure data to the 9 chemicals</w:t>
      </w:r>
      <w:r w:rsidR="00A505F1">
        <w:rPr>
          <w:rFonts w:eastAsia="Times New Roman"/>
          <w:lang w:eastAsia="en-AU"/>
        </w:rPr>
        <w:t>,</w:t>
      </w:r>
    </w:p>
    <w:p w14:paraId="5231D066" w14:textId="415D8A58" w:rsidR="009911EB" w:rsidRPr="009911EB" w:rsidRDefault="310BD91C" w:rsidP="00011855">
      <w:pPr>
        <w:numPr>
          <w:ilvl w:val="0"/>
          <w:numId w:val="20"/>
        </w:numPr>
        <w:spacing w:line="240" w:lineRule="atLeast"/>
        <w:ind w:left="714" w:hanging="357"/>
        <w:contextualSpacing w:val="0"/>
        <w:rPr>
          <w:rFonts w:eastAsia="Times New Roman"/>
          <w:lang w:eastAsia="en-AU"/>
        </w:rPr>
      </w:pPr>
      <w:r w:rsidRPr="27F845C1">
        <w:rPr>
          <w:rFonts w:eastAsia="Times New Roman"/>
          <w:lang w:eastAsia="en-AU"/>
        </w:rPr>
        <w:t>the types and costs of controls used or could potentially be used to minimise exposure to the 9 chemicals</w:t>
      </w:r>
      <w:r w:rsidR="00A505F1">
        <w:rPr>
          <w:rFonts w:eastAsia="Times New Roman"/>
          <w:lang w:eastAsia="en-AU"/>
        </w:rPr>
        <w:t>,</w:t>
      </w:r>
    </w:p>
    <w:p w14:paraId="5C14A7A7" w14:textId="77777777" w:rsidR="009911EB" w:rsidRPr="009911EB" w:rsidRDefault="009911EB" w:rsidP="00011855">
      <w:pPr>
        <w:numPr>
          <w:ilvl w:val="0"/>
          <w:numId w:val="20"/>
        </w:numPr>
        <w:spacing w:line="240" w:lineRule="atLeast"/>
        <w:ind w:left="714" w:hanging="357"/>
        <w:contextualSpacing w:val="0"/>
        <w:rPr>
          <w:rFonts w:eastAsia="Times New Roman"/>
          <w:lang w:eastAsia="en-AU"/>
        </w:rPr>
      </w:pPr>
      <w:r w:rsidRPr="009911EB">
        <w:rPr>
          <w:rFonts w:eastAsia="Times New Roman"/>
          <w:lang w:eastAsia="en-AU"/>
        </w:rPr>
        <w:t xml:space="preserve">health impacts caused by exposure to the 9 chemicals, and </w:t>
      </w:r>
    </w:p>
    <w:p w14:paraId="1F70A044"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other impacts caused by the proposed reductions to the WELs for the 9 chemicals.</w:t>
      </w:r>
    </w:p>
    <w:p w14:paraId="3EC10813" w14:textId="77777777" w:rsidR="009911EB" w:rsidRPr="009911EB" w:rsidRDefault="009911EB" w:rsidP="005D1CDC">
      <w:pPr>
        <w:pStyle w:val="SWAHeading4"/>
      </w:pPr>
      <w:r w:rsidRPr="009911EB">
        <w:t>Public consultation</w:t>
      </w:r>
    </w:p>
    <w:p w14:paraId="06164D4F" w14:textId="1F50A6EE" w:rsidR="009911EB" w:rsidRPr="009911EB" w:rsidRDefault="310BD91C" w:rsidP="00A40A1C">
      <w:pPr>
        <w:keepNext/>
        <w:spacing w:after="200" w:line="240" w:lineRule="atLeast"/>
        <w:contextualSpacing w:val="0"/>
        <w:rPr>
          <w:rFonts w:eastAsia="Times New Roman"/>
          <w:lang w:eastAsia="en-AU"/>
        </w:rPr>
      </w:pPr>
      <w:r w:rsidRPr="27F845C1">
        <w:rPr>
          <w:rFonts w:eastAsia="Times New Roman"/>
          <w:lang w:eastAsia="en-AU"/>
        </w:rPr>
        <w:t xml:space="preserve">This Decision RIS </w:t>
      </w:r>
      <w:r w:rsidR="27C76B66" w:rsidRPr="27F845C1">
        <w:rPr>
          <w:rFonts w:eastAsia="Times New Roman"/>
          <w:lang w:eastAsia="en-AU"/>
        </w:rPr>
        <w:t xml:space="preserve">is also </w:t>
      </w:r>
      <w:r w:rsidRPr="27F845C1">
        <w:rPr>
          <w:rFonts w:eastAsia="Times New Roman"/>
          <w:lang w:eastAsia="en-AU"/>
        </w:rPr>
        <w:t xml:space="preserve">informed by a public consultation conducted </w:t>
      </w:r>
      <w:r w:rsidR="6194D99B" w:rsidRPr="27F845C1">
        <w:rPr>
          <w:rFonts w:eastAsia="Times New Roman"/>
          <w:lang w:eastAsia="en-AU"/>
        </w:rPr>
        <w:t xml:space="preserve">by </w:t>
      </w:r>
      <w:r w:rsidRPr="27F845C1">
        <w:rPr>
          <w:rFonts w:eastAsia="Times New Roman"/>
          <w:lang w:eastAsia="en-AU"/>
        </w:rPr>
        <w:t>Safe Work Australia</w:t>
      </w:r>
      <w:r w:rsidR="6194D99B" w:rsidRPr="27F845C1">
        <w:rPr>
          <w:rFonts w:eastAsia="Times New Roman"/>
          <w:lang w:eastAsia="en-AU"/>
        </w:rPr>
        <w:t xml:space="preserve"> </w:t>
      </w:r>
      <w:r w:rsidRPr="27F845C1">
        <w:rPr>
          <w:rFonts w:eastAsia="Times New Roman"/>
          <w:lang w:eastAsia="en-AU"/>
        </w:rPr>
        <w:t xml:space="preserve">for a 7-week period between 29 October 2024 </w:t>
      </w:r>
      <w:r w:rsidR="0466BAF7" w:rsidRPr="27F845C1">
        <w:rPr>
          <w:rFonts w:eastAsia="Times New Roman"/>
          <w:lang w:eastAsia="en-AU"/>
        </w:rPr>
        <w:t>and</w:t>
      </w:r>
      <w:r w:rsidRPr="27F845C1">
        <w:rPr>
          <w:rFonts w:eastAsia="Times New Roman"/>
          <w:lang w:eastAsia="en-AU"/>
        </w:rPr>
        <w:t xml:space="preserve"> 15 December 2024 (2024 public consultation). </w:t>
      </w:r>
      <w:r w:rsidR="6194D99B" w:rsidRPr="27F845C1">
        <w:rPr>
          <w:rFonts w:eastAsia="Times New Roman"/>
          <w:lang w:eastAsia="en-AU"/>
        </w:rPr>
        <w:t>The</w:t>
      </w:r>
      <w:r w:rsidRPr="27F845C1">
        <w:rPr>
          <w:rFonts w:eastAsia="Times New Roman"/>
          <w:lang w:eastAsia="en-AU"/>
        </w:rPr>
        <w:t xml:space="preserve"> </w:t>
      </w:r>
      <w:hyperlink r:id="rId33">
        <w:r w:rsidR="3A10E7C8" w:rsidRPr="27F845C1">
          <w:rPr>
            <w:rFonts w:eastAsia="Times New Roman"/>
            <w:color w:val="145B85"/>
            <w:u w:val="single"/>
            <w:lang w:eastAsia="en-AU"/>
          </w:rPr>
          <w:t>consultation paper</w:t>
        </w:r>
      </w:hyperlink>
      <w:r w:rsidRPr="27F845C1">
        <w:rPr>
          <w:rFonts w:eastAsia="Times New Roman"/>
          <w:lang w:eastAsia="en-AU"/>
        </w:rPr>
        <w:t xml:space="preserve"> </w:t>
      </w:r>
      <w:r w:rsidR="2ED69DD1" w:rsidRPr="27F845C1">
        <w:rPr>
          <w:rFonts w:eastAsia="Times New Roman"/>
          <w:lang w:eastAsia="en-AU"/>
        </w:rPr>
        <w:t xml:space="preserve">for this process </w:t>
      </w:r>
      <w:r w:rsidR="3A10E7C8" w:rsidRPr="27F845C1">
        <w:rPr>
          <w:rFonts w:eastAsia="Times New Roman"/>
          <w:lang w:eastAsia="en-AU"/>
        </w:rPr>
        <w:t>reflect</w:t>
      </w:r>
      <w:r w:rsidR="1C7AA59E" w:rsidRPr="27F845C1">
        <w:rPr>
          <w:rFonts w:eastAsia="Times New Roman"/>
          <w:lang w:eastAsia="en-AU"/>
        </w:rPr>
        <w:t>ed</w:t>
      </w:r>
      <w:r w:rsidR="3A10E7C8" w:rsidRPr="27F845C1">
        <w:rPr>
          <w:rFonts w:eastAsia="Times New Roman"/>
          <w:lang w:eastAsia="en-AU"/>
        </w:rPr>
        <w:t xml:space="preserve"> the</w:t>
      </w:r>
      <w:r w:rsidRPr="27F845C1">
        <w:rPr>
          <w:rFonts w:eastAsia="Times New Roman"/>
          <w:lang w:eastAsia="en-AU"/>
        </w:rPr>
        <w:t xml:space="preserve"> preliminary analysis of the impacts for the proposed WELs for each of the 9 chemicals to enable stakeholders to provide input. </w:t>
      </w:r>
    </w:p>
    <w:p w14:paraId="20A08B0B" w14:textId="1CD9E33F" w:rsidR="009911EB" w:rsidRPr="009911EB" w:rsidRDefault="009911EB" w:rsidP="009911EB">
      <w:pPr>
        <w:keepNext/>
        <w:spacing w:after="200" w:line="240" w:lineRule="atLeast"/>
        <w:contextualSpacing w:val="0"/>
        <w:rPr>
          <w:rFonts w:eastAsia="Times New Roman"/>
          <w:lang w:eastAsia="en-AU"/>
        </w:rPr>
      </w:pPr>
      <w:r w:rsidRPr="009911EB">
        <w:rPr>
          <w:rFonts w:eastAsia="Times New Roman"/>
          <w:lang w:eastAsia="en-AU"/>
        </w:rPr>
        <w:t>Th</w:t>
      </w:r>
      <w:r w:rsidR="00F910F6">
        <w:rPr>
          <w:rFonts w:eastAsia="Times New Roman"/>
          <w:lang w:eastAsia="en-AU"/>
        </w:rPr>
        <w:t>is</w:t>
      </w:r>
      <w:r w:rsidRPr="009911EB">
        <w:rPr>
          <w:rFonts w:eastAsia="Times New Roman"/>
          <w:lang w:eastAsia="en-AU"/>
        </w:rPr>
        <w:t xml:space="preserve"> consultation was publicised to stakeholders via Safe Work Australia’s website, subscriber emails and social media. Safe Work Australia also sent emails to stakeholders </w:t>
      </w:r>
      <w:r w:rsidRPr="009911EB">
        <w:rPr>
          <w:rFonts w:eastAsia="Times New Roman"/>
          <w:lang w:eastAsia="en-AU"/>
        </w:rPr>
        <w:lastRenderedPageBreak/>
        <w:t>who ha</w:t>
      </w:r>
      <w:r w:rsidR="005B714A">
        <w:rPr>
          <w:rFonts w:eastAsia="Times New Roman"/>
          <w:lang w:eastAsia="en-AU"/>
        </w:rPr>
        <w:t>d</w:t>
      </w:r>
      <w:r w:rsidRPr="009911EB">
        <w:rPr>
          <w:rFonts w:eastAsia="Times New Roman"/>
          <w:lang w:eastAsia="en-AU"/>
        </w:rPr>
        <w:t xml:space="preserve"> expressed an interest in the Decision RIS </w:t>
      </w:r>
      <w:r w:rsidR="004A773F">
        <w:rPr>
          <w:rFonts w:eastAsia="Times New Roman"/>
          <w:lang w:eastAsia="en-AU"/>
        </w:rPr>
        <w:t>and</w:t>
      </w:r>
      <w:r w:rsidRPr="009911EB">
        <w:rPr>
          <w:rFonts w:eastAsia="Times New Roman"/>
          <w:lang w:eastAsia="en-AU"/>
        </w:rPr>
        <w:t xml:space="preserve"> stakeholders who made a submission to the WES </w:t>
      </w:r>
      <w:r w:rsidR="00E80D95">
        <w:rPr>
          <w:rFonts w:eastAsia="Times New Roman"/>
          <w:lang w:eastAsia="en-AU"/>
        </w:rPr>
        <w:t>r</w:t>
      </w:r>
      <w:r w:rsidR="00E80D95" w:rsidRPr="009911EB">
        <w:rPr>
          <w:rFonts w:eastAsia="Times New Roman"/>
          <w:lang w:eastAsia="en-AU"/>
        </w:rPr>
        <w:t xml:space="preserve">eview </w:t>
      </w:r>
      <w:r w:rsidRPr="009911EB">
        <w:rPr>
          <w:rFonts w:eastAsia="Times New Roman"/>
          <w:lang w:eastAsia="en-AU"/>
        </w:rPr>
        <w:t xml:space="preserve">for any of the 9 chemicals. </w:t>
      </w:r>
    </w:p>
    <w:p w14:paraId="14738FBA" w14:textId="008D48CE" w:rsidR="00040CDF" w:rsidRDefault="000947D4" w:rsidP="009911EB">
      <w:pPr>
        <w:spacing w:before="240" w:after="200"/>
        <w:contextualSpacing w:val="0"/>
        <w:rPr>
          <w:rFonts w:eastAsia="Times New Roman"/>
          <w:lang w:eastAsia="en-AU"/>
        </w:rPr>
      </w:pPr>
      <w:r>
        <w:rPr>
          <w:rFonts w:eastAsia="Times New Roman"/>
          <w:lang w:eastAsia="en-AU"/>
        </w:rPr>
        <w:t xml:space="preserve">In consultation with the </w:t>
      </w:r>
      <w:r w:rsidRPr="00443F0C">
        <w:rPr>
          <w:rFonts w:eastAsia="Times New Roman"/>
          <w:lang w:eastAsia="en-AU"/>
        </w:rPr>
        <w:t>Office of Impact Analysis</w:t>
      </w:r>
      <w:r>
        <w:rPr>
          <w:rFonts w:eastAsia="Times New Roman"/>
          <w:lang w:eastAsia="en-AU"/>
        </w:rPr>
        <w:t xml:space="preserve">, it was agreed that on the basis of the 2024 public consultation process (which sought feedback on the 2 options) as well as the </w:t>
      </w:r>
      <w:r w:rsidRPr="00443F0C">
        <w:rPr>
          <w:rFonts w:eastAsia="Times New Roman"/>
          <w:lang w:eastAsia="en-AU"/>
        </w:rPr>
        <w:t xml:space="preserve">extensive consultations undertaken </w:t>
      </w:r>
      <w:r>
        <w:rPr>
          <w:rFonts w:eastAsia="Times New Roman"/>
          <w:lang w:eastAsia="en-AU"/>
        </w:rPr>
        <w:t xml:space="preserve">previously as part of the WES </w:t>
      </w:r>
      <w:r w:rsidR="00E80D95">
        <w:rPr>
          <w:rFonts w:eastAsia="Times New Roman"/>
          <w:lang w:eastAsia="en-AU"/>
        </w:rPr>
        <w:t>review</w:t>
      </w:r>
      <w:r>
        <w:rPr>
          <w:rFonts w:eastAsia="Times New Roman"/>
          <w:lang w:eastAsia="en-AU"/>
        </w:rPr>
        <w:t>, a</w:t>
      </w:r>
      <w:r w:rsidRPr="00443F0C">
        <w:rPr>
          <w:rFonts w:eastAsia="Times New Roman"/>
          <w:lang w:eastAsia="en-AU"/>
        </w:rPr>
        <w:t xml:space="preserve"> consultation RIS </w:t>
      </w:r>
      <w:r>
        <w:rPr>
          <w:rFonts w:eastAsia="Times New Roman"/>
          <w:lang w:eastAsia="en-AU"/>
        </w:rPr>
        <w:t>would not need to be</w:t>
      </w:r>
      <w:r w:rsidRPr="00443F0C">
        <w:rPr>
          <w:rFonts w:eastAsia="Times New Roman"/>
          <w:lang w:eastAsia="en-AU"/>
        </w:rPr>
        <w:t xml:space="preserve"> undertaken. </w:t>
      </w:r>
    </w:p>
    <w:p w14:paraId="439D9FCA" w14:textId="08D06FF5" w:rsidR="00040CDF" w:rsidRDefault="009911EB" w:rsidP="00592A86">
      <w:pPr>
        <w:contextualSpacing w:val="0"/>
        <w:rPr>
          <w:rFonts w:cs="Arial"/>
        </w:rPr>
        <w:sectPr w:rsidR="00040CDF" w:rsidSect="001E7477">
          <w:headerReference w:type="even" r:id="rId34"/>
          <w:headerReference w:type="default" r:id="rId35"/>
          <w:headerReference w:type="first" r:id="rId36"/>
          <w:footnotePr>
            <w:numRestart w:val="eachSect"/>
          </w:footnotePr>
          <w:pgSz w:w="11906" w:h="16838" w:code="9"/>
          <w:pgMar w:top="1440" w:right="1416" w:bottom="1440" w:left="1440" w:header="709" w:footer="709" w:gutter="0"/>
          <w:cols w:space="708"/>
          <w:titlePg/>
          <w:docGrid w:linePitch="360"/>
        </w:sectPr>
      </w:pPr>
      <w:r w:rsidRPr="009911EB">
        <w:rPr>
          <w:rFonts w:cs="Arial"/>
        </w:rPr>
        <w:t>Eighty-</w:t>
      </w:r>
      <w:r w:rsidR="00DD20B1">
        <w:rPr>
          <w:rFonts w:cs="Arial"/>
        </w:rPr>
        <w:t xml:space="preserve">eight </w:t>
      </w:r>
      <w:r w:rsidRPr="009911EB">
        <w:rPr>
          <w:rFonts w:cs="Arial"/>
        </w:rPr>
        <w:t>submission</w:t>
      </w:r>
      <w:r w:rsidR="004A773F">
        <w:rPr>
          <w:rFonts w:cs="Arial"/>
        </w:rPr>
        <w:t>s (written or via an online survey)</w:t>
      </w:r>
      <w:r w:rsidRPr="009911EB">
        <w:rPr>
          <w:rFonts w:cs="Arial"/>
        </w:rPr>
        <w:t xml:space="preserve"> </w:t>
      </w:r>
      <w:r w:rsidR="004A773F">
        <w:rPr>
          <w:rFonts w:cs="Arial"/>
        </w:rPr>
        <w:t>were received as part of</w:t>
      </w:r>
      <w:r w:rsidR="004A773F" w:rsidRPr="009911EB">
        <w:rPr>
          <w:rFonts w:cs="Arial"/>
        </w:rPr>
        <w:t xml:space="preserve"> </w:t>
      </w:r>
      <w:r w:rsidRPr="009911EB">
        <w:rPr>
          <w:rFonts w:cs="Arial"/>
        </w:rPr>
        <w:t>the public consultation</w:t>
      </w:r>
      <w:r w:rsidR="003C3F7B">
        <w:rPr>
          <w:rFonts w:cs="Arial"/>
        </w:rPr>
        <w:t xml:space="preserve"> including</w:t>
      </w:r>
      <w:r w:rsidR="004A773F">
        <w:rPr>
          <w:rFonts w:cs="Arial"/>
        </w:rPr>
        <w:t xml:space="preserve"> from</w:t>
      </w:r>
      <w:r w:rsidR="003C3F7B">
        <w:rPr>
          <w:rFonts w:cs="Arial"/>
        </w:rPr>
        <w:t>:</w:t>
      </w:r>
    </w:p>
    <w:p w14:paraId="74E3D7A9" w14:textId="27BE9D77" w:rsidR="006833E9" w:rsidRDefault="006833E9" w:rsidP="00115C47">
      <w:pPr>
        <w:numPr>
          <w:ilvl w:val="0"/>
          <w:numId w:val="19"/>
        </w:numPr>
        <w:spacing w:line="240" w:lineRule="atLeast"/>
        <w:contextualSpacing w:val="0"/>
        <w:rPr>
          <w:rFonts w:eastAsia="Times New Roman" w:cs="Arial"/>
          <w:lang w:eastAsia="en-AU"/>
        </w:rPr>
      </w:pPr>
      <w:r>
        <w:rPr>
          <w:rFonts w:eastAsia="Times New Roman" w:cs="Arial"/>
          <w:lang w:eastAsia="en-AU"/>
        </w:rPr>
        <w:t xml:space="preserve">Safe Work Australia Members </w:t>
      </w:r>
    </w:p>
    <w:p w14:paraId="443ED741" w14:textId="467C812B" w:rsidR="009911EB" w:rsidRPr="009911EB" w:rsidRDefault="310BD91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academics</w:t>
      </w:r>
    </w:p>
    <w:p w14:paraId="16A6C81E" w14:textId="4FE1D11C" w:rsidR="000F30EE" w:rsidRPr="009911EB" w:rsidRDefault="4BD9709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trade union representatives</w:t>
      </w:r>
    </w:p>
    <w:p w14:paraId="39D4C2CA" w14:textId="6A49ED1A" w:rsidR="009911EB" w:rsidRPr="009911EB" w:rsidRDefault="310BD91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employer organisation representatives</w:t>
      </w:r>
    </w:p>
    <w:p w14:paraId="3241819F" w14:textId="54B96ADE" w:rsidR="009911EB" w:rsidRPr="009911EB" w:rsidRDefault="310BD91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government</w:t>
      </w:r>
    </w:p>
    <w:p w14:paraId="16167A1F" w14:textId="55C2F881" w:rsidR="009911EB" w:rsidRPr="009911EB" w:rsidRDefault="310BD91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industry representatives</w:t>
      </w:r>
    </w:p>
    <w:p w14:paraId="7757A411" w14:textId="3AFE1C25" w:rsidR="009911EB" w:rsidRPr="009911EB" w:rsidRDefault="310BD91C" w:rsidP="00115C47">
      <w:pPr>
        <w:numPr>
          <w:ilvl w:val="0"/>
          <w:numId w:val="19"/>
        </w:numPr>
        <w:spacing w:line="240" w:lineRule="atLeast"/>
        <w:contextualSpacing w:val="0"/>
        <w:rPr>
          <w:rFonts w:eastAsia="Times New Roman" w:cs="Arial"/>
          <w:lang w:eastAsia="en-AU"/>
        </w:rPr>
      </w:pPr>
      <w:r w:rsidRPr="27F845C1">
        <w:rPr>
          <w:rFonts w:eastAsia="Times New Roman" w:cs="Arial"/>
          <w:lang w:eastAsia="en-AU"/>
        </w:rPr>
        <w:t>peak health bodies</w:t>
      </w:r>
    </w:p>
    <w:p w14:paraId="53A859B7" w14:textId="7D17D7A0" w:rsidR="002D2B1C" w:rsidRDefault="002D2B1C" w:rsidP="00115C47">
      <w:pPr>
        <w:numPr>
          <w:ilvl w:val="0"/>
          <w:numId w:val="19"/>
        </w:numPr>
        <w:spacing w:line="240" w:lineRule="atLeast"/>
        <w:contextualSpacing w:val="0"/>
        <w:rPr>
          <w:rFonts w:eastAsia="Times New Roman" w:cs="Arial"/>
          <w:lang w:eastAsia="en-AU"/>
        </w:rPr>
      </w:pPr>
      <w:r>
        <w:rPr>
          <w:rFonts w:eastAsia="Times New Roman" w:cs="Arial"/>
          <w:lang w:eastAsia="en-AU"/>
        </w:rPr>
        <w:t>businesses</w:t>
      </w:r>
    </w:p>
    <w:p w14:paraId="18893732" w14:textId="7EB728E2" w:rsidR="009911EB" w:rsidRPr="009911EB" w:rsidRDefault="009911EB" w:rsidP="00115C47">
      <w:pPr>
        <w:numPr>
          <w:ilvl w:val="0"/>
          <w:numId w:val="19"/>
        </w:numPr>
        <w:spacing w:line="240" w:lineRule="atLeast"/>
        <w:contextualSpacing w:val="0"/>
        <w:rPr>
          <w:rFonts w:eastAsia="Times New Roman" w:cs="Arial"/>
          <w:lang w:eastAsia="en-AU"/>
        </w:rPr>
      </w:pPr>
      <w:r w:rsidRPr="009911EB">
        <w:rPr>
          <w:rFonts w:eastAsia="Times New Roman" w:cs="Arial"/>
          <w:lang w:eastAsia="en-AU"/>
        </w:rPr>
        <w:t>workers, and</w:t>
      </w:r>
    </w:p>
    <w:p w14:paraId="20F8C97F" w14:textId="77777777" w:rsidR="00040CDF" w:rsidRDefault="009911EB" w:rsidP="00115C47">
      <w:pPr>
        <w:numPr>
          <w:ilvl w:val="0"/>
          <w:numId w:val="19"/>
        </w:numPr>
        <w:spacing w:line="240" w:lineRule="atLeast"/>
        <w:ind w:left="714" w:hanging="357"/>
        <w:contextualSpacing w:val="0"/>
        <w:rPr>
          <w:rFonts w:eastAsia="Times New Roman" w:cs="Arial"/>
          <w:lang w:eastAsia="en-AU"/>
        </w:rPr>
        <w:sectPr w:rsidR="00040CDF" w:rsidSect="00040CDF">
          <w:footnotePr>
            <w:numRestart w:val="eachSect"/>
          </w:footnotePr>
          <w:type w:val="continuous"/>
          <w:pgSz w:w="11906" w:h="16838" w:code="9"/>
          <w:pgMar w:top="1440" w:right="1416" w:bottom="1440" w:left="1440" w:header="709" w:footer="709" w:gutter="0"/>
          <w:cols w:num="2" w:space="708"/>
          <w:titlePg/>
          <w:docGrid w:linePitch="360"/>
        </w:sectPr>
      </w:pPr>
      <w:r w:rsidRPr="009911EB">
        <w:rPr>
          <w:rFonts w:eastAsia="Times New Roman" w:cs="Arial"/>
          <w:lang w:eastAsia="en-AU"/>
        </w:rPr>
        <w:t xml:space="preserve">other individuals. </w:t>
      </w:r>
    </w:p>
    <w:p w14:paraId="0A6C05D9" w14:textId="77777777" w:rsidR="00040CDF" w:rsidRDefault="00040CDF" w:rsidP="00B57E6C">
      <w:pPr>
        <w:numPr>
          <w:ilvl w:val="0"/>
          <w:numId w:val="19"/>
        </w:numPr>
        <w:spacing w:after="200" w:line="240" w:lineRule="atLeast"/>
        <w:contextualSpacing w:val="0"/>
        <w:rPr>
          <w:rFonts w:eastAsia="Times New Roman" w:cs="Arial"/>
          <w:lang w:eastAsia="en-AU"/>
        </w:rPr>
        <w:sectPr w:rsidR="00040CDF" w:rsidSect="00040CDF">
          <w:footnotePr>
            <w:numRestart w:val="eachSect"/>
          </w:footnotePr>
          <w:type w:val="continuous"/>
          <w:pgSz w:w="11906" w:h="16838" w:code="9"/>
          <w:pgMar w:top="1440" w:right="1416" w:bottom="1440" w:left="1440" w:header="709" w:footer="709" w:gutter="0"/>
          <w:cols w:space="708"/>
          <w:titlePg/>
          <w:docGrid w:linePitch="360"/>
        </w:sectPr>
      </w:pPr>
    </w:p>
    <w:p w14:paraId="4261DC72" w14:textId="1E7E552B" w:rsidR="00040CDF" w:rsidRDefault="00040CDF" w:rsidP="00AF0FF1">
      <w:pPr>
        <w:spacing w:before="120" w:line="240" w:lineRule="atLeast"/>
        <w:contextualSpacing w:val="0"/>
        <w:rPr>
          <w:rFonts w:eastAsia="Times New Roman"/>
          <w:lang w:eastAsia="en-AU"/>
        </w:rPr>
        <w:sectPr w:rsidR="00040CDF" w:rsidSect="00040CDF">
          <w:footnotePr>
            <w:numRestart w:val="eachSect"/>
          </w:footnotePr>
          <w:type w:val="continuous"/>
          <w:pgSz w:w="11906" w:h="16838" w:code="9"/>
          <w:pgMar w:top="1440" w:right="1416" w:bottom="1440" w:left="1440" w:header="709" w:footer="709" w:gutter="0"/>
          <w:cols w:space="708"/>
          <w:titlePg/>
          <w:docGrid w:linePitch="360"/>
        </w:sectPr>
      </w:pPr>
      <w:r>
        <w:rPr>
          <w:rFonts w:eastAsia="Times New Roman"/>
          <w:lang w:eastAsia="en-AU"/>
        </w:rPr>
        <w:t>S</w:t>
      </w:r>
      <w:r w:rsidR="00CE2174">
        <w:rPr>
          <w:rFonts w:eastAsia="Times New Roman"/>
          <w:lang w:eastAsia="en-AU"/>
        </w:rPr>
        <w:t xml:space="preserve">ubmissions </w:t>
      </w:r>
      <w:r w:rsidR="000B693E">
        <w:rPr>
          <w:rFonts w:eastAsia="Times New Roman"/>
          <w:lang w:eastAsia="en-AU"/>
        </w:rPr>
        <w:t xml:space="preserve">provided </w:t>
      </w:r>
      <w:r w:rsidR="00900622">
        <w:rPr>
          <w:rFonts w:eastAsia="Times New Roman"/>
          <w:lang w:eastAsia="en-AU"/>
        </w:rPr>
        <w:t xml:space="preserve">overarching </w:t>
      </w:r>
      <w:r w:rsidR="007C555B">
        <w:rPr>
          <w:rFonts w:eastAsia="Times New Roman"/>
          <w:lang w:eastAsia="en-AU"/>
        </w:rPr>
        <w:t xml:space="preserve">feedback on the proposed options, </w:t>
      </w:r>
      <w:r w:rsidR="00900622">
        <w:rPr>
          <w:rFonts w:eastAsia="Times New Roman"/>
          <w:lang w:eastAsia="en-AU"/>
        </w:rPr>
        <w:t>a</w:t>
      </w:r>
      <w:r w:rsidR="00995E7C">
        <w:rPr>
          <w:rFonts w:eastAsia="Times New Roman"/>
          <w:lang w:eastAsia="en-AU"/>
        </w:rPr>
        <w:t xml:space="preserve">s well as feedback on </w:t>
      </w:r>
      <w:r w:rsidR="00CE2174">
        <w:rPr>
          <w:rFonts w:eastAsia="Times New Roman"/>
          <w:lang w:eastAsia="en-AU"/>
        </w:rPr>
        <w:t>one or more of the chemicals</w:t>
      </w:r>
      <w:r w:rsidR="00995E7C">
        <w:rPr>
          <w:rFonts w:eastAsia="Times New Roman"/>
          <w:lang w:eastAsia="en-AU"/>
        </w:rPr>
        <w:t>. T</w:t>
      </w:r>
      <w:r w:rsidR="00CE2174">
        <w:rPr>
          <w:rFonts w:eastAsia="Times New Roman"/>
          <w:lang w:eastAsia="en-AU"/>
        </w:rPr>
        <w:t>he</w:t>
      </w:r>
      <w:r w:rsidR="009911EB" w:rsidRPr="009911EB">
        <w:rPr>
          <w:rFonts w:eastAsia="Times New Roman"/>
          <w:lang w:eastAsia="en-AU"/>
        </w:rPr>
        <w:t xml:space="preserve"> breakdown of </w:t>
      </w:r>
      <w:r w:rsidR="00CE2174">
        <w:rPr>
          <w:rFonts w:eastAsia="Times New Roman"/>
          <w:lang w:eastAsia="en-AU"/>
        </w:rPr>
        <w:t>feedback</w:t>
      </w:r>
      <w:r w:rsidR="00235163">
        <w:rPr>
          <w:rFonts w:eastAsia="Times New Roman"/>
          <w:lang w:eastAsia="en-AU"/>
        </w:rPr>
        <w:t xml:space="preserve"> </w:t>
      </w:r>
      <w:r w:rsidR="00CE2174">
        <w:rPr>
          <w:rFonts w:eastAsia="Times New Roman"/>
          <w:lang w:eastAsia="en-AU"/>
        </w:rPr>
        <w:t>at</w:t>
      </w:r>
      <w:r w:rsidR="009911EB" w:rsidRPr="009911EB">
        <w:rPr>
          <w:rFonts w:eastAsia="Times New Roman"/>
          <w:lang w:eastAsia="en-AU"/>
        </w:rPr>
        <w:t xml:space="preserve"> a chemical specific level include:</w:t>
      </w:r>
    </w:p>
    <w:p w14:paraId="202ACDC0"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benzene (20)</w:t>
      </w:r>
    </w:p>
    <w:p w14:paraId="25240689"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chlorine (21)</w:t>
      </w:r>
    </w:p>
    <w:p w14:paraId="721B69B1"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copper (21)</w:t>
      </w:r>
    </w:p>
    <w:p w14:paraId="20B2A6C9" w14:textId="3F63B7C9"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formaldehyde (</w:t>
      </w:r>
      <w:r w:rsidR="00730BFF" w:rsidRPr="009911EB">
        <w:rPr>
          <w:rFonts w:eastAsia="Times New Roman"/>
          <w:lang w:eastAsia="en-AU"/>
        </w:rPr>
        <w:t>3</w:t>
      </w:r>
      <w:r w:rsidR="0018344A">
        <w:rPr>
          <w:rFonts w:eastAsia="Times New Roman"/>
          <w:lang w:eastAsia="en-AU"/>
        </w:rPr>
        <w:t>8</w:t>
      </w:r>
      <w:r w:rsidRPr="009911EB">
        <w:rPr>
          <w:rFonts w:eastAsia="Times New Roman"/>
          <w:lang w:eastAsia="en-AU"/>
        </w:rPr>
        <w:t>)</w:t>
      </w:r>
    </w:p>
    <w:p w14:paraId="00B52DB0"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hydrogen cyanide (18)</w:t>
      </w:r>
    </w:p>
    <w:p w14:paraId="41A6630C"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hydrogen sulfide (27)</w:t>
      </w:r>
    </w:p>
    <w:p w14:paraId="2732A059"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nitrogen dioxide (18)</w:t>
      </w:r>
    </w:p>
    <w:p w14:paraId="5C3E453B" w14:textId="77777777" w:rsidR="009911EB" w:rsidRPr="009911EB" w:rsidRDefault="009911EB" w:rsidP="00B57E6C">
      <w:pPr>
        <w:numPr>
          <w:ilvl w:val="0"/>
          <w:numId w:val="19"/>
        </w:numPr>
        <w:spacing w:after="200" w:line="240" w:lineRule="atLeast"/>
        <w:contextualSpacing w:val="0"/>
        <w:rPr>
          <w:rFonts w:eastAsia="Times New Roman"/>
          <w:lang w:eastAsia="en-AU"/>
        </w:rPr>
      </w:pPr>
      <w:r w:rsidRPr="009911EB">
        <w:rPr>
          <w:rFonts w:eastAsia="Times New Roman"/>
          <w:lang w:eastAsia="en-AU"/>
        </w:rPr>
        <w:t>respirable crystalline silica (44)</w:t>
      </w:r>
    </w:p>
    <w:p w14:paraId="5BADD653" w14:textId="77777777" w:rsidR="00040CDF" w:rsidRDefault="009911EB" w:rsidP="00B57E6C">
      <w:pPr>
        <w:numPr>
          <w:ilvl w:val="0"/>
          <w:numId w:val="19"/>
        </w:numPr>
        <w:spacing w:after="200" w:line="240" w:lineRule="atLeast"/>
        <w:contextualSpacing w:val="0"/>
        <w:rPr>
          <w:rFonts w:eastAsia="Times New Roman"/>
          <w:lang w:eastAsia="en-AU"/>
        </w:rPr>
        <w:sectPr w:rsidR="00040CDF" w:rsidSect="00040CDF">
          <w:footnotePr>
            <w:numRestart w:val="eachSect"/>
          </w:footnotePr>
          <w:type w:val="continuous"/>
          <w:pgSz w:w="11906" w:h="16838" w:code="9"/>
          <w:pgMar w:top="1440" w:right="1416" w:bottom="1440" w:left="1440" w:header="709" w:footer="709" w:gutter="0"/>
          <w:cols w:num="2" w:space="708"/>
          <w:titlePg/>
          <w:docGrid w:linePitch="360"/>
        </w:sectPr>
      </w:pPr>
      <w:r w:rsidRPr="009911EB">
        <w:rPr>
          <w:rFonts w:eastAsia="Times New Roman"/>
          <w:lang w:eastAsia="en-AU"/>
        </w:rPr>
        <w:t>titanium dioxide (16).</w:t>
      </w:r>
    </w:p>
    <w:p w14:paraId="4DAD355C" w14:textId="77777777" w:rsidR="00040CDF" w:rsidRDefault="00040CDF" w:rsidP="00B57E6C">
      <w:pPr>
        <w:numPr>
          <w:ilvl w:val="0"/>
          <w:numId w:val="19"/>
        </w:numPr>
        <w:spacing w:after="200" w:line="240" w:lineRule="atLeast"/>
        <w:contextualSpacing w:val="0"/>
        <w:rPr>
          <w:rFonts w:eastAsia="Times New Roman"/>
          <w:lang w:eastAsia="en-AU"/>
        </w:rPr>
        <w:sectPr w:rsidR="00040CDF" w:rsidSect="00040CDF">
          <w:footnotePr>
            <w:numRestart w:val="eachSect"/>
          </w:footnotePr>
          <w:type w:val="continuous"/>
          <w:pgSz w:w="11906" w:h="16838" w:code="9"/>
          <w:pgMar w:top="1440" w:right="1416" w:bottom="1440" w:left="1440" w:header="709" w:footer="709" w:gutter="0"/>
          <w:cols w:space="708"/>
          <w:titlePg/>
          <w:docGrid w:linePitch="360"/>
        </w:sectPr>
      </w:pPr>
    </w:p>
    <w:p w14:paraId="1F952F89" w14:textId="548EBDCC" w:rsidR="003059A0" w:rsidRPr="00BE5480" w:rsidRDefault="003059A0" w:rsidP="00BE5480">
      <w:r w:rsidRPr="00BE5480">
        <w:t xml:space="preserve">Where </w:t>
      </w:r>
      <w:r w:rsidR="00B27AC3">
        <w:t>respondents</w:t>
      </w:r>
      <w:r w:rsidRPr="00BE5480">
        <w:t xml:space="preserve"> </w:t>
      </w:r>
      <w:r w:rsidR="00B27AC3">
        <w:t xml:space="preserve">provided </w:t>
      </w:r>
      <w:r w:rsidR="0005069B">
        <w:t>permission for their</w:t>
      </w:r>
      <w:r w:rsidR="00B27AC3">
        <w:t xml:space="preserve"> submission</w:t>
      </w:r>
      <w:r w:rsidR="0005069B">
        <w:t xml:space="preserve"> to be published </w:t>
      </w:r>
      <w:r w:rsidR="005214D9">
        <w:t xml:space="preserve">on Safe Work Australia’s </w:t>
      </w:r>
      <w:hyperlink r:id="rId37" w:history="1">
        <w:r w:rsidR="005214D9" w:rsidRPr="005A1C81">
          <w:rPr>
            <w:rStyle w:val="Hyperlink"/>
          </w:rPr>
          <w:t>Consultation Hub</w:t>
        </w:r>
      </w:hyperlink>
      <w:r w:rsidR="00B105EA">
        <w:t>, including anonymous submissions</w:t>
      </w:r>
      <w:r w:rsidR="0005069B">
        <w:t xml:space="preserve">, </w:t>
      </w:r>
      <w:r w:rsidR="00E85F8A">
        <w:t xml:space="preserve">feedback </w:t>
      </w:r>
      <w:r w:rsidR="00B105EA">
        <w:t>reflected in</w:t>
      </w:r>
      <w:r w:rsidR="00B245A7">
        <w:t xml:space="preserve"> the</w:t>
      </w:r>
      <w:r w:rsidR="0003282B">
        <w:t xml:space="preserve"> chemical specific chapters </w:t>
      </w:r>
      <w:r w:rsidR="00944653">
        <w:t xml:space="preserve">(section 9 – 17) </w:t>
      </w:r>
      <w:r w:rsidR="0003282B">
        <w:t>of th</w:t>
      </w:r>
      <w:r w:rsidR="00944653">
        <w:t>is</w:t>
      </w:r>
      <w:r w:rsidR="0003282B">
        <w:t xml:space="preserve"> Decision RIS ha</w:t>
      </w:r>
      <w:r w:rsidR="00B105EA">
        <w:t>s</w:t>
      </w:r>
      <w:r w:rsidR="0003282B">
        <w:t xml:space="preserve"> been attributed </w:t>
      </w:r>
      <w:r w:rsidR="005A1C81">
        <w:t xml:space="preserve">to the relevant submission(s) </w:t>
      </w:r>
      <w:r w:rsidR="0003282B">
        <w:t>using footnotes</w:t>
      </w:r>
      <w:r w:rsidR="00756657">
        <w:t xml:space="preserve"> and links</w:t>
      </w:r>
      <w:r w:rsidR="0003282B">
        <w:t xml:space="preserve">. </w:t>
      </w:r>
      <w:r w:rsidR="00217754">
        <w:t>Where</w:t>
      </w:r>
      <w:r w:rsidR="0039239F">
        <w:t xml:space="preserve"> respondents have requested their submission be kept </w:t>
      </w:r>
      <w:r w:rsidR="0003282B">
        <w:t>private</w:t>
      </w:r>
      <w:r w:rsidR="0039239F">
        <w:t>,</w:t>
      </w:r>
      <w:r w:rsidR="00217754">
        <w:t xml:space="preserve"> comments have been summarised </w:t>
      </w:r>
      <w:r w:rsidR="00756657">
        <w:t xml:space="preserve">for </w:t>
      </w:r>
      <w:r w:rsidR="00096E15">
        <w:t>inclu</w:t>
      </w:r>
      <w:r w:rsidR="00756657">
        <w:t>sion</w:t>
      </w:r>
      <w:r w:rsidR="00096E15">
        <w:t xml:space="preserve"> </w:t>
      </w:r>
      <w:r w:rsidR="00217754">
        <w:t xml:space="preserve">in this Decision RIS </w:t>
      </w:r>
      <w:r w:rsidR="00235C13">
        <w:t xml:space="preserve">and </w:t>
      </w:r>
      <w:r w:rsidR="00096E15">
        <w:t>have been</w:t>
      </w:r>
      <w:r w:rsidR="0003282B">
        <w:t xml:space="preserve"> attributed</w:t>
      </w:r>
      <w:r w:rsidR="00756657">
        <w:t xml:space="preserve"> as ‘</w:t>
      </w:r>
      <w:r w:rsidR="00765D4F">
        <w:t>Anonymous (</w:t>
      </w:r>
      <w:r w:rsidR="004D415C">
        <w:t>p</w:t>
      </w:r>
      <w:r w:rsidR="00765D4F">
        <w:t>ermission not granted for publication)’</w:t>
      </w:r>
      <w:r w:rsidR="0039239F">
        <w:t xml:space="preserve">. </w:t>
      </w:r>
      <w:r w:rsidR="0003282B">
        <w:t xml:space="preserve"> </w:t>
      </w:r>
    </w:p>
    <w:p w14:paraId="65825566" w14:textId="7582376C" w:rsidR="009911EB" w:rsidRPr="00040CDF" w:rsidRDefault="00040CDF" w:rsidP="005D1CDC">
      <w:pPr>
        <w:pStyle w:val="SWAHeading5"/>
      </w:pPr>
      <w:r>
        <w:t>S</w:t>
      </w:r>
      <w:r w:rsidR="009911EB" w:rsidRPr="00040CDF">
        <w:t>takeholder</w:t>
      </w:r>
      <w:r>
        <w:t xml:space="preserve"> feedback</w:t>
      </w:r>
      <w:r w:rsidR="009911EB" w:rsidRPr="00040CDF">
        <w:t xml:space="preserve"> on the proposed </w:t>
      </w:r>
      <w:r w:rsidR="002A6040">
        <w:t xml:space="preserve">options </w:t>
      </w:r>
    </w:p>
    <w:p w14:paraId="59DE2322" w14:textId="15E6B5F0" w:rsidR="008F6971" w:rsidRDefault="6B627834" w:rsidP="00777E2D">
      <w:pPr>
        <w:spacing w:before="120" w:line="240" w:lineRule="atLeast"/>
        <w:contextualSpacing w:val="0"/>
        <w:textAlignment w:val="baseline"/>
        <w:rPr>
          <w:rFonts w:eastAsiaTheme="majorEastAsia" w:cs="Arial"/>
          <w:lang w:eastAsia="en-AU"/>
        </w:rPr>
      </w:pPr>
      <w:r w:rsidRPr="00E3722A">
        <w:rPr>
          <w:rFonts w:eastAsiaTheme="majorEastAsia" w:cs="Arial"/>
          <w:lang w:eastAsia="en-AU"/>
        </w:rPr>
        <w:t>Stakeholder</w:t>
      </w:r>
      <w:r w:rsidR="016622D6" w:rsidRPr="00E3722A">
        <w:rPr>
          <w:rFonts w:eastAsiaTheme="majorEastAsia" w:cs="Arial"/>
          <w:lang w:eastAsia="en-AU"/>
        </w:rPr>
        <w:t xml:space="preserve"> feedback on the</w:t>
      </w:r>
      <w:r w:rsidR="397594AA" w:rsidRPr="00E3722A">
        <w:rPr>
          <w:rFonts w:eastAsiaTheme="majorEastAsia" w:cs="Arial"/>
          <w:lang w:eastAsia="en-AU"/>
        </w:rPr>
        <w:t xml:space="preserve"> proposed options was varied, with unions and peak health bodies </w:t>
      </w:r>
      <w:r w:rsidR="19A2B4B2" w:rsidRPr="00E3722A">
        <w:rPr>
          <w:rFonts w:eastAsiaTheme="majorEastAsia" w:cs="Arial"/>
          <w:lang w:eastAsia="en-AU"/>
        </w:rPr>
        <w:t xml:space="preserve">generally </w:t>
      </w:r>
      <w:r w:rsidR="397594AA" w:rsidRPr="00E3722A">
        <w:rPr>
          <w:rFonts w:eastAsiaTheme="majorEastAsia" w:cs="Arial"/>
          <w:lang w:eastAsia="en-AU"/>
        </w:rPr>
        <w:t xml:space="preserve">supportive of </w:t>
      </w:r>
      <w:r w:rsidR="19A2B4B2" w:rsidRPr="00E3722A">
        <w:rPr>
          <w:rFonts w:eastAsiaTheme="majorEastAsia" w:cs="Arial"/>
          <w:lang w:eastAsia="en-AU"/>
        </w:rPr>
        <w:t xml:space="preserve">Option 2, to </w:t>
      </w:r>
      <w:r w:rsidR="17B5666C" w:rsidRPr="00E3722A">
        <w:rPr>
          <w:rFonts w:eastAsiaTheme="majorEastAsia" w:cs="Arial"/>
          <w:lang w:eastAsia="en-AU"/>
        </w:rPr>
        <w:t>align the proposed WEL to health-based limits, while industry groups</w:t>
      </w:r>
      <w:r w:rsidR="13BB40A1" w:rsidRPr="00E3722A">
        <w:rPr>
          <w:rFonts w:eastAsiaTheme="majorEastAsia" w:cs="Arial"/>
          <w:lang w:eastAsia="en-AU"/>
        </w:rPr>
        <w:t xml:space="preserve"> and some businesses </w:t>
      </w:r>
      <w:r w:rsidR="2B2A992C" w:rsidRPr="00E3722A">
        <w:rPr>
          <w:rFonts w:eastAsiaTheme="majorEastAsia" w:cs="Arial"/>
          <w:lang w:eastAsia="en-AU"/>
        </w:rPr>
        <w:t xml:space="preserve">were </w:t>
      </w:r>
      <w:r w:rsidR="66D806DE" w:rsidRPr="00E3722A">
        <w:rPr>
          <w:rFonts w:eastAsiaTheme="majorEastAsia" w:cs="Arial"/>
          <w:lang w:eastAsia="en-AU"/>
        </w:rPr>
        <w:t xml:space="preserve">supportive of </w:t>
      </w:r>
      <w:r w:rsidR="44FF9AA6" w:rsidRPr="00E3722A">
        <w:rPr>
          <w:rFonts w:eastAsiaTheme="majorEastAsia" w:cs="Arial"/>
          <w:lang w:eastAsia="en-AU"/>
        </w:rPr>
        <w:t xml:space="preserve">Option 1, to </w:t>
      </w:r>
      <w:r w:rsidR="66D806DE" w:rsidRPr="00E3722A">
        <w:rPr>
          <w:rFonts w:eastAsiaTheme="majorEastAsia" w:cs="Arial"/>
          <w:lang w:eastAsia="en-AU"/>
        </w:rPr>
        <w:t>maintain the current WES a</w:t>
      </w:r>
      <w:r w:rsidR="13BB40A1" w:rsidRPr="00E3722A">
        <w:rPr>
          <w:rFonts w:eastAsiaTheme="majorEastAsia" w:cs="Arial"/>
          <w:lang w:eastAsia="en-AU"/>
        </w:rPr>
        <w:t xml:space="preserve">s </w:t>
      </w:r>
      <w:r w:rsidR="66D806DE" w:rsidRPr="00E3722A">
        <w:rPr>
          <w:rFonts w:eastAsiaTheme="majorEastAsia" w:cs="Arial"/>
          <w:lang w:eastAsia="en-AU"/>
        </w:rPr>
        <w:t>the proposed WEL</w:t>
      </w:r>
      <w:r w:rsidR="6B36FCD0" w:rsidRPr="00E3722A">
        <w:rPr>
          <w:rFonts w:eastAsiaTheme="majorEastAsia" w:cs="Arial"/>
          <w:lang w:eastAsia="en-AU"/>
        </w:rPr>
        <w:t xml:space="preserve"> (</w:t>
      </w:r>
      <w:r w:rsidR="13BB40A1" w:rsidRPr="00E3722A">
        <w:rPr>
          <w:rFonts w:eastAsiaTheme="majorEastAsia" w:cs="Arial"/>
          <w:lang w:eastAsia="en-AU"/>
        </w:rPr>
        <w:t xml:space="preserve">note, </w:t>
      </w:r>
      <w:r w:rsidR="01141A40" w:rsidRPr="00E3722A">
        <w:rPr>
          <w:rFonts w:eastAsiaTheme="majorEastAsia" w:cs="Arial"/>
          <w:lang w:eastAsia="en-AU"/>
        </w:rPr>
        <w:t xml:space="preserve">stakeholders </w:t>
      </w:r>
      <w:r w:rsidR="4D954D92" w:rsidRPr="00E3722A">
        <w:rPr>
          <w:rFonts w:eastAsiaTheme="majorEastAsia" w:cs="Arial"/>
          <w:lang w:eastAsia="en-AU"/>
        </w:rPr>
        <w:t>may have</w:t>
      </w:r>
      <w:r w:rsidR="01141A40" w:rsidRPr="00E3722A">
        <w:rPr>
          <w:rFonts w:eastAsiaTheme="majorEastAsia" w:cs="Arial"/>
          <w:lang w:eastAsia="en-AU"/>
        </w:rPr>
        <w:t xml:space="preserve"> indicated this preference </w:t>
      </w:r>
      <w:r w:rsidR="4D954D92" w:rsidRPr="00E3722A">
        <w:rPr>
          <w:rFonts w:eastAsiaTheme="majorEastAsia" w:cs="Arial"/>
          <w:lang w:eastAsia="en-AU"/>
        </w:rPr>
        <w:t>for</w:t>
      </w:r>
      <w:r w:rsidR="6B36FCD0" w:rsidRPr="00E3722A">
        <w:rPr>
          <w:rFonts w:eastAsiaTheme="majorEastAsia" w:cs="Arial"/>
          <w:lang w:eastAsia="en-AU"/>
        </w:rPr>
        <w:t xml:space="preserve"> all 9 chemicals</w:t>
      </w:r>
      <w:r w:rsidR="532B7748" w:rsidRPr="00E3722A">
        <w:rPr>
          <w:rFonts w:eastAsiaTheme="majorEastAsia" w:cs="Arial"/>
          <w:lang w:eastAsia="en-AU"/>
        </w:rPr>
        <w:t xml:space="preserve"> subject to this regulatory impact analysis</w:t>
      </w:r>
      <w:r w:rsidR="4D954D92" w:rsidRPr="00E3722A">
        <w:rPr>
          <w:rFonts w:eastAsiaTheme="majorEastAsia" w:cs="Arial"/>
          <w:lang w:eastAsia="en-AU"/>
        </w:rPr>
        <w:t>,</w:t>
      </w:r>
      <w:r w:rsidR="6B36FCD0" w:rsidRPr="00E3722A">
        <w:rPr>
          <w:rFonts w:eastAsiaTheme="majorEastAsia" w:cs="Arial"/>
          <w:lang w:eastAsia="en-AU"/>
        </w:rPr>
        <w:t xml:space="preserve"> </w:t>
      </w:r>
      <w:r w:rsidR="05917EFA" w:rsidRPr="00E3722A">
        <w:rPr>
          <w:rFonts w:eastAsiaTheme="majorEastAsia" w:cs="Arial"/>
          <w:lang w:eastAsia="en-AU"/>
        </w:rPr>
        <w:t>or in relation to specific chemicals</w:t>
      </w:r>
      <w:r w:rsidR="13BB40A1" w:rsidRPr="00E3722A">
        <w:rPr>
          <w:rFonts w:eastAsiaTheme="majorEastAsia" w:cs="Arial"/>
          <w:lang w:eastAsia="en-AU"/>
        </w:rPr>
        <w:t xml:space="preserve"> of relevance to the stakeholder</w:t>
      </w:r>
      <w:r w:rsidR="05917EFA" w:rsidRPr="00E3722A">
        <w:rPr>
          <w:rFonts w:eastAsiaTheme="majorEastAsia" w:cs="Arial"/>
          <w:lang w:eastAsia="en-AU"/>
        </w:rPr>
        <w:t>)</w:t>
      </w:r>
      <w:r w:rsidR="66D806DE" w:rsidRPr="00E3722A">
        <w:rPr>
          <w:rFonts w:eastAsiaTheme="majorEastAsia" w:cs="Arial"/>
          <w:lang w:eastAsia="en-AU"/>
        </w:rPr>
        <w:t>.</w:t>
      </w:r>
      <w:r w:rsidR="66D806DE" w:rsidRPr="27F845C1">
        <w:rPr>
          <w:rFonts w:eastAsiaTheme="majorEastAsia" w:cs="Arial"/>
          <w:lang w:eastAsia="en-AU"/>
        </w:rPr>
        <w:t xml:space="preserve"> </w:t>
      </w:r>
      <w:r w:rsidR="007F38C7">
        <w:rPr>
          <w:rFonts w:eastAsiaTheme="majorEastAsia" w:cs="Arial"/>
          <w:lang w:eastAsia="en-AU"/>
        </w:rPr>
        <w:t xml:space="preserve">WHS </w:t>
      </w:r>
      <w:r w:rsidR="00902007">
        <w:rPr>
          <w:rFonts w:eastAsiaTheme="majorEastAsia" w:cs="Arial"/>
          <w:lang w:eastAsia="en-AU"/>
        </w:rPr>
        <w:t>r</w:t>
      </w:r>
      <w:r w:rsidR="007F38C7">
        <w:rPr>
          <w:rFonts w:eastAsiaTheme="majorEastAsia" w:cs="Arial"/>
          <w:lang w:eastAsia="en-AU"/>
        </w:rPr>
        <w:t xml:space="preserve">egulators </w:t>
      </w:r>
      <w:r w:rsidR="00134762">
        <w:rPr>
          <w:rFonts w:eastAsiaTheme="majorEastAsia" w:cs="Arial"/>
          <w:lang w:eastAsia="en-AU"/>
        </w:rPr>
        <w:t xml:space="preserve">support for the preferred option varied across the 9 chemicals. </w:t>
      </w:r>
    </w:p>
    <w:p w14:paraId="2F0224BC" w14:textId="56FC3DF6" w:rsidR="006B0838" w:rsidRPr="00C307F2" w:rsidRDefault="006B0838" w:rsidP="00777E2D">
      <w:pPr>
        <w:keepLines/>
        <w:spacing w:before="120" w:line="240" w:lineRule="atLeast"/>
        <w:contextualSpacing w:val="0"/>
      </w:pPr>
      <w:r>
        <w:rPr>
          <w:rFonts w:eastAsiaTheme="majorEastAsia" w:cs="Arial"/>
          <w:szCs w:val="22"/>
          <w:lang w:eastAsia="en-AU"/>
        </w:rPr>
        <w:lastRenderedPageBreak/>
        <w:t xml:space="preserve">The limitations with the data used for assessment of the impact of options was highlighted by stakeholders. </w:t>
      </w:r>
      <w:r w:rsidR="002A3E15">
        <w:rPr>
          <w:rFonts w:eastAsiaTheme="majorEastAsia" w:cs="Arial"/>
          <w:szCs w:val="22"/>
          <w:lang w:eastAsia="en-AU"/>
        </w:rPr>
        <w:t xml:space="preserve">These limitations have been acknowledged and outlined above. </w:t>
      </w:r>
      <w:r w:rsidR="00FE3834">
        <w:rPr>
          <w:rFonts w:eastAsiaTheme="majorEastAsia" w:cs="Arial"/>
          <w:szCs w:val="22"/>
          <w:lang w:eastAsia="en-AU"/>
        </w:rPr>
        <w:t>I</w:t>
      </w:r>
      <w:r w:rsidR="002A3E15">
        <w:rPr>
          <w:rFonts w:eastAsiaTheme="majorEastAsia" w:cs="Arial"/>
          <w:szCs w:val="22"/>
          <w:lang w:eastAsia="en-AU"/>
        </w:rPr>
        <w:t xml:space="preserve">t is worth noting that some stakeholders highlighted that </w:t>
      </w:r>
      <w:r w:rsidR="00080F5B">
        <w:rPr>
          <w:rFonts w:eastAsiaTheme="majorEastAsia" w:cs="Arial"/>
          <w:szCs w:val="22"/>
          <w:lang w:eastAsia="en-AU"/>
        </w:rPr>
        <w:t xml:space="preserve">in their view there was </w:t>
      </w:r>
      <w:r w:rsidR="00634D64">
        <w:rPr>
          <w:rFonts w:eastAsiaTheme="majorEastAsia" w:cs="Arial"/>
          <w:szCs w:val="22"/>
          <w:lang w:eastAsia="en-AU"/>
        </w:rPr>
        <w:t xml:space="preserve">a significant underestimation of the </w:t>
      </w:r>
      <w:r w:rsidR="00DA5867">
        <w:rPr>
          <w:rFonts w:eastAsiaTheme="majorEastAsia" w:cs="Arial"/>
          <w:szCs w:val="22"/>
          <w:lang w:eastAsia="en-AU"/>
        </w:rPr>
        <w:t xml:space="preserve">health benefits which would be </w:t>
      </w:r>
      <w:r w:rsidR="00176B80">
        <w:rPr>
          <w:rFonts w:eastAsiaTheme="majorEastAsia" w:cs="Arial"/>
          <w:szCs w:val="22"/>
          <w:lang w:eastAsia="en-AU"/>
        </w:rPr>
        <w:t xml:space="preserve">achieved </w:t>
      </w:r>
      <w:r w:rsidR="00DA7963">
        <w:rPr>
          <w:rFonts w:eastAsiaTheme="majorEastAsia" w:cs="Arial"/>
          <w:szCs w:val="22"/>
          <w:lang w:eastAsia="en-AU"/>
        </w:rPr>
        <w:t xml:space="preserve">through moving </w:t>
      </w:r>
      <w:r w:rsidR="007A5263">
        <w:rPr>
          <w:rFonts w:eastAsiaTheme="majorEastAsia" w:cs="Arial"/>
          <w:szCs w:val="22"/>
          <w:lang w:eastAsia="en-AU"/>
        </w:rPr>
        <w:t>to health-based limits</w:t>
      </w:r>
      <w:r w:rsidR="00046971">
        <w:rPr>
          <w:rFonts w:eastAsiaTheme="majorEastAsia" w:cs="Arial"/>
          <w:szCs w:val="22"/>
          <w:lang w:eastAsia="en-AU"/>
        </w:rPr>
        <w:t>. In particular</w:t>
      </w:r>
      <w:r w:rsidR="00C307F2">
        <w:rPr>
          <w:rFonts w:eastAsiaTheme="majorEastAsia" w:cs="Arial"/>
          <w:szCs w:val="22"/>
          <w:lang w:eastAsia="en-AU"/>
        </w:rPr>
        <w:t xml:space="preserve">, </w:t>
      </w:r>
      <w:r w:rsidR="00046971" w:rsidRPr="009911EB">
        <w:t xml:space="preserve">stakeholders suggested the estimated costs associated </w:t>
      </w:r>
      <w:r w:rsidR="00FA59C6">
        <w:t>with the proposed WEL for be</w:t>
      </w:r>
      <w:r w:rsidR="00046971" w:rsidRPr="009911EB">
        <w:t xml:space="preserve">nzene, formaldehyde and RCS </w:t>
      </w:r>
      <w:r w:rsidR="00235C13">
        <w:t>are</w:t>
      </w:r>
      <w:r w:rsidR="00235C13" w:rsidRPr="009911EB">
        <w:t xml:space="preserve"> </w:t>
      </w:r>
      <w:r w:rsidR="00046971" w:rsidRPr="009911EB">
        <w:t xml:space="preserve">overestimated, citing unchanged obligations </w:t>
      </w:r>
      <w:r w:rsidR="00E41A68">
        <w:t xml:space="preserve">for PCBUs </w:t>
      </w:r>
      <w:r w:rsidR="00046971" w:rsidRPr="009911EB">
        <w:t xml:space="preserve">even at a lowered WEL. </w:t>
      </w:r>
    </w:p>
    <w:p w14:paraId="49915F63" w14:textId="16A0A786" w:rsidR="00EE15A9" w:rsidRDefault="00EE15A9" w:rsidP="00DD6538">
      <w:pPr>
        <w:ind w:left="720"/>
        <w:contextualSpacing w:val="0"/>
        <w:textAlignment w:val="baseline"/>
        <w:rPr>
          <w:rFonts w:eastAsiaTheme="majorEastAsia" w:cs="Arial"/>
          <w:szCs w:val="22"/>
          <w:lang w:eastAsia="en-AU"/>
        </w:rPr>
      </w:pPr>
      <w:r>
        <w:rPr>
          <w:rFonts w:eastAsiaTheme="majorEastAsia" w:cs="Arial"/>
          <w:szCs w:val="22"/>
          <w:lang w:eastAsia="en-AU"/>
        </w:rPr>
        <w:t>“</w:t>
      </w:r>
      <w:r w:rsidRPr="005D7BE0">
        <w:rPr>
          <w:rFonts w:eastAsiaTheme="majorEastAsia" w:cs="Arial"/>
          <w:i/>
          <w:iCs/>
          <w:szCs w:val="22"/>
          <w:lang w:eastAsia="en-AU"/>
        </w:rPr>
        <w:t>Cancer Council is concerned about the basis of the development of costings used in the impact analysis. The estimated costs seem very high (e.g., $1.3 billion over 10-years for formaldehyde) while the benefits seem underestimated given the reliance on compensation data (not available for formaldehyde), despite applying a 50% uplift factor to all direct financial benefits and indirect benefits.</w:t>
      </w:r>
      <w:r w:rsidR="00376E92">
        <w:rPr>
          <w:rFonts w:eastAsiaTheme="majorEastAsia" w:cs="Arial"/>
          <w:szCs w:val="22"/>
          <w:lang w:eastAsia="en-AU"/>
        </w:rPr>
        <w:t>”</w:t>
      </w:r>
      <w:r w:rsidR="004364D9">
        <w:rPr>
          <w:rStyle w:val="FootnoteReference"/>
          <w:rFonts w:eastAsiaTheme="majorEastAsia" w:cs="Arial"/>
          <w:szCs w:val="22"/>
          <w:lang w:eastAsia="en-AU"/>
        </w:rPr>
        <w:footnoteReference w:id="16"/>
      </w:r>
    </w:p>
    <w:p w14:paraId="65F9B551" w14:textId="5046E718" w:rsidR="00CE79AD" w:rsidRDefault="0019276E" w:rsidP="00DB1AC9">
      <w:pPr>
        <w:ind w:left="720"/>
        <w:contextualSpacing w:val="0"/>
        <w:textAlignment w:val="baseline"/>
        <w:rPr>
          <w:rFonts w:eastAsiaTheme="majorEastAsia" w:cs="Arial"/>
          <w:szCs w:val="22"/>
          <w:lang w:eastAsia="en-AU"/>
        </w:rPr>
      </w:pPr>
      <w:r>
        <w:rPr>
          <w:rFonts w:eastAsiaTheme="majorEastAsia" w:cs="Arial"/>
          <w:szCs w:val="22"/>
          <w:lang w:eastAsia="en-AU"/>
        </w:rPr>
        <w:t>“</w:t>
      </w:r>
      <w:r w:rsidRPr="005D7BE0">
        <w:rPr>
          <w:rFonts w:eastAsiaTheme="majorEastAsia" w:cs="Arial"/>
          <w:i/>
          <w:iCs/>
          <w:szCs w:val="22"/>
          <w:lang w:eastAsia="en-AU"/>
        </w:rPr>
        <w:t>The methodology required for the RIA is not robust and is open to significant bias due to the paucity of data, particularly for benefits of reduction in WES.</w:t>
      </w:r>
      <w:r w:rsidR="00DE1F90">
        <w:rPr>
          <w:rFonts w:eastAsiaTheme="majorEastAsia" w:cs="Arial"/>
          <w:szCs w:val="22"/>
          <w:lang w:eastAsia="en-AU"/>
        </w:rPr>
        <w:t>“</w:t>
      </w:r>
      <w:r w:rsidR="006B2054">
        <w:rPr>
          <w:rStyle w:val="FootnoteReference"/>
          <w:rFonts w:eastAsiaTheme="majorEastAsia" w:cs="Arial"/>
          <w:szCs w:val="22"/>
          <w:lang w:eastAsia="en-AU"/>
        </w:rPr>
        <w:footnoteReference w:id="17"/>
      </w:r>
    </w:p>
    <w:p w14:paraId="49CDDC9E" w14:textId="6D39CDAD" w:rsidR="00235163" w:rsidRDefault="70C416F7" w:rsidP="00011855">
      <w:pPr>
        <w:contextualSpacing w:val="0"/>
        <w:textAlignment w:val="baseline"/>
        <w:rPr>
          <w:rFonts w:eastAsiaTheme="majorEastAsia" w:cs="Arial"/>
          <w:lang w:eastAsia="en-AU"/>
        </w:rPr>
      </w:pPr>
      <w:r w:rsidRPr="27F845C1">
        <w:rPr>
          <w:rFonts w:eastAsiaTheme="majorEastAsia" w:cs="Arial"/>
          <w:lang w:eastAsia="en-AU"/>
        </w:rPr>
        <w:t xml:space="preserve">Alternatively, industry groups and businesses </w:t>
      </w:r>
      <w:r w:rsidR="613BEB48" w:rsidRPr="27F845C1">
        <w:rPr>
          <w:rFonts w:eastAsiaTheme="majorEastAsia" w:cs="Arial"/>
          <w:lang w:eastAsia="en-AU"/>
        </w:rPr>
        <w:t xml:space="preserve">highlighted concerns with </w:t>
      </w:r>
      <w:r w:rsidR="20543251" w:rsidRPr="27F845C1">
        <w:rPr>
          <w:rFonts w:eastAsiaTheme="majorEastAsia" w:cs="Arial"/>
          <w:lang w:eastAsia="en-AU"/>
        </w:rPr>
        <w:t xml:space="preserve">the </w:t>
      </w:r>
      <w:r w:rsidR="613BEB48" w:rsidRPr="27F845C1">
        <w:rPr>
          <w:rFonts w:eastAsiaTheme="majorEastAsia" w:cs="Arial"/>
          <w:lang w:eastAsia="en-AU"/>
        </w:rPr>
        <w:t>practicality and feasibility to implement the proposed health-based limit</w:t>
      </w:r>
      <w:r w:rsidR="48800D55" w:rsidRPr="27F845C1">
        <w:rPr>
          <w:rFonts w:eastAsiaTheme="majorEastAsia" w:cs="Arial"/>
          <w:lang w:eastAsia="en-AU"/>
        </w:rPr>
        <w:t xml:space="preserve">s </w:t>
      </w:r>
      <w:r w:rsidR="613BEB48" w:rsidRPr="27F845C1">
        <w:rPr>
          <w:rFonts w:eastAsiaTheme="majorEastAsia" w:cs="Arial"/>
          <w:lang w:eastAsia="en-AU"/>
        </w:rPr>
        <w:t xml:space="preserve">and highlighted that meeting the limits under </w:t>
      </w:r>
      <w:r w:rsidR="225E6ECD" w:rsidRPr="22BE4B57">
        <w:rPr>
          <w:rFonts w:eastAsiaTheme="majorEastAsia" w:cs="Arial"/>
          <w:lang w:eastAsia="en-AU"/>
        </w:rPr>
        <w:t>O</w:t>
      </w:r>
      <w:r w:rsidR="613BEB48" w:rsidRPr="22BE4B57">
        <w:rPr>
          <w:rFonts w:eastAsiaTheme="majorEastAsia" w:cs="Arial"/>
          <w:lang w:eastAsia="en-AU"/>
        </w:rPr>
        <w:t>ption</w:t>
      </w:r>
      <w:r w:rsidR="613BEB48" w:rsidRPr="27F845C1">
        <w:rPr>
          <w:rFonts w:eastAsiaTheme="majorEastAsia" w:cs="Arial"/>
          <w:lang w:eastAsia="en-AU"/>
        </w:rPr>
        <w:t xml:space="preserve"> 2</w:t>
      </w:r>
      <w:r w:rsidR="48800D55" w:rsidRPr="27F845C1">
        <w:rPr>
          <w:rFonts w:eastAsiaTheme="majorEastAsia" w:cs="Arial"/>
          <w:lang w:eastAsia="en-AU"/>
        </w:rPr>
        <w:t xml:space="preserve"> would have s</w:t>
      </w:r>
      <w:r w:rsidR="7B8A9782" w:rsidRPr="27F845C1">
        <w:rPr>
          <w:rFonts w:eastAsiaTheme="majorEastAsia" w:cs="Arial"/>
          <w:lang w:eastAsia="en-AU"/>
        </w:rPr>
        <w:t xml:space="preserve">ignificant </w:t>
      </w:r>
      <w:r w:rsidR="20543251" w:rsidRPr="27F845C1">
        <w:rPr>
          <w:rFonts w:eastAsiaTheme="majorEastAsia" w:cs="Arial"/>
          <w:lang w:eastAsia="en-AU"/>
        </w:rPr>
        <w:t>costs</w:t>
      </w:r>
      <w:r w:rsidR="613BEB48" w:rsidRPr="27F845C1">
        <w:rPr>
          <w:rFonts w:eastAsiaTheme="majorEastAsia" w:cs="Arial"/>
          <w:lang w:eastAsia="en-AU"/>
        </w:rPr>
        <w:t>.</w:t>
      </w:r>
      <w:r w:rsidR="1F8EC782">
        <w:t xml:space="preserve"> </w:t>
      </w:r>
      <w:r w:rsidR="1F8EC782" w:rsidRPr="27F845C1">
        <w:rPr>
          <w:rFonts w:eastAsiaTheme="majorEastAsia" w:cs="Arial"/>
          <w:lang w:eastAsia="en-AU"/>
        </w:rPr>
        <w:t xml:space="preserve">Stakeholders raised that the analyses did not consider administrative costs associated with the change, such as fit-testing </w:t>
      </w:r>
      <w:r w:rsidR="00475D7F">
        <w:rPr>
          <w:rFonts w:eastAsiaTheme="majorEastAsia" w:cs="Arial"/>
          <w:lang w:eastAsia="en-AU"/>
        </w:rPr>
        <w:t xml:space="preserve">respiratory protective equipment (RPE) </w:t>
      </w:r>
      <w:r w:rsidR="1F8EC782" w:rsidRPr="27F845C1">
        <w:rPr>
          <w:rFonts w:eastAsiaTheme="majorEastAsia" w:cs="Arial"/>
          <w:lang w:eastAsia="en-AU"/>
        </w:rPr>
        <w:t>and administrative controls. Health monitoring, salaries of additional workers or contractors, maintenance and upgrading current equipment were also raised as unconsidered costs.</w:t>
      </w:r>
    </w:p>
    <w:p w14:paraId="30423D4A" w14:textId="4B1C5E9B" w:rsidR="004C7A4F" w:rsidRDefault="004C7A4F" w:rsidP="00011855">
      <w:pPr>
        <w:ind w:left="720"/>
        <w:contextualSpacing w:val="0"/>
        <w:textAlignment w:val="baseline"/>
        <w:rPr>
          <w:rFonts w:eastAsiaTheme="majorEastAsia" w:cs="Arial"/>
          <w:szCs w:val="22"/>
          <w:lang w:eastAsia="en-AU"/>
        </w:rPr>
      </w:pPr>
      <w:r w:rsidRPr="00E764D9">
        <w:rPr>
          <w:rFonts w:eastAsiaTheme="majorEastAsia" w:cs="Arial"/>
          <w:szCs w:val="22"/>
          <w:lang w:eastAsia="en-AU"/>
        </w:rPr>
        <w:t>“</w:t>
      </w:r>
      <w:r w:rsidR="00E764D9" w:rsidRPr="005D7BE0">
        <w:rPr>
          <w:rFonts w:eastAsiaTheme="majorEastAsia" w:cs="Arial"/>
          <w:i/>
          <w:iCs/>
          <w:szCs w:val="22"/>
          <w:lang w:eastAsia="en-AU"/>
        </w:rPr>
        <w:t xml:space="preserve">Master Builders </w:t>
      </w:r>
      <w:r w:rsidR="00235C13">
        <w:rPr>
          <w:rFonts w:eastAsiaTheme="majorEastAsia" w:cs="Arial"/>
          <w:i/>
          <w:iCs/>
          <w:szCs w:val="22"/>
          <w:lang w:eastAsia="en-AU"/>
        </w:rPr>
        <w:t xml:space="preserve">Australia </w:t>
      </w:r>
      <w:r w:rsidR="00E764D9" w:rsidRPr="005D7BE0">
        <w:rPr>
          <w:rFonts w:eastAsiaTheme="majorEastAsia" w:cs="Arial"/>
          <w:i/>
          <w:iCs/>
          <w:szCs w:val="22"/>
          <w:lang w:eastAsia="en-AU"/>
        </w:rPr>
        <w:t>believes this figure (estimated total compliance costs of the proposed WEL for RCS) is grossly underestimated, particularly for small business. In response to industry feedback, we instead estimate that the cost impact of the proposed change ranges from $5,000 to $8m annually, depending on the size of the business.</w:t>
      </w:r>
      <w:r w:rsidR="00E764D9" w:rsidRPr="00E764D9">
        <w:rPr>
          <w:rFonts w:eastAsiaTheme="majorEastAsia" w:cs="Arial"/>
          <w:szCs w:val="22"/>
          <w:lang w:eastAsia="en-AU"/>
        </w:rPr>
        <w:t>”</w:t>
      </w:r>
      <w:r w:rsidR="0004394D">
        <w:rPr>
          <w:rStyle w:val="FootnoteReference"/>
          <w:rFonts w:eastAsiaTheme="majorEastAsia" w:cs="Arial"/>
          <w:szCs w:val="22"/>
          <w:lang w:eastAsia="en-AU"/>
        </w:rPr>
        <w:footnoteReference w:id="18"/>
      </w:r>
    </w:p>
    <w:p w14:paraId="40381F96" w14:textId="722C54AC" w:rsidR="0096556C" w:rsidRPr="00313366" w:rsidRDefault="20543251" w:rsidP="0096556C">
      <w:pPr>
        <w:spacing w:line="240" w:lineRule="auto"/>
        <w:contextualSpacing w:val="0"/>
        <w:textAlignment w:val="baseline"/>
        <w:rPr>
          <w:rFonts w:ascii="Segoe UI" w:eastAsia="Times New Roman" w:hAnsi="Segoe UI" w:cs="Segoe UI"/>
          <w:sz w:val="18"/>
          <w:szCs w:val="18"/>
          <w:lang w:eastAsia="en-AU"/>
        </w:rPr>
      </w:pPr>
      <w:r w:rsidRPr="27F845C1">
        <w:rPr>
          <w:rFonts w:eastAsiaTheme="majorEastAsia" w:cs="Arial"/>
          <w:lang w:eastAsia="en-AU"/>
        </w:rPr>
        <w:t xml:space="preserve">This Decision RIS acknowledges that a number of stakeholders </w:t>
      </w:r>
      <w:r w:rsidR="5815711B" w:rsidRPr="27F845C1">
        <w:rPr>
          <w:rFonts w:eastAsiaTheme="majorEastAsia" w:cs="Arial"/>
          <w:lang w:eastAsia="en-AU"/>
        </w:rPr>
        <w:t xml:space="preserve">expressed support for alternate WELs and </w:t>
      </w:r>
      <w:r w:rsidR="749107E8" w:rsidRPr="27F845C1">
        <w:rPr>
          <w:rFonts w:eastAsiaTheme="majorEastAsia" w:cs="Arial"/>
          <w:lang w:eastAsia="en-AU"/>
        </w:rPr>
        <w:t>suggested o</w:t>
      </w:r>
      <w:r w:rsidRPr="27F845C1">
        <w:rPr>
          <w:rFonts w:eastAsiaTheme="majorEastAsia" w:cs="Arial"/>
          <w:lang w:eastAsia="en-AU"/>
        </w:rPr>
        <w:t xml:space="preserve">ptions on alternative </w:t>
      </w:r>
      <w:r w:rsidR="6DCCCEB7" w:rsidRPr="61EEBE0E">
        <w:rPr>
          <w:rFonts w:eastAsiaTheme="majorEastAsia" w:cs="Arial"/>
          <w:lang w:eastAsia="en-AU"/>
        </w:rPr>
        <w:t>WEL</w:t>
      </w:r>
      <w:r w:rsidR="749107E8" w:rsidRPr="61EEBE0E">
        <w:rPr>
          <w:rFonts w:eastAsiaTheme="majorEastAsia" w:cs="Arial"/>
          <w:lang w:eastAsia="en-AU"/>
        </w:rPr>
        <w:t>s</w:t>
      </w:r>
      <w:r w:rsidR="3A6A3694" w:rsidRPr="61EEBE0E">
        <w:rPr>
          <w:rFonts w:eastAsiaTheme="majorEastAsia" w:cs="Arial"/>
          <w:lang w:eastAsia="en-AU"/>
        </w:rPr>
        <w:t>.</w:t>
      </w:r>
      <w:r w:rsidR="3A6A3694" w:rsidRPr="27F845C1">
        <w:rPr>
          <w:rFonts w:eastAsiaTheme="majorEastAsia" w:cs="Arial"/>
          <w:lang w:eastAsia="en-AU"/>
        </w:rPr>
        <w:t xml:space="preserve"> These suggest</w:t>
      </w:r>
      <w:r w:rsidR="3B50EF16" w:rsidRPr="27F845C1">
        <w:rPr>
          <w:rFonts w:eastAsiaTheme="majorEastAsia" w:cs="Arial"/>
          <w:lang w:eastAsia="en-AU"/>
        </w:rPr>
        <w:t>ions</w:t>
      </w:r>
      <w:r w:rsidR="3A6A3694" w:rsidRPr="27F845C1">
        <w:rPr>
          <w:rFonts w:eastAsiaTheme="majorEastAsia" w:cs="Arial"/>
          <w:lang w:eastAsia="en-AU"/>
        </w:rPr>
        <w:t xml:space="preserve"> varied</w:t>
      </w:r>
      <w:r w:rsidR="632F92A7" w:rsidRPr="27F845C1">
        <w:rPr>
          <w:rFonts w:eastAsiaTheme="majorEastAsia" w:cs="Arial"/>
          <w:lang w:eastAsia="en-AU"/>
        </w:rPr>
        <w:t xml:space="preserve">, with recommendations to set the limit </w:t>
      </w:r>
      <w:r w:rsidRPr="27F845C1">
        <w:rPr>
          <w:rFonts w:eastAsiaTheme="majorEastAsia" w:cs="Arial"/>
          <w:lang w:eastAsia="en-AU"/>
        </w:rPr>
        <w:t>between the two options</w:t>
      </w:r>
      <w:r w:rsidR="280016B7" w:rsidRPr="27F845C1">
        <w:rPr>
          <w:rFonts w:eastAsiaTheme="majorEastAsia" w:cs="Arial"/>
          <w:lang w:eastAsia="en-AU"/>
        </w:rPr>
        <w:t xml:space="preserve"> in this Decision RIS</w:t>
      </w:r>
      <w:r w:rsidRPr="27F845C1">
        <w:rPr>
          <w:rFonts w:eastAsiaTheme="majorEastAsia" w:cs="Arial"/>
          <w:lang w:eastAsia="en-AU"/>
        </w:rPr>
        <w:t xml:space="preserve">, </w:t>
      </w:r>
      <w:r w:rsidR="632F92A7" w:rsidRPr="27F845C1">
        <w:rPr>
          <w:rFonts w:eastAsiaTheme="majorEastAsia" w:cs="Arial"/>
          <w:lang w:eastAsia="en-AU"/>
        </w:rPr>
        <w:t xml:space="preserve">as well as </w:t>
      </w:r>
      <w:r w:rsidR="280016B7" w:rsidRPr="27F845C1">
        <w:rPr>
          <w:rFonts w:eastAsiaTheme="majorEastAsia" w:cs="Arial"/>
          <w:lang w:eastAsia="en-AU"/>
        </w:rPr>
        <w:t>s</w:t>
      </w:r>
      <w:r w:rsidR="632F92A7" w:rsidRPr="27F845C1">
        <w:rPr>
          <w:rFonts w:eastAsiaTheme="majorEastAsia" w:cs="Arial"/>
          <w:lang w:eastAsia="en-AU"/>
        </w:rPr>
        <w:t>uggestions</w:t>
      </w:r>
      <w:r w:rsidRPr="27F845C1">
        <w:rPr>
          <w:rFonts w:eastAsiaTheme="majorEastAsia" w:cs="Arial"/>
          <w:lang w:eastAsia="en-AU"/>
        </w:rPr>
        <w:t xml:space="preserve"> </w:t>
      </w:r>
      <w:r w:rsidR="632F92A7" w:rsidRPr="27F845C1">
        <w:rPr>
          <w:rFonts w:eastAsiaTheme="majorEastAsia" w:cs="Arial"/>
          <w:lang w:eastAsia="en-AU"/>
        </w:rPr>
        <w:t>that some specific chemicals should be ev</w:t>
      </w:r>
      <w:r w:rsidRPr="27F845C1">
        <w:rPr>
          <w:rFonts w:eastAsiaTheme="majorEastAsia" w:cs="Arial"/>
          <w:lang w:eastAsia="en-AU"/>
        </w:rPr>
        <w:t xml:space="preserve">en lower </w:t>
      </w:r>
      <w:r w:rsidR="3E315104" w:rsidRPr="27F845C1">
        <w:rPr>
          <w:rFonts w:eastAsiaTheme="majorEastAsia" w:cs="Arial"/>
          <w:lang w:eastAsia="en-AU"/>
        </w:rPr>
        <w:t>in order to strengthen protections for workers</w:t>
      </w:r>
      <w:r w:rsidR="632F92A7" w:rsidRPr="27F845C1">
        <w:rPr>
          <w:rFonts w:eastAsiaTheme="majorEastAsia" w:cs="Arial"/>
          <w:lang w:eastAsia="en-AU"/>
        </w:rPr>
        <w:t>.</w:t>
      </w:r>
      <w:r w:rsidR="5CE89000" w:rsidRPr="27F845C1">
        <w:rPr>
          <w:rFonts w:eastAsiaTheme="majorEastAsia" w:cs="Arial"/>
          <w:lang w:eastAsia="en-AU"/>
        </w:rPr>
        <w:t xml:space="preserve"> </w:t>
      </w:r>
      <w:r w:rsidR="13288B42" w:rsidRPr="27F845C1">
        <w:rPr>
          <w:rFonts w:eastAsiaTheme="majorEastAsia" w:cs="Arial"/>
          <w:lang w:eastAsia="en-AU"/>
        </w:rPr>
        <w:t>Alternative WELs were suggested for all chemicals, aside from hydrogen cyanide and titanium dioxide.</w:t>
      </w:r>
      <w:r w:rsidR="00C23123">
        <w:rPr>
          <w:rFonts w:eastAsiaTheme="majorEastAsia" w:cs="Arial"/>
          <w:lang w:eastAsia="en-AU"/>
        </w:rPr>
        <w:t xml:space="preserve"> For example, </w:t>
      </w:r>
      <w:r w:rsidR="00142E4D">
        <w:rPr>
          <w:rFonts w:eastAsiaTheme="majorEastAsia" w:cs="Arial"/>
          <w:lang w:eastAsia="en-AU"/>
        </w:rPr>
        <w:t>the Water Services Association of Australia suggested an alternative TWA of 5 ppm and STEL of 10 ppm</w:t>
      </w:r>
      <w:r w:rsidR="00244113">
        <w:rPr>
          <w:rFonts w:eastAsiaTheme="majorEastAsia" w:cs="Arial"/>
          <w:lang w:eastAsia="en-AU"/>
        </w:rPr>
        <w:t xml:space="preserve"> for hydrogen </w:t>
      </w:r>
      <w:r w:rsidR="00E972DD">
        <w:rPr>
          <w:rFonts w:eastAsiaTheme="majorEastAsia" w:cs="Arial"/>
          <w:lang w:eastAsia="en-AU"/>
        </w:rPr>
        <w:t>sulfide</w:t>
      </w:r>
      <w:r w:rsidR="00D5204F">
        <w:rPr>
          <w:rFonts w:eastAsiaTheme="majorEastAsia" w:cs="Arial"/>
          <w:lang w:eastAsia="en-AU"/>
        </w:rPr>
        <w:t xml:space="preserve">, instead of the proposed WEL </w:t>
      </w:r>
      <w:r w:rsidR="00934D6C">
        <w:rPr>
          <w:rFonts w:eastAsiaTheme="majorEastAsia" w:cs="Arial"/>
          <w:lang w:eastAsia="en-AU"/>
        </w:rPr>
        <w:t>(</w:t>
      </w:r>
      <w:r w:rsidR="007F5837">
        <w:rPr>
          <w:rFonts w:eastAsiaTheme="majorEastAsia" w:cs="Arial"/>
          <w:lang w:eastAsia="en-AU"/>
        </w:rPr>
        <w:t>TWA</w:t>
      </w:r>
      <w:r w:rsidR="00934D6C">
        <w:rPr>
          <w:rFonts w:eastAsiaTheme="majorEastAsia" w:cs="Arial"/>
          <w:lang w:eastAsia="en-AU"/>
        </w:rPr>
        <w:t xml:space="preserve"> of 1ppm and STEL of 5ppm) </w:t>
      </w:r>
      <w:r w:rsidR="00D5204F">
        <w:rPr>
          <w:rFonts w:eastAsiaTheme="majorEastAsia" w:cs="Arial"/>
          <w:lang w:eastAsia="en-AU"/>
        </w:rPr>
        <w:t xml:space="preserve">for hydrogen </w:t>
      </w:r>
      <w:r w:rsidR="00E13542">
        <w:rPr>
          <w:rFonts w:eastAsiaTheme="majorEastAsia" w:cs="Arial"/>
          <w:lang w:eastAsia="en-AU"/>
        </w:rPr>
        <w:t>sulfide</w:t>
      </w:r>
      <w:r w:rsidR="0046008F">
        <w:rPr>
          <w:rStyle w:val="FootnoteReference"/>
          <w:rFonts w:eastAsiaTheme="majorEastAsia" w:cs="Arial"/>
          <w:lang w:eastAsia="en-AU"/>
        </w:rPr>
        <w:footnoteReference w:id="19"/>
      </w:r>
      <w:r w:rsidR="00244113">
        <w:rPr>
          <w:rFonts w:eastAsiaTheme="majorEastAsia" w:cs="Arial"/>
          <w:lang w:eastAsia="en-AU"/>
        </w:rPr>
        <w:t>.</w:t>
      </w:r>
      <w:r w:rsidR="008F6ED9" w:rsidRPr="008F6ED9">
        <w:t xml:space="preserve"> </w:t>
      </w:r>
      <w:r w:rsidR="0096556C" w:rsidRPr="00016321">
        <w:t xml:space="preserve">These suggestions were considered </w:t>
      </w:r>
      <w:r w:rsidR="0096556C">
        <w:t>against the criteria contained</w:t>
      </w:r>
      <w:r w:rsidR="0096556C" w:rsidRPr="00016321">
        <w:t xml:space="preserve"> with</w:t>
      </w:r>
      <w:r w:rsidR="0096556C">
        <w:t>in</w:t>
      </w:r>
      <w:r w:rsidR="0096556C" w:rsidRPr="00016321">
        <w:t xml:space="preserve"> the WES review methodology </w:t>
      </w:r>
      <w:r w:rsidR="0096556C">
        <w:t>agreed by WHS ministers.</w:t>
      </w:r>
      <w:r w:rsidR="0096556C" w:rsidRPr="00016321">
        <w:t xml:space="preserve"> </w:t>
      </w:r>
    </w:p>
    <w:p w14:paraId="08A566FF" w14:textId="171D3F29" w:rsidR="00CC3ECB" w:rsidRDefault="0D30BBA8" w:rsidP="00AB5B6F">
      <w:pPr>
        <w:contextualSpacing w:val="0"/>
        <w:textAlignment w:val="baseline"/>
        <w:rPr>
          <w:rFonts w:eastAsiaTheme="majorEastAsia" w:cs="Arial"/>
          <w:lang w:eastAsia="en-AU"/>
        </w:rPr>
      </w:pPr>
      <w:r>
        <w:t>As noted previously, c</w:t>
      </w:r>
      <w:r w:rsidR="5671B745">
        <w:t xml:space="preserve">ost information </w:t>
      </w:r>
      <w:r>
        <w:t xml:space="preserve">was </w:t>
      </w:r>
      <w:r w:rsidR="5671B745">
        <w:t>collected from the public consultation</w:t>
      </w:r>
      <w:r>
        <w:t xml:space="preserve">. </w:t>
      </w:r>
      <w:r w:rsidR="6FB4D60E">
        <w:t>A range of stakeholders, particularly industry groups and businesses, provide</w:t>
      </w:r>
      <w:r w:rsidR="5B3DBA32">
        <w:t xml:space="preserve">d information on </w:t>
      </w:r>
      <w:r w:rsidR="6FF5AAD9">
        <w:t xml:space="preserve">costs. </w:t>
      </w:r>
      <w:r w:rsidR="0B91B7D6">
        <w:t xml:space="preserve">Where this could be validated, </w:t>
      </w:r>
      <w:r w:rsidR="6FF5AAD9">
        <w:t xml:space="preserve">Of note, </w:t>
      </w:r>
      <w:r w:rsidR="53798642">
        <w:t xml:space="preserve">the Australian Chamber of Commerce and Industry </w:t>
      </w:r>
      <w:r w:rsidR="00190CAA">
        <w:t xml:space="preserve">(ACCI) </w:t>
      </w:r>
      <w:r w:rsidR="36E0799F">
        <w:t xml:space="preserve">sought to collect data from businesses using </w:t>
      </w:r>
      <w:r w:rsidR="0B91B7D6">
        <w:t>one or more of the 9 chemicals through a survey. The</w:t>
      </w:r>
      <w:r w:rsidR="71FC1664">
        <w:t xml:space="preserve"> </w:t>
      </w:r>
      <w:r w:rsidR="0B91B7D6">
        <w:t>survey</w:t>
      </w:r>
      <w:r w:rsidR="71FC1664">
        <w:t xml:space="preserve"> </w:t>
      </w:r>
      <w:r w:rsidR="072C9692">
        <w:t xml:space="preserve">was similar to </w:t>
      </w:r>
      <w:r w:rsidR="71FC1664">
        <w:t>SWA’s</w:t>
      </w:r>
      <w:r w:rsidR="0B91B7D6">
        <w:t xml:space="preserve"> previous business survey</w:t>
      </w:r>
      <w:r w:rsidR="072C9692">
        <w:t>,</w:t>
      </w:r>
      <w:r w:rsidR="0B91B7D6">
        <w:t xml:space="preserve"> and </w:t>
      </w:r>
      <w:r w:rsidR="072C9692">
        <w:t xml:space="preserve">the summarised </w:t>
      </w:r>
      <w:r w:rsidR="0B91B7D6">
        <w:lastRenderedPageBreak/>
        <w:t>result</w:t>
      </w:r>
      <w:r w:rsidR="072C9692">
        <w:t>s of the survey</w:t>
      </w:r>
      <w:r w:rsidR="4D954D92">
        <w:t xml:space="preserve"> w</w:t>
      </w:r>
      <w:r w:rsidR="072C9692">
        <w:t xml:space="preserve">as provided in the ACCI </w:t>
      </w:r>
      <w:r w:rsidR="7D46BB85">
        <w:t>submission</w:t>
      </w:r>
      <w:r w:rsidR="71FC1664">
        <w:t xml:space="preserve">. </w:t>
      </w:r>
      <w:r w:rsidR="6FB4D60E">
        <w:t xml:space="preserve"> </w:t>
      </w:r>
      <w:r w:rsidR="006E5790">
        <w:t>Nous Group incorporated this input into updated cost estimates for the 9 chemicals.</w:t>
      </w:r>
    </w:p>
    <w:p w14:paraId="45AB41D8" w14:textId="0FFB6EE7" w:rsidR="0003131A" w:rsidRDefault="00AD6A6E" w:rsidP="009911EB">
      <w:pPr>
        <w:contextualSpacing w:val="0"/>
        <w:textAlignment w:val="baseline"/>
        <w:rPr>
          <w:rFonts w:eastAsiaTheme="majorEastAsia" w:cs="Arial"/>
          <w:szCs w:val="22"/>
          <w:lang w:eastAsia="en-AU"/>
        </w:rPr>
      </w:pPr>
      <w:r>
        <w:rPr>
          <w:rFonts w:eastAsiaTheme="majorEastAsia" w:cs="Arial"/>
          <w:szCs w:val="22"/>
          <w:lang w:eastAsia="en-AU"/>
        </w:rPr>
        <w:t>The consultation process sought feedback from stakeholders in relation to t</w:t>
      </w:r>
      <w:r w:rsidR="0003131A">
        <w:rPr>
          <w:rFonts w:eastAsiaTheme="majorEastAsia" w:cs="Arial"/>
          <w:szCs w:val="22"/>
          <w:lang w:eastAsia="en-AU"/>
        </w:rPr>
        <w:t>imeframes</w:t>
      </w:r>
      <w:r>
        <w:rPr>
          <w:rFonts w:eastAsiaTheme="majorEastAsia" w:cs="Arial"/>
          <w:szCs w:val="22"/>
          <w:lang w:eastAsia="en-AU"/>
        </w:rPr>
        <w:t xml:space="preserve"> for </w:t>
      </w:r>
      <w:r w:rsidR="006839E3">
        <w:rPr>
          <w:rFonts w:eastAsiaTheme="majorEastAsia" w:cs="Arial"/>
          <w:szCs w:val="22"/>
          <w:lang w:eastAsia="en-AU"/>
        </w:rPr>
        <w:t xml:space="preserve">transition to the </w:t>
      </w:r>
      <w:r>
        <w:rPr>
          <w:rFonts w:eastAsiaTheme="majorEastAsia" w:cs="Arial"/>
          <w:szCs w:val="22"/>
          <w:lang w:eastAsia="en-AU"/>
        </w:rPr>
        <w:t>new WELs</w:t>
      </w:r>
      <w:r w:rsidR="00CB0441">
        <w:rPr>
          <w:rFonts w:eastAsiaTheme="majorEastAsia" w:cs="Arial"/>
          <w:szCs w:val="22"/>
          <w:lang w:eastAsia="en-AU"/>
        </w:rPr>
        <w:t xml:space="preserve">, particularly from those stakeholders who supported Option 2. For those stakeholders who supported this option, there was generally </w:t>
      </w:r>
      <w:r w:rsidR="00DC7101">
        <w:rPr>
          <w:rFonts w:eastAsiaTheme="majorEastAsia" w:cs="Arial"/>
          <w:szCs w:val="22"/>
          <w:lang w:eastAsia="en-AU"/>
        </w:rPr>
        <w:t>a view that the new WELs should be able to be implemented in line with the 1 December 2026 timeframe</w:t>
      </w:r>
      <w:r w:rsidR="00621C90">
        <w:rPr>
          <w:rFonts w:eastAsiaTheme="majorEastAsia" w:cs="Arial"/>
          <w:szCs w:val="22"/>
          <w:lang w:eastAsia="en-AU"/>
        </w:rPr>
        <w:t xml:space="preserve">. Noting the </w:t>
      </w:r>
      <w:r w:rsidR="004518CC">
        <w:rPr>
          <w:rFonts w:eastAsiaTheme="majorEastAsia" w:cs="Arial"/>
          <w:szCs w:val="22"/>
          <w:lang w:eastAsia="en-AU"/>
        </w:rPr>
        <w:t xml:space="preserve">health benefits that the proposed changes could yield, some stakeholders called for introduction </w:t>
      </w:r>
      <w:r w:rsidR="00526EA8">
        <w:rPr>
          <w:rFonts w:eastAsiaTheme="majorEastAsia" w:cs="Arial"/>
          <w:szCs w:val="22"/>
          <w:lang w:eastAsia="en-AU"/>
        </w:rPr>
        <w:t xml:space="preserve">as soon as possible, </w:t>
      </w:r>
      <w:r w:rsidR="004518CC">
        <w:rPr>
          <w:rFonts w:eastAsiaTheme="majorEastAsia" w:cs="Arial"/>
          <w:szCs w:val="22"/>
          <w:lang w:eastAsia="en-AU"/>
        </w:rPr>
        <w:t>including in advance of the 1 December 2026 timeframe. Those stakeholders who did not support Option 2 were not prompted to provide additional information in relation to timeframes</w:t>
      </w:r>
      <w:r w:rsidR="006839E3">
        <w:rPr>
          <w:rFonts w:eastAsiaTheme="majorEastAsia" w:cs="Arial"/>
          <w:szCs w:val="22"/>
          <w:lang w:eastAsia="en-AU"/>
        </w:rPr>
        <w:t xml:space="preserve"> for implementation</w:t>
      </w:r>
      <w:r w:rsidR="004518CC">
        <w:rPr>
          <w:rFonts w:eastAsiaTheme="majorEastAsia" w:cs="Arial"/>
          <w:szCs w:val="22"/>
          <w:lang w:eastAsia="en-AU"/>
        </w:rPr>
        <w:t xml:space="preserve">, however </w:t>
      </w:r>
      <w:r w:rsidR="006839E3">
        <w:rPr>
          <w:rFonts w:eastAsiaTheme="majorEastAsia" w:cs="Arial"/>
          <w:szCs w:val="22"/>
          <w:lang w:eastAsia="en-AU"/>
        </w:rPr>
        <w:t xml:space="preserve">some stakeholders noted </w:t>
      </w:r>
      <w:r w:rsidR="00273707">
        <w:rPr>
          <w:rFonts w:eastAsiaTheme="majorEastAsia" w:cs="Arial"/>
          <w:szCs w:val="22"/>
          <w:lang w:eastAsia="en-AU"/>
        </w:rPr>
        <w:t>moving to new WELs would likely take</w:t>
      </w:r>
      <w:r w:rsidR="006839E3">
        <w:rPr>
          <w:rFonts w:eastAsiaTheme="majorEastAsia" w:cs="Arial"/>
          <w:szCs w:val="22"/>
          <w:lang w:eastAsia="en-AU"/>
        </w:rPr>
        <w:t xml:space="preserve"> significant</w:t>
      </w:r>
      <w:r w:rsidR="00273707">
        <w:rPr>
          <w:rFonts w:eastAsiaTheme="majorEastAsia" w:cs="Arial"/>
          <w:szCs w:val="22"/>
          <w:lang w:eastAsia="en-AU"/>
        </w:rPr>
        <w:t xml:space="preserve"> time to </w:t>
      </w:r>
      <w:r w:rsidR="000C4CB1">
        <w:rPr>
          <w:rFonts w:eastAsiaTheme="majorEastAsia" w:cs="Arial"/>
          <w:szCs w:val="22"/>
          <w:lang w:eastAsia="en-AU"/>
        </w:rPr>
        <w:t>ensure compliance</w:t>
      </w:r>
      <w:r w:rsidR="007A6D73">
        <w:rPr>
          <w:rFonts w:eastAsiaTheme="majorEastAsia" w:cs="Arial"/>
          <w:szCs w:val="22"/>
          <w:lang w:eastAsia="en-AU"/>
        </w:rPr>
        <w:t>.</w:t>
      </w:r>
    </w:p>
    <w:p w14:paraId="29F00BCF" w14:textId="3037F716" w:rsidR="0025157F" w:rsidRDefault="00194B98" w:rsidP="009911EB">
      <w:pPr>
        <w:contextualSpacing w:val="0"/>
        <w:textAlignment w:val="baseline"/>
        <w:rPr>
          <w:rFonts w:eastAsiaTheme="majorEastAsia" w:cs="Arial"/>
          <w:szCs w:val="22"/>
          <w:lang w:eastAsia="en-AU"/>
        </w:rPr>
      </w:pPr>
      <w:r w:rsidRPr="006D6899">
        <w:rPr>
          <w:rFonts w:eastAsiaTheme="majorEastAsia" w:cs="Arial"/>
          <w:szCs w:val="22"/>
          <w:lang w:eastAsia="en-AU"/>
        </w:rPr>
        <w:t xml:space="preserve">Concerns around impacts on measurability </w:t>
      </w:r>
      <w:r w:rsidR="00235C13" w:rsidRPr="006D6899">
        <w:rPr>
          <w:rFonts w:eastAsiaTheme="majorEastAsia" w:cs="Arial"/>
          <w:szCs w:val="22"/>
          <w:lang w:eastAsia="en-AU"/>
        </w:rPr>
        <w:t>at</w:t>
      </w:r>
      <w:r w:rsidRPr="006D6899">
        <w:rPr>
          <w:rFonts w:eastAsiaTheme="majorEastAsia" w:cs="Arial"/>
          <w:szCs w:val="22"/>
          <w:lang w:eastAsia="en-AU"/>
        </w:rPr>
        <w:t xml:space="preserve"> the proposed WELs w</w:t>
      </w:r>
      <w:r w:rsidR="00CC71CA" w:rsidRPr="006D6899">
        <w:rPr>
          <w:rFonts w:eastAsiaTheme="majorEastAsia" w:cs="Arial"/>
          <w:szCs w:val="22"/>
          <w:lang w:eastAsia="en-AU"/>
        </w:rPr>
        <w:t>ere</w:t>
      </w:r>
      <w:r w:rsidRPr="006D6899">
        <w:rPr>
          <w:rFonts w:eastAsiaTheme="majorEastAsia" w:cs="Arial"/>
          <w:szCs w:val="22"/>
          <w:lang w:eastAsia="en-AU"/>
        </w:rPr>
        <w:t xml:space="preserve"> raised for several chemicals. </w:t>
      </w:r>
      <w:r w:rsidR="00680D8D" w:rsidRPr="006D6899">
        <w:rPr>
          <w:rFonts w:eastAsiaTheme="majorEastAsia" w:cs="Arial"/>
          <w:szCs w:val="22"/>
          <w:lang w:eastAsia="en-AU"/>
        </w:rPr>
        <w:t xml:space="preserve">Accurate </w:t>
      </w:r>
      <w:r w:rsidR="00235C13" w:rsidRPr="006D6899">
        <w:rPr>
          <w:rFonts w:eastAsiaTheme="majorEastAsia" w:cs="Arial"/>
          <w:szCs w:val="22"/>
          <w:lang w:eastAsia="en-AU"/>
        </w:rPr>
        <w:t>measurement</w:t>
      </w:r>
      <w:r w:rsidR="00680D8D" w:rsidRPr="006D6899">
        <w:rPr>
          <w:rFonts w:eastAsiaTheme="majorEastAsia" w:cs="Arial"/>
          <w:szCs w:val="22"/>
          <w:lang w:eastAsia="en-AU"/>
        </w:rPr>
        <w:t xml:space="preserve"> depends on good sampling techniques and accurate, precise and sensitive analysis methods that provide an acceptable degree of certainty.</w:t>
      </w:r>
      <w:r w:rsidR="00F413BB" w:rsidRPr="006D6899">
        <w:rPr>
          <w:rFonts w:eastAsiaTheme="majorEastAsia" w:cs="Arial"/>
          <w:szCs w:val="22"/>
          <w:lang w:eastAsia="en-AU"/>
        </w:rPr>
        <w:t xml:space="preserve"> </w:t>
      </w:r>
      <w:r w:rsidR="00CC71CA" w:rsidRPr="006D6899">
        <w:rPr>
          <w:rFonts w:eastAsiaTheme="majorEastAsia" w:cs="Arial"/>
          <w:szCs w:val="22"/>
          <w:lang w:eastAsia="en-AU"/>
        </w:rPr>
        <w:t xml:space="preserve">There are commercially available methods of measurement in Australia for </w:t>
      </w:r>
      <w:r w:rsidR="00235C13" w:rsidRPr="006D6899">
        <w:rPr>
          <w:rFonts w:eastAsiaTheme="majorEastAsia" w:cs="Arial"/>
          <w:szCs w:val="22"/>
          <w:lang w:eastAsia="en-AU"/>
        </w:rPr>
        <w:t xml:space="preserve">all of </w:t>
      </w:r>
      <w:r w:rsidR="00CC71CA" w:rsidRPr="006D6899">
        <w:rPr>
          <w:rFonts w:eastAsiaTheme="majorEastAsia" w:cs="Arial"/>
          <w:szCs w:val="22"/>
          <w:lang w:eastAsia="en-AU"/>
        </w:rPr>
        <w:t>the</w:t>
      </w:r>
      <w:r w:rsidR="00235C13" w:rsidRPr="006D6899">
        <w:rPr>
          <w:rFonts w:eastAsiaTheme="majorEastAsia" w:cs="Arial"/>
          <w:szCs w:val="22"/>
          <w:lang w:eastAsia="en-AU"/>
        </w:rPr>
        <w:t xml:space="preserve"> 9</w:t>
      </w:r>
      <w:r w:rsidR="00CC71CA" w:rsidRPr="006D6899">
        <w:rPr>
          <w:rFonts w:eastAsiaTheme="majorEastAsia" w:cs="Arial"/>
          <w:szCs w:val="22"/>
          <w:lang w:eastAsia="en-AU"/>
        </w:rPr>
        <w:t xml:space="preserve"> </w:t>
      </w:r>
      <w:r w:rsidR="00243FC3" w:rsidRPr="006D6899">
        <w:rPr>
          <w:rFonts w:eastAsiaTheme="majorEastAsia" w:cs="Arial"/>
          <w:szCs w:val="22"/>
          <w:lang w:eastAsia="en-AU"/>
        </w:rPr>
        <w:t xml:space="preserve">chemicals covered in this Decision RIS </w:t>
      </w:r>
      <w:r w:rsidR="00C64A0C" w:rsidRPr="006D6899">
        <w:rPr>
          <w:rFonts w:eastAsiaTheme="majorEastAsia" w:cs="Arial"/>
          <w:szCs w:val="22"/>
          <w:lang w:eastAsia="en-AU"/>
        </w:rPr>
        <w:t xml:space="preserve">that provide sufficient confidence for assessment of compliance at the </w:t>
      </w:r>
      <w:r w:rsidR="00235C13" w:rsidRPr="006D6899">
        <w:rPr>
          <w:rFonts w:eastAsiaTheme="majorEastAsia" w:cs="Arial"/>
          <w:szCs w:val="22"/>
          <w:lang w:eastAsia="en-AU"/>
        </w:rPr>
        <w:t>proposed</w:t>
      </w:r>
      <w:r w:rsidR="00C64A0C" w:rsidRPr="006D6899">
        <w:rPr>
          <w:rFonts w:eastAsiaTheme="majorEastAsia" w:cs="Arial"/>
          <w:szCs w:val="22"/>
          <w:lang w:eastAsia="en-AU"/>
        </w:rPr>
        <w:t xml:space="preserve"> WEL. </w:t>
      </w:r>
      <w:r w:rsidR="00F413BB" w:rsidRPr="006D6899">
        <w:rPr>
          <w:rFonts w:eastAsiaTheme="majorEastAsia" w:cs="Arial"/>
          <w:szCs w:val="22"/>
          <w:lang w:eastAsia="en-AU"/>
        </w:rPr>
        <w:t>Sampling related contributions to uncertainty (e.g. sampling limitations) may remain a limitation on measurability in some situations, but th</w:t>
      </w:r>
      <w:r w:rsidR="00B221B6" w:rsidRPr="006D6899">
        <w:rPr>
          <w:rFonts w:eastAsiaTheme="majorEastAsia" w:cs="Arial"/>
          <w:szCs w:val="22"/>
          <w:lang w:eastAsia="en-AU"/>
        </w:rPr>
        <w:t xml:space="preserve">is issue is not </w:t>
      </w:r>
      <w:r w:rsidR="00235C13" w:rsidRPr="006D6899">
        <w:rPr>
          <w:rFonts w:eastAsiaTheme="majorEastAsia" w:cs="Arial"/>
          <w:szCs w:val="22"/>
          <w:lang w:eastAsia="en-AU"/>
        </w:rPr>
        <w:t>unique</w:t>
      </w:r>
      <w:r w:rsidR="00B221B6" w:rsidRPr="006D6899">
        <w:rPr>
          <w:rFonts w:eastAsiaTheme="majorEastAsia" w:cs="Arial"/>
          <w:szCs w:val="22"/>
          <w:lang w:eastAsia="en-AU"/>
        </w:rPr>
        <w:t xml:space="preserve"> to the</w:t>
      </w:r>
      <w:r w:rsidR="00753DFD" w:rsidRPr="006D6899">
        <w:rPr>
          <w:rFonts w:eastAsiaTheme="majorEastAsia" w:cs="Arial"/>
          <w:szCs w:val="22"/>
          <w:lang w:eastAsia="en-AU"/>
        </w:rPr>
        <w:t xml:space="preserve"> 9</w:t>
      </w:r>
      <w:r w:rsidR="00B221B6" w:rsidRPr="006D6899">
        <w:rPr>
          <w:rFonts w:eastAsiaTheme="majorEastAsia" w:cs="Arial"/>
          <w:szCs w:val="22"/>
          <w:lang w:eastAsia="en-AU"/>
        </w:rPr>
        <w:t xml:space="preserve"> chemicals covered in this Decision RIS.</w:t>
      </w:r>
      <w:r w:rsidR="00144956" w:rsidRPr="006D6899">
        <w:rPr>
          <w:rFonts w:eastAsiaTheme="majorEastAsia" w:cs="Arial"/>
          <w:szCs w:val="22"/>
          <w:lang w:eastAsia="en-AU"/>
        </w:rPr>
        <w:t xml:space="preserve"> To support the wider transition to the WEL in December 2026, Safe Work Australia is preparing</w:t>
      </w:r>
      <w:r w:rsidR="00A47F47" w:rsidRPr="006D6899">
        <w:rPr>
          <w:rFonts w:eastAsiaTheme="majorEastAsia" w:cs="Arial"/>
          <w:szCs w:val="22"/>
          <w:lang w:eastAsia="en-AU"/>
        </w:rPr>
        <w:t xml:space="preserve"> two guidance documents:</w:t>
      </w:r>
      <w:r w:rsidR="00144956" w:rsidRPr="006D6899">
        <w:rPr>
          <w:rFonts w:eastAsiaTheme="majorEastAsia" w:cs="Arial"/>
          <w:szCs w:val="22"/>
          <w:lang w:eastAsia="en-AU"/>
        </w:rPr>
        <w:t xml:space="preserve"> a technical guide</w:t>
      </w:r>
      <w:r w:rsidR="005F6240" w:rsidRPr="006D6899">
        <w:rPr>
          <w:rFonts w:eastAsiaTheme="majorEastAsia" w:cs="Arial"/>
          <w:szCs w:val="22"/>
          <w:lang w:eastAsia="en-AU"/>
        </w:rPr>
        <w:t xml:space="preserve"> for those undertaking air monitoring</w:t>
      </w:r>
      <w:r w:rsidR="0096165D" w:rsidRPr="006D6899">
        <w:rPr>
          <w:rFonts w:eastAsiaTheme="majorEastAsia" w:cs="Arial"/>
          <w:szCs w:val="22"/>
          <w:lang w:eastAsia="en-AU"/>
        </w:rPr>
        <w:t xml:space="preserve"> to </w:t>
      </w:r>
      <w:r w:rsidR="00BC2CF9" w:rsidRPr="006D6899">
        <w:rPr>
          <w:rFonts w:eastAsiaTheme="majorEastAsia" w:cs="Arial"/>
          <w:szCs w:val="22"/>
          <w:lang w:eastAsia="en-AU"/>
        </w:rPr>
        <w:t>provide advice on measurement issues including sampling</w:t>
      </w:r>
      <w:r w:rsidR="009F6F29" w:rsidRPr="006D6899">
        <w:rPr>
          <w:rFonts w:eastAsiaTheme="majorEastAsia" w:cs="Arial"/>
          <w:szCs w:val="22"/>
          <w:lang w:eastAsia="en-AU"/>
        </w:rPr>
        <w:t>, analysis and interpretation of results</w:t>
      </w:r>
      <w:r w:rsidR="008956E0" w:rsidRPr="006D6899">
        <w:rPr>
          <w:rFonts w:eastAsiaTheme="majorEastAsia" w:cs="Arial"/>
          <w:szCs w:val="22"/>
          <w:lang w:eastAsia="en-AU"/>
        </w:rPr>
        <w:t>;</w:t>
      </w:r>
      <w:r w:rsidR="00144956" w:rsidRPr="006D6899">
        <w:rPr>
          <w:rFonts w:eastAsiaTheme="majorEastAsia" w:cs="Arial"/>
          <w:szCs w:val="22"/>
          <w:lang w:eastAsia="en-AU"/>
        </w:rPr>
        <w:t xml:space="preserve"> and a guide for PCBUs</w:t>
      </w:r>
      <w:r w:rsidR="00575CFF" w:rsidRPr="006D6899">
        <w:rPr>
          <w:rFonts w:eastAsiaTheme="majorEastAsia" w:cs="Arial"/>
          <w:szCs w:val="22"/>
          <w:lang w:eastAsia="en-AU"/>
        </w:rPr>
        <w:t xml:space="preserve">, to </w:t>
      </w:r>
      <w:r w:rsidR="00532E63" w:rsidRPr="006D6899">
        <w:rPr>
          <w:rFonts w:eastAsiaTheme="majorEastAsia" w:cs="Arial"/>
          <w:szCs w:val="22"/>
          <w:lang w:eastAsia="en-AU"/>
        </w:rPr>
        <w:t xml:space="preserve">provide </w:t>
      </w:r>
      <w:r w:rsidR="006A7DBA" w:rsidRPr="006D6899">
        <w:rPr>
          <w:rFonts w:eastAsiaTheme="majorEastAsia" w:cs="Arial"/>
          <w:szCs w:val="22"/>
          <w:lang w:eastAsia="en-AU"/>
        </w:rPr>
        <w:t xml:space="preserve">practical </w:t>
      </w:r>
      <w:r w:rsidR="00532E63" w:rsidRPr="006D6899">
        <w:rPr>
          <w:rFonts w:eastAsiaTheme="majorEastAsia" w:cs="Arial"/>
          <w:szCs w:val="22"/>
          <w:lang w:eastAsia="en-AU"/>
        </w:rPr>
        <w:t>advice on</w:t>
      </w:r>
      <w:r w:rsidR="00D772B9" w:rsidRPr="006D6899">
        <w:rPr>
          <w:rFonts w:eastAsiaTheme="majorEastAsia" w:cs="Arial"/>
          <w:szCs w:val="22"/>
          <w:lang w:eastAsia="en-AU"/>
        </w:rPr>
        <w:t xml:space="preserve"> complying with </w:t>
      </w:r>
      <w:r w:rsidR="00591AFF" w:rsidRPr="006D6899">
        <w:rPr>
          <w:rFonts w:eastAsiaTheme="majorEastAsia" w:cs="Arial"/>
          <w:szCs w:val="22"/>
          <w:lang w:eastAsia="en-AU"/>
        </w:rPr>
        <w:t xml:space="preserve">their </w:t>
      </w:r>
      <w:r w:rsidR="00D772B9" w:rsidRPr="006D6899">
        <w:rPr>
          <w:rFonts w:eastAsiaTheme="majorEastAsia" w:cs="Arial"/>
          <w:szCs w:val="22"/>
          <w:lang w:eastAsia="en-AU"/>
        </w:rPr>
        <w:t>duties</w:t>
      </w:r>
      <w:r w:rsidR="00A47F47" w:rsidRPr="006D6899">
        <w:rPr>
          <w:rFonts w:eastAsiaTheme="majorEastAsia" w:cs="Arial"/>
          <w:szCs w:val="22"/>
          <w:lang w:eastAsia="en-AU"/>
        </w:rPr>
        <w:t xml:space="preserve"> relating to the</w:t>
      </w:r>
      <w:r w:rsidR="00532E63" w:rsidRPr="006D6899">
        <w:rPr>
          <w:rFonts w:eastAsiaTheme="majorEastAsia" w:cs="Arial"/>
          <w:szCs w:val="22"/>
          <w:lang w:eastAsia="en-AU"/>
        </w:rPr>
        <w:t xml:space="preserve"> </w:t>
      </w:r>
      <w:r w:rsidR="00AA2087" w:rsidRPr="006D6899">
        <w:rPr>
          <w:rFonts w:eastAsiaTheme="majorEastAsia" w:cs="Arial"/>
          <w:szCs w:val="22"/>
          <w:lang w:eastAsia="en-AU"/>
        </w:rPr>
        <w:t>WEL</w:t>
      </w:r>
      <w:r w:rsidR="00532E63" w:rsidRPr="006D6899">
        <w:rPr>
          <w:rFonts w:eastAsiaTheme="majorEastAsia" w:cs="Arial"/>
          <w:szCs w:val="22"/>
          <w:lang w:eastAsia="en-AU"/>
        </w:rPr>
        <w:t>.</w:t>
      </w:r>
      <w:r w:rsidR="00532E63">
        <w:rPr>
          <w:rFonts w:eastAsiaTheme="majorEastAsia" w:cs="Arial"/>
          <w:szCs w:val="22"/>
          <w:lang w:eastAsia="en-AU"/>
        </w:rPr>
        <w:t xml:space="preserve"> </w:t>
      </w:r>
    </w:p>
    <w:p w14:paraId="2BA3913D" w14:textId="73466083" w:rsidR="00201137" w:rsidRPr="009911EB" w:rsidRDefault="00201137" w:rsidP="009911EB">
      <w:pPr>
        <w:contextualSpacing w:val="0"/>
        <w:textAlignment w:val="baseline"/>
        <w:rPr>
          <w:rFonts w:eastAsiaTheme="majorEastAsia" w:cs="Arial"/>
          <w:szCs w:val="22"/>
          <w:lang w:eastAsia="en-AU"/>
        </w:rPr>
      </w:pPr>
      <w:r>
        <w:rPr>
          <w:rFonts w:eastAsiaTheme="majorEastAsia" w:cs="Arial"/>
          <w:szCs w:val="22"/>
          <w:lang w:eastAsia="en-AU"/>
        </w:rPr>
        <w:t xml:space="preserve">Contributors to the consultation also highlighted what they considered to be: </w:t>
      </w:r>
    </w:p>
    <w:p w14:paraId="36C6962C" w14:textId="7BC4D9F2" w:rsidR="00F26C54" w:rsidRPr="003E755D" w:rsidRDefault="008D7D3C" w:rsidP="00DA28CB">
      <w:pPr>
        <w:pStyle w:val="ListParagraph"/>
        <w:numPr>
          <w:ilvl w:val="0"/>
          <w:numId w:val="173"/>
        </w:numPr>
        <w:contextualSpacing w:val="0"/>
        <w:textAlignment w:val="baseline"/>
        <w:rPr>
          <w:rFonts w:eastAsiaTheme="majorEastAsia" w:cs="Arial"/>
          <w:szCs w:val="22"/>
          <w:lang w:eastAsia="en-AU"/>
        </w:rPr>
      </w:pPr>
      <w:r w:rsidRPr="003E755D">
        <w:rPr>
          <w:rFonts w:eastAsiaTheme="majorEastAsia" w:cs="Arial"/>
          <w:szCs w:val="22"/>
          <w:lang w:eastAsia="en-AU"/>
        </w:rPr>
        <w:t xml:space="preserve">significant </w:t>
      </w:r>
      <w:r w:rsidR="00F26C54" w:rsidRPr="003E755D">
        <w:rPr>
          <w:rFonts w:eastAsiaTheme="majorEastAsia" w:cs="Arial"/>
          <w:szCs w:val="22"/>
          <w:lang w:eastAsia="en-AU"/>
        </w:rPr>
        <w:t>health benefit</w:t>
      </w:r>
      <w:r w:rsidRPr="003E755D">
        <w:rPr>
          <w:rFonts w:eastAsiaTheme="majorEastAsia" w:cs="Arial"/>
          <w:szCs w:val="22"/>
          <w:lang w:eastAsia="en-AU"/>
        </w:rPr>
        <w:t>s</w:t>
      </w:r>
      <w:r w:rsidR="000061B8" w:rsidRPr="003E755D">
        <w:rPr>
          <w:rFonts w:eastAsiaTheme="majorEastAsia" w:cs="Arial"/>
          <w:szCs w:val="22"/>
          <w:lang w:eastAsia="en-AU"/>
        </w:rPr>
        <w:t xml:space="preserve"> and safety to workers</w:t>
      </w:r>
      <w:r w:rsidRPr="003E755D">
        <w:rPr>
          <w:rFonts w:eastAsiaTheme="majorEastAsia" w:cs="Arial"/>
          <w:szCs w:val="22"/>
          <w:lang w:eastAsia="en-AU"/>
        </w:rPr>
        <w:t xml:space="preserve"> to be achieved through the proposed WELs</w:t>
      </w:r>
      <w:r w:rsidR="00A505F1">
        <w:rPr>
          <w:rFonts w:eastAsiaTheme="majorEastAsia" w:cs="Arial"/>
          <w:szCs w:val="22"/>
          <w:lang w:eastAsia="en-AU"/>
        </w:rPr>
        <w:t>,</w:t>
      </w:r>
    </w:p>
    <w:p w14:paraId="0B260DDC" w14:textId="0B7C638F" w:rsidR="009911EB" w:rsidRPr="009911EB" w:rsidRDefault="009911EB" w:rsidP="00A2768E">
      <w:pPr>
        <w:numPr>
          <w:ilvl w:val="0"/>
          <w:numId w:val="64"/>
        </w:numPr>
        <w:ind w:left="714" w:hanging="357"/>
        <w:contextualSpacing w:val="0"/>
        <w:textAlignment w:val="baseline"/>
        <w:rPr>
          <w:rFonts w:eastAsiaTheme="majorEastAsia" w:cs="Arial"/>
          <w:szCs w:val="22"/>
          <w:lang w:eastAsia="en-AU"/>
        </w:rPr>
      </w:pPr>
      <w:r w:rsidRPr="009911EB">
        <w:rPr>
          <w:rFonts w:eastAsiaTheme="majorEastAsia" w:cs="Arial"/>
          <w:szCs w:val="22"/>
          <w:lang w:eastAsia="en-AU"/>
        </w:rPr>
        <w:t>the larger burden on businesses in the initial years of the appraisal period</w:t>
      </w:r>
      <w:r w:rsidR="00A505F1">
        <w:rPr>
          <w:rFonts w:eastAsiaTheme="majorEastAsia" w:cs="Arial"/>
          <w:szCs w:val="22"/>
          <w:lang w:eastAsia="en-AU"/>
        </w:rPr>
        <w:t>,</w:t>
      </w:r>
    </w:p>
    <w:p w14:paraId="4DEE7747" w14:textId="371FD6E8" w:rsidR="009911EB" w:rsidRPr="009911EB" w:rsidRDefault="009911EB" w:rsidP="00A2768E">
      <w:pPr>
        <w:numPr>
          <w:ilvl w:val="0"/>
          <w:numId w:val="64"/>
        </w:numPr>
        <w:ind w:left="714" w:hanging="357"/>
        <w:contextualSpacing w:val="0"/>
        <w:textAlignment w:val="baseline"/>
        <w:rPr>
          <w:rFonts w:eastAsiaTheme="majorEastAsia" w:cs="Arial"/>
          <w:szCs w:val="22"/>
          <w:lang w:eastAsia="en-AU"/>
        </w:rPr>
      </w:pPr>
      <w:r w:rsidRPr="009911EB">
        <w:rPr>
          <w:rFonts w:eastAsiaTheme="majorEastAsia" w:cs="Arial"/>
          <w:szCs w:val="22"/>
          <w:lang w:eastAsia="en-AU"/>
        </w:rPr>
        <w:t>the similar costs estimated for small and medium businesses</w:t>
      </w:r>
      <w:r w:rsidR="00B63201">
        <w:rPr>
          <w:rFonts w:eastAsiaTheme="majorEastAsia" w:cs="Arial"/>
          <w:szCs w:val="22"/>
          <w:lang w:eastAsia="en-AU"/>
        </w:rPr>
        <w:t>, and</w:t>
      </w:r>
      <w:r w:rsidRPr="009911EB">
        <w:rPr>
          <w:rFonts w:eastAsiaTheme="majorEastAsia" w:cs="Arial"/>
          <w:szCs w:val="22"/>
          <w:lang w:eastAsia="en-AU"/>
        </w:rPr>
        <w:t xml:space="preserve">  </w:t>
      </w:r>
    </w:p>
    <w:p w14:paraId="798AEB67" w14:textId="5CCB2957" w:rsidR="009911EB" w:rsidRDefault="008651BC" w:rsidP="003E755D">
      <w:pPr>
        <w:contextualSpacing w:val="0"/>
        <w:textAlignment w:val="baseline"/>
        <w:rPr>
          <w:rFonts w:eastAsiaTheme="majorEastAsia" w:cs="Arial"/>
          <w:szCs w:val="22"/>
          <w:lang w:eastAsia="en-AU"/>
        </w:rPr>
      </w:pPr>
      <w:r>
        <w:rPr>
          <w:rFonts w:eastAsiaTheme="majorEastAsia" w:cs="Arial"/>
          <w:szCs w:val="22"/>
          <w:lang w:eastAsia="en-AU"/>
        </w:rPr>
        <w:t xml:space="preserve">There was also a consistent </w:t>
      </w:r>
      <w:r w:rsidR="009911EB" w:rsidRPr="009911EB">
        <w:rPr>
          <w:rFonts w:eastAsiaTheme="majorEastAsia" w:cs="Arial"/>
          <w:szCs w:val="22"/>
          <w:lang w:eastAsia="en-AU"/>
        </w:rPr>
        <w:t>request for additional guidance to help with the transition.</w:t>
      </w:r>
    </w:p>
    <w:p w14:paraId="13129CE0" w14:textId="3401EE51" w:rsidR="009F35B6" w:rsidRDefault="009F35B6" w:rsidP="001A6A56">
      <w:pPr>
        <w:pStyle w:val="Caption"/>
      </w:pPr>
      <w:r w:rsidRPr="006D6899">
        <w:t xml:space="preserve">Table </w:t>
      </w:r>
      <w:fldSimple w:instr=" SEQ Table \* ARABIC ">
        <w:r w:rsidR="00A002F4">
          <w:rPr>
            <w:noProof/>
          </w:rPr>
          <w:t>7</w:t>
        </w:r>
      </w:fldSimple>
      <w:r w:rsidRPr="006D6899">
        <w:t xml:space="preserve"> - General stakeholder feedback across multiple chemicals collected from public consultation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37"/>
        <w:gridCol w:w="6222"/>
      </w:tblGrid>
      <w:tr w:rsidR="00DA3F04" w:rsidRPr="009911EB" w14:paraId="5453B994" w14:textId="77777777" w:rsidTr="0072179B">
        <w:trPr>
          <w:cantSplit/>
          <w:tblHeader/>
        </w:trPr>
        <w:tc>
          <w:tcPr>
            <w:tcW w:w="2137" w:type="dxa"/>
            <w:shd w:val="clear" w:color="auto" w:fill="4877E0" w:themeFill="accent1"/>
          </w:tcPr>
          <w:p w14:paraId="7CC7ABDB" w14:textId="77777777" w:rsidR="00DA3F04" w:rsidRPr="009911EB" w:rsidRDefault="00DA3F04" w:rsidP="009911EB">
            <w:pPr>
              <w:keepNext/>
              <w:keepLines/>
              <w:rPr>
                <w:b/>
                <w:bCs/>
                <w:color w:val="FFFFFF" w:themeColor="background1"/>
              </w:rPr>
            </w:pPr>
            <w:r w:rsidRPr="009911EB">
              <w:rPr>
                <w:b/>
                <w:bCs/>
                <w:color w:val="FFFFFF" w:themeColor="background1"/>
              </w:rPr>
              <w:t>Key Theme</w:t>
            </w:r>
          </w:p>
        </w:tc>
        <w:tc>
          <w:tcPr>
            <w:tcW w:w="6222" w:type="dxa"/>
            <w:shd w:val="clear" w:color="auto" w:fill="4877E0" w:themeFill="accent1"/>
          </w:tcPr>
          <w:p w14:paraId="1318DD22" w14:textId="7671A6F9" w:rsidR="00DA3F04" w:rsidRPr="009911EB" w:rsidRDefault="00DA3F04" w:rsidP="009911EB">
            <w:pPr>
              <w:keepNext/>
              <w:keepLines/>
              <w:rPr>
                <w:b/>
                <w:bCs/>
                <w:color w:val="FFFFFF" w:themeColor="background1"/>
              </w:rPr>
            </w:pPr>
            <w:r w:rsidRPr="009911EB">
              <w:rPr>
                <w:b/>
                <w:bCs/>
                <w:color w:val="FFFFFF" w:themeColor="background1"/>
              </w:rPr>
              <w:t>Summary of stakeholder view</w:t>
            </w:r>
            <w:r w:rsidR="00120D42">
              <w:rPr>
                <w:b/>
                <w:bCs/>
                <w:color w:val="FFFFFF" w:themeColor="background1"/>
              </w:rPr>
              <w:t>s</w:t>
            </w:r>
          </w:p>
        </w:tc>
      </w:tr>
      <w:tr w:rsidR="00DA3F04" w:rsidRPr="009911EB" w14:paraId="7A01D309" w14:textId="77777777" w:rsidTr="21DF116C">
        <w:tc>
          <w:tcPr>
            <w:tcW w:w="2137" w:type="dxa"/>
            <w:shd w:val="clear" w:color="auto" w:fill="DAE3F8" w:themeFill="accent1" w:themeFillTint="33"/>
          </w:tcPr>
          <w:p w14:paraId="2A08D177" w14:textId="36E7D103" w:rsidR="00DA3F04" w:rsidRPr="00D409E8" w:rsidRDefault="00DA3F04" w:rsidP="009911EB">
            <w:pPr>
              <w:keepLines/>
              <w:rPr>
                <w:b/>
                <w:bCs/>
              </w:rPr>
            </w:pPr>
            <w:r w:rsidRPr="00D409E8">
              <w:rPr>
                <w:b/>
                <w:bCs/>
              </w:rPr>
              <w:t>Health</w:t>
            </w:r>
            <w:r w:rsidR="000745F5" w:rsidRPr="00D409E8">
              <w:rPr>
                <w:b/>
                <w:bCs/>
              </w:rPr>
              <w:t xml:space="preserve"> </w:t>
            </w:r>
            <w:r w:rsidR="000061B8" w:rsidRPr="00D409E8">
              <w:rPr>
                <w:b/>
                <w:bCs/>
              </w:rPr>
              <w:t xml:space="preserve">and safety for workers </w:t>
            </w:r>
            <w:r w:rsidRPr="00D409E8">
              <w:rPr>
                <w:b/>
                <w:bCs/>
              </w:rPr>
              <w:t xml:space="preserve"> </w:t>
            </w:r>
          </w:p>
        </w:tc>
        <w:tc>
          <w:tcPr>
            <w:tcW w:w="6222" w:type="dxa"/>
            <w:shd w:val="clear" w:color="auto" w:fill="DAE3F8" w:themeFill="accent1" w:themeFillTint="33"/>
          </w:tcPr>
          <w:p w14:paraId="68C094A8" w14:textId="19F2F629" w:rsidR="00120D42" w:rsidRDefault="0010163C" w:rsidP="008D7D3C">
            <w:pPr>
              <w:keepLines/>
              <w:contextualSpacing w:val="0"/>
              <w:rPr>
                <w:rFonts w:eastAsiaTheme="majorEastAsia" w:cs="Arial"/>
              </w:rPr>
            </w:pPr>
            <w:r>
              <w:rPr>
                <w:rFonts w:eastAsiaTheme="majorEastAsia" w:cs="Arial"/>
              </w:rPr>
              <w:t>S</w:t>
            </w:r>
            <w:r w:rsidR="00B1799F">
              <w:rPr>
                <w:rFonts w:eastAsiaTheme="majorEastAsia" w:cs="Arial"/>
              </w:rPr>
              <w:t xml:space="preserve">ignificant </w:t>
            </w:r>
            <w:r w:rsidR="00554D91">
              <w:rPr>
                <w:rFonts w:eastAsiaTheme="majorEastAsia" w:cs="Arial"/>
              </w:rPr>
              <w:t xml:space="preserve">health impacts associated </w:t>
            </w:r>
            <w:r w:rsidR="00D97AF5">
              <w:rPr>
                <w:rFonts w:eastAsiaTheme="majorEastAsia" w:cs="Arial"/>
              </w:rPr>
              <w:t xml:space="preserve">with the 9 chemicals and the need to ensure strong protections for workers. </w:t>
            </w:r>
          </w:p>
          <w:p w14:paraId="6BFAE885" w14:textId="19B277AA" w:rsidR="009807AC" w:rsidRDefault="009807AC" w:rsidP="008D7D3C">
            <w:pPr>
              <w:keepLines/>
              <w:contextualSpacing w:val="0"/>
              <w:rPr>
                <w:rFonts w:eastAsiaTheme="majorEastAsia" w:cs="Arial"/>
              </w:rPr>
            </w:pPr>
            <w:r>
              <w:rPr>
                <w:rFonts w:eastAsiaTheme="majorEastAsia" w:cs="Arial"/>
              </w:rPr>
              <w:t>Keeping</w:t>
            </w:r>
            <w:r w:rsidR="00A612BE">
              <w:rPr>
                <w:rFonts w:eastAsiaTheme="majorEastAsia" w:cs="Arial"/>
              </w:rPr>
              <w:t xml:space="preserve"> workers </w:t>
            </w:r>
            <w:r w:rsidR="00446BC3">
              <w:rPr>
                <w:rFonts w:eastAsiaTheme="majorEastAsia" w:cs="Arial"/>
              </w:rPr>
              <w:t>safe</w:t>
            </w:r>
            <w:r w:rsidR="00AD3DAB">
              <w:rPr>
                <w:rFonts w:eastAsiaTheme="majorEastAsia" w:cs="Arial"/>
              </w:rPr>
              <w:t xml:space="preserve"> is</w:t>
            </w:r>
            <w:r w:rsidR="00446BC3">
              <w:rPr>
                <w:rFonts w:eastAsiaTheme="majorEastAsia" w:cs="Arial"/>
              </w:rPr>
              <w:t xml:space="preserve"> foremost </w:t>
            </w:r>
            <w:r w:rsidR="00AD3DAB">
              <w:rPr>
                <w:rFonts w:eastAsiaTheme="majorEastAsia" w:cs="Arial"/>
              </w:rPr>
              <w:t>and</w:t>
            </w:r>
            <w:r w:rsidR="00446BC3">
              <w:rPr>
                <w:rFonts w:eastAsiaTheme="majorEastAsia" w:cs="Arial"/>
              </w:rPr>
              <w:t xml:space="preserve"> critical.</w:t>
            </w:r>
            <w:r w:rsidR="000D53DF">
              <w:rPr>
                <w:rFonts w:eastAsiaTheme="majorEastAsia" w:cs="Arial"/>
              </w:rPr>
              <w:t xml:space="preserve"> </w:t>
            </w:r>
          </w:p>
          <w:p w14:paraId="09538323" w14:textId="77777777" w:rsidR="00235C13" w:rsidRDefault="00235C13" w:rsidP="008D7D3C">
            <w:pPr>
              <w:keepLines/>
              <w:contextualSpacing w:val="0"/>
              <w:rPr>
                <w:rFonts w:eastAsiaTheme="majorEastAsia" w:cs="Arial"/>
              </w:rPr>
            </w:pPr>
            <w:r>
              <w:rPr>
                <w:rFonts w:eastAsiaTheme="majorEastAsia" w:cs="Arial"/>
              </w:rPr>
              <w:t>Health benefits through evidence-based WELs, as well as the need</w:t>
            </w:r>
            <w:r w:rsidRPr="005F262C">
              <w:rPr>
                <w:rFonts w:eastAsiaTheme="majorEastAsia" w:cs="Arial"/>
              </w:rPr>
              <w:t xml:space="preserve"> for enhanced health monitoring and screening as it leads to earlier diagnoses </w:t>
            </w:r>
            <w:r>
              <w:rPr>
                <w:rFonts w:eastAsiaTheme="majorEastAsia" w:cs="Arial"/>
              </w:rPr>
              <w:t>and</w:t>
            </w:r>
            <w:r w:rsidRPr="005F262C">
              <w:rPr>
                <w:rFonts w:eastAsiaTheme="majorEastAsia" w:cs="Arial"/>
              </w:rPr>
              <w:t xml:space="preserve"> earlier interventions to protect the health of Australian workers.</w:t>
            </w:r>
          </w:p>
          <w:p w14:paraId="2F589D6B" w14:textId="49EA24BB" w:rsidR="00DA3F04" w:rsidRPr="009911EB" w:rsidRDefault="009807AC" w:rsidP="008D7D3C">
            <w:pPr>
              <w:keepLines/>
              <w:contextualSpacing w:val="0"/>
              <w:rPr>
                <w:rFonts w:eastAsiaTheme="majorEastAsia" w:cs="Arial"/>
              </w:rPr>
            </w:pPr>
            <w:r>
              <w:rPr>
                <w:rFonts w:eastAsiaTheme="majorEastAsia" w:cs="Arial"/>
              </w:rPr>
              <w:t xml:space="preserve">A questioning </w:t>
            </w:r>
            <w:r w:rsidR="00120D42">
              <w:rPr>
                <w:rFonts w:eastAsiaTheme="majorEastAsia" w:cs="Arial"/>
              </w:rPr>
              <w:t>of the</w:t>
            </w:r>
            <w:r w:rsidR="000D53DF">
              <w:rPr>
                <w:rFonts w:eastAsiaTheme="majorEastAsia" w:cs="Arial"/>
              </w:rPr>
              <w:t xml:space="preserve"> evidence supporting the health benefits of the proposed limits</w:t>
            </w:r>
            <w:r w:rsidR="00044E1A">
              <w:rPr>
                <w:rFonts w:eastAsiaTheme="majorEastAsia" w:cs="Arial"/>
              </w:rPr>
              <w:t xml:space="preserve"> and that benefits could have been overestimated</w:t>
            </w:r>
            <w:r w:rsidR="000D53DF">
              <w:rPr>
                <w:rFonts w:eastAsiaTheme="majorEastAsia" w:cs="Arial"/>
              </w:rPr>
              <w:t xml:space="preserve">. </w:t>
            </w:r>
            <w:r w:rsidR="00446BC3">
              <w:rPr>
                <w:rFonts w:eastAsiaTheme="majorEastAsia" w:cs="Arial"/>
              </w:rPr>
              <w:t xml:space="preserve">  </w:t>
            </w:r>
          </w:p>
        </w:tc>
      </w:tr>
      <w:tr w:rsidR="00DA3F04" w:rsidRPr="009911EB" w14:paraId="0319D50E" w14:textId="77777777" w:rsidTr="00D409E8">
        <w:trPr>
          <w:cantSplit/>
        </w:trPr>
        <w:tc>
          <w:tcPr>
            <w:tcW w:w="2137" w:type="dxa"/>
          </w:tcPr>
          <w:p w14:paraId="7518E369" w14:textId="3A0BF2CD" w:rsidR="00DA3F04" w:rsidRPr="00D409E8" w:rsidRDefault="37DA1C0F" w:rsidP="009911EB">
            <w:pPr>
              <w:keepLines/>
              <w:rPr>
                <w:b/>
                <w:bCs/>
              </w:rPr>
            </w:pPr>
            <w:r w:rsidRPr="00D409E8">
              <w:rPr>
                <w:b/>
                <w:bCs/>
              </w:rPr>
              <w:lastRenderedPageBreak/>
              <w:t>Larger burden</w:t>
            </w:r>
            <w:r w:rsidR="00DA3F04" w:rsidRPr="00D409E8" w:rsidDel="37DA1C0F">
              <w:rPr>
                <w:b/>
                <w:bCs/>
              </w:rPr>
              <w:t xml:space="preserve"> </w:t>
            </w:r>
            <w:r w:rsidRPr="00D409E8">
              <w:rPr>
                <w:b/>
                <w:bCs/>
              </w:rPr>
              <w:t>in the initial years</w:t>
            </w:r>
          </w:p>
        </w:tc>
        <w:tc>
          <w:tcPr>
            <w:tcW w:w="6222" w:type="dxa"/>
          </w:tcPr>
          <w:p w14:paraId="097B2BFB" w14:textId="22DA8C66" w:rsidR="00BA668F" w:rsidRDefault="00501982" w:rsidP="009911EB">
            <w:pPr>
              <w:keepLines/>
              <w:contextualSpacing w:val="0"/>
              <w:rPr>
                <w:rFonts w:eastAsiaTheme="majorEastAsia" w:cs="Arial"/>
              </w:rPr>
            </w:pPr>
            <w:r>
              <w:rPr>
                <w:rFonts w:eastAsiaTheme="majorEastAsia" w:cs="Arial"/>
              </w:rPr>
              <w:t>H</w:t>
            </w:r>
            <w:r w:rsidR="00DA3F04" w:rsidRPr="009911EB">
              <w:rPr>
                <w:rFonts w:eastAsiaTheme="majorEastAsia" w:cs="Arial"/>
              </w:rPr>
              <w:t xml:space="preserve">igher upfront costs in the initial years of the 10-year period to comply with the proposed limits. </w:t>
            </w:r>
            <w:r w:rsidR="005117BA">
              <w:rPr>
                <w:rFonts w:eastAsiaTheme="majorEastAsia" w:cs="Arial"/>
              </w:rPr>
              <w:t>Criticism</w:t>
            </w:r>
            <w:r w:rsidR="00DA3F04" w:rsidRPr="009911EB">
              <w:rPr>
                <w:rFonts w:eastAsiaTheme="majorEastAsia" w:cs="Arial"/>
              </w:rPr>
              <w:t xml:space="preserve"> </w:t>
            </w:r>
            <w:r w:rsidR="00DA5C6E">
              <w:rPr>
                <w:rFonts w:eastAsiaTheme="majorEastAsia" w:cs="Arial"/>
              </w:rPr>
              <w:t>that</w:t>
            </w:r>
            <w:r w:rsidR="00DA3F04" w:rsidRPr="009911EB">
              <w:rPr>
                <w:rFonts w:eastAsiaTheme="majorEastAsia" w:cs="Arial"/>
              </w:rPr>
              <w:t xml:space="preserve"> an average annual cost over a 10-year period </w:t>
            </w:r>
            <w:r w:rsidR="00DA5C6E">
              <w:rPr>
                <w:rFonts w:eastAsiaTheme="majorEastAsia" w:cs="Arial"/>
              </w:rPr>
              <w:t>was</w:t>
            </w:r>
            <w:r w:rsidR="00DA3F04" w:rsidRPr="009911EB">
              <w:rPr>
                <w:rFonts w:eastAsiaTheme="majorEastAsia" w:cs="Arial"/>
              </w:rPr>
              <w:t xml:space="preserve"> not reflective of this. </w:t>
            </w:r>
          </w:p>
          <w:p w14:paraId="3D9ABB7F" w14:textId="48B4AA70" w:rsidR="00DA3F04" w:rsidRDefault="00BA668F" w:rsidP="009911EB">
            <w:pPr>
              <w:keepLines/>
              <w:contextualSpacing w:val="0"/>
              <w:rPr>
                <w:rFonts w:eastAsiaTheme="majorEastAsia" w:cs="Arial"/>
                <w:sz w:val="28"/>
                <w:szCs w:val="28"/>
              </w:rPr>
            </w:pPr>
            <w:r>
              <w:rPr>
                <w:rFonts w:eastAsiaTheme="majorEastAsia" w:cs="Arial"/>
              </w:rPr>
              <w:t>S</w:t>
            </w:r>
            <w:r w:rsidR="00DA3F04" w:rsidRPr="009911EB">
              <w:rPr>
                <w:rFonts w:eastAsiaTheme="majorEastAsia" w:cs="Arial"/>
              </w:rPr>
              <w:t>ignificant challenge for PCBUs, particular</w:t>
            </w:r>
            <w:r>
              <w:rPr>
                <w:rFonts w:eastAsiaTheme="majorEastAsia" w:cs="Arial"/>
              </w:rPr>
              <w:t>ly</w:t>
            </w:r>
            <w:r w:rsidR="00DA3F04" w:rsidRPr="009911EB">
              <w:rPr>
                <w:rFonts w:eastAsiaTheme="majorEastAsia" w:cs="Arial"/>
              </w:rPr>
              <w:t xml:space="preserve"> small and medium enterprises</w:t>
            </w:r>
            <w:r>
              <w:rPr>
                <w:rFonts w:eastAsiaTheme="majorEastAsia" w:cs="Arial"/>
              </w:rPr>
              <w:t xml:space="preserve"> dealing with upfront costs and </w:t>
            </w:r>
            <w:r w:rsidR="00DA3F04" w:rsidRPr="009911EB">
              <w:rPr>
                <w:rFonts w:eastAsiaTheme="majorEastAsia" w:cs="Arial"/>
              </w:rPr>
              <w:t>hard for stakeholders to estimate an annual cost that would enable them to comply with the proposed WEL.</w:t>
            </w:r>
            <w:r w:rsidR="00DA3F04" w:rsidRPr="009911EB">
              <w:rPr>
                <w:rFonts w:eastAsiaTheme="majorEastAsia" w:cs="Arial"/>
                <w:sz w:val="28"/>
                <w:szCs w:val="28"/>
              </w:rPr>
              <w:t xml:space="preserve"> </w:t>
            </w:r>
          </w:p>
          <w:p w14:paraId="6269138C" w14:textId="431D8F0B" w:rsidR="00DA3F04" w:rsidRPr="009911EB" w:rsidRDefault="001A6B09" w:rsidP="27F845C1">
            <w:pPr>
              <w:keepLines/>
            </w:pPr>
            <w:r>
              <w:rPr>
                <w:rFonts w:eastAsiaTheme="majorEastAsia" w:cs="Arial"/>
                <w:szCs w:val="22"/>
              </w:rPr>
              <w:t xml:space="preserve">The burden </w:t>
            </w:r>
            <w:r w:rsidR="00D756DB">
              <w:rPr>
                <w:rFonts w:eastAsiaTheme="majorEastAsia" w:cs="Arial"/>
                <w:szCs w:val="22"/>
              </w:rPr>
              <w:t xml:space="preserve">of costs in the initial years </w:t>
            </w:r>
            <w:r>
              <w:rPr>
                <w:rFonts w:eastAsiaTheme="majorEastAsia" w:cs="Arial"/>
                <w:szCs w:val="22"/>
              </w:rPr>
              <w:t>would be greater for</w:t>
            </w:r>
            <w:r w:rsidR="008820C1">
              <w:rPr>
                <w:rFonts w:eastAsiaTheme="majorEastAsia" w:cs="Arial"/>
                <w:szCs w:val="22"/>
              </w:rPr>
              <w:t xml:space="preserve"> PCBUs</w:t>
            </w:r>
            <w:r w:rsidR="00CE7B6A">
              <w:rPr>
                <w:rFonts w:eastAsiaTheme="majorEastAsia" w:cs="Arial"/>
                <w:szCs w:val="22"/>
              </w:rPr>
              <w:t xml:space="preserve"> who</w:t>
            </w:r>
            <w:r>
              <w:rPr>
                <w:rFonts w:eastAsiaTheme="majorEastAsia" w:cs="Arial"/>
                <w:szCs w:val="22"/>
              </w:rPr>
              <w:t xml:space="preserve"> </w:t>
            </w:r>
            <w:r w:rsidR="00CE7B6A">
              <w:rPr>
                <w:rFonts w:eastAsiaTheme="majorEastAsia" w:cs="Arial"/>
                <w:szCs w:val="22"/>
              </w:rPr>
              <w:t xml:space="preserve">use, store or generate more than </w:t>
            </w:r>
            <w:r w:rsidR="00D756DB">
              <w:rPr>
                <w:rFonts w:eastAsiaTheme="majorEastAsia" w:cs="Arial"/>
                <w:szCs w:val="22"/>
              </w:rPr>
              <w:t>one</w:t>
            </w:r>
            <w:r>
              <w:rPr>
                <w:rFonts w:eastAsiaTheme="majorEastAsia" w:cs="Arial"/>
                <w:szCs w:val="22"/>
              </w:rPr>
              <w:t xml:space="preserve"> </w:t>
            </w:r>
            <w:r w:rsidR="00CB4BAB">
              <w:rPr>
                <w:rFonts w:eastAsiaTheme="majorEastAsia" w:cs="Arial"/>
                <w:szCs w:val="22"/>
              </w:rPr>
              <w:t>chemical</w:t>
            </w:r>
            <w:r w:rsidR="00CE7B6A">
              <w:rPr>
                <w:rFonts w:eastAsiaTheme="majorEastAsia" w:cs="Arial"/>
                <w:szCs w:val="22"/>
              </w:rPr>
              <w:t xml:space="preserve"> considered in this Decision RIS</w:t>
            </w:r>
            <w:r>
              <w:rPr>
                <w:rFonts w:eastAsiaTheme="majorEastAsia" w:cs="Arial"/>
                <w:szCs w:val="22"/>
              </w:rPr>
              <w:t xml:space="preserve">. </w:t>
            </w:r>
            <w:r w:rsidR="00CE7B6A">
              <w:rPr>
                <w:rFonts w:eastAsiaTheme="majorEastAsia" w:cs="Arial"/>
                <w:szCs w:val="22"/>
              </w:rPr>
              <w:t xml:space="preserve">  </w:t>
            </w:r>
            <w:r w:rsidR="37DA1C0F">
              <w:t xml:space="preserve">PCBUs should already be compliant </w:t>
            </w:r>
            <w:r w:rsidR="3D2D7C5D">
              <w:t xml:space="preserve">with the proposed WEL recognising </w:t>
            </w:r>
            <w:r w:rsidR="37DA1C0F">
              <w:t>the primary duty of care provisions under Section 19 of the model WHS Act, especially for known carcinogen</w:t>
            </w:r>
            <w:r w:rsidR="005A0BA5">
              <w:t>s</w:t>
            </w:r>
            <w:r w:rsidR="37DA1C0F">
              <w:t xml:space="preserve"> like benzene</w:t>
            </w:r>
            <w:r w:rsidR="009A756A">
              <w:t>, formaldehyde and RCS</w:t>
            </w:r>
            <w:r w:rsidR="37DA1C0F">
              <w:t>.</w:t>
            </w:r>
            <w:r w:rsidR="0095230F">
              <w:t xml:space="preserve"> Thus, costs associated with Option 2 should be nil.</w:t>
            </w:r>
            <w:r w:rsidR="37DA1C0F">
              <w:t xml:space="preserve"> </w:t>
            </w:r>
          </w:p>
        </w:tc>
      </w:tr>
      <w:tr w:rsidR="00DA3F04" w:rsidRPr="009911EB" w14:paraId="6A645805" w14:textId="77777777" w:rsidTr="21DF116C">
        <w:tc>
          <w:tcPr>
            <w:tcW w:w="2137" w:type="dxa"/>
            <w:shd w:val="clear" w:color="auto" w:fill="DAE3F8" w:themeFill="accent1" w:themeFillTint="33"/>
          </w:tcPr>
          <w:p w14:paraId="110F1B95" w14:textId="77777777" w:rsidR="00DA3F04" w:rsidRPr="00D409E8" w:rsidRDefault="00DA3F04" w:rsidP="009911EB">
            <w:pPr>
              <w:keepLines/>
              <w:rPr>
                <w:b/>
                <w:szCs w:val="22"/>
              </w:rPr>
            </w:pPr>
            <w:r w:rsidRPr="00D409E8">
              <w:rPr>
                <w:b/>
                <w:szCs w:val="22"/>
              </w:rPr>
              <w:t>Similar costs to small and medium businesses across all 9 chemicals</w:t>
            </w:r>
          </w:p>
        </w:tc>
        <w:tc>
          <w:tcPr>
            <w:tcW w:w="6222" w:type="dxa"/>
            <w:shd w:val="clear" w:color="auto" w:fill="DAE3F8" w:themeFill="accent1" w:themeFillTint="33"/>
          </w:tcPr>
          <w:p w14:paraId="5BCF742E" w14:textId="01121D96" w:rsidR="00DA3F04" w:rsidRPr="009911EB" w:rsidRDefault="001C1E94" w:rsidP="001A009A">
            <w:pPr>
              <w:keepLines/>
              <w:spacing w:line="240" w:lineRule="atLeast"/>
              <w:contextualSpacing w:val="0"/>
              <w:rPr>
                <w:rFonts w:eastAsiaTheme="majorEastAsia" w:cs="Arial"/>
                <w:szCs w:val="22"/>
              </w:rPr>
            </w:pPr>
            <w:r>
              <w:rPr>
                <w:rFonts w:eastAsiaTheme="majorEastAsia" w:cs="Arial"/>
                <w:szCs w:val="22"/>
              </w:rPr>
              <w:t>C</w:t>
            </w:r>
            <w:r w:rsidR="003436AA">
              <w:rPr>
                <w:rFonts w:eastAsiaTheme="majorEastAsia" w:cs="Arial"/>
                <w:szCs w:val="22"/>
              </w:rPr>
              <w:t>riticism</w:t>
            </w:r>
            <w:r w:rsidR="00DA3F04" w:rsidRPr="009911EB">
              <w:rPr>
                <w:rFonts w:eastAsiaTheme="majorEastAsia" w:cs="Arial"/>
                <w:szCs w:val="22"/>
              </w:rPr>
              <w:t xml:space="preserve"> over the average annual costs for small and medium businesses in the preliminary a</w:t>
            </w:r>
            <w:r w:rsidR="00DA3F04" w:rsidRPr="009911EB">
              <w:rPr>
                <w:rFonts w:eastAsiaTheme="majorEastAsia" w:cs="Arial"/>
              </w:rPr>
              <w:t>nalysis</w:t>
            </w:r>
            <w:r w:rsidR="003436AA">
              <w:rPr>
                <w:rFonts w:eastAsiaTheme="majorEastAsia" w:cs="Arial"/>
                <w:szCs w:val="22"/>
              </w:rPr>
              <w:t xml:space="preserve"> not </w:t>
            </w:r>
            <w:r w:rsidR="00DA3F04" w:rsidRPr="009911EB">
              <w:rPr>
                <w:rFonts w:eastAsiaTheme="majorEastAsia" w:cs="Arial"/>
                <w:szCs w:val="22"/>
              </w:rPr>
              <w:t>reflec</w:t>
            </w:r>
            <w:r w:rsidR="003436AA">
              <w:rPr>
                <w:rFonts w:eastAsiaTheme="majorEastAsia" w:cs="Arial"/>
                <w:szCs w:val="22"/>
              </w:rPr>
              <w:t>ting</w:t>
            </w:r>
            <w:r w:rsidR="00DA3F04" w:rsidRPr="009911EB">
              <w:rPr>
                <w:rFonts w:eastAsiaTheme="majorEastAsia" w:cs="Arial"/>
                <w:szCs w:val="22"/>
              </w:rPr>
              <w:t xml:space="preserve"> practice</w:t>
            </w:r>
            <w:r w:rsidR="00F12F91">
              <w:rPr>
                <w:rFonts w:eastAsiaTheme="majorEastAsia" w:cs="Arial"/>
                <w:szCs w:val="22"/>
              </w:rPr>
              <w:t xml:space="preserve"> -</w:t>
            </w:r>
            <w:r w:rsidR="00DA3F04" w:rsidRPr="009911EB">
              <w:rPr>
                <w:rFonts w:eastAsiaTheme="majorEastAsia" w:cs="Arial"/>
                <w:szCs w:val="22"/>
              </w:rPr>
              <w:t xml:space="preserve"> the costs for air monitoring or personal protective equipment a</w:t>
            </w:r>
            <w:r w:rsidR="00DA3F04" w:rsidRPr="009911EB">
              <w:rPr>
                <w:rFonts w:eastAsiaTheme="majorEastAsia" w:cs="Arial"/>
              </w:rPr>
              <w:t xml:space="preserve">lone </w:t>
            </w:r>
            <w:r w:rsidR="00DA3F04" w:rsidRPr="009911EB">
              <w:rPr>
                <w:rFonts w:eastAsiaTheme="majorEastAsia" w:cs="Arial"/>
                <w:szCs w:val="22"/>
              </w:rPr>
              <w:t>may exceed the amount estimated.</w:t>
            </w:r>
          </w:p>
        </w:tc>
      </w:tr>
      <w:tr w:rsidR="00DA3F04" w:rsidRPr="009911EB" w14:paraId="1C81C149" w14:textId="77777777" w:rsidTr="00D409E8">
        <w:tc>
          <w:tcPr>
            <w:tcW w:w="2137" w:type="dxa"/>
          </w:tcPr>
          <w:p w14:paraId="26919C86" w14:textId="290DA182" w:rsidR="00DA3F04" w:rsidRPr="00D409E8" w:rsidRDefault="00DA3F04" w:rsidP="00E542EF">
            <w:pPr>
              <w:rPr>
                <w:b/>
                <w:bCs/>
              </w:rPr>
            </w:pPr>
            <w:r w:rsidRPr="00D409E8">
              <w:rPr>
                <w:b/>
                <w:bCs/>
              </w:rPr>
              <w:t>Measurement and analysis issues</w:t>
            </w:r>
          </w:p>
        </w:tc>
        <w:tc>
          <w:tcPr>
            <w:tcW w:w="6222" w:type="dxa"/>
          </w:tcPr>
          <w:p w14:paraId="40A92D81" w14:textId="29F2C7EE" w:rsidR="00A64A81" w:rsidRDefault="009200CA" w:rsidP="009911EB">
            <w:pPr>
              <w:keepLines/>
              <w:contextualSpacing w:val="0"/>
              <w:rPr>
                <w:rFonts w:eastAsiaTheme="majorEastAsia" w:cs="Arial"/>
              </w:rPr>
            </w:pPr>
            <w:r>
              <w:rPr>
                <w:rFonts w:eastAsiaTheme="majorEastAsia" w:cs="Arial"/>
              </w:rPr>
              <w:t>S</w:t>
            </w:r>
            <w:r w:rsidR="00DA3F04" w:rsidRPr="009911EB">
              <w:rPr>
                <w:rFonts w:eastAsiaTheme="majorEastAsia" w:cs="Arial"/>
              </w:rPr>
              <w:t>ome proposed WELs were reduced to levels</w:t>
            </w:r>
            <w:r w:rsidR="00DA3F04" w:rsidDel="00C6520C">
              <w:rPr>
                <w:rFonts w:eastAsiaTheme="majorEastAsia" w:cs="Arial"/>
              </w:rPr>
              <w:t xml:space="preserve"> </w:t>
            </w:r>
            <w:r w:rsidR="00DA3F04" w:rsidRPr="009911EB">
              <w:rPr>
                <w:rFonts w:eastAsiaTheme="majorEastAsia" w:cs="Arial"/>
              </w:rPr>
              <w:t xml:space="preserve">that </w:t>
            </w:r>
            <w:r w:rsidR="00F1503D">
              <w:rPr>
                <w:rFonts w:eastAsiaTheme="majorEastAsia" w:cs="Arial"/>
              </w:rPr>
              <w:t>may</w:t>
            </w:r>
            <w:r w:rsidR="00DA3F04" w:rsidRPr="009911EB">
              <w:rPr>
                <w:rFonts w:eastAsiaTheme="majorEastAsia" w:cs="Arial"/>
              </w:rPr>
              <w:t xml:space="preserve"> present complexities and issues for measurement and analysis of exposures. </w:t>
            </w:r>
            <w:r w:rsidR="0027441A">
              <w:rPr>
                <w:rFonts w:eastAsiaTheme="majorEastAsia" w:cs="Arial"/>
              </w:rPr>
              <w:t>T</w:t>
            </w:r>
            <w:r w:rsidR="00DA3F04" w:rsidRPr="009911EB">
              <w:rPr>
                <w:rFonts w:eastAsiaTheme="majorEastAsia" w:cs="Arial"/>
              </w:rPr>
              <w:t xml:space="preserve">hese </w:t>
            </w:r>
            <w:r w:rsidR="0027441A">
              <w:rPr>
                <w:rFonts w:eastAsiaTheme="majorEastAsia" w:cs="Arial"/>
              </w:rPr>
              <w:t xml:space="preserve">can act as </w:t>
            </w:r>
            <w:r w:rsidR="00DA3F04" w:rsidRPr="009911EB">
              <w:rPr>
                <w:rFonts w:eastAsiaTheme="majorEastAsia" w:cs="Arial"/>
              </w:rPr>
              <w:t xml:space="preserve">barriers </w:t>
            </w:r>
            <w:r w:rsidR="00F12F91">
              <w:rPr>
                <w:rFonts w:eastAsiaTheme="majorEastAsia" w:cs="Arial"/>
              </w:rPr>
              <w:t xml:space="preserve">to air </w:t>
            </w:r>
            <w:r w:rsidR="00DA3F04" w:rsidRPr="009911EB">
              <w:rPr>
                <w:rFonts w:eastAsiaTheme="majorEastAsia" w:cs="Arial"/>
              </w:rPr>
              <w:t>monitoring</w:t>
            </w:r>
            <w:r w:rsidR="00FC1699">
              <w:rPr>
                <w:rFonts w:eastAsiaTheme="majorEastAsia" w:cs="Arial"/>
              </w:rPr>
              <w:t>, enforcement and compliance</w:t>
            </w:r>
            <w:r w:rsidR="00DA3F04" w:rsidRPr="009911EB">
              <w:rPr>
                <w:rFonts w:eastAsiaTheme="majorEastAsia" w:cs="Arial"/>
              </w:rPr>
              <w:t xml:space="preserve">. </w:t>
            </w:r>
          </w:p>
          <w:p w14:paraId="41C82B72" w14:textId="47DC9B64" w:rsidR="00DA3F04" w:rsidRDefault="00A64A81" w:rsidP="009911EB">
            <w:pPr>
              <w:keepLines/>
              <w:contextualSpacing w:val="0"/>
              <w:rPr>
                <w:rFonts w:eastAsiaTheme="majorEastAsia" w:cs="Arial"/>
              </w:rPr>
            </w:pPr>
            <w:r>
              <w:rPr>
                <w:rFonts w:eastAsiaTheme="majorEastAsia" w:cs="Arial"/>
              </w:rPr>
              <w:t>T</w:t>
            </w:r>
            <w:r w:rsidR="00CD5194">
              <w:rPr>
                <w:rFonts w:eastAsiaTheme="majorEastAsia" w:cs="Arial"/>
              </w:rPr>
              <w:t>here w</w:t>
            </w:r>
            <w:r w:rsidR="006A2B61">
              <w:rPr>
                <w:rFonts w:eastAsiaTheme="majorEastAsia" w:cs="Arial"/>
              </w:rPr>
              <w:t>as</w:t>
            </w:r>
            <w:r w:rsidR="00CD5194">
              <w:rPr>
                <w:rFonts w:eastAsiaTheme="majorEastAsia" w:cs="Arial"/>
              </w:rPr>
              <w:t xml:space="preserve"> some </w:t>
            </w:r>
            <w:r w:rsidR="00F12F91">
              <w:rPr>
                <w:rFonts w:eastAsiaTheme="majorEastAsia" w:cs="Arial"/>
              </w:rPr>
              <w:t>support</w:t>
            </w:r>
            <w:r w:rsidR="008F2A71">
              <w:rPr>
                <w:rFonts w:eastAsiaTheme="majorEastAsia" w:cs="Arial"/>
              </w:rPr>
              <w:t xml:space="preserve"> that </w:t>
            </w:r>
            <w:r w:rsidR="00673E51">
              <w:rPr>
                <w:rFonts w:eastAsiaTheme="majorEastAsia" w:cs="Arial"/>
              </w:rPr>
              <w:t>the p</w:t>
            </w:r>
            <w:r w:rsidR="00673E51" w:rsidRPr="009911EB">
              <w:rPr>
                <w:rFonts w:eastAsiaTheme="majorEastAsia" w:cs="Arial"/>
              </w:rPr>
              <w:t>roposed WELs for the 9 chemicals</w:t>
            </w:r>
            <w:r w:rsidR="00673E51">
              <w:rPr>
                <w:rFonts w:eastAsiaTheme="majorEastAsia" w:cs="Arial"/>
              </w:rPr>
              <w:t xml:space="preserve"> could be measured </w:t>
            </w:r>
            <w:r w:rsidR="00D96B25">
              <w:rPr>
                <w:rFonts w:eastAsiaTheme="majorEastAsia" w:cs="Arial"/>
              </w:rPr>
              <w:t>using current techniques and technology.</w:t>
            </w:r>
          </w:p>
          <w:p w14:paraId="3B2E78F4" w14:textId="69F8BDAA" w:rsidR="00C61C9A" w:rsidRPr="009911EB" w:rsidDel="00E03212" w:rsidRDefault="00A64A81" w:rsidP="009911EB">
            <w:pPr>
              <w:keepLines/>
              <w:contextualSpacing w:val="0"/>
              <w:rPr>
                <w:rFonts w:eastAsiaTheme="majorEastAsia" w:cs="Arial"/>
              </w:rPr>
            </w:pPr>
            <w:r>
              <w:rPr>
                <w:rFonts w:eastAsiaTheme="majorEastAsia" w:cs="Arial"/>
              </w:rPr>
              <w:t>W</w:t>
            </w:r>
            <w:r w:rsidR="00C805FC">
              <w:rPr>
                <w:rFonts w:eastAsiaTheme="majorEastAsia" w:cs="Arial"/>
              </w:rPr>
              <w:t>hen accounting for longer shift</w:t>
            </w:r>
            <w:r w:rsidR="00E16A81">
              <w:rPr>
                <w:rFonts w:eastAsiaTheme="majorEastAsia" w:cs="Arial"/>
              </w:rPr>
              <w:t>s</w:t>
            </w:r>
            <w:r w:rsidR="003B6CC3">
              <w:rPr>
                <w:rFonts w:eastAsiaTheme="majorEastAsia" w:cs="Arial"/>
              </w:rPr>
              <w:t xml:space="preserve"> beyond 8 hours</w:t>
            </w:r>
            <w:r w:rsidR="00E16A81">
              <w:rPr>
                <w:rFonts w:eastAsiaTheme="majorEastAsia" w:cs="Arial"/>
              </w:rPr>
              <w:t xml:space="preserve">, the </w:t>
            </w:r>
            <w:r w:rsidR="00DB2AC0">
              <w:rPr>
                <w:rFonts w:eastAsiaTheme="majorEastAsia" w:cs="Arial"/>
              </w:rPr>
              <w:t>resultant WEL is even lower than what is proposed</w:t>
            </w:r>
            <w:r w:rsidR="00F64DF5">
              <w:rPr>
                <w:rFonts w:eastAsiaTheme="majorEastAsia" w:cs="Arial"/>
              </w:rPr>
              <w:t>, and</w:t>
            </w:r>
            <w:r w:rsidR="00E455E5">
              <w:rPr>
                <w:rFonts w:eastAsiaTheme="majorEastAsia" w:cs="Arial"/>
              </w:rPr>
              <w:t xml:space="preserve"> reaffirm</w:t>
            </w:r>
            <w:r w:rsidR="00AF7C85">
              <w:rPr>
                <w:rFonts w:eastAsiaTheme="majorEastAsia" w:cs="Arial"/>
              </w:rPr>
              <w:t>s</w:t>
            </w:r>
            <w:r w:rsidR="00E455E5">
              <w:rPr>
                <w:rFonts w:eastAsiaTheme="majorEastAsia" w:cs="Arial"/>
              </w:rPr>
              <w:t xml:space="preserve"> </w:t>
            </w:r>
            <w:r w:rsidR="00F64DF5">
              <w:rPr>
                <w:rFonts w:eastAsiaTheme="majorEastAsia" w:cs="Arial"/>
              </w:rPr>
              <w:t xml:space="preserve">measurability concerns. </w:t>
            </w:r>
          </w:p>
        </w:tc>
      </w:tr>
      <w:tr w:rsidR="00DA3F04" w:rsidRPr="009911EB" w14:paraId="4EEED830" w14:textId="77777777" w:rsidTr="21DF116C">
        <w:trPr>
          <w:cantSplit/>
        </w:trPr>
        <w:tc>
          <w:tcPr>
            <w:tcW w:w="2137" w:type="dxa"/>
            <w:shd w:val="clear" w:color="auto" w:fill="DAE3F8" w:themeFill="accent1" w:themeFillTint="33"/>
          </w:tcPr>
          <w:p w14:paraId="38E0CD5C" w14:textId="77777777" w:rsidR="00DA3F04" w:rsidRPr="00D409E8" w:rsidRDefault="00DA3F04" w:rsidP="00E542EF">
            <w:pPr>
              <w:rPr>
                <w:b/>
                <w:bCs/>
              </w:rPr>
            </w:pPr>
            <w:r w:rsidRPr="00D409E8">
              <w:rPr>
                <w:b/>
                <w:bCs/>
              </w:rPr>
              <w:t>Reliance on personal protective equipment (PPE)</w:t>
            </w:r>
          </w:p>
        </w:tc>
        <w:tc>
          <w:tcPr>
            <w:tcW w:w="6222" w:type="dxa"/>
            <w:shd w:val="clear" w:color="auto" w:fill="DAE3F8" w:themeFill="accent1" w:themeFillTint="33"/>
          </w:tcPr>
          <w:p w14:paraId="5D3A9F59" w14:textId="57ACD1EC" w:rsidR="00845D06" w:rsidRDefault="004960A7" w:rsidP="00E94258">
            <w:pPr>
              <w:keepLines/>
              <w:spacing w:line="240" w:lineRule="atLeast"/>
              <w:contextualSpacing w:val="0"/>
              <w:rPr>
                <w:rFonts w:eastAsiaTheme="majorEastAsia" w:cs="Arial"/>
              </w:rPr>
            </w:pPr>
            <w:r>
              <w:rPr>
                <w:rFonts w:eastAsiaTheme="majorEastAsia" w:cs="Arial"/>
              </w:rPr>
              <w:t>Claim</w:t>
            </w:r>
            <w:r w:rsidR="008C15D4">
              <w:rPr>
                <w:rFonts w:eastAsiaTheme="majorEastAsia" w:cs="Arial"/>
              </w:rPr>
              <w:t xml:space="preserve">s that </w:t>
            </w:r>
            <w:r w:rsidR="00CE7E76">
              <w:rPr>
                <w:rFonts w:eastAsiaTheme="majorEastAsia" w:cs="Arial"/>
              </w:rPr>
              <w:t>PCBUs will</w:t>
            </w:r>
            <w:r w:rsidR="00DA3F04" w:rsidRPr="009911EB">
              <w:rPr>
                <w:rFonts w:eastAsiaTheme="majorEastAsia" w:cs="Arial"/>
              </w:rPr>
              <w:t xml:space="preserve"> need to rely heavily on PPE, particularly respiratory protective equipment (RPE), to comply with the proposed WELs for the 9 chemicals. </w:t>
            </w:r>
          </w:p>
          <w:p w14:paraId="23331E79" w14:textId="550F75DD" w:rsidR="00DA3F04" w:rsidRPr="009911EB" w:rsidRDefault="00845D06" w:rsidP="003349CC">
            <w:pPr>
              <w:keepLines/>
              <w:spacing w:line="240" w:lineRule="atLeast"/>
              <w:contextualSpacing w:val="0"/>
              <w:rPr>
                <w:rFonts w:eastAsiaTheme="majorEastAsia" w:cs="Arial"/>
              </w:rPr>
            </w:pPr>
            <w:r>
              <w:rPr>
                <w:rFonts w:eastAsiaTheme="majorEastAsia" w:cs="Arial"/>
              </w:rPr>
              <w:t>C</w:t>
            </w:r>
            <w:r w:rsidR="00DA3F04" w:rsidRPr="009911EB">
              <w:rPr>
                <w:rFonts w:eastAsiaTheme="majorEastAsia" w:cs="Arial"/>
              </w:rPr>
              <w:t>o</w:t>
            </w:r>
            <w:r>
              <w:rPr>
                <w:rFonts w:eastAsiaTheme="majorEastAsia" w:cs="Arial"/>
              </w:rPr>
              <w:t xml:space="preserve">ncerns around </w:t>
            </w:r>
            <w:r w:rsidR="00F12F91">
              <w:rPr>
                <w:rFonts w:eastAsiaTheme="majorEastAsia" w:cs="Arial"/>
              </w:rPr>
              <w:t>PPE/RPE</w:t>
            </w:r>
            <w:r w:rsidR="00D13F9D">
              <w:rPr>
                <w:rFonts w:eastAsiaTheme="majorEastAsia" w:cs="Arial"/>
              </w:rPr>
              <w:t xml:space="preserve"> </w:t>
            </w:r>
            <w:r w:rsidR="00F12F91">
              <w:rPr>
                <w:rFonts w:eastAsiaTheme="majorEastAsia" w:cs="Arial"/>
              </w:rPr>
              <w:t xml:space="preserve">relate to </w:t>
            </w:r>
            <w:r w:rsidR="00D13F9D">
              <w:rPr>
                <w:rFonts w:eastAsiaTheme="majorEastAsia" w:cs="Arial"/>
              </w:rPr>
              <w:t>cost</w:t>
            </w:r>
            <w:r w:rsidR="00DA3F04" w:rsidRPr="009911EB">
              <w:rPr>
                <w:rFonts w:eastAsiaTheme="majorEastAsia" w:cs="Arial"/>
              </w:rPr>
              <w:t>,</w:t>
            </w:r>
            <w:r w:rsidR="00F12F91">
              <w:rPr>
                <w:rFonts w:eastAsiaTheme="majorEastAsia" w:cs="Arial"/>
              </w:rPr>
              <w:t xml:space="preserve"> reliance</w:t>
            </w:r>
            <w:r w:rsidR="00F12F91" w:rsidRPr="009911EB">
              <w:rPr>
                <w:rFonts w:eastAsiaTheme="majorEastAsia" w:cs="Arial"/>
              </w:rPr>
              <w:t xml:space="preserve"> on workers using them properly (i.e., they will need to be cleanly shaved and wear them for entire shift)</w:t>
            </w:r>
            <w:r w:rsidR="00F12F91">
              <w:rPr>
                <w:rFonts w:eastAsiaTheme="majorEastAsia" w:cs="Arial"/>
              </w:rPr>
              <w:t>, and</w:t>
            </w:r>
            <w:r w:rsidR="00DA3F04" w:rsidRPr="009911EB">
              <w:rPr>
                <w:rFonts w:eastAsiaTheme="majorEastAsia" w:cs="Arial"/>
              </w:rPr>
              <w:t xml:space="preserve"> additional risks to </w:t>
            </w:r>
            <w:r w:rsidR="00F12F91">
              <w:rPr>
                <w:rFonts w:eastAsiaTheme="majorEastAsia" w:cs="Arial"/>
              </w:rPr>
              <w:t>workers</w:t>
            </w:r>
            <w:r w:rsidR="00DA3F04" w:rsidRPr="009911EB">
              <w:rPr>
                <w:rFonts w:eastAsiaTheme="majorEastAsia" w:cs="Arial"/>
              </w:rPr>
              <w:t xml:space="preserve">.   </w:t>
            </w:r>
          </w:p>
        </w:tc>
      </w:tr>
      <w:tr w:rsidR="00DA3F04" w:rsidRPr="009911EB" w14:paraId="1DFB66B5" w14:textId="77777777" w:rsidTr="00D409E8">
        <w:trPr>
          <w:cantSplit/>
        </w:trPr>
        <w:tc>
          <w:tcPr>
            <w:tcW w:w="2137" w:type="dxa"/>
          </w:tcPr>
          <w:p w14:paraId="3BE893E9" w14:textId="77777777" w:rsidR="00DA3F04" w:rsidRPr="00D409E8" w:rsidRDefault="00DA3F04" w:rsidP="003C5215">
            <w:pPr>
              <w:rPr>
                <w:b/>
                <w:bCs/>
              </w:rPr>
            </w:pPr>
            <w:r w:rsidRPr="00D409E8">
              <w:rPr>
                <w:b/>
                <w:bCs/>
              </w:rPr>
              <w:t>Additional guidance</w:t>
            </w:r>
          </w:p>
        </w:tc>
        <w:tc>
          <w:tcPr>
            <w:tcW w:w="6222" w:type="dxa"/>
          </w:tcPr>
          <w:p w14:paraId="0BF9D101" w14:textId="3A597266" w:rsidR="00DA3F04" w:rsidRPr="009911EB" w:rsidRDefault="007A356F" w:rsidP="00A20D68">
            <w:pPr>
              <w:keepLines/>
              <w:contextualSpacing w:val="0"/>
              <w:rPr>
                <w:rFonts w:eastAsiaTheme="majorEastAsia" w:cs="Arial"/>
              </w:rPr>
            </w:pPr>
            <w:r>
              <w:rPr>
                <w:rFonts w:eastAsiaTheme="majorEastAsia" w:cs="Arial"/>
              </w:rPr>
              <w:t>A</w:t>
            </w:r>
            <w:r w:rsidR="00DA3F04" w:rsidRPr="009911EB">
              <w:rPr>
                <w:rFonts w:eastAsiaTheme="majorEastAsia" w:cs="Arial"/>
              </w:rPr>
              <w:t xml:space="preserve">dditional guidance </w:t>
            </w:r>
            <w:r w:rsidR="002F1E10">
              <w:rPr>
                <w:rFonts w:eastAsiaTheme="majorEastAsia" w:cs="Arial"/>
              </w:rPr>
              <w:t>was requested to</w:t>
            </w:r>
            <w:r w:rsidR="00DA3F04" w:rsidRPr="009911EB">
              <w:rPr>
                <w:rFonts w:eastAsiaTheme="majorEastAsia" w:cs="Arial"/>
              </w:rPr>
              <w:t xml:space="preserve"> help facilitate the transition to Option 2 </w:t>
            </w:r>
            <w:r w:rsidR="00E65B5E">
              <w:rPr>
                <w:rFonts w:eastAsiaTheme="majorEastAsia" w:cs="Arial"/>
              </w:rPr>
              <w:t>for</w:t>
            </w:r>
            <w:r w:rsidR="00DA3F04" w:rsidRPr="009911EB">
              <w:rPr>
                <w:rFonts w:eastAsiaTheme="majorEastAsia" w:cs="Arial"/>
              </w:rPr>
              <w:t xml:space="preserve"> </w:t>
            </w:r>
            <w:r w:rsidR="00DA3F04">
              <w:rPr>
                <w:rFonts w:eastAsiaTheme="majorEastAsia" w:cs="Arial"/>
              </w:rPr>
              <w:t>some of the 9</w:t>
            </w:r>
            <w:r w:rsidR="00DA3F04" w:rsidRPr="009911EB">
              <w:rPr>
                <w:rFonts w:eastAsiaTheme="majorEastAsia" w:cs="Arial"/>
              </w:rPr>
              <w:t xml:space="preserve"> chemicals</w:t>
            </w:r>
            <w:r w:rsidR="00DA3F04">
              <w:rPr>
                <w:rFonts w:eastAsiaTheme="majorEastAsia" w:cs="Arial"/>
              </w:rPr>
              <w:t>, if agreed by WHS ministers</w:t>
            </w:r>
            <w:r w:rsidR="00DA3F04" w:rsidRPr="009911EB">
              <w:rPr>
                <w:rFonts w:eastAsiaTheme="majorEastAsia" w:cs="Arial"/>
              </w:rPr>
              <w:t xml:space="preserve">. </w:t>
            </w:r>
          </w:p>
        </w:tc>
      </w:tr>
    </w:tbl>
    <w:p w14:paraId="3462ECDC" w14:textId="6CF09641" w:rsidR="00A302ED" w:rsidRPr="00A302ED" w:rsidRDefault="00A302ED" w:rsidP="003349CC">
      <w:pPr>
        <w:spacing w:before="240" w:after="200" w:line="240" w:lineRule="atLeast"/>
        <w:contextualSpacing w:val="0"/>
        <w:rPr>
          <w:rFonts w:eastAsia="Times New Roman"/>
        </w:rPr>
      </w:pPr>
      <w:bookmarkStart w:id="67" w:name="_Toc196902046"/>
      <w:bookmarkStart w:id="68" w:name="_Toc197676378"/>
      <w:bookmarkStart w:id="69" w:name="_Toc194510003"/>
      <w:bookmarkStart w:id="70" w:name="_Toc196204608"/>
      <w:bookmarkEnd w:id="67"/>
      <w:bookmarkEnd w:id="68"/>
      <w:r>
        <w:rPr>
          <w:rFonts w:eastAsia="Times New Roman"/>
        </w:rPr>
        <w:t>Stakeholder</w:t>
      </w:r>
      <w:r w:rsidR="00B541D1">
        <w:rPr>
          <w:rFonts w:eastAsia="Times New Roman"/>
        </w:rPr>
        <w:t>s</w:t>
      </w:r>
      <w:r>
        <w:rPr>
          <w:rFonts w:eastAsia="Times New Roman"/>
        </w:rPr>
        <w:t xml:space="preserve"> also provided specific feedback </w:t>
      </w:r>
      <w:r w:rsidR="00936E25">
        <w:rPr>
          <w:rFonts w:eastAsia="Times New Roman"/>
        </w:rPr>
        <w:t xml:space="preserve">on each of the 9 chemicals. This feedback has been summarised and is covered under each </w:t>
      </w:r>
      <w:r w:rsidR="00765042">
        <w:rPr>
          <w:rFonts w:eastAsia="Times New Roman"/>
        </w:rPr>
        <w:t>chemical</w:t>
      </w:r>
      <w:r w:rsidR="00936E25">
        <w:rPr>
          <w:rFonts w:eastAsia="Times New Roman"/>
        </w:rPr>
        <w:t xml:space="preserve"> </w:t>
      </w:r>
      <w:r w:rsidR="00765042">
        <w:rPr>
          <w:rFonts w:eastAsia="Times New Roman"/>
        </w:rPr>
        <w:t>specifi</w:t>
      </w:r>
      <w:r w:rsidR="004938E7">
        <w:rPr>
          <w:rFonts w:eastAsia="Times New Roman"/>
        </w:rPr>
        <w:t>c analysis under Section</w:t>
      </w:r>
      <w:r w:rsidR="00475814">
        <w:rPr>
          <w:rFonts w:eastAsia="Times New Roman"/>
        </w:rPr>
        <w:t>s</w:t>
      </w:r>
      <w:r w:rsidR="004938E7">
        <w:rPr>
          <w:rFonts w:eastAsia="Times New Roman"/>
        </w:rPr>
        <w:t xml:space="preserve"> </w:t>
      </w:r>
      <w:r w:rsidR="001B0A48">
        <w:rPr>
          <w:rFonts w:eastAsia="Times New Roman"/>
        </w:rPr>
        <w:t>9</w:t>
      </w:r>
      <w:r w:rsidR="00475814">
        <w:rPr>
          <w:rFonts w:eastAsia="Times New Roman"/>
        </w:rPr>
        <w:t xml:space="preserve"> to 17</w:t>
      </w:r>
      <w:r w:rsidR="004938E7">
        <w:rPr>
          <w:rFonts w:eastAsia="Times New Roman"/>
        </w:rPr>
        <w:t xml:space="preserve"> of this Decision RIS</w:t>
      </w:r>
      <w:r w:rsidR="00765042">
        <w:rPr>
          <w:rFonts w:eastAsia="Times New Roman"/>
        </w:rPr>
        <w:t xml:space="preserve">. </w:t>
      </w:r>
    </w:p>
    <w:p w14:paraId="25367091" w14:textId="38B2A300" w:rsidR="009911EB" w:rsidRPr="00B55CB5" w:rsidRDefault="009911EB" w:rsidP="003349CC">
      <w:pPr>
        <w:pStyle w:val="SWAHeading3"/>
        <w:keepNext/>
        <w:keepLines/>
      </w:pPr>
      <w:r w:rsidRPr="00B55CB5">
        <w:lastRenderedPageBreak/>
        <w:t xml:space="preserve">Previous consultations </w:t>
      </w:r>
      <w:bookmarkEnd w:id="69"/>
      <w:bookmarkEnd w:id="70"/>
    </w:p>
    <w:p w14:paraId="348931EF" w14:textId="45FC5110" w:rsidR="009911EB" w:rsidRPr="009911EB" w:rsidRDefault="009911EB" w:rsidP="00163FE6">
      <w:pPr>
        <w:keepNext/>
        <w:keepLines/>
        <w:spacing w:after="200" w:line="240" w:lineRule="atLeast"/>
        <w:contextualSpacing w:val="0"/>
        <w:rPr>
          <w:rFonts w:eastAsia="Times New Roman"/>
        </w:rPr>
      </w:pPr>
      <w:r w:rsidRPr="009911EB">
        <w:rPr>
          <w:rFonts w:eastAsia="Times New Roman"/>
        </w:rPr>
        <w:t xml:space="preserve">Safe Work Australia has undertaken </w:t>
      </w:r>
      <w:r w:rsidR="00B55CB5">
        <w:rPr>
          <w:rFonts w:eastAsia="Times New Roman"/>
        </w:rPr>
        <w:t xml:space="preserve">extensive </w:t>
      </w:r>
      <w:r w:rsidR="00B55CB5" w:rsidRPr="009911EB">
        <w:rPr>
          <w:rFonts w:eastAsia="Times New Roman"/>
        </w:rPr>
        <w:t>consultation</w:t>
      </w:r>
      <w:r w:rsidRPr="009911EB">
        <w:rPr>
          <w:rFonts w:eastAsia="Times New Roman"/>
        </w:rPr>
        <w:t xml:space="preserve"> as part of the WES </w:t>
      </w:r>
      <w:r w:rsidR="00E80D95">
        <w:rPr>
          <w:rFonts w:eastAsia="Times New Roman"/>
        </w:rPr>
        <w:t>r</w:t>
      </w:r>
      <w:r w:rsidR="00E80D95" w:rsidRPr="009911EB">
        <w:rPr>
          <w:rFonts w:eastAsia="Times New Roman"/>
        </w:rPr>
        <w:t>eview</w:t>
      </w:r>
      <w:r w:rsidRPr="009911EB">
        <w:rPr>
          <w:rFonts w:eastAsia="Times New Roman"/>
        </w:rPr>
        <w:t xml:space="preserve">. Feedback from these consultations </w:t>
      </w:r>
      <w:r w:rsidR="008C7B1B">
        <w:rPr>
          <w:rFonts w:eastAsia="Times New Roman"/>
        </w:rPr>
        <w:t xml:space="preserve">has </w:t>
      </w:r>
      <w:r w:rsidRPr="009911EB">
        <w:rPr>
          <w:rFonts w:eastAsia="Times New Roman"/>
        </w:rPr>
        <w:t xml:space="preserve">also informed the development of this Decision RIS. </w:t>
      </w:r>
    </w:p>
    <w:p w14:paraId="615FD2D4" w14:textId="2E972BB1" w:rsidR="009911EB" w:rsidRPr="00991B2D" w:rsidRDefault="009911EB" w:rsidP="00A44828">
      <w:pPr>
        <w:spacing w:after="200" w:line="240" w:lineRule="atLeast"/>
        <w:contextualSpacing w:val="0"/>
        <w:rPr>
          <w:rFonts w:eastAsia="Times New Roman"/>
        </w:rPr>
      </w:pPr>
      <w:r w:rsidRPr="008C7B1B">
        <w:rPr>
          <w:rFonts w:eastAsiaTheme="majorEastAsia" w:cs="Arial"/>
          <w:b/>
          <w:sz w:val="24"/>
          <w:szCs w:val="28"/>
        </w:rPr>
        <w:t>Discussion paper: The role of the chemical exposure standards in the WHS laws</w:t>
      </w:r>
      <w:r w:rsidR="008C7B1B">
        <w:rPr>
          <w:rFonts w:eastAsiaTheme="majorEastAsia" w:cs="Arial"/>
          <w:b/>
          <w:bCs/>
          <w:sz w:val="24"/>
          <w:szCs w:val="28"/>
        </w:rPr>
        <w:t xml:space="preserve">: </w:t>
      </w:r>
      <w:r w:rsidRPr="009911EB">
        <w:rPr>
          <w:rFonts w:eastAsia="Times New Roman"/>
        </w:rPr>
        <w:t xml:space="preserve">In 2015, Safe Work Australia undertook public consultation on a discussion paper titled </w:t>
      </w:r>
      <w:r w:rsidRPr="009911EB">
        <w:rPr>
          <w:rFonts w:eastAsia="Times New Roman"/>
          <w:i/>
          <w:iCs/>
        </w:rPr>
        <w:t>The role of chemical exposure standards in WHS laws</w:t>
      </w:r>
      <w:r w:rsidRPr="009911EB">
        <w:rPr>
          <w:rFonts w:eastAsia="Times New Roman"/>
        </w:rPr>
        <w:t>. It examined the role of exposure standards in the model WHS laws framework and how it could be reviewed and maintained.</w:t>
      </w:r>
    </w:p>
    <w:p w14:paraId="6CE74CA2" w14:textId="2CE73D1D" w:rsidR="009911EB" w:rsidRPr="009911EB" w:rsidRDefault="009911EB" w:rsidP="00A44828">
      <w:pPr>
        <w:keepNext/>
        <w:keepLines/>
        <w:spacing w:after="200" w:line="240" w:lineRule="atLeast"/>
        <w:contextualSpacing w:val="0"/>
        <w:rPr>
          <w:rFonts w:eastAsia="Times New Roman"/>
        </w:rPr>
      </w:pPr>
      <w:r w:rsidRPr="008C7B1B">
        <w:rPr>
          <w:rFonts w:eastAsiaTheme="majorEastAsia" w:cs="Arial"/>
          <w:b/>
          <w:sz w:val="24"/>
          <w:szCs w:val="28"/>
        </w:rPr>
        <w:t>Business survey on workplace exposure standards</w:t>
      </w:r>
      <w:r w:rsidR="008C7B1B">
        <w:rPr>
          <w:rFonts w:eastAsiaTheme="majorEastAsia" w:cs="Arial"/>
          <w:b/>
          <w:bCs/>
          <w:sz w:val="24"/>
          <w:szCs w:val="28"/>
        </w:rPr>
        <w:t xml:space="preserve">: </w:t>
      </w:r>
      <w:r w:rsidRPr="009911EB">
        <w:rPr>
          <w:rFonts w:eastAsia="Times New Roman"/>
        </w:rPr>
        <w:t xml:space="preserve">In 2017, Safe Work Australia </w:t>
      </w:r>
      <w:r w:rsidR="008A210F">
        <w:rPr>
          <w:rFonts w:eastAsia="Times New Roman"/>
        </w:rPr>
        <w:t>engaged</w:t>
      </w:r>
      <w:r w:rsidR="00883BAD">
        <w:rPr>
          <w:rFonts w:eastAsia="Times New Roman"/>
        </w:rPr>
        <w:t xml:space="preserve"> PricewaterhouseCoopers (PwC) </w:t>
      </w:r>
      <w:r w:rsidR="00AB0965">
        <w:rPr>
          <w:rFonts w:eastAsia="Times New Roman"/>
        </w:rPr>
        <w:t xml:space="preserve">to </w:t>
      </w:r>
      <w:r w:rsidRPr="009911EB">
        <w:rPr>
          <w:rFonts w:eastAsia="Times New Roman"/>
        </w:rPr>
        <w:t>undert</w:t>
      </w:r>
      <w:r w:rsidR="00AB0965">
        <w:rPr>
          <w:rFonts w:eastAsia="Times New Roman"/>
        </w:rPr>
        <w:t>ake</w:t>
      </w:r>
      <w:r w:rsidRPr="009911EB">
        <w:rPr>
          <w:rFonts w:eastAsia="Times New Roman"/>
        </w:rPr>
        <w:t xml:space="preserve"> a </w:t>
      </w:r>
      <w:r w:rsidRPr="009911EB">
        <w:rPr>
          <w:rFonts w:eastAsia="Times New Roman"/>
          <w:i/>
          <w:iCs/>
        </w:rPr>
        <w:t>Business survey on Workplace exposure standards</w:t>
      </w:r>
      <w:r w:rsidRPr="009911EB">
        <w:rPr>
          <w:rFonts w:eastAsia="Times New Roman"/>
        </w:rPr>
        <w:t xml:space="preserve"> to investigate the impacts of the WES regulatory framework on businesses. A total of 240 responses were received. </w:t>
      </w:r>
    </w:p>
    <w:p w14:paraId="23EC2BFC" w14:textId="6D7F1D45" w:rsidR="00900BB7" w:rsidRDefault="006C149F" w:rsidP="006C4F10">
      <w:pPr>
        <w:spacing w:after="200" w:line="240" w:lineRule="atLeast"/>
        <w:contextualSpacing w:val="0"/>
        <w:rPr>
          <w:i/>
        </w:rPr>
      </w:pPr>
      <w:r>
        <w:t xml:space="preserve">Results of the survey </w:t>
      </w:r>
      <w:r w:rsidR="00A11B6C">
        <w:t>w</w:t>
      </w:r>
      <w:r w:rsidR="00B541D1">
        <w:t>ere</w:t>
      </w:r>
      <w:r w:rsidR="00A11B6C">
        <w:t xml:space="preserve"> used to </w:t>
      </w:r>
      <w:r w:rsidR="00F457AC">
        <w:t xml:space="preserve">establish baseline </w:t>
      </w:r>
      <w:r w:rsidR="00F1213D">
        <w:t xml:space="preserve">regulatory burden measurements </w:t>
      </w:r>
      <w:r w:rsidR="00BE6D7B">
        <w:t xml:space="preserve">and development of a cost </w:t>
      </w:r>
      <w:r w:rsidR="0002589E">
        <w:t xml:space="preserve">and benefit analysis </w:t>
      </w:r>
      <w:r w:rsidR="00F1213D">
        <w:t xml:space="preserve">for inclusion in the subsequent </w:t>
      </w:r>
      <w:hyperlink r:id="rId38" w:history="1">
        <w:r w:rsidR="00F1213D" w:rsidRPr="00CA6B6E">
          <w:rPr>
            <w:rStyle w:val="Hyperlink"/>
            <w:i/>
            <w:iCs/>
          </w:rPr>
          <w:t xml:space="preserve">Consultation </w:t>
        </w:r>
        <w:r w:rsidR="006D3A99" w:rsidRPr="00CA6B6E">
          <w:rPr>
            <w:rStyle w:val="Hyperlink"/>
            <w:i/>
            <w:iCs/>
          </w:rPr>
          <w:t>Regulation Impact Statement: Workplace exposure standards</w:t>
        </w:r>
      </w:hyperlink>
      <w:r w:rsidR="0002589E">
        <w:rPr>
          <w:i/>
          <w:iCs/>
        </w:rPr>
        <w:t xml:space="preserve">. </w:t>
      </w:r>
      <w:r w:rsidR="007F369C" w:rsidRPr="00CA6B6E">
        <w:rPr>
          <w:i/>
          <w:iCs/>
        </w:rPr>
        <w:t xml:space="preserve"> </w:t>
      </w:r>
    </w:p>
    <w:p w14:paraId="51B25D38" w14:textId="4E893637" w:rsidR="007425A0" w:rsidRDefault="009911EB" w:rsidP="00683EED">
      <w:pPr>
        <w:spacing w:line="120" w:lineRule="atLeast"/>
        <w:contextualSpacing w:val="0"/>
        <w:rPr>
          <w:rFonts w:eastAsia="Times New Roman"/>
        </w:rPr>
      </w:pPr>
      <w:r w:rsidRPr="004523A4">
        <w:rPr>
          <w:rFonts w:eastAsiaTheme="majorEastAsia" w:cs="Arial"/>
          <w:b/>
          <w:sz w:val="24"/>
          <w:szCs w:val="28"/>
        </w:rPr>
        <w:t xml:space="preserve">Consultation and Decision </w:t>
      </w:r>
      <w:r w:rsidR="006C4F10">
        <w:rPr>
          <w:rFonts w:eastAsiaTheme="majorEastAsia" w:cs="Arial"/>
          <w:b/>
          <w:bCs/>
          <w:sz w:val="24"/>
          <w:szCs w:val="28"/>
        </w:rPr>
        <w:t>RIS</w:t>
      </w:r>
      <w:r w:rsidRPr="004523A4">
        <w:rPr>
          <w:rFonts w:eastAsiaTheme="majorEastAsia" w:cs="Arial"/>
          <w:b/>
          <w:sz w:val="24"/>
          <w:szCs w:val="28"/>
        </w:rPr>
        <w:t>: Workplace exposure standards framework under the model Work Health and Safety laws</w:t>
      </w:r>
      <w:r w:rsidR="006C4F10">
        <w:rPr>
          <w:rFonts w:eastAsiaTheme="majorEastAsia" w:cs="Arial"/>
          <w:b/>
          <w:bCs/>
          <w:sz w:val="24"/>
          <w:szCs w:val="28"/>
        </w:rPr>
        <w:t xml:space="preserve">: </w:t>
      </w:r>
      <w:r w:rsidR="00370F79">
        <w:t>Extensive public consultation took place between</w:t>
      </w:r>
      <w:r w:rsidR="00370F79" w:rsidRPr="6987B8A9">
        <w:t xml:space="preserve"> August to September 201</w:t>
      </w:r>
      <w:r w:rsidR="006C46F5">
        <w:t>8</w:t>
      </w:r>
      <w:r w:rsidR="00834900">
        <w:t xml:space="preserve"> </w:t>
      </w:r>
      <w:r w:rsidR="00FB023C">
        <w:t xml:space="preserve">to inform the </w:t>
      </w:r>
      <w:r w:rsidR="00773F0C">
        <w:t xml:space="preserve">decision </w:t>
      </w:r>
      <w:r w:rsidR="00FB023C">
        <w:t>regulatory impact</w:t>
      </w:r>
      <w:r w:rsidR="00FC4EE1">
        <w:t xml:space="preserve"> statement</w:t>
      </w:r>
      <w:r w:rsidR="00FB023C">
        <w:t xml:space="preserve">. </w:t>
      </w:r>
      <w:r w:rsidR="00026FE6">
        <w:rPr>
          <w:rFonts w:eastAsia="Times New Roman"/>
        </w:rPr>
        <w:t>Feedback from s</w:t>
      </w:r>
      <w:r w:rsidR="00543EF0">
        <w:rPr>
          <w:rFonts w:eastAsia="Times New Roman"/>
        </w:rPr>
        <w:t>takeholders</w:t>
      </w:r>
      <w:r w:rsidR="00CD0412">
        <w:rPr>
          <w:rFonts w:eastAsia="Times New Roman"/>
        </w:rPr>
        <w:t xml:space="preserve"> included</w:t>
      </w:r>
      <w:r w:rsidR="007425A0">
        <w:rPr>
          <w:rFonts w:eastAsia="Times New Roman"/>
        </w:rPr>
        <w:t>:</w:t>
      </w:r>
    </w:p>
    <w:p w14:paraId="65274DAC" w14:textId="42B7B9BC" w:rsidR="003D37B6" w:rsidRDefault="003D37B6" w:rsidP="00846F81">
      <w:pPr>
        <w:pStyle w:val="ListParagraph"/>
        <w:numPr>
          <w:ilvl w:val="0"/>
          <w:numId w:val="66"/>
        </w:numPr>
        <w:spacing w:line="120" w:lineRule="atLeast"/>
        <w:contextualSpacing w:val="0"/>
        <w:rPr>
          <w:rFonts w:eastAsia="Times New Roman"/>
        </w:rPr>
      </w:pPr>
      <w:r>
        <w:rPr>
          <w:rFonts w:eastAsia="Times New Roman"/>
        </w:rPr>
        <w:t>strong support</w:t>
      </w:r>
      <w:r w:rsidR="00CD0412">
        <w:rPr>
          <w:rFonts w:eastAsia="Times New Roman"/>
        </w:rPr>
        <w:t xml:space="preserve"> for</w:t>
      </w:r>
      <w:r>
        <w:rPr>
          <w:rFonts w:eastAsia="Times New Roman"/>
        </w:rPr>
        <w:t xml:space="preserve"> maintaining the mandatory status of the WES, expressing concerns that if the WES is made advisory, it would lessen the significance of the WES and usage within industry,</w:t>
      </w:r>
    </w:p>
    <w:p w14:paraId="1631925C" w14:textId="013E16BD" w:rsidR="004755A2" w:rsidRDefault="007425A0" w:rsidP="00846F81">
      <w:pPr>
        <w:pStyle w:val="ListParagraph"/>
        <w:numPr>
          <w:ilvl w:val="0"/>
          <w:numId w:val="66"/>
        </w:numPr>
        <w:spacing w:line="120" w:lineRule="atLeast"/>
        <w:contextualSpacing w:val="0"/>
        <w:rPr>
          <w:rFonts w:eastAsia="Times New Roman"/>
        </w:rPr>
      </w:pPr>
      <w:r w:rsidRPr="005102DF">
        <w:rPr>
          <w:rFonts w:eastAsia="Times New Roman"/>
        </w:rPr>
        <w:t>support</w:t>
      </w:r>
      <w:r w:rsidR="00CD0412">
        <w:rPr>
          <w:rFonts w:eastAsia="Times New Roman"/>
        </w:rPr>
        <w:t xml:space="preserve"> for</w:t>
      </w:r>
      <w:r w:rsidRPr="005102DF">
        <w:rPr>
          <w:rFonts w:eastAsia="Times New Roman"/>
        </w:rPr>
        <w:t xml:space="preserve"> the streamlined methodology </w:t>
      </w:r>
      <w:r w:rsidR="00DF6DB0" w:rsidRPr="00CA6B6E">
        <w:rPr>
          <w:rFonts w:eastAsia="Times New Roman"/>
        </w:rPr>
        <w:t xml:space="preserve">to derive health-based </w:t>
      </w:r>
      <w:r w:rsidR="00DF6DB0">
        <w:rPr>
          <w:rFonts w:eastAsia="Times New Roman"/>
        </w:rPr>
        <w:t xml:space="preserve">WELs </w:t>
      </w:r>
      <w:r w:rsidR="00B477AE" w:rsidRPr="00CA6B6E">
        <w:rPr>
          <w:rFonts w:eastAsia="Times New Roman"/>
        </w:rPr>
        <w:t>recognis</w:t>
      </w:r>
      <w:r>
        <w:rPr>
          <w:rFonts w:eastAsia="Times New Roman"/>
        </w:rPr>
        <w:t xml:space="preserve">ing </w:t>
      </w:r>
      <w:r w:rsidR="00A278CD">
        <w:rPr>
          <w:rFonts w:eastAsia="Times New Roman"/>
        </w:rPr>
        <w:t>there were</w:t>
      </w:r>
      <w:r w:rsidR="00B477AE" w:rsidRPr="00CA6B6E">
        <w:rPr>
          <w:rFonts w:eastAsia="Times New Roman"/>
        </w:rPr>
        <w:t xml:space="preserve"> long-term benefits for Australian workers, </w:t>
      </w:r>
      <w:r w:rsidR="00440EC1">
        <w:rPr>
          <w:rFonts w:eastAsia="Times New Roman"/>
        </w:rPr>
        <w:t>PCBUs</w:t>
      </w:r>
      <w:r w:rsidR="00B477AE" w:rsidRPr="00CA6B6E">
        <w:rPr>
          <w:rFonts w:eastAsia="Times New Roman"/>
        </w:rPr>
        <w:t xml:space="preserve"> and the community</w:t>
      </w:r>
      <w:r w:rsidR="00FA662B">
        <w:rPr>
          <w:rFonts w:eastAsia="Times New Roman"/>
        </w:rPr>
        <w:t>,</w:t>
      </w:r>
    </w:p>
    <w:p w14:paraId="0DDD4F85" w14:textId="427ECF78" w:rsidR="00650E0B" w:rsidRDefault="00674370" w:rsidP="00846F81">
      <w:pPr>
        <w:pStyle w:val="ListParagraph"/>
        <w:numPr>
          <w:ilvl w:val="1"/>
          <w:numId w:val="67"/>
        </w:numPr>
        <w:spacing w:line="120" w:lineRule="atLeast"/>
        <w:ind w:left="714" w:hanging="357"/>
        <w:contextualSpacing w:val="0"/>
        <w:rPr>
          <w:rFonts w:eastAsia="Times New Roman"/>
        </w:rPr>
      </w:pPr>
      <w:r>
        <w:rPr>
          <w:rFonts w:eastAsia="Times New Roman"/>
        </w:rPr>
        <w:t>concern about</w:t>
      </w:r>
      <w:r w:rsidR="00E40A6A" w:rsidRPr="006D61C8">
        <w:rPr>
          <w:rFonts w:eastAsia="Times New Roman"/>
        </w:rPr>
        <w:t xml:space="preserve"> </w:t>
      </w:r>
      <w:r w:rsidR="00FA74EA" w:rsidRPr="006D61C8">
        <w:rPr>
          <w:rFonts w:eastAsia="Times New Roman"/>
        </w:rPr>
        <w:t xml:space="preserve">likely costs </w:t>
      </w:r>
      <w:r w:rsidR="006C4F10">
        <w:rPr>
          <w:rFonts w:eastAsia="Times New Roman"/>
        </w:rPr>
        <w:t xml:space="preserve">that would be </w:t>
      </w:r>
      <w:r w:rsidR="00FA74EA" w:rsidRPr="006D61C8">
        <w:rPr>
          <w:rFonts w:eastAsia="Times New Roman"/>
        </w:rPr>
        <w:t>incurred as a result of the updating the WES, includ</w:t>
      </w:r>
      <w:r w:rsidR="006C4F10">
        <w:rPr>
          <w:rFonts w:eastAsia="Times New Roman"/>
        </w:rPr>
        <w:t>ing</w:t>
      </w:r>
      <w:r w:rsidR="00FA74EA" w:rsidRPr="006D61C8">
        <w:rPr>
          <w:rFonts w:eastAsia="Times New Roman"/>
        </w:rPr>
        <w:t xml:space="preserve"> </w:t>
      </w:r>
      <w:r w:rsidR="00D2459F" w:rsidRPr="006D61C8">
        <w:rPr>
          <w:rFonts w:eastAsia="Times New Roman"/>
        </w:rPr>
        <w:t>purchasing and implementing new controls, training to understand the changes, administrative updates, increased monitoring, and updates to safety data sheets</w:t>
      </w:r>
      <w:r w:rsidR="008D7318">
        <w:rPr>
          <w:rFonts w:eastAsia="Times New Roman"/>
        </w:rPr>
        <w:t>, and</w:t>
      </w:r>
    </w:p>
    <w:p w14:paraId="4C7B3421" w14:textId="043EADAE" w:rsidR="00DB74A3" w:rsidRDefault="0076673E" w:rsidP="00846F81">
      <w:pPr>
        <w:pStyle w:val="ListParagraph"/>
        <w:numPr>
          <w:ilvl w:val="1"/>
          <w:numId w:val="67"/>
        </w:numPr>
        <w:spacing w:line="120" w:lineRule="atLeast"/>
        <w:ind w:left="714" w:hanging="357"/>
        <w:contextualSpacing w:val="0"/>
        <w:rPr>
          <w:rFonts w:eastAsia="Times New Roman"/>
        </w:rPr>
      </w:pPr>
      <w:r w:rsidRPr="00DB0B87">
        <w:rPr>
          <w:rFonts w:eastAsia="Times New Roman"/>
        </w:rPr>
        <w:t>request for</w:t>
      </w:r>
      <w:r w:rsidR="00290ED3" w:rsidRPr="00DB0B87">
        <w:rPr>
          <w:rFonts w:eastAsia="Times New Roman"/>
        </w:rPr>
        <w:t xml:space="preserve"> </w:t>
      </w:r>
      <w:r w:rsidR="00E77445" w:rsidRPr="00DB0B87">
        <w:rPr>
          <w:rFonts w:eastAsia="Times New Roman"/>
        </w:rPr>
        <w:t xml:space="preserve">additional education, guidance and supporting material </w:t>
      </w:r>
      <w:r w:rsidRPr="00DB0B87">
        <w:rPr>
          <w:rFonts w:eastAsia="Times New Roman"/>
        </w:rPr>
        <w:t>regardless of which option is implemented</w:t>
      </w:r>
      <w:r w:rsidR="00966443">
        <w:rPr>
          <w:rFonts w:eastAsia="Times New Roman"/>
        </w:rPr>
        <w:t>.</w:t>
      </w:r>
    </w:p>
    <w:p w14:paraId="49D6CED7" w14:textId="58FBBD8C" w:rsidR="009911EB" w:rsidRPr="00650E0B" w:rsidRDefault="310BD91C" w:rsidP="00650E0B">
      <w:pPr>
        <w:spacing w:after="200" w:line="240" w:lineRule="atLeast"/>
        <w:contextualSpacing w:val="0"/>
      </w:pPr>
      <w:r w:rsidRPr="00650E0B">
        <w:rPr>
          <w:rFonts w:eastAsiaTheme="majorEastAsia" w:cs="Arial"/>
          <w:b/>
          <w:bCs/>
          <w:sz w:val="24"/>
        </w:rPr>
        <w:t>Review of the workplace exposure standards</w:t>
      </w:r>
      <w:r w:rsidR="1AA86B2F" w:rsidRPr="00650E0B">
        <w:rPr>
          <w:rFonts w:eastAsiaTheme="majorEastAsia" w:cs="Arial"/>
          <w:b/>
          <w:bCs/>
          <w:sz w:val="24"/>
        </w:rPr>
        <w:t xml:space="preserve">: </w:t>
      </w:r>
      <w:r w:rsidRPr="00650E0B">
        <w:t xml:space="preserve">Using the agreed WES review methodology, independent experts were engaged to develop evaluation reports for over 600 chemicals. Extensive public consultation occurred between 2019 to 2021 on the independent experts’ evaluation reports. </w:t>
      </w:r>
      <w:r w:rsidR="37560922" w:rsidRPr="00650E0B">
        <w:t>F</w:t>
      </w:r>
      <w:r w:rsidRPr="00650E0B">
        <w:t>eedback was sought</w:t>
      </w:r>
      <w:r w:rsidR="214F1E3A" w:rsidRPr="00650E0B">
        <w:t xml:space="preserve"> </w:t>
      </w:r>
      <w:r w:rsidR="5539AD9B" w:rsidRPr="00650E0B">
        <w:t>on</w:t>
      </w:r>
      <w:r w:rsidR="214F1E3A" w:rsidRPr="00650E0B">
        <w:t xml:space="preserve"> </w:t>
      </w:r>
      <w:r w:rsidR="37560922" w:rsidRPr="00650E0B">
        <w:t xml:space="preserve">the recommendations, </w:t>
      </w:r>
      <w:r w:rsidRPr="00650E0B">
        <w:t xml:space="preserve">the toxicological information and data the recommended WES values were based on, and the measurement and analysis information provided in each evaluation </w:t>
      </w:r>
      <w:r w:rsidR="009911EB" w:rsidRPr="00650E0B">
        <w:t>report.</w:t>
      </w:r>
      <w:r w:rsidRPr="00650E0B">
        <w:t xml:space="preserve"> </w:t>
      </w:r>
      <w:r w:rsidR="5DD6657F" w:rsidRPr="00650E0B">
        <w:t>More than 1,100 submissions</w:t>
      </w:r>
      <w:r w:rsidR="008770A8" w:rsidRPr="00650E0B">
        <w:t xml:space="preserve"> were received</w:t>
      </w:r>
      <w:r w:rsidR="1684C036" w:rsidRPr="00650E0B">
        <w:t xml:space="preserve">. </w:t>
      </w:r>
      <w:r w:rsidRPr="00650E0B">
        <w:t>The evaluation report for each chemical and the feedback received on each WES was then considered by Members prior to making recommendations to WHS ministers about any changes to WES.</w:t>
      </w:r>
    </w:p>
    <w:p w14:paraId="4E01FEDD" w14:textId="154297F5" w:rsidR="00143F51" w:rsidRDefault="009911EB" w:rsidP="009A1F3F">
      <w:pPr>
        <w:keepNext/>
        <w:spacing w:after="200" w:line="240" w:lineRule="atLeast"/>
        <w:contextualSpacing w:val="0"/>
        <w:rPr>
          <w:rFonts w:eastAsia="Times New Roman"/>
        </w:rPr>
      </w:pPr>
      <w:r w:rsidRPr="00211B48">
        <w:rPr>
          <w:rFonts w:eastAsiaTheme="majorEastAsia" w:cs="Arial"/>
          <w:b/>
          <w:bCs/>
          <w:sz w:val="24"/>
          <w:szCs w:val="28"/>
        </w:rPr>
        <w:t>Targeted consultation facilitated by Safe Work Australia Members for specific chemicals</w:t>
      </w:r>
      <w:r w:rsidR="00812D95">
        <w:rPr>
          <w:rFonts w:eastAsiaTheme="majorEastAsia" w:cs="Arial"/>
          <w:b/>
          <w:bCs/>
          <w:sz w:val="24"/>
          <w:szCs w:val="28"/>
        </w:rPr>
        <w:t xml:space="preserve">: </w:t>
      </w:r>
      <w:r w:rsidRPr="009911EB">
        <w:t>In 2021 and 2022, Members sought additional information from stakeholders on the impacts of the proposed changes to the WES</w:t>
      </w:r>
      <w:r w:rsidR="00143F51">
        <w:t xml:space="preserve"> for 19 chemicals, </w:t>
      </w:r>
      <w:r w:rsidR="00427387">
        <w:t xml:space="preserve">including for </w:t>
      </w:r>
      <w:r w:rsidR="00566B0F">
        <w:t xml:space="preserve">8 of the 9 </w:t>
      </w:r>
      <w:r w:rsidRPr="009911EB">
        <w:t>chemicals</w:t>
      </w:r>
      <w:r w:rsidR="00CA53E8">
        <w:t xml:space="preserve"> </w:t>
      </w:r>
      <w:r w:rsidR="009A1F3F">
        <w:t>considered in</w:t>
      </w:r>
      <w:r w:rsidR="00F12DF5" w:rsidRPr="00F12DF5">
        <w:t xml:space="preserve"> this Decision </w:t>
      </w:r>
      <w:r w:rsidR="00566B0F" w:rsidDel="00F12DF5">
        <w:t>RIS</w:t>
      </w:r>
      <w:r w:rsidR="00143F51">
        <w:t xml:space="preserve"> (excluding RCS). </w:t>
      </w:r>
      <w:r w:rsidR="00143F51" w:rsidRPr="009911EB">
        <w:rPr>
          <w:rFonts w:eastAsia="Times New Roman"/>
        </w:rPr>
        <w:t>A</w:t>
      </w:r>
      <w:r w:rsidR="00143F51">
        <w:rPr>
          <w:rFonts w:eastAsia="Times New Roman"/>
        </w:rPr>
        <w:t>s part of this, a</w:t>
      </w:r>
      <w:r w:rsidR="00143F51" w:rsidRPr="009911EB">
        <w:rPr>
          <w:rFonts w:eastAsia="Times New Roman"/>
        </w:rPr>
        <w:t>dditional information on the potential impacts</w:t>
      </w:r>
      <w:r w:rsidR="00143F51">
        <w:rPr>
          <w:rFonts w:eastAsia="Times New Roman"/>
        </w:rPr>
        <w:t xml:space="preserve"> of</w:t>
      </w:r>
      <w:r w:rsidR="00143F51" w:rsidRPr="009911EB">
        <w:rPr>
          <w:rFonts w:eastAsia="Times New Roman"/>
        </w:rPr>
        <w:t xml:space="preserve"> </w:t>
      </w:r>
      <w:r w:rsidR="00143F51">
        <w:rPr>
          <w:rFonts w:eastAsia="Times New Roman"/>
        </w:rPr>
        <w:t xml:space="preserve">implementation of the proposed WELs and costs to industry </w:t>
      </w:r>
      <w:r w:rsidR="00143F51" w:rsidRPr="009911EB">
        <w:rPr>
          <w:rFonts w:eastAsia="Times New Roman"/>
        </w:rPr>
        <w:t xml:space="preserve">was received from WHS regulators and industry groups. </w:t>
      </w:r>
    </w:p>
    <w:p w14:paraId="4E0C2201" w14:textId="77777777" w:rsidR="009911EB" w:rsidRPr="009911EB" w:rsidRDefault="009911EB" w:rsidP="009911EB">
      <w:pPr>
        <w:keepNext/>
        <w:spacing w:after="200" w:line="240" w:lineRule="atLeast"/>
        <w:contextualSpacing w:val="0"/>
        <w:rPr>
          <w:rFonts w:eastAsia="Times New Roman"/>
          <w:lang w:eastAsia="en-AU"/>
        </w:rPr>
      </w:pPr>
    </w:p>
    <w:p w14:paraId="2B146034" w14:textId="1332FC52" w:rsidR="009145BC" w:rsidRDefault="009145BC" w:rsidP="00EE0A46">
      <w:pPr>
        <w:pStyle w:val="SWAHeading1"/>
      </w:pPr>
      <w:bookmarkStart w:id="71" w:name="_Toc219216877"/>
      <w:bookmarkStart w:id="72" w:name="_Toc194510004"/>
      <w:r w:rsidRPr="009145BC">
        <w:lastRenderedPageBreak/>
        <w:t>What is the best option from those considered and how will it be implemented?</w:t>
      </w:r>
      <w:bookmarkEnd w:id="71"/>
    </w:p>
    <w:p w14:paraId="771CC729" w14:textId="238B24E5" w:rsidR="00457DE0" w:rsidRPr="002B5909" w:rsidRDefault="002A3376" w:rsidP="00EE0A46">
      <w:pPr>
        <w:pStyle w:val="SWAHeading2"/>
        <w:ind w:left="709"/>
      </w:pPr>
      <w:bookmarkStart w:id="73" w:name="_Toc219216878"/>
      <w:r>
        <w:t>Recommendation</w:t>
      </w:r>
      <w:bookmarkEnd w:id="73"/>
    </w:p>
    <w:p w14:paraId="51ABCEBA" w14:textId="428E536E" w:rsidR="0036584B" w:rsidRPr="00665A0A" w:rsidRDefault="0036584B" w:rsidP="00665A0A">
      <w:pPr>
        <w:keepNext/>
        <w:spacing w:after="200" w:line="240" w:lineRule="atLeast"/>
        <w:contextualSpacing w:val="0"/>
        <w:rPr>
          <w:rFonts w:eastAsia="Times New Roman"/>
        </w:rPr>
      </w:pPr>
      <w:r w:rsidRPr="00665A0A">
        <w:rPr>
          <w:rFonts w:eastAsia="Times New Roman"/>
        </w:rPr>
        <w:t>On the basis of this D</w:t>
      </w:r>
      <w:r w:rsidR="008A70A8">
        <w:rPr>
          <w:rFonts w:eastAsia="Times New Roman"/>
        </w:rPr>
        <w:t xml:space="preserve">ecision </w:t>
      </w:r>
      <w:r w:rsidRPr="00665A0A">
        <w:rPr>
          <w:rFonts w:eastAsia="Times New Roman"/>
        </w:rPr>
        <w:t xml:space="preserve">RIS and stakeholder feedback, it is recommended that WHS ministers agree to </w:t>
      </w:r>
      <w:r w:rsidR="00AE214D" w:rsidRPr="00665A0A">
        <w:rPr>
          <w:rFonts w:eastAsia="Times New Roman"/>
        </w:rPr>
        <w:t>Option 2, to implement health-based limits for each of the chemicals.</w:t>
      </w:r>
    </w:p>
    <w:p w14:paraId="55CA2A15" w14:textId="0A1430A4" w:rsidR="00EA1040" w:rsidRPr="00665A0A" w:rsidRDefault="24C5B26D" w:rsidP="009A1F3F">
      <w:pPr>
        <w:keepNext/>
        <w:spacing w:after="200" w:line="240" w:lineRule="atLeast"/>
        <w:contextualSpacing w:val="0"/>
        <w:rPr>
          <w:rFonts w:eastAsia="Times New Roman"/>
        </w:rPr>
      </w:pPr>
      <w:r w:rsidRPr="09B65654">
        <w:rPr>
          <w:rFonts w:eastAsia="Times New Roman"/>
        </w:rPr>
        <w:t xml:space="preserve">Despite the large gross quantified cost associated with the recommended option, </w:t>
      </w:r>
      <w:r w:rsidR="354E4C26" w:rsidRPr="27F845C1">
        <w:rPr>
          <w:rFonts w:eastAsia="Times New Roman"/>
        </w:rPr>
        <w:t xml:space="preserve">Option 2 is expected to provide the greatest benefit by ensuring the </w:t>
      </w:r>
      <w:r w:rsidR="0E7AF62D" w:rsidRPr="27F845C1">
        <w:rPr>
          <w:rFonts w:eastAsia="Times New Roman"/>
        </w:rPr>
        <w:t>WES for the 9 chemicals are</w:t>
      </w:r>
      <w:r w:rsidR="354E4C26" w:rsidRPr="27F845C1">
        <w:rPr>
          <w:rFonts w:eastAsia="Times New Roman"/>
        </w:rPr>
        <w:t xml:space="preserve"> up to date with the most relevant scientific evidence</w:t>
      </w:r>
      <w:r w:rsidR="00006AC1" w:rsidRPr="00006AC1">
        <w:rPr>
          <w:rFonts w:eastAsia="Times New Roman"/>
        </w:rPr>
        <w:t xml:space="preserve"> </w:t>
      </w:r>
      <w:r w:rsidR="00006AC1" w:rsidRPr="11D701E2">
        <w:rPr>
          <w:rFonts w:eastAsia="Times New Roman"/>
        </w:rPr>
        <w:t>consider</w:t>
      </w:r>
      <w:r w:rsidR="00006AC1" w:rsidRPr="00006AC1">
        <w:rPr>
          <w:rFonts w:eastAsia="Times New Roman"/>
        </w:rPr>
        <w:t xml:space="preserve"> the non-quantifiable and qualitative benefits substantiated by evidence throughout this Decision RIS and </w:t>
      </w:r>
      <w:r w:rsidR="6F3EDD48" w:rsidRPr="11D701E2">
        <w:rPr>
          <w:rFonts w:eastAsia="Times New Roman"/>
        </w:rPr>
        <w:t>the</w:t>
      </w:r>
      <w:r w:rsidR="00006AC1" w:rsidRPr="11D701E2">
        <w:rPr>
          <w:rFonts w:eastAsia="Times New Roman"/>
        </w:rPr>
        <w:t xml:space="preserve"> </w:t>
      </w:r>
      <w:r w:rsidR="00006AC1" w:rsidRPr="00006AC1">
        <w:rPr>
          <w:rFonts w:eastAsia="Times New Roman"/>
        </w:rPr>
        <w:t>policy objectives of the model WHS Act</w:t>
      </w:r>
      <w:r w:rsidR="354E4C26" w:rsidRPr="27F845C1">
        <w:rPr>
          <w:rFonts w:eastAsia="Times New Roman"/>
        </w:rPr>
        <w:t xml:space="preserve">. For workers, </w:t>
      </w:r>
      <w:r w:rsidR="1460DEE4" w:rsidRPr="65A94E99">
        <w:rPr>
          <w:rFonts w:eastAsia="Times New Roman"/>
        </w:rPr>
        <w:t>O</w:t>
      </w:r>
      <w:r w:rsidR="354E4C26" w:rsidRPr="65A94E99">
        <w:rPr>
          <w:rFonts w:eastAsia="Times New Roman"/>
        </w:rPr>
        <w:t>ption</w:t>
      </w:r>
      <w:r w:rsidR="354E4C26" w:rsidRPr="27F845C1">
        <w:rPr>
          <w:rFonts w:eastAsia="Times New Roman"/>
        </w:rPr>
        <w:t xml:space="preserve"> 2 is expected to provide improved protection from exposure to </w:t>
      </w:r>
      <w:r w:rsidR="3B37C83C" w:rsidRPr="27F845C1">
        <w:rPr>
          <w:rFonts w:eastAsia="Times New Roman"/>
        </w:rPr>
        <w:t xml:space="preserve">the </w:t>
      </w:r>
      <w:r w:rsidR="354E4C26" w:rsidRPr="27F845C1">
        <w:rPr>
          <w:rFonts w:eastAsia="Times New Roman"/>
        </w:rPr>
        <w:t xml:space="preserve">airborne </w:t>
      </w:r>
      <w:r w:rsidR="3B37C83C" w:rsidRPr="27F845C1">
        <w:rPr>
          <w:rFonts w:eastAsia="Times New Roman"/>
        </w:rPr>
        <w:t>contaminants</w:t>
      </w:r>
      <w:r w:rsidR="354E4C26" w:rsidRPr="27F845C1">
        <w:rPr>
          <w:rFonts w:eastAsia="Times New Roman"/>
        </w:rPr>
        <w:t xml:space="preserve"> at the workplace. This will help improve health outcomes</w:t>
      </w:r>
      <w:r w:rsidR="676FDA17" w:rsidRPr="27F845C1">
        <w:rPr>
          <w:rFonts w:eastAsia="Times New Roman"/>
        </w:rPr>
        <w:t>, increase productivity</w:t>
      </w:r>
      <w:r w:rsidR="354E4C26" w:rsidRPr="27F845C1">
        <w:rPr>
          <w:rFonts w:eastAsia="Times New Roman"/>
        </w:rPr>
        <w:t xml:space="preserve"> and reduce the burden of disease in Australia. </w:t>
      </w:r>
    </w:p>
    <w:p w14:paraId="46122843" w14:textId="65904BA1" w:rsidR="00AE214D" w:rsidRPr="00665A0A" w:rsidRDefault="00A92DE6" w:rsidP="009A1F3F">
      <w:pPr>
        <w:keepNext/>
        <w:spacing w:after="200" w:line="240" w:lineRule="atLeast"/>
        <w:contextualSpacing w:val="0"/>
        <w:rPr>
          <w:rFonts w:eastAsia="Times New Roman"/>
        </w:rPr>
      </w:pPr>
      <w:r w:rsidRPr="00665A0A">
        <w:rPr>
          <w:rFonts w:eastAsia="Times New Roman"/>
        </w:rPr>
        <w:t xml:space="preserve">All options were considered in the context of consultation feedback, impact analysis, </w:t>
      </w:r>
      <w:r w:rsidR="00587233" w:rsidRPr="00665A0A">
        <w:rPr>
          <w:rFonts w:eastAsia="Times New Roman"/>
        </w:rPr>
        <w:t>ability to meet the object of</w:t>
      </w:r>
      <w:r w:rsidR="000B1986" w:rsidRPr="00665A0A">
        <w:rPr>
          <w:rFonts w:eastAsia="Times New Roman"/>
        </w:rPr>
        <w:t xml:space="preserve"> the model WHS </w:t>
      </w:r>
      <w:r w:rsidR="00C35DF3">
        <w:rPr>
          <w:rFonts w:eastAsia="Times New Roman"/>
        </w:rPr>
        <w:t>Act</w:t>
      </w:r>
      <w:r w:rsidR="003424DD">
        <w:rPr>
          <w:rFonts w:eastAsia="Times New Roman"/>
        </w:rPr>
        <w:t xml:space="preserve"> </w:t>
      </w:r>
      <w:r w:rsidRPr="00665A0A">
        <w:rPr>
          <w:rFonts w:eastAsia="Times New Roman"/>
        </w:rPr>
        <w:t xml:space="preserve">and </w:t>
      </w:r>
      <w:r w:rsidR="00F578D4" w:rsidRPr="00665A0A">
        <w:rPr>
          <w:rFonts w:eastAsia="Times New Roman"/>
        </w:rPr>
        <w:t>ability to meet the objective of protecting workers f</w:t>
      </w:r>
      <w:r w:rsidR="006D6E6A">
        <w:rPr>
          <w:rFonts w:eastAsia="Times New Roman"/>
        </w:rPr>
        <w:t>rom</w:t>
      </w:r>
      <w:r w:rsidR="00F578D4" w:rsidRPr="00665A0A">
        <w:rPr>
          <w:rFonts w:eastAsia="Times New Roman"/>
        </w:rPr>
        <w:t xml:space="preserve"> adverse health impacts from exposure to hazardous chemicals.  </w:t>
      </w:r>
    </w:p>
    <w:p w14:paraId="5C9F1A24" w14:textId="1DB67731" w:rsidR="0056072C" w:rsidRDefault="096C5596" w:rsidP="27F845C1">
      <w:pPr>
        <w:keepNext/>
        <w:spacing w:after="200" w:line="240" w:lineRule="atLeast"/>
        <w:contextualSpacing w:val="0"/>
        <w:rPr>
          <w:rFonts w:eastAsia="Times New Roman"/>
        </w:rPr>
      </w:pPr>
      <w:r w:rsidRPr="27F845C1">
        <w:rPr>
          <w:rFonts w:eastAsia="Times New Roman"/>
        </w:rPr>
        <w:t>While stakeholder feedback on the</w:t>
      </w:r>
      <w:r w:rsidR="58DFF127" w:rsidRPr="27F845C1">
        <w:rPr>
          <w:rFonts w:eastAsia="Times New Roman"/>
        </w:rPr>
        <w:t xml:space="preserve"> proposed options </w:t>
      </w:r>
      <w:r w:rsidRPr="27F845C1">
        <w:rPr>
          <w:rFonts w:eastAsia="Times New Roman"/>
        </w:rPr>
        <w:t xml:space="preserve">was varied, there was strong recognition of the need </w:t>
      </w:r>
      <w:r w:rsidR="7D86ABB9" w:rsidRPr="27F845C1">
        <w:rPr>
          <w:rFonts w:eastAsia="Times New Roman"/>
        </w:rPr>
        <w:t>to ensu</w:t>
      </w:r>
      <w:r w:rsidR="320F588A" w:rsidRPr="27F845C1">
        <w:rPr>
          <w:rFonts w:eastAsia="Times New Roman"/>
        </w:rPr>
        <w:t>r</w:t>
      </w:r>
      <w:r w:rsidR="7D86ABB9" w:rsidRPr="27F845C1">
        <w:rPr>
          <w:rFonts w:eastAsia="Times New Roman"/>
        </w:rPr>
        <w:t xml:space="preserve">e </w:t>
      </w:r>
      <w:r w:rsidR="00B04386" w:rsidRPr="27F845C1">
        <w:rPr>
          <w:rFonts w:eastAsia="Times New Roman"/>
        </w:rPr>
        <w:t xml:space="preserve">exposure limits </w:t>
      </w:r>
      <w:r w:rsidR="009317AF">
        <w:rPr>
          <w:rFonts w:eastAsia="Times New Roman"/>
        </w:rPr>
        <w:t>are</w:t>
      </w:r>
      <w:r w:rsidR="009317AF" w:rsidRPr="27F845C1">
        <w:rPr>
          <w:rFonts w:eastAsia="Times New Roman"/>
        </w:rPr>
        <w:t xml:space="preserve"> </w:t>
      </w:r>
      <w:r w:rsidR="7C31829E" w:rsidRPr="27F845C1">
        <w:rPr>
          <w:rFonts w:eastAsia="Times New Roman"/>
        </w:rPr>
        <w:t>set</w:t>
      </w:r>
      <w:r w:rsidR="00B04386" w:rsidRPr="27F845C1">
        <w:rPr>
          <w:rFonts w:eastAsia="Times New Roman"/>
        </w:rPr>
        <w:t xml:space="preserve"> at a level to protect workers</w:t>
      </w:r>
      <w:r w:rsidR="003B3403">
        <w:rPr>
          <w:rFonts w:eastAsia="Times New Roman"/>
        </w:rPr>
        <w:t>. S</w:t>
      </w:r>
      <w:r w:rsidR="24E36393" w:rsidRPr="27F845C1">
        <w:rPr>
          <w:rFonts w:eastAsia="Times New Roman"/>
        </w:rPr>
        <w:t>ome stakeholder</w:t>
      </w:r>
      <w:r w:rsidR="0514A4C0" w:rsidRPr="27F845C1">
        <w:rPr>
          <w:rFonts w:eastAsia="Times New Roman"/>
        </w:rPr>
        <w:t>s</w:t>
      </w:r>
      <w:r w:rsidR="24E36393" w:rsidRPr="27F845C1">
        <w:rPr>
          <w:rFonts w:eastAsia="Times New Roman"/>
        </w:rPr>
        <w:t xml:space="preserve"> </w:t>
      </w:r>
      <w:r w:rsidR="402B3BF8" w:rsidRPr="27F845C1">
        <w:rPr>
          <w:rFonts w:eastAsia="Times New Roman"/>
        </w:rPr>
        <w:t>suggested alternative WELs</w:t>
      </w:r>
      <w:r w:rsidR="7C31829E" w:rsidRPr="27F845C1">
        <w:rPr>
          <w:rFonts w:eastAsia="Times New Roman"/>
        </w:rPr>
        <w:t xml:space="preserve"> that were lower than what is currently</w:t>
      </w:r>
      <w:r w:rsidR="1890A73E" w:rsidRPr="27F845C1">
        <w:rPr>
          <w:rFonts w:eastAsia="Times New Roman"/>
        </w:rPr>
        <w:t xml:space="preserve"> in effect</w:t>
      </w:r>
      <w:r w:rsidR="320F588A" w:rsidRPr="27F845C1">
        <w:rPr>
          <w:rFonts w:eastAsia="Times New Roman"/>
        </w:rPr>
        <w:t xml:space="preserve">. </w:t>
      </w:r>
      <w:r w:rsidR="2F64EC69" w:rsidRPr="27F845C1">
        <w:rPr>
          <w:rFonts w:eastAsia="Times New Roman"/>
        </w:rPr>
        <w:t>Noting that new evidence to support the basis for these suggestions was not provided</w:t>
      </w:r>
      <w:r w:rsidR="00F5ED19" w:rsidRPr="27F845C1">
        <w:rPr>
          <w:rFonts w:eastAsia="Times New Roman"/>
        </w:rPr>
        <w:t xml:space="preserve">, </w:t>
      </w:r>
      <w:r w:rsidR="463DF287" w:rsidRPr="27F845C1">
        <w:rPr>
          <w:rFonts w:eastAsia="Times New Roman"/>
        </w:rPr>
        <w:t xml:space="preserve">Option 2 represents the greatest protections to workers based on current evidence. </w:t>
      </w:r>
    </w:p>
    <w:p w14:paraId="11DBBB28" w14:textId="1E11F8C6" w:rsidR="0056072C" w:rsidRDefault="0056072C" w:rsidP="00171AD6">
      <w:pPr>
        <w:keepNext/>
        <w:spacing w:after="200" w:line="240" w:lineRule="atLeast"/>
        <w:contextualSpacing w:val="0"/>
        <w:rPr>
          <w:rFonts w:eastAsia="Times New Roman" w:cs="Arial"/>
          <w:szCs w:val="22"/>
          <w:lang w:eastAsia="en-AU"/>
        </w:rPr>
      </w:pPr>
      <w:r w:rsidRPr="00171AD6">
        <w:rPr>
          <w:rFonts w:eastAsia="Times New Roman"/>
        </w:rPr>
        <w:t>The proposed limits</w:t>
      </w:r>
      <w:r>
        <w:rPr>
          <w:rFonts w:eastAsia="Times New Roman" w:cs="Arial"/>
          <w:szCs w:val="22"/>
          <w:lang w:eastAsia="en-AU"/>
        </w:rPr>
        <w:t xml:space="preserve"> under </w:t>
      </w:r>
      <w:r w:rsidR="00953E75">
        <w:rPr>
          <w:rFonts w:eastAsia="Times New Roman" w:cs="Arial"/>
          <w:szCs w:val="22"/>
          <w:lang w:eastAsia="en-AU"/>
        </w:rPr>
        <w:t>O</w:t>
      </w:r>
      <w:r>
        <w:rPr>
          <w:rFonts w:eastAsia="Times New Roman" w:cs="Arial"/>
          <w:szCs w:val="22"/>
          <w:lang w:eastAsia="en-AU"/>
        </w:rPr>
        <w:t xml:space="preserve">ption 2 reflect </w:t>
      </w:r>
      <w:r w:rsidRPr="00313366">
        <w:rPr>
          <w:rFonts w:eastAsia="Times New Roman" w:cs="Arial"/>
          <w:szCs w:val="22"/>
          <w:lang w:eastAsia="en-AU"/>
        </w:rPr>
        <w:t>the current, established state of knowledge for optimum protection of workers from adverse health effects.</w:t>
      </w:r>
      <w:r>
        <w:rPr>
          <w:rFonts w:eastAsia="Times New Roman" w:cs="Arial"/>
          <w:szCs w:val="22"/>
          <w:lang w:eastAsia="en-AU"/>
        </w:rPr>
        <w:t xml:space="preserve"> They therefore meet </w:t>
      </w:r>
      <w:r w:rsidRPr="007A7C73">
        <w:rPr>
          <w:rFonts w:eastAsia="Times New Roman" w:cs="Arial"/>
          <w:szCs w:val="22"/>
          <w:lang w:eastAsia="en-AU"/>
        </w:rPr>
        <w:t>the objective agreed by WHS ministers that the WES adequately protect workers from the adverse health effects from exposure to the airborne hazardous chemicals</w:t>
      </w:r>
      <w:r w:rsidRPr="00313366">
        <w:rPr>
          <w:rFonts w:eastAsia="Times New Roman" w:cs="Arial"/>
          <w:szCs w:val="22"/>
          <w:lang w:eastAsia="en-AU"/>
        </w:rPr>
        <w:t>.  </w:t>
      </w:r>
    </w:p>
    <w:p w14:paraId="168EC9BB" w14:textId="28338C6E" w:rsidR="00DD77F2" w:rsidRPr="00665A0A" w:rsidRDefault="00DD77F2" w:rsidP="00665A0A">
      <w:pPr>
        <w:keepNext/>
        <w:spacing w:after="200" w:line="240" w:lineRule="atLeast"/>
        <w:contextualSpacing w:val="0"/>
        <w:rPr>
          <w:rFonts w:eastAsia="Times New Roman"/>
        </w:rPr>
      </w:pPr>
      <w:r w:rsidRPr="00665A0A">
        <w:rPr>
          <w:rFonts w:eastAsia="Times New Roman"/>
        </w:rPr>
        <w:t xml:space="preserve">Implementation of the health-based limits is expected to lead to a range of long-term benefits for workers including </w:t>
      </w:r>
      <w:r w:rsidR="00115F72">
        <w:rPr>
          <w:rFonts w:eastAsia="Times New Roman"/>
        </w:rPr>
        <w:t xml:space="preserve">financial benefits </w:t>
      </w:r>
      <w:r w:rsidR="00FF3D2D">
        <w:rPr>
          <w:rFonts w:eastAsia="Times New Roman"/>
        </w:rPr>
        <w:t xml:space="preserve">through reduced </w:t>
      </w:r>
      <w:r w:rsidRPr="00665A0A">
        <w:rPr>
          <w:rFonts w:eastAsia="Times New Roman"/>
        </w:rPr>
        <w:t xml:space="preserve">illness and disease, reduced disability and death, increased quality of life, and improved workplace productivity. It is also expected that there would be reduced costs to the public health system, relating to diagnosis, treatment and disease management. </w:t>
      </w:r>
    </w:p>
    <w:p w14:paraId="7F359D32" w14:textId="3475EBDF" w:rsidR="00F55A5D" w:rsidRPr="00313366" w:rsidRDefault="002464AE" w:rsidP="00F55A5D">
      <w:pPr>
        <w:spacing w:line="240" w:lineRule="auto"/>
        <w:contextualSpacing w:val="0"/>
        <w:textAlignment w:val="baseline"/>
        <w:rPr>
          <w:rFonts w:ascii="Segoe UI" w:eastAsia="Times New Roman" w:hAnsi="Segoe UI" w:cs="Segoe UI"/>
          <w:sz w:val="18"/>
          <w:szCs w:val="18"/>
          <w:lang w:eastAsia="en-AU"/>
        </w:rPr>
      </w:pPr>
      <w:r w:rsidRPr="00313366">
        <w:rPr>
          <w:rFonts w:eastAsia="Times New Roman" w:cs="Arial"/>
          <w:szCs w:val="22"/>
          <w:lang w:eastAsia="en-AU"/>
        </w:rPr>
        <w:t>One of the key objectives of the Act</w:t>
      </w:r>
      <w:r w:rsidR="003424DD">
        <w:rPr>
          <w:rFonts w:eastAsia="Times New Roman" w:cs="Arial"/>
          <w:szCs w:val="22"/>
          <w:lang w:eastAsia="en-AU"/>
        </w:rPr>
        <w:t xml:space="preserve"> </w:t>
      </w:r>
      <w:r w:rsidRPr="00313366">
        <w:rPr>
          <w:rFonts w:eastAsia="Times New Roman" w:cs="Arial"/>
          <w:szCs w:val="22"/>
          <w:lang w:eastAsia="en-AU"/>
        </w:rPr>
        <w:t>is to protect workers and other persons against harm to their health, safety and welfare through the elimination or minimisation of risks arising from work, including from hazardous chemicals. </w:t>
      </w:r>
      <w:r w:rsidR="00F55A5D" w:rsidRPr="00313366">
        <w:rPr>
          <w:rFonts w:eastAsia="Times New Roman" w:cs="Arial"/>
          <w:szCs w:val="22"/>
          <w:lang w:eastAsia="en-AU"/>
        </w:rPr>
        <w:t>The Act specifies that regard must be given to the principle that workers and other persons are given the highest level of protection against harm to their health, safety and welfare from hazards and risks arising from work (including from hazardous chemicals) as is reasonably practicable. </w:t>
      </w:r>
    </w:p>
    <w:p w14:paraId="5E6BABE8" w14:textId="07E6EC3F" w:rsidR="00436AAF" w:rsidRDefault="00F353E1" w:rsidP="006D5F4D">
      <w:pPr>
        <w:spacing w:line="240" w:lineRule="auto"/>
        <w:contextualSpacing w:val="0"/>
        <w:textAlignment w:val="baseline"/>
        <w:rPr>
          <w:rFonts w:eastAsia="Times New Roman" w:cs="Arial"/>
          <w:szCs w:val="22"/>
          <w:lang w:eastAsia="en-AU"/>
        </w:rPr>
      </w:pPr>
      <w:r w:rsidRPr="00EE7EC6">
        <w:t>O</w:t>
      </w:r>
      <w:r w:rsidR="00082144" w:rsidRPr="00EE7EC6">
        <w:rPr>
          <w:rFonts w:eastAsia="Times New Roman" w:cs="Arial"/>
          <w:szCs w:val="22"/>
          <w:lang w:eastAsia="en-AU"/>
        </w:rPr>
        <w:t xml:space="preserve">ption </w:t>
      </w:r>
      <w:r w:rsidR="00F578D4" w:rsidRPr="00EE7EC6">
        <w:rPr>
          <w:rFonts w:eastAsia="Times New Roman" w:cs="Arial"/>
          <w:szCs w:val="22"/>
          <w:lang w:eastAsia="en-AU"/>
        </w:rPr>
        <w:t xml:space="preserve">2 </w:t>
      </w:r>
      <w:r w:rsidR="00082144" w:rsidRPr="00EE7EC6">
        <w:rPr>
          <w:rFonts w:eastAsia="Times New Roman" w:cs="Arial"/>
          <w:szCs w:val="22"/>
          <w:lang w:eastAsia="en-AU"/>
        </w:rPr>
        <w:t xml:space="preserve">is </w:t>
      </w:r>
      <w:r w:rsidR="009E7663" w:rsidRPr="00EE7EC6">
        <w:rPr>
          <w:rFonts w:eastAsia="Times New Roman" w:cs="Arial"/>
          <w:szCs w:val="22"/>
          <w:lang w:eastAsia="en-AU"/>
        </w:rPr>
        <w:t xml:space="preserve">expected </w:t>
      </w:r>
      <w:r w:rsidR="008228AC" w:rsidRPr="00EE7EC6">
        <w:rPr>
          <w:rFonts w:eastAsia="Times New Roman" w:cs="Arial"/>
          <w:szCs w:val="22"/>
          <w:lang w:eastAsia="en-AU"/>
        </w:rPr>
        <w:t>to result in</w:t>
      </w:r>
      <w:r w:rsidR="009E7663" w:rsidRPr="00EE7EC6">
        <w:rPr>
          <w:rFonts w:eastAsia="Times New Roman" w:cs="Arial"/>
          <w:szCs w:val="22"/>
          <w:lang w:eastAsia="en-AU"/>
        </w:rPr>
        <w:t xml:space="preserve"> costs to business</w:t>
      </w:r>
      <w:r w:rsidR="004D37C8" w:rsidRPr="00EE7EC6">
        <w:rPr>
          <w:rFonts w:eastAsia="Times New Roman" w:cs="Arial"/>
          <w:szCs w:val="22"/>
          <w:lang w:eastAsia="en-AU"/>
        </w:rPr>
        <w:t>es to comply with the</w:t>
      </w:r>
      <w:r w:rsidR="00BB2C55" w:rsidRPr="00EE7EC6">
        <w:rPr>
          <w:rFonts w:eastAsia="Times New Roman" w:cs="Arial"/>
          <w:szCs w:val="22"/>
          <w:lang w:eastAsia="en-AU"/>
        </w:rPr>
        <w:t xml:space="preserve"> proposed exposure limits</w:t>
      </w:r>
      <w:r w:rsidR="00276EDA">
        <w:rPr>
          <w:rFonts w:eastAsia="Times New Roman" w:cs="Arial"/>
          <w:szCs w:val="22"/>
          <w:lang w:eastAsia="en-AU"/>
        </w:rPr>
        <w:t xml:space="preserve"> (see </w:t>
      </w:r>
      <w:r w:rsidR="00276EDA">
        <w:rPr>
          <w:rFonts w:eastAsia="Times New Roman" w:cs="Arial"/>
          <w:szCs w:val="22"/>
          <w:lang w:eastAsia="en-AU"/>
        </w:rPr>
        <w:fldChar w:fldCharType="begin"/>
      </w:r>
      <w:r w:rsidR="00276EDA">
        <w:rPr>
          <w:rFonts w:eastAsia="Times New Roman" w:cs="Arial"/>
          <w:szCs w:val="22"/>
          <w:lang w:eastAsia="en-AU"/>
        </w:rPr>
        <w:instrText xml:space="preserve"> REF _Ref199844686 \h </w:instrText>
      </w:r>
      <w:r w:rsidR="00276EDA">
        <w:rPr>
          <w:rFonts w:eastAsia="Times New Roman" w:cs="Arial"/>
          <w:szCs w:val="22"/>
          <w:lang w:eastAsia="en-AU"/>
        </w:rPr>
      </w:r>
      <w:r w:rsidR="00276EDA">
        <w:rPr>
          <w:rFonts w:eastAsia="Times New Roman" w:cs="Arial"/>
          <w:szCs w:val="22"/>
          <w:lang w:eastAsia="en-AU"/>
        </w:rPr>
        <w:fldChar w:fldCharType="separate"/>
      </w:r>
      <w:r w:rsidR="00A002F4">
        <w:t xml:space="preserve">Table </w:t>
      </w:r>
      <w:r w:rsidR="00A002F4">
        <w:rPr>
          <w:noProof/>
        </w:rPr>
        <w:t>5</w:t>
      </w:r>
      <w:r w:rsidR="00276EDA">
        <w:rPr>
          <w:rFonts w:eastAsia="Times New Roman" w:cs="Arial"/>
          <w:szCs w:val="22"/>
          <w:lang w:eastAsia="en-AU"/>
        </w:rPr>
        <w:fldChar w:fldCharType="end"/>
      </w:r>
      <w:r w:rsidR="00276EDA">
        <w:rPr>
          <w:rFonts w:eastAsia="Times New Roman" w:cs="Arial"/>
          <w:szCs w:val="22"/>
          <w:lang w:eastAsia="en-AU"/>
        </w:rPr>
        <w:t>)</w:t>
      </w:r>
      <w:r w:rsidR="00EE7EC6" w:rsidRPr="00DB378B">
        <w:rPr>
          <w:rFonts w:eastAsia="Times New Roman" w:cs="Arial"/>
          <w:szCs w:val="22"/>
          <w:lang w:eastAsia="en-AU"/>
        </w:rPr>
        <w:t>. Businesses have indicated these costs would be significant</w:t>
      </w:r>
      <w:r w:rsidRPr="00EE7EC6">
        <w:rPr>
          <w:rFonts w:eastAsia="Times New Roman" w:cs="Arial"/>
          <w:szCs w:val="22"/>
          <w:lang w:eastAsia="en-AU"/>
        </w:rPr>
        <w:t>,</w:t>
      </w:r>
      <w:r w:rsidR="00326431">
        <w:rPr>
          <w:rFonts w:eastAsia="Times New Roman" w:cs="Arial"/>
          <w:szCs w:val="22"/>
          <w:lang w:eastAsia="en-AU"/>
        </w:rPr>
        <w:t xml:space="preserve"> </w:t>
      </w:r>
      <w:r w:rsidR="00CF4326">
        <w:rPr>
          <w:rFonts w:eastAsia="Times New Roman" w:cs="Arial"/>
          <w:szCs w:val="22"/>
          <w:lang w:eastAsia="en-AU"/>
        </w:rPr>
        <w:t xml:space="preserve">particularly in </w:t>
      </w:r>
      <w:r w:rsidR="00427D18">
        <w:rPr>
          <w:rFonts w:eastAsia="Times New Roman" w:cs="Arial"/>
          <w:szCs w:val="22"/>
          <w:lang w:eastAsia="en-AU"/>
        </w:rPr>
        <w:t>the initial years following implementation</w:t>
      </w:r>
      <w:r w:rsidR="0085643C">
        <w:rPr>
          <w:rFonts w:eastAsia="Times New Roman" w:cs="Arial"/>
          <w:szCs w:val="22"/>
          <w:lang w:eastAsia="en-AU"/>
        </w:rPr>
        <w:t>, and if their businesses use more than one of the 9 chemicals considered in this Decision RIS.</w:t>
      </w:r>
      <w:r w:rsidR="00526331">
        <w:rPr>
          <w:rFonts w:eastAsia="Times New Roman" w:cs="Arial"/>
          <w:szCs w:val="22"/>
          <w:lang w:eastAsia="en-AU"/>
        </w:rPr>
        <w:t xml:space="preserve"> It has also been suggested that these costs may be passed</w:t>
      </w:r>
      <w:r w:rsidR="00AC573A">
        <w:rPr>
          <w:rFonts w:eastAsia="Times New Roman" w:cs="Arial"/>
          <w:szCs w:val="22"/>
          <w:lang w:eastAsia="en-AU"/>
        </w:rPr>
        <w:t xml:space="preserve"> by businesses to</w:t>
      </w:r>
      <w:r w:rsidR="00526331">
        <w:rPr>
          <w:rFonts w:eastAsia="Times New Roman" w:cs="Arial"/>
          <w:szCs w:val="22"/>
          <w:lang w:eastAsia="en-AU"/>
        </w:rPr>
        <w:t xml:space="preserve"> consumers </w:t>
      </w:r>
      <w:r w:rsidR="00AC573A">
        <w:rPr>
          <w:rFonts w:eastAsia="Times New Roman" w:cs="Arial"/>
          <w:szCs w:val="22"/>
          <w:lang w:eastAsia="en-AU"/>
        </w:rPr>
        <w:t>that seek their products or services, or impact competitiveness in the international market.</w:t>
      </w:r>
      <w:r w:rsidRPr="00EE7EC6">
        <w:rPr>
          <w:rFonts w:eastAsia="Times New Roman" w:cs="Arial"/>
          <w:szCs w:val="22"/>
          <w:lang w:eastAsia="en-AU"/>
        </w:rPr>
        <w:t xml:space="preserve"> </w:t>
      </w:r>
      <w:r w:rsidR="0085643C">
        <w:rPr>
          <w:rFonts w:eastAsia="Times New Roman" w:cs="Arial"/>
          <w:szCs w:val="22"/>
          <w:lang w:eastAsia="en-AU"/>
        </w:rPr>
        <w:t>H</w:t>
      </w:r>
      <w:r w:rsidR="00EE7EC6" w:rsidRPr="00DB378B">
        <w:rPr>
          <w:rFonts w:eastAsia="Times New Roman" w:cs="Arial"/>
          <w:szCs w:val="22"/>
          <w:lang w:eastAsia="en-AU"/>
        </w:rPr>
        <w:t>owever</w:t>
      </w:r>
      <w:r w:rsidR="00436AAF">
        <w:rPr>
          <w:rFonts w:eastAsia="Times New Roman" w:cs="Arial"/>
          <w:szCs w:val="22"/>
          <w:lang w:eastAsia="en-AU"/>
        </w:rPr>
        <w:t>,</w:t>
      </w:r>
      <w:r w:rsidR="00EE7EC6" w:rsidRPr="00EE7EC6">
        <w:rPr>
          <w:rFonts w:eastAsia="Times New Roman" w:cs="Arial"/>
          <w:szCs w:val="22"/>
          <w:lang w:eastAsia="en-AU"/>
        </w:rPr>
        <w:t xml:space="preserve"> </w:t>
      </w:r>
      <w:r w:rsidR="007B2F17" w:rsidRPr="00EE7EC6">
        <w:rPr>
          <w:rFonts w:eastAsia="Times New Roman" w:cs="Arial"/>
          <w:szCs w:val="22"/>
          <w:lang w:eastAsia="en-AU"/>
        </w:rPr>
        <w:t>limitations with</w:t>
      </w:r>
      <w:r w:rsidR="00D3703F" w:rsidRPr="00EE7EC6">
        <w:rPr>
          <w:rFonts w:eastAsia="Times New Roman" w:cs="Arial"/>
          <w:szCs w:val="22"/>
          <w:lang w:eastAsia="en-AU"/>
        </w:rPr>
        <w:t xml:space="preserve"> available</w:t>
      </w:r>
      <w:r w:rsidR="007B2F17" w:rsidRPr="00EE7EC6">
        <w:rPr>
          <w:rFonts w:eastAsia="Times New Roman" w:cs="Arial"/>
          <w:szCs w:val="22"/>
          <w:lang w:eastAsia="en-AU"/>
        </w:rPr>
        <w:t xml:space="preserve"> data makes it </w:t>
      </w:r>
      <w:r w:rsidR="00D3703F" w:rsidRPr="00EE7EC6">
        <w:rPr>
          <w:rFonts w:eastAsia="Times New Roman" w:cs="Arial"/>
          <w:szCs w:val="22"/>
          <w:lang w:eastAsia="en-AU"/>
        </w:rPr>
        <w:t>difficult to</w:t>
      </w:r>
      <w:r w:rsidR="00A362F8">
        <w:rPr>
          <w:rFonts w:eastAsia="Times New Roman" w:cs="Arial"/>
          <w:szCs w:val="22"/>
          <w:lang w:eastAsia="en-AU"/>
        </w:rPr>
        <w:t xml:space="preserve"> validate the costs and</w:t>
      </w:r>
      <w:r w:rsidR="00D3703F" w:rsidRPr="00EE7EC6">
        <w:rPr>
          <w:rFonts w:eastAsia="Times New Roman" w:cs="Arial"/>
          <w:szCs w:val="22"/>
          <w:lang w:eastAsia="en-AU"/>
        </w:rPr>
        <w:t xml:space="preserve"> accurately assess th</w:t>
      </w:r>
      <w:r w:rsidR="00A362F8">
        <w:rPr>
          <w:rFonts w:eastAsia="Times New Roman" w:cs="Arial"/>
          <w:szCs w:val="22"/>
          <w:lang w:eastAsia="en-AU"/>
        </w:rPr>
        <w:t>ese impacts</w:t>
      </w:r>
      <w:r w:rsidR="00FA37FB">
        <w:rPr>
          <w:rFonts w:eastAsia="Times New Roman" w:cs="Arial"/>
          <w:szCs w:val="22"/>
          <w:lang w:eastAsia="en-AU"/>
        </w:rPr>
        <w:t xml:space="preserve">. </w:t>
      </w:r>
    </w:p>
    <w:p w14:paraId="3857F34A" w14:textId="329B924F" w:rsidR="006D5F4D" w:rsidRPr="00313366" w:rsidRDefault="00A53E53" w:rsidP="006D5F4D">
      <w:pPr>
        <w:spacing w:line="240" w:lineRule="auto"/>
        <w:contextualSpacing w:val="0"/>
        <w:textAlignment w:val="baseline"/>
        <w:rPr>
          <w:rFonts w:ascii="Segoe UI" w:eastAsia="Times New Roman" w:hAnsi="Segoe UI" w:cs="Segoe UI"/>
          <w:sz w:val="18"/>
          <w:szCs w:val="18"/>
          <w:lang w:eastAsia="en-AU"/>
        </w:rPr>
      </w:pPr>
      <w:r>
        <w:rPr>
          <w:rFonts w:eastAsia="Times New Roman" w:cs="Arial"/>
          <w:szCs w:val="22"/>
          <w:lang w:eastAsia="en-AU"/>
        </w:rPr>
        <w:t>However, i</w:t>
      </w:r>
      <w:r w:rsidR="005B13DE">
        <w:rPr>
          <w:rFonts w:eastAsia="Times New Roman" w:cs="Arial"/>
          <w:szCs w:val="22"/>
          <w:lang w:eastAsia="en-AU"/>
        </w:rPr>
        <w:t xml:space="preserve">t is </w:t>
      </w:r>
      <w:r w:rsidR="00F51B58">
        <w:rPr>
          <w:rFonts w:eastAsia="Times New Roman" w:cs="Arial"/>
          <w:szCs w:val="22"/>
          <w:lang w:eastAsia="en-AU"/>
        </w:rPr>
        <w:t xml:space="preserve">also </w:t>
      </w:r>
      <w:r w:rsidR="005B13DE">
        <w:rPr>
          <w:rFonts w:eastAsia="Times New Roman" w:cs="Arial"/>
          <w:szCs w:val="22"/>
          <w:lang w:eastAsia="en-AU"/>
        </w:rPr>
        <w:t>important to acknowledge that th</w:t>
      </w:r>
      <w:r w:rsidR="006D5F4D" w:rsidRPr="00313366">
        <w:rPr>
          <w:rFonts w:eastAsia="Times New Roman" w:cs="Arial"/>
          <w:szCs w:val="22"/>
          <w:lang w:eastAsia="en-AU"/>
        </w:rPr>
        <w:t xml:space="preserve">e model WHS Regulations require PCBUs to review and as necessary revise control measures so as to maintain, so far as is reasonably practicable, a work environment that is without risks to health or safety. This </w:t>
      </w:r>
      <w:r w:rsidR="006D5F4D" w:rsidRPr="00313366">
        <w:rPr>
          <w:rFonts w:eastAsia="Times New Roman" w:cs="Arial"/>
          <w:szCs w:val="22"/>
          <w:lang w:eastAsia="en-AU"/>
        </w:rPr>
        <w:lastRenderedPageBreak/>
        <w:t xml:space="preserve">includes reviewing control measures when new information about a hazard or risk is available, such as current evidence relating to the health effects from exposure </w:t>
      </w:r>
      <w:r w:rsidR="006D5F4D">
        <w:rPr>
          <w:rFonts w:eastAsia="Times New Roman" w:cs="Arial"/>
          <w:szCs w:val="22"/>
          <w:lang w:eastAsia="en-AU"/>
        </w:rPr>
        <w:t xml:space="preserve">to </w:t>
      </w:r>
      <w:r w:rsidR="006D5F4D" w:rsidRPr="00313366">
        <w:rPr>
          <w:rFonts w:eastAsia="Times New Roman" w:cs="Arial"/>
          <w:szCs w:val="22"/>
          <w:lang w:eastAsia="en-AU"/>
        </w:rPr>
        <w:t>the hazardous chemicals. </w:t>
      </w:r>
    </w:p>
    <w:p w14:paraId="43D682F9" w14:textId="18955FC8" w:rsidR="00F57FD5" w:rsidRPr="00704AF1" w:rsidRDefault="005B13DE" w:rsidP="00B9160D">
      <w:pPr>
        <w:pStyle w:val="SWAHeading2"/>
        <w:keepNext/>
        <w:ind w:left="709"/>
        <w:rPr>
          <w:rFonts w:eastAsiaTheme="minorHAnsi" w:cs="Arial"/>
          <w:szCs w:val="36"/>
        </w:rPr>
      </w:pPr>
      <w:bookmarkStart w:id="74" w:name="_Toc219216879"/>
      <w:r w:rsidRPr="00704AF1">
        <w:rPr>
          <w:rFonts w:eastAsiaTheme="minorHAnsi" w:cs="Arial"/>
          <w:szCs w:val="36"/>
        </w:rPr>
        <w:t>W</w:t>
      </w:r>
      <w:r w:rsidR="00AC3F2F" w:rsidRPr="00704AF1">
        <w:rPr>
          <w:rFonts w:eastAsiaTheme="minorHAnsi" w:cs="Arial"/>
          <w:szCs w:val="36"/>
        </w:rPr>
        <w:t>h</w:t>
      </w:r>
      <w:r w:rsidRPr="00704AF1">
        <w:rPr>
          <w:rFonts w:eastAsiaTheme="minorHAnsi" w:cs="Arial"/>
          <w:szCs w:val="36"/>
        </w:rPr>
        <w:t>y the other options are not preferred</w:t>
      </w:r>
      <w:bookmarkEnd w:id="74"/>
    </w:p>
    <w:p w14:paraId="678F691E" w14:textId="16E46F33" w:rsidR="00FF4E1B" w:rsidRPr="00DC75BB" w:rsidRDefault="00F64444" w:rsidP="00B9160D">
      <w:pPr>
        <w:keepNext/>
        <w:spacing w:line="240" w:lineRule="auto"/>
        <w:contextualSpacing w:val="0"/>
        <w:textAlignment w:val="baseline"/>
        <w:rPr>
          <w:rFonts w:eastAsia="Times New Roman" w:cs="Arial"/>
          <w:szCs w:val="22"/>
          <w:lang w:eastAsia="en-AU"/>
        </w:rPr>
      </w:pPr>
      <w:r w:rsidRPr="00DC75BB">
        <w:rPr>
          <w:rFonts w:eastAsia="Times New Roman" w:cs="Arial"/>
          <w:szCs w:val="22"/>
          <w:lang w:eastAsia="en-AU"/>
        </w:rPr>
        <w:t xml:space="preserve">Retaining the current WES (Option 1) </w:t>
      </w:r>
      <w:r w:rsidR="00D66C70" w:rsidRPr="00DC75BB">
        <w:rPr>
          <w:rFonts w:eastAsia="Times New Roman" w:cs="Arial"/>
          <w:szCs w:val="22"/>
          <w:lang w:eastAsia="en-AU"/>
        </w:rPr>
        <w:t xml:space="preserve">is not preferred for a number of reasons. </w:t>
      </w:r>
      <w:r w:rsidR="00FF4E1B" w:rsidRPr="00DC75BB">
        <w:rPr>
          <w:rFonts w:eastAsia="Times New Roman" w:cs="Arial"/>
          <w:szCs w:val="22"/>
          <w:lang w:eastAsia="en-AU"/>
        </w:rPr>
        <w:t xml:space="preserve">In particular, this option </w:t>
      </w:r>
      <w:r w:rsidRPr="00DC75BB">
        <w:rPr>
          <w:rFonts w:eastAsia="Times New Roman" w:cs="Arial"/>
          <w:szCs w:val="22"/>
          <w:lang w:eastAsia="en-AU"/>
        </w:rPr>
        <w:t xml:space="preserve">would be inconsistent with the requirements of the model WHS laws and </w:t>
      </w:r>
      <w:r w:rsidR="00FF4E1B" w:rsidRPr="00DC75BB">
        <w:rPr>
          <w:rFonts w:eastAsia="Times New Roman" w:cs="Arial"/>
          <w:szCs w:val="22"/>
          <w:lang w:eastAsia="en-AU"/>
        </w:rPr>
        <w:t>w</w:t>
      </w:r>
      <w:r w:rsidR="00FF4E1B">
        <w:rPr>
          <w:rFonts w:eastAsia="Times New Roman" w:cs="Arial"/>
          <w:szCs w:val="22"/>
          <w:lang w:eastAsia="en-AU"/>
        </w:rPr>
        <w:t>o</w:t>
      </w:r>
      <w:r w:rsidR="00FF4E1B" w:rsidRPr="00DC75BB">
        <w:rPr>
          <w:rFonts w:eastAsia="Times New Roman" w:cs="Arial"/>
          <w:szCs w:val="22"/>
          <w:lang w:eastAsia="en-AU"/>
        </w:rPr>
        <w:t>uld</w:t>
      </w:r>
      <w:r>
        <w:rPr>
          <w:rFonts w:eastAsia="Times New Roman" w:cs="Arial"/>
          <w:szCs w:val="22"/>
          <w:lang w:eastAsia="en-AU"/>
        </w:rPr>
        <w:t xml:space="preserve"> </w:t>
      </w:r>
      <w:r w:rsidRPr="00DC75BB">
        <w:rPr>
          <w:rFonts w:eastAsia="Times New Roman" w:cs="Arial"/>
          <w:szCs w:val="22"/>
          <w:lang w:eastAsia="en-AU"/>
        </w:rPr>
        <w:t xml:space="preserve">not adequately assist PCBUs in meeting their obligations. </w:t>
      </w:r>
    </w:p>
    <w:p w14:paraId="56470A59" w14:textId="1548BA3E" w:rsidR="0025582E" w:rsidRDefault="004D4BEC" w:rsidP="00F64444">
      <w:pPr>
        <w:spacing w:line="240" w:lineRule="auto"/>
        <w:contextualSpacing w:val="0"/>
        <w:textAlignment w:val="baseline"/>
        <w:rPr>
          <w:rFonts w:eastAsia="Times New Roman" w:cs="Arial"/>
          <w:szCs w:val="22"/>
          <w:lang w:eastAsia="en-AU"/>
        </w:rPr>
      </w:pPr>
      <w:r>
        <w:rPr>
          <w:rFonts w:eastAsia="Times New Roman" w:cs="Arial"/>
          <w:szCs w:val="22"/>
          <w:lang w:eastAsia="en-AU"/>
        </w:rPr>
        <w:t xml:space="preserve">While </w:t>
      </w:r>
      <w:r w:rsidR="00880EE1" w:rsidRPr="00880EE1">
        <w:rPr>
          <w:rFonts w:eastAsia="Times New Roman" w:cs="Arial"/>
          <w:szCs w:val="22"/>
          <w:lang w:eastAsia="en-AU"/>
        </w:rPr>
        <w:t xml:space="preserve">this option </w:t>
      </w:r>
      <w:r w:rsidR="009B5561">
        <w:rPr>
          <w:rFonts w:eastAsia="Times New Roman" w:cs="Arial"/>
          <w:szCs w:val="22"/>
          <w:lang w:eastAsia="en-AU"/>
        </w:rPr>
        <w:t>is expected to result in</w:t>
      </w:r>
      <w:r w:rsidR="00880EE1" w:rsidRPr="00880EE1">
        <w:rPr>
          <w:rFonts w:eastAsia="Times New Roman" w:cs="Arial"/>
          <w:szCs w:val="22"/>
          <w:lang w:eastAsia="en-AU"/>
        </w:rPr>
        <w:t xml:space="preserve"> no net impact (no new benefits or costs)</w:t>
      </w:r>
      <w:r w:rsidR="00DA6924">
        <w:rPr>
          <w:rFonts w:eastAsia="Times New Roman" w:cs="Arial"/>
          <w:szCs w:val="22"/>
          <w:lang w:eastAsia="en-AU"/>
        </w:rPr>
        <w:t xml:space="preserve"> based on the assumptions </w:t>
      </w:r>
      <w:r w:rsidR="00C30F73">
        <w:rPr>
          <w:rFonts w:eastAsia="Times New Roman" w:cs="Arial"/>
          <w:szCs w:val="22"/>
          <w:lang w:eastAsia="en-AU"/>
        </w:rPr>
        <w:t>made in this Decision RIS</w:t>
      </w:r>
      <w:r w:rsidR="00880EE1">
        <w:rPr>
          <w:rFonts w:eastAsia="Times New Roman" w:cs="Arial"/>
          <w:szCs w:val="22"/>
          <w:lang w:eastAsia="en-AU"/>
        </w:rPr>
        <w:t>, r</w:t>
      </w:r>
      <w:r w:rsidR="00A319C9" w:rsidRPr="00313366">
        <w:rPr>
          <w:rFonts w:eastAsia="Times New Roman" w:cs="Arial"/>
          <w:szCs w:val="22"/>
          <w:lang w:eastAsia="en-AU"/>
        </w:rPr>
        <w:t>etaining the current WES is likely to imply (erroneously) to PCBUs that exposure to those levels of the hazardous chemicals is consistent with the obligations to minimise risk so far as is reasonably practicable, when the current evidence demonstrates otherwise.  </w:t>
      </w:r>
    </w:p>
    <w:p w14:paraId="3DEDF4B4" w14:textId="698424A2" w:rsidR="0025582E" w:rsidRDefault="0025582E" w:rsidP="00F64444">
      <w:pPr>
        <w:spacing w:line="240" w:lineRule="auto"/>
        <w:contextualSpacing w:val="0"/>
        <w:textAlignment w:val="baseline"/>
        <w:rPr>
          <w:rFonts w:eastAsia="Times New Roman" w:cs="Arial"/>
          <w:szCs w:val="22"/>
          <w:lang w:eastAsia="en-AU"/>
        </w:rPr>
      </w:pPr>
      <w:r>
        <w:rPr>
          <w:rFonts w:eastAsia="Times New Roman" w:cs="Arial"/>
          <w:szCs w:val="22"/>
          <w:lang w:eastAsia="en-AU"/>
        </w:rPr>
        <w:t>There are also risks that this option would:</w:t>
      </w:r>
    </w:p>
    <w:p w14:paraId="37E70B38" w14:textId="7C7DB84F" w:rsidR="0025582E" w:rsidRPr="00DC75BB" w:rsidRDefault="0025582E" w:rsidP="00A2768E">
      <w:pPr>
        <w:pStyle w:val="ListParagraph"/>
        <w:numPr>
          <w:ilvl w:val="0"/>
          <w:numId w:val="79"/>
        </w:numPr>
        <w:spacing w:line="240" w:lineRule="auto"/>
        <w:contextualSpacing w:val="0"/>
        <w:textAlignment w:val="baseline"/>
        <w:rPr>
          <w:rFonts w:eastAsia="Times New Roman" w:cs="Arial"/>
          <w:szCs w:val="22"/>
          <w:lang w:eastAsia="en-AU"/>
        </w:rPr>
      </w:pPr>
      <w:r w:rsidRPr="00DC75BB">
        <w:rPr>
          <w:rFonts w:eastAsia="Times New Roman" w:cs="Arial"/>
          <w:szCs w:val="22"/>
          <w:lang w:eastAsia="en-AU"/>
        </w:rPr>
        <w:t>imply to workers a false sense of safety – that exposure at the level of the WES will not cause adverse health effects</w:t>
      </w:r>
      <w:r w:rsidR="00176F6E">
        <w:rPr>
          <w:rFonts w:eastAsia="Times New Roman" w:cs="Arial"/>
          <w:szCs w:val="22"/>
          <w:lang w:eastAsia="en-AU"/>
        </w:rPr>
        <w:t>, and</w:t>
      </w:r>
    </w:p>
    <w:p w14:paraId="36AC0803" w14:textId="2F7EC1E3" w:rsidR="00FF4E1B" w:rsidRPr="008268FB" w:rsidRDefault="008268FB" w:rsidP="00A2768E">
      <w:pPr>
        <w:pStyle w:val="ListParagraph"/>
        <w:numPr>
          <w:ilvl w:val="0"/>
          <w:numId w:val="79"/>
        </w:numPr>
        <w:spacing w:line="240" w:lineRule="auto"/>
        <w:contextualSpacing w:val="0"/>
        <w:textAlignment w:val="baseline"/>
        <w:rPr>
          <w:rFonts w:eastAsia="Times New Roman" w:cs="Arial"/>
          <w:lang w:eastAsia="en-AU"/>
        </w:rPr>
      </w:pPr>
      <w:r w:rsidRPr="549BFD7B">
        <w:rPr>
          <w:rFonts w:eastAsia="Times New Roman" w:cs="Arial"/>
          <w:lang w:eastAsia="en-AU"/>
        </w:rPr>
        <w:t xml:space="preserve">lead to regulatory confusion, noting that for </w:t>
      </w:r>
      <w:r w:rsidR="7BED9F32" w:rsidRPr="075422B1">
        <w:rPr>
          <w:rFonts w:eastAsia="Times New Roman" w:cs="Arial"/>
          <w:lang w:eastAsia="en-AU"/>
        </w:rPr>
        <w:t xml:space="preserve">all </w:t>
      </w:r>
      <w:r w:rsidRPr="549BFD7B">
        <w:rPr>
          <w:rFonts w:eastAsia="Times New Roman" w:cs="Arial"/>
          <w:lang w:eastAsia="en-AU"/>
        </w:rPr>
        <w:t xml:space="preserve">chemicals </w:t>
      </w:r>
      <w:r w:rsidR="05C28EF1" w:rsidRPr="075422B1">
        <w:rPr>
          <w:rFonts w:eastAsia="Times New Roman" w:cs="Arial"/>
          <w:lang w:eastAsia="en-AU"/>
        </w:rPr>
        <w:t>in the WEL list</w:t>
      </w:r>
      <w:r w:rsidRPr="075422B1">
        <w:rPr>
          <w:rFonts w:eastAsia="Times New Roman" w:cs="Arial"/>
          <w:lang w:eastAsia="en-AU"/>
        </w:rPr>
        <w:t xml:space="preserve"> </w:t>
      </w:r>
      <w:r w:rsidR="41D9BF9D" w:rsidRPr="075422B1">
        <w:rPr>
          <w:rFonts w:eastAsia="Times New Roman" w:cs="Arial"/>
          <w:lang w:eastAsia="en-AU"/>
        </w:rPr>
        <w:t>except for these 9 chemicals</w:t>
      </w:r>
      <w:r w:rsidR="061680D1" w:rsidRPr="075422B1">
        <w:rPr>
          <w:rFonts w:eastAsia="Times New Roman" w:cs="Arial"/>
          <w:lang w:eastAsia="en-AU"/>
        </w:rPr>
        <w:t xml:space="preserve"> </w:t>
      </w:r>
      <w:r w:rsidR="00176F6E" w:rsidRPr="075422B1">
        <w:rPr>
          <w:rFonts w:eastAsia="Times New Roman" w:cs="Arial"/>
          <w:lang w:eastAsia="en-AU"/>
        </w:rPr>
        <w:t xml:space="preserve">the </w:t>
      </w:r>
      <w:r w:rsidR="00BE6447" w:rsidRPr="549BFD7B">
        <w:rPr>
          <w:rFonts w:eastAsia="Times New Roman" w:cs="Arial"/>
          <w:lang w:eastAsia="en-AU"/>
        </w:rPr>
        <w:t>health-based</w:t>
      </w:r>
      <w:r w:rsidR="00176F6E" w:rsidRPr="549BFD7B">
        <w:rPr>
          <w:rFonts w:eastAsia="Times New Roman" w:cs="Arial"/>
          <w:lang w:eastAsia="en-AU"/>
        </w:rPr>
        <w:t xml:space="preserve"> exposure limit has been </w:t>
      </w:r>
      <w:r w:rsidR="75DEF492" w:rsidRPr="075422B1">
        <w:rPr>
          <w:rFonts w:eastAsia="Times New Roman" w:cs="Arial"/>
          <w:lang w:eastAsia="en-AU"/>
        </w:rPr>
        <w:t>agre</w:t>
      </w:r>
      <w:r w:rsidR="00176F6E" w:rsidRPr="075422B1">
        <w:rPr>
          <w:rFonts w:eastAsia="Times New Roman" w:cs="Arial"/>
          <w:lang w:eastAsia="en-AU"/>
        </w:rPr>
        <w:t>ed</w:t>
      </w:r>
      <w:r w:rsidR="00DC75BB" w:rsidRPr="549BFD7B">
        <w:rPr>
          <w:rFonts w:eastAsia="Times New Roman" w:cs="Arial"/>
          <w:lang w:eastAsia="en-AU"/>
        </w:rPr>
        <w:t xml:space="preserve">. </w:t>
      </w:r>
    </w:p>
    <w:p w14:paraId="1660AA95" w14:textId="74C20D8D" w:rsidR="00457DE0" w:rsidRPr="00704AF1" w:rsidRDefault="00457DE0" w:rsidP="00EE0A46">
      <w:pPr>
        <w:pStyle w:val="SWAHeading2"/>
        <w:ind w:left="709"/>
        <w:rPr>
          <w:rFonts w:cs="Arial"/>
          <w:szCs w:val="36"/>
        </w:rPr>
      </w:pPr>
      <w:bookmarkStart w:id="75" w:name="_Toc219216880"/>
      <w:r w:rsidRPr="00704AF1">
        <w:rPr>
          <w:rFonts w:eastAsiaTheme="minorHAnsi" w:cs="Arial"/>
          <w:szCs w:val="36"/>
        </w:rPr>
        <w:t>Implementation</w:t>
      </w:r>
      <w:bookmarkEnd w:id="75"/>
      <w:r w:rsidRPr="00704AF1">
        <w:rPr>
          <w:rFonts w:cs="Arial"/>
          <w:szCs w:val="36"/>
        </w:rPr>
        <w:t xml:space="preserve"> </w:t>
      </w:r>
    </w:p>
    <w:p w14:paraId="1C271DE9" w14:textId="76444EDC" w:rsidR="00C84C3A" w:rsidRDefault="00FF3BCA" w:rsidP="004452F5">
      <w:pPr>
        <w:spacing w:line="240" w:lineRule="atLeast"/>
        <w:contextualSpacing w:val="0"/>
      </w:pPr>
      <w:r>
        <w:t xml:space="preserve">Should WHS ministers agree to the preferred option, it is proposed that </w:t>
      </w:r>
      <w:r w:rsidR="00CE2109">
        <w:t xml:space="preserve">the new </w:t>
      </w:r>
      <w:r w:rsidR="00834832" w:rsidRPr="00834832">
        <w:t xml:space="preserve">WEL </w:t>
      </w:r>
      <w:r w:rsidR="00CE2109">
        <w:t xml:space="preserve">for these 9 chemicals come </w:t>
      </w:r>
      <w:r w:rsidR="00E40663">
        <w:t>into effect</w:t>
      </w:r>
      <w:r w:rsidR="00CE2109">
        <w:t xml:space="preserve"> on 1 December 2026</w:t>
      </w:r>
      <w:r w:rsidR="00412131">
        <w:t xml:space="preserve">. This would </w:t>
      </w:r>
      <w:r w:rsidR="006D7476">
        <w:t xml:space="preserve">align </w:t>
      </w:r>
      <w:r w:rsidR="00E40663">
        <w:t xml:space="preserve">with the </w:t>
      </w:r>
      <w:r w:rsidR="00A454D1">
        <w:t xml:space="preserve">commencement of the </w:t>
      </w:r>
      <w:r w:rsidR="00E40663">
        <w:t xml:space="preserve">new </w:t>
      </w:r>
      <w:r w:rsidR="00237663">
        <w:t xml:space="preserve">WEL list </w:t>
      </w:r>
      <w:r w:rsidR="006D7476">
        <w:t>and ensure</w:t>
      </w:r>
      <w:r w:rsidR="00522E86">
        <w:t xml:space="preserve"> the transition to the </w:t>
      </w:r>
      <w:r w:rsidR="002A4632">
        <w:t>health-based</w:t>
      </w:r>
      <w:r w:rsidR="000B2B1A">
        <w:t xml:space="preserve"> exposure limits</w:t>
      </w:r>
      <w:r w:rsidR="00F50D6E">
        <w:t xml:space="preserve"> for all chemicals</w:t>
      </w:r>
      <w:r w:rsidR="006D7476">
        <w:t xml:space="preserve"> </w:t>
      </w:r>
      <w:r w:rsidR="002207BE">
        <w:t>occurs at the same time</w:t>
      </w:r>
      <w:r w:rsidR="00522E86">
        <w:t>.</w:t>
      </w:r>
      <w:r w:rsidR="002A4632">
        <w:t xml:space="preserve"> </w:t>
      </w:r>
      <w:r w:rsidR="00D45620">
        <w:t>It should be noted some jurisdictions may choose to implement health-based limits individually.</w:t>
      </w:r>
      <w:r w:rsidR="002A4632">
        <w:t xml:space="preserve"> </w:t>
      </w:r>
    </w:p>
    <w:p w14:paraId="59A0712D" w14:textId="5E6BCDD7" w:rsidR="00880C8D" w:rsidRDefault="001133EA" w:rsidP="00A250C6">
      <w:pPr>
        <w:spacing w:line="240" w:lineRule="atLeast"/>
        <w:contextualSpacing w:val="0"/>
      </w:pPr>
      <w:r>
        <w:t xml:space="preserve">While </w:t>
      </w:r>
      <w:r w:rsidR="002A4632">
        <w:t xml:space="preserve">some stakeholders have indicated in their </w:t>
      </w:r>
      <w:r w:rsidR="00A123EF">
        <w:t xml:space="preserve">consultation </w:t>
      </w:r>
      <w:r w:rsidR="002A4632">
        <w:t xml:space="preserve">feedback that they would </w:t>
      </w:r>
      <w:r w:rsidR="0073716E">
        <w:t>need some time to prepare and implement arrangements to meet the</w:t>
      </w:r>
      <w:r w:rsidR="00097A0E">
        <w:t xml:space="preserve"> proposed exposure</w:t>
      </w:r>
      <w:r w:rsidR="0073716E">
        <w:t xml:space="preserve"> standards, the time needed varied across s</w:t>
      </w:r>
      <w:r w:rsidR="00BE0657">
        <w:t>ubmissions</w:t>
      </w:r>
      <w:r w:rsidR="00097A0E">
        <w:t>. F</w:t>
      </w:r>
      <w:r w:rsidR="00BE0657">
        <w:t xml:space="preserve">or example, some businesses indicated they would need between </w:t>
      </w:r>
      <w:r w:rsidR="00D21C45">
        <w:t>6 months</w:t>
      </w:r>
      <w:r w:rsidR="00144FE6">
        <w:t xml:space="preserve"> to </w:t>
      </w:r>
      <w:r w:rsidR="00415795">
        <w:t>5 years</w:t>
      </w:r>
      <w:r w:rsidR="00994D74">
        <w:t xml:space="preserve"> to implement the proposed WEL for formaldehyde</w:t>
      </w:r>
      <w:r w:rsidR="00415795">
        <w:t>.</w:t>
      </w:r>
      <w:r w:rsidR="00014DA4">
        <w:t xml:space="preserve"> Recognising th</w:t>
      </w:r>
      <w:r w:rsidR="001D69A0">
        <w:t xml:space="preserve">ere was no consistent feedback on potential transition period, </w:t>
      </w:r>
      <w:r w:rsidR="00901E71">
        <w:t xml:space="preserve">and to avoid </w:t>
      </w:r>
      <w:r w:rsidR="00097A0E">
        <w:t>regulatory</w:t>
      </w:r>
      <w:r w:rsidR="00901E71">
        <w:t xml:space="preserve"> confusion as the new WEL list comes into operation, </w:t>
      </w:r>
      <w:r w:rsidR="00A737E9">
        <w:t xml:space="preserve">an </w:t>
      </w:r>
      <w:r w:rsidR="00C631CA">
        <w:t xml:space="preserve">additional </w:t>
      </w:r>
      <w:r w:rsidR="00901E71">
        <w:t xml:space="preserve">transition period is </w:t>
      </w:r>
      <w:r w:rsidR="00C631CA">
        <w:t>not proposed at this stage</w:t>
      </w:r>
      <w:r w:rsidR="00901E71">
        <w:t>. It is acknowledged that there are p</w:t>
      </w:r>
      <w:r w:rsidR="00C84C3A">
        <w:t>rovisions</w:t>
      </w:r>
      <w:r w:rsidR="00901E71">
        <w:t xml:space="preserve"> under </w:t>
      </w:r>
      <w:r w:rsidR="00463155" w:rsidRPr="00463155">
        <w:t>Commonwealth,</w:t>
      </w:r>
      <w:r w:rsidR="00463155">
        <w:t xml:space="preserve"> </w:t>
      </w:r>
      <w:r w:rsidR="00901E71">
        <w:t xml:space="preserve">state and territory </w:t>
      </w:r>
      <w:r w:rsidR="004C2A7E">
        <w:t xml:space="preserve">WHS </w:t>
      </w:r>
      <w:r w:rsidR="00901E71">
        <w:t xml:space="preserve">laws </w:t>
      </w:r>
      <w:r w:rsidR="00D14A55">
        <w:t xml:space="preserve">which allow for </w:t>
      </w:r>
      <w:r w:rsidR="00872EBB">
        <w:t xml:space="preserve">businesses to seek an </w:t>
      </w:r>
      <w:r w:rsidR="00D14A55">
        <w:t>exemption.</w:t>
      </w:r>
      <w:r w:rsidR="00872EBB">
        <w:t xml:space="preserve"> </w:t>
      </w:r>
      <w:r w:rsidR="00D14A55">
        <w:t xml:space="preserve">This avenue will be available to businesses </w:t>
      </w:r>
      <w:r w:rsidR="00A737E9">
        <w:t>who m</w:t>
      </w:r>
      <w:r w:rsidR="00450853">
        <w:t>a</w:t>
      </w:r>
      <w:r w:rsidR="00A737E9">
        <w:t xml:space="preserve">y find they are struggling to meet this timeframe as they get closer to the </w:t>
      </w:r>
      <w:r w:rsidR="78C32DA9">
        <w:t>implementation date</w:t>
      </w:r>
      <w:r w:rsidR="00A737E9">
        <w:t>.</w:t>
      </w:r>
    </w:p>
    <w:p w14:paraId="7393ECA0" w14:textId="6CF01A94" w:rsidR="00B23049" w:rsidRDefault="00463155" w:rsidP="00A250C6">
      <w:pPr>
        <w:spacing w:line="240" w:lineRule="atLeast"/>
        <w:contextualSpacing w:val="0"/>
      </w:pPr>
      <w:r w:rsidRPr="00463155">
        <w:t xml:space="preserve">Some stakeholders, including WHS regulators, have raised concerns regarding measurement issues for some chemicals and impacts for certainty in assessing compliance. Methods exist to measure all 9 chemicals with sufficient sensitivity and certainty to measure compliance at the proposed WEL, with commercially available methods in Australia. </w:t>
      </w:r>
    </w:p>
    <w:p w14:paraId="08E6B114" w14:textId="6740849D" w:rsidR="00972646" w:rsidRDefault="00DF399D" w:rsidP="00A250C6">
      <w:pPr>
        <w:spacing w:line="240" w:lineRule="atLeast"/>
      </w:pPr>
      <w:r>
        <w:t>For the purposes of this</w:t>
      </w:r>
      <w:r w:rsidR="00E67AF2">
        <w:t xml:space="preserve"> Decision RIS, </w:t>
      </w:r>
      <w:r>
        <w:t xml:space="preserve">an assumption was made </w:t>
      </w:r>
      <w:r w:rsidR="005B7B32">
        <w:t>that businesses were compliant with the current WES</w:t>
      </w:r>
      <w:r w:rsidR="00411C8B">
        <w:t xml:space="preserve"> </w:t>
      </w:r>
      <w:r w:rsidR="00C81CDC">
        <w:t>for the 9 chemicals to</w:t>
      </w:r>
      <w:r w:rsidR="00411C8B">
        <w:t xml:space="preserve"> determine the impact of </w:t>
      </w:r>
      <w:r w:rsidR="66D412FE">
        <w:t>implementing the</w:t>
      </w:r>
      <w:r w:rsidR="00411C8B">
        <w:t xml:space="preserve"> proposed WELs. </w:t>
      </w:r>
      <w:r w:rsidR="270EC629">
        <w:t>However</w:t>
      </w:r>
      <w:r w:rsidR="00FC68DB">
        <w:t xml:space="preserve">some stakeholders </w:t>
      </w:r>
      <w:r w:rsidR="00BC3B61">
        <w:t>indicated</w:t>
      </w:r>
      <w:r w:rsidR="00FC68DB">
        <w:t xml:space="preserve"> </w:t>
      </w:r>
      <w:r w:rsidR="00411C8B">
        <w:t xml:space="preserve">this may not be </w:t>
      </w:r>
      <w:r w:rsidR="001B0A76">
        <w:t>true</w:t>
      </w:r>
      <w:r w:rsidR="00D3198F">
        <w:t>,</w:t>
      </w:r>
      <w:r w:rsidR="00FC68DB">
        <w:t xml:space="preserve"> particularly </w:t>
      </w:r>
      <w:r w:rsidR="003B20DB">
        <w:t xml:space="preserve">for </w:t>
      </w:r>
      <w:r w:rsidR="00FC68DB">
        <w:t>small and medium-sized businesses</w:t>
      </w:r>
      <w:r w:rsidR="00D3198F">
        <w:t xml:space="preserve">. In some cases, </w:t>
      </w:r>
      <w:r w:rsidR="003B20DB">
        <w:t xml:space="preserve">it was suggested that </w:t>
      </w:r>
      <w:r w:rsidR="004842DC">
        <w:t>PCBUs</w:t>
      </w:r>
      <w:r w:rsidR="00FC68DB">
        <w:t xml:space="preserve"> may not </w:t>
      </w:r>
      <w:r w:rsidR="002F3EDE">
        <w:t>be aware of</w:t>
      </w:r>
      <w:r w:rsidR="00D3198F">
        <w:t>,</w:t>
      </w:r>
      <w:r w:rsidR="002F3EDE">
        <w:t xml:space="preserve"> or understand</w:t>
      </w:r>
      <w:r w:rsidR="00D3198F">
        <w:t>,</w:t>
      </w:r>
      <w:r w:rsidR="004E1D60">
        <w:t xml:space="preserve"> the current WES</w:t>
      </w:r>
      <w:r w:rsidR="00F55F39">
        <w:t xml:space="preserve"> and </w:t>
      </w:r>
      <w:r w:rsidR="7140796B">
        <w:t xml:space="preserve">the relevent </w:t>
      </w:r>
      <w:r w:rsidR="00F55F39">
        <w:t>requirements</w:t>
      </w:r>
      <w:r w:rsidR="00D3198F">
        <w:t xml:space="preserve"> under the model WHS regulations</w:t>
      </w:r>
      <w:r w:rsidR="00F55F39">
        <w:t xml:space="preserve">. This was previously highlighted as a </w:t>
      </w:r>
      <w:r w:rsidR="002A4CE9">
        <w:t xml:space="preserve">key issue in the </w:t>
      </w:r>
      <w:r w:rsidR="002A124C" w:rsidRPr="002A124C">
        <w:t>2019 WES Review Decision RIS</w:t>
      </w:r>
      <w:r w:rsidR="00BE0BC5">
        <w:t>, with</w:t>
      </w:r>
      <w:r w:rsidR="00B27E06">
        <w:t xml:space="preserve"> stakeholders suggest</w:t>
      </w:r>
      <w:r w:rsidR="00BE0BC5">
        <w:t>ing</w:t>
      </w:r>
      <w:r w:rsidR="00B27E06">
        <w:t xml:space="preserve"> </w:t>
      </w:r>
      <w:r w:rsidR="00BD3B17" w:rsidRPr="00BD3B17">
        <w:t xml:space="preserve">more education, guidance and supporting material </w:t>
      </w:r>
      <w:r w:rsidR="000510B7">
        <w:t xml:space="preserve">from WHS regulators </w:t>
      </w:r>
      <w:r w:rsidR="00BE0BC5">
        <w:t>to</w:t>
      </w:r>
      <w:r w:rsidR="00BD3B17" w:rsidRPr="00BD3B17">
        <w:t xml:space="preserve"> </w:t>
      </w:r>
      <w:r w:rsidR="000510B7">
        <w:t>assist industry, particularly</w:t>
      </w:r>
      <w:r w:rsidR="00BD3B17">
        <w:t xml:space="preserve"> small and medium</w:t>
      </w:r>
      <w:r w:rsidR="6C816686">
        <w:t>-sized</w:t>
      </w:r>
      <w:r w:rsidR="00BD3B17">
        <w:t xml:space="preserve"> businesses</w:t>
      </w:r>
      <w:r w:rsidR="000510B7">
        <w:t>,</w:t>
      </w:r>
      <w:r w:rsidR="00BD3B17">
        <w:t xml:space="preserve"> </w:t>
      </w:r>
      <w:r w:rsidR="00F60299">
        <w:t xml:space="preserve">to understand </w:t>
      </w:r>
      <w:r w:rsidR="000510B7">
        <w:t>the WELs</w:t>
      </w:r>
      <w:r w:rsidR="00F60299">
        <w:t xml:space="preserve"> and compliance with </w:t>
      </w:r>
      <w:r w:rsidR="2F3A9CE7">
        <w:t xml:space="preserve">the </w:t>
      </w:r>
      <w:r w:rsidR="00F60299">
        <w:t xml:space="preserve">WHS laws. </w:t>
      </w:r>
    </w:p>
    <w:p w14:paraId="62515351" w14:textId="77777777" w:rsidR="007D117A" w:rsidRPr="002B5909" w:rsidRDefault="007D117A">
      <w:pPr>
        <w:spacing w:line="240" w:lineRule="atLeast"/>
      </w:pPr>
    </w:p>
    <w:p w14:paraId="2CEF7DC0" w14:textId="00E9B047" w:rsidR="00257B6E" w:rsidRDefault="009517AC" w:rsidP="00A250C6">
      <w:pPr>
        <w:spacing w:line="240" w:lineRule="atLeast"/>
        <w:contextualSpacing w:val="0"/>
      </w:pPr>
      <w:r>
        <w:lastRenderedPageBreak/>
        <w:t xml:space="preserve">Safe Work Australia </w:t>
      </w:r>
      <w:r w:rsidR="00500A9C">
        <w:t xml:space="preserve">has commenced and </w:t>
      </w:r>
      <w:r w:rsidR="00A90FA1">
        <w:t xml:space="preserve">will </w:t>
      </w:r>
      <w:r w:rsidR="00500A9C">
        <w:t>continue to undertake</w:t>
      </w:r>
      <w:r w:rsidR="00A90FA1">
        <w:t xml:space="preserve"> significant communication, awareness raising and education activities in the lead up </w:t>
      </w:r>
      <w:r w:rsidR="00C468E0">
        <w:t xml:space="preserve">and during </w:t>
      </w:r>
      <w:r w:rsidR="00A90FA1">
        <w:t xml:space="preserve">commencement of the WEL </w:t>
      </w:r>
      <w:r w:rsidR="00420667" w:rsidRPr="004452F5">
        <w:t>l</w:t>
      </w:r>
      <w:r w:rsidR="00A90FA1">
        <w:t>ist.</w:t>
      </w:r>
      <w:r w:rsidR="00712F2F">
        <w:t xml:space="preserve"> </w:t>
      </w:r>
      <w:r w:rsidR="00782C04">
        <w:t xml:space="preserve">This will include communications targeted to a range of stakeholders, including PCBUs and workers, </w:t>
      </w:r>
      <w:r w:rsidR="00E53BDB">
        <w:t>to ensure awareness of the changes</w:t>
      </w:r>
      <w:r w:rsidR="00463155">
        <w:t>.</w:t>
      </w:r>
      <w:r w:rsidR="0072767F" w:rsidRPr="0072767F">
        <w:t xml:space="preserve"> </w:t>
      </w:r>
      <w:r w:rsidR="0072767F">
        <w:t xml:space="preserve">This </w:t>
      </w:r>
      <w:r w:rsidR="00257B6E">
        <w:t xml:space="preserve">also </w:t>
      </w:r>
      <w:r w:rsidR="0072767F">
        <w:t>includes developing guidance to address measurement concerns and addressing uncertainty in assessing compliance to assist WHS regulators and technical experts who conduct air monitoring for substances with a WEL</w:t>
      </w:r>
      <w:r w:rsidR="00A02728">
        <w:t>.</w:t>
      </w:r>
      <w:r w:rsidR="00463155">
        <w:t xml:space="preserve"> </w:t>
      </w:r>
    </w:p>
    <w:p w14:paraId="33C1D1C8" w14:textId="22A19C22" w:rsidR="009517AC" w:rsidRPr="002B5909" w:rsidRDefault="00463155" w:rsidP="006B4341">
      <w:pPr>
        <w:spacing w:line="240" w:lineRule="atLeast"/>
        <w:contextualSpacing w:val="0"/>
      </w:pPr>
      <w:r w:rsidRPr="00463155">
        <w:t>Similarly, some jurisdictions have also commenced communication, awareness raising and education activities to assist stakeholders to prepare for the change</w:t>
      </w:r>
      <w:r>
        <w:t>.</w:t>
      </w:r>
      <w:r w:rsidR="00B5662B">
        <w:t xml:space="preserve"> </w:t>
      </w:r>
    </w:p>
    <w:p w14:paraId="59BF2963" w14:textId="6C5E34C1" w:rsidR="00FC3C34" w:rsidRDefault="00576EC0" w:rsidP="00EE0A46">
      <w:pPr>
        <w:pStyle w:val="SWAHeading1"/>
      </w:pPr>
      <w:bookmarkStart w:id="76" w:name="_Toc219216881"/>
      <w:r w:rsidRPr="00576EC0">
        <w:lastRenderedPageBreak/>
        <w:t>How will the chosen option be evaluated</w:t>
      </w:r>
      <w:r>
        <w:t>?</w:t>
      </w:r>
      <w:bookmarkEnd w:id="76"/>
    </w:p>
    <w:p w14:paraId="5E1EAE27" w14:textId="2CF588FB" w:rsidR="00774881" w:rsidRDefault="00743591" w:rsidP="00022B2D">
      <w:pPr>
        <w:spacing w:line="240" w:lineRule="atLeast"/>
        <w:contextualSpacing w:val="0"/>
      </w:pPr>
      <w:r>
        <w:t>It is important to recognise that a</w:t>
      </w:r>
      <w:r w:rsidR="00396E0B">
        <w:t xml:space="preserve"> significant </w:t>
      </w:r>
      <w:r w:rsidR="00500897">
        <w:t xml:space="preserve">review and evaluation </w:t>
      </w:r>
      <w:r w:rsidR="006E4E7E">
        <w:t xml:space="preserve">process </w:t>
      </w:r>
      <w:r w:rsidR="00E52C64">
        <w:t xml:space="preserve">has occurred for these 9 </w:t>
      </w:r>
      <w:r w:rsidR="00774881">
        <w:t>chemicals</w:t>
      </w:r>
      <w:r w:rsidR="00E52C64">
        <w:t xml:space="preserve"> over the past </w:t>
      </w:r>
      <w:r w:rsidR="006E4E7E">
        <w:t>6</w:t>
      </w:r>
      <w:r w:rsidR="00E52C64">
        <w:t xml:space="preserve"> years</w:t>
      </w:r>
      <w:r w:rsidR="00774881">
        <w:t xml:space="preserve"> to support WHS ministers’ consideration of the proposed exposure </w:t>
      </w:r>
      <w:r w:rsidR="770DBBD8">
        <w:t>limits</w:t>
      </w:r>
      <w:r w:rsidR="00774881">
        <w:t xml:space="preserve">. </w:t>
      </w:r>
      <w:r>
        <w:t>Most recently, as part of this Decision RIS, Safe Work Australia sought current evidence</w:t>
      </w:r>
      <w:r w:rsidR="001C475D">
        <w:t xml:space="preserve"> in relation to exposure limits for </w:t>
      </w:r>
      <w:r>
        <w:t xml:space="preserve">the 9 </w:t>
      </w:r>
      <w:r w:rsidR="006E45DA">
        <w:t xml:space="preserve">chemicals </w:t>
      </w:r>
      <w:r w:rsidR="009A1F3F">
        <w:t>considered in</w:t>
      </w:r>
      <w:r w:rsidR="0081529F" w:rsidRPr="0081529F">
        <w:t xml:space="preserve"> this Decision RIS</w:t>
      </w:r>
      <w:r>
        <w:t xml:space="preserve"> and no new evidence has </w:t>
      </w:r>
      <w:r w:rsidR="00056996">
        <w:t xml:space="preserve">been provided </w:t>
      </w:r>
      <w:r>
        <w:t>since the evidence reviews were completed</w:t>
      </w:r>
      <w:r w:rsidR="00E02CA8">
        <w:t xml:space="preserve"> in 2019</w:t>
      </w:r>
      <w:r w:rsidR="002D7177">
        <w:t xml:space="preserve">. </w:t>
      </w:r>
      <w:r w:rsidR="00774881">
        <w:t xml:space="preserve">  </w:t>
      </w:r>
    </w:p>
    <w:p w14:paraId="69A5FE2D" w14:textId="2FE656F0" w:rsidR="00DD668B" w:rsidRDefault="004175DD" w:rsidP="00396E0B">
      <w:pPr>
        <w:contextualSpacing w:val="0"/>
      </w:pPr>
      <w:r>
        <w:t xml:space="preserve">In accordance with the approach to future </w:t>
      </w:r>
      <w:r w:rsidR="001179BF">
        <w:t xml:space="preserve">WEL </w:t>
      </w:r>
      <w:r>
        <w:t xml:space="preserve">reviews agreed by </w:t>
      </w:r>
      <w:r w:rsidR="00C8435E">
        <w:t xml:space="preserve">its </w:t>
      </w:r>
      <w:r>
        <w:t xml:space="preserve">Members, </w:t>
      </w:r>
      <w:r w:rsidR="00774881">
        <w:t>Safe Work Australia wil</w:t>
      </w:r>
      <w:r w:rsidR="007F4EDC">
        <w:t xml:space="preserve">l </w:t>
      </w:r>
      <w:r>
        <w:t xml:space="preserve">review </w:t>
      </w:r>
      <w:r w:rsidR="006C5EA4">
        <w:t xml:space="preserve">the </w:t>
      </w:r>
      <w:r w:rsidR="001459B4">
        <w:t>latest evidence</w:t>
      </w:r>
      <w:r w:rsidR="00DD668B">
        <w:t xml:space="preserve"> on </w:t>
      </w:r>
      <w:r w:rsidR="004B73A0">
        <w:t xml:space="preserve">the health effects from exposure </w:t>
      </w:r>
      <w:r w:rsidR="00DD668B">
        <w:t xml:space="preserve">to </w:t>
      </w:r>
      <w:r w:rsidR="006C5EA4">
        <w:t>airborne contaminants</w:t>
      </w:r>
      <w:r w:rsidR="001459B4">
        <w:t xml:space="preserve"> </w:t>
      </w:r>
      <w:r w:rsidR="00204B5E">
        <w:t xml:space="preserve">and </w:t>
      </w:r>
      <w:r>
        <w:t xml:space="preserve">where new evidence </w:t>
      </w:r>
      <w:r w:rsidR="0042549A">
        <w:t>suggests the current WEL is not health-based</w:t>
      </w:r>
      <w:r w:rsidR="00743591">
        <w:t xml:space="preserve">, will work with Members </w:t>
      </w:r>
      <w:r w:rsidR="00DD668B">
        <w:t xml:space="preserve">in relation to whether a review of specific chemical/s is required.  </w:t>
      </w:r>
    </w:p>
    <w:p w14:paraId="0525EB2A" w14:textId="0F47A9F4" w:rsidR="00463155" w:rsidRPr="00463155" w:rsidRDefault="00463155" w:rsidP="00463155">
      <w:pPr>
        <w:contextualSpacing w:val="0"/>
      </w:pPr>
      <w:r w:rsidRPr="00463155">
        <w:t>Safe Work Australia</w:t>
      </w:r>
      <w:r w:rsidR="5FA8609D">
        <w:t>,</w:t>
      </w:r>
      <w:r w:rsidR="00307C47" w:rsidRPr="00307C47">
        <w:t xml:space="preserve"> with the assistance of jurisdictional and mining WHS regulators (the regulators)</w:t>
      </w:r>
      <w:r w:rsidR="00307C47">
        <w:t>,</w:t>
      </w:r>
      <w:r w:rsidR="00307C47" w:rsidRPr="00463155">
        <w:t xml:space="preserve"> </w:t>
      </w:r>
      <w:r w:rsidRPr="00463155">
        <w:t>will monitor impacts of the new WELs</w:t>
      </w:r>
      <w:r w:rsidR="005A177D">
        <w:t xml:space="preserve"> </w:t>
      </w:r>
      <w:r w:rsidR="005A177D" w:rsidRPr="005A177D">
        <w:t>as follows</w:t>
      </w:r>
      <w:r w:rsidRPr="00463155">
        <w:t>:</w:t>
      </w:r>
    </w:p>
    <w:p w14:paraId="1663E3C1" w14:textId="7B090398" w:rsidR="00A66226" w:rsidRDefault="00A66226" w:rsidP="00A66226">
      <w:pPr>
        <w:pStyle w:val="ListParagraph"/>
        <w:numPr>
          <w:ilvl w:val="0"/>
          <w:numId w:val="78"/>
        </w:numPr>
        <w:tabs>
          <w:tab w:val="left" w:pos="720"/>
        </w:tabs>
      </w:pPr>
      <w:r w:rsidRPr="00463155">
        <w:t xml:space="preserve">review and assess </w:t>
      </w:r>
      <w:r>
        <w:t>qualitative feedback on implementation and impacts of the policy, through regular engagement with Members and affected stakeholders</w:t>
      </w:r>
      <w:r w:rsidR="00F8744C">
        <w:t>,</w:t>
      </w:r>
    </w:p>
    <w:p w14:paraId="1F0AFDDD" w14:textId="43BA34F3" w:rsidR="00463155" w:rsidRPr="00463155" w:rsidRDefault="00463155" w:rsidP="00463155">
      <w:pPr>
        <w:numPr>
          <w:ilvl w:val="0"/>
          <w:numId w:val="78"/>
        </w:numPr>
        <w:contextualSpacing w:val="0"/>
      </w:pPr>
      <w:r w:rsidRPr="00463155">
        <w:t xml:space="preserve">determine whether the new WELs are meeting the policy objective </w:t>
      </w:r>
      <w:r w:rsidR="00A344A9" w:rsidRPr="00A344A9">
        <w:t xml:space="preserve">based on feedback from </w:t>
      </w:r>
      <w:r w:rsidR="75ADC092">
        <w:t>WHS</w:t>
      </w:r>
      <w:r w:rsidR="00A344A9">
        <w:t xml:space="preserve"> </w:t>
      </w:r>
      <w:r w:rsidR="00A344A9" w:rsidRPr="00A344A9">
        <w:t>regulators</w:t>
      </w:r>
      <w:r w:rsidR="00F8744C">
        <w:t>,</w:t>
      </w:r>
    </w:p>
    <w:p w14:paraId="356796A6" w14:textId="598E1F59" w:rsidR="00D50250" w:rsidRDefault="00D50250" w:rsidP="00D50250">
      <w:pPr>
        <w:pStyle w:val="ListParagraph"/>
        <w:numPr>
          <w:ilvl w:val="0"/>
          <w:numId w:val="78"/>
        </w:numPr>
        <w:tabs>
          <w:tab w:val="left" w:pos="720"/>
        </w:tabs>
      </w:pPr>
      <w:r>
        <w:t>collate information from jurisdictional WHS regulators about any exemptions, including reasons to issue the exemption and any conditions applied</w:t>
      </w:r>
      <w:r w:rsidR="00F8744C">
        <w:t>,</w:t>
      </w:r>
    </w:p>
    <w:p w14:paraId="6946785F" w14:textId="3C5587B4" w:rsidR="001F5F73" w:rsidRPr="001F5F73" w:rsidRDefault="001F5F73" w:rsidP="001F5F73">
      <w:pPr>
        <w:numPr>
          <w:ilvl w:val="0"/>
          <w:numId w:val="78"/>
        </w:numPr>
        <w:contextualSpacing w:val="0"/>
      </w:pPr>
      <w:r w:rsidRPr="001F5F73">
        <w:t xml:space="preserve">review information </w:t>
      </w:r>
      <w:r w:rsidR="0338ECCC">
        <w:t xml:space="preserve">from WHS regulators </w:t>
      </w:r>
      <w:r w:rsidRPr="001F5F73">
        <w:t>about assessing and monitoring compliance with the WEL, including any action taken in response to non-compliance regulators</w:t>
      </w:r>
      <w:r w:rsidR="00F8744C">
        <w:t>,</w:t>
      </w:r>
    </w:p>
    <w:p w14:paraId="30E83E31" w14:textId="1FD0B1DE" w:rsidR="000D4671" w:rsidRDefault="000D4671" w:rsidP="000D4671">
      <w:pPr>
        <w:pStyle w:val="ListParagraph"/>
        <w:numPr>
          <w:ilvl w:val="0"/>
          <w:numId w:val="78"/>
        </w:numPr>
        <w:tabs>
          <w:tab w:val="left" w:pos="720"/>
        </w:tabs>
      </w:pPr>
      <w:r>
        <w:t xml:space="preserve">review information </w:t>
      </w:r>
      <w:r w:rsidR="1E4B4338">
        <w:t xml:space="preserve">from WHS regulators </w:t>
      </w:r>
      <w:r>
        <w:t>about inspections of workplaces where workers are at risk of exposure to one or more of 9 chemicals</w:t>
      </w:r>
      <w:r w:rsidR="00F11A8E">
        <w:t>,</w:t>
      </w:r>
    </w:p>
    <w:p w14:paraId="18BB899D" w14:textId="615E8B6C" w:rsidR="00463155" w:rsidRPr="00463155" w:rsidRDefault="00463155" w:rsidP="00463155">
      <w:pPr>
        <w:numPr>
          <w:ilvl w:val="0"/>
          <w:numId w:val="78"/>
        </w:numPr>
        <w:contextualSpacing w:val="0"/>
      </w:pPr>
      <w:r w:rsidRPr="00463155">
        <w:t xml:space="preserve">monitor engagement and interaction with </w:t>
      </w:r>
      <w:r w:rsidR="00F00851" w:rsidRPr="00F00851">
        <w:t xml:space="preserve">Safe Work Australia </w:t>
      </w:r>
      <w:r w:rsidRPr="00463155">
        <w:t>communication and awareness raising activities</w:t>
      </w:r>
      <w:r w:rsidR="00F11A8E">
        <w:t>,</w:t>
      </w:r>
    </w:p>
    <w:p w14:paraId="3076606A" w14:textId="03178F92" w:rsidR="00002FF5" w:rsidRDefault="00002FF5" w:rsidP="00662A90">
      <w:pPr>
        <w:pStyle w:val="ListParagraph"/>
        <w:numPr>
          <w:ilvl w:val="0"/>
          <w:numId w:val="78"/>
        </w:numPr>
        <w:tabs>
          <w:tab w:val="left" w:pos="720"/>
        </w:tabs>
        <w:ind w:left="714" w:hanging="357"/>
        <w:contextualSpacing w:val="0"/>
      </w:pPr>
      <w:r>
        <w:t>monitor international best practice and any changes, including through meetings with international counterparts and experts</w:t>
      </w:r>
      <w:r w:rsidR="00F11A8E">
        <w:t>,</w:t>
      </w:r>
    </w:p>
    <w:p w14:paraId="07214616" w14:textId="0C70A469" w:rsidR="0033489A" w:rsidRDefault="0033489A" w:rsidP="00F441B8">
      <w:pPr>
        <w:pStyle w:val="ListParagraph"/>
        <w:numPr>
          <w:ilvl w:val="0"/>
          <w:numId w:val="78"/>
        </w:numPr>
        <w:tabs>
          <w:tab w:val="left" w:pos="720"/>
        </w:tabs>
        <w:ind w:left="714" w:hanging="357"/>
        <w:contextualSpacing w:val="0"/>
      </w:pPr>
      <w:r>
        <w:t>review workers’ compensation data to monitor impact, including in relation to reductions of adverse health impacts, including psychosocial injuries</w:t>
      </w:r>
      <w:r w:rsidR="00662A90">
        <w:t>, experienced by workers,</w:t>
      </w:r>
      <w:r>
        <w:t xml:space="preserve"> and</w:t>
      </w:r>
    </w:p>
    <w:p w14:paraId="13C3694B" w14:textId="375E068F" w:rsidR="00F50C0C" w:rsidRDefault="00F50C0C" w:rsidP="00F50C0C">
      <w:pPr>
        <w:pStyle w:val="ListParagraph"/>
        <w:numPr>
          <w:ilvl w:val="0"/>
          <w:numId w:val="78"/>
        </w:numPr>
        <w:tabs>
          <w:tab w:val="left" w:pos="720"/>
        </w:tabs>
      </w:pPr>
      <w:r>
        <w:t xml:space="preserve">explore existing data sources and consider potential new data mechanisms to support trend analysis in relation to exposure to chemicals as part of Safe Work Australia’s data functions. </w:t>
      </w:r>
    </w:p>
    <w:p w14:paraId="5F36C8E4" w14:textId="47B481C3" w:rsidR="008D3D1B" w:rsidRDefault="18323426" w:rsidP="008D3D1B">
      <w:pPr>
        <w:pStyle w:val="Paragraph"/>
      </w:pPr>
      <w:r>
        <w:t xml:space="preserve">Monitoring </w:t>
      </w:r>
      <w:r w:rsidR="13A6A8A2">
        <w:t>and</w:t>
      </w:r>
      <w:r>
        <w:t xml:space="preserve"> e</w:t>
      </w:r>
      <w:r w:rsidR="537EA440">
        <w:t xml:space="preserve">valuation will also be considered in the context of the </w:t>
      </w:r>
      <w:hyperlink r:id="rId39">
        <w:r w:rsidR="13A6A8A2" w:rsidRPr="27F845C1">
          <w:rPr>
            <w:rStyle w:val="Hyperlink"/>
            <w:i/>
            <w:iCs/>
          </w:rPr>
          <w:t>Australian WHS Strategy 2023 – 2033</w:t>
        </w:r>
      </w:hyperlink>
      <w:r w:rsidR="13A6A8A2">
        <w:t xml:space="preserve">. </w:t>
      </w:r>
      <w:r w:rsidR="1CE07CA9">
        <w:t>The Strategy includes</w:t>
      </w:r>
      <w:r w:rsidR="4B337D1A">
        <w:t xml:space="preserve"> a target</w:t>
      </w:r>
      <w:r w:rsidR="000770CB" w:rsidDel="4B337D1A">
        <w:t xml:space="preserve"> </w:t>
      </w:r>
      <w:r w:rsidR="4B337D1A">
        <w:t xml:space="preserve">to take action to increase the awareness of PCBUs about their duty to protect workers from exposure to harmful substances, coinciding with the introduction of new </w:t>
      </w:r>
      <w:r w:rsidR="001B7226">
        <w:t>WELs</w:t>
      </w:r>
      <w:r w:rsidR="40C43E98">
        <w:t>. This includes</w:t>
      </w:r>
      <w:r w:rsidR="328F7B0E">
        <w:t xml:space="preserve"> the 9 chemicals subject </w:t>
      </w:r>
      <w:r w:rsidR="40C43E98">
        <w:t>to</w:t>
      </w:r>
      <w:r w:rsidR="328F7B0E">
        <w:t xml:space="preserve"> this Decision RIS</w:t>
      </w:r>
      <w:r w:rsidR="4B337D1A">
        <w:t xml:space="preserve">. </w:t>
      </w:r>
      <w:r w:rsidR="7F8E28B3">
        <w:t>To inform this work, Safe Work Australia is preparing to undertake an Australian Worker Exposure Survey, which will enhance evidence related to workers’ exposures to harmful substances</w:t>
      </w:r>
      <w:r w:rsidR="40C43E98">
        <w:t xml:space="preserve">. </w:t>
      </w:r>
    </w:p>
    <w:p w14:paraId="42815076" w14:textId="1420BDF8" w:rsidR="009911EB" w:rsidRPr="009911EB" w:rsidRDefault="00D27854" w:rsidP="00B57E6C">
      <w:pPr>
        <w:pageBreakBefore/>
        <w:numPr>
          <w:ilvl w:val="2"/>
          <w:numId w:val="10"/>
        </w:numPr>
        <w:spacing w:before="240" w:line="276" w:lineRule="auto"/>
        <w:contextualSpacing w:val="0"/>
        <w:outlineLvl w:val="0"/>
        <w:rPr>
          <w:rFonts w:cs="Arial"/>
          <w:b/>
          <w:bCs/>
          <w:sz w:val="40"/>
          <w:szCs w:val="40"/>
        </w:rPr>
      </w:pPr>
      <w:bookmarkStart w:id="77" w:name="_Toc219216882"/>
      <w:bookmarkEnd w:id="72"/>
      <w:r>
        <w:rPr>
          <w:rFonts w:cs="Arial"/>
          <w:b/>
          <w:bCs/>
          <w:sz w:val="40"/>
          <w:szCs w:val="40"/>
        </w:rPr>
        <w:lastRenderedPageBreak/>
        <w:t xml:space="preserve">Detailed </w:t>
      </w:r>
      <w:r w:rsidR="00B50527">
        <w:rPr>
          <w:rFonts w:cs="Arial"/>
          <w:b/>
          <w:bCs/>
          <w:sz w:val="40"/>
          <w:szCs w:val="40"/>
        </w:rPr>
        <w:t>i</w:t>
      </w:r>
      <w:r w:rsidR="00D02E59">
        <w:rPr>
          <w:rFonts w:cs="Arial"/>
          <w:b/>
          <w:bCs/>
          <w:sz w:val="40"/>
          <w:szCs w:val="40"/>
        </w:rPr>
        <w:t>mpact</w:t>
      </w:r>
      <w:r w:rsidR="00105B80">
        <w:rPr>
          <w:rFonts w:cs="Arial"/>
          <w:b/>
          <w:bCs/>
          <w:sz w:val="40"/>
          <w:szCs w:val="40"/>
        </w:rPr>
        <w:t xml:space="preserve"> </w:t>
      </w:r>
      <w:r w:rsidR="00B50527">
        <w:rPr>
          <w:rFonts w:cs="Arial"/>
          <w:b/>
          <w:bCs/>
          <w:sz w:val="40"/>
          <w:szCs w:val="40"/>
        </w:rPr>
        <w:t>a</w:t>
      </w:r>
      <w:r w:rsidR="00105B80">
        <w:rPr>
          <w:rFonts w:cs="Arial"/>
          <w:b/>
          <w:bCs/>
          <w:sz w:val="40"/>
          <w:szCs w:val="40"/>
        </w:rPr>
        <w:t xml:space="preserve">ssessment for </w:t>
      </w:r>
      <w:r w:rsidR="00B50527">
        <w:rPr>
          <w:rFonts w:cs="Arial"/>
          <w:b/>
          <w:bCs/>
          <w:sz w:val="40"/>
          <w:szCs w:val="40"/>
        </w:rPr>
        <w:t>b</w:t>
      </w:r>
      <w:r w:rsidR="009911EB" w:rsidRPr="009911EB">
        <w:rPr>
          <w:rFonts w:cs="Arial"/>
          <w:b/>
          <w:bCs/>
          <w:sz w:val="40"/>
          <w:szCs w:val="40"/>
        </w:rPr>
        <w:t>enzene</w:t>
      </w:r>
      <w:bookmarkEnd w:id="77"/>
      <w:r w:rsidR="009911EB" w:rsidRPr="009911EB">
        <w:rPr>
          <w:rFonts w:cs="Arial"/>
          <w:b/>
          <w:bCs/>
          <w:sz w:val="40"/>
          <w:szCs w:val="40"/>
        </w:rPr>
        <w:t xml:space="preserve"> </w:t>
      </w:r>
    </w:p>
    <w:tbl>
      <w:tblPr>
        <w:tblStyle w:val="TableGrid"/>
        <w:tblW w:w="0" w:type="auto"/>
        <w:tblLook w:val="04A0" w:firstRow="1" w:lastRow="0" w:firstColumn="1" w:lastColumn="0" w:noHBand="0" w:noVBand="1"/>
      </w:tblPr>
      <w:tblGrid>
        <w:gridCol w:w="9016"/>
      </w:tblGrid>
      <w:tr w:rsidR="009911EB" w:rsidRPr="009911EB" w14:paraId="5A0F610D" w14:textId="77777777">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5F89F5F" w14:textId="77777777" w:rsidR="009911EB" w:rsidRPr="00A62AD3" w:rsidRDefault="009911EB" w:rsidP="00CA6B6E">
            <w:pPr>
              <w:spacing w:before="240"/>
              <w:contextualSpacing w:val="0"/>
              <w:rPr>
                <w:b/>
                <w:bCs/>
                <w:color w:val="2B0A99" w:themeColor="text2"/>
                <w:sz w:val="32"/>
                <w:szCs w:val="32"/>
              </w:rPr>
            </w:pPr>
            <w:bookmarkStart w:id="78" w:name="_Toc194510005"/>
            <w:r w:rsidRPr="00A62AD3">
              <w:rPr>
                <w:b/>
                <w:bCs/>
                <w:color w:val="2B0A99" w:themeColor="text2"/>
                <w:sz w:val="32"/>
                <w:szCs w:val="32"/>
              </w:rPr>
              <w:t>Policy options for benzene</w:t>
            </w:r>
            <w:bookmarkEnd w:id="78"/>
          </w:p>
          <w:p w14:paraId="5E06FDEA" w14:textId="77777777" w:rsidR="009911EB" w:rsidRPr="009911EB" w:rsidRDefault="009911EB" w:rsidP="009911EB">
            <w:pPr>
              <w:keepNext/>
              <w:spacing w:after="200" w:line="240" w:lineRule="atLeast"/>
              <w:contextualSpacing w:val="0"/>
              <w:rPr>
                <w:rFonts w:eastAsia="Times New Roman"/>
              </w:rPr>
            </w:pPr>
            <w:r w:rsidRPr="009911EB">
              <w:rPr>
                <w:rFonts w:eastAsia="Times New Roman"/>
              </w:rPr>
              <w:t>Option 1 is to retain the current TWA of 1 ppm (3.2 mg/m</w:t>
            </w:r>
            <w:r w:rsidRPr="009911EB">
              <w:rPr>
                <w:rFonts w:eastAsia="Times New Roman"/>
                <w:vertAlign w:val="superscript"/>
              </w:rPr>
              <w:t>3</w:t>
            </w:r>
            <w:r w:rsidRPr="009911EB">
              <w:rPr>
                <w:rFonts w:eastAsia="Times New Roman"/>
              </w:rPr>
              <w:t xml:space="preserve">). </w:t>
            </w:r>
          </w:p>
          <w:p w14:paraId="4D47E455" w14:textId="46DAEDCA" w:rsidR="009911EB" w:rsidRPr="009911EB" w:rsidRDefault="009911EB" w:rsidP="009911EB">
            <w:pPr>
              <w:keepNext/>
              <w:spacing w:after="200" w:line="240" w:lineRule="atLeast"/>
              <w:contextualSpacing w:val="0"/>
              <w:rPr>
                <w:rFonts w:eastAsia="Times New Roman"/>
              </w:rPr>
            </w:pPr>
            <w:r w:rsidRPr="009911EB">
              <w:rPr>
                <w:rFonts w:eastAsia="Times New Roman"/>
              </w:rPr>
              <w:t>Option 2 is to change to the proposed TWA of 0.2 ppm (0.7 mg/m</w:t>
            </w:r>
            <w:r w:rsidRPr="009911EB">
              <w:rPr>
                <w:rFonts w:eastAsia="Times New Roman"/>
                <w:vertAlign w:val="superscript"/>
              </w:rPr>
              <w:t>3</w:t>
            </w:r>
            <w:r w:rsidRPr="009911EB">
              <w:rPr>
                <w:rFonts w:eastAsia="Times New Roman"/>
              </w:rPr>
              <w:t>)</w:t>
            </w:r>
            <w:r w:rsidR="00516FF3">
              <w:rPr>
                <w:rFonts w:eastAsia="Times New Roman"/>
              </w:rPr>
              <w:t xml:space="preserve"> – </w:t>
            </w:r>
            <w:r w:rsidR="00B03581" w:rsidRPr="00B03581">
              <w:rPr>
                <w:rFonts w:eastAsia="Times New Roman"/>
                <w:b/>
                <w:bCs/>
              </w:rPr>
              <w:t>recommended</w:t>
            </w:r>
            <w:r w:rsidRPr="009911EB">
              <w:rPr>
                <w:rFonts w:eastAsia="Times New Roman"/>
              </w:rPr>
              <w:t xml:space="preserve">. </w:t>
            </w:r>
          </w:p>
        </w:tc>
      </w:tr>
    </w:tbl>
    <w:p w14:paraId="1B0B1734" w14:textId="2DAB606A" w:rsidR="009911EB" w:rsidRPr="009911EB" w:rsidRDefault="009911EB" w:rsidP="005F78A6">
      <w:pPr>
        <w:pStyle w:val="SWAHeading2"/>
        <w:ind w:left="709"/>
      </w:pPr>
      <w:bookmarkStart w:id="79" w:name="_Toc194510006"/>
      <w:bookmarkStart w:id="80" w:name="_Toc196204609"/>
      <w:bookmarkStart w:id="81" w:name="_Toc219216883"/>
      <w:r w:rsidRPr="009911EB">
        <w:t>Benefits for the proposed WEL for benzene</w:t>
      </w:r>
      <w:bookmarkEnd w:id="79"/>
      <w:bookmarkEnd w:id="80"/>
      <w:bookmarkEnd w:id="81"/>
    </w:p>
    <w:p w14:paraId="1385D373" w14:textId="493DF022" w:rsidR="009911EB" w:rsidRPr="00127C9A" w:rsidRDefault="009911EB" w:rsidP="00F33041">
      <w:pPr>
        <w:pStyle w:val="SWAHeading3"/>
      </w:pPr>
      <w:r w:rsidRPr="00127C9A">
        <w:t xml:space="preserve">Health </w:t>
      </w:r>
      <w:r w:rsidR="004F2ABF">
        <w:t xml:space="preserve">impacts </w:t>
      </w:r>
      <w:r w:rsidR="00DF6574">
        <w:t>related to the</w:t>
      </w:r>
      <w:r w:rsidRPr="00127C9A">
        <w:t xml:space="preserve"> proposed WEL for benzene</w:t>
      </w:r>
    </w:p>
    <w:p w14:paraId="100DA70A" w14:textId="7DB0865C" w:rsidR="009911EB" w:rsidRPr="00CA6B6E" w:rsidRDefault="009911EB" w:rsidP="00CA6B6E">
      <w:pPr>
        <w:keepNext/>
        <w:spacing w:line="240" w:lineRule="auto"/>
        <w:contextualSpacing w:val="0"/>
        <w:rPr>
          <w:rFonts w:asciiTheme="minorHAnsi" w:eastAsia="Times New Roman" w:hAnsiTheme="minorHAnsi" w:cstheme="minorHAnsi"/>
          <w:szCs w:val="22"/>
          <w:lang w:eastAsia="en-AU"/>
        </w:rPr>
      </w:pPr>
      <w:r w:rsidRPr="00CA6B6E">
        <w:rPr>
          <w:rFonts w:asciiTheme="minorHAnsi" w:eastAsia="Times New Roman" w:hAnsiTheme="minorHAnsi" w:cstheme="minorHAnsi"/>
          <w:szCs w:val="22"/>
          <w:lang w:eastAsia="en-AU"/>
        </w:rPr>
        <w:t xml:space="preserve">The proposed </w:t>
      </w:r>
      <w:r w:rsidR="00435793">
        <w:rPr>
          <w:rFonts w:asciiTheme="minorHAnsi" w:eastAsia="Times New Roman" w:hAnsiTheme="minorHAnsi" w:cstheme="minorHAnsi"/>
          <w:szCs w:val="22"/>
          <w:lang w:eastAsia="en-AU"/>
        </w:rPr>
        <w:t xml:space="preserve">TWA </w:t>
      </w:r>
      <w:r w:rsidR="00435793" w:rsidRPr="00E20D8B">
        <w:rPr>
          <w:rFonts w:asciiTheme="minorHAnsi" w:eastAsia="Times New Roman" w:hAnsiTheme="minorHAnsi" w:cstheme="minorHAnsi"/>
          <w:szCs w:val="22"/>
          <w:lang w:eastAsia="en-AU"/>
        </w:rPr>
        <w:t>of 0.2 ppm (0.7 mg/m</w:t>
      </w:r>
      <w:r w:rsidR="00435793" w:rsidRPr="00E20D8B">
        <w:rPr>
          <w:rFonts w:asciiTheme="minorHAnsi" w:eastAsia="Times New Roman" w:hAnsiTheme="minorHAnsi" w:cstheme="minorHAnsi"/>
          <w:szCs w:val="22"/>
          <w:vertAlign w:val="superscript"/>
          <w:lang w:eastAsia="en-AU"/>
        </w:rPr>
        <w:t>3</w:t>
      </w:r>
      <w:r w:rsidR="00435793" w:rsidRPr="00E20D8B">
        <w:rPr>
          <w:rFonts w:asciiTheme="minorHAnsi" w:eastAsia="Times New Roman" w:hAnsiTheme="minorHAnsi" w:cstheme="minorHAnsi"/>
          <w:szCs w:val="22"/>
          <w:lang w:eastAsia="en-AU"/>
        </w:rPr>
        <w:t>)</w:t>
      </w:r>
      <w:r w:rsidR="00435793">
        <w:rPr>
          <w:rFonts w:asciiTheme="minorHAnsi" w:eastAsia="Times New Roman" w:hAnsiTheme="minorHAnsi" w:cstheme="minorHAnsi"/>
          <w:szCs w:val="22"/>
          <w:lang w:eastAsia="en-AU"/>
        </w:rPr>
        <w:t xml:space="preserve"> </w:t>
      </w:r>
      <w:r w:rsidRPr="00CA6B6E">
        <w:rPr>
          <w:rFonts w:asciiTheme="minorHAnsi" w:eastAsia="Times New Roman" w:hAnsiTheme="minorHAnsi" w:cstheme="minorHAnsi"/>
          <w:szCs w:val="22"/>
          <w:lang w:eastAsia="en-AU"/>
        </w:rPr>
        <w:t xml:space="preserve">for benzene </w:t>
      </w:r>
      <w:r w:rsidR="009C43DA">
        <w:rPr>
          <w:rFonts w:asciiTheme="minorHAnsi" w:eastAsia="Times New Roman" w:hAnsiTheme="minorHAnsi" w:cstheme="minorHAnsi"/>
          <w:szCs w:val="22"/>
          <w:lang w:eastAsia="en-AU"/>
        </w:rPr>
        <w:t>will</w:t>
      </w:r>
      <w:r w:rsidRPr="00CA6B6E">
        <w:rPr>
          <w:rFonts w:asciiTheme="minorHAnsi" w:eastAsia="Times New Roman" w:hAnsiTheme="minorHAnsi" w:cstheme="minorHAnsi"/>
          <w:szCs w:val="22"/>
          <w:lang w:eastAsia="en-AU"/>
        </w:rPr>
        <w:t xml:space="preserve"> protect workers and others in the workplace from the risk of developing leukaemia</w:t>
      </w:r>
      <w:r w:rsidR="007612F7" w:rsidRPr="00CA6B6E">
        <w:rPr>
          <w:rFonts w:asciiTheme="minorHAnsi" w:eastAsia="Times New Roman" w:hAnsiTheme="minorHAnsi" w:cstheme="minorHAnsi"/>
          <w:szCs w:val="22"/>
          <w:lang w:eastAsia="en-AU"/>
        </w:rPr>
        <w:t xml:space="preserve"> </w:t>
      </w:r>
      <w:sdt>
        <w:sdtPr>
          <w:rPr>
            <w:rFonts w:asciiTheme="minorHAnsi" w:eastAsia="Times New Roman" w:hAnsiTheme="minorHAnsi" w:cstheme="minorHAnsi"/>
            <w:szCs w:val="22"/>
            <w:lang w:eastAsia="en-AU"/>
          </w:rPr>
          <w:id w:val="-874853012"/>
          <w:citation/>
        </w:sdtPr>
        <w:sdtEndPr/>
        <w:sdtContent>
          <w:r w:rsidR="007612F7" w:rsidRPr="00CA6B6E">
            <w:rPr>
              <w:rFonts w:asciiTheme="minorHAnsi" w:eastAsia="Times New Roman" w:hAnsiTheme="minorHAnsi" w:cstheme="minorHAnsi"/>
              <w:szCs w:val="22"/>
              <w:lang w:eastAsia="en-AU"/>
            </w:rPr>
            <w:fldChar w:fldCharType="begin"/>
          </w:r>
          <w:r w:rsidR="007612F7" w:rsidRPr="00CA6B6E">
            <w:rPr>
              <w:rFonts w:asciiTheme="minorHAnsi" w:eastAsia="Times New Roman" w:hAnsiTheme="minorHAnsi" w:cstheme="minorHAnsi"/>
              <w:szCs w:val="22"/>
              <w:lang w:eastAsia="en-AU"/>
            </w:rPr>
            <w:instrText xml:space="preserve"> CITATION Saf191 \l 3081 </w:instrText>
          </w:r>
          <w:r w:rsidR="007612F7" w:rsidRPr="00CA6B6E">
            <w:rPr>
              <w:rFonts w:asciiTheme="minorHAnsi" w:eastAsia="Times New Roman" w:hAnsiTheme="minorHAnsi" w:cstheme="minorHAnsi"/>
              <w:szCs w:val="22"/>
              <w:lang w:eastAsia="en-AU"/>
            </w:rPr>
            <w:fldChar w:fldCharType="separate"/>
          </w:r>
          <w:r w:rsidR="00490B21" w:rsidRPr="00490B21">
            <w:rPr>
              <w:rFonts w:asciiTheme="minorHAnsi" w:eastAsia="Times New Roman" w:hAnsiTheme="minorHAnsi" w:cstheme="minorHAnsi"/>
              <w:noProof/>
              <w:szCs w:val="22"/>
              <w:lang w:eastAsia="en-AU"/>
            </w:rPr>
            <w:t>(Safe Work Australia, 2019)</w:t>
          </w:r>
          <w:r w:rsidR="007612F7" w:rsidRPr="00CA6B6E">
            <w:rPr>
              <w:rFonts w:asciiTheme="minorHAnsi" w:eastAsia="Times New Roman" w:hAnsiTheme="minorHAnsi" w:cstheme="minorHAnsi"/>
              <w:szCs w:val="22"/>
              <w:lang w:eastAsia="en-AU"/>
            </w:rPr>
            <w:fldChar w:fldCharType="end"/>
          </w:r>
        </w:sdtContent>
      </w:sdt>
      <w:r w:rsidRPr="00CA6B6E">
        <w:rPr>
          <w:rFonts w:asciiTheme="minorHAnsi" w:eastAsia="Times New Roman" w:hAnsiTheme="minorHAnsi" w:cstheme="minorHAnsi"/>
          <w:szCs w:val="22"/>
          <w:lang w:eastAsia="en-AU"/>
        </w:rPr>
        <w:t xml:space="preserve">. </w:t>
      </w:r>
      <w:r w:rsidR="00435793">
        <w:rPr>
          <w:rFonts w:asciiTheme="minorHAnsi" w:eastAsia="Times New Roman" w:hAnsiTheme="minorHAnsi" w:cstheme="minorHAnsi"/>
          <w:szCs w:val="22"/>
          <w:lang w:eastAsia="en-AU"/>
        </w:rPr>
        <w:t>It</w:t>
      </w:r>
      <w:r w:rsidR="0072346C" w:rsidRPr="00CA6B6E">
        <w:rPr>
          <w:rFonts w:asciiTheme="minorHAnsi" w:eastAsia="Times New Roman" w:hAnsiTheme="minorHAnsi" w:cstheme="minorHAnsi"/>
          <w:szCs w:val="22"/>
          <w:lang w:eastAsia="en-AU"/>
        </w:rPr>
        <w:t xml:space="preserve"> is likely to benefit the estimated </w:t>
      </w:r>
      <w:r w:rsidR="00787618">
        <w:rPr>
          <w:rFonts w:asciiTheme="minorHAnsi" w:eastAsia="Times New Roman" w:hAnsiTheme="minorHAnsi" w:cstheme="minorHAnsi"/>
          <w:szCs w:val="22"/>
          <w:lang w:eastAsia="en-AU"/>
        </w:rPr>
        <w:t>156,</w:t>
      </w:r>
      <w:r w:rsidR="00447B04">
        <w:rPr>
          <w:rFonts w:asciiTheme="minorHAnsi" w:eastAsia="Times New Roman" w:hAnsiTheme="minorHAnsi" w:cstheme="minorHAnsi"/>
          <w:szCs w:val="22"/>
          <w:lang w:eastAsia="en-AU"/>
        </w:rPr>
        <w:t>908</w:t>
      </w:r>
      <w:r w:rsidR="0072346C" w:rsidRPr="00CA6B6E">
        <w:rPr>
          <w:rFonts w:asciiTheme="minorHAnsi" w:eastAsia="Times New Roman" w:hAnsiTheme="minorHAnsi" w:cstheme="minorHAnsi"/>
          <w:szCs w:val="22"/>
          <w:lang w:eastAsia="en-AU"/>
        </w:rPr>
        <w:t xml:space="preserve"> workers in Australia who are at risk of exposure to benzene</w:t>
      </w:r>
      <w:r w:rsidR="0035101B">
        <w:rPr>
          <w:rFonts w:asciiTheme="minorHAnsi" w:eastAsia="Times New Roman" w:hAnsiTheme="minorHAnsi" w:cstheme="minorHAnsi"/>
          <w:szCs w:val="22"/>
          <w:lang w:eastAsia="en-AU"/>
        </w:rPr>
        <w:t xml:space="preserve"> each year.</w:t>
      </w:r>
    </w:p>
    <w:p w14:paraId="55892A6B" w14:textId="40232FD2" w:rsidR="009911EB" w:rsidRDefault="00142D6D" w:rsidP="00EC5F6E">
      <w:pPr>
        <w:keepNext/>
        <w:spacing w:line="240" w:lineRule="auto"/>
        <w:contextualSpacing w:val="0"/>
        <w:rPr>
          <w:rFonts w:eastAsia="Times New Roman"/>
          <w:lang w:eastAsia="en-AU"/>
        </w:rPr>
      </w:pPr>
      <w:hyperlink r:id="rId40" w:history="1">
        <w:r w:rsidRPr="00CD297D">
          <w:rPr>
            <w:rStyle w:val="Hyperlink"/>
            <w:rFonts w:eastAsia="Times New Roman"/>
            <w:lang w:eastAsia="en-AU"/>
          </w:rPr>
          <w:t>Health evidence</w:t>
        </w:r>
      </w:hyperlink>
      <w:r>
        <w:rPr>
          <w:rFonts w:eastAsia="Times New Roman"/>
          <w:lang w:eastAsia="en-AU"/>
        </w:rPr>
        <w:t xml:space="preserve"> in the</w:t>
      </w:r>
      <w:r w:rsidR="310BD91C" w:rsidRPr="009911EB">
        <w:rPr>
          <w:rFonts w:eastAsia="Times New Roman"/>
          <w:lang w:eastAsia="en-AU"/>
        </w:rPr>
        <w:t xml:space="preserve"> </w:t>
      </w:r>
      <w:r w:rsidR="00CD297D" w:rsidRPr="00C8478C">
        <w:rPr>
          <w:rFonts w:eastAsia="Times New Roman"/>
          <w:lang w:eastAsia="en-AU"/>
        </w:rPr>
        <w:t>evaluation report for benzene</w:t>
      </w:r>
      <w:r w:rsidR="310BD91C" w:rsidRPr="009911EB">
        <w:rPr>
          <w:rFonts w:eastAsia="Times New Roman"/>
          <w:lang w:eastAsia="en-AU"/>
        </w:rPr>
        <w:t xml:space="preserve"> showed </w:t>
      </w:r>
      <w:r w:rsidR="0D18C3AD">
        <w:rPr>
          <w:rFonts w:eastAsia="Times New Roman"/>
          <w:lang w:eastAsia="en-AU"/>
        </w:rPr>
        <w:t>exposures at or just below the</w:t>
      </w:r>
      <w:r w:rsidR="310BD91C" w:rsidRPr="009911EB">
        <w:rPr>
          <w:rFonts w:eastAsia="Times New Roman"/>
          <w:lang w:eastAsia="en-AU"/>
        </w:rPr>
        <w:t xml:space="preserve"> current </w:t>
      </w:r>
      <w:r w:rsidR="62A86F40">
        <w:rPr>
          <w:rFonts w:eastAsia="Times New Roman"/>
          <w:lang w:eastAsia="en-AU"/>
        </w:rPr>
        <w:t>TWA of 1 ppm</w:t>
      </w:r>
      <w:r w:rsidR="62A86F40" w:rsidRPr="009911EB">
        <w:rPr>
          <w:rFonts w:eastAsia="Times New Roman"/>
          <w:lang w:eastAsia="en-AU"/>
        </w:rPr>
        <w:t xml:space="preserve"> </w:t>
      </w:r>
      <w:r w:rsidR="310BD91C" w:rsidRPr="009911EB">
        <w:rPr>
          <w:rFonts w:eastAsia="Times New Roman"/>
          <w:lang w:eastAsia="en-AU"/>
        </w:rPr>
        <w:t xml:space="preserve">for benzene </w:t>
      </w:r>
      <w:r w:rsidR="55190B3E">
        <w:rPr>
          <w:rFonts w:eastAsia="Times New Roman"/>
          <w:lang w:eastAsia="en-AU"/>
        </w:rPr>
        <w:t xml:space="preserve">can </w:t>
      </w:r>
      <w:r w:rsidR="09F33D16">
        <w:rPr>
          <w:rFonts w:eastAsia="Times New Roman"/>
          <w:lang w:eastAsia="en-AU"/>
        </w:rPr>
        <w:t xml:space="preserve">cause </w:t>
      </w:r>
      <w:r w:rsidR="09F33D16" w:rsidRPr="00A6761D">
        <w:rPr>
          <w:rFonts w:eastAsia="Times New Roman"/>
          <w:lang w:eastAsia="en-AU"/>
        </w:rPr>
        <w:t>haematotoxicity, genotoxicity and carcinogenicity</w:t>
      </w:r>
      <w:r w:rsidR="09F33D16">
        <w:rPr>
          <w:rFonts w:eastAsia="Times New Roman"/>
          <w:lang w:eastAsia="en-AU"/>
        </w:rPr>
        <w:t xml:space="preserve"> in exposed workers</w:t>
      </w:r>
      <w:r w:rsidR="1F3F9F99">
        <w:rPr>
          <w:rFonts w:eastAsia="Times New Roman"/>
          <w:lang w:eastAsia="en-AU"/>
        </w:rPr>
        <w:t xml:space="preserve"> </w:t>
      </w:r>
      <w:sdt>
        <w:sdtPr>
          <w:rPr>
            <w:rFonts w:eastAsia="Times New Roman"/>
            <w:lang w:eastAsia="en-AU"/>
          </w:rPr>
          <w:id w:val="973806400"/>
          <w:citation/>
        </w:sdtPr>
        <w:sdtEndPr/>
        <w:sdtContent>
          <w:r w:rsidR="0084040E">
            <w:rPr>
              <w:rFonts w:eastAsia="Times New Roman"/>
              <w:lang w:eastAsia="en-AU"/>
            </w:rPr>
            <w:fldChar w:fldCharType="begin"/>
          </w:r>
          <w:r w:rsidR="0084040E">
            <w:rPr>
              <w:rFonts w:eastAsia="Times New Roman"/>
              <w:lang w:eastAsia="en-AU"/>
            </w:rPr>
            <w:instrText xml:space="preserve"> CITATION Saf191 \l 3081 </w:instrText>
          </w:r>
          <w:r w:rsidR="0084040E">
            <w:rPr>
              <w:rFonts w:eastAsia="Times New Roman"/>
              <w:lang w:eastAsia="en-AU"/>
            </w:rPr>
            <w:fldChar w:fldCharType="separate"/>
          </w:r>
          <w:r w:rsidR="00490B21" w:rsidRPr="00490B21">
            <w:rPr>
              <w:rFonts w:eastAsia="Times New Roman"/>
              <w:noProof/>
              <w:lang w:eastAsia="en-AU"/>
            </w:rPr>
            <w:t>(Safe Work Australia, 2019)</w:t>
          </w:r>
          <w:r w:rsidR="0084040E">
            <w:rPr>
              <w:rFonts w:eastAsia="Times New Roman"/>
              <w:lang w:eastAsia="en-AU"/>
            </w:rPr>
            <w:fldChar w:fldCharType="end"/>
          </w:r>
        </w:sdtContent>
      </w:sdt>
      <w:r w:rsidR="7EF9970A">
        <w:rPr>
          <w:rFonts w:eastAsia="Times New Roman"/>
          <w:lang w:eastAsia="en-AU"/>
        </w:rPr>
        <w:t xml:space="preserve">. </w:t>
      </w:r>
      <w:r w:rsidR="61AB805F">
        <w:rPr>
          <w:rFonts w:eastAsia="Times New Roman"/>
          <w:lang w:eastAsia="en-AU"/>
        </w:rPr>
        <w:t>Therefore,</w:t>
      </w:r>
      <w:r w:rsidR="310BD91C" w:rsidRPr="009911EB" w:rsidDel="00973899">
        <w:rPr>
          <w:rFonts w:eastAsia="Times New Roman"/>
          <w:lang w:eastAsia="en-AU"/>
        </w:rPr>
        <w:t xml:space="preserve"> </w:t>
      </w:r>
      <w:r w:rsidR="310BD91C" w:rsidRPr="009911EB" w:rsidDel="00FB1814">
        <w:rPr>
          <w:rFonts w:eastAsia="Times New Roman"/>
          <w:lang w:eastAsia="en-AU"/>
        </w:rPr>
        <w:t>the</w:t>
      </w:r>
      <w:r w:rsidR="310BD91C" w:rsidRPr="009911EB" w:rsidDel="006A63E0">
        <w:rPr>
          <w:rFonts w:eastAsia="Times New Roman"/>
          <w:lang w:eastAsia="en-AU"/>
        </w:rPr>
        <w:t xml:space="preserve"> </w:t>
      </w:r>
      <w:r w:rsidR="310BD91C" w:rsidRPr="009911EB">
        <w:rPr>
          <w:rFonts w:eastAsia="Times New Roman"/>
          <w:lang w:eastAsia="en-AU"/>
        </w:rPr>
        <w:t xml:space="preserve">current TWA can result in an increased risk of developing leukaemia </w:t>
      </w:r>
      <w:r w:rsidR="47BD265B" w:rsidRPr="009911EB">
        <w:rPr>
          <w:rFonts w:eastAsia="Times New Roman"/>
          <w:lang w:eastAsia="en-AU"/>
        </w:rPr>
        <w:t>in</w:t>
      </w:r>
      <w:r w:rsidR="310BD91C" w:rsidRPr="009911EB">
        <w:rPr>
          <w:rFonts w:eastAsia="Times New Roman"/>
          <w:lang w:eastAsia="en-AU"/>
        </w:rPr>
        <w:t xml:space="preserve"> exposed workers</w:t>
      </w:r>
      <w:r w:rsidR="008D086A">
        <w:rPr>
          <w:rFonts w:eastAsia="Times New Roman"/>
          <w:lang w:eastAsia="en-AU"/>
        </w:rPr>
        <w:t xml:space="preserve">, </w:t>
      </w:r>
      <w:r w:rsidR="00657424">
        <w:rPr>
          <w:rFonts w:eastAsia="Times New Roman"/>
          <w:lang w:eastAsia="en-AU"/>
        </w:rPr>
        <w:t xml:space="preserve">and the </w:t>
      </w:r>
      <w:r w:rsidR="006C30AE">
        <w:rPr>
          <w:rFonts w:eastAsia="Times New Roman"/>
          <w:lang w:eastAsia="en-AU"/>
        </w:rPr>
        <w:t xml:space="preserve">proposed TWA </w:t>
      </w:r>
      <w:r w:rsidR="00A40518">
        <w:rPr>
          <w:rFonts w:eastAsia="Times New Roman"/>
          <w:lang w:eastAsia="en-AU"/>
        </w:rPr>
        <w:t xml:space="preserve">is </w:t>
      </w:r>
      <w:r w:rsidR="006C30AE">
        <w:rPr>
          <w:rFonts w:eastAsia="Times New Roman"/>
          <w:lang w:eastAsia="en-AU"/>
        </w:rPr>
        <w:t>recommended to protect workers from this risk</w:t>
      </w:r>
      <w:r w:rsidR="310BD91C" w:rsidRPr="009911EB">
        <w:rPr>
          <w:rFonts w:eastAsia="Times New Roman"/>
          <w:lang w:eastAsia="en-AU"/>
        </w:rPr>
        <w:t xml:space="preserve">. </w:t>
      </w:r>
    </w:p>
    <w:p w14:paraId="1338FD46" w14:textId="4CBB4F5F" w:rsidR="00232635" w:rsidRPr="00BE21A0" w:rsidRDefault="00232635">
      <w:pPr>
        <w:keepNext/>
        <w:spacing w:line="240" w:lineRule="auto"/>
        <w:contextualSpacing w:val="0"/>
        <w:rPr>
          <w:rFonts w:eastAsia="Times New Roman"/>
          <w:lang w:eastAsia="en-AU"/>
        </w:rPr>
      </w:pPr>
      <w:r w:rsidRPr="006D6899">
        <w:rPr>
          <w:rFonts w:eastAsia="Times New Roman"/>
          <w:lang w:eastAsia="en-AU"/>
        </w:rPr>
        <w:t xml:space="preserve">The proposed TWA </w:t>
      </w:r>
      <w:r w:rsidRPr="00BE21A0">
        <w:rPr>
          <w:rFonts w:eastAsia="Times New Roman"/>
          <w:lang w:eastAsia="en-AU"/>
        </w:rPr>
        <w:t>of 0.2 ppm (0.7 mg/m</w:t>
      </w:r>
      <w:r w:rsidRPr="00F6765F">
        <w:rPr>
          <w:rFonts w:eastAsia="Times New Roman"/>
          <w:vertAlign w:val="superscript"/>
          <w:lang w:eastAsia="en-AU"/>
        </w:rPr>
        <w:t>3</w:t>
      </w:r>
      <w:r w:rsidRPr="00BE21A0">
        <w:rPr>
          <w:rFonts w:eastAsia="Times New Roman"/>
          <w:lang w:eastAsia="en-AU"/>
        </w:rPr>
        <w:t xml:space="preserve">) </w:t>
      </w:r>
      <w:r w:rsidRPr="006D6899">
        <w:rPr>
          <w:rFonts w:eastAsia="Times New Roman"/>
          <w:lang w:eastAsia="en-AU"/>
        </w:rPr>
        <w:t xml:space="preserve">for benzene was determined in accordance with the health-based methodology agreed by WHS ministers (and which relied on the scientific evidence available at the time of the review from trusted international and national sources).  </w:t>
      </w:r>
    </w:p>
    <w:p w14:paraId="785F6195" w14:textId="25215AF6" w:rsidR="0050641D" w:rsidRPr="00BE21A0" w:rsidRDefault="0050641D">
      <w:pPr>
        <w:keepNext/>
        <w:spacing w:line="240" w:lineRule="auto"/>
        <w:contextualSpacing w:val="0"/>
        <w:rPr>
          <w:rFonts w:eastAsia="Times New Roman"/>
          <w:lang w:eastAsia="en-AU"/>
        </w:rPr>
      </w:pPr>
      <w:r w:rsidRPr="00BE21A0">
        <w:rPr>
          <w:rFonts w:eastAsia="Times New Roman"/>
          <w:lang w:eastAsia="en-AU"/>
        </w:rPr>
        <w:t>The evaluation for benzene</w:t>
      </w:r>
      <w:r w:rsidRPr="00634848">
        <w:rPr>
          <w:rStyle w:val="FootnoteReference"/>
          <w:rFonts w:eastAsiaTheme="majorEastAsia" w:cs="Arial"/>
          <w:sz w:val="24"/>
          <w:szCs w:val="22"/>
        </w:rPr>
        <w:footnoteReference w:id="20"/>
      </w:r>
      <w:r w:rsidRPr="00BE21A0">
        <w:rPr>
          <w:rFonts w:eastAsia="Times New Roman"/>
          <w:lang w:eastAsia="en-AU"/>
        </w:rPr>
        <w:t>,</w:t>
      </w:r>
      <w:r w:rsidRPr="00BE21A0">
        <w:rPr>
          <w:rStyle w:val="FootnoteReference"/>
          <w:rFonts w:eastAsiaTheme="majorEastAsia" w:cs="Arial"/>
          <w:b/>
          <w:bCs/>
          <w:sz w:val="24"/>
          <w:szCs w:val="22"/>
        </w:rPr>
        <w:t xml:space="preserve"> </w:t>
      </w:r>
      <w:r w:rsidRPr="00BE21A0">
        <w:rPr>
          <w:rFonts w:eastAsia="Times New Roman"/>
          <w:lang w:eastAsia="en-AU"/>
        </w:rPr>
        <w:t xml:space="preserve">employed a weight of evidence approach, considering information from </w:t>
      </w:r>
      <w:r w:rsidR="00482B86" w:rsidRPr="006D6899">
        <w:rPr>
          <w:rFonts w:eastAsia="Times New Roman"/>
          <w:lang w:eastAsia="en-AU"/>
        </w:rPr>
        <w:t>multiple</w:t>
      </w:r>
      <w:r w:rsidR="00171A1A" w:rsidRPr="006D6899">
        <w:rPr>
          <w:rFonts w:eastAsia="Times New Roman"/>
          <w:lang w:eastAsia="en-AU"/>
        </w:rPr>
        <w:t xml:space="preserve"> </w:t>
      </w:r>
      <w:r w:rsidRPr="00BE21A0">
        <w:rPr>
          <w:rFonts w:eastAsia="Times New Roman"/>
          <w:lang w:eastAsia="en-AU"/>
        </w:rPr>
        <w:t xml:space="preserve">agreed primary sources supported by information from agreed secondary sources </w:t>
      </w:r>
      <w:sdt>
        <w:sdtPr>
          <w:rPr>
            <w:rFonts w:eastAsia="Times New Roman"/>
            <w:lang w:eastAsia="en-AU"/>
          </w:rPr>
          <w:id w:val="1717778607"/>
          <w:citation/>
        </w:sdtPr>
        <w:sdtEndPr/>
        <w:sdtContent>
          <w:r w:rsidRPr="006D6899">
            <w:rPr>
              <w:rFonts w:eastAsia="Times New Roman"/>
              <w:lang w:eastAsia="en-AU"/>
            </w:rPr>
            <w:fldChar w:fldCharType="begin"/>
          </w:r>
          <w:r w:rsidRPr="00195AF2">
            <w:rPr>
              <w:rFonts w:eastAsia="Times New Roman"/>
              <w:lang w:eastAsia="en-AU"/>
            </w:rPr>
            <w:instrText xml:space="preserve"> CITATION Saf181 \l 3081 </w:instrText>
          </w:r>
          <w:r w:rsidRPr="006D6899">
            <w:rPr>
              <w:rFonts w:eastAsia="Times New Roman"/>
              <w:lang w:eastAsia="en-AU"/>
            </w:rPr>
            <w:fldChar w:fldCharType="separate"/>
          </w:r>
          <w:r w:rsidR="00490B21" w:rsidRPr="00490B21">
            <w:rPr>
              <w:rFonts w:eastAsia="Times New Roman"/>
              <w:noProof/>
              <w:lang w:eastAsia="en-AU"/>
            </w:rPr>
            <w:t>(Safe Work Australia, 2018)</w:t>
          </w:r>
          <w:r w:rsidRPr="006D6899">
            <w:rPr>
              <w:rFonts w:eastAsia="Times New Roman"/>
              <w:lang w:eastAsia="en-AU"/>
            </w:rPr>
            <w:fldChar w:fldCharType="end"/>
          </w:r>
        </w:sdtContent>
      </w:sdt>
      <w:r w:rsidRPr="00BE21A0">
        <w:rPr>
          <w:rFonts w:eastAsia="Times New Roman"/>
          <w:lang w:eastAsia="en-AU"/>
        </w:rPr>
        <w:t xml:space="preserve">. </w:t>
      </w:r>
    </w:p>
    <w:p w14:paraId="11F91AAA" w14:textId="56FC9BFC" w:rsidR="009F4AB8" w:rsidRPr="006D6899" w:rsidRDefault="004E528E" w:rsidP="00923A37">
      <w:pPr>
        <w:pStyle w:val="SWAHeading4"/>
      </w:pPr>
      <w:r w:rsidRPr="006D6899">
        <w:t xml:space="preserve">International </w:t>
      </w:r>
      <w:r w:rsidR="004F2ABF" w:rsidRPr="006D6899">
        <w:t xml:space="preserve">precedent </w:t>
      </w:r>
    </w:p>
    <w:p w14:paraId="270B268F" w14:textId="6540328D" w:rsidR="00CD0EFC" w:rsidRPr="006D6899" w:rsidRDefault="009911EB" w:rsidP="00FF3276">
      <w:pPr>
        <w:pStyle w:val="Paragraph"/>
      </w:pPr>
      <w:bookmarkStart w:id="82" w:name="_Hlk210753973"/>
      <w:r w:rsidRPr="006D6899">
        <w:rPr>
          <w:rFonts w:cs="Arial"/>
        </w:rPr>
        <w:t>Th</w:t>
      </w:r>
      <w:r w:rsidR="00DF6574" w:rsidRPr="006D6899">
        <w:rPr>
          <w:rFonts w:cs="Arial"/>
        </w:rPr>
        <w:t>e</w:t>
      </w:r>
      <w:r w:rsidRPr="006D6899">
        <w:rPr>
          <w:rFonts w:cs="Arial"/>
        </w:rPr>
        <w:t xml:space="preserve"> proposed WEL for benzene is </w:t>
      </w:r>
      <w:r w:rsidR="00CD0EFC" w:rsidRPr="006D6899">
        <w:rPr>
          <w:rFonts w:cs="Arial"/>
        </w:rPr>
        <w:t xml:space="preserve">consistent with </w:t>
      </w:r>
      <w:r w:rsidR="00426F25" w:rsidRPr="006D6899">
        <w:rPr>
          <w:rFonts w:cs="Arial"/>
        </w:rPr>
        <w:t>that recommended by</w:t>
      </w:r>
      <w:r w:rsidRPr="006D6899">
        <w:rPr>
          <w:rFonts w:cs="Arial"/>
        </w:rPr>
        <w:t xml:space="preserve"> the </w:t>
      </w:r>
      <w:r w:rsidRPr="006D6899">
        <w:t>Health Council of the Netherlands (HCOTN)</w:t>
      </w:r>
      <w:r w:rsidR="00045016" w:rsidRPr="006D6899">
        <w:t xml:space="preserve"> </w:t>
      </w:r>
      <w:sdt>
        <w:sdtPr>
          <w:id w:val="1346524338"/>
          <w:citation/>
        </w:sdtPr>
        <w:sdtEndPr/>
        <w:sdtContent>
          <w:r w:rsidR="00045016" w:rsidRPr="006D6899">
            <w:fldChar w:fldCharType="begin"/>
          </w:r>
          <w:r w:rsidR="00045016" w:rsidRPr="006D6899">
            <w:instrText xml:space="preserve"> CITATION Hea14 \l 3081 </w:instrText>
          </w:r>
          <w:r w:rsidR="00045016" w:rsidRPr="006D6899">
            <w:fldChar w:fldCharType="separate"/>
          </w:r>
          <w:r w:rsidR="00490B21">
            <w:rPr>
              <w:noProof/>
            </w:rPr>
            <w:t>(Health Council of the Netherlands, 2014)</w:t>
          </w:r>
          <w:r w:rsidR="00045016" w:rsidRPr="006D6899">
            <w:fldChar w:fldCharType="end"/>
          </w:r>
        </w:sdtContent>
      </w:sdt>
      <w:r w:rsidR="00CD0EFC" w:rsidRPr="006D6899">
        <w:t>.</w:t>
      </w:r>
    </w:p>
    <w:p w14:paraId="597FBF5E" w14:textId="306F888C" w:rsidR="001E61B4" w:rsidRPr="006D6899" w:rsidRDefault="00FF43BF" w:rsidP="00BE21A0">
      <w:r w:rsidRPr="00A675C5">
        <w:rPr>
          <w:rFonts w:eastAsia="Times New Roman"/>
          <w:lang w:eastAsia="en-AU"/>
        </w:rPr>
        <w:t xml:space="preserve">HCOTN was selected as a primary source as they have international credibility, develop standards through consensus that are health-based and based on evaluation of appropriate data, and their documentation of evaluations is accessible and robust </w:t>
      </w:r>
      <w:sdt>
        <w:sdtPr>
          <w:rPr>
            <w:rFonts w:eastAsia="Times New Roman"/>
            <w:lang w:eastAsia="en-AU"/>
          </w:rPr>
          <w:id w:val="-1418783641"/>
          <w:citation/>
        </w:sdtPr>
        <w:sdtEndPr/>
        <w:sdtContent>
          <w:r w:rsidRPr="00BE21A0">
            <w:rPr>
              <w:rFonts w:eastAsia="Times New Roman"/>
              <w:lang w:eastAsia="en-AU"/>
            </w:rPr>
            <w:fldChar w:fldCharType="begin"/>
          </w:r>
          <w:r w:rsidRPr="00A675C5">
            <w:rPr>
              <w:rFonts w:eastAsia="Times New Roman"/>
              <w:lang w:eastAsia="en-AU"/>
            </w:rPr>
            <w:instrText xml:space="preserve"> CITATION Saf181 \l 3081 </w:instrText>
          </w:r>
          <w:r w:rsidRPr="00BE21A0">
            <w:rPr>
              <w:rFonts w:eastAsia="Times New Roman"/>
              <w:lang w:eastAsia="en-AU"/>
            </w:rPr>
            <w:fldChar w:fldCharType="separate"/>
          </w:r>
          <w:r w:rsidR="00490B21" w:rsidRPr="00490B21">
            <w:rPr>
              <w:rFonts w:eastAsia="Times New Roman"/>
              <w:noProof/>
              <w:lang w:eastAsia="en-AU"/>
            </w:rPr>
            <w:t>(Safe Work Australia, 2018)</w:t>
          </w:r>
          <w:r w:rsidRPr="00BE21A0">
            <w:rPr>
              <w:rFonts w:eastAsia="Times New Roman"/>
              <w:lang w:eastAsia="en-AU"/>
            </w:rPr>
            <w:fldChar w:fldCharType="end"/>
          </w:r>
        </w:sdtContent>
      </w:sdt>
      <w:r w:rsidRPr="00A675C5">
        <w:rPr>
          <w:rFonts w:eastAsia="Times New Roman"/>
          <w:lang w:eastAsia="en-AU"/>
        </w:rPr>
        <w:t xml:space="preserve">. </w:t>
      </w:r>
    </w:p>
    <w:p w14:paraId="418A5618" w14:textId="26690FDF" w:rsidR="00157CE4" w:rsidRPr="006D6899" w:rsidRDefault="00963434" w:rsidP="00FF3276">
      <w:pPr>
        <w:pStyle w:val="Paragraph"/>
      </w:pPr>
      <w:r w:rsidRPr="006D6899">
        <w:t>HCOTN</w:t>
      </w:r>
      <w:r w:rsidR="00464243" w:rsidRPr="006D6899">
        <w:t>’s</w:t>
      </w:r>
      <w:r w:rsidRPr="006D6899">
        <w:t xml:space="preserve"> </w:t>
      </w:r>
      <w:r w:rsidR="003B514F" w:rsidRPr="006D6899">
        <w:t xml:space="preserve">recommendations </w:t>
      </w:r>
      <w:r w:rsidR="00157CE4" w:rsidRPr="006D6899">
        <w:t xml:space="preserve">are used as a basis to set legally binding occupational </w:t>
      </w:r>
      <w:r w:rsidR="00065FA3" w:rsidRPr="006D6899">
        <w:t>exposure limits in the Netherlands</w:t>
      </w:r>
      <w:r w:rsidR="00CD0EFC" w:rsidRPr="006D6899">
        <w:t xml:space="preserve"> </w:t>
      </w:r>
      <w:sdt>
        <w:sdtPr>
          <w:id w:val="-498261994"/>
          <w:citation/>
        </w:sdtPr>
        <w:sdtEndPr/>
        <w:sdtContent>
          <w:r w:rsidR="00CD0EFC" w:rsidRPr="006D6899">
            <w:fldChar w:fldCharType="begin"/>
          </w:r>
          <w:r w:rsidR="00CD0EFC" w:rsidRPr="006D6899">
            <w:instrText xml:space="preserve"> CITATION Hea21 \l 3081 </w:instrText>
          </w:r>
          <w:r w:rsidR="00CD0EFC" w:rsidRPr="006D6899">
            <w:fldChar w:fldCharType="separate"/>
          </w:r>
          <w:r w:rsidR="00490B21">
            <w:rPr>
              <w:noProof/>
            </w:rPr>
            <w:t>(Health Council of the Netherlands, 2021)</w:t>
          </w:r>
          <w:r w:rsidR="00CD0EFC" w:rsidRPr="006D6899">
            <w:fldChar w:fldCharType="end"/>
          </w:r>
        </w:sdtContent>
      </w:sdt>
      <w:r w:rsidR="00065FA3" w:rsidRPr="006D6899">
        <w:t xml:space="preserve">. </w:t>
      </w:r>
    </w:p>
    <w:bookmarkEnd w:id="82"/>
    <w:p w14:paraId="003F734B" w14:textId="60AD9561" w:rsidR="009911EB" w:rsidRPr="009911EB" w:rsidRDefault="00327423" w:rsidP="00923A37">
      <w:pPr>
        <w:spacing w:after="240" w:line="240" w:lineRule="auto"/>
        <w:contextualSpacing w:val="0"/>
        <w:rPr>
          <w:rFonts w:eastAsia="Times New Roman"/>
          <w:lang w:eastAsia="en-AU"/>
        </w:rPr>
      </w:pPr>
      <w:r>
        <w:rPr>
          <w:rFonts w:eastAsia="Times New Roman" w:cs="Arial"/>
          <w:lang w:eastAsia="en-AU"/>
        </w:rPr>
        <w:t>A</w:t>
      </w:r>
      <w:r w:rsidR="009911EB" w:rsidRPr="009911EB">
        <w:rPr>
          <w:rFonts w:eastAsia="Times New Roman" w:cs="Arial"/>
          <w:lang w:eastAsia="en-AU"/>
        </w:rPr>
        <w:t xml:space="preserve"> TWA of 0.2 ppm (0.7 mg/m</w:t>
      </w:r>
      <w:r w:rsidR="009911EB" w:rsidRPr="009911EB">
        <w:rPr>
          <w:rFonts w:eastAsia="Times New Roman" w:cs="Arial"/>
          <w:vertAlign w:val="superscript"/>
          <w:lang w:eastAsia="en-AU"/>
        </w:rPr>
        <w:t>3</w:t>
      </w:r>
      <w:r w:rsidR="009911EB" w:rsidRPr="009911EB">
        <w:rPr>
          <w:rFonts w:eastAsia="Times New Roman" w:cs="Arial"/>
          <w:lang w:eastAsia="en-AU"/>
        </w:rPr>
        <w:t xml:space="preserve">) for benzene </w:t>
      </w:r>
      <w:r w:rsidR="00AD0E1F">
        <w:rPr>
          <w:rFonts w:eastAsia="Times New Roman" w:cs="Arial"/>
          <w:lang w:eastAsia="en-AU"/>
        </w:rPr>
        <w:t>will be</w:t>
      </w:r>
      <w:r w:rsidR="009911EB" w:rsidRPr="009911EB">
        <w:rPr>
          <w:rFonts w:eastAsia="Times New Roman" w:cs="Arial"/>
          <w:lang w:eastAsia="en-AU"/>
        </w:rPr>
        <w:t xml:space="preserve"> </w:t>
      </w:r>
      <w:r w:rsidR="00615AE7">
        <w:rPr>
          <w:rFonts w:eastAsia="Times New Roman" w:cs="Arial"/>
          <w:lang w:eastAsia="en-AU"/>
        </w:rPr>
        <w:t>legislated</w:t>
      </w:r>
      <w:r w:rsidR="00615AE7" w:rsidRPr="009911EB">
        <w:rPr>
          <w:rFonts w:eastAsia="Times New Roman" w:cs="Arial"/>
          <w:lang w:eastAsia="en-AU"/>
        </w:rPr>
        <w:t xml:space="preserve"> </w:t>
      </w:r>
      <w:r w:rsidR="009911EB" w:rsidRPr="009911EB">
        <w:rPr>
          <w:rFonts w:eastAsia="Times New Roman" w:cs="Arial"/>
          <w:lang w:eastAsia="en-AU"/>
        </w:rPr>
        <w:t xml:space="preserve">in the European Union </w:t>
      </w:r>
      <w:r w:rsidR="00195F6B">
        <w:rPr>
          <w:rFonts w:eastAsia="Times New Roman" w:cs="Arial"/>
          <w:lang w:eastAsia="en-AU"/>
        </w:rPr>
        <w:t xml:space="preserve">(EU) </w:t>
      </w:r>
      <w:r w:rsidR="009911EB" w:rsidRPr="009911EB">
        <w:rPr>
          <w:rFonts w:eastAsia="Times New Roman" w:cs="Arial"/>
          <w:lang w:eastAsia="en-AU"/>
        </w:rPr>
        <w:t>and most of its member states from 5 April 2026</w:t>
      </w:r>
      <w:r w:rsidR="00C8478C">
        <w:rPr>
          <w:rFonts w:eastAsia="Times New Roman" w:cs="Arial"/>
          <w:lang w:eastAsia="en-AU"/>
        </w:rPr>
        <w:t xml:space="preserve"> </w:t>
      </w:r>
      <w:r w:rsidR="00D52CEC">
        <w:rPr>
          <w:rFonts w:eastAsia="Times New Roman" w:cs="Arial"/>
          <w:lang w:eastAsia="en-AU"/>
        </w:rPr>
        <w:t xml:space="preserve">on the basis </w:t>
      </w:r>
      <w:r w:rsidR="00C84D8A">
        <w:rPr>
          <w:rFonts w:eastAsia="Times New Roman" w:cs="Arial"/>
          <w:lang w:eastAsia="en-AU"/>
        </w:rPr>
        <w:t>that benzene is a carcinogen</w:t>
      </w:r>
      <w:r w:rsidR="00A2367B">
        <w:rPr>
          <w:rFonts w:eastAsia="Times New Roman" w:cs="Arial"/>
          <w:lang w:eastAsia="en-AU"/>
        </w:rPr>
        <w:t xml:space="preserve"> </w:t>
      </w:r>
      <w:sdt>
        <w:sdtPr>
          <w:rPr>
            <w:rFonts w:eastAsia="Times New Roman" w:cs="Arial"/>
            <w:lang w:eastAsia="en-AU"/>
          </w:rPr>
          <w:id w:val="-157612305"/>
          <w:citation/>
        </w:sdtPr>
        <w:sdtEndPr/>
        <w:sdtContent>
          <w:r w:rsidR="00891BB5">
            <w:rPr>
              <w:rFonts w:eastAsia="Times New Roman" w:cs="Arial"/>
              <w:lang w:eastAsia="en-AU"/>
            </w:rPr>
            <w:fldChar w:fldCharType="begin"/>
          </w:r>
          <w:r w:rsidR="00891BB5">
            <w:rPr>
              <w:rFonts w:eastAsia="Times New Roman" w:cs="Arial"/>
              <w:lang w:eastAsia="en-AU"/>
            </w:rPr>
            <w:instrText xml:space="preserve"> CITATION Eur22 \l 3081 </w:instrText>
          </w:r>
          <w:r w:rsidR="00891BB5">
            <w:rPr>
              <w:rFonts w:eastAsia="Times New Roman" w:cs="Arial"/>
              <w:lang w:eastAsia="en-AU"/>
            </w:rPr>
            <w:fldChar w:fldCharType="separate"/>
          </w:r>
          <w:r w:rsidR="00490B21" w:rsidRPr="00490B21">
            <w:rPr>
              <w:rFonts w:eastAsia="Times New Roman" w:cs="Arial"/>
              <w:noProof/>
              <w:lang w:eastAsia="en-AU"/>
            </w:rPr>
            <w:t>(European Commission, 2022)</w:t>
          </w:r>
          <w:r w:rsidR="00891BB5">
            <w:rPr>
              <w:rFonts w:eastAsia="Times New Roman" w:cs="Arial"/>
              <w:lang w:eastAsia="en-AU"/>
            </w:rPr>
            <w:fldChar w:fldCharType="end"/>
          </w:r>
        </w:sdtContent>
      </w:sdt>
      <w:r w:rsidR="00C36424">
        <w:rPr>
          <w:rFonts w:eastAsia="Times New Roman" w:cs="Arial"/>
          <w:lang w:eastAsia="en-AU"/>
        </w:rPr>
        <w:t>.</w:t>
      </w:r>
      <w:r w:rsidR="00714E47">
        <w:rPr>
          <w:rFonts w:eastAsia="Times New Roman" w:cs="Arial"/>
          <w:lang w:eastAsia="en-AU"/>
        </w:rPr>
        <w:t xml:space="preserve"> </w:t>
      </w:r>
      <w:r w:rsidR="00BE67E9">
        <w:rPr>
          <w:rFonts w:eastAsia="Times New Roman" w:cs="Arial"/>
          <w:lang w:eastAsia="en-AU"/>
        </w:rPr>
        <w:t>C</w:t>
      </w:r>
      <w:r w:rsidR="00195F6B">
        <w:rPr>
          <w:rFonts w:eastAsia="Times New Roman" w:cs="Arial"/>
          <w:lang w:eastAsia="en-AU"/>
        </w:rPr>
        <w:t>ancer is the</w:t>
      </w:r>
      <w:r w:rsidR="000E3A2C">
        <w:rPr>
          <w:rFonts w:eastAsia="Times New Roman" w:cs="Arial"/>
          <w:lang w:eastAsia="en-AU"/>
        </w:rPr>
        <w:t xml:space="preserve"> leading cause of work-related deaths and the </w:t>
      </w:r>
      <w:r w:rsidR="00195F6B">
        <w:rPr>
          <w:rFonts w:eastAsia="Times New Roman" w:cs="Arial"/>
          <w:lang w:eastAsia="en-AU"/>
        </w:rPr>
        <w:t xml:space="preserve">second leading cause of death </w:t>
      </w:r>
      <w:r w:rsidR="000E3A2C">
        <w:rPr>
          <w:rFonts w:eastAsia="Times New Roman" w:cs="Arial"/>
          <w:lang w:eastAsia="en-AU"/>
        </w:rPr>
        <w:t>within its population</w:t>
      </w:r>
      <w:r w:rsidR="00150CF3">
        <w:rPr>
          <w:rFonts w:eastAsia="Times New Roman" w:cs="Arial"/>
          <w:lang w:eastAsia="en-AU"/>
        </w:rPr>
        <w:t xml:space="preserve">, which impacts a person’s </w:t>
      </w:r>
      <w:r w:rsidR="00150CF3" w:rsidRPr="00150CF3">
        <w:rPr>
          <w:rFonts w:eastAsia="Times New Roman" w:cs="Arial"/>
          <w:lang w:eastAsia="en-AU"/>
        </w:rPr>
        <w:t>health, family life, national health and social systems, governmental budgets and the productivity and growth of the economy.</w:t>
      </w:r>
      <w:r w:rsidR="000E3A2C">
        <w:rPr>
          <w:rFonts w:eastAsia="Times New Roman" w:cs="Arial"/>
          <w:lang w:eastAsia="en-AU"/>
        </w:rPr>
        <w:t xml:space="preserve"> As such, </w:t>
      </w:r>
      <w:r w:rsidR="0073426C">
        <w:rPr>
          <w:rFonts w:eastAsia="Times New Roman" w:cs="Arial"/>
          <w:lang w:eastAsia="en-AU"/>
        </w:rPr>
        <w:t xml:space="preserve">the </w:t>
      </w:r>
      <w:r w:rsidR="00051BBF">
        <w:rPr>
          <w:rFonts w:eastAsia="Times New Roman" w:cs="Arial"/>
          <w:lang w:eastAsia="en-AU"/>
        </w:rPr>
        <w:t>EU has made it an urgent priority to reduce cancer</w:t>
      </w:r>
      <w:r w:rsidR="0073426C">
        <w:rPr>
          <w:rFonts w:eastAsia="Times New Roman" w:cs="Arial"/>
          <w:lang w:eastAsia="en-AU"/>
        </w:rPr>
        <w:t xml:space="preserve">. </w:t>
      </w:r>
      <w:r w:rsidR="00BE67E9" w:rsidRPr="00BE67E9">
        <w:rPr>
          <w:rFonts w:eastAsia="Times New Roman" w:cs="Arial"/>
          <w:lang w:eastAsia="en-AU"/>
        </w:rPr>
        <w:t>Th</w:t>
      </w:r>
      <w:r w:rsidR="00A55373">
        <w:rPr>
          <w:rFonts w:eastAsia="Times New Roman" w:cs="Arial"/>
          <w:lang w:eastAsia="en-AU"/>
        </w:rPr>
        <w:t xml:space="preserve">is occupational exposure limit for benzene </w:t>
      </w:r>
      <w:r w:rsidR="00BE67E9" w:rsidRPr="00BE67E9">
        <w:rPr>
          <w:rFonts w:eastAsia="Times New Roman" w:cs="Arial"/>
          <w:lang w:eastAsia="en-AU"/>
        </w:rPr>
        <w:t xml:space="preserve">specifically aims to improve workers’ health </w:t>
      </w:r>
      <w:r w:rsidR="00BE67E9" w:rsidRPr="00BE67E9">
        <w:rPr>
          <w:rFonts w:eastAsia="Times New Roman" w:cs="Arial"/>
          <w:lang w:eastAsia="en-AU"/>
        </w:rPr>
        <w:lastRenderedPageBreak/>
        <w:t>and safety protection by reducing occupational exposure to</w:t>
      </w:r>
      <w:r w:rsidR="001F2CF5">
        <w:rPr>
          <w:rFonts w:eastAsia="Times New Roman" w:cs="Arial"/>
          <w:lang w:eastAsia="en-AU"/>
        </w:rPr>
        <w:t xml:space="preserve"> benzene</w:t>
      </w:r>
      <w:r w:rsidR="00D92CD8">
        <w:rPr>
          <w:rFonts w:eastAsia="Times New Roman" w:cs="Arial"/>
          <w:lang w:eastAsia="en-AU"/>
        </w:rPr>
        <w:t xml:space="preserve">, </w:t>
      </w:r>
      <w:r w:rsidR="009806CA">
        <w:rPr>
          <w:rFonts w:eastAsia="Times New Roman" w:cs="Arial"/>
          <w:lang w:eastAsia="en-AU"/>
        </w:rPr>
        <w:t>prevent</w:t>
      </w:r>
      <w:r w:rsidR="00D92CD8">
        <w:rPr>
          <w:rFonts w:eastAsia="Times New Roman" w:cs="Arial"/>
          <w:lang w:eastAsia="en-AU"/>
        </w:rPr>
        <w:t xml:space="preserve">ing </w:t>
      </w:r>
      <w:r w:rsidR="00A55373" w:rsidRPr="00A55373">
        <w:rPr>
          <w:rFonts w:eastAsia="Times New Roman" w:cs="Arial"/>
          <w:lang w:eastAsia="en-AU"/>
        </w:rPr>
        <w:t>182 cases of leukaemia</w:t>
      </w:r>
      <w:r w:rsidR="009806CA">
        <w:rPr>
          <w:rFonts w:eastAsia="Times New Roman" w:cs="Arial"/>
          <w:lang w:eastAsia="en-AU"/>
        </w:rPr>
        <w:t xml:space="preserve">, </w:t>
      </w:r>
      <w:r w:rsidR="00A55373" w:rsidRPr="00A55373">
        <w:rPr>
          <w:rFonts w:eastAsia="Times New Roman" w:cs="Arial"/>
          <w:lang w:eastAsia="en-AU"/>
        </w:rPr>
        <w:t>189 cases of leukocytopenia</w:t>
      </w:r>
      <w:r w:rsidR="00C15D4B">
        <w:rPr>
          <w:rFonts w:eastAsia="Times New Roman" w:cs="Arial"/>
          <w:lang w:eastAsia="en-AU"/>
        </w:rPr>
        <w:t xml:space="preserve"> (</w:t>
      </w:r>
      <w:r w:rsidR="00C15D4B" w:rsidRPr="00C15D4B">
        <w:rPr>
          <w:rFonts w:eastAsia="Times New Roman" w:cs="Arial"/>
          <w:lang w:eastAsia="en-AU"/>
        </w:rPr>
        <w:t>a condition characteri</w:t>
      </w:r>
      <w:r w:rsidR="00AD0E1F">
        <w:rPr>
          <w:rFonts w:eastAsia="Times New Roman" w:cs="Arial"/>
          <w:lang w:eastAsia="en-AU"/>
        </w:rPr>
        <w:t>s</w:t>
      </w:r>
      <w:r w:rsidR="00C15D4B" w:rsidRPr="00C15D4B">
        <w:rPr>
          <w:rFonts w:eastAsia="Times New Roman" w:cs="Arial"/>
          <w:lang w:eastAsia="en-AU"/>
        </w:rPr>
        <w:t>ed by a lower-than-normal number of white blood cells</w:t>
      </w:r>
      <w:r w:rsidR="00C15D4B">
        <w:rPr>
          <w:rFonts w:eastAsia="Times New Roman" w:cs="Arial"/>
          <w:lang w:eastAsia="en-AU"/>
        </w:rPr>
        <w:t xml:space="preserve"> in the bloodstream)</w:t>
      </w:r>
      <w:r w:rsidR="00A55373" w:rsidRPr="00A55373">
        <w:rPr>
          <w:rFonts w:eastAsia="Times New Roman" w:cs="Arial"/>
          <w:lang w:eastAsia="en-AU"/>
        </w:rPr>
        <w:t>, and a monetised health benefit of €121-198 million</w:t>
      </w:r>
      <w:r w:rsidR="007E5AE6">
        <w:rPr>
          <w:rFonts w:eastAsia="Times New Roman" w:cs="Arial"/>
          <w:lang w:eastAsia="en-AU"/>
        </w:rPr>
        <w:t xml:space="preserve"> </w:t>
      </w:r>
      <w:r w:rsidR="00D905D9">
        <w:rPr>
          <w:rFonts w:eastAsia="Times New Roman" w:cs="Arial"/>
          <w:lang w:eastAsia="en-AU"/>
        </w:rPr>
        <w:t>(</w:t>
      </w:r>
      <w:r w:rsidR="00AD0E1F">
        <w:rPr>
          <w:rFonts w:eastAsia="Times New Roman" w:cs="Arial"/>
          <w:lang w:eastAsia="en-AU"/>
        </w:rPr>
        <w:t xml:space="preserve">approximately </w:t>
      </w:r>
      <w:r w:rsidR="009A3BC4">
        <w:rPr>
          <w:rFonts w:eastAsia="Times New Roman" w:cs="Arial"/>
          <w:lang w:eastAsia="en-AU"/>
        </w:rPr>
        <w:t>$216-</w:t>
      </w:r>
      <w:r w:rsidR="00B54CED">
        <w:rPr>
          <w:rFonts w:eastAsia="Times New Roman" w:cs="Arial"/>
          <w:lang w:eastAsia="en-AU"/>
        </w:rPr>
        <w:t>355 AUD million</w:t>
      </w:r>
      <w:r w:rsidR="00D905D9">
        <w:rPr>
          <w:rFonts w:eastAsia="Times New Roman" w:cs="Arial"/>
          <w:lang w:eastAsia="en-AU"/>
        </w:rPr>
        <w:t>)</w:t>
      </w:r>
      <w:r w:rsidR="00494AF4">
        <w:rPr>
          <w:rFonts w:eastAsia="Times New Roman" w:cs="Arial"/>
          <w:lang w:eastAsia="en-AU"/>
        </w:rPr>
        <w:t xml:space="preserve"> over a 60 year period</w:t>
      </w:r>
      <w:sdt>
        <w:sdtPr>
          <w:rPr>
            <w:rFonts w:eastAsia="Times New Roman" w:cs="Arial"/>
            <w:lang w:eastAsia="en-AU"/>
          </w:rPr>
          <w:id w:val="-733459860"/>
          <w:citation/>
        </w:sdtPr>
        <w:sdtEndPr/>
        <w:sdtContent>
          <w:r w:rsidR="00A2367B">
            <w:rPr>
              <w:rFonts w:eastAsia="Times New Roman" w:cs="Arial"/>
              <w:lang w:eastAsia="en-AU"/>
            </w:rPr>
            <w:fldChar w:fldCharType="begin"/>
          </w:r>
          <w:r w:rsidR="00A2367B">
            <w:rPr>
              <w:rFonts w:eastAsia="Times New Roman" w:cs="Arial"/>
              <w:lang w:eastAsia="en-AU"/>
            </w:rPr>
            <w:instrText xml:space="preserve"> CITATION Eur20 \l 3081 </w:instrText>
          </w:r>
          <w:r w:rsidR="00A2367B">
            <w:rPr>
              <w:rFonts w:eastAsia="Times New Roman" w:cs="Arial"/>
              <w:lang w:eastAsia="en-AU"/>
            </w:rPr>
            <w:fldChar w:fldCharType="separate"/>
          </w:r>
          <w:r w:rsidR="00490B21">
            <w:rPr>
              <w:rFonts w:eastAsia="Times New Roman" w:cs="Arial"/>
              <w:noProof/>
              <w:lang w:eastAsia="en-AU"/>
            </w:rPr>
            <w:t xml:space="preserve"> </w:t>
          </w:r>
          <w:r w:rsidR="00490B21" w:rsidRPr="00490B21">
            <w:rPr>
              <w:rFonts w:eastAsia="Times New Roman" w:cs="Arial"/>
              <w:noProof/>
              <w:lang w:eastAsia="en-AU"/>
            </w:rPr>
            <w:t>(European Commission, 2020)</w:t>
          </w:r>
          <w:r w:rsidR="00A2367B">
            <w:rPr>
              <w:rFonts w:eastAsia="Times New Roman" w:cs="Arial"/>
              <w:lang w:eastAsia="en-AU"/>
            </w:rPr>
            <w:fldChar w:fldCharType="end"/>
          </w:r>
        </w:sdtContent>
      </w:sdt>
      <w:r w:rsidR="00A55373" w:rsidRPr="00A55373">
        <w:rPr>
          <w:rFonts w:eastAsia="Times New Roman" w:cs="Arial"/>
          <w:lang w:eastAsia="en-AU"/>
        </w:rPr>
        <w:t>.</w:t>
      </w:r>
      <w:r w:rsidR="001F2CF5">
        <w:rPr>
          <w:rFonts w:eastAsia="Times New Roman" w:cs="Arial"/>
          <w:lang w:eastAsia="en-AU"/>
        </w:rPr>
        <w:t xml:space="preserve"> </w:t>
      </w:r>
    </w:p>
    <w:p w14:paraId="2A74D688" w14:textId="0A1CA54C" w:rsidR="00547D17" w:rsidRDefault="00547D17" w:rsidP="00085789">
      <w:pPr>
        <w:pStyle w:val="SWAHeading4"/>
        <w:keepNext/>
        <w:spacing w:line="240" w:lineRule="auto"/>
        <w:rPr>
          <w:lang w:eastAsia="en-AU"/>
        </w:rPr>
      </w:pPr>
      <w:r>
        <w:rPr>
          <w:lang w:eastAsia="en-AU"/>
        </w:rPr>
        <w:t>Quantifi</w:t>
      </w:r>
      <w:r w:rsidR="00A91661">
        <w:rPr>
          <w:lang w:eastAsia="en-AU"/>
        </w:rPr>
        <w:t>able</w:t>
      </w:r>
      <w:r>
        <w:rPr>
          <w:lang w:eastAsia="en-AU"/>
        </w:rPr>
        <w:t xml:space="preserve"> health benefits for proposed WEL for benzene</w:t>
      </w:r>
    </w:p>
    <w:p w14:paraId="126485CB" w14:textId="3F13D011" w:rsidR="009911EB" w:rsidRDefault="009911EB" w:rsidP="00085789">
      <w:pPr>
        <w:keepNext/>
        <w:spacing w:before="120" w:after="240" w:line="240" w:lineRule="auto"/>
        <w:contextualSpacing w:val="0"/>
        <w:rPr>
          <w:rFonts w:eastAsia="Times New Roman"/>
          <w:lang w:eastAsia="en-AU"/>
        </w:rPr>
      </w:pPr>
      <w:r w:rsidRPr="009911EB">
        <w:rPr>
          <w:rFonts w:eastAsia="Times New Roman"/>
          <w:lang w:eastAsia="en-AU"/>
        </w:rPr>
        <w:t xml:space="preserve">Minimising incidence of </w:t>
      </w:r>
      <w:r w:rsidR="0018779C">
        <w:rPr>
          <w:rFonts w:eastAsia="Times New Roman"/>
          <w:lang w:eastAsia="en-AU"/>
        </w:rPr>
        <w:t>occupational disease</w:t>
      </w:r>
      <w:r w:rsidRPr="009911EB">
        <w:rPr>
          <w:rFonts w:eastAsia="Times New Roman"/>
          <w:lang w:eastAsia="en-AU"/>
        </w:rPr>
        <w:t xml:space="preserve"> attributable to occupational exposure to benzene </w:t>
      </w:r>
      <w:r w:rsidR="00CC2D1B">
        <w:rPr>
          <w:rFonts w:eastAsia="Times New Roman"/>
          <w:lang w:eastAsia="en-AU"/>
        </w:rPr>
        <w:t>is estimated to</w:t>
      </w:r>
      <w:r w:rsidR="00B17EDD">
        <w:rPr>
          <w:rFonts w:eastAsia="Times New Roman"/>
          <w:lang w:eastAsia="en-AU"/>
        </w:rPr>
        <w:t xml:space="preserve"> deliver</w:t>
      </w:r>
      <w:r w:rsidR="00CC2D1B">
        <w:rPr>
          <w:rFonts w:eastAsia="Times New Roman"/>
          <w:lang w:eastAsia="en-AU"/>
        </w:rPr>
        <w:t xml:space="preserve"> </w:t>
      </w:r>
      <w:r w:rsidRPr="009911EB">
        <w:rPr>
          <w:rFonts w:eastAsia="Times New Roman"/>
          <w:lang w:eastAsia="en-AU"/>
        </w:rPr>
        <w:t>$434 million over 10-years in</w:t>
      </w:r>
      <w:r w:rsidRPr="009911EB" w:rsidDel="00005F20">
        <w:rPr>
          <w:rFonts w:eastAsia="Times New Roman"/>
          <w:lang w:eastAsia="en-AU"/>
        </w:rPr>
        <w:t xml:space="preserve"> </w:t>
      </w:r>
      <w:r w:rsidR="00005F20">
        <w:rPr>
          <w:rFonts w:eastAsia="Times New Roman"/>
          <w:lang w:eastAsia="en-AU"/>
        </w:rPr>
        <w:t>improved</w:t>
      </w:r>
      <w:r w:rsidR="00CA53BC">
        <w:rPr>
          <w:rFonts w:eastAsia="Times New Roman"/>
          <w:lang w:eastAsia="en-AU"/>
        </w:rPr>
        <w:t xml:space="preserve"> </w:t>
      </w:r>
      <w:r w:rsidRPr="009911EB">
        <w:rPr>
          <w:rFonts w:eastAsia="Times New Roman"/>
          <w:lang w:eastAsia="en-AU"/>
        </w:rPr>
        <w:t>health</w:t>
      </w:r>
      <w:r w:rsidR="00005F20">
        <w:rPr>
          <w:rFonts w:eastAsia="Times New Roman"/>
          <w:lang w:eastAsia="en-AU"/>
        </w:rPr>
        <w:t xml:space="preserve"> outcome</w:t>
      </w:r>
      <w:r w:rsidRPr="009911EB">
        <w:rPr>
          <w:rFonts w:eastAsia="Times New Roman"/>
          <w:lang w:eastAsia="en-AU"/>
        </w:rPr>
        <w:t xml:space="preserve"> benefits</w:t>
      </w:r>
      <w:r w:rsidR="00C71A04">
        <w:rPr>
          <w:rFonts w:eastAsia="Times New Roman"/>
          <w:lang w:eastAsia="en-AU"/>
        </w:rPr>
        <w:t xml:space="preserve">, as demonstrated </w:t>
      </w:r>
      <w:r w:rsidR="007D2412">
        <w:rPr>
          <w:rFonts w:eastAsia="Times New Roman"/>
          <w:lang w:eastAsia="en-AU"/>
        </w:rPr>
        <w:t>in</w:t>
      </w:r>
      <w:r w:rsidR="000F5884">
        <w:rPr>
          <w:rFonts w:eastAsia="Times New Roman"/>
          <w:lang w:eastAsia="en-AU"/>
        </w:rPr>
        <w:t xml:space="preserve"> </w:t>
      </w:r>
      <w:r w:rsidR="000F5884">
        <w:rPr>
          <w:rFonts w:eastAsia="Times New Roman"/>
          <w:lang w:eastAsia="en-AU"/>
        </w:rPr>
        <w:fldChar w:fldCharType="begin"/>
      </w:r>
      <w:r w:rsidR="000F5884">
        <w:rPr>
          <w:rFonts w:eastAsia="Times New Roman"/>
          <w:lang w:eastAsia="en-AU"/>
        </w:rPr>
        <w:instrText xml:space="preserve"> REF _Ref199856605 \h </w:instrText>
      </w:r>
      <w:r w:rsidR="000F5884">
        <w:rPr>
          <w:rFonts w:eastAsia="Times New Roman"/>
          <w:lang w:eastAsia="en-AU"/>
        </w:rPr>
      </w:r>
      <w:r w:rsidR="000F5884">
        <w:rPr>
          <w:rFonts w:eastAsia="Times New Roman"/>
          <w:lang w:eastAsia="en-AU"/>
        </w:rPr>
        <w:fldChar w:fldCharType="separate"/>
      </w:r>
      <w:r w:rsidR="00A002F4">
        <w:t xml:space="preserve">Table </w:t>
      </w:r>
      <w:r w:rsidR="00A002F4">
        <w:rPr>
          <w:noProof/>
        </w:rPr>
        <w:t>8</w:t>
      </w:r>
      <w:r w:rsidR="000F5884">
        <w:rPr>
          <w:rFonts w:eastAsia="Times New Roman"/>
          <w:lang w:eastAsia="en-AU"/>
        </w:rPr>
        <w:fldChar w:fldCharType="end"/>
      </w:r>
      <w:r w:rsidR="000F5884">
        <w:rPr>
          <w:rFonts w:eastAsia="Times New Roman"/>
          <w:b/>
          <w:lang w:eastAsia="en-AU"/>
        </w:rPr>
        <w:t>.</w:t>
      </w:r>
      <w:r w:rsidRPr="009911EB">
        <w:rPr>
          <w:rFonts w:eastAsia="Times New Roman"/>
          <w:lang w:eastAsia="en-AU"/>
        </w:rPr>
        <w:t xml:space="preserve"> This reflects the notable current burden of leukaemia attributable to occupational exposure to benzene, which is estimated to be 279 disability-adjusted life years (DALYs) in 2027, based on the IHME GDB Study</w:t>
      </w:r>
      <w:r w:rsidR="00DB5DFF">
        <w:rPr>
          <w:rFonts w:eastAsia="Times New Roman"/>
          <w:lang w:eastAsia="en-AU"/>
        </w:rPr>
        <w:t xml:space="preserve"> </w:t>
      </w:r>
      <w:sdt>
        <w:sdtPr>
          <w:rPr>
            <w:rFonts w:eastAsia="Times New Roman"/>
            <w:lang w:eastAsia="en-AU"/>
          </w:rPr>
          <w:id w:val="-1726439598"/>
          <w:citation/>
        </w:sdtPr>
        <w:sdtEndPr/>
        <w:sdtContent>
          <w:r w:rsidR="00DB5DFF">
            <w:rPr>
              <w:rFonts w:eastAsia="Times New Roman"/>
              <w:lang w:eastAsia="en-AU"/>
            </w:rPr>
            <w:fldChar w:fldCharType="begin"/>
          </w:r>
          <w:r w:rsidR="00DB5DFF">
            <w:rPr>
              <w:rFonts w:eastAsia="Times New Roman"/>
              <w:lang w:eastAsia="en-AU"/>
            </w:rPr>
            <w:instrText xml:space="preserve"> CITATION Ins24 \l 3081 </w:instrText>
          </w:r>
          <w:r w:rsidR="00DB5DFF">
            <w:rPr>
              <w:rFonts w:eastAsia="Times New Roman"/>
              <w:lang w:eastAsia="en-AU"/>
            </w:rPr>
            <w:fldChar w:fldCharType="separate"/>
          </w:r>
          <w:r w:rsidR="00490B21" w:rsidRPr="00490B21">
            <w:rPr>
              <w:rFonts w:eastAsia="Times New Roman"/>
              <w:noProof/>
              <w:lang w:eastAsia="en-AU"/>
            </w:rPr>
            <w:t>(Institute For Health Metrics and Evaluation, 2024)</w:t>
          </w:r>
          <w:r w:rsidR="00DB5DFF">
            <w:rPr>
              <w:rFonts w:eastAsia="Times New Roman"/>
              <w:lang w:eastAsia="en-AU"/>
            </w:rPr>
            <w:fldChar w:fldCharType="end"/>
          </w:r>
        </w:sdtContent>
      </w:sdt>
      <w:r w:rsidRPr="009911EB">
        <w:rPr>
          <w:rFonts w:eastAsia="Times New Roman"/>
          <w:lang w:eastAsia="en-AU"/>
        </w:rPr>
        <w:t>.</w:t>
      </w:r>
    </w:p>
    <w:p w14:paraId="07EB053C" w14:textId="3ECD8419" w:rsidR="0057775E" w:rsidRPr="009911EB" w:rsidRDefault="00436804" w:rsidP="00085789">
      <w:pPr>
        <w:keepNext/>
        <w:spacing w:before="120" w:after="240" w:line="240" w:lineRule="auto"/>
        <w:contextualSpacing w:val="0"/>
        <w:rPr>
          <w:rFonts w:eastAsia="Times New Roman"/>
          <w:lang w:eastAsia="en-AU"/>
        </w:rPr>
      </w:pPr>
      <w:r>
        <w:rPr>
          <w:rFonts w:eastAsia="Times New Roman"/>
          <w:lang w:eastAsia="en-AU"/>
        </w:rPr>
        <w:t>It is</w:t>
      </w:r>
      <w:r w:rsidR="00AB0EC0">
        <w:rPr>
          <w:rFonts w:eastAsia="Times New Roman"/>
          <w:lang w:eastAsia="en-AU"/>
        </w:rPr>
        <w:t xml:space="preserve"> also</w:t>
      </w:r>
      <w:r>
        <w:rPr>
          <w:rFonts w:eastAsia="Times New Roman"/>
          <w:lang w:eastAsia="en-AU"/>
        </w:rPr>
        <w:t xml:space="preserve"> expected that </w:t>
      </w:r>
      <w:r w:rsidR="005802A7">
        <w:rPr>
          <w:rFonts w:eastAsia="Times New Roman"/>
          <w:lang w:eastAsia="en-AU"/>
        </w:rPr>
        <w:t>these quantifiable</w:t>
      </w:r>
      <w:r>
        <w:rPr>
          <w:rFonts w:eastAsia="Times New Roman"/>
          <w:lang w:eastAsia="en-AU"/>
        </w:rPr>
        <w:t xml:space="preserve"> </w:t>
      </w:r>
      <w:r w:rsidR="007D03A7">
        <w:rPr>
          <w:rFonts w:eastAsia="Times New Roman"/>
          <w:lang w:eastAsia="en-AU"/>
        </w:rPr>
        <w:t xml:space="preserve">health </w:t>
      </w:r>
      <w:r>
        <w:rPr>
          <w:rFonts w:eastAsia="Times New Roman"/>
          <w:lang w:eastAsia="en-AU"/>
        </w:rPr>
        <w:t>benefit</w:t>
      </w:r>
      <w:r w:rsidR="005802A7">
        <w:rPr>
          <w:rFonts w:eastAsia="Times New Roman"/>
          <w:lang w:eastAsia="en-AU"/>
        </w:rPr>
        <w:t>s</w:t>
      </w:r>
      <w:r>
        <w:rPr>
          <w:rFonts w:eastAsia="Times New Roman"/>
          <w:lang w:eastAsia="en-AU"/>
        </w:rPr>
        <w:t xml:space="preserve"> will continue beyond the 10-year period that this </w:t>
      </w:r>
      <w:r w:rsidR="00261A76">
        <w:rPr>
          <w:rFonts w:eastAsia="Times New Roman"/>
          <w:lang w:eastAsia="en-AU"/>
        </w:rPr>
        <w:t>estimation is based on</w:t>
      </w:r>
      <w:r w:rsidR="00017B95">
        <w:rPr>
          <w:rFonts w:eastAsia="Times New Roman"/>
          <w:lang w:eastAsia="en-AU"/>
        </w:rPr>
        <w:t xml:space="preserve">. </w:t>
      </w:r>
      <w:r w:rsidR="00036139">
        <w:rPr>
          <w:rFonts w:eastAsia="Times New Roman"/>
          <w:lang w:eastAsia="en-AU"/>
        </w:rPr>
        <w:t>Health</w:t>
      </w:r>
      <w:r w:rsidR="00036139" w:rsidRPr="00036139">
        <w:rPr>
          <w:rFonts w:eastAsia="Times New Roman"/>
          <w:lang w:eastAsia="en-AU"/>
        </w:rPr>
        <w:t xml:space="preserve"> benefits that arise beyond the 10-year period have not been quantified and are not included the figures below.</w:t>
      </w:r>
    </w:p>
    <w:p w14:paraId="589421F5" w14:textId="7267AFA5" w:rsidR="001A6A56" w:rsidRDefault="001A6A56" w:rsidP="001A6A56">
      <w:pPr>
        <w:pStyle w:val="Caption"/>
      </w:pPr>
      <w:bookmarkStart w:id="83" w:name="_Ref199856605"/>
      <w:r>
        <w:t xml:space="preserve">Table </w:t>
      </w:r>
      <w:fldSimple w:instr=" SEQ Table \* ARABIC ">
        <w:r w:rsidR="00A002F4">
          <w:rPr>
            <w:noProof/>
          </w:rPr>
          <w:t>8</w:t>
        </w:r>
      </w:fldSimple>
      <w:bookmarkEnd w:id="83"/>
      <w:r>
        <w:t xml:space="preserve"> - </w:t>
      </w:r>
      <w:r w:rsidRPr="007E0C31">
        <w:t>Estimated average annual and total monetised health outcome benefits of the proposed WEL for benzene,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9911EB" w:rsidRPr="009911EB" w14:paraId="5F2B32B7" w14:textId="77777777">
        <w:trPr>
          <w:trHeight w:val="257"/>
        </w:trPr>
        <w:tc>
          <w:tcPr>
            <w:tcW w:w="4106" w:type="dxa"/>
            <w:tcBorders>
              <w:right w:val="single" w:sz="4" w:space="0" w:color="D9D9D9" w:themeColor="background1" w:themeShade="D9"/>
            </w:tcBorders>
            <w:shd w:val="clear" w:color="auto" w:fill="4877E0" w:themeFill="accent1"/>
          </w:tcPr>
          <w:p w14:paraId="45C4265B" w14:textId="77777777" w:rsidR="009911EB" w:rsidRPr="009911EB" w:rsidRDefault="009911EB" w:rsidP="009911EB">
            <w:pPr>
              <w:keepLines/>
              <w:spacing w:after="0" w:line="240" w:lineRule="atLeast"/>
              <w:contextualSpacing w:val="0"/>
              <w:rPr>
                <w:rFonts w:eastAsia="Times New Roman"/>
                <w:b/>
                <w:lang w:eastAsia="en-AU"/>
              </w:rPr>
            </w:pPr>
            <w:r w:rsidRPr="009911EB">
              <w:rPr>
                <w:rFonts w:eastAsia="Times New Roman"/>
                <w:b/>
                <w:color w:val="FFFFFF" w:themeColor="background1"/>
                <w:lang w:eastAsia="en-AU"/>
              </w:rPr>
              <w:t>Health benefits</w:t>
            </w:r>
          </w:p>
        </w:tc>
        <w:tc>
          <w:tcPr>
            <w:tcW w:w="2480" w:type="dxa"/>
            <w:tcBorders>
              <w:bottom w:val="single" w:sz="4" w:space="0" w:color="D9D9D9" w:themeColor="background1" w:themeShade="D9"/>
            </w:tcBorders>
            <w:shd w:val="clear" w:color="auto" w:fill="4877E0" w:themeFill="accent1"/>
          </w:tcPr>
          <w:p w14:paraId="11005A7C" w14:textId="77777777" w:rsidR="009911EB" w:rsidRPr="009911EB" w:rsidRDefault="009911EB" w:rsidP="009911EB">
            <w:pPr>
              <w:keepLines/>
              <w:tabs>
                <w:tab w:val="left" w:pos="419"/>
              </w:tabs>
              <w:contextualSpacing w:val="0"/>
              <w:rPr>
                <w:b/>
                <w:bCs/>
              </w:rPr>
            </w:pPr>
            <w:r w:rsidRPr="009911EB">
              <w:rPr>
                <w:b/>
                <w:bCs/>
                <w:color w:val="FFFFFF" w:themeColor="background1"/>
              </w:rPr>
              <w:t>Average benefits p.a. ($’000, undiscounted)</w:t>
            </w:r>
          </w:p>
        </w:tc>
        <w:tc>
          <w:tcPr>
            <w:tcW w:w="2481" w:type="dxa"/>
            <w:tcBorders>
              <w:bottom w:val="single" w:sz="4" w:space="0" w:color="D9D9D9" w:themeColor="background1" w:themeShade="D9"/>
            </w:tcBorders>
            <w:shd w:val="clear" w:color="auto" w:fill="4877E0" w:themeFill="accent1"/>
          </w:tcPr>
          <w:p w14:paraId="559C1053" w14:textId="77777777" w:rsidR="009911EB" w:rsidRPr="009911EB" w:rsidRDefault="009911EB" w:rsidP="009911EB">
            <w:pPr>
              <w:keepLines/>
              <w:contextualSpacing w:val="0"/>
              <w:rPr>
                <w:b/>
                <w:bCs/>
              </w:rPr>
            </w:pPr>
            <w:r w:rsidRPr="009911EB">
              <w:rPr>
                <w:b/>
                <w:bCs/>
                <w:color w:val="FFFFFF" w:themeColor="background1"/>
              </w:rPr>
              <w:t>Total benefits ($ millions, discounted)</w:t>
            </w:r>
          </w:p>
        </w:tc>
      </w:tr>
      <w:tr w:rsidR="009911EB" w:rsidRPr="009911EB" w14:paraId="440F58D5" w14:textId="77777777">
        <w:trPr>
          <w:trHeight w:val="274"/>
        </w:trPr>
        <w:tc>
          <w:tcPr>
            <w:tcW w:w="4106" w:type="dxa"/>
            <w:tcBorders>
              <w:right w:val="single" w:sz="4" w:space="0" w:color="D9D9D9" w:themeColor="background1" w:themeShade="D9"/>
            </w:tcBorders>
          </w:tcPr>
          <w:p w14:paraId="17458C45" w14:textId="77777777" w:rsidR="009911EB" w:rsidRPr="009911EB" w:rsidRDefault="009911EB" w:rsidP="009911EB">
            <w:pPr>
              <w:keepLines/>
              <w:spacing w:after="0" w:line="240" w:lineRule="atLeast"/>
              <w:ind w:left="172"/>
              <w:contextualSpacing w:val="0"/>
              <w:rPr>
                <w:rFonts w:eastAsia="Times New Roman"/>
                <w:bCs/>
                <w:lang w:eastAsia="en-AU"/>
              </w:rPr>
            </w:pPr>
            <w:r w:rsidRPr="009911EB">
              <w:rPr>
                <w:rFonts w:eastAsia="Times New Roman"/>
                <w:bCs/>
                <w:lang w:eastAsia="en-AU"/>
              </w:rPr>
              <w:t>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22FB38" w14:textId="77777777" w:rsidR="009911EB" w:rsidRPr="009911EB" w:rsidRDefault="009911EB" w:rsidP="009911EB">
            <w:pPr>
              <w:keepLines/>
              <w:jc w:val="right"/>
            </w:pPr>
            <w:r w:rsidRPr="009911EB">
              <w:t>68,915</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0C9079" w14:textId="77777777" w:rsidR="009911EB" w:rsidRPr="009911EB" w:rsidRDefault="009911EB" w:rsidP="009911EB">
            <w:pPr>
              <w:keepLines/>
              <w:jc w:val="right"/>
            </w:pPr>
            <w:r w:rsidRPr="009911EB">
              <w:t>420.6</w:t>
            </w:r>
          </w:p>
        </w:tc>
      </w:tr>
      <w:tr w:rsidR="009911EB" w:rsidRPr="009911EB" w14:paraId="5C6EF6A7" w14:textId="77777777">
        <w:trPr>
          <w:trHeight w:val="257"/>
        </w:trPr>
        <w:tc>
          <w:tcPr>
            <w:tcW w:w="4106" w:type="dxa"/>
            <w:tcBorders>
              <w:right w:val="single" w:sz="4" w:space="0" w:color="D9D9D9" w:themeColor="background1" w:themeShade="D9"/>
            </w:tcBorders>
          </w:tcPr>
          <w:p w14:paraId="1BCFCC5B" w14:textId="77777777" w:rsidR="009911EB" w:rsidRPr="009911EB" w:rsidRDefault="009911EB" w:rsidP="009911EB">
            <w:pPr>
              <w:keepLines/>
              <w:spacing w:after="0" w:line="240" w:lineRule="atLeast"/>
              <w:ind w:left="172"/>
              <w:contextualSpacing w:val="0"/>
              <w:rPr>
                <w:rFonts w:eastAsia="Times New Roman"/>
                <w:bCs/>
                <w:lang w:eastAsia="en-AU"/>
              </w:rPr>
            </w:pPr>
            <w:r w:rsidRPr="009911EB">
              <w:rPr>
                <w:rFonts w:eastAsia="Times New Roman"/>
                <w:bCs/>
                <w:lang w:eastAsia="en-AU"/>
              </w:rPr>
              <w:t>Non-fatal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DF84E5" w14:textId="77777777" w:rsidR="009911EB" w:rsidRPr="009911EB" w:rsidRDefault="009911EB" w:rsidP="009911EB">
            <w:pPr>
              <w:keepLines/>
              <w:jc w:val="right"/>
            </w:pPr>
            <w:r w:rsidRPr="009911EB">
              <w:t>2,198</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FA03C1" w14:textId="77777777" w:rsidR="009911EB" w:rsidRPr="009911EB" w:rsidRDefault="009911EB" w:rsidP="009911EB">
            <w:pPr>
              <w:keepLines/>
              <w:jc w:val="right"/>
            </w:pPr>
            <w:r w:rsidRPr="009911EB">
              <w:t>13.5</w:t>
            </w:r>
          </w:p>
        </w:tc>
      </w:tr>
      <w:tr w:rsidR="009911EB" w:rsidRPr="009911EB" w14:paraId="0BBD6D78" w14:textId="77777777">
        <w:trPr>
          <w:trHeight w:val="257"/>
        </w:trPr>
        <w:tc>
          <w:tcPr>
            <w:tcW w:w="4106" w:type="dxa"/>
            <w:tcBorders>
              <w:right w:val="single" w:sz="4" w:space="0" w:color="D9D9D9" w:themeColor="background1" w:themeShade="D9"/>
            </w:tcBorders>
            <w:shd w:val="clear" w:color="auto" w:fill="B5C8F2" w:themeFill="accent1" w:themeFillTint="66"/>
          </w:tcPr>
          <w:p w14:paraId="27F941F5" w14:textId="77777777" w:rsidR="009911EB" w:rsidRPr="009911EB" w:rsidRDefault="009911EB" w:rsidP="009911EB">
            <w:pPr>
              <w:keepLines/>
              <w:spacing w:after="0" w:line="240" w:lineRule="atLeast"/>
              <w:contextualSpacing w:val="0"/>
              <w:rPr>
                <w:rFonts w:eastAsia="Times New Roman"/>
                <w:b/>
                <w:lang w:eastAsia="en-AU"/>
              </w:rPr>
            </w:pPr>
            <w:r w:rsidRPr="009911EB">
              <w:rPr>
                <w:rFonts w:eastAsia="Times New Roman"/>
                <w:b/>
                <w:lang w:eastAsia="en-AU"/>
              </w:rPr>
              <w:t>Total</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20640CF4" w14:textId="77777777" w:rsidR="009911EB" w:rsidRPr="009911EB" w:rsidRDefault="009911EB" w:rsidP="009911EB">
            <w:pPr>
              <w:keepLines/>
              <w:jc w:val="right"/>
              <w:rPr>
                <w:b/>
              </w:rPr>
            </w:pPr>
            <w:r w:rsidRPr="009911EB">
              <w:rPr>
                <w:b/>
              </w:rPr>
              <w:t>71,113</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3951A1EA" w14:textId="77777777" w:rsidR="009911EB" w:rsidRPr="009911EB" w:rsidRDefault="009911EB" w:rsidP="009911EB">
            <w:pPr>
              <w:keepLines/>
              <w:jc w:val="right"/>
              <w:rPr>
                <w:b/>
              </w:rPr>
            </w:pPr>
            <w:r w:rsidRPr="009911EB">
              <w:rPr>
                <w:b/>
              </w:rPr>
              <w:t>434.1</w:t>
            </w:r>
          </w:p>
        </w:tc>
      </w:tr>
    </w:tbl>
    <w:p w14:paraId="23517EC0" w14:textId="44AB0026" w:rsidR="001C08C2" w:rsidRDefault="002D69F2" w:rsidP="00516E92">
      <w:pPr>
        <w:pStyle w:val="SWAHeading4"/>
        <w:spacing w:before="240"/>
      </w:pPr>
      <w:r>
        <w:t>A</w:t>
      </w:r>
      <w:r w:rsidR="001C08C2">
        <w:t xml:space="preserve">dverse health effects associated with </w:t>
      </w:r>
      <w:r w:rsidR="00AF2FB8">
        <w:t>benzene</w:t>
      </w:r>
    </w:p>
    <w:p w14:paraId="3B27F887" w14:textId="45BAB057" w:rsidR="009C31C4" w:rsidRDefault="001D71CC" w:rsidP="001D71CC">
      <w:pPr>
        <w:contextualSpacing w:val="0"/>
      </w:pPr>
      <w:bookmarkStart w:id="84" w:name="_Hlk199930034"/>
      <w:r>
        <w:t xml:space="preserve">Benzene is most commonly linked to </w:t>
      </w:r>
      <w:r w:rsidRPr="00AE2CC4">
        <w:t>acute myeloid leukaemia</w:t>
      </w:r>
      <w:r>
        <w:t xml:space="preserve">, </w:t>
      </w:r>
      <w:r w:rsidR="00AC0BFA">
        <w:t>and it is on this</w:t>
      </w:r>
      <w:r>
        <w:t xml:space="preserve"> basis </w:t>
      </w:r>
      <w:r w:rsidR="00AC0BFA">
        <w:t>that benzene is</w:t>
      </w:r>
      <w:r>
        <w:t xml:space="preserve"> </w:t>
      </w:r>
      <w:r w:rsidR="00905135">
        <w:t xml:space="preserve">classified by </w:t>
      </w:r>
      <w:r>
        <w:t xml:space="preserve">the International Agency for Research on Cancer’s </w:t>
      </w:r>
      <w:r w:rsidRPr="00FC2AD8">
        <w:rPr>
          <w:i/>
          <w:iCs/>
        </w:rPr>
        <w:t>Group 1 – Carcinogenic to humans</w:t>
      </w:r>
      <w:r>
        <w:t xml:space="preserve"> </w:t>
      </w:r>
      <w:sdt>
        <w:sdtPr>
          <w:id w:val="-1476983006"/>
          <w:citation/>
        </w:sdtPr>
        <w:sdtEndPr/>
        <w:sdtContent>
          <w:r>
            <w:fldChar w:fldCharType="begin"/>
          </w:r>
          <w:r>
            <w:instrText xml:space="preserve"> CITATION Int18 \l 3081 </w:instrText>
          </w:r>
          <w:r>
            <w:fldChar w:fldCharType="separate"/>
          </w:r>
          <w:r w:rsidR="00490B21">
            <w:rPr>
              <w:noProof/>
            </w:rPr>
            <w:t>(International Agency for Research on Cancer, 2018)</w:t>
          </w:r>
          <w:r>
            <w:fldChar w:fldCharType="end"/>
          </w:r>
        </w:sdtContent>
      </w:sdt>
      <w:r>
        <w:t xml:space="preserve">. </w:t>
      </w:r>
      <w:r w:rsidR="00253D47">
        <w:t xml:space="preserve">Under the </w:t>
      </w:r>
      <w:r w:rsidR="009C31C4">
        <w:t>7</w:t>
      </w:r>
      <w:r w:rsidR="009C31C4" w:rsidRPr="006C59A6">
        <w:rPr>
          <w:vertAlign w:val="superscript"/>
        </w:rPr>
        <w:t>th</w:t>
      </w:r>
      <w:r w:rsidR="009C31C4">
        <w:t xml:space="preserve"> revised edition of the </w:t>
      </w:r>
      <w:r w:rsidR="00253D47">
        <w:t>Globally Harmonised System for the Classification and Labelling of Chemicals</w:t>
      </w:r>
      <w:r w:rsidR="009C31C4">
        <w:t xml:space="preserve"> (GHS)</w:t>
      </w:r>
      <w:r w:rsidR="00253D47">
        <w:t xml:space="preserve">, benzene </w:t>
      </w:r>
      <w:r w:rsidR="009C31C4">
        <w:t>is categorised as a Carcinogenicity – Category 1A chemical (</w:t>
      </w:r>
      <w:r w:rsidR="009C31C4" w:rsidRPr="006C59A6">
        <w:rPr>
          <w:i/>
          <w:iCs/>
        </w:rPr>
        <w:t>May cause cancer</w:t>
      </w:r>
      <w:r w:rsidR="009C31C4">
        <w:t>)</w:t>
      </w:r>
      <w:r w:rsidR="00C31484">
        <w:t xml:space="preserve"> </w:t>
      </w:r>
      <w:sdt>
        <w:sdtPr>
          <w:id w:val="-1719038886"/>
          <w:citation/>
        </w:sdtPr>
        <w:sdtEndPr/>
        <w:sdtContent>
          <w:r w:rsidR="00C31484">
            <w:fldChar w:fldCharType="begin"/>
          </w:r>
          <w:r w:rsidR="00C31484">
            <w:instrText xml:space="preserve"> CITATION Saf16 \l 3081 </w:instrText>
          </w:r>
          <w:r w:rsidR="00C31484">
            <w:fldChar w:fldCharType="separate"/>
          </w:r>
          <w:r w:rsidR="00490B21">
            <w:rPr>
              <w:noProof/>
            </w:rPr>
            <w:t>(Safe Work Australia, 2016)</w:t>
          </w:r>
          <w:r w:rsidR="00C31484">
            <w:fldChar w:fldCharType="end"/>
          </w:r>
        </w:sdtContent>
      </w:sdt>
      <w:r w:rsidR="009C31C4">
        <w:t xml:space="preserve">. </w:t>
      </w:r>
    </w:p>
    <w:p w14:paraId="3BA1FEDF" w14:textId="0D087D3A" w:rsidR="001D71CC" w:rsidRDefault="001D71CC" w:rsidP="001D71CC">
      <w:pPr>
        <w:contextualSpacing w:val="0"/>
      </w:pPr>
      <w:r>
        <w:t>Other adverse health effects are:</w:t>
      </w:r>
    </w:p>
    <w:p w14:paraId="50BB957D" w14:textId="216C4440" w:rsidR="001D71CC" w:rsidRDefault="19DE408D" w:rsidP="00A2768E">
      <w:pPr>
        <w:pStyle w:val="ListParagraph"/>
        <w:numPr>
          <w:ilvl w:val="0"/>
          <w:numId w:val="70"/>
        </w:numPr>
        <w:ind w:left="782" w:hanging="357"/>
        <w:contextualSpacing w:val="0"/>
      </w:pPr>
      <w:r>
        <w:t>other forms of leukaemia, such as chronic myeloid leukaemia, acute lymphocytic leukaemia, chronic lymphocytic leukaemia</w:t>
      </w:r>
      <w:r w:rsidR="00373C1C">
        <w:rPr>
          <w:rStyle w:val="FootnoteReference"/>
        </w:rPr>
        <w:footnoteReference w:id="21"/>
      </w:r>
      <w:r w:rsidR="00F11A8E">
        <w:t>,</w:t>
      </w:r>
    </w:p>
    <w:p w14:paraId="4762CC81" w14:textId="395706E5" w:rsidR="001D71CC" w:rsidRDefault="19DE408D" w:rsidP="00A2768E">
      <w:pPr>
        <w:pStyle w:val="ListParagraph"/>
        <w:numPr>
          <w:ilvl w:val="0"/>
          <w:numId w:val="70"/>
        </w:numPr>
        <w:ind w:left="782" w:hanging="357"/>
        <w:contextualSpacing w:val="0"/>
      </w:pPr>
      <w:r>
        <w:t>non-Hodgkin lymphoma</w:t>
      </w:r>
      <w:r w:rsidR="00F11A8E">
        <w:t>,</w:t>
      </w:r>
    </w:p>
    <w:p w14:paraId="344C4083" w14:textId="77777777" w:rsidR="001D71CC" w:rsidRDefault="001D71CC" w:rsidP="00A2768E">
      <w:pPr>
        <w:pStyle w:val="ListParagraph"/>
        <w:numPr>
          <w:ilvl w:val="0"/>
          <w:numId w:val="70"/>
        </w:numPr>
        <w:ind w:left="782" w:hanging="357"/>
        <w:contextualSpacing w:val="0"/>
      </w:pPr>
      <w:r>
        <w:t xml:space="preserve">multiple myeloma, and </w:t>
      </w:r>
    </w:p>
    <w:p w14:paraId="6C53BEA6" w14:textId="09F86D7B" w:rsidR="001D71CC" w:rsidRDefault="001D71CC" w:rsidP="00A2768E">
      <w:pPr>
        <w:pStyle w:val="ListParagraph"/>
        <w:numPr>
          <w:ilvl w:val="0"/>
          <w:numId w:val="70"/>
        </w:numPr>
        <w:contextualSpacing w:val="0"/>
      </w:pPr>
      <w:r>
        <w:t>lung cancer</w:t>
      </w:r>
      <w:sdt>
        <w:sdtPr>
          <w:id w:val="-1340933052"/>
          <w:citation/>
        </w:sdtPr>
        <w:sdtEndPr/>
        <w:sdtContent>
          <w:r>
            <w:fldChar w:fldCharType="begin"/>
          </w:r>
          <w:r>
            <w:instrText xml:space="preserve"> CITATION Int18 \l 3081 </w:instrText>
          </w:r>
          <w:r>
            <w:fldChar w:fldCharType="separate"/>
          </w:r>
          <w:r w:rsidR="00490B21">
            <w:rPr>
              <w:noProof/>
            </w:rPr>
            <w:t xml:space="preserve"> (International Agency for Research on Cancer, 2018)</w:t>
          </w:r>
          <w:r>
            <w:fldChar w:fldCharType="end"/>
          </w:r>
        </w:sdtContent>
      </w:sdt>
      <w:r>
        <w:t xml:space="preserve">. </w:t>
      </w:r>
    </w:p>
    <w:bookmarkEnd w:id="84"/>
    <w:p w14:paraId="6034A82E" w14:textId="3D0BE68F" w:rsidR="001D71CC" w:rsidRDefault="001D71CC" w:rsidP="00516E92">
      <w:r>
        <w:t xml:space="preserve">Work-related exposure to benzene can also cause acute poisoning or toxicity in exposed workers, per Safe Work Australia’s List of Deemed Diseases </w:t>
      </w:r>
      <w:sdt>
        <w:sdtPr>
          <w:id w:val="-1619056912"/>
          <w:citation/>
        </w:sdtPr>
        <w:sdtEndPr/>
        <w:sdtContent>
          <w:r>
            <w:fldChar w:fldCharType="begin"/>
          </w:r>
          <w:r>
            <w:instrText xml:space="preserve"> CITATION Saf24 \l 3081 </w:instrText>
          </w:r>
          <w:r>
            <w:fldChar w:fldCharType="separate"/>
          </w:r>
          <w:r w:rsidR="00490B21">
            <w:rPr>
              <w:noProof/>
            </w:rPr>
            <w:t>(Safe Work Australia, 2024)</w:t>
          </w:r>
          <w:r>
            <w:fldChar w:fldCharType="end"/>
          </w:r>
        </w:sdtContent>
      </w:sdt>
      <w:r>
        <w:t xml:space="preserve">. </w:t>
      </w:r>
      <w:r w:rsidR="00BF5642" w:rsidRPr="00BF5642">
        <w:t xml:space="preserve">The United States’ National Institute for Occupational Safety and Health’s Pocket Guide to Chemical Hazards identifies the </w:t>
      </w:r>
      <w:r w:rsidR="00BF5642">
        <w:t xml:space="preserve">eye, skin, respiratory system, blood, central nervous system </w:t>
      </w:r>
      <w:r w:rsidR="00BF5642">
        <w:lastRenderedPageBreak/>
        <w:t>and bone marrow</w:t>
      </w:r>
      <w:r w:rsidR="00BF5642" w:rsidRPr="00BF5642">
        <w:t xml:space="preserve"> as target organs for exposure to </w:t>
      </w:r>
      <w:r w:rsidR="00BF5642">
        <w:t>benzene</w:t>
      </w:r>
      <w:r w:rsidR="00BF5642" w:rsidRPr="00BF5642">
        <w:t xml:space="preserve"> </w:t>
      </w:r>
      <w:sdt>
        <w:sdtPr>
          <w:id w:val="-1122848269"/>
          <w:citation/>
        </w:sdtPr>
        <w:sdtEndPr/>
        <w:sdtContent>
          <w:r w:rsidR="00BF5642" w:rsidRPr="00BF5642">
            <w:fldChar w:fldCharType="begin"/>
          </w:r>
          <w:r w:rsidR="003C25BD">
            <w:instrText xml:space="preserve">CITATION The19 \l 3081 </w:instrText>
          </w:r>
          <w:r w:rsidR="00BF5642" w:rsidRPr="00BF5642">
            <w:fldChar w:fldCharType="separate"/>
          </w:r>
          <w:r w:rsidR="00490B21">
            <w:rPr>
              <w:noProof/>
            </w:rPr>
            <w:t>(National Institute for Occupational Safety and Health, 2019)</w:t>
          </w:r>
          <w:r w:rsidR="00BF5642" w:rsidRPr="00BF5642">
            <w:fldChar w:fldCharType="end"/>
          </w:r>
        </w:sdtContent>
      </w:sdt>
      <w:r w:rsidR="00BF5642" w:rsidRPr="00BF5642">
        <w:t xml:space="preserve">. </w:t>
      </w:r>
    </w:p>
    <w:p w14:paraId="7D1D57CD" w14:textId="51079F59" w:rsidR="009911EB" w:rsidRPr="009911EB" w:rsidRDefault="009911EB" w:rsidP="00A17886">
      <w:pPr>
        <w:keepNext/>
        <w:keepLines/>
        <w:spacing w:before="240" w:line="276" w:lineRule="auto"/>
        <w:contextualSpacing w:val="0"/>
        <w:rPr>
          <w:rFonts w:cs="Arial"/>
          <w:color w:val="2B0A99" w:themeColor="text2"/>
          <w:sz w:val="28"/>
          <w:szCs w:val="32"/>
        </w:rPr>
      </w:pPr>
      <w:r w:rsidRPr="009911EB">
        <w:rPr>
          <w:rFonts w:cs="Arial"/>
          <w:color w:val="2B0A99" w:themeColor="text2"/>
          <w:sz w:val="28"/>
          <w:szCs w:val="32"/>
        </w:rPr>
        <w:t xml:space="preserve">Financial benefits </w:t>
      </w:r>
      <w:r w:rsidR="00C671FE">
        <w:rPr>
          <w:rFonts w:cs="Arial"/>
          <w:color w:val="2B0A99" w:themeColor="text2"/>
          <w:sz w:val="28"/>
          <w:szCs w:val="32"/>
        </w:rPr>
        <w:t>of</w:t>
      </w:r>
      <w:r w:rsidRPr="009911EB">
        <w:rPr>
          <w:rFonts w:cs="Arial"/>
          <w:color w:val="2B0A99" w:themeColor="text2"/>
          <w:sz w:val="28"/>
          <w:szCs w:val="32"/>
        </w:rPr>
        <w:t xml:space="preserve"> the proposed WEL for benzene</w:t>
      </w:r>
    </w:p>
    <w:p w14:paraId="6867D657" w14:textId="5C97ED03" w:rsidR="00436674" w:rsidRDefault="00436674" w:rsidP="00A17886">
      <w:pPr>
        <w:pStyle w:val="SWAHeading4"/>
        <w:keepNext/>
        <w:keepLines/>
        <w:spacing w:before="240"/>
        <w:rPr>
          <w:lang w:eastAsia="en-AU"/>
        </w:rPr>
      </w:pPr>
      <w:r>
        <w:rPr>
          <w:lang w:eastAsia="en-AU"/>
        </w:rPr>
        <w:t>Quantifi</w:t>
      </w:r>
      <w:r w:rsidR="00A91661">
        <w:rPr>
          <w:lang w:eastAsia="en-AU"/>
        </w:rPr>
        <w:t>able</w:t>
      </w:r>
      <w:r>
        <w:rPr>
          <w:lang w:eastAsia="en-AU"/>
        </w:rPr>
        <w:t xml:space="preserve"> financial benefits </w:t>
      </w:r>
      <w:r w:rsidR="00540310">
        <w:rPr>
          <w:lang w:eastAsia="en-AU"/>
        </w:rPr>
        <w:t>of the proposed WEL for benzene</w:t>
      </w:r>
    </w:p>
    <w:p w14:paraId="16CEF307" w14:textId="495C1BF0" w:rsidR="00A02AAF" w:rsidRDefault="310BD91C" w:rsidP="00A17886">
      <w:pPr>
        <w:keepNext/>
        <w:keepLines/>
        <w:spacing w:before="120" w:after="0" w:line="240" w:lineRule="auto"/>
        <w:rPr>
          <w:rFonts w:eastAsia="Times New Roman" w:cs="Times New Roman"/>
          <w:lang w:eastAsia="en-AU"/>
        </w:rPr>
      </w:pPr>
      <w:r w:rsidRPr="27F845C1">
        <w:rPr>
          <w:rFonts w:eastAsia="Times New Roman" w:cs="Times New Roman"/>
          <w:lang w:eastAsia="en-AU"/>
        </w:rPr>
        <w:t xml:space="preserve">In addition to the health benefits, the proposed WEL for benzene is also </w:t>
      </w:r>
      <w:r w:rsidR="04D67DDD" w:rsidRPr="27F845C1">
        <w:rPr>
          <w:rFonts w:eastAsia="Times New Roman" w:cs="Times New Roman"/>
          <w:lang w:eastAsia="en-AU"/>
        </w:rPr>
        <w:t>estimated to deliver</w:t>
      </w:r>
      <w:r w:rsidRPr="27F845C1">
        <w:rPr>
          <w:rFonts w:eastAsia="Times New Roman" w:cs="Times New Roman"/>
          <w:lang w:eastAsia="en-AU"/>
        </w:rPr>
        <w:t xml:space="preserve"> direct and indirect financial benefits for businesses. These were estimated to $4.9 million for direct financial benefits and $1,000 for indirect benefits</w:t>
      </w:r>
      <w:r w:rsidR="00C671FE">
        <w:rPr>
          <w:rFonts w:eastAsia="Times New Roman" w:cs="Times New Roman"/>
          <w:lang w:eastAsia="en-AU"/>
        </w:rPr>
        <w:t xml:space="preserve"> over the 10</w:t>
      </w:r>
      <w:r w:rsidR="00B8354B">
        <w:rPr>
          <w:rFonts w:eastAsia="Times New Roman" w:cs="Times New Roman"/>
          <w:lang w:eastAsia="en-AU"/>
        </w:rPr>
        <w:t>-</w:t>
      </w:r>
      <w:r w:rsidR="00C671FE">
        <w:rPr>
          <w:rFonts w:eastAsia="Times New Roman" w:cs="Times New Roman"/>
          <w:lang w:eastAsia="en-AU"/>
        </w:rPr>
        <w:t>year appraisal period</w:t>
      </w:r>
      <w:r w:rsidR="1FCAC679" w:rsidRPr="27F845C1">
        <w:rPr>
          <w:rFonts w:eastAsia="Times New Roman" w:cs="Times New Roman"/>
          <w:lang w:eastAsia="en-AU"/>
        </w:rPr>
        <w:t>, as summarised in</w:t>
      </w:r>
      <w:r w:rsidR="00F13C9C">
        <w:t xml:space="preserve"> </w:t>
      </w:r>
      <w:r w:rsidR="00F13C9C" w:rsidRPr="00B52D96">
        <w:fldChar w:fldCharType="begin"/>
      </w:r>
      <w:r w:rsidR="00F13C9C" w:rsidRPr="00B52D96">
        <w:instrText xml:space="preserve"> REF _Ref196737062 \h  \* MERGEFORMAT </w:instrText>
      </w:r>
      <w:r w:rsidR="00F13C9C" w:rsidRPr="00B52D96">
        <w:fldChar w:fldCharType="separate"/>
      </w:r>
      <w:r w:rsidR="00A002F4" w:rsidRPr="00A002F4">
        <w:t xml:space="preserve">Table </w:t>
      </w:r>
      <w:r w:rsidR="00A002F4" w:rsidRPr="00A002F4">
        <w:rPr>
          <w:noProof/>
        </w:rPr>
        <w:t>9</w:t>
      </w:r>
      <w:r w:rsidR="00F13C9C" w:rsidRPr="00B52D96">
        <w:fldChar w:fldCharType="end"/>
      </w:r>
      <w:r w:rsidRPr="27F845C1">
        <w:rPr>
          <w:rFonts w:eastAsia="Times New Roman" w:cs="Times New Roman"/>
          <w:lang w:eastAsia="en-AU"/>
        </w:rPr>
        <w:t xml:space="preserve">. </w:t>
      </w:r>
      <w:r w:rsidR="003D0A99">
        <w:rPr>
          <w:rFonts w:eastAsia="Times New Roman" w:cs="Times New Roman"/>
          <w:lang w:eastAsia="en-AU"/>
        </w:rPr>
        <w:t xml:space="preserve">Further discussion on these benefits can be found </w:t>
      </w:r>
      <w:r w:rsidR="00225FF8">
        <w:rPr>
          <w:rFonts w:eastAsia="Times New Roman" w:cs="Times New Roman"/>
          <w:lang w:eastAsia="en-AU"/>
        </w:rPr>
        <w:t>in</w:t>
      </w:r>
      <w:r w:rsidR="003D0A99">
        <w:rPr>
          <w:rFonts w:eastAsia="Times New Roman" w:cs="Times New Roman"/>
          <w:lang w:eastAsia="en-AU"/>
        </w:rPr>
        <w:t xml:space="preserve"> </w:t>
      </w:r>
      <w:r w:rsidR="00FB051D" w:rsidRPr="00FB051D">
        <w:rPr>
          <w:rFonts w:eastAsia="Times New Roman" w:cs="Times New Roman"/>
          <w:lang w:eastAsia="en-AU"/>
        </w:rPr>
        <w:fldChar w:fldCharType="begin"/>
      </w:r>
      <w:r w:rsidR="00FB051D" w:rsidRPr="00FB051D">
        <w:rPr>
          <w:rFonts w:eastAsia="Times New Roman" w:cs="Times New Roman"/>
          <w:lang w:eastAsia="en-AU"/>
        </w:rPr>
        <w:instrText xml:space="preserve"> REF _Ref196737062 \h </w:instrText>
      </w:r>
      <w:r w:rsidR="00FB051D" w:rsidRPr="00025A52">
        <w:rPr>
          <w:rFonts w:eastAsia="Times New Roman" w:cs="Times New Roman"/>
          <w:lang w:eastAsia="en-AU"/>
        </w:rPr>
        <w:instrText xml:space="preserve"> \* MERGEFORMAT </w:instrText>
      </w:r>
      <w:r w:rsidR="00FB051D" w:rsidRPr="00FB051D">
        <w:rPr>
          <w:rFonts w:eastAsia="Times New Roman" w:cs="Times New Roman"/>
          <w:lang w:eastAsia="en-AU"/>
        </w:rPr>
      </w:r>
      <w:r w:rsidR="00FB051D" w:rsidRPr="00FB051D">
        <w:rPr>
          <w:rFonts w:eastAsia="Times New Roman" w:cs="Times New Roman"/>
          <w:lang w:eastAsia="en-AU"/>
        </w:rPr>
        <w:fldChar w:fldCharType="separate"/>
      </w:r>
      <w:r w:rsidR="00A002F4" w:rsidRPr="00A002F4">
        <w:t xml:space="preserve">Table </w:t>
      </w:r>
      <w:r w:rsidR="00A002F4" w:rsidRPr="00A002F4">
        <w:rPr>
          <w:noProof/>
        </w:rPr>
        <w:t>9</w:t>
      </w:r>
      <w:r w:rsidR="00FB051D" w:rsidRPr="00FB051D">
        <w:rPr>
          <w:rFonts w:eastAsia="Times New Roman" w:cs="Times New Roman"/>
          <w:lang w:eastAsia="en-AU"/>
        </w:rPr>
        <w:fldChar w:fldCharType="end"/>
      </w:r>
      <w:r w:rsidR="003D0A99">
        <w:rPr>
          <w:rFonts w:eastAsia="Times New Roman" w:cs="Times New Roman"/>
          <w:lang w:eastAsia="en-AU"/>
        </w:rPr>
        <w:t xml:space="preserve">. </w:t>
      </w:r>
    </w:p>
    <w:p w14:paraId="69BE510D" w14:textId="74986E5E" w:rsidR="009911EB" w:rsidRPr="009911EB" w:rsidRDefault="00C764C1" w:rsidP="00B055E4">
      <w:pPr>
        <w:spacing w:before="120" w:after="0" w:line="240" w:lineRule="auto"/>
        <w:contextualSpacing w:val="0"/>
        <w:rPr>
          <w:rFonts w:eastAsia="Times New Roman" w:cs="Times New Roman"/>
          <w:szCs w:val="28"/>
          <w:highlight w:val="yellow"/>
          <w:lang w:eastAsia="en-AU"/>
        </w:rPr>
      </w:pPr>
      <w:r>
        <w:rPr>
          <w:rFonts w:eastAsia="Times New Roman" w:cs="Times New Roman"/>
          <w:szCs w:val="32"/>
          <w:lang w:eastAsia="en-AU"/>
        </w:rPr>
        <w:t>T</w:t>
      </w:r>
      <w:r w:rsidRPr="009911EB">
        <w:rPr>
          <w:rFonts w:eastAsia="Times New Roman" w:cs="Times New Roman"/>
          <w:szCs w:val="32"/>
          <w:lang w:eastAsia="en-AU"/>
        </w:rPr>
        <w:t>here were only 5 workers’ compensation claims attributed to benzene between 2017 and 2021, with the total value of these claims being $2.68 million.</w:t>
      </w:r>
    </w:p>
    <w:p w14:paraId="45384A0C" w14:textId="42A8AFF4" w:rsidR="009911EB" w:rsidRDefault="3BDD0CCE" w:rsidP="00B055E4">
      <w:pPr>
        <w:spacing w:before="120" w:line="240" w:lineRule="auto"/>
        <w:contextualSpacing w:val="0"/>
        <w:rPr>
          <w:rFonts w:eastAsia="Times New Roman" w:cs="Times New Roman"/>
          <w:lang w:eastAsia="en-AU"/>
        </w:rPr>
      </w:pPr>
      <w:r w:rsidRPr="27F845C1">
        <w:rPr>
          <w:rFonts w:eastAsia="Times New Roman" w:cs="Times New Roman"/>
          <w:lang w:eastAsia="en-AU"/>
        </w:rPr>
        <w:t>I</w:t>
      </w:r>
      <w:r w:rsidR="00811B38" w:rsidRPr="27F845C1">
        <w:rPr>
          <w:rFonts w:eastAsia="Times New Roman" w:cs="Times New Roman"/>
          <w:lang w:eastAsia="en-AU"/>
        </w:rPr>
        <w:t>t is important to note that t</w:t>
      </w:r>
      <w:r w:rsidR="310BD91C" w:rsidRPr="27F845C1">
        <w:rPr>
          <w:rFonts w:eastAsia="Times New Roman" w:cs="Times New Roman"/>
          <w:lang w:eastAsia="en-AU"/>
        </w:rPr>
        <w:t>he scale of occupational illness attributable to workplace exposure to benzene is likely to be under-represented in workers’ compensation claim data, due to difficulties in proving causation and the long latency period between occupational exposure and the illness (especially if it develops after the worker has stopped working at the workplace)</w:t>
      </w:r>
      <w:r w:rsidR="00567F07">
        <w:rPr>
          <w:rFonts w:eastAsia="Times New Roman" w:cs="Times New Roman"/>
          <w:lang w:eastAsia="en-AU"/>
        </w:rPr>
        <w:t xml:space="preserve">, </w:t>
      </w:r>
      <w:r w:rsidR="00567F07" w:rsidRPr="00567F07">
        <w:rPr>
          <w:rFonts w:eastAsia="Times New Roman" w:cs="Times New Roman"/>
          <w:lang w:eastAsia="en-AU"/>
        </w:rPr>
        <w:t>or an affected worker not seeking compensation (for example thinking they are ineligible or not being aware they are covered)</w:t>
      </w:r>
      <w:r w:rsidR="310BD91C" w:rsidRPr="27F845C1">
        <w:rPr>
          <w:rFonts w:eastAsia="Times New Roman" w:cs="Times New Roman"/>
          <w:lang w:eastAsia="en-AU"/>
        </w:rPr>
        <w:t xml:space="preserve">. </w:t>
      </w:r>
      <w:r w:rsidR="78AFDFBA" w:rsidRPr="27F845C1">
        <w:rPr>
          <w:rFonts w:eastAsia="Times New Roman" w:cs="Times New Roman"/>
          <w:lang w:eastAsia="en-AU"/>
        </w:rPr>
        <w:t xml:space="preserve">Statistical modelling in some </w:t>
      </w:r>
      <w:r w:rsidR="666D074F" w:rsidRPr="27F845C1">
        <w:rPr>
          <w:rFonts w:eastAsia="Times New Roman" w:cs="Times New Roman"/>
          <w:lang w:eastAsia="en-AU"/>
        </w:rPr>
        <w:t xml:space="preserve">epidemiological studies between exposure to benzene and acute non-lymphocytic leukemia </w:t>
      </w:r>
      <w:r w:rsidR="6D089B9F" w:rsidRPr="27F845C1">
        <w:rPr>
          <w:rFonts w:eastAsia="Times New Roman" w:cs="Times New Roman"/>
          <w:lang w:eastAsia="en-AU"/>
        </w:rPr>
        <w:t>reports a minimum latency period of 1.5 years</w:t>
      </w:r>
      <w:r w:rsidR="7DA729EB" w:rsidRPr="27F845C1">
        <w:rPr>
          <w:rFonts w:eastAsia="Times New Roman" w:cs="Times New Roman"/>
          <w:lang w:eastAsia="en-AU"/>
        </w:rPr>
        <w:t xml:space="preserve"> </w:t>
      </w:r>
      <w:sdt>
        <w:sdtPr>
          <w:rPr>
            <w:rFonts w:eastAsia="Times New Roman" w:cs="Times New Roman"/>
            <w:lang w:eastAsia="en-AU"/>
          </w:rPr>
          <w:id w:val="-1972281393"/>
          <w:citation/>
        </w:sdtPr>
        <w:sdtEndPr/>
        <w:sdtContent>
          <w:r w:rsidR="009126D9" w:rsidRPr="27F845C1">
            <w:rPr>
              <w:rFonts w:eastAsia="Times New Roman" w:cs="Times New Roman"/>
              <w:lang w:eastAsia="en-AU"/>
            </w:rPr>
            <w:fldChar w:fldCharType="begin"/>
          </w:r>
          <w:r w:rsidR="009126D9" w:rsidRPr="27F845C1">
            <w:rPr>
              <w:rFonts w:eastAsia="Times New Roman" w:cs="Times New Roman"/>
              <w:lang w:eastAsia="en-AU"/>
            </w:rPr>
            <w:instrText xml:space="preserve"> CITATION How15 \l 3081 </w:instrText>
          </w:r>
          <w:r w:rsidR="009126D9" w:rsidRPr="27F845C1">
            <w:rPr>
              <w:rFonts w:eastAsia="Times New Roman" w:cs="Times New Roman"/>
              <w:lang w:eastAsia="en-AU"/>
            </w:rPr>
            <w:fldChar w:fldCharType="separate"/>
          </w:r>
          <w:r w:rsidR="00490B21" w:rsidRPr="00490B21">
            <w:rPr>
              <w:rFonts w:eastAsia="Times New Roman" w:cs="Times New Roman"/>
              <w:noProof/>
              <w:lang w:eastAsia="en-AU"/>
            </w:rPr>
            <w:t>(Howard, 2015)</w:t>
          </w:r>
          <w:r w:rsidR="009126D9" w:rsidRPr="27F845C1">
            <w:rPr>
              <w:rFonts w:eastAsia="Times New Roman" w:cs="Times New Roman"/>
              <w:lang w:eastAsia="en-AU"/>
            </w:rPr>
            <w:fldChar w:fldCharType="end"/>
          </w:r>
        </w:sdtContent>
      </w:sdt>
      <w:r w:rsidR="6D089B9F" w:rsidRPr="27F845C1">
        <w:rPr>
          <w:rFonts w:eastAsia="Times New Roman" w:cs="Times New Roman"/>
          <w:lang w:eastAsia="en-AU"/>
        </w:rPr>
        <w:t xml:space="preserve">, while one study suggests </w:t>
      </w:r>
      <w:r w:rsidR="7E4B4032" w:rsidRPr="27F845C1">
        <w:rPr>
          <w:rFonts w:eastAsia="Times New Roman" w:cs="Times New Roman"/>
          <w:lang w:eastAsia="en-AU"/>
        </w:rPr>
        <w:t>the risk of leukemia after exposure</w:t>
      </w:r>
      <w:r w:rsidR="045B89AE" w:rsidRPr="27F845C1">
        <w:rPr>
          <w:rFonts w:eastAsia="Times New Roman" w:cs="Times New Roman"/>
          <w:lang w:eastAsia="en-AU"/>
        </w:rPr>
        <w:t xml:space="preserve"> to</w:t>
      </w:r>
      <w:r w:rsidR="7E4B4032" w:rsidRPr="27F845C1">
        <w:rPr>
          <w:rFonts w:eastAsia="Times New Roman" w:cs="Times New Roman"/>
          <w:lang w:eastAsia="en-AU"/>
        </w:rPr>
        <w:t xml:space="preserve"> benzene</w:t>
      </w:r>
      <w:r w:rsidR="045B89AE" w:rsidRPr="27F845C1">
        <w:rPr>
          <w:rFonts w:eastAsia="Times New Roman" w:cs="Times New Roman"/>
          <w:lang w:eastAsia="en-AU"/>
        </w:rPr>
        <w:t xml:space="preserve"> stops</w:t>
      </w:r>
      <w:r w:rsidR="7E4B4032" w:rsidRPr="27F845C1">
        <w:rPr>
          <w:rFonts w:eastAsia="Times New Roman" w:cs="Times New Roman"/>
          <w:lang w:eastAsia="en-AU"/>
        </w:rPr>
        <w:t xml:space="preserve"> remains for up to 15 years</w:t>
      </w:r>
      <w:r w:rsidR="045B89AE" w:rsidRPr="27F845C1">
        <w:rPr>
          <w:rFonts w:eastAsia="Times New Roman" w:cs="Times New Roman"/>
          <w:lang w:eastAsia="en-AU"/>
        </w:rPr>
        <w:t xml:space="preserve"> </w:t>
      </w:r>
      <w:sdt>
        <w:sdtPr>
          <w:rPr>
            <w:rFonts w:eastAsia="Times New Roman" w:cs="Times New Roman"/>
            <w:lang w:eastAsia="en-AU"/>
          </w:rPr>
          <w:id w:val="667686653"/>
          <w:citation/>
        </w:sdtPr>
        <w:sdtEndPr/>
        <w:sdtContent>
          <w:r w:rsidR="002E1A0B" w:rsidRPr="27F845C1">
            <w:rPr>
              <w:rFonts w:eastAsia="Times New Roman" w:cs="Times New Roman"/>
              <w:lang w:eastAsia="en-AU"/>
            </w:rPr>
            <w:fldChar w:fldCharType="begin"/>
          </w:r>
          <w:r w:rsidR="002E1A0B" w:rsidRPr="27F845C1">
            <w:rPr>
              <w:rFonts w:eastAsia="Times New Roman" w:cs="Times New Roman"/>
              <w:lang w:eastAsia="en-AU"/>
            </w:rPr>
            <w:instrText xml:space="preserve"> CITATION Tri10 \l 3081 </w:instrText>
          </w:r>
          <w:r w:rsidR="002E1A0B" w:rsidRPr="27F845C1">
            <w:rPr>
              <w:rFonts w:eastAsia="Times New Roman" w:cs="Times New Roman"/>
              <w:lang w:eastAsia="en-AU"/>
            </w:rPr>
            <w:fldChar w:fldCharType="separate"/>
          </w:r>
          <w:r w:rsidR="00490B21" w:rsidRPr="00490B21">
            <w:rPr>
              <w:rFonts w:eastAsia="Times New Roman" w:cs="Times New Roman"/>
              <w:noProof/>
              <w:lang w:eastAsia="en-AU"/>
            </w:rPr>
            <w:t>(Triebig, 2010)</w:t>
          </w:r>
          <w:r w:rsidR="002E1A0B" w:rsidRPr="27F845C1">
            <w:rPr>
              <w:rFonts w:eastAsia="Times New Roman" w:cs="Times New Roman"/>
              <w:lang w:eastAsia="en-AU"/>
            </w:rPr>
            <w:fldChar w:fldCharType="end"/>
          </w:r>
        </w:sdtContent>
      </w:sdt>
      <w:r w:rsidR="7E4B4032" w:rsidRPr="27F845C1">
        <w:rPr>
          <w:rFonts w:eastAsia="Times New Roman" w:cs="Times New Roman"/>
          <w:lang w:eastAsia="en-AU"/>
        </w:rPr>
        <w:t xml:space="preserve">. </w:t>
      </w:r>
      <w:r w:rsidR="00B42340" w:rsidRPr="00B42340">
        <w:rPr>
          <w:rFonts w:eastAsia="Times New Roman" w:cs="Times New Roman"/>
          <w:lang w:eastAsia="en-AU"/>
        </w:rPr>
        <w:t xml:space="preserve">Further limitations of the estimation of financial benefits are discussed in </w:t>
      </w:r>
      <w:r w:rsidR="00353F64">
        <w:rPr>
          <w:rFonts w:eastAsia="Times New Roman" w:cs="Times New Roman"/>
          <w:highlight w:val="yellow"/>
          <w:lang w:eastAsia="en-AU"/>
        </w:rPr>
        <w:fldChar w:fldCharType="begin"/>
      </w:r>
      <w:r w:rsidR="00353F64">
        <w:rPr>
          <w:rFonts w:eastAsia="Times New Roman" w:cs="Times New Roman"/>
          <w:lang w:eastAsia="en-AU"/>
        </w:rPr>
        <w:instrText xml:space="preserve"> REF _Ref216793461 \h </w:instrText>
      </w:r>
      <w:r w:rsidR="00353F64">
        <w:rPr>
          <w:rFonts w:eastAsia="Times New Roman" w:cs="Times New Roman"/>
          <w:highlight w:val="yellow"/>
          <w:lang w:eastAsia="en-AU"/>
        </w:rPr>
      </w:r>
      <w:r w:rsidR="00353F64">
        <w:rPr>
          <w:rFonts w:eastAsia="Times New Roman" w:cs="Times New Roman"/>
          <w:highlight w:val="yellow"/>
          <w:lang w:eastAsia="en-AU"/>
        </w:rPr>
        <w:fldChar w:fldCharType="separate"/>
      </w:r>
      <w:r w:rsidR="00A002F4">
        <w:t xml:space="preserve">Table </w:t>
      </w:r>
      <w:r w:rsidR="00A002F4">
        <w:rPr>
          <w:noProof/>
        </w:rPr>
        <w:t>66</w:t>
      </w:r>
      <w:r w:rsidR="00353F64">
        <w:rPr>
          <w:rFonts w:eastAsia="Times New Roman" w:cs="Times New Roman"/>
          <w:highlight w:val="yellow"/>
          <w:lang w:eastAsia="en-AU"/>
        </w:rPr>
        <w:fldChar w:fldCharType="end"/>
      </w:r>
      <w:r w:rsidR="00B42340" w:rsidRPr="00B42340">
        <w:rPr>
          <w:rFonts w:eastAsia="Times New Roman" w:cs="Times New Roman"/>
          <w:lang w:eastAsia="en-AU"/>
        </w:rPr>
        <w:t xml:space="preserve"> of </w:t>
      </w:r>
      <w:r w:rsidR="00B42340" w:rsidRPr="00195AF2">
        <w:t xml:space="preserve">Appendix </w:t>
      </w:r>
      <w:r w:rsidR="004C0E6B">
        <w:rPr>
          <w:rFonts w:eastAsia="Times New Roman" w:cs="Times New Roman"/>
          <w:lang w:eastAsia="en-AU"/>
        </w:rPr>
        <w:t>C</w:t>
      </w:r>
      <w:r w:rsidR="00B42340" w:rsidRPr="00B42340">
        <w:rPr>
          <w:rFonts w:eastAsia="Times New Roman" w:cs="Times New Roman"/>
          <w:lang w:eastAsia="en-AU"/>
        </w:rPr>
        <w:t xml:space="preserve"> of this Decision RIS.</w:t>
      </w:r>
    </w:p>
    <w:p w14:paraId="2296EDA4" w14:textId="278FE488" w:rsidR="00475B73" w:rsidRDefault="006E1DB6" w:rsidP="00851CA1">
      <w:pPr>
        <w:spacing w:before="120" w:line="240" w:lineRule="auto"/>
        <w:contextualSpacing w:val="0"/>
        <w:rPr>
          <w:rFonts w:eastAsia="Times New Roman" w:cs="Times New Roman"/>
          <w:lang w:eastAsia="en-AU"/>
        </w:rPr>
      </w:pPr>
      <w:r>
        <w:rPr>
          <w:rFonts w:eastAsia="Times New Roman" w:cs="Times New Roman"/>
          <w:lang w:eastAsia="en-AU"/>
        </w:rPr>
        <w:t xml:space="preserve">Noting </w:t>
      </w:r>
      <w:r w:rsidR="00032A01">
        <w:rPr>
          <w:rFonts w:eastAsia="Times New Roman" w:cs="Times New Roman"/>
          <w:lang w:eastAsia="en-AU"/>
        </w:rPr>
        <w:t xml:space="preserve">the </w:t>
      </w:r>
      <w:r w:rsidR="000802EF">
        <w:rPr>
          <w:rFonts w:eastAsia="Times New Roman" w:cs="Times New Roman"/>
          <w:lang w:eastAsia="en-AU"/>
        </w:rPr>
        <w:t>potential of under-representation in workers</w:t>
      </w:r>
      <w:r w:rsidR="00597D55">
        <w:rPr>
          <w:rFonts w:eastAsia="Times New Roman" w:cs="Times New Roman"/>
          <w:lang w:eastAsia="en-AU"/>
        </w:rPr>
        <w:t>’</w:t>
      </w:r>
      <w:r w:rsidR="000802EF">
        <w:rPr>
          <w:rFonts w:eastAsia="Times New Roman" w:cs="Times New Roman"/>
          <w:lang w:eastAsia="en-AU"/>
        </w:rPr>
        <w:t xml:space="preserve"> compensation data</w:t>
      </w:r>
      <w:r w:rsidR="00C91C73">
        <w:rPr>
          <w:rFonts w:eastAsia="Times New Roman" w:cs="Times New Roman"/>
          <w:lang w:eastAsia="en-AU"/>
        </w:rPr>
        <w:t xml:space="preserve">, it </w:t>
      </w:r>
      <w:r>
        <w:rPr>
          <w:rFonts w:eastAsia="Times New Roman" w:cs="Times New Roman"/>
          <w:lang w:eastAsia="en-AU"/>
        </w:rPr>
        <w:t xml:space="preserve">is </w:t>
      </w:r>
      <w:r w:rsidR="00C91C73">
        <w:rPr>
          <w:rFonts w:eastAsia="Times New Roman" w:cs="Times New Roman"/>
          <w:lang w:eastAsia="en-AU"/>
        </w:rPr>
        <w:t>likely that</w:t>
      </w:r>
      <w:r w:rsidR="00CD4892">
        <w:rPr>
          <w:rFonts w:eastAsia="Times New Roman" w:cs="Times New Roman"/>
          <w:lang w:eastAsia="en-AU"/>
        </w:rPr>
        <w:t xml:space="preserve"> a</w:t>
      </w:r>
      <w:r w:rsidR="00C91C73" w:rsidRPr="00851CA1">
        <w:rPr>
          <w:rFonts w:eastAsia="Times New Roman" w:cs="Times New Roman"/>
          <w:lang w:eastAsia="en-AU"/>
        </w:rPr>
        <w:t xml:space="preserve"> </w:t>
      </w:r>
      <w:r w:rsidR="00851CA1" w:rsidRPr="00851CA1">
        <w:rPr>
          <w:rFonts w:eastAsia="Times New Roman" w:cs="Times New Roman"/>
          <w:lang w:eastAsia="en-AU"/>
        </w:rPr>
        <w:t>reduction</w:t>
      </w:r>
      <w:r w:rsidR="00250C92">
        <w:rPr>
          <w:rFonts w:eastAsia="Times New Roman" w:cs="Times New Roman"/>
          <w:lang w:eastAsia="en-AU"/>
        </w:rPr>
        <w:t xml:space="preserve"> in the</w:t>
      </w:r>
      <w:r w:rsidR="00851CA1" w:rsidRPr="00851CA1">
        <w:rPr>
          <w:rFonts w:eastAsia="Times New Roman" w:cs="Times New Roman"/>
          <w:lang w:eastAsia="en-AU"/>
        </w:rPr>
        <w:t xml:space="preserve"> </w:t>
      </w:r>
      <w:r w:rsidR="007B1433">
        <w:rPr>
          <w:rFonts w:eastAsia="Times New Roman" w:cs="Times New Roman"/>
          <w:lang w:eastAsia="en-AU"/>
        </w:rPr>
        <w:t xml:space="preserve">proposed WEL for benzene </w:t>
      </w:r>
      <w:r w:rsidR="0034708E">
        <w:rPr>
          <w:rFonts w:eastAsia="Times New Roman" w:cs="Times New Roman"/>
          <w:lang w:eastAsia="en-AU"/>
        </w:rPr>
        <w:t xml:space="preserve">would </w:t>
      </w:r>
      <w:r w:rsidR="007B1433">
        <w:rPr>
          <w:rFonts w:eastAsia="Times New Roman" w:cs="Times New Roman"/>
          <w:lang w:eastAsia="en-AU"/>
        </w:rPr>
        <w:t xml:space="preserve">result in </w:t>
      </w:r>
      <w:r w:rsidR="00E51A3E">
        <w:rPr>
          <w:rFonts w:eastAsia="Times New Roman" w:cs="Times New Roman"/>
          <w:lang w:eastAsia="en-AU"/>
        </w:rPr>
        <w:t xml:space="preserve">protecting </w:t>
      </w:r>
      <w:r w:rsidR="00250C92">
        <w:rPr>
          <w:rFonts w:eastAsia="Times New Roman" w:cs="Times New Roman"/>
          <w:lang w:eastAsia="en-AU"/>
        </w:rPr>
        <w:t>a</w:t>
      </w:r>
      <w:r w:rsidR="0034708E">
        <w:rPr>
          <w:rFonts w:eastAsia="Times New Roman" w:cs="Times New Roman"/>
          <w:lang w:eastAsia="en-AU"/>
        </w:rPr>
        <w:t xml:space="preserve"> greater number of </w:t>
      </w:r>
      <w:r w:rsidR="00851CA1" w:rsidRPr="00851CA1">
        <w:rPr>
          <w:rFonts w:eastAsia="Times New Roman" w:cs="Times New Roman"/>
          <w:lang w:eastAsia="en-AU"/>
        </w:rPr>
        <w:t xml:space="preserve">workers </w:t>
      </w:r>
      <w:r w:rsidR="0034708E">
        <w:rPr>
          <w:rFonts w:eastAsia="Times New Roman" w:cs="Times New Roman"/>
          <w:lang w:eastAsia="en-AU"/>
        </w:rPr>
        <w:t xml:space="preserve">from </w:t>
      </w:r>
      <w:r w:rsidR="00851CA1">
        <w:rPr>
          <w:rFonts w:eastAsia="Times New Roman" w:cs="Times New Roman"/>
          <w:lang w:eastAsia="en-AU"/>
        </w:rPr>
        <w:t>developing leukaemia and other adverse health effects</w:t>
      </w:r>
      <w:r w:rsidR="00851CA1" w:rsidRPr="00851CA1">
        <w:rPr>
          <w:rFonts w:eastAsia="Times New Roman" w:cs="Times New Roman"/>
          <w:lang w:eastAsia="en-AU"/>
        </w:rPr>
        <w:t xml:space="preserve"> from work-related exposures to </w:t>
      </w:r>
      <w:r w:rsidR="00851CA1">
        <w:rPr>
          <w:rFonts w:eastAsia="Times New Roman" w:cs="Times New Roman"/>
          <w:lang w:eastAsia="en-AU"/>
        </w:rPr>
        <w:t>benzene</w:t>
      </w:r>
      <w:r w:rsidR="0034708E">
        <w:rPr>
          <w:rFonts w:eastAsia="Times New Roman" w:cs="Times New Roman"/>
          <w:lang w:eastAsia="en-AU"/>
        </w:rPr>
        <w:t xml:space="preserve">. </w:t>
      </w:r>
      <w:r w:rsidR="00E75AEB">
        <w:rPr>
          <w:rFonts w:eastAsia="Times New Roman" w:cs="Times New Roman"/>
          <w:lang w:eastAsia="en-AU"/>
        </w:rPr>
        <w:t xml:space="preserve">For the purposes of this </w:t>
      </w:r>
      <w:r w:rsidR="00FC193C">
        <w:rPr>
          <w:rFonts w:eastAsia="Times New Roman" w:cs="Times New Roman"/>
          <w:lang w:eastAsia="en-AU"/>
        </w:rPr>
        <w:t xml:space="preserve">Decision RIS, an uplift factor of 50% </w:t>
      </w:r>
      <w:r w:rsidR="00131DE7">
        <w:rPr>
          <w:rFonts w:eastAsia="Times New Roman" w:cs="Times New Roman"/>
          <w:lang w:eastAsia="en-AU"/>
        </w:rPr>
        <w:t>was assume</w:t>
      </w:r>
      <w:r w:rsidR="00780609">
        <w:rPr>
          <w:rFonts w:eastAsia="Times New Roman" w:cs="Times New Roman"/>
          <w:lang w:eastAsia="en-AU"/>
        </w:rPr>
        <w:t xml:space="preserve">d to </w:t>
      </w:r>
      <w:r w:rsidR="00AF1D1D">
        <w:rPr>
          <w:rFonts w:eastAsia="Times New Roman" w:cs="Times New Roman"/>
          <w:lang w:eastAsia="en-AU"/>
        </w:rPr>
        <w:t xml:space="preserve">account for </w:t>
      </w:r>
      <w:r w:rsidR="00131DE7">
        <w:rPr>
          <w:rFonts w:eastAsia="Times New Roman" w:cs="Times New Roman"/>
          <w:lang w:eastAsia="en-AU"/>
        </w:rPr>
        <w:t>this under-representation</w:t>
      </w:r>
      <w:r w:rsidR="0010596E">
        <w:rPr>
          <w:rFonts w:eastAsia="Times New Roman" w:cs="Times New Roman"/>
          <w:lang w:eastAsia="en-AU"/>
        </w:rPr>
        <w:t xml:space="preserve"> of occupational disease caused by exposure to benzene</w:t>
      </w:r>
      <w:r w:rsidR="00131DE7">
        <w:rPr>
          <w:rFonts w:eastAsia="Times New Roman" w:cs="Times New Roman"/>
          <w:lang w:eastAsia="en-AU"/>
        </w:rPr>
        <w:t xml:space="preserve">. </w:t>
      </w:r>
      <w:r w:rsidR="00AF1D1D">
        <w:rPr>
          <w:rFonts w:eastAsia="Times New Roman" w:cs="Times New Roman"/>
          <w:lang w:eastAsia="en-AU"/>
        </w:rPr>
        <w:t xml:space="preserve">However, it </w:t>
      </w:r>
      <w:r w:rsidR="00352B21">
        <w:rPr>
          <w:rFonts w:eastAsia="Times New Roman" w:cs="Times New Roman"/>
          <w:lang w:eastAsia="en-AU"/>
        </w:rPr>
        <w:t xml:space="preserve">remains unclear whether this is </w:t>
      </w:r>
      <w:r w:rsidR="003C36DD">
        <w:rPr>
          <w:rFonts w:eastAsia="Times New Roman" w:cs="Times New Roman"/>
          <w:lang w:eastAsia="en-AU"/>
        </w:rPr>
        <w:t xml:space="preserve">accurate </w:t>
      </w:r>
      <w:r w:rsidR="00B722FF">
        <w:rPr>
          <w:rFonts w:eastAsia="Times New Roman" w:cs="Times New Roman"/>
          <w:lang w:eastAsia="en-AU"/>
        </w:rPr>
        <w:t>reflection of the under-</w:t>
      </w:r>
      <w:r w:rsidR="00352B21">
        <w:rPr>
          <w:rFonts w:eastAsia="Times New Roman" w:cs="Times New Roman"/>
          <w:lang w:eastAsia="en-AU"/>
        </w:rPr>
        <w:t>represent</w:t>
      </w:r>
      <w:r w:rsidR="0010596E">
        <w:rPr>
          <w:rFonts w:eastAsia="Times New Roman" w:cs="Times New Roman"/>
          <w:lang w:eastAsia="en-AU"/>
        </w:rPr>
        <w:t>ation</w:t>
      </w:r>
      <w:r w:rsidR="000B6AD1">
        <w:rPr>
          <w:rFonts w:eastAsia="Times New Roman" w:cs="Times New Roman"/>
          <w:lang w:eastAsia="en-AU"/>
        </w:rPr>
        <w:t>. T</w:t>
      </w:r>
      <w:r w:rsidR="000D3914">
        <w:rPr>
          <w:rFonts w:eastAsia="Times New Roman" w:cs="Times New Roman"/>
          <w:lang w:eastAsia="en-AU"/>
        </w:rPr>
        <w:t xml:space="preserve">hus, </w:t>
      </w:r>
      <w:r w:rsidR="007B5FAC">
        <w:rPr>
          <w:rFonts w:eastAsia="Times New Roman" w:cs="Times New Roman"/>
          <w:lang w:eastAsia="en-AU"/>
        </w:rPr>
        <w:t xml:space="preserve">the actual financial benefits of the proposed WEL </w:t>
      </w:r>
      <w:r w:rsidR="00921707">
        <w:rPr>
          <w:rFonts w:eastAsia="Times New Roman" w:cs="Times New Roman"/>
          <w:lang w:eastAsia="en-AU"/>
        </w:rPr>
        <w:t xml:space="preserve">may </w:t>
      </w:r>
      <w:r w:rsidR="007B5FAC">
        <w:rPr>
          <w:rFonts w:eastAsia="Times New Roman" w:cs="Times New Roman"/>
          <w:lang w:eastAsia="en-AU"/>
        </w:rPr>
        <w:t xml:space="preserve">be </w:t>
      </w:r>
      <w:r w:rsidR="000D3914">
        <w:rPr>
          <w:rFonts w:eastAsia="Times New Roman" w:cs="Times New Roman"/>
          <w:lang w:eastAsia="en-AU"/>
        </w:rPr>
        <w:t>different to</w:t>
      </w:r>
      <w:r w:rsidR="007B5FAC">
        <w:rPr>
          <w:rFonts w:eastAsia="Times New Roman" w:cs="Times New Roman"/>
          <w:lang w:eastAsia="en-AU"/>
        </w:rPr>
        <w:t xml:space="preserve"> what has been </w:t>
      </w:r>
      <w:r w:rsidR="00B87F1C">
        <w:rPr>
          <w:rFonts w:eastAsia="Times New Roman" w:cs="Times New Roman"/>
          <w:lang w:eastAsia="en-AU"/>
        </w:rPr>
        <w:t>estimated</w:t>
      </w:r>
      <w:r w:rsidR="007B5FAC">
        <w:rPr>
          <w:rFonts w:eastAsia="Times New Roman" w:cs="Times New Roman"/>
          <w:lang w:eastAsia="en-AU"/>
        </w:rPr>
        <w:t xml:space="preserve"> in </w:t>
      </w:r>
      <w:r w:rsidR="00F54041" w:rsidRPr="00F54041">
        <w:rPr>
          <w:rFonts w:eastAsia="Times New Roman" w:cs="Times New Roman"/>
          <w:lang w:eastAsia="en-AU"/>
        </w:rPr>
        <w:fldChar w:fldCharType="begin"/>
      </w:r>
      <w:r w:rsidR="00F54041" w:rsidRPr="00F54041">
        <w:rPr>
          <w:rFonts w:eastAsia="Times New Roman" w:cs="Times New Roman"/>
          <w:lang w:eastAsia="en-AU"/>
        </w:rPr>
        <w:instrText xml:space="preserve"> REF _Ref196737062 \h  \* MERGEFORMAT </w:instrText>
      </w:r>
      <w:r w:rsidR="00F54041" w:rsidRPr="00F54041">
        <w:rPr>
          <w:rFonts w:eastAsia="Times New Roman" w:cs="Times New Roman"/>
          <w:lang w:eastAsia="en-AU"/>
        </w:rPr>
      </w:r>
      <w:r w:rsidR="00F54041" w:rsidRPr="00F54041">
        <w:rPr>
          <w:rFonts w:eastAsia="Times New Roman" w:cs="Times New Roman"/>
          <w:lang w:eastAsia="en-AU"/>
        </w:rPr>
        <w:fldChar w:fldCharType="separate"/>
      </w:r>
      <w:r w:rsidR="00A002F4" w:rsidRPr="00A002F4">
        <w:t xml:space="preserve">Table </w:t>
      </w:r>
      <w:r w:rsidR="00A002F4" w:rsidRPr="00A002F4">
        <w:rPr>
          <w:noProof/>
        </w:rPr>
        <w:t>9</w:t>
      </w:r>
      <w:r w:rsidR="00F54041" w:rsidRPr="00F54041">
        <w:rPr>
          <w:rFonts w:eastAsia="Times New Roman" w:cs="Times New Roman"/>
          <w:lang w:eastAsia="en-AU"/>
        </w:rPr>
        <w:fldChar w:fldCharType="end"/>
      </w:r>
      <w:r w:rsidR="00B87F1C" w:rsidRPr="00EF1301">
        <w:rPr>
          <w:rFonts w:eastAsia="Times New Roman" w:cs="Times New Roman"/>
          <w:lang w:eastAsia="en-AU"/>
        </w:rPr>
        <w:fldChar w:fldCharType="begin"/>
      </w:r>
      <w:r w:rsidR="00B87F1C" w:rsidRPr="00EF1301">
        <w:rPr>
          <w:rFonts w:eastAsia="Times New Roman" w:cs="Times New Roman"/>
          <w:lang w:eastAsia="en-AU"/>
        </w:rPr>
        <w:instrText xml:space="preserve"> REF _Ref196737062 \h </w:instrText>
      </w:r>
      <w:r w:rsidR="00EF1301" w:rsidRPr="00025A52">
        <w:rPr>
          <w:rFonts w:eastAsia="Times New Roman" w:cs="Times New Roman"/>
          <w:lang w:eastAsia="en-AU"/>
        </w:rPr>
        <w:instrText xml:space="preserve"> \* MERGEFORMAT </w:instrText>
      </w:r>
      <w:r w:rsidR="00B87F1C" w:rsidRPr="00EF1301">
        <w:rPr>
          <w:rFonts w:eastAsia="Times New Roman" w:cs="Times New Roman"/>
          <w:lang w:eastAsia="en-AU"/>
        </w:rPr>
      </w:r>
      <w:r w:rsidR="00B87F1C" w:rsidRPr="00EF1301">
        <w:rPr>
          <w:rFonts w:eastAsia="Times New Roman" w:cs="Times New Roman"/>
          <w:lang w:eastAsia="en-AU"/>
        </w:rPr>
        <w:fldChar w:fldCharType="separate"/>
      </w:r>
      <w:r w:rsidR="00A002F4" w:rsidRPr="009911EB">
        <w:rPr>
          <w:b/>
          <w:bCs/>
        </w:rPr>
        <w:t xml:space="preserve">Table </w:t>
      </w:r>
      <w:r w:rsidR="00A002F4">
        <w:rPr>
          <w:b/>
          <w:bCs/>
          <w:noProof/>
        </w:rPr>
        <w:t>9</w:t>
      </w:r>
      <w:r w:rsidR="00B87F1C" w:rsidRPr="00EF1301">
        <w:rPr>
          <w:rFonts w:eastAsia="Times New Roman" w:cs="Times New Roman"/>
          <w:lang w:eastAsia="en-AU"/>
        </w:rPr>
        <w:fldChar w:fldCharType="end"/>
      </w:r>
      <w:r w:rsidR="00B87F1C">
        <w:rPr>
          <w:rFonts w:eastAsia="Times New Roman" w:cs="Times New Roman"/>
          <w:lang w:eastAsia="en-AU"/>
        </w:rPr>
        <w:t xml:space="preserve">. </w:t>
      </w:r>
    </w:p>
    <w:p w14:paraId="65F78FBF" w14:textId="3DB346D1" w:rsidR="00032A01" w:rsidRPr="00851CA1" w:rsidRDefault="00BD33AC" w:rsidP="00B64384">
      <w:pPr>
        <w:spacing w:before="120" w:line="240" w:lineRule="auto"/>
        <w:contextualSpacing w:val="0"/>
        <w:rPr>
          <w:rFonts w:eastAsia="Times New Roman" w:cs="Times New Roman"/>
          <w:lang w:eastAsia="en-AU"/>
        </w:rPr>
      </w:pPr>
      <w:r w:rsidRPr="00BD33AC">
        <w:rPr>
          <w:rFonts w:eastAsia="Times New Roman" w:cs="Times New Roman"/>
          <w:lang w:eastAsia="en-AU"/>
        </w:rPr>
        <w:t xml:space="preserve">It is also expected that these quantifiable </w:t>
      </w:r>
      <w:r>
        <w:rPr>
          <w:rFonts w:eastAsia="Times New Roman" w:cs="Times New Roman"/>
          <w:lang w:eastAsia="en-AU"/>
        </w:rPr>
        <w:t>financial</w:t>
      </w:r>
      <w:r w:rsidRPr="00BD33AC">
        <w:rPr>
          <w:rFonts w:eastAsia="Times New Roman" w:cs="Times New Roman"/>
          <w:lang w:eastAsia="en-AU"/>
        </w:rPr>
        <w:t xml:space="preserve"> benefits will continue beyond the 10-year period that this estimation is based on. </w:t>
      </w:r>
      <w:r w:rsidR="00036139" w:rsidRPr="00036139">
        <w:rPr>
          <w:rFonts w:eastAsia="Times New Roman" w:cs="Times New Roman"/>
          <w:lang w:eastAsia="en-AU"/>
        </w:rPr>
        <w:t>Financial benefits that arise beyond the 10-year period have not been quantified and are not included the figures below.</w:t>
      </w:r>
    </w:p>
    <w:p w14:paraId="15A0F13E" w14:textId="191730B9" w:rsidR="00081C4D" w:rsidRPr="009911EB" w:rsidRDefault="00081C4D" w:rsidP="00081C4D">
      <w:pPr>
        <w:keepNext/>
        <w:keepLines/>
        <w:overflowPunct w:val="0"/>
        <w:autoSpaceDE w:val="0"/>
        <w:autoSpaceDN w:val="0"/>
        <w:adjustRightInd w:val="0"/>
        <w:spacing w:before="240" w:after="0"/>
        <w:textAlignment w:val="baseline"/>
        <w:rPr>
          <w:b/>
          <w:bCs/>
        </w:rPr>
      </w:pPr>
      <w:bookmarkStart w:id="85" w:name="_Ref196737062"/>
      <w:r w:rsidRPr="009911EB">
        <w:rPr>
          <w:b/>
          <w:bCs/>
        </w:rPr>
        <w:t xml:space="preserve">Table </w:t>
      </w:r>
      <w:r w:rsidRPr="009911EB">
        <w:rPr>
          <w:b/>
          <w:bCs/>
        </w:rPr>
        <w:fldChar w:fldCharType="begin"/>
      </w:r>
      <w:r w:rsidRPr="009911EB">
        <w:rPr>
          <w:b/>
          <w:bCs/>
        </w:rPr>
        <w:instrText xml:space="preserve"> SEQ Table \* ARABIC </w:instrText>
      </w:r>
      <w:r w:rsidRPr="009911EB">
        <w:rPr>
          <w:b/>
          <w:bCs/>
        </w:rPr>
        <w:fldChar w:fldCharType="separate"/>
      </w:r>
      <w:r w:rsidR="00A002F4">
        <w:rPr>
          <w:b/>
          <w:bCs/>
          <w:noProof/>
        </w:rPr>
        <w:t>9</w:t>
      </w:r>
      <w:r w:rsidRPr="009911EB">
        <w:rPr>
          <w:b/>
          <w:bCs/>
        </w:rPr>
        <w:fldChar w:fldCharType="end"/>
      </w:r>
      <w:bookmarkEnd w:id="85"/>
      <w:r w:rsidRPr="009911EB">
        <w:rPr>
          <w:b/>
          <w:bCs/>
        </w:rPr>
        <w:t xml:space="preserve"> - Estimated average annual and total financial benefits of the proposed WEL for benzene,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081C4D" w:rsidRPr="009911EB" w14:paraId="23354C9D" w14:textId="77777777">
        <w:trPr>
          <w:trHeight w:val="514"/>
          <w:tblHeader/>
        </w:trPr>
        <w:tc>
          <w:tcPr>
            <w:tcW w:w="4106" w:type="dxa"/>
            <w:shd w:val="clear" w:color="auto" w:fill="4877E0" w:themeFill="accent1"/>
          </w:tcPr>
          <w:p w14:paraId="5A53A659" w14:textId="77777777" w:rsidR="00081C4D" w:rsidRPr="009911EB" w:rsidRDefault="00081C4D">
            <w:pPr>
              <w:keepNext/>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Financial benefits</w:t>
            </w:r>
          </w:p>
        </w:tc>
        <w:tc>
          <w:tcPr>
            <w:tcW w:w="2480" w:type="dxa"/>
            <w:tcBorders>
              <w:bottom w:val="single" w:sz="4" w:space="0" w:color="D9D9D9" w:themeColor="background1" w:themeShade="D9"/>
            </w:tcBorders>
            <w:shd w:val="clear" w:color="auto" w:fill="4877E0" w:themeFill="accent1"/>
          </w:tcPr>
          <w:p w14:paraId="56218178" w14:textId="77777777" w:rsidR="00081C4D" w:rsidRPr="009911EB" w:rsidRDefault="00081C4D">
            <w:pPr>
              <w:keepNext/>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Average benefits p.a. ($’000, undiscounted)</w:t>
            </w:r>
          </w:p>
        </w:tc>
        <w:tc>
          <w:tcPr>
            <w:tcW w:w="2481" w:type="dxa"/>
            <w:tcBorders>
              <w:bottom w:val="single" w:sz="4" w:space="0" w:color="D9D9D9" w:themeColor="background1" w:themeShade="D9"/>
            </w:tcBorders>
            <w:shd w:val="clear" w:color="auto" w:fill="4877E0" w:themeFill="accent1"/>
          </w:tcPr>
          <w:p w14:paraId="5E70A9F7" w14:textId="77777777" w:rsidR="00081C4D" w:rsidRPr="009911EB" w:rsidRDefault="00081C4D">
            <w:pPr>
              <w:keepNext/>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Total benefits ($ millions, discounted)</w:t>
            </w:r>
          </w:p>
        </w:tc>
      </w:tr>
      <w:tr w:rsidR="00081C4D" w:rsidRPr="009911EB" w14:paraId="10092158" w14:textId="77777777">
        <w:trPr>
          <w:trHeight w:val="257"/>
        </w:trPr>
        <w:tc>
          <w:tcPr>
            <w:tcW w:w="4106" w:type="dxa"/>
            <w:tcBorders>
              <w:right w:val="single" w:sz="4" w:space="0" w:color="D9D9D9" w:themeColor="background1" w:themeShade="D9"/>
            </w:tcBorders>
            <w:shd w:val="clear" w:color="auto" w:fill="DAE3F8" w:themeFill="accent1" w:themeFillTint="33"/>
          </w:tcPr>
          <w:p w14:paraId="4EC8DB61" w14:textId="77777777" w:rsidR="00081C4D" w:rsidRPr="009911EB" w:rsidRDefault="00081C4D">
            <w:pPr>
              <w:keepNext/>
              <w:spacing w:after="0" w:line="240" w:lineRule="atLeast"/>
              <w:contextualSpacing w:val="0"/>
              <w:rPr>
                <w:rFonts w:eastAsia="Times New Roman"/>
                <w:b/>
                <w:lang w:eastAsia="en-AU"/>
              </w:rPr>
            </w:pPr>
            <w:r w:rsidRPr="009911EB">
              <w:rPr>
                <w:rFonts w:eastAsia="Times New Roman"/>
                <w:b/>
                <w:lang w:eastAsia="en-AU"/>
              </w:rPr>
              <w:t>Direct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A9508DC" w14:textId="77777777" w:rsidR="00081C4D" w:rsidRPr="009911EB" w:rsidRDefault="00081C4D">
            <w:pPr>
              <w:keepNext/>
              <w:keepLines/>
              <w:jc w:val="right"/>
              <w:rPr>
                <w:b/>
              </w:rPr>
            </w:pPr>
            <w:r w:rsidRPr="009911EB">
              <w:rPr>
                <w:b/>
              </w:rPr>
              <w:t>803</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128193A0" w14:textId="77777777" w:rsidR="00081C4D" w:rsidRPr="009911EB" w:rsidRDefault="00081C4D">
            <w:pPr>
              <w:keepNext/>
              <w:keepLines/>
              <w:jc w:val="right"/>
              <w:rPr>
                <w:b/>
              </w:rPr>
            </w:pPr>
            <w:r w:rsidRPr="009911EB">
              <w:rPr>
                <w:b/>
              </w:rPr>
              <w:t>4.9</w:t>
            </w:r>
          </w:p>
        </w:tc>
      </w:tr>
      <w:tr w:rsidR="00081C4D" w:rsidRPr="009911EB" w14:paraId="16171B28" w14:textId="77777777">
        <w:trPr>
          <w:trHeight w:val="257"/>
        </w:trPr>
        <w:tc>
          <w:tcPr>
            <w:tcW w:w="4106" w:type="dxa"/>
            <w:tcBorders>
              <w:right w:val="single" w:sz="4" w:space="0" w:color="D9D9D9" w:themeColor="background1" w:themeShade="D9"/>
            </w:tcBorders>
          </w:tcPr>
          <w:p w14:paraId="4950D3A2" w14:textId="77777777" w:rsidR="00081C4D" w:rsidRPr="009911EB" w:rsidRDefault="00081C4D">
            <w:pPr>
              <w:keepNext/>
              <w:spacing w:after="0" w:line="240" w:lineRule="atLeast"/>
              <w:ind w:left="308"/>
              <w:contextualSpacing w:val="0"/>
              <w:rPr>
                <w:rFonts w:eastAsia="Times New Roman"/>
                <w:bCs/>
                <w:lang w:eastAsia="en-AU"/>
              </w:rPr>
            </w:pPr>
            <w:r w:rsidRPr="009911EB">
              <w:rPr>
                <w:rFonts w:eastAsia="Times New Roman"/>
                <w:bCs/>
                <w:lang w:eastAsia="en-AU"/>
              </w:rPr>
              <w:t>Direct compensation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D3BD33" w14:textId="77777777" w:rsidR="00081C4D" w:rsidRPr="009911EB" w:rsidRDefault="00081C4D">
            <w:pPr>
              <w:keepNext/>
              <w:keepLines/>
              <w:jc w:val="right"/>
            </w:pPr>
            <w:r w:rsidRPr="009911EB">
              <w:t>5</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0E3515" w14:textId="77777777" w:rsidR="00081C4D" w:rsidRPr="009911EB" w:rsidRDefault="00081C4D">
            <w:pPr>
              <w:keepNext/>
              <w:keepLines/>
              <w:jc w:val="right"/>
            </w:pPr>
            <w:r w:rsidRPr="009911EB">
              <w:t>0.0</w:t>
            </w:r>
          </w:p>
        </w:tc>
      </w:tr>
      <w:tr w:rsidR="00081C4D" w:rsidRPr="009911EB" w14:paraId="2A5D42E9" w14:textId="77777777">
        <w:trPr>
          <w:trHeight w:val="257"/>
        </w:trPr>
        <w:tc>
          <w:tcPr>
            <w:tcW w:w="4106" w:type="dxa"/>
            <w:tcBorders>
              <w:right w:val="single" w:sz="4" w:space="0" w:color="D9D9D9" w:themeColor="background1" w:themeShade="D9"/>
            </w:tcBorders>
          </w:tcPr>
          <w:p w14:paraId="0F798DAC" w14:textId="77777777" w:rsidR="00081C4D" w:rsidRPr="009911EB" w:rsidRDefault="00081C4D">
            <w:pPr>
              <w:keepNext/>
              <w:spacing w:after="0" w:line="240" w:lineRule="atLeast"/>
              <w:ind w:left="308"/>
              <w:contextualSpacing w:val="0"/>
              <w:rPr>
                <w:rFonts w:eastAsia="Times New Roman"/>
                <w:bCs/>
                <w:lang w:eastAsia="en-AU"/>
              </w:rPr>
            </w:pPr>
            <w:r w:rsidRPr="009911EB">
              <w:rPr>
                <w:rFonts w:eastAsia="Times New Roman"/>
                <w:bCs/>
                <w:lang w:eastAsia="en-AU"/>
              </w:rPr>
              <w:t>Common law compensation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3CC58B" w14:textId="77777777" w:rsidR="00081C4D" w:rsidRPr="009911EB" w:rsidRDefault="00081C4D">
            <w:pPr>
              <w:keepNext/>
              <w:keepLines/>
              <w:jc w:val="right"/>
            </w:pPr>
            <w:r w:rsidRPr="009911EB">
              <w:t>514</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7338F7" w14:textId="77777777" w:rsidR="00081C4D" w:rsidRPr="009911EB" w:rsidRDefault="00081C4D">
            <w:pPr>
              <w:keepNext/>
              <w:keepLines/>
              <w:jc w:val="right"/>
            </w:pPr>
            <w:r w:rsidRPr="009911EB">
              <w:t>3.2</w:t>
            </w:r>
          </w:p>
        </w:tc>
      </w:tr>
      <w:tr w:rsidR="00081C4D" w:rsidRPr="009911EB" w14:paraId="7E108892" w14:textId="77777777">
        <w:trPr>
          <w:trHeight w:val="274"/>
        </w:trPr>
        <w:tc>
          <w:tcPr>
            <w:tcW w:w="4106" w:type="dxa"/>
            <w:tcBorders>
              <w:right w:val="single" w:sz="4" w:space="0" w:color="D9D9D9" w:themeColor="background1" w:themeShade="D9"/>
            </w:tcBorders>
          </w:tcPr>
          <w:p w14:paraId="56DC9CB1" w14:textId="77777777" w:rsidR="00081C4D" w:rsidRPr="009911EB" w:rsidRDefault="00081C4D">
            <w:pPr>
              <w:keepNext/>
              <w:spacing w:after="0" w:line="240" w:lineRule="atLeast"/>
              <w:ind w:left="308"/>
              <w:contextualSpacing w:val="0"/>
              <w:rPr>
                <w:rFonts w:eastAsia="Times New Roman"/>
                <w:bCs/>
                <w:lang w:eastAsia="en-AU"/>
              </w:rPr>
            </w:pPr>
            <w:r w:rsidRPr="009911EB">
              <w:rPr>
                <w:rFonts w:eastAsia="Times New Roman"/>
                <w:bCs/>
                <w:lang w:eastAsia="en-AU"/>
              </w:rPr>
              <w:t>Medical compensation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74070B" w14:textId="77777777" w:rsidR="00081C4D" w:rsidRPr="009911EB" w:rsidRDefault="00081C4D">
            <w:pPr>
              <w:keepNext/>
              <w:keepLines/>
              <w:jc w:val="right"/>
            </w:pPr>
            <w:r w:rsidRPr="009911EB">
              <w:t>4</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63F1B8B" w14:textId="77777777" w:rsidR="00081C4D" w:rsidRPr="009911EB" w:rsidRDefault="00081C4D">
            <w:pPr>
              <w:keepNext/>
              <w:keepLines/>
              <w:jc w:val="right"/>
            </w:pPr>
            <w:r w:rsidRPr="009911EB">
              <w:t>0.0</w:t>
            </w:r>
          </w:p>
        </w:tc>
      </w:tr>
      <w:tr w:rsidR="00081C4D" w:rsidRPr="009911EB" w14:paraId="76366D41" w14:textId="77777777">
        <w:trPr>
          <w:trHeight w:val="246"/>
        </w:trPr>
        <w:tc>
          <w:tcPr>
            <w:tcW w:w="4106" w:type="dxa"/>
            <w:tcBorders>
              <w:right w:val="single" w:sz="4" w:space="0" w:color="D9D9D9" w:themeColor="background1" w:themeShade="D9"/>
            </w:tcBorders>
          </w:tcPr>
          <w:p w14:paraId="5B544A84" w14:textId="77777777" w:rsidR="00081C4D" w:rsidRPr="009911EB" w:rsidRDefault="00081C4D">
            <w:pPr>
              <w:keepNext/>
              <w:spacing w:after="0" w:line="240" w:lineRule="atLeast"/>
              <w:ind w:left="308"/>
              <w:contextualSpacing w:val="0"/>
              <w:rPr>
                <w:rFonts w:eastAsia="Times New Roman"/>
                <w:bCs/>
                <w:lang w:eastAsia="en-AU"/>
              </w:rPr>
            </w:pPr>
            <w:r w:rsidRPr="009911EB">
              <w:rPr>
                <w:rFonts w:eastAsia="Times New Roman"/>
                <w:bCs/>
                <w:lang w:eastAsia="en-AU"/>
              </w:rPr>
              <w:t>Supplementary compensation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BB7EFF" w14:textId="77777777" w:rsidR="00081C4D" w:rsidRPr="009911EB" w:rsidRDefault="00081C4D">
            <w:pPr>
              <w:keepNext/>
              <w:keepLines/>
              <w:jc w:val="right"/>
            </w:pPr>
            <w:r w:rsidRPr="009911EB">
              <w:t>280</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03DCB1" w14:textId="77777777" w:rsidR="00081C4D" w:rsidRPr="009911EB" w:rsidRDefault="00081C4D">
            <w:pPr>
              <w:keepNext/>
              <w:keepLines/>
              <w:jc w:val="right"/>
            </w:pPr>
            <w:r w:rsidRPr="009911EB">
              <w:t>1.7</w:t>
            </w:r>
          </w:p>
        </w:tc>
      </w:tr>
      <w:tr w:rsidR="00081C4D" w:rsidRPr="009911EB" w14:paraId="55118747" w14:textId="77777777">
        <w:trPr>
          <w:trHeight w:val="257"/>
        </w:trPr>
        <w:tc>
          <w:tcPr>
            <w:tcW w:w="4106" w:type="dxa"/>
            <w:tcBorders>
              <w:right w:val="single" w:sz="4" w:space="0" w:color="D9D9D9" w:themeColor="background1" w:themeShade="D9"/>
            </w:tcBorders>
            <w:shd w:val="clear" w:color="auto" w:fill="DAE3F8" w:themeFill="accent1" w:themeFillTint="33"/>
          </w:tcPr>
          <w:p w14:paraId="210A59AA" w14:textId="77777777" w:rsidR="00081C4D" w:rsidRPr="009911EB" w:rsidRDefault="00081C4D">
            <w:pPr>
              <w:keepNext/>
              <w:spacing w:after="0" w:line="240" w:lineRule="atLeast"/>
              <w:contextualSpacing w:val="0"/>
              <w:rPr>
                <w:rFonts w:eastAsia="Times New Roman"/>
                <w:b/>
                <w:lang w:eastAsia="en-AU"/>
              </w:rPr>
            </w:pPr>
            <w:r w:rsidRPr="009911EB">
              <w:rPr>
                <w:rFonts w:eastAsia="Times New Roman"/>
                <w:b/>
                <w:lang w:eastAsia="en-AU"/>
              </w:rPr>
              <w:t>Indirect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51E9CC3" w14:textId="77777777" w:rsidR="00081C4D" w:rsidRPr="009911EB" w:rsidRDefault="00081C4D">
            <w:pPr>
              <w:keepNext/>
              <w:keepLines/>
              <w:jc w:val="right"/>
              <w:rPr>
                <w:b/>
              </w:rPr>
            </w:pPr>
            <w:r w:rsidRPr="009911EB">
              <w:rPr>
                <w:b/>
              </w:rPr>
              <w:t>0.2</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2709BB1" w14:textId="77777777" w:rsidR="00081C4D" w:rsidRPr="009911EB" w:rsidRDefault="00081C4D">
            <w:pPr>
              <w:keepNext/>
              <w:keepLines/>
              <w:jc w:val="right"/>
              <w:rPr>
                <w:b/>
              </w:rPr>
            </w:pPr>
            <w:r w:rsidRPr="009911EB">
              <w:rPr>
                <w:b/>
              </w:rPr>
              <w:t>0.0</w:t>
            </w:r>
          </w:p>
        </w:tc>
      </w:tr>
      <w:tr w:rsidR="00081C4D" w:rsidRPr="009911EB" w14:paraId="417C36C8" w14:textId="77777777">
        <w:trPr>
          <w:trHeight w:val="257"/>
        </w:trPr>
        <w:tc>
          <w:tcPr>
            <w:tcW w:w="4106" w:type="dxa"/>
            <w:tcBorders>
              <w:right w:val="single" w:sz="4" w:space="0" w:color="D9D9D9" w:themeColor="background1" w:themeShade="D9"/>
            </w:tcBorders>
          </w:tcPr>
          <w:p w14:paraId="1C7F8E8E" w14:textId="77777777" w:rsidR="00081C4D" w:rsidRPr="009911EB" w:rsidRDefault="00081C4D">
            <w:pPr>
              <w:keepNext/>
              <w:spacing w:after="0" w:line="240" w:lineRule="atLeast"/>
              <w:ind w:left="308"/>
              <w:contextualSpacing w:val="0"/>
              <w:rPr>
                <w:rFonts w:eastAsia="Times New Roman"/>
                <w:bCs/>
                <w:lang w:eastAsia="en-AU"/>
              </w:rPr>
            </w:pPr>
            <w:r w:rsidRPr="009911EB">
              <w:rPr>
                <w:rFonts w:eastAsia="Times New Roman"/>
                <w:bCs/>
                <w:lang w:eastAsia="en-AU"/>
              </w:rPr>
              <w:t>Productivity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8C964E" w14:textId="77777777" w:rsidR="00081C4D" w:rsidRPr="009911EB" w:rsidRDefault="00081C4D">
            <w:pPr>
              <w:keepNext/>
              <w:keepLines/>
              <w:jc w:val="right"/>
            </w:pPr>
            <w:r w:rsidRPr="009911EB">
              <w:t>0.2</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6F1B70" w14:textId="77777777" w:rsidR="00081C4D" w:rsidRPr="009911EB" w:rsidRDefault="00081C4D">
            <w:pPr>
              <w:keepNext/>
              <w:keepLines/>
              <w:jc w:val="right"/>
            </w:pPr>
            <w:r w:rsidRPr="009911EB">
              <w:t>0.0</w:t>
            </w:r>
          </w:p>
        </w:tc>
      </w:tr>
      <w:tr w:rsidR="00081C4D" w:rsidRPr="009911EB" w14:paraId="607C06E4" w14:textId="77777777">
        <w:trPr>
          <w:trHeight w:val="257"/>
        </w:trPr>
        <w:tc>
          <w:tcPr>
            <w:tcW w:w="4106" w:type="dxa"/>
            <w:tcBorders>
              <w:right w:val="single" w:sz="4" w:space="0" w:color="D9D9D9" w:themeColor="background1" w:themeShade="D9"/>
            </w:tcBorders>
            <w:shd w:val="clear" w:color="auto" w:fill="91ACEC" w:themeFill="accent1" w:themeFillTint="99"/>
          </w:tcPr>
          <w:p w14:paraId="554E7F1B" w14:textId="77777777" w:rsidR="00081C4D" w:rsidRPr="009911EB" w:rsidRDefault="00081C4D" w:rsidP="00D1466E">
            <w:pPr>
              <w:spacing w:after="0" w:line="240" w:lineRule="atLeast"/>
              <w:contextualSpacing w:val="0"/>
              <w:rPr>
                <w:rFonts w:eastAsia="Times New Roman"/>
                <w:bCs/>
                <w:lang w:eastAsia="en-AU"/>
              </w:rPr>
            </w:pPr>
            <w:r w:rsidRPr="009911EB">
              <w:rPr>
                <w:rFonts w:eastAsia="Times New Roman"/>
                <w:b/>
                <w:lang w:eastAsia="en-AU"/>
              </w:rPr>
              <w:t>Total financial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3F6F1C0E" w14:textId="77777777" w:rsidR="00081C4D" w:rsidRPr="009911EB" w:rsidRDefault="00081C4D" w:rsidP="00D1466E">
            <w:pPr>
              <w:keepLines/>
              <w:jc w:val="right"/>
              <w:rPr>
                <w:b/>
              </w:rPr>
            </w:pPr>
            <w:r w:rsidRPr="009911EB">
              <w:rPr>
                <w:b/>
              </w:rPr>
              <w:t>803.2</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2494187C" w14:textId="77777777" w:rsidR="00081C4D" w:rsidRPr="009911EB" w:rsidRDefault="00081C4D">
            <w:pPr>
              <w:keepNext/>
              <w:keepLines/>
              <w:jc w:val="right"/>
              <w:rPr>
                <w:b/>
              </w:rPr>
            </w:pPr>
            <w:r w:rsidRPr="009911EB">
              <w:rPr>
                <w:b/>
              </w:rPr>
              <w:t>4.9</w:t>
            </w:r>
          </w:p>
        </w:tc>
      </w:tr>
    </w:tbl>
    <w:p w14:paraId="1168F9E9" w14:textId="3A717922" w:rsidR="003D0A99" w:rsidRPr="00E30468" w:rsidRDefault="003D0A99" w:rsidP="001200A3">
      <w:pPr>
        <w:pStyle w:val="SWAHeading5"/>
      </w:pPr>
      <w:r w:rsidRPr="00E30468">
        <w:lastRenderedPageBreak/>
        <w:t>Reduc</w:t>
      </w:r>
      <w:r>
        <w:t>ed</w:t>
      </w:r>
      <w:r w:rsidRPr="00E30468">
        <w:t xml:space="preserve"> costs associated with </w:t>
      </w:r>
      <w:r>
        <w:t>potential</w:t>
      </w:r>
      <w:r w:rsidRPr="00E30468">
        <w:t xml:space="preserve"> </w:t>
      </w:r>
      <w:r>
        <w:t>worker</w:t>
      </w:r>
      <w:r w:rsidR="21196042">
        <w:t>s’</w:t>
      </w:r>
      <w:r w:rsidRPr="00E30468">
        <w:t xml:space="preserve"> compensation claims</w:t>
      </w:r>
      <w:r>
        <w:rPr>
          <w:rStyle w:val="FootnoteReference"/>
        </w:rPr>
        <w:footnoteReference w:id="22"/>
      </w:r>
    </w:p>
    <w:p w14:paraId="0348173F" w14:textId="64A9E78D" w:rsidR="003D0A99" w:rsidRDefault="003D0A99" w:rsidP="003349CC">
      <w:pPr>
        <w:pStyle w:val="Paragraph"/>
        <w:keepNext w:val="0"/>
      </w:pPr>
      <w:r w:rsidRPr="00E30468">
        <w:t xml:space="preserve">Workers who develop an occupational disease or illness because of exposure to </w:t>
      </w:r>
      <w:r>
        <w:t>benzene</w:t>
      </w:r>
      <w:r w:rsidRPr="00E30468">
        <w:t xml:space="preserve"> are able to seek workers’ compensation if the occupational disease or illness can be linked to the workplace. Workers’ compensation will help workers focus on getting better and access rehabilitation services, without worrying about associated costs. </w:t>
      </w:r>
      <w:r w:rsidR="001200A3">
        <w:t>Reducing the potential for workers</w:t>
      </w:r>
      <w:r w:rsidR="25209B07">
        <w:t>’</w:t>
      </w:r>
      <w:r w:rsidR="001200A3">
        <w:t xml:space="preserve"> compensation claims will provide direct financial benefits to businesses. </w:t>
      </w:r>
    </w:p>
    <w:p w14:paraId="7FB076D1" w14:textId="7AECF1FB" w:rsidR="003D0A99" w:rsidRDefault="004F33AF" w:rsidP="003D0A99">
      <w:pPr>
        <w:pStyle w:val="Paragraph"/>
      </w:pPr>
      <w:r>
        <w:t>Benzene</w:t>
      </w:r>
      <w:r w:rsidRPr="00183EA2">
        <w:t xml:space="preserve"> is listed on Safe Work Australia’s List of Deemed Diseases as</w:t>
      </w:r>
      <w:r>
        <w:t xml:space="preserve"> a</w:t>
      </w:r>
      <w:r w:rsidRPr="00183EA2">
        <w:t xml:space="preserve"> cause for </w:t>
      </w:r>
      <w:r>
        <w:t>leukaemia, and acute toxicity (</w:t>
      </w:r>
      <w:r w:rsidRPr="001F7274">
        <w:t>poisoning causing damage to one or more of the heart, lungs, liver, kidney, nervous system and blood</w:t>
      </w:r>
      <w:r>
        <w:t>)</w:t>
      </w:r>
      <w:r w:rsidRPr="001F7274" w:rsidDel="001F7274">
        <w:t xml:space="preserve"> </w:t>
      </w:r>
      <w:sdt>
        <w:sdtPr>
          <w:id w:val="325487829"/>
          <w:citation/>
        </w:sdtPr>
        <w:sdtEndPr/>
        <w:sdtContent>
          <w:r>
            <w:fldChar w:fldCharType="begin"/>
          </w:r>
          <w:r>
            <w:instrText xml:space="preserve"> CITATION Saf24 \l 3081 </w:instrText>
          </w:r>
          <w:r>
            <w:fldChar w:fldCharType="separate"/>
          </w:r>
          <w:r w:rsidR="00490B21">
            <w:rPr>
              <w:noProof/>
            </w:rPr>
            <w:t>(Safe Work Australia, 2024)</w:t>
          </w:r>
          <w:r>
            <w:fldChar w:fldCharType="end"/>
          </w:r>
        </w:sdtContent>
      </w:sdt>
      <w:r>
        <w:t>.</w:t>
      </w:r>
      <w:r w:rsidRPr="0050012D" w:rsidDel="005F7744">
        <w:rPr>
          <w:vertAlign w:val="superscript"/>
        </w:rPr>
        <w:t xml:space="preserve"> </w:t>
      </w:r>
      <w:r w:rsidR="003D0A99" w:rsidRPr="00183EA2">
        <w:t xml:space="preserve">Deemed diseases are conditions that are highly likely to be caused by work, based on scientific evidence. For workers’ compensation </w:t>
      </w:r>
      <w:r w:rsidR="08FDD440">
        <w:t xml:space="preserve">claim </w:t>
      </w:r>
      <w:r w:rsidR="003D0A99">
        <w:t>purposes</w:t>
      </w:r>
      <w:r w:rsidR="003D0A99" w:rsidRPr="00183EA2">
        <w:t xml:space="preserve">, a worker with a relevant work-related exposure is assumed to have developed a deemed disease from their work, unless there is strong evidence to the contrary. </w:t>
      </w:r>
    </w:p>
    <w:p w14:paraId="35A320E5" w14:textId="2D0A9F20" w:rsidR="007D6281" w:rsidRPr="003349CC" w:rsidRDefault="007D6281" w:rsidP="003D0A99">
      <w:pPr>
        <w:pStyle w:val="Paragraph"/>
      </w:pPr>
      <w:r w:rsidRPr="007D6281">
        <w:t>A reduction in workers developing leukaemia and acute toxicity from work-related exposures to benzene can help businesses directly avoid the cost of potential worker</w:t>
      </w:r>
      <w:r w:rsidR="00AD7EB5">
        <w:t>s’</w:t>
      </w:r>
      <w:r w:rsidRPr="007D6281">
        <w:t xml:space="preserve"> compensation claims</w:t>
      </w:r>
      <w:r w:rsidR="00325421">
        <w:t xml:space="preserve"> through increased premiums</w:t>
      </w:r>
      <w:r w:rsidRPr="007D6281">
        <w:t xml:space="preserve">. </w:t>
      </w:r>
    </w:p>
    <w:p w14:paraId="19505039" w14:textId="10D4BE70" w:rsidR="00032A01" w:rsidRPr="003349CC" w:rsidRDefault="00032A01" w:rsidP="003349CC">
      <w:pPr>
        <w:pStyle w:val="SWAHeading5"/>
        <w:rPr>
          <w:lang w:eastAsia="en-AU"/>
        </w:rPr>
      </w:pPr>
      <w:r>
        <w:rPr>
          <w:lang w:eastAsia="en-AU"/>
        </w:rPr>
        <w:t>Increased productivity</w:t>
      </w:r>
    </w:p>
    <w:p w14:paraId="6729C92B" w14:textId="79ED94C1" w:rsidR="00032A01" w:rsidRDefault="00032A01" w:rsidP="00B64384">
      <w:pPr>
        <w:spacing w:before="120" w:line="240" w:lineRule="auto"/>
        <w:contextualSpacing w:val="0"/>
        <w:rPr>
          <w:rFonts w:cs="Times New Roman"/>
        </w:rPr>
      </w:pPr>
      <w:r>
        <w:rPr>
          <w:rFonts w:eastAsia="Times New Roman" w:cs="Times New Roman"/>
          <w:lang w:eastAsia="en-AU"/>
        </w:rPr>
        <w:t>Th</w:t>
      </w:r>
      <w:r w:rsidR="003D0A99">
        <w:rPr>
          <w:rFonts w:eastAsia="Times New Roman" w:cs="Times New Roman"/>
          <w:lang w:eastAsia="en-AU"/>
        </w:rPr>
        <w:t>e indirect</w:t>
      </w:r>
      <w:r>
        <w:rPr>
          <w:rFonts w:eastAsia="Times New Roman" w:cs="Times New Roman"/>
          <w:lang w:eastAsia="en-AU"/>
        </w:rPr>
        <w:t xml:space="preserve"> benefit of </w:t>
      </w:r>
      <w:r w:rsidRPr="00EF1301">
        <w:rPr>
          <w:rFonts w:eastAsia="Times New Roman" w:cs="Times New Roman"/>
          <w:lang w:eastAsia="en-AU"/>
        </w:rPr>
        <w:t>increased productivity from a reduction in absenteeism and presenteeism amongst the workforce who are exposed to benzene</w:t>
      </w:r>
      <w:r>
        <w:rPr>
          <w:rFonts w:eastAsia="Times New Roman" w:cs="Times New Roman"/>
          <w:lang w:eastAsia="en-AU"/>
        </w:rPr>
        <w:t xml:space="preserve"> was also raised in by stakeholders in the 2024 public consultation</w:t>
      </w:r>
      <w:r w:rsidRPr="00EF1301">
        <w:rPr>
          <w:rFonts w:eastAsia="Times New Roman" w:cs="Times New Roman"/>
          <w:vertAlign w:val="superscript"/>
          <w:lang w:eastAsia="en-AU"/>
        </w:rPr>
        <w:footnoteReference w:id="23"/>
      </w:r>
      <w:r>
        <w:rPr>
          <w:rFonts w:eastAsia="Times New Roman" w:cs="Times New Roman"/>
          <w:lang w:eastAsia="en-AU"/>
        </w:rPr>
        <w:t xml:space="preserve">, as </w:t>
      </w:r>
      <w:r>
        <w:rPr>
          <w:rFonts w:cs="Times New Roman"/>
        </w:rPr>
        <w:t>it is expected the</w:t>
      </w:r>
      <w:r w:rsidRPr="004F7D04">
        <w:rPr>
          <w:rFonts w:cs="Times New Roman"/>
        </w:rPr>
        <w:t xml:space="preserve"> proposed WEL </w:t>
      </w:r>
      <w:r>
        <w:rPr>
          <w:rFonts w:cs="Times New Roman"/>
        </w:rPr>
        <w:t>will</w:t>
      </w:r>
      <w:r w:rsidRPr="004F7D04">
        <w:rPr>
          <w:rFonts w:cs="Times New Roman"/>
        </w:rPr>
        <w:t xml:space="preserve"> reduce the number of workers </w:t>
      </w:r>
      <w:r w:rsidR="00650AD7">
        <w:rPr>
          <w:rFonts w:cs="Times New Roman"/>
        </w:rPr>
        <w:t>who develop</w:t>
      </w:r>
      <w:r w:rsidRPr="004F7D04">
        <w:rPr>
          <w:rFonts w:cs="Times New Roman"/>
        </w:rPr>
        <w:t xml:space="preserve"> leukemia and related symptoms, </w:t>
      </w:r>
      <w:r>
        <w:rPr>
          <w:rFonts w:cs="Times New Roman"/>
        </w:rPr>
        <w:t xml:space="preserve">resulting in less workers </w:t>
      </w:r>
      <w:r w:rsidRPr="004F7D04">
        <w:rPr>
          <w:rFonts w:cs="Times New Roman"/>
        </w:rPr>
        <w:t>need</w:t>
      </w:r>
      <w:r>
        <w:rPr>
          <w:rFonts w:cs="Times New Roman"/>
        </w:rPr>
        <w:t>ing</w:t>
      </w:r>
      <w:r w:rsidRPr="004F7D04">
        <w:rPr>
          <w:rFonts w:cs="Times New Roman"/>
        </w:rPr>
        <w:t xml:space="preserve"> to take time off work to seek medical care or treatment. </w:t>
      </w:r>
    </w:p>
    <w:p w14:paraId="49175BA0" w14:textId="0DC48500" w:rsidR="00032A01" w:rsidRDefault="00032A01" w:rsidP="00B64384">
      <w:pPr>
        <w:spacing w:before="120" w:line="240" w:lineRule="auto"/>
        <w:contextualSpacing w:val="0"/>
        <w:rPr>
          <w:rFonts w:cs="Times New Roman"/>
        </w:rPr>
      </w:pPr>
      <w:r>
        <w:rPr>
          <w:rFonts w:cs="Times New Roman"/>
        </w:rPr>
        <w:t>This benefit is also reflected in a</w:t>
      </w:r>
      <w:r w:rsidRPr="004F7D04">
        <w:rPr>
          <w:rFonts w:cs="Times New Roman"/>
        </w:rPr>
        <w:t xml:space="preserve"> study of </w:t>
      </w:r>
      <w:r>
        <w:rPr>
          <w:rFonts w:cs="Times New Roman"/>
        </w:rPr>
        <w:t xml:space="preserve">the </w:t>
      </w:r>
      <w:r w:rsidRPr="004F7D04">
        <w:rPr>
          <w:rFonts w:cs="Times New Roman"/>
        </w:rPr>
        <w:t>Australian working population (15-65 years)</w:t>
      </w:r>
      <w:r>
        <w:rPr>
          <w:rFonts w:cs="Times New Roman"/>
        </w:rPr>
        <w:t xml:space="preserve">, which suggests </w:t>
      </w:r>
      <w:r w:rsidRPr="004F7D04">
        <w:rPr>
          <w:rFonts w:cs="Times New Roman"/>
        </w:rPr>
        <w:t>that acute myeloid leukemia (AML) would result in 7,600 years of life lost and 7,337 productivity-adjusted life years (PALYs; productivity loss that is attributable to disease rather than impaired health) between 2019 and 2029. This is totalled to $1.43 billion AUD in lost gross domestic product. The same study also suggests if both survival and return-to-work rates associated with AML increased by 20%, $52 million and $118 million AUD could potentially be saved respectively</w:t>
      </w:r>
      <w:r>
        <w:rPr>
          <w:rFonts w:cs="Times New Roman"/>
        </w:rPr>
        <w:t xml:space="preserve"> over the 10-year period</w:t>
      </w:r>
      <w:r w:rsidRPr="004F7D04">
        <w:rPr>
          <w:rFonts w:cs="Times New Roman"/>
        </w:rPr>
        <w:t xml:space="preserve"> </w:t>
      </w:r>
      <w:sdt>
        <w:sdtPr>
          <w:rPr>
            <w:rFonts w:cs="Times New Roman"/>
          </w:rPr>
          <w:id w:val="-723513203"/>
          <w:citation/>
        </w:sdtPr>
        <w:sdtEndPr/>
        <w:sdtContent>
          <w:r w:rsidRPr="004F7D04">
            <w:rPr>
              <w:rFonts w:cs="Times New Roman"/>
            </w:rPr>
            <w:fldChar w:fldCharType="begin"/>
          </w:r>
          <w:r w:rsidRPr="004F7D04">
            <w:rPr>
              <w:rFonts w:cs="Times New Roman"/>
            </w:rPr>
            <w:instrText xml:space="preserve"> CITATION Par21 \l 3081 </w:instrText>
          </w:r>
          <w:r w:rsidRPr="004F7D04">
            <w:rPr>
              <w:rFonts w:cs="Times New Roman"/>
            </w:rPr>
            <w:fldChar w:fldCharType="separate"/>
          </w:r>
          <w:r w:rsidR="00490B21" w:rsidRPr="00490B21">
            <w:rPr>
              <w:rFonts w:cs="Times New Roman"/>
              <w:noProof/>
            </w:rPr>
            <w:t>(Parker, et al., 2021)</w:t>
          </w:r>
          <w:r w:rsidRPr="004F7D04">
            <w:rPr>
              <w:rFonts w:cs="Times New Roman"/>
            </w:rPr>
            <w:fldChar w:fldCharType="end"/>
          </w:r>
        </w:sdtContent>
      </w:sdt>
      <w:r w:rsidRPr="004F7D04">
        <w:rPr>
          <w:rFonts w:cs="Times New Roman"/>
        </w:rPr>
        <w:t>. A reduction in the number of acute myeloid leukaemia cases in Australia caused by work-related benzene exposure would contribute to these savings in GDP.</w:t>
      </w:r>
    </w:p>
    <w:p w14:paraId="4F3E3A47" w14:textId="224725E1" w:rsidR="00A924F0" w:rsidRDefault="00900BBD" w:rsidP="00D1466E">
      <w:pPr>
        <w:pStyle w:val="SWAHeading4"/>
        <w:keepNext/>
        <w:spacing w:before="240"/>
      </w:pPr>
      <w:r>
        <w:t>Non-</w:t>
      </w:r>
      <w:r w:rsidR="00540310">
        <w:t>quantifi</w:t>
      </w:r>
      <w:r w:rsidR="00E920DE">
        <w:t>able</w:t>
      </w:r>
      <w:r w:rsidR="00540310">
        <w:t xml:space="preserve"> </w:t>
      </w:r>
      <w:r w:rsidR="00D70051">
        <w:t xml:space="preserve">financial </w:t>
      </w:r>
      <w:r w:rsidR="00540310">
        <w:t>benefits of the</w:t>
      </w:r>
      <w:r w:rsidR="00595C45">
        <w:t xml:space="preserve"> proposed WEL for benzene</w:t>
      </w:r>
    </w:p>
    <w:p w14:paraId="2E1ECE27" w14:textId="0461763D" w:rsidR="00D70051" w:rsidRDefault="592453FA" w:rsidP="27F845C1">
      <w:pPr>
        <w:pStyle w:val="SWA-NORMAL"/>
      </w:pPr>
      <w:r>
        <w:t>A</w:t>
      </w:r>
      <w:r w:rsidR="32A96518">
        <w:t>dditional</w:t>
      </w:r>
      <w:r w:rsidR="0B7C8EC9">
        <w:t xml:space="preserve"> financial</w:t>
      </w:r>
      <w:r w:rsidR="32A96518">
        <w:t xml:space="preserve"> </w:t>
      </w:r>
      <w:r w:rsidR="004E2395">
        <w:t>benefits of</w:t>
      </w:r>
      <w:r w:rsidR="0B7C8EC9">
        <w:t xml:space="preserve"> the proposed WEL for benzene</w:t>
      </w:r>
      <w:r w:rsidR="00154D8D">
        <w:t>, such as the reduced impacts on support networks for individuals experiencing occupational disease,</w:t>
      </w:r>
      <w:r w:rsidR="0B7C8EC9">
        <w:t xml:space="preserve"> </w:t>
      </w:r>
      <w:r w:rsidR="32A96518">
        <w:t xml:space="preserve">were not </w:t>
      </w:r>
      <w:r>
        <w:t xml:space="preserve">able to be </w:t>
      </w:r>
      <w:r w:rsidR="32A96518">
        <w:t xml:space="preserve">quantified in this analysis due to a </w:t>
      </w:r>
      <w:r w:rsidR="61AB4832">
        <w:t xml:space="preserve">lack </w:t>
      </w:r>
      <w:r w:rsidR="32A96518">
        <w:t>of data</w:t>
      </w:r>
      <w:r w:rsidR="2E7EC520">
        <w:t xml:space="preserve">. However, </w:t>
      </w:r>
      <w:r w:rsidR="72531E0D">
        <w:t>this</w:t>
      </w:r>
      <w:r w:rsidR="2E7EC520">
        <w:t xml:space="preserve"> does</w:t>
      </w:r>
      <w:r w:rsidR="72531E0D">
        <w:t xml:space="preserve"> </w:t>
      </w:r>
      <w:r w:rsidR="03A83111">
        <w:t xml:space="preserve">not indicate an absence of </w:t>
      </w:r>
      <w:r w:rsidR="739F432E">
        <w:t xml:space="preserve">these </w:t>
      </w:r>
      <w:r w:rsidR="72531E0D">
        <w:t xml:space="preserve">financial </w:t>
      </w:r>
      <w:r w:rsidR="03A83111">
        <w:t>benefits</w:t>
      </w:r>
      <w:r w:rsidR="00DE42BD">
        <w:t>.</w:t>
      </w:r>
      <w:r w:rsidR="00D15C0F">
        <w:t xml:space="preserve"> </w:t>
      </w:r>
      <w:r w:rsidR="00FA3DDA">
        <w:t>As such, t</w:t>
      </w:r>
      <w:r w:rsidR="00D15C0F" w:rsidRPr="00D15C0F">
        <w:t xml:space="preserve">he actual benefits of the proposed WEL for benzene are </w:t>
      </w:r>
      <w:r w:rsidR="00DC7411">
        <w:t>likely to</w:t>
      </w:r>
      <w:r w:rsidR="003109D7">
        <w:t xml:space="preserve"> be </w:t>
      </w:r>
      <w:r w:rsidR="00D15C0F" w:rsidRPr="00D15C0F">
        <w:t xml:space="preserve">greater than </w:t>
      </w:r>
      <w:r w:rsidR="00DC7411">
        <w:t>what has been estimated</w:t>
      </w:r>
      <w:r w:rsidR="00D15C0F" w:rsidRPr="00D15C0F">
        <w:t xml:space="preserve"> in</w:t>
      </w:r>
      <w:r w:rsidR="0029145C">
        <w:t xml:space="preserve"> </w:t>
      </w:r>
      <w:r w:rsidR="0029145C">
        <w:rPr>
          <w:highlight w:val="yellow"/>
        </w:rPr>
        <w:fldChar w:fldCharType="begin"/>
      </w:r>
      <w:r w:rsidR="0029145C">
        <w:rPr>
          <w:highlight w:val="yellow"/>
        </w:rPr>
        <w:instrText xml:space="preserve"> REF _Ref199856605 \h </w:instrText>
      </w:r>
      <w:r w:rsidR="0029145C">
        <w:rPr>
          <w:highlight w:val="yellow"/>
        </w:rPr>
      </w:r>
      <w:r w:rsidR="0029145C">
        <w:rPr>
          <w:highlight w:val="yellow"/>
        </w:rPr>
        <w:fldChar w:fldCharType="separate"/>
      </w:r>
      <w:r w:rsidR="00A002F4">
        <w:t xml:space="preserve">Table </w:t>
      </w:r>
      <w:r w:rsidR="00A002F4">
        <w:rPr>
          <w:noProof/>
        </w:rPr>
        <w:t>8</w:t>
      </w:r>
      <w:r w:rsidR="0029145C">
        <w:rPr>
          <w:highlight w:val="yellow"/>
        </w:rPr>
        <w:fldChar w:fldCharType="end"/>
      </w:r>
      <w:r w:rsidR="00D15C0F" w:rsidRPr="0029145C">
        <w:t xml:space="preserve"> and </w:t>
      </w:r>
      <w:r w:rsidR="0029145C" w:rsidRPr="0029145C">
        <w:rPr>
          <w:highlight w:val="yellow"/>
        </w:rPr>
        <w:fldChar w:fldCharType="begin"/>
      </w:r>
      <w:r w:rsidR="0029145C" w:rsidRPr="0029145C">
        <w:rPr>
          <w:highlight w:val="yellow"/>
        </w:rPr>
        <w:instrText xml:space="preserve"> REF _Ref196737062 \h </w:instrText>
      </w:r>
      <w:r w:rsidR="0029145C" w:rsidRPr="003349CC">
        <w:rPr>
          <w:highlight w:val="yellow"/>
        </w:rPr>
        <w:instrText xml:space="preserve"> \* MERGEFORMAT </w:instrText>
      </w:r>
      <w:r w:rsidR="0029145C" w:rsidRPr="0029145C">
        <w:rPr>
          <w:highlight w:val="yellow"/>
        </w:rPr>
      </w:r>
      <w:r w:rsidR="0029145C" w:rsidRPr="0029145C">
        <w:rPr>
          <w:highlight w:val="yellow"/>
        </w:rPr>
        <w:fldChar w:fldCharType="separate"/>
      </w:r>
      <w:r w:rsidR="00A002F4" w:rsidRPr="00A002F4">
        <w:t>Table</w:t>
      </w:r>
      <w:r w:rsidR="00A002F4" w:rsidRPr="009911EB">
        <w:rPr>
          <w:b/>
          <w:bCs/>
        </w:rPr>
        <w:t xml:space="preserve"> </w:t>
      </w:r>
      <w:r w:rsidR="00A002F4">
        <w:rPr>
          <w:b/>
          <w:bCs/>
          <w:noProof/>
        </w:rPr>
        <w:t>9</w:t>
      </w:r>
      <w:r w:rsidR="0029145C" w:rsidRPr="0029145C">
        <w:rPr>
          <w:highlight w:val="yellow"/>
        </w:rPr>
        <w:fldChar w:fldCharType="end"/>
      </w:r>
      <w:r w:rsidR="00EB5097">
        <w:t>,</w:t>
      </w:r>
      <w:r w:rsidR="00D15C0F" w:rsidRPr="00D15C0F">
        <w:t xml:space="preserve"> when th</w:t>
      </w:r>
      <w:r w:rsidR="00E236F2">
        <w:t xml:space="preserve">ese </w:t>
      </w:r>
      <w:r w:rsidR="00D15C0F" w:rsidRPr="00D15C0F">
        <w:t>non-quantifiable financial benefit</w:t>
      </w:r>
      <w:r w:rsidR="00E236F2">
        <w:t>s are</w:t>
      </w:r>
      <w:r w:rsidR="001F0A6C">
        <w:t xml:space="preserve"> </w:t>
      </w:r>
      <w:r w:rsidR="00D15C0F" w:rsidRPr="00D15C0F">
        <w:t>considered</w:t>
      </w:r>
      <w:r w:rsidR="1676BCE5">
        <w:t>.</w:t>
      </w:r>
      <w:r w:rsidR="03A83111">
        <w:t xml:space="preserve"> </w:t>
      </w:r>
      <w:r w:rsidR="00B176F3">
        <w:t>It is also expected that these non-quantifiable benefits would be realised beyond the 10-year period</w:t>
      </w:r>
      <w:r w:rsidR="64F71614">
        <w:t xml:space="preserve">. </w:t>
      </w:r>
    </w:p>
    <w:p w14:paraId="40B8BE0D" w14:textId="56541951" w:rsidR="001D19C0" w:rsidRDefault="00F7316D" w:rsidP="005B3C97">
      <w:pPr>
        <w:pStyle w:val="SWAHeading5"/>
      </w:pPr>
      <w:r>
        <w:lastRenderedPageBreak/>
        <w:t xml:space="preserve">Reduction </w:t>
      </w:r>
      <w:r w:rsidR="00004BA8">
        <w:t>of costs to government</w:t>
      </w:r>
      <w:r w:rsidR="00B03581">
        <w:t>s</w:t>
      </w:r>
      <w:r w:rsidR="00483830">
        <w:rPr>
          <w:rStyle w:val="FootnoteReference"/>
        </w:rPr>
        <w:footnoteReference w:id="24"/>
      </w:r>
    </w:p>
    <w:p w14:paraId="330F486D" w14:textId="20A45811" w:rsidR="000B14A7" w:rsidRDefault="003E0F17" w:rsidP="00473943">
      <w:pPr>
        <w:suppressAutoHyphens/>
        <w:spacing w:line="259" w:lineRule="auto"/>
        <w:contextualSpacing w:val="0"/>
      </w:pPr>
      <w:r w:rsidRPr="009911EB">
        <w:t xml:space="preserve">The Australian Institute of Health and Welfare (AIHW) </w:t>
      </w:r>
      <w:r w:rsidR="00E41A33">
        <w:t>estimated</w:t>
      </w:r>
      <w:r w:rsidR="00E41A33" w:rsidRPr="009911EB">
        <w:t xml:space="preserve"> </w:t>
      </w:r>
      <w:r w:rsidR="00AB7B08">
        <w:t>that</w:t>
      </w:r>
      <w:r w:rsidR="00904526">
        <w:t xml:space="preserve"> the </w:t>
      </w:r>
      <w:r w:rsidRPr="009911EB">
        <w:t xml:space="preserve">health system expenditure </w:t>
      </w:r>
      <w:r w:rsidR="00904526">
        <w:t xml:space="preserve">for </w:t>
      </w:r>
      <w:r w:rsidR="00C03C06">
        <w:t xml:space="preserve">acute myeloid </w:t>
      </w:r>
      <w:r w:rsidRPr="009911EB">
        <w:t>leukaemia</w:t>
      </w:r>
      <w:r w:rsidR="00C03C06">
        <w:t xml:space="preserve"> (AML</w:t>
      </w:r>
      <w:r w:rsidR="00C0600E">
        <w:t xml:space="preserve">; the </w:t>
      </w:r>
      <w:r w:rsidR="00C05571">
        <w:t>type</w:t>
      </w:r>
      <w:r w:rsidR="00C0600E">
        <w:t xml:space="preserve"> of leukaemia most commonly associated with benzene exposure</w:t>
      </w:r>
      <w:r w:rsidR="00C03C06">
        <w:t>)</w:t>
      </w:r>
      <w:r w:rsidRPr="009911EB">
        <w:t xml:space="preserve"> was $</w:t>
      </w:r>
      <w:r w:rsidR="00B06E8A">
        <w:t>308</w:t>
      </w:r>
      <w:r w:rsidR="00B06E8A" w:rsidRPr="009911EB" w:rsidDel="00A43927">
        <w:t xml:space="preserve"> </w:t>
      </w:r>
      <w:r w:rsidRPr="009911EB">
        <w:t xml:space="preserve">million in </w:t>
      </w:r>
      <w:r w:rsidR="009126C4" w:rsidRPr="009911EB">
        <w:t>20</w:t>
      </w:r>
      <w:r w:rsidR="009126C4">
        <w:t>23-24</w:t>
      </w:r>
      <w:r w:rsidR="00A831C3">
        <w:t xml:space="preserve"> </w:t>
      </w:r>
      <w:sdt>
        <w:sdtPr>
          <w:id w:val="1344898868"/>
          <w:citation/>
        </w:sdtPr>
        <w:sdtEndPr/>
        <w:sdtContent>
          <w:r w:rsidR="00473943">
            <w:fldChar w:fldCharType="begin"/>
          </w:r>
          <w:r w:rsidR="00CE68FD">
            <w:instrText xml:space="preserve">CITATION Aus24 \l 3081 </w:instrText>
          </w:r>
          <w:r w:rsidR="00473943">
            <w:fldChar w:fldCharType="separate"/>
          </w:r>
          <w:r w:rsidR="00490B21">
            <w:rPr>
              <w:noProof/>
            </w:rPr>
            <w:t>(Australian Institute of Health and Welfare, 2025)</w:t>
          </w:r>
          <w:r w:rsidR="00473943">
            <w:fldChar w:fldCharType="end"/>
          </w:r>
        </w:sdtContent>
      </w:sdt>
      <w:r w:rsidR="00DC78A3">
        <w:t xml:space="preserve">. </w:t>
      </w:r>
    </w:p>
    <w:p w14:paraId="65B76AE5" w14:textId="7AD3EBF6" w:rsidR="002F6F87" w:rsidRDefault="00611B87" w:rsidP="00473943">
      <w:pPr>
        <w:suppressAutoHyphens/>
        <w:spacing w:line="259" w:lineRule="auto"/>
        <w:contextualSpacing w:val="0"/>
      </w:pPr>
      <w:r>
        <w:t>The</w:t>
      </w:r>
      <w:r w:rsidR="000523E5">
        <w:t xml:space="preserve"> </w:t>
      </w:r>
      <w:r w:rsidR="00BC64FC">
        <w:t xml:space="preserve">Australian </w:t>
      </w:r>
      <w:r w:rsidR="00C0600E">
        <w:t xml:space="preserve">Burden of Disease </w:t>
      </w:r>
      <w:r w:rsidR="00BC64FC">
        <w:t>Study, 2024</w:t>
      </w:r>
      <w:r w:rsidR="00C05571">
        <w:t xml:space="preserve"> indicat</w:t>
      </w:r>
      <w:r>
        <w:t>ed</w:t>
      </w:r>
      <w:r w:rsidR="00C05571">
        <w:t xml:space="preserve"> that</w:t>
      </w:r>
      <w:r w:rsidR="00906FAD">
        <w:t xml:space="preserve"> 2.9% of </w:t>
      </w:r>
      <w:r w:rsidR="000C27F2">
        <w:t>AML total burden was attributed to occupational exposure and hazards</w:t>
      </w:r>
      <w:r w:rsidR="00F27DDF">
        <w:t xml:space="preserve"> </w:t>
      </w:r>
      <w:sdt>
        <w:sdtPr>
          <w:id w:val="-1446229942"/>
          <w:citation/>
        </w:sdtPr>
        <w:sdtEndPr/>
        <w:sdtContent>
          <w:r w:rsidR="00F27DDF">
            <w:fldChar w:fldCharType="begin"/>
          </w:r>
          <w:r w:rsidR="00F27DDF">
            <w:instrText xml:space="preserve"> CITATION ABOD246 \l 3081 </w:instrText>
          </w:r>
          <w:r w:rsidR="00F27DDF">
            <w:fldChar w:fldCharType="separate"/>
          </w:r>
          <w:r w:rsidR="00490B21">
            <w:rPr>
              <w:noProof/>
            </w:rPr>
            <w:t>(Australian Insitute of Health and Welfare, 2024)</w:t>
          </w:r>
          <w:r w:rsidR="00F27DDF">
            <w:fldChar w:fldCharType="end"/>
          </w:r>
        </w:sdtContent>
      </w:sdt>
      <w:r w:rsidR="002E5AEB">
        <w:t xml:space="preserve">. </w:t>
      </w:r>
      <w:r w:rsidR="00BB24E5">
        <w:t>R</w:t>
      </w:r>
      <w:r w:rsidR="00FD719C">
        <w:t>edu</w:t>
      </w:r>
      <w:r w:rsidR="0023187E">
        <w:t xml:space="preserve">cing </w:t>
      </w:r>
      <w:r w:rsidR="00FD719C">
        <w:t>AML cases caused by occupational exposure</w:t>
      </w:r>
      <w:r w:rsidR="000B14A7">
        <w:t>, such as implementing the proposed WEL to reduce workers from developing leukaemia</w:t>
      </w:r>
      <w:r w:rsidR="00BB24E5">
        <w:t>,</w:t>
      </w:r>
      <w:r w:rsidR="00FD719C">
        <w:t xml:space="preserve"> </w:t>
      </w:r>
      <w:r w:rsidR="0037041C">
        <w:t>c</w:t>
      </w:r>
      <w:r w:rsidR="00BB24E5">
        <w:t>ould</w:t>
      </w:r>
      <w:r w:rsidR="00A21455">
        <w:t xml:space="preserve"> result in </w:t>
      </w:r>
      <w:r w:rsidR="0037041C">
        <w:t xml:space="preserve">up to </w:t>
      </w:r>
      <w:r w:rsidR="00A21455">
        <w:t>$</w:t>
      </w:r>
      <w:r w:rsidR="00B06E8A">
        <w:t>9</w:t>
      </w:r>
      <w:r w:rsidR="00A21455">
        <w:t xml:space="preserve"> million</w:t>
      </w:r>
      <w:r w:rsidR="0037041C">
        <w:t xml:space="preserve"> in savings</w:t>
      </w:r>
      <w:r w:rsidR="000B14A7">
        <w:t xml:space="preserve"> to government</w:t>
      </w:r>
      <w:r w:rsidR="00D6644C">
        <w:t xml:space="preserve"> per year</w:t>
      </w:r>
      <w:r w:rsidR="00A21455">
        <w:t xml:space="preserve">. </w:t>
      </w:r>
    </w:p>
    <w:p w14:paraId="64A9CF23" w14:textId="6995775D" w:rsidR="009911EB" w:rsidRPr="009911EB" w:rsidRDefault="00F03E50" w:rsidP="00A02AAF">
      <w:pPr>
        <w:keepNext/>
        <w:spacing w:before="240" w:line="276" w:lineRule="auto"/>
        <w:contextualSpacing w:val="0"/>
        <w:rPr>
          <w:rFonts w:cs="Arial"/>
          <w:color w:val="2B0A99" w:themeColor="text2"/>
          <w:sz w:val="28"/>
          <w:szCs w:val="32"/>
        </w:rPr>
      </w:pPr>
      <w:r>
        <w:rPr>
          <w:rFonts w:cs="Arial"/>
          <w:color w:val="2B0A99" w:themeColor="text2"/>
          <w:sz w:val="28"/>
          <w:szCs w:val="32"/>
        </w:rPr>
        <w:t>Other b</w:t>
      </w:r>
      <w:r w:rsidR="00D645C3">
        <w:rPr>
          <w:rFonts w:cs="Arial"/>
          <w:color w:val="2B0A99" w:themeColor="text2"/>
          <w:sz w:val="28"/>
          <w:szCs w:val="32"/>
        </w:rPr>
        <w:t>enefits of</w:t>
      </w:r>
      <w:r w:rsidR="009911EB" w:rsidRPr="009911EB">
        <w:rPr>
          <w:rFonts w:cs="Arial"/>
          <w:color w:val="2B0A99" w:themeColor="text2"/>
          <w:sz w:val="28"/>
          <w:szCs w:val="32"/>
        </w:rPr>
        <w:t xml:space="preserve"> the proposed WEL for benzene</w:t>
      </w:r>
      <w:r w:rsidR="00D645C3">
        <w:rPr>
          <w:rFonts w:cs="Arial"/>
          <w:color w:val="2B0A99" w:themeColor="text2"/>
          <w:sz w:val="28"/>
          <w:szCs w:val="32"/>
        </w:rPr>
        <w:t xml:space="preserve"> </w:t>
      </w:r>
    </w:p>
    <w:p w14:paraId="368F12EF" w14:textId="222E052B" w:rsidR="00602508" w:rsidRPr="009911EB" w:rsidRDefault="009911EB" w:rsidP="003E368B">
      <w:pPr>
        <w:spacing w:after="200" w:line="240" w:lineRule="atLeast"/>
        <w:contextualSpacing w:val="0"/>
        <w:rPr>
          <w:rFonts w:eastAsia="Times New Roman"/>
        </w:rPr>
      </w:pPr>
      <w:r w:rsidRPr="009911EB">
        <w:rPr>
          <w:rFonts w:eastAsia="Times New Roman"/>
        </w:rPr>
        <w:t>Stakeholders</w:t>
      </w:r>
      <w:r w:rsidR="003E0F17">
        <w:rPr>
          <w:rFonts w:eastAsia="Times New Roman"/>
        </w:rPr>
        <w:t xml:space="preserve"> also</w:t>
      </w:r>
      <w:r w:rsidRPr="009911EB">
        <w:rPr>
          <w:rFonts w:eastAsia="Times New Roman"/>
        </w:rPr>
        <w:t xml:space="preserve"> identified that the proposed WEL for benzene would have the following </w:t>
      </w:r>
      <w:r w:rsidR="003E0F17">
        <w:rPr>
          <w:rFonts w:eastAsia="Times New Roman"/>
        </w:rPr>
        <w:t xml:space="preserve">qualitative </w:t>
      </w:r>
      <w:r w:rsidRPr="009911EB">
        <w:rPr>
          <w:rFonts w:eastAsia="Times New Roman"/>
        </w:rPr>
        <w:t>benefits</w:t>
      </w:r>
      <w:r w:rsidR="003E0F17">
        <w:rPr>
          <w:rFonts w:eastAsia="Times New Roman"/>
        </w:rPr>
        <w:t xml:space="preserve">. </w:t>
      </w:r>
      <w:r w:rsidR="00D15C0F" w:rsidRPr="00D15C0F">
        <w:rPr>
          <w:rFonts w:eastAsia="Times New Roman"/>
        </w:rPr>
        <w:t>When considering these qualitative benefits, the actual benefits of the proposed WEL for benzene will be greater than was able to be quantified in this Decision RIS (</w:t>
      </w:r>
      <w:r w:rsidR="006250C0">
        <w:rPr>
          <w:rFonts w:eastAsia="Times New Roman"/>
        </w:rPr>
        <w:fldChar w:fldCharType="begin"/>
      </w:r>
      <w:r w:rsidR="006250C0">
        <w:rPr>
          <w:rFonts w:eastAsia="Times New Roman"/>
        </w:rPr>
        <w:instrText xml:space="preserve"> REF _Ref199856605 \h </w:instrText>
      </w:r>
      <w:r w:rsidR="006250C0">
        <w:rPr>
          <w:rFonts w:eastAsia="Times New Roman"/>
        </w:rPr>
      </w:r>
      <w:r w:rsidR="006250C0">
        <w:rPr>
          <w:rFonts w:eastAsia="Times New Roman"/>
        </w:rPr>
        <w:fldChar w:fldCharType="separate"/>
      </w:r>
      <w:r w:rsidR="00A002F4">
        <w:t xml:space="preserve">Table </w:t>
      </w:r>
      <w:r w:rsidR="00A002F4">
        <w:rPr>
          <w:noProof/>
        </w:rPr>
        <w:t>8</w:t>
      </w:r>
      <w:r w:rsidR="006250C0">
        <w:rPr>
          <w:rFonts w:eastAsia="Times New Roman"/>
        </w:rPr>
        <w:fldChar w:fldCharType="end"/>
      </w:r>
      <w:r w:rsidR="006250C0">
        <w:rPr>
          <w:rFonts w:eastAsia="Times New Roman"/>
        </w:rPr>
        <w:t xml:space="preserve"> </w:t>
      </w:r>
      <w:r w:rsidR="00A703EE">
        <w:rPr>
          <w:rFonts w:eastAsia="Times New Roman"/>
        </w:rPr>
        <w:t xml:space="preserve">and </w:t>
      </w:r>
      <w:r w:rsidR="00D15C0F" w:rsidRPr="006250C0">
        <w:rPr>
          <w:rFonts w:eastAsia="Times New Roman"/>
        </w:rPr>
        <w:fldChar w:fldCharType="begin"/>
      </w:r>
      <w:r w:rsidR="00D15C0F" w:rsidRPr="006250C0">
        <w:rPr>
          <w:rFonts w:eastAsia="Times New Roman"/>
        </w:rPr>
        <w:instrText xml:space="preserve"> REF _Ref196737062 \h  \* MERGEFORMAT </w:instrText>
      </w:r>
      <w:r w:rsidR="00D15C0F" w:rsidRPr="006250C0">
        <w:rPr>
          <w:rFonts w:eastAsia="Times New Roman"/>
        </w:rPr>
      </w:r>
      <w:r w:rsidR="00D15C0F" w:rsidRPr="006250C0">
        <w:rPr>
          <w:rFonts w:eastAsia="Times New Roman"/>
        </w:rPr>
        <w:fldChar w:fldCharType="separate"/>
      </w:r>
      <w:r w:rsidR="00A002F4" w:rsidRPr="00A002F4">
        <w:t xml:space="preserve">Table </w:t>
      </w:r>
      <w:r w:rsidR="00A002F4" w:rsidRPr="00A002F4">
        <w:rPr>
          <w:noProof/>
        </w:rPr>
        <w:t>9</w:t>
      </w:r>
      <w:r w:rsidR="00D15C0F" w:rsidRPr="006250C0">
        <w:rPr>
          <w:rFonts w:eastAsia="Times New Roman"/>
        </w:rPr>
        <w:fldChar w:fldCharType="end"/>
      </w:r>
      <w:r w:rsidR="00D15C0F" w:rsidRPr="00D15C0F">
        <w:rPr>
          <w:rFonts w:eastAsia="Times New Roman"/>
        </w:rPr>
        <w:t>).</w:t>
      </w:r>
    </w:p>
    <w:p w14:paraId="4F5553F7" w14:textId="7E08B6A6" w:rsidR="00230EB3" w:rsidRDefault="009911EB" w:rsidP="003E368B">
      <w:pPr>
        <w:pStyle w:val="SWAHeading4"/>
        <w:keepNext/>
        <w:keepLines/>
        <w:spacing w:before="0"/>
      </w:pPr>
      <w:r w:rsidRPr="009911EB">
        <w:t>Encourages the use of benzene-free products in the workplace</w:t>
      </w:r>
    </w:p>
    <w:p w14:paraId="3A4F2425" w14:textId="5AD2F4A0" w:rsidR="009911EB" w:rsidRPr="009911EB" w:rsidRDefault="000471D7" w:rsidP="003E368B">
      <w:pPr>
        <w:keepNext/>
        <w:keepLines/>
        <w:spacing w:after="200" w:line="240" w:lineRule="atLeast"/>
        <w:contextualSpacing w:val="0"/>
        <w:rPr>
          <w:rFonts w:eastAsia="Times New Roman"/>
        </w:rPr>
      </w:pPr>
      <w:r>
        <w:rPr>
          <w:rFonts w:eastAsia="Times New Roman"/>
        </w:rPr>
        <w:t>A s</w:t>
      </w:r>
      <w:r w:rsidR="009911EB" w:rsidRPr="009911EB">
        <w:rPr>
          <w:rFonts w:eastAsia="Times New Roman"/>
        </w:rPr>
        <w:t>takeholder from the 2024 public consultation saw the reduced WEL could promote the substitution and usage of safer alternative products that do not contain benzene, reducing benzene exposure in the workplace even further</w:t>
      </w:r>
      <w:r w:rsidR="006F6848">
        <w:rPr>
          <w:rStyle w:val="FootnoteReference"/>
        </w:rPr>
        <w:footnoteReference w:id="25"/>
      </w:r>
      <w:r w:rsidR="009911EB" w:rsidRPr="009911EB">
        <w:rPr>
          <w:rFonts w:eastAsia="Times New Roman"/>
        </w:rPr>
        <w:t xml:space="preserve">. </w:t>
      </w:r>
      <w:r w:rsidR="005F2736">
        <w:rPr>
          <w:rFonts w:eastAsia="Times New Roman"/>
        </w:rPr>
        <w:t>However, another stakeholder</w:t>
      </w:r>
      <w:r w:rsidR="00453F10">
        <w:rPr>
          <w:rFonts w:eastAsia="Times New Roman"/>
        </w:rPr>
        <w:t xml:space="preserve"> from the defence industry</w:t>
      </w:r>
      <w:r w:rsidR="005F2736">
        <w:rPr>
          <w:rFonts w:eastAsia="Times New Roman"/>
        </w:rPr>
        <w:t xml:space="preserve"> indicat</w:t>
      </w:r>
      <w:r w:rsidR="00D176D0">
        <w:rPr>
          <w:rFonts w:eastAsia="Times New Roman"/>
        </w:rPr>
        <w:t>e</w:t>
      </w:r>
      <w:r w:rsidR="005F2736">
        <w:rPr>
          <w:rFonts w:eastAsia="Times New Roman"/>
        </w:rPr>
        <w:t xml:space="preserve">d that </w:t>
      </w:r>
      <w:r w:rsidR="00D176D0">
        <w:t>products containing benzene are the only product</w:t>
      </w:r>
      <w:r w:rsidR="00A34B63">
        <w:t>s</w:t>
      </w:r>
      <w:r w:rsidR="00D176D0">
        <w:t xml:space="preserve"> that </w:t>
      </w:r>
      <w:r w:rsidR="00A34B63">
        <w:t>are</w:t>
      </w:r>
      <w:r w:rsidR="00D176D0">
        <w:t xml:space="preserve"> approved for use in particular applications</w:t>
      </w:r>
      <w:r w:rsidR="00453F10">
        <w:rPr>
          <w:rStyle w:val="FootnoteReference"/>
        </w:rPr>
        <w:footnoteReference w:id="26"/>
      </w:r>
      <w:r w:rsidR="00D176D0">
        <w:t>.</w:t>
      </w:r>
      <w:r w:rsidR="00032703">
        <w:t xml:space="preserve"> It is not clear how many businesses will choose</w:t>
      </w:r>
      <w:r w:rsidR="00AE1568">
        <w:t>,</w:t>
      </w:r>
      <w:r w:rsidR="00032703">
        <w:t xml:space="preserve"> or be in a position</w:t>
      </w:r>
      <w:r w:rsidR="00AE1568">
        <w:t>,</w:t>
      </w:r>
      <w:r w:rsidR="00032703">
        <w:t xml:space="preserve"> to substitute benzene for other products.</w:t>
      </w:r>
    </w:p>
    <w:p w14:paraId="71CAF097" w14:textId="77777777" w:rsidR="00230EB3" w:rsidRDefault="009911EB" w:rsidP="00961607">
      <w:pPr>
        <w:pStyle w:val="SWAHeading4"/>
      </w:pPr>
      <w:r w:rsidRPr="009911EB">
        <w:t>Raises awareness about benzene and the hazards associated with it</w:t>
      </w:r>
      <w:r w:rsidR="00F36D97">
        <w:rPr>
          <w:rStyle w:val="FootnoteReference"/>
        </w:rPr>
        <w:footnoteReference w:id="27"/>
      </w:r>
    </w:p>
    <w:p w14:paraId="1DAC585A" w14:textId="520AFCA5" w:rsidR="009911EB" w:rsidRDefault="009911EB" w:rsidP="00D22E0E">
      <w:pPr>
        <w:contextualSpacing w:val="0"/>
      </w:pPr>
      <w:r w:rsidRPr="009911EB">
        <w:t>Stakeholders noted that the proposed change to</w:t>
      </w:r>
      <w:r w:rsidR="00FA2863">
        <w:t xml:space="preserve"> the WEL for</w:t>
      </w:r>
      <w:r w:rsidRPr="009911EB">
        <w:t xml:space="preserve"> benzene would also lead to PCBUs and workers becoming more aware of the presence of benzene in the workplace, and the hazards associated with </w:t>
      </w:r>
      <w:r w:rsidR="42FB6101">
        <w:t xml:space="preserve">exposure to </w:t>
      </w:r>
      <w:r>
        <w:t>benzene</w:t>
      </w:r>
      <w:r w:rsidRPr="009911EB">
        <w:t xml:space="preserve">, allowing both to actively contribute to making sure the workplace is safer and healthier. </w:t>
      </w:r>
    </w:p>
    <w:p w14:paraId="140EF141" w14:textId="0A8B16DE" w:rsidR="00A02AAF" w:rsidRPr="00A02AAF" w:rsidRDefault="00296FD6" w:rsidP="00A02AAF">
      <w:pPr>
        <w:contextualSpacing w:val="0"/>
        <w:rPr>
          <w:rFonts w:eastAsia="Times New Roman" w:cs="Times New Roman"/>
          <w:szCs w:val="32"/>
          <w:lang w:eastAsia="en-AU"/>
        </w:rPr>
      </w:pPr>
      <w:r>
        <w:rPr>
          <w:rFonts w:eastAsia="Times New Roman" w:cs="Times New Roman"/>
          <w:szCs w:val="32"/>
          <w:lang w:eastAsia="en-AU"/>
        </w:rPr>
        <w:t>Further, b</w:t>
      </w:r>
      <w:r w:rsidR="00A02AAF" w:rsidRPr="00A02AAF">
        <w:rPr>
          <w:rFonts w:eastAsia="Times New Roman" w:cs="Times New Roman"/>
          <w:szCs w:val="32"/>
          <w:lang w:eastAsia="en-AU"/>
        </w:rPr>
        <w:t xml:space="preserve">y raising awareness of the presence of hazards in the workplace and the risks associated with </w:t>
      </w:r>
      <w:r w:rsidR="00697928">
        <w:rPr>
          <w:rFonts w:eastAsia="Times New Roman" w:cs="Times New Roman"/>
          <w:szCs w:val="32"/>
          <w:lang w:eastAsia="en-AU"/>
        </w:rPr>
        <w:t>them</w:t>
      </w:r>
      <w:r w:rsidR="00A02AAF" w:rsidRPr="00A02AAF">
        <w:rPr>
          <w:rFonts w:eastAsia="Times New Roman" w:cs="Times New Roman"/>
          <w:szCs w:val="32"/>
          <w:lang w:eastAsia="en-AU"/>
        </w:rPr>
        <w:t xml:space="preserve">, workers have also been shown to make better and informed choices that allows them to take reasonable care for their own health and safety in the workplace, such as wearing PPE whilst working. </w:t>
      </w:r>
    </w:p>
    <w:p w14:paraId="77C642B1" w14:textId="77777777" w:rsidR="009911EB" w:rsidRPr="009911EB" w:rsidRDefault="009911EB" w:rsidP="006F65AE">
      <w:pPr>
        <w:pStyle w:val="SWAHeading2"/>
        <w:keepNext/>
        <w:keepLines/>
        <w:ind w:left="0" w:firstLine="0"/>
      </w:pPr>
      <w:bookmarkStart w:id="86" w:name="_Toc194510007"/>
      <w:bookmarkStart w:id="87" w:name="_Toc196204610"/>
      <w:bookmarkStart w:id="88" w:name="_Ref196901936"/>
      <w:bookmarkStart w:id="89" w:name="_Toc219216884"/>
      <w:r w:rsidRPr="009911EB">
        <w:t>Costs of proposed WEL for benzene</w:t>
      </w:r>
      <w:bookmarkEnd w:id="86"/>
      <w:bookmarkEnd w:id="87"/>
      <w:bookmarkEnd w:id="88"/>
      <w:bookmarkEnd w:id="89"/>
    </w:p>
    <w:p w14:paraId="0BF983E1" w14:textId="3CEA0AA4" w:rsidR="009911EB" w:rsidRPr="009911EB" w:rsidRDefault="009911EB" w:rsidP="009911EB">
      <w:pPr>
        <w:keepNext/>
        <w:keepLines/>
        <w:contextualSpacing w:val="0"/>
      </w:pPr>
      <w:r w:rsidRPr="009911EB">
        <w:t>Costs to comply with the proposed WEL for benzene were estimated and are outlined below. These are indicative estimates only</w:t>
      </w:r>
      <w:r w:rsidR="00C91157">
        <w:t>.</w:t>
      </w:r>
    </w:p>
    <w:p w14:paraId="7E4500B6" w14:textId="1F5A9354" w:rsidR="009911EB" w:rsidRPr="009911EB" w:rsidRDefault="001C52A9" w:rsidP="009911EB">
      <w:pPr>
        <w:contextualSpacing w:val="0"/>
      </w:pPr>
      <w:r>
        <w:rPr>
          <w:highlight w:val="yellow"/>
        </w:rPr>
        <w:fldChar w:fldCharType="begin"/>
      </w:r>
      <w:r>
        <w:rPr>
          <w:highlight w:val="yellow"/>
        </w:rPr>
        <w:instrText xml:space="preserve"> REF _Ref199857380 \h </w:instrText>
      </w:r>
      <w:r>
        <w:rPr>
          <w:highlight w:val="yellow"/>
        </w:rPr>
      </w:r>
      <w:r>
        <w:rPr>
          <w:highlight w:val="yellow"/>
        </w:rPr>
        <w:fldChar w:fldCharType="separate"/>
      </w:r>
      <w:r w:rsidR="00A002F4">
        <w:t xml:space="preserve">Table </w:t>
      </w:r>
      <w:r w:rsidR="00A002F4">
        <w:rPr>
          <w:noProof/>
        </w:rPr>
        <w:t>10</w:t>
      </w:r>
      <w:r>
        <w:rPr>
          <w:highlight w:val="yellow"/>
        </w:rPr>
        <w:fldChar w:fldCharType="end"/>
      </w:r>
      <w:r w:rsidR="00A02AAF">
        <w:t xml:space="preserve"> </w:t>
      </w:r>
      <w:r w:rsidR="009911EB" w:rsidRPr="009911EB">
        <w:t>presents the estimated total costs to industry to comply with the proposed WEL for benzene over the</w:t>
      </w:r>
      <w:r w:rsidR="00836021">
        <w:t xml:space="preserve"> </w:t>
      </w:r>
      <w:r w:rsidR="009911EB" w:rsidRPr="009911EB">
        <w:t xml:space="preserve">10-year appraisal period (from FY27 to FY36). </w:t>
      </w:r>
    </w:p>
    <w:p w14:paraId="38394C3D" w14:textId="77777777" w:rsidR="009911EB" w:rsidRPr="009911EB" w:rsidRDefault="009911EB" w:rsidP="009911EB">
      <w:pPr>
        <w:contextualSpacing w:val="0"/>
      </w:pPr>
      <w:r w:rsidRPr="009911EB">
        <w:lastRenderedPageBreak/>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092E9F66" w14:textId="182F451B" w:rsidR="009911EB" w:rsidRPr="009911EB" w:rsidRDefault="009911EB" w:rsidP="009911EB">
      <w:pPr>
        <w:contextualSpacing w:val="0"/>
      </w:pPr>
      <w:r w:rsidRPr="009911EB">
        <w:t xml:space="preserve">The analysis </w:t>
      </w:r>
      <w:r w:rsidR="006A220F">
        <w:t>estimates</w:t>
      </w:r>
      <w:r w:rsidR="006A220F" w:rsidRPr="009911EB">
        <w:t xml:space="preserve"> </w:t>
      </w:r>
      <w:r w:rsidRPr="009911EB">
        <w:t>that:</w:t>
      </w:r>
    </w:p>
    <w:p w14:paraId="5CA5BA5C" w14:textId="151BD8C0" w:rsidR="009911EB" w:rsidRPr="009911EB" w:rsidRDefault="009911EB" w:rsidP="00B57E6C">
      <w:pPr>
        <w:numPr>
          <w:ilvl w:val="0"/>
          <w:numId w:val="31"/>
        </w:numPr>
        <w:suppressAutoHyphens/>
        <w:spacing w:line="259" w:lineRule="auto"/>
        <w:ind w:left="1083" w:hanging="357"/>
        <w:contextualSpacing w:val="0"/>
      </w:pPr>
      <w:r w:rsidRPr="009911EB">
        <w:t>The estimated total cost to industry over 10 years is $</w:t>
      </w:r>
      <w:r w:rsidR="004D66BF">
        <w:t>840</w:t>
      </w:r>
      <w:r w:rsidRPr="009911EB">
        <w:t xml:space="preserve"> </w:t>
      </w:r>
      <w:r w:rsidR="00413235">
        <w:t>m</w:t>
      </w:r>
      <w:r w:rsidRPr="009911EB">
        <w:t>illion (in real, discounted terms), which equates to $</w:t>
      </w:r>
      <w:r w:rsidR="00486C41">
        <w:t>138</w:t>
      </w:r>
      <w:r w:rsidRPr="009911EB">
        <w:t xml:space="preserve"> million per year (in real, undiscounted terms). </w:t>
      </w:r>
    </w:p>
    <w:p w14:paraId="5CEB3F00" w14:textId="77777777" w:rsidR="009911EB" w:rsidRPr="009911EB" w:rsidRDefault="009911EB" w:rsidP="00B57E6C">
      <w:pPr>
        <w:numPr>
          <w:ilvl w:val="0"/>
          <w:numId w:val="31"/>
        </w:numPr>
        <w:suppressAutoHyphens/>
        <w:spacing w:line="259" w:lineRule="auto"/>
        <w:ind w:hanging="357"/>
        <w:contextualSpacing w:val="0"/>
      </w:pPr>
      <w:r w:rsidRPr="009911EB">
        <w:t xml:space="preserve">These estimated total costs comprise of: </w:t>
      </w:r>
    </w:p>
    <w:p w14:paraId="47DCCC33" w14:textId="76D7AE59" w:rsidR="009911EB" w:rsidRPr="009911EB" w:rsidRDefault="009911EB" w:rsidP="00B57E6C">
      <w:pPr>
        <w:numPr>
          <w:ilvl w:val="1"/>
          <w:numId w:val="32"/>
        </w:numPr>
        <w:suppressAutoHyphens/>
        <w:spacing w:line="259" w:lineRule="auto"/>
        <w:ind w:hanging="357"/>
        <w:contextualSpacing w:val="0"/>
      </w:pPr>
      <w:r w:rsidRPr="009911EB">
        <w:t>control measure costs of $</w:t>
      </w:r>
      <w:r w:rsidR="00486C41">
        <w:t>723</w:t>
      </w:r>
      <w:r w:rsidRPr="009911EB">
        <w:t xml:space="preserve"> </w:t>
      </w:r>
      <w:r w:rsidR="00486C41">
        <w:t>m</w:t>
      </w:r>
      <w:r w:rsidRPr="009911EB">
        <w:t>illion over 10 years, comprising engineering controls ($</w:t>
      </w:r>
      <w:r w:rsidR="00486C41">
        <w:t>351</w:t>
      </w:r>
      <w:r w:rsidRPr="009911EB">
        <w:t xml:space="preserve"> million), isolation controls ($</w:t>
      </w:r>
      <w:r w:rsidR="00B94319">
        <w:t>295</w:t>
      </w:r>
      <w:r w:rsidRPr="009911EB">
        <w:t xml:space="preserve"> million), administrative controls ($5</w:t>
      </w:r>
      <w:r w:rsidR="00B94319">
        <w:t>9</w:t>
      </w:r>
      <w:r w:rsidRPr="009911EB">
        <w:t xml:space="preserve"> million) and personal protective equipment (PPE) ($</w:t>
      </w:r>
      <w:r w:rsidR="00B94319">
        <w:t>18</w:t>
      </w:r>
      <w:r w:rsidRPr="009911EB">
        <w:t xml:space="preserve"> million).</w:t>
      </w:r>
    </w:p>
    <w:p w14:paraId="7C929B43" w14:textId="6DE1218C" w:rsidR="009911EB" w:rsidRDefault="009911EB" w:rsidP="00B57E6C">
      <w:pPr>
        <w:numPr>
          <w:ilvl w:val="1"/>
          <w:numId w:val="32"/>
        </w:numPr>
        <w:suppressAutoHyphens/>
        <w:spacing w:line="259" w:lineRule="auto"/>
        <w:ind w:hanging="357"/>
        <w:contextualSpacing w:val="0"/>
      </w:pPr>
      <w:r w:rsidRPr="009911EB">
        <w:t>management practice costs of $11</w:t>
      </w:r>
      <w:r w:rsidR="00B94319">
        <w:t>7</w:t>
      </w:r>
      <w:r w:rsidRPr="009911EB">
        <w:t xml:space="preserve"> million over 10 years, comprising air monitoring ($</w:t>
      </w:r>
      <w:r w:rsidR="00B94319">
        <w:t>49</w:t>
      </w:r>
      <w:r w:rsidRPr="009911EB">
        <w:t xml:space="preserve"> million), occupational hygiene ($</w:t>
      </w:r>
      <w:r w:rsidR="00B94319">
        <w:t>40</w:t>
      </w:r>
      <w:r w:rsidRPr="009911EB">
        <w:t xml:space="preserve"> million) and health monitoring ($</w:t>
      </w:r>
      <w:r w:rsidR="00B94319">
        <w:t>29</w:t>
      </w:r>
      <w:r w:rsidRPr="009911EB">
        <w:t xml:space="preserve"> million).</w:t>
      </w:r>
    </w:p>
    <w:p w14:paraId="48972E86" w14:textId="2DDF1EF7" w:rsidR="00836021" w:rsidRDefault="00102BA3" w:rsidP="00102BA3">
      <w:pPr>
        <w:suppressAutoHyphens/>
        <w:spacing w:line="259" w:lineRule="auto"/>
        <w:contextualSpacing w:val="0"/>
      </w:pPr>
      <w:r>
        <w:t>Based on stakeholder feedback, it is likely that</w:t>
      </w:r>
      <w:r w:rsidR="00000708">
        <w:t xml:space="preserve"> </w:t>
      </w:r>
      <w:r w:rsidR="00116869">
        <w:t xml:space="preserve">the </w:t>
      </w:r>
      <w:r w:rsidR="000D4C49">
        <w:t>control measure costs</w:t>
      </w:r>
      <w:r w:rsidR="00000708">
        <w:t xml:space="preserve"> </w:t>
      </w:r>
      <w:r w:rsidR="00116869">
        <w:t xml:space="preserve">above </w:t>
      </w:r>
      <w:r w:rsidR="00000708">
        <w:t>will be incurred</w:t>
      </w:r>
      <w:r w:rsidR="00186CBD">
        <w:t xml:space="preserve"> by businesses</w:t>
      </w:r>
      <w:r w:rsidR="00000708">
        <w:t xml:space="preserve"> </w:t>
      </w:r>
      <w:r w:rsidR="00950416">
        <w:t xml:space="preserve">in the initial years </w:t>
      </w:r>
      <w:r w:rsidR="00784712">
        <w:t>following</w:t>
      </w:r>
      <w:r w:rsidR="00950416">
        <w:t xml:space="preserve"> implementation</w:t>
      </w:r>
      <w:r w:rsidR="000D4C49">
        <w:t xml:space="preserve"> of the proposed WEL</w:t>
      </w:r>
      <w:r w:rsidR="00950416">
        <w:t>, if agreed.</w:t>
      </w:r>
      <w:r w:rsidR="000D4C49">
        <w:t xml:space="preserve"> However, </w:t>
      </w:r>
      <w:r w:rsidR="00684C74">
        <w:t>no data was provided on the estimated</w:t>
      </w:r>
      <w:r w:rsidR="00116869">
        <w:t xml:space="preserve"> distribution</w:t>
      </w:r>
      <w:r w:rsidR="0051456C">
        <w:t xml:space="preserve"> of costs over the 10-year </w:t>
      </w:r>
      <w:r w:rsidR="00784712">
        <w:t>appraisal</w:t>
      </w:r>
      <w:r w:rsidR="0051456C">
        <w:t xml:space="preserve"> period</w:t>
      </w:r>
      <w:r w:rsidR="003736ED">
        <w:t>, and so it</w:t>
      </w:r>
      <w:r w:rsidR="0051456C">
        <w:t xml:space="preserve"> was assumed that the</w:t>
      </w:r>
      <w:r w:rsidR="00186CBD">
        <w:t>se</w:t>
      </w:r>
      <w:r w:rsidR="0051456C">
        <w:t xml:space="preserve"> cost</w:t>
      </w:r>
      <w:r w:rsidR="003736ED">
        <w:t>s</w:t>
      </w:r>
      <w:r w:rsidR="0051456C">
        <w:t xml:space="preserve"> would be evenly distributed over the </w:t>
      </w:r>
      <w:r w:rsidR="003736ED">
        <w:t>period</w:t>
      </w:r>
      <w:r w:rsidR="0051456C">
        <w:t xml:space="preserve">. </w:t>
      </w:r>
    </w:p>
    <w:p w14:paraId="7A3CE733" w14:textId="63B3AF43" w:rsidR="00102BA3" w:rsidRPr="009911EB" w:rsidRDefault="00330815" w:rsidP="00906A98">
      <w:pPr>
        <w:suppressAutoHyphens/>
        <w:spacing w:line="259" w:lineRule="auto"/>
        <w:contextualSpacing w:val="0"/>
      </w:pPr>
      <w:r>
        <w:t>Regulatory o</w:t>
      </w:r>
      <w:r w:rsidR="000D4C49">
        <w:t xml:space="preserve">bligations around management practice costs </w:t>
      </w:r>
      <w:r w:rsidR="00836021">
        <w:t>make these costs</w:t>
      </w:r>
      <w:r w:rsidR="0051456C">
        <w:t xml:space="preserve"> </w:t>
      </w:r>
      <w:r w:rsidR="00836021">
        <w:t xml:space="preserve">more </w:t>
      </w:r>
      <w:r w:rsidR="0051456C">
        <w:t>likely to be evenly</w:t>
      </w:r>
      <w:r w:rsidR="00836021">
        <w:t xml:space="preserve"> distributed</w:t>
      </w:r>
      <w:r w:rsidR="0051456C">
        <w:t xml:space="preserve"> throughout the appraisal period. </w:t>
      </w:r>
    </w:p>
    <w:p w14:paraId="316394AC" w14:textId="50467C48" w:rsidR="00A02AAF" w:rsidRDefault="00A02AAF" w:rsidP="00C75B21">
      <w:pPr>
        <w:pStyle w:val="Caption"/>
        <w:keepLines/>
      </w:pPr>
      <w:bookmarkStart w:id="90" w:name="_Ref199857380"/>
      <w:r>
        <w:t xml:space="preserve">Table </w:t>
      </w:r>
      <w:fldSimple w:instr=" SEQ Table \* ARABIC ">
        <w:r w:rsidR="00A002F4">
          <w:rPr>
            <w:noProof/>
          </w:rPr>
          <w:t>10</w:t>
        </w:r>
      </w:fldSimple>
      <w:bookmarkEnd w:id="90"/>
      <w:r>
        <w:t xml:space="preserve"> - </w:t>
      </w:r>
      <w:r w:rsidRPr="00374DC1">
        <w:t>Estimated average annual and total incremental costs to industry by the proposed WEL for benzene, FY27 to FY36</w:t>
      </w:r>
    </w:p>
    <w:tbl>
      <w:tblPr>
        <w:tblStyle w:val="TableGrid"/>
        <w:tblW w:w="9067" w:type="dxa"/>
        <w:tblBorders>
          <w:insideH w:val="single" w:sz="8" w:space="0" w:color="D9D9D9" w:themeColor="background1" w:themeShade="D9"/>
        </w:tblBorders>
        <w:tblLook w:val="04A0" w:firstRow="1" w:lastRow="0" w:firstColumn="1" w:lastColumn="0" w:noHBand="0" w:noVBand="1"/>
      </w:tblPr>
      <w:tblGrid>
        <w:gridCol w:w="3823"/>
        <w:gridCol w:w="2622"/>
        <w:gridCol w:w="2622"/>
      </w:tblGrid>
      <w:tr w:rsidR="009911EB" w:rsidRPr="009911EB" w14:paraId="0FB9A950" w14:textId="77777777">
        <w:trPr>
          <w:trHeight w:val="617"/>
        </w:trPr>
        <w:tc>
          <w:tcPr>
            <w:tcW w:w="3823"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2050BD" w:themeFill="accent1" w:themeFillShade="BF"/>
          </w:tcPr>
          <w:p w14:paraId="0E561D85" w14:textId="77777777" w:rsidR="009911EB" w:rsidRPr="009911EB" w:rsidRDefault="009911EB" w:rsidP="00C75B21">
            <w:pPr>
              <w:keepNext/>
              <w:keepLines/>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Cost category</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18B7319D" w14:textId="77777777" w:rsidR="009911EB" w:rsidRPr="009911EB" w:rsidRDefault="009911EB" w:rsidP="00C75B21">
            <w:pPr>
              <w:keepNext/>
              <w:keepLines/>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Average costs p.a. ($ million, undiscounted)</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46F713A6" w14:textId="77777777" w:rsidR="009911EB" w:rsidRPr="009911EB" w:rsidRDefault="009911EB" w:rsidP="00C75B21">
            <w:pPr>
              <w:keepNext/>
              <w:keepLines/>
              <w:spacing w:after="0" w:line="240" w:lineRule="atLeast"/>
              <w:contextualSpacing w:val="0"/>
              <w:rPr>
                <w:rFonts w:eastAsia="Times New Roman"/>
                <w:b/>
                <w:bCs/>
                <w:color w:val="FFFFFF" w:themeColor="background1"/>
                <w:lang w:eastAsia="en-AU"/>
              </w:rPr>
            </w:pPr>
            <w:r w:rsidRPr="009911EB">
              <w:rPr>
                <w:rFonts w:eastAsia="Times New Roman"/>
                <w:b/>
                <w:bCs/>
                <w:color w:val="FFFFFF" w:themeColor="background1"/>
                <w:lang w:eastAsia="en-AU"/>
              </w:rPr>
              <w:t>Total costs ($ million, discounted)</w:t>
            </w:r>
          </w:p>
        </w:tc>
      </w:tr>
      <w:tr w:rsidR="009911EB" w:rsidRPr="009911EB" w14:paraId="28527421" w14:textId="77777777">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B5C8F2" w:themeFill="accent1" w:themeFillTint="66"/>
          </w:tcPr>
          <w:p w14:paraId="60A12C04" w14:textId="77777777" w:rsidR="009911EB" w:rsidRPr="009911EB" w:rsidRDefault="009911EB" w:rsidP="00C75B21">
            <w:pPr>
              <w:keepNext/>
              <w:keepLines/>
              <w:spacing w:after="0" w:line="276" w:lineRule="auto"/>
              <w:contextualSpacing w:val="0"/>
              <w:rPr>
                <w:rFonts w:eastAsia="Times New Roman"/>
                <w:b/>
                <w:lang w:eastAsia="en-AU"/>
              </w:rPr>
            </w:pPr>
            <w:r w:rsidRPr="009911EB">
              <w:rPr>
                <w:rFonts w:eastAsia="Times New Roman"/>
                <w:b/>
                <w:lang w:eastAsia="en-AU"/>
              </w:rPr>
              <w:t>Control measure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22227A02" w14:textId="7EFA2154" w:rsidR="009911EB" w:rsidRPr="009911EB" w:rsidRDefault="00F246E9" w:rsidP="00C75B21">
            <w:pPr>
              <w:keepNext/>
              <w:keepLines/>
              <w:jc w:val="right"/>
              <w:rPr>
                <w:b/>
              </w:rPr>
            </w:pPr>
            <w:r>
              <w:rPr>
                <w:b/>
              </w:rPr>
              <w:t>119.1</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1FAF6F6D" w14:textId="5CDD8C13" w:rsidR="009911EB" w:rsidRPr="009911EB" w:rsidRDefault="00F246E9" w:rsidP="00C75B21">
            <w:pPr>
              <w:keepNext/>
              <w:keepLines/>
              <w:jc w:val="right"/>
              <w:rPr>
                <w:b/>
              </w:rPr>
            </w:pPr>
            <w:r>
              <w:rPr>
                <w:b/>
              </w:rPr>
              <w:t>723</w:t>
            </w:r>
            <w:r w:rsidR="0085568C">
              <w:rPr>
                <w:b/>
              </w:rPr>
              <w:t>.0</w:t>
            </w:r>
          </w:p>
        </w:tc>
      </w:tr>
      <w:tr w:rsidR="009911EB" w:rsidRPr="009911EB" w14:paraId="5230EC66"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7E3DCD0F"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Isolation control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3F0A5B2" w14:textId="3A5398C8" w:rsidR="009911EB" w:rsidRPr="009911EB" w:rsidRDefault="00F246E9" w:rsidP="00C75B21">
            <w:pPr>
              <w:keepNext/>
              <w:keepLines/>
              <w:jc w:val="right"/>
            </w:pPr>
            <w:r>
              <w:t>48.6</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117135" w14:textId="34190F5E" w:rsidR="009911EB" w:rsidRPr="009911EB" w:rsidRDefault="0085568C" w:rsidP="00C75B21">
            <w:pPr>
              <w:keepNext/>
              <w:keepLines/>
              <w:jc w:val="right"/>
            </w:pPr>
            <w:r>
              <w:t>294.8</w:t>
            </w:r>
          </w:p>
        </w:tc>
      </w:tr>
      <w:tr w:rsidR="009911EB" w:rsidRPr="009911EB" w14:paraId="346A5F4A"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9E9DF58"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Engineering control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C2A0816" w14:textId="406F5367" w:rsidR="009911EB" w:rsidRPr="009911EB" w:rsidRDefault="00F246E9" w:rsidP="00C75B21">
            <w:pPr>
              <w:keepNext/>
              <w:keepLines/>
              <w:jc w:val="right"/>
            </w:pPr>
            <w:r>
              <w:t>57.9</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851B05" w14:textId="09DF707C" w:rsidR="009911EB" w:rsidRPr="009911EB" w:rsidRDefault="0085568C" w:rsidP="00C75B21">
            <w:pPr>
              <w:keepNext/>
              <w:keepLines/>
              <w:jc w:val="right"/>
            </w:pPr>
            <w:r>
              <w:t>351.</w:t>
            </w:r>
            <w:r w:rsidR="00641752">
              <w:t>4</w:t>
            </w:r>
          </w:p>
        </w:tc>
      </w:tr>
      <w:tr w:rsidR="009911EB" w:rsidRPr="009911EB" w14:paraId="27C62EBB" w14:textId="77777777">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6FD676DE"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Administrative control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19B0C73" w14:textId="5BEB0542" w:rsidR="009911EB" w:rsidRPr="009911EB" w:rsidRDefault="00F246E9" w:rsidP="00C75B21">
            <w:pPr>
              <w:keepNext/>
              <w:keepLines/>
              <w:jc w:val="right"/>
            </w:pPr>
            <w:r>
              <w:t>9.6</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395D8A" w14:textId="6235A85D" w:rsidR="009911EB" w:rsidRPr="009911EB" w:rsidRDefault="00641752" w:rsidP="00C75B21">
            <w:pPr>
              <w:keepNext/>
              <w:keepLines/>
              <w:jc w:val="right"/>
            </w:pPr>
            <w:r>
              <w:t>58.6</w:t>
            </w:r>
          </w:p>
        </w:tc>
      </w:tr>
      <w:tr w:rsidR="009911EB" w:rsidRPr="009911EB" w14:paraId="0250215B" w14:textId="77777777">
        <w:trPr>
          <w:trHeight w:val="305"/>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78FB8D3A"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Personal protective equipment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6565ED58" w14:textId="3F88ED7F" w:rsidR="009911EB" w:rsidRPr="009911EB" w:rsidRDefault="00F246E9" w:rsidP="00C75B21">
            <w:pPr>
              <w:keepNext/>
              <w:keepLines/>
              <w:jc w:val="right"/>
            </w:pPr>
            <w:r>
              <w:t>3.0</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4F2BCD" w14:textId="030C08B1" w:rsidR="009911EB" w:rsidRPr="009911EB" w:rsidRDefault="00641752" w:rsidP="00C75B21">
            <w:pPr>
              <w:keepNext/>
              <w:keepLines/>
              <w:jc w:val="right"/>
            </w:pPr>
            <w:r>
              <w:t>18.2</w:t>
            </w:r>
          </w:p>
        </w:tc>
      </w:tr>
      <w:tr w:rsidR="009911EB" w:rsidRPr="009911EB" w14:paraId="194307DD"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B5C8F2" w:themeFill="accent1" w:themeFillTint="66"/>
          </w:tcPr>
          <w:p w14:paraId="571C5748" w14:textId="77777777" w:rsidR="009911EB" w:rsidRPr="009911EB" w:rsidRDefault="009911EB" w:rsidP="00C75B21">
            <w:pPr>
              <w:keepNext/>
              <w:keepLines/>
              <w:spacing w:after="0" w:line="276" w:lineRule="auto"/>
              <w:contextualSpacing w:val="0"/>
              <w:rPr>
                <w:rFonts w:eastAsia="Times New Roman"/>
                <w:b/>
                <w:lang w:eastAsia="en-AU"/>
              </w:rPr>
            </w:pPr>
            <w:r w:rsidRPr="009911EB">
              <w:rPr>
                <w:rFonts w:eastAsia="Times New Roman"/>
                <w:b/>
                <w:lang w:eastAsia="en-AU"/>
              </w:rPr>
              <w:t>Management practice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754D39F9" w14:textId="7FB622D2" w:rsidR="009911EB" w:rsidRPr="009911EB" w:rsidRDefault="00943DFC" w:rsidP="00C75B21">
            <w:pPr>
              <w:keepNext/>
              <w:keepLines/>
              <w:jc w:val="right"/>
              <w:rPr>
                <w:b/>
              </w:rPr>
            </w:pPr>
            <w:r>
              <w:rPr>
                <w:b/>
              </w:rPr>
              <w:t>19.3</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2EB60DFA" w14:textId="0962DF29" w:rsidR="009911EB" w:rsidRPr="009911EB" w:rsidRDefault="006674B6" w:rsidP="00C75B21">
            <w:pPr>
              <w:keepNext/>
              <w:keepLines/>
              <w:jc w:val="right"/>
              <w:rPr>
                <w:b/>
              </w:rPr>
            </w:pPr>
            <w:r>
              <w:rPr>
                <w:b/>
              </w:rPr>
              <w:t>117.4</w:t>
            </w:r>
          </w:p>
        </w:tc>
      </w:tr>
      <w:tr w:rsidR="009911EB" w:rsidRPr="009911EB" w14:paraId="7B7DFFD0" w14:textId="77777777">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B916D2C"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Air monitoring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515FA30" w14:textId="7BC6177D" w:rsidR="009911EB" w:rsidRPr="009911EB" w:rsidRDefault="00943DFC" w:rsidP="00C75B21">
            <w:pPr>
              <w:keepNext/>
              <w:keepLines/>
              <w:jc w:val="right"/>
            </w:pPr>
            <w:r>
              <w:t>8.0</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2BEF09" w14:textId="798020A6" w:rsidR="009911EB" w:rsidRPr="009911EB" w:rsidRDefault="00943DFC" w:rsidP="00C75B21">
            <w:pPr>
              <w:keepNext/>
              <w:keepLines/>
              <w:jc w:val="right"/>
            </w:pPr>
            <w:r>
              <w:t>48.7</w:t>
            </w:r>
          </w:p>
        </w:tc>
      </w:tr>
      <w:tr w:rsidR="009911EB" w:rsidRPr="009911EB" w14:paraId="47F2B858"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2BCBBCB5" w14:textId="77777777" w:rsidR="009911EB" w:rsidRPr="009911EB" w:rsidRDefault="009911EB" w:rsidP="00C75B21">
            <w:pPr>
              <w:keepNext/>
              <w:keepLines/>
              <w:spacing w:after="0" w:line="276" w:lineRule="auto"/>
              <w:ind w:left="308"/>
              <w:contextualSpacing w:val="0"/>
              <w:rPr>
                <w:rFonts w:eastAsia="Times New Roman"/>
                <w:bCs/>
                <w:lang w:eastAsia="en-AU"/>
              </w:rPr>
            </w:pPr>
            <w:r w:rsidRPr="009911EB">
              <w:rPr>
                <w:rFonts w:eastAsia="Times New Roman"/>
                <w:bCs/>
                <w:lang w:eastAsia="en-AU"/>
              </w:rPr>
              <w:t>Occupational hygiene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2134631" w14:textId="7519846F" w:rsidR="009911EB" w:rsidRPr="009911EB" w:rsidRDefault="00943DFC" w:rsidP="00C75B21">
            <w:pPr>
              <w:keepNext/>
              <w:keepLines/>
              <w:jc w:val="right"/>
            </w:pPr>
            <w:r>
              <w:t>6</w:t>
            </w:r>
            <w:r w:rsidR="00EE220E">
              <w:t>.6</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78A8DA" w14:textId="6EFA9999" w:rsidR="009911EB" w:rsidRPr="009911EB" w:rsidRDefault="00943DFC" w:rsidP="00C75B21">
            <w:pPr>
              <w:keepNext/>
              <w:keepLines/>
              <w:jc w:val="right"/>
            </w:pPr>
            <w:r>
              <w:t>40.2</w:t>
            </w:r>
          </w:p>
        </w:tc>
      </w:tr>
      <w:tr w:rsidR="009911EB" w:rsidRPr="009911EB" w14:paraId="6C2AA586"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4596D944" w14:textId="77777777" w:rsidR="009911EB" w:rsidRPr="009911EB" w:rsidRDefault="009911EB" w:rsidP="00C75B21">
            <w:pPr>
              <w:keepNext/>
              <w:keepLines/>
              <w:spacing w:after="0" w:line="276" w:lineRule="auto"/>
              <w:ind w:left="308"/>
              <w:contextualSpacing w:val="0"/>
              <w:rPr>
                <w:rFonts w:eastAsia="Times New Roman"/>
                <w:lang w:eastAsia="en-AU"/>
              </w:rPr>
            </w:pPr>
            <w:r w:rsidRPr="009911EB">
              <w:rPr>
                <w:rFonts w:eastAsia="Times New Roman"/>
                <w:lang w:eastAsia="en-AU"/>
              </w:rPr>
              <w:t>Health monitoring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719E29D" w14:textId="1EE3656A" w:rsidR="009911EB" w:rsidRPr="009911EB" w:rsidRDefault="00EE220E" w:rsidP="00C75B21">
            <w:pPr>
              <w:keepNext/>
              <w:keepLines/>
              <w:jc w:val="right"/>
            </w:pPr>
            <w:r>
              <w:t>4.</w:t>
            </w:r>
            <w:r w:rsidR="009911EB" w:rsidRPr="009911EB">
              <w:t>7</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1783DE" w14:textId="14B65D77" w:rsidR="009911EB" w:rsidRPr="009911EB" w:rsidRDefault="00943DFC" w:rsidP="00C75B21">
            <w:pPr>
              <w:keepNext/>
              <w:keepLines/>
              <w:jc w:val="right"/>
            </w:pPr>
            <w:r>
              <w:t>28.6</w:t>
            </w:r>
          </w:p>
        </w:tc>
      </w:tr>
      <w:tr w:rsidR="009911EB" w:rsidRPr="009911EB" w14:paraId="2ECAFD0B" w14:textId="77777777">
        <w:trPr>
          <w:trHeight w:val="288"/>
        </w:trPr>
        <w:tc>
          <w:tcPr>
            <w:tcW w:w="3823" w:type="dxa"/>
            <w:tcBorders>
              <w:top w:val="single" w:sz="8"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3B1D09A1" w14:textId="77777777" w:rsidR="009911EB" w:rsidRPr="009911EB" w:rsidRDefault="009911EB" w:rsidP="00C75B21">
            <w:pPr>
              <w:keepNext/>
              <w:keepLines/>
              <w:spacing w:after="0" w:line="276" w:lineRule="auto"/>
              <w:contextualSpacing w:val="0"/>
              <w:rPr>
                <w:rFonts w:eastAsia="Times New Roman"/>
                <w:b/>
                <w:lang w:eastAsia="en-AU"/>
              </w:rPr>
            </w:pPr>
            <w:r w:rsidRPr="009911EB">
              <w:rPr>
                <w:rFonts w:eastAsia="Times New Roman"/>
                <w:b/>
                <w:lang w:eastAsia="en-AU"/>
              </w:rPr>
              <w:t>Total costs</w:t>
            </w:r>
          </w:p>
        </w:tc>
        <w:tc>
          <w:tcPr>
            <w:tcW w:w="2622"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64073A61" w14:textId="332C5C6C" w:rsidR="009911EB" w:rsidRPr="009911EB" w:rsidRDefault="004D66BF" w:rsidP="00C75B21">
            <w:pPr>
              <w:keepNext/>
              <w:keepLines/>
              <w:jc w:val="right"/>
              <w:rPr>
                <w:b/>
              </w:rPr>
            </w:pPr>
            <w:r>
              <w:rPr>
                <w:b/>
              </w:rPr>
              <w:t>138.4</w:t>
            </w:r>
          </w:p>
        </w:tc>
        <w:tc>
          <w:tcPr>
            <w:tcW w:w="26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045793BA" w14:textId="47E26BEF" w:rsidR="009911EB" w:rsidRPr="009911EB" w:rsidRDefault="00943DFC" w:rsidP="00C75B21">
            <w:pPr>
              <w:keepNext/>
              <w:keepLines/>
              <w:jc w:val="right"/>
              <w:rPr>
                <w:b/>
              </w:rPr>
            </w:pPr>
            <w:r>
              <w:rPr>
                <w:b/>
              </w:rPr>
              <w:t>840.4</w:t>
            </w:r>
          </w:p>
        </w:tc>
      </w:tr>
    </w:tbl>
    <w:p w14:paraId="3C5A6ADC" w14:textId="52952889" w:rsidR="009911EB" w:rsidRPr="009911EB" w:rsidRDefault="009911EB" w:rsidP="009911EB">
      <w:pPr>
        <w:keepNext/>
        <w:spacing w:before="240" w:after="200" w:line="240" w:lineRule="atLeast"/>
        <w:contextualSpacing w:val="0"/>
        <w:rPr>
          <w:rFonts w:eastAsia="Times New Roman"/>
          <w:lang w:eastAsia="en-AU"/>
        </w:rPr>
      </w:pPr>
      <w:r w:rsidRPr="009911EB">
        <w:rPr>
          <w:rFonts w:eastAsia="Times New Roman"/>
          <w:lang w:eastAsia="en-AU"/>
        </w:rPr>
        <w:t>This regulatory impact analysis has also estimated the average annual and total costs to industry under low and high cost scenarios, where:</w:t>
      </w:r>
    </w:p>
    <w:p w14:paraId="73C247EB" w14:textId="4FAC283A" w:rsidR="009911EB" w:rsidRPr="009911EB" w:rsidRDefault="009911EB" w:rsidP="00B57E6C">
      <w:pPr>
        <w:numPr>
          <w:ilvl w:val="0"/>
          <w:numId w:val="22"/>
        </w:numPr>
        <w:suppressAutoHyphens/>
        <w:spacing w:line="259" w:lineRule="auto"/>
        <w:contextualSpacing w:val="0"/>
      </w:pPr>
      <w:r w:rsidRPr="009911EB">
        <w:t>Under the low cost scenario, the average annual cost is $1</w:t>
      </w:r>
      <w:r w:rsidR="00237E2B">
        <w:t>04</w:t>
      </w:r>
      <w:r w:rsidRPr="009911EB">
        <w:t xml:space="preserve"> million (undiscounted) and the total cost is $</w:t>
      </w:r>
      <w:r w:rsidR="00237E2B">
        <w:t>630</w:t>
      </w:r>
      <w:r w:rsidRPr="009911EB">
        <w:t xml:space="preserve"> billion (discounted).</w:t>
      </w:r>
    </w:p>
    <w:p w14:paraId="7F4E05F1" w14:textId="234F3E2C" w:rsidR="009911EB" w:rsidRPr="009911EB" w:rsidRDefault="009911EB" w:rsidP="00B57E6C">
      <w:pPr>
        <w:numPr>
          <w:ilvl w:val="0"/>
          <w:numId w:val="22"/>
        </w:numPr>
        <w:suppressAutoHyphens/>
        <w:spacing w:after="240" w:line="240" w:lineRule="auto"/>
        <w:ind w:left="714" w:hanging="357"/>
        <w:contextualSpacing w:val="0"/>
      </w:pPr>
      <w:r w:rsidRPr="009911EB">
        <w:t>Under the high cost scenario, the average annual cost is $</w:t>
      </w:r>
      <w:r w:rsidR="00D3017A">
        <w:t>173</w:t>
      </w:r>
      <w:r w:rsidRPr="009911EB">
        <w:t xml:space="preserve"> million (undiscounted) and the total cost is $1.</w:t>
      </w:r>
      <w:r w:rsidR="00D3017A">
        <w:t>1</w:t>
      </w:r>
      <w:r w:rsidRPr="009911EB">
        <w:t xml:space="preserve"> billion (discounted). </w:t>
      </w:r>
    </w:p>
    <w:p w14:paraId="6F46ED41" w14:textId="7A660192" w:rsidR="009911EB" w:rsidRPr="009911EB" w:rsidRDefault="008919AA" w:rsidP="00B2026D">
      <w:pPr>
        <w:spacing w:after="240"/>
        <w:contextualSpacing w:val="0"/>
      </w:pPr>
      <w:r>
        <w:lastRenderedPageBreak/>
        <w:fldChar w:fldCharType="begin"/>
      </w:r>
      <w:r>
        <w:instrText xml:space="preserve"> REF _Ref199857606 \h </w:instrText>
      </w:r>
      <w:r>
        <w:fldChar w:fldCharType="separate"/>
      </w:r>
      <w:r w:rsidR="00A002F4">
        <w:t xml:space="preserve">Table </w:t>
      </w:r>
      <w:r w:rsidR="00A002F4">
        <w:rPr>
          <w:noProof/>
        </w:rPr>
        <w:t>11</w:t>
      </w:r>
      <w:r>
        <w:fldChar w:fldCharType="end"/>
      </w:r>
      <w:r>
        <w:t xml:space="preserve"> </w:t>
      </w:r>
      <w:r w:rsidR="009911EB" w:rsidRPr="009911EB">
        <w:t>presents the estimated average annual incremental costs per affected business</w:t>
      </w:r>
      <w:r w:rsidR="009911EB" w:rsidRPr="009911EB" w:rsidDel="00C7438D">
        <w:t xml:space="preserve"> </w:t>
      </w:r>
      <w:r w:rsidR="009911EB" w:rsidRPr="009911EB">
        <w:t xml:space="preserve">by business size category for the proposed WEL for benzene. </w:t>
      </w:r>
      <w:r w:rsidR="00B548F6" w:rsidRPr="00B548F6">
        <w:t>An average annual incremental cost is also assumed in the absence of information to indicate the true distribution of costs across the 10-year appraisal period.</w:t>
      </w:r>
      <w:r w:rsidR="009911EB" w:rsidRPr="009911EB">
        <w:t xml:space="preserve"> These affected businesses come from the following industries:</w:t>
      </w:r>
    </w:p>
    <w:p w14:paraId="5C4C198A" w14:textId="53A4D235" w:rsidR="009911EB" w:rsidRPr="009911EB" w:rsidRDefault="007D60B2" w:rsidP="00A2768E">
      <w:pPr>
        <w:numPr>
          <w:ilvl w:val="0"/>
          <w:numId w:val="57"/>
        </w:numPr>
        <w:ind w:left="714" w:hanging="357"/>
        <w:contextualSpacing w:val="0"/>
      </w:pPr>
      <w:r>
        <w:t>m</w:t>
      </w:r>
      <w:r w:rsidR="009911EB" w:rsidRPr="009911EB">
        <w:t>ining</w:t>
      </w:r>
      <w:r>
        <w:t>,</w:t>
      </w:r>
    </w:p>
    <w:p w14:paraId="6E7CB313" w14:textId="747CC4A9" w:rsidR="009911EB" w:rsidRPr="009911EB" w:rsidRDefault="007D60B2" w:rsidP="00A2768E">
      <w:pPr>
        <w:numPr>
          <w:ilvl w:val="0"/>
          <w:numId w:val="57"/>
        </w:numPr>
        <w:ind w:left="714" w:hanging="357"/>
        <w:contextualSpacing w:val="0"/>
      </w:pPr>
      <w:r>
        <w:t>m</w:t>
      </w:r>
      <w:r w:rsidR="009911EB" w:rsidRPr="009911EB">
        <w:t>anufacturing</w:t>
      </w:r>
      <w:r>
        <w:t xml:space="preserve">, </w:t>
      </w:r>
    </w:p>
    <w:p w14:paraId="40EEC7FA" w14:textId="4152C807" w:rsidR="009911EB" w:rsidRPr="009911EB" w:rsidRDefault="007D60B2" w:rsidP="00A2768E">
      <w:pPr>
        <w:numPr>
          <w:ilvl w:val="0"/>
          <w:numId w:val="57"/>
        </w:numPr>
        <w:ind w:left="714" w:hanging="357"/>
        <w:contextualSpacing w:val="0"/>
      </w:pPr>
      <w:r>
        <w:t>e</w:t>
      </w:r>
      <w:r w:rsidR="009911EB" w:rsidRPr="009911EB">
        <w:t xml:space="preserve">lectricity, </w:t>
      </w:r>
      <w:r>
        <w:t>g</w:t>
      </w:r>
      <w:r w:rsidR="009911EB" w:rsidRPr="009911EB">
        <w:t xml:space="preserve">as, </w:t>
      </w:r>
      <w:r>
        <w:t>w</w:t>
      </w:r>
      <w:r w:rsidR="009911EB" w:rsidRPr="009911EB">
        <w:t xml:space="preserve">ater and </w:t>
      </w:r>
      <w:r>
        <w:t>w</w:t>
      </w:r>
      <w:r w:rsidR="009911EB" w:rsidRPr="009911EB">
        <w:t xml:space="preserve">aste </w:t>
      </w:r>
      <w:r w:rsidR="009664BE">
        <w:t>s</w:t>
      </w:r>
      <w:r w:rsidR="009911EB" w:rsidRPr="009911EB">
        <w:t>ervices</w:t>
      </w:r>
      <w:r w:rsidR="009664BE">
        <w:t>, and</w:t>
      </w:r>
    </w:p>
    <w:p w14:paraId="05618D22" w14:textId="63B5919C" w:rsidR="009911EB" w:rsidRPr="009911EB" w:rsidRDefault="009664BE" w:rsidP="00A2768E">
      <w:pPr>
        <w:numPr>
          <w:ilvl w:val="0"/>
          <w:numId w:val="57"/>
        </w:numPr>
        <w:ind w:left="714" w:hanging="357"/>
        <w:contextualSpacing w:val="0"/>
      </w:pPr>
      <w:r>
        <w:t>p</w:t>
      </w:r>
      <w:r w:rsidR="009911EB" w:rsidRPr="009911EB">
        <w:t xml:space="preserve">ublic </w:t>
      </w:r>
      <w:r>
        <w:t>a</w:t>
      </w:r>
      <w:r w:rsidR="009911EB" w:rsidRPr="009911EB">
        <w:t xml:space="preserve">dministration and </w:t>
      </w:r>
      <w:r>
        <w:t>s</w:t>
      </w:r>
      <w:r w:rsidR="009911EB" w:rsidRPr="009911EB">
        <w:t>afety</w:t>
      </w:r>
      <w:r w:rsidR="00627580">
        <w:t>.</w:t>
      </w:r>
      <w:r w:rsidR="009911EB" w:rsidRPr="009911EB">
        <w:t xml:space="preserve"> </w:t>
      </w:r>
    </w:p>
    <w:p w14:paraId="03962BCD" w14:textId="77777777" w:rsidR="009911EB" w:rsidRPr="009911EB" w:rsidRDefault="009911EB" w:rsidP="00C8478C">
      <w:pPr>
        <w:keepNext/>
        <w:spacing w:before="240" w:line="240" w:lineRule="atLeast"/>
        <w:contextualSpacing w:val="0"/>
      </w:pPr>
      <w:r w:rsidRPr="009911EB">
        <w:t>The results indicate that:</w:t>
      </w:r>
    </w:p>
    <w:p w14:paraId="331AF751" w14:textId="26F73691" w:rsidR="009911EB" w:rsidRPr="009911EB" w:rsidRDefault="009911EB" w:rsidP="00C8478C">
      <w:pPr>
        <w:keepNext/>
        <w:numPr>
          <w:ilvl w:val="0"/>
          <w:numId w:val="23"/>
        </w:numPr>
        <w:suppressAutoHyphens/>
        <w:spacing w:before="120" w:line="240" w:lineRule="atLeast"/>
        <w:ind w:left="709"/>
        <w:contextualSpacing w:val="0"/>
      </w:pPr>
      <w:r w:rsidRPr="009911EB">
        <w:t xml:space="preserve">There are an estimated </w:t>
      </w:r>
      <w:r w:rsidR="00444AC9">
        <w:t>9,875</w:t>
      </w:r>
      <w:r w:rsidRPr="009911EB">
        <w:t xml:space="preserve"> affected businesses, comprising </w:t>
      </w:r>
      <w:r w:rsidR="00444AC9">
        <w:t>7,807</w:t>
      </w:r>
      <w:r w:rsidRPr="009911EB">
        <w:t xml:space="preserve"> small businesses, </w:t>
      </w:r>
      <w:r w:rsidR="00444AC9">
        <w:t>1,734</w:t>
      </w:r>
      <w:r w:rsidRPr="009911EB">
        <w:t xml:space="preserve"> medium businesses and </w:t>
      </w:r>
      <w:r w:rsidR="00444AC9">
        <w:t>334</w:t>
      </w:r>
      <w:r w:rsidRPr="009911EB">
        <w:t xml:space="preserve"> large businesses.</w:t>
      </w:r>
    </w:p>
    <w:p w14:paraId="2C8EBFD6" w14:textId="797DF337" w:rsidR="009911EB" w:rsidRPr="009911EB" w:rsidRDefault="009911EB" w:rsidP="00B57E6C">
      <w:pPr>
        <w:numPr>
          <w:ilvl w:val="0"/>
          <w:numId w:val="23"/>
        </w:numPr>
        <w:suppressAutoHyphens/>
        <w:spacing w:line="259" w:lineRule="auto"/>
        <w:ind w:left="709"/>
        <w:contextualSpacing w:val="0"/>
      </w:pPr>
      <w:r w:rsidRPr="009911EB">
        <w:t xml:space="preserve">The estimated average annual cost </w:t>
      </w:r>
      <w:r w:rsidR="00FC6ACA" w:rsidRPr="009911EB">
        <w:t>is $1,800</w:t>
      </w:r>
      <w:r w:rsidR="00FC6ACA">
        <w:t xml:space="preserve"> </w:t>
      </w:r>
      <w:r w:rsidRPr="009911EB">
        <w:t>for small businesses, $10,200 for medium businesses and $320</w:t>
      </w:r>
      <w:r w:rsidR="00FC6ACA">
        <w:t>,</w:t>
      </w:r>
      <w:r w:rsidRPr="009911EB">
        <w:t>700 for large businesses.</w:t>
      </w:r>
    </w:p>
    <w:p w14:paraId="18305C0C" w14:textId="5013F5F1" w:rsidR="00626251" w:rsidRDefault="00626251" w:rsidP="003E368B">
      <w:pPr>
        <w:pStyle w:val="Caption"/>
        <w:keepLines/>
      </w:pPr>
      <w:bookmarkStart w:id="91" w:name="_Ref199857606"/>
      <w:r>
        <w:t xml:space="preserve">Table </w:t>
      </w:r>
      <w:fldSimple w:instr=" SEQ Table \* ARABIC ">
        <w:r w:rsidR="00A002F4">
          <w:rPr>
            <w:noProof/>
          </w:rPr>
          <w:t>11</w:t>
        </w:r>
      </w:fldSimple>
      <w:bookmarkEnd w:id="91"/>
      <w:r>
        <w:t xml:space="preserve"> - </w:t>
      </w:r>
      <w:r w:rsidRPr="00BC513A">
        <w:t>Estimated average annual incremental cost per affected business by business size ($, undiscounted) and affected businesses for benzene,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254"/>
        <w:gridCol w:w="2398"/>
        <w:gridCol w:w="2110"/>
      </w:tblGrid>
      <w:tr w:rsidR="009911EB" w:rsidRPr="009911EB" w14:paraId="7E4FF309" w14:textId="77777777">
        <w:tc>
          <w:tcPr>
            <w:tcW w:w="2254" w:type="dxa"/>
            <w:shd w:val="clear" w:color="auto" w:fill="2050BD" w:themeFill="accent1" w:themeFillShade="BF"/>
          </w:tcPr>
          <w:p w14:paraId="0071353A" w14:textId="77777777" w:rsidR="009911EB" w:rsidRPr="009911EB" w:rsidRDefault="009911EB" w:rsidP="003E368B">
            <w:pPr>
              <w:keepNext/>
              <w:keepLines/>
              <w:suppressAutoHyphens/>
              <w:spacing w:after="0" w:line="259" w:lineRule="auto"/>
              <w:contextualSpacing w:val="0"/>
              <w:rPr>
                <w:b/>
                <w:color w:val="FFFFFF" w:themeColor="background1"/>
              </w:rPr>
            </w:pPr>
            <w:r w:rsidRPr="009911EB">
              <w:rPr>
                <w:b/>
                <w:color w:val="FFFFFF" w:themeColor="background1"/>
              </w:rPr>
              <w:t>Measure</w:t>
            </w:r>
          </w:p>
        </w:tc>
        <w:tc>
          <w:tcPr>
            <w:tcW w:w="2254" w:type="dxa"/>
            <w:shd w:val="clear" w:color="auto" w:fill="2050BD" w:themeFill="accent1" w:themeFillShade="BF"/>
          </w:tcPr>
          <w:p w14:paraId="12139990" w14:textId="77777777" w:rsidR="009911EB" w:rsidRPr="009911EB" w:rsidRDefault="009911EB" w:rsidP="003E368B">
            <w:pPr>
              <w:keepNext/>
              <w:keepLines/>
              <w:suppressAutoHyphens/>
              <w:spacing w:after="0" w:line="259" w:lineRule="auto"/>
              <w:contextualSpacing w:val="0"/>
              <w:rPr>
                <w:b/>
                <w:color w:val="FFFFFF" w:themeColor="background1"/>
              </w:rPr>
            </w:pPr>
            <w:r w:rsidRPr="009911EB">
              <w:rPr>
                <w:b/>
                <w:color w:val="FFFFFF" w:themeColor="background1"/>
              </w:rPr>
              <w:t>Small businesses</w:t>
            </w:r>
          </w:p>
        </w:tc>
        <w:tc>
          <w:tcPr>
            <w:tcW w:w="2398" w:type="dxa"/>
            <w:shd w:val="clear" w:color="auto" w:fill="2050BD" w:themeFill="accent1" w:themeFillShade="BF"/>
          </w:tcPr>
          <w:p w14:paraId="14F6D23A" w14:textId="77777777" w:rsidR="009911EB" w:rsidRPr="009911EB" w:rsidRDefault="009911EB" w:rsidP="003E368B">
            <w:pPr>
              <w:keepNext/>
              <w:keepLines/>
              <w:suppressAutoHyphens/>
              <w:spacing w:after="0" w:line="259" w:lineRule="auto"/>
              <w:contextualSpacing w:val="0"/>
              <w:rPr>
                <w:b/>
                <w:color w:val="FFFFFF" w:themeColor="background1"/>
              </w:rPr>
            </w:pPr>
            <w:r w:rsidRPr="009911EB">
              <w:rPr>
                <w:b/>
                <w:color w:val="FFFFFF" w:themeColor="background1"/>
              </w:rPr>
              <w:t>Medium businesses</w:t>
            </w:r>
          </w:p>
        </w:tc>
        <w:tc>
          <w:tcPr>
            <w:tcW w:w="2110" w:type="dxa"/>
            <w:shd w:val="clear" w:color="auto" w:fill="2050BD" w:themeFill="accent1" w:themeFillShade="BF"/>
          </w:tcPr>
          <w:p w14:paraId="5BEBC0CA" w14:textId="77777777" w:rsidR="009911EB" w:rsidRPr="009911EB" w:rsidRDefault="009911EB" w:rsidP="003E368B">
            <w:pPr>
              <w:keepNext/>
              <w:keepLines/>
              <w:suppressAutoHyphens/>
              <w:spacing w:after="0" w:line="259" w:lineRule="auto"/>
              <w:contextualSpacing w:val="0"/>
              <w:rPr>
                <w:b/>
                <w:color w:val="FFFFFF" w:themeColor="background1"/>
              </w:rPr>
            </w:pPr>
            <w:r w:rsidRPr="009911EB">
              <w:rPr>
                <w:b/>
                <w:color w:val="FFFFFF" w:themeColor="background1"/>
              </w:rPr>
              <w:t>Large businesses</w:t>
            </w:r>
          </w:p>
        </w:tc>
      </w:tr>
      <w:tr w:rsidR="009911EB" w:rsidRPr="009911EB" w14:paraId="71512DD7" w14:textId="77777777">
        <w:tc>
          <w:tcPr>
            <w:tcW w:w="2254" w:type="dxa"/>
          </w:tcPr>
          <w:p w14:paraId="5C2BAD22" w14:textId="77777777" w:rsidR="009911EB" w:rsidRPr="009911EB" w:rsidRDefault="009911EB" w:rsidP="003E368B">
            <w:pPr>
              <w:keepNext/>
              <w:keepLines/>
              <w:suppressAutoHyphens/>
              <w:spacing w:after="0" w:line="259" w:lineRule="auto"/>
              <w:contextualSpacing w:val="0"/>
              <w:rPr>
                <w:b/>
                <w:bCs/>
              </w:rPr>
            </w:pPr>
            <w:r w:rsidRPr="009911EB">
              <w:rPr>
                <w:b/>
                <w:bCs/>
              </w:rPr>
              <w:t>Number of affected businesses p.a.</w:t>
            </w:r>
          </w:p>
        </w:tc>
        <w:tc>
          <w:tcPr>
            <w:tcW w:w="2254" w:type="dxa"/>
            <w:vAlign w:val="center"/>
          </w:tcPr>
          <w:p w14:paraId="129DDDC7" w14:textId="41A4072B" w:rsidR="009911EB" w:rsidRPr="009911EB" w:rsidRDefault="00C52BC2" w:rsidP="003E368B">
            <w:pPr>
              <w:keepNext/>
              <w:keepLines/>
              <w:suppressAutoHyphens/>
              <w:spacing w:after="0" w:line="259" w:lineRule="auto"/>
              <w:contextualSpacing w:val="0"/>
              <w:jc w:val="right"/>
            </w:pPr>
            <w:r>
              <w:t>7,807</w:t>
            </w:r>
          </w:p>
        </w:tc>
        <w:tc>
          <w:tcPr>
            <w:tcW w:w="2398" w:type="dxa"/>
            <w:vAlign w:val="center"/>
          </w:tcPr>
          <w:p w14:paraId="4D51C866" w14:textId="4CB3DBB4" w:rsidR="009911EB" w:rsidRPr="009911EB" w:rsidRDefault="00C52BC2" w:rsidP="003E368B">
            <w:pPr>
              <w:keepNext/>
              <w:keepLines/>
              <w:suppressAutoHyphens/>
              <w:spacing w:after="0" w:line="259" w:lineRule="auto"/>
              <w:contextualSpacing w:val="0"/>
              <w:jc w:val="right"/>
            </w:pPr>
            <w:r>
              <w:t>1,734</w:t>
            </w:r>
          </w:p>
        </w:tc>
        <w:tc>
          <w:tcPr>
            <w:tcW w:w="2110" w:type="dxa"/>
            <w:vAlign w:val="center"/>
          </w:tcPr>
          <w:p w14:paraId="5581D83B" w14:textId="2B00757D" w:rsidR="009911EB" w:rsidRPr="009911EB" w:rsidRDefault="00C52BC2" w:rsidP="003E368B">
            <w:pPr>
              <w:keepNext/>
              <w:keepLines/>
              <w:suppressAutoHyphens/>
              <w:spacing w:after="0" w:line="259" w:lineRule="auto"/>
              <w:contextualSpacing w:val="0"/>
              <w:jc w:val="right"/>
            </w:pPr>
            <w:r>
              <w:t>334</w:t>
            </w:r>
          </w:p>
        </w:tc>
      </w:tr>
      <w:tr w:rsidR="009911EB" w:rsidRPr="009911EB" w14:paraId="5F9015EC" w14:textId="77777777" w:rsidTr="00CA6B6E">
        <w:tc>
          <w:tcPr>
            <w:tcW w:w="2254" w:type="dxa"/>
            <w:shd w:val="clear" w:color="auto" w:fill="DAE3F8" w:themeFill="accent1" w:themeFillTint="33"/>
          </w:tcPr>
          <w:p w14:paraId="423990DF" w14:textId="77777777" w:rsidR="009911EB" w:rsidRPr="009911EB" w:rsidRDefault="009911EB" w:rsidP="009911EB">
            <w:pPr>
              <w:suppressAutoHyphens/>
              <w:spacing w:after="0" w:line="259" w:lineRule="auto"/>
              <w:contextualSpacing w:val="0"/>
              <w:rPr>
                <w:b/>
                <w:bCs/>
              </w:rPr>
            </w:pPr>
            <w:r w:rsidRPr="009911EB">
              <w:rPr>
                <w:b/>
                <w:bCs/>
              </w:rPr>
              <w:t>Av. cost per business p.a.</w:t>
            </w:r>
          </w:p>
        </w:tc>
        <w:tc>
          <w:tcPr>
            <w:tcW w:w="2254" w:type="dxa"/>
            <w:shd w:val="clear" w:color="auto" w:fill="DAE3F8" w:themeFill="accent1" w:themeFillTint="33"/>
            <w:vAlign w:val="center"/>
          </w:tcPr>
          <w:p w14:paraId="3577A171" w14:textId="77777777" w:rsidR="009911EB" w:rsidRPr="009911EB" w:rsidRDefault="009911EB" w:rsidP="009911EB">
            <w:pPr>
              <w:suppressAutoHyphens/>
              <w:spacing w:after="0" w:line="259" w:lineRule="auto"/>
              <w:contextualSpacing w:val="0"/>
              <w:jc w:val="right"/>
            </w:pPr>
            <w:r w:rsidRPr="009911EB">
              <w:t>1,800</w:t>
            </w:r>
          </w:p>
        </w:tc>
        <w:tc>
          <w:tcPr>
            <w:tcW w:w="2398" w:type="dxa"/>
            <w:shd w:val="clear" w:color="auto" w:fill="DAE3F8" w:themeFill="accent1" w:themeFillTint="33"/>
            <w:vAlign w:val="center"/>
          </w:tcPr>
          <w:p w14:paraId="49792B24" w14:textId="77777777" w:rsidR="009911EB" w:rsidRPr="009911EB" w:rsidRDefault="009911EB" w:rsidP="009911EB">
            <w:pPr>
              <w:suppressAutoHyphens/>
              <w:spacing w:after="0" w:line="259" w:lineRule="auto"/>
              <w:contextualSpacing w:val="0"/>
              <w:jc w:val="right"/>
            </w:pPr>
            <w:r w:rsidRPr="009911EB">
              <w:t>10,200</w:t>
            </w:r>
          </w:p>
        </w:tc>
        <w:tc>
          <w:tcPr>
            <w:tcW w:w="2110" w:type="dxa"/>
            <w:shd w:val="clear" w:color="auto" w:fill="DAE3F8" w:themeFill="accent1" w:themeFillTint="33"/>
            <w:vAlign w:val="center"/>
          </w:tcPr>
          <w:p w14:paraId="4878DBAB" w14:textId="77777777" w:rsidR="009911EB" w:rsidRPr="009911EB" w:rsidRDefault="009911EB" w:rsidP="009911EB">
            <w:pPr>
              <w:suppressAutoHyphens/>
              <w:spacing w:after="0" w:line="259" w:lineRule="auto"/>
              <w:contextualSpacing w:val="0"/>
              <w:jc w:val="right"/>
            </w:pPr>
            <w:r w:rsidRPr="009911EB">
              <w:t>320,700</w:t>
            </w:r>
          </w:p>
        </w:tc>
      </w:tr>
    </w:tbl>
    <w:p w14:paraId="37A8C31C" w14:textId="2CCBEFD0" w:rsidR="009911EB" w:rsidRPr="009911EB" w:rsidRDefault="009911EB" w:rsidP="001E0F11">
      <w:pPr>
        <w:pStyle w:val="SWAHeading2"/>
        <w:ind w:left="567" w:hanging="567"/>
      </w:pPr>
      <w:bookmarkStart w:id="92" w:name="_Toc194510008"/>
      <w:bookmarkStart w:id="93" w:name="_Toc196204611"/>
      <w:bookmarkStart w:id="94" w:name="_Toc219216885"/>
      <w:r w:rsidRPr="009911EB">
        <w:t xml:space="preserve">Stakeholder </w:t>
      </w:r>
      <w:r w:rsidR="00107964">
        <w:t>views</w:t>
      </w:r>
      <w:r w:rsidR="006F0F73" w:rsidRPr="009911EB">
        <w:t xml:space="preserve"> </w:t>
      </w:r>
      <w:r w:rsidRPr="009911EB">
        <w:t xml:space="preserve">on </w:t>
      </w:r>
      <w:r w:rsidR="005A01C9">
        <w:t xml:space="preserve">the proposed WEL for </w:t>
      </w:r>
      <w:r w:rsidRPr="009911EB">
        <w:t>benzene</w:t>
      </w:r>
      <w:bookmarkEnd w:id="92"/>
      <w:bookmarkEnd w:id="93"/>
      <w:bookmarkEnd w:id="94"/>
    </w:p>
    <w:p w14:paraId="3CF8245F" w14:textId="3E23E39A" w:rsidR="009911EB" w:rsidRPr="009911EB" w:rsidRDefault="00AF740C" w:rsidP="001E0F11">
      <w:pPr>
        <w:contextualSpacing w:val="0"/>
        <w:textAlignment w:val="baseline"/>
        <w:rPr>
          <w:rFonts w:eastAsiaTheme="majorEastAsia" w:cs="Arial"/>
          <w:szCs w:val="22"/>
          <w:lang w:eastAsia="en-AU"/>
        </w:rPr>
      </w:pPr>
      <w:r>
        <w:rPr>
          <w:rFonts w:eastAsiaTheme="majorEastAsia" w:cs="Arial"/>
          <w:szCs w:val="22"/>
          <w:lang w:eastAsia="en-AU"/>
        </w:rPr>
        <w:t xml:space="preserve">As part of the public consultation process supporting this Decision RIS, 20 </w:t>
      </w:r>
      <w:r w:rsidR="00CB2B20">
        <w:rPr>
          <w:rFonts w:eastAsiaTheme="majorEastAsia" w:cs="Arial"/>
          <w:szCs w:val="22"/>
          <w:lang w:eastAsia="en-AU"/>
        </w:rPr>
        <w:t xml:space="preserve">submissions were received </w:t>
      </w:r>
      <w:r w:rsidR="00907CD5">
        <w:rPr>
          <w:rFonts w:eastAsiaTheme="majorEastAsia" w:cs="Arial"/>
          <w:szCs w:val="22"/>
          <w:lang w:eastAsia="en-AU"/>
        </w:rPr>
        <w:t xml:space="preserve">that address the proposed WEL for </w:t>
      </w:r>
      <w:r w:rsidR="00CB2B20">
        <w:rPr>
          <w:rFonts w:eastAsiaTheme="majorEastAsia" w:cs="Arial"/>
          <w:szCs w:val="22"/>
          <w:lang w:eastAsia="en-AU"/>
        </w:rPr>
        <w:t xml:space="preserve">benzene. </w:t>
      </w:r>
    </w:p>
    <w:p w14:paraId="64FFA2FD" w14:textId="38967B30" w:rsidR="009911EB" w:rsidRPr="009911EB" w:rsidRDefault="009911EB" w:rsidP="006F65AE">
      <w:pPr>
        <w:contextualSpacing w:val="0"/>
        <w:textAlignment w:val="baseline"/>
        <w:rPr>
          <w:rFonts w:eastAsiaTheme="majorEastAsia" w:cs="Arial"/>
          <w:szCs w:val="22"/>
          <w:lang w:eastAsia="en-AU"/>
        </w:rPr>
      </w:pPr>
      <w:r w:rsidRPr="009911EB">
        <w:rPr>
          <w:rFonts w:eastAsiaTheme="majorEastAsia" w:cs="Arial"/>
          <w:szCs w:val="22"/>
          <w:lang w:eastAsia="en-AU"/>
        </w:rPr>
        <w:t>A majority of submissions (13</w:t>
      </w:r>
      <w:r w:rsidR="005A01C9">
        <w:rPr>
          <w:rFonts w:eastAsiaTheme="majorEastAsia" w:cs="Arial"/>
          <w:szCs w:val="22"/>
          <w:lang w:eastAsia="en-AU"/>
        </w:rPr>
        <w:t xml:space="preserve"> out of 20</w:t>
      </w:r>
      <w:r w:rsidRPr="009911EB">
        <w:rPr>
          <w:rFonts w:eastAsiaTheme="majorEastAsia" w:cs="Arial"/>
          <w:szCs w:val="22"/>
          <w:lang w:eastAsia="en-AU"/>
        </w:rPr>
        <w:t>) supported the proposed health-based TWA of 0.2 ppm (0.7 mg/m</w:t>
      </w:r>
      <w:r w:rsidRPr="009911EB">
        <w:rPr>
          <w:rFonts w:eastAsiaTheme="majorEastAsia" w:cs="Arial"/>
          <w:szCs w:val="22"/>
          <w:vertAlign w:val="superscript"/>
          <w:lang w:eastAsia="en-AU"/>
        </w:rPr>
        <w:t>3</w:t>
      </w:r>
      <w:r w:rsidRPr="009911EB">
        <w:rPr>
          <w:rFonts w:eastAsiaTheme="majorEastAsia" w:cs="Arial"/>
          <w:szCs w:val="22"/>
          <w:lang w:eastAsia="en-AU"/>
        </w:rPr>
        <w:t>) for benzene</w:t>
      </w:r>
      <w:r w:rsidR="003C42FC">
        <w:rPr>
          <w:rFonts w:eastAsiaTheme="majorEastAsia" w:cs="Arial"/>
          <w:szCs w:val="22"/>
          <w:lang w:eastAsia="en-AU"/>
        </w:rPr>
        <w:t xml:space="preserve"> (Option 2)</w:t>
      </w:r>
      <w:r w:rsidRPr="009911EB">
        <w:rPr>
          <w:rFonts w:eastAsiaTheme="majorEastAsia" w:cs="Arial"/>
          <w:szCs w:val="22"/>
          <w:lang w:eastAsia="en-AU"/>
        </w:rPr>
        <w:t>. These submissions were made by unions, peak health bodies, industry bodies, academics</w:t>
      </w:r>
      <w:r w:rsidRPr="009911EB" w:rsidDel="000F68CC">
        <w:rPr>
          <w:rFonts w:eastAsiaTheme="majorEastAsia" w:cs="Arial"/>
          <w:szCs w:val="22"/>
          <w:lang w:eastAsia="en-AU"/>
        </w:rPr>
        <w:t xml:space="preserve">, </w:t>
      </w:r>
      <w:r w:rsidRPr="009911EB">
        <w:rPr>
          <w:rFonts w:eastAsiaTheme="majorEastAsia" w:cs="Arial"/>
          <w:szCs w:val="22"/>
          <w:lang w:eastAsia="en-AU"/>
        </w:rPr>
        <w:t>individuals</w:t>
      </w:r>
      <w:r w:rsidR="00C725E3">
        <w:rPr>
          <w:rFonts w:eastAsiaTheme="majorEastAsia" w:cs="Arial"/>
          <w:szCs w:val="22"/>
          <w:lang w:eastAsia="en-AU"/>
        </w:rPr>
        <w:t>,</w:t>
      </w:r>
      <w:r w:rsidRPr="009911EB">
        <w:rPr>
          <w:rFonts w:eastAsiaTheme="majorEastAsia" w:cs="Arial"/>
          <w:szCs w:val="22"/>
          <w:lang w:eastAsia="en-AU"/>
        </w:rPr>
        <w:t xml:space="preserve"> </w:t>
      </w:r>
      <w:r w:rsidR="00F229E1">
        <w:rPr>
          <w:rFonts w:eastAsiaTheme="majorEastAsia" w:cs="Arial"/>
          <w:szCs w:val="22"/>
          <w:lang w:eastAsia="en-AU"/>
        </w:rPr>
        <w:t xml:space="preserve">and </w:t>
      </w:r>
      <w:r w:rsidR="00C725E3">
        <w:rPr>
          <w:rFonts w:eastAsiaTheme="majorEastAsia" w:cs="Arial"/>
          <w:szCs w:val="22"/>
          <w:lang w:eastAsia="en-AU"/>
        </w:rPr>
        <w:t>government</w:t>
      </w:r>
      <w:r w:rsidR="007F4413">
        <w:rPr>
          <w:rFonts w:eastAsiaTheme="majorEastAsia" w:cs="Arial"/>
          <w:szCs w:val="22"/>
          <w:lang w:eastAsia="en-AU"/>
        </w:rPr>
        <w:t>s</w:t>
      </w:r>
      <w:r w:rsidRPr="009911EB">
        <w:rPr>
          <w:rFonts w:eastAsiaTheme="majorEastAsia" w:cs="Arial"/>
          <w:szCs w:val="22"/>
          <w:lang w:eastAsia="en-AU"/>
        </w:rPr>
        <w:t xml:space="preserve">. </w:t>
      </w:r>
      <w:r w:rsidR="007F4413">
        <w:rPr>
          <w:rFonts w:eastAsiaTheme="majorEastAsia" w:cs="Arial"/>
          <w:szCs w:val="22"/>
          <w:lang w:eastAsia="en-AU"/>
        </w:rPr>
        <w:t xml:space="preserve">Stakeholders </w:t>
      </w:r>
      <w:r w:rsidR="00F234F0">
        <w:rPr>
          <w:rFonts w:eastAsiaTheme="majorEastAsia" w:cs="Arial"/>
          <w:szCs w:val="22"/>
          <w:lang w:eastAsia="en-AU"/>
        </w:rPr>
        <w:t xml:space="preserve">who supported Option 2 </w:t>
      </w:r>
      <w:r w:rsidR="007F4413">
        <w:rPr>
          <w:rFonts w:eastAsiaTheme="majorEastAsia" w:cs="Arial"/>
          <w:szCs w:val="22"/>
          <w:lang w:eastAsia="en-AU"/>
        </w:rPr>
        <w:t>noted their s</w:t>
      </w:r>
      <w:r w:rsidRPr="009911EB">
        <w:rPr>
          <w:rFonts w:eastAsiaTheme="majorEastAsia" w:cs="Arial"/>
          <w:szCs w:val="22"/>
          <w:lang w:eastAsia="en-AU"/>
        </w:rPr>
        <w:t xml:space="preserve">upport </w:t>
      </w:r>
      <w:r w:rsidR="00F234F0">
        <w:rPr>
          <w:rFonts w:eastAsiaTheme="majorEastAsia" w:cs="Arial"/>
          <w:szCs w:val="22"/>
          <w:lang w:eastAsia="en-AU"/>
        </w:rPr>
        <w:t>is</w:t>
      </w:r>
      <w:r w:rsidRPr="009911EB">
        <w:rPr>
          <w:rFonts w:eastAsiaTheme="majorEastAsia" w:cs="Arial"/>
          <w:szCs w:val="22"/>
          <w:lang w:eastAsia="en-AU"/>
        </w:rPr>
        <w:t xml:space="preserve"> based on:</w:t>
      </w:r>
    </w:p>
    <w:p w14:paraId="3E1CAF48" w14:textId="51EB2E70" w:rsidR="009911EB" w:rsidRPr="009911EB" w:rsidRDefault="734B6C1A" w:rsidP="00EC5F6E">
      <w:pPr>
        <w:numPr>
          <w:ilvl w:val="0"/>
          <w:numId w:val="29"/>
        </w:numPr>
        <w:spacing w:before="120" w:line="240" w:lineRule="auto"/>
        <w:ind w:left="714" w:hanging="357"/>
        <w:contextualSpacing w:val="0"/>
        <w:textAlignment w:val="baseline"/>
        <w:rPr>
          <w:rFonts w:eastAsiaTheme="majorEastAsia" w:cs="Arial"/>
          <w:lang w:eastAsia="en-AU"/>
        </w:rPr>
      </w:pPr>
      <w:r w:rsidRPr="27F845C1">
        <w:rPr>
          <w:rFonts w:eastAsiaTheme="majorEastAsia" w:cs="Arial"/>
          <w:lang w:eastAsia="en-AU"/>
        </w:rPr>
        <w:t>t</w:t>
      </w:r>
      <w:r w:rsidR="310BD91C" w:rsidRPr="27F845C1">
        <w:rPr>
          <w:rFonts w:eastAsiaTheme="majorEastAsia" w:cs="Arial"/>
          <w:lang w:eastAsia="en-AU"/>
        </w:rPr>
        <w:t>he proposed reduction is health-based</w:t>
      </w:r>
      <w:r w:rsidR="00464AAD">
        <w:rPr>
          <w:rStyle w:val="FootnoteReference"/>
          <w:rFonts w:eastAsiaTheme="majorEastAsia" w:cs="Arial"/>
          <w:lang w:eastAsia="en-AU"/>
        </w:rPr>
        <w:footnoteReference w:id="28"/>
      </w:r>
      <w:r w:rsidR="310BD91C" w:rsidRPr="27F845C1">
        <w:rPr>
          <w:rFonts w:eastAsiaTheme="majorEastAsia" w:cs="Arial"/>
          <w:lang w:eastAsia="en-AU"/>
        </w:rPr>
        <w:t xml:space="preserve"> and can be practically implemented and enforced</w:t>
      </w:r>
      <w:r w:rsidR="00464AAD">
        <w:rPr>
          <w:rStyle w:val="FootnoteReference"/>
          <w:rFonts w:eastAsiaTheme="majorEastAsia" w:cs="Arial"/>
          <w:lang w:eastAsia="en-AU"/>
        </w:rPr>
        <w:footnoteReference w:id="29"/>
      </w:r>
      <w:r w:rsidR="00994AF4">
        <w:rPr>
          <w:rFonts w:eastAsiaTheme="majorEastAsia" w:cs="Arial"/>
          <w:lang w:eastAsia="en-AU"/>
        </w:rPr>
        <w:t>,</w:t>
      </w:r>
    </w:p>
    <w:p w14:paraId="6D7D4228" w14:textId="5935CE6F" w:rsidR="009911EB" w:rsidRPr="009911EB" w:rsidRDefault="310BD91C" w:rsidP="00EC5F6E">
      <w:pPr>
        <w:numPr>
          <w:ilvl w:val="0"/>
          <w:numId w:val="29"/>
        </w:numPr>
        <w:spacing w:before="120" w:line="240" w:lineRule="auto"/>
        <w:ind w:left="714" w:hanging="357"/>
        <w:contextualSpacing w:val="0"/>
        <w:textAlignment w:val="baseline"/>
        <w:rPr>
          <w:rFonts w:eastAsiaTheme="majorEastAsia" w:cs="Arial"/>
          <w:lang w:eastAsia="en-AU"/>
        </w:rPr>
      </w:pPr>
      <w:r w:rsidRPr="27F845C1">
        <w:rPr>
          <w:rFonts w:eastAsiaTheme="majorEastAsia" w:cs="Arial"/>
          <w:lang w:eastAsia="en-AU"/>
        </w:rPr>
        <w:t>it would provide better protection for workers who are exposed to benzene from developing occupational diseases</w:t>
      </w:r>
      <w:r w:rsidR="000A21BB" w:rsidRPr="00D407FE">
        <w:rPr>
          <w:rStyle w:val="FootnoteReference"/>
          <w:rFonts w:eastAsiaTheme="majorEastAsia" w:cs="Arial"/>
          <w:lang w:eastAsia="en-AU"/>
        </w:rPr>
        <w:footnoteReference w:id="30"/>
      </w:r>
      <w:r w:rsidR="00994AF4">
        <w:rPr>
          <w:rFonts w:eastAsiaTheme="majorEastAsia" w:cs="Arial"/>
          <w:lang w:eastAsia="en-AU"/>
        </w:rPr>
        <w:t>,</w:t>
      </w:r>
    </w:p>
    <w:p w14:paraId="795FF309" w14:textId="348D0345" w:rsidR="009911EB" w:rsidRPr="009911EB" w:rsidRDefault="1151D8B9" w:rsidP="00EC5F6E">
      <w:pPr>
        <w:numPr>
          <w:ilvl w:val="0"/>
          <w:numId w:val="29"/>
        </w:numPr>
        <w:spacing w:before="120" w:line="240" w:lineRule="auto"/>
        <w:ind w:left="714" w:hanging="357"/>
        <w:contextualSpacing w:val="0"/>
        <w:textAlignment w:val="baseline"/>
        <w:rPr>
          <w:rFonts w:eastAsiaTheme="majorEastAsia" w:cs="Arial"/>
          <w:lang w:eastAsia="en-AU"/>
        </w:rPr>
      </w:pPr>
      <w:r w:rsidRPr="38BC45CC">
        <w:rPr>
          <w:rFonts w:eastAsiaTheme="majorEastAsia" w:cs="Arial"/>
          <w:lang w:eastAsia="en-AU"/>
        </w:rPr>
        <w:t>i</w:t>
      </w:r>
      <w:r w:rsidR="310BD91C" w:rsidRPr="38BC45CC">
        <w:rPr>
          <w:rFonts w:eastAsiaTheme="majorEastAsia" w:cs="Arial"/>
          <w:lang w:eastAsia="en-AU"/>
        </w:rPr>
        <w:t>t</w:t>
      </w:r>
      <w:r w:rsidR="310BD91C" w:rsidRPr="27F845C1">
        <w:rPr>
          <w:rFonts w:eastAsiaTheme="majorEastAsia" w:cs="Arial"/>
          <w:lang w:eastAsia="en-AU"/>
        </w:rPr>
        <w:t xml:space="preserve"> would raise awareness </w:t>
      </w:r>
      <w:r w:rsidR="006C5EBE">
        <w:rPr>
          <w:rFonts w:eastAsiaTheme="majorEastAsia" w:cs="Arial"/>
          <w:lang w:eastAsia="en-AU"/>
        </w:rPr>
        <w:t>of</w:t>
      </w:r>
      <w:r w:rsidR="310BD91C" w:rsidRPr="27F845C1">
        <w:rPr>
          <w:rFonts w:eastAsiaTheme="majorEastAsia" w:cs="Arial"/>
          <w:lang w:eastAsia="en-AU"/>
        </w:rPr>
        <w:t xml:space="preserve"> the risks associated </w:t>
      </w:r>
      <w:r w:rsidR="006C5EBE">
        <w:rPr>
          <w:rFonts w:eastAsiaTheme="majorEastAsia" w:cs="Arial"/>
          <w:lang w:eastAsia="en-AU"/>
        </w:rPr>
        <w:t>with</w:t>
      </w:r>
      <w:r w:rsidR="310BD91C" w:rsidRPr="27F845C1">
        <w:rPr>
          <w:rFonts w:eastAsiaTheme="majorEastAsia" w:cs="Arial"/>
          <w:lang w:eastAsia="en-AU"/>
        </w:rPr>
        <w:t xml:space="preserve"> benzene and promote substituting </w:t>
      </w:r>
      <w:r w:rsidR="0081758E">
        <w:rPr>
          <w:rFonts w:eastAsiaTheme="majorEastAsia" w:cs="Arial"/>
          <w:lang w:eastAsia="en-AU"/>
        </w:rPr>
        <w:t>with</w:t>
      </w:r>
      <w:r w:rsidR="00557C77">
        <w:rPr>
          <w:rFonts w:eastAsiaTheme="majorEastAsia" w:cs="Arial"/>
          <w:lang w:eastAsia="en-AU"/>
        </w:rPr>
        <w:t xml:space="preserve"> </w:t>
      </w:r>
      <w:r w:rsidR="310BD91C" w:rsidRPr="27F845C1">
        <w:rPr>
          <w:rFonts w:eastAsiaTheme="majorEastAsia" w:cs="Arial"/>
          <w:lang w:eastAsia="en-AU"/>
        </w:rPr>
        <w:t>benzene-</w:t>
      </w:r>
      <w:r w:rsidR="00557C77">
        <w:rPr>
          <w:rFonts w:eastAsiaTheme="majorEastAsia" w:cs="Arial"/>
          <w:lang w:eastAsia="en-AU"/>
        </w:rPr>
        <w:t>free</w:t>
      </w:r>
      <w:r w:rsidR="00557C77" w:rsidRPr="27F845C1">
        <w:rPr>
          <w:rFonts w:eastAsiaTheme="majorEastAsia" w:cs="Arial"/>
          <w:lang w:eastAsia="en-AU"/>
        </w:rPr>
        <w:t xml:space="preserve"> </w:t>
      </w:r>
      <w:r w:rsidR="310BD91C" w:rsidRPr="27F845C1">
        <w:rPr>
          <w:rFonts w:eastAsiaTheme="majorEastAsia" w:cs="Arial"/>
          <w:lang w:eastAsia="en-AU"/>
        </w:rPr>
        <w:t>products</w:t>
      </w:r>
      <w:r w:rsidR="00D407FE">
        <w:rPr>
          <w:rStyle w:val="FootnoteReference"/>
          <w:rFonts w:eastAsiaTheme="majorEastAsia" w:cs="Arial"/>
          <w:lang w:eastAsia="en-AU"/>
        </w:rPr>
        <w:footnoteReference w:id="31"/>
      </w:r>
      <w:r w:rsidR="310BD91C" w:rsidRPr="27F845C1">
        <w:rPr>
          <w:rFonts w:eastAsiaTheme="majorEastAsia" w:cs="Arial"/>
          <w:lang w:eastAsia="en-AU"/>
        </w:rPr>
        <w:t>, and</w:t>
      </w:r>
    </w:p>
    <w:p w14:paraId="70FB9FDF" w14:textId="7D64221C" w:rsidR="009911EB" w:rsidRPr="009911EB" w:rsidRDefault="009911EB" w:rsidP="00B57E6C">
      <w:pPr>
        <w:numPr>
          <w:ilvl w:val="0"/>
          <w:numId w:val="29"/>
        </w:numPr>
        <w:spacing w:before="120" w:after="0" w:line="240" w:lineRule="auto"/>
        <w:contextualSpacing w:val="0"/>
        <w:textAlignment w:val="baseline"/>
        <w:rPr>
          <w:rFonts w:eastAsiaTheme="majorEastAsia" w:cs="Arial"/>
          <w:szCs w:val="22"/>
          <w:lang w:eastAsia="en-AU"/>
        </w:rPr>
      </w:pPr>
      <w:r w:rsidRPr="009911EB">
        <w:rPr>
          <w:rFonts w:eastAsiaTheme="majorEastAsia" w:cs="Arial"/>
          <w:szCs w:val="22"/>
          <w:lang w:eastAsia="en-AU"/>
        </w:rPr>
        <w:lastRenderedPageBreak/>
        <w:t>it would reinforce Australia’s commitment to preventing cancer in occupational settings</w:t>
      </w:r>
      <w:r w:rsidR="007E2D10">
        <w:rPr>
          <w:rStyle w:val="FootnoteReference"/>
          <w:rFonts w:eastAsiaTheme="majorEastAsia" w:cs="Arial"/>
          <w:szCs w:val="22"/>
          <w:lang w:eastAsia="en-AU"/>
        </w:rPr>
        <w:footnoteReference w:id="32"/>
      </w:r>
      <w:r w:rsidRPr="009911EB">
        <w:rPr>
          <w:rFonts w:eastAsiaTheme="majorEastAsia" w:cs="Arial"/>
          <w:szCs w:val="22"/>
          <w:lang w:eastAsia="en-AU"/>
        </w:rPr>
        <w:t xml:space="preserve">. </w:t>
      </w:r>
    </w:p>
    <w:p w14:paraId="75F571B2" w14:textId="20C34B22" w:rsidR="009911EB" w:rsidRPr="009911EB" w:rsidRDefault="009911EB" w:rsidP="00EC5F6E">
      <w:pPr>
        <w:spacing w:before="240"/>
        <w:contextualSpacing w:val="0"/>
        <w:textAlignment w:val="baseline"/>
        <w:rPr>
          <w:rFonts w:eastAsiaTheme="majorEastAsia" w:cs="Arial"/>
          <w:szCs w:val="22"/>
          <w:lang w:eastAsia="en-AU"/>
        </w:rPr>
      </w:pPr>
      <w:r w:rsidRPr="009911EB">
        <w:rPr>
          <w:rFonts w:eastAsiaTheme="majorEastAsia" w:cs="Arial"/>
          <w:szCs w:val="22"/>
          <w:lang w:eastAsia="en-AU"/>
        </w:rPr>
        <w:t>A minority of submissions (6</w:t>
      </w:r>
      <w:r w:rsidR="00C725E3">
        <w:rPr>
          <w:rFonts w:eastAsiaTheme="majorEastAsia" w:cs="Arial"/>
          <w:szCs w:val="22"/>
          <w:lang w:eastAsia="en-AU"/>
        </w:rPr>
        <w:t xml:space="preserve"> out of 20</w:t>
      </w:r>
      <w:r w:rsidRPr="009911EB">
        <w:rPr>
          <w:rFonts w:eastAsiaTheme="majorEastAsia" w:cs="Arial"/>
          <w:szCs w:val="22"/>
          <w:lang w:eastAsia="en-AU"/>
        </w:rPr>
        <w:t>) supported retention of the current TWA of 1 ppm (3.2 mg/m</w:t>
      </w:r>
      <w:r w:rsidRPr="009911EB">
        <w:rPr>
          <w:rFonts w:eastAsiaTheme="majorEastAsia" w:cs="Arial"/>
          <w:szCs w:val="22"/>
          <w:vertAlign w:val="superscript"/>
          <w:lang w:eastAsia="en-AU"/>
        </w:rPr>
        <w:t>3</w:t>
      </w:r>
      <w:r w:rsidRPr="009911EB">
        <w:rPr>
          <w:rFonts w:eastAsiaTheme="majorEastAsia" w:cs="Arial"/>
          <w:szCs w:val="22"/>
          <w:lang w:eastAsia="en-AU"/>
        </w:rPr>
        <w:t>) for benzene</w:t>
      </w:r>
      <w:r w:rsidR="003C42FC">
        <w:rPr>
          <w:rFonts w:eastAsiaTheme="majorEastAsia" w:cs="Arial"/>
          <w:szCs w:val="22"/>
          <w:lang w:eastAsia="en-AU"/>
        </w:rPr>
        <w:t xml:space="preserve"> (Option 1)</w:t>
      </w:r>
      <w:r w:rsidRPr="009911EB">
        <w:rPr>
          <w:rFonts w:eastAsiaTheme="majorEastAsia" w:cs="Arial"/>
          <w:szCs w:val="22"/>
          <w:lang w:eastAsia="en-AU"/>
        </w:rPr>
        <w:t xml:space="preserve">. These submissions came from industry bodies, academics and government. </w:t>
      </w:r>
      <w:r w:rsidR="005A5172">
        <w:rPr>
          <w:rFonts w:eastAsiaTheme="majorEastAsia" w:cs="Arial"/>
          <w:szCs w:val="22"/>
          <w:lang w:eastAsia="en-AU"/>
        </w:rPr>
        <w:t xml:space="preserve">Stakeholders </w:t>
      </w:r>
      <w:r w:rsidR="006C5EBE">
        <w:rPr>
          <w:rFonts w:eastAsiaTheme="majorEastAsia" w:cs="Arial"/>
          <w:szCs w:val="22"/>
          <w:lang w:eastAsia="en-AU"/>
        </w:rPr>
        <w:t xml:space="preserve">who supported Option 1 </w:t>
      </w:r>
      <w:r w:rsidR="005A5172">
        <w:rPr>
          <w:rFonts w:eastAsiaTheme="majorEastAsia" w:cs="Arial"/>
          <w:szCs w:val="22"/>
          <w:lang w:eastAsia="en-AU"/>
        </w:rPr>
        <w:t>noted</w:t>
      </w:r>
      <w:r w:rsidR="006C5EBE">
        <w:rPr>
          <w:rFonts w:eastAsiaTheme="majorEastAsia" w:cs="Arial"/>
          <w:szCs w:val="22"/>
          <w:lang w:eastAsia="en-AU"/>
        </w:rPr>
        <w:t xml:space="preserve"> their</w:t>
      </w:r>
      <w:r w:rsidR="005A5172">
        <w:rPr>
          <w:rFonts w:eastAsiaTheme="majorEastAsia" w:cs="Arial"/>
          <w:szCs w:val="22"/>
          <w:lang w:eastAsia="en-AU"/>
        </w:rPr>
        <w:t xml:space="preserve"> s</w:t>
      </w:r>
      <w:r w:rsidRPr="009911EB">
        <w:rPr>
          <w:rFonts w:eastAsiaTheme="majorEastAsia" w:cs="Arial"/>
          <w:szCs w:val="22"/>
          <w:lang w:eastAsia="en-AU"/>
        </w:rPr>
        <w:t xml:space="preserve">upport </w:t>
      </w:r>
      <w:r w:rsidR="006C5EBE">
        <w:rPr>
          <w:rFonts w:eastAsiaTheme="majorEastAsia" w:cs="Arial"/>
          <w:szCs w:val="22"/>
          <w:lang w:eastAsia="en-AU"/>
        </w:rPr>
        <w:t>is</w:t>
      </w:r>
      <w:r w:rsidRPr="009911EB">
        <w:rPr>
          <w:rFonts w:eastAsiaTheme="majorEastAsia" w:cs="Arial"/>
          <w:szCs w:val="22"/>
          <w:lang w:eastAsia="en-AU"/>
        </w:rPr>
        <w:t xml:space="preserve"> based on:</w:t>
      </w:r>
    </w:p>
    <w:p w14:paraId="6417AE1A" w14:textId="46430BD8" w:rsidR="009911EB" w:rsidRPr="009911EB" w:rsidRDefault="47F462B3" w:rsidP="00EC5F6E">
      <w:pPr>
        <w:numPr>
          <w:ilvl w:val="0"/>
          <w:numId w:val="30"/>
        </w:numPr>
        <w:spacing w:before="120" w:line="240" w:lineRule="auto"/>
        <w:ind w:left="714" w:hanging="357"/>
        <w:contextualSpacing w:val="0"/>
        <w:textAlignment w:val="baseline"/>
        <w:rPr>
          <w:rFonts w:eastAsiaTheme="majorEastAsia" w:cs="Arial"/>
          <w:lang w:eastAsia="en-AU"/>
        </w:rPr>
      </w:pPr>
      <w:r w:rsidRPr="27F845C1">
        <w:rPr>
          <w:rFonts w:eastAsiaTheme="majorEastAsia" w:cs="Arial"/>
          <w:lang w:eastAsia="en-AU"/>
        </w:rPr>
        <w:t xml:space="preserve">their view </w:t>
      </w:r>
      <w:r w:rsidR="310BD91C" w:rsidRPr="27F845C1">
        <w:rPr>
          <w:rFonts w:eastAsiaTheme="majorEastAsia" w:cs="Arial"/>
          <w:lang w:eastAsia="en-AU"/>
        </w:rPr>
        <w:t>that benzene exposure is limited in practice, and controls currently used are sufficiently protecting workers</w:t>
      </w:r>
      <w:r w:rsidR="005C449F">
        <w:rPr>
          <w:rStyle w:val="FootnoteReference"/>
          <w:rFonts w:eastAsiaTheme="majorEastAsia" w:cs="Arial"/>
          <w:lang w:eastAsia="en-AU"/>
        </w:rPr>
        <w:footnoteReference w:id="33"/>
      </w:r>
      <w:r w:rsidR="00994AF4">
        <w:rPr>
          <w:rFonts w:eastAsiaTheme="majorEastAsia" w:cs="Arial"/>
          <w:lang w:eastAsia="en-AU"/>
        </w:rPr>
        <w:t>,</w:t>
      </w:r>
      <w:r w:rsidR="310BD91C" w:rsidRPr="27F845C1">
        <w:rPr>
          <w:rFonts w:eastAsiaTheme="majorEastAsia" w:cs="Arial"/>
          <w:lang w:eastAsia="en-AU"/>
        </w:rPr>
        <w:t xml:space="preserve"> </w:t>
      </w:r>
    </w:p>
    <w:p w14:paraId="7B7F0E02" w14:textId="0A5FBF38" w:rsidR="009911EB" w:rsidRPr="009911EB" w:rsidRDefault="76906AD4" w:rsidP="00EC5F6E">
      <w:pPr>
        <w:numPr>
          <w:ilvl w:val="0"/>
          <w:numId w:val="30"/>
        </w:numPr>
        <w:spacing w:before="120" w:line="240" w:lineRule="auto"/>
        <w:ind w:left="714" w:hanging="357"/>
        <w:contextualSpacing w:val="0"/>
        <w:textAlignment w:val="baseline"/>
        <w:rPr>
          <w:rFonts w:eastAsiaTheme="majorEastAsia" w:cs="Arial"/>
          <w:lang w:eastAsia="en-AU"/>
        </w:rPr>
      </w:pPr>
      <w:r w:rsidRPr="27F845C1">
        <w:rPr>
          <w:rFonts w:eastAsiaTheme="majorEastAsia" w:cs="Arial"/>
          <w:lang w:eastAsia="en-AU"/>
        </w:rPr>
        <w:t xml:space="preserve">a suggestion that </w:t>
      </w:r>
      <w:r w:rsidR="310BD91C" w:rsidRPr="27F845C1">
        <w:rPr>
          <w:rFonts w:eastAsiaTheme="majorEastAsia" w:cs="Arial"/>
          <w:lang w:eastAsia="en-AU"/>
        </w:rPr>
        <w:t>the consultation report d</w:t>
      </w:r>
      <w:r w:rsidRPr="27F845C1">
        <w:rPr>
          <w:rFonts w:eastAsiaTheme="majorEastAsia" w:cs="Arial"/>
          <w:lang w:eastAsia="en-AU"/>
        </w:rPr>
        <w:t>id</w:t>
      </w:r>
      <w:r w:rsidR="310BD91C" w:rsidRPr="27F845C1">
        <w:rPr>
          <w:rFonts w:eastAsiaTheme="majorEastAsia" w:cs="Arial"/>
          <w:lang w:eastAsia="en-AU"/>
        </w:rPr>
        <w:t xml:space="preserve"> not establish a problem with the current exposure standards that require</w:t>
      </w:r>
      <w:r w:rsidRPr="27F845C1">
        <w:rPr>
          <w:rFonts w:eastAsiaTheme="majorEastAsia" w:cs="Arial"/>
          <w:lang w:eastAsia="en-AU"/>
        </w:rPr>
        <w:t>d</w:t>
      </w:r>
      <w:r w:rsidR="310BD91C" w:rsidRPr="27F845C1">
        <w:rPr>
          <w:rFonts w:eastAsiaTheme="majorEastAsia" w:cs="Arial"/>
          <w:lang w:eastAsia="en-AU"/>
        </w:rPr>
        <w:t xml:space="preserve"> government intervention</w:t>
      </w:r>
      <w:r w:rsidR="00A917F5">
        <w:rPr>
          <w:rStyle w:val="FootnoteReference"/>
          <w:rFonts w:eastAsiaTheme="majorEastAsia" w:cs="Arial"/>
          <w:lang w:eastAsia="en-AU"/>
        </w:rPr>
        <w:footnoteReference w:id="34"/>
      </w:r>
      <w:r w:rsidR="00994AF4">
        <w:rPr>
          <w:rFonts w:eastAsiaTheme="majorEastAsia" w:cs="Arial"/>
          <w:lang w:eastAsia="en-AU"/>
        </w:rPr>
        <w:t>,</w:t>
      </w:r>
    </w:p>
    <w:p w14:paraId="54495883" w14:textId="6D448DA4" w:rsidR="009911EB" w:rsidRPr="009911EB" w:rsidRDefault="009911EB" w:rsidP="00B57E6C">
      <w:pPr>
        <w:numPr>
          <w:ilvl w:val="0"/>
          <w:numId w:val="30"/>
        </w:numPr>
        <w:spacing w:before="120" w:after="0" w:line="240" w:lineRule="auto"/>
        <w:ind w:left="714" w:hanging="357"/>
        <w:contextualSpacing w:val="0"/>
        <w:textAlignment w:val="baseline"/>
        <w:rPr>
          <w:rFonts w:eastAsiaTheme="majorEastAsia" w:cs="Arial"/>
          <w:szCs w:val="22"/>
          <w:lang w:eastAsia="en-AU"/>
        </w:rPr>
      </w:pPr>
      <w:r w:rsidRPr="009911EB">
        <w:rPr>
          <w:rFonts w:eastAsiaTheme="majorEastAsia" w:cs="Arial"/>
          <w:szCs w:val="22"/>
          <w:lang w:eastAsia="en-AU"/>
        </w:rPr>
        <w:t>the preliminary</w:t>
      </w:r>
      <w:r w:rsidR="00CE116F">
        <w:rPr>
          <w:rFonts w:eastAsiaTheme="majorEastAsia" w:cs="Arial"/>
          <w:szCs w:val="22"/>
          <w:lang w:eastAsia="en-AU"/>
        </w:rPr>
        <w:t xml:space="preserve"> estimates</w:t>
      </w:r>
      <w:r w:rsidR="00477476">
        <w:rPr>
          <w:rFonts w:eastAsiaTheme="majorEastAsia" w:cs="Arial"/>
          <w:szCs w:val="22"/>
          <w:lang w:eastAsia="en-AU"/>
        </w:rPr>
        <w:t>,</w:t>
      </w:r>
      <w:r w:rsidR="0090582C">
        <w:rPr>
          <w:rFonts w:eastAsiaTheme="majorEastAsia" w:cs="Arial"/>
          <w:szCs w:val="22"/>
          <w:lang w:eastAsia="en-AU"/>
        </w:rPr>
        <w:t xml:space="preserve"> by Nous Group</w:t>
      </w:r>
      <w:r w:rsidR="00477476">
        <w:rPr>
          <w:rFonts w:eastAsiaTheme="majorEastAsia" w:cs="Arial"/>
          <w:szCs w:val="22"/>
          <w:lang w:eastAsia="en-AU"/>
        </w:rPr>
        <w:t>,</w:t>
      </w:r>
      <w:r w:rsidR="00CE116F">
        <w:rPr>
          <w:rFonts w:eastAsiaTheme="majorEastAsia" w:cs="Arial"/>
          <w:szCs w:val="22"/>
          <w:lang w:eastAsia="en-AU"/>
        </w:rPr>
        <w:t xml:space="preserve"> of</w:t>
      </w:r>
      <w:r w:rsidRPr="009911EB">
        <w:rPr>
          <w:rFonts w:eastAsiaTheme="majorEastAsia" w:cs="Arial"/>
          <w:szCs w:val="22"/>
          <w:lang w:eastAsia="en-AU"/>
        </w:rPr>
        <w:t xml:space="preserve"> </w:t>
      </w:r>
      <w:r w:rsidR="0090582C">
        <w:rPr>
          <w:rFonts w:eastAsiaTheme="majorEastAsia" w:cs="Arial"/>
          <w:szCs w:val="22"/>
          <w:lang w:eastAsia="en-AU"/>
        </w:rPr>
        <w:t xml:space="preserve">the </w:t>
      </w:r>
      <w:r w:rsidRPr="009911EB">
        <w:rPr>
          <w:rFonts w:eastAsiaTheme="majorEastAsia" w:cs="Arial"/>
          <w:szCs w:val="22"/>
          <w:lang w:eastAsia="en-AU"/>
        </w:rPr>
        <w:t>cost</w:t>
      </w:r>
      <w:r w:rsidR="00CE116F">
        <w:rPr>
          <w:rFonts w:eastAsiaTheme="majorEastAsia" w:cs="Arial"/>
          <w:szCs w:val="22"/>
          <w:lang w:eastAsia="en-AU"/>
        </w:rPr>
        <w:t xml:space="preserve">s and </w:t>
      </w:r>
      <w:r w:rsidRPr="009911EB">
        <w:rPr>
          <w:rFonts w:eastAsiaTheme="majorEastAsia" w:cs="Arial"/>
          <w:szCs w:val="22"/>
          <w:lang w:eastAsia="en-AU"/>
        </w:rPr>
        <w:t>benefit</w:t>
      </w:r>
      <w:r w:rsidR="00CE116F">
        <w:rPr>
          <w:rFonts w:eastAsiaTheme="majorEastAsia" w:cs="Arial"/>
          <w:szCs w:val="22"/>
          <w:lang w:eastAsia="en-AU"/>
        </w:rPr>
        <w:t>s</w:t>
      </w:r>
      <w:r w:rsidRPr="009911EB">
        <w:rPr>
          <w:rFonts w:eastAsiaTheme="majorEastAsia" w:cs="Arial"/>
          <w:szCs w:val="22"/>
          <w:lang w:eastAsia="en-AU"/>
        </w:rPr>
        <w:t xml:space="preserve"> for benzene</w:t>
      </w:r>
      <w:r w:rsidR="00034415">
        <w:rPr>
          <w:rFonts w:eastAsiaTheme="majorEastAsia" w:cs="Arial"/>
          <w:szCs w:val="22"/>
          <w:lang w:eastAsia="en-AU"/>
        </w:rPr>
        <w:t xml:space="preserve">, which </w:t>
      </w:r>
      <w:r w:rsidR="0090582C">
        <w:rPr>
          <w:rFonts w:eastAsiaTheme="majorEastAsia" w:cs="Arial"/>
          <w:szCs w:val="22"/>
          <w:lang w:eastAsia="en-AU"/>
        </w:rPr>
        <w:t>suggests</w:t>
      </w:r>
      <w:r w:rsidR="00F8610B">
        <w:rPr>
          <w:rFonts w:eastAsiaTheme="majorEastAsia" w:cs="Arial"/>
          <w:szCs w:val="22"/>
          <w:lang w:eastAsia="en-AU"/>
        </w:rPr>
        <w:t xml:space="preserve"> the</w:t>
      </w:r>
      <w:r w:rsidRPr="009911EB">
        <w:rPr>
          <w:rFonts w:eastAsiaTheme="majorEastAsia" w:cs="Arial"/>
          <w:szCs w:val="22"/>
          <w:lang w:eastAsia="en-AU"/>
        </w:rPr>
        <w:t xml:space="preserve"> </w:t>
      </w:r>
      <w:r w:rsidR="00BB4628">
        <w:rPr>
          <w:rFonts w:eastAsiaTheme="majorEastAsia" w:cs="Arial"/>
          <w:szCs w:val="22"/>
          <w:lang w:eastAsia="en-AU"/>
        </w:rPr>
        <w:t xml:space="preserve">estimated </w:t>
      </w:r>
      <w:r w:rsidRPr="009911EB">
        <w:rPr>
          <w:rFonts w:eastAsiaTheme="majorEastAsia" w:cs="Arial"/>
          <w:szCs w:val="22"/>
          <w:lang w:eastAsia="en-AU"/>
        </w:rPr>
        <w:t xml:space="preserve">costs for Option 2 </w:t>
      </w:r>
      <w:r w:rsidR="00BB4628">
        <w:rPr>
          <w:rFonts w:eastAsiaTheme="majorEastAsia" w:cs="Arial"/>
          <w:szCs w:val="22"/>
          <w:lang w:eastAsia="en-AU"/>
        </w:rPr>
        <w:t>were higher than the estimated</w:t>
      </w:r>
      <w:r w:rsidRPr="009911EB">
        <w:rPr>
          <w:rFonts w:eastAsiaTheme="majorEastAsia" w:cs="Arial"/>
          <w:szCs w:val="22"/>
          <w:lang w:eastAsia="en-AU"/>
        </w:rPr>
        <w:t xml:space="preserve"> benefits</w:t>
      </w:r>
      <w:r w:rsidR="00F25756">
        <w:rPr>
          <w:rFonts w:eastAsiaTheme="majorEastAsia" w:cs="Arial"/>
          <w:szCs w:val="22"/>
          <w:lang w:eastAsia="en-AU"/>
        </w:rPr>
        <w:t>)</w:t>
      </w:r>
      <w:r w:rsidR="00DB75C8">
        <w:rPr>
          <w:rStyle w:val="FootnoteReference"/>
          <w:rFonts w:eastAsiaTheme="majorEastAsia" w:cs="Arial"/>
          <w:szCs w:val="22"/>
          <w:lang w:eastAsia="en-AU"/>
        </w:rPr>
        <w:footnoteReference w:id="35"/>
      </w:r>
      <w:r w:rsidR="00F25756">
        <w:rPr>
          <w:rFonts w:eastAsiaTheme="majorEastAsia" w:cs="Arial"/>
          <w:szCs w:val="22"/>
          <w:lang w:eastAsia="en-AU"/>
        </w:rPr>
        <w:t xml:space="preserve">, </w:t>
      </w:r>
      <w:r w:rsidRPr="009911EB">
        <w:rPr>
          <w:rFonts w:eastAsiaTheme="majorEastAsia" w:cs="Arial"/>
          <w:szCs w:val="22"/>
          <w:lang w:eastAsia="en-AU"/>
        </w:rPr>
        <w:t>and</w:t>
      </w:r>
    </w:p>
    <w:p w14:paraId="1CD5881D" w14:textId="79FAC80F" w:rsidR="009911EB" w:rsidRPr="009911EB" w:rsidRDefault="009911EB" w:rsidP="00B57E6C">
      <w:pPr>
        <w:numPr>
          <w:ilvl w:val="0"/>
          <w:numId w:val="30"/>
        </w:numPr>
        <w:spacing w:before="120" w:after="240" w:line="240" w:lineRule="auto"/>
        <w:ind w:left="714" w:hanging="357"/>
        <w:contextualSpacing w:val="0"/>
        <w:textAlignment w:val="baseline"/>
        <w:rPr>
          <w:rFonts w:eastAsiaTheme="majorEastAsia" w:cs="Arial"/>
          <w:sz w:val="24"/>
          <w:lang w:eastAsia="en-AU"/>
        </w:rPr>
      </w:pPr>
      <w:r w:rsidRPr="009911EB">
        <w:rPr>
          <w:rFonts w:eastAsiaTheme="majorEastAsia" w:cs="Arial"/>
          <w:szCs w:val="22"/>
          <w:lang w:eastAsia="en-AU"/>
        </w:rPr>
        <w:t xml:space="preserve"> </w:t>
      </w:r>
      <w:r w:rsidR="00AA01C3">
        <w:rPr>
          <w:rFonts w:eastAsiaTheme="majorEastAsia" w:cs="Arial"/>
          <w:szCs w:val="22"/>
          <w:lang w:eastAsia="en-AU"/>
        </w:rPr>
        <w:t xml:space="preserve">the </w:t>
      </w:r>
      <w:r w:rsidRPr="009911EB">
        <w:rPr>
          <w:rFonts w:eastAsiaTheme="majorEastAsia" w:cs="Arial"/>
          <w:szCs w:val="22"/>
          <w:lang w:eastAsia="en-AU"/>
        </w:rPr>
        <w:t>practical and feasibility issues such as measurement, compliance and costs</w:t>
      </w:r>
      <w:r w:rsidR="00BB5A9F" w:rsidRPr="00BB5A9F">
        <w:rPr>
          <w:rFonts w:eastAsiaTheme="majorEastAsia" w:cs="Arial"/>
          <w:szCs w:val="22"/>
          <w:vertAlign w:val="superscript"/>
          <w:lang w:eastAsia="en-AU"/>
        </w:rPr>
        <w:footnoteReference w:id="36"/>
      </w:r>
      <w:r w:rsidRPr="009911EB">
        <w:rPr>
          <w:rFonts w:eastAsiaTheme="majorEastAsia" w:cs="Arial"/>
          <w:szCs w:val="22"/>
          <w:lang w:eastAsia="en-AU"/>
        </w:rPr>
        <w:t xml:space="preserve">. </w:t>
      </w:r>
    </w:p>
    <w:p w14:paraId="46D370F0" w14:textId="4E232815" w:rsidR="009911EB" w:rsidRPr="009911EB" w:rsidRDefault="009911EB" w:rsidP="00B53540">
      <w:pPr>
        <w:spacing w:before="120" w:after="240" w:line="240" w:lineRule="atLeast"/>
        <w:contextualSpacing w:val="0"/>
        <w:rPr>
          <w:rFonts w:cs="Arial"/>
        </w:rPr>
      </w:pPr>
      <w:r w:rsidRPr="009911EB">
        <w:rPr>
          <w:rFonts w:cs="Arial"/>
        </w:rPr>
        <w:t xml:space="preserve">One submission did not provide a </w:t>
      </w:r>
      <w:r w:rsidR="0046680A">
        <w:rPr>
          <w:rFonts w:cs="Arial"/>
        </w:rPr>
        <w:t>preferred</w:t>
      </w:r>
      <w:r w:rsidRPr="009911EB">
        <w:rPr>
          <w:rFonts w:cs="Arial"/>
        </w:rPr>
        <w:t xml:space="preserve"> option</w:t>
      </w:r>
      <w:r w:rsidR="004F62EF">
        <w:rPr>
          <w:rStyle w:val="FootnoteReference"/>
          <w:rFonts w:cs="Arial"/>
        </w:rPr>
        <w:footnoteReference w:id="37"/>
      </w:r>
      <w:r w:rsidRPr="009911EB">
        <w:rPr>
          <w:rFonts w:cs="Arial"/>
        </w:rPr>
        <w:t xml:space="preserve">. </w:t>
      </w:r>
    </w:p>
    <w:p w14:paraId="467C7F89" w14:textId="630A6E52" w:rsidR="00541DAA" w:rsidRDefault="00541DAA" w:rsidP="00AE5D4B">
      <w:pPr>
        <w:pStyle w:val="SWAHeading3"/>
        <w:keepNext/>
        <w:keepLines/>
      </w:pPr>
      <w:r>
        <w:t>Alternative WEL</w:t>
      </w:r>
      <w:r w:rsidR="00DF432E">
        <w:t>s suggested by stakeholders</w:t>
      </w:r>
    </w:p>
    <w:p w14:paraId="37ECF796" w14:textId="24D9CE7A" w:rsidR="00D10470" w:rsidRPr="00313366" w:rsidRDefault="00CB18CC" w:rsidP="00D10470">
      <w:pPr>
        <w:spacing w:line="240" w:lineRule="auto"/>
        <w:contextualSpacing w:val="0"/>
        <w:textAlignment w:val="baseline"/>
        <w:rPr>
          <w:rFonts w:ascii="Segoe UI" w:eastAsia="Times New Roman" w:hAnsi="Segoe UI" w:cs="Segoe UI"/>
          <w:sz w:val="18"/>
          <w:szCs w:val="18"/>
          <w:lang w:eastAsia="en-AU"/>
        </w:rPr>
      </w:pPr>
      <w:r w:rsidRPr="00CB18CC">
        <w:rPr>
          <w:rFonts w:eastAsiaTheme="majorEastAsia"/>
        </w:rPr>
        <w:t xml:space="preserve">Some stakeholders put forward alternative exposure limits in their submissions for </w:t>
      </w:r>
      <w:r>
        <w:rPr>
          <w:rFonts w:eastAsiaTheme="majorEastAsia"/>
        </w:rPr>
        <w:t>benzene</w:t>
      </w:r>
      <w:r w:rsidRPr="00CB18CC">
        <w:rPr>
          <w:rFonts w:eastAsiaTheme="majorEastAsia"/>
        </w:rPr>
        <w:t xml:space="preserve">. </w:t>
      </w:r>
      <w:r w:rsidR="00D10470" w:rsidRPr="00016321">
        <w:t xml:space="preserve">These were considered </w:t>
      </w:r>
      <w:r w:rsidR="00D10470">
        <w:t>against the criteria contained</w:t>
      </w:r>
      <w:r w:rsidR="00D10470" w:rsidRPr="00016321">
        <w:t xml:space="preserve"> with</w:t>
      </w:r>
      <w:r w:rsidR="00D10470">
        <w:t>in</w:t>
      </w:r>
      <w:r w:rsidR="00D10470" w:rsidRPr="00016321">
        <w:t xml:space="preserve"> the WES review methodology </w:t>
      </w:r>
      <w:r w:rsidR="00D10470">
        <w:t>agreed by WHS ministers.</w:t>
      </w:r>
      <w:r w:rsidR="00D10470" w:rsidRPr="00016321">
        <w:t xml:space="preserve"> </w:t>
      </w:r>
    </w:p>
    <w:p w14:paraId="7532CF9F" w14:textId="5C2120EA" w:rsidR="004445AB" w:rsidRDefault="008E034C" w:rsidP="007B4F80">
      <w:pPr>
        <w:pStyle w:val="Paragraph"/>
        <w:keepNext w:val="0"/>
        <w:rPr>
          <w:rFonts w:eastAsiaTheme="majorEastAsia"/>
          <w:lang w:eastAsia="en-US"/>
        </w:rPr>
      </w:pPr>
      <w:r>
        <w:rPr>
          <w:rFonts w:eastAsiaTheme="majorEastAsia"/>
          <w:lang w:eastAsia="en-US"/>
        </w:rPr>
        <w:t xml:space="preserve">Three submissions </w:t>
      </w:r>
      <w:r w:rsidR="00B82E5B">
        <w:rPr>
          <w:rFonts w:eastAsiaTheme="majorEastAsia"/>
          <w:lang w:eastAsia="en-US"/>
        </w:rPr>
        <w:t>suggested alternative WELs for benzene</w:t>
      </w:r>
      <w:r w:rsidR="000A3FD7">
        <w:rPr>
          <w:rFonts w:eastAsiaTheme="majorEastAsia"/>
          <w:lang w:eastAsia="en-US"/>
        </w:rPr>
        <w:t>:</w:t>
      </w:r>
      <w:r w:rsidR="00831BC9">
        <w:rPr>
          <w:rFonts w:eastAsiaTheme="majorEastAsia"/>
          <w:lang w:eastAsia="en-US"/>
        </w:rPr>
        <w:t xml:space="preserve"> </w:t>
      </w:r>
      <w:r w:rsidR="00F0552C">
        <w:rPr>
          <w:rFonts w:eastAsiaTheme="majorEastAsia"/>
          <w:lang w:eastAsia="en-US"/>
        </w:rPr>
        <w:t xml:space="preserve"> </w:t>
      </w:r>
    </w:p>
    <w:p w14:paraId="4165F217" w14:textId="0C1EA325" w:rsidR="00D463A4" w:rsidRDefault="004445AB" w:rsidP="007B4F80">
      <w:pPr>
        <w:pStyle w:val="Paragraph"/>
        <w:keepNext w:val="0"/>
        <w:numPr>
          <w:ilvl w:val="0"/>
          <w:numId w:val="162"/>
        </w:numPr>
        <w:ind w:hanging="357"/>
        <w:rPr>
          <w:rFonts w:eastAsiaTheme="majorEastAsia"/>
          <w:lang w:eastAsia="en-US"/>
        </w:rPr>
      </w:pPr>
      <w:r>
        <w:rPr>
          <w:rFonts w:eastAsiaTheme="majorEastAsia"/>
          <w:lang w:eastAsia="en-US"/>
        </w:rPr>
        <w:t>A</w:t>
      </w:r>
      <w:r w:rsidR="0092553C">
        <w:rPr>
          <w:rFonts w:eastAsiaTheme="majorEastAsia"/>
          <w:lang w:eastAsia="en-US"/>
        </w:rPr>
        <w:t xml:space="preserve"> TWA of 0.5 ppm, </w:t>
      </w:r>
      <w:r>
        <w:rPr>
          <w:rFonts w:eastAsiaTheme="majorEastAsia"/>
          <w:lang w:eastAsia="en-US"/>
        </w:rPr>
        <w:t>as</w:t>
      </w:r>
      <w:r w:rsidR="00C155A0">
        <w:rPr>
          <w:rFonts w:eastAsiaTheme="majorEastAsia"/>
          <w:lang w:eastAsia="en-US"/>
        </w:rPr>
        <w:t xml:space="preserve"> recommended </w:t>
      </w:r>
      <w:r w:rsidR="00D463A4">
        <w:rPr>
          <w:rFonts w:eastAsiaTheme="majorEastAsia"/>
          <w:lang w:eastAsia="en-US"/>
        </w:rPr>
        <w:t>in 2001 by</w:t>
      </w:r>
      <w:r w:rsidR="00C155A0">
        <w:rPr>
          <w:rFonts w:eastAsiaTheme="majorEastAsia"/>
          <w:lang w:eastAsia="en-US"/>
        </w:rPr>
        <w:t xml:space="preserve"> the American Conference of </w:t>
      </w:r>
      <w:r w:rsidR="00B64A10">
        <w:rPr>
          <w:rFonts w:eastAsiaTheme="majorEastAsia"/>
          <w:lang w:eastAsia="en-US"/>
        </w:rPr>
        <w:t xml:space="preserve">Governmental Industrial </w:t>
      </w:r>
      <w:r w:rsidR="002938D3">
        <w:rPr>
          <w:rFonts w:eastAsiaTheme="majorEastAsia"/>
          <w:lang w:eastAsia="en-US"/>
        </w:rPr>
        <w:t>Hygienists (</w:t>
      </w:r>
      <w:r w:rsidR="00831BC9">
        <w:rPr>
          <w:rFonts w:eastAsiaTheme="majorEastAsia"/>
          <w:lang w:eastAsia="en-US"/>
        </w:rPr>
        <w:t xml:space="preserve">ACGIH; </w:t>
      </w:r>
      <w:r w:rsidR="002938D3">
        <w:rPr>
          <w:rFonts w:eastAsiaTheme="majorEastAsia"/>
          <w:lang w:eastAsia="en-US"/>
        </w:rPr>
        <w:t xml:space="preserve">a primary source </w:t>
      </w:r>
      <w:r w:rsidR="00602B0B">
        <w:rPr>
          <w:rFonts w:eastAsiaTheme="majorEastAsia"/>
          <w:lang w:eastAsia="en-US"/>
        </w:rPr>
        <w:t>in the</w:t>
      </w:r>
      <w:r w:rsidR="00635B85">
        <w:rPr>
          <w:rFonts w:eastAsiaTheme="majorEastAsia"/>
          <w:lang w:eastAsia="en-US"/>
        </w:rPr>
        <w:t xml:space="preserve"> agreed </w:t>
      </w:r>
      <w:r w:rsidR="005442D7">
        <w:rPr>
          <w:rFonts w:eastAsiaTheme="majorEastAsia"/>
          <w:lang w:eastAsia="en-US"/>
        </w:rPr>
        <w:t>WES</w:t>
      </w:r>
      <w:r w:rsidR="002938D3">
        <w:rPr>
          <w:rFonts w:eastAsiaTheme="majorEastAsia"/>
          <w:lang w:eastAsia="en-US"/>
        </w:rPr>
        <w:t xml:space="preserve"> Review methodology)</w:t>
      </w:r>
      <w:r w:rsidR="00D40925">
        <w:rPr>
          <w:rStyle w:val="FootnoteReference"/>
          <w:rFonts w:eastAsiaTheme="majorEastAsia"/>
          <w:lang w:eastAsia="en-US"/>
        </w:rPr>
        <w:footnoteReference w:id="38"/>
      </w:r>
      <w:r w:rsidR="00D62FE2">
        <w:rPr>
          <w:rFonts w:eastAsiaTheme="majorEastAsia"/>
          <w:lang w:eastAsia="en-US"/>
        </w:rPr>
        <w:t xml:space="preserve">. </w:t>
      </w:r>
    </w:p>
    <w:p w14:paraId="1DDD523E" w14:textId="2439780C" w:rsidR="00B82E5B" w:rsidRDefault="005D0AE5" w:rsidP="007B4F80">
      <w:pPr>
        <w:pStyle w:val="Paragraph"/>
        <w:keepNext w:val="0"/>
        <w:numPr>
          <w:ilvl w:val="1"/>
          <w:numId w:val="162"/>
        </w:numPr>
        <w:ind w:hanging="357"/>
        <w:rPr>
          <w:rFonts w:eastAsiaTheme="majorEastAsia"/>
          <w:lang w:eastAsia="en-US"/>
        </w:rPr>
      </w:pPr>
      <w:r>
        <w:rPr>
          <w:rFonts w:eastAsiaTheme="majorEastAsia"/>
          <w:lang w:eastAsia="en-US"/>
        </w:rPr>
        <w:t xml:space="preserve">The 2001 recommendation by ACGIH was previously </w:t>
      </w:r>
      <w:r w:rsidR="00D62FE2">
        <w:rPr>
          <w:rFonts w:eastAsiaTheme="majorEastAsia"/>
          <w:lang w:eastAsia="en-US"/>
        </w:rPr>
        <w:t>considered</w:t>
      </w:r>
      <w:r w:rsidR="00BB0513">
        <w:rPr>
          <w:rFonts w:eastAsiaTheme="majorEastAsia"/>
          <w:lang w:eastAsia="en-US"/>
        </w:rPr>
        <w:t xml:space="preserve"> as part of the </w:t>
      </w:r>
      <w:r w:rsidR="00602B0B">
        <w:rPr>
          <w:rFonts w:eastAsiaTheme="majorEastAsia"/>
          <w:lang w:eastAsia="en-US"/>
        </w:rPr>
        <w:t>weight of evidence approach</w:t>
      </w:r>
      <w:r w:rsidR="007B454A">
        <w:rPr>
          <w:rFonts w:eastAsiaTheme="majorEastAsia"/>
          <w:lang w:eastAsia="en-US"/>
        </w:rPr>
        <w:t xml:space="preserve">. No </w:t>
      </w:r>
      <w:r w:rsidR="003A4645">
        <w:rPr>
          <w:rFonts w:eastAsiaTheme="majorEastAsia"/>
          <w:lang w:eastAsia="en-US"/>
        </w:rPr>
        <w:t xml:space="preserve">additional </w:t>
      </w:r>
      <w:r w:rsidR="007B454A">
        <w:rPr>
          <w:rFonts w:eastAsiaTheme="majorEastAsia"/>
          <w:lang w:eastAsia="en-US"/>
        </w:rPr>
        <w:t xml:space="preserve">evidence was provided to support reconsideration of this suggestion. </w:t>
      </w:r>
    </w:p>
    <w:p w14:paraId="05C97586" w14:textId="7DF8A2B5" w:rsidR="0092553C" w:rsidRDefault="008774CE" w:rsidP="007B4F80">
      <w:pPr>
        <w:pStyle w:val="Paragraph"/>
        <w:keepNext w:val="0"/>
        <w:numPr>
          <w:ilvl w:val="0"/>
          <w:numId w:val="161"/>
        </w:numPr>
        <w:ind w:hanging="357"/>
        <w:rPr>
          <w:rFonts w:eastAsiaTheme="majorEastAsia"/>
          <w:lang w:eastAsia="en-US"/>
        </w:rPr>
      </w:pPr>
      <w:r>
        <w:rPr>
          <w:rFonts w:eastAsiaTheme="majorEastAsia"/>
          <w:lang w:eastAsia="en-US"/>
        </w:rPr>
        <w:t xml:space="preserve">A TWA of 0.05 ppm, as </w:t>
      </w:r>
      <w:r w:rsidR="001528ED">
        <w:rPr>
          <w:rFonts w:eastAsiaTheme="majorEastAsia"/>
          <w:lang w:eastAsia="en-US"/>
        </w:rPr>
        <w:t xml:space="preserve">recommended by the </w:t>
      </w:r>
      <w:r w:rsidR="008D63FE">
        <w:rPr>
          <w:rFonts w:eastAsiaTheme="majorEastAsia"/>
          <w:lang w:eastAsia="en-US"/>
        </w:rPr>
        <w:t>European Chemicals Agency’s Committee for Risk Assessment</w:t>
      </w:r>
      <w:r w:rsidR="00635B85">
        <w:rPr>
          <w:rFonts w:eastAsiaTheme="majorEastAsia"/>
          <w:lang w:eastAsia="en-US"/>
        </w:rPr>
        <w:t xml:space="preserve"> (a secondary source identified </w:t>
      </w:r>
      <w:r w:rsidR="00602B0B">
        <w:rPr>
          <w:rFonts w:eastAsiaTheme="majorEastAsia"/>
          <w:lang w:eastAsia="en-US"/>
        </w:rPr>
        <w:t>in</w:t>
      </w:r>
      <w:r w:rsidR="00635B85">
        <w:rPr>
          <w:rFonts w:eastAsiaTheme="majorEastAsia"/>
          <w:lang w:eastAsia="en-US"/>
        </w:rPr>
        <w:t xml:space="preserve"> the agreed WES Review methodology)</w:t>
      </w:r>
      <w:r w:rsidR="00EF26F7">
        <w:rPr>
          <w:rFonts w:eastAsiaTheme="majorEastAsia"/>
          <w:lang w:eastAsia="en-US"/>
        </w:rPr>
        <w:t xml:space="preserve"> in 2018</w:t>
      </w:r>
      <w:r w:rsidR="00AA068B">
        <w:rPr>
          <w:rStyle w:val="FootnoteReference"/>
          <w:rFonts w:eastAsiaTheme="majorEastAsia"/>
          <w:lang w:eastAsia="en-US"/>
        </w:rPr>
        <w:footnoteReference w:id="39"/>
      </w:r>
      <w:r w:rsidR="00386197">
        <w:rPr>
          <w:rFonts w:eastAsiaTheme="majorEastAsia"/>
          <w:lang w:eastAsia="en-US"/>
        </w:rPr>
        <w:t>.</w:t>
      </w:r>
    </w:p>
    <w:p w14:paraId="15B56582" w14:textId="00DEB31D" w:rsidR="006A04FD" w:rsidRPr="006A04FD" w:rsidRDefault="006A04FD" w:rsidP="007B4F80">
      <w:pPr>
        <w:pStyle w:val="Paragraph"/>
        <w:keepNext w:val="0"/>
        <w:numPr>
          <w:ilvl w:val="1"/>
          <w:numId w:val="161"/>
        </w:numPr>
        <w:ind w:hanging="357"/>
        <w:rPr>
          <w:rFonts w:eastAsiaTheme="majorEastAsia"/>
        </w:rPr>
      </w:pPr>
      <w:r w:rsidRPr="006A04FD">
        <w:rPr>
          <w:rFonts w:eastAsiaTheme="majorEastAsia"/>
        </w:rPr>
        <w:t>Further reductions below the proposed WEL (option 2) were not considered as part of the Decision RIS.</w:t>
      </w:r>
    </w:p>
    <w:p w14:paraId="05355650" w14:textId="0A59815E" w:rsidR="00831BC9" w:rsidRDefault="008774CE" w:rsidP="007B4F80">
      <w:pPr>
        <w:pStyle w:val="Paragraph"/>
        <w:keepNext w:val="0"/>
        <w:numPr>
          <w:ilvl w:val="0"/>
          <w:numId w:val="161"/>
        </w:numPr>
        <w:ind w:hanging="357"/>
        <w:rPr>
          <w:rFonts w:eastAsiaTheme="majorEastAsia"/>
          <w:lang w:eastAsia="en-US"/>
        </w:rPr>
      </w:pPr>
      <w:r>
        <w:rPr>
          <w:rFonts w:eastAsiaTheme="majorEastAsia"/>
          <w:lang w:eastAsia="en-US"/>
        </w:rPr>
        <w:lastRenderedPageBreak/>
        <w:t xml:space="preserve">A TWA of 0.02 ppm, as recommended in 2024 by the </w:t>
      </w:r>
      <w:r w:rsidR="00831BC9">
        <w:rPr>
          <w:rFonts w:eastAsiaTheme="majorEastAsia"/>
          <w:lang w:eastAsia="en-US"/>
        </w:rPr>
        <w:t>ACGIH</w:t>
      </w:r>
      <w:r w:rsidR="004B0408">
        <w:rPr>
          <w:rStyle w:val="FootnoteReference"/>
          <w:rFonts w:eastAsiaTheme="majorEastAsia"/>
          <w:lang w:eastAsia="en-US"/>
        </w:rPr>
        <w:footnoteReference w:id="40"/>
      </w:r>
      <w:r w:rsidR="006709B6">
        <w:rPr>
          <w:rFonts w:eastAsiaTheme="majorEastAsia"/>
          <w:lang w:eastAsia="en-US"/>
        </w:rPr>
        <w:t>.</w:t>
      </w:r>
    </w:p>
    <w:p w14:paraId="4F29FA2D" w14:textId="579BA3FC" w:rsidR="002A31BC" w:rsidRPr="006A04FD" w:rsidRDefault="002A31BC" w:rsidP="007B4F80">
      <w:pPr>
        <w:pStyle w:val="Paragraph"/>
        <w:keepNext w:val="0"/>
        <w:numPr>
          <w:ilvl w:val="1"/>
          <w:numId w:val="161"/>
        </w:numPr>
        <w:ind w:hanging="357"/>
        <w:rPr>
          <w:rFonts w:eastAsiaTheme="majorEastAsia"/>
        </w:rPr>
      </w:pPr>
      <w:r w:rsidRPr="006A04FD">
        <w:rPr>
          <w:rFonts w:eastAsiaTheme="majorEastAsia"/>
        </w:rPr>
        <w:t>Further reductions below the proposed WEL (option 2) were not considered as part of the Decision RIS.</w:t>
      </w:r>
    </w:p>
    <w:p w14:paraId="2297A2DA" w14:textId="7F2195CB" w:rsidR="009911EB" w:rsidRPr="009911EB" w:rsidRDefault="001014C2" w:rsidP="002D6F25">
      <w:pPr>
        <w:pStyle w:val="SWAHeading3"/>
      </w:pPr>
      <w:r>
        <w:t xml:space="preserve">Considerations in </w:t>
      </w:r>
      <w:r w:rsidR="00AD5163">
        <w:t xml:space="preserve">relation to </w:t>
      </w:r>
      <w:r w:rsidR="009911EB" w:rsidRPr="009911EB">
        <w:t>the proposed WEL for benzene</w:t>
      </w:r>
    </w:p>
    <w:p w14:paraId="77190830" w14:textId="7C757430" w:rsidR="007E09B8" w:rsidRDefault="79B87862" w:rsidP="00C8478C">
      <w:pPr>
        <w:keepNext/>
        <w:spacing w:before="200" w:after="200" w:line="276" w:lineRule="auto"/>
        <w:rPr>
          <w:rFonts w:eastAsiaTheme="majorEastAsia" w:cs="Arial"/>
        </w:rPr>
      </w:pPr>
      <w:r w:rsidRPr="27F845C1">
        <w:rPr>
          <w:rFonts w:eastAsiaTheme="majorEastAsia" w:cs="Arial"/>
        </w:rPr>
        <w:t>S</w:t>
      </w:r>
      <w:r w:rsidR="310BD91C" w:rsidRPr="27F845C1">
        <w:rPr>
          <w:rFonts w:eastAsiaTheme="majorEastAsia" w:cs="Arial"/>
        </w:rPr>
        <w:t>takeholders were asked about challenges they expect</w:t>
      </w:r>
      <w:r w:rsidR="00AD5163" w:rsidRPr="27F845C1" w:rsidDel="310BD91C">
        <w:rPr>
          <w:rFonts w:eastAsiaTheme="majorEastAsia" w:cs="Arial"/>
        </w:rPr>
        <w:t xml:space="preserve"> </w:t>
      </w:r>
      <w:r w:rsidR="310BD91C" w:rsidRPr="27F845C1">
        <w:rPr>
          <w:rFonts w:eastAsiaTheme="majorEastAsia" w:cs="Arial"/>
        </w:rPr>
        <w:t xml:space="preserve">their industry, business or PCBU </w:t>
      </w:r>
      <w:r w:rsidR="3109E8D7" w:rsidRPr="27F845C1">
        <w:rPr>
          <w:rFonts w:eastAsiaTheme="majorEastAsia" w:cs="Arial"/>
        </w:rPr>
        <w:t xml:space="preserve">would </w:t>
      </w:r>
      <w:r w:rsidR="310BD91C" w:rsidRPr="27F845C1">
        <w:rPr>
          <w:rFonts w:eastAsiaTheme="majorEastAsia" w:cs="Arial"/>
        </w:rPr>
        <w:t xml:space="preserve">encounter if the proposed WEL was implemented. </w:t>
      </w:r>
      <w:r w:rsidR="70460D04" w:rsidRPr="27F845C1">
        <w:rPr>
          <w:rFonts w:eastAsiaTheme="majorEastAsia" w:cs="Arial"/>
        </w:rPr>
        <w:t>M</w:t>
      </w:r>
      <w:r w:rsidR="75A3080A" w:rsidRPr="27F845C1">
        <w:rPr>
          <w:rFonts w:eastAsiaTheme="majorEastAsia" w:cs="Arial"/>
        </w:rPr>
        <w:t xml:space="preserve">easurability and additional funding were raised as key challenges associated </w:t>
      </w:r>
      <w:r w:rsidR="70460D04" w:rsidRPr="27F845C1">
        <w:rPr>
          <w:rFonts w:eastAsiaTheme="majorEastAsia" w:cs="Arial"/>
        </w:rPr>
        <w:t xml:space="preserve">with the proposed WEL for benzene. </w:t>
      </w:r>
    </w:p>
    <w:p w14:paraId="2895B2CB" w14:textId="426DD3AE" w:rsidR="009F2D29" w:rsidRPr="009911EB" w:rsidRDefault="009F2D29" w:rsidP="002D6F25">
      <w:pPr>
        <w:pStyle w:val="SWAHeading4"/>
      </w:pPr>
      <w:bookmarkStart w:id="103" w:name="_Hlk210756675"/>
      <w:r>
        <w:t>Measurability</w:t>
      </w:r>
      <w:r w:rsidR="003D0173">
        <w:t xml:space="preserve"> concerns</w:t>
      </w:r>
    </w:p>
    <w:p w14:paraId="32ADB418" w14:textId="61401A3D" w:rsidR="009911EB" w:rsidRDefault="009911EB" w:rsidP="009911EB">
      <w:pPr>
        <w:contextualSpacing w:val="0"/>
      </w:pPr>
      <w:r w:rsidRPr="009911EB">
        <w:t>Some stakeholders raised measurement of benzene</w:t>
      </w:r>
      <w:r w:rsidR="00D3124A">
        <w:t xml:space="preserve"> at the proposed WEL</w:t>
      </w:r>
      <w:r w:rsidRPr="009911EB">
        <w:t xml:space="preserve"> to be a </w:t>
      </w:r>
      <w:r w:rsidR="00CD053E" w:rsidRPr="009911EB">
        <w:t xml:space="preserve">challenge </w:t>
      </w:r>
      <w:r w:rsidR="00064CDF">
        <w:t>which</w:t>
      </w:r>
      <w:r w:rsidR="00AD6979">
        <w:t xml:space="preserve"> </w:t>
      </w:r>
      <w:r w:rsidRPr="009911EB">
        <w:t>would have implications on monitoring and enforcement activities</w:t>
      </w:r>
      <w:r w:rsidR="00865489">
        <w:rPr>
          <w:rStyle w:val="FootnoteReference"/>
        </w:rPr>
        <w:footnoteReference w:id="41"/>
      </w:r>
      <w:r w:rsidRPr="009911EB">
        <w:t xml:space="preserve">. These stakeholders suggested that sampling for benzene at the proposed level would be difficult, with some indicating </w:t>
      </w:r>
      <w:r w:rsidR="00B03AF8">
        <w:t>some</w:t>
      </w:r>
      <w:r w:rsidRPr="009911EB">
        <w:t xml:space="preserve"> methods may not be accurate at </w:t>
      </w:r>
      <w:r w:rsidR="00B03AF8">
        <w:t>the proposed level</w:t>
      </w:r>
      <w:r w:rsidR="00A472BE">
        <w:rPr>
          <w:rStyle w:val="FootnoteReference"/>
        </w:rPr>
        <w:footnoteReference w:id="42"/>
      </w:r>
      <w:r w:rsidRPr="009911EB">
        <w:t xml:space="preserve">. </w:t>
      </w:r>
      <w:r w:rsidR="00795C3F">
        <w:t>A</w:t>
      </w:r>
      <w:r w:rsidR="00B82660">
        <w:t xml:space="preserve">dvice </w:t>
      </w:r>
      <w:r w:rsidR="00B7517E">
        <w:t xml:space="preserve">in </w:t>
      </w:r>
      <w:r w:rsidR="00E460DE">
        <w:t xml:space="preserve">the </w:t>
      </w:r>
      <w:r w:rsidR="00B7517E">
        <w:t>evaluation report</w:t>
      </w:r>
      <w:r w:rsidR="000731EF">
        <w:t xml:space="preserve"> </w:t>
      </w:r>
      <w:r w:rsidR="00E460DE">
        <w:t>for benzene</w:t>
      </w:r>
      <w:r w:rsidR="000731EF">
        <w:t xml:space="preserve"> </w:t>
      </w:r>
      <w:r w:rsidR="00864C97">
        <w:t>indicated</w:t>
      </w:r>
      <w:r w:rsidR="00B7517E">
        <w:t xml:space="preserve"> the </w:t>
      </w:r>
      <w:r w:rsidR="00B7517E" w:rsidRPr="00DB3AB3">
        <w:t>proposed WEL is measurable</w:t>
      </w:r>
      <w:r w:rsidR="000731EF">
        <w:t xml:space="preserve"> </w:t>
      </w:r>
      <w:sdt>
        <w:sdtPr>
          <w:id w:val="-2141022498"/>
          <w:citation/>
        </w:sdtPr>
        <w:sdtEndPr/>
        <w:sdtContent>
          <w:r w:rsidR="000731EF">
            <w:fldChar w:fldCharType="begin"/>
          </w:r>
          <w:r w:rsidR="000731EF">
            <w:instrText xml:space="preserve"> CITATION Saf191 \l 3081 </w:instrText>
          </w:r>
          <w:r w:rsidR="000731EF">
            <w:fldChar w:fldCharType="separate"/>
          </w:r>
          <w:r w:rsidR="00490B21">
            <w:rPr>
              <w:noProof/>
            </w:rPr>
            <w:t>(Safe Work Australia, 2019)</w:t>
          </w:r>
          <w:r w:rsidR="000731EF">
            <w:fldChar w:fldCharType="end"/>
          </w:r>
        </w:sdtContent>
      </w:sdt>
      <w:r w:rsidR="00B7517E">
        <w:t xml:space="preserve">, and </w:t>
      </w:r>
      <w:r w:rsidR="00DB3AB3">
        <w:t xml:space="preserve">a </w:t>
      </w:r>
      <w:r w:rsidR="00757556">
        <w:t>government</w:t>
      </w:r>
      <w:r w:rsidR="00993D18">
        <w:t xml:space="preserve"> submission</w:t>
      </w:r>
      <w:r w:rsidR="00993D18">
        <w:rPr>
          <w:rStyle w:val="FootnoteReference"/>
        </w:rPr>
        <w:footnoteReference w:id="43"/>
      </w:r>
      <w:r w:rsidRPr="009911EB">
        <w:t xml:space="preserve"> specif</w:t>
      </w:r>
      <w:r w:rsidR="00DB3AB3">
        <w:t>ied</w:t>
      </w:r>
      <w:r w:rsidRPr="009911EB">
        <w:t xml:space="preserve"> that </w:t>
      </w:r>
      <w:r w:rsidR="00C11F85">
        <w:t xml:space="preserve">measurement of benzene </w:t>
      </w:r>
      <w:r w:rsidR="008000AD">
        <w:t xml:space="preserve">at the proposed level </w:t>
      </w:r>
      <w:r w:rsidRPr="009911EB">
        <w:t>was possibl</w:t>
      </w:r>
      <w:r w:rsidR="008000AD">
        <w:t>e</w:t>
      </w:r>
      <w:r w:rsidR="008A28F6">
        <w:t xml:space="preserve"> </w:t>
      </w:r>
      <w:r w:rsidR="00864C97">
        <w:t>(</w:t>
      </w:r>
      <w:r w:rsidR="008A28F6">
        <w:t xml:space="preserve">and </w:t>
      </w:r>
      <w:r w:rsidR="00864C97">
        <w:t xml:space="preserve">benzene could be </w:t>
      </w:r>
      <w:r w:rsidR="008A28F6">
        <w:t>detect</w:t>
      </w:r>
      <w:r w:rsidR="00864C97">
        <w:t>ed</w:t>
      </w:r>
      <w:r w:rsidR="008A28F6">
        <w:t xml:space="preserve"> </w:t>
      </w:r>
      <w:r w:rsidR="00864C97">
        <w:t>at</w:t>
      </w:r>
      <w:r w:rsidR="008A28F6">
        <w:t xml:space="preserve"> levels down </w:t>
      </w:r>
      <w:r w:rsidRPr="009911EB">
        <w:t>below 0.01 ppm</w:t>
      </w:r>
      <w:r w:rsidR="008E5DC6">
        <w:t>)</w:t>
      </w:r>
      <w:r w:rsidRPr="009911EB">
        <w:t>.</w:t>
      </w:r>
    </w:p>
    <w:p w14:paraId="20F4AE95" w14:textId="4D57C2F5" w:rsidR="00777141" w:rsidRPr="006D6899" w:rsidRDefault="00F9287D" w:rsidP="009911EB">
      <w:pPr>
        <w:contextualSpacing w:val="0"/>
      </w:pPr>
      <w:bookmarkStart w:id="106" w:name="_Hlk210756683"/>
      <w:bookmarkEnd w:id="103"/>
      <w:r w:rsidRPr="006D6899">
        <w:t xml:space="preserve">Multiple </w:t>
      </w:r>
      <w:r w:rsidR="00C703E1" w:rsidRPr="006D6899">
        <w:t>methods</w:t>
      </w:r>
      <w:r w:rsidR="00E10FAA" w:rsidRPr="006D6899">
        <w:rPr>
          <w:rStyle w:val="FootnoteReference"/>
        </w:rPr>
        <w:footnoteReference w:id="44"/>
      </w:r>
      <w:r w:rsidR="00C703E1" w:rsidRPr="006D6899">
        <w:t xml:space="preserve"> exist </w:t>
      </w:r>
      <w:r w:rsidR="0015148A" w:rsidRPr="006D6899">
        <w:t>to measure benzene</w:t>
      </w:r>
      <w:r w:rsidR="00644B40" w:rsidRPr="006D6899">
        <w:t xml:space="preserve"> with sufficient sensitivity and certainty to determine compliance at the proposed WEL</w:t>
      </w:r>
      <w:r w:rsidR="00BE7A31" w:rsidRPr="006D6899">
        <w:t xml:space="preserve">, </w:t>
      </w:r>
      <w:r w:rsidR="00D31255" w:rsidRPr="006D6899">
        <w:t>with</w:t>
      </w:r>
      <w:r w:rsidR="00B03669" w:rsidRPr="006D6899">
        <w:t xml:space="preserve"> </w:t>
      </w:r>
      <w:r w:rsidR="00E20E16" w:rsidRPr="006D6899">
        <w:t xml:space="preserve">commercially available </w:t>
      </w:r>
      <w:r w:rsidR="00401140" w:rsidRPr="006D6899">
        <w:t xml:space="preserve">methods </w:t>
      </w:r>
      <w:r w:rsidR="00E20E16" w:rsidRPr="006D6899">
        <w:t xml:space="preserve">in Australia </w:t>
      </w:r>
      <w:r w:rsidR="00FF6747" w:rsidRPr="006D6899">
        <w:t>(based on S</w:t>
      </w:r>
      <w:r w:rsidR="003A7EBB" w:rsidRPr="006D6899">
        <w:t xml:space="preserve">afe </w:t>
      </w:r>
      <w:r w:rsidR="00FF6747" w:rsidRPr="006D6899">
        <w:t>W</w:t>
      </w:r>
      <w:r w:rsidR="003A7EBB" w:rsidRPr="006D6899">
        <w:t xml:space="preserve">ork </w:t>
      </w:r>
      <w:r w:rsidR="00FF6747" w:rsidRPr="006D6899">
        <w:t>A</w:t>
      </w:r>
      <w:r w:rsidR="003A7EBB" w:rsidRPr="006D6899">
        <w:t>ustralia</w:t>
      </w:r>
      <w:r w:rsidR="00FF6747" w:rsidRPr="006D6899">
        <w:t xml:space="preserve"> analysis)</w:t>
      </w:r>
      <w:r w:rsidR="00685A4B" w:rsidRPr="006D6899">
        <w:t xml:space="preserve">. </w:t>
      </w:r>
    </w:p>
    <w:p w14:paraId="702C9E6C" w14:textId="1229F026" w:rsidR="00F9287D" w:rsidRPr="009911EB" w:rsidRDefault="00A973D0" w:rsidP="009911EB">
      <w:pPr>
        <w:contextualSpacing w:val="0"/>
      </w:pPr>
      <w:r w:rsidRPr="004135C3">
        <w:t xml:space="preserve">Sampling related contributions to uncertainty (e.g. sampling equipment limitations) may remain a limitation on measurability in some situations, but these issues are not </w:t>
      </w:r>
      <w:r w:rsidR="001E61B4" w:rsidRPr="004135C3">
        <w:t>unique</w:t>
      </w:r>
      <w:r w:rsidRPr="004135C3">
        <w:t xml:space="preserve"> to</w:t>
      </w:r>
      <w:r w:rsidR="00C02979" w:rsidRPr="004135C3">
        <w:t xml:space="preserve"> benzene. </w:t>
      </w:r>
      <w:r w:rsidR="00121F7C" w:rsidRPr="004135C3">
        <w:t xml:space="preserve">To support the wider transition to the WEL, </w:t>
      </w:r>
      <w:r w:rsidR="00C02979" w:rsidRPr="004135C3">
        <w:t xml:space="preserve">Safe Work Australia is </w:t>
      </w:r>
      <w:r w:rsidR="00FA55C9" w:rsidRPr="004135C3">
        <w:t xml:space="preserve">preparing </w:t>
      </w:r>
      <w:r w:rsidR="00671E43" w:rsidRPr="004135C3">
        <w:t>technical guidance to provide advice on measurement issues, including sampling.</w:t>
      </w:r>
    </w:p>
    <w:bookmarkEnd w:id="106"/>
    <w:p w14:paraId="5CFFF2A4" w14:textId="7ACD9319" w:rsidR="009F2D29" w:rsidRDefault="009F2D29" w:rsidP="00B55E8A">
      <w:pPr>
        <w:pStyle w:val="SWAHeading4"/>
        <w:spacing w:before="240"/>
        <w:rPr>
          <w:lang w:eastAsia="en-AU"/>
        </w:rPr>
      </w:pPr>
      <w:r>
        <w:rPr>
          <w:lang w:eastAsia="en-AU"/>
        </w:rPr>
        <w:t xml:space="preserve">Additional </w:t>
      </w:r>
      <w:r w:rsidR="00835974">
        <w:rPr>
          <w:lang w:eastAsia="en-AU"/>
        </w:rPr>
        <w:t>funding</w:t>
      </w:r>
    </w:p>
    <w:p w14:paraId="4CE2CA32" w14:textId="6504E46B" w:rsidR="009911EB" w:rsidRPr="009911EB" w:rsidRDefault="009911EB" w:rsidP="00B55E8A">
      <w:pPr>
        <w:contextualSpacing w:val="0"/>
        <w:textAlignment w:val="baseline"/>
        <w:rPr>
          <w:rFonts w:ascii="Times New Roman" w:eastAsiaTheme="majorEastAsia" w:hAnsi="Times New Roman" w:cs="Arial"/>
          <w:sz w:val="24"/>
          <w:szCs w:val="22"/>
          <w:lang w:eastAsia="en-AU"/>
        </w:rPr>
      </w:pPr>
      <w:r w:rsidRPr="009911EB">
        <w:rPr>
          <w:rFonts w:eastAsiaTheme="majorEastAsia" w:cs="Arial"/>
          <w:szCs w:val="22"/>
          <w:lang w:eastAsia="en-AU"/>
        </w:rPr>
        <w:t>A submission from a volunteer organisation</w:t>
      </w:r>
      <w:r w:rsidR="002E7146">
        <w:rPr>
          <w:rStyle w:val="FootnoteReference"/>
          <w:rFonts w:eastAsiaTheme="majorEastAsia" w:cs="Arial"/>
          <w:szCs w:val="22"/>
          <w:lang w:eastAsia="en-AU"/>
        </w:rPr>
        <w:footnoteReference w:id="45"/>
      </w:r>
      <w:r w:rsidRPr="009911EB">
        <w:rPr>
          <w:rFonts w:eastAsiaTheme="majorEastAsia" w:cs="Arial"/>
          <w:szCs w:val="22"/>
          <w:lang w:eastAsia="en-AU"/>
        </w:rPr>
        <w:t xml:space="preserve"> raised that without additional funding, it would be difficult for them to purchase controls to comply with the proposed WEL for benzene, such as RPE. The submission said this barrier may present a reputational risk to the organisation as it suggests not enough is being done to protect workers and volunteers and could result in a decrease in volunteers. </w:t>
      </w:r>
      <w:r w:rsidR="008F3559">
        <w:rPr>
          <w:rFonts w:eastAsiaTheme="majorEastAsia" w:cs="Arial"/>
          <w:szCs w:val="22"/>
          <w:lang w:eastAsia="en-AU"/>
        </w:rPr>
        <w:t xml:space="preserve">While it will be up to businesses to determine </w:t>
      </w:r>
      <w:r w:rsidR="00D416BC">
        <w:rPr>
          <w:rFonts w:eastAsiaTheme="majorEastAsia" w:cs="Arial"/>
          <w:szCs w:val="22"/>
          <w:lang w:eastAsia="en-AU"/>
        </w:rPr>
        <w:t>appropriate arrangements to meet the</w:t>
      </w:r>
      <w:r w:rsidR="000738FF">
        <w:rPr>
          <w:rFonts w:eastAsiaTheme="majorEastAsia" w:cs="Arial"/>
          <w:szCs w:val="22"/>
          <w:lang w:eastAsia="en-AU"/>
        </w:rPr>
        <w:t xml:space="preserve"> </w:t>
      </w:r>
      <w:r w:rsidR="00D94A46">
        <w:rPr>
          <w:rFonts w:eastAsiaTheme="majorEastAsia" w:cs="Arial"/>
          <w:szCs w:val="22"/>
          <w:lang w:eastAsia="en-AU"/>
        </w:rPr>
        <w:t xml:space="preserve">requirements of the </w:t>
      </w:r>
      <w:r w:rsidR="003A60BD">
        <w:rPr>
          <w:rFonts w:eastAsiaTheme="majorEastAsia" w:cs="Arial"/>
          <w:szCs w:val="22"/>
          <w:lang w:eastAsia="en-AU"/>
        </w:rPr>
        <w:t xml:space="preserve">WEL once agreed by </w:t>
      </w:r>
      <w:r w:rsidR="004C7410">
        <w:rPr>
          <w:rFonts w:eastAsiaTheme="majorEastAsia" w:cs="Arial"/>
          <w:szCs w:val="22"/>
          <w:lang w:eastAsia="en-AU"/>
        </w:rPr>
        <w:t>WHS m</w:t>
      </w:r>
      <w:r w:rsidR="003A60BD">
        <w:rPr>
          <w:rFonts w:eastAsiaTheme="majorEastAsia" w:cs="Arial"/>
          <w:szCs w:val="22"/>
          <w:lang w:eastAsia="en-AU"/>
        </w:rPr>
        <w:t xml:space="preserve">inisters, </w:t>
      </w:r>
      <w:r w:rsidR="003A60BD">
        <w:rPr>
          <w:rFonts w:eastAsiaTheme="majorEastAsia" w:cs="Arial"/>
          <w:szCs w:val="22"/>
        </w:rPr>
        <w:t>c</w:t>
      </w:r>
      <w:r w:rsidR="00E37480" w:rsidRPr="000C3C0E">
        <w:rPr>
          <w:rFonts w:eastAsiaTheme="majorEastAsia" w:cs="Arial"/>
          <w:szCs w:val="22"/>
        </w:rPr>
        <w:t xml:space="preserve">oncerns around </w:t>
      </w:r>
      <w:r w:rsidR="004578E3">
        <w:rPr>
          <w:rFonts w:eastAsiaTheme="majorEastAsia" w:cs="Arial"/>
          <w:szCs w:val="22"/>
        </w:rPr>
        <w:t xml:space="preserve">seeking additional </w:t>
      </w:r>
      <w:r w:rsidR="00E37480" w:rsidRPr="000C3C0E">
        <w:rPr>
          <w:rFonts w:eastAsiaTheme="majorEastAsia" w:cs="Arial"/>
          <w:szCs w:val="22"/>
        </w:rPr>
        <w:t xml:space="preserve">funding are not </w:t>
      </w:r>
      <w:r w:rsidR="00E37480" w:rsidRPr="00921236">
        <w:rPr>
          <w:rFonts w:eastAsiaTheme="majorEastAsia" w:cs="Arial"/>
          <w:szCs w:val="22"/>
        </w:rPr>
        <w:t>within the scope of this Decision RIS</w:t>
      </w:r>
      <w:r w:rsidR="003A60BD">
        <w:rPr>
          <w:rFonts w:eastAsiaTheme="majorEastAsia" w:cs="Arial"/>
          <w:szCs w:val="22"/>
        </w:rPr>
        <w:t>.</w:t>
      </w:r>
    </w:p>
    <w:p w14:paraId="3373B2F6" w14:textId="77777777" w:rsidR="009911EB" w:rsidRPr="009911EB" w:rsidRDefault="009911EB" w:rsidP="007B4F80">
      <w:pPr>
        <w:pStyle w:val="SWAHeading3"/>
        <w:keepNext/>
      </w:pPr>
      <w:r w:rsidRPr="009911EB">
        <w:lastRenderedPageBreak/>
        <w:t>Transitional arrangements suggested by stakeholders</w:t>
      </w:r>
    </w:p>
    <w:p w14:paraId="317082CB" w14:textId="7BD5CC90" w:rsidR="0001267A" w:rsidRDefault="00B00CD7" w:rsidP="007B4F80">
      <w:pPr>
        <w:keepNext/>
        <w:contextualSpacing w:val="0"/>
        <w:rPr>
          <w:rFonts w:eastAsiaTheme="majorEastAsia" w:cs="Arial"/>
        </w:rPr>
      </w:pPr>
      <w:r>
        <w:rPr>
          <w:rFonts w:eastAsiaTheme="majorEastAsia" w:cs="Arial"/>
        </w:rPr>
        <w:t>A minority of</w:t>
      </w:r>
      <w:r w:rsidR="005D65EB">
        <w:rPr>
          <w:rFonts w:eastAsiaTheme="majorEastAsia" w:cs="Arial"/>
        </w:rPr>
        <w:t xml:space="preserve"> s</w:t>
      </w:r>
      <w:r w:rsidR="009911EB" w:rsidRPr="009911EB">
        <w:rPr>
          <w:rFonts w:eastAsiaTheme="majorEastAsia" w:cs="Arial"/>
        </w:rPr>
        <w:t xml:space="preserve">takeholders suggested a transition period would assist industry to comply with the proposed limits if they were to be implemented. </w:t>
      </w:r>
      <w:r w:rsidR="003921E8">
        <w:rPr>
          <w:rFonts w:eastAsiaTheme="majorEastAsia" w:cs="Arial"/>
        </w:rPr>
        <w:t>Four</w:t>
      </w:r>
      <w:r w:rsidR="003921E8" w:rsidRPr="009911EB">
        <w:rPr>
          <w:rFonts w:eastAsiaTheme="majorEastAsia" w:cs="Arial"/>
        </w:rPr>
        <w:t xml:space="preserve"> </w:t>
      </w:r>
      <w:r w:rsidR="009911EB" w:rsidRPr="009911EB">
        <w:rPr>
          <w:rFonts w:eastAsiaTheme="majorEastAsia" w:cs="Arial"/>
        </w:rPr>
        <w:t xml:space="preserve">submissions </w:t>
      </w:r>
      <w:r w:rsidR="003921E8">
        <w:rPr>
          <w:rFonts w:eastAsiaTheme="majorEastAsia" w:cs="Arial"/>
        </w:rPr>
        <w:t>addressed</w:t>
      </w:r>
      <w:r w:rsidR="009911EB" w:rsidRPr="009911EB">
        <w:rPr>
          <w:rFonts w:eastAsiaTheme="majorEastAsia" w:cs="Arial"/>
        </w:rPr>
        <w:t xml:space="preserve"> potential lengths for this transition</w:t>
      </w:r>
      <w:r w:rsidR="00F17521">
        <w:rPr>
          <w:rFonts w:eastAsiaTheme="majorEastAsia" w:cs="Arial"/>
        </w:rPr>
        <w:t xml:space="preserve">: </w:t>
      </w:r>
    </w:p>
    <w:p w14:paraId="532C39C4" w14:textId="61EE5F86" w:rsidR="0001267A" w:rsidRPr="00477476" w:rsidRDefault="009911EB" w:rsidP="00DA28CB">
      <w:pPr>
        <w:pStyle w:val="ListParagraph"/>
        <w:numPr>
          <w:ilvl w:val="0"/>
          <w:numId w:val="167"/>
        </w:numPr>
        <w:contextualSpacing w:val="0"/>
        <w:rPr>
          <w:rFonts w:eastAsiaTheme="majorEastAsia" w:cs="Arial"/>
        </w:rPr>
      </w:pPr>
      <w:r w:rsidRPr="00477476">
        <w:rPr>
          <w:rFonts w:eastAsiaTheme="majorEastAsia" w:cs="Arial"/>
        </w:rPr>
        <w:t>6 months</w:t>
      </w:r>
      <w:r w:rsidR="002E7146">
        <w:rPr>
          <w:rStyle w:val="FootnoteReference"/>
          <w:rFonts w:eastAsiaTheme="majorEastAsia" w:cs="Arial"/>
        </w:rPr>
        <w:footnoteReference w:id="46"/>
      </w:r>
      <w:r w:rsidRPr="00477476">
        <w:rPr>
          <w:rFonts w:eastAsiaTheme="majorEastAsia" w:cs="Arial"/>
        </w:rPr>
        <w:t>,</w:t>
      </w:r>
    </w:p>
    <w:p w14:paraId="692688FF" w14:textId="6A9F85BA" w:rsidR="0001267A" w:rsidRDefault="009911EB" w:rsidP="00DA28CB">
      <w:pPr>
        <w:pStyle w:val="ListParagraph"/>
        <w:numPr>
          <w:ilvl w:val="0"/>
          <w:numId w:val="167"/>
        </w:numPr>
        <w:contextualSpacing w:val="0"/>
        <w:rPr>
          <w:rFonts w:eastAsiaTheme="majorEastAsia" w:cs="Arial"/>
        </w:rPr>
      </w:pPr>
      <w:r w:rsidRPr="00AE5D4B">
        <w:rPr>
          <w:rFonts w:eastAsiaTheme="majorEastAsia" w:cs="Arial"/>
        </w:rPr>
        <w:t>1 year</w:t>
      </w:r>
      <w:r w:rsidR="001E259C" w:rsidRPr="00AE5D4B">
        <w:rPr>
          <w:rFonts w:eastAsiaTheme="majorEastAsia" w:cs="Arial"/>
        </w:rPr>
        <w:t xml:space="preserve"> (2 submissions)</w:t>
      </w:r>
      <w:r w:rsidR="00096D1C">
        <w:rPr>
          <w:rStyle w:val="FootnoteReference"/>
          <w:rFonts w:eastAsiaTheme="majorEastAsia" w:cs="Arial"/>
        </w:rPr>
        <w:footnoteReference w:id="47"/>
      </w:r>
      <w:r w:rsidRPr="00AE5D4B">
        <w:rPr>
          <w:rFonts w:eastAsiaTheme="majorEastAsia" w:cs="Arial"/>
        </w:rPr>
        <w:t>,</w:t>
      </w:r>
      <w:r w:rsidR="009664BE">
        <w:rPr>
          <w:rFonts w:eastAsiaTheme="majorEastAsia" w:cs="Arial"/>
        </w:rPr>
        <w:t xml:space="preserve"> and</w:t>
      </w:r>
    </w:p>
    <w:p w14:paraId="66031D74" w14:textId="77777777" w:rsidR="0001267A" w:rsidRDefault="009911EB" w:rsidP="00DA28CB">
      <w:pPr>
        <w:pStyle w:val="ListParagraph"/>
        <w:numPr>
          <w:ilvl w:val="0"/>
          <w:numId w:val="167"/>
        </w:numPr>
        <w:contextualSpacing w:val="0"/>
        <w:rPr>
          <w:rFonts w:eastAsiaTheme="majorEastAsia" w:cs="Arial"/>
        </w:rPr>
      </w:pPr>
      <w:r w:rsidRPr="00AE5D4B">
        <w:rPr>
          <w:rFonts w:eastAsiaTheme="majorEastAsia" w:cs="Arial"/>
        </w:rPr>
        <w:t>3 years</w:t>
      </w:r>
      <w:r w:rsidR="001E259C">
        <w:rPr>
          <w:rStyle w:val="FootnoteReference"/>
          <w:rFonts w:eastAsiaTheme="majorEastAsia" w:cs="Arial"/>
        </w:rPr>
        <w:footnoteReference w:id="48"/>
      </w:r>
      <w:r w:rsidRPr="00AE5D4B">
        <w:rPr>
          <w:rFonts w:eastAsiaTheme="majorEastAsia" w:cs="Arial"/>
        </w:rPr>
        <w:t xml:space="preserve">. </w:t>
      </w:r>
    </w:p>
    <w:p w14:paraId="79E872EF" w14:textId="477CBD04" w:rsidR="009911EB" w:rsidRDefault="009911EB" w:rsidP="0001267A">
      <w:pPr>
        <w:contextualSpacing w:val="0"/>
        <w:rPr>
          <w:rFonts w:eastAsiaTheme="majorEastAsia" w:cs="Arial"/>
        </w:rPr>
      </w:pPr>
      <w:r w:rsidRPr="00AE5D4B">
        <w:rPr>
          <w:rFonts w:eastAsiaTheme="majorEastAsia" w:cs="Arial"/>
        </w:rPr>
        <w:t>An additional stakeholder suggested a transition period up until 1 December 2026</w:t>
      </w:r>
      <w:r w:rsidR="0053745B">
        <w:rPr>
          <w:rStyle w:val="FootnoteReference"/>
          <w:rFonts w:eastAsiaTheme="majorEastAsia" w:cs="Arial"/>
        </w:rPr>
        <w:footnoteReference w:id="49"/>
      </w:r>
      <w:r w:rsidRPr="00AE5D4B">
        <w:rPr>
          <w:rFonts w:eastAsiaTheme="majorEastAsia" w:cs="Arial"/>
        </w:rPr>
        <w:t xml:space="preserve"> to coincide with the transition to the WEL list. </w:t>
      </w:r>
      <w:r w:rsidR="00DB20F8">
        <w:rPr>
          <w:rFonts w:eastAsiaTheme="majorEastAsia" w:cs="Arial"/>
        </w:rPr>
        <w:t>Another</w:t>
      </w:r>
      <w:r w:rsidR="00B20B18">
        <w:rPr>
          <w:rFonts w:eastAsiaTheme="majorEastAsia" w:cs="Arial"/>
        </w:rPr>
        <w:t xml:space="preserve"> stakeholder suggested there should be no transition period and the proposed new WEL should be implemented as soon as possible</w:t>
      </w:r>
      <w:r w:rsidR="00B20B18">
        <w:rPr>
          <w:rStyle w:val="FootnoteReference"/>
          <w:rFonts w:eastAsiaTheme="majorEastAsia" w:cs="Arial"/>
        </w:rPr>
        <w:footnoteReference w:id="50"/>
      </w:r>
      <w:r w:rsidR="00B20B18">
        <w:rPr>
          <w:rFonts w:eastAsiaTheme="majorEastAsia" w:cs="Arial"/>
        </w:rPr>
        <w:t>.</w:t>
      </w:r>
    </w:p>
    <w:p w14:paraId="12FF6372" w14:textId="132C94DE" w:rsidR="000543EB" w:rsidRPr="00AE5D4B" w:rsidRDefault="000543EB" w:rsidP="0001267A">
      <w:pPr>
        <w:contextualSpacing w:val="0"/>
        <w:rPr>
          <w:rFonts w:eastAsiaTheme="majorEastAsia" w:cs="Arial"/>
        </w:rPr>
      </w:pPr>
      <w:r>
        <w:rPr>
          <w:rFonts w:eastAsiaTheme="majorEastAsia" w:cs="Arial"/>
        </w:rPr>
        <w:t>As mentioned in Section 7.3 of this Decision RIS, and in line with</w:t>
      </w:r>
      <w:r w:rsidR="006963EF">
        <w:rPr>
          <w:rFonts w:eastAsiaTheme="majorEastAsia" w:cs="Arial"/>
        </w:rPr>
        <w:t xml:space="preserve"> </w:t>
      </w:r>
      <w:r w:rsidR="007E4E06">
        <w:rPr>
          <w:rFonts w:eastAsiaTheme="majorEastAsia" w:cs="Arial"/>
        </w:rPr>
        <w:t xml:space="preserve">the </w:t>
      </w:r>
      <w:r w:rsidR="006963EF">
        <w:rPr>
          <w:rFonts w:eastAsiaTheme="majorEastAsia" w:cs="Arial"/>
        </w:rPr>
        <w:t>majority of</w:t>
      </w:r>
      <w:r>
        <w:rPr>
          <w:rFonts w:eastAsiaTheme="majorEastAsia" w:cs="Arial"/>
        </w:rPr>
        <w:t xml:space="preserve"> stakeholder suggestions, it is </w:t>
      </w:r>
      <w:r w:rsidRPr="000543EB">
        <w:rPr>
          <w:rFonts w:eastAsiaTheme="majorEastAsia" w:cs="Arial"/>
        </w:rPr>
        <w:t xml:space="preserve">proposed that the new WEL for </w:t>
      </w:r>
      <w:r>
        <w:rPr>
          <w:rFonts w:eastAsiaTheme="majorEastAsia" w:cs="Arial"/>
        </w:rPr>
        <w:t>benzene should</w:t>
      </w:r>
      <w:r w:rsidRPr="000543EB">
        <w:rPr>
          <w:rFonts w:eastAsiaTheme="majorEastAsia" w:cs="Arial"/>
        </w:rPr>
        <w:t xml:space="preserve"> come into effect on 1 December 2026. This would align with the commencement of the new WEL list and ensure the transition to the health-based exposure limits for all chemicals occurs at the same time.</w:t>
      </w:r>
    </w:p>
    <w:p w14:paraId="5D8B2B24" w14:textId="727542BB" w:rsidR="009911EB" w:rsidRDefault="0040125E" w:rsidP="007B4F80">
      <w:pPr>
        <w:pStyle w:val="SWAHeading2"/>
        <w:ind w:left="567" w:hanging="567"/>
      </w:pPr>
      <w:bookmarkStart w:id="107" w:name="_Toc194510009"/>
      <w:bookmarkStart w:id="108" w:name="_Toc196204612"/>
      <w:bookmarkStart w:id="109" w:name="_Ref196903516"/>
      <w:bookmarkStart w:id="110" w:name="_Ref196903522"/>
      <w:bookmarkStart w:id="111" w:name="_Toc219216886"/>
      <w:r>
        <w:t>Likely net benefit and r</w:t>
      </w:r>
      <w:r w:rsidR="00B152B7">
        <w:t>ecommended</w:t>
      </w:r>
      <w:r w:rsidR="00B152B7" w:rsidRPr="009911EB">
        <w:t xml:space="preserve"> </w:t>
      </w:r>
      <w:r w:rsidR="009911EB" w:rsidRPr="009911EB">
        <w:t>option for benzene</w:t>
      </w:r>
      <w:bookmarkEnd w:id="107"/>
      <w:bookmarkEnd w:id="108"/>
      <w:bookmarkEnd w:id="109"/>
      <w:bookmarkEnd w:id="110"/>
      <w:bookmarkEnd w:id="111"/>
    </w:p>
    <w:p w14:paraId="626E8C3D" w14:textId="36E530D9" w:rsidR="0040125E" w:rsidRDefault="0040125E" w:rsidP="00F7561A">
      <w:pPr>
        <w:pStyle w:val="SWAHeading3"/>
      </w:pPr>
      <w:r>
        <w:t>Net benefit</w:t>
      </w:r>
    </w:p>
    <w:p w14:paraId="668C30A3" w14:textId="69F0763B" w:rsidR="0040125E" w:rsidRDefault="00F01BA3" w:rsidP="00C00064">
      <w:pPr>
        <w:pStyle w:val="Paragraph"/>
        <w:keepNext w:val="0"/>
      </w:pPr>
      <w:r>
        <w:fldChar w:fldCharType="begin"/>
      </w:r>
      <w:r>
        <w:instrText xml:space="preserve"> REF _Ref216700289 \h </w:instrText>
      </w:r>
      <w:r>
        <w:fldChar w:fldCharType="separate"/>
      </w:r>
      <w:r w:rsidR="00A002F4">
        <w:t xml:space="preserve">Table </w:t>
      </w:r>
      <w:r w:rsidR="00A002F4">
        <w:rPr>
          <w:noProof/>
        </w:rPr>
        <w:t>12</w:t>
      </w:r>
      <w:r>
        <w:fldChar w:fldCharType="end"/>
      </w:r>
      <w:r w:rsidR="0040125E" w:rsidRPr="0040125E">
        <w:t xml:space="preserve"> presents the </w:t>
      </w:r>
      <w:r w:rsidR="006F6151">
        <w:t xml:space="preserve">quantified </w:t>
      </w:r>
      <w:r w:rsidR="00626DF3">
        <w:t>gross</w:t>
      </w:r>
      <w:r w:rsidR="0040125E" w:rsidRPr="0040125E">
        <w:t xml:space="preserve"> benefits for the proposed WEL for benzene. Both the quantifiable health and financial benefits estimated (from </w:t>
      </w:r>
      <w:r w:rsidR="005B17E4">
        <w:fldChar w:fldCharType="begin"/>
      </w:r>
      <w:r w:rsidR="005B17E4">
        <w:instrText xml:space="preserve"> REF _Ref199856605 \h </w:instrText>
      </w:r>
      <w:r w:rsidR="005B17E4">
        <w:fldChar w:fldCharType="separate"/>
      </w:r>
      <w:r w:rsidR="00A002F4">
        <w:t xml:space="preserve">Table </w:t>
      </w:r>
      <w:r w:rsidR="00A002F4">
        <w:rPr>
          <w:noProof/>
        </w:rPr>
        <w:t>8</w:t>
      </w:r>
      <w:r w:rsidR="005B17E4">
        <w:fldChar w:fldCharType="end"/>
      </w:r>
      <w:r w:rsidR="005B17E4">
        <w:t xml:space="preserve"> and</w:t>
      </w:r>
      <w:r>
        <w:t xml:space="preserve"> </w:t>
      </w:r>
      <w:r w:rsidR="005B17E4" w:rsidRPr="005B17E4">
        <w:fldChar w:fldCharType="begin"/>
      </w:r>
      <w:r w:rsidR="005B17E4" w:rsidRPr="005B17E4">
        <w:instrText xml:space="preserve"> REF _Ref196737062 \h </w:instrText>
      </w:r>
      <w:r w:rsidR="005B17E4" w:rsidRPr="006A6A65">
        <w:instrText xml:space="preserve"> \* MERGEFORMAT </w:instrText>
      </w:r>
      <w:r w:rsidR="005B17E4" w:rsidRPr="005B17E4">
        <w:fldChar w:fldCharType="separate"/>
      </w:r>
      <w:r w:rsidR="00A002F4" w:rsidRPr="00A002F4">
        <w:rPr>
          <w:noProof/>
        </w:rPr>
        <w:t>Table</w:t>
      </w:r>
      <w:r w:rsidR="00A002F4" w:rsidRPr="009911EB">
        <w:rPr>
          <w:b/>
          <w:bCs/>
        </w:rPr>
        <w:t xml:space="preserve"> </w:t>
      </w:r>
      <w:r w:rsidR="00A002F4">
        <w:rPr>
          <w:b/>
          <w:bCs/>
          <w:noProof/>
        </w:rPr>
        <w:t>9</w:t>
      </w:r>
      <w:r w:rsidR="005B17E4" w:rsidRPr="005B17E4">
        <w:fldChar w:fldCharType="end"/>
      </w:r>
      <w:r w:rsidR="0040125E" w:rsidRPr="0040125E">
        <w:t>) were considered alongside the quantifiable costs (</w:t>
      </w:r>
      <w:r w:rsidR="005B17E4">
        <w:fldChar w:fldCharType="begin"/>
      </w:r>
      <w:r w:rsidR="005B17E4">
        <w:instrText xml:space="preserve"> REF _Ref199857380 \h </w:instrText>
      </w:r>
      <w:r w:rsidR="005B17E4">
        <w:fldChar w:fldCharType="separate"/>
      </w:r>
      <w:r w:rsidR="00A002F4">
        <w:t xml:space="preserve">Table </w:t>
      </w:r>
      <w:r w:rsidR="00A002F4">
        <w:rPr>
          <w:noProof/>
        </w:rPr>
        <w:t>10</w:t>
      </w:r>
      <w:r w:rsidR="005B17E4">
        <w:fldChar w:fldCharType="end"/>
      </w:r>
      <w:r w:rsidR="0040125E" w:rsidRPr="0040125E">
        <w:t xml:space="preserve">) to estimate a </w:t>
      </w:r>
      <w:r w:rsidR="0054783F">
        <w:t xml:space="preserve">quantified </w:t>
      </w:r>
      <w:r w:rsidR="0031440C">
        <w:t>gross</w:t>
      </w:r>
      <w:r w:rsidR="0040125E" w:rsidRPr="0040125E">
        <w:t xml:space="preserve"> benefit of -$401 million over 10 years for the proposed WEL for benzene. </w:t>
      </w:r>
    </w:p>
    <w:p w14:paraId="5AC36AB2" w14:textId="05A0AA49" w:rsidR="00CC44A3" w:rsidRPr="002F2639" w:rsidRDefault="00606A65" w:rsidP="00C00064">
      <w:pPr>
        <w:pStyle w:val="Paragraph"/>
        <w:keepNext w:val="0"/>
      </w:pPr>
      <w:r w:rsidRPr="002F2639">
        <w:t xml:space="preserve">Sensitivity analysis indicates </w:t>
      </w:r>
      <w:r w:rsidR="008378FE" w:rsidRPr="002F2639">
        <w:t xml:space="preserve">the quantified </w:t>
      </w:r>
      <w:r w:rsidR="0031440C" w:rsidRPr="002F2639">
        <w:t>gross</w:t>
      </w:r>
      <w:r w:rsidR="008378FE" w:rsidRPr="002F2639">
        <w:t xml:space="preserve"> benefit </w:t>
      </w:r>
      <w:r w:rsidR="00E3786C" w:rsidRPr="002F2639">
        <w:t xml:space="preserve">can </w:t>
      </w:r>
      <w:r w:rsidRPr="002F2639">
        <w:t xml:space="preserve">range </w:t>
      </w:r>
      <w:r w:rsidR="00E3786C" w:rsidRPr="002F2639">
        <w:t>between</w:t>
      </w:r>
      <w:r w:rsidRPr="002F2639">
        <w:t xml:space="preserve"> </w:t>
      </w:r>
      <w:r w:rsidR="00E3786C" w:rsidRPr="002F2639">
        <w:t>-$438</w:t>
      </w:r>
      <w:r w:rsidR="00194780" w:rsidRPr="002F2639">
        <w:t xml:space="preserve"> mil</w:t>
      </w:r>
      <w:r w:rsidR="00E3786C" w:rsidRPr="002F2639">
        <w:t>lion</w:t>
      </w:r>
      <w:r w:rsidR="00A21C63" w:rsidRPr="002F2639">
        <w:t xml:space="preserve"> (under the low scenario </w:t>
      </w:r>
      <w:r w:rsidR="003A3485" w:rsidRPr="002F2639">
        <w:t xml:space="preserve">outlined in </w:t>
      </w:r>
      <w:hyperlink w:anchor="AppendixD_SensitivityAnalysis" w:history="1">
        <w:r w:rsidR="002F2639" w:rsidRPr="00C00064">
          <w:rPr>
            <w:rStyle w:val="Hyperlink"/>
            <w:color w:val="auto"/>
            <w:u w:val="none"/>
          </w:rPr>
          <w:t>Appendix D</w:t>
        </w:r>
      </w:hyperlink>
      <w:r w:rsidR="00A21C63" w:rsidRPr="002F2639">
        <w:t>)</w:t>
      </w:r>
      <w:r w:rsidR="00194780" w:rsidRPr="002F2639">
        <w:t xml:space="preserve"> </w:t>
      </w:r>
      <w:r w:rsidR="00FB609F" w:rsidRPr="002F2639">
        <w:t>and</w:t>
      </w:r>
      <w:r w:rsidR="00E7182E" w:rsidRPr="002F2639">
        <w:t xml:space="preserve"> </w:t>
      </w:r>
      <w:r w:rsidR="00E3786C" w:rsidRPr="002F2639">
        <w:t>-$396</w:t>
      </w:r>
      <w:r w:rsidR="00194780" w:rsidRPr="002F2639">
        <w:t xml:space="preserve"> mil</w:t>
      </w:r>
      <w:r w:rsidR="00E3786C" w:rsidRPr="002F2639">
        <w:t>lion</w:t>
      </w:r>
      <w:r w:rsidR="003A3485" w:rsidRPr="002F2639">
        <w:t xml:space="preserve"> (under the high scenario outlined in </w:t>
      </w:r>
      <w:hyperlink w:anchor="AppendixD_SensitivityAnalysis" w:history="1">
        <w:r w:rsidR="002F2639" w:rsidRPr="00C00064">
          <w:rPr>
            <w:rStyle w:val="Hyperlink"/>
            <w:color w:val="auto"/>
            <w:u w:val="none"/>
          </w:rPr>
          <w:t>Appendix D</w:t>
        </w:r>
      </w:hyperlink>
      <w:r w:rsidR="003A3485" w:rsidRPr="002F2639">
        <w:t>)</w:t>
      </w:r>
      <w:r w:rsidR="00E3786C" w:rsidRPr="002F2639">
        <w:t xml:space="preserve"> over 10 years for the proposed WEL for benzene</w:t>
      </w:r>
      <w:r w:rsidR="002F2639" w:rsidRPr="002F2639">
        <w:t>.</w:t>
      </w:r>
      <w:r w:rsidR="00194780" w:rsidRPr="002F2639">
        <w:t xml:space="preserve"> </w:t>
      </w:r>
    </w:p>
    <w:p w14:paraId="74141CA5" w14:textId="270F3DBB" w:rsidR="00F4513D" w:rsidRDefault="00217243" w:rsidP="00C00064">
      <w:pPr>
        <w:pStyle w:val="Paragraph"/>
        <w:keepNext w:val="0"/>
      </w:pPr>
      <w:r>
        <w:t>In order for the proposed WEL</w:t>
      </w:r>
      <w:r w:rsidR="00E7182E">
        <w:t xml:space="preserve"> for benzene</w:t>
      </w:r>
      <w:r>
        <w:t xml:space="preserve"> to deliver a net benefit in economic terms, the non-quantified and </w:t>
      </w:r>
      <w:r w:rsidR="00303170">
        <w:t>qualitative</w:t>
      </w:r>
      <w:r>
        <w:t xml:space="preserve"> benefit</w:t>
      </w:r>
      <w:r w:rsidR="00303170">
        <w:t>s ou</w:t>
      </w:r>
      <w:r w:rsidR="0040125E" w:rsidRPr="0040125E">
        <w:t>tlined in Sections 5 and 9.1 of this Decision RIS</w:t>
      </w:r>
      <w:r w:rsidR="00303170">
        <w:t xml:space="preserve"> would need to </w:t>
      </w:r>
      <w:r w:rsidR="00DF0BE3">
        <w:t xml:space="preserve">meet or exceed </w:t>
      </w:r>
      <w:r w:rsidR="00E7182E">
        <w:t>a</w:t>
      </w:r>
      <w:r w:rsidR="00DF0BE3">
        <w:t xml:space="preserve"> quantified </w:t>
      </w:r>
      <w:r w:rsidR="006963EF">
        <w:t>gross</w:t>
      </w:r>
      <w:r w:rsidR="0023713F">
        <w:t xml:space="preserve"> cost of </w:t>
      </w:r>
      <w:r w:rsidR="00E85F16">
        <w:t>$</w:t>
      </w:r>
      <w:r w:rsidR="0023713F">
        <w:t xml:space="preserve">401 </w:t>
      </w:r>
      <w:r w:rsidR="00E85F16">
        <w:t xml:space="preserve">million. </w:t>
      </w:r>
    </w:p>
    <w:p w14:paraId="7B82507C" w14:textId="5CF80C4B" w:rsidR="00666698" w:rsidRDefault="00E47D28" w:rsidP="0051606E">
      <w:pPr>
        <w:pStyle w:val="Paragraph"/>
        <w:keepNext w:val="0"/>
      </w:pPr>
      <w:r>
        <w:t xml:space="preserve">This quantified </w:t>
      </w:r>
      <w:r w:rsidR="00285F09">
        <w:t>gross</w:t>
      </w:r>
      <w:r>
        <w:t xml:space="preserve"> cost is likely to be smaller than what is estimated</w:t>
      </w:r>
      <w:r w:rsidR="00564EA6">
        <w:t xml:space="preserve"> in </w:t>
      </w:r>
      <w:r w:rsidR="005B17E4">
        <w:fldChar w:fldCharType="begin"/>
      </w:r>
      <w:r w:rsidR="005B17E4">
        <w:instrText xml:space="preserve"> REF _Ref216700289 \h </w:instrText>
      </w:r>
      <w:r w:rsidR="005B17E4">
        <w:fldChar w:fldCharType="separate"/>
      </w:r>
      <w:r w:rsidR="00A002F4">
        <w:t xml:space="preserve">Table </w:t>
      </w:r>
      <w:r w:rsidR="00A002F4">
        <w:rPr>
          <w:noProof/>
        </w:rPr>
        <w:t>12</w:t>
      </w:r>
      <w:r w:rsidR="005B17E4">
        <w:fldChar w:fldCharType="end"/>
      </w:r>
      <w:r w:rsidR="00C73014">
        <w:t>.</w:t>
      </w:r>
      <w:r w:rsidR="00E21DF7">
        <w:t xml:space="preserve"> </w:t>
      </w:r>
      <w:r w:rsidR="00950631">
        <w:t>T</w:t>
      </w:r>
      <w:r w:rsidR="00E21DF7">
        <w:t>he d</w:t>
      </w:r>
      <w:r w:rsidR="00503128">
        <w:t xml:space="preserve">ata limitations, </w:t>
      </w:r>
      <w:r w:rsidR="00BF2553">
        <w:t>particularly</w:t>
      </w:r>
      <w:r w:rsidR="006D177E">
        <w:t xml:space="preserve"> the</w:t>
      </w:r>
      <w:r w:rsidR="005923CD">
        <w:t xml:space="preserve"> likely</w:t>
      </w:r>
      <w:r w:rsidR="003009E0">
        <w:t xml:space="preserve"> </w:t>
      </w:r>
      <w:r w:rsidR="00A144E1">
        <w:t xml:space="preserve">under-reporting </w:t>
      </w:r>
      <w:r w:rsidR="00B52548">
        <w:t>in workers’ compensations da</w:t>
      </w:r>
      <w:r w:rsidR="000E5F2C">
        <w:t>ta</w:t>
      </w:r>
      <w:r w:rsidR="00666698">
        <w:t xml:space="preserve"> discussed throughout this Decision RIS</w:t>
      </w:r>
      <w:r w:rsidR="009B7DC5">
        <w:t>,</w:t>
      </w:r>
      <w:r w:rsidR="00503128">
        <w:t xml:space="preserve"> are also </w:t>
      </w:r>
      <w:r w:rsidR="00FD610A">
        <w:t>relevant</w:t>
      </w:r>
      <w:r w:rsidR="009A6518">
        <w:t xml:space="preserve">. </w:t>
      </w:r>
      <w:r w:rsidR="00EA3764">
        <w:t>A</w:t>
      </w:r>
      <w:r w:rsidR="0080771C">
        <w:t xml:space="preserve">ctual benefits </w:t>
      </w:r>
      <w:r w:rsidR="00EE7E4F">
        <w:t xml:space="preserve">are therefore </w:t>
      </w:r>
      <w:r w:rsidR="0080771C">
        <w:t>under-estimated</w:t>
      </w:r>
      <w:r w:rsidR="00B919A5">
        <w:t>;</w:t>
      </w:r>
      <w:r w:rsidR="00666698">
        <w:t xml:space="preserve"> and</w:t>
      </w:r>
      <w:r w:rsidR="00B919A5">
        <w:t xml:space="preserve"> </w:t>
      </w:r>
      <w:r w:rsidR="00EE7E4F">
        <w:t>will</w:t>
      </w:r>
      <w:r w:rsidR="00797BB7">
        <w:t xml:space="preserve"> continue to be realised even after the 10-year appraisal period </w:t>
      </w:r>
      <w:r w:rsidR="007A6715">
        <w:t xml:space="preserve">of </w:t>
      </w:r>
      <w:r w:rsidR="00797BB7">
        <w:t xml:space="preserve">this analysis. </w:t>
      </w:r>
    </w:p>
    <w:p w14:paraId="4E74CDCB" w14:textId="279CA23E" w:rsidR="000E088E" w:rsidRDefault="00E7250E" w:rsidP="0051606E">
      <w:pPr>
        <w:pStyle w:val="Paragraph"/>
        <w:keepNext w:val="0"/>
      </w:pPr>
      <w:r>
        <w:t>In considering the quantified gross benefit, together with the non-quantified</w:t>
      </w:r>
      <w:r w:rsidR="00AF632C">
        <w:t xml:space="preserve"> and qualitative benefit, Option 2 presents a likely net benefit.</w:t>
      </w:r>
    </w:p>
    <w:p w14:paraId="1C4FBFC9" w14:textId="18EB7390" w:rsidR="00F01BA3" w:rsidRDefault="00F01BA3" w:rsidP="009D6C03">
      <w:pPr>
        <w:pStyle w:val="Caption"/>
      </w:pPr>
      <w:bookmarkStart w:id="112" w:name="_Ref216700289"/>
      <w:r>
        <w:lastRenderedPageBreak/>
        <w:t xml:space="preserve">Table </w:t>
      </w:r>
      <w:fldSimple w:instr=" SEQ Table \* ARABIC ">
        <w:r w:rsidR="00A002F4">
          <w:rPr>
            <w:noProof/>
          </w:rPr>
          <w:t>12</w:t>
        </w:r>
      </w:fldSimple>
      <w:bookmarkEnd w:id="112"/>
      <w:r>
        <w:t xml:space="preserve"> - </w:t>
      </w:r>
      <w:r w:rsidRPr="002772EE">
        <w:t xml:space="preserve">Quantified </w:t>
      </w:r>
      <w:r w:rsidR="00C1441D">
        <w:t>gross</w:t>
      </w:r>
      <w:r w:rsidRPr="002772EE">
        <w:t xml:space="preserve"> benefit ($, millions, discounted) for the proposed WEL for benzene, FY27 to FY36</w:t>
      </w:r>
    </w:p>
    <w:tbl>
      <w:tblPr>
        <w:tblStyle w:val="TableGrid"/>
        <w:tblW w:w="9062"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20"/>
        <w:gridCol w:w="3021"/>
        <w:gridCol w:w="3021"/>
      </w:tblGrid>
      <w:tr w:rsidR="0040125E" w:rsidRPr="0040125E" w14:paraId="09982EAB" w14:textId="77777777">
        <w:trPr>
          <w:trHeight w:val="243"/>
        </w:trPr>
        <w:tc>
          <w:tcPr>
            <w:tcW w:w="3020" w:type="dxa"/>
            <w:shd w:val="clear" w:color="auto" w:fill="2050BD" w:themeFill="accent1" w:themeFillShade="BF"/>
          </w:tcPr>
          <w:p w14:paraId="48EBA6F6" w14:textId="2FEBA252" w:rsidR="0040125E" w:rsidRPr="009D6C03" w:rsidRDefault="00F01BA3" w:rsidP="009D6C03">
            <w:pPr>
              <w:pStyle w:val="Paragraph"/>
              <w:spacing w:after="120" w:line="120" w:lineRule="atLeast"/>
              <w:rPr>
                <w:b/>
                <w:bCs/>
                <w:color w:val="FFFFFF" w:themeColor="background1"/>
              </w:rPr>
            </w:pPr>
            <w:r>
              <w:rPr>
                <w:b/>
                <w:bCs/>
                <w:color w:val="FFFFFF" w:themeColor="background1"/>
              </w:rPr>
              <w:t>Quantified</w:t>
            </w:r>
            <w:r w:rsidR="0040125E" w:rsidRPr="009D6C03">
              <w:rPr>
                <w:b/>
                <w:bCs/>
                <w:color w:val="FFFFFF" w:themeColor="background1"/>
              </w:rPr>
              <w:t xml:space="preserve"> benefits</w:t>
            </w:r>
          </w:p>
        </w:tc>
        <w:tc>
          <w:tcPr>
            <w:tcW w:w="3021" w:type="dxa"/>
            <w:shd w:val="clear" w:color="auto" w:fill="2050BD" w:themeFill="accent1" w:themeFillShade="BF"/>
          </w:tcPr>
          <w:p w14:paraId="13710DD3" w14:textId="3BD8E066" w:rsidR="0040125E" w:rsidRPr="009D6C03" w:rsidRDefault="00F01BA3" w:rsidP="0040125E">
            <w:pPr>
              <w:pStyle w:val="Paragraph"/>
              <w:rPr>
                <w:b/>
                <w:bCs/>
                <w:color w:val="FFFFFF" w:themeColor="background1"/>
              </w:rPr>
            </w:pPr>
            <w:r>
              <w:rPr>
                <w:b/>
                <w:bCs/>
                <w:color w:val="FFFFFF" w:themeColor="background1"/>
              </w:rPr>
              <w:t>Quantified</w:t>
            </w:r>
            <w:r w:rsidR="0040125E">
              <w:rPr>
                <w:b/>
                <w:color w:val="FFFFFF" w:themeColor="background1"/>
              </w:rPr>
              <w:t xml:space="preserve"> </w:t>
            </w:r>
            <w:r w:rsidR="0040125E" w:rsidRPr="009D6C03">
              <w:rPr>
                <w:b/>
                <w:bCs/>
                <w:color w:val="FFFFFF" w:themeColor="background1"/>
              </w:rPr>
              <w:t>costs</w:t>
            </w:r>
          </w:p>
        </w:tc>
        <w:tc>
          <w:tcPr>
            <w:tcW w:w="3021" w:type="dxa"/>
            <w:shd w:val="clear" w:color="auto" w:fill="2050BD" w:themeFill="accent1" w:themeFillShade="BF"/>
          </w:tcPr>
          <w:p w14:paraId="732C250D" w14:textId="1601A16E" w:rsidR="0040125E" w:rsidRPr="009D6C03" w:rsidRDefault="00345A0F" w:rsidP="0040125E">
            <w:pPr>
              <w:pStyle w:val="Paragraph"/>
              <w:rPr>
                <w:b/>
                <w:bCs/>
                <w:color w:val="FFFFFF" w:themeColor="background1"/>
              </w:rPr>
            </w:pPr>
            <w:r>
              <w:rPr>
                <w:b/>
                <w:bCs/>
                <w:color w:val="FFFFFF" w:themeColor="background1"/>
              </w:rPr>
              <w:t>Q</w:t>
            </w:r>
            <w:r w:rsidR="00F01BA3">
              <w:rPr>
                <w:b/>
                <w:bCs/>
                <w:color w:val="FFFFFF" w:themeColor="background1"/>
              </w:rPr>
              <w:t xml:space="preserve">uantified </w:t>
            </w:r>
            <w:r>
              <w:rPr>
                <w:b/>
                <w:bCs/>
                <w:color w:val="FFFFFF" w:themeColor="background1"/>
              </w:rPr>
              <w:t>gross</w:t>
            </w:r>
            <w:r w:rsidR="00F01BA3">
              <w:rPr>
                <w:b/>
                <w:bCs/>
                <w:color w:val="FFFFFF" w:themeColor="background1"/>
              </w:rPr>
              <w:t xml:space="preserve"> </w:t>
            </w:r>
            <w:r w:rsidR="0040125E" w:rsidRPr="009D6C03">
              <w:rPr>
                <w:b/>
                <w:bCs/>
                <w:color w:val="FFFFFF" w:themeColor="background1"/>
              </w:rPr>
              <w:t>benefit</w:t>
            </w:r>
          </w:p>
        </w:tc>
      </w:tr>
      <w:tr w:rsidR="0040125E" w:rsidRPr="0040125E" w14:paraId="0F395614" w14:textId="77777777">
        <w:trPr>
          <w:trHeight w:val="173"/>
        </w:trPr>
        <w:tc>
          <w:tcPr>
            <w:tcW w:w="3020" w:type="dxa"/>
            <w:vAlign w:val="bottom"/>
          </w:tcPr>
          <w:p w14:paraId="456AC4F4" w14:textId="77777777" w:rsidR="0040125E" w:rsidRPr="0040125E" w:rsidRDefault="0040125E" w:rsidP="009D6C03">
            <w:pPr>
              <w:pStyle w:val="Paragraph"/>
              <w:spacing w:after="120" w:line="120" w:lineRule="atLeast"/>
            </w:pPr>
            <w:r w:rsidRPr="0040125E">
              <w:t>439</w:t>
            </w:r>
          </w:p>
        </w:tc>
        <w:tc>
          <w:tcPr>
            <w:tcW w:w="3021" w:type="dxa"/>
            <w:vAlign w:val="bottom"/>
          </w:tcPr>
          <w:p w14:paraId="2C12A17A" w14:textId="77777777" w:rsidR="0040125E" w:rsidRPr="0040125E" w:rsidRDefault="0040125E" w:rsidP="009D6C03">
            <w:pPr>
              <w:pStyle w:val="Paragraph"/>
              <w:spacing w:after="120" w:line="120" w:lineRule="atLeast"/>
            </w:pPr>
            <w:r w:rsidRPr="0040125E">
              <w:t>840</w:t>
            </w:r>
          </w:p>
        </w:tc>
        <w:tc>
          <w:tcPr>
            <w:tcW w:w="3021" w:type="dxa"/>
          </w:tcPr>
          <w:p w14:paraId="61C9A12E" w14:textId="77777777" w:rsidR="0040125E" w:rsidRPr="0040125E" w:rsidRDefault="0040125E" w:rsidP="009D6C03">
            <w:pPr>
              <w:pStyle w:val="Paragraph"/>
              <w:spacing w:after="120" w:line="120" w:lineRule="atLeast"/>
            </w:pPr>
            <w:r w:rsidRPr="0040125E">
              <w:t xml:space="preserve">-401 </w:t>
            </w:r>
          </w:p>
        </w:tc>
      </w:tr>
    </w:tbl>
    <w:p w14:paraId="08CD3C70" w14:textId="1C1F1B05" w:rsidR="00CB06F3" w:rsidRPr="009D6C03" w:rsidRDefault="00CB06F3" w:rsidP="009D6C03">
      <w:pPr>
        <w:pStyle w:val="SWAHeading3"/>
        <w:spacing w:before="0"/>
        <w:rPr>
          <w:color w:val="808080" w:themeColor="background1" w:themeShade="80"/>
          <w:sz w:val="18"/>
          <w:szCs w:val="20"/>
        </w:rPr>
      </w:pPr>
      <w:r w:rsidRPr="00FC7340">
        <w:rPr>
          <w:i/>
          <w:iCs/>
          <w:color w:val="808080" w:themeColor="background1" w:themeShade="80"/>
          <w:sz w:val="18"/>
          <w:szCs w:val="20"/>
        </w:rPr>
        <w:t xml:space="preserve">** The quantified gross benefits should be read in conjunction with the non-quantifiable benefits set out in Section 5.2 and </w:t>
      </w:r>
      <w:r>
        <w:rPr>
          <w:i/>
          <w:iCs/>
          <w:color w:val="808080" w:themeColor="background1" w:themeShade="80"/>
          <w:sz w:val="18"/>
          <w:szCs w:val="20"/>
        </w:rPr>
        <w:t>9</w:t>
      </w:r>
      <w:r w:rsidRPr="00FC7340">
        <w:rPr>
          <w:i/>
          <w:iCs/>
          <w:color w:val="808080" w:themeColor="background1" w:themeShade="80"/>
          <w:sz w:val="18"/>
          <w:szCs w:val="20"/>
        </w:rPr>
        <w:t>.1.</w:t>
      </w:r>
    </w:p>
    <w:p w14:paraId="5A508C2E" w14:textId="724DFA8A" w:rsidR="00F87AA8" w:rsidRPr="00F87AA8" w:rsidRDefault="00F87AA8" w:rsidP="009D6C03">
      <w:pPr>
        <w:pStyle w:val="SWAHeading3"/>
      </w:pPr>
      <w:r>
        <w:t>Recommended option</w:t>
      </w:r>
    </w:p>
    <w:tbl>
      <w:tblPr>
        <w:tblStyle w:val="TableGrid"/>
        <w:tblW w:w="0" w:type="auto"/>
        <w:tblLook w:val="04A0" w:firstRow="1" w:lastRow="0" w:firstColumn="1" w:lastColumn="0" w:noHBand="0" w:noVBand="1"/>
      </w:tblPr>
      <w:tblGrid>
        <w:gridCol w:w="9016"/>
      </w:tblGrid>
      <w:tr w:rsidR="009911EB" w:rsidRPr="009911EB" w14:paraId="16404963" w14:textId="77777777">
        <w:tc>
          <w:tcPr>
            <w:tcW w:w="9060" w:type="dxa"/>
            <w:tcBorders>
              <w:top w:val="single" w:sz="4" w:space="0" w:color="DAE3F8" w:themeColor="accent1" w:themeTint="33"/>
              <w:left w:val="single" w:sz="4" w:space="0" w:color="DAE3F8" w:themeColor="accent1" w:themeTint="33"/>
              <w:bottom w:val="single" w:sz="4" w:space="0" w:color="DAE3F8" w:themeColor="accent1" w:themeTint="33"/>
              <w:right w:val="single" w:sz="4" w:space="0" w:color="DAE3F8" w:themeColor="accent1" w:themeTint="33"/>
            </w:tcBorders>
            <w:shd w:val="clear" w:color="auto" w:fill="DAE3F8" w:themeFill="accent1" w:themeFillTint="33"/>
          </w:tcPr>
          <w:p w14:paraId="54D097FA" w14:textId="77777777" w:rsidR="00564EA6" w:rsidRDefault="00540792" w:rsidP="007B4F80">
            <w:pPr>
              <w:spacing w:before="120" w:after="200" w:line="240" w:lineRule="atLeast"/>
              <w:contextualSpacing w:val="0"/>
              <w:rPr>
                <w:rFonts w:eastAsia="Times New Roman"/>
              </w:rPr>
            </w:pPr>
            <w:r>
              <w:rPr>
                <w:rFonts w:eastAsia="Times New Roman"/>
              </w:rPr>
              <w:t>I</w:t>
            </w:r>
            <w:r w:rsidRPr="009911EB">
              <w:rPr>
                <w:rFonts w:eastAsia="Times New Roman"/>
              </w:rPr>
              <w:t>t is recommended WHS ministers agree to the health-based recommendation for the WEL for benzene (</w:t>
            </w:r>
            <w:r w:rsidRPr="009911EB">
              <w:rPr>
                <w:rFonts w:eastAsia="Times New Roman"/>
                <w:b/>
                <w:bCs/>
              </w:rPr>
              <w:t>Option 2</w:t>
            </w:r>
            <w:r w:rsidRPr="009911EB">
              <w:rPr>
                <w:rFonts w:eastAsia="Times New Roman"/>
              </w:rPr>
              <w:t>): TWA of 0.2 ppm (0.7 mg/m</w:t>
            </w:r>
            <w:r w:rsidRPr="009911EB">
              <w:rPr>
                <w:rFonts w:eastAsia="Times New Roman"/>
                <w:vertAlign w:val="superscript"/>
              </w:rPr>
              <w:t>3</w:t>
            </w:r>
            <w:r w:rsidRPr="009911EB">
              <w:rPr>
                <w:rFonts w:eastAsia="Times New Roman"/>
              </w:rPr>
              <w:t>)</w:t>
            </w:r>
            <w:r w:rsidR="00192591">
              <w:rPr>
                <w:rFonts w:eastAsia="Times New Roman"/>
              </w:rPr>
              <w:t xml:space="preserve">. </w:t>
            </w:r>
          </w:p>
          <w:p w14:paraId="41ADE887" w14:textId="6D363D0A" w:rsidR="00540792" w:rsidRDefault="00192591" w:rsidP="007B4F80">
            <w:pPr>
              <w:spacing w:before="120" w:after="200" w:line="240" w:lineRule="atLeast"/>
              <w:contextualSpacing w:val="0"/>
              <w:rPr>
                <w:rFonts w:eastAsia="Times New Roman"/>
              </w:rPr>
            </w:pPr>
            <w:r>
              <w:rPr>
                <w:rFonts w:eastAsia="Times New Roman"/>
              </w:rPr>
              <w:t>This recommendation is</w:t>
            </w:r>
            <w:r w:rsidR="00540792">
              <w:rPr>
                <w:rFonts w:eastAsia="Times New Roman"/>
              </w:rPr>
              <w:t xml:space="preserve"> </w:t>
            </w:r>
            <w:r w:rsidR="00802589">
              <w:rPr>
                <w:rFonts w:eastAsia="Times New Roman"/>
              </w:rPr>
              <w:t>based on</w:t>
            </w:r>
            <w:r w:rsidR="00540792">
              <w:rPr>
                <w:rFonts w:eastAsia="Times New Roman"/>
              </w:rPr>
              <w:t xml:space="preserve"> the f</w:t>
            </w:r>
            <w:r w:rsidR="009911EB" w:rsidRPr="009911EB">
              <w:rPr>
                <w:rFonts w:eastAsia="Times New Roman"/>
              </w:rPr>
              <w:t>ollowing consideration</w:t>
            </w:r>
            <w:r w:rsidR="00540792">
              <w:rPr>
                <w:rFonts w:eastAsia="Times New Roman"/>
              </w:rPr>
              <w:t>s:</w:t>
            </w:r>
          </w:p>
          <w:p w14:paraId="06E7B933" w14:textId="26D14201" w:rsidR="00540792" w:rsidRDefault="006F43DB" w:rsidP="007B4F80">
            <w:pPr>
              <w:pStyle w:val="ListParagraph"/>
              <w:numPr>
                <w:ilvl w:val="0"/>
                <w:numId w:val="68"/>
              </w:numPr>
              <w:spacing w:before="120" w:after="200" w:line="240" w:lineRule="atLeast"/>
              <w:contextualSpacing w:val="0"/>
              <w:rPr>
                <w:rFonts w:eastAsia="Times New Roman"/>
              </w:rPr>
            </w:pPr>
            <w:r w:rsidRPr="00CA6B6E">
              <w:rPr>
                <w:rFonts w:eastAsia="Times New Roman"/>
              </w:rPr>
              <w:t xml:space="preserve">that </w:t>
            </w:r>
            <w:r w:rsidR="00611AEC" w:rsidRPr="00CA6B6E">
              <w:rPr>
                <w:rFonts w:eastAsia="Times New Roman"/>
              </w:rPr>
              <w:t xml:space="preserve">the proposed WEL for benzene </w:t>
            </w:r>
            <w:r w:rsidR="00B01E18">
              <w:rPr>
                <w:rFonts w:eastAsia="Times New Roman"/>
              </w:rPr>
              <w:t>aligns with</w:t>
            </w:r>
            <w:r w:rsidR="00611AEC" w:rsidRPr="00CA6B6E">
              <w:rPr>
                <w:rFonts w:eastAsia="Times New Roman"/>
              </w:rPr>
              <w:t xml:space="preserve"> </w:t>
            </w:r>
            <w:r w:rsidR="00DC2FA0" w:rsidRPr="00CA6B6E">
              <w:rPr>
                <w:rFonts w:eastAsia="Times New Roman"/>
              </w:rPr>
              <w:t xml:space="preserve">the </w:t>
            </w:r>
            <w:r w:rsidR="0020572A" w:rsidRPr="00CA6B6E">
              <w:rPr>
                <w:rFonts w:eastAsia="Times New Roman"/>
              </w:rPr>
              <w:t>object</w:t>
            </w:r>
            <w:r w:rsidR="000025E9" w:rsidRPr="00CA6B6E">
              <w:rPr>
                <w:rFonts w:eastAsia="Times New Roman"/>
              </w:rPr>
              <w:t xml:space="preserve"> of the model WHS Act</w:t>
            </w:r>
            <w:r w:rsidR="0020572A" w:rsidRPr="00CA6B6E">
              <w:rPr>
                <w:rFonts w:eastAsia="Times New Roman"/>
              </w:rPr>
              <w:t xml:space="preserve"> to protect workers and others from </w:t>
            </w:r>
            <w:r w:rsidR="000025E9" w:rsidRPr="00CA6B6E">
              <w:rPr>
                <w:rFonts w:eastAsia="Times New Roman"/>
              </w:rPr>
              <w:t>harm to their health, safety and welfare through the elimination or minimisat</w:t>
            </w:r>
            <w:r w:rsidR="00DF2439" w:rsidRPr="00CA6B6E">
              <w:rPr>
                <w:rFonts w:eastAsia="Times New Roman"/>
              </w:rPr>
              <w:t>ion of risks</w:t>
            </w:r>
            <w:r w:rsidR="005420B0">
              <w:rPr>
                <w:rFonts w:eastAsia="Times New Roman"/>
              </w:rPr>
              <w:t>,</w:t>
            </w:r>
            <w:r w:rsidR="009911EB" w:rsidRPr="00CA6B6E">
              <w:rPr>
                <w:rFonts w:eastAsia="Times New Roman"/>
              </w:rPr>
              <w:t xml:space="preserve"> </w:t>
            </w:r>
          </w:p>
          <w:p w14:paraId="7776C034" w14:textId="4A40C581" w:rsidR="00691F2D" w:rsidRDefault="00691F2D" w:rsidP="007B4F80">
            <w:pPr>
              <w:pStyle w:val="ListParagraph"/>
              <w:numPr>
                <w:ilvl w:val="0"/>
                <w:numId w:val="68"/>
              </w:numPr>
              <w:spacing w:before="120" w:after="200" w:line="240" w:lineRule="atLeast"/>
              <w:contextualSpacing w:val="0"/>
              <w:rPr>
                <w:rFonts w:eastAsia="Times New Roman"/>
              </w:rPr>
            </w:pPr>
            <w:r w:rsidRPr="00691F2D">
              <w:rPr>
                <w:rFonts w:eastAsia="Times New Roman"/>
              </w:rPr>
              <w:t xml:space="preserve">the scientific evidence that </w:t>
            </w:r>
            <w:r w:rsidR="00961262">
              <w:rPr>
                <w:rFonts w:eastAsia="Times New Roman"/>
              </w:rPr>
              <w:t xml:space="preserve">indicates the </w:t>
            </w:r>
            <w:r w:rsidR="0057311E">
              <w:rPr>
                <w:rFonts w:eastAsia="Times New Roman"/>
              </w:rPr>
              <w:t xml:space="preserve">proposed </w:t>
            </w:r>
            <w:r w:rsidR="0032783D">
              <w:rPr>
                <w:rFonts w:eastAsia="Times New Roman"/>
              </w:rPr>
              <w:t>health</w:t>
            </w:r>
            <w:r w:rsidR="0057311E">
              <w:rPr>
                <w:rFonts w:eastAsia="Times New Roman"/>
              </w:rPr>
              <w:t>-</w:t>
            </w:r>
            <w:r w:rsidR="0032783D">
              <w:rPr>
                <w:rFonts w:eastAsia="Times New Roman"/>
              </w:rPr>
              <w:t xml:space="preserve">based </w:t>
            </w:r>
            <w:r w:rsidR="0057311E">
              <w:rPr>
                <w:rFonts w:eastAsia="Times New Roman"/>
              </w:rPr>
              <w:t>WEL</w:t>
            </w:r>
            <w:r w:rsidR="00600607">
              <w:rPr>
                <w:rFonts w:eastAsia="Times New Roman"/>
              </w:rPr>
              <w:t xml:space="preserve"> </w:t>
            </w:r>
            <w:r w:rsidR="006754C6">
              <w:rPr>
                <w:rFonts w:eastAsia="Times New Roman"/>
              </w:rPr>
              <w:t xml:space="preserve">is </w:t>
            </w:r>
            <w:r w:rsidR="00961262">
              <w:rPr>
                <w:rFonts w:eastAsia="Times New Roman"/>
              </w:rPr>
              <w:t>protective of workers</w:t>
            </w:r>
            <w:r w:rsidR="005420B0">
              <w:rPr>
                <w:rFonts w:eastAsia="Times New Roman"/>
              </w:rPr>
              <w:t>,</w:t>
            </w:r>
            <w:r w:rsidR="00961262">
              <w:rPr>
                <w:rFonts w:eastAsia="Times New Roman"/>
              </w:rPr>
              <w:t xml:space="preserve"> </w:t>
            </w:r>
          </w:p>
          <w:p w14:paraId="66BF0599" w14:textId="7466AA7C" w:rsidR="00BC6364" w:rsidRDefault="009911EB" w:rsidP="007B4F80">
            <w:pPr>
              <w:pStyle w:val="ListParagraph"/>
              <w:numPr>
                <w:ilvl w:val="0"/>
                <w:numId w:val="68"/>
              </w:numPr>
              <w:spacing w:before="120" w:after="200" w:line="240" w:lineRule="atLeast"/>
              <w:contextualSpacing w:val="0"/>
              <w:rPr>
                <w:rFonts w:eastAsia="Times New Roman"/>
              </w:rPr>
            </w:pPr>
            <w:r w:rsidRPr="00CA6B6E">
              <w:rPr>
                <w:rFonts w:eastAsia="Times New Roman"/>
              </w:rPr>
              <w:t xml:space="preserve">stakeholder </w:t>
            </w:r>
            <w:r w:rsidR="00DD6F8E" w:rsidRPr="00CA6B6E">
              <w:rPr>
                <w:rFonts w:eastAsia="Times New Roman"/>
              </w:rPr>
              <w:t>views and comments on the proposed WEL</w:t>
            </w:r>
            <w:r w:rsidR="00EA1293">
              <w:rPr>
                <w:rFonts w:eastAsia="Times New Roman"/>
              </w:rPr>
              <w:t>,</w:t>
            </w:r>
            <w:r w:rsidRPr="00CA6B6E">
              <w:rPr>
                <w:rFonts w:eastAsia="Times New Roman"/>
              </w:rPr>
              <w:t xml:space="preserve"> and</w:t>
            </w:r>
          </w:p>
          <w:p w14:paraId="0142D262" w14:textId="4E34418C" w:rsidR="009911EB" w:rsidRPr="00CA6B6E" w:rsidRDefault="009911EB" w:rsidP="007B4F80">
            <w:pPr>
              <w:pStyle w:val="ListParagraph"/>
              <w:numPr>
                <w:ilvl w:val="0"/>
                <w:numId w:val="68"/>
              </w:numPr>
              <w:spacing w:before="120" w:after="200" w:line="240" w:lineRule="atLeast"/>
              <w:contextualSpacing w:val="0"/>
              <w:rPr>
                <w:rFonts w:eastAsia="Times New Roman"/>
              </w:rPr>
            </w:pPr>
            <w:r w:rsidRPr="00CA6B6E">
              <w:rPr>
                <w:rFonts w:eastAsia="Times New Roman"/>
              </w:rPr>
              <w:t xml:space="preserve">the </w:t>
            </w:r>
            <w:r w:rsidR="008D3524">
              <w:rPr>
                <w:rFonts w:eastAsia="Times New Roman"/>
              </w:rPr>
              <w:t xml:space="preserve">net </w:t>
            </w:r>
            <w:r w:rsidRPr="00CA6B6E">
              <w:rPr>
                <w:rFonts w:eastAsia="Times New Roman"/>
              </w:rPr>
              <w:t>benefit</w:t>
            </w:r>
            <w:r w:rsidR="00AA1718">
              <w:rPr>
                <w:rFonts w:eastAsia="Times New Roman"/>
              </w:rPr>
              <w:t xml:space="preserve"> expected</w:t>
            </w:r>
            <w:r w:rsidR="006754C6">
              <w:rPr>
                <w:rFonts w:eastAsia="Times New Roman"/>
              </w:rPr>
              <w:t xml:space="preserve">, particularly </w:t>
            </w:r>
            <w:r w:rsidR="00991B22">
              <w:rPr>
                <w:rFonts w:eastAsia="Times New Roman"/>
              </w:rPr>
              <w:t xml:space="preserve">protection of workers from </w:t>
            </w:r>
            <w:r w:rsidR="00991B22" w:rsidRPr="00991B22">
              <w:rPr>
                <w:rFonts w:eastAsia="Times New Roman"/>
              </w:rPr>
              <w:t>developing leukaemia</w:t>
            </w:r>
            <w:r w:rsidR="009B6552">
              <w:rPr>
                <w:rFonts w:eastAsia="Times New Roman"/>
              </w:rPr>
              <w:t>,</w:t>
            </w:r>
            <w:r w:rsidRPr="00CA6B6E">
              <w:rPr>
                <w:rFonts w:eastAsia="Times New Roman"/>
              </w:rPr>
              <w:t xml:space="preserve"> of the proposed change</w:t>
            </w:r>
            <w:r w:rsidR="00540792" w:rsidRPr="00CA6B6E">
              <w:rPr>
                <w:rFonts w:eastAsia="Times New Roman"/>
              </w:rPr>
              <w:t xml:space="preserve">. </w:t>
            </w:r>
            <w:r w:rsidR="00361141" w:rsidRPr="00CA6B6E">
              <w:rPr>
                <w:rFonts w:eastAsia="Times New Roman"/>
              </w:rPr>
              <w:t xml:space="preserve"> </w:t>
            </w:r>
          </w:p>
          <w:p w14:paraId="6C08520A" w14:textId="7976A26B" w:rsidR="003C08E4" w:rsidRPr="007B58C6" w:rsidRDefault="00E6310B" w:rsidP="007B4F80">
            <w:pPr>
              <w:contextualSpacing w:val="0"/>
            </w:pPr>
            <w:r>
              <w:t>It</w:t>
            </w:r>
            <w:r w:rsidR="00EE08A1">
              <w:t xml:space="preserve"> is</w:t>
            </w:r>
            <w:r>
              <w:t xml:space="preserve"> also</w:t>
            </w:r>
            <w:r w:rsidR="001A27E7">
              <w:t xml:space="preserve"> recommended WHS ministers agree</w:t>
            </w:r>
            <w:r w:rsidR="00053C69">
              <w:t xml:space="preserve"> there be </w:t>
            </w:r>
            <w:r w:rsidR="00BA36C4" w:rsidRPr="00BA36C4">
              <w:t>a transition period</w:t>
            </w:r>
            <w:r w:rsidR="001A27E7" w:rsidRPr="00BA36C4">
              <w:t xml:space="preserve"> for benzene </w:t>
            </w:r>
            <w:r w:rsidR="00BA36C4" w:rsidRPr="00BA36C4">
              <w:t>aligned to</w:t>
            </w:r>
            <w:r w:rsidR="001A27E7" w:rsidRPr="00BA36C4">
              <w:t xml:space="preserve"> the 1 December 2026 implementation date for the </w:t>
            </w:r>
            <w:r w:rsidR="001A27E7" w:rsidRPr="00053C69">
              <w:rPr>
                <w:i/>
              </w:rPr>
              <w:t>Workplace exposure limits</w:t>
            </w:r>
            <w:r w:rsidR="00037D3B" w:rsidRPr="00053C69">
              <w:rPr>
                <w:i/>
              </w:rPr>
              <w:t xml:space="preserve"> for airborne contaminants</w:t>
            </w:r>
            <w:r w:rsidR="001A27E7" w:rsidRPr="00BA36C4">
              <w:t>.</w:t>
            </w:r>
            <w:r w:rsidR="001A27E7">
              <w:t xml:space="preserve">  </w:t>
            </w:r>
          </w:p>
        </w:tc>
      </w:tr>
    </w:tbl>
    <w:p w14:paraId="4757DEA8" w14:textId="037E6D00" w:rsidR="001A65E1" w:rsidRPr="009911EB" w:rsidRDefault="009911EB" w:rsidP="00CA6B6E">
      <w:pPr>
        <w:spacing w:after="200" w:line="240" w:lineRule="atLeast"/>
        <w:contextualSpacing w:val="0"/>
        <w:rPr>
          <w:rFonts w:eastAsia="Times New Roman"/>
          <w:lang w:eastAsia="en-AU"/>
        </w:rPr>
      </w:pPr>
      <w:r w:rsidRPr="009911EB">
        <w:rPr>
          <w:rFonts w:eastAsia="Times New Roman"/>
        </w:rPr>
        <w:br/>
      </w:r>
    </w:p>
    <w:p w14:paraId="1E8F939A" w14:textId="3B350EE1" w:rsidR="000B51DC" w:rsidRPr="001E0124" w:rsidRDefault="00053B8D" w:rsidP="00EF2F69">
      <w:pPr>
        <w:pStyle w:val="SWAHeading1"/>
        <w:rPr>
          <w:color w:val="2B0A99" w:themeColor="text2"/>
        </w:rPr>
      </w:pPr>
      <w:bookmarkStart w:id="113" w:name="_Toc181003128"/>
      <w:bookmarkStart w:id="114" w:name="_Toc193192578"/>
      <w:bookmarkStart w:id="115" w:name="_Toc196204613"/>
      <w:bookmarkStart w:id="116" w:name="_Toc179376601"/>
      <w:bookmarkStart w:id="117" w:name="_Hlk178941693"/>
      <w:bookmarkEnd w:id="9"/>
      <w:r>
        <w:rPr>
          <w:color w:val="2B0A99" w:themeColor="text2"/>
        </w:rPr>
        <w:lastRenderedPageBreak/>
        <w:t xml:space="preserve"> </w:t>
      </w:r>
      <w:bookmarkStart w:id="118" w:name="_Toc219216887"/>
      <w:r w:rsidR="000E6563" w:rsidRPr="005315A5">
        <w:rPr>
          <w:color w:val="2B0A99" w:themeColor="text2"/>
        </w:rPr>
        <w:t xml:space="preserve">Detailed </w:t>
      </w:r>
      <w:r w:rsidR="00D14462">
        <w:rPr>
          <w:color w:val="2B0A99" w:themeColor="text2"/>
        </w:rPr>
        <w:t>i</w:t>
      </w:r>
      <w:r w:rsidR="000E6563" w:rsidRPr="005315A5">
        <w:rPr>
          <w:color w:val="2B0A99" w:themeColor="text2"/>
        </w:rPr>
        <w:t xml:space="preserve">mpact </w:t>
      </w:r>
      <w:r w:rsidR="00D14462">
        <w:rPr>
          <w:color w:val="2B0A99" w:themeColor="text2"/>
        </w:rPr>
        <w:t>a</w:t>
      </w:r>
      <w:r w:rsidR="000E6563" w:rsidRPr="005315A5">
        <w:rPr>
          <w:color w:val="2B0A99" w:themeColor="text2"/>
        </w:rPr>
        <w:t xml:space="preserve">ssessment for </w:t>
      </w:r>
      <w:r w:rsidR="00D14462">
        <w:rPr>
          <w:color w:val="2B0A99" w:themeColor="text2"/>
        </w:rPr>
        <w:t>c</w:t>
      </w:r>
      <w:r w:rsidR="000B51DC" w:rsidRPr="001E0124">
        <w:rPr>
          <w:color w:val="2B0A99" w:themeColor="text2"/>
        </w:rPr>
        <w:t>hlorine</w:t>
      </w:r>
      <w:bookmarkEnd w:id="113"/>
      <w:bookmarkEnd w:id="114"/>
      <w:bookmarkEnd w:id="115"/>
      <w:bookmarkEnd w:id="118"/>
      <w:r w:rsidR="000B51DC" w:rsidRPr="001E0124">
        <w:rPr>
          <w:color w:val="2B0A99" w:themeColor="text2"/>
        </w:rPr>
        <w:t xml:space="preserve"> </w:t>
      </w:r>
      <w:bookmarkEnd w:id="116"/>
    </w:p>
    <w:tbl>
      <w:tblPr>
        <w:tblStyle w:val="TableGrid"/>
        <w:tblW w:w="0" w:type="auto"/>
        <w:tblLook w:val="04A0" w:firstRow="1" w:lastRow="0" w:firstColumn="1" w:lastColumn="0" w:noHBand="0" w:noVBand="1"/>
      </w:tblPr>
      <w:tblGrid>
        <w:gridCol w:w="9016"/>
      </w:tblGrid>
      <w:tr w:rsidR="000B51DC" w14:paraId="2ED88985" w14:textId="77777777" w:rsidTr="00E80AF6">
        <w:tc>
          <w:tcPr>
            <w:tcW w:w="90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51E2A9B" w14:textId="77777777" w:rsidR="000B51DC" w:rsidRPr="001E0124" w:rsidRDefault="000B51DC">
            <w:pPr>
              <w:pStyle w:val="SWAHeading3"/>
            </w:pPr>
            <w:bookmarkStart w:id="119" w:name="_Toc193192579"/>
            <w:bookmarkStart w:id="120" w:name="_Toc196204614"/>
            <w:r w:rsidRPr="001E0124">
              <w:t>Policy options for chlorine</w:t>
            </w:r>
            <w:bookmarkEnd w:id="119"/>
            <w:bookmarkEnd w:id="120"/>
          </w:p>
          <w:p w14:paraId="71551D80" w14:textId="3DF95F54" w:rsidR="000B51DC" w:rsidRDefault="000B51DC" w:rsidP="38A49B51">
            <w:pPr>
              <w:pStyle w:val="Paragraph"/>
              <w:rPr>
                <w:lang w:eastAsia="en-US"/>
              </w:rPr>
            </w:pPr>
            <w:r w:rsidRPr="38A49B51">
              <w:rPr>
                <w:lang w:eastAsia="en-US"/>
              </w:rPr>
              <w:t>Option 1 is to retain the current peak limitation of 1 ppm (3 mg/m</w:t>
            </w:r>
            <w:r w:rsidRPr="38A49B51">
              <w:rPr>
                <w:vertAlign w:val="superscript"/>
                <w:lang w:eastAsia="en-US"/>
              </w:rPr>
              <w:t>3</w:t>
            </w:r>
            <w:r w:rsidRPr="38A49B51">
              <w:rPr>
                <w:lang w:eastAsia="en-US"/>
              </w:rPr>
              <w:t xml:space="preserve">). </w:t>
            </w:r>
          </w:p>
          <w:p w14:paraId="6959A33F" w14:textId="52F38B56" w:rsidR="000B51DC" w:rsidRDefault="000B51DC">
            <w:pPr>
              <w:pStyle w:val="Paragraph"/>
              <w:rPr>
                <w:lang w:eastAsia="en-US"/>
              </w:rPr>
            </w:pPr>
            <w:r>
              <w:rPr>
                <w:lang w:eastAsia="en-US"/>
              </w:rPr>
              <w:t>Option 2 is to change to the proposed TWA</w:t>
            </w:r>
            <w:r w:rsidDel="00136F77">
              <w:rPr>
                <w:lang w:eastAsia="en-US"/>
              </w:rPr>
              <w:t xml:space="preserve"> </w:t>
            </w:r>
            <w:r>
              <w:rPr>
                <w:lang w:eastAsia="en-US"/>
              </w:rPr>
              <w:t>of 0.1 ppm (0.29 mg/m</w:t>
            </w:r>
            <w:r w:rsidRPr="00AC463F">
              <w:rPr>
                <w:vertAlign w:val="superscript"/>
                <w:lang w:eastAsia="en-US"/>
              </w:rPr>
              <w:t>3</w:t>
            </w:r>
            <w:r>
              <w:rPr>
                <w:lang w:eastAsia="en-US"/>
              </w:rPr>
              <w:t>) and peak limitation</w:t>
            </w:r>
            <w:r w:rsidDel="00136F77">
              <w:rPr>
                <w:lang w:eastAsia="en-US"/>
              </w:rPr>
              <w:t xml:space="preserve"> </w:t>
            </w:r>
            <w:r>
              <w:rPr>
                <w:lang w:eastAsia="en-US"/>
              </w:rPr>
              <w:t>of 0.4 ppm (1.16 mg/m</w:t>
            </w:r>
            <w:r w:rsidRPr="00DF24D0">
              <w:rPr>
                <w:vertAlign w:val="superscript"/>
                <w:lang w:eastAsia="en-US"/>
              </w:rPr>
              <w:t>3</w:t>
            </w:r>
            <w:r>
              <w:rPr>
                <w:lang w:eastAsia="en-US"/>
              </w:rPr>
              <w:t>)</w:t>
            </w:r>
            <w:r w:rsidR="000E6563">
              <w:rPr>
                <w:lang w:eastAsia="en-US"/>
              </w:rPr>
              <w:t xml:space="preserve"> </w:t>
            </w:r>
            <w:r w:rsidR="000E6563" w:rsidRPr="000E6563">
              <w:rPr>
                <w:b/>
                <w:bCs/>
                <w:lang w:eastAsia="en-US"/>
              </w:rPr>
              <w:t>– recommended</w:t>
            </w:r>
            <w:r w:rsidRPr="000E6563">
              <w:rPr>
                <w:b/>
                <w:bCs/>
                <w:lang w:eastAsia="en-US"/>
              </w:rPr>
              <w:t>.</w:t>
            </w:r>
          </w:p>
        </w:tc>
      </w:tr>
    </w:tbl>
    <w:p w14:paraId="510806FD" w14:textId="604543D0" w:rsidR="0040271A" w:rsidRDefault="00136F77" w:rsidP="00FB18E4">
      <w:pPr>
        <w:pStyle w:val="SWAHeading2"/>
        <w:ind w:left="709"/>
      </w:pPr>
      <w:bookmarkStart w:id="121" w:name="_Toc196204615"/>
      <w:bookmarkStart w:id="122" w:name="_Toc219216888"/>
      <w:bookmarkStart w:id="123" w:name="_Toc193192580"/>
      <w:r>
        <w:t>Benefits of the proposed WEL</w:t>
      </w:r>
      <w:r w:rsidR="0040271A" w:rsidRPr="0040271A">
        <w:t xml:space="preserve"> for </w:t>
      </w:r>
      <w:r w:rsidR="0040271A">
        <w:t>chlorine</w:t>
      </w:r>
      <w:bookmarkEnd w:id="121"/>
      <w:bookmarkEnd w:id="122"/>
    </w:p>
    <w:p w14:paraId="3C00EC0E" w14:textId="39ADA1B6" w:rsidR="0040271A" w:rsidRDefault="00F657F8" w:rsidP="0040271A">
      <w:pPr>
        <w:pStyle w:val="SWAHeading3"/>
      </w:pPr>
      <w:bookmarkStart w:id="124" w:name="_Toc196204616"/>
      <w:r>
        <w:t>Health benefits of the proposed WEL for chlorine</w:t>
      </w:r>
      <w:bookmarkEnd w:id="124"/>
    </w:p>
    <w:p w14:paraId="646CAFE8" w14:textId="2268E1D8" w:rsidR="00CC0AB8" w:rsidRDefault="00F657F8" w:rsidP="00F86298">
      <w:pPr>
        <w:pStyle w:val="Paragraph"/>
        <w:keepNext w:val="0"/>
        <w:rPr>
          <w:lang w:eastAsia="en-US"/>
        </w:rPr>
      </w:pPr>
      <w:r>
        <w:rPr>
          <w:lang w:eastAsia="en-US"/>
        </w:rPr>
        <w:t xml:space="preserve">The proposed </w:t>
      </w:r>
      <w:r w:rsidR="001273D1" w:rsidRPr="001273D1">
        <w:rPr>
          <w:lang w:eastAsia="en-US"/>
        </w:rPr>
        <w:t>TWA</w:t>
      </w:r>
      <w:r w:rsidR="001273D1" w:rsidRPr="001273D1" w:rsidDel="00136F77">
        <w:rPr>
          <w:lang w:eastAsia="en-US"/>
        </w:rPr>
        <w:t xml:space="preserve"> </w:t>
      </w:r>
      <w:r w:rsidR="001273D1" w:rsidRPr="001273D1">
        <w:rPr>
          <w:lang w:eastAsia="en-US"/>
        </w:rPr>
        <w:t>of 0.1 ppm (0.29 mg/m</w:t>
      </w:r>
      <w:r w:rsidR="001273D1" w:rsidRPr="001273D1">
        <w:rPr>
          <w:vertAlign w:val="superscript"/>
          <w:lang w:eastAsia="en-US"/>
        </w:rPr>
        <w:t>3</w:t>
      </w:r>
      <w:r w:rsidR="001273D1" w:rsidRPr="001273D1">
        <w:rPr>
          <w:lang w:eastAsia="en-US"/>
        </w:rPr>
        <w:t>) and peak limitation</w:t>
      </w:r>
      <w:r w:rsidR="001273D1" w:rsidRPr="001273D1" w:rsidDel="00136F77">
        <w:rPr>
          <w:lang w:eastAsia="en-US"/>
        </w:rPr>
        <w:t xml:space="preserve"> </w:t>
      </w:r>
      <w:r w:rsidR="001273D1" w:rsidRPr="001273D1">
        <w:rPr>
          <w:lang w:eastAsia="en-US"/>
        </w:rPr>
        <w:t>of 0.4 ppm (1.16 mg/m</w:t>
      </w:r>
      <w:r w:rsidR="001273D1" w:rsidRPr="001273D1">
        <w:rPr>
          <w:vertAlign w:val="superscript"/>
          <w:lang w:eastAsia="en-US"/>
        </w:rPr>
        <w:t>3</w:t>
      </w:r>
      <w:r w:rsidR="001273D1" w:rsidRPr="001273D1">
        <w:rPr>
          <w:lang w:eastAsia="en-US"/>
        </w:rPr>
        <w:t>)</w:t>
      </w:r>
      <w:r w:rsidR="001273D1">
        <w:rPr>
          <w:lang w:eastAsia="en-US"/>
        </w:rPr>
        <w:t xml:space="preserve"> </w:t>
      </w:r>
      <w:r>
        <w:rPr>
          <w:lang w:eastAsia="en-US"/>
        </w:rPr>
        <w:t>for c</w:t>
      </w:r>
      <w:r w:rsidR="00F86298">
        <w:rPr>
          <w:lang w:eastAsia="en-US"/>
        </w:rPr>
        <w:t xml:space="preserve">hlorine </w:t>
      </w:r>
      <w:r>
        <w:rPr>
          <w:lang w:eastAsia="en-US"/>
        </w:rPr>
        <w:t>is intended to protect workers and others in the workplace from the risk of</w:t>
      </w:r>
      <w:r w:rsidR="00F86298">
        <w:rPr>
          <w:lang w:eastAsia="en-US"/>
        </w:rPr>
        <w:t xml:space="preserve"> eye and respiratory tract irritation at low concentrations, and irreversible impairment of lung function at higher concentrations</w:t>
      </w:r>
      <w:r w:rsidR="00DF2353">
        <w:rPr>
          <w:lang w:eastAsia="en-US"/>
        </w:rPr>
        <w:t xml:space="preserve"> </w:t>
      </w:r>
      <w:sdt>
        <w:sdtPr>
          <w:id w:val="752630756"/>
          <w:citation/>
        </w:sdtPr>
        <w:sdtEndPr/>
        <w:sdtContent>
          <w:r w:rsidR="00DF2353">
            <w:fldChar w:fldCharType="begin"/>
          </w:r>
          <w:r w:rsidR="003C7560">
            <w:rPr>
              <w:lang w:eastAsia="en-US"/>
            </w:rPr>
            <w:instrText xml:space="preserve">CITATION Saf193 \l 3081 </w:instrText>
          </w:r>
          <w:r w:rsidR="00DF2353">
            <w:fldChar w:fldCharType="separate"/>
          </w:r>
          <w:r w:rsidR="00490B21">
            <w:rPr>
              <w:noProof/>
              <w:lang w:eastAsia="en-US"/>
            </w:rPr>
            <w:t>(Safe Work Australia, 2019)</w:t>
          </w:r>
          <w:r w:rsidR="00DF2353">
            <w:fldChar w:fldCharType="end"/>
          </w:r>
        </w:sdtContent>
      </w:sdt>
      <w:r w:rsidR="00F86298">
        <w:rPr>
          <w:lang w:eastAsia="en-US"/>
        </w:rPr>
        <w:t xml:space="preserve">. </w:t>
      </w:r>
      <w:r w:rsidR="0084318B" w:rsidRPr="0084318B">
        <w:rPr>
          <w:lang w:eastAsia="en-US"/>
        </w:rPr>
        <w:t xml:space="preserve">It is likely to benefit the estimated </w:t>
      </w:r>
      <w:r w:rsidR="00CA05AA">
        <w:rPr>
          <w:lang w:eastAsia="en-US"/>
        </w:rPr>
        <w:t>120,140</w:t>
      </w:r>
      <w:r w:rsidR="0084318B" w:rsidRPr="0084318B">
        <w:rPr>
          <w:lang w:eastAsia="en-US"/>
        </w:rPr>
        <w:t xml:space="preserve"> workers in Australia who are at risk of exposure to </w:t>
      </w:r>
      <w:r w:rsidR="00CA05AA">
        <w:rPr>
          <w:lang w:eastAsia="en-US"/>
        </w:rPr>
        <w:t>chlorine.</w:t>
      </w:r>
    </w:p>
    <w:p w14:paraId="3416F2C4" w14:textId="2D1549D1" w:rsidR="005244CC" w:rsidRDefault="00F657F8" w:rsidP="00F86298">
      <w:pPr>
        <w:pStyle w:val="Paragraph"/>
        <w:keepNext w:val="0"/>
        <w:rPr>
          <w:lang w:eastAsia="en-US"/>
        </w:rPr>
      </w:pPr>
      <w:hyperlink r:id="rId41" w:history="1">
        <w:r w:rsidRPr="0060219B">
          <w:rPr>
            <w:rStyle w:val="Hyperlink"/>
            <w:lang w:eastAsia="en-US"/>
          </w:rPr>
          <w:t>Health evide</w:t>
        </w:r>
        <w:bookmarkStart w:id="125" w:name="_Hlt210726743"/>
        <w:bookmarkStart w:id="126" w:name="_Hlt210726744"/>
        <w:r w:rsidRPr="0060219B">
          <w:rPr>
            <w:rStyle w:val="Hyperlink"/>
            <w:lang w:eastAsia="en-US"/>
          </w:rPr>
          <w:t>n</w:t>
        </w:r>
        <w:bookmarkEnd w:id="125"/>
        <w:bookmarkEnd w:id="126"/>
        <w:r w:rsidRPr="0060219B">
          <w:rPr>
            <w:rStyle w:val="Hyperlink"/>
            <w:lang w:eastAsia="en-US"/>
          </w:rPr>
          <w:t>ce</w:t>
        </w:r>
      </w:hyperlink>
      <w:r w:rsidR="009F1CF2">
        <w:rPr>
          <w:lang w:eastAsia="en-US"/>
        </w:rPr>
        <w:t xml:space="preserve"> </w:t>
      </w:r>
      <w:r>
        <w:rPr>
          <w:lang w:eastAsia="en-US"/>
        </w:rPr>
        <w:t xml:space="preserve">in the evaluation report for chlorine </w:t>
      </w:r>
      <w:r w:rsidR="00E32779">
        <w:rPr>
          <w:lang w:eastAsia="en-US"/>
        </w:rPr>
        <w:t>show</w:t>
      </w:r>
      <w:r w:rsidR="00CE199E">
        <w:rPr>
          <w:lang w:eastAsia="en-US"/>
        </w:rPr>
        <w:t>s</w:t>
      </w:r>
      <w:r w:rsidR="00E32779">
        <w:rPr>
          <w:lang w:eastAsia="en-US"/>
        </w:rPr>
        <w:t xml:space="preserve"> that </w:t>
      </w:r>
      <w:r w:rsidR="00AE24C9">
        <w:rPr>
          <w:lang w:eastAsia="en-US"/>
        </w:rPr>
        <w:t xml:space="preserve">a </w:t>
      </w:r>
      <w:r w:rsidR="00F86298">
        <w:rPr>
          <w:lang w:eastAsia="en-US"/>
        </w:rPr>
        <w:t>TWA should be introduced for chlorine to minimise the risk of workers developing respiratory tract irritation</w:t>
      </w:r>
      <w:r w:rsidR="003B36FC">
        <w:rPr>
          <w:lang w:eastAsia="en-US"/>
        </w:rPr>
        <w:t xml:space="preserve"> from chronic chlorine exposures</w:t>
      </w:r>
      <w:r w:rsidR="00F86298">
        <w:rPr>
          <w:lang w:eastAsia="en-US"/>
        </w:rPr>
        <w:t xml:space="preserve">, which can impair workers’ ability to work optimally and lead to workplace </w:t>
      </w:r>
      <w:r w:rsidR="004F2B4A">
        <w:rPr>
          <w:lang w:eastAsia="en-US"/>
        </w:rPr>
        <w:t>incidents</w:t>
      </w:r>
      <w:r w:rsidR="00F86298">
        <w:rPr>
          <w:lang w:eastAsia="en-US"/>
        </w:rPr>
        <w:t xml:space="preserve">. </w:t>
      </w:r>
      <w:r w:rsidR="0054154D">
        <w:rPr>
          <w:lang w:eastAsia="en-US"/>
        </w:rPr>
        <w:t>It also showed that exposures at or just below the</w:t>
      </w:r>
      <w:r w:rsidR="00F86298">
        <w:rPr>
          <w:lang w:eastAsia="en-US"/>
        </w:rPr>
        <w:t xml:space="preserve"> current peak limitation level </w:t>
      </w:r>
      <w:r w:rsidR="0054154D">
        <w:rPr>
          <w:lang w:eastAsia="en-US"/>
        </w:rPr>
        <w:t xml:space="preserve">of 1 ppm </w:t>
      </w:r>
      <w:r w:rsidR="00F86298">
        <w:rPr>
          <w:lang w:eastAsia="en-US"/>
        </w:rPr>
        <w:t xml:space="preserve">for chlorine could </w:t>
      </w:r>
      <w:r w:rsidR="0054154D">
        <w:rPr>
          <w:lang w:eastAsia="en-US"/>
        </w:rPr>
        <w:t xml:space="preserve">impair </w:t>
      </w:r>
      <w:r w:rsidR="00F86298">
        <w:rPr>
          <w:lang w:eastAsia="en-US"/>
        </w:rPr>
        <w:t>workers’ lung function</w:t>
      </w:r>
      <w:r w:rsidR="009E5CA1">
        <w:rPr>
          <w:lang w:eastAsia="en-US"/>
        </w:rPr>
        <w:t xml:space="preserve"> </w:t>
      </w:r>
      <w:sdt>
        <w:sdtPr>
          <w:rPr>
            <w:lang w:eastAsia="en-US"/>
          </w:rPr>
          <w:id w:val="616115968"/>
          <w:citation/>
        </w:sdtPr>
        <w:sdtEndPr/>
        <w:sdtContent>
          <w:r w:rsidR="00117541">
            <w:rPr>
              <w:lang w:eastAsia="en-US"/>
            </w:rPr>
            <w:fldChar w:fldCharType="begin"/>
          </w:r>
          <w:r w:rsidR="003C7560">
            <w:rPr>
              <w:lang w:eastAsia="en-US"/>
            </w:rPr>
            <w:instrText xml:space="preserve">CITATION Saf193 \l 3081 </w:instrText>
          </w:r>
          <w:r w:rsidR="00117541">
            <w:rPr>
              <w:lang w:eastAsia="en-US"/>
            </w:rPr>
            <w:fldChar w:fldCharType="separate"/>
          </w:r>
          <w:r w:rsidR="00490B21">
            <w:rPr>
              <w:noProof/>
              <w:lang w:eastAsia="en-US"/>
            </w:rPr>
            <w:t>(Safe Work Australia, 2019)</w:t>
          </w:r>
          <w:r w:rsidR="00117541">
            <w:rPr>
              <w:lang w:eastAsia="en-US"/>
            </w:rPr>
            <w:fldChar w:fldCharType="end"/>
          </w:r>
        </w:sdtContent>
      </w:sdt>
      <w:r w:rsidR="00F86298">
        <w:rPr>
          <w:lang w:eastAsia="en-US"/>
        </w:rPr>
        <w:t xml:space="preserve">. </w:t>
      </w:r>
    </w:p>
    <w:p w14:paraId="0F31E500" w14:textId="77777777" w:rsidR="002D6FFC" w:rsidRPr="006D6899" w:rsidRDefault="00AA3076" w:rsidP="00E73A58">
      <w:pPr>
        <w:pStyle w:val="Paragraph"/>
        <w:keepNext w:val="0"/>
        <w:rPr>
          <w:rStyle w:val="CommentReference"/>
          <w:sz w:val="22"/>
          <w:szCs w:val="24"/>
        </w:rPr>
      </w:pPr>
      <w:r>
        <w:t>T</w:t>
      </w:r>
      <w:r w:rsidR="00E73A58">
        <w:t xml:space="preserve">he proposed </w:t>
      </w:r>
      <w:r w:rsidR="001273D1">
        <w:t>TWA of 0.1 ppm (0.29 mg/m</w:t>
      </w:r>
      <w:r w:rsidR="001273D1" w:rsidRPr="49A15BB9">
        <w:rPr>
          <w:vertAlign w:val="superscript"/>
        </w:rPr>
        <w:t>3</w:t>
      </w:r>
      <w:r w:rsidR="001273D1">
        <w:t>) and peak limitation of 0.4 ppm (1.16</w:t>
      </w:r>
      <w:r w:rsidR="00CE7B7F">
        <w:t> </w:t>
      </w:r>
      <w:r w:rsidR="001273D1">
        <w:t>mg/m</w:t>
      </w:r>
      <w:r w:rsidR="001273D1" w:rsidRPr="49A15BB9">
        <w:rPr>
          <w:vertAlign w:val="superscript"/>
        </w:rPr>
        <w:t>3</w:t>
      </w:r>
      <w:r w:rsidR="001273D1">
        <w:t xml:space="preserve">) </w:t>
      </w:r>
      <w:r w:rsidR="00E73A58">
        <w:t xml:space="preserve">for </w:t>
      </w:r>
      <w:r w:rsidR="001273D1">
        <w:t>chlorine</w:t>
      </w:r>
      <w:r w:rsidR="00E73A58">
        <w:t xml:space="preserve"> </w:t>
      </w:r>
      <w:r w:rsidR="00813A98">
        <w:t>was determined in accordance with the</w:t>
      </w:r>
      <w:r w:rsidR="00E73A58">
        <w:t xml:space="preserve"> health-based methodology </w:t>
      </w:r>
      <w:r w:rsidR="00813A98">
        <w:t>agreed by</w:t>
      </w:r>
      <w:r w:rsidR="00E73A58">
        <w:t xml:space="preserve"> WHS ministers (and which relied on the scientific evidence available at the time of the review</w:t>
      </w:r>
      <w:r w:rsidR="00C30E75">
        <w:t xml:space="preserve"> from </w:t>
      </w:r>
      <w:r w:rsidR="00C30E75" w:rsidRPr="006D6899">
        <w:t>trusted international and national sources</w:t>
      </w:r>
      <w:r w:rsidR="00E73A58" w:rsidRPr="006D6899">
        <w:t>)</w:t>
      </w:r>
      <w:r w:rsidR="00C30E75" w:rsidRPr="006D6899">
        <w:t>.</w:t>
      </w:r>
      <w:r w:rsidR="00C30E75" w:rsidRPr="006D6899" w:rsidDel="00C30E75">
        <w:rPr>
          <w:rStyle w:val="CommentReference"/>
          <w:sz w:val="22"/>
          <w:szCs w:val="24"/>
        </w:rPr>
        <w:t xml:space="preserve"> </w:t>
      </w:r>
    </w:p>
    <w:p w14:paraId="4A3152B0" w14:textId="5FDE06AB" w:rsidR="00E73A58" w:rsidRPr="006D6899" w:rsidRDefault="00D87242" w:rsidP="00E73A58">
      <w:pPr>
        <w:pStyle w:val="Paragraph"/>
        <w:keepNext w:val="0"/>
      </w:pPr>
      <w:r w:rsidRPr="006D6899">
        <w:t>T</w:t>
      </w:r>
      <w:r w:rsidR="009534AA" w:rsidRPr="006D6899">
        <w:t xml:space="preserve">he </w:t>
      </w:r>
      <w:r w:rsidR="005B07E6" w:rsidRPr="003E368B">
        <w:t>evaluation</w:t>
      </w:r>
      <w:r w:rsidR="009534AA" w:rsidRPr="006D6899">
        <w:t xml:space="preserve"> for chlorine</w:t>
      </w:r>
      <w:r w:rsidR="009534AA" w:rsidRPr="006D6899">
        <w:rPr>
          <w:rStyle w:val="FootnoteReference"/>
        </w:rPr>
        <w:footnoteReference w:id="51"/>
      </w:r>
      <w:r w:rsidR="009534AA" w:rsidRPr="006D6899">
        <w:t xml:space="preserve"> employed a weight of evidence approach, considering information from </w:t>
      </w:r>
      <w:r w:rsidR="002D6FFC" w:rsidRPr="006D6899">
        <w:t xml:space="preserve">multiple </w:t>
      </w:r>
      <w:r w:rsidR="009534AA" w:rsidRPr="006D6899">
        <w:t xml:space="preserve">agreed primary sources supported by information from agreed secondary sources </w:t>
      </w:r>
      <w:sdt>
        <w:sdtPr>
          <w:id w:val="347835865"/>
          <w:citation/>
        </w:sdtPr>
        <w:sdtEndPr/>
        <w:sdtContent>
          <w:r w:rsidR="009534AA" w:rsidRPr="006D6899">
            <w:fldChar w:fldCharType="begin"/>
          </w:r>
          <w:r w:rsidR="009534AA" w:rsidRPr="006D6899">
            <w:instrText xml:space="preserve"> CITATION Saf181 \l 3081 </w:instrText>
          </w:r>
          <w:r w:rsidR="009534AA" w:rsidRPr="006D6899">
            <w:fldChar w:fldCharType="separate"/>
          </w:r>
          <w:r w:rsidR="00490B21">
            <w:rPr>
              <w:noProof/>
            </w:rPr>
            <w:t>(Safe Work Australia, 2018)</w:t>
          </w:r>
          <w:r w:rsidR="009534AA" w:rsidRPr="006D6899">
            <w:fldChar w:fldCharType="end"/>
          </w:r>
        </w:sdtContent>
      </w:sdt>
      <w:r w:rsidR="009534AA" w:rsidRPr="006D6899">
        <w:t>.</w:t>
      </w:r>
    </w:p>
    <w:p w14:paraId="612705E3" w14:textId="076E19D5" w:rsidR="00D24C10" w:rsidRPr="006D6899" w:rsidRDefault="00D24C10" w:rsidP="00923A37">
      <w:pPr>
        <w:pStyle w:val="SWAHeading4"/>
      </w:pPr>
      <w:r w:rsidRPr="006D6899">
        <w:t xml:space="preserve">International precedent </w:t>
      </w:r>
    </w:p>
    <w:p w14:paraId="3CCE44DA" w14:textId="77ACE896" w:rsidR="001E61B4" w:rsidRPr="006D6899" w:rsidRDefault="00504524" w:rsidP="00202C36">
      <w:pPr>
        <w:pStyle w:val="Paragraph"/>
      </w:pPr>
      <w:r w:rsidRPr="006D6899">
        <w:t>Th</w:t>
      </w:r>
      <w:r w:rsidR="0012567A" w:rsidRPr="006D6899">
        <w:t>e</w:t>
      </w:r>
      <w:r w:rsidRPr="006D6899">
        <w:t xml:space="preserve"> proposed WEL for chlorine is </w:t>
      </w:r>
      <w:r w:rsidR="001E61B4" w:rsidRPr="006D6899">
        <w:t xml:space="preserve">consistent with that </w:t>
      </w:r>
      <w:r w:rsidR="003B253C" w:rsidRPr="006D6899">
        <w:t>recommended</w:t>
      </w:r>
      <w:r w:rsidR="00EE18C8" w:rsidRPr="006D6899">
        <w:t xml:space="preserve"> by</w:t>
      </w:r>
      <w:r w:rsidRPr="006D6899" w:rsidDel="00EE18C8">
        <w:t xml:space="preserve"> </w:t>
      </w:r>
      <w:r w:rsidR="00EE18C8" w:rsidRPr="006D6899">
        <w:t xml:space="preserve">the </w:t>
      </w:r>
      <w:r w:rsidR="00053A41" w:rsidRPr="006D6899">
        <w:t xml:space="preserve">American </w:t>
      </w:r>
      <w:r w:rsidR="00076C34" w:rsidRPr="006D6899">
        <w:t xml:space="preserve">Conference of Governmental Industrial </w:t>
      </w:r>
      <w:r w:rsidR="00BD32E9" w:rsidRPr="006D6899">
        <w:t>Hygienists</w:t>
      </w:r>
      <w:r w:rsidRPr="006D6899">
        <w:t xml:space="preserve"> (</w:t>
      </w:r>
      <w:r w:rsidR="00BD32E9" w:rsidRPr="006D6899">
        <w:t>ACGIH</w:t>
      </w:r>
      <w:r w:rsidRPr="006D6899">
        <w:t>)</w:t>
      </w:r>
      <w:r w:rsidR="001E2047" w:rsidRPr="006D6899">
        <w:t xml:space="preserve"> </w:t>
      </w:r>
      <w:sdt>
        <w:sdtPr>
          <w:id w:val="-633951241"/>
          <w:citation/>
        </w:sdtPr>
        <w:sdtEndPr/>
        <w:sdtContent>
          <w:r w:rsidR="003C7560" w:rsidRPr="006D6899">
            <w:fldChar w:fldCharType="begin"/>
          </w:r>
          <w:r w:rsidR="003C7560" w:rsidRPr="006D6899">
            <w:instrText xml:space="preserve">CITATION Saf193 \l 3081 </w:instrText>
          </w:r>
          <w:r w:rsidR="003C7560" w:rsidRPr="006D6899">
            <w:fldChar w:fldCharType="separate"/>
          </w:r>
          <w:r w:rsidR="00490B21">
            <w:rPr>
              <w:noProof/>
            </w:rPr>
            <w:t>(Safe Work Australia, 2019)</w:t>
          </w:r>
          <w:r w:rsidR="003C7560" w:rsidRPr="006D6899">
            <w:fldChar w:fldCharType="end"/>
          </w:r>
        </w:sdtContent>
      </w:sdt>
      <w:r w:rsidR="00BD32E9" w:rsidRPr="006D6899">
        <w:t>.</w:t>
      </w:r>
      <w:r w:rsidR="003B253C" w:rsidRPr="006D6899">
        <w:t xml:space="preserve"> </w:t>
      </w:r>
    </w:p>
    <w:p w14:paraId="49F00613" w14:textId="42ACF30E" w:rsidR="00BF5F53" w:rsidRPr="006D6899" w:rsidRDefault="00F344D5" w:rsidP="005F4CE7">
      <w:pPr>
        <w:pStyle w:val="Paragraph"/>
        <w:keepNext w:val="0"/>
      </w:pPr>
      <w:r w:rsidRPr="006D6899">
        <w:t>T</w:t>
      </w:r>
      <w:r w:rsidR="00714751" w:rsidRPr="006D6899">
        <w:t xml:space="preserve">he ACGIH </w:t>
      </w:r>
      <w:r w:rsidR="001E61B4" w:rsidRPr="006D6899">
        <w:t>was selected as a</w:t>
      </w:r>
      <w:r w:rsidR="00714751" w:rsidRPr="006D6899">
        <w:t xml:space="preserve"> primary source</w:t>
      </w:r>
      <w:r w:rsidR="00961607" w:rsidRPr="006D6899">
        <w:t xml:space="preserve"> </w:t>
      </w:r>
      <w:r w:rsidR="001E61B4" w:rsidRPr="006D6899">
        <w:rPr>
          <w:rFonts w:cs="Arial"/>
        </w:rPr>
        <w:t>as they have international credibility, develop standards through consensus that are health-based and based on evaluation of appropriate data, and their documentation of evaluations is accessible and robust</w:t>
      </w:r>
      <w:r w:rsidR="00536B9B" w:rsidRPr="006D6899">
        <w:rPr>
          <w:rFonts w:cs="Arial"/>
        </w:rPr>
        <w:t xml:space="preserve"> </w:t>
      </w:r>
      <w:sdt>
        <w:sdtPr>
          <w:id w:val="-931048281"/>
          <w:citation/>
        </w:sdtPr>
        <w:sdtEndPr/>
        <w:sdtContent>
          <w:r w:rsidR="00536B9B" w:rsidRPr="006D6899">
            <w:fldChar w:fldCharType="begin"/>
          </w:r>
          <w:r w:rsidR="00536B9B" w:rsidRPr="006D6899">
            <w:instrText xml:space="preserve"> CITATION Saf181 \l 3081 </w:instrText>
          </w:r>
          <w:r w:rsidR="00536B9B" w:rsidRPr="006D6899">
            <w:fldChar w:fldCharType="separate"/>
          </w:r>
          <w:r w:rsidR="00490B21">
            <w:rPr>
              <w:noProof/>
            </w:rPr>
            <w:t>(Safe Work Australia, 2018)</w:t>
          </w:r>
          <w:r w:rsidR="00536B9B" w:rsidRPr="006D6899">
            <w:fldChar w:fldCharType="end"/>
          </w:r>
        </w:sdtContent>
      </w:sdt>
      <w:r w:rsidR="007B5D1A" w:rsidRPr="006D6899">
        <w:t>.</w:t>
      </w:r>
      <w:r w:rsidR="001E61B4" w:rsidRPr="006D6899">
        <w:t xml:space="preserve"> </w:t>
      </w:r>
    </w:p>
    <w:p w14:paraId="3119384B" w14:textId="169C895A" w:rsidR="002E11EB" w:rsidRDefault="00015230" w:rsidP="005F4CE7">
      <w:pPr>
        <w:pStyle w:val="Paragraph"/>
        <w:keepNext w:val="0"/>
        <w:rPr>
          <w:rFonts w:cs="Arial"/>
        </w:rPr>
      </w:pPr>
      <w:r w:rsidRPr="006D6899">
        <w:t xml:space="preserve">ACGIH’s recommendations are intended for occupational hygienists to assist in the control of health hazards and not as legal exposure limits </w:t>
      </w:r>
      <w:sdt>
        <w:sdtPr>
          <w:id w:val="1477181399"/>
          <w:citation/>
        </w:sdtPr>
        <w:sdtEndPr/>
        <w:sdtContent>
          <w:r w:rsidRPr="006D6899">
            <w:fldChar w:fldCharType="begin"/>
          </w:r>
          <w:r w:rsidR="002C0D12" w:rsidRPr="006D6899">
            <w:instrText xml:space="preserve">CITATION Ame88 \l 3081 </w:instrText>
          </w:r>
          <w:r w:rsidRPr="006D6899">
            <w:fldChar w:fldCharType="separate"/>
          </w:r>
          <w:r w:rsidR="00490B21">
            <w:rPr>
              <w:noProof/>
            </w:rPr>
            <w:t>(ACGIH, 1988)</w:t>
          </w:r>
          <w:r w:rsidRPr="006D6899">
            <w:fldChar w:fldCharType="end"/>
          </w:r>
        </w:sdtContent>
      </w:sdt>
      <w:r w:rsidRPr="006D6899">
        <w:t xml:space="preserve">. </w:t>
      </w:r>
    </w:p>
    <w:p w14:paraId="2E442A79" w14:textId="1C9D5456" w:rsidR="00CA05AA" w:rsidRDefault="00CA05AA" w:rsidP="005F4CE7">
      <w:pPr>
        <w:pStyle w:val="SWAHeading4"/>
        <w:keepNext/>
        <w:keepLines/>
      </w:pPr>
      <w:r>
        <w:lastRenderedPageBreak/>
        <w:t>Quantifi</w:t>
      </w:r>
      <w:r w:rsidR="00A91661">
        <w:t>able</w:t>
      </w:r>
      <w:r>
        <w:t xml:space="preserve"> health benefits for the proposed WEL for chlorine</w:t>
      </w:r>
    </w:p>
    <w:p w14:paraId="64390FA4" w14:textId="0C0BE1F5" w:rsidR="003723DA" w:rsidRPr="003723DA" w:rsidRDefault="00272DFD" w:rsidP="005F4CE7">
      <w:pPr>
        <w:pStyle w:val="Paragraph"/>
        <w:keepLines/>
        <w:spacing w:before="240" w:after="120"/>
      </w:pPr>
      <w:r>
        <w:t>H</w:t>
      </w:r>
      <w:r w:rsidR="003723DA" w:rsidRPr="003723DA">
        <w:t xml:space="preserve">ealth benefits were not </w:t>
      </w:r>
      <w:r>
        <w:t>able to be quantified</w:t>
      </w:r>
      <w:r w:rsidRPr="003723DA">
        <w:t xml:space="preserve"> </w:t>
      </w:r>
      <w:r w:rsidR="003723DA" w:rsidRPr="003723DA">
        <w:t xml:space="preserve">for </w:t>
      </w:r>
      <w:r w:rsidR="003723DA">
        <w:t>chlorine</w:t>
      </w:r>
      <w:r w:rsidR="003723DA" w:rsidRPr="003723DA">
        <w:t xml:space="preserve">. </w:t>
      </w:r>
      <w:r w:rsidR="007638D5" w:rsidRPr="00993B73">
        <w:t xml:space="preserve">This is because no estimates of the current burden of disease attributable to workplace exposure to chlorine were </w:t>
      </w:r>
      <w:r w:rsidR="00F408B7">
        <w:t xml:space="preserve">able to be </w:t>
      </w:r>
      <w:r w:rsidR="007638D5" w:rsidRPr="00993B73">
        <w:t xml:space="preserve">identified through research or stakeholder engagement. </w:t>
      </w:r>
      <w:r w:rsidR="003723DA" w:rsidRPr="003723DA">
        <w:t xml:space="preserve"> </w:t>
      </w:r>
    </w:p>
    <w:p w14:paraId="71F45FA1" w14:textId="0A0317C3" w:rsidR="00BB7D25" w:rsidRDefault="003723DA" w:rsidP="003723DA">
      <w:pPr>
        <w:pStyle w:val="Paragraph"/>
      </w:pPr>
      <w:r w:rsidRPr="003723DA">
        <w:t>However, a lack of data does not mean that the introduction of the proposed WEL will not result in health benefits for workers</w:t>
      </w:r>
      <w:r w:rsidR="001A5551">
        <w:t>, communities and businesses</w:t>
      </w:r>
      <w:r w:rsidRPr="003723DA">
        <w:t>. As the health evidence has shown, the proposed TWA is at a level considered protective of</w:t>
      </w:r>
      <w:r w:rsidRPr="003723DA" w:rsidDel="00BB7D25">
        <w:t xml:space="preserve"> </w:t>
      </w:r>
      <w:r w:rsidR="00BB7D25" w:rsidRPr="00BB7D25">
        <w:t xml:space="preserve">eye and respiratory tract irritation </w:t>
      </w:r>
      <w:r w:rsidR="00B66C0B">
        <w:t>(</w:t>
      </w:r>
      <w:r w:rsidR="00BB7D25">
        <w:t xml:space="preserve">from exposures </w:t>
      </w:r>
      <w:r w:rsidR="0099231B">
        <w:t xml:space="preserve">at </w:t>
      </w:r>
      <w:r w:rsidR="00BB7D25" w:rsidRPr="00BB7D25">
        <w:t>low concentrations</w:t>
      </w:r>
      <w:r w:rsidR="00B66C0B">
        <w:t>)</w:t>
      </w:r>
      <w:r w:rsidR="00BB7D25" w:rsidRPr="00BB7D25">
        <w:t xml:space="preserve">, and irreversible impairment of lung function </w:t>
      </w:r>
      <w:r w:rsidR="00B66C0B">
        <w:t>(</w:t>
      </w:r>
      <w:r w:rsidR="00BB7D25">
        <w:t xml:space="preserve">exposures </w:t>
      </w:r>
      <w:r w:rsidR="00B66C0B">
        <w:t>at</w:t>
      </w:r>
      <w:r w:rsidR="00BB7D25" w:rsidRPr="00BB7D25">
        <w:t xml:space="preserve"> higher concentration</w:t>
      </w:r>
      <w:r w:rsidR="00BB7D25">
        <w:t>s</w:t>
      </w:r>
      <w:r w:rsidR="00B66C0B">
        <w:t>)</w:t>
      </w:r>
      <w:r w:rsidR="00BB7D25">
        <w:t xml:space="preserve"> of chlorine</w:t>
      </w:r>
      <w:r w:rsidRPr="003723DA">
        <w:t xml:space="preserve">. </w:t>
      </w:r>
    </w:p>
    <w:p w14:paraId="498F1727" w14:textId="33B3461E" w:rsidR="001C08C2" w:rsidRDefault="00B66C0B" w:rsidP="007F3ED7">
      <w:pPr>
        <w:pStyle w:val="SWAHeading4"/>
      </w:pPr>
      <w:r>
        <w:t>A</w:t>
      </w:r>
      <w:r w:rsidR="001C08C2">
        <w:t>dverse health effects</w:t>
      </w:r>
      <w:r w:rsidR="00C11D33">
        <w:t xml:space="preserve"> associated with chlorine</w:t>
      </w:r>
    </w:p>
    <w:p w14:paraId="10A8268A" w14:textId="14927333" w:rsidR="00BE248E" w:rsidRDefault="00294E52" w:rsidP="00E43723">
      <w:pPr>
        <w:pStyle w:val="Paragraph"/>
        <w:keepNext w:val="0"/>
      </w:pPr>
      <w:r>
        <w:t>Addition</w:t>
      </w:r>
      <w:r w:rsidR="00C90F2C">
        <w:t>al</w:t>
      </w:r>
      <w:r>
        <w:t xml:space="preserve"> a</w:t>
      </w:r>
      <w:r w:rsidR="00F16473">
        <w:t xml:space="preserve">dverse health effects the proposed WEL for chlorine </w:t>
      </w:r>
      <w:r>
        <w:t>would</w:t>
      </w:r>
      <w:r w:rsidR="00F16473">
        <w:t xml:space="preserve"> protect workers from include</w:t>
      </w:r>
      <w:r w:rsidR="00BE248E">
        <w:t>:</w:t>
      </w:r>
    </w:p>
    <w:p w14:paraId="7F7794E2" w14:textId="1D5CDF88" w:rsidR="00BE248E" w:rsidRDefault="00F16473" w:rsidP="00A2768E">
      <w:pPr>
        <w:pStyle w:val="Paragraph"/>
        <w:keepNext w:val="0"/>
        <w:numPr>
          <w:ilvl w:val="0"/>
          <w:numId w:val="80"/>
        </w:numPr>
      </w:pPr>
      <w:r>
        <w:t>o</w:t>
      </w:r>
      <w:r w:rsidR="00F45E96">
        <w:t>ccupational asthma</w:t>
      </w:r>
      <w:r>
        <w:t xml:space="preserve">, </w:t>
      </w:r>
      <w:r w:rsidR="00F45E96">
        <w:t>a</w:t>
      </w:r>
      <w:r w:rsidR="00130039">
        <w:t xml:space="preserve">n occupational disease </w:t>
      </w:r>
      <w:r w:rsidR="00DD35C6">
        <w:t xml:space="preserve">that </w:t>
      </w:r>
      <w:r w:rsidR="00F42111">
        <w:t xml:space="preserve">can be caused </w:t>
      </w:r>
      <w:r>
        <w:t xml:space="preserve">or exacerbated </w:t>
      </w:r>
      <w:r w:rsidR="00F42111">
        <w:t>by</w:t>
      </w:r>
      <w:r w:rsidR="00DD35C6">
        <w:t xml:space="preserve"> workplace exposure of chlorine</w:t>
      </w:r>
      <w:r w:rsidR="00A63A08">
        <w:t xml:space="preserve"> </w:t>
      </w:r>
      <w:sdt>
        <w:sdtPr>
          <w:id w:val="2053575877"/>
          <w:citation/>
        </w:sdtPr>
        <w:sdtEndPr/>
        <w:sdtContent>
          <w:r w:rsidR="00A63A08">
            <w:fldChar w:fldCharType="begin"/>
          </w:r>
          <w:r w:rsidR="00A63A08">
            <w:instrText xml:space="preserve"> CITATION Can25 \l 3081 </w:instrText>
          </w:r>
          <w:r w:rsidR="00A63A08">
            <w:fldChar w:fldCharType="separate"/>
          </w:r>
          <w:r w:rsidR="00490B21">
            <w:rPr>
              <w:noProof/>
            </w:rPr>
            <w:t>(Canadian Centre of Occupational Health and Safety, 2025)</w:t>
          </w:r>
          <w:r w:rsidR="00A63A08">
            <w:fldChar w:fldCharType="end"/>
          </w:r>
        </w:sdtContent>
      </w:sdt>
      <w:r>
        <w:t xml:space="preserve">, </w:t>
      </w:r>
      <w:r w:rsidR="005420B0">
        <w:t>and</w:t>
      </w:r>
    </w:p>
    <w:p w14:paraId="3A254E78" w14:textId="6D3975B8" w:rsidR="00F16473" w:rsidRDefault="005E0DDF" w:rsidP="00A2768E">
      <w:pPr>
        <w:pStyle w:val="Paragraph"/>
        <w:keepNext w:val="0"/>
        <w:numPr>
          <w:ilvl w:val="0"/>
          <w:numId w:val="80"/>
        </w:numPr>
      </w:pPr>
      <w:r>
        <w:t xml:space="preserve">increased </w:t>
      </w:r>
      <w:r w:rsidR="001C1B10">
        <w:t>p</w:t>
      </w:r>
      <w:r w:rsidRPr="005E0DDF">
        <w:t>hlegm production, painful breathing, wheezing</w:t>
      </w:r>
      <w:r w:rsidR="00275AC5">
        <w:t>,</w:t>
      </w:r>
      <w:r w:rsidRPr="005E0DDF">
        <w:t xml:space="preserve"> shortness of breath</w:t>
      </w:r>
      <w:r w:rsidR="00275AC5">
        <w:t>, i</w:t>
      </w:r>
      <w:r w:rsidR="00275AC5" w:rsidRPr="00275AC5">
        <w:t>mpaired neurobehavioural functions</w:t>
      </w:r>
      <w:r w:rsidR="00277543">
        <w:t>, skin rashes and burns</w:t>
      </w:r>
      <w:r w:rsidR="002A2A30">
        <w:t xml:space="preserve"> </w:t>
      </w:r>
      <w:sdt>
        <w:sdtPr>
          <w:id w:val="743226314"/>
          <w:citation/>
        </w:sdtPr>
        <w:sdtEndPr/>
        <w:sdtContent>
          <w:r w:rsidR="00C64F0F">
            <w:fldChar w:fldCharType="begin"/>
          </w:r>
          <w:r w:rsidR="00C64F0F">
            <w:instrText xml:space="preserve"> CITATION Aus16 \l 3081 </w:instrText>
          </w:r>
          <w:r w:rsidR="00C64F0F">
            <w:fldChar w:fldCharType="separate"/>
          </w:r>
          <w:r w:rsidR="00490B21">
            <w:rPr>
              <w:noProof/>
            </w:rPr>
            <w:t>(Australian Industrial Chemicals Introduction Scheme, 2016)</w:t>
          </w:r>
          <w:r w:rsidR="00C64F0F">
            <w:fldChar w:fldCharType="end"/>
          </w:r>
        </w:sdtContent>
      </w:sdt>
      <w:r w:rsidR="00C64F0F">
        <w:t xml:space="preserve">. </w:t>
      </w:r>
    </w:p>
    <w:p w14:paraId="7C19E49C" w14:textId="0B01AF06" w:rsidR="003723DA" w:rsidRPr="003723DA" w:rsidRDefault="0091196C" w:rsidP="003E0FE8">
      <w:pPr>
        <w:pStyle w:val="Paragraph"/>
      </w:pPr>
      <w:r>
        <w:t>Acute exposure to</w:t>
      </w:r>
      <w:r w:rsidR="00960130">
        <w:t xml:space="preserve"> </w:t>
      </w:r>
      <w:r w:rsidR="00DC2130">
        <w:t xml:space="preserve">low concentrations of </w:t>
      </w:r>
      <w:r w:rsidR="00531A78">
        <w:t>chlorine</w:t>
      </w:r>
      <w:r w:rsidR="00DC2130">
        <w:t xml:space="preserve"> can</w:t>
      </w:r>
      <w:r w:rsidR="004F2788">
        <w:t xml:space="preserve"> also</w:t>
      </w:r>
      <w:r w:rsidR="00531A78">
        <w:t xml:space="preserve"> </w:t>
      </w:r>
      <w:r w:rsidR="00960130">
        <w:t>cause i</w:t>
      </w:r>
      <w:r w:rsidR="008D5EE7">
        <w:t xml:space="preserve">ncreased tear and </w:t>
      </w:r>
      <w:r w:rsidR="004D0A88">
        <w:t>saliva</w:t>
      </w:r>
      <w:r w:rsidR="008D5EE7">
        <w:t xml:space="preserve"> production</w:t>
      </w:r>
      <w:r w:rsidR="009D5C6D">
        <w:t>, while acute</w:t>
      </w:r>
      <w:r w:rsidR="00DC2130">
        <w:t xml:space="preserve"> exposures to high concentrations </w:t>
      </w:r>
      <w:r w:rsidR="006C1093">
        <w:t>of</w:t>
      </w:r>
      <w:r w:rsidR="00DC2130">
        <w:t xml:space="preserve"> chlorine </w:t>
      </w:r>
      <w:r w:rsidR="006C1093">
        <w:t xml:space="preserve">can </w:t>
      </w:r>
      <w:r w:rsidR="00DC2130">
        <w:t xml:space="preserve">cause </w:t>
      </w:r>
      <w:r w:rsidR="005878BE">
        <w:t xml:space="preserve">violent coughs, nausea, vomiting, </w:t>
      </w:r>
      <w:r w:rsidR="00960130">
        <w:t>light-headedness</w:t>
      </w:r>
      <w:r w:rsidR="005878BE">
        <w:t xml:space="preserve">, headaches, chest pains, </w:t>
      </w:r>
      <w:r w:rsidR="005878BE" w:rsidRPr="005878BE">
        <w:t>abdominal discomfort</w:t>
      </w:r>
      <w:r w:rsidR="009D5C6D">
        <w:t xml:space="preserve"> and sore throats</w:t>
      </w:r>
      <w:r w:rsidR="004D0A88">
        <w:t xml:space="preserve"> </w:t>
      </w:r>
      <w:sdt>
        <w:sdtPr>
          <w:id w:val="-1247107389"/>
          <w:citation/>
        </w:sdtPr>
        <w:sdtEndPr/>
        <w:sdtContent>
          <w:r w:rsidR="004D0A88">
            <w:fldChar w:fldCharType="begin"/>
          </w:r>
          <w:r w:rsidR="004D0A88">
            <w:instrText xml:space="preserve"> CITATION Mor23 \l 3081 </w:instrText>
          </w:r>
          <w:r w:rsidR="004D0A88">
            <w:fldChar w:fldCharType="separate"/>
          </w:r>
          <w:r w:rsidR="00490B21">
            <w:rPr>
              <w:noProof/>
            </w:rPr>
            <w:t>(Morim &amp; Guldner, 2023)</w:t>
          </w:r>
          <w:r w:rsidR="004D0A88">
            <w:fldChar w:fldCharType="end"/>
          </w:r>
        </w:sdtContent>
      </w:sdt>
      <w:r w:rsidR="009D5C6D">
        <w:t xml:space="preserve">. Chronic exposure </w:t>
      </w:r>
      <w:r w:rsidR="00C11CD0">
        <w:t>to</w:t>
      </w:r>
      <w:r w:rsidR="009D5C6D">
        <w:t xml:space="preserve"> </w:t>
      </w:r>
      <w:r w:rsidR="006C1093">
        <w:t xml:space="preserve">chlorine can </w:t>
      </w:r>
      <w:r w:rsidR="00C11CD0">
        <w:t xml:space="preserve">cause </w:t>
      </w:r>
      <w:r w:rsidR="00EC2E09">
        <w:t>chest pains, coughs, sore throats and the coughing up of blood</w:t>
      </w:r>
      <w:r w:rsidR="004D0A88">
        <w:t xml:space="preserve"> </w:t>
      </w:r>
      <w:sdt>
        <w:sdtPr>
          <w:id w:val="2070611612"/>
          <w:citation/>
        </w:sdtPr>
        <w:sdtEndPr/>
        <w:sdtContent>
          <w:r w:rsidR="004D0A88">
            <w:fldChar w:fldCharType="begin"/>
          </w:r>
          <w:r w:rsidR="004D0A88">
            <w:instrText xml:space="preserve"> CITATION Mor23 \l 3081 </w:instrText>
          </w:r>
          <w:r w:rsidR="004D0A88">
            <w:fldChar w:fldCharType="separate"/>
          </w:r>
          <w:r w:rsidR="00490B21">
            <w:rPr>
              <w:noProof/>
            </w:rPr>
            <w:t>(Morim &amp; Guldner, 2023)</w:t>
          </w:r>
          <w:r w:rsidR="004D0A88">
            <w:fldChar w:fldCharType="end"/>
          </w:r>
        </w:sdtContent>
      </w:sdt>
      <w:r w:rsidR="00EC2E09">
        <w:t xml:space="preserve">. </w:t>
      </w:r>
    </w:p>
    <w:p w14:paraId="629F414F" w14:textId="674FC957" w:rsidR="003723DA" w:rsidRDefault="007F508E" w:rsidP="007F508E">
      <w:pPr>
        <w:pStyle w:val="SWAHeading3"/>
      </w:pPr>
      <w:bookmarkStart w:id="127" w:name="_Toc196204617"/>
      <w:r>
        <w:t xml:space="preserve">Financial benefits </w:t>
      </w:r>
      <w:r w:rsidR="00CD1CF3">
        <w:t>of</w:t>
      </w:r>
      <w:r w:rsidR="009E3343">
        <w:t xml:space="preserve"> the proposed WEL for chlorine</w:t>
      </w:r>
      <w:bookmarkEnd w:id="127"/>
    </w:p>
    <w:p w14:paraId="65F1D79B" w14:textId="3EE823F5" w:rsidR="00986995" w:rsidRPr="007F3ED7" w:rsidRDefault="00986995" w:rsidP="00986995">
      <w:pPr>
        <w:pStyle w:val="SWAHeading4"/>
      </w:pPr>
      <w:r w:rsidRPr="00986995">
        <w:t>Quantifi</w:t>
      </w:r>
      <w:r w:rsidR="00A91661">
        <w:t>able</w:t>
      </w:r>
      <w:r w:rsidRPr="00986995">
        <w:t xml:space="preserve"> financial benefits of the proposed WEL for </w:t>
      </w:r>
      <w:r>
        <w:t>chlorine</w:t>
      </w:r>
    </w:p>
    <w:p w14:paraId="3C1CA4C5" w14:textId="323AF500" w:rsidR="006A3C05" w:rsidRPr="00FA2CAE" w:rsidRDefault="006A3C05" w:rsidP="006A3C05">
      <w:pPr>
        <w:pStyle w:val="NoSpacing"/>
        <w:spacing w:after="120"/>
        <w:rPr>
          <w:sz w:val="22"/>
          <w:szCs w:val="28"/>
          <w:highlight w:val="yellow"/>
        </w:rPr>
      </w:pPr>
      <w:r w:rsidRPr="00950F93">
        <w:rPr>
          <w:sz w:val="22"/>
          <w:szCs w:val="28"/>
        </w:rPr>
        <w:t>In addition to the health benefits</w:t>
      </w:r>
      <w:r w:rsidR="00022147">
        <w:rPr>
          <w:sz w:val="22"/>
          <w:szCs w:val="28"/>
        </w:rPr>
        <w:t xml:space="preserve"> above</w:t>
      </w:r>
      <w:r w:rsidRPr="00950F93">
        <w:rPr>
          <w:sz w:val="22"/>
          <w:szCs w:val="28"/>
        </w:rPr>
        <w:t xml:space="preserve">, </w:t>
      </w:r>
      <w:r>
        <w:rPr>
          <w:sz w:val="22"/>
          <w:szCs w:val="28"/>
        </w:rPr>
        <w:t xml:space="preserve">the proposed WEL for </w:t>
      </w:r>
      <w:r w:rsidR="003C697C">
        <w:rPr>
          <w:sz w:val="22"/>
          <w:szCs w:val="28"/>
        </w:rPr>
        <w:t xml:space="preserve">chlorine </w:t>
      </w:r>
      <w:r>
        <w:rPr>
          <w:sz w:val="22"/>
          <w:szCs w:val="28"/>
        </w:rPr>
        <w:t>is also expected to result in direct and indirect financial benefits for businesses</w:t>
      </w:r>
      <w:r w:rsidR="00E3462A">
        <w:rPr>
          <w:sz w:val="22"/>
          <w:szCs w:val="28"/>
        </w:rPr>
        <w:t xml:space="preserve">, as demonstrated in </w:t>
      </w:r>
      <w:r w:rsidR="00CB1E00" w:rsidRPr="00CB1E00">
        <w:rPr>
          <w:sz w:val="22"/>
          <w:szCs w:val="22"/>
          <w:highlight w:val="yellow"/>
        </w:rPr>
        <w:fldChar w:fldCharType="begin"/>
      </w:r>
      <w:r w:rsidR="00CB1E00" w:rsidRPr="00CB1E00">
        <w:rPr>
          <w:sz w:val="22"/>
          <w:szCs w:val="22"/>
        </w:rPr>
        <w:instrText xml:space="preserve"> REF _Ref199857926 \h </w:instrText>
      </w:r>
      <w:r w:rsidR="00CB1E00">
        <w:rPr>
          <w:sz w:val="22"/>
          <w:szCs w:val="22"/>
          <w:highlight w:val="yellow"/>
        </w:rPr>
        <w:instrText xml:space="preserve"> \* MERGEFORMAT </w:instrText>
      </w:r>
      <w:r w:rsidR="00CB1E00" w:rsidRPr="00CB1E00">
        <w:rPr>
          <w:sz w:val="22"/>
          <w:szCs w:val="22"/>
          <w:highlight w:val="yellow"/>
        </w:rPr>
      </w:r>
      <w:r w:rsidR="00CB1E00" w:rsidRPr="00CB1E00">
        <w:rPr>
          <w:sz w:val="22"/>
          <w:szCs w:val="22"/>
          <w:highlight w:val="yellow"/>
        </w:rPr>
        <w:fldChar w:fldCharType="separate"/>
      </w:r>
      <w:r w:rsidR="00A002F4" w:rsidRPr="00A002F4">
        <w:rPr>
          <w:sz w:val="22"/>
          <w:szCs w:val="22"/>
        </w:rPr>
        <w:t>Table 13</w:t>
      </w:r>
      <w:r w:rsidR="00CB1E00" w:rsidRPr="00CB1E00">
        <w:rPr>
          <w:sz w:val="22"/>
          <w:szCs w:val="22"/>
          <w:highlight w:val="yellow"/>
        </w:rPr>
        <w:fldChar w:fldCharType="end"/>
      </w:r>
      <w:r w:rsidRPr="00CB1E00">
        <w:rPr>
          <w:sz w:val="22"/>
          <w:szCs w:val="28"/>
        </w:rPr>
        <w:t>.</w:t>
      </w:r>
      <w:r>
        <w:rPr>
          <w:sz w:val="22"/>
          <w:szCs w:val="28"/>
        </w:rPr>
        <w:t xml:space="preserve"> </w:t>
      </w:r>
      <w:r w:rsidRPr="002B624B">
        <w:rPr>
          <w:sz w:val="22"/>
          <w:szCs w:val="28"/>
        </w:rPr>
        <w:t xml:space="preserve">These were estimated to </w:t>
      </w:r>
      <w:r w:rsidR="00F8333C">
        <w:rPr>
          <w:sz w:val="22"/>
          <w:szCs w:val="28"/>
        </w:rPr>
        <w:t xml:space="preserve">be </w:t>
      </w:r>
      <w:r w:rsidRPr="002B624B">
        <w:rPr>
          <w:sz w:val="22"/>
          <w:szCs w:val="28"/>
        </w:rPr>
        <w:t>$</w:t>
      </w:r>
      <w:r w:rsidR="00934854">
        <w:rPr>
          <w:sz w:val="22"/>
          <w:szCs w:val="28"/>
        </w:rPr>
        <w:t>5.7</w:t>
      </w:r>
      <w:r w:rsidRPr="002B624B">
        <w:rPr>
          <w:sz w:val="22"/>
          <w:szCs w:val="28"/>
        </w:rPr>
        <w:t xml:space="preserve"> million for direct financial benefits and $</w:t>
      </w:r>
      <w:r w:rsidR="00934854">
        <w:rPr>
          <w:sz w:val="22"/>
          <w:szCs w:val="28"/>
        </w:rPr>
        <w:t>3 million</w:t>
      </w:r>
      <w:r w:rsidRPr="002B624B">
        <w:rPr>
          <w:sz w:val="22"/>
          <w:szCs w:val="28"/>
        </w:rPr>
        <w:t xml:space="preserve"> for indirect benefits</w:t>
      </w:r>
      <w:r>
        <w:rPr>
          <w:sz w:val="22"/>
          <w:szCs w:val="28"/>
        </w:rPr>
        <w:t xml:space="preserve"> across </w:t>
      </w:r>
      <w:r w:rsidR="00F8333C">
        <w:rPr>
          <w:sz w:val="22"/>
          <w:szCs w:val="28"/>
        </w:rPr>
        <w:t>the</w:t>
      </w:r>
      <w:r>
        <w:rPr>
          <w:sz w:val="22"/>
          <w:szCs w:val="28"/>
        </w:rPr>
        <w:t xml:space="preserve"> 10 years</w:t>
      </w:r>
      <w:r w:rsidR="00F8333C">
        <w:rPr>
          <w:sz w:val="22"/>
          <w:szCs w:val="28"/>
        </w:rPr>
        <w:t xml:space="preserve"> (FY27 to FY36)</w:t>
      </w:r>
      <w:r w:rsidRPr="002B624B">
        <w:rPr>
          <w:sz w:val="22"/>
          <w:szCs w:val="28"/>
        </w:rPr>
        <w:t xml:space="preserve">. </w:t>
      </w:r>
      <w:r w:rsidR="00BB0625">
        <w:rPr>
          <w:sz w:val="22"/>
          <w:szCs w:val="28"/>
        </w:rPr>
        <w:t xml:space="preserve">Further </w:t>
      </w:r>
      <w:r w:rsidR="00537A1D">
        <w:rPr>
          <w:sz w:val="22"/>
          <w:szCs w:val="28"/>
        </w:rPr>
        <w:t xml:space="preserve">discussion on these benefits can be found under </w:t>
      </w:r>
      <w:r w:rsidR="00537A1D" w:rsidRPr="00537A1D">
        <w:rPr>
          <w:sz w:val="22"/>
          <w:szCs w:val="22"/>
        </w:rPr>
        <w:fldChar w:fldCharType="begin"/>
      </w:r>
      <w:r w:rsidR="00537A1D" w:rsidRPr="00537A1D">
        <w:rPr>
          <w:sz w:val="22"/>
          <w:szCs w:val="22"/>
        </w:rPr>
        <w:instrText xml:space="preserve"> REF _Ref199857926 \h </w:instrText>
      </w:r>
      <w:r w:rsidR="00537A1D">
        <w:rPr>
          <w:sz w:val="22"/>
          <w:szCs w:val="22"/>
        </w:rPr>
        <w:instrText xml:space="preserve"> \* MERGEFORMAT </w:instrText>
      </w:r>
      <w:r w:rsidR="00537A1D" w:rsidRPr="00537A1D">
        <w:rPr>
          <w:sz w:val="22"/>
          <w:szCs w:val="22"/>
        </w:rPr>
      </w:r>
      <w:r w:rsidR="00537A1D" w:rsidRPr="00537A1D">
        <w:rPr>
          <w:sz w:val="22"/>
          <w:szCs w:val="22"/>
        </w:rPr>
        <w:fldChar w:fldCharType="separate"/>
      </w:r>
      <w:r w:rsidR="00A002F4" w:rsidRPr="00A002F4">
        <w:rPr>
          <w:sz w:val="22"/>
          <w:szCs w:val="22"/>
        </w:rPr>
        <w:t>Table 13</w:t>
      </w:r>
      <w:r w:rsidR="00537A1D" w:rsidRPr="00537A1D">
        <w:rPr>
          <w:sz w:val="22"/>
          <w:szCs w:val="22"/>
        </w:rPr>
        <w:fldChar w:fldCharType="end"/>
      </w:r>
      <w:r w:rsidR="00537A1D">
        <w:rPr>
          <w:sz w:val="22"/>
          <w:szCs w:val="28"/>
        </w:rPr>
        <w:t xml:space="preserve">. </w:t>
      </w:r>
    </w:p>
    <w:p w14:paraId="3FA81ED1" w14:textId="46B85967" w:rsidR="00517304" w:rsidRDefault="00D04204" w:rsidP="00D04204">
      <w:pPr>
        <w:pStyle w:val="Paragraph"/>
        <w:rPr>
          <w:szCs w:val="32"/>
        </w:rPr>
      </w:pPr>
      <w:r w:rsidRPr="00B2385B">
        <w:rPr>
          <w:szCs w:val="32"/>
        </w:rPr>
        <w:t>Th</w:t>
      </w:r>
      <w:r>
        <w:rPr>
          <w:szCs w:val="32"/>
        </w:rPr>
        <w:t>e estimated financial benefits</w:t>
      </w:r>
      <w:r w:rsidRPr="00B2385B">
        <w:rPr>
          <w:szCs w:val="32"/>
        </w:rPr>
        <w:t xml:space="preserve"> reflects that there were only </w:t>
      </w:r>
      <w:r w:rsidR="00F91BF6">
        <w:rPr>
          <w:szCs w:val="32"/>
        </w:rPr>
        <w:t>232</w:t>
      </w:r>
      <w:r w:rsidRPr="00B2385B">
        <w:rPr>
          <w:szCs w:val="32"/>
        </w:rPr>
        <w:t xml:space="preserve"> workers’ compensation claims attributed to </w:t>
      </w:r>
      <w:r w:rsidR="001D2BB7">
        <w:rPr>
          <w:szCs w:val="32"/>
        </w:rPr>
        <w:t>chlorine</w:t>
      </w:r>
      <w:r w:rsidRPr="00B2385B">
        <w:rPr>
          <w:szCs w:val="32"/>
        </w:rPr>
        <w:t xml:space="preserve"> between 2017 and 2021, with the </w:t>
      </w:r>
      <w:r w:rsidR="00267540">
        <w:rPr>
          <w:szCs w:val="32"/>
        </w:rPr>
        <w:t>average</w:t>
      </w:r>
      <w:r w:rsidR="002F63F7">
        <w:rPr>
          <w:szCs w:val="32"/>
        </w:rPr>
        <w:t xml:space="preserve"> total</w:t>
      </w:r>
      <w:r w:rsidRPr="00B2385B">
        <w:rPr>
          <w:szCs w:val="32"/>
        </w:rPr>
        <w:t xml:space="preserve"> </w:t>
      </w:r>
      <w:r w:rsidR="002F63F7">
        <w:rPr>
          <w:szCs w:val="32"/>
        </w:rPr>
        <w:t>cost</w:t>
      </w:r>
      <w:r w:rsidRPr="00B2385B">
        <w:rPr>
          <w:szCs w:val="32"/>
        </w:rPr>
        <w:t xml:space="preserve"> of these claims being $</w:t>
      </w:r>
      <w:r w:rsidR="00267540">
        <w:rPr>
          <w:szCs w:val="32"/>
        </w:rPr>
        <w:t>11,911</w:t>
      </w:r>
      <w:r w:rsidR="00C442C2">
        <w:rPr>
          <w:szCs w:val="32"/>
        </w:rPr>
        <w:t xml:space="preserve"> and </w:t>
      </w:r>
      <w:r w:rsidR="001369B6">
        <w:rPr>
          <w:szCs w:val="32"/>
        </w:rPr>
        <w:t xml:space="preserve">an average of </w:t>
      </w:r>
      <w:r w:rsidR="00EE1513">
        <w:rPr>
          <w:szCs w:val="32"/>
        </w:rPr>
        <w:t xml:space="preserve">3.7 </w:t>
      </w:r>
      <w:r w:rsidR="00F40531">
        <w:rPr>
          <w:szCs w:val="32"/>
        </w:rPr>
        <w:t>weeks of</w:t>
      </w:r>
      <w:r w:rsidR="00801ECA">
        <w:rPr>
          <w:szCs w:val="32"/>
        </w:rPr>
        <w:t xml:space="preserve">f work per claim. </w:t>
      </w:r>
    </w:p>
    <w:p w14:paraId="5346FB48" w14:textId="5429B8BC" w:rsidR="00D04204" w:rsidRDefault="00267540" w:rsidP="00D04204">
      <w:pPr>
        <w:pStyle w:val="Paragraph"/>
      </w:pPr>
      <w:r>
        <w:rPr>
          <w:szCs w:val="32"/>
        </w:rPr>
        <w:t>It should be noted that the</w:t>
      </w:r>
      <w:r w:rsidR="00D04204" w:rsidRPr="00B2385B">
        <w:rPr>
          <w:szCs w:val="32"/>
        </w:rPr>
        <w:t xml:space="preserve"> scale of occupational illness</w:t>
      </w:r>
      <w:r w:rsidR="00B1659A">
        <w:rPr>
          <w:szCs w:val="32"/>
        </w:rPr>
        <w:t xml:space="preserve"> and psychosocial injuries</w:t>
      </w:r>
      <w:r w:rsidR="00D04204" w:rsidRPr="00B2385B">
        <w:rPr>
          <w:szCs w:val="32"/>
        </w:rPr>
        <w:t xml:space="preserve"> attributable to workplace exposure to </w:t>
      </w:r>
      <w:r w:rsidR="003C697C">
        <w:rPr>
          <w:szCs w:val="32"/>
        </w:rPr>
        <w:t>chlorine</w:t>
      </w:r>
      <w:r w:rsidR="003C697C" w:rsidRPr="00B2385B">
        <w:rPr>
          <w:szCs w:val="32"/>
        </w:rPr>
        <w:t xml:space="preserve"> </w:t>
      </w:r>
      <w:r w:rsidR="00D04204" w:rsidRPr="00B2385B">
        <w:rPr>
          <w:szCs w:val="32"/>
        </w:rPr>
        <w:t>is likely to be under-represented in workers’ compensation claim data</w:t>
      </w:r>
      <w:r w:rsidR="00D04204">
        <w:rPr>
          <w:szCs w:val="32"/>
        </w:rPr>
        <w:t xml:space="preserve">, due to </w:t>
      </w:r>
      <w:r w:rsidR="00D04204" w:rsidRPr="004B07EB">
        <w:rPr>
          <w:szCs w:val="32"/>
        </w:rPr>
        <w:t>difficulties in proving causation</w:t>
      </w:r>
      <w:r w:rsidR="005C12B9">
        <w:rPr>
          <w:szCs w:val="32"/>
        </w:rPr>
        <w:t xml:space="preserve"> (</w:t>
      </w:r>
      <w:r w:rsidR="005B0182">
        <w:rPr>
          <w:szCs w:val="32"/>
        </w:rPr>
        <w:t xml:space="preserve">e.g., </w:t>
      </w:r>
      <w:r w:rsidR="005C12B9">
        <w:rPr>
          <w:szCs w:val="32"/>
        </w:rPr>
        <w:t xml:space="preserve">acute symptoms of chlorine exposure </w:t>
      </w:r>
      <w:r w:rsidR="005334F2">
        <w:rPr>
          <w:szCs w:val="32"/>
        </w:rPr>
        <w:t xml:space="preserve">can be common </w:t>
      </w:r>
      <w:r w:rsidR="0045663B">
        <w:rPr>
          <w:szCs w:val="32"/>
        </w:rPr>
        <w:t>to</w:t>
      </w:r>
      <w:r w:rsidR="005334F2">
        <w:rPr>
          <w:szCs w:val="32"/>
        </w:rPr>
        <w:t xml:space="preserve"> other diseases</w:t>
      </w:r>
      <w:r w:rsidR="005B0182">
        <w:rPr>
          <w:szCs w:val="32"/>
        </w:rPr>
        <w:t xml:space="preserve"> or illnesses</w:t>
      </w:r>
      <w:r w:rsidR="005334F2">
        <w:rPr>
          <w:szCs w:val="32"/>
        </w:rPr>
        <w:t>)</w:t>
      </w:r>
      <w:r w:rsidR="00D04204">
        <w:rPr>
          <w:szCs w:val="32"/>
        </w:rPr>
        <w:t xml:space="preserve">, </w:t>
      </w:r>
      <w:r w:rsidR="00D04204" w:rsidRPr="004B07EB">
        <w:rPr>
          <w:szCs w:val="32"/>
        </w:rPr>
        <w:t xml:space="preserve">the </w:t>
      </w:r>
      <w:r w:rsidR="00D04204">
        <w:rPr>
          <w:szCs w:val="32"/>
        </w:rPr>
        <w:t>latency period</w:t>
      </w:r>
      <w:r w:rsidR="00D04204" w:rsidRPr="004B07EB">
        <w:rPr>
          <w:szCs w:val="32"/>
        </w:rPr>
        <w:t xml:space="preserve"> between occupational exposure and </w:t>
      </w:r>
      <w:r w:rsidR="00D04204">
        <w:rPr>
          <w:szCs w:val="32"/>
        </w:rPr>
        <w:t>the illness</w:t>
      </w:r>
      <w:r w:rsidR="00567F07">
        <w:rPr>
          <w:szCs w:val="32"/>
        </w:rPr>
        <w:t xml:space="preserve"> </w:t>
      </w:r>
      <w:r w:rsidR="00567F07" w:rsidRPr="00567F07">
        <w:rPr>
          <w:szCs w:val="32"/>
        </w:rPr>
        <w:t>(especially if it develops after the worker has stopped working at the workplace)</w:t>
      </w:r>
      <w:r w:rsidR="00D04204">
        <w:rPr>
          <w:szCs w:val="32"/>
        </w:rPr>
        <w:t xml:space="preserve">, or an affected worker not </w:t>
      </w:r>
      <w:r w:rsidR="000D009F">
        <w:rPr>
          <w:szCs w:val="32"/>
        </w:rPr>
        <w:t xml:space="preserve">seeking </w:t>
      </w:r>
      <w:r w:rsidR="00D04204">
        <w:rPr>
          <w:szCs w:val="32"/>
        </w:rPr>
        <w:t xml:space="preserve">compensation </w:t>
      </w:r>
      <w:r w:rsidR="000D009F">
        <w:rPr>
          <w:szCs w:val="32"/>
        </w:rPr>
        <w:t xml:space="preserve">(for example </w:t>
      </w:r>
      <w:r w:rsidR="00D04204">
        <w:rPr>
          <w:szCs w:val="32"/>
        </w:rPr>
        <w:t>thinking they are ineligible or not being aware they are covered</w:t>
      </w:r>
      <w:r w:rsidR="000D009F">
        <w:rPr>
          <w:szCs w:val="32"/>
        </w:rPr>
        <w:t>)</w:t>
      </w:r>
      <w:r w:rsidR="00D04204">
        <w:rPr>
          <w:szCs w:val="32"/>
        </w:rPr>
        <w:t>.</w:t>
      </w:r>
      <w:r w:rsidR="00D04204" w:rsidRPr="005B49C3">
        <w:t xml:space="preserve"> </w:t>
      </w:r>
      <w:r w:rsidR="00B42340" w:rsidRPr="00B42340">
        <w:t xml:space="preserve">Further limitations of the estimation of financial benefits are discussed in </w:t>
      </w:r>
      <w:r w:rsidR="006563FE">
        <w:rPr>
          <w:highlight w:val="yellow"/>
        </w:rPr>
        <w:fldChar w:fldCharType="begin"/>
      </w:r>
      <w:r w:rsidR="006563FE">
        <w:instrText xml:space="preserve"> REF _Ref216793461 \h </w:instrText>
      </w:r>
      <w:r w:rsidR="006563FE">
        <w:rPr>
          <w:highlight w:val="yellow"/>
        </w:rPr>
      </w:r>
      <w:r w:rsidR="006563FE">
        <w:rPr>
          <w:highlight w:val="yellow"/>
        </w:rPr>
        <w:fldChar w:fldCharType="separate"/>
      </w:r>
      <w:r w:rsidR="00A002F4">
        <w:t xml:space="preserve">Table </w:t>
      </w:r>
      <w:r w:rsidR="00A002F4">
        <w:rPr>
          <w:noProof/>
        </w:rPr>
        <w:t>66</w:t>
      </w:r>
      <w:r w:rsidR="006563FE">
        <w:rPr>
          <w:highlight w:val="yellow"/>
        </w:rPr>
        <w:fldChar w:fldCharType="end"/>
      </w:r>
      <w:r w:rsidR="00B42340" w:rsidRPr="00B42340">
        <w:t xml:space="preserve"> of </w:t>
      </w:r>
      <w:r w:rsidR="00B42340" w:rsidRPr="00195AF2">
        <w:t xml:space="preserve">Appendix </w:t>
      </w:r>
      <w:r w:rsidR="004C0E6B">
        <w:t>C</w:t>
      </w:r>
      <w:r w:rsidR="00B42340" w:rsidRPr="00B42340">
        <w:t xml:space="preserve"> of this Decision RIS.</w:t>
      </w:r>
    </w:p>
    <w:p w14:paraId="4590B82B" w14:textId="38AA0226" w:rsidR="00F71504" w:rsidRDefault="00E5723E" w:rsidP="006C352E">
      <w:pPr>
        <w:pStyle w:val="Paragraph"/>
        <w:keepNext w:val="0"/>
      </w:pPr>
      <w:r>
        <w:t>Some</w:t>
      </w:r>
      <w:r w:rsidR="009F78EE">
        <w:t xml:space="preserve"> adverse health effects </w:t>
      </w:r>
      <w:r w:rsidR="00B905EB">
        <w:t>associated with</w:t>
      </w:r>
      <w:r w:rsidR="00581A84">
        <w:t xml:space="preserve"> exposure to</w:t>
      </w:r>
      <w:r w:rsidR="00B905EB">
        <w:t xml:space="preserve"> chlorine tend to occur immediately</w:t>
      </w:r>
      <w:r w:rsidR="00FA3748">
        <w:t xml:space="preserve"> (i.e., there is no long latency period)</w:t>
      </w:r>
      <w:r w:rsidR="00B905EB">
        <w:t xml:space="preserve">. However, on occasion, the </w:t>
      </w:r>
      <w:r w:rsidR="003A046C">
        <w:t>adverse health effect can develop hours after exposure at the workplace, such as when the worker</w:t>
      </w:r>
      <w:r w:rsidR="00F82486">
        <w:t xml:space="preserve"> has finished working for the day and</w:t>
      </w:r>
      <w:r w:rsidR="003A046C">
        <w:t xml:space="preserve"> is at home. </w:t>
      </w:r>
      <w:r w:rsidR="00F71504">
        <w:t xml:space="preserve">A case study </w:t>
      </w:r>
      <w:r w:rsidR="0013658C">
        <w:t xml:space="preserve">involving two patients who developed an </w:t>
      </w:r>
      <w:r w:rsidR="0013658C">
        <w:lastRenderedPageBreak/>
        <w:t xml:space="preserve">acute lung injury </w:t>
      </w:r>
      <w:r w:rsidR="000A10C7">
        <w:t xml:space="preserve">from workplace exposure to chlorine gas </w:t>
      </w:r>
      <w:r w:rsidR="002A4FC9">
        <w:t>by mixing chlorine-</w:t>
      </w:r>
      <w:r w:rsidR="003D0D7C">
        <w:t>containing</w:t>
      </w:r>
      <w:r w:rsidR="002A4FC9">
        <w:t xml:space="preserve"> chemicals, like </w:t>
      </w:r>
      <w:r w:rsidR="003D0D7C">
        <w:t xml:space="preserve">chemical cleaners, </w:t>
      </w:r>
      <w:r w:rsidR="000A10C7">
        <w:t xml:space="preserve">found </w:t>
      </w:r>
      <w:r w:rsidR="009B7272">
        <w:t xml:space="preserve">that the patients </w:t>
      </w:r>
      <w:r w:rsidR="000A10C7">
        <w:t xml:space="preserve">experienced symptoms </w:t>
      </w:r>
      <w:r w:rsidR="00855436">
        <w:t>between 10 hours to 35 hours after exposure</w:t>
      </w:r>
      <w:r w:rsidR="00874266">
        <w:t xml:space="preserve"> </w:t>
      </w:r>
      <w:sdt>
        <w:sdtPr>
          <w:id w:val="1468628843"/>
          <w:citation/>
        </w:sdtPr>
        <w:sdtEndPr/>
        <w:sdtContent>
          <w:r w:rsidR="003D0D7C">
            <w:fldChar w:fldCharType="begin"/>
          </w:r>
          <w:r w:rsidR="003D0D7C">
            <w:instrText xml:space="preserve"> CITATION Yam09 \l 3081 </w:instrText>
          </w:r>
          <w:r w:rsidR="003D0D7C">
            <w:fldChar w:fldCharType="separate"/>
          </w:r>
          <w:r w:rsidR="00490B21">
            <w:rPr>
              <w:noProof/>
            </w:rPr>
            <w:t>(Yamamoto, et al., 2009)</w:t>
          </w:r>
          <w:r w:rsidR="003D0D7C">
            <w:fldChar w:fldCharType="end"/>
          </w:r>
        </w:sdtContent>
      </w:sdt>
      <w:r w:rsidR="00855436">
        <w:t xml:space="preserve">. </w:t>
      </w:r>
    </w:p>
    <w:p w14:paraId="16FA69D4" w14:textId="398FC95D" w:rsidR="00F76CC2" w:rsidRDefault="00FF0F35" w:rsidP="00B97CF2">
      <w:pPr>
        <w:pStyle w:val="Paragraph"/>
        <w:keepNext w:val="0"/>
      </w:pPr>
      <w:r>
        <w:t>Noting the potential for under-representation in workers compensation data, it is likely that a reduction in the proposed WEL for chlorine would result in protecti</w:t>
      </w:r>
      <w:r w:rsidR="00BB0625">
        <w:t>on</w:t>
      </w:r>
      <w:r>
        <w:t xml:space="preserve"> </w:t>
      </w:r>
      <w:r w:rsidR="00BB0625">
        <w:t xml:space="preserve">of </w:t>
      </w:r>
      <w:r>
        <w:t xml:space="preserve">a greater number of workers from developing </w:t>
      </w:r>
      <w:r w:rsidR="00851CA1" w:rsidRPr="00851CA1">
        <w:t>eye and respiratory tract irritation at low concentrations, and irreversible impairment of lung function at higher concentrations</w:t>
      </w:r>
      <w:r w:rsidR="00BB0625">
        <w:t>,</w:t>
      </w:r>
      <w:r w:rsidR="00851CA1" w:rsidRPr="00851CA1">
        <w:t xml:space="preserve"> </w:t>
      </w:r>
      <w:r w:rsidR="00851CA1">
        <w:t>of chlorine in the workplace</w:t>
      </w:r>
      <w:r w:rsidR="00BB0625">
        <w:t xml:space="preserve">. </w:t>
      </w:r>
      <w:r w:rsidR="00AA5F22">
        <w:t xml:space="preserve">For the purposes of this Decision RIS, an uplift factor of 50% was assumed to account for this under-representation of occupational diseases caused by exposure to chlorine. However, it remains unclear whether this is an accurate </w:t>
      </w:r>
      <w:r w:rsidR="00C2003F">
        <w:t>reflection of the under-representation</w:t>
      </w:r>
      <w:r w:rsidR="00D06B02">
        <w:t xml:space="preserve">. </w:t>
      </w:r>
      <w:r w:rsidR="00BB0625">
        <w:t xml:space="preserve">Thus, the actual financial benefits of the proposed WEL </w:t>
      </w:r>
      <w:r w:rsidR="00D06B02">
        <w:t xml:space="preserve">may be different </w:t>
      </w:r>
      <w:r w:rsidR="00F76CC2">
        <w:t>to what</w:t>
      </w:r>
      <w:r w:rsidR="00BB0625">
        <w:t xml:space="preserve"> has been estimated in </w:t>
      </w:r>
      <w:r w:rsidR="00BB0625">
        <w:fldChar w:fldCharType="begin"/>
      </w:r>
      <w:r w:rsidR="00BB0625">
        <w:instrText xml:space="preserve"> REF _Ref199857926 \h </w:instrText>
      </w:r>
      <w:r w:rsidR="00BB0625">
        <w:fldChar w:fldCharType="separate"/>
      </w:r>
      <w:r w:rsidR="00A002F4">
        <w:t xml:space="preserve">Table </w:t>
      </w:r>
      <w:r w:rsidR="00A002F4">
        <w:rPr>
          <w:noProof/>
        </w:rPr>
        <w:t>13</w:t>
      </w:r>
      <w:r w:rsidR="00BB0625">
        <w:fldChar w:fldCharType="end"/>
      </w:r>
      <w:r w:rsidR="00BB0625">
        <w:t xml:space="preserve">. </w:t>
      </w:r>
    </w:p>
    <w:p w14:paraId="0FCA20BB" w14:textId="4E7A012F" w:rsidR="00851CA1" w:rsidRDefault="00BB0625" w:rsidP="00B97CF2">
      <w:pPr>
        <w:pStyle w:val="Paragraph"/>
        <w:keepNext w:val="0"/>
      </w:pPr>
      <w:r>
        <w:t xml:space="preserve">It is also expected that these quantifiable financial benefits will continue beyond the 10-year period that tis estimation is based on. </w:t>
      </w:r>
      <w:r w:rsidR="004E3968">
        <w:t>Financial b</w:t>
      </w:r>
      <w:r w:rsidR="0071042D" w:rsidRPr="0071042D">
        <w:t>enefits that arise beyond the 10-year period are not included the quantified figures</w:t>
      </w:r>
      <w:r w:rsidR="0071042D">
        <w:t xml:space="preserve">. </w:t>
      </w:r>
    </w:p>
    <w:p w14:paraId="05527959" w14:textId="2A0CC5D1" w:rsidR="00986995" w:rsidRDefault="00986995" w:rsidP="00986995">
      <w:pPr>
        <w:pStyle w:val="Caption"/>
      </w:pPr>
      <w:bookmarkStart w:id="128" w:name="_Ref199857926"/>
      <w:r>
        <w:t xml:space="preserve">Table </w:t>
      </w:r>
      <w:fldSimple w:instr=" SEQ Table \* ARABIC ">
        <w:r w:rsidR="00A002F4">
          <w:rPr>
            <w:noProof/>
          </w:rPr>
          <w:t>13</w:t>
        </w:r>
      </w:fldSimple>
      <w:bookmarkEnd w:id="128"/>
      <w:r w:rsidDel="006E3719">
        <w:t xml:space="preserve"> - </w:t>
      </w:r>
      <w:r w:rsidRPr="00900AD4" w:rsidDel="006E3719">
        <w:t>Estimated average annual and total financial benefits of the proposed WEL for chlorine</w:t>
      </w:r>
      <w:r w:rsidRPr="002D5AAA">
        <w:t>,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986995" w:rsidRPr="008404A0" w14:paraId="77F8C377" w14:textId="77777777" w:rsidTr="0082792B">
        <w:trPr>
          <w:trHeight w:val="514"/>
          <w:tblHeader/>
        </w:trPr>
        <w:tc>
          <w:tcPr>
            <w:tcW w:w="4106" w:type="dxa"/>
            <w:shd w:val="clear" w:color="auto" w:fill="4877E0" w:themeFill="accent1"/>
          </w:tcPr>
          <w:p w14:paraId="4805EF39" w14:textId="77777777" w:rsidR="00986995" w:rsidRPr="00E80AF6" w:rsidRDefault="00986995" w:rsidP="0082792B">
            <w:pPr>
              <w:pStyle w:val="Paragraph"/>
              <w:spacing w:after="0"/>
              <w:rPr>
                <w:b/>
                <w:bCs/>
                <w:color w:val="FFFFFF" w:themeColor="background1"/>
              </w:rPr>
            </w:pPr>
            <w:r>
              <w:rPr>
                <w:b/>
                <w:bCs/>
                <w:color w:val="FFFFFF" w:themeColor="background1"/>
              </w:rPr>
              <w:t>Financial benefits</w:t>
            </w:r>
          </w:p>
        </w:tc>
        <w:tc>
          <w:tcPr>
            <w:tcW w:w="2480" w:type="dxa"/>
            <w:tcBorders>
              <w:bottom w:val="single" w:sz="4" w:space="0" w:color="D9D9D9" w:themeColor="background1" w:themeShade="D9"/>
            </w:tcBorders>
            <w:shd w:val="clear" w:color="auto" w:fill="4877E0" w:themeFill="accent1"/>
          </w:tcPr>
          <w:p w14:paraId="26B737C6" w14:textId="77777777" w:rsidR="00986995" w:rsidRPr="00E80AF6" w:rsidRDefault="00986995" w:rsidP="0082792B">
            <w:pPr>
              <w:pStyle w:val="Paragraph"/>
              <w:spacing w:after="0"/>
              <w:rPr>
                <w:b/>
                <w:bCs/>
                <w:color w:val="FFFFFF" w:themeColor="background1"/>
              </w:rPr>
            </w:pPr>
            <w:r w:rsidRPr="00E80AF6">
              <w:rPr>
                <w:b/>
                <w:bCs/>
                <w:color w:val="FFFFFF" w:themeColor="background1"/>
              </w:rPr>
              <w:t>Average benefits p.a. ($’000, undiscounted)</w:t>
            </w:r>
          </w:p>
        </w:tc>
        <w:tc>
          <w:tcPr>
            <w:tcW w:w="2481" w:type="dxa"/>
            <w:tcBorders>
              <w:bottom w:val="single" w:sz="4" w:space="0" w:color="D9D9D9" w:themeColor="background1" w:themeShade="D9"/>
            </w:tcBorders>
            <w:shd w:val="clear" w:color="auto" w:fill="4877E0" w:themeFill="accent1"/>
          </w:tcPr>
          <w:p w14:paraId="5DE36724" w14:textId="77777777" w:rsidR="00986995" w:rsidRPr="00E80AF6" w:rsidRDefault="00986995" w:rsidP="0082792B">
            <w:pPr>
              <w:pStyle w:val="Paragraph"/>
              <w:spacing w:after="0"/>
              <w:rPr>
                <w:b/>
                <w:bCs/>
                <w:color w:val="FFFFFF" w:themeColor="background1"/>
              </w:rPr>
            </w:pPr>
            <w:r w:rsidRPr="00E80AF6">
              <w:rPr>
                <w:b/>
                <w:bCs/>
                <w:color w:val="FFFFFF" w:themeColor="background1"/>
              </w:rPr>
              <w:t>Total benefits ($ millions, discounted)</w:t>
            </w:r>
          </w:p>
        </w:tc>
      </w:tr>
      <w:tr w:rsidR="00986995" w:rsidRPr="00BA600A" w14:paraId="1C19DF46" w14:textId="77777777" w:rsidTr="0082792B">
        <w:trPr>
          <w:trHeight w:val="257"/>
        </w:trPr>
        <w:tc>
          <w:tcPr>
            <w:tcW w:w="4106" w:type="dxa"/>
            <w:tcBorders>
              <w:right w:val="single" w:sz="4" w:space="0" w:color="D9D9D9" w:themeColor="background1" w:themeShade="D9"/>
            </w:tcBorders>
            <w:shd w:val="clear" w:color="auto" w:fill="DAE3F8" w:themeFill="accent1" w:themeFillTint="33"/>
          </w:tcPr>
          <w:p w14:paraId="1D6FA1F2" w14:textId="77777777" w:rsidR="00986995" w:rsidRPr="00931974" w:rsidRDefault="00986995" w:rsidP="0082792B">
            <w:pPr>
              <w:pStyle w:val="Paragraph"/>
              <w:spacing w:after="0"/>
              <w:rPr>
                <w:b/>
              </w:rPr>
            </w:pPr>
            <w:r w:rsidRPr="00931974">
              <w:rPr>
                <w:b/>
              </w:rPr>
              <w:t>Direct benefits</w:t>
            </w:r>
          </w:p>
        </w:tc>
        <w:tc>
          <w:tcPr>
            <w:tcW w:w="2480" w:type="dxa"/>
            <w:shd w:val="clear" w:color="auto" w:fill="DAE3F8" w:themeFill="accent1" w:themeFillTint="33"/>
            <w:vAlign w:val="center"/>
          </w:tcPr>
          <w:p w14:paraId="5EA4822D" w14:textId="77777777" w:rsidR="00986995" w:rsidRPr="00DE6EF7" w:rsidRDefault="00986995" w:rsidP="0082792B">
            <w:pPr>
              <w:keepNext/>
              <w:keepLines/>
              <w:jc w:val="right"/>
              <w:rPr>
                <w:b/>
              </w:rPr>
            </w:pPr>
            <w:r w:rsidRPr="00BF4E30">
              <w:rPr>
                <w:rFonts w:asciiTheme="majorHAnsi" w:hAnsiTheme="majorHAnsi" w:cstheme="majorHAnsi"/>
                <w:b/>
                <w:bCs/>
              </w:rPr>
              <w:t>92</w:t>
            </w:r>
            <w:r>
              <w:rPr>
                <w:rFonts w:asciiTheme="majorHAnsi" w:hAnsiTheme="majorHAnsi" w:cstheme="majorHAnsi"/>
                <w:b/>
                <w:bCs/>
              </w:rPr>
              <w:t>1</w:t>
            </w:r>
          </w:p>
        </w:tc>
        <w:tc>
          <w:tcPr>
            <w:tcW w:w="2481" w:type="dxa"/>
            <w:shd w:val="clear" w:color="auto" w:fill="DAE3F8" w:themeFill="accent1" w:themeFillTint="33"/>
            <w:vAlign w:val="center"/>
          </w:tcPr>
          <w:p w14:paraId="6822DA34" w14:textId="77777777" w:rsidR="00986995" w:rsidRPr="00DE6EF7" w:rsidRDefault="00986995" w:rsidP="0082792B">
            <w:pPr>
              <w:keepNext/>
              <w:keepLines/>
              <w:jc w:val="right"/>
              <w:rPr>
                <w:b/>
              </w:rPr>
            </w:pPr>
            <w:r w:rsidRPr="00BF4E30">
              <w:rPr>
                <w:rFonts w:asciiTheme="majorHAnsi" w:hAnsiTheme="majorHAnsi" w:cstheme="majorHAnsi"/>
                <w:b/>
                <w:bCs/>
                <w:lang w:eastAsia="en-AU"/>
              </w:rPr>
              <w:t>5.7</w:t>
            </w:r>
          </w:p>
        </w:tc>
      </w:tr>
      <w:tr w:rsidR="00986995" w:rsidRPr="00BA600A" w14:paraId="2751C295" w14:textId="77777777" w:rsidTr="0082792B">
        <w:trPr>
          <w:trHeight w:val="257"/>
        </w:trPr>
        <w:tc>
          <w:tcPr>
            <w:tcW w:w="4106" w:type="dxa"/>
            <w:tcBorders>
              <w:right w:val="single" w:sz="4" w:space="0" w:color="D9D9D9" w:themeColor="background1" w:themeShade="D9"/>
            </w:tcBorders>
          </w:tcPr>
          <w:p w14:paraId="279746DD" w14:textId="77777777" w:rsidR="00986995" w:rsidRDefault="00986995" w:rsidP="0082792B">
            <w:pPr>
              <w:pStyle w:val="Paragraph"/>
              <w:spacing w:after="0"/>
              <w:ind w:left="308"/>
              <w:rPr>
                <w:bCs/>
              </w:rPr>
            </w:pPr>
            <w:r>
              <w:rPr>
                <w:bCs/>
              </w:rPr>
              <w:t>Direct compensation benefits</w:t>
            </w:r>
          </w:p>
        </w:tc>
        <w:tc>
          <w:tcPr>
            <w:tcW w:w="2480" w:type="dxa"/>
            <w:vAlign w:val="center"/>
          </w:tcPr>
          <w:p w14:paraId="71865C3B" w14:textId="77777777" w:rsidR="00986995" w:rsidRPr="00DE6EF7" w:rsidRDefault="00986995" w:rsidP="0082792B">
            <w:pPr>
              <w:keepNext/>
              <w:keepLines/>
              <w:jc w:val="right"/>
            </w:pPr>
            <w:r w:rsidRPr="005E7B5F">
              <w:t>35</w:t>
            </w:r>
            <w:r>
              <w:t>4</w:t>
            </w:r>
          </w:p>
        </w:tc>
        <w:tc>
          <w:tcPr>
            <w:tcW w:w="2481" w:type="dxa"/>
            <w:vAlign w:val="center"/>
          </w:tcPr>
          <w:p w14:paraId="4A8D3C5E" w14:textId="77777777" w:rsidR="00986995" w:rsidRPr="00DE6EF7" w:rsidRDefault="00986995" w:rsidP="0082792B">
            <w:pPr>
              <w:keepNext/>
              <w:keepLines/>
              <w:jc w:val="right"/>
            </w:pPr>
            <w:r>
              <w:rPr>
                <w:lang w:eastAsia="en-AU"/>
              </w:rPr>
              <w:t>2.2</w:t>
            </w:r>
          </w:p>
        </w:tc>
      </w:tr>
      <w:tr w:rsidR="00986995" w:rsidRPr="00BA600A" w14:paraId="1A1B9BB9" w14:textId="77777777" w:rsidTr="0082792B">
        <w:trPr>
          <w:trHeight w:val="257"/>
        </w:trPr>
        <w:tc>
          <w:tcPr>
            <w:tcW w:w="4106" w:type="dxa"/>
            <w:tcBorders>
              <w:right w:val="single" w:sz="4" w:space="0" w:color="D9D9D9" w:themeColor="background1" w:themeShade="D9"/>
            </w:tcBorders>
          </w:tcPr>
          <w:p w14:paraId="06A29F35" w14:textId="77777777" w:rsidR="00986995" w:rsidRDefault="00986995" w:rsidP="0082792B">
            <w:pPr>
              <w:pStyle w:val="Paragraph"/>
              <w:spacing w:after="0"/>
              <w:ind w:left="308"/>
              <w:rPr>
                <w:bCs/>
              </w:rPr>
            </w:pPr>
            <w:r>
              <w:rPr>
                <w:bCs/>
              </w:rPr>
              <w:t>Common law compensation benefits</w:t>
            </w:r>
          </w:p>
        </w:tc>
        <w:tc>
          <w:tcPr>
            <w:tcW w:w="2480" w:type="dxa"/>
            <w:vAlign w:val="center"/>
          </w:tcPr>
          <w:p w14:paraId="27C255E6" w14:textId="77777777" w:rsidR="00986995" w:rsidRPr="00DE6EF7" w:rsidRDefault="00986995" w:rsidP="0082792B">
            <w:pPr>
              <w:keepNext/>
              <w:keepLines/>
              <w:jc w:val="right"/>
            </w:pPr>
            <w:r w:rsidRPr="005E7B5F">
              <w:t>315</w:t>
            </w:r>
          </w:p>
        </w:tc>
        <w:tc>
          <w:tcPr>
            <w:tcW w:w="2481" w:type="dxa"/>
            <w:vAlign w:val="center"/>
          </w:tcPr>
          <w:p w14:paraId="65662162" w14:textId="77777777" w:rsidR="00986995" w:rsidRPr="00DE6EF7" w:rsidRDefault="00986995" w:rsidP="0082792B">
            <w:pPr>
              <w:keepNext/>
              <w:keepLines/>
              <w:jc w:val="right"/>
            </w:pPr>
            <w:r>
              <w:rPr>
                <w:lang w:eastAsia="en-AU"/>
              </w:rPr>
              <w:t>1.9</w:t>
            </w:r>
          </w:p>
        </w:tc>
      </w:tr>
      <w:tr w:rsidR="00986995" w:rsidRPr="00BA600A" w14:paraId="7CF374BF" w14:textId="77777777" w:rsidTr="0082792B">
        <w:trPr>
          <w:trHeight w:val="274"/>
        </w:trPr>
        <w:tc>
          <w:tcPr>
            <w:tcW w:w="4106" w:type="dxa"/>
            <w:tcBorders>
              <w:right w:val="single" w:sz="4" w:space="0" w:color="D9D9D9" w:themeColor="background1" w:themeShade="D9"/>
            </w:tcBorders>
          </w:tcPr>
          <w:p w14:paraId="3031C9FF" w14:textId="77777777" w:rsidR="00986995" w:rsidRDefault="00986995" w:rsidP="0082792B">
            <w:pPr>
              <w:pStyle w:val="Paragraph"/>
              <w:spacing w:after="0"/>
              <w:ind w:left="308"/>
              <w:rPr>
                <w:bCs/>
              </w:rPr>
            </w:pPr>
            <w:r>
              <w:rPr>
                <w:bCs/>
              </w:rPr>
              <w:t>Medical compensation benefits</w:t>
            </w:r>
          </w:p>
        </w:tc>
        <w:tc>
          <w:tcPr>
            <w:tcW w:w="2480" w:type="dxa"/>
            <w:vAlign w:val="center"/>
          </w:tcPr>
          <w:p w14:paraId="011F018D" w14:textId="77777777" w:rsidR="00986995" w:rsidRPr="00DE6EF7" w:rsidRDefault="00986995" w:rsidP="0082792B">
            <w:pPr>
              <w:keepNext/>
              <w:keepLines/>
              <w:jc w:val="right"/>
            </w:pPr>
            <w:r w:rsidRPr="005E7B5F">
              <w:t>1</w:t>
            </w:r>
            <w:r>
              <w:t>60</w:t>
            </w:r>
          </w:p>
        </w:tc>
        <w:tc>
          <w:tcPr>
            <w:tcW w:w="2481" w:type="dxa"/>
            <w:vAlign w:val="center"/>
          </w:tcPr>
          <w:p w14:paraId="1D8B1D65" w14:textId="77777777" w:rsidR="00986995" w:rsidRPr="00DE6EF7" w:rsidRDefault="00986995" w:rsidP="0082792B">
            <w:pPr>
              <w:keepNext/>
              <w:keepLines/>
              <w:jc w:val="right"/>
            </w:pPr>
            <w:r>
              <w:rPr>
                <w:lang w:eastAsia="en-AU"/>
              </w:rPr>
              <w:t>1.0</w:t>
            </w:r>
          </w:p>
        </w:tc>
      </w:tr>
      <w:tr w:rsidR="00986995" w:rsidRPr="00BA600A" w14:paraId="7786E424" w14:textId="77777777" w:rsidTr="0082792B">
        <w:trPr>
          <w:trHeight w:val="246"/>
        </w:trPr>
        <w:tc>
          <w:tcPr>
            <w:tcW w:w="4106" w:type="dxa"/>
            <w:tcBorders>
              <w:right w:val="single" w:sz="4" w:space="0" w:color="D9D9D9" w:themeColor="background1" w:themeShade="D9"/>
            </w:tcBorders>
          </w:tcPr>
          <w:p w14:paraId="22D2AC8D" w14:textId="77777777" w:rsidR="00986995" w:rsidRDefault="00986995" w:rsidP="0082792B">
            <w:pPr>
              <w:pStyle w:val="Paragraph"/>
              <w:spacing w:after="0"/>
              <w:ind w:left="308"/>
              <w:rPr>
                <w:bCs/>
              </w:rPr>
            </w:pPr>
            <w:r>
              <w:rPr>
                <w:bCs/>
              </w:rPr>
              <w:t>Supplementary compensation benefits</w:t>
            </w:r>
          </w:p>
        </w:tc>
        <w:tc>
          <w:tcPr>
            <w:tcW w:w="2480" w:type="dxa"/>
            <w:vAlign w:val="center"/>
          </w:tcPr>
          <w:p w14:paraId="07326156" w14:textId="77777777" w:rsidR="00986995" w:rsidRPr="00DE6EF7" w:rsidRDefault="00986995" w:rsidP="0082792B">
            <w:pPr>
              <w:keepNext/>
              <w:keepLines/>
              <w:jc w:val="right"/>
            </w:pPr>
            <w:r w:rsidRPr="005E7B5F">
              <w:t>92</w:t>
            </w:r>
          </w:p>
        </w:tc>
        <w:tc>
          <w:tcPr>
            <w:tcW w:w="2481" w:type="dxa"/>
            <w:vAlign w:val="center"/>
          </w:tcPr>
          <w:p w14:paraId="32CCD7FD" w14:textId="77777777" w:rsidR="00986995" w:rsidRPr="00DE6EF7" w:rsidRDefault="00986995" w:rsidP="0082792B">
            <w:pPr>
              <w:keepNext/>
              <w:keepLines/>
              <w:jc w:val="right"/>
            </w:pPr>
            <w:r>
              <w:rPr>
                <w:lang w:eastAsia="en-AU"/>
              </w:rPr>
              <w:t>0.6</w:t>
            </w:r>
          </w:p>
        </w:tc>
      </w:tr>
      <w:tr w:rsidR="00986995" w:rsidRPr="00BA600A" w14:paraId="6AD8CFCB" w14:textId="77777777" w:rsidTr="0082792B">
        <w:trPr>
          <w:trHeight w:val="257"/>
        </w:trPr>
        <w:tc>
          <w:tcPr>
            <w:tcW w:w="4106" w:type="dxa"/>
            <w:tcBorders>
              <w:right w:val="single" w:sz="4" w:space="0" w:color="D9D9D9" w:themeColor="background1" w:themeShade="D9"/>
            </w:tcBorders>
            <w:shd w:val="clear" w:color="auto" w:fill="DAE3F8" w:themeFill="accent1" w:themeFillTint="33"/>
          </w:tcPr>
          <w:p w14:paraId="0CEB341D" w14:textId="77777777" w:rsidR="00986995" w:rsidRPr="00931974" w:rsidRDefault="00986995" w:rsidP="0082792B">
            <w:pPr>
              <w:pStyle w:val="Paragraph"/>
              <w:spacing w:after="0"/>
              <w:rPr>
                <w:b/>
              </w:rPr>
            </w:pPr>
            <w:r w:rsidRPr="00931974">
              <w:rPr>
                <w:b/>
              </w:rPr>
              <w:t>Indirect benefits</w:t>
            </w:r>
          </w:p>
        </w:tc>
        <w:tc>
          <w:tcPr>
            <w:tcW w:w="2480" w:type="dxa"/>
            <w:shd w:val="clear" w:color="auto" w:fill="DAE3F8" w:themeFill="accent1" w:themeFillTint="33"/>
            <w:vAlign w:val="center"/>
          </w:tcPr>
          <w:p w14:paraId="363AF9E7" w14:textId="1F06B86A" w:rsidR="00986995" w:rsidRPr="00DE6EF7" w:rsidRDefault="007F6E7C" w:rsidP="0082792B">
            <w:pPr>
              <w:keepNext/>
              <w:keepLines/>
              <w:jc w:val="right"/>
              <w:rPr>
                <w:b/>
              </w:rPr>
            </w:pPr>
            <w:r>
              <w:rPr>
                <w:b/>
                <w:bCs/>
              </w:rPr>
              <w:t>498</w:t>
            </w:r>
          </w:p>
        </w:tc>
        <w:tc>
          <w:tcPr>
            <w:tcW w:w="2481" w:type="dxa"/>
            <w:shd w:val="clear" w:color="auto" w:fill="DAE3F8" w:themeFill="accent1" w:themeFillTint="33"/>
            <w:vAlign w:val="center"/>
          </w:tcPr>
          <w:p w14:paraId="0F91E3B2" w14:textId="5FDD87FB" w:rsidR="00986995" w:rsidRPr="00DE6EF7" w:rsidRDefault="00986995" w:rsidP="0082792B">
            <w:pPr>
              <w:keepNext/>
              <w:keepLines/>
              <w:jc w:val="right"/>
              <w:rPr>
                <w:b/>
              </w:rPr>
            </w:pPr>
            <w:r>
              <w:rPr>
                <w:b/>
                <w:bCs/>
              </w:rPr>
              <w:t>3.</w:t>
            </w:r>
            <w:r w:rsidR="007F6E7C">
              <w:rPr>
                <w:b/>
                <w:bCs/>
              </w:rPr>
              <w:t>1</w:t>
            </w:r>
          </w:p>
        </w:tc>
      </w:tr>
      <w:tr w:rsidR="00986995" w:rsidRPr="00BA600A" w14:paraId="66D8FCED" w14:textId="77777777" w:rsidTr="0082792B">
        <w:trPr>
          <w:trHeight w:val="257"/>
        </w:trPr>
        <w:tc>
          <w:tcPr>
            <w:tcW w:w="4106" w:type="dxa"/>
            <w:tcBorders>
              <w:right w:val="single" w:sz="4" w:space="0" w:color="D9D9D9" w:themeColor="background1" w:themeShade="D9"/>
            </w:tcBorders>
          </w:tcPr>
          <w:p w14:paraId="1AA89E6D" w14:textId="77777777" w:rsidR="00986995" w:rsidRDefault="00986995" w:rsidP="0082792B">
            <w:pPr>
              <w:pStyle w:val="Paragraph"/>
              <w:spacing w:after="0"/>
              <w:ind w:left="308"/>
              <w:rPr>
                <w:bCs/>
              </w:rPr>
            </w:pPr>
            <w:r>
              <w:rPr>
                <w:bCs/>
              </w:rPr>
              <w:t>Productivity benefits</w:t>
            </w:r>
          </w:p>
        </w:tc>
        <w:tc>
          <w:tcPr>
            <w:tcW w:w="2480" w:type="dxa"/>
            <w:vAlign w:val="center"/>
          </w:tcPr>
          <w:p w14:paraId="51D282DB" w14:textId="50B6A158" w:rsidR="00986995" w:rsidRPr="00DE6EF7" w:rsidRDefault="007F6E7C" w:rsidP="0082792B">
            <w:pPr>
              <w:keepNext/>
              <w:keepLines/>
              <w:jc w:val="right"/>
            </w:pPr>
            <w:r>
              <w:t>498</w:t>
            </w:r>
          </w:p>
        </w:tc>
        <w:tc>
          <w:tcPr>
            <w:tcW w:w="2481" w:type="dxa"/>
            <w:vAlign w:val="center"/>
          </w:tcPr>
          <w:p w14:paraId="13F2DB6F" w14:textId="09587BCC" w:rsidR="00986995" w:rsidRPr="00DE6EF7" w:rsidRDefault="00986995" w:rsidP="0082792B">
            <w:pPr>
              <w:keepNext/>
              <w:keepLines/>
              <w:jc w:val="right"/>
            </w:pPr>
            <w:r>
              <w:t>3.</w:t>
            </w:r>
            <w:r w:rsidR="007F6E7C">
              <w:t>1</w:t>
            </w:r>
          </w:p>
        </w:tc>
      </w:tr>
      <w:tr w:rsidR="00986995" w:rsidRPr="00BA600A" w14:paraId="69E479E0" w14:textId="77777777" w:rsidTr="0082792B">
        <w:trPr>
          <w:trHeight w:val="257"/>
        </w:trPr>
        <w:tc>
          <w:tcPr>
            <w:tcW w:w="4106" w:type="dxa"/>
            <w:tcBorders>
              <w:right w:val="single" w:sz="4" w:space="0" w:color="D9D9D9" w:themeColor="background1" w:themeShade="D9"/>
            </w:tcBorders>
            <w:shd w:val="clear" w:color="auto" w:fill="91ACEC" w:themeFill="accent1" w:themeFillTint="99"/>
          </w:tcPr>
          <w:p w14:paraId="2D6BF481" w14:textId="77777777" w:rsidR="00986995" w:rsidRDefault="00986995" w:rsidP="0082792B">
            <w:pPr>
              <w:pStyle w:val="Paragraph"/>
              <w:spacing w:after="0"/>
              <w:rPr>
                <w:bCs/>
              </w:rPr>
            </w:pPr>
            <w:r>
              <w:rPr>
                <w:b/>
              </w:rPr>
              <w:t>Total financial benefits</w:t>
            </w:r>
          </w:p>
        </w:tc>
        <w:tc>
          <w:tcPr>
            <w:tcW w:w="2480" w:type="dxa"/>
            <w:shd w:val="clear" w:color="auto" w:fill="91ACEC" w:themeFill="accent1" w:themeFillTint="99"/>
            <w:vAlign w:val="center"/>
          </w:tcPr>
          <w:p w14:paraId="218FBBA0" w14:textId="2291F7E2" w:rsidR="00986995" w:rsidRPr="00DE6EF7" w:rsidRDefault="00986995" w:rsidP="0082792B">
            <w:pPr>
              <w:keepNext/>
              <w:keepLines/>
              <w:jc w:val="right"/>
              <w:rPr>
                <w:b/>
              </w:rPr>
            </w:pPr>
            <w:r>
              <w:rPr>
                <w:rFonts w:asciiTheme="majorHAnsi" w:hAnsiTheme="majorHAnsi" w:cstheme="majorHAnsi"/>
                <w:b/>
                <w:lang w:eastAsia="en-AU"/>
              </w:rPr>
              <w:t>1,4</w:t>
            </w:r>
            <w:r w:rsidR="007F6E7C">
              <w:rPr>
                <w:rFonts w:asciiTheme="majorHAnsi" w:hAnsiTheme="majorHAnsi" w:cstheme="majorHAnsi"/>
                <w:b/>
                <w:lang w:eastAsia="en-AU"/>
              </w:rPr>
              <w:t>19</w:t>
            </w:r>
          </w:p>
        </w:tc>
        <w:tc>
          <w:tcPr>
            <w:tcW w:w="2481" w:type="dxa"/>
            <w:shd w:val="clear" w:color="auto" w:fill="91ACEC" w:themeFill="accent1" w:themeFillTint="99"/>
            <w:vAlign w:val="center"/>
          </w:tcPr>
          <w:p w14:paraId="221DBCE6" w14:textId="54DF6A79" w:rsidR="00986995" w:rsidRPr="00DE6EF7" w:rsidRDefault="00986995" w:rsidP="0082792B">
            <w:pPr>
              <w:keepNext/>
              <w:keepLines/>
              <w:jc w:val="right"/>
              <w:rPr>
                <w:b/>
              </w:rPr>
            </w:pPr>
            <w:r>
              <w:rPr>
                <w:rFonts w:asciiTheme="majorHAnsi" w:hAnsiTheme="majorHAnsi" w:cstheme="majorHAnsi"/>
                <w:b/>
                <w:bCs/>
                <w:lang w:eastAsia="en-AU"/>
              </w:rPr>
              <w:t>8</w:t>
            </w:r>
            <w:r w:rsidRPr="00623045">
              <w:rPr>
                <w:rFonts w:asciiTheme="majorHAnsi" w:hAnsiTheme="majorHAnsi" w:cstheme="majorHAnsi"/>
                <w:b/>
                <w:bCs/>
                <w:lang w:eastAsia="en-AU"/>
              </w:rPr>
              <w:t>.</w:t>
            </w:r>
            <w:r w:rsidR="007F6E7C">
              <w:rPr>
                <w:rFonts w:asciiTheme="majorHAnsi" w:hAnsiTheme="majorHAnsi" w:cstheme="majorHAnsi"/>
                <w:b/>
                <w:bCs/>
                <w:lang w:eastAsia="en-AU"/>
              </w:rPr>
              <w:t>7</w:t>
            </w:r>
          </w:p>
        </w:tc>
      </w:tr>
    </w:tbl>
    <w:p w14:paraId="79C38557" w14:textId="77777777" w:rsidR="00537A1D" w:rsidRPr="00537A1D" w:rsidRDefault="00537A1D" w:rsidP="003349CC">
      <w:pPr>
        <w:pStyle w:val="SWAHeading5"/>
      </w:pPr>
      <w:r w:rsidRPr="00537A1D">
        <w:t>Reduced costs associated with potential worker compensation claims</w:t>
      </w:r>
      <w:r w:rsidRPr="00537A1D">
        <w:rPr>
          <w:vertAlign w:val="superscript"/>
        </w:rPr>
        <w:footnoteReference w:id="52"/>
      </w:r>
    </w:p>
    <w:p w14:paraId="5CDF42E7" w14:textId="77777777" w:rsidR="00537A1D" w:rsidRPr="00537A1D" w:rsidRDefault="00537A1D" w:rsidP="00537A1D">
      <w:pPr>
        <w:pStyle w:val="Paragraph"/>
      </w:pPr>
      <w:r w:rsidRPr="00537A1D">
        <w:t xml:space="preserve">Workers who develop an occupational disease or illness because of exposures to chlorine are able to seek workers’ compensation if the occupational disease or illness can be linked to the workplace. Workers’ compensation will help workers focus on getting better and access rehabilitation services, without worrying about associated costs. </w:t>
      </w:r>
    </w:p>
    <w:p w14:paraId="7C16921F" w14:textId="16DF0745" w:rsidR="00537A1D" w:rsidRPr="00537A1D" w:rsidRDefault="00537A1D" w:rsidP="00537A1D">
      <w:pPr>
        <w:pStyle w:val="Paragraph"/>
      </w:pPr>
      <w:r w:rsidRPr="00537A1D">
        <w:t>A reduction in workers developing illness or disease from work-related exposures to chlorine can help businesses avoid the cost of potential worker compensation claims</w:t>
      </w:r>
      <w:r w:rsidR="004944EB">
        <w:t xml:space="preserve"> </w:t>
      </w:r>
      <w:r w:rsidR="004944EB" w:rsidRPr="004944EB">
        <w:t>through increased premiums</w:t>
      </w:r>
      <w:r w:rsidRPr="00537A1D">
        <w:t>.</w:t>
      </w:r>
    </w:p>
    <w:p w14:paraId="08F0B949" w14:textId="77777777" w:rsidR="00537A1D" w:rsidRPr="00537A1D" w:rsidRDefault="00537A1D" w:rsidP="00537A1D">
      <w:pPr>
        <w:pStyle w:val="Paragraph"/>
      </w:pPr>
      <w:r w:rsidRPr="00537A1D">
        <w:t>The reduced costs associated with potential workers’ compensation claims of the proposed WEL for chlorine compared with the existing WES were not able to be quantified.</w:t>
      </w:r>
    </w:p>
    <w:p w14:paraId="23BFE81B" w14:textId="77777777" w:rsidR="005420B0" w:rsidRDefault="005420B0">
      <w:pPr>
        <w:spacing w:after="200" w:line="276" w:lineRule="auto"/>
        <w:contextualSpacing w:val="0"/>
        <w:rPr>
          <w:rFonts w:eastAsiaTheme="majorEastAsia" w:cs="Arial"/>
          <w:b/>
          <w:bCs/>
          <w:color w:val="7F7F7F" w:themeColor="text1" w:themeTint="80"/>
          <w:sz w:val="24"/>
          <w:szCs w:val="22"/>
        </w:rPr>
      </w:pPr>
      <w:r>
        <w:br w:type="page"/>
      </w:r>
    </w:p>
    <w:p w14:paraId="22CE3AC4" w14:textId="4F81C327" w:rsidR="00245E92" w:rsidRDefault="00245E92" w:rsidP="00245E92">
      <w:pPr>
        <w:pStyle w:val="SWAHeading5"/>
      </w:pPr>
      <w:r>
        <w:lastRenderedPageBreak/>
        <w:t>Increased productivity</w:t>
      </w:r>
    </w:p>
    <w:p w14:paraId="5CB12F64" w14:textId="752C5610" w:rsidR="00245E92" w:rsidRDefault="004C1942" w:rsidP="00245E92">
      <w:pPr>
        <w:pStyle w:val="Paragraph"/>
      </w:pPr>
      <w:r>
        <w:t xml:space="preserve">An indirect benefit </w:t>
      </w:r>
      <w:r w:rsidR="00D363CC">
        <w:t>of increased productivity from a reduction in absenteeism and presenteeism amongst the workforce who are exposed to chlorine was also raised by a s</w:t>
      </w:r>
      <w:r w:rsidR="00245E92" w:rsidRPr="006E7DA9">
        <w:t>takeholder</w:t>
      </w:r>
      <w:r w:rsidR="00245E92">
        <w:t>, as part of the</w:t>
      </w:r>
      <w:r w:rsidR="00D363CC">
        <w:t xml:space="preserve"> 2024</w:t>
      </w:r>
      <w:r w:rsidR="00245E92">
        <w:t xml:space="preserve"> public consultation</w:t>
      </w:r>
      <w:r w:rsidR="00364832">
        <w:rPr>
          <w:rStyle w:val="FootnoteReference"/>
        </w:rPr>
        <w:footnoteReference w:id="53"/>
      </w:r>
      <w:r w:rsidR="00986193">
        <w:t>.</w:t>
      </w:r>
      <w:r w:rsidR="00245E92" w:rsidRPr="006E7DA9">
        <w:t xml:space="preserve">The proposed WEL is expected to reduce the number of workers experiencing </w:t>
      </w:r>
      <w:r w:rsidR="00245E92">
        <w:t>adverse health effects, like eye and respiratory irritation</w:t>
      </w:r>
      <w:r w:rsidR="00245E92" w:rsidRPr="006E7DA9">
        <w:t xml:space="preserve"> </w:t>
      </w:r>
      <w:r w:rsidR="00245E92">
        <w:t>and impaired lung function. This would reduce the need for workers to</w:t>
      </w:r>
      <w:r w:rsidR="00245E92" w:rsidRPr="006E7DA9">
        <w:t xml:space="preserve"> take time off to seek medical care or treatment. </w:t>
      </w:r>
    </w:p>
    <w:p w14:paraId="7BAFC028" w14:textId="196341D6" w:rsidR="00537A1D" w:rsidRDefault="00245E92" w:rsidP="006E7DA9">
      <w:pPr>
        <w:pStyle w:val="Paragraph"/>
      </w:pPr>
      <w:r>
        <w:t xml:space="preserve">Studies have shown eye and respiratory irritation have been linked to decreased productivity in the workplace. In a study that assessed the impacts of indoor air quality and productivity in the workplace, it was shown poor indoor air quality that causes eye and respiratory irritation, and other adverse health effects, can cause a 6-9% decrease in productivity and that productivity would increase by eliminating sources of poor indoor air quality </w:t>
      </w:r>
      <w:sdt>
        <w:sdtPr>
          <w:id w:val="-634561820"/>
          <w:citation/>
        </w:sdtPr>
        <w:sdtEndPr/>
        <w:sdtContent>
          <w:r>
            <w:fldChar w:fldCharType="begin"/>
          </w:r>
          <w:r>
            <w:instrText xml:space="preserve"> CITATION Wyo04 \l 3081 </w:instrText>
          </w:r>
          <w:r>
            <w:fldChar w:fldCharType="separate"/>
          </w:r>
          <w:r w:rsidR="00490B21">
            <w:rPr>
              <w:noProof/>
            </w:rPr>
            <w:t>(Wyon, 2004)</w:t>
          </w:r>
          <w:r>
            <w:fldChar w:fldCharType="end"/>
          </w:r>
        </w:sdtContent>
      </w:sdt>
      <w:r>
        <w:t xml:space="preserve">. </w:t>
      </w:r>
    </w:p>
    <w:p w14:paraId="053E633B" w14:textId="7B79B0FB" w:rsidR="00986995" w:rsidRPr="00986995" w:rsidRDefault="00900BBD" w:rsidP="007F3ED7">
      <w:pPr>
        <w:pStyle w:val="SWAHeading4"/>
        <w:rPr>
          <w:b w:val="0"/>
          <w:bCs w:val="0"/>
          <w:i w:val="0"/>
          <w:iCs w:val="0"/>
        </w:rPr>
      </w:pPr>
      <w:r>
        <w:t>Non-</w:t>
      </w:r>
      <w:r w:rsidR="00986995" w:rsidRPr="00986995">
        <w:t>quantifi</w:t>
      </w:r>
      <w:r w:rsidR="00E920DE">
        <w:t xml:space="preserve">able </w:t>
      </w:r>
      <w:r w:rsidR="00986995" w:rsidRPr="00986995">
        <w:t xml:space="preserve">financial benefits of the proposed WEL for </w:t>
      </w:r>
      <w:r w:rsidR="009261E2">
        <w:t>chlorine</w:t>
      </w:r>
    </w:p>
    <w:p w14:paraId="457191F2" w14:textId="4D1A28B2" w:rsidR="00986995" w:rsidRPr="00986995" w:rsidRDefault="00434642" w:rsidP="00986995">
      <w:pPr>
        <w:pStyle w:val="Paragraph"/>
      </w:pPr>
      <w:r>
        <w:t>A</w:t>
      </w:r>
      <w:r w:rsidR="1F5FE2DE">
        <w:t xml:space="preserve">dditional financial benefits of the proposed WEL for </w:t>
      </w:r>
      <w:r w:rsidR="2A956112">
        <w:t>chlorine</w:t>
      </w:r>
      <w:r>
        <w:t>, such as the reduced impacts on support networks for individuals experiencing occupational disease,</w:t>
      </w:r>
      <w:r w:rsidR="2A956112">
        <w:t xml:space="preserve"> </w:t>
      </w:r>
      <w:r w:rsidR="1F5FE2DE">
        <w:t>were not able to be quantified in this analysis due to a lack of data. However, this does not indicate an absence of these financial benefits</w:t>
      </w:r>
      <w:r w:rsidR="19A6D291">
        <w:t>.</w:t>
      </w:r>
      <w:r w:rsidR="0080439D">
        <w:t xml:space="preserve"> </w:t>
      </w:r>
      <w:r w:rsidR="007B7741">
        <w:t>As such, t</w:t>
      </w:r>
      <w:r w:rsidR="0080439D" w:rsidRPr="0080439D">
        <w:t xml:space="preserve">he actual benefits of the proposed WEL for chlorine </w:t>
      </w:r>
      <w:r w:rsidR="00EE2737">
        <w:t>are</w:t>
      </w:r>
      <w:r w:rsidR="002D7B6A">
        <w:t xml:space="preserve"> likely to be</w:t>
      </w:r>
      <w:r w:rsidR="0080439D" w:rsidRPr="0080439D">
        <w:t xml:space="preserve"> greater than </w:t>
      </w:r>
      <w:r w:rsidR="008947A1">
        <w:t>what is estimated</w:t>
      </w:r>
      <w:r w:rsidR="0080439D" w:rsidRPr="0080439D">
        <w:t xml:space="preserve"> in </w:t>
      </w:r>
      <w:r w:rsidR="00F24E60">
        <w:fldChar w:fldCharType="begin"/>
      </w:r>
      <w:r w:rsidR="00F24E60">
        <w:instrText xml:space="preserve"> REF _Ref199857926 \h </w:instrText>
      </w:r>
      <w:r w:rsidR="00F24E60">
        <w:fldChar w:fldCharType="separate"/>
      </w:r>
      <w:r w:rsidR="00A002F4">
        <w:t xml:space="preserve">Table </w:t>
      </w:r>
      <w:r w:rsidR="00A002F4">
        <w:rPr>
          <w:noProof/>
        </w:rPr>
        <w:t>13</w:t>
      </w:r>
      <w:r w:rsidR="00F24E60">
        <w:fldChar w:fldCharType="end"/>
      </w:r>
      <w:r w:rsidR="008947A1">
        <w:t>,</w:t>
      </w:r>
      <w:r w:rsidR="0080439D" w:rsidRPr="0080439D">
        <w:t xml:space="preserve"> when th</w:t>
      </w:r>
      <w:r w:rsidR="00EE2737">
        <w:t>ese</w:t>
      </w:r>
      <w:r w:rsidR="0080439D" w:rsidRPr="0080439D">
        <w:t xml:space="preserve"> non-quantifiable financial benefit</w:t>
      </w:r>
      <w:r w:rsidR="00EE2737">
        <w:t>s are</w:t>
      </w:r>
      <w:r w:rsidR="0080439D" w:rsidRPr="0080439D">
        <w:t xml:space="preserve"> considered</w:t>
      </w:r>
      <w:r w:rsidR="00277A49" w:rsidRPr="004452F5">
        <w:t>.</w:t>
      </w:r>
      <w:r w:rsidR="1F5FE2DE">
        <w:t xml:space="preserve"> </w:t>
      </w:r>
      <w:r w:rsidR="008947A1">
        <w:t xml:space="preserve">It is also expected that </w:t>
      </w:r>
      <w:r w:rsidR="00EE2737">
        <w:t xml:space="preserve">these </w:t>
      </w:r>
      <w:r w:rsidR="008947A1">
        <w:t>non-quantifiable financial benef</w:t>
      </w:r>
      <w:r w:rsidR="002D7B6A">
        <w:t>it</w:t>
      </w:r>
      <w:r w:rsidR="00EE2737">
        <w:t>s</w:t>
      </w:r>
      <w:r w:rsidR="002D7B6A">
        <w:t xml:space="preserve"> would be realised beyond the 10-year period that this analysis is based on. </w:t>
      </w:r>
    </w:p>
    <w:p w14:paraId="27CD19D7" w14:textId="71998B23" w:rsidR="007F6E7C" w:rsidRDefault="007F6E7C" w:rsidP="00C7653D">
      <w:pPr>
        <w:pStyle w:val="SWAHeading5"/>
      </w:pPr>
      <w:r>
        <w:t>Reduced cost to government</w:t>
      </w:r>
      <w:r w:rsidR="000A4279">
        <w:t>s</w:t>
      </w:r>
    </w:p>
    <w:p w14:paraId="3570B432" w14:textId="0CD98ABB" w:rsidR="00C1420C" w:rsidRDefault="00EA6118" w:rsidP="00E655A3">
      <w:pPr>
        <w:pStyle w:val="Paragraph"/>
        <w:rPr>
          <w:lang w:eastAsia="en-US"/>
        </w:rPr>
      </w:pPr>
      <w:r>
        <w:rPr>
          <w:lang w:eastAsia="en-US"/>
        </w:rPr>
        <w:t xml:space="preserve">The </w:t>
      </w:r>
      <w:r w:rsidR="00FD331C" w:rsidRPr="00FD331C">
        <w:rPr>
          <w:lang w:eastAsia="en-US"/>
        </w:rPr>
        <w:t>2022 Australian Bureau of Statistics</w:t>
      </w:r>
      <w:r>
        <w:rPr>
          <w:lang w:eastAsia="en-US"/>
        </w:rPr>
        <w:t>’</w:t>
      </w:r>
      <w:r w:rsidR="00FD331C" w:rsidRPr="00FD331C">
        <w:rPr>
          <w:lang w:eastAsia="en-US"/>
        </w:rPr>
        <w:t xml:space="preserve"> National Health Survey (NHS) </w:t>
      </w:r>
      <w:r w:rsidR="00B71D0F">
        <w:rPr>
          <w:lang w:eastAsia="en-US"/>
        </w:rPr>
        <w:t>found</w:t>
      </w:r>
      <w:r w:rsidR="00FD331C" w:rsidRPr="00FD331C">
        <w:rPr>
          <w:lang w:eastAsia="en-US"/>
        </w:rPr>
        <w:t xml:space="preserve"> ‘around 8.5 million (34%) people in Australia were estimated to have chronic respiratory conditions, according to self-reported data</w:t>
      </w:r>
      <w:r w:rsidR="00A7077C">
        <w:rPr>
          <w:lang w:eastAsia="en-US"/>
        </w:rPr>
        <w:t>’</w:t>
      </w:r>
      <w:sdt>
        <w:sdtPr>
          <w:rPr>
            <w:lang w:eastAsia="en-US"/>
          </w:rPr>
          <w:id w:val="-59634212"/>
          <w:citation/>
        </w:sdtPr>
        <w:sdtEndPr/>
        <w:sdtContent>
          <w:r w:rsidR="00C51C16">
            <w:rPr>
              <w:lang w:eastAsia="en-US"/>
            </w:rPr>
            <w:fldChar w:fldCharType="begin"/>
          </w:r>
          <w:r w:rsidR="00C16205">
            <w:rPr>
              <w:lang w:eastAsia="en-US"/>
            </w:rPr>
            <w:instrText xml:space="preserve">CITATION Aus242 \l 3081 </w:instrText>
          </w:r>
          <w:r w:rsidR="00C51C16">
            <w:rPr>
              <w:lang w:eastAsia="en-US"/>
            </w:rPr>
            <w:fldChar w:fldCharType="separate"/>
          </w:r>
          <w:r w:rsidR="00490B21">
            <w:rPr>
              <w:noProof/>
              <w:lang w:eastAsia="en-US"/>
            </w:rPr>
            <w:t xml:space="preserve"> (Australian Institute of Health and Welfare, 2025)</w:t>
          </w:r>
          <w:r w:rsidR="00C51C16">
            <w:rPr>
              <w:lang w:eastAsia="en-US"/>
            </w:rPr>
            <w:fldChar w:fldCharType="end"/>
          </w:r>
        </w:sdtContent>
      </w:sdt>
      <w:r w:rsidR="003D48B4">
        <w:rPr>
          <w:lang w:eastAsia="en-US"/>
        </w:rPr>
        <w:t>.</w:t>
      </w:r>
      <w:r w:rsidR="00FD331C" w:rsidRPr="00FD331C">
        <w:rPr>
          <w:lang w:eastAsia="en-US"/>
        </w:rPr>
        <w:t xml:space="preserve"> Whilst not all chronic respiratory conditions can be linked to </w:t>
      </w:r>
      <w:r w:rsidR="003D48B4">
        <w:rPr>
          <w:lang w:eastAsia="en-US"/>
        </w:rPr>
        <w:t xml:space="preserve">work-related </w:t>
      </w:r>
      <w:r w:rsidR="00FD331C" w:rsidRPr="00FD331C">
        <w:rPr>
          <w:lang w:eastAsia="en-US"/>
        </w:rPr>
        <w:t xml:space="preserve">exposure to chlorine, health research </w:t>
      </w:r>
      <w:r w:rsidR="003D48B4">
        <w:rPr>
          <w:lang w:eastAsia="en-US"/>
        </w:rPr>
        <w:t>has shown</w:t>
      </w:r>
      <w:r w:rsidR="00FD331C" w:rsidRPr="00FD331C">
        <w:rPr>
          <w:lang w:eastAsia="en-US"/>
        </w:rPr>
        <w:t xml:space="preserve"> exposure to chlorine gas can have a significant effect on airways/lungs and respiratory system</w:t>
      </w:r>
      <w:r w:rsidR="00D576D8">
        <w:rPr>
          <w:lang w:eastAsia="en-US"/>
        </w:rPr>
        <w:t xml:space="preserve"> </w:t>
      </w:r>
      <w:sdt>
        <w:sdtPr>
          <w:rPr>
            <w:lang w:eastAsia="en-US"/>
          </w:rPr>
          <w:id w:val="-1300140734"/>
          <w:citation/>
        </w:sdtPr>
        <w:sdtEndPr/>
        <w:sdtContent>
          <w:r w:rsidR="006B08D5">
            <w:rPr>
              <w:lang w:eastAsia="en-US"/>
            </w:rPr>
            <w:fldChar w:fldCharType="begin"/>
          </w:r>
          <w:r w:rsidR="006B08D5">
            <w:rPr>
              <w:lang w:eastAsia="en-US"/>
            </w:rPr>
            <w:instrText xml:space="preserve"> CITATION Mor23 \l 3081 </w:instrText>
          </w:r>
          <w:r w:rsidR="006B08D5">
            <w:rPr>
              <w:lang w:eastAsia="en-US"/>
            </w:rPr>
            <w:fldChar w:fldCharType="separate"/>
          </w:r>
          <w:r w:rsidR="00490B21">
            <w:rPr>
              <w:noProof/>
              <w:lang w:eastAsia="en-US"/>
            </w:rPr>
            <w:t>(Morim &amp; Guldner, 2023)</w:t>
          </w:r>
          <w:r w:rsidR="006B08D5">
            <w:rPr>
              <w:lang w:eastAsia="en-US"/>
            </w:rPr>
            <w:fldChar w:fldCharType="end"/>
          </w:r>
        </w:sdtContent>
      </w:sdt>
      <w:r w:rsidR="00FD331C" w:rsidRPr="00FD331C">
        <w:rPr>
          <w:lang w:eastAsia="en-US"/>
        </w:rPr>
        <w:t xml:space="preserve"> and even result in conditions such as </w:t>
      </w:r>
      <w:r w:rsidR="00D576D8">
        <w:rPr>
          <w:lang w:eastAsia="en-US"/>
        </w:rPr>
        <w:t xml:space="preserve">occupational </w:t>
      </w:r>
      <w:r w:rsidR="00FD331C" w:rsidRPr="00FD331C">
        <w:rPr>
          <w:lang w:eastAsia="en-US"/>
        </w:rPr>
        <w:t>asthma</w:t>
      </w:r>
      <w:r w:rsidR="006B08D5">
        <w:rPr>
          <w:lang w:eastAsia="en-US"/>
        </w:rPr>
        <w:t xml:space="preserve"> </w:t>
      </w:r>
      <w:sdt>
        <w:sdtPr>
          <w:rPr>
            <w:lang w:eastAsia="en-US"/>
          </w:rPr>
          <w:id w:val="-982842861"/>
          <w:citation/>
        </w:sdtPr>
        <w:sdtEndPr/>
        <w:sdtContent>
          <w:r w:rsidR="006B08D5">
            <w:rPr>
              <w:lang w:eastAsia="en-US"/>
            </w:rPr>
            <w:fldChar w:fldCharType="begin"/>
          </w:r>
          <w:r w:rsidR="006B08D5">
            <w:rPr>
              <w:lang w:eastAsia="en-US"/>
            </w:rPr>
            <w:instrText xml:space="preserve"> CITATION Can25 \l 3081  \m Mor23</w:instrText>
          </w:r>
          <w:r w:rsidR="006B08D5">
            <w:rPr>
              <w:lang w:eastAsia="en-US"/>
            </w:rPr>
            <w:fldChar w:fldCharType="separate"/>
          </w:r>
          <w:r w:rsidR="00490B21">
            <w:rPr>
              <w:noProof/>
              <w:lang w:eastAsia="en-US"/>
            </w:rPr>
            <w:t>(Canadian Centre of Occupational Health and Safety, 2025; Morim &amp; Guldner, 2023)</w:t>
          </w:r>
          <w:r w:rsidR="006B08D5">
            <w:rPr>
              <w:lang w:eastAsia="en-US"/>
            </w:rPr>
            <w:fldChar w:fldCharType="end"/>
          </w:r>
        </w:sdtContent>
      </w:sdt>
      <w:r w:rsidR="006B08D5">
        <w:rPr>
          <w:lang w:eastAsia="en-US"/>
        </w:rPr>
        <w:t>.</w:t>
      </w:r>
    </w:p>
    <w:p w14:paraId="563E7D22" w14:textId="79F46647" w:rsidR="00E147A1" w:rsidRDefault="00971EA7" w:rsidP="00E655A3">
      <w:pPr>
        <w:pStyle w:val="Paragraph"/>
        <w:rPr>
          <w:lang w:eastAsia="en-US"/>
        </w:rPr>
      </w:pPr>
      <w:r>
        <w:rPr>
          <w:lang w:eastAsia="en-US"/>
        </w:rPr>
        <w:t xml:space="preserve">In </w:t>
      </w:r>
      <w:r w:rsidR="003A3871">
        <w:rPr>
          <w:lang w:eastAsia="en-US"/>
        </w:rPr>
        <w:t>2023-24</w:t>
      </w:r>
      <w:r>
        <w:rPr>
          <w:lang w:eastAsia="en-US"/>
        </w:rPr>
        <w:t xml:space="preserve">, </w:t>
      </w:r>
      <w:r w:rsidR="000514AD">
        <w:rPr>
          <w:lang w:eastAsia="en-US"/>
        </w:rPr>
        <w:t>the Australian Institute of Health and Welfare</w:t>
      </w:r>
      <w:r w:rsidR="003A3871">
        <w:rPr>
          <w:lang w:eastAsia="en-US"/>
        </w:rPr>
        <w:t xml:space="preserve"> (AIWH)</w:t>
      </w:r>
      <w:r w:rsidR="000514AD">
        <w:rPr>
          <w:lang w:eastAsia="en-US"/>
        </w:rPr>
        <w:t xml:space="preserve"> </w:t>
      </w:r>
      <w:r>
        <w:rPr>
          <w:lang w:eastAsia="en-US"/>
        </w:rPr>
        <w:t xml:space="preserve">reported that Australia spent </w:t>
      </w:r>
      <w:r w:rsidR="006E1291">
        <w:rPr>
          <w:lang w:eastAsia="en-US"/>
        </w:rPr>
        <w:t>$</w:t>
      </w:r>
      <w:r w:rsidR="00E14013">
        <w:rPr>
          <w:lang w:eastAsia="en-US"/>
        </w:rPr>
        <w:t>5.77</w:t>
      </w:r>
      <w:r w:rsidR="006E1291">
        <w:rPr>
          <w:lang w:eastAsia="en-US"/>
        </w:rPr>
        <w:t xml:space="preserve"> billion on respiratory conditions</w:t>
      </w:r>
      <w:sdt>
        <w:sdtPr>
          <w:rPr>
            <w:lang w:eastAsia="en-US"/>
          </w:rPr>
          <w:id w:val="-681895052"/>
          <w:citation/>
        </w:sdtPr>
        <w:sdtEndPr/>
        <w:sdtContent>
          <w:r w:rsidR="000D68BA">
            <w:rPr>
              <w:lang w:eastAsia="en-US"/>
            </w:rPr>
            <w:fldChar w:fldCharType="begin"/>
          </w:r>
          <w:r w:rsidR="000D68BA">
            <w:rPr>
              <w:lang w:eastAsia="en-US"/>
            </w:rPr>
            <w:instrText xml:space="preserve"> CITATION Aus251 \l 3081 </w:instrText>
          </w:r>
          <w:r w:rsidR="000D68BA">
            <w:rPr>
              <w:lang w:eastAsia="en-US"/>
            </w:rPr>
            <w:fldChar w:fldCharType="separate"/>
          </w:r>
          <w:r w:rsidR="00490B21">
            <w:rPr>
              <w:noProof/>
              <w:lang w:eastAsia="en-US"/>
            </w:rPr>
            <w:t xml:space="preserve"> (Australian Institute of Health and Welfare, 2025)</w:t>
          </w:r>
          <w:r w:rsidR="000D68BA">
            <w:rPr>
              <w:lang w:eastAsia="en-US"/>
            </w:rPr>
            <w:fldChar w:fldCharType="end"/>
          </w:r>
        </w:sdtContent>
      </w:sdt>
      <w:r w:rsidR="006E1291">
        <w:rPr>
          <w:lang w:eastAsia="en-US"/>
        </w:rPr>
        <w:t xml:space="preserve">. </w:t>
      </w:r>
      <w:r w:rsidR="00460922">
        <w:rPr>
          <w:lang w:eastAsia="en-US"/>
        </w:rPr>
        <w:t>W</w:t>
      </w:r>
      <w:r w:rsidR="00B3282D">
        <w:rPr>
          <w:lang w:eastAsia="en-US"/>
        </w:rPr>
        <w:t xml:space="preserve">hile work-related exposure to chlorine may </w:t>
      </w:r>
      <w:r w:rsidR="009F1E81">
        <w:rPr>
          <w:lang w:eastAsia="en-US"/>
        </w:rPr>
        <w:t xml:space="preserve">only </w:t>
      </w:r>
      <w:r w:rsidR="00B3282D">
        <w:rPr>
          <w:lang w:eastAsia="en-US"/>
        </w:rPr>
        <w:t xml:space="preserve">result in a subset of </w:t>
      </w:r>
      <w:r w:rsidR="009F1E81">
        <w:rPr>
          <w:lang w:eastAsia="en-US"/>
        </w:rPr>
        <w:t>respiratory conditions</w:t>
      </w:r>
      <w:r w:rsidR="001D51A6">
        <w:rPr>
          <w:lang w:eastAsia="en-US"/>
        </w:rPr>
        <w:t xml:space="preserve"> experienced by Australians</w:t>
      </w:r>
      <w:r w:rsidR="009F1E81">
        <w:rPr>
          <w:lang w:eastAsia="en-US"/>
        </w:rPr>
        <w:t xml:space="preserve">, </w:t>
      </w:r>
      <w:r w:rsidR="00CA246D">
        <w:rPr>
          <w:lang w:eastAsia="en-US"/>
        </w:rPr>
        <w:t>reducing the proposed WEL for chlorine can help reduce t</w:t>
      </w:r>
      <w:r w:rsidR="00460922">
        <w:rPr>
          <w:lang w:eastAsia="en-US"/>
        </w:rPr>
        <w:t xml:space="preserve">he incidence of </w:t>
      </w:r>
      <w:r w:rsidR="00AB5F94">
        <w:rPr>
          <w:lang w:eastAsia="en-US"/>
        </w:rPr>
        <w:t xml:space="preserve">irreversible impairment of the lungs experienced by workers exposed to chlorine, </w:t>
      </w:r>
      <w:r w:rsidR="003520CF">
        <w:rPr>
          <w:lang w:eastAsia="en-US"/>
        </w:rPr>
        <w:t xml:space="preserve">thus </w:t>
      </w:r>
      <w:r w:rsidR="00AB5F94" w:rsidRPr="00AB5F94">
        <w:rPr>
          <w:lang w:eastAsia="en-US"/>
        </w:rPr>
        <w:t>reducing the number of workers in the health system</w:t>
      </w:r>
      <w:r w:rsidR="00BA2653">
        <w:rPr>
          <w:rStyle w:val="FootnoteReference"/>
        </w:rPr>
        <w:footnoteReference w:id="54"/>
      </w:r>
      <w:r w:rsidR="003520CF">
        <w:rPr>
          <w:lang w:eastAsia="en-US"/>
        </w:rPr>
        <w:t>.</w:t>
      </w:r>
      <w:r w:rsidR="009A1405">
        <w:rPr>
          <w:lang w:eastAsia="en-US"/>
        </w:rPr>
        <w:t xml:space="preserve"> </w:t>
      </w:r>
    </w:p>
    <w:p w14:paraId="0098CDDA" w14:textId="1C48F106" w:rsidR="00E147A1" w:rsidRPr="00E147A1" w:rsidRDefault="00CC17D9" w:rsidP="00B64384">
      <w:pPr>
        <w:pStyle w:val="Paragraph"/>
        <w:keepNext w:val="0"/>
      </w:pPr>
      <w:r>
        <w:t>The</w:t>
      </w:r>
      <w:r w:rsidR="00E147A1" w:rsidRPr="00E147A1">
        <w:t xml:space="preserve"> </w:t>
      </w:r>
      <w:r w:rsidR="003A3871">
        <w:t xml:space="preserve">AIWH’s </w:t>
      </w:r>
      <w:r w:rsidR="00E147A1" w:rsidRPr="00E147A1">
        <w:t>Australian Burden of Disease Study, 2024 indicat</w:t>
      </w:r>
      <w:r>
        <w:t>es</w:t>
      </w:r>
      <w:r w:rsidR="00E147A1" w:rsidRPr="00E147A1">
        <w:t xml:space="preserve"> that </w:t>
      </w:r>
      <w:r w:rsidR="000435B9">
        <w:t>3.9</w:t>
      </w:r>
      <w:r w:rsidR="00E147A1" w:rsidRPr="00E147A1">
        <w:t xml:space="preserve">% of </w:t>
      </w:r>
      <w:r w:rsidR="000435B9">
        <w:t>all respiratory disease</w:t>
      </w:r>
      <w:r w:rsidR="00E147A1" w:rsidRPr="00E147A1">
        <w:t xml:space="preserve"> total burden was attributed to occupational exposure and hazards</w:t>
      </w:r>
      <w:r w:rsidR="00883861">
        <w:t xml:space="preserve"> </w:t>
      </w:r>
      <w:sdt>
        <w:sdtPr>
          <w:id w:val="513354983"/>
          <w:citation/>
        </w:sdtPr>
        <w:sdtEndPr/>
        <w:sdtContent>
          <w:r w:rsidR="00901836">
            <w:fldChar w:fldCharType="begin"/>
          </w:r>
          <w:r w:rsidR="00901836">
            <w:instrText xml:space="preserve"> CITATION ABOD246 \l 3081 </w:instrText>
          </w:r>
          <w:r w:rsidR="00901836">
            <w:fldChar w:fldCharType="separate"/>
          </w:r>
          <w:r w:rsidR="00490B21">
            <w:rPr>
              <w:noProof/>
            </w:rPr>
            <w:t>(Australian Insitute of Health and Welfare, 2024)</w:t>
          </w:r>
          <w:r w:rsidR="00901836">
            <w:fldChar w:fldCharType="end"/>
          </w:r>
        </w:sdtContent>
      </w:sdt>
      <w:r w:rsidR="00E147A1" w:rsidRPr="00E147A1">
        <w:t xml:space="preserve">. </w:t>
      </w:r>
      <w:r w:rsidR="002D1D56">
        <w:t>R</w:t>
      </w:r>
      <w:r w:rsidR="00E147A1" w:rsidRPr="00E147A1">
        <w:t xml:space="preserve">educing </w:t>
      </w:r>
      <w:r w:rsidR="00220C00">
        <w:t>respiratory diseases</w:t>
      </w:r>
      <w:r w:rsidR="00E147A1" w:rsidRPr="00E147A1">
        <w:t xml:space="preserve"> caused by occupational exposure, </w:t>
      </w:r>
      <w:r w:rsidR="00C52739">
        <w:t>by</w:t>
      </w:r>
      <w:r w:rsidR="00E147A1" w:rsidRPr="00E147A1">
        <w:t xml:space="preserve"> implementing the proposed WEL </w:t>
      </w:r>
      <w:r w:rsidR="00220C00">
        <w:t xml:space="preserve">for chlorine </w:t>
      </w:r>
      <w:r w:rsidR="00E147A1" w:rsidRPr="00E147A1">
        <w:t xml:space="preserve">to reduce workers from developing </w:t>
      </w:r>
      <w:r w:rsidR="00A630E6" w:rsidRPr="00A630E6">
        <w:t xml:space="preserve">irreversible impairment of lung function </w:t>
      </w:r>
      <w:r w:rsidR="00F91449">
        <w:t>from</w:t>
      </w:r>
      <w:r w:rsidR="00A630E6" w:rsidRPr="00A630E6">
        <w:t xml:space="preserve"> high concentrations</w:t>
      </w:r>
      <w:r w:rsidR="00F91449">
        <w:t xml:space="preserve"> of chlorine</w:t>
      </w:r>
      <w:r w:rsidR="00A630E6">
        <w:t>,</w:t>
      </w:r>
      <w:r w:rsidR="00E147A1" w:rsidRPr="00E147A1">
        <w:t xml:space="preserve"> </w:t>
      </w:r>
      <w:r w:rsidR="00C52739">
        <w:t>is estimated to</w:t>
      </w:r>
      <w:r w:rsidR="00E147A1" w:rsidRPr="00E147A1">
        <w:t xml:space="preserve"> </w:t>
      </w:r>
      <w:r w:rsidR="00220F2F">
        <w:t xml:space="preserve">contribute </w:t>
      </w:r>
      <w:r w:rsidR="00E11CA8">
        <w:t>up to</w:t>
      </w:r>
      <w:r w:rsidR="00E147A1" w:rsidRPr="00E147A1">
        <w:t xml:space="preserve"> $</w:t>
      </w:r>
      <w:r w:rsidR="0049791F">
        <w:t>225</w:t>
      </w:r>
      <w:r w:rsidR="00E147A1" w:rsidRPr="00E147A1">
        <w:t xml:space="preserve"> million in savings to the </w:t>
      </w:r>
      <w:r w:rsidR="0049791F">
        <w:t xml:space="preserve">health system and for the </w:t>
      </w:r>
      <w:r w:rsidR="00E147A1" w:rsidRPr="00E147A1">
        <w:t>government</w:t>
      </w:r>
      <w:r w:rsidR="00D6644C">
        <w:t xml:space="preserve"> per year.</w:t>
      </w:r>
      <w:r w:rsidR="00E147A1" w:rsidRPr="00E147A1">
        <w:t xml:space="preserve"> </w:t>
      </w:r>
    </w:p>
    <w:p w14:paraId="3BE1C660" w14:textId="41D67885" w:rsidR="007F508E" w:rsidRDefault="00EF2E82" w:rsidP="00EF2E82">
      <w:pPr>
        <w:pStyle w:val="SWAHeading3"/>
      </w:pPr>
      <w:bookmarkStart w:id="129" w:name="_Toc196204618"/>
      <w:r>
        <w:lastRenderedPageBreak/>
        <w:t xml:space="preserve">Additional benefits </w:t>
      </w:r>
      <w:r w:rsidR="00B07C54">
        <w:t>of</w:t>
      </w:r>
      <w:r>
        <w:t xml:space="preserve"> the proposed WEL for chlorine</w:t>
      </w:r>
      <w:bookmarkEnd w:id="129"/>
    </w:p>
    <w:p w14:paraId="26DE228E" w14:textId="22213039" w:rsidR="0099376A" w:rsidRPr="006549B3" w:rsidRDefault="004C20D5" w:rsidP="00CA6B6E">
      <w:pPr>
        <w:suppressAutoHyphens/>
        <w:spacing w:line="259" w:lineRule="auto"/>
        <w:contextualSpacing w:val="0"/>
        <w:rPr>
          <w:rFonts w:eastAsia="Times New Roman" w:cs="Arial"/>
        </w:rPr>
      </w:pPr>
      <w:r w:rsidRPr="004C20D5">
        <w:t xml:space="preserve">Stakeholders also identified that the proposed WEL for </w:t>
      </w:r>
      <w:r w:rsidR="00D3447D">
        <w:t>chlorine</w:t>
      </w:r>
      <w:r w:rsidRPr="004C20D5">
        <w:t xml:space="preserve"> would have the following qualitative benefits.</w:t>
      </w:r>
      <w:r w:rsidR="00795BA6">
        <w:t xml:space="preserve"> </w:t>
      </w:r>
      <w:r w:rsidR="003A1252" w:rsidRPr="003A1252">
        <w:t>When considering these qualitative benefits, the actual benefits of the proposed WEL for chlorine will be greater than what was able to be quantified in this Decision RIS (</w:t>
      </w:r>
      <w:r w:rsidR="003A1252" w:rsidRPr="003A1252">
        <w:fldChar w:fldCharType="begin"/>
      </w:r>
      <w:r w:rsidR="003A1252" w:rsidRPr="003A1252">
        <w:instrText xml:space="preserve"> REF _Ref199857926 \h  \* MERGEFORMAT </w:instrText>
      </w:r>
      <w:r w:rsidR="003A1252" w:rsidRPr="003A1252">
        <w:fldChar w:fldCharType="separate"/>
      </w:r>
      <w:r w:rsidR="00A002F4">
        <w:t>Table 13</w:t>
      </w:r>
      <w:r w:rsidR="003A1252" w:rsidRPr="003A1252">
        <w:fldChar w:fldCharType="end"/>
      </w:r>
      <w:r w:rsidR="003A1252" w:rsidRPr="003A1252">
        <w:t>).</w:t>
      </w:r>
    </w:p>
    <w:p w14:paraId="3D3A5C4C" w14:textId="5BDA519E" w:rsidR="00A3386A" w:rsidRDefault="0099376A" w:rsidP="00A2096B">
      <w:pPr>
        <w:pStyle w:val="SWAHeading4"/>
        <w:keepNext/>
        <w:keepLines/>
      </w:pPr>
      <w:r w:rsidRPr="006549B3">
        <w:t>Encourages safe use of low chlorine products/exposure in the workplace</w:t>
      </w:r>
      <w:r w:rsidR="00C7653D">
        <w:t xml:space="preserve"> </w:t>
      </w:r>
    </w:p>
    <w:p w14:paraId="5C9EE736" w14:textId="3E1AA01E" w:rsidR="00DF28A1" w:rsidRDefault="00076379" w:rsidP="00A2096B">
      <w:pPr>
        <w:keepNext/>
        <w:keepLines/>
        <w:spacing w:after="200" w:line="240" w:lineRule="atLeast"/>
        <w:contextualSpacing w:val="0"/>
        <w:rPr>
          <w:rFonts w:eastAsia="Times New Roman" w:cs="Arial"/>
        </w:rPr>
      </w:pPr>
      <w:r>
        <w:rPr>
          <w:rFonts w:eastAsia="Times New Roman" w:cs="Arial"/>
        </w:rPr>
        <w:t>The proposed WEL for chlorine</w:t>
      </w:r>
      <w:r w:rsidR="009F0075">
        <w:rPr>
          <w:rFonts w:eastAsia="Times New Roman" w:cs="Arial"/>
        </w:rPr>
        <w:t xml:space="preserve">, </w:t>
      </w:r>
      <w:r>
        <w:rPr>
          <w:rFonts w:eastAsia="Times New Roman" w:cs="Arial"/>
        </w:rPr>
        <w:t xml:space="preserve">may encourage the </w:t>
      </w:r>
      <w:r w:rsidR="009F0075">
        <w:rPr>
          <w:rFonts w:eastAsia="Times New Roman" w:cs="Arial"/>
        </w:rPr>
        <w:t>substitution</w:t>
      </w:r>
      <w:r>
        <w:rPr>
          <w:rFonts w:eastAsia="Times New Roman" w:cs="Arial"/>
        </w:rPr>
        <w:t xml:space="preserve"> and use of safer </w:t>
      </w:r>
      <w:r w:rsidR="009F0075">
        <w:rPr>
          <w:rFonts w:eastAsia="Times New Roman" w:cs="Arial"/>
        </w:rPr>
        <w:t>alternative</w:t>
      </w:r>
      <w:r>
        <w:rPr>
          <w:rFonts w:eastAsia="Times New Roman" w:cs="Arial"/>
        </w:rPr>
        <w:t xml:space="preserve"> products in </w:t>
      </w:r>
      <w:r w:rsidR="00B156F3">
        <w:rPr>
          <w:rFonts w:eastAsia="Times New Roman" w:cs="Arial"/>
        </w:rPr>
        <w:t>several</w:t>
      </w:r>
      <w:r>
        <w:rPr>
          <w:rFonts w:eastAsia="Times New Roman" w:cs="Arial"/>
        </w:rPr>
        <w:t xml:space="preserve"> industries</w:t>
      </w:r>
      <w:r w:rsidR="00611B97">
        <w:rPr>
          <w:rStyle w:val="FootnoteReference"/>
          <w:rFonts w:eastAsia="Times New Roman" w:cs="Arial"/>
        </w:rPr>
        <w:footnoteReference w:id="55"/>
      </w:r>
      <w:r w:rsidR="00473015">
        <w:rPr>
          <w:rFonts w:eastAsia="Times New Roman" w:cs="Arial"/>
        </w:rPr>
        <w:t>.</w:t>
      </w:r>
      <w:r w:rsidR="00D5183F">
        <w:rPr>
          <w:rFonts w:eastAsia="Times New Roman" w:cs="Arial"/>
        </w:rPr>
        <w:t xml:space="preserve"> </w:t>
      </w:r>
    </w:p>
    <w:p w14:paraId="463E4E2E" w14:textId="77777777" w:rsidR="007F1CBA" w:rsidRDefault="007F1CBA" w:rsidP="007F1CBA">
      <w:pPr>
        <w:keepNext/>
        <w:spacing w:after="200" w:line="240" w:lineRule="atLeast"/>
        <w:rPr>
          <w:rFonts w:eastAsia="Times New Roman" w:cs="Arial"/>
        </w:rPr>
      </w:pPr>
      <w:r w:rsidRPr="006775AC">
        <w:rPr>
          <w:rFonts w:eastAsia="Times New Roman" w:cs="Arial"/>
        </w:rPr>
        <w:t>Chlorine is the primary disinfectant to ensure safe for drinking water quality internationally and across Australia. Just over 8,000 tonnes</w:t>
      </w:r>
      <w:r w:rsidRPr="3A867B80">
        <w:rPr>
          <w:rFonts w:eastAsia="Times New Roman" w:cs="Arial"/>
        </w:rPr>
        <w:t>/</w:t>
      </w:r>
      <w:r w:rsidRPr="006775AC">
        <w:rPr>
          <w:rFonts w:eastAsia="Times New Roman" w:cs="Arial"/>
        </w:rPr>
        <w:t>year of gaseous chlorine is used in Australia for water disinfection, with approximately an additional 1,500 tonnes</w:t>
      </w:r>
      <w:r w:rsidRPr="3A867B80">
        <w:rPr>
          <w:rFonts w:eastAsia="Times New Roman" w:cs="Arial"/>
        </w:rPr>
        <w:t>/</w:t>
      </w:r>
      <w:r w:rsidRPr="006775AC">
        <w:rPr>
          <w:rFonts w:eastAsia="Times New Roman" w:cs="Arial"/>
        </w:rPr>
        <w:t>year used for wastewater treatment. There is an additional quantity of liquid chlorine used, primarily for smaller water treatment plants. </w:t>
      </w:r>
    </w:p>
    <w:p w14:paraId="5F4A0A82" w14:textId="77777777" w:rsidR="007F1CBA" w:rsidRPr="0034713A" w:rsidRDefault="007F1CBA" w:rsidP="007F1CBA">
      <w:pPr>
        <w:keepNext/>
        <w:spacing w:after="200" w:line="240" w:lineRule="atLeast"/>
        <w:rPr>
          <w:rFonts w:eastAsia="Times New Roman" w:cs="Arial"/>
        </w:rPr>
      </w:pPr>
    </w:p>
    <w:p w14:paraId="3682083A" w14:textId="75A86829" w:rsidR="007F1CBA" w:rsidRDefault="007F1CBA" w:rsidP="00AE5D4B">
      <w:pPr>
        <w:spacing w:line="240" w:lineRule="atLeast"/>
        <w:contextualSpacing w:val="0"/>
        <w:rPr>
          <w:rFonts w:eastAsia="Times New Roman" w:cs="Arial"/>
        </w:rPr>
      </w:pPr>
      <w:r w:rsidRPr="006775AC">
        <w:rPr>
          <w:rFonts w:eastAsia="Times New Roman" w:cs="Arial"/>
        </w:rPr>
        <w:t xml:space="preserve">The expected market growth in chlorine usage over the next 7 years is anticipated to be around 7.7%, with the majority due to disinfectant demand by water utilities. </w:t>
      </w:r>
      <w:r w:rsidR="00862CC4">
        <w:rPr>
          <w:rFonts w:eastAsia="Times New Roman" w:cs="Arial"/>
        </w:rPr>
        <w:t>T</w:t>
      </w:r>
      <w:r w:rsidRPr="006775AC">
        <w:rPr>
          <w:rFonts w:eastAsia="Times New Roman" w:cs="Arial"/>
        </w:rPr>
        <w:t>he Australian Drinking Water Guidelines</w:t>
      </w:r>
      <w:r w:rsidR="00C7673C">
        <w:rPr>
          <w:rFonts w:eastAsia="Times New Roman" w:cs="Arial"/>
        </w:rPr>
        <w:t xml:space="preserve"> </w:t>
      </w:r>
      <w:r w:rsidR="00A2768E">
        <w:rPr>
          <w:rFonts w:eastAsia="Times New Roman" w:cs="Arial"/>
        </w:rPr>
        <w:t>outline</w:t>
      </w:r>
      <w:r w:rsidRPr="006775AC">
        <w:rPr>
          <w:rFonts w:eastAsia="Times New Roman" w:cs="Arial"/>
        </w:rPr>
        <w:t xml:space="preserve"> </w:t>
      </w:r>
      <w:r w:rsidR="00A2768E">
        <w:rPr>
          <w:rFonts w:eastAsia="Times New Roman" w:cs="Arial"/>
        </w:rPr>
        <w:t>that a</w:t>
      </w:r>
      <w:r w:rsidRPr="006775AC">
        <w:rPr>
          <w:rFonts w:eastAsia="Times New Roman" w:cs="Arial"/>
        </w:rPr>
        <w:t xml:space="preserve"> disinfectant residual concentration in water </w:t>
      </w:r>
      <w:r w:rsidR="00A2768E">
        <w:rPr>
          <w:rFonts w:eastAsia="Times New Roman" w:cs="Arial"/>
        </w:rPr>
        <w:t xml:space="preserve">of between </w:t>
      </w:r>
      <w:r w:rsidRPr="006775AC">
        <w:rPr>
          <w:rFonts w:eastAsia="Times New Roman" w:cs="Arial"/>
        </w:rPr>
        <w:t xml:space="preserve">0.2 </w:t>
      </w:r>
      <w:r w:rsidR="00A2768E">
        <w:rPr>
          <w:rFonts w:eastAsia="Times New Roman" w:cs="Arial"/>
        </w:rPr>
        <w:t xml:space="preserve">and 0.5 </w:t>
      </w:r>
      <w:r w:rsidRPr="006775AC">
        <w:rPr>
          <w:rFonts w:eastAsia="Times New Roman" w:cs="Arial"/>
        </w:rPr>
        <w:t>mg/L</w:t>
      </w:r>
      <w:r w:rsidR="00A2768E">
        <w:rPr>
          <w:rFonts w:eastAsia="Times New Roman" w:cs="Arial"/>
        </w:rPr>
        <w:t xml:space="preserve"> is generally adequate</w:t>
      </w:r>
      <w:r w:rsidR="000A4C99">
        <w:rPr>
          <w:rFonts w:eastAsia="Times New Roman" w:cs="Arial"/>
        </w:rPr>
        <w:t xml:space="preserve"> </w:t>
      </w:r>
      <w:sdt>
        <w:sdtPr>
          <w:rPr>
            <w:rFonts w:eastAsia="Times New Roman" w:cs="Arial"/>
          </w:rPr>
          <w:id w:val="-1535180619"/>
          <w:citation/>
        </w:sdtPr>
        <w:sdtEndPr/>
        <w:sdtContent>
          <w:r w:rsidR="000A4C99">
            <w:rPr>
              <w:rFonts w:eastAsia="Times New Roman" w:cs="Arial"/>
            </w:rPr>
            <w:fldChar w:fldCharType="begin"/>
          </w:r>
          <w:r w:rsidR="000A4C99">
            <w:rPr>
              <w:rFonts w:eastAsia="Times New Roman" w:cs="Arial"/>
            </w:rPr>
            <w:instrText xml:space="preserve"> CITATION Nat25 \l 3081 </w:instrText>
          </w:r>
          <w:r w:rsidR="000A4C99">
            <w:rPr>
              <w:rFonts w:eastAsia="Times New Roman" w:cs="Arial"/>
            </w:rPr>
            <w:fldChar w:fldCharType="separate"/>
          </w:r>
          <w:r w:rsidR="00490B21" w:rsidRPr="00490B21">
            <w:rPr>
              <w:rFonts w:eastAsia="Times New Roman" w:cs="Arial"/>
              <w:noProof/>
            </w:rPr>
            <w:t>(National Health and Medical Research Council, 2025)</w:t>
          </w:r>
          <w:r w:rsidR="000A4C99">
            <w:rPr>
              <w:rFonts w:eastAsia="Times New Roman" w:cs="Arial"/>
            </w:rPr>
            <w:fldChar w:fldCharType="end"/>
          </w:r>
        </w:sdtContent>
      </w:sdt>
      <w:r w:rsidRPr="006775AC">
        <w:rPr>
          <w:rFonts w:eastAsia="Times New Roman" w:cs="Arial"/>
        </w:rPr>
        <w:t>.</w:t>
      </w:r>
    </w:p>
    <w:p w14:paraId="30C73FED" w14:textId="740EE587" w:rsidR="0099376A" w:rsidRPr="00072922" w:rsidRDefault="008E2596" w:rsidP="00AE5D4B">
      <w:pPr>
        <w:spacing w:line="240" w:lineRule="atLeast"/>
        <w:contextualSpacing w:val="0"/>
        <w:rPr>
          <w:rFonts w:eastAsia="Times New Roman" w:cs="Arial"/>
        </w:rPr>
      </w:pPr>
      <w:r>
        <w:rPr>
          <w:rFonts w:eastAsia="Times New Roman" w:cs="Arial"/>
        </w:rPr>
        <w:t>There has been research conducted to</w:t>
      </w:r>
      <w:r w:rsidR="004A787E">
        <w:rPr>
          <w:rFonts w:eastAsia="Times New Roman" w:cs="Arial"/>
        </w:rPr>
        <w:t xml:space="preserve"> suggest </w:t>
      </w:r>
      <w:r w:rsidR="00656C20">
        <w:rPr>
          <w:rFonts w:eastAsia="Times New Roman" w:cs="Arial"/>
        </w:rPr>
        <w:t xml:space="preserve">the use of ultraviolet technology, ozone, </w:t>
      </w:r>
      <w:r w:rsidR="00DF77FC">
        <w:rPr>
          <w:rFonts w:eastAsia="Times New Roman" w:cs="Arial"/>
        </w:rPr>
        <w:t>silver</w:t>
      </w:r>
      <w:r w:rsidR="00656C20">
        <w:rPr>
          <w:rFonts w:eastAsia="Times New Roman" w:cs="Arial"/>
        </w:rPr>
        <w:t xml:space="preserve"> and nano-photocatalytic</w:t>
      </w:r>
      <w:r w:rsidR="00BB0EE8">
        <w:rPr>
          <w:rFonts w:eastAsia="Times New Roman" w:cs="Arial"/>
        </w:rPr>
        <w:t xml:space="preserve"> (use of a nano-structured light activated catalyst</w:t>
      </w:r>
      <w:r w:rsidR="00E27649">
        <w:rPr>
          <w:rFonts w:eastAsia="Times New Roman" w:cs="Arial"/>
        </w:rPr>
        <w:t xml:space="preserve"> to degrade organic and inorganic material)</w:t>
      </w:r>
      <w:r w:rsidR="00656C20">
        <w:rPr>
          <w:rFonts w:eastAsia="Times New Roman" w:cs="Arial"/>
        </w:rPr>
        <w:t xml:space="preserve"> </w:t>
      </w:r>
      <w:r w:rsidR="00DF77FC">
        <w:rPr>
          <w:rFonts w:eastAsia="Times New Roman" w:cs="Arial"/>
        </w:rPr>
        <w:t xml:space="preserve">as alternatives to chlorine gas in the treatment of wastewater </w:t>
      </w:r>
      <w:sdt>
        <w:sdtPr>
          <w:rPr>
            <w:rFonts w:eastAsia="Times New Roman" w:cs="Arial"/>
          </w:rPr>
          <w:id w:val="-985462048"/>
          <w:citation/>
        </w:sdtPr>
        <w:sdtEndPr/>
        <w:sdtContent>
          <w:r w:rsidR="00DF77FC">
            <w:rPr>
              <w:rFonts w:eastAsia="Times New Roman" w:cs="Arial"/>
            </w:rPr>
            <w:fldChar w:fldCharType="begin"/>
          </w:r>
          <w:r w:rsidR="00DF77FC">
            <w:rPr>
              <w:rFonts w:eastAsia="Times New Roman" w:cs="Arial"/>
            </w:rPr>
            <w:instrText xml:space="preserve"> CITATION AlA19 \l 3081 </w:instrText>
          </w:r>
          <w:r w:rsidR="00DF77FC">
            <w:rPr>
              <w:rFonts w:eastAsia="Times New Roman" w:cs="Arial"/>
            </w:rPr>
            <w:fldChar w:fldCharType="separate"/>
          </w:r>
          <w:r w:rsidR="00490B21" w:rsidRPr="00490B21">
            <w:rPr>
              <w:rFonts w:eastAsia="Times New Roman" w:cs="Arial"/>
              <w:noProof/>
            </w:rPr>
            <w:t>(Al-Abri, et al., 2019)</w:t>
          </w:r>
          <w:r w:rsidR="00DF77FC">
            <w:rPr>
              <w:rFonts w:eastAsia="Times New Roman" w:cs="Arial"/>
            </w:rPr>
            <w:fldChar w:fldCharType="end"/>
          </w:r>
        </w:sdtContent>
      </w:sdt>
      <w:r w:rsidR="0043595B">
        <w:rPr>
          <w:rFonts w:eastAsia="Times New Roman" w:cs="Arial"/>
        </w:rPr>
        <w:t>, however only UV and ozone are used widely at scale.</w:t>
      </w:r>
      <w:r w:rsidR="004D19C4">
        <w:rPr>
          <w:rFonts w:eastAsia="Times New Roman" w:cs="Arial"/>
        </w:rPr>
        <w:t xml:space="preserve"> Whilst UV and ozone are effective, they are typically augmented with chlorine disinfection</w:t>
      </w:r>
      <w:r w:rsidR="00DF77FC">
        <w:rPr>
          <w:rFonts w:eastAsia="Times New Roman" w:cs="Arial"/>
        </w:rPr>
        <w:t>.</w:t>
      </w:r>
      <w:r w:rsidR="00E27649">
        <w:rPr>
          <w:rFonts w:eastAsia="Times New Roman" w:cs="Arial"/>
        </w:rPr>
        <w:t xml:space="preserve"> </w:t>
      </w:r>
      <w:r w:rsidR="00D830BF">
        <w:rPr>
          <w:rFonts w:eastAsia="Times New Roman" w:cs="Arial"/>
        </w:rPr>
        <w:t xml:space="preserve">There has also been ongoing research into the use of peracetic acid </w:t>
      </w:r>
      <w:r w:rsidR="003223B6">
        <w:rPr>
          <w:rFonts w:eastAsia="Times New Roman" w:cs="Arial"/>
        </w:rPr>
        <w:t>as an alternative for the treatment of wastewater</w:t>
      </w:r>
      <w:r w:rsidR="00696AAB">
        <w:rPr>
          <w:rFonts w:eastAsia="Times New Roman" w:cs="Arial"/>
        </w:rPr>
        <w:t xml:space="preserve"> </w:t>
      </w:r>
      <w:r w:rsidR="00EF12C1">
        <w:rPr>
          <w:rFonts w:eastAsia="Times New Roman" w:cs="Arial"/>
        </w:rPr>
        <w:t>as it is less hazardous to human health and the environment</w:t>
      </w:r>
      <w:sdt>
        <w:sdtPr>
          <w:rPr>
            <w:rFonts w:eastAsia="Times New Roman" w:cs="Arial"/>
          </w:rPr>
          <w:id w:val="1481955010"/>
          <w:citation/>
        </w:sdtPr>
        <w:sdtEndPr/>
        <w:sdtContent>
          <w:r w:rsidR="00FF4D1A">
            <w:rPr>
              <w:rFonts w:eastAsia="Times New Roman" w:cs="Arial"/>
            </w:rPr>
            <w:fldChar w:fldCharType="begin"/>
          </w:r>
          <w:r w:rsidR="00FF4D1A">
            <w:rPr>
              <w:rFonts w:eastAsia="Times New Roman" w:cs="Arial"/>
            </w:rPr>
            <w:instrText xml:space="preserve"> CITATION Uni25 \l 3081 </w:instrText>
          </w:r>
          <w:r w:rsidR="00FF4D1A">
            <w:rPr>
              <w:rFonts w:eastAsia="Times New Roman" w:cs="Arial"/>
            </w:rPr>
            <w:fldChar w:fldCharType="separate"/>
          </w:r>
          <w:r w:rsidR="00490B21">
            <w:rPr>
              <w:rFonts w:eastAsia="Times New Roman" w:cs="Arial"/>
              <w:noProof/>
            </w:rPr>
            <w:t xml:space="preserve"> </w:t>
          </w:r>
          <w:r w:rsidR="00490B21" w:rsidRPr="00490B21">
            <w:rPr>
              <w:rFonts w:eastAsia="Times New Roman" w:cs="Arial"/>
              <w:noProof/>
            </w:rPr>
            <w:t>(United States Environmental Protection Agency, 2025)</w:t>
          </w:r>
          <w:r w:rsidR="00FF4D1A">
            <w:rPr>
              <w:rFonts w:eastAsia="Times New Roman" w:cs="Arial"/>
            </w:rPr>
            <w:fldChar w:fldCharType="end"/>
          </w:r>
        </w:sdtContent>
      </w:sdt>
      <w:r w:rsidR="00FF4D1A">
        <w:rPr>
          <w:rFonts w:eastAsia="Times New Roman" w:cs="Arial"/>
        </w:rPr>
        <w:t xml:space="preserve">. </w:t>
      </w:r>
    </w:p>
    <w:p w14:paraId="3775BCF6" w14:textId="21C3557E" w:rsidR="00DD4148" w:rsidRDefault="0099376A" w:rsidP="003C3F06">
      <w:pPr>
        <w:pStyle w:val="SWAHeading4"/>
      </w:pPr>
      <w:r w:rsidRPr="006549B3">
        <w:t>Raises awareness about chlorine and the hazards associated with it</w:t>
      </w:r>
    </w:p>
    <w:p w14:paraId="36500C2A" w14:textId="2FB45B15" w:rsidR="00B92B6E" w:rsidRDefault="00355F91" w:rsidP="00C7653D">
      <w:pPr>
        <w:contextualSpacing w:val="0"/>
        <w:rPr>
          <w:rFonts w:eastAsia="Arial" w:cs="Arial"/>
        </w:rPr>
      </w:pPr>
      <w:r>
        <w:rPr>
          <w:rFonts w:eastAsia="Arial" w:cs="Arial"/>
        </w:rPr>
        <w:t>S</w:t>
      </w:r>
      <w:r w:rsidR="0099376A" w:rsidRPr="006549B3">
        <w:rPr>
          <w:rFonts w:eastAsia="Arial" w:cs="Arial"/>
        </w:rPr>
        <w:t>takeholder feedback noted that the proposed change to</w:t>
      </w:r>
      <w:r w:rsidR="002D0184">
        <w:rPr>
          <w:rFonts w:eastAsia="Arial" w:cs="Arial"/>
        </w:rPr>
        <w:t xml:space="preserve"> the WEL for</w:t>
      </w:r>
      <w:r w:rsidR="0099376A" w:rsidRPr="006549B3">
        <w:rPr>
          <w:rFonts w:eastAsia="Arial" w:cs="Arial"/>
        </w:rPr>
        <w:t xml:space="preserve"> chlorine would also lead to PCBUs and workers becoming more aware of the presence of chlorine in the workplace, and the hazards associated with chlorine</w:t>
      </w:r>
      <w:r w:rsidR="00611B97">
        <w:rPr>
          <w:rStyle w:val="FootnoteReference"/>
          <w:rFonts w:eastAsia="Arial" w:cs="Arial"/>
        </w:rPr>
        <w:footnoteReference w:id="56"/>
      </w:r>
      <w:r w:rsidR="0099376A" w:rsidRPr="006549B3">
        <w:rPr>
          <w:rFonts w:eastAsia="Arial" w:cs="Arial"/>
        </w:rPr>
        <w:t xml:space="preserve">, allowing both to actively contribute to making sure the workplace is safer and healthier, especially in sectors which have higher exposures to chlorine.  </w:t>
      </w:r>
    </w:p>
    <w:p w14:paraId="5319C4CF" w14:textId="5DB3950B" w:rsidR="00A02AAF" w:rsidRPr="00A02AAF" w:rsidRDefault="00A02AAF" w:rsidP="00A02AAF">
      <w:pPr>
        <w:spacing w:after="240"/>
        <w:contextualSpacing w:val="0"/>
        <w:rPr>
          <w:rFonts w:eastAsia="Arial" w:cs="Arial"/>
        </w:rPr>
      </w:pPr>
      <w:r w:rsidRPr="00A02AAF">
        <w:rPr>
          <w:rFonts w:eastAsia="Arial" w:cs="Arial"/>
        </w:rPr>
        <w:t xml:space="preserve">By raising awareness of the presence of hazards in the workplace and the risks associated with </w:t>
      </w:r>
      <w:r w:rsidR="003C120F">
        <w:rPr>
          <w:rFonts w:eastAsia="Arial" w:cs="Arial"/>
        </w:rPr>
        <w:t>them</w:t>
      </w:r>
      <w:r w:rsidRPr="00A02AAF">
        <w:rPr>
          <w:rFonts w:eastAsia="Arial" w:cs="Arial"/>
        </w:rPr>
        <w:t xml:space="preserve">, workers have also been shown to make better and informed choices that allows them to take reasonable care for their own health and safety in the workplace, such as wearing PPE whilst working. </w:t>
      </w:r>
    </w:p>
    <w:p w14:paraId="33B710D1" w14:textId="40AD067A" w:rsidR="00D131C8" w:rsidRDefault="00611A7E" w:rsidP="00FB18E4">
      <w:pPr>
        <w:pStyle w:val="SWAHeading2"/>
        <w:keepNext/>
        <w:keepLines/>
        <w:ind w:left="709"/>
      </w:pPr>
      <w:bookmarkStart w:id="130" w:name="_Toc196204555"/>
      <w:bookmarkStart w:id="131" w:name="_Toc196204619"/>
      <w:bookmarkStart w:id="132" w:name="_Toc196204934"/>
      <w:bookmarkStart w:id="133" w:name="_Toc196902056"/>
      <w:bookmarkStart w:id="134" w:name="_Toc196204620"/>
      <w:bookmarkStart w:id="135" w:name="_Ref197611605"/>
      <w:bookmarkStart w:id="136" w:name="_Toc219216889"/>
      <w:bookmarkEnd w:id="130"/>
      <w:bookmarkEnd w:id="131"/>
      <w:bookmarkEnd w:id="132"/>
      <w:bookmarkEnd w:id="133"/>
      <w:r>
        <w:lastRenderedPageBreak/>
        <w:t xml:space="preserve">Costs </w:t>
      </w:r>
      <w:r w:rsidR="00DD1921">
        <w:t>of the proposed WEL for chlorine</w:t>
      </w:r>
      <w:bookmarkEnd w:id="134"/>
      <w:bookmarkEnd w:id="135"/>
      <w:bookmarkEnd w:id="136"/>
    </w:p>
    <w:bookmarkEnd w:id="123"/>
    <w:p w14:paraId="2DF9BE8B" w14:textId="1F561CA3" w:rsidR="000B51DC" w:rsidRPr="00463DD6" w:rsidRDefault="009111BD" w:rsidP="00FB18E4">
      <w:pPr>
        <w:keepNext/>
        <w:keepLines/>
        <w:contextualSpacing w:val="0"/>
      </w:pPr>
      <w:r>
        <w:t xml:space="preserve">Costs to comply with the </w:t>
      </w:r>
      <w:r w:rsidRPr="006A0158">
        <w:t xml:space="preserve">proposed WEL for </w:t>
      </w:r>
      <w:r>
        <w:t>chlorine</w:t>
      </w:r>
      <w:r w:rsidRPr="006A0158">
        <w:t xml:space="preserve"> </w:t>
      </w:r>
      <w:r>
        <w:t xml:space="preserve">were estimated and are outlined below. These </w:t>
      </w:r>
      <w:r w:rsidRPr="006A0158">
        <w:t>are indicative estimates only</w:t>
      </w:r>
      <w:r w:rsidR="004A61F8">
        <w:t>.</w:t>
      </w:r>
    </w:p>
    <w:p w14:paraId="37498A03" w14:textId="0396862D" w:rsidR="009111BD" w:rsidRDefault="00C2394B" w:rsidP="001E0F11">
      <w:pPr>
        <w:keepNext/>
        <w:keepLines/>
        <w:contextualSpacing w:val="0"/>
      </w:pPr>
      <w:r>
        <w:rPr>
          <w:highlight w:val="yellow"/>
        </w:rPr>
        <w:fldChar w:fldCharType="begin"/>
      </w:r>
      <w:r>
        <w:rPr>
          <w:highlight w:val="yellow"/>
        </w:rPr>
        <w:instrText xml:space="preserve"> REF _Ref199858016 \h </w:instrText>
      </w:r>
      <w:r>
        <w:rPr>
          <w:highlight w:val="yellow"/>
        </w:rPr>
      </w:r>
      <w:r>
        <w:rPr>
          <w:highlight w:val="yellow"/>
        </w:rPr>
        <w:fldChar w:fldCharType="separate"/>
      </w:r>
      <w:r w:rsidR="00A002F4">
        <w:t xml:space="preserve">Table </w:t>
      </w:r>
      <w:r w:rsidR="00A002F4">
        <w:rPr>
          <w:noProof/>
        </w:rPr>
        <w:t>14</w:t>
      </w:r>
      <w:r>
        <w:rPr>
          <w:highlight w:val="yellow"/>
        </w:rPr>
        <w:fldChar w:fldCharType="end"/>
      </w:r>
      <w:r w:rsidR="000B51DC" w:rsidRPr="38A49B51">
        <w:t xml:space="preserve"> presents the estimated total costs to </w:t>
      </w:r>
      <w:r w:rsidR="009111BD">
        <w:t>industry to c</w:t>
      </w:r>
      <w:r w:rsidR="000B51DC" w:rsidRPr="38A49B51">
        <w:t xml:space="preserve">omply with the proposed WEL for chlorine over the 10-year appraisal period (from FY27 to FY36). </w:t>
      </w:r>
    </w:p>
    <w:p w14:paraId="610FA952" w14:textId="5800F1CF" w:rsidR="000B51DC" w:rsidRDefault="000B51DC" w:rsidP="001E0F11">
      <w:pPr>
        <w:keepNext/>
        <w:keepLines/>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30DF8BED" w14:textId="1DEC9E05" w:rsidR="000B51DC" w:rsidRDefault="000B51DC" w:rsidP="009111BD">
      <w:pPr>
        <w:contextualSpacing w:val="0"/>
      </w:pPr>
      <w:r>
        <w:t xml:space="preserve">The analysis </w:t>
      </w:r>
      <w:r w:rsidR="003F4AD6">
        <w:t xml:space="preserve">estimates </w:t>
      </w:r>
      <w:r>
        <w:t>that:</w:t>
      </w:r>
    </w:p>
    <w:p w14:paraId="0B07D479" w14:textId="45EBF14E" w:rsidR="000B51DC" w:rsidRDefault="000B51DC" w:rsidP="00B57E6C">
      <w:pPr>
        <w:pStyle w:val="ListParagraph"/>
        <w:numPr>
          <w:ilvl w:val="0"/>
          <w:numId w:val="21"/>
        </w:numPr>
        <w:suppressAutoHyphens/>
        <w:spacing w:line="259" w:lineRule="auto"/>
        <w:contextualSpacing w:val="0"/>
      </w:pPr>
      <w:bookmarkStart w:id="137" w:name="_Toc193192581"/>
      <w:bookmarkStart w:id="138" w:name="_Toc196204621"/>
      <w:r>
        <w:t>The estimated total cost to affected businesses over 10 years is $</w:t>
      </w:r>
      <w:r w:rsidR="007D0E84">
        <w:t>968</w:t>
      </w:r>
      <w:r w:rsidR="004566E3">
        <w:t xml:space="preserve"> </w:t>
      </w:r>
      <w:r w:rsidR="007D0E84">
        <w:t>m</w:t>
      </w:r>
      <w:r w:rsidRPr="000E6625">
        <w:t>illion</w:t>
      </w:r>
      <w:r>
        <w:t xml:space="preserve"> (in real, discounted terms), which equates to $</w:t>
      </w:r>
      <w:r w:rsidR="007D0E84">
        <w:t>161</w:t>
      </w:r>
      <w:r>
        <w:t xml:space="preserve"> million per year (in real, undiscounted terms).</w:t>
      </w:r>
      <w:bookmarkEnd w:id="137"/>
      <w:bookmarkEnd w:id="138"/>
      <w:r>
        <w:t xml:space="preserve"> </w:t>
      </w:r>
    </w:p>
    <w:p w14:paraId="466EE379" w14:textId="77777777" w:rsidR="000B51DC" w:rsidRDefault="000B51DC" w:rsidP="00B57E6C">
      <w:pPr>
        <w:pStyle w:val="ListParagraph"/>
        <w:keepNext/>
        <w:keepLines/>
        <w:numPr>
          <w:ilvl w:val="0"/>
          <w:numId w:val="21"/>
        </w:numPr>
        <w:suppressAutoHyphens/>
        <w:spacing w:line="259" w:lineRule="auto"/>
        <w:ind w:hanging="357"/>
        <w:contextualSpacing w:val="0"/>
      </w:pPr>
      <w:bookmarkStart w:id="139" w:name="_Toc193192582"/>
      <w:bookmarkStart w:id="140" w:name="_Toc196204622"/>
      <w:r w:rsidRPr="38A49B51">
        <w:t>These estimated total costs comprise of:</w:t>
      </w:r>
      <w:bookmarkEnd w:id="139"/>
      <w:bookmarkEnd w:id="140"/>
      <w:r w:rsidRPr="38A49B51">
        <w:t xml:space="preserve"> </w:t>
      </w:r>
    </w:p>
    <w:p w14:paraId="271977AB" w14:textId="33E166E5" w:rsidR="000B51DC" w:rsidRDefault="000B51DC" w:rsidP="00B57E6C">
      <w:pPr>
        <w:pStyle w:val="ListParagraph"/>
        <w:keepNext/>
        <w:keepLines/>
        <w:numPr>
          <w:ilvl w:val="1"/>
          <w:numId w:val="21"/>
        </w:numPr>
        <w:suppressAutoHyphens/>
        <w:spacing w:line="259" w:lineRule="auto"/>
        <w:ind w:hanging="357"/>
        <w:contextualSpacing w:val="0"/>
      </w:pPr>
      <w:bookmarkStart w:id="141" w:name="_Toc193192583"/>
      <w:bookmarkStart w:id="142" w:name="_Toc196204623"/>
      <w:r w:rsidRPr="38A49B51">
        <w:t>control measure costs of $</w:t>
      </w:r>
      <w:r w:rsidR="005B0950">
        <w:t>716</w:t>
      </w:r>
      <w:r w:rsidR="00426CC8">
        <w:t xml:space="preserve"> </w:t>
      </w:r>
      <w:r w:rsidR="005B0950">
        <w:t>m</w:t>
      </w:r>
      <w:r w:rsidRPr="38A49B51">
        <w:t>illion over 10 years, comprising engineering controls ($</w:t>
      </w:r>
      <w:r w:rsidR="005B0950">
        <w:t>298</w:t>
      </w:r>
      <w:r w:rsidRPr="38A49B51">
        <w:t xml:space="preserve"> million), isolation controls ($</w:t>
      </w:r>
      <w:r w:rsidR="00003699">
        <w:t>263</w:t>
      </w:r>
      <w:r w:rsidRPr="38A49B51">
        <w:t xml:space="preserve"> million)</w:t>
      </w:r>
      <w:r w:rsidR="007F285D">
        <w:t>, administrative controls ($</w:t>
      </w:r>
      <w:r w:rsidR="00003699">
        <w:t>111</w:t>
      </w:r>
      <w:r w:rsidR="007F285D">
        <w:t xml:space="preserve"> million</w:t>
      </w:r>
      <w:r w:rsidRPr="38A49B51">
        <w:t>) and PPE ($</w:t>
      </w:r>
      <w:r w:rsidR="00003699">
        <w:t>43</w:t>
      </w:r>
      <w:r w:rsidRPr="38A49B51">
        <w:t xml:space="preserve"> million).</w:t>
      </w:r>
      <w:bookmarkEnd w:id="141"/>
      <w:bookmarkEnd w:id="142"/>
    </w:p>
    <w:p w14:paraId="1710A561" w14:textId="4A592107" w:rsidR="000B51DC" w:rsidRDefault="000B51DC" w:rsidP="00B57E6C">
      <w:pPr>
        <w:pStyle w:val="ListParagraph"/>
        <w:keepNext/>
        <w:keepLines/>
        <w:numPr>
          <w:ilvl w:val="1"/>
          <w:numId w:val="21"/>
        </w:numPr>
        <w:suppressAutoHyphens/>
        <w:spacing w:line="259" w:lineRule="auto"/>
        <w:ind w:hanging="357"/>
        <w:contextualSpacing w:val="0"/>
      </w:pPr>
      <w:bookmarkStart w:id="143" w:name="_Toc193192584"/>
      <w:bookmarkStart w:id="144" w:name="_Toc196204624"/>
      <w:r w:rsidRPr="38A49B51">
        <w:t>management practice costs of $</w:t>
      </w:r>
      <w:r w:rsidR="00003699">
        <w:t>95</w:t>
      </w:r>
      <w:r w:rsidRPr="38A49B51">
        <w:t xml:space="preserve"> million over 10 years, comprising air monitoring ($</w:t>
      </w:r>
      <w:r w:rsidR="00003699">
        <w:t>45</w:t>
      </w:r>
      <w:r w:rsidRPr="38A49B51">
        <w:t xml:space="preserve"> million) and occupational hygiene ($</w:t>
      </w:r>
      <w:r w:rsidR="00F46C8C">
        <w:t>50</w:t>
      </w:r>
      <w:r w:rsidRPr="38A49B51">
        <w:t xml:space="preserve"> million).</w:t>
      </w:r>
      <w:bookmarkEnd w:id="143"/>
      <w:bookmarkEnd w:id="144"/>
    </w:p>
    <w:p w14:paraId="74A52DF0" w14:textId="77777777" w:rsidR="000B51DC" w:rsidRDefault="000B51DC" w:rsidP="00B57E6C">
      <w:pPr>
        <w:pStyle w:val="ListParagraph"/>
        <w:numPr>
          <w:ilvl w:val="0"/>
          <w:numId w:val="21"/>
        </w:numPr>
        <w:suppressAutoHyphens/>
        <w:spacing w:line="259" w:lineRule="auto"/>
        <w:ind w:hanging="357"/>
        <w:contextualSpacing w:val="0"/>
      </w:pPr>
      <w:bookmarkStart w:id="145" w:name="_Toc193192585"/>
      <w:bookmarkStart w:id="146" w:name="_Toc196204625"/>
      <w:r w:rsidRPr="38A49B51">
        <w:t>An additional $157 million of chemical specific costs have been estimated, informed by data provided by industry. These comprise of:</w:t>
      </w:r>
      <w:bookmarkEnd w:id="145"/>
      <w:bookmarkEnd w:id="146"/>
    </w:p>
    <w:p w14:paraId="7FE036C3" w14:textId="77777777" w:rsidR="000B51DC" w:rsidRDefault="000B51DC" w:rsidP="00B57E6C">
      <w:pPr>
        <w:pStyle w:val="ListParagraph"/>
        <w:numPr>
          <w:ilvl w:val="1"/>
          <w:numId w:val="21"/>
        </w:numPr>
        <w:suppressAutoHyphens/>
        <w:spacing w:line="259" w:lineRule="auto"/>
        <w:ind w:hanging="357"/>
        <w:contextualSpacing w:val="0"/>
      </w:pPr>
      <w:bookmarkStart w:id="147" w:name="_Toc193192586"/>
      <w:bookmarkStart w:id="148" w:name="_Toc196204626"/>
      <w:r>
        <w:t>$150 million for administrative controls (chlorine gas monitoring system upgrades) across the water services industry.</w:t>
      </w:r>
      <w:bookmarkEnd w:id="147"/>
      <w:bookmarkEnd w:id="148"/>
    </w:p>
    <w:p w14:paraId="57A1CA4E" w14:textId="672CC49F" w:rsidR="000B51DC" w:rsidRDefault="000B51DC" w:rsidP="00B57E6C">
      <w:pPr>
        <w:pStyle w:val="ListParagraph"/>
        <w:numPr>
          <w:ilvl w:val="1"/>
          <w:numId w:val="21"/>
        </w:numPr>
        <w:suppressAutoHyphens/>
        <w:spacing w:line="259" w:lineRule="auto"/>
      </w:pPr>
      <w:bookmarkStart w:id="149" w:name="_Toc193192587"/>
      <w:bookmarkStart w:id="150" w:name="_Toc196204627"/>
      <w:r w:rsidRPr="38A49B51">
        <w:t>$7 million related to chlorine manufactur</w:t>
      </w:r>
      <w:r w:rsidR="003B5297">
        <w:t>ing</w:t>
      </w:r>
      <w:r w:rsidRPr="38A49B51">
        <w:t>, comprising $2.7 million for engineering controls (extraction systems) and $4.3 million for administrative controls (chlorine gas detectors).</w:t>
      </w:r>
      <w:bookmarkEnd w:id="149"/>
      <w:bookmarkEnd w:id="150"/>
    </w:p>
    <w:p w14:paraId="6B17E366" w14:textId="22EDE256" w:rsidR="00655928" w:rsidRDefault="00655928" w:rsidP="003349CC">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w:t>
      </w:r>
      <w:r w:rsidR="00DC48E9">
        <w:t>no data was provided on the estimated</w:t>
      </w:r>
      <w:r>
        <w:t xml:space="preserve"> distribution of costs would be over the 10-year appraisal period, and so it was assumed that these costs would be evenly distributed over the period. </w:t>
      </w:r>
    </w:p>
    <w:p w14:paraId="0E7BAD61" w14:textId="77777777" w:rsidR="00655928" w:rsidRPr="009911EB" w:rsidRDefault="00655928" w:rsidP="003349CC">
      <w:pPr>
        <w:suppressAutoHyphens/>
        <w:spacing w:line="259" w:lineRule="auto"/>
        <w:contextualSpacing w:val="0"/>
      </w:pPr>
      <w:r>
        <w:t xml:space="preserve">Obligations around management practice costs make these costs more likely to be evenly distributed throughout the appraisal period. </w:t>
      </w:r>
    </w:p>
    <w:p w14:paraId="05A7B986" w14:textId="77777777" w:rsidR="00655928" w:rsidRDefault="00655928" w:rsidP="003349CC">
      <w:pPr>
        <w:suppressAutoHyphens/>
        <w:spacing w:line="259" w:lineRule="auto"/>
      </w:pPr>
    </w:p>
    <w:p w14:paraId="74DAE8BA" w14:textId="5058446F" w:rsidR="00C2394B" w:rsidRDefault="00C2394B" w:rsidP="00C2394B">
      <w:pPr>
        <w:pStyle w:val="Caption"/>
      </w:pPr>
      <w:bookmarkStart w:id="151" w:name="_Ref199858016"/>
      <w:r>
        <w:lastRenderedPageBreak/>
        <w:t xml:space="preserve">Table </w:t>
      </w:r>
      <w:fldSimple w:instr=" SEQ Table \* ARABIC ">
        <w:r w:rsidR="00A002F4">
          <w:rPr>
            <w:noProof/>
          </w:rPr>
          <w:t>14</w:t>
        </w:r>
      </w:fldSimple>
      <w:bookmarkEnd w:id="151"/>
      <w:r>
        <w:t xml:space="preserve"> - </w:t>
      </w:r>
      <w:r w:rsidRPr="006F22E3">
        <w:t>Estimated average annual and total incremental costs to industry by the proposed WEL for chlorine, FY27 to FY36</w:t>
      </w:r>
    </w:p>
    <w:tbl>
      <w:tblPr>
        <w:tblStyle w:val="TableGrid"/>
        <w:tblW w:w="9209" w:type="dxa"/>
        <w:tblBorders>
          <w:insideH w:val="single" w:sz="8" w:space="0" w:color="D9D9D9" w:themeColor="background1" w:themeShade="D9"/>
        </w:tblBorders>
        <w:tblLook w:val="04A0" w:firstRow="1" w:lastRow="0" w:firstColumn="1" w:lastColumn="0" w:noHBand="0" w:noVBand="1"/>
      </w:tblPr>
      <w:tblGrid>
        <w:gridCol w:w="3788"/>
        <w:gridCol w:w="2870"/>
        <w:gridCol w:w="2551"/>
      </w:tblGrid>
      <w:tr w:rsidR="000B51DC" w:rsidRPr="008404A0" w14:paraId="3F4E879D" w14:textId="77777777" w:rsidTr="00E80AF6">
        <w:trPr>
          <w:trHeight w:val="617"/>
        </w:trPr>
        <w:tc>
          <w:tcPr>
            <w:tcW w:w="378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2050BD" w:themeFill="accent1" w:themeFillShade="BF"/>
          </w:tcPr>
          <w:p w14:paraId="0D1F11F9"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8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7C012E3B"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54579727"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5E34A8C3" w14:textId="77777777" w:rsidTr="00E80AF6">
        <w:trPr>
          <w:trHeight w:val="288"/>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42B560B6" w14:textId="77777777" w:rsidR="000B51DC" w:rsidRPr="00154D99" w:rsidRDefault="000B51DC">
            <w:pPr>
              <w:pStyle w:val="Paragraph"/>
              <w:spacing w:after="0"/>
              <w:rPr>
                <w:b/>
              </w:rPr>
            </w:pPr>
            <w:r w:rsidRPr="00154D99">
              <w:rPr>
                <w:b/>
              </w:rPr>
              <w:t>Control measure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434BF551" w14:textId="10804EF7" w:rsidR="000B51DC" w:rsidRPr="00082EE7" w:rsidRDefault="00F46C8C">
            <w:pPr>
              <w:keepNext/>
              <w:keepLines/>
              <w:spacing w:line="240" w:lineRule="auto"/>
              <w:jc w:val="right"/>
              <w:rPr>
                <w:b/>
                <w:bCs/>
              </w:rPr>
            </w:pPr>
            <w:r>
              <w:rPr>
                <w:b/>
                <w:bCs/>
              </w:rPr>
              <w:t>119.0</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540EFE0A" w14:textId="2562093D" w:rsidR="000B51DC" w:rsidRPr="00082EE7" w:rsidRDefault="00813F76">
            <w:pPr>
              <w:keepNext/>
              <w:keepLines/>
              <w:spacing w:line="240" w:lineRule="auto"/>
              <w:jc w:val="right"/>
              <w:rPr>
                <w:b/>
                <w:bCs/>
              </w:rPr>
            </w:pPr>
            <w:r>
              <w:rPr>
                <w:b/>
                <w:bCs/>
              </w:rPr>
              <w:t>716</w:t>
            </w:r>
            <w:r w:rsidR="002A698A">
              <w:rPr>
                <w:b/>
                <w:bCs/>
              </w:rPr>
              <w:t>.0</w:t>
            </w:r>
          </w:p>
        </w:tc>
      </w:tr>
      <w:tr w:rsidR="000B51DC" w:rsidRPr="00BA600A" w14:paraId="6EFC813C" w14:textId="77777777">
        <w:trPr>
          <w:trHeight w:val="304"/>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253B2698" w14:textId="77777777" w:rsidR="000B51DC" w:rsidRPr="00B155EC" w:rsidRDefault="000B51DC" w:rsidP="00E80AF6">
            <w:pPr>
              <w:pStyle w:val="Paragraph"/>
              <w:spacing w:after="0"/>
              <w:ind w:left="172"/>
              <w:rPr>
                <w:bCs/>
              </w:rPr>
            </w:pPr>
            <w:r w:rsidRPr="00B155EC">
              <w:rPr>
                <w:bCs/>
              </w:rPr>
              <w:t>Isolation control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446251" w14:textId="3D0922C8" w:rsidR="000B51DC" w:rsidRPr="0018033C" w:rsidRDefault="00F46C8C">
            <w:pPr>
              <w:keepNext/>
              <w:keepLines/>
              <w:spacing w:line="240" w:lineRule="auto"/>
              <w:jc w:val="right"/>
            </w:pPr>
            <w:r>
              <w:t>43.8</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7CBA1A" w14:textId="22882049" w:rsidR="000B51DC" w:rsidRPr="0018033C" w:rsidRDefault="00813F76">
            <w:pPr>
              <w:keepNext/>
              <w:keepLines/>
              <w:spacing w:line="240" w:lineRule="auto"/>
              <w:jc w:val="right"/>
            </w:pPr>
            <w:r>
              <w:t>263.4</w:t>
            </w:r>
          </w:p>
        </w:tc>
      </w:tr>
      <w:tr w:rsidR="000B51DC" w:rsidRPr="00BA600A" w14:paraId="6A54308B" w14:textId="77777777">
        <w:trPr>
          <w:trHeight w:val="304"/>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67F6DC7F" w14:textId="77777777" w:rsidR="000B51DC" w:rsidRPr="00B155EC" w:rsidRDefault="000B51DC" w:rsidP="00E80AF6">
            <w:pPr>
              <w:pStyle w:val="Paragraph"/>
              <w:spacing w:after="0"/>
              <w:ind w:left="172"/>
              <w:rPr>
                <w:bCs/>
              </w:rPr>
            </w:pPr>
            <w:r w:rsidRPr="00B155EC">
              <w:rPr>
                <w:bCs/>
              </w:rPr>
              <w:t>Engineering control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75DE2A" w14:textId="5B4B4AE3" w:rsidR="000B51DC" w:rsidRPr="0018033C" w:rsidRDefault="00F46C8C">
            <w:pPr>
              <w:keepNext/>
              <w:keepLines/>
              <w:spacing w:line="240" w:lineRule="auto"/>
              <w:jc w:val="right"/>
            </w:pPr>
            <w:r>
              <w:t>49.6</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D8A58F" w14:textId="7284D368" w:rsidR="000B51DC" w:rsidRPr="0018033C" w:rsidRDefault="00813F76">
            <w:pPr>
              <w:keepNext/>
              <w:keepLines/>
              <w:spacing w:line="240" w:lineRule="auto"/>
              <w:jc w:val="right"/>
            </w:pPr>
            <w:r>
              <w:t>297.7</w:t>
            </w:r>
          </w:p>
        </w:tc>
      </w:tr>
      <w:tr w:rsidR="000B51DC" w:rsidRPr="00BA600A" w14:paraId="6713672C" w14:textId="77777777">
        <w:trPr>
          <w:trHeight w:val="288"/>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AD73D48" w14:textId="77777777" w:rsidR="000B51DC" w:rsidRPr="00B155EC" w:rsidRDefault="000B51DC" w:rsidP="00E80AF6">
            <w:pPr>
              <w:pStyle w:val="Paragraph"/>
              <w:spacing w:after="0"/>
              <w:ind w:left="172"/>
              <w:rPr>
                <w:bCs/>
              </w:rPr>
            </w:pPr>
            <w:r w:rsidRPr="00B155EC">
              <w:rPr>
                <w:bCs/>
              </w:rPr>
              <w:t>Administrative control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56C580" w14:textId="1A5E9A50" w:rsidR="000B51DC" w:rsidRPr="0018033C" w:rsidRDefault="00F46C8C">
            <w:pPr>
              <w:keepNext/>
              <w:keepLines/>
              <w:spacing w:line="240" w:lineRule="auto"/>
              <w:jc w:val="right"/>
            </w:pPr>
            <w:r>
              <w:t>18.4</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E3B13F" w14:textId="3A52B0C6" w:rsidR="000B51DC" w:rsidRPr="0018033C" w:rsidRDefault="00813F76">
            <w:pPr>
              <w:keepNext/>
              <w:keepLines/>
              <w:spacing w:line="240" w:lineRule="auto"/>
              <w:jc w:val="right"/>
            </w:pPr>
            <w:r>
              <w:t>111.4</w:t>
            </w:r>
          </w:p>
        </w:tc>
      </w:tr>
      <w:tr w:rsidR="000B51DC" w:rsidRPr="00BA600A" w14:paraId="2680BC63" w14:textId="77777777">
        <w:trPr>
          <w:trHeight w:val="248"/>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6E69E00B" w14:textId="77777777" w:rsidR="000B51DC" w:rsidRPr="00B155EC" w:rsidRDefault="000B51DC" w:rsidP="00E80AF6">
            <w:pPr>
              <w:pStyle w:val="Paragraph"/>
              <w:spacing w:after="0"/>
              <w:ind w:left="172"/>
              <w:rPr>
                <w:bCs/>
              </w:rPr>
            </w:pPr>
            <w:r>
              <w:rPr>
                <w:bCs/>
              </w:rPr>
              <w:t xml:space="preserve">Personal protective equipment </w:t>
            </w:r>
            <w:r w:rsidRPr="00B155EC">
              <w:rPr>
                <w:bCs/>
              </w:rPr>
              <w:t>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C4F6C3" w14:textId="1154813C" w:rsidR="000B51DC" w:rsidRPr="0018033C" w:rsidRDefault="00F46C8C">
            <w:pPr>
              <w:keepNext/>
              <w:keepLines/>
              <w:spacing w:line="240" w:lineRule="auto"/>
              <w:jc w:val="right"/>
            </w:pPr>
            <w:r>
              <w:t>7.2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B7EEB" w14:textId="71EEA473" w:rsidR="000B51DC" w:rsidRPr="0018033C" w:rsidRDefault="00813F76">
            <w:pPr>
              <w:keepNext/>
              <w:keepLines/>
              <w:spacing w:line="240" w:lineRule="auto"/>
              <w:jc w:val="right"/>
            </w:pPr>
            <w:r>
              <w:t>43.4</w:t>
            </w:r>
          </w:p>
        </w:tc>
      </w:tr>
      <w:tr w:rsidR="000B51DC" w:rsidRPr="00BA600A" w14:paraId="32ED8DAF" w14:textId="77777777" w:rsidTr="00E80AF6">
        <w:trPr>
          <w:trHeight w:val="304"/>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33C7F297" w14:textId="77777777" w:rsidR="000B51DC" w:rsidRPr="00154D99" w:rsidRDefault="000B51DC">
            <w:pPr>
              <w:pStyle w:val="Paragraph"/>
              <w:spacing w:after="0"/>
              <w:rPr>
                <w:b/>
              </w:rPr>
            </w:pPr>
            <w:r w:rsidRPr="00154D99">
              <w:rPr>
                <w:b/>
              </w:rPr>
              <w:t>Management practice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18B24F6B" w14:textId="6B27BED2" w:rsidR="000B51DC" w:rsidRPr="00082EE7" w:rsidRDefault="00F46C8C">
            <w:pPr>
              <w:keepNext/>
              <w:keepLines/>
              <w:spacing w:line="240" w:lineRule="auto"/>
              <w:jc w:val="right"/>
              <w:rPr>
                <w:b/>
                <w:bCs/>
              </w:rPr>
            </w:pPr>
            <w:r>
              <w:rPr>
                <w:b/>
                <w:bCs/>
              </w:rPr>
              <w:t>15.7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0B9D7711" w14:textId="4AF12ECD" w:rsidR="000B51DC" w:rsidRPr="00082EE7" w:rsidRDefault="00813F76">
            <w:pPr>
              <w:keepNext/>
              <w:keepLines/>
              <w:spacing w:line="240" w:lineRule="auto"/>
              <w:jc w:val="right"/>
              <w:rPr>
                <w:b/>
                <w:bCs/>
              </w:rPr>
            </w:pPr>
            <w:r>
              <w:rPr>
                <w:b/>
                <w:bCs/>
              </w:rPr>
              <w:t>94.6</w:t>
            </w:r>
          </w:p>
        </w:tc>
      </w:tr>
      <w:tr w:rsidR="000B51DC" w:rsidRPr="00BA600A" w14:paraId="248451C4" w14:textId="77777777">
        <w:trPr>
          <w:trHeight w:val="288"/>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5E61497D" w14:textId="77777777" w:rsidR="000B51DC" w:rsidRPr="00B155EC" w:rsidRDefault="000B51DC" w:rsidP="00E80AF6">
            <w:pPr>
              <w:pStyle w:val="Paragraph"/>
              <w:spacing w:after="0"/>
              <w:ind w:left="314" w:hanging="142"/>
              <w:rPr>
                <w:bCs/>
              </w:rPr>
            </w:pPr>
            <w:r w:rsidRPr="00B155EC">
              <w:rPr>
                <w:bCs/>
              </w:rPr>
              <w:t>Air monitoring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4D3539" w14:textId="20E863A2" w:rsidR="000B51DC" w:rsidRPr="0018033C" w:rsidRDefault="00F46C8C">
            <w:pPr>
              <w:keepNext/>
              <w:keepLines/>
              <w:spacing w:line="240" w:lineRule="auto"/>
              <w:jc w:val="right"/>
            </w:pPr>
            <w:r>
              <w:t>7.4</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FFAC5E" w14:textId="0E4311C6" w:rsidR="000B51DC" w:rsidRPr="0018033C" w:rsidRDefault="00813F76">
            <w:pPr>
              <w:keepNext/>
              <w:keepLines/>
              <w:spacing w:line="240" w:lineRule="auto"/>
              <w:jc w:val="right"/>
            </w:pPr>
            <w:r>
              <w:t>44.6</w:t>
            </w:r>
          </w:p>
        </w:tc>
      </w:tr>
      <w:tr w:rsidR="000B51DC" w:rsidRPr="00BA600A" w14:paraId="5E1CE718" w14:textId="77777777">
        <w:trPr>
          <w:trHeight w:val="304"/>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034187DA" w14:textId="77777777" w:rsidR="000B51DC" w:rsidRPr="00B155EC" w:rsidRDefault="000B51DC" w:rsidP="00E80AF6">
            <w:pPr>
              <w:pStyle w:val="Paragraph"/>
              <w:spacing w:after="0"/>
              <w:ind w:left="720" w:hanging="548"/>
              <w:rPr>
                <w:bCs/>
              </w:rPr>
            </w:pPr>
            <w:r w:rsidRPr="00B155EC">
              <w:rPr>
                <w:bCs/>
              </w:rPr>
              <w:t>Occupational hygiene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0559CA" w14:textId="1EA0670E" w:rsidR="000B51DC" w:rsidRPr="0018033C" w:rsidRDefault="00F46C8C">
            <w:pPr>
              <w:keepNext/>
              <w:keepLines/>
              <w:spacing w:line="240" w:lineRule="auto"/>
              <w:jc w:val="right"/>
            </w:pPr>
            <w:r>
              <w:t>8.3</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525893" w14:textId="0A9E3A43" w:rsidR="000B51DC" w:rsidRPr="0018033C" w:rsidRDefault="00813F76">
            <w:pPr>
              <w:keepNext/>
              <w:keepLines/>
              <w:spacing w:line="240" w:lineRule="auto"/>
              <w:jc w:val="right"/>
            </w:pPr>
            <w:r>
              <w:t>49.9</w:t>
            </w:r>
          </w:p>
        </w:tc>
      </w:tr>
      <w:tr w:rsidR="000B51DC" w:rsidRPr="00BA600A" w14:paraId="203486A9" w14:textId="77777777" w:rsidTr="00E80AF6">
        <w:trPr>
          <w:trHeight w:val="304"/>
        </w:trPr>
        <w:tc>
          <w:tcPr>
            <w:tcW w:w="3788"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15DA5D43" w14:textId="77777777" w:rsidR="000B51DC" w:rsidRPr="00B73E8D" w:rsidRDefault="000B51DC">
            <w:pPr>
              <w:pStyle w:val="Paragraph"/>
              <w:spacing w:after="0"/>
              <w:rPr>
                <w:b/>
              </w:rPr>
            </w:pPr>
            <w:r w:rsidRPr="00B73E8D">
              <w:rPr>
                <w:b/>
              </w:rPr>
              <w:t>Specific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75388923" w14:textId="77777777" w:rsidR="000B51DC" w:rsidRPr="00B73E8D" w:rsidRDefault="000B51DC">
            <w:pPr>
              <w:keepNext/>
              <w:keepLines/>
              <w:spacing w:line="240" w:lineRule="auto"/>
              <w:jc w:val="right"/>
              <w:rPr>
                <w:b/>
              </w:rPr>
            </w:pPr>
            <w:r w:rsidRPr="00B73E8D">
              <w:rPr>
                <w:b/>
              </w:rPr>
              <w:t>26.2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vAlign w:val="center"/>
          </w:tcPr>
          <w:p w14:paraId="14F1ED97" w14:textId="732DDC53" w:rsidR="000B51DC" w:rsidRPr="00B73E8D" w:rsidRDefault="000B51DC">
            <w:pPr>
              <w:keepNext/>
              <w:keepLines/>
              <w:spacing w:line="240" w:lineRule="auto"/>
              <w:jc w:val="right"/>
              <w:rPr>
                <w:b/>
              </w:rPr>
            </w:pPr>
            <w:r w:rsidRPr="00B73E8D" w:rsidDel="00813F76">
              <w:rPr>
                <w:b/>
              </w:rPr>
              <w:t>157</w:t>
            </w:r>
            <w:r w:rsidR="00813F76">
              <w:rPr>
                <w:b/>
              </w:rPr>
              <w:t>.3</w:t>
            </w:r>
          </w:p>
        </w:tc>
      </w:tr>
      <w:tr w:rsidR="000B51DC" w:rsidRPr="00BA600A" w14:paraId="109B1ED1" w14:textId="77777777" w:rsidTr="00E80AF6">
        <w:trPr>
          <w:trHeight w:val="288"/>
        </w:trPr>
        <w:tc>
          <w:tcPr>
            <w:tcW w:w="3788" w:type="dxa"/>
            <w:tcBorders>
              <w:top w:val="single" w:sz="8"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1A1EBBD7" w14:textId="77777777" w:rsidR="000B51DC" w:rsidRPr="00154D99" w:rsidRDefault="000B51DC">
            <w:pPr>
              <w:pStyle w:val="Paragraph"/>
              <w:spacing w:after="0"/>
              <w:rPr>
                <w:b/>
              </w:rPr>
            </w:pPr>
            <w:r w:rsidRPr="00154D99">
              <w:rPr>
                <w:b/>
              </w:rPr>
              <w:t>Total costs</w:t>
            </w:r>
          </w:p>
        </w:tc>
        <w:tc>
          <w:tcPr>
            <w:tcW w:w="2870"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vAlign w:val="center"/>
          </w:tcPr>
          <w:p w14:paraId="2818F4A8" w14:textId="1C7BC46B" w:rsidR="000B51DC" w:rsidRPr="00082EE7" w:rsidRDefault="00F46C8C">
            <w:pPr>
              <w:keepNext/>
              <w:keepLines/>
              <w:jc w:val="right"/>
              <w:rPr>
                <w:b/>
                <w:bCs/>
              </w:rPr>
            </w:pPr>
            <w:r>
              <w:rPr>
                <w:b/>
                <w:bCs/>
              </w:rPr>
              <w:t>160.9</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vAlign w:val="center"/>
          </w:tcPr>
          <w:p w14:paraId="606EAACB" w14:textId="532AF7D7" w:rsidR="000B51DC" w:rsidRPr="00082EE7" w:rsidRDefault="00813F76">
            <w:pPr>
              <w:keepNext/>
              <w:keepLines/>
              <w:jc w:val="right"/>
              <w:rPr>
                <w:b/>
                <w:bCs/>
              </w:rPr>
            </w:pPr>
            <w:r>
              <w:rPr>
                <w:b/>
                <w:bCs/>
              </w:rPr>
              <w:t>967.9</w:t>
            </w:r>
          </w:p>
        </w:tc>
      </w:tr>
    </w:tbl>
    <w:p w14:paraId="745579C0" w14:textId="77777777" w:rsidR="000B51DC" w:rsidRDefault="000B51DC" w:rsidP="000B51DC">
      <w:pPr>
        <w:pStyle w:val="Paragraph"/>
        <w:spacing w:after="0"/>
        <w:rPr>
          <w:i/>
          <w:iCs/>
          <w:color w:val="7B7B7B" w:themeColor="accent6" w:themeShade="BF"/>
          <w:sz w:val="18"/>
          <w:szCs w:val="20"/>
          <w:lang w:eastAsia="en-US"/>
        </w:rPr>
      </w:pPr>
    </w:p>
    <w:p w14:paraId="0E2CB064" w14:textId="1C12431D" w:rsidR="000B51DC" w:rsidRDefault="000B51DC" w:rsidP="000B51DC">
      <w:r w:rsidRPr="38A49B51">
        <w:t xml:space="preserve">This regulatory impact analysis has also estimated the average annual and total costs to </w:t>
      </w:r>
      <w:r w:rsidR="00876683">
        <w:t xml:space="preserve">industry </w:t>
      </w:r>
      <w:r w:rsidRPr="38A49B51">
        <w:t>under low and high cost scenarios, where:</w:t>
      </w:r>
    </w:p>
    <w:p w14:paraId="6377A6B2" w14:textId="6BD764F6" w:rsidR="000B51DC" w:rsidRDefault="000B51DC" w:rsidP="00B57E6C">
      <w:pPr>
        <w:pStyle w:val="ListParagraph"/>
        <w:numPr>
          <w:ilvl w:val="0"/>
          <w:numId w:val="22"/>
        </w:numPr>
        <w:suppressAutoHyphens/>
        <w:spacing w:line="259" w:lineRule="auto"/>
        <w:ind w:left="714" w:hanging="357"/>
        <w:contextualSpacing w:val="0"/>
      </w:pPr>
      <w:bookmarkStart w:id="152" w:name="_Toc193192588"/>
      <w:bookmarkStart w:id="153" w:name="_Toc196204628"/>
      <w:r w:rsidRPr="38A49B51">
        <w:t>Under the low cost scenario, the average annual cost is $</w:t>
      </w:r>
      <w:r w:rsidR="00813F76">
        <w:t>121</w:t>
      </w:r>
      <w:r w:rsidR="00813F76" w:rsidRPr="38A49B51">
        <w:t xml:space="preserve"> </w:t>
      </w:r>
      <w:r w:rsidRPr="38A49B51">
        <w:t xml:space="preserve">million (undiscounted) and the total cost is </w:t>
      </w:r>
      <w:r w:rsidR="0087199F">
        <w:t>$</w:t>
      </w:r>
      <w:r w:rsidR="00813F76">
        <w:t>726</w:t>
      </w:r>
      <w:r w:rsidR="004F6D20">
        <w:t xml:space="preserve"> </w:t>
      </w:r>
      <w:r w:rsidR="00813F76">
        <w:t>m</w:t>
      </w:r>
      <w:r w:rsidRPr="38A49B51">
        <w:t>illion (discounted).</w:t>
      </w:r>
      <w:bookmarkEnd w:id="152"/>
      <w:bookmarkEnd w:id="153"/>
    </w:p>
    <w:p w14:paraId="0042E79D" w14:textId="1209CF8D" w:rsidR="000B51DC" w:rsidRDefault="000B51DC" w:rsidP="00B57E6C">
      <w:pPr>
        <w:pStyle w:val="ListParagraph"/>
        <w:numPr>
          <w:ilvl w:val="0"/>
          <w:numId w:val="22"/>
        </w:numPr>
        <w:suppressAutoHyphens/>
        <w:spacing w:line="259" w:lineRule="auto"/>
        <w:ind w:left="714" w:hanging="357"/>
        <w:contextualSpacing w:val="0"/>
      </w:pPr>
      <w:bookmarkStart w:id="154" w:name="_Toc193192589"/>
      <w:bookmarkStart w:id="155" w:name="_Toc196204629"/>
      <w:r w:rsidRPr="38A49B51">
        <w:t>Under the high cost scenario, the average annual cost is $</w:t>
      </w:r>
      <w:r w:rsidR="00813F76">
        <w:t>201</w:t>
      </w:r>
      <w:r w:rsidRPr="38A49B51">
        <w:t xml:space="preserve"> million (undiscounted) and the total cost is $</w:t>
      </w:r>
      <w:r w:rsidR="009A1D99">
        <w:t>1.</w:t>
      </w:r>
      <w:r w:rsidR="00365424" w:rsidDel="009A1D99">
        <w:t>2</w:t>
      </w:r>
      <w:r w:rsidR="00365424">
        <w:t xml:space="preserve"> b</w:t>
      </w:r>
      <w:r w:rsidRPr="38A49B51">
        <w:t>illion (discounted).</w:t>
      </w:r>
      <w:bookmarkEnd w:id="154"/>
      <w:bookmarkEnd w:id="155"/>
      <w:r w:rsidRPr="38A49B51">
        <w:t xml:space="preserve"> </w:t>
      </w:r>
    </w:p>
    <w:p w14:paraId="4A931D47" w14:textId="72EBC8FB" w:rsidR="000B51DC" w:rsidRDefault="00B3009F" w:rsidP="000B51DC">
      <w:pPr>
        <w:keepNext/>
        <w:keepLines/>
      </w:pPr>
      <w:r>
        <w:fldChar w:fldCharType="begin"/>
      </w:r>
      <w:r>
        <w:instrText xml:space="preserve"> REF _Ref199858445 \h </w:instrText>
      </w:r>
      <w:r>
        <w:fldChar w:fldCharType="separate"/>
      </w:r>
      <w:r w:rsidR="00A002F4">
        <w:t xml:space="preserve">Table </w:t>
      </w:r>
      <w:r w:rsidR="00A002F4">
        <w:rPr>
          <w:noProof/>
        </w:rPr>
        <w:t>15</w:t>
      </w:r>
      <w:r>
        <w:fldChar w:fldCharType="end"/>
      </w:r>
      <w:r>
        <w:t xml:space="preserve"> </w:t>
      </w:r>
      <w:r w:rsidR="000B51DC" w:rsidRPr="004F240B">
        <w:t xml:space="preserve">presents the estimated average annual </w:t>
      </w:r>
      <w:r w:rsidR="00437823">
        <w:t>incremental</w:t>
      </w:r>
      <w:r w:rsidR="00437823" w:rsidRPr="004F240B">
        <w:t xml:space="preserve"> </w:t>
      </w:r>
      <w:r w:rsidR="000B51DC" w:rsidRPr="004F240B">
        <w:t xml:space="preserve">costs per affected business </w:t>
      </w:r>
      <w:r w:rsidR="000B51DC" w:rsidRPr="007C3418">
        <w:t xml:space="preserve">by business size category for the proposed WEL for </w:t>
      </w:r>
      <w:r w:rsidR="000B51DC">
        <w:t>chlorine</w:t>
      </w:r>
      <w:r w:rsidR="000B51DC" w:rsidRPr="007C3418">
        <w:t>. The results</w:t>
      </w:r>
      <w:r w:rsidR="000B51DC">
        <w:t xml:space="preserve"> do not factor in costs specific to a singular business or industry that are not expected for other businesses or industries. </w:t>
      </w:r>
      <w:r w:rsidR="00B21D7A">
        <w:t>An average annual incremental cost is also assumed in the absence of information to indicate the true distribution of costs</w:t>
      </w:r>
      <w:r w:rsidR="00804370">
        <w:t xml:space="preserve"> across the 10-year appraisal period.</w:t>
      </w:r>
      <w:r w:rsidR="00B21D7A">
        <w:t xml:space="preserve"> </w:t>
      </w:r>
      <w:r w:rsidR="00982A94">
        <w:t>The affected industries come from the following industries:</w:t>
      </w:r>
    </w:p>
    <w:p w14:paraId="51622F4B" w14:textId="78B15237" w:rsidR="006F5057" w:rsidRDefault="00D57AD9" w:rsidP="00A2768E">
      <w:pPr>
        <w:pStyle w:val="ListParagraph"/>
        <w:keepNext/>
        <w:keepLines/>
        <w:numPr>
          <w:ilvl w:val="0"/>
          <w:numId w:val="63"/>
        </w:numPr>
        <w:ind w:left="714" w:hanging="357"/>
        <w:contextualSpacing w:val="0"/>
      </w:pPr>
      <w:r>
        <w:t>manufacturing</w:t>
      </w:r>
      <w:r w:rsidR="005420B0">
        <w:t>,</w:t>
      </w:r>
    </w:p>
    <w:p w14:paraId="06F8FA95" w14:textId="45AC08DB" w:rsidR="002C0CD6" w:rsidRDefault="00D57AD9" w:rsidP="00A2768E">
      <w:pPr>
        <w:pStyle w:val="ListParagraph"/>
        <w:keepNext/>
        <w:keepLines/>
        <w:numPr>
          <w:ilvl w:val="0"/>
          <w:numId w:val="63"/>
        </w:numPr>
        <w:ind w:left="714" w:hanging="357"/>
        <w:contextualSpacing w:val="0"/>
      </w:pPr>
      <w:bookmarkStart w:id="156" w:name="_Toc196204632"/>
      <w:r>
        <w:t>electricity</w:t>
      </w:r>
      <w:r w:rsidR="00CB692E">
        <w:t xml:space="preserve">, gas, </w:t>
      </w:r>
      <w:r w:rsidR="00BE7C5C">
        <w:t>water and waste services</w:t>
      </w:r>
      <w:bookmarkEnd w:id="156"/>
      <w:r w:rsidR="005420B0">
        <w:t>,</w:t>
      </w:r>
    </w:p>
    <w:p w14:paraId="5329B266" w14:textId="73DCA394" w:rsidR="00A07225" w:rsidRDefault="00D57AD9" w:rsidP="00A2768E">
      <w:pPr>
        <w:pStyle w:val="ListParagraph"/>
        <w:keepNext/>
        <w:keepLines/>
        <w:numPr>
          <w:ilvl w:val="0"/>
          <w:numId w:val="63"/>
        </w:numPr>
        <w:ind w:left="714" w:hanging="357"/>
        <w:contextualSpacing w:val="0"/>
      </w:pPr>
      <w:r>
        <w:t xml:space="preserve">administrative </w:t>
      </w:r>
      <w:r w:rsidR="2A4A0991">
        <w:t>and support services</w:t>
      </w:r>
      <w:r w:rsidR="59F33865">
        <w:t>, and</w:t>
      </w:r>
    </w:p>
    <w:p w14:paraId="6DA1B1B0" w14:textId="727C65CA" w:rsidR="00BF3C67" w:rsidRDefault="00D57AD9" w:rsidP="00A2768E">
      <w:pPr>
        <w:pStyle w:val="ListParagraph"/>
        <w:keepNext/>
        <w:keepLines/>
        <w:numPr>
          <w:ilvl w:val="0"/>
          <w:numId w:val="63"/>
        </w:numPr>
        <w:ind w:left="714" w:hanging="357"/>
        <w:contextualSpacing w:val="0"/>
      </w:pPr>
      <w:bookmarkStart w:id="157" w:name="_Toc196204637"/>
      <w:r>
        <w:t xml:space="preserve">arts </w:t>
      </w:r>
      <w:r w:rsidR="2505E86F">
        <w:t xml:space="preserve">and </w:t>
      </w:r>
      <w:r w:rsidR="3049B55B">
        <w:t>recreation services</w:t>
      </w:r>
      <w:r w:rsidR="1C6504A4">
        <w:t>.</w:t>
      </w:r>
      <w:bookmarkEnd w:id="157"/>
    </w:p>
    <w:p w14:paraId="08D71C37" w14:textId="77777777" w:rsidR="000B51DC" w:rsidRPr="007C3418" w:rsidRDefault="000B51DC" w:rsidP="38A49B51">
      <w:pPr>
        <w:keepNext/>
        <w:keepLines/>
      </w:pPr>
      <w:r w:rsidRPr="38A49B51">
        <w:t>The results indicate that:</w:t>
      </w:r>
    </w:p>
    <w:p w14:paraId="3F622147" w14:textId="2D5AA44A" w:rsidR="000B51DC" w:rsidRPr="007C3418" w:rsidRDefault="000B51DC" w:rsidP="00B57E6C">
      <w:pPr>
        <w:pStyle w:val="ListParagraph"/>
        <w:numPr>
          <w:ilvl w:val="0"/>
          <w:numId w:val="23"/>
        </w:numPr>
        <w:suppressAutoHyphens/>
        <w:spacing w:line="259" w:lineRule="auto"/>
        <w:ind w:left="709"/>
        <w:contextualSpacing w:val="0"/>
      </w:pPr>
      <w:bookmarkStart w:id="158" w:name="_Toc193192590"/>
      <w:bookmarkStart w:id="159" w:name="_Toc196204638"/>
      <w:r w:rsidRPr="38A49B51">
        <w:t xml:space="preserve">There are an estimated </w:t>
      </w:r>
      <w:r w:rsidR="00962A8B">
        <w:t xml:space="preserve">18,083 </w:t>
      </w:r>
      <w:r w:rsidRPr="38A49B51">
        <w:t xml:space="preserve">affected businesses, comprising </w:t>
      </w:r>
      <w:r w:rsidR="00962A8B">
        <w:t xml:space="preserve">16,169 </w:t>
      </w:r>
      <w:r w:rsidRPr="38A49B51">
        <w:t xml:space="preserve">small businesses, </w:t>
      </w:r>
      <w:r w:rsidR="00962A8B">
        <w:t>1,693</w:t>
      </w:r>
      <w:r w:rsidRPr="38A49B51">
        <w:t xml:space="preserve"> medium businesses and </w:t>
      </w:r>
      <w:r w:rsidR="00962A8B">
        <w:t>221</w:t>
      </w:r>
      <w:r w:rsidR="00705E3D" w:rsidRPr="38A49B51">
        <w:t xml:space="preserve"> </w:t>
      </w:r>
      <w:r w:rsidRPr="38A49B51">
        <w:t>large businesses.</w:t>
      </w:r>
      <w:bookmarkEnd w:id="158"/>
      <w:bookmarkEnd w:id="159"/>
    </w:p>
    <w:p w14:paraId="32A37C95" w14:textId="463F1627" w:rsidR="000B51DC" w:rsidRDefault="000B51DC" w:rsidP="00B57E6C">
      <w:pPr>
        <w:pStyle w:val="ListParagraph"/>
        <w:numPr>
          <w:ilvl w:val="0"/>
          <w:numId w:val="23"/>
        </w:numPr>
        <w:suppressAutoHyphens/>
        <w:spacing w:line="259" w:lineRule="auto"/>
        <w:ind w:left="709"/>
        <w:contextualSpacing w:val="0"/>
      </w:pPr>
      <w:bookmarkStart w:id="160" w:name="_Toc193192591"/>
      <w:bookmarkStart w:id="161" w:name="_Toc196204639"/>
      <w:r w:rsidRPr="007C3418">
        <w:t xml:space="preserve">The estimated average annual cost </w:t>
      </w:r>
      <w:r w:rsidR="000C1F9F">
        <w:t>is $2,100 for</w:t>
      </w:r>
      <w:r w:rsidR="000C1F9F" w:rsidRPr="007C3418">
        <w:t xml:space="preserve"> </w:t>
      </w:r>
      <w:r w:rsidR="00C95E16">
        <w:t>small</w:t>
      </w:r>
      <w:r w:rsidR="00C95E16" w:rsidRPr="007C3418">
        <w:t xml:space="preserve"> </w:t>
      </w:r>
      <w:r w:rsidRPr="007C3418">
        <w:t>businesses</w:t>
      </w:r>
      <w:r w:rsidR="000C1F9F">
        <w:t>,</w:t>
      </w:r>
      <w:r>
        <w:t xml:space="preserve"> </w:t>
      </w:r>
      <w:r w:rsidRPr="007C3418">
        <w:t>$</w:t>
      </w:r>
      <w:r w:rsidR="00E91F48">
        <w:t>12,100</w:t>
      </w:r>
      <w:r>
        <w:t xml:space="preserve"> for medium businesses and $</w:t>
      </w:r>
      <w:r w:rsidR="00384740">
        <w:t>480,500</w:t>
      </w:r>
      <w:r>
        <w:t xml:space="preserve"> </w:t>
      </w:r>
      <w:r w:rsidR="006E45AB">
        <w:t xml:space="preserve">for large </w:t>
      </w:r>
      <w:r>
        <w:t>businesses.</w:t>
      </w:r>
      <w:bookmarkEnd w:id="160"/>
      <w:bookmarkEnd w:id="161"/>
    </w:p>
    <w:p w14:paraId="44EF2729" w14:textId="313EBD49" w:rsidR="00C2394B" w:rsidRDefault="00B3009F" w:rsidP="00B3009F">
      <w:pPr>
        <w:pStyle w:val="Caption"/>
      </w:pPr>
      <w:bookmarkStart w:id="162" w:name="_Ref199858445"/>
      <w:r>
        <w:lastRenderedPageBreak/>
        <w:t xml:space="preserve">Table </w:t>
      </w:r>
      <w:fldSimple w:instr=" SEQ Table \* ARABIC ">
        <w:r w:rsidR="00A002F4">
          <w:rPr>
            <w:noProof/>
          </w:rPr>
          <w:t>15</w:t>
        </w:r>
      </w:fldSimple>
      <w:bookmarkEnd w:id="162"/>
      <w:r>
        <w:t xml:space="preserve"> - </w:t>
      </w:r>
      <w:r w:rsidRPr="002837B2">
        <w:t>Estimated average annual incremental cost per affected business by business size ($, undiscounted) and affected businesses for chlorine,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254"/>
        <w:gridCol w:w="2398"/>
        <w:gridCol w:w="2110"/>
      </w:tblGrid>
      <w:tr w:rsidR="000B51DC" w14:paraId="3FB32615" w14:textId="77777777" w:rsidTr="00E5706C">
        <w:tc>
          <w:tcPr>
            <w:tcW w:w="2254" w:type="dxa"/>
            <w:shd w:val="clear" w:color="auto" w:fill="2050BD" w:themeFill="accent1" w:themeFillShade="BF"/>
            <w:vAlign w:val="center"/>
          </w:tcPr>
          <w:p w14:paraId="25BE313A" w14:textId="77777777" w:rsidR="000B51DC" w:rsidRPr="00E80AF6" w:rsidRDefault="000B51DC">
            <w:pPr>
              <w:keepNext/>
              <w:keepLines/>
              <w:suppressAutoHyphens/>
              <w:spacing w:after="0" w:line="259" w:lineRule="auto"/>
              <w:contextualSpacing w:val="0"/>
              <w:rPr>
                <w:b/>
                <w:bCs/>
                <w:color w:val="FFFFFF" w:themeColor="background1"/>
              </w:rPr>
            </w:pPr>
            <w:r w:rsidRPr="00E80AF6">
              <w:rPr>
                <w:b/>
                <w:bCs/>
                <w:color w:val="FFFFFF" w:themeColor="background1"/>
              </w:rPr>
              <w:t>Measure</w:t>
            </w:r>
          </w:p>
        </w:tc>
        <w:tc>
          <w:tcPr>
            <w:tcW w:w="2254" w:type="dxa"/>
            <w:shd w:val="clear" w:color="auto" w:fill="2050BD" w:themeFill="accent1" w:themeFillShade="BF"/>
            <w:vAlign w:val="center"/>
          </w:tcPr>
          <w:p w14:paraId="0C73560A" w14:textId="77777777" w:rsidR="000B51DC" w:rsidRPr="00E80AF6" w:rsidRDefault="000B51DC">
            <w:pPr>
              <w:keepNext/>
              <w:keepLines/>
              <w:suppressAutoHyphens/>
              <w:spacing w:after="0" w:line="259" w:lineRule="auto"/>
              <w:contextualSpacing w:val="0"/>
              <w:rPr>
                <w:b/>
                <w:bCs/>
                <w:color w:val="FFFFFF" w:themeColor="background1"/>
              </w:rPr>
            </w:pPr>
            <w:r w:rsidRPr="00E80AF6">
              <w:rPr>
                <w:b/>
                <w:bCs/>
                <w:color w:val="FFFFFF" w:themeColor="background1"/>
              </w:rPr>
              <w:t>Small businesses</w:t>
            </w:r>
          </w:p>
        </w:tc>
        <w:tc>
          <w:tcPr>
            <w:tcW w:w="2398" w:type="dxa"/>
            <w:shd w:val="clear" w:color="auto" w:fill="2050BD" w:themeFill="accent1" w:themeFillShade="BF"/>
            <w:vAlign w:val="center"/>
          </w:tcPr>
          <w:p w14:paraId="3FB87A8D" w14:textId="77777777" w:rsidR="000B51DC" w:rsidRPr="00E80AF6" w:rsidRDefault="000B51DC">
            <w:pPr>
              <w:keepNext/>
              <w:keepLines/>
              <w:suppressAutoHyphens/>
              <w:spacing w:after="0" w:line="259" w:lineRule="auto"/>
              <w:contextualSpacing w:val="0"/>
              <w:rPr>
                <w:b/>
                <w:bCs/>
                <w:color w:val="FFFFFF" w:themeColor="background1"/>
              </w:rPr>
            </w:pPr>
            <w:r w:rsidRPr="00E80AF6">
              <w:rPr>
                <w:b/>
                <w:bCs/>
                <w:color w:val="FFFFFF" w:themeColor="background1"/>
              </w:rPr>
              <w:t>Medium businesses</w:t>
            </w:r>
          </w:p>
        </w:tc>
        <w:tc>
          <w:tcPr>
            <w:tcW w:w="2110" w:type="dxa"/>
            <w:shd w:val="clear" w:color="auto" w:fill="2050BD" w:themeFill="accent1" w:themeFillShade="BF"/>
            <w:vAlign w:val="center"/>
          </w:tcPr>
          <w:p w14:paraId="2342408D" w14:textId="77777777" w:rsidR="000B51DC" w:rsidRPr="00E80AF6" w:rsidRDefault="000B51DC">
            <w:pPr>
              <w:keepNext/>
              <w:keepLines/>
              <w:suppressAutoHyphens/>
              <w:spacing w:after="0" w:line="259" w:lineRule="auto"/>
              <w:contextualSpacing w:val="0"/>
              <w:rPr>
                <w:b/>
                <w:bCs/>
                <w:color w:val="FFFFFF" w:themeColor="background1"/>
              </w:rPr>
            </w:pPr>
            <w:r w:rsidRPr="00E80AF6">
              <w:rPr>
                <w:b/>
                <w:bCs/>
                <w:color w:val="FFFFFF" w:themeColor="background1"/>
              </w:rPr>
              <w:t>Large businesses</w:t>
            </w:r>
          </w:p>
        </w:tc>
      </w:tr>
      <w:tr w:rsidR="00E5706C" w14:paraId="272ED7D9" w14:textId="77777777" w:rsidTr="00E5706C">
        <w:tc>
          <w:tcPr>
            <w:tcW w:w="2254" w:type="dxa"/>
            <w:vAlign w:val="bottom"/>
          </w:tcPr>
          <w:p w14:paraId="1F7B4DC7" w14:textId="1C055626" w:rsidR="00E5706C" w:rsidRPr="00296A4F" w:rsidRDefault="00E5706C" w:rsidP="00E5706C">
            <w:pPr>
              <w:keepNext/>
              <w:keepLines/>
              <w:suppressAutoHyphens/>
              <w:spacing w:after="0" w:line="259" w:lineRule="auto"/>
              <w:contextualSpacing w:val="0"/>
              <w:rPr>
                <w:b/>
                <w:bCs/>
              </w:rPr>
            </w:pPr>
            <w:r w:rsidRPr="00296A4F">
              <w:rPr>
                <w:b/>
                <w:bCs/>
              </w:rPr>
              <w:t>Number of affected businesses p.a.</w:t>
            </w:r>
          </w:p>
        </w:tc>
        <w:tc>
          <w:tcPr>
            <w:tcW w:w="2254" w:type="dxa"/>
            <w:vAlign w:val="center"/>
          </w:tcPr>
          <w:p w14:paraId="58637CAB" w14:textId="32A91279" w:rsidR="00E5706C" w:rsidRDefault="00D94E03" w:rsidP="00E5706C">
            <w:pPr>
              <w:keepNext/>
              <w:keepLines/>
              <w:suppressAutoHyphens/>
              <w:spacing w:after="0" w:line="259" w:lineRule="auto"/>
              <w:contextualSpacing w:val="0"/>
              <w:jc w:val="right"/>
            </w:pPr>
            <w:r>
              <w:t>16,169</w:t>
            </w:r>
          </w:p>
        </w:tc>
        <w:tc>
          <w:tcPr>
            <w:tcW w:w="2398" w:type="dxa"/>
            <w:vAlign w:val="center"/>
          </w:tcPr>
          <w:p w14:paraId="7BB2A0DB" w14:textId="473E7395" w:rsidR="00E5706C" w:rsidRDefault="00C578E1" w:rsidP="00E5706C">
            <w:pPr>
              <w:keepNext/>
              <w:keepLines/>
              <w:suppressAutoHyphens/>
              <w:spacing w:after="0" w:line="259" w:lineRule="auto"/>
              <w:contextualSpacing w:val="0"/>
              <w:jc w:val="right"/>
            </w:pPr>
            <w:r>
              <w:t>1</w:t>
            </w:r>
            <w:r w:rsidR="00816959">
              <w:t>,</w:t>
            </w:r>
            <w:r>
              <w:t>693</w:t>
            </w:r>
          </w:p>
        </w:tc>
        <w:tc>
          <w:tcPr>
            <w:tcW w:w="2110" w:type="dxa"/>
            <w:vAlign w:val="center"/>
          </w:tcPr>
          <w:p w14:paraId="0ED1F19D" w14:textId="19AA6271" w:rsidR="00E5706C" w:rsidRDefault="00C578E1" w:rsidP="00E5706C">
            <w:pPr>
              <w:keepNext/>
              <w:keepLines/>
              <w:suppressAutoHyphens/>
              <w:spacing w:after="0" w:line="259" w:lineRule="auto"/>
              <w:contextualSpacing w:val="0"/>
              <w:jc w:val="right"/>
            </w:pPr>
            <w:r>
              <w:t>221</w:t>
            </w:r>
          </w:p>
        </w:tc>
      </w:tr>
      <w:tr w:rsidR="00E5706C" w14:paraId="7AB03516" w14:textId="77777777" w:rsidTr="001E0F11">
        <w:tc>
          <w:tcPr>
            <w:tcW w:w="2254" w:type="dxa"/>
            <w:shd w:val="clear" w:color="auto" w:fill="DAE3F8" w:themeFill="accent1" w:themeFillTint="33"/>
            <w:vAlign w:val="bottom"/>
          </w:tcPr>
          <w:p w14:paraId="56C8CAB2" w14:textId="77777777" w:rsidR="00E5706C" w:rsidRPr="00296A4F" w:rsidRDefault="00E5706C" w:rsidP="00E5706C">
            <w:pPr>
              <w:keepNext/>
              <w:keepLines/>
              <w:suppressAutoHyphens/>
              <w:spacing w:after="0" w:line="259" w:lineRule="auto"/>
              <w:contextualSpacing w:val="0"/>
              <w:rPr>
                <w:b/>
                <w:bCs/>
              </w:rPr>
            </w:pPr>
            <w:r w:rsidRPr="00296A4F">
              <w:rPr>
                <w:b/>
                <w:bCs/>
              </w:rPr>
              <w:t>Av. cost per business p.a.</w:t>
            </w:r>
          </w:p>
        </w:tc>
        <w:tc>
          <w:tcPr>
            <w:tcW w:w="2254" w:type="dxa"/>
            <w:shd w:val="clear" w:color="auto" w:fill="DAE3F8" w:themeFill="accent1" w:themeFillTint="33"/>
            <w:vAlign w:val="center"/>
          </w:tcPr>
          <w:p w14:paraId="7014EB0C" w14:textId="12FE0686" w:rsidR="00E5706C" w:rsidRDefault="00E5706C" w:rsidP="00E5706C">
            <w:pPr>
              <w:keepNext/>
              <w:keepLines/>
              <w:suppressAutoHyphens/>
              <w:spacing w:after="0" w:line="259" w:lineRule="auto"/>
              <w:contextualSpacing w:val="0"/>
              <w:jc w:val="right"/>
            </w:pPr>
            <w:r>
              <w:t>2</w:t>
            </w:r>
            <w:r w:rsidRPr="005207C8">
              <w:t>,</w:t>
            </w:r>
            <w:r>
              <w:t>100</w:t>
            </w:r>
          </w:p>
        </w:tc>
        <w:tc>
          <w:tcPr>
            <w:tcW w:w="2398" w:type="dxa"/>
            <w:shd w:val="clear" w:color="auto" w:fill="DAE3F8" w:themeFill="accent1" w:themeFillTint="33"/>
            <w:vAlign w:val="center"/>
          </w:tcPr>
          <w:p w14:paraId="6D8A2A23" w14:textId="575CDBC7" w:rsidR="00E5706C" w:rsidRDefault="00705E3D" w:rsidP="00E5706C">
            <w:pPr>
              <w:keepNext/>
              <w:keepLines/>
              <w:suppressAutoHyphens/>
              <w:spacing w:after="0" w:line="259" w:lineRule="auto"/>
              <w:contextualSpacing w:val="0"/>
              <w:jc w:val="right"/>
            </w:pPr>
            <w:r>
              <w:t>12,100</w:t>
            </w:r>
          </w:p>
        </w:tc>
        <w:tc>
          <w:tcPr>
            <w:tcW w:w="2110" w:type="dxa"/>
            <w:shd w:val="clear" w:color="auto" w:fill="DAE3F8" w:themeFill="accent1" w:themeFillTint="33"/>
            <w:vAlign w:val="center"/>
          </w:tcPr>
          <w:p w14:paraId="687F6770" w14:textId="5E821C3E" w:rsidR="00E5706C" w:rsidRDefault="00705E3D" w:rsidP="00E5706C">
            <w:pPr>
              <w:keepNext/>
              <w:keepLines/>
              <w:suppressAutoHyphens/>
              <w:spacing w:after="0" w:line="259" w:lineRule="auto"/>
              <w:contextualSpacing w:val="0"/>
              <w:jc w:val="right"/>
            </w:pPr>
            <w:r>
              <w:t>480,500</w:t>
            </w:r>
          </w:p>
        </w:tc>
      </w:tr>
    </w:tbl>
    <w:p w14:paraId="35330AB9" w14:textId="77777777" w:rsidR="000B51DC" w:rsidRDefault="000B51DC" w:rsidP="000B51DC">
      <w:pPr>
        <w:contextualSpacing w:val="0"/>
        <w:rPr>
          <w:b/>
          <w:bCs/>
        </w:rPr>
      </w:pPr>
    </w:p>
    <w:p w14:paraId="43267B4B" w14:textId="04601BB1" w:rsidR="00753CB7" w:rsidRDefault="007F33E7" w:rsidP="00FB18E4">
      <w:pPr>
        <w:pStyle w:val="SWAHeading2"/>
        <w:ind w:left="709"/>
      </w:pPr>
      <w:bookmarkStart w:id="163" w:name="_Toc196204640"/>
      <w:bookmarkStart w:id="164" w:name="_Toc219216890"/>
      <w:bookmarkStart w:id="165" w:name="_Hlk180162088"/>
      <w:r>
        <w:t>Stakeholder</w:t>
      </w:r>
      <w:r w:rsidR="00F8559E">
        <w:t xml:space="preserve"> </w:t>
      </w:r>
      <w:r w:rsidR="00705E3D">
        <w:t>views</w:t>
      </w:r>
      <w:r w:rsidR="00646731">
        <w:t xml:space="preserve"> on the proposed WEL for </w:t>
      </w:r>
      <w:r>
        <w:t>chlorine</w:t>
      </w:r>
      <w:bookmarkEnd w:id="163"/>
      <w:bookmarkEnd w:id="164"/>
    </w:p>
    <w:p w14:paraId="3CF67C5C" w14:textId="66FDC204" w:rsidR="007F33E7" w:rsidRDefault="004531F9" w:rsidP="001E0F11">
      <w:pPr>
        <w:pStyle w:val="paragraph0"/>
        <w:spacing w:before="0" w:beforeAutospacing="0" w:after="120" w:afterAutospacing="0"/>
        <w:contextualSpacing w:val="0"/>
        <w:textAlignment w:val="baseline"/>
        <w:rPr>
          <w:rStyle w:val="normaltextrun"/>
          <w:rFonts w:ascii="Arial" w:eastAsiaTheme="majorEastAsia" w:hAnsi="Arial" w:cs="Arial"/>
          <w:sz w:val="22"/>
          <w:szCs w:val="22"/>
        </w:rPr>
      </w:pPr>
      <w:r w:rsidRPr="004531F9">
        <w:rPr>
          <w:rFonts w:ascii="Arial" w:eastAsiaTheme="majorEastAsia" w:hAnsi="Arial" w:cs="Arial"/>
          <w:sz w:val="22"/>
          <w:szCs w:val="22"/>
        </w:rPr>
        <w:t>As part of the public consultation process supporting this Decision RIS</w:t>
      </w:r>
      <w:r>
        <w:rPr>
          <w:rFonts w:ascii="Arial" w:eastAsiaTheme="majorEastAsia" w:hAnsi="Arial" w:cs="Arial"/>
          <w:sz w:val="22"/>
          <w:szCs w:val="22"/>
        </w:rPr>
        <w:t xml:space="preserve">, </w:t>
      </w:r>
      <w:r>
        <w:rPr>
          <w:rStyle w:val="normaltextrun"/>
          <w:rFonts w:ascii="Arial" w:eastAsiaTheme="majorEastAsia" w:hAnsi="Arial" w:cs="Arial"/>
          <w:sz w:val="22"/>
          <w:szCs w:val="22"/>
        </w:rPr>
        <w:t>21</w:t>
      </w:r>
      <w:r w:rsidR="00CB2B20">
        <w:rPr>
          <w:rStyle w:val="normaltextrun"/>
          <w:rFonts w:ascii="Arial" w:eastAsiaTheme="majorEastAsia" w:hAnsi="Arial" w:cs="Arial"/>
          <w:sz w:val="22"/>
          <w:szCs w:val="22"/>
        </w:rPr>
        <w:t xml:space="preserve"> submissions were received for chlorine. </w:t>
      </w:r>
    </w:p>
    <w:p w14:paraId="65ED5485" w14:textId="5AEAFD00" w:rsidR="00AB6163" w:rsidRDefault="00622418" w:rsidP="00AB6163">
      <w:pPr>
        <w:contextualSpacing w:val="0"/>
      </w:pPr>
      <w:r>
        <w:t xml:space="preserve">There was no clear majority in relation to </w:t>
      </w:r>
      <w:r w:rsidR="00FA4CD5">
        <w:t xml:space="preserve">a </w:t>
      </w:r>
      <w:r>
        <w:t>preferred option for chlorine. Eight</w:t>
      </w:r>
      <w:r w:rsidR="00AB6163">
        <w:t xml:space="preserve"> of </w:t>
      </w:r>
      <w:r>
        <w:t>the</w:t>
      </w:r>
      <w:r w:rsidR="00AB6163">
        <w:t xml:space="preserve"> 21 submissions supported the proposed health-based TWA of </w:t>
      </w:r>
      <w:r w:rsidR="00AB6163" w:rsidRPr="003A33BA">
        <w:t>0.1 ppm (0.29 mg/m</w:t>
      </w:r>
      <w:r w:rsidR="00AB6163" w:rsidRPr="003A33BA">
        <w:rPr>
          <w:vertAlign w:val="superscript"/>
        </w:rPr>
        <w:t>3</w:t>
      </w:r>
      <w:r w:rsidR="00AB6163" w:rsidRPr="003A33BA">
        <w:t>) and peak limitation of 0.4 ppm (1.16 mg/m</w:t>
      </w:r>
      <w:r w:rsidR="00AB6163" w:rsidRPr="003A33BA">
        <w:rPr>
          <w:vertAlign w:val="superscript"/>
        </w:rPr>
        <w:t>3</w:t>
      </w:r>
      <w:r w:rsidR="00AB6163" w:rsidRPr="003A33BA">
        <w:t>)</w:t>
      </w:r>
      <w:r w:rsidR="00AB6163">
        <w:t xml:space="preserve"> for chlorine</w:t>
      </w:r>
      <w:r w:rsidR="0073101F">
        <w:t xml:space="preserve"> (Option 2)</w:t>
      </w:r>
      <w:r w:rsidR="00AB6163">
        <w:t xml:space="preserve">. </w:t>
      </w:r>
    </w:p>
    <w:p w14:paraId="5CD05B37" w14:textId="4D69B1C5" w:rsidR="00AB6163" w:rsidRDefault="00AB6163" w:rsidP="00AB6163">
      <w:pPr>
        <w:contextualSpacing w:val="0"/>
      </w:pPr>
      <w:r>
        <w:t xml:space="preserve">Submissions supporting the </w:t>
      </w:r>
      <w:r w:rsidDel="003A33BA">
        <w:t xml:space="preserve">proposed </w:t>
      </w:r>
      <w:r>
        <w:t xml:space="preserve">health-based WELs were made by </w:t>
      </w:r>
      <w:r w:rsidR="007231B2">
        <w:t>individuals</w:t>
      </w:r>
      <w:r>
        <w:t>, unions, academics and an industry body. S</w:t>
      </w:r>
      <w:r w:rsidR="0061496B">
        <w:t xml:space="preserve">takeholders </w:t>
      </w:r>
      <w:r w:rsidR="00AB1668">
        <w:t xml:space="preserve">who supported Option 2 </w:t>
      </w:r>
      <w:r w:rsidR="0061496B">
        <w:t>noted their s</w:t>
      </w:r>
      <w:r>
        <w:t xml:space="preserve">upport </w:t>
      </w:r>
      <w:r w:rsidR="00AB1668">
        <w:t>was</w:t>
      </w:r>
      <w:r>
        <w:t xml:space="preserve"> based on:</w:t>
      </w:r>
    </w:p>
    <w:p w14:paraId="40483235" w14:textId="3875CC71" w:rsidR="00AB6163" w:rsidRDefault="00AB6163" w:rsidP="00B57E6C">
      <w:pPr>
        <w:pStyle w:val="ListParagraph"/>
        <w:numPr>
          <w:ilvl w:val="0"/>
          <w:numId w:val="33"/>
        </w:numPr>
        <w:spacing w:before="120" w:line="259" w:lineRule="auto"/>
        <w:ind w:left="714" w:hanging="357"/>
        <w:contextualSpacing w:val="0"/>
      </w:pPr>
      <w:r>
        <w:t>agreement that the health evidence shows exposure to chlorine can lead to eye and respiratory tract irritation, and irreversible impairment of lung function at higher concentrations</w:t>
      </w:r>
      <w:r w:rsidR="00F96FBE" w:rsidRPr="0065267C">
        <w:rPr>
          <w:rStyle w:val="FootnoteReference"/>
        </w:rPr>
        <w:footnoteReference w:id="57"/>
      </w:r>
      <w:r w:rsidR="00D57AD9">
        <w:t>,</w:t>
      </w:r>
    </w:p>
    <w:p w14:paraId="2CBB044E" w14:textId="15DB169F" w:rsidR="00AB6163" w:rsidRDefault="00AB6163" w:rsidP="00B57E6C">
      <w:pPr>
        <w:pStyle w:val="ListParagraph"/>
        <w:numPr>
          <w:ilvl w:val="0"/>
          <w:numId w:val="33"/>
        </w:numPr>
        <w:spacing w:before="120" w:line="259" w:lineRule="auto"/>
        <w:ind w:left="714" w:hanging="357"/>
        <w:contextualSpacing w:val="0"/>
      </w:pPr>
      <w:r>
        <w:t>the proposed WELs for chlorine are in line with international best practice</w:t>
      </w:r>
      <w:r w:rsidR="00F95BAF">
        <w:rPr>
          <w:rStyle w:val="FootnoteReference"/>
        </w:rPr>
        <w:footnoteReference w:id="58"/>
      </w:r>
      <w:r>
        <w:t>, and</w:t>
      </w:r>
    </w:p>
    <w:p w14:paraId="1DA0F124" w14:textId="34B74B48" w:rsidR="00AB6163" w:rsidRDefault="0000453D" w:rsidP="00B57E6C">
      <w:pPr>
        <w:pStyle w:val="ListParagraph"/>
        <w:numPr>
          <w:ilvl w:val="0"/>
          <w:numId w:val="33"/>
        </w:numPr>
        <w:spacing w:before="120" w:line="259" w:lineRule="auto"/>
        <w:ind w:left="714" w:hanging="357"/>
        <w:contextualSpacing w:val="0"/>
      </w:pPr>
      <w:r>
        <w:t xml:space="preserve">perceptions that chlorine is </w:t>
      </w:r>
      <w:r w:rsidR="00AB6163">
        <w:t xml:space="preserve">a “low risk” chemical, </w:t>
      </w:r>
      <w:r>
        <w:t>however</w:t>
      </w:r>
      <w:r w:rsidR="00AB6163">
        <w:t xml:space="preserve"> its health risks are not as well known</w:t>
      </w:r>
      <w:r w:rsidR="003F5B15">
        <w:rPr>
          <w:rStyle w:val="FootnoteReference"/>
        </w:rPr>
        <w:footnoteReference w:id="59"/>
      </w:r>
      <w:r w:rsidR="00AB6163">
        <w:t>.</w:t>
      </w:r>
    </w:p>
    <w:p w14:paraId="4639D542" w14:textId="46A6B3D4" w:rsidR="007F33E7" w:rsidRDefault="0000453D" w:rsidP="001E0F11">
      <w:pPr>
        <w:contextualSpacing w:val="0"/>
      </w:pPr>
      <w:r>
        <w:t xml:space="preserve">Ten </w:t>
      </w:r>
      <w:r w:rsidR="00CB3993">
        <w:t>of 21 submissions</w:t>
      </w:r>
      <w:r w:rsidR="00753CB7" w:rsidRPr="00F779E8">
        <w:t xml:space="preserve"> supported retaining the current peak limitation WES of 1 ppm (3 mg/m</w:t>
      </w:r>
      <w:r w:rsidR="00753CB7" w:rsidRPr="00F779E8">
        <w:rPr>
          <w:vertAlign w:val="superscript"/>
        </w:rPr>
        <w:t>3</w:t>
      </w:r>
      <w:r w:rsidR="00753CB7" w:rsidRPr="00F779E8">
        <w:t>)</w:t>
      </w:r>
      <w:r w:rsidR="001A331F">
        <w:t xml:space="preserve"> for chlorine</w:t>
      </w:r>
      <w:r w:rsidR="003C42FC">
        <w:t xml:space="preserve"> (Option 1)</w:t>
      </w:r>
      <w:r w:rsidR="00753CB7">
        <w:t xml:space="preserve">. </w:t>
      </w:r>
    </w:p>
    <w:p w14:paraId="092A93E9" w14:textId="60A55DAE" w:rsidR="00753CB7" w:rsidRDefault="00753CB7" w:rsidP="001E0F11">
      <w:pPr>
        <w:contextualSpacing w:val="0"/>
      </w:pPr>
      <w:r>
        <w:t xml:space="preserve">These submissions </w:t>
      </w:r>
      <w:r w:rsidR="001A331F">
        <w:t>were made by industry bodies,</w:t>
      </w:r>
      <w:r>
        <w:t xml:space="preserve"> a WHS regulator, an academic</w:t>
      </w:r>
      <w:r w:rsidR="001A331F">
        <w:t xml:space="preserve"> and</w:t>
      </w:r>
      <w:r>
        <w:t xml:space="preserve"> an employer organisation representative. S</w:t>
      </w:r>
      <w:r w:rsidR="0000453D">
        <w:t xml:space="preserve">takeholders </w:t>
      </w:r>
      <w:r w:rsidR="0094774F">
        <w:t xml:space="preserve">who supported Option 1 </w:t>
      </w:r>
      <w:r w:rsidR="0000453D">
        <w:t xml:space="preserve">noted </w:t>
      </w:r>
      <w:r w:rsidR="0094774F">
        <w:t xml:space="preserve">their </w:t>
      </w:r>
      <w:r w:rsidR="0000453D">
        <w:t>s</w:t>
      </w:r>
      <w:r>
        <w:t xml:space="preserve">upport </w:t>
      </w:r>
      <w:r w:rsidR="0094774F">
        <w:t>was</w:t>
      </w:r>
      <w:r>
        <w:t xml:space="preserve"> based on:</w:t>
      </w:r>
    </w:p>
    <w:p w14:paraId="4179189A" w14:textId="254420A4" w:rsidR="00753CB7" w:rsidRPr="007F33E7" w:rsidRDefault="00753CB7" w:rsidP="00B57E6C">
      <w:pPr>
        <w:pStyle w:val="ListParagraph"/>
        <w:numPr>
          <w:ilvl w:val="0"/>
          <w:numId w:val="34"/>
        </w:numPr>
        <w:spacing w:before="120" w:after="0" w:line="259" w:lineRule="auto"/>
        <w:ind w:left="714" w:hanging="357"/>
        <w:contextualSpacing w:val="0"/>
        <w:rPr>
          <w:rFonts w:cs="Arial"/>
        </w:rPr>
      </w:pPr>
      <w:bookmarkStart w:id="166" w:name="_Toc196204641"/>
      <w:r w:rsidRPr="00E80AF6">
        <w:rPr>
          <w:rFonts w:eastAsiaTheme="majorEastAsia" w:cs="Arial"/>
        </w:rPr>
        <w:t xml:space="preserve">the </w:t>
      </w:r>
      <w:r w:rsidR="00ED4269">
        <w:rPr>
          <w:rFonts w:eastAsiaTheme="majorEastAsia" w:cs="Arial"/>
        </w:rPr>
        <w:t xml:space="preserve">view that </w:t>
      </w:r>
      <w:r w:rsidRPr="00E80AF6">
        <w:rPr>
          <w:rFonts w:eastAsiaTheme="majorEastAsia" w:cs="Arial"/>
        </w:rPr>
        <w:t>the proposed WEL for chlorine is not supported by health burden data</w:t>
      </w:r>
      <w:bookmarkEnd w:id="166"/>
      <w:r w:rsidR="005049B3" w:rsidRPr="00F64DF5">
        <w:rPr>
          <w:rStyle w:val="FootnoteReference"/>
          <w:rFonts w:eastAsiaTheme="majorEastAsia" w:cs="Arial"/>
        </w:rPr>
        <w:footnoteReference w:id="60"/>
      </w:r>
      <w:r w:rsidR="00D57AD9">
        <w:rPr>
          <w:rFonts w:eastAsiaTheme="majorEastAsia" w:cs="Arial"/>
        </w:rPr>
        <w:t>,</w:t>
      </w:r>
    </w:p>
    <w:p w14:paraId="5DB1A64F" w14:textId="5ACC1F17" w:rsidR="00753CB7" w:rsidRPr="007F33E7" w:rsidRDefault="00753CB7" w:rsidP="00B57E6C">
      <w:pPr>
        <w:pStyle w:val="ListParagraph"/>
        <w:numPr>
          <w:ilvl w:val="0"/>
          <w:numId w:val="34"/>
        </w:numPr>
        <w:spacing w:before="120" w:after="160" w:line="259" w:lineRule="auto"/>
        <w:ind w:left="714" w:hanging="357"/>
        <w:contextualSpacing w:val="0"/>
        <w:rPr>
          <w:rFonts w:cs="Arial"/>
        </w:rPr>
      </w:pPr>
      <w:bookmarkStart w:id="169" w:name="_Toc196204642"/>
      <w:r w:rsidRPr="007F33E7">
        <w:rPr>
          <w:rFonts w:cs="Arial"/>
        </w:rPr>
        <w:t>the proposed WEL seems impractical to measure reliably</w:t>
      </w:r>
      <w:bookmarkEnd w:id="169"/>
      <w:r w:rsidR="00227285" w:rsidRPr="00F64DF5">
        <w:rPr>
          <w:rStyle w:val="FootnoteReference"/>
          <w:rFonts w:cs="Arial"/>
        </w:rPr>
        <w:footnoteReference w:id="61"/>
      </w:r>
      <w:r w:rsidR="00D57AD9">
        <w:rPr>
          <w:rFonts w:cs="Arial"/>
        </w:rPr>
        <w:t>,</w:t>
      </w:r>
    </w:p>
    <w:p w14:paraId="2F9901ED" w14:textId="58818F9C" w:rsidR="00753CB7" w:rsidRPr="007F33E7" w:rsidRDefault="00753CB7" w:rsidP="00B57E6C">
      <w:pPr>
        <w:pStyle w:val="ListParagraph"/>
        <w:numPr>
          <w:ilvl w:val="0"/>
          <w:numId w:val="34"/>
        </w:numPr>
        <w:spacing w:before="120" w:after="160" w:line="259" w:lineRule="auto"/>
        <w:ind w:left="714" w:hanging="357"/>
        <w:contextualSpacing w:val="0"/>
        <w:rPr>
          <w:rFonts w:cs="Arial"/>
        </w:rPr>
      </w:pPr>
      <w:bookmarkStart w:id="172" w:name="_Toc196204643"/>
      <w:r w:rsidRPr="00E80AF6">
        <w:rPr>
          <w:rFonts w:eastAsiaTheme="majorEastAsia" w:cs="Arial"/>
        </w:rPr>
        <w:lastRenderedPageBreak/>
        <w:t xml:space="preserve">the proposed WEL is inconsistent with </w:t>
      </w:r>
      <w:r w:rsidR="00823C40">
        <w:rPr>
          <w:rFonts w:eastAsiaTheme="majorEastAsia" w:cs="Arial"/>
        </w:rPr>
        <w:t xml:space="preserve">other </w:t>
      </w:r>
      <w:r w:rsidRPr="00E80AF6">
        <w:rPr>
          <w:rFonts w:eastAsiaTheme="majorEastAsia" w:cs="Arial"/>
        </w:rPr>
        <w:t>international jurisdictions</w:t>
      </w:r>
      <w:bookmarkStart w:id="173" w:name="_Toc196204644"/>
      <w:bookmarkEnd w:id="172"/>
      <w:r w:rsidR="0009766B" w:rsidRPr="00F64DF5">
        <w:rPr>
          <w:rStyle w:val="FootnoteReference"/>
          <w:rFonts w:eastAsiaTheme="majorEastAsia" w:cs="Arial"/>
        </w:rPr>
        <w:footnoteReference w:id="62"/>
      </w:r>
      <w:bookmarkEnd w:id="173"/>
      <w:r w:rsidR="00D57AD9">
        <w:rPr>
          <w:rFonts w:eastAsiaTheme="majorEastAsia" w:cs="Arial"/>
        </w:rPr>
        <w:t>,</w:t>
      </w:r>
    </w:p>
    <w:p w14:paraId="5A3677F3" w14:textId="47B3E8F3" w:rsidR="00F25756" w:rsidRDefault="00753CB7" w:rsidP="00B57E6C">
      <w:pPr>
        <w:pStyle w:val="paragraph0"/>
        <w:numPr>
          <w:ilvl w:val="0"/>
          <w:numId w:val="34"/>
        </w:numPr>
        <w:spacing w:before="120" w:beforeAutospacing="0" w:after="240" w:afterAutospacing="0" w:line="259" w:lineRule="auto"/>
        <w:ind w:left="714" w:hanging="357"/>
        <w:contextualSpacing w:val="0"/>
        <w:textAlignment w:val="baseline"/>
        <w:rPr>
          <w:rFonts w:ascii="Arial" w:eastAsiaTheme="majorEastAsia" w:hAnsi="Arial" w:cs="Arial"/>
          <w:sz w:val="22"/>
          <w:szCs w:val="22"/>
        </w:rPr>
      </w:pPr>
      <w:r w:rsidRPr="00E80AF6">
        <w:rPr>
          <w:rFonts w:ascii="Arial" w:eastAsiaTheme="majorEastAsia" w:hAnsi="Arial" w:cs="Arial"/>
          <w:sz w:val="22"/>
          <w:szCs w:val="22"/>
        </w:rPr>
        <w:t xml:space="preserve">the preliminary </w:t>
      </w:r>
      <w:r w:rsidR="00CE116F">
        <w:rPr>
          <w:rFonts w:ascii="Arial" w:eastAsiaTheme="majorEastAsia" w:hAnsi="Arial" w:cs="Arial"/>
          <w:sz w:val="22"/>
          <w:szCs w:val="22"/>
        </w:rPr>
        <w:t>estimates</w:t>
      </w:r>
      <w:r w:rsidR="001D375C">
        <w:rPr>
          <w:rFonts w:ascii="Arial" w:eastAsiaTheme="majorEastAsia" w:hAnsi="Arial" w:cs="Arial"/>
          <w:sz w:val="22"/>
          <w:szCs w:val="22"/>
        </w:rPr>
        <w:t>, by Nous Group,</w:t>
      </w:r>
      <w:r w:rsidR="00CE116F">
        <w:rPr>
          <w:rFonts w:ascii="Arial" w:eastAsiaTheme="majorEastAsia" w:hAnsi="Arial" w:cs="Arial"/>
          <w:sz w:val="22"/>
          <w:szCs w:val="22"/>
        </w:rPr>
        <w:t xml:space="preserve"> of </w:t>
      </w:r>
      <w:r w:rsidR="00004A53">
        <w:rPr>
          <w:rFonts w:ascii="Arial" w:eastAsiaTheme="majorEastAsia" w:hAnsi="Arial" w:cs="Arial"/>
          <w:sz w:val="22"/>
          <w:szCs w:val="22"/>
        </w:rPr>
        <w:t>cost</w:t>
      </w:r>
      <w:r w:rsidR="00CE116F">
        <w:rPr>
          <w:rFonts w:ascii="Arial" w:eastAsiaTheme="majorEastAsia" w:hAnsi="Arial" w:cs="Arial"/>
          <w:sz w:val="22"/>
          <w:szCs w:val="22"/>
        </w:rPr>
        <w:t xml:space="preserve">s and </w:t>
      </w:r>
      <w:r w:rsidR="00004A53">
        <w:rPr>
          <w:rFonts w:ascii="Arial" w:eastAsiaTheme="majorEastAsia" w:hAnsi="Arial" w:cs="Arial"/>
          <w:sz w:val="22"/>
          <w:szCs w:val="22"/>
        </w:rPr>
        <w:t>benefit</w:t>
      </w:r>
      <w:r w:rsidR="00CE116F">
        <w:rPr>
          <w:rFonts w:ascii="Arial" w:eastAsiaTheme="majorEastAsia" w:hAnsi="Arial" w:cs="Arial"/>
          <w:sz w:val="22"/>
          <w:szCs w:val="22"/>
        </w:rPr>
        <w:t>s</w:t>
      </w:r>
      <w:r w:rsidRPr="00E80AF6">
        <w:rPr>
          <w:rFonts w:ascii="Arial" w:eastAsiaTheme="majorEastAsia" w:hAnsi="Arial" w:cs="Arial"/>
          <w:sz w:val="22"/>
          <w:szCs w:val="22"/>
        </w:rPr>
        <w:t xml:space="preserve"> for chlorine</w:t>
      </w:r>
      <w:r w:rsidR="001D375C">
        <w:rPr>
          <w:rFonts w:ascii="Arial" w:eastAsiaTheme="majorEastAsia" w:hAnsi="Arial" w:cs="Arial"/>
          <w:sz w:val="22"/>
          <w:szCs w:val="22"/>
        </w:rPr>
        <w:t xml:space="preserve">, which suggests </w:t>
      </w:r>
      <w:r w:rsidR="00EE4C0A">
        <w:rPr>
          <w:rFonts w:ascii="Arial" w:eastAsiaTheme="majorEastAsia" w:hAnsi="Arial" w:cs="Arial"/>
          <w:sz w:val="22"/>
          <w:szCs w:val="22"/>
        </w:rPr>
        <w:t xml:space="preserve">the estimated </w:t>
      </w:r>
      <w:r w:rsidRPr="00E80AF6">
        <w:rPr>
          <w:rFonts w:ascii="Arial" w:eastAsiaTheme="majorEastAsia" w:hAnsi="Arial" w:cs="Arial"/>
          <w:sz w:val="22"/>
          <w:szCs w:val="22"/>
        </w:rPr>
        <w:t xml:space="preserve">costs for Option 2 </w:t>
      </w:r>
      <w:r w:rsidR="00EE4C0A">
        <w:rPr>
          <w:rFonts w:ascii="Arial" w:eastAsiaTheme="majorEastAsia" w:hAnsi="Arial" w:cs="Arial"/>
          <w:sz w:val="22"/>
          <w:szCs w:val="22"/>
        </w:rPr>
        <w:t xml:space="preserve">were higher than the estimated </w:t>
      </w:r>
      <w:r w:rsidRPr="00E80AF6">
        <w:rPr>
          <w:rFonts w:ascii="Arial" w:eastAsiaTheme="majorEastAsia" w:hAnsi="Arial" w:cs="Arial"/>
          <w:sz w:val="22"/>
          <w:szCs w:val="22"/>
        </w:rPr>
        <w:t>benefits</w:t>
      </w:r>
      <w:r w:rsidR="0094774F" w:rsidRPr="00CA1F6E">
        <w:rPr>
          <w:rStyle w:val="FootnoteReference"/>
          <w:rFonts w:ascii="Arial" w:eastAsiaTheme="majorEastAsia" w:hAnsi="Arial" w:cs="Arial"/>
          <w:sz w:val="22"/>
          <w:szCs w:val="22"/>
        </w:rPr>
        <w:footnoteReference w:id="63"/>
      </w:r>
      <w:r w:rsidR="00D67439">
        <w:rPr>
          <w:rFonts w:ascii="Arial" w:eastAsiaTheme="majorEastAsia" w:hAnsi="Arial" w:cs="Arial"/>
          <w:sz w:val="22"/>
          <w:szCs w:val="22"/>
        </w:rPr>
        <w:t xml:space="preserve">, </w:t>
      </w:r>
      <w:r w:rsidR="00F25756">
        <w:rPr>
          <w:rFonts w:ascii="Arial" w:eastAsiaTheme="majorEastAsia" w:hAnsi="Arial" w:cs="Arial"/>
          <w:sz w:val="22"/>
          <w:szCs w:val="22"/>
        </w:rPr>
        <w:t xml:space="preserve">and </w:t>
      </w:r>
    </w:p>
    <w:p w14:paraId="1BEBB1F3" w14:textId="5BFC9C39" w:rsidR="00753CB7" w:rsidRPr="00AE5D4B" w:rsidRDefault="006C1546" w:rsidP="00AE5D4B">
      <w:pPr>
        <w:numPr>
          <w:ilvl w:val="0"/>
          <w:numId w:val="34"/>
        </w:numPr>
        <w:spacing w:before="120" w:after="240" w:line="240" w:lineRule="auto"/>
        <w:contextualSpacing w:val="0"/>
        <w:textAlignment w:val="baseline"/>
        <w:rPr>
          <w:rFonts w:eastAsiaTheme="majorEastAsia" w:cs="Arial"/>
          <w:sz w:val="24"/>
          <w:lang w:eastAsia="en-AU"/>
        </w:rPr>
      </w:pPr>
      <w:r>
        <w:rPr>
          <w:rFonts w:eastAsiaTheme="majorEastAsia" w:cs="Arial"/>
          <w:szCs w:val="22"/>
          <w:lang w:eastAsia="en-AU"/>
        </w:rPr>
        <w:t>the</w:t>
      </w:r>
      <w:r w:rsidR="00F25756" w:rsidRPr="009911EB">
        <w:rPr>
          <w:rFonts w:eastAsiaTheme="majorEastAsia" w:cs="Arial"/>
          <w:szCs w:val="22"/>
          <w:lang w:eastAsia="en-AU"/>
        </w:rPr>
        <w:t xml:space="preserve"> practical and feasibility issues such as measurement, compliance and costs</w:t>
      </w:r>
      <w:r w:rsidR="00F25756" w:rsidRPr="00BB5A9F">
        <w:rPr>
          <w:rFonts w:eastAsiaTheme="majorEastAsia" w:cs="Arial"/>
          <w:szCs w:val="22"/>
          <w:vertAlign w:val="superscript"/>
          <w:lang w:eastAsia="en-AU"/>
        </w:rPr>
        <w:footnoteReference w:id="64"/>
      </w:r>
      <w:r w:rsidR="00F25756" w:rsidRPr="009911EB">
        <w:rPr>
          <w:rFonts w:eastAsiaTheme="majorEastAsia" w:cs="Arial"/>
          <w:szCs w:val="22"/>
          <w:lang w:eastAsia="en-AU"/>
        </w:rPr>
        <w:t xml:space="preserve">. </w:t>
      </w:r>
      <w:r w:rsidR="00753CB7" w:rsidRPr="00F25756">
        <w:rPr>
          <w:rFonts w:eastAsiaTheme="majorEastAsia" w:cs="Arial"/>
          <w:szCs w:val="22"/>
        </w:rPr>
        <w:t xml:space="preserve"> </w:t>
      </w:r>
    </w:p>
    <w:p w14:paraId="53EB19C7" w14:textId="1332010C" w:rsidR="003848D9" w:rsidRDefault="00B8591D" w:rsidP="00753CB7">
      <w:r>
        <w:t xml:space="preserve">Three </w:t>
      </w:r>
      <w:r w:rsidR="00646731">
        <w:t xml:space="preserve">further </w:t>
      </w:r>
      <w:r w:rsidR="00753CB7">
        <w:t>submissions did not provide a clear position</w:t>
      </w:r>
      <w:r w:rsidR="00D95AFB" w:rsidRPr="00CA1F6E">
        <w:rPr>
          <w:rStyle w:val="FootnoteReference"/>
        </w:rPr>
        <w:footnoteReference w:id="65"/>
      </w:r>
      <w:r w:rsidR="00753CB7">
        <w:t xml:space="preserve">. </w:t>
      </w:r>
    </w:p>
    <w:p w14:paraId="46BFF262" w14:textId="62B28E5B" w:rsidR="003848D9" w:rsidRDefault="00696573" w:rsidP="00696573">
      <w:pPr>
        <w:pStyle w:val="SWAHeading3"/>
      </w:pPr>
      <w:r>
        <w:t>Alternative WEL</w:t>
      </w:r>
      <w:r w:rsidR="00F2027D">
        <w:t>s</w:t>
      </w:r>
      <w:r>
        <w:t xml:space="preserve"> suggested by stakeholders</w:t>
      </w:r>
    </w:p>
    <w:p w14:paraId="25857743" w14:textId="67044762" w:rsidR="00E211CC" w:rsidRDefault="00717E48" w:rsidP="00696573">
      <w:pPr>
        <w:pStyle w:val="Paragraph"/>
        <w:rPr>
          <w:lang w:eastAsia="en-US"/>
        </w:rPr>
      </w:pPr>
      <w:r>
        <w:rPr>
          <w:lang w:eastAsia="en-US"/>
        </w:rPr>
        <w:t xml:space="preserve">Some stakeholders </w:t>
      </w:r>
      <w:r w:rsidR="00AB260A">
        <w:rPr>
          <w:lang w:eastAsia="en-US"/>
        </w:rPr>
        <w:t>put</w:t>
      </w:r>
      <w:r w:rsidR="00F70D64">
        <w:rPr>
          <w:lang w:eastAsia="en-US"/>
        </w:rPr>
        <w:t xml:space="preserve"> forward</w:t>
      </w:r>
      <w:r>
        <w:rPr>
          <w:lang w:eastAsia="en-US"/>
        </w:rPr>
        <w:t xml:space="preserve"> alternative exposure limits</w:t>
      </w:r>
      <w:r w:rsidR="00F70D64">
        <w:rPr>
          <w:lang w:eastAsia="en-US"/>
        </w:rPr>
        <w:t xml:space="preserve"> in their submission</w:t>
      </w:r>
      <w:r w:rsidR="005E7F35">
        <w:rPr>
          <w:lang w:eastAsia="en-US"/>
        </w:rPr>
        <w:t>s</w:t>
      </w:r>
      <w:r>
        <w:rPr>
          <w:lang w:eastAsia="en-US"/>
        </w:rPr>
        <w:t xml:space="preserve"> </w:t>
      </w:r>
      <w:r w:rsidR="00AB260A">
        <w:rPr>
          <w:lang w:eastAsia="en-US"/>
        </w:rPr>
        <w:t xml:space="preserve">for </w:t>
      </w:r>
      <w:r w:rsidR="005E7F35">
        <w:rPr>
          <w:lang w:eastAsia="en-US"/>
        </w:rPr>
        <w:t>chlorine</w:t>
      </w:r>
      <w:r w:rsidR="00AB260A">
        <w:rPr>
          <w:lang w:eastAsia="en-US"/>
        </w:rPr>
        <w:t>.</w:t>
      </w:r>
      <w:r w:rsidR="005E7F35">
        <w:rPr>
          <w:lang w:eastAsia="en-US"/>
        </w:rPr>
        <w:t xml:space="preserve"> These</w:t>
      </w:r>
      <w:r w:rsidR="00541D95">
        <w:rPr>
          <w:lang w:eastAsia="en-US"/>
        </w:rPr>
        <w:t xml:space="preserve"> were considered </w:t>
      </w:r>
      <w:r w:rsidR="00C950FD">
        <w:rPr>
          <w:lang w:eastAsia="en-US"/>
        </w:rPr>
        <w:t>against the criteria</w:t>
      </w:r>
      <w:r w:rsidR="007F6ADD">
        <w:rPr>
          <w:lang w:eastAsia="en-US"/>
        </w:rPr>
        <w:t xml:space="preserve"> contained within</w:t>
      </w:r>
      <w:r w:rsidR="00541D95">
        <w:rPr>
          <w:lang w:eastAsia="en-US"/>
        </w:rPr>
        <w:t xml:space="preserve"> the WES review methodology </w:t>
      </w:r>
      <w:r w:rsidR="00D26471">
        <w:rPr>
          <w:lang w:eastAsia="en-US"/>
        </w:rPr>
        <w:t>agreed by WHS ministers</w:t>
      </w:r>
      <w:r w:rsidR="006908DF">
        <w:rPr>
          <w:lang w:eastAsia="en-US"/>
        </w:rPr>
        <w:t>.</w:t>
      </w:r>
      <w:r w:rsidR="00AB260A">
        <w:rPr>
          <w:lang w:eastAsia="en-US"/>
        </w:rPr>
        <w:t xml:space="preserve"> </w:t>
      </w:r>
    </w:p>
    <w:p w14:paraId="1FFAD18D" w14:textId="449F1215" w:rsidR="00696573" w:rsidRDefault="00BC0CEA" w:rsidP="00696573">
      <w:pPr>
        <w:pStyle w:val="Paragraph"/>
        <w:rPr>
          <w:lang w:eastAsia="en-US"/>
        </w:rPr>
      </w:pPr>
      <w:r>
        <w:rPr>
          <w:lang w:eastAsia="en-US"/>
        </w:rPr>
        <w:t xml:space="preserve">Three submissions </w:t>
      </w:r>
      <w:r w:rsidR="000A3FD7">
        <w:rPr>
          <w:lang w:eastAsia="en-US"/>
        </w:rPr>
        <w:t>suggested alternative WELs for chlorine</w:t>
      </w:r>
      <w:r w:rsidR="00FC0604">
        <w:rPr>
          <w:lang w:eastAsia="en-US"/>
        </w:rPr>
        <w:t>:</w:t>
      </w:r>
      <w:r w:rsidR="00CA1F6E">
        <w:rPr>
          <w:lang w:eastAsia="en-US"/>
        </w:rPr>
        <w:t xml:space="preserve"> </w:t>
      </w:r>
    </w:p>
    <w:p w14:paraId="566E8440" w14:textId="008E3A92" w:rsidR="00982205" w:rsidRDefault="00982205" w:rsidP="00A2768E">
      <w:pPr>
        <w:pStyle w:val="Paragraph"/>
        <w:keepNext w:val="0"/>
        <w:numPr>
          <w:ilvl w:val="0"/>
          <w:numId w:val="163"/>
        </w:numPr>
        <w:ind w:left="714" w:hanging="357"/>
        <w:rPr>
          <w:lang w:eastAsia="en-US"/>
        </w:rPr>
      </w:pPr>
      <w:r>
        <w:rPr>
          <w:lang w:eastAsia="en-US"/>
        </w:rPr>
        <w:t xml:space="preserve">Two submissions suggested </w:t>
      </w:r>
      <w:r w:rsidR="00FC0604">
        <w:rPr>
          <w:lang w:eastAsia="en-US"/>
        </w:rPr>
        <w:t xml:space="preserve">a </w:t>
      </w:r>
      <w:r w:rsidR="00D92071">
        <w:rPr>
          <w:lang w:eastAsia="en-US"/>
        </w:rPr>
        <w:t xml:space="preserve">TWA of 0.5 ppm and STEL of </w:t>
      </w:r>
      <w:r w:rsidR="00710243">
        <w:rPr>
          <w:lang w:eastAsia="en-US"/>
        </w:rPr>
        <w:t>1 ppm</w:t>
      </w:r>
      <w:r w:rsidR="00B15542">
        <w:rPr>
          <w:rStyle w:val="FootnoteReference"/>
          <w:lang w:eastAsia="en-US"/>
        </w:rPr>
        <w:footnoteReference w:id="66"/>
      </w:r>
      <w:r>
        <w:rPr>
          <w:lang w:eastAsia="en-US"/>
        </w:rPr>
        <w:t>:</w:t>
      </w:r>
    </w:p>
    <w:p w14:paraId="35830AEC" w14:textId="1C84E23A" w:rsidR="00982205" w:rsidRDefault="00982205" w:rsidP="00A2768E">
      <w:pPr>
        <w:pStyle w:val="Paragraph"/>
        <w:keepNext w:val="0"/>
        <w:numPr>
          <w:ilvl w:val="1"/>
          <w:numId w:val="163"/>
        </w:numPr>
        <w:rPr>
          <w:lang w:eastAsia="en-US"/>
        </w:rPr>
      </w:pPr>
      <w:r>
        <w:rPr>
          <w:lang w:eastAsia="en-US"/>
        </w:rPr>
        <w:t>The</w:t>
      </w:r>
      <w:r w:rsidR="00F259A7">
        <w:rPr>
          <w:lang w:eastAsia="en-US"/>
        </w:rPr>
        <w:t xml:space="preserve"> alternative TWA </w:t>
      </w:r>
      <w:r>
        <w:rPr>
          <w:lang w:eastAsia="en-US"/>
        </w:rPr>
        <w:t xml:space="preserve">was </w:t>
      </w:r>
      <w:r w:rsidR="00F259A7">
        <w:rPr>
          <w:lang w:eastAsia="en-US"/>
        </w:rPr>
        <w:t xml:space="preserve">suggested </w:t>
      </w:r>
      <w:r w:rsidR="003E0190">
        <w:rPr>
          <w:lang w:eastAsia="en-US"/>
        </w:rPr>
        <w:t>based on</w:t>
      </w:r>
      <w:r w:rsidR="00F259A7">
        <w:rPr>
          <w:lang w:eastAsia="en-US"/>
        </w:rPr>
        <w:t xml:space="preserve"> </w:t>
      </w:r>
      <w:r w:rsidR="007B2A68">
        <w:rPr>
          <w:lang w:eastAsia="en-US"/>
        </w:rPr>
        <w:t xml:space="preserve">other health studies summarised in </w:t>
      </w:r>
      <w:r w:rsidR="00271A4A">
        <w:rPr>
          <w:lang w:eastAsia="en-US"/>
        </w:rPr>
        <w:t>the</w:t>
      </w:r>
      <w:r w:rsidR="007B2A68">
        <w:rPr>
          <w:lang w:eastAsia="en-US"/>
        </w:rPr>
        <w:t xml:space="preserve"> evaluation report </w:t>
      </w:r>
      <w:r w:rsidR="00271A4A">
        <w:rPr>
          <w:lang w:eastAsia="en-US"/>
        </w:rPr>
        <w:t xml:space="preserve">for chlorine </w:t>
      </w:r>
      <w:r w:rsidR="007B2A68">
        <w:rPr>
          <w:lang w:eastAsia="en-US"/>
        </w:rPr>
        <w:t xml:space="preserve">that show </w:t>
      </w:r>
      <w:r w:rsidR="00CE365A">
        <w:rPr>
          <w:lang w:eastAsia="en-US"/>
        </w:rPr>
        <w:t>no inflammation and irritation effects</w:t>
      </w:r>
      <w:r w:rsidR="00FC0604">
        <w:rPr>
          <w:lang w:eastAsia="en-US"/>
        </w:rPr>
        <w:t xml:space="preserve"> in </w:t>
      </w:r>
      <w:r w:rsidR="006A3517">
        <w:rPr>
          <w:lang w:eastAsia="en-US"/>
        </w:rPr>
        <w:t>humans</w:t>
      </w:r>
      <w:r w:rsidR="00CE365A">
        <w:rPr>
          <w:lang w:eastAsia="en-US"/>
        </w:rPr>
        <w:t xml:space="preserve"> at 0.5 ppm</w:t>
      </w:r>
      <w:r>
        <w:rPr>
          <w:lang w:eastAsia="en-US"/>
        </w:rPr>
        <w:t xml:space="preserve">. </w:t>
      </w:r>
    </w:p>
    <w:p w14:paraId="7BEE36EA" w14:textId="3A090F78" w:rsidR="00982205" w:rsidRDefault="00982205" w:rsidP="00A2768E">
      <w:pPr>
        <w:pStyle w:val="Paragraph"/>
        <w:numPr>
          <w:ilvl w:val="1"/>
          <w:numId w:val="163"/>
        </w:numPr>
      </w:pPr>
      <w:r w:rsidRPr="00982205">
        <w:t xml:space="preserve">The health studies used as a basis to suggest the alternative TWA were considered as part of the WES review by the independent expert. No new health evidence was submitted to reconsider these health studies. </w:t>
      </w:r>
    </w:p>
    <w:p w14:paraId="14049C6D" w14:textId="0EA29367" w:rsidR="000A3FD7" w:rsidRDefault="00982205" w:rsidP="00A2768E">
      <w:pPr>
        <w:pStyle w:val="Paragraph"/>
        <w:keepNext w:val="0"/>
        <w:numPr>
          <w:ilvl w:val="1"/>
          <w:numId w:val="163"/>
        </w:numPr>
        <w:rPr>
          <w:lang w:eastAsia="en-US"/>
        </w:rPr>
      </w:pPr>
      <w:r>
        <w:rPr>
          <w:lang w:eastAsia="en-US"/>
        </w:rPr>
        <w:t>T</w:t>
      </w:r>
      <w:r w:rsidR="00F259A7">
        <w:rPr>
          <w:lang w:eastAsia="en-US"/>
        </w:rPr>
        <w:t>he alternative STEL was suggested on the basis of</w:t>
      </w:r>
      <w:r w:rsidR="00FD32CA">
        <w:rPr>
          <w:lang w:eastAsia="en-US"/>
        </w:rPr>
        <w:t xml:space="preserve"> the United States’ Agency for Toxic Substances and Disease Registry (ATSDR)</w:t>
      </w:r>
      <w:r w:rsidR="00763364">
        <w:rPr>
          <w:lang w:eastAsia="en-US"/>
        </w:rPr>
        <w:t xml:space="preserve"> </w:t>
      </w:r>
      <w:r w:rsidR="00AC0EFE">
        <w:rPr>
          <w:lang w:eastAsia="en-US"/>
        </w:rPr>
        <w:t>toxicological report profile for chlorine, which</w:t>
      </w:r>
      <w:r w:rsidR="005126B6">
        <w:rPr>
          <w:lang w:eastAsia="en-US"/>
        </w:rPr>
        <w:t xml:space="preserve"> state</w:t>
      </w:r>
      <w:r w:rsidR="00AC0EFE">
        <w:rPr>
          <w:lang w:eastAsia="en-US"/>
        </w:rPr>
        <w:t>s</w:t>
      </w:r>
      <w:r w:rsidR="005126B6">
        <w:rPr>
          <w:lang w:eastAsia="en-US"/>
        </w:rPr>
        <w:t xml:space="preserve"> there</w:t>
      </w:r>
      <w:r w:rsidR="00763364">
        <w:rPr>
          <w:lang w:eastAsia="en-US"/>
        </w:rPr>
        <w:t xml:space="preserve"> is no significant </w:t>
      </w:r>
      <w:r w:rsidR="005B0ACE">
        <w:rPr>
          <w:lang w:eastAsia="en-US"/>
        </w:rPr>
        <w:t xml:space="preserve">harmful effects observed in workers exposed for years at around 1 ppm. </w:t>
      </w:r>
    </w:p>
    <w:p w14:paraId="1B73B7B9" w14:textId="0C56FB89" w:rsidR="00B1687D" w:rsidRDefault="00B1687D" w:rsidP="00A2768E">
      <w:pPr>
        <w:pStyle w:val="Paragraph"/>
        <w:keepNext w:val="0"/>
        <w:numPr>
          <w:ilvl w:val="1"/>
          <w:numId w:val="163"/>
        </w:numPr>
        <w:ind w:left="1434" w:hanging="357"/>
        <w:rPr>
          <w:lang w:eastAsia="en-US"/>
        </w:rPr>
      </w:pPr>
      <w:r>
        <w:rPr>
          <w:lang w:eastAsia="en-US"/>
        </w:rPr>
        <w:t>The ATSDR</w:t>
      </w:r>
      <w:r w:rsidR="00982205">
        <w:rPr>
          <w:lang w:eastAsia="en-US"/>
        </w:rPr>
        <w:t xml:space="preserve"> </w:t>
      </w:r>
      <w:r>
        <w:rPr>
          <w:lang w:eastAsia="en-US"/>
        </w:rPr>
        <w:t xml:space="preserve">is a non-regulatory, environmental public health agency. </w:t>
      </w:r>
      <w:r w:rsidR="007B58CD">
        <w:rPr>
          <w:lang w:eastAsia="en-US"/>
        </w:rPr>
        <w:t xml:space="preserve">The ATSDR does not recommend an exposure limit and </w:t>
      </w:r>
      <w:r w:rsidR="001056BD">
        <w:rPr>
          <w:lang w:eastAsia="en-US"/>
        </w:rPr>
        <w:t>i</w:t>
      </w:r>
      <w:r w:rsidR="007B58CD">
        <w:rPr>
          <w:lang w:eastAsia="en-US"/>
        </w:rPr>
        <w:t>s not an appro</w:t>
      </w:r>
      <w:r w:rsidR="001056BD">
        <w:rPr>
          <w:lang w:eastAsia="en-US"/>
        </w:rPr>
        <w:t>ved</w:t>
      </w:r>
      <w:r w:rsidR="007B58CD">
        <w:rPr>
          <w:lang w:eastAsia="en-US"/>
        </w:rPr>
        <w:t xml:space="preserve"> source for the determination of a WEL (per the WES review methodology). </w:t>
      </w:r>
      <w:r w:rsidR="006C529C">
        <w:rPr>
          <w:lang w:eastAsia="en-US"/>
        </w:rPr>
        <w:t xml:space="preserve"> </w:t>
      </w:r>
    </w:p>
    <w:p w14:paraId="480544D4" w14:textId="2D2FA9BE" w:rsidR="003A3AA9" w:rsidRDefault="00AB67D2" w:rsidP="004C6591">
      <w:pPr>
        <w:pStyle w:val="Paragraph"/>
        <w:keepNext w:val="0"/>
        <w:numPr>
          <w:ilvl w:val="0"/>
          <w:numId w:val="163"/>
        </w:numPr>
        <w:ind w:hanging="357"/>
        <w:rPr>
          <w:lang w:eastAsia="en-US"/>
        </w:rPr>
      </w:pPr>
      <w:r>
        <w:rPr>
          <w:lang w:eastAsia="en-US"/>
        </w:rPr>
        <w:t>A</w:t>
      </w:r>
      <w:r w:rsidR="003A3AA9">
        <w:rPr>
          <w:lang w:eastAsia="en-US"/>
        </w:rPr>
        <w:t xml:space="preserve"> TWA of 0.5 ppm and a peak limitation of 1 ppm</w:t>
      </w:r>
      <w:r w:rsidR="00E137C0">
        <w:rPr>
          <w:rStyle w:val="FootnoteReference"/>
          <w:lang w:eastAsia="en-US"/>
        </w:rPr>
        <w:footnoteReference w:id="67"/>
      </w:r>
    </w:p>
    <w:p w14:paraId="261D8F62" w14:textId="01BD66C6" w:rsidR="00A62E4C" w:rsidRDefault="00A62E4C" w:rsidP="004C6591">
      <w:pPr>
        <w:pStyle w:val="Paragraph"/>
        <w:keepNext w:val="0"/>
        <w:numPr>
          <w:ilvl w:val="1"/>
          <w:numId w:val="163"/>
        </w:numPr>
        <w:ind w:hanging="357"/>
        <w:rPr>
          <w:lang w:eastAsia="en-US"/>
        </w:rPr>
      </w:pPr>
      <w:r>
        <w:rPr>
          <w:lang w:eastAsia="en-US"/>
        </w:rPr>
        <w:t xml:space="preserve">No health evidence was provided to </w:t>
      </w:r>
      <w:r w:rsidR="00E137C0">
        <w:rPr>
          <w:lang w:eastAsia="en-US"/>
        </w:rPr>
        <w:t xml:space="preserve">support the suggestion of either alternative TWA or peak limitation. </w:t>
      </w:r>
    </w:p>
    <w:p w14:paraId="3B83FEAE" w14:textId="1ED8F6B8" w:rsidR="00753CB7" w:rsidRPr="00A02CC9" w:rsidRDefault="00A858AC" w:rsidP="004C6591">
      <w:pPr>
        <w:pStyle w:val="SWAHeading3"/>
        <w:keepNext/>
        <w:keepLines/>
      </w:pPr>
      <w:r>
        <w:lastRenderedPageBreak/>
        <w:t>Considerations in relation to</w:t>
      </w:r>
      <w:r w:rsidR="00753CB7" w:rsidRPr="00A02CC9">
        <w:t xml:space="preserve"> the proposed WEL for chlorine</w:t>
      </w:r>
    </w:p>
    <w:p w14:paraId="51CE2A5C" w14:textId="54A2F5B8" w:rsidR="00753CB7" w:rsidRPr="00A02CC9" w:rsidRDefault="7BB84E38" w:rsidP="004C6591">
      <w:pPr>
        <w:keepNext/>
        <w:keepLines/>
        <w:rPr>
          <w:rFonts w:cs="Arial"/>
        </w:rPr>
      </w:pPr>
      <w:r w:rsidRPr="27F845C1">
        <w:rPr>
          <w:rFonts w:cs="Arial"/>
        </w:rPr>
        <w:t>S</w:t>
      </w:r>
      <w:r w:rsidR="47ABE56F" w:rsidRPr="27F845C1">
        <w:rPr>
          <w:rFonts w:cs="Arial"/>
        </w:rPr>
        <w:t xml:space="preserve">takeholders were asked </w:t>
      </w:r>
      <w:r w:rsidR="158462D1" w:rsidRPr="27F845C1">
        <w:rPr>
          <w:rFonts w:cs="Arial"/>
        </w:rPr>
        <w:t xml:space="preserve">about the </w:t>
      </w:r>
      <w:r w:rsidR="57E5E611" w:rsidRPr="27F845C1">
        <w:rPr>
          <w:rFonts w:cs="Arial"/>
        </w:rPr>
        <w:t>challenges they expect</w:t>
      </w:r>
      <w:r w:rsidR="00B6397F" w:rsidRPr="27F845C1" w:rsidDel="57E5E611">
        <w:rPr>
          <w:rFonts w:cs="Arial"/>
        </w:rPr>
        <w:t xml:space="preserve"> </w:t>
      </w:r>
      <w:r w:rsidR="6D865AA6" w:rsidRPr="27F845C1">
        <w:rPr>
          <w:rFonts w:cs="Arial"/>
        </w:rPr>
        <w:t xml:space="preserve">their industry, business or PCBU </w:t>
      </w:r>
      <w:r w:rsidR="38CCDC1F" w:rsidRPr="27F845C1">
        <w:rPr>
          <w:rFonts w:cs="Arial"/>
        </w:rPr>
        <w:t xml:space="preserve">would </w:t>
      </w:r>
      <w:r w:rsidR="6D865AA6" w:rsidRPr="27F845C1">
        <w:rPr>
          <w:rFonts w:cs="Arial"/>
        </w:rPr>
        <w:t>encounter if the proposed</w:t>
      </w:r>
      <w:r w:rsidR="47ABE56F" w:rsidRPr="27F845C1">
        <w:rPr>
          <w:rFonts w:cs="Arial"/>
        </w:rPr>
        <w:t xml:space="preserve"> WEL </w:t>
      </w:r>
      <w:r w:rsidR="6D865AA6" w:rsidRPr="27F845C1">
        <w:rPr>
          <w:rFonts w:cs="Arial"/>
        </w:rPr>
        <w:t>was</w:t>
      </w:r>
      <w:r w:rsidR="47ABE56F" w:rsidRPr="27F845C1">
        <w:rPr>
          <w:rFonts w:cs="Arial"/>
        </w:rPr>
        <w:t xml:space="preserve"> implemented. </w:t>
      </w:r>
      <w:r w:rsidR="15CA1659" w:rsidRPr="27F845C1">
        <w:rPr>
          <w:rFonts w:cs="Arial"/>
        </w:rPr>
        <w:t>Measurability, concerns around the</w:t>
      </w:r>
      <w:r w:rsidR="12D10F61" w:rsidRPr="27F845C1">
        <w:rPr>
          <w:rFonts w:cs="Arial"/>
        </w:rPr>
        <w:t xml:space="preserve"> introduction of respiratory protection equipment and impact on swimming pools </w:t>
      </w:r>
      <w:r w:rsidR="264EA159" w:rsidRPr="27F845C1">
        <w:rPr>
          <w:rFonts w:cs="Arial"/>
        </w:rPr>
        <w:t xml:space="preserve">were raised by stakeholders. </w:t>
      </w:r>
    </w:p>
    <w:p w14:paraId="582B2FD5" w14:textId="4A7DAA1C" w:rsidR="00601FB8" w:rsidRDefault="00601FB8" w:rsidP="004D1C91">
      <w:pPr>
        <w:pStyle w:val="SWAHeading4"/>
      </w:pPr>
      <w:r>
        <w:t>Measurability concerns</w:t>
      </w:r>
    </w:p>
    <w:p w14:paraId="7B9B358E" w14:textId="4015A4EC" w:rsidR="00601FB8" w:rsidRPr="00BE6808" w:rsidRDefault="1013DD15" w:rsidP="00C463BD">
      <w:pPr>
        <w:contextualSpacing w:val="0"/>
        <w:rPr>
          <w:rFonts w:cs="Arial"/>
        </w:rPr>
      </w:pPr>
      <w:r w:rsidRPr="27F845C1">
        <w:rPr>
          <w:rFonts w:cs="Arial"/>
        </w:rPr>
        <w:t>S</w:t>
      </w:r>
      <w:r w:rsidR="003D0173">
        <w:rPr>
          <w:rFonts w:cs="Arial"/>
        </w:rPr>
        <w:t>ome s</w:t>
      </w:r>
      <w:r w:rsidRPr="27F845C1">
        <w:rPr>
          <w:rFonts w:cs="Arial"/>
        </w:rPr>
        <w:t>ubmissions stated</w:t>
      </w:r>
      <w:r w:rsidRPr="27F845C1">
        <w:rPr>
          <w:rFonts w:eastAsiaTheme="majorEastAsia" w:cs="Arial"/>
        </w:rPr>
        <w:t xml:space="preserve"> industry currently uses wearable gas monitors that sounds an alarm when chlorine is detected at a set concentration based on the current peak limitation WES</w:t>
      </w:r>
      <w:r w:rsidR="00B83E97">
        <w:rPr>
          <w:rStyle w:val="FootnoteReference"/>
          <w:rFonts w:eastAsiaTheme="majorEastAsia" w:cs="Arial"/>
        </w:rPr>
        <w:footnoteReference w:id="68"/>
      </w:r>
      <w:r w:rsidRPr="27F845C1">
        <w:rPr>
          <w:rFonts w:eastAsiaTheme="majorEastAsia" w:cs="Arial"/>
        </w:rPr>
        <w:t xml:space="preserve">. This differs from measuring </w:t>
      </w:r>
      <w:r w:rsidR="006A36C0">
        <w:rPr>
          <w:rFonts w:eastAsiaTheme="majorEastAsia" w:cs="Arial"/>
        </w:rPr>
        <w:t xml:space="preserve">compliance with </w:t>
      </w:r>
      <w:r w:rsidRPr="27F845C1">
        <w:rPr>
          <w:rFonts w:eastAsiaTheme="majorEastAsia" w:cs="Arial"/>
        </w:rPr>
        <w:t xml:space="preserve">a TWA, where </w:t>
      </w:r>
      <w:r w:rsidR="006A36C0">
        <w:rPr>
          <w:rFonts w:eastAsiaTheme="majorEastAsia" w:cs="Arial"/>
        </w:rPr>
        <w:t xml:space="preserve">personal exposure measurements must be taken by workers wearing a monitor and </w:t>
      </w:r>
      <w:r w:rsidRPr="27F845C1">
        <w:rPr>
          <w:rFonts w:eastAsiaTheme="majorEastAsia" w:cs="Arial"/>
        </w:rPr>
        <w:t xml:space="preserve">the PCBU </w:t>
      </w:r>
      <w:r w:rsidR="00510D58">
        <w:rPr>
          <w:rFonts w:eastAsiaTheme="majorEastAsia" w:cs="Arial"/>
        </w:rPr>
        <w:t>may</w:t>
      </w:r>
      <w:r w:rsidR="00A90472">
        <w:rPr>
          <w:rFonts w:eastAsiaTheme="majorEastAsia" w:cs="Arial"/>
        </w:rPr>
        <w:t xml:space="preserve"> </w:t>
      </w:r>
      <w:r w:rsidR="00601FB8">
        <w:rPr>
          <w:rFonts w:eastAsiaTheme="majorEastAsia" w:cs="Arial"/>
        </w:rPr>
        <w:t>be</w:t>
      </w:r>
      <w:r w:rsidRPr="27F845C1">
        <w:rPr>
          <w:rFonts w:eastAsiaTheme="majorEastAsia" w:cs="Arial"/>
        </w:rPr>
        <w:t xml:space="preserve"> required to engage an occupational hygienist to conduct air monitoring. Stakeholders claim that the latter is not currently being performed and would result in</w:t>
      </w:r>
      <w:r w:rsidR="00E602D3">
        <w:rPr>
          <w:rFonts w:eastAsiaTheme="majorEastAsia" w:cs="Arial"/>
        </w:rPr>
        <w:t xml:space="preserve"> increases in air monitoring </w:t>
      </w:r>
      <w:r w:rsidR="002B635E">
        <w:rPr>
          <w:rFonts w:eastAsiaTheme="majorEastAsia" w:cs="Arial"/>
        </w:rPr>
        <w:t>at</w:t>
      </w:r>
      <w:r w:rsidRPr="27F845C1">
        <w:rPr>
          <w:rFonts w:eastAsiaTheme="majorEastAsia" w:cs="Arial"/>
        </w:rPr>
        <w:t xml:space="preserve"> additional cost to industry</w:t>
      </w:r>
      <w:r w:rsidR="00E602D3">
        <w:rPr>
          <w:rStyle w:val="FootnoteReference"/>
          <w:rFonts w:eastAsiaTheme="majorEastAsia" w:cs="Arial"/>
        </w:rPr>
        <w:footnoteReference w:id="69"/>
      </w:r>
      <w:r w:rsidRPr="27F845C1">
        <w:rPr>
          <w:rFonts w:eastAsiaTheme="majorEastAsia" w:cs="Arial"/>
        </w:rPr>
        <w:t>. That said, the analysis in this Decision RIS consider</w:t>
      </w:r>
      <w:r w:rsidR="2B4C42CB" w:rsidRPr="27F845C1">
        <w:rPr>
          <w:rFonts w:eastAsiaTheme="majorEastAsia" w:cs="Arial"/>
        </w:rPr>
        <w:t>ed</w:t>
      </w:r>
      <w:r w:rsidRPr="27F845C1">
        <w:rPr>
          <w:rFonts w:eastAsiaTheme="majorEastAsia" w:cs="Arial"/>
        </w:rPr>
        <w:t xml:space="preserve"> costs associated with engaging an occupational hygienist and undertaking air monitoring. It estimated that this will cost industry $</w:t>
      </w:r>
      <w:r w:rsidR="1B139250" w:rsidRPr="27F845C1">
        <w:rPr>
          <w:rFonts w:eastAsiaTheme="majorEastAsia" w:cs="Arial"/>
        </w:rPr>
        <w:t xml:space="preserve">15.7 </w:t>
      </w:r>
      <w:r w:rsidRPr="27F845C1">
        <w:rPr>
          <w:rFonts w:eastAsiaTheme="majorEastAsia" w:cs="Arial"/>
        </w:rPr>
        <w:t>million over the 10-year period, representing roughly 1</w:t>
      </w:r>
      <w:r w:rsidR="636FB28F" w:rsidRPr="27F845C1">
        <w:rPr>
          <w:rFonts w:eastAsiaTheme="majorEastAsia" w:cs="Arial"/>
        </w:rPr>
        <w:t>0</w:t>
      </w:r>
      <w:r w:rsidRPr="27F845C1">
        <w:rPr>
          <w:rFonts w:eastAsiaTheme="majorEastAsia" w:cs="Arial"/>
        </w:rPr>
        <w:t xml:space="preserve">% of the total incremental cost of the proposed WEL for chlorine. </w:t>
      </w:r>
    </w:p>
    <w:p w14:paraId="2899318D" w14:textId="1964C3C9" w:rsidR="00C97124" w:rsidRDefault="1013DD15" w:rsidP="00C463BD">
      <w:pPr>
        <w:contextualSpacing w:val="0"/>
        <w:rPr>
          <w:rFonts w:eastAsiaTheme="majorEastAsia" w:cs="Arial"/>
        </w:rPr>
      </w:pPr>
      <w:r w:rsidRPr="27F845C1">
        <w:rPr>
          <w:rFonts w:eastAsiaTheme="majorEastAsia" w:cs="Arial"/>
        </w:rPr>
        <w:t xml:space="preserve">With the proposed TWA being at the lower end of the </w:t>
      </w:r>
      <w:r w:rsidR="7140B1DD" w:rsidRPr="27F845C1">
        <w:rPr>
          <w:rFonts w:eastAsiaTheme="majorEastAsia" w:cs="Arial"/>
        </w:rPr>
        <w:t xml:space="preserve">limits of detection </w:t>
      </w:r>
      <w:r w:rsidRPr="27F845C1">
        <w:rPr>
          <w:rFonts w:eastAsiaTheme="majorEastAsia" w:cs="Arial"/>
        </w:rPr>
        <w:t xml:space="preserve">range for common analytical methods, </w:t>
      </w:r>
      <w:r w:rsidR="00CC5664">
        <w:rPr>
          <w:rFonts w:eastAsiaTheme="majorEastAsia" w:cs="Arial"/>
        </w:rPr>
        <w:t xml:space="preserve">a </w:t>
      </w:r>
      <w:r w:rsidRPr="27F845C1">
        <w:rPr>
          <w:rFonts w:eastAsiaTheme="majorEastAsia" w:cs="Arial"/>
        </w:rPr>
        <w:t>stakeholder believed measurability for chlorine is questionable or impossible to implement in the workplace</w:t>
      </w:r>
      <w:r w:rsidR="00C1579D">
        <w:rPr>
          <w:rStyle w:val="FootnoteReference"/>
          <w:rFonts w:eastAsiaTheme="majorEastAsia" w:cs="Arial"/>
        </w:rPr>
        <w:footnoteReference w:id="70"/>
      </w:r>
      <w:r w:rsidRPr="27F845C1">
        <w:rPr>
          <w:rFonts w:eastAsiaTheme="majorEastAsia" w:cs="Arial"/>
        </w:rPr>
        <w:t xml:space="preserve">. Other submissions </w:t>
      </w:r>
      <w:r w:rsidR="4D88E978" w:rsidRPr="27F845C1">
        <w:rPr>
          <w:rFonts w:eastAsiaTheme="majorEastAsia" w:cs="Arial"/>
        </w:rPr>
        <w:t>noted</w:t>
      </w:r>
      <w:r w:rsidRPr="27F845C1">
        <w:rPr>
          <w:rFonts w:eastAsiaTheme="majorEastAsia" w:cs="Arial"/>
        </w:rPr>
        <w:t xml:space="preserve"> measurability concerns would impact </w:t>
      </w:r>
      <w:r w:rsidR="000577B0">
        <w:rPr>
          <w:rFonts w:eastAsiaTheme="majorEastAsia" w:cs="Arial"/>
        </w:rPr>
        <w:t xml:space="preserve">compliance and </w:t>
      </w:r>
      <w:r w:rsidRPr="27F845C1">
        <w:rPr>
          <w:rFonts w:eastAsiaTheme="majorEastAsia" w:cs="Arial"/>
        </w:rPr>
        <w:t>enforcement</w:t>
      </w:r>
      <w:r w:rsidR="00FE1924" w:rsidRPr="00FE1924">
        <w:rPr>
          <w:rStyle w:val="FootnoteReference"/>
          <w:rFonts w:eastAsiaTheme="majorEastAsia" w:cs="Arial"/>
        </w:rPr>
        <w:footnoteReference w:id="71"/>
      </w:r>
      <w:r w:rsidRPr="27F845C1">
        <w:rPr>
          <w:rFonts w:eastAsiaTheme="majorEastAsia" w:cs="Arial"/>
        </w:rPr>
        <w:t xml:space="preserve">. </w:t>
      </w:r>
    </w:p>
    <w:p w14:paraId="3B26D5C7" w14:textId="7BE15F92" w:rsidR="00601FB8" w:rsidRDefault="00601FB8" w:rsidP="00601FB8">
      <w:pPr>
        <w:contextualSpacing w:val="0"/>
        <w:rPr>
          <w:rFonts w:eastAsiaTheme="majorEastAsia" w:cs="Arial"/>
        </w:rPr>
      </w:pPr>
      <w:r w:rsidRPr="00E80AF6">
        <w:rPr>
          <w:rFonts w:eastAsiaTheme="majorEastAsia" w:cs="Arial"/>
        </w:rPr>
        <w:t>However,</w:t>
      </w:r>
      <w:r>
        <w:rPr>
          <w:rFonts w:eastAsiaTheme="majorEastAsia" w:cs="Arial"/>
        </w:rPr>
        <w:t xml:space="preserve"> these concerns </w:t>
      </w:r>
      <w:r w:rsidR="006E73BC">
        <w:rPr>
          <w:rFonts w:eastAsiaTheme="majorEastAsia" w:cs="Arial"/>
        </w:rPr>
        <w:t>were</w:t>
      </w:r>
      <w:r>
        <w:rPr>
          <w:rFonts w:eastAsiaTheme="majorEastAsia" w:cs="Arial"/>
        </w:rPr>
        <w:t xml:space="preserve"> not reflected in the sampling and analysis advice in evaluation report</w:t>
      </w:r>
      <w:r w:rsidR="00C46C3D">
        <w:rPr>
          <w:rFonts w:eastAsiaTheme="majorEastAsia" w:cs="Arial"/>
        </w:rPr>
        <w:t xml:space="preserve"> for chlorine</w:t>
      </w:r>
      <w:sdt>
        <w:sdtPr>
          <w:rPr>
            <w:rFonts w:eastAsiaTheme="majorEastAsia" w:cs="Arial"/>
          </w:rPr>
          <w:id w:val="511955805"/>
          <w:citation/>
        </w:sdtPr>
        <w:sdtEndPr/>
        <w:sdtContent>
          <w:r>
            <w:rPr>
              <w:rFonts w:eastAsiaTheme="majorEastAsia" w:cs="Arial"/>
            </w:rPr>
            <w:fldChar w:fldCharType="begin"/>
          </w:r>
          <w:r>
            <w:rPr>
              <w:rFonts w:eastAsiaTheme="majorEastAsia" w:cs="Arial"/>
            </w:rPr>
            <w:instrText xml:space="preserve"> CITATION Saf193 \l 3081 </w:instrText>
          </w:r>
          <w:r>
            <w:rPr>
              <w:rFonts w:eastAsiaTheme="majorEastAsia" w:cs="Arial"/>
            </w:rPr>
            <w:fldChar w:fldCharType="separate"/>
          </w:r>
          <w:r w:rsidR="00490B21">
            <w:rPr>
              <w:rFonts w:eastAsiaTheme="majorEastAsia" w:cs="Arial"/>
              <w:noProof/>
            </w:rPr>
            <w:t xml:space="preserve"> </w:t>
          </w:r>
          <w:r w:rsidR="00490B21" w:rsidRPr="00490B21">
            <w:rPr>
              <w:rFonts w:eastAsiaTheme="majorEastAsia" w:cs="Arial"/>
              <w:noProof/>
            </w:rPr>
            <w:t>(Safe Work Australia, 2019)</w:t>
          </w:r>
          <w:r>
            <w:rPr>
              <w:rFonts w:eastAsiaTheme="majorEastAsia" w:cs="Arial"/>
            </w:rPr>
            <w:fldChar w:fldCharType="end"/>
          </w:r>
        </w:sdtContent>
      </w:sdt>
      <w:r>
        <w:rPr>
          <w:rFonts w:eastAsiaTheme="majorEastAsia" w:cs="Arial"/>
        </w:rPr>
        <w:t>, which stated that the proposed limits were quantifiable through available sampling and analysis techniques. Furthermore,</w:t>
      </w:r>
      <w:r w:rsidRPr="00E80AF6">
        <w:rPr>
          <w:rFonts w:eastAsiaTheme="majorEastAsia" w:cs="Arial"/>
        </w:rPr>
        <w:t xml:space="preserve"> </w:t>
      </w:r>
      <w:r w:rsidRPr="009F3C16">
        <w:rPr>
          <w:rFonts w:eastAsiaTheme="majorEastAsia" w:cs="Arial"/>
        </w:rPr>
        <w:t xml:space="preserve">two </w:t>
      </w:r>
      <w:r>
        <w:rPr>
          <w:rFonts w:eastAsiaTheme="majorEastAsia" w:cs="Arial"/>
        </w:rPr>
        <w:t xml:space="preserve">stakeholders </w:t>
      </w:r>
      <w:r w:rsidR="000E1E19">
        <w:rPr>
          <w:rFonts w:eastAsiaTheme="majorEastAsia" w:cs="Arial"/>
        </w:rPr>
        <w:t>(a government and professional submission)</w:t>
      </w:r>
      <w:r>
        <w:rPr>
          <w:rFonts w:eastAsiaTheme="majorEastAsia" w:cs="Arial"/>
        </w:rPr>
        <w:t xml:space="preserve"> </w:t>
      </w:r>
      <w:r w:rsidR="00D41E5E">
        <w:rPr>
          <w:rFonts w:eastAsiaTheme="majorEastAsia" w:cs="Arial"/>
        </w:rPr>
        <w:t>indicated</w:t>
      </w:r>
      <w:r>
        <w:rPr>
          <w:rFonts w:eastAsiaTheme="majorEastAsia" w:cs="Arial"/>
        </w:rPr>
        <w:t xml:space="preserve"> that some </w:t>
      </w:r>
      <w:r w:rsidRPr="00E80AF6">
        <w:rPr>
          <w:rFonts w:eastAsiaTheme="majorEastAsia" w:cs="Arial"/>
        </w:rPr>
        <w:t>sampling and analysis techniques could measure down</w:t>
      </w:r>
      <w:r>
        <w:rPr>
          <w:rFonts w:eastAsiaTheme="majorEastAsia" w:cs="Arial"/>
        </w:rPr>
        <w:t xml:space="preserve"> to and below</w:t>
      </w:r>
      <w:r w:rsidRPr="00E80AF6" w:rsidDel="00822159">
        <w:rPr>
          <w:rFonts w:eastAsiaTheme="majorEastAsia" w:cs="Arial"/>
        </w:rPr>
        <w:t xml:space="preserve"> </w:t>
      </w:r>
      <w:r w:rsidRPr="00E80AF6">
        <w:rPr>
          <w:rFonts w:eastAsiaTheme="majorEastAsia" w:cs="Arial"/>
        </w:rPr>
        <w:t xml:space="preserve">the proposed </w:t>
      </w:r>
      <w:r>
        <w:rPr>
          <w:rFonts w:eastAsiaTheme="majorEastAsia" w:cs="Arial"/>
        </w:rPr>
        <w:t>TWA</w:t>
      </w:r>
      <w:r w:rsidRPr="00E80AF6">
        <w:rPr>
          <w:rFonts w:eastAsiaTheme="majorEastAsia" w:cs="Arial"/>
        </w:rPr>
        <w:t xml:space="preserve"> for chlorine</w:t>
      </w:r>
      <w:r w:rsidR="00417D14">
        <w:rPr>
          <w:rStyle w:val="FootnoteReference"/>
          <w:rFonts w:eastAsiaTheme="majorEastAsia" w:cs="Arial"/>
        </w:rPr>
        <w:footnoteReference w:id="72"/>
      </w:r>
      <w:r>
        <w:rPr>
          <w:rFonts w:eastAsiaTheme="majorEastAsia" w:cs="Arial"/>
        </w:rPr>
        <w:t>. B</w:t>
      </w:r>
      <w:r w:rsidRPr="00E80AF6">
        <w:rPr>
          <w:rFonts w:eastAsiaTheme="majorEastAsia" w:cs="Arial"/>
        </w:rPr>
        <w:t xml:space="preserve">oth submissions </w:t>
      </w:r>
      <w:r>
        <w:rPr>
          <w:rFonts w:eastAsiaTheme="majorEastAsia" w:cs="Arial"/>
        </w:rPr>
        <w:t xml:space="preserve">did </w:t>
      </w:r>
      <w:r w:rsidRPr="00E80AF6">
        <w:rPr>
          <w:rFonts w:eastAsiaTheme="majorEastAsia" w:cs="Arial"/>
        </w:rPr>
        <w:t xml:space="preserve">describe these methods as </w:t>
      </w:r>
      <w:r w:rsidR="00484F2D">
        <w:rPr>
          <w:rFonts w:eastAsiaTheme="majorEastAsia" w:cs="Arial"/>
        </w:rPr>
        <w:t>‘</w:t>
      </w:r>
      <w:r w:rsidRPr="00E80AF6">
        <w:rPr>
          <w:rFonts w:eastAsiaTheme="majorEastAsia" w:cs="Arial"/>
        </w:rPr>
        <w:t>costly</w:t>
      </w:r>
      <w:r w:rsidR="00484F2D">
        <w:rPr>
          <w:rFonts w:eastAsiaTheme="majorEastAsia" w:cs="Arial"/>
        </w:rPr>
        <w:t>’</w:t>
      </w:r>
      <w:r>
        <w:rPr>
          <w:rFonts w:eastAsiaTheme="majorEastAsia" w:cs="Arial"/>
        </w:rPr>
        <w:t xml:space="preserve"> but provided no </w:t>
      </w:r>
      <w:r w:rsidRPr="00E80AF6">
        <w:rPr>
          <w:rFonts w:eastAsiaTheme="majorEastAsia" w:cs="Arial"/>
        </w:rPr>
        <w:t xml:space="preserve">cost data to substantiate </w:t>
      </w:r>
      <w:r>
        <w:rPr>
          <w:rFonts w:eastAsiaTheme="majorEastAsia" w:cs="Arial"/>
        </w:rPr>
        <w:t>the ‘costly’ nature of the methods</w:t>
      </w:r>
      <w:r w:rsidR="0041195A">
        <w:rPr>
          <w:rStyle w:val="FootnoteReference"/>
          <w:rFonts w:eastAsiaTheme="majorEastAsia" w:cs="Arial"/>
        </w:rPr>
        <w:footnoteReference w:id="73"/>
      </w:r>
      <w:r w:rsidRPr="00E80AF6">
        <w:rPr>
          <w:rFonts w:eastAsiaTheme="majorEastAsia" w:cs="Arial"/>
        </w:rPr>
        <w:t xml:space="preserve">. </w:t>
      </w:r>
    </w:p>
    <w:p w14:paraId="396A76A3" w14:textId="5AF2D500" w:rsidR="009D5A6B" w:rsidRDefault="003D0173" w:rsidP="00601FB8">
      <w:pPr>
        <w:contextualSpacing w:val="0"/>
        <w:rPr>
          <w:rFonts w:eastAsiaTheme="majorEastAsia" w:cs="Arial"/>
        </w:rPr>
      </w:pPr>
      <w:r w:rsidRPr="006D6899">
        <w:rPr>
          <w:rFonts w:eastAsiaTheme="majorEastAsia" w:cs="Arial"/>
        </w:rPr>
        <w:t>A</w:t>
      </w:r>
      <w:r w:rsidR="00BE18AB" w:rsidRPr="006D6899">
        <w:rPr>
          <w:rFonts w:eastAsiaTheme="majorEastAsia" w:cs="Arial"/>
        </w:rPr>
        <w:t>t least two methods</w:t>
      </w:r>
      <w:r w:rsidR="005A6D77" w:rsidRPr="006D6899">
        <w:rPr>
          <w:rStyle w:val="FootnoteReference"/>
          <w:rFonts w:eastAsiaTheme="majorEastAsia" w:cs="Arial"/>
        </w:rPr>
        <w:footnoteReference w:id="74"/>
      </w:r>
      <w:r w:rsidR="00BE18AB" w:rsidRPr="006D6899">
        <w:rPr>
          <w:rFonts w:eastAsiaTheme="majorEastAsia" w:cs="Arial"/>
        </w:rPr>
        <w:t xml:space="preserve"> exist to measure chlorine</w:t>
      </w:r>
      <w:r w:rsidR="00C3024D" w:rsidRPr="006D6899">
        <w:rPr>
          <w:rFonts w:eastAsiaTheme="majorEastAsia" w:cs="Arial"/>
        </w:rPr>
        <w:t xml:space="preserve"> with sufficient sensitivity and certainty to determine compliance at the proposed WEL</w:t>
      </w:r>
      <w:r w:rsidR="00644B40" w:rsidRPr="006D6899">
        <w:rPr>
          <w:rFonts w:eastAsiaTheme="majorEastAsia" w:cs="Arial"/>
        </w:rPr>
        <w:t>,</w:t>
      </w:r>
      <w:r w:rsidR="00E10775" w:rsidRPr="006D6899">
        <w:rPr>
          <w:rFonts w:eastAsiaTheme="majorEastAsia" w:cs="Arial"/>
        </w:rPr>
        <w:t xml:space="preserve"> </w:t>
      </w:r>
      <w:r w:rsidR="00BE18AB" w:rsidRPr="006D6899">
        <w:rPr>
          <w:rFonts w:eastAsiaTheme="majorEastAsia" w:cs="Arial"/>
        </w:rPr>
        <w:t xml:space="preserve">with </w:t>
      </w:r>
      <w:r w:rsidR="006F436B" w:rsidRPr="006D6899">
        <w:rPr>
          <w:rFonts w:eastAsiaTheme="majorEastAsia" w:cs="Arial"/>
        </w:rPr>
        <w:t xml:space="preserve">commercially available methods in Australia </w:t>
      </w:r>
      <w:r w:rsidRPr="006D6899">
        <w:rPr>
          <w:rFonts w:eastAsiaTheme="majorEastAsia" w:cs="Arial"/>
        </w:rPr>
        <w:t>(based on Safe Work Australia analysis)</w:t>
      </w:r>
      <w:r w:rsidR="00EB2439" w:rsidRPr="006D6899">
        <w:rPr>
          <w:rFonts w:eastAsiaTheme="majorEastAsia" w:cs="Arial"/>
        </w:rPr>
        <w:t>.</w:t>
      </w:r>
      <w:r w:rsidR="00A62D3C">
        <w:rPr>
          <w:rFonts w:eastAsiaTheme="majorEastAsia" w:cs="Arial"/>
        </w:rPr>
        <w:t xml:space="preserve"> </w:t>
      </w:r>
    </w:p>
    <w:p w14:paraId="08703BF2" w14:textId="558624AC" w:rsidR="001C5160" w:rsidRPr="00E80AF6" w:rsidRDefault="00A62D3C" w:rsidP="00601FB8">
      <w:pPr>
        <w:contextualSpacing w:val="0"/>
        <w:rPr>
          <w:rFonts w:eastAsiaTheme="majorEastAsia" w:cs="Arial"/>
        </w:rPr>
      </w:pPr>
      <w:r>
        <w:t xml:space="preserve">Sampling related </w:t>
      </w:r>
      <w:r w:rsidRPr="002749A8">
        <w:t>contributions to uncertainty (e.g. sampling equipment limitations) may remain a limitation on measurability</w:t>
      </w:r>
      <w:r>
        <w:t xml:space="preserve"> in some situations, but these issues are not </w:t>
      </w:r>
      <w:r w:rsidR="003D0173">
        <w:t>unique</w:t>
      </w:r>
      <w:r>
        <w:t xml:space="preserve"> to chorine. To support the wider transition to the WEL, Safe Work Australia is preparing technical guidance to provide advice on measurement issues, including sampling.</w:t>
      </w:r>
    </w:p>
    <w:p w14:paraId="6D3BDA65" w14:textId="0A8E99CB" w:rsidR="00601FB8" w:rsidRPr="00E80AF6" w:rsidRDefault="004B7B47" w:rsidP="004D1C91">
      <w:pPr>
        <w:pStyle w:val="SWAHeading4"/>
        <w:rPr>
          <w:lang w:eastAsia="en-AU"/>
        </w:rPr>
      </w:pPr>
      <w:r>
        <w:rPr>
          <w:lang w:eastAsia="en-AU"/>
        </w:rPr>
        <w:lastRenderedPageBreak/>
        <w:t xml:space="preserve">Concerns </w:t>
      </w:r>
      <w:r w:rsidR="009F3C16">
        <w:rPr>
          <w:lang w:eastAsia="en-AU"/>
        </w:rPr>
        <w:t xml:space="preserve">around </w:t>
      </w:r>
      <w:r>
        <w:rPr>
          <w:lang w:eastAsia="en-AU"/>
        </w:rPr>
        <w:t>introduction of respiratory protection equipment</w:t>
      </w:r>
    </w:p>
    <w:p w14:paraId="1743710A" w14:textId="68E3E01F" w:rsidR="007D3E8B" w:rsidRDefault="00DE7AFB" w:rsidP="00E80AF6">
      <w:pPr>
        <w:contextualSpacing w:val="0"/>
        <w:rPr>
          <w:rFonts w:eastAsiaTheme="majorEastAsia" w:cs="Arial"/>
          <w:lang w:eastAsia="en-AU"/>
        </w:rPr>
      </w:pPr>
      <w:r>
        <w:rPr>
          <w:rFonts w:eastAsiaTheme="majorEastAsia" w:cs="Arial"/>
          <w:lang w:eastAsia="en-AU"/>
        </w:rPr>
        <w:t>S</w:t>
      </w:r>
      <w:r w:rsidR="00061AEC">
        <w:rPr>
          <w:rFonts w:eastAsiaTheme="majorEastAsia" w:cs="Arial"/>
          <w:lang w:eastAsia="en-AU"/>
        </w:rPr>
        <w:t>everal</w:t>
      </w:r>
      <w:r w:rsidR="00753CB7" w:rsidRPr="00E80AF6">
        <w:rPr>
          <w:rFonts w:eastAsiaTheme="majorEastAsia" w:cs="Arial"/>
          <w:lang w:eastAsia="en-AU"/>
        </w:rPr>
        <w:t xml:space="preserve"> submissions </w:t>
      </w:r>
      <w:r w:rsidR="00BC3442">
        <w:rPr>
          <w:rFonts w:eastAsiaTheme="majorEastAsia" w:cs="Arial"/>
          <w:lang w:eastAsia="en-AU"/>
        </w:rPr>
        <w:t xml:space="preserve">from industry </w:t>
      </w:r>
      <w:r w:rsidR="00753CB7" w:rsidRPr="00E80AF6">
        <w:rPr>
          <w:rFonts w:eastAsiaTheme="majorEastAsia" w:cs="Arial"/>
          <w:lang w:eastAsia="en-AU"/>
        </w:rPr>
        <w:t xml:space="preserve">were concerned over the additional </w:t>
      </w:r>
      <w:r w:rsidR="00F47C37">
        <w:rPr>
          <w:rFonts w:eastAsiaTheme="majorEastAsia" w:cs="Arial"/>
          <w:lang w:eastAsia="en-AU"/>
        </w:rPr>
        <w:t>hazards</w:t>
      </w:r>
      <w:r w:rsidR="00753CB7" w:rsidRPr="00E80AF6">
        <w:rPr>
          <w:rFonts w:eastAsiaTheme="majorEastAsia" w:cs="Arial"/>
          <w:lang w:eastAsia="en-AU"/>
        </w:rPr>
        <w:t xml:space="preserve"> that RPE may </w:t>
      </w:r>
      <w:r w:rsidR="00F47C37">
        <w:rPr>
          <w:rFonts w:eastAsiaTheme="majorEastAsia" w:cs="Arial"/>
          <w:lang w:eastAsia="en-AU"/>
        </w:rPr>
        <w:t>introduce into the workplace</w:t>
      </w:r>
      <w:r w:rsidR="00753CB7" w:rsidRPr="00E80AF6">
        <w:rPr>
          <w:rFonts w:eastAsiaTheme="majorEastAsia" w:cs="Arial"/>
          <w:lang w:eastAsia="en-AU"/>
        </w:rPr>
        <w:t xml:space="preserve">. </w:t>
      </w:r>
      <w:r w:rsidR="00BC3442">
        <w:rPr>
          <w:rFonts w:eastAsiaTheme="majorEastAsia" w:cs="Arial"/>
          <w:lang w:eastAsia="en-AU"/>
        </w:rPr>
        <w:t>For example, o</w:t>
      </w:r>
      <w:r w:rsidR="00753CB7" w:rsidRPr="00E80AF6">
        <w:rPr>
          <w:rFonts w:eastAsiaTheme="majorEastAsia" w:cs="Arial"/>
          <w:lang w:eastAsia="en-AU"/>
        </w:rPr>
        <w:t>ne</w:t>
      </w:r>
      <w:r w:rsidR="00753CB7" w:rsidRPr="00E80AF6" w:rsidDel="00BC3442">
        <w:rPr>
          <w:rFonts w:eastAsiaTheme="majorEastAsia" w:cs="Arial"/>
          <w:lang w:eastAsia="en-AU"/>
        </w:rPr>
        <w:t xml:space="preserve"> </w:t>
      </w:r>
      <w:r w:rsidR="00753CB7" w:rsidRPr="00E80AF6">
        <w:rPr>
          <w:rFonts w:eastAsiaTheme="majorEastAsia" w:cs="Arial"/>
          <w:lang w:eastAsia="en-AU"/>
        </w:rPr>
        <w:t>chlorine manufacturer was concerned</w:t>
      </w:r>
      <w:r w:rsidR="00753CB7" w:rsidRPr="00E80AF6" w:rsidDel="00BC3442">
        <w:rPr>
          <w:rFonts w:eastAsiaTheme="majorEastAsia" w:cs="Arial"/>
          <w:lang w:eastAsia="en-AU"/>
        </w:rPr>
        <w:t xml:space="preserve"> </w:t>
      </w:r>
      <w:r w:rsidR="00753CB7" w:rsidRPr="00E80AF6">
        <w:rPr>
          <w:rFonts w:eastAsiaTheme="majorEastAsia" w:cs="Arial"/>
          <w:lang w:eastAsia="en-AU"/>
        </w:rPr>
        <w:t>RPE would lead to less routine checking of chlorination systems, as their workers may be “reluctant to don RPE”</w:t>
      </w:r>
      <w:r w:rsidR="00C47980">
        <w:rPr>
          <w:rStyle w:val="FootnoteReference"/>
          <w:rFonts w:eastAsiaTheme="majorEastAsia" w:cs="Arial"/>
          <w:lang w:eastAsia="en-AU"/>
        </w:rPr>
        <w:footnoteReference w:id="75"/>
      </w:r>
      <w:r w:rsidR="00753CB7" w:rsidRPr="00E80AF6">
        <w:rPr>
          <w:rFonts w:eastAsiaTheme="majorEastAsia" w:cs="Arial"/>
          <w:lang w:eastAsia="en-AU"/>
        </w:rPr>
        <w:t xml:space="preserve">. </w:t>
      </w:r>
    </w:p>
    <w:p w14:paraId="4F127819" w14:textId="5F00E736" w:rsidR="006E73BC" w:rsidRDefault="00061AEC" w:rsidP="00E80AF6">
      <w:pPr>
        <w:contextualSpacing w:val="0"/>
        <w:rPr>
          <w:rFonts w:eastAsiaTheme="majorEastAsia" w:cs="Arial"/>
          <w:lang w:eastAsia="en-AU"/>
        </w:rPr>
      </w:pPr>
      <w:r>
        <w:rPr>
          <w:rFonts w:eastAsiaTheme="majorEastAsia" w:cs="Arial"/>
          <w:lang w:eastAsia="en-AU"/>
        </w:rPr>
        <w:t>Other</w:t>
      </w:r>
      <w:r w:rsidR="00753CB7" w:rsidRPr="00E80AF6" w:rsidDel="00BC3442">
        <w:rPr>
          <w:rFonts w:eastAsiaTheme="majorEastAsia" w:cs="Arial"/>
          <w:lang w:eastAsia="en-AU"/>
        </w:rPr>
        <w:t xml:space="preserve"> </w:t>
      </w:r>
      <w:r w:rsidR="00BC3442">
        <w:rPr>
          <w:rFonts w:eastAsiaTheme="majorEastAsia" w:cs="Arial"/>
          <w:lang w:eastAsia="en-AU"/>
        </w:rPr>
        <w:t xml:space="preserve">stakeholders </w:t>
      </w:r>
      <w:r w:rsidR="00753CB7" w:rsidRPr="00E80AF6">
        <w:rPr>
          <w:rFonts w:eastAsiaTheme="majorEastAsia" w:cs="Arial"/>
          <w:lang w:eastAsia="en-AU"/>
        </w:rPr>
        <w:t>raised that RPE may introduce a new hazardous situation</w:t>
      </w:r>
      <w:r>
        <w:rPr>
          <w:rFonts w:eastAsiaTheme="majorEastAsia" w:cs="Arial"/>
          <w:lang w:eastAsia="en-AU"/>
        </w:rPr>
        <w:t xml:space="preserve">, such as </w:t>
      </w:r>
      <w:r w:rsidR="00753CB7" w:rsidRPr="00E80AF6">
        <w:rPr>
          <w:rFonts w:eastAsiaTheme="majorEastAsia" w:cs="Arial"/>
          <w:lang w:eastAsia="en-AU"/>
        </w:rPr>
        <w:t>ineffective communication between workers during work activities</w:t>
      </w:r>
      <w:r w:rsidR="00C47980">
        <w:rPr>
          <w:rStyle w:val="FootnoteReference"/>
          <w:rFonts w:eastAsiaTheme="majorEastAsia" w:cs="Arial"/>
          <w:lang w:eastAsia="en-AU"/>
        </w:rPr>
        <w:footnoteReference w:id="76"/>
      </w:r>
      <w:r w:rsidR="00753CB7" w:rsidRPr="00E80AF6">
        <w:rPr>
          <w:rFonts w:eastAsiaTheme="majorEastAsia" w:cs="Arial"/>
          <w:lang w:eastAsia="en-AU"/>
        </w:rPr>
        <w:t xml:space="preserve">. </w:t>
      </w:r>
    </w:p>
    <w:p w14:paraId="2C363FC4" w14:textId="734C1126" w:rsidR="00753CB7" w:rsidRPr="001E0F11" w:rsidRDefault="007C5A06" w:rsidP="00E80AF6">
      <w:pPr>
        <w:contextualSpacing w:val="0"/>
        <w:rPr>
          <w:rFonts w:eastAsiaTheme="majorEastAsia" w:cs="Arial"/>
          <w:lang w:eastAsia="en-AU"/>
        </w:rPr>
      </w:pPr>
      <w:r>
        <w:rPr>
          <w:rFonts w:eastAsiaTheme="majorEastAsia" w:cs="Arial"/>
          <w:lang w:eastAsia="en-AU"/>
        </w:rPr>
        <w:t xml:space="preserve">It is important to note </w:t>
      </w:r>
      <w:r w:rsidR="000011C0">
        <w:rPr>
          <w:rFonts w:eastAsiaTheme="majorEastAsia" w:cs="Arial"/>
          <w:lang w:eastAsia="en-AU"/>
        </w:rPr>
        <w:t xml:space="preserve">PCBUs </w:t>
      </w:r>
      <w:r w:rsidR="006E73BC">
        <w:rPr>
          <w:rFonts w:eastAsiaTheme="majorEastAsia" w:cs="Arial"/>
          <w:lang w:eastAsia="en-AU"/>
        </w:rPr>
        <w:t>should</w:t>
      </w:r>
      <w:r w:rsidR="000011C0">
        <w:rPr>
          <w:rFonts w:eastAsiaTheme="majorEastAsia" w:cs="Arial"/>
          <w:lang w:eastAsia="en-AU"/>
        </w:rPr>
        <w:t xml:space="preserve"> only consider using p</w:t>
      </w:r>
      <w:r w:rsidR="00167D79">
        <w:rPr>
          <w:rFonts w:eastAsiaTheme="majorEastAsia" w:cs="Arial"/>
          <w:lang w:eastAsia="en-AU"/>
        </w:rPr>
        <w:t>ersonal protective equipment, including RPE,</w:t>
      </w:r>
      <w:r w:rsidR="00167D79" w:rsidRPr="00167D79">
        <w:rPr>
          <w:rFonts w:eastAsiaTheme="majorEastAsia" w:cs="Arial"/>
          <w:lang w:eastAsia="en-AU"/>
        </w:rPr>
        <w:t xml:space="preserve"> </w:t>
      </w:r>
      <w:r w:rsidR="000011C0">
        <w:rPr>
          <w:rFonts w:eastAsiaTheme="majorEastAsia" w:cs="Arial"/>
          <w:lang w:eastAsia="en-AU"/>
        </w:rPr>
        <w:t>as a control</w:t>
      </w:r>
      <w:r w:rsidR="00167D79" w:rsidRPr="00167D79">
        <w:rPr>
          <w:rFonts w:eastAsiaTheme="majorEastAsia" w:cs="Arial"/>
          <w:lang w:eastAsia="en-AU"/>
        </w:rPr>
        <w:t xml:space="preserve"> once all other reasonably practicable higher order controls </w:t>
      </w:r>
      <w:r w:rsidR="00167D79">
        <w:rPr>
          <w:rFonts w:eastAsiaTheme="majorEastAsia" w:cs="Arial"/>
          <w:lang w:eastAsia="en-AU"/>
        </w:rPr>
        <w:t xml:space="preserve">in the hierarchy of controls (i.e., substitution, </w:t>
      </w:r>
      <w:r w:rsidR="00A87C20">
        <w:rPr>
          <w:rFonts w:eastAsiaTheme="majorEastAsia" w:cs="Arial"/>
          <w:lang w:eastAsia="en-AU"/>
        </w:rPr>
        <w:t xml:space="preserve">isolation, </w:t>
      </w:r>
      <w:r w:rsidR="00E44A41">
        <w:rPr>
          <w:rFonts w:eastAsiaTheme="majorEastAsia" w:cs="Arial"/>
          <w:lang w:eastAsia="en-AU"/>
        </w:rPr>
        <w:t xml:space="preserve">engineering and administration) </w:t>
      </w:r>
      <w:r w:rsidR="00167D79" w:rsidRPr="00167D79">
        <w:rPr>
          <w:rFonts w:eastAsiaTheme="majorEastAsia" w:cs="Arial"/>
          <w:lang w:eastAsia="en-AU"/>
        </w:rPr>
        <w:t xml:space="preserve">have been considered and implemented, so far as is reasonably practicable. </w:t>
      </w:r>
    </w:p>
    <w:p w14:paraId="4E6454B6" w14:textId="77777777" w:rsidR="00601FB8" w:rsidRDefault="00601FB8" w:rsidP="004D1C91">
      <w:pPr>
        <w:pStyle w:val="SWAHeading4"/>
      </w:pPr>
      <w:r>
        <w:t>Impact on indoor swimming pools</w:t>
      </w:r>
    </w:p>
    <w:p w14:paraId="7A12ADEB" w14:textId="1ABC1A54" w:rsidR="00601FB8" w:rsidRPr="00E80AF6" w:rsidRDefault="00855972" w:rsidP="00601FB8">
      <w:pPr>
        <w:contextualSpacing w:val="0"/>
        <w:rPr>
          <w:rFonts w:eastAsiaTheme="majorEastAsia" w:cs="Arial"/>
          <w:lang w:eastAsia="en-AU"/>
        </w:rPr>
      </w:pPr>
      <w:r>
        <w:rPr>
          <w:rFonts w:cs="Arial"/>
        </w:rPr>
        <w:t>A</w:t>
      </w:r>
      <w:r w:rsidR="00384566">
        <w:rPr>
          <w:rFonts w:cs="Arial"/>
        </w:rPr>
        <w:t>s part of their submission</w:t>
      </w:r>
      <w:r w:rsidR="00FC58C2">
        <w:rPr>
          <w:rFonts w:cs="Arial"/>
        </w:rPr>
        <w:t xml:space="preserve"> to the public consultation, a</w:t>
      </w:r>
      <w:r>
        <w:rPr>
          <w:rFonts w:cs="Arial"/>
        </w:rPr>
        <w:t xml:space="preserve"> </w:t>
      </w:r>
      <w:r w:rsidR="001D53B2">
        <w:rPr>
          <w:rFonts w:cs="Arial"/>
        </w:rPr>
        <w:t>WHS regulator</w:t>
      </w:r>
      <w:r w:rsidR="00BC1CD4">
        <w:rPr>
          <w:rFonts w:cs="Arial"/>
        </w:rPr>
        <w:t xml:space="preserve"> </w:t>
      </w:r>
      <w:r w:rsidR="00601FB8">
        <w:rPr>
          <w:rFonts w:cs="Arial"/>
        </w:rPr>
        <w:t>i</w:t>
      </w:r>
      <w:r w:rsidR="00601FB8" w:rsidRPr="00E80AF6">
        <w:rPr>
          <w:rFonts w:eastAsiaTheme="majorEastAsia" w:cs="Arial"/>
          <w:lang w:eastAsia="en-AU"/>
        </w:rPr>
        <w:t>dentified</w:t>
      </w:r>
      <w:r w:rsidR="00601FB8" w:rsidRPr="00E80AF6" w:rsidDel="00C652E1">
        <w:rPr>
          <w:rFonts w:eastAsiaTheme="majorEastAsia" w:cs="Arial"/>
          <w:lang w:eastAsia="en-AU"/>
        </w:rPr>
        <w:t xml:space="preserve"> </w:t>
      </w:r>
      <w:r w:rsidR="00601FB8" w:rsidRPr="00E80AF6">
        <w:rPr>
          <w:rFonts w:eastAsiaTheme="majorEastAsia" w:cs="Arial"/>
          <w:lang w:eastAsia="en-AU"/>
        </w:rPr>
        <w:t xml:space="preserve">the introduction of the proposed </w:t>
      </w:r>
      <w:r w:rsidR="00601FB8">
        <w:rPr>
          <w:rFonts w:eastAsiaTheme="majorEastAsia" w:cs="Arial"/>
          <w:lang w:eastAsia="en-AU"/>
        </w:rPr>
        <w:t>WEL</w:t>
      </w:r>
      <w:r w:rsidR="00601FB8" w:rsidRPr="00E80AF6">
        <w:rPr>
          <w:rFonts w:eastAsiaTheme="majorEastAsia" w:cs="Arial"/>
          <w:lang w:eastAsia="en-AU"/>
        </w:rPr>
        <w:t xml:space="preserve"> may impact indoor swimming pools</w:t>
      </w:r>
      <w:r w:rsidR="00601FB8">
        <w:rPr>
          <w:rFonts w:eastAsiaTheme="majorEastAsia" w:cs="Arial"/>
          <w:lang w:eastAsia="en-AU"/>
        </w:rPr>
        <w:t xml:space="preserve">. </w:t>
      </w:r>
      <w:r w:rsidR="004E0D5A">
        <w:rPr>
          <w:rFonts w:eastAsiaTheme="majorEastAsia" w:cs="Arial"/>
          <w:lang w:eastAsia="en-AU"/>
        </w:rPr>
        <w:t>This</w:t>
      </w:r>
      <w:r w:rsidR="00601FB8">
        <w:rPr>
          <w:rFonts w:eastAsiaTheme="majorEastAsia" w:cs="Arial"/>
          <w:lang w:eastAsia="en-AU"/>
        </w:rPr>
        <w:t xml:space="preserve"> stakeholder stated that this industry</w:t>
      </w:r>
      <w:r w:rsidR="00601FB8" w:rsidRPr="00E80AF6">
        <w:rPr>
          <w:rFonts w:eastAsiaTheme="majorEastAsia" w:cs="Arial"/>
          <w:lang w:eastAsia="en-AU"/>
        </w:rPr>
        <w:t xml:space="preserve"> typically </w:t>
      </w:r>
      <w:r w:rsidR="008A5772" w:rsidRPr="00E80AF6">
        <w:rPr>
          <w:rFonts w:eastAsiaTheme="majorEastAsia" w:cs="Arial"/>
          <w:lang w:eastAsia="en-AU"/>
        </w:rPr>
        <w:t>sees</w:t>
      </w:r>
      <w:r w:rsidR="00601FB8" w:rsidRPr="00E80AF6">
        <w:rPr>
          <w:rFonts w:eastAsiaTheme="majorEastAsia" w:cs="Arial"/>
          <w:lang w:eastAsia="en-AU"/>
        </w:rPr>
        <w:t xml:space="preserve"> chlorine levels at the 0.2 to 0.5 ppm range</w:t>
      </w:r>
      <w:r>
        <w:rPr>
          <w:rStyle w:val="FootnoteReference"/>
          <w:rFonts w:eastAsiaTheme="majorEastAsia" w:cs="Arial"/>
          <w:lang w:eastAsia="en-AU"/>
        </w:rPr>
        <w:footnoteReference w:id="77"/>
      </w:r>
      <w:r w:rsidR="00601FB8">
        <w:rPr>
          <w:rFonts w:eastAsiaTheme="majorEastAsia" w:cs="Arial"/>
          <w:lang w:eastAsia="en-AU"/>
        </w:rPr>
        <w:t xml:space="preserve">. </w:t>
      </w:r>
      <w:r w:rsidR="00E165DC">
        <w:rPr>
          <w:rFonts w:eastAsiaTheme="majorEastAsia" w:cs="Arial"/>
          <w:lang w:eastAsia="en-AU"/>
        </w:rPr>
        <w:t>Note that</w:t>
      </w:r>
      <w:r w:rsidR="00D14C37">
        <w:rPr>
          <w:rFonts w:eastAsiaTheme="majorEastAsia" w:cs="Arial"/>
          <w:lang w:eastAsia="en-AU"/>
        </w:rPr>
        <w:t xml:space="preserve"> these concerns were not raised by </w:t>
      </w:r>
      <w:r w:rsidR="0022775C">
        <w:rPr>
          <w:rFonts w:eastAsiaTheme="majorEastAsia" w:cs="Arial"/>
          <w:lang w:eastAsia="en-AU"/>
        </w:rPr>
        <w:t>stakeholders from the</w:t>
      </w:r>
      <w:r w:rsidR="00985AB1">
        <w:rPr>
          <w:rFonts w:eastAsiaTheme="majorEastAsia" w:cs="Arial"/>
          <w:lang w:eastAsia="en-AU"/>
        </w:rPr>
        <w:t xml:space="preserve"> indoor swimming pool industry</w:t>
      </w:r>
      <w:r w:rsidR="00E165DC">
        <w:rPr>
          <w:rFonts w:eastAsiaTheme="majorEastAsia" w:cs="Arial"/>
          <w:lang w:eastAsia="en-AU"/>
        </w:rPr>
        <w:t>.</w:t>
      </w:r>
    </w:p>
    <w:p w14:paraId="2D34633C" w14:textId="1C47824C" w:rsidR="00753CB7" w:rsidRDefault="00753CB7" w:rsidP="004D1C91">
      <w:pPr>
        <w:pStyle w:val="SWAHeading3"/>
      </w:pPr>
      <w:r>
        <w:t>Transitional arrangements</w:t>
      </w:r>
      <w:r w:rsidR="000E79BC">
        <w:t xml:space="preserve"> suggested by </w:t>
      </w:r>
      <w:r w:rsidR="00354355">
        <w:t>stakeholders</w:t>
      </w:r>
    </w:p>
    <w:p w14:paraId="245FE3A8" w14:textId="77777777" w:rsidR="00AE5D4B" w:rsidRDefault="00EB2407" w:rsidP="00AF67C0">
      <w:pPr>
        <w:contextualSpacing w:val="0"/>
      </w:pPr>
      <w:r>
        <w:t>Some s</w:t>
      </w:r>
      <w:r w:rsidR="00C14E6F" w:rsidRPr="00C14E6F">
        <w:t xml:space="preserve">takeholders suggested a transition period would assist industry to comply with the proposed limits if they were to be implemented. </w:t>
      </w:r>
      <w:r w:rsidR="007F2222">
        <w:t>Four</w:t>
      </w:r>
      <w:r w:rsidR="00C14E6F" w:rsidRPr="00C14E6F">
        <w:t xml:space="preserve"> submissions suggested the following as potential lengths for this </w:t>
      </w:r>
      <w:r w:rsidR="004C14BB">
        <w:t xml:space="preserve">transition </w:t>
      </w:r>
      <w:r w:rsidR="00C14E6F" w:rsidRPr="00C14E6F">
        <w:t>period</w:t>
      </w:r>
      <w:r w:rsidR="000E79BC">
        <w:t xml:space="preserve">: </w:t>
      </w:r>
    </w:p>
    <w:p w14:paraId="04EA6097" w14:textId="67B7CA7C" w:rsidR="00AE5D4B" w:rsidRDefault="000E79BC" w:rsidP="00DA28CB">
      <w:pPr>
        <w:pStyle w:val="ListParagraph"/>
        <w:numPr>
          <w:ilvl w:val="0"/>
          <w:numId w:val="172"/>
        </w:numPr>
        <w:contextualSpacing w:val="0"/>
      </w:pPr>
      <w:r>
        <w:t>1-2 weeks</w:t>
      </w:r>
      <w:r w:rsidR="00411242">
        <w:rPr>
          <w:rStyle w:val="FootnoteReference"/>
        </w:rPr>
        <w:footnoteReference w:id="78"/>
      </w:r>
      <w:r>
        <w:t>,</w:t>
      </w:r>
    </w:p>
    <w:p w14:paraId="3221F136" w14:textId="2555E5AA" w:rsidR="00AE5D4B" w:rsidRDefault="00C14E6F" w:rsidP="00DA28CB">
      <w:pPr>
        <w:pStyle w:val="ListParagraph"/>
        <w:numPr>
          <w:ilvl w:val="0"/>
          <w:numId w:val="172"/>
        </w:numPr>
        <w:contextualSpacing w:val="0"/>
      </w:pPr>
      <w:r w:rsidRPr="00C14E6F">
        <w:t>6 months</w:t>
      </w:r>
      <w:r w:rsidR="00A03E76">
        <w:rPr>
          <w:rStyle w:val="FootnoteReference"/>
        </w:rPr>
        <w:footnoteReference w:id="79"/>
      </w:r>
      <w:r w:rsidRPr="00C14E6F">
        <w:t>,</w:t>
      </w:r>
    </w:p>
    <w:p w14:paraId="28F30B3B" w14:textId="3C0F2856" w:rsidR="00AE5D4B" w:rsidRDefault="00C14E6F" w:rsidP="00DA28CB">
      <w:pPr>
        <w:pStyle w:val="ListParagraph"/>
        <w:numPr>
          <w:ilvl w:val="0"/>
          <w:numId w:val="172"/>
        </w:numPr>
        <w:contextualSpacing w:val="0"/>
      </w:pPr>
      <w:r w:rsidRPr="00C14E6F">
        <w:t>1 year</w:t>
      </w:r>
      <w:r w:rsidR="00350DC9">
        <w:rPr>
          <w:rStyle w:val="FootnoteReference"/>
        </w:rPr>
        <w:footnoteReference w:id="80"/>
      </w:r>
      <w:r w:rsidR="00AE5D4B">
        <w:t xml:space="preserve">, </w:t>
      </w:r>
      <w:r w:rsidR="000E79BC">
        <w:t xml:space="preserve">and </w:t>
      </w:r>
    </w:p>
    <w:p w14:paraId="5A968484" w14:textId="77777777" w:rsidR="00AE5D4B" w:rsidRDefault="000E79BC" w:rsidP="00DA28CB">
      <w:pPr>
        <w:pStyle w:val="ListParagraph"/>
        <w:numPr>
          <w:ilvl w:val="0"/>
          <w:numId w:val="172"/>
        </w:numPr>
        <w:contextualSpacing w:val="0"/>
      </w:pPr>
      <w:r>
        <w:t>2</w:t>
      </w:r>
      <w:r w:rsidR="00C14E6F" w:rsidRPr="00C14E6F">
        <w:t xml:space="preserve"> years</w:t>
      </w:r>
      <w:r w:rsidR="00783004">
        <w:rPr>
          <w:rStyle w:val="FootnoteReference"/>
        </w:rPr>
        <w:footnoteReference w:id="81"/>
      </w:r>
      <w:r w:rsidR="00C14E6F" w:rsidRPr="00C14E6F">
        <w:t>.</w:t>
      </w:r>
      <w:r w:rsidR="00112EEA">
        <w:t xml:space="preserve"> </w:t>
      </w:r>
    </w:p>
    <w:p w14:paraId="4B77863A" w14:textId="2BACF7E7" w:rsidR="00C14E6F" w:rsidRDefault="00112EEA" w:rsidP="00AE5D4B">
      <w:pPr>
        <w:contextualSpacing w:val="0"/>
      </w:pPr>
      <w:r>
        <w:t>A</w:t>
      </w:r>
      <w:r w:rsidR="00F61A77">
        <w:t xml:space="preserve">nother </w:t>
      </w:r>
      <w:r>
        <w:t xml:space="preserve">submission requested </w:t>
      </w:r>
      <w:r w:rsidR="00D236E0">
        <w:t xml:space="preserve">there be more </w:t>
      </w:r>
      <w:r w:rsidRPr="003D3999">
        <w:t>consultation to ensure a practical and feasible implementation timeframe. Th</w:t>
      </w:r>
      <w:r>
        <w:t xml:space="preserve">e stakeholder proposed that </w:t>
      </w:r>
      <w:r w:rsidRPr="003D3999">
        <w:t xml:space="preserve">timeframe </w:t>
      </w:r>
      <w:r w:rsidR="00D236E0">
        <w:t>for implementation</w:t>
      </w:r>
      <w:r w:rsidRPr="003D3999">
        <w:t xml:space="preserve"> </w:t>
      </w:r>
      <w:r w:rsidR="00FC046C">
        <w:t>should be</w:t>
      </w:r>
      <w:r w:rsidRPr="003D3999">
        <w:t xml:space="preserve"> based on the ability </w:t>
      </w:r>
      <w:r w:rsidR="00FC046C">
        <w:t xml:space="preserve">of industry </w:t>
      </w:r>
      <w:r w:rsidRPr="003D3999">
        <w:t xml:space="preserve">to acquire sensors that confirm whether the WEL is being met, the necessary capital works </w:t>
      </w:r>
      <w:r w:rsidR="00FC046C">
        <w:t xml:space="preserve">being completed </w:t>
      </w:r>
      <w:r w:rsidRPr="003D3999">
        <w:t>and funding approvals</w:t>
      </w:r>
      <w:r w:rsidR="00741091">
        <w:t xml:space="preserve"> being approved</w:t>
      </w:r>
      <w:r w:rsidR="00E44123">
        <w:rPr>
          <w:rStyle w:val="FootnoteReference"/>
        </w:rPr>
        <w:footnoteReference w:id="82"/>
      </w:r>
      <w:r>
        <w:t>.</w:t>
      </w:r>
    </w:p>
    <w:p w14:paraId="40425B76" w14:textId="70874202" w:rsidR="008A5772" w:rsidRPr="008A5772" w:rsidRDefault="008A5772" w:rsidP="008A5772">
      <w:pPr>
        <w:contextualSpacing w:val="0"/>
      </w:pPr>
      <w:r w:rsidRPr="008A5772">
        <w:t xml:space="preserve">As mentioned in Section 7.3 of this Decision RIS, it is proposed that the new WEL for </w:t>
      </w:r>
      <w:r>
        <w:t>chlorine</w:t>
      </w:r>
      <w:r w:rsidRPr="008A5772">
        <w:t xml:space="preserve"> should come into effect on 1 December 2026. This would align with the commencement of the new WEL list and ensure the transition to the health-based exposure limits for all chemicals occurs at the same time.</w:t>
      </w:r>
    </w:p>
    <w:p w14:paraId="43972962" w14:textId="3EB8D721" w:rsidR="004E2A4C" w:rsidRDefault="005D388E" w:rsidP="00FB18E4">
      <w:pPr>
        <w:pStyle w:val="SWAHeading2"/>
        <w:keepNext/>
        <w:keepLines/>
        <w:ind w:left="709"/>
      </w:pPr>
      <w:bookmarkStart w:id="174" w:name="_Toc217055173"/>
      <w:bookmarkStart w:id="175" w:name="_Toc196204649"/>
      <w:bookmarkStart w:id="176" w:name="_Toc219216891"/>
      <w:bookmarkEnd w:id="174"/>
      <w:r>
        <w:lastRenderedPageBreak/>
        <w:t>Likely net benefit and r</w:t>
      </w:r>
      <w:r w:rsidR="00173EDD">
        <w:t xml:space="preserve">ecommended </w:t>
      </w:r>
      <w:r w:rsidR="004E2A4C">
        <w:t>option for chlorine</w:t>
      </w:r>
      <w:bookmarkEnd w:id="175"/>
      <w:bookmarkEnd w:id="176"/>
    </w:p>
    <w:p w14:paraId="0A6C7CAE" w14:textId="77777777" w:rsidR="0051606E" w:rsidRDefault="0051606E" w:rsidP="00C212FD">
      <w:pPr>
        <w:pStyle w:val="SWAHeading3"/>
      </w:pPr>
      <w:r>
        <w:t>Net benefit</w:t>
      </w:r>
    </w:p>
    <w:p w14:paraId="7EF7CFC3" w14:textId="5A32801B" w:rsidR="0051606E" w:rsidRDefault="00D2432D" w:rsidP="00C212FD">
      <w:pPr>
        <w:pStyle w:val="Paragraph"/>
        <w:keepNext w:val="0"/>
      </w:pPr>
      <w:r>
        <w:fldChar w:fldCharType="begin"/>
      </w:r>
      <w:r>
        <w:instrText xml:space="preserve"> REF _Ref216700913 \h </w:instrText>
      </w:r>
      <w:r>
        <w:fldChar w:fldCharType="separate"/>
      </w:r>
      <w:r w:rsidR="00A002F4">
        <w:t xml:space="preserve">Table </w:t>
      </w:r>
      <w:r w:rsidR="00A002F4">
        <w:rPr>
          <w:noProof/>
        </w:rPr>
        <w:t>16</w:t>
      </w:r>
      <w:r>
        <w:fldChar w:fldCharType="end"/>
      </w:r>
      <w:r w:rsidR="0051606E" w:rsidRPr="0040125E">
        <w:t xml:space="preserve"> presents the </w:t>
      </w:r>
      <w:r w:rsidR="0051606E">
        <w:t xml:space="preserve">quantified </w:t>
      </w:r>
      <w:r w:rsidR="00DC48E9">
        <w:t>gross</w:t>
      </w:r>
      <w:r w:rsidR="0051606E" w:rsidRPr="0040125E">
        <w:t xml:space="preserve"> benefits for the proposed WEL for </w:t>
      </w:r>
      <w:r w:rsidR="00766A41">
        <w:t>chlorine</w:t>
      </w:r>
      <w:r w:rsidR="0051606E" w:rsidRPr="0040125E">
        <w:t>. Both the quantifiable financial benefits estimated (</w:t>
      </w:r>
      <w:r w:rsidR="00A453A5">
        <w:fldChar w:fldCharType="begin"/>
      </w:r>
      <w:r w:rsidR="00A453A5">
        <w:instrText xml:space="preserve"> REF _Ref199857926 \h </w:instrText>
      </w:r>
      <w:r w:rsidR="00A453A5">
        <w:fldChar w:fldCharType="separate"/>
      </w:r>
      <w:r w:rsidR="00A002F4">
        <w:t xml:space="preserve">Table </w:t>
      </w:r>
      <w:r w:rsidR="00A002F4">
        <w:rPr>
          <w:noProof/>
        </w:rPr>
        <w:t>13</w:t>
      </w:r>
      <w:r w:rsidR="00A453A5">
        <w:fldChar w:fldCharType="end"/>
      </w:r>
      <w:r w:rsidR="00A453A5">
        <w:t>)</w:t>
      </w:r>
      <w:r w:rsidR="0051606E" w:rsidRPr="0040125E">
        <w:t xml:space="preserve"> were considered alongside the quantifiable costs (</w:t>
      </w:r>
      <w:r w:rsidR="00C973BD">
        <w:fldChar w:fldCharType="begin"/>
      </w:r>
      <w:r w:rsidR="00C973BD">
        <w:instrText xml:space="preserve"> REF _Ref199858016 \h </w:instrText>
      </w:r>
      <w:r w:rsidR="00C973BD">
        <w:fldChar w:fldCharType="separate"/>
      </w:r>
      <w:r w:rsidR="00A002F4">
        <w:t xml:space="preserve">Table </w:t>
      </w:r>
      <w:r w:rsidR="00A002F4">
        <w:rPr>
          <w:noProof/>
        </w:rPr>
        <w:t>14</w:t>
      </w:r>
      <w:r w:rsidR="00C973BD">
        <w:fldChar w:fldCharType="end"/>
      </w:r>
      <w:r w:rsidR="0051606E" w:rsidRPr="0040125E">
        <w:t xml:space="preserve">) to estimate a </w:t>
      </w:r>
      <w:r w:rsidR="0051606E">
        <w:t xml:space="preserve">quantified </w:t>
      </w:r>
      <w:r w:rsidR="00DC48E9">
        <w:t>gross</w:t>
      </w:r>
      <w:r w:rsidR="0051606E" w:rsidRPr="0040125E">
        <w:t xml:space="preserve"> benefit of -$</w:t>
      </w:r>
      <w:r>
        <w:t>959</w:t>
      </w:r>
      <w:r w:rsidR="0051606E" w:rsidRPr="0040125E">
        <w:t xml:space="preserve"> million over 10 years for the proposed WEL for </w:t>
      </w:r>
      <w:r w:rsidR="00766A41">
        <w:t>chlorine</w:t>
      </w:r>
      <w:r w:rsidR="0051606E" w:rsidRPr="0040125E">
        <w:t xml:space="preserve">. </w:t>
      </w:r>
    </w:p>
    <w:p w14:paraId="03EA60A8" w14:textId="3EC51339" w:rsidR="0051606E" w:rsidRPr="00A829EB" w:rsidRDefault="0051606E" w:rsidP="00C212FD">
      <w:pPr>
        <w:pStyle w:val="Paragraph"/>
        <w:keepNext w:val="0"/>
      </w:pPr>
      <w:r w:rsidRPr="00A829EB">
        <w:t xml:space="preserve">Sensitivity analysis indicates the quantified </w:t>
      </w:r>
      <w:r w:rsidR="007C6AB5" w:rsidRPr="00A829EB">
        <w:t>gross</w:t>
      </w:r>
      <w:r w:rsidRPr="00A829EB">
        <w:t xml:space="preserve"> benefit can range between -$</w:t>
      </w:r>
      <w:r w:rsidR="00817070" w:rsidRPr="00A829EB">
        <w:t>1.6</w:t>
      </w:r>
      <w:r w:rsidRPr="00A829EB">
        <w:t xml:space="preserve"> </w:t>
      </w:r>
      <w:r w:rsidR="00817070" w:rsidRPr="00A829EB">
        <w:t>b</w:t>
      </w:r>
      <w:r w:rsidRPr="00A829EB">
        <w:t xml:space="preserve">illion (under the low scenario outlined in </w:t>
      </w:r>
      <w:hyperlink w:anchor="AppendixD_SensitivityAnalysis" w:history="1">
        <w:r w:rsidR="00A829EB" w:rsidRPr="00C212FD">
          <w:rPr>
            <w:rStyle w:val="Hyperlink"/>
            <w:color w:val="auto"/>
            <w:u w:val="none"/>
          </w:rPr>
          <w:t>Appendix D</w:t>
        </w:r>
      </w:hyperlink>
      <w:r w:rsidRPr="00A829EB">
        <w:t>) and -$</w:t>
      </w:r>
      <w:r w:rsidR="00766A41" w:rsidRPr="00A829EB">
        <w:t>590</w:t>
      </w:r>
      <w:r w:rsidRPr="00A829EB">
        <w:t xml:space="preserve"> million (under the high scenario outlined in </w:t>
      </w:r>
      <w:hyperlink w:anchor="AppendixD_SensitivityAnalysis" w:history="1">
        <w:r w:rsidR="00A829EB" w:rsidRPr="00C212FD">
          <w:rPr>
            <w:rStyle w:val="Hyperlink"/>
            <w:color w:val="auto"/>
            <w:u w:val="none"/>
          </w:rPr>
          <w:t>Appendix D</w:t>
        </w:r>
      </w:hyperlink>
      <w:r w:rsidRPr="00A829EB">
        <w:t xml:space="preserve">) over 10 years for the proposed WEL for </w:t>
      </w:r>
      <w:r w:rsidR="00766A41" w:rsidRPr="00A829EB">
        <w:t>chlorine.</w:t>
      </w:r>
      <w:r w:rsidRPr="00A829EB">
        <w:t xml:space="preserve"> </w:t>
      </w:r>
    </w:p>
    <w:p w14:paraId="5BB6A1F3" w14:textId="297F3EE3" w:rsidR="00B93131" w:rsidRDefault="0051606E" w:rsidP="00C212FD">
      <w:pPr>
        <w:pStyle w:val="Paragraph"/>
        <w:keepNext w:val="0"/>
      </w:pPr>
      <w:r>
        <w:t xml:space="preserve">In order for the proposed WEL for </w:t>
      </w:r>
      <w:r w:rsidR="00766A41">
        <w:t>chlorine</w:t>
      </w:r>
      <w:r>
        <w:t xml:space="preserve"> to deliver a net benefit in economic terms, the non-quantified and qualitative benefits ou</w:t>
      </w:r>
      <w:r w:rsidRPr="0040125E">
        <w:t xml:space="preserve">tlined in Sections 5 and </w:t>
      </w:r>
      <w:r w:rsidR="00C14C00">
        <w:t>10</w:t>
      </w:r>
      <w:r w:rsidRPr="0040125E">
        <w:t>.1 of this Decision RIS</w:t>
      </w:r>
      <w:r>
        <w:t xml:space="preserve"> would need to meet or exceed a quantified </w:t>
      </w:r>
      <w:r w:rsidR="007C6AB5">
        <w:t>gross</w:t>
      </w:r>
      <w:r>
        <w:t xml:space="preserve"> cost of $</w:t>
      </w:r>
      <w:r w:rsidR="00766A41">
        <w:t>959</w:t>
      </w:r>
      <w:r>
        <w:t xml:space="preserve"> million. </w:t>
      </w:r>
    </w:p>
    <w:p w14:paraId="54108100" w14:textId="359225DB" w:rsidR="0051606E" w:rsidRDefault="0051606E" w:rsidP="0051606E">
      <w:pPr>
        <w:pStyle w:val="Paragraph"/>
        <w:keepNext w:val="0"/>
      </w:pPr>
      <w:r>
        <w:t xml:space="preserve">This quantified </w:t>
      </w:r>
      <w:r w:rsidR="007C6AB5">
        <w:t>gross</w:t>
      </w:r>
      <w:r>
        <w:t xml:space="preserve"> cost is likely to be smaller than what is estimated in </w:t>
      </w:r>
      <w:r w:rsidR="00D2432D">
        <w:fldChar w:fldCharType="begin"/>
      </w:r>
      <w:r w:rsidR="00D2432D">
        <w:instrText xml:space="preserve"> REF _Ref216700913 \h </w:instrText>
      </w:r>
      <w:r w:rsidR="00D2432D">
        <w:fldChar w:fldCharType="separate"/>
      </w:r>
      <w:r w:rsidR="00A002F4">
        <w:t xml:space="preserve">Table </w:t>
      </w:r>
      <w:r w:rsidR="00A002F4">
        <w:rPr>
          <w:noProof/>
        </w:rPr>
        <w:t>16</w:t>
      </w:r>
      <w:r w:rsidR="00D2432D">
        <w:fldChar w:fldCharType="end"/>
      </w:r>
      <w:r>
        <w:t xml:space="preserve">. </w:t>
      </w:r>
      <w:r w:rsidR="00F56E7D">
        <w:t>T</w:t>
      </w:r>
      <w:r w:rsidR="00781F44">
        <w:t>he d</w:t>
      </w:r>
      <w:r w:rsidR="00B93131">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t xml:space="preserve"> </w:t>
      </w:r>
    </w:p>
    <w:p w14:paraId="5F6A923D" w14:textId="472FACFE" w:rsidR="00AA7462" w:rsidRDefault="00AA7462" w:rsidP="0051606E">
      <w:pPr>
        <w:pStyle w:val="Paragraph"/>
        <w:keepNext w:val="0"/>
      </w:pPr>
      <w:r>
        <w:t xml:space="preserve">In considering the quantified gross benefit, together with the non-quantified and qualitative benefit, Option 2 presents a likely net benefit. </w:t>
      </w:r>
    </w:p>
    <w:p w14:paraId="5E4CBBF5" w14:textId="4C65BD0B" w:rsidR="00D2432D" w:rsidRDefault="00D2432D" w:rsidP="00C212FD">
      <w:pPr>
        <w:pStyle w:val="Caption"/>
      </w:pPr>
      <w:bookmarkStart w:id="177" w:name="_Ref216700913"/>
      <w:r>
        <w:t xml:space="preserve">Table </w:t>
      </w:r>
      <w:fldSimple w:instr=" SEQ Table \* ARABIC ">
        <w:r w:rsidR="00A002F4">
          <w:rPr>
            <w:noProof/>
          </w:rPr>
          <w:t>16</w:t>
        </w:r>
      </w:fldSimple>
      <w:bookmarkEnd w:id="177"/>
      <w:r>
        <w:t xml:space="preserve"> - </w:t>
      </w:r>
      <w:r w:rsidRPr="00A130F8">
        <w:t xml:space="preserve">Quantified </w:t>
      </w:r>
      <w:r w:rsidR="007C6AB5">
        <w:t>gross</w:t>
      </w:r>
      <w:r w:rsidRPr="00A130F8">
        <w:t xml:space="preserve"> benefit ($, millions, discounted) for the proposed WEL for </w:t>
      </w:r>
      <w:r>
        <w:t>chlorine</w:t>
      </w:r>
      <w:r w:rsidRPr="00A130F8">
        <w:t>,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B93EF1" w14:paraId="4623F205" w14:textId="77777777" w:rsidTr="00C212FD">
        <w:tc>
          <w:tcPr>
            <w:tcW w:w="3004" w:type="dxa"/>
            <w:shd w:val="clear" w:color="auto" w:fill="4877E0" w:themeFill="accent1"/>
          </w:tcPr>
          <w:p w14:paraId="6C1829C6" w14:textId="2EB4FE0E" w:rsidR="00B93EF1" w:rsidRPr="00C212FD" w:rsidRDefault="00B93EF1" w:rsidP="0051606E">
            <w:pPr>
              <w:pStyle w:val="Paragraph"/>
              <w:keepNext w:val="0"/>
              <w:rPr>
                <w:b/>
                <w:bCs/>
                <w:color w:val="FFFFFF" w:themeColor="background1"/>
              </w:rPr>
            </w:pPr>
            <w:r w:rsidRPr="00C212FD">
              <w:rPr>
                <w:b/>
                <w:bCs/>
                <w:color w:val="FFFFFF" w:themeColor="background1"/>
              </w:rPr>
              <w:t>Quantified benefits</w:t>
            </w:r>
          </w:p>
        </w:tc>
        <w:tc>
          <w:tcPr>
            <w:tcW w:w="3006" w:type="dxa"/>
            <w:shd w:val="clear" w:color="auto" w:fill="4877E0" w:themeFill="accent1"/>
          </w:tcPr>
          <w:p w14:paraId="76077209" w14:textId="61A46E12" w:rsidR="00B93EF1" w:rsidRPr="00C212FD" w:rsidRDefault="00B93EF1" w:rsidP="0051606E">
            <w:pPr>
              <w:pStyle w:val="Paragraph"/>
              <w:keepNext w:val="0"/>
              <w:rPr>
                <w:b/>
                <w:bCs/>
                <w:color w:val="FFFFFF" w:themeColor="background1"/>
              </w:rPr>
            </w:pPr>
            <w:r w:rsidRPr="00C212FD">
              <w:rPr>
                <w:b/>
                <w:bCs/>
                <w:color w:val="FFFFFF" w:themeColor="background1"/>
              </w:rPr>
              <w:t>Quantified costs</w:t>
            </w:r>
          </w:p>
        </w:tc>
        <w:tc>
          <w:tcPr>
            <w:tcW w:w="3006" w:type="dxa"/>
            <w:shd w:val="clear" w:color="auto" w:fill="4877E0" w:themeFill="accent1"/>
          </w:tcPr>
          <w:p w14:paraId="16AEACB2" w14:textId="35AC4ED1" w:rsidR="00B93EF1" w:rsidRPr="00C212FD" w:rsidRDefault="007C6AB5" w:rsidP="0051606E">
            <w:pPr>
              <w:pStyle w:val="Paragraph"/>
              <w:keepNext w:val="0"/>
              <w:rPr>
                <w:b/>
                <w:bCs/>
                <w:color w:val="FFFFFF" w:themeColor="background1"/>
              </w:rPr>
            </w:pPr>
            <w:r>
              <w:rPr>
                <w:b/>
                <w:bCs/>
                <w:color w:val="FFFFFF" w:themeColor="background1"/>
              </w:rPr>
              <w:t>Q</w:t>
            </w:r>
            <w:r w:rsidR="00977CF9" w:rsidRPr="009576C3">
              <w:rPr>
                <w:b/>
                <w:bCs/>
                <w:color w:val="FFFFFF" w:themeColor="background1"/>
              </w:rPr>
              <w:t xml:space="preserve">uantified </w:t>
            </w:r>
            <w:r>
              <w:rPr>
                <w:b/>
                <w:bCs/>
                <w:color w:val="FFFFFF" w:themeColor="background1"/>
              </w:rPr>
              <w:t xml:space="preserve">gross </w:t>
            </w:r>
            <w:r w:rsidR="00977CF9" w:rsidRPr="00C212FD">
              <w:rPr>
                <w:b/>
                <w:bCs/>
                <w:color w:val="FFFFFF" w:themeColor="background1"/>
              </w:rPr>
              <w:t>benefit</w:t>
            </w:r>
          </w:p>
        </w:tc>
      </w:tr>
      <w:tr w:rsidR="00286646" w:rsidRPr="00286646" w14:paraId="02779740" w14:textId="77777777" w:rsidTr="00CB06F3">
        <w:trPr>
          <w:trHeight w:val="300"/>
        </w:trPr>
        <w:tc>
          <w:tcPr>
            <w:tcW w:w="3004" w:type="dxa"/>
            <w:noWrap/>
            <w:hideMark/>
          </w:tcPr>
          <w:p w14:paraId="3AE879F2" w14:textId="77777777" w:rsidR="00286646" w:rsidRPr="00286646" w:rsidRDefault="00286646" w:rsidP="00C212FD">
            <w:pPr>
              <w:spacing w:after="0" w:line="240" w:lineRule="auto"/>
              <w:contextualSpacing w:val="0"/>
              <w:rPr>
                <w:rFonts w:ascii="Aptos Narrow" w:eastAsia="Times New Roman" w:hAnsi="Aptos Narrow" w:cs="Times New Roman"/>
                <w:color w:val="000000"/>
                <w:szCs w:val="22"/>
                <w:lang w:eastAsia="en-AU"/>
              </w:rPr>
            </w:pPr>
            <w:r w:rsidRPr="00286646">
              <w:rPr>
                <w:rFonts w:ascii="Aptos Narrow" w:eastAsia="Times New Roman" w:hAnsi="Aptos Narrow" w:cs="Times New Roman"/>
                <w:color w:val="000000"/>
                <w:szCs w:val="22"/>
                <w:lang w:eastAsia="en-AU"/>
              </w:rPr>
              <w:t>9</w:t>
            </w:r>
          </w:p>
        </w:tc>
        <w:tc>
          <w:tcPr>
            <w:tcW w:w="3006" w:type="dxa"/>
            <w:noWrap/>
            <w:hideMark/>
          </w:tcPr>
          <w:p w14:paraId="039B026C" w14:textId="77777777" w:rsidR="00286646" w:rsidRPr="00286646" w:rsidRDefault="00286646" w:rsidP="00C212FD">
            <w:pPr>
              <w:spacing w:after="0" w:line="240" w:lineRule="auto"/>
              <w:contextualSpacing w:val="0"/>
              <w:rPr>
                <w:rFonts w:ascii="Aptos Narrow" w:eastAsia="Times New Roman" w:hAnsi="Aptos Narrow" w:cs="Times New Roman"/>
                <w:color w:val="000000"/>
                <w:szCs w:val="22"/>
                <w:lang w:eastAsia="en-AU"/>
              </w:rPr>
            </w:pPr>
            <w:r w:rsidRPr="00286646">
              <w:rPr>
                <w:rFonts w:ascii="Aptos Narrow" w:eastAsia="Times New Roman" w:hAnsi="Aptos Narrow" w:cs="Times New Roman"/>
                <w:color w:val="000000"/>
                <w:szCs w:val="22"/>
                <w:lang w:eastAsia="en-AU"/>
              </w:rPr>
              <w:t>968</w:t>
            </w:r>
          </w:p>
        </w:tc>
        <w:tc>
          <w:tcPr>
            <w:tcW w:w="3006" w:type="dxa"/>
            <w:noWrap/>
            <w:hideMark/>
          </w:tcPr>
          <w:p w14:paraId="6CB8A3FA" w14:textId="02B404BB" w:rsidR="00286646" w:rsidRPr="00286646" w:rsidRDefault="00286646" w:rsidP="00286646">
            <w:pPr>
              <w:spacing w:after="0" w:line="240" w:lineRule="auto"/>
              <w:contextualSpacing w:val="0"/>
              <w:rPr>
                <w:rFonts w:ascii="Aptos Narrow" w:eastAsia="Times New Roman" w:hAnsi="Aptos Narrow" w:cs="Times New Roman"/>
                <w:color w:val="000000"/>
                <w:szCs w:val="22"/>
                <w:lang w:eastAsia="en-AU"/>
              </w:rPr>
            </w:pPr>
            <w:r w:rsidRPr="00286646">
              <w:rPr>
                <w:rFonts w:ascii="Aptos Narrow" w:eastAsia="Times New Roman" w:hAnsi="Aptos Narrow" w:cs="Times New Roman"/>
                <w:color w:val="000000"/>
                <w:szCs w:val="22"/>
                <w:lang w:eastAsia="en-AU"/>
              </w:rPr>
              <w:t xml:space="preserve">- 959 </w:t>
            </w:r>
          </w:p>
        </w:tc>
      </w:tr>
    </w:tbl>
    <w:p w14:paraId="73FFA161" w14:textId="7913908B" w:rsidR="00CB06F3" w:rsidRPr="00C212FD" w:rsidRDefault="00CB06F3" w:rsidP="00C212FD">
      <w:pPr>
        <w:pStyle w:val="SWAHeading3"/>
        <w:spacing w:before="0"/>
        <w:rPr>
          <w:color w:val="808080" w:themeColor="background1" w:themeShade="80"/>
          <w:sz w:val="18"/>
          <w:szCs w:val="20"/>
        </w:rPr>
      </w:pPr>
      <w:r w:rsidRPr="00FC7340">
        <w:rPr>
          <w:i/>
          <w:iCs/>
          <w:color w:val="808080" w:themeColor="background1" w:themeShade="80"/>
          <w:sz w:val="18"/>
          <w:szCs w:val="20"/>
        </w:rPr>
        <w:t>** The quantified gross benefit should be read in conjunction with the non-quantifiable benefits set out in Section 5.2 and 1</w:t>
      </w:r>
      <w:r w:rsidR="00F964DB">
        <w:rPr>
          <w:i/>
          <w:iCs/>
          <w:color w:val="808080" w:themeColor="background1" w:themeShade="80"/>
          <w:sz w:val="18"/>
          <w:szCs w:val="20"/>
        </w:rPr>
        <w:t>0</w:t>
      </w:r>
      <w:r w:rsidRPr="00FC7340">
        <w:rPr>
          <w:i/>
          <w:iCs/>
          <w:color w:val="808080" w:themeColor="background1" w:themeShade="80"/>
          <w:sz w:val="18"/>
          <w:szCs w:val="20"/>
        </w:rPr>
        <w:t>.1.</w:t>
      </w:r>
    </w:p>
    <w:p w14:paraId="76C6DADC" w14:textId="78428095" w:rsidR="00B33DBE" w:rsidRPr="0051606E" w:rsidRDefault="0051606E" w:rsidP="00C212FD">
      <w:pPr>
        <w:pStyle w:val="SWAHeading3"/>
      </w:pPr>
      <w:r>
        <w:t>Recommended option</w:t>
      </w:r>
    </w:p>
    <w:tbl>
      <w:tblPr>
        <w:tblStyle w:val="TableGrid"/>
        <w:tblW w:w="0" w:type="auto"/>
        <w:tblLook w:val="04A0" w:firstRow="1" w:lastRow="0" w:firstColumn="1" w:lastColumn="0" w:noHBand="0" w:noVBand="1"/>
      </w:tblPr>
      <w:tblGrid>
        <w:gridCol w:w="9016"/>
      </w:tblGrid>
      <w:tr w:rsidR="009342E9" w14:paraId="773A2B4A" w14:textId="77777777" w:rsidTr="27F845C1">
        <w:tc>
          <w:tcPr>
            <w:tcW w:w="9016" w:type="dxa"/>
            <w:tcBorders>
              <w:top w:val="single" w:sz="4" w:space="0" w:color="DAE3F8" w:themeColor="accent1" w:themeTint="33"/>
              <w:left w:val="single" w:sz="4" w:space="0" w:color="DAE3F8" w:themeColor="accent1" w:themeTint="33"/>
              <w:bottom w:val="single" w:sz="4" w:space="0" w:color="DAE3F8" w:themeColor="accent1" w:themeTint="33"/>
              <w:right w:val="single" w:sz="4" w:space="0" w:color="DAE3F8" w:themeColor="accent1" w:themeTint="33"/>
            </w:tcBorders>
            <w:shd w:val="clear" w:color="auto" w:fill="DAE3F8" w:themeFill="accent1" w:themeFillTint="33"/>
          </w:tcPr>
          <w:p w14:paraId="2D4CEAF7" w14:textId="4EE5E877" w:rsidR="00D82D69" w:rsidRDefault="00D82D69" w:rsidP="00C212FD">
            <w:pPr>
              <w:pStyle w:val="Paragraph"/>
              <w:keepNext w:val="0"/>
              <w:spacing w:before="240" w:after="120"/>
              <w:rPr>
                <w:lang w:eastAsia="en-US"/>
              </w:rPr>
            </w:pPr>
            <w:r>
              <w:rPr>
                <w:lang w:eastAsia="en-US"/>
              </w:rPr>
              <w:t xml:space="preserve">It is recommended WHS ministers agree </w:t>
            </w:r>
            <w:r w:rsidDel="002D4274">
              <w:rPr>
                <w:lang w:eastAsia="en-US"/>
              </w:rPr>
              <w:t xml:space="preserve">to </w:t>
            </w:r>
            <w:r>
              <w:rPr>
                <w:lang w:eastAsia="en-US"/>
              </w:rPr>
              <w:t>the health-based recommendation for the WEL for chlorine (</w:t>
            </w:r>
            <w:r w:rsidRPr="00361F5D">
              <w:rPr>
                <w:b/>
                <w:bCs/>
                <w:lang w:eastAsia="en-US"/>
              </w:rPr>
              <w:t>Option 2</w:t>
            </w:r>
            <w:r>
              <w:rPr>
                <w:lang w:eastAsia="en-US"/>
              </w:rPr>
              <w:t xml:space="preserve">): </w:t>
            </w:r>
            <w:r w:rsidRPr="009342E9">
              <w:rPr>
                <w:lang w:eastAsia="en-US"/>
              </w:rPr>
              <w:t>TWA</w:t>
            </w:r>
            <w:r w:rsidRPr="009342E9" w:rsidDel="00D47319">
              <w:rPr>
                <w:lang w:eastAsia="en-US"/>
              </w:rPr>
              <w:t xml:space="preserve"> </w:t>
            </w:r>
            <w:r w:rsidRPr="009342E9">
              <w:rPr>
                <w:lang w:eastAsia="en-US"/>
              </w:rPr>
              <w:t>of 0.1 ppm (0.29 mg/m</w:t>
            </w:r>
            <w:r w:rsidRPr="009342E9">
              <w:rPr>
                <w:vertAlign w:val="superscript"/>
                <w:lang w:eastAsia="en-US"/>
              </w:rPr>
              <w:t>3</w:t>
            </w:r>
            <w:r w:rsidRPr="009342E9">
              <w:rPr>
                <w:lang w:eastAsia="en-US"/>
              </w:rPr>
              <w:t>)</w:t>
            </w:r>
            <w:r>
              <w:rPr>
                <w:lang w:eastAsia="en-US"/>
              </w:rPr>
              <w:t xml:space="preserve"> </w:t>
            </w:r>
            <w:r w:rsidRPr="009342E9">
              <w:rPr>
                <w:lang w:eastAsia="en-US"/>
              </w:rPr>
              <w:t>and peak limitation of 0.4 ppm (1.16 mg/m</w:t>
            </w:r>
            <w:r w:rsidRPr="009342E9">
              <w:rPr>
                <w:vertAlign w:val="superscript"/>
                <w:lang w:eastAsia="en-US"/>
              </w:rPr>
              <w:t>3</w:t>
            </w:r>
            <w:r w:rsidRPr="009342E9">
              <w:rPr>
                <w:lang w:eastAsia="en-US"/>
              </w:rPr>
              <w:t>)</w:t>
            </w:r>
            <w:r>
              <w:rPr>
                <w:lang w:eastAsia="en-US"/>
              </w:rPr>
              <w:t>. This recommendation is based on the f</w:t>
            </w:r>
            <w:r w:rsidR="009342E9">
              <w:rPr>
                <w:lang w:eastAsia="en-US"/>
              </w:rPr>
              <w:t>ollowing consideration</w:t>
            </w:r>
            <w:r>
              <w:rPr>
                <w:lang w:eastAsia="en-US"/>
              </w:rPr>
              <w:t>s:</w:t>
            </w:r>
          </w:p>
          <w:p w14:paraId="7A420CC3" w14:textId="3BAB67ED" w:rsidR="00737155" w:rsidRDefault="1064BB73" w:rsidP="00C212FD">
            <w:pPr>
              <w:pStyle w:val="Paragraph"/>
              <w:keepNext w:val="0"/>
              <w:numPr>
                <w:ilvl w:val="0"/>
                <w:numId w:val="69"/>
              </w:numPr>
              <w:spacing w:after="120"/>
              <w:rPr>
                <w:lang w:eastAsia="en-US"/>
              </w:rPr>
            </w:pPr>
            <w:r>
              <w:t xml:space="preserve">that the proposed WEL for </w:t>
            </w:r>
            <w:r w:rsidR="5B79A891">
              <w:t>chlorine</w:t>
            </w:r>
            <w:r>
              <w:t xml:space="preserve"> </w:t>
            </w:r>
            <w:r w:rsidR="7C0A132F">
              <w:t>aligns with</w:t>
            </w:r>
            <w:r>
              <w:t xml:space="preserve"> the object of the model WHS Act</w:t>
            </w:r>
            <w:r w:rsidR="00737155" w:rsidDel="1064BB73">
              <w:t xml:space="preserve"> </w:t>
            </w:r>
            <w:r>
              <w:t>to protect workers and others from harm to their health, safety and welfare through the elimination or minimisation of risks</w:t>
            </w:r>
            <w:r w:rsidR="00D57AD9">
              <w:t>,</w:t>
            </w:r>
            <w:r>
              <w:t xml:space="preserve"> </w:t>
            </w:r>
          </w:p>
          <w:p w14:paraId="3A6393CA" w14:textId="2D0B7DEB" w:rsidR="00560E0D" w:rsidRPr="00560E0D" w:rsidRDefault="76AEF025" w:rsidP="00A2768E">
            <w:pPr>
              <w:pStyle w:val="ListParagraph"/>
              <w:numPr>
                <w:ilvl w:val="0"/>
                <w:numId w:val="69"/>
              </w:numPr>
              <w:rPr>
                <w:rFonts w:eastAsia="Times New Roman"/>
                <w:lang w:eastAsia="en-AU"/>
              </w:rPr>
            </w:pPr>
            <w:r w:rsidRPr="27F845C1">
              <w:rPr>
                <w:rFonts w:eastAsia="Times New Roman"/>
                <w:lang w:eastAsia="en-AU"/>
              </w:rPr>
              <w:t xml:space="preserve">the scientific evidence that indicates the </w:t>
            </w:r>
            <w:r w:rsidR="5393150E" w:rsidRPr="27F845C1">
              <w:rPr>
                <w:rFonts w:eastAsia="Times New Roman"/>
                <w:lang w:eastAsia="en-AU"/>
              </w:rPr>
              <w:t>proposed</w:t>
            </w:r>
            <w:r w:rsidRPr="27F845C1">
              <w:rPr>
                <w:rFonts w:eastAsia="Times New Roman"/>
                <w:lang w:eastAsia="en-AU"/>
              </w:rPr>
              <w:t xml:space="preserve"> </w:t>
            </w:r>
            <w:r w:rsidR="2C17C8B7" w:rsidRPr="27F845C1">
              <w:rPr>
                <w:rFonts w:eastAsia="Times New Roman"/>
                <w:lang w:eastAsia="en-AU"/>
              </w:rPr>
              <w:t xml:space="preserve">health-based exposure limit </w:t>
            </w:r>
            <w:r w:rsidR="3120A90A" w:rsidRPr="27F845C1">
              <w:rPr>
                <w:rFonts w:eastAsia="Times New Roman"/>
                <w:lang w:eastAsia="en-AU"/>
              </w:rPr>
              <w:t xml:space="preserve">is the </w:t>
            </w:r>
            <w:r w:rsidRPr="27F845C1">
              <w:rPr>
                <w:rFonts w:eastAsia="Times New Roman"/>
                <w:lang w:eastAsia="en-AU"/>
              </w:rPr>
              <w:t>protective of workers</w:t>
            </w:r>
            <w:r w:rsidR="00D57AD9">
              <w:rPr>
                <w:rFonts w:eastAsia="Times New Roman"/>
                <w:lang w:eastAsia="en-AU"/>
              </w:rPr>
              <w:t>,</w:t>
            </w:r>
            <w:r w:rsidRPr="27F845C1">
              <w:rPr>
                <w:rFonts w:eastAsia="Times New Roman"/>
                <w:lang w:eastAsia="en-AU"/>
              </w:rPr>
              <w:t xml:space="preserve"> </w:t>
            </w:r>
          </w:p>
          <w:p w14:paraId="6DE173BD" w14:textId="1D9B9662" w:rsidR="00576029" w:rsidRDefault="00EF2A3D" w:rsidP="00C212FD">
            <w:pPr>
              <w:pStyle w:val="Paragraph"/>
              <w:keepNext w:val="0"/>
              <w:numPr>
                <w:ilvl w:val="0"/>
                <w:numId w:val="69"/>
              </w:numPr>
              <w:spacing w:after="120"/>
              <w:rPr>
                <w:lang w:eastAsia="en-US"/>
              </w:rPr>
            </w:pPr>
            <w:r>
              <w:rPr>
                <w:lang w:eastAsia="en-US"/>
              </w:rPr>
              <w:t xml:space="preserve">that some </w:t>
            </w:r>
            <w:r w:rsidR="002D4274">
              <w:rPr>
                <w:lang w:eastAsia="en-US"/>
              </w:rPr>
              <w:t xml:space="preserve">stakeholder </w:t>
            </w:r>
            <w:r w:rsidR="00576029">
              <w:rPr>
                <w:lang w:eastAsia="en-US"/>
              </w:rPr>
              <w:t>views and comments on the proposed WEL</w:t>
            </w:r>
            <w:r>
              <w:rPr>
                <w:lang w:eastAsia="en-US"/>
              </w:rPr>
              <w:t xml:space="preserve"> were in agreement </w:t>
            </w:r>
            <w:r w:rsidR="00D97F2E">
              <w:rPr>
                <w:lang w:eastAsia="en-US"/>
              </w:rPr>
              <w:t>that the WEL for chlorine should be protective of workers</w:t>
            </w:r>
            <w:r w:rsidR="00F21A2B">
              <w:rPr>
                <w:lang w:eastAsia="en-US"/>
              </w:rPr>
              <w:t>, in line with the objectives of the model WHS Act</w:t>
            </w:r>
            <w:r w:rsidR="002D4274">
              <w:rPr>
                <w:lang w:eastAsia="en-US"/>
              </w:rPr>
              <w:t>, and</w:t>
            </w:r>
          </w:p>
          <w:p w14:paraId="24ACCA51" w14:textId="530FC76F" w:rsidR="00D511E0" w:rsidRDefault="00F21A2B" w:rsidP="00C212FD">
            <w:pPr>
              <w:pStyle w:val="Paragraph"/>
              <w:keepNext w:val="0"/>
              <w:numPr>
                <w:ilvl w:val="0"/>
                <w:numId w:val="69"/>
              </w:numPr>
              <w:spacing w:after="120"/>
              <w:rPr>
                <w:lang w:eastAsia="en-US"/>
              </w:rPr>
            </w:pPr>
            <w:r w:rsidRPr="00F21A2B">
              <w:rPr>
                <w:lang w:eastAsia="en-US"/>
              </w:rPr>
              <w:t xml:space="preserve">the net benefit expected, particularly </w:t>
            </w:r>
            <w:r w:rsidR="000F44E1">
              <w:rPr>
                <w:lang w:eastAsia="en-US"/>
              </w:rPr>
              <w:t xml:space="preserve">the </w:t>
            </w:r>
            <w:r w:rsidRPr="00F21A2B">
              <w:rPr>
                <w:lang w:eastAsia="en-US"/>
              </w:rPr>
              <w:t xml:space="preserve">protection of workers from developing </w:t>
            </w:r>
            <w:r w:rsidR="000F44E1" w:rsidRPr="000F44E1">
              <w:rPr>
                <w:lang w:eastAsia="en-US"/>
              </w:rPr>
              <w:t>risk of eye</w:t>
            </w:r>
            <w:r w:rsidR="000F44E1">
              <w:rPr>
                <w:lang w:eastAsia="en-US"/>
              </w:rPr>
              <w:t>,</w:t>
            </w:r>
            <w:r w:rsidR="000F44E1" w:rsidRPr="000F44E1">
              <w:rPr>
                <w:lang w:eastAsia="en-US"/>
              </w:rPr>
              <w:t xml:space="preserve"> respiratory tract irritation</w:t>
            </w:r>
            <w:r w:rsidR="000F44E1">
              <w:rPr>
                <w:lang w:eastAsia="en-US"/>
              </w:rPr>
              <w:t xml:space="preserve">, and </w:t>
            </w:r>
            <w:r w:rsidR="000F44E1" w:rsidRPr="000F44E1">
              <w:rPr>
                <w:lang w:eastAsia="en-US"/>
              </w:rPr>
              <w:t>irreversible impairment of lung function</w:t>
            </w:r>
            <w:r w:rsidR="00361F5D">
              <w:rPr>
                <w:lang w:eastAsia="en-US"/>
              </w:rPr>
              <w:t>.</w:t>
            </w:r>
          </w:p>
          <w:p w14:paraId="4930FBD6" w14:textId="5B6A440B" w:rsidR="00D511E0" w:rsidRDefault="00D511E0" w:rsidP="00C212FD">
            <w:pPr>
              <w:pStyle w:val="Paragraph"/>
              <w:keepNext w:val="0"/>
              <w:spacing w:after="120"/>
              <w:ind w:left="26"/>
              <w:rPr>
                <w:lang w:eastAsia="en-US"/>
              </w:rPr>
            </w:pPr>
            <w:r w:rsidRPr="00560E0D">
              <w:lastRenderedPageBreak/>
              <w:t xml:space="preserve">It </w:t>
            </w:r>
            <w:r w:rsidRPr="008B1DDD">
              <w:t xml:space="preserve">is also recommended WHS ministers agree </w:t>
            </w:r>
            <w:r w:rsidR="00DC2718">
              <w:t xml:space="preserve">there be </w:t>
            </w:r>
            <w:r w:rsidR="00A724A0" w:rsidRPr="00BA36C4">
              <w:t>a transition</w:t>
            </w:r>
            <w:r w:rsidRPr="008B1DDD">
              <w:t xml:space="preserve"> </w:t>
            </w:r>
            <w:r w:rsidR="00CB0CA8" w:rsidRPr="008B1DDD">
              <w:t xml:space="preserve">period </w:t>
            </w:r>
            <w:r w:rsidRPr="008B1DDD">
              <w:t xml:space="preserve">for </w:t>
            </w:r>
            <w:r w:rsidR="00CB0CA8" w:rsidRPr="008B1DDD">
              <w:t>chlorine</w:t>
            </w:r>
            <w:r w:rsidRPr="008B1DDD">
              <w:t xml:space="preserve"> </w:t>
            </w:r>
            <w:r w:rsidR="00A724A0" w:rsidRPr="00BA36C4">
              <w:t>aligned to</w:t>
            </w:r>
            <w:r w:rsidRPr="008B1DDD">
              <w:t xml:space="preserve"> the 1 December 2026 implementation date for the </w:t>
            </w:r>
            <w:r w:rsidRPr="008B1DDD">
              <w:rPr>
                <w:i/>
              </w:rPr>
              <w:t>Workplace exposure limits for airborne contaminants</w:t>
            </w:r>
            <w:r w:rsidRPr="008B1DDD">
              <w:t>.</w:t>
            </w:r>
            <w:r>
              <w:t xml:space="preserve">  </w:t>
            </w:r>
          </w:p>
        </w:tc>
      </w:tr>
    </w:tbl>
    <w:p w14:paraId="2CABCA20" w14:textId="3FCD3848" w:rsidR="000B51DC" w:rsidRPr="00DB5AC1" w:rsidRDefault="00053B8D" w:rsidP="00DB5AC1">
      <w:pPr>
        <w:pStyle w:val="SWAHeading1"/>
      </w:pPr>
      <w:bookmarkStart w:id="178" w:name="_Toc217055175"/>
      <w:bookmarkStart w:id="179" w:name="_Toc179376602"/>
      <w:bookmarkStart w:id="180" w:name="_Toc181003129"/>
      <w:bookmarkStart w:id="181" w:name="_Toc193192605"/>
      <w:bookmarkStart w:id="182" w:name="_Toc196204651"/>
      <w:bookmarkEnd w:id="165"/>
      <w:bookmarkEnd w:id="178"/>
      <w:r>
        <w:lastRenderedPageBreak/>
        <w:t xml:space="preserve"> </w:t>
      </w:r>
      <w:bookmarkStart w:id="183" w:name="_Toc219216892"/>
      <w:r w:rsidR="00E963ED">
        <w:t xml:space="preserve">Detailed </w:t>
      </w:r>
      <w:r w:rsidR="00103082">
        <w:t>i</w:t>
      </w:r>
      <w:r w:rsidR="00E963ED">
        <w:t xml:space="preserve">mpact </w:t>
      </w:r>
      <w:r w:rsidR="00103082">
        <w:t>a</w:t>
      </w:r>
      <w:r w:rsidR="00E963ED">
        <w:t xml:space="preserve">ssessment for </w:t>
      </w:r>
      <w:r w:rsidR="00103082">
        <w:t>c</w:t>
      </w:r>
      <w:r w:rsidR="000B51DC" w:rsidRPr="00DB5AC1">
        <w:t>opper</w:t>
      </w:r>
      <w:bookmarkEnd w:id="179"/>
      <w:bookmarkEnd w:id="180"/>
      <w:bookmarkEnd w:id="181"/>
      <w:bookmarkEnd w:id="182"/>
      <w:bookmarkEnd w:id="183"/>
    </w:p>
    <w:tbl>
      <w:tblPr>
        <w:tblStyle w:val="TableGrid"/>
        <w:tblW w:w="0" w:type="auto"/>
        <w:tblLook w:val="04A0" w:firstRow="1" w:lastRow="0" w:firstColumn="1" w:lastColumn="0" w:noHBand="0" w:noVBand="1"/>
      </w:tblPr>
      <w:tblGrid>
        <w:gridCol w:w="9016"/>
      </w:tblGrid>
      <w:tr w:rsidR="000B51DC" w14:paraId="1AC48BEE" w14:textId="77777777" w:rsidTr="00FB18E4">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5575FCC0" w14:textId="77777777" w:rsidR="000B51DC" w:rsidRDefault="000B51DC">
            <w:pPr>
              <w:pStyle w:val="SWAHeading3"/>
              <w:keepNext/>
              <w:keepLines/>
            </w:pPr>
            <w:bookmarkStart w:id="184" w:name="_Toc193192606"/>
            <w:bookmarkStart w:id="185" w:name="_Toc196204652"/>
            <w:r>
              <w:t>Policy options for copper</w:t>
            </w:r>
            <w:bookmarkEnd w:id="184"/>
            <w:bookmarkEnd w:id="185"/>
          </w:p>
          <w:p w14:paraId="2A6E2466" w14:textId="34BC752D" w:rsidR="000B51DC" w:rsidRDefault="000B51DC" w:rsidP="38A49B51">
            <w:pPr>
              <w:pStyle w:val="Paragraph"/>
              <w:rPr>
                <w:lang w:eastAsia="en-US"/>
              </w:rPr>
            </w:pPr>
            <w:r w:rsidRPr="38A49B51">
              <w:rPr>
                <w:lang w:eastAsia="en-US"/>
              </w:rPr>
              <w:t>Option 1 is to retain the current TWA</w:t>
            </w:r>
            <w:r w:rsidRPr="38A49B51" w:rsidDel="00F61D0B">
              <w:rPr>
                <w:lang w:eastAsia="en-US"/>
              </w:rPr>
              <w:t xml:space="preserve"> </w:t>
            </w:r>
            <w:r w:rsidRPr="38A49B51">
              <w:rPr>
                <w:lang w:eastAsia="en-US"/>
              </w:rPr>
              <w:t>of 0.2 mg/m</w:t>
            </w:r>
            <w:r w:rsidRPr="38A49B51">
              <w:rPr>
                <w:vertAlign w:val="superscript"/>
                <w:lang w:eastAsia="en-US"/>
              </w:rPr>
              <w:t>3</w:t>
            </w:r>
            <w:r w:rsidRPr="38A49B51">
              <w:rPr>
                <w:lang w:eastAsia="en-US"/>
              </w:rPr>
              <w:t xml:space="preserve"> for copper fumes and 1 mg/m</w:t>
            </w:r>
            <w:r w:rsidRPr="38A49B51">
              <w:rPr>
                <w:vertAlign w:val="superscript"/>
                <w:lang w:eastAsia="en-US"/>
              </w:rPr>
              <w:t>3</w:t>
            </w:r>
            <w:r w:rsidRPr="38A49B51">
              <w:rPr>
                <w:lang w:eastAsia="en-US"/>
              </w:rPr>
              <w:t xml:space="preserve"> for copper dusts and mists. </w:t>
            </w:r>
          </w:p>
          <w:p w14:paraId="5E771DF1" w14:textId="0B96C574" w:rsidR="000B51DC" w:rsidRPr="00DA0793" w:rsidRDefault="000B51DC" w:rsidP="38A49B51">
            <w:pPr>
              <w:pStyle w:val="Paragraph"/>
              <w:rPr>
                <w:lang w:eastAsia="en-US"/>
              </w:rPr>
            </w:pPr>
            <w:r w:rsidRPr="38A49B51">
              <w:rPr>
                <w:lang w:eastAsia="en-US"/>
              </w:rPr>
              <w:t>Option 2 is to change to the proposed TWA</w:t>
            </w:r>
            <w:r w:rsidRPr="38A49B51" w:rsidDel="00F61D0B">
              <w:rPr>
                <w:lang w:eastAsia="en-US"/>
              </w:rPr>
              <w:t xml:space="preserve"> </w:t>
            </w:r>
            <w:r w:rsidRPr="38A49B51">
              <w:rPr>
                <w:lang w:eastAsia="en-US"/>
              </w:rPr>
              <w:t>of 0.01 mg/m</w:t>
            </w:r>
            <w:r w:rsidRPr="38A49B51">
              <w:rPr>
                <w:vertAlign w:val="superscript"/>
                <w:lang w:eastAsia="en-US"/>
              </w:rPr>
              <w:t>3</w:t>
            </w:r>
            <w:r w:rsidRPr="38A49B51">
              <w:rPr>
                <w:lang w:eastAsia="en-US"/>
              </w:rPr>
              <w:t xml:space="preserve"> for copper fumes, dusts and mists</w:t>
            </w:r>
            <w:r w:rsidR="000D08E0">
              <w:rPr>
                <w:lang w:eastAsia="en-US"/>
              </w:rPr>
              <w:t xml:space="preserve"> </w:t>
            </w:r>
            <w:r w:rsidR="00792576">
              <w:rPr>
                <w:lang w:eastAsia="en-US"/>
              </w:rPr>
              <w:t>(respirable)</w:t>
            </w:r>
            <w:r w:rsidR="000D08E0">
              <w:rPr>
                <w:lang w:eastAsia="en-US"/>
              </w:rPr>
              <w:t xml:space="preserve"> – </w:t>
            </w:r>
            <w:r w:rsidR="000D08E0" w:rsidRPr="008F42B3">
              <w:rPr>
                <w:b/>
                <w:lang w:eastAsia="en-US"/>
              </w:rPr>
              <w:t>recommended</w:t>
            </w:r>
            <w:r w:rsidRPr="38A49B51">
              <w:rPr>
                <w:lang w:eastAsia="en-US"/>
              </w:rPr>
              <w:t xml:space="preserve">. </w:t>
            </w:r>
          </w:p>
        </w:tc>
      </w:tr>
    </w:tbl>
    <w:p w14:paraId="40E514E2" w14:textId="0B68149A" w:rsidR="007D1D57" w:rsidRDefault="00F61D0B" w:rsidP="00FB18E4">
      <w:pPr>
        <w:pStyle w:val="SWAHeading2"/>
        <w:ind w:left="709"/>
      </w:pPr>
      <w:bookmarkStart w:id="186" w:name="_Toc196204653"/>
      <w:bookmarkStart w:id="187" w:name="_Toc219216893"/>
      <w:bookmarkStart w:id="188" w:name="_Toc193192607"/>
      <w:r>
        <w:t>Benefits of the proposed WEL</w:t>
      </w:r>
      <w:r w:rsidR="00AD0E71">
        <w:t xml:space="preserve"> for c</w:t>
      </w:r>
      <w:r w:rsidR="00345BFE">
        <w:t>opp</w:t>
      </w:r>
      <w:r w:rsidR="00D8239B">
        <w:t>er</w:t>
      </w:r>
      <w:bookmarkEnd w:id="186"/>
      <w:bookmarkEnd w:id="187"/>
    </w:p>
    <w:p w14:paraId="66703B91" w14:textId="6D57D561" w:rsidR="001F330A" w:rsidRPr="001F330A" w:rsidRDefault="001F330A" w:rsidP="008F42B3">
      <w:pPr>
        <w:pStyle w:val="SWAHeading3"/>
      </w:pPr>
      <w:r>
        <w:t xml:space="preserve">Health </w:t>
      </w:r>
      <w:r w:rsidR="00DA30AD">
        <w:t>impacts</w:t>
      </w:r>
      <w:r>
        <w:t xml:space="preserve"> of the proposed WEL for copper</w:t>
      </w:r>
    </w:p>
    <w:p w14:paraId="35BC0676" w14:textId="57B42F59" w:rsidR="0070219A" w:rsidRDefault="00D91028" w:rsidP="00094DA2">
      <w:pPr>
        <w:spacing w:line="240" w:lineRule="atLeast"/>
        <w:contextualSpacing w:val="0"/>
      </w:pPr>
      <w:r>
        <w:t xml:space="preserve">The </w:t>
      </w:r>
      <w:r w:rsidR="003E51D1">
        <w:t xml:space="preserve">proposed </w:t>
      </w:r>
      <w:r w:rsidR="0064703C" w:rsidRPr="0064703C">
        <w:t>TWA</w:t>
      </w:r>
      <w:r w:rsidR="0064703C" w:rsidRPr="0064703C" w:rsidDel="00F61D0B">
        <w:t xml:space="preserve"> </w:t>
      </w:r>
      <w:r w:rsidR="0064703C" w:rsidRPr="0064703C">
        <w:t>of 0.01 mg/m</w:t>
      </w:r>
      <w:r w:rsidR="0064703C" w:rsidRPr="0064703C">
        <w:rPr>
          <w:vertAlign w:val="superscript"/>
        </w:rPr>
        <w:t>3</w:t>
      </w:r>
      <w:r w:rsidR="0064703C">
        <w:t xml:space="preserve"> for</w:t>
      </w:r>
      <w:r w:rsidR="003E51D1">
        <w:t xml:space="preserve"> copper </w:t>
      </w:r>
      <w:r w:rsidR="00814179">
        <w:t>will</w:t>
      </w:r>
      <w:r w:rsidR="003E51D1">
        <w:t xml:space="preserve"> protect workers </w:t>
      </w:r>
      <w:r w:rsidR="00B82D22">
        <w:t xml:space="preserve">and others </w:t>
      </w:r>
      <w:r w:rsidR="0070219A">
        <w:t>in the workplace from the risk of developing</w:t>
      </w:r>
      <w:r>
        <w:t xml:space="preserve"> irritation of the respiratory tract</w:t>
      </w:r>
      <w:r w:rsidR="00094E1D">
        <w:t xml:space="preserve"> </w:t>
      </w:r>
      <w:sdt>
        <w:sdtPr>
          <w:id w:val="-1391111064"/>
          <w:citation/>
        </w:sdtPr>
        <w:sdtEndPr/>
        <w:sdtContent>
          <w:r w:rsidR="00094E1D">
            <w:fldChar w:fldCharType="begin"/>
          </w:r>
          <w:r w:rsidR="00094E1D">
            <w:instrText xml:space="preserve"> CITATION Saf194 \l 3081 </w:instrText>
          </w:r>
          <w:r w:rsidR="00094E1D">
            <w:fldChar w:fldCharType="separate"/>
          </w:r>
          <w:r w:rsidR="00490B21">
            <w:rPr>
              <w:noProof/>
            </w:rPr>
            <w:t>(Safe Work Australia, 2019)</w:t>
          </w:r>
          <w:r w:rsidR="00094E1D">
            <w:fldChar w:fldCharType="end"/>
          </w:r>
        </w:sdtContent>
      </w:sdt>
      <w:r w:rsidR="00C9237E">
        <w:t>.</w:t>
      </w:r>
      <w:r w:rsidR="00657E2D">
        <w:t xml:space="preserve"> </w:t>
      </w:r>
      <w:r w:rsidR="00657E2D" w:rsidRPr="00657E2D">
        <w:t xml:space="preserve">It is likely to benefit the estimated </w:t>
      </w:r>
      <w:r w:rsidR="00A83F3D">
        <w:t>380,834</w:t>
      </w:r>
      <w:r w:rsidR="00657E2D" w:rsidRPr="00657E2D">
        <w:t xml:space="preserve"> workers who are at risk of exposure to </w:t>
      </w:r>
      <w:r w:rsidR="00657E2D">
        <w:t>copper</w:t>
      </w:r>
      <w:r w:rsidR="00657E2D" w:rsidRPr="00657E2D">
        <w:t xml:space="preserve">, and therefore also at risk of developing irritation of the respiratory tract. </w:t>
      </w:r>
    </w:p>
    <w:p w14:paraId="591C6656" w14:textId="4855804B" w:rsidR="001E32EE" w:rsidRDefault="0070219A" w:rsidP="00094DA2">
      <w:pPr>
        <w:spacing w:line="240" w:lineRule="atLeast"/>
        <w:contextualSpacing w:val="0"/>
      </w:pPr>
      <w:hyperlink r:id="rId42" w:history="1">
        <w:r w:rsidRPr="00346C74">
          <w:rPr>
            <w:rStyle w:val="Hyperlink"/>
          </w:rPr>
          <w:t xml:space="preserve">Health </w:t>
        </w:r>
        <w:r w:rsidR="001019A9" w:rsidRPr="00346C74">
          <w:rPr>
            <w:rStyle w:val="Hyperlink"/>
          </w:rPr>
          <w:t>evidence</w:t>
        </w:r>
      </w:hyperlink>
      <w:r>
        <w:t xml:space="preserve"> in the evaluation report</w:t>
      </w:r>
      <w:r w:rsidR="00A427B9">
        <w:t xml:space="preserve"> </w:t>
      </w:r>
      <w:r>
        <w:t>for copper</w:t>
      </w:r>
      <w:r w:rsidR="001019A9">
        <w:t xml:space="preserve"> showed</w:t>
      </w:r>
      <w:r w:rsidR="00656695">
        <w:t xml:space="preserve"> workers’</w:t>
      </w:r>
      <w:r w:rsidR="001019A9">
        <w:t xml:space="preserve"> exposure</w:t>
      </w:r>
      <w:r w:rsidR="00656695">
        <w:t xml:space="preserve"> to</w:t>
      </w:r>
      <w:r w:rsidR="001019A9">
        <w:t xml:space="preserve"> metal copper dust at</w:t>
      </w:r>
      <w:r w:rsidR="00656695">
        <w:t xml:space="preserve"> </w:t>
      </w:r>
      <w:r w:rsidR="009A61E5">
        <w:t>0.1 mg/m</w:t>
      </w:r>
      <w:r w:rsidR="009A61E5" w:rsidRPr="00FB18E4">
        <w:rPr>
          <w:vertAlign w:val="superscript"/>
        </w:rPr>
        <w:t>3</w:t>
      </w:r>
      <w:r w:rsidR="001019A9">
        <w:t xml:space="preserve"> is associated with a condition like metal fume fever</w:t>
      </w:r>
      <w:r w:rsidR="0030370B">
        <w:t xml:space="preserve"> (this is </w:t>
      </w:r>
      <w:r w:rsidR="00383DC3">
        <w:t>well</w:t>
      </w:r>
      <w:r w:rsidR="003B6B86">
        <w:t xml:space="preserve"> below the current TWA of 1 mg/m</w:t>
      </w:r>
      <w:r w:rsidR="003B6B86" w:rsidRPr="00FB18E4">
        <w:rPr>
          <w:vertAlign w:val="superscript"/>
        </w:rPr>
        <w:t>3</w:t>
      </w:r>
      <w:r w:rsidR="003B6B86">
        <w:t xml:space="preserve"> for copper dust and mists</w:t>
      </w:r>
      <w:r w:rsidR="0030370B">
        <w:t>)</w:t>
      </w:r>
      <w:r w:rsidR="003B6B86">
        <w:t xml:space="preserve">. </w:t>
      </w:r>
      <w:r w:rsidR="00117D25">
        <w:t>The health evidence also showed exposures to copper fumes at or</w:t>
      </w:r>
      <w:r w:rsidR="003B6B86">
        <w:t xml:space="preserve"> below the current WES </w:t>
      </w:r>
      <w:r w:rsidR="009A6C2F">
        <w:t>of 0.</w:t>
      </w:r>
      <w:r w:rsidR="001E32EE">
        <w:t>2</w:t>
      </w:r>
      <w:r w:rsidR="00091A22">
        <w:t xml:space="preserve"> </w:t>
      </w:r>
      <w:r w:rsidR="00333DDC">
        <w:t>mg/m</w:t>
      </w:r>
      <w:r w:rsidR="00333DDC" w:rsidRPr="008F42B3">
        <w:rPr>
          <w:vertAlign w:val="superscript"/>
        </w:rPr>
        <w:t>3</w:t>
      </w:r>
      <w:r w:rsidR="00333DDC">
        <w:t xml:space="preserve"> </w:t>
      </w:r>
      <w:r w:rsidR="004102A5">
        <w:t xml:space="preserve">causes </w:t>
      </w:r>
      <w:r w:rsidR="00DE1FDE">
        <w:t>inflammation in the lungs</w:t>
      </w:r>
      <w:r w:rsidR="000E2600">
        <w:t xml:space="preserve"> </w:t>
      </w:r>
      <w:sdt>
        <w:sdtPr>
          <w:id w:val="1789862359"/>
          <w:citation/>
        </w:sdtPr>
        <w:sdtEndPr/>
        <w:sdtContent>
          <w:r w:rsidR="000E2600">
            <w:fldChar w:fldCharType="begin"/>
          </w:r>
          <w:r w:rsidR="000E2600">
            <w:instrText xml:space="preserve"> CITATION Saf194 \l 3081 </w:instrText>
          </w:r>
          <w:r w:rsidR="000E2600">
            <w:fldChar w:fldCharType="separate"/>
          </w:r>
          <w:r w:rsidR="00490B21">
            <w:rPr>
              <w:noProof/>
            </w:rPr>
            <w:t>(Safe Work Australia, 2019)</w:t>
          </w:r>
          <w:r w:rsidR="000E2600">
            <w:fldChar w:fldCharType="end"/>
          </w:r>
        </w:sdtContent>
      </w:sdt>
      <w:r w:rsidR="00E07919">
        <w:t>.</w:t>
      </w:r>
      <w:r w:rsidR="000A0E43" w:rsidRPr="000A0E43">
        <w:t xml:space="preserve"> </w:t>
      </w:r>
    </w:p>
    <w:p w14:paraId="56F0D7F9" w14:textId="77777777" w:rsidR="002D6FFC" w:rsidRDefault="0079446C" w:rsidP="0090312E">
      <w:pPr>
        <w:spacing w:line="240" w:lineRule="atLeast"/>
        <w:contextualSpacing w:val="0"/>
      </w:pPr>
      <w:r>
        <w:t>T</w:t>
      </w:r>
      <w:r w:rsidR="000A4058" w:rsidRPr="000A4058">
        <w:t>he proposed</w:t>
      </w:r>
      <w:r w:rsidR="000A4058" w:rsidRPr="000A4058" w:rsidDel="00136F77">
        <w:t xml:space="preserve"> </w:t>
      </w:r>
      <w:r w:rsidR="0064703C" w:rsidRPr="0064703C">
        <w:t>TWA</w:t>
      </w:r>
      <w:r w:rsidR="0064703C" w:rsidRPr="0064703C" w:rsidDel="00F61D0B">
        <w:t xml:space="preserve"> </w:t>
      </w:r>
      <w:r w:rsidR="0064703C" w:rsidRPr="0064703C">
        <w:t>of 0.01 mg/m</w:t>
      </w:r>
      <w:r w:rsidR="0064703C" w:rsidRPr="0064703C">
        <w:rPr>
          <w:vertAlign w:val="superscript"/>
        </w:rPr>
        <w:t>3</w:t>
      </w:r>
      <w:r w:rsidR="0064703C" w:rsidRPr="0064703C">
        <w:t xml:space="preserve"> </w:t>
      </w:r>
      <w:r w:rsidR="0064703C">
        <w:t xml:space="preserve">for copper </w:t>
      </w:r>
      <w:r w:rsidR="009E1544">
        <w:t>was determined in accordance with the</w:t>
      </w:r>
      <w:r w:rsidR="000A4058" w:rsidRPr="000A4058">
        <w:t xml:space="preserve"> health-based methodology </w:t>
      </w:r>
      <w:r w:rsidR="009E1544">
        <w:t xml:space="preserve">agreed by </w:t>
      </w:r>
      <w:r w:rsidR="000A4058" w:rsidRPr="000A4058">
        <w:t>WHS ministers (and which relied on the scientific evidence available at the time of the review</w:t>
      </w:r>
      <w:r w:rsidR="009E1544">
        <w:t xml:space="preserve"> from trusted international and national sources</w:t>
      </w:r>
      <w:r w:rsidR="000A4058" w:rsidRPr="000A4058">
        <w:t>)</w:t>
      </w:r>
      <w:r w:rsidR="009E1544">
        <w:t>.</w:t>
      </w:r>
      <w:r w:rsidR="000A4058" w:rsidRPr="000A4058">
        <w:t xml:space="preserve">  </w:t>
      </w:r>
    </w:p>
    <w:p w14:paraId="37830B9C" w14:textId="586E18FC" w:rsidR="002975A2" w:rsidRPr="006D6899" w:rsidRDefault="002D6FFC" w:rsidP="0064782B">
      <w:r w:rsidRPr="006D6899">
        <w:t>The evaluation for copper</w:t>
      </w:r>
      <w:r w:rsidRPr="006D6899">
        <w:rPr>
          <w:rStyle w:val="FootnoteReference"/>
        </w:rPr>
        <w:footnoteReference w:id="83"/>
      </w:r>
      <w:r w:rsidRPr="006D6899">
        <w:t xml:space="preserve"> employed a weight of evidence approach, considering information from </w:t>
      </w:r>
      <w:r w:rsidR="009A3272" w:rsidRPr="006D6899">
        <w:t xml:space="preserve">multiple </w:t>
      </w:r>
      <w:r w:rsidRPr="006D6899">
        <w:t xml:space="preserve">agreed primary sources supported by information from agreed secondary sources </w:t>
      </w:r>
      <w:sdt>
        <w:sdtPr>
          <w:id w:val="-1063947470"/>
          <w:citation/>
        </w:sdtPr>
        <w:sdtEndPr/>
        <w:sdtContent>
          <w:r w:rsidRPr="006D6899">
            <w:fldChar w:fldCharType="begin"/>
          </w:r>
          <w:r w:rsidRPr="006D6899">
            <w:instrText xml:space="preserve"> CITATION Saf181 \l 3081 </w:instrText>
          </w:r>
          <w:r w:rsidRPr="006D6899">
            <w:fldChar w:fldCharType="separate"/>
          </w:r>
          <w:r w:rsidR="00490B21">
            <w:rPr>
              <w:noProof/>
            </w:rPr>
            <w:t>(Safe Work Australia, 2018)</w:t>
          </w:r>
          <w:r w:rsidRPr="006D6899">
            <w:fldChar w:fldCharType="end"/>
          </w:r>
        </w:sdtContent>
      </w:sdt>
      <w:r w:rsidRPr="006D6899">
        <w:t>.</w:t>
      </w:r>
    </w:p>
    <w:p w14:paraId="53CF91D3" w14:textId="41F4B6E8" w:rsidR="006E630C" w:rsidRPr="006D6899" w:rsidRDefault="006E630C" w:rsidP="00923A37">
      <w:pPr>
        <w:pStyle w:val="SWAHeading4"/>
      </w:pPr>
      <w:r w:rsidRPr="006D6899">
        <w:t xml:space="preserve">International precedent </w:t>
      </w:r>
    </w:p>
    <w:p w14:paraId="0BAFB35B" w14:textId="1438B730" w:rsidR="001E61B4" w:rsidRPr="006D6899" w:rsidRDefault="00581E8C" w:rsidP="00463B65">
      <w:pPr>
        <w:pStyle w:val="Paragraph"/>
      </w:pPr>
      <w:r w:rsidRPr="006D6899">
        <w:rPr>
          <w:lang w:eastAsia="en-US"/>
        </w:rPr>
        <w:t xml:space="preserve">This proposed </w:t>
      </w:r>
      <w:r w:rsidR="001E61B4" w:rsidRPr="006D6899">
        <w:rPr>
          <w:lang w:eastAsia="en-US"/>
        </w:rPr>
        <w:t>WEL for</w:t>
      </w:r>
      <w:r w:rsidR="00587297" w:rsidRPr="006D6899">
        <w:rPr>
          <w:lang w:eastAsia="en-US"/>
        </w:rPr>
        <w:t xml:space="preserve"> copper </w:t>
      </w:r>
      <w:r w:rsidR="007544C7" w:rsidRPr="006D6899">
        <w:rPr>
          <w:lang w:eastAsia="en-US"/>
        </w:rPr>
        <w:t xml:space="preserve">(dusts, mists and fumes) </w:t>
      </w:r>
      <w:r w:rsidR="00F34E98" w:rsidRPr="006D6899">
        <w:rPr>
          <w:lang w:eastAsia="en-US"/>
        </w:rPr>
        <w:t>i</w:t>
      </w:r>
      <w:r w:rsidR="00EF65A4" w:rsidRPr="006D6899">
        <w:rPr>
          <w:lang w:eastAsia="en-US"/>
        </w:rPr>
        <w:t xml:space="preserve">s </w:t>
      </w:r>
      <w:r w:rsidR="001E61B4" w:rsidRPr="006D6899">
        <w:rPr>
          <w:lang w:eastAsia="en-US"/>
        </w:rPr>
        <w:t xml:space="preserve">consistent with that </w:t>
      </w:r>
      <w:r w:rsidR="003764A3" w:rsidRPr="006D6899">
        <w:rPr>
          <w:lang w:eastAsia="en-US"/>
        </w:rPr>
        <w:t>recommended</w:t>
      </w:r>
      <w:r w:rsidR="00EF65A4" w:rsidRPr="006D6899">
        <w:rPr>
          <w:lang w:eastAsia="en-US"/>
        </w:rPr>
        <w:t xml:space="preserve"> by the </w:t>
      </w:r>
      <w:r w:rsidR="00044749" w:rsidRPr="006D6899">
        <w:t>Deutsche Forschungsgemeinschaft</w:t>
      </w:r>
      <w:r w:rsidR="00CF1AEC" w:rsidRPr="006D6899">
        <w:t xml:space="preserve"> (DFG</w:t>
      </w:r>
      <w:r w:rsidR="00CF1AEC" w:rsidRPr="006D6899" w:rsidDel="00BC5291">
        <w:t>)</w:t>
      </w:r>
      <w:r w:rsidR="00CF1AEC" w:rsidRPr="006D6899">
        <w:t xml:space="preserve"> and </w:t>
      </w:r>
      <w:r w:rsidR="003764A3" w:rsidRPr="006D6899">
        <w:t>the European Union’s Scientific Committee on Occupational Exposure Limits (SCOEL)</w:t>
      </w:r>
      <w:r w:rsidR="00EC47B5" w:rsidRPr="006D6899">
        <w:t xml:space="preserve"> </w:t>
      </w:r>
      <w:sdt>
        <w:sdtPr>
          <w:id w:val="-1910459707"/>
          <w:citation/>
        </w:sdtPr>
        <w:sdtEndPr/>
        <w:sdtContent>
          <w:r w:rsidR="00EC47B5" w:rsidRPr="006D6899">
            <w:fldChar w:fldCharType="begin"/>
          </w:r>
          <w:r w:rsidR="006035A8" w:rsidRPr="006D6899">
            <w:instrText xml:space="preserve">CITATION Dir14 \l 3081 </w:instrText>
          </w:r>
          <w:r w:rsidR="00967BA7" w:rsidRPr="006D6899">
            <w:instrText xml:space="preserve"> \m Fornd</w:instrText>
          </w:r>
          <w:r w:rsidR="00EC47B5" w:rsidRPr="006D6899">
            <w:fldChar w:fldCharType="separate"/>
          </w:r>
          <w:r w:rsidR="00490B21">
            <w:rPr>
              <w:noProof/>
            </w:rPr>
            <w:t>(Directorate-General for Employment, Social Affairs &amp; Inclusion, 2014; Institute for Occupational Safety and Health of the German Social Accident Insurance, n.d.)</w:t>
          </w:r>
          <w:r w:rsidR="00EC47B5" w:rsidRPr="006D6899">
            <w:fldChar w:fldCharType="end"/>
          </w:r>
        </w:sdtContent>
      </w:sdt>
      <w:r w:rsidR="003764A3" w:rsidRPr="006D6899">
        <w:t xml:space="preserve">. </w:t>
      </w:r>
    </w:p>
    <w:p w14:paraId="7C059D70" w14:textId="3036A7B9" w:rsidR="00581E8C" w:rsidRPr="006D6899" w:rsidRDefault="003764A3" w:rsidP="00463B65">
      <w:pPr>
        <w:pStyle w:val="Paragraph"/>
      </w:pPr>
      <w:r w:rsidRPr="006D6899">
        <w:t xml:space="preserve">Both the </w:t>
      </w:r>
      <w:r w:rsidR="007B2E0E" w:rsidRPr="006D6899">
        <w:t xml:space="preserve">DFG and SCOEL were </w:t>
      </w:r>
      <w:r w:rsidR="00536B9B" w:rsidRPr="006D6899">
        <w:t xml:space="preserve">selected as </w:t>
      </w:r>
      <w:r w:rsidR="006421C0" w:rsidRPr="006D6899">
        <w:t>primary sources</w:t>
      </w:r>
      <w:r w:rsidR="00536B9B" w:rsidRPr="006D6899">
        <w:rPr>
          <w:rFonts w:cs="Arial"/>
        </w:rPr>
        <w:t xml:space="preserve"> as they have international credibility, develop standards through consensus that are health-based and based on evaluation of appropriate data, and their documentation of evaluations is accessible and robust </w:t>
      </w:r>
      <w:sdt>
        <w:sdtPr>
          <w:id w:val="-1388337994"/>
          <w:citation/>
        </w:sdtPr>
        <w:sdtEndPr/>
        <w:sdtContent>
          <w:r w:rsidR="00536B9B" w:rsidRPr="006D6899">
            <w:fldChar w:fldCharType="begin"/>
          </w:r>
          <w:r w:rsidR="00536B9B" w:rsidRPr="006D6899">
            <w:instrText xml:space="preserve"> CITATION Saf181 \l 3081 </w:instrText>
          </w:r>
          <w:r w:rsidR="00536B9B" w:rsidRPr="006D6899">
            <w:fldChar w:fldCharType="separate"/>
          </w:r>
          <w:r w:rsidR="00490B21">
            <w:rPr>
              <w:noProof/>
            </w:rPr>
            <w:t>(Safe Work Australia, 2018)</w:t>
          </w:r>
          <w:r w:rsidR="00536B9B" w:rsidRPr="006D6899">
            <w:fldChar w:fldCharType="end"/>
          </w:r>
        </w:sdtContent>
      </w:sdt>
      <w:r w:rsidR="00536B9B" w:rsidRPr="006D6899">
        <w:rPr>
          <w:rFonts w:cs="Arial"/>
        </w:rPr>
        <w:t>.</w:t>
      </w:r>
    </w:p>
    <w:p w14:paraId="71977E8D" w14:textId="1C236149" w:rsidR="00B56BC6" w:rsidRDefault="008E4E73" w:rsidP="00463B65">
      <w:pPr>
        <w:pStyle w:val="Paragraph"/>
        <w:rPr>
          <w:lang w:eastAsia="en-US"/>
        </w:rPr>
      </w:pPr>
      <w:r w:rsidRPr="006D6899">
        <w:rPr>
          <w:rFonts w:cs="Arial"/>
        </w:rPr>
        <w:t>R</w:t>
      </w:r>
      <w:r w:rsidR="0046547B" w:rsidRPr="006D6899">
        <w:rPr>
          <w:rFonts w:cs="Arial"/>
        </w:rPr>
        <w:t xml:space="preserve">ecommendations </w:t>
      </w:r>
      <w:r w:rsidRPr="006D6899">
        <w:rPr>
          <w:rFonts w:cs="Arial"/>
        </w:rPr>
        <w:t>made by</w:t>
      </w:r>
      <w:r w:rsidR="0046547B" w:rsidRPr="006D6899">
        <w:rPr>
          <w:rFonts w:cs="Arial"/>
        </w:rPr>
        <w:t xml:space="preserve"> the </w:t>
      </w:r>
      <w:r w:rsidR="00B56BC6" w:rsidRPr="006D6899">
        <w:rPr>
          <w:rFonts w:cs="Arial"/>
        </w:rPr>
        <w:t xml:space="preserve">DFG </w:t>
      </w:r>
      <w:r w:rsidR="00A24391" w:rsidRPr="006D6899">
        <w:rPr>
          <w:rFonts w:cs="Arial"/>
        </w:rPr>
        <w:t xml:space="preserve">are used by Germany’s Federal Ministry of Labour and Social Affairs to </w:t>
      </w:r>
      <w:r w:rsidR="00A34642" w:rsidRPr="006D6899">
        <w:rPr>
          <w:rFonts w:cs="Arial"/>
        </w:rPr>
        <w:t xml:space="preserve">set legally binding </w:t>
      </w:r>
      <w:r w:rsidRPr="006D6899">
        <w:rPr>
          <w:rFonts w:cs="Arial"/>
        </w:rPr>
        <w:t xml:space="preserve">exposure </w:t>
      </w:r>
      <w:r w:rsidR="006779B0" w:rsidRPr="006D6899">
        <w:rPr>
          <w:rFonts w:cs="Arial"/>
        </w:rPr>
        <w:t>limits in Germany</w:t>
      </w:r>
      <w:r w:rsidR="000B2A88" w:rsidRPr="006D6899">
        <w:rPr>
          <w:rFonts w:cs="Arial"/>
        </w:rPr>
        <w:t xml:space="preserve"> </w:t>
      </w:r>
      <w:sdt>
        <w:sdtPr>
          <w:rPr>
            <w:rFonts w:cs="Arial"/>
          </w:rPr>
          <w:id w:val="652725366"/>
          <w:citation/>
        </w:sdtPr>
        <w:sdtEndPr/>
        <w:sdtContent>
          <w:r w:rsidR="001A365F" w:rsidRPr="006D6899">
            <w:rPr>
              <w:rFonts w:cs="Arial"/>
            </w:rPr>
            <w:fldChar w:fldCharType="begin"/>
          </w:r>
          <w:r w:rsidR="001A365F" w:rsidRPr="006D6899">
            <w:rPr>
              <w:rFonts w:cs="Arial"/>
            </w:rPr>
            <w:instrText xml:space="preserve"> CITATION Ger25 \l 3081 </w:instrText>
          </w:r>
          <w:r w:rsidR="001A365F" w:rsidRPr="006D6899">
            <w:rPr>
              <w:rFonts w:cs="Arial"/>
            </w:rPr>
            <w:fldChar w:fldCharType="separate"/>
          </w:r>
          <w:r w:rsidR="00490B21" w:rsidRPr="00490B21">
            <w:rPr>
              <w:rFonts w:cs="Arial"/>
              <w:noProof/>
            </w:rPr>
            <w:t>(German Research Foundation, 2025)</w:t>
          </w:r>
          <w:r w:rsidR="001A365F" w:rsidRPr="006D6899">
            <w:rPr>
              <w:rFonts w:cs="Arial"/>
            </w:rPr>
            <w:fldChar w:fldCharType="end"/>
          </w:r>
        </w:sdtContent>
      </w:sdt>
      <w:r w:rsidRPr="006D6899">
        <w:rPr>
          <w:rFonts w:cs="Arial"/>
        </w:rPr>
        <w:t>. Similarly,</w:t>
      </w:r>
      <w:r w:rsidR="006779B0" w:rsidRPr="006D6899">
        <w:rPr>
          <w:rFonts w:cs="Arial"/>
        </w:rPr>
        <w:t xml:space="preserve"> the recommendations </w:t>
      </w:r>
      <w:r w:rsidR="00C674B1" w:rsidRPr="006D6899">
        <w:rPr>
          <w:rFonts w:cs="Arial"/>
        </w:rPr>
        <w:t xml:space="preserve">made </w:t>
      </w:r>
      <w:r w:rsidR="006779B0" w:rsidRPr="006D6899">
        <w:rPr>
          <w:rFonts w:cs="Arial"/>
        </w:rPr>
        <w:t xml:space="preserve">by </w:t>
      </w:r>
      <w:r w:rsidR="00B56BC6" w:rsidRPr="006D6899">
        <w:rPr>
          <w:rFonts w:cs="Arial"/>
        </w:rPr>
        <w:t xml:space="preserve">SCOEL </w:t>
      </w:r>
      <w:r w:rsidR="009169B7" w:rsidRPr="006D6899">
        <w:rPr>
          <w:rFonts w:cs="Arial"/>
        </w:rPr>
        <w:t xml:space="preserve">are used by the </w:t>
      </w:r>
      <w:r w:rsidR="00A25649" w:rsidRPr="006D6899">
        <w:rPr>
          <w:rFonts w:cs="Arial"/>
        </w:rPr>
        <w:lastRenderedPageBreak/>
        <w:t xml:space="preserve">European Commission to set </w:t>
      </w:r>
      <w:r w:rsidR="001A365F" w:rsidRPr="006D6899">
        <w:rPr>
          <w:rFonts w:cs="Arial"/>
        </w:rPr>
        <w:t>binding or indicative</w:t>
      </w:r>
      <w:r w:rsidR="00A25649" w:rsidRPr="006D6899">
        <w:rPr>
          <w:rFonts w:cs="Arial"/>
        </w:rPr>
        <w:t xml:space="preserve"> occupational </w:t>
      </w:r>
      <w:r w:rsidRPr="006D6899">
        <w:rPr>
          <w:rFonts w:cs="Arial"/>
        </w:rPr>
        <w:t xml:space="preserve">exposure limits </w:t>
      </w:r>
      <w:r w:rsidR="004939A1" w:rsidRPr="006D6899">
        <w:rPr>
          <w:rFonts w:cs="Arial"/>
        </w:rPr>
        <w:t>to protect workers from chemical risks</w:t>
      </w:r>
      <w:r w:rsidR="001A365F" w:rsidRPr="006D6899">
        <w:rPr>
          <w:rFonts w:cs="Arial"/>
        </w:rPr>
        <w:t xml:space="preserve"> </w:t>
      </w:r>
      <w:sdt>
        <w:sdtPr>
          <w:rPr>
            <w:rFonts w:cs="Arial"/>
          </w:rPr>
          <w:id w:val="1670522821"/>
          <w:citation/>
        </w:sdtPr>
        <w:sdtEndPr/>
        <w:sdtContent>
          <w:r w:rsidR="00282FA0" w:rsidRPr="006D6899">
            <w:rPr>
              <w:rFonts w:cs="Arial"/>
            </w:rPr>
            <w:fldChar w:fldCharType="begin"/>
          </w:r>
          <w:r w:rsidR="00282FA0" w:rsidRPr="006D6899">
            <w:rPr>
              <w:rFonts w:cs="Arial"/>
            </w:rPr>
            <w:instrText xml:space="preserve"> CITATION Eur \l 3081 </w:instrText>
          </w:r>
          <w:r w:rsidR="00282FA0" w:rsidRPr="006D6899">
            <w:rPr>
              <w:rFonts w:cs="Arial"/>
            </w:rPr>
            <w:fldChar w:fldCharType="separate"/>
          </w:r>
          <w:r w:rsidR="00490B21" w:rsidRPr="00490B21">
            <w:rPr>
              <w:rFonts w:cs="Arial"/>
              <w:noProof/>
            </w:rPr>
            <w:t>(European Chemical Agency (ECHA), n.d.)</w:t>
          </w:r>
          <w:r w:rsidR="00282FA0" w:rsidRPr="006D6899">
            <w:rPr>
              <w:rFonts w:cs="Arial"/>
            </w:rPr>
            <w:fldChar w:fldCharType="end"/>
          </w:r>
        </w:sdtContent>
      </w:sdt>
      <w:r w:rsidR="00E106FD" w:rsidRPr="006D6899">
        <w:rPr>
          <w:rFonts w:cs="Arial"/>
        </w:rPr>
        <w:t>.</w:t>
      </w:r>
      <w:r w:rsidR="00E106FD">
        <w:rPr>
          <w:rFonts w:cs="Arial"/>
        </w:rPr>
        <w:t xml:space="preserve"> </w:t>
      </w:r>
    </w:p>
    <w:p w14:paraId="53444036" w14:textId="333DBFF0" w:rsidR="00743359" w:rsidRDefault="00944420" w:rsidP="008F42B3">
      <w:pPr>
        <w:pStyle w:val="Paragraph"/>
        <w:keepNext w:val="0"/>
        <w:spacing w:after="120"/>
        <w:rPr>
          <w:lang w:eastAsia="en-US"/>
        </w:rPr>
      </w:pPr>
      <w:r>
        <w:rPr>
          <w:lang w:eastAsia="en-US"/>
        </w:rPr>
        <w:t xml:space="preserve">Internationally, </w:t>
      </w:r>
      <w:r w:rsidR="007F0488">
        <w:rPr>
          <w:lang w:eastAsia="en-US"/>
        </w:rPr>
        <w:t>a TWA</w:t>
      </w:r>
      <w:r w:rsidR="00DD3B66">
        <w:rPr>
          <w:lang w:eastAsia="en-US"/>
        </w:rPr>
        <w:t xml:space="preserve"> of 0.01 mg/m</w:t>
      </w:r>
      <w:r w:rsidR="00DD3B66" w:rsidRPr="00FB18E4">
        <w:rPr>
          <w:vertAlign w:val="superscript"/>
          <w:lang w:eastAsia="en-US"/>
        </w:rPr>
        <w:t>3</w:t>
      </w:r>
      <w:r w:rsidR="007F0488">
        <w:rPr>
          <w:lang w:eastAsia="en-US"/>
        </w:rPr>
        <w:t xml:space="preserve"> for copper </w:t>
      </w:r>
      <w:r w:rsidR="00DD3B66">
        <w:rPr>
          <w:lang w:eastAsia="en-US"/>
        </w:rPr>
        <w:t>dusts</w:t>
      </w:r>
      <w:r w:rsidR="004D366E">
        <w:rPr>
          <w:lang w:eastAsia="en-US"/>
        </w:rPr>
        <w:t xml:space="preserve">, </w:t>
      </w:r>
      <w:r w:rsidR="00A95765">
        <w:rPr>
          <w:lang w:eastAsia="en-US"/>
        </w:rPr>
        <w:t>mists</w:t>
      </w:r>
      <w:r w:rsidR="004D366E">
        <w:rPr>
          <w:lang w:eastAsia="en-US"/>
        </w:rPr>
        <w:t xml:space="preserve"> and fumes</w:t>
      </w:r>
      <w:r w:rsidR="001D0273">
        <w:rPr>
          <w:lang w:eastAsia="en-US"/>
        </w:rPr>
        <w:t xml:space="preserve"> (respirable)</w:t>
      </w:r>
      <w:r w:rsidR="00A95765">
        <w:rPr>
          <w:lang w:eastAsia="en-US"/>
        </w:rPr>
        <w:t xml:space="preserve"> </w:t>
      </w:r>
      <w:r w:rsidR="00CB212C">
        <w:rPr>
          <w:lang w:eastAsia="en-US"/>
        </w:rPr>
        <w:t xml:space="preserve">has been </w:t>
      </w:r>
      <w:r w:rsidR="000839FF">
        <w:rPr>
          <w:lang w:eastAsia="en-US"/>
        </w:rPr>
        <w:t>recommended in</w:t>
      </w:r>
      <w:r w:rsidR="00CB212C">
        <w:rPr>
          <w:lang w:eastAsia="en-US"/>
        </w:rPr>
        <w:t xml:space="preserve"> </w:t>
      </w:r>
      <w:r w:rsidR="00D6320B">
        <w:rPr>
          <w:lang w:eastAsia="en-US"/>
        </w:rPr>
        <w:t>New Zealand</w:t>
      </w:r>
      <w:r w:rsidR="00261A69">
        <w:rPr>
          <w:lang w:eastAsia="en-US"/>
        </w:rPr>
        <w:t xml:space="preserve"> and </w:t>
      </w:r>
      <w:r w:rsidR="00D6320B">
        <w:rPr>
          <w:lang w:eastAsia="en-US"/>
        </w:rPr>
        <w:t>Spain</w:t>
      </w:r>
      <w:r w:rsidR="008621CC">
        <w:rPr>
          <w:lang w:eastAsia="en-US"/>
        </w:rPr>
        <w:t xml:space="preserve"> and </w:t>
      </w:r>
      <w:r w:rsidR="00B60115">
        <w:rPr>
          <w:lang w:eastAsia="en-US"/>
        </w:rPr>
        <w:t xml:space="preserve">legislated in </w:t>
      </w:r>
      <w:r w:rsidR="008621CC">
        <w:rPr>
          <w:lang w:eastAsia="en-US"/>
        </w:rPr>
        <w:t>Sweden</w:t>
      </w:r>
      <w:r w:rsidR="00C44344">
        <w:rPr>
          <w:lang w:eastAsia="en-US"/>
        </w:rPr>
        <w:t xml:space="preserve"> </w:t>
      </w:r>
      <w:sdt>
        <w:sdtPr>
          <w:rPr>
            <w:lang w:eastAsia="en-US"/>
          </w:rPr>
          <w:id w:val="-2035875078"/>
          <w:citation/>
        </w:sdtPr>
        <w:sdtEndPr/>
        <w:sdtContent>
          <w:r w:rsidR="00C44344">
            <w:rPr>
              <w:lang w:eastAsia="en-US"/>
            </w:rPr>
            <w:fldChar w:fldCharType="begin"/>
          </w:r>
          <w:r w:rsidR="00C44344">
            <w:rPr>
              <w:lang w:eastAsia="en-US"/>
            </w:rPr>
            <w:instrText xml:space="preserve"> CITATION Fornd \l 3081 </w:instrText>
          </w:r>
          <w:r w:rsidR="00C44344">
            <w:rPr>
              <w:lang w:eastAsia="en-US"/>
            </w:rPr>
            <w:fldChar w:fldCharType="separate"/>
          </w:r>
          <w:r w:rsidR="00490B21">
            <w:rPr>
              <w:noProof/>
              <w:lang w:eastAsia="en-US"/>
            </w:rPr>
            <w:t>(Institute for Occupational Safety and Health of the German Social Accident Insurance, n.d.)</w:t>
          </w:r>
          <w:r w:rsidR="00C44344">
            <w:rPr>
              <w:lang w:eastAsia="en-US"/>
            </w:rPr>
            <w:fldChar w:fldCharType="end"/>
          </w:r>
        </w:sdtContent>
      </w:sdt>
      <w:r w:rsidR="00D6320B">
        <w:rPr>
          <w:lang w:eastAsia="en-US"/>
        </w:rPr>
        <w:t xml:space="preserve">. </w:t>
      </w:r>
      <w:r w:rsidR="00AE633E">
        <w:rPr>
          <w:lang w:eastAsia="en-US"/>
        </w:rPr>
        <w:t>A TWA of 0.01 mg/m</w:t>
      </w:r>
      <w:r w:rsidR="00AE633E" w:rsidRPr="00FB18E4">
        <w:rPr>
          <w:vertAlign w:val="superscript"/>
          <w:lang w:eastAsia="en-US"/>
        </w:rPr>
        <w:t>3</w:t>
      </w:r>
      <w:r w:rsidR="00AE633E">
        <w:rPr>
          <w:lang w:eastAsia="en-US"/>
        </w:rPr>
        <w:t xml:space="preserve"> for copper fumes </w:t>
      </w:r>
      <w:r w:rsidR="00D958AB">
        <w:rPr>
          <w:lang w:eastAsia="en-US"/>
        </w:rPr>
        <w:t xml:space="preserve">(respirable fraction) </w:t>
      </w:r>
      <w:r w:rsidR="00AE633E">
        <w:rPr>
          <w:lang w:eastAsia="en-US"/>
        </w:rPr>
        <w:t xml:space="preserve">have also been </w:t>
      </w:r>
      <w:r w:rsidR="003844EC">
        <w:rPr>
          <w:lang w:eastAsia="en-US"/>
        </w:rPr>
        <w:t>leg</w:t>
      </w:r>
      <w:r w:rsidR="00C44344">
        <w:rPr>
          <w:lang w:eastAsia="en-US"/>
        </w:rPr>
        <w:t>islated</w:t>
      </w:r>
      <w:r w:rsidR="003844EC">
        <w:rPr>
          <w:lang w:eastAsia="en-US"/>
        </w:rPr>
        <w:t xml:space="preserve"> </w:t>
      </w:r>
      <w:r w:rsidR="00AE633E">
        <w:rPr>
          <w:lang w:eastAsia="en-US"/>
        </w:rPr>
        <w:t>in</w:t>
      </w:r>
      <w:r w:rsidR="00AE633E" w:rsidDel="00D958AB">
        <w:rPr>
          <w:lang w:eastAsia="en-US"/>
        </w:rPr>
        <w:t xml:space="preserve"> </w:t>
      </w:r>
      <w:r w:rsidR="00407060">
        <w:rPr>
          <w:lang w:eastAsia="en-US"/>
        </w:rPr>
        <w:t>Hungary</w:t>
      </w:r>
      <w:r w:rsidR="00C84352">
        <w:rPr>
          <w:lang w:eastAsia="en-US"/>
        </w:rPr>
        <w:t xml:space="preserve"> </w:t>
      </w:r>
      <w:sdt>
        <w:sdtPr>
          <w:rPr>
            <w:lang w:eastAsia="en-US"/>
          </w:rPr>
          <w:id w:val="1683242985"/>
          <w:citation/>
        </w:sdtPr>
        <w:sdtEndPr/>
        <w:sdtContent>
          <w:r w:rsidR="00C84352">
            <w:rPr>
              <w:lang w:eastAsia="en-US"/>
            </w:rPr>
            <w:fldChar w:fldCharType="begin"/>
          </w:r>
          <w:r w:rsidR="00C84352">
            <w:rPr>
              <w:lang w:eastAsia="en-US"/>
            </w:rPr>
            <w:instrText xml:space="preserve"> CITATION Fornd \l 3081 </w:instrText>
          </w:r>
          <w:r w:rsidR="00C84352">
            <w:rPr>
              <w:lang w:eastAsia="en-US"/>
            </w:rPr>
            <w:fldChar w:fldCharType="separate"/>
          </w:r>
          <w:r w:rsidR="00490B21">
            <w:rPr>
              <w:noProof/>
              <w:lang w:eastAsia="en-US"/>
            </w:rPr>
            <w:t>(Institute for Occupational Safety and Health of the German Social Accident Insurance, n.d.)</w:t>
          </w:r>
          <w:r w:rsidR="00C84352">
            <w:rPr>
              <w:lang w:eastAsia="en-US"/>
            </w:rPr>
            <w:fldChar w:fldCharType="end"/>
          </w:r>
        </w:sdtContent>
      </w:sdt>
      <w:r w:rsidR="00EE4684">
        <w:rPr>
          <w:lang w:eastAsia="en-US"/>
        </w:rPr>
        <w:t>.</w:t>
      </w:r>
    </w:p>
    <w:p w14:paraId="36B1F901" w14:textId="06B176F8" w:rsidR="005040C4" w:rsidRDefault="005040C4" w:rsidP="001A0454">
      <w:pPr>
        <w:pStyle w:val="SWAHeading4"/>
        <w:keepNext/>
      </w:pPr>
      <w:r>
        <w:t>Quantifi</w:t>
      </w:r>
      <w:r w:rsidR="00272DFD">
        <w:t>able</w:t>
      </w:r>
      <w:r>
        <w:t xml:space="preserve"> health benefits for the proposed WEL for copper</w:t>
      </w:r>
    </w:p>
    <w:p w14:paraId="65708382" w14:textId="3225A5DA" w:rsidR="00D63DEC" w:rsidRPr="00D63DEC" w:rsidRDefault="00272DFD" w:rsidP="008F42B3">
      <w:pPr>
        <w:pStyle w:val="Paragraph"/>
        <w:keepLines/>
        <w:spacing w:after="120"/>
      </w:pPr>
      <w:r>
        <w:t>H</w:t>
      </w:r>
      <w:r w:rsidR="00D63DEC" w:rsidRPr="00D63DEC">
        <w:t xml:space="preserve">ealth benefits were not </w:t>
      </w:r>
      <w:r>
        <w:t>able to be quantified</w:t>
      </w:r>
      <w:r w:rsidRPr="00D63DEC">
        <w:t xml:space="preserve"> </w:t>
      </w:r>
      <w:r w:rsidR="00D63DEC" w:rsidRPr="00D63DEC">
        <w:t xml:space="preserve">for </w:t>
      </w:r>
      <w:r w:rsidR="00FC7AA1">
        <w:t>copper</w:t>
      </w:r>
      <w:r w:rsidR="00D63DEC" w:rsidRPr="00D63DEC">
        <w:t xml:space="preserve">. </w:t>
      </w:r>
      <w:r w:rsidR="00C463BD" w:rsidRPr="00C463BD">
        <w:t xml:space="preserve">This is because no estimates of the current burden of disease attributable to workplace exposure to </w:t>
      </w:r>
      <w:r w:rsidR="00C463BD">
        <w:t>copper</w:t>
      </w:r>
      <w:r w:rsidR="00C463BD" w:rsidRPr="00C463BD">
        <w:t xml:space="preserve"> were able to be identified through research or stakeholder engagement.  </w:t>
      </w:r>
      <w:r w:rsidR="00D63DEC" w:rsidRPr="00D63DEC">
        <w:t xml:space="preserve"> </w:t>
      </w:r>
    </w:p>
    <w:p w14:paraId="2871F25C" w14:textId="2BE53FF4" w:rsidR="00D63DEC" w:rsidRPr="00D63DEC" w:rsidRDefault="00D63DEC" w:rsidP="00D63DEC">
      <w:pPr>
        <w:pStyle w:val="Paragraph"/>
        <w:keepNext w:val="0"/>
        <w:keepLines/>
      </w:pPr>
      <w:r w:rsidRPr="00D63DEC">
        <w:t xml:space="preserve">However, a lack of data does not mean that the introduction of the proposed WEL will not result in health benefits for workers. As the health evidence has shown, the proposed TWA is set at a level considered protective of </w:t>
      </w:r>
      <w:r w:rsidR="00A944FA">
        <w:t>irritation of the respiratory tract caused by</w:t>
      </w:r>
      <w:r w:rsidRPr="00D63DEC">
        <w:t xml:space="preserve"> exposures to </w:t>
      </w:r>
      <w:r w:rsidR="00A944FA">
        <w:t>copper</w:t>
      </w:r>
      <w:r w:rsidRPr="00D63DEC">
        <w:t xml:space="preserve">. </w:t>
      </w:r>
      <w:r w:rsidR="00A944FA">
        <w:t xml:space="preserve">The evaluation report also notes that copper can cause </w:t>
      </w:r>
      <w:r w:rsidR="0047691C">
        <w:t>a condition similar to metal fume fever</w:t>
      </w:r>
      <w:r w:rsidR="00140818">
        <w:t xml:space="preserve"> </w:t>
      </w:r>
      <w:sdt>
        <w:sdtPr>
          <w:id w:val="2072768577"/>
          <w:citation/>
        </w:sdtPr>
        <w:sdtEndPr/>
        <w:sdtContent>
          <w:r w:rsidR="00C9076F">
            <w:fldChar w:fldCharType="begin"/>
          </w:r>
          <w:r w:rsidR="00C9076F">
            <w:instrText xml:space="preserve"> CITATION Saf194 \l 3081 </w:instrText>
          </w:r>
          <w:r w:rsidR="00C9076F">
            <w:fldChar w:fldCharType="separate"/>
          </w:r>
          <w:r w:rsidR="00490B21">
            <w:rPr>
              <w:noProof/>
            </w:rPr>
            <w:t>(Safe Work Australia, 2019)</w:t>
          </w:r>
          <w:r w:rsidR="00C9076F">
            <w:fldChar w:fldCharType="end"/>
          </w:r>
        </w:sdtContent>
      </w:sdt>
      <w:r w:rsidRPr="00D63DEC">
        <w:t xml:space="preserve">. </w:t>
      </w:r>
    </w:p>
    <w:p w14:paraId="38C19A04" w14:textId="588BC2CB" w:rsidR="00C10B0F" w:rsidRDefault="008F24C6" w:rsidP="00E7696F">
      <w:pPr>
        <w:pStyle w:val="SWAHeading4"/>
        <w:keepNext/>
        <w:spacing w:before="240"/>
      </w:pPr>
      <w:r>
        <w:t>A</w:t>
      </w:r>
      <w:r w:rsidR="0052400B">
        <w:t>dverse health effects associated with copper</w:t>
      </w:r>
    </w:p>
    <w:p w14:paraId="7DFCBC34" w14:textId="1F53B2F8" w:rsidR="004B1601" w:rsidRDefault="00281ADF" w:rsidP="00E7696F">
      <w:pPr>
        <w:pStyle w:val="Paragraph"/>
      </w:pPr>
      <w:r>
        <w:t>Exposure to</w:t>
      </w:r>
      <w:r w:rsidR="009036E2">
        <w:t xml:space="preserve"> </w:t>
      </w:r>
      <w:r w:rsidR="00B873BD">
        <w:t xml:space="preserve">copper </w:t>
      </w:r>
      <w:r>
        <w:t>can also cause the following adverse health effects</w:t>
      </w:r>
      <w:r w:rsidR="004B1601">
        <w:t>:</w:t>
      </w:r>
    </w:p>
    <w:p w14:paraId="5A674DA5" w14:textId="429A5550" w:rsidR="00FF756C" w:rsidRDefault="00613513" w:rsidP="00A2768E">
      <w:pPr>
        <w:pStyle w:val="Paragraph"/>
        <w:keepLines/>
        <w:numPr>
          <w:ilvl w:val="0"/>
          <w:numId w:val="72"/>
        </w:numPr>
      </w:pPr>
      <w:r>
        <w:t>dermal sensitisation</w:t>
      </w:r>
      <w:r w:rsidR="004B1601">
        <w:t xml:space="preserve"> caused by </w:t>
      </w:r>
      <w:r>
        <w:t>work-related copper and copper sulfate</w:t>
      </w:r>
      <w:r w:rsidR="0090753F">
        <w:t xml:space="preserve"> </w:t>
      </w:r>
      <w:r w:rsidR="00B40DDC">
        <w:t>exposures</w:t>
      </w:r>
      <w:r w:rsidR="00D26AEE">
        <w:t xml:space="preserve"> </w:t>
      </w:r>
      <w:sdt>
        <w:sdtPr>
          <w:id w:val="-324748740"/>
          <w:citation/>
        </w:sdtPr>
        <w:sdtEndPr/>
        <w:sdtContent>
          <w:r w:rsidR="00C328D2">
            <w:fldChar w:fldCharType="begin"/>
          </w:r>
          <w:r w:rsidR="00C328D2">
            <w:instrText xml:space="preserve"> CITATION Dir14 \l 3081 </w:instrText>
          </w:r>
          <w:r w:rsidR="00C328D2">
            <w:fldChar w:fldCharType="separate"/>
          </w:r>
          <w:r w:rsidR="00490B21">
            <w:rPr>
              <w:noProof/>
            </w:rPr>
            <w:t>(Directorate-General for Employment, Social Affairs &amp; Inclusion, 2014)</w:t>
          </w:r>
          <w:r w:rsidR="00C328D2">
            <w:fldChar w:fldCharType="end"/>
          </w:r>
        </w:sdtContent>
      </w:sdt>
    </w:p>
    <w:p w14:paraId="2EE6B82E" w14:textId="5F1FDAFA" w:rsidR="00FF756C" w:rsidRDefault="00C328D2" w:rsidP="00A2768E">
      <w:pPr>
        <w:pStyle w:val="Paragraph"/>
        <w:keepLines/>
        <w:numPr>
          <w:ilvl w:val="1"/>
          <w:numId w:val="72"/>
        </w:numPr>
      </w:pPr>
      <w:r>
        <w:t>R</w:t>
      </w:r>
      <w:r w:rsidR="00FF756C">
        <w:t>eports</w:t>
      </w:r>
      <w:r w:rsidR="00C96ED6">
        <w:t xml:space="preserve"> </w:t>
      </w:r>
      <w:r w:rsidR="00FF756C">
        <w:t>of contact dermatitis have been recorded in literature</w:t>
      </w:r>
      <w:r w:rsidR="007A76D4">
        <w:t xml:space="preserve"> </w:t>
      </w:r>
      <w:r w:rsidR="00FF756C">
        <w:t xml:space="preserve">but </w:t>
      </w:r>
      <w:r>
        <w:t>are low.</w:t>
      </w:r>
    </w:p>
    <w:p w14:paraId="7610C9C6" w14:textId="1699B486" w:rsidR="00723306" w:rsidRDefault="001710A2" w:rsidP="00A2768E">
      <w:pPr>
        <w:pStyle w:val="Paragraph"/>
        <w:keepLines/>
        <w:numPr>
          <w:ilvl w:val="0"/>
          <w:numId w:val="72"/>
        </w:numPr>
      </w:pPr>
      <w:r>
        <w:t>cancer, particularly lung and stomach cancer</w:t>
      </w:r>
      <w:r w:rsidR="00D26AEE">
        <w:t xml:space="preserve"> </w:t>
      </w:r>
    </w:p>
    <w:p w14:paraId="7DC606DD" w14:textId="19CC3F7C" w:rsidR="00D26AEE" w:rsidRDefault="00723306" w:rsidP="00A2768E">
      <w:pPr>
        <w:pStyle w:val="Paragraph"/>
        <w:keepLines/>
        <w:numPr>
          <w:ilvl w:val="1"/>
          <w:numId w:val="72"/>
        </w:numPr>
      </w:pPr>
      <w:r>
        <w:t xml:space="preserve">The </w:t>
      </w:r>
      <w:r w:rsidR="000D528A">
        <w:t xml:space="preserve">European Commission’s Scientific committee on </w:t>
      </w:r>
      <w:r>
        <w:t>O</w:t>
      </w:r>
      <w:r w:rsidR="000D528A">
        <w:t xml:space="preserve">ccupational </w:t>
      </w:r>
      <w:r>
        <w:t>E</w:t>
      </w:r>
      <w:r w:rsidR="000D528A">
        <w:t xml:space="preserve">xposure Limits’ </w:t>
      </w:r>
      <w:r w:rsidR="00281ADF">
        <w:t>report for copper</w:t>
      </w:r>
      <w:r w:rsidR="00423418">
        <w:t xml:space="preserve"> notes that there is</w:t>
      </w:r>
      <w:r w:rsidR="006828C0">
        <w:t xml:space="preserve"> </w:t>
      </w:r>
      <w:r w:rsidR="00C96ED6">
        <w:t xml:space="preserve">emerging </w:t>
      </w:r>
      <w:r w:rsidR="00421617">
        <w:t>health evidence t</w:t>
      </w:r>
      <w:r w:rsidR="005807EE">
        <w:t>o show</w:t>
      </w:r>
      <w:r w:rsidR="00421617">
        <w:t xml:space="preserve"> workers exposed to copper</w:t>
      </w:r>
      <w:r w:rsidR="005807EE">
        <w:t xml:space="preserve">, particularly those </w:t>
      </w:r>
      <w:r w:rsidR="00581016">
        <w:t>in the copper smelting process,</w:t>
      </w:r>
      <w:r w:rsidR="00421617">
        <w:t xml:space="preserve"> </w:t>
      </w:r>
      <w:r w:rsidR="006C7C0D">
        <w:t xml:space="preserve">have reported increased incidences </w:t>
      </w:r>
      <w:r w:rsidR="00D26AEE">
        <w:t>for overall</w:t>
      </w:r>
      <w:r w:rsidR="005807EE">
        <w:t xml:space="preserve"> cancer</w:t>
      </w:r>
      <w:r w:rsidR="00D26AEE">
        <w:t xml:space="preserve"> mortality</w:t>
      </w:r>
      <w:r w:rsidR="005807EE">
        <w:t>, particularly lung and stomach cancer</w:t>
      </w:r>
      <w:r w:rsidR="00EA7AEE">
        <w:t xml:space="preserve"> </w:t>
      </w:r>
      <w:sdt>
        <w:sdtPr>
          <w:id w:val="-1702082115"/>
          <w:citation/>
        </w:sdtPr>
        <w:sdtEndPr/>
        <w:sdtContent>
          <w:r w:rsidR="00EA7AEE">
            <w:fldChar w:fldCharType="begin"/>
          </w:r>
          <w:r w:rsidR="00EA7AEE">
            <w:instrText xml:space="preserve"> CITATION Dir14 \l 3081 </w:instrText>
          </w:r>
          <w:r w:rsidR="00EA7AEE">
            <w:fldChar w:fldCharType="separate"/>
          </w:r>
          <w:r w:rsidR="00490B21">
            <w:rPr>
              <w:noProof/>
            </w:rPr>
            <w:t>(Directorate-General for Employment, Social Affairs &amp; Inclusion, 2014)</w:t>
          </w:r>
          <w:r w:rsidR="00EA7AEE">
            <w:fldChar w:fldCharType="end"/>
          </w:r>
        </w:sdtContent>
      </w:sdt>
      <w:r w:rsidR="006828C0">
        <w:t xml:space="preserve">. </w:t>
      </w:r>
    </w:p>
    <w:p w14:paraId="20AA8F10" w14:textId="0497593E" w:rsidR="00C0124E" w:rsidRPr="00C0124E" w:rsidRDefault="006828C0" w:rsidP="00A2768E">
      <w:pPr>
        <w:pStyle w:val="Paragraph"/>
        <w:keepLines/>
        <w:numPr>
          <w:ilvl w:val="1"/>
          <w:numId w:val="72"/>
        </w:numPr>
      </w:pPr>
      <w:r>
        <w:t>H</w:t>
      </w:r>
      <w:r w:rsidR="00457DFC">
        <w:t>owever</w:t>
      </w:r>
      <w:r>
        <w:t>,</w:t>
      </w:r>
      <w:r w:rsidR="00457DFC">
        <w:t xml:space="preserve"> a </w:t>
      </w:r>
      <w:r>
        <w:t>causal</w:t>
      </w:r>
      <w:r w:rsidR="00457DFC">
        <w:t xml:space="preserve"> </w:t>
      </w:r>
      <w:r w:rsidR="00244656">
        <w:t xml:space="preserve">relationship between inhalation </w:t>
      </w:r>
      <w:r w:rsidR="00C96ED6">
        <w:t>o</w:t>
      </w:r>
      <w:r w:rsidR="00244656">
        <w:t xml:space="preserve">f copper and cancer could not be made due to </w:t>
      </w:r>
      <w:r w:rsidR="0017524D">
        <w:t xml:space="preserve">certain </w:t>
      </w:r>
      <w:r w:rsidR="00C96ED6">
        <w:t xml:space="preserve">confounding factors </w:t>
      </w:r>
      <w:r w:rsidR="00004944">
        <w:t>like smoking and co-exposure to arsenic</w:t>
      </w:r>
      <w:r w:rsidR="00C96ED6">
        <w:t>.</w:t>
      </w:r>
      <w:r w:rsidR="0017524D">
        <w:t xml:space="preserve"> </w:t>
      </w:r>
    </w:p>
    <w:p w14:paraId="0BF4293E" w14:textId="7B883E36" w:rsidR="00131914" w:rsidRPr="00131914" w:rsidRDefault="00131914" w:rsidP="009A6AE4">
      <w:pPr>
        <w:pStyle w:val="Paragraph"/>
        <w:keepNext w:val="0"/>
        <w:keepLines/>
      </w:pPr>
      <w:r>
        <w:t>Copper</w:t>
      </w:r>
      <w:r w:rsidRPr="00E30468">
        <w:t xml:space="preserve"> is</w:t>
      </w:r>
      <w:r>
        <w:t xml:space="preserve"> also</w:t>
      </w:r>
      <w:r w:rsidRPr="00E30468">
        <w:t xml:space="preserve"> listed on Safe Work Australia’s List of Deemed Diseases as a cause for </w:t>
      </w:r>
      <w:r>
        <w:t>acute toxicity (p</w:t>
      </w:r>
      <w:r w:rsidRPr="005E7779">
        <w:t>oisoning causing damage to one or more of the heart, lungs, liver, kidney, nervous system and blood</w:t>
      </w:r>
      <w:r>
        <w:t>)</w:t>
      </w:r>
      <w:r w:rsidRPr="00E30468">
        <w:t xml:space="preserve"> </w:t>
      </w:r>
      <w:sdt>
        <w:sdtPr>
          <w:id w:val="-770854260"/>
          <w:citation/>
        </w:sdtPr>
        <w:sdtEndPr/>
        <w:sdtContent>
          <w:r w:rsidRPr="00E30468">
            <w:fldChar w:fldCharType="begin"/>
          </w:r>
          <w:r w:rsidRPr="00E30468">
            <w:instrText xml:space="preserve"> CITATION Saf24 \l 3081 </w:instrText>
          </w:r>
          <w:r w:rsidRPr="00E30468">
            <w:fldChar w:fldCharType="separate"/>
          </w:r>
          <w:r w:rsidR="00490B21">
            <w:rPr>
              <w:noProof/>
            </w:rPr>
            <w:t>(Safe Work Australia, 2024)</w:t>
          </w:r>
          <w:r w:rsidRPr="00E30468">
            <w:fldChar w:fldCharType="end"/>
          </w:r>
        </w:sdtContent>
      </w:sdt>
      <w:r w:rsidRPr="00E30468">
        <w:t>.</w:t>
      </w:r>
      <w:r w:rsidRPr="00E30468" w:rsidDel="005F7744">
        <w:rPr>
          <w:vertAlign w:val="superscript"/>
        </w:rPr>
        <w:t xml:space="preserve"> </w:t>
      </w:r>
      <w:r w:rsidR="00835FD9">
        <w:t xml:space="preserve">The United States’ </w:t>
      </w:r>
      <w:r w:rsidR="00952A8B">
        <w:t xml:space="preserve">National Institute for Occupational Safety and Health’s Pocket Guide to Chemical Hazards identifies the liver and kidney as </w:t>
      </w:r>
      <w:r w:rsidR="00B20FEC">
        <w:t>target organs</w:t>
      </w:r>
      <w:r w:rsidR="00736873">
        <w:t xml:space="preserve"> for exposure to copper dusts and mists </w:t>
      </w:r>
      <w:sdt>
        <w:sdtPr>
          <w:id w:val="-1965723568"/>
          <w:citation/>
        </w:sdtPr>
        <w:sdtEndPr/>
        <w:sdtContent>
          <w:r w:rsidR="004801D9">
            <w:fldChar w:fldCharType="begin"/>
          </w:r>
          <w:r w:rsidR="003C25BD">
            <w:instrText xml:space="preserve">CITATION The19 \l 3081 </w:instrText>
          </w:r>
          <w:r w:rsidR="004801D9">
            <w:fldChar w:fldCharType="separate"/>
          </w:r>
          <w:r w:rsidR="00490B21">
            <w:rPr>
              <w:noProof/>
            </w:rPr>
            <w:t>(National Institute for Occupational Safety and Health, 2019)</w:t>
          </w:r>
          <w:r w:rsidR="004801D9">
            <w:fldChar w:fldCharType="end"/>
          </w:r>
        </w:sdtContent>
      </w:sdt>
      <w:r w:rsidR="00B20FEC">
        <w:t xml:space="preserve">. </w:t>
      </w:r>
    </w:p>
    <w:p w14:paraId="642A9723" w14:textId="7724FA55" w:rsidR="00767CCF" w:rsidRPr="00767CCF" w:rsidRDefault="00767CCF" w:rsidP="0062018C">
      <w:pPr>
        <w:pStyle w:val="SWAHeading3"/>
      </w:pPr>
      <w:bookmarkStart w:id="189" w:name="_Toc196204654"/>
      <w:r w:rsidRPr="00767CCF">
        <w:t xml:space="preserve">Financial benefits of the proposed WEL for </w:t>
      </w:r>
      <w:r w:rsidR="007F1CE6">
        <w:t>copper</w:t>
      </w:r>
      <w:bookmarkEnd w:id="189"/>
      <w:r w:rsidRPr="00767CCF">
        <w:t xml:space="preserve"> </w:t>
      </w:r>
    </w:p>
    <w:p w14:paraId="631FD40E" w14:textId="69586001" w:rsidR="007163A2" w:rsidRPr="007163A2" w:rsidRDefault="007163A2" w:rsidP="00961607">
      <w:pPr>
        <w:pStyle w:val="SWAHeading4"/>
      </w:pPr>
      <w:r w:rsidRPr="007163A2">
        <w:t>Quantifi</w:t>
      </w:r>
      <w:r w:rsidR="00272DFD">
        <w:t>able</w:t>
      </w:r>
      <w:r w:rsidRPr="007163A2">
        <w:t xml:space="preserve"> financial benefits for the proposed WEL for </w:t>
      </w:r>
      <w:r>
        <w:t>copper</w:t>
      </w:r>
    </w:p>
    <w:p w14:paraId="50F4FA5F" w14:textId="74474315" w:rsidR="00767CCF" w:rsidRPr="00767CCF" w:rsidRDefault="00272DFD" w:rsidP="0062018C">
      <w:pPr>
        <w:pStyle w:val="Paragraph"/>
        <w:keepNext w:val="0"/>
      </w:pPr>
      <w:r>
        <w:t>F</w:t>
      </w:r>
      <w:r w:rsidR="2E0133C8">
        <w:t xml:space="preserve">inancial benefits were not </w:t>
      </w:r>
      <w:r>
        <w:t xml:space="preserve">able to be quantified </w:t>
      </w:r>
      <w:r w:rsidR="2E0133C8">
        <w:t xml:space="preserve">for </w:t>
      </w:r>
      <w:r w:rsidR="079CDFD4">
        <w:t>copper</w:t>
      </w:r>
      <w:r w:rsidR="2E0133C8">
        <w:t xml:space="preserve"> in this analysis. This is due to the lack of workers’ compensation claims caused by </w:t>
      </w:r>
      <w:r w:rsidR="079CDFD4">
        <w:t>copper</w:t>
      </w:r>
      <w:r w:rsidR="2E0133C8">
        <w:t xml:space="preserve">. Noting the adverse health effects that the proposed WEL is based on, it is possible that occupational illness attributable to workplace exposure for </w:t>
      </w:r>
      <w:r w:rsidR="079CDFD4">
        <w:t>copper</w:t>
      </w:r>
      <w:r w:rsidR="2E0133C8">
        <w:t xml:space="preserve"> </w:t>
      </w:r>
      <w:r w:rsidR="079CDFD4">
        <w:t>is</w:t>
      </w:r>
      <w:r w:rsidR="2E0133C8">
        <w:t xml:space="preserve"> likely under-represented in workers’ compensation data, due to difficulties in proving causation, the long latency period between occupational </w:t>
      </w:r>
      <w:r w:rsidR="2E0133C8">
        <w:lastRenderedPageBreak/>
        <w:t xml:space="preserve">exposure and the illness (especially if it develops after the worker has stopped working at the workplace), or an affected worker may not </w:t>
      </w:r>
      <w:r w:rsidR="008A66F0">
        <w:t>seek</w:t>
      </w:r>
      <w:r w:rsidR="1F5C7564">
        <w:t xml:space="preserve"> </w:t>
      </w:r>
      <w:r w:rsidR="2E0133C8">
        <w:t xml:space="preserve">compensation </w:t>
      </w:r>
      <w:r w:rsidR="1F5C7564">
        <w:t>(for example</w:t>
      </w:r>
      <w:r w:rsidR="2E0133C8">
        <w:t>, thinking they are ineligible or not being aware they are covered</w:t>
      </w:r>
      <w:r w:rsidR="1F5C7564">
        <w:t>)</w:t>
      </w:r>
      <w:r w:rsidR="2E0133C8">
        <w:t xml:space="preserve">. </w:t>
      </w:r>
    </w:p>
    <w:p w14:paraId="441A892B" w14:textId="39F5D482" w:rsidR="00073D7E" w:rsidRPr="00073D7E" w:rsidRDefault="00900BBD" w:rsidP="00073D7E">
      <w:pPr>
        <w:pStyle w:val="SWAHeading4"/>
      </w:pPr>
      <w:r>
        <w:t>Non-</w:t>
      </w:r>
      <w:r w:rsidR="00073D7E" w:rsidRPr="00073D7E">
        <w:t>quantifi</w:t>
      </w:r>
      <w:r w:rsidR="00E920DE">
        <w:t>able</w:t>
      </w:r>
      <w:r w:rsidR="00073D7E" w:rsidRPr="00073D7E">
        <w:t xml:space="preserve"> financial benefits for the proposed WEL for </w:t>
      </w:r>
      <w:r w:rsidR="00073D7E">
        <w:t>copper</w:t>
      </w:r>
      <w:r w:rsidR="00073D7E" w:rsidRPr="00073D7E">
        <w:t xml:space="preserve"> </w:t>
      </w:r>
    </w:p>
    <w:p w14:paraId="6135F47D" w14:textId="4F464090" w:rsidR="00767CCF" w:rsidRPr="00767CCF" w:rsidRDefault="001C7657" w:rsidP="0062018C">
      <w:pPr>
        <w:pStyle w:val="Paragraph"/>
        <w:keepNext w:val="0"/>
      </w:pPr>
      <w:r>
        <w:t>A</w:t>
      </w:r>
      <w:r w:rsidR="00767CCF" w:rsidRPr="00767CCF">
        <w:t xml:space="preserve"> lack of data to quantify financial benefits does not mean the introduction of the proposed WEL for </w:t>
      </w:r>
      <w:r w:rsidR="00C408A6">
        <w:t>copper</w:t>
      </w:r>
      <w:r w:rsidR="00767CCF" w:rsidRPr="00767CCF">
        <w:t xml:space="preserve"> </w:t>
      </w:r>
      <w:r w:rsidR="007000D8">
        <w:t>would not achieve</w:t>
      </w:r>
      <w:r w:rsidR="00767CCF" w:rsidRPr="00767CCF">
        <w:t xml:space="preserve"> financial benefits </w:t>
      </w:r>
      <w:r w:rsidR="007000D8">
        <w:t xml:space="preserve">(as outlined </w:t>
      </w:r>
      <w:r w:rsidR="00BF3D0E">
        <w:t>in this Decision RIS)</w:t>
      </w:r>
      <w:r w:rsidR="00767CCF" w:rsidRPr="00767CCF">
        <w:t xml:space="preserve">. </w:t>
      </w:r>
      <w:r w:rsidR="001C4887">
        <w:t>More broadly,</w:t>
      </w:r>
      <w:r w:rsidR="00C64EB1">
        <w:t xml:space="preserve"> financial benefits that the proposed WEL for copper can </w:t>
      </w:r>
      <w:r>
        <w:t>deliver</w:t>
      </w:r>
      <w:r w:rsidR="00C64EB1">
        <w:t xml:space="preserve"> are described below. </w:t>
      </w:r>
    </w:p>
    <w:p w14:paraId="0359DCC2" w14:textId="418A4631" w:rsidR="00E30468" w:rsidRPr="00E30468" w:rsidRDefault="00E30468" w:rsidP="00073D7E">
      <w:pPr>
        <w:pStyle w:val="SWAHeading5"/>
      </w:pPr>
      <w:r w:rsidRPr="00E30468">
        <w:t xml:space="preserve">Increased productivity </w:t>
      </w:r>
    </w:p>
    <w:p w14:paraId="2976BC38" w14:textId="6BCBCBAD" w:rsidR="00E30468" w:rsidRPr="00E30468" w:rsidRDefault="00DD44ED" w:rsidP="008F42B3">
      <w:pPr>
        <w:pStyle w:val="Paragraph"/>
        <w:keepNext w:val="0"/>
      </w:pPr>
      <w:r>
        <w:t>A s</w:t>
      </w:r>
      <w:r w:rsidR="00E30468" w:rsidRPr="00E30468">
        <w:t xml:space="preserve">takeholder from the public consultation suggested the proposed WEL for </w:t>
      </w:r>
      <w:r w:rsidR="004274C0">
        <w:t>copper</w:t>
      </w:r>
      <w:r w:rsidR="004274C0" w:rsidRPr="00E30468">
        <w:t xml:space="preserve"> </w:t>
      </w:r>
      <w:r w:rsidR="00E30468" w:rsidRPr="00E30468">
        <w:t>would likely result in increased productivity</w:t>
      </w:r>
      <w:r>
        <w:rPr>
          <w:rStyle w:val="FootnoteReference"/>
        </w:rPr>
        <w:footnoteReference w:id="84"/>
      </w:r>
      <w:r w:rsidR="00E30468" w:rsidRPr="00E30468">
        <w:t xml:space="preserve"> from a reduction in absenteeism and presenteeism amongst the workforce who are exposed to </w:t>
      </w:r>
      <w:r w:rsidR="005F13DB">
        <w:t>copper</w:t>
      </w:r>
      <w:r w:rsidR="00E30468" w:rsidRPr="00E30468">
        <w:t>.</w:t>
      </w:r>
    </w:p>
    <w:p w14:paraId="1222147A" w14:textId="5A3A3599" w:rsidR="00E30468" w:rsidRPr="00E30468" w:rsidRDefault="002B47BD" w:rsidP="008F42B3">
      <w:pPr>
        <w:pStyle w:val="Paragraph"/>
        <w:keepNext w:val="0"/>
      </w:pPr>
      <w:r w:rsidRPr="002B47BD">
        <w:t xml:space="preserve">While there are no workers’ compensation claims associated with </w:t>
      </w:r>
      <w:r>
        <w:t>copper</w:t>
      </w:r>
      <w:r w:rsidRPr="002B47BD">
        <w:t xml:space="preserve"> exposure, this does not mean the proposed WEL will not result in productivity benefits, noting the likely under-reporting in workers’ compensation claims as outlined above. </w:t>
      </w:r>
      <w:r w:rsidR="401E7CCF">
        <w:t xml:space="preserve">The proposed WEL </w:t>
      </w:r>
      <w:r w:rsidR="62F8598F">
        <w:t xml:space="preserve">for copper </w:t>
      </w:r>
      <w:r w:rsidR="401E7CCF">
        <w:t xml:space="preserve">is expected to </w:t>
      </w:r>
      <w:r w:rsidR="0008412E">
        <w:t>protect</w:t>
      </w:r>
      <w:r w:rsidR="401E7CCF">
        <w:t xml:space="preserve"> workers </w:t>
      </w:r>
      <w:r w:rsidR="0008412E">
        <w:t xml:space="preserve">from developing </w:t>
      </w:r>
      <w:r w:rsidR="401E7CCF">
        <w:t xml:space="preserve"> adverse health effects</w:t>
      </w:r>
      <w:r w:rsidR="73ACB55D">
        <w:t xml:space="preserve"> </w:t>
      </w:r>
      <w:r w:rsidR="401E7CCF">
        <w:t xml:space="preserve">like irritation </w:t>
      </w:r>
      <w:r w:rsidR="3BEE4648">
        <w:t>of the respiratory tract</w:t>
      </w:r>
      <w:r w:rsidR="401E7CCF">
        <w:t xml:space="preserve">. Workers likely to be exposed to </w:t>
      </w:r>
      <w:r w:rsidR="3BEE4648">
        <w:t xml:space="preserve">copper </w:t>
      </w:r>
      <w:r w:rsidR="401E7CCF">
        <w:t>would be less likely to take time off to seek medical care or treatment as they would be protected from developing these adverse health effects</w:t>
      </w:r>
      <w:r w:rsidR="0EA82C98">
        <w:t>.</w:t>
      </w:r>
      <w:r w:rsidR="401E7CCF">
        <w:t xml:space="preserve"> </w:t>
      </w:r>
    </w:p>
    <w:p w14:paraId="6ADF7E3B" w14:textId="57BCABEA" w:rsidR="00E30468" w:rsidRPr="00E30468" w:rsidRDefault="00E30468" w:rsidP="00073D7E">
      <w:pPr>
        <w:pStyle w:val="SWAHeading5"/>
      </w:pPr>
      <w:r w:rsidRPr="00E30468">
        <w:t>Reduced costs to government</w:t>
      </w:r>
      <w:r w:rsidR="007000D8">
        <w:t>s</w:t>
      </w:r>
    </w:p>
    <w:p w14:paraId="1AFA9CE4" w14:textId="234D26FD" w:rsidR="00E30468" w:rsidRPr="00E30468" w:rsidRDefault="00E30468" w:rsidP="008F42B3">
      <w:pPr>
        <w:contextualSpacing w:val="0"/>
      </w:pPr>
      <w:r w:rsidRPr="00E30468">
        <w:t xml:space="preserve">The Australian Institute of Health and Welfare states healthcare expenditure </w:t>
      </w:r>
      <w:r w:rsidR="00B23F1D">
        <w:t>for upper respiratory conditions</w:t>
      </w:r>
      <w:r w:rsidR="003D6B61">
        <w:rPr>
          <w:rStyle w:val="FootnoteReference"/>
        </w:rPr>
        <w:footnoteReference w:id="85"/>
      </w:r>
      <w:r w:rsidRPr="00E30468">
        <w:t xml:space="preserve"> was approximately $</w:t>
      </w:r>
      <w:r w:rsidR="00905C4A">
        <w:t>1.</w:t>
      </w:r>
      <w:r w:rsidR="00EA4DEE">
        <w:t xml:space="preserve">64 </w:t>
      </w:r>
      <w:r w:rsidR="00905C4A">
        <w:t>b</w:t>
      </w:r>
      <w:r w:rsidRPr="00E30468">
        <w:t>illion</w:t>
      </w:r>
      <w:r w:rsidR="00167EBD">
        <w:t xml:space="preserve">, </w:t>
      </w:r>
      <w:r w:rsidR="00B751C8">
        <w:t>$1.</w:t>
      </w:r>
      <w:r w:rsidR="00F40E50">
        <w:t xml:space="preserve">87 </w:t>
      </w:r>
      <w:r w:rsidR="00B751C8">
        <w:t xml:space="preserve">billion for lung </w:t>
      </w:r>
      <w:r w:rsidR="00167EBD">
        <w:t>cancer,</w:t>
      </w:r>
      <w:r w:rsidR="00B751C8">
        <w:t xml:space="preserve"> and</w:t>
      </w:r>
      <w:r w:rsidR="00167EBD">
        <w:t xml:space="preserve"> $272 million for</w:t>
      </w:r>
      <w:r w:rsidR="00B751C8">
        <w:t xml:space="preserve"> stomach cancer</w:t>
      </w:r>
      <w:r w:rsidR="00F55643">
        <w:t xml:space="preserve"> </w:t>
      </w:r>
      <w:r w:rsidR="009F5F76">
        <w:t xml:space="preserve">in 2023-24 </w:t>
      </w:r>
      <w:sdt>
        <w:sdtPr>
          <w:id w:val="-994101102"/>
          <w:citation/>
        </w:sdtPr>
        <w:sdtEndPr/>
        <w:sdtContent>
          <w:r w:rsidR="00F55643" w:rsidRPr="00084647">
            <w:fldChar w:fldCharType="begin"/>
          </w:r>
          <w:r w:rsidR="00CE68FD" w:rsidRPr="00AB6E1F">
            <w:instrText xml:space="preserve">CITATION Aus24 \l 3081 </w:instrText>
          </w:r>
          <w:r w:rsidR="00F55643" w:rsidRPr="00084647">
            <w:fldChar w:fldCharType="separate"/>
          </w:r>
          <w:r w:rsidR="00490B21">
            <w:rPr>
              <w:noProof/>
            </w:rPr>
            <w:t>(Australian Institute of Health and Welfare, 2025)</w:t>
          </w:r>
          <w:r w:rsidR="00F55643" w:rsidRPr="00084647">
            <w:fldChar w:fldCharType="end"/>
          </w:r>
        </w:sdtContent>
      </w:sdt>
      <w:r w:rsidR="00B751C8">
        <w:t>.</w:t>
      </w:r>
      <w:r w:rsidR="00F55643">
        <w:t xml:space="preserve"> </w:t>
      </w:r>
      <w:r w:rsidRPr="00E30468">
        <w:t xml:space="preserve">   </w:t>
      </w:r>
    </w:p>
    <w:p w14:paraId="25CEF95C" w14:textId="176B1D3C" w:rsidR="00EC209A" w:rsidRDefault="00E30468" w:rsidP="008F42B3">
      <w:pPr>
        <w:contextualSpacing w:val="0"/>
      </w:pPr>
      <w:r w:rsidRPr="00E30468">
        <w:t xml:space="preserve">While not all </w:t>
      </w:r>
      <w:r w:rsidR="00F55643">
        <w:t>upper respiratory conditions</w:t>
      </w:r>
      <w:r w:rsidR="00084647">
        <w:t xml:space="preserve">, </w:t>
      </w:r>
      <w:r w:rsidR="001F6BCE">
        <w:t xml:space="preserve">lung </w:t>
      </w:r>
      <w:r w:rsidR="00BC4A7F">
        <w:t>cancer</w:t>
      </w:r>
      <w:r w:rsidR="001F6BCE">
        <w:t xml:space="preserve"> and stomach cancer </w:t>
      </w:r>
      <w:r w:rsidRPr="00E30468">
        <w:t xml:space="preserve">will be caused by </w:t>
      </w:r>
      <w:r w:rsidR="007D53E8">
        <w:t>work-related exposure to copper</w:t>
      </w:r>
      <w:r w:rsidRPr="00E30468">
        <w:t xml:space="preserve">, reducing the WEL for </w:t>
      </w:r>
      <w:r w:rsidR="007D53E8">
        <w:t>copper</w:t>
      </w:r>
      <w:r w:rsidRPr="00E30468">
        <w:t xml:space="preserve"> can help reduce the number of workers developing </w:t>
      </w:r>
      <w:r w:rsidR="007D53E8">
        <w:t>these adverse health effects</w:t>
      </w:r>
      <w:r w:rsidRPr="00E30468">
        <w:t>.</w:t>
      </w:r>
    </w:p>
    <w:p w14:paraId="1B618942" w14:textId="52ACA78E" w:rsidR="00E30468" w:rsidRPr="00E30468" w:rsidRDefault="00734F39" w:rsidP="008F42B3">
      <w:pPr>
        <w:contextualSpacing w:val="0"/>
      </w:pPr>
      <w:r>
        <w:t>The</w:t>
      </w:r>
      <w:r w:rsidR="007D2B20">
        <w:t xml:space="preserve"> AIWH’s</w:t>
      </w:r>
      <w:r w:rsidR="00EC209A" w:rsidRPr="00EC209A">
        <w:t xml:space="preserve"> Australian Burden of Disease Study, 2024 indicat</w:t>
      </w:r>
      <w:r>
        <w:t>e</w:t>
      </w:r>
      <w:r w:rsidR="007D2B20">
        <w:t>s</w:t>
      </w:r>
      <w:r w:rsidR="00EC209A" w:rsidRPr="00EC209A">
        <w:t xml:space="preserve"> that 3.9% of all respiratory disease total burden was attributed to occupational exposure and hazards</w:t>
      </w:r>
      <w:sdt>
        <w:sdtPr>
          <w:id w:val="-1068962067"/>
          <w:citation/>
        </w:sdtPr>
        <w:sdtEndPr/>
        <w:sdtContent>
          <w:r w:rsidR="00EC209A" w:rsidRPr="00EC209A">
            <w:fldChar w:fldCharType="begin"/>
          </w:r>
          <w:r w:rsidR="00EC209A" w:rsidRPr="00EC209A">
            <w:instrText xml:space="preserve"> CITATION Aus232 \l 3081 </w:instrText>
          </w:r>
          <w:r w:rsidR="00EC209A" w:rsidRPr="00EC209A">
            <w:fldChar w:fldCharType="separate"/>
          </w:r>
          <w:r w:rsidR="00490B21">
            <w:rPr>
              <w:noProof/>
            </w:rPr>
            <w:t xml:space="preserve"> (Australian Institute of Health and Welfare, 2023)</w:t>
          </w:r>
          <w:r w:rsidR="00EC209A" w:rsidRPr="00EC209A">
            <w:fldChar w:fldCharType="end"/>
          </w:r>
        </w:sdtContent>
      </w:sdt>
      <w:sdt>
        <w:sdtPr>
          <w:id w:val="1596982094"/>
          <w:citation/>
        </w:sdtPr>
        <w:sdtEndPr/>
        <w:sdtContent/>
      </w:sdt>
      <w:r w:rsidR="00EC209A" w:rsidRPr="00EC209A">
        <w:t xml:space="preserve">. </w:t>
      </w:r>
      <w:r>
        <w:t>R</w:t>
      </w:r>
      <w:r w:rsidR="00EC209A" w:rsidRPr="00EC209A">
        <w:t xml:space="preserve">educing respiratory diseases caused by occupational exposure, </w:t>
      </w:r>
      <w:r w:rsidR="00D5469F">
        <w:t>such as</w:t>
      </w:r>
      <w:r w:rsidR="007F4800">
        <w:t xml:space="preserve"> </w:t>
      </w:r>
      <w:r>
        <w:t>by</w:t>
      </w:r>
      <w:r w:rsidR="00EC209A" w:rsidRPr="00EC209A">
        <w:t xml:space="preserve"> implementing the proposed WEL for </w:t>
      </w:r>
      <w:r w:rsidR="00B41EBF">
        <w:t>copper</w:t>
      </w:r>
      <w:r w:rsidR="00EC209A" w:rsidRPr="00EC209A">
        <w:t xml:space="preserve"> to </w:t>
      </w:r>
      <w:r w:rsidR="00D5469F">
        <w:t xml:space="preserve">better </w:t>
      </w:r>
      <w:r w:rsidR="00DA4241">
        <w:t xml:space="preserve">protect </w:t>
      </w:r>
      <w:r w:rsidR="00EC209A" w:rsidRPr="00EC209A">
        <w:t xml:space="preserve">workers, </w:t>
      </w:r>
      <w:r w:rsidR="000B3D1E">
        <w:t xml:space="preserve">is estimated to </w:t>
      </w:r>
      <w:r w:rsidR="00EC209A" w:rsidRPr="00EC209A">
        <w:t xml:space="preserve">contribute </w:t>
      </w:r>
      <w:r w:rsidR="004E448B">
        <w:t xml:space="preserve">up </w:t>
      </w:r>
      <w:r w:rsidR="00EC209A" w:rsidRPr="00EC209A">
        <w:t>to $</w:t>
      </w:r>
      <w:r w:rsidR="00F0703B">
        <w:t>43</w:t>
      </w:r>
      <w:r w:rsidR="00EC209A" w:rsidRPr="00EC209A">
        <w:t xml:space="preserve"> million in savings to the health system and for the government</w:t>
      </w:r>
      <w:r w:rsidR="00D6644C">
        <w:t xml:space="preserve"> per year</w:t>
      </w:r>
      <w:r w:rsidR="00EC209A" w:rsidRPr="00EC209A">
        <w:t xml:space="preserve">. </w:t>
      </w:r>
      <w:r w:rsidR="00E30468" w:rsidRPr="00E30468">
        <w:t xml:space="preserve"> </w:t>
      </w:r>
    </w:p>
    <w:p w14:paraId="06DDEFA7" w14:textId="04DA2E87" w:rsidR="00E30468" w:rsidRPr="00E30468" w:rsidRDefault="001B51EB" w:rsidP="00B64384">
      <w:pPr>
        <w:pStyle w:val="SWAHeading5"/>
        <w:keepNext/>
      </w:pPr>
      <w:r w:rsidRPr="00E30468">
        <w:t>Reduc</w:t>
      </w:r>
      <w:r>
        <w:t>ed</w:t>
      </w:r>
      <w:r w:rsidR="00E30468" w:rsidRPr="00E30468">
        <w:t xml:space="preserve"> costs associated with </w:t>
      </w:r>
      <w:r w:rsidR="00543C1F">
        <w:t>potential</w:t>
      </w:r>
      <w:r w:rsidR="00E30468" w:rsidRPr="00E30468">
        <w:t xml:space="preserve"> worker compensation claims</w:t>
      </w:r>
    </w:p>
    <w:p w14:paraId="0B3F7C4A" w14:textId="1C273712" w:rsidR="00E30468" w:rsidRPr="00E30468" w:rsidRDefault="00E30468" w:rsidP="00B64384">
      <w:pPr>
        <w:pStyle w:val="Paragraph"/>
      </w:pPr>
      <w:r w:rsidRPr="00E30468">
        <w:t xml:space="preserve">Workers who develop an occupational disease or illness because of exposures to </w:t>
      </w:r>
      <w:r w:rsidR="00783A52">
        <w:t>copper</w:t>
      </w:r>
      <w:r w:rsidRPr="00E30468">
        <w:t xml:space="preserve"> are able to seek workers’ compensation if the occupational disease or illness can be linked </w:t>
      </w:r>
      <w:r w:rsidRPr="00E30468">
        <w:lastRenderedPageBreak/>
        <w:t xml:space="preserve">to the workplace. Workers’ compensation will help workers focus on getting better and access rehabilitation services, without worrying about associated costs. </w:t>
      </w:r>
    </w:p>
    <w:p w14:paraId="50DC9AC3" w14:textId="2CA005AE" w:rsidR="00B20210" w:rsidRDefault="401E7CCF" w:rsidP="00B20210">
      <w:pPr>
        <w:pStyle w:val="SWAHeading3"/>
        <w:spacing w:line="240" w:lineRule="atLeast"/>
        <w:rPr>
          <w:vertAlign w:val="superscript"/>
        </w:rPr>
      </w:pPr>
      <w:r w:rsidRPr="00B20210">
        <w:rPr>
          <w:rFonts w:eastAsia="Times New Roman" w:cstheme="minorBidi"/>
          <w:color w:val="auto"/>
          <w:sz w:val="22"/>
          <w:szCs w:val="24"/>
          <w:lang w:eastAsia="en-AU"/>
        </w:rPr>
        <w:t xml:space="preserve">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 </w:t>
      </w:r>
      <w:r w:rsidR="191699C3" w:rsidRPr="00B20210">
        <w:rPr>
          <w:rFonts w:eastAsia="Times New Roman" w:cstheme="minorBidi"/>
          <w:color w:val="auto"/>
          <w:sz w:val="22"/>
          <w:szCs w:val="24"/>
          <w:lang w:eastAsia="en-AU"/>
        </w:rPr>
        <w:t>Copper</w:t>
      </w:r>
      <w:r w:rsidRPr="00B20210">
        <w:rPr>
          <w:rFonts w:eastAsia="Times New Roman" w:cstheme="minorBidi"/>
          <w:color w:val="auto"/>
          <w:sz w:val="22"/>
          <w:szCs w:val="24"/>
          <w:lang w:eastAsia="en-AU"/>
        </w:rPr>
        <w:t xml:space="preserve"> is listed on Safe Work Australia’s List of Deemed Diseases as a cause for </w:t>
      </w:r>
      <w:r w:rsidR="191699C3" w:rsidRPr="00B20210">
        <w:rPr>
          <w:rFonts w:eastAsia="Times New Roman" w:cstheme="minorBidi"/>
          <w:color w:val="auto"/>
          <w:sz w:val="22"/>
          <w:szCs w:val="24"/>
          <w:lang w:eastAsia="en-AU"/>
        </w:rPr>
        <w:t>acute toxicity</w:t>
      </w:r>
      <w:r w:rsidRPr="00B20210">
        <w:rPr>
          <w:rFonts w:eastAsia="Times New Roman" w:cstheme="minorBidi"/>
          <w:color w:val="auto"/>
          <w:sz w:val="22"/>
          <w:szCs w:val="24"/>
          <w:lang w:eastAsia="en-AU"/>
        </w:rPr>
        <w:t xml:space="preserve"> </w:t>
      </w:r>
      <w:r w:rsidR="5D8D532D" w:rsidRPr="00B20210">
        <w:rPr>
          <w:rFonts w:eastAsia="Times New Roman" w:cstheme="minorBidi"/>
          <w:color w:val="auto"/>
          <w:sz w:val="22"/>
          <w:szCs w:val="24"/>
          <w:lang w:eastAsia="en-AU"/>
        </w:rPr>
        <w:t>(</w:t>
      </w:r>
      <w:r w:rsidR="2CCA4A14" w:rsidRPr="00B20210">
        <w:rPr>
          <w:rFonts w:eastAsia="Times New Roman" w:cstheme="minorBidi"/>
          <w:color w:val="auto"/>
          <w:sz w:val="22"/>
          <w:szCs w:val="24"/>
          <w:lang w:eastAsia="en-AU"/>
        </w:rPr>
        <w:t>p</w:t>
      </w:r>
      <w:r w:rsidR="5D8D532D" w:rsidRPr="00B20210">
        <w:rPr>
          <w:rFonts w:eastAsia="Times New Roman" w:cstheme="minorBidi"/>
          <w:color w:val="auto"/>
          <w:sz w:val="22"/>
          <w:szCs w:val="24"/>
          <w:lang w:eastAsia="en-AU"/>
        </w:rPr>
        <w:t>oisoning causing damage to one or more of the heart, lungs, liver, kidney, nervous system and blood)</w:t>
      </w:r>
      <w:r w:rsidRPr="00B20210">
        <w:rPr>
          <w:rFonts w:eastAsia="Times New Roman" w:cstheme="minorBidi"/>
          <w:color w:val="auto"/>
          <w:sz w:val="22"/>
          <w:szCs w:val="24"/>
          <w:lang w:eastAsia="en-AU"/>
        </w:rPr>
        <w:t xml:space="preserve"> </w:t>
      </w:r>
      <w:sdt>
        <w:sdtPr>
          <w:rPr>
            <w:rFonts w:eastAsia="Times New Roman" w:cstheme="minorBidi"/>
            <w:color w:val="auto"/>
            <w:sz w:val="22"/>
            <w:szCs w:val="24"/>
            <w:lang w:eastAsia="en-AU"/>
          </w:rPr>
          <w:id w:val="2115635806"/>
          <w:citation/>
        </w:sdtPr>
        <w:sdtEndPr/>
        <w:sdtContent>
          <w:r w:rsidR="00E30468" w:rsidRPr="00B20210">
            <w:rPr>
              <w:rFonts w:eastAsia="Times New Roman" w:cstheme="minorBidi"/>
              <w:color w:val="auto"/>
              <w:sz w:val="22"/>
              <w:szCs w:val="24"/>
              <w:lang w:eastAsia="en-AU"/>
            </w:rPr>
            <w:fldChar w:fldCharType="begin"/>
          </w:r>
          <w:r w:rsidR="00E30468" w:rsidRPr="00B20210">
            <w:rPr>
              <w:rFonts w:eastAsia="Times New Roman" w:cstheme="minorBidi"/>
              <w:color w:val="auto"/>
              <w:sz w:val="22"/>
              <w:szCs w:val="24"/>
              <w:lang w:eastAsia="en-AU"/>
            </w:rPr>
            <w:instrText xml:space="preserve"> CITATION Saf24 \l 3081 </w:instrText>
          </w:r>
          <w:r w:rsidR="00E30468" w:rsidRPr="00B20210">
            <w:rPr>
              <w:rFonts w:eastAsia="Times New Roman" w:cstheme="minorBidi"/>
              <w:color w:val="auto"/>
              <w:sz w:val="22"/>
              <w:szCs w:val="24"/>
              <w:lang w:eastAsia="en-AU"/>
            </w:rPr>
            <w:fldChar w:fldCharType="separate"/>
          </w:r>
          <w:r w:rsidR="00490B21" w:rsidRPr="00490B21">
            <w:rPr>
              <w:rFonts w:eastAsia="Times New Roman" w:cstheme="minorBidi"/>
              <w:noProof/>
              <w:color w:val="auto"/>
              <w:sz w:val="22"/>
              <w:szCs w:val="24"/>
              <w:lang w:eastAsia="en-AU"/>
            </w:rPr>
            <w:t>(Safe Work Australia, 2024)</w:t>
          </w:r>
          <w:r w:rsidR="00E30468" w:rsidRPr="00B20210">
            <w:rPr>
              <w:rFonts w:eastAsia="Times New Roman" w:cstheme="minorBidi"/>
              <w:color w:val="auto"/>
              <w:sz w:val="22"/>
              <w:szCs w:val="24"/>
              <w:lang w:eastAsia="en-AU"/>
            </w:rPr>
            <w:fldChar w:fldCharType="end"/>
          </w:r>
        </w:sdtContent>
      </w:sdt>
      <w:r w:rsidRPr="00B20210">
        <w:rPr>
          <w:rFonts w:eastAsia="Times New Roman" w:cstheme="minorBidi"/>
          <w:color w:val="auto"/>
          <w:sz w:val="22"/>
          <w:szCs w:val="24"/>
          <w:lang w:eastAsia="en-AU"/>
        </w:rPr>
        <w:t>.</w:t>
      </w:r>
      <w:r w:rsidRPr="00E30468" w:rsidDel="005F7744">
        <w:rPr>
          <w:vertAlign w:val="superscript"/>
        </w:rPr>
        <w:t xml:space="preserve"> </w:t>
      </w:r>
      <w:bookmarkStart w:id="190" w:name="_Toc196204655"/>
    </w:p>
    <w:p w14:paraId="30221B2A" w14:textId="74C05F2F" w:rsidR="006143CA" w:rsidRPr="006143CA" w:rsidRDefault="00576426" w:rsidP="00B20210">
      <w:pPr>
        <w:pStyle w:val="SWAHeading3"/>
        <w:spacing w:line="240" w:lineRule="atLeast"/>
        <w:rPr>
          <w:rFonts w:eastAsia="Times New Roman" w:cstheme="minorBidi"/>
          <w:color w:val="auto"/>
          <w:sz w:val="22"/>
          <w:szCs w:val="24"/>
          <w:lang w:eastAsia="en-AU"/>
        </w:rPr>
      </w:pPr>
      <w:r>
        <w:rPr>
          <w:rFonts w:eastAsia="Times New Roman" w:cstheme="minorBidi"/>
          <w:color w:val="auto"/>
          <w:sz w:val="22"/>
          <w:szCs w:val="24"/>
          <w:lang w:eastAsia="en-AU"/>
        </w:rPr>
        <w:t xml:space="preserve">While there are no workers’ compensation claims associated with </w:t>
      </w:r>
      <w:r w:rsidR="00A0298D">
        <w:rPr>
          <w:rFonts w:eastAsia="Times New Roman" w:cstheme="minorBidi"/>
          <w:color w:val="auto"/>
          <w:sz w:val="22"/>
          <w:szCs w:val="24"/>
          <w:lang w:eastAsia="en-AU"/>
        </w:rPr>
        <w:t>copper</w:t>
      </w:r>
      <w:r>
        <w:rPr>
          <w:rFonts w:eastAsia="Times New Roman" w:cstheme="minorBidi"/>
          <w:color w:val="auto"/>
          <w:sz w:val="22"/>
          <w:szCs w:val="24"/>
          <w:lang w:eastAsia="en-AU"/>
        </w:rPr>
        <w:t xml:space="preserve"> exposure, this does not mean the proposed WEL will not result in direct financial </w:t>
      </w:r>
      <w:r w:rsidR="00F0248F">
        <w:rPr>
          <w:rFonts w:eastAsia="Times New Roman" w:cstheme="minorBidi"/>
          <w:color w:val="auto"/>
          <w:sz w:val="22"/>
          <w:szCs w:val="24"/>
          <w:lang w:eastAsia="en-AU"/>
        </w:rPr>
        <w:t>benefits</w:t>
      </w:r>
      <w:r>
        <w:rPr>
          <w:rFonts w:eastAsia="Times New Roman" w:cstheme="minorBidi"/>
          <w:color w:val="auto"/>
          <w:sz w:val="22"/>
          <w:szCs w:val="24"/>
          <w:lang w:eastAsia="en-AU"/>
        </w:rPr>
        <w:t xml:space="preserve">, noting the likely under-reporting in workers’ compensation </w:t>
      </w:r>
      <w:r w:rsidR="00A82489">
        <w:rPr>
          <w:rFonts w:eastAsia="Times New Roman" w:cstheme="minorBidi"/>
          <w:color w:val="auto"/>
          <w:sz w:val="22"/>
          <w:szCs w:val="24"/>
          <w:lang w:eastAsia="en-AU"/>
        </w:rPr>
        <w:t xml:space="preserve">claims data outlined above. As the proposed WEL is expected to protect </w:t>
      </w:r>
      <w:r w:rsidR="0085618B" w:rsidRPr="006143CA">
        <w:rPr>
          <w:rFonts w:eastAsia="Times New Roman" w:cstheme="minorBidi"/>
          <w:color w:val="auto"/>
          <w:sz w:val="22"/>
          <w:szCs w:val="24"/>
          <w:lang w:eastAsia="en-AU"/>
        </w:rPr>
        <w:t xml:space="preserve">workers </w:t>
      </w:r>
      <w:r w:rsidR="00CD17C2">
        <w:rPr>
          <w:rFonts w:eastAsia="Times New Roman" w:cstheme="minorBidi"/>
          <w:color w:val="auto"/>
          <w:sz w:val="22"/>
          <w:szCs w:val="24"/>
          <w:lang w:eastAsia="en-AU"/>
        </w:rPr>
        <w:t>from</w:t>
      </w:r>
      <w:r w:rsidR="0085618B" w:rsidRPr="006143CA">
        <w:rPr>
          <w:rFonts w:eastAsia="Times New Roman" w:cstheme="minorBidi"/>
          <w:color w:val="auto"/>
          <w:sz w:val="22"/>
          <w:szCs w:val="24"/>
          <w:lang w:eastAsia="en-AU"/>
        </w:rPr>
        <w:t xml:space="preserve"> developing </w:t>
      </w:r>
      <w:r w:rsidR="00D310AA" w:rsidRPr="006143CA">
        <w:rPr>
          <w:rFonts w:eastAsia="Times New Roman" w:cstheme="minorBidi"/>
          <w:color w:val="auto"/>
          <w:sz w:val="22"/>
          <w:szCs w:val="24"/>
          <w:lang w:eastAsia="en-AU"/>
        </w:rPr>
        <w:t>irritation of the respiratory tract and acute toxicity from work-related exposures</w:t>
      </w:r>
      <w:r w:rsidR="001F7274">
        <w:rPr>
          <w:rFonts w:eastAsia="Times New Roman" w:cstheme="minorBidi"/>
          <w:color w:val="auto"/>
          <w:sz w:val="22"/>
          <w:szCs w:val="24"/>
          <w:lang w:eastAsia="en-AU"/>
        </w:rPr>
        <w:t xml:space="preserve"> to</w:t>
      </w:r>
      <w:r w:rsidR="0085618B" w:rsidRPr="006143CA">
        <w:rPr>
          <w:rFonts w:eastAsia="Times New Roman" w:cstheme="minorBidi"/>
          <w:color w:val="auto"/>
          <w:sz w:val="22"/>
          <w:szCs w:val="24"/>
          <w:lang w:eastAsia="en-AU"/>
        </w:rPr>
        <w:t xml:space="preserve"> </w:t>
      </w:r>
      <w:r w:rsidR="00D310AA" w:rsidRPr="006143CA">
        <w:rPr>
          <w:rFonts w:eastAsia="Times New Roman" w:cstheme="minorBidi"/>
          <w:color w:val="auto"/>
          <w:sz w:val="22"/>
          <w:szCs w:val="24"/>
          <w:lang w:eastAsia="en-AU"/>
        </w:rPr>
        <w:t>copper</w:t>
      </w:r>
      <w:r w:rsidR="0085618B" w:rsidRPr="006143CA">
        <w:rPr>
          <w:rFonts w:eastAsia="Times New Roman" w:cstheme="minorBidi"/>
          <w:color w:val="auto"/>
          <w:sz w:val="22"/>
          <w:szCs w:val="24"/>
          <w:lang w:eastAsia="en-AU"/>
        </w:rPr>
        <w:t xml:space="preserve"> can help businesses avoid the </w:t>
      </w:r>
      <w:r w:rsidR="00DF7029">
        <w:rPr>
          <w:rFonts w:eastAsia="Times New Roman" w:cstheme="minorBidi"/>
          <w:color w:val="auto"/>
          <w:sz w:val="22"/>
          <w:szCs w:val="24"/>
          <w:lang w:eastAsia="en-AU"/>
        </w:rPr>
        <w:t xml:space="preserve">emergence and </w:t>
      </w:r>
      <w:r w:rsidR="0085618B" w:rsidRPr="006143CA">
        <w:rPr>
          <w:rFonts w:eastAsia="Times New Roman" w:cstheme="minorBidi"/>
          <w:color w:val="auto"/>
          <w:sz w:val="22"/>
          <w:szCs w:val="24"/>
          <w:lang w:eastAsia="en-AU"/>
        </w:rPr>
        <w:t>cost of worker</w:t>
      </w:r>
      <w:r w:rsidR="00004488">
        <w:rPr>
          <w:rFonts w:eastAsia="Times New Roman" w:cstheme="minorBidi"/>
          <w:color w:val="auto"/>
          <w:sz w:val="22"/>
          <w:szCs w:val="24"/>
          <w:lang w:eastAsia="en-AU"/>
        </w:rPr>
        <w:t>s’</w:t>
      </w:r>
      <w:r w:rsidR="0085618B" w:rsidRPr="006143CA">
        <w:rPr>
          <w:rFonts w:eastAsia="Times New Roman" w:cstheme="minorBidi"/>
          <w:color w:val="auto"/>
          <w:sz w:val="22"/>
          <w:szCs w:val="24"/>
          <w:lang w:eastAsia="en-AU"/>
        </w:rPr>
        <w:t xml:space="preserve"> compensation claims</w:t>
      </w:r>
      <w:r w:rsidR="00CD17C2">
        <w:rPr>
          <w:rFonts w:eastAsia="Times New Roman" w:cstheme="minorBidi"/>
          <w:color w:val="auto"/>
          <w:sz w:val="22"/>
          <w:szCs w:val="24"/>
          <w:lang w:eastAsia="en-AU"/>
        </w:rPr>
        <w:t xml:space="preserve"> in the future</w:t>
      </w:r>
      <w:r w:rsidR="006A7AA2">
        <w:rPr>
          <w:rFonts w:eastAsia="Times New Roman" w:cstheme="minorBidi"/>
          <w:color w:val="auto"/>
          <w:sz w:val="22"/>
          <w:szCs w:val="24"/>
          <w:lang w:eastAsia="en-AU"/>
        </w:rPr>
        <w:t xml:space="preserve"> </w:t>
      </w:r>
      <w:r w:rsidR="006A7AA2" w:rsidRPr="006A7AA2">
        <w:rPr>
          <w:rFonts w:eastAsia="Times New Roman" w:cstheme="minorBidi"/>
          <w:color w:val="auto"/>
          <w:sz w:val="22"/>
          <w:szCs w:val="24"/>
          <w:lang w:eastAsia="en-AU"/>
        </w:rPr>
        <w:t>through increased premiums</w:t>
      </w:r>
      <w:r w:rsidR="0085618B" w:rsidRPr="006143CA">
        <w:rPr>
          <w:rFonts w:eastAsia="Times New Roman" w:cstheme="minorBidi"/>
          <w:color w:val="auto"/>
          <w:sz w:val="22"/>
          <w:szCs w:val="24"/>
          <w:lang w:eastAsia="en-AU"/>
        </w:rPr>
        <w:t xml:space="preserve">. </w:t>
      </w:r>
    </w:p>
    <w:p w14:paraId="21FCEF8D" w14:textId="6D70A9ED" w:rsidR="00767CCF" w:rsidRPr="00767CCF" w:rsidRDefault="00767CCF" w:rsidP="00B20210">
      <w:pPr>
        <w:pStyle w:val="SWAHeading3"/>
        <w:spacing w:line="240" w:lineRule="atLeast"/>
      </w:pPr>
      <w:r w:rsidRPr="00767CCF">
        <w:t xml:space="preserve">Additional benefits </w:t>
      </w:r>
      <w:r w:rsidR="004C47CD">
        <w:t>of</w:t>
      </w:r>
      <w:r w:rsidRPr="00767CCF">
        <w:t xml:space="preserve"> the proposed WEL for </w:t>
      </w:r>
      <w:r w:rsidR="007F1CE6">
        <w:t>copper</w:t>
      </w:r>
      <w:bookmarkEnd w:id="190"/>
    </w:p>
    <w:p w14:paraId="7F7EBCAD" w14:textId="564F8196" w:rsidR="00767CCF" w:rsidRPr="00767CCF" w:rsidRDefault="00767CCF" w:rsidP="00767CCF">
      <w:pPr>
        <w:pStyle w:val="Paragraph"/>
        <w:keepNext w:val="0"/>
        <w:keepLines/>
      </w:pPr>
      <w:r w:rsidRPr="00767CCF">
        <w:t xml:space="preserve">Stakeholders identified the proposed WEL for </w:t>
      </w:r>
      <w:r w:rsidR="007F1CE6">
        <w:t>copper</w:t>
      </w:r>
      <w:r w:rsidRPr="00767CCF">
        <w:t xml:space="preserve"> would have the following </w:t>
      </w:r>
      <w:r w:rsidR="00C812BE" w:rsidRPr="00C812BE">
        <w:t>qualitative</w:t>
      </w:r>
      <w:r w:rsidR="00C812BE" w:rsidRPr="00C812BE" w:rsidDel="00C812BE">
        <w:t xml:space="preserve"> </w:t>
      </w:r>
      <w:r w:rsidRPr="00767CCF">
        <w:t>benefits</w:t>
      </w:r>
      <w:r w:rsidR="002D3F38">
        <w:t xml:space="preserve">. </w:t>
      </w:r>
    </w:p>
    <w:p w14:paraId="2F8CC781" w14:textId="182C6EA1" w:rsidR="00827028" w:rsidRDefault="00827028" w:rsidP="00E404C4">
      <w:pPr>
        <w:pStyle w:val="SWAHeading4"/>
      </w:pPr>
      <w:r w:rsidRPr="00827028">
        <w:t xml:space="preserve">Encourages the use of </w:t>
      </w:r>
      <w:r>
        <w:t>copper</w:t>
      </w:r>
      <w:r w:rsidRPr="00827028">
        <w:t xml:space="preserve">-free products in the workplace </w:t>
      </w:r>
    </w:p>
    <w:p w14:paraId="65BC2DA2" w14:textId="7B9CDA4C" w:rsidR="00973480" w:rsidRPr="00827028" w:rsidRDefault="00973480" w:rsidP="00625E6F">
      <w:pPr>
        <w:pStyle w:val="Paragraph"/>
        <w:keepNext w:val="0"/>
      </w:pPr>
      <w:r w:rsidRPr="00973480">
        <w:t xml:space="preserve">The proposed WEL for </w:t>
      </w:r>
      <w:r>
        <w:t>copper</w:t>
      </w:r>
      <w:r w:rsidRPr="00973480">
        <w:t xml:space="preserve"> could promote the substitution and use of safer alternative products that do not contain </w:t>
      </w:r>
      <w:r>
        <w:t>copper</w:t>
      </w:r>
      <w:r w:rsidRPr="00973480">
        <w:t xml:space="preserve">, reducing exposure in the workplace even further. </w:t>
      </w:r>
      <w:r w:rsidR="003B1EC2">
        <w:t xml:space="preserve">For example, substituting copper-containing alloys </w:t>
      </w:r>
      <w:r w:rsidR="002545CF">
        <w:t xml:space="preserve">for </w:t>
      </w:r>
      <w:r w:rsidR="00372EF3">
        <w:t xml:space="preserve">alloys containing less copper or </w:t>
      </w:r>
      <w:r w:rsidR="002545CF">
        <w:t>co</w:t>
      </w:r>
      <w:r w:rsidR="00372EF3">
        <w:t>p</w:t>
      </w:r>
      <w:r w:rsidR="002545CF">
        <w:t xml:space="preserve">per-free alloys </w:t>
      </w:r>
      <w:r w:rsidR="00372EF3">
        <w:t>can</w:t>
      </w:r>
      <w:r w:rsidR="007037F2">
        <w:t xml:space="preserve"> help reduce </w:t>
      </w:r>
      <w:r w:rsidR="00875B58">
        <w:t xml:space="preserve">copper exposure in the workplace. </w:t>
      </w:r>
    </w:p>
    <w:p w14:paraId="57CCB5CE" w14:textId="4B6F7E35" w:rsidR="00227506" w:rsidRDefault="003763C6" w:rsidP="00E404C4">
      <w:pPr>
        <w:pStyle w:val="SWAHeading4"/>
      </w:pPr>
      <w:r w:rsidRPr="001601ED">
        <w:t xml:space="preserve">Raises awareness about </w:t>
      </w:r>
      <w:r w:rsidR="0099065C" w:rsidRPr="001601ED">
        <w:t>copper dusts, mists and fumes</w:t>
      </w:r>
      <w:r w:rsidRPr="001601ED">
        <w:t xml:space="preserve"> and the hazards associated with it</w:t>
      </w:r>
      <w:r w:rsidR="001601ED" w:rsidRPr="001601ED">
        <w:t xml:space="preserve"> </w:t>
      </w:r>
    </w:p>
    <w:p w14:paraId="2A016888" w14:textId="2BC9565B" w:rsidR="001601ED" w:rsidRDefault="00A43A89" w:rsidP="00625E6F">
      <w:pPr>
        <w:pStyle w:val="Paragraph"/>
        <w:keepNext w:val="0"/>
        <w:rPr>
          <w:rFonts w:cs="Arial"/>
          <w:szCs w:val="32"/>
        </w:rPr>
      </w:pPr>
      <w:r>
        <w:rPr>
          <w:rFonts w:cs="Arial"/>
          <w:szCs w:val="32"/>
        </w:rPr>
        <w:t>T</w:t>
      </w:r>
      <w:r w:rsidR="001601ED" w:rsidRPr="00F94A84">
        <w:rPr>
          <w:rFonts w:cs="Arial"/>
          <w:szCs w:val="32"/>
        </w:rPr>
        <w:t>he proposed</w:t>
      </w:r>
      <w:r w:rsidR="00D35EEE">
        <w:rPr>
          <w:rFonts w:cs="Arial"/>
          <w:szCs w:val="32"/>
        </w:rPr>
        <w:t xml:space="preserve"> WEL</w:t>
      </w:r>
      <w:r w:rsidR="001601ED" w:rsidRPr="00F94A84">
        <w:rPr>
          <w:rFonts w:cs="Arial"/>
          <w:szCs w:val="32"/>
        </w:rPr>
        <w:t xml:space="preserve"> </w:t>
      </w:r>
      <w:r w:rsidR="002D0184">
        <w:rPr>
          <w:rFonts w:cs="Arial"/>
          <w:szCs w:val="32"/>
        </w:rPr>
        <w:t xml:space="preserve">for </w:t>
      </w:r>
      <w:r w:rsidR="00F94A84">
        <w:rPr>
          <w:rFonts w:cs="Arial"/>
          <w:szCs w:val="32"/>
        </w:rPr>
        <w:t>copper</w:t>
      </w:r>
      <w:r w:rsidR="001601ED" w:rsidRPr="008F42B3">
        <w:rPr>
          <w:rFonts w:cs="Arial"/>
          <w:szCs w:val="32"/>
        </w:rPr>
        <w:t xml:space="preserve"> would also lead to PCBUs and workers becoming more aware of the presence of copper</w:t>
      </w:r>
      <w:r w:rsidR="001601ED" w:rsidRPr="00F94A84">
        <w:rPr>
          <w:rFonts w:cs="Arial"/>
          <w:szCs w:val="32"/>
        </w:rPr>
        <w:t xml:space="preserve"> in the workplace, and the hazards associated with </w:t>
      </w:r>
      <w:r w:rsidR="00F94A84">
        <w:rPr>
          <w:rFonts w:cs="Arial"/>
          <w:szCs w:val="32"/>
        </w:rPr>
        <w:t>copper</w:t>
      </w:r>
      <w:r w:rsidR="001601ED" w:rsidRPr="00F94A84">
        <w:rPr>
          <w:rFonts w:cs="Arial"/>
          <w:szCs w:val="32"/>
        </w:rPr>
        <w:t xml:space="preserve">, allowing both to actively contribute to making sure the workplace is safer and healthier, especially in sectors which have higher exposures to </w:t>
      </w:r>
      <w:r w:rsidR="001601ED" w:rsidRPr="008F42B3">
        <w:rPr>
          <w:rFonts w:cs="Arial"/>
          <w:szCs w:val="32"/>
        </w:rPr>
        <w:t>copper</w:t>
      </w:r>
      <w:r w:rsidR="001601ED" w:rsidRPr="00F94A84">
        <w:rPr>
          <w:rFonts w:cs="Arial"/>
          <w:szCs w:val="32"/>
        </w:rPr>
        <w:t xml:space="preserve">.  </w:t>
      </w:r>
    </w:p>
    <w:p w14:paraId="44710041" w14:textId="0F49A6FA" w:rsidR="00F94A84" w:rsidRPr="00F94A84" w:rsidRDefault="00F94A84" w:rsidP="008D3863">
      <w:pPr>
        <w:pStyle w:val="Paragraph"/>
        <w:keepNext w:val="0"/>
        <w:rPr>
          <w:b/>
          <w:bCs/>
        </w:rPr>
      </w:pPr>
      <w:r w:rsidRPr="00F94A84">
        <w:t xml:space="preserve">By raising awareness of the presence of hazards in the workplace and the risks associated with </w:t>
      </w:r>
      <w:r w:rsidR="00B73D89">
        <w:t>them</w:t>
      </w:r>
      <w:r w:rsidRPr="00F94A84">
        <w:t xml:space="preserve">, workers have also been shown to make better and informed choices that allows them to take reasonable care for their own health and safety in the workplace, such as wearing PPE whilst working. </w:t>
      </w:r>
    </w:p>
    <w:p w14:paraId="6E065699" w14:textId="45CEEFB1" w:rsidR="00997F84" w:rsidRDefault="007F1CE6" w:rsidP="00FB18E4">
      <w:pPr>
        <w:pStyle w:val="SWAHeading2"/>
        <w:keepNext/>
        <w:keepLines/>
        <w:ind w:left="709"/>
      </w:pPr>
      <w:bookmarkStart w:id="191" w:name="_Toc196204561"/>
      <w:bookmarkStart w:id="192" w:name="_Toc196204656"/>
      <w:bookmarkStart w:id="193" w:name="_Toc196204940"/>
      <w:bookmarkStart w:id="194" w:name="_Toc196902062"/>
      <w:bookmarkStart w:id="195" w:name="_Toc197676392"/>
      <w:bookmarkStart w:id="196" w:name="_Toc196204657"/>
      <w:bookmarkStart w:id="197" w:name="_Ref198133723"/>
      <w:bookmarkStart w:id="198" w:name="_Toc219216894"/>
      <w:bookmarkEnd w:id="191"/>
      <w:bookmarkEnd w:id="192"/>
      <w:bookmarkEnd w:id="193"/>
      <w:bookmarkEnd w:id="194"/>
      <w:bookmarkEnd w:id="195"/>
      <w:r>
        <w:t>Costs</w:t>
      </w:r>
      <w:r w:rsidR="001A431E">
        <w:t xml:space="preserve"> </w:t>
      </w:r>
      <w:r w:rsidR="00BE1714">
        <w:t>of the proposed WEL for copper</w:t>
      </w:r>
      <w:bookmarkEnd w:id="196"/>
      <w:bookmarkEnd w:id="197"/>
      <w:bookmarkEnd w:id="198"/>
    </w:p>
    <w:p w14:paraId="76DEA5C9" w14:textId="196E937E" w:rsidR="000D2810" w:rsidRPr="001E0F11" w:rsidRDefault="000D2810" w:rsidP="001E0F11">
      <w:pPr>
        <w:keepNext/>
        <w:keepLines/>
        <w:contextualSpacing w:val="0"/>
      </w:pPr>
      <w:bookmarkStart w:id="199" w:name="_Hlk195094650"/>
      <w:bookmarkEnd w:id="188"/>
      <w:r>
        <w:t xml:space="preserve">Costs to comply with the </w:t>
      </w:r>
      <w:r w:rsidRPr="006A0158">
        <w:t xml:space="preserve">proposed WEL for </w:t>
      </w:r>
      <w:r>
        <w:t>copper</w:t>
      </w:r>
      <w:r w:rsidRPr="006A0158">
        <w:t xml:space="preserve"> </w:t>
      </w:r>
      <w:r>
        <w:t xml:space="preserve">were estimated and are outlined below. </w:t>
      </w:r>
      <w:bookmarkEnd w:id="199"/>
      <w:r>
        <w:t xml:space="preserve">These </w:t>
      </w:r>
      <w:r w:rsidRPr="006A0158">
        <w:t>are indicative estimates only</w:t>
      </w:r>
      <w:r w:rsidR="00311FA9" w:rsidRPr="00311FA9">
        <w:t>.</w:t>
      </w:r>
    </w:p>
    <w:p w14:paraId="1A604273" w14:textId="66D9354C" w:rsidR="000D2810" w:rsidRDefault="007E70DB" w:rsidP="27F845C1">
      <w:r>
        <w:rPr>
          <w:noProof/>
        </w:rPr>
        <w:fldChar w:fldCharType="begin"/>
      </w:r>
      <w:r>
        <w:rPr>
          <w:highlight w:val="yellow"/>
        </w:rPr>
        <w:instrText xml:space="preserve"> REF _Ref199860202 \h </w:instrText>
      </w:r>
      <w:r>
        <w:rPr>
          <w:noProof/>
        </w:rPr>
      </w:r>
      <w:r>
        <w:rPr>
          <w:noProof/>
        </w:rPr>
        <w:fldChar w:fldCharType="separate"/>
      </w:r>
      <w:r w:rsidR="00A002F4">
        <w:t xml:space="preserve">Table </w:t>
      </w:r>
      <w:r w:rsidR="00A002F4">
        <w:rPr>
          <w:noProof/>
        </w:rPr>
        <w:t>17</w:t>
      </w:r>
      <w:r>
        <w:rPr>
          <w:noProof/>
        </w:rPr>
        <w:fldChar w:fldCharType="end"/>
      </w:r>
      <w:r w:rsidR="00356B8B">
        <w:t xml:space="preserve"> </w:t>
      </w:r>
      <w:r w:rsidR="7EBD11F7" w:rsidRPr="38A49B51">
        <w:t>presents the estimated total costs to affected businesses of complying with the proposed WEL for copper over the 10-year appraisal period (from FY27 to FY36</w:t>
      </w:r>
      <w:r w:rsidR="777C3EFD" w:rsidRPr="38A49B51">
        <w:t>)</w:t>
      </w:r>
      <w:r w:rsidR="7EBD11F7" w:rsidRPr="38A49B51">
        <w:t xml:space="preserve">. </w:t>
      </w:r>
    </w:p>
    <w:p w14:paraId="5EA61CC7" w14:textId="2ABC71A3" w:rsidR="000B51DC" w:rsidRDefault="000B51DC" w:rsidP="00FB18E4">
      <w:pPr>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25AAF6AA" w14:textId="5F78338F" w:rsidR="000B51DC" w:rsidRDefault="000B51DC" w:rsidP="00FB18E4">
      <w:pPr>
        <w:contextualSpacing w:val="0"/>
      </w:pPr>
      <w:r>
        <w:t xml:space="preserve">The analysis </w:t>
      </w:r>
      <w:r w:rsidR="0019130E">
        <w:t xml:space="preserve">estimated </w:t>
      </w:r>
      <w:r>
        <w:t>that:</w:t>
      </w:r>
    </w:p>
    <w:p w14:paraId="2AC5A65C" w14:textId="40A7ECF8" w:rsidR="000B51DC" w:rsidRDefault="000B51DC" w:rsidP="00B57E6C">
      <w:pPr>
        <w:pStyle w:val="ListParagraph"/>
        <w:numPr>
          <w:ilvl w:val="0"/>
          <w:numId w:val="24"/>
        </w:numPr>
        <w:suppressAutoHyphens/>
        <w:spacing w:line="259" w:lineRule="auto"/>
        <w:ind w:left="709"/>
        <w:contextualSpacing w:val="0"/>
      </w:pPr>
      <w:bookmarkStart w:id="200" w:name="_Toc193192608"/>
      <w:bookmarkStart w:id="201" w:name="_Toc196204658"/>
      <w:r>
        <w:lastRenderedPageBreak/>
        <w:t>The estimated total cost to affected businesses over 10 years is $</w:t>
      </w:r>
      <w:r w:rsidR="00412D93">
        <w:t>1.71</w:t>
      </w:r>
      <w:r>
        <w:t xml:space="preserve"> billion (in real, discounted terms), which equates to $</w:t>
      </w:r>
      <w:r w:rsidR="00412D93">
        <w:t>280</w:t>
      </w:r>
      <w:r>
        <w:t xml:space="preserve"> million per year (in real, undiscounted terms).</w:t>
      </w:r>
      <w:bookmarkEnd w:id="200"/>
      <w:bookmarkEnd w:id="201"/>
      <w:r>
        <w:t xml:space="preserve"> </w:t>
      </w:r>
    </w:p>
    <w:p w14:paraId="7B8BDFA6" w14:textId="77777777" w:rsidR="000B51DC" w:rsidRDefault="000B51DC" w:rsidP="00B57E6C">
      <w:pPr>
        <w:pStyle w:val="ListParagraph"/>
        <w:numPr>
          <w:ilvl w:val="0"/>
          <w:numId w:val="24"/>
        </w:numPr>
        <w:suppressAutoHyphens/>
        <w:spacing w:line="259" w:lineRule="auto"/>
        <w:ind w:left="709"/>
      </w:pPr>
      <w:bookmarkStart w:id="202" w:name="_Toc193192609"/>
      <w:bookmarkStart w:id="203" w:name="_Toc196204659"/>
      <w:r w:rsidRPr="38A49B51">
        <w:t>These estimated total costs comprise of:</w:t>
      </w:r>
      <w:bookmarkEnd w:id="202"/>
      <w:bookmarkEnd w:id="203"/>
      <w:r w:rsidRPr="38A49B51">
        <w:t xml:space="preserve"> </w:t>
      </w:r>
    </w:p>
    <w:p w14:paraId="400FE767" w14:textId="3022FB30" w:rsidR="000B51DC" w:rsidRDefault="000B51DC" w:rsidP="00B57E6C">
      <w:pPr>
        <w:pStyle w:val="ListParagraph"/>
        <w:numPr>
          <w:ilvl w:val="1"/>
          <w:numId w:val="24"/>
        </w:numPr>
        <w:suppressAutoHyphens/>
        <w:spacing w:line="259" w:lineRule="auto"/>
        <w:ind w:left="1417" w:hanging="357"/>
        <w:contextualSpacing w:val="0"/>
      </w:pPr>
      <w:bookmarkStart w:id="204" w:name="_Toc193192610"/>
      <w:bookmarkStart w:id="205" w:name="_Toc196204660"/>
      <w:r w:rsidRPr="38A49B51">
        <w:t>control measure costs of $</w:t>
      </w:r>
      <w:r w:rsidR="00412D93">
        <w:t>1.5</w:t>
      </w:r>
      <w:r w:rsidRPr="38A49B51">
        <w:t xml:space="preserve"> billion over 10 years, comprising engineering controls ($</w:t>
      </w:r>
      <w:r w:rsidR="00412D93">
        <w:t>689</w:t>
      </w:r>
      <w:r w:rsidR="00412D93" w:rsidRPr="38A49B51">
        <w:t xml:space="preserve"> </w:t>
      </w:r>
      <w:r w:rsidRPr="38A49B51">
        <w:t>million), isolation controls ($</w:t>
      </w:r>
      <w:r w:rsidR="00412D93">
        <w:t>597</w:t>
      </w:r>
      <w:r w:rsidR="00412D93" w:rsidRPr="38A49B51">
        <w:t xml:space="preserve"> </w:t>
      </w:r>
      <w:r w:rsidRPr="38A49B51">
        <w:t>million)</w:t>
      </w:r>
      <w:r w:rsidR="00100818">
        <w:t>, administrati</w:t>
      </w:r>
      <w:r w:rsidR="00716344">
        <w:t>ve</w:t>
      </w:r>
      <w:r w:rsidR="004E5A16">
        <w:t xml:space="preserve"> controls (</w:t>
      </w:r>
      <w:r w:rsidR="00CA3424">
        <w:t>$</w:t>
      </w:r>
      <w:r w:rsidR="000368FC">
        <w:t>168</w:t>
      </w:r>
      <w:r w:rsidR="000368FC" w:rsidRPr="38A49B51">
        <w:t xml:space="preserve"> </w:t>
      </w:r>
      <w:r w:rsidRPr="38A49B51">
        <w:t>million) and PPE ($</w:t>
      </w:r>
      <w:r w:rsidR="000368FC">
        <w:t>56</w:t>
      </w:r>
      <w:r w:rsidR="000368FC" w:rsidRPr="38A49B51">
        <w:t xml:space="preserve"> </w:t>
      </w:r>
      <w:r w:rsidRPr="38A49B51">
        <w:t>million).</w:t>
      </w:r>
      <w:bookmarkEnd w:id="204"/>
      <w:bookmarkEnd w:id="205"/>
    </w:p>
    <w:p w14:paraId="3D2D3D40" w14:textId="7C1C2D3A" w:rsidR="000B51DC" w:rsidRDefault="000B51DC" w:rsidP="00B57E6C">
      <w:pPr>
        <w:pStyle w:val="ListParagraph"/>
        <w:numPr>
          <w:ilvl w:val="1"/>
          <w:numId w:val="24"/>
        </w:numPr>
        <w:suppressAutoHyphens/>
        <w:spacing w:line="259" w:lineRule="auto"/>
        <w:ind w:left="1417" w:hanging="357"/>
        <w:contextualSpacing w:val="0"/>
      </w:pPr>
      <w:bookmarkStart w:id="206" w:name="_Toc193192611"/>
      <w:bookmarkStart w:id="207" w:name="_Toc196204661"/>
      <w:r w:rsidRPr="38A49B51">
        <w:t>management practice costs of $</w:t>
      </w:r>
      <w:r w:rsidR="000368FC">
        <w:t>199</w:t>
      </w:r>
      <w:r w:rsidRPr="38A49B51">
        <w:t xml:space="preserve"> million over 10 years, comprising air monitoring ($</w:t>
      </w:r>
      <w:r w:rsidR="00BF1775">
        <w:t>1</w:t>
      </w:r>
      <w:r w:rsidR="000368FC">
        <w:t>0</w:t>
      </w:r>
      <w:r w:rsidR="00BF1775">
        <w:t>2</w:t>
      </w:r>
      <w:r w:rsidRPr="38A49B51">
        <w:t xml:space="preserve"> million) and occupational hygiene ($</w:t>
      </w:r>
      <w:r w:rsidR="000368FC">
        <w:t>97</w:t>
      </w:r>
      <w:r w:rsidRPr="38A49B51">
        <w:t xml:space="preserve"> million).</w:t>
      </w:r>
      <w:bookmarkEnd w:id="206"/>
      <w:bookmarkEnd w:id="207"/>
    </w:p>
    <w:p w14:paraId="09BE9D7E" w14:textId="77777777" w:rsidR="00961A82" w:rsidRDefault="00961A82" w:rsidP="003349CC">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0F25EB23" w14:textId="410A9F6F" w:rsidR="00961A82" w:rsidRDefault="00961A82" w:rsidP="003349CC">
      <w:pPr>
        <w:suppressAutoHyphens/>
      </w:pPr>
      <w:r>
        <w:t xml:space="preserve">Obligations around management practice costs make these costs more likely to be evenly distributed throughout the appraisal period. </w:t>
      </w:r>
    </w:p>
    <w:p w14:paraId="1B29722D" w14:textId="3BD111DA" w:rsidR="007E70DB" w:rsidRDefault="007E70DB" w:rsidP="007E70DB">
      <w:pPr>
        <w:pStyle w:val="Caption"/>
      </w:pPr>
      <w:bookmarkStart w:id="208" w:name="_Ref199860202"/>
      <w:r>
        <w:t xml:space="preserve">Table </w:t>
      </w:r>
      <w:fldSimple w:instr=" SEQ Table \* ARABIC ">
        <w:r w:rsidR="00A002F4">
          <w:rPr>
            <w:noProof/>
          </w:rPr>
          <w:t>17</w:t>
        </w:r>
      </w:fldSimple>
      <w:bookmarkEnd w:id="208"/>
      <w:r>
        <w:t xml:space="preserve"> - </w:t>
      </w:r>
      <w:r w:rsidRPr="0012481E">
        <w:t>Estimated average annual and total incremental costs to businesses affected by the proposed WEL for copper, FY27 to FY36</w:t>
      </w:r>
    </w:p>
    <w:tbl>
      <w:tblPr>
        <w:tblStyle w:val="TableGrid"/>
        <w:tblW w:w="9067" w:type="dxa"/>
        <w:tblBorders>
          <w:insideH w:val="single" w:sz="8" w:space="0" w:color="D9D9D9" w:themeColor="background1" w:themeShade="D9"/>
        </w:tblBorders>
        <w:tblLook w:val="04A0" w:firstRow="1" w:lastRow="0" w:firstColumn="1" w:lastColumn="0" w:noHBand="0" w:noVBand="1"/>
      </w:tblPr>
      <w:tblGrid>
        <w:gridCol w:w="3823"/>
        <w:gridCol w:w="2693"/>
        <w:gridCol w:w="2551"/>
      </w:tblGrid>
      <w:tr w:rsidR="000B51DC" w:rsidRPr="008404A0" w14:paraId="69612AE0" w14:textId="77777777" w:rsidTr="00FB18E4">
        <w:trPr>
          <w:trHeight w:val="617"/>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3626F193"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0F0E6939"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36E77ADC"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5595E1F3" w14:textId="77777777" w:rsidTr="00FB18E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4FB6D53A" w14:textId="77777777" w:rsidR="000B51DC" w:rsidRPr="00154D99" w:rsidRDefault="000B51DC">
            <w:pPr>
              <w:pStyle w:val="Paragraph"/>
              <w:spacing w:after="0" w:line="276" w:lineRule="auto"/>
              <w:rPr>
                <w:b/>
              </w:rPr>
            </w:pPr>
            <w:r w:rsidRPr="00154D99">
              <w:rPr>
                <w:b/>
              </w:rPr>
              <w:t>Control measure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41EE398" w14:textId="225423F4" w:rsidR="000B51DC" w:rsidRPr="00154D99" w:rsidRDefault="000368FC">
            <w:pPr>
              <w:keepNext/>
              <w:keepLines/>
              <w:jc w:val="right"/>
              <w:rPr>
                <w:b/>
              </w:rPr>
            </w:pPr>
            <w:r>
              <w:rPr>
                <w:b/>
              </w:rPr>
              <w:t>247.7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00E09AC" w14:textId="7B03DEEC" w:rsidR="000B51DC" w:rsidRPr="00154D99" w:rsidRDefault="000B51DC">
            <w:pPr>
              <w:keepNext/>
              <w:keepLines/>
              <w:jc w:val="right"/>
              <w:rPr>
                <w:b/>
              </w:rPr>
            </w:pPr>
            <w:r w:rsidDel="000368FC">
              <w:rPr>
                <w:b/>
              </w:rPr>
              <w:t>1,</w:t>
            </w:r>
            <w:r w:rsidR="000368FC">
              <w:rPr>
                <w:b/>
              </w:rPr>
              <w:t>510.1</w:t>
            </w:r>
          </w:p>
        </w:tc>
      </w:tr>
      <w:tr w:rsidR="000B51DC" w:rsidRPr="00BA600A" w14:paraId="409310DB" w14:textId="77777777" w:rsidTr="00FB18E4">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0A18A4" w14:textId="77777777" w:rsidR="000B51DC" w:rsidRPr="00B155EC" w:rsidRDefault="000B51DC" w:rsidP="00FB18E4">
            <w:pPr>
              <w:pStyle w:val="Paragraph"/>
              <w:spacing w:after="0" w:line="276" w:lineRule="auto"/>
              <w:ind w:left="314"/>
              <w:rPr>
                <w:bCs/>
              </w:rPr>
            </w:pPr>
            <w:r w:rsidRPr="00B155EC">
              <w:rPr>
                <w:bCs/>
              </w:rPr>
              <w:t>Isolation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86044F7" w14:textId="3958245A" w:rsidR="000B51DC" w:rsidRPr="00B02E59" w:rsidRDefault="000368FC">
            <w:pPr>
              <w:keepNext/>
              <w:keepLines/>
              <w:jc w:val="right"/>
            </w:pPr>
            <w:r>
              <w:t>97.9</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427518" w14:textId="5C454F5A" w:rsidR="000B51DC" w:rsidRPr="00B02E59" w:rsidRDefault="000368FC">
            <w:pPr>
              <w:keepNext/>
              <w:keepLines/>
              <w:jc w:val="right"/>
            </w:pPr>
            <w:r>
              <w:t>596.6</w:t>
            </w:r>
          </w:p>
        </w:tc>
      </w:tr>
      <w:tr w:rsidR="000B51DC" w:rsidRPr="00BA600A" w14:paraId="3FED4134" w14:textId="77777777" w:rsidTr="00FB18E4">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FA7434" w14:textId="77777777" w:rsidR="000B51DC" w:rsidRPr="00B155EC" w:rsidRDefault="000B51DC" w:rsidP="00FB18E4">
            <w:pPr>
              <w:pStyle w:val="Paragraph"/>
              <w:spacing w:after="0" w:line="276" w:lineRule="auto"/>
              <w:ind w:left="314"/>
              <w:rPr>
                <w:bCs/>
              </w:rPr>
            </w:pPr>
            <w:r w:rsidRPr="00B155EC">
              <w:rPr>
                <w:bCs/>
              </w:rPr>
              <w:t>Engineering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748D624" w14:textId="4E02DB18" w:rsidR="000B51DC" w:rsidRPr="00B02E59" w:rsidRDefault="000368FC">
            <w:pPr>
              <w:keepNext/>
              <w:keepLines/>
              <w:jc w:val="right"/>
            </w:pPr>
            <w:r>
              <w:t>113.0</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4C0875" w14:textId="5E9BFABD" w:rsidR="000B51DC" w:rsidRPr="00B02E59" w:rsidRDefault="000368FC">
            <w:pPr>
              <w:keepNext/>
              <w:keepLines/>
              <w:jc w:val="right"/>
            </w:pPr>
            <w:r>
              <w:t>688.9</w:t>
            </w:r>
          </w:p>
        </w:tc>
      </w:tr>
      <w:tr w:rsidR="000B51DC" w:rsidRPr="00BA600A" w14:paraId="5850C586" w14:textId="77777777" w:rsidTr="00FB18E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EB336C" w14:textId="77777777" w:rsidR="000B51DC" w:rsidRPr="00B155EC" w:rsidRDefault="000B51DC" w:rsidP="00FB18E4">
            <w:pPr>
              <w:pStyle w:val="Paragraph"/>
              <w:spacing w:after="0" w:line="276" w:lineRule="auto"/>
              <w:ind w:left="314"/>
              <w:rPr>
                <w:bCs/>
              </w:rPr>
            </w:pPr>
            <w:r w:rsidRPr="00B155EC">
              <w:rPr>
                <w:bCs/>
              </w:rPr>
              <w:t>Administrative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9206D4E" w14:textId="20EF0864" w:rsidR="000B51DC" w:rsidRPr="00B02E59" w:rsidRDefault="000368FC">
            <w:pPr>
              <w:keepNext/>
              <w:keepLines/>
              <w:jc w:val="right"/>
            </w:pPr>
            <w:r>
              <w:t>27.6</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0E3695" w14:textId="0D21B51B" w:rsidR="000B51DC" w:rsidRPr="00B02E59" w:rsidRDefault="000368FC">
            <w:pPr>
              <w:keepNext/>
              <w:keepLines/>
              <w:jc w:val="right"/>
            </w:pPr>
            <w:r>
              <w:t>168.3</w:t>
            </w:r>
          </w:p>
        </w:tc>
      </w:tr>
      <w:tr w:rsidR="000B51DC" w:rsidRPr="00BA600A" w14:paraId="3D53426F" w14:textId="77777777" w:rsidTr="00FB18E4">
        <w:trPr>
          <w:trHeight w:val="206"/>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B685E4" w14:textId="77777777" w:rsidR="000B51DC" w:rsidRPr="00B155EC" w:rsidRDefault="000B51DC" w:rsidP="00FB18E4">
            <w:pPr>
              <w:pStyle w:val="Paragraph"/>
              <w:spacing w:after="0" w:line="276" w:lineRule="auto"/>
              <w:ind w:left="314"/>
              <w:rPr>
                <w:bCs/>
              </w:rPr>
            </w:pPr>
            <w:r w:rsidRPr="00B155EC">
              <w:rPr>
                <w:bCs/>
              </w:rPr>
              <w:t>Personal protective equipment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3B37FF" w14:textId="2D3E1128" w:rsidR="000B51DC" w:rsidRPr="00B02E59" w:rsidRDefault="000368FC" w:rsidP="00FE69D0">
            <w:pPr>
              <w:keepNext/>
              <w:keepLines/>
              <w:jc w:val="right"/>
            </w:pPr>
            <w:r>
              <w:t>9.3</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E00601" w14:textId="4124F722" w:rsidR="000B51DC" w:rsidRPr="00B02E59" w:rsidRDefault="000368FC" w:rsidP="00FE69D0">
            <w:pPr>
              <w:keepNext/>
              <w:keepLines/>
              <w:jc w:val="right"/>
            </w:pPr>
            <w:r>
              <w:t>56.4</w:t>
            </w:r>
          </w:p>
        </w:tc>
      </w:tr>
      <w:tr w:rsidR="000B51DC" w:rsidRPr="00BA600A" w14:paraId="66F718C7" w14:textId="77777777" w:rsidTr="00FB18E4">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E286FA5" w14:textId="77777777" w:rsidR="000B51DC" w:rsidRPr="00154D99" w:rsidRDefault="000B51DC">
            <w:pPr>
              <w:pStyle w:val="Paragraph"/>
              <w:spacing w:after="0" w:line="276" w:lineRule="auto"/>
              <w:rPr>
                <w:b/>
              </w:rPr>
            </w:pPr>
            <w:r w:rsidRPr="00154D99">
              <w:rPr>
                <w:b/>
              </w:rPr>
              <w:t>Management practice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04FE62F" w14:textId="76C207ED" w:rsidR="000B51DC" w:rsidRPr="00154D99" w:rsidRDefault="000368FC">
            <w:pPr>
              <w:keepNext/>
              <w:keepLines/>
              <w:jc w:val="right"/>
              <w:rPr>
                <w:b/>
              </w:rPr>
            </w:pPr>
            <w:r>
              <w:rPr>
                <w:b/>
              </w:rPr>
              <w:t>32.7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43E595E" w14:textId="0CB71227" w:rsidR="000B51DC" w:rsidRPr="00154D99" w:rsidRDefault="000368FC">
            <w:pPr>
              <w:keepNext/>
              <w:keepLines/>
              <w:jc w:val="right"/>
              <w:rPr>
                <w:b/>
              </w:rPr>
            </w:pPr>
            <w:r>
              <w:rPr>
                <w:b/>
              </w:rPr>
              <w:t>199.3</w:t>
            </w:r>
          </w:p>
        </w:tc>
      </w:tr>
      <w:tr w:rsidR="000B51DC" w:rsidRPr="00BA600A" w14:paraId="3C6510B1" w14:textId="77777777" w:rsidTr="00FB18E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7E7BE3" w14:textId="77777777" w:rsidR="000B51DC" w:rsidRPr="00B155EC" w:rsidRDefault="000B51DC" w:rsidP="00FB18E4">
            <w:pPr>
              <w:pStyle w:val="Paragraph"/>
              <w:spacing w:after="0" w:line="276" w:lineRule="auto"/>
              <w:ind w:left="314"/>
              <w:rPr>
                <w:bCs/>
              </w:rPr>
            </w:pPr>
            <w:r w:rsidRPr="00B155EC">
              <w:rPr>
                <w:bCs/>
              </w:rPr>
              <w:t>Air monitoring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F637506" w14:textId="3DC601B3" w:rsidR="000B51DC" w:rsidRPr="00B02E59" w:rsidRDefault="000368FC">
            <w:pPr>
              <w:keepNext/>
              <w:keepLines/>
              <w:jc w:val="right"/>
            </w:pPr>
            <w:r>
              <w:t>16.7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8D64E9" w14:textId="703C0FC8" w:rsidR="000B51DC" w:rsidRPr="00B02E59" w:rsidRDefault="000368FC">
            <w:pPr>
              <w:keepNext/>
              <w:keepLines/>
              <w:jc w:val="right"/>
            </w:pPr>
            <w:r>
              <w:t>102.0</w:t>
            </w:r>
          </w:p>
        </w:tc>
      </w:tr>
      <w:tr w:rsidR="000B51DC" w:rsidRPr="00BA600A" w14:paraId="57DFB18E" w14:textId="77777777" w:rsidTr="00FB18E4">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3E2C2C" w14:textId="77777777" w:rsidR="000B51DC" w:rsidRPr="00B155EC" w:rsidRDefault="000B51DC" w:rsidP="00FB18E4">
            <w:pPr>
              <w:pStyle w:val="Paragraph"/>
              <w:spacing w:after="0" w:line="276" w:lineRule="auto"/>
              <w:ind w:left="314"/>
              <w:rPr>
                <w:bCs/>
              </w:rPr>
            </w:pPr>
            <w:r w:rsidRPr="00B155EC">
              <w:rPr>
                <w:bCs/>
              </w:rPr>
              <w:t>Occupational hygiene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8314D9B" w14:textId="4B36711A" w:rsidR="000B51DC" w:rsidRPr="00B02E59" w:rsidRDefault="000368FC">
            <w:pPr>
              <w:keepNext/>
              <w:keepLines/>
              <w:jc w:val="right"/>
            </w:pPr>
            <w:r>
              <w:t>16.0</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7B00F0" w14:textId="029DDF9F" w:rsidR="000B51DC" w:rsidRPr="00B02E59" w:rsidRDefault="000368FC">
            <w:pPr>
              <w:keepNext/>
              <w:keepLines/>
              <w:jc w:val="right"/>
            </w:pPr>
            <w:r>
              <w:t>97.3</w:t>
            </w:r>
          </w:p>
        </w:tc>
      </w:tr>
      <w:tr w:rsidR="000B51DC" w:rsidRPr="00BA600A" w14:paraId="57A66F6F" w14:textId="77777777" w:rsidTr="00FB18E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3BAB8188" w14:textId="77777777" w:rsidR="000B51DC" w:rsidRPr="00154D99" w:rsidRDefault="000B51DC">
            <w:pPr>
              <w:pStyle w:val="Paragraph"/>
              <w:spacing w:after="0" w:line="276" w:lineRule="auto"/>
              <w:rPr>
                <w:b/>
              </w:rPr>
            </w:pPr>
            <w:r w:rsidRPr="00154D99">
              <w:rPr>
                <w:b/>
              </w:rPr>
              <w:t>Total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3D951C4B" w14:textId="49EF2C58" w:rsidR="000B51DC" w:rsidRPr="00154D99" w:rsidRDefault="000368FC">
            <w:pPr>
              <w:keepNext/>
              <w:keepLines/>
              <w:jc w:val="right"/>
              <w:rPr>
                <w:b/>
              </w:rPr>
            </w:pPr>
            <w:r>
              <w:rPr>
                <w:b/>
              </w:rPr>
              <w:t>280.4</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1C6B3394" w14:textId="7092218C" w:rsidR="000B51DC" w:rsidRPr="00154D99" w:rsidRDefault="000368FC">
            <w:pPr>
              <w:keepNext/>
              <w:keepLines/>
              <w:jc w:val="right"/>
              <w:rPr>
                <w:b/>
              </w:rPr>
            </w:pPr>
            <w:r>
              <w:rPr>
                <w:b/>
              </w:rPr>
              <w:t>1,709.4</w:t>
            </w:r>
          </w:p>
        </w:tc>
      </w:tr>
    </w:tbl>
    <w:p w14:paraId="591BE10E" w14:textId="77777777" w:rsidR="000B51DC" w:rsidRDefault="000B51DC" w:rsidP="001E0F11">
      <w:pPr>
        <w:spacing w:before="240"/>
        <w:contextualSpacing w:val="0"/>
      </w:pPr>
      <w:r w:rsidRPr="38A49B51">
        <w:t>This regulatory impact analysis has also estimated the average annual and total costs to businesses under low and high cost scenarios, where:</w:t>
      </w:r>
    </w:p>
    <w:p w14:paraId="1D95C847" w14:textId="5745004D" w:rsidR="000B51DC" w:rsidRDefault="000B51DC" w:rsidP="00B57E6C">
      <w:pPr>
        <w:pStyle w:val="ListParagraph"/>
        <w:numPr>
          <w:ilvl w:val="0"/>
          <w:numId w:val="22"/>
        </w:numPr>
        <w:suppressAutoHyphens/>
        <w:spacing w:line="259" w:lineRule="auto"/>
        <w:ind w:left="714" w:hanging="357"/>
        <w:contextualSpacing w:val="0"/>
      </w:pPr>
      <w:bookmarkStart w:id="209" w:name="_Toc193192612"/>
      <w:bookmarkStart w:id="210" w:name="_Toc196204662"/>
      <w:r w:rsidRPr="38A49B51">
        <w:t>Under the low cost scenario, the average annual cost is $</w:t>
      </w:r>
      <w:r w:rsidR="000368FC">
        <w:t>210</w:t>
      </w:r>
      <w:r w:rsidR="000368FC" w:rsidRPr="38A49B51">
        <w:t xml:space="preserve"> </w:t>
      </w:r>
      <w:r w:rsidRPr="38A49B51">
        <w:t>million (undiscounted) and the total cost is $1.</w:t>
      </w:r>
      <w:r w:rsidR="000368FC">
        <w:t>3</w:t>
      </w:r>
      <w:r w:rsidRPr="38A49B51">
        <w:t xml:space="preserve"> billion (discounted).</w:t>
      </w:r>
      <w:bookmarkEnd w:id="209"/>
      <w:bookmarkEnd w:id="210"/>
    </w:p>
    <w:p w14:paraId="16311EBE" w14:textId="7FF1CD1D" w:rsidR="000B51DC" w:rsidRDefault="000B51DC" w:rsidP="00B57E6C">
      <w:pPr>
        <w:pStyle w:val="ListParagraph"/>
        <w:numPr>
          <w:ilvl w:val="0"/>
          <w:numId w:val="22"/>
        </w:numPr>
        <w:suppressAutoHyphens/>
        <w:spacing w:line="259" w:lineRule="auto"/>
        <w:ind w:left="714" w:hanging="357"/>
        <w:contextualSpacing w:val="0"/>
      </w:pPr>
      <w:bookmarkStart w:id="211" w:name="_Toc193192613"/>
      <w:bookmarkStart w:id="212" w:name="_Toc196204663"/>
      <w:r w:rsidRPr="38A49B51">
        <w:t>Under the high cost scenario, the average annual cost is $</w:t>
      </w:r>
      <w:r w:rsidR="000368FC">
        <w:t>351</w:t>
      </w:r>
      <w:r w:rsidR="000368FC" w:rsidRPr="38A49B51">
        <w:t xml:space="preserve"> </w:t>
      </w:r>
      <w:r w:rsidRPr="38A49B51">
        <w:t>million (undiscounted) and the total cost is $2.</w:t>
      </w:r>
      <w:r w:rsidR="009A1255">
        <w:t>1</w:t>
      </w:r>
      <w:r w:rsidRPr="38A49B51">
        <w:t xml:space="preserve"> billion (discounted).</w:t>
      </w:r>
      <w:bookmarkEnd w:id="211"/>
      <w:bookmarkEnd w:id="212"/>
    </w:p>
    <w:p w14:paraId="27C3A521" w14:textId="747C07B8" w:rsidR="000B51DC" w:rsidRDefault="00904921" w:rsidP="00AF5574">
      <w:pPr>
        <w:suppressAutoHyphens/>
        <w:spacing w:line="259" w:lineRule="auto"/>
        <w:contextualSpacing w:val="0"/>
      </w:pPr>
      <w:r>
        <w:fldChar w:fldCharType="begin"/>
      </w:r>
      <w:r>
        <w:instrText xml:space="preserve"> REF _Ref199860280 \h </w:instrText>
      </w:r>
      <w:r>
        <w:fldChar w:fldCharType="separate"/>
      </w:r>
      <w:r w:rsidR="00A002F4">
        <w:t xml:space="preserve">Table </w:t>
      </w:r>
      <w:r w:rsidR="00A002F4">
        <w:rPr>
          <w:noProof/>
        </w:rPr>
        <w:t>18</w:t>
      </w:r>
      <w:r>
        <w:fldChar w:fldCharType="end"/>
      </w:r>
      <w:r>
        <w:t xml:space="preserve"> </w:t>
      </w:r>
      <w:r w:rsidR="000B51DC" w:rsidRPr="004F240B">
        <w:t xml:space="preserve">presents the estimated average annual compliance costs per affected business </w:t>
      </w:r>
      <w:r w:rsidR="000B51DC" w:rsidRPr="007C3418">
        <w:t xml:space="preserve">by business size category for the proposed WEL for </w:t>
      </w:r>
      <w:r w:rsidR="000B51DC">
        <w:t>copper</w:t>
      </w:r>
      <w:r w:rsidR="000B51DC" w:rsidRPr="007C3418">
        <w:t xml:space="preserve">. </w:t>
      </w:r>
      <w:r w:rsidR="000B51DC" w:rsidRPr="005D4C59">
        <w:t xml:space="preserve">The results do not factor in costs specific to a singular business or industry that </w:t>
      </w:r>
      <w:r w:rsidR="000B51DC">
        <w:t>are not</w:t>
      </w:r>
      <w:r w:rsidR="000B51DC" w:rsidRPr="005D4C59">
        <w:t xml:space="preserve"> expected for other businesses or industries. </w:t>
      </w:r>
      <w:r w:rsidR="00675012" w:rsidRPr="00B548F6">
        <w:t>An average annual incremental cost is also assumed in the absence of information to indicate the true distribution of costs across the 10-year appraisal period</w:t>
      </w:r>
      <w:r w:rsidR="00A31485">
        <w:t xml:space="preserve">. </w:t>
      </w:r>
      <w:r w:rsidR="00DD76F4">
        <w:t>The affected businesses come from the following industries:</w:t>
      </w:r>
    </w:p>
    <w:p w14:paraId="3021A0C3" w14:textId="50946B29" w:rsidR="00F14840" w:rsidRDefault="00D57AD9" w:rsidP="003349CC">
      <w:pPr>
        <w:pStyle w:val="ListParagraph"/>
        <w:numPr>
          <w:ilvl w:val="0"/>
          <w:numId w:val="62"/>
        </w:numPr>
        <w:contextualSpacing w:val="0"/>
      </w:pPr>
      <w:bookmarkStart w:id="213" w:name="_Toc196204665"/>
      <w:r>
        <w:t>m</w:t>
      </w:r>
      <w:r w:rsidR="00F14840">
        <w:t>ining</w:t>
      </w:r>
      <w:bookmarkEnd w:id="213"/>
      <w:r>
        <w:t>,</w:t>
      </w:r>
    </w:p>
    <w:p w14:paraId="36FA16EA" w14:textId="68DFE79F" w:rsidR="00F14840" w:rsidRDefault="00D57AD9" w:rsidP="003349CC">
      <w:pPr>
        <w:pStyle w:val="ListParagraph"/>
        <w:numPr>
          <w:ilvl w:val="0"/>
          <w:numId w:val="62"/>
        </w:numPr>
        <w:ind w:left="714" w:hanging="357"/>
        <w:contextualSpacing w:val="0"/>
      </w:pPr>
      <w:bookmarkStart w:id="214" w:name="_Toc196204666"/>
      <w:r>
        <w:lastRenderedPageBreak/>
        <w:t>manufacturing</w:t>
      </w:r>
      <w:r w:rsidR="530C4266">
        <w:t>, and</w:t>
      </w:r>
      <w:bookmarkEnd w:id="214"/>
    </w:p>
    <w:p w14:paraId="1EA3818E" w14:textId="70C5B5E5" w:rsidR="00F14840" w:rsidRDefault="00D57AD9" w:rsidP="003349CC">
      <w:pPr>
        <w:pStyle w:val="ListParagraph"/>
        <w:numPr>
          <w:ilvl w:val="0"/>
          <w:numId w:val="62"/>
        </w:numPr>
        <w:ind w:left="714" w:hanging="357"/>
        <w:contextualSpacing w:val="0"/>
      </w:pPr>
      <w:bookmarkStart w:id="215" w:name="_Toc196204667"/>
      <w:r>
        <w:t>electricity</w:t>
      </w:r>
      <w:r w:rsidR="00AC506F">
        <w:t>, gas, water and waste services</w:t>
      </w:r>
      <w:bookmarkEnd w:id="215"/>
    </w:p>
    <w:p w14:paraId="17A2B530" w14:textId="77777777" w:rsidR="000B51DC" w:rsidRPr="007C3418" w:rsidRDefault="000B51DC" w:rsidP="38A49B51">
      <w:pPr>
        <w:keepNext/>
        <w:keepLines/>
      </w:pPr>
      <w:r w:rsidRPr="38A49B51">
        <w:t>The results indicate that:</w:t>
      </w:r>
    </w:p>
    <w:p w14:paraId="580DAFE1" w14:textId="3F0EC515" w:rsidR="000B51DC" w:rsidRPr="007C3418" w:rsidRDefault="7EBD11F7" w:rsidP="00514E64">
      <w:pPr>
        <w:pStyle w:val="ListParagraph"/>
        <w:keepNext/>
        <w:keepLines/>
        <w:numPr>
          <w:ilvl w:val="0"/>
          <w:numId w:val="23"/>
        </w:numPr>
        <w:suppressAutoHyphens/>
        <w:spacing w:line="240" w:lineRule="atLeast"/>
        <w:ind w:left="709"/>
        <w:contextualSpacing w:val="0"/>
      </w:pPr>
      <w:bookmarkStart w:id="216" w:name="_Toc193192614"/>
      <w:bookmarkStart w:id="217" w:name="_Toc196204673"/>
      <w:r>
        <w:t xml:space="preserve">There are an estimated </w:t>
      </w:r>
      <w:r w:rsidR="074F0E17">
        <w:t>22,274</w:t>
      </w:r>
      <w:r>
        <w:t xml:space="preserve"> affected businesses, comprising </w:t>
      </w:r>
      <w:r w:rsidR="2F2981F0">
        <w:t>18,332</w:t>
      </w:r>
      <w:r w:rsidR="05431B1C">
        <w:t xml:space="preserve"> </w:t>
      </w:r>
      <w:r>
        <w:t xml:space="preserve">small businesses, </w:t>
      </w:r>
      <w:r w:rsidR="2F2981F0">
        <w:t>3,469</w:t>
      </w:r>
      <w:r>
        <w:t xml:space="preserve"> medium businesses and </w:t>
      </w:r>
      <w:r w:rsidR="1BAF6847">
        <w:t xml:space="preserve">473 </w:t>
      </w:r>
      <w:r>
        <w:t>large businesses.</w:t>
      </w:r>
      <w:bookmarkEnd w:id="216"/>
      <w:bookmarkEnd w:id="217"/>
    </w:p>
    <w:p w14:paraId="2021227B" w14:textId="14750B7B" w:rsidR="000B51DC" w:rsidRDefault="000B51DC" w:rsidP="00514E64">
      <w:pPr>
        <w:pStyle w:val="ListParagraph"/>
        <w:keepNext/>
        <w:keepLines/>
        <w:numPr>
          <w:ilvl w:val="0"/>
          <w:numId w:val="23"/>
        </w:numPr>
        <w:suppressAutoHyphens/>
        <w:spacing w:line="240" w:lineRule="atLeast"/>
        <w:ind w:left="709"/>
        <w:contextualSpacing w:val="0"/>
      </w:pPr>
      <w:bookmarkStart w:id="218" w:name="_Toc193192615"/>
      <w:bookmarkStart w:id="219" w:name="_Toc196204674"/>
      <w:r w:rsidRPr="007C3418">
        <w:t xml:space="preserve">The estimated average annual cost </w:t>
      </w:r>
      <w:r>
        <w:t>is $</w:t>
      </w:r>
      <w:r w:rsidR="00562418">
        <w:t>2,300</w:t>
      </w:r>
      <w:r w:rsidR="00F117D2">
        <w:t xml:space="preserve"> for small businesses</w:t>
      </w:r>
      <w:r>
        <w:t>, followed by $</w:t>
      </w:r>
      <w:r w:rsidR="00D279C8">
        <w:t>10</w:t>
      </w:r>
      <w:r>
        <w:t>,</w:t>
      </w:r>
      <w:r w:rsidR="00D51968">
        <w:t>7</w:t>
      </w:r>
      <w:r>
        <w:t>00 for medium businesses and $</w:t>
      </w:r>
      <w:r w:rsidR="00322E3C">
        <w:t xml:space="preserve">423,900 for </w:t>
      </w:r>
      <w:r w:rsidR="00311FA9">
        <w:t>large</w:t>
      </w:r>
      <w:r>
        <w:t xml:space="preserve"> businesses.</w:t>
      </w:r>
      <w:bookmarkEnd w:id="218"/>
      <w:bookmarkEnd w:id="219"/>
    </w:p>
    <w:p w14:paraId="7721B2C9" w14:textId="28823FCB" w:rsidR="007E70DB" w:rsidRDefault="007E70DB" w:rsidP="007E70DB">
      <w:pPr>
        <w:pStyle w:val="Caption"/>
      </w:pPr>
      <w:bookmarkStart w:id="220" w:name="_Ref199860280"/>
      <w:r>
        <w:t xml:space="preserve">Table </w:t>
      </w:r>
      <w:fldSimple w:instr=" SEQ Table \* ARABIC ">
        <w:r w:rsidR="00A002F4">
          <w:rPr>
            <w:noProof/>
          </w:rPr>
          <w:t>18</w:t>
        </w:r>
      </w:fldSimple>
      <w:bookmarkEnd w:id="220"/>
      <w:r>
        <w:t xml:space="preserve"> - </w:t>
      </w:r>
      <w:r w:rsidRPr="009F76FF">
        <w:t>Estimated average annual incremental cost per affected business by business size ($, undiscounted) and affected businesses for copper,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116"/>
        <w:gridCol w:w="2396"/>
        <w:gridCol w:w="2250"/>
      </w:tblGrid>
      <w:tr w:rsidR="000B51DC" w14:paraId="3766D660" w14:textId="77777777" w:rsidTr="00FB39AC">
        <w:tc>
          <w:tcPr>
            <w:tcW w:w="2254" w:type="dxa"/>
            <w:shd w:val="clear" w:color="auto" w:fill="2050BD" w:themeFill="accent1" w:themeFillShade="BF"/>
          </w:tcPr>
          <w:p w14:paraId="2693F424" w14:textId="77777777" w:rsidR="000B51DC" w:rsidRPr="00D82169" w:rsidRDefault="000B51DC">
            <w:pPr>
              <w:keepNext/>
              <w:keepLines/>
              <w:suppressAutoHyphens/>
              <w:spacing w:after="0" w:line="259" w:lineRule="auto"/>
              <w:contextualSpacing w:val="0"/>
              <w:rPr>
                <w:b/>
                <w:bCs/>
                <w:color w:val="FFFFFF" w:themeColor="background1"/>
              </w:rPr>
            </w:pPr>
            <w:r w:rsidRPr="00D82169">
              <w:rPr>
                <w:b/>
                <w:bCs/>
                <w:color w:val="FFFFFF" w:themeColor="background1"/>
              </w:rPr>
              <w:t>Measure</w:t>
            </w:r>
          </w:p>
        </w:tc>
        <w:tc>
          <w:tcPr>
            <w:tcW w:w="2116" w:type="dxa"/>
            <w:shd w:val="clear" w:color="auto" w:fill="2050BD" w:themeFill="accent1" w:themeFillShade="BF"/>
          </w:tcPr>
          <w:p w14:paraId="1509CCD1" w14:textId="77777777" w:rsidR="000B51DC" w:rsidRPr="00D82169" w:rsidRDefault="000B51DC">
            <w:pPr>
              <w:keepNext/>
              <w:keepLines/>
              <w:suppressAutoHyphens/>
              <w:spacing w:after="0" w:line="259" w:lineRule="auto"/>
              <w:contextualSpacing w:val="0"/>
              <w:rPr>
                <w:b/>
                <w:bCs/>
                <w:color w:val="FFFFFF" w:themeColor="background1"/>
              </w:rPr>
            </w:pPr>
            <w:r w:rsidRPr="00D82169">
              <w:rPr>
                <w:b/>
                <w:bCs/>
                <w:color w:val="FFFFFF" w:themeColor="background1"/>
              </w:rPr>
              <w:t>Small businesses</w:t>
            </w:r>
          </w:p>
        </w:tc>
        <w:tc>
          <w:tcPr>
            <w:tcW w:w="2396" w:type="dxa"/>
            <w:shd w:val="clear" w:color="auto" w:fill="2050BD" w:themeFill="accent1" w:themeFillShade="BF"/>
          </w:tcPr>
          <w:p w14:paraId="34032932" w14:textId="77777777" w:rsidR="000B51DC" w:rsidRPr="00D82169" w:rsidRDefault="000B51DC">
            <w:pPr>
              <w:keepNext/>
              <w:keepLines/>
              <w:suppressAutoHyphens/>
              <w:spacing w:after="0" w:line="259" w:lineRule="auto"/>
              <w:contextualSpacing w:val="0"/>
              <w:rPr>
                <w:b/>
                <w:bCs/>
                <w:color w:val="FFFFFF" w:themeColor="background1"/>
              </w:rPr>
            </w:pPr>
            <w:r w:rsidRPr="00D82169">
              <w:rPr>
                <w:b/>
                <w:bCs/>
                <w:color w:val="FFFFFF" w:themeColor="background1"/>
              </w:rPr>
              <w:t>Medium businesses</w:t>
            </w:r>
          </w:p>
        </w:tc>
        <w:tc>
          <w:tcPr>
            <w:tcW w:w="2250" w:type="dxa"/>
            <w:shd w:val="clear" w:color="auto" w:fill="2050BD" w:themeFill="accent1" w:themeFillShade="BF"/>
          </w:tcPr>
          <w:p w14:paraId="785030A3" w14:textId="77777777" w:rsidR="000B51DC" w:rsidRPr="00D82169" w:rsidRDefault="000B51DC">
            <w:pPr>
              <w:keepNext/>
              <w:keepLines/>
              <w:suppressAutoHyphens/>
              <w:spacing w:after="0" w:line="259" w:lineRule="auto"/>
              <w:contextualSpacing w:val="0"/>
              <w:rPr>
                <w:b/>
                <w:bCs/>
                <w:color w:val="FFFFFF" w:themeColor="background1"/>
              </w:rPr>
            </w:pPr>
            <w:r w:rsidRPr="00D82169">
              <w:rPr>
                <w:b/>
                <w:bCs/>
                <w:color w:val="FFFFFF" w:themeColor="background1"/>
              </w:rPr>
              <w:t>Large businesses</w:t>
            </w:r>
          </w:p>
        </w:tc>
      </w:tr>
      <w:tr w:rsidR="00DA135F" w14:paraId="4CFFCB3A" w14:textId="77777777" w:rsidTr="00FB18E4">
        <w:tc>
          <w:tcPr>
            <w:tcW w:w="2254" w:type="dxa"/>
          </w:tcPr>
          <w:p w14:paraId="7F3AEFC5" w14:textId="420CC342" w:rsidR="00DA135F" w:rsidRPr="00296A4F" w:rsidRDefault="00DA135F" w:rsidP="00DA135F">
            <w:pPr>
              <w:keepNext/>
              <w:keepLines/>
              <w:suppressAutoHyphens/>
              <w:spacing w:after="0" w:line="259" w:lineRule="auto"/>
              <w:contextualSpacing w:val="0"/>
              <w:rPr>
                <w:b/>
                <w:bCs/>
              </w:rPr>
            </w:pPr>
            <w:r w:rsidRPr="00296A4F">
              <w:rPr>
                <w:b/>
                <w:bCs/>
              </w:rPr>
              <w:t>Number of affected businesses p.a.</w:t>
            </w:r>
          </w:p>
        </w:tc>
        <w:tc>
          <w:tcPr>
            <w:tcW w:w="2116" w:type="dxa"/>
            <w:vAlign w:val="center"/>
          </w:tcPr>
          <w:p w14:paraId="130D6309" w14:textId="1F6C966B" w:rsidR="00DA135F" w:rsidRDefault="00827A99" w:rsidP="00DA135F">
            <w:pPr>
              <w:keepNext/>
              <w:keepLines/>
              <w:suppressAutoHyphens/>
              <w:spacing w:after="0" w:line="259" w:lineRule="auto"/>
              <w:contextualSpacing w:val="0"/>
              <w:jc w:val="right"/>
            </w:pPr>
            <w:r>
              <w:t>18,332</w:t>
            </w:r>
          </w:p>
        </w:tc>
        <w:tc>
          <w:tcPr>
            <w:tcW w:w="2396" w:type="dxa"/>
            <w:vAlign w:val="center"/>
          </w:tcPr>
          <w:p w14:paraId="039D1D86" w14:textId="23D33C39" w:rsidR="00DA135F" w:rsidRDefault="00167559" w:rsidP="00DA135F">
            <w:pPr>
              <w:keepNext/>
              <w:keepLines/>
              <w:suppressAutoHyphens/>
              <w:spacing w:after="0" w:line="259" w:lineRule="auto"/>
              <w:contextualSpacing w:val="0"/>
              <w:jc w:val="right"/>
            </w:pPr>
            <w:r>
              <w:t>3,469</w:t>
            </w:r>
          </w:p>
        </w:tc>
        <w:tc>
          <w:tcPr>
            <w:tcW w:w="2250" w:type="dxa"/>
            <w:vAlign w:val="center"/>
          </w:tcPr>
          <w:p w14:paraId="3D825B92" w14:textId="79BA16C4" w:rsidR="00DA135F" w:rsidRDefault="00167559" w:rsidP="00DA135F">
            <w:pPr>
              <w:keepNext/>
              <w:keepLines/>
              <w:suppressAutoHyphens/>
              <w:spacing w:after="0" w:line="259" w:lineRule="auto"/>
              <w:contextualSpacing w:val="0"/>
              <w:jc w:val="right"/>
            </w:pPr>
            <w:r>
              <w:t>473</w:t>
            </w:r>
          </w:p>
        </w:tc>
      </w:tr>
      <w:tr w:rsidR="00DA135F" w14:paraId="35D637F8" w14:textId="77777777" w:rsidTr="00FB39AC">
        <w:tc>
          <w:tcPr>
            <w:tcW w:w="2254" w:type="dxa"/>
            <w:shd w:val="clear" w:color="auto" w:fill="DAE3F8" w:themeFill="accent1" w:themeFillTint="33"/>
          </w:tcPr>
          <w:p w14:paraId="6C66358B" w14:textId="3422FB7D" w:rsidR="00DA135F" w:rsidRPr="00296A4F" w:rsidRDefault="00DA135F" w:rsidP="00DA135F">
            <w:pPr>
              <w:keepNext/>
              <w:keepLines/>
              <w:suppressAutoHyphens/>
              <w:spacing w:after="0" w:line="259" w:lineRule="auto"/>
              <w:contextualSpacing w:val="0"/>
              <w:rPr>
                <w:b/>
                <w:bCs/>
              </w:rPr>
            </w:pPr>
            <w:r w:rsidRPr="00296A4F">
              <w:rPr>
                <w:b/>
                <w:bCs/>
              </w:rPr>
              <w:t>Av. cost per business p.a.</w:t>
            </w:r>
          </w:p>
        </w:tc>
        <w:tc>
          <w:tcPr>
            <w:tcW w:w="2116" w:type="dxa"/>
            <w:shd w:val="clear" w:color="auto" w:fill="DAE3F8" w:themeFill="accent1" w:themeFillTint="33"/>
            <w:vAlign w:val="center"/>
          </w:tcPr>
          <w:p w14:paraId="28210CC9" w14:textId="3D16B590" w:rsidR="00DA135F" w:rsidRDefault="00DA135F" w:rsidP="00DA135F">
            <w:pPr>
              <w:keepNext/>
              <w:keepLines/>
              <w:suppressAutoHyphens/>
              <w:spacing w:after="0" w:line="259" w:lineRule="auto"/>
              <w:contextualSpacing w:val="0"/>
              <w:jc w:val="right"/>
            </w:pPr>
            <w:r>
              <w:t>2</w:t>
            </w:r>
            <w:r w:rsidRPr="001D73C0">
              <w:t>,3</w:t>
            </w:r>
            <w:r>
              <w:t>00</w:t>
            </w:r>
          </w:p>
        </w:tc>
        <w:tc>
          <w:tcPr>
            <w:tcW w:w="2396" w:type="dxa"/>
            <w:shd w:val="clear" w:color="auto" w:fill="DAE3F8" w:themeFill="accent1" w:themeFillTint="33"/>
            <w:vAlign w:val="center"/>
          </w:tcPr>
          <w:p w14:paraId="16F43517" w14:textId="2B403645" w:rsidR="00DA135F" w:rsidRDefault="00DA135F" w:rsidP="00DA135F">
            <w:pPr>
              <w:keepNext/>
              <w:keepLines/>
              <w:suppressAutoHyphens/>
              <w:spacing w:after="0" w:line="259" w:lineRule="auto"/>
              <w:contextualSpacing w:val="0"/>
              <w:jc w:val="right"/>
            </w:pPr>
            <w:r w:rsidRPr="00F64F81">
              <w:t>10,700</w:t>
            </w:r>
          </w:p>
        </w:tc>
        <w:tc>
          <w:tcPr>
            <w:tcW w:w="2250" w:type="dxa"/>
            <w:shd w:val="clear" w:color="auto" w:fill="DAE3F8" w:themeFill="accent1" w:themeFillTint="33"/>
            <w:vAlign w:val="center"/>
          </w:tcPr>
          <w:p w14:paraId="31A5846E" w14:textId="596ED08D" w:rsidR="00DA135F" w:rsidRDefault="00DA135F" w:rsidP="00DA135F">
            <w:pPr>
              <w:keepNext/>
              <w:keepLines/>
              <w:suppressAutoHyphens/>
              <w:spacing w:after="0" w:line="259" w:lineRule="auto"/>
              <w:contextualSpacing w:val="0"/>
              <w:jc w:val="right"/>
            </w:pPr>
            <w:r w:rsidRPr="00F64F81">
              <w:t>423,900</w:t>
            </w:r>
          </w:p>
        </w:tc>
      </w:tr>
    </w:tbl>
    <w:p w14:paraId="165B3D06" w14:textId="6999D2E6" w:rsidR="00055B2E" w:rsidRDefault="00055B2E" w:rsidP="38A49B51"/>
    <w:p w14:paraId="70D59466" w14:textId="7CC4D259" w:rsidR="00055B2E" w:rsidRPr="00BA3298" w:rsidRDefault="00DA2320" w:rsidP="007C2919">
      <w:pPr>
        <w:pStyle w:val="SWAHeading2"/>
        <w:keepNext/>
        <w:keepLines/>
        <w:ind w:left="709"/>
      </w:pPr>
      <w:bookmarkStart w:id="221" w:name="_Toc196204675"/>
      <w:bookmarkStart w:id="222" w:name="_Toc219216895"/>
      <w:r w:rsidRPr="00BA3298">
        <w:t xml:space="preserve">Stakeholder </w:t>
      </w:r>
      <w:r w:rsidR="00185630" w:rsidRPr="00BA3298">
        <w:t>views</w:t>
      </w:r>
      <w:r w:rsidR="00D0173F" w:rsidRPr="00BA3298">
        <w:t xml:space="preserve"> on the proposed WEL for</w:t>
      </w:r>
      <w:r w:rsidRPr="00BA3298">
        <w:t xml:space="preserve"> copper</w:t>
      </w:r>
      <w:bookmarkEnd w:id="221"/>
      <w:bookmarkEnd w:id="222"/>
    </w:p>
    <w:p w14:paraId="777C1580" w14:textId="01C43452" w:rsidR="00F0196B" w:rsidRPr="00FB5409" w:rsidRDefault="007514F2" w:rsidP="007C2919">
      <w:pPr>
        <w:pStyle w:val="paragraph0"/>
        <w:keepNext/>
        <w:keepLines/>
        <w:spacing w:before="0" w:beforeAutospacing="0" w:after="120" w:afterAutospacing="0"/>
        <w:contextualSpacing w:val="0"/>
        <w:textAlignment w:val="baseline"/>
        <w:rPr>
          <w:rFonts w:ascii="Arial" w:eastAsiaTheme="majorEastAsia" w:hAnsi="Arial" w:cs="Arial"/>
          <w:sz w:val="22"/>
          <w:szCs w:val="22"/>
        </w:rPr>
      </w:pPr>
      <w:r>
        <w:rPr>
          <w:rStyle w:val="normaltextrun"/>
          <w:rFonts w:ascii="Arial" w:eastAsiaTheme="majorEastAsia" w:hAnsi="Arial" w:cs="Arial"/>
          <w:sz w:val="22"/>
          <w:szCs w:val="22"/>
        </w:rPr>
        <w:t>As part of the public consultation process supporting this Decision RIS, 21</w:t>
      </w:r>
      <w:r w:rsidR="00617EC3">
        <w:rPr>
          <w:rStyle w:val="normaltextrun"/>
          <w:rFonts w:ascii="Arial" w:eastAsiaTheme="majorEastAsia" w:hAnsi="Arial" w:cs="Arial"/>
          <w:sz w:val="22"/>
          <w:szCs w:val="22"/>
        </w:rPr>
        <w:t xml:space="preserve"> </w:t>
      </w:r>
      <w:r w:rsidR="00D461B5">
        <w:rPr>
          <w:rStyle w:val="normaltextrun"/>
          <w:rFonts w:ascii="Arial" w:eastAsiaTheme="majorEastAsia" w:hAnsi="Arial" w:cs="Arial"/>
          <w:sz w:val="22"/>
          <w:szCs w:val="22"/>
        </w:rPr>
        <w:t>submissions</w:t>
      </w:r>
      <w:r w:rsidR="00617EC3">
        <w:rPr>
          <w:rStyle w:val="normaltextrun"/>
          <w:rFonts w:ascii="Arial" w:eastAsiaTheme="majorEastAsia" w:hAnsi="Arial" w:cs="Arial"/>
          <w:sz w:val="22"/>
          <w:szCs w:val="22"/>
        </w:rPr>
        <w:t xml:space="preserve"> </w:t>
      </w:r>
      <w:r w:rsidR="00617EC3" w:rsidDel="00D461B5">
        <w:rPr>
          <w:rStyle w:val="normaltextrun"/>
          <w:rFonts w:ascii="Arial" w:eastAsiaTheme="majorEastAsia" w:hAnsi="Arial" w:cs="Arial"/>
          <w:sz w:val="22"/>
          <w:szCs w:val="22"/>
        </w:rPr>
        <w:t>were</w:t>
      </w:r>
      <w:r w:rsidR="00617EC3">
        <w:rPr>
          <w:rStyle w:val="normaltextrun"/>
          <w:rFonts w:ascii="Arial" w:eastAsiaTheme="majorEastAsia" w:hAnsi="Arial" w:cs="Arial"/>
          <w:sz w:val="22"/>
          <w:szCs w:val="22"/>
        </w:rPr>
        <w:t xml:space="preserve"> received </w:t>
      </w:r>
      <w:r>
        <w:rPr>
          <w:rStyle w:val="normaltextrun"/>
          <w:rFonts w:ascii="Arial" w:eastAsiaTheme="majorEastAsia" w:hAnsi="Arial" w:cs="Arial"/>
          <w:sz w:val="22"/>
          <w:szCs w:val="22"/>
        </w:rPr>
        <w:t xml:space="preserve">that addressed the proposed WEL for </w:t>
      </w:r>
      <w:r w:rsidR="00617EC3">
        <w:rPr>
          <w:rStyle w:val="normaltextrun"/>
          <w:rFonts w:ascii="Arial" w:eastAsiaTheme="majorEastAsia" w:hAnsi="Arial" w:cs="Arial"/>
          <w:sz w:val="22"/>
          <w:szCs w:val="22"/>
        </w:rPr>
        <w:t xml:space="preserve">copper. </w:t>
      </w:r>
    </w:p>
    <w:p w14:paraId="19E9F910" w14:textId="1AADE05C" w:rsidR="00F0196B" w:rsidRPr="00F0196B" w:rsidRDefault="00F0196B" w:rsidP="00F0196B">
      <w:pPr>
        <w:pStyle w:val="paragraph0"/>
        <w:keepNext/>
        <w:keepLines/>
        <w:spacing w:before="0" w:beforeAutospacing="0" w:after="120" w:afterAutospacing="0"/>
        <w:contextualSpacing w:val="0"/>
        <w:textAlignment w:val="baseline"/>
        <w:rPr>
          <w:rFonts w:asciiTheme="minorHAnsi" w:hAnsiTheme="minorHAnsi" w:cstheme="minorHAnsi"/>
          <w:sz w:val="22"/>
          <w:szCs w:val="22"/>
        </w:rPr>
      </w:pPr>
      <w:r w:rsidRPr="00F0196B">
        <w:rPr>
          <w:rFonts w:asciiTheme="minorHAnsi" w:hAnsiTheme="minorHAnsi" w:cstheme="minorHAnsi"/>
          <w:sz w:val="22"/>
          <w:szCs w:val="22"/>
        </w:rPr>
        <w:t>Five of the 21 submissions supported the proposed TWA to 0.02 mg/m</w:t>
      </w:r>
      <w:r w:rsidRPr="00F0196B">
        <w:rPr>
          <w:rFonts w:asciiTheme="minorHAnsi" w:hAnsiTheme="minorHAnsi" w:cstheme="minorHAnsi"/>
          <w:sz w:val="22"/>
          <w:szCs w:val="22"/>
          <w:vertAlign w:val="superscript"/>
        </w:rPr>
        <w:t>3</w:t>
      </w:r>
      <w:r w:rsidRPr="00F0196B">
        <w:rPr>
          <w:rFonts w:asciiTheme="minorHAnsi" w:hAnsiTheme="minorHAnsi" w:cstheme="minorHAnsi"/>
          <w:sz w:val="22"/>
          <w:szCs w:val="22"/>
        </w:rPr>
        <w:t xml:space="preserve"> for copper dust, mists and fumes</w:t>
      </w:r>
      <w:r w:rsidR="00F8023C">
        <w:rPr>
          <w:rFonts w:asciiTheme="minorHAnsi" w:hAnsiTheme="minorHAnsi" w:cstheme="minorHAnsi"/>
          <w:sz w:val="22"/>
          <w:szCs w:val="22"/>
        </w:rPr>
        <w:t xml:space="preserve"> (Option 2)</w:t>
      </w:r>
      <w:r w:rsidRPr="00F0196B">
        <w:rPr>
          <w:rFonts w:asciiTheme="minorHAnsi" w:hAnsiTheme="minorHAnsi" w:cstheme="minorHAnsi"/>
          <w:sz w:val="22"/>
          <w:szCs w:val="22"/>
        </w:rPr>
        <w:t>.</w:t>
      </w:r>
    </w:p>
    <w:p w14:paraId="4004A0CC" w14:textId="55F938E7" w:rsidR="00F0196B" w:rsidRPr="00917481" w:rsidRDefault="00F0196B" w:rsidP="00F0196B">
      <w:pPr>
        <w:pStyle w:val="NoSpacing"/>
        <w:spacing w:before="120" w:after="120"/>
        <w:rPr>
          <w:rFonts w:cs="Arial"/>
          <w:sz w:val="22"/>
          <w:szCs w:val="28"/>
        </w:rPr>
      </w:pPr>
      <w:r w:rsidRPr="00917481">
        <w:rPr>
          <w:rFonts w:cs="Arial"/>
          <w:sz w:val="22"/>
          <w:szCs w:val="28"/>
        </w:rPr>
        <w:t>These submissions came from unions, academic</w:t>
      </w:r>
      <w:r>
        <w:rPr>
          <w:rFonts w:cs="Arial"/>
          <w:sz w:val="22"/>
          <w:szCs w:val="28"/>
        </w:rPr>
        <w:t>s</w:t>
      </w:r>
      <w:r w:rsidRPr="00917481">
        <w:rPr>
          <w:rFonts w:cs="Arial"/>
          <w:sz w:val="22"/>
          <w:szCs w:val="28"/>
        </w:rPr>
        <w:t xml:space="preserve"> and industry representative</w:t>
      </w:r>
      <w:r>
        <w:rPr>
          <w:rFonts w:cs="Arial"/>
          <w:sz w:val="22"/>
          <w:szCs w:val="28"/>
        </w:rPr>
        <w:t>s</w:t>
      </w:r>
      <w:r w:rsidRPr="00917481">
        <w:rPr>
          <w:rFonts w:cs="Arial"/>
          <w:sz w:val="22"/>
          <w:szCs w:val="28"/>
        </w:rPr>
        <w:t>. S</w:t>
      </w:r>
      <w:r w:rsidR="003A4A2E">
        <w:rPr>
          <w:rFonts w:cs="Arial"/>
          <w:sz w:val="22"/>
          <w:szCs w:val="28"/>
        </w:rPr>
        <w:t xml:space="preserve">takeholders </w:t>
      </w:r>
      <w:r w:rsidR="00157965">
        <w:rPr>
          <w:rFonts w:cs="Arial"/>
          <w:sz w:val="22"/>
          <w:szCs w:val="28"/>
        </w:rPr>
        <w:t>who s</w:t>
      </w:r>
      <w:r w:rsidRPr="00917481">
        <w:rPr>
          <w:rFonts w:cs="Arial"/>
          <w:sz w:val="22"/>
          <w:szCs w:val="28"/>
        </w:rPr>
        <w:t>upport</w:t>
      </w:r>
      <w:r w:rsidR="00157965">
        <w:rPr>
          <w:rFonts w:cs="Arial"/>
          <w:sz w:val="22"/>
          <w:szCs w:val="28"/>
        </w:rPr>
        <w:t>ed</w:t>
      </w:r>
      <w:r w:rsidRPr="00917481">
        <w:rPr>
          <w:rFonts w:cs="Arial"/>
          <w:sz w:val="22"/>
          <w:szCs w:val="28"/>
        </w:rPr>
        <w:t xml:space="preserve"> Option 2 </w:t>
      </w:r>
      <w:r w:rsidR="00935F1B">
        <w:rPr>
          <w:rFonts w:cs="Arial"/>
          <w:sz w:val="22"/>
          <w:szCs w:val="28"/>
        </w:rPr>
        <w:t xml:space="preserve">noted their support </w:t>
      </w:r>
      <w:r w:rsidR="00D11BF0">
        <w:rPr>
          <w:rFonts w:cs="Arial"/>
          <w:sz w:val="22"/>
          <w:szCs w:val="28"/>
        </w:rPr>
        <w:t>was</w:t>
      </w:r>
      <w:r w:rsidR="00265DAD">
        <w:rPr>
          <w:rFonts w:cs="Arial"/>
          <w:sz w:val="22"/>
          <w:szCs w:val="28"/>
        </w:rPr>
        <w:t xml:space="preserve"> based on:</w:t>
      </w:r>
    </w:p>
    <w:p w14:paraId="0C997E9D" w14:textId="5508E0B1" w:rsidR="00F0196B" w:rsidRDefault="00F0196B" w:rsidP="00B57E6C">
      <w:pPr>
        <w:pStyle w:val="NoSpacing"/>
        <w:numPr>
          <w:ilvl w:val="0"/>
          <w:numId w:val="35"/>
        </w:numPr>
        <w:spacing w:after="120"/>
        <w:rPr>
          <w:rFonts w:cs="Arial"/>
          <w:sz w:val="22"/>
          <w:szCs w:val="28"/>
        </w:rPr>
      </w:pPr>
      <w:r w:rsidRPr="00917481">
        <w:rPr>
          <w:rFonts w:cs="Arial"/>
          <w:sz w:val="22"/>
          <w:szCs w:val="28"/>
        </w:rPr>
        <w:t>a lower WEL for copper will protect from irritation and adverse health effects in exposed workers</w:t>
      </w:r>
      <w:r w:rsidR="00552638" w:rsidRPr="00AC7B89">
        <w:rPr>
          <w:rStyle w:val="FootnoteReference"/>
          <w:rFonts w:cs="Arial"/>
          <w:sz w:val="22"/>
          <w:szCs w:val="28"/>
        </w:rPr>
        <w:footnoteReference w:id="86"/>
      </w:r>
      <w:r w:rsidR="00265DAD">
        <w:rPr>
          <w:rFonts w:cs="Arial"/>
          <w:sz w:val="22"/>
          <w:szCs w:val="28"/>
        </w:rPr>
        <w:t>,</w:t>
      </w:r>
      <w:r>
        <w:rPr>
          <w:rFonts w:cs="Arial"/>
          <w:sz w:val="22"/>
          <w:szCs w:val="28"/>
        </w:rPr>
        <w:t xml:space="preserve"> and </w:t>
      </w:r>
    </w:p>
    <w:p w14:paraId="779B11F7" w14:textId="50A0B9EC" w:rsidR="00F0196B" w:rsidRPr="00344F71" w:rsidRDefault="00F0196B" w:rsidP="00B57E6C">
      <w:pPr>
        <w:pStyle w:val="NoSpacing"/>
        <w:numPr>
          <w:ilvl w:val="0"/>
          <w:numId w:val="35"/>
        </w:numPr>
        <w:spacing w:after="120"/>
        <w:rPr>
          <w:rFonts w:cs="Arial"/>
          <w:sz w:val="22"/>
          <w:szCs w:val="28"/>
        </w:rPr>
      </w:pPr>
      <w:r w:rsidRPr="00344F71">
        <w:rPr>
          <w:rFonts w:cs="Arial"/>
          <w:sz w:val="22"/>
          <w:szCs w:val="28"/>
        </w:rPr>
        <w:t>metal fume exposure should be minimised</w:t>
      </w:r>
      <w:r w:rsidR="00714AC5">
        <w:rPr>
          <w:rStyle w:val="FootnoteReference"/>
          <w:rFonts w:cs="Arial"/>
          <w:sz w:val="22"/>
          <w:szCs w:val="28"/>
        </w:rPr>
        <w:footnoteReference w:id="87"/>
      </w:r>
      <w:r w:rsidRPr="00344F71">
        <w:rPr>
          <w:rFonts w:cs="Arial"/>
          <w:sz w:val="22"/>
          <w:szCs w:val="28"/>
        </w:rPr>
        <w:t>.</w:t>
      </w:r>
    </w:p>
    <w:p w14:paraId="65CC968F" w14:textId="52FF447B" w:rsidR="004D7155" w:rsidRPr="00917481" w:rsidRDefault="4979065C" w:rsidP="001E0F11">
      <w:pPr>
        <w:pStyle w:val="NoSpacing"/>
        <w:spacing w:before="120" w:after="120"/>
        <w:rPr>
          <w:rFonts w:cs="Arial"/>
          <w:sz w:val="22"/>
          <w:szCs w:val="22"/>
        </w:rPr>
      </w:pPr>
      <w:r w:rsidRPr="27F845C1">
        <w:rPr>
          <w:rFonts w:cs="Arial"/>
          <w:sz w:val="22"/>
          <w:szCs w:val="22"/>
        </w:rPr>
        <w:t xml:space="preserve">The </w:t>
      </w:r>
      <w:r w:rsidR="49EAF01F" w:rsidRPr="0006BF35">
        <w:rPr>
          <w:rFonts w:cs="Arial"/>
          <w:sz w:val="22"/>
          <w:szCs w:val="22"/>
        </w:rPr>
        <w:t>m</w:t>
      </w:r>
      <w:r w:rsidR="6109D0CA" w:rsidRPr="0006BF35">
        <w:rPr>
          <w:rFonts w:cs="Arial"/>
          <w:sz w:val="22"/>
          <w:szCs w:val="22"/>
        </w:rPr>
        <w:t>ajority</w:t>
      </w:r>
      <w:r w:rsidR="6109D0CA" w:rsidRPr="27F845C1">
        <w:rPr>
          <w:rFonts w:cs="Arial"/>
          <w:sz w:val="22"/>
          <w:szCs w:val="22"/>
        </w:rPr>
        <w:t xml:space="preserve"> of submissions</w:t>
      </w:r>
      <w:r w:rsidR="29C456C1" w:rsidRPr="27F845C1">
        <w:rPr>
          <w:rFonts w:cs="Arial"/>
          <w:sz w:val="22"/>
          <w:szCs w:val="22"/>
        </w:rPr>
        <w:t xml:space="preserve"> (13</w:t>
      </w:r>
      <w:r w:rsidR="2A3E5340" w:rsidRPr="27F845C1">
        <w:rPr>
          <w:rFonts w:cs="Arial"/>
          <w:sz w:val="22"/>
          <w:szCs w:val="22"/>
        </w:rPr>
        <w:t xml:space="preserve"> </w:t>
      </w:r>
      <w:r w:rsidR="67D68240" w:rsidRPr="27F845C1">
        <w:rPr>
          <w:rFonts w:cs="Arial"/>
          <w:sz w:val="22"/>
          <w:szCs w:val="22"/>
        </w:rPr>
        <w:t>out</w:t>
      </w:r>
      <w:r w:rsidR="2A3E5340" w:rsidRPr="27F845C1">
        <w:rPr>
          <w:rFonts w:cs="Arial"/>
          <w:sz w:val="22"/>
          <w:szCs w:val="22"/>
        </w:rPr>
        <w:t xml:space="preserve"> of 21</w:t>
      </w:r>
      <w:r w:rsidR="29C456C1" w:rsidRPr="27F845C1">
        <w:rPr>
          <w:rFonts w:cs="Arial"/>
          <w:sz w:val="22"/>
          <w:szCs w:val="22"/>
        </w:rPr>
        <w:t xml:space="preserve">) </w:t>
      </w:r>
      <w:r w:rsidR="6109D0CA" w:rsidRPr="27F845C1">
        <w:rPr>
          <w:rFonts w:cs="Arial"/>
          <w:sz w:val="22"/>
          <w:szCs w:val="22"/>
        </w:rPr>
        <w:t>supported</w:t>
      </w:r>
      <w:r w:rsidR="29C456C1" w:rsidRPr="27F845C1">
        <w:rPr>
          <w:rFonts w:cs="Arial"/>
          <w:sz w:val="22"/>
          <w:szCs w:val="22"/>
        </w:rPr>
        <w:t xml:space="preserve"> retain</w:t>
      </w:r>
      <w:r w:rsidR="6109D0CA" w:rsidRPr="27F845C1">
        <w:rPr>
          <w:rFonts w:cs="Arial"/>
          <w:sz w:val="22"/>
          <w:szCs w:val="22"/>
        </w:rPr>
        <w:t>ing</w:t>
      </w:r>
      <w:r w:rsidR="29C456C1" w:rsidRPr="27F845C1">
        <w:rPr>
          <w:rFonts w:cs="Arial"/>
          <w:sz w:val="22"/>
          <w:szCs w:val="22"/>
        </w:rPr>
        <w:t xml:space="preserve"> the current </w:t>
      </w:r>
      <w:r w:rsidR="6109D0CA" w:rsidRPr="27F845C1">
        <w:rPr>
          <w:rFonts w:cs="Arial"/>
          <w:sz w:val="22"/>
          <w:szCs w:val="22"/>
        </w:rPr>
        <w:t>TWA</w:t>
      </w:r>
      <w:r w:rsidR="73959E2F" w:rsidRPr="27F845C1">
        <w:rPr>
          <w:rFonts w:cs="Arial"/>
          <w:sz w:val="22"/>
          <w:szCs w:val="22"/>
        </w:rPr>
        <w:t xml:space="preserve"> of 1 mg/m</w:t>
      </w:r>
      <w:r w:rsidR="73959E2F" w:rsidRPr="27F845C1">
        <w:rPr>
          <w:rFonts w:cs="Arial"/>
          <w:sz w:val="22"/>
          <w:szCs w:val="22"/>
          <w:vertAlign w:val="superscript"/>
        </w:rPr>
        <w:t>3</w:t>
      </w:r>
      <w:r w:rsidR="6109D0CA" w:rsidRPr="27F845C1">
        <w:rPr>
          <w:rFonts w:cs="Arial"/>
          <w:sz w:val="22"/>
          <w:szCs w:val="22"/>
          <w:vertAlign w:val="superscript"/>
        </w:rPr>
        <w:t xml:space="preserve"> </w:t>
      </w:r>
      <w:r w:rsidR="29C456C1" w:rsidRPr="27F845C1">
        <w:rPr>
          <w:rFonts w:cs="Arial"/>
          <w:sz w:val="22"/>
          <w:szCs w:val="22"/>
        </w:rPr>
        <w:t>for copper</w:t>
      </w:r>
      <w:r w:rsidR="374B4F36" w:rsidRPr="27F845C1">
        <w:rPr>
          <w:rFonts w:cs="Arial"/>
          <w:sz w:val="22"/>
          <w:szCs w:val="22"/>
        </w:rPr>
        <w:t xml:space="preserve"> dusts and mists, and </w:t>
      </w:r>
      <w:r w:rsidR="73959E2F" w:rsidRPr="27F845C1">
        <w:rPr>
          <w:rFonts w:cs="Arial"/>
          <w:sz w:val="22"/>
          <w:szCs w:val="22"/>
        </w:rPr>
        <w:t>the current TWA of 0.2 mg/m</w:t>
      </w:r>
      <w:r w:rsidR="73959E2F" w:rsidRPr="27F845C1">
        <w:rPr>
          <w:rFonts w:cs="Arial"/>
          <w:sz w:val="22"/>
          <w:szCs w:val="22"/>
          <w:vertAlign w:val="superscript"/>
        </w:rPr>
        <w:t>3</w:t>
      </w:r>
      <w:r w:rsidR="73959E2F" w:rsidRPr="27F845C1">
        <w:rPr>
          <w:rFonts w:cs="Arial"/>
          <w:sz w:val="22"/>
          <w:szCs w:val="22"/>
        </w:rPr>
        <w:t xml:space="preserve"> for </w:t>
      </w:r>
      <w:r w:rsidR="374B4F36" w:rsidRPr="27F845C1">
        <w:rPr>
          <w:rFonts w:cs="Arial"/>
          <w:sz w:val="22"/>
          <w:szCs w:val="22"/>
        </w:rPr>
        <w:t>copper fumes</w:t>
      </w:r>
      <w:r w:rsidR="00F8023C">
        <w:rPr>
          <w:rFonts w:cs="Arial"/>
          <w:sz w:val="22"/>
          <w:szCs w:val="22"/>
        </w:rPr>
        <w:t xml:space="preserve"> (Option 1)</w:t>
      </w:r>
      <w:r w:rsidR="374B4F36" w:rsidRPr="27F845C1">
        <w:rPr>
          <w:rFonts w:cs="Arial"/>
          <w:sz w:val="22"/>
          <w:szCs w:val="22"/>
        </w:rPr>
        <w:t xml:space="preserve">. </w:t>
      </w:r>
    </w:p>
    <w:p w14:paraId="5AD749C0" w14:textId="7B5B1B78" w:rsidR="004D7155" w:rsidRPr="00917481" w:rsidRDefault="29C456C1" w:rsidP="001E0F11">
      <w:pPr>
        <w:pStyle w:val="NoSpacing"/>
        <w:spacing w:before="120" w:after="120"/>
        <w:rPr>
          <w:rFonts w:cs="Arial"/>
          <w:sz w:val="22"/>
          <w:szCs w:val="22"/>
        </w:rPr>
      </w:pPr>
      <w:r w:rsidRPr="27F845C1">
        <w:rPr>
          <w:rFonts w:cs="Arial"/>
          <w:sz w:val="22"/>
          <w:szCs w:val="22"/>
        </w:rPr>
        <w:t xml:space="preserve">These </w:t>
      </w:r>
      <w:r w:rsidRPr="4B297F30">
        <w:rPr>
          <w:rFonts w:cs="Arial"/>
          <w:sz w:val="22"/>
          <w:szCs w:val="22"/>
        </w:rPr>
        <w:t>s</w:t>
      </w:r>
      <w:r w:rsidR="27170435" w:rsidRPr="4B297F30">
        <w:rPr>
          <w:rFonts w:cs="Arial"/>
          <w:sz w:val="22"/>
          <w:szCs w:val="22"/>
        </w:rPr>
        <w:t>ubmissions</w:t>
      </w:r>
      <w:r w:rsidRPr="27F845C1">
        <w:rPr>
          <w:rFonts w:cs="Arial"/>
          <w:sz w:val="22"/>
          <w:szCs w:val="22"/>
        </w:rPr>
        <w:t xml:space="preserve"> </w:t>
      </w:r>
      <w:r w:rsidR="5DC03327" w:rsidRPr="27F845C1">
        <w:rPr>
          <w:rFonts w:cs="Arial"/>
          <w:sz w:val="22"/>
          <w:szCs w:val="22"/>
        </w:rPr>
        <w:t xml:space="preserve">were made by </w:t>
      </w:r>
      <w:r w:rsidRPr="27F845C1">
        <w:rPr>
          <w:rFonts w:cs="Arial"/>
          <w:sz w:val="22"/>
          <w:szCs w:val="22"/>
        </w:rPr>
        <w:t>WHS regulator</w:t>
      </w:r>
      <w:r w:rsidR="0562EE9F" w:rsidRPr="27F845C1">
        <w:rPr>
          <w:rFonts w:cs="Arial"/>
          <w:sz w:val="22"/>
          <w:szCs w:val="22"/>
        </w:rPr>
        <w:t>s</w:t>
      </w:r>
      <w:r w:rsidRPr="27F845C1">
        <w:rPr>
          <w:rFonts w:cs="Arial"/>
          <w:sz w:val="22"/>
          <w:szCs w:val="22"/>
        </w:rPr>
        <w:t>, industry representatives, academics</w:t>
      </w:r>
      <w:r w:rsidR="0C82786E" w:rsidRPr="27F845C1">
        <w:rPr>
          <w:rFonts w:cs="Arial"/>
          <w:sz w:val="22"/>
          <w:szCs w:val="22"/>
        </w:rPr>
        <w:t>,</w:t>
      </w:r>
      <w:r w:rsidRPr="27F845C1">
        <w:rPr>
          <w:rFonts w:cs="Arial"/>
          <w:sz w:val="22"/>
          <w:szCs w:val="22"/>
        </w:rPr>
        <w:t xml:space="preserve"> industry bodies</w:t>
      </w:r>
      <w:r w:rsidR="646EA926" w:rsidRPr="27F845C1">
        <w:rPr>
          <w:rFonts w:cs="Arial"/>
          <w:sz w:val="22"/>
          <w:szCs w:val="22"/>
        </w:rPr>
        <w:t xml:space="preserve"> and governments</w:t>
      </w:r>
      <w:r w:rsidRPr="27F845C1">
        <w:rPr>
          <w:rFonts w:cs="Arial"/>
          <w:sz w:val="22"/>
          <w:szCs w:val="22"/>
        </w:rPr>
        <w:t>. S</w:t>
      </w:r>
      <w:r w:rsidR="00D11BF0">
        <w:rPr>
          <w:rFonts w:cs="Arial"/>
          <w:sz w:val="22"/>
          <w:szCs w:val="22"/>
        </w:rPr>
        <w:t>takeholders who s</w:t>
      </w:r>
      <w:r w:rsidRPr="27F845C1">
        <w:rPr>
          <w:rFonts w:cs="Arial"/>
          <w:sz w:val="22"/>
          <w:szCs w:val="22"/>
        </w:rPr>
        <w:t>upport</w:t>
      </w:r>
      <w:r w:rsidR="00D11BF0">
        <w:rPr>
          <w:rFonts w:cs="Arial"/>
          <w:sz w:val="22"/>
          <w:szCs w:val="22"/>
        </w:rPr>
        <w:t>ed</w:t>
      </w:r>
      <w:r w:rsidRPr="27F845C1">
        <w:rPr>
          <w:rFonts w:cs="Arial"/>
          <w:sz w:val="22"/>
          <w:szCs w:val="22"/>
        </w:rPr>
        <w:t xml:space="preserve"> Option 1</w:t>
      </w:r>
      <w:r w:rsidR="00381C23">
        <w:rPr>
          <w:rFonts w:cs="Arial"/>
          <w:sz w:val="22"/>
          <w:szCs w:val="22"/>
        </w:rPr>
        <w:t xml:space="preserve"> noted their support was </w:t>
      </w:r>
      <w:r w:rsidRPr="27F845C1">
        <w:rPr>
          <w:rFonts w:cs="Arial"/>
          <w:sz w:val="22"/>
          <w:szCs w:val="22"/>
        </w:rPr>
        <w:t>based on</w:t>
      </w:r>
      <w:r w:rsidR="00E85CA0">
        <w:rPr>
          <w:rFonts w:cs="Arial"/>
          <w:sz w:val="22"/>
          <w:szCs w:val="22"/>
        </w:rPr>
        <w:t xml:space="preserve"> the view that</w:t>
      </w:r>
      <w:r w:rsidRPr="27F845C1">
        <w:rPr>
          <w:rFonts w:cs="Arial"/>
          <w:sz w:val="22"/>
          <w:szCs w:val="22"/>
        </w:rPr>
        <w:t>:</w:t>
      </w:r>
    </w:p>
    <w:p w14:paraId="103529FD" w14:textId="52989519" w:rsidR="004D7155" w:rsidRDefault="29C456C1" w:rsidP="00B57E6C">
      <w:pPr>
        <w:pStyle w:val="NoSpacing"/>
        <w:numPr>
          <w:ilvl w:val="0"/>
          <w:numId w:val="36"/>
        </w:numPr>
        <w:spacing w:before="120"/>
        <w:ind w:left="714" w:hanging="357"/>
        <w:rPr>
          <w:rFonts w:cs="Arial"/>
          <w:sz w:val="22"/>
          <w:szCs w:val="22"/>
        </w:rPr>
      </w:pPr>
      <w:r w:rsidRPr="27F845C1">
        <w:rPr>
          <w:rFonts w:cs="Arial"/>
          <w:sz w:val="22"/>
          <w:szCs w:val="22"/>
        </w:rPr>
        <w:t>the current WES</w:t>
      </w:r>
      <w:r w:rsidR="73959E2F" w:rsidRPr="27F845C1">
        <w:rPr>
          <w:rFonts w:cs="Arial"/>
          <w:sz w:val="22"/>
          <w:szCs w:val="22"/>
        </w:rPr>
        <w:t xml:space="preserve"> for copper dusts and mists and copper fumes</w:t>
      </w:r>
      <w:r w:rsidRPr="27F845C1">
        <w:rPr>
          <w:rFonts w:cs="Arial"/>
          <w:sz w:val="22"/>
          <w:szCs w:val="22"/>
        </w:rPr>
        <w:t xml:space="preserve"> provides adequate protection from the health effects caused by exposure to copper dust </w:t>
      </w:r>
      <w:r w:rsidR="13A10142" w:rsidRPr="27F845C1">
        <w:rPr>
          <w:rFonts w:cs="Arial"/>
          <w:sz w:val="22"/>
          <w:szCs w:val="22"/>
        </w:rPr>
        <w:t xml:space="preserve">and mists and copper </w:t>
      </w:r>
      <w:r w:rsidRPr="27F845C1">
        <w:rPr>
          <w:rFonts w:cs="Arial"/>
          <w:sz w:val="22"/>
          <w:szCs w:val="22"/>
        </w:rPr>
        <w:t>fumes</w:t>
      </w:r>
      <w:r w:rsidR="00D27065" w:rsidRPr="00AC7B89">
        <w:rPr>
          <w:rStyle w:val="FootnoteReference"/>
          <w:rFonts w:cs="Arial"/>
          <w:sz w:val="22"/>
          <w:szCs w:val="22"/>
        </w:rPr>
        <w:footnoteReference w:id="88"/>
      </w:r>
    </w:p>
    <w:p w14:paraId="7B6E685B" w14:textId="429CBF04" w:rsidR="00FA2782" w:rsidRPr="00917481" w:rsidRDefault="00FA2782" w:rsidP="00B57E6C">
      <w:pPr>
        <w:pStyle w:val="NoSpacing"/>
        <w:numPr>
          <w:ilvl w:val="0"/>
          <w:numId w:val="36"/>
        </w:numPr>
        <w:spacing w:before="120"/>
        <w:ind w:left="714" w:hanging="357"/>
        <w:rPr>
          <w:rFonts w:cs="Arial"/>
          <w:sz w:val="22"/>
          <w:szCs w:val="22"/>
        </w:rPr>
      </w:pPr>
      <w:r w:rsidRPr="00FA2782">
        <w:rPr>
          <w:rFonts w:cs="Arial"/>
          <w:sz w:val="22"/>
          <w:szCs w:val="22"/>
        </w:rPr>
        <w:t xml:space="preserve">the proposed WEL for </w:t>
      </w:r>
      <w:r w:rsidR="00D42845">
        <w:rPr>
          <w:rFonts w:cs="Arial"/>
          <w:sz w:val="22"/>
          <w:szCs w:val="22"/>
        </w:rPr>
        <w:t>copper</w:t>
      </w:r>
      <w:r w:rsidRPr="00FA2782">
        <w:rPr>
          <w:rFonts w:cs="Arial"/>
          <w:sz w:val="22"/>
          <w:szCs w:val="22"/>
        </w:rPr>
        <w:t xml:space="preserve"> is not supported by health burden data</w:t>
      </w:r>
      <w:r w:rsidR="00F34D0D">
        <w:rPr>
          <w:rStyle w:val="FootnoteReference"/>
          <w:rFonts w:cs="Arial"/>
          <w:sz w:val="22"/>
          <w:szCs w:val="22"/>
        </w:rPr>
        <w:footnoteReference w:id="89"/>
      </w:r>
    </w:p>
    <w:p w14:paraId="62987D37" w14:textId="1258DB9D" w:rsidR="004D7155" w:rsidRPr="00917481" w:rsidRDefault="29C456C1" w:rsidP="27F845C1">
      <w:pPr>
        <w:pStyle w:val="NoSpacing"/>
        <w:numPr>
          <w:ilvl w:val="0"/>
          <w:numId w:val="36"/>
        </w:numPr>
        <w:spacing w:before="120"/>
        <w:ind w:left="714" w:hanging="357"/>
        <w:rPr>
          <w:rFonts w:eastAsiaTheme="majorEastAsia" w:cs="Arial"/>
          <w:sz w:val="22"/>
          <w:szCs w:val="22"/>
        </w:rPr>
      </w:pPr>
      <w:r w:rsidRPr="27F845C1">
        <w:rPr>
          <w:rFonts w:eastAsiaTheme="majorEastAsia" w:cs="Arial"/>
          <w:sz w:val="22"/>
          <w:szCs w:val="22"/>
        </w:rPr>
        <w:lastRenderedPageBreak/>
        <w:t xml:space="preserve">copper </w:t>
      </w:r>
      <w:r w:rsidR="13A10142" w:rsidRPr="27F845C1">
        <w:rPr>
          <w:rFonts w:eastAsiaTheme="majorEastAsia" w:cs="Arial"/>
          <w:sz w:val="22"/>
          <w:szCs w:val="22"/>
        </w:rPr>
        <w:t>dusts and mists and copper fumes</w:t>
      </w:r>
      <w:r w:rsidRPr="27F845C1">
        <w:rPr>
          <w:rFonts w:eastAsiaTheme="majorEastAsia" w:cs="Arial"/>
          <w:sz w:val="22"/>
          <w:szCs w:val="22"/>
        </w:rPr>
        <w:t xml:space="preserve"> are two different size fractions and should not be combined into a singular WES</w:t>
      </w:r>
      <w:r w:rsidR="00485F22" w:rsidRPr="00AC7B89">
        <w:rPr>
          <w:rStyle w:val="FootnoteReference"/>
          <w:rFonts w:eastAsiaTheme="majorEastAsia" w:cs="Arial"/>
          <w:sz w:val="22"/>
          <w:szCs w:val="22"/>
        </w:rPr>
        <w:footnoteReference w:id="90"/>
      </w:r>
    </w:p>
    <w:p w14:paraId="210C818C" w14:textId="274F4177" w:rsidR="004D7155" w:rsidRDefault="004D7155" w:rsidP="00B57E6C">
      <w:pPr>
        <w:pStyle w:val="NoSpacing"/>
        <w:numPr>
          <w:ilvl w:val="0"/>
          <w:numId w:val="36"/>
        </w:numPr>
        <w:spacing w:before="120"/>
        <w:ind w:left="709" w:hanging="357"/>
        <w:rPr>
          <w:rFonts w:eastAsiaTheme="majorEastAsia" w:cs="Arial"/>
          <w:sz w:val="22"/>
          <w:szCs w:val="28"/>
        </w:rPr>
      </w:pPr>
      <w:r w:rsidRPr="00917481">
        <w:rPr>
          <w:rFonts w:cs="Arial"/>
          <w:sz w:val="22"/>
          <w:szCs w:val="28"/>
        </w:rPr>
        <w:t>the proposed WEL seems impractical to measure reliably</w:t>
      </w:r>
      <w:r w:rsidR="00547018" w:rsidRPr="00AC7B89">
        <w:rPr>
          <w:rStyle w:val="FootnoteReference"/>
          <w:rFonts w:cs="Arial"/>
          <w:sz w:val="22"/>
          <w:szCs w:val="28"/>
        </w:rPr>
        <w:footnoteReference w:id="91"/>
      </w:r>
    </w:p>
    <w:p w14:paraId="33A3ECC8" w14:textId="268F2A21" w:rsidR="00E62A4D" w:rsidRDefault="00E62A4D" w:rsidP="00B57E6C">
      <w:pPr>
        <w:pStyle w:val="NoSpacing"/>
        <w:numPr>
          <w:ilvl w:val="0"/>
          <w:numId w:val="36"/>
        </w:numPr>
        <w:spacing w:before="120"/>
        <w:ind w:left="709" w:hanging="357"/>
        <w:rPr>
          <w:rFonts w:eastAsiaTheme="majorEastAsia" w:cs="Arial"/>
          <w:sz w:val="22"/>
          <w:szCs w:val="28"/>
        </w:rPr>
      </w:pPr>
      <w:r>
        <w:rPr>
          <w:rFonts w:eastAsiaTheme="majorEastAsia" w:cs="Arial"/>
          <w:sz w:val="22"/>
          <w:szCs w:val="28"/>
        </w:rPr>
        <w:t>the proposed WEL is not consistent with international limits</w:t>
      </w:r>
      <w:r>
        <w:rPr>
          <w:rStyle w:val="FootnoteReference"/>
          <w:rFonts w:eastAsiaTheme="majorEastAsia" w:cs="Arial"/>
          <w:sz w:val="22"/>
          <w:szCs w:val="28"/>
        </w:rPr>
        <w:footnoteReference w:id="92"/>
      </w:r>
    </w:p>
    <w:p w14:paraId="6B3922BC" w14:textId="60553089" w:rsidR="00E62A4D" w:rsidRPr="00917481" w:rsidRDefault="00D47240" w:rsidP="00B57E6C">
      <w:pPr>
        <w:pStyle w:val="NoSpacing"/>
        <w:numPr>
          <w:ilvl w:val="0"/>
          <w:numId w:val="36"/>
        </w:numPr>
        <w:spacing w:before="120"/>
        <w:ind w:left="709" w:hanging="357"/>
        <w:rPr>
          <w:rFonts w:eastAsiaTheme="majorEastAsia" w:cs="Arial"/>
          <w:sz w:val="22"/>
          <w:szCs w:val="28"/>
        </w:rPr>
      </w:pPr>
      <w:r w:rsidRPr="00D47240">
        <w:rPr>
          <w:rFonts w:eastAsiaTheme="majorEastAsia" w:cs="Arial"/>
          <w:sz w:val="22"/>
          <w:szCs w:val="28"/>
        </w:rPr>
        <w:t xml:space="preserve">the preliminary </w:t>
      </w:r>
      <w:r w:rsidR="00CE116F">
        <w:rPr>
          <w:rFonts w:eastAsiaTheme="majorEastAsia" w:cs="Arial"/>
          <w:sz w:val="22"/>
          <w:szCs w:val="28"/>
        </w:rPr>
        <w:t>estimates</w:t>
      </w:r>
      <w:r w:rsidR="00FD0AEA">
        <w:rPr>
          <w:rFonts w:eastAsiaTheme="majorEastAsia" w:cs="Arial"/>
          <w:sz w:val="22"/>
          <w:szCs w:val="28"/>
        </w:rPr>
        <w:t>, by Nous Group,</w:t>
      </w:r>
      <w:r w:rsidR="00CE116F">
        <w:rPr>
          <w:rFonts w:eastAsiaTheme="majorEastAsia" w:cs="Arial"/>
          <w:sz w:val="22"/>
          <w:szCs w:val="28"/>
        </w:rPr>
        <w:t xml:space="preserve"> of </w:t>
      </w:r>
      <w:r w:rsidR="00FD0AEA">
        <w:rPr>
          <w:rFonts w:eastAsiaTheme="majorEastAsia" w:cs="Arial"/>
          <w:sz w:val="22"/>
          <w:szCs w:val="28"/>
        </w:rPr>
        <w:t xml:space="preserve">the </w:t>
      </w:r>
      <w:r w:rsidRPr="00D47240">
        <w:rPr>
          <w:rFonts w:eastAsiaTheme="majorEastAsia" w:cs="Arial"/>
          <w:sz w:val="22"/>
          <w:szCs w:val="28"/>
        </w:rPr>
        <w:t>cost</w:t>
      </w:r>
      <w:r w:rsidR="00CE116F">
        <w:rPr>
          <w:rFonts w:eastAsiaTheme="majorEastAsia" w:cs="Arial"/>
          <w:sz w:val="22"/>
          <w:szCs w:val="28"/>
        </w:rPr>
        <w:t xml:space="preserve">s and </w:t>
      </w:r>
      <w:r w:rsidRPr="00D47240">
        <w:rPr>
          <w:rFonts w:eastAsiaTheme="majorEastAsia" w:cs="Arial"/>
          <w:sz w:val="22"/>
          <w:szCs w:val="28"/>
        </w:rPr>
        <w:t>benefit</w:t>
      </w:r>
      <w:r w:rsidR="00CE116F">
        <w:rPr>
          <w:rFonts w:eastAsiaTheme="majorEastAsia" w:cs="Arial"/>
          <w:sz w:val="22"/>
          <w:szCs w:val="28"/>
        </w:rPr>
        <w:t>s</w:t>
      </w:r>
      <w:r w:rsidRPr="00D47240">
        <w:rPr>
          <w:rFonts w:eastAsiaTheme="majorEastAsia" w:cs="Arial"/>
          <w:sz w:val="22"/>
          <w:szCs w:val="28"/>
        </w:rPr>
        <w:t xml:space="preserve"> for </w:t>
      </w:r>
      <w:r w:rsidR="004C0DB9">
        <w:rPr>
          <w:rFonts w:eastAsiaTheme="majorEastAsia" w:cs="Arial"/>
          <w:sz w:val="22"/>
          <w:szCs w:val="28"/>
        </w:rPr>
        <w:t>copper</w:t>
      </w:r>
      <w:r w:rsidR="00FD0AEA">
        <w:rPr>
          <w:rFonts w:eastAsiaTheme="majorEastAsia" w:cs="Arial"/>
          <w:sz w:val="22"/>
          <w:szCs w:val="28"/>
        </w:rPr>
        <w:t>, which suggest the</w:t>
      </w:r>
      <w:r w:rsidRPr="00D47240">
        <w:rPr>
          <w:rFonts w:eastAsiaTheme="majorEastAsia" w:cs="Arial"/>
          <w:sz w:val="22"/>
          <w:szCs w:val="28"/>
        </w:rPr>
        <w:t xml:space="preserve"> estimated costs for Option 2 were higher than the estimated benefits</w:t>
      </w:r>
      <w:r w:rsidRPr="00AC7B89">
        <w:rPr>
          <w:rStyle w:val="FootnoteReference"/>
          <w:rFonts w:eastAsiaTheme="majorEastAsia" w:cs="Arial"/>
          <w:sz w:val="22"/>
          <w:szCs w:val="28"/>
        </w:rPr>
        <w:footnoteReference w:id="93"/>
      </w:r>
    </w:p>
    <w:p w14:paraId="6307561C" w14:textId="438F8D3D" w:rsidR="004D7155" w:rsidRPr="002F45BE" w:rsidRDefault="005133DD" w:rsidP="00B57E6C">
      <w:pPr>
        <w:pStyle w:val="NoSpacing"/>
        <w:numPr>
          <w:ilvl w:val="0"/>
          <w:numId w:val="36"/>
        </w:numPr>
        <w:spacing w:before="120" w:after="120"/>
        <w:ind w:left="714" w:hanging="357"/>
        <w:rPr>
          <w:rFonts w:cs="Arial"/>
          <w:sz w:val="22"/>
          <w:szCs w:val="28"/>
        </w:rPr>
      </w:pPr>
      <w:r>
        <w:rPr>
          <w:rFonts w:eastAsiaTheme="majorEastAsia" w:cs="Arial"/>
          <w:sz w:val="22"/>
          <w:szCs w:val="28"/>
        </w:rPr>
        <w:t>the</w:t>
      </w:r>
      <w:r w:rsidR="004D7155" w:rsidRPr="00917481">
        <w:rPr>
          <w:rFonts w:eastAsiaTheme="majorEastAsia" w:cs="Arial"/>
          <w:sz w:val="22"/>
          <w:szCs w:val="28"/>
        </w:rPr>
        <w:t xml:space="preserve"> practical and feasibility issues such as measurement, compliance and costs</w:t>
      </w:r>
      <w:r w:rsidR="00AD7AE3" w:rsidRPr="00AC7B89">
        <w:rPr>
          <w:rStyle w:val="FootnoteReference"/>
          <w:rFonts w:eastAsiaTheme="majorEastAsia" w:cs="Arial"/>
          <w:sz w:val="22"/>
          <w:szCs w:val="28"/>
        </w:rPr>
        <w:footnoteReference w:id="94"/>
      </w:r>
      <w:r w:rsidR="004D7155" w:rsidRPr="00917481">
        <w:rPr>
          <w:rFonts w:eastAsiaTheme="majorEastAsia" w:cs="Arial"/>
          <w:sz w:val="22"/>
          <w:szCs w:val="28"/>
        </w:rPr>
        <w:t xml:space="preserve">. </w:t>
      </w:r>
    </w:p>
    <w:p w14:paraId="26D4731A" w14:textId="6808E563" w:rsidR="004D7155" w:rsidRDefault="002D5D99" w:rsidP="004D7155">
      <w:pPr>
        <w:pStyle w:val="NoSpacing"/>
        <w:spacing w:after="240"/>
        <w:rPr>
          <w:rFonts w:cs="Arial"/>
          <w:sz w:val="22"/>
          <w:szCs w:val="28"/>
        </w:rPr>
      </w:pPr>
      <w:r w:rsidRPr="00917481">
        <w:rPr>
          <w:rFonts w:cs="Arial"/>
          <w:sz w:val="22"/>
          <w:szCs w:val="28"/>
        </w:rPr>
        <w:t>T</w:t>
      </w:r>
      <w:r w:rsidR="001E5044">
        <w:rPr>
          <w:rFonts w:cs="Arial"/>
          <w:sz w:val="22"/>
          <w:szCs w:val="28"/>
        </w:rPr>
        <w:t>hree</w:t>
      </w:r>
      <w:r w:rsidR="004D7155" w:rsidRPr="00917481">
        <w:rPr>
          <w:rFonts w:cs="Arial"/>
          <w:sz w:val="22"/>
          <w:szCs w:val="28"/>
        </w:rPr>
        <w:t xml:space="preserve"> submissions did not provide a </w:t>
      </w:r>
      <w:r w:rsidR="008703C4">
        <w:rPr>
          <w:rFonts w:cs="Arial"/>
          <w:sz w:val="22"/>
          <w:szCs w:val="28"/>
        </w:rPr>
        <w:t>preferred option</w:t>
      </w:r>
      <w:r w:rsidR="008614BB">
        <w:rPr>
          <w:rStyle w:val="FootnoteReference"/>
          <w:rFonts w:cs="Arial"/>
          <w:sz w:val="22"/>
          <w:szCs w:val="28"/>
        </w:rPr>
        <w:footnoteReference w:id="95"/>
      </w:r>
      <w:r w:rsidR="004D7155" w:rsidRPr="00917481">
        <w:rPr>
          <w:rFonts w:cs="Arial"/>
          <w:sz w:val="22"/>
          <w:szCs w:val="28"/>
        </w:rPr>
        <w:t>.</w:t>
      </w:r>
      <w:r w:rsidR="00F76F6F" w:rsidDel="0008124A">
        <w:rPr>
          <w:rFonts w:cs="Arial"/>
          <w:sz w:val="22"/>
          <w:szCs w:val="28"/>
        </w:rPr>
        <w:t xml:space="preserve"> </w:t>
      </w:r>
      <w:r w:rsidR="00404D2C">
        <w:rPr>
          <w:rFonts w:cs="Arial"/>
          <w:sz w:val="22"/>
          <w:szCs w:val="28"/>
        </w:rPr>
        <w:t xml:space="preserve"> </w:t>
      </w:r>
    </w:p>
    <w:p w14:paraId="5D99B26D" w14:textId="1B8FE714" w:rsidR="00717E48" w:rsidRDefault="00717E48" w:rsidP="00AE5D4B">
      <w:pPr>
        <w:pStyle w:val="SWAHeading3"/>
        <w:keepNext/>
        <w:keepLines/>
      </w:pPr>
      <w:r>
        <w:t>Alternative WELs suggested by stakeholders</w:t>
      </w:r>
    </w:p>
    <w:p w14:paraId="11E074F6" w14:textId="1A382968" w:rsidR="00376B2F" w:rsidRDefault="00CB18CC" w:rsidP="00AE5D4B">
      <w:pPr>
        <w:pStyle w:val="Paragraph"/>
        <w:keepLines/>
        <w:rPr>
          <w:lang w:eastAsia="en-US"/>
        </w:rPr>
      </w:pPr>
      <w:r w:rsidRPr="00CB18CC">
        <w:rPr>
          <w:lang w:eastAsia="en-US"/>
        </w:rPr>
        <w:t xml:space="preserve">Some stakeholders put forward alternative exposure limits in their submissions for </w:t>
      </w:r>
      <w:r>
        <w:rPr>
          <w:lang w:eastAsia="en-US"/>
        </w:rPr>
        <w:t>copper</w:t>
      </w:r>
      <w:r w:rsidRPr="00CB18CC">
        <w:rPr>
          <w:lang w:eastAsia="en-US"/>
        </w:rPr>
        <w:t xml:space="preserve">. </w:t>
      </w:r>
      <w:r w:rsidR="005142FF">
        <w:rPr>
          <w:lang w:eastAsia="en-US"/>
        </w:rPr>
        <w:t>These were considered against the criteria contained within the WES review methodology agreed by WHS ministers</w:t>
      </w:r>
      <w:r w:rsidR="00271083">
        <w:rPr>
          <w:lang w:eastAsia="en-US"/>
        </w:rPr>
        <w:t>.</w:t>
      </w:r>
      <w:r w:rsidR="005142FF" w:rsidRPr="00CB18CC" w:rsidDel="005142FF">
        <w:rPr>
          <w:lang w:eastAsia="en-US"/>
        </w:rPr>
        <w:t xml:space="preserve"> </w:t>
      </w:r>
    </w:p>
    <w:p w14:paraId="70E2E0EB" w14:textId="1AC1A4EA" w:rsidR="00717E48" w:rsidRDefault="00CB18CC" w:rsidP="00AE5D4B">
      <w:pPr>
        <w:pStyle w:val="Paragraph"/>
        <w:keepLines/>
        <w:rPr>
          <w:lang w:eastAsia="en-US"/>
        </w:rPr>
      </w:pPr>
      <w:r>
        <w:rPr>
          <w:lang w:eastAsia="en-US"/>
        </w:rPr>
        <w:t>Two alternative WELs were suggested:</w:t>
      </w:r>
    </w:p>
    <w:p w14:paraId="38A3FC0D" w14:textId="6CF0D1A1" w:rsidR="00CB18CC" w:rsidRDefault="00CB18CC" w:rsidP="00B64384">
      <w:pPr>
        <w:pStyle w:val="Paragraph"/>
        <w:keepNext w:val="0"/>
        <w:numPr>
          <w:ilvl w:val="0"/>
          <w:numId w:val="164"/>
        </w:numPr>
        <w:ind w:left="714" w:hanging="357"/>
        <w:rPr>
          <w:lang w:eastAsia="en-US"/>
        </w:rPr>
      </w:pPr>
      <w:r>
        <w:rPr>
          <w:lang w:eastAsia="en-US"/>
        </w:rPr>
        <w:t xml:space="preserve">a TWA of </w:t>
      </w:r>
      <w:r w:rsidR="00A97CF0">
        <w:rPr>
          <w:lang w:eastAsia="en-US"/>
        </w:rPr>
        <w:t>0.192 mg/m</w:t>
      </w:r>
      <w:r w:rsidR="00A97CF0" w:rsidRPr="00033CFC">
        <w:rPr>
          <w:vertAlign w:val="superscript"/>
          <w:lang w:eastAsia="en-US"/>
        </w:rPr>
        <w:t>3</w:t>
      </w:r>
      <w:r w:rsidR="00A97CF0">
        <w:rPr>
          <w:lang w:eastAsia="en-US"/>
        </w:rPr>
        <w:t xml:space="preserve"> for copper dust</w:t>
      </w:r>
      <w:r w:rsidR="007B7460">
        <w:rPr>
          <w:lang w:eastAsia="en-US"/>
        </w:rPr>
        <w:t xml:space="preserve"> (respirable)</w:t>
      </w:r>
      <w:r w:rsidR="00D9304C">
        <w:rPr>
          <w:lang w:eastAsia="en-US"/>
        </w:rPr>
        <w:t>, on the basis</w:t>
      </w:r>
      <w:r w:rsidR="007B7460">
        <w:rPr>
          <w:lang w:eastAsia="en-US"/>
        </w:rPr>
        <w:t xml:space="preserve"> that </w:t>
      </w:r>
      <w:r w:rsidR="0047233E">
        <w:rPr>
          <w:lang w:eastAsia="en-US"/>
        </w:rPr>
        <w:t>self-commissioned</w:t>
      </w:r>
      <w:r w:rsidR="007B7460">
        <w:rPr>
          <w:lang w:eastAsia="en-US"/>
        </w:rPr>
        <w:t xml:space="preserve"> </w:t>
      </w:r>
      <w:r w:rsidR="00A34BF0">
        <w:rPr>
          <w:lang w:eastAsia="en-US"/>
        </w:rPr>
        <w:t xml:space="preserve">studies showed the </w:t>
      </w:r>
      <w:r w:rsidR="007B7460">
        <w:rPr>
          <w:lang w:eastAsia="en-US"/>
        </w:rPr>
        <w:t>current WES for copper dust is protective of workers, but</w:t>
      </w:r>
      <w:r w:rsidR="00D9304C">
        <w:rPr>
          <w:lang w:eastAsia="en-US"/>
        </w:rPr>
        <w:t xml:space="preserve"> “high quality rodent data”</w:t>
      </w:r>
      <w:r w:rsidR="001E7396">
        <w:rPr>
          <w:lang w:eastAsia="en-US"/>
        </w:rPr>
        <w:t xml:space="preserve"> </w:t>
      </w:r>
      <w:r w:rsidR="00A34BF0">
        <w:rPr>
          <w:lang w:eastAsia="en-US"/>
        </w:rPr>
        <w:t xml:space="preserve">also </w:t>
      </w:r>
      <w:r w:rsidR="001E7396">
        <w:rPr>
          <w:lang w:eastAsia="en-US"/>
        </w:rPr>
        <w:t>support the alternative WEL</w:t>
      </w:r>
      <w:r w:rsidR="00A34BF0">
        <w:rPr>
          <w:rStyle w:val="FootnoteReference"/>
          <w:lang w:eastAsia="en-US"/>
        </w:rPr>
        <w:footnoteReference w:id="96"/>
      </w:r>
    </w:p>
    <w:p w14:paraId="0700E270" w14:textId="2F8EF34D" w:rsidR="002C2DD9" w:rsidRDefault="002C2DD9" w:rsidP="00B64384">
      <w:pPr>
        <w:pStyle w:val="Paragraph"/>
        <w:keepNext w:val="0"/>
        <w:numPr>
          <w:ilvl w:val="1"/>
          <w:numId w:val="164"/>
        </w:numPr>
        <w:ind w:left="1434" w:hanging="357"/>
        <w:rPr>
          <w:lang w:eastAsia="en-US"/>
        </w:rPr>
      </w:pPr>
      <w:r>
        <w:rPr>
          <w:lang w:eastAsia="en-US"/>
        </w:rPr>
        <w:t xml:space="preserve">The </w:t>
      </w:r>
      <w:r w:rsidR="00113906">
        <w:rPr>
          <w:lang w:eastAsia="en-US"/>
        </w:rPr>
        <w:t xml:space="preserve">self-commissioned </w:t>
      </w:r>
      <w:r>
        <w:rPr>
          <w:lang w:eastAsia="en-US"/>
        </w:rPr>
        <w:t>stud</w:t>
      </w:r>
      <w:r w:rsidR="00113906">
        <w:rPr>
          <w:lang w:eastAsia="en-US"/>
        </w:rPr>
        <w:t>ies</w:t>
      </w:r>
      <w:r>
        <w:rPr>
          <w:lang w:eastAsia="en-US"/>
        </w:rPr>
        <w:t xml:space="preserve"> </w:t>
      </w:r>
      <w:r w:rsidR="0047233E">
        <w:rPr>
          <w:lang w:eastAsia="en-US"/>
        </w:rPr>
        <w:t>only addressed expos</w:t>
      </w:r>
      <w:r w:rsidR="00113906">
        <w:rPr>
          <w:lang w:eastAsia="en-US"/>
        </w:rPr>
        <w:t>u</w:t>
      </w:r>
      <w:r w:rsidR="0047233E">
        <w:rPr>
          <w:lang w:eastAsia="en-US"/>
        </w:rPr>
        <w:t>r</w:t>
      </w:r>
      <w:r w:rsidR="00113906">
        <w:rPr>
          <w:lang w:eastAsia="en-US"/>
        </w:rPr>
        <w:t xml:space="preserve">e </w:t>
      </w:r>
      <w:r w:rsidR="00113906">
        <w:t xml:space="preserve">to copper dust and did not address copper fume exposures. </w:t>
      </w:r>
      <w:r w:rsidR="00455D96">
        <w:t>The studies did not</w:t>
      </w:r>
      <w:r w:rsidR="00113906">
        <w:t xml:space="preserve"> demonstrate the current WES for copper fumes is protective of workers and that the proposed WEL is over-protective.</w:t>
      </w:r>
    </w:p>
    <w:p w14:paraId="6D27A2B5" w14:textId="5549A382" w:rsidR="00A97CF0" w:rsidRDefault="00504EA4" w:rsidP="00B64384">
      <w:pPr>
        <w:pStyle w:val="Paragraph"/>
        <w:keepNext w:val="0"/>
        <w:numPr>
          <w:ilvl w:val="0"/>
          <w:numId w:val="164"/>
        </w:numPr>
        <w:ind w:left="714" w:hanging="357"/>
        <w:rPr>
          <w:lang w:eastAsia="en-US"/>
        </w:rPr>
      </w:pPr>
      <w:r>
        <w:rPr>
          <w:lang w:eastAsia="en-US"/>
        </w:rPr>
        <w:t>a T</w:t>
      </w:r>
      <w:r w:rsidR="004A1B52">
        <w:rPr>
          <w:lang w:eastAsia="en-US"/>
        </w:rPr>
        <w:t>WA of 0.05 mg/m</w:t>
      </w:r>
      <w:r w:rsidR="004A1B52" w:rsidRPr="00033CFC">
        <w:rPr>
          <w:vertAlign w:val="superscript"/>
          <w:lang w:eastAsia="en-US"/>
        </w:rPr>
        <w:t>3</w:t>
      </w:r>
      <w:r w:rsidR="004A1B52">
        <w:rPr>
          <w:lang w:eastAsia="en-US"/>
        </w:rPr>
        <w:t xml:space="preserve"> for copper </w:t>
      </w:r>
      <w:r w:rsidR="00861E7E">
        <w:rPr>
          <w:lang w:eastAsia="en-US"/>
        </w:rPr>
        <w:t xml:space="preserve">fumes </w:t>
      </w:r>
      <w:r w:rsidR="004A1B52">
        <w:rPr>
          <w:lang w:eastAsia="en-US"/>
        </w:rPr>
        <w:t xml:space="preserve">(respirable) and </w:t>
      </w:r>
      <w:r w:rsidR="00861E7E">
        <w:rPr>
          <w:lang w:eastAsia="en-US"/>
        </w:rPr>
        <w:t>TWA of 0.1 mg/m</w:t>
      </w:r>
      <w:r w:rsidR="00861E7E" w:rsidRPr="00033CFC">
        <w:rPr>
          <w:vertAlign w:val="superscript"/>
          <w:lang w:eastAsia="en-US"/>
        </w:rPr>
        <w:t>3</w:t>
      </w:r>
      <w:r w:rsidR="00861E7E">
        <w:rPr>
          <w:lang w:eastAsia="en-US"/>
        </w:rPr>
        <w:t xml:space="preserve"> </w:t>
      </w:r>
      <w:r w:rsidR="00D444E6">
        <w:rPr>
          <w:lang w:eastAsia="en-US"/>
        </w:rPr>
        <w:t>f</w:t>
      </w:r>
      <w:r w:rsidR="00861E7E">
        <w:rPr>
          <w:lang w:eastAsia="en-US"/>
        </w:rPr>
        <w:t xml:space="preserve">or copper dusts &amp; mists (inhalable), </w:t>
      </w:r>
      <w:r w:rsidR="001A3E4C">
        <w:rPr>
          <w:lang w:eastAsia="en-US"/>
        </w:rPr>
        <w:t>based on</w:t>
      </w:r>
      <w:r w:rsidR="00861E7E">
        <w:rPr>
          <w:lang w:eastAsia="en-US"/>
        </w:rPr>
        <w:t xml:space="preserve"> </w:t>
      </w:r>
      <w:r w:rsidR="004B5A6F">
        <w:rPr>
          <w:lang w:eastAsia="en-US"/>
        </w:rPr>
        <w:t xml:space="preserve">a recommendation made by the </w:t>
      </w:r>
      <w:r w:rsidR="00513B59">
        <w:rPr>
          <w:lang w:eastAsia="en-US"/>
        </w:rPr>
        <w:t>Australian Institute of Occupational Hygienists (AIOH)</w:t>
      </w:r>
      <w:r w:rsidR="00861E7E">
        <w:rPr>
          <w:lang w:eastAsia="en-US"/>
        </w:rPr>
        <w:t xml:space="preserve"> </w:t>
      </w:r>
      <w:r w:rsidR="00502A9F">
        <w:rPr>
          <w:lang w:eastAsia="en-US"/>
        </w:rPr>
        <w:t xml:space="preserve">in their </w:t>
      </w:r>
      <w:r w:rsidR="001A3E4C">
        <w:rPr>
          <w:lang w:eastAsia="en-US"/>
        </w:rPr>
        <w:t xml:space="preserve">2019 - 2021 WES </w:t>
      </w:r>
      <w:r w:rsidR="00C83F83">
        <w:rPr>
          <w:lang w:eastAsia="en-US"/>
        </w:rPr>
        <w:t>r</w:t>
      </w:r>
      <w:r w:rsidR="001A3E4C">
        <w:rPr>
          <w:lang w:eastAsia="en-US"/>
        </w:rPr>
        <w:t xml:space="preserve">eview public consultation </w:t>
      </w:r>
      <w:r w:rsidR="00502A9F">
        <w:rPr>
          <w:lang w:eastAsia="en-US"/>
        </w:rPr>
        <w:t>submission</w:t>
      </w:r>
      <w:r w:rsidR="004B5A6F">
        <w:rPr>
          <w:lang w:eastAsia="en-US"/>
        </w:rPr>
        <w:t xml:space="preserve"> for copper</w:t>
      </w:r>
      <w:r w:rsidR="00344317">
        <w:rPr>
          <w:rStyle w:val="FootnoteReference"/>
          <w:lang w:eastAsia="en-US"/>
        </w:rPr>
        <w:footnoteReference w:id="97"/>
      </w:r>
      <w:r w:rsidR="00502A9F">
        <w:rPr>
          <w:lang w:eastAsia="en-US"/>
        </w:rPr>
        <w:t xml:space="preserve">. </w:t>
      </w:r>
    </w:p>
    <w:p w14:paraId="2E19604E" w14:textId="2AB5E5A2" w:rsidR="00455D96" w:rsidRPr="00033CFC" w:rsidRDefault="005078B2" w:rsidP="00B64384">
      <w:pPr>
        <w:pStyle w:val="Paragraph"/>
        <w:keepNext w:val="0"/>
        <w:numPr>
          <w:ilvl w:val="1"/>
          <w:numId w:val="164"/>
        </w:numPr>
        <w:ind w:left="1434" w:hanging="357"/>
        <w:rPr>
          <w:lang w:eastAsia="en-US"/>
        </w:rPr>
      </w:pPr>
      <w:r>
        <w:t xml:space="preserve">Safe Work Australia Members </w:t>
      </w:r>
      <w:r w:rsidR="00C6082A">
        <w:t xml:space="preserve">considered </w:t>
      </w:r>
      <w:r w:rsidR="00B31D7F">
        <w:t xml:space="preserve">all public submissions to the 2019-21 </w:t>
      </w:r>
      <w:r w:rsidR="00C6082A">
        <w:t>WES review public consultation period</w:t>
      </w:r>
      <w:r w:rsidR="00F93667">
        <w:t>, including AIOH’s recommendation, as well as the evaluation report for copper</w:t>
      </w:r>
      <w:r w:rsidR="00E822F1">
        <w:t xml:space="preserve">. </w:t>
      </w:r>
      <w:r w:rsidR="00F93667">
        <w:t>Safe Work Australia Members</w:t>
      </w:r>
      <w:r w:rsidRPr="00945B4B">
        <w:t xml:space="preserve"> agreed to the proposed health-based limit instead. </w:t>
      </w:r>
      <w:r>
        <w:t>No new evidence was provided to support further consideration of AIOH’s recommendation.</w:t>
      </w:r>
    </w:p>
    <w:p w14:paraId="104E28F7" w14:textId="6DC88499" w:rsidR="0058483A" w:rsidRDefault="00EB1C46" w:rsidP="00B64384">
      <w:pPr>
        <w:pStyle w:val="SWAHeading3"/>
        <w:keepNext/>
      </w:pPr>
      <w:r>
        <w:lastRenderedPageBreak/>
        <w:t>Considerations for</w:t>
      </w:r>
      <w:r w:rsidR="0058483A">
        <w:t xml:space="preserve"> the proposed WEL for copper</w:t>
      </w:r>
    </w:p>
    <w:p w14:paraId="0F374787" w14:textId="4549B96C" w:rsidR="000A63CF" w:rsidRPr="005757E6" w:rsidRDefault="00430EB8" w:rsidP="00B64384">
      <w:pPr>
        <w:pStyle w:val="NoSpacing"/>
        <w:keepNext/>
        <w:spacing w:after="120"/>
        <w:rPr>
          <w:sz w:val="22"/>
          <w:szCs w:val="22"/>
        </w:rPr>
      </w:pPr>
      <w:r>
        <w:rPr>
          <w:sz w:val="22"/>
          <w:szCs w:val="22"/>
        </w:rPr>
        <w:t>S</w:t>
      </w:r>
      <w:r w:rsidR="000A63CF" w:rsidRPr="000A63CF">
        <w:rPr>
          <w:sz w:val="22"/>
          <w:szCs w:val="22"/>
        </w:rPr>
        <w:t xml:space="preserve">takeholders were asked about challenges they expect their industry, business or PCBU </w:t>
      </w:r>
      <w:r w:rsidR="00705EC5" w:rsidRPr="000A63CF">
        <w:rPr>
          <w:sz w:val="22"/>
          <w:szCs w:val="22"/>
        </w:rPr>
        <w:t xml:space="preserve">would </w:t>
      </w:r>
      <w:r w:rsidR="000A63CF" w:rsidRPr="000A63CF">
        <w:rPr>
          <w:sz w:val="22"/>
          <w:szCs w:val="22"/>
        </w:rPr>
        <w:t xml:space="preserve">encounter if the proposed WEL was implemented. </w:t>
      </w:r>
      <w:r>
        <w:rPr>
          <w:sz w:val="22"/>
          <w:szCs w:val="22"/>
        </w:rPr>
        <w:t>Measurability</w:t>
      </w:r>
      <w:r w:rsidR="00A944CA">
        <w:rPr>
          <w:sz w:val="22"/>
          <w:szCs w:val="22"/>
        </w:rPr>
        <w:t>, the additional risks from the introduction of personal protective equipment (PPE)</w:t>
      </w:r>
      <w:r w:rsidR="00B35DB1">
        <w:rPr>
          <w:sz w:val="22"/>
          <w:szCs w:val="22"/>
        </w:rPr>
        <w:t xml:space="preserve">, interactions with the WEL for lead and broader impacts on international competitiveness were raised by stakeholders. </w:t>
      </w:r>
    </w:p>
    <w:p w14:paraId="1C0F3769" w14:textId="20B69C27" w:rsidR="00351ABF" w:rsidRPr="003F14D2" w:rsidRDefault="00351ABF" w:rsidP="00033CFC">
      <w:pPr>
        <w:pStyle w:val="SWAHeading4"/>
      </w:pPr>
      <w:r>
        <w:t>Measurability concerns</w:t>
      </w:r>
    </w:p>
    <w:p w14:paraId="42E200A4" w14:textId="11F1A5C5" w:rsidR="008F0D54" w:rsidRDefault="00F809CD" w:rsidP="008F0D54">
      <w:pPr>
        <w:contextualSpacing w:val="0"/>
      </w:pPr>
      <w:r>
        <w:t xml:space="preserve">Some stakeholders, particularly </w:t>
      </w:r>
      <w:r w:rsidR="001D4540">
        <w:t>i</w:t>
      </w:r>
      <w:r w:rsidR="008F0D54">
        <w:t>ndustry stakeholders</w:t>
      </w:r>
      <w:r w:rsidR="001D4540">
        <w:t>,</w:t>
      </w:r>
      <w:r w:rsidR="008F0D54">
        <w:t xml:space="preserve"> raised that measurement and analysis of the proposed WEL for copper would be a challenge, claiming that it is currently not achievable. </w:t>
      </w:r>
    </w:p>
    <w:p w14:paraId="733F6F66" w14:textId="3FD2A135" w:rsidR="008F0D54" w:rsidRDefault="00202471" w:rsidP="008F0D54">
      <w:pPr>
        <w:contextualSpacing w:val="0"/>
      </w:pPr>
      <w:r>
        <w:t>Stakeholders</w:t>
      </w:r>
      <w:r w:rsidR="008F0D54">
        <w:t xml:space="preserve"> </w:t>
      </w:r>
      <w:r w:rsidR="00B66830">
        <w:t>noted concerns around the</w:t>
      </w:r>
      <w:r w:rsidR="008F0D54">
        <w:t xml:space="preserve"> proposal to merge copper dusts, mists and fumes into a singular WEL. T</w:t>
      </w:r>
      <w:r w:rsidR="00B66830">
        <w:t>hey note this does</w:t>
      </w:r>
      <w:r w:rsidR="008F0D54">
        <w:t xml:space="preserve"> not account for differences in physical properties, health effects and the </w:t>
      </w:r>
      <w:r w:rsidR="00B66830">
        <w:t xml:space="preserve">limit of detection </w:t>
      </w:r>
      <w:r w:rsidR="008F0D54">
        <w:t>for each form of copper</w:t>
      </w:r>
      <w:r w:rsidR="0094429C" w:rsidRPr="0094429C">
        <w:rPr>
          <w:vertAlign w:val="superscript"/>
        </w:rPr>
        <w:footnoteReference w:id="98"/>
      </w:r>
      <w:r w:rsidR="008F0D54">
        <w:t>. Industry stakeholders also claimed this would impact the type of controls and measurement methods used</w:t>
      </w:r>
      <w:r w:rsidR="003C6444">
        <w:rPr>
          <w:rStyle w:val="FootnoteReference"/>
        </w:rPr>
        <w:footnoteReference w:id="99"/>
      </w:r>
      <w:r w:rsidR="008F0D54">
        <w:t>. S</w:t>
      </w:r>
      <w:r w:rsidR="00D84338">
        <w:t>ome s</w:t>
      </w:r>
      <w:r w:rsidR="008F0D54" w:rsidRPr="00945B8D">
        <w:t xml:space="preserve">takeholders </w:t>
      </w:r>
      <w:r w:rsidR="008F0D54">
        <w:t>expressed preference towards</w:t>
      </w:r>
      <w:r w:rsidR="008F0D54" w:rsidRPr="00945B8D">
        <w:t xml:space="preserve"> </w:t>
      </w:r>
      <w:r w:rsidR="002B7BE3">
        <w:t>separate exposure</w:t>
      </w:r>
      <w:r w:rsidR="008F0D54" w:rsidRPr="00945B8D">
        <w:t xml:space="preserve"> limit</w:t>
      </w:r>
      <w:r w:rsidR="008F0D54">
        <w:t>s</w:t>
      </w:r>
      <w:r w:rsidR="008F0D54" w:rsidRPr="00945B8D">
        <w:t xml:space="preserve"> for copper fumes (respirable fraction) and copper dusts and mists (inhalable fraction) based on the </w:t>
      </w:r>
      <w:r w:rsidR="008F0D54">
        <w:t xml:space="preserve">health evidence cited in </w:t>
      </w:r>
      <w:r w:rsidR="00B576A6">
        <w:t xml:space="preserve">their </w:t>
      </w:r>
      <w:r w:rsidR="008F0D54">
        <w:t>submission</w:t>
      </w:r>
      <w:r w:rsidR="00B576A6">
        <w:t>s</w:t>
      </w:r>
      <w:r w:rsidR="00810DA0">
        <w:rPr>
          <w:rStyle w:val="FootnoteReference"/>
        </w:rPr>
        <w:footnoteReference w:id="100"/>
      </w:r>
      <w:r w:rsidR="008F0D54">
        <w:t xml:space="preserve">, </w:t>
      </w:r>
      <w:r w:rsidR="006158B8">
        <w:t>which include</w:t>
      </w:r>
      <w:r w:rsidR="00B704A7">
        <w:t>d</w:t>
      </w:r>
      <w:r w:rsidR="006158B8">
        <w:t xml:space="preserve"> </w:t>
      </w:r>
      <w:r w:rsidR="008F0D54">
        <w:t xml:space="preserve">the </w:t>
      </w:r>
      <w:r w:rsidR="00F630CD">
        <w:t xml:space="preserve">limits </w:t>
      </w:r>
      <w:r w:rsidR="00B704A7">
        <w:t xml:space="preserve">recommended </w:t>
      </w:r>
      <w:r w:rsidR="00F630CD">
        <w:t>by the</w:t>
      </w:r>
      <w:r w:rsidR="008F0D54">
        <w:t xml:space="preserve"> </w:t>
      </w:r>
      <w:r w:rsidR="00B704A7">
        <w:t>ACGIH</w:t>
      </w:r>
      <w:r w:rsidR="008F0D54">
        <w:t xml:space="preserve"> (a primary source from the WES review</w:t>
      </w:r>
      <w:r w:rsidR="003D0173">
        <w:t xml:space="preserve"> methodology</w:t>
      </w:r>
      <w:r w:rsidR="008F0D54">
        <w:t>)</w:t>
      </w:r>
      <w:r w:rsidR="00E04BD0">
        <w:rPr>
          <w:rStyle w:val="FootnoteReference"/>
        </w:rPr>
        <w:footnoteReference w:id="101"/>
      </w:r>
      <w:r w:rsidR="008F0D54">
        <w:t xml:space="preserve">. </w:t>
      </w:r>
    </w:p>
    <w:p w14:paraId="4E825ED8" w14:textId="7A823081" w:rsidR="00D57CF6" w:rsidRDefault="000C4B1E" w:rsidP="008F0D54">
      <w:pPr>
        <w:contextualSpacing w:val="0"/>
      </w:pPr>
      <w:r>
        <w:t xml:space="preserve">A government </w:t>
      </w:r>
      <w:r w:rsidR="008337C1">
        <w:t>submission</w:t>
      </w:r>
      <w:r>
        <w:t xml:space="preserve"> </w:t>
      </w:r>
      <w:r w:rsidR="00FB14C4">
        <w:t>stated</w:t>
      </w:r>
      <w:r w:rsidR="008337C1">
        <w:t xml:space="preserve"> th</w:t>
      </w:r>
      <w:r w:rsidR="00FB14C4">
        <w:t>e</w:t>
      </w:r>
      <w:r w:rsidR="005B5D9A">
        <w:t xml:space="preserve"> proposed WEL </w:t>
      </w:r>
      <w:r w:rsidR="008337C1">
        <w:t xml:space="preserve">was </w:t>
      </w:r>
      <w:r w:rsidR="00FB14C4">
        <w:t xml:space="preserve">already </w:t>
      </w:r>
      <w:r w:rsidR="008337C1">
        <w:t>close to the detection limit of a testing method</w:t>
      </w:r>
      <w:r w:rsidR="00FE4CEA">
        <w:t xml:space="preserve"> and that adjusting the proposed WEL to account for longer shift </w:t>
      </w:r>
      <w:r w:rsidR="00FB14C4">
        <w:t>lengths</w:t>
      </w:r>
      <w:r w:rsidR="00FE4CEA">
        <w:t xml:space="preserve"> would </w:t>
      </w:r>
      <w:r w:rsidR="00E73BBD">
        <w:t xml:space="preserve">reduce the WEL to a level that is </w:t>
      </w:r>
      <w:r w:rsidR="00FE4CEA">
        <w:t>at</w:t>
      </w:r>
      <w:r w:rsidR="003D4472">
        <w:t>,</w:t>
      </w:r>
      <w:r w:rsidR="00FE4CEA">
        <w:t xml:space="preserve"> or below</w:t>
      </w:r>
      <w:r w:rsidR="003D4472">
        <w:t>,</w:t>
      </w:r>
      <w:r w:rsidR="00FE4CEA">
        <w:t xml:space="preserve"> the relia</w:t>
      </w:r>
      <w:r w:rsidR="008337C1">
        <w:t>b</w:t>
      </w:r>
      <w:r w:rsidR="00FB14C4">
        <w:t>le limit of detection</w:t>
      </w:r>
      <w:r w:rsidR="009D1E5B">
        <w:t>, making regulatory enforcement difficult</w:t>
      </w:r>
      <w:r w:rsidR="00E73BBD">
        <w:rPr>
          <w:rStyle w:val="FootnoteReference"/>
        </w:rPr>
        <w:footnoteReference w:id="102"/>
      </w:r>
      <w:r w:rsidR="00FB14C4">
        <w:t xml:space="preserve">. </w:t>
      </w:r>
    </w:p>
    <w:p w14:paraId="6E0A99F6" w14:textId="28DF8A47" w:rsidR="008B43C8" w:rsidRDefault="00F0196B" w:rsidP="008F0D54">
      <w:pPr>
        <w:contextualSpacing w:val="0"/>
      </w:pPr>
      <w:r>
        <w:t xml:space="preserve">Safe Work Australia has reviewed the </w:t>
      </w:r>
      <w:hyperlink r:id="rId43" w:history="1">
        <w:r w:rsidR="00010FA9" w:rsidRPr="009B1386">
          <w:rPr>
            <w:rStyle w:val="Hyperlink"/>
          </w:rPr>
          <w:t>e</w:t>
        </w:r>
        <w:r w:rsidRPr="009B1386">
          <w:rPr>
            <w:rStyle w:val="Hyperlink"/>
          </w:rPr>
          <w:t>valuation</w:t>
        </w:r>
        <w:r w:rsidR="00010FA9" w:rsidRPr="009B1386">
          <w:rPr>
            <w:rStyle w:val="Hyperlink"/>
          </w:rPr>
          <w:t xml:space="preserve"> report for copper </w:t>
        </w:r>
        <w:r w:rsidR="002330F3" w:rsidRPr="009B1386">
          <w:rPr>
            <w:rStyle w:val="Hyperlink"/>
          </w:rPr>
          <w:t>fumes, mists and dusts</w:t>
        </w:r>
      </w:hyperlink>
      <w:r w:rsidR="00310DE6">
        <w:t xml:space="preserve"> </w:t>
      </w:r>
      <w:r>
        <w:t xml:space="preserve">and </w:t>
      </w:r>
      <w:r w:rsidR="00745E71">
        <w:t>confirmed</w:t>
      </w:r>
      <w:r w:rsidR="00310DE6">
        <w:t xml:space="preserve"> that</w:t>
      </w:r>
      <w:r w:rsidR="00280DB2">
        <w:t xml:space="preserve"> the evidence </w:t>
      </w:r>
      <w:r w:rsidR="00745E71">
        <w:t>from DFG and SCOEL</w:t>
      </w:r>
      <w:r w:rsidR="00F74D9E">
        <w:t xml:space="preserve">, </w:t>
      </w:r>
      <w:r w:rsidR="001F0EDE">
        <w:t>measurement</w:t>
      </w:r>
      <w:r w:rsidR="001A7612">
        <w:t xml:space="preserve"> is </w:t>
      </w:r>
      <w:r w:rsidR="001F0EDE">
        <w:t xml:space="preserve">of the </w:t>
      </w:r>
      <w:r w:rsidR="001A7612" w:rsidRPr="004E3B50">
        <w:rPr>
          <w:i/>
          <w:iCs/>
        </w:rPr>
        <w:t>respirable fraction</w:t>
      </w:r>
      <w:r w:rsidR="00F74D9E">
        <w:t xml:space="preserve"> </w:t>
      </w:r>
      <w:r w:rsidR="001F0EDE">
        <w:t>for</w:t>
      </w:r>
      <w:r w:rsidR="00310DE6">
        <w:t xml:space="preserve"> the proposed TWA of 0.01 mg/m</w:t>
      </w:r>
      <w:r w:rsidR="00310DE6" w:rsidRPr="00386562">
        <w:rPr>
          <w:vertAlign w:val="superscript"/>
        </w:rPr>
        <w:t>3</w:t>
      </w:r>
      <w:r w:rsidR="00310DE6">
        <w:t xml:space="preserve"> </w:t>
      </w:r>
      <w:r w:rsidR="00CB61DA">
        <w:t xml:space="preserve">for copper fumes, mists and dusts. </w:t>
      </w:r>
      <w:r w:rsidR="00283D00">
        <w:t>The recommendation to WHS ministers reflect</w:t>
      </w:r>
      <w:r w:rsidR="00F74D9E">
        <w:t>s</w:t>
      </w:r>
      <w:r w:rsidR="00283D00">
        <w:t xml:space="preserve"> </w:t>
      </w:r>
      <w:r w:rsidR="0027398F">
        <w:t>th</w:t>
      </w:r>
      <w:r w:rsidR="00CD238C">
        <w:t xml:space="preserve">at the proposed TWA is </w:t>
      </w:r>
      <w:r w:rsidR="004520DB">
        <w:t xml:space="preserve">for the </w:t>
      </w:r>
      <w:r w:rsidR="00CD238C">
        <w:t>respirable</w:t>
      </w:r>
      <w:r w:rsidR="004520DB">
        <w:t xml:space="preserve"> fraction</w:t>
      </w:r>
      <w:r w:rsidR="00CD238C">
        <w:t xml:space="preserve">, which </w:t>
      </w:r>
      <w:r w:rsidR="00A73EA8">
        <w:t xml:space="preserve">may </w:t>
      </w:r>
      <w:r w:rsidR="00CD238C">
        <w:t>address</w:t>
      </w:r>
      <w:r w:rsidR="004935E4">
        <w:t xml:space="preserve"> some of the</w:t>
      </w:r>
      <w:r w:rsidR="00CD238C">
        <w:t xml:space="preserve"> </w:t>
      </w:r>
      <w:r w:rsidR="00A90C9F">
        <w:t xml:space="preserve">concerns raised by stakeholders regarding </w:t>
      </w:r>
      <w:r w:rsidR="00AA0405">
        <w:t xml:space="preserve">the properties for different </w:t>
      </w:r>
      <w:r w:rsidR="00A90C9F">
        <w:t>fraction size</w:t>
      </w:r>
      <w:r w:rsidR="00AA0405">
        <w:t>s</w:t>
      </w:r>
      <w:r w:rsidR="00A90C9F">
        <w:t xml:space="preserve"> and measurement reliability</w:t>
      </w:r>
      <w:r w:rsidR="00283D00" w:rsidDel="00A90C9F">
        <w:t>.</w:t>
      </w:r>
      <w:r w:rsidR="00283D00">
        <w:t xml:space="preserve"> </w:t>
      </w:r>
    </w:p>
    <w:p w14:paraId="24093659" w14:textId="073632BE" w:rsidR="009317E4" w:rsidRDefault="00AD379E" w:rsidP="00AD379E">
      <w:pPr>
        <w:contextualSpacing w:val="0"/>
      </w:pPr>
      <w:r w:rsidRPr="006D6899">
        <w:t>Multiple methods</w:t>
      </w:r>
      <w:r w:rsidR="005A79DB" w:rsidRPr="006D6899">
        <w:rPr>
          <w:rStyle w:val="FootnoteReference"/>
        </w:rPr>
        <w:footnoteReference w:id="103"/>
      </w:r>
      <w:r w:rsidR="0012484B" w:rsidRPr="006D6899">
        <w:t xml:space="preserve"> </w:t>
      </w:r>
      <w:r w:rsidRPr="006D6899">
        <w:t xml:space="preserve">exist to measure copper </w:t>
      </w:r>
      <w:r w:rsidR="00C3024D" w:rsidRPr="006D6899">
        <w:t xml:space="preserve">with sufficient sensitivity and certainty to determine compliance at the proposed WEL, </w:t>
      </w:r>
      <w:r w:rsidRPr="006D6899">
        <w:t xml:space="preserve">with </w:t>
      </w:r>
      <w:r w:rsidR="009459C3" w:rsidRPr="006D6899">
        <w:t xml:space="preserve">commercially available methods in Australia </w:t>
      </w:r>
      <w:r w:rsidR="00E4413B" w:rsidRPr="006D6899">
        <w:t xml:space="preserve">(based on Safe Work Australia </w:t>
      </w:r>
      <w:r w:rsidR="00021FC2" w:rsidRPr="006D6899">
        <w:t>analysis</w:t>
      </w:r>
      <w:r w:rsidR="0012484B" w:rsidRPr="006D6899">
        <w:t>).</w:t>
      </w:r>
      <w:r w:rsidR="00184DC2">
        <w:t xml:space="preserve"> </w:t>
      </w:r>
    </w:p>
    <w:p w14:paraId="7443AF7A" w14:textId="58715A4A" w:rsidR="006F39FF" w:rsidRDefault="00184DC2" w:rsidP="0084502B">
      <w:pPr>
        <w:contextualSpacing w:val="0"/>
      </w:pPr>
      <w:r>
        <w:t xml:space="preserve">Sampling related </w:t>
      </w:r>
      <w:r w:rsidRPr="002749A8">
        <w:t>contributions to uncertainty (e.g. sampling equipment limitations) may remain a limitation on measurability</w:t>
      </w:r>
      <w:r>
        <w:t xml:space="preserve"> in some situations, but these issues are not </w:t>
      </w:r>
      <w:r w:rsidR="003D0173">
        <w:t>unique</w:t>
      </w:r>
      <w:r>
        <w:t xml:space="preserve"> to c</w:t>
      </w:r>
      <w:r w:rsidR="00D2690B">
        <w:t>opper</w:t>
      </w:r>
      <w:r>
        <w:t>. To support the wider transition to the WEL, Safe Work Australia is preparing technical guidance to provide advice on measurement issues, including sampling.</w:t>
      </w:r>
    </w:p>
    <w:p w14:paraId="3CC3250C" w14:textId="5924CFC5" w:rsidR="00351ABF" w:rsidRDefault="00351ABF" w:rsidP="00B52D96">
      <w:pPr>
        <w:pStyle w:val="SWAHeading4"/>
        <w:keepNext/>
      </w:pPr>
      <w:r>
        <w:lastRenderedPageBreak/>
        <w:t>Introduction of personal protective equipment</w:t>
      </w:r>
    </w:p>
    <w:p w14:paraId="32CEBB3B" w14:textId="46F0D2B0" w:rsidR="00D81F3A" w:rsidRDefault="008F0D54" w:rsidP="00B52D96">
      <w:pPr>
        <w:keepNext/>
        <w:contextualSpacing w:val="0"/>
      </w:pPr>
      <w:r>
        <w:t>Industry stakeholders mentioned the proposed WEL for copper would result in a reliance on personal protective equipment (PPE), particularly powered air-purifying respirators</w:t>
      </w:r>
      <w:r w:rsidR="00A5393D">
        <w:rPr>
          <w:rStyle w:val="FootnoteReference"/>
        </w:rPr>
        <w:footnoteReference w:id="104"/>
      </w:r>
      <w:r>
        <w:t>, to help minimise worker exposure to copper. However, one stakeholder was concerned that PPE would introduce different risks into the workplace. They claimed PPE could contribute to the risk of heat exposure</w:t>
      </w:r>
      <w:r w:rsidDel="000745FF">
        <w:t xml:space="preserve"> </w:t>
      </w:r>
      <w:r>
        <w:t xml:space="preserve">when combined with the hot climate </w:t>
      </w:r>
      <w:r w:rsidR="00377596">
        <w:t>of</w:t>
      </w:r>
      <w:r>
        <w:t xml:space="preserve"> their workplace, reduced visibility and psychosocial hazards like mental fatigue</w:t>
      </w:r>
      <w:r w:rsidR="009E1D1B">
        <w:rPr>
          <w:rStyle w:val="FootnoteReference"/>
        </w:rPr>
        <w:footnoteReference w:id="105"/>
      </w:r>
      <w:r>
        <w:t xml:space="preserve">. </w:t>
      </w:r>
    </w:p>
    <w:p w14:paraId="63A1A014" w14:textId="3E93451A" w:rsidR="008F0D54" w:rsidRDefault="008F0D54" w:rsidP="008F0D54">
      <w:pPr>
        <w:contextualSpacing w:val="0"/>
      </w:pPr>
      <w:r>
        <w:t xml:space="preserve">PPE </w:t>
      </w:r>
      <w:r w:rsidR="00967615">
        <w:t>should</w:t>
      </w:r>
      <w:r>
        <w:t xml:space="preserve"> only be considered once all other reasonably practicable higher order controls have been considered and implemented, so far as is reasonably practicable. If then, the PCBU decides that PPE is a necessary control to manage workers exposures to copper, then they are required to control the new risks introduced.   </w:t>
      </w:r>
    </w:p>
    <w:p w14:paraId="2A3CD277" w14:textId="71F37B3F" w:rsidR="00351ABF" w:rsidRDefault="00351ABF" w:rsidP="005133DD">
      <w:pPr>
        <w:pStyle w:val="SWAHeading4"/>
        <w:keepNext/>
        <w:keepLines/>
      </w:pPr>
      <w:r>
        <w:t>Interactions with the lead WEL</w:t>
      </w:r>
    </w:p>
    <w:p w14:paraId="5EC168C5" w14:textId="3595E443" w:rsidR="00F21D95" w:rsidRDefault="39EAE307" w:rsidP="005133DD">
      <w:pPr>
        <w:keepNext/>
        <w:keepLines/>
        <w:contextualSpacing w:val="0"/>
      </w:pPr>
      <w:r>
        <w:t xml:space="preserve">A submission from </w:t>
      </w:r>
      <w:r w:rsidR="68815CEA">
        <w:t>government</w:t>
      </w:r>
      <w:r w:rsidR="6C8090E2">
        <w:t xml:space="preserve"> expressed</w:t>
      </w:r>
      <w:r>
        <w:t xml:space="preserve"> concerns </w:t>
      </w:r>
      <w:r w:rsidR="49357B5B">
        <w:t>that</w:t>
      </w:r>
      <w:r>
        <w:t xml:space="preserve"> the</w:t>
      </w:r>
      <w:r w:rsidR="01F23E5C">
        <w:t xml:space="preserve"> proposed</w:t>
      </w:r>
      <w:r>
        <w:t xml:space="preserve"> copper WEL</w:t>
      </w:r>
      <w:r w:rsidR="083BECE2">
        <w:t xml:space="preserve"> would be</w:t>
      </w:r>
      <w:r w:rsidR="001F6E92">
        <w:t>co</w:t>
      </w:r>
      <w:r w:rsidR="00966EDC">
        <w:t>m</w:t>
      </w:r>
      <w:r w:rsidR="001F6E92">
        <w:t>e</w:t>
      </w:r>
      <w:r w:rsidR="083BECE2">
        <w:t xml:space="preserve"> </w:t>
      </w:r>
      <w:r>
        <w:t>lower than the WEL for lead (0.05 mg/m</w:t>
      </w:r>
      <w:r w:rsidRPr="27F845C1">
        <w:rPr>
          <w:vertAlign w:val="superscript"/>
        </w:rPr>
        <w:t>3</w:t>
      </w:r>
      <w:r>
        <w:t>)</w:t>
      </w:r>
      <w:r w:rsidR="00DB0466">
        <w:rPr>
          <w:rStyle w:val="FootnoteReference"/>
        </w:rPr>
        <w:footnoteReference w:id="106"/>
      </w:r>
      <w:r w:rsidR="00966EDC">
        <w:t>. The stakeholder was concerned that this would</w:t>
      </w:r>
      <w:r>
        <w:t xml:space="preserve"> send the wrong message to manufacturers, designers and end-users, suggesting exposure to lead is ‘safer’ compared to copper despite </w:t>
      </w:r>
      <w:r w:rsidR="5FD7E7F6">
        <w:t>being protective of different adverse health effects</w:t>
      </w:r>
      <w:r>
        <w:t>. This may result in the incorporation of lead into products rather than copper or a reliance on lead-containing products</w:t>
      </w:r>
      <w:r w:rsidR="78A8DC55">
        <w:t xml:space="preserve"> instead, re-exposing workers to the </w:t>
      </w:r>
      <w:r w:rsidR="447E0501">
        <w:t>harmful effects of working with lead</w:t>
      </w:r>
      <w:r w:rsidR="3BB36C52">
        <w:t xml:space="preserve">. </w:t>
      </w:r>
    </w:p>
    <w:p w14:paraId="038F0015" w14:textId="442F1EE7" w:rsidR="0058483A" w:rsidRDefault="2E0B0863" w:rsidP="00AE5D4B">
      <w:pPr>
        <w:contextualSpacing w:val="0"/>
      </w:pPr>
      <w:r>
        <w:t xml:space="preserve">Concerns about </w:t>
      </w:r>
      <w:r w:rsidR="7E7D134C">
        <w:t xml:space="preserve">the </w:t>
      </w:r>
      <w:r w:rsidR="256D5E95">
        <w:t xml:space="preserve">impact on the </w:t>
      </w:r>
      <w:r w:rsidR="7E7D134C">
        <w:t>proposed WEL for copper</w:t>
      </w:r>
      <w:r w:rsidR="629560B5">
        <w:t xml:space="preserve"> and its intersection with lead, may be partially or wholly</w:t>
      </w:r>
      <w:r w:rsidR="5883038B">
        <w:t xml:space="preserve"> addressed</w:t>
      </w:r>
      <w:r w:rsidR="593B9934">
        <w:t xml:space="preserve"> by the clarification that the </w:t>
      </w:r>
      <w:r w:rsidR="5F1FAD4C">
        <w:t>WEL for copper (TWA of 0.01mg/m</w:t>
      </w:r>
      <w:r w:rsidR="5F1FAD4C" w:rsidRPr="27F845C1">
        <w:rPr>
          <w:vertAlign w:val="superscript"/>
        </w:rPr>
        <w:t>3</w:t>
      </w:r>
      <w:r w:rsidR="5F1FAD4C">
        <w:t>) i</w:t>
      </w:r>
      <w:r w:rsidR="70C01E43">
        <w:t xml:space="preserve">s </w:t>
      </w:r>
      <w:r w:rsidR="661476F0">
        <w:t>measured using the respirable fraction.</w:t>
      </w:r>
      <w:r w:rsidR="5B456DAA">
        <w:t xml:space="preserve"> </w:t>
      </w:r>
      <w:r w:rsidR="7C76B91F">
        <w:t xml:space="preserve">Measurement of the respirable fraction for </w:t>
      </w:r>
      <w:r w:rsidR="28346B28">
        <w:t>c</w:t>
      </w:r>
      <w:r w:rsidR="7C76B91F">
        <w:t>opper will be</w:t>
      </w:r>
      <w:r w:rsidR="1E37CA20">
        <w:t xml:space="preserve"> highlighted during the</w:t>
      </w:r>
      <w:r w:rsidR="7C76B91F">
        <w:t xml:space="preserve"> </w:t>
      </w:r>
      <w:r w:rsidR="0928B6A9">
        <w:t>communication, awareness raising and education activities in the lead up and during commencement of the WEL List</w:t>
      </w:r>
      <w:r w:rsidR="1E37CA20">
        <w:t xml:space="preserve"> (including</w:t>
      </w:r>
      <w:r w:rsidR="282796A9">
        <w:t xml:space="preserve"> the 9 chemicals </w:t>
      </w:r>
      <w:r w:rsidR="005B01BE">
        <w:t xml:space="preserve">considered in this </w:t>
      </w:r>
      <w:r w:rsidR="2187ACE8">
        <w:t>Decision RIS</w:t>
      </w:r>
      <w:r w:rsidR="26F8E981">
        <w:t>)</w:t>
      </w:r>
      <w:r w:rsidR="2187ACE8">
        <w:t>.</w:t>
      </w:r>
    </w:p>
    <w:p w14:paraId="38066C15" w14:textId="3466B750" w:rsidR="00351ABF" w:rsidRDefault="00351ABF" w:rsidP="00864B2D">
      <w:pPr>
        <w:pStyle w:val="SWAHeading4"/>
      </w:pPr>
      <w:r>
        <w:t>Impacts on international competitiveness of affected businesses</w:t>
      </w:r>
    </w:p>
    <w:p w14:paraId="08C0CB74" w14:textId="571BDBB1" w:rsidR="0058483A" w:rsidRPr="00AA2D03" w:rsidRDefault="004164C6" w:rsidP="00C8664D">
      <w:pPr>
        <w:pStyle w:val="NoSpacing"/>
        <w:spacing w:after="120" w:line="264" w:lineRule="auto"/>
        <w:rPr>
          <w:sz w:val="22"/>
          <w:szCs w:val="28"/>
        </w:rPr>
      </w:pPr>
      <w:r>
        <w:rPr>
          <w:sz w:val="22"/>
          <w:szCs w:val="28"/>
        </w:rPr>
        <w:t>Stakeholders suggested i</w:t>
      </w:r>
      <w:r w:rsidR="0058483A" w:rsidRPr="00AA2D03">
        <w:rPr>
          <w:sz w:val="22"/>
          <w:szCs w:val="28"/>
        </w:rPr>
        <w:t>mplementation of the proposed WEL for copper would also impact the competitiveness of mining companies on a global scale and results in a loss of revenue for Australian natural resources</w:t>
      </w:r>
      <w:r w:rsidR="00122529">
        <w:rPr>
          <w:rStyle w:val="FootnoteReference"/>
          <w:sz w:val="22"/>
          <w:szCs w:val="28"/>
        </w:rPr>
        <w:footnoteReference w:id="107"/>
      </w:r>
      <w:r w:rsidR="0058483A" w:rsidRPr="00AA2D03">
        <w:rPr>
          <w:sz w:val="22"/>
          <w:szCs w:val="28"/>
        </w:rPr>
        <w:t xml:space="preserve">. However, exact details on how </w:t>
      </w:r>
      <w:r w:rsidR="007A4545">
        <w:rPr>
          <w:sz w:val="22"/>
          <w:szCs w:val="28"/>
        </w:rPr>
        <w:t xml:space="preserve">and the extent of the impact </w:t>
      </w:r>
      <w:r w:rsidR="0058483A" w:rsidRPr="00AA2D03">
        <w:rPr>
          <w:sz w:val="22"/>
          <w:szCs w:val="28"/>
        </w:rPr>
        <w:t xml:space="preserve">was not provided in the submissions.  </w:t>
      </w:r>
    </w:p>
    <w:p w14:paraId="3FC9018C" w14:textId="3EF97024" w:rsidR="0058483A" w:rsidRDefault="0058483A" w:rsidP="00864B2D">
      <w:pPr>
        <w:pStyle w:val="SWAHeading3"/>
      </w:pPr>
      <w:r>
        <w:t xml:space="preserve">Transitional arrangements suggested by stakeholders </w:t>
      </w:r>
    </w:p>
    <w:p w14:paraId="576A21BF" w14:textId="7FB19E61" w:rsidR="00987D5B" w:rsidRDefault="00A64EA2" w:rsidP="00B149A9">
      <w:pPr>
        <w:contextualSpacing w:val="0"/>
      </w:pPr>
      <w:r>
        <w:t>Two</w:t>
      </w:r>
      <w:r w:rsidR="0066500F">
        <w:t xml:space="preserve"> stakeholders suggested a transitional period would assist industry to comply with the proposed limits if they were to be implemented. </w:t>
      </w:r>
      <w:r w:rsidR="006C6969">
        <w:t xml:space="preserve">Suggestions for the </w:t>
      </w:r>
      <w:r w:rsidR="006C2038">
        <w:t xml:space="preserve">length of the </w:t>
      </w:r>
      <w:r w:rsidR="006A2CB2">
        <w:t>transition period include</w:t>
      </w:r>
      <w:r>
        <w:t>d</w:t>
      </w:r>
      <w:r w:rsidR="006A2CB2">
        <w:t xml:space="preserve"> 1 year</w:t>
      </w:r>
      <w:r w:rsidR="00792230">
        <w:rPr>
          <w:rStyle w:val="FootnoteReference"/>
        </w:rPr>
        <w:footnoteReference w:id="108"/>
      </w:r>
      <w:r w:rsidR="006A2CB2">
        <w:t xml:space="preserve"> and 2 years</w:t>
      </w:r>
      <w:r w:rsidR="002C3A21">
        <w:rPr>
          <w:rStyle w:val="FootnoteReference"/>
        </w:rPr>
        <w:footnoteReference w:id="109"/>
      </w:r>
      <w:r w:rsidR="006A2CB2">
        <w:t xml:space="preserve">. </w:t>
      </w:r>
      <w:r w:rsidR="0097511C">
        <w:t xml:space="preserve"> </w:t>
      </w:r>
    </w:p>
    <w:p w14:paraId="3028788C" w14:textId="33F1CFE3" w:rsidR="00DE16D1" w:rsidRDefault="00F02C70" w:rsidP="00B149A9">
      <w:pPr>
        <w:contextualSpacing w:val="0"/>
      </w:pPr>
      <w:r w:rsidRPr="00F02C70">
        <w:t xml:space="preserve">As mentioned in Section 7.3 of this Decision RIS, it is proposed that the new WEL for </w:t>
      </w:r>
      <w:r w:rsidR="001B25FD">
        <w:t>copper</w:t>
      </w:r>
      <w:r w:rsidRPr="00F02C70">
        <w:t xml:space="preserve"> should come into effect on 1 December 2026. This would align with the commencement of </w:t>
      </w:r>
      <w:r w:rsidRPr="00F02C70">
        <w:lastRenderedPageBreak/>
        <w:t>the new WEL list and ensure the transition to the health-based exposure limits for all chemicals occurs at the same time.</w:t>
      </w:r>
    </w:p>
    <w:p w14:paraId="2216503E" w14:textId="6BE00B0C" w:rsidR="00E26A41" w:rsidRDefault="003A746B" w:rsidP="0088736D">
      <w:pPr>
        <w:pStyle w:val="SWAHeading2"/>
        <w:ind w:left="709" w:hanging="709"/>
      </w:pPr>
      <w:bookmarkStart w:id="241" w:name="_Toc196204678"/>
      <w:bookmarkStart w:id="242" w:name="_Ref198134395"/>
      <w:bookmarkStart w:id="243" w:name="_Toc219216896"/>
      <w:bookmarkStart w:id="244" w:name="_Toc179376603"/>
      <w:bookmarkStart w:id="245" w:name="_Toc181003130"/>
      <w:bookmarkStart w:id="246" w:name="_Toc193192617"/>
      <w:r>
        <w:t>Likely net benefit and r</w:t>
      </w:r>
      <w:r w:rsidR="007A4461">
        <w:t>ecommended</w:t>
      </w:r>
      <w:r w:rsidR="00E26A41">
        <w:t xml:space="preserve"> option for copper</w:t>
      </w:r>
      <w:bookmarkEnd w:id="241"/>
      <w:bookmarkEnd w:id="242"/>
      <w:bookmarkEnd w:id="243"/>
    </w:p>
    <w:p w14:paraId="1C01A16A" w14:textId="4F31B8D6" w:rsidR="003A746B" w:rsidRDefault="003A746B" w:rsidP="000E09E8">
      <w:pPr>
        <w:pStyle w:val="SWAHeading3"/>
      </w:pPr>
      <w:r>
        <w:t>Net benefit</w:t>
      </w:r>
    </w:p>
    <w:p w14:paraId="508B02DA" w14:textId="45F943FD" w:rsidR="003A746B" w:rsidRPr="003A746B" w:rsidRDefault="00DF005F" w:rsidP="000E09E8">
      <w:pPr>
        <w:pStyle w:val="Paragraph"/>
        <w:keepNext w:val="0"/>
      </w:pPr>
      <w:r>
        <w:fldChar w:fldCharType="begin"/>
      </w:r>
      <w:r>
        <w:instrText xml:space="preserve"> REF _Ref216703932 \h </w:instrText>
      </w:r>
      <w:r>
        <w:fldChar w:fldCharType="separate"/>
      </w:r>
      <w:r w:rsidR="00A002F4">
        <w:t xml:space="preserve">Table </w:t>
      </w:r>
      <w:r w:rsidR="00A002F4">
        <w:rPr>
          <w:noProof/>
        </w:rPr>
        <w:t>19</w:t>
      </w:r>
      <w:r>
        <w:fldChar w:fldCharType="end"/>
      </w:r>
      <w:r>
        <w:t xml:space="preserve"> </w:t>
      </w:r>
      <w:r w:rsidR="003A746B" w:rsidRPr="003A746B">
        <w:t xml:space="preserve">presents the quantified </w:t>
      </w:r>
      <w:r w:rsidR="007625C1">
        <w:t>gross</w:t>
      </w:r>
      <w:r w:rsidR="007625C1" w:rsidRPr="003A746B">
        <w:t xml:space="preserve"> </w:t>
      </w:r>
      <w:r w:rsidR="003A746B" w:rsidRPr="003A746B">
        <w:t xml:space="preserve">benefit for the proposed WEL </w:t>
      </w:r>
      <w:r w:rsidR="007538AD">
        <w:t>for copper</w:t>
      </w:r>
      <w:r w:rsidR="003A746B" w:rsidRPr="003A746B">
        <w:t xml:space="preserve">. </w:t>
      </w:r>
      <w:r w:rsidR="0087497F">
        <w:t>B</w:t>
      </w:r>
      <w:r w:rsidR="003A746B" w:rsidRPr="003A746B">
        <w:t xml:space="preserve">enefits </w:t>
      </w:r>
      <w:r w:rsidR="0087497F">
        <w:t xml:space="preserve">for the proposed WEL for copper </w:t>
      </w:r>
      <w:r>
        <w:t>could not be</w:t>
      </w:r>
      <w:r w:rsidR="003A746B" w:rsidRPr="003A746B">
        <w:t xml:space="preserve"> estimated </w:t>
      </w:r>
      <w:r>
        <w:t xml:space="preserve">due to a lack of </w:t>
      </w:r>
      <w:r w:rsidR="007538AD">
        <w:t>health burden data and workers</w:t>
      </w:r>
      <w:r w:rsidR="007D130E">
        <w:t>’</w:t>
      </w:r>
      <w:r w:rsidR="007538AD">
        <w:t xml:space="preserve"> compensation claims to derive quantified </w:t>
      </w:r>
      <w:r w:rsidR="0087497F">
        <w:t>heath and financial benefits, respectively</w:t>
      </w:r>
      <w:r w:rsidR="007538AD">
        <w:t xml:space="preserve">. However, a lack of quantified benefits </w:t>
      </w:r>
      <w:r w:rsidR="007538AD" w:rsidRPr="007538AD">
        <w:t xml:space="preserve">does not mean that the introduction of the proposed WEL will not result in health </w:t>
      </w:r>
      <w:r w:rsidR="007538AD">
        <w:t xml:space="preserve">or financial benefits. </w:t>
      </w:r>
      <w:r w:rsidR="00B0035E">
        <w:t>Thus, for the purposes of determining a</w:t>
      </w:r>
      <w:r w:rsidR="003A746B" w:rsidRPr="003A746B">
        <w:t xml:space="preserve"> </w:t>
      </w:r>
      <w:r w:rsidR="00B0035E">
        <w:t xml:space="preserve">quantified </w:t>
      </w:r>
      <w:r w:rsidR="00524394">
        <w:t xml:space="preserve">gross </w:t>
      </w:r>
      <w:r w:rsidR="00B0035E">
        <w:t>benefit, only the quantified</w:t>
      </w:r>
      <w:r w:rsidR="003A746B" w:rsidRPr="003A746B">
        <w:t xml:space="preserve"> costs (</w:t>
      </w:r>
      <w:r w:rsidR="001D568A">
        <w:fldChar w:fldCharType="begin"/>
      </w:r>
      <w:r w:rsidR="001D568A">
        <w:instrText xml:space="preserve"> REF _Ref199860202 \h </w:instrText>
      </w:r>
      <w:r w:rsidR="001D568A">
        <w:fldChar w:fldCharType="separate"/>
      </w:r>
      <w:r w:rsidR="00A002F4">
        <w:t xml:space="preserve">Table </w:t>
      </w:r>
      <w:r w:rsidR="00A002F4">
        <w:rPr>
          <w:noProof/>
        </w:rPr>
        <w:t>17</w:t>
      </w:r>
      <w:r w:rsidR="001D568A">
        <w:fldChar w:fldCharType="end"/>
      </w:r>
      <w:r w:rsidR="003A746B" w:rsidRPr="003A746B">
        <w:t xml:space="preserve">) </w:t>
      </w:r>
      <w:r w:rsidR="00B0035E">
        <w:t>were</w:t>
      </w:r>
      <w:r w:rsidR="00B0035E" w:rsidRPr="003A746B">
        <w:t xml:space="preserve"> </w:t>
      </w:r>
      <w:r w:rsidR="00B0035E">
        <w:t xml:space="preserve">used to </w:t>
      </w:r>
      <w:r w:rsidR="003A746B" w:rsidRPr="003A746B">
        <w:t xml:space="preserve">estimate a quantified </w:t>
      </w:r>
      <w:r w:rsidR="00472257">
        <w:t>gross</w:t>
      </w:r>
      <w:r w:rsidR="00472257" w:rsidRPr="003A746B">
        <w:t xml:space="preserve"> </w:t>
      </w:r>
      <w:r w:rsidR="003A746B" w:rsidRPr="003A746B">
        <w:t>benefit of -$</w:t>
      </w:r>
      <w:r w:rsidR="00B0035E">
        <w:t>1.7</w:t>
      </w:r>
      <w:r w:rsidR="00B0035E" w:rsidRPr="003A746B">
        <w:t xml:space="preserve"> </w:t>
      </w:r>
      <w:r w:rsidR="00B0035E">
        <w:t>b</w:t>
      </w:r>
      <w:r w:rsidR="003A746B" w:rsidRPr="003A746B">
        <w:t xml:space="preserve">illion over 10 years for the proposed WEL for </w:t>
      </w:r>
      <w:r w:rsidR="00646C42">
        <w:t>copper</w:t>
      </w:r>
      <w:r w:rsidR="003A746B" w:rsidRPr="003A746B">
        <w:t xml:space="preserve">. </w:t>
      </w:r>
    </w:p>
    <w:p w14:paraId="7FF94E04" w14:textId="4A78D71B" w:rsidR="003A746B" w:rsidRPr="00A829EB" w:rsidRDefault="003A746B" w:rsidP="000E09E8">
      <w:pPr>
        <w:pStyle w:val="Paragraph"/>
        <w:keepNext w:val="0"/>
      </w:pPr>
      <w:r w:rsidRPr="00A829EB">
        <w:t xml:space="preserve">Sensitivity analysis indicates the quantified </w:t>
      </w:r>
      <w:r w:rsidR="007625C1" w:rsidRPr="00A829EB">
        <w:t xml:space="preserve">gross </w:t>
      </w:r>
      <w:r w:rsidRPr="00A829EB">
        <w:t>benefit can range between -$</w:t>
      </w:r>
      <w:r w:rsidR="00B555E1" w:rsidRPr="00A829EB">
        <w:t>2.8</w:t>
      </w:r>
      <w:r w:rsidRPr="00A829EB">
        <w:t xml:space="preserve"> billion (under the low scenario outlined in </w:t>
      </w:r>
      <w:hyperlink w:anchor="AppendixD_SensitivityAnalysis" w:history="1">
        <w:r w:rsidR="00A829EB" w:rsidRPr="000E09E8">
          <w:rPr>
            <w:rStyle w:val="Hyperlink"/>
            <w:color w:val="auto"/>
            <w:u w:val="none"/>
          </w:rPr>
          <w:t>Appendix D</w:t>
        </w:r>
      </w:hyperlink>
      <w:r w:rsidRPr="00A829EB">
        <w:t>) and -$</w:t>
      </w:r>
      <w:r w:rsidR="00B555E1" w:rsidRPr="00A829EB">
        <w:t>1.1 b</w:t>
      </w:r>
      <w:r w:rsidRPr="00A829EB">
        <w:t xml:space="preserve">illion (under the high scenario outlined in </w:t>
      </w:r>
      <w:hyperlink w:anchor="AppendixD_SensitivityAnalysis" w:history="1">
        <w:r w:rsidR="00A829EB" w:rsidRPr="000E09E8">
          <w:rPr>
            <w:rStyle w:val="Hyperlink"/>
            <w:color w:val="auto"/>
            <w:u w:val="none"/>
          </w:rPr>
          <w:t>Appendix D</w:t>
        </w:r>
      </w:hyperlink>
      <w:r w:rsidRPr="00A829EB">
        <w:t xml:space="preserve">) over 10 years for the proposed WEL for </w:t>
      </w:r>
      <w:r w:rsidR="00B0035E" w:rsidRPr="00A829EB">
        <w:t>copper</w:t>
      </w:r>
      <w:r w:rsidRPr="00A829EB">
        <w:t xml:space="preserve">. </w:t>
      </w:r>
    </w:p>
    <w:p w14:paraId="1A32F414" w14:textId="3EC83AC6" w:rsidR="003A746B" w:rsidRPr="003A746B" w:rsidRDefault="003C2595" w:rsidP="000E09E8">
      <w:pPr>
        <w:pStyle w:val="Paragraph"/>
        <w:keepNext w:val="0"/>
      </w:pPr>
      <w:r>
        <w:t>F</w:t>
      </w:r>
      <w:r w:rsidR="003A746B" w:rsidRPr="003A746B">
        <w:t xml:space="preserve">or the proposed WEL for </w:t>
      </w:r>
      <w:r w:rsidR="00B0035E">
        <w:t xml:space="preserve">copper </w:t>
      </w:r>
      <w:r w:rsidR="003A746B" w:rsidRPr="003A746B">
        <w:t xml:space="preserve">to deliver a net benefit in economic terms, the non-quantified and qualitative benefits outlined in Sections 5 and </w:t>
      </w:r>
      <w:r>
        <w:t>11</w:t>
      </w:r>
      <w:r w:rsidR="003A746B" w:rsidRPr="003A746B">
        <w:t xml:space="preserve">.1 of this Decision RIS would need to meet or exceed a quantified </w:t>
      </w:r>
      <w:r w:rsidR="007625C1">
        <w:t>gross</w:t>
      </w:r>
      <w:r w:rsidR="007625C1" w:rsidRPr="003A746B">
        <w:t xml:space="preserve"> </w:t>
      </w:r>
      <w:r w:rsidR="003A746B" w:rsidRPr="003A746B">
        <w:t>cost of $</w:t>
      </w:r>
      <w:r w:rsidR="00B0035E">
        <w:t>1.7 b</w:t>
      </w:r>
      <w:r w:rsidR="003A746B" w:rsidRPr="003A746B">
        <w:t xml:space="preserve">illion. </w:t>
      </w:r>
    </w:p>
    <w:p w14:paraId="16352F91" w14:textId="7BDC39E5" w:rsidR="00056D29" w:rsidRPr="007F1CB1" w:rsidRDefault="003A746B" w:rsidP="000E09E8">
      <w:pPr>
        <w:pStyle w:val="Paragraph"/>
        <w:keepNext w:val="0"/>
      </w:pPr>
      <w:r w:rsidRPr="003A746B">
        <w:t xml:space="preserve">This </w:t>
      </w:r>
      <w:r w:rsidR="007625C1">
        <w:t xml:space="preserve">quantified gross </w:t>
      </w:r>
      <w:r w:rsidRPr="003A746B">
        <w:t xml:space="preserve">cost is likely to be smaller than what is estimated in </w:t>
      </w:r>
      <w:r w:rsidR="008A1DD0">
        <w:fldChar w:fldCharType="begin"/>
      </w:r>
      <w:r w:rsidR="008A1DD0">
        <w:instrText xml:space="preserve"> REF _Ref216703932 \h </w:instrText>
      </w:r>
      <w:r w:rsidR="008A1DD0">
        <w:fldChar w:fldCharType="separate"/>
      </w:r>
      <w:r w:rsidR="00A002F4">
        <w:t xml:space="preserve">Table </w:t>
      </w:r>
      <w:r w:rsidR="00A002F4">
        <w:rPr>
          <w:noProof/>
        </w:rPr>
        <w:t>19</w:t>
      </w:r>
      <w:r w:rsidR="008A1DD0">
        <w:fldChar w:fldCharType="end"/>
      </w:r>
      <w:r w:rsidRPr="003A746B">
        <w:t xml:space="preserve">. </w:t>
      </w:r>
      <w:r w:rsidR="00EB0409">
        <w:t>The d</w:t>
      </w:r>
      <w:r w:rsidR="00467E72">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7F1CB1">
        <w:t xml:space="preserve">. </w:t>
      </w:r>
      <w:r w:rsidR="00056D29">
        <w:t xml:space="preserve">In considering </w:t>
      </w:r>
      <w:r w:rsidR="0001257B">
        <w:t>the quantified gross benefit, together with the non-quantified and qualitative benefit, Option 2 presents a likely net benefit.</w:t>
      </w:r>
    </w:p>
    <w:p w14:paraId="6D4ADAD1" w14:textId="483A4AF5" w:rsidR="003A746B" w:rsidRDefault="003A746B" w:rsidP="004E1364">
      <w:pPr>
        <w:pStyle w:val="Caption"/>
      </w:pPr>
      <w:bookmarkStart w:id="247" w:name="_Ref216703932"/>
      <w:r>
        <w:t xml:space="preserve">Table </w:t>
      </w:r>
      <w:fldSimple w:instr=" SEQ Table \* ARABIC ">
        <w:r w:rsidR="00A002F4">
          <w:rPr>
            <w:noProof/>
          </w:rPr>
          <w:t>19</w:t>
        </w:r>
      </w:fldSimple>
      <w:bookmarkEnd w:id="247"/>
      <w:r>
        <w:t xml:space="preserve"> - </w:t>
      </w:r>
      <w:r w:rsidRPr="00AF492E">
        <w:t xml:space="preserve">Quantified </w:t>
      </w:r>
      <w:r w:rsidR="00626C3D">
        <w:t>gross</w:t>
      </w:r>
      <w:r w:rsidRPr="00AF492E">
        <w:t xml:space="preserve"> benefit ($, millions, discounted) for the proposed WEL for </w:t>
      </w:r>
      <w:r>
        <w:t>copper</w:t>
      </w:r>
      <w:r w:rsidRPr="00AF492E">
        <w:t>,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3A746B" w:rsidRPr="003A746B" w14:paraId="6E61BE93" w14:textId="77777777" w:rsidTr="00DF005F">
        <w:tc>
          <w:tcPr>
            <w:tcW w:w="3004" w:type="dxa"/>
            <w:shd w:val="clear" w:color="auto" w:fill="4877E0" w:themeFill="accent1"/>
          </w:tcPr>
          <w:p w14:paraId="2B0279A1" w14:textId="77777777" w:rsidR="003A746B" w:rsidRPr="007F1CB1" w:rsidRDefault="003A746B" w:rsidP="00DE16D1">
            <w:pPr>
              <w:pStyle w:val="Paragraph"/>
              <w:rPr>
                <w:rFonts w:asciiTheme="minorHAnsi" w:hAnsiTheme="minorHAnsi" w:cstheme="minorHAnsi"/>
                <w:b/>
                <w:color w:val="FFFFFF" w:themeColor="background1"/>
                <w:lang w:eastAsia="en-US"/>
              </w:rPr>
            </w:pPr>
            <w:r w:rsidRPr="007F1CB1">
              <w:rPr>
                <w:rFonts w:asciiTheme="minorHAnsi" w:hAnsiTheme="minorHAnsi" w:cstheme="minorHAnsi"/>
                <w:b/>
                <w:color w:val="FFFFFF" w:themeColor="background1"/>
                <w:lang w:eastAsia="en-US"/>
              </w:rPr>
              <w:t>Quantified benefits</w:t>
            </w:r>
          </w:p>
        </w:tc>
        <w:tc>
          <w:tcPr>
            <w:tcW w:w="3006" w:type="dxa"/>
            <w:shd w:val="clear" w:color="auto" w:fill="4877E0" w:themeFill="accent1"/>
          </w:tcPr>
          <w:p w14:paraId="1900D208" w14:textId="77777777" w:rsidR="003A746B" w:rsidRPr="007F1CB1" w:rsidRDefault="003A746B" w:rsidP="00DE16D1">
            <w:pPr>
              <w:pStyle w:val="Paragraph"/>
              <w:rPr>
                <w:rFonts w:asciiTheme="minorHAnsi" w:hAnsiTheme="minorHAnsi" w:cstheme="minorHAnsi"/>
                <w:b/>
                <w:color w:val="FFFFFF" w:themeColor="background1"/>
                <w:lang w:eastAsia="en-US"/>
              </w:rPr>
            </w:pPr>
            <w:r w:rsidRPr="007F1CB1">
              <w:rPr>
                <w:rFonts w:asciiTheme="minorHAnsi" w:hAnsiTheme="minorHAnsi" w:cstheme="minorHAnsi"/>
                <w:b/>
                <w:color w:val="FFFFFF" w:themeColor="background1"/>
                <w:lang w:eastAsia="en-US"/>
              </w:rPr>
              <w:t>Quantified costs</w:t>
            </w:r>
          </w:p>
        </w:tc>
        <w:tc>
          <w:tcPr>
            <w:tcW w:w="3006" w:type="dxa"/>
            <w:shd w:val="clear" w:color="auto" w:fill="4877E0" w:themeFill="accent1"/>
          </w:tcPr>
          <w:p w14:paraId="4F864DC1" w14:textId="035D8571" w:rsidR="003A746B" w:rsidRPr="00511958" w:rsidRDefault="00524394" w:rsidP="00DE16D1">
            <w:pPr>
              <w:pStyle w:val="Paragraph"/>
              <w:rPr>
                <w:rFonts w:asciiTheme="minorHAnsi" w:hAnsiTheme="minorHAnsi" w:cstheme="minorHAnsi"/>
                <w:b/>
                <w:color w:val="FFFFFF" w:themeColor="background1"/>
                <w:lang w:eastAsia="en-US"/>
              </w:rPr>
            </w:pPr>
            <w:r w:rsidRPr="007F1CB1">
              <w:rPr>
                <w:rFonts w:asciiTheme="minorHAnsi" w:hAnsiTheme="minorHAnsi" w:cstheme="minorHAnsi"/>
                <w:b/>
                <w:color w:val="FFFFFF" w:themeColor="background1"/>
                <w:lang w:eastAsia="en-US"/>
              </w:rPr>
              <w:t>Q</w:t>
            </w:r>
            <w:r w:rsidR="003A746B" w:rsidRPr="007F1CB1">
              <w:rPr>
                <w:rFonts w:asciiTheme="minorHAnsi" w:hAnsiTheme="minorHAnsi" w:cstheme="minorHAnsi"/>
                <w:b/>
                <w:color w:val="FFFFFF" w:themeColor="background1"/>
                <w:lang w:eastAsia="en-US"/>
              </w:rPr>
              <w:t xml:space="preserve">uantified </w:t>
            </w:r>
            <w:r w:rsidRPr="007F1CB1">
              <w:rPr>
                <w:rFonts w:asciiTheme="minorHAnsi" w:hAnsiTheme="minorHAnsi" w:cstheme="minorHAnsi"/>
                <w:b/>
                <w:color w:val="FFFFFF" w:themeColor="background1"/>
                <w:lang w:eastAsia="en-US"/>
              </w:rPr>
              <w:t xml:space="preserve">gross </w:t>
            </w:r>
            <w:r w:rsidR="003A746B" w:rsidRPr="007F1CB1">
              <w:rPr>
                <w:rFonts w:asciiTheme="minorHAnsi" w:hAnsiTheme="minorHAnsi" w:cstheme="minorHAnsi"/>
                <w:b/>
                <w:color w:val="FFFFFF" w:themeColor="background1"/>
                <w:lang w:eastAsia="en-US"/>
              </w:rPr>
              <w:t>benefit</w:t>
            </w:r>
            <w:r w:rsidR="00AA7C6D">
              <w:rPr>
                <w:rFonts w:asciiTheme="minorHAnsi" w:hAnsiTheme="minorHAnsi" w:cstheme="minorHAnsi"/>
                <w:b/>
                <w:color w:val="FFFFFF" w:themeColor="background1"/>
                <w:lang w:eastAsia="en-US"/>
              </w:rPr>
              <w:t>**</w:t>
            </w:r>
          </w:p>
        </w:tc>
      </w:tr>
      <w:tr w:rsidR="00DF005F" w:rsidRPr="00DF005F" w14:paraId="56FA52ED" w14:textId="77777777" w:rsidTr="000E09E8">
        <w:trPr>
          <w:trHeight w:val="300"/>
        </w:trPr>
        <w:tc>
          <w:tcPr>
            <w:tcW w:w="3004" w:type="dxa"/>
            <w:noWrap/>
            <w:hideMark/>
          </w:tcPr>
          <w:p w14:paraId="0D1FA95E" w14:textId="66EB95F9" w:rsidR="00DF005F" w:rsidRPr="000E09E8" w:rsidRDefault="00DF005F" w:rsidP="000E09E8">
            <w:pPr>
              <w:spacing w:after="0" w:line="240" w:lineRule="auto"/>
              <w:contextualSpacing w:val="0"/>
              <w:rPr>
                <w:rFonts w:asciiTheme="minorHAnsi" w:eastAsia="Times New Roman" w:hAnsiTheme="minorHAnsi" w:cstheme="minorHAnsi"/>
                <w:color w:val="000000"/>
                <w:szCs w:val="22"/>
                <w:lang w:eastAsia="en-AU"/>
              </w:rPr>
            </w:pPr>
            <w:r w:rsidRPr="00511958">
              <w:rPr>
                <w:rFonts w:asciiTheme="minorHAnsi" w:eastAsia="Times New Roman" w:hAnsiTheme="minorHAnsi" w:cstheme="minorHAnsi"/>
                <w:color w:val="000000"/>
                <w:szCs w:val="22"/>
                <w:lang w:eastAsia="en-AU"/>
              </w:rPr>
              <w:t>ND</w:t>
            </w:r>
            <w:r w:rsidR="00C01CC5">
              <w:rPr>
                <w:rFonts w:asciiTheme="minorHAnsi" w:eastAsia="Times New Roman" w:hAnsiTheme="minorHAnsi" w:cstheme="minorHAnsi"/>
                <w:color w:val="000000"/>
                <w:szCs w:val="22"/>
                <w:lang w:eastAsia="en-AU"/>
              </w:rPr>
              <w:t>*</w:t>
            </w:r>
          </w:p>
        </w:tc>
        <w:tc>
          <w:tcPr>
            <w:tcW w:w="3006" w:type="dxa"/>
            <w:noWrap/>
            <w:hideMark/>
          </w:tcPr>
          <w:p w14:paraId="12B13C0A" w14:textId="3C235FF7" w:rsidR="00DF005F" w:rsidRPr="000E09E8" w:rsidRDefault="00DF005F" w:rsidP="000E09E8">
            <w:pPr>
              <w:spacing w:after="0" w:line="240" w:lineRule="auto"/>
              <w:contextualSpacing w:val="0"/>
              <w:rPr>
                <w:rFonts w:asciiTheme="minorHAnsi" w:eastAsia="Times New Roman" w:hAnsiTheme="minorHAnsi" w:cstheme="minorHAnsi"/>
                <w:color w:val="000000"/>
                <w:szCs w:val="22"/>
                <w:lang w:eastAsia="en-AU"/>
              </w:rPr>
            </w:pPr>
            <w:r w:rsidRPr="000E09E8">
              <w:rPr>
                <w:rFonts w:asciiTheme="minorHAnsi" w:eastAsia="Times New Roman" w:hAnsiTheme="minorHAnsi" w:cstheme="minorHAnsi"/>
                <w:color w:val="000000"/>
                <w:szCs w:val="22"/>
                <w:lang w:eastAsia="en-AU"/>
              </w:rPr>
              <w:t>1</w:t>
            </w:r>
            <w:r w:rsidR="00B64384">
              <w:rPr>
                <w:rFonts w:asciiTheme="minorHAnsi" w:eastAsia="Times New Roman" w:hAnsiTheme="minorHAnsi" w:cstheme="minorHAnsi"/>
                <w:color w:val="000000"/>
                <w:szCs w:val="22"/>
                <w:lang w:eastAsia="en-AU"/>
              </w:rPr>
              <w:t>,</w:t>
            </w:r>
            <w:r w:rsidRPr="000E09E8">
              <w:rPr>
                <w:rFonts w:asciiTheme="minorHAnsi" w:eastAsia="Times New Roman" w:hAnsiTheme="minorHAnsi" w:cstheme="minorHAnsi"/>
                <w:color w:val="000000"/>
                <w:szCs w:val="22"/>
                <w:lang w:eastAsia="en-AU"/>
              </w:rPr>
              <w:t>709</w:t>
            </w:r>
          </w:p>
        </w:tc>
        <w:tc>
          <w:tcPr>
            <w:tcW w:w="3006" w:type="dxa"/>
            <w:noWrap/>
            <w:hideMark/>
          </w:tcPr>
          <w:p w14:paraId="34590AA6" w14:textId="35D5013E" w:rsidR="00DF005F" w:rsidRPr="000E09E8" w:rsidRDefault="00DF005F" w:rsidP="00DF005F">
            <w:pPr>
              <w:spacing w:after="0" w:line="240" w:lineRule="auto"/>
              <w:contextualSpacing w:val="0"/>
              <w:rPr>
                <w:rFonts w:asciiTheme="minorHAnsi" w:eastAsia="Times New Roman" w:hAnsiTheme="minorHAnsi" w:cstheme="minorHAnsi"/>
                <w:color w:val="000000"/>
                <w:szCs w:val="22"/>
                <w:lang w:eastAsia="en-AU"/>
              </w:rPr>
            </w:pPr>
            <w:r w:rsidRPr="000E09E8">
              <w:rPr>
                <w:rFonts w:asciiTheme="minorHAnsi" w:eastAsia="Times New Roman" w:hAnsiTheme="minorHAnsi" w:cstheme="minorHAnsi"/>
                <w:color w:val="000000"/>
                <w:szCs w:val="22"/>
                <w:lang w:eastAsia="en-AU"/>
              </w:rPr>
              <w:t>- 1,709</w:t>
            </w:r>
          </w:p>
        </w:tc>
      </w:tr>
    </w:tbl>
    <w:p w14:paraId="31C4A610" w14:textId="28BBD936" w:rsidR="00C01CC5" w:rsidRPr="000E09E8" w:rsidRDefault="00A825D7" w:rsidP="000E09E8">
      <w:pPr>
        <w:pStyle w:val="SWAHeading3"/>
        <w:spacing w:before="0"/>
        <w:rPr>
          <w:color w:val="808080" w:themeColor="background1" w:themeShade="80"/>
        </w:rPr>
      </w:pPr>
      <w:r w:rsidRPr="000E09E8">
        <w:rPr>
          <w:rFonts w:eastAsia="Times New Roman"/>
          <w:i/>
          <w:color w:val="808080" w:themeColor="background1" w:themeShade="80"/>
          <w:sz w:val="16"/>
          <w:szCs w:val="16"/>
        </w:rPr>
        <w:t xml:space="preserve">   </w:t>
      </w:r>
      <w:r w:rsidR="00C01CC5" w:rsidRPr="000E09E8">
        <w:rPr>
          <w:rFonts w:eastAsia="Times New Roman"/>
          <w:i/>
          <w:color w:val="808080" w:themeColor="background1" w:themeShade="80"/>
          <w:sz w:val="16"/>
          <w:szCs w:val="16"/>
        </w:rPr>
        <w:t>ND = Not determined due to insufficient data</w:t>
      </w:r>
      <w:r w:rsidR="00C01CC5" w:rsidRPr="000E09E8">
        <w:rPr>
          <w:color w:val="808080" w:themeColor="background1" w:themeShade="80"/>
        </w:rPr>
        <w:br/>
      </w:r>
      <w:r w:rsidR="00C01CC5" w:rsidRPr="000E09E8">
        <w:rPr>
          <w:rFonts w:eastAsia="Times New Roman"/>
          <w:i/>
          <w:color w:val="808080" w:themeColor="background1" w:themeShade="80"/>
          <w:sz w:val="16"/>
          <w:szCs w:val="16"/>
        </w:rPr>
        <w:t xml:space="preserve">  * Benefits exist but were unable to be quantified. This should not be read as an absence of benefits. </w:t>
      </w:r>
      <w:r w:rsidR="00C01CC5" w:rsidRPr="000E09E8">
        <w:rPr>
          <w:color w:val="808080" w:themeColor="background1" w:themeShade="80"/>
        </w:rPr>
        <w:br/>
      </w:r>
      <w:r w:rsidR="00C01CC5" w:rsidRPr="000E09E8">
        <w:rPr>
          <w:rFonts w:eastAsia="Times New Roman"/>
          <w:i/>
          <w:color w:val="808080" w:themeColor="background1" w:themeShade="80"/>
          <w:sz w:val="16"/>
          <w:szCs w:val="16"/>
        </w:rPr>
        <w:t xml:space="preserve">  ** The quantified gross benefits should be read in conjunction with the non-quantifiable benefits set out </w:t>
      </w:r>
      <w:r w:rsidR="00E95383">
        <w:rPr>
          <w:rFonts w:eastAsia="Times New Roman"/>
          <w:i/>
          <w:iCs/>
          <w:color w:val="808080" w:themeColor="background1" w:themeShade="80"/>
          <w:sz w:val="16"/>
          <w:szCs w:val="16"/>
        </w:rPr>
        <w:t>in Section 5</w:t>
      </w:r>
      <w:r w:rsidR="00F57F66">
        <w:rPr>
          <w:rFonts w:eastAsia="Times New Roman"/>
          <w:i/>
          <w:iCs/>
          <w:color w:val="808080" w:themeColor="background1" w:themeShade="80"/>
          <w:sz w:val="16"/>
          <w:szCs w:val="16"/>
        </w:rPr>
        <w:t>.2</w:t>
      </w:r>
      <w:r w:rsidR="00E95383">
        <w:rPr>
          <w:rFonts w:eastAsia="Times New Roman"/>
          <w:i/>
          <w:iCs/>
          <w:color w:val="808080" w:themeColor="background1" w:themeShade="80"/>
          <w:sz w:val="16"/>
          <w:szCs w:val="16"/>
        </w:rPr>
        <w:t xml:space="preserve"> and 11.1.</w:t>
      </w:r>
    </w:p>
    <w:p w14:paraId="410F15BB" w14:textId="22027F8E" w:rsidR="008A1DD0" w:rsidRPr="008A1DD0" w:rsidRDefault="008A1DD0" w:rsidP="006F39FF">
      <w:pPr>
        <w:pStyle w:val="SWAHeading3"/>
        <w:keepNext/>
      </w:pPr>
      <w:r>
        <w:lastRenderedPageBreak/>
        <w:t>Recommended option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6"/>
      </w:tblGrid>
      <w:tr w:rsidR="00E26A41" w14:paraId="666033E2" w14:textId="77777777" w:rsidTr="27F845C1">
        <w:tc>
          <w:tcPr>
            <w:tcW w:w="9016" w:type="dxa"/>
            <w:shd w:val="clear" w:color="auto" w:fill="DAE3F8" w:themeFill="accent1" w:themeFillTint="33"/>
          </w:tcPr>
          <w:p w14:paraId="139B4121" w14:textId="649E8FB1" w:rsidR="009310F8" w:rsidRPr="009310F8" w:rsidRDefault="007A4461" w:rsidP="006F39FF">
            <w:pPr>
              <w:pStyle w:val="Paragraph"/>
              <w:spacing w:before="120" w:after="120"/>
              <w:rPr>
                <w:lang w:eastAsia="en-US"/>
              </w:rPr>
            </w:pPr>
            <w:r>
              <w:rPr>
                <w:lang w:eastAsia="en-US"/>
              </w:rPr>
              <w:t>It is recommended WHS ministers agree to the health-based recommendation for the WEL for copper (</w:t>
            </w:r>
            <w:r w:rsidRPr="001E0F11">
              <w:rPr>
                <w:b/>
              </w:rPr>
              <w:t>Option 2</w:t>
            </w:r>
            <w:r>
              <w:rPr>
                <w:lang w:eastAsia="en-US"/>
              </w:rPr>
              <w:t xml:space="preserve">): a </w:t>
            </w:r>
            <w:r w:rsidRPr="009342E9">
              <w:rPr>
                <w:lang w:eastAsia="en-US"/>
              </w:rPr>
              <w:t>TWA of 0.</w:t>
            </w:r>
            <w:r>
              <w:rPr>
                <w:lang w:eastAsia="en-US"/>
              </w:rPr>
              <w:t>01</w:t>
            </w:r>
            <w:r w:rsidRPr="009342E9">
              <w:rPr>
                <w:lang w:eastAsia="en-US"/>
              </w:rPr>
              <w:t xml:space="preserve"> mg/m</w:t>
            </w:r>
            <w:r w:rsidRPr="009342E9">
              <w:rPr>
                <w:vertAlign w:val="superscript"/>
                <w:lang w:eastAsia="en-US"/>
              </w:rPr>
              <w:t>3</w:t>
            </w:r>
            <w:r>
              <w:rPr>
                <w:lang w:eastAsia="en-US"/>
              </w:rPr>
              <w:t xml:space="preserve"> </w:t>
            </w:r>
            <w:r w:rsidR="00782FFA">
              <w:rPr>
                <w:lang w:eastAsia="en-US"/>
              </w:rPr>
              <w:t xml:space="preserve">for </w:t>
            </w:r>
            <w:r w:rsidR="00782FFA" w:rsidRPr="38A49B51">
              <w:rPr>
                <w:lang w:eastAsia="en-US"/>
              </w:rPr>
              <w:t>copper fumes, dusts and mists</w:t>
            </w:r>
            <w:r w:rsidR="00782FFA">
              <w:rPr>
                <w:lang w:eastAsia="en-US"/>
              </w:rPr>
              <w:t xml:space="preserve"> (respirable)</w:t>
            </w:r>
            <w:r w:rsidRPr="00FB1BC6">
              <w:rPr>
                <w:lang w:eastAsia="en-US"/>
              </w:rPr>
              <w:t xml:space="preserve">. </w:t>
            </w:r>
            <w:r w:rsidR="009310F8" w:rsidRPr="009310F8">
              <w:rPr>
                <w:lang w:eastAsia="en-US"/>
              </w:rPr>
              <w:t>This recommendation is based on the following considerations:</w:t>
            </w:r>
          </w:p>
          <w:p w14:paraId="461E42FD" w14:textId="09AF2E13" w:rsidR="009310F8" w:rsidRPr="009310F8" w:rsidRDefault="2C3B1CE3" w:rsidP="006F39FF">
            <w:pPr>
              <w:pStyle w:val="Paragraph"/>
              <w:numPr>
                <w:ilvl w:val="0"/>
                <w:numId w:val="69"/>
              </w:numPr>
              <w:spacing w:before="120" w:after="120"/>
            </w:pPr>
            <w:r>
              <w:t xml:space="preserve">that the proposed WEL for copper </w:t>
            </w:r>
            <w:r w:rsidR="0A4B3CB2">
              <w:t xml:space="preserve">aligns with </w:t>
            </w:r>
            <w:r>
              <w:t>the object of the model WHS Act to protect workers and others from harm to their health, safety and welfare through the elimination or minimisation of risks</w:t>
            </w:r>
            <w:r w:rsidR="00364FC7">
              <w:t>,</w:t>
            </w:r>
          </w:p>
          <w:p w14:paraId="11FCC000" w14:textId="799741B0" w:rsidR="009310F8" w:rsidRPr="009310F8" w:rsidRDefault="2C3B1CE3" w:rsidP="006F39FF">
            <w:pPr>
              <w:pStyle w:val="Paragraph"/>
              <w:numPr>
                <w:ilvl w:val="0"/>
                <w:numId w:val="69"/>
              </w:numPr>
              <w:spacing w:before="120" w:after="120"/>
            </w:pPr>
            <w:r>
              <w:t xml:space="preserve">the scientific evidence suggests the </w:t>
            </w:r>
            <w:r w:rsidR="632673CB">
              <w:t xml:space="preserve">health-based exposure limit </w:t>
            </w:r>
            <w:r w:rsidR="6F0129D0">
              <w:t xml:space="preserve">is the most </w:t>
            </w:r>
            <w:r>
              <w:t>protective of worker</w:t>
            </w:r>
            <w:r w:rsidR="6F0129D0">
              <w:t>s</w:t>
            </w:r>
            <w:r w:rsidR="00364FC7">
              <w:t>,</w:t>
            </w:r>
          </w:p>
          <w:p w14:paraId="285E7C8B" w14:textId="443EF59C" w:rsidR="009310F8" w:rsidRPr="009310F8" w:rsidRDefault="005A3EEF" w:rsidP="006F39FF">
            <w:pPr>
              <w:pStyle w:val="Paragraph"/>
              <w:numPr>
                <w:ilvl w:val="0"/>
                <w:numId w:val="69"/>
              </w:numPr>
              <w:spacing w:before="120" w:after="120"/>
            </w:pPr>
            <w:r>
              <w:t xml:space="preserve">that some </w:t>
            </w:r>
            <w:r w:rsidR="009310F8" w:rsidRPr="009310F8">
              <w:t>stakeholder views and comments on the proposed WEL</w:t>
            </w:r>
            <w:r>
              <w:t xml:space="preserve"> were in agreement that the WEL for copper should be protective of workers, in line with the objectives of the model WHS Act</w:t>
            </w:r>
            <w:r w:rsidR="009310F8" w:rsidRPr="009310F8">
              <w:t>, and</w:t>
            </w:r>
          </w:p>
          <w:p w14:paraId="4BDCB158" w14:textId="41BEC7E7" w:rsidR="009310F8" w:rsidRPr="009310F8" w:rsidRDefault="009310F8" w:rsidP="006F39FF">
            <w:pPr>
              <w:pStyle w:val="Paragraph"/>
              <w:numPr>
                <w:ilvl w:val="0"/>
                <w:numId w:val="69"/>
              </w:numPr>
              <w:spacing w:before="120" w:after="120"/>
            </w:pPr>
            <w:r w:rsidRPr="009310F8">
              <w:t xml:space="preserve">the </w:t>
            </w:r>
            <w:r w:rsidR="005A3EEF">
              <w:t xml:space="preserve">net </w:t>
            </w:r>
            <w:r w:rsidRPr="009310F8">
              <w:t>benefit</w:t>
            </w:r>
            <w:r w:rsidR="005A3EEF">
              <w:t xml:space="preserve"> expected</w:t>
            </w:r>
            <w:r w:rsidR="00A2470E" w:rsidRPr="00A2470E">
              <w:t xml:space="preserve">, particularly </w:t>
            </w:r>
            <w:r w:rsidR="005D4CD8">
              <w:t xml:space="preserve">the protection of workers from developing </w:t>
            </w:r>
            <w:r w:rsidR="005D4CD8" w:rsidRPr="005D4CD8">
              <w:t>irritation of the respiratory tract</w:t>
            </w:r>
            <w:r w:rsidR="00A2470E">
              <w:t xml:space="preserve">, </w:t>
            </w:r>
            <w:r w:rsidRPr="009310F8">
              <w:t>of the proposed change.</w:t>
            </w:r>
          </w:p>
          <w:p w14:paraId="35C51FC2" w14:textId="18777FA1" w:rsidR="00E26A41" w:rsidRDefault="00F11BF8" w:rsidP="006F39FF">
            <w:pPr>
              <w:pStyle w:val="Paragraph"/>
              <w:spacing w:after="120"/>
              <w:rPr>
                <w:lang w:eastAsia="en-US"/>
              </w:rPr>
            </w:pPr>
            <w:r w:rsidRPr="00F11BF8">
              <w:rPr>
                <w:lang w:eastAsia="en-US"/>
              </w:rPr>
              <w:t>It is also recommended WHS ministers agree there be a</w:t>
            </w:r>
            <w:r w:rsidRPr="00B56C60">
              <w:rPr>
                <w:lang w:eastAsia="en-US"/>
              </w:rPr>
              <w:t xml:space="preserve"> </w:t>
            </w:r>
            <w:r w:rsidR="00B56C60" w:rsidRPr="00B56C60">
              <w:rPr>
                <w:lang w:eastAsia="en-US"/>
              </w:rPr>
              <w:t>transition</w:t>
            </w:r>
            <w:r w:rsidRPr="00F11BF8">
              <w:rPr>
                <w:lang w:eastAsia="en-US"/>
              </w:rPr>
              <w:t xml:space="preserve"> period for </w:t>
            </w:r>
            <w:r w:rsidR="00B56C60">
              <w:rPr>
                <w:lang w:eastAsia="en-US"/>
              </w:rPr>
              <w:t xml:space="preserve">copper </w:t>
            </w:r>
            <w:r w:rsidR="00B56C60" w:rsidRPr="00B56C60">
              <w:rPr>
                <w:lang w:eastAsia="en-US"/>
              </w:rPr>
              <w:t>aligned to</w:t>
            </w:r>
            <w:r w:rsidRPr="00F11BF8">
              <w:rPr>
                <w:lang w:eastAsia="en-US"/>
              </w:rPr>
              <w:t xml:space="preserve"> the 1 December 2026 implementation date for the </w:t>
            </w:r>
            <w:r w:rsidRPr="00B64384">
              <w:rPr>
                <w:i/>
                <w:iCs/>
                <w:lang w:eastAsia="en-US"/>
              </w:rPr>
              <w:t>Workplace exposure limits for airborne contaminants</w:t>
            </w:r>
            <w:r w:rsidRPr="00F11BF8">
              <w:rPr>
                <w:lang w:eastAsia="en-US"/>
              </w:rPr>
              <w:t xml:space="preserve">.  </w:t>
            </w:r>
          </w:p>
        </w:tc>
      </w:tr>
    </w:tbl>
    <w:p w14:paraId="19A758BC" w14:textId="2D565CAE" w:rsidR="000B51DC" w:rsidRPr="002A7C24" w:rsidRDefault="00ED2E4C" w:rsidP="002A7C24">
      <w:pPr>
        <w:pStyle w:val="SWAHeading1"/>
      </w:pPr>
      <w:bookmarkStart w:id="248" w:name="_Toc196204680"/>
      <w:bookmarkEnd w:id="244"/>
      <w:bookmarkEnd w:id="245"/>
      <w:bookmarkEnd w:id="246"/>
      <w:r>
        <w:lastRenderedPageBreak/>
        <w:t xml:space="preserve"> </w:t>
      </w:r>
      <w:bookmarkStart w:id="249" w:name="_Toc219216897"/>
      <w:r w:rsidR="00247FD2">
        <w:t xml:space="preserve">Detailed </w:t>
      </w:r>
      <w:r w:rsidR="00BA3298">
        <w:t>i</w:t>
      </w:r>
      <w:r w:rsidR="00247FD2">
        <w:t xml:space="preserve">mpact </w:t>
      </w:r>
      <w:r w:rsidR="00BA3298">
        <w:t>a</w:t>
      </w:r>
      <w:r w:rsidR="00DC086E">
        <w:t>ssessment</w:t>
      </w:r>
      <w:r w:rsidR="00247FD2">
        <w:t xml:space="preserve"> for </w:t>
      </w:r>
      <w:r w:rsidR="00BA3298">
        <w:t>f</w:t>
      </w:r>
      <w:r w:rsidR="000B51DC" w:rsidRPr="002A7C24">
        <w:t>ormaldehyde</w:t>
      </w:r>
      <w:bookmarkEnd w:id="248"/>
      <w:bookmarkEnd w:id="249"/>
    </w:p>
    <w:tbl>
      <w:tblPr>
        <w:tblStyle w:val="TableGrid"/>
        <w:tblW w:w="0" w:type="auto"/>
        <w:tblLook w:val="04A0" w:firstRow="1" w:lastRow="0" w:firstColumn="1" w:lastColumn="0" w:noHBand="0" w:noVBand="1"/>
      </w:tblPr>
      <w:tblGrid>
        <w:gridCol w:w="9016"/>
      </w:tblGrid>
      <w:tr w:rsidR="000B51DC" w14:paraId="0D7065C5" w14:textId="77777777" w:rsidTr="00F51C3A">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4403EABB" w14:textId="77777777" w:rsidR="000B51DC" w:rsidRDefault="000B51DC">
            <w:pPr>
              <w:pStyle w:val="SWAHeading3"/>
              <w:keepNext/>
              <w:keepLines/>
            </w:pPr>
            <w:bookmarkStart w:id="250" w:name="_Toc193192618"/>
            <w:bookmarkStart w:id="251" w:name="_Toc196204681"/>
            <w:r>
              <w:t>Policy options for formaldehyde</w:t>
            </w:r>
            <w:bookmarkEnd w:id="250"/>
            <w:bookmarkEnd w:id="251"/>
          </w:p>
          <w:p w14:paraId="6550D7E1" w14:textId="6CB55A80" w:rsidR="000B51DC" w:rsidRDefault="000B51DC" w:rsidP="38A49B51">
            <w:pPr>
              <w:pStyle w:val="Paragraph"/>
              <w:rPr>
                <w:lang w:eastAsia="en-US"/>
              </w:rPr>
            </w:pPr>
            <w:r w:rsidRPr="38A49B51">
              <w:rPr>
                <w:lang w:eastAsia="en-US"/>
              </w:rPr>
              <w:t xml:space="preserve">Option 1 is to retain the current </w:t>
            </w:r>
            <w:r w:rsidR="00304BBF">
              <w:rPr>
                <w:lang w:eastAsia="en-US"/>
              </w:rPr>
              <w:t>T</w:t>
            </w:r>
            <w:r w:rsidR="00AB44CF">
              <w:rPr>
                <w:lang w:eastAsia="en-US"/>
              </w:rPr>
              <w:t>WA o</w:t>
            </w:r>
            <w:r w:rsidRPr="38A49B51">
              <w:rPr>
                <w:lang w:eastAsia="en-US"/>
              </w:rPr>
              <w:t>f 1 ppm (1.2 mg/m</w:t>
            </w:r>
            <w:r w:rsidRPr="38A49B51">
              <w:rPr>
                <w:vertAlign w:val="superscript"/>
                <w:lang w:eastAsia="en-US"/>
              </w:rPr>
              <w:t>3</w:t>
            </w:r>
            <w:r w:rsidRPr="38A49B51">
              <w:rPr>
                <w:lang w:eastAsia="en-US"/>
              </w:rPr>
              <w:t>) and STEL of 2 ppm (2.5 mg/m</w:t>
            </w:r>
            <w:r w:rsidRPr="38A49B51">
              <w:rPr>
                <w:vertAlign w:val="superscript"/>
                <w:lang w:eastAsia="en-US"/>
              </w:rPr>
              <w:t>3</w:t>
            </w:r>
            <w:r w:rsidRPr="38A49B51">
              <w:rPr>
                <w:lang w:eastAsia="en-US"/>
              </w:rPr>
              <w:t xml:space="preserve">). </w:t>
            </w:r>
          </w:p>
          <w:p w14:paraId="6976CBAC" w14:textId="28A9F55D" w:rsidR="000B51DC" w:rsidRPr="00DA0793" w:rsidRDefault="000B51DC">
            <w:pPr>
              <w:pStyle w:val="Paragraph"/>
              <w:rPr>
                <w:lang w:eastAsia="en-US"/>
              </w:rPr>
            </w:pPr>
            <w:r>
              <w:rPr>
                <w:lang w:eastAsia="en-US"/>
              </w:rPr>
              <w:t>Option 2 is to change to the proposed</w:t>
            </w:r>
            <w:r w:rsidR="00AB44CF">
              <w:rPr>
                <w:lang w:eastAsia="en-US"/>
              </w:rPr>
              <w:t xml:space="preserve"> TWA</w:t>
            </w:r>
            <w:r>
              <w:rPr>
                <w:lang w:eastAsia="en-US"/>
              </w:rPr>
              <w:t xml:space="preserve"> of 0.3 ppm (0.369 mg/m</w:t>
            </w:r>
            <w:r w:rsidRPr="00AC463F">
              <w:rPr>
                <w:vertAlign w:val="superscript"/>
                <w:lang w:eastAsia="en-US"/>
              </w:rPr>
              <w:t>3</w:t>
            </w:r>
            <w:r>
              <w:rPr>
                <w:lang w:eastAsia="en-US"/>
              </w:rPr>
              <w:t>) and STEL of 0.6 ppm (0.738 mg/m</w:t>
            </w:r>
            <w:r w:rsidRPr="00875A2F">
              <w:rPr>
                <w:vertAlign w:val="superscript"/>
                <w:lang w:eastAsia="en-US"/>
              </w:rPr>
              <w:t>3</w:t>
            </w:r>
            <w:r>
              <w:rPr>
                <w:lang w:eastAsia="en-US"/>
              </w:rPr>
              <w:t>)</w:t>
            </w:r>
            <w:r w:rsidR="00651400">
              <w:rPr>
                <w:lang w:eastAsia="en-US"/>
              </w:rPr>
              <w:t xml:space="preserve"> – </w:t>
            </w:r>
            <w:r w:rsidR="00651400" w:rsidRPr="00651400">
              <w:rPr>
                <w:b/>
                <w:bCs/>
                <w:lang w:eastAsia="en-US"/>
              </w:rPr>
              <w:t>recommended</w:t>
            </w:r>
            <w:r w:rsidR="00651400">
              <w:rPr>
                <w:b/>
                <w:bCs/>
                <w:lang w:eastAsia="en-US"/>
              </w:rPr>
              <w:t>.</w:t>
            </w:r>
          </w:p>
        </w:tc>
      </w:tr>
    </w:tbl>
    <w:p w14:paraId="31215670" w14:textId="28FB1B46" w:rsidR="00466734" w:rsidRDefault="00B7326A" w:rsidP="00B709FE">
      <w:pPr>
        <w:pStyle w:val="SWAHeading2"/>
        <w:ind w:left="709"/>
      </w:pPr>
      <w:bookmarkStart w:id="252" w:name="_Toc196204682"/>
      <w:bookmarkStart w:id="253" w:name="_Toc219216898"/>
      <w:bookmarkStart w:id="254" w:name="_Toc193192619"/>
      <w:r>
        <w:t>Be</w:t>
      </w:r>
      <w:r w:rsidR="00FB3DEA">
        <w:t>nefits of the proposed WEL for</w:t>
      </w:r>
      <w:r w:rsidR="00AB44CF">
        <w:t xml:space="preserve"> formaldehyde</w:t>
      </w:r>
      <w:bookmarkEnd w:id="252"/>
      <w:bookmarkEnd w:id="253"/>
    </w:p>
    <w:p w14:paraId="169D1CDF" w14:textId="57732D7A" w:rsidR="009B4471" w:rsidRDefault="009B4471" w:rsidP="007B34AB">
      <w:pPr>
        <w:pStyle w:val="SWAHeading3"/>
      </w:pPr>
      <w:bookmarkStart w:id="255" w:name="_Toc196204683"/>
      <w:r>
        <w:t>Health benefits for the proposed WEL for formaldehyde</w:t>
      </w:r>
      <w:bookmarkEnd w:id="255"/>
    </w:p>
    <w:p w14:paraId="40C95770" w14:textId="2245BAE6" w:rsidR="00AB0401" w:rsidRDefault="00B7326A" w:rsidP="00AB0401">
      <w:pPr>
        <w:pStyle w:val="Paragraph"/>
      </w:pPr>
      <w:r>
        <w:t xml:space="preserve">The proposed </w:t>
      </w:r>
      <w:r w:rsidR="00017D32" w:rsidRPr="009E6E20">
        <w:rPr>
          <w:lang w:eastAsia="en-US"/>
        </w:rPr>
        <w:t>TWA of 0.3 ppm (0.369 mg/m</w:t>
      </w:r>
      <w:r w:rsidR="00017D32" w:rsidRPr="009E6E20">
        <w:rPr>
          <w:vertAlign w:val="superscript"/>
          <w:lang w:eastAsia="en-US"/>
        </w:rPr>
        <w:t>3</w:t>
      </w:r>
      <w:r w:rsidR="00017D32" w:rsidRPr="009E6E20">
        <w:rPr>
          <w:lang w:eastAsia="en-US"/>
        </w:rPr>
        <w:t>) and STEL of 0.6 ppm (0.738 mg/m</w:t>
      </w:r>
      <w:r w:rsidR="00017D32" w:rsidRPr="009E6E20">
        <w:rPr>
          <w:vertAlign w:val="superscript"/>
          <w:lang w:eastAsia="en-US"/>
        </w:rPr>
        <w:t>3</w:t>
      </w:r>
      <w:r w:rsidR="00017D32" w:rsidRPr="009E6E20">
        <w:rPr>
          <w:lang w:eastAsia="en-US"/>
        </w:rPr>
        <w:t>)</w:t>
      </w:r>
      <w:r>
        <w:t xml:space="preserve"> for formaldehyde </w:t>
      </w:r>
      <w:r w:rsidR="00B55328">
        <w:t>will</w:t>
      </w:r>
      <w:r>
        <w:t xml:space="preserve"> protect workers and others in the workplace </w:t>
      </w:r>
      <w:r w:rsidR="00A91406">
        <w:rPr>
          <w:lang w:eastAsia="en-US"/>
        </w:rPr>
        <w:t>from the risk of developing</w:t>
      </w:r>
      <w:r w:rsidR="00AB0401">
        <w:rPr>
          <w:lang w:eastAsia="en-US"/>
        </w:rPr>
        <w:t xml:space="preserve"> localised sensory irritation </w:t>
      </w:r>
      <w:r w:rsidR="00BD5573">
        <w:rPr>
          <w:lang w:eastAsia="en-US"/>
        </w:rPr>
        <w:t>effects</w:t>
      </w:r>
      <w:r w:rsidR="0036600C">
        <w:rPr>
          <w:lang w:eastAsia="en-US"/>
        </w:rPr>
        <w:t xml:space="preserve"> and nasal cancer</w:t>
      </w:r>
      <w:r w:rsidR="00BD5573">
        <w:rPr>
          <w:lang w:eastAsia="en-US"/>
        </w:rPr>
        <w:t>.</w:t>
      </w:r>
      <w:r w:rsidR="00AB0401">
        <w:rPr>
          <w:lang w:eastAsia="en-US"/>
        </w:rPr>
        <w:t xml:space="preserve"> </w:t>
      </w:r>
      <w:r w:rsidR="00AB298C" w:rsidRPr="00AB298C">
        <w:rPr>
          <w:lang w:eastAsia="en-US"/>
        </w:rPr>
        <w:t xml:space="preserve">It is </w:t>
      </w:r>
      <w:r w:rsidR="00AB298C">
        <w:rPr>
          <w:lang w:eastAsia="en-US"/>
        </w:rPr>
        <w:t xml:space="preserve">likely to benefit </w:t>
      </w:r>
      <w:r w:rsidR="00651400">
        <w:rPr>
          <w:lang w:eastAsia="en-US"/>
        </w:rPr>
        <w:t>the estimated</w:t>
      </w:r>
      <w:r w:rsidR="00AB298C">
        <w:rPr>
          <w:lang w:eastAsia="en-US"/>
        </w:rPr>
        <w:t xml:space="preserve"> </w:t>
      </w:r>
      <w:r w:rsidR="00981ED5">
        <w:rPr>
          <w:lang w:eastAsia="en-US"/>
        </w:rPr>
        <w:t>244,047</w:t>
      </w:r>
      <w:r w:rsidR="00AB298C" w:rsidRPr="00AB298C">
        <w:rPr>
          <w:lang w:eastAsia="en-US"/>
        </w:rPr>
        <w:t xml:space="preserve"> workers </w:t>
      </w:r>
      <w:r w:rsidR="004C5942">
        <w:rPr>
          <w:lang w:eastAsia="en-US"/>
        </w:rPr>
        <w:t>who are at</w:t>
      </w:r>
      <w:r w:rsidR="00AB298C" w:rsidRPr="00AB298C">
        <w:rPr>
          <w:lang w:eastAsia="en-US"/>
        </w:rPr>
        <w:t xml:space="preserve"> risk of exposure to formaldehyde </w:t>
      </w:r>
      <w:r w:rsidR="00981ED5">
        <w:rPr>
          <w:lang w:eastAsia="en-US"/>
        </w:rPr>
        <w:t>each year</w:t>
      </w:r>
      <w:r w:rsidR="004C5942">
        <w:rPr>
          <w:lang w:eastAsia="en-US"/>
        </w:rPr>
        <w:t>,</w:t>
      </w:r>
      <w:r w:rsidR="00981ED5">
        <w:rPr>
          <w:lang w:eastAsia="en-US"/>
        </w:rPr>
        <w:t xml:space="preserve"> </w:t>
      </w:r>
      <w:r w:rsidR="00AB298C" w:rsidRPr="00AB298C">
        <w:rPr>
          <w:lang w:eastAsia="en-US"/>
        </w:rPr>
        <w:t>and are a</w:t>
      </w:r>
      <w:r w:rsidR="00703D65">
        <w:rPr>
          <w:lang w:eastAsia="en-US"/>
        </w:rPr>
        <w:t xml:space="preserve">lso </w:t>
      </w:r>
      <w:r w:rsidR="004C5942">
        <w:rPr>
          <w:lang w:eastAsia="en-US"/>
        </w:rPr>
        <w:t xml:space="preserve">therefore </w:t>
      </w:r>
      <w:r w:rsidR="00703D65">
        <w:rPr>
          <w:lang w:eastAsia="en-US"/>
        </w:rPr>
        <w:t>a</w:t>
      </w:r>
      <w:r w:rsidR="00AB298C" w:rsidRPr="00AB298C">
        <w:rPr>
          <w:lang w:eastAsia="en-US"/>
        </w:rPr>
        <w:t>t risk of developing sensory irritation effects</w:t>
      </w:r>
      <w:r w:rsidR="008E2FB8">
        <w:rPr>
          <w:lang w:eastAsia="en-US"/>
        </w:rPr>
        <w:t xml:space="preserve"> and nasal cancers</w:t>
      </w:r>
      <w:r w:rsidR="00AB298C" w:rsidRPr="00AB298C">
        <w:rPr>
          <w:lang w:eastAsia="en-US"/>
        </w:rPr>
        <w:t xml:space="preserve">. </w:t>
      </w:r>
    </w:p>
    <w:p w14:paraId="071AB5DA" w14:textId="75C77AD2" w:rsidR="000A535A" w:rsidRDefault="009B20E6" w:rsidP="000A535A">
      <w:pPr>
        <w:pStyle w:val="Paragraph"/>
        <w:rPr>
          <w:lang w:eastAsia="en-US"/>
        </w:rPr>
      </w:pPr>
      <w:hyperlink r:id="rId44" w:history="1">
        <w:r w:rsidRPr="00F834A0">
          <w:rPr>
            <w:rStyle w:val="Hyperlink"/>
            <w:lang w:eastAsia="en-US"/>
          </w:rPr>
          <w:t xml:space="preserve">Health </w:t>
        </w:r>
        <w:r w:rsidR="00AB0401" w:rsidRPr="00F834A0">
          <w:rPr>
            <w:rStyle w:val="Hyperlink"/>
            <w:lang w:eastAsia="en-US"/>
          </w:rPr>
          <w:t>evidence</w:t>
        </w:r>
      </w:hyperlink>
      <w:r w:rsidR="00AB0401">
        <w:rPr>
          <w:lang w:eastAsia="en-US"/>
        </w:rPr>
        <w:t xml:space="preserve"> </w:t>
      </w:r>
      <w:r w:rsidR="00F3116E">
        <w:rPr>
          <w:lang w:eastAsia="en-US"/>
        </w:rPr>
        <w:t xml:space="preserve">in the evaluation report for formaldehyde </w:t>
      </w:r>
      <w:r w:rsidR="00AB0401">
        <w:rPr>
          <w:lang w:eastAsia="en-US"/>
        </w:rPr>
        <w:t>suggest</w:t>
      </w:r>
      <w:r w:rsidR="00FB0D82">
        <w:rPr>
          <w:lang w:eastAsia="en-US"/>
        </w:rPr>
        <w:t xml:space="preserve"> </w:t>
      </w:r>
      <w:r w:rsidR="00FD7331">
        <w:rPr>
          <w:lang w:eastAsia="en-US"/>
        </w:rPr>
        <w:t xml:space="preserve">the </w:t>
      </w:r>
      <w:r w:rsidR="00AB0401">
        <w:rPr>
          <w:lang w:eastAsia="en-US"/>
        </w:rPr>
        <w:t xml:space="preserve">current TWA of 1 ppm </w:t>
      </w:r>
      <w:r w:rsidR="00FB0D82">
        <w:rPr>
          <w:lang w:eastAsia="en-US"/>
        </w:rPr>
        <w:t>puts workers at</w:t>
      </w:r>
      <w:r w:rsidR="00FD7331">
        <w:rPr>
          <w:lang w:eastAsia="en-US"/>
        </w:rPr>
        <w:t xml:space="preserve"> risk of </w:t>
      </w:r>
      <w:r w:rsidR="005B7BF1">
        <w:rPr>
          <w:lang w:eastAsia="en-US"/>
        </w:rPr>
        <w:t xml:space="preserve">workers developing </w:t>
      </w:r>
      <w:r w:rsidR="001E53FE">
        <w:rPr>
          <w:lang w:eastAsia="en-US"/>
        </w:rPr>
        <w:t>irritation</w:t>
      </w:r>
      <w:r w:rsidR="005B7BF1">
        <w:rPr>
          <w:lang w:eastAsia="en-US"/>
        </w:rPr>
        <w:t xml:space="preserve"> effects</w:t>
      </w:r>
      <w:r w:rsidR="00A67FE9">
        <w:rPr>
          <w:lang w:eastAsia="en-US"/>
        </w:rPr>
        <w:t xml:space="preserve">, and </w:t>
      </w:r>
      <w:r w:rsidR="00FA2ED1">
        <w:rPr>
          <w:lang w:eastAsia="en-US"/>
        </w:rPr>
        <w:t xml:space="preserve">subsequently </w:t>
      </w:r>
      <w:r w:rsidR="00A67FE9">
        <w:rPr>
          <w:lang w:eastAsia="en-US"/>
        </w:rPr>
        <w:t>nasal cancer</w:t>
      </w:r>
      <w:r w:rsidR="008359D9">
        <w:rPr>
          <w:lang w:eastAsia="en-US"/>
        </w:rPr>
        <w:t xml:space="preserve"> </w:t>
      </w:r>
      <w:sdt>
        <w:sdtPr>
          <w:id w:val="1371419769"/>
          <w:citation/>
        </w:sdtPr>
        <w:sdtEndPr/>
        <w:sdtContent>
          <w:r w:rsidR="008359D9">
            <w:fldChar w:fldCharType="begin"/>
          </w:r>
          <w:r w:rsidR="008359D9">
            <w:rPr>
              <w:lang w:eastAsia="en-US"/>
            </w:rPr>
            <w:instrText xml:space="preserve"> CITATION Saf192 \l 3081 </w:instrText>
          </w:r>
          <w:r w:rsidR="008359D9">
            <w:fldChar w:fldCharType="separate"/>
          </w:r>
          <w:r w:rsidR="00490B21">
            <w:rPr>
              <w:noProof/>
              <w:lang w:eastAsia="en-US"/>
            </w:rPr>
            <w:t>(Safe Work Australia, 2019)</w:t>
          </w:r>
          <w:r w:rsidR="008359D9">
            <w:fldChar w:fldCharType="end"/>
          </w:r>
        </w:sdtContent>
      </w:sdt>
      <w:r w:rsidR="00DA4969">
        <w:rPr>
          <w:lang w:eastAsia="en-US"/>
        </w:rPr>
        <w:t>. It also showed that the c</w:t>
      </w:r>
      <w:r w:rsidR="00B625AB">
        <w:rPr>
          <w:lang w:eastAsia="en-US"/>
        </w:rPr>
        <w:t xml:space="preserve">urrent STEL of 2 ppm for </w:t>
      </w:r>
      <w:r w:rsidR="00AB0401" w:rsidDel="00703D65">
        <w:rPr>
          <w:lang w:eastAsia="en-US"/>
        </w:rPr>
        <w:t xml:space="preserve">formaldehyde </w:t>
      </w:r>
      <w:r w:rsidR="00AC3B8D">
        <w:rPr>
          <w:lang w:eastAsia="en-US"/>
        </w:rPr>
        <w:t xml:space="preserve">is above the </w:t>
      </w:r>
      <w:r w:rsidR="008359D9">
        <w:rPr>
          <w:lang w:eastAsia="en-US"/>
        </w:rPr>
        <w:t>short-term exposure of approximately</w:t>
      </w:r>
      <w:r w:rsidR="00D078D7">
        <w:rPr>
          <w:lang w:eastAsia="en-US"/>
        </w:rPr>
        <w:t xml:space="preserve"> 1 ppm, which </w:t>
      </w:r>
      <w:r w:rsidR="00AB0401" w:rsidDel="00D078D7">
        <w:rPr>
          <w:lang w:eastAsia="en-US"/>
        </w:rPr>
        <w:t>can</w:t>
      </w:r>
      <w:r w:rsidR="00AB0401">
        <w:rPr>
          <w:lang w:eastAsia="en-US"/>
        </w:rPr>
        <w:t xml:space="preserve"> cause eye irritation</w:t>
      </w:r>
      <w:r w:rsidR="008359D9">
        <w:rPr>
          <w:lang w:eastAsia="en-US"/>
        </w:rPr>
        <w:t xml:space="preserve"> </w:t>
      </w:r>
      <w:sdt>
        <w:sdtPr>
          <w:rPr>
            <w:lang w:eastAsia="en-US"/>
          </w:rPr>
          <w:id w:val="922459592"/>
          <w:citation/>
        </w:sdtPr>
        <w:sdtEndPr/>
        <w:sdtContent>
          <w:r w:rsidR="008359D9">
            <w:rPr>
              <w:lang w:eastAsia="en-US"/>
            </w:rPr>
            <w:fldChar w:fldCharType="begin"/>
          </w:r>
          <w:r w:rsidR="008359D9">
            <w:rPr>
              <w:lang w:eastAsia="en-US"/>
            </w:rPr>
            <w:instrText xml:space="preserve"> CITATION Saf192 \l 3081 </w:instrText>
          </w:r>
          <w:r w:rsidR="008359D9">
            <w:rPr>
              <w:lang w:eastAsia="en-US"/>
            </w:rPr>
            <w:fldChar w:fldCharType="separate"/>
          </w:r>
          <w:r w:rsidR="00490B21">
            <w:rPr>
              <w:noProof/>
              <w:lang w:eastAsia="en-US"/>
            </w:rPr>
            <w:t>(Safe Work Australia, 2019)</w:t>
          </w:r>
          <w:r w:rsidR="008359D9">
            <w:rPr>
              <w:lang w:eastAsia="en-US"/>
            </w:rPr>
            <w:fldChar w:fldCharType="end"/>
          </w:r>
        </w:sdtContent>
      </w:sdt>
      <w:r w:rsidR="008359D9">
        <w:rPr>
          <w:lang w:eastAsia="en-US"/>
        </w:rPr>
        <w:t xml:space="preserve"> and</w:t>
      </w:r>
      <w:r w:rsidR="00AB0401">
        <w:rPr>
          <w:lang w:eastAsia="en-US"/>
        </w:rPr>
        <w:t xml:space="preserve"> could affect workers ability to work optimally in the workplace and result in workplace accidents</w:t>
      </w:r>
      <w:r w:rsidR="008359D9">
        <w:rPr>
          <w:lang w:eastAsia="en-US"/>
        </w:rPr>
        <w:t xml:space="preserve"> </w:t>
      </w:r>
      <w:sdt>
        <w:sdtPr>
          <w:rPr>
            <w:lang w:eastAsia="en-US"/>
          </w:rPr>
          <w:id w:val="-1949305698"/>
          <w:citation/>
        </w:sdtPr>
        <w:sdtEndPr/>
        <w:sdtContent>
          <w:r w:rsidR="008359D9">
            <w:rPr>
              <w:lang w:eastAsia="en-US"/>
            </w:rPr>
            <w:fldChar w:fldCharType="begin"/>
          </w:r>
          <w:r w:rsidR="008359D9">
            <w:rPr>
              <w:lang w:eastAsia="en-US"/>
            </w:rPr>
            <w:instrText xml:space="preserve"> CITATION Saf18 \l 3081 </w:instrText>
          </w:r>
          <w:r w:rsidR="008359D9">
            <w:rPr>
              <w:lang w:eastAsia="en-US"/>
            </w:rPr>
            <w:fldChar w:fldCharType="separate"/>
          </w:r>
          <w:r w:rsidR="00490B21">
            <w:rPr>
              <w:noProof/>
              <w:lang w:eastAsia="en-US"/>
            </w:rPr>
            <w:t>(Safe Work Australia, 2018)</w:t>
          </w:r>
          <w:r w:rsidR="008359D9">
            <w:rPr>
              <w:lang w:eastAsia="en-US"/>
            </w:rPr>
            <w:fldChar w:fldCharType="end"/>
          </w:r>
        </w:sdtContent>
      </w:sdt>
      <w:r w:rsidR="00AB0401">
        <w:rPr>
          <w:lang w:eastAsia="en-US"/>
        </w:rPr>
        <w:t xml:space="preserve">. </w:t>
      </w:r>
    </w:p>
    <w:p w14:paraId="1FC8C46E" w14:textId="77777777" w:rsidR="00341104" w:rsidRPr="0090312E" w:rsidRDefault="005C5870" w:rsidP="0090312E">
      <w:pPr>
        <w:pStyle w:val="SWA-NORMAL"/>
        <w:spacing w:line="240" w:lineRule="atLeast"/>
        <w:contextualSpacing w:val="0"/>
        <w:rPr>
          <w:rFonts w:eastAsia="Times New Roman"/>
          <w:lang w:eastAsia="en-AU"/>
        </w:rPr>
      </w:pPr>
      <w:r w:rsidRPr="0090312E">
        <w:rPr>
          <w:rFonts w:eastAsia="Times New Roman"/>
          <w:lang w:eastAsia="en-AU"/>
        </w:rPr>
        <w:t>T</w:t>
      </w:r>
      <w:r w:rsidR="0064782B" w:rsidRPr="0090312E">
        <w:rPr>
          <w:rFonts w:eastAsia="Times New Roman"/>
          <w:lang w:eastAsia="en-AU"/>
        </w:rPr>
        <w:t>he proposed</w:t>
      </w:r>
      <w:r w:rsidR="0064782B" w:rsidRPr="0090312E" w:rsidDel="00136F77">
        <w:rPr>
          <w:rFonts w:eastAsia="Times New Roman"/>
          <w:lang w:eastAsia="en-AU"/>
        </w:rPr>
        <w:t xml:space="preserve"> </w:t>
      </w:r>
      <w:r w:rsidR="0064782B" w:rsidRPr="0090312E">
        <w:rPr>
          <w:rFonts w:eastAsia="Times New Roman"/>
          <w:lang w:eastAsia="en-AU"/>
        </w:rPr>
        <w:t>TWA</w:t>
      </w:r>
      <w:r w:rsidR="0064782B" w:rsidRPr="0090312E" w:rsidDel="00F61D0B">
        <w:rPr>
          <w:rFonts w:eastAsia="Times New Roman"/>
          <w:lang w:eastAsia="en-AU"/>
        </w:rPr>
        <w:t xml:space="preserve"> </w:t>
      </w:r>
      <w:r w:rsidR="0064782B" w:rsidRPr="0090312E">
        <w:rPr>
          <w:rFonts w:eastAsia="Times New Roman"/>
          <w:lang w:eastAsia="en-AU"/>
        </w:rPr>
        <w:t>of 0.3 ppm (0.369 mg/m</w:t>
      </w:r>
      <w:r w:rsidR="0064782B" w:rsidRPr="0090312E">
        <w:rPr>
          <w:rFonts w:eastAsia="Times New Roman"/>
          <w:vertAlign w:val="superscript"/>
          <w:lang w:eastAsia="en-AU"/>
        </w:rPr>
        <w:t>3</w:t>
      </w:r>
      <w:r w:rsidR="0064782B" w:rsidRPr="0090312E">
        <w:rPr>
          <w:rFonts w:eastAsia="Times New Roman"/>
          <w:lang w:eastAsia="en-AU"/>
        </w:rPr>
        <w:t>) and STEL of 0.6 ppm (0.738 mg/m</w:t>
      </w:r>
      <w:r w:rsidR="0064782B" w:rsidRPr="0090312E">
        <w:rPr>
          <w:rFonts w:eastAsia="Times New Roman"/>
          <w:vertAlign w:val="superscript"/>
          <w:lang w:eastAsia="en-AU"/>
        </w:rPr>
        <w:t>3</w:t>
      </w:r>
      <w:r w:rsidR="0064782B" w:rsidRPr="0090312E">
        <w:rPr>
          <w:rFonts w:eastAsia="Times New Roman"/>
          <w:lang w:eastAsia="en-AU"/>
        </w:rPr>
        <w:t xml:space="preserve">) for formaldehyde </w:t>
      </w:r>
      <w:r w:rsidRPr="0090312E">
        <w:rPr>
          <w:rFonts w:eastAsia="Times New Roman"/>
          <w:lang w:eastAsia="en-AU"/>
        </w:rPr>
        <w:t>was determined in accordance with the</w:t>
      </w:r>
      <w:r w:rsidR="0064782B" w:rsidRPr="0090312E">
        <w:rPr>
          <w:rFonts w:eastAsia="Times New Roman"/>
          <w:lang w:eastAsia="en-AU"/>
        </w:rPr>
        <w:t xml:space="preserve"> health-based methodology </w:t>
      </w:r>
      <w:r w:rsidRPr="0090312E">
        <w:rPr>
          <w:rFonts w:eastAsia="Times New Roman"/>
          <w:lang w:eastAsia="en-AU"/>
        </w:rPr>
        <w:t>agreed by</w:t>
      </w:r>
      <w:r w:rsidR="0064782B" w:rsidRPr="0090312E">
        <w:rPr>
          <w:rFonts w:eastAsia="Times New Roman"/>
          <w:lang w:eastAsia="en-AU"/>
        </w:rPr>
        <w:t xml:space="preserve"> WHS ministers (and which relied on the scientific evidence available at the time of the review</w:t>
      </w:r>
      <w:r w:rsidRPr="0090312E">
        <w:rPr>
          <w:rFonts w:eastAsia="Times New Roman"/>
          <w:lang w:eastAsia="en-AU"/>
        </w:rPr>
        <w:t xml:space="preserve"> from trusted international and national sources</w:t>
      </w:r>
      <w:r w:rsidR="0064782B" w:rsidRPr="0090312E">
        <w:rPr>
          <w:rFonts w:eastAsia="Times New Roman"/>
          <w:lang w:eastAsia="en-AU"/>
        </w:rPr>
        <w:t>)</w:t>
      </w:r>
      <w:r w:rsidRPr="0090312E">
        <w:rPr>
          <w:rFonts w:eastAsia="Times New Roman"/>
          <w:lang w:eastAsia="en-AU"/>
        </w:rPr>
        <w:t>.</w:t>
      </w:r>
      <w:r w:rsidR="007067FB" w:rsidRPr="0090312E">
        <w:rPr>
          <w:rFonts w:eastAsia="Times New Roman"/>
          <w:lang w:eastAsia="en-AU"/>
        </w:rPr>
        <w:t xml:space="preserve"> </w:t>
      </w:r>
    </w:p>
    <w:p w14:paraId="4F9C9B50" w14:textId="1A2F614F" w:rsidR="00341104" w:rsidRPr="006D6899" w:rsidRDefault="00341104" w:rsidP="007B0A23">
      <w:r w:rsidRPr="006D6899">
        <w:t>The evaluation for formaldehyde</w:t>
      </w:r>
      <w:r w:rsidRPr="006D6899">
        <w:rPr>
          <w:rStyle w:val="FootnoteReference"/>
        </w:rPr>
        <w:footnoteReference w:id="110"/>
      </w:r>
      <w:r w:rsidR="006454BD" w:rsidRPr="006D6899">
        <w:t xml:space="preserve"> </w:t>
      </w:r>
      <w:r w:rsidRPr="006D6899">
        <w:t xml:space="preserve">employed a weight of evidence approach, considering information from multiple agreed primary sources supported by information from agreed secondary sources </w:t>
      </w:r>
      <w:sdt>
        <w:sdtPr>
          <w:id w:val="1632441537"/>
          <w:citation/>
        </w:sdtPr>
        <w:sdtEndPr/>
        <w:sdtContent>
          <w:r w:rsidRPr="006D6899">
            <w:fldChar w:fldCharType="begin"/>
          </w:r>
          <w:r w:rsidRPr="006D6899">
            <w:instrText xml:space="preserve"> CITATION Saf181 \l 3081 </w:instrText>
          </w:r>
          <w:r w:rsidRPr="006D6899">
            <w:fldChar w:fldCharType="separate"/>
          </w:r>
          <w:r w:rsidR="00490B21">
            <w:rPr>
              <w:noProof/>
            </w:rPr>
            <w:t>(Safe Work Australia, 2018)</w:t>
          </w:r>
          <w:r w:rsidRPr="006D6899">
            <w:fldChar w:fldCharType="end"/>
          </w:r>
        </w:sdtContent>
      </w:sdt>
      <w:r w:rsidRPr="006D6899">
        <w:t>.</w:t>
      </w:r>
    </w:p>
    <w:p w14:paraId="5AD5BFBD" w14:textId="20F5692A" w:rsidR="004230AB" w:rsidRPr="006D6899" w:rsidRDefault="004230AB" w:rsidP="004230AB">
      <w:pPr>
        <w:pStyle w:val="SWA-NORMAL"/>
        <w:spacing w:line="240" w:lineRule="atLeast"/>
        <w:contextualSpacing w:val="0"/>
      </w:pPr>
      <w:r w:rsidRPr="006D6899">
        <w:rPr>
          <w:rFonts w:eastAsia="Times New Roman"/>
          <w:lang w:eastAsia="en-AU"/>
        </w:rPr>
        <w:t xml:space="preserve">Health evidence from the European Union’s Scientific Committee on Occupational Exposure Limits (SCOEL) and National Industrial Chemicals Notification and Assessment Scheme (NICNAS, now the Australian Industrial Chemical Introduction Scheme) supports a health-based recommendation of </w:t>
      </w:r>
      <w:r w:rsidRPr="006D6899">
        <w:t>a TWA of 0.3 ppm (0.369 mg/m</w:t>
      </w:r>
      <w:r w:rsidRPr="006D6899">
        <w:rPr>
          <w:vertAlign w:val="superscript"/>
        </w:rPr>
        <w:t>3</w:t>
      </w:r>
      <w:r w:rsidRPr="006D6899">
        <w:t>) and a STEL of 0.6 ppm (0.738 mg/m</w:t>
      </w:r>
      <w:r w:rsidRPr="006D6899">
        <w:rPr>
          <w:vertAlign w:val="superscript"/>
        </w:rPr>
        <w:t>3</w:t>
      </w:r>
      <w:r w:rsidRPr="006D6899">
        <w:t xml:space="preserve">) to protect workers from sensory irritation effects and nasal cancer </w:t>
      </w:r>
      <w:sdt>
        <w:sdtPr>
          <w:id w:val="-400675564"/>
          <w:citation/>
        </w:sdtPr>
        <w:sdtEndPr/>
        <w:sdtContent>
          <w:r w:rsidRPr="006D6899">
            <w:fldChar w:fldCharType="begin"/>
          </w:r>
          <w:r w:rsidRPr="006D6899">
            <w:instrText>CITATION Nat06 \l 3081  \m Dir16</w:instrText>
          </w:r>
          <w:r w:rsidRPr="006D6899">
            <w:fldChar w:fldCharType="separate"/>
          </w:r>
          <w:r w:rsidR="00490B21">
            <w:rPr>
              <w:noProof/>
            </w:rPr>
            <w:t>(National Industrial Chemicals Notification and Assessment Scheme, 2006; Directorate-General for Employment, Social Affairs and Inclusion (European Commission), 2016)</w:t>
          </w:r>
          <w:r w:rsidRPr="006D6899">
            <w:fldChar w:fldCharType="end"/>
          </w:r>
        </w:sdtContent>
      </w:sdt>
      <w:r w:rsidRPr="006D6899">
        <w:t xml:space="preserve">. </w:t>
      </w:r>
    </w:p>
    <w:p w14:paraId="3E109A65" w14:textId="77777777" w:rsidR="00341104" w:rsidRPr="006D6899" w:rsidRDefault="00341104" w:rsidP="007B0A23"/>
    <w:p w14:paraId="30DFB85D" w14:textId="382CFC9B" w:rsidR="00611A9C" w:rsidRPr="006D6899" w:rsidRDefault="004230AB" w:rsidP="0064782B">
      <w:r w:rsidRPr="006D6899">
        <w:lastRenderedPageBreak/>
        <w:t xml:space="preserve">Note: </w:t>
      </w:r>
      <w:r w:rsidR="00EF1DDB" w:rsidRPr="006D6899">
        <w:t>T</w:t>
      </w:r>
      <w:r w:rsidR="007067FB" w:rsidRPr="006D6899">
        <w:t>he proposed WEL</w:t>
      </w:r>
      <w:r w:rsidR="00060477" w:rsidRPr="006D6899">
        <w:t xml:space="preserve"> differ</w:t>
      </w:r>
      <w:r w:rsidR="00EF1DDB" w:rsidRPr="006D6899">
        <w:t>s</w:t>
      </w:r>
      <w:r w:rsidR="00060477" w:rsidRPr="006D6899">
        <w:t xml:space="preserve"> from that in the </w:t>
      </w:r>
      <w:r w:rsidR="000E7429" w:rsidRPr="006D6899">
        <w:t xml:space="preserve">published </w:t>
      </w:r>
      <w:r w:rsidR="00060477" w:rsidRPr="006D6899">
        <w:t>evaluation report</w:t>
      </w:r>
      <w:r w:rsidR="000E7429" w:rsidRPr="006D6899">
        <w:t>. Safe Work Australia Members</w:t>
      </w:r>
      <w:r w:rsidR="0001369B" w:rsidRPr="006D6899">
        <w:t xml:space="preserve"> </w:t>
      </w:r>
      <w:r w:rsidR="000E7429" w:rsidRPr="006D6899">
        <w:rPr>
          <w:rStyle w:val="2018ReviewBulletsChar"/>
          <w:sz w:val="22"/>
          <w:szCs w:val="22"/>
        </w:rPr>
        <w:t>considered</w:t>
      </w:r>
      <w:r w:rsidR="00611A9C" w:rsidRPr="006D6899">
        <w:rPr>
          <w:rStyle w:val="2018ReviewBulletsChar"/>
          <w:sz w:val="22"/>
          <w:szCs w:val="22"/>
        </w:rPr>
        <w:t xml:space="preserve"> </w:t>
      </w:r>
      <w:r w:rsidR="004C7F58" w:rsidRPr="006D6899">
        <w:rPr>
          <w:rStyle w:val="2018ReviewBulletsChar"/>
          <w:sz w:val="22"/>
          <w:szCs w:val="22"/>
        </w:rPr>
        <w:t xml:space="preserve">the </w:t>
      </w:r>
      <w:r w:rsidR="00611A9C" w:rsidRPr="006D6899">
        <w:rPr>
          <w:rStyle w:val="2018ReviewBulletsChar"/>
          <w:sz w:val="22"/>
          <w:szCs w:val="22"/>
        </w:rPr>
        <w:t>evidence</w:t>
      </w:r>
      <w:r w:rsidR="004C7F58" w:rsidRPr="006D6899">
        <w:rPr>
          <w:rStyle w:val="2018ReviewBulletsChar"/>
          <w:sz w:val="22"/>
          <w:szCs w:val="22"/>
        </w:rPr>
        <w:t xml:space="preserve"> from the agreed sources</w:t>
      </w:r>
      <w:r w:rsidR="00611A9C" w:rsidRPr="006D6899">
        <w:rPr>
          <w:rStyle w:val="2018ReviewBulletsChar"/>
          <w:sz w:val="22"/>
          <w:szCs w:val="22"/>
        </w:rPr>
        <w:t xml:space="preserve"> and stakeholder feedback </w:t>
      </w:r>
      <w:r w:rsidR="000E7429" w:rsidRPr="006D6899">
        <w:rPr>
          <w:rStyle w:val="2018ReviewBulletsChar"/>
          <w:sz w:val="22"/>
          <w:szCs w:val="22"/>
        </w:rPr>
        <w:t xml:space="preserve">received </w:t>
      </w:r>
      <w:r w:rsidR="00611A9C" w:rsidRPr="006D6899">
        <w:rPr>
          <w:rStyle w:val="2018ReviewBulletsChar"/>
          <w:sz w:val="22"/>
          <w:szCs w:val="22"/>
        </w:rPr>
        <w:t>during the WES review</w:t>
      </w:r>
      <w:r w:rsidR="000E7429" w:rsidRPr="006D6899">
        <w:rPr>
          <w:rStyle w:val="2018ReviewBulletsChar"/>
          <w:sz w:val="22"/>
          <w:szCs w:val="22"/>
        </w:rPr>
        <w:t xml:space="preserve"> an agreed the alternate health-based </w:t>
      </w:r>
      <w:r w:rsidR="00365221" w:rsidRPr="006D6899">
        <w:rPr>
          <w:rStyle w:val="2018ReviewBulletsChar"/>
          <w:sz w:val="22"/>
          <w:szCs w:val="22"/>
        </w:rPr>
        <w:t>TWA and STEL</w:t>
      </w:r>
      <w:r w:rsidR="00611A9C" w:rsidRPr="006D6899">
        <w:rPr>
          <w:rStyle w:val="2018ReviewBulletsChar"/>
          <w:sz w:val="22"/>
          <w:szCs w:val="22"/>
        </w:rPr>
        <w:t>.</w:t>
      </w:r>
    </w:p>
    <w:p w14:paraId="2468D981" w14:textId="3AA707D4" w:rsidR="00981DD9" w:rsidRPr="00981DD9" w:rsidRDefault="00651400" w:rsidP="000C7348">
      <w:pPr>
        <w:pStyle w:val="SWAHeading4"/>
      </w:pPr>
      <w:r w:rsidRPr="006D6899">
        <w:t>International preceden</w:t>
      </w:r>
      <w:r w:rsidR="000B1A76" w:rsidRPr="006D6899">
        <w:t>t</w:t>
      </w:r>
    </w:p>
    <w:p w14:paraId="43F56D05" w14:textId="725FA56D" w:rsidR="00536B9B" w:rsidRPr="0007785F" w:rsidRDefault="00BE647F" w:rsidP="000A7099">
      <w:pPr>
        <w:pStyle w:val="Paragraph"/>
      </w:pPr>
      <w:r w:rsidRPr="0007785F">
        <w:t>T</w:t>
      </w:r>
      <w:r w:rsidR="00F0285C" w:rsidRPr="0007785F">
        <w:t>he proposed WEL</w:t>
      </w:r>
      <w:r w:rsidR="000A4384" w:rsidRPr="0007785F">
        <w:t xml:space="preserve"> </w:t>
      </w:r>
      <w:r w:rsidR="00856196" w:rsidRPr="0007785F">
        <w:t>(TWA and STEL)</w:t>
      </w:r>
      <w:r w:rsidR="000A4384" w:rsidRPr="0007785F">
        <w:t xml:space="preserve"> for formaldehyde</w:t>
      </w:r>
      <w:r w:rsidR="00F0285C" w:rsidRPr="0007785F">
        <w:t xml:space="preserve"> is </w:t>
      </w:r>
      <w:r w:rsidR="00536B9B" w:rsidRPr="0007785F">
        <w:t xml:space="preserve">consistent with that </w:t>
      </w:r>
      <w:r w:rsidR="00F0285C" w:rsidRPr="0007785F">
        <w:t xml:space="preserve">recommended by SCOEL. </w:t>
      </w:r>
      <w:r w:rsidR="00A47F40" w:rsidRPr="0007785F">
        <w:t xml:space="preserve">The proposed TWA is consistent with </w:t>
      </w:r>
      <w:r w:rsidR="00391EA6" w:rsidRPr="0007785F">
        <w:t>that recommended by the Deutsche Forschungsgemeinschaft (DFG) in Germany.</w:t>
      </w:r>
    </w:p>
    <w:p w14:paraId="69C1E2DD" w14:textId="75C1768B" w:rsidR="00981DD9" w:rsidRDefault="00BA3107" w:rsidP="000A7099">
      <w:pPr>
        <w:pStyle w:val="Paragraph"/>
      </w:pPr>
      <w:r w:rsidRPr="0007785F">
        <w:t>The</w:t>
      </w:r>
      <w:r w:rsidR="002F1262" w:rsidRPr="0007785F">
        <w:t xml:space="preserve"> </w:t>
      </w:r>
      <w:r w:rsidRPr="0007785F">
        <w:t xml:space="preserve">SCOEL </w:t>
      </w:r>
      <w:r w:rsidR="002F1262" w:rsidRPr="0007785F">
        <w:t xml:space="preserve">and DFG </w:t>
      </w:r>
      <w:r w:rsidRPr="0007785F">
        <w:t>w</w:t>
      </w:r>
      <w:r w:rsidR="002F1262" w:rsidRPr="0007785F">
        <w:t>ere</w:t>
      </w:r>
      <w:r w:rsidRPr="0007785F">
        <w:t xml:space="preserve"> </w:t>
      </w:r>
      <w:r w:rsidR="00536B9B" w:rsidRPr="0007785F">
        <w:t xml:space="preserve">selected as </w:t>
      </w:r>
      <w:r w:rsidRPr="0007785F">
        <w:t>primary source</w:t>
      </w:r>
      <w:r w:rsidR="002F1262" w:rsidRPr="0007785F">
        <w:t>s</w:t>
      </w:r>
      <w:r w:rsidR="00536B9B" w:rsidRPr="0007785F">
        <w:t xml:space="preserve"> </w:t>
      </w:r>
      <w:r w:rsidR="00536B9B" w:rsidRPr="0007785F">
        <w:rPr>
          <w:rFonts w:cs="Arial"/>
        </w:rPr>
        <w:t xml:space="preserve">as they have international credibility, develop standards through consensus that are health-based and based on evaluation of appropriate data, and their documentation of evaluations is accessible and robust </w:t>
      </w:r>
      <w:sdt>
        <w:sdtPr>
          <w:id w:val="1382681176"/>
          <w:citation/>
        </w:sdtPr>
        <w:sdtEndPr/>
        <w:sdtContent>
          <w:r w:rsidR="00536B9B" w:rsidRPr="0007785F">
            <w:fldChar w:fldCharType="begin"/>
          </w:r>
          <w:r w:rsidR="00536B9B" w:rsidRPr="0007785F">
            <w:instrText xml:space="preserve"> CITATION Saf181 \l 3081 </w:instrText>
          </w:r>
          <w:r w:rsidR="00536B9B" w:rsidRPr="0007785F">
            <w:fldChar w:fldCharType="separate"/>
          </w:r>
          <w:r w:rsidR="00490B21">
            <w:rPr>
              <w:noProof/>
            </w:rPr>
            <w:t>(Safe Work Australia, 2018)</w:t>
          </w:r>
          <w:r w:rsidR="00536B9B" w:rsidRPr="0007785F">
            <w:fldChar w:fldCharType="end"/>
          </w:r>
        </w:sdtContent>
      </w:sdt>
      <w:r w:rsidR="00536B9B" w:rsidRPr="0007785F">
        <w:rPr>
          <w:rFonts w:cs="Arial"/>
        </w:rPr>
        <w:t>.</w:t>
      </w:r>
      <w:r w:rsidR="00536B9B" w:rsidRPr="0007785F">
        <w:t xml:space="preserve"> </w:t>
      </w:r>
    </w:p>
    <w:p w14:paraId="305117A6" w14:textId="6152D48F" w:rsidR="009675BA" w:rsidRDefault="002B6C0C" w:rsidP="00850C88">
      <w:pPr>
        <w:pStyle w:val="Paragraph"/>
        <w:keepNext w:val="0"/>
      </w:pPr>
      <w:r w:rsidRPr="002B6C0C">
        <w:t xml:space="preserve">This health-based recommendation </w:t>
      </w:r>
      <w:r w:rsidR="00260679">
        <w:t xml:space="preserve">of </w:t>
      </w:r>
      <w:r w:rsidR="00260679" w:rsidRPr="00260679">
        <w:t>TWA of 0.3 ppm (0.369 mg/m</w:t>
      </w:r>
      <w:r w:rsidR="00260679" w:rsidRPr="00260679">
        <w:rPr>
          <w:vertAlign w:val="superscript"/>
        </w:rPr>
        <w:t>3</w:t>
      </w:r>
      <w:r w:rsidR="00260679" w:rsidRPr="00260679">
        <w:t>) and a STEL of 0.6 ppm (0.738 mg/m</w:t>
      </w:r>
      <w:r w:rsidR="00260679" w:rsidRPr="00260679">
        <w:rPr>
          <w:vertAlign w:val="superscript"/>
        </w:rPr>
        <w:t>3</w:t>
      </w:r>
      <w:r w:rsidR="00260679" w:rsidRPr="00260679">
        <w:t>)</w:t>
      </w:r>
      <w:r w:rsidR="00260679">
        <w:t xml:space="preserve"> </w:t>
      </w:r>
      <w:r w:rsidRPr="002B6C0C">
        <w:t>for</w:t>
      </w:r>
      <w:r>
        <w:t xml:space="preserve"> formaldehyde</w:t>
      </w:r>
      <w:r w:rsidRPr="002B6C0C">
        <w:t xml:space="preserve"> </w:t>
      </w:r>
      <w:r>
        <w:t>is</w:t>
      </w:r>
      <w:r w:rsidRPr="002B6C0C">
        <w:t xml:space="preserve"> implemented in the European Union and its member states</w:t>
      </w:r>
      <w:r w:rsidR="009675BA">
        <w:t xml:space="preserve"> on the basis that formaldehyde is carcinogenic to humans and is a skin sensitiser</w:t>
      </w:r>
      <w:r w:rsidR="00C2098A">
        <w:t xml:space="preserve"> </w:t>
      </w:r>
      <w:sdt>
        <w:sdtPr>
          <w:id w:val="565684659"/>
          <w:citation/>
        </w:sdtPr>
        <w:sdtEndPr/>
        <w:sdtContent>
          <w:r w:rsidR="00C2098A">
            <w:fldChar w:fldCharType="begin"/>
          </w:r>
          <w:r w:rsidR="00C2098A">
            <w:instrText xml:space="preserve"> CITATION Eur191 \l 3081 </w:instrText>
          </w:r>
          <w:r w:rsidR="00C2098A">
            <w:fldChar w:fldCharType="separate"/>
          </w:r>
          <w:r w:rsidR="00490B21">
            <w:rPr>
              <w:noProof/>
            </w:rPr>
            <w:t>(European Union, 2019)</w:t>
          </w:r>
          <w:r w:rsidR="00C2098A">
            <w:fldChar w:fldCharType="end"/>
          </w:r>
        </w:sdtContent>
      </w:sdt>
      <w:r w:rsidR="009675BA">
        <w:t>.</w:t>
      </w:r>
      <w:r w:rsidR="004C67C2">
        <w:t xml:space="preserve"> </w:t>
      </w:r>
      <w:r w:rsidR="00884D27">
        <w:t>Per their impact assessment, the EU identified that a</w:t>
      </w:r>
      <w:r w:rsidR="000D3003">
        <w:t xml:space="preserve">dopting the health-recommendation </w:t>
      </w:r>
      <w:r w:rsidR="0083740B" w:rsidRPr="0083740B">
        <w:t>of TWA of 0.3 ppm (0.369 mg/m</w:t>
      </w:r>
      <w:r w:rsidR="0083740B" w:rsidRPr="0083740B">
        <w:rPr>
          <w:vertAlign w:val="superscript"/>
        </w:rPr>
        <w:t>3</w:t>
      </w:r>
      <w:r w:rsidR="0083740B" w:rsidRPr="0083740B">
        <w:t>) and a STEL of 0.6 ppm (0.738 mg/m</w:t>
      </w:r>
      <w:r w:rsidR="0083740B" w:rsidRPr="0083740B">
        <w:rPr>
          <w:vertAlign w:val="superscript"/>
        </w:rPr>
        <w:t>3</w:t>
      </w:r>
      <w:r w:rsidR="0083740B" w:rsidRPr="0083740B">
        <w:t>)</w:t>
      </w:r>
      <w:r w:rsidR="0083740B">
        <w:t xml:space="preserve"> for formaldehyde </w:t>
      </w:r>
      <w:r w:rsidR="00AE339E">
        <w:t>would</w:t>
      </w:r>
      <w:r w:rsidR="00B323C4">
        <w:t xml:space="preserve"> </w:t>
      </w:r>
      <w:r w:rsidR="00E860EB">
        <w:t xml:space="preserve">reduce </w:t>
      </w:r>
      <w:r w:rsidR="00F812D8" w:rsidRPr="00F812D8">
        <w:t xml:space="preserve">cancer </w:t>
      </w:r>
      <w:r w:rsidR="00A43E66">
        <w:t xml:space="preserve">cases </w:t>
      </w:r>
      <w:r w:rsidR="00AE339E">
        <w:t>to 7 cases</w:t>
      </w:r>
      <w:r w:rsidR="0083740B">
        <w:t xml:space="preserve"> over a </w:t>
      </w:r>
      <w:r w:rsidR="005571CB">
        <w:t>60-year</w:t>
      </w:r>
      <w:r w:rsidR="0083740B">
        <w:t xml:space="preserve"> period, down from their estimated </w:t>
      </w:r>
      <w:r w:rsidR="00AE339E">
        <w:t>330 cases per year</w:t>
      </w:r>
      <w:r w:rsidR="0083740B">
        <w:t xml:space="preserve">. Similarly, the EU identified </w:t>
      </w:r>
      <w:r w:rsidR="004A11B3">
        <w:t xml:space="preserve">19,200 cases of </w:t>
      </w:r>
      <w:r w:rsidR="0050346B">
        <w:t>sensory irritation</w:t>
      </w:r>
      <w:r w:rsidR="005571CB">
        <w:t xml:space="preserve"> would be prevented</w:t>
      </w:r>
      <w:r w:rsidR="00E532CC">
        <w:t xml:space="preserve"> across the EU</w:t>
      </w:r>
      <w:r w:rsidR="00884D27">
        <w:t xml:space="preserve"> across </w:t>
      </w:r>
      <w:r w:rsidR="005571CB">
        <w:t xml:space="preserve">the same period </w:t>
      </w:r>
      <w:sdt>
        <w:sdtPr>
          <w:id w:val="-437756118"/>
          <w:citation/>
        </w:sdtPr>
        <w:sdtEndPr/>
        <w:sdtContent>
          <w:r w:rsidR="009A6875">
            <w:fldChar w:fldCharType="begin"/>
          </w:r>
          <w:r w:rsidR="009A6875">
            <w:instrText xml:space="preserve"> CITATION Eur18 \l 3081 </w:instrText>
          </w:r>
          <w:r w:rsidR="009A6875">
            <w:fldChar w:fldCharType="separate"/>
          </w:r>
          <w:r w:rsidR="00490B21">
            <w:rPr>
              <w:noProof/>
            </w:rPr>
            <w:t>(European Commission, 2018)</w:t>
          </w:r>
          <w:r w:rsidR="009A6875">
            <w:fldChar w:fldCharType="end"/>
          </w:r>
        </w:sdtContent>
      </w:sdt>
      <w:r w:rsidR="00907267">
        <w:t>.</w:t>
      </w:r>
      <w:r w:rsidR="009675BA">
        <w:t xml:space="preserve"> </w:t>
      </w:r>
    </w:p>
    <w:p w14:paraId="285B579D" w14:textId="2E4C8CC2" w:rsidR="00FE4884" w:rsidRDefault="00051E85" w:rsidP="00850C88">
      <w:pPr>
        <w:pStyle w:val="Paragraph"/>
        <w:keepNext w:val="0"/>
      </w:pPr>
      <w:r>
        <w:t>Other countries wh</w:t>
      </w:r>
      <w:r w:rsidR="007A5031">
        <w:t>i</w:t>
      </w:r>
      <w:r w:rsidR="007A57E1">
        <w:t>ch</w:t>
      </w:r>
      <w:r>
        <w:t xml:space="preserve"> have </w:t>
      </w:r>
      <w:r w:rsidR="008F79F7">
        <w:t xml:space="preserve">recommended </w:t>
      </w:r>
      <w:r>
        <w:t xml:space="preserve">the health-based </w:t>
      </w:r>
      <w:r w:rsidR="008F79F7">
        <w:t xml:space="preserve">limits </w:t>
      </w:r>
      <w:r>
        <w:t xml:space="preserve">include </w:t>
      </w:r>
      <w:r w:rsidR="00280607">
        <w:t>New Zealand and South Korea (TWA only)</w:t>
      </w:r>
      <w:r w:rsidR="001A3E4B">
        <w:t xml:space="preserve"> </w:t>
      </w:r>
      <w:sdt>
        <w:sdtPr>
          <w:id w:val="-1831363719"/>
          <w:citation/>
        </w:sdtPr>
        <w:sdtEndPr/>
        <w:sdtContent>
          <w:r>
            <w:fldChar w:fldCharType="begin"/>
          </w:r>
          <w:r>
            <w:instrText xml:space="preserve"> CITATION Fornd \l 3081 </w:instrText>
          </w:r>
          <w:r>
            <w:fldChar w:fldCharType="separate"/>
          </w:r>
          <w:r w:rsidR="00490B21">
            <w:rPr>
              <w:noProof/>
            </w:rPr>
            <w:t>(Institute for Occupational Safety and Health of the German Social Accident Insurance, n.d.)</w:t>
          </w:r>
          <w:r>
            <w:fldChar w:fldCharType="end"/>
          </w:r>
        </w:sdtContent>
      </w:sdt>
      <w:r w:rsidR="002B6C0C" w:rsidRPr="002B6C0C">
        <w:t>.</w:t>
      </w:r>
      <w:r w:rsidR="001F2C80">
        <w:t xml:space="preserve"> </w:t>
      </w:r>
    </w:p>
    <w:p w14:paraId="3B3C1EFD" w14:textId="1DA28C10" w:rsidR="00A73517" w:rsidRDefault="001F2C80" w:rsidP="00850C88">
      <w:pPr>
        <w:pStyle w:val="Paragraph"/>
        <w:keepNext w:val="0"/>
      </w:pPr>
      <w:r w:rsidRPr="006D6899">
        <w:t xml:space="preserve">Other countries have </w:t>
      </w:r>
      <w:r w:rsidR="00B366ED" w:rsidRPr="006D6899">
        <w:t>also</w:t>
      </w:r>
      <w:r w:rsidR="00CF0245" w:rsidRPr="006D6899">
        <w:t xml:space="preserve"> </w:t>
      </w:r>
      <w:r w:rsidR="00A11915" w:rsidRPr="006D6899">
        <w:t>legislated</w:t>
      </w:r>
      <w:r w:rsidR="00CF0245" w:rsidRPr="006D6899">
        <w:t xml:space="preserve"> exposure</w:t>
      </w:r>
      <w:r w:rsidR="00B366ED" w:rsidRPr="006D6899">
        <w:t xml:space="preserve"> limits </w:t>
      </w:r>
      <w:r w:rsidR="00FE4884" w:rsidRPr="006D6899">
        <w:t>for formaldehyde</w:t>
      </w:r>
      <w:r w:rsidR="00B366ED" w:rsidRPr="006D6899">
        <w:t xml:space="preserve"> </w:t>
      </w:r>
      <w:r w:rsidR="00C31121" w:rsidRPr="006D6899">
        <w:t>that are lower than</w:t>
      </w:r>
      <w:r w:rsidR="00B366ED" w:rsidRPr="006D6899">
        <w:t xml:space="preserve"> what is proposed in this Decision RIS, such as </w:t>
      </w:r>
      <w:r w:rsidR="00773D80" w:rsidRPr="006D6899">
        <w:t xml:space="preserve">Belgium (STEL </w:t>
      </w:r>
      <w:r w:rsidR="00285F5A" w:rsidRPr="006D6899">
        <w:t xml:space="preserve">of 0.3 ppm </w:t>
      </w:r>
      <w:r w:rsidR="00773D80" w:rsidRPr="006D6899">
        <w:t>only)</w:t>
      </w:r>
      <w:r w:rsidR="00285F5A" w:rsidRPr="006D6899">
        <w:t xml:space="preserve"> </w:t>
      </w:r>
      <w:r w:rsidR="004749B1" w:rsidRPr="006D6899">
        <w:t xml:space="preserve">and </w:t>
      </w:r>
      <w:r w:rsidR="00416AD9" w:rsidRPr="006D6899">
        <w:t>Japan (TWA of 0.1 ppm</w:t>
      </w:r>
      <w:r w:rsidR="007D0EE8" w:rsidRPr="006D6899">
        <w:t xml:space="preserve"> only)</w:t>
      </w:r>
      <w:r w:rsidR="00C84352" w:rsidRPr="006D6899">
        <w:t xml:space="preserve"> </w:t>
      </w:r>
      <w:sdt>
        <w:sdtPr>
          <w:id w:val="952745225"/>
          <w:citation/>
        </w:sdtPr>
        <w:sdtEndPr/>
        <w:sdtContent>
          <w:r w:rsidR="00C84352" w:rsidRPr="006D6899">
            <w:fldChar w:fldCharType="begin"/>
          </w:r>
          <w:r w:rsidR="00C84352" w:rsidRPr="006D6899">
            <w:instrText xml:space="preserve"> CITATION Fornd \l 3081 </w:instrText>
          </w:r>
          <w:r w:rsidR="00C84352" w:rsidRPr="006D6899">
            <w:fldChar w:fldCharType="separate"/>
          </w:r>
          <w:r w:rsidR="00490B21">
            <w:rPr>
              <w:noProof/>
            </w:rPr>
            <w:t>(Institute for Occupational Safety and Health of the German Social Accident Insurance, n.d.)</w:t>
          </w:r>
          <w:r w:rsidR="00C84352" w:rsidRPr="006D6899">
            <w:fldChar w:fldCharType="end"/>
          </w:r>
        </w:sdtContent>
      </w:sdt>
      <w:r w:rsidR="004749B1" w:rsidRPr="006D6899">
        <w:t>.</w:t>
      </w:r>
      <w:r w:rsidR="00832AC4" w:rsidRPr="006D6899">
        <w:t xml:space="preserve"> The Institute for Occupational Safety and Health of the German Social Accident Insurance (n.d.) also lists Israel as having a TWA of 0.2 ppm and a peak limitation of 0.</w:t>
      </w:r>
      <w:r w:rsidR="00832AC4" w:rsidRPr="006D6899" w:rsidDel="00FE4884">
        <w:t>3</w:t>
      </w:r>
      <w:r w:rsidR="00832AC4" w:rsidRPr="006D6899">
        <w:t xml:space="preserve"> </w:t>
      </w:r>
      <w:r w:rsidR="00832AC4" w:rsidRPr="006D6899" w:rsidDel="00FE4884">
        <w:t>ppm</w:t>
      </w:r>
      <w:r w:rsidR="00832AC4" w:rsidRPr="006D6899">
        <w:t>) for formaldehyde.</w:t>
      </w:r>
    </w:p>
    <w:p w14:paraId="2C51EBDC" w14:textId="4F07B8B7" w:rsidR="00B55328" w:rsidRDefault="00B55328" w:rsidP="003C4ECC">
      <w:pPr>
        <w:pStyle w:val="SWAHeading4"/>
        <w:keepNext/>
      </w:pPr>
      <w:r>
        <w:t>Quantifi</w:t>
      </w:r>
      <w:r w:rsidR="00272DFD">
        <w:t>able</w:t>
      </w:r>
      <w:r>
        <w:t xml:space="preserve"> health benefits</w:t>
      </w:r>
      <w:r w:rsidR="00967F48">
        <w:t xml:space="preserve"> for the proposed WEL for formaldehyde</w:t>
      </w:r>
    </w:p>
    <w:p w14:paraId="4E10DC49" w14:textId="11CD5C9C" w:rsidR="00CE487C" w:rsidRDefault="00CE487C" w:rsidP="003C4ECC">
      <w:pPr>
        <w:pStyle w:val="Paragraph"/>
        <w:spacing w:after="120"/>
        <w:rPr>
          <w:vertAlign w:val="superscript"/>
        </w:rPr>
      </w:pPr>
      <w:r w:rsidRPr="00CE487C">
        <w:t xml:space="preserve">Minimising incidence of </w:t>
      </w:r>
      <w:r w:rsidR="00560A21">
        <w:t>adverse health effects</w:t>
      </w:r>
      <w:r w:rsidRPr="00CE487C">
        <w:t xml:space="preserve"> attributable to </w:t>
      </w:r>
      <w:r w:rsidR="00117ECB">
        <w:t>work-related</w:t>
      </w:r>
      <w:r w:rsidR="00117ECB" w:rsidRPr="00CE487C">
        <w:t xml:space="preserve"> </w:t>
      </w:r>
      <w:r w:rsidRPr="00CE487C">
        <w:t xml:space="preserve">exposure to </w:t>
      </w:r>
      <w:r w:rsidR="00560A21">
        <w:t>formaldehyde</w:t>
      </w:r>
      <w:r w:rsidRPr="00CE487C">
        <w:t xml:space="preserve"> will deliver $</w:t>
      </w:r>
      <w:r w:rsidR="00560A21">
        <w:t>45.1</w:t>
      </w:r>
      <w:r w:rsidRPr="00CE487C">
        <w:t xml:space="preserve"> million over 10-years in health benefits</w:t>
      </w:r>
      <w:r w:rsidR="00FA2ED1">
        <w:t xml:space="preserve">, as shown </w:t>
      </w:r>
      <w:r w:rsidR="00FA2ED1" w:rsidRPr="00B2558B">
        <w:t>in</w:t>
      </w:r>
      <w:r w:rsidR="00B52D96">
        <w:t xml:space="preserve"> </w:t>
      </w:r>
      <w:r w:rsidR="00B52D96">
        <w:fldChar w:fldCharType="begin"/>
      </w:r>
      <w:r w:rsidR="00B52D96">
        <w:instrText xml:space="preserve"> REF _Ref199860876 \h </w:instrText>
      </w:r>
      <w:r w:rsidR="00B52D96">
        <w:fldChar w:fldCharType="separate"/>
      </w:r>
      <w:r w:rsidR="00A002F4">
        <w:t xml:space="preserve">Table </w:t>
      </w:r>
      <w:r w:rsidR="00A002F4">
        <w:rPr>
          <w:noProof/>
        </w:rPr>
        <w:t>20</w:t>
      </w:r>
      <w:r w:rsidR="00B52D96">
        <w:fldChar w:fldCharType="end"/>
      </w:r>
      <w:r w:rsidRPr="00B2558B">
        <w:t>.</w:t>
      </w:r>
      <w:r w:rsidRPr="00CE487C">
        <w:t xml:space="preserve"> This reflects the current burden attributable to occupational exposure to </w:t>
      </w:r>
      <w:r w:rsidR="00560A21">
        <w:t>formaldehyde</w:t>
      </w:r>
      <w:r w:rsidRPr="00CE487C">
        <w:t>, which is estimated to be 2</w:t>
      </w:r>
      <w:r w:rsidR="00EA2647">
        <w:t>9.2</w:t>
      </w:r>
      <w:r w:rsidRPr="00CE487C">
        <w:t xml:space="preserve"> </w:t>
      </w:r>
      <w:r w:rsidR="00EA2647">
        <w:t>d</w:t>
      </w:r>
      <w:r w:rsidRPr="00CE487C">
        <w:t>isability-adjusted life years (DALYs) in 2027, based on the IHME GDB Study</w:t>
      </w:r>
      <w:r w:rsidR="00AC5AD4">
        <w:t xml:space="preserve"> </w:t>
      </w:r>
      <w:sdt>
        <w:sdtPr>
          <w:id w:val="1898397357"/>
          <w:citation/>
        </w:sdtPr>
        <w:sdtEndPr/>
        <w:sdtContent>
          <w:r w:rsidR="00AC5AD4">
            <w:fldChar w:fldCharType="begin"/>
          </w:r>
          <w:r w:rsidR="00AC5AD4">
            <w:instrText xml:space="preserve"> CITATION Ins24 \l 3081 </w:instrText>
          </w:r>
          <w:r w:rsidR="00AC5AD4">
            <w:fldChar w:fldCharType="separate"/>
          </w:r>
          <w:r w:rsidR="00490B21">
            <w:rPr>
              <w:noProof/>
            </w:rPr>
            <w:t>(Institute For Health Metrics and Evaluation, 2024)</w:t>
          </w:r>
          <w:r w:rsidR="00AC5AD4">
            <w:fldChar w:fldCharType="end"/>
          </w:r>
        </w:sdtContent>
      </w:sdt>
      <w:r w:rsidRPr="00CE487C">
        <w:t>.</w:t>
      </w:r>
      <w:r w:rsidR="00AC5AD4" w:rsidRPr="00CE487C" w:rsidDel="00AC5AD4">
        <w:rPr>
          <w:vertAlign w:val="superscript"/>
        </w:rPr>
        <w:t xml:space="preserve"> </w:t>
      </w:r>
    </w:p>
    <w:p w14:paraId="22C5CB5E" w14:textId="556F9E4B" w:rsidR="00A026D1" w:rsidRPr="00A3194E" w:rsidRDefault="00356370" w:rsidP="00A3194E">
      <w:r w:rsidRPr="00A3194E">
        <w:t xml:space="preserve">It is also expected that these quantifiable health benefits will continue beyond the 10-year period that this estimation is based on. </w:t>
      </w:r>
      <w:r w:rsidR="005452B4" w:rsidRPr="00A3194E">
        <w:t xml:space="preserve">Health benefits that arise beyond the 10-year period have not been quantified and are not included </w:t>
      </w:r>
      <w:r w:rsidR="00E523F5" w:rsidRPr="00A3194E">
        <w:t xml:space="preserve">in </w:t>
      </w:r>
      <w:r w:rsidR="005452B4" w:rsidRPr="00A3194E">
        <w:t>the figures below.</w:t>
      </w:r>
    </w:p>
    <w:p w14:paraId="2C835E4B" w14:textId="1FB75C2B" w:rsidR="009108E6" w:rsidRDefault="009108E6" w:rsidP="009108E6">
      <w:pPr>
        <w:pStyle w:val="Caption"/>
      </w:pPr>
      <w:bookmarkStart w:id="256" w:name="_Ref216968475"/>
      <w:bookmarkStart w:id="257" w:name="_Ref199860876"/>
      <w:r>
        <w:t xml:space="preserve">Table </w:t>
      </w:r>
      <w:bookmarkEnd w:id="256"/>
      <w:r w:rsidR="00E36FD3">
        <w:fldChar w:fldCharType="begin"/>
      </w:r>
      <w:r w:rsidR="00E36FD3">
        <w:instrText xml:space="preserve"> SEQ Table \* ARABIC </w:instrText>
      </w:r>
      <w:r w:rsidR="00E36FD3">
        <w:fldChar w:fldCharType="separate"/>
      </w:r>
      <w:r w:rsidR="00A002F4">
        <w:rPr>
          <w:noProof/>
        </w:rPr>
        <w:t>20</w:t>
      </w:r>
      <w:r w:rsidR="00E36FD3">
        <w:rPr>
          <w:noProof/>
        </w:rPr>
        <w:fldChar w:fldCharType="end"/>
      </w:r>
      <w:bookmarkEnd w:id="257"/>
      <w:r>
        <w:t xml:space="preserve"> - </w:t>
      </w:r>
      <w:r w:rsidRPr="00DE50FF">
        <w:t xml:space="preserve">Estimated average annual and total </w:t>
      </w:r>
      <w:r>
        <w:t>monetised health</w:t>
      </w:r>
      <w:r w:rsidRPr="00DE50FF">
        <w:t xml:space="preserve"> benefits of the proposed WEL for </w:t>
      </w:r>
      <w:r w:rsidR="00136F77">
        <w:t>formaldehyde</w:t>
      </w:r>
      <w:r w:rsidRPr="00DE50FF">
        <w:t>,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9108E6" w:rsidRPr="00B65E6C" w14:paraId="54B51004" w14:textId="77777777" w:rsidTr="00DA135F">
        <w:trPr>
          <w:trHeight w:val="257"/>
        </w:trPr>
        <w:tc>
          <w:tcPr>
            <w:tcW w:w="4106" w:type="dxa"/>
            <w:tcBorders>
              <w:right w:val="single" w:sz="4" w:space="0" w:color="D9D9D9" w:themeColor="background1" w:themeShade="D9"/>
            </w:tcBorders>
            <w:shd w:val="clear" w:color="auto" w:fill="4877E0" w:themeFill="accent1"/>
          </w:tcPr>
          <w:p w14:paraId="46C52C73" w14:textId="77777777" w:rsidR="009108E6" w:rsidRPr="00931974" w:rsidRDefault="009108E6" w:rsidP="00DA135F">
            <w:pPr>
              <w:pStyle w:val="Paragraph"/>
              <w:keepNext w:val="0"/>
              <w:keepLines/>
              <w:spacing w:after="0"/>
              <w:rPr>
                <w:b/>
              </w:rPr>
            </w:pPr>
            <w:r w:rsidRPr="00950F93">
              <w:rPr>
                <w:b/>
                <w:color w:val="FFFFFF" w:themeColor="background1"/>
              </w:rPr>
              <w:t>Health benefits</w:t>
            </w:r>
          </w:p>
        </w:tc>
        <w:tc>
          <w:tcPr>
            <w:tcW w:w="2480" w:type="dxa"/>
            <w:tcBorders>
              <w:bottom w:val="single" w:sz="4" w:space="0" w:color="D9D9D9" w:themeColor="background1" w:themeShade="D9"/>
            </w:tcBorders>
            <w:shd w:val="clear" w:color="auto" w:fill="4877E0" w:themeFill="accent1"/>
          </w:tcPr>
          <w:p w14:paraId="15472361" w14:textId="77777777" w:rsidR="009108E6" w:rsidRPr="00B65E6C" w:rsidRDefault="009108E6" w:rsidP="00DA135F">
            <w:pPr>
              <w:keepLines/>
              <w:tabs>
                <w:tab w:val="left" w:pos="419"/>
              </w:tabs>
              <w:contextualSpacing w:val="0"/>
              <w:rPr>
                <w:b/>
                <w:bCs/>
              </w:rPr>
            </w:pPr>
            <w:r w:rsidRPr="00E80AF6">
              <w:rPr>
                <w:b/>
                <w:bCs/>
                <w:color w:val="FFFFFF" w:themeColor="background1"/>
              </w:rPr>
              <w:t>Average benefits p.a. ($’000, undiscounted)</w:t>
            </w:r>
          </w:p>
        </w:tc>
        <w:tc>
          <w:tcPr>
            <w:tcW w:w="2481" w:type="dxa"/>
            <w:tcBorders>
              <w:bottom w:val="single" w:sz="4" w:space="0" w:color="D9D9D9" w:themeColor="background1" w:themeShade="D9"/>
            </w:tcBorders>
            <w:shd w:val="clear" w:color="auto" w:fill="4877E0" w:themeFill="accent1"/>
          </w:tcPr>
          <w:p w14:paraId="6524ED6B" w14:textId="77777777" w:rsidR="009108E6" w:rsidRPr="00B65E6C" w:rsidRDefault="009108E6" w:rsidP="00DA135F">
            <w:pPr>
              <w:keepLines/>
              <w:contextualSpacing w:val="0"/>
              <w:jc w:val="right"/>
              <w:rPr>
                <w:b/>
                <w:bCs/>
              </w:rPr>
            </w:pPr>
            <w:r w:rsidRPr="00E80AF6">
              <w:rPr>
                <w:b/>
                <w:bCs/>
                <w:color w:val="FFFFFF" w:themeColor="background1"/>
              </w:rPr>
              <w:t>Total benefits ($ millions, discounted)</w:t>
            </w:r>
          </w:p>
        </w:tc>
      </w:tr>
      <w:tr w:rsidR="00414BE5" w:rsidRPr="00B65E6C" w14:paraId="7F600547" w14:textId="77777777" w:rsidTr="00DA135F">
        <w:trPr>
          <w:trHeight w:val="274"/>
        </w:trPr>
        <w:tc>
          <w:tcPr>
            <w:tcW w:w="4106" w:type="dxa"/>
            <w:tcBorders>
              <w:right w:val="single" w:sz="4" w:space="0" w:color="D9D9D9" w:themeColor="background1" w:themeShade="D9"/>
            </w:tcBorders>
          </w:tcPr>
          <w:p w14:paraId="413443BE" w14:textId="77777777" w:rsidR="00414BE5" w:rsidRDefault="00414BE5" w:rsidP="00414BE5">
            <w:pPr>
              <w:pStyle w:val="Paragraph"/>
              <w:keepNext w:val="0"/>
              <w:keepLines/>
              <w:spacing w:after="0"/>
              <w:ind w:left="172"/>
              <w:rPr>
                <w:bCs/>
              </w:rPr>
            </w:pPr>
            <w:r>
              <w:rPr>
                <w:bCs/>
              </w:rPr>
              <w:t>Fatal burden benefits</w:t>
            </w:r>
          </w:p>
        </w:tc>
        <w:tc>
          <w:tcPr>
            <w:tcW w:w="2480" w:type="dxa"/>
          </w:tcPr>
          <w:p w14:paraId="0D17A525" w14:textId="7D342A49" w:rsidR="00414BE5" w:rsidRPr="00B65E6C" w:rsidRDefault="00414BE5" w:rsidP="00414BE5">
            <w:pPr>
              <w:keepLines/>
              <w:jc w:val="right"/>
            </w:pPr>
            <w:r w:rsidRPr="00700F02">
              <w:t>7,102</w:t>
            </w:r>
          </w:p>
        </w:tc>
        <w:tc>
          <w:tcPr>
            <w:tcW w:w="2481" w:type="dxa"/>
          </w:tcPr>
          <w:p w14:paraId="5F273D1A" w14:textId="1F80B9C5" w:rsidR="00414BE5" w:rsidRPr="00B65E6C" w:rsidRDefault="00414BE5" w:rsidP="00414BE5">
            <w:pPr>
              <w:keepLines/>
              <w:jc w:val="right"/>
            </w:pPr>
            <w:r>
              <w:rPr>
                <w:lang w:eastAsia="en-AU"/>
              </w:rPr>
              <w:t>43.4</w:t>
            </w:r>
          </w:p>
        </w:tc>
      </w:tr>
      <w:tr w:rsidR="00414BE5" w:rsidRPr="00B65E6C" w14:paraId="2D224EFD" w14:textId="77777777" w:rsidTr="00C274E2">
        <w:trPr>
          <w:trHeight w:val="257"/>
        </w:trPr>
        <w:tc>
          <w:tcPr>
            <w:tcW w:w="4106" w:type="dxa"/>
            <w:tcBorders>
              <w:right w:val="single" w:sz="4" w:space="0" w:color="D9D9D9" w:themeColor="background1" w:themeShade="D9"/>
            </w:tcBorders>
          </w:tcPr>
          <w:p w14:paraId="21B77825" w14:textId="77777777" w:rsidR="00414BE5" w:rsidRDefault="00414BE5" w:rsidP="00414BE5">
            <w:pPr>
              <w:pStyle w:val="Paragraph"/>
              <w:keepNext w:val="0"/>
              <w:keepLines/>
              <w:spacing w:after="0"/>
              <w:ind w:left="172"/>
              <w:rPr>
                <w:bCs/>
              </w:rPr>
            </w:pPr>
            <w:r>
              <w:rPr>
                <w:bCs/>
              </w:rPr>
              <w:t>Non-fatal burden benefits</w:t>
            </w:r>
          </w:p>
        </w:tc>
        <w:tc>
          <w:tcPr>
            <w:tcW w:w="2480" w:type="dxa"/>
          </w:tcPr>
          <w:p w14:paraId="1688E6F4" w14:textId="4A5AECA7" w:rsidR="00414BE5" w:rsidRPr="00B65E6C" w:rsidRDefault="00414BE5" w:rsidP="00414BE5">
            <w:pPr>
              <w:keepLines/>
              <w:jc w:val="right"/>
            </w:pPr>
            <w:r w:rsidRPr="00700F02">
              <w:t>27</w:t>
            </w:r>
            <w:r>
              <w:t>7</w:t>
            </w:r>
          </w:p>
        </w:tc>
        <w:tc>
          <w:tcPr>
            <w:tcW w:w="2481" w:type="dxa"/>
          </w:tcPr>
          <w:p w14:paraId="1D10EB5F" w14:textId="058743D1" w:rsidR="00414BE5" w:rsidRPr="00B65E6C" w:rsidRDefault="00414BE5" w:rsidP="00414BE5">
            <w:pPr>
              <w:keepLines/>
              <w:jc w:val="right"/>
            </w:pPr>
            <w:r>
              <w:rPr>
                <w:lang w:eastAsia="en-AU"/>
              </w:rPr>
              <w:t>1.7</w:t>
            </w:r>
          </w:p>
        </w:tc>
      </w:tr>
      <w:tr w:rsidR="00C274E2" w:rsidRPr="00B65E6C" w14:paraId="5D3E963F" w14:textId="77777777" w:rsidTr="00C274E2">
        <w:trPr>
          <w:trHeight w:val="257"/>
        </w:trPr>
        <w:tc>
          <w:tcPr>
            <w:tcW w:w="4106" w:type="dxa"/>
            <w:tcBorders>
              <w:right w:val="single" w:sz="4" w:space="0" w:color="D9D9D9" w:themeColor="background1" w:themeShade="D9"/>
            </w:tcBorders>
            <w:shd w:val="clear" w:color="auto" w:fill="B5C8F2" w:themeFill="accent1" w:themeFillTint="66"/>
          </w:tcPr>
          <w:p w14:paraId="183D1196" w14:textId="77777777" w:rsidR="00C274E2" w:rsidRPr="00950F93" w:rsidRDefault="00C274E2" w:rsidP="00C274E2">
            <w:pPr>
              <w:pStyle w:val="Paragraph"/>
              <w:keepNext w:val="0"/>
              <w:keepLines/>
              <w:spacing w:after="0"/>
              <w:rPr>
                <w:b/>
              </w:rPr>
            </w:pPr>
            <w:r w:rsidRPr="00950F93">
              <w:rPr>
                <w:b/>
              </w:rPr>
              <w:t>Total</w:t>
            </w:r>
          </w:p>
        </w:tc>
        <w:tc>
          <w:tcPr>
            <w:tcW w:w="2480" w:type="dxa"/>
            <w:shd w:val="clear" w:color="auto" w:fill="B5C8F2" w:themeFill="accent1" w:themeFillTint="66"/>
          </w:tcPr>
          <w:p w14:paraId="79D85A84" w14:textId="6972C60C" w:rsidR="00C274E2" w:rsidRPr="00950F93" w:rsidRDefault="00C274E2" w:rsidP="00C274E2">
            <w:pPr>
              <w:keepLines/>
              <w:jc w:val="right"/>
              <w:rPr>
                <w:b/>
              </w:rPr>
            </w:pPr>
            <w:r w:rsidRPr="008E7C99">
              <w:rPr>
                <w:rFonts w:asciiTheme="majorHAnsi" w:hAnsiTheme="majorHAnsi" w:cstheme="majorHAnsi"/>
                <w:b/>
                <w:bCs/>
              </w:rPr>
              <w:t>7,379</w:t>
            </w:r>
          </w:p>
        </w:tc>
        <w:tc>
          <w:tcPr>
            <w:tcW w:w="2481" w:type="dxa"/>
            <w:shd w:val="clear" w:color="auto" w:fill="B5C8F2" w:themeFill="accent1" w:themeFillTint="66"/>
          </w:tcPr>
          <w:p w14:paraId="7C156E8A" w14:textId="34BCE983" w:rsidR="00C274E2" w:rsidRPr="00950F93" w:rsidRDefault="00C274E2" w:rsidP="00C274E2">
            <w:pPr>
              <w:keepLines/>
              <w:jc w:val="right"/>
              <w:rPr>
                <w:b/>
              </w:rPr>
            </w:pPr>
            <w:r w:rsidRPr="008E7C99">
              <w:rPr>
                <w:rFonts w:asciiTheme="majorHAnsi" w:hAnsiTheme="majorHAnsi" w:cstheme="majorHAnsi"/>
                <w:b/>
                <w:bCs/>
                <w:lang w:eastAsia="en-AU"/>
              </w:rPr>
              <w:t>45.1</w:t>
            </w:r>
          </w:p>
        </w:tc>
      </w:tr>
    </w:tbl>
    <w:p w14:paraId="4B2B0662" w14:textId="5C6D8511" w:rsidR="00804731" w:rsidRDefault="00FC3A3F" w:rsidP="00D14CD5">
      <w:pPr>
        <w:pStyle w:val="SWAHeading4"/>
        <w:keepNext/>
        <w:spacing w:before="240"/>
      </w:pPr>
      <w:bookmarkStart w:id="258" w:name="_Toc196204684"/>
      <w:r>
        <w:lastRenderedPageBreak/>
        <w:t>A</w:t>
      </w:r>
      <w:r w:rsidR="00804731">
        <w:t>dverse health effects associated with formaldehyde</w:t>
      </w:r>
    </w:p>
    <w:p w14:paraId="6EEC643D" w14:textId="77777777" w:rsidR="001575A2" w:rsidRDefault="00117ECB" w:rsidP="00D14CD5">
      <w:pPr>
        <w:keepNext/>
      </w:pPr>
      <w:r>
        <w:t xml:space="preserve">The </w:t>
      </w:r>
      <w:r w:rsidR="00C05344">
        <w:t>proposed WEL for formaldehyde</w:t>
      </w:r>
      <w:r>
        <w:t xml:space="preserve"> </w:t>
      </w:r>
      <w:r w:rsidR="001575A2">
        <w:t>can protect workers from</w:t>
      </w:r>
      <w:r w:rsidR="00324423">
        <w:t xml:space="preserve"> </w:t>
      </w:r>
      <w:r w:rsidR="00894D2A">
        <w:t xml:space="preserve">the </w:t>
      </w:r>
      <w:r w:rsidR="001575A2">
        <w:t>risk of other adverse health effects associated with formaldehyde, such as:</w:t>
      </w:r>
    </w:p>
    <w:p w14:paraId="3C39BBBA" w14:textId="5A49D5A3" w:rsidR="001575A2" w:rsidRDefault="00BE794C" w:rsidP="00A2768E">
      <w:pPr>
        <w:pStyle w:val="ListParagraph"/>
        <w:numPr>
          <w:ilvl w:val="0"/>
          <w:numId w:val="81"/>
        </w:numPr>
        <w:ind w:left="777" w:hanging="357"/>
        <w:contextualSpacing w:val="0"/>
      </w:pPr>
      <w:r>
        <w:t>leukemia</w:t>
      </w:r>
      <w:r w:rsidR="000713FD">
        <w:t>, particularly myeloid leukaemia</w:t>
      </w:r>
      <w:r w:rsidR="00FB7967">
        <w:t xml:space="preserve"> </w:t>
      </w:r>
      <w:sdt>
        <w:sdtPr>
          <w:id w:val="121043625"/>
          <w:citation/>
        </w:sdtPr>
        <w:sdtEndPr/>
        <w:sdtContent>
          <w:r w:rsidR="00EB0A0C">
            <w:fldChar w:fldCharType="begin"/>
          </w:r>
          <w:r w:rsidR="00EB0A0C">
            <w:instrText xml:space="preserve"> CITATION Int06 \l 3081 </w:instrText>
          </w:r>
          <w:r w:rsidR="00EB0A0C">
            <w:fldChar w:fldCharType="separate"/>
          </w:r>
          <w:r w:rsidR="00490B21">
            <w:rPr>
              <w:noProof/>
            </w:rPr>
            <w:t>(International Agency for Research on Cancer, 2006)</w:t>
          </w:r>
          <w:r w:rsidR="00EB0A0C">
            <w:fldChar w:fldCharType="end"/>
          </w:r>
        </w:sdtContent>
      </w:sdt>
      <w:r w:rsidR="002B1C8B" w:rsidRPr="006F412A">
        <w:rPr>
          <w:rStyle w:val="FootnoteReference"/>
        </w:rPr>
        <w:footnoteReference w:id="111"/>
      </w:r>
      <w:r w:rsidR="00364FC7">
        <w:t>,</w:t>
      </w:r>
      <w:r w:rsidR="0060788A">
        <w:t xml:space="preserve"> </w:t>
      </w:r>
      <w:r w:rsidR="009F3381">
        <w:t xml:space="preserve">and </w:t>
      </w:r>
    </w:p>
    <w:p w14:paraId="35EF9B16" w14:textId="22ED6455" w:rsidR="00AC5AD4" w:rsidRDefault="3A765169" w:rsidP="00A2768E">
      <w:pPr>
        <w:pStyle w:val="ListParagraph"/>
        <w:numPr>
          <w:ilvl w:val="0"/>
          <w:numId w:val="81"/>
        </w:numPr>
        <w:ind w:left="777" w:hanging="357"/>
      </w:pPr>
      <w:r>
        <w:t>dermal sensit</w:t>
      </w:r>
      <w:r w:rsidR="0D0ED45F">
        <w:t>isation</w:t>
      </w:r>
      <w:r w:rsidR="006F412A">
        <w:rPr>
          <w:rStyle w:val="FootnoteReference"/>
        </w:rPr>
        <w:footnoteReference w:id="112"/>
      </w:r>
      <w:r w:rsidR="511DB515">
        <w:t xml:space="preserve"> (</w:t>
      </w:r>
      <w:r w:rsidR="511DB515" w:rsidRPr="00CD39C1">
        <w:t>allergic reaction on the skin caused by repeated exposure to a sensiti</w:t>
      </w:r>
      <w:r w:rsidR="4B925505">
        <w:t>s</w:t>
      </w:r>
      <w:r w:rsidR="511DB515" w:rsidRPr="00CD39C1">
        <w:t>ing substance</w:t>
      </w:r>
      <w:r w:rsidR="511DB515">
        <w:t>)</w:t>
      </w:r>
      <w:r w:rsidR="0D0ED45F">
        <w:t xml:space="preserve"> </w:t>
      </w:r>
      <w:sdt>
        <w:sdtPr>
          <w:id w:val="1119032253"/>
          <w:citation/>
        </w:sdtPr>
        <w:sdtEndPr/>
        <w:sdtContent>
          <w:r w:rsidR="009F3381">
            <w:fldChar w:fldCharType="begin"/>
          </w:r>
          <w:r w:rsidR="009F3381">
            <w:instrText>CITATION Dir16 \l 3081  \m Saf192</w:instrText>
          </w:r>
          <w:r w:rsidR="009F3381">
            <w:fldChar w:fldCharType="separate"/>
          </w:r>
          <w:r w:rsidR="00490B21">
            <w:rPr>
              <w:noProof/>
            </w:rPr>
            <w:t>(Directorate-General for Employment, Social Affairs and Inclusion (European Commission), 2016; Safe Work Australia, 2019)</w:t>
          </w:r>
          <w:r w:rsidR="009F3381">
            <w:fldChar w:fldCharType="end"/>
          </w:r>
        </w:sdtContent>
      </w:sdt>
      <w:r w:rsidR="0D0ED45F">
        <w:t xml:space="preserve">. </w:t>
      </w:r>
    </w:p>
    <w:p w14:paraId="66288343" w14:textId="3B42E0AB" w:rsidR="00F34842" w:rsidRDefault="00F34842" w:rsidP="00F34842">
      <w:pPr>
        <w:pStyle w:val="SWAHeading3"/>
      </w:pPr>
      <w:r>
        <w:t xml:space="preserve">Financial benefits </w:t>
      </w:r>
      <w:r w:rsidR="00B331CC">
        <w:t>of</w:t>
      </w:r>
      <w:r w:rsidR="00421FFB">
        <w:t xml:space="preserve"> the proposed WEL for formaldehyde</w:t>
      </w:r>
      <w:bookmarkEnd w:id="258"/>
    </w:p>
    <w:p w14:paraId="197F3B2E" w14:textId="36188195" w:rsidR="009D365A" w:rsidRPr="009D365A" w:rsidRDefault="009D365A" w:rsidP="0032500E">
      <w:pPr>
        <w:pStyle w:val="SWAHeading4"/>
      </w:pPr>
      <w:r>
        <w:t>Quantifi</w:t>
      </w:r>
      <w:r w:rsidR="00272DFD">
        <w:t>able</w:t>
      </w:r>
      <w:r>
        <w:t xml:space="preserve"> financial benefits for the proposed WEL for formaldehyde</w:t>
      </w:r>
    </w:p>
    <w:p w14:paraId="10418D22" w14:textId="3E40C36C" w:rsidR="00611296" w:rsidRPr="00611296" w:rsidRDefault="00272DFD" w:rsidP="00611296">
      <w:pPr>
        <w:pStyle w:val="Paragraph"/>
      </w:pPr>
      <w:r>
        <w:t>F</w:t>
      </w:r>
      <w:r w:rsidR="00611296" w:rsidRPr="00611296">
        <w:t xml:space="preserve">inancial benefits were not </w:t>
      </w:r>
      <w:r>
        <w:t>able to be quantified</w:t>
      </w:r>
      <w:r w:rsidRPr="00611296">
        <w:t xml:space="preserve"> </w:t>
      </w:r>
      <w:r w:rsidR="00611296" w:rsidRPr="00611296">
        <w:t xml:space="preserve">for </w:t>
      </w:r>
      <w:r w:rsidR="00611296">
        <w:t>formaldehyde</w:t>
      </w:r>
      <w:r w:rsidR="00611296" w:rsidRPr="00611296">
        <w:t xml:space="preserve"> in this analysis. This is due to the lack of workers’ compensation claims attributed to </w:t>
      </w:r>
      <w:r w:rsidR="00853FA4">
        <w:t>formaldehyde</w:t>
      </w:r>
      <w:r w:rsidR="00611296" w:rsidRPr="00611296">
        <w:t xml:space="preserve">. Noting the adverse health effects that the proposed WEL is based on, it is possible that occupational illness attributable to workplace exposure for </w:t>
      </w:r>
      <w:r w:rsidR="00853FA4">
        <w:t>formaldehyde</w:t>
      </w:r>
      <w:r w:rsidR="00611296" w:rsidRPr="00611296">
        <w:t xml:space="preserve"> are likely under-represented in workers’ compensation data, due to difficulties in proving causation, the long latency period between occupational exposure and the illness (especially if it develops after the worker has stopped working at the workplace), or an affected worker may not </w:t>
      </w:r>
      <w:r w:rsidR="00BC5635">
        <w:t>seek</w:t>
      </w:r>
      <w:r w:rsidR="00611296" w:rsidRPr="00611296">
        <w:t xml:space="preserve"> compensation </w:t>
      </w:r>
      <w:r w:rsidR="00BC5635">
        <w:t>(for example</w:t>
      </w:r>
      <w:r w:rsidR="00611296" w:rsidRPr="00611296">
        <w:t xml:space="preserve"> thinking they are ineligible or not being aware they are covered</w:t>
      </w:r>
      <w:r w:rsidR="008A3905">
        <w:t>)</w:t>
      </w:r>
      <w:r w:rsidR="00611296" w:rsidRPr="00611296">
        <w:t xml:space="preserve">. </w:t>
      </w:r>
      <w:r w:rsidR="00293D98">
        <w:t xml:space="preserve">It has been </w:t>
      </w:r>
      <w:r w:rsidR="00343309">
        <w:t xml:space="preserve">reported </w:t>
      </w:r>
      <w:r w:rsidR="006B2B91">
        <w:t xml:space="preserve">for formaldehyde </w:t>
      </w:r>
      <w:r w:rsidR="000D1405">
        <w:t xml:space="preserve">that a latency period of 15 years is associated with </w:t>
      </w:r>
      <w:r w:rsidR="000D1405" w:rsidRPr="000D1405">
        <w:t xml:space="preserve">nasopharyngeal cancer </w:t>
      </w:r>
      <w:r w:rsidR="00F52729">
        <w:t xml:space="preserve">and 2 years for </w:t>
      </w:r>
      <w:r w:rsidR="00C26ED0">
        <w:t xml:space="preserve">leukaemia </w:t>
      </w:r>
      <w:sdt>
        <w:sdtPr>
          <w:id w:val="-265077672"/>
          <w:citation/>
        </w:sdtPr>
        <w:sdtEndPr/>
        <w:sdtContent>
          <w:r w:rsidR="00C26ED0">
            <w:fldChar w:fldCharType="begin"/>
          </w:r>
          <w:r w:rsidR="00C26ED0">
            <w:instrText xml:space="preserve"> CITATION How15 \l 3081 </w:instrText>
          </w:r>
          <w:r w:rsidR="00C26ED0">
            <w:fldChar w:fldCharType="separate"/>
          </w:r>
          <w:r w:rsidR="00490B21">
            <w:rPr>
              <w:noProof/>
            </w:rPr>
            <w:t>(Howard, 2015)</w:t>
          </w:r>
          <w:r w:rsidR="00C26ED0">
            <w:fldChar w:fldCharType="end"/>
          </w:r>
        </w:sdtContent>
      </w:sdt>
      <w:r w:rsidR="00C26ED0">
        <w:t xml:space="preserve">. </w:t>
      </w:r>
      <w:r w:rsidR="00343309">
        <w:t xml:space="preserve"> </w:t>
      </w:r>
    </w:p>
    <w:p w14:paraId="154843D4" w14:textId="7018C1CC" w:rsidR="00CB4BCB" w:rsidDel="00C27970" w:rsidRDefault="00900BBD" w:rsidP="008A3905">
      <w:pPr>
        <w:pStyle w:val="SWAHeading4"/>
      </w:pPr>
      <w:r>
        <w:t>Non-</w:t>
      </w:r>
      <w:r w:rsidR="00E576A1">
        <w:t>quantifi</w:t>
      </w:r>
      <w:r w:rsidR="00E920DE">
        <w:t>able</w:t>
      </w:r>
      <w:r w:rsidR="00E576A1">
        <w:t xml:space="preserve"> financial benefits for the proposed WEL for formaldehyde</w:t>
      </w:r>
      <w:r w:rsidR="001E64F4">
        <w:t xml:space="preserve"> </w:t>
      </w:r>
    </w:p>
    <w:p w14:paraId="212999CA" w14:textId="3DAC6E2A" w:rsidR="00227506" w:rsidRDefault="007650E4" w:rsidP="002352A3">
      <w:pPr>
        <w:spacing w:line="240" w:lineRule="atLeast"/>
        <w:contextualSpacing w:val="0"/>
      </w:pPr>
      <w:r>
        <w:t>A lack of data to quantify</w:t>
      </w:r>
      <w:r w:rsidR="00227506" w:rsidRPr="00227506">
        <w:t xml:space="preserve"> financial benefits </w:t>
      </w:r>
      <w:r>
        <w:t xml:space="preserve">does not mean </w:t>
      </w:r>
      <w:r w:rsidR="008059D0">
        <w:t xml:space="preserve">the introduction of the proposed WEL for formaldehyde would not achieve financial </w:t>
      </w:r>
      <w:r w:rsidR="00227506" w:rsidRPr="00227506">
        <w:t>benefits</w:t>
      </w:r>
      <w:r w:rsidR="001050F0">
        <w:t xml:space="preserve"> (as outlined </w:t>
      </w:r>
      <w:r w:rsidR="00BF3D0E">
        <w:t>earlier in this Decision RIS)</w:t>
      </w:r>
      <w:r w:rsidR="00227506">
        <w:t>.</w:t>
      </w:r>
      <w:r w:rsidR="00825A49">
        <w:t xml:space="preserve"> </w:t>
      </w:r>
      <w:r w:rsidR="00825A49" w:rsidRPr="00825A49">
        <w:t xml:space="preserve">The actual benefits of the proposed WEL for formaldehyde are greater than those shown in </w:t>
      </w:r>
      <w:r w:rsidR="00B52D96">
        <w:fldChar w:fldCharType="begin"/>
      </w:r>
      <w:r w:rsidR="00B52D96">
        <w:instrText xml:space="preserve"> REF _Ref199860876 \h </w:instrText>
      </w:r>
      <w:r w:rsidR="00B52D96">
        <w:fldChar w:fldCharType="separate"/>
      </w:r>
      <w:r w:rsidR="00A002F4">
        <w:t xml:space="preserve">Table </w:t>
      </w:r>
      <w:r w:rsidR="00A002F4">
        <w:rPr>
          <w:noProof/>
        </w:rPr>
        <w:t>20</w:t>
      </w:r>
      <w:r w:rsidR="00B52D96">
        <w:fldChar w:fldCharType="end"/>
      </w:r>
      <w:r w:rsidR="00B52D96">
        <w:t xml:space="preserve"> </w:t>
      </w:r>
      <w:r w:rsidR="00825A49" w:rsidRPr="00825A49">
        <w:t>when these non-quantifiable financial benefits are considered</w:t>
      </w:r>
      <w:r w:rsidR="001D3FF7">
        <w:t>.</w:t>
      </w:r>
      <w:r w:rsidR="00EF0A2E">
        <w:t xml:space="preserve"> </w:t>
      </w:r>
      <w:r w:rsidR="008059D0">
        <w:t>More broadly,</w:t>
      </w:r>
      <w:r w:rsidR="00227506" w:rsidRPr="00227506">
        <w:t xml:space="preserve"> financial benefits </w:t>
      </w:r>
      <w:r w:rsidR="00922D14">
        <w:t xml:space="preserve">that the proposed WEL for formaldehyde </w:t>
      </w:r>
      <w:r w:rsidR="00E96797">
        <w:t>can deliver are described</w:t>
      </w:r>
      <w:r w:rsidR="00227506" w:rsidRPr="00227506">
        <w:t xml:space="preserve"> below. </w:t>
      </w:r>
    </w:p>
    <w:p w14:paraId="66ADAF33" w14:textId="229F1A09" w:rsidR="00C27970" w:rsidRPr="00611296" w:rsidRDefault="00C27970" w:rsidP="00C27970">
      <w:pPr>
        <w:pStyle w:val="SWAHeading5"/>
      </w:pPr>
      <w:r>
        <w:t>Increased productivity</w:t>
      </w:r>
      <w:r w:rsidR="00003154" w:rsidRPr="00003154">
        <w:rPr>
          <w:rStyle w:val="FootnoteReference"/>
        </w:rPr>
        <w:footnoteReference w:id="113"/>
      </w:r>
    </w:p>
    <w:p w14:paraId="2BF75065" w14:textId="77777777" w:rsidR="00B2142E" w:rsidRDefault="00394318" w:rsidP="00435BD2">
      <w:pPr>
        <w:pStyle w:val="Paragraph"/>
        <w:keepNext w:val="0"/>
      </w:pPr>
      <w:r w:rsidRPr="00CB4BCB">
        <w:t xml:space="preserve">Stakeholders from the 2024 public consultation suggested the proposed WEL for </w:t>
      </w:r>
      <w:r w:rsidR="00584C99">
        <w:t>formaldehyde</w:t>
      </w:r>
      <w:r w:rsidR="00584C99" w:rsidRPr="00CB4BCB">
        <w:t xml:space="preserve"> </w:t>
      </w:r>
      <w:r w:rsidRPr="00CB4BCB">
        <w:t>would likely result in increased productivity from a reduction in absenteeism and presenteeism amongst the workforce who are exposed to</w:t>
      </w:r>
      <w:r w:rsidRPr="00394318">
        <w:t xml:space="preserve"> formaldehyde</w:t>
      </w:r>
      <w:r w:rsidRPr="00CB4BCB">
        <w:t>.</w:t>
      </w:r>
      <w:r w:rsidR="00584C99">
        <w:t xml:space="preserve"> </w:t>
      </w:r>
    </w:p>
    <w:p w14:paraId="32E1A5E4" w14:textId="6AFAA0AF" w:rsidR="00E65582" w:rsidRPr="00CB4BCB" w:rsidRDefault="00D7756D" w:rsidP="00F24E60">
      <w:pPr>
        <w:pStyle w:val="Paragraph"/>
        <w:keepNext w:val="0"/>
      </w:pPr>
      <w:r>
        <w:t xml:space="preserve">While there </w:t>
      </w:r>
      <w:r w:rsidR="00765F69">
        <w:t>are</w:t>
      </w:r>
      <w:r>
        <w:t xml:space="preserve"> no workers’ compensation claims associated with </w:t>
      </w:r>
      <w:r w:rsidR="00E379DE">
        <w:t xml:space="preserve">formaldehyde exposure, this does not mean the proposed WEL will </w:t>
      </w:r>
      <w:r w:rsidR="00C1765B">
        <w:t xml:space="preserve">not result in productivity benefits, noting the likely under-reporting </w:t>
      </w:r>
      <w:r w:rsidR="00C36E54">
        <w:t>in workers’ compensation claims outlined above</w:t>
      </w:r>
      <w:r w:rsidR="00C1765B">
        <w:t xml:space="preserve">. </w:t>
      </w:r>
      <w:r w:rsidR="00B2142E">
        <w:t>T</w:t>
      </w:r>
      <w:r w:rsidR="00A103BF" w:rsidRPr="00CB4BCB">
        <w:t>he proposed WEL</w:t>
      </w:r>
      <w:r w:rsidR="00A02B5F">
        <w:t xml:space="preserve"> for formaldehyde</w:t>
      </w:r>
      <w:r w:rsidR="00A103BF" w:rsidRPr="00CB4BCB">
        <w:t xml:space="preserve"> is expected to </w:t>
      </w:r>
      <w:r w:rsidR="00244305">
        <w:t xml:space="preserve">protect </w:t>
      </w:r>
      <w:r w:rsidR="00A103BF" w:rsidRPr="00CB4BCB">
        <w:t xml:space="preserve">workers </w:t>
      </w:r>
      <w:r w:rsidR="005B0880">
        <w:t xml:space="preserve">from developing </w:t>
      </w:r>
      <w:r w:rsidR="00A103BF">
        <w:t>localised sensory irritation and nasal cancers</w:t>
      </w:r>
      <w:r w:rsidR="00584C99">
        <w:t>, which means</w:t>
      </w:r>
      <w:r w:rsidR="00A103BF" w:rsidRPr="00CB4BCB">
        <w:t xml:space="preserve"> </w:t>
      </w:r>
      <w:r w:rsidR="00584C99">
        <w:t>w</w:t>
      </w:r>
      <w:r w:rsidR="00A103BF" w:rsidRPr="00CB4BCB">
        <w:t xml:space="preserve">orkers </w:t>
      </w:r>
      <w:r w:rsidR="00584C99">
        <w:t xml:space="preserve">will </w:t>
      </w:r>
      <w:r w:rsidR="00A02B5F">
        <w:t xml:space="preserve">continue to </w:t>
      </w:r>
      <w:r w:rsidR="00584C99">
        <w:t xml:space="preserve">not need </w:t>
      </w:r>
      <w:r w:rsidR="00501F48">
        <w:t>or be less likely</w:t>
      </w:r>
      <w:r w:rsidR="00584C99">
        <w:t xml:space="preserve"> to</w:t>
      </w:r>
      <w:r w:rsidR="00A103BF" w:rsidRPr="00CB4BCB">
        <w:t xml:space="preserve"> take time </w:t>
      </w:r>
      <w:r w:rsidR="00A103BF" w:rsidRPr="00CB4BCB">
        <w:lastRenderedPageBreak/>
        <w:t>off</w:t>
      </w:r>
      <w:r w:rsidR="00584C99">
        <w:t xml:space="preserve"> work</w:t>
      </w:r>
      <w:r w:rsidR="00A103BF" w:rsidRPr="00CB4BCB">
        <w:t xml:space="preserve"> to seek medical care or treatment</w:t>
      </w:r>
      <w:r w:rsidR="00B209C1">
        <w:t xml:space="preserve"> as they would be protected from developing these adverse health effects</w:t>
      </w:r>
      <w:r w:rsidR="00A103BF" w:rsidRPr="00CB4BCB">
        <w:t>.</w:t>
      </w:r>
    </w:p>
    <w:p w14:paraId="2409F990" w14:textId="48EE7346" w:rsidR="00611296" w:rsidRPr="00611296" w:rsidRDefault="00611296" w:rsidP="00B64384">
      <w:pPr>
        <w:pStyle w:val="SWAHeading5"/>
      </w:pPr>
      <w:r w:rsidRPr="00611296">
        <w:t>Reduced costs to government</w:t>
      </w:r>
      <w:r w:rsidR="000B5CF5">
        <w:t>s</w:t>
      </w:r>
      <w:r w:rsidR="00F043FF">
        <w:rPr>
          <w:rStyle w:val="FootnoteReference"/>
        </w:rPr>
        <w:footnoteReference w:id="114"/>
      </w:r>
    </w:p>
    <w:p w14:paraId="2DB7CA34" w14:textId="7EBB7763" w:rsidR="00611296" w:rsidRPr="00611296" w:rsidRDefault="00611296" w:rsidP="00C27970">
      <w:pPr>
        <w:pStyle w:val="Paragraph"/>
      </w:pPr>
      <w:r w:rsidRPr="00611296">
        <w:t xml:space="preserve">The Australian Institute of Health and Welfare </w:t>
      </w:r>
      <w:r w:rsidR="00374CF7">
        <w:t xml:space="preserve">(AIWH) </w:t>
      </w:r>
      <w:r w:rsidR="00C27970">
        <w:t>reported</w:t>
      </w:r>
      <w:r w:rsidR="00C27970" w:rsidRPr="00611296">
        <w:t xml:space="preserve"> </w:t>
      </w:r>
      <w:r w:rsidRPr="00611296">
        <w:t xml:space="preserve">healthcare expenditure on </w:t>
      </w:r>
      <w:r w:rsidR="00FA581E">
        <w:t>nasopharyngeal cancer</w:t>
      </w:r>
      <w:r w:rsidR="009E6BD9">
        <w:t xml:space="preserve"> </w:t>
      </w:r>
      <w:r w:rsidRPr="00611296">
        <w:t>was approximately $</w:t>
      </w:r>
      <w:r w:rsidR="009E48E0">
        <w:t>30</w:t>
      </w:r>
      <w:r w:rsidR="009E48E0" w:rsidRPr="00611296">
        <w:t xml:space="preserve"> </w:t>
      </w:r>
      <w:r w:rsidR="00361FAC">
        <w:t>m</w:t>
      </w:r>
      <w:r w:rsidRPr="00611296">
        <w:t>illion in 202</w:t>
      </w:r>
      <w:r w:rsidR="009E48E0">
        <w:t>3</w:t>
      </w:r>
      <w:r w:rsidRPr="00611296">
        <w:t>-2</w:t>
      </w:r>
      <w:r w:rsidR="009E48E0">
        <w:t>4</w:t>
      </w:r>
      <w:r w:rsidR="00361FAC">
        <w:t xml:space="preserve"> </w:t>
      </w:r>
      <w:sdt>
        <w:sdtPr>
          <w:id w:val="-2019143273"/>
          <w:citation/>
        </w:sdtPr>
        <w:sdtEndPr/>
        <w:sdtContent>
          <w:r w:rsidR="00361FAC">
            <w:fldChar w:fldCharType="begin"/>
          </w:r>
          <w:r w:rsidR="00CE68FD">
            <w:instrText xml:space="preserve">CITATION Aus24 \l 3081 </w:instrText>
          </w:r>
          <w:r w:rsidR="00361FAC">
            <w:fldChar w:fldCharType="separate"/>
          </w:r>
          <w:r w:rsidR="00490B21">
            <w:rPr>
              <w:noProof/>
            </w:rPr>
            <w:t>(Australian Institute of Health and Welfare, 2025)</w:t>
          </w:r>
          <w:r w:rsidR="00361FAC">
            <w:fldChar w:fldCharType="end"/>
          </w:r>
        </w:sdtContent>
      </w:sdt>
      <w:r w:rsidRPr="00611296">
        <w:t xml:space="preserve">. </w:t>
      </w:r>
    </w:p>
    <w:p w14:paraId="496AF3E7" w14:textId="7229702B" w:rsidR="00611296" w:rsidRDefault="0081300C" w:rsidP="00250F4B">
      <w:pPr>
        <w:pStyle w:val="Paragraph"/>
        <w:keepNext w:val="0"/>
      </w:pPr>
      <w:r>
        <w:t xml:space="preserve">While not all </w:t>
      </w:r>
      <w:r w:rsidR="009E52DF" w:rsidRPr="009E52DF">
        <w:t>nasopharyngeal cancer</w:t>
      </w:r>
      <w:r w:rsidR="009E52DF">
        <w:t xml:space="preserve"> will be caused by </w:t>
      </w:r>
      <w:r w:rsidR="00C27970">
        <w:t xml:space="preserve">work-related exposures to </w:t>
      </w:r>
      <w:r w:rsidR="009E52DF">
        <w:t xml:space="preserve">formaldehyde, </w:t>
      </w:r>
      <w:r w:rsidR="00E54948">
        <w:t xml:space="preserve">any </w:t>
      </w:r>
      <w:r w:rsidR="009E52DF">
        <w:t>r</w:t>
      </w:r>
      <w:r w:rsidR="00611296" w:rsidRPr="00611296">
        <w:t>educ</w:t>
      </w:r>
      <w:r w:rsidR="00E54948">
        <w:t xml:space="preserve">tion </w:t>
      </w:r>
      <w:r w:rsidR="00AD0E61">
        <w:t xml:space="preserve">in work-related exposure to formaldehyde could potentially contribute towards a reduction </w:t>
      </w:r>
      <w:r w:rsidR="00611296" w:rsidRPr="00611296">
        <w:t>of workers in the healthcare</w:t>
      </w:r>
      <w:r w:rsidR="00A160A1">
        <w:t xml:space="preserve"> system</w:t>
      </w:r>
      <w:r w:rsidR="00611296" w:rsidRPr="00611296">
        <w:t xml:space="preserve"> seeking treatment </w:t>
      </w:r>
      <w:r w:rsidR="00BD57B9">
        <w:t>or care, reducing cost to the</w:t>
      </w:r>
      <w:r w:rsidR="00611296" w:rsidRPr="00611296">
        <w:t xml:space="preserve"> healthcare sector and government. </w:t>
      </w:r>
    </w:p>
    <w:p w14:paraId="189BC979" w14:textId="0ABD8E94" w:rsidR="00BD57B9" w:rsidRPr="00611296" w:rsidRDefault="00907BF4" w:rsidP="00AB6E1F">
      <w:r>
        <w:t>T</w:t>
      </w:r>
      <w:r w:rsidRPr="00AA037C">
        <w:t>he AIHW</w:t>
      </w:r>
      <w:r w:rsidR="00374CF7">
        <w:t>’s</w:t>
      </w:r>
      <w:r w:rsidRPr="00AA037C">
        <w:t xml:space="preserve"> Burden of Disease Study, 2024 indicates that </w:t>
      </w:r>
      <w:r w:rsidR="00461125">
        <w:t>0.1</w:t>
      </w:r>
      <w:r>
        <w:t xml:space="preserve">% of </w:t>
      </w:r>
      <w:r w:rsidR="00374CF7">
        <w:t xml:space="preserve">all </w:t>
      </w:r>
      <w:r w:rsidR="00461125" w:rsidRPr="00461125">
        <w:t>nasopharyngeal cancer</w:t>
      </w:r>
      <w:r w:rsidRPr="00AA037C">
        <w:t xml:space="preserve"> total burden was attributed to occupational exposure and hazards. </w:t>
      </w:r>
      <w:r w:rsidR="00374CF7">
        <w:t>R</w:t>
      </w:r>
      <w:r w:rsidRPr="00AA037C">
        <w:t xml:space="preserve">educing </w:t>
      </w:r>
      <w:r w:rsidR="00461125" w:rsidRPr="00461125">
        <w:t xml:space="preserve">nasopharyngeal cancer </w:t>
      </w:r>
      <w:r w:rsidRPr="00AA037C">
        <w:t xml:space="preserve">caused by occupational exposure by implementing the proposed WEL </w:t>
      </w:r>
      <w:r>
        <w:t xml:space="preserve">for </w:t>
      </w:r>
      <w:r w:rsidR="00461125">
        <w:t>formaldehyde</w:t>
      </w:r>
      <w:r>
        <w:t xml:space="preserve"> </w:t>
      </w:r>
      <w:r w:rsidRPr="00AA037C">
        <w:t>to</w:t>
      </w:r>
      <w:r>
        <w:t xml:space="preserve"> </w:t>
      </w:r>
      <w:r w:rsidR="00461125">
        <w:t>better protect</w:t>
      </w:r>
      <w:r w:rsidRPr="00AA037C">
        <w:t xml:space="preserve"> workers</w:t>
      </w:r>
      <w:r w:rsidR="00AB1B87">
        <w:t xml:space="preserve">, is estimated to contribute up to </w:t>
      </w:r>
      <w:r w:rsidRPr="00AA037C">
        <w:t>$</w:t>
      </w:r>
      <w:r w:rsidR="00D5469F">
        <w:t>301,000</w:t>
      </w:r>
      <w:r w:rsidRPr="00AA037C">
        <w:t xml:space="preserve"> in savings to the government</w:t>
      </w:r>
      <w:r w:rsidR="00AB1B87">
        <w:t xml:space="preserve"> per year</w:t>
      </w:r>
      <w:r w:rsidRPr="00AA037C">
        <w:t>.</w:t>
      </w:r>
    </w:p>
    <w:p w14:paraId="271BCFD8" w14:textId="5D97E1D0" w:rsidR="00611296" w:rsidRPr="00250F4B" w:rsidRDefault="00353B64" w:rsidP="00250F4B">
      <w:pPr>
        <w:pStyle w:val="SWAHeading5"/>
        <w:keepNext/>
        <w:rPr>
          <w:vertAlign w:val="superscript"/>
        </w:rPr>
      </w:pPr>
      <w:r w:rsidRPr="00611296">
        <w:t>Reduc</w:t>
      </w:r>
      <w:r>
        <w:t>ed</w:t>
      </w:r>
      <w:r w:rsidRPr="00611296">
        <w:t xml:space="preserve"> </w:t>
      </w:r>
      <w:r w:rsidR="00611296" w:rsidRPr="00611296">
        <w:t>costs associated with</w:t>
      </w:r>
      <w:r w:rsidR="00611296">
        <w:t xml:space="preserve"> </w:t>
      </w:r>
      <w:r w:rsidR="007318AB">
        <w:t>potential</w:t>
      </w:r>
      <w:r w:rsidR="00611296" w:rsidRPr="00611296">
        <w:t xml:space="preserve"> worker compensation claims</w:t>
      </w:r>
      <w:r w:rsidR="0022032C" w:rsidRPr="00876040">
        <w:rPr>
          <w:rStyle w:val="FootnoteReference"/>
        </w:rPr>
        <w:footnoteReference w:id="115"/>
      </w:r>
    </w:p>
    <w:p w14:paraId="13346B82" w14:textId="65133256" w:rsidR="004D2C8B" w:rsidRDefault="004D2C8B" w:rsidP="005023B7">
      <w:pPr>
        <w:pStyle w:val="Paragraph"/>
      </w:pPr>
      <w:r w:rsidRPr="004D2C8B">
        <w:t xml:space="preserve">Workers who develop an occupational disease or illness because of exposures to </w:t>
      </w:r>
      <w:r>
        <w:t xml:space="preserve">formaldehyde </w:t>
      </w:r>
      <w:r w:rsidRPr="004D2C8B">
        <w:t xml:space="preserve">are able to seek workers’ compensation if the occupational disease or illness can be linked to the workplace. Workers’ compensation will help workers focus on getting better and access rehabilitation services, without worrying about associated costs. </w:t>
      </w:r>
    </w:p>
    <w:p w14:paraId="76C4D381" w14:textId="45EF13FF" w:rsidR="00183EA2" w:rsidRDefault="00183EA2" w:rsidP="005023B7">
      <w:pPr>
        <w:pStyle w:val="Paragraph"/>
        <w:rPr>
          <w:vertAlign w:val="superscript"/>
        </w:rPr>
      </w:pPr>
      <w:r w:rsidRPr="00183EA2">
        <w:t xml:space="preserve">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 </w:t>
      </w:r>
      <w:r w:rsidR="00F2007D">
        <w:t>Formaldehyde</w:t>
      </w:r>
      <w:r w:rsidRPr="00183EA2">
        <w:t xml:space="preserve"> is listed on Safe Work Australia’s List of Deemed Diseases as</w:t>
      </w:r>
      <w:r w:rsidR="00F2007D">
        <w:t xml:space="preserve"> a</w:t>
      </w:r>
      <w:r w:rsidRPr="00183EA2">
        <w:t xml:space="preserve"> cause for </w:t>
      </w:r>
      <w:r w:rsidR="00970073">
        <w:t xml:space="preserve">nasopharyngeal cancer and </w:t>
      </w:r>
      <w:r w:rsidR="00227356">
        <w:t>leukemia</w:t>
      </w:r>
      <w:r w:rsidR="00073DE7">
        <w:t xml:space="preserve"> </w:t>
      </w:r>
      <w:sdt>
        <w:sdtPr>
          <w:id w:val="410519710"/>
          <w:citation/>
        </w:sdtPr>
        <w:sdtEndPr/>
        <w:sdtContent>
          <w:r w:rsidR="005F7744">
            <w:fldChar w:fldCharType="begin"/>
          </w:r>
          <w:r w:rsidR="005F7744">
            <w:instrText xml:space="preserve"> CITATION Saf24 \l 3081 </w:instrText>
          </w:r>
          <w:r w:rsidR="005F7744">
            <w:fldChar w:fldCharType="separate"/>
          </w:r>
          <w:r w:rsidR="00490B21">
            <w:rPr>
              <w:noProof/>
            </w:rPr>
            <w:t>(Safe Work Australia, 2024)</w:t>
          </w:r>
          <w:r w:rsidR="005F7744">
            <w:fldChar w:fldCharType="end"/>
          </w:r>
        </w:sdtContent>
      </w:sdt>
      <w:r w:rsidR="00970073">
        <w:t>.</w:t>
      </w:r>
      <w:r w:rsidR="005F7744" w:rsidRPr="0050012D" w:rsidDel="005F7744">
        <w:rPr>
          <w:vertAlign w:val="superscript"/>
        </w:rPr>
        <w:t xml:space="preserve"> </w:t>
      </w:r>
    </w:p>
    <w:p w14:paraId="1AEA1F8B" w14:textId="15F18E90" w:rsidR="008B0C86" w:rsidRPr="00611296" w:rsidRDefault="008436BE" w:rsidP="005023B7">
      <w:pPr>
        <w:pStyle w:val="Paragraph"/>
      </w:pPr>
      <w:r>
        <w:t xml:space="preserve">While there are no workers’ compensation claims associated with formaldehyde exposure, </w:t>
      </w:r>
      <w:r w:rsidR="00684D0B">
        <w:t xml:space="preserve">this does not mean the proposed WEL will not result in </w:t>
      </w:r>
      <w:r w:rsidR="004A101D">
        <w:t xml:space="preserve">direct financial benefits, noting the likely under-reporting in workers’ compensation claims outlined above. </w:t>
      </w:r>
      <w:r w:rsidR="008B3A2F">
        <w:t xml:space="preserve">However, as the </w:t>
      </w:r>
      <w:r w:rsidR="00011546">
        <w:t>proposed WEL is expected to protect</w:t>
      </w:r>
      <w:r w:rsidR="008B0C86" w:rsidRPr="0085618B">
        <w:t xml:space="preserve"> workers </w:t>
      </w:r>
      <w:r w:rsidR="00011546">
        <w:t xml:space="preserve">from </w:t>
      </w:r>
      <w:r w:rsidR="008B0C86" w:rsidRPr="0085618B">
        <w:t xml:space="preserve">developing </w:t>
      </w:r>
      <w:r w:rsidR="008B0C86" w:rsidRPr="008B0C86">
        <w:t>localised sensory irritation effects</w:t>
      </w:r>
      <w:r w:rsidR="00851CA1">
        <w:t>, nasal cancer and leukaemia</w:t>
      </w:r>
      <w:r w:rsidR="0031125A">
        <w:t>, this</w:t>
      </w:r>
      <w:r w:rsidR="00851F13" w:rsidRPr="0085618B">
        <w:t xml:space="preserve"> </w:t>
      </w:r>
      <w:r w:rsidR="008B0C86" w:rsidRPr="0085618B">
        <w:t xml:space="preserve">can help businesses avoid the </w:t>
      </w:r>
      <w:r w:rsidR="000C71EF">
        <w:t xml:space="preserve">emergence and costs of </w:t>
      </w:r>
      <w:r w:rsidR="008B0C86" w:rsidRPr="0085618B">
        <w:t>worker</w:t>
      </w:r>
      <w:r w:rsidR="00572B60">
        <w:t>s’</w:t>
      </w:r>
      <w:r w:rsidR="008B0C86" w:rsidRPr="0085618B">
        <w:t xml:space="preserve"> compensation claims</w:t>
      </w:r>
      <w:r w:rsidR="003E0798">
        <w:t xml:space="preserve"> </w:t>
      </w:r>
      <w:r w:rsidR="001138EC" w:rsidRPr="001138EC">
        <w:t>through increased premiums</w:t>
      </w:r>
      <w:r w:rsidR="008B0C86" w:rsidRPr="0085618B">
        <w:t xml:space="preserve">. </w:t>
      </w:r>
    </w:p>
    <w:p w14:paraId="3A2841E9" w14:textId="1659BC63" w:rsidR="007F198C" w:rsidRPr="007F198C" w:rsidRDefault="007F198C" w:rsidP="007F198C">
      <w:pPr>
        <w:pStyle w:val="SWAHeading3"/>
      </w:pPr>
      <w:bookmarkStart w:id="260" w:name="_Toc196204685"/>
      <w:r w:rsidRPr="007F198C">
        <w:t xml:space="preserve">Additional benefits to the proposed WEL for </w:t>
      </w:r>
      <w:r>
        <w:t>formaldehyde</w:t>
      </w:r>
      <w:bookmarkEnd w:id="260"/>
    </w:p>
    <w:p w14:paraId="62513ABC" w14:textId="276F44BD" w:rsidR="00BB5CF2" w:rsidRPr="00BB5CF2" w:rsidRDefault="00654ED7" w:rsidP="007C2919">
      <w:pPr>
        <w:pStyle w:val="Paragraph"/>
        <w:keepNext w:val="0"/>
      </w:pPr>
      <w:r>
        <w:t>Stakeholders</w:t>
      </w:r>
      <w:r w:rsidR="00BB5CF2" w:rsidRPr="00BB5CF2">
        <w:t xml:space="preserve"> also </w:t>
      </w:r>
      <w:r>
        <w:t>identified</w:t>
      </w:r>
      <w:r w:rsidR="00BB5CF2" w:rsidRPr="00BB5CF2">
        <w:t xml:space="preserve"> that </w:t>
      </w:r>
      <w:r>
        <w:t xml:space="preserve">the proposed WEL for </w:t>
      </w:r>
      <w:r w:rsidR="00BB5CF2" w:rsidRPr="00BB5CF2">
        <w:t>formaldehyde</w:t>
      </w:r>
      <w:r>
        <w:t xml:space="preserve"> would have the following </w:t>
      </w:r>
      <w:r w:rsidR="00BB5CF2" w:rsidRPr="00BB5CF2">
        <w:t>qualitative benefits.</w:t>
      </w:r>
      <w:r w:rsidR="009A3950">
        <w:t xml:space="preserve"> </w:t>
      </w:r>
      <w:r w:rsidR="009A3950" w:rsidRPr="009A3950">
        <w:t>When considering the qualitative benefits, the actual benefits of the proposed WEL for formaldehyde will be greater than what was able to be quantified in this Decision RIS (</w:t>
      </w:r>
      <w:r w:rsidR="001A375E">
        <w:fldChar w:fldCharType="begin"/>
      </w:r>
      <w:r w:rsidR="001A375E">
        <w:instrText xml:space="preserve"> REF _Ref199860876 \h </w:instrText>
      </w:r>
      <w:r w:rsidR="001A375E">
        <w:fldChar w:fldCharType="separate"/>
      </w:r>
      <w:r w:rsidR="00A002F4">
        <w:t xml:space="preserve">Table </w:t>
      </w:r>
      <w:r w:rsidR="00A002F4">
        <w:rPr>
          <w:noProof/>
        </w:rPr>
        <w:t>20</w:t>
      </w:r>
      <w:r w:rsidR="001A375E">
        <w:fldChar w:fldCharType="end"/>
      </w:r>
      <w:r w:rsidR="009A3950" w:rsidRPr="009A3950">
        <w:t>)</w:t>
      </w:r>
      <w:r w:rsidR="00683220" w:rsidRPr="00C812BE">
        <w:t>.</w:t>
      </w:r>
      <w:r w:rsidR="00683220">
        <w:t xml:space="preserve"> </w:t>
      </w:r>
    </w:p>
    <w:p w14:paraId="064394B3" w14:textId="71679A50" w:rsidR="001C2BE4" w:rsidRPr="00D95A76" w:rsidRDefault="001C2BE4" w:rsidP="00D672A5">
      <w:pPr>
        <w:pStyle w:val="SWAHeading4"/>
        <w:keepNext/>
        <w:keepLines/>
      </w:pPr>
      <w:r w:rsidRPr="00D95A76">
        <w:lastRenderedPageBreak/>
        <w:t>Promotes a healthier and safer workplace</w:t>
      </w:r>
      <w:r w:rsidR="00124089" w:rsidRPr="00124089">
        <w:rPr>
          <w:rStyle w:val="FootnoteReference"/>
        </w:rPr>
        <w:footnoteReference w:id="116"/>
      </w:r>
    </w:p>
    <w:p w14:paraId="4A415CD6" w14:textId="2629F517" w:rsidR="00554009" w:rsidRDefault="001C2BE4" w:rsidP="00D672A5">
      <w:pPr>
        <w:pStyle w:val="Paragraph"/>
        <w:keepNext w:val="0"/>
      </w:pPr>
      <w:r>
        <w:t xml:space="preserve">Stakeholders suggested that </w:t>
      </w:r>
      <w:r w:rsidR="00501409">
        <w:t>exposure to unsafe hazardous chemical</w:t>
      </w:r>
      <w:r w:rsidR="007C2D5D">
        <w:t>s</w:t>
      </w:r>
      <w:r w:rsidR="00501409">
        <w:t xml:space="preserve"> </w:t>
      </w:r>
      <w:r w:rsidR="00595F7B">
        <w:t xml:space="preserve">can </w:t>
      </w:r>
      <w:r w:rsidR="00D21F33">
        <w:t>not only cause</w:t>
      </w:r>
      <w:r w:rsidR="00595F7B">
        <w:t xml:space="preserve"> physical injuries</w:t>
      </w:r>
      <w:r w:rsidR="00B03FA9">
        <w:t xml:space="preserve"> or adverse health effects</w:t>
      </w:r>
      <w:r w:rsidR="00D21F33">
        <w:t xml:space="preserve">, but also </w:t>
      </w:r>
      <w:r w:rsidR="006A383F">
        <w:t xml:space="preserve">a psychological injury without a physical </w:t>
      </w:r>
      <w:r w:rsidR="008926A3">
        <w:t xml:space="preserve">injury </w:t>
      </w:r>
      <w:r w:rsidR="00E56DB4">
        <w:t xml:space="preserve">occurring. </w:t>
      </w:r>
      <w:r w:rsidR="007C2D5D">
        <w:t xml:space="preserve">For example, if a </w:t>
      </w:r>
      <w:r w:rsidR="00710588">
        <w:t>worker is aware or becomes aware of the health hazards associated with</w:t>
      </w:r>
      <w:r w:rsidR="00554009">
        <w:t xml:space="preserve"> formaldehyde or formalin, th</w:t>
      </w:r>
      <w:r w:rsidR="009A27E3">
        <w:t xml:space="preserve">e worker can become distressed and </w:t>
      </w:r>
      <w:r w:rsidR="002E21CF">
        <w:t xml:space="preserve">anxious </w:t>
      </w:r>
      <w:r w:rsidR="005F6BE7">
        <w:t xml:space="preserve">about their health and exposure </w:t>
      </w:r>
      <w:r w:rsidR="002E21CF">
        <w:t xml:space="preserve">whilst carrying out their work duties. This can become </w:t>
      </w:r>
      <w:r w:rsidR="00196F24">
        <w:t>a distraction</w:t>
      </w:r>
      <w:r w:rsidR="002E21CF">
        <w:t xml:space="preserve"> and may lead to work</w:t>
      </w:r>
      <w:r w:rsidR="00E27433">
        <w:t xml:space="preserve">-related injuries or </w:t>
      </w:r>
      <w:r w:rsidR="00CD4BE1">
        <w:t>incidents</w:t>
      </w:r>
      <w:r w:rsidR="00D82857">
        <w:t xml:space="preserve">. </w:t>
      </w:r>
    </w:p>
    <w:p w14:paraId="259736B5" w14:textId="44575CBA" w:rsidR="00001667" w:rsidRPr="00623C7C" w:rsidRDefault="00990806" w:rsidP="00250F4B">
      <w:pPr>
        <w:pStyle w:val="Paragraph"/>
        <w:keepNext w:val="0"/>
      </w:pPr>
      <w:r>
        <w:t xml:space="preserve">Reducing the WEL will help </w:t>
      </w:r>
      <w:r w:rsidR="00501359">
        <w:t xml:space="preserve">workers </w:t>
      </w:r>
      <w:r>
        <w:t>maintain</w:t>
      </w:r>
      <w:r w:rsidR="00001667" w:rsidRPr="00623C7C">
        <w:t xml:space="preserve"> better health as they age, delaying the</w:t>
      </w:r>
      <w:r w:rsidR="001725B3">
        <w:t xml:space="preserve">ir need </w:t>
      </w:r>
      <w:r w:rsidR="00001667" w:rsidRPr="00623C7C">
        <w:t xml:space="preserve">to retire </w:t>
      </w:r>
      <w:r w:rsidR="001725B3">
        <w:t xml:space="preserve">from working due to </w:t>
      </w:r>
      <w:r w:rsidR="00501359">
        <w:t>development of chronic conditions</w:t>
      </w:r>
      <w:r w:rsidR="00063BDB">
        <w:t xml:space="preserve"> </w:t>
      </w:r>
      <w:r w:rsidR="005D20BE">
        <w:t xml:space="preserve">potentially </w:t>
      </w:r>
      <w:r w:rsidR="00063BDB">
        <w:t>caused by formaldehyde exposure</w:t>
      </w:r>
      <w:r w:rsidR="00501359">
        <w:t xml:space="preserve">, such as </w:t>
      </w:r>
      <w:r w:rsidR="005D20BE">
        <w:t xml:space="preserve">nasal </w:t>
      </w:r>
      <w:r w:rsidR="00501359">
        <w:t>cancer,</w:t>
      </w:r>
      <w:r w:rsidR="00001667" w:rsidRPr="00623C7C">
        <w:t xml:space="preserve"> and leading to them staying in workforce for longer</w:t>
      </w:r>
      <w:r w:rsidR="00063BDB">
        <w:t xml:space="preserve">. Workers will also be able to experience a better </w:t>
      </w:r>
      <w:r w:rsidR="00D95A76">
        <w:t xml:space="preserve">quality of life, as opposed to if they develop acute or chronic health effects from formaldehyde exposure. </w:t>
      </w:r>
    </w:p>
    <w:p w14:paraId="625C494D" w14:textId="096AC76E" w:rsidR="00751C75" w:rsidRDefault="00D95A76" w:rsidP="00F91FBC">
      <w:pPr>
        <w:pStyle w:val="SWAHeading4"/>
        <w:keepNext/>
        <w:keepLines/>
      </w:pPr>
      <w:r>
        <w:t>I</w:t>
      </w:r>
      <w:r w:rsidR="00623C7C" w:rsidRPr="00D95A76">
        <w:t>mproved ventilation in laboratories may lead to more efficient work practices</w:t>
      </w:r>
      <w:r w:rsidR="003D6CAD">
        <w:t xml:space="preserve"> and improved air quality within and around the workplace</w:t>
      </w:r>
    </w:p>
    <w:p w14:paraId="55CD493B" w14:textId="79BDD239" w:rsidR="00623C7C" w:rsidRDefault="007E0590" w:rsidP="00F91FBC">
      <w:pPr>
        <w:pStyle w:val="Paragraph"/>
        <w:keepLines/>
      </w:pPr>
      <w:r>
        <w:t>S</w:t>
      </w:r>
      <w:r w:rsidR="00751C75" w:rsidRPr="00D95A76">
        <w:t>takeholder</w:t>
      </w:r>
      <w:r>
        <w:t>s</w:t>
      </w:r>
      <w:r w:rsidR="00751C75" w:rsidRPr="00D95A76">
        <w:t xml:space="preserve"> identified that implementing controls </w:t>
      </w:r>
      <w:r w:rsidR="007E24F3">
        <w:t>to</w:t>
      </w:r>
      <w:r w:rsidR="007E24F3" w:rsidRPr="00D95A76">
        <w:t xml:space="preserve"> </w:t>
      </w:r>
      <w:r w:rsidR="00751C75" w:rsidRPr="00D95A76">
        <w:t xml:space="preserve">help improve ventilation </w:t>
      </w:r>
      <w:r w:rsidR="007E24F3">
        <w:t xml:space="preserve">and minimise </w:t>
      </w:r>
      <w:r w:rsidR="00DD1FE9">
        <w:t>worker exposure to formaldehyde</w:t>
      </w:r>
      <w:r w:rsidR="007F73AC" w:rsidRPr="00D95A76">
        <w:t xml:space="preserve"> </w:t>
      </w:r>
      <w:r w:rsidR="003C4A78">
        <w:t>could also</w:t>
      </w:r>
      <w:r w:rsidR="00DD1FE9">
        <w:t xml:space="preserve"> </w:t>
      </w:r>
      <w:r w:rsidR="007F73AC" w:rsidRPr="00D95A76">
        <w:t>result in changes to work practices</w:t>
      </w:r>
      <w:r w:rsidR="009754C5">
        <w:t xml:space="preserve"> and productivity</w:t>
      </w:r>
      <w:r w:rsidR="00374ABD" w:rsidRPr="008D4526">
        <w:rPr>
          <w:rStyle w:val="FootnoteReference"/>
        </w:rPr>
        <w:footnoteReference w:id="117"/>
      </w:r>
      <w:r w:rsidR="005D0AF4">
        <w:t>,</w:t>
      </w:r>
      <w:r w:rsidR="00623C7C" w:rsidRPr="00623C7C">
        <w:t xml:space="preserve"> as laboratory staff may not need to rotate from their workstations to minimise exposure to formalin and formaldehyde</w:t>
      </w:r>
      <w:r w:rsidR="000A5BB4">
        <w:rPr>
          <w:rStyle w:val="FootnoteReference"/>
        </w:rPr>
        <w:footnoteReference w:id="118"/>
      </w:r>
      <w:r w:rsidR="005D0AF4">
        <w:t xml:space="preserve">. </w:t>
      </w:r>
    </w:p>
    <w:p w14:paraId="4A986966" w14:textId="492B07BF" w:rsidR="00BE2117" w:rsidRDefault="005D0AF4" w:rsidP="00250F4B">
      <w:pPr>
        <w:pStyle w:val="Paragraph"/>
        <w:keepNext w:val="0"/>
      </w:pPr>
      <w:r>
        <w:t>Improve</w:t>
      </w:r>
      <w:r w:rsidR="00E92ABB">
        <w:t>d</w:t>
      </w:r>
      <w:r>
        <w:t xml:space="preserve"> ventilation </w:t>
      </w:r>
      <w:r w:rsidR="003F39D8">
        <w:t xml:space="preserve">can also improve </w:t>
      </w:r>
      <w:r w:rsidR="009D0726">
        <w:t>the air quality in and around the workplace</w:t>
      </w:r>
      <w:r w:rsidR="00BE2117">
        <w:t xml:space="preserve">. </w:t>
      </w:r>
      <w:r w:rsidR="002716EC">
        <w:t xml:space="preserve">A study into the effects of improved ventilation in office buildings found that </w:t>
      </w:r>
      <w:r w:rsidR="00225AE9">
        <w:t>worker performance increased by 8%</w:t>
      </w:r>
      <w:r w:rsidR="000A7D04">
        <w:t xml:space="preserve">, which </w:t>
      </w:r>
      <w:r w:rsidR="0020108D">
        <w:t xml:space="preserve">was found to </w:t>
      </w:r>
      <w:r w:rsidR="00B57088">
        <w:t>be equivalent</w:t>
      </w:r>
      <w:r w:rsidR="000A7D04">
        <w:t xml:space="preserve"> to</w:t>
      </w:r>
      <w:r w:rsidR="00450D77">
        <w:t xml:space="preserve"> $6,500 </w:t>
      </w:r>
      <w:r w:rsidR="00B57088">
        <w:t xml:space="preserve">USD </w:t>
      </w:r>
      <w:r w:rsidR="0020108D">
        <w:t xml:space="preserve">increase in productivity per worker per year. </w:t>
      </w:r>
      <w:r w:rsidR="00B57088">
        <w:t xml:space="preserve">The study also observed </w:t>
      </w:r>
      <w:r w:rsidR="00067EF8">
        <w:t xml:space="preserve">a reduction in absenteeism and </w:t>
      </w:r>
      <w:r w:rsidR="00266E55">
        <w:t xml:space="preserve">improvement in workers’ health </w:t>
      </w:r>
      <w:sdt>
        <w:sdtPr>
          <w:id w:val="-690376486"/>
          <w:citation/>
        </w:sdtPr>
        <w:sdtEndPr/>
        <w:sdtContent>
          <w:r w:rsidR="00266E55">
            <w:fldChar w:fldCharType="begin"/>
          </w:r>
          <w:r w:rsidR="00913ED3">
            <w:instrText xml:space="preserve">CITATION Mac15 \l 3081 </w:instrText>
          </w:r>
          <w:r w:rsidR="00266E55">
            <w:fldChar w:fldCharType="separate"/>
          </w:r>
          <w:r w:rsidR="00490B21">
            <w:rPr>
              <w:noProof/>
            </w:rPr>
            <w:t>(MacNaughton, et al., 2015)</w:t>
          </w:r>
          <w:r w:rsidR="00266E55">
            <w:fldChar w:fldCharType="end"/>
          </w:r>
        </w:sdtContent>
      </w:sdt>
      <w:r w:rsidR="00266E55">
        <w:t xml:space="preserve">. </w:t>
      </w:r>
    </w:p>
    <w:p w14:paraId="0B25CB0C" w14:textId="0C8B7036" w:rsidR="00744AE7" w:rsidRDefault="00BE2117" w:rsidP="00250F4B">
      <w:pPr>
        <w:pStyle w:val="Paragraph"/>
        <w:keepNext w:val="0"/>
      </w:pPr>
      <w:r>
        <w:t xml:space="preserve">Stakeholders </w:t>
      </w:r>
      <w:r w:rsidR="00F51B81">
        <w:t xml:space="preserve">also </w:t>
      </w:r>
      <w:r>
        <w:t xml:space="preserve">believed that </w:t>
      </w:r>
      <w:r w:rsidR="003F39D8">
        <w:t xml:space="preserve">improving air quality in the workplace </w:t>
      </w:r>
      <w:r w:rsidR="00E05D37">
        <w:t>would</w:t>
      </w:r>
      <w:r>
        <w:t xml:space="preserve"> help boost employee satisfaction</w:t>
      </w:r>
      <w:r w:rsidR="00DD14A0">
        <w:t xml:space="preserve"> in their PCBU and workplace</w:t>
      </w:r>
      <w:r>
        <w:t xml:space="preserve">, leading to </w:t>
      </w:r>
      <w:r w:rsidR="005571CC">
        <w:t>better employee retention rates</w:t>
      </w:r>
      <w:r w:rsidR="00A16287">
        <w:rPr>
          <w:rStyle w:val="FootnoteReference"/>
        </w:rPr>
        <w:footnoteReference w:id="119"/>
      </w:r>
      <w:r w:rsidR="005571CC">
        <w:t xml:space="preserve">. </w:t>
      </w:r>
    </w:p>
    <w:p w14:paraId="78158B54" w14:textId="494D5AAA" w:rsidR="00666D77" w:rsidRPr="004E7666" w:rsidRDefault="00666D77" w:rsidP="00AA4470">
      <w:pPr>
        <w:pStyle w:val="SWAHeading4"/>
      </w:pPr>
      <w:r w:rsidRPr="006549B3">
        <w:t>Encourages the use of formaldehyde-free products in the workplace</w:t>
      </w:r>
    </w:p>
    <w:p w14:paraId="31BF4E8E" w14:textId="379C1A34" w:rsidR="0016773B" w:rsidRDefault="1C920EF5" w:rsidP="00AA4470">
      <w:pPr>
        <w:keepNext/>
        <w:keepLines/>
        <w:spacing w:before="120" w:line="240" w:lineRule="auto"/>
        <w:contextualSpacing w:val="0"/>
        <w:rPr>
          <w:rFonts w:eastAsia="Times New Roman" w:cs="Arial"/>
        </w:rPr>
      </w:pPr>
      <w:r w:rsidRPr="27F845C1">
        <w:rPr>
          <w:rFonts w:eastAsia="Times New Roman" w:cs="Arial"/>
        </w:rPr>
        <w:t xml:space="preserve">The </w:t>
      </w:r>
      <w:r w:rsidR="4BBB357D" w:rsidRPr="27F845C1">
        <w:rPr>
          <w:rFonts w:eastAsia="Times New Roman" w:cs="Arial"/>
        </w:rPr>
        <w:t xml:space="preserve">proposed </w:t>
      </w:r>
      <w:r w:rsidRPr="27F845C1">
        <w:rPr>
          <w:rFonts w:eastAsia="Times New Roman" w:cs="Arial"/>
        </w:rPr>
        <w:t xml:space="preserve">WEL </w:t>
      </w:r>
      <w:r w:rsidR="4BBB357D" w:rsidRPr="27F845C1">
        <w:rPr>
          <w:rFonts w:eastAsia="Times New Roman" w:cs="Arial"/>
        </w:rPr>
        <w:t xml:space="preserve">for formaldehyde </w:t>
      </w:r>
      <w:r w:rsidRPr="27F845C1">
        <w:rPr>
          <w:rFonts w:eastAsia="Times New Roman" w:cs="Arial"/>
        </w:rPr>
        <w:t xml:space="preserve">could promote the substitution and </w:t>
      </w:r>
      <w:r w:rsidRPr="3B7C333A">
        <w:rPr>
          <w:rFonts w:eastAsia="Times New Roman" w:cs="Arial"/>
        </w:rPr>
        <w:t>us</w:t>
      </w:r>
      <w:r w:rsidR="26EAF4DC" w:rsidRPr="3B7C333A">
        <w:rPr>
          <w:rFonts w:eastAsia="Times New Roman" w:cs="Arial"/>
        </w:rPr>
        <w:t>e</w:t>
      </w:r>
      <w:r w:rsidRPr="27F845C1">
        <w:rPr>
          <w:rFonts w:eastAsia="Times New Roman" w:cs="Arial"/>
        </w:rPr>
        <w:t xml:space="preserve"> of safer alternative products that do not contain formaldehyde</w:t>
      </w:r>
      <w:r w:rsidR="007A68D6">
        <w:rPr>
          <w:rStyle w:val="FootnoteReference"/>
        </w:rPr>
        <w:footnoteReference w:id="120"/>
      </w:r>
      <w:r w:rsidRPr="27F845C1">
        <w:rPr>
          <w:rFonts w:eastAsia="Times New Roman" w:cs="Arial"/>
        </w:rPr>
        <w:t xml:space="preserve">, reducing exposure in the workplace even further. </w:t>
      </w:r>
    </w:p>
    <w:p w14:paraId="4FE3C786" w14:textId="23440B96" w:rsidR="00666D77" w:rsidRPr="00F51B81" w:rsidRDefault="00666D77" w:rsidP="00250F4B">
      <w:pPr>
        <w:keepNext/>
        <w:spacing w:line="240" w:lineRule="auto"/>
        <w:contextualSpacing w:val="0"/>
        <w:rPr>
          <w:rFonts w:eastAsia="Times New Roman" w:cs="Arial"/>
        </w:rPr>
      </w:pPr>
      <w:r w:rsidRPr="006549B3">
        <w:rPr>
          <w:rFonts w:eastAsia="Times New Roman" w:cs="Arial"/>
        </w:rPr>
        <w:t xml:space="preserve">This could create opportunities in some industries for alternative </w:t>
      </w:r>
      <w:r w:rsidR="0088039C">
        <w:rPr>
          <w:rFonts w:eastAsia="Times New Roman" w:cs="Arial"/>
        </w:rPr>
        <w:t>formaldehyde-free products,</w:t>
      </w:r>
      <w:r w:rsidR="0088039C" w:rsidRPr="006549B3">
        <w:rPr>
          <w:rFonts w:eastAsia="Times New Roman" w:cs="Arial"/>
        </w:rPr>
        <w:t xml:space="preserve"> </w:t>
      </w:r>
      <w:r w:rsidRPr="006549B3">
        <w:rPr>
          <w:rFonts w:eastAsia="Times New Roman" w:cs="Arial"/>
        </w:rPr>
        <w:t>such as</w:t>
      </w:r>
      <w:r w:rsidR="001710E3">
        <w:rPr>
          <w:rFonts w:eastAsia="Times New Roman" w:cs="Arial"/>
        </w:rPr>
        <w:t xml:space="preserve"> </w:t>
      </w:r>
      <w:r w:rsidR="001710E3" w:rsidRPr="001710E3">
        <w:rPr>
          <w:rFonts w:eastAsia="Times New Roman" w:cs="Arial"/>
        </w:rPr>
        <w:t>lignin, tannin, cardanol</w:t>
      </w:r>
      <w:r w:rsidR="001710E3">
        <w:rPr>
          <w:rFonts w:eastAsia="Times New Roman" w:cs="Arial"/>
        </w:rPr>
        <w:t>,</w:t>
      </w:r>
      <w:r w:rsidRPr="006549B3">
        <w:rPr>
          <w:rFonts w:eastAsia="Times New Roman" w:cs="Arial"/>
        </w:rPr>
        <w:t xml:space="preserve"> </w:t>
      </w:r>
      <w:r w:rsidR="0088039C">
        <w:rPr>
          <w:rFonts w:eastAsia="Times New Roman" w:cs="Arial"/>
        </w:rPr>
        <w:t>h</w:t>
      </w:r>
      <w:r w:rsidRPr="006549B3">
        <w:rPr>
          <w:rFonts w:eastAsia="Times New Roman" w:cs="Arial"/>
        </w:rPr>
        <w:t xml:space="preserve">ydroxymethylfurfural </w:t>
      </w:r>
      <w:r w:rsidR="009C778C" w:rsidRPr="009C778C">
        <w:rPr>
          <w:rFonts w:eastAsia="Times New Roman" w:cs="Arial"/>
        </w:rPr>
        <w:t xml:space="preserve">and glyoxal </w:t>
      </w:r>
      <w:r w:rsidR="0088039C">
        <w:rPr>
          <w:rFonts w:eastAsia="Times New Roman" w:cs="Arial"/>
        </w:rPr>
        <w:t>in the wood products industry</w:t>
      </w:r>
      <w:sdt>
        <w:sdtPr>
          <w:rPr>
            <w:rFonts w:eastAsia="Times New Roman" w:cs="Arial"/>
          </w:rPr>
          <w:id w:val="1503392687"/>
          <w:citation/>
        </w:sdtPr>
        <w:sdtEndPr/>
        <w:sdtContent>
          <w:r w:rsidR="009C778C">
            <w:rPr>
              <w:rFonts w:eastAsia="Times New Roman" w:cs="Arial"/>
            </w:rPr>
            <w:fldChar w:fldCharType="begin"/>
          </w:r>
          <w:r w:rsidR="009C778C">
            <w:rPr>
              <w:rFonts w:eastAsia="Times New Roman" w:cs="Arial"/>
            </w:rPr>
            <w:instrText xml:space="preserve"> CITATION Sar20 \l 3081 </w:instrText>
          </w:r>
          <w:r w:rsidR="009C778C">
            <w:rPr>
              <w:rFonts w:eastAsia="Times New Roman" w:cs="Arial"/>
            </w:rPr>
            <w:fldChar w:fldCharType="separate"/>
          </w:r>
          <w:r w:rsidR="00490B21">
            <w:rPr>
              <w:rFonts w:eastAsia="Times New Roman" w:cs="Arial"/>
              <w:noProof/>
            </w:rPr>
            <w:t xml:space="preserve"> </w:t>
          </w:r>
          <w:r w:rsidR="00490B21" w:rsidRPr="00490B21">
            <w:rPr>
              <w:rFonts w:eastAsia="Times New Roman" w:cs="Arial"/>
              <w:noProof/>
            </w:rPr>
            <w:t>(Sarika, Nancarrow, Khansaheb, &amp; Ibrahim, 2020)</w:t>
          </w:r>
          <w:r w:rsidR="009C778C">
            <w:rPr>
              <w:rFonts w:eastAsia="Times New Roman" w:cs="Arial"/>
            </w:rPr>
            <w:fldChar w:fldCharType="end"/>
          </w:r>
        </w:sdtContent>
      </w:sdt>
      <w:r w:rsidRPr="006549B3">
        <w:rPr>
          <w:rFonts w:eastAsia="Times New Roman" w:cs="Arial"/>
        </w:rPr>
        <w:t>.</w:t>
      </w:r>
    </w:p>
    <w:p w14:paraId="22F0E03C" w14:textId="2F9A3588" w:rsidR="00666D77" w:rsidRPr="006549B3" w:rsidRDefault="00666D77" w:rsidP="00E21AA9">
      <w:pPr>
        <w:pStyle w:val="SWAHeading4"/>
      </w:pPr>
      <w:r w:rsidRPr="006549B3">
        <w:t>Raises awareness about formaldehyde and the hazards associated with it</w:t>
      </w:r>
      <w:r w:rsidR="00563DE9" w:rsidRPr="002B433F">
        <w:rPr>
          <w:rStyle w:val="FootnoteReference"/>
        </w:rPr>
        <w:footnoteReference w:id="121"/>
      </w:r>
    </w:p>
    <w:p w14:paraId="37FE6FD0" w14:textId="78119509" w:rsidR="00F961CC" w:rsidRDefault="00F961CC" w:rsidP="002352A3">
      <w:pPr>
        <w:spacing w:line="240" w:lineRule="atLeast"/>
        <w:contextualSpacing w:val="0"/>
      </w:pPr>
      <w:r w:rsidRPr="009911EB">
        <w:t xml:space="preserve">Stakeholders noted that the proposed change </w:t>
      </w:r>
      <w:r>
        <w:t xml:space="preserve">to </w:t>
      </w:r>
      <w:r w:rsidR="004006D5">
        <w:t xml:space="preserve">the WEL for </w:t>
      </w:r>
      <w:r>
        <w:t>formaldehyde</w:t>
      </w:r>
      <w:r w:rsidRPr="009911EB">
        <w:t xml:space="preserve"> would also lead to PCBUs and workers becoming more aware of the presence of </w:t>
      </w:r>
      <w:r>
        <w:t>formaldehyde</w:t>
      </w:r>
      <w:r w:rsidRPr="009911EB">
        <w:t xml:space="preserve"> in the workplace, and the hazards associated with the </w:t>
      </w:r>
      <w:r>
        <w:t>formaldehyde</w:t>
      </w:r>
      <w:r w:rsidRPr="009911EB">
        <w:t xml:space="preserve">, allowing both to actively </w:t>
      </w:r>
      <w:r w:rsidRPr="009911EB">
        <w:lastRenderedPageBreak/>
        <w:t xml:space="preserve">contribute to making sure the workplace is safer and healthier. </w:t>
      </w:r>
      <w:r>
        <w:t xml:space="preserve">This awareness can promote safer handling, storage and use of </w:t>
      </w:r>
      <w:r w:rsidR="00B6346A">
        <w:t>formaldehyde</w:t>
      </w:r>
      <w:r>
        <w:t xml:space="preserve">, which would help contribute to less work-related formaldehyde exposure in the long-term. </w:t>
      </w:r>
    </w:p>
    <w:p w14:paraId="5B57384E" w14:textId="32AC3478" w:rsidR="00666D77" w:rsidRPr="006549B3" w:rsidRDefault="000A7656" w:rsidP="002352A3">
      <w:pPr>
        <w:spacing w:line="240" w:lineRule="atLeast"/>
        <w:contextualSpacing w:val="0"/>
        <w:rPr>
          <w:rFonts w:eastAsia="Arial" w:cs="Arial"/>
        </w:rPr>
      </w:pPr>
      <w:r>
        <w:rPr>
          <w:rFonts w:eastAsia="Arial" w:cs="Arial"/>
        </w:rPr>
        <w:t>B</w:t>
      </w:r>
      <w:r w:rsidRPr="000A7656">
        <w:rPr>
          <w:rFonts w:eastAsia="Arial" w:cs="Arial"/>
        </w:rPr>
        <w:t xml:space="preserve">y raising awareness of the presence of hazards in the workplace and the risks associated with </w:t>
      </w:r>
      <w:r w:rsidR="00125365">
        <w:rPr>
          <w:rFonts w:eastAsia="Arial" w:cs="Arial"/>
        </w:rPr>
        <w:t>them</w:t>
      </w:r>
      <w:r w:rsidRPr="000A7656">
        <w:rPr>
          <w:rFonts w:eastAsia="Arial" w:cs="Arial"/>
        </w:rPr>
        <w:t xml:space="preserve">, workers have also been shown to make better and informed choices that allows them to take reasonable care for their own health and safety in the workplace, such as wearing PPE whilst working. </w:t>
      </w:r>
    </w:p>
    <w:p w14:paraId="66960C89" w14:textId="10BA3474" w:rsidR="000A535A" w:rsidRPr="000A535A" w:rsidRDefault="00F749AB" w:rsidP="006F27B2">
      <w:pPr>
        <w:pStyle w:val="SWAHeading2"/>
        <w:keepNext/>
        <w:keepLines/>
        <w:ind w:left="709"/>
      </w:pPr>
      <w:bookmarkStart w:id="263" w:name="_Toc196204686"/>
      <w:bookmarkStart w:id="264" w:name="_Ref197936016"/>
      <w:bookmarkStart w:id="265" w:name="_Ref197938103"/>
      <w:bookmarkStart w:id="266" w:name="_Ref198300653"/>
      <w:bookmarkStart w:id="267" w:name="_Ref198300661"/>
      <w:bookmarkStart w:id="268" w:name="_Toc219216899"/>
      <w:r>
        <w:t xml:space="preserve">Costs </w:t>
      </w:r>
      <w:r w:rsidR="00162E86">
        <w:t xml:space="preserve">of </w:t>
      </w:r>
      <w:r>
        <w:t xml:space="preserve">the </w:t>
      </w:r>
      <w:r w:rsidR="00162E86">
        <w:t>proposed WEL for formaldehyde</w:t>
      </w:r>
      <w:bookmarkEnd w:id="263"/>
      <w:bookmarkEnd w:id="264"/>
      <w:bookmarkEnd w:id="265"/>
      <w:bookmarkEnd w:id="266"/>
      <w:bookmarkEnd w:id="267"/>
      <w:bookmarkEnd w:id="268"/>
    </w:p>
    <w:bookmarkEnd w:id="254"/>
    <w:p w14:paraId="00800263" w14:textId="1E8FBC9F" w:rsidR="00DD2D4B" w:rsidRPr="001E0F11" w:rsidRDefault="00DD2D4B" w:rsidP="001E0F11">
      <w:pPr>
        <w:keepNext/>
        <w:keepLines/>
        <w:contextualSpacing w:val="0"/>
      </w:pPr>
      <w:r>
        <w:t xml:space="preserve">Costs associated with the </w:t>
      </w:r>
      <w:r w:rsidRPr="006A0158">
        <w:t xml:space="preserve">proposed WEL for </w:t>
      </w:r>
      <w:r>
        <w:t>formaldehyde</w:t>
      </w:r>
      <w:r w:rsidRPr="006A0158">
        <w:t xml:space="preserve"> </w:t>
      </w:r>
      <w:r>
        <w:t xml:space="preserve">were estimated. These </w:t>
      </w:r>
      <w:r w:rsidRPr="006A0158">
        <w:t>are indicative estimates only</w:t>
      </w:r>
      <w:r w:rsidR="004263EF" w:rsidRPr="004263EF">
        <w:t>.</w:t>
      </w:r>
    </w:p>
    <w:p w14:paraId="30BCE8DC" w14:textId="1A232C3B" w:rsidR="00DD2D4B" w:rsidRDefault="001B6B2F" w:rsidP="001B6B2F">
      <w:pPr>
        <w:contextualSpacing w:val="0"/>
      </w:pPr>
      <w:r w:rsidRPr="00E87384">
        <w:fldChar w:fldCharType="begin"/>
      </w:r>
      <w:r w:rsidRPr="00E87384">
        <w:instrText xml:space="preserve"> REF _Ref179384601 \h </w:instrText>
      </w:r>
      <w:r w:rsidR="00457BD2">
        <w:rPr>
          <w:highlight w:val="yellow"/>
        </w:rPr>
        <w:instrText xml:space="preserve"> \* MERGEFORMAT </w:instrText>
      </w:r>
      <w:r w:rsidRPr="00E87384">
        <w:fldChar w:fldCharType="separate"/>
      </w:r>
      <w:r w:rsidR="00A002F4">
        <w:t xml:space="preserve">Table </w:t>
      </w:r>
      <w:r w:rsidR="00A002F4">
        <w:rPr>
          <w:noProof/>
        </w:rPr>
        <w:t>21</w:t>
      </w:r>
      <w:r w:rsidRPr="00E87384">
        <w:fldChar w:fldCharType="end"/>
      </w:r>
      <w:r>
        <w:t xml:space="preserve"> </w:t>
      </w:r>
      <w:r w:rsidR="7EBD11F7" w:rsidRPr="38A49B51">
        <w:t xml:space="preserve">presents the estimated total costs to </w:t>
      </w:r>
      <w:r w:rsidR="5EE2CCCF">
        <w:t>industry to</w:t>
      </w:r>
      <w:r w:rsidR="7EBD11F7" w:rsidRPr="38A49B51" w:rsidDel="00DD2D4B">
        <w:t xml:space="preserve"> </w:t>
      </w:r>
      <w:r w:rsidR="7EBD11F7" w:rsidRPr="38A49B51">
        <w:t xml:space="preserve">comply with the proposed WEL for formaldehyde over the 10-year appraisal period (from FY27 to FY36). </w:t>
      </w:r>
    </w:p>
    <w:p w14:paraId="74E3E1A8" w14:textId="7E698269" w:rsidR="000B51DC" w:rsidRDefault="000B51DC" w:rsidP="001B6B2F">
      <w:pPr>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6554E031" w14:textId="052350E7" w:rsidR="000B51DC" w:rsidRDefault="000B51DC" w:rsidP="00957D4E">
      <w:pPr>
        <w:contextualSpacing w:val="0"/>
      </w:pPr>
      <w:r>
        <w:t xml:space="preserve">The analysis </w:t>
      </w:r>
      <w:r w:rsidR="009F490C">
        <w:t xml:space="preserve">estimates </w:t>
      </w:r>
      <w:r>
        <w:t>that:</w:t>
      </w:r>
    </w:p>
    <w:p w14:paraId="0429A2E1" w14:textId="4E88D99A" w:rsidR="000B51DC" w:rsidRDefault="000B51DC" w:rsidP="00B57E6C">
      <w:pPr>
        <w:pStyle w:val="ListParagraph"/>
        <w:numPr>
          <w:ilvl w:val="0"/>
          <w:numId w:val="21"/>
        </w:numPr>
        <w:suppressAutoHyphens/>
        <w:spacing w:line="259" w:lineRule="auto"/>
        <w:contextualSpacing w:val="0"/>
      </w:pPr>
      <w:bookmarkStart w:id="269" w:name="_Toc193192620"/>
      <w:bookmarkStart w:id="270" w:name="_Toc196204687"/>
      <w:bookmarkStart w:id="271" w:name="_Hlk179288101"/>
      <w:r>
        <w:t>The estimated total cost to affected business over 10 years is $</w:t>
      </w:r>
      <w:r w:rsidR="001464D1">
        <w:t>1.67</w:t>
      </w:r>
      <w:r>
        <w:t xml:space="preserve"> billion (in real, discounted terms), which equates to $</w:t>
      </w:r>
      <w:r w:rsidR="001464D1">
        <w:t>276</w:t>
      </w:r>
      <w:r>
        <w:t xml:space="preserve"> million per year (in real, undiscounted terms).</w:t>
      </w:r>
      <w:bookmarkEnd w:id="269"/>
      <w:bookmarkEnd w:id="270"/>
      <w:r>
        <w:t xml:space="preserve"> </w:t>
      </w:r>
    </w:p>
    <w:p w14:paraId="4C5A3481" w14:textId="77777777" w:rsidR="000B51DC" w:rsidRDefault="000B51DC" w:rsidP="00B57E6C">
      <w:pPr>
        <w:pStyle w:val="ListParagraph"/>
        <w:numPr>
          <w:ilvl w:val="0"/>
          <w:numId w:val="21"/>
        </w:numPr>
        <w:suppressAutoHyphens/>
        <w:spacing w:line="259" w:lineRule="auto"/>
        <w:ind w:hanging="357"/>
        <w:contextualSpacing w:val="0"/>
      </w:pPr>
      <w:bookmarkStart w:id="272" w:name="_Toc193192621"/>
      <w:bookmarkStart w:id="273" w:name="_Toc196204688"/>
      <w:bookmarkEnd w:id="271"/>
      <w:r w:rsidRPr="38A49B51">
        <w:t>These estimated total costs comprise of:</w:t>
      </w:r>
      <w:bookmarkEnd w:id="272"/>
      <w:bookmarkEnd w:id="273"/>
      <w:r w:rsidRPr="38A49B51">
        <w:t xml:space="preserve"> </w:t>
      </w:r>
    </w:p>
    <w:p w14:paraId="3B9D1D7E" w14:textId="3AD07E34" w:rsidR="000B51DC" w:rsidRDefault="7EBD11F7" w:rsidP="005B01BE">
      <w:pPr>
        <w:pStyle w:val="ListParagraph"/>
        <w:numPr>
          <w:ilvl w:val="1"/>
          <w:numId w:val="21"/>
        </w:numPr>
        <w:suppressAutoHyphens/>
        <w:spacing w:line="259" w:lineRule="auto"/>
        <w:ind w:hanging="357"/>
        <w:contextualSpacing w:val="0"/>
      </w:pPr>
      <w:bookmarkStart w:id="274" w:name="_Toc193192622"/>
      <w:bookmarkStart w:id="275" w:name="_Toc196204689"/>
      <w:r>
        <w:t>control measure costs of $1</w:t>
      </w:r>
      <w:r w:rsidR="522C8135">
        <w:t>.</w:t>
      </w:r>
      <w:r w:rsidR="5B039A0A">
        <w:t>4</w:t>
      </w:r>
      <w:r w:rsidR="522C8135">
        <w:t>4</w:t>
      </w:r>
      <w:r w:rsidR="7D30A496">
        <w:t xml:space="preserve"> b</w:t>
      </w:r>
      <w:r>
        <w:t>illion over 10 years, comprising engineering controls ($</w:t>
      </w:r>
      <w:r w:rsidR="5B039A0A">
        <w:t>508</w:t>
      </w:r>
      <w:r>
        <w:t xml:space="preserve"> million), isolation controls ($</w:t>
      </w:r>
      <w:r w:rsidR="5B039A0A">
        <w:t>4</w:t>
      </w:r>
      <w:r w:rsidR="7CE78DDB">
        <w:t>68</w:t>
      </w:r>
      <w:r>
        <w:t xml:space="preserve"> million)</w:t>
      </w:r>
      <w:r w:rsidR="246EE807">
        <w:t>, administrative controls</w:t>
      </w:r>
      <w:r w:rsidR="5F845C1E">
        <w:t xml:space="preserve"> ($</w:t>
      </w:r>
      <w:r w:rsidR="7CE78DDB">
        <w:t xml:space="preserve">325 </w:t>
      </w:r>
      <w:r w:rsidR="2C342D6C">
        <w:t>million</w:t>
      </w:r>
      <w:r>
        <w:t>) and PPE ($</w:t>
      </w:r>
      <w:r w:rsidR="5A9ABE1F">
        <w:t>1</w:t>
      </w:r>
      <w:r w:rsidR="7CE78DDB">
        <w:t>4</w:t>
      </w:r>
      <w:r w:rsidR="5A9ABE1F">
        <w:t>0</w:t>
      </w:r>
      <w:r>
        <w:t xml:space="preserve"> million)</w:t>
      </w:r>
      <w:r w:rsidR="1324E1E0">
        <w:t>, and</w:t>
      </w:r>
      <w:bookmarkEnd w:id="274"/>
      <w:bookmarkEnd w:id="275"/>
    </w:p>
    <w:p w14:paraId="15814271" w14:textId="7D0083A8" w:rsidR="000B51DC" w:rsidRDefault="000B51DC" w:rsidP="005B01BE">
      <w:pPr>
        <w:pStyle w:val="ListParagraph"/>
        <w:numPr>
          <w:ilvl w:val="1"/>
          <w:numId w:val="21"/>
        </w:numPr>
        <w:suppressAutoHyphens/>
        <w:spacing w:line="259" w:lineRule="auto"/>
        <w:ind w:hanging="357"/>
        <w:contextualSpacing w:val="0"/>
      </w:pPr>
      <w:bookmarkStart w:id="276" w:name="_Toc193192623"/>
      <w:bookmarkStart w:id="277" w:name="_Toc196204690"/>
      <w:r w:rsidRPr="38A49B51">
        <w:t>management practice costs of $</w:t>
      </w:r>
      <w:r w:rsidR="008E1E7B">
        <w:t>190</w:t>
      </w:r>
      <w:r w:rsidR="008E1E7B" w:rsidRPr="38A49B51">
        <w:t xml:space="preserve"> </w:t>
      </w:r>
      <w:r w:rsidRPr="38A49B51">
        <w:t>million over 10 years, comprising air monitoring ($</w:t>
      </w:r>
      <w:r w:rsidR="008E1E7B">
        <w:t>78</w:t>
      </w:r>
      <w:r w:rsidR="008E1E7B" w:rsidRPr="38A49B51">
        <w:t xml:space="preserve"> </w:t>
      </w:r>
      <w:r w:rsidRPr="38A49B51">
        <w:t>million) and occupational hygiene ($</w:t>
      </w:r>
      <w:r w:rsidR="008E1E7B">
        <w:t>112</w:t>
      </w:r>
      <w:r w:rsidR="008E1E7B" w:rsidRPr="38A49B51">
        <w:t xml:space="preserve"> </w:t>
      </w:r>
      <w:r w:rsidRPr="38A49B51">
        <w:t>million).</w:t>
      </w:r>
      <w:bookmarkEnd w:id="276"/>
      <w:bookmarkEnd w:id="277"/>
    </w:p>
    <w:p w14:paraId="1ADEB076" w14:textId="25BB2630" w:rsidR="000B51DC" w:rsidRDefault="000B51DC" w:rsidP="00B57E6C">
      <w:pPr>
        <w:pStyle w:val="ListParagraph"/>
        <w:numPr>
          <w:ilvl w:val="0"/>
          <w:numId w:val="21"/>
        </w:numPr>
        <w:suppressAutoHyphens/>
        <w:spacing w:line="259" w:lineRule="auto"/>
      </w:pPr>
      <w:bookmarkStart w:id="278" w:name="_Toc193192624"/>
      <w:bookmarkStart w:id="279" w:name="_Toc196204691"/>
      <w:r w:rsidRPr="38A49B51">
        <w:t>An additional $38 million of chemical specific costs have been estimated, informed by data provided by</w:t>
      </w:r>
      <w:r w:rsidR="00763D1F">
        <w:t xml:space="preserve"> the pathology</w:t>
      </w:r>
      <w:r w:rsidRPr="38A49B51">
        <w:t xml:space="preserve"> industry, comprising $12.8 million for extraction hoods and $25.5 million for cutting benches.</w:t>
      </w:r>
      <w:bookmarkEnd w:id="278"/>
      <w:bookmarkEnd w:id="279"/>
    </w:p>
    <w:p w14:paraId="07383DFB" w14:textId="77777777" w:rsidR="00D61927" w:rsidRDefault="00D61927" w:rsidP="000E09E8">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13AE850D" w14:textId="77777777" w:rsidR="00D61927" w:rsidRDefault="00D61927" w:rsidP="000E09E8">
      <w:pPr>
        <w:suppressAutoHyphens/>
      </w:pPr>
      <w:r>
        <w:t xml:space="preserve">Obligations around management practice costs make these costs more likely to be evenly distributed throughout the appraisal period. </w:t>
      </w:r>
    </w:p>
    <w:p w14:paraId="176C1781" w14:textId="77777777" w:rsidR="00D61927" w:rsidRDefault="00D61927" w:rsidP="000E09E8">
      <w:pPr>
        <w:suppressAutoHyphens/>
        <w:spacing w:line="259" w:lineRule="auto"/>
      </w:pPr>
    </w:p>
    <w:p w14:paraId="6C245650" w14:textId="330A3E95" w:rsidR="000B51DC" w:rsidRDefault="000B51DC" w:rsidP="000B51DC">
      <w:pPr>
        <w:pStyle w:val="Caption"/>
      </w:pPr>
      <w:bookmarkStart w:id="280" w:name="_Ref179384601"/>
      <w:r>
        <w:lastRenderedPageBreak/>
        <w:t xml:space="preserve">Table </w:t>
      </w:r>
      <w:fldSimple w:instr=" SEQ Table \* ARABIC ">
        <w:r w:rsidR="00A002F4">
          <w:rPr>
            <w:noProof/>
          </w:rPr>
          <w:t>21</w:t>
        </w:r>
      </w:fldSimple>
      <w:bookmarkEnd w:id="280"/>
      <w:r>
        <w:t xml:space="preserve"> - </w:t>
      </w:r>
      <w:r w:rsidRPr="00D636BA">
        <w:t xml:space="preserve">Estimated average annual and total </w:t>
      </w:r>
      <w:r w:rsidR="00323EC7">
        <w:t>incremental</w:t>
      </w:r>
      <w:r w:rsidR="00323EC7" w:rsidRPr="00D636BA">
        <w:t xml:space="preserve"> </w:t>
      </w:r>
      <w:r w:rsidRPr="00D636BA">
        <w:t xml:space="preserve">costs to </w:t>
      </w:r>
      <w:r w:rsidR="00677B27">
        <w:t>industry</w:t>
      </w:r>
      <w:r w:rsidRPr="00D636BA">
        <w:t xml:space="preserve"> by the proposed WEL for formaldehyde ($ millions), FY27 to FY36</w:t>
      </w:r>
    </w:p>
    <w:tbl>
      <w:tblPr>
        <w:tblStyle w:val="TableGrid"/>
        <w:tblW w:w="9067" w:type="dxa"/>
        <w:tblBorders>
          <w:insideH w:val="single" w:sz="8" w:space="0" w:color="D9D9D9" w:themeColor="background1" w:themeShade="D9"/>
        </w:tblBorders>
        <w:tblLook w:val="04A0" w:firstRow="1" w:lastRow="0" w:firstColumn="1" w:lastColumn="0" w:noHBand="0" w:noVBand="1"/>
      </w:tblPr>
      <w:tblGrid>
        <w:gridCol w:w="3125"/>
        <w:gridCol w:w="2971"/>
        <w:gridCol w:w="2971"/>
      </w:tblGrid>
      <w:tr w:rsidR="000B51DC" w:rsidRPr="008404A0" w14:paraId="0BAFF0FE" w14:textId="77777777" w:rsidTr="009779D1">
        <w:trPr>
          <w:trHeight w:val="617"/>
        </w:trPr>
        <w:tc>
          <w:tcPr>
            <w:tcW w:w="3125"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2050BD" w:themeFill="accent1" w:themeFillShade="BF"/>
          </w:tcPr>
          <w:p w14:paraId="491024C9"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0B601840"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50BD" w:themeFill="accent1" w:themeFillShade="BF"/>
          </w:tcPr>
          <w:p w14:paraId="008F11F1"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0481EF3C" w14:textId="77777777" w:rsidTr="009779D1">
        <w:trPr>
          <w:trHeight w:val="288"/>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77BCFAB7" w14:textId="77777777" w:rsidR="000B51DC" w:rsidRPr="00154D99" w:rsidRDefault="000B51DC">
            <w:pPr>
              <w:pStyle w:val="Paragraph"/>
              <w:spacing w:after="0" w:line="276" w:lineRule="auto"/>
              <w:rPr>
                <w:b/>
              </w:rPr>
            </w:pPr>
            <w:r w:rsidRPr="00154D99">
              <w:rPr>
                <w:b/>
              </w:rPr>
              <w:t>Control measure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7EB3DE6" w14:textId="2D35D25D" w:rsidR="000B51DC" w:rsidRPr="00075FC8" w:rsidRDefault="006C6C9F">
            <w:pPr>
              <w:keepNext/>
              <w:keepLines/>
              <w:jc w:val="right"/>
              <w:rPr>
                <w:b/>
                <w:bCs/>
              </w:rPr>
            </w:pPr>
            <w:r>
              <w:rPr>
                <w:b/>
                <w:bCs/>
              </w:rPr>
              <w:t>238.3</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6B262B8" w14:textId="522ACA89" w:rsidR="000B51DC" w:rsidRPr="00075FC8" w:rsidRDefault="000B51DC">
            <w:pPr>
              <w:keepNext/>
              <w:keepLines/>
              <w:jc w:val="right"/>
              <w:rPr>
                <w:b/>
                <w:bCs/>
              </w:rPr>
            </w:pPr>
            <w:r w:rsidRPr="00075FC8" w:rsidDel="006C6C9F">
              <w:rPr>
                <w:b/>
                <w:bCs/>
              </w:rPr>
              <w:t>1,</w:t>
            </w:r>
            <w:r w:rsidR="006C6C9F">
              <w:rPr>
                <w:b/>
                <w:bCs/>
              </w:rPr>
              <w:t>440.9</w:t>
            </w:r>
          </w:p>
        </w:tc>
      </w:tr>
      <w:tr w:rsidR="000B51DC" w:rsidRPr="00BA600A" w14:paraId="19E4DA27" w14:textId="77777777">
        <w:trPr>
          <w:trHeight w:val="304"/>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07C381BB" w14:textId="77777777" w:rsidR="000B51DC" w:rsidRPr="00B155EC" w:rsidRDefault="000B51DC" w:rsidP="009779D1">
            <w:pPr>
              <w:pStyle w:val="Paragraph"/>
              <w:spacing w:after="0" w:line="276" w:lineRule="auto"/>
              <w:ind w:left="318" w:hanging="142"/>
              <w:rPr>
                <w:bCs/>
              </w:rPr>
            </w:pPr>
            <w:r w:rsidRPr="00B155EC">
              <w:rPr>
                <w:bCs/>
              </w:rPr>
              <w:t>Isolation control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254877F" w14:textId="4EA8CE9F" w:rsidR="000B51DC" w:rsidRPr="00B02E59" w:rsidRDefault="006C6C9F">
            <w:pPr>
              <w:keepNext/>
              <w:keepLines/>
              <w:jc w:val="right"/>
            </w:pPr>
            <w:r>
              <w:t>77.4</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DF058E" w14:textId="3D0B9655" w:rsidR="000B51DC" w:rsidRPr="00B02E59" w:rsidRDefault="006C6C9F">
            <w:pPr>
              <w:keepNext/>
              <w:keepLines/>
              <w:jc w:val="right"/>
            </w:pPr>
            <w:r>
              <w:t>468.3</w:t>
            </w:r>
          </w:p>
        </w:tc>
      </w:tr>
      <w:tr w:rsidR="000B51DC" w:rsidRPr="00BA600A" w14:paraId="3A5A6101" w14:textId="77777777">
        <w:trPr>
          <w:trHeight w:val="304"/>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7B91BB2B" w14:textId="77777777" w:rsidR="000B51DC" w:rsidRPr="00B155EC" w:rsidRDefault="000B51DC" w:rsidP="00040E84">
            <w:pPr>
              <w:pStyle w:val="Paragraph"/>
              <w:spacing w:after="0" w:line="276" w:lineRule="auto"/>
              <w:ind w:left="318" w:hanging="142"/>
              <w:rPr>
                <w:bCs/>
              </w:rPr>
            </w:pPr>
            <w:r w:rsidRPr="00B155EC">
              <w:rPr>
                <w:bCs/>
              </w:rPr>
              <w:t>Engineering control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0C658E2" w14:textId="00931C4A" w:rsidR="000B51DC" w:rsidRPr="00B02E59" w:rsidRDefault="006C6C9F">
            <w:pPr>
              <w:keepNext/>
              <w:keepLines/>
              <w:jc w:val="right"/>
            </w:pPr>
            <w:r>
              <w:t>83.9</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4C9E1B" w14:textId="26B0FB75" w:rsidR="000B51DC" w:rsidRPr="00B02E59" w:rsidRDefault="006C6C9F">
            <w:pPr>
              <w:keepNext/>
              <w:keepLines/>
              <w:jc w:val="right"/>
            </w:pPr>
            <w:r>
              <w:t>507.6</w:t>
            </w:r>
          </w:p>
        </w:tc>
      </w:tr>
      <w:tr w:rsidR="000B51DC" w:rsidRPr="00BA600A" w14:paraId="514B9F62" w14:textId="77777777">
        <w:trPr>
          <w:trHeight w:val="288"/>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38482C1F" w14:textId="77777777" w:rsidR="000B51DC" w:rsidRPr="00B155EC" w:rsidRDefault="000B51DC" w:rsidP="009779D1">
            <w:pPr>
              <w:pStyle w:val="Paragraph"/>
              <w:spacing w:after="0" w:line="276" w:lineRule="auto"/>
              <w:ind w:left="318" w:hanging="142"/>
              <w:rPr>
                <w:bCs/>
              </w:rPr>
            </w:pPr>
            <w:r w:rsidRPr="00B155EC">
              <w:rPr>
                <w:bCs/>
              </w:rPr>
              <w:t>Administrative control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3D1630D" w14:textId="6EAB704C" w:rsidR="000B51DC" w:rsidRPr="00B02E59" w:rsidRDefault="006C6C9F">
            <w:pPr>
              <w:keepNext/>
              <w:keepLines/>
              <w:jc w:val="right"/>
            </w:pPr>
            <w:r>
              <w:t>53.7</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D1AFA1" w14:textId="4200132D" w:rsidR="000B51DC" w:rsidRPr="00B02E59" w:rsidRDefault="006C6C9F">
            <w:pPr>
              <w:keepNext/>
              <w:keepLines/>
              <w:jc w:val="right"/>
            </w:pPr>
            <w:r>
              <w:t>324.5</w:t>
            </w:r>
          </w:p>
        </w:tc>
      </w:tr>
      <w:tr w:rsidR="000B51DC" w:rsidRPr="00BA600A" w14:paraId="56CA3C34" w14:textId="77777777">
        <w:trPr>
          <w:trHeight w:val="236"/>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5D2E6205" w14:textId="77777777" w:rsidR="000B51DC" w:rsidRPr="00B155EC" w:rsidRDefault="000B51DC" w:rsidP="00040E84">
            <w:pPr>
              <w:pStyle w:val="Paragraph"/>
              <w:spacing w:after="0" w:line="276" w:lineRule="auto"/>
              <w:ind w:left="318" w:hanging="142"/>
              <w:rPr>
                <w:bCs/>
              </w:rPr>
            </w:pPr>
            <w:r>
              <w:rPr>
                <w:bCs/>
              </w:rPr>
              <w:t>PPE</w:t>
            </w:r>
            <w:r w:rsidRPr="00B155EC">
              <w:rPr>
                <w:bCs/>
              </w:rPr>
              <w:t xml:space="preserve">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773377A" w14:textId="17EC7573" w:rsidR="000B51DC" w:rsidRPr="00B02E59" w:rsidRDefault="006C6C9F">
            <w:pPr>
              <w:keepNext/>
              <w:keepLines/>
              <w:jc w:val="right"/>
            </w:pPr>
            <w:r>
              <w:t>23.4</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241F1B" w14:textId="656276EB" w:rsidR="000B51DC" w:rsidRPr="00B02E59" w:rsidRDefault="006C6C9F">
            <w:pPr>
              <w:keepNext/>
              <w:keepLines/>
              <w:jc w:val="right"/>
            </w:pPr>
            <w:r>
              <w:t>140.4</w:t>
            </w:r>
          </w:p>
        </w:tc>
      </w:tr>
      <w:tr w:rsidR="000B51DC" w:rsidRPr="00BA600A" w14:paraId="0B75DB88" w14:textId="77777777" w:rsidTr="009779D1">
        <w:trPr>
          <w:trHeight w:val="304"/>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27747839" w14:textId="77777777" w:rsidR="000B51DC" w:rsidRPr="00154D99" w:rsidRDefault="000B51DC" w:rsidP="00040E84">
            <w:pPr>
              <w:pStyle w:val="Paragraph"/>
              <w:spacing w:after="0" w:line="276" w:lineRule="auto"/>
              <w:ind w:left="318" w:hanging="318"/>
              <w:rPr>
                <w:b/>
              </w:rPr>
            </w:pPr>
            <w:r w:rsidRPr="00154D99">
              <w:rPr>
                <w:b/>
              </w:rPr>
              <w:t>Management practice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A34FAAC" w14:textId="78F87D2D" w:rsidR="000B51DC" w:rsidRPr="000C0F74" w:rsidRDefault="006C6C9F">
            <w:pPr>
              <w:keepNext/>
              <w:keepLines/>
              <w:jc w:val="right"/>
              <w:rPr>
                <w:b/>
                <w:bCs/>
              </w:rPr>
            </w:pPr>
            <w:r>
              <w:rPr>
                <w:rFonts w:asciiTheme="majorHAnsi" w:hAnsiTheme="majorHAnsi" w:cstheme="majorHAnsi"/>
                <w:b/>
                <w:bCs/>
              </w:rPr>
              <w:t>31.4</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1D817BC4" w14:textId="0F66FAAF" w:rsidR="000B51DC" w:rsidRPr="000C0F74" w:rsidRDefault="006C6C9F">
            <w:pPr>
              <w:keepNext/>
              <w:keepLines/>
              <w:jc w:val="right"/>
              <w:rPr>
                <w:b/>
                <w:bCs/>
              </w:rPr>
            </w:pPr>
            <w:r>
              <w:rPr>
                <w:rFonts w:asciiTheme="majorHAnsi" w:hAnsiTheme="majorHAnsi" w:cstheme="majorHAnsi"/>
                <w:b/>
                <w:bCs/>
              </w:rPr>
              <w:t>190.2</w:t>
            </w:r>
          </w:p>
        </w:tc>
      </w:tr>
      <w:tr w:rsidR="000B51DC" w:rsidRPr="00BA600A" w14:paraId="27E6AE0F" w14:textId="77777777">
        <w:trPr>
          <w:trHeight w:val="288"/>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4373B544" w14:textId="77777777" w:rsidR="000B51DC" w:rsidRPr="00B155EC" w:rsidRDefault="000B51DC" w:rsidP="009779D1">
            <w:pPr>
              <w:pStyle w:val="Paragraph"/>
              <w:spacing w:after="0" w:line="276" w:lineRule="auto"/>
              <w:ind w:left="318" w:hanging="142"/>
              <w:rPr>
                <w:bCs/>
              </w:rPr>
            </w:pPr>
            <w:r w:rsidRPr="00B155EC">
              <w:rPr>
                <w:bCs/>
              </w:rPr>
              <w:t>Air monitoring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8FDC8C5" w14:textId="7CABBFCC" w:rsidR="000B51DC" w:rsidRPr="00B02E59" w:rsidRDefault="006C6C9F">
            <w:pPr>
              <w:keepNext/>
              <w:keepLines/>
              <w:jc w:val="right"/>
            </w:pPr>
            <w:r>
              <w:t>12.9</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0C09F4" w14:textId="63E9E619" w:rsidR="000B51DC" w:rsidRPr="00B02E59" w:rsidRDefault="006C6C9F">
            <w:pPr>
              <w:keepNext/>
              <w:keepLines/>
              <w:jc w:val="right"/>
            </w:pPr>
            <w:r>
              <w:t>77.8</w:t>
            </w:r>
          </w:p>
        </w:tc>
      </w:tr>
      <w:tr w:rsidR="000B51DC" w:rsidRPr="00BA600A" w14:paraId="3B34131B" w14:textId="77777777">
        <w:trPr>
          <w:trHeight w:val="304"/>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57B035D0" w14:textId="77777777" w:rsidR="000B51DC" w:rsidRPr="00B155EC" w:rsidRDefault="000B51DC" w:rsidP="00040E84">
            <w:pPr>
              <w:pStyle w:val="Paragraph"/>
              <w:spacing w:after="0" w:line="276" w:lineRule="auto"/>
              <w:ind w:left="318" w:hanging="142"/>
              <w:rPr>
                <w:bCs/>
              </w:rPr>
            </w:pPr>
            <w:r w:rsidRPr="00B155EC">
              <w:rPr>
                <w:bCs/>
              </w:rPr>
              <w:t>Occupational hygiene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E0D4787" w14:textId="1F2D49FD" w:rsidR="000B51DC" w:rsidRPr="00B02E59" w:rsidRDefault="006C6C9F">
            <w:pPr>
              <w:keepNext/>
              <w:keepLines/>
              <w:jc w:val="right"/>
            </w:pPr>
            <w:r>
              <w:t>18.6</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7DCD25" w14:textId="277C40E2" w:rsidR="000B51DC" w:rsidRPr="00B02E59" w:rsidRDefault="006C6C9F">
            <w:pPr>
              <w:keepNext/>
              <w:keepLines/>
              <w:jc w:val="right"/>
            </w:pPr>
            <w:r>
              <w:t>112.4</w:t>
            </w:r>
          </w:p>
        </w:tc>
      </w:tr>
      <w:tr w:rsidR="000B51DC" w:rsidRPr="00BA600A" w14:paraId="420CDA9F" w14:textId="77777777" w:rsidTr="00040E84">
        <w:trPr>
          <w:trHeight w:val="304"/>
        </w:trPr>
        <w:tc>
          <w:tcPr>
            <w:tcW w:w="3125"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57CDC6A7" w14:textId="77777777" w:rsidR="000B51DC" w:rsidRPr="008F0D53" w:rsidRDefault="000B51DC">
            <w:pPr>
              <w:pStyle w:val="Paragraph"/>
              <w:spacing w:after="0" w:line="276" w:lineRule="auto"/>
              <w:rPr>
                <w:b/>
              </w:rPr>
            </w:pPr>
            <w:r w:rsidRPr="008F0D53">
              <w:rPr>
                <w:b/>
              </w:rPr>
              <w:t>Specific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C4AD853" w14:textId="77777777" w:rsidR="000B51DC" w:rsidRPr="008F0D53" w:rsidRDefault="000B51DC">
            <w:pPr>
              <w:keepNext/>
              <w:keepLines/>
              <w:jc w:val="right"/>
              <w:rPr>
                <w:b/>
              </w:rPr>
            </w:pPr>
            <w:r w:rsidRPr="008F0D53">
              <w:rPr>
                <w:b/>
              </w:rPr>
              <w:t>6.4</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E59B1F5" w14:textId="3CFDD9F1" w:rsidR="000B51DC" w:rsidRPr="008F0D53" w:rsidRDefault="000B51DC">
            <w:pPr>
              <w:keepNext/>
              <w:keepLines/>
              <w:jc w:val="right"/>
              <w:rPr>
                <w:b/>
              </w:rPr>
            </w:pPr>
            <w:r w:rsidRPr="003150E2">
              <w:rPr>
                <w:b/>
              </w:rPr>
              <w:t>38</w:t>
            </w:r>
            <w:r w:rsidR="006C6C9F">
              <w:rPr>
                <w:b/>
              </w:rPr>
              <w:t>.3</w:t>
            </w:r>
          </w:p>
        </w:tc>
      </w:tr>
      <w:tr w:rsidR="000B51DC" w:rsidRPr="00BA600A" w14:paraId="04133E2F" w14:textId="77777777" w:rsidTr="00040E84">
        <w:trPr>
          <w:trHeight w:val="288"/>
        </w:trPr>
        <w:tc>
          <w:tcPr>
            <w:tcW w:w="3125" w:type="dxa"/>
            <w:tcBorders>
              <w:top w:val="single" w:sz="8"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022BDEB5" w14:textId="77777777" w:rsidR="000B51DC" w:rsidRPr="00154D99" w:rsidRDefault="000B51DC">
            <w:pPr>
              <w:pStyle w:val="Paragraph"/>
              <w:spacing w:after="0" w:line="276" w:lineRule="auto"/>
              <w:rPr>
                <w:b/>
              </w:rPr>
            </w:pPr>
            <w:r w:rsidRPr="00154D99">
              <w:rPr>
                <w:b/>
              </w:rPr>
              <w:t>Total costs</w:t>
            </w:r>
          </w:p>
        </w:tc>
        <w:tc>
          <w:tcPr>
            <w:tcW w:w="297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680B6A2B" w14:textId="647DFD1A" w:rsidR="000B51DC" w:rsidRPr="005B1087" w:rsidRDefault="006C6C9F">
            <w:pPr>
              <w:keepNext/>
              <w:keepLines/>
              <w:jc w:val="right"/>
              <w:rPr>
                <w:b/>
                <w:bCs/>
              </w:rPr>
            </w:pPr>
            <w:r>
              <w:rPr>
                <w:rFonts w:asciiTheme="majorHAnsi" w:hAnsiTheme="majorHAnsi" w:cstheme="majorHAnsi"/>
                <w:b/>
                <w:bCs/>
              </w:rPr>
              <w:t>276.2</w:t>
            </w:r>
          </w:p>
        </w:tc>
        <w:tc>
          <w:tcPr>
            <w:tcW w:w="2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1ACEC" w:themeFill="accent1" w:themeFillTint="99"/>
          </w:tcPr>
          <w:p w14:paraId="18F4D81B" w14:textId="3166DD94" w:rsidR="000B51DC" w:rsidRPr="005B1087" w:rsidRDefault="006C6C9F">
            <w:pPr>
              <w:keepNext/>
              <w:keepLines/>
              <w:jc w:val="right"/>
              <w:rPr>
                <w:b/>
                <w:bCs/>
              </w:rPr>
            </w:pPr>
            <w:r>
              <w:rPr>
                <w:rFonts w:asciiTheme="majorHAnsi" w:hAnsiTheme="majorHAnsi" w:cstheme="majorHAnsi"/>
                <w:b/>
                <w:bCs/>
              </w:rPr>
              <w:t>1,669.4</w:t>
            </w:r>
          </w:p>
        </w:tc>
      </w:tr>
    </w:tbl>
    <w:p w14:paraId="0680E823" w14:textId="027EFADC" w:rsidR="000B51DC" w:rsidRDefault="000B51DC" w:rsidP="001E0F11">
      <w:pPr>
        <w:spacing w:before="240"/>
        <w:contextualSpacing w:val="0"/>
      </w:pPr>
      <w:r w:rsidRPr="38A49B51">
        <w:t xml:space="preserve">This regulatory impact analysis has also estimated the average annual and total costs to </w:t>
      </w:r>
      <w:r w:rsidR="00FD7EBF">
        <w:t>industry</w:t>
      </w:r>
      <w:r w:rsidR="00FD7EBF" w:rsidRPr="38A49B51">
        <w:t xml:space="preserve"> </w:t>
      </w:r>
      <w:r w:rsidRPr="38A49B51">
        <w:t>under low and high cost scenarios, where:</w:t>
      </w:r>
    </w:p>
    <w:p w14:paraId="1A562AC2" w14:textId="4827783B" w:rsidR="000B51DC" w:rsidRDefault="000B51DC" w:rsidP="00B57E6C">
      <w:pPr>
        <w:pStyle w:val="ListParagraph"/>
        <w:numPr>
          <w:ilvl w:val="0"/>
          <w:numId w:val="22"/>
        </w:numPr>
        <w:suppressAutoHyphens/>
        <w:spacing w:line="259" w:lineRule="auto"/>
        <w:ind w:left="714" w:hanging="357"/>
        <w:contextualSpacing w:val="0"/>
      </w:pPr>
      <w:bookmarkStart w:id="281" w:name="_Toc193192625"/>
      <w:bookmarkStart w:id="282" w:name="_Toc196204692"/>
      <w:r w:rsidRPr="38A49B51">
        <w:t>Under the low cost scenario, the average annual cost is $</w:t>
      </w:r>
      <w:r w:rsidR="00B14CEC">
        <w:t>2</w:t>
      </w:r>
      <w:r w:rsidR="006C6C9F">
        <w:t>07</w:t>
      </w:r>
      <w:r w:rsidRPr="38A49B51">
        <w:t xml:space="preserve"> million (undiscounted) and the total cost is $</w:t>
      </w:r>
      <w:r w:rsidR="00CC4AF8">
        <w:t>1.</w:t>
      </w:r>
      <w:r w:rsidR="006C6C9F">
        <w:t>3</w:t>
      </w:r>
      <w:r w:rsidR="0084447B">
        <w:t xml:space="preserve"> b</w:t>
      </w:r>
      <w:r w:rsidRPr="38A49B51">
        <w:t>illion (discounted).</w:t>
      </w:r>
      <w:bookmarkEnd w:id="281"/>
      <w:bookmarkEnd w:id="282"/>
    </w:p>
    <w:p w14:paraId="76B3161C" w14:textId="2B58461E" w:rsidR="000B51DC" w:rsidRDefault="000B51DC" w:rsidP="00B57E6C">
      <w:pPr>
        <w:pStyle w:val="ListParagraph"/>
        <w:numPr>
          <w:ilvl w:val="0"/>
          <w:numId w:val="22"/>
        </w:numPr>
        <w:suppressAutoHyphens/>
        <w:spacing w:after="240" w:line="259" w:lineRule="auto"/>
        <w:ind w:left="714" w:hanging="357"/>
        <w:contextualSpacing w:val="0"/>
      </w:pPr>
      <w:bookmarkStart w:id="283" w:name="_Toc193192626"/>
      <w:bookmarkStart w:id="284" w:name="_Toc196204693"/>
      <w:r w:rsidRPr="38A49B51">
        <w:t>Under the high cost scenario, the average annual costs is $</w:t>
      </w:r>
      <w:r w:rsidR="006C6C9F">
        <w:t>345</w:t>
      </w:r>
      <w:r w:rsidR="006C6C9F" w:rsidRPr="38A49B51">
        <w:t xml:space="preserve"> </w:t>
      </w:r>
      <w:r w:rsidRPr="38A49B51">
        <w:t>million (undiscounted) and the total cost is $</w:t>
      </w:r>
      <w:r w:rsidR="001E4D34">
        <w:t>2</w:t>
      </w:r>
      <w:r w:rsidRPr="38A49B51">
        <w:t>.</w:t>
      </w:r>
      <w:r w:rsidR="003B28B4">
        <w:t>1</w:t>
      </w:r>
      <w:r w:rsidRPr="38A49B51">
        <w:t xml:space="preserve"> billion (discounted).</w:t>
      </w:r>
      <w:bookmarkEnd w:id="283"/>
      <w:bookmarkEnd w:id="284"/>
      <w:r w:rsidRPr="38A49B51">
        <w:t xml:space="preserve"> </w:t>
      </w:r>
    </w:p>
    <w:p w14:paraId="524D1CDD" w14:textId="2DE31435" w:rsidR="000B51DC" w:rsidRDefault="002943F7" w:rsidP="008328A0">
      <w:pPr>
        <w:suppressAutoHyphens/>
        <w:spacing w:line="259" w:lineRule="auto"/>
        <w:contextualSpacing w:val="0"/>
      </w:pPr>
      <w:r>
        <w:fldChar w:fldCharType="begin"/>
      </w:r>
      <w:r>
        <w:instrText xml:space="preserve"> REF _Ref199920185 \h </w:instrText>
      </w:r>
      <w:r>
        <w:fldChar w:fldCharType="separate"/>
      </w:r>
      <w:r w:rsidR="00A002F4">
        <w:t xml:space="preserve">Table </w:t>
      </w:r>
      <w:r w:rsidR="00A002F4">
        <w:rPr>
          <w:noProof/>
        </w:rPr>
        <w:t>22</w:t>
      </w:r>
      <w:r>
        <w:fldChar w:fldCharType="end"/>
      </w:r>
      <w:r>
        <w:t xml:space="preserve"> </w:t>
      </w:r>
      <w:r w:rsidR="000B51DC" w:rsidRPr="004F240B">
        <w:t xml:space="preserve">presents the estimated average annual </w:t>
      </w:r>
      <w:r w:rsidR="00323EC7">
        <w:t>incremental</w:t>
      </w:r>
      <w:r w:rsidR="00323EC7" w:rsidRPr="004F240B">
        <w:t xml:space="preserve"> </w:t>
      </w:r>
      <w:r w:rsidR="000B51DC" w:rsidRPr="004F240B">
        <w:t xml:space="preserve">costs per affected business </w:t>
      </w:r>
      <w:r w:rsidR="000B51DC" w:rsidRPr="007C3418">
        <w:t xml:space="preserve">by business size category for the proposed WEL for </w:t>
      </w:r>
      <w:r w:rsidR="000B51DC">
        <w:t>formaldehyde</w:t>
      </w:r>
      <w:r w:rsidR="000B51DC" w:rsidRPr="007C3418">
        <w:t xml:space="preserve">. </w:t>
      </w:r>
      <w:r w:rsidR="000B51DC" w:rsidRPr="00370B05">
        <w:t xml:space="preserve">The results do not factor in costs specific to a singular business or industry that </w:t>
      </w:r>
      <w:r w:rsidR="000B51DC">
        <w:t xml:space="preserve">are </w:t>
      </w:r>
      <w:r w:rsidR="000B51DC" w:rsidRPr="00370B05">
        <w:t>not expected for other businesses or industries</w:t>
      </w:r>
      <w:r w:rsidR="000B51DC">
        <w:t>.</w:t>
      </w:r>
      <w:r w:rsidR="000453DE">
        <w:t xml:space="preserve"> </w:t>
      </w:r>
      <w:r w:rsidR="000453DE" w:rsidRPr="00B548F6">
        <w:t>An average annual incremental cost is also assumed in the absence of information to indicate the true distribution of costs across the 10-year appraisal period</w:t>
      </w:r>
      <w:r w:rsidR="000453DE">
        <w:t xml:space="preserve">.  </w:t>
      </w:r>
      <w:r w:rsidR="003D3834">
        <w:t xml:space="preserve">These </w:t>
      </w:r>
      <w:r w:rsidR="00F35839">
        <w:t xml:space="preserve">affected </w:t>
      </w:r>
      <w:r w:rsidR="003D3834">
        <w:t xml:space="preserve">businesses come from the </w:t>
      </w:r>
      <w:r w:rsidR="00F35839">
        <w:t>following industries:</w:t>
      </w:r>
    </w:p>
    <w:p w14:paraId="353BEA6D" w14:textId="10DAF238" w:rsidR="00F35839" w:rsidRDefault="00364FC7" w:rsidP="00A2768E">
      <w:pPr>
        <w:pStyle w:val="ListParagraph"/>
        <w:numPr>
          <w:ilvl w:val="0"/>
          <w:numId w:val="60"/>
        </w:numPr>
        <w:contextualSpacing w:val="0"/>
      </w:pPr>
      <w:r>
        <w:t>agriculture,</w:t>
      </w:r>
    </w:p>
    <w:p w14:paraId="308FA663" w14:textId="3A8B14DA" w:rsidR="00CA3B71" w:rsidRDefault="00364FC7" w:rsidP="00A2768E">
      <w:pPr>
        <w:pStyle w:val="ListParagraph"/>
        <w:numPr>
          <w:ilvl w:val="0"/>
          <w:numId w:val="60"/>
        </w:numPr>
        <w:contextualSpacing w:val="0"/>
      </w:pPr>
      <w:r>
        <w:t>manufacturing,</w:t>
      </w:r>
    </w:p>
    <w:p w14:paraId="0C6D4C60" w14:textId="04ABC61E" w:rsidR="00FA63B2" w:rsidRDefault="00364FC7" w:rsidP="00A2768E">
      <w:pPr>
        <w:pStyle w:val="ListParagraph"/>
        <w:numPr>
          <w:ilvl w:val="0"/>
          <w:numId w:val="60"/>
        </w:numPr>
        <w:contextualSpacing w:val="0"/>
      </w:pPr>
      <w:r>
        <w:t>construction,</w:t>
      </w:r>
    </w:p>
    <w:p w14:paraId="74950B3E" w14:textId="4CDC14FC" w:rsidR="00D032BF" w:rsidRDefault="00364FC7" w:rsidP="00A2768E">
      <w:pPr>
        <w:pStyle w:val="ListParagraph"/>
        <w:numPr>
          <w:ilvl w:val="0"/>
          <w:numId w:val="60"/>
        </w:numPr>
        <w:contextualSpacing w:val="0"/>
      </w:pPr>
      <w:bookmarkStart w:id="285" w:name="_Toc196204701"/>
      <w:r>
        <w:t>professional</w:t>
      </w:r>
      <w:r w:rsidR="00FA5AD6">
        <w:t xml:space="preserve">, scientific </w:t>
      </w:r>
      <w:r w:rsidR="00B06318">
        <w:t xml:space="preserve">and technical </w:t>
      </w:r>
      <w:r w:rsidR="00D032BF">
        <w:t>services</w:t>
      </w:r>
      <w:bookmarkEnd w:id="285"/>
      <w:r>
        <w:t>,</w:t>
      </w:r>
    </w:p>
    <w:p w14:paraId="04AAE448" w14:textId="321DE835" w:rsidR="00D032BF" w:rsidRDefault="00364FC7" w:rsidP="00A2768E">
      <w:pPr>
        <w:pStyle w:val="ListParagraph"/>
        <w:numPr>
          <w:ilvl w:val="0"/>
          <w:numId w:val="60"/>
        </w:numPr>
        <w:contextualSpacing w:val="0"/>
      </w:pPr>
      <w:bookmarkStart w:id="286" w:name="_Toc196204702"/>
      <w:r>
        <w:t xml:space="preserve">public </w:t>
      </w:r>
      <w:r w:rsidR="0053476A">
        <w:t>administration</w:t>
      </w:r>
      <w:r w:rsidR="00D032BF">
        <w:t xml:space="preserve"> and safety</w:t>
      </w:r>
      <w:bookmarkEnd w:id="286"/>
      <w:r>
        <w:t>,</w:t>
      </w:r>
    </w:p>
    <w:p w14:paraId="3419D12C" w14:textId="4061F8DE" w:rsidR="00120EC1" w:rsidRDefault="00364FC7" w:rsidP="00A2768E">
      <w:pPr>
        <w:pStyle w:val="ListParagraph"/>
        <w:numPr>
          <w:ilvl w:val="0"/>
          <w:numId w:val="60"/>
        </w:numPr>
        <w:ind w:left="714" w:hanging="357"/>
        <w:contextualSpacing w:val="0"/>
      </w:pPr>
      <w:bookmarkStart w:id="287" w:name="_Toc196204704"/>
      <w:r>
        <w:t xml:space="preserve">health </w:t>
      </w:r>
      <w:r w:rsidR="5848F225">
        <w:t>care and social assistance</w:t>
      </w:r>
      <w:r w:rsidR="06F716A4">
        <w:t>, and</w:t>
      </w:r>
      <w:bookmarkEnd w:id="287"/>
    </w:p>
    <w:p w14:paraId="39E8E516" w14:textId="09953EA9" w:rsidR="002B6ADF" w:rsidRDefault="00364FC7" w:rsidP="00A2768E">
      <w:pPr>
        <w:pStyle w:val="ListParagraph"/>
        <w:numPr>
          <w:ilvl w:val="0"/>
          <w:numId w:val="60"/>
        </w:numPr>
        <w:ind w:left="714" w:hanging="357"/>
        <w:contextualSpacing w:val="0"/>
      </w:pPr>
      <w:bookmarkStart w:id="288" w:name="_Toc196204706"/>
      <w:r>
        <w:t xml:space="preserve">other </w:t>
      </w:r>
      <w:r w:rsidR="0053476A">
        <w:t>services.</w:t>
      </w:r>
      <w:bookmarkEnd w:id="288"/>
      <w:r w:rsidR="0053476A">
        <w:t xml:space="preserve"> </w:t>
      </w:r>
      <w:r w:rsidR="00FA5AD6">
        <w:t xml:space="preserve"> </w:t>
      </w:r>
    </w:p>
    <w:p w14:paraId="7359198E" w14:textId="77777777" w:rsidR="000B51DC" w:rsidRPr="007C3418" w:rsidRDefault="000B51DC" w:rsidP="002E6A4D">
      <w:pPr>
        <w:keepNext/>
        <w:contextualSpacing w:val="0"/>
      </w:pPr>
      <w:r w:rsidRPr="38A49B51">
        <w:t>The results indicate that:</w:t>
      </w:r>
    </w:p>
    <w:p w14:paraId="3C366388" w14:textId="305B241F" w:rsidR="000B51DC" w:rsidRPr="007C3418" w:rsidRDefault="000B51DC" w:rsidP="00B57E6C">
      <w:pPr>
        <w:pStyle w:val="ListParagraph"/>
        <w:keepNext/>
        <w:numPr>
          <w:ilvl w:val="0"/>
          <w:numId w:val="23"/>
        </w:numPr>
        <w:suppressAutoHyphens/>
        <w:spacing w:line="259" w:lineRule="auto"/>
        <w:ind w:left="709"/>
        <w:contextualSpacing w:val="0"/>
      </w:pPr>
      <w:bookmarkStart w:id="289" w:name="_Toc193192627"/>
      <w:bookmarkStart w:id="290" w:name="_Toc196204707"/>
      <w:r w:rsidRPr="38A49B51">
        <w:t xml:space="preserve">There are an estimated </w:t>
      </w:r>
      <w:r w:rsidR="003B28B4">
        <w:t>72,</w:t>
      </w:r>
      <w:r w:rsidR="009C130F">
        <w:t>202</w:t>
      </w:r>
      <w:r w:rsidRPr="38A49B51">
        <w:t xml:space="preserve"> affected businesses, comprising </w:t>
      </w:r>
      <w:r w:rsidR="009C130F">
        <w:t>67,987</w:t>
      </w:r>
      <w:r w:rsidRPr="38A49B51">
        <w:t xml:space="preserve"> small businesses, </w:t>
      </w:r>
      <w:r w:rsidR="009C130F">
        <w:t>3,775</w:t>
      </w:r>
      <w:r w:rsidRPr="38A49B51">
        <w:t xml:space="preserve"> medium businesses and </w:t>
      </w:r>
      <w:r w:rsidR="00065F44">
        <w:t>439</w:t>
      </w:r>
      <w:r w:rsidR="00065F44" w:rsidRPr="38A49B51">
        <w:t xml:space="preserve"> </w:t>
      </w:r>
      <w:r w:rsidRPr="38A49B51">
        <w:t>large businesses.</w:t>
      </w:r>
      <w:bookmarkEnd w:id="289"/>
      <w:bookmarkEnd w:id="290"/>
    </w:p>
    <w:p w14:paraId="0D95377E" w14:textId="3A984B1D" w:rsidR="000B51DC" w:rsidRDefault="000B51DC" w:rsidP="00B57E6C">
      <w:pPr>
        <w:pStyle w:val="ListParagraph"/>
        <w:numPr>
          <w:ilvl w:val="0"/>
          <w:numId w:val="23"/>
        </w:numPr>
        <w:suppressAutoHyphens/>
        <w:spacing w:line="259" w:lineRule="auto"/>
        <w:ind w:left="709"/>
        <w:contextualSpacing w:val="0"/>
      </w:pPr>
      <w:bookmarkStart w:id="291" w:name="_Toc193192628"/>
      <w:bookmarkStart w:id="292" w:name="_Toc196204708"/>
      <w:r w:rsidRPr="007C3418">
        <w:t xml:space="preserve">The estimated average annual cost for </w:t>
      </w:r>
      <w:r w:rsidR="00123F44">
        <w:t>small</w:t>
      </w:r>
      <w:r w:rsidR="00123F44" w:rsidRPr="007C3418">
        <w:t xml:space="preserve"> </w:t>
      </w:r>
      <w:r w:rsidRPr="007C3418">
        <w:t>businesses</w:t>
      </w:r>
      <w:r>
        <w:t xml:space="preserve"> is $</w:t>
      </w:r>
      <w:r w:rsidR="00682F2B">
        <w:t>1,600</w:t>
      </w:r>
      <w:r>
        <w:t>, followed by $</w:t>
      </w:r>
      <w:r w:rsidR="00F41930">
        <w:t>7</w:t>
      </w:r>
      <w:r>
        <w:t>,</w:t>
      </w:r>
      <w:r w:rsidR="00D04B79">
        <w:t>8</w:t>
      </w:r>
      <w:r>
        <w:t>00 for medium businesses and $</w:t>
      </w:r>
      <w:r w:rsidR="006C6E28">
        <w:t>30</w:t>
      </w:r>
      <w:r w:rsidR="00D04B79">
        <w:t>8</w:t>
      </w:r>
      <w:r w:rsidR="006C6E28">
        <w:t>,</w:t>
      </w:r>
      <w:r w:rsidR="00D04B79">
        <w:t>7</w:t>
      </w:r>
      <w:r w:rsidR="006C6E28">
        <w:t>00 for large</w:t>
      </w:r>
      <w:r w:rsidDel="006C6E28">
        <w:t xml:space="preserve"> </w:t>
      </w:r>
      <w:r>
        <w:t>businesses.</w:t>
      </w:r>
      <w:bookmarkEnd w:id="291"/>
      <w:bookmarkEnd w:id="292"/>
    </w:p>
    <w:p w14:paraId="337AC3B3" w14:textId="4E59E978" w:rsidR="002943F7" w:rsidRDefault="002943F7" w:rsidP="002943F7">
      <w:pPr>
        <w:pStyle w:val="Caption"/>
      </w:pPr>
      <w:bookmarkStart w:id="293" w:name="_Ref199920185"/>
      <w:r>
        <w:lastRenderedPageBreak/>
        <w:t xml:space="preserve">Table </w:t>
      </w:r>
      <w:fldSimple w:instr=" SEQ Table \* ARABIC ">
        <w:r w:rsidR="00A002F4">
          <w:rPr>
            <w:noProof/>
          </w:rPr>
          <w:t>22</w:t>
        </w:r>
      </w:fldSimple>
      <w:bookmarkEnd w:id="293"/>
      <w:r>
        <w:t xml:space="preserve"> - </w:t>
      </w:r>
      <w:r w:rsidRPr="00BC2DB9">
        <w:t>Estimated average annual incremental cost per affected business by business size ($, undiscounted) and number of affected businesses for formaldehyde,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254"/>
        <w:gridCol w:w="2398"/>
        <w:gridCol w:w="2110"/>
      </w:tblGrid>
      <w:tr w:rsidR="000B51DC" w14:paraId="2EA28B15" w14:textId="77777777" w:rsidTr="00B54882">
        <w:tc>
          <w:tcPr>
            <w:tcW w:w="2254" w:type="dxa"/>
            <w:shd w:val="clear" w:color="auto" w:fill="2050BD" w:themeFill="accent1" w:themeFillShade="BF"/>
          </w:tcPr>
          <w:p w14:paraId="055377B0" w14:textId="77777777" w:rsidR="000B51DC" w:rsidRPr="006C7238" w:rsidRDefault="000B51DC">
            <w:pPr>
              <w:keepNext/>
              <w:keepLines/>
              <w:suppressAutoHyphens/>
              <w:spacing w:after="0" w:line="259" w:lineRule="auto"/>
              <w:rPr>
                <w:b/>
                <w:bCs/>
                <w:color w:val="FFFFFF" w:themeColor="background1"/>
              </w:rPr>
            </w:pPr>
            <w:r w:rsidRPr="006C7238">
              <w:rPr>
                <w:b/>
                <w:bCs/>
                <w:color w:val="FFFFFF" w:themeColor="background1"/>
              </w:rPr>
              <w:t>Measure</w:t>
            </w:r>
          </w:p>
        </w:tc>
        <w:tc>
          <w:tcPr>
            <w:tcW w:w="2254" w:type="dxa"/>
            <w:shd w:val="clear" w:color="auto" w:fill="2050BD" w:themeFill="accent1" w:themeFillShade="BF"/>
          </w:tcPr>
          <w:p w14:paraId="6E235D06" w14:textId="77777777" w:rsidR="000B51DC" w:rsidRPr="006C7238" w:rsidRDefault="000B51DC">
            <w:pPr>
              <w:keepNext/>
              <w:keepLines/>
              <w:suppressAutoHyphens/>
              <w:spacing w:after="0" w:line="259" w:lineRule="auto"/>
              <w:rPr>
                <w:b/>
                <w:bCs/>
                <w:color w:val="FFFFFF" w:themeColor="background1"/>
              </w:rPr>
            </w:pPr>
            <w:r w:rsidRPr="006C7238">
              <w:rPr>
                <w:b/>
                <w:bCs/>
                <w:color w:val="FFFFFF" w:themeColor="background1"/>
              </w:rPr>
              <w:t>Small businesses</w:t>
            </w:r>
          </w:p>
        </w:tc>
        <w:tc>
          <w:tcPr>
            <w:tcW w:w="2398" w:type="dxa"/>
            <w:shd w:val="clear" w:color="auto" w:fill="2050BD" w:themeFill="accent1" w:themeFillShade="BF"/>
          </w:tcPr>
          <w:p w14:paraId="5DB490F6" w14:textId="77777777" w:rsidR="000B51DC" w:rsidRPr="006C7238" w:rsidRDefault="000B51DC">
            <w:pPr>
              <w:keepNext/>
              <w:keepLines/>
              <w:suppressAutoHyphens/>
              <w:spacing w:after="0" w:line="259" w:lineRule="auto"/>
              <w:rPr>
                <w:b/>
                <w:bCs/>
                <w:color w:val="FFFFFF" w:themeColor="background1"/>
              </w:rPr>
            </w:pPr>
            <w:r w:rsidRPr="006C7238">
              <w:rPr>
                <w:b/>
                <w:bCs/>
                <w:color w:val="FFFFFF" w:themeColor="background1"/>
              </w:rPr>
              <w:t>Medium businesses</w:t>
            </w:r>
          </w:p>
        </w:tc>
        <w:tc>
          <w:tcPr>
            <w:tcW w:w="2110" w:type="dxa"/>
            <w:shd w:val="clear" w:color="auto" w:fill="2050BD" w:themeFill="accent1" w:themeFillShade="BF"/>
          </w:tcPr>
          <w:p w14:paraId="732A08DA" w14:textId="77777777" w:rsidR="000B51DC" w:rsidRPr="006C7238" w:rsidRDefault="000B51DC">
            <w:pPr>
              <w:keepNext/>
              <w:keepLines/>
              <w:suppressAutoHyphens/>
              <w:spacing w:after="0" w:line="259" w:lineRule="auto"/>
              <w:rPr>
                <w:b/>
                <w:bCs/>
                <w:color w:val="FFFFFF" w:themeColor="background1"/>
              </w:rPr>
            </w:pPr>
            <w:r w:rsidRPr="006C7238">
              <w:rPr>
                <w:b/>
                <w:bCs/>
                <w:color w:val="FFFFFF" w:themeColor="background1"/>
              </w:rPr>
              <w:t>Large businesses</w:t>
            </w:r>
          </w:p>
        </w:tc>
      </w:tr>
      <w:tr w:rsidR="00B54882" w14:paraId="6F2135AA" w14:textId="77777777" w:rsidTr="00B54882">
        <w:tc>
          <w:tcPr>
            <w:tcW w:w="2254" w:type="dxa"/>
          </w:tcPr>
          <w:p w14:paraId="6065F36A" w14:textId="5852678E" w:rsidR="00B54882" w:rsidRPr="00296A4F" w:rsidRDefault="00B54882" w:rsidP="00B54882">
            <w:pPr>
              <w:keepNext/>
              <w:keepLines/>
              <w:suppressAutoHyphens/>
              <w:spacing w:after="0" w:line="259" w:lineRule="auto"/>
              <w:rPr>
                <w:b/>
                <w:bCs/>
              </w:rPr>
            </w:pPr>
            <w:r w:rsidRPr="00296A4F">
              <w:rPr>
                <w:b/>
                <w:bCs/>
              </w:rPr>
              <w:t>Number of affected businesses p.a.</w:t>
            </w:r>
          </w:p>
        </w:tc>
        <w:tc>
          <w:tcPr>
            <w:tcW w:w="2254" w:type="dxa"/>
            <w:vAlign w:val="center"/>
          </w:tcPr>
          <w:p w14:paraId="42380FA3" w14:textId="7039BA1C" w:rsidR="00B54882" w:rsidRDefault="00D04B79" w:rsidP="00B54882">
            <w:pPr>
              <w:keepNext/>
              <w:keepLines/>
              <w:suppressAutoHyphens/>
              <w:spacing w:after="0" w:line="259" w:lineRule="auto"/>
              <w:jc w:val="right"/>
            </w:pPr>
            <w:r>
              <w:t>67,</w:t>
            </w:r>
            <w:r w:rsidR="00127C6E">
              <w:t>987</w:t>
            </w:r>
          </w:p>
        </w:tc>
        <w:tc>
          <w:tcPr>
            <w:tcW w:w="2398" w:type="dxa"/>
            <w:vAlign w:val="center"/>
          </w:tcPr>
          <w:p w14:paraId="7BBCA9CB" w14:textId="71A5BF8A" w:rsidR="00B54882" w:rsidRDefault="00127C6E" w:rsidP="00B54882">
            <w:pPr>
              <w:keepNext/>
              <w:keepLines/>
              <w:suppressAutoHyphens/>
              <w:spacing w:after="0" w:line="259" w:lineRule="auto"/>
              <w:jc w:val="right"/>
            </w:pPr>
            <w:r>
              <w:t>3,775</w:t>
            </w:r>
          </w:p>
        </w:tc>
        <w:tc>
          <w:tcPr>
            <w:tcW w:w="2110" w:type="dxa"/>
            <w:vAlign w:val="center"/>
          </w:tcPr>
          <w:p w14:paraId="0FCAB8D3" w14:textId="7EB200FF" w:rsidR="00B54882" w:rsidRDefault="00127C6E" w:rsidP="00B54882">
            <w:pPr>
              <w:keepNext/>
              <w:keepLines/>
              <w:suppressAutoHyphens/>
              <w:spacing w:after="0" w:line="259" w:lineRule="auto"/>
              <w:jc w:val="right"/>
            </w:pPr>
            <w:r>
              <w:t>439</w:t>
            </w:r>
          </w:p>
        </w:tc>
      </w:tr>
      <w:tr w:rsidR="00B54882" w14:paraId="1F1A4FD2" w14:textId="77777777" w:rsidTr="001E0F11">
        <w:tc>
          <w:tcPr>
            <w:tcW w:w="2254" w:type="dxa"/>
            <w:shd w:val="clear" w:color="auto" w:fill="DAE3F8" w:themeFill="accent1" w:themeFillTint="33"/>
          </w:tcPr>
          <w:p w14:paraId="2CBE7015" w14:textId="77777777" w:rsidR="00B54882" w:rsidRPr="00296A4F" w:rsidRDefault="00B54882" w:rsidP="00B54882">
            <w:pPr>
              <w:keepNext/>
              <w:keepLines/>
              <w:suppressAutoHyphens/>
              <w:spacing w:after="0" w:line="259" w:lineRule="auto"/>
              <w:rPr>
                <w:b/>
                <w:bCs/>
              </w:rPr>
            </w:pPr>
            <w:r w:rsidRPr="00296A4F">
              <w:rPr>
                <w:b/>
                <w:bCs/>
              </w:rPr>
              <w:t>Av. cost per business p.a.</w:t>
            </w:r>
          </w:p>
        </w:tc>
        <w:tc>
          <w:tcPr>
            <w:tcW w:w="2254" w:type="dxa"/>
            <w:shd w:val="clear" w:color="auto" w:fill="DAE3F8" w:themeFill="accent1" w:themeFillTint="33"/>
            <w:vAlign w:val="center"/>
          </w:tcPr>
          <w:p w14:paraId="20DEAC19" w14:textId="17D50D6C" w:rsidR="00B54882" w:rsidRDefault="00B54882" w:rsidP="00B54882">
            <w:pPr>
              <w:keepNext/>
              <w:keepLines/>
              <w:suppressAutoHyphens/>
              <w:spacing w:after="0" w:line="259" w:lineRule="auto"/>
              <w:jc w:val="right"/>
            </w:pPr>
            <w:r>
              <w:t>1</w:t>
            </w:r>
            <w:r w:rsidR="00BC042E">
              <w:t>,</w:t>
            </w:r>
            <w:r>
              <w:t>600</w:t>
            </w:r>
          </w:p>
        </w:tc>
        <w:tc>
          <w:tcPr>
            <w:tcW w:w="2398" w:type="dxa"/>
            <w:shd w:val="clear" w:color="auto" w:fill="DAE3F8" w:themeFill="accent1" w:themeFillTint="33"/>
            <w:vAlign w:val="center"/>
          </w:tcPr>
          <w:p w14:paraId="197D0617" w14:textId="0DDD3E2F" w:rsidR="00B54882" w:rsidRDefault="00B54882" w:rsidP="00B54882">
            <w:pPr>
              <w:keepNext/>
              <w:keepLines/>
              <w:suppressAutoHyphens/>
              <w:spacing w:after="0" w:line="259" w:lineRule="auto"/>
              <w:jc w:val="right"/>
            </w:pPr>
            <w:r>
              <w:t>7</w:t>
            </w:r>
            <w:r w:rsidRPr="0049472C">
              <w:t>,</w:t>
            </w:r>
            <w:r w:rsidR="00127C6E">
              <w:t>8</w:t>
            </w:r>
            <w:r>
              <w:t>00</w:t>
            </w:r>
          </w:p>
        </w:tc>
        <w:tc>
          <w:tcPr>
            <w:tcW w:w="2110" w:type="dxa"/>
            <w:shd w:val="clear" w:color="auto" w:fill="DAE3F8" w:themeFill="accent1" w:themeFillTint="33"/>
            <w:vAlign w:val="center"/>
          </w:tcPr>
          <w:p w14:paraId="6C5F4D03" w14:textId="4256123F" w:rsidR="00B54882" w:rsidRDefault="00127C6E" w:rsidP="00B54882">
            <w:pPr>
              <w:keepNext/>
              <w:keepLines/>
              <w:suppressAutoHyphens/>
              <w:spacing w:after="0" w:line="259" w:lineRule="auto"/>
              <w:jc w:val="right"/>
            </w:pPr>
            <w:r>
              <w:t>308,700</w:t>
            </w:r>
            <w:r w:rsidR="00B54882" w:rsidRPr="0049472C">
              <w:t xml:space="preserve"> </w:t>
            </w:r>
          </w:p>
        </w:tc>
      </w:tr>
    </w:tbl>
    <w:p w14:paraId="49F493C8" w14:textId="77777777" w:rsidR="000B51DC" w:rsidRDefault="000B51DC" w:rsidP="000B51DC">
      <w:pPr>
        <w:contextualSpacing w:val="0"/>
      </w:pPr>
    </w:p>
    <w:p w14:paraId="28986A6D" w14:textId="1B50C28D" w:rsidR="0071553F" w:rsidRDefault="00BC44C8" w:rsidP="00FB18E4">
      <w:pPr>
        <w:pStyle w:val="SWAHeading2"/>
        <w:ind w:left="709"/>
      </w:pPr>
      <w:bookmarkStart w:id="294" w:name="_Toc196204709"/>
      <w:bookmarkStart w:id="295" w:name="_Toc219216900"/>
      <w:r>
        <w:t xml:space="preserve">Stakeholder </w:t>
      </w:r>
      <w:r w:rsidR="00185630">
        <w:t>views</w:t>
      </w:r>
      <w:r w:rsidR="00F8117A">
        <w:t xml:space="preserve"> on the proposed WEL for </w:t>
      </w:r>
      <w:r>
        <w:t>formaldehyde</w:t>
      </w:r>
      <w:bookmarkEnd w:id="294"/>
      <w:bookmarkEnd w:id="295"/>
    </w:p>
    <w:p w14:paraId="3F1F1C06" w14:textId="0331B315" w:rsidR="00957D4E" w:rsidRPr="00957D4E" w:rsidRDefault="00654ED7" w:rsidP="00957D4E">
      <w:pPr>
        <w:pStyle w:val="paragraph0"/>
        <w:keepNext/>
        <w:keepLines/>
        <w:spacing w:before="0" w:beforeAutospacing="0" w:after="120" w:afterAutospacing="0"/>
        <w:contextualSpacing w:val="0"/>
        <w:textAlignment w:val="baseline"/>
        <w:rPr>
          <w:rFonts w:ascii="Arial" w:eastAsiaTheme="majorEastAsia" w:hAnsi="Arial" w:cs="Arial"/>
          <w:sz w:val="22"/>
          <w:szCs w:val="22"/>
        </w:rPr>
      </w:pPr>
      <w:r>
        <w:rPr>
          <w:rStyle w:val="normaltextrun"/>
          <w:rFonts w:ascii="Arial" w:eastAsiaTheme="majorEastAsia" w:hAnsi="Arial" w:cs="Arial"/>
          <w:sz w:val="22"/>
          <w:szCs w:val="22"/>
        </w:rPr>
        <w:t>As part of the public consultation process supporting this Decision RIS</w:t>
      </w:r>
      <w:r w:rsidR="00215CAE">
        <w:rPr>
          <w:rStyle w:val="normaltextrun"/>
          <w:rFonts w:ascii="Arial" w:eastAsiaTheme="majorEastAsia" w:hAnsi="Arial" w:cs="Arial"/>
          <w:sz w:val="22"/>
          <w:szCs w:val="22"/>
        </w:rPr>
        <w:t xml:space="preserve">, </w:t>
      </w:r>
      <w:r w:rsidR="00730BFF">
        <w:rPr>
          <w:rStyle w:val="normaltextrun"/>
          <w:rFonts w:ascii="Arial" w:eastAsiaTheme="majorEastAsia" w:hAnsi="Arial" w:cs="Arial"/>
          <w:sz w:val="22"/>
          <w:szCs w:val="22"/>
        </w:rPr>
        <w:t>3</w:t>
      </w:r>
      <w:r w:rsidR="006F27B2">
        <w:rPr>
          <w:rStyle w:val="normaltextrun"/>
          <w:rFonts w:ascii="Arial" w:eastAsiaTheme="majorEastAsia" w:hAnsi="Arial" w:cs="Arial"/>
          <w:sz w:val="22"/>
          <w:szCs w:val="22"/>
        </w:rPr>
        <w:t>8</w:t>
      </w:r>
      <w:r w:rsidR="00730BFF">
        <w:rPr>
          <w:rStyle w:val="normaltextrun"/>
          <w:rFonts w:ascii="Arial" w:eastAsiaTheme="majorEastAsia" w:hAnsi="Arial" w:cs="Arial"/>
          <w:sz w:val="22"/>
          <w:szCs w:val="22"/>
        </w:rPr>
        <w:t xml:space="preserve"> </w:t>
      </w:r>
      <w:r w:rsidR="00C650D7">
        <w:rPr>
          <w:rStyle w:val="normaltextrun"/>
          <w:rFonts w:ascii="Arial" w:eastAsiaTheme="majorEastAsia" w:hAnsi="Arial" w:cs="Arial"/>
          <w:sz w:val="22"/>
          <w:szCs w:val="22"/>
        </w:rPr>
        <w:t xml:space="preserve">submissions were received </w:t>
      </w:r>
      <w:r w:rsidR="00215CAE">
        <w:rPr>
          <w:rStyle w:val="normaltextrun"/>
          <w:rFonts w:ascii="Arial" w:eastAsiaTheme="majorEastAsia" w:hAnsi="Arial" w:cs="Arial"/>
          <w:sz w:val="22"/>
          <w:szCs w:val="22"/>
        </w:rPr>
        <w:t xml:space="preserve">that address the proposed WEL for </w:t>
      </w:r>
      <w:r w:rsidR="00A33232">
        <w:rPr>
          <w:rStyle w:val="normaltextrun"/>
          <w:rFonts w:ascii="Arial" w:eastAsiaTheme="majorEastAsia" w:hAnsi="Arial" w:cs="Arial"/>
          <w:sz w:val="22"/>
          <w:szCs w:val="22"/>
        </w:rPr>
        <w:t>formaldehyde.</w:t>
      </w:r>
    </w:p>
    <w:p w14:paraId="361671C3" w14:textId="1174B41B" w:rsidR="009B70B3" w:rsidRDefault="009B0A47" w:rsidP="00916C01">
      <w:pPr>
        <w:contextualSpacing w:val="0"/>
      </w:pPr>
      <w:r>
        <w:t>Almost half</w:t>
      </w:r>
      <w:r w:rsidR="7331B4CB">
        <w:t xml:space="preserve"> of</w:t>
      </w:r>
      <w:r w:rsidR="2B28DC0F">
        <w:t xml:space="preserve"> </w:t>
      </w:r>
      <w:r>
        <w:t>the</w:t>
      </w:r>
      <w:r w:rsidR="2B28DC0F">
        <w:t xml:space="preserve"> submissions (</w:t>
      </w:r>
      <w:r w:rsidR="000D298E">
        <w:t xml:space="preserve">18 </w:t>
      </w:r>
      <w:r w:rsidR="62940B2B">
        <w:t xml:space="preserve">out </w:t>
      </w:r>
      <w:r w:rsidR="3E94C7AC">
        <w:t xml:space="preserve">of </w:t>
      </w:r>
      <w:r w:rsidR="000D298E">
        <w:t>3</w:t>
      </w:r>
      <w:r w:rsidR="003F52AD">
        <w:t>8</w:t>
      </w:r>
      <w:r w:rsidR="2B28DC0F">
        <w:t xml:space="preserve">) supported the proposed </w:t>
      </w:r>
      <w:r w:rsidR="1426A874">
        <w:t xml:space="preserve">health-based TWA of </w:t>
      </w:r>
      <w:r w:rsidR="552AD57F">
        <w:t>0.3 ppm (0.369 mg/m</w:t>
      </w:r>
      <w:r w:rsidR="552AD57F" w:rsidRPr="27F845C1">
        <w:rPr>
          <w:vertAlign w:val="superscript"/>
        </w:rPr>
        <w:t>3</w:t>
      </w:r>
      <w:r w:rsidR="552AD57F">
        <w:t>) and STEL of 0.6 ppm (0.738 mg/m</w:t>
      </w:r>
      <w:r w:rsidR="552AD57F" w:rsidRPr="27F845C1">
        <w:rPr>
          <w:vertAlign w:val="superscript"/>
        </w:rPr>
        <w:t>3</w:t>
      </w:r>
      <w:r w:rsidR="552AD57F">
        <w:t>)</w:t>
      </w:r>
      <w:r w:rsidR="2B28DC0F">
        <w:t xml:space="preserve"> for formaldehyde</w:t>
      </w:r>
      <w:r w:rsidR="000D4FF2">
        <w:t xml:space="preserve"> (Option 2)</w:t>
      </w:r>
      <w:r w:rsidR="3AE5DAC0">
        <w:t xml:space="preserve">. </w:t>
      </w:r>
    </w:p>
    <w:p w14:paraId="2895C4D0" w14:textId="3FA49337" w:rsidR="00E3522F" w:rsidRDefault="00E3522F" w:rsidP="00957D4E">
      <w:pPr>
        <w:contextualSpacing w:val="0"/>
      </w:pPr>
      <w:r>
        <w:t>These submissions came from</w:t>
      </w:r>
      <w:r w:rsidR="007600D2">
        <w:t xml:space="preserve"> unions,</w:t>
      </w:r>
      <w:r>
        <w:t xml:space="preserve"> </w:t>
      </w:r>
      <w:r w:rsidR="006406E3">
        <w:t>industry bodies, peak health bodies</w:t>
      </w:r>
      <w:r w:rsidR="00C71967">
        <w:t>,</w:t>
      </w:r>
      <w:r w:rsidR="006406E3" w:rsidDel="006406E3">
        <w:t xml:space="preserve"> </w:t>
      </w:r>
      <w:r w:rsidR="006406E3">
        <w:t>individuals</w:t>
      </w:r>
      <w:r>
        <w:t xml:space="preserve">, </w:t>
      </w:r>
      <w:r w:rsidR="006406E3">
        <w:t>PCBUs</w:t>
      </w:r>
      <w:r w:rsidR="00E55CE7">
        <w:t>,</w:t>
      </w:r>
      <w:r w:rsidR="007600D2">
        <w:t xml:space="preserve"> </w:t>
      </w:r>
      <w:r>
        <w:t>academics</w:t>
      </w:r>
      <w:r w:rsidR="006406E3">
        <w:t xml:space="preserve"> and government</w:t>
      </w:r>
      <w:r>
        <w:t>. S</w:t>
      </w:r>
      <w:r w:rsidR="00C823AF">
        <w:t xml:space="preserve">takeholders </w:t>
      </w:r>
      <w:r w:rsidR="00465101">
        <w:t xml:space="preserve">who supported Option 2 </w:t>
      </w:r>
      <w:r w:rsidR="00C823AF">
        <w:t xml:space="preserve">noted </w:t>
      </w:r>
      <w:r w:rsidR="00465101">
        <w:t xml:space="preserve">their support </w:t>
      </w:r>
      <w:r>
        <w:t>is based on:</w:t>
      </w:r>
    </w:p>
    <w:p w14:paraId="14AC3A4E" w14:textId="27B06AAA" w:rsidR="00E3522F" w:rsidRDefault="00465101" w:rsidP="000C7348">
      <w:pPr>
        <w:pStyle w:val="ListParagraph"/>
        <w:numPr>
          <w:ilvl w:val="0"/>
          <w:numId w:val="37"/>
        </w:numPr>
        <w:spacing w:line="259" w:lineRule="auto"/>
        <w:ind w:left="714" w:hanging="357"/>
        <w:contextualSpacing w:val="0"/>
      </w:pPr>
      <w:bookmarkStart w:id="296" w:name="_Toc196204710"/>
      <w:r>
        <w:t>the</w:t>
      </w:r>
      <w:r w:rsidR="2B28DC0F">
        <w:t xml:space="preserve"> </w:t>
      </w:r>
      <w:r>
        <w:t xml:space="preserve">provision of </w:t>
      </w:r>
      <w:r w:rsidR="2B28DC0F">
        <w:t>more robust protection for workers from the severe health effects caused by exposure to formaldehyde and improve health outcomes for such workers</w:t>
      </w:r>
      <w:bookmarkEnd w:id="296"/>
      <w:r w:rsidR="002725BB" w:rsidRPr="00992608">
        <w:rPr>
          <w:rStyle w:val="FootnoteReference"/>
        </w:rPr>
        <w:footnoteReference w:id="122"/>
      </w:r>
    </w:p>
    <w:p w14:paraId="2E45748A" w14:textId="25B9E52C" w:rsidR="00E3522F" w:rsidRDefault="00753E84" w:rsidP="000C7348">
      <w:pPr>
        <w:pStyle w:val="ListParagraph"/>
        <w:numPr>
          <w:ilvl w:val="0"/>
          <w:numId w:val="37"/>
        </w:numPr>
        <w:spacing w:line="259" w:lineRule="auto"/>
        <w:ind w:left="714" w:hanging="357"/>
        <w:contextualSpacing w:val="0"/>
      </w:pPr>
      <w:bookmarkStart w:id="299" w:name="_Toc196204711"/>
      <w:r>
        <w:t xml:space="preserve">the knowledge that </w:t>
      </w:r>
      <w:r w:rsidR="2B28DC0F">
        <w:t>formaldehyde is a known carcinogen and exposure to carcinogens should be minimised as low as reasonably practicable to minimise the risks associated with formaldehyde</w:t>
      </w:r>
      <w:bookmarkEnd w:id="299"/>
      <w:r w:rsidR="00241804">
        <w:rPr>
          <w:rStyle w:val="FootnoteReference"/>
        </w:rPr>
        <w:footnoteReference w:id="123"/>
      </w:r>
    </w:p>
    <w:p w14:paraId="3994A06F" w14:textId="2A2B4796" w:rsidR="00E3522F" w:rsidRDefault="2B28DC0F" w:rsidP="000C7348">
      <w:pPr>
        <w:pStyle w:val="ListParagraph"/>
        <w:numPr>
          <w:ilvl w:val="0"/>
          <w:numId w:val="37"/>
        </w:numPr>
        <w:spacing w:line="259" w:lineRule="auto"/>
        <w:ind w:left="714" w:hanging="357"/>
        <w:contextualSpacing w:val="0"/>
      </w:pPr>
      <w:bookmarkStart w:id="300" w:name="_Toc196204712"/>
      <w:r>
        <w:t>the</w:t>
      </w:r>
      <w:r w:rsidR="00753E84">
        <w:t xml:space="preserve"> support of the Australian Institute of Occupational Hygienists (AIOH)</w:t>
      </w:r>
      <w:r w:rsidR="00FA0C0D">
        <w:t xml:space="preserve"> for the</w:t>
      </w:r>
      <w:r>
        <w:t xml:space="preserve"> proposed WELs</w:t>
      </w:r>
      <w:r w:rsidR="00864D7D">
        <w:rPr>
          <w:rStyle w:val="FootnoteReference"/>
        </w:rPr>
        <w:footnoteReference w:id="124"/>
      </w:r>
      <w:bookmarkEnd w:id="300"/>
      <w:r>
        <w:t>,</w:t>
      </w:r>
      <w:r w:rsidR="0B734937">
        <w:t xml:space="preserve"> and</w:t>
      </w:r>
    </w:p>
    <w:p w14:paraId="15DB950C" w14:textId="3E14AE51" w:rsidR="00E3522F" w:rsidRDefault="00E3522F" w:rsidP="000C7348">
      <w:pPr>
        <w:pStyle w:val="ListParagraph"/>
        <w:numPr>
          <w:ilvl w:val="0"/>
          <w:numId w:val="37"/>
        </w:numPr>
        <w:spacing w:line="259" w:lineRule="auto"/>
        <w:ind w:left="714" w:hanging="357"/>
        <w:contextualSpacing w:val="0"/>
      </w:pPr>
      <w:bookmarkStart w:id="301" w:name="_Toc196204713"/>
      <w:r>
        <w:t>the</w:t>
      </w:r>
      <w:r w:rsidR="00FA0C0D">
        <w:t xml:space="preserve"> alignment of the</w:t>
      </w:r>
      <w:r>
        <w:t xml:space="preserve"> proposed WELs with international exposure limits set by the European Union and</w:t>
      </w:r>
      <w:r w:rsidR="00833733">
        <w:t xml:space="preserve"> recommended</w:t>
      </w:r>
      <w:r>
        <w:t xml:space="preserve"> in New Zealand</w:t>
      </w:r>
      <w:r w:rsidR="00783F21" w:rsidRPr="004634FB">
        <w:rPr>
          <w:rStyle w:val="FootnoteReference"/>
        </w:rPr>
        <w:footnoteReference w:id="125"/>
      </w:r>
      <w:r>
        <w:t>.</w:t>
      </w:r>
      <w:bookmarkEnd w:id="301"/>
      <w:r>
        <w:t xml:space="preserve"> </w:t>
      </w:r>
    </w:p>
    <w:p w14:paraId="31F6BF3E" w14:textId="7490C28C" w:rsidR="007E73EC" w:rsidRDefault="00B74E63" w:rsidP="001E0F11">
      <w:pPr>
        <w:contextualSpacing w:val="0"/>
      </w:pPr>
      <w:r>
        <w:t>A smaller portion of</w:t>
      </w:r>
      <w:r w:rsidR="00E3522F" w:rsidDel="00B74E63">
        <w:t xml:space="preserve"> </w:t>
      </w:r>
      <w:r w:rsidR="00E3522F">
        <w:t>submissions (</w:t>
      </w:r>
      <w:r w:rsidR="003F52AD">
        <w:t xml:space="preserve">15 </w:t>
      </w:r>
      <w:r w:rsidR="007318AB">
        <w:t xml:space="preserve">out </w:t>
      </w:r>
      <w:r w:rsidR="005E28C9">
        <w:t xml:space="preserve">of </w:t>
      </w:r>
      <w:r w:rsidR="000D298E">
        <w:t>3</w:t>
      </w:r>
      <w:r w:rsidR="003F52AD">
        <w:t>8</w:t>
      </w:r>
      <w:r w:rsidR="00E3522F">
        <w:t>) supported the retention of the current TWA of 1 ppm (1.2 mg/m</w:t>
      </w:r>
      <w:r w:rsidR="00E3522F" w:rsidRPr="00936151">
        <w:rPr>
          <w:vertAlign w:val="superscript"/>
        </w:rPr>
        <w:t>3</w:t>
      </w:r>
      <w:r w:rsidR="00E3522F">
        <w:t>) and STEL of 2 ppm (2.5 mg/m</w:t>
      </w:r>
      <w:r w:rsidR="00E3522F" w:rsidRPr="00936151">
        <w:rPr>
          <w:vertAlign w:val="superscript"/>
        </w:rPr>
        <w:t>3</w:t>
      </w:r>
      <w:r w:rsidR="00E3522F">
        <w:t>) for formaldehyde</w:t>
      </w:r>
      <w:r w:rsidR="000D4FF2">
        <w:t xml:space="preserve"> (Option 1)</w:t>
      </w:r>
      <w:r w:rsidR="00E3522F">
        <w:t xml:space="preserve">. </w:t>
      </w:r>
    </w:p>
    <w:p w14:paraId="55F90576" w14:textId="4F03DD75" w:rsidR="009D0F35" w:rsidRDefault="00E3522F" w:rsidP="00D52994">
      <w:pPr>
        <w:contextualSpacing w:val="0"/>
      </w:pPr>
      <w:r>
        <w:t xml:space="preserve">These submissions came from </w:t>
      </w:r>
      <w:r w:rsidR="002B2F39">
        <w:t>individuals</w:t>
      </w:r>
      <w:r>
        <w:t xml:space="preserve">, industry bodies and </w:t>
      </w:r>
      <w:r w:rsidR="002B2F39">
        <w:t>PCBUs</w:t>
      </w:r>
      <w:r>
        <w:t>. S</w:t>
      </w:r>
      <w:r w:rsidR="003F5328">
        <w:t>takeholders who s</w:t>
      </w:r>
      <w:r>
        <w:t>upport</w:t>
      </w:r>
      <w:r w:rsidR="003F5328">
        <w:t>ed</w:t>
      </w:r>
      <w:r>
        <w:t xml:space="preserve"> Option 1 </w:t>
      </w:r>
      <w:r w:rsidR="006A7A61">
        <w:t xml:space="preserve">noted their support </w:t>
      </w:r>
      <w:r>
        <w:t>is based on</w:t>
      </w:r>
      <w:r w:rsidR="009D0F35">
        <w:t>:</w:t>
      </w:r>
    </w:p>
    <w:p w14:paraId="2A74186E" w14:textId="77EF093E" w:rsidR="009D0F35" w:rsidRDefault="00F900F0" w:rsidP="00A2768E">
      <w:pPr>
        <w:pStyle w:val="ListParagraph"/>
        <w:numPr>
          <w:ilvl w:val="0"/>
          <w:numId w:val="165"/>
        </w:numPr>
        <w:contextualSpacing w:val="0"/>
      </w:pPr>
      <w:r w:rsidRPr="00F900F0">
        <w:lastRenderedPageBreak/>
        <w:t xml:space="preserve">the proposed WEL for </w:t>
      </w:r>
      <w:r>
        <w:t>formaldehyde</w:t>
      </w:r>
      <w:r w:rsidRPr="00F900F0">
        <w:t xml:space="preserve"> is not supported by health burden data</w:t>
      </w:r>
      <w:r w:rsidR="00A378DD">
        <w:rPr>
          <w:rStyle w:val="FootnoteReference"/>
        </w:rPr>
        <w:footnoteReference w:id="126"/>
      </w:r>
      <w:r w:rsidR="00364FC7">
        <w:t>,</w:t>
      </w:r>
    </w:p>
    <w:p w14:paraId="1082EBAB" w14:textId="42177608" w:rsidR="00A9458D" w:rsidRDefault="00645A9B" w:rsidP="00A2768E">
      <w:pPr>
        <w:pStyle w:val="ListParagraph"/>
        <w:numPr>
          <w:ilvl w:val="0"/>
          <w:numId w:val="165"/>
        </w:numPr>
        <w:contextualSpacing w:val="0"/>
      </w:pPr>
      <w:r>
        <w:t xml:space="preserve">the consultation paper establishes no </w:t>
      </w:r>
      <w:r w:rsidR="00D27345">
        <w:t xml:space="preserve">or limited </w:t>
      </w:r>
      <w:r>
        <w:t>benefit</w:t>
      </w:r>
      <w:r w:rsidR="00D27345">
        <w:t xml:space="preserve"> to</w:t>
      </w:r>
      <w:r>
        <w:t xml:space="preserve"> justify changing the exposure limit</w:t>
      </w:r>
      <w:r>
        <w:rPr>
          <w:rStyle w:val="FootnoteReference"/>
        </w:rPr>
        <w:footnoteReference w:id="127"/>
      </w:r>
      <w:r w:rsidR="00364FC7">
        <w:t>,</w:t>
      </w:r>
    </w:p>
    <w:p w14:paraId="3AEC4291" w14:textId="53BADDF6" w:rsidR="00880320" w:rsidRDefault="00880320" w:rsidP="00A2768E">
      <w:pPr>
        <w:pStyle w:val="ListParagraph"/>
        <w:numPr>
          <w:ilvl w:val="0"/>
          <w:numId w:val="165"/>
        </w:numPr>
        <w:contextualSpacing w:val="0"/>
      </w:pPr>
      <w:r>
        <w:t xml:space="preserve">that </w:t>
      </w:r>
      <w:r w:rsidR="007650EA">
        <w:t>the consultation paper shows that no workers</w:t>
      </w:r>
      <w:r w:rsidR="00E31412">
        <w:t>’</w:t>
      </w:r>
      <w:r w:rsidR="007650EA">
        <w:t xml:space="preserve"> compensation claims have been attributed to formaldehyde exposure</w:t>
      </w:r>
      <w:r w:rsidR="00C94D51">
        <w:t>, suggesting that the current WES for formaldehyde is adequately protecting pathology workers</w:t>
      </w:r>
      <w:r w:rsidR="005410E3">
        <w:rPr>
          <w:rStyle w:val="FootnoteReference"/>
        </w:rPr>
        <w:footnoteReference w:id="128"/>
      </w:r>
      <w:r w:rsidR="00C94D51">
        <w:t>,</w:t>
      </w:r>
    </w:p>
    <w:p w14:paraId="0AC1E03E" w14:textId="0E85EAF2" w:rsidR="00E3522F" w:rsidRDefault="00E3522F" w:rsidP="00A2768E">
      <w:pPr>
        <w:pStyle w:val="ListParagraph"/>
        <w:numPr>
          <w:ilvl w:val="0"/>
          <w:numId w:val="165"/>
        </w:numPr>
        <w:contextualSpacing w:val="0"/>
      </w:pPr>
      <w:r w:rsidDel="002A625F">
        <w:t xml:space="preserve">the </w:t>
      </w:r>
      <w:bookmarkStart w:id="306" w:name="_Toc196204714"/>
      <w:r>
        <w:t>preliminary</w:t>
      </w:r>
      <w:r w:rsidR="003833AB">
        <w:t xml:space="preserve"> estimates</w:t>
      </w:r>
      <w:r w:rsidR="003517D2">
        <w:t>,</w:t>
      </w:r>
      <w:r w:rsidR="003833AB">
        <w:t xml:space="preserve"> </w:t>
      </w:r>
      <w:r w:rsidR="00B1699E">
        <w:t>by Nous Group</w:t>
      </w:r>
      <w:r w:rsidR="003517D2">
        <w:t>,</w:t>
      </w:r>
      <w:r w:rsidR="00B1699E">
        <w:t xml:space="preserve"> </w:t>
      </w:r>
      <w:r w:rsidR="003833AB">
        <w:t>of</w:t>
      </w:r>
      <w:r w:rsidR="00B1699E">
        <w:t xml:space="preserve"> the</w:t>
      </w:r>
      <w:r>
        <w:t xml:space="preserve"> cost</w:t>
      </w:r>
      <w:r w:rsidR="003833AB">
        <w:t xml:space="preserve">s and </w:t>
      </w:r>
      <w:r>
        <w:t>benefit</w:t>
      </w:r>
      <w:r w:rsidR="003833AB">
        <w:t>s</w:t>
      </w:r>
      <w:r w:rsidR="00E07730">
        <w:t xml:space="preserve"> for formaldehyde</w:t>
      </w:r>
      <w:r w:rsidR="0083634E">
        <w:t xml:space="preserve">, which </w:t>
      </w:r>
      <w:r w:rsidR="0038306E">
        <w:t>suggests</w:t>
      </w:r>
      <w:r w:rsidR="004C0DB9">
        <w:t xml:space="preserve"> </w:t>
      </w:r>
      <w:r w:rsidR="0038306E">
        <w:t xml:space="preserve">the </w:t>
      </w:r>
      <w:r w:rsidR="00F46713">
        <w:t xml:space="preserve">estimated </w:t>
      </w:r>
      <w:r>
        <w:t>costs</w:t>
      </w:r>
      <w:r w:rsidR="00847EF1">
        <w:t xml:space="preserve"> for Option 2</w:t>
      </w:r>
      <w:r>
        <w:t xml:space="preserve"> </w:t>
      </w:r>
      <w:r w:rsidR="0085109D">
        <w:t>were</w:t>
      </w:r>
      <w:r w:rsidR="008207F5">
        <w:t xml:space="preserve"> </w:t>
      </w:r>
      <w:r w:rsidR="00FC6B4D">
        <w:t>higher</w:t>
      </w:r>
      <w:r w:rsidR="0085109D">
        <w:t xml:space="preserve"> than the estimated</w:t>
      </w:r>
      <w:r>
        <w:t xml:space="preserve"> benefits</w:t>
      </w:r>
      <w:bookmarkEnd w:id="306"/>
      <w:r w:rsidR="00FC6B4D">
        <w:t xml:space="preserve"> </w:t>
      </w:r>
      <w:r w:rsidR="00254143" w:rsidRPr="009B5913">
        <w:rPr>
          <w:rStyle w:val="FootnoteReference"/>
        </w:rPr>
        <w:footnoteReference w:id="129"/>
      </w:r>
      <w:r w:rsidR="009B5913">
        <w:t xml:space="preserve">, </w:t>
      </w:r>
      <w:r w:rsidR="00427669">
        <w:t>and</w:t>
      </w:r>
    </w:p>
    <w:p w14:paraId="660F634E" w14:textId="1393D057" w:rsidR="00427669" w:rsidRDefault="003517D2" w:rsidP="00A2768E">
      <w:pPr>
        <w:pStyle w:val="ListParagraph"/>
        <w:numPr>
          <w:ilvl w:val="0"/>
          <w:numId w:val="165"/>
        </w:numPr>
        <w:contextualSpacing w:val="0"/>
      </w:pPr>
      <w:r>
        <w:t>the</w:t>
      </w:r>
      <w:r w:rsidR="00427669" w:rsidRPr="00427669">
        <w:t xml:space="preserve"> practical and feasibility issues such as measurement, compliance and costs</w:t>
      </w:r>
      <w:r w:rsidR="007009B3" w:rsidRPr="009B5913">
        <w:rPr>
          <w:rStyle w:val="FootnoteReference"/>
        </w:rPr>
        <w:footnoteReference w:id="130"/>
      </w:r>
      <w:r w:rsidR="00DB4C11" w:rsidRPr="00DB4C11">
        <w:t>,</w:t>
      </w:r>
      <w:r w:rsidR="00DB4C11">
        <w:t xml:space="preserve"> </w:t>
      </w:r>
      <w:r w:rsidR="00792FDD">
        <w:t xml:space="preserve">including the </w:t>
      </w:r>
      <w:r w:rsidR="00DB4C11">
        <w:t>delayed or missed cancer diagnoses)</w:t>
      </w:r>
      <w:r w:rsidR="00DB4C11">
        <w:rPr>
          <w:rStyle w:val="FootnoteReference"/>
        </w:rPr>
        <w:footnoteReference w:id="131"/>
      </w:r>
      <w:r w:rsidR="00DB4C11">
        <w:t>.</w:t>
      </w:r>
    </w:p>
    <w:p w14:paraId="4AC45528" w14:textId="6F0EB7BF" w:rsidR="00E3522F" w:rsidRDefault="00E3522F" w:rsidP="00E02751">
      <w:pPr>
        <w:contextualSpacing w:val="0"/>
      </w:pPr>
      <w:r>
        <w:t xml:space="preserve">Five submissions did not provide a </w:t>
      </w:r>
      <w:r w:rsidR="00EB2298">
        <w:t xml:space="preserve">preferred option regarding the </w:t>
      </w:r>
      <w:r>
        <w:t xml:space="preserve">proposed </w:t>
      </w:r>
      <w:r w:rsidR="00EB2298">
        <w:t xml:space="preserve">WEL </w:t>
      </w:r>
      <w:r>
        <w:t>for formaldehyde</w:t>
      </w:r>
      <w:r w:rsidR="00E76295" w:rsidRPr="00016321">
        <w:rPr>
          <w:rStyle w:val="FootnoteReference"/>
        </w:rPr>
        <w:footnoteReference w:id="132"/>
      </w:r>
      <w:r>
        <w:t xml:space="preserve"> </w:t>
      </w:r>
    </w:p>
    <w:p w14:paraId="097F52F7" w14:textId="17C77B2B" w:rsidR="00016321" w:rsidRDefault="00016321" w:rsidP="0094455A">
      <w:pPr>
        <w:pStyle w:val="SWAHeading3"/>
      </w:pPr>
      <w:r>
        <w:t>Alternative WELs suggested by stakeholders</w:t>
      </w:r>
    </w:p>
    <w:p w14:paraId="370DD1B0" w14:textId="1E4AA26A" w:rsidR="00684FB5" w:rsidRDefault="00016321" w:rsidP="003C26BC">
      <w:pPr>
        <w:pStyle w:val="Paragraph"/>
        <w:keepNext w:val="0"/>
      </w:pPr>
      <w:r w:rsidRPr="00016321">
        <w:t xml:space="preserve">Some stakeholders put forward alternative exposure limits in their submissions for </w:t>
      </w:r>
      <w:r w:rsidR="00B33ED5">
        <w:t>formaldehyde</w:t>
      </w:r>
      <w:r w:rsidRPr="00016321">
        <w:t xml:space="preserve">. </w:t>
      </w:r>
      <w:r w:rsidR="00931852">
        <w:rPr>
          <w:lang w:eastAsia="en-US"/>
        </w:rPr>
        <w:t>These were considered against the criteria contained within the WES review methodology agreed by WHS ministers</w:t>
      </w:r>
      <w:r w:rsidRPr="00016321">
        <w:t xml:space="preserve">. </w:t>
      </w:r>
    </w:p>
    <w:p w14:paraId="3DDE48EC" w14:textId="602CF05C" w:rsidR="00016321" w:rsidRPr="00016321" w:rsidRDefault="00016321" w:rsidP="003C26BC">
      <w:pPr>
        <w:pStyle w:val="Paragraph"/>
        <w:keepNext w:val="0"/>
      </w:pPr>
      <w:r w:rsidRPr="00016321">
        <w:t>T</w:t>
      </w:r>
      <w:r w:rsidR="00E07F9E">
        <w:t>hree</w:t>
      </w:r>
      <w:r w:rsidRPr="00016321">
        <w:t xml:space="preserve"> alternative WELs were suggested:</w:t>
      </w:r>
    </w:p>
    <w:p w14:paraId="5A226A75" w14:textId="02AF9759" w:rsidR="00016321" w:rsidRDefault="00850709" w:rsidP="00A2768E">
      <w:pPr>
        <w:pStyle w:val="Paragraph"/>
        <w:keepNext w:val="0"/>
        <w:numPr>
          <w:ilvl w:val="0"/>
          <w:numId w:val="166"/>
        </w:numPr>
        <w:rPr>
          <w:lang w:eastAsia="en-US"/>
        </w:rPr>
      </w:pPr>
      <w:r>
        <w:rPr>
          <w:lang w:eastAsia="en-US"/>
        </w:rPr>
        <w:t>a TWA of 0.016 ppm and STEL of 0.1 ppm</w:t>
      </w:r>
      <w:r w:rsidR="00D47745">
        <w:rPr>
          <w:lang w:eastAsia="en-US"/>
        </w:rPr>
        <w:t>, based on the NIOSH recommended exposure limit</w:t>
      </w:r>
      <w:r w:rsidR="00F32786">
        <w:rPr>
          <w:lang w:eastAsia="en-US"/>
        </w:rPr>
        <w:t xml:space="preserve"> for formaldehyde</w:t>
      </w:r>
      <w:r w:rsidR="00241F4F" w:rsidRPr="005E7A5E">
        <w:rPr>
          <w:rStyle w:val="FootnoteReference"/>
          <w:lang w:eastAsia="en-US"/>
        </w:rPr>
        <w:footnoteReference w:id="133"/>
      </w:r>
    </w:p>
    <w:p w14:paraId="575F7855" w14:textId="5AFE05D5" w:rsidR="00D47745" w:rsidRPr="003C26BC" w:rsidRDefault="00F32786" w:rsidP="00A2768E">
      <w:pPr>
        <w:pStyle w:val="Paragraph"/>
        <w:keepNext w:val="0"/>
        <w:numPr>
          <w:ilvl w:val="1"/>
          <w:numId w:val="166"/>
        </w:numPr>
        <w:rPr>
          <w:rFonts w:eastAsiaTheme="majorEastAsia"/>
        </w:rPr>
      </w:pPr>
      <w:r w:rsidRPr="006A04FD">
        <w:rPr>
          <w:rFonts w:eastAsiaTheme="majorEastAsia"/>
        </w:rPr>
        <w:t xml:space="preserve">Further reductions below the proposed WEL (option 2) were not considered as part of the Decision RIS. However, </w:t>
      </w:r>
      <w:r>
        <w:rPr>
          <w:rFonts w:eastAsiaTheme="majorEastAsia"/>
        </w:rPr>
        <w:t>the suggestion</w:t>
      </w:r>
      <w:r w:rsidRPr="006A04FD">
        <w:rPr>
          <w:rFonts w:eastAsiaTheme="majorEastAsia"/>
        </w:rPr>
        <w:t xml:space="preserve"> w</w:t>
      </w:r>
      <w:r>
        <w:rPr>
          <w:rFonts w:eastAsiaTheme="majorEastAsia"/>
        </w:rPr>
        <w:t>as</w:t>
      </w:r>
      <w:r w:rsidRPr="006A04FD">
        <w:rPr>
          <w:rFonts w:eastAsiaTheme="majorEastAsia"/>
        </w:rPr>
        <w:t xml:space="preserve"> noted. </w:t>
      </w:r>
    </w:p>
    <w:p w14:paraId="55530184" w14:textId="5CCD8E3B" w:rsidR="00850709" w:rsidRDefault="00850709" w:rsidP="00A2768E">
      <w:pPr>
        <w:pStyle w:val="Paragraph"/>
        <w:keepNext w:val="0"/>
        <w:numPr>
          <w:ilvl w:val="0"/>
          <w:numId w:val="166"/>
        </w:numPr>
        <w:rPr>
          <w:lang w:eastAsia="en-US"/>
        </w:rPr>
      </w:pPr>
      <w:r>
        <w:rPr>
          <w:lang w:eastAsia="en-US"/>
        </w:rPr>
        <w:lastRenderedPageBreak/>
        <w:t>a TWA of 0.5 ppm</w:t>
      </w:r>
      <w:r w:rsidR="00EC5A85">
        <w:rPr>
          <w:lang w:eastAsia="en-US"/>
        </w:rPr>
        <w:t xml:space="preserve">, </w:t>
      </w:r>
      <w:r w:rsidR="00D22A98">
        <w:rPr>
          <w:lang w:eastAsia="en-US"/>
        </w:rPr>
        <w:t>based on</w:t>
      </w:r>
      <w:r w:rsidR="00EC5A85">
        <w:rPr>
          <w:lang w:eastAsia="en-US"/>
        </w:rPr>
        <w:t xml:space="preserve"> </w:t>
      </w:r>
      <w:r w:rsidR="00F667ED">
        <w:rPr>
          <w:lang w:eastAsia="en-US"/>
        </w:rPr>
        <w:t xml:space="preserve">economic </w:t>
      </w:r>
      <w:r w:rsidR="00EC5A85">
        <w:rPr>
          <w:lang w:eastAsia="en-US"/>
        </w:rPr>
        <w:t>modelling</w:t>
      </w:r>
      <w:r w:rsidR="00D35A30">
        <w:rPr>
          <w:lang w:eastAsia="en-US"/>
        </w:rPr>
        <w:t xml:space="preserve"> (focusing </w:t>
      </w:r>
      <w:r w:rsidR="00E02D07">
        <w:rPr>
          <w:lang w:eastAsia="en-US"/>
        </w:rPr>
        <w:t xml:space="preserve">on risk of business closure, </w:t>
      </w:r>
      <w:r w:rsidR="00D22A98">
        <w:rPr>
          <w:lang w:eastAsia="en-US"/>
        </w:rPr>
        <w:t>job losses and economic loss)</w:t>
      </w:r>
      <w:r w:rsidR="00EC5A85">
        <w:rPr>
          <w:lang w:eastAsia="en-US"/>
        </w:rPr>
        <w:t xml:space="preserve"> </w:t>
      </w:r>
      <w:r w:rsidR="00F667ED">
        <w:rPr>
          <w:lang w:eastAsia="en-US"/>
        </w:rPr>
        <w:t>conducted by the wood product</w:t>
      </w:r>
      <w:r w:rsidR="008E3A25">
        <w:rPr>
          <w:lang w:eastAsia="en-US"/>
        </w:rPr>
        <w:t>s</w:t>
      </w:r>
      <w:r w:rsidR="00F667ED">
        <w:rPr>
          <w:lang w:eastAsia="en-US"/>
        </w:rPr>
        <w:t xml:space="preserve"> industry</w:t>
      </w:r>
      <w:r w:rsidR="009148FA" w:rsidRPr="005E7A5E">
        <w:rPr>
          <w:rStyle w:val="FootnoteReference"/>
          <w:lang w:eastAsia="en-US"/>
        </w:rPr>
        <w:footnoteReference w:id="134"/>
      </w:r>
    </w:p>
    <w:p w14:paraId="0A75CA7A" w14:textId="7D61D4E7" w:rsidR="00EC5A85" w:rsidRDefault="008A19D4" w:rsidP="00A2768E">
      <w:pPr>
        <w:pStyle w:val="Paragraph"/>
        <w:keepNext w:val="0"/>
        <w:numPr>
          <w:ilvl w:val="1"/>
          <w:numId w:val="166"/>
        </w:numPr>
        <w:ind w:hanging="357"/>
        <w:rPr>
          <w:lang w:eastAsia="en-US"/>
        </w:rPr>
      </w:pPr>
      <w:r>
        <w:rPr>
          <w:lang w:eastAsia="en-US"/>
        </w:rPr>
        <w:t>N</w:t>
      </w:r>
      <w:r w:rsidR="00965A52">
        <w:rPr>
          <w:lang w:eastAsia="en-US"/>
        </w:rPr>
        <w:t>o health-based evidence</w:t>
      </w:r>
      <w:r w:rsidR="00C14CCA">
        <w:rPr>
          <w:lang w:eastAsia="en-US"/>
        </w:rPr>
        <w:t xml:space="preserve"> was</w:t>
      </w:r>
      <w:r w:rsidR="00965A52">
        <w:rPr>
          <w:lang w:eastAsia="en-US"/>
        </w:rPr>
        <w:t xml:space="preserve"> provided </w:t>
      </w:r>
      <w:r>
        <w:rPr>
          <w:lang w:eastAsia="en-US"/>
        </w:rPr>
        <w:t xml:space="preserve">in submissions </w:t>
      </w:r>
      <w:r w:rsidR="00965A52">
        <w:rPr>
          <w:lang w:eastAsia="en-US"/>
        </w:rPr>
        <w:t xml:space="preserve">to support the </w:t>
      </w:r>
      <w:r>
        <w:rPr>
          <w:lang w:eastAsia="en-US"/>
        </w:rPr>
        <w:t xml:space="preserve">alternative TWA </w:t>
      </w:r>
      <w:r w:rsidR="00077492">
        <w:rPr>
          <w:lang w:eastAsia="en-US"/>
        </w:rPr>
        <w:t xml:space="preserve">to be considered in line with the WES review methodology to established health-based limits. </w:t>
      </w:r>
    </w:p>
    <w:p w14:paraId="0B2E88F1" w14:textId="723145CC" w:rsidR="00850709" w:rsidRDefault="00F06499" w:rsidP="00A2768E">
      <w:pPr>
        <w:pStyle w:val="Paragraph"/>
        <w:keepNext w:val="0"/>
        <w:numPr>
          <w:ilvl w:val="0"/>
          <w:numId w:val="166"/>
        </w:numPr>
        <w:ind w:hanging="357"/>
        <w:rPr>
          <w:lang w:eastAsia="en-US"/>
        </w:rPr>
      </w:pPr>
      <w:r>
        <w:rPr>
          <w:lang w:eastAsia="en-US"/>
        </w:rPr>
        <w:t xml:space="preserve">a TWA of </w:t>
      </w:r>
      <w:r w:rsidR="008A304E">
        <w:rPr>
          <w:lang w:eastAsia="en-US"/>
        </w:rPr>
        <w:t>0.1 ppm (</w:t>
      </w:r>
      <w:r w:rsidR="00EC5A85">
        <w:rPr>
          <w:lang w:eastAsia="en-US"/>
        </w:rPr>
        <w:t>0.12 mg/m</w:t>
      </w:r>
      <w:r w:rsidR="00EC5A85" w:rsidRPr="003C26BC">
        <w:rPr>
          <w:vertAlign w:val="superscript"/>
          <w:lang w:eastAsia="en-US"/>
        </w:rPr>
        <w:t>3</w:t>
      </w:r>
      <w:r w:rsidR="00EC5A85">
        <w:rPr>
          <w:lang w:eastAsia="en-US"/>
        </w:rPr>
        <w:t>) and a STEL of 0.3 ppm (0.37 mg/m</w:t>
      </w:r>
      <w:r w:rsidR="00EC5A85" w:rsidRPr="003C26BC">
        <w:rPr>
          <w:vertAlign w:val="superscript"/>
          <w:lang w:eastAsia="en-US"/>
        </w:rPr>
        <w:t>3</w:t>
      </w:r>
      <w:r w:rsidR="00EC5A85">
        <w:rPr>
          <w:lang w:eastAsia="en-US"/>
        </w:rPr>
        <w:t>)</w:t>
      </w:r>
      <w:r w:rsidR="00F32786">
        <w:rPr>
          <w:lang w:eastAsia="en-US"/>
        </w:rPr>
        <w:t>, based on</w:t>
      </w:r>
      <w:r w:rsidR="00EC5A85">
        <w:rPr>
          <w:lang w:eastAsia="en-US"/>
        </w:rPr>
        <w:t xml:space="preserve"> </w:t>
      </w:r>
      <w:r>
        <w:rPr>
          <w:lang w:eastAsia="en-US"/>
        </w:rPr>
        <w:t xml:space="preserve">the original recommendation made by the </w:t>
      </w:r>
      <w:r w:rsidR="00F32786">
        <w:rPr>
          <w:lang w:eastAsia="en-US"/>
        </w:rPr>
        <w:t xml:space="preserve">independent expert </w:t>
      </w:r>
      <w:r w:rsidR="00262052">
        <w:rPr>
          <w:lang w:eastAsia="en-US"/>
        </w:rPr>
        <w:t>as part of the WES review</w:t>
      </w:r>
      <w:r w:rsidR="00524A62" w:rsidRPr="005E7A5E">
        <w:rPr>
          <w:rStyle w:val="FootnoteReference"/>
          <w:lang w:eastAsia="en-US"/>
        </w:rPr>
        <w:footnoteReference w:id="135"/>
      </w:r>
    </w:p>
    <w:p w14:paraId="42334263" w14:textId="77777777" w:rsidR="0062084E" w:rsidRDefault="00262052" w:rsidP="00A2768E">
      <w:pPr>
        <w:pStyle w:val="Paragraph"/>
        <w:keepNext w:val="0"/>
        <w:numPr>
          <w:ilvl w:val="1"/>
          <w:numId w:val="166"/>
        </w:numPr>
        <w:ind w:left="1434" w:hanging="357"/>
        <w:rPr>
          <w:lang w:eastAsia="en-US"/>
        </w:rPr>
      </w:pPr>
      <w:r>
        <w:rPr>
          <w:lang w:eastAsia="en-US"/>
        </w:rPr>
        <w:t>The original recommendation</w:t>
      </w:r>
      <w:r w:rsidR="00871C80">
        <w:rPr>
          <w:lang w:eastAsia="en-US"/>
        </w:rPr>
        <w:t xml:space="preserve"> was considered by Safe Work Australia Members previously</w:t>
      </w:r>
      <w:r w:rsidR="007438A5">
        <w:rPr>
          <w:lang w:eastAsia="en-US"/>
        </w:rPr>
        <w:t xml:space="preserve"> in conjunction with feedback collected from the 2019 – 2021 public consultation,</w:t>
      </w:r>
      <w:r w:rsidR="00871C80">
        <w:rPr>
          <w:lang w:eastAsia="en-US"/>
        </w:rPr>
        <w:t xml:space="preserve"> but was not agreed to by Safe Work Australia Members. </w:t>
      </w:r>
    </w:p>
    <w:p w14:paraId="787CB385" w14:textId="782411C9" w:rsidR="00262052" w:rsidRPr="005B650D" w:rsidRDefault="0062084E" w:rsidP="00A2768E">
      <w:pPr>
        <w:pStyle w:val="Paragraph"/>
        <w:keepNext w:val="0"/>
        <w:numPr>
          <w:ilvl w:val="1"/>
          <w:numId w:val="166"/>
        </w:numPr>
        <w:ind w:left="1434" w:hanging="357"/>
      </w:pPr>
      <w:r>
        <w:rPr>
          <w:lang w:eastAsia="en-US"/>
        </w:rPr>
        <w:t xml:space="preserve">No new evidence was submitted as part of the 2024 public consultation </w:t>
      </w:r>
      <w:r w:rsidR="00940C26">
        <w:rPr>
          <w:lang w:eastAsia="en-US"/>
        </w:rPr>
        <w:t xml:space="preserve">to support reconsideration of the original recommendation. </w:t>
      </w:r>
      <w:r w:rsidR="005E7A5E">
        <w:rPr>
          <w:lang w:eastAsia="en-US"/>
        </w:rPr>
        <w:t>T</w:t>
      </w:r>
      <w:r w:rsidR="00940C26">
        <w:rPr>
          <w:lang w:eastAsia="en-US"/>
        </w:rPr>
        <w:t>he feedback has been noted</w:t>
      </w:r>
      <w:r w:rsidR="00EA2991">
        <w:rPr>
          <w:lang w:eastAsia="en-US"/>
        </w:rPr>
        <w:t xml:space="preserve">. </w:t>
      </w:r>
    </w:p>
    <w:p w14:paraId="6E93B0EA" w14:textId="16F61E53" w:rsidR="00CB7DDF" w:rsidRDefault="00127C6E" w:rsidP="00C812BE">
      <w:pPr>
        <w:pStyle w:val="SWAHeading3"/>
        <w:keepNext/>
      </w:pPr>
      <w:r>
        <w:t xml:space="preserve">Considerations </w:t>
      </w:r>
      <w:r w:rsidR="00EB2298">
        <w:t>in relation to the</w:t>
      </w:r>
      <w:r w:rsidR="007A10B7">
        <w:t xml:space="preserve"> proposed WEL for formaldehyde</w:t>
      </w:r>
    </w:p>
    <w:p w14:paraId="67B58E19" w14:textId="6A425451" w:rsidR="00C22BF1" w:rsidRDefault="00CF0E3A" w:rsidP="00C812BE">
      <w:pPr>
        <w:pStyle w:val="SWAHeading4"/>
        <w:keepNext/>
        <w:rPr>
          <w:b w:val="0"/>
          <w:bCs w:val="0"/>
          <w:i w:val="0"/>
          <w:iCs w:val="0"/>
          <w:sz w:val="22"/>
          <w:szCs w:val="24"/>
        </w:rPr>
      </w:pPr>
      <w:r>
        <w:rPr>
          <w:b w:val="0"/>
          <w:bCs w:val="0"/>
          <w:i w:val="0"/>
          <w:iCs w:val="0"/>
          <w:sz w:val="22"/>
          <w:szCs w:val="24"/>
        </w:rPr>
        <w:t>As part of the</w:t>
      </w:r>
      <w:r w:rsidR="00C22BF1">
        <w:rPr>
          <w:b w:val="0"/>
          <w:bCs w:val="0"/>
          <w:i w:val="0"/>
          <w:iCs w:val="0"/>
          <w:sz w:val="22"/>
          <w:szCs w:val="24"/>
        </w:rPr>
        <w:t xml:space="preserve"> public consultation, s</w:t>
      </w:r>
      <w:r w:rsidR="00C22BF1" w:rsidRPr="00E55C0C">
        <w:rPr>
          <w:b w:val="0"/>
          <w:bCs w:val="0"/>
          <w:i w:val="0"/>
          <w:iCs w:val="0"/>
          <w:sz w:val="22"/>
          <w:szCs w:val="24"/>
        </w:rPr>
        <w:t xml:space="preserve">takeholders were asked about </w:t>
      </w:r>
      <w:r w:rsidR="00E66434">
        <w:rPr>
          <w:b w:val="0"/>
          <w:bCs w:val="0"/>
          <w:i w:val="0"/>
          <w:iCs w:val="0"/>
          <w:sz w:val="22"/>
          <w:szCs w:val="24"/>
        </w:rPr>
        <w:t xml:space="preserve">the </w:t>
      </w:r>
      <w:r w:rsidR="00C22BF1" w:rsidRPr="00E55C0C">
        <w:rPr>
          <w:b w:val="0"/>
          <w:bCs w:val="0"/>
          <w:i w:val="0"/>
          <w:iCs w:val="0"/>
          <w:sz w:val="22"/>
          <w:szCs w:val="24"/>
        </w:rPr>
        <w:t xml:space="preserve">challenges they expect their industry, business or PCBU </w:t>
      </w:r>
      <w:r w:rsidR="00E66434" w:rsidRPr="00E55C0C">
        <w:rPr>
          <w:b w:val="0"/>
          <w:bCs w:val="0"/>
          <w:i w:val="0"/>
          <w:iCs w:val="0"/>
          <w:sz w:val="22"/>
          <w:szCs w:val="24"/>
        </w:rPr>
        <w:t xml:space="preserve">would </w:t>
      </w:r>
      <w:r w:rsidR="00C22BF1" w:rsidRPr="00E55C0C">
        <w:rPr>
          <w:b w:val="0"/>
          <w:bCs w:val="0"/>
          <w:i w:val="0"/>
          <w:iCs w:val="0"/>
          <w:sz w:val="22"/>
          <w:szCs w:val="24"/>
        </w:rPr>
        <w:t xml:space="preserve">encounter if the proposed WEL was implemented. </w:t>
      </w:r>
      <w:r w:rsidR="00EB2298">
        <w:rPr>
          <w:b w:val="0"/>
          <w:bCs w:val="0"/>
          <w:i w:val="0"/>
          <w:iCs w:val="0"/>
          <w:sz w:val="22"/>
          <w:szCs w:val="24"/>
        </w:rPr>
        <w:t>Measurability concerns</w:t>
      </w:r>
      <w:r w:rsidR="00E703D3">
        <w:rPr>
          <w:b w:val="0"/>
          <w:bCs w:val="0"/>
          <w:i w:val="0"/>
          <w:iCs w:val="0"/>
          <w:sz w:val="22"/>
          <w:szCs w:val="24"/>
        </w:rPr>
        <w:t>, costs of personal protective equipment</w:t>
      </w:r>
      <w:r w:rsidR="003033F7">
        <w:rPr>
          <w:b w:val="0"/>
          <w:bCs w:val="0"/>
          <w:i w:val="0"/>
          <w:iCs w:val="0"/>
          <w:sz w:val="22"/>
          <w:szCs w:val="24"/>
        </w:rPr>
        <w:t xml:space="preserve"> and industry specific considerations </w:t>
      </w:r>
      <w:r w:rsidR="00E703D3">
        <w:rPr>
          <w:b w:val="0"/>
          <w:bCs w:val="0"/>
          <w:i w:val="0"/>
          <w:iCs w:val="0"/>
          <w:sz w:val="22"/>
          <w:szCs w:val="24"/>
        </w:rPr>
        <w:t xml:space="preserve">from the pathology, </w:t>
      </w:r>
      <w:r w:rsidR="00F26CE2">
        <w:rPr>
          <w:b w:val="0"/>
          <w:bCs w:val="0"/>
          <w:i w:val="0"/>
          <w:iCs w:val="0"/>
          <w:sz w:val="22"/>
          <w:szCs w:val="24"/>
        </w:rPr>
        <w:t xml:space="preserve">wood products and university and research sector </w:t>
      </w:r>
      <w:r w:rsidR="003033F7">
        <w:rPr>
          <w:b w:val="0"/>
          <w:bCs w:val="0"/>
          <w:i w:val="0"/>
          <w:iCs w:val="0"/>
          <w:sz w:val="22"/>
          <w:szCs w:val="24"/>
        </w:rPr>
        <w:t>were raised</w:t>
      </w:r>
      <w:r w:rsidR="00E703D3">
        <w:rPr>
          <w:b w:val="0"/>
          <w:bCs w:val="0"/>
          <w:i w:val="0"/>
          <w:iCs w:val="0"/>
          <w:sz w:val="22"/>
          <w:szCs w:val="24"/>
        </w:rPr>
        <w:t xml:space="preserve">. </w:t>
      </w:r>
    </w:p>
    <w:p w14:paraId="4C04C35C" w14:textId="65A238B7" w:rsidR="00127C6E" w:rsidRDefault="00127C6E" w:rsidP="00E21AA9">
      <w:pPr>
        <w:pStyle w:val="SWAHeading4"/>
      </w:pPr>
      <w:r>
        <w:t>Measurability concerns</w:t>
      </w:r>
    </w:p>
    <w:p w14:paraId="458161F8" w14:textId="59DC5B34" w:rsidR="006D4BFD" w:rsidRDefault="3880D642" w:rsidP="00D6470A">
      <w:pPr>
        <w:contextualSpacing w:val="0"/>
      </w:pPr>
      <w:r>
        <w:t xml:space="preserve">Measurement was a </w:t>
      </w:r>
      <w:r w:rsidR="01A9B667">
        <w:t xml:space="preserve">challenge </w:t>
      </w:r>
      <w:r>
        <w:t>raised</w:t>
      </w:r>
      <w:r w:rsidR="24543611">
        <w:t xml:space="preserve"> by</w:t>
      </w:r>
      <w:r w:rsidR="5D94DB06">
        <w:t xml:space="preserve"> </w:t>
      </w:r>
      <w:r w:rsidR="24543611">
        <w:t>2</w:t>
      </w:r>
      <w:r w:rsidR="01A9B667">
        <w:t xml:space="preserve"> industries</w:t>
      </w:r>
      <w:r w:rsidR="1DDD8933">
        <w:t xml:space="preserve"> (wood products</w:t>
      </w:r>
      <w:r w:rsidR="7FC9EED1">
        <w:t>,</w:t>
      </w:r>
      <w:r w:rsidR="1DDD8933">
        <w:t xml:space="preserve"> </w:t>
      </w:r>
      <w:r w:rsidR="58128E72">
        <w:t>and the hygiene</w:t>
      </w:r>
      <w:r w:rsidR="00D04F43">
        <w:t xml:space="preserve">, personal care and specialty products </w:t>
      </w:r>
      <w:r w:rsidR="58128E72">
        <w:t>industry</w:t>
      </w:r>
      <w:r w:rsidR="1DDD8933">
        <w:t>)</w:t>
      </w:r>
      <w:r w:rsidR="01A9B667">
        <w:t xml:space="preserve"> regarding the proposed limits</w:t>
      </w:r>
      <w:r>
        <w:t xml:space="preserve"> for formaldehyde</w:t>
      </w:r>
      <w:r w:rsidR="01A9B667">
        <w:t xml:space="preserve">. </w:t>
      </w:r>
      <w:r w:rsidR="28E203B4">
        <w:t>T</w:t>
      </w:r>
      <w:r w:rsidR="01A9B667">
        <w:t>he wood industry raised concern</w:t>
      </w:r>
      <w:r w:rsidR="0E517423">
        <w:t>s</w:t>
      </w:r>
      <w:r w:rsidR="01A9B667">
        <w:t xml:space="preserve"> about how “very low” the </w:t>
      </w:r>
      <w:r w:rsidR="28E203B4">
        <w:t>proposed</w:t>
      </w:r>
      <w:r w:rsidR="01A9B667">
        <w:t xml:space="preserve"> limit is, and </w:t>
      </w:r>
      <w:r w:rsidR="4B012C99">
        <w:t>indicated measurability</w:t>
      </w:r>
      <w:r w:rsidR="01A9B667">
        <w:t xml:space="preserve"> would not be achievable</w:t>
      </w:r>
      <w:r w:rsidR="00F02B0C">
        <w:rPr>
          <w:rStyle w:val="FootnoteReference"/>
        </w:rPr>
        <w:footnoteReference w:id="136"/>
      </w:r>
      <w:r w:rsidR="01A9B667" w:rsidRPr="00B42402">
        <w:t xml:space="preserve">. </w:t>
      </w:r>
      <w:r w:rsidR="01A9B667">
        <w:t>However,</w:t>
      </w:r>
      <w:r w:rsidR="75AAEE30">
        <w:t xml:space="preserve"> previous consultation</w:t>
      </w:r>
      <w:r w:rsidR="15BE80F3">
        <w:t>s</w:t>
      </w:r>
      <w:r w:rsidR="75AAEE30">
        <w:t xml:space="preserve"> </w:t>
      </w:r>
      <w:r w:rsidR="1577B2D4">
        <w:t>regarding</w:t>
      </w:r>
      <w:r w:rsidR="73CDE7B4">
        <w:t xml:space="preserve"> formaldehyde </w:t>
      </w:r>
      <w:r w:rsidR="75AAEE30">
        <w:t>ha</w:t>
      </w:r>
      <w:r w:rsidR="73CDE7B4">
        <w:t>ve</w:t>
      </w:r>
      <w:r w:rsidR="75AAEE30">
        <w:t xml:space="preserve"> indicated that </w:t>
      </w:r>
      <w:r w:rsidR="3AD0EA06">
        <w:t xml:space="preserve">the </w:t>
      </w:r>
      <w:r w:rsidR="15BE80F3">
        <w:t>proposed</w:t>
      </w:r>
      <w:r w:rsidR="54AE0988">
        <w:t xml:space="preserve"> </w:t>
      </w:r>
      <w:r w:rsidR="00F02B0C">
        <w:t xml:space="preserve">WEL </w:t>
      </w:r>
      <w:r w:rsidR="73CDE7B4">
        <w:t>i</w:t>
      </w:r>
      <w:r w:rsidR="5C775683">
        <w:t>s measurable</w:t>
      </w:r>
      <w:r w:rsidR="01A9B667">
        <w:t>.</w:t>
      </w:r>
    </w:p>
    <w:p w14:paraId="317B80DA" w14:textId="2EAD6D1B" w:rsidR="0098389B" w:rsidRDefault="00016838" w:rsidP="00F30172">
      <w:pPr>
        <w:contextualSpacing w:val="0"/>
      </w:pPr>
      <w:r>
        <w:t>T</w:t>
      </w:r>
      <w:r w:rsidR="0098389B" w:rsidRPr="0098389B">
        <w:t>he peak industry body for manufacturers and suppliers of hygiene</w:t>
      </w:r>
      <w:r w:rsidR="00D04F43" w:rsidRPr="00D04F43">
        <w:t>, personal care and specialty products</w:t>
      </w:r>
      <w:r w:rsidR="00D04F43" w:rsidRPr="00D04F43" w:rsidDel="00D04F43">
        <w:t xml:space="preserve"> </w:t>
      </w:r>
      <w:r w:rsidR="0098389B" w:rsidRPr="0098389B">
        <w:t>were concerned about how practical measurement can be conducted when there are “background” concentrations of formaldehyde above 0.3 ppm in the workplace</w:t>
      </w:r>
      <w:r w:rsidR="00D04F43">
        <w:rPr>
          <w:rStyle w:val="FootnoteReference"/>
        </w:rPr>
        <w:footnoteReference w:id="137"/>
      </w:r>
      <w:r w:rsidR="00E00CA3">
        <w:t xml:space="preserve"> or that is naturally occurring</w:t>
      </w:r>
      <w:r w:rsidR="00E00CA3">
        <w:rPr>
          <w:rStyle w:val="FootnoteReference"/>
        </w:rPr>
        <w:footnoteReference w:id="138"/>
      </w:r>
      <w:r w:rsidR="0098389B" w:rsidRPr="0098389B">
        <w:t xml:space="preserve">. However, </w:t>
      </w:r>
      <w:r w:rsidR="00805491">
        <w:t xml:space="preserve">evidence supplied to substantiate </w:t>
      </w:r>
      <w:r w:rsidR="0098389B" w:rsidRPr="0098389B">
        <w:t>these concerns came from</w:t>
      </w:r>
      <w:r w:rsidR="00AE0FF8">
        <w:t xml:space="preserve"> readings in</w:t>
      </w:r>
      <w:r w:rsidR="0098389B" w:rsidRPr="0098389B">
        <w:t xml:space="preserve"> residential settings and not workplaces.</w:t>
      </w:r>
      <w:r w:rsidR="0031251B">
        <w:t xml:space="preserve"> Furthermore, </w:t>
      </w:r>
      <w:r w:rsidR="00AE0FF8">
        <w:t xml:space="preserve">information supplied from </w:t>
      </w:r>
      <w:r w:rsidR="0031251B">
        <w:t>previous consultations indicate</w:t>
      </w:r>
      <w:r w:rsidR="00661530">
        <w:t>d</w:t>
      </w:r>
      <w:r w:rsidR="0031251B">
        <w:t xml:space="preserve"> that the background levels of formaldehyde can be as low as </w:t>
      </w:r>
      <w:r w:rsidR="003D6F2D">
        <w:t>0.014 ppm</w:t>
      </w:r>
      <w:r w:rsidR="00845AA3">
        <w:t>, well below the proposed TWA of 0.</w:t>
      </w:r>
      <w:r w:rsidR="00067F5A">
        <w:t>3</w:t>
      </w:r>
      <w:r w:rsidR="00845AA3">
        <w:t xml:space="preserve"> ppm.</w:t>
      </w:r>
    </w:p>
    <w:p w14:paraId="19E2D475" w14:textId="6076C024" w:rsidR="009317E4" w:rsidRDefault="00157500" w:rsidP="00F30172">
      <w:pPr>
        <w:contextualSpacing w:val="0"/>
      </w:pPr>
      <w:r w:rsidRPr="006D6899">
        <w:lastRenderedPageBreak/>
        <w:t>Multiple methods</w:t>
      </w:r>
      <w:r w:rsidR="009B5AA4" w:rsidRPr="006D6899">
        <w:rPr>
          <w:rStyle w:val="FootnoteReference"/>
        </w:rPr>
        <w:footnoteReference w:id="139"/>
      </w:r>
      <w:r w:rsidRPr="006D6899">
        <w:t xml:space="preserve"> exist to measure formaldehyde </w:t>
      </w:r>
      <w:r w:rsidR="00B307BF" w:rsidRPr="006D6899">
        <w:t xml:space="preserve">with sufficient sensitivity and certainty to determine compliance at the proposed WEL, </w:t>
      </w:r>
      <w:r w:rsidRPr="006D6899">
        <w:t xml:space="preserve">with </w:t>
      </w:r>
      <w:r w:rsidR="00B84ED5" w:rsidRPr="006D6899">
        <w:t xml:space="preserve">commercially available methods in Australia </w:t>
      </w:r>
      <w:r w:rsidR="00F77FD2" w:rsidRPr="006D6899">
        <w:t xml:space="preserve">(based on Safe Work Australia </w:t>
      </w:r>
      <w:r w:rsidR="009B5AA4" w:rsidRPr="006D6899">
        <w:t>analysis).</w:t>
      </w:r>
      <w:r w:rsidR="00D2690B">
        <w:t xml:space="preserve"> </w:t>
      </w:r>
    </w:p>
    <w:p w14:paraId="1E5416D0" w14:textId="521C79B0" w:rsidR="00EE4835" w:rsidRDefault="00D2690B" w:rsidP="00F30172">
      <w:pPr>
        <w:contextualSpacing w:val="0"/>
      </w:pPr>
      <w:r>
        <w:t xml:space="preserve">Sampling related </w:t>
      </w:r>
      <w:r w:rsidRPr="002749A8">
        <w:t>contributions to uncertainty (e.g. sampling equipment limitations) may remain a limitation on measurability</w:t>
      </w:r>
      <w:r>
        <w:t xml:space="preserve"> in some situations, but these issues are not </w:t>
      </w:r>
      <w:r w:rsidR="008E107F">
        <w:t xml:space="preserve">unique </w:t>
      </w:r>
      <w:r>
        <w:t>to formaldehyde. To support the wider transition to the WEL, Safe Work Australia is preparing technical guidance to provide advice on measurement issues, including sampling.</w:t>
      </w:r>
    </w:p>
    <w:p w14:paraId="112B173F" w14:textId="18F8736A" w:rsidR="004B6728" w:rsidRDefault="004B6728" w:rsidP="00E21AA9">
      <w:pPr>
        <w:pStyle w:val="SWAHeading4"/>
      </w:pPr>
      <w:r>
        <w:t>Cost of personal protective equipment</w:t>
      </w:r>
    </w:p>
    <w:p w14:paraId="40708F45" w14:textId="36786520" w:rsidR="001666BC" w:rsidRDefault="009546E4" w:rsidP="00F30172">
      <w:pPr>
        <w:contextualSpacing w:val="0"/>
      </w:pPr>
      <w:r>
        <w:t>Personal protective equipment (</w:t>
      </w:r>
      <w:r w:rsidR="002514A4" w:rsidRPr="002514A4">
        <w:t>PPE</w:t>
      </w:r>
      <w:r>
        <w:t>)</w:t>
      </w:r>
      <w:r w:rsidR="002514A4" w:rsidRPr="002514A4">
        <w:t xml:space="preserve"> was </w:t>
      </w:r>
      <w:r>
        <w:t xml:space="preserve">identified to be </w:t>
      </w:r>
      <w:r w:rsidR="002514A4" w:rsidRPr="002514A4" w:rsidDel="009546E4">
        <w:t>a</w:t>
      </w:r>
      <w:r w:rsidR="002514A4" w:rsidRPr="002514A4">
        <w:t xml:space="preserve"> common control measure that industry would need to rely on to ensure compliance with the proposed WEL</w:t>
      </w:r>
      <w:r w:rsidR="00FD4617">
        <w:rPr>
          <w:rStyle w:val="FootnoteReference"/>
        </w:rPr>
        <w:footnoteReference w:id="140"/>
      </w:r>
      <w:r w:rsidR="002514A4" w:rsidRPr="002514A4">
        <w:t xml:space="preserve">. </w:t>
      </w:r>
    </w:p>
    <w:p w14:paraId="32FD77E6" w14:textId="34ADC735" w:rsidR="0098389B" w:rsidRDefault="002514A4" w:rsidP="00F30172">
      <w:pPr>
        <w:contextualSpacing w:val="0"/>
      </w:pPr>
      <w:r w:rsidRPr="002514A4">
        <w:t>A submission from the university sector raised</w:t>
      </w:r>
      <w:r w:rsidRPr="002514A4" w:rsidDel="009546E4">
        <w:t xml:space="preserve"> </w:t>
      </w:r>
      <w:r w:rsidRPr="002514A4">
        <w:t>this would introduce additional costs associated with managing RPE and training, create further administrative burden on staff, introduce psychological hazards to their workforce and students, and negatively impact the quality of education of their students (i.e., hinder communication and interaction in classes)</w:t>
      </w:r>
      <w:r w:rsidR="00FD4617">
        <w:rPr>
          <w:rStyle w:val="FootnoteReference"/>
        </w:rPr>
        <w:footnoteReference w:id="141"/>
      </w:r>
      <w:r w:rsidRPr="002514A4">
        <w:t>.</w:t>
      </w:r>
      <w:r w:rsidR="003C24C0">
        <w:t xml:space="preserve"> </w:t>
      </w:r>
    </w:p>
    <w:p w14:paraId="5346CC73" w14:textId="6E58543E" w:rsidR="001666BC" w:rsidRDefault="001666BC" w:rsidP="00F30172">
      <w:pPr>
        <w:contextualSpacing w:val="0"/>
      </w:pPr>
      <w:r>
        <w:t xml:space="preserve">A </w:t>
      </w:r>
      <w:r w:rsidR="00A67B0B">
        <w:t xml:space="preserve">pathology industry body’s </w:t>
      </w:r>
      <w:r w:rsidR="006D266E">
        <w:t xml:space="preserve">submission also raised that PPE would not be practical for </w:t>
      </w:r>
      <w:r w:rsidR="00146BA6">
        <w:t>their industry, as the PPE would hinder the ability of scientists and pathologists</w:t>
      </w:r>
      <w:r w:rsidR="00555A7A">
        <w:t xml:space="preserve"> to communicate verbally and dictate reports when handling specimens</w:t>
      </w:r>
      <w:r w:rsidR="00FD4617">
        <w:rPr>
          <w:rStyle w:val="FootnoteReference"/>
        </w:rPr>
        <w:footnoteReference w:id="142"/>
      </w:r>
      <w:r w:rsidR="00555A7A">
        <w:t xml:space="preserve">. </w:t>
      </w:r>
      <w:r w:rsidR="00146BA6">
        <w:t xml:space="preserve"> </w:t>
      </w:r>
    </w:p>
    <w:p w14:paraId="1AF8FEB0" w14:textId="5C504F58" w:rsidR="00C735A5" w:rsidRDefault="00C735A5" w:rsidP="00E21AA9">
      <w:pPr>
        <w:pStyle w:val="SWAHeading4"/>
      </w:pPr>
      <w:r>
        <w:t>Industry-specific considerations</w:t>
      </w:r>
    </w:p>
    <w:p w14:paraId="07C55DD5" w14:textId="03D8067B" w:rsidR="00A341A2" w:rsidRDefault="00100083" w:rsidP="00CD3600">
      <w:pPr>
        <w:pStyle w:val="SWA-NORMAL"/>
        <w:contextualSpacing w:val="0"/>
      </w:pPr>
      <w:r>
        <w:t>A submission from a pathology industry body</w:t>
      </w:r>
      <w:r w:rsidR="008D4D3E">
        <w:t>,</w:t>
      </w:r>
      <w:r w:rsidR="008A7A1D">
        <w:t xml:space="preserve"> another industry body</w:t>
      </w:r>
      <w:r>
        <w:t xml:space="preserve"> and c</w:t>
      </w:r>
      <w:r w:rsidR="00A341A2" w:rsidRPr="00A341A2">
        <w:t xml:space="preserve">orrespondence summarised in a </w:t>
      </w:r>
      <w:r>
        <w:t xml:space="preserve">government </w:t>
      </w:r>
      <w:r w:rsidR="00A341A2" w:rsidRPr="00A341A2">
        <w:t>submission claim</w:t>
      </w:r>
      <w:r w:rsidR="00F16942">
        <w:t>ed</w:t>
      </w:r>
      <w:r w:rsidR="00A341A2" w:rsidRPr="00A341A2">
        <w:t xml:space="preserve"> the proposed reduction could result in</w:t>
      </w:r>
      <w:r w:rsidR="004D284E">
        <w:t xml:space="preserve"> the</w:t>
      </w:r>
      <w:r w:rsidR="00A341A2" w:rsidRPr="00A341A2">
        <w:t xml:space="preserve"> </w:t>
      </w:r>
      <w:r w:rsidR="002E7757">
        <w:t>partial operation</w:t>
      </w:r>
      <w:r w:rsidR="00680B16">
        <w:t xml:space="preserve"> </w:t>
      </w:r>
      <w:r w:rsidR="002E7757">
        <w:t xml:space="preserve">or </w:t>
      </w:r>
      <w:r w:rsidR="00A341A2" w:rsidRPr="00A341A2">
        <w:t xml:space="preserve">closure of histopathology laboratories, which may </w:t>
      </w:r>
      <w:r w:rsidR="00934B57">
        <w:t>result in</w:t>
      </w:r>
      <w:r w:rsidR="002E7757">
        <w:t xml:space="preserve"> delay</w:t>
      </w:r>
      <w:r w:rsidR="00F80411">
        <w:t>ed</w:t>
      </w:r>
      <w:r w:rsidR="00934B57">
        <w:t xml:space="preserve"> or missed</w:t>
      </w:r>
      <w:r w:rsidR="002E7757">
        <w:t xml:space="preserve"> </w:t>
      </w:r>
      <w:r w:rsidR="00A341A2" w:rsidRPr="00A341A2">
        <w:t>cancer diagnoses</w:t>
      </w:r>
      <w:r w:rsidR="008803D8">
        <w:t xml:space="preserve"> in Australia</w:t>
      </w:r>
      <w:r w:rsidR="00604BFF">
        <w:rPr>
          <w:rStyle w:val="FootnoteReference"/>
        </w:rPr>
        <w:footnoteReference w:id="143"/>
      </w:r>
      <w:r w:rsidR="00A341A2" w:rsidRPr="00A341A2">
        <w:t>. According to these correspondences, closures were experienced in New Zealand when they moved to the same proposed limits</w:t>
      </w:r>
      <w:r w:rsidR="00A613FA">
        <w:rPr>
          <w:rStyle w:val="FootnoteReference"/>
        </w:rPr>
        <w:footnoteReference w:id="144"/>
      </w:r>
      <w:r w:rsidR="00E10090">
        <w:t xml:space="preserve">. Furthermore, </w:t>
      </w:r>
      <w:r w:rsidR="009368B6">
        <w:t xml:space="preserve">specific benches used in the pathology </w:t>
      </w:r>
      <w:r w:rsidR="00F80411">
        <w:t>setting</w:t>
      </w:r>
      <w:r w:rsidR="009368B6">
        <w:t xml:space="preserve"> </w:t>
      </w:r>
      <w:r w:rsidR="00222E17">
        <w:t>are</w:t>
      </w:r>
      <w:r w:rsidR="000668E2">
        <w:t xml:space="preserve"> not certified to </w:t>
      </w:r>
      <w:r w:rsidR="00D926BF">
        <w:t>protect workers at the</w:t>
      </w:r>
      <w:r w:rsidR="000668E2">
        <w:t xml:space="preserve"> proposed WEL</w:t>
      </w:r>
      <w:r w:rsidR="004235FB">
        <w:t xml:space="preserve">, </w:t>
      </w:r>
      <w:r w:rsidR="002F6021">
        <w:t xml:space="preserve">which would </w:t>
      </w:r>
      <w:r w:rsidR="004235FB">
        <w:t>result in significant costs to pathology providers</w:t>
      </w:r>
      <w:r w:rsidR="006F7529">
        <w:t xml:space="preserve"> </w:t>
      </w:r>
      <w:r w:rsidR="004235FB">
        <w:t>to implement</w:t>
      </w:r>
      <w:r w:rsidR="00D926BF">
        <w:t xml:space="preserve"> </w:t>
      </w:r>
      <w:r w:rsidR="004235FB">
        <w:t>administrative</w:t>
      </w:r>
      <w:r w:rsidR="00102F51">
        <w:t xml:space="preserve"> (such as time-based worker limitations)</w:t>
      </w:r>
      <w:r w:rsidR="004235FB">
        <w:t xml:space="preserve"> and </w:t>
      </w:r>
      <w:r w:rsidR="00646AD2">
        <w:t>management practices to</w:t>
      </w:r>
      <w:r w:rsidR="00BB3649">
        <w:t xml:space="preserve"> comply with the proposed WEL</w:t>
      </w:r>
      <w:r w:rsidR="007C7405" w:rsidRPr="007C7405">
        <w:rPr>
          <w:vertAlign w:val="superscript"/>
        </w:rPr>
        <w:footnoteReference w:id="145"/>
      </w:r>
      <w:r w:rsidR="007C7405">
        <w:t xml:space="preserve">. It was noted that the pathology </w:t>
      </w:r>
      <w:r w:rsidR="00705969">
        <w:t>industry</w:t>
      </w:r>
      <w:r w:rsidR="007C7405">
        <w:t xml:space="preserve"> could</w:t>
      </w:r>
      <w:r w:rsidR="006F7529">
        <w:t xml:space="preserve"> pass</w:t>
      </w:r>
      <w:r w:rsidR="007C7405">
        <w:t xml:space="preserve"> these increased costs </w:t>
      </w:r>
      <w:r w:rsidR="00705969">
        <w:t>on</w:t>
      </w:r>
      <w:r w:rsidR="007C7405">
        <w:t>to</w:t>
      </w:r>
      <w:r w:rsidR="00D926BF">
        <w:t xml:space="preserve"> </w:t>
      </w:r>
      <w:r w:rsidR="006A555A">
        <w:t xml:space="preserve">the </w:t>
      </w:r>
      <w:r w:rsidR="00D926BF">
        <w:t>Australian</w:t>
      </w:r>
      <w:r w:rsidR="006F7529">
        <w:t xml:space="preserve"> government</w:t>
      </w:r>
      <w:r w:rsidR="00934B57">
        <w:t xml:space="preserve"> and </w:t>
      </w:r>
      <w:r w:rsidR="00D926BF">
        <w:t xml:space="preserve">consumers </w:t>
      </w:r>
      <w:r w:rsidR="000049DD">
        <w:t xml:space="preserve">when accessing bulk-billed </w:t>
      </w:r>
      <w:r w:rsidR="00705969">
        <w:t>or</w:t>
      </w:r>
      <w:r w:rsidR="000049DD">
        <w:t xml:space="preserve"> private </w:t>
      </w:r>
      <w:r w:rsidR="00D926BF">
        <w:t>pathology services</w:t>
      </w:r>
      <w:r w:rsidR="00E10090">
        <w:rPr>
          <w:rStyle w:val="FootnoteReference"/>
        </w:rPr>
        <w:footnoteReference w:id="146"/>
      </w:r>
      <w:r w:rsidR="00A341A2" w:rsidRPr="00A341A2">
        <w:t>. There was also concern raised that the change would result in significant costs</w:t>
      </w:r>
      <w:r w:rsidR="00B73E91">
        <w:t xml:space="preserve"> and </w:t>
      </w:r>
      <w:r w:rsidR="00221271">
        <w:t xml:space="preserve">worker shortages </w:t>
      </w:r>
      <w:r w:rsidR="00A341A2" w:rsidRPr="00A341A2">
        <w:t>to the pathology industry</w:t>
      </w:r>
      <w:r w:rsidR="00DD02CD">
        <w:rPr>
          <w:rStyle w:val="FootnoteReference"/>
        </w:rPr>
        <w:footnoteReference w:id="147"/>
      </w:r>
      <w:r w:rsidR="00A9119B">
        <w:t>.</w:t>
      </w:r>
      <w:r w:rsidR="002E7F11">
        <w:t xml:space="preserve"> </w:t>
      </w:r>
      <w:r w:rsidR="00A341A2" w:rsidRPr="00A341A2">
        <w:t>However, multiple submissions from</w:t>
      </w:r>
      <w:r w:rsidR="004D284E">
        <w:t xml:space="preserve"> a range of</w:t>
      </w:r>
      <w:r w:rsidR="00A341A2" w:rsidRPr="00A341A2">
        <w:t xml:space="preserve"> pathology stakeholders (i.e., from unions, industry bodies representing the pathology industry, and </w:t>
      </w:r>
      <w:r w:rsidR="00F26CE2">
        <w:t>PCBUs</w:t>
      </w:r>
      <w:r w:rsidR="00962C91">
        <w:t>)</w:t>
      </w:r>
      <w:r w:rsidR="00A341A2" w:rsidRPr="00A341A2">
        <w:t xml:space="preserve"> still strongly support the proposed reduction and </w:t>
      </w:r>
      <w:r w:rsidR="009C755D">
        <w:t>noted</w:t>
      </w:r>
      <w:r w:rsidR="00A341A2" w:rsidRPr="00A341A2">
        <w:t xml:space="preserve"> that the impacts and costs will differ between different pathology laboratories. </w:t>
      </w:r>
    </w:p>
    <w:p w14:paraId="6FF339AC" w14:textId="37A81798" w:rsidR="00E0749E" w:rsidRPr="00A341A2" w:rsidRDefault="00E0749E" w:rsidP="001C064A">
      <w:pPr>
        <w:pStyle w:val="SWA-NORMAL"/>
        <w:contextualSpacing w:val="0"/>
      </w:pPr>
      <w:r>
        <w:lastRenderedPageBreak/>
        <w:t xml:space="preserve">The wood products sector </w:t>
      </w:r>
      <w:r w:rsidR="001C064A">
        <w:t>was</w:t>
      </w:r>
      <w:r>
        <w:t xml:space="preserve"> concerned that the proposed WEL </w:t>
      </w:r>
      <w:r w:rsidR="00F63E37">
        <w:t>would result</w:t>
      </w:r>
      <w:r w:rsidR="00DB1098">
        <w:t xml:space="preserve"> in</w:t>
      </w:r>
      <w:r w:rsidR="00F63E37">
        <w:t xml:space="preserve"> </w:t>
      </w:r>
      <w:r w:rsidR="00501259">
        <w:t>potential job losses</w:t>
      </w:r>
      <w:r w:rsidR="00142A70">
        <w:t>,</w:t>
      </w:r>
      <w:r w:rsidR="00501259">
        <w:t xml:space="preserve"> </w:t>
      </w:r>
      <w:r w:rsidR="00B64665">
        <w:t xml:space="preserve">closure of businesses </w:t>
      </w:r>
      <w:r w:rsidR="00A3605C">
        <w:t>(particularly</w:t>
      </w:r>
      <w:r w:rsidR="00B64665">
        <w:t xml:space="preserve"> in regional areas</w:t>
      </w:r>
      <w:r w:rsidR="00A3605C">
        <w:t>)</w:t>
      </w:r>
      <w:r w:rsidR="00142A70">
        <w:t xml:space="preserve"> and economic loss</w:t>
      </w:r>
      <w:r w:rsidR="00A3605C">
        <w:rPr>
          <w:rStyle w:val="FootnoteReference"/>
        </w:rPr>
        <w:footnoteReference w:id="148"/>
      </w:r>
      <w:r w:rsidR="00A6507E">
        <w:t>, based on modelling commissioned to demonstrate the impacts of the proposed WEL</w:t>
      </w:r>
      <w:r w:rsidR="00F769F4">
        <w:t>, as well as alternative WELs</w:t>
      </w:r>
      <w:r w:rsidR="00B64665">
        <w:t xml:space="preserve">. </w:t>
      </w:r>
      <w:r w:rsidR="00E0093C">
        <w:t>Th</w:t>
      </w:r>
      <w:r w:rsidR="00DD0104">
        <w:t>ese impacts would also result in flow-on effects, including decreased</w:t>
      </w:r>
      <w:r w:rsidR="00E0093C">
        <w:t xml:space="preserve"> international competitiveness</w:t>
      </w:r>
      <w:r w:rsidR="009F4404">
        <w:t xml:space="preserve"> and </w:t>
      </w:r>
      <w:r w:rsidR="00C2089C">
        <w:t xml:space="preserve">impacts on downstream </w:t>
      </w:r>
      <w:r w:rsidR="00F41C22">
        <w:t>sectors like furniture, cabinetry and joinery sectors</w:t>
      </w:r>
      <w:r w:rsidR="00E975E8">
        <w:rPr>
          <w:rStyle w:val="FootnoteReference"/>
        </w:rPr>
        <w:footnoteReference w:id="149"/>
      </w:r>
      <w:r w:rsidR="0091535C">
        <w:t xml:space="preserve">. </w:t>
      </w:r>
    </w:p>
    <w:p w14:paraId="080BA324" w14:textId="31D0CBAE" w:rsidR="00FE21E7" w:rsidRPr="006C4872" w:rsidRDefault="00661D89" w:rsidP="00A341A2">
      <w:pPr>
        <w:pStyle w:val="SWA-NORMAL"/>
        <w:contextualSpacing w:val="0"/>
      </w:pPr>
      <w:r>
        <w:t>The</w:t>
      </w:r>
      <w:r w:rsidR="00A341A2" w:rsidRPr="00A341A2">
        <w:t xml:space="preserve"> university and research sector claimed there may be a need to cease or change how they operate, such as limiting time spent in and student access to teaching facilities, until appropriate controls are implemented to ensure the proposed WEL is complied with.</w:t>
      </w:r>
      <w:r w:rsidR="00B65C35">
        <w:t xml:space="preserve"> </w:t>
      </w:r>
      <w:r w:rsidR="00404F07">
        <w:t xml:space="preserve">Other constraints </w:t>
      </w:r>
      <w:r w:rsidR="001D5CE4">
        <w:t>for the university and research sector raised</w:t>
      </w:r>
      <w:r w:rsidR="005944AD">
        <w:t xml:space="preserve"> in submissions</w:t>
      </w:r>
      <w:r w:rsidR="001D5CE4">
        <w:t xml:space="preserve"> include restrictions on </w:t>
      </w:r>
      <w:r w:rsidR="005944AD">
        <w:t>conducting upgrades</w:t>
      </w:r>
      <w:r w:rsidR="00F7465F">
        <w:t xml:space="preserve"> to ventilation controls in</w:t>
      </w:r>
      <w:r w:rsidR="005944AD">
        <w:t xml:space="preserve"> </w:t>
      </w:r>
      <w:r w:rsidR="001D5CE4">
        <w:t>heritage</w:t>
      </w:r>
      <w:r w:rsidR="00E20C80">
        <w:t>-listed</w:t>
      </w:r>
      <w:r w:rsidR="001D5CE4">
        <w:t xml:space="preserve"> buildings</w:t>
      </w:r>
      <w:r w:rsidR="00F7465F">
        <w:t xml:space="preserve"> that some</w:t>
      </w:r>
      <w:r w:rsidR="001D5CE4">
        <w:t xml:space="preserve"> laboratories </w:t>
      </w:r>
      <w:r w:rsidR="00E20C80">
        <w:t xml:space="preserve">and teaching spaces </w:t>
      </w:r>
      <w:r w:rsidR="001D5CE4">
        <w:t>occupy</w:t>
      </w:r>
      <w:r w:rsidR="001816DC">
        <w:t>,</w:t>
      </w:r>
      <w:r w:rsidR="00E20C80">
        <w:t xml:space="preserve"> and</w:t>
      </w:r>
      <w:r w:rsidR="00160CCA">
        <w:t xml:space="preserve"> a range of</w:t>
      </w:r>
      <w:r w:rsidR="00E20C80">
        <w:t xml:space="preserve"> </w:t>
      </w:r>
      <w:r w:rsidR="008E076F">
        <w:t>operational challenges</w:t>
      </w:r>
      <w:r w:rsidR="006F489D">
        <w:t xml:space="preserve"> like how </w:t>
      </w:r>
      <w:r w:rsidR="005944AD">
        <w:t>anatomy licensing restrict</w:t>
      </w:r>
      <w:r w:rsidR="006F489D">
        <w:t>s</w:t>
      </w:r>
      <w:r w:rsidR="00F7465F">
        <w:t xml:space="preserve"> </w:t>
      </w:r>
      <w:r w:rsidR="006F489D">
        <w:t>the use of</w:t>
      </w:r>
      <w:r w:rsidR="00F7465F">
        <w:t xml:space="preserve"> alternative rooms</w:t>
      </w:r>
      <w:r w:rsidR="00AF0238">
        <w:rPr>
          <w:rStyle w:val="FootnoteReference"/>
        </w:rPr>
        <w:footnoteReference w:id="150"/>
      </w:r>
      <w:r w:rsidR="005944AD">
        <w:t xml:space="preserve">. </w:t>
      </w:r>
    </w:p>
    <w:p w14:paraId="3D98A93C" w14:textId="6E72D7D6" w:rsidR="004C5CA5" w:rsidRDefault="004C5CA5" w:rsidP="00A341A2">
      <w:pPr>
        <w:pStyle w:val="SWA-NORMAL"/>
      </w:pPr>
      <w:r>
        <w:rPr>
          <w:rFonts w:eastAsiaTheme="majorEastAsia" w:cs="Arial"/>
        </w:rPr>
        <w:t>Noting that</w:t>
      </w:r>
      <w:r w:rsidR="00FC2F72">
        <w:rPr>
          <w:rFonts w:eastAsiaTheme="majorEastAsia" w:cs="Arial"/>
        </w:rPr>
        <w:t xml:space="preserve"> some of the</w:t>
      </w:r>
      <w:r w:rsidR="009838F5">
        <w:rPr>
          <w:rFonts w:eastAsiaTheme="majorEastAsia" w:cs="Arial"/>
        </w:rPr>
        <w:t xml:space="preserve"> concerns raised wit</w:t>
      </w:r>
      <w:r w:rsidR="004C4259">
        <w:rPr>
          <w:rFonts w:eastAsiaTheme="majorEastAsia" w:cs="Arial"/>
        </w:rPr>
        <w:t>h implementation are business or industry specific, there</w:t>
      </w:r>
      <w:r w:rsidRPr="00D25AFE">
        <w:rPr>
          <w:rFonts w:eastAsiaTheme="majorEastAsia" w:cs="Arial"/>
        </w:rPr>
        <w:t xml:space="preserve"> are provisions under </w:t>
      </w:r>
      <w:r>
        <w:rPr>
          <w:rFonts w:eastAsiaTheme="majorEastAsia" w:cs="Arial"/>
        </w:rPr>
        <w:t xml:space="preserve">Commonwealth, </w:t>
      </w:r>
      <w:r w:rsidRPr="00D25AFE">
        <w:rPr>
          <w:rFonts w:eastAsiaTheme="majorEastAsia" w:cs="Arial"/>
        </w:rPr>
        <w:t>state and territory laws which allow for exemption periods</w:t>
      </w:r>
      <w:r w:rsidR="004C4259">
        <w:rPr>
          <w:rFonts w:eastAsiaTheme="majorEastAsia" w:cs="Arial"/>
        </w:rPr>
        <w:t xml:space="preserve"> which could be considered</w:t>
      </w:r>
      <w:r w:rsidRPr="00D25AFE">
        <w:rPr>
          <w:rFonts w:eastAsiaTheme="majorEastAsia" w:cs="Arial"/>
        </w:rPr>
        <w:t xml:space="preserve"> </w:t>
      </w:r>
      <w:r w:rsidR="004C4259">
        <w:rPr>
          <w:rFonts w:eastAsiaTheme="majorEastAsia" w:cs="Arial"/>
        </w:rPr>
        <w:t>on a case-by-case basis</w:t>
      </w:r>
      <w:r w:rsidRPr="00D25AFE">
        <w:rPr>
          <w:rFonts w:eastAsiaTheme="majorEastAsia" w:cs="Arial"/>
        </w:rPr>
        <w:t>.</w:t>
      </w:r>
    </w:p>
    <w:p w14:paraId="77BBE61B" w14:textId="77777777" w:rsidR="009D20B1" w:rsidRPr="009D20B1" w:rsidRDefault="009D20B1" w:rsidP="00E21AA9">
      <w:pPr>
        <w:pStyle w:val="SWAHeading3"/>
      </w:pPr>
      <w:r w:rsidRPr="009D20B1">
        <w:t>Transitional arrangements suggested by stakeholders</w:t>
      </w:r>
    </w:p>
    <w:p w14:paraId="25A5C111" w14:textId="32229F03" w:rsidR="00544E35" w:rsidRDefault="00DB1BD3" w:rsidP="001E0F11">
      <w:pPr>
        <w:pStyle w:val="SWA-NORMAL"/>
        <w:contextualSpacing w:val="0"/>
        <w:rPr>
          <w:rFonts w:eastAsiaTheme="majorEastAsia" w:cs="Arial"/>
        </w:rPr>
      </w:pPr>
      <w:bookmarkStart w:id="307" w:name="_Hlk194670219"/>
      <w:r>
        <w:rPr>
          <w:rFonts w:eastAsiaTheme="majorEastAsia" w:cs="Arial"/>
        </w:rPr>
        <w:t>Some s</w:t>
      </w:r>
      <w:r w:rsidR="00F26CE2">
        <w:rPr>
          <w:rFonts w:eastAsiaTheme="majorEastAsia" w:cs="Arial"/>
        </w:rPr>
        <w:t xml:space="preserve">takeholders suggested a transition period would assist industry to comply with the proposed </w:t>
      </w:r>
      <w:r w:rsidR="0038091B">
        <w:rPr>
          <w:rFonts w:eastAsiaTheme="majorEastAsia" w:cs="Arial"/>
        </w:rPr>
        <w:t>WELs</w:t>
      </w:r>
      <w:r w:rsidR="00F26CE2">
        <w:rPr>
          <w:rFonts w:eastAsiaTheme="majorEastAsia" w:cs="Arial"/>
        </w:rPr>
        <w:t xml:space="preserve"> </w:t>
      </w:r>
      <w:r w:rsidR="0038091B">
        <w:rPr>
          <w:rFonts w:eastAsiaTheme="majorEastAsia" w:cs="Arial"/>
        </w:rPr>
        <w:t>for formaldehyde if they were to be implemented.</w:t>
      </w:r>
      <w:r w:rsidR="00F26CE2">
        <w:rPr>
          <w:rFonts w:eastAsiaTheme="majorEastAsia" w:cs="Arial"/>
        </w:rPr>
        <w:t xml:space="preserve"> </w:t>
      </w:r>
      <w:bookmarkEnd w:id="307"/>
      <w:r w:rsidR="00544E35">
        <w:rPr>
          <w:rFonts w:eastAsiaTheme="majorEastAsia" w:cs="Arial"/>
        </w:rPr>
        <w:t xml:space="preserve">Three years was the </w:t>
      </w:r>
      <w:r w:rsidR="00011B16">
        <w:rPr>
          <w:rFonts w:eastAsiaTheme="majorEastAsia" w:cs="Arial"/>
        </w:rPr>
        <w:t>most proposed</w:t>
      </w:r>
      <w:r w:rsidR="00167FC0">
        <w:rPr>
          <w:rFonts w:eastAsiaTheme="majorEastAsia" w:cs="Arial"/>
        </w:rPr>
        <w:t xml:space="preserve"> </w:t>
      </w:r>
      <w:r w:rsidR="00544E35">
        <w:rPr>
          <w:rFonts w:eastAsiaTheme="majorEastAsia" w:cs="Arial"/>
        </w:rPr>
        <w:t>length</w:t>
      </w:r>
      <w:r w:rsidR="00544E35" w:rsidDel="00975ECE">
        <w:rPr>
          <w:rFonts w:eastAsiaTheme="majorEastAsia" w:cs="Arial"/>
        </w:rPr>
        <w:t xml:space="preserve"> </w:t>
      </w:r>
      <w:r w:rsidR="004A3573">
        <w:rPr>
          <w:rFonts w:eastAsiaTheme="majorEastAsia" w:cs="Arial"/>
        </w:rPr>
        <w:t>for a</w:t>
      </w:r>
      <w:r w:rsidR="00544E35">
        <w:rPr>
          <w:rFonts w:eastAsiaTheme="majorEastAsia" w:cs="Arial"/>
        </w:rPr>
        <w:t xml:space="preserve"> transition period, with </w:t>
      </w:r>
      <w:r w:rsidR="00D44CFB">
        <w:rPr>
          <w:rFonts w:eastAsiaTheme="majorEastAsia" w:cs="Arial"/>
        </w:rPr>
        <w:t xml:space="preserve">12 </w:t>
      </w:r>
      <w:r w:rsidR="00544E35">
        <w:rPr>
          <w:rFonts w:eastAsiaTheme="majorEastAsia" w:cs="Arial"/>
        </w:rPr>
        <w:t>stakeholders making this suggestion</w:t>
      </w:r>
      <w:r w:rsidR="003476B0">
        <w:rPr>
          <w:rStyle w:val="FootnoteReference"/>
          <w:rFonts w:eastAsiaTheme="majorEastAsia" w:cs="Arial"/>
        </w:rPr>
        <w:footnoteReference w:id="151"/>
      </w:r>
      <w:r w:rsidR="00544E35">
        <w:rPr>
          <w:rFonts w:eastAsiaTheme="majorEastAsia" w:cs="Arial"/>
        </w:rPr>
        <w:t xml:space="preserve">. </w:t>
      </w:r>
      <w:r w:rsidR="003077A7">
        <w:rPr>
          <w:rFonts w:eastAsiaTheme="majorEastAsia" w:cs="Arial"/>
        </w:rPr>
        <w:t>Other s</w:t>
      </w:r>
      <w:r w:rsidR="00C07A2F">
        <w:rPr>
          <w:rFonts w:eastAsiaTheme="majorEastAsia" w:cs="Arial"/>
        </w:rPr>
        <w:t xml:space="preserve">uggestions for potential length of this </w:t>
      </w:r>
      <w:r w:rsidR="00544E35">
        <w:rPr>
          <w:rFonts w:eastAsiaTheme="majorEastAsia" w:cs="Arial"/>
        </w:rPr>
        <w:t>transition period includes:</w:t>
      </w:r>
    </w:p>
    <w:p w14:paraId="61265699" w14:textId="34CBB4B5" w:rsidR="00544E35" w:rsidRPr="009D20B1" w:rsidRDefault="00544E35" w:rsidP="00A2768E">
      <w:pPr>
        <w:pStyle w:val="SWA-NORMAL"/>
        <w:numPr>
          <w:ilvl w:val="0"/>
          <w:numId w:val="61"/>
        </w:numPr>
        <w:ind w:left="714" w:hanging="357"/>
        <w:contextualSpacing w:val="0"/>
      </w:pPr>
      <w:r w:rsidRPr="009D20B1">
        <w:t>6 months</w:t>
      </w:r>
      <w:r w:rsidR="002B33C4">
        <w:rPr>
          <w:rStyle w:val="FootnoteReference"/>
        </w:rPr>
        <w:footnoteReference w:id="152"/>
      </w:r>
      <w:r w:rsidRPr="009D20B1">
        <w:t xml:space="preserve"> </w:t>
      </w:r>
    </w:p>
    <w:p w14:paraId="16D515C2" w14:textId="6574987B" w:rsidR="00544E35" w:rsidRPr="009D20B1" w:rsidRDefault="00544E35" w:rsidP="00A2768E">
      <w:pPr>
        <w:pStyle w:val="SWA-NORMAL"/>
        <w:numPr>
          <w:ilvl w:val="0"/>
          <w:numId w:val="61"/>
        </w:numPr>
        <w:ind w:left="714" w:hanging="357"/>
        <w:contextualSpacing w:val="0"/>
      </w:pPr>
      <w:r w:rsidRPr="009D20B1">
        <w:t>1 year (2 submissions)</w:t>
      </w:r>
      <w:r w:rsidR="001A1D5E">
        <w:rPr>
          <w:rStyle w:val="FootnoteReference"/>
        </w:rPr>
        <w:footnoteReference w:id="153"/>
      </w:r>
    </w:p>
    <w:p w14:paraId="07B075B8" w14:textId="133525F3" w:rsidR="00544E35" w:rsidRPr="009D20B1" w:rsidRDefault="00544E35" w:rsidP="00A2768E">
      <w:pPr>
        <w:pStyle w:val="SWA-NORMAL"/>
        <w:numPr>
          <w:ilvl w:val="0"/>
          <w:numId w:val="61"/>
        </w:numPr>
        <w:ind w:left="714" w:hanging="357"/>
        <w:contextualSpacing w:val="0"/>
      </w:pPr>
      <w:r w:rsidRPr="009D20B1">
        <w:t>1 – 2 years</w:t>
      </w:r>
      <w:r w:rsidR="00E90ED5">
        <w:rPr>
          <w:rStyle w:val="FootnoteReference"/>
        </w:rPr>
        <w:footnoteReference w:id="154"/>
      </w:r>
    </w:p>
    <w:p w14:paraId="0B9302EB" w14:textId="67713220" w:rsidR="00544E35" w:rsidRPr="009D20B1" w:rsidRDefault="00544E35" w:rsidP="00A2768E">
      <w:pPr>
        <w:pStyle w:val="SWA-NORMAL"/>
        <w:numPr>
          <w:ilvl w:val="0"/>
          <w:numId w:val="61"/>
        </w:numPr>
        <w:ind w:left="714" w:hanging="357"/>
        <w:contextualSpacing w:val="0"/>
      </w:pPr>
      <w:r w:rsidRPr="009D20B1">
        <w:t>2 – 3 years</w:t>
      </w:r>
      <w:r w:rsidR="000859EB">
        <w:rPr>
          <w:rStyle w:val="FootnoteReference"/>
        </w:rPr>
        <w:footnoteReference w:id="155"/>
      </w:r>
      <w:r w:rsidRPr="009D20B1">
        <w:t xml:space="preserve"> </w:t>
      </w:r>
    </w:p>
    <w:p w14:paraId="4B4658ED" w14:textId="141D3CA7" w:rsidR="00544E35" w:rsidRPr="005458C5" w:rsidRDefault="00544E35" w:rsidP="00A2768E">
      <w:pPr>
        <w:pStyle w:val="SWA-NORMAL"/>
        <w:numPr>
          <w:ilvl w:val="0"/>
          <w:numId w:val="61"/>
        </w:numPr>
        <w:ind w:left="714" w:hanging="357"/>
        <w:contextualSpacing w:val="0"/>
        <w:rPr>
          <w:rFonts w:eastAsiaTheme="majorEastAsia" w:cs="Arial"/>
        </w:rPr>
      </w:pPr>
      <w:r w:rsidRPr="009D20B1">
        <w:lastRenderedPageBreak/>
        <w:t>5 years (</w:t>
      </w:r>
      <w:r w:rsidR="00B80B43">
        <w:t>3</w:t>
      </w:r>
      <w:r w:rsidR="00B80B43" w:rsidRPr="009D20B1">
        <w:t xml:space="preserve"> </w:t>
      </w:r>
      <w:r w:rsidRPr="009D20B1">
        <w:t>submissions</w:t>
      </w:r>
      <w:r w:rsidR="00233997">
        <w:t>)</w:t>
      </w:r>
      <w:r w:rsidR="009645C4">
        <w:rPr>
          <w:rStyle w:val="FootnoteReference"/>
        </w:rPr>
        <w:footnoteReference w:id="156"/>
      </w:r>
    </w:p>
    <w:p w14:paraId="0DCFF9FE" w14:textId="30045DAE" w:rsidR="00E6527C" w:rsidRPr="00233997" w:rsidRDefault="006E31D8" w:rsidP="00A2768E">
      <w:pPr>
        <w:pStyle w:val="SWA-NORMAL"/>
        <w:numPr>
          <w:ilvl w:val="0"/>
          <w:numId w:val="61"/>
        </w:numPr>
        <w:ind w:left="714" w:hanging="357"/>
        <w:contextualSpacing w:val="0"/>
        <w:rPr>
          <w:rFonts w:eastAsiaTheme="majorEastAsia" w:cs="Arial"/>
        </w:rPr>
      </w:pPr>
      <w:r>
        <w:t>s</w:t>
      </w:r>
      <w:r w:rsidR="00E6527C">
        <w:t>everal years</w:t>
      </w:r>
      <w:r w:rsidR="00E6527C">
        <w:rPr>
          <w:rStyle w:val="FootnoteReference"/>
        </w:rPr>
        <w:footnoteReference w:id="157"/>
      </w:r>
    </w:p>
    <w:p w14:paraId="13C81D32" w14:textId="346C9915" w:rsidR="00F40DF0" w:rsidRDefault="001532DA" w:rsidP="00601AE9">
      <w:pPr>
        <w:pStyle w:val="SWA-NORMAL"/>
        <w:contextualSpacing w:val="0"/>
        <w:rPr>
          <w:rFonts w:eastAsiaTheme="majorEastAsia" w:cs="Arial"/>
        </w:rPr>
      </w:pPr>
      <w:r>
        <w:rPr>
          <w:rFonts w:eastAsiaTheme="majorEastAsia" w:cs="Arial"/>
        </w:rPr>
        <w:t>Four</w:t>
      </w:r>
      <w:r w:rsidR="007821FC">
        <w:rPr>
          <w:rFonts w:eastAsiaTheme="majorEastAsia" w:cs="Arial"/>
        </w:rPr>
        <w:t xml:space="preserve"> submissions suggested there should be no transition period</w:t>
      </w:r>
      <w:r w:rsidR="00D61C47">
        <w:rPr>
          <w:rFonts w:eastAsiaTheme="majorEastAsia" w:cs="Arial"/>
        </w:rPr>
        <w:t xml:space="preserve"> and that the proposed WEL</w:t>
      </w:r>
      <w:r w:rsidR="00B170D6">
        <w:rPr>
          <w:rFonts w:eastAsiaTheme="majorEastAsia" w:cs="Arial"/>
        </w:rPr>
        <w:t xml:space="preserve"> for formaldehyde</w:t>
      </w:r>
      <w:r w:rsidR="00D61C47">
        <w:rPr>
          <w:rFonts w:eastAsiaTheme="majorEastAsia" w:cs="Arial"/>
        </w:rPr>
        <w:t xml:space="preserve"> should</w:t>
      </w:r>
      <w:r w:rsidR="00233997">
        <w:rPr>
          <w:rFonts w:eastAsiaTheme="majorEastAsia" w:cs="Arial"/>
        </w:rPr>
        <w:t xml:space="preserve"> be implemented as soon as possible</w:t>
      </w:r>
      <w:r w:rsidR="00717469">
        <w:rPr>
          <w:rStyle w:val="FootnoteReference"/>
          <w:rFonts w:eastAsiaTheme="majorEastAsia" w:cs="Arial"/>
        </w:rPr>
        <w:footnoteReference w:id="158"/>
      </w:r>
      <w:r w:rsidR="00774512">
        <w:rPr>
          <w:rFonts w:eastAsiaTheme="majorEastAsia" w:cs="Arial"/>
        </w:rPr>
        <w:t xml:space="preserve">. Another submission </w:t>
      </w:r>
      <w:r w:rsidR="00D01B50">
        <w:rPr>
          <w:rFonts w:eastAsiaTheme="majorEastAsia" w:cs="Arial"/>
        </w:rPr>
        <w:t xml:space="preserve">suggested </w:t>
      </w:r>
      <w:r w:rsidR="00FF21B9" w:rsidRPr="00F40DF0">
        <w:rPr>
          <w:rFonts w:eastAsiaTheme="majorEastAsia" w:cs="Arial"/>
        </w:rPr>
        <w:t>a transition period up until 1 December 2026</w:t>
      </w:r>
      <w:r w:rsidR="00FF21B9" w:rsidRPr="00F40DF0">
        <w:rPr>
          <w:rFonts w:eastAsiaTheme="majorEastAsia" w:cs="Arial"/>
          <w:vertAlign w:val="superscript"/>
        </w:rPr>
        <w:footnoteReference w:id="159"/>
      </w:r>
      <w:r w:rsidR="00FF21B9" w:rsidRPr="00F40DF0">
        <w:rPr>
          <w:rFonts w:eastAsiaTheme="majorEastAsia" w:cs="Arial"/>
        </w:rPr>
        <w:t xml:space="preserve"> to coincide with the transition to the WEL list</w:t>
      </w:r>
      <w:r w:rsidR="00FF21B9">
        <w:rPr>
          <w:rFonts w:eastAsiaTheme="majorEastAsia" w:cs="Arial"/>
        </w:rPr>
        <w:t xml:space="preserve">. </w:t>
      </w:r>
    </w:p>
    <w:p w14:paraId="0F00EDB8" w14:textId="75CAF753" w:rsidR="00FA3E06" w:rsidRDefault="00FA3E06" w:rsidP="00601AE9">
      <w:pPr>
        <w:pStyle w:val="SWA-NORMAL"/>
        <w:rPr>
          <w:rFonts w:eastAsiaTheme="majorEastAsia" w:cs="Arial"/>
        </w:rPr>
      </w:pPr>
      <w:r w:rsidRPr="00FA3E06">
        <w:rPr>
          <w:rFonts w:eastAsiaTheme="majorEastAsia" w:cs="Arial"/>
        </w:rPr>
        <w:t xml:space="preserve">As mentioned in Section 7.3 of this Decision RIS, and in line with stakeholder suggestions, it is proposed that the new WEL for </w:t>
      </w:r>
      <w:r w:rsidR="002B4F27">
        <w:rPr>
          <w:rFonts w:eastAsiaTheme="majorEastAsia" w:cs="Arial"/>
        </w:rPr>
        <w:t>formaldehyde</w:t>
      </w:r>
      <w:r w:rsidRPr="00FA3E06">
        <w:rPr>
          <w:rFonts w:eastAsiaTheme="majorEastAsia" w:cs="Arial"/>
        </w:rPr>
        <w:t xml:space="preserve"> should come into effect on 1 December 2026. This would align with the commencement of the new WEL list and ensure the transition to the health-based exposure limits for all chemicals occurs at the same time.</w:t>
      </w:r>
    </w:p>
    <w:p w14:paraId="1A7EBF89" w14:textId="452E1A25" w:rsidR="00BC44C8" w:rsidRDefault="000368A3" w:rsidP="008A6315">
      <w:pPr>
        <w:pStyle w:val="SWAHeading2"/>
        <w:keepNext/>
        <w:keepLines/>
        <w:ind w:left="709"/>
      </w:pPr>
      <w:bookmarkStart w:id="310" w:name="_Toc196204716"/>
      <w:bookmarkStart w:id="311" w:name="_Ref198300796"/>
      <w:bookmarkStart w:id="312" w:name="_Toc219216901"/>
      <w:r>
        <w:t>Likely net benefit and r</w:t>
      </w:r>
      <w:r w:rsidR="002B5481">
        <w:t>ecommended</w:t>
      </w:r>
      <w:r w:rsidR="003C2986">
        <w:t xml:space="preserve"> option for formaldehyde</w:t>
      </w:r>
      <w:bookmarkEnd w:id="310"/>
      <w:bookmarkEnd w:id="311"/>
      <w:bookmarkEnd w:id="312"/>
    </w:p>
    <w:p w14:paraId="1406ED89" w14:textId="77777777" w:rsidR="000368A3" w:rsidRPr="000368A3" w:rsidRDefault="000368A3" w:rsidP="000E09E8">
      <w:pPr>
        <w:pStyle w:val="SWAHeading3"/>
      </w:pPr>
      <w:r w:rsidRPr="000368A3">
        <w:t>Net benefit</w:t>
      </w:r>
    </w:p>
    <w:p w14:paraId="68D36301" w14:textId="64E3247B" w:rsidR="000368A3" w:rsidRPr="000368A3" w:rsidRDefault="004E1364" w:rsidP="000368A3">
      <w:pPr>
        <w:pStyle w:val="Paragraph"/>
      </w:pPr>
      <w:r>
        <w:fldChar w:fldCharType="begin"/>
      </w:r>
      <w:r>
        <w:instrText xml:space="preserve"> REF _Ref216710096 \h </w:instrText>
      </w:r>
      <w:r>
        <w:fldChar w:fldCharType="separate"/>
      </w:r>
      <w:r w:rsidR="00A002F4">
        <w:t xml:space="preserve">Table </w:t>
      </w:r>
      <w:r w:rsidR="00A002F4">
        <w:rPr>
          <w:noProof/>
        </w:rPr>
        <w:t>23</w:t>
      </w:r>
      <w:r>
        <w:fldChar w:fldCharType="end"/>
      </w:r>
      <w:r w:rsidR="000368A3" w:rsidRPr="000368A3">
        <w:t xml:space="preserve"> presents the quantified </w:t>
      </w:r>
      <w:r w:rsidR="00BA4ADD">
        <w:t>gross</w:t>
      </w:r>
      <w:r w:rsidR="000368A3" w:rsidRPr="000368A3">
        <w:t xml:space="preserve"> benefits for the proposed WEL for </w:t>
      </w:r>
      <w:r>
        <w:t>formaldehyde</w:t>
      </w:r>
      <w:r w:rsidR="000368A3" w:rsidRPr="000368A3">
        <w:t xml:space="preserve">. </w:t>
      </w:r>
      <w:r w:rsidR="00F21CBD">
        <w:t>Both</w:t>
      </w:r>
      <w:r w:rsidR="000368A3" w:rsidRPr="000368A3">
        <w:t xml:space="preserve"> the </w:t>
      </w:r>
      <w:r w:rsidR="00F21CBD">
        <w:t>quantifiable</w:t>
      </w:r>
      <w:r w:rsidR="000368A3" w:rsidRPr="000368A3">
        <w:t xml:space="preserve"> health benefits</w:t>
      </w:r>
      <w:r w:rsidR="00F21CBD">
        <w:t xml:space="preserve"> estimated (</w:t>
      </w:r>
      <w:r w:rsidR="00F21CBD">
        <w:fldChar w:fldCharType="begin"/>
      </w:r>
      <w:r w:rsidR="00F21CBD">
        <w:instrText xml:space="preserve"> REF _Ref199860876 \h </w:instrText>
      </w:r>
      <w:r w:rsidR="00F21CBD">
        <w:fldChar w:fldCharType="separate"/>
      </w:r>
      <w:r w:rsidR="00A002F4">
        <w:t xml:space="preserve">Table </w:t>
      </w:r>
      <w:r w:rsidR="00A002F4">
        <w:rPr>
          <w:noProof/>
        </w:rPr>
        <w:t>20</w:t>
      </w:r>
      <w:r w:rsidR="00F21CBD">
        <w:fldChar w:fldCharType="end"/>
      </w:r>
      <w:r w:rsidR="00F21CBD">
        <w:t>)</w:t>
      </w:r>
      <w:r w:rsidR="000368A3" w:rsidRPr="000368A3">
        <w:t xml:space="preserve"> </w:t>
      </w:r>
      <w:r w:rsidR="00880032">
        <w:t>were considered alongside</w:t>
      </w:r>
      <w:r w:rsidR="000368A3" w:rsidRPr="000368A3">
        <w:t xml:space="preserve"> the quantified costs (</w:t>
      </w:r>
      <w:r w:rsidR="00880032">
        <w:fldChar w:fldCharType="begin"/>
      </w:r>
      <w:r w:rsidR="00880032">
        <w:instrText xml:space="preserve"> REF _Ref179384601 \h </w:instrText>
      </w:r>
      <w:r w:rsidR="00880032">
        <w:fldChar w:fldCharType="separate"/>
      </w:r>
      <w:r w:rsidR="00A002F4">
        <w:t xml:space="preserve">Table </w:t>
      </w:r>
      <w:r w:rsidR="00A002F4">
        <w:rPr>
          <w:noProof/>
        </w:rPr>
        <w:t>21</w:t>
      </w:r>
      <w:r w:rsidR="00880032">
        <w:fldChar w:fldCharType="end"/>
      </w:r>
      <w:r w:rsidR="000368A3" w:rsidRPr="000368A3">
        <w:t xml:space="preserve">) to estimate a quantified </w:t>
      </w:r>
      <w:r w:rsidR="00472257">
        <w:t xml:space="preserve">gross </w:t>
      </w:r>
      <w:r w:rsidR="000368A3" w:rsidRPr="000368A3">
        <w:t>benefit of -$1.</w:t>
      </w:r>
      <w:r w:rsidR="0008290E">
        <w:t>6</w:t>
      </w:r>
      <w:r w:rsidR="000368A3" w:rsidRPr="000368A3">
        <w:t xml:space="preserve"> billion over 10 years for the proposed WEL for </w:t>
      </w:r>
      <w:r w:rsidR="0008290E">
        <w:t>formaldehyde</w:t>
      </w:r>
      <w:r w:rsidR="000368A3" w:rsidRPr="000368A3">
        <w:t xml:space="preserve">. </w:t>
      </w:r>
    </w:p>
    <w:p w14:paraId="108A0D16" w14:textId="32C8E96E" w:rsidR="000368A3" w:rsidRPr="000368A3" w:rsidRDefault="000368A3" w:rsidP="000368A3">
      <w:pPr>
        <w:pStyle w:val="Paragraph"/>
      </w:pPr>
      <w:r w:rsidRPr="000368A3">
        <w:t xml:space="preserve">Sensitivity analysis indicates the quantified </w:t>
      </w:r>
      <w:r w:rsidR="00BA4ADD">
        <w:t>gross</w:t>
      </w:r>
      <w:r w:rsidRPr="000368A3">
        <w:t xml:space="preserve"> benefit can range between -$</w:t>
      </w:r>
      <w:r w:rsidR="006F040E">
        <w:t>1</w:t>
      </w:r>
      <w:r w:rsidRPr="000368A3">
        <w:t xml:space="preserve"> billion (under the low scenario outlined in </w:t>
      </w:r>
      <w:hyperlink w:anchor="AppendixD_SensitivityAnalysis" w:history="1">
        <w:r w:rsidR="00A829EB" w:rsidRPr="000E09E8">
          <w:rPr>
            <w:rStyle w:val="Hyperlink"/>
            <w:color w:val="auto"/>
            <w:u w:val="none"/>
          </w:rPr>
          <w:t>Appendix D</w:t>
        </w:r>
      </w:hyperlink>
      <w:r w:rsidRPr="000368A3">
        <w:t>) and -$</w:t>
      </w:r>
      <w:r w:rsidR="006F040E">
        <w:t>2.7</w:t>
      </w:r>
      <w:r w:rsidRPr="000368A3">
        <w:t xml:space="preserve"> billion (under the high scenario outlined in </w:t>
      </w:r>
      <w:hyperlink w:anchor="AppendixD_SensitivityAnalysis" w:history="1">
        <w:r w:rsidRPr="000E09E8">
          <w:rPr>
            <w:rStyle w:val="Hyperlink"/>
            <w:color w:val="auto"/>
            <w:u w:val="none"/>
          </w:rPr>
          <w:t xml:space="preserve">Appendix </w:t>
        </w:r>
        <w:r w:rsidR="00B019B3" w:rsidRPr="000E09E8">
          <w:rPr>
            <w:rStyle w:val="Hyperlink"/>
            <w:color w:val="auto"/>
            <w:u w:val="none"/>
          </w:rPr>
          <w:t>D</w:t>
        </w:r>
      </w:hyperlink>
      <w:r w:rsidRPr="000368A3">
        <w:t xml:space="preserve">) over 10 years for the proposed WEL for </w:t>
      </w:r>
      <w:r w:rsidR="002B4F27">
        <w:t>formaldehyde</w:t>
      </w:r>
      <w:r w:rsidRPr="000368A3">
        <w:t xml:space="preserve">. </w:t>
      </w:r>
    </w:p>
    <w:p w14:paraId="1B24B1CD" w14:textId="41D7ED4A" w:rsidR="000368A3" w:rsidRPr="000368A3" w:rsidRDefault="00DE3441" w:rsidP="000368A3">
      <w:pPr>
        <w:pStyle w:val="Paragraph"/>
      </w:pPr>
      <w:r>
        <w:t>F</w:t>
      </w:r>
      <w:r w:rsidR="000368A3" w:rsidRPr="000368A3">
        <w:t xml:space="preserve">or the proposed WEL for </w:t>
      </w:r>
      <w:r w:rsidR="00C1015C">
        <w:t>formaldehyde</w:t>
      </w:r>
      <w:r w:rsidR="000368A3" w:rsidRPr="000368A3">
        <w:t xml:space="preserve"> to deliver a net benefit in economic terms, the non-quantified and qualitative benefits outlined in Sections 5 and </w:t>
      </w:r>
      <w:r>
        <w:t>12</w:t>
      </w:r>
      <w:r w:rsidR="000368A3" w:rsidRPr="000368A3">
        <w:t xml:space="preserve">.1 of this Decision RIS would need to meet or exceed a quantified </w:t>
      </w:r>
      <w:r w:rsidR="00CF2610">
        <w:t>gross</w:t>
      </w:r>
      <w:r w:rsidR="000368A3" w:rsidRPr="000368A3">
        <w:t xml:space="preserve"> cost of $1.</w:t>
      </w:r>
      <w:r w:rsidR="00497FDE">
        <w:t>6</w:t>
      </w:r>
      <w:r w:rsidR="000368A3" w:rsidRPr="000368A3">
        <w:t xml:space="preserve"> billion. </w:t>
      </w:r>
    </w:p>
    <w:p w14:paraId="69C5D0C6" w14:textId="0FAC1574" w:rsidR="000368A3" w:rsidRDefault="000368A3" w:rsidP="000E09E8">
      <w:pPr>
        <w:pStyle w:val="Paragraph"/>
        <w:keepNext w:val="0"/>
      </w:pPr>
      <w:r w:rsidRPr="000368A3">
        <w:t xml:space="preserve">This </w:t>
      </w:r>
      <w:r w:rsidR="00CF2610">
        <w:t>quantified gross</w:t>
      </w:r>
      <w:r w:rsidRPr="000368A3">
        <w:t xml:space="preserve"> cost is likely to be smaller than what is estimated in </w:t>
      </w:r>
      <w:r w:rsidR="00497FDE">
        <w:fldChar w:fldCharType="begin"/>
      </w:r>
      <w:r w:rsidR="00497FDE">
        <w:instrText xml:space="preserve"> REF _Ref216710096 \h </w:instrText>
      </w:r>
      <w:r w:rsidR="00497FDE">
        <w:fldChar w:fldCharType="separate"/>
      </w:r>
      <w:r w:rsidR="00A002F4">
        <w:t xml:space="preserve">Table </w:t>
      </w:r>
      <w:r w:rsidR="00A002F4">
        <w:rPr>
          <w:noProof/>
        </w:rPr>
        <w:t>23</w:t>
      </w:r>
      <w:r w:rsidR="00497FDE">
        <w:fldChar w:fldCharType="end"/>
      </w:r>
      <w:r w:rsidRPr="000368A3">
        <w:t xml:space="preserve">. </w:t>
      </w:r>
      <w:r w:rsidR="00D206BE">
        <w:t xml:space="preserve">The </w:t>
      </w:r>
      <w:r w:rsidR="006F39FF">
        <w:t>d</w:t>
      </w:r>
      <w:r w:rsidR="00B709FE">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D206BE">
        <w:t>.</w:t>
      </w:r>
    </w:p>
    <w:p w14:paraId="61D99AF9" w14:textId="1BA427E9" w:rsidR="00D206BE" w:rsidRPr="000368A3" w:rsidRDefault="00D206BE" w:rsidP="000E09E8">
      <w:pPr>
        <w:pStyle w:val="Paragraph"/>
        <w:keepNext w:val="0"/>
      </w:pPr>
      <w:r>
        <w:t xml:space="preserve">In considering the quantified gross benefit, together with the non-quantified and qualitative benefit, Option 2 presents a likely net benefit. </w:t>
      </w:r>
    </w:p>
    <w:p w14:paraId="63D731F1" w14:textId="524174F7" w:rsidR="000368A3" w:rsidRDefault="000368A3" w:rsidP="00B64384">
      <w:pPr>
        <w:pStyle w:val="Caption"/>
        <w:keepLines/>
      </w:pPr>
      <w:bookmarkStart w:id="313" w:name="_Ref216710096"/>
      <w:r>
        <w:lastRenderedPageBreak/>
        <w:t xml:space="preserve">Table </w:t>
      </w:r>
      <w:r w:rsidRPr="000368A3">
        <w:fldChar w:fldCharType="begin"/>
      </w:r>
      <w:r>
        <w:instrText xml:space="preserve"> SEQ Table \* ARABIC </w:instrText>
      </w:r>
      <w:r w:rsidRPr="000368A3">
        <w:fldChar w:fldCharType="separate"/>
      </w:r>
      <w:r w:rsidR="00A002F4">
        <w:rPr>
          <w:noProof/>
        </w:rPr>
        <w:t>23</w:t>
      </w:r>
      <w:r w:rsidRPr="000368A3">
        <w:fldChar w:fldCharType="end"/>
      </w:r>
      <w:bookmarkEnd w:id="313"/>
      <w:r>
        <w:t xml:space="preserve"> - </w:t>
      </w:r>
      <w:r w:rsidRPr="00F7710E">
        <w:t xml:space="preserve">Quantified </w:t>
      </w:r>
      <w:r w:rsidR="00CF2610">
        <w:t xml:space="preserve">gross </w:t>
      </w:r>
      <w:r w:rsidRPr="00F7710E">
        <w:t xml:space="preserve">benefit ($, millions, discounted) for the proposed WEL for </w:t>
      </w:r>
      <w:r w:rsidR="0008290E">
        <w:t>formaldehyde</w:t>
      </w:r>
      <w:r w:rsidRPr="00F7710E">
        <w:t>,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0368A3" w:rsidRPr="000368A3" w14:paraId="546BBE37" w14:textId="77777777">
        <w:tc>
          <w:tcPr>
            <w:tcW w:w="3004" w:type="dxa"/>
            <w:shd w:val="clear" w:color="auto" w:fill="4877E0" w:themeFill="accent1"/>
          </w:tcPr>
          <w:p w14:paraId="1362B3E7" w14:textId="77777777" w:rsidR="000368A3" w:rsidRPr="000E09E8" w:rsidRDefault="000368A3" w:rsidP="00B64384">
            <w:pPr>
              <w:pStyle w:val="Paragraph"/>
              <w:keepLines/>
              <w:spacing w:after="120"/>
              <w:rPr>
                <w:b/>
                <w:color w:val="FFFFFF" w:themeColor="background1"/>
                <w:lang w:eastAsia="en-US"/>
              </w:rPr>
            </w:pPr>
            <w:r w:rsidRPr="000E09E8">
              <w:rPr>
                <w:b/>
                <w:color w:val="FFFFFF" w:themeColor="background1"/>
                <w:lang w:eastAsia="en-US"/>
              </w:rPr>
              <w:t>Quantified benefits</w:t>
            </w:r>
          </w:p>
        </w:tc>
        <w:tc>
          <w:tcPr>
            <w:tcW w:w="3006" w:type="dxa"/>
            <w:shd w:val="clear" w:color="auto" w:fill="4877E0" w:themeFill="accent1"/>
          </w:tcPr>
          <w:p w14:paraId="4C9C50D3" w14:textId="77777777" w:rsidR="000368A3" w:rsidRPr="000E09E8" w:rsidRDefault="000368A3" w:rsidP="00B64384">
            <w:pPr>
              <w:pStyle w:val="Paragraph"/>
              <w:keepLines/>
              <w:spacing w:after="120"/>
              <w:rPr>
                <w:b/>
                <w:color w:val="FFFFFF" w:themeColor="background1"/>
                <w:lang w:eastAsia="en-US"/>
              </w:rPr>
            </w:pPr>
            <w:r w:rsidRPr="000E09E8">
              <w:rPr>
                <w:b/>
                <w:color w:val="FFFFFF" w:themeColor="background1"/>
                <w:lang w:eastAsia="en-US"/>
              </w:rPr>
              <w:t>Quantified costs</w:t>
            </w:r>
          </w:p>
        </w:tc>
        <w:tc>
          <w:tcPr>
            <w:tcW w:w="3006" w:type="dxa"/>
            <w:shd w:val="clear" w:color="auto" w:fill="4877E0" w:themeFill="accent1"/>
          </w:tcPr>
          <w:p w14:paraId="23D5996D" w14:textId="2E4D4BF3" w:rsidR="000368A3" w:rsidRPr="000E09E8" w:rsidRDefault="00CF2610" w:rsidP="00B64384">
            <w:pPr>
              <w:pStyle w:val="Paragraph"/>
              <w:keepLines/>
              <w:spacing w:after="120"/>
              <w:rPr>
                <w:b/>
                <w:color w:val="FFFFFF" w:themeColor="background1"/>
                <w:lang w:eastAsia="en-US"/>
              </w:rPr>
            </w:pPr>
            <w:r>
              <w:rPr>
                <w:b/>
                <w:color w:val="FFFFFF" w:themeColor="background1"/>
                <w:lang w:eastAsia="en-US"/>
              </w:rPr>
              <w:t>Q</w:t>
            </w:r>
            <w:r w:rsidR="000368A3" w:rsidRPr="000E09E8">
              <w:rPr>
                <w:b/>
                <w:color w:val="FFFFFF" w:themeColor="background1"/>
                <w:lang w:eastAsia="en-US"/>
              </w:rPr>
              <w:t>uantified</w:t>
            </w:r>
            <w:r>
              <w:rPr>
                <w:b/>
                <w:color w:val="FFFFFF" w:themeColor="background1"/>
                <w:lang w:eastAsia="en-US"/>
              </w:rPr>
              <w:t xml:space="preserve"> gross</w:t>
            </w:r>
            <w:r w:rsidR="000368A3" w:rsidRPr="000E09E8">
              <w:rPr>
                <w:b/>
                <w:color w:val="FFFFFF" w:themeColor="background1"/>
                <w:lang w:eastAsia="en-US"/>
              </w:rPr>
              <w:t xml:space="preserve"> benefit</w:t>
            </w:r>
          </w:p>
        </w:tc>
      </w:tr>
      <w:tr w:rsidR="000368A3" w:rsidRPr="000368A3" w14:paraId="0832EA83" w14:textId="77777777" w:rsidTr="000E09E8">
        <w:trPr>
          <w:trHeight w:val="300"/>
        </w:trPr>
        <w:tc>
          <w:tcPr>
            <w:tcW w:w="3004" w:type="dxa"/>
            <w:noWrap/>
            <w:vAlign w:val="bottom"/>
            <w:hideMark/>
          </w:tcPr>
          <w:p w14:paraId="446D3918" w14:textId="03054D93" w:rsidR="000368A3" w:rsidRPr="000368A3" w:rsidRDefault="00AA65D2" w:rsidP="00B64384">
            <w:pPr>
              <w:pStyle w:val="Paragraph"/>
              <w:keepLines/>
              <w:spacing w:before="60" w:after="120"/>
              <w:jc w:val="right"/>
              <w:rPr>
                <w:lang w:eastAsia="en-US"/>
              </w:rPr>
            </w:pPr>
            <w:r w:rsidRPr="000E09E8">
              <w:rPr>
                <w:rFonts w:cs="Arial"/>
                <w:color w:val="000000"/>
                <w:szCs w:val="22"/>
              </w:rPr>
              <w:t>45</w:t>
            </w:r>
          </w:p>
        </w:tc>
        <w:tc>
          <w:tcPr>
            <w:tcW w:w="3006" w:type="dxa"/>
            <w:noWrap/>
            <w:vAlign w:val="bottom"/>
            <w:hideMark/>
          </w:tcPr>
          <w:p w14:paraId="2D3423E3" w14:textId="17B29EA7" w:rsidR="000368A3" w:rsidRPr="000368A3" w:rsidRDefault="00AA65D2" w:rsidP="00B64384">
            <w:pPr>
              <w:pStyle w:val="Paragraph"/>
              <w:keepLines/>
              <w:spacing w:before="60" w:after="120"/>
              <w:jc w:val="right"/>
              <w:rPr>
                <w:lang w:eastAsia="en-US"/>
              </w:rPr>
            </w:pPr>
            <w:r w:rsidRPr="000E09E8">
              <w:rPr>
                <w:rFonts w:cs="Arial"/>
                <w:color w:val="000000"/>
                <w:szCs w:val="22"/>
              </w:rPr>
              <w:t>1</w:t>
            </w:r>
            <w:r w:rsidR="00C81429">
              <w:rPr>
                <w:rFonts w:cs="Arial"/>
                <w:color w:val="000000"/>
                <w:szCs w:val="22"/>
              </w:rPr>
              <w:t>,</w:t>
            </w:r>
            <w:r w:rsidRPr="000E09E8">
              <w:rPr>
                <w:rFonts w:cs="Arial"/>
                <w:color w:val="000000"/>
                <w:szCs w:val="22"/>
              </w:rPr>
              <w:t>669</w:t>
            </w:r>
          </w:p>
        </w:tc>
        <w:tc>
          <w:tcPr>
            <w:tcW w:w="3006" w:type="dxa"/>
            <w:noWrap/>
            <w:vAlign w:val="bottom"/>
            <w:hideMark/>
          </w:tcPr>
          <w:p w14:paraId="445190F5" w14:textId="494CF2B5" w:rsidR="000368A3" w:rsidRPr="000368A3" w:rsidRDefault="000368A3" w:rsidP="00B64384">
            <w:pPr>
              <w:pStyle w:val="Paragraph"/>
              <w:keepLines/>
              <w:spacing w:before="60" w:after="120"/>
              <w:jc w:val="right"/>
              <w:rPr>
                <w:lang w:eastAsia="en-US"/>
              </w:rPr>
            </w:pPr>
            <w:r w:rsidRPr="000E09E8">
              <w:rPr>
                <w:rFonts w:cs="Arial"/>
                <w:color w:val="000000"/>
                <w:szCs w:val="22"/>
              </w:rPr>
              <w:t>- 1,</w:t>
            </w:r>
            <w:r w:rsidR="00AA65D2" w:rsidRPr="000E09E8">
              <w:rPr>
                <w:rFonts w:cs="Arial"/>
                <w:color w:val="000000"/>
                <w:szCs w:val="22"/>
              </w:rPr>
              <w:t>624</w:t>
            </w:r>
          </w:p>
        </w:tc>
      </w:tr>
    </w:tbl>
    <w:p w14:paraId="4463A58B" w14:textId="13304DB8" w:rsidR="004E183B" w:rsidRPr="00FC7340" w:rsidRDefault="004E183B" w:rsidP="00B64384">
      <w:pPr>
        <w:pStyle w:val="SWAHeading3"/>
        <w:keepNext/>
        <w:keepLines/>
        <w:spacing w:before="0"/>
        <w:rPr>
          <w:color w:val="808080" w:themeColor="background1" w:themeShade="80"/>
          <w:sz w:val="18"/>
          <w:szCs w:val="20"/>
        </w:rPr>
      </w:pPr>
      <w:r w:rsidRPr="00FC7340">
        <w:rPr>
          <w:i/>
          <w:iCs/>
          <w:color w:val="808080" w:themeColor="background1" w:themeShade="80"/>
          <w:sz w:val="18"/>
          <w:szCs w:val="20"/>
        </w:rPr>
        <w:t>** The quantified gross benefit should be read in conjunction with the non-quantifiable benefits set out in Section 5.2 and 1</w:t>
      </w:r>
      <w:r w:rsidR="00445DF4">
        <w:rPr>
          <w:i/>
          <w:iCs/>
          <w:color w:val="808080" w:themeColor="background1" w:themeShade="80"/>
          <w:sz w:val="18"/>
          <w:szCs w:val="20"/>
        </w:rPr>
        <w:t>2</w:t>
      </w:r>
      <w:r w:rsidRPr="00FC7340">
        <w:rPr>
          <w:i/>
          <w:iCs/>
          <w:color w:val="808080" w:themeColor="background1" w:themeShade="80"/>
          <w:sz w:val="18"/>
          <w:szCs w:val="20"/>
        </w:rPr>
        <w:t>.1.</w:t>
      </w:r>
    </w:p>
    <w:p w14:paraId="245B5F76" w14:textId="77777777" w:rsidR="000368A3" w:rsidRPr="000368A3" w:rsidRDefault="000368A3" w:rsidP="000E09E8">
      <w:pPr>
        <w:pStyle w:val="SWAHeading3"/>
      </w:pPr>
      <w:r w:rsidRPr="000368A3">
        <w:t>Recommended option</w:t>
      </w:r>
    </w:p>
    <w:tbl>
      <w:tblPr>
        <w:tblStyle w:val="TableGrid"/>
        <w:tblW w:w="0" w:type="auto"/>
        <w:tblLook w:val="04A0" w:firstRow="1" w:lastRow="0" w:firstColumn="1" w:lastColumn="0" w:noHBand="0" w:noVBand="1"/>
      </w:tblPr>
      <w:tblGrid>
        <w:gridCol w:w="9016"/>
      </w:tblGrid>
      <w:tr w:rsidR="00423825" w14:paraId="01A36A0D" w14:textId="77777777" w:rsidTr="27F845C1">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5F8E5743" w14:textId="5F6CA0F7" w:rsidR="00423825" w:rsidRDefault="0087340D" w:rsidP="008A6315">
            <w:pPr>
              <w:pStyle w:val="Paragraph"/>
              <w:keepLines/>
              <w:spacing w:before="240" w:after="120"/>
              <w:rPr>
                <w:lang w:eastAsia="en-US"/>
              </w:rPr>
            </w:pPr>
            <w:r>
              <w:rPr>
                <w:lang w:eastAsia="en-US"/>
              </w:rPr>
              <w:t>It</w:t>
            </w:r>
            <w:r w:rsidR="00423825">
              <w:rPr>
                <w:lang w:eastAsia="en-US"/>
              </w:rPr>
              <w:t xml:space="preserve"> is recommended WHS ministers agree to the health-based recommendation for the WEL for formaldehyde (</w:t>
            </w:r>
            <w:r w:rsidR="00423825" w:rsidRPr="007804B8">
              <w:rPr>
                <w:b/>
                <w:bCs/>
                <w:lang w:eastAsia="en-US"/>
              </w:rPr>
              <w:t>Option 2</w:t>
            </w:r>
            <w:r w:rsidR="00423825">
              <w:rPr>
                <w:lang w:eastAsia="en-US"/>
              </w:rPr>
              <w:t xml:space="preserve">): a </w:t>
            </w:r>
            <w:r w:rsidR="00423825" w:rsidRPr="009342E9">
              <w:rPr>
                <w:lang w:eastAsia="en-US"/>
              </w:rPr>
              <w:t>TWA of 0.</w:t>
            </w:r>
            <w:r w:rsidR="00423825">
              <w:rPr>
                <w:lang w:eastAsia="en-US"/>
              </w:rPr>
              <w:t>3 ppm (</w:t>
            </w:r>
            <w:r w:rsidR="00EF3919">
              <w:rPr>
                <w:lang w:eastAsia="en-US"/>
              </w:rPr>
              <w:t xml:space="preserve">0.369 </w:t>
            </w:r>
            <w:r w:rsidR="00423825" w:rsidRPr="009342E9">
              <w:rPr>
                <w:lang w:eastAsia="en-US"/>
              </w:rPr>
              <w:t>mg/m</w:t>
            </w:r>
            <w:r w:rsidR="00423825" w:rsidRPr="009342E9">
              <w:rPr>
                <w:vertAlign w:val="superscript"/>
                <w:lang w:eastAsia="en-US"/>
              </w:rPr>
              <w:t>3</w:t>
            </w:r>
            <w:r w:rsidR="00EF3919">
              <w:rPr>
                <w:lang w:eastAsia="en-US"/>
              </w:rPr>
              <w:t>) and a STEL of 0.6 ppm (0.</w:t>
            </w:r>
            <w:r w:rsidR="00986367">
              <w:rPr>
                <w:lang w:eastAsia="en-US"/>
              </w:rPr>
              <w:t>738 mg/m</w:t>
            </w:r>
            <w:r w:rsidR="00986367" w:rsidRPr="00FB18E4">
              <w:rPr>
                <w:vertAlign w:val="superscript"/>
                <w:lang w:eastAsia="en-US"/>
              </w:rPr>
              <w:t>3</w:t>
            </w:r>
            <w:r w:rsidR="00423825">
              <w:rPr>
                <w:lang w:eastAsia="en-US"/>
              </w:rPr>
              <w:t>)</w:t>
            </w:r>
            <w:r w:rsidR="00423825" w:rsidRPr="00FB1BC6">
              <w:rPr>
                <w:lang w:eastAsia="en-US"/>
              </w:rPr>
              <w:t xml:space="preserve">. </w:t>
            </w:r>
            <w:r w:rsidR="004175B8">
              <w:rPr>
                <w:lang w:eastAsia="en-US"/>
              </w:rPr>
              <w:t>This recommendation is based on the following considerations:</w:t>
            </w:r>
          </w:p>
          <w:p w14:paraId="0602DD55" w14:textId="250842CF" w:rsidR="004175B8" w:rsidRPr="004175B8" w:rsidRDefault="7C835C2E" w:rsidP="00A2768E">
            <w:pPr>
              <w:pStyle w:val="Paragraph"/>
              <w:keepLines/>
              <w:numPr>
                <w:ilvl w:val="0"/>
                <w:numId w:val="69"/>
              </w:numPr>
            </w:pPr>
            <w:r>
              <w:t xml:space="preserve">that the proposed WEL for formaldehyde </w:t>
            </w:r>
            <w:r w:rsidR="6CC407FA">
              <w:t>aligns with the</w:t>
            </w:r>
            <w:r>
              <w:t xml:space="preserve"> object of the model WHS Act to protect workers and others from harm to their health, safety and welfare through the elimination or minimisation of risks</w:t>
            </w:r>
            <w:r w:rsidR="00364FC7">
              <w:t>,</w:t>
            </w:r>
          </w:p>
          <w:p w14:paraId="36F1BADB" w14:textId="63443699" w:rsidR="004175B8" w:rsidRPr="004175B8" w:rsidRDefault="7C835C2E" w:rsidP="00A2768E">
            <w:pPr>
              <w:pStyle w:val="Paragraph"/>
              <w:keepLines/>
              <w:numPr>
                <w:ilvl w:val="0"/>
                <w:numId w:val="69"/>
              </w:numPr>
            </w:pPr>
            <w:r>
              <w:t xml:space="preserve">the scientific evidence that </w:t>
            </w:r>
            <w:r w:rsidR="65027374">
              <w:t xml:space="preserve">indicates </w:t>
            </w:r>
            <w:r>
              <w:t xml:space="preserve">the </w:t>
            </w:r>
            <w:r w:rsidR="65027374">
              <w:t>proposed health-based WEL</w:t>
            </w:r>
            <w:r>
              <w:t xml:space="preserve"> is protective of worker</w:t>
            </w:r>
            <w:r w:rsidR="1ACB6B8C">
              <w:t>s</w:t>
            </w:r>
            <w:r w:rsidR="00364FC7">
              <w:t>,</w:t>
            </w:r>
          </w:p>
          <w:p w14:paraId="729A2724" w14:textId="77777777" w:rsidR="004175B8" w:rsidRPr="004175B8" w:rsidRDefault="004175B8" w:rsidP="00A2768E">
            <w:pPr>
              <w:pStyle w:val="Paragraph"/>
              <w:keepLines/>
              <w:numPr>
                <w:ilvl w:val="0"/>
                <w:numId w:val="69"/>
              </w:numPr>
            </w:pPr>
            <w:r w:rsidRPr="004175B8">
              <w:t>stakeholder views and comments on the proposed WEL, and</w:t>
            </w:r>
          </w:p>
          <w:p w14:paraId="1EDC8A23" w14:textId="7BEDA406" w:rsidR="004175B8" w:rsidRPr="004175B8" w:rsidRDefault="004175B8" w:rsidP="00A2768E">
            <w:pPr>
              <w:pStyle w:val="Paragraph"/>
              <w:keepLines/>
              <w:numPr>
                <w:ilvl w:val="0"/>
                <w:numId w:val="69"/>
              </w:numPr>
            </w:pPr>
            <w:r w:rsidRPr="004175B8">
              <w:t xml:space="preserve">the </w:t>
            </w:r>
            <w:r w:rsidR="00CA627A" w:rsidRPr="00CA627A">
              <w:t>net benefit expected, particularly the protection of workers from developing localised sensory irritation effects and nasal cancer, of the proposed change</w:t>
            </w:r>
            <w:r w:rsidRPr="004175B8">
              <w:t>.</w:t>
            </w:r>
          </w:p>
          <w:p w14:paraId="7C952B19" w14:textId="6113F136" w:rsidR="004175B8" w:rsidRDefault="00493FD9" w:rsidP="00E850BF">
            <w:pPr>
              <w:pStyle w:val="Paragraph"/>
              <w:keepLines/>
              <w:spacing w:after="120"/>
              <w:rPr>
                <w:lang w:eastAsia="en-US"/>
              </w:rPr>
            </w:pPr>
            <w:r w:rsidRPr="00560E0D">
              <w:t xml:space="preserve">It </w:t>
            </w:r>
            <w:r w:rsidRPr="008B1DDD">
              <w:t xml:space="preserve">is also recommended WHS ministers agree </w:t>
            </w:r>
            <w:r w:rsidRPr="00BA36C4">
              <w:t>a transition</w:t>
            </w:r>
            <w:r w:rsidRPr="008B1DDD">
              <w:t xml:space="preserve"> period for </w:t>
            </w:r>
            <w:r>
              <w:t>formaldehyde</w:t>
            </w:r>
            <w:r w:rsidRPr="008B1DDD">
              <w:t xml:space="preserve"> </w:t>
            </w:r>
            <w:r w:rsidRPr="00BA36C4">
              <w:t>aligned to</w:t>
            </w:r>
            <w:r w:rsidRPr="008B1DDD">
              <w:t xml:space="preserve"> the 1 December 2026 implementation date for the </w:t>
            </w:r>
            <w:r w:rsidRPr="008B1DDD">
              <w:rPr>
                <w:i/>
              </w:rPr>
              <w:t>Workplace exposure limits for airborne contaminants</w:t>
            </w:r>
            <w:r w:rsidRPr="008B1DDD">
              <w:t>.</w:t>
            </w:r>
            <w:r>
              <w:t xml:space="preserve">  </w:t>
            </w:r>
          </w:p>
        </w:tc>
      </w:tr>
    </w:tbl>
    <w:p w14:paraId="34BBAC28" w14:textId="2F1D23A2" w:rsidR="004B56CB" w:rsidRDefault="004B56CB" w:rsidP="00FB18E4">
      <w:pPr>
        <w:pStyle w:val="Paragraph"/>
        <w:spacing w:before="120"/>
      </w:pPr>
    </w:p>
    <w:p w14:paraId="1BBBE369" w14:textId="77777777" w:rsidR="00F93424" w:rsidRPr="003A78DE" w:rsidRDefault="00F93424" w:rsidP="00DA06AE">
      <w:pPr>
        <w:pStyle w:val="Paragraph"/>
      </w:pPr>
    </w:p>
    <w:p w14:paraId="68D12683" w14:textId="178612AC" w:rsidR="000B51DC" w:rsidRDefault="00AC49C6" w:rsidP="007966C0">
      <w:pPr>
        <w:pStyle w:val="SWAHeading1"/>
      </w:pPr>
      <w:bookmarkStart w:id="314" w:name="_Toc181003131"/>
      <w:bookmarkStart w:id="315" w:name="_Toc193192640"/>
      <w:bookmarkStart w:id="316" w:name="_Toc196204718"/>
      <w:bookmarkStart w:id="317" w:name="_Toc179376604"/>
      <w:r>
        <w:lastRenderedPageBreak/>
        <w:t xml:space="preserve"> </w:t>
      </w:r>
      <w:bookmarkStart w:id="318" w:name="_Toc219216902"/>
      <w:r w:rsidR="000066B1">
        <w:t>Detailed impact assessment for h</w:t>
      </w:r>
      <w:r w:rsidR="000B51DC">
        <w:t>ydrogen cyanide</w:t>
      </w:r>
      <w:bookmarkEnd w:id="314"/>
      <w:bookmarkEnd w:id="315"/>
      <w:bookmarkEnd w:id="316"/>
      <w:bookmarkEnd w:id="318"/>
      <w:r w:rsidR="000B51DC">
        <w:t xml:space="preserve"> </w:t>
      </w:r>
      <w:bookmarkEnd w:id="317"/>
    </w:p>
    <w:tbl>
      <w:tblPr>
        <w:tblStyle w:val="TableGrid"/>
        <w:tblW w:w="0" w:type="auto"/>
        <w:tblLook w:val="04A0" w:firstRow="1" w:lastRow="0" w:firstColumn="1" w:lastColumn="0" w:noHBand="0" w:noVBand="1"/>
      </w:tblPr>
      <w:tblGrid>
        <w:gridCol w:w="9016"/>
      </w:tblGrid>
      <w:tr w:rsidR="000B51DC" w14:paraId="222A7310" w14:textId="77777777" w:rsidTr="00E63898">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ABF4C80" w14:textId="77777777" w:rsidR="000B51DC" w:rsidRDefault="000B51DC">
            <w:pPr>
              <w:pStyle w:val="SWAHeading3"/>
              <w:keepNext/>
              <w:keepLines/>
            </w:pPr>
            <w:bookmarkStart w:id="319" w:name="_Toc193192641"/>
            <w:bookmarkStart w:id="320" w:name="_Toc196204719"/>
            <w:r>
              <w:t>Policy options for hydrogen cyanide</w:t>
            </w:r>
            <w:bookmarkEnd w:id="319"/>
            <w:bookmarkEnd w:id="320"/>
          </w:p>
          <w:p w14:paraId="57E6AD54" w14:textId="571906E3" w:rsidR="000B51DC" w:rsidRDefault="000B51DC" w:rsidP="38A49B51">
            <w:pPr>
              <w:pStyle w:val="Paragraph"/>
              <w:rPr>
                <w:lang w:eastAsia="en-US"/>
              </w:rPr>
            </w:pPr>
            <w:r w:rsidRPr="38A49B51">
              <w:rPr>
                <w:lang w:eastAsia="en-US"/>
              </w:rPr>
              <w:t>Option 1 is to retain the current peak limitation of 10 ppm (11 mg/m</w:t>
            </w:r>
            <w:r w:rsidRPr="38A49B51">
              <w:rPr>
                <w:vertAlign w:val="superscript"/>
                <w:lang w:eastAsia="en-US"/>
              </w:rPr>
              <w:t>3</w:t>
            </w:r>
            <w:r w:rsidRPr="38A49B51">
              <w:rPr>
                <w:lang w:eastAsia="en-US"/>
              </w:rPr>
              <w:t xml:space="preserve">). </w:t>
            </w:r>
          </w:p>
          <w:p w14:paraId="47945FC2" w14:textId="533A758B" w:rsidR="000B51DC" w:rsidRPr="00DA0793" w:rsidRDefault="000B51DC">
            <w:pPr>
              <w:pStyle w:val="Paragraph"/>
              <w:rPr>
                <w:lang w:eastAsia="en-US"/>
              </w:rPr>
            </w:pPr>
            <w:r>
              <w:rPr>
                <w:lang w:eastAsia="en-US"/>
              </w:rPr>
              <w:t>Option 2 is to change to the proposed TWA of 0.9 ppm (1 mg/m</w:t>
            </w:r>
            <w:r w:rsidRPr="00AC463F">
              <w:rPr>
                <w:vertAlign w:val="superscript"/>
                <w:lang w:eastAsia="en-US"/>
              </w:rPr>
              <w:t>3</w:t>
            </w:r>
            <w:r>
              <w:rPr>
                <w:lang w:eastAsia="en-US"/>
              </w:rPr>
              <w:t>) and STEL of 4.7 ppm (5 mg/m</w:t>
            </w:r>
            <w:r w:rsidRPr="001F05B1">
              <w:rPr>
                <w:vertAlign w:val="superscript"/>
                <w:lang w:eastAsia="en-US"/>
              </w:rPr>
              <w:t>3</w:t>
            </w:r>
            <w:r>
              <w:rPr>
                <w:lang w:eastAsia="en-US"/>
              </w:rPr>
              <w:t>)</w:t>
            </w:r>
            <w:r w:rsidR="00EA4B41">
              <w:rPr>
                <w:lang w:eastAsia="en-US"/>
              </w:rPr>
              <w:t xml:space="preserve"> – </w:t>
            </w:r>
            <w:r w:rsidR="00EA4B41" w:rsidRPr="006C55CD">
              <w:rPr>
                <w:b/>
                <w:lang w:eastAsia="en-US"/>
              </w:rPr>
              <w:t>recommended</w:t>
            </w:r>
            <w:r w:rsidDel="00EA4B41">
              <w:rPr>
                <w:b/>
                <w:lang w:eastAsia="en-US"/>
              </w:rPr>
              <w:t>.</w:t>
            </w:r>
          </w:p>
        </w:tc>
      </w:tr>
    </w:tbl>
    <w:p w14:paraId="7C2BF464" w14:textId="3161CC7B" w:rsidR="003C2986" w:rsidRDefault="00475476" w:rsidP="001B347A">
      <w:pPr>
        <w:pStyle w:val="SWAHeading2"/>
        <w:ind w:left="709"/>
      </w:pPr>
      <w:bookmarkStart w:id="321" w:name="_Toc196204720"/>
      <w:bookmarkStart w:id="322" w:name="_Toc219216903"/>
      <w:bookmarkStart w:id="323" w:name="_Toc193192642"/>
      <w:r>
        <w:t>B</w:t>
      </w:r>
      <w:r w:rsidR="0087521E">
        <w:t xml:space="preserve">enefits </w:t>
      </w:r>
      <w:r w:rsidR="003C2986">
        <w:t>for</w:t>
      </w:r>
      <w:r>
        <w:t xml:space="preserve"> the proposed WEL</w:t>
      </w:r>
      <w:r w:rsidR="003C2986">
        <w:t xml:space="preserve"> for hydrogen cyanide</w:t>
      </w:r>
      <w:bookmarkEnd w:id="321"/>
      <w:bookmarkEnd w:id="322"/>
    </w:p>
    <w:p w14:paraId="6B49BAF0" w14:textId="7C6A9DAE" w:rsidR="003C2986" w:rsidRDefault="00E63898" w:rsidP="003C2986">
      <w:pPr>
        <w:pStyle w:val="SWAHeading3"/>
      </w:pPr>
      <w:bookmarkStart w:id="324" w:name="_Toc196204721"/>
      <w:r>
        <w:t xml:space="preserve">Health </w:t>
      </w:r>
      <w:r w:rsidR="006B5BA9">
        <w:t xml:space="preserve">impacts related to </w:t>
      </w:r>
      <w:r w:rsidR="00E75927">
        <w:t xml:space="preserve">the </w:t>
      </w:r>
      <w:r w:rsidR="00972DAD">
        <w:t>proposed</w:t>
      </w:r>
      <w:r w:rsidR="00E75927">
        <w:t xml:space="preserve"> WE</w:t>
      </w:r>
      <w:r w:rsidR="00972DAD">
        <w:t>L</w:t>
      </w:r>
      <w:r w:rsidR="00E75927">
        <w:t xml:space="preserve"> for hydrogen cyanide</w:t>
      </w:r>
      <w:bookmarkEnd w:id="324"/>
    </w:p>
    <w:p w14:paraId="087F6926" w14:textId="62087685" w:rsidR="006F3DD2" w:rsidRDefault="008F43CE" w:rsidP="006C55CD">
      <w:pPr>
        <w:pStyle w:val="Paragraph"/>
      </w:pPr>
      <w:r>
        <w:rPr>
          <w:lang w:eastAsia="en-US"/>
        </w:rPr>
        <w:t>T</w:t>
      </w:r>
      <w:r w:rsidR="009F7305">
        <w:rPr>
          <w:lang w:eastAsia="en-US"/>
        </w:rPr>
        <w:t xml:space="preserve">he proposed </w:t>
      </w:r>
      <w:r w:rsidR="008C4A16" w:rsidRPr="008C4A16">
        <w:rPr>
          <w:lang w:eastAsia="en-US"/>
        </w:rPr>
        <w:t>TWA of 0.9 ppm (1 mg/m</w:t>
      </w:r>
      <w:r w:rsidR="008C4A16" w:rsidRPr="008C4A16">
        <w:rPr>
          <w:vertAlign w:val="superscript"/>
          <w:lang w:eastAsia="en-US"/>
        </w:rPr>
        <w:t>3</w:t>
      </w:r>
      <w:r w:rsidR="008C4A16" w:rsidRPr="008C4A16">
        <w:rPr>
          <w:lang w:eastAsia="en-US"/>
        </w:rPr>
        <w:t>) and STEL of 4.7 ppm (5 mg/m</w:t>
      </w:r>
      <w:r w:rsidR="008C4A16" w:rsidRPr="008C4A16">
        <w:rPr>
          <w:vertAlign w:val="superscript"/>
          <w:lang w:eastAsia="en-US"/>
        </w:rPr>
        <w:t>3</w:t>
      </w:r>
      <w:r w:rsidR="008C4A16" w:rsidRPr="008C4A16">
        <w:rPr>
          <w:lang w:eastAsia="en-US"/>
        </w:rPr>
        <w:t>)</w:t>
      </w:r>
      <w:r w:rsidR="000E02C4">
        <w:rPr>
          <w:lang w:eastAsia="en-US"/>
        </w:rPr>
        <w:t xml:space="preserve"> for hydrogen cyanide </w:t>
      </w:r>
      <w:r w:rsidR="006B5BA9">
        <w:rPr>
          <w:lang w:eastAsia="en-US"/>
        </w:rPr>
        <w:t>will</w:t>
      </w:r>
      <w:r w:rsidR="000E02C4">
        <w:rPr>
          <w:lang w:eastAsia="en-US"/>
        </w:rPr>
        <w:t xml:space="preserve"> protect workers from </w:t>
      </w:r>
      <w:r w:rsidR="00A9222D">
        <w:rPr>
          <w:lang w:eastAsia="en-US"/>
        </w:rPr>
        <w:t>the risk of</w:t>
      </w:r>
      <w:r w:rsidR="003D2E4E">
        <w:rPr>
          <w:lang w:eastAsia="en-US"/>
        </w:rPr>
        <w:t xml:space="preserve"> developing</w:t>
      </w:r>
      <w:r w:rsidR="00A9222D">
        <w:rPr>
          <w:lang w:eastAsia="en-US"/>
        </w:rPr>
        <w:t xml:space="preserve"> </w:t>
      </w:r>
      <w:r w:rsidR="00A9222D">
        <w:t xml:space="preserve">chronic </w:t>
      </w:r>
      <w:r w:rsidR="00A9222D">
        <w:rPr>
          <w:noProof/>
        </w:rPr>
        <w:t>neurological symptoms</w:t>
      </w:r>
      <w:r w:rsidR="00A9222D">
        <w:t xml:space="preserve"> and thyroid enlargement </w:t>
      </w:r>
      <w:r w:rsidR="003D2E4E">
        <w:t xml:space="preserve">from </w:t>
      </w:r>
      <w:r w:rsidR="00E161AA">
        <w:rPr>
          <w:lang w:eastAsia="en-US"/>
        </w:rPr>
        <w:t xml:space="preserve">chronic </w:t>
      </w:r>
      <w:r w:rsidR="003D2E4E">
        <w:rPr>
          <w:lang w:eastAsia="en-US"/>
        </w:rPr>
        <w:t>exposures</w:t>
      </w:r>
      <w:r w:rsidR="00E161AA">
        <w:rPr>
          <w:lang w:eastAsia="en-US"/>
        </w:rPr>
        <w:t xml:space="preserve"> </w:t>
      </w:r>
      <w:r w:rsidR="003D2E4E">
        <w:rPr>
          <w:lang w:eastAsia="en-US"/>
        </w:rPr>
        <w:t xml:space="preserve">to hydrogen cyanide, </w:t>
      </w:r>
      <w:r w:rsidR="00E161AA">
        <w:rPr>
          <w:lang w:eastAsia="en-US"/>
        </w:rPr>
        <w:t xml:space="preserve">and </w:t>
      </w:r>
      <w:r w:rsidR="003D2E4E">
        <w:t xml:space="preserve">immediate and severe health effects (death, coma, respiratory failure) from acute exposures. </w:t>
      </w:r>
      <w:r w:rsidR="00304B16">
        <w:t xml:space="preserve">It is likely to benefit the estimated </w:t>
      </w:r>
      <w:r w:rsidR="006B0CE6">
        <w:t xml:space="preserve">80,052 workers in Australia who are at risk of exposure to </w:t>
      </w:r>
      <w:r w:rsidR="00E03F8D">
        <w:t xml:space="preserve">hydrogen cyanide each year. </w:t>
      </w:r>
      <w:r w:rsidR="003D2E4E">
        <w:t xml:space="preserve"> </w:t>
      </w:r>
    </w:p>
    <w:p w14:paraId="463A08DF" w14:textId="7E39F0B8" w:rsidR="0043262B" w:rsidRDefault="00131327" w:rsidP="00633102">
      <w:pPr>
        <w:pStyle w:val="Paragraph"/>
      </w:pPr>
      <w:hyperlink r:id="rId45" w:history="1">
        <w:r w:rsidRPr="00D274D2">
          <w:rPr>
            <w:rStyle w:val="Hyperlink"/>
          </w:rPr>
          <w:t>Health evidence</w:t>
        </w:r>
      </w:hyperlink>
      <w:r>
        <w:t xml:space="preserve"> in the evaluation report for </w:t>
      </w:r>
      <w:r w:rsidR="007C1810">
        <w:t>hydrogen cyanide</w:t>
      </w:r>
      <w:r w:rsidRPr="009335F8">
        <w:t xml:space="preserve"> </w:t>
      </w:r>
      <w:r>
        <w:t>showed</w:t>
      </w:r>
      <w:r w:rsidR="00170ECA">
        <w:t xml:space="preserve"> </w:t>
      </w:r>
      <w:r w:rsidR="007E4DEB">
        <w:t xml:space="preserve">exposures </w:t>
      </w:r>
      <w:r w:rsidR="009D4542">
        <w:t>at or just below the</w:t>
      </w:r>
      <w:r w:rsidR="007E4DEB">
        <w:t xml:space="preserve"> current peak limitation </w:t>
      </w:r>
      <w:r w:rsidR="006F02EA">
        <w:t xml:space="preserve">of </w:t>
      </w:r>
      <w:r w:rsidR="006F02EA" w:rsidRPr="006F02EA">
        <w:t>10 ppm (11 mg/m</w:t>
      </w:r>
      <w:r w:rsidR="006F02EA" w:rsidRPr="006F02EA">
        <w:rPr>
          <w:vertAlign w:val="superscript"/>
        </w:rPr>
        <w:t>3</w:t>
      </w:r>
      <w:r w:rsidR="006F02EA" w:rsidRPr="006F02EA">
        <w:t>)</w:t>
      </w:r>
      <w:r w:rsidR="006F02EA">
        <w:t xml:space="preserve"> </w:t>
      </w:r>
      <w:r w:rsidR="009D4542">
        <w:t>exposes workers to a risk of acute effects</w:t>
      </w:r>
      <w:r w:rsidR="006F02EA">
        <w:t xml:space="preserve">, like </w:t>
      </w:r>
      <w:r w:rsidR="006F02EA" w:rsidRPr="006F02EA">
        <w:t>headache, nausea, nasal, throat, and pulmonary irritation</w:t>
      </w:r>
      <w:r w:rsidR="00016D05">
        <w:t xml:space="preserve"> </w:t>
      </w:r>
      <w:sdt>
        <w:sdtPr>
          <w:id w:val="1538161453"/>
          <w:citation/>
        </w:sdtPr>
        <w:sdtEndPr/>
        <w:sdtContent>
          <w:r w:rsidR="00016D05">
            <w:fldChar w:fldCharType="begin"/>
          </w:r>
          <w:r w:rsidR="00016D05">
            <w:instrText xml:space="preserve"> CITATION Saf20 \l 3081 </w:instrText>
          </w:r>
          <w:r w:rsidR="00016D05">
            <w:fldChar w:fldCharType="separate"/>
          </w:r>
          <w:r w:rsidR="00490B21">
            <w:rPr>
              <w:noProof/>
            </w:rPr>
            <w:t>(Safe Work Australia, 2020)</w:t>
          </w:r>
          <w:r w:rsidR="00016D05">
            <w:fldChar w:fldCharType="end"/>
          </w:r>
        </w:sdtContent>
      </w:sdt>
      <w:r w:rsidR="009D4542">
        <w:t>.</w:t>
      </w:r>
      <w:r w:rsidR="00223655">
        <w:t xml:space="preserve"> </w:t>
      </w:r>
      <w:r w:rsidR="000423C5">
        <w:t>It</w:t>
      </w:r>
      <w:r w:rsidR="00C02513">
        <w:t xml:space="preserve"> </w:t>
      </w:r>
      <w:r w:rsidR="006049F0">
        <w:t xml:space="preserve">also identified that chronic exposure to hydrogen cyanide can cause </w:t>
      </w:r>
      <w:r w:rsidR="00E449F6" w:rsidRPr="00E449F6">
        <w:t>headaches, weakness, dizziness, throat irritation, dyspnoea</w:t>
      </w:r>
      <w:r w:rsidR="00CB03D1">
        <w:t xml:space="preserve"> </w:t>
      </w:r>
      <w:r w:rsidR="003C573A">
        <w:t>(shortness of breath)</w:t>
      </w:r>
      <w:r w:rsidR="00E449F6" w:rsidRPr="00E449F6">
        <w:t>, thyroid enlargement and an increase in thiocyanate excretion in the urine</w:t>
      </w:r>
      <w:r w:rsidR="00016D05">
        <w:t xml:space="preserve"> </w:t>
      </w:r>
      <w:sdt>
        <w:sdtPr>
          <w:id w:val="-1720665853"/>
          <w:citation/>
        </w:sdtPr>
        <w:sdtEndPr/>
        <w:sdtContent>
          <w:r w:rsidR="00016D05">
            <w:fldChar w:fldCharType="begin"/>
          </w:r>
          <w:r w:rsidR="00016D05">
            <w:instrText xml:space="preserve"> CITATION Saf20 \l 3081 </w:instrText>
          </w:r>
          <w:r w:rsidR="00016D05">
            <w:fldChar w:fldCharType="separate"/>
          </w:r>
          <w:r w:rsidR="00490B21">
            <w:rPr>
              <w:noProof/>
            </w:rPr>
            <w:t>(Safe Work Australia, 2020)</w:t>
          </w:r>
          <w:r w:rsidR="00016D05">
            <w:fldChar w:fldCharType="end"/>
          </w:r>
        </w:sdtContent>
      </w:sdt>
      <w:r w:rsidR="00014B91">
        <w:t xml:space="preserve">. </w:t>
      </w:r>
    </w:p>
    <w:p w14:paraId="1172EE12" w14:textId="5A6BDA0D" w:rsidR="003C4ECC" w:rsidRDefault="00C1116C" w:rsidP="00633102">
      <w:pPr>
        <w:pStyle w:val="Paragraph"/>
      </w:pPr>
      <w:r>
        <w:t>T</w:t>
      </w:r>
      <w:r w:rsidR="0064782B" w:rsidRPr="0064782B">
        <w:t>he proposed</w:t>
      </w:r>
      <w:r w:rsidR="0064782B" w:rsidRPr="0064782B" w:rsidDel="00136F77">
        <w:t xml:space="preserve"> </w:t>
      </w:r>
      <w:r w:rsidR="0064782B" w:rsidRPr="0064782B">
        <w:t>TWA</w:t>
      </w:r>
      <w:r w:rsidR="0064782B" w:rsidRPr="0064782B" w:rsidDel="00F61D0B">
        <w:t xml:space="preserve"> </w:t>
      </w:r>
      <w:r w:rsidR="0064782B" w:rsidRPr="0064782B">
        <w:t>of 0.9 ppm (1 mg/m</w:t>
      </w:r>
      <w:r w:rsidR="0064782B" w:rsidRPr="0064782B">
        <w:rPr>
          <w:vertAlign w:val="superscript"/>
        </w:rPr>
        <w:t>3</w:t>
      </w:r>
      <w:r w:rsidR="0064782B" w:rsidRPr="0064782B">
        <w:t>) and STEL of 4.7 ppm (5 mg/m</w:t>
      </w:r>
      <w:r w:rsidR="0064782B" w:rsidRPr="0064782B">
        <w:rPr>
          <w:vertAlign w:val="superscript"/>
        </w:rPr>
        <w:t>3</w:t>
      </w:r>
      <w:r w:rsidR="0064782B" w:rsidRPr="0064782B">
        <w:t xml:space="preserve">) for </w:t>
      </w:r>
      <w:r w:rsidR="0064782B">
        <w:t>hydrogen cyanide</w:t>
      </w:r>
      <w:r w:rsidR="0064782B" w:rsidRPr="0064782B">
        <w:t xml:space="preserve"> </w:t>
      </w:r>
      <w:r w:rsidR="00CE4820">
        <w:t>was determined in accordance with the</w:t>
      </w:r>
      <w:r w:rsidR="0064782B" w:rsidRPr="0064782B">
        <w:t xml:space="preserve"> health-based methodology </w:t>
      </w:r>
      <w:r w:rsidR="00CE4820">
        <w:t>agreed by</w:t>
      </w:r>
      <w:r w:rsidR="0064782B" w:rsidRPr="0064782B">
        <w:t xml:space="preserve"> WHS ministers (and which relied on the scientific evidence available at the time of the review</w:t>
      </w:r>
      <w:r w:rsidR="00634C11">
        <w:t xml:space="preserve"> from trusted international and national sources</w:t>
      </w:r>
      <w:r w:rsidR="0064782B" w:rsidRPr="0064782B">
        <w:t>)</w:t>
      </w:r>
      <w:r w:rsidR="00634C11">
        <w:t>.</w:t>
      </w:r>
      <w:r w:rsidR="0064782B" w:rsidRPr="0064782B">
        <w:t xml:space="preserve"> </w:t>
      </w:r>
    </w:p>
    <w:p w14:paraId="0753B13D" w14:textId="5E4CDF68" w:rsidR="00365221" w:rsidRPr="00365221" w:rsidRDefault="00365221" w:rsidP="00633102">
      <w:pPr>
        <w:pStyle w:val="Paragraph"/>
        <w:rPr>
          <w:rFonts w:cs="Arial"/>
        </w:rPr>
      </w:pPr>
      <w:r w:rsidRPr="006D6899">
        <w:t>The evaluation for hydrogen cyanide</w:t>
      </w:r>
      <w:r w:rsidRPr="006D6899">
        <w:rPr>
          <w:rStyle w:val="FootnoteReference"/>
        </w:rPr>
        <w:footnoteReference w:id="160"/>
      </w:r>
      <w:r w:rsidRPr="006D6899">
        <w:t xml:space="preserve"> employed a weight of evidence approach, considering information from </w:t>
      </w:r>
      <w:r w:rsidR="007675C1" w:rsidRPr="006D6899">
        <w:t xml:space="preserve">multiple </w:t>
      </w:r>
      <w:r w:rsidRPr="006D6899">
        <w:t xml:space="preserve">agreed primary sources supported by information from agreed secondary sources </w:t>
      </w:r>
      <w:sdt>
        <w:sdtPr>
          <w:id w:val="-1907453342"/>
          <w:citation/>
        </w:sdtPr>
        <w:sdtEndPr/>
        <w:sdtContent>
          <w:r w:rsidRPr="006D6899">
            <w:fldChar w:fldCharType="begin"/>
          </w:r>
          <w:r w:rsidRPr="006D6899">
            <w:instrText xml:space="preserve"> CITATION Saf181 \l 3081 </w:instrText>
          </w:r>
          <w:r w:rsidRPr="006D6899">
            <w:fldChar w:fldCharType="separate"/>
          </w:r>
          <w:r w:rsidR="00490B21">
            <w:rPr>
              <w:noProof/>
            </w:rPr>
            <w:t>(Safe Work Australia, 2018)</w:t>
          </w:r>
          <w:r w:rsidRPr="006D6899">
            <w:fldChar w:fldCharType="end"/>
          </w:r>
        </w:sdtContent>
      </w:sdt>
      <w:r w:rsidRPr="006D6899">
        <w:t>.</w:t>
      </w:r>
      <w:r w:rsidRPr="009911EB">
        <w:t xml:space="preserve"> </w:t>
      </w:r>
    </w:p>
    <w:p w14:paraId="248C7BD4" w14:textId="222764F5" w:rsidR="00E03F8D" w:rsidRDefault="00E03F8D" w:rsidP="0017419C">
      <w:pPr>
        <w:pStyle w:val="SWAHeading4"/>
      </w:pPr>
      <w:r>
        <w:t>International preceden</w:t>
      </w:r>
      <w:r w:rsidR="000C298C">
        <w:t>t</w:t>
      </w:r>
    </w:p>
    <w:p w14:paraId="7035399A" w14:textId="3F425A51" w:rsidR="00426F25" w:rsidRDefault="00C328C9" w:rsidP="00B64384">
      <w:pPr>
        <w:pStyle w:val="Paragraph"/>
        <w:keepNext w:val="0"/>
      </w:pPr>
      <w:r>
        <w:t xml:space="preserve">The proposed </w:t>
      </w:r>
      <w:r w:rsidR="005D02A5">
        <w:t>TWA</w:t>
      </w:r>
      <w:r>
        <w:t xml:space="preserve"> for hydrogen cyanide </w:t>
      </w:r>
      <w:r w:rsidR="0034235B">
        <w:t xml:space="preserve">is </w:t>
      </w:r>
      <w:r w:rsidR="00426F25">
        <w:t xml:space="preserve">consistent with that </w:t>
      </w:r>
      <w:r w:rsidR="00E03F8D">
        <w:t>recommended</w:t>
      </w:r>
      <w:r w:rsidR="000E2358">
        <w:rPr>
          <w:rFonts w:cs="Arial"/>
        </w:rPr>
        <w:t xml:space="preserve"> by the </w:t>
      </w:r>
      <w:r w:rsidR="000E2358" w:rsidRPr="002A64C4">
        <w:t xml:space="preserve">Health Council </w:t>
      </w:r>
      <w:r w:rsidR="000E2358">
        <w:t>of the Netherlands (HCOTN)</w:t>
      </w:r>
      <w:r w:rsidR="005D02A5">
        <w:t xml:space="preserve"> and </w:t>
      </w:r>
      <w:r w:rsidR="0051575D">
        <w:t>European Union’s Scientific Committee on Occupational Exposure Limits (SCOEL)</w:t>
      </w:r>
      <w:r w:rsidR="003E3E33">
        <w:t xml:space="preserve"> </w:t>
      </w:r>
      <w:sdt>
        <w:sdtPr>
          <w:id w:val="-1766921886"/>
          <w:citation/>
        </w:sdtPr>
        <w:sdtEndPr/>
        <w:sdtContent>
          <w:r w:rsidR="003E3E33">
            <w:fldChar w:fldCharType="begin"/>
          </w:r>
          <w:r w:rsidR="003E3E33">
            <w:instrText xml:space="preserve"> CITATION Hea \l 3081  \m Dir09</w:instrText>
          </w:r>
          <w:r w:rsidR="003E3E33">
            <w:fldChar w:fldCharType="separate"/>
          </w:r>
          <w:r w:rsidR="00490B21">
            <w:rPr>
              <w:noProof/>
            </w:rPr>
            <w:t>(Health Council of the Netherlands, 2002; European Commission Directorate-General of Department of Employment, Social Affairs and Inclusion, 2009)</w:t>
          </w:r>
          <w:r w:rsidR="003E3E33">
            <w:fldChar w:fldCharType="end"/>
          </w:r>
        </w:sdtContent>
      </w:sdt>
      <w:r w:rsidR="000E2358">
        <w:t xml:space="preserve">. </w:t>
      </w:r>
      <w:r w:rsidR="00426F25">
        <w:t xml:space="preserve">The proposed STEL is consistent with that recommended by </w:t>
      </w:r>
      <w:r w:rsidR="000E2358">
        <w:t>SCOEL</w:t>
      </w:r>
      <w:r w:rsidR="000E2358" w:rsidDel="00426F25">
        <w:t xml:space="preserve"> </w:t>
      </w:r>
      <w:sdt>
        <w:sdtPr>
          <w:id w:val="-1073353981"/>
          <w:citation/>
        </w:sdtPr>
        <w:sdtEndPr/>
        <w:sdtContent>
          <w:r w:rsidR="00A7181A">
            <w:fldChar w:fldCharType="begin"/>
          </w:r>
          <w:r w:rsidR="00A7181A">
            <w:instrText xml:space="preserve"> CITATION Dir09 \l 3081 </w:instrText>
          </w:r>
          <w:r w:rsidR="00A7181A">
            <w:fldChar w:fldCharType="separate"/>
          </w:r>
          <w:r w:rsidR="00490B21">
            <w:rPr>
              <w:noProof/>
            </w:rPr>
            <w:t>(European Commission Directorate-General of Department of Employment, Social Affairs and Inclusion, 2009)</w:t>
          </w:r>
          <w:r w:rsidR="00A7181A">
            <w:fldChar w:fldCharType="end"/>
          </w:r>
        </w:sdtContent>
      </w:sdt>
      <w:r w:rsidR="004C1073">
        <w:t xml:space="preserve">. </w:t>
      </w:r>
    </w:p>
    <w:p w14:paraId="7FEAC465" w14:textId="53084197" w:rsidR="00365221" w:rsidRPr="006D6899" w:rsidRDefault="0005052E" w:rsidP="00892881">
      <w:pPr>
        <w:pStyle w:val="Paragraph"/>
      </w:pPr>
      <w:r w:rsidRPr="006D6899">
        <w:lastRenderedPageBreak/>
        <w:t xml:space="preserve">Both the HCOTN and SCOEL were selected as primary sources </w:t>
      </w:r>
      <w:r w:rsidR="00426F25" w:rsidRPr="006D6899">
        <w:rPr>
          <w:rFonts w:cs="Arial"/>
        </w:rPr>
        <w:t xml:space="preserve">as they have international credibility, develop standards through consensus that are health-based and based on evaluation of appropriate data, and their documentation of evaluations is accessible and robust </w:t>
      </w:r>
      <w:sdt>
        <w:sdtPr>
          <w:id w:val="1422909258"/>
          <w:citation/>
        </w:sdtPr>
        <w:sdtEndPr/>
        <w:sdtContent>
          <w:r w:rsidR="00426F25" w:rsidRPr="006D6899">
            <w:fldChar w:fldCharType="begin"/>
          </w:r>
          <w:r w:rsidR="00426F25" w:rsidRPr="006D6899">
            <w:instrText xml:space="preserve"> CITATION Saf181 \l 3081 </w:instrText>
          </w:r>
          <w:r w:rsidR="00426F25" w:rsidRPr="006D6899">
            <w:fldChar w:fldCharType="separate"/>
          </w:r>
          <w:r w:rsidR="00490B21">
            <w:rPr>
              <w:noProof/>
            </w:rPr>
            <w:t>(Safe Work Australia, 2018)</w:t>
          </w:r>
          <w:r w:rsidR="00426F25" w:rsidRPr="006D6899">
            <w:fldChar w:fldCharType="end"/>
          </w:r>
        </w:sdtContent>
      </w:sdt>
      <w:r w:rsidR="00426F25" w:rsidRPr="006D6899">
        <w:rPr>
          <w:rFonts w:cs="Arial"/>
        </w:rPr>
        <w:t>.</w:t>
      </w:r>
    </w:p>
    <w:p w14:paraId="6BD7D814" w14:textId="49F72462" w:rsidR="00892881" w:rsidRPr="006D6899" w:rsidRDefault="00892881" w:rsidP="00892881">
      <w:pPr>
        <w:pStyle w:val="Paragraph"/>
        <w:rPr>
          <w:rFonts w:cs="Arial"/>
        </w:rPr>
      </w:pPr>
      <w:r w:rsidRPr="006D6899">
        <w:rPr>
          <w:rFonts w:cs="Arial"/>
        </w:rPr>
        <w:t xml:space="preserve">Recommendations by the HCOTN are used as a basis to set legally binding occupational exposure limits in the Netherlands. Similarly, the recommendations made by SCOEL are used by the European Commission to set binding or indicative occupational exposure limits to protect workers from chemical risks </w:t>
      </w:r>
      <w:sdt>
        <w:sdtPr>
          <w:rPr>
            <w:rFonts w:cs="Arial"/>
          </w:rPr>
          <w:id w:val="-539132719"/>
          <w:citation/>
        </w:sdtPr>
        <w:sdtEndPr/>
        <w:sdtContent>
          <w:r w:rsidRPr="006D6899">
            <w:rPr>
              <w:rFonts w:cs="Arial"/>
            </w:rPr>
            <w:fldChar w:fldCharType="begin"/>
          </w:r>
          <w:r w:rsidRPr="006D6899">
            <w:rPr>
              <w:rFonts w:cs="Arial"/>
            </w:rPr>
            <w:instrText xml:space="preserve"> CITATION Eur \l 3081 </w:instrText>
          </w:r>
          <w:r w:rsidRPr="006D6899">
            <w:rPr>
              <w:rFonts w:cs="Arial"/>
            </w:rPr>
            <w:fldChar w:fldCharType="separate"/>
          </w:r>
          <w:r w:rsidR="00490B21" w:rsidRPr="00490B21">
            <w:rPr>
              <w:rFonts w:cs="Arial"/>
              <w:noProof/>
            </w:rPr>
            <w:t>(European Chemical Agency (ECHA), n.d.)</w:t>
          </w:r>
          <w:r w:rsidRPr="006D6899">
            <w:rPr>
              <w:rFonts w:cs="Arial"/>
            </w:rPr>
            <w:fldChar w:fldCharType="end"/>
          </w:r>
        </w:sdtContent>
      </w:sdt>
      <w:r w:rsidRPr="006D6899">
        <w:rPr>
          <w:rFonts w:cs="Arial"/>
        </w:rPr>
        <w:t xml:space="preserve">. </w:t>
      </w:r>
    </w:p>
    <w:p w14:paraId="38CEDAF8" w14:textId="0308CFC1" w:rsidR="00C328C9" w:rsidRPr="00DC5375" w:rsidRDefault="00886A04" w:rsidP="0017419C">
      <w:pPr>
        <w:pStyle w:val="Paragraph"/>
        <w:keepNext w:val="0"/>
        <w:spacing w:after="120"/>
        <w:rPr>
          <w:b/>
          <w:bCs/>
          <w:lang w:eastAsia="en-US"/>
        </w:rPr>
      </w:pPr>
      <w:r w:rsidRPr="006D6899">
        <w:t xml:space="preserve">Both the </w:t>
      </w:r>
      <w:r w:rsidR="005729BB" w:rsidRPr="006D6899">
        <w:t xml:space="preserve">health-based </w:t>
      </w:r>
      <w:r w:rsidRPr="006D6899">
        <w:t>proposed</w:t>
      </w:r>
      <w:r w:rsidR="00E20D98" w:rsidRPr="006D6899">
        <w:t xml:space="preserve"> TWA of 0.9 ppm (1 mg/m</w:t>
      </w:r>
      <w:r w:rsidR="00E20D98" w:rsidRPr="006D6899">
        <w:rPr>
          <w:vertAlign w:val="superscript"/>
        </w:rPr>
        <w:t>3</w:t>
      </w:r>
      <w:r w:rsidR="00E20D98" w:rsidRPr="006D6899">
        <w:t>) and</w:t>
      </w:r>
      <w:r w:rsidR="00E20D98" w:rsidRPr="006D6899" w:rsidDel="00B8300B">
        <w:t xml:space="preserve"> </w:t>
      </w:r>
      <w:r w:rsidR="00E20D98" w:rsidRPr="006D6899">
        <w:t xml:space="preserve">STEL of </w:t>
      </w:r>
      <w:r w:rsidR="00DD6282" w:rsidRPr="006D6899">
        <w:t>4.7 ppm (5 mg/m</w:t>
      </w:r>
      <w:r w:rsidR="00DD6282" w:rsidRPr="006D6899">
        <w:rPr>
          <w:vertAlign w:val="superscript"/>
        </w:rPr>
        <w:t>3</w:t>
      </w:r>
      <w:r w:rsidR="00DD6282" w:rsidRPr="006D6899">
        <w:t xml:space="preserve">) </w:t>
      </w:r>
      <w:r w:rsidR="00B8300B" w:rsidRPr="006D6899">
        <w:t>is</w:t>
      </w:r>
      <w:r w:rsidR="00DD6282" w:rsidRPr="006D6899">
        <w:t xml:space="preserve"> </w:t>
      </w:r>
      <w:r w:rsidR="002C349A" w:rsidRPr="006D6899">
        <w:t xml:space="preserve">legislated </w:t>
      </w:r>
      <w:r w:rsidR="00DD6282" w:rsidRPr="006D6899">
        <w:t>in the European Union (and</w:t>
      </w:r>
      <w:r w:rsidR="005E28E8" w:rsidRPr="006D6899">
        <w:t xml:space="preserve"> most of</w:t>
      </w:r>
      <w:r w:rsidR="00DD6282" w:rsidRPr="006D6899">
        <w:t xml:space="preserve"> its member states)</w:t>
      </w:r>
      <w:r w:rsidR="00D4665A" w:rsidRPr="006D6899">
        <w:t xml:space="preserve"> </w:t>
      </w:r>
      <w:r w:rsidR="00B61E6D" w:rsidRPr="006D6899">
        <w:t>and</w:t>
      </w:r>
      <w:r w:rsidR="001F51F5" w:rsidRPr="006D6899">
        <w:t xml:space="preserve"> the United Kingdom.</w:t>
      </w:r>
      <w:r w:rsidR="00520EDD" w:rsidRPr="006D6899">
        <w:t xml:space="preserve"> It is also recommended in New Zealand.</w:t>
      </w:r>
      <w:r w:rsidR="001F51F5" w:rsidRPr="006D6899">
        <w:t xml:space="preserve"> The proposed TWA is</w:t>
      </w:r>
      <w:r w:rsidR="001F51F5" w:rsidRPr="006D6899" w:rsidDel="00B8300B">
        <w:t xml:space="preserve"> </w:t>
      </w:r>
      <w:r w:rsidR="00681C9D" w:rsidRPr="006D6899">
        <w:t xml:space="preserve">recommended </w:t>
      </w:r>
      <w:r w:rsidR="001866CA" w:rsidRPr="006D6899">
        <w:t>in The Netherlands</w:t>
      </w:r>
      <w:r w:rsidR="0023037D" w:rsidRPr="006D6899">
        <w:t xml:space="preserve">, while the proposed STEL is </w:t>
      </w:r>
      <w:r w:rsidR="00DB328B" w:rsidRPr="006D6899">
        <w:t xml:space="preserve">legislated </w:t>
      </w:r>
      <w:r w:rsidR="0023037D" w:rsidRPr="006D6899">
        <w:t xml:space="preserve">in </w:t>
      </w:r>
      <w:r w:rsidR="00E222C1" w:rsidRPr="006D6899">
        <w:t>Singapore</w:t>
      </w:r>
      <w:r w:rsidR="00B8300B" w:rsidRPr="006D6899">
        <w:t>;</w:t>
      </w:r>
      <w:r w:rsidR="00827C26" w:rsidRPr="006D6899">
        <w:t xml:space="preserve"> and</w:t>
      </w:r>
      <w:r w:rsidR="00B8300B" w:rsidRPr="006D6899">
        <w:t xml:space="preserve"> is</w:t>
      </w:r>
      <w:r w:rsidR="00827C26" w:rsidRPr="006D6899">
        <w:t xml:space="preserve"> </w:t>
      </w:r>
      <w:r w:rsidR="00134051" w:rsidRPr="006D6899">
        <w:t xml:space="preserve">recommended </w:t>
      </w:r>
      <w:r w:rsidR="00827C26" w:rsidRPr="006D6899">
        <w:t>by</w:t>
      </w:r>
      <w:r w:rsidR="0049569E" w:rsidRPr="006D6899">
        <w:t xml:space="preserve"> </w:t>
      </w:r>
      <w:r w:rsidR="00FD7AE3" w:rsidRPr="006D6899">
        <w:t xml:space="preserve">the </w:t>
      </w:r>
      <w:r w:rsidR="00827C26" w:rsidRPr="006D6899">
        <w:t>N</w:t>
      </w:r>
      <w:r w:rsidR="00FD7AE3" w:rsidRPr="006D6899">
        <w:t xml:space="preserve">ational </w:t>
      </w:r>
      <w:r w:rsidR="00827C26" w:rsidRPr="006D6899">
        <w:t>I</w:t>
      </w:r>
      <w:r w:rsidR="00FD7AE3" w:rsidRPr="006D6899">
        <w:t xml:space="preserve">nstitute of </w:t>
      </w:r>
      <w:r w:rsidR="00827C26" w:rsidRPr="006D6899">
        <w:t>O</w:t>
      </w:r>
      <w:r w:rsidR="00FD7AE3" w:rsidRPr="006D6899">
        <w:t xml:space="preserve">ccupational </w:t>
      </w:r>
      <w:r w:rsidR="00827C26" w:rsidRPr="006D6899">
        <w:t>S</w:t>
      </w:r>
      <w:r w:rsidR="00FD7AE3" w:rsidRPr="006D6899">
        <w:t xml:space="preserve">afety and </w:t>
      </w:r>
      <w:r w:rsidR="00827C26" w:rsidRPr="006D6899">
        <w:t>H</w:t>
      </w:r>
      <w:r w:rsidR="00FD7AE3" w:rsidRPr="006D6899">
        <w:t>ealth</w:t>
      </w:r>
      <w:r w:rsidR="00827C26" w:rsidRPr="006D6899">
        <w:t xml:space="preserve"> (USA)</w:t>
      </w:r>
      <w:r w:rsidR="00B8300B" w:rsidRPr="006D6899">
        <w:t xml:space="preserve"> </w:t>
      </w:r>
      <w:sdt>
        <w:sdtPr>
          <w:id w:val="-1112732170"/>
          <w:citation/>
        </w:sdtPr>
        <w:sdtEndPr/>
        <w:sdtContent>
          <w:r w:rsidR="00317442" w:rsidRPr="006D6899">
            <w:fldChar w:fldCharType="begin"/>
          </w:r>
          <w:r w:rsidR="00807B47" w:rsidRPr="006D6899">
            <w:instrText xml:space="preserve">CITATION Fornd \l 3081 </w:instrText>
          </w:r>
          <w:r w:rsidR="00317442" w:rsidRPr="006D6899">
            <w:fldChar w:fldCharType="separate"/>
          </w:r>
          <w:r w:rsidR="00490B21">
            <w:rPr>
              <w:noProof/>
            </w:rPr>
            <w:t>(Institute for Occupational Safety and Health of the German Social Accident Insurance, n.d.)</w:t>
          </w:r>
          <w:r w:rsidR="00317442" w:rsidRPr="006D6899">
            <w:fldChar w:fldCharType="end"/>
          </w:r>
        </w:sdtContent>
      </w:sdt>
      <w:r w:rsidR="00E222C1" w:rsidRPr="006D6899">
        <w:t>.</w:t>
      </w:r>
      <w:r w:rsidR="00E222C1">
        <w:t xml:space="preserve"> </w:t>
      </w:r>
      <w:r w:rsidR="001866CA">
        <w:t xml:space="preserve"> </w:t>
      </w:r>
    </w:p>
    <w:p w14:paraId="50484D3C" w14:textId="66BA8745" w:rsidR="00E03F8D" w:rsidRDefault="00E03F8D" w:rsidP="00C40DD5">
      <w:pPr>
        <w:pStyle w:val="SWAHeading4"/>
        <w:spacing w:before="240"/>
      </w:pPr>
      <w:r>
        <w:t>Quantifi</w:t>
      </w:r>
      <w:r w:rsidR="00272DFD">
        <w:t>able</w:t>
      </w:r>
      <w:r>
        <w:t xml:space="preserve"> health benefits for the proposed WEL for hydrogen cyanide</w:t>
      </w:r>
    </w:p>
    <w:p w14:paraId="4B90AC9B" w14:textId="7B0902E1" w:rsidR="00117CA8" w:rsidRPr="00117CA8" w:rsidRDefault="00272DFD" w:rsidP="009E2239">
      <w:pPr>
        <w:pStyle w:val="Paragraph"/>
        <w:keepNext w:val="0"/>
        <w:spacing w:before="120" w:after="120"/>
      </w:pPr>
      <w:r>
        <w:t>H</w:t>
      </w:r>
      <w:r w:rsidR="00117CA8" w:rsidRPr="00117CA8">
        <w:t xml:space="preserve">ealth benefits were not </w:t>
      </w:r>
      <w:r>
        <w:t xml:space="preserve">able to be quantified </w:t>
      </w:r>
      <w:r w:rsidR="00117CA8" w:rsidRPr="00117CA8">
        <w:t xml:space="preserve">for </w:t>
      </w:r>
      <w:r w:rsidR="00117CA8">
        <w:t>hydrogen cyanide</w:t>
      </w:r>
      <w:r w:rsidR="00117CA8" w:rsidRPr="00117CA8">
        <w:t xml:space="preserve">. </w:t>
      </w:r>
      <w:r w:rsidR="00EE5849" w:rsidRPr="00EE5849">
        <w:t xml:space="preserve">This is because no estimates of the current burden of disease attributable to workplace exposure to </w:t>
      </w:r>
      <w:r w:rsidR="00EE5849">
        <w:t>hydrogen cyanide</w:t>
      </w:r>
      <w:r w:rsidR="00EE5849" w:rsidRPr="00EE5849">
        <w:t xml:space="preserve"> were able to be identified through research or stakeholder engagement</w:t>
      </w:r>
      <w:r w:rsidR="00EE5849" w:rsidRPr="00EE5849" w:rsidDel="00EE5849">
        <w:t xml:space="preserve"> </w:t>
      </w:r>
    </w:p>
    <w:p w14:paraId="5E032CEA" w14:textId="2AD937D9" w:rsidR="00FF7064" w:rsidRDefault="00117CA8" w:rsidP="00117CA8">
      <w:pPr>
        <w:pStyle w:val="Paragraph"/>
      </w:pPr>
      <w:r w:rsidRPr="00117CA8">
        <w:t xml:space="preserve">However, a lack of data does not necessarily mean that the introduction of the proposed WEL will not result in health benefits for workers. As the health evidence has shown, the proposed </w:t>
      </w:r>
      <w:r w:rsidR="00C706FD">
        <w:t xml:space="preserve">TWA </w:t>
      </w:r>
      <w:r w:rsidRPr="00117CA8">
        <w:t xml:space="preserve">is set at a level considered protective </w:t>
      </w:r>
      <w:r w:rsidR="00C706FD">
        <w:t xml:space="preserve">of </w:t>
      </w:r>
      <w:r w:rsidR="00C706FD" w:rsidRPr="00C706FD">
        <w:t>chronic neurological symptoms and thyroid enlargement from chronic exposures</w:t>
      </w:r>
      <w:r w:rsidR="00C706FD">
        <w:t xml:space="preserve"> </w:t>
      </w:r>
      <w:r w:rsidR="00FF7064">
        <w:t>to hydrogen cyanide</w:t>
      </w:r>
      <w:r w:rsidRPr="00117CA8">
        <w:t xml:space="preserve">. </w:t>
      </w:r>
      <w:r w:rsidR="00C32630">
        <w:t>Thyroid enlargement can lead to</w:t>
      </w:r>
      <w:r w:rsidR="00806FDD">
        <w:t xml:space="preserve"> discomfort,</w:t>
      </w:r>
      <w:r w:rsidR="00C32630">
        <w:t xml:space="preserve"> difficulty </w:t>
      </w:r>
      <w:r w:rsidR="005620D7">
        <w:t>in</w:t>
      </w:r>
      <w:r w:rsidR="00C32630">
        <w:t xml:space="preserve"> breathing</w:t>
      </w:r>
      <w:r w:rsidR="005620D7">
        <w:t xml:space="preserve"> and swallowing, coughing and hoarseness</w:t>
      </w:r>
      <w:r w:rsidR="00F95FDE">
        <w:t xml:space="preserve"> </w:t>
      </w:r>
      <w:sdt>
        <w:sdtPr>
          <w:id w:val="716786047"/>
          <w:citation/>
        </w:sdtPr>
        <w:sdtEndPr/>
        <w:sdtContent>
          <w:r w:rsidR="00154DB8">
            <w:fldChar w:fldCharType="begin"/>
          </w:r>
          <w:r w:rsidR="00154DB8">
            <w:instrText xml:space="preserve"> CITATION Hug12 \l 3081 </w:instrText>
          </w:r>
          <w:r w:rsidR="00154DB8">
            <w:fldChar w:fldCharType="separate"/>
          </w:r>
          <w:r w:rsidR="00490B21">
            <w:rPr>
              <w:noProof/>
            </w:rPr>
            <w:t>(Hughes &amp; Eastman, 2012)</w:t>
          </w:r>
          <w:r w:rsidR="00154DB8">
            <w:fldChar w:fldCharType="end"/>
          </w:r>
        </w:sdtContent>
      </w:sdt>
      <w:r w:rsidR="00C32630">
        <w:t xml:space="preserve">, putting an affected workers’ </w:t>
      </w:r>
      <w:r w:rsidR="00806FDD">
        <w:t xml:space="preserve">life and </w:t>
      </w:r>
      <w:r w:rsidR="00C32630">
        <w:t xml:space="preserve">quality of life at risk. </w:t>
      </w:r>
      <w:r w:rsidR="00FF7064">
        <w:t xml:space="preserve">The proposed STEL is considered protective of </w:t>
      </w:r>
      <w:r w:rsidR="001C4B56">
        <w:t>immediate acute</w:t>
      </w:r>
      <w:r w:rsidR="00FF7064" w:rsidRPr="00FF7064">
        <w:t xml:space="preserve"> and severe health effects</w:t>
      </w:r>
      <w:r w:rsidR="00FF7064">
        <w:t xml:space="preserve">, like </w:t>
      </w:r>
      <w:r w:rsidR="00FF7064" w:rsidRPr="00FF7064">
        <w:t>death, coma</w:t>
      </w:r>
      <w:r w:rsidR="00FF7064">
        <w:t xml:space="preserve"> and </w:t>
      </w:r>
      <w:r w:rsidR="00FF7064" w:rsidRPr="00FF7064">
        <w:t>respiratory failure</w:t>
      </w:r>
      <w:r w:rsidR="00FF7064">
        <w:t xml:space="preserve">. </w:t>
      </w:r>
    </w:p>
    <w:p w14:paraId="5FA741BD" w14:textId="6BE6F99A" w:rsidR="00773BB0" w:rsidRPr="00773BB0" w:rsidRDefault="00E03F8D" w:rsidP="00C40DD5">
      <w:pPr>
        <w:pStyle w:val="SWAHeading4"/>
      </w:pPr>
      <w:r>
        <w:t>A</w:t>
      </w:r>
      <w:r w:rsidR="00773BB0" w:rsidRPr="00773BB0">
        <w:t>dverse health effects</w:t>
      </w:r>
      <w:r>
        <w:t xml:space="preserve"> associated with hydrogen cyanide</w:t>
      </w:r>
    </w:p>
    <w:p w14:paraId="2A6159BE" w14:textId="2B1F0DCB" w:rsidR="00146492" w:rsidRDefault="000B5A6C" w:rsidP="00524C90">
      <w:pPr>
        <w:pStyle w:val="Paragraph"/>
      </w:pPr>
      <w:r>
        <w:t>Additional</w:t>
      </w:r>
      <w:r w:rsidR="00146492">
        <w:t xml:space="preserve"> adverse health effects that the pr</w:t>
      </w:r>
      <w:r>
        <w:t xml:space="preserve">oposed WEL for hydrogen cyanide </w:t>
      </w:r>
      <w:r w:rsidR="004634B1">
        <w:t>can</w:t>
      </w:r>
      <w:r w:rsidR="00BA0246">
        <w:t xml:space="preserve"> protect </w:t>
      </w:r>
      <w:r w:rsidR="004634B1">
        <w:t>workers from include:</w:t>
      </w:r>
    </w:p>
    <w:p w14:paraId="14807ABF" w14:textId="6E9C74F0" w:rsidR="00524C90" w:rsidRDefault="00524C90" w:rsidP="00A2768E">
      <w:pPr>
        <w:pStyle w:val="Paragraph"/>
        <w:numPr>
          <w:ilvl w:val="0"/>
          <w:numId w:val="83"/>
        </w:numPr>
      </w:pPr>
      <w:r>
        <w:t xml:space="preserve">skin irritation </w:t>
      </w:r>
      <w:sdt>
        <w:sdtPr>
          <w:id w:val="326717316"/>
          <w:citation/>
        </w:sdtPr>
        <w:sdtEndPr/>
        <w:sdtContent>
          <w:r>
            <w:fldChar w:fldCharType="begin"/>
          </w:r>
          <w:r w:rsidR="008C5372">
            <w:instrText xml:space="preserve">CITATION Dir09 \m Hea \l 3081 </w:instrText>
          </w:r>
          <w:r>
            <w:fldChar w:fldCharType="separate"/>
          </w:r>
          <w:r w:rsidR="00490B21">
            <w:rPr>
              <w:noProof/>
            </w:rPr>
            <w:t>(European Commission Directorate-General of Department of Employment, Social Affairs and Inclusion, 2009; Health Council of the Netherlands, 2002)</w:t>
          </w:r>
          <w:r>
            <w:fldChar w:fldCharType="end"/>
          </w:r>
        </w:sdtContent>
      </w:sdt>
      <w:r w:rsidR="004634B1">
        <w:t>, and</w:t>
      </w:r>
    </w:p>
    <w:p w14:paraId="0482279B" w14:textId="667574D2" w:rsidR="00773BB0" w:rsidRPr="00773BB0" w:rsidRDefault="004634B1" w:rsidP="00A2768E">
      <w:pPr>
        <w:pStyle w:val="Paragraph"/>
        <w:numPr>
          <w:ilvl w:val="0"/>
          <w:numId w:val="83"/>
        </w:numPr>
      </w:pPr>
      <w:r>
        <w:t>n</w:t>
      </w:r>
      <w:r w:rsidR="00524C90">
        <w:t xml:space="preserve">asal irritation and ulceration of the nasal septum lining and mucosa </w:t>
      </w:r>
      <w:sdt>
        <w:sdtPr>
          <w:id w:val="484285032"/>
          <w:citation/>
        </w:sdtPr>
        <w:sdtEndPr/>
        <w:sdtContent>
          <w:r w:rsidR="00524C90">
            <w:fldChar w:fldCharType="begin"/>
          </w:r>
          <w:r w:rsidR="008C5372">
            <w:instrText xml:space="preserve">CITATION Dir09 \l 3081 </w:instrText>
          </w:r>
          <w:r w:rsidR="00524C90">
            <w:fldChar w:fldCharType="separate"/>
          </w:r>
          <w:r w:rsidR="00490B21">
            <w:rPr>
              <w:noProof/>
            </w:rPr>
            <w:t>(European Commission Directorate-General of Department of Employment, Social Affairs and Inclusion, 2009)</w:t>
          </w:r>
          <w:r w:rsidR="00524C90">
            <w:fldChar w:fldCharType="end"/>
          </w:r>
        </w:sdtContent>
      </w:sdt>
      <w:r w:rsidR="00524C90">
        <w:t>.</w:t>
      </w:r>
      <w:r w:rsidR="00773BB0" w:rsidRPr="00773BB0">
        <w:t xml:space="preserve"> </w:t>
      </w:r>
    </w:p>
    <w:p w14:paraId="1D182C39" w14:textId="3042E690" w:rsidR="00606A73" w:rsidRDefault="000D5CDF" w:rsidP="00C40DD5">
      <w:pPr>
        <w:pStyle w:val="Paragraph"/>
        <w:keepNext w:val="0"/>
        <w:spacing w:after="120"/>
      </w:pPr>
      <w:r>
        <w:t xml:space="preserve">Safe Work Australia’s List of Deemed Diseases lists </w:t>
      </w:r>
      <w:r w:rsidR="007A5501">
        <w:t xml:space="preserve">work-related exposures to </w:t>
      </w:r>
      <w:r>
        <w:t xml:space="preserve">hydrogen cyanide </w:t>
      </w:r>
      <w:r w:rsidR="004634B1">
        <w:t>as a</w:t>
      </w:r>
      <w:r w:rsidR="00B47E6D">
        <w:t xml:space="preserve"> cause</w:t>
      </w:r>
      <w:r w:rsidR="004634B1">
        <w:t xml:space="preserve"> of</w:t>
      </w:r>
      <w:r w:rsidR="00B47E6D">
        <w:t xml:space="preserve"> acute poisoning and toxicity</w:t>
      </w:r>
      <w:r w:rsidR="00C8566D">
        <w:t xml:space="preserve"> to </w:t>
      </w:r>
      <w:r w:rsidR="00C8566D" w:rsidRPr="00C8566D">
        <w:t>one or more of the heart, lungs, liver, kidney, nervous system and blood</w:t>
      </w:r>
      <w:r w:rsidR="00B47E6D">
        <w:t xml:space="preserve"> </w:t>
      </w:r>
      <w:sdt>
        <w:sdtPr>
          <w:id w:val="2108311617"/>
          <w:citation/>
        </w:sdtPr>
        <w:sdtEndPr/>
        <w:sdtContent>
          <w:r w:rsidR="00B47E6D">
            <w:fldChar w:fldCharType="begin"/>
          </w:r>
          <w:r w:rsidR="00B47E6D">
            <w:instrText xml:space="preserve"> CITATION Saf24 \l 3081 </w:instrText>
          </w:r>
          <w:r w:rsidR="00B47E6D">
            <w:fldChar w:fldCharType="separate"/>
          </w:r>
          <w:r w:rsidR="00490B21">
            <w:rPr>
              <w:noProof/>
            </w:rPr>
            <w:t>(Safe Work Australia, 2024)</w:t>
          </w:r>
          <w:r w:rsidR="00B47E6D">
            <w:fldChar w:fldCharType="end"/>
          </w:r>
        </w:sdtContent>
      </w:sdt>
      <w:r w:rsidR="00B47E6D">
        <w:t xml:space="preserve">. </w:t>
      </w:r>
      <w:r w:rsidR="000C4769">
        <w:t>A</w:t>
      </w:r>
      <w:r w:rsidR="006E6AC1">
        <w:t>cute toxicity effects</w:t>
      </w:r>
      <w:r w:rsidR="000C4769">
        <w:t xml:space="preserve"> were also summarised</w:t>
      </w:r>
      <w:r w:rsidR="006E6AC1">
        <w:t xml:space="preserve"> </w:t>
      </w:r>
      <w:r w:rsidR="00A50BE8">
        <w:t xml:space="preserve">in the </w:t>
      </w:r>
      <w:r w:rsidR="00920BCC">
        <w:t>European Commission</w:t>
      </w:r>
      <w:r w:rsidR="006F5089">
        <w:t>’</w:t>
      </w:r>
      <w:r w:rsidR="00920BCC">
        <w:t xml:space="preserve">s </w:t>
      </w:r>
      <w:r w:rsidR="00E72772">
        <w:t>S</w:t>
      </w:r>
      <w:r w:rsidR="003A11EA">
        <w:t xml:space="preserve">cientific Committee </w:t>
      </w:r>
      <w:r w:rsidR="007B6E74">
        <w:t>on</w:t>
      </w:r>
      <w:r w:rsidR="003A11EA">
        <w:t xml:space="preserve"> </w:t>
      </w:r>
      <w:r w:rsidR="00E72772">
        <w:t>O</w:t>
      </w:r>
      <w:r w:rsidR="007B6E74">
        <w:t xml:space="preserve">ccupational </w:t>
      </w:r>
      <w:r w:rsidR="00BD54C4">
        <w:t>Exposure Limits’</w:t>
      </w:r>
      <w:r w:rsidR="00E72772">
        <w:t xml:space="preserve"> </w:t>
      </w:r>
      <w:r w:rsidR="00C40DD5">
        <w:t>R</w:t>
      </w:r>
      <w:r w:rsidR="00E72772">
        <w:t xml:space="preserve">ecommendation </w:t>
      </w:r>
      <w:r w:rsidR="0011213D">
        <w:t>of</w:t>
      </w:r>
      <w:r w:rsidR="00E72772">
        <w:t xml:space="preserve"> occupational exposure limits for c</w:t>
      </w:r>
      <w:r w:rsidR="00D935F1">
        <w:t>yanide</w:t>
      </w:r>
      <w:r w:rsidR="00BD54C4">
        <w:t>s</w:t>
      </w:r>
      <w:r w:rsidR="00D935F1">
        <w:t xml:space="preserve"> </w:t>
      </w:r>
      <w:r w:rsidR="0011213D">
        <w:t>(H</w:t>
      </w:r>
      <w:r w:rsidR="00E4641E">
        <w:t>ydrogen cyanide</w:t>
      </w:r>
      <w:r w:rsidR="0011213D">
        <w:t xml:space="preserve">, </w:t>
      </w:r>
      <w:r w:rsidR="00E4641E">
        <w:t>sodium cyanide</w:t>
      </w:r>
      <w:r w:rsidR="0011213D">
        <w:t xml:space="preserve"> and </w:t>
      </w:r>
      <w:r w:rsidR="00E4641E">
        <w:t>potassium cyanide</w:t>
      </w:r>
      <w:r w:rsidR="0011213D">
        <w:t xml:space="preserve">) </w:t>
      </w:r>
      <w:r w:rsidR="00C40DD5">
        <w:t>report</w:t>
      </w:r>
      <w:r w:rsidR="00E4641E">
        <w:t xml:space="preserve"> </w:t>
      </w:r>
      <w:sdt>
        <w:sdtPr>
          <w:id w:val="922771142"/>
          <w:citation/>
        </w:sdtPr>
        <w:sdtEndPr/>
        <w:sdtContent>
          <w:r w:rsidR="00E72772">
            <w:fldChar w:fldCharType="begin"/>
          </w:r>
          <w:r w:rsidR="008C5372">
            <w:instrText xml:space="preserve">CITATION Dir09 \l 3081 </w:instrText>
          </w:r>
          <w:r w:rsidR="00E72772">
            <w:fldChar w:fldCharType="separate"/>
          </w:r>
          <w:r w:rsidR="00490B21">
            <w:rPr>
              <w:noProof/>
            </w:rPr>
            <w:t>(European Commission Directorate-General of Department of Employment, Social Affairs and Inclusion, 2009)</w:t>
          </w:r>
          <w:r w:rsidR="00E72772">
            <w:fldChar w:fldCharType="end"/>
          </w:r>
        </w:sdtContent>
      </w:sdt>
      <w:r w:rsidR="00E72772">
        <w:t xml:space="preserve">. </w:t>
      </w:r>
      <w:r w:rsidR="00DF290B">
        <w:t xml:space="preserve">Target organs </w:t>
      </w:r>
      <w:r w:rsidR="00FE7CE1">
        <w:t xml:space="preserve">can </w:t>
      </w:r>
      <w:r w:rsidR="00DF290B">
        <w:t xml:space="preserve">include the </w:t>
      </w:r>
      <w:r w:rsidR="00DF290B" w:rsidRPr="00DF290B">
        <w:t>central nervous system, cardiovascular system</w:t>
      </w:r>
      <w:r w:rsidR="00DF290B">
        <w:t>,</w:t>
      </w:r>
      <w:r w:rsidR="00DF290B" w:rsidRPr="00DF290B">
        <w:t xml:space="preserve"> thyroid</w:t>
      </w:r>
      <w:r w:rsidR="00DF290B">
        <w:t xml:space="preserve"> and</w:t>
      </w:r>
      <w:r w:rsidR="00DF290B" w:rsidRPr="00DF290B">
        <w:t xml:space="preserve"> blood</w:t>
      </w:r>
      <w:r w:rsidR="00DF290B">
        <w:t xml:space="preserve"> </w:t>
      </w:r>
      <w:sdt>
        <w:sdtPr>
          <w:id w:val="246849679"/>
          <w:citation/>
        </w:sdtPr>
        <w:sdtEndPr/>
        <w:sdtContent>
          <w:r w:rsidR="001672B1">
            <w:fldChar w:fldCharType="begin"/>
          </w:r>
          <w:r w:rsidR="001672B1">
            <w:instrText xml:space="preserve"> CITATION The191 \l 3081 </w:instrText>
          </w:r>
          <w:r w:rsidR="001672B1">
            <w:fldChar w:fldCharType="separate"/>
          </w:r>
          <w:r w:rsidR="00490B21">
            <w:rPr>
              <w:noProof/>
            </w:rPr>
            <w:t>(The National Institute for Occupational Safety and Health (NIOSH), 2019)</w:t>
          </w:r>
          <w:r w:rsidR="001672B1">
            <w:fldChar w:fldCharType="end"/>
          </w:r>
        </w:sdtContent>
      </w:sdt>
      <w:r w:rsidR="000617C7">
        <w:t>.</w:t>
      </w:r>
    </w:p>
    <w:p w14:paraId="5CEBD15D" w14:textId="2497C731" w:rsidR="00EE6E9F" w:rsidRPr="00117CA8" w:rsidRDefault="00EE6E9F" w:rsidP="002D79A6">
      <w:pPr>
        <w:pStyle w:val="SWAHeading3"/>
        <w:keepNext/>
        <w:keepLines/>
      </w:pPr>
      <w:bookmarkStart w:id="325" w:name="_Toc196204722"/>
      <w:r>
        <w:lastRenderedPageBreak/>
        <w:t>Financial benefits of the proposed WEL for hydrogen cyanide</w:t>
      </w:r>
      <w:bookmarkEnd w:id="325"/>
      <w:r>
        <w:t xml:space="preserve"> </w:t>
      </w:r>
    </w:p>
    <w:p w14:paraId="7D7289FA" w14:textId="23C07C48" w:rsidR="00073D7E" w:rsidRPr="00073D7E" w:rsidRDefault="00073D7E" w:rsidP="006B470E">
      <w:pPr>
        <w:pStyle w:val="SWAHeading4"/>
        <w:keepNext/>
        <w:keepLines/>
      </w:pPr>
      <w:r w:rsidRPr="00073D7E">
        <w:t>Quantifi</w:t>
      </w:r>
      <w:r w:rsidR="00272DFD">
        <w:t>able</w:t>
      </w:r>
      <w:r w:rsidRPr="00073D7E">
        <w:t xml:space="preserve"> financial benefits for the proposed WEL for </w:t>
      </w:r>
      <w:r>
        <w:t>hydrogen cyanide</w:t>
      </w:r>
    </w:p>
    <w:p w14:paraId="4F8C9BE3" w14:textId="25D3E4E1" w:rsidR="00EE6E9F" w:rsidRPr="00EE6E9F" w:rsidRDefault="00272DFD" w:rsidP="002D79A6">
      <w:pPr>
        <w:pStyle w:val="Paragraph"/>
        <w:keepLines/>
      </w:pPr>
      <w:r>
        <w:t>F</w:t>
      </w:r>
      <w:r w:rsidR="00EE6E9F" w:rsidRPr="00EE6E9F">
        <w:t xml:space="preserve">inancial benefits were not </w:t>
      </w:r>
      <w:r w:rsidR="003640C0">
        <w:t xml:space="preserve">able to be </w:t>
      </w:r>
      <w:r>
        <w:t xml:space="preserve">quantified </w:t>
      </w:r>
      <w:r w:rsidR="00EE6E9F" w:rsidRPr="00EE6E9F">
        <w:t xml:space="preserve">for </w:t>
      </w:r>
      <w:r w:rsidR="00EE6E9F">
        <w:t>hydrogen cyanide</w:t>
      </w:r>
      <w:r w:rsidR="00EE6E9F" w:rsidRPr="00EE6E9F">
        <w:t xml:space="preserve">. This is due to the lack of workers’ compensation claims caused by </w:t>
      </w:r>
      <w:r w:rsidR="00EE6E9F">
        <w:t>hydrogen cyanide</w:t>
      </w:r>
      <w:r w:rsidR="00EE6E9F" w:rsidRPr="00EE6E9F">
        <w:t xml:space="preserve">. Noting the adverse health effects </w:t>
      </w:r>
      <w:r w:rsidR="00685AC7">
        <w:t>outlined above</w:t>
      </w:r>
      <w:r w:rsidR="00EE6E9F" w:rsidRPr="00EE6E9F">
        <w:t xml:space="preserve">, it is possible that occupational illness attributable to workplace exposure for </w:t>
      </w:r>
      <w:r w:rsidR="00EE6E9F">
        <w:t>hydrogen cyanide</w:t>
      </w:r>
      <w:r w:rsidR="00EE6E9F" w:rsidRPr="00EE6E9F">
        <w:t xml:space="preserve"> are likely under-represented in workers’ compensation data, due to difficulties in proving causation, the latency period between occupational exposure and the illness </w:t>
      </w:r>
      <w:r w:rsidR="003A5B99">
        <w:t xml:space="preserve">or onset of symptoms </w:t>
      </w:r>
      <w:r w:rsidR="00EE6E9F" w:rsidRPr="00EE6E9F">
        <w:t xml:space="preserve">(especially if it develops after the worker has stopped working at the workplace), or an affected worker may not </w:t>
      </w:r>
      <w:r w:rsidR="00443996">
        <w:t>seek</w:t>
      </w:r>
      <w:r w:rsidR="00EE6E9F" w:rsidRPr="00EE6E9F">
        <w:t xml:space="preserve"> compensation </w:t>
      </w:r>
      <w:r w:rsidR="00443996">
        <w:t>(for example</w:t>
      </w:r>
      <w:r w:rsidR="00EE6E9F" w:rsidRPr="00EE6E9F">
        <w:t>, thinking they are ineligible or not being aware they are covered</w:t>
      </w:r>
      <w:r w:rsidR="00443996">
        <w:t>)</w:t>
      </w:r>
      <w:r w:rsidR="00EE6E9F" w:rsidRPr="00EE6E9F">
        <w:t xml:space="preserve">. </w:t>
      </w:r>
    </w:p>
    <w:p w14:paraId="6D322F99" w14:textId="22E9B494" w:rsidR="00073D7E" w:rsidRPr="00073D7E" w:rsidRDefault="00900BBD" w:rsidP="00073D7E">
      <w:pPr>
        <w:pStyle w:val="SWAHeading4"/>
      </w:pPr>
      <w:r>
        <w:t>Non-</w:t>
      </w:r>
      <w:r w:rsidR="00073D7E">
        <w:t>q</w:t>
      </w:r>
      <w:r w:rsidR="00073D7E" w:rsidRPr="00073D7E">
        <w:t>uantifi</w:t>
      </w:r>
      <w:r w:rsidR="00E920DE">
        <w:t>able</w:t>
      </w:r>
      <w:r w:rsidR="00073D7E" w:rsidRPr="00073D7E">
        <w:t xml:space="preserve"> financial benefits for the proposed WEL for </w:t>
      </w:r>
      <w:r w:rsidR="00073D7E">
        <w:t>hydrogen cyanide</w:t>
      </w:r>
    </w:p>
    <w:p w14:paraId="3A9561AE" w14:textId="5DA248AE" w:rsidR="00957E76" w:rsidRPr="00957E76" w:rsidRDefault="00E96797" w:rsidP="00957E76">
      <w:pPr>
        <w:pStyle w:val="Paragraph"/>
      </w:pPr>
      <w:r>
        <w:t>A</w:t>
      </w:r>
      <w:r w:rsidR="00957E76" w:rsidRPr="00957E76">
        <w:t xml:space="preserve"> lack of data to quantify financial benefits does not mean the introduction of the proposed WEL </w:t>
      </w:r>
      <w:r w:rsidR="00957E76">
        <w:t>for hydrogen cyanide</w:t>
      </w:r>
      <w:r w:rsidR="00957E76" w:rsidRPr="00957E76">
        <w:t xml:space="preserve"> would not achieve financial benefits</w:t>
      </w:r>
      <w:r w:rsidR="00821449">
        <w:t xml:space="preserve"> (as outlined earlier in the Decision RIS)</w:t>
      </w:r>
      <w:r w:rsidR="00957E76" w:rsidRPr="00957E76">
        <w:t xml:space="preserve">. </w:t>
      </w:r>
      <w:r w:rsidR="004319A5">
        <w:t>More broadly,</w:t>
      </w:r>
      <w:r w:rsidR="00957E76" w:rsidRPr="00957E76">
        <w:t xml:space="preserve"> financial benefits that the proposed WEL for </w:t>
      </w:r>
      <w:r w:rsidR="00957E76">
        <w:t>hydrogen cyanide</w:t>
      </w:r>
      <w:r w:rsidR="00957E76" w:rsidRPr="00957E76">
        <w:t xml:space="preserve"> </w:t>
      </w:r>
      <w:r w:rsidR="004319A5">
        <w:t xml:space="preserve">could deliver </w:t>
      </w:r>
      <w:r w:rsidR="00FD1CF8">
        <w:t>are described below.</w:t>
      </w:r>
      <w:r w:rsidR="00957E76" w:rsidRPr="00957E76">
        <w:t xml:space="preserve"> </w:t>
      </w:r>
    </w:p>
    <w:p w14:paraId="58A0971B" w14:textId="4942F53E" w:rsidR="000617C7" w:rsidRPr="000617C7" w:rsidRDefault="000617C7" w:rsidP="00073D7E">
      <w:pPr>
        <w:pStyle w:val="SWAHeading5"/>
      </w:pPr>
      <w:r w:rsidRPr="000617C7">
        <w:t xml:space="preserve">Increased productivity </w:t>
      </w:r>
    </w:p>
    <w:p w14:paraId="202833F2" w14:textId="77777777" w:rsidR="00232396" w:rsidRDefault="000617C7" w:rsidP="00EA7AEE">
      <w:pPr>
        <w:pStyle w:val="Paragraph"/>
      </w:pPr>
      <w:r w:rsidRPr="000617C7">
        <w:t xml:space="preserve">Stakeholders from the public consultation suggested the proposed WEL for </w:t>
      </w:r>
      <w:r w:rsidR="001067BC">
        <w:t xml:space="preserve">hydrogen cyanide </w:t>
      </w:r>
      <w:r w:rsidRPr="000617C7">
        <w:t xml:space="preserve">would likely result in increased productivity from a reduction in absenteeism and presenteeism amongst the workforce who are exposed to </w:t>
      </w:r>
      <w:r w:rsidR="00963DE8">
        <w:t>hydrogen cyanide</w:t>
      </w:r>
      <w:r w:rsidRPr="000617C7">
        <w:t>.</w:t>
      </w:r>
      <w:r w:rsidR="001D47D5">
        <w:t xml:space="preserve"> </w:t>
      </w:r>
    </w:p>
    <w:p w14:paraId="431FF7B9" w14:textId="2EEADCB8" w:rsidR="000617C7" w:rsidRPr="000617C7" w:rsidRDefault="00232396" w:rsidP="00EA7AEE">
      <w:pPr>
        <w:pStyle w:val="Paragraph"/>
      </w:pPr>
      <w:r>
        <w:t xml:space="preserve">While there were no workers’ compensation claims associated with hydrogen cyanide exposure, this does not mean </w:t>
      </w:r>
      <w:r w:rsidR="00B416BC">
        <w:t xml:space="preserve">the proposed WEL will not result in productivity benefits, noting the likely under-reporting in workers’ compensation claims data outlined above. </w:t>
      </w:r>
      <w:r w:rsidR="000617C7" w:rsidRPr="000617C7">
        <w:t xml:space="preserve">The proposed WEL </w:t>
      </w:r>
      <w:r w:rsidR="00B416BC">
        <w:t>for hydrogen cyanide</w:t>
      </w:r>
      <w:r w:rsidR="000617C7" w:rsidRPr="000617C7">
        <w:t xml:space="preserve"> is expected to </w:t>
      </w:r>
      <w:r w:rsidR="00A9095A">
        <w:t>protect</w:t>
      </w:r>
      <w:r w:rsidR="000617C7" w:rsidRPr="000617C7">
        <w:t xml:space="preserve"> workers </w:t>
      </w:r>
      <w:r w:rsidR="00A9095A">
        <w:t>from developing</w:t>
      </w:r>
      <w:r w:rsidR="000617C7" w:rsidRPr="000617C7">
        <w:t xml:space="preserve"> </w:t>
      </w:r>
      <w:r w:rsidR="008A58ED">
        <w:t>chronic</w:t>
      </w:r>
      <w:r w:rsidR="009B7FED">
        <w:t xml:space="preserve"> </w:t>
      </w:r>
      <w:r w:rsidR="000617C7" w:rsidRPr="000617C7">
        <w:t xml:space="preserve">health effects like </w:t>
      </w:r>
      <w:r w:rsidR="000015D8">
        <w:t>chronic neurological symptoms and thyroid enlargement</w:t>
      </w:r>
      <w:r w:rsidR="008A58ED">
        <w:t xml:space="preserve">, and </w:t>
      </w:r>
      <w:r w:rsidR="008A58ED" w:rsidRPr="008A58ED">
        <w:t>immediate and severe effects like coma and respiratory failure</w:t>
      </w:r>
      <w:r w:rsidR="000617C7" w:rsidRPr="000617C7">
        <w:t xml:space="preserve">. Workers </w:t>
      </w:r>
      <w:r w:rsidR="008A57FF">
        <w:t xml:space="preserve">likely to be exposed to </w:t>
      </w:r>
      <w:r w:rsidR="006B30DA">
        <w:t>hydrogen cyanide</w:t>
      </w:r>
      <w:r w:rsidR="008A57FF">
        <w:t xml:space="preserve"> would continue</w:t>
      </w:r>
      <w:r w:rsidR="00F20870">
        <w:t xml:space="preserve"> to n</w:t>
      </w:r>
      <w:r w:rsidR="000C3550">
        <w:t>ot need</w:t>
      </w:r>
      <w:r w:rsidR="000617C7" w:rsidRPr="000617C7">
        <w:t xml:space="preserve"> to</w:t>
      </w:r>
      <w:r w:rsidR="00E85EC5">
        <w:t>, or be less likely</w:t>
      </w:r>
      <w:r w:rsidR="000617C7" w:rsidRPr="000617C7">
        <w:t xml:space="preserve"> </w:t>
      </w:r>
      <w:r w:rsidR="00E85EC5">
        <w:t>to,</w:t>
      </w:r>
      <w:r w:rsidR="000617C7" w:rsidRPr="000617C7">
        <w:t xml:space="preserve"> take time off to seek medical care or treatment.</w:t>
      </w:r>
    </w:p>
    <w:p w14:paraId="3C6F5504" w14:textId="03225205" w:rsidR="000617C7" w:rsidRPr="000617C7" w:rsidRDefault="000617C7" w:rsidP="00EA7AEE">
      <w:pPr>
        <w:pStyle w:val="Paragraph"/>
      </w:pPr>
      <w:r w:rsidRPr="000617C7">
        <w:t xml:space="preserve">Similarly, workers experiencing </w:t>
      </w:r>
      <w:r w:rsidR="009B7FED">
        <w:t>the adverse health effects listed above</w:t>
      </w:r>
      <w:r w:rsidR="001A04E6">
        <w:t xml:space="preserve"> and</w:t>
      </w:r>
      <w:r w:rsidR="008473BA">
        <w:t xml:space="preserve"> acute effects like </w:t>
      </w:r>
      <w:r w:rsidR="008473BA" w:rsidRPr="008473BA">
        <w:t>headache, nausea, nasal, throat, and pulmonary irritatio</w:t>
      </w:r>
      <w:r w:rsidR="008473BA">
        <w:t>n</w:t>
      </w:r>
      <w:r w:rsidR="001A04E6">
        <w:t xml:space="preserve"> </w:t>
      </w:r>
      <w:r w:rsidRPr="000617C7">
        <w:t xml:space="preserve">caused by workplace exposures to </w:t>
      </w:r>
      <w:r w:rsidR="008A58ED">
        <w:t>hydrogen cyanide</w:t>
      </w:r>
      <w:r w:rsidRPr="000617C7">
        <w:t xml:space="preserve">, may not be able to work optimally </w:t>
      </w:r>
      <w:r w:rsidR="009779EA">
        <w:t>as</w:t>
      </w:r>
      <w:r w:rsidRPr="000617C7">
        <w:t xml:space="preserve"> when they </w:t>
      </w:r>
      <w:r w:rsidR="00050FB0">
        <w:t xml:space="preserve">are </w:t>
      </w:r>
      <w:r w:rsidR="009779EA">
        <w:t>not experiencing these health effects</w:t>
      </w:r>
      <w:r w:rsidRPr="000617C7">
        <w:t xml:space="preserve">. The proposed WEL should reduce the risk of workers developing </w:t>
      </w:r>
      <w:r w:rsidR="008A58ED">
        <w:t xml:space="preserve">these adverse health effects and related </w:t>
      </w:r>
      <w:r w:rsidRPr="000617C7">
        <w:t xml:space="preserve">symptoms, thus reducing presenteeism and allowing them to contribute to a business productivity. </w:t>
      </w:r>
    </w:p>
    <w:p w14:paraId="0F8817E4" w14:textId="785AA23B" w:rsidR="000617C7" w:rsidRPr="000617C7" w:rsidRDefault="000617C7" w:rsidP="00073D7E">
      <w:pPr>
        <w:pStyle w:val="SWAHeading5"/>
      </w:pPr>
      <w:r w:rsidRPr="000617C7">
        <w:t>Reduced costs to government</w:t>
      </w:r>
      <w:r w:rsidR="00E662D6">
        <w:t>s</w:t>
      </w:r>
      <w:r w:rsidR="00B30B79">
        <w:rPr>
          <w:rStyle w:val="FootnoteReference"/>
        </w:rPr>
        <w:footnoteReference w:id="161"/>
      </w:r>
    </w:p>
    <w:p w14:paraId="73093448" w14:textId="456989C8" w:rsidR="000617C7" w:rsidRPr="000617C7" w:rsidRDefault="000617C7" w:rsidP="00EA7AEE">
      <w:pPr>
        <w:pStyle w:val="Paragraph"/>
      </w:pPr>
      <w:r w:rsidRPr="000617C7">
        <w:t xml:space="preserve">The Australian Institute of Health and Welfare states healthcare expenditure on </w:t>
      </w:r>
      <w:r w:rsidR="00B07391">
        <w:t xml:space="preserve">neurological conditions and </w:t>
      </w:r>
      <w:r w:rsidR="00735887">
        <w:t>endocrine disorders</w:t>
      </w:r>
      <w:r w:rsidRPr="000617C7" w:rsidDel="007D4D66">
        <w:t xml:space="preserve"> </w:t>
      </w:r>
      <w:r w:rsidRPr="000617C7">
        <w:t>was $</w:t>
      </w:r>
      <w:r w:rsidR="00BA273F">
        <w:t>6.56</w:t>
      </w:r>
      <w:r w:rsidR="00BE524D">
        <w:t xml:space="preserve"> billion </w:t>
      </w:r>
      <w:r w:rsidR="00B07391">
        <w:t>and $</w:t>
      </w:r>
      <w:r w:rsidR="00E658E6">
        <w:t>5.19</w:t>
      </w:r>
      <w:r w:rsidR="00E658E6" w:rsidRPr="000617C7">
        <w:t xml:space="preserve"> </w:t>
      </w:r>
      <w:r w:rsidR="00E658E6">
        <w:t>b</w:t>
      </w:r>
      <w:r w:rsidRPr="000617C7">
        <w:t xml:space="preserve">illion in </w:t>
      </w:r>
      <w:r w:rsidR="00E658E6" w:rsidRPr="000617C7">
        <w:t>202</w:t>
      </w:r>
      <w:r w:rsidR="00E658E6">
        <w:t>3</w:t>
      </w:r>
      <w:r w:rsidRPr="000617C7">
        <w:t>-</w:t>
      </w:r>
      <w:r w:rsidR="00E658E6" w:rsidRPr="000617C7">
        <w:t>2</w:t>
      </w:r>
      <w:r w:rsidR="00E658E6">
        <w:t>4</w:t>
      </w:r>
      <w:r w:rsidR="00281334">
        <w:t xml:space="preserve"> </w:t>
      </w:r>
      <w:r w:rsidR="00BE524D">
        <w:t>respectively</w:t>
      </w:r>
      <w:r w:rsidR="00281334" w:rsidDel="009B7C80">
        <w:t xml:space="preserve"> </w:t>
      </w:r>
      <w:sdt>
        <w:sdtPr>
          <w:id w:val="-601263790"/>
          <w:citation/>
        </w:sdtPr>
        <w:sdtEndPr/>
        <w:sdtContent>
          <w:r w:rsidDel="009B7C80">
            <w:fldChar w:fldCharType="begin"/>
          </w:r>
          <w:r w:rsidDel="00CE68FD">
            <w:instrText xml:space="preserve"> CITATION Aus24 \l 3081 </w:instrText>
          </w:r>
          <w:r w:rsidDel="009B7C80">
            <w:fldChar w:fldCharType="separate"/>
          </w:r>
          <w:r w:rsidR="00490B21">
            <w:rPr>
              <w:noProof/>
            </w:rPr>
            <w:t>(Australian Institute of Health and Welfare, 2025)</w:t>
          </w:r>
          <w:r w:rsidDel="009B7C80">
            <w:fldChar w:fldCharType="end"/>
          </w:r>
        </w:sdtContent>
      </w:sdt>
      <w:r w:rsidRPr="000617C7">
        <w:t xml:space="preserve">. </w:t>
      </w:r>
      <w:r w:rsidR="00281334" w:rsidRPr="00281334">
        <w:t xml:space="preserve">Healthcare expenditure on the other adverse health effects linked to </w:t>
      </w:r>
      <w:r w:rsidR="00281334">
        <w:t>hydrogen cyanide</w:t>
      </w:r>
      <w:r w:rsidR="00281334" w:rsidRPr="00281334">
        <w:t xml:space="preserve"> include $1.</w:t>
      </w:r>
      <w:r w:rsidR="00E97F2B">
        <w:t>17</w:t>
      </w:r>
      <w:r w:rsidR="00E97F2B" w:rsidRPr="00281334">
        <w:t xml:space="preserve"> </w:t>
      </w:r>
      <w:r w:rsidR="00281334" w:rsidRPr="00281334">
        <w:t>billion for dermatitis</w:t>
      </w:r>
      <w:r w:rsidR="00281334">
        <w:t xml:space="preserve"> </w:t>
      </w:r>
      <w:r w:rsidR="00580107">
        <w:t xml:space="preserve">and eczema </w:t>
      </w:r>
      <w:r w:rsidR="00281334">
        <w:t xml:space="preserve">in </w:t>
      </w:r>
      <w:r w:rsidR="00E97F2B">
        <w:t>2023</w:t>
      </w:r>
      <w:r w:rsidR="00281334">
        <w:t>-</w:t>
      </w:r>
      <w:r w:rsidR="00E97F2B">
        <w:t>24</w:t>
      </w:r>
      <w:r w:rsidR="00281334">
        <w:t xml:space="preserve"> </w:t>
      </w:r>
      <w:sdt>
        <w:sdtPr>
          <w:id w:val="452444718"/>
          <w:citation/>
        </w:sdtPr>
        <w:sdtEndPr/>
        <w:sdtContent>
          <w:r w:rsidR="00281334">
            <w:fldChar w:fldCharType="begin"/>
          </w:r>
          <w:r w:rsidR="00CE68FD">
            <w:instrText xml:space="preserve">CITATION Aus24 \l 3081 </w:instrText>
          </w:r>
          <w:r w:rsidR="00281334">
            <w:fldChar w:fldCharType="separate"/>
          </w:r>
          <w:r w:rsidR="00490B21">
            <w:rPr>
              <w:noProof/>
            </w:rPr>
            <w:t>(Australian Institute of Health and Welfare, 2025)</w:t>
          </w:r>
          <w:r w:rsidR="00281334">
            <w:fldChar w:fldCharType="end"/>
          </w:r>
        </w:sdtContent>
      </w:sdt>
      <w:r w:rsidR="00281334" w:rsidRPr="00281334">
        <w:t xml:space="preserve">.   </w:t>
      </w:r>
    </w:p>
    <w:p w14:paraId="43279FAC" w14:textId="573B03F2" w:rsidR="000617C7" w:rsidRPr="000617C7" w:rsidRDefault="000617C7" w:rsidP="002D79A6">
      <w:pPr>
        <w:pStyle w:val="Paragraph"/>
        <w:keepNext w:val="0"/>
      </w:pPr>
      <w:r w:rsidRPr="000617C7">
        <w:t xml:space="preserve">While not all </w:t>
      </w:r>
      <w:r w:rsidR="0065129E">
        <w:t xml:space="preserve">neurological conditions and </w:t>
      </w:r>
      <w:r w:rsidR="00A028F3">
        <w:t xml:space="preserve">endocrine </w:t>
      </w:r>
      <w:r w:rsidR="007D4D66">
        <w:t>disorders</w:t>
      </w:r>
      <w:r w:rsidR="009A2E38">
        <w:t xml:space="preserve"> </w:t>
      </w:r>
      <w:r w:rsidR="00281334" w:rsidRPr="000617C7">
        <w:t>will</w:t>
      </w:r>
      <w:r w:rsidRPr="000617C7">
        <w:t xml:space="preserve"> be caused by </w:t>
      </w:r>
      <w:r w:rsidR="007D4D66">
        <w:t>work-related exposures to hydrogen cyanide</w:t>
      </w:r>
      <w:r w:rsidRPr="000617C7">
        <w:t xml:space="preserve">, </w:t>
      </w:r>
      <w:r w:rsidR="000906A6">
        <w:t xml:space="preserve">any reduction </w:t>
      </w:r>
      <w:r w:rsidR="00D60ED3">
        <w:t xml:space="preserve">in work-related </w:t>
      </w:r>
      <w:r w:rsidR="00B23E74">
        <w:t xml:space="preserve">hydrogen cyanide </w:t>
      </w:r>
      <w:r w:rsidR="00D60ED3">
        <w:t xml:space="preserve">exposure </w:t>
      </w:r>
      <w:r w:rsidR="00D60ED3">
        <w:lastRenderedPageBreak/>
        <w:t xml:space="preserve">could potentially contribute towards a reduction </w:t>
      </w:r>
      <w:r w:rsidR="0047664C">
        <w:t>workers developing these adverse health effects</w:t>
      </w:r>
      <w:r w:rsidR="00D543EF">
        <w:t xml:space="preserve">, reducing costs to </w:t>
      </w:r>
      <w:r w:rsidR="00C97AE0" w:rsidRPr="009A1405">
        <w:rPr>
          <w:lang w:eastAsia="en-US"/>
        </w:rPr>
        <w:t>the health system and for the government</w:t>
      </w:r>
      <w:r w:rsidR="00C97AE0">
        <w:rPr>
          <w:lang w:eastAsia="en-US"/>
        </w:rPr>
        <w:t xml:space="preserve">. </w:t>
      </w:r>
    </w:p>
    <w:p w14:paraId="1828D7BB" w14:textId="6C2D5241" w:rsidR="00EE6E9F" w:rsidRPr="00EE6E9F" w:rsidRDefault="00EE6E9F" w:rsidP="00073D7E">
      <w:pPr>
        <w:pStyle w:val="SWAHeading5"/>
      </w:pPr>
      <w:r w:rsidRPr="00EE6E9F">
        <w:t xml:space="preserve">Reduction in costs associated with </w:t>
      </w:r>
      <w:r w:rsidR="00443D70">
        <w:t xml:space="preserve">potential </w:t>
      </w:r>
      <w:r w:rsidRPr="00EE6E9F">
        <w:t>worker compensation claims</w:t>
      </w:r>
      <w:r w:rsidR="00B30B79">
        <w:rPr>
          <w:rStyle w:val="FootnoteReference"/>
        </w:rPr>
        <w:footnoteReference w:id="162"/>
      </w:r>
    </w:p>
    <w:p w14:paraId="71E8E916" w14:textId="7066EEFE" w:rsidR="00EE6E9F" w:rsidRPr="00EE6E9F" w:rsidRDefault="00EE6E9F" w:rsidP="002D79A6">
      <w:pPr>
        <w:pStyle w:val="Paragraph"/>
        <w:keepLines/>
      </w:pPr>
      <w:r w:rsidRPr="00EE6E9F">
        <w:t xml:space="preserve">Workers who develop an occupational disease or illness because of exposures to </w:t>
      </w:r>
      <w:r w:rsidR="00D17BC6">
        <w:t>hydrogen cyanide</w:t>
      </w:r>
      <w:r w:rsidRPr="00EE6E9F">
        <w:t xml:space="preserve"> are able to seek workers’ compensation if the occupational disease or illness can be linked to the workplace. </w:t>
      </w:r>
    </w:p>
    <w:p w14:paraId="0F42EE20" w14:textId="02A26979" w:rsidR="00EE6E9F" w:rsidRDefault="00EE6E9F" w:rsidP="00106D5A">
      <w:pPr>
        <w:pStyle w:val="SWA-NORMAL"/>
      </w:pPr>
      <w:r w:rsidRPr="00EE6E9F">
        <w:t xml:space="preserve">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 </w:t>
      </w:r>
      <w:r w:rsidR="00BE455B">
        <w:t>Hydrogen cyanide</w:t>
      </w:r>
      <w:r w:rsidRPr="00EE6E9F">
        <w:t xml:space="preserve"> is listed on Safe Work Australia’s List of Deemed Diseases as a possible cause for acute </w:t>
      </w:r>
      <w:r w:rsidR="001F7274">
        <w:t xml:space="preserve">toxicity and poisoning </w:t>
      </w:r>
      <w:r w:rsidRPr="00EE6E9F">
        <w:t>to</w:t>
      </w:r>
      <w:r w:rsidR="009D1C2F">
        <w:t xml:space="preserve"> the</w:t>
      </w:r>
      <w:r w:rsidRPr="00EE6E9F">
        <w:t xml:space="preserve"> </w:t>
      </w:r>
      <w:r w:rsidR="00D159D3">
        <w:t xml:space="preserve">heart, </w:t>
      </w:r>
      <w:r w:rsidR="00BE455B">
        <w:t>nervous system</w:t>
      </w:r>
      <w:r w:rsidR="00D159D3">
        <w:t xml:space="preserve"> and blood</w:t>
      </w:r>
      <w:r w:rsidR="00CA3644">
        <w:t xml:space="preserve"> </w:t>
      </w:r>
      <w:sdt>
        <w:sdtPr>
          <w:id w:val="-1320801354"/>
          <w:citation/>
        </w:sdtPr>
        <w:sdtEndPr/>
        <w:sdtContent>
          <w:r w:rsidR="00CA3644">
            <w:fldChar w:fldCharType="begin"/>
          </w:r>
          <w:r w:rsidR="00CA3644">
            <w:instrText xml:space="preserve"> CITATION Saf24 \l 3081 </w:instrText>
          </w:r>
          <w:r w:rsidR="00CA3644">
            <w:fldChar w:fldCharType="separate"/>
          </w:r>
          <w:r w:rsidR="00490B21">
            <w:rPr>
              <w:noProof/>
            </w:rPr>
            <w:t>(Safe Work Australia, 2024)</w:t>
          </w:r>
          <w:r w:rsidR="00CA3644">
            <w:fldChar w:fldCharType="end"/>
          </w:r>
        </w:sdtContent>
      </w:sdt>
      <w:r w:rsidRPr="00EE6E9F">
        <w:t xml:space="preserve">. </w:t>
      </w:r>
    </w:p>
    <w:p w14:paraId="5C16AF7C" w14:textId="77777777" w:rsidR="007E0739" w:rsidRDefault="007E0739" w:rsidP="00106D5A">
      <w:pPr>
        <w:pStyle w:val="SWA-NORMAL"/>
      </w:pPr>
    </w:p>
    <w:p w14:paraId="39A5D8A9" w14:textId="5F0E5029" w:rsidR="00106D5A" w:rsidRDefault="00D768FB" w:rsidP="00106D5A">
      <w:pPr>
        <w:pStyle w:val="SWA-NORMAL"/>
      </w:pPr>
      <w:r>
        <w:t xml:space="preserve">While </w:t>
      </w:r>
      <w:r w:rsidR="00FD5BA8">
        <w:t xml:space="preserve">there are no workers’ compensation claims associated with hydrogen cyanide exposure, this does not mean the proposed WEL will not result in direct financial benefits, noting the likely under-reporting in workers compensation claims data outlined above. However, as the proposed WEL </w:t>
      </w:r>
      <w:r w:rsidR="008D4206">
        <w:t>can help</w:t>
      </w:r>
      <w:r w:rsidR="00FD5BA8">
        <w:t xml:space="preserve"> protect</w:t>
      </w:r>
      <w:r>
        <w:t xml:space="preserve"> </w:t>
      </w:r>
      <w:r w:rsidR="0085618B" w:rsidRPr="0085618B">
        <w:t xml:space="preserve">workers </w:t>
      </w:r>
      <w:r w:rsidR="000C5F2C">
        <w:t>from</w:t>
      </w:r>
      <w:r w:rsidR="0085618B" w:rsidRPr="0085618B">
        <w:t xml:space="preserve"> developing chronic neurological symptoms</w:t>
      </w:r>
      <w:r w:rsidR="00CA3644">
        <w:t xml:space="preserve">, </w:t>
      </w:r>
      <w:r w:rsidR="0085618B" w:rsidRPr="0085618B">
        <w:t xml:space="preserve">thyroid enlargement, immediate and severe health effects (death, coma, respiratory failure) </w:t>
      </w:r>
      <w:r w:rsidR="00CA3644">
        <w:t xml:space="preserve">and acute </w:t>
      </w:r>
      <w:r w:rsidR="002B6FC1">
        <w:t xml:space="preserve">toxicity and </w:t>
      </w:r>
      <w:r w:rsidR="00CA3644">
        <w:t xml:space="preserve">poisoning </w:t>
      </w:r>
      <w:r w:rsidR="002B6FC1">
        <w:t xml:space="preserve">caused by workplace exposure </w:t>
      </w:r>
      <w:r w:rsidR="0085618B" w:rsidRPr="0085618B">
        <w:t xml:space="preserve">to </w:t>
      </w:r>
      <w:r w:rsidR="0085618B">
        <w:t>hydrogen cyanide</w:t>
      </w:r>
      <w:r w:rsidR="008D4206">
        <w:t>, it</w:t>
      </w:r>
      <w:r w:rsidR="0085618B" w:rsidRPr="0085618B">
        <w:t xml:space="preserve"> can help businesses avoid the </w:t>
      </w:r>
      <w:r w:rsidR="008D4206">
        <w:t xml:space="preserve">emergence and </w:t>
      </w:r>
      <w:r w:rsidR="0085618B" w:rsidRPr="0085618B">
        <w:t>cost of potential worker compensation claims</w:t>
      </w:r>
      <w:r w:rsidR="001138EC" w:rsidRPr="001138EC">
        <w:t xml:space="preserve"> through increased premiums</w:t>
      </w:r>
      <w:r w:rsidR="0085618B" w:rsidRPr="0085618B">
        <w:t>.</w:t>
      </w:r>
    </w:p>
    <w:p w14:paraId="4E296496" w14:textId="21114028" w:rsidR="00CD2CC8" w:rsidRDefault="00351947" w:rsidP="00DC5375">
      <w:pPr>
        <w:pStyle w:val="SWAHeading3"/>
      </w:pPr>
      <w:bookmarkStart w:id="326" w:name="_Toc196204723"/>
      <w:r>
        <w:t xml:space="preserve">Additional </w:t>
      </w:r>
      <w:r w:rsidR="00CD2CC8">
        <w:t xml:space="preserve">benefits </w:t>
      </w:r>
      <w:r>
        <w:t>to the proposed WEL for hydrogen cyanide</w:t>
      </w:r>
      <w:bookmarkEnd w:id="326"/>
    </w:p>
    <w:p w14:paraId="72CBF621" w14:textId="35CB1E0B" w:rsidR="00312CCE" w:rsidRPr="00FC0E81" w:rsidRDefault="003C7BED" w:rsidP="00312CCE">
      <w:pPr>
        <w:keepNext/>
        <w:spacing w:after="200" w:line="240" w:lineRule="atLeast"/>
        <w:rPr>
          <w:rFonts w:eastAsia="Times New Roman" w:cs="Arial"/>
          <w:b/>
          <w:bCs/>
        </w:rPr>
      </w:pPr>
      <w:r>
        <w:t xml:space="preserve">Stakeholders identified that the proposed WEL for hydrogen cyanide </w:t>
      </w:r>
      <w:r w:rsidR="008604A0">
        <w:t>would have</w:t>
      </w:r>
      <w:r w:rsidR="00312CCE" w:rsidRPr="00CD2CC8">
        <w:t xml:space="preserve"> the</w:t>
      </w:r>
      <w:r w:rsidR="007E232C">
        <w:t xml:space="preserve"> </w:t>
      </w:r>
      <w:r w:rsidR="008604A0">
        <w:t>following</w:t>
      </w:r>
      <w:r w:rsidR="00312CCE" w:rsidRPr="00CD2CC8">
        <w:t xml:space="preserve"> qualitative benefits. </w:t>
      </w:r>
    </w:p>
    <w:p w14:paraId="32D5B61B" w14:textId="4C4C55E0" w:rsidR="00BC1CCD" w:rsidRPr="00DC5375" w:rsidRDefault="00BC1CCD" w:rsidP="00E21AA9">
      <w:pPr>
        <w:pStyle w:val="SWAHeading4"/>
      </w:pPr>
      <w:r w:rsidRPr="00DC5375">
        <w:t xml:space="preserve">Raise awareness </w:t>
      </w:r>
      <w:r w:rsidR="007435BC">
        <w:t>of</w:t>
      </w:r>
      <w:r w:rsidRPr="00DC5375">
        <w:t xml:space="preserve"> the </w:t>
      </w:r>
      <w:r w:rsidR="00EB45C0" w:rsidRPr="00DC5375">
        <w:t>hazards associated with hydrogen cyanide</w:t>
      </w:r>
    </w:p>
    <w:p w14:paraId="184AA8E4" w14:textId="64A756A6" w:rsidR="00EB45C0" w:rsidRDefault="00EB45C0" w:rsidP="00EA7AEE">
      <w:pPr>
        <w:pStyle w:val="Paragraph"/>
        <w:rPr>
          <w:lang w:eastAsia="en-US"/>
        </w:rPr>
      </w:pPr>
      <w:r>
        <w:rPr>
          <w:lang w:eastAsia="en-US"/>
        </w:rPr>
        <w:t>Stakeholder</w:t>
      </w:r>
      <w:r w:rsidR="007A5203">
        <w:rPr>
          <w:lang w:eastAsia="en-US"/>
        </w:rPr>
        <w:t xml:space="preserve"> feedback noted that the proposed change to</w:t>
      </w:r>
      <w:r w:rsidR="00A70415">
        <w:rPr>
          <w:lang w:eastAsia="en-US"/>
        </w:rPr>
        <w:t xml:space="preserve"> the WEL for</w:t>
      </w:r>
      <w:r w:rsidR="007A5203">
        <w:rPr>
          <w:lang w:eastAsia="en-US"/>
        </w:rPr>
        <w:t xml:space="preserve"> </w:t>
      </w:r>
      <w:r w:rsidR="00520736">
        <w:rPr>
          <w:lang w:eastAsia="en-US"/>
        </w:rPr>
        <w:t>hydrogen cyanide</w:t>
      </w:r>
      <w:r w:rsidR="007A5203">
        <w:rPr>
          <w:lang w:eastAsia="en-US"/>
        </w:rPr>
        <w:t xml:space="preserve"> would also lead </w:t>
      </w:r>
      <w:r w:rsidR="003A37D4">
        <w:rPr>
          <w:lang w:eastAsia="en-US"/>
        </w:rPr>
        <w:t>to</w:t>
      </w:r>
      <w:r w:rsidR="007A5203">
        <w:rPr>
          <w:lang w:eastAsia="en-US"/>
        </w:rPr>
        <w:t xml:space="preserve"> PCBUs and workers becoming more aware of the presence of hydrogen cyanide </w:t>
      </w:r>
      <w:r w:rsidR="004B79FF">
        <w:rPr>
          <w:lang w:eastAsia="en-US"/>
        </w:rPr>
        <w:t>in the workplace</w:t>
      </w:r>
      <w:r w:rsidR="00EC02B3">
        <w:rPr>
          <w:lang w:eastAsia="en-US"/>
        </w:rPr>
        <w:t xml:space="preserve">, and the hazards associated with </w:t>
      </w:r>
      <w:r w:rsidR="000472BB">
        <w:rPr>
          <w:lang w:eastAsia="en-US"/>
        </w:rPr>
        <w:t>hydrogen cyanide</w:t>
      </w:r>
      <w:r w:rsidR="003A37D4">
        <w:rPr>
          <w:lang w:eastAsia="en-US"/>
        </w:rPr>
        <w:t xml:space="preserve">. This will </w:t>
      </w:r>
      <w:r w:rsidR="000472BB">
        <w:rPr>
          <w:lang w:eastAsia="en-US"/>
        </w:rPr>
        <w:t xml:space="preserve">allow both </w:t>
      </w:r>
      <w:r w:rsidR="003A37D4">
        <w:rPr>
          <w:lang w:eastAsia="en-US"/>
        </w:rPr>
        <w:t>parties</w:t>
      </w:r>
      <w:r w:rsidR="000472BB">
        <w:rPr>
          <w:lang w:eastAsia="en-US"/>
        </w:rPr>
        <w:t xml:space="preserve"> to</w:t>
      </w:r>
      <w:r w:rsidR="004B79FF">
        <w:rPr>
          <w:lang w:eastAsia="en-US"/>
        </w:rPr>
        <w:t xml:space="preserve"> </w:t>
      </w:r>
      <w:r w:rsidR="00520736" w:rsidRPr="006549B3">
        <w:rPr>
          <w:rFonts w:eastAsia="Arial" w:cs="Arial"/>
        </w:rPr>
        <w:t xml:space="preserve">actively contribute to making sure the workplace is safer and healthier, especially in sectors which have higher exposures to </w:t>
      </w:r>
      <w:r w:rsidR="00520736">
        <w:rPr>
          <w:rFonts w:eastAsia="Arial" w:cs="Arial"/>
        </w:rPr>
        <w:t>hydrogen cyanide</w:t>
      </w:r>
      <w:r>
        <w:rPr>
          <w:lang w:eastAsia="en-US"/>
        </w:rPr>
        <w:t xml:space="preserve">. </w:t>
      </w:r>
    </w:p>
    <w:p w14:paraId="7DA851F5" w14:textId="55A4F32C" w:rsidR="00C06358" w:rsidRPr="00DC5375" w:rsidRDefault="00C06358" w:rsidP="00EA7AEE">
      <w:pPr>
        <w:pStyle w:val="Paragraph"/>
        <w:rPr>
          <w:lang w:eastAsia="en-US"/>
        </w:rPr>
      </w:pPr>
      <w:r>
        <w:rPr>
          <w:lang w:eastAsia="en-US"/>
        </w:rPr>
        <w:t xml:space="preserve">Hydrogen cyanide </w:t>
      </w:r>
      <w:r w:rsidR="00615453">
        <w:rPr>
          <w:lang w:eastAsia="en-US"/>
        </w:rPr>
        <w:t>is a highly</w:t>
      </w:r>
      <w:r w:rsidR="00850753">
        <w:rPr>
          <w:lang w:eastAsia="en-US"/>
        </w:rPr>
        <w:t xml:space="preserve"> toxic</w:t>
      </w:r>
      <w:r w:rsidR="009E355D">
        <w:rPr>
          <w:lang w:eastAsia="en-US"/>
        </w:rPr>
        <w:t xml:space="preserve"> hazardous chemical</w:t>
      </w:r>
      <w:r w:rsidR="00AA7B44">
        <w:rPr>
          <w:lang w:eastAsia="en-US"/>
        </w:rPr>
        <w:t xml:space="preserve">. </w:t>
      </w:r>
      <w:r w:rsidR="006066B3">
        <w:rPr>
          <w:lang w:eastAsia="en-US"/>
        </w:rPr>
        <w:t xml:space="preserve">If </w:t>
      </w:r>
      <w:r w:rsidR="000F09FE">
        <w:rPr>
          <w:lang w:eastAsia="en-US"/>
        </w:rPr>
        <w:t xml:space="preserve">a person </w:t>
      </w:r>
      <w:r w:rsidR="00CD35DF">
        <w:rPr>
          <w:lang w:eastAsia="en-US"/>
        </w:rPr>
        <w:t xml:space="preserve">is </w:t>
      </w:r>
      <w:r w:rsidR="000F09FE">
        <w:rPr>
          <w:lang w:eastAsia="en-US"/>
        </w:rPr>
        <w:t xml:space="preserve">exposed to </w:t>
      </w:r>
      <w:r w:rsidR="00CD35DF">
        <w:rPr>
          <w:lang w:eastAsia="en-US"/>
        </w:rPr>
        <w:t xml:space="preserve">high concentrations of </w:t>
      </w:r>
      <w:r w:rsidR="000F09FE">
        <w:rPr>
          <w:lang w:eastAsia="en-US"/>
        </w:rPr>
        <w:t>hydrogen cyanide</w:t>
      </w:r>
      <w:r w:rsidR="00CD35DF">
        <w:rPr>
          <w:lang w:eastAsia="en-US"/>
        </w:rPr>
        <w:t xml:space="preserve">, </w:t>
      </w:r>
      <w:r w:rsidR="003C5017">
        <w:rPr>
          <w:lang w:eastAsia="en-US"/>
        </w:rPr>
        <w:t xml:space="preserve">they can develop rapid loss of consciousness, seizures, </w:t>
      </w:r>
      <w:r w:rsidR="002918FE">
        <w:rPr>
          <w:lang w:eastAsia="en-US"/>
        </w:rPr>
        <w:t xml:space="preserve">breathing difficulties (including absence of breathing) and cardiac arrest. </w:t>
      </w:r>
      <w:r w:rsidR="00F718D8">
        <w:t>Death may occur within a few minutes of exposure to moderate or high amounts of cyanides. Survivors may suffer brain injuries due to toxic effects or lack of oxygen.</w:t>
      </w:r>
    </w:p>
    <w:p w14:paraId="67A875BE" w14:textId="27874FF6" w:rsidR="00C616F6" w:rsidRDefault="005C2307" w:rsidP="00C616F6">
      <w:r w:rsidRPr="009A79A3">
        <w:rPr>
          <w:rFonts w:eastAsia="Arial" w:cs="Arial"/>
        </w:rPr>
        <w:t xml:space="preserve">By raising awareness of the presence of hazards in the workplace and the risks associated with </w:t>
      </w:r>
      <w:r w:rsidR="004006D5">
        <w:rPr>
          <w:rFonts w:eastAsia="Arial" w:cs="Arial"/>
        </w:rPr>
        <w:t>them</w:t>
      </w:r>
      <w:r w:rsidRPr="009A79A3">
        <w:rPr>
          <w:rFonts w:eastAsia="Arial" w:cs="Arial"/>
        </w:rPr>
        <w:t xml:space="preserve">, workers have also been shown to make better and informed choices that allows them to take reasonable care for their own health and safety in the workplace, such as wearing PPE whilst working. </w:t>
      </w:r>
      <w:bookmarkStart w:id="327" w:name="_Toc195079698"/>
      <w:bookmarkStart w:id="328" w:name="_Toc195079699"/>
      <w:bookmarkStart w:id="329" w:name="_Toc195079700"/>
      <w:bookmarkStart w:id="330" w:name="_Toc195079701"/>
      <w:bookmarkStart w:id="331" w:name="_Toc195079702"/>
      <w:bookmarkStart w:id="332" w:name="_Toc195079703"/>
      <w:bookmarkStart w:id="333" w:name="_Toc194908509"/>
      <w:bookmarkStart w:id="334" w:name="_Toc195079704"/>
      <w:bookmarkStart w:id="335" w:name="_Toc194908510"/>
      <w:bookmarkStart w:id="336" w:name="_Toc195079705"/>
      <w:bookmarkStart w:id="337" w:name="_Toc196204724"/>
      <w:bookmarkStart w:id="338" w:name="_Ref198286841"/>
      <w:bookmarkStart w:id="339" w:name="_Ref198300769"/>
      <w:bookmarkEnd w:id="327"/>
      <w:bookmarkEnd w:id="328"/>
      <w:bookmarkEnd w:id="329"/>
      <w:bookmarkEnd w:id="330"/>
      <w:bookmarkEnd w:id="331"/>
      <w:bookmarkEnd w:id="332"/>
      <w:bookmarkEnd w:id="333"/>
      <w:bookmarkEnd w:id="334"/>
      <w:bookmarkEnd w:id="335"/>
      <w:bookmarkEnd w:id="336"/>
    </w:p>
    <w:p w14:paraId="518D01A1" w14:textId="4D8E5039" w:rsidR="000B51DC" w:rsidRDefault="000B51DC" w:rsidP="00C812BE">
      <w:pPr>
        <w:pStyle w:val="SWAHeading2"/>
        <w:keepNext/>
        <w:keepLines/>
        <w:ind w:left="709"/>
      </w:pPr>
      <w:bookmarkStart w:id="340" w:name="_Toc219216904"/>
      <w:r>
        <w:lastRenderedPageBreak/>
        <w:t>Costs of the proposed WEL for hydrogen cyanide</w:t>
      </w:r>
      <w:bookmarkEnd w:id="323"/>
      <w:bookmarkEnd w:id="337"/>
      <w:bookmarkEnd w:id="338"/>
      <w:bookmarkEnd w:id="339"/>
      <w:bookmarkEnd w:id="340"/>
    </w:p>
    <w:p w14:paraId="559E9096" w14:textId="77777777" w:rsidR="00A002F4" w:rsidRDefault="0011451A" w:rsidP="00B64384">
      <w:pPr>
        <w:suppressAutoHyphens/>
      </w:pPr>
      <w:r>
        <w:t xml:space="preserve">Costs to comply with the </w:t>
      </w:r>
      <w:r w:rsidRPr="006A0158">
        <w:t xml:space="preserve">proposed WEL for </w:t>
      </w:r>
      <w:r>
        <w:t>hydrogen cyanide</w:t>
      </w:r>
      <w:r w:rsidRPr="006A0158">
        <w:t xml:space="preserve"> </w:t>
      </w:r>
      <w:r>
        <w:t xml:space="preserve">were estimated and are outlined below. These </w:t>
      </w:r>
      <w:r w:rsidRPr="006A0158">
        <w:t>are indicative estimates only</w:t>
      </w:r>
      <w:r w:rsidR="00640D64">
        <w:t>.</w:t>
      </w:r>
      <w:r w:rsidR="001D160E">
        <w:rPr>
          <w:highlight w:val="lightGray"/>
        </w:rPr>
        <w:fldChar w:fldCharType="begin"/>
      </w:r>
      <w:r w:rsidR="001D160E">
        <w:rPr>
          <w:highlight w:val="lightGray"/>
        </w:rPr>
        <w:instrText xml:space="preserve"> REF _Ref199920847 \h </w:instrText>
      </w:r>
      <w:r w:rsidR="001D160E">
        <w:rPr>
          <w:highlight w:val="lightGray"/>
        </w:rPr>
      </w:r>
      <w:r w:rsidR="001D160E">
        <w:rPr>
          <w:highlight w:val="lightGray"/>
        </w:rPr>
        <w:fldChar w:fldCharType="separate"/>
      </w:r>
    </w:p>
    <w:p w14:paraId="03096E34" w14:textId="7318B5CD" w:rsidR="008E6E95" w:rsidRDefault="00A002F4" w:rsidP="38A49B51">
      <w:pPr>
        <w:contextualSpacing w:val="0"/>
      </w:pPr>
      <w:r>
        <w:t xml:space="preserve">Table </w:t>
      </w:r>
      <w:r>
        <w:rPr>
          <w:noProof/>
        </w:rPr>
        <w:t>24</w:t>
      </w:r>
      <w:r w:rsidR="001D160E">
        <w:rPr>
          <w:highlight w:val="lightGray"/>
        </w:rPr>
        <w:fldChar w:fldCharType="end"/>
      </w:r>
      <w:r w:rsidR="0011451A">
        <w:t xml:space="preserve"> </w:t>
      </w:r>
      <w:r w:rsidR="000B51DC" w:rsidRPr="38A49B51">
        <w:t xml:space="preserve">presents the estimated total costs to </w:t>
      </w:r>
      <w:r w:rsidR="0030704D">
        <w:t>industry</w:t>
      </w:r>
      <w:r w:rsidR="000B51DC" w:rsidRPr="38A49B51">
        <w:t xml:space="preserve"> of complying with the proposed WEL for hydrogen cyanide over the 10-year appraisal period (from FY27 to FY36). </w:t>
      </w:r>
    </w:p>
    <w:p w14:paraId="58A35A52" w14:textId="2D0783EE" w:rsidR="000B51DC" w:rsidRDefault="000B51DC" w:rsidP="017E4596">
      <w:r w:rsidRPr="38A49B51">
        <w:t>The estimates represent the incremental costs between retaining the current WES (Option 1) and changing to the proposed WEL (Option 2). Any costs</w:t>
      </w:r>
      <w:r w:rsidR="1CCE0E28">
        <w:t xml:space="preserve"> to</w:t>
      </w:r>
      <w:r w:rsidRPr="38A49B51">
        <w:t xml:space="preserve"> </w:t>
      </w:r>
      <w:r w:rsidR="00C564DC">
        <w:t>industry</w:t>
      </w:r>
      <w:r w:rsidRPr="38A49B51">
        <w:t xml:space="preserve"> to comply with the current WES are not considered due to PCBUs’ ongoing WHS duty to eliminate or minimise risks, so far is as reasonably practicable (Section 17 of the model WHS Act). </w:t>
      </w:r>
    </w:p>
    <w:p w14:paraId="0DCCD748" w14:textId="32154D83" w:rsidR="000B51DC" w:rsidRDefault="000B51DC" w:rsidP="000B51DC">
      <w:pPr>
        <w:contextualSpacing w:val="0"/>
      </w:pPr>
      <w:r>
        <w:t xml:space="preserve">The analysis </w:t>
      </w:r>
      <w:r w:rsidR="00596692">
        <w:t>estimates</w:t>
      </w:r>
      <w:r>
        <w:t xml:space="preserve"> that:</w:t>
      </w:r>
    </w:p>
    <w:p w14:paraId="066B9052" w14:textId="4573D077" w:rsidR="000B51DC" w:rsidRDefault="000B51DC" w:rsidP="00B57E6C">
      <w:pPr>
        <w:pStyle w:val="ListParagraph"/>
        <w:numPr>
          <w:ilvl w:val="0"/>
          <w:numId w:val="21"/>
        </w:numPr>
        <w:suppressAutoHyphens/>
        <w:spacing w:line="259" w:lineRule="auto"/>
        <w:contextualSpacing w:val="0"/>
      </w:pPr>
      <w:bookmarkStart w:id="341" w:name="_Toc193192643"/>
      <w:bookmarkStart w:id="342" w:name="_Toc196204725"/>
      <w:r>
        <w:t xml:space="preserve">The estimated total cost to </w:t>
      </w:r>
      <w:r w:rsidR="00C564DC">
        <w:t>industry</w:t>
      </w:r>
      <w:r>
        <w:t xml:space="preserve"> over 10 years is </w:t>
      </w:r>
      <w:r w:rsidRPr="003150E2">
        <w:t>$</w:t>
      </w:r>
      <w:r w:rsidR="00760131">
        <w:t>318</w:t>
      </w:r>
      <w:r w:rsidRPr="00694742">
        <w:t xml:space="preserve"> million (in real, discounted terms), which equates to $</w:t>
      </w:r>
      <w:r w:rsidR="001F5807">
        <w:t>53</w:t>
      </w:r>
      <w:r w:rsidRPr="00694742">
        <w:t xml:space="preserve"> million per year (in real, undiscounted terms</w:t>
      </w:r>
      <w:r>
        <w:t>).</w:t>
      </w:r>
      <w:bookmarkEnd w:id="341"/>
      <w:bookmarkEnd w:id="342"/>
      <w:r>
        <w:t xml:space="preserve"> </w:t>
      </w:r>
    </w:p>
    <w:p w14:paraId="678C3EE0" w14:textId="77777777" w:rsidR="000B51DC" w:rsidRDefault="000B51DC" w:rsidP="00B57E6C">
      <w:pPr>
        <w:pStyle w:val="ListParagraph"/>
        <w:numPr>
          <w:ilvl w:val="0"/>
          <w:numId w:val="21"/>
        </w:numPr>
        <w:suppressAutoHyphens/>
        <w:spacing w:line="259" w:lineRule="auto"/>
        <w:contextualSpacing w:val="0"/>
      </w:pPr>
      <w:bookmarkStart w:id="343" w:name="_Toc193192644"/>
      <w:bookmarkStart w:id="344" w:name="_Toc196204726"/>
      <w:r w:rsidRPr="38A49B51">
        <w:t>These estimated total costs comprise of:</w:t>
      </w:r>
      <w:bookmarkEnd w:id="343"/>
      <w:bookmarkEnd w:id="344"/>
      <w:r w:rsidRPr="38A49B51">
        <w:t xml:space="preserve"> </w:t>
      </w:r>
    </w:p>
    <w:p w14:paraId="0A551436" w14:textId="6C4ADAC1" w:rsidR="000B51DC" w:rsidRDefault="000B51DC" w:rsidP="00B57E6C">
      <w:pPr>
        <w:pStyle w:val="ListParagraph"/>
        <w:numPr>
          <w:ilvl w:val="1"/>
          <w:numId w:val="21"/>
        </w:numPr>
        <w:suppressAutoHyphens/>
        <w:spacing w:line="259" w:lineRule="auto"/>
        <w:contextualSpacing w:val="0"/>
      </w:pPr>
      <w:bookmarkStart w:id="345" w:name="_Toc193192645"/>
      <w:bookmarkStart w:id="346" w:name="_Toc196204727"/>
      <w:r w:rsidRPr="38A49B51">
        <w:t>control measure costs of $2</w:t>
      </w:r>
      <w:r w:rsidR="001F5807">
        <w:t>86</w:t>
      </w:r>
      <w:r w:rsidRPr="38A49B51">
        <w:t xml:space="preserve"> million over 10 years, comprising engineering controls ($1</w:t>
      </w:r>
      <w:r w:rsidR="00974689">
        <w:t>47</w:t>
      </w:r>
      <w:r w:rsidRPr="38A49B51">
        <w:t xml:space="preserve"> million), isolation controls ($</w:t>
      </w:r>
      <w:r w:rsidR="00FA45E8">
        <w:t>120</w:t>
      </w:r>
      <w:r w:rsidRPr="38A49B51">
        <w:t xml:space="preserve"> million)</w:t>
      </w:r>
      <w:r w:rsidR="00FA45E8">
        <w:t>, administra</w:t>
      </w:r>
      <w:r w:rsidR="00BD1766">
        <w:t>tive</w:t>
      </w:r>
      <w:r w:rsidR="00795B6D">
        <w:t xml:space="preserve"> controls</w:t>
      </w:r>
      <w:r w:rsidR="00337F3B">
        <w:t xml:space="preserve"> (</w:t>
      </w:r>
      <w:r w:rsidR="008B7ADF">
        <w:t>$15 million</w:t>
      </w:r>
      <w:r w:rsidR="00337F3B">
        <w:t>)</w:t>
      </w:r>
      <w:r w:rsidRPr="38A49B51">
        <w:t xml:space="preserve"> and </w:t>
      </w:r>
      <w:r w:rsidR="00A41F9A">
        <w:t>personal protective equipment</w:t>
      </w:r>
      <w:r w:rsidR="00A41F9A" w:rsidRPr="38A49B51">
        <w:t xml:space="preserve"> </w:t>
      </w:r>
      <w:r w:rsidR="00EA7AEE">
        <w:t xml:space="preserve">(PPE) </w:t>
      </w:r>
      <w:r w:rsidRPr="38A49B51">
        <w:t>($</w:t>
      </w:r>
      <w:r w:rsidR="008B7ADF">
        <w:t>4</w:t>
      </w:r>
      <w:r w:rsidRPr="38A49B51">
        <w:t xml:space="preserve"> million).</w:t>
      </w:r>
      <w:bookmarkEnd w:id="345"/>
      <w:bookmarkEnd w:id="346"/>
    </w:p>
    <w:p w14:paraId="7CF50041" w14:textId="427C89CF" w:rsidR="000B51DC" w:rsidRDefault="000B51DC" w:rsidP="00B57E6C">
      <w:pPr>
        <w:pStyle w:val="ListParagraph"/>
        <w:numPr>
          <w:ilvl w:val="1"/>
          <w:numId w:val="21"/>
        </w:numPr>
        <w:suppressAutoHyphens/>
        <w:spacing w:line="259" w:lineRule="auto"/>
        <w:contextualSpacing w:val="0"/>
      </w:pPr>
      <w:bookmarkStart w:id="347" w:name="_Toc193192646"/>
      <w:bookmarkStart w:id="348" w:name="_Toc196204728"/>
      <w:r w:rsidRPr="38A49B51">
        <w:t>management practice costs of $</w:t>
      </w:r>
      <w:r w:rsidR="002C1170">
        <w:t>32</w:t>
      </w:r>
      <w:r w:rsidRPr="38A49B51">
        <w:t xml:space="preserve"> million over 10 years, comprising air monitoring ($</w:t>
      </w:r>
      <w:r w:rsidR="00026677">
        <w:t>1</w:t>
      </w:r>
      <w:r w:rsidRPr="38A49B51">
        <w:t>9 million) and occupational hygiene ($</w:t>
      </w:r>
      <w:r w:rsidR="00026677">
        <w:t>13</w:t>
      </w:r>
      <w:r w:rsidRPr="38A49B51">
        <w:t xml:space="preserve"> million).</w:t>
      </w:r>
      <w:bookmarkEnd w:id="347"/>
      <w:bookmarkEnd w:id="348"/>
    </w:p>
    <w:p w14:paraId="4F21BC54" w14:textId="77777777" w:rsidR="00D61927" w:rsidRDefault="00D61927" w:rsidP="000E09E8">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426FB5FE" w14:textId="0165D44D" w:rsidR="00D61927" w:rsidRDefault="00D61927" w:rsidP="00B64384">
      <w:pPr>
        <w:suppressAutoHyphens/>
      </w:pPr>
      <w:r>
        <w:t xml:space="preserve">Obligations around management practice costs make these costs more likely to be evenly distributed throughout the appraisal period. </w:t>
      </w:r>
      <w:bookmarkStart w:id="349" w:name="_Ref199920847"/>
    </w:p>
    <w:p w14:paraId="5E17B6FF" w14:textId="0333294D" w:rsidR="001D160E" w:rsidRDefault="001D160E" w:rsidP="00EB68A8">
      <w:pPr>
        <w:pStyle w:val="Caption"/>
        <w:keepLines/>
      </w:pPr>
      <w:r>
        <w:t xml:space="preserve">Table </w:t>
      </w:r>
      <w:fldSimple w:instr=" SEQ Table \* ARABIC ">
        <w:r w:rsidR="00A002F4">
          <w:rPr>
            <w:noProof/>
          </w:rPr>
          <w:t>24</w:t>
        </w:r>
      </w:fldSimple>
      <w:bookmarkEnd w:id="349"/>
      <w:r>
        <w:t xml:space="preserve"> - </w:t>
      </w:r>
      <w:r w:rsidRPr="0003633B">
        <w:t>Estimated average annual and total incremental costs to businesses affected by the proposed WEL for hydrogen cyanide,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23"/>
        <w:gridCol w:w="2693"/>
        <w:gridCol w:w="2551"/>
      </w:tblGrid>
      <w:tr w:rsidR="000B51DC" w:rsidRPr="008404A0" w14:paraId="5E88CEBF" w14:textId="77777777" w:rsidTr="006F0EA4">
        <w:trPr>
          <w:trHeight w:val="617"/>
        </w:trPr>
        <w:tc>
          <w:tcPr>
            <w:tcW w:w="3823" w:type="dxa"/>
            <w:shd w:val="clear" w:color="auto" w:fill="4877E0" w:themeFill="accent1"/>
          </w:tcPr>
          <w:p w14:paraId="4ED4385E" w14:textId="77777777" w:rsidR="000B51DC" w:rsidRPr="00526CB9" w:rsidRDefault="000B51DC" w:rsidP="00EB68A8">
            <w:pPr>
              <w:pStyle w:val="Paragraph"/>
              <w:keepLines/>
              <w:spacing w:after="0"/>
              <w:rPr>
                <w:b/>
                <w:bCs/>
                <w:color w:val="FFFFFF" w:themeColor="background1"/>
              </w:rPr>
            </w:pPr>
            <w:r>
              <w:rPr>
                <w:b/>
                <w:bCs/>
                <w:color w:val="FFFFFF" w:themeColor="background1"/>
              </w:rPr>
              <w:t>Cost category</w:t>
            </w:r>
          </w:p>
        </w:tc>
        <w:tc>
          <w:tcPr>
            <w:tcW w:w="2693" w:type="dxa"/>
            <w:shd w:val="clear" w:color="auto" w:fill="4877E0" w:themeFill="accent1"/>
          </w:tcPr>
          <w:p w14:paraId="3E833EEC" w14:textId="77777777" w:rsidR="000B51DC" w:rsidRPr="00526CB9" w:rsidRDefault="000B51DC" w:rsidP="00EB68A8">
            <w:pPr>
              <w:pStyle w:val="Paragraph"/>
              <w:keepLines/>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shd w:val="clear" w:color="auto" w:fill="4877E0" w:themeFill="accent1"/>
          </w:tcPr>
          <w:p w14:paraId="4C11B63B" w14:textId="77777777" w:rsidR="000B51DC" w:rsidRPr="00526CB9" w:rsidRDefault="000B51DC" w:rsidP="00EB68A8">
            <w:pPr>
              <w:pStyle w:val="Paragraph"/>
              <w:keepLines/>
              <w:spacing w:after="0"/>
              <w:rPr>
                <w:b/>
                <w:bCs/>
                <w:color w:val="FFFFFF" w:themeColor="background1"/>
              </w:rPr>
            </w:pPr>
            <w:r>
              <w:rPr>
                <w:b/>
                <w:bCs/>
                <w:color w:val="FFFFFF" w:themeColor="background1"/>
              </w:rPr>
              <w:t>Total costs ($ millions, discounted)</w:t>
            </w:r>
          </w:p>
        </w:tc>
      </w:tr>
      <w:tr w:rsidR="000B51DC" w:rsidRPr="00BA600A" w14:paraId="46C4CD43" w14:textId="77777777" w:rsidTr="006F0EA4">
        <w:trPr>
          <w:trHeight w:val="288"/>
        </w:trPr>
        <w:tc>
          <w:tcPr>
            <w:tcW w:w="3823" w:type="dxa"/>
            <w:shd w:val="clear" w:color="auto" w:fill="DAE3F8" w:themeFill="accent1" w:themeFillTint="33"/>
          </w:tcPr>
          <w:p w14:paraId="41706302" w14:textId="77777777" w:rsidR="000B51DC" w:rsidRPr="00154D99" w:rsidRDefault="000B51DC" w:rsidP="00EB68A8">
            <w:pPr>
              <w:pStyle w:val="Paragraph"/>
              <w:keepLines/>
              <w:spacing w:after="0" w:line="276" w:lineRule="auto"/>
              <w:rPr>
                <w:b/>
              </w:rPr>
            </w:pPr>
            <w:r w:rsidRPr="00154D99">
              <w:rPr>
                <w:b/>
              </w:rPr>
              <w:t>Control measure costs</w:t>
            </w:r>
          </w:p>
        </w:tc>
        <w:tc>
          <w:tcPr>
            <w:tcW w:w="2693" w:type="dxa"/>
            <w:shd w:val="clear" w:color="auto" w:fill="DAE3F8" w:themeFill="accent1" w:themeFillTint="33"/>
            <w:vAlign w:val="center"/>
          </w:tcPr>
          <w:p w14:paraId="0F93139A" w14:textId="25FEE74C" w:rsidR="000B51DC" w:rsidRPr="00154D99" w:rsidRDefault="000B51DC" w:rsidP="00EB68A8">
            <w:pPr>
              <w:keepNext/>
              <w:keepLines/>
              <w:jc w:val="right"/>
              <w:rPr>
                <w:b/>
              </w:rPr>
            </w:pPr>
            <w:r>
              <w:rPr>
                <w:b/>
              </w:rPr>
              <w:t>4</w:t>
            </w:r>
            <w:r w:rsidR="00DD6F95">
              <w:rPr>
                <w:b/>
              </w:rPr>
              <w:t>7</w:t>
            </w:r>
            <w:r>
              <w:rPr>
                <w:b/>
              </w:rPr>
              <w:t>.4</w:t>
            </w:r>
          </w:p>
        </w:tc>
        <w:tc>
          <w:tcPr>
            <w:tcW w:w="2551" w:type="dxa"/>
            <w:shd w:val="clear" w:color="auto" w:fill="DAE3F8" w:themeFill="accent1" w:themeFillTint="33"/>
            <w:vAlign w:val="center"/>
          </w:tcPr>
          <w:p w14:paraId="1863C68D" w14:textId="43E36D02" w:rsidR="000B51DC" w:rsidRPr="00154D99" w:rsidRDefault="000B51DC" w:rsidP="00EB68A8">
            <w:pPr>
              <w:keepNext/>
              <w:keepLines/>
              <w:jc w:val="right"/>
              <w:rPr>
                <w:b/>
              </w:rPr>
            </w:pPr>
            <w:r>
              <w:rPr>
                <w:b/>
              </w:rPr>
              <w:t>2</w:t>
            </w:r>
            <w:r w:rsidR="007A08A3">
              <w:rPr>
                <w:b/>
              </w:rPr>
              <w:t>86</w:t>
            </w:r>
            <w:r w:rsidR="00F31DFF">
              <w:rPr>
                <w:b/>
              </w:rPr>
              <w:t>.1</w:t>
            </w:r>
          </w:p>
        </w:tc>
      </w:tr>
      <w:tr w:rsidR="000B51DC" w:rsidRPr="00BA600A" w14:paraId="2FC3E6DD" w14:textId="77777777" w:rsidTr="006F0EA4">
        <w:trPr>
          <w:trHeight w:val="304"/>
        </w:trPr>
        <w:tc>
          <w:tcPr>
            <w:tcW w:w="3823" w:type="dxa"/>
          </w:tcPr>
          <w:p w14:paraId="07036C78" w14:textId="77777777" w:rsidR="000B51DC" w:rsidRPr="00B155EC" w:rsidRDefault="000B51DC" w:rsidP="00EB68A8">
            <w:pPr>
              <w:pStyle w:val="Paragraph"/>
              <w:keepLines/>
              <w:spacing w:after="0" w:line="276" w:lineRule="auto"/>
              <w:ind w:left="174"/>
              <w:rPr>
                <w:bCs/>
              </w:rPr>
            </w:pPr>
            <w:r w:rsidRPr="00B155EC">
              <w:rPr>
                <w:bCs/>
              </w:rPr>
              <w:t>Isolation control costs</w:t>
            </w:r>
          </w:p>
        </w:tc>
        <w:tc>
          <w:tcPr>
            <w:tcW w:w="2693" w:type="dxa"/>
            <w:vAlign w:val="center"/>
          </w:tcPr>
          <w:p w14:paraId="2964E501" w14:textId="30DA66A6" w:rsidR="000B51DC" w:rsidRPr="00B02E59" w:rsidRDefault="000B51DC" w:rsidP="00EB68A8">
            <w:pPr>
              <w:keepNext/>
              <w:keepLines/>
              <w:jc w:val="right"/>
            </w:pPr>
            <w:r w:rsidRPr="00CE5ACC">
              <w:t>1</w:t>
            </w:r>
            <w:r w:rsidR="007A08A3">
              <w:t>9</w:t>
            </w:r>
            <w:r w:rsidRPr="00CE5ACC">
              <w:t>.</w:t>
            </w:r>
            <w:r w:rsidR="007A08A3">
              <w:t>8</w:t>
            </w:r>
          </w:p>
        </w:tc>
        <w:tc>
          <w:tcPr>
            <w:tcW w:w="2551" w:type="dxa"/>
            <w:vAlign w:val="center"/>
          </w:tcPr>
          <w:p w14:paraId="1EB20DB0" w14:textId="22BA27AE" w:rsidR="000B51DC" w:rsidRPr="00B02E59" w:rsidRDefault="007A08A3" w:rsidP="00EB68A8">
            <w:pPr>
              <w:keepNext/>
              <w:keepLines/>
              <w:jc w:val="right"/>
            </w:pPr>
            <w:r>
              <w:t>1</w:t>
            </w:r>
            <w:r w:rsidR="00F31DFF">
              <w:t>19.7</w:t>
            </w:r>
          </w:p>
        </w:tc>
      </w:tr>
      <w:tr w:rsidR="000B51DC" w:rsidRPr="00BA600A" w14:paraId="3C75D07E" w14:textId="77777777" w:rsidTr="006F0EA4">
        <w:trPr>
          <w:trHeight w:val="304"/>
        </w:trPr>
        <w:tc>
          <w:tcPr>
            <w:tcW w:w="3823" w:type="dxa"/>
          </w:tcPr>
          <w:p w14:paraId="097C8288" w14:textId="77777777" w:rsidR="000B51DC" w:rsidRPr="00B155EC" w:rsidRDefault="000B51DC" w:rsidP="006F0EA4">
            <w:pPr>
              <w:pStyle w:val="Paragraph"/>
              <w:keepNext w:val="0"/>
              <w:spacing w:after="0" w:line="276" w:lineRule="auto"/>
              <w:ind w:left="174"/>
              <w:rPr>
                <w:bCs/>
              </w:rPr>
            </w:pPr>
            <w:r w:rsidRPr="00B155EC">
              <w:rPr>
                <w:bCs/>
              </w:rPr>
              <w:t>Engineering control costs</w:t>
            </w:r>
          </w:p>
        </w:tc>
        <w:tc>
          <w:tcPr>
            <w:tcW w:w="2693" w:type="dxa"/>
            <w:vAlign w:val="center"/>
          </w:tcPr>
          <w:p w14:paraId="08A85182" w14:textId="4D754E45" w:rsidR="000B51DC" w:rsidRPr="00B02E59" w:rsidRDefault="00430CA3" w:rsidP="00EC5619">
            <w:pPr>
              <w:jc w:val="right"/>
            </w:pPr>
            <w:r>
              <w:t>24</w:t>
            </w:r>
            <w:r w:rsidR="000B51DC" w:rsidRPr="00CE5ACC">
              <w:t>.</w:t>
            </w:r>
            <w:r>
              <w:t>4</w:t>
            </w:r>
          </w:p>
        </w:tc>
        <w:tc>
          <w:tcPr>
            <w:tcW w:w="2551" w:type="dxa"/>
            <w:vAlign w:val="center"/>
          </w:tcPr>
          <w:p w14:paraId="3C4BA13F" w14:textId="33780823" w:rsidR="000B51DC" w:rsidRPr="00B02E59" w:rsidRDefault="000B51DC" w:rsidP="00EC5619">
            <w:pPr>
              <w:jc w:val="right"/>
            </w:pPr>
            <w:r w:rsidRPr="00CE5ACC">
              <w:t>1</w:t>
            </w:r>
            <w:r w:rsidR="0080628B">
              <w:t>47</w:t>
            </w:r>
            <w:r w:rsidR="00F31DFF">
              <w:t>.4</w:t>
            </w:r>
          </w:p>
        </w:tc>
      </w:tr>
      <w:tr w:rsidR="000B51DC" w:rsidRPr="00BA600A" w14:paraId="2B9AA1B9" w14:textId="77777777" w:rsidTr="006F0EA4">
        <w:trPr>
          <w:trHeight w:val="288"/>
        </w:trPr>
        <w:tc>
          <w:tcPr>
            <w:tcW w:w="3823" w:type="dxa"/>
          </w:tcPr>
          <w:p w14:paraId="0ECC4D1D" w14:textId="77777777" w:rsidR="000B51DC" w:rsidRPr="00B155EC" w:rsidRDefault="000B51DC" w:rsidP="006F0EA4">
            <w:pPr>
              <w:pStyle w:val="Paragraph"/>
              <w:keepNext w:val="0"/>
              <w:spacing w:after="0" w:line="276" w:lineRule="auto"/>
              <w:ind w:left="174"/>
              <w:rPr>
                <w:bCs/>
              </w:rPr>
            </w:pPr>
            <w:r w:rsidRPr="00B155EC">
              <w:rPr>
                <w:bCs/>
              </w:rPr>
              <w:t>Administrative control costs</w:t>
            </w:r>
          </w:p>
        </w:tc>
        <w:tc>
          <w:tcPr>
            <w:tcW w:w="2693" w:type="dxa"/>
            <w:vAlign w:val="center"/>
          </w:tcPr>
          <w:p w14:paraId="4EB7151F" w14:textId="4F8F692A" w:rsidR="000B51DC" w:rsidRPr="00B02E59" w:rsidRDefault="00094917" w:rsidP="00EC5619">
            <w:pPr>
              <w:jc w:val="right"/>
            </w:pPr>
            <w:r>
              <w:t>2.4</w:t>
            </w:r>
          </w:p>
        </w:tc>
        <w:tc>
          <w:tcPr>
            <w:tcW w:w="2551" w:type="dxa"/>
            <w:vAlign w:val="center"/>
          </w:tcPr>
          <w:p w14:paraId="60B219F4" w14:textId="5A9100AC" w:rsidR="000B51DC" w:rsidRPr="00B02E59" w:rsidRDefault="00F31DFF" w:rsidP="00EC5619">
            <w:pPr>
              <w:jc w:val="right"/>
            </w:pPr>
            <w:r>
              <w:t>14.9</w:t>
            </w:r>
          </w:p>
        </w:tc>
      </w:tr>
      <w:tr w:rsidR="000B51DC" w:rsidRPr="00BA600A" w14:paraId="6CC156BF" w14:textId="77777777" w:rsidTr="006F0EA4">
        <w:trPr>
          <w:trHeight w:val="324"/>
        </w:trPr>
        <w:tc>
          <w:tcPr>
            <w:tcW w:w="3823" w:type="dxa"/>
          </w:tcPr>
          <w:p w14:paraId="663B0840" w14:textId="77777777" w:rsidR="000B51DC" w:rsidRPr="00B155EC" w:rsidRDefault="000B51DC" w:rsidP="006F0EA4">
            <w:pPr>
              <w:pStyle w:val="Paragraph"/>
              <w:keepNext w:val="0"/>
              <w:spacing w:after="0" w:line="276" w:lineRule="auto"/>
              <w:ind w:left="174"/>
              <w:rPr>
                <w:bCs/>
              </w:rPr>
            </w:pPr>
            <w:r w:rsidRPr="00B155EC">
              <w:rPr>
                <w:bCs/>
              </w:rPr>
              <w:t>Personal protective equipment costs</w:t>
            </w:r>
          </w:p>
        </w:tc>
        <w:tc>
          <w:tcPr>
            <w:tcW w:w="2693" w:type="dxa"/>
            <w:vAlign w:val="center"/>
          </w:tcPr>
          <w:p w14:paraId="01B87B7C" w14:textId="6FCAE5B1" w:rsidR="000B51DC" w:rsidRPr="00B02E59" w:rsidRDefault="000B51DC" w:rsidP="00EC5619">
            <w:pPr>
              <w:jc w:val="right"/>
            </w:pPr>
            <w:r>
              <w:t>0.</w:t>
            </w:r>
            <w:r w:rsidR="00077726">
              <w:t>7</w:t>
            </w:r>
          </w:p>
        </w:tc>
        <w:tc>
          <w:tcPr>
            <w:tcW w:w="2551" w:type="dxa"/>
            <w:vAlign w:val="center"/>
          </w:tcPr>
          <w:p w14:paraId="1D65FDAB" w14:textId="31F1C607" w:rsidR="000B51DC" w:rsidRPr="00B02E59" w:rsidRDefault="006A0D6D" w:rsidP="00EC5619">
            <w:pPr>
              <w:jc w:val="right"/>
            </w:pPr>
            <w:r>
              <w:t>4</w:t>
            </w:r>
            <w:r w:rsidR="00F31DFF">
              <w:t>.2</w:t>
            </w:r>
          </w:p>
        </w:tc>
      </w:tr>
      <w:tr w:rsidR="000B51DC" w:rsidRPr="00BA600A" w14:paraId="3B6EF492" w14:textId="77777777" w:rsidTr="006F0EA4">
        <w:trPr>
          <w:trHeight w:val="304"/>
        </w:trPr>
        <w:tc>
          <w:tcPr>
            <w:tcW w:w="3823" w:type="dxa"/>
            <w:shd w:val="clear" w:color="auto" w:fill="DAE3F8" w:themeFill="accent1" w:themeFillTint="33"/>
          </w:tcPr>
          <w:p w14:paraId="5029D51F" w14:textId="77777777" w:rsidR="000B51DC" w:rsidRPr="00154D99" w:rsidRDefault="000B51DC" w:rsidP="006F0EA4">
            <w:pPr>
              <w:pStyle w:val="Paragraph"/>
              <w:keepNext w:val="0"/>
              <w:spacing w:after="0" w:line="276" w:lineRule="auto"/>
              <w:rPr>
                <w:b/>
              </w:rPr>
            </w:pPr>
            <w:r w:rsidRPr="00154D99">
              <w:rPr>
                <w:b/>
              </w:rPr>
              <w:t>Management practice costs</w:t>
            </w:r>
          </w:p>
        </w:tc>
        <w:tc>
          <w:tcPr>
            <w:tcW w:w="2693" w:type="dxa"/>
            <w:shd w:val="clear" w:color="auto" w:fill="DAE3F8" w:themeFill="accent1" w:themeFillTint="33"/>
            <w:vAlign w:val="center"/>
          </w:tcPr>
          <w:p w14:paraId="6FE1EA4A" w14:textId="0F7D3FA3" w:rsidR="000B51DC" w:rsidRPr="00154D99" w:rsidRDefault="005F68A5" w:rsidP="00EC5619">
            <w:pPr>
              <w:jc w:val="right"/>
              <w:rPr>
                <w:b/>
              </w:rPr>
            </w:pPr>
            <w:r>
              <w:rPr>
                <w:b/>
              </w:rPr>
              <w:t>5</w:t>
            </w:r>
            <w:r w:rsidR="000B51DC">
              <w:rPr>
                <w:b/>
              </w:rPr>
              <w:t>.</w:t>
            </w:r>
            <w:r>
              <w:rPr>
                <w:b/>
              </w:rPr>
              <w:t>3</w:t>
            </w:r>
          </w:p>
        </w:tc>
        <w:tc>
          <w:tcPr>
            <w:tcW w:w="2551" w:type="dxa"/>
            <w:shd w:val="clear" w:color="auto" w:fill="DAE3F8" w:themeFill="accent1" w:themeFillTint="33"/>
            <w:vAlign w:val="center"/>
          </w:tcPr>
          <w:p w14:paraId="48E60587" w14:textId="67DB3A2E" w:rsidR="000B51DC" w:rsidRPr="00154D99" w:rsidRDefault="00C2037B" w:rsidP="00EC5619">
            <w:pPr>
              <w:jc w:val="right"/>
              <w:rPr>
                <w:b/>
              </w:rPr>
            </w:pPr>
            <w:r>
              <w:rPr>
                <w:b/>
              </w:rPr>
              <w:t>32</w:t>
            </w:r>
            <w:r w:rsidR="00F31DFF">
              <w:rPr>
                <w:b/>
              </w:rPr>
              <w:t>.0</w:t>
            </w:r>
          </w:p>
        </w:tc>
      </w:tr>
      <w:tr w:rsidR="000B51DC" w:rsidRPr="00BA600A" w14:paraId="34C0CE88" w14:textId="77777777" w:rsidTr="006F0EA4">
        <w:trPr>
          <w:trHeight w:val="288"/>
        </w:trPr>
        <w:tc>
          <w:tcPr>
            <w:tcW w:w="3823" w:type="dxa"/>
          </w:tcPr>
          <w:p w14:paraId="2AA9476D" w14:textId="77777777" w:rsidR="000B51DC" w:rsidRPr="00B155EC" w:rsidRDefault="000B51DC" w:rsidP="006F0EA4">
            <w:pPr>
              <w:pStyle w:val="Paragraph"/>
              <w:keepNext w:val="0"/>
              <w:spacing w:after="0" w:line="276" w:lineRule="auto"/>
              <w:ind w:left="174"/>
              <w:rPr>
                <w:bCs/>
              </w:rPr>
            </w:pPr>
            <w:r w:rsidRPr="00B155EC">
              <w:rPr>
                <w:bCs/>
              </w:rPr>
              <w:t>Air monitoring costs</w:t>
            </w:r>
          </w:p>
        </w:tc>
        <w:tc>
          <w:tcPr>
            <w:tcW w:w="2693" w:type="dxa"/>
            <w:vAlign w:val="center"/>
          </w:tcPr>
          <w:p w14:paraId="3B25F7E4" w14:textId="341049E7" w:rsidR="000B51DC" w:rsidRPr="00B02E59" w:rsidRDefault="00F43325" w:rsidP="00EC5619">
            <w:pPr>
              <w:jc w:val="right"/>
            </w:pPr>
            <w:r>
              <w:t>3.1</w:t>
            </w:r>
          </w:p>
        </w:tc>
        <w:tc>
          <w:tcPr>
            <w:tcW w:w="2551" w:type="dxa"/>
            <w:vAlign w:val="center"/>
          </w:tcPr>
          <w:p w14:paraId="3AA3B0C2" w14:textId="07D3A4BF" w:rsidR="000B51DC" w:rsidRPr="00B02E59" w:rsidRDefault="00712457" w:rsidP="00EC5619">
            <w:pPr>
              <w:jc w:val="right"/>
            </w:pPr>
            <w:r>
              <w:t>1</w:t>
            </w:r>
            <w:r w:rsidR="00F31DFF">
              <w:t>8.</w:t>
            </w:r>
            <w:r w:rsidR="000B51DC" w:rsidRPr="00CE5ACC" w:rsidDel="00F31DFF">
              <w:t>9</w:t>
            </w:r>
          </w:p>
        </w:tc>
      </w:tr>
      <w:tr w:rsidR="000B51DC" w:rsidRPr="00BA600A" w14:paraId="5171F7EE" w14:textId="77777777" w:rsidTr="006F0EA4">
        <w:trPr>
          <w:trHeight w:val="304"/>
        </w:trPr>
        <w:tc>
          <w:tcPr>
            <w:tcW w:w="3823" w:type="dxa"/>
          </w:tcPr>
          <w:p w14:paraId="63BFF8E4" w14:textId="77777777" w:rsidR="000B51DC" w:rsidRPr="00B155EC" w:rsidRDefault="000B51DC" w:rsidP="006F0EA4">
            <w:pPr>
              <w:pStyle w:val="Paragraph"/>
              <w:keepNext w:val="0"/>
              <w:spacing w:after="0" w:line="276" w:lineRule="auto"/>
              <w:ind w:left="174"/>
              <w:rPr>
                <w:bCs/>
              </w:rPr>
            </w:pPr>
            <w:r w:rsidRPr="00B155EC">
              <w:rPr>
                <w:bCs/>
              </w:rPr>
              <w:t>Occupational hygiene costs</w:t>
            </w:r>
          </w:p>
        </w:tc>
        <w:tc>
          <w:tcPr>
            <w:tcW w:w="2693" w:type="dxa"/>
            <w:vAlign w:val="center"/>
          </w:tcPr>
          <w:p w14:paraId="56BC3997" w14:textId="39857B92" w:rsidR="000B51DC" w:rsidRPr="00B02E59" w:rsidRDefault="00712457" w:rsidP="00EC5619">
            <w:pPr>
              <w:jc w:val="right"/>
            </w:pPr>
            <w:r>
              <w:t>2</w:t>
            </w:r>
            <w:r w:rsidR="000B51DC" w:rsidRPr="00CE5ACC">
              <w:t>.</w:t>
            </w:r>
            <w:r>
              <w:t>2</w:t>
            </w:r>
          </w:p>
        </w:tc>
        <w:tc>
          <w:tcPr>
            <w:tcW w:w="2551" w:type="dxa"/>
            <w:vAlign w:val="center"/>
          </w:tcPr>
          <w:p w14:paraId="0DFA2BE0" w14:textId="3E4BBCD1" w:rsidR="000B51DC" w:rsidRPr="00B02E59" w:rsidRDefault="00712457" w:rsidP="00EC5619">
            <w:pPr>
              <w:jc w:val="right"/>
            </w:pPr>
            <w:r>
              <w:t>13</w:t>
            </w:r>
            <w:r w:rsidR="00F31DFF">
              <w:t>.1</w:t>
            </w:r>
          </w:p>
        </w:tc>
      </w:tr>
      <w:tr w:rsidR="000B51DC" w:rsidRPr="00BA600A" w14:paraId="399D8091" w14:textId="77777777" w:rsidTr="006F0EA4">
        <w:trPr>
          <w:trHeight w:val="288"/>
        </w:trPr>
        <w:tc>
          <w:tcPr>
            <w:tcW w:w="3823" w:type="dxa"/>
            <w:shd w:val="clear" w:color="auto" w:fill="DAE3F8" w:themeFill="accent1" w:themeFillTint="33"/>
          </w:tcPr>
          <w:p w14:paraId="1C415136" w14:textId="77777777" w:rsidR="000B51DC" w:rsidRPr="00154D99" w:rsidRDefault="000B51DC" w:rsidP="006F0EA4">
            <w:pPr>
              <w:pStyle w:val="Paragraph"/>
              <w:keepNext w:val="0"/>
              <w:spacing w:after="0" w:line="276" w:lineRule="auto"/>
              <w:rPr>
                <w:b/>
              </w:rPr>
            </w:pPr>
            <w:r w:rsidRPr="00154D99">
              <w:rPr>
                <w:b/>
              </w:rPr>
              <w:t>Total costs</w:t>
            </w:r>
          </w:p>
        </w:tc>
        <w:tc>
          <w:tcPr>
            <w:tcW w:w="2693" w:type="dxa"/>
            <w:shd w:val="clear" w:color="auto" w:fill="DAE3F8" w:themeFill="accent1" w:themeFillTint="33"/>
            <w:vAlign w:val="center"/>
          </w:tcPr>
          <w:p w14:paraId="10D53FBD" w14:textId="6DC0D618" w:rsidR="000B51DC" w:rsidRPr="00154D99" w:rsidRDefault="00712457" w:rsidP="00EC5619">
            <w:pPr>
              <w:jc w:val="right"/>
              <w:rPr>
                <w:b/>
              </w:rPr>
            </w:pPr>
            <w:r>
              <w:rPr>
                <w:b/>
              </w:rPr>
              <w:t>52.</w:t>
            </w:r>
            <w:r w:rsidR="000B51DC">
              <w:rPr>
                <w:b/>
              </w:rPr>
              <w:t>7</w:t>
            </w:r>
          </w:p>
        </w:tc>
        <w:tc>
          <w:tcPr>
            <w:tcW w:w="2551" w:type="dxa"/>
            <w:shd w:val="clear" w:color="auto" w:fill="DAE3F8" w:themeFill="accent1" w:themeFillTint="33"/>
            <w:vAlign w:val="center"/>
          </w:tcPr>
          <w:p w14:paraId="5FFAF533" w14:textId="4C9BE9BE" w:rsidR="000B51DC" w:rsidRPr="00154D99" w:rsidRDefault="002F6D29" w:rsidP="00EC5619">
            <w:pPr>
              <w:jc w:val="right"/>
              <w:rPr>
                <w:b/>
              </w:rPr>
            </w:pPr>
            <w:r>
              <w:rPr>
                <w:b/>
              </w:rPr>
              <w:t>318</w:t>
            </w:r>
            <w:r w:rsidR="00F31DFF">
              <w:rPr>
                <w:b/>
              </w:rPr>
              <w:t>.1</w:t>
            </w:r>
          </w:p>
        </w:tc>
      </w:tr>
    </w:tbl>
    <w:p w14:paraId="1B0E91EF" w14:textId="4FBF8469" w:rsidR="000B51DC" w:rsidRDefault="000B51DC" w:rsidP="000B51DC">
      <w:pPr>
        <w:spacing w:before="240"/>
        <w:contextualSpacing w:val="0"/>
      </w:pPr>
      <w:r w:rsidRPr="38A49B51">
        <w:t xml:space="preserve">This regulatory impact analysis has also estimated the average annual and total costs to </w:t>
      </w:r>
      <w:r w:rsidR="005C775B">
        <w:t>industry</w:t>
      </w:r>
      <w:r w:rsidR="005C775B" w:rsidRPr="38A49B51">
        <w:t xml:space="preserve"> </w:t>
      </w:r>
      <w:r w:rsidRPr="38A49B51">
        <w:t>under low and high cost scenarios, where:</w:t>
      </w:r>
    </w:p>
    <w:p w14:paraId="19012BAF" w14:textId="1C0DFAE5" w:rsidR="000B51DC" w:rsidRDefault="000B51DC" w:rsidP="00B57E6C">
      <w:pPr>
        <w:pStyle w:val="ListParagraph"/>
        <w:numPr>
          <w:ilvl w:val="0"/>
          <w:numId w:val="22"/>
        </w:numPr>
        <w:suppressAutoHyphens/>
        <w:spacing w:line="259" w:lineRule="auto"/>
        <w:contextualSpacing w:val="0"/>
      </w:pPr>
      <w:bookmarkStart w:id="350" w:name="_Toc193192647"/>
      <w:bookmarkStart w:id="351" w:name="_Toc196204729"/>
      <w:r w:rsidRPr="38A49B51">
        <w:lastRenderedPageBreak/>
        <w:t>Under the low cost scenario, the average annual cost is $</w:t>
      </w:r>
      <w:r w:rsidR="00667F76">
        <w:t>40</w:t>
      </w:r>
      <w:r w:rsidRPr="38A49B51">
        <w:t xml:space="preserve"> million (undiscounted) and the total cost is $</w:t>
      </w:r>
      <w:r w:rsidR="00DC25E1">
        <w:t>239</w:t>
      </w:r>
      <w:r w:rsidRPr="38A49B51">
        <w:t xml:space="preserve"> million (discounted).</w:t>
      </w:r>
      <w:bookmarkEnd w:id="350"/>
      <w:bookmarkEnd w:id="351"/>
    </w:p>
    <w:p w14:paraId="5CF59258" w14:textId="73E1E38D" w:rsidR="000B51DC" w:rsidRDefault="000B51DC" w:rsidP="00B57E6C">
      <w:pPr>
        <w:pStyle w:val="ListParagraph"/>
        <w:numPr>
          <w:ilvl w:val="0"/>
          <w:numId w:val="22"/>
        </w:numPr>
        <w:suppressAutoHyphens/>
        <w:spacing w:line="259" w:lineRule="auto"/>
        <w:contextualSpacing w:val="0"/>
      </w:pPr>
      <w:bookmarkStart w:id="352" w:name="_Toc193192648"/>
      <w:bookmarkStart w:id="353" w:name="_Toc196204730"/>
      <w:r w:rsidRPr="38A49B51">
        <w:t>Under the high cost scenario, the average annual cost is $</w:t>
      </w:r>
      <w:r w:rsidR="00DC25E1">
        <w:t>66</w:t>
      </w:r>
      <w:r w:rsidRPr="38A49B51">
        <w:t xml:space="preserve"> million (undiscounted) and the total cost is $</w:t>
      </w:r>
      <w:r w:rsidR="00DC25E1">
        <w:t>398</w:t>
      </w:r>
      <w:r w:rsidRPr="38A49B51">
        <w:t xml:space="preserve"> million (discounted).</w:t>
      </w:r>
      <w:bookmarkEnd w:id="352"/>
      <w:bookmarkEnd w:id="353"/>
      <w:r w:rsidRPr="38A49B51">
        <w:t xml:space="preserve"> </w:t>
      </w:r>
    </w:p>
    <w:p w14:paraId="08D2DAE6" w14:textId="112AB3FE" w:rsidR="000B51DC" w:rsidRDefault="001D160E" w:rsidP="00616E4C">
      <w:pPr>
        <w:suppressAutoHyphens/>
        <w:spacing w:line="259" w:lineRule="auto"/>
        <w:contextualSpacing w:val="0"/>
      </w:pPr>
      <w:r>
        <w:fldChar w:fldCharType="begin"/>
      </w:r>
      <w:r>
        <w:instrText xml:space="preserve"> REF _Ref199920897 \h </w:instrText>
      </w:r>
      <w:r>
        <w:fldChar w:fldCharType="separate"/>
      </w:r>
      <w:r w:rsidR="00A002F4">
        <w:t xml:space="preserve">Table </w:t>
      </w:r>
      <w:r w:rsidR="00A002F4">
        <w:rPr>
          <w:noProof/>
        </w:rPr>
        <w:t>25</w:t>
      </w:r>
      <w:r>
        <w:fldChar w:fldCharType="end"/>
      </w:r>
      <w:r>
        <w:t xml:space="preserve"> </w:t>
      </w:r>
      <w:r w:rsidR="000B51DC" w:rsidRPr="004F240B">
        <w:t xml:space="preserve">presents the estimated average annual </w:t>
      </w:r>
      <w:r w:rsidR="00750FD7">
        <w:t xml:space="preserve">incremental </w:t>
      </w:r>
      <w:r w:rsidR="000B51DC" w:rsidRPr="004F240B">
        <w:t>costs per affected business</w:t>
      </w:r>
      <w:r w:rsidR="000B51DC" w:rsidRPr="007C3418">
        <w:t xml:space="preserve"> by business size category for the proposed WEL for </w:t>
      </w:r>
      <w:r w:rsidR="000B51DC">
        <w:t>hydrogen cyanide</w:t>
      </w:r>
      <w:r w:rsidR="000B51DC" w:rsidRPr="0065724E">
        <w:t>.</w:t>
      </w:r>
      <w:r w:rsidR="000B51DC" w:rsidRPr="007C3418">
        <w:t xml:space="preserve"> </w:t>
      </w:r>
      <w:r w:rsidR="009F1A42" w:rsidRPr="001018C7">
        <w:t xml:space="preserve">The results do not factor in costs specific to a singular business or industry that </w:t>
      </w:r>
      <w:r w:rsidR="009F1A42">
        <w:t xml:space="preserve">are </w:t>
      </w:r>
      <w:r w:rsidR="009F1A42" w:rsidRPr="001018C7">
        <w:t>not expected for other businesses or industries</w:t>
      </w:r>
      <w:r w:rsidR="009F1A42">
        <w:t xml:space="preserve">. </w:t>
      </w:r>
      <w:r w:rsidR="000453DE" w:rsidRPr="00B548F6">
        <w:t>An average annual incremental cost is also assumed in the absence of information to indicate the true distribution of costs across the 10-year appraisal period</w:t>
      </w:r>
      <w:r w:rsidR="000453DE">
        <w:t xml:space="preserve">. </w:t>
      </w:r>
      <w:r w:rsidR="009F1A42">
        <w:t>These affected businesses come from the following industries:</w:t>
      </w:r>
    </w:p>
    <w:p w14:paraId="4EA3FAEB" w14:textId="6F3C1330" w:rsidR="009F1A42" w:rsidRDefault="00364FC7" w:rsidP="00A2768E">
      <w:pPr>
        <w:pStyle w:val="ListParagraph"/>
        <w:numPr>
          <w:ilvl w:val="0"/>
          <w:numId w:val="58"/>
        </w:numPr>
        <w:contextualSpacing w:val="0"/>
      </w:pPr>
      <w:r>
        <w:t xml:space="preserve">mining, </w:t>
      </w:r>
    </w:p>
    <w:p w14:paraId="51CFE916" w14:textId="6EB90681" w:rsidR="008A5468" w:rsidRDefault="00AA27A5" w:rsidP="00A2768E">
      <w:pPr>
        <w:pStyle w:val="ListParagraph"/>
        <w:numPr>
          <w:ilvl w:val="0"/>
          <w:numId w:val="58"/>
        </w:numPr>
        <w:ind w:left="714" w:hanging="357"/>
        <w:contextualSpacing w:val="0"/>
      </w:pPr>
      <w:r>
        <w:t>manufacturing</w:t>
      </w:r>
      <w:r w:rsidR="170AA4EC">
        <w:t>, and</w:t>
      </w:r>
    </w:p>
    <w:p w14:paraId="3CAE86EF" w14:textId="4B3B7C9F" w:rsidR="008A5468" w:rsidRDefault="00AA27A5" w:rsidP="00A2768E">
      <w:pPr>
        <w:pStyle w:val="ListParagraph"/>
        <w:numPr>
          <w:ilvl w:val="0"/>
          <w:numId w:val="58"/>
        </w:numPr>
        <w:contextualSpacing w:val="0"/>
      </w:pPr>
      <w:bookmarkStart w:id="354" w:name="_Toc196204733"/>
      <w:r>
        <w:t xml:space="preserve">public </w:t>
      </w:r>
      <w:r w:rsidR="008A5468">
        <w:t>administration and safety.</w:t>
      </w:r>
      <w:bookmarkEnd w:id="354"/>
    </w:p>
    <w:p w14:paraId="1C2470E4" w14:textId="77777777" w:rsidR="000B51DC" w:rsidRPr="007C3418" w:rsidRDefault="000B51DC" w:rsidP="38A49B51">
      <w:r w:rsidRPr="38A49B51">
        <w:t>The results indicate that:</w:t>
      </w:r>
    </w:p>
    <w:p w14:paraId="3D0B8B4F" w14:textId="2D23A47F" w:rsidR="000B51DC" w:rsidRPr="007C3418" w:rsidRDefault="000B51DC" w:rsidP="00B57E6C">
      <w:pPr>
        <w:pStyle w:val="ListParagraph"/>
        <w:numPr>
          <w:ilvl w:val="0"/>
          <w:numId w:val="23"/>
        </w:numPr>
        <w:suppressAutoHyphens/>
        <w:spacing w:line="259" w:lineRule="auto"/>
        <w:ind w:left="709"/>
        <w:contextualSpacing w:val="0"/>
      </w:pPr>
      <w:bookmarkStart w:id="355" w:name="_Toc193192649"/>
      <w:bookmarkStart w:id="356" w:name="_Toc196204734"/>
      <w:r w:rsidRPr="38A49B51">
        <w:t xml:space="preserve">There </w:t>
      </w:r>
      <w:r w:rsidR="00392ED8" w:rsidRPr="38A49B51">
        <w:t>is</w:t>
      </w:r>
      <w:r w:rsidRPr="38A49B51">
        <w:t xml:space="preserve"> an estimated </w:t>
      </w:r>
      <w:r w:rsidR="00C14907">
        <w:t xml:space="preserve">total of </w:t>
      </w:r>
      <w:r w:rsidRPr="38A49B51">
        <w:t>2,</w:t>
      </w:r>
      <w:r w:rsidR="007C6FA7">
        <w:t>344</w:t>
      </w:r>
      <w:r w:rsidRPr="38A49B51">
        <w:t xml:space="preserve"> affected businesses, comprising 1,</w:t>
      </w:r>
      <w:r w:rsidR="000F76D1">
        <w:t>758</w:t>
      </w:r>
      <w:r w:rsidRPr="38A49B51">
        <w:t xml:space="preserve"> small businesses, </w:t>
      </w:r>
      <w:r w:rsidR="00913037">
        <w:t>442</w:t>
      </w:r>
      <w:r w:rsidRPr="38A49B51">
        <w:t xml:space="preserve"> medium businesses and 1</w:t>
      </w:r>
      <w:r w:rsidR="00913037">
        <w:t xml:space="preserve">45 </w:t>
      </w:r>
      <w:r w:rsidRPr="38A49B51">
        <w:t>large businesses.</w:t>
      </w:r>
      <w:bookmarkEnd w:id="355"/>
      <w:bookmarkEnd w:id="356"/>
    </w:p>
    <w:p w14:paraId="7EEC1D2D" w14:textId="782B7304" w:rsidR="000B51DC" w:rsidRDefault="000B51DC" w:rsidP="00B57E6C">
      <w:pPr>
        <w:pStyle w:val="ListParagraph"/>
        <w:numPr>
          <w:ilvl w:val="0"/>
          <w:numId w:val="23"/>
        </w:numPr>
        <w:suppressAutoHyphens/>
        <w:spacing w:line="259" w:lineRule="auto"/>
        <w:ind w:left="709"/>
        <w:contextualSpacing w:val="0"/>
      </w:pPr>
      <w:bookmarkStart w:id="357" w:name="_Toc193192650"/>
      <w:bookmarkStart w:id="358" w:name="_Toc196204735"/>
      <w:r w:rsidRPr="007C3418">
        <w:t>The estimated average annual cost</w:t>
      </w:r>
      <w:r w:rsidRPr="007C3418" w:rsidDel="00640676">
        <w:t xml:space="preserve"> </w:t>
      </w:r>
      <w:r w:rsidDel="00640676">
        <w:t xml:space="preserve">is </w:t>
      </w:r>
      <w:r>
        <w:t>$</w:t>
      </w:r>
      <w:r w:rsidR="008A5468">
        <w:t>1,800</w:t>
      </w:r>
      <w:r w:rsidR="00640676">
        <w:t xml:space="preserve"> for small businesses</w:t>
      </w:r>
      <w:r>
        <w:t>, followed by $</w:t>
      </w:r>
      <w:r w:rsidR="004F3FF4">
        <w:t>8</w:t>
      </w:r>
      <w:r>
        <w:t>,</w:t>
      </w:r>
      <w:r w:rsidR="004F3FF4">
        <w:t>0</w:t>
      </w:r>
      <w:r>
        <w:t>00 for medium businesses and $</w:t>
      </w:r>
      <w:r w:rsidR="008A5468">
        <w:t>317,900</w:t>
      </w:r>
      <w:r>
        <w:t xml:space="preserve"> </w:t>
      </w:r>
      <w:r w:rsidR="008A5468">
        <w:t xml:space="preserve">large </w:t>
      </w:r>
      <w:r>
        <w:t>businesses.</w:t>
      </w:r>
      <w:bookmarkEnd w:id="357"/>
      <w:bookmarkEnd w:id="358"/>
    </w:p>
    <w:p w14:paraId="4328527D" w14:textId="1FBE5B38" w:rsidR="000B51DC" w:rsidRDefault="001D160E" w:rsidP="001D160E">
      <w:pPr>
        <w:pStyle w:val="Caption"/>
      </w:pPr>
      <w:bookmarkStart w:id="359" w:name="_Ref199920897"/>
      <w:r>
        <w:t xml:space="preserve">Table </w:t>
      </w:r>
      <w:fldSimple w:instr=" SEQ Table \* ARABIC ">
        <w:r w:rsidR="00A002F4">
          <w:rPr>
            <w:noProof/>
          </w:rPr>
          <w:t>25</w:t>
        </w:r>
      </w:fldSimple>
      <w:bookmarkEnd w:id="359"/>
      <w:r>
        <w:t xml:space="preserve"> - </w:t>
      </w:r>
      <w:r w:rsidRPr="00777895">
        <w:t>Estimated average annual incremental cost per affected business by business size ($, undiscounted) and affected businesses for hydrogen cyanide,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116"/>
        <w:gridCol w:w="2392"/>
        <w:gridCol w:w="2254"/>
      </w:tblGrid>
      <w:tr w:rsidR="000B51DC" w14:paraId="5DFABE40" w14:textId="77777777" w:rsidTr="00FB18E4">
        <w:tc>
          <w:tcPr>
            <w:tcW w:w="2254" w:type="dxa"/>
            <w:shd w:val="clear" w:color="auto" w:fill="4877E0" w:themeFill="accent1"/>
          </w:tcPr>
          <w:p w14:paraId="7CF16B16" w14:textId="77777777" w:rsidR="000B51DC" w:rsidRPr="002B6782" w:rsidRDefault="000B51DC">
            <w:pPr>
              <w:suppressAutoHyphens/>
              <w:spacing w:after="0" w:line="259" w:lineRule="auto"/>
              <w:contextualSpacing w:val="0"/>
              <w:rPr>
                <w:b/>
                <w:color w:val="FFFFFF" w:themeColor="background1"/>
              </w:rPr>
            </w:pPr>
            <w:r w:rsidRPr="002B6782">
              <w:rPr>
                <w:b/>
                <w:color w:val="FFFFFF" w:themeColor="background1"/>
              </w:rPr>
              <w:t>Measure</w:t>
            </w:r>
          </w:p>
        </w:tc>
        <w:tc>
          <w:tcPr>
            <w:tcW w:w="2116" w:type="dxa"/>
            <w:shd w:val="clear" w:color="auto" w:fill="4877E0" w:themeFill="accent1"/>
          </w:tcPr>
          <w:p w14:paraId="54A6177D" w14:textId="77777777" w:rsidR="000B51DC" w:rsidRPr="002B6782" w:rsidRDefault="000B51DC">
            <w:pPr>
              <w:suppressAutoHyphens/>
              <w:spacing w:after="0" w:line="259" w:lineRule="auto"/>
              <w:contextualSpacing w:val="0"/>
              <w:rPr>
                <w:b/>
                <w:color w:val="FFFFFF" w:themeColor="background1"/>
              </w:rPr>
            </w:pPr>
            <w:r w:rsidRPr="002B6782">
              <w:rPr>
                <w:b/>
                <w:color w:val="FFFFFF" w:themeColor="background1"/>
              </w:rPr>
              <w:t>Small businesses</w:t>
            </w:r>
          </w:p>
        </w:tc>
        <w:tc>
          <w:tcPr>
            <w:tcW w:w="2392" w:type="dxa"/>
            <w:shd w:val="clear" w:color="auto" w:fill="4877E0" w:themeFill="accent1"/>
          </w:tcPr>
          <w:p w14:paraId="02DFF0DA" w14:textId="77777777" w:rsidR="000B51DC" w:rsidRPr="002B6782" w:rsidRDefault="000B51DC">
            <w:pPr>
              <w:suppressAutoHyphens/>
              <w:spacing w:after="0" w:line="259" w:lineRule="auto"/>
              <w:contextualSpacing w:val="0"/>
              <w:rPr>
                <w:b/>
                <w:color w:val="FFFFFF" w:themeColor="background1"/>
              </w:rPr>
            </w:pPr>
            <w:r w:rsidRPr="002B6782">
              <w:rPr>
                <w:b/>
                <w:color w:val="FFFFFF" w:themeColor="background1"/>
              </w:rPr>
              <w:t>Medium businesses</w:t>
            </w:r>
          </w:p>
        </w:tc>
        <w:tc>
          <w:tcPr>
            <w:tcW w:w="2254" w:type="dxa"/>
            <w:shd w:val="clear" w:color="auto" w:fill="4877E0" w:themeFill="accent1"/>
          </w:tcPr>
          <w:p w14:paraId="642797E3" w14:textId="77777777" w:rsidR="000B51DC" w:rsidRPr="002B6782" w:rsidRDefault="000B51DC">
            <w:pPr>
              <w:suppressAutoHyphens/>
              <w:spacing w:after="0" w:line="259" w:lineRule="auto"/>
              <w:contextualSpacing w:val="0"/>
              <w:rPr>
                <w:b/>
                <w:color w:val="FFFFFF" w:themeColor="background1"/>
              </w:rPr>
            </w:pPr>
            <w:r w:rsidRPr="002B6782">
              <w:rPr>
                <w:b/>
                <w:color w:val="FFFFFF" w:themeColor="background1"/>
              </w:rPr>
              <w:t>Large businesses</w:t>
            </w:r>
          </w:p>
        </w:tc>
      </w:tr>
      <w:tr w:rsidR="00994702" w14:paraId="58668B9D" w14:textId="77777777" w:rsidTr="00994702">
        <w:tc>
          <w:tcPr>
            <w:tcW w:w="2254" w:type="dxa"/>
          </w:tcPr>
          <w:p w14:paraId="1CF63043" w14:textId="76B47984" w:rsidR="00994702" w:rsidRPr="00296A4F" w:rsidRDefault="00994702" w:rsidP="00994702">
            <w:pPr>
              <w:suppressAutoHyphens/>
              <w:spacing w:after="0" w:line="259" w:lineRule="auto"/>
              <w:contextualSpacing w:val="0"/>
              <w:rPr>
                <w:b/>
                <w:bCs/>
              </w:rPr>
            </w:pPr>
            <w:r w:rsidRPr="00296A4F">
              <w:rPr>
                <w:b/>
                <w:bCs/>
              </w:rPr>
              <w:t>Number of affected businesses p.a.</w:t>
            </w:r>
          </w:p>
        </w:tc>
        <w:tc>
          <w:tcPr>
            <w:tcW w:w="2116" w:type="dxa"/>
            <w:vAlign w:val="center"/>
          </w:tcPr>
          <w:p w14:paraId="2BA64C76" w14:textId="04A6C135" w:rsidR="00994702" w:rsidRPr="005207C8" w:rsidRDefault="00994702" w:rsidP="00994702">
            <w:pPr>
              <w:suppressAutoHyphens/>
              <w:spacing w:after="0" w:line="259" w:lineRule="auto"/>
              <w:contextualSpacing w:val="0"/>
              <w:jc w:val="right"/>
            </w:pPr>
            <w:r>
              <w:t>1,758</w:t>
            </w:r>
          </w:p>
        </w:tc>
        <w:tc>
          <w:tcPr>
            <w:tcW w:w="2392" w:type="dxa"/>
            <w:vAlign w:val="center"/>
          </w:tcPr>
          <w:p w14:paraId="25D027B5" w14:textId="0C4EB24C" w:rsidR="00994702" w:rsidRDefault="00994702" w:rsidP="00994702">
            <w:pPr>
              <w:suppressAutoHyphens/>
              <w:spacing w:after="0" w:line="259" w:lineRule="auto"/>
              <w:contextualSpacing w:val="0"/>
              <w:jc w:val="right"/>
            </w:pPr>
            <w:r>
              <w:t>442</w:t>
            </w:r>
          </w:p>
        </w:tc>
        <w:tc>
          <w:tcPr>
            <w:tcW w:w="2254" w:type="dxa"/>
            <w:vAlign w:val="center"/>
          </w:tcPr>
          <w:p w14:paraId="3D900041" w14:textId="421ACF3F" w:rsidR="00994702" w:rsidRPr="005207C8" w:rsidRDefault="00994702" w:rsidP="00994702">
            <w:pPr>
              <w:suppressAutoHyphens/>
              <w:spacing w:after="0" w:line="259" w:lineRule="auto"/>
              <w:contextualSpacing w:val="0"/>
              <w:jc w:val="right"/>
            </w:pPr>
            <w:r>
              <w:t>145</w:t>
            </w:r>
          </w:p>
        </w:tc>
      </w:tr>
      <w:tr w:rsidR="00994702" w14:paraId="5DDCC768" w14:textId="77777777" w:rsidTr="002B6782">
        <w:tc>
          <w:tcPr>
            <w:tcW w:w="2254" w:type="dxa"/>
            <w:shd w:val="clear" w:color="auto" w:fill="DAE3F8" w:themeFill="accent1" w:themeFillTint="33"/>
          </w:tcPr>
          <w:p w14:paraId="003F51A2" w14:textId="664A21BA" w:rsidR="00994702" w:rsidRPr="00296A4F" w:rsidRDefault="00994702" w:rsidP="00994702">
            <w:pPr>
              <w:suppressAutoHyphens/>
              <w:spacing w:after="0" w:line="259" w:lineRule="auto"/>
              <w:contextualSpacing w:val="0"/>
              <w:rPr>
                <w:b/>
                <w:bCs/>
              </w:rPr>
            </w:pPr>
            <w:r w:rsidRPr="00296A4F">
              <w:rPr>
                <w:b/>
                <w:bCs/>
              </w:rPr>
              <w:t>Av. cost per business p.a.</w:t>
            </w:r>
          </w:p>
        </w:tc>
        <w:tc>
          <w:tcPr>
            <w:tcW w:w="2116" w:type="dxa"/>
            <w:shd w:val="clear" w:color="auto" w:fill="DAE3F8" w:themeFill="accent1" w:themeFillTint="33"/>
            <w:vAlign w:val="center"/>
          </w:tcPr>
          <w:p w14:paraId="182B7617" w14:textId="35CB4245" w:rsidR="00994702" w:rsidRDefault="00994702" w:rsidP="00994702">
            <w:pPr>
              <w:suppressAutoHyphens/>
              <w:spacing w:after="0" w:line="259" w:lineRule="auto"/>
              <w:contextualSpacing w:val="0"/>
              <w:jc w:val="right"/>
            </w:pPr>
            <w:r w:rsidRPr="005207C8">
              <w:t>1,</w:t>
            </w:r>
            <w:r>
              <w:t>800</w:t>
            </w:r>
          </w:p>
        </w:tc>
        <w:tc>
          <w:tcPr>
            <w:tcW w:w="2392" w:type="dxa"/>
            <w:shd w:val="clear" w:color="auto" w:fill="DAE3F8" w:themeFill="accent1" w:themeFillTint="33"/>
            <w:vAlign w:val="center"/>
          </w:tcPr>
          <w:p w14:paraId="565E19B6" w14:textId="7A012E5F" w:rsidR="00994702" w:rsidRDefault="00994702" w:rsidP="00994702">
            <w:pPr>
              <w:suppressAutoHyphens/>
              <w:spacing w:after="0" w:line="259" w:lineRule="auto"/>
              <w:contextualSpacing w:val="0"/>
              <w:jc w:val="right"/>
            </w:pPr>
            <w:r>
              <w:t>8</w:t>
            </w:r>
            <w:r w:rsidRPr="005207C8">
              <w:t>,</w:t>
            </w:r>
            <w:r>
              <w:t>000</w:t>
            </w:r>
          </w:p>
        </w:tc>
        <w:tc>
          <w:tcPr>
            <w:tcW w:w="2254" w:type="dxa"/>
            <w:shd w:val="clear" w:color="auto" w:fill="DAE3F8" w:themeFill="accent1" w:themeFillTint="33"/>
            <w:vAlign w:val="center"/>
          </w:tcPr>
          <w:p w14:paraId="730D3CA7" w14:textId="4560726D" w:rsidR="00994702" w:rsidRDefault="00994702" w:rsidP="00994702">
            <w:pPr>
              <w:suppressAutoHyphens/>
              <w:spacing w:after="0" w:line="259" w:lineRule="auto"/>
              <w:contextualSpacing w:val="0"/>
              <w:jc w:val="right"/>
            </w:pPr>
            <w:r w:rsidRPr="005207C8">
              <w:t>3</w:t>
            </w:r>
            <w:r>
              <w:t>17</w:t>
            </w:r>
            <w:r w:rsidRPr="005207C8">
              <w:t>,</w:t>
            </w:r>
            <w:r>
              <w:t>900</w:t>
            </w:r>
          </w:p>
        </w:tc>
      </w:tr>
    </w:tbl>
    <w:p w14:paraId="53C6A74D" w14:textId="77777777" w:rsidR="004710D8" w:rsidRDefault="004710D8" w:rsidP="004710D8">
      <w:bookmarkStart w:id="360" w:name="_Toc196204736"/>
    </w:p>
    <w:p w14:paraId="3CDFD0AF" w14:textId="7D152A50" w:rsidR="00CE33E6" w:rsidRDefault="00CE33E6" w:rsidP="000F741C">
      <w:pPr>
        <w:pStyle w:val="SWAHeading2"/>
        <w:ind w:left="709"/>
      </w:pPr>
      <w:bookmarkStart w:id="361" w:name="_Toc219216905"/>
      <w:r>
        <w:t xml:space="preserve">Stakeholder </w:t>
      </w:r>
      <w:r w:rsidR="00185630">
        <w:t>views</w:t>
      </w:r>
      <w:r w:rsidR="0044134D">
        <w:t xml:space="preserve"> </w:t>
      </w:r>
      <w:r w:rsidR="00184970">
        <w:t>on the proposed WEL</w:t>
      </w:r>
      <w:r>
        <w:t xml:space="preserve"> </w:t>
      </w:r>
      <w:r w:rsidR="00184970">
        <w:t>for</w:t>
      </w:r>
      <w:r>
        <w:t xml:space="preserve"> hydrogen cyanide</w:t>
      </w:r>
      <w:bookmarkEnd w:id="360"/>
      <w:bookmarkEnd w:id="361"/>
    </w:p>
    <w:p w14:paraId="00DBD602" w14:textId="7443B2BB" w:rsidR="00D52CF7" w:rsidRPr="00410E15" w:rsidRDefault="00B50856" w:rsidP="008C1961">
      <w:pPr>
        <w:contextualSpacing w:val="0"/>
        <w:rPr>
          <w:rFonts w:cs="Arial"/>
        </w:rPr>
      </w:pPr>
      <w:r>
        <w:rPr>
          <w:rFonts w:cs="Arial"/>
        </w:rPr>
        <w:t>As part of the public consultation process supporting this Decision RIS, 18</w:t>
      </w:r>
      <w:r w:rsidR="00E84EFB">
        <w:rPr>
          <w:rStyle w:val="normaltextrun"/>
          <w:rFonts w:eastAsiaTheme="majorEastAsia" w:cs="Arial"/>
          <w:szCs w:val="22"/>
        </w:rPr>
        <w:t xml:space="preserve"> submissions were received </w:t>
      </w:r>
      <w:r w:rsidR="006A7B80">
        <w:rPr>
          <w:rStyle w:val="normaltextrun"/>
          <w:rFonts w:eastAsiaTheme="majorEastAsia" w:cs="Arial"/>
          <w:szCs w:val="22"/>
        </w:rPr>
        <w:t>that addressed the proposed WEL for</w:t>
      </w:r>
      <w:r w:rsidR="00E84EFB" w:rsidDel="006A7B80">
        <w:rPr>
          <w:rStyle w:val="normaltextrun"/>
          <w:rFonts w:eastAsiaTheme="majorEastAsia" w:cs="Arial"/>
          <w:szCs w:val="22"/>
        </w:rPr>
        <w:t xml:space="preserve"> </w:t>
      </w:r>
      <w:r w:rsidR="00E84EFB">
        <w:rPr>
          <w:rStyle w:val="normaltextrun"/>
          <w:rFonts w:eastAsiaTheme="majorEastAsia" w:cs="Arial"/>
          <w:szCs w:val="22"/>
        </w:rPr>
        <w:t xml:space="preserve">hydrogen cyanide. </w:t>
      </w:r>
    </w:p>
    <w:p w14:paraId="3A049AA8" w14:textId="18CF17A7" w:rsidR="008E4679" w:rsidRPr="00410E15" w:rsidRDefault="002E1F54" w:rsidP="008C1961">
      <w:pPr>
        <w:contextualSpacing w:val="0"/>
        <w:rPr>
          <w:rFonts w:cs="Arial"/>
        </w:rPr>
      </w:pPr>
      <w:r w:rsidRPr="00410E15">
        <w:rPr>
          <w:rFonts w:cs="Arial"/>
        </w:rPr>
        <w:t>A m</w:t>
      </w:r>
      <w:r w:rsidR="008E4679" w:rsidRPr="00410E15">
        <w:rPr>
          <w:rFonts w:cs="Arial"/>
        </w:rPr>
        <w:t>ajority of the submissions (10</w:t>
      </w:r>
      <w:r w:rsidR="00640676">
        <w:rPr>
          <w:rFonts w:cs="Arial"/>
        </w:rPr>
        <w:t xml:space="preserve"> out of 18</w:t>
      </w:r>
      <w:r w:rsidR="008E4679" w:rsidRPr="00410E15">
        <w:rPr>
          <w:rFonts w:cs="Arial"/>
        </w:rPr>
        <w:t xml:space="preserve">) supported </w:t>
      </w:r>
      <w:r w:rsidRPr="00410E15">
        <w:rPr>
          <w:rFonts w:cs="Arial"/>
        </w:rPr>
        <w:t xml:space="preserve">the proposed health-based TWA of </w:t>
      </w:r>
      <w:r w:rsidR="008E4679" w:rsidRPr="00410E15">
        <w:rPr>
          <w:rFonts w:cs="Arial"/>
        </w:rPr>
        <w:t>0.9 ppm (1 mg/m</w:t>
      </w:r>
      <w:r w:rsidR="008E4679" w:rsidRPr="00410E15">
        <w:rPr>
          <w:rFonts w:cs="Arial"/>
          <w:vertAlign w:val="superscript"/>
        </w:rPr>
        <w:t>3</w:t>
      </w:r>
      <w:r w:rsidR="008E4679" w:rsidRPr="00410E15">
        <w:rPr>
          <w:rFonts w:cs="Arial"/>
        </w:rPr>
        <w:t>) and STEL of 5 ppm (7 mg/m</w:t>
      </w:r>
      <w:r w:rsidR="008E4679" w:rsidRPr="00410E15">
        <w:rPr>
          <w:rFonts w:cs="Arial"/>
          <w:vertAlign w:val="superscript"/>
        </w:rPr>
        <w:t>3</w:t>
      </w:r>
      <w:r w:rsidR="008E4679" w:rsidRPr="00410E15">
        <w:rPr>
          <w:rFonts w:cs="Arial"/>
        </w:rPr>
        <w:t>)</w:t>
      </w:r>
      <w:r w:rsidR="000D3B93">
        <w:rPr>
          <w:rFonts w:cs="Arial"/>
        </w:rPr>
        <w:t xml:space="preserve"> for hydrogen cyanide</w:t>
      </w:r>
      <w:r w:rsidR="00DB7110">
        <w:rPr>
          <w:rFonts w:cs="Arial"/>
        </w:rPr>
        <w:t xml:space="preserve"> (Option 2)</w:t>
      </w:r>
      <w:r w:rsidR="008E4679" w:rsidRPr="00410E15">
        <w:rPr>
          <w:rFonts w:cs="Arial"/>
        </w:rPr>
        <w:t xml:space="preserve">. </w:t>
      </w:r>
    </w:p>
    <w:p w14:paraId="5DADF80B" w14:textId="39F0F93F" w:rsidR="008E4679" w:rsidRPr="00410E15" w:rsidRDefault="00BD479E" w:rsidP="008C1961">
      <w:pPr>
        <w:contextualSpacing w:val="0"/>
        <w:rPr>
          <w:rFonts w:cs="Arial"/>
        </w:rPr>
      </w:pPr>
      <w:r w:rsidRPr="00410E15">
        <w:rPr>
          <w:rFonts w:cs="Arial"/>
        </w:rPr>
        <w:t xml:space="preserve">The submissions were made by </w:t>
      </w:r>
      <w:r w:rsidR="008E4679" w:rsidRPr="00410E15">
        <w:rPr>
          <w:rFonts w:cs="Arial"/>
        </w:rPr>
        <w:t xml:space="preserve">unions, industry bodies, governments, academics and </w:t>
      </w:r>
      <w:r w:rsidR="000D3B93">
        <w:rPr>
          <w:rFonts w:cs="Arial"/>
        </w:rPr>
        <w:t>individuals</w:t>
      </w:r>
      <w:r w:rsidR="008E4679" w:rsidRPr="00410E15">
        <w:rPr>
          <w:rFonts w:cs="Arial"/>
        </w:rPr>
        <w:t xml:space="preserve">. </w:t>
      </w:r>
      <w:r w:rsidR="000D3B93">
        <w:rPr>
          <w:rFonts w:cs="Arial"/>
        </w:rPr>
        <w:t xml:space="preserve">Stakeholders </w:t>
      </w:r>
      <w:r w:rsidR="00751099">
        <w:rPr>
          <w:rFonts w:cs="Arial"/>
        </w:rPr>
        <w:t>who supported Option 2 noted th</w:t>
      </w:r>
      <w:r w:rsidR="002075F2">
        <w:rPr>
          <w:rFonts w:cs="Arial"/>
        </w:rPr>
        <w:t>eir</w:t>
      </w:r>
      <w:r w:rsidR="00751099">
        <w:rPr>
          <w:rFonts w:cs="Arial"/>
        </w:rPr>
        <w:t xml:space="preserve"> support </w:t>
      </w:r>
      <w:r w:rsidR="00550A33">
        <w:rPr>
          <w:rFonts w:cs="Arial"/>
        </w:rPr>
        <w:t>i</w:t>
      </w:r>
      <w:r w:rsidR="008E4679" w:rsidRPr="00410E15">
        <w:rPr>
          <w:rFonts w:cs="Arial"/>
        </w:rPr>
        <w:t>s based on:</w:t>
      </w:r>
    </w:p>
    <w:p w14:paraId="71E16C1D" w14:textId="6C1E2D12" w:rsidR="001C776C" w:rsidRDefault="006F1048" w:rsidP="00EB68A8">
      <w:pPr>
        <w:pStyle w:val="ListParagraph"/>
        <w:numPr>
          <w:ilvl w:val="0"/>
          <w:numId w:val="38"/>
        </w:numPr>
        <w:spacing w:line="259" w:lineRule="auto"/>
        <w:ind w:left="714" w:hanging="357"/>
        <w:contextualSpacing w:val="0"/>
        <w:rPr>
          <w:rFonts w:cs="Arial"/>
        </w:rPr>
      </w:pPr>
      <w:bookmarkStart w:id="362" w:name="_Toc196204738"/>
      <w:r>
        <w:rPr>
          <w:rFonts w:cs="Arial"/>
        </w:rPr>
        <w:t xml:space="preserve">the current WES </w:t>
      </w:r>
      <w:r w:rsidR="00751099">
        <w:rPr>
          <w:rFonts w:cs="Arial"/>
        </w:rPr>
        <w:t>not being</w:t>
      </w:r>
      <w:r>
        <w:rPr>
          <w:rFonts w:cs="Arial"/>
        </w:rPr>
        <w:t xml:space="preserve"> protective of workers</w:t>
      </w:r>
      <w:r>
        <w:rPr>
          <w:rStyle w:val="FootnoteReference"/>
          <w:rFonts w:cs="Arial"/>
        </w:rPr>
        <w:footnoteReference w:id="163"/>
      </w:r>
    </w:p>
    <w:p w14:paraId="062BF5F1" w14:textId="5CB3FD0E" w:rsidR="00AE73B7" w:rsidRDefault="00AE73B7" w:rsidP="00AE73B7">
      <w:pPr>
        <w:pStyle w:val="ListParagraph"/>
        <w:numPr>
          <w:ilvl w:val="0"/>
          <w:numId w:val="38"/>
        </w:numPr>
        <w:spacing w:line="259" w:lineRule="auto"/>
        <w:ind w:left="714" w:hanging="357"/>
        <w:contextualSpacing w:val="0"/>
        <w:rPr>
          <w:rFonts w:cs="Arial"/>
        </w:rPr>
      </w:pPr>
      <w:r w:rsidRPr="00410E15">
        <w:rPr>
          <w:rFonts w:cs="Arial"/>
        </w:rPr>
        <w:lastRenderedPageBreak/>
        <w:t>the proposed WEL is international best practice, in line with the occupational exposure limits set by the European Union</w:t>
      </w:r>
      <w:r w:rsidR="00E56608">
        <w:rPr>
          <w:rStyle w:val="FootnoteReference"/>
          <w:rFonts w:cs="Arial"/>
        </w:rPr>
        <w:footnoteReference w:id="164"/>
      </w:r>
      <w:r>
        <w:rPr>
          <w:rFonts w:cs="Arial"/>
        </w:rPr>
        <w:t>, New Zealand and United Kingdom</w:t>
      </w:r>
      <w:r w:rsidR="005508F8">
        <w:rPr>
          <w:rStyle w:val="FootnoteReference"/>
          <w:rFonts w:cs="Arial"/>
        </w:rPr>
        <w:footnoteReference w:id="165"/>
      </w:r>
    </w:p>
    <w:p w14:paraId="20840A2B" w14:textId="60E7E4E7" w:rsidR="008E4679" w:rsidRPr="00410E15" w:rsidRDefault="008E4679" w:rsidP="00B57E6C">
      <w:pPr>
        <w:pStyle w:val="ListParagraph"/>
        <w:numPr>
          <w:ilvl w:val="0"/>
          <w:numId w:val="38"/>
        </w:numPr>
        <w:spacing w:line="259" w:lineRule="auto"/>
        <w:ind w:left="714" w:hanging="357"/>
        <w:contextualSpacing w:val="0"/>
        <w:rPr>
          <w:rFonts w:cs="Arial"/>
        </w:rPr>
      </w:pPr>
      <w:r w:rsidRPr="00410E15">
        <w:rPr>
          <w:rFonts w:cs="Arial"/>
        </w:rPr>
        <w:t xml:space="preserve">hydrogen cyanide exposure </w:t>
      </w:r>
      <w:r w:rsidR="002E54C7" w:rsidRPr="00410E15">
        <w:rPr>
          <w:rFonts w:cs="Arial"/>
        </w:rPr>
        <w:t>need</w:t>
      </w:r>
      <w:r w:rsidR="003B3CEA">
        <w:rPr>
          <w:rFonts w:cs="Arial"/>
        </w:rPr>
        <w:t>s</w:t>
      </w:r>
      <w:r w:rsidR="002E54C7" w:rsidRPr="00410E15">
        <w:rPr>
          <w:rFonts w:cs="Arial"/>
        </w:rPr>
        <w:t xml:space="preserve"> </w:t>
      </w:r>
      <w:r w:rsidR="005C152A" w:rsidRPr="00410E15">
        <w:rPr>
          <w:rFonts w:cs="Arial"/>
        </w:rPr>
        <w:t xml:space="preserve">to be taken </w:t>
      </w:r>
      <w:r w:rsidRPr="00410E15">
        <w:rPr>
          <w:rFonts w:cs="Arial"/>
        </w:rPr>
        <w:t>more seriously</w:t>
      </w:r>
      <w:r w:rsidR="002B2AB4">
        <w:rPr>
          <w:rStyle w:val="FootnoteReference"/>
          <w:rFonts w:cs="Arial"/>
        </w:rPr>
        <w:footnoteReference w:id="166"/>
      </w:r>
      <w:r w:rsidRPr="00410E15">
        <w:rPr>
          <w:rFonts w:cs="Arial"/>
        </w:rPr>
        <w:t xml:space="preserve">, based on </w:t>
      </w:r>
      <w:r w:rsidR="007D7C2A" w:rsidRPr="00410E15">
        <w:rPr>
          <w:rFonts w:cs="Arial"/>
        </w:rPr>
        <w:t xml:space="preserve">the lack of </w:t>
      </w:r>
      <w:r w:rsidR="002E54C7">
        <w:rPr>
          <w:rFonts w:cs="Arial"/>
        </w:rPr>
        <w:t>worker</w:t>
      </w:r>
      <w:r w:rsidR="00D157B6">
        <w:rPr>
          <w:rFonts w:cs="Arial"/>
        </w:rPr>
        <w:t>s’</w:t>
      </w:r>
      <w:r w:rsidR="002E54C7">
        <w:rPr>
          <w:rFonts w:cs="Arial"/>
        </w:rPr>
        <w:t xml:space="preserve"> compensation </w:t>
      </w:r>
      <w:r w:rsidR="00923047" w:rsidRPr="00410E15">
        <w:rPr>
          <w:rFonts w:cs="Arial"/>
        </w:rPr>
        <w:t xml:space="preserve">claims associated with </w:t>
      </w:r>
      <w:r w:rsidR="002E54C7">
        <w:rPr>
          <w:rFonts w:cs="Arial"/>
        </w:rPr>
        <w:t xml:space="preserve">hydrogen cyanide </w:t>
      </w:r>
      <w:r w:rsidR="00923047" w:rsidRPr="00410E15">
        <w:rPr>
          <w:rFonts w:cs="Arial"/>
        </w:rPr>
        <w:t xml:space="preserve">that suggests there is </w:t>
      </w:r>
      <w:r w:rsidRPr="00410E15">
        <w:rPr>
          <w:rFonts w:cs="Arial"/>
        </w:rPr>
        <w:t>under-reporting of hydrogen cyanide poisoning incidents</w:t>
      </w:r>
      <w:r w:rsidR="00C8093D">
        <w:rPr>
          <w:rStyle w:val="FootnoteReference"/>
          <w:rFonts w:cs="Arial"/>
        </w:rPr>
        <w:footnoteReference w:id="167"/>
      </w:r>
      <w:bookmarkStart w:id="367" w:name="_Toc196204739"/>
      <w:bookmarkEnd w:id="362"/>
      <w:r w:rsidRPr="00410E15">
        <w:rPr>
          <w:rFonts w:cs="Arial"/>
        </w:rPr>
        <w:t>, and</w:t>
      </w:r>
      <w:bookmarkEnd w:id="367"/>
    </w:p>
    <w:p w14:paraId="0486DDE1" w14:textId="3B455A5E" w:rsidR="008E4679" w:rsidRPr="00410E15" w:rsidRDefault="00103A8B" w:rsidP="00B57E6C">
      <w:pPr>
        <w:pStyle w:val="ListParagraph"/>
        <w:numPr>
          <w:ilvl w:val="0"/>
          <w:numId w:val="38"/>
        </w:numPr>
        <w:spacing w:line="259" w:lineRule="auto"/>
        <w:ind w:left="714" w:hanging="357"/>
        <w:contextualSpacing w:val="0"/>
        <w:rPr>
          <w:rFonts w:cs="Arial"/>
        </w:rPr>
      </w:pPr>
      <w:bookmarkStart w:id="368" w:name="_Toc196204740"/>
      <w:r w:rsidRPr="00410E15">
        <w:rPr>
          <w:rFonts w:cs="Arial"/>
        </w:rPr>
        <w:t>exposure to</w:t>
      </w:r>
      <w:r w:rsidR="008E4679" w:rsidRPr="00410E15">
        <w:rPr>
          <w:rFonts w:cs="Arial"/>
        </w:rPr>
        <w:t xml:space="preserve"> hydrogen cyanide can result in an immediate and potentially life-threatening reaction</w:t>
      </w:r>
      <w:r w:rsidR="00442A11">
        <w:rPr>
          <w:rStyle w:val="FootnoteReference"/>
          <w:rFonts w:cs="Arial"/>
        </w:rPr>
        <w:footnoteReference w:id="168"/>
      </w:r>
      <w:r w:rsidR="008E4679" w:rsidRPr="00410E15">
        <w:rPr>
          <w:rFonts w:cs="Arial"/>
        </w:rPr>
        <w:t>.</w:t>
      </w:r>
      <w:bookmarkEnd w:id="368"/>
    </w:p>
    <w:p w14:paraId="3C812FA4" w14:textId="0859F62D" w:rsidR="00114F70" w:rsidRPr="00410E15" w:rsidRDefault="008E4679" w:rsidP="008C1961">
      <w:pPr>
        <w:contextualSpacing w:val="0"/>
        <w:rPr>
          <w:rFonts w:cs="Arial"/>
        </w:rPr>
      </w:pPr>
      <w:r w:rsidRPr="00410E15">
        <w:rPr>
          <w:rFonts w:cs="Arial"/>
        </w:rPr>
        <w:t>A minority of submissions (6</w:t>
      </w:r>
      <w:r w:rsidR="00640676">
        <w:rPr>
          <w:rFonts w:cs="Arial"/>
        </w:rPr>
        <w:t xml:space="preserve"> out of 18</w:t>
      </w:r>
      <w:r w:rsidRPr="00410E15">
        <w:rPr>
          <w:rFonts w:cs="Arial"/>
        </w:rPr>
        <w:t>) supported ret</w:t>
      </w:r>
      <w:r w:rsidR="002E54C7">
        <w:rPr>
          <w:rFonts w:cs="Arial"/>
        </w:rPr>
        <w:t>ention of</w:t>
      </w:r>
      <w:r w:rsidRPr="00410E15">
        <w:rPr>
          <w:rFonts w:cs="Arial"/>
        </w:rPr>
        <w:t xml:space="preserve"> the current peak limitation </w:t>
      </w:r>
      <w:r w:rsidR="00773F51" w:rsidRPr="00410E15">
        <w:rPr>
          <w:rFonts w:cs="Arial"/>
        </w:rPr>
        <w:t>of 10 ppm (11 mg/m</w:t>
      </w:r>
      <w:r w:rsidR="00773F51" w:rsidRPr="008C1961">
        <w:rPr>
          <w:rFonts w:cs="Arial"/>
          <w:vertAlign w:val="superscript"/>
        </w:rPr>
        <w:t>3</w:t>
      </w:r>
      <w:r w:rsidR="00773F51" w:rsidRPr="00410E15">
        <w:rPr>
          <w:rFonts w:cs="Arial"/>
        </w:rPr>
        <w:t>)</w:t>
      </w:r>
      <w:r w:rsidRPr="00410E15">
        <w:rPr>
          <w:rFonts w:cs="Arial"/>
        </w:rPr>
        <w:t xml:space="preserve"> for hydrogen cyanide</w:t>
      </w:r>
      <w:r w:rsidR="009E033E">
        <w:rPr>
          <w:rFonts w:cs="Arial"/>
        </w:rPr>
        <w:t xml:space="preserve"> (Option 1)</w:t>
      </w:r>
      <w:r w:rsidRPr="00410E15">
        <w:rPr>
          <w:rFonts w:cs="Arial"/>
        </w:rPr>
        <w:t xml:space="preserve">. </w:t>
      </w:r>
    </w:p>
    <w:p w14:paraId="44FAB470" w14:textId="7E068DE5" w:rsidR="008E4679" w:rsidRPr="00410E15" w:rsidRDefault="008E4679" w:rsidP="008E4679">
      <w:pPr>
        <w:rPr>
          <w:rFonts w:cs="Arial"/>
        </w:rPr>
      </w:pPr>
      <w:r w:rsidRPr="00410E15">
        <w:rPr>
          <w:rFonts w:cs="Arial"/>
        </w:rPr>
        <w:t xml:space="preserve">These </w:t>
      </w:r>
      <w:r w:rsidR="00BC5977">
        <w:rPr>
          <w:rFonts w:cs="Arial"/>
        </w:rPr>
        <w:t>submissions</w:t>
      </w:r>
      <w:r w:rsidRPr="00410E15">
        <w:rPr>
          <w:rFonts w:cs="Arial"/>
        </w:rPr>
        <w:t xml:space="preserve"> came from </w:t>
      </w:r>
      <w:r w:rsidR="00BC5977">
        <w:rPr>
          <w:rFonts w:cs="Arial"/>
        </w:rPr>
        <w:t>government, PCBUs</w:t>
      </w:r>
      <w:r w:rsidRPr="00410E15">
        <w:rPr>
          <w:rFonts w:cs="Arial"/>
        </w:rPr>
        <w:t xml:space="preserve"> and industry bodies. S</w:t>
      </w:r>
      <w:r w:rsidR="00BC5977">
        <w:rPr>
          <w:rFonts w:cs="Arial"/>
        </w:rPr>
        <w:t xml:space="preserve">takeholders </w:t>
      </w:r>
      <w:r w:rsidR="003B3CEA">
        <w:rPr>
          <w:rFonts w:cs="Arial"/>
        </w:rPr>
        <w:t xml:space="preserve">who supported Option 1 noted </w:t>
      </w:r>
      <w:r w:rsidR="00B34F18">
        <w:rPr>
          <w:rFonts w:cs="Arial"/>
        </w:rPr>
        <w:t xml:space="preserve">their </w:t>
      </w:r>
      <w:r w:rsidR="00BC5977">
        <w:rPr>
          <w:rFonts w:cs="Arial"/>
        </w:rPr>
        <w:t>s</w:t>
      </w:r>
      <w:r w:rsidRPr="00410E15">
        <w:rPr>
          <w:rFonts w:cs="Arial"/>
        </w:rPr>
        <w:t xml:space="preserve">upport </w:t>
      </w:r>
      <w:r w:rsidR="003B3CEA">
        <w:rPr>
          <w:rFonts w:cs="Arial"/>
        </w:rPr>
        <w:t>is based on</w:t>
      </w:r>
      <w:r w:rsidRPr="00410E15">
        <w:rPr>
          <w:rFonts w:cs="Arial"/>
        </w:rPr>
        <w:t>:</w:t>
      </w:r>
    </w:p>
    <w:p w14:paraId="60E91343" w14:textId="1E9E7F54" w:rsidR="008E4679" w:rsidRPr="00410E15" w:rsidRDefault="008E4679" w:rsidP="000C7348">
      <w:pPr>
        <w:pStyle w:val="ListParagraph"/>
        <w:numPr>
          <w:ilvl w:val="0"/>
          <w:numId w:val="39"/>
        </w:numPr>
        <w:spacing w:line="259" w:lineRule="auto"/>
        <w:ind w:left="714" w:hanging="357"/>
        <w:contextualSpacing w:val="0"/>
        <w:rPr>
          <w:rFonts w:cs="Arial"/>
        </w:rPr>
      </w:pPr>
      <w:bookmarkStart w:id="369" w:name="_Toc196204741"/>
      <w:r w:rsidRPr="00410E15">
        <w:rPr>
          <w:rFonts w:cs="Arial"/>
        </w:rPr>
        <w:t>the proposed WEL conflict</w:t>
      </w:r>
      <w:r w:rsidR="003B3CEA">
        <w:rPr>
          <w:rFonts w:cs="Arial"/>
        </w:rPr>
        <w:t>s</w:t>
      </w:r>
      <w:r w:rsidRPr="00410E15">
        <w:rPr>
          <w:rFonts w:cs="Arial"/>
        </w:rPr>
        <w:t xml:space="preserve"> with the fast-acting nature of hydrogen cyanide</w:t>
      </w:r>
      <w:bookmarkEnd w:id="369"/>
      <w:r w:rsidR="00397487">
        <w:rPr>
          <w:rStyle w:val="FootnoteReference"/>
          <w:rFonts w:cs="Arial"/>
        </w:rPr>
        <w:footnoteReference w:id="169"/>
      </w:r>
    </w:p>
    <w:p w14:paraId="6894E4BA" w14:textId="7BFD14E0" w:rsidR="008E4679" w:rsidRPr="00410E15" w:rsidRDefault="00114F70" w:rsidP="000C7348">
      <w:pPr>
        <w:pStyle w:val="ListParagraph"/>
        <w:numPr>
          <w:ilvl w:val="0"/>
          <w:numId w:val="39"/>
        </w:numPr>
        <w:spacing w:line="259" w:lineRule="auto"/>
        <w:ind w:left="714" w:hanging="357"/>
        <w:contextualSpacing w:val="0"/>
        <w:rPr>
          <w:rFonts w:cs="Arial"/>
        </w:rPr>
      </w:pPr>
      <w:bookmarkStart w:id="370" w:name="_Toc196204742"/>
      <w:r w:rsidRPr="008C1961">
        <w:rPr>
          <w:rFonts w:cs="Arial"/>
        </w:rPr>
        <w:t>i</w:t>
      </w:r>
      <w:r w:rsidR="008E4679" w:rsidRPr="00410E15">
        <w:rPr>
          <w:rFonts w:cs="Arial"/>
        </w:rPr>
        <w:t>nhalation of hydrogen cyanide has not been an issue in industry, but rather unintended absorption through the skin</w:t>
      </w:r>
      <w:bookmarkEnd w:id="370"/>
      <w:r w:rsidR="00AE0ED3">
        <w:rPr>
          <w:rStyle w:val="FootnoteReference"/>
          <w:rFonts w:cs="Arial"/>
        </w:rPr>
        <w:footnoteReference w:id="170"/>
      </w:r>
    </w:p>
    <w:p w14:paraId="3317A949" w14:textId="7B8EFC07" w:rsidR="008E4679" w:rsidRPr="00410E15" w:rsidRDefault="008E4679" w:rsidP="000C7348">
      <w:pPr>
        <w:pStyle w:val="ListParagraph"/>
        <w:numPr>
          <w:ilvl w:val="0"/>
          <w:numId w:val="39"/>
        </w:numPr>
        <w:spacing w:line="259" w:lineRule="auto"/>
        <w:ind w:left="714" w:hanging="357"/>
        <w:contextualSpacing w:val="0"/>
        <w:rPr>
          <w:rFonts w:cs="Arial"/>
        </w:rPr>
      </w:pPr>
      <w:bookmarkStart w:id="371" w:name="_Toc196204743"/>
      <w:r w:rsidRPr="00410E15">
        <w:rPr>
          <w:rFonts w:cs="Arial"/>
        </w:rPr>
        <w:t>use of hydrogen cyanide is rare in practice, and committing resources to a lower limit will be ‘for nothing’</w:t>
      </w:r>
      <w:bookmarkEnd w:id="371"/>
      <w:r w:rsidR="00654FFD">
        <w:rPr>
          <w:rStyle w:val="FootnoteReference"/>
          <w:rFonts w:cs="Arial"/>
        </w:rPr>
        <w:footnoteReference w:id="171"/>
      </w:r>
      <w:r w:rsidRPr="00410E15">
        <w:rPr>
          <w:rFonts w:cs="Arial"/>
        </w:rPr>
        <w:t xml:space="preserve"> </w:t>
      </w:r>
    </w:p>
    <w:p w14:paraId="2DC616B5" w14:textId="7EE6271F" w:rsidR="008E4679" w:rsidRPr="008C1961" w:rsidRDefault="00724C7D" w:rsidP="00B57E6C">
      <w:pPr>
        <w:pStyle w:val="paragraph0"/>
        <w:numPr>
          <w:ilvl w:val="0"/>
          <w:numId w:val="39"/>
        </w:numPr>
        <w:spacing w:before="0" w:beforeAutospacing="0" w:after="120" w:afterAutospacing="0" w:line="240" w:lineRule="auto"/>
        <w:ind w:left="714" w:hanging="357"/>
        <w:contextualSpacing w:val="0"/>
        <w:textAlignment w:val="baseline"/>
        <w:rPr>
          <w:rFonts w:ascii="Arial" w:eastAsiaTheme="majorEastAsia" w:hAnsi="Arial" w:cs="Arial"/>
          <w:sz w:val="22"/>
          <w:szCs w:val="22"/>
        </w:rPr>
      </w:pPr>
      <w:r>
        <w:rPr>
          <w:rFonts w:ascii="Arial" w:eastAsiaTheme="majorEastAsia" w:hAnsi="Arial" w:cs="Arial"/>
          <w:sz w:val="22"/>
          <w:szCs w:val="22"/>
        </w:rPr>
        <w:t>the</w:t>
      </w:r>
      <w:r w:rsidR="00A4134B" w:rsidRPr="008C1961">
        <w:rPr>
          <w:rFonts w:ascii="Arial" w:eastAsiaTheme="majorEastAsia" w:hAnsi="Arial" w:cs="Arial"/>
          <w:sz w:val="22"/>
          <w:szCs w:val="22"/>
        </w:rPr>
        <w:t xml:space="preserve"> </w:t>
      </w:r>
      <w:r w:rsidR="008E4679" w:rsidRPr="008C1961">
        <w:rPr>
          <w:rFonts w:ascii="Arial" w:eastAsiaTheme="majorEastAsia" w:hAnsi="Arial" w:cs="Arial"/>
          <w:sz w:val="22"/>
          <w:szCs w:val="22"/>
        </w:rPr>
        <w:t>preliminary</w:t>
      </w:r>
      <w:r w:rsidR="004F5EB0" w:rsidRPr="008C1961">
        <w:rPr>
          <w:rFonts w:ascii="Arial" w:eastAsiaTheme="majorEastAsia" w:hAnsi="Arial" w:cs="Arial"/>
          <w:sz w:val="22"/>
          <w:szCs w:val="22"/>
        </w:rPr>
        <w:t xml:space="preserve"> </w:t>
      </w:r>
      <w:r w:rsidR="00CC14DA">
        <w:rPr>
          <w:rFonts w:ascii="Arial" w:eastAsiaTheme="majorEastAsia" w:hAnsi="Arial" w:cs="Arial"/>
          <w:sz w:val="22"/>
          <w:szCs w:val="22"/>
        </w:rPr>
        <w:t>estimates</w:t>
      </w:r>
      <w:r w:rsidR="000618AD">
        <w:rPr>
          <w:rFonts w:ascii="Arial" w:eastAsiaTheme="majorEastAsia" w:hAnsi="Arial" w:cs="Arial"/>
          <w:sz w:val="22"/>
          <w:szCs w:val="22"/>
        </w:rPr>
        <w:t>, by Nous Group, of the</w:t>
      </w:r>
      <w:r w:rsidR="00CC14DA">
        <w:rPr>
          <w:rFonts w:ascii="Arial" w:eastAsiaTheme="majorEastAsia" w:hAnsi="Arial" w:cs="Arial"/>
          <w:sz w:val="22"/>
          <w:szCs w:val="22"/>
        </w:rPr>
        <w:t xml:space="preserve"> </w:t>
      </w:r>
      <w:r w:rsidR="004F5EB0" w:rsidRPr="008C1961">
        <w:rPr>
          <w:rFonts w:ascii="Arial" w:eastAsiaTheme="majorEastAsia" w:hAnsi="Arial" w:cs="Arial"/>
          <w:sz w:val="22"/>
          <w:szCs w:val="22"/>
        </w:rPr>
        <w:t>cost</w:t>
      </w:r>
      <w:r w:rsidR="00CC14DA">
        <w:rPr>
          <w:rFonts w:ascii="Arial" w:eastAsiaTheme="majorEastAsia" w:hAnsi="Arial" w:cs="Arial"/>
          <w:sz w:val="22"/>
          <w:szCs w:val="22"/>
        </w:rPr>
        <w:t xml:space="preserve">s and </w:t>
      </w:r>
      <w:r w:rsidR="004F5EB0" w:rsidRPr="008C1961">
        <w:rPr>
          <w:rFonts w:ascii="Arial" w:eastAsiaTheme="majorEastAsia" w:hAnsi="Arial" w:cs="Arial"/>
          <w:sz w:val="22"/>
          <w:szCs w:val="22"/>
        </w:rPr>
        <w:t xml:space="preserve">benefit </w:t>
      </w:r>
      <w:r w:rsidR="008E4679" w:rsidRPr="008C1961">
        <w:rPr>
          <w:rFonts w:ascii="Arial" w:eastAsiaTheme="majorEastAsia" w:hAnsi="Arial" w:cs="Arial"/>
          <w:sz w:val="22"/>
          <w:szCs w:val="22"/>
        </w:rPr>
        <w:t xml:space="preserve">for </w:t>
      </w:r>
      <w:r w:rsidR="004F5EB0" w:rsidRPr="008C1961">
        <w:rPr>
          <w:rFonts w:ascii="Arial" w:eastAsiaTheme="majorEastAsia" w:hAnsi="Arial" w:cs="Arial"/>
          <w:sz w:val="22"/>
          <w:szCs w:val="22"/>
        </w:rPr>
        <w:t>hydrogen cyanide</w:t>
      </w:r>
      <w:r w:rsidR="000618AD">
        <w:rPr>
          <w:rFonts w:ascii="Arial" w:eastAsiaTheme="majorEastAsia" w:hAnsi="Arial" w:cs="Arial"/>
          <w:sz w:val="22"/>
          <w:szCs w:val="22"/>
        </w:rPr>
        <w:t xml:space="preserve">, which suggests </w:t>
      </w:r>
      <w:r w:rsidR="00D52829">
        <w:rPr>
          <w:rFonts w:ascii="Arial" w:eastAsiaTheme="majorEastAsia" w:hAnsi="Arial" w:cs="Arial"/>
          <w:sz w:val="22"/>
          <w:szCs w:val="22"/>
        </w:rPr>
        <w:t xml:space="preserve">the estimated </w:t>
      </w:r>
      <w:r w:rsidR="008E4679" w:rsidRPr="008C1961">
        <w:rPr>
          <w:rFonts w:ascii="Arial" w:eastAsiaTheme="majorEastAsia" w:hAnsi="Arial" w:cs="Arial"/>
          <w:sz w:val="22"/>
          <w:szCs w:val="22"/>
        </w:rPr>
        <w:t xml:space="preserve">costs for Option 2 </w:t>
      </w:r>
      <w:r w:rsidR="00D52829">
        <w:rPr>
          <w:rFonts w:ascii="Arial" w:eastAsiaTheme="majorEastAsia" w:hAnsi="Arial" w:cs="Arial"/>
          <w:sz w:val="22"/>
          <w:szCs w:val="22"/>
        </w:rPr>
        <w:t>were higher than the estimated</w:t>
      </w:r>
      <w:r w:rsidR="008E4679" w:rsidRPr="008C1961">
        <w:rPr>
          <w:rFonts w:ascii="Arial" w:eastAsiaTheme="majorEastAsia" w:hAnsi="Arial" w:cs="Arial"/>
          <w:sz w:val="22"/>
          <w:szCs w:val="22"/>
        </w:rPr>
        <w:t xml:space="preserve"> benefits</w:t>
      </w:r>
      <w:r w:rsidR="00E75B74">
        <w:rPr>
          <w:rStyle w:val="FootnoteReference"/>
          <w:rFonts w:ascii="Arial" w:eastAsiaTheme="majorEastAsia" w:hAnsi="Arial" w:cs="Arial"/>
          <w:sz w:val="22"/>
          <w:szCs w:val="22"/>
        </w:rPr>
        <w:footnoteReference w:id="172"/>
      </w:r>
      <w:r w:rsidR="008E4679" w:rsidRPr="008C1961">
        <w:rPr>
          <w:rFonts w:ascii="Arial" w:eastAsiaTheme="majorEastAsia" w:hAnsi="Arial" w:cs="Arial"/>
          <w:sz w:val="22"/>
          <w:szCs w:val="22"/>
        </w:rPr>
        <w:t xml:space="preserve">, and </w:t>
      </w:r>
    </w:p>
    <w:p w14:paraId="2361F8A5" w14:textId="5E77BFE7" w:rsidR="008E4679" w:rsidRPr="008C1961" w:rsidRDefault="000618AD" w:rsidP="00B57E6C">
      <w:pPr>
        <w:pStyle w:val="paragraph0"/>
        <w:numPr>
          <w:ilvl w:val="0"/>
          <w:numId w:val="39"/>
        </w:numPr>
        <w:spacing w:before="0" w:beforeAutospacing="0" w:after="120" w:afterAutospacing="0" w:line="240" w:lineRule="auto"/>
        <w:textAlignment w:val="baseline"/>
        <w:rPr>
          <w:rFonts w:ascii="Arial" w:eastAsiaTheme="majorEastAsia" w:hAnsi="Arial" w:cs="Arial"/>
          <w:sz w:val="22"/>
          <w:szCs w:val="22"/>
        </w:rPr>
      </w:pPr>
      <w:r>
        <w:rPr>
          <w:rFonts w:ascii="Arial" w:eastAsiaTheme="majorEastAsia" w:hAnsi="Arial" w:cs="Arial"/>
          <w:sz w:val="22"/>
          <w:szCs w:val="22"/>
        </w:rPr>
        <w:t>the</w:t>
      </w:r>
      <w:r w:rsidR="008E4679" w:rsidRPr="008C1961">
        <w:rPr>
          <w:rFonts w:ascii="Arial" w:eastAsiaTheme="majorEastAsia" w:hAnsi="Arial" w:cs="Arial"/>
          <w:sz w:val="22"/>
          <w:szCs w:val="22"/>
        </w:rPr>
        <w:t xml:space="preserve"> practical and feasibility issues such as measurement, compliance and costs</w:t>
      </w:r>
      <w:r w:rsidR="00757C11" w:rsidRPr="00757C11">
        <w:rPr>
          <w:rFonts w:ascii="Arial" w:eastAsiaTheme="majorEastAsia" w:hAnsi="Arial" w:cs="Arial"/>
          <w:sz w:val="22"/>
          <w:szCs w:val="22"/>
          <w:vertAlign w:val="superscript"/>
        </w:rPr>
        <w:footnoteReference w:id="173"/>
      </w:r>
      <w:r w:rsidR="008E4679" w:rsidRPr="008C1961">
        <w:rPr>
          <w:rFonts w:ascii="Arial" w:eastAsiaTheme="majorEastAsia" w:hAnsi="Arial" w:cs="Arial"/>
          <w:sz w:val="22"/>
          <w:szCs w:val="22"/>
        </w:rPr>
        <w:t xml:space="preserve">. </w:t>
      </w:r>
    </w:p>
    <w:p w14:paraId="008C9216" w14:textId="77777777" w:rsidR="008E4679" w:rsidRPr="008C1961" w:rsidRDefault="008E4679" w:rsidP="008E4679">
      <w:pPr>
        <w:pStyle w:val="paragraph0"/>
        <w:spacing w:before="0" w:beforeAutospacing="0" w:after="0" w:afterAutospacing="0"/>
        <w:textAlignment w:val="baseline"/>
        <w:rPr>
          <w:rFonts w:ascii="Arial" w:eastAsiaTheme="majorEastAsia" w:hAnsi="Arial" w:cs="Arial"/>
          <w:sz w:val="22"/>
          <w:szCs w:val="22"/>
        </w:rPr>
      </w:pPr>
    </w:p>
    <w:p w14:paraId="0BBF5E18" w14:textId="126850FD" w:rsidR="0000748D" w:rsidRDefault="008E4679" w:rsidP="5B13B215">
      <w:pPr>
        <w:pStyle w:val="paragraph0"/>
        <w:spacing w:before="0" w:beforeAutospacing="0" w:after="120" w:afterAutospacing="0"/>
        <w:textAlignment w:val="baseline"/>
        <w:rPr>
          <w:rFonts w:asciiTheme="majorHAnsi" w:eastAsiaTheme="majorEastAsia" w:hAnsiTheme="majorHAnsi" w:cstheme="majorBidi"/>
          <w:sz w:val="22"/>
          <w:szCs w:val="22"/>
        </w:rPr>
      </w:pPr>
      <w:r w:rsidRPr="5B13B215">
        <w:rPr>
          <w:rFonts w:asciiTheme="majorHAnsi" w:eastAsiaTheme="majorEastAsia" w:hAnsiTheme="majorHAnsi" w:cstheme="majorBidi"/>
          <w:sz w:val="22"/>
          <w:szCs w:val="22"/>
        </w:rPr>
        <w:t xml:space="preserve">Two submissions did not </w:t>
      </w:r>
      <w:r w:rsidR="00A16D2B" w:rsidRPr="5B13B215">
        <w:rPr>
          <w:rFonts w:asciiTheme="majorHAnsi" w:eastAsiaTheme="majorEastAsia" w:hAnsiTheme="majorHAnsi" w:cstheme="majorBidi"/>
          <w:sz w:val="22"/>
          <w:szCs w:val="22"/>
        </w:rPr>
        <w:t xml:space="preserve">provide a </w:t>
      </w:r>
      <w:r w:rsidR="00473A25" w:rsidRPr="5B13B215">
        <w:rPr>
          <w:rFonts w:asciiTheme="majorHAnsi" w:eastAsiaTheme="majorEastAsia" w:hAnsiTheme="majorHAnsi" w:cstheme="majorBidi"/>
          <w:sz w:val="22"/>
          <w:szCs w:val="22"/>
        </w:rPr>
        <w:t xml:space="preserve">preferred </w:t>
      </w:r>
      <w:r w:rsidR="00A16D2B" w:rsidRPr="5B13B215">
        <w:rPr>
          <w:rFonts w:asciiTheme="majorHAnsi" w:eastAsiaTheme="majorEastAsia" w:hAnsiTheme="majorHAnsi" w:cstheme="majorBidi"/>
          <w:sz w:val="22"/>
          <w:szCs w:val="22"/>
        </w:rPr>
        <w:t xml:space="preserve">option </w:t>
      </w:r>
      <w:r w:rsidR="00747A2C">
        <w:rPr>
          <w:rFonts w:asciiTheme="majorHAnsi" w:eastAsiaTheme="majorEastAsia" w:hAnsiTheme="majorHAnsi" w:cstheme="majorBidi"/>
          <w:sz w:val="22"/>
          <w:szCs w:val="22"/>
        </w:rPr>
        <w:t>on</w:t>
      </w:r>
      <w:r w:rsidR="00747A2C" w:rsidRPr="5B13B215">
        <w:rPr>
          <w:rFonts w:asciiTheme="majorHAnsi" w:eastAsiaTheme="majorEastAsia" w:hAnsiTheme="majorHAnsi" w:cstheme="majorBidi"/>
          <w:sz w:val="22"/>
          <w:szCs w:val="22"/>
        </w:rPr>
        <w:t xml:space="preserve"> </w:t>
      </w:r>
      <w:r w:rsidR="00841C78" w:rsidRPr="5B13B215">
        <w:rPr>
          <w:rFonts w:asciiTheme="majorHAnsi" w:eastAsiaTheme="majorEastAsia" w:hAnsiTheme="majorHAnsi" w:cstheme="majorBidi"/>
          <w:sz w:val="22"/>
          <w:szCs w:val="22"/>
        </w:rPr>
        <w:t>the proposed WEL for hydrogen cyanide</w:t>
      </w:r>
      <w:r w:rsidR="004A0F01">
        <w:rPr>
          <w:rStyle w:val="FootnoteReference"/>
          <w:rFonts w:asciiTheme="majorHAnsi" w:eastAsiaTheme="majorEastAsia" w:hAnsiTheme="majorHAnsi" w:cstheme="majorBidi"/>
          <w:sz w:val="22"/>
          <w:szCs w:val="22"/>
        </w:rPr>
        <w:footnoteReference w:id="174"/>
      </w:r>
      <w:r w:rsidR="00A16D2B" w:rsidRPr="5B13B215">
        <w:rPr>
          <w:rFonts w:asciiTheme="majorHAnsi" w:eastAsiaTheme="majorEastAsia" w:hAnsiTheme="majorHAnsi" w:cstheme="majorBidi"/>
          <w:sz w:val="22"/>
          <w:szCs w:val="22"/>
        </w:rPr>
        <w:t xml:space="preserve">. </w:t>
      </w:r>
    </w:p>
    <w:p w14:paraId="50F6A626" w14:textId="38D595BD" w:rsidR="00CE5922" w:rsidRDefault="009F331E" w:rsidP="00E21AA9">
      <w:pPr>
        <w:pStyle w:val="SWAHeading3"/>
      </w:pPr>
      <w:r>
        <w:t>Considerations in relation to</w:t>
      </w:r>
      <w:r w:rsidR="00CE5922">
        <w:t xml:space="preserve"> the proposed WEL for hydrogen cyanide</w:t>
      </w:r>
    </w:p>
    <w:p w14:paraId="75F53EFB" w14:textId="0C430E88" w:rsidR="00CE5922" w:rsidRPr="00082A6D" w:rsidRDefault="009F331E" w:rsidP="00EB68A8">
      <w:pPr>
        <w:pStyle w:val="Paragraph"/>
        <w:keepNext w:val="0"/>
        <w:spacing w:after="120"/>
        <w:rPr>
          <w:rFonts w:eastAsiaTheme="majorEastAsia"/>
        </w:rPr>
      </w:pPr>
      <w:r w:rsidRPr="003753FF">
        <w:rPr>
          <w:rFonts w:eastAsiaTheme="majorEastAsia"/>
        </w:rPr>
        <w:t>S</w:t>
      </w:r>
      <w:r w:rsidR="00127FA9" w:rsidRPr="00082A6D">
        <w:rPr>
          <w:rFonts w:eastAsiaTheme="majorEastAsia"/>
        </w:rPr>
        <w:t xml:space="preserve">takeholders were asked about challenges they expect their industry, business or PCBU </w:t>
      </w:r>
      <w:r w:rsidR="00705EC5">
        <w:rPr>
          <w:rFonts w:eastAsiaTheme="majorEastAsia"/>
        </w:rPr>
        <w:t xml:space="preserve">would </w:t>
      </w:r>
      <w:r w:rsidR="00127FA9" w:rsidRPr="00082A6D">
        <w:rPr>
          <w:rFonts w:eastAsiaTheme="majorEastAsia"/>
        </w:rPr>
        <w:t>encounter if the proposed WEL was implemented.</w:t>
      </w:r>
      <w:r w:rsidR="002A3A45" w:rsidRPr="00082A6D">
        <w:rPr>
          <w:rFonts w:eastAsiaTheme="majorEastAsia"/>
        </w:rPr>
        <w:t xml:space="preserve"> Changing from a peak limitation to a STEL, </w:t>
      </w:r>
      <w:r w:rsidR="000A34CC" w:rsidRPr="00082A6D">
        <w:rPr>
          <w:rFonts w:eastAsiaTheme="majorEastAsia"/>
        </w:rPr>
        <w:t xml:space="preserve">additional funding, and </w:t>
      </w:r>
      <w:r w:rsidR="008F100F" w:rsidRPr="00082A6D">
        <w:rPr>
          <w:rFonts w:eastAsiaTheme="majorEastAsia"/>
        </w:rPr>
        <w:t xml:space="preserve">impacts on international competitiveness </w:t>
      </w:r>
      <w:r w:rsidR="00CE386C" w:rsidRPr="00082A6D">
        <w:rPr>
          <w:rFonts w:eastAsiaTheme="majorEastAsia"/>
        </w:rPr>
        <w:t xml:space="preserve">were raised as key challenges associated with the proposed WEL for hydrogen cyanide. </w:t>
      </w:r>
    </w:p>
    <w:p w14:paraId="56ECA82A" w14:textId="69CB8BC6" w:rsidR="00CE386C" w:rsidRDefault="00CE386C" w:rsidP="0033699F">
      <w:pPr>
        <w:pStyle w:val="SWAHeading4"/>
        <w:keepNext/>
        <w:keepLines/>
      </w:pPr>
      <w:r>
        <w:lastRenderedPageBreak/>
        <w:t>Changing from a peak limitation to a STEL</w:t>
      </w:r>
    </w:p>
    <w:p w14:paraId="2C182FFB" w14:textId="3321DCE5" w:rsidR="00A768A1" w:rsidRDefault="001E679C" w:rsidP="00EB68A8">
      <w:pPr>
        <w:pStyle w:val="Paragraph"/>
        <w:keepLines/>
        <w:spacing w:after="120"/>
        <w:rPr>
          <w:rFonts w:eastAsiaTheme="majorEastAsia"/>
        </w:rPr>
      </w:pPr>
      <w:r>
        <w:rPr>
          <w:rFonts w:eastAsiaTheme="majorEastAsia"/>
        </w:rPr>
        <w:t>S</w:t>
      </w:r>
      <w:r w:rsidR="003416D6">
        <w:rPr>
          <w:rFonts w:eastAsiaTheme="majorEastAsia"/>
        </w:rPr>
        <w:t xml:space="preserve">ubmissions from </w:t>
      </w:r>
      <w:r w:rsidR="00077D2E">
        <w:rPr>
          <w:rFonts w:eastAsiaTheme="majorEastAsia"/>
        </w:rPr>
        <w:t>a</w:t>
      </w:r>
      <w:r w:rsidR="00B15478">
        <w:rPr>
          <w:rFonts w:eastAsiaTheme="majorEastAsia"/>
        </w:rPr>
        <w:t xml:space="preserve"> m</w:t>
      </w:r>
      <w:r w:rsidR="00B15478" w:rsidRPr="00A23D0D">
        <w:rPr>
          <w:rFonts w:eastAsiaTheme="majorEastAsia"/>
        </w:rPr>
        <w:t xml:space="preserve">ining industry </w:t>
      </w:r>
      <w:r w:rsidR="0098462D">
        <w:rPr>
          <w:rFonts w:eastAsiaTheme="majorEastAsia"/>
        </w:rPr>
        <w:t>peak body</w:t>
      </w:r>
      <w:r w:rsidR="00A92075">
        <w:rPr>
          <w:rStyle w:val="FootnoteReference"/>
          <w:rFonts w:eastAsiaTheme="majorEastAsia"/>
        </w:rPr>
        <w:footnoteReference w:id="175"/>
      </w:r>
      <w:r w:rsidR="0098462D">
        <w:rPr>
          <w:rFonts w:eastAsiaTheme="majorEastAsia"/>
        </w:rPr>
        <w:t xml:space="preserve"> </w:t>
      </w:r>
      <w:r w:rsidR="00747A2C">
        <w:rPr>
          <w:rFonts w:eastAsiaTheme="majorEastAsia"/>
        </w:rPr>
        <w:t xml:space="preserve">and </w:t>
      </w:r>
      <w:r w:rsidR="0098462D">
        <w:rPr>
          <w:rFonts w:eastAsiaTheme="majorEastAsia"/>
        </w:rPr>
        <w:t>a government stakeholder</w:t>
      </w:r>
      <w:r w:rsidR="009E15FB">
        <w:rPr>
          <w:rStyle w:val="FootnoteReference"/>
          <w:rFonts w:eastAsiaTheme="majorEastAsia"/>
        </w:rPr>
        <w:footnoteReference w:id="176"/>
      </w:r>
      <w:r w:rsidR="00B15478" w:rsidRPr="00A23D0D">
        <w:rPr>
          <w:rFonts w:eastAsiaTheme="majorEastAsia"/>
        </w:rPr>
        <w:t xml:space="preserve"> </w:t>
      </w:r>
      <w:r w:rsidR="00B15478">
        <w:rPr>
          <w:rFonts w:eastAsiaTheme="majorEastAsia"/>
        </w:rPr>
        <w:t xml:space="preserve">raised </w:t>
      </w:r>
      <w:r w:rsidR="003416D6">
        <w:rPr>
          <w:rFonts w:eastAsiaTheme="majorEastAsia"/>
        </w:rPr>
        <w:t xml:space="preserve">the </w:t>
      </w:r>
      <w:r>
        <w:rPr>
          <w:rFonts w:eastAsiaTheme="majorEastAsia"/>
        </w:rPr>
        <w:t xml:space="preserve">challenges associated with the </w:t>
      </w:r>
      <w:r w:rsidR="003416D6">
        <w:rPr>
          <w:rFonts w:eastAsiaTheme="majorEastAsia"/>
        </w:rPr>
        <w:t>chang</w:t>
      </w:r>
      <w:r>
        <w:rPr>
          <w:rFonts w:eastAsiaTheme="majorEastAsia"/>
        </w:rPr>
        <w:t>e in</w:t>
      </w:r>
      <w:r w:rsidR="003416D6">
        <w:rPr>
          <w:rFonts w:eastAsiaTheme="majorEastAsia"/>
        </w:rPr>
        <w:t xml:space="preserve"> the</w:t>
      </w:r>
      <w:r>
        <w:rPr>
          <w:rFonts w:eastAsiaTheme="majorEastAsia"/>
        </w:rPr>
        <w:t xml:space="preserve"> type of</w:t>
      </w:r>
      <w:r w:rsidR="003416D6">
        <w:rPr>
          <w:rFonts w:eastAsiaTheme="majorEastAsia"/>
        </w:rPr>
        <w:t xml:space="preserve"> exposure standards of hydrogen cyanide</w:t>
      </w:r>
      <w:r>
        <w:rPr>
          <w:rFonts w:eastAsiaTheme="majorEastAsia"/>
        </w:rPr>
        <w:t xml:space="preserve"> (i.e., moving</w:t>
      </w:r>
      <w:r w:rsidR="00B15478">
        <w:rPr>
          <w:rFonts w:eastAsiaTheme="majorEastAsia"/>
        </w:rPr>
        <w:t xml:space="preserve"> from </w:t>
      </w:r>
      <w:r>
        <w:rPr>
          <w:rFonts w:eastAsiaTheme="majorEastAsia"/>
        </w:rPr>
        <w:t>the current</w:t>
      </w:r>
      <w:r w:rsidR="00B15478">
        <w:rPr>
          <w:rFonts w:eastAsiaTheme="majorEastAsia"/>
        </w:rPr>
        <w:t xml:space="preserve"> peak limitation</w:t>
      </w:r>
      <w:r>
        <w:rPr>
          <w:rFonts w:eastAsiaTheme="majorEastAsia"/>
        </w:rPr>
        <w:t xml:space="preserve"> </w:t>
      </w:r>
      <w:r w:rsidR="00B15478">
        <w:rPr>
          <w:rFonts w:eastAsiaTheme="majorEastAsia"/>
        </w:rPr>
        <w:t xml:space="preserve">to </w:t>
      </w:r>
      <w:r>
        <w:rPr>
          <w:rFonts w:eastAsiaTheme="majorEastAsia"/>
        </w:rPr>
        <w:t>the proposed</w:t>
      </w:r>
      <w:r w:rsidR="00B15478">
        <w:rPr>
          <w:rFonts w:eastAsiaTheme="majorEastAsia"/>
        </w:rPr>
        <w:t xml:space="preserve"> TWA and STEL</w:t>
      </w:r>
      <w:r>
        <w:rPr>
          <w:rFonts w:eastAsiaTheme="majorEastAsia"/>
        </w:rPr>
        <w:t>)</w:t>
      </w:r>
      <w:r w:rsidR="00B15478">
        <w:rPr>
          <w:rFonts w:eastAsiaTheme="majorEastAsia"/>
        </w:rPr>
        <w:t>.</w:t>
      </w:r>
      <w:r w:rsidR="001A5172">
        <w:rPr>
          <w:rFonts w:eastAsiaTheme="majorEastAsia"/>
        </w:rPr>
        <w:t xml:space="preserve"> Stakeholders m</w:t>
      </w:r>
      <w:r w:rsidR="00B15478">
        <w:rPr>
          <w:rFonts w:eastAsiaTheme="majorEastAsia"/>
        </w:rPr>
        <w:t>entioned</w:t>
      </w:r>
      <w:r w:rsidR="001A5172">
        <w:rPr>
          <w:rFonts w:eastAsiaTheme="majorEastAsia"/>
        </w:rPr>
        <w:t xml:space="preserve"> that</w:t>
      </w:r>
      <w:r w:rsidR="00B15478">
        <w:rPr>
          <w:rFonts w:eastAsiaTheme="majorEastAsia"/>
        </w:rPr>
        <w:t xml:space="preserve"> current real-time measurement devices used to measure the peak limitation WES </w:t>
      </w:r>
      <w:r w:rsidR="002A6EFC">
        <w:rPr>
          <w:rFonts w:eastAsiaTheme="majorEastAsia"/>
        </w:rPr>
        <w:t>cannot</w:t>
      </w:r>
      <w:r w:rsidR="001A5172">
        <w:rPr>
          <w:rFonts w:eastAsiaTheme="majorEastAsia"/>
        </w:rPr>
        <w:t xml:space="preserve"> be used to </w:t>
      </w:r>
      <w:r w:rsidR="00B15478">
        <w:rPr>
          <w:rFonts w:eastAsiaTheme="majorEastAsia"/>
        </w:rPr>
        <w:t xml:space="preserve">measure the proposed TWA and STEL, so </w:t>
      </w:r>
      <w:r w:rsidR="00B15478" w:rsidRPr="00A23D0D">
        <w:rPr>
          <w:rFonts w:eastAsiaTheme="majorEastAsia"/>
        </w:rPr>
        <w:t xml:space="preserve">PCBUs will </w:t>
      </w:r>
      <w:r w:rsidR="00B810D8">
        <w:rPr>
          <w:rFonts w:eastAsiaTheme="majorEastAsia"/>
        </w:rPr>
        <w:t xml:space="preserve">now </w:t>
      </w:r>
      <w:r w:rsidR="00B15478" w:rsidRPr="00A23D0D">
        <w:rPr>
          <w:rFonts w:eastAsiaTheme="majorEastAsia"/>
        </w:rPr>
        <w:t>need to</w:t>
      </w:r>
      <w:r w:rsidR="00B15478">
        <w:rPr>
          <w:rFonts w:eastAsiaTheme="majorEastAsia"/>
        </w:rPr>
        <w:t xml:space="preserve"> incur </w:t>
      </w:r>
      <w:r w:rsidR="00FA1467">
        <w:rPr>
          <w:rFonts w:eastAsiaTheme="majorEastAsia"/>
        </w:rPr>
        <w:t>additional</w:t>
      </w:r>
      <w:r w:rsidR="00B15478">
        <w:rPr>
          <w:rFonts w:eastAsiaTheme="majorEastAsia"/>
        </w:rPr>
        <w:t xml:space="preserve"> cost to </w:t>
      </w:r>
      <w:r w:rsidR="00B15478" w:rsidRPr="00A23D0D">
        <w:rPr>
          <w:rFonts w:eastAsiaTheme="majorEastAsia"/>
        </w:rPr>
        <w:t>engage an occupational hygienist to conduct air monitoring</w:t>
      </w:r>
      <w:r w:rsidR="00B810D8">
        <w:rPr>
          <w:rFonts w:eastAsiaTheme="majorEastAsia"/>
        </w:rPr>
        <w:t xml:space="preserve"> to determine exposure levels in the workplace</w:t>
      </w:r>
      <w:r w:rsidR="00B15478" w:rsidRPr="00A23D0D">
        <w:rPr>
          <w:rFonts w:eastAsiaTheme="majorEastAsia"/>
        </w:rPr>
        <w:t xml:space="preserve">. </w:t>
      </w:r>
    </w:p>
    <w:p w14:paraId="096D955D" w14:textId="6D6C350A" w:rsidR="00A83236" w:rsidRDefault="009146DB" w:rsidP="00697898">
      <w:pPr>
        <w:pStyle w:val="Paragraph"/>
        <w:spacing w:after="120"/>
        <w:rPr>
          <w:rFonts w:eastAsiaTheme="majorEastAsia"/>
        </w:rPr>
      </w:pPr>
      <w:r>
        <w:rPr>
          <w:rFonts w:eastAsiaTheme="majorEastAsia"/>
        </w:rPr>
        <w:t>This</w:t>
      </w:r>
      <w:r w:rsidR="009A34B9">
        <w:rPr>
          <w:rFonts w:eastAsiaTheme="majorEastAsia"/>
        </w:rPr>
        <w:t xml:space="preserve"> Decision RIS</w:t>
      </w:r>
      <w:r w:rsidR="00B15478">
        <w:rPr>
          <w:rFonts w:eastAsiaTheme="majorEastAsia"/>
        </w:rPr>
        <w:t xml:space="preserve"> </w:t>
      </w:r>
      <w:r>
        <w:rPr>
          <w:rFonts w:eastAsiaTheme="majorEastAsia"/>
        </w:rPr>
        <w:t>considered</w:t>
      </w:r>
      <w:r w:rsidR="00B15478">
        <w:rPr>
          <w:rFonts w:eastAsiaTheme="majorEastAsia"/>
        </w:rPr>
        <w:t xml:space="preserve"> management practice</w:t>
      </w:r>
      <w:r w:rsidR="002A6EFC">
        <w:rPr>
          <w:rFonts w:eastAsiaTheme="majorEastAsia"/>
        </w:rPr>
        <w:t xml:space="preserve"> costs</w:t>
      </w:r>
      <w:r w:rsidR="00B22E4C">
        <w:rPr>
          <w:rFonts w:eastAsiaTheme="majorEastAsia"/>
        </w:rPr>
        <w:t xml:space="preserve">, like </w:t>
      </w:r>
      <w:r w:rsidR="00B15478">
        <w:rPr>
          <w:rFonts w:eastAsiaTheme="majorEastAsia"/>
        </w:rPr>
        <w:t>engaging an occupational hygienist and undertaking air monitoring</w:t>
      </w:r>
      <w:r w:rsidR="009A34B9">
        <w:rPr>
          <w:rFonts w:eastAsiaTheme="majorEastAsia"/>
        </w:rPr>
        <w:t>. It</w:t>
      </w:r>
      <w:r w:rsidR="00B15478">
        <w:rPr>
          <w:rFonts w:eastAsiaTheme="majorEastAsia"/>
        </w:rPr>
        <w:t xml:space="preserve"> estimated that</w:t>
      </w:r>
      <w:r w:rsidR="00B566F9">
        <w:rPr>
          <w:rFonts w:eastAsiaTheme="majorEastAsia"/>
        </w:rPr>
        <w:t xml:space="preserve"> this will cost industry</w:t>
      </w:r>
      <w:r w:rsidR="00B15478">
        <w:rPr>
          <w:rFonts w:eastAsiaTheme="majorEastAsia"/>
        </w:rPr>
        <w:t xml:space="preserve"> $32 million over the 10-year period, representing roughly 10% of the total incremental cost of the proposed WEL for hydrogen cyanide. </w:t>
      </w:r>
    </w:p>
    <w:p w14:paraId="46E59477" w14:textId="309CB78C" w:rsidR="00B15478" w:rsidRPr="00A23D0D" w:rsidRDefault="009E00B8" w:rsidP="00697898">
      <w:pPr>
        <w:pStyle w:val="Paragraph"/>
        <w:spacing w:after="120"/>
        <w:rPr>
          <w:rFonts w:eastAsiaTheme="majorEastAsia"/>
        </w:rPr>
      </w:pPr>
      <w:r>
        <w:rPr>
          <w:rFonts w:eastAsiaTheme="majorEastAsia"/>
        </w:rPr>
        <w:t xml:space="preserve">Furthermore, the </w:t>
      </w:r>
      <w:r w:rsidR="00D87BBF">
        <w:rPr>
          <w:rFonts w:eastAsiaTheme="majorEastAsia"/>
        </w:rPr>
        <w:t xml:space="preserve">change from </w:t>
      </w:r>
      <w:r>
        <w:rPr>
          <w:rFonts w:eastAsiaTheme="majorEastAsia"/>
        </w:rPr>
        <w:t xml:space="preserve">peak limitation to </w:t>
      </w:r>
      <w:r w:rsidR="000C0979">
        <w:rPr>
          <w:rFonts w:eastAsiaTheme="majorEastAsia"/>
        </w:rPr>
        <w:t>a</w:t>
      </w:r>
      <w:r>
        <w:rPr>
          <w:rFonts w:eastAsiaTheme="majorEastAsia"/>
        </w:rPr>
        <w:t xml:space="preserve"> STEL</w:t>
      </w:r>
      <w:r w:rsidR="000C0979">
        <w:rPr>
          <w:rFonts w:eastAsiaTheme="majorEastAsia"/>
        </w:rPr>
        <w:t xml:space="preserve"> for hydrogen cyanide</w:t>
      </w:r>
      <w:r>
        <w:rPr>
          <w:rFonts w:eastAsiaTheme="majorEastAsia"/>
        </w:rPr>
        <w:t xml:space="preserve"> </w:t>
      </w:r>
      <w:r w:rsidR="00DD659E">
        <w:rPr>
          <w:rFonts w:eastAsiaTheme="majorEastAsia"/>
        </w:rPr>
        <w:t>was previously suggested</w:t>
      </w:r>
      <w:r w:rsidR="00626B75">
        <w:rPr>
          <w:rFonts w:eastAsiaTheme="majorEastAsia"/>
        </w:rPr>
        <w:t xml:space="preserve"> </w:t>
      </w:r>
      <w:r w:rsidR="00356D70">
        <w:rPr>
          <w:rFonts w:eastAsiaTheme="majorEastAsia"/>
        </w:rPr>
        <w:t xml:space="preserve">by </w:t>
      </w:r>
      <w:r w:rsidR="00D9095A">
        <w:rPr>
          <w:rFonts w:eastAsiaTheme="majorEastAsia"/>
        </w:rPr>
        <w:t xml:space="preserve">some </w:t>
      </w:r>
      <w:r w:rsidR="00626B75">
        <w:rPr>
          <w:rFonts w:eastAsiaTheme="majorEastAsia"/>
        </w:rPr>
        <w:t xml:space="preserve">industry stakeholders </w:t>
      </w:r>
      <w:r w:rsidR="0018135C">
        <w:rPr>
          <w:rFonts w:eastAsiaTheme="majorEastAsia"/>
        </w:rPr>
        <w:t xml:space="preserve">as part of feedback collected during the 2019 – 2021 WES review public consultation </w:t>
      </w:r>
      <w:r w:rsidR="00626B75">
        <w:rPr>
          <w:rFonts w:eastAsiaTheme="majorEastAsia"/>
        </w:rPr>
        <w:t xml:space="preserve">and </w:t>
      </w:r>
      <w:r w:rsidR="00356D70">
        <w:rPr>
          <w:rFonts w:eastAsiaTheme="majorEastAsia"/>
        </w:rPr>
        <w:t xml:space="preserve">affirmed by </w:t>
      </w:r>
      <w:r w:rsidR="00D87BBF">
        <w:rPr>
          <w:rFonts w:eastAsiaTheme="majorEastAsia"/>
        </w:rPr>
        <w:t>the Australian Institute of Occupational Hygienists</w:t>
      </w:r>
      <w:r w:rsidR="007A28E7">
        <w:rPr>
          <w:rFonts w:eastAsiaTheme="majorEastAsia"/>
        </w:rPr>
        <w:t xml:space="preserve">. </w:t>
      </w:r>
    </w:p>
    <w:p w14:paraId="64E74434" w14:textId="55B9D6FA" w:rsidR="00CE386C" w:rsidRPr="00A23D0D" w:rsidRDefault="00CE386C" w:rsidP="00E21AA9">
      <w:pPr>
        <w:pStyle w:val="SWAHeading4"/>
      </w:pPr>
      <w:r w:rsidRPr="00124D36">
        <w:t>Additional funding</w:t>
      </w:r>
    </w:p>
    <w:p w14:paraId="7B6EF629" w14:textId="7413231E" w:rsidR="000C0979" w:rsidRDefault="001E156A" w:rsidP="000C0979">
      <w:pPr>
        <w:pStyle w:val="Paragraph"/>
        <w:rPr>
          <w:rFonts w:eastAsiaTheme="majorEastAsia"/>
          <w:lang w:eastAsia="en-US"/>
        </w:rPr>
      </w:pPr>
      <w:r w:rsidRPr="00E80AF6">
        <w:rPr>
          <w:rFonts w:eastAsiaTheme="majorEastAsia" w:cs="Arial"/>
          <w:szCs w:val="22"/>
        </w:rPr>
        <w:t>A submission from a volunteer organisation</w:t>
      </w:r>
      <w:r w:rsidR="00003CD7">
        <w:rPr>
          <w:rStyle w:val="FootnoteReference"/>
          <w:rFonts w:eastAsiaTheme="majorEastAsia" w:cs="Arial"/>
          <w:szCs w:val="22"/>
        </w:rPr>
        <w:footnoteReference w:id="177"/>
      </w:r>
      <w:r w:rsidRPr="00E80AF6">
        <w:rPr>
          <w:rFonts w:eastAsiaTheme="majorEastAsia" w:cs="Arial"/>
          <w:szCs w:val="22"/>
        </w:rPr>
        <w:t xml:space="preserve"> raised that without additional funding, it would be difficult for them to purchase controls to comply with the proposed WEL</w:t>
      </w:r>
      <w:r>
        <w:rPr>
          <w:rFonts w:eastAsiaTheme="majorEastAsia" w:cs="Arial"/>
          <w:szCs w:val="22"/>
        </w:rPr>
        <w:t xml:space="preserve"> for</w:t>
      </w:r>
      <w:r w:rsidR="006F09CE">
        <w:rPr>
          <w:rFonts w:eastAsiaTheme="majorEastAsia" w:cs="Arial"/>
          <w:szCs w:val="22"/>
        </w:rPr>
        <w:t xml:space="preserve"> </w:t>
      </w:r>
      <w:r w:rsidR="00A02037">
        <w:rPr>
          <w:rFonts w:eastAsiaTheme="majorEastAsia" w:cs="Arial"/>
          <w:szCs w:val="22"/>
        </w:rPr>
        <w:t>hydrogen cyanide</w:t>
      </w:r>
      <w:r w:rsidRPr="00E80AF6">
        <w:rPr>
          <w:rFonts w:eastAsiaTheme="majorEastAsia" w:cs="Arial"/>
          <w:szCs w:val="22"/>
        </w:rPr>
        <w:t xml:space="preserve">, such as </w:t>
      </w:r>
      <w:r w:rsidR="00A02037">
        <w:rPr>
          <w:rFonts w:eastAsiaTheme="majorEastAsia" w:cs="Arial"/>
          <w:szCs w:val="22"/>
        </w:rPr>
        <w:t>respiratory protection equipment (RPE)</w:t>
      </w:r>
      <w:r w:rsidRPr="00E80AF6">
        <w:rPr>
          <w:rFonts w:eastAsiaTheme="majorEastAsia" w:cs="Arial"/>
          <w:szCs w:val="22"/>
        </w:rPr>
        <w:t xml:space="preserve">. The submission said this </w:t>
      </w:r>
      <w:r>
        <w:rPr>
          <w:rFonts w:eastAsiaTheme="majorEastAsia" w:cs="Arial"/>
          <w:szCs w:val="22"/>
        </w:rPr>
        <w:t xml:space="preserve">barrier </w:t>
      </w:r>
      <w:r w:rsidRPr="00E80AF6">
        <w:rPr>
          <w:rFonts w:eastAsiaTheme="majorEastAsia" w:cs="Arial"/>
          <w:szCs w:val="22"/>
        </w:rPr>
        <w:t>may present a reputational risk to the organisation as it suggests not enough is being done to protect workers</w:t>
      </w:r>
      <w:r>
        <w:rPr>
          <w:rFonts w:eastAsiaTheme="majorEastAsia" w:cs="Arial"/>
          <w:szCs w:val="22"/>
        </w:rPr>
        <w:t xml:space="preserve"> and volunteers and</w:t>
      </w:r>
      <w:r w:rsidRPr="00E80AF6">
        <w:rPr>
          <w:rFonts w:eastAsiaTheme="majorEastAsia" w:cs="Arial"/>
          <w:szCs w:val="22"/>
        </w:rPr>
        <w:t xml:space="preserve"> </w:t>
      </w:r>
      <w:r>
        <w:rPr>
          <w:rFonts w:eastAsiaTheme="majorEastAsia" w:cs="Arial"/>
          <w:szCs w:val="22"/>
        </w:rPr>
        <w:t xml:space="preserve">could result in </w:t>
      </w:r>
      <w:r w:rsidRPr="0060632E">
        <w:rPr>
          <w:rFonts w:eastAsiaTheme="majorEastAsia" w:cs="Arial"/>
          <w:szCs w:val="22"/>
        </w:rPr>
        <w:t>a decrease in volunteers.</w:t>
      </w:r>
      <w:r w:rsidRPr="0060632E" w:rsidDel="000C0979">
        <w:rPr>
          <w:rFonts w:eastAsiaTheme="majorEastAsia" w:cs="Arial"/>
          <w:szCs w:val="22"/>
        </w:rPr>
        <w:t xml:space="preserve"> </w:t>
      </w:r>
      <w:r w:rsidR="007B5484">
        <w:rPr>
          <w:rFonts w:eastAsiaTheme="majorEastAsia" w:cs="Arial"/>
          <w:szCs w:val="22"/>
        </w:rPr>
        <w:t>I</w:t>
      </w:r>
      <w:r w:rsidR="00124D36">
        <w:rPr>
          <w:rFonts w:eastAsiaTheme="majorEastAsia" w:cs="Arial"/>
          <w:szCs w:val="22"/>
        </w:rPr>
        <w:t>t will be up to businesses to determine appropriate arrangements to meet the requirements of the WEL once agreed by Ministers, c</w:t>
      </w:r>
      <w:r w:rsidR="00124D36" w:rsidRPr="000C3C0E">
        <w:rPr>
          <w:rFonts w:eastAsiaTheme="majorEastAsia" w:cs="Arial"/>
          <w:szCs w:val="22"/>
        </w:rPr>
        <w:t xml:space="preserve">oncerns around </w:t>
      </w:r>
      <w:r w:rsidR="00124D36">
        <w:rPr>
          <w:rFonts w:eastAsiaTheme="majorEastAsia" w:cs="Arial"/>
          <w:szCs w:val="22"/>
        </w:rPr>
        <w:t xml:space="preserve">seeking additional </w:t>
      </w:r>
      <w:r w:rsidR="00124D36" w:rsidRPr="000C3C0E">
        <w:rPr>
          <w:rFonts w:eastAsiaTheme="majorEastAsia" w:cs="Arial"/>
          <w:szCs w:val="22"/>
        </w:rPr>
        <w:t xml:space="preserve">funding are not </w:t>
      </w:r>
      <w:r w:rsidR="00124D36" w:rsidRPr="00921236">
        <w:rPr>
          <w:rFonts w:eastAsiaTheme="majorEastAsia" w:cs="Arial"/>
          <w:szCs w:val="22"/>
        </w:rPr>
        <w:t>within the scope of this Decision RIS</w:t>
      </w:r>
      <w:r w:rsidR="00124D36">
        <w:rPr>
          <w:rFonts w:eastAsiaTheme="majorEastAsia" w:cs="Arial"/>
          <w:szCs w:val="22"/>
        </w:rPr>
        <w:t>.</w:t>
      </w:r>
    </w:p>
    <w:p w14:paraId="6CBFFDF1" w14:textId="4475A4F1" w:rsidR="00CE386C" w:rsidRDefault="00CE386C" w:rsidP="00E21AA9">
      <w:pPr>
        <w:pStyle w:val="SWAHeading4"/>
      </w:pPr>
      <w:r>
        <w:t>I</w:t>
      </w:r>
      <w:r w:rsidR="002F1B80">
        <w:t>mpacts on i</w:t>
      </w:r>
      <w:r>
        <w:t>nternational competitiveness</w:t>
      </w:r>
      <w:r w:rsidR="002F1B80">
        <w:t xml:space="preserve"> of affected businesses</w:t>
      </w:r>
    </w:p>
    <w:p w14:paraId="27635FA0" w14:textId="073A3879" w:rsidR="001E156A" w:rsidRDefault="000C0979" w:rsidP="00EA7AEE">
      <w:pPr>
        <w:pStyle w:val="Paragraph"/>
        <w:rPr>
          <w:rFonts w:eastAsiaTheme="majorEastAsia"/>
          <w:lang w:eastAsia="en-US"/>
        </w:rPr>
      </w:pPr>
      <w:r>
        <w:rPr>
          <w:rFonts w:eastAsiaTheme="majorEastAsia"/>
          <w:lang w:eastAsia="en-US"/>
        </w:rPr>
        <w:t>Another challenge raised by mining</w:t>
      </w:r>
      <w:r w:rsidRPr="00640877">
        <w:rPr>
          <w:rFonts w:eastAsiaTheme="majorEastAsia"/>
          <w:lang w:eastAsia="en-US"/>
        </w:rPr>
        <w:t xml:space="preserve"> stakeholders </w:t>
      </w:r>
      <w:r w:rsidR="00137965">
        <w:rPr>
          <w:rFonts w:eastAsiaTheme="majorEastAsia"/>
          <w:lang w:eastAsia="en-US"/>
        </w:rPr>
        <w:t>was</w:t>
      </w:r>
      <w:r>
        <w:rPr>
          <w:rFonts w:eastAsiaTheme="majorEastAsia"/>
          <w:lang w:eastAsia="en-US"/>
        </w:rPr>
        <w:t xml:space="preserve"> the</w:t>
      </w:r>
      <w:r w:rsidRPr="00640877">
        <w:rPr>
          <w:rFonts w:eastAsiaTheme="majorEastAsia"/>
          <w:lang w:eastAsia="en-US"/>
        </w:rPr>
        <w:t xml:space="preserve"> broader economic impacts </w:t>
      </w:r>
      <w:r>
        <w:rPr>
          <w:rFonts w:eastAsiaTheme="majorEastAsia"/>
          <w:lang w:eastAsia="en-US"/>
        </w:rPr>
        <w:t>on the</w:t>
      </w:r>
      <w:r w:rsidRPr="00640877">
        <w:rPr>
          <w:rFonts w:eastAsiaTheme="majorEastAsia"/>
          <w:lang w:eastAsia="en-US"/>
        </w:rPr>
        <w:t xml:space="preserve"> international competitiveness of Australian gold mining and production companies where hydrogen cyanide is used</w:t>
      </w:r>
      <w:r w:rsidR="00DA203A">
        <w:rPr>
          <w:rStyle w:val="FootnoteReference"/>
          <w:rFonts w:eastAsiaTheme="majorEastAsia"/>
          <w:lang w:eastAsia="en-US"/>
        </w:rPr>
        <w:footnoteReference w:id="178"/>
      </w:r>
      <w:r w:rsidRPr="00640877">
        <w:rPr>
          <w:rFonts w:eastAsiaTheme="majorEastAsia"/>
          <w:lang w:eastAsia="en-US"/>
        </w:rPr>
        <w:t xml:space="preserve">. </w:t>
      </w:r>
      <w:r>
        <w:rPr>
          <w:rFonts w:eastAsiaTheme="majorEastAsia"/>
          <w:lang w:eastAsia="en-US"/>
        </w:rPr>
        <w:t xml:space="preserve">Stakeholders were concerned over the lack of consideration for these impacts in the preliminary estimates in the consultation report. </w:t>
      </w:r>
      <w:r w:rsidRPr="00640877">
        <w:rPr>
          <w:rFonts w:eastAsiaTheme="majorEastAsia"/>
          <w:lang w:eastAsia="en-US"/>
        </w:rPr>
        <w:t xml:space="preserve">However, </w:t>
      </w:r>
      <w:r>
        <w:rPr>
          <w:rFonts w:eastAsiaTheme="majorEastAsia"/>
          <w:lang w:eastAsia="en-US"/>
        </w:rPr>
        <w:t xml:space="preserve">industry stakeholders did </w:t>
      </w:r>
      <w:r w:rsidRPr="00640877">
        <w:rPr>
          <w:rFonts w:eastAsiaTheme="majorEastAsia"/>
          <w:lang w:eastAsia="en-US"/>
        </w:rPr>
        <w:t>no</w:t>
      </w:r>
      <w:r>
        <w:rPr>
          <w:rFonts w:eastAsiaTheme="majorEastAsia"/>
          <w:lang w:eastAsia="en-US"/>
        </w:rPr>
        <w:t xml:space="preserve">t provide any data to </w:t>
      </w:r>
      <w:r w:rsidRPr="00640877">
        <w:rPr>
          <w:rFonts w:eastAsiaTheme="majorEastAsia"/>
          <w:lang w:eastAsia="en-US"/>
        </w:rPr>
        <w:t xml:space="preserve">demonstrate the </w:t>
      </w:r>
      <w:r>
        <w:rPr>
          <w:rFonts w:eastAsiaTheme="majorEastAsia"/>
          <w:lang w:eastAsia="en-US"/>
        </w:rPr>
        <w:t>extent of the impact the proposed WEL will have on</w:t>
      </w:r>
      <w:r w:rsidRPr="00640877">
        <w:rPr>
          <w:rFonts w:eastAsiaTheme="majorEastAsia"/>
          <w:lang w:eastAsia="en-US"/>
        </w:rPr>
        <w:t xml:space="preserve"> </w:t>
      </w:r>
      <w:r>
        <w:rPr>
          <w:rFonts w:eastAsiaTheme="majorEastAsia"/>
          <w:lang w:eastAsia="en-US"/>
        </w:rPr>
        <w:t xml:space="preserve">their </w:t>
      </w:r>
      <w:r w:rsidRPr="00640877">
        <w:rPr>
          <w:rFonts w:eastAsiaTheme="majorEastAsia"/>
          <w:lang w:eastAsia="en-US"/>
        </w:rPr>
        <w:t>competitiveness</w:t>
      </w:r>
      <w:r>
        <w:rPr>
          <w:rFonts w:eastAsiaTheme="majorEastAsia"/>
          <w:lang w:eastAsia="en-US"/>
        </w:rPr>
        <w:t xml:space="preserve"> abroad</w:t>
      </w:r>
      <w:r w:rsidRPr="00640877">
        <w:rPr>
          <w:rFonts w:eastAsiaTheme="majorEastAsia"/>
          <w:lang w:eastAsia="en-US"/>
        </w:rPr>
        <w:t>.</w:t>
      </w:r>
    </w:p>
    <w:p w14:paraId="50834E8E" w14:textId="0D1D97D2" w:rsidR="00B21DA2" w:rsidRPr="009248B5" w:rsidRDefault="00B21DA2" w:rsidP="00E21AA9">
      <w:pPr>
        <w:pStyle w:val="SWAHeading4"/>
      </w:pPr>
      <w:r w:rsidRPr="009248B5">
        <w:t>Measurability</w:t>
      </w:r>
      <w:r w:rsidR="00DE51E8">
        <w:t xml:space="preserve"> concerns</w:t>
      </w:r>
    </w:p>
    <w:p w14:paraId="43D5ADC7" w14:textId="788D2EFA" w:rsidR="000C2E8B" w:rsidRPr="006D6899" w:rsidRDefault="000C2E8B" w:rsidP="00EA7AEE">
      <w:pPr>
        <w:pStyle w:val="Paragraph"/>
      </w:pPr>
      <w:r w:rsidRPr="006D6899">
        <w:t xml:space="preserve">No concerns were raised by </w:t>
      </w:r>
      <w:r w:rsidR="00C82361" w:rsidRPr="006D6899">
        <w:t>stakeholders</w:t>
      </w:r>
      <w:r w:rsidRPr="006D6899">
        <w:t xml:space="preserve"> regarding the </w:t>
      </w:r>
      <w:r w:rsidR="000A2EB9" w:rsidRPr="006D6899">
        <w:t xml:space="preserve">measurement of </w:t>
      </w:r>
      <w:r w:rsidR="00C82361" w:rsidRPr="006D6899">
        <w:t>hydr</w:t>
      </w:r>
      <w:r w:rsidR="00E5182E" w:rsidRPr="006D6899">
        <w:t>ogen cyanide to assess compliance with the proposed WEL.</w:t>
      </w:r>
    </w:p>
    <w:p w14:paraId="275BDF62" w14:textId="12A45EB4" w:rsidR="009317E4" w:rsidRDefault="008E107F" w:rsidP="00EA7AEE">
      <w:pPr>
        <w:pStyle w:val="Paragraph"/>
      </w:pPr>
      <w:r w:rsidRPr="006D6899">
        <w:t>M</w:t>
      </w:r>
      <w:r w:rsidR="006E1CE3" w:rsidRPr="006D6899">
        <w:t>ultiple methods</w:t>
      </w:r>
      <w:r w:rsidR="00E60F0A" w:rsidRPr="006D6899">
        <w:rPr>
          <w:rStyle w:val="FootnoteReference"/>
        </w:rPr>
        <w:footnoteReference w:id="179"/>
      </w:r>
      <w:r w:rsidR="006E1CE3" w:rsidRPr="006D6899">
        <w:t xml:space="preserve"> exist to measure hydrogen cyanide </w:t>
      </w:r>
      <w:r w:rsidR="00B307BF" w:rsidRPr="006D6899">
        <w:t xml:space="preserve">with sufficient sensitivity and certainty for assessment of compliance at the proposed WEL, </w:t>
      </w:r>
      <w:r w:rsidR="006E1CE3" w:rsidRPr="006D6899">
        <w:t xml:space="preserve">with </w:t>
      </w:r>
      <w:r w:rsidR="00A3180B" w:rsidRPr="006D6899">
        <w:t xml:space="preserve">commercially available methods in Australia </w:t>
      </w:r>
      <w:r w:rsidR="00521B0C" w:rsidRPr="006D6899">
        <w:t>(based on Safe Work Australia analys</w:t>
      </w:r>
      <w:r w:rsidR="00775761" w:rsidRPr="006D6899">
        <w:t>i</w:t>
      </w:r>
      <w:r w:rsidR="00521B0C" w:rsidRPr="006D6899">
        <w:t>s)</w:t>
      </w:r>
      <w:r w:rsidR="00230276" w:rsidRPr="006D6899">
        <w:t xml:space="preserve">. </w:t>
      </w:r>
      <w:r w:rsidR="00521B0C" w:rsidRPr="006D6899" w:rsidDel="00521B0C">
        <w:rPr>
          <w:rStyle w:val="CommentReference"/>
          <w:rFonts w:asciiTheme="minorHAnsi" w:eastAsiaTheme="minorHAnsi" w:hAnsiTheme="minorHAnsi"/>
          <w:lang w:eastAsia="en-US"/>
        </w:rPr>
        <w:t xml:space="preserve"> </w:t>
      </w:r>
    </w:p>
    <w:p w14:paraId="10A2C154" w14:textId="63438F62" w:rsidR="00B21DA2" w:rsidRPr="008A36B6" w:rsidRDefault="000C3135" w:rsidP="00EA7AEE">
      <w:pPr>
        <w:pStyle w:val="Paragraph"/>
      </w:pPr>
      <w:r>
        <w:t xml:space="preserve">Sampling related </w:t>
      </w:r>
      <w:r w:rsidRPr="002749A8">
        <w:t>contributions to uncertainty (e.g. sampling equipment limitations) may remain a limitation on measurability</w:t>
      </w:r>
      <w:r>
        <w:t xml:space="preserve"> in some situations, but these issues are not </w:t>
      </w:r>
      <w:r w:rsidR="008E107F">
        <w:t>unique</w:t>
      </w:r>
      <w:r>
        <w:t xml:space="preserve"> to </w:t>
      </w:r>
      <w:r>
        <w:lastRenderedPageBreak/>
        <w:t>hydrogen cyanide. To support the wider transition to the WEL, Safe Work Australia is preparing technical guidance to provide advice on measurement issues, including sampling.</w:t>
      </w:r>
    </w:p>
    <w:p w14:paraId="4102319C" w14:textId="154C3394" w:rsidR="008E4679" w:rsidRDefault="008E4679" w:rsidP="00E21AA9">
      <w:pPr>
        <w:pStyle w:val="SWAHeading3"/>
      </w:pPr>
      <w:r>
        <w:t xml:space="preserve">Transitional arrangements suggested </w:t>
      </w:r>
      <w:r w:rsidR="003A78DE">
        <w:t>by stakeholders</w:t>
      </w:r>
    </w:p>
    <w:p w14:paraId="6E817CA6" w14:textId="53B9EC77" w:rsidR="00291D98" w:rsidRDefault="003C1F43">
      <w:pPr>
        <w:contextualSpacing w:val="0"/>
      </w:pPr>
      <w:r>
        <w:t>A small number of</w:t>
      </w:r>
      <w:r w:rsidR="00D37926">
        <w:t xml:space="preserve"> </w:t>
      </w:r>
      <w:r w:rsidR="008E4679">
        <w:t>stakeholders suggested a transition period would assist industry to comply with the proposed WEL</w:t>
      </w:r>
      <w:r w:rsidR="00DB69F1">
        <w:t xml:space="preserve"> if they were to be implemented</w:t>
      </w:r>
      <w:r w:rsidR="001E156A">
        <w:t xml:space="preserve">. </w:t>
      </w:r>
      <w:r w:rsidR="009B1709">
        <w:t>T</w:t>
      </w:r>
      <w:r w:rsidR="00442CA7">
        <w:t>hree</w:t>
      </w:r>
      <w:r w:rsidR="009B1709">
        <w:t xml:space="preserve"> </w:t>
      </w:r>
      <w:r w:rsidR="009B1709" w:rsidRPr="009B1709">
        <w:t>submissions addressed potential lengths for this transition</w:t>
      </w:r>
      <w:r w:rsidR="009B1709">
        <w:t>:</w:t>
      </w:r>
      <w:r w:rsidR="009B1709" w:rsidRPr="009B1709" w:rsidDel="008C475C">
        <w:t xml:space="preserve"> </w:t>
      </w:r>
    </w:p>
    <w:p w14:paraId="2E8CE1A8" w14:textId="26031848" w:rsidR="00A20929" w:rsidRDefault="00291D98" w:rsidP="00DA28CB">
      <w:pPr>
        <w:pStyle w:val="ListParagraph"/>
        <w:numPr>
          <w:ilvl w:val="0"/>
          <w:numId w:val="177"/>
        </w:numPr>
        <w:contextualSpacing w:val="0"/>
      </w:pPr>
      <w:r>
        <w:t xml:space="preserve">a </w:t>
      </w:r>
      <w:r w:rsidR="00A048C8">
        <w:t>1-year</w:t>
      </w:r>
      <w:r w:rsidR="00524F1B">
        <w:t xml:space="preserve"> transitional period</w:t>
      </w:r>
      <w:r w:rsidR="00206BD7">
        <w:t xml:space="preserve"> (</w:t>
      </w:r>
      <w:r w:rsidR="00442CA7">
        <w:t>2</w:t>
      </w:r>
      <w:r w:rsidR="00206BD7">
        <w:t xml:space="preserve"> submissions)</w:t>
      </w:r>
      <w:r w:rsidR="004D5C8B">
        <w:rPr>
          <w:rStyle w:val="FootnoteReference"/>
        </w:rPr>
        <w:footnoteReference w:id="180"/>
      </w:r>
      <w:r w:rsidR="001E156A">
        <w:t xml:space="preserve">, </w:t>
      </w:r>
    </w:p>
    <w:p w14:paraId="50345767" w14:textId="56EF2A41" w:rsidR="00A20929" w:rsidRDefault="00524F1B" w:rsidP="00DA28CB">
      <w:pPr>
        <w:pStyle w:val="ListParagraph"/>
        <w:numPr>
          <w:ilvl w:val="0"/>
          <w:numId w:val="177"/>
        </w:numPr>
        <w:contextualSpacing w:val="0"/>
      </w:pPr>
      <w:r>
        <w:t xml:space="preserve">a </w:t>
      </w:r>
      <w:r w:rsidR="00A048C8">
        <w:t>3-month</w:t>
      </w:r>
      <w:r>
        <w:t xml:space="preserve"> transition</w:t>
      </w:r>
      <w:r w:rsidR="00A81B65">
        <w:t xml:space="preserve"> period</w:t>
      </w:r>
      <w:r w:rsidR="00FF46AE">
        <w:rPr>
          <w:rStyle w:val="FootnoteReference"/>
        </w:rPr>
        <w:footnoteReference w:id="181"/>
      </w:r>
      <w:r w:rsidR="008E4679">
        <w:t xml:space="preserve">.  </w:t>
      </w:r>
    </w:p>
    <w:p w14:paraId="1AA907EA" w14:textId="5FC75B52" w:rsidR="008969F1" w:rsidRDefault="00A20929" w:rsidP="00A20929">
      <w:pPr>
        <w:contextualSpacing w:val="0"/>
      </w:pPr>
      <w:r>
        <w:t>Another</w:t>
      </w:r>
      <w:r w:rsidR="00705806">
        <w:t xml:space="preserve"> submission suggested the new WEL should be implemented as soon as possible</w:t>
      </w:r>
      <w:r w:rsidR="005B766B">
        <w:rPr>
          <w:rStyle w:val="FootnoteReference"/>
        </w:rPr>
        <w:footnoteReference w:id="182"/>
      </w:r>
      <w:r w:rsidR="00705806">
        <w:t>.</w:t>
      </w:r>
    </w:p>
    <w:p w14:paraId="338154C0" w14:textId="368ED208" w:rsidR="00251ADD" w:rsidRDefault="00251ADD" w:rsidP="00A20929">
      <w:pPr>
        <w:contextualSpacing w:val="0"/>
      </w:pPr>
      <w:r w:rsidRPr="00251ADD">
        <w:t xml:space="preserve">As mentioned in Section 7.3 of this Decision RIS, it is proposed that the new WEL for </w:t>
      </w:r>
      <w:r w:rsidR="00586193">
        <w:t>hydrogen cyanide</w:t>
      </w:r>
      <w:r w:rsidRPr="00251ADD">
        <w:t xml:space="preserve"> should come into effect on 1 December 2026. This would align with the commencement of the new WEL list and ensure the transition to the health-based exposure limits for all chemicals occurs at the same time.</w:t>
      </w:r>
    </w:p>
    <w:p w14:paraId="33461B00" w14:textId="4428C00B" w:rsidR="003A78DE" w:rsidRDefault="00F3732A" w:rsidP="006B52DA">
      <w:pPr>
        <w:pStyle w:val="SWAHeading2"/>
        <w:keepNext/>
        <w:keepLines/>
        <w:ind w:left="709"/>
      </w:pPr>
      <w:bookmarkStart w:id="374" w:name="_Toc196204745"/>
      <w:bookmarkStart w:id="375" w:name="_Ref198300773"/>
      <w:bookmarkStart w:id="376" w:name="_Toc219216906"/>
      <w:r>
        <w:t>Likely net benefit and r</w:t>
      </w:r>
      <w:r w:rsidR="009E5493">
        <w:t xml:space="preserve">ecommended </w:t>
      </w:r>
      <w:r w:rsidR="003A78DE">
        <w:t xml:space="preserve">option for </w:t>
      </w:r>
      <w:r w:rsidR="0096497D">
        <w:t>hydrogen cyanide</w:t>
      </w:r>
      <w:bookmarkEnd w:id="374"/>
      <w:bookmarkEnd w:id="375"/>
      <w:bookmarkEnd w:id="376"/>
    </w:p>
    <w:p w14:paraId="7887016B" w14:textId="77777777" w:rsidR="003463ED" w:rsidRDefault="00F3732A" w:rsidP="003463ED">
      <w:pPr>
        <w:pStyle w:val="SWAHeading3"/>
      </w:pPr>
      <w:r>
        <w:t>Net benefit</w:t>
      </w:r>
    </w:p>
    <w:p w14:paraId="0DB5836F" w14:textId="5979642C" w:rsidR="005A46DD" w:rsidRDefault="003463ED" w:rsidP="00A263B1">
      <w:pPr>
        <w:pStyle w:val="Paragraph"/>
        <w:keepNext w:val="0"/>
      </w:pPr>
      <w:r>
        <w:fldChar w:fldCharType="begin"/>
      </w:r>
      <w:r>
        <w:instrText xml:space="preserve"> REF _Ref216711992 \h </w:instrText>
      </w:r>
      <w:r>
        <w:fldChar w:fldCharType="separate"/>
      </w:r>
      <w:r w:rsidR="00A002F4">
        <w:t xml:space="preserve">Table </w:t>
      </w:r>
      <w:r w:rsidR="00A002F4">
        <w:rPr>
          <w:noProof/>
        </w:rPr>
        <w:t>26</w:t>
      </w:r>
      <w:r>
        <w:fldChar w:fldCharType="end"/>
      </w:r>
      <w:r w:rsidR="002E3F5C">
        <w:t xml:space="preserve"> </w:t>
      </w:r>
      <w:r w:rsidR="002E3F5C" w:rsidRPr="000368A3">
        <w:t xml:space="preserve">presents the quantified </w:t>
      </w:r>
      <w:r w:rsidR="00DB6C69">
        <w:t>gross</w:t>
      </w:r>
      <w:r w:rsidR="002E3F5C" w:rsidRPr="000368A3">
        <w:t xml:space="preserve"> benefit for the proposed WEL for </w:t>
      </w:r>
      <w:r w:rsidR="00DE5A89">
        <w:t>hydrogen cyanide</w:t>
      </w:r>
      <w:r w:rsidR="002E3F5C" w:rsidRPr="000368A3">
        <w:t xml:space="preserve">. </w:t>
      </w:r>
      <w:r w:rsidR="00A263B1">
        <w:t>B</w:t>
      </w:r>
      <w:r w:rsidR="00A263B1" w:rsidRPr="003A746B">
        <w:t>enefits</w:t>
      </w:r>
      <w:r w:rsidR="00A263B1">
        <w:t xml:space="preserve"> for the proposed WEL for hydrogen cyanide could not be</w:t>
      </w:r>
      <w:r w:rsidR="00A263B1" w:rsidRPr="003A746B">
        <w:t xml:space="preserve"> estimated </w:t>
      </w:r>
      <w:r w:rsidR="00A263B1">
        <w:t xml:space="preserve">due to a lack of </w:t>
      </w:r>
      <w:r w:rsidR="002E3F5C">
        <w:t xml:space="preserve">health </w:t>
      </w:r>
      <w:r w:rsidR="00A263B1">
        <w:t xml:space="preserve">burden data and workers compensation </w:t>
      </w:r>
      <w:r w:rsidR="00A06A0E">
        <w:t>data</w:t>
      </w:r>
      <w:r w:rsidR="00A263B1">
        <w:t xml:space="preserve"> to derive quantified heath and financial </w:t>
      </w:r>
      <w:r w:rsidR="002E3F5C">
        <w:t>benefits</w:t>
      </w:r>
      <w:r w:rsidR="00A263B1">
        <w:t xml:space="preserve">, respectively. However, a lack of quantified benefits </w:t>
      </w:r>
      <w:r w:rsidR="00A263B1" w:rsidRPr="007538AD">
        <w:t xml:space="preserve">does not mean that the introduction of the proposed WEL will not result in health </w:t>
      </w:r>
      <w:r w:rsidR="00A263B1">
        <w:t xml:space="preserve">or financial benefits. </w:t>
      </w:r>
    </w:p>
    <w:p w14:paraId="45B34A26" w14:textId="77777777" w:rsidR="00A002F4" w:rsidRDefault="005A46DD" w:rsidP="00B64384">
      <w:pPr>
        <w:suppressAutoHyphens/>
      </w:pPr>
      <w:r>
        <w:t>F</w:t>
      </w:r>
      <w:r w:rsidR="00A263B1">
        <w:t>or the purposes of determining a</w:t>
      </w:r>
      <w:r w:rsidR="00A263B1" w:rsidRPr="003A746B">
        <w:t xml:space="preserve"> </w:t>
      </w:r>
      <w:r w:rsidR="00A263B1">
        <w:t>quantified</w:t>
      </w:r>
      <w:r w:rsidR="00D07F25">
        <w:t xml:space="preserve"> gross</w:t>
      </w:r>
      <w:r w:rsidR="00A263B1">
        <w:t xml:space="preserve"> benefit, only</w:t>
      </w:r>
      <w:r w:rsidR="002E3F5C">
        <w:t xml:space="preserve"> the </w:t>
      </w:r>
      <w:r w:rsidR="002E3F5C" w:rsidRPr="000368A3">
        <w:t>quantified costs (</w:t>
      </w:r>
      <w:r>
        <w:fldChar w:fldCharType="begin"/>
      </w:r>
      <w:r>
        <w:instrText xml:space="preserve"> REF _Ref199920847 \h </w:instrText>
      </w:r>
      <w:r>
        <w:fldChar w:fldCharType="separate"/>
      </w:r>
    </w:p>
    <w:p w14:paraId="3DE2C67B" w14:textId="7D2DA41F" w:rsidR="002E3F5C" w:rsidRPr="000368A3" w:rsidRDefault="00A002F4" w:rsidP="00E7252F">
      <w:pPr>
        <w:suppressAutoHyphens/>
      </w:pPr>
      <w:r>
        <w:t xml:space="preserve">Table </w:t>
      </w:r>
      <w:r>
        <w:rPr>
          <w:noProof/>
        </w:rPr>
        <w:t>24</w:t>
      </w:r>
      <w:r w:rsidR="005A46DD">
        <w:fldChar w:fldCharType="end"/>
      </w:r>
      <w:r w:rsidR="00A263B1" w:rsidRPr="003A746B">
        <w:t xml:space="preserve">) </w:t>
      </w:r>
      <w:r w:rsidR="00A263B1">
        <w:t>were</w:t>
      </w:r>
      <w:r w:rsidR="00A263B1" w:rsidRPr="003A746B">
        <w:t xml:space="preserve"> </w:t>
      </w:r>
      <w:r w:rsidR="00A263B1">
        <w:t>used</w:t>
      </w:r>
      <w:r w:rsidR="002E3F5C" w:rsidRPr="000368A3">
        <w:t xml:space="preserve"> to estimate a quantified </w:t>
      </w:r>
      <w:r w:rsidR="00A12DE8">
        <w:t>gross</w:t>
      </w:r>
      <w:r w:rsidR="002E3F5C" w:rsidRPr="000368A3">
        <w:t xml:space="preserve"> benefit of -$</w:t>
      </w:r>
      <w:r w:rsidR="003C46E2">
        <w:t>318</w:t>
      </w:r>
      <w:r w:rsidR="00A263B1" w:rsidRPr="003A746B">
        <w:t xml:space="preserve"> </w:t>
      </w:r>
      <w:r w:rsidR="003C46E2">
        <w:t>m</w:t>
      </w:r>
      <w:r w:rsidR="00A263B1" w:rsidRPr="003A746B">
        <w:t>illion</w:t>
      </w:r>
      <w:r w:rsidR="002E3F5C" w:rsidRPr="000368A3">
        <w:t xml:space="preserve"> over 10 years for the proposed WEL for </w:t>
      </w:r>
      <w:r w:rsidR="002C3DA0">
        <w:t>hydrogen cyanide</w:t>
      </w:r>
      <w:r w:rsidR="002E3F5C" w:rsidRPr="000368A3">
        <w:t xml:space="preserve">. </w:t>
      </w:r>
    </w:p>
    <w:p w14:paraId="3FE543DC" w14:textId="687857CC" w:rsidR="002E3F5C" w:rsidRPr="00B019B3" w:rsidRDefault="002E3F5C" w:rsidP="002E3F5C">
      <w:pPr>
        <w:pStyle w:val="Paragraph"/>
      </w:pPr>
      <w:r w:rsidRPr="00B019B3">
        <w:t xml:space="preserve">Sensitivity analysis indicates the quantified </w:t>
      </w:r>
      <w:r w:rsidR="00472257" w:rsidRPr="00B019B3">
        <w:t>gross</w:t>
      </w:r>
      <w:r w:rsidRPr="00B019B3">
        <w:t xml:space="preserve"> benefit can range between -$</w:t>
      </w:r>
      <w:r w:rsidR="008D1E5B" w:rsidRPr="00B019B3">
        <w:t>196</w:t>
      </w:r>
      <w:r w:rsidRPr="00B019B3">
        <w:t xml:space="preserve"> </w:t>
      </w:r>
      <w:r w:rsidR="00D0457B" w:rsidRPr="00B019B3">
        <w:t>million</w:t>
      </w:r>
      <w:r w:rsidRPr="00B019B3">
        <w:t xml:space="preserve"> (under the low scenario outlined in </w:t>
      </w:r>
      <w:hyperlink w:anchor="AppendixD_SensitivityAnalysis" w:history="1">
        <w:r w:rsidRPr="000E09E8">
          <w:rPr>
            <w:rStyle w:val="Hyperlink"/>
            <w:color w:val="auto"/>
            <w:u w:val="none"/>
          </w:rPr>
          <w:t xml:space="preserve">Appendix </w:t>
        </w:r>
        <w:r w:rsidR="00B019B3" w:rsidRPr="000E09E8">
          <w:rPr>
            <w:rStyle w:val="Hyperlink"/>
            <w:color w:val="auto"/>
            <w:u w:val="none"/>
          </w:rPr>
          <w:t>D</w:t>
        </w:r>
      </w:hyperlink>
      <w:r w:rsidRPr="00B019B3">
        <w:t>) and -$</w:t>
      </w:r>
      <w:r w:rsidR="008D1E5B" w:rsidRPr="00B019B3">
        <w:t>526 m</w:t>
      </w:r>
      <w:r w:rsidRPr="00B019B3">
        <w:t xml:space="preserve">illion (under the high scenario outlined in </w:t>
      </w:r>
      <w:hyperlink w:anchor="AppendixD_SensitivityAnalysis" w:history="1">
        <w:r w:rsidRPr="000E09E8">
          <w:rPr>
            <w:rStyle w:val="Hyperlink"/>
            <w:color w:val="auto"/>
            <w:u w:val="none"/>
          </w:rPr>
          <w:t xml:space="preserve">Appendix </w:t>
        </w:r>
        <w:r w:rsidR="00B019B3" w:rsidRPr="000E09E8">
          <w:rPr>
            <w:rStyle w:val="Hyperlink"/>
            <w:color w:val="auto"/>
            <w:u w:val="none"/>
          </w:rPr>
          <w:t>D</w:t>
        </w:r>
      </w:hyperlink>
      <w:r w:rsidRPr="00B019B3">
        <w:t xml:space="preserve">) over 10 years for the proposed WEL for </w:t>
      </w:r>
      <w:r w:rsidR="00DC7901" w:rsidRPr="00B019B3">
        <w:t>hydrogen cyanide</w:t>
      </w:r>
      <w:r w:rsidRPr="00B019B3">
        <w:t xml:space="preserve">. </w:t>
      </w:r>
    </w:p>
    <w:p w14:paraId="59692D55" w14:textId="10F3B40E" w:rsidR="002E3F5C" w:rsidRPr="000368A3" w:rsidRDefault="00B607CC" w:rsidP="002E3F5C">
      <w:pPr>
        <w:pStyle w:val="Paragraph"/>
      </w:pPr>
      <w:r>
        <w:t>For</w:t>
      </w:r>
      <w:r w:rsidR="002E3F5C" w:rsidRPr="000368A3">
        <w:t xml:space="preserve"> the proposed WEL for </w:t>
      </w:r>
      <w:r w:rsidR="006C4200">
        <w:t>hydrogen cyanide</w:t>
      </w:r>
      <w:r w:rsidR="002E3F5C" w:rsidRPr="000368A3">
        <w:t xml:space="preserve"> to deliver a net benefit in economic terms, the non-quantified and qualitative benefits outlined in Sections 5 and </w:t>
      </w:r>
      <w:r w:rsidR="00DC7901">
        <w:t>13</w:t>
      </w:r>
      <w:r w:rsidR="002E3F5C" w:rsidRPr="000368A3">
        <w:t xml:space="preserve">.1 of this Decision RIS would need to meet or exceed a quantified </w:t>
      </w:r>
      <w:r w:rsidR="00D07F25">
        <w:t>gross</w:t>
      </w:r>
      <w:r w:rsidR="002E3F5C" w:rsidRPr="000368A3">
        <w:t xml:space="preserve"> cost of $</w:t>
      </w:r>
      <w:r w:rsidR="00DC7901">
        <w:t>318 m</w:t>
      </w:r>
      <w:r w:rsidR="002E3F5C" w:rsidRPr="000368A3">
        <w:t xml:space="preserve">illion. </w:t>
      </w:r>
    </w:p>
    <w:p w14:paraId="32FCEAA0" w14:textId="04C912DD" w:rsidR="002E3F5C" w:rsidRDefault="002E3F5C" w:rsidP="002E3F5C">
      <w:pPr>
        <w:pStyle w:val="Paragraph"/>
        <w:keepNext w:val="0"/>
      </w:pPr>
      <w:r w:rsidRPr="000368A3">
        <w:t xml:space="preserve">This </w:t>
      </w:r>
      <w:r w:rsidR="00DB6C69">
        <w:t>quantified gross</w:t>
      </w:r>
      <w:r w:rsidRPr="000368A3">
        <w:t xml:space="preserve"> cost is likely to be smaller than what is estimated in</w:t>
      </w:r>
      <w:r>
        <w:t xml:space="preserve"> </w:t>
      </w:r>
      <w:r w:rsidR="006C4200">
        <w:fldChar w:fldCharType="begin"/>
      </w:r>
      <w:r w:rsidR="006C4200">
        <w:instrText xml:space="preserve"> REF _Ref216711992 \h </w:instrText>
      </w:r>
      <w:r w:rsidR="006C4200">
        <w:fldChar w:fldCharType="separate"/>
      </w:r>
      <w:r w:rsidR="00A002F4">
        <w:t xml:space="preserve">Table </w:t>
      </w:r>
      <w:r w:rsidR="00A002F4">
        <w:rPr>
          <w:noProof/>
        </w:rPr>
        <w:t>26</w:t>
      </w:r>
      <w:r w:rsidR="006C4200">
        <w:fldChar w:fldCharType="end"/>
      </w:r>
      <w:r w:rsidR="006C4200">
        <w:t>.</w:t>
      </w:r>
      <w:r w:rsidRPr="000368A3">
        <w:t xml:space="preserve"> </w:t>
      </w:r>
      <w:r w:rsidR="00D206BE">
        <w:t>The d</w:t>
      </w:r>
      <w:r w:rsidR="004A48D7">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D206BE">
        <w:t xml:space="preserve">. </w:t>
      </w:r>
    </w:p>
    <w:p w14:paraId="7E86F096" w14:textId="3A399EC4" w:rsidR="00D206BE" w:rsidRPr="000368A3" w:rsidRDefault="00D206BE" w:rsidP="002E3F5C">
      <w:pPr>
        <w:pStyle w:val="Paragraph"/>
        <w:keepNext w:val="0"/>
      </w:pPr>
      <w:r>
        <w:lastRenderedPageBreak/>
        <w:t xml:space="preserve">In considering the quantified gross benefit, together with the non-quantified and qualitative benefit, Option 2 presents a likely net benefit. </w:t>
      </w:r>
    </w:p>
    <w:p w14:paraId="2BC1C050" w14:textId="17A2BB1F" w:rsidR="002E3F5C" w:rsidRDefault="002E3F5C" w:rsidP="000E09E8">
      <w:pPr>
        <w:pStyle w:val="Caption"/>
      </w:pPr>
      <w:bookmarkStart w:id="377" w:name="_Ref216711992"/>
      <w:r>
        <w:t xml:space="preserve">Table </w:t>
      </w:r>
      <w:fldSimple w:instr=" SEQ Table \* ARABIC ">
        <w:r w:rsidR="00A002F4">
          <w:rPr>
            <w:noProof/>
          </w:rPr>
          <w:t>26</w:t>
        </w:r>
      </w:fldSimple>
      <w:bookmarkEnd w:id="377"/>
      <w:r>
        <w:t xml:space="preserve"> - </w:t>
      </w:r>
      <w:r w:rsidRPr="00D65F59">
        <w:t xml:space="preserve">Quantified </w:t>
      </w:r>
      <w:r w:rsidR="00A12DE8">
        <w:t>gross</w:t>
      </w:r>
      <w:r w:rsidRPr="00D65F59">
        <w:t xml:space="preserve"> benefit ($, millions, discounted) for the proposed WEL for formaldehyde,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2E3F5C" w:rsidRPr="000368A3" w14:paraId="3D773CB6" w14:textId="77777777">
        <w:tc>
          <w:tcPr>
            <w:tcW w:w="3004" w:type="dxa"/>
            <w:shd w:val="clear" w:color="auto" w:fill="4877E0" w:themeFill="accent1"/>
          </w:tcPr>
          <w:p w14:paraId="42FB7BC7" w14:textId="77777777" w:rsidR="002E3F5C" w:rsidRPr="00FC7340" w:rsidRDefault="002E3F5C">
            <w:pPr>
              <w:pStyle w:val="Paragraph"/>
              <w:keepNext w:val="0"/>
              <w:rPr>
                <w:b/>
                <w:bCs/>
                <w:color w:val="FFFFFF" w:themeColor="background1"/>
                <w:lang w:eastAsia="en-US"/>
              </w:rPr>
            </w:pPr>
            <w:r w:rsidRPr="00FC7340">
              <w:rPr>
                <w:b/>
                <w:bCs/>
                <w:color w:val="FFFFFF" w:themeColor="background1"/>
                <w:lang w:eastAsia="en-US"/>
              </w:rPr>
              <w:t>Quantified benefits</w:t>
            </w:r>
          </w:p>
        </w:tc>
        <w:tc>
          <w:tcPr>
            <w:tcW w:w="3006" w:type="dxa"/>
            <w:shd w:val="clear" w:color="auto" w:fill="4877E0" w:themeFill="accent1"/>
          </w:tcPr>
          <w:p w14:paraId="44C85C68" w14:textId="77777777" w:rsidR="002E3F5C" w:rsidRPr="00FC7340" w:rsidRDefault="002E3F5C">
            <w:pPr>
              <w:pStyle w:val="Paragraph"/>
              <w:keepNext w:val="0"/>
              <w:rPr>
                <w:b/>
                <w:bCs/>
                <w:color w:val="FFFFFF" w:themeColor="background1"/>
                <w:lang w:eastAsia="en-US"/>
              </w:rPr>
            </w:pPr>
            <w:r w:rsidRPr="00FC7340">
              <w:rPr>
                <w:b/>
                <w:bCs/>
                <w:color w:val="FFFFFF" w:themeColor="background1"/>
                <w:lang w:eastAsia="en-US"/>
              </w:rPr>
              <w:t>Quantified costs</w:t>
            </w:r>
          </w:p>
        </w:tc>
        <w:tc>
          <w:tcPr>
            <w:tcW w:w="3006" w:type="dxa"/>
            <w:shd w:val="clear" w:color="auto" w:fill="4877E0" w:themeFill="accent1"/>
          </w:tcPr>
          <w:p w14:paraId="558DD6D3" w14:textId="3A98734E" w:rsidR="002E3F5C" w:rsidRPr="00FC7340" w:rsidRDefault="00A12DE8">
            <w:pPr>
              <w:pStyle w:val="Paragraph"/>
              <w:keepNext w:val="0"/>
              <w:rPr>
                <w:b/>
                <w:bCs/>
                <w:color w:val="FFFFFF" w:themeColor="background1"/>
                <w:lang w:eastAsia="en-US"/>
              </w:rPr>
            </w:pPr>
            <w:r>
              <w:rPr>
                <w:b/>
                <w:bCs/>
                <w:color w:val="FFFFFF" w:themeColor="background1"/>
                <w:lang w:eastAsia="en-US"/>
              </w:rPr>
              <w:t>Q</w:t>
            </w:r>
            <w:r w:rsidR="002E3F5C" w:rsidRPr="00FC7340">
              <w:rPr>
                <w:b/>
                <w:bCs/>
                <w:color w:val="FFFFFF" w:themeColor="background1"/>
                <w:lang w:eastAsia="en-US"/>
              </w:rPr>
              <w:t>uantified</w:t>
            </w:r>
            <w:r>
              <w:rPr>
                <w:b/>
                <w:bCs/>
                <w:color w:val="FFFFFF" w:themeColor="background1"/>
                <w:lang w:eastAsia="en-US"/>
              </w:rPr>
              <w:t xml:space="preserve"> gross</w:t>
            </w:r>
            <w:r w:rsidR="002E3F5C" w:rsidRPr="00FC7340">
              <w:rPr>
                <w:b/>
                <w:bCs/>
                <w:color w:val="FFFFFF" w:themeColor="background1"/>
                <w:lang w:eastAsia="en-US"/>
              </w:rPr>
              <w:t xml:space="preserve"> benefit</w:t>
            </w:r>
          </w:p>
        </w:tc>
      </w:tr>
      <w:tr w:rsidR="003463ED" w:rsidRPr="003463ED" w14:paraId="3C132599" w14:textId="77777777" w:rsidTr="000E09E8">
        <w:trPr>
          <w:trHeight w:val="300"/>
        </w:trPr>
        <w:tc>
          <w:tcPr>
            <w:tcW w:w="3004" w:type="dxa"/>
            <w:noWrap/>
            <w:hideMark/>
          </w:tcPr>
          <w:p w14:paraId="0A2AB9E6" w14:textId="1E0EC9A8" w:rsidR="003463ED" w:rsidRPr="000E09E8" w:rsidRDefault="00B607CC" w:rsidP="00B64384">
            <w:pPr>
              <w:spacing w:after="0" w:line="240" w:lineRule="auto"/>
              <w:contextualSpacing w:val="0"/>
              <w:jc w:val="right"/>
              <w:rPr>
                <w:rFonts w:eastAsia="Times New Roman" w:cs="Arial"/>
                <w:color w:val="000000"/>
                <w:szCs w:val="22"/>
                <w:lang w:eastAsia="en-AU"/>
              </w:rPr>
            </w:pPr>
            <w:r>
              <w:rPr>
                <w:rFonts w:eastAsia="Times New Roman" w:cs="Arial"/>
                <w:color w:val="000000"/>
                <w:szCs w:val="22"/>
                <w:lang w:eastAsia="en-AU"/>
              </w:rPr>
              <w:t>ND</w:t>
            </w:r>
          </w:p>
        </w:tc>
        <w:tc>
          <w:tcPr>
            <w:tcW w:w="3006" w:type="dxa"/>
            <w:noWrap/>
            <w:hideMark/>
          </w:tcPr>
          <w:p w14:paraId="242A6953" w14:textId="77777777" w:rsidR="003463ED" w:rsidRPr="000E09E8" w:rsidRDefault="003463ED" w:rsidP="00B64384">
            <w:pPr>
              <w:spacing w:after="0" w:line="240" w:lineRule="auto"/>
              <w:contextualSpacing w:val="0"/>
              <w:jc w:val="right"/>
              <w:rPr>
                <w:rFonts w:eastAsia="Times New Roman" w:cs="Arial"/>
                <w:color w:val="000000"/>
                <w:szCs w:val="22"/>
                <w:lang w:eastAsia="en-AU"/>
              </w:rPr>
            </w:pPr>
            <w:r w:rsidRPr="000E09E8">
              <w:rPr>
                <w:rFonts w:eastAsia="Times New Roman" w:cs="Arial"/>
                <w:color w:val="000000"/>
                <w:szCs w:val="22"/>
                <w:lang w:eastAsia="en-AU"/>
              </w:rPr>
              <w:t>318</w:t>
            </w:r>
          </w:p>
        </w:tc>
        <w:tc>
          <w:tcPr>
            <w:tcW w:w="3006" w:type="dxa"/>
            <w:noWrap/>
            <w:hideMark/>
          </w:tcPr>
          <w:p w14:paraId="0A17548C" w14:textId="258A9230" w:rsidR="003463ED" w:rsidRPr="000E09E8" w:rsidRDefault="003463ED" w:rsidP="00B64384">
            <w:pPr>
              <w:spacing w:after="0" w:line="240" w:lineRule="auto"/>
              <w:contextualSpacing w:val="0"/>
              <w:jc w:val="right"/>
              <w:rPr>
                <w:rFonts w:eastAsia="Times New Roman" w:cs="Arial"/>
                <w:color w:val="000000"/>
                <w:szCs w:val="22"/>
                <w:lang w:eastAsia="en-AU"/>
              </w:rPr>
            </w:pPr>
            <w:r w:rsidRPr="000E09E8">
              <w:rPr>
                <w:rFonts w:eastAsia="Times New Roman" w:cs="Arial"/>
                <w:color w:val="000000"/>
                <w:szCs w:val="22"/>
                <w:lang w:eastAsia="en-AU"/>
              </w:rPr>
              <w:t xml:space="preserve">-318 </w:t>
            </w:r>
          </w:p>
        </w:tc>
      </w:tr>
    </w:tbl>
    <w:p w14:paraId="53D1D60E" w14:textId="380CB2FF" w:rsidR="00E95383" w:rsidRDefault="00E95383" w:rsidP="000E09E8">
      <w:pPr>
        <w:pStyle w:val="SWAHeading3"/>
        <w:spacing w:before="0"/>
      </w:pPr>
      <w:r>
        <w:rPr>
          <w:rFonts w:eastAsia="Times New Roman"/>
          <w:i/>
          <w:iCs/>
          <w:color w:val="808080" w:themeColor="background1" w:themeShade="80"/>
          <w:sz w:val="16"/>
          <w:szCs w:val="16"/>
        </w:rPr>
        <w:t xml:space="preserve">  </w:t>
      </w:r>
      <w:r w:rsidRPr="00FC7340">
        <w:rPr>
          <w:rFonts w:eastAsia="Times New Roman"/>
          <w:i/>
          <w:iCs/>
          <w:color w:val="808080" w:themeColor="background1" w:themeShade="80"/>
          <w:sz w:val="16"/>
          <w:szCs w:val="16"/>
        </w:rPr>
        <w:t>ND = Not determined due to insufficient data</w:t>
      </w:r>
      <w:r w:rsidRPr="00FC7340">
        <w:rPr>
          <w:color w:val="808080" w:themeColor="background1" w:themeShade="80"/>
        </w:rPr>
        <w:br/>
      </w:r>
      <w:r w:rsidRPr="00FC7340">
        <w:rPr>
          <w:rFonts w:eastAsia="Times New Roman"/>
          <w:i/>
          <w:iCs/>
          <w:color w:val="808080" w:themeColor="background1" w:themeShade="80"/>
          <w:sz w:val="16"/>
          <w:szCs w:val="16"/>
        </w:rPr>
        <w:t xml:space="preserve">  * Benefits exist but were unable to be quantified. This should not be read as an absence of benefits. </w:t>
      </w:r>
      <w:r w:rsidRPr="00FC7340">
        <w:rPr>
          <w:color w:val="808080" w:themeColor="background1" w:themeShade="80"/>
        </w:rPr>
        <w:br/>
      </w:r>
      <w:r w:rsidRPr="00FC7340">
        <w:rPr>
          <w:rFonts w:eastAsia="Times New Roman"/>
          <w:i/>
          <w:iCs/>
          <w:color w:val="808080" w:themeColor="background1" w:themeShade="80"/>
          <w:sz w:val="16"/>
          <w:szCs w:val="16"/>
        </w:rPr>
        <w:t xml:space="preserve">  ** The quantified gross benefits should be read in conjunction with the non-quantifiable benefits set out </w:t>
      </w:r>
      <w:r>
        <w:rPr>
          <w:rFonts w:eastAsia="Times New Roman"/>
          <w:i/>
          <w:iCs/>
          <w:color w:val="808080" w:themeColor="background1" w:themeShade="80"/>
          <w:sz w:val="16"/>
          <w:szCs w:val="16"/>
        </w:rPr>
        <w:t>in Section 5</w:t>
      </w:r>
      <w:r w:rsidR="00F57F66">
        <w:rPr>
          <w:rFonts w:eastAsia="Times New Roman"/>
          <w:i/>
          <w:iCs/>
          <w:color w:val="808080" w:themeColor="background1" w:themeShade="80"/>
          <w:sz w:val="16"/>
          <w:szCs w:val="16"/>
        </w:rPr>
        <w:t>.2</w:t>
      </w:r>
      <w:r>
        <w:rPr>
          <w:rFonts w:eastAsia="Times New Roman"/>
          <w:i/>
          <w:iCs/>
          <w:color w:val="808080" w:themeColor="background1" w:themeShade="80"/>
          <w:sz w:val="16"/>
          <w:szCs w:val="16"/>
        </w:rPr>
        <w:t xml:space="preserve"> and 1</w:t>
      </w:r>
      <w:r w:rsidR="00F57F66">
        <w:rPr>
          <w:rFonts w:eastAsia="Times New Roman"/>
          <w:i/>
          <w:iCs/>
          <w:color w:val="808080" w:themeColor="background1" w:themeShade="80"/>
          <w:sz w:val="16"/>
          <w:szCs w:val="16"/>
        </w:rPr>
        <w:t>3</w:t>
      </w:r>
      <w:r>
        <w:rPr>
          <w:rFonts w:eastAsia="Times New Roman"/>
          <w:i/>
          <w:iCs/>
          <w:color w:val="808080" w:themeColor="background1" w:themeShade="80"/>
          <w:sz w:val="16"/>
          <w:szCs w:val="16"/>
        </w:rPr>
        <w:t>.1.</w:t>
      </w:r>
    </w:p>
    <w:p w14:paraId="12A23C1A" w14:textId="55B739E6" w:rsidR="00F3732A" w:rsidRPr="00F3732A" w:rsidRDefault="00737DAB" w:rsidP="000E09E8">
      <w:pPr>
        <w:pStyle w:val="SWAHeading3"/>
      </w:pPr>
      <w:r>
        <w:t>Recommended option</w:t>
      </w:r>
    </w:p>
    <w:tbl>
      <w:tblPr>
        <w:tblStyle w:val="TableGrid"/>
        <w:tblW w:w="0" w:type="auto"/>
        <w:tblLook w:val="04A0" w:firstRow="1" w:lastRow="0" w:firstColumn="1" w:lastColumn="0" w:noHBand="0" w:noVBand="1"/>
      </w:tblPr>
      <w:tblGrid>
        <w:gridCol w:w="9016"/>
      </w:tblGrid>
      <w:tr w:rsidR="008E38E6" w14:paraId="4DA0D583" w14:textId="77777777" w:rsidTr="006B52DA">
        <w:tc>
          <w:tcPr>
            <w:tcW w:w="9016" w:type="dxa"/>
            <w:tcBorders>
              <w:top w:val="single" w:sz="4" w:space="0" w:color="B5C8F2" w:themeColor="accent1" w:themeTint="66"/>
              <w:left w:val="single" w:sz="4" w:space="0" w:color="B5C8F2" w:themeColor="accent1" w:themeTint="66"/>
              <w:bottom w:val="single" w:sz="4" w:space="0" w:color="B5C8F2" w:themeColor="accent1" w:themeTint="66"/>
              <w:right w:val="single" w:sz="4" w:space="0" w:color="B5C8F2" w:themeColor="accent1" w:themeTint="66"/>
            </w:tcBorders>
            <w:shd w:val="clear" w:color="auto" w:fill="DAE3F8" w:themeFill="accent1" w:themeFillTint="33"/>
          </w:tcPr>
          <w:p w14:paraId="206633AC" w14:textId="77777777" w:rsidR="00332BE5" w:rsidRPr="00332BE5" w:rsidRDefault="004C1580" w:rsidP="000E09E8">
            <w:pPr>
              <w:pStyle w:val="ListNumber2"/>
              <w:numPr>
                <w:ilvl w:val="0"/>
                <w:numId w:val="0"/>
              </w:numPr>
              <w:spacing w:before="120" w:after="120"/>
              <w:ind w:left="30"/>
            </w:pPr>
            <w:r>
              <w:t>It is recommended WHS ministers agree to the health-based recommendation for the WEL for hydrogen cyanide (</w:t>
            </w:r>
            <w:r w:rsidRPr="006B52DA">
              <w:rPr>
                <w:b/>
                <w:bCs/>
              </w:rPr>
              <w:t>Option 2</w:t>
            </w:r>
            <w:r>
              <w:t xml:space="preserve">): TWA of </w:t>
            </w:r>
            <w:r w:rsidRPr="0048681A">
              <w:t>0.</w:t>
            </w:r>
            <w:r>
              <w:t xml:space="preserve">9 </w:t>
            </w:r>
            <w:r w:rsidRPr="0048681A">
              <w:t>ppm (</w:t>
            </w:r>
            <w:r>
              <w:t>1</w:t>
            </w:r>
            <w:r w:rsidRPr="0048681A">
              <w:t xml:space="preserve"> mg/m</w:t>
            </w:r>
            <w:r w:rsidRPr="0048681A">
              <w:rPr>
                <w:vertAlign w:val="superscript"/>
              </w:rPr>
              <w:t>3</w:t>
            </w:r>
            <w:r w:rsidRPr="0048681A">
              <w:t>)</w:t>
            </w:r>
            <w:r>
              <w:t xml:space="preserve"> and STEL of 4.7 ppm (5 mg/m</w:t>
            </w:r>
            <w:r w:rsidRPr="004449F5">
              <w:rPr>
                <w:vertAlign w:val="superscript"/>
              </w:rPr>
              <w:t>3</w:t>
            </w:r>
            <w:r>
              <w:t xml:space="preserve">). </w:t>
            </w:r>
            <w:r w:rsidR="00332BE5" w:rsidRPr="00332BE5">
              <w:t>This recommendation is based on the following considerations:</w:t>
            </w:r>
          </w:p>
          <w:p w14:paraId="0BD915CB" w14:textId="3A124A2A" w:rsidR="00332BE5" w:rsidRPr="00332BE5" w:rsidRDefault="00332BE5" w:rsidP="000E09E8">
            <w:pPr>
              <w:pStyle w:val="Paragraph"/>
              <w:keepNext w:val="0"/>
              <w:numPr>
                <w:ilvl w:val="0"/>
                <w:numId w:val="69"/>
              </w:numPr>
              <w:spacing w:after="120"/>
            </w:pPr>
            <w:r w:rsidRPr="00332BE5">
              <w:t xml:space="preserve">that the proposed WEL for </w:t>
            </w:r>
            <w:r>
              <w:t>hydrogen cyanide</w:t>
            </w:r>
            <w:r w:rsidRPr="00332BE5">
              <w:t xml:space="preserve"> </w:t>
            </w:r>
            <w:r w:rsidR="00185B4F">
              <w:t>aligns with</w:t>
            </w:r>
            <w:r w:rsidRPr="00332BE5">
              <w:t xml:space="preserve"> the object of the model WHS Act to protect workers and others from harm to their health, safety and welfare through the elimination or minimisation of risks,</w:t>
            </w:r>
          </w:p>
          <w:p w14:paraId="2225CB17" w14:textId="00E751A9" w:rsidR="00332BE5" w:rsidRPr="00332BE5" w:rsidRDefault="00332BE5" w:rsidP="000E09E8">
            <w:pPr>
              <w:pStyle w:val="Paragraph"/>
              <w:keepNext w:val="0"/>
              <w:numPr>
                <w:ilvl w:val="0"/>
                <w:numId w:val="69"/>
              </w:numPr>
              <w:spacing w:after="120"/>
            </w:pPr>
            <w:r w:rsidRPr="00332BE5">
              <w:t xml:space="preserve">the scientific evidence </w:t>
            </w:r>
            <w:r w:rsidR="00185B4F">
              <w:t>indicates</w:t>
            </w:r>
            <w:r w:rsidRPr="00332BE5">
              <w:t xml:space="preserve"> the </w:t>
            </w:r>
            <w:r w:rsidR="00783E4D">
              <w:t xml:space="preserve">proposed </w:t>
            </w:r>
            <w:r w:rsidRPr="00332BE5">
              <w:t>health</w:t>
            </w:r>
            <w:r w:rsidR="00783E4D">
              <w:t>-</w:t>
            </w:r>
            <w:r w:rsidRPr="00332BE5">
              <w:t xml:space="preserve">based </w:t>
            </w:r>
            <w:r w:rsidR="00783E4D">
              <w:t>WEL</w:t>
            </w:r>
            <w:r w:rsidRPr="00332BE5">
              <w:t xml:space="preserve"> is </w:t>
            </w:r>
            <w:r w:rsidR="00A73623">
              <w:t>protective of worker</w:t>
            </w:r>
            <w:r w:rsidR="008E4574">
              <w:t>s</w:t>
            </w:r>
            <w:r w:rsidRPr="00332BE5">
              <w:t>,</w:t>
            </w:r>
          </w:p>
          <w:p w14:paraId="1EECE9A1" w14:textId="77777777" w:rsidR="00332BE5" w:rsidRPr="00332BE5" w:rsidRDefault="00332BE5" w:rsidP="000E09E8">
            <w:pPr>
              <w:pStyle w:val="Paragraph"/>
              <w:keepNext w:val="0"/>
              <w:numPr>
                <w:ilvl w:val="0"/>
                <w:numId w:val="69"/>
              </w:numPr>
              <w:spacing w:after="120"/>
            </w:pPr>
            <w:r w:rsidRPr="00332BE5">
              <w:t>stakeholder views and comments on the proposed WEL, and</w:t>
            </w:r>
          </w:p>
          <w:p w14:paraId="01CB88C7" w14:textId="67AA500A" w:rsidR="00332BE5" w:rsidRPr="00332BE5" w:rsidRDefault="00332BE5" w:rsidP="000E09E8">
            <w:pPr>
              <w:pStyle w:val="Paragraph"/>
              <w:keepNext w:val="0"/>
              <w:numPr>
                <w:ilvl w:val="0"/>
                <w:numId w:val="69"/>
              </w:numPr>
              <w:spacing w:after="120"/>
            </w:pPr>
            <w:r w:rsidRPr="00332BE5">
              <w:t xml:space="preserve">the </w:t>
            </w:r>
            <w:r w:rsidR="0023104B">
              <w:t xml:space="preserve">net </w:t>
            </w:r>
            <w:r w:rsidRPr="00332BE5">
              <w:t>benefits</w:t>
            </w:r>
            <w:r w:rsidR="0023104B">
              <w:t xml:space="preserve"> expected</w:t>
            </w:r>
            <w:r w:rsidR="000745E6" w:rsidRPr="00332BE5">
              <w:t xml:space="preserve"> </w:t>
            </w:r>
            <w:r w:rsidR="00587355">
              <w:t>from</w:t>
            </w:r>
            <w:r w:rsidR="000745E6" w:rsidRPr="00332BE5">
              <w:t xml:space="preserve"> the proposed change</w:t>
            </w:r>
            <w:r w:rsidR="00817976">
              <w:t xml:space="preserve">, </w:t>
            </w:r>
            <w:r w:rsidR="00587355">
              <w:t xml:space="preserve">in </w:t>
            </w:r>
            <w:r w:rsidR="00817976">
              <w:t xml:space="preserve">particular </w:t>
            </w:r>
            <w:r w:rsidR="0023104B">
              <w:t>the protection of worker</w:t>
            </w:r>
            <w:r w:rsidR="00587355">
              <w:t>s</w:t>
            </w:r>
            <w:r w:rsidR="0023104B">
              <w:t xml:space="preserve"> from developing </w:t>
            </w:r>
            <w:r w:rsidR="0023104B" w:rsidRPr="0023104B">
              <w:t>chronic neurological symptoms and thyroid enlargement from chronic exposures to hydrogen cyanide, and immediate and severe health effects (death, coma, respiratory failure) from acute exposures</w:t>
            </w:r>
            <w:r w:rsidRPr="00332BE5">
              <w:t>.</w:t>
            </w:r>
          </w:p>
          <w:p w14:paraId="6023848C" w14:textId="489FF663" w:rsidR="008E38E6" w:rsidRDefault="009E5493" w:rsidP="000E09E8">
            <w:pPr>
              <w:pStyle w:val="Paragraph"/>
              <w:keepNext w:val="0"/>
              <w:spacing w:after="120"/>
              <w:rPr>
                <w:lang w:eastAsia="en-US"/>
              </w:rPr>
            </w:pPr>
            <w:r w:rsidRPr="00560E0D">
              <w:t xml:space="preserve">It </w:t>
            </w:r>
            <w:r w:rsidRPr="008B1DDD">
              <w:t xml:space="preserve">is also recommended WHS ministers agree </w:t>
            </w:r>
            <w:r w:rsidR="0032529B" w:rsidRPr="00BA36C4">
              <w:t>a transition</w:t>
            </w:r>
            <w:r w:rsidRPr="008B1DDD">
              <w:t xml:space="preserve"> period for </w:t>
            </w:r>
            <w:r w:rsidR="00F07E7E">
              <w:t>hydrogen cyanide</w:t>
            </w:r>
            <w:r w:rsidR="00F07E7E" w:rsidRPr="008B1DDD">
              <w:t xml:space="preserve"> </w:t>
            </w:r>
            <w:r w:rsidR="0032529B" w:rsidRPr="00BA36C4">
              <w:t>aligned to</w:t>
            </w:r>
            <w:r w:rsidRPr="008B1DDD">
              <w:t xml:space="preserve"> the 1 December 2026 implementation date for the </w:t>
            </w:r>
            <w:r w:rsidRPr="008B1DDD">
              <w:rPr>
                <w:i/>
              </w:rPr>
              <w:t>Workplace exposure limits for airborne contaminants</w:t>
            </w:r>
            <w:r w:rsidRPr="008B1DDD">
              <w:t>.</w:t>
            </w:r>
            <w:r w:rsidR="00731CE8">
              <w:t xml:space="preserve">  </w:t>
            </w:r>
          </w:p>
        </w:tc>
      </w:tr>
    </w:tbl>
    <w:p w14:paraId="7FAD2082" w14:textId="5D22EC6C" w:rsidR="000B51DC" w:rsidRPr="00725AD7" w:rsidRDefault="006421EE" w:rsidP="00725AD7">
      <w:pPr>
        <w:pStyle w:val="SWAHeading1"/>
      </w:pPr>
      <w:bookmarkStart w:id="378" w:name="_Toc194908514"/>
      <w:bookmarkStart w:id="379" w:name="_Toc179376605"/>
      <w:bookmarkStart w:id="380" w:name="_Toc181003132"/>
      <w:bookmarkStart w:id="381" w:name="_Toc193192652"/>
      <w:bookmarkStart w:id="382" w:name="_Toc196204747"/>
      <w:bookmarkEnd w:id="378"/>
      <w:r>
        <w:lastRenderedPageBreak/>
        <w:t xml:space="preserve"> </w:t>
      </w:r>
      <w:bookmarkStart w:id="383" w:name="_Toc219216907"/>
      <w:r w:rsidR="00DC2718">
        <w:t>Detailed impact assessment for h</w:t>
      </w:r>
      <w:r w:rsidR="000B51DC" w:rsidRPr="00725AD7">
        <w:t>ydrogen sul</w:t>
      </w:r>
      <w:r w:rsidR="0096497D" w:rsidRPr="00725AD7">
        <w:t>f</w:t>
      </w:r>
      <w:r w:rsidR="000B51DC" w:rsidRPr="00725AD7">
        <w:t>ide</w:t>
      </w:r>
      <w:bookmarkEnd w:id="379"/>
      <w:bookmarkEnd w:id="380"/>
      <w:bookmarkEnd w:id="381"/>
      <w:bookmarkEnd w:id="382"/>
      <w:bookmarkEnd w:id="383"/>
    </w:p>
    <w:tbl>
      <w:tblPr>
        <w:tblStyle w:val="TableGrid"/>
        <w:tblW w:w="0" w:type="auto"/>
        <w:tblLook w:val="04A0" w:firstRow="1" w:lastRow="0" w:firstColumn="1" w:lastColumn="0" w:noHBand="0" w:noVBand="1"/>
      </w:tblPr>
      <w:tblGrid>
        <w:gridCol w:w="9016"/>
      </w:tblGrid>
      <w:tr w:rsidR="000B51DC" w14:paraId="7B2D626D" w14:textId="77777777" w:rsidTr="002B6782">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FC51343" w14:textId="09FD2BB2" w:rsidR="000B51DC" w:rsidRDefault="000B51DC">
            <w:pPr>
              <w:pStyle w:val="SWAHeading3"/>
              <w:keepNext/>
            </w:pPr>
            <w:bookmarkStart w:id="384" w:name="_Toc193192653"/>
            <w:bookmarkStart w:id="385" w:name="_Toc196204748"/>
            <w:r>
              <w:t>Policy options for hydrogen sul</w:t>
            </w:r>
            <w:r w:rsidR="0096497D">
              <w:t>f</w:t>
            </w:r>
            <w:r>
              <w:t>ide</w:t>
            </w:r>
            <w:bookmarkEnd w:id="384"/>
            <w:bookmarkEnd w:id="385"/>
          </w:p>
          <w:p w14:paraId="3680CAE1" w14:textId="6174323C" w:rsidR="000B51DC" w:rsidRDefault="000B51DC" w:rsidP="38A49B51">
            <w:pPr>
              <w:pStyle w:val="Paragraph"/>
              <w:rPr>
                <w:lang w:eastAsia="en-US"/>
              </w:rPr>
            </w:pPr>
            <w:r w:rsidRPr="38A49B51">
              <w:rPr>
                <w:lang w:eastAsia="en-US"/>
              </w:rPr>
              <w:t>Option 1 is to retain the current TWA</w:t>
            </w:r>
            <w:r w:rsidR="0096497D">
              <w:rPr>
                <w:lang w:eastAsia="en-US"/>
              </w:rPr>
              <w:t xml:space="preserve"> </w:t>
            </w:r>
            <w:r w:rsidRPr="38A49B51">
              <w:rPr>
                <w:lang w:eastAsia="en-US"/>
              </w:rPr>
              <w:t>of 10 ppm (14 mg/m</w:t>
            </w:r>
            <w:r w:rsidRPr="38A49B51">
              <w:rPr>
                <w:vertAlign w:val="superscript"/>
                <w:lang w:eastAsia="en-US"/>
              </w:rPr>
              <w:t>3</w:t>
            </w:r>
            <w:r w:rsidRPr="38A49B51">
              <w:rPr>
                <w:lang w:eastAsia="en-US"/>
              </w:rPr>
              <w:t>) and STEL of 15 ppm (21 mg/m</w:t>
            </w:r>
            <w:r w:rsidRPr="38A49B51">
              <w:rPr>
                <w:vertAlign w:val="superscript"/>
                <w:lang w:eastAsia="en-US"/>
              </w:rPr>
              <w:t>3</w:t>
            </w:r>
            <w:r w:rsidRPr="38A49B51">
              <w:rPr>
                <w:lang w:eastAsia="en-US"/>
              </w:rPr>
              <w:t>).</w:t>
            </w:r>
          </w:p>
          <w:p w14:paraId="05F3F5E7" w14:textId="25A85B8F" w:rsidR="000B51DC" w:rsidRPr="00DA0793" w:rsidRDefault="000B51DC">
            <w:pPr>
              <w:pStyle w:val="Paragraph"/>
              <w:rPr>
                <w:lang w:eastAsia="en-US"/>
              </w:rPr>
            </w:pPr>
            <w:r>
              <w:rPr>
                <w:lang w:eastAsia="en-US"/>
              </w:rPr>
              <w:t>Option 2 is to change to the proposed TWA of 1 ppm (1.4 mg/m</w:t>
            </w:r>
            <w:r w:rsidRPr="00AC463F">
              <w:rPr>
                <w:vertAlign w:val="superscript"/>
                <w:lang w:eastAsia="en-US"/>
              </w:rPr>
              <w:t>3</w:t>
            </w:r>
            <w:r>
              <w:rPr>
                <w:lang w:eastAsia="en-US"/>
              </w:rPr>
              <w:t>) and STEL of 5 ppm (7 mg/m</w:t>
            </w:r>
            <w:r w:rsidRPr="001F05B1">
              <w:rPr>
                <w:vertAlign w:val="superscript"/>
                <w:lang w:eastAsia="en-US"/>
              </w:rPr>
              <w:t>3</w:t>
            </w:r>
            <w:r>
              <w:rPr>
                <w:lang w:eastAsia="en-US"/>
              </w:rPr>
              <w:t>)</w:t>
            </w:r>
            <w:r w:rsidR="00A83236">
              <w:rPr>
                <w:lang w:eastAsia="en-US"/>
              </w:rPr>
              <w:t xml:space="preserve"> – </w:t>
            </w:r>
            <w:r w:rsidR="00A83236" w:rsidRPr="00287596">
              <w:rPr>
                <w:b/>
                <w:lang w:eastAsia="en-US"/>
              </w:rPr>
              <w:t>recommended</w:t>
            </w:r>
            <w:r w:rsidR="00A83236">
              <w:rPr>
                <w:lang w:eastAsia="en-US"/>
              </w:rPr>
              <w:t>.</w:t>
            </w:r>
          </w:p>
        </w:tc>
      </w:tr>
    </w:tbl>
    <w:p w14:paraId="4117DD7D" w14:textId="399D9B41" w:rsidR="00504C87" w:rsidRPr="00874191" w:rsidRDefault="009E70DC" w:rsidP="00287596">
      <w:pPr>
        <w:pStyle w:val="SWAHeading2"/>
        <w:ind w:left="426" w:hanging="426"/>
      </w:pPr>
      <w:bookmarkStart w:id="386" w:name="_Toc196204749"/>
      <w:bookmarkStart w:id="387" w:name="_Toc219216908"/>
      <w:bookmarkStart w:id="388" w:name="_Toc193192654"/>
      <w:r>
        <w:t>Benefits</w:t>
      </w:r>
      <w:r w:rsidR="0096497D">
        <w:t xml:space="preserve"> </w:t>
      </w:r>
      <w:r w:rsidR="00A800E3">
        <w:t>of the proposed WEL for</w:t>
      </w:r>
      <w:r w:rsidR="0096497D">
        <w:t xml:space="preserve"> hydrogen sulfide</w:t>
      </w:r>
      <w:bookmarkEnd w:id="386"/>
      <w:bookmarkEnd w:id="387"/>
    </w:p>
    <w:p w14:paraId="45D9881F" w14:textId="3B935EDB" w:rsidR="00023AD4" w:rsidRDefault="00A800E3" w:rsidP="00023AD4">
      <w:pPr>
        <w:pStyle w:val="SWAHeading3"/>
      </w:pPr>
      <w:bookmarkStart w:id="389" w:name="_Toc196204750"/>
      <w:r>
        <w:t>Health benefits for the proposed WEL</w:t>
      </w:r>
      <w:r w:rsidR="00C85BD6">
        <w:t xml:space="preserve"> for hydrogen sulfide</w:t>
      </w:r>
      <w:bookmarkEnd w:id="389"/>
    </w:p>
    <w:p w14:paraId="3808F1A2" w14:textId="40BB3C74" w:rsidR="00C85BD6" w:rsidRDefault="000E45F9" w:rsidP="00ED3DA3">
      <w:pPr>
        <w:pStyle w:val="Paragraph"/>
        <w:spacing w:after="160" w:line="240" w:lineRule="auto"/>
        <w:rPr>
          <w:rFonts w:asciiTheme="majorHAnsi" w:hAnsiTheme="majorHAnsi" w:cstheme="majorHAnsi"/>
          <w:szCs w:val="22"/>
        </w:rPr>
      </w:pPr>
      <w:r>
        <w:rPr>
          <w:lang w:eastAsia="en-US"/>
        </w:rPr>
        <w:t xml:space="preserve">The proposed </w:t>
      </w:r>
      <w:r w:rsidR="00A83236" w:rsidRPr="00CA6DFC">
        <w:rPr>
          <w:lang w:eastAsia="en-US"/>
        </w:rPr>
        <w:t>TWA of</w:t>
      </w:r>
      <w:r w:rsidR="00A83236">
        <w:rPr>
          <w:lang w:eastAsia="en-US"/>
        </w:rPr>
        <w:t xml:space="preserve"> </w:t>
      </w:r>
      <w:r w:rsidR="00A83236" w:rsidRPr="00874191">
        <w:rPr>
          <w:lang w:eastAsia="en-US"/>
        </w:rPr>
        <w:t>1 ppm (1.4 mg/m</w:t>
      </w:r>
      <w:r w:rsidR="00A83236" w:rsidRPr="00874191">
        <w:rPr>
          <w:vertAlign w:val="superscript"/>
          <w:lang w:eastAsia="en-US"/>
        </w:rPr>
        <w:t>3</w:t>
      </w:r>
      <w:r w:rsidR="00A83236" w:rsidRPr="00874191">
        <w:rPr>
          <w:lang w:eastAsia="en-US"/>
        </w:rPr>
        <w:t>) and STEL of 5 ppm (7 mg/m</w:t>
      </w:r>
      <w:r w:rsidR="00A83236" w:rsidRPr="00874191">
        <w:rPr>
          <w:vertAlign w:val="superscript"/>
          <w:lang w:eastAsia="en-US"/>
        </w:rPr>
        <w:t>3</w:t>
      </w:r>
      <w:r w:rsidR="00A83236" w:rsidRPr="00874191">
        <w:rPr>
          <w:lang w:eastAsia="en-US"/>
        </w:rPr>
        <w:t>)</w:t>
      </w:r>
      <w:r>
        <w:rPr>
          <w:lang w:eastAsia="en-US"/>
        </w:rPr>
        <w:t xml:space="preserve"> for hydrogen sulfide is intended to protect workers and other in the workplace from the risk of developing </w:t>
      </w:r>
      <w:r w:rsidR="00C92019" w:rsidRPr="00205015">
        <w:t>irritation effects and central nervous system impairment</w:t>
      </w:r>
      <w:r w:rsidR="0048193E">
        <w:t xml:space="preserve"> </w:t>
      </w:r>
      <w:r w:rsidR="009D5829">
        <w:t xml:space="preserve">from </w:t>
      </w:r>
      <w:r w:rsidR="00F64117">
        <w:t xml:space="preserve">both acute and chronic </w:t>
      </w:r>
      <w:r w:rsidR="009D5829">
        <w:t>exposures to hydrogen sulfide</w:t>
      </w:r>
      <w:r w:rsidR="005B2376">
        <w:t xml:space="preserve"> </w:t>
      </w:r>
      <w:sdt>
        <w:sdtPr>
          <w:id w:val="-125395788"/>
          <w:citation/>
        </w:sdtPr>
        <w:sdtEndPr/>
        <w:sdtContent>
          <w:r w:rsidR="005B2376">
            <w:fldChar w:fldCharType="begin"/>
          </w:r>
          <w:r w:rsidR="005B2376">
            <w:instrText xml:space="preserve"> CITATION Saf201 \l 3081 </w:instrText>
          </w:r>
          <w:r w:rsidR="005B2376">
            <w:fldChar w:fldCharType="separate"/>
          </w:r>
          <w:r w:rsidR="00490B21">
            <w:rPr>
              <w:noProof/>
            </w:rPr>
            <w:t>(Safe Work Australia, 2020)</w:t>
          </w:r>
          <w:r w:rsidR="005B2376">
            <w:fldChar w:fldCharType="end"/>
          </w:r>
        </w:sdtContent>
      </w:sdt>
      <w:r w:rsidR="00F64117">
        <w:t xml:space="preserve">. </w:t>
      </w:r>
      <w:r w:rsidR="00660D18">
        <w:t xml:space="preserve">It is likely to benefit the estimated </w:t>
      </w:r>
      <w:r w:rsidR="00E30AF3">
        <w:t>14</w:t>
      </w:r>
      <w:r w:rsidR="00B0181B">
        <w:t>2,290</w:t>
      </w:r>
      <w:r w:rsidR="00660D18" w:rsidRPr="00DE5BBF">
        <w:t xml:space="preserve"> workers in Australia who are at risk of exposure to </w:t>
      </w:r>
      <w:r w:rsidR="00660D18">
        <w:t>hydrogen sulfide</w:t>
      </w:r>
      <w:r w:rsidR="00B0181B">
        <w:t xml:space="preserve"> each year</w:t>
      </w:r>
      <w:r w:rsidR="00F07D80">
        <w:t xml:space="preserve">. </w:t>
      </w:r>
      <w:r w:rsidR="00660D18" w:rsidDel="005B2376">
        <w:t xml:space="preserve"> </w:t>
      </w:r>
    </w:p>
    <w:p w14:paraId="01BC1674" w14:textId="1E6F6DC2" w:rsidR="00ED3DA3" w:rsidRDefault="002B1277" w:rsidP="00B54067">
      <w:pPr>
        <w:pStyle w:val="Paragraph"/>
      </w:pPr>
      <w:hyperlink r:id="rId46" w:history="1">
        <w:r w:rsidRPr="00D274D2">
          <w:rPr>
            <w:rStyle w:val="Hyperlink"/>
          </w:rPr>
          <w:t>Health evidence</w:t>
        </w:r>
      </w:hyperlink>
      <w:r>
        <w:t xml:space="preserve"> in the </w:t>
      </w:r>
      <w:r w:rsidR="00D274D2" w:rsidRPr="00DE5418">
        <w:t>evaluation report for hydrogen sulfide</w:t>
      </w:r>
      <w:r w:rsidRPr="009335F8">
        <w:t xml:space="preserve"> </w:t>
      </w:r>
      <w:r>
        <w:t>showed</w:t>
      </w:r>
      <w:r w:rsidR="00F102AD">
        <w:t xml:space="preserve"> </w:t>
      </w:r>
      <w:r w:rsidR="00DD55B7">
        <w:t xml:space="preserve">exposures below the current </w:t>
      </w:r>
      <w:r w:rsidR="0007103B">
        <w:t>TWA and STEL</w:t>
      </w:r>
      <w:r w:rsidR="00F102AD">
        <w:t xml:space="preserve"> </w:t>
      </w:r>
      <w:r w:rsidR="0007103B">
        <w:t>caused</w:t>
      </w:r>
      <w:r w:rsidR="00F102AD">
        <w:t xml:space="preserve"> eye irritation</w:t>
      </w:r>
      <w:r w:rsidR="0007103B">
        <w:t xml:space="preserve">, </w:t>
      </w:r>
      <w:r w:rsidR="00F102AD">
        <w:t xml:space="preserve">effects on the cornea </w:t>
      </w:r>
      <w:r w:rsidR="0007103B">
        <w:t xml:space="preserve">and </w:t>
      </w:r>
      <w:r w:rsidR="008F241F" w:rsidRPr="00C91D1C">
        <w:t>nasal lesions</w:t>
      </w:r>
      <w:r w:rsidR="00270BCC">
        <w:t>.</w:t>
      </w:r>
      <w:r w:rsidR="00D71021">
        <w:t xml:space="preserve"> This means retaining the current </w:t>
      </w:r>
      <w:r w:rsidR="002F6EE5">
        <w:t>WES for hydrogen sulfide</w:t>
      </w:r>
      <w:r w:rsidR="00D71021">
        <w:t xml:space="preserve"> can result in an increased risk of </w:t>
      </w:r>
      <w:r w:rsidR="002F6EE5">
        <w:t xml:space="preserve">workers </w:t>
      </w:r>
      <w:r w:rsidR="00D71021">
        <w:t xml:space="preserve">developing </w:t>
      </w:r>
      <w:r w:rsidR="002F6EE5">
        <w:t>these adverse health effects</w:t>
      </w:r>
      <w:r w:rsidR="00D71021">
        <w:t>.</w:t>
      </w:r>
      <w:r w:rsidR="00270BCC">
        <w:t xml:space="preserve"> </w:t>
      </w:r>
    </w:p>
    <w:p w14:paraId="2DF3363E" w14:textId="4C783B0F" w:rsidR="003C4ECC" w:rsidRDefault="00984837" w:rsidP="00B54067">
      <w:pPr>
        <w:pStyle w:val="Paragraph"/>
      </w:pPr>
      <w:r>
        <w:t>T</w:t>
      </w:r>
      <w:r w:rsidR="0064782B" w:rsidRPr="0064782B">
        <w:t>he proposed</w:t>
      </w:r>
      <w:r w:rsidR="0064782B" w:rsidRPr="0064782B" w:rsidDel="00136F77">
        <w:t xml:space="preserve"> </w:t>
      </w:r>
      <w:r w:rsidR="0064782B" w:rsidRPr="0064782B">
        <w:t>TWA</w:t>
      </w:r>
      <w:r w:rsidR="0064782B" w:rsidRPr="0064782B" w:rsidDel="00F61D0B">
        <w:t xml:space="preserve"> </w:t>
      </w:r>
      <w:r w:rsidR="00DE5418">
        <w:t xml:space="preserve">of </w:t>
      </w:r>
      <w:r w:rsidR="00DE5418" w:rsidRPr="00DE5418">
        <w:t>1 ppm (1.4 mg/m</w:t>
      </w:r>
      <w:r w:rsidR="00DE5418" w:rsidRPr="00DE5418">
        <w:rPr>
          <w:vertAlign w:val="superscript"/>
        </w:rPr>
        <w:t>3</w:t>
      </w:r>
      <w:r w:rsidR="00DE5418" w:rsidRPr="00DE5418">
        <w:t>) and STEL of 5 ppm (7 mg/m</w:t>
      </w:r>
      <w:r w:rsidR="00DE5418" w:rsidRPr="00DE5418">
        <w:rPr>
          <w:vertAlign w:val="superscript"/>
        </w:rPr>
        <w:t>3</w:t>
      </w:r>
      <w:r w:rsidR="00DE5418" w:rsidRPr="00DE5418">
        <w:t>) for hydrogen sulfide</w:t>
      </w:r>
      <w:r w:rsidR="0064782B" w:rsidRPr="0064782B">
        <w:t xml:space="preserve"> </w:t>
      </w:r>
      <w:r>
        <w:t>was determined in accordance with the</w:t>
      </w:r>
      <w:r w:rsidR="0064782B" w:rsidRPr="0064782B">
        <w:t xml:space="preserve"> health-based methodology </w:t>
      </w:r>
      <w:r>
        <w:t xml:space="preserve">agreed </w:t>
      </w:r>
      <w:r w:rsidR="00454398">
        <w:t>by</w:t>
      </w:r>
      <w:r w:rsidR="0064782B" w:rsidRPr="0064782B">
        <w:t xml:space="preserve"> WHS ministers (and which relied on the scientific evidence available at the time of the review</w:t>
      </w:r>
      <w:r w:rsidR="00BF3786">
        <w:t xml:space="preserve"> from trusted international and national sources</w:t>
      </w:r>
      <w:r w:rsidR="0064782B" w:rsidRPr="0064782B">
        <w:t>)</w:t>
      </w:r>
      <w:r w:rsidR="00BF3786">
        <w:t>.</w:t>
      </w:r>
    </w:p>
    <w:p w14:paraId="1C08C432" w14:textId="1BE7C2A6" w:rsidR="00E7486B" w:rsidRPr="006D6899" w:rsidRDefault="00E7486B" w:rsidP="00B54067">
      <w:pPr>
        <w:pStyle w:val="Paragraph"/>
      </w:pPr>
      <w:r w:rsidRPr="006D6899">
        <w:rPr>
          <w:rFonts w:asciiTheme="majorHAnsi" w:hAnsiTheme="majorHAnsi" w:cstheme="majorHAnsi"/>
          <w:szCs w:val="22"/>
        </w:rPr>
        <w:t xml:space="preserve">The </w:t>
      </w:r>
      <w:r w:rsidR="007643F3" w:rsidRPr="006B470E">
        <w:t>evaluation</w:t>
      </w:r>
      <w:r w:rsidRPr="006D6899">
        <w:rPr>
          <w:rFonts w:asciiTheme="majorHAnsi" w:hAnsiTheme="majorHAnsi" w:cstheme="majorHAnsi"/>
          <w:szCs w:val="22"/>
        </w:rPr>
        <w:t xml:space="preserve"> for hydrogen sulfide</w:t>
      </w:r>
      <w:r w:rsidRPr="006D6899">
        <w:rPr>
          <w:rStyle w:val="FootnoteReference"/>
          <w:rFonts w:asciiTheme="majorHAnsi" w:hAnsiTheme="majorHAnsi" w:cstheme="majorHAnsi"/>
          <w:szCs w:val="22"/>
        </w:rPr>
        <w:footnoteReference w:id="183"/>
      </w:r>
      <w:r w:rsidRPr="006D6899">
        <w:rPr>
          <w:rFonts w:asciiTheme="majorHAnsi" w:hAnsiTheme="majorHAnsi" w:cstheme="majorHAnsi"/>
          <w:szCs w:val="22"/>
        </w:rPr>
        <w:t xml:space="preserve"> </w:t>
      </w:r>
      <w:r w:rsidRPr="006D6899">
        <w:t xml:space="preserve">employed a weight of evidence approach, considering information from </w:t>
      </w:r>
      <w:r w:rsidR="003D2886" w:rsidRPr="006D6899">
        <w:t xml:space="preserve">multiple </w:t>
      </w:r>
      <w:r w:rsidRPr="006D6899">
        <w:t xml:space="preserve">agreed primary sources supported by information from agreed secondary sources </w:t>
      </w:r>
      <w:sdt>
        <w:sdtPr>
          <w:id w:val="-447631734"/>
          <w:citation/>
        </w:sdtPr>
        <w:sdtEndPr/>
        <w:sdtContent>
          <w:r w:rsidRPr="006D6899">
            <w:fldChar w:fldCharType="begin"/>
          </w:r>
          <w:r w:rsidRPr="006D6899">
            <w:instrText xml:space="preserve"> CITATION Saf181 \l 3081 </w:instrText>
          </w:r>
          <w:r w:rsidRPr="006D6899">
            <w:fldChar w:fldCharType="separate"/>
          </w:r>
          <w:r w:rsidR="00490B21">
            <w:rPr>
              <w:noProof/>
            </w:rPr>
            <w:t>(Safe Work Australia, 2018)</w:t>
          </w:r>
          <w:r w:rsidRPr="006D6899">
            <w:fldChar w:fldCharType="end"/>
          </w:r>
        </w:sdtContent>
      </w:sdt>
      <w:r w:rsidRPr="006D6899">
        <w:rPr>
          <w:rFonts w:asciiTheme="majorHAnsi" w:hAnsiTheme="majorHAnsi" w:cstheme="majorHAnsi"/>
          <w:szCs w:val="22"/>
        </w:rPr>
        <w:t>.</w:t>
      </w:r>
    </w:p>
    <w:p w14:paraId="673A5D97" w14:textId="3D53CE70" w:rsidR="00ED3DA3" w:rsidRPr="006D6899" w:rsidRDefault="00ED3DA3" w:rsidP="003B44E4">
      <w:pPr>
        <w:pStyle w:val="SWAHeading4"/>
        <w:spacing w:before="240"/>
      </w:pPr>
      <w:r w:rsidRPr="006D6899">
        <w:t>International precedent</w:t>
      </w:r>
    </w:p>
    <w:p w14:paraId="392CB061" w14:textId="4C6886B1" w:rsidR="00426F25" w:rsidRPr="006D6899" w:rsidRDefault="006F45AD" w:rsidP="00B64518">
      <w:pPr>
        <w:pStyle w:val="Paragraph"/>
        <w:rPr>
          <w:rFonts w:asciiTheme="majorHAnsi" w:hAnsiTheme="majorHAnsi" w:cstheme="majorHAnsi"/>
          <w:szCs w:val="22"/>
        </w:rPr>
      </w:pPr>
      <w:r w:rsidRPr="006D6899">
        <w:rPr>
          <w:rFonts w:asciiTheme="majorHAnsi" w:hAnsiTheme="majorHAnsi" w:cstheme="majorHAnsi"/>
          <w:szCs w:val="22"/>
        </w:rPr>
        <w:t>Th</w:t>
      </w:r>
      <w:r w:rsidR="00095BD3" w:rsidRPr="006D6899">
        <w:rPr>
          <w:rFonts w:asciiTheme="majorHAnsi" w:hAnsiTheme="majorHAnsi" w:cstheme="majorHAnsi"/>
          <w:szCs w:val="22"/>
        </w:rPr>
        <w:t>e</w:t>
      </w:r>
      <w:r w:rsidRPr="006D6899">
        <w:rPr>
          <w:rFonts w:asciiTheme="majorHAnsi" w:hAnsiTheme="majorHAnsi" w:cstheme="majorHAnsi"/>
          <w:szCs w:val="22"/>
        </w:rPr>
        <w:t xml:space="preserve"> proposed WEL </w:t>
      </w:r>
      <w:r w:rsidR="002B635E" w:rsidRPr="006D6899">
        <w:rPr>
          <w:rFonts w:asciiTheme="majorHAnsi" w:hAnsiTheme="majorHAnsi" w:cstheme="majorHAnsi"/>
          <w:szCs w:val="22"/>
        </w:rPr>
        <w:t xml:space="preserve">(TWA and STEL) </w:t>
      </w:r>
      <w:r w:rsidRPr="006D6899">
        <w:rPr>
          <w:rFonts w:asciiTheme="majorHAnsi" w:hAnsiTheme="majorHAnsi" w:cstheme="majorHAnsi"/>
          <w:szCs w:val="22"/>
        </w:rPr>
        <w:t xml:space="preserve">for hydrogen </w:t>
      </w:r>
      <w:r w:rsidR="00095BD3" w:rsidRPr="006D6899">
        <w:rPr>
          <w:rFonts w:asciiTheme="majorHAnsi" w:hAnsiTheme="majorHAnsi" w:cstheme="majorHAnsi"/>
          <w:szCs w:val="22"/>
        </w:rPr>
        <w:t>sulfide</w:t>
      </w:r>
      <w:r w:rsidRPr="006D6899">
        <w:rPr>
          <w:rFonts w:asciiTheme="majorHAnsi" w:hAnsiTheme="majorHAnsi" w:cstheme="majorHAnsi"/>
          <w:szCs w:val="22"/>
        </w:rPr>
        <w:t xml:space="preserve"> </w:t>
      </w:r>
      <w:r w:rsidR="00095BD3" w:rsidRPr="006D6899">
        <w:rPr>
          <w:rFonts w:asciiTheme="majorHAnsi" w:hAnsiTheme="majorHAnsi" w:cstheme="majorHAnsi"/>
          <w:szCs w:val="22"/>
        </w:rPr>
        <w:t>i</w:t>
      </w:r>
      <w:r w:rsidRPr="006D6899">
        <w:rPr>
          <w:rFonts w:asciiTheme="majorHAnsi" w:hAnsiTheme="majorHAnsi" w:cstheme="majorHAnsi"/>
          <w:szCs w:val="22"/>
        </w:rPr>
        <w:t xml:space="preserve">s </w:t>
      </w:r>
      <w:r w:rsidR="00426F25" w:rsidRPr="006D6899">
        <w:rPr>
          <w:rFonts w:asciiTheme="majorHAnsi" w:hAnsiTheme="majorHAnsi" w:cstheme="majorHAnsi"/>
          <w:szCs w:val="22"/>
        </w:rPr>
        <w:t xml:space="preserve">consistent with that </w:t>
      </w:r>
      <w:r w:rsidRPr="006D6899">
        <w:rPr>
          <w:rFonts w:asciiTheme="majorHAnsi" w:hAnsiTheme="majorHAnsi" w:cstheme="majorHAnsi"/>
          <w:szCs w:val="22"/>
        </w:rPr>
        <w:t>recommended by the American Conference of Governmental Industrial Hygienists (ACGIH)</w:t>
      </w:r>
      <w:r w:rsidR="00AA72C3" w:rsidRPr="006D6899">
        <w:rPr>
          <w:rFonts w:asciiTheme="majorHAnsi" w:hAnsiTheme="majorHAnsi" w:cstheme="majorHAnsi"/>
          <w:szCs w:val="22"/>
        </w:rPr>
        <w:t xml:space="preserve"> </w:t>
      </w:r>
      <w:sdt>
        <w:sdtPr>
          <w:rPr>
            <w:rFonts w:asciiTheme="majorHAnsi" w:hAnsiTheme="majorHAnsi" w:cstheme="majorHAnsi"/>
            <w:szCs w:val="22"/>
          </w:rPr>
          <w:id w:val="-88165272"/>
          <w:citation/>
        </w:sdtPr>
        <w:sdtEndPr/>
        <w:sdtContent>
          <w:r w:rsidR="00AA72C3" w:rsidRPr="006D6899">
            <w:rPr>
              <w:rFonts w:asciiTheme="majorHAnsi" w:hAnsiTheme="majorHAnsi" w:cstheme="majorHAnsi"/>
              <w:szCs w:val="22"/>
            </w:rPr>
            <w:fldChar w:fldCharType="begin"/>
          </w:r>
          <w:r w:rsidR="00AA72C3" w:rsidRPr="006D6899">
            <w:rPr>
              <w:rFonts w:asciiTheme="majorHAnsi" w:hAnsiTheme="majorHAnsi" w:cstheme="majorHAnsi"/>
              <w:szCs w:val="22"/>
            </w:rPr>
            <w:instrText xml:space="preserve"> CITATION Amend \l 3081 </w:instrText>
          </w:r>
          <w:r w:rsidR="00AA72C3" w:rsidRPr="006D6899">
            <w:rPr>
              <w:rFonts w:asciiTheme="majorHAnsi" w:hAnsiTheme="majorHAnsi" w:cstheme="majorHAnsi"/>
              <w:szCs w:val="22"/>
            </w:rPr>
            <w:fldChar w:fldCharType="separate"/>
          </w:r>
          <w:r w:rsidR="00490B21" w:rsidRPr="00490B21">
            <w:rPr>
              <w:rFonts w:asciiTheme="majorHAnsi" w:hAnsiTheme="majorHAnsi" w:cstheme="majorHAnsi"/>
              <w:noProof/>
              <w:szCs w:val="22"/>
            </w:rPr>
            <w:t>(American Conference of Government Industrial Hygiensts, n.d.)</w:t>
          </w:r>
          <w:r w:rsidR="00AA72C3" w:rsidRPr="006D6899">
            <w:rPr>
              <w:rFonts w:asciiTheme="majorHAnsi" w:hAnsiTheme="majorHAnsi" w:cstheme="majorHAnsi"/>
              <w:szCs w:val="22"/>
            </w:rPr>
            <w:fldChar w:fldCharType="end"/>
          </w:r>
        </w:sdtContent>
      </w:sdt>
      <w:r w:rsidR="00931024" w:rsidRPr="006D6899">
        <w:rPr>
          <w:rFonts w:asciiTheme="majorHAnsi" w:hAnsiTheme="majorHAnsi" w:cstheme="majorHAnsi"/>
          <w:szCs w:val="22"/>
        </w:rPr>
        <w:t xml:space="preserve">. </w:t>
      </w:r>
    </w:p>
    <w:p w14:paraId="6C39F08B" w14:textId="4D0D86AE" w:rsidR="002C7BAB" w:rsidRPr="006D6899" w:rsidRDefault="00BA66A2" w:rsidP="006B470E">
      <w:pPr>
        <w:pStyle w:val="Paragraph"/>
        <w:keepNext w:val="0"/>
        <w:rPr>
          <w:rFonts w:asciiTheme="majorHAnsi" w:hAnsiTheme="majorHAnsi" w:cstheme="majorHAnsi"/>
          <w:szCs w:val="22"/>
        </w:rPr>
      </w:pPr>
      <w:r w:rsidRPr="006D6899">
        <w:rPr>
          <w:rFonts w:asciiTheme="majorHAnsi" w:hAnsiTheme="majorHAnsi" w:cstheme="majorHAnsi"/>
          <w:szCs w:val="22"/>
        </w:rPr>
        <w:t>The ACGIH was</w:t>
      </w:r>
      <w:r w:rsidR="00426F25" w:rsidRPr="006D6899">
        <w:rPr>
          <w:rFonts w:asciiTheme="majorHAnsi" w:hAnsiTheme="majorHAnsi" w:cstheme="majorHAnsi"/>
          <w:szCs w:val="22"/>
        </w:rPr>
        <w:t xml:space="preserve"> selected as</w:t>
      </w:r>
      <w:r w:rsidRPr="006D6899">
        <w:rPr>
          <w:rFonts w:asciiTheme="majorHAnsi" w:hAnsiTheme="majorHAnsi" w:cstheme="majorHAnsi"/>
          <w:szCs w:val="22"/>
        </w:rPr>
        <w:t xml:space="preserve"> </w:t>
      </w:r>
      <w:r w:rsidR="00426F25" w:rsidRPr="006D6899">
        <w:rPr>
          <w:rFonts w:asciiTheme="majorHAnsi" w:hAnsiTheme="majorHAnsi" w:cstheme="majorHAnsi"/>
          <w:szCs w:val="22"/>
        </w:rPr>
        <w:t>a</w:t>
      </w:r>
      <w:r w:rsidRPr="006D6899">
        <w:rPr>
          <w:rFonts w:asciiTheme="majorHAnsi" w:hAnsiTheme="majorHAnsi" w:cstheme="majorHAnsi"/>
          <w:szCs w:val="22"/>
        </w:rPr>
        <w:t xml:space="preserve"> primary source </w:t>
      </w:r>
      <w:r w:rsidR="00426F25" w:rsidRPr="006D6899">
        <w:rPr>
          <w:rFonts w:cs="Arial"/>
        </w:rPr>
        <w:t xml:space="preserve">as they have international credibility, develop standards through consensus that are health-based and based on evaluation of appropriate data, and their documentation of evaluations is accessible and robust </w:t>
      </w:r>
      <w:sdt>
        <w:sdtPr>
          <w:rPr>
            <w:rFonts w:asciiTheme="majorHAnsi" w:hAnsiTheme="majorHAnsi" w:cstheme="majorHAnsi"/>
            <w:szCs w:val="22"/>
          </w:rPr>
          <w:id w:val="-454481063"/>
          <w:citation/>
        </w:sdtPr>
        <w:sdtEndPr/>
        <w:sdtContent>
          <w:r w:rsidRPr="006D6899">
            <w:rPr>
              <w:rFonts w:asciiTheme="majorHAnsi" w:hAnsiTheme="majorHAnsi" w:cstheme="majorHAnsi"/>
              <w:szCs w:val="22"/>
            </w:rPr>
            <w:fldChar w:fldCharType="begin"/>
          </w:r>
          <w:r w:rsidRPr="006D6899">
            <w:rPr>
              <w:rFonts w:asciiTheme="majorHAnsi" w:hAnsiTheme="majorHAnsi" w:cstheme="majorHAnsi"/>
              <w:szCs w:val="22"/>
            </w:rPr>
            <w:instrText xml:space="preserve"> CITATION Saf181 \l 3081 </w:instrText>
          </w:r>
          <w:r w:rsidRPr="006D6899">
            <w:rPr>
              <w:rFonts w:asciiTheme="majorHAnsi" w:hAnsiTheme="majorHAnsi" w:cstheme="majorHAnsi"/>
              <w:szCs w:val="22"/>
            </w:rPr>
            <w:fldChar w:fldCharType="separate"/>
          </w:r>
          <w:r w:rsidR="00490B21" w:rsidRPr="00490B21">
            <w:rPr>
              <w:rFonts w:asciiTheme="majorHAnsi" w:hAnsiTheme="majorHAnsi" w:cstheme="majorHAnsi"/>
              <w:noProof/>
              <w:szCs w:val="22"/>
            </w:rPr>
            <w:t>(Safe Work Australia, 2018)</w:t>
          </w:r>
          <w:r w:rsidRPr="006D6899">
            <w:rPr>
              <w:rFonts w:asciiTheme="majorHAnsi" w:hAnsiTheme="majorHAnsi" w:cstheme="majorHAnsi"/>
              <w:szCs w:val="22"/>
            </w:rPr>
            <w:fldChar w:fldCharType="end"/>
          </w:r>
        </w:sdtContent>
      </w:sdt>
      <w:r w:rsidRPr="006D6899">
        <w:rPr>
          <w:rFonts w:cs="Arial"/>
        </w:rPr>
        <w:t>.</w:t>
      </w:r>
    </w:p>
    <w:p w14:paraId="1B51A600" w14:textId="52BFBE36" w:rsidR="0032008E" w:rsidRDefault="00B64518" w:rsidP="006B470E">
      <w:pPr>
        <w:pStyle w:val="Paragraph"/>
        <w:keepNext w:val="0"/>
        <w:rPr>
          <w:rFonts w:cs="Arial"/>
        </w:rPr>
      </w:pPr>
      <w:r w:rsidRPr="006D6899">
        <w:rPr>
          <w:rFonts w:cs="Arial"/>
        </w:rPr>
        <w:t xml:space="preserve">ACGIH’s recommendations are intended for occupational hygienists to assist in the control of health hazards and </w:t>
      </w:r>
      <w:r w:rsidR="0047473C" w:rsidRPr="006D6899">
        <w:rPr>
          <w:rFonts w:cs="Arial"/>
        </w:rPr>
        <w:t xml:space="preserve">are </w:t>
      </w:r>
      <w:r w:rsidRPr="006D6899">
        <w:rPr>
          <w:rFonts w:cs="Arial"/>
        </w:rPr>
        <w:t xml:space="preserve">not </w:t>
      </w:r>
      <w:r w:rsidR="0047473C" w:rsidRPr="006D6899">
        <w:rPr>
          <w:rFonts w:cs="Arial"/>
        </w:rPr>
        <w:t xml:space="preserve">set </w:t>
      </w:r>
      <w:r w:rsidRPr="006D6899">
        <w:rPr>
          <w:rFonts w:cs="Arial"/>
        </w:rPr>
        <w:t xml:space="preserve">as legal exposure limits </w:t>
      </w:r>
      <w:sdt>
        <w:sdtPr>
          <w:rPr>
            <w:rFonts w:cs="Arial"/>
          </w:rPr>
          <w:id w:val="1212074115"/>
          <w:citation/>
        </w:sdtPr>
        <w:sdtEndPr/>
        <w:sdtContent>
          <w:r w:rsidRPr="006D6899">
            <w:rPr>
              <w:rFonts w:cs="Arial"/>
            </w:rPr>
            <w:fldChar w:fldCharType="begin"/>
          </w:r>
          <w:r w:rsidRPr="006D6899">
            <w:rPr>
              <w:rFonts w:cs="Arial"/>
            </w:rPr>
            <w:instrText xml:space="preserve">CITATION Ame88 \l 3081 </w:instrText>
          </w:r>
          <w:r w:rsidRPr="006D6899">
            <w:rPr>
              <w:rFonts w:cs="Arial"/>
            </w:rPr>
            <w:fldChar w:fldCharType="separate"/>
          </w:r>
          <w:r w:rsidR="00490B21" w:rsidRPr="00490B21">
            <w:rPr>
              <w:rFonts w:cs="Arial"/>
              <w:noProof/>
            </w:rPr>
            <w:t>(ACGIH, 1988)</w:t>
          </w:r>
          <w:r w:rsidRPr="006D6899">
            <w:rPr>
              <w:rFonts w:cs="Arial"/>
            </w:rPr>
            <w:fldChar w:fldCharType="end"/>
          </w:r>
        </w:sdtContent>
      </w:sdt>
    </w:p>
    <w:p w14:paraId="5BFA750D" w14:textId="5D6A5163" w:rsidR="00E23485" w:rsidRDefault="00422383" w:rsidP="00E85BA8">
      <w:pPr>
        <w:pStyle w:val="Paragraph"/>
        <w:spacing w:after="160" w:line="240" w:lineRule="auto"/>
      </w:pPr>
      <w:r>
        <w:rPr>
          <w:rFonts w:cs="Arial"/>
        </w:rPr>
        <w:lastRenderedPageBreak/>
        <w:t xml:space="preserve">To date, </w:t>
      </w:r>
      <w:r>
        <w:t>n</w:t>
      </w:r>
      <w:r w:rsidR="00660D18">
        <w:t>o jurisdiction ha</w:t>
      </w:r>
      <w:r>
        <w:t>s</w:t>
      </w:r>
      <w:r w:rsidR="00660D18">
        <w:t xml:space="preserve"> </w:t>
      </w:r>
      <w:r>
        <w:t>legislated</w:t>
      </w:r>
      <w:r w:rsidR="00660D18">
        <w:t xml:space="preserve"> the proposed WEL</w:t>
      </w:r>
      <w:r w:rsidR="00753207">
        <w:t xml:space="preserve"> in full</w:t>
      </w:r>
      <w:r w:rsidR="00660D18">
        <w:t>. However,</w:t>
      </w:r>
      <w:r w:rsidR="00316A6A">
        <w:t xml:space="preserve"> Austria has </w:t>
      </w:r>
      <w:r w:rsidR="00EC5881">
        <w:t xml:space="preserve">legislated </w:t>
      </w:r>
      <w:r w:rsidR="00316A6A">
        <w:t xml:space="preserve">the same </w:t>
      </w:r>
      <w:r w:rsidR="00EC5881">
        <w:t xml:space="preserve">proposed </w:t>
      </w:r>
      <w:r w:rsidR="00316A6A">
        <w:t>STEL and</w:t>
      </w:r>
      <w:r w:rsidR="00660D18">
        <w:t xml:space="preserve"> </w:t>
      </w:r>
      <w:r w:rsidR="007F3377">
        <w:t xml:space="preserve">Belgium has </w:t>
      </w:r>
      <w:r w:rsidR="002B5E0C">
        <w:t xml:space="preserve">legislated </w:t>
      </w:r>
      <w:r w:rsidR="007F3377">
        <w:t xml:space="preserve">a </w:t>
      </w:r>
      <w:r w:rsidR="00367B57">
        <w:t xml:space="preserve">lower </w:t>
      </w:r>
      <w:r w:rsidR="007F3377">
        <w:t>STEL</w:t>
      </w:r>
      <w:r w:rsidR="00660D18">
        <w:t xml:space="preserve"> </w:t>
      </w:r>
      <w:r w:rsidR="00367B57">
        <w:t>(4 ppm or 5.61 mg/m</w:t>
      </w:r>
      <w:r w:rsidR="00367B57" w:rsidRPr="002B6782">
        <w:rPr>
          <w:vertAlign w:val="superscript"/>
        </w:rPr>
        <w:t>3</w:t>
      </w:r>
      <w:r w:rsidR="00367B57">
        <w:t>)</w:t>
      </w:r>
      <w:r w:rsidR="007F3377">
        <w:t xml:space="preserve"> </w:t>
      </w:r>
      <w:r w:rsidR="00660D18">
        <w:t xml:space="preserve">than what is </w:t>
      </w:r>
      <w:r w:rsidR="00367B57">
        <w:t>proposed</w:t>
      </w:r>
      <w:r w:rsidR="00660D18">
        <w:t xml:space="preserve"> in this Decision RIS</w:t>
      </w:r>
      <w:r w:rsidR="0027042E">
        <w:t xml:space="preserve"> </w:t>
      </w:r>
      <w:sdt>
        <w:sdtPr>
          <w:id w:val="-2043272918"/>
          <w:citation/>
        </w:sdtPr>
        <w:sdtEndPr/>
        <w:sdtContent>
          <w:r w:rsidR="0027042E">
            <w:fldChar w:fldCharType="begin"/>
          </w:r>
          <w:r w:rsidR="0027042E">
            <w:instrText xml:space="preserve"> CITATION Fornd \l 3081 </w:instrText>
          </w:r>
          <w:r w:rsidR="0027042E">
            <w:fldChar w:fldCharType="separate"/>
          </w:r>
          <w:r w:rsidR="00490B21">
            <w:rPr>
              <w:noProof/>
            </w:rPr>
            <w:t>(Institute for Occupational Safety and Health of the German Social Accident Insurance, n.d.)</w:t>
          </w:r>
          <w:r w:rsidR="0027042E">
            <w:fldChar w:fldCharType="end"/>
          </w:r>
        </w:sdtContent>
      </w:sdt>
      <w:r w:rsidR="007F3377">
        <w:t xml:space="preserve">. </w:t>
      </w:r>
      <w:r w:rsidR="00660D18">
        <w:t xml:space="preserve">Similarly, </w:t>
      </w:r>
      <w:r w:rsidR="00763EDB">
        <w:t xml:space="preserve">Japan’s Ministry of Health, Labour and Welfare have also </w:t>
      </w:r>
      <w:r w:rsidR="00A02DAB">
        <w:t xml:space="preserve">legislated </w:t>
      </w:r>
      <w:r w:rsidR="006E3A1A">
        <w:t xml:space="preserve">the same </w:t>
      </w:r>
      <w:r w:rsidR="00FA0906">
        <w:t>TWA of 1 ppm (1.4 mg/m</w:t>
      </w:r>
      <w:r w:rsidR="00FA0906" w:rsidRPr="002B6782">
        <w:rPr>
          <w:vertAlign w:val="superscript"/>
        </w:rPr>
        <w:t>3</w:t>
      </w:r>
      <w:r w:rsidR="00FA0906">
        <w:t>)</w:t>
      </w:r>
      <w:r w:rsidR="00660D18">
        <w:t xml:space="preserve"> </w:t>
      </w:r>
      <w:r w:rsidR="006E3A1A">
        <w:t>that</w:t>
      </w:r>
      <w:r w:rsidR="00660D18">
        <w:t xml:space="preserve"> is recommended in this Decision RIS</w:t>
      </w:r>
      <w:r w:rsidR="00307C81">
        <w:t xml:space="preserve"> </w:t>
      </w:r>
      <w:sdt>
        <w:sdtPr>
          <w:id w:val="-1264456353"/>
          <w:citation/>
        </w:sdtPr>
        <w:sdtEndPr/>
        <w:sdtContent>
          <w:r w:rsidR="00307C81">
            <w:fldChar w:fldCharType="begin"/>
          </w:r>
          <w:r w:rsidR="00307C81">
            <w:instrText xml:space="preserve"> CITATION Fornd \l 3081 </w:instrText>
          </w:r>
          <w:r w:rsidR="00307C81">
            <w:fldChar w:fldCharType="separate"/>
          </w:r>
          <w:r w:rsidR="00490B21">
            <w:rPr>
              <w:noProof/>
            </w:rPr>
            <w:t>(Institute for Occupational Safety and Health of the German Social Accident Insurance, n.d.)</w:t>
          </w:r>
          <w:r w:rsidR="00307C81">
            <w:fldChar w:fldCharType="end"/>
          </w:r>
        </w:sdtContent>
      </w:sdt>
      <w:r w:rsidR="00FA0906">
        <w:t>.</w:t>
      </w:r>
    </w:p>
    <w:p w14:paraId="27966F45" w14:textId="0BCD771D" w:rsidR="00DE1C73" w:rsidDel="008641BF" w:rsidRDefault="00111FE4" w:rsidP="00674313">
      <w:pPr>
        <w:pStyle w:val="SWAHeading4"/>
        <w:keepNext/>
        <w:spacing w:before="240"/>
      </w:pPr>
      <w:r>
        <w:t>Quantifi</w:t>
      </w:r>
      <w:r w:rsidR="00272DFD">
        <w:t>able</w:t>
      </w:r>
      <w:r>
        <w:t xml:space="preserve"> health benefits</w:t>
      </w:r>
      <w:r w:rsidR="00201C07">
        <w:t xml:space="preserve"> </w:t>
      </w:r>
      <w:r w:rsidR="00201C07" w:rsidRPr="00201C07">
        <w:t xml:space="preserve">for the proposed WEL for hydrogen </w:t>
      </w:r>
      <w:r w:rsidR="00201C07">
        <w:t>sulfide</w:t>
      </w:r>
    </w:p>
    <w:p w14:paraId="583E0224" w14:textId="3550F9FB" w:rsidR="0005761D" w:rsidRDefault="00272DFD" w:rsidP="00C754F5">
      <w:pPr>
        <w:contextualSpacing w:val="0"/>
      </w:pPr>
      <w:r>
        <w:t>H</w:t>
      </w:r>
      <w:r w:rsidR="0038353A" w:rsidRPr="0038353A">
        <w:t xml:space="preserve">ealth benefits were not </w:t>
      </w:r>
      <w:r>
        <w:t>able to be quantified</w:t>
      </w:r>
      <w:r w:rsidRPr="0038353A">
        <w:t xml:space="preserve"> </w:t>
      </w:r>
      <w:r w:rsidR="0038353A" w:rsidRPr="0038353A">
        <w:t xml:space="preserve">for </w:t>
      </w:r>
      <w:r w:rsidR="009628CC">
        <w:t>hydrogen sulfide</w:t>
      </w:r>
      <w:r w:rsidR="0038353A" w:rsidRPr="0038353A">
        <w:t xml:space="preserve">. </w:t>
      </w:r>
      <w:r w:rsidR="00EE5849" w:rsidRPr="00EE5849">
        <w:t xml:space="preserve">This is because no estimates of the current burden of disease attributable to workplace exposure to </w:t>
      </w:r>
      <w:r w:rsidR="00EE5849">
        <w:t xml:space="preserve">hydrogen sulfide </w:t>
      </w:r>
      <w:r w:rsidR="00EE5849" w:rsidRPr="00EE5849">
        <w:t>were able to be identified through research or stakeholder engagement</w:t>
      </w:r>
      <w:r w:rsidR="0005761D">
        <w:t xml:space="preserve">. </w:t>
      </w:r>
    </w:p>
    <w:p w14:paraId="617F4DE4" w14:textId="3C93C190" w:rsidR="0038353A" w:rsidRDefault="0038353A" w:rsidP="00C754F5">
      <w:pPr>
        <w:contextualSpacing w:val="0"/>
      </w:pPr>
      <w:r w:rsidRPr="0038353A">
        <w:t xml:space="preserve">However, a lack of data does not mean that the introduction of the proposed WEL will not result in health benefits for workers. As the health evidence has shown, the proposed WEL </w:t>
      </w:r>
      <w:r w:rsidR="00CA7F03">
        <w:t>for hydrogen sulfide</w:t>
      </w:r>
      <w:r w:rsidRPr="0038353A">
        <w:t xml:space="preserve"> is set at a level that is considered protective of </w:t>
      </w:r>
      <w:r w:rsidR="00F9572A">
        <w:t xml:space="preserve">irritation effects and </w:t>
      </w:r>
      <w:r w:rsidR="00B8624F" w:rsidRPr="00205015">
        <w:t xml:space="preserve">central nervous system </w:t>
      </w:r>
      <w:r w:rsidR="00F9572A">
        <w:t>impairment</w:t>
      </w:r>
      <w:r w:rsidR="00AD28C1">
        <w:t xml:space="preserve"> </w:t>
      </w:r>
      <w:sdt>
        <w:sdtPr>
          <w:id w:val="657579375"/>
          <w:citation/>
        </w:sdtPr>
        <w:sdtEndPr/>
        <w:sdtContent>
          <w:r w:rsidR="00AD28C1">
            <w:fldChar w:fldCharType="begin"/>
          </w:r>
          <w:r w:rsidR="00AD28C1">
            <w:instrText xml:space="preserve"> CITATION Saf201 \l 3081 </w:instrText>
          </w:r>
          <w:r w:rsidR="00AD28C1">
            <w:fldChar w:fldCharType="separate"/>
          </w:r>
          <w:r w:rsidR="00490B21">
            <w:rPr>
              <w:noProof/>
            </w:rPr>
            <w:t>(Safe Work Australia, 2020)</w:t>
          </w:r>
          <w:r w:rsidR="00AD28C1">
            <w:fldChar w:fldCharType="end"/>
          </w:r>
        </w:sdtContent>
      </w:sdt>
      <w:r w:rsidRPr="0038353A">
        <w:t xml:space="preserve">. </w:t>
      </w:r>
    </w:p>
    <w:p w14:paraId="3F866F3B" w14:textId="2F00E410" w:rsidR="00640B7E" w:rsidRDefault="0001362E" w:rsidP="00764B5E">
      <w:pPr>
        <w:pStyle w:val="SWAHeading4"/>
        <w:spacing w:before="240"/>
      </w:pPr>
      <w:r>
        <w:t>A</w:t>
      </w:r>
      <w:r w:rsidR="00E73CDA">
        <w:t>dverse health effects associated with hydrogen sulfide</w:t>
      </w:r>
    </w:p>
    <w:p w14:paraId="22B01952" w14:textId="77777777" w:rsidR="0004037C" w:rsidRDefault="00DB7D84" w:rsidP="00C754F5">
      <w:pPr>
        <w:contextualSpacing w:val="0"/>
      </w:pPr>
      <w:r>
        <w:t>Other</w:t>
      </w:r>
      <w:r w:rsidR="00640B7E" w:rsidRPr="00640B7E">
        <w:t xml:space="preserve"> adverse health </w:t>
      </w:r>
      <w:r>
        <w:t xml:space="preserve">effects </w:t>
      </w:r>
      <w:r w:rsidR="0001362E">
        <w:t>that the</w:t>
      </w:r>
      <w:r>
        <w:t xml:space="preserve"> </w:t>
      </w:r>
      <w:r w:rsidR="0064589C">
        <w:t xml:space="preserve">proposed WEL for </w:t>
      </w:r>
      <w:r>
        <w:t>hydrogen sulfide</w:t>
      </w:r>
      <w:r w:rsidR="00476973">
        <w:t xml:space="preserve"> can </w:t>
      </w:r>
      <w:r w:rsidR="007C5FC4">
        <w:t>protect workers from</w:t>
      </w:r>
      <w:r w:rsidR="00476973">
        <w:t xml:space="preserve"> include</w:t>
      </w:r>
      <w:r w:rsidR="0004037C">
        <w:t>:</w:t>
      </w:r>
    </w:p>
    <w:p w14:paraId="6AAD9732" w14:textId="10A2CF4A" w:rsidR="0004037C" w:rsidRDefault="00476973" w:rsidP="00A2768E">
      <w:pPr>
        <w:pStyle w:val="ListParagraph"/>
        <w:numPr>
          <w:ilvl w:val="0"/>
          <w:numId w:val="82"/>
        </w:numPr>
        <w:contextualSpacing w:val="0"/>
      </w:pPr>
      <w:r>
        <w:t>l</w:t>
      </w:r>
      <w:r w:rsidR="0001529A">
        <w:t>ung function impairment</w:t>
      </w:r>
      <w:r w:rsidR="00DB7D84">
        <w:t xml:space="preserve">, </w:t>
      </w:r>
      <w:r w:rsidR="00042E54">
        <w:t>olfactory fatigu</w:t>
      </w:r>
      <w:r w:rsidR="005B3745">
        <w:t xml:space="preserve">e and </w:t>
      </w:r>
      <w:r w:rsidR="007C2A97" w:rsidRPr="007C2A97">
        <w:t>persistent neurological and neuropsychological abnormalities</w:t>
      </w:r>
      <w:r w:rsidR="00881CA7">
        <w:t xml:space="preserve"> </w:t>
      </w:r>
      <w:sdt>
        <w:sdtPr>
          <w:id w:val="-526408423"/>
          <w:citation/>
        </w:sdtPr>
        <w:sdtEndPr/>
        <w:sdtContent>
          <w:r w:rsidR="00881CA7">
            <w:fldChar w:fldCharType="begin"/>
          </w:r>
          <w:r w:rsidR="00881CA7">
            <w:instrText xml:space="preserve"> CITATION Dir07 \l 3081 </w:instrText>
          </w:r>
          <w:r w:rsidR="00346FF5">
            <w:instrText xml:space="preserve"> \m Hea06</w:instrText>
          </w:r>
          <w:r w:rsidR="00881CA7">
            <w:fldChar w:fldCharType="separate"/>
          </w:r>
          <w:r w:rsidR="00490B21">
            <w:rPr>
              <w:noProof/>
            </w:rPr>
            <w:t>(Directorate-General for Employment, Social Affairs and Inclusion, 2007; Health Council of The Netherlands, 2006)</w:t>
          </w:r>
          <w:r w:rsidR="00881CA7">
            <w:fldChar w:fldCharType="end"/>
          </w:r>
        </w:sdtContent>
      </w:sdt>
      <w:r w:rsidR="005B3745">
        <w:t xml:space="preserve">. </w:t>
      </w:r>
    </w:p>
    <w:p w14:paraId="7678F7EC" w14:textId="0D71D1BF" w:rsidR="00640B7E" w:rsidRDefault="0084649F" w:rsidP="00A2768E">
      <w:pPr>
        <w:pStyle w:val="ListParagraph"/>
        <w:numPr>
          <w:ilvl w:val="0"/>
          <w:numId w:val="82"/>
        </w:numPr>
        <w:contextualSpacing w:val="0"/>
      </w:pPr>
      <w:r>
        <w:t>hazy sight and photophobia</w:t>
      </w:r>
      <w:r w:rsidR="00640B7E">
        <w:t xml:space="preserve"> </w:t>
      </w:r>
      <w:r w:rsidR="006B470E">
        <w:t xml:space="preserve">with prolonged exposure to hydrogen sulfide </w:t>
      </w:r>
      <w:sdt>
        <w:sdtPr>
          <w:id w:val="361717142"/>
          <w:citation/>
        </w:sdtPr>
        <w:sdtEndPr/>
        <w:sdtContent>
          <w:r w:rsidR="00640B7E">
            <w:fldChar w:fldCharType="begin"/>
          </w:r>
          <w:r w:rsidR="00640B7E">
            <w:instrText xml:space="preserve"> CITATION Dir07 \l 3081 </w:instrText>
          </w:r>
          <w:r w:rsidR="00640B7E">
            <w:fldChar w:fldCharType="separate"/>
          </w:r>
          <w:r w:rsidR="00490B21">
            <w:rPr>
              <w:noProof/>
            </w:rPr>
            <w:t>(Directorate-General for Employment, Social Affairs and Inclusion, 2007)</w:t>
          </w:r>
          <w:r w:rsidR="00640B7E">
            <w:fldChar w:fldCharType="end"/>
          </w:r>
        </w:sdtContent>
      </w:sdt>
      <w:r>
        <w:t>.</w:t>
      </w:r>
      <w:r w:rsidR="00640B7E">
        <w:t xml:space="preserve"> </w:t>
      </w:r>
    </w:p>
    <w:p w14:paraId="7EF7DA03" w14:textId="69FF860E" w:rsidR="00C85BD6" w:rsidRDefault="00A800E3" w:rsidP="00C85BD6">
      <w:pPr>
        <w:pStyle w:val="SWAHeading3"/>
      </w:pPr>
      <w:bookmarkStart w:id="390" w:name="_Toc196204751"/>
      <w:r w:rsidRPr="002B027B">
        <w:t>Financial benefits</w:t>
      </w:r>
      <w:r>
        <w:t xml:space="preserve"> </w:t>
      </w:r>
      <w:r w:rsidR="000E1BBA">
        <w:t>for the</w:t>
      </w:r>
      <w:r w:rsidR="00C85BD6">
        <w:t xml:space="preserve"> proposed WEL for hydrogen sulfide</w:t>
      </w:r>
      <w:bookmarkEnd w:id="390"/>
    </w:p>
    <w:p w14:paraId="3ADCD017" w14:textId="7E92D7DD" w:rsidR="000B2620" w:rsidRPr="00EE7C13" w:rsidRDefault="000B2620" w:rsidP="00764B5E">
      <w:pPr>
        <w:pStyle w:val="SWAHeading4"/>
      </w:pPr>
      <w:r>
        <w:t>Quantifi</w:t>
      </w:r>
      <w:r w:rsidR="00272DFD">
        <w:t>able</w:t>
      </w:r>
      <w:r>
        <w:t xml:space="preserve"> financial benefits </w:t>
      </w:r>
      <w:r w:rsidR="00EE7C13">
        <w:t>of the proposed WEL for hydrogen sulfide</w:t>
      </w:r>
    </w:p>
    <w:p w14:paraId="05FE30F4" w14:textId="4B14DD7F" w:rsidR="004D577D" w:rsidRDefault="004D577D" w:rsidP="004D577D">
      <w:pPr>
        <w:pStyle w:val="NoSpacing"/>
        <w:spacing w:after="120"/>
        <w:rPr>
          <w:sz w:val="22"/>
          <w:szCs w:val="28"/>
        </w:rPr>
      </w:pPr>
      <w:r w:rsidRPr="00950F93">
        <w:rPr>
          <w:sz w:val="22"/>
          <w:szCs w:val="28"/>
        </w:rPr>
        <w:t xml:space="preserve">In addition to the health benefits, </w:t>
      </w:r>
      <w:r>
        <w:rPr>
          <w:sz w:val="22"/>
          <w:szCs w:val="28"/>
        </w:rPr>
        <w:t xml:space="preserve">the proposed WEL for </w:t>
      </w:r>
      <w:r w:rsidR="00AE3446">
        <w:rPr>
          <w:sz w:val="22"/>
          <w:szCs w:val="28"/>
        </w:rPr>
        <w:t xml:space="preserve">hydrogen sulfide </w:t>
      </w:r>
      <w:r>
        <w:rPr>
          <w:sz w:val="22"/>
          <w:szCs w:val="28"/>
        </w:rPr>
        <w:t xml:space="preserve">is also expected to </w:t>
      </w:r>
      <w:r w:rsidR="00AE3446">
        <w:rPr>
          <w:sz w:val="22"/>
          <w:szCs w:val="28"/>
        </w:rPr>
        <w:t>deliver</w:t>
      </w:r>
      <w:r>
        <w:rPr>
          <w:sz w:val="22"/>
          <w:szCs w:val="28"/>
        </w:rPr>
        <w:t xml:space="preserve"> direct and indirect financial benefits for businesses</w:t>
      </w:r>
      <w:r w:rsidR="002B79F6">
        <w:rPr>
          <w:sz w:val="22"/>
          <w:szCs w:val="28"/>
        </w:rPr>
        <w:t xml:space="preserve">, as </w:t>
      </w:r>
      <w:r w:rsidR="006666AF">
        <w:rPr>
          <w:sz w:val="22"/>
          <w:szCs w:val="28"/>
        </w:rPr>
        <w:t>outlined at</w:t>
      </w:r>
      <w:r w:rsidR="00392EF4">
        <w:rPr>
          <w:sz w:val="22"/>
          <w:szCs w:val="28"/>
        </w:rPr>
        <w:t xml:space="preserve"> </w:t>
      </w:r>
      <w:r w:rsidR="003443BC" w:rsidRPr="0094473F">
        <w:rPr>
          <w:sz w:val="22"/>
          <w:szCs w:val="22"/>
        </w:rPr>
        <w:fldChar w:fldCharType="begin"/>
      </w:r>
      <w:r w:rsidR="003443BC" w:rsidRPr="0094473F">
        <w:rPr>
          <w:sz w:val="22"/>
          <w:szCs w:val="22"/>
        </w:rPr>
        <w:instrText xml:space="preserve"> REF _Ref199921398 \h </w:instrText>
      </w:r>
      <w:r w:rsidR="0094473F">
        <w:rPr>
          <w:sz w:val="22"/>
          <w:szCs w:val="22"/>
        </w:rPr>
        <w:instrText xml:space="preserve"> \* MERGEFORMAT </w:instrText>
      </w:r>
      <w:r w:rsidR="003443BC" w:rsidRPr="0094473F">
        <w:rPr>
          <w:sz w:val="22"/>
          <w:szCs w:val="22"/>
        </w:rPr>
      </w:r>
      <w:r w:rsidR="003443BC" w:rsidRPr="0094473F">
        <w:rPr>
          <w:sz w:val="22"/>
          <w:szCs w:val="22"/>
        </w:rPr>
        <w:fldChar w:fldCharType="separate"/>
      </w:r>
      <w:r w:rsidR="00A002F4" w:rsidRPr="00A002F4">
        <w:rPr>
          <w:sz w:val="22"/>
          <w:szCs w:val="22"/>
        </w:rPr>
        <w:t xml:space="preserve">Table </w:t>
      </w:r>
      <w:r w:rsidR="00A002F4" w:rsidRPr="00A002F4">
        <w:rPr>
          <w:noProof/>
          <w:sz w:val="22"/>
          <w:szCs w:val="22"/>
        </w:rPr>
        <w:t>27</w:t>
      </w:r>
      <w:r w:rsidR="003443BC" w:rsidRPr="0094473F">
        <w:rPr>
          <w:sz w:val="22"/>
          <w:szCs w:val="22"/>
        </w:rPr>
        <w:fldChar w:fldCharType="end"/>
      </w:r>
      <w:r w:rsidR="006666AF">
        <w:rPr>
          <w:sz w:val="22"/>
          <w:szCs w:val="28"/>
        </w:rPr>
        <w:t>.</w:t>
      </w:r>
      <w:r>
        <w:rPr>
          <w:sz w:val="22"/>
          <w:szCs w:val="28"/>
        </w:rPr>
        <w:t xml:space="preserve"> </w:t>
      </w:r>
      <w:r w:rsidRPr="002B624B">
        <w:rPr>
          <w:sz w:val="22"/>
          <w:szCs w:val="28"/>
        </w:rPr>
        <w:t xml:space="preserve">These were estimated to </w:t>
      </w:r>
      <w:r w:rsidRPr="004B60A1">
        <w:rPr>
          <w:sz w:val="22"/>
          <w:szCs w:val="28"/>
        </w:rPr>
        <w:t>$</w:t>
      </w:r>
      <w:r w:rsidR="00CF132A" w:rsidRPr="004B60A1">
        <w:rPr>
          <w:sz w:val="22"/>
          <w:szCs w:val="28"/>
        </w:rPr>
        <w:t>6.7</w:t>
      </w:r>
      <w:r w:rsidRPr="004B60A1">
        <w:rPr>
          <w:sz w:val="22"/>
          <w:szCs w:val="28"/>
        </w:rPr>
        <w:t xml:space="preserve"> million</w:t>
      </w:r>
      <w:r w:rsidRPr="002B624B">
        <w:rPr>
          <w:sz w:val="22"/>
          <w:szCs w:val="28"/>
        </w:rPr>
        <w:t xml:space="preserve"> for direct financial benefits and </w:t>
      </w:r>
      <w:r w:rsidRPr="004B60A1">
        <w:rPr>
          <w:sz w:val="22"/>
          <w:szCs w:val="28"/>
        </w:rPr>
        <w:t>$</w:t>
      </w:r>
      <w:r w:rsidR="006B5207" w:rsidRPr="004B60A1">
        <w:rPr>
          <w:sz w:val="22"/>
          <w:szCs w:val="28"/>
        </w:rPr>
        <w:t>4</w:t>
      </w:r>
      <w:r w:rsidR="00D6043B" w:rsidRPr="004B60A1">
        <w:rPr>
          <w:sz w:val="22"/>
          <w:szCs w:val="28"/>
        </w:rPr>
        <w:t>3</w:t>
      </w:r>
      <w:r w:rsidR="006B5207" w:rsidRPr="004B60A1">
        <w:rPr>
          <w:sz w:val="22"/>
          <w:szCs w:val="28"/>
        </w:rPr>
        <w:t>,000</w:t>
      </w:r>
      <w:r w:rsidRPr="002B624B">
        <w:rPr>
          <w:sz w:val="22"/>
          <w:szCs w:val="28"/>
        </w:rPr>
        <w:t xml:space="preserve"> for indirect benefits</w:t>
      </w:r>
      <w:r w:rsidR="0088621B">
        <w:rPr>
          <w:sz w:val="22"/>
          <w:szCs w:val="28"/>
        </w:rPr>
        <w:t xml:space="preserve"> across </w:t>
      </w:r>
      <w:r w:rsidR="00EE7C13">
        <w:rPr>
          <w:sz w:val="22"/>
          <w:szCs w:val="28"/>
        </w:rPr>
        <w:t>the</w:t>
      </w:r>
      <w:r w:rsidR="0088621B">
        <w:rPr>
          <w:sz w:val="22"/>
          <w:szCs w:val="28"/>
        </w:rPr>
        <w:t xml:space="preserve"> </w:t>
      </w:r>
      <w:r w:rsidR="003443BC">
        <w:rPr>
          <w:sz w:val="22"/>
          <w:szCs w:val="28"/>
        </w:rPr>
        <w:t>10-year</w:t>
      </w:r>
      <w:r w:rsidR="0056564B">
        <w:rPr>
          <w:sz w:val="22"/>
          <w:szCs w:val="28"/>
        </w:rPr>
        <w:t xml:space="preserve"> appraisal period</w:t>
      </w:r>
      <w:r w:rsidR="00EE7C13">
        <w:rPr>
          <w:sz w:val="22"/>
          <w:szCs w:val="28"/>
        </w:rPr>
        <w:t xml:space="preserve"> (F</w:t>
      </w:r>
      <w:r w:rsidR="006673ED">
        <w:rPr>
          <w:sz w:val="22"/>
          <w:szCs w:val="28"/>
        </w:rPr>
        <w:t>Y</w:t>
      </w:r>
      <w:r w:rsidR="00EE7C13">
        <w:rPr>
          <w:sz w:val="22"/>
          <w:szCs w:val="28"/>
        </w:rPr>
        <w:t>27 to FY36)</w:t>
      </w:r>
      <w:r w:rsidRPr="002B624B">
        <w:rPr>
          <w:sz w:val="22"/>
          <w:szCs w:val="28"/>
        </w:rPr>
        <w:t xml:space="preserve">. </w:t>
      </w:r>
      <w:r w:rsidR="00FA4F20">
        <w:rPr>
          <w:sz w:val="22"/>
          <w:szCs w:val="28"/>
        </w:rPr>
        <w:t>Further discussion on these benefits can be found under the table.</w:t>
      </w:r>
    </w:p>
    <w:p w14:paraId="2BCB7F3A" w14:textId="148C3BFB" w:rsidR="007E6816" w:rsidRDefault="007E6816" w:rsidP="007E6816">
      <w:pPr>
        <w:pStyle w:val="Paragraph"/>
        <w:keepLines/>
        <w:spacing w:before="240" w:after="120"/>
        <w:rPr>
          <w:szCs w:val="32"/>
        </w:rPr>
      </w:pPr>
      <w:bookmarkStart w:id="391" w:name="_Ref198807594"/>
      <w:r w:rsidRPr="00B2385B">
        <w:rPr>
          <w:szCs w:val="32"/>
        </w:rPr>
        <w:t>Th</w:t>
      </w:r>
      <w:r>
        <w:rPr>
          <w:szCs w:val="32"/>
        </w:rPr>
        <w:t>e estimated financial benefits</w:t>
      </w:r>
      <w:r w:rsidRPr="00B2385B">
        <w:rPr>
          <w:szCs w:val="32"/>
        </w:rPr>
        <w:t xml:space="preserve"> </w:t>
      </w:r>
      <w:r w:rsidR="00830310" w:rsidRPr="00B2385B">
        <w:rPr>
          <w:szCs w:val="32"/>
        </w:rPr>
        <w:t>reflect</w:t>
      </w:r>
      <w:r w:rsidRPr="00B2385B">
        <w:rPr>
          <w:szCs w:val="32"/>
        </w:rPr>
        <w:t xml:space="preserve"> </w:t>
      </w:r>
      <w:r>
        <w:rPr>
          <w:szCs w:val="32"/>
        </w:rPr>
        <w:t>31</w:t>
      </w:r>
      <w:r w:rsidRPr="00B2385B">
        <w:rPr>
          <w:szCs w:val="32"/>
        </w:rPr>
        <w:t xml:space="preserve"> workers’ compensation claims attributed to </w:t>
      </w:r>
      <w:r>
        <w:rPr>
          <w:szCs w:val="32"/>
        </w:rPr>
        <w:t>hydrogen sulfide</w:t>
      </w:r>
      <w:r w:rsidRPr="00B2385B">
        <w:rPr>
          <w:szCs w:val="32"/>
        </w:rPr>
        <w:t xml:space="preserve"> between 2017 and 2021</w:t>
      </w:r>
      <w:r>
        <w:rPr>
          <w:szCs w:val="32"/>
        </w:rPr>
        <w:t xml:space="preserve">. The average costs per claim was $117,000 and the average of weeks off work per claim was 0.3. </w:t>
      </w:r>
    </w:p>
    <w:p w14:paraId="07B49735" w14:textId="093F045B" w:rsidR="006E0B4F" w:rsidRDefault="00830310" w:rsidP="00082A6D">
      <w:pPr>
        <w:pStyle w:val="Paragraph"/>
        <w:keepNext w:val="0"/>
        <w:rPr>
          <w:szCs w:val="32"/>
        </w:rPr>
      </w:pPr>
      <w:r>
        <w:rPr>
          <w:szCs w:val="32"/>
        </w:rPr>
        <w:t>However, it is important to note that t</w:t>
      </w:r>
      <w:r w:rsidR="007E6816" w:rsidRPr="00B2385B">
        <w:rPr>
          <w:szCs w:val="32"/>
        </w:rPr>
        <w:t xml:space="preserve">he scale of occupational illness attributable to workplace exposure to </w:t>
      </w:r>
      <w:r w:rsidR="00B25C99">
        <w:rPr>
          <w:szCs w:val="32"/>
        </w:rPr>
        <w:t>hydrogen sulfide</w:t>
      </w:r>
      <w:r w:rsidR="00B25C99" w:rsidRPr="00B2385B">
        <w:rPr>
          <w:szCs w:val="32"/>
        </w:rPr>
        <w:t xml:space="preserve"> </w:t>
      </w:r>
      <w:r w:rsidR="007E6816" w:rsidRPr="00B2385B">
        <w:rPr>
          <w:szCs w:val="32"/>
        </w:rPr>
        <w:t>is likely to be under-represented in workers’ compensation claim data</w:t>
      </w:r>
      <w:bookmarkStart w:id="392" w:name="_Ref193972481"/>
      <w:r w:rsidR="007E6816">
        <w:rPr>
          <w:szCs w:val="32"/>
        </w:rPr>
        <w:t xml:space="preserve">, due to </w:t>
      </w:r>
      <w:r w:rsidR="007E6816" w:rsidRPr="004B07EB">
        <w:rPr>
          <w:szCs w:val="32"/>
        </w:rPr>
        <w:t xml:space="preserve">difficulties in proving causation and the </w:t>
      </w:r>
      <w:r w:rsidR="007E6816">
        <w:rPr>
          <w:szCs w:val="32"/>
        </w:rPr>
        <w:t>latency period</w:t>
      </w:r>
      <w:r w:rsidR="007E6816" w:rsidRPr="004B07EB">
        <w:rPr>
          <w:szCs w:val="32"/>
        </w:rPr>
        <w:t xml:space="preserve"> between occupational exposure and </w:t>
      </w:r>
      <w:r w:rsidR="007E6816">
        <w:rPr>
          <w:szCs w:val="32"/>
        </w:rPr>
        <w:t>the illness (especially if it develops after the worker has stopped working at the workplace)</w:t>
      </w:r>
      <w:bookmarkEnd w:id="392"/>
      <w:r w:rsidR="007E6816">
        <w:rPr>
          <w:szCs w:val="32"/>
        </w:rPr>
        <w:t xml:space="preserve">. </w:t>
      </w:r>
      <w:r w:rsidR="0016765D">
        <w:rPr>
          <w:szCs w:val="32"/>
        </w:rPr>
        <w:t>Further l</w:t>
      </w:r>
      <w:r w:rsidR="000B4377">
        <w:rPr>
          <w:szCs w:val="32"/>
        </w:rPr>
        <w:t xml:space="preserve">imitations of </w:t>
      </w:r>
      <w:r w:rsidR="0016765D">
        <w:rPr>
          <w:szCs w:val="32"/>
        </w:rPr>
        <w:t>the estimation of financial benefits are</w:t>
      </w:r>
      <w:r w:rsidR="000B4377">
        <w:rPr>
          <w:szCs w:val="32"/>
        </w:rPr>
        <w:t xml:space="preserve"> discussed in </w:t>
      </w:r>
      <w:r w:rsidR="006563FE">
        <w:rPr>
          <w:szCs w:val="32"/>
        </w:rPr>
        <w:fldChar w:fldCharType="begin"/>
      </w:r>
      <w:r w:rsidR="006563FE">
        <w:rPr>
          <w:szCs w:val="32"/>
        </w:rPr>
        <w:instrText xml:space="preserve"> REF _Ref216793461 \h </w:instrText>
      </w:r>
      <w:r w:rsidR="006563FE">
        <w:rPr>
          <w:szCs w:val="32"/>
        </w:rPr>
      </w:r>
      <w:r w:rsidR="006563FE">
        <w:rPr>
          <w:szCs w:val="32"/>
        </w:rPr>
        <w:fldChar w:fldCharType="separate"/>
      </w:r>
      <w:r w:rsidR="00A002F4">
        <w:t xml:space="preserve">Table </w:t>
      </w:r>
      <w:r w:rsidR="00A002F4">
        <w:rPr>
          <w:noProof/>
        </w:rPr>
        <w:t>66</w:t>
      </w:r>
      <w:r w:rsidR="006563FE">
        <w:rPr>
          <w:szCs w:val="32"/>
        </w:rPr>
        <w:fldChar w:fldCharType="end"/>
      </w:r>
      <w:r w:rsidR="00B76DD8">
        <w:rPr>
          <w:szCs w:val="32"/>
        </w:rPr>
        <w:t xml:space="preserve"> </w:t>
      </w:r>
      <w:r w:rsidR="0016765D">
        <w:rPr>
          <w:szCs w:val="32"/>
        </w:rPr>
        <w:t xml:space="preserve">of </w:t>
      </w:r>
      <w:r w:rsidR="0016765D" w:rsidRPr="00195AF2">
        <w:t xml:space="preserve">Appendix </w:t>
      </w:r>
      <w:r w:rsidR="004C0E6B">
        <w:t>C</w:t>
      </w:r>
      <w:r w:rsidR="0016765D">
        <w:rPr>
          <w:szCs w:val="32"/>
        </w:rPr>
        <w:t xml:space="preserve"> of this Decision RIS. </w:t>
      </w:r>
    </w:p>
    <w:p w14:paraId="4287870A" w14:textId="2740BAC3" w:rsidR="00E363DF" w:rsidRDefault="00C05510" w:rsidP="00082A6D">
      <w:pPr>
        <w:pStyle w:val="Paragraph"/>
        <w:keepNext w:val="0"/>
        <w:rPr>
          <w:szCs w:val="32"/>
        </w:rPr>
      </w:pPr>
      <w:r>
        <w:rPr>
          <w:szCs w:val="32"/>
        </w:rPr>
        <w:t xml:space="preserve">Noting the potential for this under-representation, it is likely the reduction in the proposed WEL for hydrogen sulfide would result in protecting a greater number of workers from developing </w:t>
      </w:r>
      <w:r w:rsidRPr="00C05510">
        <w:rPr>
          <w:szCs w:val="32"/>
        </w:rPr>
        <w:t>irritation effects and central nervous system impairment from both acute and chronic exposures to hydrogen sulfide</w:t>
      </w:r>
      <w:r w:rsidR="000305FD">
        <w:rPr>
          <w:szCs w:val="32"/>
        </w:rPr>
        <w:t>.</w:t>
      </w:r>
      <w:r w:rsidR="000D176C">
        <w:rPr>
          <w:szCs w:val="32"/>
        </w:rPr>
        <w:t xml:space="preserve"> For the purposes of this Decision RIS, an uplift factor of 50% was assumed to account for this under-representation of occupational disease </w:t>
      </w:r>
      <w:r w:rsidR="000D176C">
        <w:rPr>
          <w:szCs w:val="32"/>
        </w:rPr>
        <w:lastRenderedPageBreak/>
        <w:t>caused by exposure to hydrogen sulfide</w:t>
      </w:r>
      <w:r w:rsidR="000B342A">
        <w:rPr>
          <w:szCs w:val="32"/>
        </w:rPr>
        <w:t xml:space="preserve">. However, it is unclear as whether this is an accurate </w:t>
      </w:r>
      <w:r w:rsidR="00DA5AA1">
        <w:rPr>
          <w:szCs w:val="32"/>
        </w:rPr>
        <w:t xml:space="preserve">reflection of the </w:t>
      </w:r>
      <w:r w:rsidR="00DE0A80">
        <w:rPr>
          <w:szCs w:val="32"/>
        </w:rPr>
        <w:t>under-representation</w:t>
      </w:r>
      <w:r w:rsidR="000B342A">
        <w:rPr>
          <w:szCs w:val="32"/>
        </w:rPr>
        <w:t>.</w:t>
      </w:r>
      <w:r w:rsidR="000305FD">
        <w:rPr>
          <w:szCs w:val="32"/>
        </w:rPr>
        <w:t xml:space="preserve"> Thus, the actual financial benefits of the proposed WEL </w:t>
      </w:r>
      <w:r w:rsidR="00F44B6C">
        <w:rPr>
          <w:szCs w:val="32"/>
        </w:rPr>
        <w:t>may be different to what</w:t>
      </w:r>
      <w:r w:rsidR="000305FD">
        <w:rPr>
          <w:szCs w:val="32"/>
        </w:rPr>
        <w:t xml:space="preserve"> has been estimated in </w:t>
      </w:r>
      <w:r w:rsidR="00E363DF">
        <w:rPr>
          <w:szCs w:val="32"/>
        </w:rPr>
        <w:fldChar w:fldCharType="begin"/>
      </w:r>
      <w:r w:rsidR="00E363DF">
        <w:rPr>
          <w:szCs w:val="32"/>
        </w:rPr>
        <w:instrText xml:space="preserve"> REF _Ref199921398 \h </w:instrText>
      </w:r>
      <w:r w:rsidR="00E363DF">
        <w:rPr>
          <w:szCs w:val="32"/>
        </w:rPr>
      </w:r>
      <w:r w:rsidR="00E363DF">
        <w:rPr>
          <w:szCs w:val="32"/>
        </w:rPr>
        <w:fldChar w:fldCharType="separate"/>
      </w:r>
      <w:r w:rsidR="00A002F4">
        <w:t xml:space="preserve">Table </w:t>
      </w:r>
      <w:r w:rsidR="00A002F4">
        <w:rPr>
          <w:noProof/>
        </w:rPr>
        <w:t>27</w:t>
      </w:r>
      <w:r w:rsidR="00E363DF">
        <w:rPr>
          <w:szCs w:val="32"/>
        </w:rPr>
        <w:fldChar w:fldCharType="end"/>
      </w:r>
      <w:r w:rsidR="00E363DF">
        <w:rPr>
          <w:szCs w:val="32"/>
        </w:rPr>
        <w:t xml:space="preserve">. </w:t>
      </w:r>
    </w:p>
    <w:p w14:paraId="6D4BF150" w14:textId="50D56155" w:rsidR="00C05510" w:rsidRDefault="00E363DF" w:rsidP="00082A6D">
      <w:pPr>
        <w:pStyle w:val="Paragraph"/>
        <w:keepNext w:val="0"/>
        <w:rPr>
          <w:szCs w:val="32"/>
        </w:rPr>
      </w:pPr>
      <w:r>
        <w:rPr>
          <w:szCs w:val="32"/>
        </w:rPr>
        <w:t xml:space="preserve">It is expected that these quantifiable financial benefits will continue beyond the 10-year period that this estimation is based on. </w:t>
      </w:r>
      <w:r w:rsidR="00432CB3">
        <w:rPr>
          <w:szCs w:val="32"/>
        </w:rPr>
        <w:t>Financial b</w:t>
      </w:r>
      <w:r w:rsidR="00002DA3" w:rsidRPr="00002DA3">
        <w:rPr>
          <w:szCs w:val="32"/>
        </w:rPr>
        <w:t xml:space="preserve">enefits that arise beyond the 10-year period </w:t>
      </w:r>
      <w:r w:rsidR="00432CB3" w:rsidRPr="00002DA3">
        <w:rPr>
          <w:szCs w:val="32"/>
        </w:rPr>
        <w:t>h</w:t>
      </w:r>
      <w:r w:rsidR="00432CB3">
        <w:rPr>
          <w:szCs w:val="32"/>
        </w:rPr>
        <w:t>ave not been quantified and a</w:t>
      </w:r>
      <w:r w:rsidR="00002DA3" w:rsidRPr="00002DA3">
        <w:rPr>
          <w:szCs w:val="32"/>
        </w:rPr>
        <w:t>re not included the figures</w:t>
      </w:r>
      <w:r w:rsidR="00432CB3">
        <w:rPr>
          <w:szCs w:val="32"/>
        </w:rPr>
        <w:t xml:space="preserve"> below.</w:t>
      </w:r>
    </w:p>
    <w:p w14:paraId="09A3F953" w14:textId="5063B6C2" w:rsidR="00177679" w:rsidRDefault="00177679" w:rsidP="00177679">
      <w:pPr>
        <w:pStyle w:val="Caption"/>
      </w:pPr>
      <w:bookmarkStart w:id="393" w:name="_Ref218845047"/>
      <w:bookmarkStart w:id="394" w:name="_Ref199921398"/>
      <w:bookmarkEnd w:id="391"/>
      <w:r>
        <w:t xml:space="preserve">Table </w:t>
      </w:r>
      <w:bookmarkEnd w:id="393"/>
      <w:r w:rsidR="00E36FD3">
        <w:fldChar w:fldCharType="begin"/>
      </w:r>
      <w:r w:rsidR="00E36FD3">
        <w:instrText xml:space="preserve"> SEQ Table \* ARABIC </w:instrText>
      </w:r>
      <w:r w:rsidR="00E36FD3">
        <w:fldChar w:fldCharType="separate"/>
      </w:r>
      <w:r w:rsidR="00A002F4">
        <w:rPr>
          <w:noProof/>
        </w:rPr>
        <w:t>27</w:t>
      </w:r>
      <w:r w:rsidR="00E36FD3">
        <w:rPr>
          <w:noProof/>
        </w:rPr>
        <w:fldChar w:fldCharType="end"/>
      </w:r>
      <w:bookmarkEnd w:id="394"/>
      <w:r>
        <w:t xml:space="preserve"> - </w:t>
      </w:r>
      <w:r w:rsidRPr="005225F3">
        <w:t xml:space="preserve">Estimated average annual and total financial benefits of the proposed WEL for </w:t>
      </w:r>
      <w:r w:rsidR="00851F13">
        <w:t>hydrogen sulfide</w:t>
      </w:r>
      <w:r w:rsidRPr="005225F3">
        <w:t>,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D22258" w:rsidRPr="008404A0" w14:paraId="249A3395" w14:textId="77777777">
        <w:trPr>
          <w:trHeight w:val="514"/>
          <w:tblHeader/>
        </w:trPr>
        <w:tc>
          <w:tcPr>
            <w:tcW w:w="4106" w:type="dxa"/>
            <w:shd w:val="clear" w:color="auto" w:fill="4877E0" w:themeFill="accent1"/>
          </w:tcPr>
          <w:p w14:paraId="1E54EB14" w14:textId="77777777" w:rsidR="00D22258" w:rsidRPr="00E80AF6" w:rsidRDefault="00D22258">
            <w:pPr>
              <w:pStyle w:val="Paragraph"/>
              <w:spacing w:after="0"/>
              <w:rPr>
                <w:b/>
                <w:bCs/>
                <w:color w:val="FFFFFF" w:themeColor="background1"/>
              </w:rPr>
            </w:pPr>
            <w:r>
              <w:rPr>
                <w:b/>
                <w:bCs/>
                <w:color w:val="FFFFFF" w:themeColor="background1"/>
              </w:rPr>
              <w:t>Financial benefits</w:t>
            </w:r>
          </w:p>
        </w:tc>
        <w:tc>
          <w:tcPr>
            <w:tcW w:w="2480" w:type="dxa"/>
            <w:tcBorders>
              <w:bottom w:val="single" w:sz="4" w:space="0" w:color="D9D9D9" w:themeColor="background1" w:themeShade="D9"/>
            </w:tcBorders>
            <w:shd w:val="clear" w:color="auto" w:fill="4877E0" w:themeFill="accent1"/>
          </w:tcPr>
          <w:p w14:paraId="3ACB227D" w14:textId="77777777" w:rsidR="00D22258" w:rsidRPr="00E80AF6" w:rsidRDefault="00D22258">
            <w:pPr>
              <w:pStyle w:val="Paragraph"/>
              <w:spacing w:after="0"/>
              <w:rPr>
                <w:b/>
                <w:bCs/>
                <w:color w:val="FFFFFF" w:themeColor="background1"/>
              </w:rPr>
            </w:pPr>
            <w:r w:rsidRPr="00E80AF6">
              <w:rPr>
                <w:b/>
                <w:bCs/>
                <w:color w:val="FFFFFF" w:themeColor="background1"/>
              </w:rPr>
              <w:t>Average benefits p.a. ($’000, undiscounted)</w:t>
            </w:r>
          </w:p>
        </w:tc>
        <w:tc>
          <w:tcPr>
            <w:tcW w:w="2481" w:type="dxa"/>
            <w:tcBorders>
              <w:bottom w:val="single" w:sz="4" w:space="0" w:color="D9D9D9" w:themeColor="background1" w:themeShade="D9"/>
            </w:tcBorders>
            <w:shd w:val="clear" w:color="auto" w:fill="4877E0" w:themeFill="accent1"/>
          </w:tcPr>
          <w:p w14:paraId="1DF6EACB" w14:textId="77777777" w:rsidR="00D22258" w:rsidRPr="00E80AF6" w:rsidRDefault="00D22258">
            <w:pPr>
              <w:pStyle w:val="Paragraph"/>
              <w:spacing w:after="0"/>
              <w:rPr>
                <w:b/>
                <w:bCs/>
                <w:color w:val="FFFFFF" w:themeColor="background1"/>
              </w:rPr>
            </w:pPr>
            <w:r w:rsidRPr="00E80AF6">
              <w:rPr>
                <w:b/>
                <w:bCs/>
                <w:color w:val="FFFFFF" w:themeColor="background1"/>
              </w:rPr>
              <w:t>Total benefits ($ millions, discounted)</w:t>
            </w:r>
          </w:p>
        </w:tc>
      </w:tr>
      <w:tr w:rsidR="00D22258" w:rsidRPr="00BA600A" w14:paraId="79157AA2" w14:textId="77777777">
        <w:trPr>
          <w:trHeight w:val="257"/>
        </w:trPr>
        <w:tc>
          <w:tcPr>
            <w:tcW w:w="4106" w:type="dxa"/>
            <w:tcBorders>
              <w:right w:val="single" w:sz="4" w:space="0" w:color="D9D9D9" w:themeColor="background1" w:themeShade="D9"/>
            </w:tcBorders>
            <w:shd w:val="clear" w:color="auto" w:fill="DAE3F8" w:themeFill="accent1" w:themeFillTint="33"/>
          </w:tcPr>
          <w:p w14:paraId="4AB999B2" w14:textId="77777777" w:rsidR="00D22258" w:rsidRPr="00931974" w:rsidRDefault="00D22258">
            <w:pPr>
              <w:pStyle w:val="Paragraph"/>
              <w:spacing w:after="0"/>
              <w:rPr>
                <w:b/>
              </w:rPr>
            </w:pPr>
            <w:r w:rsidRPr="00931974">
              <w:rPr>
                <w:b/>
              </w:rPr>
              <w:t>Direct benefits</w:t>
            </w:r>
          </w:p>
        </w:tc>
        <w:tc>
          <w:tcPr>
            <w:tcW w:w="2480" w:type="dxa"/>
            <w:shd w:val="clear" w:color="auto" w:fill="DAE3F8" w:themeFill="accent1" w:themeFillTint="33"/>
          </w:tcPr>
          <w:p w14:paraId="4D4A0ED7" w14:textId="77777777" w:rsidR="00D22258" w:rsidRPr="00DE6EF7" w:rsidRDefault="00D22258">
            <w:pPr>
              <w:keepNext/>
              <w:keepLines/>
              <w:jc w:val="right"/>
              <w:rPr>
                <w:b/>
              </w:rPr>
            </w:pPr>
            <w:r>
              <w:rPr>
                <w:b/>
                <w:bCs/>
              </w:rPr>
              <w:t>1,084</w:t>
            </w:r>
          </w:p>
        </w:tc>
        <w:tc>
          <w:tcPr>
            <w:tcW w:w="2481" w:type="dxa"/>
            <w:shd w:val="clear" w:color="auto" w:fill="DAE3F8" w:themeFill="accent1" w:themeFillTint="33"/>
          </w:tcPr>
          <w:p w14:paraId="2D282B65" w14:textId="77777777" w:rsidR="00D22258" w:rsidRPr="00DE6EF7" w:rsidRDefault="00D22258">
            <w:pPr>
              <w:keepNext/>
              <w:keepLines/>
              <w:jc w:val="right"/>
              <w:rPr>
                <w:b/>
              </w:rPr>
            </w:pPr>
            <w:r>
              <w:rPr>
                <w:b/>
                <w:bCs/>
              </w:rPr>
              <w:t>6.7</w:t>
            </w:r>
          </w:p>
        </w:tc>
      </w:tr>
      <w:tr w:rsidR="00D22258" w:rsidRPr="00BA600A" w14:paraId="320117C8" w14:textId="77777777">
        <w:trPr>
          <w:trHeight w:val="257"/>
        </w:trPr>
        <w:tc>
          <w:tcPr>
            <w:tcW w:w="4106" w:type="dxa"/>
            <w:tcBorders>
              <w:right w:val="single" w:sz="4" w:space="0" w:color="D9D9D9" w:themeColor="background1" w:themeShade="D9"/>
            </w:tcBorders>
          </w:tcPr>
          <w:p w14:paraId="480E9ADA" w14:textId="77777777" w:rsidR="00D22258" w:rsidRDefault="00D22258">
            <w:pPr>
              <w:pStyle w:val="Paragraph"/>
              <w:spacing w:after="0"/>
              <w:ind w:left="308"/>
              <w:rPr>
                <w:bCs/>
              </w:rPr>
            </w:pPr>
            <w:r>
              <w:rPr>
                <w:bCs/>
              </w:rPr>
              <w:t>Direct compensation benefits</w:t>
            </w:r>
          </w:p>
        </w:tc>
        <w:tc>
          <w:tcPr>
            <w:tcW w:w="2480" w:type="dxa"/>
          </w:tcPr>
          <w:p w14:paraId="73577CBA" w14:textId="77777777" w:rsidR="00D22258" w:rsidRPr="00DE6EF7" w:rsidRDefault="00D22258">
            <w:pPr>
              <w:keepNext/>
              <w:keepLines/>
              <w:jc w:val="right"/>
            </w:pPr>
            <w:r w:rsidRPr="002D5A70">
              <w:t>87</w:t>
            </w:r>
            <w:r>
              <w:t>5</w:t>
            </w:r>
          </w:p>
        </w:tc>
        <w:tc>
          <w:tcPr>
            <w:tcW w:w="2481" w:type="dxa"/>
          </w:tcPr>
          <w:p w14:paraId="7E58DC1C" w14:textId="77777777" w:rsidR="00D22258" w:rsidRPr="00DE6EF7" w:rsidRDefault="00D22258">
            <w:pPr>
              <w:keepNext/>
              <w:keepLines/>
              <w:jc w:val="right"/>
            </w:pPr>
            <w:r>
              <w:rPr>
                <w:lang w:eastAsia="en-AU"/>
              </w:rPr>
              <w:t>5.4</w:t>
            </w:r>
          </w:p>
        </w:tc>
      </w:tr>
      <w:tr w:rsidR="00D22258" w:rsidRPr="00BA600A" w14:paraId="1E7EC28C" w14:textId="77777777">
        <w:trPr>
          <w:trHeight w:val="257"/>
        </w:trPr>
        <w:tc>
          <w:tcPr>
            <w:tcW w:w="4106" w:type="dxa"/>
            <w:tcBorders>
              <w:right w:val="single" w:sz="4" w:space="0" w:color="D9D9D9" w:themeColor="background1" w:themeShade="D9"/>
            </w:tcBorders>
          </w:tcPr>
          <w:p w14:paraId="6EFA2600" w14:textId="77777777" w:rsidR="00D22258" w:rsidRDefault="00D22258">
            <w:pPr>
              <w:pStyle w:val="Paragraph"/>
              <w:spacing w:after="0"/>
              <w:ind w:left="308"/>
              <w:rPr>
                <w:bCs/>
              </w:rPr>
            </w:pPr>
            <w:r>
              <w:rPr>
                <w:bCs/>
              </w:rPr>
              <w:t>Common law compensation benefits</w:t>
            </w:r>
          </w:p>
        </w:tc>
        <w:tc>
          <w:tcPr>
            <w:tcW w:w="2480" w:type="dxa"/>
          </w:tcPr>
          <w:p w14:paraId="0D90BFBF" w14:textId="77777777" w:rsidR="00D22258" w:rsidRPr="00DE6EF7" w:rsidRDefault="00D22258">
            <w:pPr>
              <w:keepNext/>
              <w:keepLines/>
              <w:jc w:val="right"/>
            </w:pPr>
            <w:r w:rsidRPr="002D5A70">
              <w:t>186</w:t>
            </w:r>
          </w:p>
        </w:tc>
        <w:tc>
          <w:tcPr>
            <w:tcW w:w="2481" w:type="dxa"/>
          </w:tcPr>
          <w:p w14:paraId="0518ABAD" w14:textId="77777777" w:rsidR="00D22258" w:rsidRPr="00DE6EF7" w:rsidRDefault="00D22258">
            <w:pPr>
              <w:keepNext/>
              <w:keepLines/>
              <w:jc w:val="right"/>
            </w:pPr>
            <w:r>
              <w:rPr>
                <w:lang w:eastAsia="en-AU"/>
              </w:rPr>
              <w:t>1.1</w:t>
            </w:r>
          </w:p>
        </w:tc>
      </w:tr>
      <w:tr w:rsidR="00D22258" w:rsidRPr="00BA600A" w14:paraId="7DAD1353" w14:textId="77777777">
        <w:trPr>
          <w:trHeight w:val="274"/>
        </w:trPr>
        <w:tc>
          <w:tcPr>
            <w:tcW w:w="4106" w:type="dxa"/>
            <w:tcBorders>
              <w:right w:val="single" w:sz="4" w:space="0" w:color="D9D9D9" w:themeColor="background1" w:themeShade="D9"/>
            </w:tcBorders>
          </w:tcPr>
          <w:p w14:paraId="7FFA3F42" w14:textId="77777777" w:rsidR="00D22258" w:rsidRDefault="00D22258">
            <w:pPr>
              <w:pStyle w:val="Paragraph"/>
              <w:spacing w:after="0"/>
              <w:ind w:left="308"/>
              <w:rPr>
                <w:bCs/>
              </w:rPr>
            </w:pPr>
            <w:r>
              <w:rPr>
                <w:bCs/>
              </w:rPr>
              <w:t>Medical compensation benefits</w:t>
            </w:r>
          </w:p>
        </w:tc>
        <w:tc>
          <w:tcPr>
            <w:tcW w:w="2480" w:type="dxa"/>
          </w:tcPr>
          <w:p w14:paraId="3E59D557" w14:textId="77777777" w:rsidR="00D22258" w:rsidRPr="00DE6EF7" w:rsidRDefault="00D22258">
            <w:pPr>
              <w:keepNext/>
              <w:keepLines/>
              <w:jc w:val="right"/>
            </w:pPr>
            <w:r>
              <w:rPr>
                <w:lang w:eastAsia="en-AU"/>
              </w:rPr>
              <w:t>15</w:t>
            </w:r>
          </w:p>
        </w:tc>
        <w:tc>
          <w:tcPr>
            <w:tcW w:w="2481" w:type="dxa"/>
          </w:tcPr>
          <w:p w14:paraId="175A48F1" w14:textId="77777777" w:rsidR="00D22258" w:rsidRPr="00DE6EF7" w:rsidRDefault="00D22258">
            <w:pPr>
              <w:keepNext/>
              <w:keepLines/>
              <w:jc w:val="right"/>
            </w:pPr>
            <w:r w:rsidRPr="00154D99">
              <w:t>0.</w:t>
            </w:r>
            <w:r>
              <w:rPr>
                <w:lang w:eastAsia="en-AU"/>
              </w:rPr>
              <w:t>1</w:t>
            </w:r>
          </w:p>
        </w:tc>
      </w:tr>
      <w:tr w:rsidR="00D22258" w:rsidRPr="00BA600A" w14:paraId="23EE02B2" w14:textId="77777777">
        <w:trPr>
          <w:trHeight w:val="246"/>
        </w:trPr>
        <w:tc>
          <w:tcPr>
            <w:tcW w:w="4106" w:type="dxa"/>
            <w:tcBorders>
              <w:right w:val="single" w:sz="4" w:space="0" w:color="D9D9D9" w:themeColor="background1" w:themeShade="D9"/>
            </w:tcBorders>
          </w:tcPr>
          <w:p w14:paraId="73CB45D2" w14:textId="77777777" w:rsidR="00D22258" w:rsidRDefault="00D22258">
            <w:pPr>
              <w:pStyle w:val="Paragraph"/>
              <w:spacing w:after="0"/>
              <w:ind w:left="308"/>
              <w:rPr>
                <w:bCs/>
              </w:rPr>
            </w:pPr>
            <w:r>
              <w:rPr>
                <w:bCs/>
              </w:rPr>
              <w:t>Supplementary compensation benefits</w:t>
            </w:r>
          </w:p>
        </w:tc>
        <w:tc>
          <w:tcPr>
            <w:tcW w:w="2480" w:type="dxa"/>
          </w:tcPr>
          <w:p w14:paraId="58426E11" w14:textId="77777777" w:rsidR="00D22258" w:rsidRPr="00DE6EF7" w:rsidRDefault="00D22258">
            <w:pPr>
              <w:keepNext/>
              <w:keepLines/>
              <w:jc w:val="right"/>
            </w:pPr>
            <w:r w:rsidRPr="002D5A70">
              <w:t>8</w:t>
            </w:r>
          </w:p>
        </w:tc>
        <w:tc>
          <w:tcPr>
            <w:tcW w:w="2481" w:type="dxa"/>
          </w:tcPr>
          <w:p w14:paraId="078567DB" w14:textId="77777777" w:rsidR="00D22258" w:rsidRPr="00DE6EF7" w:rsidRDefault="00D22258">
            <w:pPr>
              <w:keepNext/>
              <w:keepLines/>
              <w:jc w:val="right"/>
            </w:pPr>
            <w:r>
              <w:rPr>
                <w:lang w:eastAsia="en-AU"/>
              </w:rPr>
              <w:t>0.</w:t>
            </w:r>
            <w:r w:rsidRPr="00154D99">
              <w:t>1</w:t>
            </w:r>
          </w:p>
        </w:tc>
      </w:tr>
      <w:tr w:rsidR="00D22258" w:rsidRPr="00BA600A" w14:paraId="01401FAC" w14:textId="77777777">
        <w:trPr>
          <w:trHeight w:val="257"/>
        </w:trPr>
        <w:tc>
          <w:tcPr>
            <w:tcW w:w="4106" w:type="dxa"/>
            <w:tcBorders>
              <w:right w:val="single" w:sz="4" w:space="0" w:color="D9D9D9" w:themeColor="background1" w:themeShade="D9"/>
            </w:tcBorders>
            <w:shd w:val="clear" w:color="auto" w:fill="DAE3F8" w:themeFill="accent1" w:themeFillTint="33"/>
          </w:tcPr>
          <w:p w14:paraId="7CEA1ABC" w14:textId="77777777" w:rsidR="00D22258" w:rsidRPr="00931974" w:rsidRDefault="00D22258">
            <w:pPr>
              <w:pStyle w:val="Paragraph"/>
              <w:spacing w:after="0"/>
              <w:rPr>
                <w:b/>
              </w:rPr>
            </w:pPr>
            <w:r w:rsidRPr="00931974">
              <w:rPr>
                <w:b/>
              </w:rPr>
              <w:t>Indirect benefits</w:t>
            </w:r>
          </w:p>
        </w:tc>
        <w:tc>
          <w:tcPr>
            <w:tcW w:w="2480" w:type="dxa"/>
            <w:shd w:val="clear" w:color="auto" w:fill="DAE3F8" w:themeFill="accent1" w:themeFillTint="33"/>
          </w:tcPr>
          <w:p w14:paraId="3C10A7B7" w14:textId="77777777" w:rsidR="00D22258" w:rsidRPr="00DE6EF7" w:rsidRDefault="00D22258">
            <w:pPr>
              <w:keepNext/>
              <w:keepLines/>
              <w:jc w:val="right"/>
              <w:rPr>
                <w:b/>
              </w:rPr>
            </w:pPr>
            <w:r>
              <w:rPr>
                <w:b/>
                <w:bCs/>
              </w:rPr>
              <w:t>7</w:t>
            </w:r>
          </w:p>
        </w:tc>
        <w:tc>
          <w:tcPr>
            <w:tcW w:w="2481" w:type="dxa"/>
            <w:shd w:val="clear" w:color="auto" w:fill="DAE3F8" w:themeFill="accent1" w:themeFillTint="33"/>
          </w:tcPr>
          <w:p w14:paraId="65FEF66A" w14:textId="77777777" w:rsidR="00D22258" w:rsidRPr="00DE6EF7" w:rsidRDefault="00D22258">
            <w:pPr>
              <w:keepNext/>
              <w:keepLines/>
              <w:jc w:val="right"/>
              <w:rPr>
                <w:b/>
              </w:rPr>
            </w:pPr>
            <w:r w:rsidRPr="00154D99">
              <w:rPr>
                <w:b/>
                <w:bCs/>
              </w:rPr>
              <w:t>0.0</w:t>
            </w:r>
            <w:r>
              <w:rPr>
                <w:b/>
                <w:bCs/>
              </w:rPr>
              <w:t>4</w:t>
            </w:r>
          </w:p>
        </w:tc>
      </w:tr>
      <w:tr w:rsidR="00D22258" w:rsidRPr="00BA600A" w14:paraId="183897B5" w14:textId="77777777">
        <w:trPr>
          <w:trHeight w:val="257"/>
        </w:trPr>
        <w:tc>
          <w:tcPr>
            <w:tcW w:w="4106" w:type="dxa"/>
            <w:tcBorders>
              <w:right w:val="single" w:sz="4" w:space="0" w:color="D9D9D9" w:themeColor="background1" w:themeShade="D9"/>
            </w:tcBorders>
          </w:tcPr>
          <w:p w14:paraId="140BB0D3" w14:textId="77777777" w:rsidR="00D22258" w:rsidRDefault="00D22258">
            <w:pPr>
              <w:pStyle w:val="Paragraph"/>
              <w:spacing w:after="0"/>
              <w:ind w:left="308"/>
              <w:rPr>
                <w:bCs/>
              </w:rPr>
            </w:pPr>
            <w:r>
              <w:rPr>
                <w:bCs/>
              </w:rPr>
              <w:t>Productivity benefits</w:t>
            </w:r>
          </w:p>
        </w:tc>
        <w:tc>
          <w:tcPr>
            <w:tcW w:w="2480" w:type="dxa"/>
          </w:tcPr>
          <w:p w14:paraId="1F8B4FFE" w14:textId="77777777" w:rsidR="00D22258" w:rsidRPr="00DE6EF7" w:rsidRDefault="00D22258">
            <w:pPr>
              <w:keepNext/>
              <w:keepLines/>
              <w:jc w:val="right"/>
            </w:pPr>
            <w:r>
              <w:t>7</w:t>
            </w:r>
          </w:p>
        </w:tc>
        <w:tc>
          <w:tcPr>
            <w:tcW w:w="2481" w:type="dxa"/>
          </w:tcPr>
          <w:p w14:paraId="3E88913D" w14:textId="77777777" w:rsidR="00D22258" w:rsidRPr="00DE6EF7" w:rsidRDefault="00D22258">
            <w:pPr>
              <w:keepNext/>
              <w:keepLines/>
              <w:jc w:val="right"/>
            </w:pPr>
            <w:r>
              <w:t>0.04</w:t>
            </w:r>
          </w:p>
        </w:tc>
      </w:tr>
      <w:tr w:rsidR="00D22258" w:rsidRPr="00BA600A" w14:paraId="26F62015" w14:textId="77777777">
        <w:trPr>
          <w:trHeight w:val="257"/>
        </w:trPr>
        <w:tc>
          <w:tcPr>
            <w:tcW w:w="4106" w:type="dxa"/>
            <w:tcBorders>
              <w:right w:val="single" w:sz="4" w:space="0" w:color="D9D9D9" w:themeColor="background1" w:themeShade="D9"/>
            </w:tcBorders>
            <w:shd w:val="clear" w:color="auto" w:fill="91ACEC" w:themeFill="accent1" w:themeFillTint="99"/>
          </w:tcPr>
          <w:p w14:paraId="4E20C1EF" w14:textId="77777777" w:rsidR="00D22258" w:rsidRDefault="00D22258" w:rsidP="00764B5E">
            <w:pPr>
              <w:pStyle w:val="Paragraph"/>
              <w:keepNext w:val="0"/>
              <w:spacing w:after="0"/>
              <w:rPr>
                <w:bCs/>
              </w:rPr>
            </w:pPr>
            <w:r>
              <w:rPr>
                <w:b/>
              </w:rPr>
              <w:t>Total financial benefits</w:t>
            </w:r>
          </w:p>
        </w:tc>
        <w:tc>
          <w:tcPr>
            <w:tcW w:w="2480" w:type="dxa"/>
            <w:shd w:val="clear" w:color="auto" w:fill="91ACEC" w:themeFill="accent1" w:themeFillTint="99"/>
          </w:tcPr>
          <w:p w14:paraId="59BCDD17" w14:textId="77777777" w:rsidR="00D22258" w:rsidRPr="00DE6EF7" w:rsidRDefault="00D22258" w:rsidP="00764B5E">
            <w:pPr>
              <w:jc w:val="right"/>
              <w:rPr>
                <w:b/>
              </w:rPr>
            </w:pPr>
            <w:r>
              <w:rPr>
                <w:b/>
                <w:bCs/>
              </w:rPr>
              <w:t>1,091</w:t>
            </w:r>
          </w:p>
        </w:tc>
        <w:tc>
          <w:tcPr>
            <w:tcW w:w="2481" w:type="dxa"/>
            <w:shd w:val="clear" w:color="auto" w:fill="91ACEC" w:themeFill="accent1" w:themeFillTint="99"/>
          </w:tcPr>
          <w:p w14:paraId="3D7AB171" w14:textId="77777777" w:rsidR="00D22258" w:rsidRPr="00DE6EF7" w:rsidRDefault="00D22258" w:rsidP="00764B5E">
            <w:pPr>
              <w:jc w:val="right"/>
              <w:rPr>
                <w:b/>
              </w:rPr>
            </w:pPr>
            <w:r>
              <w:rPr>
                <w:b/>
                <w:bCs/>
              </w:rPr>
              <w:t>6.7</w:t>
            </w:r>
          </w:p>
        </w:tc>
      </w:tr>
    </w:tbl>
    <w:p w14:paraId="010D1372" w14:textId="77777777" w:rsidR="00AA2A10" w:rsidRPr="00E30468" w:rsidRDefault="00AA2A10" w:rsidP="00AA2A10">
      <w:pPr>
        <w:pStyle w:val="SWAHeading5"/>
      </w:pPr>
      <w:r w:rsidRPr="00E30468">
        <w:t>Reduc</w:t>
      </w:r>
      <w:r>
        <w:t>ed</w:t>
      </w:r>
      <w:r w:rsidRPr="00E30468">
        <w:t xml:space="preserve"> costs associated with </w:t>
      </w:r>
      <w:r>
        <w:t>potential</w:t>
      </w:r>
      <w:r w:rsidRPr="00E30468">
        <w:t xml:space="preserve"> worker compensation claims</w:t>
      </w:r>
      <w:r>
        <w:rPr>
          <w:rStyle w:val="FootnoteReference"/>
        </w:rPr>
        <w:footnoteReference w:id="184"/>
      </w:r>
    </w:p>
    <w:p w14:paraId="6DAF9C8E" w14:textId="77777777" w:rsidR="00AA2A10" w:rsidRDefault="00AA2A10" w:rsidP="00AA2A10">
      <w:pPr>
        <w:pStyle w:val="Paragraph"/>
        <w:keepNext w:val="0"/>
        <w:keepLines/>
      </w:pPr>
      <w:r w:rsidRPr="00E30468">
        <w:t xml:space="preserve">Workers who develop an occupational disease or illness because of exposures to </w:t>
      </w:r>
      <w:r>
        <w:t>hydrogen sulfide</w:t>
      </w:r>
      <w:r w:rsidRPr="00E30468">
        <w:t xml:space="preserve"> are able to seek workers’ compensation if the occupational disease or illness can be linked to the workplace. Workers’ compensation will help workers focus on getting better and access rehabilitation services, without worrying about associated costs. </w:t>
      </w:r>
    </w:p>
    <w:p w14:paraId="0515F0DF" w14:textId="5DD43A22" w:rsidR="00AA2A10" w:rsidRPr="00053C69" w:rsidRDefault="00A01AC2" w:rsidP="00AA2A10">
      <w:pPr>
        <w:pStyle w:val="Paragraph"/>
        <w:rPr>
          <w:vertAlign w:val="superscript"/>
        </w:rPr>
      </w:pPr>
      <w:r>
        <w:t>Hydrogen sulfide</w:t>
      </w:r>
      <w:r w:rsidRPr="00053C69">
        <w:t xml:space="preserve"> is listed on Safe Work Australia’s List of Deemed Diseases as a cause for </w:t>
      </w:r>
      <w:r>
        <w:t>acute toxicity (</w:t>
      </w:r>
      <w:r w:rsidRPr="000137F3">
        <w:t>poisoning causing damage to one or more of the heart, lungs, liver, kidney, nervous system and blood</w:t>
      </w:r>
      <w:r>
        <w:t>)</w:t>
      </w:r>
      <w:r w:rsidRPr="000137F3" w:rsidDel="000137F3">
        <w:t xml:space="preserve"> </w:t>
      </w:r>
      <w:sdt>
        <w:sdtPr>
          <w:id w:val="158748212"/>
          <w:citation/>
        </w:sdtPr>
        <w:sdtEndPr/>
        <w:sdtContent>
          <w:r w:rsidRPr="00053C69">
            <w:fldChar w:fldCharType="begin"/>
          </w:r>
          <w:r w:rsidRPr="00053C69">
            <w:instrText xml:space="preserve"> CITATION Saf24 \l 3081 </w:instrText>
          </w:r>
          <w:r w:rsidRPr="00053C69">
            <w:fldChar w:fldCharType="separate"/>
          </w:r>
          <w:r w:rsidR="00490B21">
            <w:rPr>
              <w:noProof/>
            </w:rPr>
            <w:t>(Safe Work Australia, 2024)</w:t>
          </w:r>
          <w:r w:rsidRPr="00053C69">
            <w:fldChar w:fldCharType="end"/>
          </w:r>
        </w:sdtContent>
      </w:sdt>
      <w:r w:rsidRPr="00053C69">
        <w:t>.</w:t>
      </w:r>
      <w:r w:rsidRPr="00053C69" w:rsidDel="005F7744">
        <w:rPr>
          <w:vertAlign w:val="superscript"/>
        </w:rPr>
        <w:t xml:space="preserve"> </w:t>
      </w:r>
      <w:r w:rsidR="00AA2A10" w:rsidRPr="00053C69">
        <w:t xml:space="preserve">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 </w:t>
      </w:r>
    </w:p>
    <w:p w14:paraId="35C64EA3" w14:textId="462CDAB7" w:rsidR="00AA2A10" w:rsidRDefault="00AA2A10" w:rsidP="00AA2A10">
      <w:pPr>
        <w:pStyle w:val="Paragraph"/>
        <w:keepNext w:val="0"/>
        <w:rPr>
          <w:lang w:eastAsia="en-US"/>
        </w:rPr>
      </w:pPr>
      <w:r w:rsidRPr="0085618B">
        <w:t xml:space="preserve">A reduction in workers developing </w:t>
      </w:r>
      <w:r w:rsidRPr="00CA3644">
        <w:t>irritation effects</w:t>
      </w:r>
      <w:r>
        <w:t xml:space="preserve">, </w:t>
      </w:r>
      <w:r w:rsidRPr="00CA3644">
        <w:t>central nervous system impairment</w:t>
      </w:r>
      <w:r w:rsidRPr="00CA3644" w:rsidDel="00CA3644">
        <w:t xml:space="preserve"> </w:t>
      </w:r>
      <w:r>
        <w:t xml:space="preserve">and acute toxicity </w:t>
      </w:r>
      <w:r w:rsidRPr="008B0C86">
        <w:t>from work-related exposures</w:t>
      </w:r>
      <w:r w:rsidRPr="0085618B">
        <w:t xml:space="preserve"> </w:t>
      </w:r>
      <w:r>
        <w:t>to hydrogen sulfide</w:t>
      </w:r>
      <w:r w:rsidRPr="0085618B">
        <w:t xml:space="preserve"> can help businesses avoid the cost of potential worker compensation claims</w:t>
      </w:r>
      <w:r w:rsidR="00C5633D">
        <w:t xml:space="preserve"> </w:t>
      </w:r>
      <w:r w:rsidR="00C5633D" w:rsidRPr="00C5633D">
        <w:t>through increased premiums</w:t>
      </w:r>
      <w:r w:rsidRPr="0085618B">
        <w:t>.</w:t>
      </w:r>
      <w:r>
        <w:t xml:space="preserve"> </w:t>
      </w:r>
    </w:p>
    <w:p w14:paraId="7FE897F3" w14:textId="7D945468" w:rsidR="006146C5" w:rsidRDefault="006146C5" w:rsidP="00662BFB">
      <w:pPr>
        <w:pStyle w:val="SWAHeading3"/>
      </w:pPr>
      <w:bookmarkStart w:id="395" w:name="_Toc196204752"/>
      <w:r>
        <w:t xml:space="preserve">Additional benefits </w:t>
      </w:r>
      <w:r w:rsidR="008063B5">
        <w:t>of</w:t>
      </w:r>
      <w:r>
        <w:t xml:space="preserve"> the proposed WEL for hydrogen sulfide</w:t>
      </w:r>
      <w:bookmarkEnd w:id="395"/>
    </w:p>
    <w:p w14:paraId="3D0E65F5" w14:textId="267A12D3" w:rsidR="00975816" w:rsidRDefault="007B215D" w:rsidP="00662BFB">
      <w:pPr>
        <w:spacing w:before="120" w:line="240" w:lineRule="atLeast"/>
        <w:contextualSpacing w:val="0"/>
        <w:rPr>
          <w:rFonts w:eastAsia="Times New Roman" w:cs="Arial"/>
        </w:rPr>
      </w:pPr>
      <w:r>
        <w:rPr>
          <w:rFonts w:eastAsia="Times New Roman" w:cs="Arial"/>
        </w:rPr>
        <w:t>Stakeholders</w:t>
      </w:r>
      <w:r w:rsidR="0001792A">
        <w:t xml:space="preserve"> also </w:t>
      </w:r>
      <w:r w:rsidR="00237869" w:rsidRPr="006549B3">
        <w:rPr>
          <w:rFonts w:eastAsia="Times New Roman" w:cs="Arial"/>
        </w:rPr>
        <w:t xml:space="preserve">identified that the proposed WEL for </w:t>
      </w:r>
      <w:r>
        <w:rPr>
          <w:rFonts w:eastAsia="Times New Roman" w:cs="Arial"/>
        </w:rPr>
        <w:t>h</w:t>
      </w:r>
      <w:r w:rsidR="00237869" w:rsidRPr="006549B3">
        <w:rPr>
          <w:rFonts w:eastAsia="Times New Roman" w:cs="Arial"/>
        </w:rPr>
        <w:t xml:space="preserve">ydrogen </w:t>
      </w:r>
      <w:r>
        <w:rPr>
          <w:rFonts w:eastAsia="Times New Roman" w:cs="Arial"/>
        </w:rPr>
        <w:t>s</w:t>
      </w:r>
      <w:r w:rsidR="00237869" w:rsidRPr="006549B3">
        <w:rPr>
          <w:rFonts w:eastAsia="Times New Roman" w:cs="Arial"/>
        </w:rPr>
        <w:t xml:space="preserve">ulfide would </w:t>
      </w:r>
      <w:r w:rsidR="00237869" w:rsidRPr="006549B3" w:rsidDel="00ED7CD7">
        <w:rPr>
          <w:rFonts w:eastAsia="Times New Roman" w:cs="Arial"/>
        </w:rPr>
        <w:t xml:space="preserve">have the following </w:t>
      </w:r>
      <w:r w:rsidR="00975816">
        <w:rPr>
          <w:rFonts w:eastAsia="Times New Roman" w:cs="Arial"/>
        </w:rPr>
        <w:t xml:space="preserve">qualitative </w:t>
      </w:r>
      <w:r w:rsidR="00237869" w:rsidRPr="006549B3" w:rsidDel="00ED7CD7">
        <w:rPr>
          <w:rFonts w:eastAsia="Times New Roman" w:cs="Arial"/>
        </w:rPr>
        <w:t>benefit</w:t>
      </w:r>
      <w:r w:rsidR="00975816">
        <w:rPr>
          <w:rFonts w:eastAsia="Times New Roman" w:cs="Arial"/>
        </w:rPr>
        <w:t>.</w:t>
      </w:r>
      <w:r w:rsidR="00662BFB">
        <w:rPr>
          <w:rFonts w:eastAsia="Times New Roman" w:cs="Arial"/>
        </w:rPr>
        <w:t xml:space="preserve"> </w:t>
      </w:r>
      <w:r w:rsidR="00662BFB" w:rsidRPr="00662BFB">
        <w:rPr>
          <w:rFonts w:eastAsia="Times New Roman" w:cs="Arial"/>
        </w:rPr>
        <w:t>When considering this qualitative benefit, the actual benefits of the proposed WEL for hydrogen sulfide will be greater than what was able to be quantified in this Decision RIS (</w:t>
      </w:r>
      <w:r w:rsidR="00662BFB" w:rsidRPr="00662BFB">
        <w:rPr>
          <w:rFonts w:eastAsia="Times New Roman" w:cs="Arial"/>
        </w:rPr>
        <w:fldChar w:fldCharType="begin"/>
      </w:r>
      <w:r w:rsidR="00662BFB" w:rsidRPr="00662BFB">
        <w:rPr>
          <w:rFonts w:eastAsia="Times New Roman" w:cs="Arial"/>
        </w:rPr>
        <w:instrText xml:space="preserve"> REF _Ref199921398 \h  \* MERGEFORMAT </w:instrText>
      </w:r>
      <w:r w:rsidR="00662BFB" w:rsidRPr="00662BFB">
        <w:rPr>
          <w:rFonts w:eastAsia="Times New Roman" w:cs="Arial"/>
        </w:rPr>
      </w:r>
      <w:r w:rsidR="00662BFB" w:rsidRPr="00662BFB">
        <w:rPr>
          <w:rFonts w:eastAsia="Times New Roman" w:cs="Arial"/>
        </w:rPr>
        <w:fldChar w:fldCharType="separate"/>
      </w:r>
      <w:r w:rsidR="00A002F4">
        <w:t>Table 27</w:t>
      </w:r>
      <w:r w:rsidR="00662BFB" w:rsidRPr="00662BFB">
        <w:rPr>
          <w:rFonts w:eastAsia="Times New Roman" w:cs="Arial"/>
        </w:rPr>
        <w:fldChar w:fldCharType="end"/>
      </w:r>
      <w:r w:rsidR="00662BFB" w:rsidRPr="00662BFB">
        <w:rPr>
          <w:rFonts w:eastAsia="Times New Roman" w:cs="Arial"/>
        </w:rPr>
        <w:t>)</w:t>
      </w:r>
      <w:r w:rsidR="00A97575" w:rsidRPr="00C812BE">
        <w:rPr>
          <w:rFonts w:eastAsia="Times New Roman" w:cs="Arial"/>
        </w:rPr>
        <w:t>.</w:t>
      </w:r>
    </w:p>
    <w:p w14:paraId="2B03AF61" w14:textId="60A24E6F" w:rsidR="00340509" w:rsidRDefault="00975816" w:rsidP="00B64384">
      <w:pPr>
        <w:pStyle w:val="SWAHeading4"/>
        <w:keepNext/>
      </w:pPr>
      <w:r w:rsidRPr="0022278F">
        <w:lastRenderedPageBreak/>
        <w:t>R</w:t>
      </w:r>
      <w:r w:rsidR="00ED7CD7" w:rsidRPr="0022278F">
        <w:t>aise awareness</w:t>
      </w:r>
      <w:r w:rsidR="00F33F1A" w:rsidRPr="0022278F">
        <w:t xml:space="preserve"> </w:t>
      </w:r>
      <w:r w:rsidRPr="0022278F">
        <w:t>about</w:t>
      </w:r>
      <w:r w:rsidR="00460016" w:rsidRPr="0022278F">
        <w:t xml:space="preserve"> </w:t>
      </w:r>
      <w:r w:rsidR="001E663A" w:rsidRPr="0022278F">
        <w:t xml:space="preserve">hydrogen sulfide </w:t>
      </w:r>
      <w:r w:rsidR="00BC2293" w:rsidRPr="0022278F">
        <w:t>and the hazards associated with it</w:t>
      </w:r>
      <w:r w:rsidR="00340509" w:rsidRPr="0022278F">
        <w:t xml:space="preserve"> </w:t>
      </w:r>
    </w:p>
    <w:p w14:paraId="3E615612" w14:textId="3941461E" w:rsidR="0040731A" w:rsidRDefault="0040731A" w:rsidP="00B64384">
      <w:pPr>
        <w:keepNext/>
        <w:contextualSpacing w:val="0"/>
      </w:pPr>
      <w:r w:rsidRPr="009911EB">
        <w:t xml:space="preserve">Stakeholders noted that the proposed change to </w:t>
      </w:r>
      <w:r>
        <w:t>hydrogen sulfide</w:t>
      </w:r>
      <w:r w:rsidRPr="009911EB">
        <w:t xml:space="preserve"> would also lead to PCBUs and workers becoming more aware of the presence </w:t>
      </w:r>
      <w:r>
        <w:t>of hydrogen sulfide</w:t>
      </w:r>
      <w:r w:rsidRPr="009911EB">
        <w:t xml:space="preserve"> in the workplace, and the hazards associated with </w:t>
      </w:r>
      <w:r>
        <w:t>it</w:t>
      </w:r>
      <w:r w:rsidR="00C17468">
        <w:t>. This would allow</w:t>
      </w:r>
      <w:r w:rsidRPr="009911EB">
        <w:t xml:space="preserve"> both to actively contribute to making sure the workplace is safer and healthier. </w:t>
      </w:r>
      <w:r>
        <w:t xml:space="preserve">This can promote safer handling, storage and use of </w:t>
      </w:r>
      <w:r w:rsidR="00165DE3">
        <w:t>hydrogen sulfide</w:t>
      </w:r>
      <w:r>
        <w:t xml:space="preserve">, which would help contribute to less workplace </w:t>
      </w:r>
      <w:r w:rsidR="00FA43DA">
        <w:t>hydrogen sulfide</w:t>
      </w:r>
      <w:r>
        <w:t xml:space="preserve"> exposure in the long-term. </w:t>
      </w:r>
    </w:p>
    <w:p w14:paraId="20E6FAF2" w14:textId="4DA7E1E6" w:rsidR="002D5B8B" w:rsidRPr="0001792A" w:rsidRDefault="00F33F1A" w:rsidP="001D35B9">
      <w:pPr>
        <w:spacing w:after="240"/>
      </w:pPr>
      <w:r w:rsidRPr="00F33F1A">
        <w:rPr>
          <w:rFonts w:eastAsia="Times New Roman" w:cs="Arial"/>
        </w:rPr>
        <w:t xml:space="preserve">By raising awareness of the presence of hazards in the workplace and the risks associated with </w:t>
      </w:r>
      <w:r w:rsidR="004303BC">
        <w:rPr>
          <w:rFonts w:eastAsia="Times New Roman" w:cs="Arial"/>
        </w:rPr>
        <w:t>them</w:t>
      </w:r>
      <w:r w:rsidRPr="00F33F1A">
        <w:rPr>
          <w:rFonts w:eastAsia="Times New Roman" w:cs="Arial"/>
        </w:rPr>
        <w:t xml:space="preserve">, workers have also been shown to make better and informed choices that allows them to take reasonable care for their own health and safety in the workplace, such as wearing PPE whilst working. </w:t>
      </w:r>
    </w:p>
    <w:p w14:paraId="2B114063" w14:textId="40838055" w:rsidR="00730BF1" w:rsidRPr="00730BF1" w:rsidRDefault="0001792A" w:rsidP="003E5025">
      <w:pPr>
        <w:pStyle w:val="SWAHeading2"/>
        <w:ind w:left="709"/>
      </w:pPr>
      <w:bookmarkStart w:id="396" w:name="_Toc196204753"/>
      <w:bookmarkStart w:id="397" w:name="_Ref198556026"/>
      <w:bookmarkStart w:id="398" w:name="_Toc219216909"/>
      <w:r>
        <w:t xml:space="preserve">Costs of the </w:t>
      </w:r>
      <w:r w:rsidR="00730BF1">
        <w:t>proposed WEL for hydrogen sulfide</w:t>
      </w:r>
      <w:bookmarkEnd w:id="396"/>
      <w:bookmarkEnd w:id="397"/>
      <w:bookmarkEnd w:id="398"/>
    </w:p>
    <w:p w14:paraId="3B9EBB89" w14:textId="11CC6EF7" w:rsidR="00597459" w:rsidRDefault="00597459" w:rsidP="00BF3651">
      <w:pPr>
        <w:contextualSpacing w:val="0"/>
      </w:pPr>
      <w:r>
        <w:t xml:space="preserve">Costs to comply with the </w:t>
      </w:r>
      <w:r w:rsidRPr="006A0158">
        <w:t xml:space="preserve">proposed WEL for </w:t>
      </w:r>
      <w:r>
        <w:t>hydrogen sulfide</w:t>
      </w:r>
      <w:r w:rsidRPr="006A0158">
        <w:t xml:space="preserve"> </w:t>
      </w:r>
      <w:r>
        <w:t xml:space="preserve">were estimated and are outlined below. </w:t>
      </w:r>
      <w:bookmarkEnd w:id="388"/>
      <w:r>
        <w:t xml:space="preserve">These </w:t>
      </w:r>
      <w:r w:rsidRPr="006A0158">
        <w:t>are indicative estimates only</w:t>
      </w:r>
      <w:r w:rsidR="00A540A6">
        <w:t>.</w:t>
      </w:r>
    </w:p>
    <w:p w14:paraId="7DB74D99" w14:textId="28BBFB41" w:rsidR="00597459" w:rsidRDefault="00D44826" w:rsidP="00597459">
      <w:pPr>
        <w:contextualSpacing w:val="0"/>
      </w:pPr>
      <w:r>
        <w:rPr>
          <w:highlight w:val="lightGray"/>
        </w:rPr>
        <w:fldChar w:fldCharType="begin"/>
      </w:r>
      <w:r>
        <w:rPr>
          <w:highlight w:val="yellow"/>
        </w:rPr>
        <w:instrText xml:space="preserve"> REF _Ref199921927 \h </w:instrText>
      </w:r>
      <w:r>
        <w:rPr>
          <w:highlight w:val="lightGray"/>
        </w:rPr>
      </w:r>
      <w:r>
        <w:rPr>
          <w:highlight w:val="lightGray"/>
        </w:rPr>
        <w:fldChar w:fldCharType="separate"/>
      </w:r>
      <w:r w:rsidR="00A002F4">
        <w:t xml:space="preserve">Table </w:t>
      </w:r>
      <w:r w:rsidR="00A002F4">
        <w:rPr>
          <w:noProof/>
        </w:rPr>
        <w:t>28</w:t>
      </w:r>
      <w:r>
        <w:rPr>
          <w:highlight w:val="lightGray"/>
        </w:rPr>
        <w:fldChar w:fldCharType="end"/>
      </w:r>
      <w:r w:rsidR="000B51DC" w:rsidRPr="38A49B51">
        <w:t xml:space="preserve"> presents the estimated total costs to </w:t>
      </w:r>
      <w:r w:rsidR="00597459">
        <w:t xml:space="preserve">industry to comply </w:t>
      </w:r>
      <w:r w:rsidR="000B51DC" w:rsidRPr="38A49B51">
        <w:t xml:space="preserve">with the proposed WEL for hydrogen </w:t>
      </w:r>
      <w:r w:rsidR="53C559F8" w:rsidRPr="38A49B51">
        <w:t>sulfide</w:t>
      </w:r>
      <w:r w:rsidR="000B51DC" w:rsidRPr="38A49B51">
        <w:t xml:space="preserve"> over the 10-year appraisal period (from FY27 to FY36)</w:t>
      </w:r>
      <w:r w:rsidR="004B60A1">
        <w:t>.</w:t>
      </w:r>
    </w:p>
    <w:p w14:paraId="0D78CAF8" w14:textId="35F2A007" w:rsidR="000B51DC" w:rsidRDefault="000B51DC" w:rsidP="007231FB">
      <w:pPr>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6E0F3F1E" w14:textId="77777777" w:rsidR="000B51DC" w:rsidRDefault="000B51DC" w:rsidP="003E5025">
      <w:pPr>
        <w:keepNext/>
      </w:pPr>
      <w:r>
        <w:t>The analysis illustrates that:</w:t>
      </w:r>
    </w:p>
    <w:p w14:paraId="59F5567C" w14:textId="56527B3B" w:rsidR="000B51DC" w:rsidRPr="003B2D5C" w:rsidRDefault="000B51DC" w:rsidP="00B57E6C">
      <w:pPr>
        <w:pStyle w:val="ListParagraph"/>
        <w:keepNext/>
        <w:numPr>
          <w:ilvl w:val="0"/>
          <w:numId w:val="21"/>
        </w:numPr>
        <w:ind w:left="714" w:hanging="357"/>
        <w:contextualSpacing w:val="0"/>
      </w:pPr>
      <w:bookmarkStart w:id="399" w:name="_Toc193192655"/>
      <w:bookmarkStart w:id="400" w:name="_Toc196204754"/>
      <w:r w:rsidRPr="003B2D5C">
        <w:t>The estimated total cost to affected business</w:t>
      </w:r>
      <w:r>
        <w:t>es</w:t>
      </w:r>
      <w:r w:rsidRPr="003B2D5C">
        <w:t xml:space="preserve"> over 10 years is $</w:t>
      </w:r>
      <w:r w:rsidR="009E64CD" w:rsidRPr="00A540A6">
        <w:t>1.9</w:t>
      </w:r>
      <w:r w:rsidR="00A540A6" w:rsidRPr="007852ED">
        <w:t>1</w:t>
      </w:r>
      <w:r w:rsidRPr="00A540A6">
        <w:t xml:space="preserve"> billion</w:t>
      </w:r>
      <w:r w:rsidRPr="003B2D5C">
        <w:t xml:space="preserve"> (in real, </w:t>
      </w:r>
      <w:r w:rsidR="009E0FE3">
        <w:t>d</w:t>
      </w:r>
      <w:r w:rsidRPr="003B2D5C">
        <w:t xml:space="preserve">iscounted terms), which equates to </w:t>
      </w:r>
      <w:r w:rsidRPr="00A540A6">
        <w:t>$</w:t>
      </w:r>
      <w:r w:rsidR="00A540A6" w:rsidRPr="00A540A6">
        <w:t>3</w:t>
      </w:r>
      <w:r w:rsidR="00A540A6">
        <w:t>16</w:t>
      </w:r>
      <w:r w:rsidR="00A540A6" w:rsidRPr="00A540A6">
        <w:t xml:space="preserve"> </w:t>
      </w:r>
      <w:r w:rsidRPr="00A540A6">
        <w:t>million per year</w:t>
      </w:r>
      <w:r w:rsidRPr="003B2D5C">
        <w:t xml:space="preserve"> (in real, undiscounted terms).</w:t>
      </w:r>
      <w:bookmarkEnd w:id="399"/>
      <w:bookmarkEnd w:id="400"/>
      <w:r w:rsidRPr="003B2D5C">
        <w:t xml:space="preserve"> </w:t>
      </w:r>
    </w:p>
    <w:p w14:paraId="3403C52A" w14:textId="77777777" w:rsidR="000B51DC" w:rsidRDefault="000B51DC" w:rsidP="00B57E6C">
      <w:pPr>
        <w:pStyle w:val="ListParagraph"/>
        <w:numPr>
          <w:ilvl w:val="0"/>
          <w:numId w:val="21"/>
        </w:numPr>
        <w:suppressAutoHyphens/>
        <w:spacing w:line="259" w:lineRule="auto"/>
        <w:contextualSpacing w:val="0"/>
      </w:pPr>
      <w:bookmarkStart w:id="401" w:name="_Toc193192656"/>
      <w:bookmarkStart w:id="402" w:name="_Toc196204755"/>
      <w:r w:rsidRPr="38A49B51">
        <w:t>These estimated total costs comprise of:</w:t>
      </w:r>
      <w:bookmarkEnd w:id="401"/>
      <w:bookmarkEnd w:id="402"/>
      <w:r w:rsidRPr="38A49B51">
        <w:t xml:space="preserve"> </w:t>
      </w:r>
    </w:p>
    <w:p w14:paraId="0FAFA83D" w14:textId="2226078C" w:rsidR="000B51DC" w:rsidRDefault="000B51DC" w:rsidP="00B57E6C">
      <w:pPr>
        <w:pStyle w:val="ListParagraph"/>
        <w:numPr>
          <w:ilvl w:val="1"/>
          <w:numId w:val="21"/>
        </w:numPr>
        <w:suppressAutoHyphens/>
        <w:spacing w:line="259" w:lineRule="auto"/>
        <w:contextualSpacing w:val="0"/>
      </w:pPr>
      <w:bookmarkStart w:id="403" w:name="_Toc193192657"/>
      <w:bookmarkStart w:id="404" w:name="_Toc196204756"/>
      <w:r w:rsidRPr="38A49B51">
        <w:t>control measure costs of $</w:t>
      </w:r>
      <w:r w:rsidR="00A540A6" w:rsidRPr="00A540A6">
        <w:t>8</w:t>
      </w:r>
      <w:r w:rsidR="00A540A6">
        <w:t>27</w:t>
      </w:r>
      <w:r w:rsidR="00A540A6" w:rsidRPr="00A540A6">
        <w:t xml:space="preserve"> </w:t>
      </w:r>
      <w:r w:rsidRPr="00A540A6">
        <w:t>million over 10 years, comprising engineering controls ($</w:t>
      </w:r>
      <w:r w:rsidR="00D86DC5">
        <w:t>288</w:t>
      </w:r>
      <w:r w:rsidR="00D86DC5" w:rsidRPr="00A540A6">
        <w:t xml:space="preserve"> </w:t>
      </w:r>
      <w:r w:rsidRPr="00A540A6">
        <w:t>million), isolation controls ($</w:t>
      </w:r>
      <w:r w:rsidR="00D86DC5" w:rsidRPr="00A540A6">
        <w:t>2</w:t>
      </w:r>
      <w:r w:rsidR="00D86DC5">
        <w:t>62</w:t>
      </w:r>
      <w:r w:rsidR="00D86DC5" w:rsidRPr="00A540A6">
        <w:t xml:space="preserve"> </w:t>
      </w:r>
      <w:r w:rsidRPr="00A540A6">
        <w:t>million)</w:t>
      </w:r>
      <w:r w:rsidR="64D17FDA" w:rsidRPr="00A540A6">
        <w:t>, administrative controls ($</w:t>
      </w:r>
      <w:r w:rsidR="00D86DC5" w:rsidRPr="00A540A6">
        <w:t>19</w:t>
      </w:r>
      <w:r w:rsidR="00D86DC5">
        <w:t xml:space="preserve">2 </w:t>
      </w:r>
      <w:r w:rsidR="64D17FDA" w:rsidRPr="00A540A6">
        <w:t>million</w:t>
      </w:r>
      <w:r w:rsidRPr="00A540A6">
        <w:t xml:space="preserve">) and </w:t>
      </w:r>
      <w:r w:rsidR="006C2F39" w:rsidRPr="00A540A6">
        <w:t>personal protective equipment</w:t>
      </w:r>
      <w:r w:rsidR="00652CDA" w:rsidRPr="008352B7">
        <w:t xml:space="preserve"> (PPE)</w:t>
      </w:r>
      <w:r w:rsidR="006C2F39" w:rsidRPr="00A540A6">
        <w:t xml:space="preserve"> </w:t>
      </w:r>
      <w:r w:rsidRPr="00A540A6">
        <w:t>($</w:t>
      </w:r>
      <w:r w:rsidR="22AE21D8" w:rsidRPr="00A540A6">
        <w:t>86</w:t>
      </w:r>
      <w:r w:rsidRPr="00A540A6">
        <w:t xml:space="preserve"> million</w:t>
      </w:r>
      <w:r w:rsidRPr="38A49B51">
        <w:t>).</w:t>
      </w:r>
      <w:bookmarkEnd w:id="403"/>
      <w:bookmarkEnd w:id="404"/>
    </w:p>
    <w:p w14:paraId="60D5E6AD" w14:textId="1C63CD9A" w:rsidR="000B51DC" w:rsidRDefault="000B51DC" w:rsidP="00B57E6C">
      <w:pPr>
        <w:pStyle w:val="ListParagraph"/>
        <w:numPr>
          <w:ilvl w:val="1"/>
          <w:numId w:val="21"/>
        </w:numPr>
        <w:suppressAutoHyphens/>
        <w:spacing w:line="259" w:lineRule="auto"/>
        <w:contextualSpacing w:val="0"/>
      </w:pPr>
      <w:bookmarkStart w:id="405" w:name="_Toc193192658"/>
      <w:bookmarkStart w:id="406" w:name="_Toc196204757"/>
      <w:r w:rsidRPr="38A49B51">
        <w:t>management practice costs of $</w:t>
      </w:r>
      <w:r w:rsidR="00D86DC5" w:rsidRPr="00A540A6">
        <w:t>1</w:t>
      </w:r>
      <w:r w:rsidR="00D86DC5">
        <w:t>05</w:t>
      </w:r>
      <w:r w:rsidR="00D86DC5" w:rsidRPr="00A540A6">
        <w:t xml:space="preserve"> </w:t>
      </w:r>
      <w:r w:rsidRPr="00A540A6">
        <w:t>million over 10 years, comprising air monitoring ($</w:t>
      </w:r>
      <w:r w:rsidR="00D86DC5" w:rsidRPr="00A540A6">
        <w:t>4</w:t>
      </w:r>
      <w:r w:rsidR="00D86DC5">
        <w:t>2</w:t>
      </w:r>
      <w:r w:rsidR="00D86DC5" w:rsidRPr="00A540A6">
        <w:t xml:space="preserve"> </w:t>
      </w:r>
      <w:r w:rsidRPr="00A540A6">
        <w:t>million) and occupational hygiene ($</w:t>
      </w:r>
      <w:r w:rsidR="00D86DC5" w:rsidRPr="00A540A6">
        <w:t>6</w:t>
      </w:r>
      <w:r w:rsidR="00D86DC5">
        <w:t>3</w:t>
      </w:r>
      <w:r w:rsidR="00D86DC5" w:rsidRPr="00A540A6">
        <w:t xml:space="preserve"> </w:t>
      </w:r>
      <w:r w:rsidRPr="00A540A6">
        <w:t>million</w:t>
      </w:r>
      <w:r w:rsidRPr="38A49B51">
        <w:t>).</w:t>
      </w:r>
      <w:bookmarkEnd w:id="405"/>
      <w:bookmarkEnd w:id="406"/>
    </w:p>
    <w:p w14:paraId="08FF75BC" w14:textId="421D910B" w:rsidR="000B51DC" w:rsidRDefault="000B51DC" w:rsidP="00B57E6C">
      <w:pPr>
        <w:pStyle w:val="ListParagraph"/>
        <w:numPr>
          <w:ilvl w:val="0"/>
          <w:numId w:val="21"/>
        </w:numPr>
        <w:suppressAutoHyphens/>
        <w:spacing w:line="259" w:lineRule="auto"/>
        <w:ind w:hanging="357"/>
        <w:contextualSpacing w:val="0"/>
      </w:pPr>
      <w:bookmarkStart w:id="407" w:name="_Toc193192659"/>
      <w:bookmarkStart w:id="408" w:name="_Toc196204758"/>
      <w:r w:rsidRPr="38A49B51">
        <w:t>An additional $</w:t>
      </w:r>
      <w:r w:rsidR="007C18F9" w:rsidRPr="00A540A6">
        <w:t xml:space="preserve">975 </w:t>
      </w:r>
      <w:r w:rsidRPr="00A540A6">
        <w:t>million</w:t>
      </w:r>
      <w:r w:rsidRPr="38A49B51">
        <w:t xml:space="preserve"> of industry-specific costs have been estimated, informed by data provided by the water services industry. These comprise of:</w:t>
      </w:r>
      <w:bookmarkEnd w:id="407"/>
      <w:bookmarkEnd w:id="408"/>
    </w:p>
    <w:p w14:paraId="4B545C94" w14:textId="77777777" w:rsidR="000B51DC" w:rsidRDefault="000B51DC" w:rsidP="00B57E6C">
      <w:pPr>
        <w:pStyle w:val="ListParagraph"/>
        <w:numPr>
          <w:ilvl w:val="1"/>
          <w:numId w:val="21"/>
        </w:numPr>
        <w:suppressAutoHyphens/>
        <w:spacing w:line="259" w:lineRule="auto"/>
        <w:ind w:hanging="357"/>
        <w:contextualSpacing w:val="0"/>
      </w:pPr>
      <w:bookmarkStart w:id="409" w:name="_Toc193192660"/>
      <w:bookmarkStart w:id="410" w:name="_Toc196204759"/>
      <w:r w:rsidRPr="00A540A6">
        <w:t>$157 million</w:t>
      </w:r>
      <w:r>
        <w:t xml:space="preserve"> for isolation controls (network chemical design system upgrades)</w:t>
      </w:r>
      <w:bookmarkEnd w:id="409"/>
      <w:bookmarkEnd w:id="410"/>
    </w:p>
    <w:p w14:paraId="7E7064D7" w14:textId="77777777" w:rsidR="000B51DC" w:rsidRDefault="000B51DC" w:rsidP="00B57E6C">
      <w:pPr>
        <w:pStyle w:val="ListParagraph"/>
        <w:numPr>
          <w:ilvl w:val="1"/>
          <w:numId w:val="21"/>
        </w:numPr>
        <w:suppressAutoHyphens/>
        <w:spacing w:line="259" w:lineRule="auto"/>
        <w:contextualSpacing w:val="0"/>
      </w:pPr>
      <w:bookmarkStart w:id="411" w:name="_Toc193192661"/>
      <w:bookmarkStart w:id="412" w:name="_Toc196204760"/>
      <w:r w:rsidRPr="00A540A6">
        <w:t>$767 million</w:t>
      </w:r>
      <w:r>
        <w:t xml:space="preserve"> for engineering controls (ventilation upgrades for air treatment facilities and pump stations)</w:t>
      </w:r>
      <w:bookmarkEnd w:id="411"/>
      <w:bookmarkEnd w:id="412"/>
    </w:p>
    <w:p w14:paraId="38D98C75" w14:textId="1B7CDF74" w:rsidR="000B51DC" w:rsidRDefault="000B51DC" w:rsidP="00B57E6C">
      <w:pPr>
        <w:pStyle w:val="ListParagraph"/>
        <w:numPr>
          <w:ilvl w:val="1"/>
          <w:numId w:val="21"/>
        </w:numPr>
        <w:suppressAutoHyphens/>
        <w:spacing w:line="259" w:lineRule="auto"/>
        <w:contextualSpacing w:val="0"/>
      </w:pPr>
      <w:bookmarkStart w:id="413" w:name="_Toc193192662"/>
      <w:bookmarkStart w:id="414" w:name="_Toc196204761"/>
      <w:r w:rsidRPr="00A540A6">
        <w:t>$</w:t>
      </w:r>
      <w:r w:rsidR="0017756E" w:rsidRPr="00A540A6">
        <w:t xml:space="preserve">23 </w:t>
      </w:r>
      <w:r w:rsidRPr="00A540A6">
        <w:t>million</w:t>
      </w:r>
      <w:r>
        <w:t xml:space="preserve"> for administrative controls (personal gas monitoring upgrades)</w:t>
      </w:r>
      <w:bookmarkEnd w:id="413"/>
      <w:bookmarkEnd w:id="414"/>
    </w:p>
    <w:p w14:paraId="0CEE4431" w14:textId="5945498B" w:rsidR="000B51DC" w:rsidRDefault="000B51DC" w:rsidP="00B57E6C">
      <w:pPr>
        <w:pStyle w:val="ListParagraph"/>
        <w:numPr>
          <w:ilvl w:val="1"/>
          <w:numId w:val="21"/>
        </w:numPr>
        <w:suppressAutoHyphens/>
        <w:spacing w:line="259" w:lineRule="auto"/>
        <w:contextualSpacing w:val="0"/>
      </w:pPr>
      <w:bookmarkStart w:id="415" w:name="_Toc193192663"/>
      <w:bookmarkStart w:id="416" w:name="_Toc196204762"/>
      <w:r w:rsidRPr="00A540A6">
        <w:t>$</w:t>
      </w:r>
      <w:r w:rsidR="0017756E" w:rsidRPr="00A540A6">
        <w:t xml:space="preserve">27 </w:t>
      </w:r>
      <w:r w:rsidRPr="00A540A6">
        <w:t>million</w:t>
      </w:r>
      <w:r>
        <w:t xml:space="preserve"> for PPE (full face respirators).</w:t>
      </w:r>
      <w:bookmarkEnd w:id="415"/>
      <w:bookmarkEnd w:id="416"/>
    </w:p>
    <w:p w14:paraId="5CB9050A" w14:textId="77777777" w:rsidR="00D61927" w:rsidRDefault="00D61927" w:rsidP="00661A98">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19BB9460" w14:textId="0B70596F" w:rsidR="00D61927" w:rsidRDefault="00D61927" w:rsidP="00661A98">
      <w:pPr>
        <w:suppressAutoHyphens/>
      </w:pPr>
      <w:r>
        <w:lastRenderedPageBreak/>
        <w:t xml:space="preserve">Obligations around management practice costs make these costs more likely to be evenly distributed throughout the appraisal period. </w:t>
      </w:r>
    </w:p>
    <w:p w14:paraId="2BBABD8E" w14:textId="4ADD34B5" w:rsidR="003E5025" w:rsidRDefault="003E5025" w:rsidP="003E5025">
      <w:pPr>
        <w:pStyle w:val="Caption"/>
      </w:pPr>
      <w:bookmarkStart w:id="417" w:name="_Ref199921927"/>
      <w:r>
        <w:t xml:space="preserve">Table </w:t>
      </w:r>
      <w:fldSimple w:instr=" SEQ Table \* ARABIC ">
        <w:r w:rsidR="00A002F4">
          <w:rPr>
            <w:noProof/>
          </w:rPr>
          <w:t>28</w:t>
        </w:r>
      </w:fldSimple>
      <w:bookmarkEnd w:id="417"/>
      <w:r>
        <w:t xml:space="preserve"> - </w:t>
      </w:r>
      <w:r w:rsidRPr="0073572A">
        <w:t>Estimated average annual and total incremental costs to industry by the proposed WEL for hydrogen sulfide,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81"/>
        <w:gridCol w:w="2764"/>
        <w:gridCol w:w="2622"/>
      </w:tblGrid>
      <w:tr w:rsidR="000B51DC" w:rsidRPr="008404A0" w14:paraId="12ACAF2E" w14:textId="77777777" w:rsidTr="000451F7">
        <w:trPr>
          <w:trHeight w:val="617"/>
        </w:trPr>
        <w:tc>
          <w:tcPr>
            <w:tcW w:w="3681" w:type="dxa"/>
            <w:shd w:val="clear" w:color="auto" w:fill="4877E0" w:themeFill="accent1"/>
          </w:tcPr>
          <w:p w14:paraId="3606BB71"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764" w:type="dxa"/>
            <w:shd w:val="clear" w:color="auto" w:fill="4877E0" w:themeFill="accent1"/>
          </w:tcPr>
          <w:p w14:paraId="3B51A323"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622" w:type="dxa"/>
            <w:shd w:val="clear" w:color="auto" w:fill="4877E0" w:themeFill="accent1"/>
          </w:tcPr>
          <w:p w14:paraId="45EC3B53"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683752B9" w14:textId="77777777" w:rsidTr="000451F7">
        <w:trPr>
          <w:trHeight w:val="288"/>
        </w:trPr>
        <w:tc>
          <w:tcPr>
            <w:tcW w:w="3681" w:type="dxa"/>
            <w:shd w:val="clear" w:color="auto" w:fill="DAE3F8" w:themeFill="accent1" w:themeFillTint="33"/>
          </w:tcPr>
          <w:p w14:paraId="05C92AE4" w14:textId="77777777" w:rsidR="000B51DC" w:rsidRPr="00154D99" w:rsidRDefault="000B51DC">
            <w:pPr>
              <w:pStyle w:val="Paragraph"/>
              <w:spacing w:after="0" w:line="276" w:lineRule="auto"/>
              <w:rPr>
                <w:b/>
              </w:rPr>
            </w:pPr>
            <w:r w:rsidRPr="00154D99">
              <w:rPr>
                <w:b/>
              </w:rPr>
              <w:t>Control measure costs</w:t>
            </w:r>
          </w:p>
        </w:tc>
        <w:tc>
          <w:tcPr>
            <w:tcW w:w="2764" w:type="dxa"/>
            <w:shd w:val="clear" w:color="auto" w:fill="DAE3F8" w:themeFill="accent1" w:themeFillTint="33"/>
          </w:tcPr>
          <w:p w14:paraId="117F22A1" w14:textId="0F678955" w:rsidR="000B51DC" w:rsidRPr="00154D99" w:rsidRDefault="00D86DC5">
            <w:pPr>
              <w:keepNext/>
              <w:keepLines/>
              <w:jc w:val="right"/>
              <w:rPr>
                <w:b/>
              </w:rPr>
            </w:pPr>
            <w:r>
              <w:rPr>
                <w:b/>
                <w:bCs/>
              </w:rPr>
              <w:t>136.7</w:t>
            </w:r>
          </w:p>
        </w:tc>
        <w:tc>
          <w:tcPr>
            <w:tcW w:w="2622" w:type="dxa"/>
            <w:shd w:val="clear" w:color="auto" w:fill="DAE3F8" w:themeFill="accent1" w:themeFillTint="33"/>
          </w:tcPr>
          <w:p w14:paraId="55603DFF" w14:textId="3DC2A80E" w:rsidR="000B51DC" w:rsidRPr="00154D99" w:rsidRDefault="00D86DC5">
            <w:pPr>
              <w:keepNext/>
              <w:keepLines/>
              <w:jc w:val="right"/>
              <w:rPr>
                <w:b/>
              </w:rPr>
            </w:pPr>
            <w:r>
              <w:rPr>
                <w:b/>
                <w:bCs/>
              </w:rPr>
              <w:t>827.1</w:t>
            </w:r>
          </w:p>
        </w:tc>
      </w:tr>
      <w:tr w:rsidR="000B51DC" w:rsidRPr="00BA600A" w14:paraId="0385D4A8" w14:textId="77777777" w:rsidTr="000451F7">
        <w:trPr>
          <w:trHeight w:val="304"/>
        </w:trPr>
        <w:tc>
          <w:tcPr>
            <w:tcW w:w="3681" w:type="dxa"/>
          </w:tcPr>
          <w:p w14:paraId="2D6D8369" w14:textId="77777777" w:rsidR="000B51DC" w:rsidRPr="00B155EC" w:rsidRDefault="000B51DC" w:rsidP="00DC29A7">
            <w:pPr>
              <w:pStyle w:val="Paragraph"/>
              <w:spacing w:after="0" w:line="276" w:lineRule="auto"/>
              <w:ind w:left="165"/>
              <w:rPr>
                <w:bCs/>
              </w:rPr>
            </w:pPr>
            <w:r w:rsidRPr="00B155EC">
              <w:rPr>
                <w:bCs/>
              </w:rPr>
              <w:t>Isolation control costs</w:t>
            </w:r>
          </w:p>
        </w:tc>
        <w:tc>
          <w:tcPr>
            <w:tcW w:w="2764" w:type="dxa"/>
          </w:tcPr>
          <w:p w14:paraId="5D5724D1" w14:textId="6719C470" w:rsidR="000B51DC" w:rsidRPr="00B02E59" w:rsidRDefault="00D86DC5">
            <w:pPr>
              <w:keepNext/>
              <w:keepLines/>
              <w:jc w:val="right"/>
            </w:pPr>
            <w:r>
              <w:t>43.3</w:t>
            </w:r>
          </w:p>
        </w:tc>
        <w:tc>
          <w:tcPr>
            <w:tcW w:w="2622" w:type="dxa"/>
          </w:tcPr>
          <w:p w14:paraId="732C3F50" w14:textId="055B0787" w:rsidR="000B51DC" w:rsidRPr="00B02E59" w:rsidRDefault="00D86DC5">
            <w:pPr>
              <w:keepNext/>
              <w:keepLines/>
              <w:jc w:val="right"/>
            </w:pPr>
            <w:r>
              <w:t>262.4</w:t>
            </w:r>
          </w:p>
        </w:tc>
      </w:tr>
      <w:tr w:rsidR="000B51DC" w:rsidRPr="00BA600A" w14:paraId="64F95C04" w14:textId="77777777" w:rsidTr="000451F7">
        <w:trPr>
          <w:trHeight w:val="304"/>
        </w:trPr>
        <w:tc>
          <w:tcPr>
            <w:tcW w:w="3681" w:type="dxa"/>
          </w:tcPr>
          <w:p w14:paraId="403BD66C" w14:textId="77777777" w:rsidR="000B51DC" w:rsidRPr="00B155EC" w:rsidRDefault="000B51DC" w:rsidP="000451F7">
            <w:pPr>
              <w:pStyle w:val="Paragraph"/>
              <w:spacing w:after="0" w:line="276" w:lineRule="auto"/>
              <w:ind w:left="165"/>
              <w:rPr>
                <w:bCs/>
              </w:rPr>
            </w:pPr>
            <w:r w:rsidRPr="00B155EC">
              <w:rPr>
                <w:bCs/>
              </w:rPr>
              <w:t>Engineering control costs</w:t>
            </w:r>
          </w:p>
        </w:tc>
        <w:tc>
          <w:tcPr>
            <w:tcW w:w="2764" w:type="dxa"/>
          </w:tcPr>
          <w:p w14:paraId="529DB936" w14:textId="0645A11B" w:rsidR="000B51DC" w:rsidRPr="00B02E59" w:rsidRDefault="00D86DC5">
            <w:pPr>
              <w:keepNext/>
              <w:keepLines/>
              <w:jc w:val="right"/>
            </w:pPr>
            <w:r>
              <w:t>47.4</w:t>
            </w:r>
          </w:p>
        </w:tc>
        <w:tc>
          <w:tcPr>
            <w:tcW w:w="2622" w:type="dxa"/>
          </w:tcPr>
          <w:p w14:paraId="07D72D81" w14:textId="4CBEBC5E" w:rsidR="000B51DC" w:rsidRPr="00B02E59" w:rsidRDefault="00D86DC5">
            <w:pPr>
              <w:keepNext/>
              <w:keepLines/>
              <w:jc w:val="right"/>
            </w:pPr>
            <w:r>
              <w:t>287.5</w:t>
            </w:r>
          </w:p>
        </w:tc>
      </w:tr>
      <w:tr w:rsidR="000B51DC" w:rsidRPr="00BA600A" w14:paraId="0DDB0C9B" w14:textId="77777777" w:rsidTr="000451F7">
        <w:trPr>
          <w:trHeight w:val="288"/>
        </w:trPr>
        <w:tc>
          <w:tcPr>
            <w:tcW w:w="3681" w:type="dxa"/>
          </w:tcPr>
          <w:p w14:paraId="4D4C0175" w14:textId="77777777" w:rsidR="000B51DC" w:rsidRPr="00B155EC" w:rsidRDefault="000B51DC" w:rsidP="000451F7">
            <w:pPr>
              <w:pStyle w:val="Paragraph"/>
              <w:spacing w:after="0" w:line="276" w:lineRule="auto"/>
              <w:ind w:left="165"/>
              <w:rPr>
                <w:bCs/>
              </w:rPr>
            </w:pPr>
            <w:r w:rsidRPr="00B155EC">
              <w:rPr>
                <w:bCs/>
              </w:rPr>
              <w:t>Administrative control costs</w:t>
            </w:r>
          </w:p>
        </w:tc>
        <w:tc>
          <w:tcPr>
            <w:tcW w:w="2764" w:type="dxa"/>
          </w:tcPr>
          <w:p w14:paraId="77E0D6F1" w14:textId="6BFE7B4E" w:rsidR="000B51DC" w:rsidRPr="00B02E59" w:rsidRDefault="00D86DC5">
            <w:pPr>
              <w:keepNext/>
              <w:keepLines/>
              <w:jc w:val="right"/>
            </w:pPr>
            <w:r>
              <w:t>31.8</w:t>
            </w:r>
          </w:p>
        </w:tc>
        <w:tc>
          <w:tcPr>
            <w:tcW w:w="2622" w:type="dxa"/>
          </w:tcPr>
          <w:p w14:paraId="07A2DBE8" w14:textId="680D637E" w:rsidR="000B51DC" w:rsidRPr="00B02E59" w:rsidRDefault="00D86DC5">
            <w:pPr>
              <w:keepNext/>
              <w:keepLines/>
              <w:jc w:val="right"/>
            </w:pPr>
            <w:r>
              <w:t>191.7</w:t>
            </w:r>
          </w:p>
        </w:tc>
      </w:tr>
      <w:tr w:rsidR="000B51DC" w:rsidRPr="00BA600A" w14:paraId="7E1E7FDC" w14:textId="77777777" w:rsidTr="000451F7">
        <w:trPr>
          <w:trHeight w:val="224"/>
        </w:trPr>
        <w:tc>
          <w:tcPr>
            <w:tcW w:w="3681" w:type="dxa"/>
          </w:tcPr>
          <w:p w14:paraId="277F4810" w14:textId="77777777" w:rsidR="000B51DC" w:rsidRPr="00B155EC" w:rsidRDefault="000B51DC" w:rsidP="000451F7">
            <w:pPr>
              <w:pStyle w:val="Paragraph"/>
              <w:spacing w:after="0" w:line="276" w:lineRule="auto"/>
              <w:ind w:left="165"/>
              <w:rPr>
                <w:bCs/>
              </w:rPr>
            </w:pPr>
            <w:r w:rsidRPr="00B155EC">
              <w:rPr>
                <w:bCs/>
              </w:rPr>
              <w:t>Personal protective equipment costs</w:t>
            </w:r>
          </w:p>
        </w:tc>
        <w:tc>
          <w:tcPr>
            <w:tcW w:w="2764" w:type="dxa"/>
          </w:tcPr>
          <w:p w14:paraId="58FC58AA" w14:textId="52121877" w:rsidR="000B51DC" w:rsidRPr="00B02E59" w:rsidRDefault="02674FDB">
            <w:pPr>
              <w:keepNext/>
              <w:keepLines/>
              <w:jc w:val="right"/>
            </w:pPr>
            <w:r>
              <w:t>14.</w:t>
            </w:r>
            <w:r w:rsidR="00D86DC5">
              <w:t>2</w:t>
            </w:r>
          </w:p>
        </w:tc>
        <w:tc>
          <w:tcPr>
            <w:tcW w:w="2622" w:type="dxa"/>
          </w:tcPr>
          <w:p w14:paraId="63E25D34" w14:textId="7FA6E5A6" w:rsidR="000B51DC" w:rsidRPr="00B02E59" w:rsidRDefault="00D86DC5">
            <w:pPr>
              <w:keepNext/>
              <w:keepLines/>
              <w:jc w:val="right"/>
            </w:pPr>
            <w:r>
              <w:t>85.5</w:t>
            </w:r>
          </w:p>
        </w:tc>
      </w:tr>
      <w:tr w:rsidR="000B51DC" w:rsidRPr="00BA600A" w14:paraId="36409889" w14:textId="77777777" w:rsidTr="000451F7">
        <w:trPr>
          <w:trHeight w:val="304"/>
        </w:trPr>
        <w:tc>
          <w:tcPr>
            <w:tcW w:w="3681" w:type="dxa"/>
            <w:shd w:val="clear" w:color="auto" w:fill="DAE3F8" w:themeFill="accent1" w:themeFillTint="33"/>
          </w:tcPr>
          <w:p w14:paraId="731C114E" w14:textId="77777777" w:rsidR="000B51DC" w:rsidRPr="00154D99" w:rsidRDefault="000B51DC">
            <w:pPr>
              <w:pStyle w:val="Paragraph"/>
              <w:spacing w:after="0" w:line="276" w:lineRule="auto"/>
              <w:rPr>
                <w:b/>
              </w:rPr>
            </w:pPr>
            <w:r w:rsidRPr="00154D99">
              <w:rPr>
                <w:b/>
              </w:rPr>
              <w:t>Management practice costs</w:t>
            </w:r>
          </w:p>
        </w:tc>
        <w:tc>
          <w:tcPr>
            <w:tcW w:w="2764" w:type="dxa"/>
            <w:shd w:val="clear" w:color="auto" w:fill="DAE3F8" w:themeFill="accent1" w:themeFillTint="33"/>
          </w:tcPr>
          <w:p w14:paraId="16D0DD3E" w14:textId="4573A64C" w:rsidR="000B51DC" w:rsidRPr="00154D99" w:rsidRDefault="00D86DC5">
            <w:pPr>
              <w:keepNext/>
              <w:keepLines/>
              <w:jc w:val="right"/>
              <w:rPr>
                <w:b/>
              </w:rPr>
            </w:pPr>
            <w:r>
              <w:rPr>
                <w:b/>
                <w:bCs/>
              </w:rPr>
              <w:t>17.3</w:t>
            </w:r>
          </w:p>
        </w:tc>
        <w:tc>
          <w:tcPr>
            <w:tcW w:w="2622" w:type="dxa"/>
            <w:shd w:val="clear" w:color="auto" w:fill="DAE3F8" w:themeFill="accent1" w:themeFillTint="33"/>
          </w:tcPr>
          <w:p w14:paraId="65C44965" w14:textId="7441F5A7" w:rsidR="000B51DC" w:rsidRPr="00154D99" w:rsidRDefault="00D86DC5">
            <w:pPr>
              <w:keepNext/>
              <w:keepLines/>
              <w:jc w:val="right"/>
              <w:rPr>
                <w:b/>
              </w:rPr>
            </w:pPr>
            <w:r>
              <w:rPr>
                <w:b/>
                <w:bCs/>
              </w:rPr>
              <w:t>104.6</w:t>
            </w:r>
          </w:p>
        </w:tc>
      </w:tr>
      <w:tr w:rsidR="000B51DC" w:rsidRPr="00BA600A" w14:paraId="06FE0D04" w14:textId="77777777" w:rsidTr="000451F7">
        <w:trPr>
          <w:trHeight w:val="288"/>
        </w:trPr>
        <w:tc>
          <w:tcPr>
            <w:tcW w:w="3681" w:type="dxa"/>
          </w:tcPr>
          <w:p w14:paraId="6728885F" w14:textId="77777777" w:rsidR="000B51DC" w:rsidRPr="00B155EC" w:rsidRDefault="000B51DC" w:rsidP="000451F7">
            <w:pPr>
              <w:pStyle w:val="Paragraph"/>
              <w:spacing w:after="0" w:line="276" w:lineRule="auto"/>
              <w:ind w:left="165"/>
              <w:rPr>
                <w:bCs/>
              </w:rPr>
            </w:pPr>
            <w:r w:rsidRPr="00B155EC">
              <w:rPr>
                <w:bCs/>
              </w:rPr>
              <w:t>Air monitoring costs</w:t>
            </w:r>
          </w:p>
        </w:tc>
        <w:tc>
          <w:tcPr>
            <w:tcW w:w="2764" w:type="dxa"/>
          </w:tcPr>
          <w:p w14:paraId="1904A517" w14:textId="77C6A388" w:rsidR="000B51DC" w:rsidRPr="00B02E59" w:rsidRDefault="00D86DC5">
            <w:pPr>
              <w:keepNext/>
              <w:keepLines/>
              <w:jc w:val="right"/>
            </w:pPr>
            <w:r>
              <w:t>6.9</w:t>
            </w:r>
          </w:p>
        </w:tc>
        <w:tc>
          <w:tcPr>
            <w:tcW w:w="2622" w:type="dxa"/>
          </w:tcPr>
          <w:p w14:paraId="623E3181" w14:textId="4AAF91CB" w:rsidR="000B51DC" w:rsidRPr="00B02E59" w:rsidRDefault="00D86DC5">
            <w:pPr>
              <w:keepNext/>
              <w:keepLines/>
              <w:jc w:val="right"/>
            </w:pPr>
            <w:r>
              <w:t>42.1</w:t>
            </w:r>
          </w:p>
        </w:tc>
      </w:tr>
      <w:tr w:rsidR="000B51DC" w:rsidRPr="00BA600A" w14:paraId="31968EE4" w14:textId="77777777" w:rsidTr="000451F7">
        <w:trPr>
          <w:trHeight w:val="304"/>
        </w:trPr>
        <w:tc>
          <w:tcPr>
            <w:tcW w:w="3681" w:type="dxa"/>
          </w:tcPr>
          <w:p w14:paraId="5B45FC30" w14:textId="77777777" w:rsidR="000B51DC" w:rsidRPr="00B155EC" w:rsidRDefault="000B51DC" w:rsidP="000451F7">
            <w:pPr>
              <w:pStyle w:val="Paragraph"/>
              <w:spacing w:after="0" w:line="276" w:lineRule="auto"/>
              <w:ind w:left="165"/>
              <w:rPr>
                <w:bCs/>
              </w:rPr>
            </w:pPr>
            <w:r w:rsidRPr="00B155EC">
              <w:rPr>
                <w:bCs/>
              </w:rPr>
              <w:t>Occupational hygiene costs</w:t>
            </w:r>
          </w:p>
        </w:tc>
        <w:tc>
          <w:tcPr>
            <w:tcW w:w="2764" w:type="dxa"/>
          </w:tcPr>
          <w:p w14:paraId="26E89DF2" w14:textId="2B01CC3B" w:rsidR="000B51DC" w:rsidRPr="00B02E59" w:rsidRDefault="12568E97">
            <w:pPr>
              <w:keepNext/>
              <w:keepLines/>
              <w:jc w:val="right"/>
            </w:pPr>
            <w:r>
              <w:t>10.</w:t>
            </w:r>
            <w:r w:rsidR="00D86DC5">
              <w:t>3</w:t>
            </w:r>
          </w:p>
        </w:tc>
        <w:tc>
          <w:tcPr>
            <w:tcW w:w="2622" w:type="dxa"/>
          </w:tcPr>
          <w:p w14:paraId="450024F4" w14:textId="6F055519" w:rsidR="000B51DC" w:rsidRPr="00B02E59" w:rsidRDefault="00D86DC5">
            <w:pPr>
              <w:keepNext/>
              <w:keepLines/>
              <w:jc w:val="right"/>
            </w:pPr>
            <w:r>
              <w:t>62</w:t>
            </w:r>
            <w:r w:rsidR="008B1255">
              <w:t>.5</w:t>
            </w:r>
          </w:p>
        </w:tc>
      </w:tr>
      <w:tr w:rsidR="000B51DC" w:rsidRPr="00BA600A" w14:paraId="698D4C00" w14:textId="77777777" w:rsidTr="000451F7">
        <w:trPr>
          <w:trHeight w:val="304"/>
        </w:trPr>
        <w:tc>
          <w:tcPr>
            <w:tcW w:w="3681" w:type="dxa"/>
            <w:shd w:val="clear" w:color="auto" w:fill="DAE3F8" w:themeFill="accent1" w:themeFillTint="33"/>
          </w:tcPr>
          <w:p w14:paraId="77F48A08" w14:textId="518D7BF0" w:rsidR="000B51DC" w:rsidRPr="00871190" w:rsidRDefault="000B51DC">
            <w:pPr>
              <w:pStyle w:val="Paragraph"/>
              <w:spacing w:after="0" w:line="276" w:lineRule="auto"/>
              <w:rPr>
                <w:b/>
              </w:rPr>
            </w:pPr>
            <w:r w:rsidRPr="00871190">
              <w:rPr>
                <w:b/>
              </w:rPr>
              <w:t>Specific costs</w:t>
            </w:r>
          </w:p>
        </w:tc>
        <w:tc>
          <w:tcPr>
            <w:tcW w:w="2764" w:type="dxa"/>
            <w:shd w:val="clear" w:color="auto" w:fill="DAE3F8" w:themeFill="accent1" w:themeFillTint="33"/>
          </w:tcPr>
          <w:p w14:paraId="7B604080" w14:textId="467EF0E0" w:rsidR="000B51DC" w:rsidRPr="00871190" w:rsidRDefault="0032188C">
            <w:pPr>
              <w:keepNext/>
              <w:keepLines/>
              <w:jc w:val="right"/>
              <w:rPr>
                <w:b/>
              </w:rPr>
            </w:pPr>
            <w:r>
              <w:rPr>
                <w:b/>
              </w:rPr>
              <w:t>162.2</w:t>
            </w:r>
          </w:p>
        </w:tc>
        <w:tc>
          <w:tcPr>
            <w:tcW w:w="2622" w:type="dxa"/>
            <w:shd w:val="clear" w:color="auto" w:fill="DAE3F8" w:themeFill="accent1" w:themeFillTint="33"/>
          </w:tcPr>
          <w:p w14:paraId="36976869" w14:textId="3AE7E9C8" w:rsidR="000B51DC" w:rsidRPr="00871190" w:rsidRDefault="0032188C">
            <w:pPr>
              <w:keepNext/>
              <w:keepLines/>
              <w:jc w:val="right"/>
              <w:rPr>
                <w:b/>
              </w:rPr>
            </w:pPr>
            <w:r>
              <w:rPr>
                <w:b/>
              </w:rPr>
              <w:t>975</w:t>
            </w:r>
            <w:r w:rsidR="008B1255">
              <w:rPr>
                <w:b/>
              </w:rPr>
              <w:t>.0</w:t>
            </w:r>
          </w:p>
        </w:tc>
      </w:tr>
      <w:tr w:rsidR="000B51DC" w:rsidRPr="00BA600A" w14:paraId="544764BE" w14:textId="77777777" w:rsidTr="000451F7">
        <w:trPr>
          <w:trHeight w:val="288"/>
        </w:trPr>
        <w:tc>
          <w:tcPr>
            <w:tcW w:w="3681" w:type="dxa"/>
            <w:shd w:val="clear" w:color="auto" w:fill="91ACEC" w:themeFill="accent1" w:themeFillTint="99"/>
          </w:tcPr>
          <w:p w14:paraId="6CA97D41" w14:textId="77777777" w:rsidR="000B51DC" w:rsidRPr="00154D99" w:rsidRDefault="000B51DC">
            <w:pPr>
              <w:pStyle w:val="Paragraph"/>
              <w:spacing w:after="0" w:line="276" w:lineRule="auto"/>
              <w:rPr>
                <w:b/>
              </w:rPr>
            </w:pPr>
            <w:r w:rsidRPr="00154D99">
              <w:rPr>
                <w:b/>
              </w:rPr>
              <w:t>Total costs</w:t>
            </w:r>
          </w:p>
        </w:tc>
        <w:tc>
          <w:tcPr>
            <w:tcW w:w="2764" w:type="dxa"/>
            <w:shd w:val="clear" w:color="auto" w:fill="91ACEC" w:themeFill="accent1" w:themeFillTint="99"/>
          </w:tcPr>
          <w:p w14:paraId="3D371DF9" w14:textId="05B17717" w:rsidR="000B51DC" w:rsidRPr="00154D99" w:rsidRDefault="00D86DC5">
            <w:pPr>
              <w:keepNext/>
              <w:keepLines/>
              <w:jc w:val="right"/>
              <w:rPr>
                <w:b/>
              </w:rPr>
            </w:pPr>
            <w:r>
              <w:rPr>
                <w:b/>
                <w:bCs/>
              </w:rPr>
              <w:t>316.1</w:t>
            </w:r>
          </w:p>
        </w:tc>
        <w:tc>
          <w:tcPr>
            <w:tcW w:w="2622" w:type="dxa"/>
            <w:shd w:val="clear" w:color="auto" w:fill="91ACEC" w:themeFill="accent1" w:themeFillTint="99"/>
          </w:tcPr>
          <w:p w14:paraId="0685C0F0" w14:textId="04325812" w:rsidR="000B51DC" w:rsidRPr="00154D99" w:rsidRDefault="0032188C">
            <w:pPr>
              <w:keepNext/>
              <w:keepLines/>
              <w:jc w:val="right"/>
              <w:rPr>
                <w:b/>
              </w:rPr>
            </w:pPr>
            <w:r>
              <w:rPr>
                <w:b/>
                <w:bCs/>
              </w:rPr>
              <w:t>1,</w:t>
            </w:r>
            <w:r w:rsidR="008B1255">
              <w:rPr>
                <w:b/>
                <w:bCs/>
              </w:rPr>
              <w:t>906.7</w:t>
            </w:r>
          </w:p>
        </w:tc>
      </w:tr>
    </w:tbl>
    <w:p w14:paraId="1AC220FE" w14:textId="77777777" w:rsidR="000B51DC" w:rsidRDefault="000B51DC" w:rsidP="00270BC1">
      <w:pPr>
        <w:spacing w:before="240"/>
        <w:contextualSpacing w:val="0"/>
      </w:pPr>
      <w:r w:rsidRPr="38A49B51">
        <w:t>This regulatory impact analysis has also estimated the average annual and total costs to businesses under low and high cost scenarios, where:</w:t>
      </w:r>
    </w:p>
    <w:p w14:paraId="247860E7" w14:textId="77779103" w:rsidR="000B51DC" w:rsidRDefault="000B51DC" w:rsidP="00B57E6C">
      <w:pPr>
        <w:pStyle w:val="ListParagraph"/>
        <w:numPr>
          <w:ilvl w:val="0"/>
          <w:numId w:val="22"/>
        </w:numPr>
        <w:suppressAutoHyphens/>
        <w:spacing w:line="259" w:lineRule="auto"/>
        <w:ind w:left="714" w:hanging="357"/>
        <w:contextualSpacing w:val="0"/>
      </w:pPr>
      <w:bookmarkStart w:id="418" w:name="_Toc193192664"/>
      <w:bookmarkStart w:id="419" w:name="_Toc196204763"/>
      <w:r w:rsidRPr="38A49B51">
        <w:t>Under the low cost scenario, the average annual cost is $</w:t>
      </w:r>
      <w:r w:rsidR="008B1255">
        <w:t>237</w:t>
      </w:r>
      <w:r w:rsidR="008B1255" w:rsidRPr="38A49B51">
        <w:t xml:space="preserve"> </w:t>
      </w:r>
      <w:r w:rsidRPr="38A49B51">
        <w:t>million (undiscounted) and the total cost is $</w:t>
      </w:r>
      <w:r w:rsidR="5EF61A9D">
        <w:t>1.</w:t>
      </w:r>
      <w:r w:rsidR="008B1255">
        <w:t xml:space="preserve">4 </w:t>
      </w:r>
      <w:r w:rsidR="5EF61A9D">
        <w:t>billion</w:t>
      </w:r>
      <w:r w:rsidRPr="38A49B51">
        <w:t xml:space="preserve"> (discounted).</w:t>
      </w:r>
      <w:bookmarkEnd w:id="418"/>
      <w:bookmarkEnd w:id="419"/>
    </w:p>
    <w:p w14:paraId="392A5356" w14:textId="610F971C" w:rsidR="000B51DC" w:rsidRDefault="000B51DC" w:rsidP="00B57E6C">
      <w:pPr>
        <w:pStyle w:val="ListParagraph"/>
        <w:numPr>
          <w:ilvl w:val="0"/>
          <w:numId w:val="22"/>
        </w:numPr>
        <w:suppressAutoHyphens/>
        <w:spacing w:line="259" w:lineRule="auto"/>
        <w:ind w:left="714" w:hanging="357"/>
        <w:contextualSpacing w:val="0"/>
      </w:pPr>
      <w:bookmarkStart w:id="420" w:name="_Toc193192665"/>
      <w:bookmarkStart w:id="421" w:name="_Toc196204764"/>
      <w:r w:rsidRPr="38A49B51">
        <w:t>Under the high cost scenario, the average annual cost is $</w:t>
      </w:r>
      <w:r w:rsidR="008B1255">
        <w:t>395</w:t>
      </w:r>
      <w:r w:rsidR="008B1255" w:rsidRPr="38A49B51">
        <w:t xml:space="preserve"> </w:t>
      </w:r>
      <w:r w:rsidRPr="38A49B51">
        <w:t>million (undiscounted) and the total cost is $</w:t>
      </w:r>
      <w:r w:rsidR="57444BE7">
        <w:t>2.</w:t>
      </w:r>
      <w:r w:rsidR="008B1255">
        <w:t>4</w:t>
      </w:r>
      <w:r w:rsidR="008B1255" w:rsidRPr="38A49B51">
        <w:t xml:space="preserve"> </w:t>
      </w:r>
      <w:r w:rsidRPr="38A49B51">
        <w:t>billion (discounted).</w:t>
      </w:r>
      <w:bookmarkEnd w:id="420"/>
      <w:bookmarkEnd w:id="421"/>
      <w:r w:rsidRPr="38A49B51">
        <w:t xml:space="preserve"> </w:t>
      </w:r>
    </w:p>
    <w:p w14:paraId="546146A5" w14:textId="34BE9529" w:rsidR="000B51DC" w:rsidRDefault="00C504AD" w:rsidP="00661A98">
      <w:pPr>
        <w:suppressAutoHyphens/>
        <w:spacing w:line="259" w:lineRule="auto"/>
        <w:contextualSpacing w:val="0"/>
      </w:pPr>
      <w:r>
        <w:rPr>
          <w:highlight w:val="lightGray"/>
        </w:rPr>
        <w:fldChar w:fldCharType="begin"/>
      </w:r>
      <w:r>
        <w:instrText xml:space="preserve"> REF _Ref199923401 \h </w:instrText>
      </w:r>
      <w:r>
        <w:rPr>
          <w:highlight w:val="lightGray"/>
        </w:rPr>
      </w:r>
      <w:r>
        <w:rPr>
          <w:highlight w:val="lightGray"/>
        </w:rPr>
        <w:fldChar w:fldCharType="separate"/>
      </w:r>
      <w:r w:rsidR="00A002F4">
        <w:t xml:space="preserve">Table </w:t>
      </w:r>
      <w:r w:rsidR="00A002F4">
        <w:rPr>
          <w:noProof/>
        </w:rPr>
        <w:t>29</w:t>
      </w:r>
      <w:r>
        <w:rPr>
          <w:highlight w:val="lightGray"/>
        </w:rPr>
        <w:fldChar w:fldCharType="end"/>
      </w:r>
      <w:r>
        <w:t xml:space="preserve"> </w:t>
      </w:r>
      <w:r w:rsidR="000B51DC">
        <w:t xml:space="preserve">presents the estimated average annual </w:t>
      </w:r>
      <w:r w:rsidR="002739EA">
        <w:t xml:space="preserve">incremental </w:t>
      </w:r>
      <w:r w:rsidR="000B51DC">
        <w:t xml:space="preserve">costs per affected business by business size category for the proposed WEL for hydrogen </w:t>
      </w:r>
      <w:r w:rsidR="0EF42C95">
        <w:t>sulfide</w:t>
      </w:r>
      <w:r w:rsidR="000B51DC">
        <w:t>. The results do not factor in costs specific to a singular business or industry that are not expected for other businesses or industries.</w:t>
      </w:r>
      <w:r w:rsidR="00196805">
        <w:t xml:space="preserve"> </w:t>
      </w:r>
      <w:r w:rsidR="00196805" w:rsidRPr="00B548F6">
        <w:t>An average annual incremental cost is also assumed in the absence of information to indicate the true distribution of costs across the 10-year appraisal perio</w:t>
      </w:r>
      <w:r w:rsidR="00196805">
        <w:t>d.</w:t>
      </w:r>
      <w:r w:rsidR="000B51DC">
        <w:t xml:space="preserve"> </w:t>
      </w:r>
      <w:r w:rsidR="00775D4E">
        <w:t>These affected businesses come from the following industries:</w:t>
      </w:r>
    </w:p>
    <w:p w14:paraId="21362439" w14:textId="43109E70" w:rsidR="00775D4E" w:rsidRDefault="002F6244" w:rsidP="00A2768E">
      <w:pPr>
        <w:pStyle w:val="ListParagraph"/>
        <w:numPr>
          <w:ilvl w:val="0"/>
          <w:numId w:val="59"/>
        </w:numPr>
        <w:ind w:left="714" w:hanging="357"/>
        <w:contextualSpacing w:val="0"/>
      </w:pPr>
      <w:r>
        <w:t>mining,</w:t>
      </w:r>
    </w:p>
    <w:p w14:paraId="2083C24C" w14:textId="6F9AFC3C" w:rsidR="004B31FD" w:rsidRDefault="002F6244" w:rsidP="00A2768E">
      <w:pPr>
        <w:pStyle w:val="ListParagraph"/>
        <w:numPr>
          <w:ilvl w:val="0"/>
          <w:numId w:val="59"/>
        </w:numPr>
        <w:ind w:left="714" w:hanging="357"/>
        <w:contextualSpacing w:val="0"/>
      </w:pPr>
      <w:r>
        <w:t>manufacturing,</w:t>
      </w:r>
    </w:p>
    <w:p w14:paraId="68248859" w14:textId="27CB89ED" w:rsidR="004B31FD" w:rsidRDefault="002F6244" w:rsidP="00A2768E">
      <w:pPr>
        <w:pStyle w:val="ListParagraph"/>
        <w:numPr>
          <w:ilvl w:val="0"/>
          <w:numId w:val="59"/>
        </w:numPr>
        <w:ind w:left="714" w:hanging="357"/>
        <w:contextualSpacing w:val="0"/>
      </w:pPr>
      <w:bookmarkStart w:id="422" w:name="_Toc196204767"/>
      <w:r>
        <w:t>electricity</w:t>
      </w:r>
      <w:r w:rsidR="00230C91">
        <w:t>, gas, water and waste services</w:t>
      </w:r>
      <w:bookmarkEnd w:id="422"/>
      <w:r>
        <w:t>, and</w:t>
      </w:r>
    </w:p>
    <w:p w14:paraId="64F88BD4" w14:textId="467713F3" w:rsidR="00230C91" w:rsidRDefault="002F6244" w:rsidP="00A2768E">
      <w:pPr>
        <w:pStyle w:val="ListParagraph"/>
        <w:numPr>
          <w:ilvl w:val="0"/>
          <w:numId w:val="59"/>
        </w:numPr>
        <w:ind w:left="714" w:hanging="357"/>
        <w:contextualSpacing w:val="0"/>
      </w:pPr>
      <w:r>
        <w:t>construction</w:t>
      </w:r>
      <w:r w:rsidR="00DA1EDC">
        <w:t>.</w:t>
      </w:r>
    </w:p>
    <w:p w14:paraId="32E0066D" w14:textId="77777777" w:rsidR="000B51DC" w:rsidRPr="007C3418" w:rsidRDefault="000B51DC" w:rsidP="38A49B51">
      <w:r w:rsidRPr="38A49B51">
        <w:t>The results indicate that:</w:t>
      </w:r>
    </w:p>
    <w:p w14:paraId="57635F4F" w14:textId="4381B975" w:rsidR="000B51DC" w:rsidRPr="007C3418" w:rsidRDefault="000B51DC" w:rsidP="00B57E6C">
      <w:pPr>
        <w:pStyle w:val="ListParagraph"/>
        <w:numPr>
          <w:ilvl w:val="0"/>
          <w:numId w:val="23"/>
        </w:numPr>
        <w:suppressAutoHyphens/>
        <w:spacing w:line="259" w:lineRule="auto"/>
        <w:ind w:left="709"/>
        <w:contextualSpacing w:val="0"/>
      </w:pPr>
      <w:bookmarkStart w:id="423" w:name="_Toc193192666"/>
      <w:bookmarkStart w:id="424" w:name="_Toc196204770"/>
      <w:r w:rsidRPr="38A49B51">
        <w:t xml:space="preserve">There are an estimated </w:t>
      </w:r>
      <w:r w:rsidR="008B1255">
        <w:t>35,</w:t>
      </w:r>
      <w:r w:rsidR="009A13F6">
        <w:t>812</w:t>
      </w:r>
      <w:r w:rsidRPr="38A49B51">
        <w:t xml:space="preserve"> affected businesses, comprising </w:t>
      </w:r>
      <w:r w:rsidR="21C9B30E">
        <w:t>34,</w:t>
      </w:r>
      <w:r w:rsidR="009A13F6">
        <w:t>226</w:t>
      </w:r>
      <w:r w:rsidR="009A13F6" w:rsidRPr="38A49B51">
        <w:t xml:space="preserve"> </w:t>
      </w:r>
      <w:r w:rsidRPr="38A49B51">
        <w:t xml:space="preserve">small businesses, </w:t>
      </w:r>
      <w:r w:rsidR="7FFD0EB3">
        <w:t>1,</w:t>
      </w:r>
      <w:r w:rsidR="009A13F6">
        <w:t>382</w:t>
      </w:r>
      <w:r w:rsidR="009A13F6" w:rsidRPr="38A49B51">
        <w:t xml:space="preserve"> </w:t>
      </w:r>
      <w:r w:rsidRPr="38A49B51">
        <w:t xml:space="preserve">medium businesses and </w:t>
      </w:r>
      <w:r w:rsidR="009A13F6">
        <w:t>204</w:t>
      </w:r>
      <w:r w:rsidR="009A13F6" w:rsidRPr="38A49B51">
        <w:t xml:space="preserve"> </w:t>
      </w:r>
      <w:r w:rsidRPr="38A49B51">
        <w:t>large businesses.</w:t>
      </w:r>
      <w:bookmarkEnd w:id="423"/>
      <w:bookmarkEnd w:id="424"/>
    </w:p>
    <w:p w14:paraId="1A4C4021" w14:textId="11BA19D9" w:rsidR="000B51DC" w:rsidRDefault="000B51DC" w:rsidP="00B57E6C">
      <w:pPr>
        <w:pStyle w:val="ListParagraph"/>
        <w:numPr>
          <w:ilvl w:val="0"/>
          <w:numId w:val="23"/>
        </w:numPr>
        <w:suppressAutoHyphens/>
        <w:spacing w:line="259" w:lineRule="auto"/>
        <w:ind w:left="709"/>
        <w:contextualSpacing w:val="0"/>
      </w:pPr>
      <w:bookmarkStart w:id="425" w:name="_Toc193192667"/>
      <w:bookmarkStart w:id="426" w:name="_Toc196204771"/>
      <w:r w:rsidRPr="007C3418">
        <w:t xml:space="preserve">The estimated average annual cost </w:t>
      </w:r>
      <w:r w:rsidR="00494196">
        <w:t xml:space="preserve">is $2.000 for </w:t>
      </w:r>
      <w:r w:rsidR="00611A82">
        <w:t>small</w:t>
      </w:r>
      <w:r w:rsidR="00611A82" w:rsidRPr="007C3418">
        <w:t xml:space="preserve"> </w:t>
      </w:r>
      <w:r w:rsidRPr="007C3418">
        <w:t>businesses</w:t>
      </w:r>
      <w:r>
        <w:t>, followed by $</w:t>
      </w:r>
      <w:r w:rsidR="00562EB5">
        <w:t>26,2</w:t>
      </w:r>
      <w:r>
        <w:t>00 for medium businesses and $</w:t>
      </w:r>
      <w:r w:rsidR="00562EB5">
        <w:t>1.0 million</w:t>
      </w:r>
      <w:r w:rsidR="00764F6B">
        <w:t xml:space="preserve"> for large</w:t>
      </w:r>
      <w:r>
        <w:t xml:space="preserve"> businesses.</w:t>
      </w:r>
      <w:bookmarkEnd w:id="425"/>
      <w:bookmarkEnd w:id="426"/>
    </w:p>
    <w:p w14:paraId="7A44F113" w14:textId="35F7D003" w:rsidR="00C65EFA" w:rsidRDefault="00C65EFA" w:rsidP="001F32BE">
      <w:pPr>
        <w:pStyle w:val="Caption"/>
        <w:keepLines/>
      </w:pPr>
      <w:bookmarkStart w:id="427" w:name="_Ref199923401"/>
      <w:r>
        <w:lastRenderedPageBreak/>
        <w:t xml:space="preserve">Table </w:t>
      </w:r>
      <w:fldSimple w:instr=" SEQ Table \* ARABIC ">
        <w:r w:rsidR="00A002F4">
          <w:rPr>
            <w:noProof/>
          </w:rPr>
          <w:t>29</w:t>
        </w:r>
      </w:fldSimple>
      <w:bookmarkEnd w:id="427"/>
      <w:r>
        <w:t xml:space="preserve"> - </w:t>
      </w:r>
      <w:r w:rsidRPr="002D5D08">
        <w:t>Estimated average annual incremental cost per affected business by business size ($, undiscounted) and affected businesses for hydrogen sulfide,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2"/>
        <w:gridCol w:w="2252"/>
        <w:gridCol w:w="2395"/>
        <w:gridCol w:w="2117"/>
      </w:tblGrid>
      <w:tr w:rsidR="000B51DC" w14:paraId="2EC09AE0" w14:textId="77777777" w:rsidTr="00C754F5">
        <w:tc>
          <w:tcPr>
            <w:tcW w:w="2252" w:type="dxa"/>
            <w:shd w:val="clear" w:color="auto" w:fill="4877E0" w:themeFill="accent1"/>
          </w:tcPr>
          <w:p w14:paraId="41E163DB" w14:textId="77777777" w:rsidR="000B51DC" w:rsidRPr="00FC2EB9" w:rsidRDefault="000B51DC" w:rsidP="001F32BE">
            <w:pPr>
              <w:keepNext/>
              <w:keepLines/>
              <w:suppressAutoHyphens/>
              <w:spacing w:line="259" w:lineRule="auto"/>
              <w:contextualSpacing w:val="0"/>
              <w:rPr>
                <w:b/>
                <w:bCs/>
                <w:color w:val="FFFFFF" w:themeColor="background1"/>
              </w:rPr>
            </w:pPr>
            <w:r w:rsidRPr="00FC2EB9">
              <w:rPr>
                <w:b/>
                <w:bCs/>
                <w:color w:val="FFFFFF" w:themeColor="background1"/>
              </w:rPr>
              <w:t>Measure</w:t>
            </w:r>
          </w:p>
        </w:tc>
        <w:tc>
          <w:tcPr>
            <w:tcW w:w="2252" w:type="dxa"/>
            <w:shd w:val="clear" w:color="auto" w:fill="4877E0" w:themeFill="accent1"/>
          </w:tcPr>
          <w:p w14:paraId="7EC0AF6E" w14:textId="77777777" w:rsidR="000B51DC" w:rsidRPr="00FC2EB9" w:rsidRDefault="000B51DC" w:rsidP="001F32BE">
            <w:pPr>
              <w:keepNext/>
              <w:keepLines/>
              <w:suppressAutoHyphens/>
              <w:spacing w:line="259" w:lineRule="auto"/>
              <w:contextualSpacing w:val="0"/>
              <w:rPr>
                <w:b/>
                <w:bCs/>
                <w:color w:val="FFFFFF" w:themeColor="background1"/>
              </w:rPr>
            </w:pPr>
            <w:r w:rsidRPr="00FC2EB9">
              <w:rPr>
                <w:b/>
                <w:bCs/>
                <w:color w:val="FFFFFF" w:themeColor="background1"/>
              </w:rPr>
              <w:t>Small businesses</w:t>
            </w:r>
          </w:p>
        </w:tc>
        <w:tc>
          <w:tcPr>
            <w:tcW w:w="2395" w:type="dxa"/>
            <w:shd w:val="clear" w:color="auto" w:fill="4877E0" w:themeFill="accent1"/>
          </w:tcPr>
          <w:p w14:paraId="41171E39" w14:textId="77777777" w:rsidR="000B51DC" w:rsidRPr="00FC2EB9" w:rsidRDefault="000B51DC" w:rsidP="001F32BE">
            <w:pPr>
              <w:keepNext/>
              <w:keepLines/>
              <w:suppressAutoHyphens/>
              <w:spacing w:line="259" w:lineRule="auto"/>
              <w:contextualSpacing w:val="0"/>
              <w:rPr>
                <w:b/>
                <w:bCs/>
                <w:color w:val="FFFFFF" w:themeColor="background1"/>
              </w:rPr>
            </w:pPr>
            <w:r w:rsidRPr="00FC2EB9">
              <w:rPr>
                <w:b/>
                <w:bCs/>
                <w:color w:val="FFFFFF" w:themeColor="background1"/>
              </w:rPr>
              <w:t>Medium businesses</w:t>
            </w:r>
          </w:p>
        </w:tc>
        <w:tc>
          <w:tcPr>
            <w:tcW w:w="2117" w:type="dxa"/>
            <w:shd w:val="clear" w:color="auto" w:fill="4877E0" w:themeFill="accent1"/>
          </w:tcPr>
          <w:p w14:paraId="2EEF55F0" w14:textId="77777777" w:rsidR="000B51DC" w:rsidRPr="00FC2EB9" w:rsidRDefault="000B51DC" w:rsidP="001F32BE">
            <w:pPr>
              <w:keepNext/>
              <w:keepLines/>
              <w:suppressAutoHyphens/>
              <w:spacing w:line="259" w:lineRule="auto"/>
              <w:contextualSpacing w:val="0"/>
              <w:rPr>
                <w:b/>
                <w:bCs/>
                <w:color w:val="FFFFFF" w:themeColor="background1"/>
              </w:rPr>
            </w:pPr>
            <w:r w:rsidRPr="00FC2EB9">
              <w:rPr>
                <w:b/>
                <w:bCs/>
                <w:color w:val="FFFFFF" w:themeColor="background1"/>
              </w:rPr>
              <w:t>Large businesses</w:t>
            </w:r>
          </w:p>
        </w:tc>
      </w:tr>
      <w:tr w:rsidR="00C37236" w14:paraId="39E195E7" w14:textId="77777777" w:rsidTr="00C37236">
        <w:tc>
          <w:tcPr>
            <w:tcW w:w="2252" w:type="dxa"/>
          </w:tcPr>
          <w:p w14:paraId="23E83012" w14:textId="021B9462" w:rsidR="00C37236" w:rsidRPr="00296A4F" w:rsidRDefault="00C37236" w:rsidP="001F32BE">
            <w:pPr>
              <w:keepNext/>
              <w:keepLines/>
              <w:suppressAutoHyphens/>
              <w:spacing w:after="0" w:line="259" w:lineRule="auto"/>
              <w:contextualSpacing w:val="0"/>
              <w:rPr>
                <w:b/>
                <w:bCs/>
              </w:rPr>
            </w:pPr>
            <w:r w:rsidRPr="00296A4F">
              <w:rPr>
                <w:b/>
                <w:bCs/>
              </w:rPr>
              <w:t>Number of affected businesses p.a.</w:t>
            </w:r>
          </w:p>
        </w:tc>
        <w:tc>
          <w:tcPr>
            <w:tcW w:w="2252" w:type="dxa"/>
            <w:vAlign w:val="center"/>
          </w:tcPr>
          <w:p w14:paraId="1D88EC45" w14:textId="169EA80E" w:rsidR="00C37236" w:rsidRDefault="00C37236" w:rsidP="001F32BE">
            <w:pPr>
              <w:keepNext/>
              <w:keepLines/>
              <w:suppressAutoHyphens/>
              <w:spacing w:after="0" w:line="259" w:lineRule="auto"/>
              <w:jc w:val="right"/>
            </w:pPr>
            <w:r>
              <w:t>34,</w:t>
            </w:r>
            <w:r w:rsidR="00562EB5">
              <w:t>226</w:t>
            </w:r>
          </w:p>
        </w:tc>
        <w:tc>
          <w:tcPr>
            <w:tcW w:w="2395" w:type="dxa"/>
            <w:vAlign w:val="center"/>
          </w:tcPr>
          <w:p w14:paraId="28DCE2B8" w14:textId="6964ACB8" w:rsidR="00C37236" w:rsidRPr="009000FC" w:rsidRDefault="00C37236" w:rsidP="001F32BE">
            <w:pPr>
              <w:keepNext/>
              <w:keepLines/>
              <w:suppressAutoHyphens/>
              <w:spacing w:after="0" w:line="259" w:lineRule="auto"/>
              <w:jc w:val="right"/>
            </w:pPr>
            <w:r>
              <w:t>1,</w:t>
            </w:r>
            <w:r w:rsidR="00562EB5">
              <w:t>382</w:t>
            </w:r>
          </w:p>
        </w:tc>
        <w:tc>
          <w:tcPr>
            <w:tcW w:w="2117" w:type="dxa"/>
            <w:vAlign w:val="center"/>
          </w:tcPr>
          <w:p w14:paraId="3CF2638B" w14:textId="5CF5DC95" w:rsidR="00C37236" w:rsidRDefault="00562EB5" w:rsidP="001F32BE">
            <w:pPr>
              <w:keepNext/>
              <w:keepLines/>
              <w:suppressAutoHyphens/>
              <w:spacing w:after="0" w:line="259" w:lineRule="auto"/>
              <w:jc w:val="right"/>
            </w:pPr>
            <w:r>
              <w:t>204</w:t>
            </w:r>
          </w:p>
        </w:tc>
      </w:tr>
      <w:tr w:rsidR="00C37236" w14:paraId="0CD12766" w14:textId="77777777" w:rsidTr="00FC2EB9">
        <w:tc>
          <w:tcPr>
            <w:tcW w:w="2252" w:type="dxa"/>
            <w:shd w:val="clear" w:color="auto" w:fill="DAE3F8" w:themeFill="accent1" w:themeFillTint="33"/>
          </w:tcPr>
          <w:p w14:paraId="2E02502E" w14:textId="77777777" w:rsidR="00C37236" w:rsidRPr="00296A4F" w:rsidRDefault="00C37236" w:rsidP="001F32BE">
            <w:pPr>
              <w:keepNext/>
              <w:keepLines/>
              <w:suppressAutoHyphens/>
              <w:spacing w:after="0" w:line="259" w:lineRule="auto"/>
              <w:contextualSpacing w:val="0"/>
              <w:rPr>
                <w:b/>
                <w:bCs/>
              </w:rPr>
            </w:pPr>
            <w:r w:rsidRPr="00296A4F">
              <w:rPr>
                <w:b/>
                <w:bCs/>
              </w:rPr>
              <w:t>Av. cost per business p.a.</w:t>
            </w:r>
          </w:p>
        </w:tc>
        <w:tc>
          <w:tcPr>
            <w:tcW w:w="2252" w:type="dxa"/>
            <w:shd w:val="clear" w:color="auto" w:fill="DAE3F8" w:themeFill="accent1" w:themeFillTint="33"/>
            <w:vAlign w:val="center"/>
          </w:tcPr>
          <w:p w14:paraId="29CAAF28" w14:textId="6CE030C5" w:rsidR="00C37236" w:rsidRDefault="00C37236" w:rsidP="001F32BE">
            <w:pPr>
              <w:keepNext/>
              <w:keepLines/>
              <w:suppressAutoHyphens/>
              <w:spacing w:after="0" w:line="259" w:lineRule="auto"/>
              <w:jc w:val="right"/>
            </w:pPr>
            <w:r>
              <w:t>2</w:t>
            </w:r>
            <w:r w:rsidRPr="009000FC">
              <w:t>,</w:t>
            </w:r>
            <w:r>
              <w:t>000</w:t>
            </w:r>
          </w:p>
        </w:tc>
        <w:tc>
          <w:tcPr>
            <w:tcW w:w="2395" w:type="dxa"/>
            <w:shd w:val="clear" w:color="auto" w:fill="DAE3F8" w:themeFill="accent1" w:themeFillTint="33"/>
            <w:vAlign w:val="center"/>
          </w:tcPr>
          <w:p w14:paraId="5FAE5F15" w14:textId="28D3223F" w:rsidR="00C37236" w:rsidRDefault="00562EB5" w:rsidP="001F32BE">
            <w:pPr>
              <w:keepNext/>
              <w:keepLines/>
              <w:suppressAutoHyphens/>
              <w:spacing w:after="0" w:line="259" w:lineRule="auto"/>
              <w:jc w:val="right"/>
            </w:pPr>
            <w:r>
              <w:t>26,200</w:t>
            </w:r>
          </w:p>
        </w:tc>
        <w:tc>
          <w:tcPr>
            <w:tcW w:w="2117" w:type="dxa"/>
            <w:shd w:val="clear" w:color="auto" w:fill="DAE3F8" w:themeFill="accent1" w:themeFillTint="33"/>
            <w:vAlign w:val="center"/>
          </w:tcPr>
          <w:p w14:paraId="3F828265" w14:textId="49FF00F5" w:rsidR="00C37236" w:rsidRDefault="00562EB5" w:rsidP="001F32BE">
            <w:pPr>
              <w:keepNext/>
              <w:keepLines/>
              <w:suppressAutoHyphens/>
              <w:spacing w:after="0" w:line="259" w:lineRule="auto"/>
              <w:jc w:val="right"/>
            </w:pPr>
            <w:r>
              <w:t>1,039,600</w:t>
            </w:r>
          </w:p>
        </w:tc>
      </w:tr>
    </w:tbl>
    <w:p w14:paraId="7ED83C53" w14:textId="77777777" w:rsidR="000B51DC" w:rsidRDefault="000B51DC" w:rsidP="000B51DC">
      <w:pPr>
        <w:rPr>
          <w:b/>
          <w:bCs/>
        </w:rPr>
      </w:pPr>
    </w:p>
    <w:p w14:paraId="56307C63" w14:textId="06D25E65" w:rsidR="00730BF1" w:rsidRDefault="001D5CD4" w:rsidP="002D0B05">
      <w:pPr>
        <w:pStyle w:val="SWAHeading2"/>
        <w:ind w:left="709"/>
      </w:pPr>
      <w:bookmarkStart w:id="428" w:name="_Toc196204772"/>
      <w:bookmarkStart w:id="429" w:name="_Toc219216910"/>
      <w:r>
        <w:t>Stakeholder</w:t>
      </w:r>
      <w:r w:rsidR="00C85BD6">
        <w:t xml:space="preserve"> </w:t>
      </w:r>
      <w:r w:rsidR="00185630">
        <w:t>views</w:t>
      </w:r>
      <w:r w:rsidR="00C85BD6">
        <w:t xml:space="preserve"> on </w:t>
      </w:r>
      <w:r w:rsidR="00185630">
        <w:t>proposed WEL for</w:t>
      </w:r>
      <w:r w:rsidR="00C85BD6">
        <w:t xml:space="preserve"> </w:t>
      </w:r>
      <w:r>
        <w:t>hydrogen sulfide</w:t>
      </w:r>
      <w:bookmarkEnd w:id="428"/>
      <w:bookmarkEnd w:id="429"/>
    </w:p>
    <w:p w14:paraId="249FA007" w14:textId="7317307F" w:rsidR="00D73F51" w:rsidRDefault="00B101DE" w:rsidP="00C65EFA">
      <w:pPr>
        <w:pStyle w:val="paragraph0"/>
        <w:spacing w:before="0" w:beforeAutospacing="0" w:after="120" w:afterAutospacing="0" w:line="240" w:lineRule="atLeast"/>
        <w:contextualSpacing w:val="0"/>
        <w:textAlignment w:val="baseline"/>
        <w:rPr>
          <w:rStyle w:val="normaltextrun"/>
          <w:rFonts w:ascii="Arial" w:eastAsiaTheme="majorEastAsia" w:hAnsi="Arial" w:cs="Arial"/>
          <w:sz w:val="22"/>
          <w:szCs w:val="22"/>
        </w:rPr>
      </w:pPr>
      <w:bookmarkStart w:id="430" w:name="_Hlk194662772"/>
      <w:r>
        <w:rPr>
          <w:rStyle w:val="normaltextrun"/>
          <w:rFonts w:ascii="Arial" w:eastAsiaTheme="majorEastAsia" w:hAnsi="Arial" w:cs="Arial"/>
          <w:sz w:val="22"/>
          <w:szCs w:val="22"/>
        </w:rPr>
        <w:t>As part of the</w:t>
      </w:r>
      <w:r w:rsidR="002D0B05">
        <w:rPr>
          <w:rStyle w:val="normaltextrun"/>
          <w:rFonts w:ascii="Arial" w:eastAsiaTheme="majorEastAsia" w:hAnsi="Arial" w:cs="Arial"/>
          <w:sz w:val="22"/>
          <w:szCs w:val="22"/>
        </w:rPr>
        <w:t xml:space="preserve"> public consultation</w:t>
      </w:r>
      <w:r>
        <w:rPr>
          <w:rStyle w:val="normaltextrun"/>
          <w:rFonts w:ascii="Arial" w:eastAsiaTheme="majorEastAsia" w:hAnsi="Arial" w:cs="Arial"/>
          <w:sz w:val="22"/>
          <w:szCs w:val="22"/>
        </w:rPr>
        <w:t xml:space="preserve"> process to support this Decision RIS</w:t>
      </w:r>
      <w:r w:rsidR="002D0B05">
        <w:rPr>
          <w:rStyle w:val="normaltextrun"/>
          <w:rFonts w:ascii="Arial" w:eastAsiaTheme="majorEastAsia" w:hAnsi="Arial" w:cs="Arial"/>
          <w:sz w:val="22"/>
          <w:szCs w:val="22"/>
        </w:rPr>
        <w:t xml:space="preserve">, </w:t>
      </w:r>
      <w:r w:rsidR="0060152D">
        <w:rPr>
          <w:rStyle w:val="normaltextrun"/>
          <w:rFonts w:ascii="Arial" w:eastAsiaTheme="majorEastAsia" w:hAnsi="Arial" w:cs="Arial"/>
          <w:sz w:val="22"/>
          <w:szCs w:val="22"/>
        </w:rPr>
        <w:t>27</w:t>
      </w:r>
      <w:r w:rsidR="002D0B05">
        <w:rPr>
          <w:rStyle w:val="normaltextrun"/>
          <w:rFonts w:ascii="Arial" w:eastAsiaTheme="majorEastAsia" w:hAnsi="Arial" w:cs="Arial"/>
          <w:sz w:val="22"/>
          <w:szCs w:val="22"/>
        </w:rPr>
        <w:t xml:space="preserve"> submissions were received </w:t>
      </w:r>
      <w:r w:rsidR="00061485">
        <w:rPr>
          <w:rStyle w:val="normaltextrun"/>
          <w:rFonts w:ascii="Arial" w:eastAsiaTheme="majorEastAsia" w:hAnsi="Arial" w:cs="Arial"/>
          <w:sz w:val="22"/>
          <w:szCs w:val="22"/>
        </w:rPr>
        <w:t>that addressed the proposed WEL for</w:t>
      </w:r>
      <w:r w:rsidR="002D0B05" w:rsidDel="00061485">
        <w:rPr>
          <w:rStyle w:val="normaltextrun"/>
          <w:rFonts w:ascii="Arial" w:eastAsiaTheme="majorEastAsia" w:hAnsi="Arial" w:cs="Arial"/>
          <w:sz w:val="22"/>
          <w:szCs w:val="22"/>
        </w:rPr>
        <w:t xml:space="preserve"> </w:t>
      </w:r>
      <w:r w:rsidR="00D73F51">
        <w:rPr>
          <w:rStyle w:val="normaltextrun"/>
          <w:rFonts w:ascii="Arial" w:eastAsiaTheme="majorEastAsia" w:hAnsi="Arial" w:cs="Arial"/>
          <w:sz w:val="22"/>
          <w:szCs w:val="22"/>
        </w:rPr>
        <w:t>hydrogen sulfide</w:t>
      </w:r>
      <w:r w:rsidR="002D0B05">
        <w:rPr>
          <w:rStyle w:val="normaltextrun"/>
          <w:rFonts w:ascii="Arial" w:eastAsiaTheme="majorEastAsia" w:hAnsi="Arial" w:cs="Arial"/>
          <w:sz w:val="22"/>
          <w:szCs w:val="22"/>
        </w:rPr>
        <w:t>.</w:t>
      </w:r>
    </w:p>
    <w:bookmarkEnd w:id="430"/>
    <w:p w14:paraId="036ECB23" w14:textId="2C223593" w:rsidR="004D4E0E" w:rsidRDefault="004D4E0E" w:rsidP="00C65EFA">
      <w:pPr>
        <w:pStyle w:val="paragraph0"/>
        <w:spacing w:before="0" w:beforeAutospacing="0" w:after="120" w:afterAutospacing="0" w:line="240" w:lineRule="atLeast"/>
        <w:contextualSpacing w:val="0"/>
        <w:textAlignment w:val="baseline"/>
        <w:rPr>
          <w:rFonts w:ascii="Arial" w:eastAsiaTheme="majorEastAsia" w:hAnsi="Arial" w:cs="Arial"/>
          <w:sz w:val="22"/>
          <w:szCs w:val="22"/>
        </w:rPr>
      </w:pPr>
      <w:r w:rsidRPr="00C754F5">
        <w:rPr>
          <w:rFonts w:ascii="Arial" w:eastAsiaTheme="majorEastAsia" w:hAnsi="Arial" w:cs="Arial"/>
          <w:sz w:val="22"/>
          <w:szCs w:val="22"/>
        </w:rPr>
        <w:t xml:space="preserve">A </w:t>
      </w:r>
      <w:r>
        <w:rPr>
          <w:rFonts w:ascii="Arial" w:eastAsiaTheme="majorEastAsia" w:hAnsi="Arial" w:cs="Arial"/>
          <w:sz w:val="22"/>
          <w:szCs w:val="22"/>
        </w:rPr>
        <w:t>third</w:t>
      </w:r>
      <w:r w:rsidRPr="00C754F5">
        <w:rPr>
          <w:rFonts w:ascii="Arial" w:eastAsiaTheme="majorEastAsia" w:hAnsi="Arial" w:cs="Arial"/>
          <w:sz w:val="22"/>
          <w:szCs w:val="22"/>
        </w:rPr>
        <w:t xml:space="preserve"> of submissions (</w:t>
      </w:r>
      <w:r w:rsidR="0083473E">
        <w:rPr>
          <w:rFonts w:ascii="Arial" w:eastAsiaTheme="majorEastAsia" w:hAnsi="Arial" w:cs="Arial"/>
          <w:sz w:val="22"/>
          <w:szCs w:val="22"/>
        </w:rPr>
        <w:t>9</w:t>
      </w:r>
      <w:r>
        <w:rPr>
          <w:rFonts w:ascii="Arial" w:eastAsiaTheme="majorEastAsia" w:hAnsi="Arial" w:cs="Arial"/>
          <w:sz w:val="22"/>
          <w:szCs w:val="22"/>
        </w:rPr>
        <w:t xml:space="preserve"> of 27 submissions</w:t>
      </w:r>
      <w:r w:rsidRPr="00C754F5">
        <w:rPr>
          <w:rFonts w:ascii="Arial" w:eastAsiaTheme="majorEastAsia" w:hAnsi="Arial" w:cs="Arial"/>
          <w:sz w:val="22"/>
          <w:szCs w:val="22"/>
        </w:rPr>
        <w:t xml:space="preserve">) supported the proposed </w:t>
      </w:r>
      <w:r w:rsidDel="00662DE2">
        <w:rPr>
          <w:rFonts w:ascii="Arial" w:eastAsiaTheme="majorEastAsia" w:hAnsi="Arial" w:cs="Arial"/>
          <w:sz w:val="22"/>
          <w:szCs w:val="22"/>
        </w:rPr>
        <w:t>health</w:t>
      </w:r>
      <w:r>
        <w:rPr>
          <w:rFonts w:ascii="Arial" w:eastAsiaTheme="majorEastAsia" w:hAnsi="Arial" w:cs="Arial"/>
          <w:sz w:val="22"/>
          <w:szCs w:val="22"/>
        </w:rPr>
        <w:t xml:space="preserve">-based </w:t>
      </w:r>
      <w:r w:rsidRPr="00C754F5">
        <w:rPr>
          <w:rFonts w:ascii="Arial" w:eastAsiaTheme="majorEastAsia" w:hAnsi="Arial" w:cs="Arial"/>
          <w:sz w:val="22"/>
          <w:szCs w:val="22"/>
        </w:rPr>
        <w:t>TWA of 1 ppm (1.4 mg/m</w:t>
      </w:r>
      <w:r w:rsidRPr="00C754F5">
        <w:rPr>
          <w:rFonts w:ascii="Arial" w:eastAsiaTheme="majorEastAsia" w:hAnsi="Arial" w:cs="Arial"/>
          <w:sz w:val="22"/>
          <w:szCs w:val="22"/>
          <w:vertAlign w:val="superscript"/>
        </w:rPr>
        <w:t>3</w:t>
      </w:r>
      <w:r w:rsidRPr="00C754F5">
        <w:rPr>
          <w:rFonts w:ascii="Arial" w:eastAsiaTheme="majorEastAsia" w:hAnsi="Arial" w:cs="Arial"/>
          <w:sz w:val="22"/>
          <w:szCs w:val="22"/>
        </w:rPr>
        <w:t>) and a STEL</w:t>
      </w:r>
      <w:r>
        <w:rPr>
          <w:rFonts w:ascii="Arial" w:eastAsiaTheme="majorEastAsia" w:hAnsi="Arial" w:cs="Arial"/>
          <w:sz w:val="22"/>
          <w:szCs w:val="22"/>
        </w:rPr>
        <w:t xml:space="preserve"> </w:t>
      </w:r>
      <w:r w:rsidRPr="00C754F5" w:rsidDel="00662DE2">
        <w:rPr>
          <w:rFonts w:ascii="Arial" w:eastAsiaTheme="majorEastAsia" w:hAnsi="Arial" w:cs="Arial"/>
          <w:sz w:val="22"/>
          <w:szCs w:val="22"/>
        </w:rPr>
        <w:t>o</w:t>
      </w:r>
      <w:r w:rsidRPr="00C754F5">
        <w:rPr>
          <w:rFonts w:ascii="Arial" w:eastAsiaTheme="majorEastAsia" w:hAnsi="Arial" w:cs="Arial"/>
          <w:sz w:val="22"/>
          <w:szCs w:val="22"/>
        </w:rPr>
        <w:t>f 5 ppm (7 mg/m</w:t>
      </w:r>
      <w:r w:rsidRPr="00C754F5">
        <w:rPr>
          <w:rFonts w:ascii="Arial" w:eastAsiaTheme="majorEastAsia" w:hAnsi="Arial" w:cs="Arial"/>
          <w:sz w:val="22"/>
          <w:szCs w:val="22"/>
          <w:vertAlign w:val="superscript"/>
        </w:rPr>
        <w:t>3</w:t>
      </w:r>
      <w:r w:rsidRPr="00C754F5">
        <w:rPr>
          <w:rFonts w:ascii="Arial" w:eastAsiaTheme="majorEastAsia" w:hAnsi="Arial" w:cs="Arial"/>
          <w:sz w:val="22"/>
          <w:szCs w:val="22"/>
        </w:rPr>
        <w:t>)</w:t>
      </w:r>
      <w:r w:rsidR="00EC324C">
        <w:rPr>
          <w:rFonts w:ascii="Arial" w:eastAsiaTheme="majorEastAsia" w:hAnsi="Arial" w:cs="Arial"/>
          <w:sz w:val="22"/>
          <w:szCs w:val="22"/>
        </w:rPr>
        <w:t xml:space="preserve"> for hydrogen sulfide (Option 2)</w:t>
      </w:r>
      <w:r w:rsidRPr="00C754F5">
        <w:rPr>
          <w:rFonts w:ascii="Arial" w:eastAsiaTheme="majorEastAsia" w:hAnsi="Arial" w:cs="Arial"/>
          <w:sz w:val="22"/>
          <w:szCs w:val="22"/>
        </w:rPr>
        <w:t xml:space="preserve">. </w:t>
      </w:r>
    </w:p>
    <w:p w14:paraId="4C73A640" w14:textId="3C920BC6" w:rsidR="004D4E0E" w:rsidRPr="00C754F5" w:rsidRDefault="004D4E0E" w:rsidP="004D4E0E">
      <w:pPr>
        <w:pStyle w:val="paragraph0"/>
        <w:spacing w:before="0" w:beforeAutospacing="0" w:after="120" w:afterAutospacing="0"/>
        <w:contextualSpacing w:val="0"/>
        <w:textAlignment w:val="baseline"/>
        <w:rPr>
          <w:rFonts w:ascii="Arial" w:eastAsiaTheme="majorEastAsia" w:hAnsi="Arial" w:cs="Arial"/>
          <w:sz w:val="22"/>
          <w:szCs w:val="22"/>
        </w:rPr>
      </w:pPr>
      <w:r w:rsidRPr="00C754F5">
        <w:rPr>
          <w:rFonts w:ascii="Arial" w:eastAsiaTheme="majorEastAsia" w:hAnsi="Arial" w:cs="Arial"/>
          <w:sz w:val="22"/>
          <w:szCs w:val="22"/>
        </w:rPr>
        <w:t xml:space="preserve">These submissions came from </w:t>
      </w:r>
      <w:r>
        <w:rPr>
          <w:rFonts w:ascii="Arial" w:eastAsiaTheme="majorEastAsia" w:hAnsi="Arial" w:cs="Arial"/>
          <w:sz w:val="22"/>
          <w:szCs w:val="22"/>
        </w:rPr>
        <w:t>individuals</w:t>
      </w:r>
      <w:r w:rsidRPr="00C754F5">
        <w:rPr>
          <w:rFonts w:ascii="Arial" w:eastAsiaTheme="majorEastAsia" w:hAnsi="Arial" w:cs="Arial"/>
          <w:sz w:val="22"/>
          <w:szCs w:val="22"/>
        </w:rPr>
        <w:t>, academic</w:t>
      </w:r>
      <w:r>
        <w:rPr>
          <w:rFonts w:ascii="Arial" w:eastAsiaTheme="majorEastAsia" w:hAnsi="Arial" w:cs="Arial"/>
          <w:sz w:val="22"/>
          <w:szCs w:val="22"/>
        </w:rPr>
        <w:t>s</w:t>
      </w:r>
      <w:r w:rsidRPr="00C754F5">
        <w:rPr>
          <w:rFonts w:ascii="Arial" w:eastAsiaTheme="majorEastAsia" w:hAnsi="Arial" w:cs="Arial"/>
          <w:sz w:val="22"/>
          <w:szCs w:val="22"/>
        </w:rPr>
        <w:t>, industry bod</w:t>
      </w:r>
      <w:r>
        <w:rPr>
          <w:rFonts w:ascii="Arial" w:eastAsiaTheme="majorEastAsia" w:hAnsi="Arial" w:cs="Arial"/>
          <w:sz w:val="22"/>
          <w:szCs w:val="22"/>
        </w:rPr>
        <w:t>ies</w:t>
      </w:r>
      <w:r w:rsidRPr="00C754F5">
        <w:rPr>
          <w:rFonts w:ascii="Arial" w:eastAsiaTheme="majorEastAsia" w:hAnsi="Arial" w:cs="Arial"/>
          <w:sz w:val="22"/>
          <w:szCs w:val="22"/>
        </w:rPr>
        <w:t xml:space="preserve"> and unions. S</w:t>
      </w:r>
      <w:r>
        <w:rPr>
          <w:rFonts w:ascii="Arial" w:eastAsiaTheme="majorEastAsia" w:hAnsi="Arial" w:cs="Arial"/>
          <w:sz w:val="22"/>
          <w:szCs w:val="22"/>
        </w:rPr>
        <w:t xml:space="preserve">takeholders </w:t>
      </w:r>
      <w:r w:rsidR="00F30F41">
        <w:rPr>
          <w:rFonts w:ascii="Arial" w:eastAsiaTheme="majorEastAsia" w:hAnsi="Arial" w:cs="Arial"/>
          <w:sz w:val="22"/>
          <w:szCs w:val="22"/>
        </w:rPr>
        <w:t xml:space="preserve">who supported Option 2 </w:t>
      </w:r>
      <w:r>
        <w:rPr>
          <w:rFonts w:ascii="Arial" w:eastAsiaTheme="majorEastAsia" w:hAnsi="Arial" w:cs="Arial"/>
          <w:sz w:val="22"/>
          <w:szCs w:val="22"/>
        </w:rPr>
        <w:t xml:space="preserve">noted </w:t>
      </w:r>
      <w:r w:rsidR="00F30F41">
        <w:rPr>
          <w:rFonts w:ascii="Arial" w:eastAsiaTheme="majorEastAsia" w:hAnsi="Arial" w:cs="Arial"/>
          <w:sz w:val="22"/>
          <w:szCs w:val="22"/>
        </w:rPr>
        <w:t xml:space="preserve">their </w:t>
      </w:r>
      <w:r>
        <w:rPr>
          <w:rFonts w:ascii="Arial" w:eastAsiaTheme="majorEastAsia" w:hAnsi="Arial" w:cs="Arial"/>
          <w:sz w:val="22"/>
          <w:szCs w:val="22"/>
        </w:rPr>
        <w:t>s</w:t>
      </w:r>
      <w:r w:rsidRPr="00C754F5">
        <w:rPr>
          <w:rFonts w:ascii="Arial" w:eastAsiaTheme="majorEastAsia" w:hAnsi="Arial" w:cs="Arial"/>
          <w:sz w:val="22"/>
          <w:szCs w:val="22"/>
        </w:rPr>
        <w:t xml:space="preserve">upport </w:t>
      </w:r>
      <w:r w:rsidR="00F30F41">
        <w:rPr>
          <w:rFonts w:ascii="Arial" w:eastAsiaTheme="majorEastAsia" w:hAnsi="Arial" w:cs="Arial"/>
          <w:sz w:val="22"/>
          <w:szCs w:val="22"/>
        </w:rPr>
        <w:t>is</w:t>
      </w:r>
      <w:r w:rsidRPr="00C754F5">
        <w:rPr>
          <w:rFonts w:ascii="Arial" w:eastAsiaTheme="majorEastAsia" w:hAnsi="Arial" w:cs="Arial"/>
          <w:sz w:val="22"/>
          <w:szCs w:val="22"/>
        </w:rPr>
        <w:t xml:space="preserve"> based on:</w:t>
      </w:r>
    </w:p>
    <w:p w14:paraId="0BBDC95C" w14:textId="49DA6EE4" w:rsidR="004D4E0E" w:rsidRPr="00C754F5" w:rsidRDefault="00F30F41" w:rsidP="00B57E6C">
      <w:pPr>
        <w:pStyle w:val="paragraph0"/>
        <w:numPr>
          <w:ilvl w:val="0"/>
          <w:numId w:val="41"/>
        </w:numPr>
        <w:spacing w:before="0" w:beforeAutospacing="0" w:after="120" w:afterAutospacing="0" w:line="240" w:lineRule="auto"/>
        <w:ind w:left="714" w:hanging="357"/>
        <w:contextualSpacing w:val="0"/>
        <w:textAlignment w:val="baseline"/>
        <w:rPr>
          <w:rFonts w:ascii="Arial" w:eastAsiaTheme="majorEastAsia" w:hAnsi="Arial" w:cs="Arial"/>
          <w:sz w:val="22"/>
          <w:szCs w:val="22"/>
        </w:rPr>
      </w:pPr>
      <w:r>
        <w:rPr>
          <w:rFonts w:ascii="Arial" w:eastAsiaTheme="majorEastAsia" w:hAnsi="Arial" w:cs="Arial"/>
          <w:sz w:val="22"/>
          <w:szCs w:val="22"/>
        </w:rPr>
        <w:t>agreement that</w:t>
      </w:r>
      <w:r w:rsidR="004D4E0E">
        <w:rPr>
          <w:rFonts w:ascii="Arial" w:eastAsiaTheme="majorEastAsia" w:hAnsi="Arial" w:cs="Arial"/>
          <w:sz w:val="22"/>
          <w:szCs w:val="22"/>
        </w:rPr>
        <w:t xml:space="preserve"> </w:t>
      </w:r>
      <w:r w:rsidR="004D4E0E" w:rsidRPr="00C754F5">
        <w:rPr>
          <w:rFonts w:ascii="Arial" w:eastAsiaTheme="majorEastAsia" w:hAnsi="Arial" w:cs="Arial"/>
          <w:sz w:val="22"/>
          <w:szCs w:val="22"/>
        </w:rPr>
        <w:t>the proposed changes will protect workers</w:t>
      </w:r>
      <w:r w:rsidR="008A54F8">
        <w:rPr>
          <w:rStyle w:val="FootnoteReference"/>
          <w:rFonts w:ascii="Arial" w:eastAsiaTheme="majorEastAsia" w:hAnsi="Arial" w:cs="Arial"/>
          <w:sz w:val="22"/>
          <w:szCs w:val="22"/>
        </w:rPr>
        <w:footnoteReference w:id="185"/>
      </w:r>
      <w:r w:rsidR="004D4E0E" w:rsidRPr="00C754F5">
        <w:rPr>
          <w:rFonts w:ascii="Arial" w:eastAsiaTheme="majorEastAsia" w:hAnsi="Arial" w:cs="Arial"/>
          <w:sz w:val="22"/>
          <w:szCs w:val="22"/>
        </w:rPr>
        <w:t xml:space="preserve"> and members of the public who work at or </w:t>
      </w:r>
      <w:r w:rsidR="004D4E0E">
        <w:rPr>
          <w:rFonts w:ascii="Arial" w:eastAsiaTheme="majorEastAsia" w:hAnsi="Arial" w:cs="Arial"/>
          <w:sz w:val="22"/>
          <w:szCs w:val="22"/>
        </w:rPr>
        <w:t>are close</w:t>
      </w:r>
      <w:r w:rsidR="004D4E0E" w:rsidRPr="00C754F5">
        <w:rPr>
          <w:rFonts w:ascii="Arial" w:eastAsiaTheme="majorEastAsia" w:hAnsi="Arial" w:cs="Arial"/>
          <w:sz w:val="22"/>
          <w:szCs w:val="22"/>
        </w:rPr>
        <w:t xml:space="preserve"> to workplaces that have hydrogen sulfide at the workplace (such as paper mills, sewage treatment plants, cement production, breweries etc.)</w:t>
      </w:r>
      <w:r w:rsidR="00A7641B">
        <w:rPr>
          <w:rStyle w:val="FootnoteReference"/>
          <w:rFonts w:ascii="Arial" w:eastAsiaTheme="majorEastAsia" w:hAnsi="Arial" w:cs="Arial"/>
          <w:sz w:val="22"/>
          <w:szCs w:val="22"/>
        </w:rPr>
        <w:footnoteReference w:id="186"/>
      </w:r>
      <w:r w:rsidR="004D4E0E" w:rsidRPr="00C754F5">
        <w:rPr>
          <w:rFonts w:ascii="Arial" w:eastAsiaTheme="majorEastAsia" w:hAnsi="Arial" w:cs="Arial"/>
          <w:sz w:val="22"/>
          <w:szCs w:val="22"/>
        </w:rPr>
        <w:t>,</w:t>
      </w:r>
    </w:p>
    <w:p w14:paraId="0AE27550" w14:textId="5BDCF100" w:rsidR="004D4E0E" w:rsidRPr="00316580" w:rsidRDefault="004D4E0E" w:rsidP="00B57E6C">
      <w:pPr>
        <w:pStyle w:val="paragraph0"/>
        <w:numPr>
          <w:ilvl w:val="0"/>
          <w:numId w:val="41"/>
        </w:numPr>
        <w:spacing w:before="0" w:beforeAutospacing="0" w:after="120" w:afterAutospacing="0" w:line="240" w:lineRule="auto"/>
        <w:ind w:left="714" w:hanging="357"/>
        <w:contextualSpacing w:val="0"/>
        <w:textAlignment w:val="baseline"/>
        <w:rPr>
          <w:rFonts w:ascii="Arial" w:eastAsiaTheme="majorEastAsia" w:hAnsi="Arial" w:cs="Arial"/>
          <w:sz w:val="22"/>
          <w:szCs w:val="22"/>
        </w:rPr>
      </w:pPr>
      <w:r w:rsidRPr="00C754F5">
        <w:rPr>
          <w:rFonts w:ascii="Arial" w:eastAsiaTheme="majorEastAsia" w:hAnsi="Arial" w:cs="Arial"/>
          <w:sz w:val="22"/>
          <w:szCs w:val="22"/>
        </w:rPr>
        <w:t>the proposed change is in line with international best practice</w:t>
      </w:r>
      <w:r>
        <w:rPr>
          <w:rFonts w:ascii="Arial" w:eastAsiaTheme="majorEastAsia" w:hAnsi="Arial" w:cs="Arial"/>
          <w:sz w:val="22"/>
          <w:szCs w:val="22"/>
        </w:rPr>
        <w:t>, like the</w:t>
      </w:r>
      <w:r>
        <w:rPr>
          <w:rFonts w:ascii="Arial" w:hAnsi="Arial" w:cs="Arial"/>
          <w:color w:val="1C1B17"/>
          <w:sz w:val="22"/>
          <w:szCs w:val="22"/>
          <w:shd w:val="clear" w:color="auto" w:fill="FFFFFF"/>
        </w:rPr>
        <w:t xml:space="preserve"> </w:t>
      </w:r>
      <w:r w:rsidRPr="00C754F5">
        <w:rPr>
          <w:rFonts w:ascii="Arial" w:hAnsi="Arial" w:cs="Arial"/>
          <w:color w:val="1C1B17"/>
          <w:sz w:val="22"/>
          <w:szCs w:val="22"/>
          <w:shd w:val="clear" w:color="auto" w:fill="FFFFFF"/>
        </w:rPr>
        <w:t>ACGIH Threshold Limit Values (TLVs)</w:t>
      </w:r>
      <w:r w:rsidR="00555CFA">
        <w:rPr>
          <w:rStyle w:val="FootnoteReference"/>
          <w:rFonts w:ascii="Arial" w:hAnsi="Arial" w:cs="Arial"/>
          <w:color w:val="1C1B17"/>
          <w:sz w:val="22"/>
          <w:szCs w:val="22"/>
          <w:shd w:val="clear" w:color="auto" w:fill="FFFFFF"/>
        </w:rPr>
        <w:footnoteReference w:id="187"/>
      </w:r>
      <w:r w:rsidRPr="00C754F5">
        <w:rPr>
          <w:rFonts w:ascii="Arial" w:hAnsi="Arial" w:cs="Arial"/>
          <w:color w:val="1C1B17"/>
          <w:sz w:val="22"/>
          <w:szCs w:val="22"/>
          <w:shd w:val="clear" w:color="auto" w:fill="FFFFFF"/>
        </w:rPr>
        <w:t xml:space="preserve">, </w:t>
      </w:r>
      <w:r w:rsidRPr="00316580">
        <w:rPr>
          <w:rFonts w:ascii="Arial" w:hAnsi="Arial" w:cs="Arial"/>
          <w:color w:val="1C1B17"/>
          <w:sz w:val="22"/>
          <w:szCs w:val="22"/>
          <w:shd w:val="clear" w:color="auto" w:fill="FFFFFF"/>
        </w:rPr>
        <w:t>and</w:t>
      </w:r>
      <w:r w:rsidRPr="00316580">
        <w:rPr>
          <w:rFonts w:ascii="Arial" w:eastAsiaTheme="majorEastAsia" w:hAnsi="Arial" w:cs="Arial"/>
          <w:sz w:val="22"/>
          <w:szCs w:val="22"/>
        </w:rPr>
        <w:t xml:space="preserve"> </w:t>
      </w:r>
    </w:p>
    <w:p w14:paraId="2CBB3BF4" w14:textId="4616747A" w:rsidR="004D4E0E" w:rsidRPr="00316580" w:rsidRDefault="004D4E0E" w:rsidP="00B57E6C">
      <w:pPr>
        <w:pStyle w:val="paragraph0"/>
        <w:numPr>
          <w:ilvl w:val="0"/>
          <w:numId w:val="41"/>
        </w:numPr>
        <w:spacing w:before="0" w:beforeAutospacing="0" w:after="120" w:afterAutospacing="0" w:line="240" w:lineRule="auto"/>
        <w:ind w:left="714" w:hanging="357"/>
        <w:contextualSpacing w:val="0"/>
        <w:textAlignment w:val="baseline"/>
        <w:rPr>
          <w:rFonts w:ascii="Arial" w:eastAsiaTheme="majorEastAsia" w:hAnsi="Arial" w:cs="Arial"/>
          <w:sz w:val="22"/>
          <w:szCs w:val="22"/>
        </w:rPr>
      </w:pPr>
      <w:r w:rsidRPr="00316580">
        <w:rPr>
          <w:rFonts w:ascii="Arial" w:eastAsiaTheme="majorEastAsia" w:hAnsi="Arial" w:cs="Arial"/>
          <w:sz w:val="22"/>
          <w:szCs w:val="22"/>
        </w:rPr>
        <w:t xml:space="preserve">first-hand experience of the </w:t>
      </w:r>
      <w:r w:rsidR="006F05E5">
        <w:rPr>
          <w:rFonts w:ascii="Arial" w:eastAsiaTheme="majorEastAsia" w:hAnsi="Arial" w:cs="Arial"/>
          <w:sz w:val="22"/>
          <w:szCs w:val="22"/>
        </w:rPr>
        <w:t xml:space="preserve">adverse </w:t>
      </w:r>
      <w:r w:rsidRPr="00316580">
        <w:rPr>
          <w:rFonts w:ascii="Arial" w:eastAsiaTheme="majorEastAsia" w:hAnsi="Arial" w:cs="Arial"/>
          <w:sz w:val="22"/>
          <w:szCs w:val="22"/>
        </w:rPr>
        <w:t>impacts when hydrogen sulfide exposure is not taken seriously</w:t>
      </w:r>
      <w:r w:rsidR="007D050A">
        <w:rPr>
          <w:rStyle w:val="FootnoteReference"/>
          <w:rFonts w:ascii="Arial" w:eastAsiaTheme="majorEastAsia" w:hAnsi="Arial" w:cs="Arial"/>
          <w:sz w:val="22"/>
          <w:szCs w:val="22"/>
        </w:rPr>
        <w:footnoteReference w:id="188"/>
      </w:r>
      <w:r w:rsidRPr="00316580">
        <w:rPr>
          <w:rFonts w:ascii="Arial" w:eastAsiaTheme="majorEastAsia" w:hAnsi="Arial" w:cs="Arial"/>
          <w:sz w:val="22"/>
          <w:szCs w:val="22"/>
        </w:rPr>
        <w:t xml:space="preserve">. </w:t>
      </w:r>
    </w:p>
    <w:p w14:paraId="40CB2777" w14:textId="288A312B" w:rsidR="00AE37A0" w:rsidRDefault="0095400C" w:rsidP="00C754F5">
      <w:pPr>
        <w:contextualSpacing w:val="0"/>
      </w:pPr>
      <w:r>
        <w:t>Over a third of</w:t>
      </w:r>
      <w:r w:rsidR="00825E71">
        <w:t xml:space="preserve"> submissions (13</w:t>
      </w:r>
      <w:r w:rsidR="00662DE2">
        <w:t xml:space="preserve"> </w:t>
      </w:r>
      <w:r w:rsidR="00061485">
        <w:t xml:space="preserve">out </w:t>
      </w:r>
      <w:r w:rsidR="00662DE2">
        <w:t>of 27</w:t>
      </w:r>
      <w:r w:rsidR="00825E71">
        <w:t xml:space="preserve">) supported </w:t>
      </w:r>
      <w:r w:rsidR="00662DE2">
        <w:t>retaining the</w:t>
      </w:r>
      <w:r w:rsidR="00825E71">
        <w:t xml:space="preserve"> current TWA of 10 ppm (14 mg/m</w:t>
      </w:r>
      <w:r w:rsidR="00825E71" w:rsidRPr="00E90A5A">
        <w:rPr>
          <w:vertAlign w:val="superscript"/>
        </w:rPr>
        <w:t>3</w:t>
      </w:r>
      <w:r w:rsidR="00825E71">
        <w:t>) and STEL of 15 ppm (21 mg/m</w:t>
      </w:r>
      <w:r w:rsidR="00825E71" w:rsidRPr="00FE7E82">
        <w:rPr>
          <w:vertAlign w:val="superscript"/>
        </w:rPr>
        <w:t>3</w:t>
      </w:r>
      <w:r w:rsidR="00825E71">
        <w:t>) for hydrogen sulfide</w:t>
      </w:r>
      <w:r w:rsidR="00EC324C">
        <w:t xml:space="preserve"> (Option 1)</w:t>
      </w:r>
      <w:r w:rsidR="00825E71">
        <w:t xml:space="preserve">. </w:t>
      </w:r>
    </w:p>
    <w:p w14:paraId="43C0E775" w14:textId="3AD04EC9" w:rsidR="00825E71" w:rsidRDefault="00825E71" w:rsidP="00C754F5">
      <w:pPr>
        <w:contextualSpacing w:val="0"/>
      </w:pPr>
      <w:r>
        <w:t>These submissions came from industry bodies, academics, government</w:t>
      </w:r>
      <w:r w:rsidR="006D7792">
        <w:t>s</w:t>
      </w:r>
      <w:r w:rsidR="00B8133C">
        <w:t xml:space="preserve"> </w:t>
      </w:r>
      <w:r>
        <w:t>and PCBUs. S</w:t>
      </w:r>
      <w:r w:rsidR="006D7792">
        <w:t xml:space="preserve">takeholders </w:t>
      </w:r>
      <w:r w:rsidR="006F05E5">
        <w:t xml:space="preserve">who supported Option 1 </w:t>
      </w:r>
      <w:r w:rsidR="006D7792">
        <w:t>noted their s</w:t>
      </w:r>
      <w:r>
        <w:t xml:space="preserve">upport </w:t>
      </w:r>
      <w:r w:rsidR="006F05E5">
        <w:t>is</w:t>
      </w:r>
      <w:r>
        <w:t xml:space="preserve"> based on:</w:t>
      </w:r>
    </w:p>
    <w:p w14:paraId="2934ED01" w14:textId="18652D8D" w:rsidR="00D240BC" w:rsidRPr="00AE5D4B" w:rsidRDefault="00D240BC" w:rsidP="00B57E6C">
      <w:pPr>
        <w:pStyle w:val="ListParagraph"/>
        <w:numPr>
          <w:ilvl w:val="0"/>
          <w:numId w:val="40"/>
        </w:numPr>
        <w:spacing w:line="259" w:lineRule="auto"/>
        <w:ind w:left="714" w:hanging="357"/>
        <w:contextualSpacing w:val="0"/>
        <w:rPr>
          <w:vertAlign w:val="superscript"/>
        </w:rPr>
      </w:pPr>
      <w:bookmarkStart w:id="431" w:name="_Toc196204774"/>
      <w:r>
        <w:t>the current WES provides adequate protection to workers</w:t>
      </w:r>
      <w:r w:rsidR="00C27E10">
        <w:rPr>
          <w:rStyle w:val="FootnoteReference"/>
        </w:rPr>
        <w:footnoteReference w:id="189"/>
      </w:r>
      <w:bookmarkEnd w:id="431"/>
      <w:r w:rsidR="002F6244">
        <w:t>,</w:t>
      </w:r>
    </w:p>
    <w:p w14:paraId="6E74F5FC" w14:textId="3F1E7150" w:rsidR="00D240BC" w:rsidRDefault="00D240BC" w:rsidP="00B57E6C">
      <w:pPr>
        <w:pStyle w:val="ListParagraph"/>
        <w:numPr>
          <w:ilvl w:val="0"/>
          <w:numId w:val="40"/>
        </w:numPr>
        <w:spacing w:line="259" w:lineRule="auto"/>
        <w:ind w:left="714" w:hanging="357"/>
        <w:contextualSpacing w:val="0"/>
      </w:pPr>
      <w:bookmarkStart w:id="432" w:name="_Toc196204775"/>
      <w:r>
        <w:lastRenderedPageBreak/>
        <w:t>the reduction of the TWA WEL to 1 ppm will result in no safety benefits</w:t>
      </w:r>
      <w:r w:rsidR="00BB7A21">
        <w:rPr>
          <w:rStyle w:val="FootnoteReference"/>
        </w:rPr>
        <w:footnoteReference w:id="190"/>
      </w:r>
      <w:r>
        <w:t xml:space="preserve"> and will be impossible to implement and measure</w:t>
      </w:r>
      <w:r w:rsidR="00BB7A21">
        <w:rPr>
          <w:rStyle w:val="FootnoteReference"/>
        </w:rPr>
        <w:footnoteReference w:id="191"/>
      </w:r>
      <w:bookmarkEnd w:id="432"/>
      <w:r w:rsidR="002F6244">
        <w:t>,</w:t>
      </w:r>
    </w:p>
    <w:p w14:paraId="46E34DC4" w14:textId="6A5ED4A4" w:rsidR="00134563" w:rsidRDefault="0053087E" w:rsidP="00B57E6C">
      <w:pPr>
        <w:pStyle w:val="ListParagraph"/>
        <w:numPr>
          <w:ilvl w:val="0"/>
          <w:numId w:val="40"/>
        </w:numPr>
        <w:spacing w:line="259" w:lineRule="auto"/>
        <w:ind w:left="714" w:hanging="357"/>
        <w:contextualSpacing w:val="0"/>
      </w:pPr>
      <w:r>
        <w:t>the proposed limits are inconsistent with international standards</w:t>
      </w:r>
      <w:r w:rsidR="00E900AF" w:rsidRPr="00E900AF">
        <w:rPr>
          <w:vertAlign w:val="superscript"/>
        </w:rPr>
        <w:footnoteReference w:id="192"/>
      </w:r>
      <w:r w:rsidR="002F6244">
        <w:t>,</w:t>
      </w:r>
    </w:p>
    <w:p w14:paraId="7B73CD6E" w14:textId="095DD988" w:rsidR="00D240BC" w:rsidRDefault="00D240BC" w:rsidP="00B57E6C">
      <w:pPr>
        <w:pStyle w:val="ListParagraph"/>
        <w:numPr>
          <w:ilvl w:val="0"/>
          <w:numId w:val="40"/>
        </w:numPr>
        <w:spacing w:line="259" w:lineRule="auto"/>
        <w:ind w:left="714" w:hanging="357"/>
        <w:contextualSpacing w:val="0"/>
      </w:pPr>
      <w:bookmarkStart w:id="435" w:name="_Toc196204776"/>
      <w:r>
        <w:t>the proposed limits will result in great</w:t>
      </w:r>
      <w:r w:rsidR="007E25A5">
        <w:t>er</w:t>
      </w:r>
      <w:r>
        <w:t xml:space="preserve"> cost impacts on Australians</w:t>
      </w:r>
      <w:bookmarkEnd w:id="435"/>
      <w:r w:rsidR="00E900AF">
        <w:rPr>
          <w:rStyle w:val="FootnoteReference"/>
        </w:rPr>
        <w:footnoteReference w:id="193"/>
      </w:r>
      <w:r w:rsidR="002F6244">
        <w:t>,</w:t>
      </w:r>
      <w:r>
        <w:t xml:space="preserve"> </w:t>
      </w:r>
    </w:p>
    <w:p w14:paraId="5A7C51FD" w14:textId="7D1BCADA" w:rsidR="00825E71" w:rsidRDefault="00825E71" w:rsidP="00B57E6C">
      <w:pPr>
        <w:pStyle w:val="ListParagraph"/>
        <w:numPr>
          <w:ilvl w:val="0"/>
          <w:numId w:val="40"/>
        </w:numPr>
        <w:spacing w:line="259" w:lineRule="auto"/>
        <w:ind w:left="714" w:hanging="357"/>
        <w:contextualSpacing w:val="0"/>
      </w:pPr>
      <w:bookmarkStart w:id="436" w:name="_Toc196204777"/>
      <w:r>
        <w:t>the proposed limits will “severely hinder” the ability for PCBUs from the oil-refinery industry “to run continuous operations at current rates</w:t>
      </w:r>
      <w:bookmarkEnd w:id="436"/>
      <w:r>
        <w:t>”</w:t>
      </w:r>
      <w:r w:rsidR="002762D9">
        <w:rPr>
          <w:rStyle w:val="FootnoteReference"/>
        </w:rPr>
        <w:footnoteReference w:id="194"/>
      </w:r>
      <w:r w:rsidR="002F6244">
        <w:t>,</w:t>
      </w:r>
    </w:p>
    <w:p w14:paraId="60417597" w14:textId="183D4B54" w:rsidR="008A17DC" w:rsidRDefault="008A17DC" w:rsidP="00B57E6C">
      <w:pPr>
        <w:pStyle w:val="paragraph0"/>
        <w:numPr>
          <w:ilvl w:val="0"/>
          <w:numId w:val="40"/>
        </w:numPr>
        <w:spacing w:before="0" w:beforeAutospacing="0" w:after="120" w:afterAutospacing="0" w:line="240" w:lineRule="auto"/>
        <w:contextualSpacing w:val="0"/>
        <w:textAlignment w:val="baseline"/>
        <w:rPr>
          <w:rFonts w:ascii="Arial" w:eastAsiaTheme="majorEastAsia" w:hAnsi="Arial" w:cs="Arial"/>
          <w:sz w:val="22"/>
          <w:szCs w:val="22"/>
        </w:rPr>
      </w:pPr>
      <w:r>
        <w:rPr>
          <w:rFonts w:ascii="Arial" w:eastAsiaTheme="majorEastAsia" w:hAnsi="Arial" w:cs="Arial"/>
          <w:sz w:val="22"/>
          <w:szCs w:val="22"/>
        </w:rPr>
        <w:t xml:space="preserve">the preliminary </w:t>
      </w:r>
      <w:r w:rsidR="002C70CC">
        <w:rPr>
          <w:rFonts w:ascii="Arial" w:eastAsiaTheme="majorEastAsia" w:hAnsi="Arial" w:cs="Arial"/>
          <w:sz w:val="22"/>
          <w:szCs w:val="22"/>
        </w:rPr>
        <w:t>estimates</w:t>
      </w:r>
      <w:r w:rsidR="000E2C41">
        <w:rPr>
          <w:rFonts w:ascii="Arial" w:eastAsiaTheme="majorEastAsia" w:hAnsi="Arial" w:cs="Arial"/>
          <w:sz w:val="22"/>
          <w:szCs w:val="22"/>
        </w:rPr>
        <w:t>, by Nous Group, of the</w:t>
      </w:r>
      <w:r w:rsidR="002C70CC">
        <w:rPr>
          <w:rFonts w:ascii="Arial" w:eastAsiaTheme="majorEastAsia" w:hAnsi="Arial" w:cs="Arial"/>
          <w:sz w:val="22"/>
          <w:szCs w:val="22"/>
        </w:rPr>
        <w:t xml:space="preserve"> </w:t>
      </w:r>
      <w:r>
        <w:rPr>
          <w:rFonts w:ascii="Arial" w:eastAsiaTheme="majorEastAsia" w:hAnsi="Arial" w:cs="Arial"/>
          <w:sz w:val="22"/>
          <w:szCs w:val="22"/>
        </w:rPr>
        <w:t>cost</w:t>
      </w:r>
      <w:r w:rsidR="002C70CC">
        <w:rPr>
          <w:rFonts w:ascii="Arial" w:eastAsiaTheme="majorEastAsia" w:hAnsi="Arial" w:cs="Arial"/>
          <w:sz w:val="22"/>
          <w:szCs w:val="22"/>
        </w:rPr>
        <w:t xml:space="preserve"> and </w:t>
      </w:r>
      <w:r>
        <w:rPr>
          <w:rFonts w:ascii="Arial" w:eastAsiaTheme="majorEastAsia" w:hAnsi="Arial" w:cs="Arial"/>
          <w:sz w:val="22"/>
          <w:szCs w:val="22"/>
        </w:rPr>
        <w:t>benefit</w:t>
      </w:r>
      <w:r w:rsidR="0094492B">
        <w:rPr>
          <w:rFonts w:ascii="Arial" w:eastAsiaTheme="majorEastAsia" w:hAnsi="Arial" w:cs="Arial"/>
          <w:sz w:val="22"/>
          <w:szCs w:val="22"/>
        </w:rPr>
        <w:t xml:space="preserve">s </w:t>
      </w:r>
      <w:r>
        <w:rPr>
          <w:rFonts w:ascii="Arial" w:eastAsiaTheme="majorEastAsia" w:hAnsi="Arial" w:cs="Arial"/>
          <w:sz w:val="22"/>
          <w:szCs w:val="22"/>
        </w:rPr>
        <w:t>for hydrogen sulfide</w:t>
      </w:r>
      <w:r w:rsidR="000E2C41">
        <w:rPr>
          <w:rFonts w:ascii="Arial" w:eastAsiaTheme="majorEastAsia" w:hAnsi="Arial" w:cs="Arial"/>
          <w:sz w:val="22"/>
          <w:szCs w:val="22"/>
        </w:rPr>
        <w:t>, which suggests the</w:t>
      </w:r>
      <w:r w:rsidR="006F67DC">
        <w:rPr>
          <w:rFonts w:ascii="Arial" w:eastAsiaTheme="majorEastAsia" w:hAnsi="Arial" w:cs="Arial"/>
          <w:sz w:val="22"/>
          <w:szCs w:val="22"/>
        </w:rPr>
        <w:t xml:space="preserve"> estimated costs for Option 2 were higher than the estimated benefits</w:t>
      </w:r>
      <w:r w:rsidR="006F67DC">
        <w:rPr>
          <w:rStyle w:val="FootnoteReference"/>
          <w:rFonts w:ascii="Arial" w:eastAsiaTheme="majorEastAsia" w:hAnsi="Arial" w:cs="Arial"/>
          <w:sz w:val="22"/>
          <w:szCs w:val="22"/>
        </w:rPr>
        <w:footnoteReference w:id="195"/>
      </w:r>
      <w:r w:rsidR="006F67DC">
        <w:rPr>
          <w:rFonts w:ascii="Arial" w:eastAsiaTheme="majorEastAsia" w:hAnsi="Arial" w:cs="Arial"/>
          <w:sz w:val="22"/>
          <w:szCs w:val="22"/>
        </w:rPr>
        <w:t xml:space="preserve">, and </w:t>
      </w:r>
    </w:p>
    <w:p w14:paraId="4C16CD90" w14:textId="3F570953" w:rsidR="00825E71" w:rsidRDefault="00277291" w:rsidP="00B57E6C">
      <w:pPr>
        <w:pStyle w:val="paragraph0"/>
        <w:numPr>
          <w:ilvl w:val="0"/>
          <w:numId w:val="40"/>
        </w:numPr>
        <w:spacing w:before="0" w:beforeAutospacing="0" w:after="120" w:afterAutospacing="0" w:line="240" w:lineRule="auto"/>
        <w:contextualSpacing w:val="0"/>
        <w:textAlignment w:val="baseline"/>
        <w:rPr>
          <w:rFonts w:ascii="Arial" w:eastAsiaTheme="majorEastAsia" w:hAnsi="Arial" w:cs="Arial"/>
          <w:sz w:val="22"/>
          <w:szCs w:val="22"/>
        </w:rPr>
      </w:pPr>
      <w:r>
        <w:rPr>
          <w:rFonts w:ascii="Arial" w:eastAsiaTheme="majorEastAsia" w:hAnsi="Arial" w:cs="Arial"/>
          <w:sz w:val="22"/>
          <w:szCs w:val="22"/>
        </w:rPr>
        <w:t>the</w:t>
      </w:r>
      <w:r w:rsidR="00825E71" w:rsidRPr="00C754F5">
        <w:rPr>
          <w:rFonts w:ascii="Arial" w:eastAsiaTheme="majorEastAsia" w:hAnsi="Arial" w:cs="Arial"/>
          <w:sz w:val="22"/>
          <w:szCs w:val="22"/>
        </w:rPr>
        <w:t xml:space="preserve"> practical and feasibility issues such as measurement, compliance and costs</w:t>
      </w:r>
      <w:r w:rsidR="002762D9" w:rsidRPr="002762D9">
        <w:rPr>
          <w:rFonts w:ascii="Arial" w:eastAsiaTheme="majorEastAsia" w:hAnsi="Arial" w:cs="Arial"/>
          <w:sz w:val="22"/>
          <w:szCs w:val="22"/>
          <w:vertAlign w:val="superscript"/>
        </w:rPr>
        <w:footnoteReference w:id="196"/>
      </w:r>
      <w:r w:rsidR="00825E71" w:rsidRPr="00C754F5">
        <w:rPr>
          <w:rFonts w:ascii="Arial" w:eastAsiaTheme="majorEastAsia" w:hAnsi="Arial" w:cs="Arial"/>
          <w:sz w:val="22"/>
          <w:szCs w:val="22"/>
        </w:rPr>
        <w:t xml:space="preserve">. </w:t>
      </w:r>
    </w:p>
    <w:p w14:paraId="1B59289C" w14:textId="32A48610" w:rsidR="00D505B0" w:rsidRDefault="00825E71" w:rsidP="00316580">
      <w:pPr>
        <w:pStyle w:val="paragraph0"/>
        <w:keepNext/>
        <w:keepLines/>
        <w:spacing w:before="0" w:beforeAutospacing="0" w:after="120" w:afterAutospacing="0"/>
        <w:contextualSpacing w:val="0"/>
        <w:textAlignment w:val="baseline"/>
        <w:rPr>
          <w:rFonts w:ascii="Arial" w:eastAsiaTheme="majorEastAsia" w:hAnsi="Arial" w:cs="Arial"/>
          <w:sz w:val="22"/>
          <w:szCs w:val="22"/>
        </w:rPr>
      </w:pPr>
      <w:r w:rsidRPr="00316580">
        <w:rPr>
          <w:rFonts w:ascii="Arial" w:eastAsiaTheme="majorEastAsia" w:hAnsi="Arial" w:cs="Arial"/>
          <w:sz w:val="22"/>
          <w:szCs w:val="22"/>
        </w:rPr>
        <w:t xml:space="preserve">Five submissions did not </w:t>
      </w:r>
      <w:r w:rsidR="00316580">
        <w:rPr>
          <w:rFonts w:ascii="Arial" w:eastAsiaTheme="majorEastAsia" w:hAnsi="Arial" w:cs="Arial"/>
          <w:sz w:val="22"/>
          <w:szCs w:val="22"/>
        </w:rPr>
        <w:t xml:space="preserve">provide a </w:t>
      </w:r>
      <w:r w:rsidR="001B1D58">
        <w:rPr>
          <w:rFonts w:ascii="Arial" w:eastAsiaTheme="majorEastAsia" w:hAnsi="Arial" w:cs="Arial"/>
          <w:sz w:val="22"/>
          <w:szCs w:val="22"/>
        </w:rPr>
        <w:t>preferred</w:t>
      </w:r>
      <w:r w:rsidRPr="00316580">
        <w:rPr>
          <w:rFonts w:ascii="Arial" w:eastAsiaTheme="majorEastAsia" w:hAnsi="Arial" w:cs="Arial"/>
          <w:sz w:val="22"/>
          <w:szCs w:val="22"/>
        </w:rPr>
        <w:t xml:space="preserve"> option</w:t>
      </w:r>
      <w:r w:rsidR="002762D9">
        <w:rPr>
          <w:rStyle w:val="FootnoteReference"/>
          <w:rFonts w:ascii="Arial" w:eastAsiaTheme="majorEastAsia" w:hAnsi="Arial" w:cs="Arial"/>
          <w:sz w:val="22"/>
          <w:szCs w:val="22"/>
        </w:rPr>
        <w:footnoteReference w:id="197"/>
      </w:r>
      <w:r w:rsidR="001B1D58">
        <w:rPr>
          <w:rFonts w:ascii="Arial" w:eastAsiaTheme="majorEastAsia" w:hAnsi="Arial" w:cs="Arial"/>
          <w:sz w:val="22"/>
          <w:szCs w:val="22"/>
        </w:rPr>
        <w:t>.</w:t>
      </w:r>
    </w:p>
    <w:p w14:paraId="14B3F643" w14:textId="77777777" w:rsidR="005702B3" w:rsidRDefault="005702B3" w:rsidP="005702B3">
      <w:pPr>
        <w:pStyle w:val="SWAHeading3"/>
      </w:pPr>
      <w:r>
        <w:t>Alternative WELs suggested by stakeholders</w:t>
      </w:r>
    </w:p>
    <w:p w14:paraId="3A1370EE" w14:textId="787D8493" w:rsidR="00CE5E51" w:rsidRDefault="005702B3" w:rsidP="005702B3">
      <w:pPr>
        <w:pStyle w:val="Paragraph"/>
        <w:keepNext w:val="0"/>
      </w:pPr>
      <w:r w:rsidRPr="00016321">
        <w:t xml:space="preserve">Some stakeholders put forward alternative exposure limits in their submissions for </w:t>
      </w:r>
      <w:r>
        <w:t>hydrogen sulfide</w:t>
      </w:r>
      <w:r w:rsidRPr="00016321">
        <w:t xml:space="preserve">. These were considered </w:t>
      </w:r>
      <w:r w:rsidR="00AB2275">
        <w:t xml:space="preserve">against the criteria contained </w:t>
      </w:r>
      <w:r w:rsidR="00CE5E51">
        <w:t>with</w:t>
      </w:r>
      <w:r w:rsidR="00AB2275">
        <w:t>in the</w:t>
      </w:r>
      <w:r w:rsidRPr="00016321">
        <w:t xml:space="preserve"> WES review methodology </w:t>
      </w:r>
      <w:r w:rsidR="00EF0C33">
        <w:t>agreed by WHS ministers</w:t>
      </w:r>
      <w:r w:rsidRPr="00016321">
        <w:t xml:space="preserve">. </w:t>
      </w:r>
    </w:p>
    <w:p w14:paraId="56FB2DB9" w14:textId="0253E98D" w:rsidR="005702B3" w:rsidRDefault="005702B3" w:rsidP="005702B3">
      <w:pPr>
        <w:pStyle w:val="Paragraph"/>
        <w:keepNext w:val="0"/>
      </w:pPr>
      <w:r w:rsidRPr="00016321">
        <w:t>T</w:t>
      </w:r>
      <w:r w:rsidR="00EE3BE8">
        <w:t>wo</w:t>
      </w:r>
      <w:r w:rsidRPr="00016321">
        <w:t xml:space="preserve"> </w:t>
      </w:r>
      <w:r w:rsidR="00924CC0">
        <w:t>submissions suggested</w:t>
      </w:r>
      <w:r w:rsidR="00BE0169">
        <w:t xml:space="preserve"> the following</w:t>
      </w:r>
      <w:r w:rsidR="00924CC0">
        <w:t xml:space="preserve"> </w:t>
      </w:r>
      <w:r w:rsidRPr="00016321">
        <w:t>alternative WEL:</w:t>
      </w:r>
    </w:p>
    <w:p w14:paraId="20ACFC3E" w14:textId="12291252" w:rsidR="00B652A6" w:rsidRDefault="00B652A6" w:rsidP="00A2768E">
      <w:pPr>
        <w:pStyle w:val="Paragraph"/>
        <w:keepNext w:val="0"/>
        <w:numPr>
          <w:ilvl w:val="0"/>
          <w:numId w:val="166"/>
        </w:numPr>
        <w:rPr>
          <w:lang w:eastAsia="en-US"/>
        </w:rPr>
      </w:pPr>
      <w:r>
        <w:rPr>
          <w:lang w:eastAsia="en-US"/>
        </w:rPr>
        <w:t>a TWA of 5 ppm</w:t>
      </w:r>
      <w:r w:rsidR="00014B89">
        <w:rPr>
          <w:lang w:eastAsia="en-US"/>
        </w:rPr>
        <w:t xml:space="preserve"> and STEL of </w:t>
      </w:r>
      <w:r w:rsidR="00AC0401">
        <w:rPr>
          <w:lang w:eastAsia="en-US"/>
        </w:rPr>
        <w:t>10</w:t>
      </w:r>
      <w:r w:rsidR="0053077C">
        <w:rPr>
          <w:lang w:eastAsia="en-US"/>
        </w:rPr>
        <w:t xml:space="preserve"> ppm</w:t>
      </w:r>
      <w:r>
        <w:rPr>
          <w:lang w:eastAsia="en-US"/>
        </w:rPr>
        <w:t xml:space="preserve">, based on </w:t>
      </w:r>
      <w:r w:rsidR="0074642E">
        <w:rPr>
          <w:lang w:eastAsia="en-US"/>
        </w:rPr>
        <w:t xml:space="preserve">limits set in the </w:t>
      </w:r>
      <w:r w:rsidR="00ED3731">
        <w:rPr>
          <w:lang w:eastAsia="en-US"/>
        </w:rPr>
        <w:t>E</w:t>
      </w:r>
      <w:r w:rsidR="001F32BE">
        <w:rPr>
          <w:lang w:eastAsia="en-US"/>
        </w:rPr>
        <w:t xml:space="preserve">uropean </w:t>
      </w:r>
      <w:r w:rsidR="00ED3731">
        <w:rPr>
          <w:lang w:eastAsia="en-US"/>
        </w:rPr>
        <w:t>U</w:t>
      </w:r>
      <w:r w:rsidR="001F32BE">
        <w:rPr>
          <w:lang w:eastAsia="en-US"/>
        </w:rPr>
        <w:t>nion</w:t>
      </w:r>
      <w:r w:rsidR="00184D0A">
        <w:rPr>
          <w:rStyle w:val="FootnoteReference"/>
        </w:rPr>
        <w:footnoteReference w:id="198"/>
      </w:r>
      <w:r w:rsidR="00ED3731">
        <w:rPr>
          <w:lang w:eastAsia="en-US"/>
        </w:rPr>
        <w:t>:</w:t>
      </w:r>
    </w:p>
    <w:p w14:paraId="453C7CC1" w14:textId="68337A4C" w:rsidR="005702B3" w:rsidRPr="000F3083" w:rsidRDefault="00DB0F17" w:rsidP="00A2768E">
      <w:pPr>
        <w:pStyle w:val="Paragraph"/>
        <w:keepNext w:val="0"/>
        <w:numPr>
          <w:ilvl w:val="1"/>
          <w:numId w:val="166"/>
        </w:numPr>
        <w:ind w:hanging="357"/>
        <w:rPr>
          <w:lang w:eastAsia="en-US"/>
        </w:rPr>
      </w:pPr>
      <w:r>
        <w:rPr>
          <w:lang w:eastAsia="en-US"/>
        </w:rPr>
        <w:t>The proposed WEL is al</w:t>
      </w:r>
      <w:r w:rsidR="00894CF3">
        <w:rPr>
          <w:lang w:eastAsia="en-US"/>
        </w:rPr>
        <w:t xml:space="preserve">igned with </w:t>
      </w:r>
      <w:r w:rsidR="00C96CED">
        <w:rPr>
          <w:lang w:eastAsia="en-US"/>
        </w:rPr>
        <w:t xml:space="preserve">other international jurisdictions. </w:t>
      </w:r>
      <w:r w:rsidR="00B652A6">
        <w:rPr>
          <w:lang w:eastAsia="en-US"/>
        </w:rPr>
        <w:t xml:space="preserve">No health-based evidence </w:t>
      </w:r>
      <w:r w:rsidR="00C96CED">
        <w:rPr>
          <w:lang w:eastAsia="en-US"/>
        </w:rPr>
        <w:t xml:space="preserve">was </w:t>
      </w:r>
      <w:r w:rsidR="00B652A6">
        <w:rPr>
          <w:lang w:eastAsia="en-US"/>
        </w:rPr>
        <w:t xml:space="preserve">provided in submissions to support the alternative </w:t>
      </w:r>
      <w:r w:rsidR="00431763">
        <w:rPr>
          <w:lang w:eastAsia="en-US"/>
        </w:rPr>
        <w:t xml:space="preserve">TWA or STEL </w:t>
      </w:r>
      <w:r w:rsidR="00B652A6">
        <w:rPr>
          <w:lang w:eastAsia="en-US"/>
        </w:rPr>
        <w:t xml:space="preserve">to be considered in line with the WES review methodology </w:t>
      </w:r>
      <w:r w:rsidR="00057AD0">
        <w:rPr>
          <w:lang w:eastAsia="en-US"/>
        </w:rPr>
        <w:t>agreed by WHS ministers</w:t>
      </w:r>
      <w:r w:rsidR="00B652A6">
        <w:rPr>
          <w:lang w:eastAsia="en-US"/>
        </w:rPr>
        <w:t xml:space="preserve">. </w:t>
      </w:r>
    </w:p>
    <w:p w14:paraId="096DE6B5" w14:textId="49F52962" w:rsidR="00E744CD" w:rsidRDefault="00332775" w:rsidP="00E21AA9">
      <w:pPr>
        <w:pStyle w:val="SWAHeading3"/>
      </w:pPr>
      <w:r>
        <w:t>Consideration</w:t>
      </w:r>
      <w:r w:rsidR="00E744CD">
        <w:t>s</w:t>
      </w:r>
      <w:r w:rsidR="006370E8">
        <w:t xml:space="preserve"> in relation to</w:t>
      </w:r>
      <w:r w:rsidR="00E744CD">
        <w:t xml:space="preserve"> the proposed WEL for hydrogen sulfide</w:t>
      </w:r>
    </w:p>
    <w:p w14:paraId="7855A8FD" w14:textId="1AD47916" w:rsidR="008B373E" w:rsidRDefault="00332775" w:rsidP="008B373E">
      <w:pPr>
        <w:pStyle w:val="SWAHeading4"/>
        <w:rPr>
          <w:b w:val="0"/>
          <w:bCs w:val="0"/>
          <w:i w:val="0"/>
          <w:iCs w:val="0"/>
          <w:sz w:val="22"/>
          <w:szCs w:val="24"/>
        </w:rPr>
      </w:pPr>
      <w:bookmarkStart w:id="437" w:name="_Hlk195036992"/>
      <w:r>
        <w:rPr>
          <w:b w:val="0"/>
          <w:bCs w:val="0"/>
          <w:i w:val="0"/>
          <w:iCs w:val="0"/>
          <w:sz w:val="22"/>
          <w:szCs w:val="24"/>
        </w:rPr>
        <w:t>S</w:t>
      </w:r>
      <w:r w:rsidR="008B373E" w:rsidRPr="00E55C0C">
        <w:rPr>
          <w:b w:val="0"/>
          <w:bCs w:val="0"/>
          <w:i w:val="0"/>
          <w:iCs w:val="0"/>
          <w:sz w:val="22"/>
          <w:szCs w:val="24"/>
        </w:rPr>
        <w:t xml:space="preserve">takeholders were asked about challenges they expect their industry, business or PCBU </w:t>
      </w:r>
      <w:r w:rsidR="00647640">
        <w:rPr>
          <w:b w:val="0"/>
          <w:bCs w:val="0"/>
          <w:i w:val="0"/>
          <w:iCs w:val="0"/>
          <w:sz w:val="22"/>
          <w:szCs w:val="24"/>
        </w:rPr>
        <w:t xml:space="preserve">would </w:t>
      </w:r>
      <w:r w:rsidR="008B373E" w:rsidRPr="00E55C0C">
        <w:rPr>
          <w:b w:val="0"/>
          <w:bCs w:val="0"/>
          <w:i w:val="0"/>
          <w:iCs w:val="0"/>
          <w:sz w:val="22"/>
          <w:szCs w:val="24"/>
        </w:rPr>
        <w:t>encounter if the proposed WEL was implemented</w:t>
      </w:r>
      <w:bookmarkEnd w:id="437"/>
      <w:r w:rsidR="008B373E" w:rsidRPr="00E55C0C">
        <w:rPr>
          <w:b w:val="0"/>
          <w:bCs w:val="0"/>
          <w:i w:val="0"/>
          <w:iCs w:val="0"/>
          <w:sz w:val="22"/>
          <w:szCs w:val="24"/>
        </w:rPr>
        <w:t xml:space="preserve">. </w:t>
      </w:r>
      <w:r w:rsidR="009F4A88">
        <w:rPr>
          <w:b w:val="0"/>
          <w:bCs w:val="0"/>
          <w:i w:val="0"/>
          <w:iCs w:val="0"/>
          <w:sz w:val="22"/>
          <w:szCs w:val="24"/>
        </w:rPr>
        <w:t>Measurability</w:t>
      </w:r>
      <w:r w:rsidR="00CC0CC0">
        <w:rPr>
          <w:b w:val="0"/>
          <w:bCs w:val="0"/>
          <w:i w:val="0"/>
          <w:iCs w:val="0"/>
          <w:sz w:val="22"/>
          <w:szCs w:val="24"/>
        </w:rPr>
        <w:t xml:space="preserve">, burden of personal protective equipment </w:t>
      </w:r>
      <w:r w:rsidR="00FC25BB">
        <w:rPr>
          <w:b w:val="0"/>
          <w:bCs w:val="0"/>
          <w:i w:val="0"/>
          <w:iCs w:val="0"/>
          <w:sz w:val="22"/>
          <w:szCs w:val="24"/>
        </w:rPr>
        <w:t>(PPE)</w:t>
      </w:r>
      <w:r w:rsidR="00CC0CC0">
        <w:rPr>
          <w:b w:val="0"/>
          <w:bCs w:val="0"/>
          <w:i w:val="0"/>
          <w:iCs w:val="0"/>
          <w:sz w:val="22"/>
          <w:szCs w:val="24"/>
        </w:rPr>
        <w:t xml:space="preserve"> on workers, </w:t>
      </w:r>
      <w:r w:rsidR="00996652">
        <w:rPr>
          <w:b w:val="0"/>
          <w:bCs w:val="0"/>
          <w:i w:val="0"/>
          <w:iCs w:val="0"/>
          <w:sz w:val="22"/>
          <w:szCs w:val="24"/>
        </w:rPr>
        <w:t xml:space="preserve">impacts on work in a confined space, </w:t>
      </w:r>
      <w:r w:rsidR="0079412C">
        <w:rPr>
          <w:b w:val="0"/>
          <w:bCs w:val="0"/>
          <w:i w:val="0"/>
          <w:iCs w:val="0"/>
          <w:sz w:val="22"/>
          <w:szCs w:val="24"/>
        </w:rPr>
        <w:t xml:space="preserve">and industry </w:t>
      </w:r>
      <w:r w:rsidR="0079412C">
        <w:rPr>
          <w:b w:val="0"/>
          <w:bCs w:val="0"/>
          <w:i w:val="0"/>
          <w:iCs w:val="0"/>
          <w:sz w:val="22"/>
          <w:szCs w:val="24"/>
        </w:rPr>
        <w:lastRenderedPageBreak/>
        <w:t xml:space="preserve">specific </w:t>
      </w:r>
      <w:r w:rsidR="009F4A88">
        <w:rPr>
          <w:b w:val="0"/>
          <w:bCs w:val="0"/>
          <w:i w:val="0"/>
          <w:iCs w:val="0"/>
          <w:sz w:val="22"/>
          <w:szCs w:val="24"/>
        </w:rPr>
        <w:t xml:space="preserve">challenges were raised as the key challenges associated with the proposed WEL for hydrogen sulfide. </w:t>
      </w:r>
    </w:p>
    <w:p w14:paraId="25CD0F33" w14:textId="5CF028E8" w:rsidR="00FB7369" w:rsidRDefault="009F4A88" w:rsidP="00E21AA9">
      <w:pPr>
        <w:pStyle w:val="SWAHeading4"/>
        <w:rPr>
          <w:sz w:val="22"/>
        </w:rPr>
      </w:pPr>
      <w:r>
        <w:t>Measurability</w:t>
      </w:r>
      <w:r w:rsidR="00DE51E8">
        <w:t xml:space="preserve"> concerns</w:t>
      </w:r>
      <w:r w:rsidR="00FB7369">
        <w:t xml:space="preserve"> </w:t>
      </w:r>
    </w:p>
    <w:p w14:paraId="166027F5" w14:textId="610541EF" w:rsidR="00040C40" w:rsidRDefault="00A1142C" w:rsidP="00813EFA">
      <w:pPr>
        <w:pStyle w:val="paragraph0"/>
        <w:keepNext/>
        <w:keepLines/>
        <w:spacing w:before="0" w:beforeAutospacing="0" w:after="120" w:afterAutospacing="0"/>
        <w:contextualSpacing w:val="0"/>
        <w:textAlignment w:val="baseline"/>
        <w:rPr>
          <w:rFonts w:ascii="Arial" w:eastAsiaTheme="majorEastAsia" w:hAnsi="Arial" w:cs="Arial"/>
          <w:sz w:val="22"/>
          <w:szCs w:val="22"/>
        </w:rPr>
      </w:pPr>
      <w:r>
        <w:rPr>
          <w:rFonts w:ascii="Arial" w:eastAsiaTheme="majorEastAsia" w:hAnsi="Arial" w:cs="Arial"/>
          <w:sz w:val="22"/>
          <w:szCs w:val="22"/>
        </w:rPr>
        <w:t>Submissions from</w:t>
      </w:r>
      <w:r w:rsidRPr="004C2257">
        <w:rPr>
          <w:rFonts w:ascii="Arial" w:eastAsiaTheme="majorEastAsia" w:hAnsi="Arial" w:cs="Arial"/>
          <w:sz w:val="22"/>
          <w:szCs w:val="22"/>
        </w:rPr>
        <w:t xml:space="preserve"> </w:t>
      </w:r>
      <w:r w:rsidR="00D83CB2">
        <w:rPr>
          <w:rFonts w:ascii="Arial" w:eastAsiaTheme="majorEastAsia" w:hAnsi="Arial" w:cs="Arial"/>
          <w:sz w:val="22"/>
          <w:szCs w:val="22"/>
        </w:rPr>
        <w:t>the construction</w:t>
      </w:r>
      <w:r w:rsidR="00D82D6C">
        <w:rPr>
          <w:rStyle w:val="FootnoteReference"/>
          <w:rFonts w:ascii="Arial" w:eastAsiaTheme="majorEastAsia" w:hAnsi="Arial" w:cs="Arial"/>
          <w:sz w:val="22"/>
          <w:szCs w:val="22"/>
        </w:rPr>
        <w:footnoteReference w:id="199"/>
      </w:r>
      <w:r w:rsidR="00D83CB2">
        <w:rPr>
          <w:rFonts w:ascii="Arial" w:eastAsiaTheme="majorEastAsia" w:hAnsi="Arial" w:cs="Arial"/>
          <w:sz w:val="22"/>
          <w:szCs w:val="22"/>
        </w:rPr>
        <w:t xml:space="preserve"> and </w:t>
      </w:r>
      <w:r w:rsidRPr="004C2257">
        <w:rPr>
          <w:rFonts w:ascii="Arial" w:eastAsiaTheme="majorEastAsia" w:hAnsi="Arial" w:cs="Arial"/>
          <w:sz w:val="22"/>
          <w:szCs w:val="22"/>
        </w:rPr>
        <w:t>water services industr</w:t>
      </w:r>
      <w:r w:rsidR="00DE124B">
        <w:rPr>
          <w:rFonts w:ascii="Arial" w:eastAsiaTheme="majorEastAsia" w:hAnsi="Arial" w:cs="Arial"/>
          <w:sz w:val="22"/>
          <w:szCs w:val="22"/>
        </w:rPr>
        <w:t>y</w:t>
      </w:r>
      <w:r w:rsidR="00D82D6C">
        <w:rPr>
          <w:rStyle w:val="FootnoteReference"/>
          <w:rFonts w:ascii="Arial" w:eastAsiaTheme="majorEastAsia" w:hAnsi="Arial" w:cs="Arial"/>
          <w:sz w:val="22"/>
          <w:szCs w:val="22"/>
        </w:rPr>
        <w:footnoteReference w:id="200"/>
      </w:r>
      <w:r w:rsidRPr="004C2257">
        <w:rPr>
          <w:rFonts w:ascii="Arial" w:eastAsiaTheme="majorEastAsia" w:hAnsi="Arial" w:cs="Arial"/>
          <w:sz w:val="22"/>
          <w:szCs w:val="22"/>
        </w:rPr>
        <w:t xml:space="preserve"> </w:t>
      </w:r>
      <w:r w:rsidR="001018ED">
        <w:rPr>
          <w:rFonts w:ascii="Arial" w:eastAsiaTheme="majorEastAsia" w:hAnsi="Arial" w:cs="Arial"/>
          <w:sz w:val="22"/>
          <w:szCs w:val="22"/>
        </w:rPr>
        <w:t>stated</w:t>
      </w:r>
      <w:r w:rsidR="001018ED" w:rsidRPr="004C2257">
        <w:rPr>
          <w:rFonts w:ascii="Arial" w:eastAsiaTheme="majorEastAsia" w:hAnsi="Arial" w:cs="Arial"/>
          <w:sz w:val="22"/>
          <w:szCs w:val="22"/>
        </w:rPr>
        <w:t xml:space="preserve"> </w:t>
      </w:r>
      <w:r w:rsidRPr="004C2257">
        <w:rPr>
          <w:rFonts w:ascii="Arial" w:eastAsiaTheme="majorEastAsia" w:hAnsi="Arial" w:cs="Arial"/>
          <w:sz w:val="22"/>
          <w:szCs w:val="22"/>
        </w:rPr>
        <w:t xml:space="preserve">the proposed TWA of 1 ppm is below current levels </w:t>
      </w:r>
      <w:r w:rsidR="00A702AE">
        <w:rPr>
          <w:rFonts w:ascii="Arial" w:eastAsiaTheme="majorEastAsia" w:hAnsi="Arial" w:cs="Arial"/>
          <w:sz w:val="22"/>
          <w:szCs w:val="22"/>
        </w:rPr>
        <w:t xml:space="preserve">that </w:t>
      </w:r>
      <w:r w:rsidR="00C65C7B">
        <w:rPr>
          <w:rFonts w:ascii="Arial" w:eastAsiaTheme="majorEastAsia" w:hAnsi="Arial" w:cs="Arial"/>
          <w:sz w:val="22"/>
          <w:szCs w:val="22"/>
        </w:rPr>
        <w:t>existing</w:t>
      </w:r>
      <w:r w:rsidR="00A702AE">
        <w:rPr>
          <w:rFonts w:ascii="Arial" w:eastAsiaTheme="majorEastAsia" w:hAnsi="Arial" w:cs="Arial"/>
          <w:sz w:val="22"/>
          <w:szCs w:val="22"/>
        </w:rPr>
        <w:t xml:space="preserve">, </w:t>
      </w:r>
      <w:r w:rsidRPr="004C2257">
        <w:rPr>
          <w:rFonts w:ascii="Arial" w:eastAsiaTheme="majorEastAsia" w:hAnsi="Arial" w:cs="Arial"/>
          <w:sz w:val="22"/>
          <w:szCs w:val="22"/>
        </w:rPr>
        <w:t xml:space="preserve">fixed and portable gas detection systems </w:t>
      </w:r>
      <w:r w:rsidR="00E4117E">
        <w:rPr>
          <w:rFonts w:ascii="Arial" w:eastAsiaTheme="majorEastAsia" w:hAnsi="Arial" w:cs="Arial"/>
          <w:sz w:val="22"/>
          <w:szCs w:val="22"/>
        </w:rPr>
        <w:t>and personal monitors</w:t>
      </w:r>
      <w:r w:rsidR="00A702AE">
        <w:rPr>
          <w:rFonts w:ascii="Arial" w:eastAsiaTheme="majorEastAsia" w:hAnsi="Arial" w:cs="Arial"/>
          <w:sz w:val="22"/>
          <w:szCs w:val="22"/>
        </w:rPr>
        <w:t>,</w:t>
      </w:r>
      <w:r w:rsidR="00353A01">
        <w:rPr>
          <w:rFonts w:ascii="Arial" w:eastAsiaTheme="majorEastAsia" w:hAnsi="Arial" w:cs="Arial"/>
          <w:sz w:val="22"/>
          <w:szCs w:val="22"/>
        </w:rPr>
        <w:t xml:space="preserve"> </w:t>
      </w:r>
      <w:r w:rsidRPr="004C2257">
        <w:rPr>
          <w:rFonts w:ascii="Arial" w:eastAsiaTheme="majorEastAsia" w:hAnsi="Arial" w:cs="Arial"/>
          <w:sz w:val="22"/>
          <w:szCs w:val="22"/>
        </w:rPr>
        <w:t xml:space="preserve">are capable of detecting. </w:t>
      </w:r>
      <w:r w:rsidR="00BE23BE">
        <w:rPr>
          <w:rFonts w:ascii="Arial" w:eastAsiaTheme="majorEastAsia" w:hAnsi="Arial" w:cs="Arial"/>
          <w:sz w:val="22"/>
          <w:szCs w:val="22"/>
        </w:rPr>
        <w:t xml:space="preserve">Further, </w:t>
      </w:r>
      <w:r w:rsidR="00DE51E8">
        <w:rPr>
          <w:rFonts w:ascii="Arial" w:eastAsiaTheme="majorEastAsia" w:hAnsi="Arial" w:cs="Arial"/>
          <w:sz w:val="22"/>
          <w:szCs w:val="22"/>
        </w:rPr>
        <w:t>the submission from the water services industry</w:t>
      </w:r>
      <w:r w:rsidR="003D5441">
        <w:rPr>
          <w:rFonts w:ascii="Arial" w:eastAsiaTheme="majorEastAsia" w:hAnsi="Arial" w:cs="Arial"/>
          <w:sz w:val="22"/>
          <w:szCs w:val="22"/>
        </w:rPr>
        <w:t xml:space="preserve"> </w:t>
      </w:r>
      <w:r w:rsidR="005F5CAB">
        <w:rPr>
          <w:rFonts w:ascii="Arial" w:eastAsiaTheme="majorEastAsia" w:hAnsi="Arial" w:cs="Arial"/>
          <w:sz w:val="22"/>
          <w:szCs w:val="22"/>
        </w:rPr>
        <w:t xml:space="preserve">stated that </w:t>
      </w:r>
      <w:r w:rsidR="00BE23BE">
        <w:rPr>
          <w:rFonts w:ascii="Arial" w:eastAsiaTheme="majorEastAsia" w:hAnsi="Arial" w:cs="Arial"/>
          <w:sz w:val="22"/>
          <w:szCs w:val="22"/>
        </w:rPr>
        <w:t>a</w:t>
      </w:r>
      <w:r w:rsidR="008448AF">
        <w:rPr>
          <w:rFonts w:ascii="Arial" w:eastAsiaTheme="majorEastAsia" w:hAnsi="Arial" w:cs="Arial"/>
          <w:sz w:val="22"/>
          <w:szCs w:val="22"/>
        </w:rPr>
        <w:t xml:space="preserve">ir sampling methods by </w:t>
      </w:r>
      <w:r w:rsidR="00184D0A">
        <w:rPr>
          <w:rFonts w:ascii="Arial" w:eastAsiaTheme="majorEastAsia" w:hAnsi="Arial" w:cs="Arial"/>
          <w:sz w:val="22"/>
          <w:szCs w:val="22"/>
        </w:rPr>
        <w:t xml:space="preserve">United </w:t>
      </w:r>
      <w:r w:rsidR="00A32C3B">
        <w:rPr>
          <w:rFonts w:ascii="Arial" w:eastAsiaTheme="majorEastAsia" w:hAnsi="Arial" w:cs="Arial"/>
          <w:sz w:val="22"/>
          <w:szCs w:val="22"/>
        </w:rPr>
        <w:t>States</w:t>
      </w:r>
      <w:r w:rsidR="00184D0A">
        <w:rPr>
          <w:rFonts w:ascii="Arial" w:eastAsiaTheme="majorEastAsia" w:hAnsi="Arial" w:cs="Arial"/>
          <w:sz w:val="22"/>
          <w:szCs w:val="22"/>
        </w:rPr>
        <w:t xml:space="preserve"> </w:t>
      </w:r>
      <w:r w:rsidR="008448AF">
        <w:rPr>
          <w:rFonts w:ascii="Arial" w:eastAsiaTheme="majorEastAsia" w:hAnsi="Arial" w:cs="Arial"/>
          <w:sz w:val="22"/>
          <w:szCs w:val="22"/>
        </w:rPr>
        <w:t>N</w:t>
      </w:r>
      <w:r w:rsidR="00184D0A">
        <w:rPr>
          <w:rFonts w:ascii="Arial" w:eastAsiaTheme="majorEastAsia" w:hAnsi="Arial" w:cs="Arial"/>
          <w:sz w:val="22"/>
          <w:szCs w:val="22"/>
        </w:rPr>
        <w:t xml:space="preserve">ational </w:t>
      </w:r>
      <w:r w:rsidR="008448AF">
        <w:rPr>
          <w:rFonts w:ascii="Arial" w:eastAsiaTheme="majorEastAsia" w:hAnsi="Arial" w:cs="Arial"/>
          <w:sz w:val="22"/>
          <w:szCs w:val="22"/>
        </w:rPr>
        <w:t>I</w:t>
      </w:r>
      <w:r w:rsidR="00184D0A">
        <w:rPr>
          <w:rFonts w:ascii="Arial" w:eastAsiaTheme="majorEastAsia" w:hAnsi="Arial" w:cs="Arial"/>
          <w:sz w:val="22"/>
          <w:szCs w:val="22"/>
        </w:rPr>
        <w:t xml:space="preserve">nstitute of </w:t>
      </w:r>
      <w:r w:rsidR="008448AF">
        <w:rPr>
          <w:rFonts w:ascii="Arial" w:eastAsiaTheme="majorEastAsia" w:hAnsi="Arial" w:cs="Arial"/>
          <w:sz w:val="22"/>
          <w:szCs w:val="22"/>
        </w:rPr>
        <w:t>O</w:t>
      </w:r>
      <w:r w:rsidR="00184D0A">
        <w:rPr>
          <w:rFonts w:ascii="Arial" w:eastAsiaTheme="majorEastAsia" w:hAnsi="Arial" w:cs="Arial"/>
          <w:sz w:val="22"/>
          <w:szCs w:val="22"/>
        </w:rPr>
        <w:t xml:space="preserve">ccupational </w:t>
      </w:r>
      <w:r w:rsidR="008448AF">
        <w:rPr>
          <w:rFonts w:ascii="Arial" w:eastAsiaTheme="majorEastAsia" w:hAnsi="Arial" w:cs="Arial"/>
          <w:sz w:val="22"/>
          <w:szCs w:val="22"/>
        </w:rPr>
        <w:t>S</w:t>
      </w:r>
      <w:r w:rsidR="00184D0A">
        <w:rPr>
          <w:rFonts w:ascii="Arial" w:eastAsiaTheme="majorEastAsia" w:hAnsi="Arial" w:cs="Arial"/>
          <w:sz w:val="22"/>
          <w:szCs w:val="22"/>
        </w:rPr>
        <w:t xml:space="preserve">afety and </w:t>
      </w:r>
      <w:r w:rsidR="008448AF">
        <w:rPr>
          <w:rFonts w:ascii="Arial" w:eastAsiaTheme="majorEastAsia" w:hAnsi="Arial" w:cs="Arial"/>
          <w:sz w:val="22"/>
          <w:szCs w:val="22"/>
        </w:rPr>
        <w:t>H</w:t>
      </w:r>
      <w:r w:rsidR="00184D0A">
        <w:rPr>
          <w:rFonts w:ascii="Arial" w:eastAsiaTheme="majorEastAsia" w:hAnsi="Arial" w:cs="Arial"/>
          <w:sz w:val="22"/>
          <w:szCs w:val="22"/>
        </w:rPr>
        <w:t>ealth</w:t>
      </w:r>
      <w:r w:rsidR="0079785F">
        <w:rPr>
          <w:rFonts w:ascii="Arial" w:eastAsiaTheme="majorEastAsia" w:hAnsi="Arial" w:cs="Arial"/>
          <w:sz w:val="22"/>
          <w:szCs w:val="22"/>
        </w:rPr>
        <w:t xml:space="preserve"> </w:t>
      </w:r>
      <w:r w:rsidR="005F5CAB">
        <w:rPr>
          <w:rFonts w:ascii="Arial" w:eastAsiaTheme="majorEastAsia" w:hAnsi="Arial" w:cs="Arial"/>
          <w:sz w:val="22"/>
          <w:szCs w:val="22"/>
        </w:rPr>
        <w:t>have</w:t>
      </w:r>
      <w:r w:rsidR="001E7938">
        <w:rPr>
          <w:rFonts w:ascii="Arial" w:eastAsiaTheme="majorEastAsia" w:hAnsi="Arial" w:cs="Arial"/>
          <w:sz w:val="22"/>
          <w:szCs w:val="22"/>
        </w:rPr>
        <w:t xml:space="preserve"> </w:t>
      </w:r>
      <w:r w:rsidR="00F00F60">
        <w:rPr>
          <w:rFonts w:ascii="Arial" w:eastAsiaTheme="majorEastAsia" w:hAnsi="Arial" w:cs="Arial"/>
          <w:sz w:val="22"/>
          <w:szCs w:val="22"/>
        </w:rPr>
        <w:t>limited accuracy</w:t>
      </w:r>
      <w:r w:rsidR="00BE23BE">
        <w:rPr>
          <w:rStyle w:val="FootnoteReference"/>
          <w:rFonts w:ascii="Arial" w:eastAsiaTheme="majorEastAsia" w:hAnsi="Arial" w:cs="Arial"/>
          <w:sz w:val="22"/>
          <w:szCs w:val="22"/>
        </w:rPr>
        <w:footnoteReference w:id="201"/>
      </w:r>
      <w:r w:rsidR="00BE23BE">
        <w:rPr>
          <w:rFonts w:ascii="Arial" w:eastAsiaTheme="majorEastAsia" w:hAnsi="Arial" w:cs="Arial"/>
          <w:sz w:val="22"/>
          <w:szCs w:val="22"/>
        </w:rPr>
        <w:t>.</w:t>
      </w:r>
      <w:r w:rsidR="00DD6D91">
        <w:rPr>
          <w:rFonts w:ascii="Arial" w:eastAsiaTheme="majorEastAsia" w:hAnsi="Arial" w:cs="Arial"/>
          <w:sz w:val="22"/>
          <w:szCs w:val="22"/>
        </w:rPr>
        <w:t xml:space="preserve"> </w:t>
      </w:r>
      <w:r w:rsidR="00EC64DA">
        <w:rPr>
          <w:rFonts w:ascii="Arial" w:eastAsiaTheme="majorEastAsia" w:hAnsi="Arial" w:cs="Arial"/>
          <w:sz w:val="22"/>
          <w:szCs w:val="22"/>
        </w:rPr>
        <w:t>A</w:t>
      </w:r>
      <w:r w:rsidRPr="004C2257">
        <w:rPr>
          <w:rFonts w:ascii="Arial" w:eastAsiaTheme="majorEastAsia" w:hAnsi="Arial" w:cs="Arial"/>
          <w:sz w:val="22"/>
          <w:szCs w:val="22"/>
        </w:rPr>
        <w:t xml:space="preserve"> construction industry body also said that upgrading these systems would require significant facility-wide changes, disrupting worksites and essential services</w:t>
      </w:r>
      <w:r w:rsidR="00330333">
        <w:rPr>
          <w:rStyle w:val="FootnoteReference"/>
          <w:rFonts w:ascii="Arial" w:eastAsiaTheme="majorEastAsia" w:hAnsi="Arial" w:cs="Arial"/>
          <w:sz w:val="22"/>
          <w:szCs w:val="22"/>
        </w:rPr>
        <w:footnoteReference w:id="202"/>
      </w:r>
      <w:r w:rsidR="00BE23BE">
        <w:rPr>
          <w:rFonts w:ascii="Arial" w:eastAsiaTheme="majorEastAsia" w:hAnsi="Arial" w:cs="Arial"/>
          <w:sz w:val="22"/>
          <w:szCs w:val="22"/>
        </w:rPr>
        <w:t xml:space="preserve">, while the water services industry </w:t>
      </w:r>
      <w:r w:rsidR="008B3D29">
        <w:rPr>
          <w:rFonts w:ascii="Arial" w:eastAsiaTheme="majorEastAsia" w:hAnsi="Arial" w:cs="Arial"/>
          <w:sz w:val="22"/>
          <w:szCs w:val="22"/>
        </w:rPr>
        <w:t xml:space="preserve">raised </w:t>
      </w:r>
      <w:r w:rsidR="00DE124B">
        <w:rPr>
          <w:rFonts w:ascii="Arial" w:eastAsiaTheme="majorEastAsia" w:hAnsi="Arial" w:cs="Arial"/>
          <w:sz w:val="22"/>
          <w:szCs w:val="22"/>
        </w:rPr>
        <w:t>this will impact compliance</w:t>
      </w:r>
      <w:r w:rsidR="00330333">
        <w:rPr>
          <w:rStyle w:val="FootnoteReference"/>
          <w:rFonts w:ascii="Arial" w:eastAsiaTheme="majorEastAsia" w:hAnsi="Arial" w:cs="Arial"/>
          <w:sz w:val="22"/>
          <w:szCs w:val="22"/>
        </w:rPr>
        <w:footnoteReference w:id="203"/>
      </w:r>
      <w:r w:rsidR="008B3D29">
        <w:rPr>
          <w:rFonts w:ascii="Arial" w:eastAsiaTheme="majorEastAsia" w:hAnsi="Arial" w:cs="Arial"/>
          <w:sz w:val="22"/>
          <w:szCs w:val="22"/>
        </w:rPr>
        <w:t>.</w:t>
      </w:r>
    </w:p>
    <w:p w14:paraId="63A6FCC1" w14:textId="46F70012" w:rsidR="00A1142C" w:rsidRDefault="0043016C" w:rsidP="00A1142C">
      <w:pPr>
        <w:pStyle w:val="paragraph0"/>
        <w:spacing w:before="0" w:beforeAutospacing="0" w:after="120" w:afterAutospacing="0"/>
        <w:contextualSpacing w:val="0"/>
        <w:textAlignment w:val="baseline"/>
        <w:rPr>
          <w:rFonts w:ascii="Arial" w:eastAsiaTheme="majorEastAsia" w:hAnsi="Arial" w:cs="Arial"/>
          <w:sz w:val="22"/>
          <w:szCs w:val="22"/>
        </w:rPr>
      </w:pPr>
      <w:r>
        <w:rPr>
          <w:rFonts w:ascii="Arial" w:eastAsiaTheme="majorEastAsia" w:hAnsi="Arial" w:cs="Arial"/>
          <w:sz w:val="22"/>
          <w:szCs w:val="22"/>
        </w:rPr>
        <w:t>S</w:t>
      </w:r>
      <w:r w:rsidR="00A1142C">
        <w:rPr>
          <w:rFonts w:ascii="Arial" w:eastAsiaTheme="majorEastAsia" w:hAnsi="Arial" w:cs="Arial"/>
          <w:sz w:val="22"/>
          <w:szCs w:val="22"/>
        </w:rPr>
        <w:t xml:space="preserve">ampling and analysis advice in the evaluation report for hydrogen sulfide </w:t>
      </w:r>
      <w:r w:rsidR="00B061D7">
        <w:rPr>
          <w:rFonts w:ascii="Arial" w:eastAsiaTheme="majorEastAsia" w:hAnsi="Arial" w:cs="Arial"/>
          <w:sz w:val="22"/>
          <w:szCs w:val="22"/>
        </w:rPr>
        <w:t>indicate</w:t>
      </w:r>
      <w:r w:rsidR="00264AB3">
        <w:rPr>
          <w:rFonts w:ascii="Arial" w:eastAsiaTheme="majorEastAsia" w:hAnsi="Arial" w:cs="Arial"/>
          <w:sz w:val="22"/>
          <w:szCs w:val="22"/>
        </w:rPr>
        <w:t>d</w:t>
      </w:r>
      <w:r w:rsidR="00A1142C">
        <w:rPr>
          <w:rFonts w:ascii="Arial" w:eastAsiaTheme="majorEastAsia" w:hAnsi="Arial" w:cs="Arial"/>
          <w:sz w:val="22"/>
          <w:szCs w:val="22"/>
        </w:rPr>
        <w:t xml:space="preserve"> the proposed WEL is quantifiable through available sampling and analysis techniques. </w:t>
      </w:r>
      <w:r w:rsidR="00E16272">
        <w:rPr>
          <w:rFonts w:ascii="Arial" w:eastAsiaTheme="majorEastAsia" w:hAnsi="Arial" w:cs="Arial"/>
          <w:sz w:val="22"/>
          <w:szCs w:val="22"/>
        </w:rPr>
        <w:t>It should be noted that f</w:t>
      </w:r>
      <w:r w:rsidR="00A67E25">
        <w:rPr>
          <w:rFonts w:ascii="Arial" w:eastAsiaTheme="majorEastAsia" w:hAnsi="Arial" w:cs="Arial"/>
          <w:sz w:val="22"/>
          <w:szCs w:val="22"/>
        </w:rPr>
        <w:t>ixed and portable gas detection systems do not align with the</w:t>
      </w:r>
      <w:r w:rsidR="00EF24B7">
        <w:rPr>
          <w:rFonts w:ascii="Arial" w:eastAsiaTheme="majorEastAsia" w:hAnsi="Arial" w:cs="Arial"/>
          <w:sz w:val="22"/>
          <w:szCs w:val="22"/>
        </w:rPr>
        <w:t xml:space="preserve"> appropriate methodology for measuring</w:t>
      </w:r>
      <w:r w:rsidR="00CA62C7">
        <w:rPr>
          <w:rFonts w:ascii="Arial" w:eastAsiaTheme="majorEastAsia" w:hAnsi="Arial" w:cs="Arial"/>
          <w:sz w:val="22"/>
          <w:szCs w:val="22"/>
        </w:rPr>
        <w:t xml:space="preserve"> </w:t>
      </w:r>
      <w:r w:rsidR="00EF24B7">
        <w:rPr>
          <w:rFonts w:ascii="Arial" w:eastAsiaTheme="majorEastAsia" w:hAnsi="Arial" w:cs="Arial"/>
          <w:sz w:val="22"/>
          <w:szCs w:val="22"/>
        </w:rPr>
        <w:t xml:space="preserve">WEL as per the </w:t>
      </w:r>
      <w:hyperlink r:id="rId47" w:history="1">
        <w:r w:rsidR="00EF24B7" w:rsidRPr="00582CD6">
          <w:rPr>
            <w:rStyle w:val="Hyperlink"/>
            <w:rFonts w:ascii="Arial" w:eastAsiaTheme="majorEastAsia" w:hAnsi="Arial" w:cs="Arial"/>
            <w:i/>
            <w:iCs/>
            <w:sz w:val="22"/>
            <w:szCs w:val="22"/>
          </w:rPr>
          <w:t xml:space="preserve">Guidance on the Interpretation of </w:t>
        </w:r>
        <w:r w:rsidR="00582CD6" w:rsidRPr="00582CD6">
          <w:rPr>
            <w:rStyle w:val="Hyperlink"/>
            <w:rFonts w:ascii="Arial" w:eastAsiaTheme="majorEastAsia" w:hAnsi="Arial" w:cs="Arial"/>
            <w:i/>
            <w:iCs/>
            <w:sz w:val="22"/>
            <w:szCs w:val="22"/>
          </w:rPr>
          <w:t xml:space="preserve">Workplace exposure standards </w:t>
        </w:r>
        <w:r w:rsidR="00315CFD" w:rsidRPr="00582CD6">
          <w:rPr>
            <w:rStyle w:val="Hyperlink"/>
            <w:rFonts w:ascii="Arial" w:eastAsiaTheme="majorEastAsia" w:hAnsi="Arial" w:cs="Arial"/>
            <w:i/>
            <w:iCs/>
            <w:sz w:val="22"/>
            <w:szCs w:val="22"/>
          </w:rPr>
          <w:t>for airborne contaminants</w:t>
        </w:r>
      </w:hyperlink>
      <w:r w:rsidR="00315CFD">
        <w:rPr>
          <w:rFonts w:ascii="Arial" w:eastAsiaTheme="majorEastAsia" w:hAnsi="Arial" w:cs="Arial"/>
          <w:sz w:val="22"/>
          <w:szCs w:val="22"/>
        </w:rPr>
        <w:t>.</w:t>
      </w:r>
      <w:r w:rsidR="009931A6">
        <w:rPr>
          <w:rFonts w:ascii="Arial" w:eastAsiaTheme="majorEastAsia" w:hAnsi="Arial" w:cs="Arial"/>
          <w:sz w:val="22"/>
          <w:szCs w:val="22"/>
        </w:rPr>
        <w:t xml:space="preserve"> </w:t>
      </w:r>
    </w:p>
    <w:p w14:paraId="52A798DD" w14:textId="37B45C91" w:rsidR="000B6BC1" w:rsidRDefault="00521B0C" w:rsidP="00A1142C">
      <w:pPr>
        <w:pStyle w:val="paragraph0"/>
        <w:spacing w:before="0" w:beforeAutospacing="0" w:after="120" w:afterAutospacing="0"/>
        <w:contextualSpacing w:val="0"/>
        <w:textAlignment w:val="baseline"/>
        <w:rPr>
          <w:rFonts w:ascii="Arial" w:eastAsiaTheme="majorEastAsia" w:hAnsi="Arial" w:cs="Arial"/>
          <w:sz w:val="22"/>
          <w:szCs w:val="22"/>
        </w:rPr>
      </w:pPr>
      <w:r w:rsidRPr="006D6899">
        <w:rPr>
          <w:rFonts w:ascii="Arial" w:eastAsiaTheme="majorEastAsia" w:hAnsi="Arial" w:cs="Arial"/>
          <w:sz w:val="22"/>
          <w:szCs w:val="22"/>
        </w:rPr>
        <w:t>T</w:t>
      </w:r>
      <w:r w:rsidR="00C45201" w:rsidRPr="006D6899">
        <w:rPr>
          <w:rFonts w:ascii="Arial" w:eastAsiaTheme="majorEastAsia" w:hAnsi="Arial" w:cs="Arial"/>
          <w:sz w:val="22"/>
          <w:szCs w:val="22"/>
        </w:rPr>
        <w:t>wo</w:t>
      </w:r>
      <w:r w:rsidR="00942EC5" w:rsidRPr="006D6899">
        <w:rPr>
          <w:rFonts w:ascii="Arial" w:eastAsiaTheme="majorEastAsia" w:hAnsi="Arial" w:cs="Arial"/>
          <w:sz w:val="22"/>
          <w:szCs w:val="22"/>
        </w:rPr>
        <w:t xml:space="preserve"> methods</w:t>
      </w:r>
      <w:r w:rsidR="00B75D56" w:rsidRPr="006D6899">
        <w:rPr>
          <w:rStyle w:val="FootnoteReference"/>
          <w:rFonts w:ascii="Arial" w:eastAsiaTheme="majorEastAsia" w:hAnsi="Arial" w:cs="Arial"/>
          <w:sz w:val="22"/>
          <w:szCs w:val="22"/>
        </w:rPr>
        <w:footnoteReference w:id="204"/>
      </w:r>
      <w:r w:rsidR="00942EC5" w:rsidRPr="006D6899">
        <w:rPr>
          <w:rFonts w:ascii="Arial" w:eastAsiaTheme="majorEastAsia" w:hAnsi="Arial" w:cs="Arial"/>
          <w:sz w:val="22"/>
          <w:szCs w:val="22"/>
        </w:rPr>
        <w:t xml:space="preserve"> </w:t>
      </w:r>
      <w:r w:rsidR="00C45201" w:rsidRPr="006D6899">
        <w:rPr>
          <w:rFonts w:ascii="Arial" w:eastAsiaTheme="majorEastAsia" w:hAnsi="Arial" w:cs="Arial"/>
          <w:sz w:val="22"/>
          <w:szCs w:val="22"/>
        </w:rPr>
        <w:t>have been identified</w:t>
      </w:r>
      <w:r w:rsidR="00942EC5" w:rsidRPr="006D6899">
        <w:rPr>
          <w:rFonts w:ascii="Arial" w:eastAsiaTheme="majorEastAsia" w:hAnsi="Arial" w:cs="Arial"/>
          <w:sz w:val="22"/>
          <w:szCs w:val="22"/>
        </w:rPr>
        <w:t xml:space="preserve"> to me</w:t>
      </w:r>
      <w:r w:rsidR="00EF674F" w:rsidRPr="006D6899">
        <w:rPr>
          <w:rFonts w:ascii="Arial" w:eastAsiaTheme="majorEastAsia" w:hAnsi="Arial" w:cs="Arial"/>
          <w:sz w:val="22"/>
          <w:szCs w:val="22"/>
        </w:rPr>
        <w:t xml:space="preserve">asure </w:t>
      </w:r>
      <w:r w:rsidR="00CA61AE" w:rsidRPr="006D6899">
        <w:rPr>
          <w:rFonts w:ascii="Arial" w:eastAsiaTheme="majorEastAsia" w:hAnsi="Arial" w:cs="Arial"/>
          <w:sz w:val="22"/>
          <w:szCs w:val="22"/>
        </w:rPr>
        <w:t xml:space="preserve">hydrogen sulfide </w:t>
      </w:r>
      <w:r w:rsidR="00B307BF" w:rsidRPr="006D6899">
        <w:rPr>
          <w:rFonts w:ascii="Arial" w:eastAsiaTheme="majorEastAsia" w:hAnsi="Arial" w:cs="Arial"/>
          <w:sz w:val="22"/>
          <w:szCs w:val="22"/>
        </w:rPr>
        <w:t xml:space="preserve">with sufficient sensitivity and certainty to determine compliance at the proposed WEL, </w:t>
      </w:r>
      <w:r w:rsidR="00CA61AE" w:rsidRPr="006D6899">
        <w:rPr>
          <w:rFonts w:ascii="Arial" w:eastAsiaTheme="majorEastAsia" w:hAnsi="Arial" w:cs="Arial"/>
          <w:sz w:val="22"/>
          <w:szCs w:val="22"/>
        </w:rPr>
        <w:t xml:space="preserve">with </w:t>
      </w:r>
      <w:r w:rsidR="00B87260" w:rsidRPr="006D6899">
        <w:rPr>
          <w:rFonts w:ascii="Arial" w:eastAsiaTheme="majorEastAsia" w:hAnsi="Arial" w:cs="Arial"/>
          <w:sz w:val="22"/>
          <w:szCs w:val="22"/>
        </w:rPr>
        <w:t>commercially available methods in Australia</w:t>
      </w:r>
      <w:r w:rsidR="00B307BF" w:rsidRPr="006D6899">
        <w:rPr>
          <w:rFonts w:ascii="Arial" w:eastAsiaTheme="majorEastAsia" w:hAnsi="Arial" w:cs="Arial"/>
          <w:sz w:val="22"/>
          <w:szCs w:val="22"/>
        </w:rPr>
        <w:t xml:space="preserve"> </w:t>
      </w:r>
      <w:r w:rsidR="000C5403" w:rsidRPr="006D6899">
        <w:rPr>
          <w:rFonts w:ascii="Arial" w:eastAsiaTheme="majorEastAsia" w:hAnsi="Arial" w:cs="Arial"/>
          <w:sz w:val="22"/>
          <w:szCs w:val="22"/>
        </w:rPr>
        <w:t>(based on Safe Work Australia analysis)</w:t>
      </w:r>
      <w:r w:rsidR="00CE0399" w:rsidRPr="006D6899">
        <w:rPr>
          <w:rFonts w:ascii="Arial" w:eastAsiaTheme="majorEastAsia" w:hAnsi="Arial" w:cs="Arial"/>
          <w:sz w:val="22"/>
          <w:szCs w:val="22"/>
        </w:rPr>
        <w:t xml:space="preserve">. </w:t>
      </w:r>
      <w:r w:rsidR="000C5403" w:rsidRPr="006D6899" w:rsidDel="000C5403">
        <w:rPr>
          <w:rStyle w:val="CommentReference"/>
          <w:rFonts w:asciiTheme="minorHAnsi" w:eastAsiaTheme="minorHAnsi" w:hAnsiTheme="minorHAnsi" w:cstheme="minorBidi"/>
          <w:lang w:eastAsia="en-US"/>
        </w:rPr>
        <w:t xml:space="preserve"> </w:t>
      </w:r>
    </w:p>
    <w:p w14:paraId="3431767D" w14:textId="64E53E5C" w:rsidR="00942EC5" w:rsidRPr="00094A3B" w:rsidRDefault="004A038C" w:rsidP="00A1142C">
      <w:pPr>
        <w:pStyle w:val="paragraph0"/>
        <w:spacing w:before="0" w:beforeAutospacing="0" w:after="120" w:afterAutospacing="0"/>
        <w:contextualSpacing w:val="0"/>
        <w:textAlignment w:val="baseline"/>
        <w:rPr>
          <w:rFonts w:asciiTheme="minorHAnsi" w:eastAsiaTheme="majorEastAsia" w:hAnsiTheme="minorHAnsi" w:cstheme="minorHAnsi"/>
          <w:sz w:val="22"/>
          <w:szCs w:val="22"/>
        </w:rPr>
      </w:pPr>
      <w:r w:rsidRPr="00094A3B">
        <w:rPr>
          <w:rFonts w:asciiTheme="minorHAnsi" w:hAnsiTheme="minorHAnsi" w:cstheme="minorHAnsi"/>
          <w:sz w:val="22"/>
          <w:szCs w:val="22"/>
        </w:rPr>
        <w:t xml:space="preserve">Sampling related contributions to uncertainty (e.g. sampling equipment limitations) may remain a limitation on measurability in some situations, but these issues are not </w:t>
      </w:r>
      <w:r w:rsidR="00DE51E8">
        <w:rPr>
          <w:rFonts w:asciiTheme="minorHAnsi" w:hAnsiTheme="minorHAnsi" w:cstheme="minorHAnsi"/>
          <w:sz w:val="22"/>
          <w:szCs w:val="22"/>
        </w:rPr>
        <w:t>unique</w:t>
      </w:r>
      <w:r w:rsidRPr="00094A3B">
        <w:rPr>
          <w:rFonts w:asciiTheme="minorHAnsi" w:hAnsiTheme="minorHAnsi" w:cstheme="minorHAnsi"/>
          <w:sz w:val="22"/>
          <w:szCs w:val="22"/>
        </w:rPr>
        <w:t xml:space="preserve"> to </w:t>
      </w:r>
      <w:r w:rsidR="001629ED">
        <w:rPr>
          <w:rFonts w:asciiTheme="minorHAnsi" w:hAnsiTheme="minorHAnsi" w:cstheme="minorHAnsi"/>
          <w:sz w:val="22"/>
          <w:szCs w:val="22"/>
        </w:rPr>
        <w:t>hydrogen sulfide</w:t>
      </w:r>
      <w:r w:rsidRPr="00094A3B">
        <w:rPr>
          <w:rFonts w:asciiTheme="minorHAnsi" w:hAnsiTheme="minorHAnsi" w:cstheme="minorHAnsi"/>
          <w:sz w:val="22"/>
          <w:szCs w:val="22"/>
        </w:rPr>
        <w:t>. To support the wider transition to the WEL, Safe Work Australia is preparing technical guidance to provide advice on measurement issues, including sampling.</w:t>
      </w:r>
    </w:p>
    <w:p w14:paraId="786E81F6" w14:textId="2DC6F319" w:rsidR="00454C38" w:rsidRDefault="00454C38" w:rsidP="00E21AA9">
      <w:pPr>
        <w:pStyle w:val="SWAHeading4"/>
      </w:pPr>
      <w:r>
        <w:t xml:space="preserve">Burden </w:t>
      </w:r>
      <w:r w:rsidRPr="00A1480B">
        <w:t xml:space="preserve">of </w:t>
      </w:r>
      <w:r w:rsidR="00FC25BB" w:rsidRPr="00A1480B">
        <w:t>personal protective</w:t>
      </w:r>
      <w:r w:rsidR="00FC25BB">
        <w:t xml:space="preserve"> equipment</w:t>
      </w:r>
      <w:r>
        <w:t xml:space="preserve"> on workers</w:t>
      </w:r>
    </w:p>
    <w:p w14:paraId="575D1570" w14:textId="46395DD8" w:rsidR="00296C75" w:rsidRDefault="001D2F31" w:rsidP="00597ED8">
      <w:pPr>
        <w:contextualSpacing w:val="0"/>
      </w:pPr>
      <w:r>
        <w:t>A small number of stakeholders (</w:t>
      </w:r>
      <w:r w:rsidR="00AF0409">
        <w:t>government</w:t>
      </w:r>
      <w:r w:rsidR="00194D2D" w:rsidRPr="00194D2D">
        <w:t>, worker and academic</w:t>
      </w:r>
      <w:r>
        <w:t>)</w:t>
      </w:r>
      <w:r w:rsidR="00194D2D" w:rsidRPr="00194D2D">
        <w:t xml:space="preserve"> </w:t>
      </w:r>
      <w:r w:rsidR="00601AE7">
        <w:t>w</w:t>
      </w:r>
      <w:r w:rsidR="00597ED8">
        <w:t>ere concerned that</w:t>
      </w:r>
      <w:r w:rsidR="00601AE7">
        <w:t xml:space="preserve"> </w:t>
      </w:r>
      <w:r w:rsidR="00601AE7" w:rsidRPr="00194D2D">
        <w:t xml:space="preserve">lowering </w:t>
      </w:r>
      <w:r w:rsidR="00C2460A">
        <w:t>the exposure limit for hydrogen sulfide</w:t>
      </w:r>
      <w:r w:rsidR="00601AE7" w:rsidRPr="00194D2D">
        <w:t xml:space="preserve"> to the extent of Option 2 could impose a burden on all workers to use PPE when it is currently not required and when most workers do not require the protection</w:t>
      </w:r>
      <w:r w:rsidR="007226EC">
        <w:rPr>
          <w:rStyle w:val="FootnoteReference"/>
        </w:rPr>
        <w:footnoteReference w:id="205"/>
      </w:r>
      <w:r w:rsidR="00FA532D">
        <w:t xml:space="preserve">. While they agreed that </w:t>
      </w:r>
      <w:r w:rsidR="00226097">
        <w:t xml:space="preserve">the </w:t>
      </w:r>
      <w:r w:rsidR="00FA532D">
        <w:t>exposure limit for hydrogen sulfide should be reduced</w:t>
      </w:r>
      <w:r w:rsidR="00226097">
        <w:t xml:space="preserve">, they also </w:t>
      </w:r>
      <w:r w:rsidR="00597ED8">
        <w:t>thought the proposed WEL was</w:t>
      </w:r>
      <w:r w:rsidR="00194D2D" w:rsidRPr="00194D2D">
        <w:t xml:space="preserve"> overprotective</w:t>
      </w:r>
      <w:r w:rsidR="00226097">
        <w:t xml:space="preserve"> and is</w:t>
      </w:r>
      <w:r w:rsidR="00282152">
        <w:t xml:space="preserve"> set at a level that is</w:t>
      </w:r>
      <w:r w:rsidR="006A3C6F">
        <w:t xml:space="preserve"> protective </w:t>
      </w:r>
      <w:r w:rsidR="00D508BA">
        <w:t>of</w:t>
      </w:r>
      <w:r w:rsidR="008F59BE">
        <w:t xml:space="preserve"> adverse health effects </w:t>
      </w:r>
      <w:r w:rsidR="006A3C6F">
        <w:t>in sensitive workers</w:t>
      </w:r>
      <w:r w:rsidR="00282152">
        <w:t xml:space="preserve"> (who are unlikely to work in industrial environments)</w:t>
      </w:r>
      <w:r w:rsidR="007B495C">
        <w:rPr>
          <w:rStyle w:val="FootnoteReference"/>
        </w:rPr>
        <w:footnoteReference w:id="206"/>
      </w:r>
      <w:r w:rsidR="00194D2D" w:rsidRPr="00194D2D">
        <w:t>.</w:t>
      </w:r>
      <w:r w:rsidR="00194D2D">
        <w:t xml:space="preserve"> </w:t>
      </w:r>
    </w:p>
    <w:p w14:paraId="0BDD82E8" w14:textId="328E0397" w:rsidR="00FA2EF4" w:rsidRDefault="00F268CD" w:rsidP="001A781C">
      <w:pPr>
        <w:contextualSpacing w:val="0"/>
      </w:pPr>
      <w:r>
        <w:t>The</w:t>
      </w:r>
      <w:r w:rsidR="001A781C" w:rsidRPr="00194D2D">
        <w:t xml:space="preserve"> water </w:t>
      </w:r>
      <w:r w:rsidR="00732988">
        <w:t xml:space="preserve">services </w:t>
      </w:r>
      <w:r w:rsidR="001A781C" w:rsidRPr="00194D2D">
        <w:t>sector</w:t>
      </w:r>
      <w:r>
        <w:t xml:space="preserve"> </w:t>
      </w:r>
      <w:r w:rsidDel="007133B5">
        <w:t xml:space="preserve">also </w:t>
      </w:r>
      <w:r w:rsidR="007133B5">
        <w:t xml:space="preserve">suggested </w:t>
      </w:r>
      <w:r w:rsidR="001A781C" w:rsidRPr="00194D2D">
        <w:t xml:space="preserve">physical and psychosocial </w:t>
      </w:r>
      <w:r w:rsidR="00371135">
        <w:t>impacts</w:t>
      </w:r>
      <w:r w:rsidR="001A781C" w:rsidRPr="00194D2D">
        <w:t xml:space="preserve"> from prolonged use of </w:t>
      </w:r>
      <w:r w:rsidR="008911CD">
        <w:t>respiratory protective equipment</w:t>
      </w:r>
      <w:r w:rsidR="003A0A68">
        <w:t xml:space="preserve"> (RPE)</w:t>
      </w:r>
      <w:r w:rsidR="00B60108">
        <w:t xml:space="preserve"> as a control</w:t>
      </w:r>
      <w:r w:rsidR="001A781C" w:rsidRPr="00194D2D">
        <w:t xml:space="preserve"> should</w:t>
      </w:r>
      <w:r w:rsidR="001A781C" w:rsidRPr="00194D2D" w:rsidDel="00B60108">
        <w:t xml:space="preserve"> </w:t>
      </w:r>
      <w:r w:rsidR="001A781C" w:rsidRPr="00194D2D">
        <w:t>be considered</w:t>
      </w:r>
      <w:r w:rsidR="000C5EF0">
        <w:rPr>
          <w:rStyle w:val="FootnoteReference"/>
        </w:rPr>
        <w:footnoteReference w:id="207"/>
      </w:r>
      <w:r w:rsidR="001A781C" w:rsidRPr="00194D2D">
        <w:t xml:space="preserve">. </w:t>
      </w:r>
    </w:p>
    <w:p w14:paraId="4E6FC9B0" w14:textId="43BFB84D" w:rsidR="00C55731" w:rsidRDefault="00013950" w:rsidP="001A781C">
      <w:pPr>
        <w:contextualSpacing w:val="0"/>
      </w:pPr>
      <w:r>
        <w:lastRenderedPageBreak/>
        <w:t xml:space="preserve">On the other hand, an </w:t>
      </w:r>
      <w:r w:rsidR="00C55731">
        <w:t xml:space="preserve">industry stakeholder </w:t>
      </w:r>
      <w:r w:rsidR="00B20665">
        <w:t xml:space="preserve">that was supportive of the proposed WEL </w:t>
      </w:r>
      <w:r w:rsidR="00C55731" w:rsidRPr="00194D2D">
        <w:t xml:space="preserve">suggested that the proposed </w:t>
      </w:r>
      <w:r w:rsidR="00C55731">
        <w:t>WEL</w:t>
      </w:r>
      <w:r w:rsidR="00C55731" w:rsidRPr="00194D2D">
        <w:t xml:space="preserve"> could result in an increase in ventilation controls</w:t>
      </w:r>
      <w:r w:rsidR="00C55731">
        <w:t xml:space="preserve"> in practice</w:t>
      </w:r>
      <w:r w:rsidR="00C55731" w:rsidRPr="00194D2D">
        <w:t xml:space="preserve">, rather than relying on </w:t>
      </w:r>
      <w:r w:rsidR="00C55731">
        <w:t>RPE</w:t>
      </w:r>
      <w:r w:rsidR="00C55731" w:rsidRPr="00194D2D">
        <w:t xml:space="preserve"> to minimise exposure to hydrogen sulfide</w:t>
      </w:r>
      <w:r w:rsidR="006E26D4">
        <w:rPr>
          <w:rStyle w:val="FootnoteReference"/>
        </w:rPr>
        <w:footnoteReference w:id="208"/>
      </w:r>
      <w:r w:rsidR="00C55731" w:rsidRPr="00194D2D">
        <w:t>.</w:t>
      </w:r>
    </w:p>
    <w:p w14:paraId="398C29C6" w14:textId="18B74BD3" w:rsidR="001A781C" w:rsidRPr="00194D2D" w:rsidRDefault="00C55731" w:rsidP="001A781C">
      <w:pPr>
        <w:contextualSpacing w:val="0"/>
      </w:pPr>
      <w:r>
        <w:t>Further, it is important to note that</w:t>
      </w:r>
      <w:r w:rsidR="003A0A68" w:rsidRPr="00227CE2">
        <w:t xml:space="preserve"> under the model WHS </w:t>
      </w:r>
      <w:r w:rsidR="000D68B7">
        <w:t>R</w:t>
      </w:r>
      <w:r w:rsidR="003A0A68" w:rsidRPr="00227CE2">
        <w:t>egulations, PPE (including RPE)</w:t>
      </w:r>
      <w:r w:rsidR="001A781C" w:rsidRPr="00227CE2">
        <w:t xml:space="preserve"> </w:t>
      </w:r>
      <w:r w:rsidR="003A0A68" w:rsidRPr="00227CE2">
        <w:t xml:space="preserve">should only be considered </w:t>
      </w:r>
      <w:r w:rsidR="00F44884" w:rsidRPr="00227CE2">
        <w:t xml:space="preserve">once the PCBU has </w:t>
      </w:r>
      <w:r w:rsidR="003A0A68" w:rsidRPr="00227CE2">
        <w:t>eliminat</w:t>
      </w:r>
      <w:r w:rsidR="00AC0C88" w:rsidRPr="00227CE2">
        <w:t xml:space="preserve">ed the risk posed by hydrogen sulfide </w:t>
      </w:r>
      <w:r w:rsidR="00416274" w:rsidRPr="00227CE2">
        <w:t>so far as is</w:t>
      </w:r>
      <w:r w:rsidR="00416274" w:rsidRPr="00227CE2" w:rsidDel="00B60108">
        <w:t xml:space="preserve"> </w:t>
      </w:r>
      <w:r w:rsidR="00AC0C88" w:rsidRPr="00227CE2">
        <w:t>reasonably practicable</w:t>
      </w:r>
      <w:r w:rsidR="00416274" w:rsidRPr="00227CE2">
        <w:t xml:space="preserve">, </w:t>
      </w:r>
      <w:r w:rsidR="003A0A68" w:rsidRPr="00227CE2">
        <w:t xml:space="preserve">and </w:t>
      </w:r>
      <w:r w:rsidR="00416274" w:rsidRPr="00227CE2">
        <w:t xml:space="preserve">if it is not reasonably practicable to eliminate </w:t>
      </w:r>
      <w:r w:rsidR="008B03CE" w:rsidRPr="00227CE2">
        <w:t>the risks, then minimise the risk of hydrogen sulfide</w:t>
      </w:r>
      <w:r w:rsidR="00227CE2" w:rsidRPr="00227CE2">
        <w:t xml:space="preserve"> so far as is reasonably practicable </w:t>
      </w:r>
      <w:r w:rsidR="008B03CE" w:rsidRPr="00227CE2">
        <w:t>by</w:t>
      </w:r>
      <w:r w:rsidR="003A0A68" w:rsidRPr="00227CE2">
        <w:t xml:space="preserve"> using higher-order controls (substitution, isolation, engineering</w:t>
      </w:r>
      <w:r w:rsidR="008B03CE" w:rsidRPr="00227CE2">
        <w:t>)</w:t>
      </w:r>
      <w:r w:rsidR="003A0A68" w:rsidRPr="00227CE2">
        <w:t xml:space="preserve"> and </w:t>
      </w:r>
      <w:r w:rsidR="00850A60" w:rsidRPr="00227CE2">
        <w:t>administrative controls</w:t>
      </w:r>
      <w:r w:rsidR="00227CE2" w:rsidRPr="00227CE2">
        <w:t xml:space="preserve">. </w:t>
      </w:r>
    </w:p>
    <w:p w14:paraId="2E078DE5" w14:textId="623199DA" w:rsidR="005D1886" w:rsidRDefault="005D1886" w:rsidP="00E21AA9">
      <w:pPr>
        <w:pStyle w:val="SWAHeading4"/>
        <w:rPr>
          <w:lang w:eastAsia="en-AU"/>
        </w:rPr>
      </w:pPr>
      <w:r>
        <w:rPr>
          <w:lang w:eastAsia="en-AU"/>
        </w:rPr>
        <w:t>Impacts on working in confined spaces</w:t>
      </w:r>
    </w:p>
    <w:p w14:paraId="4CF1A7BD" w14:textId="0CCA8DBB" w:rsidR="00194D2D" w:rsidRDefault="005D78A7" w:rsidP="00194D2D">
      <w:pPr>
        <w:contextualSpacing w:val="0"/>
      </w:pPr>
      <w:r>
        <w:t>Th</w:t>
      </w:r>
      <w:r w:rsidR="0014725E">
        <w:t xml:space="preserve">ere </w:t>
      </w:r>
      <w:r w:rsidR="00491010">
        <w:t>were</w:t>
      </w:r>
      <w:r w:rsidR="0014725E">
        <w:t xml:space="preserve"> also concern that the proposed limits would</w:t>
      </w:r>
      <w:r w:rsidR="00194D2D" w:rsidRPr="00194D2D">
        <w:t xml:space="preserve"> prohibit workers from working in confined spaces</w:t>
      </w:r>
      <w:r w:rsidR="0014725E">
        <w:t>,</w:t>
      </w:r>
      <w:r w:rsidR="00194D2D" w:rsidRPr="00194D2D">
        <w:t xml:space="preserve"> where hydrogen sulfide may be present due to “environment contamination (such as organic matter falling off boots)”</w:t>
      </w:r>
      <w:r w:rsidR="00B02739">
        <w:rPr>
          <w:rStyle w:val="FootnoteReference"/>
        </w:rPr>
        <w:footnoteReference w:id="209"/>
      </w:r>
      <w:r w:rsidR="00194D2D" w:rsidRPr="00194D2D">
        <w:t xml:space="preserve">. </w:t>
      </w:r>
      <w:r w:rsidR="007E3731">
        <w:t xml:space="preserve">However, there was no data provided in the submissions to </w:t>
      </w:r>
      <w:r w:rsidR="00901A2E">
        <w:t>support th</w:t>
      </w:r>
      <w:r w:rsidR="00B17471">
        <w:t xml:space="preserve">e claim that </w:t>
      </w:r>
      <w:r w:rsidR="001A781C">
        <w:t xml:space="preserve">the proposed WEL would prevent workers from carrying out work in confined spaces. </w:t>
      </w:r>
    </w:p>
    <w:p w14:paraId="5590F1D4" w14:textId="56D0BC5B" w:rsidR="00812083" w:rsidRDefault="00812083" w:rsidP="00E21AA9">
      <w:pPr>
        <w:pStyle w:val="SWAHeading4"/>
      </w:pPr>
      <w:r>
        <w:t>Industry-specific challenges</w:t>
      </w:r>
    </w:p>
    <w:p w14:paraId="3878E4D0" w14:textId="512B33BB" w:rsidR="005C2C88" w:rsidRDefault="005C2C88" w:rsidP="00B50276">
      <w:pPr>
        <w:contextualSpacing w:val="0"/>
      </w:pPr>
      <w:r>
        <w:t xml:space="preserve">Stakeholders from the water services </w:t>
      </w:r>
      <w:r w:rsidR="00AF3AC4">
        <w:t>industry</w:t>
      </w:r>
      <w:r w:rsidR="00AF3AC4">
        <w:rPr>
          <w:rStyle w:val="FootnoteReference"/>
        </w:rPr>
        <w:footnoteReference w:id="210"/>
      </w:r>
      <w:r w:rsidR="00AF3AC4">
        <w:t xml:space="preserve"> </w:t>
      </w:r>
      <w:r>
        <w:t xml:space="preserve">raised that it would </w:t>
      </w:r>
      <w:r w:rsidRPr="005C2C88">
        <w:t xml:space="preserve">not be practical </w:t>
      </w:r>
      <w:r w:rsidR="00B43AB1">
        <w:t xml:space="preserve">for them </w:t>
      </w:r>
      <w:r w:rsidRPr="005C2C88">
        <w:t>to comply</w:t>
      </w:r>
      <w:r>
        <w:t xml:space="preserve"> with the proposed WEL</w:t>
      </w:r>
      <w:r w:rsidRPr="005C2C88">
        <w:t xml:space="preserve"> due to the</w:t>
      </w:r>
      <w:r w:rsidR="002B540B">
        <w:t xml:space="preserve"> need to ensure a</w:t>
      </w:r>
      <w:r w:rsidRPr="005C2C88">
        <w:t xml:space="preserve"> </w:t>
      </w:r>
      <w:r w:rsidR="00B43AB1">
        <w:t>“</w:t>
      </w:r>
      <w:r w:rsidRPr="005C2C88">
        <w:t>feasible timeline, available resources and</w:t>
      </w:r>
      <w:r w:rsidR="00C34284">
        <w:t xml:space="preserve"> minimal</w:t>
      </w:r>
      <w:r w:rsidRPr="005C2C88">
        <w:t xml:space="preserve"> impact on current water operations</w:t>
      </w:r>
      <w:r w:rsidR="00B43AB1">
        <w:t>”</w:t>
      </w:r>
      <w:r w:rsidRPr="005C2C88">
        <w:t xml:space="preserve">. No </w:t>
      </w:r>
      <w:r w:rsidR="00701B87">
        <w:t>further detail was provided</w:t>
      </w:r>
      <w:r w:rsidR="00B81E22">
        <w:t xml:space="preserve"> </w:t>
      </w:r>
      <w:r w:rsidR="00701B87">
        <w:t>regarding what a feasible timeframe might be</w:t>
      </w:r>
      <w:r w:rsidR="005C5D40">
        <w:t xml:space="preserve">. </w:t>
      </w:r>
      <w:r w:rsidR="009052CE">
        <w:t xml:space="preserve">Another submission </w:t>
      </w:r>
      <w:r w:rsidR="00EA41CF">
        <w:t>suggest</w:t>
      </w:r>
      <w:r w:rsidR="002654C2">
        <w:t>ed</w:t>
      </w:r>
      <w:r w:rsidR="00EA41CF">
        <w:t xml:space="preserve"> </w:t>
      </w:r>
      <w:r w:rsidR="009052CE">
        <w:t xml:space="preserve">significant costs associated with the </w:t>
      </w:r>
      <w:r w:rsidR="00AC0F1D">
        <w:t>implementation of the proposed WEL could lead to increased consumer costs</w:t>
      </w:r>
      <w:r w:rsidR="00AC0F1D">
        <w:rPr>
          <w:rStyle w:val="FootnoteReference"/>
        </w:rPr>
        <w:footnoteReference w:id="211"/>
      </w:r>
      <w:r w:rsidR="00AC0F1D">
        <w:t xml:space="preserve">. </w:t>
      </w:r>
    </w:p>
    <w:p w14:paraId="707BB127" w14:textId="0914F915" w:rsidR="00CF7E76" w:rsidRPr="00CF7E76" w:rsidRDefault="009C7956" w:rsidP="00227CE2">
      <w:pPr>
        <w:contextualSpacing w:val="0"/>
      </w:pPr>
      <w:r>
        <w:t>Stakeholders from the</w:t>
      </w:r>
      <w:r w:rsidR="00CF7E76" w:rsidRPr="00CF7E76">
        <w:t xml:space="preserve"> oil-refinery </w:t>
      </w:r>
      <w:r>
        <w:t>sector</w:t>
      </w:r>
      <w:r w:rsidR="007179E2">
        <w:rPr>
          <w:rStyle w:val="FootnoteReference"/>
        </w:rPr>
        <w:footnoteReference w:id="212"/>
      </w:r>
      <w:r w:rsidR="00CF7E76" w:rsidRPr="00CF7E76">
        <w:t xml:space="preserve"> also raised </w:t>
      </w:r>
      <w:r>
        <w:t>the following</w:t>
      </w:r>
      <w:r w:rsidR="00387127">
        <w:t xml:space="preserve"> industry-specific </w:t>
      </w:r>
      <w:r w:rsidR="00B50276">
        <w:t xml:space="preserve">impacts as a result of the </w:t>
      </w:r>
      <w:r w:rsidR="00CF7E76" w:rsidRPr="00CF7E76">
        <w:t>proposed change</w:t>
      </w:r>
      <w:r>
        <w:t>s</w:t>
      </w:r>
      <w:r w:rsidR="009C5F22">
        <w:t xml:space="preserve">, but did not </w:t>
      </w:r>
      <w:r w:rsidR="002654C2">
        <w:t>provide further detail on</w:t>
      </w:r>
      <w:r w:rsidR="009C5F22">
        <w:t xml:space="preserve"> how these impacts </w:t>
      </w:r>
      <w:r w:rsidR="002654C2">
        <w:t>would result</w:t>
      </w:r>
      <w:r w:rsidR="009C5F22">
        <w:t xml:space="preserve"> </w:t>
      </w:r>
      <w:r w:rsidR="00E53C2F">
        <w:t>from the proposed changes</w:t>
      </w:r>
      <w:r w:rsidR="00CF7E76" w:rsidRPr="00CF7E76">
        <w:t>:</w:t>
      </w:r>
    </w:p>
    <w:p w14:paraId="54480BD2" w14:textId="5CEAFBAF" w:rsidR="00CF7E76" w:rsidRPr="00CF7E76" w:rsidRDefault="00CF7E76" w:rsidP="00B57E6C">
      <w:pPr>
        <w:numPr>
          <w:ilvl w:val="0"/>
          <w:numId w:val="42"/>
        </w:numPr>
        <w:ind w:left="714" w:hanging="357"/>
        <w:contextualSpacing w:val="0"/>
      </w:pPr>
      <w:r w:rsidRPr="00CF7E76">
        <w:t>reduction in waste oil recycling</w:t>
      </w:r>
      <w:r w:rsidR="002F6244">
        <w:t>,</w:t>
      </w:r>
    </w:p>
    <w:p w14:paraId="6AFA4B6E" w14:textId="04A457C6" w:rsidR="00CF7E76" w:rsidRPr="00CF7E76" w:rsidRDefault="00CF7E76" w:rsidP="00B57E6C">
      <w:pPr>
        <w:numPr>
          <w:ilvl w:val="0"/>
          <w:numId w:val="42"/>
        </w:numPr>
        <w:ind w:left="714" w:hanging="357"/>
        <w:contextualSpacing w:val="0"/>
      </w:pPr>
      <w:r w:rsidRPr="00CF7E76">
        <w:t>limited renewable fuel availability, which would increase costs of renewable fuels,</w:t>
      </w:r>
    </w:p>
    <w:p w14:paraId="1F2CBA7E" w14:textId="77777777" w:rsidR="00CF7E76" w:rsidRPr="00CF7E76" w:rsidRDefault="00CF7E76" w:rsidP="00B57E6C">
      <w:pPr>
        <w:numPr>
          <w:ilvl w:val="0"/>
          <w:numId w:val="42"/>
        </w:numPr>
        <w:ind w:left="714" w:hanging="357"/>
        <w:contextualSpacing w:val="0"/>
      </w:pPr>
      <w:r w:rsidRPr="00CF7E76">
        <w:t>increase in improper handling of wastes, such as dumping and illegal operations, and</w:t>
      </w:r>
    </w:p>
    <w:p w14:paraId="5D68A52A" w14:textId="26CA1164" w:rsidR="00CF7E76" w:rsidRPr="005C2C88" w:rsidRDefault="00CF7E76" w:rsidP="00B57E6C">
      <w:pPr>
        <w:numPr>
          <w:ilvl w:val="0"/>
          <w:numId w:val="42"/>
        </w:numPr>
        <w:ind w:left="714" w:hanging="357"/>
        <w:contextualSpacing w:val="0"/>
      </w:pPr>
      <w:r w:rsidRPr="00CF7E76">
        <w:t xml:space="preserve">increase in the sale price of lubricant, resulting in an increase is cost of operating a vehicle for all Australians.  </w:t>
      </w:r>
    </w:p>
    <w:p w14:paraId="50BF2B9C" w14:textId="393C2117" w:rsidR="00825E71" w:rsidRDefault="002B1C6B" w:rsidP="00E21AA9">
      <w:pPr>
        <w:pStyle w:val="SWAHeading3"/>
        <w:keepNext/>
        <w:keepLines/>
      </w:pPr>
      <w:r>
        <w:t>Transitional arrangements suggested by stakeholders</w:t>
      </w:r>
    </w:p>
    <w:p w14:paraId="1DF8481A" w14:textId="2FC802CC" w:rsidR="00561B37" w:rsidRDefault="00DF12C2" w:rsidP="007512E8">
      <w:pPr>
        <w:pStyle w:val="paragraph0"/>
        <w:keepNext/>
        <w:keepLines/>
        <w:spacing w:before="0" w:beforeAutospacing="0" w:after="120" w:afterAutospacing="0"/>
        <w:contextualSpacing w:val="0"/>
        <w:textAlignment w:val="baseline"/>
        <w:rPr>
          <w:rFonts w:ascii="Arial" w:eastAsiaTheme="majorEastAsia" w:hAnsi="Arial" w:cs="Arial"/>
          <w:sz w:val="22"/>
          <w:szCs w:val="22"/>
        </w:rPr>
      </w:pPr>
      <w:r>
        <w:rPr>
          <w:rFonts w:ascii="Arial" w:eastAsiaTheme="majorEastAsia" w:hAnsi="Arial" w:cs="Arial"/>
          <w:sz w:val="22"/>
          <w:szCs w:val="22"/>
        </w:rPr>
        <w:t xml:space="preserve">A </w:t>
      </w:r>
      <w:r w:rsidR="00965598">
        <w:rPr>
          <w:rFonts w:ascii="Arial" w:eastAsiaTheme="majorEastAsia" w:hAnsi="Arial" w:cs="Arial"/>
          <w:sz w:val="22"/>
          <w:szCs w:val="22"/>
        </w:rPr>
        <w:t>small number</w:t>
      </w:r>
      <w:r>
        <w:rPr>
          <w:rFonts w:ascii="Arial" w:eastAsiaTheme="majorEastAsia" w:hAnsi="Arial" w:cs="Arial"/>
          <w:sz w:val="22"/>
          <w:szCs w:val="22"/>
        </w:rPr>
        <w:t xml:space="preserve"> of s</w:t>
      </w:r>
      <w:r w:rsidR="00120B22">
        <w:rPr>
          <w:rFonts w:ascii="Arial" w:eastAsiaTheme="majorEastAsia" w:hAnsi="Arial" w:cs="Arial"/>
          <w:sz w:val="22"/>
          <w:szCs w:val="22"/>
        </w:rPr>
        <w:t xml:space="preserve">takeholders suggested a transition </w:t>
      </w:r>
      <w:r w:rsidR="009B4D1C">
        <w:rPr>
          <w:rFonts w:ascii="Arial" w:eastAsiaTheme="majorEastAsia" w:hAnsi="Arial" w:cs="Arial"/>
          <w:sz w:val="22"/>
          <w:szCs w:val="22"/>
        </w:rPr>
        <w:t xml:space="preserve">period would assist industry to comply with the proposed limits if they were to be implemented. </w:t>
      </w:r>
      <w:r w:rsidR="00920B98">
        <w:rPr>
          <w:rFonts w:ascii="Arial" w:eastAsiaTheme="majorEastAsia" w:hAnsi="Arial" w:cs="Arial"/>
          <w:sz w:val="22"/>
          <w:szCs w:val="22"/>
        </w:rPr>
        <w:t xml:space="preserve">Four </w:t>
      </w:r>
      <w:r w:rsidR="006560B6">
        <w:rPr>
          <w:rFonts w:ascii="Arial" w:eastAsiaTheme="majorEastAsia" w:hAnsi="Arial" w:cs="Arial"/>
          <w:sz w:val="22"/>
          <w:szCs w:val="22"/>
        </w:rPr>
        <w:t xml:space="preserve">submissions </w:t>
      </w:r>
      <w:r w:rsidR="005B195E">
        <w:rPr>
          <w:rFonts w:ascii="Arial" w:eastAsiaTheme="majorEastAsia" w:hAnsi="Arial" w:cs="Arial"/>
          <w:sz w:val="22"/>
          <w:szCs w:val="22"/>
        </w:rPr>
        <w:t>(out of 27)</w:t>
      </w:r>
      <w:r w:rsidR="006560B6">
        <w:rPr>
          <w:rFonts w:ascii="Arial" w:eastAsiaTheme="majorEastAsia" w:hAnsi="Arial" w:cs="Arial"/>
          <w:sz w:val="22"/>
          <w:szCs w:val="22"/>
        </w:rPr>
        <w:t xml:space="preserve"> suggested the following </w:t>
      </w:r>
      <w:r w:rsidR="000929F3" w:rsidRPr="002A4F7A">
        <w:rPr>
          <w:rFonts w:ascii="Arial" w:eastAsiaTheme="majorEastAsia" w:hAnsi="Arial" w:cs="Arial"/>
          <w:sz w:val="22"/>
          <w:szCs w:val="22"/>
        </w:rPr>
        <w:t>potential length</w:t>
      </w:r>
      <w:r w:rsidR="006560B6">
        <w:rPr>
          <w:rFonts w:ascii="Arial" w:eastAsiaTheme="majorEastAsia" w:hAnsi="Arial" w:cs="Arial"/>
          <w:sz w:val="22"/>
          <w:szCs w:val="22"/>
        </w:rPr>
        <w:t>s</w:t>
      </w:r>
      <w:r w:rsidR="000929F3" w:rsidRPr="002A4F7A">
        <w:rPr>
          <w:rFonts w:ascii="Arial" w:eastAsiaTheme="majorEastAsia" w:hAnsi="Arial" w:cs="Arial"/>
          <w:sz w:val="22"/>
          <w:szCs w:val="22"/>
        </w:rPr>
        <w:t xml:space="preserve"> for this transition period</w:t>
      </w:r>
      <w:r w:rsidR="006560B6">
        <w:rPr>
          <w:rFonts w:ascii="Arial" w:eastAsiaTheme="majorEastAsia" w:hAnsi="Arial" w:cs="Arial"/>
          <w:sz w:val="22"/>
          <w:szCs w:val="22"/>
        </w:rPr>
        <w:t>:</w:t>
      </w:r>
      <w:r w:rsidR="00825E71" w:rsidRPr="002A4F7A">
        <w:rPr>
          <w:rFonts w:ascii="Arial" w:eastAsiaTheme="majorEastAsia" w:hAnsi="Arial" w:cs="Arial"/>
          <w:sz w:val="22"/>
          <w:szCs w:val="22"/>
        </w:rPr>
        <w:t xml:space="preserve"> </w:t>
      </w:r>
    </w:p>
    <w:p w14:paraId="3BC0003B" w14:textId="77D6FDC7" w:rsidR="00561B37" w:rsidRDefault="00825E71" w:rsidP="00DA28CB">
      <w:pPr>
        <w:pStyle w:val="paragraph0"/>
        <w:numPr>
          <w:ilvl w:val="0"/>
          <w:numId w:val="171"/>
        </w:numPr>
        <w:spacing w:before="0" w:beforeAutospacing="0" w:after="120" w:afterAutospacing="0"/>
        <w:contextualSpacing w:val="0"/>
        <w:textAlignment w:val="baseline"/>
        <w:rPr>
          <w:rFonts w:ascii="Arial" w:eastAsiaTheme="majorEastAsia" w:hAnsi="Arial" w:cs="Arial"/>
          <w:sz w:val="22"/>
          <w:szCs w:val="22"/>
        </w:rPr>
      </w:pPr>
      <w:r w:rsidRPr="002A4F7A">
        <w:rPr>
          <w:rFonts w:ascii="Arial" w:eastAsiaTheme="majorEastAsia" w:hAnsi="Arial" w:cs="Arial"/>
          <w:sz w:val="22"/>
          <w:szCs w:val="22"/>
        </w:rPr>
        <w:t>3 months</w:t>
      </w:r>
      <w:r w:rsidR="00E56DE2">
        <w:rPr>
          <w:rStyle w:val="FootnoteReference"/>
          <w:rFonts w:ascii="Arial" w:eastAsiaTheme="majorEastAsia" w:hAnsi="Arial" w:cs="Arial"/>
          <w:sz w:val="22"/>
          <w:szCs w:val="22"/>
        </w:rPr>
        <w:footnoteReference w:id="213"/>
      </w:r>
      <w:r w:rsidRPr="002A4F7A">
        <w:rPr>
          <w:rFonts w:ascii="Arial" w:eastAsiaTheme="majorEastAsia" w:hAnsi="Arial" w:cs="Arial"/>
          <w:sz w:val="22"/>
          <w:szCs w:val="22"/>
        </w:rPr>
        <w:t xml:space="preserve">, </w:t>
      </w:r>
    </w:p>
    <w:p w14:paraId="10B0958A" w14:textId="5FAE6A14" w:rsidR="00561B37" w:rsidRDefault="00825E71" w:rsidP="00DA28CB">
      <w:pPr>
        <w:pStyle w:val="paragraph0"/>
        <w:numPr>
          <w:ilvl w:val="0"/>
          <w:numId w:val="171"/>
        </w:numPr>
        <w:spacing w:before="0" w:beforeAutospacing="0" w:after="120" w:afterAutospacing="0"/>
        <w:contextualSpacing w:val="0"/>
        <w:textAlignment w:val="baseline"/>
        <w:rPr>
          <w:rFonts w:ascii="Arial" w:eastAsiaTheme="majorEastAsia" w:hAnsi="Arial" w:cs="Arial"/>
          <w:sz w:val="22"/>
          <w:szCs w:val="22"/>
        </w:rPr>
      </w:pPr>
      <w:r w:rsidRPr="002A4F7A">
        <w:rPr>
          <w:rFonts w:ascii="Arial" w:eastAsiaTheme="majorEastAsia" w:hAnsi="Arial" w:cs="Arial"/>
          <w:sz w:val="22"/>
          <w:szCs w:val="22"/>
        </w:rPr>
        <w:lastRenderedPageBreak/>
        <w:t>6 – 12 months</w:t>
      </w:r>
      <w:r w:rsidR="00721989">
        <w:rPr>
          <w:rStyle w:val="FootnoteReference"/>
          <w:rFonts w:ascii="Arial" w:eastAsiaTheme="majorEastAsia" w:hAnsi="Arial" w:cs="Arial"/>
          <w:sz w:val="22"/>
          <w:szCs w:val="22"/>
        </w:rPr>
        <w:footnoteReference w:id="214"/>
      </w:r>
      <w:r w:rsidRPr="002A4F7A">
        <w:rPr>
          <w:rFonts w:ascii="Arial" w:eastAsiaTheme="majorEastAsia" w:hAnsi="Arial" w:cs="Arial"/>
          <w:sz w:val="22"/>
          <w:szCs w:val="22"/>
        </w:rPr>
        <w:t xml:space="preserve">, </w:t>
      </w:r>
    </w:p>
    <w:p w14:paraId="66B53360" w14:textId="55B2177C" w:rsidR="00561B37" w:rsidRDefault="00825E71" w:rsidP="00DA28CB">
      <w:pPr>
        <w:pStyle w:val="paragraph0"/>
        <w:numPr>
          <w:ilvl w:val="0"/>
          <w:numId w:val="171"/>
        </w:numPr>
        <w:spacing w:before="0" w:beforeAutospacing="0" w:after="120" w:afterAutospacing="0"/>
        <w:contextualSpacing w:val="0"/>
        <w:textAlignment w:val="baseline"/>
        <w:rPr>
          <w:rFonts w:ascii="Arial" w:eastAsiaTheme="majorEastAsia" w:hAnsi="Arial" w:cs="Arial"/>
          <w:sz w:val="22"/>
          <w:szCs w:val="22"/>
        </w:rPr>
      </w:pPr>
      <w:r w:rsidRPr="002A4F7A">
        <w:rPr>
          <w:rFonts w:ascii="Arial" w:eastAsiaTheme="majorEastAsia" w:hAnsi="Arial" w:cs="Arial"/>
          <w:sz w:val="22"/>
          <w:szCs w:val="22"/>
        </w:rPr>
        <w:t>1 year</w:t>
      </w:r>
      <w:r w:rsidR="002A63BB">
        <w:rPr>
          <w:rStyle w:val="FootnoteReference"/>
          <w:rFonts w:ascii="Arial" w:eastAsiaTheme="majorEastAsia" w:hAnsi="Arial" w:cs="Arial"/>
          <w:sz w:val="22"/>
          <w:szCs w:val="22"/>
        </w:rPr>
        <w:footnoteReference w:id="215"/>
      </w:r>
      <w:r w:rsidR="00561B37">
        <w:rPr>
          <w:rFonts w:ascii="Arial" w:eastAsiaTheme="majorEastAsia" w:hAnsi="Arial" w:cs="Arial"/>
          <w:sz w:val="22"/>
          <w:szCs w:val="22"/>
        </w:rPr>
        <w:t>,</w:t>
      </w:r>
      <w:r w:rsidRPr="002A4F7A">
        <w:rPr>
          <w:rFonts w:ascii="Arial" w:eastAsiaTheme="majorEastAsia" w:hAnsi="Arial" w:cs="Arial"/>
          <w:sz w:val="22"/>
          <w:szCs w:val="22"/>
        </w:rPr>
        <w:t xml:space="preserve"> and</w:t>
      </w:r>
    </w:p>
    <w:p w14:paraId="5C710017" w14:textId="361BE1E1" w:rsidR="00561B37" w:rsidRDefault="00825E71" w:rsidP="00DA28CB">
      <w:pPr>
        <w:pStyle w:val="paragraph0"/>
        <w:numPr>
          <w:ilvl w:val="0"/>
          <w:numId w:val="171"/>
        </w:numPr>
        <w:spacing w:before="0" w:beforeAutospacing="0" w:after="120" w:afterAutospacing="0"/>
        <w:contextualSpacing w:val="0"/>
        <w:textAlignment w:val="baseline"/>
        <w:rPr>
          <w:rFonts w:ascii="Arial" w:eastAsiaTheme="majorEastAsia" w:hAnsi="Arial" w:cs="Arial"/>
          <w:sz w:val="22"/>
          <w:szCs w:val="22"/>
        </w:rPr>
      </w:pPr>
      <w:r w:rsidRPr="002A4F7A">
        <w:rPr>
          <w:rFonts w:ascii="Arial" w:eastAsiaTheme="majorEastAsia" w:hAnsi="Arial" w:cs="Arial"/>
          <w:sz w:val="22"/>
          <w:szCs w:val="22"/>
        </w:rPr>
        <w:t xml:space="preserve"> 3 years</w:t>
      </w:r>
      <w:r w:rsidR="00C85FFF">
        <w:rPr>
          <w:rStyle w:val="FootnoteReference"/>
          <w:rFonts w:ascii="Arial" w:eastAsiaTheme="majorEastAsia" w:hAnsi="Arial" w:cs="Arial"/>
          <w:sz w:val="22"/>
          <w:szCs w:val="22"/>
        </w:rPr>
        <w:footnoteReference w:id="216"/>
      </w:r>
      <w:r w:rsidRPr="002A4F7A">
        <w:rPr>
          <w:rFonts w:ascii="Arial" w:eastAsiaTheme="majorEastAsia" w:hAnsi="Arial" w:cs="Arial"/>
          <w:sz w:val="22"/>
          <w:szCs w:val="22"/>
        </w:rPr>
        <w:t>.</w:t>
      </w:r>
      <w:r w:rsidR="00A6558D">
        <w:rPr>
          <w:rFonts w:ascii="Arial" w:eastAsiaTheme="majorEastAsia" w:hAnsi="Arial" w:cs="Arial"/>
          <w:sz w:val="22"/>
          <w:szCs w:val="22"/>
        </w:rPr>
        <w:t xml:space="preserve"> </w:t>
      </w:r>
    </w:p>
    <w:p w14:paraId="3EE05AA3" w14:textId="27202AF8" w:rsidR="00920B98" w:rsidRDefault="003361B1" w:rsidP="00BF0157">
      <w:pPr>
        <w:pStyle w:val="paragraph0"/>
        <w:spacing w:before="0" w:beforeAutospacing="0" w:after="120" w:afterAutospacing="0"/>
        <w:contextualSpacing w:val="0"/>
        <w:textAlignment w:val="baseline"/>
        <w:rPr>
          <w:rFonts w:ascii="Arial" w:eastAsiaTheme="majorEastAsia" w:hAnsi="Arial" w:cs="Arial"/>
          <w:sz w:val="22"/>
          <w:szCs w:val="22"/>
        </w:rPr>
      </w:pPr>
      <w:r>
        <w:rPr>
          <w:rFonts w:ascii="Arial" w:eastAsiaTheme="majorEastAsia" w:hAnsi="Arial" w:cs="Arial"/>
          <w:sz w:val="22"/>
          <w:szCs w:val="22"/>
        </w:rPr>
        <w:t xml:space="preserve">One submission stated there should be no transition period and the new WEL should be implemented </w:t>
      </w:r>
      <w:r w:rsidR="00920B98">
        <w:rPr>
          <w:rFonts w:ascii="Arial" w:eastAsiaTheme="majorEastAsia" w:hAnsi="Arial" w:cs="Arial"/>
          <w:sz w:val="22"/>
          <w:szCs w:val="22"/>
        </w:rPr>
        <w:t>as soon as possible</w:t>
      </w:r>
      <w:r w:rsidR="00920B98">
        <w:rPr>
          <w:rStyle w:val="FootnoteReference"/>
          <w:rFonts w:ascii="Arial" w:eastAsiaTheme="majorEastAsia" w:hAnsi="Arial" w:cs="Arial"/>
          <w:sz w:val="22"/>
          <w:szCs w:val="22"/>
        </w:rPr>
        <w:footnoteReference w:id="217"/>
      </w:r>
      <w:r w:rsidR="00365311">
        <w:rPr>
          <w:rFonts w:ascii="Arial" w:eastAsiaTheme="majorEastAsia" w:hAnsi="Arial" w:cs="Arial"/>
          <w:sz w:val="22"/>
          <w:szCs w:val="22"/>
        </w:rPr>
        <w:t>.</w:t>
      </w:r>
      <w:r w:rsidR="00920B98">
        <w:rPr>
          <w:rFonts w:ascii="Arial" w:eastAsiaTheme="majorEastAsia" w:hAnsi="Arial" w:cs="Arial"/>
          <w:sz w:val="22"/>
          <w:szCs w:val="22"/>
        </w:rPr>
        <w:t xml:space="preserve"> </w:t>
      </w:r>
    </w:p>
    <w:p w14:paraId="159FF006" w14:textId="181D444A" w:rsidR="000A726B" w:rsidRDefault="00895310" w:rsidP="00852EDC">
      <w:pPr>
        <w:pStyle w:val="paragraph0"/>
        <w:spacing w:before="0" w:beforeAutospacing="0" w:after="120" w:afterAutospacing="0"/>
        <w:contextualSpacing w:val="0"/>
        <w:textAlignment w:val="baseline"/>
        <w:rPr>
          <w:rFonts w:ascii="Arial" w:eastAsiaTheme="majorEastAsia" w:hAnsi="Arial" w:cs="Arial"/>
          <w:sz w:val="22"/>
          <w:szCs w:val="22"/>
        </w:rPr>
      </w:pPr>
      <w:r>
        <w:rPr>
          <w:rFonts w:ascii="Arial" w:eastAsiaTheme="majorEastAsia" w:hAnsi="Arial" w:cs="Arial"/>
          <w:sz w:val="22"/>
          <w:szCs w:val="22"/>
        </w:rPr>
        <w:t>Another</w:t>
      </w:r>
      <w:r w:rsidR="00A6558D" w:rsidRPr="003D173F">
        <w:rPr>
          <w:rFonts w:ascii="Arial" w:eastAsiaTheme="majorEastAsia" w:hAnsi="Arial" w:cs="Arial"/>
          <w:sz w:val="22"/>
          <w:szCs w:val="22"/>
        </w:rPr>
        <w:t xml:space="preserve"> requested</w:t>
      </w:r>
      <w:r>
        <w:rPr>
          <w:rFonts w:ascii="Arial" w:eastAsiaTheme="majorEastAsia" w:hAnsi="Arial" w:cs="Arial"/>
          <w:sz w:val="22"/>
          <w:szCs w:val="22"/>
        </w:rPr>
        <w:t xml:space="preserve"> there be more</w:t>
      </w:r>
      <w:r w:rsidR="00A6558D" w:rsidRPr="003D173F">
        <w:rPr>
          <w:rFonts w:ascii="Arial" w:eastAsiaTheme="majorEastAsia" w:hAnsi="Arial" w:cs="Arial"/>
          <w:sz w:val="22"/>
          <w:szCs w:val="22"/>
        </w:rPr>
        <w:t xml:space="preserve"> consultation to ensure a practical and feasible implementation timeframe. The stakeholder proposed that </w:t>
      </w:r>
      <w:r>
        <w:rPr>
          <w:rFonts w:ascii="Arial" w:eastAsiaTheme="majorEastAsia" w:hAnsi="Arial" w:cs="Arial"/>
          <w:sz w:val="22"/>
          <w:szCs w:val="22"/>
        </w:rPr>
        <w:t xml:space="preserve">the </w:t>
      </w:r>
      <w:r w:rsidR="00A6558D" w:rsidRPr="003D173F">
        <w:rPr>
          <w:rFonts w:ascii="Arial" w:eastAsiaTheme="majorEastAsia" w:hAnsi="Arial" w:cs="Arial"/>
          <w:sz w:val="22"/>
          <w:szCs w:val="22"/>
        </w:rPr>
        <w:t xml:space="preserve">timeframe </w:t>
      </w:r>
      <w:r>
        <w:rPr>
          <w:rFonts w:ascii="Arial" w:eastAsiaTheme="majorEastAsia" w:hAnsi="Arial" w:cs="Arial"/>
          <w:sz w:val="22"/>
          <w:szCs w:val="22"/>
        </w:rPr>
        <w:t xml:space="preserve">for implementation should be </w:t>
      </w:r>
      <w:r w:rsidR="00A6558D" w:rsidRPr="003D173F">
        <w:rPr>
          <w:rFonts w:ascii="Arial" w:eastAsiaTheme="majorEastAsia" w:hAnsi="Arial" w:cs="Arial"/>
          <w:sz w:val="22"/>
          <w:szCs w:val="22"/>
        </w:rPr>
        <w:t xml:space="preserve">based on the ability </w:t>
      </w:r>
      <w:r>
        <w:rPr>
          <w:rFonts w:ascii="Arial" w:eastAsiaTheme="majorEastAsia" w:hAnsi="Arial" w:cs="Arial"/>
          <w:sz w:val="22"/>
          <w:szCs w:val="22"/>
        </w:rPr>
        <w:t xml:space="preserve">of industry </w:t>
      </w:r>
      <w:r w:rsidR="00A6558D" w:rsidRPr="003D173F">
        <w:rPr>
          <w:rFonts w:ascii="Arial" w:eastAsiaTheme="majorEastAsia" w:hAnsi="Arial" w:cs="Arial"/>
          <w:sz w:val="22"/>
          <w:szCs w:val="22"/>
        </w:rPr>
        <w:t xml:space="preserve">to acquire sensors that confirm whether the WEL is being met, the necessary capital works </w:t>
      </w:r>
      <w:r w:rsidR="003C01DD">
        <w:rPr>
          <w:rFonts w:ascii="Arial" w:eastAsiaTheme="majorEastAsia" w:hAnsi="Arial" w:cs="Arial"/>
          <w:sz w:val="22"/>
          <w:szCs w:val="22"/>
        </w:rPr>
        <w:t xml:space="preserve">being completed </w:t>
      </w:r>
      <w:r w:rsidR="00A6558D" w:rsidRPr="003D173F">
        <w:rPr>
          <w:rFonts w:ascii="Arial" w:eastAsiaTheme="majorEastAsia" w:hAnsi="Arial" w:cs="Arial"/>
          <w:sz w:val="22"/>
          <w:szCs w:val="22"/>
        </w:rPr>
        <w:t>and funding approvals</w:t>
      </w:r>
      <w:r w:rsidR="003C01DD">
        <w:rPr>
          <w:rFonts w:ascii="Arial" w:eastAsiaTheme="majorEastAsia" w:hAnsi="Arial" w:cs="Arial"/>
          <w:sz w:val="22"/>
          <w:szCs w:val="22"/>
        </w:rPr>
        <w:t xml:space="preserve"> being agreed</w:t>
      </w:r>
      <w:r w:rsidR="00A066DD">
        <w:rPr>
          <w:rStyle w:val="FootnoteReference"/>
          <w:rFonts w:ascii="Arial" w:eastAsiaTheme="majorEastAsia" w:hAnsi="Arial" w:cs="Arial"/>
          <w:sz w:val="22"/>
          <w:szCs w:val="22"/>
        </w:rPr>
        <w:footnoteReference w:id="218"/>
      </w:r>
      <w:r w:rsidR="00A6558D" w:rsidRPr="003D173F">
        <w:rPr>
          <w:rFonts w:ascii="Arial" w:eastAsiaTheme="majorEastAsia" w:hAnsi="Arial" w:cs="Arial"/>
          <w:sz w:val="22"/>
          <w:szCs w:val="22"/>
        </w:rPr>
        <w:t>.</w:t>
      </w:r>
    </w:p>
    <w:p w14:paraId="52F67919" w14:textId="72A1E85E" w:rsidR="00044B28" w:rsidRPr="00661A98" w:rsidRDefault="00044B28" w:rsidP="00661A98">
      <w:pPr>
        <w:contextualSpacing w:val="0"/>
      </w:pPr>
      <w:r w:rsidRPr="00251ADD">
        <w:t xml:space="preserve">As mentioned in Section 7.3 of this Decision RIS, it is proposed that the new WEL for </w:t>
      </w:r>
      <w:r>
        <w:t>hydrogen sulfide</w:t>
      </w:r>
      <w:r w:rsidRPr="00251ADD">
        <w:t xml:space="preserve"> should come into effect on 1 December 2026. This would align with the commencement of the new WEL list and ensure the transition to the health-based exposure limits for all chemicals occurs at the same time.</w:t>
      </w:r>
    </w:p>
    <w:p w14:paraId="58F7EE9B" w14:textId="61453CB9" w:rsidR="001D5CD4" w:rsidRDefault="003443BC" w:rsidP="00E86432">
      <w:pPr>
        <w:pStyle w:val="SWAHeading2"/>
        <w:ind w:left="709"/>
      </w:pPr>
      <w:bookmarkStart w:id="438" w:name="_Toc196204779"/>
      <w:bookmarkStart w:id="439" w:name="_Ref198557514"/>
      <w:bookmarkStart w:id="440" w:name="_Toc219216911"/>
      <w:r>
        <w:t>Likely net benefit and r</w:t>
      </w:r>
      <w:r w:rsidR="002B5481">
        <w:t xml:space="preserve">ecommended </w:t>
      </w:r>
      <w:r w:rsidR="00945FF7">
        <w:t>option for hydrogen sulfide</w:t>
      </w:r>
      <w:bookmarkEnd w:id="438"/>
      <w:bookmarkEnd w:id="439"/>
      <w:bookmarkEnd w:id="440"/>
    </w:p>
    <w:p w14:paraId="2160D500" w14:textId="77777777" w:rsidR="000B11FC" w:rsidRPr="000B11FC" w:rsidRDefault="000B11FC" w:rsidP="00661A98">
      <w:pPr>
        <w:pStyle w:val="SWAHeading3"/>
      </w:pPr>
      <w:r w:rsidRPr="000B11FC">
        <w:t>Net benefit</w:t>
      </w:r>
    </w:p>
    <w:p w14:paraId="1AD82EB4" w14:textId="4DEDB266" w:rsidR="000B11FC" w:rsidRPr="000B11FC" w:rsidRDefault="00CE76F1" w:rsidP="000B11FC">
      <w:pPr>
        <w:pStyle w:val="Paragraph"/>
      </w:pPr>
      <w:r>
        <w:fldChar w:fldCharType="begin"/>
      </w:r>
      <w:r>
        <w:instrText xml:space="preserve"> REF _Ref216766430 \h </w:instrText>
      </w:r>
      <w:r>
        <w:fldChar w:fldCharType="separate"/>
      </w:r>
      <w:r w:rsidR="00A002F4">
        <w:t xml:space="preserve">Table </w:t>
      </w:r>
      <w:r w:rsidR="00A002F4">
        <w:rPr>
          <w:noProof/>
        </w:rPr>
        <w:t>30</w:t>
      </w:r>
      <w:r>
        <w:fldChar w:fldCharType="end"/>
      </w:r>
      <w:r>
        <w:t xml:space="preserve"> </w:t>
      </w:r>
      <w:r w:rsidR="000B11FC" w:rsidRPr="000B11FC">
        <w:t xml:space="preserve">presents the quantified </w:t>
      </w:r>
      <w:r w:rsidR="0045797E">
        <w:t>gross</w:t>
      </w:r>
      <w:r w:rsidR="000B11FC" w:rsidRPr="000B11FC">
        <w:t xml:space="preserve"> benefit for the proposed WEL for hydrogen </w:t>
      </w:r>
      <w:r w:rsidR="001D2798">
        <w:t>sulfide</w:t>
      </w:r>
      <w:r w:rsidR="000B11FC" w:rsidRPr="000B11FC">
        <w:t>.</w:t>
      </w:r>
      <w:r w:rsidR="0045797E">
        <w:t xml:space="preserve"> </w:t>
      </w:r>
      <w:r w:rsidR="008966A8">
        <w:t>T</w:t>
      </w:r>
      <w:r w:rsidR="008735F3" w:rsidRPr="008735F3">
        <w:t>he quantifiable financial benefits estimated (</w:t>
      </w:r>
      <w:r w:rsidR="00222FD5">
        <w:fldChar w:fldCharType="begin"/>
      </w:r>
      <w:r w:rsidR="00222FD5">
        <w:instrText xml:space="preserve"> REF _Ref199921398 \h </w:instrText>
      </w:r>
      <w:r w:rsidR="00222FD5">
        <w:fldChar w:fldCharType="separate"/>
      </w:r>
      <w:r w:rsidR="00A002F4">
        <w:t xml:space="preserve">Table </w:t>
      </w:r>
      <w:r w:rsidR="00A002F4">
        <w:rPr>
          <w:noProof/>
        </w:rPr>
        <w:t>27</w:t>
      </w:r>
      <w:r w:rsidR="00222FD5">
        <w:fldChar w:fldCharType="end"/>
      </w:r>
      <w:r w:rsidR="008735F3" w:rsidRPr="008735F3">
        <w:t>) were considered alongside the quantifiable costs (</w:t>
      </w:r>
      <w:r w:rsidR="00222FD5">
        <w:fldChar w:fldCharType="begin"/>
      </w:r>
      <w:r w:rsidR="00222FD5">
        <w:instrText xml:space="preserve"> REF _Ref199921927 \h </w:instrText>
      </w:r>
      <w:r w:rsidR="00222FD5">
        <w:fldChar w:fldCharType="separate"/>
      </w:r>
      <w:r w:rsidR="00A002F4">
        <w:t xml:space="preserve">Table </w:t>
      </w:r>
      <w:r w:rsidR="00A002F4">
        <w:rPr>
          <w:noProof/>
        </w:rPr>
        <w:t>28</w:t>
      </w:r>
      <w:r w:rsidR="00222FD5">
        <w:fldChar w:fldCharType="end"/>
      </w:r>
      <w:r w:rsidR="008735F3" w:rsidRPr="008735F3">
        <w:t xml:space="preserve">) to estimate a quantified </w:t>
      </w:r>
      <w:r>
        <w:t xml:space="preserve">gross </w:t>
      </w:r>
      <w:r w:rsidR="008735F3" w:rsidRPr="008735F3">
        <w:t>benefit of -$</w:t>
      </w:r>
      <w:r w:rsidR="00222FD5">
        <w:t>1.9</w:t>
      </w:r>
      <w:r w:rsidR="008735F3" w:rsidRPr="008735F3">
        <w:t xml:space="preserve"> </w:t>
      </w:r>
      <w:r w:rsidR="00222FD5">
        <w:t>b</w:t>
      </w:r>
      <w:r w:rsidR="008735F3" w:rsidRPr="008735F3">
        <w:t xml:space="preserve">illion over 10 years for the proposed WEL for </w:t>
      </w:r>
      <w:r w:rsidR="00222FD5">
        <w:t>hydrogen sulfide</w:t>
      </w:r>
      <w:r w:rsidR="008735F3" w:rsidRPr="008735F3">
        <w:t xml:space="preserve">. </w:t>
      </w:r>
    </w:p>
    <w:p w14:paraId="5DE57865" w14:textId="2FEE71AE" w:rsidR="000B11FC" w:rsidRPr="00B019B3" w:rsidRDefault="000B11FC" w:rsidP="000B11FC">
      <w:pPr>
        <w:pStyle w:val="Paragraph"/>
      </w:pPr>
      <w:r w:rsidRPr="00B019B3">
        <w:t xml:space="preserve">Sensitivity analysis indicates the quantified </w:t>
      </w:r>
      <w:r w:rsidR="00CE76F1" w:rsidRPr="00B019B3">
        <w:t>gross</w:t>
      </w:r>
      <w:r w:rsidRPr="00B019B3">
        <w:t xml:space="preserve"> benefit can range between -$</w:t>
      </w:r>
      <w:r w:rsidR="00CE76F1" w:rsidRPr="00B019B3">
        <w:t>3.1</w:t>
      </w:r>
      <w:r w:rsidRPr="00B019B3">
        <w:t xml:space="preserve"> </w:t>
      </w:r>
      <w:r w:rsidR="00CE76F1" w:rsidRPr="00B019B3">
        <w:t>b</w:t>
      </w:r>
      <w:r w:rsidRPr="00B019B3">
        <w:t xml:space="preserve">illion (under the </w:t>
      </w:r>
      <w:r w:rsidR="00CE76F1" w:rsidRPr="00B019B3">
        <w:t>high</w:t>
      </w:r>
      <w:r w:rsidRPr="00B019B3">
        <w:t xml:space="preserve"> scenario outlined in </w:t>
      </w:r>
      <w:hyperlink w:anchor="AppendixD_SensitivityAnalysis" w:history="1">
        <w:r w:rsidRPr="00661A98">
          <w:rPr>
            <w:rStyle w:val="Hyperlink"/>
            <w:color w:val="auto"/>
            <w:u w:val="none"/>
          </w:rPr>
          <w:t xml:space="preserve">Appendix </w:t>
        </w:r>
        <w:r w:rsidR="00B019B3" w:rsidRPr="00661A98">
          <w:rPr>
            <w:rStyle w:val="Hyperlink"/>
            <w:color w:val="auto"/>
            <w:u w:val="none"/>
          </w:rPr>
          <w:t>D</w:t>
        </w:r>
      </w:hyperlink>
      <w:r w:rsidRPr="00B019B3">
        <w:t xml:space="preserve">) and -$526 million (under the </w:t>
      </w:r>
      <w:r w:rsidR="00CE76F1" w:rsidRPr="00B019B3">
        <w:t xml:space="preserve">low </w:t>
      </w:r>
      <w:r w:rsidRPr="00B019B3">
        <w:t xml:space="preserve">scenario outlined in </w:t>
      </w:r>
      <w:hyperlink w:anchor="AppendixD_SensitivityAnalysis" w:history="1">
        <w:r w:rsidRPr="00661A98">
          <w:rPr>
            <w:rStyle w:val="Hyperlink"/>
            <w:color w:val="auto"/>
            <w:u w:val="none"/>
          </w:rPr>
          <w:t xml:space="preserve">Appendix </w:t>
        </w:r>
        <w:r w:rsidR="00B019B3" w:rsidRPr="00661A98">
          <w:rPr>
            <w:rStyle w:val="Hyperlink"/>
            <w:color w:val="auto"/>
            <w:u w:val="none"/>
          </w:rPr>
          <w:t>D</w:t>
        </w:r>
      </w:hyperlink>
      <w:r w:rsidRPr="00B019B3">
        <w:t xml:space="preserve">) over 10 years for the proposed WEL for hydrogen </w:t>
      </w:r>
      <w:r w:rsidR="00CE76F1" w:rsidRPr="00B019B3">
        <w:t>sulfide</w:t>
      </w:r>
      <w:r w:rsidRPr="00B019B3">
        <w:t xml:space="preserve">. </w:t>
      </w:r>
    </w:p>
    <w:p w14:paraId="47489907" w14:textId="5EC689EE" w:rsidR="000B11FC" w:rsidRPr="000B11FC" w:rsidRDefault="000B11FC" w:rsidP="000B11FC">
      <w:pPr>
        <w:pStyle w:val="Paragraph"/>
      </w:pPr>
      <w:r w:rsidRPr="000B11FC">
        <w:t xml:space="preserve">For the proposed WEL for hydrogen </w:t>
      </w:r>
      <w:r w:rsidR="00CE76F1">
        <w:t>sulfide</w:t>
      </w:r>
      <w:r w:rsidRPr="000B11FC">
        <w:t xml:space="preserve"> to deliver a net benefit in economic terms, the non-quantified and qualitative benefits outlined in Sections 5 and 1</w:t>
      </w:r>
      <w:r w:rsidR="00CE76F1">
        <w:t>4</w:t>
      </w:r>
      <w:r w:rsidRPr="000B11FC">
        <w:t>.1 of this Decision RIS would need to meet or exceed a quantified net cost of $</w:t>
      </w:r>
      <w:r w:rsidR="00CE76F1">
        <w:t>1.9</w:t>
      </w:r>
      <w:r w:rsidRPr="000B11FC">
        <w:t xml:space="preserve"> million. </w:t>
      </w:r>
    </w:p>
    <w:p w14:paraId="35726519" w14:textId="7E035749" w:rsidR="000B11FC" w:rsidRDefault="000B11FC" w:rsidP="00661A98">
      <w:pPr>
        <w:pStyle w:val="Paragraph"/>
        <w:keepNext w:val="0"/>
      </w:pPr>
      <w:r w:rsidRPr="000B11FC">
        <w:t xml:space="preserve">This </w:t>
      </w:r>
      <w:r w:rsidR="0045797E">
        <w:t>quantified gross</w:t>
      </w:r>
      <w:r w:rsidRPr="000B11FC">
        <w:t xml:space="preserve"> cost is likely to be smaller than what is estimated in</w:t>
      </w:r>
      <w:r w:rsidR="00CE76F1">
        <w:t xml:space="preserve"> </w:t>
      </w:r>
      <w:r w:rsidR="00CE76F1">
        <w:fldChar w:fldCharType="begin"/>
      </w:r>
      <w:r w:rsidR="00CE76F1">
        <w:instrText xml:space="preserve"> REF _Ref216766430 \h </w:instrText>
      </w:r>
      <w:r w:rsidR="00CE76F1">
        <w:fldChar w:fldCharType="separate"/>
      </w:r>
      <w:r w:rsidR="00A002F4">
        <w:t xml:space="preserve">Table </w:t>
      </w:r>
      <w:r w:rsidR="00A002F4">
        <w:rPr>
          <w:noProof/>
        </w:rPr>
        <w:t>30</w:t>
      </w:r>
      <w:r w:rsidR="00CE76F1">
        <w:fldChar w:fldCharType="end"/>
      </w:r>
      <w:r w:rsidRPr="000B11FC">
        <w:t xml:space="preserve">. </w:t>
      </w:r>
      <w:r w:rsidR="00D206BE">
        <w:t>The d</w:t>
      </w:r>
      <w:r w:rsidR="00BE2424">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76105B">
        <w:t xml:space="preserve">. </w:t>
      </w:r>
    </w:p>
    <w:p w14:paraId="2525CFA2" w14:textId="5529E660" w:rsidR="00D206BE" w:rsidRPr="006A6A65" w:rsidRDefault="00D206BE" w:rsidP="00661A98">
      <w:pPr>
        <w:pStyle w:val="Paragraph"/>
        <w:keepNext w:val="0"/>
      </w:pPr>
      <w:r>
        <w:t>In considering the qu</w:t>
      </w:r>
      <w:r w:rsidR="00565E68">
        <w:t xml:space="preserve">antified gross benefit, together with the non-quantified and qualitative benefit, Option 2 presents a likely net benefit. </w:t>
      </w:r>
    </w:p>
    <w:p w14:paraId="38794E88" w14:textId="66761422" w:rsidR="001D2798" w:rsidRDefault="001D2798" w:rsidP="00661A98">
      <w:pPr>
        <w:pStyle w:val="Caption"/>
      </w:pPr>
      <w:bookmarkStart w:id="441" w:name="_Ref216766430"/>
      <w:r>
        <w:lastRenderedPageBreak/>
        <w:t xml:space="preserve">Table </w:t>
      </w:r>
      <w:fldSimple w:instr=" SEQ Table \* ARABIC ">
        <w:r w:rsidR="00A002F4">
          <w:rPr>
            <w:noProof/>
          </w:rPr>
          <w:t>30</w:t>
        </w:r>
      </w:fldSimple>
      <w:bookmarkEnd w:id="441"/>
      <w:r>
        <w:t xml:space="preserve"> - </w:t>
      </w:r>
      <w:r w:rsidR="00216186">
        <w:t>Quantified</w:t>
      </w:r>
      <w:r w:rsidRPr="00797465">
        <w:t xml:space="preserve"> gross benefit ($, millions, discounted) for the proposed WEL for </w:t>
      </w:r>
      <w:r>
        <w:t>hydrogen sulfide,</w:t>
      </w:r>
      <w:r w:rsidRPr="00797465">
        <w:t xml:space="preserve">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0B11FC" w:rsidRPr="000B11FC" w14:paraId="7E1D1E4B" w14:textId="77777777" w:rsidTr="00661A98">
        <w:tc>
          <w:tcPr>
            <w:tcW w:w="3004" w:type="dxa"/>
            <w:tcBorders>
              <w:bottom w:val="single" w:sz="4" w:space="0" w:color="A6A6A6" w:themeColor="background1" w:themeShade="A6"/>
            </w:tcBorders>
            <w:shd w:val="clear" w:color="auto" w:fill="4877E0" w:themeFill="accent1"/>
          </w:tcPr>
          <w:p w14:paraId="009D2E6D" w14:textId="77777777" w:rsidR="000B11FC" w:rsidRPr="00661A98" w:rsidRDefault="000B11FC" w:rsidP="00661A98">
            <w:pPr>
              <w:pStyle w:val="Paragraph"/>
              <w:rPr>
                <w:b/>
                <w:color w:val="FFFFFF" w:themeColor="background1"/>
                <w:lang w:eastAsia="en-US"/>
              </w:rPr>
            </w:pPr>
            <w:r w:rsidRPr="00661A98">
              <w:rPr>
                <w:b/>
                <w:color w:val="FFFFFF" w:themeColor="background1"/>
                <w:lang w:eastAsia="en-US"/>
              </w:rPr>
              <w:t>Quantified benefits</w:t>
            </w:r>
          </w:p>
        </w:tc>
        <w:tc>
          <w:tcPr>
            <w:tcW w:w="3006" w:type="dxa"/>
            <w:tcBorders>
              <w:bottom w:val="single" w:sz="4" w:space="0" w:color="A6A6A6" w:themeColor="background1" w:themeShade="A6"/>
            </w:tcBorders>
            <w:shd w:val="clear" w:color="auto" w:fill="4877E0" w:themeFill="accent1"/>
          </w:tcPr>
          <w:p w14:paraId="290AC3DF" w14:textId="77777777" w:rsidR="000B11FC" w:rsidRPr="00661A98" w:rsidRDefault="000B11FC" w:rsidP="00661A98">
            <w:pPr>
              <w:pStyle w:val="Paragraph"/>
              <w:rPr>
                <w:b/>
                <w:color w:val="FFFFFF" w:themeColor="background1"/>
                <w:lang w:eastAsia="en-US"/>
              </w:rPr>
            </w:pPr>
            <w:r w:rsidRPr="00661A98">
              <w:rPr>
                <w:b/>
                <w:color w:val="FFFFFF" w:themeColor="background1"/>
                <w:lang w:eastAsia="en-US"/>
              </w:rPr>
              <w:t>Quantified costs</w:t>
            </w:r>
          </w:p>
        </w:tc>
        <w:tc>
          <w:tcPr>
            <w:tcW w:w="3006" w:type="dxa"/>
            <w:tcBorders>
              <w:bottom w:val="single" w:sz="4" w:space="0" w:color="A6A6A6" w:themeColor="background1" w:themeShade="A6"/>
            </w:tcBorders>
            <w:shd w:val="clear" w:color="auto" w:fill="4877E0" w:themeFill="accent1"/>
          </w:tcPr>
          <w:p w14:paraId="1D09054D" w14:textId="476CF938" w:rsidR="000B11FC" w:rsidRPr="00661A98" w:rsidRDefault="00216186" w:rsidP="00661A98">
            <w:pPr>
              <w:pStyle w:val="Paragraph"/>
              <w:rPr>
                <w:b/>
                <w:color w:val="FFFFFF" w:themeColor="background1"/>
                <w:lang w:eastAsia="en-US"/>
              </w:rPr>
            </w:pPr>
            <w:r>
              <w:rPr>
                <w:b/>
                <w:bCs/>
                <w:color w:val="FFFFFF" w:themeColor="background1"/>
                <w:lang w:eastAsia="en-US"/>
              </w:rPr>
              <w:t>Quantified</w:t>
            </w:r>
            <w:r w:rsidR="000B11FC" w:rsidRPr="00661A98">
              <w:rPr>
                <w:b/>
                <w:color w:val="FFFFFF" w:themeColor="background1"/>
                <w:lang w:eastAsia="en-US"/>
              </w:rPr>
              <w:t xml:space="preserve"> </w:t>
            </w:r>
            <w:r w:rsidR="001D2798">
              <w:rPr>
                <w:b/>
                <w:bCs/>
                <w:color w:val="FFFFFF" w:themeColor="background1"/>
                <w:lang w:eastAsia="en-US"/>
              </w:rPr>
              <w:t>gross</w:t>
            </w:r>
            <w:r w:rsidR="000B11FC" w:rsidRPr="00661A98">
              <w:rPr>
                <w:b/>
                <w:color w:val="FFFFFF" w:themeColor="background1"/>
                <w:lang w:eastAsia="en-US"/>
              </w:rPr>
              <w:t xml:space="preserve"> benefit</w:t>
            </w:r>
            <w:r w:rsidR="00624BFA">
              <w:rPr>
                <w:b/>
                <w:bCs/>
                <w:color w:val="FFFFFF" w:themeColor="background1"/>
                <w:lang w:eastAsia="en-US"/>
              </w:rPr>
              <w:t>**</w:t>
            </w:r>
          </w:p>
        </w:tc>
      </w:tr>
      <w:tr w:rsidR="001D2798" w:rsidRPr="000B11FC" w14:paraId="47C28313" w14:textId="77777777" w:rsidTr="00661A98">
        <w:trPr>
          <w:trHeight w:val="300"/>
        </w:trPr>
        <w:tc>
          <w:tcPr>
            <w:tcW w:w="30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E201819" w14:textId="32A0E924" w:rsidR="001D2798" w:rsidRPr="001D2798" w:rsidRDefault="001D2798" w:rsidP="00B64384">
            <w:pPr>
              <w:pStyle w:val="Paragraph"/>
              <w:keepNext w:val="0"/>
              <w:spacing w:afterLines="50" w:after="120"/>
              <w:jc w:val="right"/>
              <w:rPr>
                <w:rFonts w:cs="Arial"/>
                <w:lang w:eastAsia="en-US"/>
              </w:rPr>
            </w:pPr>
            <w:r w:rsidRPr="00661A98">
              <w:rPr>
                <w:rFonts w:cs="Arial"/>
                <w:color w:val="000000"/>
                <w:szCs w:val="22"/>
              </w:rPr>
              <w:t>7</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0494814" w14:textId="0777D608" w:rsidR="001D2798" w:rsidRPr="001D2798" w:rsidRDefault="001D2798" w:rsidP="00B64384">
            <w:pPr>
              <w:pStyle w:val="Paragraph"/>
              <w:keepNext w:val="0"/>
              <w:spacing w:afterLines="50" w:after="120"/>
              <w:jc w:val="right"/>
              <w:rPr>
                <w:rFonts w:cs="Arial"/>
                <w:lang w:eastAsia="en-US"/>
              </w:rPr>
            </w:pPr>
            <w:r w:rsidRPr="00661A98">
              <w:rPr>
                <w:rFonts w:cs="Arial"/>
                <w:color w:val="000000"/>
                <w:szCs w:val="22"/>
              </w:rPr>
              <w:t>1,907</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65F0EAB" w14:textId="2B700D77" w:rsidR="001D2798" w:rsidRPr="001D2798" w:rsidRDefault="001D2798" w:rsidP="00B64384">
            <w:pPr>
              <w:pStyle w:val="Paragraph"/>
              <w:keepNext w:val="0"/>
              <w:spacing w:afterLines="50" w:after="120"/>
              <w:jc w:val="right"/>
              <w:rPr>
                <w:rFonts w:cs="Arial"/>
                <w:lang w:eastAsia="en-US"/>
              </w:rPr>
            </w:pPr>
            <w:r w:rsidRPr="00661A98">
              <w:rPr>
                <w:rFonts w:cs="Arial"/>
                <w:color w:val="000000"/>
                <w:szCs w:val="22"/>
              </w:rPr>
              <w:t xml:space="preserve">- 1,900 </w:t>
            </w:r>
          </w:p>
        </w:tc>
      </w:tr>
    </w:tbl>
    <w:p w14:paraId="5A698E01" w14:textId="53119BBF" w:rsidR="00624BFA" w:rsidRPr="00661A98" w:rsidRDefault="00624BFA" w:rsidP="00661A98">
      <w:pPr>
        <w:pStyle w:val="SWAHeading3"/>
        <w:spacing w:before="0"/>
        <w:rPr>
          <w:color w:val="808080" w:themeColor="background1" w:themeShade="80"/>
          <w:sz w:val="18"/>
          <w:szCs w:val="20"/>
        </w:rPr>
      </w:pPr>
      <w:r w:rsidRPr="00FC7340">
        <w:rPr>
          <w:i/>
          <w:iCs/>
          <w:color w:val="808080" w:themeColor="background1" w:themeShade="80"/>
          <w:sz w:val="18"/>
          <w:szCs w:val="20"/>
        </w:rPr>
        <w:t>** The quantified gross benefits should be read in conjunction with the non-quantifiable benefits set out in Section 5.2 and 1</w:t>
      </w:r>
      <w:r>
        <w:rPr>
          <w:i/>
          <w:iCs/>
          <w:color w:val="808080" w:themeColor="background1" w:themeShade="80"/>
          <w:sz w:val="18"/>
          <w:szCs w:val="20"/>
        </w:rPr>
        <w:t>4</w:t>
      </w:r>
      <w:r w:rsidRPr="00FC7340">
        <w:rPr>
          <w:i/>
          <w:iCs/>
          <w:color w:val="808080" w:themeColor="background1" w:themeShade="80"/>
          <w:sz w:val="18"/>
          <w:szCs w:val="20"/>
        </w:rPr>
        <w:t>.1.</w:t>
      </w:r>
    </w:p>
    <w:p w14:paraId="6BDBD475" w14:textId="53724267" w:rsidR="000B11FC" w:rsidRPr="00237B5A" w:rsidRDefault="00237B5A" w:rsidP="00661A98">
      <w:pPr>
        <w:pStyle w:val="SWAHeading3"/>
      </w:pPr>
      <w:r>
        <w:t>Recommended option</w:t>
      </w:r>
    </w:p>
    <w:tbl>
      <w:tblPr>
        <w:tblStyle w:val="TableGrid"/>
        <w:tblW w:w="0" w:type="auto"/>
        <w:tblLook w:val="04A0" w:firstRow="1" w:lastRow="0" w:firstColumn="1" w:lastColumn="0" w:noHBand="0" w:noVBand="1"/>
      </w:tblPr>
      <w:tblGrid>
        <w:gridCol w:w="9016"/>
      </w:tblGrid>
      <w:tr w:rsidR="00243D9A" w14:paraId="7AB45157" w14:textId="77777777" w:rsidTr="002D3C69">
        <w:tc>
          <w:tcPr>
            <w:tcW w:w="9016" w:type="dxa"/>
            <w:tcBorders>
              <w:top w:val="single" w:sz="4" w:space="0" w:color="DAE3F8" w:themeColor="accent1" w:themeTint="33"/>
              <w:left w:val="single" w:sz="4" w:space="0" w:color="DAE3F8" w:themeColor="accent1" w:themeTint="33"/>
              <w:bottom w:val="single" w:sz="4" w:space="0" w:color="DAE3F8" w:themeColor="accent1" w:themeTint="33"/>
              <w:right w:val="single" w:sz="4" w:space="0" w:color="DAE3F8" w:themeColor="accent1" w:themeTint="33"/>
            </w:tcBorders>
            <w:shd w:val="clear" w:color="auto" w:fill="DAE3F8" w:themeFill="accent1" w:themeFillTint="33"/>
          </w:tcPr>
          <w:p w14:paraId="0248F577" w14:textId="77777777" w:rsidR="00B93E72" w:rsidRPr="00B93E72" w:rsidRDefault="00B93E72" w:rsidP="00E86432">
            <w:pPr>
              <w:pStyle w:val="Paragraph"/>
              <w:keepNext w:val="0"/>
              <w:spacing w:before="120" w:after="120"/>
            </w:pPr>
            <w:r>
              <w:rPr>
                <w:lang w:eastAsia="en-US"/>
              </w:rPr>
              <w:t>It is recommended WHS ministers agree to the health-based recommendation for the WEL for hydrogen sulfide (</w:t>
            </w:r>
            <w:r w:rsidRPr="005C575C">
              <w:rPr>
                <w:b/>
                <w:bCs/>
                <w:lang w:eastAsia="en-US"/>
              </w:rPr>
              <w:t>Option 2</w:t>
            </w:r>
            <w:r>
              <w:rPr>
                <w:lang w:eastAsia="en-US"/>
              </w:rPr>
              <w:t xml:space="preserve">): </w:t>
            </w:r>
            <w:r w:rsidRPr="00243D9A">
              <w:rPr>
                <w:lang w:eastAsia="en-US"/>
              </w:rPr>
              <w:t>TWA of 1 ppm (1.4 mg/m</w:t>
            </w:r>
            <w:r w:rsidRPr="00243D9A">
              <w:rPr>
                <w:vertAlign w:val="superscript"/>
                <w:lang w:eastAsia="en-US"/>
              </w:rPr>
              <w:t>3</w:t>
            </w:r>
            <w:r w:rsidRPr="00243D9A">
              <w:rPr>
                <w:lang w:eastAsia="en-US"/>
              </w:rPr>
              <w:t>) and a STEL</w:t>
            </w:r>
            <w:r>
              <w:rPr>
                <w:lang w:eastAsia="en-US"/>
              </w:rPr>
              <w:t xml:space="preserve"> </w:t>
            </w:r>
            <w:r w:rsidRPr="00243D9A">
              <w:rPr>
                <w:lang w:eastAsia="en-US"/>
              </w:rPr>
              <w:t>of 5 ppm (7 mg/m</w:t>
            </w:r>
            <w:r w:rsidRPr="00243D9A">
              <w:rPr>
                <w:vertAlign w:val="superscript"/>
                <w:lang w:eastAsia="en-US"/>
              </w:rPr>
              <w:t>3</w:t>
            </w:r>
            <w:r w:rsidRPr="00243D9A">
              <w:rPr>
                <w:lang w:eastAsia="en-US"/>
              </w:rPr>
              <w:t>)</w:t>
            </w:r>
            <w:r>
              <w:rPr>
                <w:lang w:eastAsia="en-US"/>
              </w:rPr>
              <w:t xml:space="preserve">. This </w:t>
            </w:r>
            <w:r w:rsidRPr="00B93E72">
              <w:t>recommendation is based on the following considerations:</w:t>
            </w:r>
          </w:p>
          <w:p w14:paraId="43FD88F5" w14:textId="0058889E" w:rsidR="00B93E72" w:rsidRPr="00B93E72" w:rsidRDefault="00B93E72" w:rsidP="00A2768E">
            <w:pPr>
              <w:pStyle w:val="Paragraph"/>
              <w:keepNext w:val="0"/>
              <w:numPr>
                <w:ilvl w:val="0"/>
                <w:numId w:val="69"/>
              </w:numPr>
            </w:pPr>
            <w:r w:rsidRPr="00B93E72">
              <w:t xml:space="preserve">that the proposed WEL for hydrogen </w:t>
            </w:r>
            <w:r>
              <w:t>sulfide</w:t>
            </w:r>
            <w:r w:rsidRPr="00B93E72">
              <w:t xml:space="preserve"> </w:t>
            </w:r>
            <w:r w:rsidR="00C6478D">
              <w:t>aligns with</w:t>
            </w:r>
            <w:r w:rsidRPr="00B93E72">
              <w:t xml:space="preserve"> the object of the model WHS Act to protect workers and others from harm to their health, safety and welfare through the elimination or minimisation of risks,</w:t>
            </w:r>
          </w:p>
          <w:p w14:paraId="707BF7B8" w14:textId="1CA9BDFC" w:rsidR="00B93E72" w:rsidRPr="00B93E72" w:rsidRDefault="00B93E72" w:rsidP="00A2768E">
            <w:pPr>
              <w:pStyle w:val="Paragraph"/>
              <w:keepNext w:val="0"/>
              <w:numPr>
                <w:ilvl w:val="0"/>
                <w:numId w:val="69"/>
              </w:numPr>
            </w:pPr>
            <w:r w:rsidRPr="00B93E72">
              <w:t xml:space="preserve">the scientific evidence that </w:t>
            </w:r>
            <w:r w:rsidR="009910A0">
              <w:t xml:space="preserve">indicates the proposed health-based WEL is protective </w:t>
            </w:r>
            <w:r w:rsidRPr="00B93E72">
              <w:t>of worker</w:t>
            </w:r>
            <w:r w:rsidR="009910A0">
              <w:t>s</w:t>
            </w:r>
            <w:r w:rsidRPr="00B93E72">
              <w:t>,</w:t>
            </w:r>
          </w:p>
          <w:p w14:paraId="5EDB4115" w14:textId="368B47E8" w:rsidR="00B93E72" w:rsidRPr="00B93E72" w:rsidRDefault="0095113C" w:rsidP="00A2768E">
            <w:pPr>
              <w:pStyle w:val="Paragraph"/>
              <w:keepNext w:val="0"/>
              <w:numPr>
                <w:ilvl w:val="0"/>
                <w:numId w:val="69"/>
              </w:numPr>
            </w:pPr>
            <w:r w:rsidRPr="0095113C">
              <w:t>that some stakeholder views and comments on the proposed WEL were in agreement that the WEL for copper should be protective of workers, in line with the objectives of the model WHS Act</w:t>
            </w:r>
            <w:r w:rsidR="00B93E72" w:rsidRPr="00B93E72">
              <w:t>, and</w:t>
            </w:r>
          </w:p>
          <w:p w14:paraId="1C5CAA8F" w14:textId="62431D4F" w:rsidR="00B93E72" w:rsidRPr="00B93E72" w:rsidRDefault="00B93E72" w:rsidP="00A2768E">
            <w:pPr>
              <w:pStyle w:val="Paragraph"/>
              <w:keepNext w:val="0"/>
              <w:numPr>
                <w:ilvl w:val="0"/>
                <w:numId w:val="69"/>
              </w:numPr>
            </w:pPr>
            <w:r w:rsidRPr="00B93E72">
              <w:t>the</w:t>
            </w:r>
            <w:r w:rsidR="003D63C6">
              <w:t xml:space="preserve"> </w:t>
            </w:r>
            <w:r w:rsidR="00AE0051">
              <w:t>net</w:t>
            </w:r>
            <w:r w:rsidRPr="00B93E72">
              <w:t xml:space="preserve"> benefit</w:t>
            </w:r>
            <w:r w:rsidR="00AE0051">
              <w:t xml:space="preserve"> expected</w:t>
            </w:r>
            <w:r w:rsidRPr="00B93E72">
              <w:t xml:space="preserve"> of the proposed change</w:t>
            </w:r>
            <w:r w:rsidR="00507073">
              <w:t xml:space="preserve">, particularly the protection of workers from developing </w:t>
            </w:r>
            <w:r w:rsidR="00507073" w:rsidRPr="00507073">
              <w:t>irritation effects and central nervous system impairment from both acute and chronic exposures to hydrogen sulfide</w:t>
            </w:r>
            <w:r w:rsidRPr="00B93E72">
              <w:t>.</w:t>
            </w:r>
          </w:p>
          <w:p w14:paraId="517E70A5" w14:textId="114953A8" w:rsidR="00243D9A" w:rsidRPr="00DA0793" w:rsidRDefault="00DF6474" w:rsidP="00E86432">
            <w:pPr>
              <w:pStyle w:val="Paragraph"/>
              <w:keepNext w:val="0"/>
              <w:rPr>
                <w:lang w:eastAsia="en-US"/>
              </w:rPr>
            </w:pPr>
            <w:r>
              <w:t xml:space="preserve">It </w:t>
            </w:r>
            <w:r w:rsidRPr="00DF6474">
              <w:t xml:space="preserve">is also recommended WHS ministers agree </w:t>
            </w:r>
            <w:r w:rsidR="00BE7F26" w:rsidRPr="00BE7F26">
              <w:t>a transition</w:t>
            </w:r>
            <w:r w:rsidRPr="00DF6474">
              <w:t xml:space="preserve"> period for </w:t>
            </w:r>
            <w:r w:rsidR="00731CE8">
              <w:t>hydrogen sulfide</w:t>
            </w:r>
            <w:r w:rsidR="00BE7F26" w:rsidRPr="00BE7F26">
              <w:t xml:space="preserve"> aligned to</w:t>
            </w:r>
            <w:r w:rsidRPr="00DF6474">
              <w:t xml:space="preserve"> the 1 December 2026 implementation date for the </w:t>
            </w:r>
            <w:r w:rsidRPr="008B1DDD">
              <w:rPr>
                <w:i/>
              </w:rPr>
              <w:t>Workplace exposure limits for airborne contaminants</w:t>
            </w:r>
            <w:r w:rsidRPr="00DF6474">
              <w:t xml:space="preserve">.  </w:t>
            </w:r>
          </w:p>
        </w:tc>
      </w:tr>
    </w:tbl>
    <w:p w14:paraId="0F8D468A" w14:textId="77777777" w:rsidR="00243D9A" w:rsidRPr="00243D9A" w:rsidRDefault="00243D9A" w:rsidP="00243D9A">
      <w:pPr>
        <w:pStyle w:val="Paragraph"/>
        <w:rPr>
          <w:lang w:eastAsia="en-US"/>
        </w:rPr>
      </w:pPr>
    </w:p>
    <w:p w14:paraId="5A839D8A" w14:textId="3041DEA0" w:rsidR="000B51DC" w:rsidRDefault="00FC2896" w:rsidP="007966C0">
      <w:pPr>
        <w:pStyle w:val="SWAHeading1"/>
      </w:pPr>
      <w:bookmarkStart w:id="442" w:name="_Toc181003133"/>
      <w:bookmarkStart w:id="443" w:name="_Toc193192681"/>
      <w:bookmarkStart w:id="444" w:name="_Toc196204781"/>
      <w:bookmarkStart w:id="445" w:name="_Toc179376606"/>
      <w:r>
        <w:lastRenderedPageBreak/>
        <w:t xml:space="preserve"> </w:t>
      </w:r>
      <w:bookmarkStart w:id="446" w:name="_Toc219216912"/>
      <w:r w:rsidR="0009369A">
        <w:t>Detailed impact assessment for n</w:t>
      </w:r>
      <w:r w:rsidR="000B51DC">
        <w:t>itrogen dioxide</w:t>
      </w:r>
      <w:bookmarkEnd w:id="442"/>
      <w:bookmarkEnd w:id="443"/>
      <w:bookmarkEnd w:id="444"/>
      <w:bookmarkEnd w:id="446"/>
      <w:r w:rsidR="000B51DC">
        <w:t xml:space="preserve"> </w:t>
      </w:r>
      <w:bookmarkEnd w:id="445"/>
    </w:p>
    <w:tbl>
      <w:tblPr>
        <w:tblStyle w:val="TableGrid"/>
        <w:tblW w:w="0" w:type="auto"/>
        <w:tblLook w:val="04A0" w:firstRow="1" w:lastRow="0" w:firstColumn="1" w:lastColumn="0" w:noHBand="0" w:noVBand="1"/>
      </w:tblPr>
      <w:tblGrid>
        <w:gridCol w:w="9016"/>
      </w:tblGrid>
      <w:tr w:rsidR="000B51DC" w14:paraId="234AB4E9" w14:textId="77777777" w:rsidTr="00FB18E4">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63FAD39" w14:textId="77777777" w:rsidR="000B51DC" w:rsidRPr="004504CF" w:rsidRDefault="000B51DC">
            <w:pPr>
              <w:pStyle w:val="SWAHeading3"/>
              <w:keepNext/>
              <w:keepLines/>
              <w:rPr>
                <w:b/>
                <w:sz w:val="32"/>
                <w:szCs w:val="36"/>
              </w:rPr>
            </w:pPr>
            <w:bookmarkStart w:id="447" w:name="_Toc193192682"/>
            <w:bookmarkStart w:id="448" w:name="_Toc196204782"/>
            <w:r w:rsidRPr="004504CF">
              <w:rPr>
                <w:b/>
                <w:sz w:val="32"/>
                <w:szCs w:val="36"/>
              </w:rPr>
              <w:t>Policy options for nitrogen dioxide</w:t>
            </w:r>
            <w:bookmarkEnd w:id="447"/>
            <w:bookmarkEnd w:id="448"/>
          </w:p>
          <w:p w14:paraId="53E5215F" w14:textId="11F13E13" w:rsidR="000B51DC" w:rsidRDefault="000B51DC" w:rsidP="38A49B51">
            <w:pPr>
              <w:pStyle w:val="Paragraph"/>
              <w:rPr>
                <w:lang w:eastAsia="en-US"/>
              </w:rPr>
            </w:pPr>
            <w:r w:rsidRPr="38A49B51">
              <w:rPr>
                <w:lang w:eastAsia="en-US"/>
              </w:rPr>
              <w:t>Option 1 is to retain the current TWA of 3 ppm (5.6 mg/m</w:t>
            </w:r>
            <w:r w:rsidRPr="38A49B51">
              <w:rPr>
                <w:vertAlign w:val="superscript"/>
                <w:lang w:eastAsia="en-US"/>
              </w:rPr>
              <w:t>3</w:t>
            </w:r>
            <w:r w:rsidRPr="38A49B51">
              <w:rPr>
                <w:lang w:eastAsia="en-US"/>
              </w:rPr>
              <w:t>) and STEL of 5 ppm (9.4 mg/m</w:t>
            </w:r>
            <w:r w:rsidRPr="38A49B51">
              <w:rPr>
                <w:vertAlign w:val="superscript"/>
                <w:lang w:eastAsia="en-US"/>
              </w:rPr>
              <w:t>3</w:t>
            </w:r>
            <w:r w:rsidRPr="38A49B51">
              <w:rPr>
                <w:lang w:eastAsia="en-US"/>
              </w:rPr>
              <w:t xml:space="preserve">). </w:t>
            </w:r>
          </w:p>
          <w:p w14:paraId="183E2629" w14:textId="1AD6D608" w:rsidR="000B51DC" w:rsidRPr="00DA0793" w:rsidRDefault="000B51DC">
            <w:pPr>
              <w:pStyle w:val="Paragraph"/>
              <w:rPr>
                <w:lang w:eastAsia="en-US"/>
              </w:rPr>
            </w:pPr>
            <w:r>
              <w:rPr>
                <w:lang w:eastAsia="en-US"/>
              </w:rPr>
              <w:t>Option 2 is to change to the proposed TWA of 0.2 ppm (0.38 mg/m</w:t>
            </w:r>
            <w:r w:rsidRPr="00AC463F">
              <w:rPr>
                <w:vertAlign w:val="superscript"/>
                <w:lang w:eastAsia="en-US"/>
              </w:rPr>
              <w:t>3</w:t>
            </w:r>
            <w:r>
              <w:rPr>
                <w:lang w:eastAsia="en-US"/>
              </w:rPr>
              <w:t>) and remove the existing STEL</w:t>
            </w:r>
            <w:r w:rsidR="002053A4">
              <w:rPr>
                <w:lang w:eastAsia="en-US"/>
              </w:rPr>
              <w:t xml:space="preserve"> – </w:t>
            </w:r>
            <w:r w:rsidR="002053A4" w:rsidRPr="002053A4">
              <w:rPr>
                <w:b/>
                <w:bCs/>
                <w:lang w:eastAsia="en-US"/>
              </w:rPr>
              <w:t>recommended</w:t>
            </w:r>
            <w:r w:rsidR="002053A4">
              <w:rPr>
                <w:lang w:eastAsia="en-US"/>
              </w:rPr>
              <w:t>.</w:t>
            </w:r>
          </w:p>
        </w:tc>
      </w:tr>
    </w:tbl>
    <w:p w14:paraId="09F70D44" w14:textId="64DA7ADE" w:rsidR="00FD3C8B" w:rsidRDefault="00FE1CDB" w:rsidP="00FB18E4">
      <w:pPr>
        <w:pStyle w:val="SWAHeading2"/>
        <w:ind w:left="709"/>
      </w:pPr>
      <w:bookmarkStart w:id="449" w:name="_Toc196204783"/>
      <w:bookmarkStart w:id="450" w:name="_Ref198720643"/>
      <w:bookmarkStart w:id="451" w:name="_Ref199499662"/>
      <w:bookmarkStart w:id="452" w:name="_Toc219216913"/>
      <w:bookmarkStart w:id="453" w:name="_Toc193192683"/>
      <w:r>
        <w:t>Benefits of the proposed WEL for nitrogen dioxide</w:t>
      </w:r>
      <w:bookmarkEnd w:id="449"/>
      <w:bookmarkEnd w:id="450"/>
      <w:bookmarkEnd w:id="451"/>
      <w:bookmarkEnd w:id="452"/>
    </w:p>
    <w:p w14:paraId="6572E622" w14:textId="5F2A6BC2" w:rsidR="00041E84" w:rsidRDefault="00FE1CDB" w:rsidP="00FB5EF0">
      <w:pPr>
        <w:pStyle w:val="SWAHeading3"/>
        <w:spacing w:before="0"/>
      </w:pPr>
      <w:bookmarkStart w:id="454" w:name="_Toc196204784"/>
      <w:r>
        <w:t>Health benefits of the proposed WEL for nitrogen dioxide</w:t>
      </w:r>
      <w:bookmarkEnd w:id="454"/>
    </w:p>
    <w:p w14:paraId="620FA06F" w14:textId="2B085024" w:rsidR="00442C79" w:rsidRDefault="00460A2F" w:rsidP="004504CF">
      <w:pPr>
        <w:pStyle w:val="Paragraph"/>
        <w:keepNext w:val="0"/>
        <w:rPr>
          <w:lang w:eastAsia="en-US"/>
        </w:rPr>
      </w:pPr>
      <w:r>
        <w:rPr>
          <w:lang w:eastAsia="en-US"/>
        </w:rPr>
        <w:t xml:space="preserve">The proposed </w:t>
      </w:r>
      <w:r w:rsidR="00B8142A" w:rsidRPr="00B8142A">
        <w:rPr>
          <w:lang w:eastAsia="en-US"/>
        </w:rPr>
        <w:t>TWA of 0.2 ppm (0.38 mg/m</w:t>
      </w:r>
      <w:r w:rsidR="00B8142A" w:rsidRPr="00B8142A">
        <w:rPr>
          <w:vertAlign w:val="superscript"/>
          <w:lang w:eastAsia="en-US"/>
        </w:rPr>
        <w:t>3</w:t>
      </w:r>
      <w:r w:rsidR="00B8142A" w:rsidRPr="00B8142A">
        <w:rPr>
          <w:lang w:eastAsia="en-US"/>
        </w:rPr>
        <w:t>)</w:t>
      </w:r>
      <w:r>
        <w:rPr>
          <w:lang w:eastAsia="en-US"/>
        </w:rPr>
        <w:t xml:space="preserve"> for nitrogen dioxide is intended to protect workers and others in the workplace from the risk of developing </w:t>
      </w:r>
      <w:r w:rsidR="00024B1C">
        <w:rPr>
          <w:lang w:eastAsia="en-US"/>
        </w:rPr>
        <w:t>lower respiratory tract irritation and tissue damage</w:t>
      </w:r>
      <w:r w:rsidR="0002445B">
        <w:rPr>
          <w:lang w:eastAsia="en-US"/>
        </w:rPr>
        <w:t xml:space="preserve"> </w:t>
      </w:r>
      <w:sdt>
        <w:sdtPr>
          <w:rPr>
            <w:lang w:eastAsia="en-US"/>
          </w:rPr>
          <w:id w:val="-2021925428"/>
          <w:citation/>
        </w:sdtPr>
        <w:sdtEndPr/>
        <w:sdtContent>
          <w:r w:rsidR="009604B6">
            <w:rPr>
              <w:lang w:eastAsia="en-US"/>
            </w:rPr>
            <w:fldChar w:fldCharType="begin"/>
          </w:r>
          <w:r w:rsidR="009604B6">
            <w:rPr>
              <w:lang w:eastAsia="en-US"/>
            </w:rPr>
            <w:instrText xml:space="preserve"> CITATION Saf202 \l 3081 </w:instrText>
          </w:r>
          <w:r w:rsidR="009604B6">
            <w:rPr>
              <w:lang w:eastAsia="en-US"/>
            </w:rPr>
            <w:fldChar w:fldCharType="separate"/>
          </w:r>
          <w:r w:rsidR="00490B21">
            <w:rPr>
              <w:noProof/>
              <w:lang w:eastAsia="en-US"/>
            </w:rPr>
            <w:t>(Safe Work Australia, 2020)</w:t>
          </w:r>
          <w:r w:rsidR="009604B6">
            <w:rPr>
              <w:lang w:eastAsia="en-US"/>
            </w:rPr>
            <w:fldChar w:fldCharType="end"/>
          </w:r>
        </w:sdtContent>
      </w:sdt>
      <w:r w:rsidR="00024B1C">
        <w:rPr>
          <w:lang w:eastAsia="en-US"/>
        </w:rPr>
        <w:t xml:space="preserve">. </w:t>
      </w:r>
      <w:r w:rsidR="007B04FF">
        <w:rPr>
          <w:lang w:eastAsia="en-US"/>
        </w:rPr>
        <w:t xml:space="preserve">The proposed WEL is </w:t>
      </w:r>
      <w:r w:rsidR="000C56F2">
        <w:rPr>
          <w:lang w:eastAsia="en-US"/>
        </w:rPr>
        <w:t>likely to</w:t>
      </w:r>
      <w:r w:rsidR="007B04FF">
        <w:rPr>
          <w:lang w:eastAsia="en-US"/>
        </w:rPr>
        <w:t xml:space="preserve"> benefit the estimated </w:t>
      </w:r>
      <w:r w:rsidR="00A8024B">
        <w:rPr>
          <w:lang w:eastAsia="en-US"/>
        </w:rPr>
        <w:t>657,714</w:t>
      </w:r>
      <w:r w:rsidR="007B04FF" w:rsidRPr="007B04FF">
        <w:rPr>
          <w:lang w:eastAsia="en-US"/>
        </w:rPr>
        <w:t xml:space="preserve"> workers in Australia at risk of exposure to nitrogen</w:t>
      </w:r>
      <w:r w:rsidR="007B04FF">
        <w:rPr>
          <w:lang w:eastAsia="en-US"/>
        </w:rPr>
        <w:t xml:space="preserve"> dioxide </w:t>
      </w:r>
      <w:r w:rsidR="00AE0F01">
        <w:rPr>
          <w:lang w:eastAsia="en-US"/>
        </w:rPr>
        <w:t>each year</w:t>
      </w:r>
      <w:r w:rsidR="007B04FF" w:rsidRPr="007B04FF">
        <w:rPr>
          <w:lang w:eastAsia="en-US"/>
        </w:rPr>
        <w:t>.</w:t>
      </w:r>
      <w:r w:rsidR="00442C79">
        <w:rPr>
          <w:lang w:eastAsia="en-US"/>
        </w:rPr>
        <w:t xml:space="preserve"> </w:t>
      </w:r>
    </w:p>
    <w:p w14:paraId="5D7227D7" w14:textId="38CDC8A9" w:rsidR="00EE4F04" w:rsidRDefault="003835BD" w:rsidP="001A6EC4">
      <w:pPr>
        <w:pStyle w:val="Paragraph"/>
      </w:pPr>
      <w:hyperlink r:id="rId48" w:history="1">
        <w:r w:rsidRPr="00B91307">
          <w:rPr>
            <w:rStyle w:val="Hyperlink"/>
            <w:lang w:eastAsia="en-US"/>
          </w:rPr>
          <w:t>Health evidence</w:t>
        </w:r>
      </w:hyperlink>
      <w:r w:rsidRPr="00B91307">
        <w:rPr>
          <w:lang w:eastAsia="en-US"/>
        </w:rPr>
        <w:t xml:space="preserve"> in the </w:t>
      </w:r>
      <w:r w:rsidR="00CD297D" w:rsidRPr="00B91307">
        <w:rPr>
          <w:lang w:eastAsia="en-US"/>
        </w:rPr>
        <w:t>evaluation report for nitrogen dioxide</w:t>
      </w:r>
      <w:r w:rsidRPr="00B91307">
        <w:rPr>
          <w:lang w:eastAsia="en-US"/>
        </w:rPr>
        <w:t xml:space="preserve"> </w:t>
      </w:r>
      <w:r w:rsidR="00C53525" w:rsidRPr="00B91307">
        <w:rPr>
          <w:lang w:eastAsia="en-US"/>
        </w:rPr>
        <w:t>showed</w:t>
      </w:r>
      <w:r w:rsidR="00B63A78" w:rsidRPr="00B91307">
        <w:t xml:space="preserve"> the current WES for nitrogen dioxide can result in an increased risk of developing lower respiratory tract irritation and tissue damage</w:t>
      </w:r>
      <w:r w:rsidR="00B63A78" w:rsidRPr="00B91307" w:rsidDel="00B63A78">
        <w:rPr>
          <w:lang w:eastAsia="en-US"/>
        </w:rPr>
        <w:t xml:space="preserve"> </w:t>
      </w:r>
      <w:sdt>
        <w:sdtPr>
          <w:id w:val="2082026169"/>
          <w:citation/>
        </w:sdtPr>
        <w:sdtEndPr/>
        <w:sdtContent>
          <w:r w:rsidR="0093639D" w:rsidRPr="00B91307">
            <w:fldChar w:fldCharType="begin"/>
          </w:r>
          <w:r w:rsidR="0093639D" w:rsidRPr="00B91307">
            <w:instrText xml:space="preserve"> CITATION Saf202 \l 3081 </w:instrText>
          </w:r>
          <w:r w:rsidR="0093639D" w:rsidRPr="00B91307">
            <w:fldChar w:fldCharType="separate"/>
          </w:r>
          <w:r w:rsidR="00490B21">
            <w:rPr>
              <w:noProof/>
            </w:rPr>
            <w:t>(Safe Work Australia, 2020)</w:t>
          </w:r>
          <w:r w:rsidR="0093639D" w:rsidRPr="00B91307">
            <w:fldChar w:fldCharType="end"/>
          </w:r>
        </w:sdtContent>
      </w:sdt>
      <w:r w:rsidR="0093639D" w:rsidRPr="00B91307">
        <w:t>.</w:t>
      </w:r>
      <w:r w:rsidR="0093639D">
        <w:t xml:space="preserve"> </w:t>
      </w:r>
    </w:p>
    <w:p w14:paraId="577C2538" w14:textId="2E6436EB" w:rsidR="00EB43A0" w:rsidRDefault="00EE4F04" w:rsidP="001A6EC4">
      <w:pPr>
        <w:pStyle w:val="Paragraph"/>
      </w:pPr>
      <w:r>
        <w:t>On the basis of</w:t>
      </w:r>
      <w:r w:rsidR="0093639D">
        <w:t xml:space="preserve"> this health evidence, it was recommended that the current TWA for </w:t>
      </w:r>
      <w:r w:rsidR="00D750FB">
        <w:t>nitrogen dioxide</w:t>
      </w:r>
      <w:r w:rsidR="0093639D">
        <w:t xml:space="preserve"> be lowered to </w:t>
      </w:r>
      <w:r w:rsidR="0093639D" w:rsidRPr="0093639D">
        <w:t>0.2 ppm (0.38 mg/m</w:t>
      </w:r>
      <w:r w:rsidR="0093639D" w:rsidRPr="0093639D">
        <w:rPr>
          <w:vertAlign w:val="superscript"/>
        </w:rPr>
        <w:t>3</w:t>
      </w:r>
      <w:r w:rsidR="0093639D" w:rsidRPr="0093639D">
        <w:t>)</w:t>
      </w:r>
      <w:r w:rsidR="0093639D">
        <w:t xml:space="preserve">. </w:t>
      </w:r>
    </w:p>
    <w:p w14:paraId="67919E8E" w14:textId="3A802FCF" w:rsidR="00D750FB" w:rsidRDefault="00C52188" w:rsidP="003D79E6">
      <w:pPr>
        <w:pStyle w:val="Paragraph"/>
        <w:rPr>
          <w:lang w:eastAsia="en-US"/>
        </w:rPr>
      </w:pPr>
      <w:r>
        <w:t xml:space="preserve">It was also recommended that the current STEL be removed, as the recommended TWA </w:t>
      </w:r>
      <w:r w:rsidR="006F06BC">
        <w:t xml:space="preserve">is considered low enough to protect workers from any short-term work-related </w:t>
      </w:r>
      <w:r w:rsidR="00BC6329">
        <w:t xml:space="preserve">exposure to nitrogen dioxide </w:t>
      </w:r>
      <w:sdt>
        <w:sdtPr>
          <w:id w:val="1743829736"/>
          <w:citation/>
        </w:sdtPr>
        <w:sdtEndPr/>
        <w:sdtContent>
          <w:r w:rsidR="00BC6329">
            <w:fldChar w:fldCharType="begin"/>
          </w:r>
          <w:r w:rsidR="00BC6329">
            <w:instrText xml:space="preserve"> CITATION Saf202 \l 3081 </w:instrText>
          </w:r>
          <w:r w:rsidR="00BC6329">
            <w:fldChar w:fldCharType="separate"/>
          </w:r>
          <w:r w:rsidR="00490B21">
            <w:rPr>
              <w:noProof/>
            </w:rPr>
            <w:t>(Safe Work Australia, 2020)</w:t>
          </w:r>
          <w:r w:rsidR="00BC6329">
            <w:fldChar w:fldCharType="end"/>
          </w:r>
        </w:sdtContent>
      </w:sdt>
      <w:r w:rsidR="00BC6329">
        <w:t xml:space="preserve">. </w:t>
      </w:r>
    </w:p>
    <w:p w14:paraId="32404CC3" w14:textId="614D9772" w:rsidR="00F26EB2" w:rsidRPr="00B91307" w:rsidRDefault="00B1247F" w:rsidP="00F26EB2">
      <w:pPr>
        <w:pStyle w:val="Paragraph"/>
      </w:pPr>
      <w:r>
        <w:t>T</w:t>
      </w:r>
      <w:r w:rsidR="0064782B" w:rsidRPr="0064782B">
        <w:t>he proposed</w:t>
      </w:r>
      <w:r w:rsidR="0064782B" w:rsidRPr="0064782B" w:rsidDel="00136F77">
        <w:t xml:space="preserve"> </w:t>
      </w:r>
      <w:r w:rsidR="0064782B" w:rsidRPr="0064782B">
        <w:t>TWA</w:t>
      </w:r>
      <w:r w:rsidR="0064782B" w:rsidRPr="0064782B" w:rsidDel="00F61D0B">
        <w:t xml:space="preserve"> </w:t>
      </w:r>
      <w:r w:rsidR="00DE5418" w:rsidRPr="00DE5418">
        <w:t>of 0.2 ppm (0.38 mg/m</w:t>
      </w:r>
      <w:r w:rsidR="00DE5418" w:rsidRPr="00F26EB2">
        <w:rPr>
          <w:vertAlign w:val="superscript"/>
        </w:rPr>
        <w:t>3</w:t>
      </w:r>
      <w:r w:rsidR="00DE5418" w:rsidRPr="00DE5418">
        <w:t xml:space="preserve">) for </w:t>
      </w:r>
      <w:r w:rsidR="00DE5418">
        <w:t>nitrogen dioxide</w:t>
      </w:r>
      <w:r w:rsidR="0064782B" w:rsidRPr="0064782B">
        <w:t xml:space="preserve"> </w:t>
      </w:r>
      <w:r>
        <w:t xml:space="preserve">was determined in accordance </w:t>
      </w:r>
      <w:r w:rsidR="00473C8E">
        <w:t>with</w:t>
      </w:r>
      <w:r w:rsidR="0064782B" w:rsidRPr="0064782B">
        <w:t xml:space="preserve"> the health-based methodology </w:t>
      </w:r>
      <w:r w:rsidR="00473C8E">
        <w:t xml:space="preserve">agreed by </w:t>
      </w:r>
      <w:r w:rsidR="0064782B" w:rsidRPr="0064782B">
        <w:t>WHS ministers (and which relied on the scientific evidence available at the time of the review</w:t>
      </w:r>
      <w:r w:rsidR="00E86032">
        <w:t xml:space="preserve"> from trusted international and </w:t>
      </w:r>
      <w:r w:rsidR="00E86032" w:rsidRPr="00B91307">
        <w:t>national sources</w:t>
      </w:r>
      <w:r w:rsidR="0064782B" w:rsidRPr="00B91307">
        <w:t>)</w:t>
      </w:r>
      <w:r w:rsidR="00E86032" w:rsidRPr="00B91307">
        <w:t>.</w:t>
      </w:r>
      <w:r w:rsidR="0064782B" w:rsidRPr="00B91307">
        <w:t xml:space="preserve"> </w:t>
      </w:r>
    </w:p>
    <w:p w14:paraId="0D6EDA30" w14:textId="07432F2C" w:rsidR="00277C6C" w:rsidRPr="00B91307" w:rsidRDefault="00277C6C" w:rsidP="00F26EB2">
      <w:pPr>
        <w:pStyle w:val="Paragraph"/>
      </w:pPr>
      <w:r w:rsidRPr="00B91307">
        <w:rPr>
          <w:rFonts w:eastAsiaTheme="minorHAnsi"/>
          <w:lang w:eastAsia="en-US"/>
        </w:rPr>
        <w:t xml:space="preserve">The </w:t>
      </w:r>
      <w:r w:rsidRPr="00B91307">
        <w:t>evaluation</w:t>
      </w:r>
      <w:r w:rsidRPr="00B91307">
        <w:rPr>
          <w:rFonts w:eastAsiaTheme="minorHAnsi"/>
          <w:lang w:eastAsia="en-US"/>
        </w:rPr>
        <w:t xml:space="preserve"> for nitrogen dioxide</w:t>
      </w:r>
      <w:r w:rsidRPr="00B91307">
        <w:rPr>
          <w:rStyle w:val="FootnoteReference"/>
          <w:rFonts w:eastAsiaTheme="minorHAnsi"/>
          <w:lang w:eastAsia="en-US"/>
        </w:rPr>
        <w:footnoteReference w:id="219"/>
      </w:r>
      <w:r w:rsidRPr="00B91307">
        <w:rPr>
          <w:rFonts w:eastAsiaTheme="minorHAnsi"/>
          <w:lang w:eastAsia="en-US"/>
        </w:rPr>
        <w:t xml:space="preserve"> </w:t>
      </w:r>
      <w:r w:rsidRPr="00B91307">
        <w:t xml:space="preserve">employed a weight of evidence approach, considering information from </w:t>
      </w:r>
      <w:r w:rsidR="00142D7B" w:rsidRPr="00B91307">
        <w:t xml:space="preserve">multiple </w:t>
      </w:r>
      <w:r w:rsidRPr="00B91307">
        <w:t>agreed primary sources</w:t>
      </w:r>
      <w:sdt>
        <w:sdtPr>
          <w:id w:val="440042309"/>
          <w:citation/>
        </w:sdtPr>
        <w:sdtEndPr/>
        <w:sdtContent>
          <w:r w:rsidRPr="00B91307">
            <w:fldChar w:fldCharType="begin"/>
          </w:r>
          <w:r w:rsidRPr="00B91307">
            <w:instrText xml:space="preserve"> CITATION Saf181 \l 3081 </w:instrText>
          </w:r>
          <w:r w:rsidRPr="00B91307">
            <w:fldChar w:fldCharType="separate"/>
          </w:r>
          <w:r w:rsidR="00490B21">
            <w:rPr>
              <w:noProof/>
            </w:rPr>
            <w:t xml:space="preserve"> (Safe Work Australia, 2018)</w:t>
          </w:r>
          <w:r w:rsidRPr="00B91307">
            <w:fldChar w:fldCharType="end"/>
          </w:r>
        </w:sdtContent>
      </w:sdt>
      <w:r w:rsidRPr="00B91307">
        <w:rPr>
          <w:rFonts w:eastAsiaTheme="minorHAnsi"/>
          <w:lang w:eastAsia="en-US"/>
        </w:rPr>
        <w:t>.</w:t>
      </w:r>
    </w:p>
    <w:p w14:paraId="3B16FC82" w14:textId="510064CD" w:rsidR="00EE4F04" w:rsidRPr="00B91307" w:rsidRDefault="00E86032" w:rsidP="00FD2D30">
      <w:pPr>
        <w:pStyle w:val="SWAHeading4"/>
      </w:pPr>
      <w:r w:rsidRPr="00B91307">
        <w:rPr>
          <w:rStyle w:val="CommentReference"/>
          <w:sz w:val="24"/>
          <w:szCs w:val="24"/>
        </w:rPr>
        <w:t>I</w:t>
      </w:r>
      <w:r w:rsidR="00EC0239" w:rsidRPr="00B91307">
        <w:t>nternational precedent</w:t>
      </w:r>
    </w:p>
    <w:p w14:paraId="022FD899" w14:textId="3BCD3B45" w:rsidR="002B635E" w:rsidRPr="00B91307" w:rsidRDefault="00082CC3" w:rsidP="00A0366D">
      <w:pPr>
        <w:pStyle w:val="Paragraph"/>
        <w:keepNext w:val="0"/>
        <w:rPr>
          <w:rFonts w:eastAsiaTheme="minorHAnsi"/>
          <w:lang w:eastAsia="en-US"/>
        </w:rPr>
      </w:pPr>
      <w:r w:rsidRPr="00B91307">
        <w:rPr>
          <w:lang w:eastAsia="en-US"/>
        </w:rPr>
        <w:t>The proposed</w:t>
      </w:r>
      <w:r w:rsidRPr="00B91307" w:rsidDel="002A7601">
        <w:rPr>
          <w:lang w:eastAsia="en-US"/>
        </w:rPr>
        <w:t xml:space="preserve"> </w:t>
      </w:r>
      <w:r w:rsidR="002A7601" w:rsidRPr="00B91307">
        <w:rPr>
          <w:lang w:eastAsia="en-US"/>
        </w:rPr>
        <w:t xml:space="preserve">TWA </w:t>
      </w:r>
      <w:r w:rsidRPr="00B91307">
        <w:rPr>
          <w:lang w:eastAsia="en-US"/>
        </w:rPr>
        <w:t xml:space="preserve">for nitrogen dioxide </w:t>
      </w:r>
      <w:r w:rsidR="002B635E" w:rsidRPr="00B91307">
        <w:rPr>
          <w:lang w:eastAsia="en-US"/>
        </w:rPr>
        <w:t xml:space="preserve">is consistent with that </w:t>
      </w:r>
      <w:r w:rsidRPr="00B91307">
        <w:rPr>
          <w:lang w:eastAsia="en-US"/>
        </w:rPr>
        <w:t>recommended by the A</w:t>
      </w:r>
      <w:r w:rsidR="000F0E18" w:rsidRPr="00B91307">
        <w:rPr>
          <w:lang w:eastAsia="en-US"/>
        </w:rPr>
        <w:t xml:space="preserve">merican </w:t>
      </w:r>
      <w:r w:rsidRPr="00B91307">
        <w:rPr>
          <w:lang w:eastAsia="en-US"/>
        </w:rPr>
        <w:t>C</w:t>
      </w:r>
      <w:r w:rsidR="007B1FD2" w:rsidRPr="00B91307">
        <w:rPr>
          <w:lang w:eastAsia="en-US"/>
        </w:rPr>
        <w:t xml:space="preserve">onference of </w:t>
      </w:r>
      <w:r w:rsidRPr="00B91307">
        <w:rPr>
          <w:lang w:eastAsia="en-US"/>
        </w:rPr>
        <w:t>G</w:t>
      </w:r>
      <w:r w:rsidR="007B1FD2" w:rsidRPr="00B91307">
        <w:rPr>
          <w:lang w:eastAsia="en-US"/>
        </w:rPr>
        <w:t xml:space="preserve">overnmental </w:t>
      </w:r>
      <w:r w:rsidRPr="00B91307">
        <w:rPr>
          <w:lang w:eastAsia="en-US"/>
        </w:rPr>
        <w:t>I</w:t>
      </w:r>
      <w:r w:rsidR="007B1FD2" w:rsidRPr="00B91307">
        <w:rPr>
          <w:lang w:eastAsia="en-US"/>
        </w:rPr>
        <w:t>ndustrial Hygienists (ACGIH)</w:t>
      </w:r>
      <w:r w:rsidR="00B1310B" w:rsidRPr="00B91307">
        <w:rPr>
          <w:lang w:eastAsia="en-US"/>
        </w:rPr>
        <w:t xml:space="preserve"> and the </w:t>
      </w:r>
      <w:r w:rsidR="00B1310B" w:rsidRPr="00B91307">
        <w:t>Health Council of the Netherlands (HCOTN)</w:t>
      </w:r>
      <w:r w:rsidR="00A91505" w:rsidRPr="00B91307">
        <w:rPr>
          <w:rStyle w:val="FootnoteReference"/>
        </w:rPr>
        <w:footnoteReference w:id="220"/>
      </w:r>
      <w:r w:rsidR="002A7601" w:rsidRPr="00B91307">
        <w:t xml:space="preserve"> </w:t>
      </w:r>
      <w:sdt>
        <w:sdtPr>
          <w:id w:val="-1778786629"/>
          <w:citation/>
        </w:sdtPr>
        <w:sdtEndPr/>
        <w:sdtContent>
          <w:r w:rsidR="00CC0CA7" w:rsidRPr="00B91307">
            <w:fldChar w:fldCharType="begin"/>
          </w:r>
          <w:r w:rsidR="00E67A19" w:rsidRPr="00B91307">
            <w:instrText xml:space="preserve">CITATION Amend2 \m Hea041 \l 3081 </w:instrText>
          </w:r>
          <w:r w:rsidR="00CC0CA7" w:rsidRPr="00B91307">
            <w:fldChar w:fldCharType="separate"/>
          </w:r>
          <w:r w:rsidR="00490B21">
            <w:rPr>
              <w:noProof/>
            </w:rPr>
            <w:t>(American Conference of Govermental Industrial Hygienists (ACGIH), n.d.; Health Council of the Netherlands (HCOTN), 2004)</w:t>
          </w:r>
          <w:r w:rsidR="00CC0CA7" w:rsidRPr="00B91307">
            <w:fldChar w:fldCharType="end"/>
          </w:r>
        </w:sdtContent>
      </w:sdt>
      <w:r w:rsidR="00B1310B" w:rsidRPr="00B91307">
        <w:t>.</w:t>
      </w:r>
      <w:r w:rsidR="00271B8B" w:rsidRPr="00B91307">
        <w:rPr>
          <w:rFonts w:eastAsiaTheme="minorHAnsi"/>
          <w:lang w:eastAsia="en-US"/>
        </w:rPr>
        <w:t xml:space="preserve"> </w:t>
      </w:r>
    </w:p>
    <w:p w14:paraId="32443345" w14:textId="3F634B0A" w:rsidR="00BC656F" w:rsidRPr="00B91307" w:rsidRDefault="005E0237" w:rsidP="00A0366D">
      <w:pPr>
        <w:pStyle w:val="Paragraph"/>
        <w:keepNext w:val="0"/>
        <w:rPr>
          <w:rFonts w:eastAsiaTheme="minorHAnsi"/>
          <w:lang w:eastAsia="en-US"/>
        </w:rPr>
      </w:pPr>
      <w:r w:rsidRPr="00B91307">
        <w:lastRenderedPageBreak/>
        <w:t xml:space="preserve">Both ACGIH and HCOTN were </w:t>
      </w:r>
      <w:r w:rsidR="002B635E" w:rsidRPr="00B91307">
        <w:t xml:space="preserve">selected as </w:t>
      </w:r>
      <w:r w:rsidRPr="00B91307">
        <w:t>primary sources</w:t>
      </w:r>
      <w:r w:rsidR="002B635E" w:rsidRPr="00B91307">
        <w:t xml:space="preserve"> </w:t>
      </w:r>
      <w:r w:rsidR="002B635E" w:rsidRPr="00B91307">
        <w:rPr>
          <w:rFonts w:cs="Arial"/>
        </w:rPr>
        <w:t xml:space="preserve">as they have international credibility, develop standards through consensus that are health-based and based on evaluation of appropriate data, and their documentation of evaluations is accessible and robust </w:t>
      </w:r>
      <w:sdt>
        <w:sdtPr>
          <w:id w:val="-159086398"/>
          <w:citation/>
        </w:sdtPr>
        <w:sdtEndPr/>
        <w:sdtContent>
          <w:r w:rsidR="002B635E" w:rsidRPr="00B91307">
            <w:fldChar w:fldCharType="begin"/>
          </w:r>
          <w:r w:rsidR="002B635E" w:rsidRPr="00B91307">
            <w:instrText xml:space="preserve"> CITATION Saf181 \l 3081 </w:instrText>
          </w:r>
          <w:r w:rsidR="002B635E" w:rsidRPr="00B91307">
            <w:fldChar w:fldCharType="separate"/>
          </w:r>
          <w:r w:rsidR="00490B21">
            <w:rPr>
              <w:noProof/>
            </w:rPr>
            <w:t>(Safe Work Australia, 2018)</w:t>
          </w:r>
          <w:r w:rsidR="002B635E" w:rsidRPr="00B91307">
            <w:fldChar w:fldCharType="end"/>
          </w:r>
        </w:sdtContent>
      </w:sdt>
      <w:r w:rsidRPr="00B91307">
        <w:rPr>
          <w:rFonts w:cs="Arial"/>
        </w:rPr>
        <w:t>.</w:t>
      </w:r>
    </w:p>
    <w:p w14:paraId="01E63CEC" w14:textId="68FC0CCE" w:rsidR="00271B8B" w:rsidRPr="00B91307" w:rsidRDefault="00271B8B" w:rsidP="00271B8B">
      <w:pPr>
        <w:pStyle w:val="Paragraph"/>
      </w:pPr>
      <w:r w:rsidRPr="00B91307">
        <w:t xml:space="preserve">ACGIH’s recommendations are intended for occupational hygienists to assist in the control of health hazards and </w:t>
      </w:r>
      <w:r w:rsidR="007D75DA" w:rsidRPr="00B91307">
        <w:t xml:space="preserve">are </w:t>
      </w:r>
      <w:r w:rsidRPr="00B91307">
        <w:t xml:space="preserve">not </w:t>
      </w:r>
      <w:r w:rsidR="007D75DA" w:rsidRPr="00B91307">
        <w:t>set as</w:t>
      </w:r>
      <w:r w:rsidRPr="00B91307">
        <w:t xml:space="preserve"> legal exposure limits </w:t>
      </w:r>
      <w:sdt>
        <w:sdtPr>
          <w:id w:val="-1779636146"/>
          <w:citation/>
        </w:sdtPr>
        <w:sdtEndPr/>
        <w:sdtContent>
          <w:r w:rsidRPr="00B91307">
            <w:fldChar w:fldCharType="begin"/>
          </w:r>
          <w:r w:rsidRPr="00B91307">
            <w:instrText xml:space="preserve">CITATION Ame88 \l 3081 </w:instrText>
          </w:r>
          <w:r w:rsidRPr="00B91307">
            <w:fldChar w:fldCharType="separate"/>
          </w:r>
          <w:r w:rsidR="00490B21">
            <w:rPr>
              <w:noProof/>
            </w:rPr>
            <w:t>(ACGIH, 1988)</w:t>
          </w:r>
          <w:r w:rsidRPr="00B91307">
            <w:fldChar w:fldCharType="end"/>
          </w:r>
        </w:sdtContent>
      </w:sdt>
      <w:r w:rsidR="00D901DE" w:rsidRPr="00B91307">
        <w:t xml:space="preserve">, while </w:t>
      </w:r>
      <w:r w:rsidRPr="00B91307">
        <w:t>HCOTN’s recommendations are used as a basis to set legally binding occupational exposure limits in the Netherlands</w:t>
      </w:r>
      <w:r w:rsidR="006F2453" w:rsidRPr="00B91307">
        <w:t xml:space="preserve"> </w:t>
      </w:r>
      <w:sdt>
        <w:sdtPr>
          <w:id w:val="730038524"/>
          <w:citation/>
        </w:sdtPr>
        <w:sdtEndPr/>
        <w:sdtContent>
          <w:r w:rsidR="006F2453" w:rsidRPr="00B91307">
            <w:fldChar w:fldCharType="begin"/>
          </w:r>
          <w:r w:rsidR="006F2453" w:rsidRPr="00B91307">
            <w:instrText xml:space="preserve"> CITATION Hea21 \l 3081 </w:instrText>
          </w:r>
          <w:r w:rsidR="006F2453" w:rsidRPr="00B91307">
            <w:fldChar w:fldCharType="separate"/>
          </w:r>
          <w:r w:rsidR="00490B21">
            <w:rPr>
              <w:noProof/>
            </w:rPr>
            <w:t>(Health Council of the Netherlands, 2021)</w:t>
          </w:r>
          <w:r w:rsidR="006F2453" w:rsidRPr="00B91307">
            <w:fldChar w:fldCharType="end"/>
          </w:r>
        </w:sdtContent>
      </w:sdt>
      <w:r w:rsidRPr="00B91307">
        <w:t xml:space="preserve">. </w:t>
      </w:r>
    </w:p>
    <w:p w14:paraId="7E343E9B" w14:textId="43C847DA" w:rsidR="00FA3FDF" w:rsidRDefault="00FA3FDF" w:rsidP="00CB46EE">
      <w:pPr>
        <w:pStyle w:val="SWAHeading4"/>
        <w:keepNext/>
      </w:pPr>
      <w:r>
        <w:t>Quantifi</w:t>
      </w:r>
      <w:r w:rsidR="00272DFD">
        <w:t>able</w:t>
      </w:r>
      <w:r>
        <w:t xml:space="preserve"> health benefits of the proposed WEL for nitrogen dioxide</w:t>
      </w:r>
    </w:p>
    <w:p w14:paraId="4365D96A" w14:textId="47039D58" w:rsidR="006E054E" w:rsidRDefault="00272DFD" w:rsidP="00321D31">
      <w:pPr>
        <w:pStyle w:val="Paragraph"/>
        <w:rPr>
          <w:lang w:eastAsia="en-US"/>
        </w:rPr>
      </w:pPr>
      <w:r>
        <w:rPr>
          <w:lang w:eastAsia="en-US"/>
        </w:rPr>
        <w:t>H</w:t>
      </w:r>
      <w:r w:rsidR="005E2277">
        <w:rPr>
          <w:lang w:eastAsia="en-US"/>
        </w:rPr>
        <w:t xml:space="preserve">ealth benefits </w:t>
      </w:r>
      <w:r w:rsidR="008F31D0">
        <w:rPr>
          <w:lang w:eastAsia="en-US"/>
        </w:rPr>
        <w:t xml:space="preserve">were not </w:t>
      </w:r>
      <w:r>
        <w:rPr>
          <w:lang w:eastAsia="en-US"/>
        </w:rPr>
        <w:t xml:space="preserve">able to be quantified </w:t>
      </w:r>
      <w:r w:rsidR="008F31D0">
        <w:rPr>
          <w:lang w:eastAsia="en-US"/>
        </w:rPr>
        <w:t xml:space="preserve">for nitrogen dioxide. </w:t>
      </w:r>
      <w:r w:rsidR="00442E8F" w:rsidRPr="00993B73">
        <w:t xml:space="preserve">This is because no estimates of the current burden of disease attributable to workplace exposure to </w:t>
      </w:r>
      <w:r w:rsidR="00442E8F">
        <w:t>nitrogen dioxide</w:t>
      </w:r>
      <w:r w:rsidR="00442E8F" w:rsidRPr="00993B73">
        <w:t xml:space="preserve"> were </w:t>
      </w:r>
      <w:r w:rsidR="00155FEC">
        <w:t>able to be</w:t>
      </w:r>
      <w:r w:rsidR="00442E8F" w:rsidRPr="00993B73">
        <w:t xml:space="preserve"> identified through research or stakeholder engagement. </w:t>
      </w:r>
      <w:r w:rsidR="00442E8F" w:rsidRPr="003723DA">
        <w:t xml:space="preserve"> </w:t>
      </w:r>
    </w:p>
    <w:p w14:paraId="0C7A9A53" w14:textId="65CB3415" w:rsidR="00FA3FDF" w:rsidRDefault="00EC2FFC" w:rsidP="0070656F">
      <w:pPr>
        <w:pStyle w:val="Paragraph"/>
        <w:rPr>
          <w:lang w:eastAsia="en-US"/>
        </w:rPr>
      </w:pPr>
      <w:r>
        <w:rPr>
          <w:lang w:eastAsia="en-US"/>
        </w:rPr>
        <w:t xml:space="preserve">However, a lack of data does not mean </w:t>
      </w:r>
      <w:r w:rsidR="00A319BC">
        <w:rPr>
          <w:lang w:eastAsia="en-US"/>
        </w:rPr>
        <w:t xml:space="preserve">that the introduction of the proposed WEL will not result in health benefits for workers. </w:t>
      </w:r>
      <w:r w:rsidR="002B2C84">
        <w:rPr>
          <w:lang w:eastAsia="en-US"/>
        </w:rPr>
        <w:t xml:space="preserve">As the health evidence has shown, the proposed WEL is set at a level </w:t>
      </w:r>
      <w:r w:rsidR="00571C3B">
        <w:rPr>
          <w:lang w:eastAsia="en-US"/>
        </w:rPr>
        <w:t xml:space="preserve">that </w:t>
      </w:r>
      <w:r w:rsidR="00F37E4D">
        <w:rPr>
          <w:lang w:eastAsia="en-US"/>
        </w:rPr>
        <w:t xml:space="preserve">is considered protective of </w:t>
      </w:r>
      <w:r w:rsidR="00F37E4D" w:rsidRPr="00F37E4D">
        <w:rPr>
          <w:lang w:eastAsia="en-US"/>
        </w:rPr>
        <w:t>lower respiratory tract irritation and tissue damage</w:t>
      </w:r>
      <w:r w:rsidR="00214395">
        <w:rPr>
          <w:lang w:eastAsia="en-US"/>
        </w:rPr>
        <w:t xml:space="preserve">. </w:t>
      </w:r>
    </w:p>
    <w:p w14:paraId="5B418930" w14:textId="79231A4F" w:rsidR="0003422D" w:rsidRDefault="009D4590" w:rsidP="0070656F">
      <w:pPr>
        <w:pStyle w:val="Paragraph"/>
        <w:rPr>
          <w:lang w:eastAsia="en-US"/>
        </w:rPr>
      </w:pPr>
      <w:r>
        <w:rPr>
          <w:lang w:eastAsia="en-US"/>
        </w:rPr>
        <w:t xml:space="preserve">These </w:t>
      </w:r>
      <w:r w:rsidR="0070656F">
        <w:rPr>
          <w:lang w:eastAsia="en-US"/>
        </w:rPr>
        <w:t xml:space="preserve">adverse health effects </w:t>
      </w:r>
      <w:r>
        <w:rPr>
          <w:lang w:eastAsia="en-US"/>
        </w:rPr>
        <w:t xml:space="preserve">can </w:t>
      </w:r>
      <w:r w:rsidR="0070656F">
        <w:rPr>
          <w:lang w:eastAsia="en-US"/>
        </w:rPr>
        <w:t>progress int</w:t>
      </w:r>
      <w:r>
        <w:rPr>
          <w:lang w:eastAsia="en-US"/>
        </w:rPr>
        <w:t>o</w:t>
      </w:r>
      <w:r w:rsidR="0070656F">
        <w:rPr>
          <w:lang w:eastAsia="en-US"/>
        </w:rPr>
        <w:t xml:space="preserve"> </w:t>
      </w:r>
      <w:r w:rsidR="00641F0F">
        <w:rPr>
          <w:lang w:eastAsia="en-US"/>
        </w:rPr>
        <w:t>oe</w:t>
      </w:r>
      <w:r w:rsidR="00834242">
        <w:rPr>
          <w:lang w:eastAsia="en-US"/>
        </w:rPr>
        <w:t>dema (</w:t>
      </w:r>
      <w:r>
        <w:rPr>
          <w:lang w:eastAsia="en-US"/>
        </w:rPr>
        <w:t>fluid buildup</w:t>
      </w:r>
      <w:r w:rsidR="00641F0F">
        <w:rPr>
          <w:lang w:eastAsia="en-US"/>
        </w:rPr>
        <w:t>)</w:t>
      </w:r>
      <w:r>
        <w:rPr>
          <w:lang w:eastAsia="en-US"/>
        </w:rPr>
        <w:t xml:space="preserve"> in the lungs</w:t>
      </w:r>
      <w:r w:rsidR="00641F0F">
        <w:rPr>
          <w:lang w:eastAsia="en-US"/>
        </w:rPr>
        <w:t>,</w:t>
      </w:r>
      <w:r w:rsidR="0070656F">
        <w:rPr>
          <w:lang w:eastAsia="en-US"/>
        </w:rPr>
        <w:t xml:space="preserve"> </w:t>
      </w:r>
      <w:r w:rsidR="00641F0F">
        <w:rPr>
          <w:lang w:eastAsia="en-US"/>
        </w:rPr>
        <w:t>b</w:t>
      </w:r>
      <w:r w:rsidR="00641F0F" w:rsidRPr="00641F0F">
        <w:rPr>
          <w:lang w:eastAsia="en-US"/>
        </w:rPr>
        <w:t>ronchiolitis obliterans</w:t>
      </w:r>
      <w:r w:rsidR="00641F0F">
        <w:rPr>
          <w:lang w:eastAsia="en-US"/>
        </w:rPr>
        <w:t xml:space="preserve"> (chronic inflammation and scarring </w:t>
      </w:r>
      <w:r w:rsidR="00860B1C">
        <w:rPr>
          <w:lang w:eastAsia="en-US"/>
        </w:rPr>
        <w:t xml:space="preserve">in the small airways of the lungs, which causes narrowing and </w:t>
      </w:r>
      <w:r w:rsidR="0003422D">
        <w:rPr>
          <w:lang w:eastAsia="en-US"/>
        </w:rPr>
        <w:t xml:space="preserve">obstruction in the lungs), and </w:t>
      </w:r>
      <w:r w:rsidR="001458AD" w:rsidRPr="001458AD">
        <w:rPr>
          <w:lang w:eastAsia="en-US"/>
        </w:rPr>
        <w:t>pneumonia</w:t>
      </w:r>
      <w:r w:rsidR="001458AD">
        <w:rPr>
          <w:lang w:eastAsia="en-US"/>
        </w:rPr>
        <w:t xml:space="preserve"> </w:t>
      </w:r>
      <w:sdt>
        <w:sdtPr>
          <w:rPr>
            <w:lang w:eastAsia="en-US"/>
          </w:rPr>
          <w:id w:val="-816653431"/>
          <w:citation/>
        </w:sdtPr>
        <w:sdtEndPr/>
        <w:sdtContent>
          <w:r w:rsidR="001458AD">
            <w:rPr>
              <w:lang w:eastAsia="en-US"/>
            </w:rPr>
            <w:fldChar w:fldCharType="begin"/>
          </w:r>
          <w:r w:rsidR="001458AD">
            <w:rPr>
              <w:lang w:eastAsia="en-US"/>
            </w:rPr>
            <w:instrText xml:space="preserve"> CITATION Hea04 \l 3081 </w:instrText>
          </w:r>
          <w:r w:rsidR="001458AD">
            <w:rPr>
              <w:lang w:eastAsia="en-US"/>
            </w:rPr>
            <w:fldChar w:fldCharType="separate"/>
          </w:r>
          <w:r w:rsidR="00490B21">
            <w:rPr>
              <w:noProof/>
              <w:lang w:eastAsia="en-US"/>
            </w:rPr>
            <w:t>(Health Council of The Netherlands, 2004)</w:t>
          </w:r>
          <w:r w:rsidR="001458AD">
            <w:rPr>
              <w:lang w:eastAsia="en-US"/>
            </w:rPr>
            <w:fldChar w:fldCharType="end"/>
          </w:r>
        </w:sdtContent>
      </w:sdt>
      <w:r w:rsidR="002F4F30">
        <w:rPr>
          <w:lang w:eastAsia="en-US"/>
        </w:rPr>
        <w:t xml:space="preserve">. </w:t>
      </w:r>
    </w:p>
    <w:p w14:paraId="6B1189CD" w14:textId="44B3A853" w:rsidR="00730034" w:rsidRDefault="005E5108" w:rsidP="005E5108">
      <w:pPr>
        <w:pStyle w:val="SWAHeading4"/>
        <w:spacing w:before="240"/>
      </w:pPr>
      <w:r>
        <w:t>A</w:t>
      </w:r>
      <w:r w:rsidR="00730034">
        <w:t>dverse health effects associated with nitrogen dioxide</w:t>
      </w:r>
    </w:p>
    <w:p w14:paraId="10191114" w14:textId="5ACA907C" w:rsidR="0009611F" w:rsidRDefault="008261E8" w:rsidP="00321D31">
      <w:pPr>
        <w:pStyle w:val="Paragraph"/>
        <w:rPr>
          <w:lang w:eastAsia="en-US"/>
        </w:rPr>
      </w:pPr>
      <w:r>
        <w:rPr>
          <w:lang w:eastAsia="en-US"/>
        </w:rPr>
        <w:t xml:space="preserve">The WES review methodology states </w:t>
      </w:r>
      <w:r w:rsidR="00E15051">
        <w:rPr>
          <w:lang w:eastAsia="en-US"/>
        </w:rPr>
        <w:t>that protecting workers from the critical health effect</w:t>
      </w:r>
      <w:r w:rsidR="00991409">
        <w:rPr>
          <w:lang w:eastAsia="en-US"/>
        </w:rPr>
        <w:t>s</w:t>
      </w:r>
      <w:r w:rsidR="00E15051">
        <w:rPr>
          <w:lang w:eastAsia="en-US"/>
        </w:rPr>
        <w:t xml:space="preserve"> </w:t>
      </w:r>
      <w:r w:rsidR="00991409">
        <w:rPr>
          <w:lang w:eastAsia="en-US"/>
        </w:rPr>
        <w:t>of</w:t>
      </w:r>
      <w:r w:rsidR="00E15051">
        <w:rPr>
          <w:lang w:eastAsia="en-US"/>
        </w:rPr>
        <w:t xml:space="preserve"> nitrogen dioxide can also protect workers from other adverse health effects </w:t>
      </w:r>
      <w:sdt>
        <w:sdtPr>
          <w:rPr>
            <w:lang w:eastAsia="en-US"/>
          </w:rPr>
          <w:id w:val="-1847402571"/>
          <w:citation/>
        </w:sdtPr>
        <w:sdtEndPr/>
        <w:sdtContent>
          <w:r w:rsidR="00BB60C7">
            <w:rPr>
              <w:lang w:eastAsia="en-US"/>
            </w:rPr>
            <w:fldChar w:fldCharType="begin"/>
          </w:r>
          <w:r w:rsidR="00BB60C7">
            <w:rPr>
              <w:lang w:eastAsia="en-US"/>
            </w:rPr>
            <w:instrText xml:space="preserve"> CITATION Saf18 \l 3081 </w:instrText>
          </w:r>
          <w:r w:rsidR="00BB60C7">
            <w:rPr>
              <w:lang w:eastAsia="en-US"/>
            </w:rPr>
            <w:fldChar w:fldCharType="separate"/>
          </w:r>
          <w:r w:rsidR="00490B21">
            <w:rPr>
              <w:noProof/>
              <w:lang w:eastAsia="en-US"/>
            </w:rPr>
            <w:t>(Safe Work Australia, 2018)</w:t>
          </w:r>
          <w:r w:rsidR="00BB60C7">
            <w:rPr>
              <w:lang w:eastAsia="en-US"/>
            </w:rPr>
            <w:fldChar w:fldCharType="end"/>
          </w:r>
        </w:sdtContent>
      </w:sdt>
      <w:r w:rsidR="00E15051">
        <w:rPr>
          <w:lang w:eastAsia="en-US"/>
        </w:rPr>
        <w:t xml:space="preserve">. </w:t>
      </w:r>
      <w:r w:rsidR="00056783">
        <w:rPr>
          <w:lang w:eastAsia="en-US"/>
        </w:rPr>
        <w:t>Additional adverse health effects that the proposed WEL for n</w:t>
      </w:r>
      <w:r w:rsidR="004E7D69">
        <w:rPr>
          <w:lang w:eastAsia="en-US"/>
        </w:rPr>
        <w:t xml:space="preserve">itrogen </w:t>
      </w:r>
      <w:r w:rsidR="004E7D69" w:rsidDel="00056783">
        <w:rPr>
          <w:lang w:eastAsia="en-US"/>
        </w:rPr>
        <w:t>d</w:t>
      </w:r>
      <w:r w:rsidR="004E7D69">
        <w:rPr>
          <w:lang w:eastAsia="en-US"/>
        </w:rPr>
        <w:t>ioxide</w:t>
      </w:r>
      <w:r w:rsidR="00056783">
        <w:rPr>
          <w:lang w:eastAsia="en-US"/>
        </w:rPr>
        <w:t xml:space="preserve"> can protect workers from </w:t>
      </w:r>
      <w:r w:rsidR="0009611F">
        <w:rPr>
          <w:lang w:eastAsia="en-US"/>
        </w:rPr>
        <w:t>include:</w:t>
      </w:r>
    </w:p>
    <w:p w14:paraId="64ACC63F" w14:textId="5DF65115" w:rsidR="005E5108" w:rsidRDefault="004E7D69" w:rsidP="00A2768E">
      <w:pPr>
        <w:pStyle w:val="Paragraph"/>
        <w:numPr>
          <w:ilvl w:val="0"/>
          <w:numId w:val="84"/>
        </w:numPr>
        <w:rPr>
          <w:lang w:eastAsia="en-US"/>
        </w:rPr>
      </w:pPr>
      <w:r>
        <w:rPr>
          <w:lang w:eastAsia="en-US"/>
        </w:rPr>
        <w:t>eye irritation</w:t>
      </w:r>
      <w:r w:rsidR="001E5B8D">
        <w:rPr>
          <w:lang w:eastAsia="en-US"/>
        </w:rPr>
        <w:t xml:space="preserve"> and </w:t>
      </w:r>
      <w:r w:rsidR="00A07DF3">
        <w:rPr>
          <w:lang w:eastAsia="en-US"/>
        </w:rPr>
        <w:t xml:space="preserve">changes in lung morphology that resembles lung fibrosis </w:t>
      </w:r>
      <w:sdt>
        <w:sdtPr>
          <w:id w:val="841736116"/>
          <w:citation/>
        </w:sdtPr>
        <w:sdtEndPr/>
        <w:sdtContent>
          <w:r w:rsidR="00A07DF3">
            <w:fldChar w:fldCharType="begin"/>
          </w:r>
          <w:r w:rsidR="00A07DF3">
            <w:rPr>
              <w:lang w:eastAsia="en-US"/>
            </w:rPr>
            <w:instrText xml:space="preserve"> CITATION Hea04 \l 3081 </w:instrText>
          </w:r>
          <w:r w:rsidR="00A07DF3">
            <w:fldChar w:fldCharType="separate"/>
          </w:r>
          <w:r w:rsidR="00490B21">
            <w:rPr>
              <w:noProof/>
              <w:lang w:eastAsia="en-US"/>
            </w:rPr>
            <w:t>(Health Council of The Netherlands, 2004)</w:t>
          </w:r>
          <w:r w:rsidR="00A07DF3">
            <w:fldChar w:fldCharType="end"/>
          </w:r>
        </w:sdtContent>
      </w:sdt>
      <w:r w:rsidR="00EF66D0">
        <w:rPr>
          <w:lang w:eastAsia="en-US"/>
        </w:rPr>
        <w:t>,</w:t>
      </w:r>
    </w:p>
    <w:p w14:paraId="3831052B" w14:textId="36D89893" w:rsidR="005E5108" w:rsidRDefault="00203A80" w:rsidP="00A2768E">
      <w:pPr>
        <w:pStyle w:val="Paragraph"/>
        <w:numPr>
          <w:ilvl w:val="0"/>
          <w:numId w:val="84"/>
        </w:numPr>
        <w:rPr>
          <w:lang w:eastAsia="en-US"/>
        </w:rPr>
      </w:pPr>
      <w:r>
        <w:rPr>
          <w:lang w:eastAsia="en-US"/>
        </w:rPr>
        <w:t>other respiratory</w:t>
      </w:r>
      <w:r w:rsidR="002A09EF">
        <w:rPr>
          <w:rStyle w:val="FootnoteReference"/>
          <w:lang w:eastAsia="en-US"/>
        </w:rPr>
        <w:footnoteReference w:id="221"/>
      </w:r>
      <w:r>
        <w:rPr>
          <w:lang w:eastAsia="en-US"/>
        </w:rPr>
        <w:t xml:space="preserve"> and cardiovascular </w:t>
      </w:r>
      <w:r w:rsidR="00FA1AD6">
        <w:rPr>
          <w:lang w:eastAsia="en-US"/>
        </w:rPr>
        <w:t>diseases like chronic obstructive pulmonary disease (COPD) and hypertension</w:t>
      </w:r>
      <w:r w:rsidR="009C2EEC">
        <w:rPr>
          <w:lang w:eastAsia="en-US"/>
        </w:rPr>
        <w:t xml:space="preserve"> </w:t>
      </w:r>
      <w:sdt>
        <w:sdtPr>
          <w:rPr>
            <w:lang w:eastAsia="en-US"/>
          </w:rPr>
          <w:id w:val="-107277173"/>
          <w:citation/>
        </w:sdtPr>
        <w:sdtEndPr/>
        <w:sdtContent>
          <w:r w:rsidR="009C2EEC">
            <w:rPr>
              <w:lang w:eastAsia="en-US"/>
            </w:rPr>
            <w:fldChar w:fldCharType="begin"/>
          </w:r>
          <w:r w:rsidR="009C2EEC">
            <w:rPr>
              <w:lang w:eastAsia="en-US"/>
            </w:rPr>
            <w:instrText xml:space="preserve"> CITATION Sel25 \l 3081 </w:instrText>
          </w:r>
          <w:r w:rsidR="009C2EEC">
            <w:rPr>
              <w:lang w:eastAsia="en-US"/>
            </w:rPr>
            <w:fldChar w:fldCharType="separate"/>
          </w:r>
          <w:r w:rsidR="00490B21">
            <w:rPr>
              <w:noProof/>
              <w:lang w:eastAsia="en-US"/>
            </w:rPr>
            <w:t>(Sell, Plass, Kienzler, &amp; Zeeb, 2025)</w:t>
          </w:r>
          <w:r w:rsidR="009C2EEC">
            <w:rPr>
              <w:lang w:eastAsia="en-US"/>
            </w:rPr>
            <w:fldChar w:fldCharType="end"/>
          </w:r>
        </w:sdtContent>
      </w:sdt>
      <w:r w:rsidR="005E5108">
        <w:rPr>
          <w:lang w:eastAsia="en-US"/>
        </w:rPr>
        <w:t xml:space="preserve">, </w:t>
      </w:r>
    </w:p>
    <w:p w14:paraId="5DD06ECD" w14:textId="0E2E3281" w:rsidR="00EC2FFC" w:rsidRDefault="00123969" w:rsidP="00A2768E">
      <w:pPr>
        <w:pStyle w:val="Paragraph"/>
        <w:numPr>
          <w:ilvl w:val="0"/>
          <w:numId w:val="84"/>
        </w:numPr>
        <w:rPr>
          <w:lang w:eastAsia="en-US"/>
        </w:rPr>
      </w:pPr>
      <w:r w:rsidRPr="00123969">
        <w:rPr>
          <w:lang w:eastAsia="en-US"/>
        </w:rPr>
        <w:t>exacerbat</w:t>
      </w:r>
      <w:r w:rsidR="00493AFB">
        <w:rPr>
          <w:lang w:eastAsia="en-US"/>
        </w:rPr>
        <w:t>ion of</w:t>
      </w:r>
      <w:r>
        <w:rPr>
          <w:lang w:eastAsia="en-US"/>
        </w:rPr>
        <w:t xml:space="preserve"> </w:t>
      </w:r>
      <w:r w:rsidR="0031748C">
        <w:rPr>
          <w:lang w:eastAsia="en-US"/>
        </w:rPr>
        <w:t>pre-existing heart disease</w:t>
      </w:r>
      <w:r>
        <w:rPr>
          <w:lang w:eastAsia="en-US"/>
        </w:rPr>
        <w:t xml:space="preserve"> in workers</w:t>
      </w:r>
      <w:r w:rsidR="00201A4A">
        <w:rPr>
          <w:lang w:eastAsia="en-US"/>
        </w:rPr>
        <w:t xml:space="preserve"> </w:t>
      </w:r>
      <w:sdt>
        <w:sdtPr>
          <w:rPr>
            <w:lang w:eastAsia="en-US"/>
          </w:rPr>
          <w:id w:val="-460573735"/>
          <w:citation/>
        </w:sdtPr>
        <w:sdtEndPr/>
        <w:sdtContent>
          <w:r w:rsidR="00201A4A">
            <w:rPr>
              <w:lang w:eastAsia="en-US"/>
            </w:rPr>
            <w:fldChar w:fldCharType="begin"/>
          </w:r>
          <w:r w:rsidR="00201A4A">
            <w:rPr>
              <w:lang w:eastAsia="en-US"/>
            </w:rPr>
            <w:instrText xml:space="preserve"> CITATION Saf202 \l 3081 </w:instrText>
          </w:r>
          <w:r w:rsidR="00201A4A">
            <w:rPr>
              <w:lang w:eastAsia="en-US"/>
            </w:rPr>
            <w:fldChar w:fldCharType="separate"/>
          </w:r>
          <w:r w:rsidR="00490B21">
            <w:rPr>
              <w:noProof/>
              <w:lang w:eastAsia="en-US"/>
            </w:rPr>
            <w:t>(Safe Work Australia, 2020)</w:t>
          </w:r>
          <w:r w:rsidR="00201A4A">
            <w:rPr>
              <w:lang w:eastAsia="en-US"/>
            </w:rPr>
            <w:fldChar w:fldCharType="end"/>
          </w:r>
        </w:sdtContent>
      </w:sdt>
      <w:r w:rsidR="00B43A1C">
        <w:rPr>
          <w:lang w:eastAsia="en-US"/>
        </w:rPr>
        <w:t xml:space="preserve">. </w:t>
      </w:r>
    </w:p>
    <w:p w14:paraId="131E0C9D" w14:textId="48BF68E3" w:rsidR="00885C54" w:rsidRPr="00460A2F" w:rsidRDefault="00885C54" w:rsidP="00BC0F21">
      <w:pPr>
        <w:pStyle w:val="Paragraph"/>
        <w:rPr>
          <w:lang w:eastAsia="en-US"/>
        </w:rPr>
      </w:pPr>
      <w:r>
        <w:rPr>
          <w:lang w:eastAsia="en-US"/>
        </w:rPr>
        <w:t xml:space="preserve">Safe Work Australia’s </w:t>
      </w:r>
      <w:r w:rsidR="0008266C">
        <w:rPr>
          <w:lang w:eastAsia="en-US"/>
        </w:rPr>
        <w:t xml:space="preserve">List of Deemed Diseases also lists work-related exposures </w:t>
      </w:r>
      <w:r w:rsidR="000151E8">
        <w:rPr>
          <w:lang w:eastAsia="en-US"/>
        </w:rPr>
        <w:t xml:space="preserve">to </w:t>
      </w:r>
      <w:r w:rsidR="0008266C">
        <w:rPr>
          <w:lang w:eastAsia="en-US"/>
        </w:rPr>
        <w:t>oxides of nitrogen</w:t>
      </w:r>
      <w:r w:rsidR="000151E8">
        <w:rPr>
          <w:lang w:eastAsia="en-US"/>
        </w:rPr>
        <w:t xml:space="preserve">, which includes nitrogen dioxide, as a cause for acute poisoning and toxicity </w:t>
      </w:r>
      <w:r w:rsidR="00D842AB">
        <w:rPr>
          <w:lang w:eastAsia="en-US"/>
        </w:rPr>
        <w:t xml:space="preserve">for one or more of the heart, lungs, live, kidney, nervous system and blood </w:t>
      </w:r>
      <w:sdt>
        <w:sdtPr>
          <w:rPr>
            <w:lang w:eastAsia="en-US"/>
          </w:rPr>
          <w:id w:val="973487912"/>
          <w:citation/>
        </w:sdtPr>
        <w:sdtEndPr/>
        <w:sdtContent>
          <w:r w:rsidR="00D842AB">
            <w:rPr>
              <w:lang w:eastAsia="en-US"/>
            </w:rPr>
            <w:fldChar w:fldCharType="begin"/>
          </w:r>
          <w:r w:rsidR="00D842AB">
            <w:rPr>
              <w:lang w:eastAsia="en-US"/>
            </w:rPr>
            <w:instrText xml:space="preserve"> CITATION Saf24 \l 3081 </w:instrText>
          </w:r>
          <w:r w:rsidR="00D842AB">
            <w:rPr>
              <w:lang w:eastAsia="en-US"/>
            </w:rPr>
            <w:fldChar w:fldCharType="separate"/>
          </w:r>
          <w:r w:rsidR="00490B21">
            <w:rPr>
              <w:noProof/>
              <w:lang w:eastAsia="en-US"/>
            </w:rPr>
            <w:t>(Safe Work Australia, 2024)</w:t>
          </w:r>
          <w:r w:rsidR="00D842AB">
            <w:rPr>
              <w:lang w:eastAsia="en-US"/>
            </w:rPr>
            <w:fldChar w:fldCharType="end"/>
          </w:r>
        </w:sdtContent>
      </w:sdt>
      <w:r w:rsidR="00D842AB">
        <w:rPr>
          <w:lang w:eastAsia="en-US"/>
        </w:rPr>
        <w:t xml:space="preserve">. </w:t>
      </w:r>
    </w:p>
    <w:p w14:paraId="2219DAC7" w14:textId="1326D764" w:rsidR="00041E84" w:rsidRDefault="00460A2F" w:rsidP="00041E84">
      <w:pPr>
        <w:pStyle w:val="SWAHeading3"/>
      </w:pPr>
      <w:bookmarkStart w:id="455" w:name="_Toc196204785"/>
      <w:r>
        <w:t xml:space="preserve">Financial benefits of </w:t>
      </w:r>
      <w:r w:rsidR="00F57EC9">
        <w:t>the proposed WEL for nitrogen dioxide</w:t>
      </w:r>
      <w:bookmarkEnd w:id="455"/>
    </w:p>
    <w:p w14:paraId="68DA702F" w14:textId="70B80205" w:rsidR="007B32CD" w:rsidRPr="00A228EA" w:rsidRDefault="007B32CD" w:rsidP="00A228EA">
      <w:pPr>
        <w:pStyle w:val="SWAHeading4"/>
        <w:rPr>
          <w:lang w:eastAsia="en-AU"/>
        </w:rPr>
      </w:pPr>
      <w:r w:rsidRPr="007B32CD">
        <w:t>Quantifi</w:t>
      </w:r>
      <w:r w:rsidR="00272DFD">
        <w:t>able</w:t>
      </w:r>
      <w:r w:rsidRPr="007B32CD">
        <w:t xml:space="preserve"> financial benefits for the proposed WEL for </w:t>
      </w:r>
      <w:r>
        <w:t>nitrogen dioxide</w:t>
      </w:r>
    </w:p>
    <w:p w14:paraId="4F2AF5A1" w14:textId="52127D0B" w:rsidR="00D5203A" w:rsidRDefault="00FF3931" w:rsidP="00460A2F">
      <w:pPr>
        <w:pStyle w:val="Paragraph"/>
        <w:rPr>
          <w:lang w:eastAsia="en-US"/>
        </w:rPr>
      </w:pPr>
      <w:r>
        <w:rPr>
          <w:lang w:eastAsia="en-US"/>
        </w:rPr>
        <w:t>F</w:t>
      </w:r>
      <w:r w:rsidR="00F91847">
        <w:rPr>
          <w:lang w:eastAsia="en-US"/>
        </w:rPr>
        <w:t xml:space="preserve">inancial benefits were not </w:t>
      </w:r>
      <w:r>
        <w:rPr>
          <w:lang w:eastAsia="en-US"/>
        </w:rPr>
        <w:t xml:space="preserve">able to be quantified </w:t>
      </w:r>
      <w:r w:rsidR="00A5141E">
        <w:rPr>
          <w:lang w:eastAsia="en-US"/>
        </w:rPr>
        <w:t xml:space="preserve">for nitrogen dioxide in this analysis. This is due to the lack of workers’ compensation </w:t>
      </w:r>
      <w:r w:rsidR="00BC36DE">
        <w:rPr>
          <w:lang w:eastAsia="en-US"/>
        </w:rPr>
        <w:t xml:space="preserve">claims caused by nitrogen dioxide. </w:t>
      </w:r>
      <w:r w:rsidR="005A62FB" w:rsidRPr="005B49C3">
        <w:rPr>
          <w:lang w:eastAsia="en-US"/>
        </w:rPr>
        <w:t>Noting the adverse health effects that the proposed WEL is based on</w:t>
      </w:r>
      <w:r w:rsidR="005A62FB" w:rsidRPr="005A62FB">
        <w:rPr>
          <w:lang w:eastAsia="en-US"/>
        </w:rPr>
        <w:t xml:space="preserve">, it is possible that occupational illness attributable to workplace exposure for </w:t>
      </w:r>
      <w:r w:rsidR="004E0414">
        <w:rPr>
          <w:lang w:eastAsia="en-US"/>
        </w:rPr>
        <w:t>nitrogen</w:t>
      </w:r>
      <w:r w:rsidR="004E0414" w:rsidRPr="005A62FB">
        <w:rPr>
          <w:lang w:eastAsia="en-US"/>
        </w:rPr>
        <w:t xml:space="preserve"> </w:t>
      </w:r>
      <w:r w:rsidR="005A62FB" w:rsidRPr="005A62FB">
        <w:rPr>
          <w:lang w:eastAsia="en-US"/>
        </w:rPr>
        <w:t xml:space="preserve">dioxide are likely under-represented in </w:t>
      </w:r>
      <w:r w:rsidR="005A62FB" w:rsidRPr="005A62FB">
        <w:rPr>
          <w:lang w:eastAsia="en-US"/>
        </w:rPr>
        <w:lastRenderedPageBreak/>
        <w:t xml:space="preserve">workers’ compensation data, due to difficulties in proving causation, the latency period between occupational exposure and the illness (especially if it develops after the worker has stopped working at the workplace), or an affected worker may not </w:t>
      </w:r>
      <w:r w:rsidR="009C1BFB">
        <w:rPr>
          <w:lang w:eastAsia="en-US"/>
        </w:rPr>
        <w:t>seek</w:t>
      </w:r>
      <w:r w:rsidR="009C1BFB" w:rsidRPr="005A62FB">
        <w:rPr>
          <w:lang w:eastAsia="en-US"/>
        </w:rPr>
        <w:t xml:space="preserve"> </w:t>
      </w:r>
      <w:r w:rsidR="005A62FB" w:rsidRPr="005A62FB">
        <w:rPr>
          <w:lang w:eastAsia="en-US"/>
        </w:rPr>
        <w:t xml:space="preserve">compensation </w:t>
      </w:r>
      <w:r w:rsidR="00067471">
        <w:rPr>
          <w:lang w:eastAsia="en-US"/>
        </w:rPr>
        <w:t>for example</w:t>
      </w:r>
      <w:r w:rsidR="005A62FB" w:rsidRPr="005A62FB">
        <w:rPr>
          <w:lang w:eastAsia="en-US"/>
        </w:rPr>
        <w:t>, thinking they are ineligible or not being aware they are covered</w:t>
      </w:r>
      <w:r w:rsidR="00067471">
        <w:rPr>
          <w:lang w:eastAsia="en-US"/>
        </w:rPr>
        <w:t>)</w:t>
      </w:r>
      <w:r w:rsidR="005A62FB" w:rsidRPr="005A62FB">
        <w:rPr>
          <w:lang w:eastAsia="en-US"/>
        </w:rPr>
        <w:t>.</w:t>
      </w:r>
      <w:r w:rsidR="005A62FB" w:rsidRPr="005B49C3">
        <w:rPr>
          <w:lang w:eastAsia="en-US"/>
        </w:rPr>
        <w:t xml:space="preserve"> </w:t>
      </w:r>
    </w:p>
    <w:p w14:paraId="003F48F1" w14:textId="5FB6426D" w:rsidR="00460A2F" w:rsidDel="00584FF5" w:rsidRDefault="006E5544" w:rsidP="00716CBA">
      <w:pPr>
        <w:pStyle w:val="Paragraph"/>
        <w:rPr>
          <w:lang w:eastAsia="en-US"/>
        </w:rPr>
      </w:pPr>
      <w:r>
        <w:rPr>
          <w:lang w:eastAsia="en-US"/>
        </w:rPr>
        <w:t xml:space="preserve">While </w:t>
      </w:r>
      <w:r w:rsidR="00FE694A">
        <w:rPr>
          <w:lang w:eastAsia="en-US"/>
        </w:rPr>
        <w:t xml:space="preserve">the onset of the respiratory </w:t>
      </w:r>
      <w:r w:rsidR="0050709D">
        <w:rPr>
          <w:lang w:eastAsia="en-US"/>
        </w:rPr>
        <w:t xml:space="preserve">symptoms </w:t>
      </w:r>
      <w:r w:rsidR="007637EE">
        <w:rPr>
          <w:lang w:eastAsia="en-US"/>
        </w:rPr>
        <w:t>occurs</w:t>
      </w:r>
      <w:r w:rsidR="009D2A24">
        <w:rPr>
          <w:lang w:eastAsia="en-US"/>
        </w:rPr>
        <w:t xml:space="preserve"> immediately following inhalation</w:t>
      </w:r>
      <w:r w:rsidR="00716CBA">
        <w:rPr>
          <w:lang w:eastAsia="en-US"/>
        </w:rPr>
        <w:t xml:space="preserve"> of</w:t>
      </w:r>
      <w:r w:rsidR="009D2A24">
        <w:rPr>
          <w:lang w:eastAsia="en-US"/>
        </w:rPr>
        <w:t xml:space="preserve"> </w:t>
      </w:r>
      <w:r w:rsidR="004818AD">
        <w:rPr>
          <w:lang w:eastAsia="en-US"/>
        </w:rPr>
        <w:t xml:space="preserve">nitrogen dioxide, </w:t>
      </w:r>
      <w:r w:rsidR="00716CBA" w:rsidRPr="00E80C2F">
        <w:rPr>
          <w:lang w:eastAsia="en-US"/>
        </w:rPr>
        <w:t xml:space="preserve">bronchiolitis obliterans </w:t>
      </w:r>
      <w:r w:rsidR="00716CBA">
        <w:rPr>
          <w:lang w:eastAsia="en-US"/>
        </w:rPr>
        <w:t xml:space="preserve">(an </w:t>
      </w:r>
      <w:r w:rsidR="004818AD">
        <w:rPr>
          <w:lang w:eastAsia="en-US"/>
        </w:rPr>
        <w:t xml:space="preserve">occupational disease that can </w:t>
      </w:r>
      <w:r w:rsidR="00B010CD">
        <w:rPr>
          <w:lang w:eastAsia="en-US"/>
        </w:rPr>
        <w:t xml:space="preserve">develop from the irritation of the </w:t>
      </w:r>
      <w:r w:rsidR="007E397B">
        <w:rPr>
          <w:lang w:eastAsia="en-US"/>
        </w:rPr>
        <w:t>respiratory</w:t>
      </w:r>
      <w:r w:rsidR="00B010CD">
        <w:rPr>
          <w:lang w:eastAsia="en-US"/>
        </w:rPr>
        <w:t xml:space="preserve"> tract and tissue damage</w:t>
      </w:r>
      <w:r w:rsidR="00716CBA">
        <w:rPr>
          <w:lang w:eastAsia="en-US"/>
        </w:rPr>
        <w:t>)</w:t>
      </w:r>
      <w:r w:rsidR="00E80C2F">
        <w:rPr>
          <w:lang w:eastAsia="en-US"/>
        </w:rPr>
        <w:t xml:space="preserve"> </w:t>
      </w:r>
      <w:r w:rsidR="007E397B">
        <w:rPr>
          <w:lang w:eastAsia="en-US"/>
        </w:rPr>
        <w:t>can occur much later</w:t>
      </w:r>
      <w:r w:rsidR="00AF3BE5">
        <w:rPr>
          <w:lang w:eastAsia="en-US"/>
        </w:rPr>
        <w:t xml:space="preserve">, typically 3 weeks to 3 months (without </w:t>
      </w:r>
      <w:r w:rsidR="00716CBA">
        <w:rPr>
          <w:lang w:eastAsia="en-US"/>
        </w:rPr>
        <w:t>treatment)</w:t>
      </w:r>
      <w:r w:rsidR="00130421">
        <w:rPr>
          <w:lang w:eastAsia="en-US"/>
        </w:rPr>
        <w:t xml:space="preserve"> </w:t>
      </w:r>
      <w:sdt>
        <w:sdtPr>
          <w:id w:val="-530489176"/>
          <w:citation/>
        </w:sdtPr>
        <w:sdtEndPr/>
        <w:sdtContent>
          <w:r w:rsidR="00130421">
            <w:fldChar w:fldCharType="begin"/>
          </w:r>
          <w:r w:rsidR="00130421">
            <w:rPr>
              <w:lang w:eastAsia="en-US"/>
            </w:rPr>
            <w:instrText xml:space="preserve"> CITATION Ker15 \l 3081 </w:instrText>
          </w:r>
          <w:r w:rsidR="00130421">
            <w:fldChar w:fldCharType="separate"/>
          </w:r>
          <w:r w:rsidR="00490B21">
            <w:rPr>
              <w:noProof/>
              <w:lang w:eastAsia="en-US"/>
            </w:rPr>
            <w:t>(Kerger &amp; Fedoruk, 2015)</w:t>
          </w:r>
          <w:r w:rsidR="00130421">
            <w:fldChar w:fldCharType="end"/>
          </w:r>
        </w:sdtContent>
      </w:sdt>
      <w:r w:rsidR="007E397B">
        <w:rPr>
          <w:lang w:eastAsia="en-US"/>
        </w:rPr>
        <w:t xml:space="preserve">. </w:t>
      </w:r>
    </w:p>
    <w:p w14:paraId="6A5BC93D" w14:textId="6F5D53D1" w:rsidR="007B32CD" w:rsidRPr="00A228EA" w:rsidRDefault="00900BBD" w:rsidP="00A228EA">
      <w:pPr>
        <w:pStyle w:val="SWAHeading4"/>
        <w:rPr>
          <w:lang w:eastAsia="en-AU"/>
        </w:rPr>
      </w:pPr>
      <w:r>
        <w:t>Non-</w:t>
      </w:r>
      <w:r w:rsidR="007B32CD">
        <w:t>q</w:t>
      </w:r>
      <w:r w:rsidR="007B32CD" w:rsidRPr="007B32CD">
        <w:t>uantifi</w:t>
      </w:r>
      <w:r w:rsidR="00E920DE">
        <w:t>able</w:t>
      </w:r>
      <w:r w:rsidR="007B32CD" w:rsidRPr="007B32CD">
        <w:t xml:space="preserve"> financial benefits for the proposed WEL for nitrogen dioxide</w:t>
      </w:r>
    </w:p>
    <w:p w14:paraId="73B3DF2C" w14:textId="50358C51" w:rsidR="007B2FFD" w:rsidRDefault="003F14ED" w:rsidP="00A228EA">
      <w:pPr>
        <w:pStyle w:val="Paragraph"/>
        <w:keepNext w:val="0"/>
        <w:rPr>
          <w:lang w:eastAsia="en-US"/>
        </w:rPr>
      </w:pPr>
      <w:r>
        <w:rPr>
          <w:lang w:eastAsia="en-US"/>
        </w:rPr>
        <w:t>A</w:t>
      </w:r>
      <w:r w:rsidR="00716CBA" w:rsidRPr="00716CBA">
        <w:rPr>
          <w:lang w:eastAsia="en-US"/>
        </w:rPr>
        <w:t xml:space="preserve"> lack of data to quantify financial benefits does not mean the introduction of the proposed WEL for </w:t>
      </w:r>
      <w:r w:rsidR="007B2FFD">
        <w:t>nitrogen dioxide</w:t>
      </w:r>
      <w:r w:rsidR="00716CBA" w:rsidRPr="00716CBA">
        <w:rPr>
          <w:lang w:eastAsia="en-US"/>
        </w:rPr>
        <w:t xml:space="preserve"> would no</w:t>
      </w:r>
      <w:r w:rsidR="00703635">
        <w:rPr>
          <w:lang w:eastAsia="en-US"/>
        </w:rPr>
        <w:t>t achieve</w:t>
      </w:r>
      <w:r w:rsidR="00716CBA" w:rsidRPr="00716CBA">
        <w:rPr>
          <w:lang w:eastAsia="en-US"/>
        </w:rPr>
        <w:t xml:space="preserve"> financial benefits</w:t>
      </w:r>
      <w:r w:rsidR="00AA5EA0">
        <w:rPr>
          <w:lang w:eastAsia="en-US"/>
        </w:rPr>
        <w:t xml:space="preserve"> (as </w:t>
      </w:r>
      <w:r w:rsidR="00CD5D6F">
        <w:rPr>
          <w:lang w:eastAsia="en-US"/>
        </w:rPr>
        <w:t xml:space="preserve">outlined earlier in this Decision RIS). </w:t>
      </w:r>
      <w:r w:rsidR="009A65CE">
        <w:t xml:space="preserve">More broadly, financial benefits that the proposed WEL for nitrogen dioxide can deliver are described below. </w:t>
      </w:r>
      <w:r w:rsidR="009A65CE" w:rsidRPr="00957E76">
        <w:t xml:space="preserve"> </w:t>
      </w:r>
    </w:p>
    <w:p w14:paraId="175030C5" w14:textId="602D43CB" w:rsidR="00716CBA" w:rsidRDefault="00716CBA" w:rsidP="00A228EA">
      <w:pPr>
        <w:pStyle w:val="SWAHeading5"/>
      </w:pPr>
      <w:r w:rsidRPr="00716CBA">
        <w:t xml:space="preserve">Increased productivity </w:t>
      </w:r>
    </w:p>
    <w:p w14:paraId="7A6BC044" w14:textId="3EE026F8" w:rsidR="00716CBA" w:rsidRPr="00716CBA" w:rsidRDefault="00716CBA" w:rsidP="00EC0526">
      <w:r w:rsidRPr="00716CBA">
        <w:t xml:space="preserve">Stakeholders from the public consultation suggested the proposed WEL for </w:t>
      </w:r>
      <w:r w:rsidR="00D6366A">
        <w:t>nitrogen dioxide</w:t>
      </w:r>
      <w:r w:rsidRPr="00716CBA">
        <w:t xml:space="preserve"> would likely result in increased productivity</w:t>
      </w:r>
      <w:r w:rsidR="00BC7060">
        <w:rPr>
          <w:rStyle w:val="FootnoteReference"/>
        </w:rPr>
        <w:footnoteReference w:id="222"/>
      </w:r>
      <w:r w:rsidRPr="00716CBA">
        <w:t xml:space="preserve"> from a reduction in absenteeism and presenteeism amongst the workforce who are exposed to </w:t>
      </w:r>
      <w:r w:rsidR="00D6366A">
        <w:t>nitrogen dioxide</w:t>
      </w:r>
      <w:r w:rsidRPr="00716CBA">
        <w:t>.</w:t>
      </w:r>
    </w:p>
    <w:p w14:paraId="1F7A8D30" w14:textId="586CD06C" w:rsidR="00716CBA" w:rsidRPr="00716CBA" w:rsidRDefault="00BC7060" w:rsidP="004F1390">
      <w:pPr>
        <w:pStyle w:val="Paragraph"/>
      </w:pPr>
      <w:r>
        <w:t xml:space="preserve">While there are no workers’ compensation claims associated with nitrogen dioxide exposure, this does not mean the proposed WEL will not result in productivity benefits, noting the likely under-reporting in workers’ compensation claims outlined above. </w:t>
      </w:r>
      <w:r w:rsidR="00716CBA" w:rsidRPr="00716CBA">
        <w:t xml:space="preserve">The proposed WEL </w:t>
      </w:r>
      <w:r w:rsidR="00AA1EAB">
        <w:t xml:space="preserve">for nitrogen dioxide </w:t>
      </w:r>
      <w:r w:rsidR="00716CBA" w:rsidRPr="00716CBA">
        <w:t xml:space="preserve">is expected to </w:t>
      </w:r>
      <w:r w:rsidR="00AA1EAB">
        <w:t>protect</w:t>
      </w:r>
      <w:r w:rsidR="00716CBA" w:rsidRPr="00716CBA">
        <w:t xml:space="preserve"> workers </w:t>
      </w:r>
      <w:r w:rsidR="00AA1EAB">
        <w:t xml:space="preserve">from developing </w:t>
      </w:r>
      <w:r w:rsidR="00FE6319">
        <w:t>irritation of the respiratory tract</w:t>
      </w:r>
      <w:r w:rsidR="00E0235F">
        <w:t xml:space="preserve"> and tissue damage</w:t>
      </w:r>
      <w:r w:rsidR="00716CBA" w:rsidRPr="00716CBA">
        <w:t xml:space="preserve">. Workers likely to be exposed to </w:t>
      </w:r>
      <w:r w:rsidR="00FE6319">
        <w:t>nitrogen dioxide</w:t>
      </w:r>
      <w:r w:rsidR="00716CBA" w:rsidRPr="00716CBA">
        <w:t xml:space="preserve"> would</w:t>
      </w:r>
      <w:r w:rsidR="00B925AB">
        <w:t xml:space="preserve"> continue to not need to or</w:t>
      </w:r>
      <w:r w:rsidR="00716CBA" w:rsidRPr="00716CBA">
        <w:t xml:space="preserve"> be less likely to take time off to seek medical care or treatment.</w:t>
      </w:r>
    </w:p>
    <w:p w14:paraId="3B872A34" w14:textId="7794EC44" w:rsidR="00716CBA" w:rsidRPr="00716CBA" w:rsidRDefault="00716CBA" w:rsidP="00E10D49">
      <w:pPr>
        <w:pStyle w:val="SWAHeading5"/>
      </w:pPr>
      <w:r w:rsidRPr="00716CBA">
        <w:t>Reduced costs to government</w:t>
      </w:r>
      <w:r w:rsidR="00A226FC">
        <w:t>s</w:t>
      </w:r>
      <w:r w:rsidR="00116459">
        <w:rPr>
          <w:rStyle w:val="FootnoteReference"/>
        </w:rPr>
        <w:footnoteReference w:id="223"/>
      </w:r>
    </w:p>
    <w:p w14:paraId="4B6AD678" w14:textId="5A5B418D" w:rsidR="00716CBA" w:rsidRPr="00716CBA" w:rsidRDefault="00312997" w:rsidP="008013F4">
      <w:pPr>
        <w:pStyle w:val="Paragraph"/>
      </w:pPr>
      <w:r>
        <w:t>T</w:t>
      </w:r>
      <w:r w:rsidR="006F570B" w:rsidRPr="00716CBA">
        <w:t>he</w:t>
      </w:r>
      <w:r w:rsidR="00716CBA" w:rsidRPr="00716CBA">
        <w:t xml:space="preserve"> Australian Institute of Health and Welfare</w:t>
      </w:r>
      <w:r w:rsidR="00727E85">
        <w:t xml:space="preserve"> (AIHW)</w:t>
      </w:r>
      <w:r w:rsidR="00716CBA" w:rsidRPr="00716CBA">
        <w:t xml:space="preserve"> </w:t>
      </w:r>
      <w:r>
        <w:t>reported</w:t>
      </w:r>
      <w:r w:rsidR="00716CBA" w:rsidRPr="00716CBA">
        <w:t xml:space="preserve"> </w:t>
      </w:r>
      <w:r w:rsidR="00716CBA" w:rsidRPr="0063605C">
        <w:t xml:space="preserve">healthcare expenditure </w:t>
      </w:r>
      <w:r w:rsidR="004F7B36" w:rsidRPr="0063605C">
        <w:t>on</w:t>
      </w:r>
      <w:r w:rsidR="00716CBA" w:rsidRPr="00716CBA">
        <w:t xml:space="preserve"> </w:t>
      </w:r>
      <w:r w:rsidR="004E0414">
        <w:t>interstitial lung diseases</w:t>
      </w:r>
      <w:r w:rsidR="004F1390">
        <w:t>,</w:t>
      </w:r>
      <w:r w:rsidR="004F7B36">
        <w:t xml:space="preserve"> like </w:t>
      </w:r>
      <w:r w:rsidR="004F7B36" w:rsidRPr="004F7B36">
        <w:t>bronchiolitis obliterans</w:t>
      </w:r>
      <w:r w:rsidR="004F1390">
        <w:t>,</w:t>
      </w:r>
      <w:r w:rsidR="00716CBA" w:rsidRPr="00716CBA">
        <w:t xml:space="preserve"> was approximately $</w:t>
      </w:r>
      <w:r w:rsidR="009D4689">
        <w:t>1.87 b</w:t>
      </w:r>
      <w:r w:rsidR="00716CBA" w:rsidRPr="00716CBA">
        <w:t>illion</w:t>
      </w:r>
      <w:r w:rsidR="008B6FF8" w:rsidRPr="008B6FF8">
        <w:t xml:space="preserve"> </w:t>
      </w:r>
      <w:r w:rsidR="008B6FF8">
        <w:t xml:space="preserve">in </w:t>
      </w:r>
      <w:r w:rsidR="00E40108">
        <w:t>2023</w:t>
      </w:r>
      <w:r w:rsidR="008B6FF8">
        <w:t>-</w:t>
      </w:r>
      <w:r w:rsidR="00E40108">
        <w:t>24</w:t>
      </w:r>
      <w:r w:rsidR="008B6FF8">
        <w:t xml:space="preserve">. Healthcare expenditure on </w:t>
      </w:r>
      <w:r w:rsidR="00ED4096">
        <w:t>COPD was $1.</w:t>
      </w:r>
      <w:r w:rsidR="00E40108">
        <w:t xml:space="preserve">75 </w:t>
      </w:r>
      <w:r w:rsidR="00ED4096">
        <w:t>billion</w:t>
      </w:r>
      <w:r w:rsidR="008B6FF8">
        <w:t xml:space="preserve"> during the same </w:t>
      </w:r>
      <w:r w:rsidR="00A07766">
        <w:t>financial year</w:t>
      </w:r>
      <w:r w:rsidR="00ED4096">
        <w:t xml:space="preserve"> </w:t>
      </w:r>
      <w:sdt>
        <w:sdtPr>
          <w:id w:val="1205835591"/>
          <w:citation/>
        </w:sdtPr>
        <w:sdtEndPr/>
        <w:sdtContent>
          <w:r w:rsidR="00716CBA" w:rsidRPr="00716CBA">
            <w:fldChar w:fldCharType="begin"/>
          </w:r>
          <w:r w:rsidR="00CE68FD">
            <w:instrText xml:space="preserve">CITATION Aus24 \l 3081 </w:instrText>
          </w:r>
          <w:r w:rsidR="00716CBA" w:rsidRPr="00716CBA">
            <w:fldChar w:fldCharType="separate"/>
          </w:r>
          <w:r w:rsidR="00490B21">
            <w:rPr>
              <w:noProof/>
            </w:rPr>
            <w:t>(Australian Institute of Health and Welfare, 2025)</w:t>
          </w:r>
          <w:r w:rsidR="00716CBA" w:rsidRPr="00716CBA">
            <w:fldChar w:fldCharType="end"/>
          </w:r>
        </w:sdtContent>
      </w:sdt>
      <w:r w:rsidR="00716CBA" w:rsidRPr="00716CBA">
        <w:t xml:space="preserve">. </w:t>
      </w:r>
    </w:p>
    <w:p w14:paraId="71CC3C78" w14:textId="46A7EC53" w:rsidR="006F1E21" w:rsidRDefault="00716CBA" w:rsidP="008013F4">
      <w:pPr>
        <w:pStyle w:val="Paragraph"/>
      </w:pPr>
      <w:r w:rsidRPr="00716CBA">
        <w:t xml:space="preserve">While not all </w:t>
      </w:r>
      <w:r w:rsidR="002A2654">
        <w:t>interstitial lung disease</w:t>
      </w:r>
      <w:r w:rsidR="00727E85">
        <w:t>s</w:t>
      </w:r>
      <w:r w:rsidR="002A2654">
        <w:t xml:space="preserve"> and COPD</w:t>
      </w:r>
      <w:r w:rsidRPr="00716CBA">
        <w:t xml:space="preserve"> will be caused by work-related exposures to </w:t>
      </w:r>
      <w:r w:rsidR="002A2654">
        <w:t>nitrogen dioxide</w:t>
      </w:r>
      <w:r w:rsidRPr="00716CBA">
        <w:t xml:space="preserve">, </w:t>
      </w:r>
      <w:r w:rsidR="00533AAF">
        <w:t xml:space="preserve">any </w:t>
      </w:r>
      <w:r w:rsidRPr="00716CBA">
        <w:t>reduc</w:t>
      </w:r>
      <w:r w:rsidR="00533AAF">
        <w:t xml:space="preserve">tion </w:t>
      </w:r>
      <w:r w:rsidRPr="00716CBA">
        <w:t xml:space="preserve">in </w:t>
      </w:r>
      <w:r w:rsidR="00DD0E10">
        <w:t>work-related</w:t>
      </w:r>
      <w:r w:rsidRPr="00716CBA">
        <w:t xml:space="preserve"> </w:t>
      </w:r>
      <w:r w:rsidR="002A2654">
        <w:t>nitrogen dioxide</w:t>
      </w:r>
      <w:r w:rsidRPr="00716CBA">
        <w:t xml:space="preserve"> </w:t>
      </w:r>
      <w:r w:rsidR="00DD0E10">
        <w:t xml:space="preserve">exposure </w:t>
      </w:r>
      <w:r w:rsidR="005A390B">
        <w:t xml:space="preserve">could potentially contribute to a reduction in these cases, thus </w:t>
      </w:r>
      <w:r w:rsidRPr="00716CBA">
        <w:t>reduc</w:t>
      </w:r>
      <w:r w:rsidR="005A390B">
        <w:t>ing</w:t>
      </w:r>
      <w:r w:rsidRPr="00716CBA">
        <w:t xml:space="preserve"> the number of workers </w:t>
      </w:r>
      <w:r w:rsidR="00F4737E">
        <w:t>seeking treatment or care for</w:t>
      </w:r>
      <w:r w:rsidR="00F4737E" w:rsidRPr="00716CBA">
        <w:t xml:space="preserve"> </w:t>
      </w:r>
      <w:r w:rsidRPr="00716CBA">
        <w:t>these adverse health effects</w:t>
      </w:r>
      <w:r w:rsidR="00F4737E">
        <w:t>, reducing cost to government</w:t>
      </w:r>
      <w:r w:rsidRPr="00716CBA">
        <w:t xml:space="preserve">. </w:t>
      </w:r>
    </w:p>
    <w:p w14:paraId="5CB2A1AB" w14:textId="11BCD3F2" w:rsidR="00716CBA" w:rsidRPr="00716CBA" w:rsidRDefault="00E6696A" w:rsidP="00B64384">
      <w:pPr>
        <w:pStyle w:val="Paragraph"/>
        <w:keepNext w:val="0"/>
      </w:pPr>
      <w:r>
        <w:t>The</w:t>
      </w:r>
      <w:r w:rsidR="001047C5">
        <w:t xml:space="preserve"> </w:t>
      </w:r>
      <w:r w:rsidR="001047C5" w:rsidRPr="00F860FD">
        <w:t>AI</w:t>
      </w:r>
      <w:r>
        <w:t>H</w:t>
      </w:r>
      <w:r w:rsidR="00035E8D">
        <w:t>W</w:t>
      </w:r>
      <w:r>
        <w:t>’s</w:t>
      </w:r>
      <w:r w:rsidR="001047C5" w:rsidRPr="00F860FD">
        <w:t xml:space="preserve"> Burden of Disease Study, 2024</w:t>
      </w:r>
      <w:r w:rsidR="001047C5">
        <w:t xml:space="preserve"> indicates that </w:t>
      </w:r>
      <w:r w:rsidR="0030658C">
        <w:t xml:space="preserve">2% of </w:t>
      </w:r>
      <w:r>
        <w:t xml:space="preserve">all </w:t>
      </w:r>
      <w:r w:rsidR="0030658C">
        <w:t>COPD total burden was attributed to occupational exposure and hazards</w:t>
      </w:r>
      <w:r w:rsidR="00F860FD">
        <w:t xml:space="preserve"> </w:t>
      </w:r>
      <w:sdt>
        <w:sdtPr>
          <w:id w:val="1821541804"/>
          <w:citation/>
        </w:sdtPr>
        <w:sdtEndPr/>
        <w:sdtContent>
          <w:r w:rsidR="009C574C">
            <w:fldChar w:fldCharType="begin"/>
          </w:r>
          <w:r w:rsidR="009C574C">
            <w:instrText xml:space="preserve"> CITATION ABOD246 \l 3081 </w:instrText>
          </w:r>
          <w:r w:rsidR="009C574C">
            <w:fldChar w:fldCharType="separate"/>
          </w:r>
          <w:r w:rsidR="00490B21">
            <w:rPr>
              <w:noProof/>
            </w:rPr>
            <w:t>(Australian Insitute of Health and Welfare, 2024)</w:t>
          </w:r>
          <w:r w:rsidR="009C574C">
            <w:fldChar w:fldCharType="end"/>
          </w:r>
        </w:sdtContent>
      </w:sdt>
      <w:r w:rsidR="0030658C">
        <w:t xml:space="preserve">. </w:t>
      </w:r>
      <w:r>
        <w:t>R</w:t>
      </w:r>
      <w:r w:rsidR="001577D1">
        <w:t xml:space="preserve">educing COPD caused by occupational exposure by implementing the proposed WEL </w:t>
      </w:r>
      <w:r w:rsidR="006F2D24">
        <w:t>fo</w:t>
      </w:r>
      <w:r w:rsidR="00231E2C">
        <w:t>r</w:t>
      </w:r>
      <w:r w:rsidR="006F2D24">
        <w:t xml:space="preserve"> nitrogen dioxide </w:t>
      </w:r>
      <w:r w:rsidR="001577D1">
        <w:t xml:space="preserve">to reduce workers from developing </w:t>
      </w:r>
      <w:r w:rsidR="00374DCF">
        <w:t>COPD</w:t>
      </w:r>
      <w:r w:rsidR="00A100EF">
        <w:t xml:space="preserve">, is estimated to contribute </w:t>
      </w:r>
      <w:r w:rsidR="0065484D">
        <w:t>up</w:t>
      </w:r>
      <w:r w:rsidR="006F2D24">
        <w:t xml:space="preserve"> to</w:t>
      </w:r>
      <w:r w:rsidR="001577D1">
        <w:t xml:space="preserve"> $</w:t>
      </w:r>
      <w:r w:rsidR="007502DB">
        <w:t>35</w:t>
      </w:r>
      <w:r w:rsidR="001577D1">
        <w:t xml:space="preserve"> million in savings to the</w:t>
      </w:r>
      <w:r w:rsidR="00A100EF">
        <w:t xml:space="preserve"> health system and</w:t>
      </w:r>
      <w:r w:rsidR="001577D1">
        <w:t xml:space="preserve"> government</w:t>
      </w:r>
      <w:r w:rsidR="00A100EF">
        <w:t xml:space="preserve"> per year</w:t>
      </w:r>
      <w:r w:rsidR="001577D1">
        <w:t>.</w:t>
      </w:r>
    </w:p>
    <w:p w14:paraId="3FFF10B1" w14:textId="49E81016" w:rsidR="006A4529" w:rsidRPr="00FB18E4" w:rsidRDefault="00FE3290" w:rsidP="00B64384">
      <w:pPr>
        <w:pStyle w:val="SWAHeading5"/>
        <w:keepNext/>
      </w:pPr>
      <w:r w:rsidRPr="00FB18E4">
        <w:lastRenderedPageBreak/>
        <w:t>Reduction in costs associated with</w:t>
      </w:r>
      <w:r>
        <w:t xml:space="preserve"> </w:t>
      </w:r>
      <w:r w:rsidR="008013F4">
        <w:t>potential</w:t>
      </w:r>
      <w:r w:rsidRPr="00FB18E4">
        <w:t xml:space="preserve"> worker compensation claims</w:t>
      </w:r>
      <w:r w:rsidR="00B20CDB">
        <w:rPr>
          <w:rStyle w:val="FootnoteReference"/>
        </w:rPr>
        <w:footnoteReference w:id="224"/>
      </w:r>
    </w:p>
    <w:p w14:paraId="7FC203F6" w14:textId="1D220A0C" w:rsidR="00FE3290" w:rsidRPr="00FB18E4" w:rsidRDefault="00EB46BF" w:rsidP="005E0D14">
      <w:pPr>
        <w:pStyle w:val="Paragraph"/>
        <w:rPr>
          <w:lang w:eastAsia="en-US"/>
        </w:rPr>
      </w:pPr>
      <w:r w:rsidRPr="001F4763">
        <w:rPr>
          <w:rFonts w:cs="Arial"/>
          <w:szCs w:val="22"/>
        </w:rPr>
        <w:t xml:space="preserve">Workers who develop an occupational disease or illness </w:t>
      </w:r>
      <w:r w:rsidR="006D1DB1">
        <w:rPr>
          <w:rFonts w:cs="Arial"/>
          <w:szCs w:val="22"/>
        </w:rPr>
        <w:t>because of</w:t>
      </w:r>
      <w:r w:rsidR="00A16317">
        <w:rPr>
          <w:rFonts w:cs="Arial"/>
          <w:szCs w:val="22"/>
        </w:rPr>
        <w:t xml:space="preserve"> exposures to</w:t>
      </w:r>
      <w:r w:rsidR="006D1DB1">
        <w:rPr>
          <w:rFonts w:cs="Arial"/>
          <w:szCs w:val="22"/>
        </w:rPr>
        <w:t xml:space="preserve"> nitrogen dioxide </w:t>
      </w:r>
      <w:r w:rsidRPr="001F4763">
        <w:rPr>
          <w:rFonts w:cs="Arial"/>
          <w:szCs w:val="22"/>
        </w:rPr>
        <w:t xml:space="preserve">are able to seek workers’ compensation if the occupational disease or illness can be linked to </w:t>
      </w:r>
      <w:r w:rsidR="00A16317">
        <w:rPr>
          <w:rFonts w:cs="Arial"/>
          <w:szCs w:val="22"/>
        </w:rPr>
        <w:t xml:space="preserve">the </w:t>
      </w:r>
      <w:r w:rsidRPr="001F4763">
        <w:rPr>
          <w:rFonts w:cs="Arial"/>
          <w:szCs w:val="22"/>
        </w:rPr>
        <w:t>workplace</w:t>
      </w:r>
      <w:r>
        <w:rPr>
          <w:rFonts w:cs="Arial"/>
          <w:szCs w:val="22"/>
        </w:rPr>
        <w:t>.</w:t>
      </w:r>
      <w:r w:rsidR="00821A4E">
        <w:rPr>
          <w:rFonts w:cs="Arial"/>
          <w:szCs w:val="22"/>
        </w:rPr>
        <w:t xml:space="preserve"> Workers’ compensation </w:t>
      </w:r>
      <w:r>
        <w:rPr>
          <w:rFonts w:cs="Arial"/>
          <w:szCs w:val="22"/>
        </w:rPr>
        <w:t xml:space="preserve">will help </w:t>
      </w:r>
      <w:r w:rsidR="00821A4E">
        <w:rPr>
          <w:rFonts w:cs="Arial"/>
          <w:szCs w:val="22"/>
        </w:rPr>
        <w:t xml:space="preserve">workers focus on getting better </w:t>
      </w:r>
      <w:r w:rsidR="00CA3FA6">
        <w:rPr>
          <w:rFonts w:cs="Arial"/>
          <w:szCs w:val="22"/>
        </w:rPr>
        <w:t xml:space="preserve">and access rehabilitation services, </w:t>
      </w:r>
      <w:r w:rsidR="00821A4E">
        <w:rPr>
          <w:rFonts w:cs="Arial"/>
          <w:szCs w:val="22"/>
        </w:rPr>
        <w:t xml:space="preserve">without worrying about </w:t>
      </w:r>
      <w:r w:rsidR="00CA3FA6">
        <w:rPr>
          <w:rFonts w:cs="Arial"/>
          <w:szCs w:val="22"/>
        </w:rPr>
        <w:t xml:space="preserve">associated costs. </w:t>
      </w:r>
    </w:p>
    <w:p w14:paraId="53A0190B" w14:textId="4608EC3C" w:rsidR="00CA3FA6" w:rsidRDefault="002B4CB2" w:rsidP="000F275F">
      <w:pPr>
        <w:pStyle w:val="Paragraph"/>
        <w:keepNext w:val="0"/>
        <w:rPr>
          <w:rFonts w:cs="Arial"/>
          <w:szCs w:val="22"/>
        </w:rPr>
      </w:pPr>
      <w:r>
        <w:rPr>
          <w:rFonts w:cs="Arial"/>
          <w:szCs w:val="22"/>
        </w:rPr>
        <w:t xml:space="preserve">Nitrogen dioxide is listed on Safe Work Australia’s List of Deemed Diseases as a possible cause for acute toxicity and poisoning (including acute damage to lungs) </w:t>
      </w:r>
      <w:sdt>
        <w:sdtPr>
          <w:rPr>
            <w:rFonts w:cs="Arial"/>
            <w:szCs w:val="22"/>
          </w:rPr>
          <w:id w:val="-362676821"/>
          <w:citation/>
        </w:sdtPr>
        <w:sdtEndPr/>
        <w:sdtContent>
          <w:r>
            <w:rPr>
              <w:rFonts w:cs="Arial"/>
              <w:szCs w:val="22"/>
            </w:rPr>
            <w:fldChar w:fldCharType="begin"/>
          </w:r>
          <w:r>
            <w:rPr>
              <w:rFonts w:cs="Arial"/>
              <w:szCs w:val="22"/>
            </w:rPr>
            <w:instrText xml:space="preserve"> CITATION Saf24 \l 3081 </w:instrText>
          </w:r>
          <w:r>
            <w:rPr>
              <w:rFonts w:cs="Arial"/>
              <w:szCs w:val="22"/>
            </w:rPr>
            <w:fldChar w:fldCharType="separate"/>
          </w:r>
          <w:r w:rsidR="00490B21" w:rsidRPr="00490B21">
            <w:rPr>
              <w:rFonts w:cs="Arial"/>
              <w:noProof/>
              <w:szCs w:val="22"/>
            </w:rPr>
            <w:t>(Safe Work Australia, 2024)</w:t>
          </w:r>
          <w:r>
            <w:rPr>
              <w:rFonts w:cs="Arial"/>
              <w:szCs w:val="22"/>
            </w:rPr>
            <w:fldChar w:fldCharType="end"/>
          </w:r>
        </w:sdtContent>
      </w:sdt>
      <w:r>
        <w:rPr>
          <w:rFonts w:cs="Arial"/>
          <w:szCs w:val="22"/>
        </w:rPr>
        <w:t xml:space="preserve">. </w:t>
      </w:r>
      <w:r w:rsidR="00BF4EE4" w:rsidRPr="001F4763">
        <w:rPr>
          <w:rFonts w:cs="Arial"/>
          <w:szCs w:val="22"/>
          <w:shd w:val="clear" w:color="auto" w:fill="FFFFFF"/>
        </w:rPr>
        <w:t>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w:t>
      </w:r>
      <w:r w:rsidR="00BF4EE4">
        <w:rPr>
          <w:rFonts w:cs="Arial"/>
          <w:szCs w:val="22"/>
          <w:shd w:val="clear" w:color="auto" w:fill="FFFFFF"/>
        </w:rPr>
        <w:t xml:space="preserve"> </w:t>
      </w:r>
      <w:sdt>
        <w:sdtPr>
          <w:rPr>
            <w:rFonts w:cs="Arial"/>
            <w:szCs w:val="22"/>
          </w:rPr>
          <w:id w:val="-1307159449"/>
          <w:showingPlcHdr/>
          <w:citation/>
        </w:sdtPr>
        <w:sdtEndPr/>
        <w:sdtContent>
          <w:r w:rsidR="009576C3">
            <w:rPr>
              <w:rFonts w:cs="Arial"/>
              <w:szCs w:val="22"/>
            </w:rPr>
            <w:t xml:space="preserve">     </w:t>
          </w:r>
        </w:sdtContent>
      </w:sdt>
    </w:p>
    <w:p w14:paraId="549808B2" w14:textId="325CF304" w:rsidR="00FB0660" w:rsidRPr="00FB18E4" w:rsidRDefault="00623981" w:rsidP="000F275F">
      <w:pPr>
        <w:pStyle w:val="Paragraph"/>
        <w:keepNext w:val="0"/>
      </w:pPr>
      <w:r>
        <w:t>While there are no workers’ compensation claims associated with nitrogen dioxide exposure, this does not mean the proposed WEL will not result in direct financial benefits, noting the likely under-reporting in workers’ compensation claims outlined above. However, as the proposed WEL is expected to protect</w:t>
      </w:r>
      <w:r w:rsidR="00FB0660" w:rsidRPr="00FB0660">
        <w:t xml:space="preserve"> workers</w:t>
      </w:r>
      <w:r w:rsidR="009D420A">
        <w:t xml:space="preserve"> from</w:t>
      </w:r>
      <w:r w:rsidR="00FB0660" w:rsidRPr="00FB0660">
        <w:t xml:space="preserve"> developing </w:t>
      </w:r>
      <w:r w:rsidR="0021056A">
        <w:t xml:space="preserve">lower respiratory tract irritation, tissue damage and acute </w:t>
      </w:r>
      <w:r w:rsidR="000137F3">
        <w:t xml:space="preserve">and </w:t>
      </w:r>
      <w:r w:rsidR="0021056A">
        <w:t>toxicity</w:t>
      </w:r>
      <w:r w:rsidR="00FB0660" w:rsidRPr="00FB0660">
        <w:t xml:space="preserve"> </w:t>
      </w:r>
      <w:r w:rsidR="000137F3">
        <w:t xml:space="preserve">poisoning </w:t>
      </w:r>
      <w:r w:rsidR="00FB0660" w:rsidRPr="00FB0660">
        <w:t xml:space="preserve">from work-related exposures </w:t>
      </w:r>
      <w:r w:rsidR="00313F60">
        <w:t xml:space="preserve">to nitrogen </w:t>
      </w:r>
      <w:r w:rsidR="00FB0660" w:rsidRPr="00FB0660">
        <w:t>dioxide</w:t>
      </w:r>
      <w:r w:rsidR="009D420A">
        <w:t>, this</w:t>
      </w:r>
      <w:r w:rsidR="00FB0660" w:rsidRPr="00FB0660">
        <w:t xml:space="preserve"> can help businesses avoid the </w:t>
      </w:r>
      <w:r w:rsidR="009D420A">
        <w:t xml:space="preserve">emergence and </w:t>
      </w:r>
      <w:r w:rsidR="00FB0660" w:rsidRPr="00FB0660">
        <w:t>cost</w:t>
      </w:r>
      <w:r w:rsidR="009D420A">
        <w:t xml:space="preserve">s </w:t>
      </w:r>
      <w:r w:rsidR="00FB0660" w:rsidRPr="00FB0660">
        <w:t>of potential worker compensation claims</w:t>
      </w:r>
      <w:r w:rsidR="009D420A">
        <w:t xml:space="preserve"> </w:t>
      </w:r>
      <w:r w:rsidR="00035E8D" w:rsidRPr="00035E8D">
        <w:t>through increased premiums</w:t>
      </w:r>
      <w:r w:rsidR="00FB0660" w:rsidRPr="00FB0660">
        <w:t xml:space="preserve">. </w:t>
      </w:r>
    </w:p>
    <w:p w14:paraId="19F357A1" w14:textId="3154D4FF" w:rsidR="009F2D83" w:rsidRDefault="009B648B" w:rsidP="000F275F">
      <w:pPr>
        <w:pStyle w:val="SWAHeading3"/>
        <w:keepNext/>
        <w:keepLines/>
      </w:pPr>
      <w:bookmarkStart w:id="456" w:name="_Toc196204786"/>
      <w:r>
        <w:t xml:space="preserve">Additional benefits </w:t>
      </w:r>
      <w:r w:rsidR="00907C83">
        <w:t>of</w:t>
      </w:r>
      <w:r>
        <w:t xml:space="preserve"> the proposed WEL for nitrogen dioxide</w:t>
      </w:r>
      <w:bookmarkEnd w:id="456"/>
    </w:p>
    <w:p w14:paraId="4F768C93" w14:textId="02631EAD" w:rsidR="009B648B" w:rsidRDefault="009B648B" w:rsidP="000F275F">
      <w:pPr>
        <w:pStyle w:val="Paragraph"/>
        <w:keepLines/>
        <w:rPr>
          <w:lang w:eastAsia="en-US"/>
        </w:rPr>
      </w:pPr>
      <w:r>
        <w:rPr>
          <w:lang w:eastAsia="en-US"/>
        </w:rPr>
        <w:t xml:space="preserve">Stakeholders identified the proposed WEL for nitrogen dioxide would have the following </w:t>
      </w:r>
      <w:r w:rsidR="00C812BE" w:rsidRPr="00C812BE">
        <w:rPr>
          <w:lang w:eastAsia="en-US"/>
        </w:rPr>
        <w:t>qualitative</w:t>
      </w:r>
      <w:r w:rsidR="00C812BE" w:rsidRPr="00C812BE" w:rsidDel="00C812BE">
        <w:rPr>
          <w:lang w:eastAsia="en-US"/>
        </w:rPr>
        <w:t xml:space="preserve"> </w:t>
      </w:r>
      <w:r>
        <w:rPr>
          <w:lang w:eastAsia="en-US"/>
        </w:rPr>
        <w:t>benefits</w:t>
      </w:r>
      <w:r w:rsidR="00DD4B7D">
        <w:rPr>
          <w:lang w:eastAsia="en-US"/>
        </w:rPr>
        <w:t>.</w:t>
      </w:r>
    </w:p>
    <w:p w14:paraId="7D84AB79" w14:textId="451C7C7C" w:rsidR="00DD4B7D" w:rsidRDefault="00476E9D" w:rsidP="00DD4B7D">
      <w:pPr>
        <w:pStyle w:val="SWAHeading4"/>
      </w:pPr>
      <w:r w:rsidRPr="00FB18E4">
        <w:t xml:space="preserve">Transition industry away from combustion engines </w:t>
      </w:r>
      <w:r w:rsidR="006E2A87" w:rsidRPr="00FB18E4">
        <w:t xml:space="preserve">and to electrified </w:t>
      </w:r>
      <w:r w:rsidR="00EE027D" w:rsidRPr="00FB18E4">
        <w:t>vehicles</w:t>
      </w:r>
      <w:r w:rsidR="008013F4">
        <w:t xml:space="preserve"> </w:t>
      </w:r>
    </w:p>
    <w:p w14:paraId="79203A59" w14:textId="24020B9F" w:rsidR="00410DBB" w:rsidRDefault="00BC192E" w:rsidP="00DD4B7D">
      <w:pPr>
        <w:pStyle w:val="Paragraph"/>
        <w:keepNext w:val="0"/>
        <w:spacing w:after="120"/>
        <w:rPr>
          <w:lang w:eastAsia="en-US"/>
        </w:rPr>
      </w:pPr>
      <w:r>
        <w:rPr>
          <w:lang w:eastAsia="en-US"/>
        </w:rPr>
        <w:t>S</w:t>
      </w:r>
      <w:r w:rsidR="004B7E77">
        <w:rPr>
          <w:lang w:eastAsia="en-US"/>
        </w:rPr>
        <w:t xml:space="preserve">ome </w:t>
      </w:r>
      <w:r w:rsidR="00F07A77" w:rsidRPr="00FB18E4" w:rsidDel="00BC192E">
        <w:rPr>
          <w:lang w:eastAsia="en-US"/>
        </w:rPr>
        <w:t>s</w:t>
      </w:r>
      <w:r w:rsidR="00F07A77" w:rsidRPr="00FB18E4">
        <w:rPr>
          <w:lang w:eastAsia="en-US"/>
        </w:rPr>
        <w:t>ubmissions</w:t>
      </w:r>
      <w:r>
        <w:rPr>
          <w:lang w:eastAsia="en-US"/>
        </w:rPr>
        <w:t xml:space="preserve"> from the mining industry</w:t>
      </w:r>
      <w:r w:rsidR="00536181">
        <w:rPr>
          <w:rStyle w:val="FootnoteReference"/>
          <w:lang w:eastAsia="en-US"/>
        </w:rPr>
        <w:footnoteReference w:id="225"/>
      </w:r>
      <w:r>
        <w:rPr>
          <w:lang w:eastAsia="en-US"/>
        </w:rPr>
        <w:t xml:space="preserve"> received</w:t>
      </w:r>
      <w:r w:rsidR="00F07A77" w:rsidRPr="00FB18E4" w:rsidDel="00BC192E">
        <w:rPr>
          <w:lang w:eastAsia="en-US"/>
        </w:rPr>
        <w:t xml:space="preserve"> </w:t>
      </w:r>
      <w:r>
        <w:rPr>
          <w:lang w:eastAsia="en-US"/>
        </w:rPr>
        <w:t xml:space="preserve">in response to </w:t>
      </w:r>
      <w:r w:rsidR="00F07A77" w:rsidRPr="00FB18E4">
        <w:rPr>
          <w:lang w:eastAsia="en-US"/>
        </w:rPr>
        <w:t xml:space="preserve">the </w:t>
      </w:r>
      <w:r w:rsidR="004B7E77">
        <w:rPr>
          <w:lang w:eastAsia="en-US"/>
        </w:rPr>
        <w:t>proposed WEL for nitrogen dioxide acknowledged</w:t>
      </w:r>
      <w:r w:rsidR="00F07A77" w:rsidRPr="00FB18E4" w:rsidDel="00967E31">
        <w:rPr>
          <w:lang w:eastAsia="en-US"/>
        </w:rPr>
        <w:t xml:space="preserve"> </w:t>
      </w:r>
      <w:r w:rsidR="00F07A77" w:rsidRPr="00FB18E4">
        <w:rPr>
          <w:lang w:eastAsia="en-US"/>
        </w:rPr>
        <w:t xml:space="preserve">a reduced WEL for nitrogen dioxide would most likely prompt industry to transition away from using vehicles </w:t>
      </w:r>
      <w:r w:rsidR="00CA5686" w:rsidRPr="00FB18E4">
        <w:rPr>
          <w:lang w:eastAsia="en-US"/>
        </w:rPr>
        <w:t xml:space="preserve">with combustion engines and towards using electrified </w:t>
      </w:r>
      <w:r w:rsidR="006C58AA" w:rsidRPr="00FB18E4">
        <w:rPr>
          <w:lang w:eastAsia="en-US"/>
        </w:rPr>
        <w:t>vehicles</w:t>
      </w:r>
      <w:r w:rsidR="005A5647">
        <w:rPr>
          <w:rStyle w:val="FootnoteReference"/>
          <w:lang w:eastAsia="en-US"/>
        </w:rPr>
        <w:footnoteReference w:id="226"/>
      </w:r>
      <w:r w:rsidR="00BD533A">
        <w:rPr>
          <w:lang w:eastAsia="en-US"/>
        </w:rPr>
        <w:t>.</w:t>
      </w:r>
      <w:r w:rsidR="006C58AA" w:rsidRPr="00FB18E4" w:rsidDel="00BC192E">
        <w:rPr>
          <w:lang w:eastAsia="en-US"/>
        </w:rPr>
        <w:t xml:space="preserve"> </w:t>
      </w:r>
      <w:r w:rsidR="00967E31">
        <w:rPr>
          <w:lang w:eastAsia="en-US"/>
        </w:rPr>
        <w:t>This change from</w:t>
      </w:r>
      <w:r w:rsidR="00BE094A">
        <w:rPr>
          <w:lang w:eastAsia="en-US"/>
        </w:rPr>
        <w:t xml:space="preserve"> vehicles with combustion engines to an electric fleet</w:t>
      </w:r>
      <w:r w:rsidR="004976CF" w:rsidRPr="00FB18E4">
        <w:rPr>
          <w:lang w:eastAsia="en-US"/>
        </w:rPr>
        <w:t xml:space="preserve"> </w:t>
      </w:r>
      <w:r w:rsidR="00D2650B">
        <w:rPr>
          <w:lang w:eastAsia="en-US"/>
        </w:rPr>
        <w:t xml:space="preserve">will reduce </w:t>
      </w:r>
      <w:r w:rsidR="0052711E" w:rsidRPr="00FB18E4">
        <w:rPr>
          <w:lang w:eastAsia="en-US"/>
        </w:rPr>
        <w:t xml:space="preserve">nitrogen dioxide </w:t>
      </w:r>
      <w:r w:rsidR="008E6AC9" w:rsidRPr="00FB18E4">
        <w:rPr>
          <w:lang w:eastAsia="en-US"/>
        </w:rPr>
        <w:t>from underground mines</w:t>
      </w:r>
      <w:r w:rsidR="00D2650B">
        <w:rPr>
          <w:lang w:eastAsia="en-US"/>
        </w:rPr>
        <w:t xml:space="preserve">. </w:t>
      </w:r>
    </w:p>
    <w:p w14:paraId="233ACFFC" w14:textId="6092B4E5" w:rsidR="00614345" w:rsidRPr="004B7E77" w:rsidRDefault="00BD533A" w:rsidP="00DD4B7D">
      <w:pPr>
        <w:pStyle w:val="Paragraph"/>
        <w:keepNext w:val="0"/>
        <w:spacing w:after="120"/>
        <w:rPr>
          <w:rFonts w:cs="Arial"/>
        </w:rPr>
      </w:pPr>
      <w:r>
        <w:rPr>
          <w:lang w:eastAsia="en-US"/>
        </w:rPr>
        <w:t>This effect has been demonstrated in research, which saw a reduction of nitrous oxides like nitrogen dioxide emission</w:t>
      </w:r>
      <w:r w:rsidR="00175ED2">
        <w:rPr>
          <w:lang w:eastAsia="en-US"/>
        </w:rPr>
        <w:t xml:space="preserve">s when </w:t>
      </w:r>
      <w:r w:rsidR="00614345">
        <w:rPr>
          <w:lang w:eastAsia="en-US"/>
        </w:rPr>
        <w:t>workplaces trialled vehicle electrification and combined it with renewable electricity</w:t>
      </w:r>
      <w:r w:rsidR="00614345">
        <w:rPr>
          <w:rFonts w:cs="Arial"/>
          <w:lang w:eastAsia="en-US"/>
        </w:rPr>
        <w:t xml:space="preserve"> </w:t>
      </w:r>
      <w:sdt>
        <w:sdtPr>
          <w:rPr>
            <w:rFonts w:cs="Arial"/>
          </w:rPr>
          <w:id w:val="850003694"/>
          <w:citation/>
        </w:sdtPr>
        <w:sdtEndPr/>
        <w:sdtContent>
          <w:r w:rsidR="00614345">
            <w:rPr>
              <w:rFonts w:cs="Arial"/>
            </w:rPr>
            <w:fldChar w:fldCharType="begin"/>
          </w:r>
          <w:r w:rsidR="00614345">
            <w:rPr>
              <w:rFonts w:cs="Arial"/>
            </w:rPr>
            <w:instrText xml:space="preserve"> CITATION Lou15 \l 3081 </w:instrText>
          </w:r>
          <w:r w:rsidR="00614345">
            <w:rPr>
              <w:rFonts w:cs="Arial"/>
            </w:rPr>
            <w:fldChar w:fldCharType="separate"/>
          </w:r>
          <w:r w:rsidR="00490B21" w:rsidRPr="00490B21">
            <w:rPr>
              <w:rFonts w:cs="Arial"/>
              <w:noProof/>
            </w:rPr>
            <w:t>(Loughlin, Kaufman, Lenox, &amp; Hubbell, 2015)</w:t>
          </w:r>
          <w:r w:rsidR="00614345">
            <w:rPr>
              <w:rFonts w:cs="Arial"/>
            </w:rPr>
            <w:fldChar w:fldCharType="end"/>
          </w:r>
        </w:sdtContent>
      </w:sdt>
      <w:r w:rsidR="00614345" w:rsidRPr="006549B3">
        <w:rPr>
          <w:rFonts w:cs="Arial"/>
        </w:rPr>
        <w:t>.</w:t>
      </w:r>
    </w:p>
    <w:p w14:paraId="1EC27241" w14:textId="60442771" w:rsidR="005D65FE" w:rsidRPr="00E11D38" w:rsidRDefault="00D2650B" w:rsidP="00DD4B7D">
      <w:pPr>
        <w:pStyle w:val="Paragraph"/>
        <w:keepNext w:val="0"/>
        <w:spacing w:after="120"/>
        <w:rPr>
          <w:lang w:eastAsia="en-US"/>
        </w:rPr>
      </w:pPr>
      <w:r>
        <w:rPr>
          <w:lang w:eastAsia="en-US"/>
        </w:rPr>
        <w:t>It</w:t>
      </w:r>
      <w:r w:rsidR="008E6AC9" w:rsidRPr="00FB18E4">
        <w:rPr>
          <w:lang w:eastAsia="en-US"/>
        </w:rPr>
        <w:t xml:space="preserve"> would also remove other airborne contaminants </w:t>
      </w:r>
      <w:r>
        <w:rPr>
          <w:lang w:eastAsia="en-US"/>
        </w:rPr>
        <w:t xml:space="preserve">released by combustion engines, like </w:t>
      </w:r>
      <w:r w:rsidR="009F0630">
        <w:rPr>
          <w:lang w:eastAsia="en-US"/>
        </w:rPr>
        <w:t xml:space="preserve">other </w:t>
      </w:r>
      <w:r w:rsidR="00C66326" w:rsidRPr="00FB18E4">
        <w:rPr>
          <w:lang w:eastAsia="en-US"/>
        </w:rPr>
        <w:t xml:space="preserve">nitrous oxides, diesel engine emissions </w:t>
      </w:r>
      <w:r w:rsidR="004B7E77">
        <w:rPr>
          <w:lang w:eastAsia="en-US"/>
        </w:rPr>
        <w:t>(DEE)</w:t>
      </w:r>
      <w:r w:rsidR="00C66326" w:rsidRPr="00FB18E4">
        <w:rPr>
          <w:lang w:eastAsia="en-US"/>
        </w:rPr>
        <w:t xml:space="preserve"> and diesel particular matter</w:t>
      </w:r>
      <w:r w:rsidR="00C43E43">
        <w:rPr>
          <w:rStyle w:val="FootnoteReference"/>
          <w:lang w:eastAsia="en-US"/>
        </w:rPr>
        <w:footnoteReference w:id="227"/>
      </w:r>
      <w:r w:rsidR="00C66326" w:rsidRPr="00FB18E4">
        <w:rPr>
          <w:lang w:eastAsia="en-US"/>
        </w:rPr>
        <w:t xml:space="preserve">. </w:t>
      </w:r>
      <w:r w:rsidR="00967E31">
        <w:t xml:space="preserve">These other airborne contaminants can cause other adverse health effects that PCBUs needs to protect workers from. For example, </w:t>
      </w:r>
      <w:r w:rsidR="005D65FE" w:rsidRPr="00D77547">
        <w:t xml:space="preserve">DEE is </w:t>
      </w:r>
      <w:r w:rsidR="00EF0D48">
        <w:t>classified as</w:t>
      </w:r>
      <w:r w:rsidR="00EF0D48" w:rsidRPr="00D77547">
        <w:t xml:space="preserve"> </w:t>
      </w:r>
      <w:r w:rsidR="005D65FE" w:rsidRPr="00D77547">
        <w:t>a Group 1 carcinogen (carcinogenic to humans) by the International Agency for Research on Cancer (IARC)</w:t>
      </w:r>
      <w:r w:rsidR="00EF0D48">
        <w:t xml:space="preserve"> </w:t>
      </w:r>
      <w:sdt>
        <w:sdtPr>
          <w:id w:val="254865215"/>
          <w:citation/>
        </w:sdtPr>
        <w:sdtEndPr/>
        <w:sdtContent>
          <w:r w:rsidR="00EF0D48">
            <w:fldChar w:fldCharType="begin"/>
          </w:r>
          <w:r w:rsidR="00EF0D48">
            <w:instrText xml:space="preserve"> CITATION Int12 \l 3081 </w:instrText>
          </w:r>
          <w:r w:rsidR="00EF0D48">
            <w:fldChar w:fldCharType="separate"/>
          </w:r>
          <w:r w:rsidR="00490B21">
            <w:rPr>
              <w:noProof/>
            </w:rPr>
            <w:t>(International Agency for Research on Cancer, 2012)</w:t>
          </w:r>
          <w:r w:rsidR="00EF0D48">
            <w:fldChar w:fldCharType="end"/>
          </w:r>
        </w:sdtContent>
      </w:sdt>
      <w:r w:rsidR="00D77547" w:rsidRPr="00D77547">
        <w:t xml:space="preserve">. </w:t>
      </w:r>
    </w:p>
    <w:p w14:paraId="0238F997" w14:textId="4EA0C847" w:rsidR="00D77547" w:rsidRPr="00722F85" w:rsidRDefault="00D77547" w:rsidP="00722F85">
      <w:pPr>
        <w:pStyle w:val="Paragraph"/>
        <w:keepNext w:val="0"/>
        <w:rPr>
          <w:lang w:eastAsia="en-US"/>
        </w:rPr>
      </w:pPr>
      <w:r w:rsidRPr="00722F85">
        <w:t xml:space="preserve">A submission from the university sector also suggested </w:t>
      </w:r>
      <w:r w:rsidR="00627E3F" w:rsidRPr="00722F85">
        <w:t xml:space="preserve">that transition from combustion engines to electric </w:t>
      </w:r>
      <w:r w:rsidR="009818B0" w:rsidRPr="00722F85">
        <w:t>engines would help with</w:t>
      </w:r>
      <w:r w:rsidRPr="00722F85">
        <w:t xml:space="preserve"> </w:t>
      </w:r>
      <w:r w:rsidR="001B2BCD">
        <w:t xml:space="preserve">their workplace’s </w:t>
      </w:r>
      <w:r w:rsidRPr="00722F85">
        <w:t>decarbonisation</w:t>
      </w:r>
      <w:r w:rsidR="001B2BCD">
        <w:t xml:space="preserve"> plan</w:t>
      </w:r>
      <w:r w:rsidR="001B2BCD">
        <w:rPr>
          <w:rStyle w:val="FootnoteReference"/>
        </w:rPr>
        <w:footnoteReference w:id="228"/>
      </w:r>
      <w:r w:rsidRPr="00722F85">
        <w:t>.</w:t>
      </w:r>
    </w:p>
    <w:p w14:paraId="52CE1EF9" w14:textId="77777777" w:rsidR="00DD4B7D" w:rsidRDefault="000331A0" w:rsidP="00DD4B7D">
      <w:pPr>
        <w:pStyle w:val="SWAHeading4"/>
      </w:pPr>
      <w:r w:rsidRPr="006549B3">
        <w:lastRenderedPageBreak/>
        <w:t>Raises awareness about nitrogen dioxide and the hazards associated with it</w:t>
      </w:r>
    </w:p>
    <w:p w14:paraId="1827F4C5" w14:textId="40D0C428" w:rsidR="007479B0" w:rsidRDefault="00000563" w:rsidP="00DD4B7D">
      <w:pPr>
        <w:spacing w:before="120"/>
        <w:contextualSpacing w:val="0"/>
      </w:pPr>
      <w:r w:rsidRPr="00000563">
        <w:t xml:space="preserve">Stakeholder feedback noted that the proposed WEL for </w:t>
      </w:r>
      <w:r w:rsidR="00F71ACD">
        <w:t>nitrogen dioxide</w:t>
      </w:r>
      <w:r w:rsidR="00F71ACD" w:rsidRPr="00000563">
        <w:t xml:space="preserve"> </w:t>
      </w:r>
      <w:r w:rsidRPr="00000563">
        <w:t xml:space="preserve">would also lead to PCBUs and workers becoming more aware of the presence of </w:t>
      </w:r>
      <w:r w:rsidR="00F71ACD">
        <w:t>nitrogen dioxide</w:t>
      </w:r>
      <w:r w:rsidRPr="00000563">
        <w:t xml:space="preserve"> in the workplace, and the hazards associated with </w:t>
      </w:r>
      <w:r w:rsidR="00F71ACD">
        <w:t>it</w:t>
      </w:r>
      <w:r w:rsidRPr="00000563">
        <w:t xml:space="preserve">, allowing both to actively contribute to making sure the workplace is safer and healthier.  </w:t>
      </w:r>
    </w:p>
    <w:p w14:paraId="25DBC9BD" w14:textId="15E8C380" w:rsidR="000331A0" w:rsidRPr="00A0097B" w:rsidRDefault="00000563" w:rsidP="00DD4B7D">
      <w:pPr>
        <w:spacing w:before="120"/>
        <w:contextualSpacing w:val="0"/>
        <w:rPr>
          <w:rFonts w:eastAsia="Arial" w:cs="Arial"/>
        </w:rPr>
      </w:pPr>
      <w:r w:rsidRPr="00A0097B">
        <w:rPr>
          <w:rFonts w:eastAsia="Arial" w:cs="Arial"/>
        </w:rPr>
        <w:t xml:space="preserve">By raising awareness of the presence of hazards in the workplace and the risks associated with </w:t>
      </w:r>
      <w:r w:rsidR="00F474D5">
        <w:rPr>
          <w:rFonts w:eastAsia="Arial" w:cs="Arial"/>
        </w:rPr>
        <w:t>them</w:t>
      </w:r>
      <w:r w:rsidRPr="00A0097B">
        <w:rPr>
          <w:rFonts w:eastAsia="Arial" w:cs="Arial"/>
        </w:rPr>
        <w:t>, workers have also been shown to make better and informed choices that allows them to take reasonable care for their own health and safety in the workplace, such as wearing PPE whilst working.</w:t>
      </w:r>
    </w:p>
    <w:p w14:paraId="7A9CEC5B" w14:textId="1FD62782" w:rsidR="00F57EC9" w:rsidRPr="00F57EC9" w:rsidRDefault="00460A2F" w:rsidP="00E10D49">
      <w:pPr>
        <w:pStyle w:val="SWAHeading2"/>
        <w:keepNext/>
        <w:keepLines/>
        <w:ind w:left="709"/>
      </w:pPr>
      <w:bookmarkStart w:id="457" w:name="_Toc196204787"/>
      <w:bookmarkStart w:id="458" w:name="_Ref198720080"/>
      <w:bookmarkStart w:id="459" w:name="_Toc219216914"/>
      <w:r>
        <w:t xml:space="preserve">Costs </w:t>
      </w:r>
      <w:r w:rsidR="00F57EC9">
        <w:t>of proposed WEL for nitrogen dioxide</w:t>
      </w:r>
      <w:bookmarkEnd w:id="457"/>
      <w:bookmarkEnd w:id="458"/>
      <w:bookmarkEnd w:id="459"/>
    </w:p>
    <w:p w14:paraId="312D253C" w14:textId="4EAD4FE7" w:rsidR="000F2FAD" w:rsidRDefault="00B760BE" w:rsidP="000F2FAD">
      <w:pPr>
        <w:keepNext/>
        <w:keepLines/>
        <w:contextualSpacing w:val="0"/>
      </w:pPr>
      <w:r>
        <w:t xml:space="preserve">Costs to comply with the proposed WEL for nitrogen dioxide were estimated and are outlined below. </w:t>
      </w:r>
      <w:r w:rsidR="000F2FAD">
        <w:t xml:space="preserve">These </w:t>
      </w:r>
      <w:r w:rsidR="000F2FAD" w:rsidRPr="006A0158">
        <w:t>are indicative estimates only</w:t>
      </w:r>
      <w:r w:rsidR="007A3CD0" w:rsidRPr="007A3CD0">
        <w:t>.</w:t>
      </w:r>
    </w:p>
    <w:bookmarkEnd w:id="453"/>
    <w:p w14:paraId="5E97088A" w14:textId="65635F9C" w:rsidR="004514AE" w:rsidRDefault="00E42365" w:rsidP="00262970">
      <w:pPr>
        <w:contextualSpacing w:val="0"/>
      </w:pPr>
      <w:r>
        <w:rPr>
          <w:highlight w:val="yellow"/>
        </w:rPr>
        <w:fldChar w:fldCharType="begin"/>
      </w:r>
      <w:r>
        <w:instrText xml:space="preserve"> REF _Ref199925158 \h </w:instrText>
      </w:r>
      <w:r>
        <w:rPr>
          <w:highlight w:val="yellow"/>
        </w:rPr>
      </w:r>
      <w:r>
        <w:rPr>
          <w:highlight w:val="yellow"/>
        </w:rPr>
        <w:fldChar w:fldCharType="separate"/>
      </w:r>
      <w:r w:rsidR="00A002F4">
        <w:t xml:space="preserve">Table </w:t>
      </w:r>
      <w:r w:rsidR="00A002F4">
        <w:rPr>
          <w:noProof/>
        </w:rPr>
        <w:t>31</w:t>
      </w:r>
      <w:r>
        <w:rPr>
          <w:highlight w:val="yellow"/>
        </w:rPr>
        <w:fldChar w:fldCharType="end"/>
      </w:r>
      <w:r>
        <w:t xml:space="preserve"> </w:t>
      </w:r>
      <w:r w:rsidR="000B51DC" w:rsidRPr="38A49B51">
        <w:t xml:space="preserve">presents the estimated total costs to </w:t>
      </w:r>
      <w:r w:rsidR="004514AE">
        <w:t>industry</w:t>
      </w:r>
      <w:r w:rsidR="000B51DC" w:rsidRPr="38A49B51">
        <w:t xml:space="preserve"> of complying with the proposed WEL for nitrogen dioxide over the 10-year appraisal period (from FY27 to FY36</w:t>
      </w:r>
      <w:r w:rsidR="006E2843">
        <w:t>)</w:t>
      </w:r>
      <w:r w:rsidR="000B51DC" w:rsidRPr="38A49B51">
        <w:t xml:space="preserve">. </w:t>
      </w:r>
    </w:p>
    <w:p w14:paraId="6CBE7ACA" w14:textId="643F3521" w:rsidR="000B51DC" w:rsidRDefault="000B51DC" w:rsidP="00262970">
      <w:pPr>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w:t>
      </w:r>
      <w:r w:rsidR="00167B34" w:rsidRPr="38A49B51">
        <w:t>1</w:t>
      </w:r>
      <w:r w:rsidR="00167B34">
        <w:t>7</w:t>
      </w:r>
      <w:r w:rsidR="00167B34" w:rsidRPr="38A49B51">
        <w:t xml:space="preserve"> </w:t>
      </w:r>
      <w:r w:rsidRPr="38A49B51">
        <w:t xml:space="preserve">of the model WHS Act). </w:t>
      </w:r>
    </w:p>
    <w:p w14:paraId="627990D7" w14:textId="77777777" w:rsidR="000B51DC" w:rsidRDefault="000B51DC" w:rsidP="000B51DC">
      <w:r>
        <w:t>The analysis illustrates that:</w:t>
      </w:r>
    </w:p>
    <w:p w14:paraId="6CB672E0" w14:textId="29952858" w:rsidR="000B51DC" w:rsidRDefault="000B51DC" w:rsidP="00B57E6C">
      <w:pPr>
        <w:pStyle w:val="ListParagraph"/>
        <w:numPr>
          <w:ilvl w:val="0"/>
          <w:numId w:val="21"/>
        </w:numPr>
        <w:suppressAutoHyphens/>
        <w:spacing w:line="259" w:lineRule="auto"/>
        <w:contextualSpacing w:val="0"/>
      </w:pPr>
      <w:bookmarkStart w:id="460" w:name="_Toc193192684"/>
      <w:bookmarkStart w:id="461" w:name="_Toc196204788"/>
      <w:r>
        <w:t xml:space="preserve">The estimated total cost to affected businesses over 10 years is </w:t>
      </w:r>
      <w:r w:rsidRPr="000379A9">
        <w:t>$</w:t>
      </w:r>
      <w:r w:rsidR="002818EF">
        <w:t>2.7</w:t>
      </w:r>
      <w:r w:rsidRPr="000379A9">
        <w:t xml:space="preserve"> billion (in real, discounted terms), which equates to $</w:t>
      </w:r>
      <w:r w:rsidR="002818EF">
        <w:t>444</w:t>
      </w:r>
      <w:r w:rsidR="002818EF" w:rsidRPr="000379A9">
        <w:t xml:space="preserve"> </w:t>
      </w:r>
      <w:r w:rsidRPr="000379A9">
        <w:t>million per year (in real, undiscounted terms)</w:t>
      </w:r>
      <w:r>
        <w:t>.</w:t>
      </w:r>
      <w:bookmarkEnd w:id="460"/>
      <w:bookmarkEnd w:id="461"/>
      <w:r>
        <w:t xml:space="preserve"> </w:t>
      </w:r>
    </w:p>
    <w:p w14:paraId="2E61F55C" w14:textId="77777777" w:rsidR="000B51DC" w:rsidRDefault="000B51DC" w:rsidP="00B57E6C">
      <w:pPr>
        <w:pStyle w:val="ListParagraph"/>
        <w:keepLines/>
        <w:numPr>
          <w:ilvl w:val="0"/>
          <w:numId w:val="21"/>
        </w:numPr>
        <w:suppressAutoHyphens/>
        <w:spacing w:line="259" w:lineRule="auto"/>
        <w:ind w:hanging="357"/>
        <w:contextualSpacing w:val="0"/>
      </w:pPr>
      <w:bookmarkStart w:id="462" w:name="_Toc193192685"/>
      <w:bookmarkStart w:id="463" w:name="_Toc196204789"/>
      <w:r w:rsidRPr="38A49B51">
        <w:t>These estimated total costs comprise of:</w:t>
      </w:r>
      <w:bookmarkEnd w:id="462"/>
      <w:bookmarkEnd w:id="463"/>
      <w:r w:rsidRPr="38A49B51">
        <w:t xml:space="preserve"> </w:t>
      </w:r>
    </w:p>
    <w:p w14:paraId="7F0E992B" w14:textId="534CAE7E" w:rsidR="000B51DC" w:rsidRDefault="000B51DC" w:rsidP="00AC44BE">
      <w:pPr>
        <w:pStyle w:val="ListParagraph"/>
        <w:keepLines/>
        <w:numPr>
          <w:ilvl w:val="1"/>
          <w:numId w:val="21"/>
        </w:numPr>
        <w:suppressAutoHyphens/>
        <w:spacing w:line="259" w:lineRule="auto"/>
        <w:ind w:hanging="357"/>
        <w:contextualSpacing w:val="0"/>
      </w:pPr>
      <w:bookmarkStart w:id="464" w:name="_Toc193192686"/>
      <w:bookmarkStart w:id="465" w:name="_Toc196204790"/>
      <w:r w:rsidRPr="38A49B51">
        <w:t>control measure costs of $</w:t>
      </w:r>
      <w:r w:rsidR="002818EF">
        <w:t>2.4</w:t>
      </w:r>
      <w:r w:rsidRPr="38A49B51">
        <w:t xml:space="preserve"> billion over 10 years, comprising engineering controls ($1.</w:t>
      </w:r>
      <w:r w:rsidR="002818EF">
        <w:t>0</w:t>
      </w:r>
      <w:r w:rsidR="002818EF" w:rsidRPr="38A49B51">
        <w:t xml:space="preserve"> </w:t>
      </w:r>
      <w:r w:rsidRPr="38A49B51">
        <w:t>billion), isolation controls ($</w:t>
      </w:r>
      <w:r w:rsidR="002818EF">
        <w:t>893</w:t>
      </w:r>
      <w:r w:rsidR="27FABE46">
        <w:t xml:space="preserve"> </w:t>
      </w:r>
      <w:r w:rsidR="009A5965">
        <w:t>m</w:t>
      </w:r>
      <w:r>
        <w:t>illion</w:t>
      </w:r>
      <w:r w:rsidRPr="38A49B51">
        <w:t>)</w:t>
      </w:r>
      <w:r w:rsidR="00D47171">
        <w:t>, administrative controls ($</w:t>
      </w:r>
      <w:r w:rsidR="002818EF">
        <w:t>348</w:t>
      </w:r>
      <w:r w:rsidR="00D47171">
        <w:t xml:space="preserve"> million)</w:t>
      </w:r>
      <w:r w:rsidRPr="38A49B51">
        <w:t xml:space="preserve"> and PPE ($</w:t>
      </w:r>
      <w:r w:rsidR="00147241">
        <w:t>133</w:t>
      </w:r>
      <w:r w:rsidR="00147241" w:rsidRPr="38A49B51">
        <w:t xml:space="preserve"> </w:t>
      </w:r>
      <w:r w:rsidRPr="38A49B51">
        <w:t>million).</w:t>
      </w:r>
      <w:bookmarkEnd w:id="464"/>
      <w:bookmarkEnd w:id="465"/>
    </w:p>
    <w:p w14:paraId="6E170326" w14:textId="60828424" w:rsidR="000B51DC" w:rsidRDefault="000B51DC" w:rsidP="00AC44BE">
      <w:pPr>
        <w:pStyle w:val="ListParagraph"/>
        <w:keepLines/>
        <w:numPr>
          <w:ilvl w:val="1"/>
          <w:numId w:val="21"/>
        </w:numPr>
        <w:suppressAutoHyphens/>
        <w:spacing w:line="259" w:lineRule="auto"/>
        <w:ind w:hanging="357"/>
        <w:contextualSpacing w:val="0"/>
      </w:pPr>
      <w:bookmarkStart w:id="466" w:name="_Toc193192687"/>
      <w:bookmarkStart w:id="467" w:name="_Toc196204791"/>
      <w:r w:rsidRPr="38A49B51">
        <w:t>management practice costs of $</w:t>
      </w:r>
      <w:r w:rsidR="00147241">
        <w:t>315</w:t>
      </w:r>
      <w:r w:rsidR="00147241" w:rsidRPr="38A49B51">
        <w:t xml:space="preserve"> </w:t>
      </w:r>
      <w:r w:rsidRPr="38A49B51">
        <w:t>million over 10 years, comprising air monitoring ($</w:t>
      </w:r>
      <w:r w:rsidR="00147241">
        <w:t>151</w:t>
      </w:r>
      <w:r w:rsidR="00147241" w:rsidRPr="38A49B51">
        <w:t xml:space="preserve"> </w:t>
      </w:r>
      <w:r w:rsidRPr="38A49B51">
        <w:t>million) and occupational hygiene ($</w:t>
      </w:r>
      <w:r w:rsidR="00147241">
        <w:t>163</w:t>
      </w:r>
      <w:r w:rsidR="00147241" w:rsidRPr="38A49B51">
        <w:t xml:space="preserve"> </w:t>
      </w:r>
      <w:r w:rsidRPr="38A49B51">
        <w:t>million).</w:t>
      </w:r>
      <w:bookmarkEnd w:id="466"/>
      <w:bookmarkEnd w:id="467"/>
    </w:p>
    <w:p w14:paraId="24B49AE0" w14:textId="77777777" w:rsidR="00D61927" w:rsidRDefault="00D61927" w:rsidP="00661A98">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3FA646D0" w14:textId="77777777" w:rsidR="00D61927" w:rsidRDefault="00D61927" w:rsidP="00661A98">
      <w:pPr>
        <w:suppressAutoHyphens/>
      </w:pPr>
      <w:r>
        <w:t xml:space="preserve">Obligations around management practice costs make these costs more likely to be evenly distributed throughout the appraisal period. </w:t>
      </w:r>
    </w:p>
    <w:p w14:paraId="5947BF88" w14:textId="77777777" w:rsidR="00D61927" w:rsidRDefault="00D61927" w:rsidP="00661A98">
      <w:pPr>
        <w:keepLines/>
        <w:suppressAutoHyphens/>
        <w:spacing w:line="259" w:lineRule="auto"/>
        <w:contextualSpacing w:val="0"/>
      </w:pPr>
    </w:p>
    <w:p w14:paraId="300A6569" w14:textId="1D7FC7AA" w:rsidR="00E42365" w:rsidRDefault="00E42365" w:rsidP="00E42365">
      <w:pPr>
        <w:pStyle w:val="Caption"/>
      </w:pPr>
      <w:bookmarkStart w:id="468" w:name="_Ref199925158"/>
      <w:r>
        <w:lastRenderedPageBreak/>
        <w:t xml:space="preserve">Table </w:t>
      </w:r>
      <w:fldSimple w:instr=" SEQ Table \* ARABIC ">
        <w:r w:rsidR="00A002F4">
          <w:rPr>
            <w:noProof/>
          </w:rPr>
          <w:t>31</w:t>
        </w:r>
      </w:fldSimple>
      <w:bookmarkEnd w:id="468"/>
      <w:r>
        <w:t xml:space="preserve"> - </w:t>
      </w:r>
      <w:r w:rsidRPr="006662A6">
        <w:t>Estimated average annual and total incremental costs to businesses affected by the proposed WEL for nitrogen dioxide, FY27 to FY36</w:t>
      </w:r>
    </w:p>
    <w:tbl>
      <w:tblPr>
        <w:tblStyle w:val="TableGrid"/>
        <w:tblW w:w="9067" w:type="dxa"/>
        <w:tblBorders>
          <w:insideH w:val="single" w:sz="8" w:space="0" w:color="D9D9D9" w:themeColor="background1" w:themeShade="D9"/>
        </w:tblBorders>
        <w:tblLook w:val="04A0" w:firstRow="1" w:lastRow="0" w:firstColumn="1" w:lastColumn="0" w:noHBand="0" w:noVBand="1"/>
      </w:tblPr>
      <w:tblGrid>
        <w:gridCol w:w="3823"/>
        <w:gridCol w:w="2693"/>
        <w:gridCol w:w="2551"/>
      </w:tblGrid>
      <w:tr w:rsidR="000B51DC" w:rsidRPr="008404A0" w14:paraId="1D156ADF" w14:textId="77777777" w:rsidTr="00B85134">
        <w:trPr>
          <w:trHeight w:val="617"/>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60EB2AB7"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38D28F70"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00D5972E"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3DA95535" w14:textId="77777777" w:rsidTr="00B8513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59B1B877" w14:textId="77777777" w:rsidR="000B51DC" w:rsidRPr="00154D99" w:rsidRDefault="000B51DC">
            <w:pPr>
              <w:pStyle w:val="Paragraph"/>
              <w:spacing w:after="0" w:line="276" w:lineRule="auto"/>
              <w:rPr>
                <w:b/>
              </w:rPr>
            </w:pPr>
            <w:r w:rsidRPr="00154D99">
              <w:rPr>
                <w:b/>
              </w:rPr>
              <w:t>Control measure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11FE8F34" w14:textId="11ECF874" w:rsidR="000B51DC" w:rsidRPr="00154D99" w:rsidRDefault="002818EF">
            <w:pPr>
              <w:keepNext/>
              <w:keepLines/>
              <w:jc w:val="right"/>
              <w:rPr>
                <w:b/>
              </w:rPr>
            </w:pPr>
            <w:r>
              <w:rPr>
                <w:b/>
              </w:rPr>
              <w:t>392.3</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6DC87124" w14:textId="4B042406" w:rsidR="000B51DC" w:rsidRPr="00154D99" w:rsidRDefault="002818EF">
            <w:pPr>
              <w:keepNext/>
              <w:keepLines/>
              <w:jc w:val="right"/>
              <w:rPr>
                <w:b/>
              </w:rPr>
            </w:pPr>
            <w:r>
              <w:rPr>
                <w:b/>
              </w:rPr>
              <w:t>2,388.4</w:t>
            </w:r>
          </w:p>
        </w:tc>
      </w:tr>
      <w:tr w:rsidR="000B51DC" w:rsidRPr="00BA600A" w14:paraId="492B7883" w14:textId="77777777">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36B815" w14:textId="77777777" w:rsidR="000B51DC" w:rsidRPr="00B155EC" w:rsidRDefault="000B51DC" w:rsidP="00B85134">
            <w:pPr>
              <w:pStyle w:val="Paragraph"/>
              <w:spacing w:after="0" w:line="276" w:lineRule="auto"/>
              <w:ind w:left="176"/>
              <w:rPr>
                <w:bCs/>
              </w:rPr>
            </w:pPr>
            <w:r w:rsidRPr="00B155EC">
              <w:rPr>
                <w:bCs/>
              </w:rPr>
              <w:t>Isolation control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40D1B2" w14:textId="78E6E89F" w:rsidR="000B51DC" w:rsidRPr="00B02E59" w:rsidRDefault="002818EF">
            <w:pPr>
              <w:keepNext/>
              <w:keepLines/>
              <w:jc w:val="right"/>
            </w:pPr>
            <w:r>
              <w:t>146.7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B99239" w14:textId="3A0A21A7" w:rsidR="000B51DC" w:rsidRPr="00B02E59" w:rsidRDefault="002818EF">
            <w:pPr>
              <w:keepNext/>
              <w:keepLines/>
              <w:jc w:val="right"/>
            </w:pPr>
            <w:r>
              <w:t>892.9</w:t>
            </w:r>
          </w:p>
        </w:tc>
      </w:tr>
      <w:tr w:rsidR="000B51DC" w:rsidRPr="00BA600A" w14:paraId="7F53C711" w14:textId="77777777">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BB1155" w14:textId="77777777" w:rsidR="000B51DC" w:rsidRPr="00B155EC" w:rsidRDefault="000B51DC" w:rsidP="00B85134">
            <w:pPr>
              <w:pStyle w:val="Paragraph"/>
              <w:spacing w:after="0" w:line="276" w:lineRule="auto"/>
              <w:ind w:left="176"/>
              <w:rPr>
                <w:bCs/>
              </w:rPr>
            </w:pPr>
            <w:r w:rsidRPr="00B155EC">
              <w:rPr>
                <w:bCs/>
              </w:rPr>
              <w:t>Engineering control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A94B841" w14:textId="31B9CDFF" w:rsidR="000B51DC" w:rsidRPr="00B02E59" w:rsidRDefault="002818EF">
            <w:pPr>
              <w:keepNext/>
              <w:keepLines/>
              <w:jc w:val="right"/>
            </w:pPr>
            <w:r>
              <w:t>166.8</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6D6F4E" w14:textId="3C5AD294" w:rsidR="000B51DC" w:rsidRPr="00B02E59" w:rsidRDefault="000B51DC">
            <w:pPr>
              <w:keepNext/>
              <w:keepLines/>
              <w:jc w:val="right"/>
            </w:pPr>
            <w:r w:rsidRPr="00C569FB">
              <w:t>1,</w:t>
            </w:r>
            <w:r w:rsidR="002818EF">
              <w:t>015.2</w:t>
            </w:r>
          </w:p>
        </w:tc>
      </w:tr>
      <w:tr w:rsidR="000B51DC" w:rsidRPr="00BA600A" w14:paraId="10D7377A" w14:textId="77777777">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08DF2C" w14:textId="77777777" w:rsidR="000B51DC" w:rsidRPr="00B155EC" w:rsidRDefault="000B51DC" w:rsidP="00B85134">
            <w:pPr>
              <w:pStyle w:val="Paragraph"/>
              <w:spacing w:after="0" w:line="276" w:lineRule="auto"/>
              <w:ind w:left="176"/>
              <w:rPr>
                <w:bCs/>
              </w:rPr>
            </w:pPr>
            <w:r w:rsidRPr="00B155EC">
              <w:rPr>
                <w:bCs/>
              </w:rPr>
              <w:t>Administrative control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66688A" w14:textId="034D452C" w:rsidR="000B51DC" w:rsidRPr="00B02E59" w:rsidRDefault="002818EF">
            <w:pPr>
              <w:keepNext/>
              <w:keepLines/>
              <w:jc w:val="right"/>
            </w:pPr>
            <w:r>
              <w:t>57.0</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C52988" w14:textId="46634E73" w:rsidR="000B51DC" w:rsidRPr="00B02E59" w:rsidRDefault="002818EF">
            <w:pPr>
              <w:keepNext/>
              <w:keepLines/>
              <w:jc w:val="right"/>
            </w:pPr>
            <w:r>
              <w:t>347.7</w:t>
            </w:r>
          </w:p>
        </w:tc>
      </w:tr>
      <w:tr w:rsidR="000B51DC" w:rsidRPr="00BA600A" w14:paraId="076017BA" w14:textId="77777777">
        <w:trPr>
          <w:trHeight w:val="21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77FA8B" w14:textId="77777777" w:rsidR="000B51DC" w:rsidRPr="00B155EC" w:rsidRDefault="000B51DC" w:rsidP="00B85134">
            <w:pPr>
              <w:pStyle w:val="Paragraph"/>
              <w:spacing w:after="0" w:line="276" w:lineRule="auto"/>
              <w:ind w:left="176"/>
              <w:rPr>
                <w:bCs/>
              </w:rPr>
            </w:pPr>
            <w:r w:rsidRPr="00B155EC">
              <w:rPr>
                <w:bCs/>
              </w:rPr>
              <w:t>Personal protective equipment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D37B51" w14:textId="6AC564B9" w:rsidR="000B51DC" w:rsidRPr="00B02E59" w:rsidRDefault="002818EF">
            <w:pPr>
              <w:keepNext/>
              <w:keepLines/>
              <w:jc w:val="right"/>
            </w:pPr>
            <w:r>
              <w:t>21.9</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2E9D95" w14:textId="31B600F9" w:rsidR="000B51DC" w:rsidRPr="00B02E59" w:rsidRDefault="002818EF">
            <w:pPr>
              <w:keepNext/>
              <w:keepLines/>
              <w:jc w:val="right"/>
            </w:pPr>
            <w:r>
              <w:t>132.6</w:t>
            </w:r>
          </w:p>
        </w:tc>
      </w:tr>
      <w:tr w:rsidR="000B51DC" w:rsidRPr="00BA600A" w14:paraId="2B00264C" w14:textId="77777777" w:rsidTr="00B85134">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C7AEFB3" w14:textId="77777777" w:rsidR="000B51DC" w:rsidRPr="00154D99" w:rsidRDefault="000B51DC">
            <w:pPr>
              <w:pStyle w:val="Paragraph"/>
              <w:spacing w:after="0" w:line="276" w:lineRule="auto"/>
              <w:rPr>
                <w:b/>
              </w:rPr>
            </w:pPr>
            <w:r w:rsidRPr="00154D99">
              <w:rPr>
                <w:b/>
              </w:rPr>
              <w:t>Management practice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634A512F" w14:textId="27684C93" w:rsidR="000B51DC" w:rsidRPr="00154D99" w:rsidRDefault="002818EF">
            <w:pPr>
              <w:keepNext/>
              <w:keepLines/>
              <w:jc w:val="right"/>
              <w:rPr>
                <w:b/>
              </w:rPr>
            </w:pPr>
            <w:r>
              <w:rPr>
                <w:b/>
              </w:rPr>
              <w:t>51.6</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51969E4" w14:textId="674E6543" w:rsidR="000B51DC" w:rsidRPr="00154D99" w:rsidRDefault="002818EF">
            <w:pPr>
              <w:keepNext/>
              <w:keepLines/>
              <w:jc w:val="right"/>
              <w:rPr>
                <w:b/>
              </w:rPr>
            </w:pPr>
            <w:r>
              <w:rPr>
                <w:b/>
              </w:rPr>
              <w:t>314.5</w:t>
            </w:r>
          </w:p>
        </w:tc>
      </w:tr>
      <w:tr w:rsidR="000B51DC" w:rsidRPr="00BA600A" w14:paraId="34D444B3" w14:textId="77777777">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C9FC9D" w14:textId="77777777" w:rsidR="000B51DC" w:rsidRPr="00B155EC" w:rsidRDefault="000B51DC" w:rsidP="00B85134">
            <w:pPr>
              <w:pStyle w:val="Paragraph"/>
              <w:spacing w:after="0" w:line="276" w:lineRule="auto"/>
              <w:ind w:left="176"/>
              <w:rPr>
                <w:bCs/>
              </w:rPr>
            </w:pPr>
            <w:r w:rsidRPr="00B155EC">
              <w:rPr>
                <w:bCs/>
              </w:rPr>
              <w:t>Air monitoring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ECE60E" w14:textId="06FF7D39" w:rsidR="000B51DC" w:rsidRPr="00B02E59" w:rsidRDefault="002818EF">
            <w:pPr>
              <w:keepNext/>
              <w:keepLines/>
              <w:jc w:val="right"/>
            </w:pPr>
            <w:r>
              <w:t>24</w:t>
            </w:r>
            <w:r w:rsidR="00D47171">
              <w:t>.9</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428AD2" w14:textId="1273B772" w:rsidR="000B51DC" w:rsidRPr="00B02E59" w:rsidRDefault="002818EF">
            <w:pPr>
              <w:keepNext/>
              <w:keepLines/>
              <w:jc w:val="right"/>
            </w:pPr>
            <w:r>
              <w:t>151.3</w:t>
            </w:r>
          </w:p>
        </w:tc>
      </w:tr>
      <w:tr w:rsidR="000B51DC" w:rsidRPr="00BA600A" w14:paraId="056BDC12" w14:textId="77777777">
        <w:trPr>
          <w:trHeight w:val="304"/>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5C5986" w14:textId="77777777" w:rsidR="000B51DC" w:rsidRPr="00B155EC" w:rsidRDefault="000B51DC" w:rsidP="00B85134">
            <w:pPr>
              <w:pStyle w:val="Paragraph"/>
              <w:spacing w:after="0" w:line="276" w:lineRule="auto"/>
              <w:ind w:left="176"/>
              <w:rPr>
                <w:bCs/>
              </w:rPr>
            </w:pPr>
            <w:r w:rsidRPr="00B155EC">
              <w:rPr>
                <w:bCs/>
              </w:rPr>
              <w:t>Occupational hygiene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E342FE" w14:textId="7C514BAE" w:rsidR="000B51DC" w:rsidRPr="00B02E59" w:rsidRDefault="002818EF">
            <w:pPr>
              <w:keepNext/>
              <w:keepLines/>
              <w:jc w:val="right"/>
            </w:pPr>
            <w:r>
              <w:t>26.8</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8DF7E4" w14:textId="55D1460D" w:rsidR="000B51DC" w:rsidRPr="00B02E59" w:rsidRDefault="002818EF">
            <w:pPr>
              <w:keepNext/>
              <w:keepLines/>
              <w:jc w:val="right"/>
            </w:pPr>
            <w:r>
              <w:t>163.2</w:t>
            </w:r>
          </w:p>
        </w:tc>
      </w:tr>
      <w:tr w:rsidR="000B51DC" w:rsidRPr="00BA600A" w14:paraId="11010F90" w14:textId="77777777" w:rsidTr="00B85134">
        <w:trPr>
          <w:trHeight w:val="288"/>
        </w:trPr>
        <w:tc>
          <w:tcPr>
            <w:tcW w:w="3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15E643EE" w14:textId="77777777" w:rsidR="000B51DC" w:rsidRPr="00154D99" w:rsidRDefault="000B51DC">
            <w:pPr>
              <w:pStyle w:val="Paragraph"/>
              <w:spacing w:after="0" w:line="276" w:lineRule="auto"/>
              <w:rPr>
                <w:b/>
              </w:rPr>
            </w:pPr>
            <w:r w:rsidRPr="00154D99">
              <w:rPr>
                <w:b/>
              </w:rPr>
              <w:t>Total costs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3DC8CD70" w14:textId="614B90C2" w:rsidR="000B51DC" w:rsidRPr="00154D99" w:rsidRDefault="002818EF">
            <w:pPr>
              <w:keepNext/>
              <w:keepLines/>
              <w:jc w:val="right"/>
              <w:rPr>
                <w:b/>
              </w:rPr>
            </w:pPr>
            <w:r>
              <w:rPr>
                <w:b/>
              </w:rPr>
              <w:t>443.9</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5B7E2292" w14:textId="25559960" w:rsidR="000B51DC" w:rsidRPr="00154D99" w:rsidRDefault="002818EF">
            <w:pPr>
              <w:keepNext/>
              <w:keepLines/>
              <w:jc w:val="right"/>
              <w:rPr>
                <w:b/>
              </w:rPr>
            </w:pPr>
            <w:r>
              <w:rPr>
                <w:b/>
              </w:rPr>
              <w:t>2,703.0</w:t>
            </w:r>
          </w:p>
        </w:tc>
      </w:tr>
    </w:tbl>
    <w:p w14:paraId="5F6FB04C" w14:textId="48E60239" w:rsidR="000B51DC" w:rsidRDefault="000B51DC" w:rsidP="00FB18E4">
      <w:pPr>
        <w:spacing w:before="120"/>
        <w:contextualSpacing w:val="0"/>
      </w:pPr>
      <w:r w:rsidRPr="38A49B51">
        <w:t xml:space="preserve">This regulatory impact analysis has also estimated the average annual and total costs to </w:t>
      </w:r>
      <w:r w:rsidR="0007548C">
        <w:t>industry</w:t>
      </w:r>
      <w:r w:rsidR="0007548C" w:rsidRPr="38A49B51">
        <w:t xml:space="preserve"> </w:t>
      </w:r>
      <w:r w:rsidRPr="38A49B51">
        <w:t>under low and high cost scenarios, where:</w:t>
      </w:r>
    </w:p>
    <w:p w14:paraId="5ACB2DBF" w14:textId="560E3C91" w:rsidR="000B51DC" w:rsidRDefault="000B51DC" w:rsidP="00F517C5">
      <w:pPr>
        <w:pStyle w:val="ListParagraph"/>
        <w:numPr>
          <w:ilvl w:val="0"/>
          <w:numId w:val="22"/>
        </w:numPr>
        <w:suppressAutoHyphens/>
        <w:spacing w:line="240" w:lineRule="atLeast"/>
        <w:ind w:left="714" w:hanging="357"/>
        <w:contextualSpacing w:val="0"/>
      </w:pPr>
      <w:bookmarkStart w:id="469" w:name="_Toc193192688"/>
      <w:bookmarkStart w:id="470" w:name="_Toc196204792"/>
      <w:r w:rsidRPr="38A49B51">
        <w:t>Under the low cost scenario, the average annual cost is $</w:t>
      </w:r>
      <w:r w:rsidR="00147241">
        <w:t>333</w:t>
      </w:r>
      <w:r w:rsidR="00147241" w:rsidRPr="38A49B51">
        <w:t xml:space="preserve"> </w:t>
      </w:r>
      <w:r w:rsidRPr="38A49B51">
        <w:t>million (undiscounted) and the total cost is $</w:t>
      </w:r>
      <w:r w:rsidR="00147241">
        <w:t>2</w:t>
      </w:r>
      <w:r w:rsidR="00D47171">
        <w:t>.0</w:t>
      </w:r>
      <w:r w:rsidRPr="38A49B51">
        <w:t xml:space="preserve"> billion (discounted).</w:t>
      </w:r>
      <w:bookmarkEnd w:id="469"/>
      <w:bookmarkEnd w:id="470"/>
    </w:p>
    <w:p w14:paraId="3FA6E5EF" w14:textId="0ABC1661" w:rsidR="000B51DC" w:rsidRDefault="000B51DC" w:rsidP="00F517C5">
      <w:pPr>
        <w:pStyle w:val="ListParagraph"/>
        <w:numPr>
          <w:ilvl w:val="0"/>
          <w:numId w:val="22"/>
        </w:numPr>
        <w:suppressAutoHyphens/>
        <w:spacing w:line="240" w:lineRule="atLeast"/>
        <w:ind w:left="714" w:hanging="357"/>
        <w:contextualSpacing w:val="0"/>
      </w:pPr>
      <w:bookmarkStart w:id="471" w:name="_Toc193192689"/>
      <w:bookmarkStart w:id="472" w:name="_Toc196204793"/>
      <w:r w:rsidRPr="38A49B51">
        <w:t>Under the high cost scenario, the average annual cost is $</w:t>
      </w:r>
      <w:r w:rsidR="00147241">
        <w:t>555</w:t>
      </w:r>
      <w:r w:rsidR="00147241" w:rsidRPr="38A49B51">
        <w:t xml:space="preserve"> </w:t>
      </w:r>
      <w:r w:rsidRPr="38A49B51">
        <w:t>million (undiscounted) and the total cost is $</w:t>
      </w:r>
      <w:r w:rsidR="00147241">
        <w:t>3.4</w:t>
      </w:r>
      <w:r w:rsidRPr="38A49B51">
        <w:t xml:space="preserve"> billion (discounted).</w:t>
      </w:r>
      <w:bookmarkEnd w:id="471"/>
      <w:bookmarkEnd w:id="472"/>
    </w:p>
    <w:p w14:paraId="17AC1C7B" w14:textId="623375EA" w:rsidR="000B2849" w:rsidRDefault="003E2FE1" w:rsidP="005D39FA">
      <w:pPr>
        <w:suppressAutoHyphens/>
        <w:spacing w:line="259" w:lineRule="auto"/>
        <w:contextualSpacing w:val="0"/>
      </w:pPr>
      <w:r>
        <w:fldChar w:fldCharType="begin"/>
      </w:r>
      <w:r>
        <w:instrText xml:space="preserve"> REF _Ref199925217 \h </w:instrText>
      </w:r>
      <w:r>
        <w:fldChar w:fldCharType="separate"/>
      </w:r>
      <w:r w:rsidR="00A002F4">
        <w:t xml:space="preserve">Table </w:t>
      </w:r>
      <w:r w:rsidR="00A002F4">
        <w:rPr>
          <w:noProof/>
        </w:rPr>
        <w:t>32</w:t>
      </w:r>
      <w:r>
        <w:fldChar w:fldCharType="end"/>
      </w:r>
      <w:r>
        <w:t xml:space="preserve"> </w:t>
      </w:r>
      <w:r w:rsidR="000B51DC" w:rsidRPr="38A49B51">
        <w:t xml:space="preserve">presents the estimated average annual </w:t>
      </w:r>
      <w:r w:rsidR="001F5EF8">
        <w:t>incremental</w:t>
      </w:r>
      <w:r w:rsidR="001F5EF8" w:rsidRPr="38A49B51">
        <w:t xml:space="preserve"> </w:t>
      </w:r>
      <w:r w:rsidR="000B51DC" w:rsidRPr="38A49B51">
        <w:t>costs per affected business by business size category for the proposed WEL for nitrogen dioxide.</w:t>
      </w:r>
      <w:r w:rsidR="00BF42EC">
        <w:t xml:space="preserve"> </w:t>
      </w:r>
      <w:r w:rsidR="00196805" w:rsidRPr="00B548F6">
        <w:t>An average annual incremental cost is also assumed in the absence of information to indicate the true distribution of costs across the 10-year appraisal period</w:t>
      </w:r>
      <w:r w:rsidR="00196805">
        <w:t xml:space="preserve">. </w:t>
      </w:r>
      <w:r w:rsidR="00BF42EC">
        <w:t xml:space="preserve">These affected businesses </w:t>
      </w:r>
      <w:r w:rsidR="009F5362">
        <w:t>come from the following industries:</w:t>
      </w:r>
    </w:p>
    <w:p w14:paraId="1067EFEC" w14:textId="32E3B7F8" w:rsidR="009F5362" w:rsidRDefault="002F6244" w:rsidP="00B57E6C">
      <w:pPr>
        <w:pStyle w:val="ListParagraph"/>
        <w:numPr>
          <w:ilvl w:val="0"/>
          <w:numId w:val="52"/>
        </w:numPr>
        <w:ind w:left="714" w:hanging="357"/>
        <w:contextualSpacing w:val="0"/>
      </w:pPr>
      <w:r>
        <w:t>agriculture,</w:t>
      </w:r>
    </w:p>
    <w:p w14:paraId="75677AAF" w14:textId="651584ED" w:rsidR="004A3ACF" w:rsidRDefault="002F6244" w:rsidP="00B57E6C">
      <w:pPr>
        <w:pStyle w:val="ListParagraph"/>
        <w:numPr>
          <w:ilvl w:val="0"/>
          <w:numId w:val="52"/>
        </w:numPr>
        <w:ind w:left="714" w:hanging="357"/>
        <w:contextualSpacing w:val="0"/>
      </w:pPr>
      <w:r>
        <w:t>mining,</w:t>
      </w:r>
    </w:p>
    <w:p w14:paraId="773F1D06" w14:textId="05995E27" w:rsidR="00EA2E0F" w:rsidRDefault="002F6244" w:rsidP="00B57E6C">
      <w:pPr>
        <w:pStyle w:val="ListParagraph"/>
        <w:numPr>
          <w:ilvl w:val="0"/>
          <w:numId w:val="52"/>
        </w:numPr>
        <w:ind w:left="714" w:hanging="357"/>
        <w:contextualSpacing w:val="0"/>
      </w:pPr>
      <w:r>
        <w:t>manufacturing,</w:t>
      </w:r>
    </w:p>
    <w:p w14:paraId="42A0E1AF" w14:textId="67BDC0C7" w:rsidR="00E64326" w:rsidRDefault="002F6244" w:rsidP="00B57E6C">
      <w:pPr>
        <w:pStyle w:val="ListParagraph"/>
        <w:numPr>
          <w:ilvl w:val="0"/>
          <w:numId w:val="52"/>
        </w:numPr>
        <w:ind w:left="714" w:hanging="357"/>
        <w:contextualSpacing w:val="0"/>
      </w:pPr>
      <w:bookmarkStart w:id="473" w:name="_Toc196204796"/>
      <w:r>
        <w:t>electricity</w:t>
      </w:r>
      <w:r w:rsidR="00E64326">
        <w:t xml:space="preserve">, </w:t>
      </w:r>
      <w:r w:rsidR="00F43708">
        <w:t>g</w:t>
      </w:r>
      <w:r w:rsidR="00E64326">
        <w:t xml:space="preserve">as, </w:t>
      </w:r>
      <w:r w:rsidR="00F43708">
        <w:t>w</w:t>
      </w:r>
      <w:r w:rsidR="00E64326">
        <w:t xml:space="preserve">ater and </w:t>
      </w:r>
      <w:r w:rsidR="00F43708">
        <w:t>w</w:t>
      </w:r>
      <w:r w:rsidR="00E64326">
        <w:t xml:space="preserve">aste </w:t>
      </w:r>
      <w:r w:rsidR="00F43708">
        <w:t>s</w:t>
      </w:r>
      <w:r w:rsidR="00E64326">
        <w:t>ervices</w:t>
      </w:r>
      <w:bookmarkEnd w:id="473"/>
      <w:r>
        <w:t>,</w:t>
      </w:r>
    </w:p>
    <w:p w14:paraId="5629579E" w14:textId="75997E7D" w:rsidR="00F43708" w:rsidRDefault="002F6244" w:rsidP="00B57E6C">
      <w:pPr>
        <w:pStyle w:val="ListParagraph"/>
        <w:numPr>
          <w:ilvl w:val="0"/>
          <w:numId w:val="52"/>
        </w:numPr>
        <w:ind w:left="714" w:hanging="357"/>
        <w:contextualSpacing w:val="0"/>
      </w:pPr>
      <w:bookmarkStart w:id="474" w:name="_Toc196204799"/>
      <w:r>
        <w:t>transport</w:t>
      </w:r>
      <w:r w:rsidR="004E1CA0">
        <w:t>, postal and warehousing</w:t>
      </w:r>
      <w:bookmarkEnd w:id="474"/>
      <w:r>
        <w:t>,</w:t>
      </w:r>
      <w:r w:rsidR="00171975">
        <w:t xml:space="preserve"> and</w:t>
      </w:r>
    </w:p>
    <w:p w14:paraId="19660B91" w14:textId="1C966657" w:rsidR="00E357A7" w:rsidRDefault="002F6244" w:rsidP="00B57E6C">
      <w:pPr>
        <w:pStyle w:val="ListParagraph"/>
        <w:numPr>
          <w:ilvl w:val="0"/>
          <w:numId w:val="52"/>
        </w:numPr>
        <w:ind w:left="714" w:hanging="357"/>
        <w:contextualSpacing w:val="0"/>
      </w:pPr>
      <w:bookmarkStart w:id="475" w:name="_Toc196204801"/>
      <w:r>
        <w:t xml:space="preserve">public </w:t>
      </w:r>
      <w:r w:rsidR="00E357A7">
        <w:t>administration and safety</w:t>
      </w:r>
      <w:bookmarkEnd w:id="475"/>
      <w:r w:rsidR="00BF4E0A">
        <w:t>.</w:t>
      </w:r>
    </w:p>
    <w:p w14:paraId="3EA137A8" w14:textId="33BF6AA3" w:rsidR="000B51DC" w:rsidRPr="007C3418" w:rsidRDefault="000B51DC" w:rsidP="00A71B0D">
      <w:pPr>
        <w:keepNext/>
      </w:pPr>
      <w:r w:rsidRPr="38A49B51">
        <w:t>The results indicate that:</w:t>
      </w:r>
    </w:p>
    <w:p w14:paraId="49E10C10" w14:textId="029055FE" w:rsidR="000B51DC" w:rsidRPr="007C3418" w:rsidRDefault="000B51DC" w:rsidP="00A71B0D">
      <w:pPr>
        <w:pStyle w:val="ListParagraph"/>
        <w:keepNext/>
        <w:numPr>
          <w:ilvl w:val="0"/>
          <w:numId w:val="23"/>
        </w:numPr>
        <w:suppressAutoHyphens/>
        <w:spacing w:line="259" w:lineRule="auto"/>
        <w:ind w:left="709"/>
        <w:contextualSpacing w:val="0"/>
      </w:pPr>
      <w:bookmarkStart w:id="476" w:name="_Toc193192690"/>
      <w:bookmarkStart w:id="477" w:name="_Toc196204804"/>
      <w:r w:rsidRPr="38A49B51">
        <w:t xml:space="preserve">There are an estimated </w:t>
      </w:r>
      <w:r w:rsidR="00147241">
        <w:t>52,230</w:t>
      </w:r>
      <w:r w:rsidRPr="38A49B51">
        <w:t xml:space="preserve"> affected businesses, comprising </w:t>
      </w:r>
      <w:r w:rsidR="00147241">
        <w:t>46,153</w:t>
      </w:r>
      <w:r w:rsidRPr="38A49B51">
        <w:t xml:space="preserve"> small businesses, </w:t>
      </w:r>
      <w:r w:rsidR="00147241">
        <w:t>5,364</w:t>
      </w:r>
      <w:r w:rsidRPr="38A49B51">
        <w:t xml:space="preserve"> medium businesses and </w:t>
      </w:r>
      <w:r w:rsidR="00147241">
        <w:t>713</w:t>
      </w:r>
      <w:r w:rsidR="00147241" w:rsidRPr="38A49B51">
        <w:t xml:space="preserve"> </w:t>
      </w:r>
      <w:r w:rsidRPr="38A49B51">
        <w:t>large businesses.</w:t>
      </w:r>
      <w:bookmarkEnd w:id="476"/>
      <w:bookmarkEnd w:id="477"/>
    </w:p>
    <w:p w14:paraId="5998938F" w14:textId="1F7D6797" w:rsidR="000B51DC" w:rsidRDefault="000B51DC" w:rsidP="00B57E6C">
      <w:pPr>
        <w:pStyle w:val="ListParagraph"/>
        <w:numPr>
          <w:ilvl w:val="0"/>
          <w:numId w:val="23"/>
        </w:numPr>
        <w:suppressAutoHyphens/>
        <w:spacing w:line="259" w:lineRule="auto"/>
        <w:ind w:left="709"/>
        <w:contextualSpacing w:val="0"/>
      </w:pPr>
      <w:bookmarkStart w:id="478" w:name="_Toc193192691"/>
      <w:bookmarkStart w:id="479" w:name="_Toc196204805"/>
      <w:r w:rsidRPr="007C3418">
        <w:t xml:space="preserve">The estimated average annual cost </w:t>
      </w:r>
      <w:r w:rsidR="001B6947">
        <w:t xml:space="preserve">is $2,200 </w:t>
      </w:r>
      <w:r w:rsidRPr="007C3418">
        <w:t xml:space="preserve">for </w:t>
      </w:r>
      <w:r w:rsidR="00FE53DE">
        <w:t>small</w:t>
      </w:r>
      <w:r w:rsidR="00FE53DE" w:rsidRPr="007C3418">
        <w:t xml:space="preserve"> </w:t>
      </w:r>
      <w:r w:rsidRPr="007C3418">
        <w:t>businesses</w:t>
      </w:r>
      <w:r>
        <w:t>, $</w:t>
      </w:r>
      <w:r w:rsidR="00C623D2">
        <w:t>10,200</w:t>
      </w:r>
      <w:r>
        <w:t xml:space="preserve"> for medium businesses and $</w:t>
      </w:r>
      <w:r w:rsidR="009D33CB">
        <w:t>402,700 for large</w:t>
      </w:r>
      <w:r>
        <w:t xml:space="preserve"> businesses.</w:t>
      </w:r>
      <w:bookmarkEnd w:id="478"/>
      <w:bookmarkEnd w:id="479"/>
    </w:p>
    <w:p w14:paraId="38EE1A92" w14:textId="54FFE939" w:rsidR="003E2FE1" w:rsidRDefault="003E2FE1" w:rsidP="003E2FE1">
      <w:pPr>
        <w:pStyle w:val="Caption"/>
      </w:pPr>
      <w:bookmarkStart w:id="480" w:name="_Ref199925217"/>
      <w:r>
        <w:lastRenderedPageBreak/>
        <w:t xml:space="preserve">Table </w:t>
      </w:r>
      <w:fldSimple w:instr=" SEQ Table \* ARABIC ">
        <w:r w:rsidR="00A002F4">
          <w:rPr>
            <w:noProof/>
          </w:rPr>
          <w:t>32</w:t>
        </w:r>
      </w:fldSimple>
      <w:bookmarkEnd w:id="480"/>
      <w:r>
        <w:t xml:space="preserve"> - </w:t>
      </w:r>
      <w:r w:rsidRPr="00CB49C8">
        <w:t>Estimated number of affected businesses for nitrogen dioxide and average annual incremental cost per affected business by business size ($, undiscounted),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2"/>
        <w:gridCol w:w="2254"/>
        <w:gridCol w:w="2396"/>
        <w:gridCol w:w="2114"/>
      </w:tblGrid>
      <w:tr w:rsidR="000B51DC" w14:paraId="6F33DADF" w14:textId="77777777" w:rsidTr="00FB18E4">
        <w:tc>
          <w:tcPr>
            <w:tcW w:w="2252" w:type="dxa"/>
            <w:shd w:val="clear" w:color="auto" w:fill="4877E0" w:themeFill="accent1"/>
          </w:tcPr>
          <w:p w14:paraId="387561CE"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Measure</w:t>
            </w:r>
          </w:p>
        </w:tc>
        <w:tc>
          <w:tcPr>
            <w:tcW w:w="2254" w:type="dxa"/>
            <w:shd w:val="clear" w:color="auto" w:fill="4877E0" w:themeFill="accent1"/>
          </w:tcPr>
          <w:p w14:paraId="0A35E7F7"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Small businesses</w:t>
            </w:r>
          </w:p>
        </w:tc>
        <w:tc>
          <w:tcPr>
            <w:tcW w:w="2396" w:type="dxa"/>
            <w:shd w:val="clear" w:color="auto" w:fill="4877E0" w:themeFill="accent1"/>
          </w:tcPr>
          <w:p w14:paraId="5110B72F"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Medium businesses</w:t>
            </w:r>
          </w:p>
        </w:tc>
        <w:tc>
          <w:tcPr>
            <w:tcW w:w="2114" w:type="dxa"/>
            <w:shd w:val="clear" w:color="auto" w:fill="4877E0" w:themeFill="accent1"/>
          </w:tcPr>
          <w:p w14:paraId="095078B8"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Large businesses</w:t>
            </w:r>
          </w:p>
        </w:tc>
      </w:tr>
      <w:tr w:rsidR="005F7464" w14:paraId="71E2C742" w14:textId="77777777" w:rsidTr="005F7464">
        <w:tc>
          <w:tcPr>
            <w:tcW w:w="2252" w:type="dxa"/>
          </w:tcPr>
          <w:p w14:paraId="394224EE" w14:textId="6E718C9D" w:rsidR="005F7464" w:rsidRPr="00296A4F" w:rsidRDefault="005F7464" w:rsidP="005F7464">
            <w:pPr>
              <w:keepNext/>
              <w:keepLines/>
              <w:suppressAutoHyphens/>
              <w:spacing w:after="0" w:line="259" w:lineRule="auto"/>
              <w:contextualSpacing w:val="0"/>
              <w:rPr>
                <w:b/>
                <w:bCs/>
              </w:rPr>
            </w:pPr>
            <w:r w:rsidRPr="00296A4F">
              <w:rPr>
                <w:b/>
                <w:bCs/>
              </w:rPr>
              <w:t>Number of affected businesses p.a.</w:t>
            </w:r>
          </w:p>
        </w:tc>
        <w:tc>
          <w:tcPr>
            <w:tcW w:w="2254" w:type="dxa"/>
            <w:vAlign w:val="center"/>
          </w:tcPr>
          <w:p w14:paraId="398FA1F7" w14:textId="6C3BB4B1" w:rsidR="005F7464" w:rsidRDefault="00147241" w:rsidP="005F7464">
            <w:pPr>
              <w:keepNext/>
              <w:keepLines/>
              <w:suppressAutoHyphens/>
              <w:spacing w:after="0" w:line="259" w:lineRule="auto"/>
              <w:contextualSpacing w:val="0"/>
              <w:jc w:val="right"/>
            </w:pPr>
            <w:r>
              <w:t>46,153</w:t>
            </w:r>
          </w:p>
        </w:tc>
        <w:tc>
          <w:tcPr>
            <w:tcW w:w="2396" w:type="dxa"/>
            <w:vAlign w:val="center"/>
          </w:tcPr>
          <w:p w14:paraId="564562F6" w14:textId="5E2E99FA" w:rsidR="005F7464" w:rsidRDefault="00147241" w:rsidP="005F7464">
            <w:pPr>
              <w:keepNext/>
              <w:keepLines/>
              <w:suppressAutoHyphens/>
              <w:spacing w:after="0" w:line="259" w:lineRule="auto"/>
              <w:contextualSpacing w:val="0"/>
              <w:jc w:val="right"/>
            </w:pPr>
            <w:r>
              <w:t>5,364</w:t>
            </w:r>
          </w:p>
        </w:tc>
        <w:tc>
          <w:tcPr>
            <w:tcW w:w="2114" w:type="dxa"/>
            <w:vAlign w:val="center"/>
          </w:tcPr>
          <w:p w14:paraId="3EF2563A" w14:textId="6EA46A0B" w:rsidR="005F7464" w:rsidRDefault="00147241" w:rsidP="005F7464">
            <w:pPr>
              <w:keepNext/>
              <w:keepLines/>
              <w:suppressAutoHyphens/>
              <w:spacing w:after="0" w:line="259" w:lineRule="auto"/>
              <w:contextualSpacing w:val="0"/>
              <w:jc w:val="right"/>
            </w:pPr>
            <w:r>
              <w:t>713</w:t>
            </w:r>
          </w:p>
        </w:tc>
      </w:tr>
      <w:tr w:rsidR="005F7464" w14:paraId="5300F939" w14:textId="77777777" w:rsidTr="00BE5CDF">
        <w:tc>
          <w:tcPr>
            <w:tcW w:w="2252" w:type="dxa"/>
            <w:shd w:val="clear" w:color="auto" w:fill="DAE3F8" w:themeFill="accent1" w:themeFillTint="33"/>
          </w:tcPr>
          <w:p w14:paraId="33608769" w14:textId="224C0DE7" w:rsidR="005F7464" w:rsidRPr="00296A4F" w:rsidRDefault="005F7464" w:rsidP="005F7464">
            <w:pPr>
              <w:keepNext/>
              <w:keepLines/>
              <w:suppressAutoHyphens/>
              <w:spacing w:after="0" w:line="259" w:lineRule="auto"/>
              <w:contextualSpacing w:val="0"/>
              <w:rPr>
                <w:b/>
                <w:bCs/>
              </w:rPr>
            </w:pPr>
            <w:r w:rsidRPr="00296A4F">
              <w:rPr>
                <w:b/>
                <w:bCs/>
              </w:rPr>
              <w:t>Av. cost per business p.a.</w:t>
            </w:r>
            <w:r w:rsidR="00CA073C">
              <w:rPr>
                <w:b/>
                <w:bCs/>
              </w:rPr>
              <w:t xml:space="preserve"> (</w:t>
            </w:r>
            <w:r w:rsidR="00941773">
              <w:rPr>
                <w:b/>
                <w:bCs/>
              </w:rPr>
              <w:t>$, undiscounted)</w:t>
            </w:r>
          </w:p>
        </w:tc>
        <w:tc>
          <w:tcPr>
            <w:tcW w:w="2254" w:type="dxa"/>
            <w:shd w:val="clear" w:color="auto" w:fill="DAE3F8" w:themeFill="accent1" w:themeFillTint="33"/>
            <w:vAlign w:val="center"/>
          </w:tcPr>
          <w:p w14:paraId="19379E4A" w14:textId="725073FA" w:rsidR="005F7464" w:rsidRDefault="005F7464" w:rsidP="005F7464">
            <w:pPr>
              <w:keepNext/>
              <w:keepLines/>
              <w:suppressAutoHyphens/>
              <w:spacing w:after="0" w:line="259" w:lineRule="auto"/>
              <w:contextualSpacing w:val="0"/>
              <w:jc w:val="right"/>
            </w:pPr>
            <w:r>
              <w:t>2,200</w:t>
            </w:r>
          </w:p>
        </w:tc>
        <w:tc>
          <w:tcPr>
            <w:tcW w:w="2396" w:type="dxa"/>
            <w:shd w:val="clear" w:color="auto" w:fill="DAE3F8" w:themeFill="accent1" w:themeFillTint="33"/>
            <w:vAlign w:val="center"/>
          </w:tcPr>
          <w:p w14:paraId="05C039E1" w14:textId="07A17E83" w:rsidR="005F7464" w:rsidRDefault="005F7464" w:rsidP="005F7464">
            <w:pPr>
              <w:keepNext/>
              <w:keepLines/>
              <w:suppressAutoHyphens/>
              <w:spacing w:after="0" w:line="259" w:lineRule="auto"/>
              <w:contextualSpacing w:val="0"/>
              <w:jc w:val="right"/>
            </w:pPr>
            <w:r>
              <w:t>10,200</w:t>
            </w:r>
          </w:p>
        </w:tc>
        <w:tc>
          <w:tcPr>
            <w:tcW w:w="2114" w:type="dxa"/>
            <w:shd w:val="clear" w:color="auto" w:fill="DAE3F8" w:themeFill="accent1" w:themeFillTint="33"/>
            <w:vAlign w:val="center"/>
          </w:tcPr>
          <w:p w14:paraId="3A791AAC" w14:textId="73C3E848" w:rsidR="005F7464" w:rsidRDefault="005F7464" w:rsidP="005F7464">
            <w:pPr>
              <w:keepNext/>
              <w:keepLines/>
              <w:suppressAutoHyphens/>
              <w:spacing w:after="0" w:line="259" w:lineRule="auto"/>
              <w:contextualSpacing w:val="0"/>
              <w:jc w:val="right"/>
            </w:pPr>
            <w:r>
              <w:t>402,700</w:t>
            </w:r>
          </w:p>
        </w:tc>
      </w:tr>
    </w:tbl>
    <w:p w14:paraId="3EC8CE9C" w14:textId="77777777" w:rsidR="000B51DC" w:rsidRDefault="000B51DC" w:rsidP="000B51DC">
      <w:pPr>
        <w:rPr>
          <w:b/>
          <w:bCs/>
        </w:rPr>
      </w:pPr>
    </w:p>
    <w:p w14:paraId="2120C6E1" w14:textId="4BCB2693" w:rsidR="00F57EC9" w:rsidRDefault="00F57EC9" w:rsidP="00FB18E4">
      <w:pPr>
        <w:pStyle w:val="SWAHeading2"/>
        <w:ind w:left="709"/>
      </w:pPr>
      <w:bookmarkStart w:id="481" w:name="_Toc196204806"/>
      <w:bookmarkStart w:id="482" w:name="_Toc219216915"/>
      <w:r>
        <w:t xml:space="preserve">Stakeholder </w:t>
      </w:r>
      <w:r w:rsidR="00D542D5">
        <w:t>views on proposed WEL for nitrogen</w:t>
      </w:r>
      <w:r w:rsidR="0016657B">
        <w:t xml:space="preserve"> dioxide</w:t>
      </w:r>
      <w:bookmarkEnd w:id="481"/>
      <w:bookmarkEnd w:id="482"/>
    </w:p>
    <w:p w14:paraId="176C99FF" w14:textId="547FCCDA" w:rsidR="003A5752" w:rsidRDefault="00F41B92" w:rsidP="007F42C8">
      <w:pPr>
        <w:contextualSpacing w:val="0"/>
      </w:pPr>
      <w:r>
        <w:t>As part of the</w:t>
      </w:r>
      <w:r w:rsidR="003A5752">
        <w:t xml:space="preserve"> public consultation</w:t>
      </w:r>
      <w:r>
        <w:t xml:space="preserve"> process supporting this Decision RIS</w:t>
      </w:r>
      <w:r w:rsidR="003A5752">
        <w:t xml:space="preserve">, </w:t>
      </w:r>
      <w:r w:rsidR="00B72191" w:rsidRPr="00F9536B">
        <w:t>18</w:t>
      </w:r>
      <w:r w:rsidR="00B72191">
        <w:t xml:space="preserve"> </w:t>
      </w:r>
      <w:r w:rsidR="00BB5B08">
        <w:t>submissions were received</w:t>
      </w:r>
      <w:r w:rsidR="00B36621">
        <w:t xml:space="preserve"> </w:t>
      </w:r>
      <w:r>
        <w:t>that addressed the proposed WEL for</w:t>
      </w:r>
      <w:r w:rsidR="00BB5B08">
        <w:t xml:space="preserve"> nitrogen dioxide. </w:t>
      </w:r>
    </w:p>
    <w:p w14:paraId="6656F877" w14:textId="27AE51D4" w:rsidR="00271E99" w:rsidRDefault="00EC7BB5" w:rsidP="00935AAF">
      <w:pPr>
        <w:contextualSpacing w:val="0"/>
      </w:pPr>
      <w:r w:rsidRPr="00F9536B">
        <w:t>Eight</w:t>
      </w:r>
      <w:r>
        <w:t xml:space="preserve"> </w:t>
      </w:r>
      <w:r w:rsidR="006205A0">
        <w:t xml:space="preserve">of the </w:t>
      </w:r>
      <w:r w:rsidR="00B72191">
        <w:t xml:space="preserve">18 </w:t>
      </w:r>
      <w:r w:rsidR="00BB5B08">
        <w:t xml:space="preserve">submissions </w:t>
      </w:r>
      <w:r w:rsidR="00935AAF">
        <w:t xml:space="preserve">supported the health-based </w:t>
      </w:r>
      <w:r w:rsidR="009967D9">
        <w:t xml:space="preserve">TWA </w:t>
      </w:r>
      <w:r w:rsidR="00EB63AA">
        <w:t>of</w:t>
      </w:r>
      <w:r w:rsidR="009967D9">
        <w:t xml:space="preserve"> 0.2 ppm (0.38 mg/m</w:t>
      </w:r>
      <w:r w:rsidR="009967D9" w:rsidRPr="00680F5B">
        <w:rPr>
          <w:vertAlign w:val="superscript"/>
        </w:rPr>
        <w:t>3</w:t>
      </w:r>
      <w:r w:rsidR="009967D9">
        <w:t xml:space="preserve">) and </w:t>
      </w:r>
      <w:r w:rsidR="00B36621">
        <w:t xml:space="preserve">removal of the </w:t>
      </w:r>
      <w:r w:rsidR="00EB53F9">
        <w:t>STEL for nitrogen dioxide</w:t>
      </w:r>
      <w:r w:rsidR="005A2939">
        <w:t xml:space="preserve"> (Option 2)</w:t>
      </w:r>
      <w:r w:rsidR="009967D9">
        <w:t xml:space="preserve">. </w:t>
      </w:r>
    </w:p>
    <w:p w14:paraId="25F51FB2" w14:textId="29EA234B" w:rsidR="00EB53F9" w:rsidRDefault="00EB53F9" w:rsidP="00B36621">
      <w:pPr>
        <w:contextualSpacing w:val="0"/>
      </w:pPr>
      <w:r>
        <w:t xml:space="preserve">These submissions came from </w:t>
      </w:r>
      <w:r w:rsidR="00B36621">
        <w:t>individuals</w:t>
      </w:r>
      <w:r>
        <w:t>, academics, industry bodies and unions. S</w:t>
      </w:r>
      <w:r w:rsidR="00B36621">
        <w:t>takeholders</w:t>
      </w:r>
      <w:r w:rsidR="006F27B8">
        <w:t xml:space="preserve"> who supported Option 2</w:t>
      </w:r>
      <w:r w:rsidR="00B36621">
        <w:t xml:space="preserve"> noted their s</w:t>
      </w:r>
      <w:r>
        <w:t xml:space="preserve">upport </w:t>
      </w:r>
      <w:r w:rsidR="006F27B8">
        <w:t>is</w:t>
      </w:r>
      <w:r>
        <w:t xml:space="preserve"> based on:</w:t>
      </w:r>
    </w:p>
    <w:p w14:paraId="0E444277" w14:textId="1658B716" w:rsidR="006910B3" w:rsidRPr="00302E5F" w:rsidRDefault="006910B3" w:rsidP="00B57E6C">
      <w:pPr>
        <w:pStyle w:val="ListParagraph"/>
        <w:numPr>
          <w:ilvl w:val="0"/>
          <w:numId w:val="48"/>
        </w:numPr>
        <w:spacing w:line="259" w:lineRule="auto"/>
        <w:ind w:left="714" w:hanging="357"/>
        <w:contextualSpacing w:val="0"/>
        <w:rPr>
          <w:i/>
          <w:sz w:val="24"/>
          <w:szCs w:val="28"/>
        </w:rPr>
      </w:pPr>
      <w:bookmarkStart w:id="483" w:name="_Toc196204807"/>
      <w:r w:rsidRPr="00302E5F">
        <w:rPr>
          <w:rStyle w:val="Emphasis"/>
          <w:rFonts w:cs="Arial"/>
          <w:i w:val="0"/>
          <w:szCs w:val="22"/>
        </w:rPr>
        <w:t>protect</w:t>
      </w:r>
      <w:r w:rsidR="006F27B8">
        <w:rPr>
          <w:rStyle w:val="Emphasis"/>
          <w:rFonts w:cs="Arial"/>
          <w:i w:val="0"/>
          <w:szCs w:val="22"/>
        </w:rPr>
        <w:t>ion</w:t>
      </w:r>
      <w:r w:rsidRPr="00302E5F">
        <w:rPr>
          <w:rStyle w:val="Emphasis"/>
          <w:rFonts w:cs="Arial"/>
          <w:i w:val="0"/>
          <w:szCs w:val="22"/>
        </w:rPr>
        <w:t xml:space="preserve"> against adverse health effects in the lower respiratory tract in exposed workers</w:t>
      </w:r>
      <w:r w:rsidR="00737E31">
        <w:rPr>
          <w:rStyle w:val="FootnoteReference"/>
          <w:rFonts w:cs="Arial"/>
          <w:bCs/>
          <w:szCs w:val="22"/>
        </w:rPr>
        <w:footnoteReference w:id="229"/>
      </w:r>
      <w:r w:rsidRPr="00302E5F">
        <w:rPr>
          <w:rStyle w:val="Emphasis"/>
          <w:rFonts w:cs="Arial"/>
          <w:i w:val="0"/>
          <w:szCs w:val="22"/>
        </w:rPr>
        <w:t>.</w:t>
      </w:r>
      <w:bookmarkEnd w:id="483"/>
      <w:r w:rsidRPr="00302E5F">
        <w:rPr>
          <w:rStyle w:val="Emphasis"/>
          <w:rFonts w:cs="Arial"/>
          <w:i w:val="0"/>
          <w:szCs w:val="22"/>
        </w:rPr>
        <w:t xml:space="preserve"> </w:t>
      </w:r>
    </w:p>
    <w:p w14:paraId="792B8BED" w14:textId="63AD9DB6" w:rsidR="006910B3" w:rsidRPr="003776B4" w:rsidRDefault="009361AD" w:rsidP="00B57E6C">
      <w:pPr>
        <w:pStyle w:val="ListParagraph"/>
        <w:numPr>
          <w:ilvl w:val="0"/>
          <w:numId w:val="48"/>
        </w:numPr>
        <w:spacing w:line="259" w:lineRule="auto"/>
        <w:ind w:left="714" w:hanging="357"/>
        <w:contextualSpacing w:val="0"/>
        <w:rPr>
          <w:rStyle w:val="Emphasis"/>
          <w:i w:val="0"/>
          <w:iCs/>
        </w:rPr>
      </w:pPr>
      <w:bookmarkStart w:id="484" w:name="_Toc196204808"/>
      <w:r>
        <w:t>alignment</w:t>
      </w:r>
      <w:r w:rsidR="006910B3">
        <w:t xml:space="preserve"> with the United States’ </w:t>
      </w:r>
      <w:r w:rsidR="006910B3" w:rsidRPr="000E735B">
        <w:rPr>
          <w:rStyle w:val="Emphasis"/>
          <w:rFonts w:cs="Arial"/>
          <w:i w:val="0"/>
          <w:szCs w:val="22"/>
        </w:rPr>
        <w:t>National Institute for Occupational Safety and Health (NIOSH) and American Conference Governmental Industrial Hygienists’ TLVs</w:t>
      </w:r>
      <w:r w:rsidR="00AE5D74">
        <w:rPr>
          <w:rStyle w:val="FootnoteReference"/>
          <w:rFonts w:cs="Arial"/>
          <w:bCs/>
          <w:szCs w:val="22"/>
        </w:rPr>
        <w:footnoteReference w:id="230"/>
      </w:r>
      <w:r>
        <w:rPr>
          <w:rStyle w:val="Emphasis"/>
          <w:rFonts w:cs="Arial"/>
          <w:i w:val="0"/>
          <w:szCs w:val="22"/>
        </w:rPr>
        <w:t xml:space="preserve"> which is considered best practice</w:t>
      </w:r>
      <w:r w:rsidR="006910B3" w:rsidRPr="000E735B">
        <w:rPr>
          <w:rStyle w:val="Emphasis"/>
          <w:rFonts w:cs="Arial"/>
          <w:i w:val="0"/>
          <w:szCs w:val="22"/>
        </w:rPr>
        <w:t xml:space="preserve">, </w:t>
      </w:r>
      <w:r w:rsidR="006910B3" w:rsidRPr="00933927">
        <w:rPr>
          <w:rStyle w:val="Emphasis"/>
          <w:rFonts w:cs="Arial"/>
          <w:i w:val="0"/>
          <w:iCs/>
          <w:sz w:val="21"/>
          <w:szCs w:val="21"/>
        </w:rPr>
        <w:t>and</w:t>
      </w:r>
      <w:bookmarkEnd w:id="484"/>
      <w:r w:rsidR="006910B3">
        <w:rPr>
          <w:rStyle w:val="Emphasis"/>
          <w:rFonts w:cs="Arial"/>
          <w:sz w:val="21"/>
          <w:szCs w:val="21"/>
        </w:rPr>
        <w:t xml:space="preserve"> </w:t>
      </w:r>
    </w:p>
    <w:p w14:paraId="47CDC65B" w14:textId="168843C9" w:rsidR="00EB53F9" w:rsidRDefault="009361AD" w:rsidP="00B57E6C">
      <w:pPr>
        <w:pStyle w:val="ListParagraph"/>
        <w:numPr>
          <w:ilvl w:val="0"/>
          <w:numId w:val="48"/>
        </w:numPr>
        <w:spacing w:line="259" w:lineRule="auto"/>
        <w:ind w:left="714" w:hanging="357"/>
        <w:contextualSpacing w:val="0"/>
      </w:pPr>
      <w:bookmarkStart w:id="485" w:name="_Toc196204809"/>
      <w:r>
        <w:t xml:space="preserve">incentive for construction sites to </w:t>
      </w:r>
      <w:r w:rsidR="00EB53F9">
        <w:t>use cleaner options</w:t>
      </w:r>
      <w:r w:rsidR="001A03E0">
        <w:rPr>
          <w:rStyle w:val="FootnoteReference"/>
        </w:rPr>
        <w:footnoteReference w:id="231"/>
      </w:r>
      <w:r w:rsidR="006910B3">
        <w:t>.</w:t>
      </w:r>
      <w:bookmarkEnd w:id="485"/>
    </w:p>
    <w:p w14:paraId="3E1C3D75" w14:textId="54375338" w:rsidR="008C0654" w:rsidRDefault="00B36621" w:rsidP="00195CF8">
      <w:pPr>
        <w:contextualSpacing w:val="0"/>
      </w:pPr>
      <w:r>
        <w:t>Seven</w:t>
      </w:r>
      <w:r w:rsidR="008C0654">
        <w:t xml:space="preserve"> out of </w:t>
      </w:r>
      <w:r w:rsidR="00B72191" w:rsidRPr="00F9536B">
        <w:t>18</w:t>
      </w:r>
      <w:r w:rsidR="00B72191">
        <w:t xml:space="preserve"> </w:t>
      </w:r>
      <w:r w:rsidR="008C0654">
        <w:t>submissions</w:t>
      </w:r>
      <w:r w:rsidR="00EB53F9">
        <w:t xml:space="preserve"> </w:t>
      </w:r>
      <w:r>
        <w:t xml:space="preserve">supported </w:t>
      </w:r>
      <w:r w:rsidR="00EB53F9">
        <w:t>retaining the current TWA of 3 ppm (5.6 mg/m</w:t>
      </w:r>
      <w:r w:rsidR="00EB53F9" w:rsidRPr="00142907">
        <w:rPr>
          <w:vertAlign w:val="superscript"/>
        </w:rPr>
        <w:t>3</w:t>
      </w:r>
      <w:r w:rsidR="00EB53F9">
        <w:t>) and STEL of 5 ppm (9.4 mg/m</w:t>
      </w:r>
      <w:r w:rsidR="00EB53F9" w:rsidRPr="00161146">
        <w:rPr>
          <w:vertAlign w:val="superscript"/>
        </w:rPr>
        <w:t>3</w:t>
      </w:r>
      <w:r w:rsidR="00EB53F9">
        <w:t>)</w:t>
      </w:r>
      <w:r>
        <w:t xml:space="preserve"> for nitrogen dioxide</w:t>
      </w:r>
      <w:r w:rsidR="004C1C96">
        <w:t xml:space="preserve"> (Option 1)</w:t>
      </w:r>
      <w:r w:rsidR="00EB53F9">
        <w:t xml:space="preserve">. </w:t>
      </w:r>
    </w:p>
    <w:p w14:paraId="196CCA9B" w14:textId="5EB889D0" w:rsidR="00EB53F9" w:rsidRDefault="00EB53F9" w:rsidP="1E908706">
      <w:r>
        <w:t xml:space="preserve">These submissions came from </w:t>
      </w:r>
      <w:r w:rsidR="00541A89">
        <w:t>WHS regulator</w:t>
      </w:r>
      <w:r>
        <w:t>, industry bodies and a PCBU. S</w:t>
      </w:r>
      <w:r w:rsidR="00B36621">
        <w:t xml:space="preserve">takeholders </w:t>
      </w:r>
      <w:r w:rsidR="00762880">
        <w:t>who supported Option 1 noted the</w:t>
      </w:r>
      <w:r w:rsidR="00B36621">
        <w:t>ir s</w:t>
      </w:r>
      <w:r>
        <w:t>upport</w:t>
      </w:r>
      <w:r w:rsidR="00762880">
        <w:t xml:space="preserve"> is </w:t>
      </w:r>
      <w:r>
        <w:t>based on:</w:t>
      </w:r>
    </w:p>
    <w:p w14:paraId="216C0664" w14:textId="02055C55" w:rsidR="00815D77" w:rsidRDefault="00762880" w:rsidP="00B57E6C">
      <w:pPr>
        <w:pStyle w:val="ListParagraph"/>
        <w:numPr>
          <w:ilvl w:val="0"/>
          <w:numId w:val="43"/>
        </w:numPr>
        <w:spacing w:line="259" w:lineRule="auto"/>
        <w:ind w:left="714" w:hanging="357"/>
        <w:contextualSpacing w:val="0"/>
      </w:pPr>
      <w:bookmarkStart w:id="486" w:name="_Toc196204810"/>
      <w:r>
        <w:t xml:space="preserve">lack of </w:t>
      </w:r>
      <w:r w:rsidR="00EB53F9">
        <w:t>evidence of health effects</w:t>
      </w:r>
      <w:r w:rsidR="00480F1E">
        <w:t xml:space="preserve"> to justify the proposed WELs</w:t>
      </w:r>
      <w:r w:rsidR="003E1B17">
        <w:rPr>
          <w:rStyle w:val="FootnoteReference"/>
        </w:rPr>
        <w:footnoteReference w:id="232"/>
      </w:r>
      <w:r w:rsidR="00EB53F9">
        <w:t>,</w:t>
      </w:r>
      <w:bookmarkEnd w:id="486"/>
      <w:r w:rsidR="00EB53F9">
        <w:t xml:space="preserve"> </w:t>
      </w:r>
    </w:p>
    <w:p w14:paraId="53C50E7B" w14:textId="05279148" w:rsidR="00272560" w:rsidRDefault="00272560" w:rsidP="00B57E6C">
      <w:pPr>
        <w:pStyle w:val="ListParagraph"/>
        <w:numPr>
          <w:ilvl w:val="0"/>
          <w:numId w:val="43"/>
        </w:numPr>
        <w:spacing w:line="259" w:lineRule="auto"/>
        <w:ind w:left="714" w:hanging="357"/>
        <w:contextualSpacing w:val="0"/>
      </w:pPr>
      <w:bookmarkStart w:id="487" w:name="_Toc196204811"/>
      <w:r>
        <w:t xml:space="preserve">lower </w:t>
      </w:r>
      <w:r w:rsidR="00762880">
        <w:t xml:space="preserve">levels </w:t>
      </w:r>
      <w:r>
        <w:t>than what</w:t>
      </w:r>
      <w:r w:rsidR="00762880">
        <w:t xml:space="preserve"> are</w:t>
      </w:r>
      <w:r>
        <w:t xml:space="preserve"> implemented in the </w:t>
      </w:r>
      <w:r w:rsidR="00480F1E">
        <w:t xml:space="preserve">European Union </w:t>
      </w:r>
      <w:r w:rsidR="00450202">
        <w:t>while</w:t>
      </w:r>
      <w:r>
        <w:t xml:space="preserve"> fail</w:t>
      </w:r>
      <w:r w:rsidR="00450202">
        <w:t>ing</w:t>
      </w:r>
      <w:r>
        <w:t xml:space="preserve"> to address excursions with the absence of a STEL</w:t>
      </w:r>
      <w:r w:rsidR="00C97077">
        <w:rPr>
          <w:rStyle w:val="FootnoteReference"/>
        </w:rPr>
        <w:footnoteReference w:id="233"/>
      </w:r>
      <w:r>
        <w:t>,</w:t>
      </w:r>
      <w:bookmarkEnd w:id="487"/>
    </w:p>
    <w:p w14:paraId="49C95442" w14:textId="29F6A0D9" w:rsidR="00272560" w:rsidRDefault="00450202" w:rsidP="00B57E6C">
      <w:pPr>
        <w:pStyle w:val="ListParagraph"/>
        <w:numPr>
          <w:ilvl w:val="0"/>
          <w:numId w:val="43"/>
        </w:numPr>
        <w:spacing w:line="259" w:lineRule="auto"/>
        <w:ind w:left="714" w:hanging="357"/>
        <w:contextualSpacing w:val="0"/>
      </w:pPr>
      <w:bookmarkStart w:id="488" w:name="_Toc196204812"/>
      <w:r>
        <w:t>inability to measure</w:t>
      </w:r>
      <w:r w:rsidR="00272560" w:rsidRPr="001B3617">
        <w:t xml:space="preserve"> with current and readily available real time instrumentation</w:t>
      </w:r>
      <w:r w:rsidR="004F0075">
        <w:rPr>
          <w:rStyle w:val="FootnoteReference"/>
        </w:rPr>
        <w:footnoteReference w:id="234"/>
      </w:r>
      <w:r w:rsidR="00272560">
        <w:t>, such as gas monitor sensor technology</w:t>
      </w:r>
      <w:r w:rsidR="004F0075">
        <w:rPr>
          <w:rStyle w:val="FootnoteReference"/>
        </w:rPr>
        <w:footnoteReference w:id="235"/>
      </w:r>
      <w:r w:rsidR="00792813">
        <w:t>,</w:t>
      </w:r>
      <w:bookmarkEnd w:id="488"/>
    </w:p>
    <w:p w14:paraId="1E057C68" w14:textId="6AE256DD" w:rsidR="00AC460C" w:rsidRPr="00CD6919" w:rsidRDefault="00EB53F9" w:rsidP="00B57E6C">
      <w:pPr>
        <w:pStyle w:val="paragraph0"/>
        <w:numPr>
          <w:ilvl w:val="0"/>
          <w:numId w:val="43"/>
        </w:numPr>
        <w:spacing w:before="0" w:beforeAutospacing="0" w:after="120" w:afterAutospacing="0" w:line="259" w:lineRule="auto"/>
        <w:ind w:left="714" w:hanging="357"/>
        <w:contextualSpacing w:val="0"/>
        <w:textAlignment w:val="baseline"/>
        <w:rPr>
          <w:rFonts w:ascii="Arial" w:eastAsiaTheme="majorEastAsia" w:hAnsi="Arial" w:cs="Arial"/>
          <w:sz w:val="22"/>
          <w:szCs w:val="22"/>
        </w:rPr>
      </w:pPr>
      <w:bookmarkStart w:id="489" w:name="_Hlk192271375"/>
      <w:r w:rsidRPr="00CD6919">
        <w:rPr>
          <w:rFonts w:ascii="Arial" w:eastAsiaTheme="majorEastAsia" w:hAnsi="Arial" w:cs="Arial"/>
          <w:sz w:val="22"/>
          <w:szCs w:val="22"/>
        </w:rPr>
        <w:lastRenderedPageBreak/>
        <w:t xml:space="preserve">preliminary </w:t>
      </w:r>
      <w:r w:rsidR="00FB058B" w:rsidRPr="00CD6919">
        <w:rPr>
          <w:rFonts w:ascii="Arial" w:eastAsiaTheme="majorEastAsia" w:hAnsi="Arial" w:cs="Arial"/>
          <w:sz w:val="22"/>
          <w:szCs w:val="22"/>
        </w:rPr>
        <w:t>estimates</w:t>
      </w:r>
      <w:r w:rsidR="00CD6919" w:rsidRPr="00CD6919">
        <w:rPr>
          <w:rFonts w:ascii="Arial" w:eastAsiaTheme="majorEastAsia" w:hAnsi="Arial" w:cs="Arial"/>
          <w:sz w:val="22"/>
          <w:szCs w:val="22"/>
        </w:rPr>
        <w:t>,</w:t>
      </w:r>
      <w:r w:rsidR="00FB058B" w:rsidRPr="00CD6919">
        <w:rPr>
          <w:rFonts w:ascii="Arial" w:eastAsiaTheme="majorEastAsia" w:hAnsi="Arial" w:cs="Arial"/>
          <w:sz w:val="22"/>
          <w:szCs w:val="22"/>
        </w:rPr>
        <w:t xml:space="preserve"> </w:t>
      </w:r>
      <w:r w:rsidR="00CD6919" w:rsidRPr="00CD6919">
        <w:rPr>
          <w:rFonts w:ascii="Arial" w:eastAsiaTheme="majorEastAsia" w:hAnsi="Arial" w:cs="Arial"/>
          <w:sz w:val="22"/>
          <w:szCs w:val="22"/>
        </w:rPr>
        <w:t>by</w:t>
      </w:r>
      <w:r w:rsidR="00006A58" w:rsidRPr="00CD6919">
        <w:rPr>
          <w:rFonts w:ascii="Arial" w:eastAsiaTheme="majorEastAsia" w:hAnsi="Arial" w:cs="Arial"/>
          <w:sz w:val="22"/>
          <w:szCs w:val="22"/>
        </w:rPr>
        <w:t xml:space="preserve"> Nous</w:t>
      </w:r>
      <w:r w:rsidR="00CD6919" w:rsidRPr="00CD6919">
        <w:rPr>
          <w:rFonts w:ascii="Arial" w:eastAsiaTheme="majorEastAsia" w:hAnsi="Arial" w:cs="Arial"/>
          <w:sz w:val="22"/>
          <w:szCs w:val="22"/>
        </w:rPr>
        <w:t xml:space="preserve"> Group,</w:t>
      </w:r>
      <w:r w:rsidR="00006A58" w:rsidRPr="00CD6919">
        <w:rPr>
          <w:rFonts w:ascii="Arial" w:eastAsiaTheme="majorEastAsia" w:hAnsi="Arial" w:cs="Arial"/>
          <w:sz w:val="22"/>
          <w:szCs w:val="22"/>
        </w:rPr>
        <w:t xml:space="preserve"> </w:t>
      </w:r>
      <w:r w:rsidR="00FB058B" w:rsidRPr="00CD6919">
        <w:rPr>
          <w:rFonts w:ascii="Arial" w:eastAsiaTheme="majorEastAsia" w:hAnsi="Arial" w:cs="Arial"/>
          <w:sz w:val="22"/>
          <w:szCs w:val="22"/>
        </w:rPr>
        <w:t>of the costs and benefits</w:t>
      </w:r>
      <w:r w:rsidRPr="00CD6919">
        <w:rPr>
          <w:rFonts w:ascii="Arial" w:eastAsiaTheme="majorEastAsia" w:hAnsi="Arial" w:cs="Arial"/>
          <w:sz w:val="22"/>
          <w:szCs w:val="22"/>
        </w:rPr>
        <w:t xml:space="preserve"> for nitrogen dioxide</w:t>
      </w:r>
      <w:r w:rsidR="00CD6919" w:rsidRPr="00CD6919">
        <w:rPr>
          <w:rFonts w:ascii="Arial" w:eastAsiaTheme="majorEastAsia" w:hAnsi="Arial" w:cs="Arial"/>
          <w:sz w:val="22"/>
          <w:szCs w:val="22"/>
        </w:rPr>
        <w:t>,</w:t>
      </w:r>
      <w:r w:rsidRPr="00CD6919">
        <w:rPr>
          <w:rFonts w:ascii="Arial" w:eastAsiaTheme="majorEastAsia" w:hAnsi="Arial" w:cs="Arial"/>
          <w:sz w:val="22"/>
          <w:szCs w:val="22"/>
        </w:rPr>
        <w:t xml:space="preserve"> </w:t>
      </w:r>
      <w:r w:rsidR="00006A58" w:rsidRPr="00CD6919">
        <w:rPr>
          <w:rFonts w:ascii="Arial" w:eastAsiaTheme="majorEastAsia" w:hAnsi="Arial" w:cs="Arial"/>
          <w:sz w:val="22"/>
          <w:szCs w:val="22"/>
        </w:rPr>
        <w:t>which suggest</w:t>
      </w:r>
      <w:r w:rsidRPr="00CD6919">
        <w:rPr>
          <w:rFonts w:ascii="Arial" w:eastAsiaTheme="majorEastAsia" w:hAnsi="Arial" w:cs="Arial"/>
          <w:sz w:val="22"/>
          <w:szCs w:val="22"/>
        </w:rPr>
        <w:t xml:space="preserve"> that</w:t>
      </w:r>
      <w:r w:rsidR="00CD6919" w:rsidRPr="00CD6919">
        <w:rPr>
          <w:rFonts w:ascii="Arial" w:eastAsiaTheme="majorEastAsia" w:hAnsi="Arial" w:cs="Arial"/>
          <w:sz w:val="22"/>
          <w:szCs w:val="22"/>
        </w:rPr>
        <w:t xml:space="preserve"> the</w:t>
      </w:r>
      <w:r w:rsidRPr="00CD6919">
        <w:rPr>
          <w:rFonts w:ascii="Arial" w:eastAsiaTheme="majorEastAsia" w:hAnsi="Arial" w:cs="Arial"/>
          <w:sz w:val="22"/>
          <w:szCs w:val="22"/>
        </w:rPr>
        <w:t xml:space="preserve"> </w:t>
      </w:r>
      <w:r w:rsidR="00195CF8" w:rsidRPr="00CD6919">
        <w:rPr>
          <w:rFonts w:ascii="Arial" w:eastAsiaTheme="majorEastAsia" w:hAnsi="Arial" w:cs="Arial"/>
          <w:sz w:val="22"/>
          <w:szCs w:val="22"/>
        </w:rPr>
        <w:t>estimated</w:t>
      </w:r>
      <w:r w:rsidRPr="00CD6919">
        <w:rPr>
          <w:rFonts w:ascii="Arial" w:eastAsiaTheme="majorEastAsia" w:hAnsi="Arial" w:cs="Arial"/>
          <w:sz w:val="22"/>
          <w:szCs w:val="22"/>
        </w:rPr>
        <w:t xml:space="preserve"> costs for Option 2 </w:t>
      </w:r>
      <w:r w:rsidR="00195CF8" w:rsidRPr="00CD6919">
        <w:rPr>
          <w:rFonts w:ascii="Arial" w:eastAsiaTheme="majorEastAsia" w:hAnsi="Arial" w:cs="Arial"/>
          <w:sz w:val="22"/>
          <w:szCs w:val="22"/>
        </w:rPr>
        <w:t>were higher than</w:t>
      </w:r>
      <w:r w:rsidRPr="00CD6919">
        <w:rPr>
          <w:rFonts w:ascii="Arial" w:eastAsiaTheme="majorEastAsia" w:hAnsi="Arial" w:cs="Arial"/>
          <w:sz w:val="22"/>
          <w:szCs w:val="22"/>
        </w:rPr>
        <w:t xml:space="preserve"> the </w:t>
      </w:r>
      <w:r w:rsidR="00195CF8" w:rsidRPr="00CD6919">
        <w:rPr>
          <w:rFonts w:ascii="Arial" w:eastAsiaTheme="majorEastAsia" w:hAnsi="Arial" w:cs="Arial"/>
          <w:sz w:val="22"/>
          <w:szCs w:val="22"/>
        </w:rPr>
        <w:t>estimated</w:t>
      </w:r>
      <w:r w:rsidRPr="00CD6919">
        <w:rPr>
          <w:rFonts w:ascii="Arial" w:eastAsiaTheme="majorEastAsia" w:hAnsi="Arial" w:cs="Arial"/>
          <w:sz w:val="22"/>
          <w:szCs w:val="22"/>
        </w:rPr>
        <w:t xml:space="preserve"> benefits</w:t>
      </w:r>
      <w:r w:rsidR="00F9779C" w:rsidRPr="00CD6919">
        <w:rPr>
          <w:rStyle w:val="FootnoteReference"/>
          <w:rFonts w:ascii="Arial" w:eastAsiaTheme="majorEastAsia" w:hAnsi="Arial" w:cs="Arial"/>
          <w:sz w:val="22"/>
          <w:szCs w:val="22"/>
        </w:rPr>
        <w:footnoteReference w:id="236"/>
      </w:r>
      <w:r w:rsidRPr="00CD6919">
        <w:rPr>
          <w:rFonts w:ascii="Arial" w:eastAsiaTheme="majorEastAsia" w:hAnsi="Arial" w:cs="Arial"/>
          <w:sz w:val="22"/>
          <w:szCs w:val="22"/>
        </w:rPr>
        <w:t xml:space="preserve">, and  </w:t>
      </w:r>
    </w:p>
    <w:bookmarkEnd w:id="489"/>
    <w:p w14:paraId="0D79C4B3" w14:textId="082B5F1D" w:rsidR="00854263" w:rsidRDefault="007B5050" w:rsidP="00B57E6C">
      <w:pPr>
        <w:pStyle w:val="paragraph0"/>
        <w:numPr>
          <w:ilvl w:val="0"/>
          <w:numId w:val="43"/>
        </w:numPr>
        <w:spacing w:before="0" w:beforeAutospacing="0" w:after="120" w:afterAutospacing="0" w:line="240" w:lineRule="auto"/>
        <w:ind w:left="714" w:hanging="357"/>
        <w:contextualSpacing w:val="0"/>
        <w:textAlignment w:val="baseline"/>
        <w:rPr>
          <w:rFonts w:ascii="Arial" w:eastAsiaTheme="majorEastAsia" w:hAnsi="Arial" w:cs="Arial"/>
          <w:sz w:val="22"/>
          <w:szCs w:val="22"/>
        </w:rPr>
      </w:pPr>
      <w:r>
        <w:rPr>
          <w:rFonts w:ascii="Arial" w:eastAsiaTheme="majorEastAsia" w:hAnsi="Arial" w:cs="Arial"/>
          <w:sz w:val="22"/>
          <w:szCs w:val="22"/>
        </w:rPr>
        <w:t>the</w:t>
      </w:r>
      <w:r w:rsidR="00EB53F9" w:rsidRPr="00FB18E4">
        <w:rPr>
          <w:rFonts w:ascii="Arial" w:eastAsiaTheme="majorEastAsia" w:hAnsi="Arial" w:cs="Arial"/>
          <w:sz w:val="22"/>
          <w:szCs w:val="22"/>
        </w:rPr>
        <w:t xml:space="preserve"> practical and feasibility issues such as measurement, compliance</w:t>
      </w:r>
      <w:r w:rsidR="00CB3DEC">
        <w:rPr>
          <w:rFonts w:ascii="Arial" w:eastAsiaTheme="majorEastAsia" w:hAnsi="Arial" w:cs="Arial"/>
          <w:sz w:val="22"/>
          <w:szCs w:val="22"/>
        </w:rPr>
        <w:t>, enforcement</w:t>
      </w:r>
      <w:r w:rsidR="00EB53F9" w:rsidRPr="00FB18E4">
        <w:rPr>
          <w:rFonts w:ascii="Arial" w:eastAsiaTheme="majorEastAsia" w:hAnsi="Arial" w:cs="Arial"/>
          <w:sz w:val="22"/>
          <w:szCs w:val="22"/>
        </w:rPr>
        <w:t xml:space="preserve"> and costs</w:t>
      </w:r>
      <w:r w:rsidR="00A441E9">
        <w:rPr>
          <w:rStyle w:val="FootnoteReference"/>
          <w:rFonts w:ascii="Arial" w:eastAsiaTheme="majorEastAsia" w:hAnsi="Arial" w:cs="Arial"/>
          <w:sz w:val="22"/>
          <w:szCs w:val="22"/>
        </w:rPr>
        <w:footnoteReference w:id="237"/>
      </w:r>
      <w:r w:rsidR="00EB53F9" w:rsidRPr="00FB18E4">
        <w:rPr>
          <w:rFonts w:ascii="Arial" w:eastAsiaTheme="majorEastAsia" w:hAnsi="Arial" w:cs="Arial"/>
          <w:sz w:val="22"/>
          <w:szCs w:val="22"/>
        </w:rPr>
        <w:t xml:space="preserve">. </w:t>
      </w:r>
    </w:p>
    <w:p w14:paraId="3B8F9C14" w14:textId="598B549E" w:rsidR="00E91F7B" w:rsidRDefault="00EB53F9" w:rsidP="009D1CA8">
      <w:pPr>
        <w:pStyle w:val="paragraph0"/>
        <w:spacing w:before="0" w:beforeAutospacing="0" w:after="120" w:afterAutospacing="0"/>
        <w:contextualSpacing w:val="0"/>
        <w:textAlignment w:val="baseline"/>
        <w:rPr>
          <w:rFonts w:asciiTheme="minorHAnsi" w:eastAsiaTheme="majorEastAsia" w:hAnsiTheme="minorHAnsi" w:cstheme="minorHAnsi"/>
          <w:sz w:val="22"/>
          <w:szCs w:val="22"/>
        </w:rPr>
      </w:pPr>
      <w:r w:rsidRPr="00FB18E4">
        <w:rPr>
          <w:rFonts w:asciiTheme="minorHAnsi" w:eastAsiaTheme="majorEastAsia" w:hAnsiTheme="minorHAnsi" w:cstheme="minorHAnsi"/>
          <w:sz w:val="22"/>
          <w:szCs w:val="22"/>
        </w:rPr>
        <w:t xml:space="preserve">Three additional submissions regarding nitrogen dioxide did not </w:t>
      </w:r>
      <w:r w:rsidR="0050601C">
        <w:rPr>
          <w:rFonts w:asciiTheme="minorHAnsi" w:eastAsiaTheme="majorEastAsia" w:hAnsiTheme="minorHAnsi" w:cstheme="minorHAnsi"/>
          <w:sz w:val="22"/>
          <w:szCs w:val="22"/>
        </w:rPr>
        <w:t xml:space="preserve">provide a </w:t>
      </w:r>
      <w:r w:rsidR="00195CF8">
        <w:rPr>
          <w:rFonts w:asciiTheme="minorHAnsi" w:eastAsiaTheme="majorEastAsia" w:hAnsiTheme="minorHAnsi" w:cstheme="minorHAnsi"/>
          <w:sz w:val="22"/>
          <w:szCs w:val="22"/>
        </w:rPr>
        <w:t>preferred</w:t>
      </w:r>
      <w:r w:rsidRPr="00FB18E4">
        <w:rPr>
          <w:rFonts w:asciiTheme="minorHAnsi" w:eastAsiaTheme="majorEastAsia" w:hAnsiTheme="minorHAnsi" w:cstheme="minorHAnsi"/>
          <w:sz w:val="22"/>
          <w:szCs w:val="22"/>
        </w:rPr>
        <w:t xml:space="preserve"> option</w:t>
      </w:r>
      <w:r w:rsidR="0000143F">
        <w:rPr>
          <w:rStyle w:val="FootnoteReference"/>
          <w:rFonts w:asciiTheme="minorHAnsi" w:eastAsiaTheme="majorEastAsia" w:hAnsiTheme="minorHAnsi" w:cstheme="minorHAnsi"/>
          <w:sz w:val="22"/>
          <w:szCs w:val="22"/>
        </w:rPr>
        <w:footnoteReference w:id="238"/>
      </w:r>
      <w:r w:rsidRPr="00FB18E4">
        <w:rPr>
          <w:rFonts w:asciiTheme="minorHAnsi" w:eastAsiaTheme="majorEastAsia" w:hAnsiTheme="minorHAnsi" w:cstheme="minorHAnsi"/>
          <w:sz w:val="22"/>
          <w:szCs w:val="22"/>
        </w:rPr>
        <w:t xml:space="preserve">. </w:t>
      </w:r>
    </w:p>
    <w:p w14:paraId="2168BAF8" w14:textId="77777777" w:rsidR="00F868C5" w:rsidRPr="00F868C5" w:rsidRDefault="00F868C5" w:rsidP="00F868C5">
      <w:pPr>
        <w:pStyle w:val="SWAHeading3"/>
      </w:pPr>
      <w:r w:rsidRPr="00F868C5">
        <w:t>Alternative WELs suggested by stakeholders</w:t>
      </w:r>
    </w:p>
    <w:p w14:paraId="3D48F9D4" w14:textId="4911ADEF" w:rsidR="00C64B50" w:rsidRDefault="00F868C5" w:rsidP="00C64B50">
      <w:r w:rsidRPr="00F868C5">
        <w:t xml:space="preserve">Some stakeholders put forward alternative exposure limits in their submissions for </w:t>
      </w:r>
      <w:r w:rsidR="00C64B50">
        <w:t>nitrogen dioxide</w:t>
      </w:r>
      <w:r w:rsidRPr="00F868C5">
        <w:t xml:space="preserve">. These were considered </w:t>
      </w:r>
      <w:r w:rsidR="00FC504D">
        <w:t xml:space="preserve">against the criteria contained </w:t>
      </w:r>
      <w:r w:rsidR="004E4C87">
        <w:t>with</w:t>
      </w:r>
      <w:r w:rsidR="00FC504D">
        <w:t>in the</w:t>
      </w:r>
      <w:r w:rsidRPr="00F868C5">
        <w:t xml:space="preserve"> WES review methodology agreed by WHS ministers. </w:t>
      </w:r>
    </w:p>
    <w:p w14:paraId="49D96F92" w14:textId="60C3C613" w:rsidR="00F868C5" w:rsidRPr="00F868C5" w:rsidRDefault="00C64B50" w:rsidP="00C64B50">
      <w:r>
        <w:br/>
      </w:r>
      <w:r w:rsidR="000B2364">
        <w:t>Two</w:t>
      </w:r>
      <w:r w:rsidR="00F868C5" w:rsidRPr="00F868C5">
        <w:t xml:space="preserve"> submission</w:t>
      </w:r>
      <w:r w:rsidR="000B2364">
        <w:t>s</w:t>
      </w:r>
      <w:r w:rsidR="00760A87">
        <w:rPr>
          <w:rStyle w:val="FootnoteReference"/>
        </w:rPr>
        <w:footnoteReference w:id="239"/>
      </w:r>
      <w:r w:rsidR="00F868C5" w:rsidRPr="00F868C5">
        <w:t xml:space="preserve"> suggested </w:t>
      </w:r>
      <w:r w:rsidR="00EA1A51">
        <w:t xml:space="preserve">the following </w:t>
      </w:r>
      <w:r w:rsidR="00F868C5" w:rsidRPr="00F868C5">
        <w:t>alternative WEL:</w:t>
      </w:r>
    </w:p>
    <w:p w14:paraId="359A05B6" w14:textId="3AA21195" w:rsidR="00F868C5" w:rsidRPr="00F868C5" w:rsidRDefault="00F868C5" w:rsidP="00DA28CB">
      <w:pPr>
        <w:pStyle w:val="ListParagraph"/>
        <w:numPr>
          <w:ilvl w:val="0"/>
          <w:numId w:val="168"/>
        </w:numPr>
        <w:ind w:hanging="357"/>
        <w:contextualSpacing w:val="0"/>
      </w:pPr>
      <w:r w:rsidRPr="00F868C5">
        <w:t xml:space="preserve">a TWA of </w:t>
      </w:r>
      <w:r w:rsidR="004C2CE6">
        <w:t>0.</w:t>
      </w:r>
      <w:r w:rsidRPr="00F868C5">
        <w:t xml:space="preserve">5 ppm and STEL of 1 ppm, </w:t>
      </w:r>
      <w:r w:rsidR="009C0F13">
        <w:t>with only one submission highlighting that the alternative WEL was</w:t>
      </w:r>
      <w:r w:rsidRPr="00F868C5">
        <w:t xml:space="preserve"> </w:t>
      </w:r>
      <w:r w:rsidR="00EA7719">
        <w:t xml:space="preserve">recommended </w:t>
      </w:r>
      <w:r w:rsidR="001E25F6">
        <w:t>in 201</w:t>
      </w:r>
      <w:r w:rsidR="00AC1087">
        <w:t>4</w:t>
      </w:r>
      <w:r w:rsidR="001E25F6">
        <w:t xml:space="preserve"> by the</w:t>
      </w:r>
      <w:r w:rsidR="00EA7719">
        <w:t xml:space="preserve"> </w:t>
      </w:r>
      <w:r w:rsidR="001E25F6">
        <w:t xml:space="preserve">European Union’s </w:t>
      </w:r>
      <w:r w:rsidR="00EA7719">
        <w:t>S</w:t>
      </w:r>
      <w:r w:rsidR="001E25F6">
        <w:t xml:space="preserve">cientific Committee on the </w:t>
      </w:r>
      <w:r w:rsidR="00EA7719">
        <w:t>O</w:t>
      </w:r>
      <w:r w:rsidR="001E25F6">
        <w:t>ccupational Exposure Limits (SCOEL)</w:t>
      </w:r>
      <w:r w:rsidRPr="00F868C5">
        <w:t>:</w:t>
      </w:r>
    </w:p>
    <w:p w14:paraId="70D9F081" w14:textId="30F96F46" w:rsidR="00F868C5" w:rsidRDefault="0096425B" w:rsidP="00DA28CB">
      <w:pPr>
        <w:pStyle w:val="ListParagraph"/>
        <w:numPr>
          <w:ilvl w:val="1"/>
          <w:numId w:val="168"/>
        </w:numPr>
        <w:ind w:hanging="357"/>
        <w:contextualSpacing w:val="0"/>
      </w:pPr>
      <w:r>
        <w:t xml:space="preserve">The </w:t>
      </w:r>
      <w:r w:rsidR="007A482F">
        <w:t>2014</w:t>
      </w:r>
      <w:r w:rsidR="00B84BC2">
        <w:t xml:space="preserve"> recommendation by SCOEL was previously considered </w:t>
      </w:r>
      <w:r w:rsidR="007A482F">
        <w:t>as part of the WES review for nitrogen dioxide</w:t>
      </w:r>
      <w:r w:rsidR="00B84BC2">
        <w:t xml:space="preserve">. </w:t>
      </w:r>
      <w:r w:rsidR="009C3C88">
        <w:t xml:space="preserve">No additional health evidence </w:t>
      </w:r>
      <w:r w:rsidR="004F2CDE">
        <w:t xml:space="preserve">in either submission </w:t>
      </w:r>
      <w:r w:rsidR="009C3C88">
        <w:t xml:space="preserve">was provided to support reconsideration of </w:t>
      </w:r>
      <w:r w:rsidR="007A482F">
        <w:t>this recommendation</w:t>
      </w:r>
      <w:r w:rsidR="009C3C88">
        <w:t xml:space="preserve">. </w:t>
      </w:r>
    </w:p>
    <w:p w14:paraId="4CCDAAA3" w14:textId="77777777" w:rsidR="00B67DB5" w:rsidRDefault="007A482F" w:rsidP="00DA28CB">
      <w:pPr>
        <w:pStyle w:val="ListParagraph"/>
        <w:numPr>
          <w:ilvl w:val="1"/>
          <w:numId w:val="168"/>
        </w:numPr>
        <w:ind w:hanging="357"/>
        <w:contextualSpacing w:val="0"/>
      </w:pPr>
      <w:r>
        <w:t xml:space="preserve">The submission also noted that </w:t>
      </w:r>
      <w:r w:rsidR="00D40910">
        <w:t>alternative STEL was supported by United States</w:t>
      </w:r>
      <w:r w:rsidR="002B1B47">
        <w:t>’</w:t>
      </w:r>
      <w:r w:rsidR="00D40910">
        <w:t xml:space="preserve"> National</w:t>
      </w:r>
      <w:r w:rsidR="002B1B47">
        <w:t xml:space="preserve"> Institute for Occupational Safety and Health </w:t>
      </w:r>
      <w:r w:rsidR="00677252">
        <w:t xml:space="preserve">(NIOSH) </w:t>
      </w:r>
      <w:r w:rsidR="002B1B47">
        <w:t xml:space="preserve">and </w:t>
      </w:r>
      <w:r w:rsidR="00715B63">
        <w:t>Occupational Safety and Health Administration</w:t>
      </w:r>
      <w:r w:rsidR="00677252">
        <w:t xml:space="preserve"> (OSHA)</w:t>
      </w:r>
      <w:r w:rsidR="00715B63">
        <w:t>.</w:t>
      </w:r>
      <w:r w:rsidR="00677252">
        <w:t xml:space="preserve"> </w:t>
      </w:r>
    </w:p>
    <w:p w14:paraId="3196708E" w14:textId="77435411" w:rsidR="00B67DB5" w:rsidRDefault="00677252" w:rsidP="00DA28CB">
      <w:pPr>
        <w:pStyle w:val="ListParagraph"/>
        <w:numPr>
          <w:ilvl w:val="1"/>
          <w:numId w:val="168"/>
        </w:numPr>
        <w:ind w:hanging="357"/>
        <w:contextualSpacing w:val="0"/>
      </w:pPr>
      <w:r>
        <w:t xml:space="preserve">OSHA did not meet the criteria </w:t>
      </w:r>
      <w:r w:rsidR="00B67DB5">
        <w:t xml:space="preserve">to be either a primary or secondary </w:t>
      </w:r>
      <w:r>
        <w:t>source</w:t>
      </w:r>
      <w:r w:rsidR="00B67DB5">
        <w:t xml:space="preserve"> for the WES review</w:t>
      </w:r>
      <w:r>
        <w:t xml:space="preserve"> that was agreed </w:t>
      </w:r>
      <w:r w:rsidR="00B67DB5">
        <w:t>by WHS ministers.</w:t>
      </w:r>
    </w:p>
    <w:p w14:paraId="06CFB870" w14:textId="5333991C" w:rsidR="009C0F13" w:rsidRPr="00CA3CF5" w:rsidRDefault="00B67DB5" w:rsidP="00DA28CB">
      <w:pPr>
        <w:pStyle w:val="ListParagraph"/>
        <w:keepNext/>
        <w:keepLines/>
        <w:numPr>
          <w:ilvl w:val="1"/>
          <w:numId w:val="168"/>
        </w:numPr>
        <w:ind w:hanging="357"/>
        <w:contextualSpacing w:val="0"/>
      </w:pPr>
      <w:r>
        <w:t>While NIOSH did meet the criteria to be a secondary source of the WES review</w:t>
      </w:r>
      <w:r w:rsidR="0099148E">
        <w:t xml:space="preserve">, the independent expert </w:t>
      </w:r>
      <w:r w:rsidR="00251EC9">
        <w:t>found that there</w:t>
      </w:r>
      <w:r w:rsidR="0099148E">
        <w:t xml:space="preserve"> was sufficient </w:t>
      </w:r>
      <w:r w:rsidR="00251EC9">
        <w:t>data from the primary sources</w:t>
      </w:r>
      <w:r w:rsidR="009F26C3">
        <w:t xml:space="preserve"> to form a basis of decision-making for recommending the proposed WEL</w:t>
      </w:r>
      <w:r w:rsidR="00251EC9">
        <w:t xml:space="preserve"> </w:t>
      </w:r>
      <w:r w:rsidR="00E54181">
        <w:t xml:space="preserve">and that secondary sources did not </w:t>
      </w:r>
      <w:r w:rsidR="009F26C3">
        <w:t>need to be</w:t>
      </w:r>
      <w:r w:rsidR="00E54181">
        <w:t xml:space="preserve"> relied upon</w:t>
      </w:r>
      <w:r w:rsidR="009F26C3">
        <w:t xml:space="preserve"> </w:t>
      </w:r>
      <w:r w:rsidR="00CA3CF5">
        <w:t xml:space="preserve">as there was no </w:t>
      </w:r>
      <w:r w:rsidR="009F26C3" w:rsidRPr="009F26C3">
        <w:t>significant data gaps or uncertainty arising from the evaluations conducted by primary sources</w:t>
      </w:r>
      <w:r w:rsidR="00CA3CF5">
        <w:t>.</w:t>
      </w:r>
      <w:r w:rsidR="00E54181">
        <w:t xml:space="preserve"> </w:t>
      </w:r>
    </w:p>
    <w:p w14:paraId="05C269FC" w14:textId="10DC5D93" w:rsidR="00EB5F4B" w:rsidRPr="00E21AA9" w:rsidRDefault="009D1CA8" w:rsidP="00E21AA9">
      <w:pPr>
        <w:pStyle w:val="SWAHeading3"/>
        <w:rPr>
          <w:rStyle w:val="Emphasis"/>
          <w:rFonts w:cstheme="minorBidi"/>
          <w:b/>
          <w:bCs w:val="0"/>
          <w:i w:val="0"/>
          <w:iCs/>
          <w:sz w:val="22"/>
          <w:szCs w:val="24"/>
        </w:rPr>
      </w:pPr>
      <w:r w:rsidRPr="005D0841">
        <w:rPr>
          <w:rStyle w:val="Emphasis"/>
          <w:i w:val="0"/>
          <w:iCs/>
        </w:rPr>
        <w:t>Considerations in relation to</w:t>
      </w:r>
      <w:r w:rsidR="00EB5F4B" w:rsidRPr="005D0841">
        <w:rPr>
          <w:rStyle w:val="Emphasis"/>
          <w:i w:val="0"/>
          <w:iCs/>
        </w:rPr>
        <w:t xml:space="preserve"> the proposed WEL for nitrogen dioxide</w:t>
      </w:r>
    </w:p>
    <w:p w14:paraId="68999646" w14:textId="6E452413" w:rsidR="00E40DFB" w:rsidRDefault="00E91D7D" w:rsidP="00E40DFB">
      <w:pPr>
        <w:pStyle w:val="SWAHeading4"/>
        <w:spacing w:before="200"/>
        <w:rPr>
          <w:b w:val="0"/>
          <w:bCs w:val="0"/>
          <w:i w:val="0"/>
          <w:iCs w:val="0"/>
          <w:sz w:val="22"/>
          <w:szCs w:val="24"/>
        </w:rPr>
      </w:pPr>
      <w:r>
        <w:rPr>
          <w:b w:val="0"/>
          <w:bCs w:val="0"/>
          <w:i w:val="0"/>
          <w:iCs w:val="0"/>
          <w:sz w:val="22"/>
          <w:szCs w:val="24"/>
        </w:rPr>
        <w:t>S</w:t>
      </w:r>
      <w:r w:rsidR="00E40DFB" w:rsidRPr="00E55C0C">
        <w:rPr>
          <w:b w:val="0"/>
          <w:bCs w:val="0"/>
          <w:i w:val="0"/>
          <w:iCs w:val="0"/>
          <w:sz w:val="22"/>
          <w:szCs w:val="24"/>
        </w:rPr>
        <w:t xml:space="preserve">takeholders were asked about challenges they expect their industry, business or PCBU </w:t>
      </w:r>
      <w:r w:rsidR="007F1503" w:rsidRPr="00E55C0C">
        <w:rPr>
          <w:b w:val="0"/>
          <w:bCs w:val="0"/>
          <w:i w:val="0"/>
          <w:iCs w:val="0"/>
          <w:sz w:val="22"/>
          <w:szCs w:val="24"/>
        </w:rPr>
        <w:t xml:space="preserve">would </w:t>
      </w:r>
      <w:r w:rsidR="00E40DFB" w:rsidRPr="00E55C0C">
        <w:rPr>
          <w:b w:val="0"/>
          <w:bCs w:val="0"/>
          <w:i w:val="0"/>
          <w:iCs w:val="0"/>
          <w:sz w:val="22"/>
          <w:szCs w:val="24"/>
        </w:rPr>
        <w:t xml:space="preserve">encounter if the proposed WEL </w:t>
      </w:r>
      <w:r w:rsidR="00C1781C">
        <w:rPr>
          <w:b w:val="0"/>
          <w:bCs w:val="0"/>
          <w:i w:val="0"/>
          <w:iCs w:val="0"/>
          <w:sz w:val="22"/>
          <w:szCs w:val="24"/>
        </w:rPr>
        <w:t>for nitrogen dioxide</w:t>
      </w:r>
      <w:r w:rsidR="00E40DFB" w:rsidRPr="00E55C0C">
        <w:rPr>
          <w:b w:val="0"/>
          <w:bCs w:val="0"/>
          <w:i w:val="0"/>
          <w:iCs w:val="0"/>
          <w:sz w:val="22"/>
          <w:szCs w:val="24"/>
        </w:rPr>
        <w:t xml:space="preserve"> was implemented. </w:t>
      </w:r>
      <w:r w:rsidR="00E11B5E">
        <w:rPr>
          <w:b w:val="0"/>
          <w:bCs w:val="0"/>
          <w:i w:val="0"/>
          <w:iCs w:val="0"/>
          <w:sz w:val="22"/>
          <w:szCs w:val="24"/>
        </w:rPr>
        <w:t xml:space="preserve">Measurability, </w:t>
      </w:r>
      <w:r w:rsidR="004626B1">
        <w:rPr>
          <w:b w:val="0"/>
          <w:bCs w:val="0"/>
          <w:i w:val="0"/>
          <w:iCs w:val="0"/>
          <w:sz w:val="22"/>
          <w:szCs w:val="24"/>
        </w:rPr>
        <w:t>current vehicles used in underground mines,</w:t>
      </w:r>
      <w:r w:rsidR="007A1289">
        <w:rPr>
          <w:b w:val="0"/>
          <w:bCs w:val="0"/>
          <w:i w:val="0"/>
          <w:iCs w:val="0"/>
          <w:sz w:val="22"/>
          <w:szCs w:val="24"/>
        </w:rPr>
        <w:t xml:space="preserve"> </w:t>
      </w:r>
      <w:r w:rsidR="005A1FA2">
        <w:rPr>
          <w:b w:val="0"/>
          <w:bCs w:val="0"/>
          <w:i w:val="0"/>
          <w:iCs w:val="0"/>
          <w:sz w:val="22"/>
          <w:szCs w:val="24"/>
        </w:rPr>
        <w:t>interactions with other airborne contaminants</w:t>
      </w:r>
      <w:r w:rsidR="0024329E">
        <w:rPr>
          <w:b w:val="0"/>
          <w:bCs w:val="0"/>
          <w:i w:val="0"/>
          <w:iCs w:val="0"/>
          <w:sz w:val="22"/>
          <w:szCs w:val="24"/>
        </w:rPr>
        <w:t xml:space="preserve">, </w:t>
      </w:r>
      <w:r w:rsidR="0024329E">
        <w:rPr>
          <w:b w:val="0"/>
          <w:bCs w:val="0"/>
          <w:i w:val="0"/>
          <w:iCs w:val="0"/>
          <w:sz w:val="22"/>
          <w:szCs w:val="24"/>
        </w:rPr>
        <w:lastRenderedPageBreak/>
        <w:t>impacts on international competitiveness</w:t>
      </w:r>
      <w:r w:rsidR="004626B1">
        <w:rPr>
          <w:b w:val="0"/>
          <w:bCs w:val="0"/>
          <w:i w:val="0"/>
          <w:iCs w:val="0"/>
          <w:sz w:val="22"/>
          <w:szCs w:val="24"/>
        </w:rPr>
        <w:t xml:space="preserve"> were raised as key challenges associated with the proposed WEL for nitrogen. </w:t>
      </w:r>
    </w:p>
    <w:p w14:paraId="16FDB527" w14:textId="733C6288" w:rsidR="004626B1" w:rsidRDefault="004626B1" w:rsidP="00E10D49">
      <w:pPr>
        <w:pStyle w:val="SWAHeading4"/>
      </w:pPr>
      <w:r>
        <w:t>Measurability</w:t>
      </w:r>
      <w:r w:rsidR="00AC2B31">
        <w:t xml:space="preserve"> concerns</w:t>
      </w:r>
    </w:p>
    <w:p w14:paraId="5D12DE28" w14:textId="1E0F2CFE" w:rsidR="00CF19E3" w:rsidRDefault="003B1952" w:rsidP="0071449F">
      <w:pPr>
        <w:keepNext/>
        <w:keepLines/>
        <w:contextualSpacing w:val="0"/>
      </w:pPr>
      <w:r>
        <w:t xml:space="preserve">Most submissions </w:t>
      </w:r>
      <w:r w:rsidR="008A7719">
        <w:t>from industry stakeholders</w:t>
      </w:r>
      <w:r>
        <w:t xml:space="preserve"> </w:t>
      </w:r>
      <w:r w:rsidR="001403F1">
        <w:t xml:space="preserve">suggested </w:t>
      </w:r>
      <w:r>
        <w:t>that the proposed WEL for nitrogen dioxide would not be measurable</w:t>
      </w:r>
      <w:r w:rsidR="004234CB">
        <w:rPr>
          <w:rStyle w:val="FootnoteReference"/>
        </w:rPr>
        <w:footnoteReference w:id="240"/>
      </w:r>
      <w:r>
        <w:t xml:space="preserve">. </w:t>
      </w:r>
      <w:r w:rsidR="008F5C47">
        <w:t>However, t</w:t>
      </w:r>
      <w:r>
        <w:t>his view does not align with the advice in the evaluation report for nitrogen dioxide that specifies the proposed WEL for nitrogen dioxide is quantifiable through available sampling and analysis techniques</w:t>
      </w:r>
      <w:r w:rsidR="008F5C47">
        <w:t xml:space="preserve"> </w:t>
      </w:r>
      <w:sdt>
        <w:sdtPr>
          <w:id w:val="-583608757"/>
          <w:citation/>
        </w:sdtPr>
        <w:sdtEndPr/>
        <w:sdtContent>
          <w:r w:rsidR="008F5C47">
            <w:fldChar w:fldCharType="begin"/>
          </w:r>
          <w:r w:rsidR="008F5C47">
            <w:instrText xml:space="preserve"> CITATION Saf202 \l 3081 </w:instrText>
          </w:r>
          <w:r w:rsidR="008F5C47">
            <w:fldChar w:fldCharType="separate"/>
          </w:r>
          <w:r w:rsidR="00490B21">
            <w:rPr>
              <w:noProof/>
            </w:rPr>
            <w:t>(Safe Work Australia, 2020)</w:t>
          </w:r>
          <w:r w:rsidR="008F5C47">
            <w:fldChar w:fldCharType="end"/>
          </w:r>
        </w:sdtContent>
      </w:sdt>
      <w:r>
        <w:t xml:space="preserve">. </w:t>
      </w:r>
    </w:p>
    <w:p w14:paraId="170C8947" w14:textId="0802C1A4" w:rsidR="00CF19E3" w:rsidRDefault="003B1952" w:rsidP="00CF6AF9">
      <w:pPr>
        <w:contextualSpacing w:val="0"/>
        <w:rPr>
          <w:rFonts w:eastAsiaTheme="majorEastAsia"/>
          <w:i/>
          <w:iCs/>
          <w:szCs w:val="28"/>
          <w:lang w:val="en-US"/>
        </w:rPr>
      </w:pPr>
      <w:r>
        <w:t xml:space="preserve">It also does not align with the advice from one </w:t>
      </w:r>
      <w:r w:rsidR="00CF19E3">
        <w:t xml:space="preserve">mining </w:t>
      </w:r>
      <w:r>
        <w:t>stakeholder who</w:t>
      </w:r>
      <w:r w:rsidRPr="000F6654">
        <w:rPr>
          <w:rFonts w:eastAsiaTheme="majorEastAsia"/>
          <w:szCs w:val="28"/>
        </w:rPr>
        <w:t xml:space="preserve"> </w:t>
      </w:r>
      <w:r>
        <w:rPr>
          <w:rFonts w:eastAsiaTheme="majorEastAsia"/>
          <w:szCs w:val="28"/>
        </w:rPr>
        <w:t>indicated that the proposed WEL is measurable</w:t>
      </w:r>
      <w:r w:rsidR="00552973">
        <w:rPr>
          <w:rFonts w:eastAsiaTheme="majorEastAsia"/>
          <w:szCs w:val="28"/>
        </w:rPr>
        <w:t xml:space="preserve"> [note </w:t>
      </w:r>
      <w:r w:rsidR="00674FD2">
        <w:rPr>
          <w:rFonts w:eastAsiaTheme="majorEastAsia"/>
          <w:szCs w:val="28"/>
        </w:rPr>
        <w:t xml:space="preserve">this stakeholder’s submission </w:t>
      </w:r>
      <w:r w:rsidR="00311DDD">
        <w:rPr>
          <w:rFonts w:eastAsiaTheme="majorEastAsia"/>
          <w:szCs w:val="28"/>
        </w:rPr>
        <w:t>recommend</w:t>
      </w:r>
      <w:r w:rsidR="00674FD2">
        <w:rPr>
          <w:rFonts w:eastAsiaTheme="majorEastAsia"/>
          <w:szCs w:val="28"/>
        </w:rPr>
        <w:t>ed</w:t>
      </w:r>
      <w:r w:rsidR="00311DDD">
        <w:rPr>
          <w:rFonts w:eastAsiaTheme="majorEastAsia"/>
          <w:szCs w:val="28"/>
        </w:rPr>
        <w:t xml:space="preserve"> an alternative WEL for consideration</w:t>
      </w:r>
      <w:r w:rsidR="00CA12C3">
        <w:rPr>
          <w:rFonts w:eastAsiaTheme="majorEastAsia"/>
          <w:szCs w:val="28"/>
        </w:rPr>
        <w:t>]</w:t>
      </w:r>
      <w:r w:rsidR="00311DDD">
        <w:rPr>
          <w:rFonts w:eastAsiaTheme="majorEastAsia"/>
          <w:szCs w:val="28"/>
        </w:rPr>
        <w:t xml:space="preserve">. </w:t>
      </w:r>
      <w:r>
        <w:rPr>
          <w:rFonts w:eastAsiaTheme="majorEastAsia"/>
          <w:szCs w:val="28"/>
        </w:rPr>
        <w:t xml:space="preserve">This submission </w:t>
      </w:r>
      <w:r w:rsidRPr="000F6654">
        <w:rPr>
          <w:rFonts w:eastAsiaTheme="majorEastAsia"/>
          <w:szCs w:val="28"/>
        </w:rPr>
        <w:t xml:space="preserve">referenced the </w:t>
      </w:r>
      <w:r w:rsidR="00A63F7C">
        <w:rPr>
          <w:rFonts w:eastAsiaTheme="majorEastAsia"/>
          <w:szCs w:val="28"/>
        </w:rPr>
        <w:t xml:space="preserve">European Commissions’ Scientific </w:t>
      </w:r>
      <w:r w:rsidR="002F7712">
        <w:rPr>
          <w:rFonts w:eastAsiaTheme="majorEastAsia"/>
          <w:szCs w:val="28"/>
        </w:rPr>
        <w:t>C</w:t>
      </w:r>
      <w:r w:rsidR="00A63F7C">
        <w:rPr>
          <w:rFonts w:eastAsiaTheme="majorEastAsia"/>
          <w:szCs w:val="28"/>
        </w:rPr>
        <w:t xml:space="preserve">ommittee of </w:t>
      </w:r>
      <w:r w:rsidRPr="000F6654">
        <w:rPr>
          <w:rFonts w:eastAsiaTheme="majorEastAsia"/>
          <w:szCs w:val="28"/>
        </w:rPr>
        <w:t>O</w:t>
      </w:r>
      <w:r w:rsidR="00A63F7C">
        <w:rPr>
          <w:rFonts w:eastAsiaTheme="majorEastAsia"/>
          <w:szCs w:val="28"/>
        </w:rPr>
        <w:t xml:space="preserve">ccupational </w:t>
      </w:r>
      <w:r w:rsidRPr="000F6654">
        <w:rPr>
          <w:rFonts w:eastAsiaTheme="majorEastAsia"/>
          <w:szCs w:val="28"/>
        </w:rPr>
        <w:t>E</w:t>
      </w:r>
      <w:r w:rsidR="00A63F7C">
        <w:rPr>
          <w:rFonts w:eastAsiaTheme="majorEastAsia"/>
          <w:szCs w:val="28"/>
        </w:rPr>
        <w:t xml:space="preserve">xposure </w:t>
      </w:r>
      <w:r w:rsidRPr="000F6654">
        <w:rPr>
          <w:rFonts w:eastAsiaTheme="majorEastAsia"/>
          <w:szCs w:val="28"/>
        </w:rPr>
        <w:t>L</w:t>
      </w:r>
      <w:r w:rsidR="00A63F7C">
        <w:rPr>
          <w:rFonts w:eastAsiaTheme="majorEastAsia"/>
          <w:szCs w:val="28"/>
        </w:rPr>
        <w:t>imits</w:t>
      </w:r>
      <w:r w:rsidR="006A787B">
        <w:rPr>
          <w:rFonts w:eastAsiaTheme="majorEastAsia"/>
          <w:szCs w:val="28"/>
        </w:rPr>
        <w:t xml:space="preserve">’ </w:t>
      </w:r>
      <w:r w:rsidR="00344A5A">
        <w:rPr>
          <w:rFonts w:eastAsiaTheme="majorEastAsia"/>
          <w:szCs w:val="28"/>
        </w:rPr>
        <w:t>(SCOEL)</w:t>
      </w:r>
      <w:r w:rsidR="006A787B">
        <w:rPr>
          <w:rFonts w:eastAsiaTheme="majorEastAsia"/>
          <w:szCs w:val="28"/>
        </w:rPr>
        <w:t xml:space="preserve"> </w:t>
      </w:r>
      <w:r w:rsidR="00F75507">
        <w:rPr>
          <w:rFonts w:eastAsiaTheme="majorEastAsia"/>
          <w:szCs w:val="28"/>
        </w:rPr>
        <w:t>recommendation for occupational exposure limits for nitrogen dioxide, which stated</w:t>
      </w:r>
      <w:r w:rsidRPr="000F6654">
        <w:rPr>
          <w:rFonts w:eastAsiaTheme="majorEastAsia"/>
          <w:szCs w:val="28"/>
        </w:rPr>
        <w:t xml:space="preserve"> “</w:t>
      </w:r>
      <w:r w:rsidRPr="000F6654">
        <w:rPr>
          <w:rFonts w:eastAsiaTheme="majorEastAsia"/>
          <w:szCs w:val="28"/>
          <w:lang w:val="en-US"/>
        </w:rPr>
        <w:t xml:space="preserve">chemiluminescence measurements are considered to represent the ‘gold standard’ of NO/NO2 analysis, with the lowest </w:t>
      </w:r>
      <w:r>
        <w:rPr>
          <w:rFonts w:eastAsiaTheme="majorEastAsia"/>
          <w:szCs w:val="28"/>
          <w:lang w:val="en-US"/>
        </w:rPr>
        <w:t xml:space="preserve">quantified limit of detection </w:t>
      </w:r>
      <w:r w:rsidRPr="000F6654">
        <w:rPr>
          <w:rFonts w:eastAsiaTheme="majorEastAsia"/>
          <w:szCs w:val="28"/>
          <w:lang w:val="en-US"/>
        </w:rPr>
        <w:t>of 0.002 ppm”</w:t>
      </w:r>
      <w:r w:rsidR="00286EBC" w:rsidRPr="000F6654">
        <w:rPr>
          <w:rFonts w:eastAsiaTheme="majorEastAsia"/>
          <w:i/>
          <w:iCs/>
          <w:szCs w:val="28"/>
          <w:lang w:val="en-US"/>
        </w:rPr>
        <w:t xml:space="preserve"> </w:t>
      </w:r>
      <w:sdt>
        <w:sdtPr>
          <w:rPr>
            <w:rFonts w:eastAsiaTheme="majorEastAsia"/>
            <w:i/>
            <w:iCs/>
            <w:szCs w:val="28"/>
            <w:lang w:val="en-US"/>
          </w:rPr>
          <w:id w:val="280539937"/>
          <w:citation/>
        </w:sdtPr>
        <w:sdtEndPr/>
        <w:sdtContent>
          <w:r w:rsidR="00286EBC">
            <w:rPr>
              <w:rFonts w:eastAsiaTheme="majorEastAsia"/>
              <w:i/>
              <w:iCs/>
              <w:szCs w:val="28"/>
              <w:lang w:val="en-US"/>
            </w:rPr>
            <w:fldChar w:fldCharType="begin"/>
          </w:r>
          <w:r w:rsidR="00286EBC">
            <w:rPr>
              <w:rFonts w:eastAsiaTheme="majorEastAsia"/>
              <w:i/>
              <w:iCs/>
              <w:szCs w:val="28"/>
            </w:rPr>
            <w:instrText xml:space="preserve"> CITATION Dir141 \l 3081 </w:instrText>
          </w:r>
          <w:r w:rsidR="00286EBC">
            <w:rPr>
              <w:rFonts w:eastAsiaTheme="majorEastAsia"/>
              <w:i/>
              <w:iCs/>
              <w:szCs w:val="28"/>
              <w:lang w:val="en-US"/>
            </w:rPr>
            <w:fldChar w:fldCharType="separate"/>
          </w:r>
          <w:r w:rsidR="00490B21" w:rsidRPr="00490B21">
            <w:rPr>
              <w:rFonts w:eastAsiaTheme="majorEastAsia"/>
              <w:noProof/>
              <w:szCs w:val="28"/>
            </w:rPr>
            <w:t>(Directorate-General for Employment, Social Affairs and Inclusion (Euorpean Commission), 2014)</w:t>
          </w:r>
          <w:r w:rsidR="00286EBC">
            <w:rPr>
              <w:rFonts w:eastAsiaTheme="majorEastAsia"/>
              <w:i/>
              <w:iCs/>
              <w:szCs w:val="28"/>
              <w:lang w:val="en-US"/>
            </w:rPr>
            <w:fldChar w:fldCharType="end"/>
          </w:r>
        </w:sdtContent>
      </w:sdt>
      <w:r w:rsidRPr="000F6654">
        <w:rPr>
          <w:rFonts w:eastAsiaTheme="majorEastAsia"/>
          <w:szCs w:val="28"/>
          <w:lang w:val="en-US"/>
        </w:rPr>
        <w:t xml:space="preserve">. </w:t>
      </w:r>
      <w:r w:rsidR="00CF19E3">
        <w:rPr>
          <w:rFonts w:eastAsiaTheme="majorEastAsia"/>
          <w:szCs w:val="28"/>
          <w:lang w:val="en-US"/>
        </w:rPr>
        <w:t>The submission</w:t>
      </w:r>
      <w:r w:rsidRPr="000F6654">
        <w:rPr>
          <w:rFonts w:eastAsiaTheme="majorEastAsia"/>
          <w:szCs w:val="28"/>
          <w:lang w:val="en-US"/>
        </w:rPr>
        <w:t xml:space="preserve"> also referenced guidance from the European Commission that stated, “Measurement techniques should be able to assess exposure at: 0.1 times the OEL for 8-hour TWA</w:t>
      </w:r>
      <w:r w:rsidRPr="000F6654">
        <w:rPr>
          <w:rFonts w:eastAsiaTheme="majorEastAsia"/>
          <w:i/>
          <w:iCs/>
          <w:szCs w:val="28"/>
          <w:lang w:val="en-US"/>
        </w:rPr>
        <w:t xml:space="preserve">.” </w:t>
      </w:r>
      <w:sdt>
        <w:sdtPr>
          <w:rPr>
            <w:rFonts w:eastAsiaTheme="majorEastAsia"/>
            <w:i/>
            <w:iCs/>
            <w:szCs w:val="28"/>
            <w:lang w:val="en-US"/>
          </w:rPr>
          <w:id w:val="1257177740"/>
          <w:citation/>
        </w:sdtPr>
        <w:sdtEndPr/>
        <w:sdtContent>
          <w:r w:rsidR="00B337B7">
            <w:rPr>
              <w:rFonts w:eastAsiaTheme="majorEastAsia"/>
              <w:i/>
              <w:iCs/>
              <w:szCs w:val="28"/>
              <w:lang w:val="en-US"/>
            </w:rPr>
            <w:fldChar w:fldCharType="begin"/>
          </w:r>
          <w:r w:rsidR="00B337B7">
            <w:rPr>
              <w:rFonts w:eastAsiaTheme="majorEastAsia"/>
              <w:i/>
              <w:iCs/>
              <w:szCs w:val="28"/>
            </w:rPr>
            <w:instrText xml:space="preserve"> CITATION Dir18 \l 3081 </w:instrText>
          </w:r>
          <w:r w:rsidR="00B337B7">
            <w:rPr>
              <w:rFonts w:eastAsiaTheme="majorEastAsia"/>
              <w:i/>
              <w:iCs/>
              <w:szCs w:val="28"/>
              <w:lang w:val="en-US"/>
            </w:rPr>
            <w:fldChar w:fldCharType="separate"/>
          </w:r>
          <w:r w:rsidR="00490B21" w:rsidRPr="00490B21">
            <w:rPr>
              <w:rFonts w:eastAsiaTheme="majorEastAsia"/>
              <w:noProof/>
              <w:szCs w:val="28"/>
            </w:rPr>
            <w:t>(Directorate-General for Employment, Social Affairs and Inclusion (European Commission), 2018)</w:t>
          </w:r>
          <w:r w:rsidR="00B337B7">
            <w:rPr>
              <w:rFonts w:eastAsiaTheme="majorEastAsia"/>
              <w:i/>
              <w:iCs/>
              <w:szCs w:val="28"/>
              <w:lang w:val="en-US"/>
            </w:rPr>
            <w:fldChar w:fldCharType="end"/>
          </w:r>
        </w:sdtContent>
      </w:sdt>
      <w:r w:rsidR="009C5A8E" w:rsidRPr="003C6691">
        <w:rPr>
          <w:rStyle w:val="FootnoteReference"/>
          <w:rFonts w:eastAsiaTheme="majorEastAsia"/>
          <w:szCs w:val="28"/>
          <w:lang w:val="en-US"/>
        </w:rPr>
        <w:footnoteReference w:id="241"/>
      </w:r>
      <w:r w:rsidR="005C7A34">
        <w:rPr>
          <w:rFonts w:eastAsiaTheme="majorEastAsia"/>
          <w:i/>
          <w:iCs/>
          <w:szCs w:val="28"/>
          <w:lang w:val="en-US"/>
        </w:rPr>
        <w:t xml:space="preserve">. </w:t>
      </w:r>
      <w:r w:rsidR="00B337B7">
        <w:rPr>
          <w:rFonts w:eastAsiaTheme="majorEastAsia"/>
          <w:i/>
          <w:iCs/>
          <w:szCs w:val="28"/>
          <w:lang w:val="en-US"/>
        </w:rPr>
        <w:t xml:space="preserve"> </w:t>
      </w:r>
      <w:r w:rsidR="00286EBC">
        <w:rPr>
          <w:rFonts w:eastAsiaTheme="majorEastAsia"/>
          <w:i/>
          <w:iCs/>
          <w:szCs w:val="28"/>
          <w:lang w:val="en-US"/>
        </w:rPr>
        <w:t xml:space="preserve"> </w:t>
      </w:r>
    </w:p>
    <w:p w14:paraId="5C6734A1" w14:textId="010346EA" w:rsidR="003B1952" w:rsidRDefault="003B1952" w:rsidP="00CF6AF9">
      <w:pPr>
        <w:contextualSpacing w:val="0"/>
        <w:rPr>
          <w:rFonts w:eastAsiaTheme="majorEastAsia"/>
          <w:szCs w:val="28"/>
          <w:lang w:val="en-US"/>
        </w:rPr>
      </w:pPr>
      <w:r w:rsidRPr="000F6654">
        <w:rPr>
          <w:rFonts w:eastAsiaTheme="majorEastAsia"/>
          <w:szCs w:val="28"/>
          <w:lang w:val="en-US"/>
        </w:rPr>
        <w:t xml:space="preserve">The same submission also </w:t>
      </w:r>
      <w:r w:rsidR="00CF19E3">
        <w:rPr>
          <w:rFonts w:eastAsiaTheme="majorEastAsia"/>
          <w:szCs w:val="28"/>
          <w:lang w:val="en-US"/>
        </w:rPr>
        <w:t>stated</w:t>
      </w:r>
      <w:r w:rsidR="00CF19E3" w:rsidRPr="000F6654">
        <w:rPr>
          <w:rFonts w:eastAsiaTheme="majorEastAsia"/>
          <w:szCs w:val="28"/>
          <w:lang w:val="en-US"/>
        </w:rPr>
        <w:t xml:space="preserve"> </w:t>
      </w:r>
      <w:r w:rsidRPr="000F6654">
        <w:rPr>
          <w:rFonts w:eastAsiaTheme="majorEastAsia"/>
          <w:szCs w:val="28"/>
          <w:lang w:val="en-US"/>
        </w:rPr>
        <w:t>that common hand-held detection equipment for nitrogen dioxide can measure from 0 ppm, with 0.1 ppm resolution</w:t>
      </w:r>
      <w:r w:rsidR="001511BB" w:rsidRPr="001511BB">
        <w:rPr>
          <w:rFonts w:eastAsiaTheme="majorEastAsia"/>
          <w:i/>
          <w:iCs/>
          <w:szCs w:val="28"/>
          <w:vertAlign w:val="superscript"/>
          <w:lang w:val="en-US"/>
        </w:rPr>
        <w:footnoteReference w:id="242"/>
      </w:r>
      <w:r w:rsidRPr="000F6654">
        <w:rPr>
          <w:rFonts w:eastAsiaTheme="majorEastAsia"/>
          <w:szCs w:val="28"/>
          <w:lang w:val="en-US"/>
        </w:rPr>
        <w:t xml:space="preserve">. </w:t>
      </w:r>
    </w:p>
    <w:p w14:paraId="7C757A4A" w14:textId="1F5F77AC" w:rsidR="000B6BC1" w:rsidRDefault="00405ECE" w:rsidP="00CF6AF9">
      <w:pPr>
        <w:contextualSpacing w:val="0"/>
        <w:rPr>
          <w:rFonts w:eastAsiaTheme="majorEastAsia"/>
          <w:szCs w:val="28"/>
          <w:lang w:val="en-US"/>
        </w:rPr>
      </w:pPr>
      <w:r w:rsidRPr="00B91307">
        <w:rPr>
          <w:rFonts w:eastAsiaTheme="majorEastAsia"/>
          <w:szCs w:val="28"/>
          <w:lang w:val="en-US"/>
        </w:rPr>
        <w:t>M</w:t>
      </w:r>
      <w:r w:rsidR="00FE2CF6" w:rsidRPr="00B91307">
        <w:rPr>
          <w:rFonts w:eastAsiaTheme="majorEastAsia"/>
          <w:szCs w:val="28"/>
          <w:lang w:val="en-US"/>
        </w:rPr>
        <w:t>ultiple methods</w:t>
      </w:r>
      <w:r w:rsidR="00C86239" w:rsidRPr="00B91307">
        <w:rPr>
          <w:rStyle w:val="FootnoteReference"/>
          <w:rFonts w:eastAsiaTheme="majorEastAsia"/>
          <w:szCs w:val="28"/>
          <w:lang w:val="en-US"/>
        </w:rPr>
        <w:footnoteReference w:id="243"/>
      </w:r>
      <w:r w:rsidR="00FE2CF6" w:rsidRPr="00B91307">
        <w:rPr>
          <w:rFonts w:eastAsiaTheme="majorEastAsia"/>
          <w:szCs w:val="28"/>
          <w:lang w:val="en-US"/>
        </w:rPr>
        <w:t xml:space="preserve"> </w:t>
      </w:r>
      <w:r w:rsidR="00354570" w:rsidRPr="00B91307">
        <w:rPr>
          <w:rFonts w:eastAsiaTheme="majorEastAsia"/>
          <w:szCs w:val="28"/>
          <w:lang w:val="en-US"/>
        </w:rPr>
        <w:t>have been identified</w:t>
      </w:r>
      <w:r w:rsidR="00D276F2" w:rsidRPr="00B91307">
        <w:rPr>
          <w:rFonts w:eastAsiaTheme="majorEastAsia"/>
          <w:szCs w:val="28"/>
          <w:lang w:val="en-US"/>
        </w:rPr>
        <w:t xml:space="preserve"> to</w:t>
      </w:r>
      <w:r w:rsidR="00BA00AD" w:rsidRPr="00B91307">
        <w:rPr>
          <w:rFonts w:eastAsiaTheme="majorEastAsia"/>
          <w:szCs w:val="28"/>
          <w:lang w:val="en-US"/>
        </w:rPr>
        <w:t xml:space="preserve"> measure nitrogen dioxide</w:t>
      </w:r>
      <w:r w:rsidR="001C7134" w:rsidRPr="00B91307">
        <w:rPr>
          <w:rFonts w:eastAsiaTheme="majorEastAsia"/>
          <w:szCs w:val="28"/>
          <w:lang w:val="en-US"/>
        </w:rPr>
        <w:t xml:space="preserve"> </w:t>
      </w:r>
      <w:r w:rsidR="00B307BF" w:rsidRPr="00B91307">
        <w:rPr>
          <w:rFonts w:eastAsiaTheme="majorEastAsia"/>
          <w:szCs w:val="28"/>
          <w:lang w:val="en-US"/>
        </w:rPr>
        <w:t xml:space="preserve">with sufficient sensitivity and certainty to determine compliance at the proposed WEL, </w:t>
      </w:r>
      <w:r w:rsidR="006E19A8" w:rsidRPr="00B91307">
        <w:rPr>
          <w:rFonts w:eastAsiaTheme="majorEastAsia"/>
          <w:szCs w:val="28"/>
          <w:lang w:val="en-US"/>
        </w:rPr>
        <w:t xml:space="preserve">with </w:t>
      </w:r>
      <w:r w:rsidR="00990ECC" w:rsidRPr="00B91307">
        <w:rPr>
          <w:rFonts w:eastAsiaTheme="majorEastAsia"/>
          <w:szCs w:val="28"/>
          <w:lang w:val="en-US"/>
        </w:rPr>
        <w:t xml:space="preserve">commercially available methods </w:t>
      </w:r>
      <w:r w:rsidR="004726A4" w:rsidRPr="00B91307">
        <w:rPr>
          <w:rFonts w:eastAsiaTheme="majorEastAsia"/>
          <w:szCs w:val="28"/>
          <w:lang w:val="en-US"/>
        </w:rPr>
        <w:t>in Australia</w:t>
      </w:r>
      <w:r w:rsidRPr="00B91307">
        <w:rPr>
          <w:rFonts w:eastAsiaTheme="majorEastAsia"/>
          <w:szCs w:val="28"/>
          <w:lang w:val="en-US"/>
        </w:rPr>
        <w:t xml:space="preserve"> </w:t>
      </w:r>
      <w:r w:rsidR="00DB6518" w:rsidRPr="00B91307">
        <w:rPr>
          <w:rFonts w:eastAsiaTheme="majorEastAsia"/>
          <w:szCs w:val="28"/>
          <w:lang w:val="en-US"/>
        </w:rPr>
        <w:t>(based on Safe Work Australia analysis).</w:t>
      </w:r>
    </w:p>
    <w:p w14:paraId="306DFBE8" w14:textId="51480FC3" w:rsidR="00FE2CF6" w:rsidRDefault="008F5EE3" w:rsidP="00CF6AF9">
      <w:pPr>
        <w:contextualSpacing w:val="0"/>
        <w:rPr>
          <w:rFonts w:eastAsiaTheme="majorEastAsia"/>
          <w:szCs w:val="28"/>
          <w:lang w:val="en-US"/>
        </w:rPr>
      </w:pPr>
      <w:r>
        <w:t xml:space="preserve">Sampling related </w:t>
      </w:r>
      <w:r w:rsidRPr="002749A8">
        <w:t>contributions to uncertainty (e.g. sampling equipment limitations) may remain a limitation on measurability</w:t>
      </w:r>
      <w:r>
        <w:t xml:space="preserve"> in some situations, but these issues are not </w:t>
      </w:r>
      <w:r w:rsidR="00DE51E8">
        <w:t>unique</w:t>
      </w:r>
      <w:r>
        <w:t xml:space="preserve"> to nitrogen dioxide. To support the wider transition to the WEL, Safe Work Australia is preparing technical guidance to provide advice on measurement issues, including sampling.</w:t>
      </w:r>
      <w:r w:rsidR="00DC075F">
        <w:rPr>
          <w:rFonts w:eastAsiaTheme="majorEastAsia"/>
          <w:szCs w:val="28"/>
          <w:lang w:val="en-US"/>
        </w:rPr>
        <w:t xml:space="preserve"> </w:t>
      </w:r>
      <w:r w:rsidR="00AE6CEF">
        <w:rPr>
          <w:rFonts w:eastAsiaTheme="majorEastAsia"/>
          <w:szCs w:val="28"/>
          <w:lang w:val="en-US"/>
        </w:rPr>
        <w:t xml:space="preserve"> </w:t>
      </w:r>
    </w:p>
    <w:p w14:paraId="07E0017B" w14:textId="73E8C234" w:rsidR="00344A5A" w:rsidRDefault="002A155C" w:rsidP="00B307BF">
      <w:pPr>
        <w:pStyle w:val="SWAHeading4"/>
      </w:pPr>
      <w:r>
        <w:t>Impacts o</w:t>
      </w:r>
      <w:r w:rsidR="009C5887">
        <w:t>n</w:t>
      </w:r>
      <w:r>
        <w:t xml:space="preserve"> current</w:t>
      </w:r>
      <w:r w:rsidR="008223B5">
        <w:t xml:space="preserve"> vehicles used in underground mines</w:t>
      </w:r>
    </w:p>
    <w:p w14:paraId="293570A8" w14:textId="7F39681A" w:rsidR="008223B5" w:rsidRDefault="00786985" w:rsidP="00CF6AF9">
      <w:pPr>
        <w:contextualSpacing w:val="0"/>
      </w:pPr>
      <w:r>
        <w:t>A</w:t>
      </w:r>
      <w:r w:rsidR="006B6067">
        <w:t>s noted above,</w:t>
      </w:r>
      <w:r>
        <w:t xml:space="preserve"> submissions</w:t>
      </w:r>
      <w:r w:rsidR="00BC6A33">
        <w:t xml:space="preserve"> from the mining industry</w:t>
      </w:r>
      <w:r>
        <w:t xml:space="preserve"> </w:t>
      </w:r>
      <w:r w:rsidR="00607462">
        <w:t>acknowledged</w:t>
      </w:r>
      <w:r>
        <w:t xml:space="preserve"> the proposed WEL </w:t>
      </w:r>
      <w:r w:rsidR="00ED300D">
        <w:t xml:space="preserve">for nitrogen dioxide </w:t>
      </w:r>
      <w:r>
        <w:t xml:space="preserve">will </w:t>
      </w:r>
      <w:r w:rsidR="00ED300D">
        <w:t>promote</w:t>
      </w:r>
      <w:r>
        <w:t xml:space="preserve"> </w:t>
      </w:r>
      <w:r w:rsidR="003808EC">
        <w:t xml:space="preserve">the industry </w:t>
      </w:r>
      <w:r w:rsidR="00ED300D">
        <w:t>to move away</w:t>
      </w:r>
      <w:r w:rsidR="0030526E">
        <w:t xml:space="preserve"> from current combustion engines </w:t>
      </w:r>
      <w:r w:rsidR="003808EC">
        <w:t xml:space="preserve">and </w:t>
      </w:r>
      <w:r>
        <w:t>towards electrifying its fleet of vehicles</w:t>
      </w:r>
      <w:r w:rsidR="00641479">
        <w:rPr>
          <w:rStyle w:val="FootnoteReference"/>
        </w:rPr>
        <w:footnoteReference w:id="244"/>
      </w:r>
      <w:r>
        <w:t xml:space="preserve">. </w:t>
      </w:r>
      <w:r w:rsidR="00D4783F">
        <w:t xml:space="preserve">However, some submissions noted that </w:t>
      </w:r>
      <w:r>
        <w:t>as the technology is not yet mature</w:t>
      </w:r>
      <w:r w:rsidR="00DD78E1">
        <w:t xml:space="preserve"> for that transition to occur</w:t>
      </w:r>
      <w:r w:rsidR="008C6E8F">
        <w:t>,</w:t>
      </w:r>
      <w:r w:rsidR="008223B5">
        <w:t xml:space="preserve"> </w:t>
      </w:r>
      <w:r w:rsidR="00ED300D">
        <w:t>this</w:t>
      </w:r>
      <w:r w:rsidR="008223B5">
        <w:t xml:space="preserve"> would pose a problem </w:t>
      </w:r>
      <w:r w:rsidR="00607462">
        <w:t>in managing exposures to nitrogen dioxide to be below the proposed WEL</w:t>
      </w:r>
      <w:r w:rsidR="008241F2">
        <w:rPr>
          <w:rStyle w:val="FootnoteReference"/>
        </w:rPr>
        <w:footnoteReference w:id="245"/>
      </w:r>
      <w:r w:rsidR="003804F7">
        <w:t xml:space="preserve">. </w:t>
      </w:r>
    </w:p>
    <w:p w14:paraId="1B334D57" w14:textId="585BA987" w:rsidR="00064C29" w:rsidRDefault="00581D00" w:rsidP="00CF6AF9">
      <w:pPr>
        <w:contextualSpacing w:val="0"/>
      </w:pPr>
      <w:r>
        <w:t>O</w:t>
      </w:r>
      <w:r w:rsidR="00144EC4">
        <w:t>ne</w:t>
      </w:r>
      <w:r w:rsidR="00064C29">
        <w:t xml:space="preserve"> submission claimed </w:t>
      </w:r>
      <w:r w:rsidR="00786985">
        <w:t>the proposed change may entail shutting down underground mines and requiring a redesign of ventilation systems to comply with the proposed limit</w:t>
      </w:r>
      <w:r w:rsidR="004D2C5E">
        <w:rPr>
          <w:rStyle w:val="FootnoteReference"/>
        </w:rPr>
        <w:footnoteReference w:id="246"/>
      </w:r>
      <w:r w:rsidR="00786985">
        <w:t xml:space="preserve">. Another submission raised that if the proposed limits are not complied with after maximising </w:t>
      </w:r>
      <w:r w:rsidR="00786985">
        <w:lastRenderedPageBreak/>
        <w:t>ventilation, then they would need to consider limiting operations</w:t>
      </w:r>
      <w:r w:rsidR="00301A59">
        <w:rPr>
          <w:rStyle w:val="FootnoteReference"/>
        </w:rPr>
        <w:footnoteReference w:id="247"/>
      </w:r>
      <w:r w:rsidR="00786985">
        <w:t xml:space="preserve">. </w:t>
      </w:r>
      <w:r w:rsidR="001B725E">
        <w:t>However, from</w:t>
      </w:r>
      <w:r w:rsidR="008469F3">
        <w:t xml:space="preserve"> the information provided, </w:t>
      </w:r>
      <w:r w:rsidR="0069198F">
        <w:t xml:space="preserve">it was unclear whether these submissions have also </w:t>
      </w:r>
      <w:r w:rsidR="008469F3">
        <w:t>consider</w:t>
      </w:r>
      <w:r w:rsidR="0069198F">
        <w:t>ed</w:t>
      </w:r>
      <w:r w:rsidR="008469F3">
        <w:t xml:space="preserve"> other contro</w:t>
      </w:r>
      <w:r w:rsidR="00FF0A47">
        <w:t>ls that could help minimise exposures to nitrogen dioxide</w:t>
      </w:r>
      <w:r w:rsidR="0069198F">
        <w:t xml:space="preserve"> whilst</w:t>
      </w:r>
      <w:r w:rsidR="00022D0A">
        <w:t xml:space="preserve"> any required</w:t>
      </w:r>
      <w:r w:rsidR="0069198F">
        <w:t xml:space="preserve"> </w:t>
      </w:r>
      <w:r w:rsidR="000274C3">
        <w:t xml:space="preserve">redesign </w:t>
      </w:r>
      <w:r w:rsidR="00BA106D">
        <w:t>works are undertaken and post-implementation of these controls</w:t>
      </w:r>
      <w:r w:rsidR="001B725E">
        <w:t xml:space="preserve">. </w:t>
      </w:r>
    </w:p>
    <w:p w14:paraId="74A2FE22" w14:textId="44ED936E" w:rsidR="00243204" w:rsidRDefault="00243204" w:rsidP="00CF6AF9">
      <w:pPr>
        <w:contextualSpacing w:val="0"/>
      </w:pPr>
      <w:r>
        <w:t xml:space="preserve">Another submission mentioned that electrification </w:t>
      </w:r>
      <w:r w:rsidR="00D34AC6">
        <w:t xml:space="preserve">or </w:t>
      </w:r>
      <w:r w:rsidR="006E64BA">
        <w:t xml:space="preserve">the </w:t>
      </w:r>
      <w:r w:rsidR="00D34AC6">
        <w:t xml:space="preserve">move towards battery powered engines and vehicles may be costly, considering </w:t>
      </w:r>
      <w:r w:rsidR="00A52818">
        <w:t xml:space="preserve">the need to also control explosions and </w:t>
      </w:r>
      <w:r w:rsidR="00D34AC6">
        <w:t>fire protection</w:t>
      </w:r>
      <w:r w:rsidR="00A52818">
        <w:t>, particularly in a coal mining setting</w:t>
      </w:r>
      <w:r w:rsidR="00A52818">
        <w:rPr>
          <w:rStyle w:val="FootnoteReference"/>
        </w:rPr>
        <w:footnoteReference w:id="248"/>
      </w:r>
      <w:r w:rsidR="00A52818">
        <w:t>.</w:t>
      </w:r>
      <w:r w:rsidR="00D34AC6">
        <w:t xml:space="preserve"> </w:t>
      </w:r>
    </w:p>
    <w:p w14:paraId="283F949D" w14:textId="2B248A0B" w:rsidR="002F4834" w:rsidRDefault="002F4834" w:rsidP="00E10D49">
      <w:pPr>
        <w:pStyle w:val="SWAHeading4"/>
      </w:pPr>
      <w:r>
        <w:t>Interactions with other airborne contaminants</w:t>
      </w:r>
    </w:p>
    <w:p w14:paraId="54C30E02" w14:textId="4F837217" w:rsidR="00052701" w:rsidRDefault="008F4E39" w:rsidP="002F4834">
      <w:pPr>
        <w:contextualSpacing w:val="0"/>
      </w:pPr>
      <w:r>
        <w:t>Another submission from the mining industry</w:t>
      </w:r>
      <w:r w:rsidR="00786985">
        <w:t xml:space="preserve"> raised how reducing the WEL for nitrogen dioxide </w:t>
      </w:r>
      <w:r w:rsidR="00404C35">
        <w:t xml:space="preserve">would be a challenge in terms of </w:t>
      </w:r>
      <w:r w:rsidR="005C7526">
        <w:t xml:space="preserve">controlling exposures to </w:t>
      </w:r>
      <w:r w:rsidR="00786985" w:rsidRPr="00161E6A">
        <w:t>diesel particulate matter</w:t>
      </w:r>
      <w:r w:rsidR="00786985">
        <w:t xml:space="preserve"> (DPM)</w:t>
      </w:r>
      <w:r w:rsidR="00402216">
        <w:rPr>
          <w:rStyle w:val="FootnoteReference"/>
        </w:rPr>
        <w:footnoteReference w:id="249"/>
      </w:r>
      <w:r w:rsidR="00786985" w:rsidRPr="00161E6A">
        <w:t>.</w:t>
      </w:r>
      <w:r w:rsidR="00786985" w:rsidRPr="00AC43D9">
        <w:t xml:space="preserve"> </w:t>
      </w:r>
      <w:r w:rsidR="004B4724">
        <w:t>A new WEL</w:t>
      </w:r>
      <w:r w:rsidR="003B7896">
        <w:t xml:space="preserve"> was agreed to by WHS ministers as part of the WEL list, and</w:t>
      </w:r>
      <w:r w:rsidR="004B4724">
        <w:t xml:space="preserve"> will be</w:t>
      </w:r>
      <w:r w:rsidR="00562F92">
        <w:t xml:space="preserve"> introduc</w:t>
      </w:r>
      <w:r w:rsidR="004B4724">
        <w:t>ed</w:t>
      </w:r>
      <w:r w:rsidR="00052701">
        <w:t xml:space="preserve"> </w:t>
      </w:r>
      <w:r w:rsidR="00562F92">
        <w:t xml:space="preserve">for DPM from 1 December 2026 following implementation into jurisdictional WHS laws. </w:t>
      </w:r>
    </w:p>
    <w:p w14:paraId="244E3E73" w14:textId="620E14B0" w:rsidR="00052701" w:rsidRDefault="00404C35" w:rsidP="002F4834">
      <w:pPr>
        <w:contextualSpacing w:val="0"/>
      </w:pPr>
      <w:r>
        <w:t xml:space="preserve">The submission </w:t>
      </w:r>
      <w:r w:rsidR="00022D0A">
        <w:t>suggests</w:t>
      </w:r>
      <w:r w:rsidR="00786985">
        <w:t xml:space="preserve"> nitrous oxides, such as nitrogen dioxide, is likely to increase as DPM is reduced through diesel particulate filtration process</w:t>
      </w:r>
      <w:r w:rsidR="005858C2">
        <w:t>es</w:t>
      </w:r>
      <w:r w:rsidR="00786985">
        <w:t xml:space="preserve">. </w:t>
      </w:r>
      <w:r w:rsidR="005858C2">
        <w:t xml:space="preserve">The submission </w:t>
      </w:r>
      <w:r w:rsidR="0084189C">
        <w:t xml:space="preserve">suggested </w:t>
      </w:r>
      <w:r w:rsidR="005858C2">
        <w:t xml:space="preserve">the only way to reduce both DPM and nitrous oxides together is through electrification of vehicles and other combustion engines in the mining worksite, which </w:t>
      </w:r>
      <w:r w:rsidR="00EE1456">
        <w:t>was raised as a potential</w:t>
      </w:r>
      <w:r w:rsidR="005858C2">
        <w:t xml:space="preserve"> </w:t>
      </w:r>
      <w:r w:rsidR="00A96C40">
        <w:t xml:space="preserve">benefit and </w:t>
      </w:r>
      <w:r w:rsidR="005858C2">
        <w:t>challenge for the mining industry</w:t>
      </w:r>
      <w:r w:rsidR="00AD0069">
        <w:t xml:space="preserve">. </w:t>
      </w:r>
    </w:p>
    <w:p w14:paraId="1476B2F1" w14:textId="4391019E" w:rsidR="002F4834" w:rsidRDefault="002F4834" w:rsidP="00E10D49">
      <w:pPr>
        <w:pStyle w:val="SWAHeading4"/>
        <w:rPr>
          <w:lang w:val="en-US"/>
        </w:rPr>
      </w:pPr>
      <w:r>
        <w:rPr>
          <w:lang w:val="en-US"/>
        </w:rPr>
        <w:t>Impacts on international competitiveness</w:t>
      </w:r>
    </w:p>
    <w:p w14:paraId="241A729A" w14:textId="18BFB991" w:rsidR="00381F8E" w:rsidRPr="000F6654" w:rsidRDefault="00704F36" w:rsidP="00F801AB">
      <w:pPr>
        <w:pStyle w:val="SWAHeading4"/>
        <w:spacing w:before="240"/>
        <w:rPr>
          <w:rStyle w:val="Emphasis"/>
          <w:rFonts w:eastAsiaTheme="minorHAnsi" w:cstheme="minorBidi"/>
          <w:sz w:val="22"/>
        </w:rPr>
      </w:pPr>
      <w:r>
        <w:rPr>
          <w:b w:val="0"/>
          <w:i w:val="0"/>
          <w:sz w:val="22"/>
          <w:szCs w:val="32"/>
        </w:rPr>
        <w:t xml:space="preserve">Stakeholders </w:t>
      </w:r>
      <w:r w:rsidR="004F0CB3">
        <w:rPr>
          <w:b w:val="0"/>
          <w:i w:val="0"/>
          <w:sz w:val="22"/>
          <w:szCs w:val="32"/>
        </w:rPr>
        <w:t xml:space="preserve">from the mining industry suggested implementation of the proposed WEL for nitrogen dioxide </w:t>
      </w:r>
      <w:r w:rsidR="00D9602C">
        <w:rPr>
          <w:b w:val="0"/>
          <w:i w:val="0"/>
          <w:sz w:val="22"/>
          <w:szCs w:val="32"/>
        </w:rPr>
        <w:t>would also impact the</w:t>
      </w:r>
      <w:r w:rsidR="002271BB">
        <w:rPr>
          <w:b w:val="0"/>
          <w:i w:val="0"/>
          <w:sz w:val="22"/>
          <w:szCs w:val="32"/>
        </w:rPr>
        <w:t xml:space="preserve"> competitiveness of mining companies </w:t>
      </w:r>
      <w:r w:rsidR="00F02DBA">
        <w:rPr>
          <w:b w:val="0"/>
          <w:i w:val="0"/>
          <w:sz w:val="22"/>
          <w:szCs w:val="32"/>
        </w:rPr>
        <w:t>with underground mines</w:t>
      </w:r>
      <w:r w:rsidR="002271BB">
        <w:rPr>
          <w:b w:val="0"/>
          <w:i w:val="0"/>
          <w:sz w:val="22"/>
          <w:szCs w:val="32"/>
        </w:rPr>
        <w:t xml:space="preserve"> on a global scale and result in a loss</w:t>
      </w:r>
      <w:r w:rsidR="00D9602C">
        <w:rPr>
          <w:b w:val="0"/>
          <w:i w:val="0"/>
          <w:sz w:val="22"/>
          <w:szCs w:val="32"/>
        </w:rPr>
        <w:t xml:space="preserve"> </w:t>
      </w:r>
      <w:r w:rsidR="00F02DBA">
        <w:rPr>
          <w:b w:val="0"/>
          <w:i w:val="0"/>
          <w:sz w:val="22"/>
          <w:szCs w:val="32"/>
        </w:rPr>
        <w:t>of revenue</w:t>
      </w:r>
      <w:r w:rsidR="002271BB">
        <w:rPr>
          <w:b w:val="0"/>
          <w:i w:val="0"/>
          <w:sz w:val="22"/>
          <w:szCs w:val="32"/>
        </w:rPr>
        <w:t xml:space="preserve"> </w:t>
      </w:r>
      <w:r w:rsidR="00F02DBA">
        <w:rPr>
          <w:b w:val="0"/>
          <w:i w:val="0"/>
          <w:sz w:val="22"/>
          <w:szCs w:val="32"/>
        </w:rPr>
        <w:t>for Australian natural resources</w:t>
      </w:r>
      <w:r w:rsidR="00007418">
        <w:rPr>
          <w:rStyle w:val="FootnoteReference"/>
          <w:b w:val="0"/>
          <w:i w:val="0"/>
          <w:sz w:val="22"/>
          <w:szCs w:val="32"/>
        </w:rPr>
        <w:footnoteReference w:id="250"/>
      </w:r>
      <w:r w:rsidR="00F02DBA">
        <w:rPr>
          <w:b w:val="0"/>
          <w:i w:val="0"/>
          <w:sz w:val="22"/>
          <w:szCs w:val="32"/>
        </w:rPr>
        <w:t xml:space="preserve">. </w:t>
      </w:r>
      <w:r w:rsidR="00F801AB">
        <w:rPr>
          <w:b w:val="0"/>
          <w:i w:val="0"/>
          <w:sz w:val="22"/>
          <w:szCs w:val="32"/>
        </w:rPr>
        <w:t xml:space="preserve">However, exact details on how and the extent of the impact was not provided in the submissions to support these claims. </w:t>
      </w:r>
    </w:p>
    <w:p w14:paraId="38AF87C3" w14:textId="56C1837F" w:rsidR="00EB53F9" w:rsidRDefault="00EB53F9" w:rsidP="00E21AA9">
      <w:pPr>
        <w:pStyle w:val="SWAHeading3"/>
      </w:pPr>
      <w:bookmarkStart w:id="492" w:name="_Toc196204814"/>
      <w:r>
        <w:t>Transitional arrangements suggested by stakeholders</w:t>
      </w:r>
      <w:bookmarkEnd w:id="492"/>
    </w:p>
    <w:p w14:paraId="48EA4186" w14:textId="1C9D4B4C" w:rsidR="006C0D99" w:rsidRDefault="00BB557C" w:rsidP="00540102">
      <w:r>
        <w:t>A small number of stakeholders suggested a transition period would assist industry to comply with the proposed WEL if they were to be implemented.</w:t>
      </w:r>
      <w:r w:rsidRPr="00BB557C">
        <w:t xml:space="preserve"> </w:t>
      </w:r>
      <w:r w:rsidR="00A254D6">
        <w:t>Two s</w:t>
      </w:r>
      <w:r w:rsidR="001B65B1" w:rsidRPr="00C14E6F">
        <w:t xml:space="preserve">takeholders suggested </w:t>
      </w:r>
      <w:r w:rsidR="00BD5D80" w:rsidRPr="00BD5D80">
        <w:t xml:space="preserve">the following as potential lengths for </w:t>
      </w:r>
      <w:r w:rsidR="001D18CB" w:rsidRPr="00BD5D80">
        <w:t xml:space="preserve">a </w:t>
      </w:r>
      <w:r w:rsidR="00EB53F9" w:rsidRPr="00BD5D80">
        <w:t xml:space="preserve">transition </w:t>
      </w:r>
      <w:r w:rsidR="00324E37" w:rsidRPr="00BD5D80">
        <w:t>period</w:t>
      </w:r>
      <w:r w:rsidR="00BD5D80" w:rsidRPr="00BD5D80">
        <w:t>:</w:t>
      </w:r>
      <w:r w:rsidR="001D18CB" w:rsidRPr="00BD5D80">
        <w:t xml:space="preserve"> </w:t>
      </w:r>
    </w:p>
    <w:p w14:paraId="7303DB60" w14:textId="14C2C887" w:rsidR="006C0D99" w:rsidRDefault="00AD3BB4" w:rsidP="00DA28CB">
      <w:pPr>
        <w:pStyle w:val="ListParagraph"/>
        <w:numPr>
          <w:ilvl w:val="0"/>
          <w:numId w:val="168"/>
        </w:numPr>
        <w:ind w:left="714" w:hanging="357"/>
        <w:contextualSpacing w:val="0"/>
        <w:rPr>
          <w:szCs w:val="32"/>
        </w:rPr>
      </w:pPr>
      <w:r w:rsidRPr="006C0D99">
        <w:rPr>
          <w:szCs w:val="32"/>
        </w:rPr>
        <w:t>6</w:t>
      </w:r>
      <w:r w:rsidR="00EB53F9" w:rsidRPr="006C0D99">
        <w:rPr>
          <w:szCs w:val="32"/>
        </w:rPr>
        <w:t xml:space="preserve"> months</w:t>
      </w:r>
      <w:r w:rsidR="003925EE">
        <w:rPr>
          <w:rStyle w:val="FootnoteReference"/>
          <w:szCs w:val="32"/>
        </w:rPr>
        <w:footnoteReference w:id="251"/>
      </w:r>
      <w:r w:rsidR="00B93CF9">
        <w:rPr>
          <w:szCs w:val="32"/>
        </w:rPr>
        <w:t>,</w:t>
      </w:r>
      <w:r w:rsidR="006C0D99">
        <w:rPr>
          <w:szCs w:val="32"/>
        </w:rPr>
        <w:t xml:space="preserve"> and </w:t>
      </w:r>
      <w:r w:rsidR="001D18CB" w:rsidRPr="006C0D99">
        <w:rPr>
          <w:szCs w:val="32"/>
        </w:rPr>
        <w:t xml:space="preserve"> </w:t>
      </w:r>
    </w:p>
    <w:p w14:paraId="3333BC17" w14:textId="5FFAE898" w:rsidR="004D1849" w:rsidRDefault="00EB53F9" w:rsidP="00DA28CB">
      <w:pPr>
        <w:pStyle w:val="ListParagraph"/>
        <w:numPr>
          <w:ilvl w:val="0"/>
          <w:numId w:val="168"/>
        </w:numPr>
        <w:ind w:left="714" w:hanging="357"/>
        <w:contextualSpacing w:val="0"/>
        <w:rPr>
          <w:szCs w:val="32"/>
        </w:rPr>
      </w:pPr>
      <w:r w:rsidRPr="006C0D99">
        <w:rPr>
          <w:szCs w:val="32"/>
        </w:rPr>
        <w:t>one year</w:t>
      </w:r>
      <w:r w:rsidR="007A0CDE">
        <w:rPr>
          <w:rStyle w:val="FootnoteReference"/>
          <w:szCs w:val="32"/>
        </w:rPr>
        <w:footnoteReference w:id="252"/>
      </w:r>
      <w:r w:rsidR="001D18CB" w:rsidRPr="006C0D99">
        <w:rPr>
          <w:szCs w:val="32"/>
        </w:rPr>
        <w:t xml:space="preserve">. </w:t>
      </w:r>
    </w:p>
    <w:p w14:paraId="4FFFB777" w14:textId="2EBB78CB" w:rsidR="00586193" w:rsidRPr="00586193" w:rsidRDefault="00586193" w:rsidP="00661A98">
      <w:pPr>
        <w:contextualSpacing w:val="0"/>
      </w:pPr>
      <w:r w:rsidRPr="00251ADD">
        <w:t xml:space="preserve">As mentioned in Section 7.3 of this Decision RIS, it is proposed that the new WEL for </w:t>
      </w:r>
      <w:r>
        <w:t>nitrogen dioxide</w:t>
      </w:r>
      <w:r w:rsidRPr="00251ADD">
        <w:t xml:space="preserve"> should come into effect on 1 December 2026. This would align with the commencement of the new WEL list and ensure the transition to the health-based exposure limits for all chemicals occurs at the same time.</w:t>
      </w:r>
    </w:p>
    <w:p w14:paraId="6A6CB586" w14:textId="688BCBC0" w:rsidR="00EB53F9" w:rsidRDefault="004F231B" w:rsidP="00FB18E4">
      <w:pPr>
        <w:pStyle w:val="SWAHeading2"/>
        <w:keepNext/>
        <w:keepLines/>
        <w:ind w:left="709" w:right="95"/>
      </w:pPr>
      <w:bookmarkStart w:id="493" w:name="_Toc196204815"/>
      <w:bookmarkStart w:id="494" w:name="_Ref198724451"/>
      <w:bookmarkStart w:id="495" w:name="_Toc219216916"/>
      <w:r>
        <w:lastRenderedPageBreak/>
        <w:t>Likely net benefit and r</w:t>
      </w:r>
      <w:r w:rsidR="002B5481">
        <w:t>ecommended</w:t>
      </w:r>
      <w:r w:rsidR="00EB53F9">
        <w:t xml:space="preserve"> option for </w:t>
      </w:r>
      <w:r w:rsidR="000A0D61">
        <w:t xml:space="preserve">nitrogen </w:t>
      </w:r>
      <w:r w:rsidR="00EB53F9">
        <w:t>dioxide</w:t>
      </w:r>
      <w:bookmarkEnd w:id="493"/>
      <w:bookmarkEnd w:id="494"/>
      <w:bookmarkEnd w:id="495"/>
    </w:p>
    <w:p w14:paraId="23E5A0D5" w14:textId="77777777" w:rsidR="00AE61AE" w:rsidRPr="000B11FC" w:rsidRDefault="00AE61AE" w:rsidP="00661A98">
      <w:pPr>
        <w:pStyle w:val="SWAHeading3"/>
      </w:pPr>
      <w:r w:rsidRPr="000B11FC">
        <w:t>Net benefit</w:t>
      </w:r>
    </w:p>
    <w:p w14:paraId="73FBF324" w14:textId="3AE620C5" w:rsidR="004616ED" w:rsidRDefault="00F77B98" w:rsidP="004616ED">
      <w:pPr>
        <w:pStyle w:val="Paragraph"/>
      </w:pPr>
      <w:r w:rsidRPr="00E7252F">
        <w:fldChar w:fldCharType="begin"/>
      </w:r>
      <w:r w:rsidRPr="00E7252F">
        <w:instrText xml:space="preserve"> REF _Ref216768545 \h </w:instrText>
      </w:r>
      <w:r w:rsidR="00E7252F" w:rsidRPr="00E7252F">
        <w:instrText xml:space="preserve"> \* MERGEFORMAT </w:instrText>
      </w:r>
      <w:r w:rsidRPr="00E7252F">
        <w:fldChar w:fldCharType="separate"/>
      </w:r>
      <w:r w:rsidR="00A002F4" w:rsidRPr="00A002F4">
        <w:t xml:space="preserve">Table </w:t>
      </w:r>
      <w:r w:rsidR="00A002F4" w:rsidRPr="00A002F4">
        <w:rPr>
          <w:noProof/>
        </w:rPr>
        <w:t>33</w:t>
      </w:r>
      <w:r w:rsidRPr="00E7252F">
        <w:fldChar w:fldCharType="end"/>
      </w:r>
      <w:r>
        <w:t xml:space="preserve"> </w:t>
      </w:r>
      <w:r w:rsidR="00AE61AE" w:rsidRPr="000B11FC">
        <w:t xml:space="preserve">presents the </w:t>
      </w:r>
      <w:r w:rsidR="00543E29">
        <w:t>quantified</w:t>
      </w:r>
      <w:r w:rsidR="00C2293F">
        <w:t xml:space="preserve"> gross </w:t>
      </w:r>
      <w:r w:rsidR="00AE61AE" w:rsidRPr="000B11FC">
        <w:t xml:space="preserve">benefit for the proposed WEL for </w:t>
      </w:r>
      <w:r>
        <w:t>nitrogen dioxide</w:t>
      </w:r>
      <w:r w:rsidR="00AE61AE" w:rsidRPr="000B11FC">
        <w:t xml:space="preserve">. </w:t>
      </w:r>
      <w:r w:rsidR="004616ED">
        <w:t>B</w:t>
      </w:r>
      <w:r w:rsidR="004616ED" w:rsidRPr="003A746B">
        <w:t>enefits</w:t>
      </w:r>
      <w:r w:rsidR="004616ED">
        <w:t xml:space="preserve"> for the proposed WEL for </w:t>
      </w:r>
      <w:r w:rsidR="00C2293F">
        <w:t xml:space="preserve">nitrogen dioxide </w:t>
      </w:r>
      <w:r w:rsidR="004616ED">
        <w:t>could not be</w:t>
      </w:r>
      <w:r w:rsidR="004616ED" w:rsidRPr="003A746B">
        <w:t xml:space="preserve"> estimated </w:t>
      </w:r>
      <w:r w:rsidR="004616ED">
        <w:t xml:space="preserve">due to a lack of health burden data and workers compensation claims to derive quantified heath and financial benefits, respectively. However, a lack of quantified benefits </w:t>
      </w:r>
      <w:r w:rsidR="004616ED" w:rsidRPr="007538AD">
        <w:t xml:space="preserve">does not mean that the introduction of the proposed WEL will not result in health </w:t>
      </w:r>
      <w:r w:rsidR="004616ED">
        <w:t xml:space="preserve">or financial benefits. </w:t>
      </w:r>
    </w:p>
    <w:p w14:paraId="3B57D75B" w14:textId="64D28F37" w:rsidR="00AE61AE" w:rsidRPr="000B11FC" w:rsidRDefault="004616ED" w:rsidP="00661A98">
      <w:pPr>
        <w:pStyle w:val="Paragraph"/>
      </w:pPr>
      <w:r>
        <w:t>For the purposes of determining a</w:t>
      </w:r>
      <w:r w:rsidRPr="003A746B">
        <w:t xml:space="preserve"> </w:t>
      </w:r>
      <w:r w:rsidR="0020677E">
        <w:t xml:space="preserve">quantified </w:t>
      </w:r>
      <w:r>
        <w:t>gross benefit, only the quantified</w:t>
      </w:r>
      <w:r w:rsidRPr="003A746B">
        <w:t xml:space="preserve"> costs (</w:t>
      </w:r>
      <w:r>
        <w:fldChar w:fldCharType="begin"/>
      </w:r>
      <w:r>
        <w:instrText xml:space="preserve"> REF _Ref199925158 \h </w:instrText>
      </w:r>
      <w:r>
        <w:fldChar w:fldCharType="separate"/>
      </w:r>
      <w:r w:rsidR="00A002F4">
        <w:t xml:space="preserve">Table </w:t>
      </w:r>
      <w:r w:rsidR="00A002F4">
        <w:rPr>
          <w:noProof/>
        </w:rPr>
        <w:t>31</w:t>
      </w:r>
      <w:r>
        <w:fldChar w:fldCharType="end"/>
      </w:r>
      <w:r w:rsidRPr="003A746B">
        <w:t xml:space="preserve">) </w:t>
      </w:r>
      <w:r>
        <w:t>were</w:t>
      </w:r>
      <w:r w:rsidRPr="003A746B">
        <w:t xml:space="preserve"> </w:t>
      </w:r>
      <w:r>
        <w:t xml:space="preserve">used to </w:t>
      </w:r>
      <w:r w:rsidRPr="003A746B">
        <w:t xml:space="preserve">estimate a net </w:t>
      </w:r>
      <w:r>
        <w:t xml:space="preserve">gross </w:t>
      </w:r>
      <w:r w:rsidRPr="003A746B">
        <w:t>benefit of -$</w:t>
      </w:r>
      <w:r w:rsidR="009E74BB">
        <w:t>2</w:t>
      </w:r>
      <w:r>
        <w:t>.7</w:t>
      </w:r>
      <w:r w:rsidRPr="003A746B">
        <w:t xml:space="preserve"> </w:t>
      </w:r>
      <w:r>
        <w:t>b</w:t>
      </w:r>
      <w:r w:rsidRPr="003A746B">
        <w:t xml:space="preserve">illion over 10 years for the proposed WEL for </w:t>
      </w:r>
      <w:r>
        <w:t>nitrogen dioxide</w:t>
      </w:r>
      <w:r w:rsidRPr="003A746B">
        <w:t xml:space="preserve">. </w:t>
      </w:r>
    </w:p>
    <w:p w14:paraId="33ED9EF1" w14:textId="7441451C" w:rsidR="00AE61AE" w:rsidRPr="00B019B3" w:rsidRDefault="00AE61AE" w:rsidP="00661A98">
      <w:pPr>
        <w:pStyle w:val="Paragraph"/>
      </w:pPr>
      <w:r w:rsidRPr="00B019B3">
        <w:t xml:space="preserve">Sensitivity analysis indicates the </w:t>
      </w:r>
      <w:r w:rsidR="0020677E" w:rsidRPr="00B019B3">
        <w:t>quantified</w:t>
      </w:r>
      <w:r w:rsidRPr="00B019B3">
        <w:t xml:space="preserve"> gross benefit can range between -$</w:t>
      </w:r>
      <w:r w:rsidR="001978DC" w:rsidRPr="00B019B3">
        <w:t>1.7</w:t>
      </w:r>
      <w:r w:rsidRPr="00B019B3">
        <w:t xml:space="preserve"> billion (under the </w:t>
      </w:r>
      <w:r w:rsidR="001978DC" w:rsidRPr="00B019B3">
        <w:t>low</w:t>
      </w:r>
      <w:r w:rsidRPr="00B019B3">
        <w:t xml:space="preserve"> scenario outlined in </w:t>
      </w:r>
      <w:hyperlink w:anchor="AppendixD_SensitivityAnalysis" w:history="1">
        <w:r w:rsidRPr="00661A98">
          <w:rPr>
            <w:rStyle w:val="Hyperlink"/>
            <w:color w:val="auto"/>
            <w:u w:val="none"/>
          </w:rPr>
          <w:t xml:space="preserve">Appendix </w:t>
        </w:r>
        <w:r w:rsidR="00AE70AA" w:rsidRPr="00661A98">
          <w:rPr>
            <w:rStyle w:val="Hyperlink"/>
            <w:color w:val="auto"/>
            <w:u w:val="none"/>
          </w:rPr>
          <w:t>D</w:t>
        </w:r>
      </w:hyperlink>
      <w:r w:rsidRPr="00B019B3">
        <w:t>) and -$</w:t>
      </w:r>
      <w:r w:rsidR="001978DC" w:rsidRPr="00B019B3">
        <w:t>4.4</w:t>
      </w:r>
      <w:r w:rsidRPr="00B019B3">
        <w:t xml:space="preserve"> </w:t>
      </w:r>
      <w:r w:rsidR="001978DC" w:rsidRPr="00B019B3">
        <w:t>b</w:t>
      </w:r>
      <w:r w:rsidRPr="00B019B3">
        <w:t xml:space="preserve">illion (under the </w:t>
      </w:r>
      <w:r w:rsidR="001978DC" w:rsidRPr="00B019B3">
        <w:t>high</w:t>
      </w:r>
      <w:r w:rsidRPr="00B019B3">
        <w:t xml:space="preserve"> scenario outlined in </w:t>
      </w:r>
      <w:hyperlink w:anchor="AppendixD_SensitivityAnalysis" w:history="1">
        <w:r w:rsidRPr="00661A98">
          <w:rPr>
            <w:rStyle w:val="Hyperlink"/>
            <w:color w:val="auto"/>
            <w:u w:val="none"/>
          </w:rPr>
          <w:t xml:space="preserve">Appendix </w:t>
        </w:r>
        <w:r w:rsidR="00AE70AA" w:rsidRPr="00661A98">
          <w:rPr>
            <w:rStyle w:val="Hyperlink"/>
            <w:color w:val="auto"/>
            <w:u w:val="none"/>
          </w:rPr>
          <w:t>D</w:t>
        </w:r>
      </w:hyperlink>
      <w:r w:rsidRPr="00B019B3">
        <w:t xml:space="preserve">) over 10 years for the proposed WEL for </w:t>
      </w:r>
      <w:r w:rsidR="001978DC" w:rsidRPr="00B019B3">
        <w:t>nitrogen dioxide</w:t>
      </w:r>
      <w:r w:rsidRPr="00B019B3">
        <w:t xml:space="preserve">. </w:t>
      </w:r>
    </w:p>
    <w:p w14:paraId="3DF75812" w14:textId="473A1EB0" w:rsidR="00AE61AE" w:rsidRPr="000B11FC" w:rsidRDefault="00AE61AE" w:rsidP="00661A98">
      <w:pPr>
        <w:pStyle w:val="Paragraph"/>
      </w:pPr>
      <w:r w:rsidRPr="000B11FC">
        <w:t xml:space="preserve">For the proposed WEL for </w:t>
      </w:r>
      <w:r w:rsidR="001978DC">
        <w:t>nitrogen dioxide</w:t>
      </w:r>
      <w:r w:rsidRPr="000B11FC">
        <w:t xml:space="preserve"> to deliver a net benefit in economic terms, the non-quantified and qualitative benefits outlined in Sections 5 and 1</w:t>
      </w:r>
      <w:r w:rsidR="001978DC">
        <w:t>5</w:t>
      </w:r>
      <w:r w:rsidRPr="000B11FC">
        <w:t>.1 of this Decision RIS would need to meet or exceed a quantified net cost of $</w:t>
      </w:r>
      <w:r w:rsidR="001978DC">
        <w:t>2.7</w:t>
      </w:r>
      <w:r w:rsidRPr="000B11FC">
        <w:t xml:space="preserve"> </w:t>
      </w:r>
      <w:r w:rsidR="001978DC">
        <w:t>b</w:t>
      </w:r>
      <w:r w:rsidRPr="000B11FC">
        <w:t xml:space="preserve">illion. </w:t>
      </w:r>
    </w:p>
    <w:p w14:paraId="6BE8D781" w14:textId="7A8377AD" w:rsidR="00565E68" w:rsidRPr="00FC7340" w:rsidRDefault="00AE61AE" w:rsidP="00661A98">
      <w:pPr>
        <w:pStyle w:val="Paragraph"/>
        <w:keepNext w:val="0"/>
      </w:pPr>
      <w:r w:rsidRPr="000B11FC">
        <w:t xml:space="preserve">This </w:t>
      </w:r>
      <w:r w:rsidR="0020677E">
        <w:t>quantified gross</w:t>
      </w:r>
      <w:r w:rsidRPr="000B11FC">
        <w:t xml:space="preserve"> cost is likely to be smaller than what is estimated in</w:t>
      </w:r>
      <w:r w:rsidR="001978DC">
        <w:t xml:space="preserve"> </w:t>
      </w:r>
      <w:r w:rsidR="001978DC" w:rsidRPr="005F161D">
        <w:fldChar w:fldCharType="begin"/>
      </w:r>
      <w:r w:rsidR="001978DC" w:rsidRPr="005F161D">
        <w:instrText xml:space="preserve"> REF _Ref216768545 \h </w:instrText>
      </w:r>
      <w:r w:rsidR="005F161D" w:rsidRPr="005F161D">
        <w:instrText xml:space="preserve"> \* MERGEFORMAT </w:instrText>
      </w:r>
      <w:r w:rsidR="001978DC" w:rsidRPr="005F161D">
        <w:fldChar w:fldCharType="separate"/>
      </w:r>
      <w:r w:rsidR="00A002F4" w:rsidRPr="00A002F4">
        <w:t xml:space="preserve">Table </w:t>
      </w:r>
      <w:r w:rsidR="00A002F4" w:rsidRPr="00A002F4">
        <w:rPr>
          <w:noProof/>
        </w:rPr>
        <w:t>33</w:t>
      </w:r>
      <w:r w:rsidR="001978DC" w:rsidRPr="005F161D">
        <w:fldChar w:fldCharType="end"/>
      </w:r>
      <w:r w:rsidRPr="000B11FC">
        <w:t xml:space="preserve">. </w:t>
      </w:r>
      <w:r w:rsidR="00565E68">
        <w:t>The d</w:t>
      </w:r>
      <w:r w:rsidR="0076105B">
        <w:t xml:space="preserve">ata limitations, particularly the likely under-reporting in workers’ compensations data discussed throughout this Decision RIS, are also relevant. Actual benefits are therefore under-estimated; and will continue to be realised even after the 10-year appraisal period of this analysis. </w:t>
      </w:r>
      <w:r w:rsidR="00565E68">
        <w:t xml:space="preserve">In considering the quantified gross benefit, together with the non-quantified and qualitative benefit, Option 2 presents a likely net benefit. </w:t>
      </w:r>
    </w:p>
    <w:p w14:paraId="0F946FE4" w14:textId="58487B0A" w:rsidR="00F77B98" w:rsidRPr="00B64384" w:rsidRDefault="00F77B98" w:rsidP="00B64384">
      <w:pPr>
        <w:pStyle w:val="Paragraph"/>
        <w:keepNext w:val="0"/>
        <w:spacing w:after="0"/>
        <w:rPr>
          <w:b/>
          <w:bCs/>
        </w:rPr>
      </w:pPr>
      <w:bookmarkStart w:id="496" w:name="_Ref216768545"/>
      <w:r w:rsidRPr="00B64384">
        <w:rPr>
          <w:b/>
          <w:bCs/>
        </w:rPr>
        <w:t xml:space="preserve">Table </w:t>
      </w:r>
      <w:r w:rsidRPr="00B64384">
        <w:rPr>
          <w:b/>
          <w:bCs/>
        </w:rPr>
        <w:fldChar w:fldCharType="begin"/>
      </w:r>
      <w:r w:rsidRPr="00B64384">
        <w:rPr>
          <w:b/>
          <w:bCs/>
        </w:rPr>
        <w:instrText xml:space="preserve"> SEQ Table \* ARABIC </w:instrText>
      </w:r>
      <w:r w:rsidRPr="00B64384">
        <w:rPr>
          <w:b/>
          <w:bCs/>
        </w:rPr>
        <w:fldChar w:fldCharType="separate"/>
      </w:r>
      <w:r w:rsidR="00A002F4">
        <w:rPr>
          <w:b/>
          <w:bCs/>
          <w:noProof/>
        </w:rPr>
        <w:t>33</w:t>
      </w:r>
      <w:r w:rsidRPr="00B64384">
        <w:rPr>
          <w:b/>
          <w:bCs/>
        </w:rPr>
        <w:fldChar w:fldCharType="end"/>
      </w:r>
      <w:bookmarkEnd w:id="496"/>
      <w:r w:rsidRPr="00B64384">
        <w:rPr>
          <w:b/>
          <w:bCs/>
        </w:rPr>
        <w:t xml:space="preserve"> - </w:t>
      </w:r>
      <w:r w:rsidR="0020677E" w:rsidRPr="00B64384">
        <w:rPr>
          <w:b/>
          <w:bCs/>
        </w:rPr>
        <w:t>Quantified</w:t>
      </w:r>
      <w:r w:rsidRPr="00B64384">
        <w:rPr>
          <w:b/>
          <w:bCs/>
        </w:rPr>
        <w:t xml:space="preserve"> gross benefit ($, millions, discounted) for the proposed WEL for nitrogen dioxide,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AE61AE" w:rsidRPr="000B11FC" w14:paraId="470F1C0B" w14:textId="77777777" w:rsidTr="00661A98">
        <w:tc>
          <w:tcPr>
            <w:tcW w:w="3004" w:type="dxa"/>
            <w:tcBorders>
              <w:bottom w:val="single" w:sz="4" w:space="0" w:color="A6A6A6" w:themeColor="background1" w:themeShade="A6"/>
            </w:tcBorders>
            <w:shd w:val="clear" w:color="auto" w:fill="4877E0" w:themeFill="accent1"/>
          </w:tcPr>
          <w:p w14:paraId="0C39F029" w14:textId="77777777" w:rsidR="00AE61AE" w:rsidRPr="00FC7340" w:rsidRDefault="00AE61AE">
            <w:pPr>
              <w:pStyle w:val="Paragraph"/>
              <w:rPr>
                <w:b/>
                <w:bCs/>
                <w:color w:val="FFFFFF" w:themeColor="background1"/>
                <w:lang w:eastAsia="en-US"/>
              </w:rPr>
            </w:pPr>
            <w:r w:rsidRPr="00FC7340">
              <w:rPr>
                <w:b/>
                <w:bCs/>
                <w:color w:val="FFFFFF" w:themeColor="background1"/>
                <w:lang w:eastAsia="en-US"/>
              </w:rPr>
              <w:t>Quantified benefits</w:t>
            </w:r>
          </w:p>
        </w:tc>
        <w:tc>
          <w:tcPr>
            <w:tcW w:w="3006" w:type="dxa"/>
            <w:tcBorders>
              <w:bottom w:val="single" w:sz="4" w:space="0" w:color="A6A6A6" w:themeColor="background1" w:themeShade="A6"/>
            </w:tcBorders>
            <w:shd w:val="clear" w:color="auto" w:fill="4877E0" w:themeFill="accent1"/>
          </w:tcPr>
          <w:p w14:paraId="25BF0E24" w14:textId="77777777" w:rsidR="00AE61AE" w:rsidRPr="00FC7340" w:rsidRDefault="00AE61AE">
            <w:pPr>
              <w:pStyle w:val="Paragraph"/>
              <w:rPr>
                <w:b/>
                <w:bCs/>
                <w:color w:val="FFFFFF" w:themeColor="background1"/>
                <w:lang w:eastAsia="en-US"/>
              </w:rPr>
            </w:pPr>
            <w:r w:rsidRPr="00FC7340">
              <w:rPr>
                <w:b/>
                <w:bCs/>
                <w:color w:val="FFFFFF" w:themeColor="background1"/>
                <w:lang w:eastAsia="en-US"/>
              </w:rPr>
              <w:t>Quantified costs</w:t>
            </w:r>
          </w:p>
        </w:tc>
        <w:tc>
          <w:tcPr>
            <w:tcW w:w="3006" w:type="dxa"/>
            <w:tcBorders>
              <w:bottom w:val="single" w:sz="4" w:space="0" w:color="A6A6A6" w:themeColor="background1" w:themeShade="A6"/>
            </w:tcBorders>
            <w:shd w:val="clear" w:color="auto" w:fill="4877E0" w:themeFill="accent1"/>
          </w:tcPr>
          <w:p w14:paraId="2D8E4C3A" w14:textId="06E73685" w:rsidR="00AE61AE" w:rsidRPr="00FC7340" w:rsidRDefault="0020677E">
            <w:pPr>
              <w:pStyle w:val="Paragraph"/>
              <w:rPr>
                <w:b/>
                <w:bCs/>
                <w:color w:val="FFFFFF" w:themeColor="background1"/>
                <w:lang w:eastAsia="en-US"/>
              </w:rPr>
            </w:pPr>
            <w:r>
              <w:rPr>
                <w:b/>
                <w:bCs/>
                <w:color w:val="FFFFFF" w:themeColor="background1"/>
                <w:lang w:eastAsia="en-US"/>
              </w:rPr>
              <w:t>Quantified</w:t>
            </w:r>
            <w:r w:rsidR="00AE61AE" w:rsidRPr="00FC7340">
              <w:rPr>
                <w:b/>
                <w:bCs/>
                <w:color w:val="FFFFFF" w:themeColor="background1"/>
                <w:lang w:eastAsia="en-US"/>
              </w:rPr>
              <w:t xml:space="preserve"> </w:t>
            </w:r>
            <w:r w:rsidR="00AE61AE">
              <w:rPr>
                <w:b/>
                <w:bCs/>
                <w:color w:val="FFFFFF" w:themeColor="background1"/>
                <w:lang w:eastAsia="en-US"/>
              </w:rPr>
              <w:t>gross</w:t>
            </w:r>
            <w:r w:rsidR="00AE61AE" w:rsidRPr="00FC7340">
              <w:rPr>
                <w:b/>
                <w:bCs/>
                <w:color w:val="FFFFFF" w:themeColor="background1"/>
                <w:lang w:eastAsia="en-US"/>
              </w:rPr>
              <w:t xml:space="preserve"> benefit</w:t>
            </w:r>
            <w:r w:rsidR="00B227B6">
              <w:rPr>
                <w:b/>
                <w:bCs/>
                <w:color w:val="FFFFFF" w:themeColor="background1"/>
                <w:lang w:eastAsia="en-US"/>
              </w:rPr>
              <w:t>**</w:t>
            </w:r>
          </w:p>
        </w:tc>
      </w:tr>
      <w:tr w:rsidR="00F77B98" w:rsidRPr="000B11FC" w14:paraId="24E0D57E" w14:textId="77777777" w:rsidTr="00F77B98">
        <w:trPr>
          <w:trHeight w:val="300"/>
        </w:trPr>
        <w:tc>
          <w:tcPr>
            <w:tcW w:w="30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9B3BD12" w14:textId="242A0A21" w:rsidR="00F77B98" w:rsidRPr="004F58F8" w:rsidRDefault="00F77B98" w:rsidP="00F77B98">
            <w:pPr>
              <w:pStyle w:val="Paragraph"/>
              <w:keepNext w:val="0"/>
              <w:jc w:val="right"/>
              <w:rPr>
                <w:rFonts w:cs="Arial"/>
                <w:lang w:eastAsia="en-US"/>
              </w:rPr>
            </w:pPr>
            <w:r w:rsidRPr="004F58F8">
              <w:rPr>
                <w:rFonts w:cs="Arial"/>
                <w:color w:val="000000"/>
                <w:szCs w:val="22"/>
              </w:rPr>
              <w:t>ND</w:t>
            </w:r>
            <w:r w:rsidR="00B227B6">
              <w:rPr>
                <w:rFonts w:cs="Arial"/>
                <w:color w:val="000000"/>
                <w:szCs w:val="22"/>
              </w:rPr>
              <w:t>*</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6F6924AB" w14:textId="2C603BC5" w:rsidR="00F77B98" w:rsidRPr="004F58F8" w:rsidRDefault="00F77B98" w:rsidP="00F77B98">
            <w:pPr>
              <w:pStyle w:val="Paragraph"/>
              <w:keepNext w:val="0"/>
              <w:jc w:val="right"/>
              <w:rPr>
                <w:rFonts w:cs="Arial"/>
                <w:lang w:eastAsia="en-US"/>
              </w:rPr>
            </w:pPr>
            <w:r w:rsidRPr="00661A98">
              <w:rPr>
                <w:rFonts w:cs="Arial"/>
                <w:color w:val="000000"/>
                <w:szCs w:val="22"/>
              </w:rPr>
              <w:t>2,703</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FB098C0" w14:textId="1D31E5F2" w:rsidR="00F77B98" w:rsidRPr="004F58F8" w:rsidRDefault="00F77B98" w:rsidP="00F77B98">
            <w:pPr>
              <w:pStyle w:val="Paragraph"/>
              <w:keepNext w:val="0"/>
              <w:jc w:val="right"/>
              <w:rPr>
                <w:rFonts w:cs="Arial"/>
                <w:lang w:eastAsia="en-US"/>
              </w:rPr>
            </w:pPr>
            <w:r w:rsidRPr="00661A98">
              <w:rPr>
                <w:rFonts w:cs="Arial"/>
                <w:color w:val="000000"/>
                <w:szCs w:val="22"/>
              </w:rPr>
              <w:t xml:space="preserve">-2,703 </w:t>
            </w:r>
          </w:p>
        </w:tc>
      </w:tr>
    </w:tbl>
    <w:p w14:paraId="0377D984" w14:textId="40975688" w:rsidR="00F57F66" w:rsidRDefault="00F57F66" w:rsidP="00661A98">
      <w:pPr>
        <w:pStyle w:val="SWAHeading3"/>
        <w:spacing w:before="0"/>
      </w:pPr>
      <w:r>
        <w:rPr>
          <w:rFonts w:eastAsia="Times New Roman"/>
          <w:i/>
          <w:iCs/>
          <w:color w:val="808080" w:themeColor="background1" w:themeShade="80"/>
          <w:sz w:val="16"/>
          <w:szCs w:val="16"/>
        </w:rPr>
        <w:t xml:space="preserve">  </w:t>
      </w:r>
      <w:r w:rsidRPr="00FC7340">
        <w:rPr>
          <w:rFonts w:eastAsia="Times New Roman"/>
          <w:i/>
          <w:iCs/>
          <w:color w:val="808080" w:themeColor="background1" w:themeShade="80"/>
          <w:sz w:val="16"/>
          <w:szCs w:val="16"/>
        </w:rPr>
        <w:t>ND = Not determined due to insufficient data</w:t>
      </w:r>
      <w:r w:rsidRPr="00FC7340">
        <w:rPr>
          <w:color w:val="808080" w:themeColor="background1" w:themeShade="80"/>
        </w:rPr>
        <w:br/>
      </w:r>
      <w:r w:rsidRPr="00FC7340">
        <w:rPr>
          <w:rFonts w:eastAsia="Times New Roman"/>
          <w:i/>
          <w:iCs/>
          <w:color w:val="808080" w:themeColor="background1" w:themeShade="80"/>
          <w:sz w:val="16"/>
          <w:szCs w:val="16"/>
        </w:rPr>
        <w:t xml:space="preserve">  * Benefits exist but were unable to be quantified. This should not be read as an absence of benefits. </w:t>
      </w:r>
      <w:r w:rsidRPr="00FC7340">
        <w:rPr>
          <w:color w:val="808080" w:themeColor="background1" w:themeShade="80"/>
        </w:rPr>
        <w:br/>
      </w:r>
      <w:r w:rsidRPr="00FC7340">
        <w:rPr>
          <w:rFonts w:eastAsia="Times New Roman"/>
          <w:i/>
          <w:iCs/>
          <w:color w:val="808080" w:themeColor="background1" w:themeShade="80"/>
          <w:sz w:val="16"/>
          <w:szCs w:val="16"/>
        </w:rPr>
        <w:t xml:space="preserve">  ** The quantified gross benefits should be read in conjunction with the non-quantifiable benefits set out </w:t>
      </w:r>
      <w:r>
        <w:rPr>
          <w:rFonts w:eastAsia="Times New Roman"/>
          <w:i/>
          <w:iCs/>
          <w:color w:val="808080" w:themeColor="background1" w:themeShade="80"/>
          <w:sz w:val="16"/>
          <w:szCs w:val="16"/>
        </w:rPr>
        <w:t>in Section 5.2 and</w:t>
      </w:r>
      <w:r w:rsidR="00370BDF">
        <w:rPr>
          <w:rFonts w:eastAsia="Times New Roman"/>
          <w:i/>
          <w:iCs/>
          <w:color w:val="808080" w:themeColor="background1" w:themeShade="80"/>
          <w:sz w:val="16"/>
          <w:szCs w:val="16"/>
        </w:rPr>
        <w:t xml:space="preserve">    </w:t>
      </w:r>
      <w:r>
        <w:rPr>
          <w:rFonts w:eastAsia="Times New Roman"/>
          <w:i/>
          <w:iCs/>
          <w:color w:val="808080" w:themeColor="background1" w:themeShade="80"/>
          <w:sz w:val="16"/>
          <w:szCs w:val="16"/>
        </w:rPr>
        <w:t>1</w:t>
      </w:r>
      <w:r w:rsidR="00370BDF">
        <w:rPr>
          <w:rFonts w:eastAsia="Times New Roman"/>
          <w:i/>
          <w:iCs/>
          <w:color w:val="808080" w:themeColor="background1" w:themeShade="80"/>
          <w:sz w:val="16"/>
          <w:szCs w:val="16"/>
        </w:rPr>
        <w:t>5</w:t>
      </w:r>
      <w:r>
        <w:rPr>
          <w:rFonts w:eastAsia="Times New Roman"/>
          <w:i/>
          <w:iCs/>
          <w:color w:val="808080" w:themeColor="background1" w:themeShade="80"/>
          <w:sz w:val="16"/>
          <w:szCs w:val="16"/>
        </w:rPr>
        <w:t>.1.</w:t>
      </w:r>
    </w:p>
    <w:p w14:paraId="4D3858E0" w14:textId="0918531F" w:rsidR="00AE61AE" w:rsidRPr="004F58F8" w:rsidRDefault="004F58F8" w:rsidP="00661A98">
      <w:pPr>
        <w:pStyle w:val="SWAHeading3"/>
      </w:pPr>
      <w:r>
        <w:t>Recommended option</w:t>
      </w:r>
    </w:p>
    <w:tbl>
      <w:tblPr>
        <w:tblStyle w:val="TableGrid"/>
        <w:tblW w:w="0" w:type="auto"/>
        <w:tblLook w:val="04A0" w:firstRow="1" w:lastRow="0" w:firstColumn="1" w:lastColumn="0" w:noHBand="0" w:noVBand="1"/>
      </w:tblPr>
      <w:tblGrid>
        <w:gridCol w:w="9016"/>
      </w:tblGrid>
      <w:tr w:rsidR="00A21D82" w14:paraId="79233DE3" w14:textId="77777777" w:rsidTr="00F862DA">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36B6C77" w14:textId="7467DF5E" w:rsidR="00AE318D" w:rsidRPr="00AE318D" w:rsidRDefault="004274C5" w:rsidP="00661A98">
            <w:pPr>
              <w:spacing w:before="240"/>
              <w:contextualSpacing w:val="0"/>
            </w:pPr>
            <w:bookmarkStart w:id="497" w:name="_Toc196204816"/>
            <w:r w:rsidRPr="004274C5">
              <w:t>It is recommended WHS ministers agree to the health-based recommendation for the WEL for nitrogen dioxide (</w:t>
            </w:r>
            <w:r w:rsidRPr="00FE39A6">
              <w:rPr>
                <w:b/>
              </w:rPr>
              <w:t>Option 2</w:t>
            </w:r>
            <w:r w:rsidRPr="004274C5">
              <w:t>): TWA of 0.2 ppm (0.38 mg/m</w:t>
            </w:r>
            <w:r w:rsidRPr="00BD5D80">
              <w:rPr>
                <w:vertAlign w:val="superscript"/>
              </w:rPr>
              <w:t>3</w:t>
            </w:r>
            <w:r w:rsidRPr="004274C5">
              <w:t>)</w:t>
            </w:r>
            <w:r w:rsidR="00CF592C">
              <w:t xml:space="preserve"> and removal of the current STEL</w:t>
            </w:r>
            <w:r w:rsidRPr="004274C5">
              <w:t>.</w:t>
            </w:r>
            <w:r w:rsidR="00AE318D">
              <w:t xml:space="preserve"> </w:t>
            </w:r>
            <w:r w:rsidR="00AE318D" w:rsidRPr="00AE318D">
              <w:t>This recommendation is based on the following considerations:</w:t>
            </w:r>
          </w:p>
          <w:p w14:paraId="7B2D097D" w14:textId="2A67ACE3" w:rsidR="00AE318D" w:rsidRPr="00AE318D" w:rsidRDefault="00AE318D" w:rsidP="00661A98">
            <w:pPr>
              <w:numPr>
                <w:ilvl w:val="0"/>
                <w:numId w:val="69"/>
              </w:numPr>
              <w:spacing w:before="120"/>
              <w:ind w:left="782" w:hanging="357"/>
              <w:contextualSpacing w:val="0"/>
            </w:pPr>
            <w:r w:rsidRPr="00AE318D">
              <w:t xml:space="preserve">that the proposed WEL for </w:t>
            </w:r>
            <w:r w:rsidR="00A719DB">
              <w:t>nitrogen dioxide</w:t>
            </w:r>
            <w:r w:rsidRPr="00AE318D">
              <w:t xml:space="preserve"> </w:t>
            </w:r>
            <w:r w:rsidR="00CF592C">
              <w:t>aligns with</w:t>
            </w:r>
            <w:r w:rsidRPr="00AE318D">
              <w:t xml:space="preserve"> the object of the model WHS Act is to protect workers and others from harm to their health, safety and welfare through the elimination or minimisation of risks or PCBUs’,</w:t>
            </w:r>
          </w:p>
          <w:p w14:paraId="09D1EEC8" w14:textId="2D770FA5" w:rsidR="00AE318D" w:rsidRPr="00AE318D" w:rsidRDefault="00AE318D" w:rsidP="00661A98">
            <w:pPr>
              <w:numPr>
                <w:ilvl w:val="0"/>
                <w:numId w:val="69"/>
              </w:numPr>
              <w:spacing w:before="120"/>
              <w:ind w:left="782" w:hanging="357"/>
              <w:contextualSpacing w:val="0"/>
            </w:pPr>
            <w:r w:rsidRPr="00AE318D">
              <w:t xml:space="preserve">the scientific evidence that </w:t>
            </w:r>
            <w:r w:rsidR="00CF592C">
              <w:t>indicates</w:t>
            </w:r>
            <w:r w:rsidRPr="00AE318D">
              <w:t xml:space="preserve"> the </w:t>
            </w:r>
            <w:r w:rsidR="001A75CF">
              <w:t xml:space="preserve">proposed </w:t>
            </w:r>
            <w:r w:rsidRPr="00AE318D">
              <w:t xml:space="preserve">health-based exposure limit is </w:t>
            </w:r>
            <w:r w:rsidR="00852269">
              <w:t>protective of workers</w:t>
            </w:r>
            <w:r w:rsidRPr="00AE318D">
              <w:t>,</w:t>
            </w:r>
          </w:p>
          <w:p w14:paraId="55C2378F" w14:textId="6A69313E" w:rsidR="00AE318D" w:rsidRPr="00AE318D" w:rsidRDefault="00426F27" w:rsidP="00661A98">
            <w:pPr>
              <w:numPr>
                <w:ilvl w:val="0"/>
                <w:numId w:val="69"/>
              </w:numPr>
              <w:spacing w:before="120"/>
              <w:ind w:left="782" w:hanging="357"/>
              <w:contextualSpacing w:val="0"/>
            </w:pPr>
            <w:r>
              <w:lastRenderedPageBreak/>
              <w:t xml:space="preserve">that some </w:t>
            </w:r>
            <w:r w:rsidR="00AE318D" w:rsidRPr="00AE318D">
              <w:t>stakeholder views and comments on the proposed WEL</w:t>
            </w:r>
            <w:r>
              <w:t xml:space="preserve"> were in agreement that the WEL for </w:t>
            </w:r>
            <w:r w:rsidR="005D419C">
              <w:t>nitrogen dioxide should be protective of workers, in line with the objectives of the model WHS Act</w:t>
            </w:r>
            <w:r w:rsidR="00AE318D" w:rsidRPr="00AE318D">
              <w:t>, and</w:t>
            </w:r>
          </w:p>
          <w:p w14:paraId="16DA5F0A" w14:textId="734807B4" w:rsidR="00AE318D" w:rsidRPr="00AE318D" w:rsidRDefault="00AE318D" w:rsidP="00661A98">
            <w:pPr>
              <w:numPr>
                <w:ilvl w:val="0"/>
                <w:numId w:val="69"/>
              </w:numPr>
              <w:spacing w:before="120"/>
              <w:ind w:left="782" w:hanging="357"/>
              <w:contextualSpacing w:val="0"/>
            </w:pPr>
            <w:r w:rsidRPr="00AE318D">
              <w:t>the</w:t>
            </w:r>
            <w:r w:rsidR="00C812BE">
              <w:t xml:space="preserve"> </w:t>
            </w:r>
            <w:r w:rsidR="005D419C">
              <w:t>net</w:t>
            </w:r>
            <w:r w:rsidRPr="00AE318D">
              <w:t xml:space="preserve"> benefit</w:t>
            </w:r>
            <w:r w:rsidR="005D419C">
              <w:t xml:space="preserve"> expected for the proposed change</w:t>
            </w:r>
            <w:r w:rsidR="009C2D9B">
              <w:t>,</w:t>
            </w:r>
            <w:r w:rsidR="005D419C">
              <w:t xml:space="preserve"> in</w:t>
            </w:r>
            <w:r w:rsidR="009C2D9B">
              <w:t xml:space="preserve"> </w:t>
            </w:r>
            <w:r w:rsidR="00C812BE" w:rsidRPr="00C812BE">
              <w:t>particular the</w:t>
            </w:r>
            <w:r w:rsidR="005D419C">
              <w:t xml:space="preserve"> protection of workers from developing lower respiratory tract irritation and tissue damage</w:t>
            </w:r>
            <w:r w:rsidRPr="00AE318D">
              <w:t>.</w:t>
            </w:r>
          </w:p>
          <w:p w14:paraId="5DA40A12" w14:textId="6BCE5699" w:rsidR="00A21D82" w:rsidRDefault="006F7382" w:rsidP="00661A98">
            <w:pPr>
              <w:pStyle w:val="Paragraph"/>
              <w:keepNext w:val="0"/>
              <w:rPr>
                <w:lang w:eastAsia="en-US"/>
              </w:rPr>
            </w:pPr>
            <w:r>
              <w:t>I</w:t>
            </w:r>
            <w:r w:rsidR="00AE318D" w:rsidRPr="00AE318D">
              <w:t xml:space="preserve">t is also recommended WHS ministers agree </w:t>
            </w:r>
            <w:r w:rsidR="00113737" w:rsidRPr="00113737">
              <w:t>a</w:t>
            </w:r>
            <w:r w:rsidR="00AE318D" w:rsidRPr="00113737">
              <w:t xml:space="preserve"> </w:t>
            </w:r>
            <w:r w:rsidR="00AE318D" w:rsidRPr="00AE318D">
              <w:t xml:space="preserve">transition period for </w:t>
            </w:r>
            <w:r w:rsidR="00DF42D1">
              <w:t>nitrogen dioxide</w:t>
            </w:r>
            <w:r w:rsidR="00113737" w:rsidRPr="00113737">
              <w:t xml:space="preserve"> aligned to</w:t>
            </w:r>
            <w:r w:rsidR="00AE318D" w:rsidRPr="00AE318D">
              <w:t xml:space="preserve"> the 1 December 2026 implementation date for the </w:t>
            </w:r>
            <w:r w:rsidR="00AE318D" w:rsidRPr="008B1DDD">
              <w:rPr>
                <w:i/>
              </w:rPr>
              <w:t>Workplace exposure limits for airborne contaminants</w:t>
            </w:r>
            <w:r w:rsidR="00AE318D" w:rsidRPr="00AE318D">
              <w:t>.</w:t>
            </w:r>
            <w:bookmarkEnd w:id="497"/>
            <w:r w:rsidR="00113737" w:rsidRPr="00113737">
              <w:t xml:space="preserve">   </w:t>
            </w:r>
          </w:p>
        </w:tc>
      </w:tr>
    </w:tbl>
    <w:p w14:paraId="67D44528" w14:textId="77777777" w:rsidR="005E1F70" w:rsidRPr="0016657B" w:rsidRDefault="005E1F70" w:rsidP="0016657B">
      <w:pPr>
        <w:pStyle w:val="Paragraph"/>
        <w:rPr>
          <w:lang w:eastAsia="en-US"/>
        </w:rPr>
      </w:pPr>
    </w:p>
    <w:p w14:paraId="40D44ADB" w14:textId="2A15B4A5" w:rsidR="000B51DC" w:rsidRDefault="0068696B" w:rsidP="007966C0">
      <w:pPr>
        <w:pStyle w:val="SWAHeading1"/>
      </w:pPr>
      <w:bookmarkStart w:id="498" w:name="_Toc179376607"/>
      <w:bookmarkStart w:id="499" w:name="_Toc181003134"/>
      <w:bookmarkStart w:id="500" w:name="_Toc193192693"/>
      <w:bookmarkStart w:id="501" w:name="_Toc196204817"/>
      <w:bookmarkStart w:id="502" w:name="_Hlk179470214"/>
      <w:r>
        <w:lastRenderedPageBreak/>
        <w:t xml:space="preserve"> </w:t>
      </w:r>
      <w:bookmarkStart w:id="503" w:name="_Toc219216917"/>
      <w:r w:rsidR="00F77294">
        <w:t>Detailed impact assessment for r</w:t>
      </w:r>
      <w:r w:rsidR="000B51DC">
        <w:t>espirable crystalline silica</w:t>
      </w:r>
      <w:bookmarkEnd w:id="498"/>
      <w:bookmarkEnd w:id="499"/>
      <w:bookmarkEnd w:id="500"/>
      <w:bookmarkEnd w:id="501"/>
      <w:bookmarkEnd w:id="503"/>
    </w:p>
    <w:tbl>
      <w:tblPr>
        <w:tblStyle w:val="TableGrid"/>
        <w:tblW w:w="0" w:type="auto"/>
        <w:tblLook w:val="04A0" w:firstRow="1" w:lastRow="0" w:firstColumn="1" w:lastColumn="0" w:noHBand="0" w:noVBand="1"/>
      </w:tblPr>
      <w:tblGrid>
        <w:gridCol w:w="9016"/>
      </w:tblGrid>
      <w:tr w:rsidR="000B51DC" w14:paraId="2F8176B0" w14:textId="77777777" w:rsidTr="002915F9">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B488A7A" w14:textId="77777777" w:rsidR="000B51DC" w:rsidRDefault="000B51DC">
            <w:pPr>
              <w:pStyle w:val="SWAHeading3"/>
              <w:keepNext/>
              <w:keepLines/>
            </w:pPr>
            <w:bookmarkStart w:id="504" w:name="_Toc193192694"/>
            <w:bookmarkStart w:id="505" w:name="_Toc196204818"/>
            <w:bookmarkEnd w:id="502"/>
            <w:r>
              <w:t>Policy options for respirable crystalline silica</w:t>
            </w:r>
            <w:bookmarkEnd w:id="504"/>
            <w:bookmarkEnd w:id="505"/>
          </w:p>
          <w:p w14:paraId="18F538C6" w14:textId="5E2EB51F" w:rsidR="000B51DC" w:rsidRDefault="000B51DC" w:rsidP="38A49B51">
            <w:pPr>
              <w:pStyle w:val="Paragraph"/>
              <w:rPr>
                <w:lang w:eastAsia="en-US"/>
              </w:rPr>
            </w:pPr>
            <w:r w:rsidRPr="38A49B51">
              <w:rPr>
                <w:lang w:eastAsia="en-US"/>
              </w:rPr>
              <w:t>Option 1 is to retain the current TWA of 0.05 mg/m</w:t>
            </w:r>
            <w:r w:rsidRPr="38A49B51">
              <w:rPr>
                <w:vertAlign w:val="superscript"/>
                <w:lang w:eastAsia="en-US"/>
              </w:rPr>
              <w:t>3</w:t>
            </w:r>
            <w:r w:rsidRPr="38A49B51">
              <w:rPr>
                <w:lang w:eastAsia="en-US"/>
              </w:rPr>
              <w:t xml:space="preserve">. </w:t>
            </w:r>
          </w:p>
          <w:p w14:paraId="128FBE3A" w14:textId="73822EC8" w:rsidR="000B51DC" w:rsidRPr="00DA0793" w:rsidRDefault="000B51DC">
            <w:pPr>
              <w:pStyle w:val="Paragraph"/>
              <w:rPr>
                <w:lang w:eastAsia="en-US"/>
              </w:rPr>
            </w:pPr>
            <w:r>
              <w:rPr>
                <w:lang w:eastAsia="en-US"/>
              </w:rPr>
              <w:t>Option 2 is to change to the proposed TWA</w:t>
            </w:r>
            <w:r w:rsidDel="002915F9">
              <w:rPr>
                <w:lang w:eastAsia="en-US"/>
              </w:rPr>
              <w:t xml:space="preserve"> </w:t>
            </w:r>
            <w:r>
              <w:rPr>
                <w:lang w:eastAsia="en-US"/>
              </w:rPr>
              <w:t>of 0.025 mg/m</w:t>
            </w:r>
            <w:r w:rsidRPr="00AC463F">
              <w:rPr>
                <w:vertAlign w:val="superscript"/>
                <w:lang w:eastAsia="en-US"/>
              </w:rPr>
              <w:t>3</w:t>
            </w:r>
            <w:r w:rsidR="00540102">
              <w:rPr>
                <w:lang w:eastAsia="en-US"/>
              </w:rPr>
              <w:t xml:space="preserve"> – </w:t>
            </w:r>
            <w:r w:rsidR="00540102" w:rsidRPr="0079228D">
              <w:rPr>
                <w:b/>
                <w:lang w:eastAsia="en-US"/>
              </w:rPr>
              <w:t>recommended</w:t>
            </w:r>
            <w:r w:rsidR="00540102">
              <w:rPr>
                <w:lang w:eastAsia="en-US"/>
              </w:rPr>
              <w:t>.</w:t>
            </w:r>
          </w:p>
        </w:tc>
      </w:tr>
    </w:tbl>
    <w:p w14:paraId="14B2F995" w14:textId="77777777" w:rsidR="000B51DC" w:rsidRDefault="000B51DC" w:rsidP="000B51DC"/>
    <w:p w14:paraId="3C93789E" w14:textId="152ADD09" w:rsidR="007A3AC9" w:rsidRPr="007A3AC9" w:rsidRDefault="003B6546" w:rsidP="007A3AC9">
      <w:r>
        <w:t>This analysis separates t</w:t>
      </w:r>
      <w:r w:rsidR="009C2114">
        <w:t xml:space="preserve">he </w:t>
      </w:r>
      <w:r w:rsidR="00764DEA">
        <w:t>incremental</w:t>
      </w:r>
      <w:r w:rsidR="009C2114">
        <w:t xml:space="preserve"> </w:t>
      </w:r>
      <w:r w:rsidR="00962A72">
        <w:t>costs and</w:t>
      </w:r>
      <w:r w:rsidR="00764DEA">
        <w:t xml:space="preserve"> benefits </w:t>
      </w:r>
      <w:r w:rsidR="004E175D" w:rsidRPr="004E175D">
        <w:t xml:space="preserve">for </w:t>
      </w:r>
      <w:r w:rsidR="00B50F62">
        <w:t>respirable crystalline silica (</w:t>
      </w:r>
      <w:r w:rsidR="004E175D" w:rsidRPr="004E175D">
        <w:t>RCS</w:t>
      </w:r>
      <w:r w:rsidR="00B50F62">
        <w:t>)</w:t>
      </w:r>
      <w:r w:rsidR="004E175D" w:rsidRPr="004E175D">
        <w:t xml:space="preserve"> </w:t>
      </w:r>
      <w:r w:rsidR="0076104C">
        <w:t>in</w:t>
      </w:r>
      <w:r w:rsidR="0054712B">
        <w:t xml:space="preserve"> the mining industry</w:t>
      </w:r>
      <w:r w:rsidR="004E175D">
        <w:t xml:space="preserve"> </w:t>
      </w:r>
      <w:r w:rsidR="0076104C">
        <w:t xml:space="preserve">from the </w:t>
      </w:r>
      <w:r w:rsidR="00764DEA">
        <w:t xml:space="preserve">other </w:t>
      </w:r>
      <w:r w:rsidR="004E175D" w:rsidRPr="004E175D">
        <w:t xml:space="preserve">industries. </w:t>
      </w:r>
      <w:r w:rsidR="00164E8A">
        <w:t>This reflects that t</w:t>
      </w:r>
      <w:r w:rsidR="00164E8A" w:rsidRPr="00993B73">
        <w:t xml:space="preserve">here is a </w:t>
      </w:r>
      <w:r w:rsidR="00C6485D">
        <w:t>large</w:t>
      </w:r>
      <w:r w:rsidR="00164E8A" w:rsidRPr="00993B73">
        <w:t xml:space="preserve"> difference in the magnitude of the average impacts on businesses in the mining industry </w:t>
      </w:r>
      <w:r w:rsidR="00164E8A">
        <w:t>compared with</w:t>
      </w:r>
      <w:r w:rsidR="00164E8A" w:rsidRPr="00993B73">
        <w:t xml:space="preserve"> other industries</w:t>
      </w:r>
      <w:r w:rsidR="00823490">
        <w:t xml:space="preserve"> for RCS</w:t>
      </w:r>
      <w:r w:rsidR="00164E8A" w:rsidRPr="00993B73">
        <w:t xml:space="preserve">. </w:t>
      </w:r>
      <w:r w:rsidR="007A3AC9">
        <w:t xml:space="preserve">This is </w:t>
      </w:r>
      <w:r w:rsidR="007A3AC9" w:rsidRPr="00FB18E4">
        <w:rPr>
          <w:b/>
          <w:bCs/>
        </w:rPr>
        <w:t xml:space="preserve">not </w:t>
      </w:r>
      <w:r w:rsidR="007A3AC9">
        <w:t xml:space="preserve">an indication that separate WELs would be applied to </w:t>
      </w:r>
      <w:r w:rsidR="0014015F">
        <w:t xml:space="preserve">the mining </w:t>
      </w:r>
      <w:r w:rsidR="007A3AC9">
        <w:t>industr</w:t>
      </w:r>
      <w:r w:rsidR="0014015F">
        <w:t xml:space="preserve">y and all other </w:t>
      </w:r>
      <w:r w:rsidR="007A3AC9">
        <w:t xml:space="preserve">industries. </w:t>
      </w:r>
    </w:p>
    <w:p w14:paraId="5EF4FEEB" w14:textId="77777777" w:rsidR="00CB4741" w:rsidRDefault="002915F9" w:rsidP="0079228D">
      <w:pPr>
        <w:pStyle w:val="SWAHeading2"/>
        <w:ind w:left="709" w:hanging="709"/>
      </w:pPr>
      <w:bookmarkStart w:id="506" w:name="_Toc196204819"/>
      <w:bookmarkStart w:id="507" w:name="_Toc219216918"/>
      <w:r w:rsidRPr="00CB4741">
        <w:t>Benefits of the proposed WEL for</w:t>
      </w:r>
      <w:r w:rsidR="00E87E71" w:rsidRPr="00CB4741">
        <w:t xml:space="preserve"> respirable crystalline silica</w:t>
      </w:r>
      <w:bookmarkEnd w:id="506"/>
      <w:bookmarkEnd w:id="507"/>
    </w:p>
    <w:p w14:paraId="1F086DDF" w14:textId="4ED02C3D" w:rsidR="00F377F0" w:rsidRPr="00F377F0" w:rsidRDefault="00E37331" w:rsidP="00E37331">
      <w:pPr>
        <w:spacing w:line="240" w:lineRule="atLeast"/>
      </w:pPr>
      <w:r>
        <w:rPr>
          <w:rFonts w:asciiTheme="majorHAnsi" w:hAnsiTheme="majorHAnsi" w:cstheme="majorBidi"/>
        </w:rPr>
        <w:t>It should be noted that t</w:t>
      </w:r>
      <w:r w:rsidR="00F377F0" w:rsidRPr="00F377F0">
        <w:rPr>
          <w:rFonts w:asciiTheme="majorHAnsi" w:hAnsiTheme="majorHAnsi" w:cstheme="majorBidi"/>
        </w:rPr>
        <w:t>he estimated benefits attributed to the proposed WEL for RCS do not directly account for the 2019 WES changes.</w:t>
      </w:r>
      <w:r w:rsidR="00AC6DC3">
        <w:rPr>
          <w:rFonts w:asciiTheme="majorHAnsi" w:hAnsiTheme="majorHAnsi" w:cstheme="majorBidi"/>
        </w:rPr>
        <w:t xml:space="preserve"> This is because</w:t>
      </w:r>
      <w:r>
        <w:rPr>
          <w:rFonts w:asciiTheme="majorHAnsi" w:hAnsiTheme="majorHAnsi" w:cstheme="majorBidi"/>
        </w:rPr>
        <w:t xml:space="preserve"> the benefits are based on</w:t>
      </w:r>
      <w:r w:rsidR="00AC6DC3">
        <w:rPr>
          <w:rFonts w:asciiTheme="majorHAnsi" w:hAnsiTheme="majorHAnsi" w:cstheme="majorBidi"/>
        </w:rPr>
        <w:t xml:space="preserve"> the </w:t>
      </w:r>
      <w:r w:rsidRPr="00993B73">
        <w:t>data for occupational diseases linked to workplace exposure to RCS. Given the long latency period of many RCS-related diseases (</w:t>
      </w:r>
      <w:r>
        <w:t>at times</w:t>
      </w:r>
      <w:r w:rsidRPr="00993B73">
        <w:t xml:space="preserve"> exceeding 10 years), any impact from </w:t>
      </w:r>
      <w:r w:rsidR="00F03035">
        <w:t>the 2019</w:t>
      </w:r>
      <w:r w:rsidR="00F03035" w:rsidRPr="00993B73">
        <w:t xml:space="preserve"> </w:t>
      </w:r>
      <w:r w:rsidRPr="00993B73">
        <w:t xml:space="preserve">WES changes </w:t>
      </w:r>
      <w:r w:rsidR="00F03035">
        <w:t xml:space="preserve">for RCS </w:t>
      </w:r>
      <w:r w:rsidRPr="00993B73">
        <w:t>may not yet be observable in the data, as the data used for estimating the benefits span</w:t>
      </w:r>
      <w:r>
        <w:t>s</w:t>
      </w:r>
      <w:r w:rsidRPr="00993B73">
        <w:t xml:space="preserve"> </w:t>
      </w:r>
      <w:r w:rsidR="00F03035">
        <w:t>between</w:t>
      </w:r>
      <w:r w:rsidRPr="00993B73">
        <w:t xml:space="preserve"> 2017 </w:t>
      </w:r>
      <w:r w:rsidR="00F03035">
        <w:t>and</w:t>
      </w:r>
      <w:r w:rsidRPr="00993B73">
        <w:t xml:space="preserve"> 2021. As a result, the estimated benefits </w:t>
      </w:r>
      <w:r>
        <w:t>may</w:t>
      </w:r>
      <w:r w:rsidRPr="00993B73">
        <w:t xml:space="preserve"> reflect the effect of reducing the WEL from a TWA of 0.1 mg/m</w:t>
      </w:r>
      <w:r w:rsidRPr="00993B73">
        <w:rPr>
          <w:vertAlign w:val="superscript"/>
        </w:rPr>
        <w:t>3</w:t>
      </w:r>
      <w:r w:rsidRPr="00993B73">
        <w:t xml:space="preserve"> to 0.025 mg/m</w:t>
      </w:r>
      <w:r w:rsidRPr="00993B73">
        <w:rPr>
          <w:vertAlign w:val="superscript"/>
        </w:rPr>
        <w:t>3</w:t>
      </w:r>
      <w:r w:rsidRPr="00993B73">
        <w:t>, rather than the most recent reduction from 0.05 mg/m</w:t>
      </w:r>
      <w:r w:rsidRPr="00993B73">
        <w:rPr>
          <w:vertAlign w:val="superscript"/>
        </w:rPr>
        <w:t>3</w:t>
      </w:r>
      <w:r w:rsidRPr="00993B73">
        <w:t xml:space="preserve"> to 0.025 mg/m</w:t>
      </w:r>
      <w:r w:rsidRPr="00993B73">
        <w:rPr>
          <w:vertAlign w:val="superscript"/>
        </w:rPr>
        <w:t>3</w:t>
      </w:r>
      <w:r w:rsidRPr="00993B73">
        <w:t xml:space="preserve">. </w:t>
      </w:r>
      <w:r>
        <w:t>There was no evidence available to enable apportioning of the estimated benefits between the</w:t>
      </w:r>
      <w:r w:rsidRPr="00993B73">
        <w:t xml:space="preserve"> </w:t>
      </w:r>
      <w:r>
        <w:t>proposed WEL and</w:t>
      </w:r>
      <w:r w:rsidRPr="00993B73">
        <w:t xml:space="preserve"> the 2019 WES change</w:t>
      </w:r>
      <w:r>
        <w:t xml:space="preserve">. </w:t>
      </w:r>
      <w:r w:rsidR="003E55C2">
        <w:t xml:space="preserve"> The estimated benefits also do not take into account the recent ban on engineered stone benchtops, slabs and panels</w:t>
      </w:r>
      <w:r w:rsidR="00814268">
        <w:t xml:space="preserve"> and strengthened regulations relating to respirable crystalline silica.</w:t>
      </w:r>
    </w:p>
    <w:p w14:paraId="44315ACF" w14:textId="142DDC6D" w:rsidR="00E87E71" w:rsidRDefault="00E87E71" w:rsidP="00E87E71">
      <w:pPr>
        <w:pStyle w:val="SWAHeading3"/>
      </w:pPr>
      <w:bookmarkStart w:id="508" w:name="_Toc195079720"/>
      <w:bookmarkStart w:id="509" w:name="_Toc196204820"/>
      <w:bookmarkEnd w:id="508"/>
      <w:r>
        <w:t>Healt</w:t>
      </w:r>
      <w:r w:rsidR="001277B4">
        <w:t>h benefits of the proposed WELs</w:t>
      </w:r>
      <w:r w:rsidR="00680835">
        <w:t xml:space="preserve"> for </w:t>
      </w:r>
      <w:r w:rsidR="0022532C">
        <w:t>respirable crystalline silica</w:t>
      </w:r>
      <w:bookmarkEnd w:id="509"/>
    </w:p>
    <w:p w14:paraId="0E4C2662" w14:textId="1D47AC3A" w:rsidR="0022532C" w:rsidRDefault="0022532C" w:rsidP="0022532C">
      <w:pPr>
        <w:pStyle w:val="Paragraph"/>
        <w:rPr>
          <w:lang w:eastAsia="en-US"/>
        </w:rPr>
      </w:pPr>
      <w:r>
        <w:rPr>
          <w:lang w:eastAsia="en-US"/>
        </w:rPr>
        <w:t xml:space="preserve">The proposed </w:t>
      </w:r>
      <w:r w:rsidR="00540102" w:rsidRPr="00540102">
        <w:rPr>
          <w:lang w:eastAsia="en-US"/>
        </w:rPr>
        <w:t>TWA</w:t>
      </w:r>
      <w:r w:rsidR="00540102" w:rsidRPr="00540102" w:rsidDel="002915F9">
        <w:rPr>
          <w:lang w:eastAsia="en-US"/>
        </w:rPr>
        <w:t xml:space="preserve"> </w:t>
      </w:r>
      <w:r w:rsidR="00540102" w:rsidRPr="00540102">
        <w:rPr>
          <w:lang w:eastAsia="en-US"/>
        </w:rPr>
        <w:t xml:space="preserve">of 0.025 </w:t>
      </w:r>
      <w:r w:rsidR="00540102">
        <w:rPr>
          <w:lang w:eastAsia="en-US"/>
        </w:rPr>
        <w:t>mg/m</w:t>
      </w:r>
      <w:r w:rsidR="00540102" w:rsidRPr="00B378F9">
        <w:rPr>
          <w:vertAlign w:val="superscript"/>
          <w:lang w:eastAsia="en-US"/>
        </w:rPr>
        <w:t>3</w:t>
      </w:r>
      <w:r w:rsidR="00540102">
        <w:rPr>
          <w:lang w:eastAsia="en-US"/>
        </w:rPr>
        <w:t xml:space="preserve"> </w:t>
      </w:r>
      <w:r>
        <w:rPr>
          <w:lang w:eastAsia="en-US"/>
        </w:rPr>
        <w:t xml:space="preserve">for </w:t>
      </w:r>
      <w:r w:rsidR="009F17D6">
        <w:rPr>
          <w:lang w:eastAsia="en-US"/>
        </w:rPr>
        <w:t>RCS</w:t>
      </w:r>
      <w:r w:rsidR="00DE020B">
        <w:rPr>
          <w:lang w:eastAsia="en-US"/>
        </w:rPr>
        <w:t xml:space="preserve"> </w:t>
      </w:r>
      <w:r w:rsidR="00AC60F2">
        <w:rPr>
          <w:lang w:eastAsia="en-US"/>
        </w:rPr>
        <w:t xml:space="preserve">is </w:t>
      </w:r>
      <w:r w:rsidR="00697027">
        <w:rPr>
          <w:lang w:eastAsia="en-US"/>
        </w:rPr>
        <w:t xml:space="preserve">intended to protect workers and others in the workplace from the risk of </w:t>
      </w:r>
      <w:r w:rsidR="00FB25A5">
        <w:rPr>
          <w:lang w:eastAsia="en-US"/>
        </w:rPr>
        <w:t>fibrosis</w:t>
      </w:r>
      <w:r w:rsidR="00A43C0F">
        <w:rPr>
          <w:lang w:eastAsia="en-US"/>
        </w:rPr>
        <w:t>,</w:t>
      </w:r>
      <w:r w:rsidR="00FB25A5">
        <w:rPr>
          <w:lang w:eastAsia="en-US"/>
        </w:rPr>
        <w:t xml:space="preserve"> </w:t>
      </w:r>
      <w:r w:rsidR="00697027">
        <w:rPr>
          <w:lang w:eastAsia="en-US"/>
        </w:rPr>
        <w:t>silicosis</w:t>
      </w:r>
      <w:r w:rsidR="00FB449C" w:rsidDel="008B61F5">
        <w:rPr>
          <w:lang w:eastAsia="en-US"/>
        </w:rPr>
        <w:t xml:space="preserve"> and </w:t>
      </w:r>
      <w:r w:rsidR="00FB449C">
        <w:rPr>
          <w:lang w:eastAsia="en-US"/>
        </w:rPr>
        <w:t xml:space="preserve">lung cancer. </w:t>
      </w:r>
      <w:r w:rsidR="00C23B11">
        <w:rPr>
          <w:lang w:eastAsia="en-US"/>
        </w:rPr>
        <w:t>The proposed WEL is likely to benefit the estimated 1.</w:t>
      </w:r>
      <w:r w:rsidR="00CB4741">
        <w:rPr>
          <w:lang w:eastAsia="en-US"/>
        </w:rPr>
        <w:t>7</w:t>
      </w:r>
      <w:r w:rsidR="00C23B11">
        <w:rPr>
          <w:lang w:eastAsia="en-US"/>
        </w:rPr>
        <w:t xml:space="preserve"> million workers who are at risk of exposure to RCS</w:t>
      </w:r>
      <w:r w:rsidR="00CB4741">
        <w:rPr>
          <w:lang w:eastAsia="en-US"/>
        </w:rPr>
        <w:t xml:space="preserve"> each year</w:t>
      </w:r>
      <w:r w:rsidR="00732761">
        <w:rPr>
          <w:lang w:eastAsia="en-US"/>
        </w:rPr>
        <w:t xml:space="preserve">. </w:t>
      </w:r>
    </w:p>
    <w:p w14:paraId="7F968D14" w14:textId="1E7485DF" w:rsidR="00237BB5" w:rsidRDefault="00237BB5" w:rsidP="007104AB">
      <w:pPr>
        <w:pStyle w:val="Paragraph"/>
        <w:keepNext w:val="0"/>
        <w:rPr>
          <w:lang w:eastAsia="en-US"/>
        </w:rPr>
      </w:pPr>
      <w:r>
        <w:rPr>
          <w:lang w:eastAsia="en-US"/>
        </w:rPr>
        <w:t xml:space="preserve">Data sources in the </w:t>
      </w:r>
      <w:hyperlink r:id="rId49" w:history="1">
        <w:r w:rsidRPr="003B3345">
          <w:rPr>
            <w:rStyle w:val="Hyperlink"/>
            <w:lang w:eastAsia="en-US"/>
          </w:rPr>
          <w:t>evaluation report</w:t>
        </w:r>
      </w:hyperlink>
      <w:r>
        <w:rPr>
          <w:lang w:eastAsia="en-US"/>
        </w:rPr>
        <w:t xml:space="preserve"> identified radiographic changes in the lungs associated with exposures at</w:t>
      </w:r>
      <w:r w:rsidR="009F17D6">
        <w:rPr>
          <w:lang w:eastAsia="en-US"/>
        </w:rPr>
        <w:t xml:space="preserve"> </w:t>
      </w:r>
      <w:r w:rsidR="00CC29C7">
        <w:rPr>
          <w:lang w:eastAsia="en-US"/>
        </w:rPr>
        <w:t xml:space="preserve">or just below </w:t>
      </w:r>
      <w:r w:rsidR="009F17D6">
        <w:rPr>
          <w:lang w:eastAsia="en-US"/>
        </w:rPr>
        <w:t>the current TWA of</w:t>
      </w:r>
      <w:r>
        <w:rPr>
          <w:lang w:eastAsia="en-US"/>
        </w:rPr>
        <w:t xml:space="preserve"> 0.05 mg/m</w:t>
      </w:r>
      <w:r w:rsidRPr="000506A6">
        <w:rPr>
          <w:vertAlign w:val="superscript"/>
          <w:lang w:eastAsia="en-US"/>
        </w:rPr>
        <w:t>3</w:t>
      </w:r>
      <w:r w:rsidR="00CC29C7">
        <w:rPr>
          <w:lang w:eastAsia="en-US"/>
        </w:rPr>
        <w:t xml:space="preserve"> for RCS. </w:t>
      </w:r>
      <w:r>
        <w:rPr>
          <w:lang w:eastAsia="en-US"/>
        </w:rPr>
        <w:t>This means the current WES for RCS still exposes workers to the risk of developing radiographic changes in the lungs</w:t>
      </w:r>
      <w:r w:rsidR="00732761">
        <w:rPr>
          <w:lang w:eastAsia="en-US"/>
        </w:rPr>
        <w:t xml:space="preserve"> that are</w:t>
      </w:r>
      <w:r w:rsidDel="00CC29C7">
        <w:rPr>
          <w:lang w:eastAsia="en-US"/>
        </w:rPr>
        <w:t xml:space="preserve"> </w:t>
      </w:r>
      <w:r>
        <w:rPr>
          <w:lang w:eastAsia="en-US"/>
        </w:rPr>
        <w:t>indicative of fibrosis</w:t>
      </w:r>
      <w:r w:rsidR="008B61F5">
        <w:rPr>
          <w:lang w:eastAsia="en-US"/>
        </w:rPr>
        <w:t>, silicosis and lung cancer</w:t>
      </w:r>
      <w:r>
        <w:rPr>
          <w:lang w:eastAsia="en-US"/>
        </w:rPr>
        <w:t xml:space="preserve">. </w:t>
      </w:r>
    </w:p>
    <w:p w14:paraId="4A4BD277" w14:textId="2C86780A" w:rsidR="00237BB5" w:rsidRDefault="005546AC" w:rsidP="007104AB">
      <w:pPr>
        <w:pStyle w:val="Paragraph"/>
        <w:keepNext w:val="0"/>
        <w:rPr>
          <w:lang w:eastAsia="en-US"/>
        </w:rPr>
      </w:pPr>
      <w:r>
        <w:rPr>
          <w:lang w:eastAsia="en-US"/>
        </w:rPr>
        <w:t xml:space="preserve">The </w:t>
      </w:r>
      <w:r w:rsidR="00B44797">
        <w:rPr>
          <w:lang w:eastAsia="en-US"/>
        </w:rPr>
        <w:t xml:space="preserve">evaluation report </w:t>
      </w:r>
      <w:r w:rsidR="00FF45CF">
        <w:rPr>
          <w:lang w:eastAsia="en-US"/>
        </w:rPr>
        <w:t xml:space="preserve">for RCS </w:t>
      </w:r>
      <w:r w:rsidR="00B44797">
        <w:rPr>
          <w:lang w:eastAsia="en-US"/>
        </w:rPr>
        <w:t>recommends a TWA of 0.02 mg/m</w:t>
      </w:r>
      <w:r w:rsidR="00B44797" w:rsidRPr="00FB18E4">
        <w:rPr>
          <w:vertAlign w:val="superscript"/>
          <w:lang w:eastAsia="en-US"/>
        </w:rPr>
        <w:t>3</w:t>
      </w:r>
      <w:r w:rsidR="00B44797">
        <w:rPr>
          <w:lang w:eastAsia="en-US"/>
        </w:rPr>
        <w:t xml:space="preserve">, however notes that a </w:t>
      </w:r>
      <w:r w:rsidR="006B3431">
        <w:rPr>
          <w:lang w:eastAsia="en-US"/>
        </w:rPr>
        <w:t>TWA of 0.025 mg/m</w:t>
      </w:r>
      <w:r w:rsidR="006B3431" w:rsidRPr="00FB18E4">
        <w:rPr>
          <w:vertAlign w:val="superscript"/>
          <w:lang w:eastAsia="en-US"/>
        </w:rPr>
        <w:t>3</w:t>
      </w:r>
      <w:r w:rsidR="006B3431">
        <w:rPr>
          <w:lang w:eastAsia="en-US"/>
        </w:rPr>
        <w:t xml:space="preserve"> </w:t>
      </w:r>
      <w:r w:rsidR="00CC29C7">
        <w:rPr>
          <w:lang w:eastAsia="en-US"/>
        </w:rPr>
        <w:t xml:space="preserve">is </w:t>
      </w:r>
      <w:r w:rsidR="006B3431">
        <w:rPr>
          <w:lang w:eastAsia="en-US"/>
        </w:rPr>
        <w:t>also protective</w:t>
      </w:r>
      <w:r w:rsidR="009970A1">
        <w:rPr>
          <w:lang w:eastAsia="en-US"/>
        </w:rPr>
        <w:t xml:space="preserve"> of workers from the same </w:t>
      </w:r>
      <w:r w:rsidR="00FF7D9D">
        <w:rPr>
          <w:lang w:eastAsia="en-US"/>
        </w:rPr>
        <w:t>adverse</w:t>
      </w:r>
      <w:r w:rsidR="009970A1">
        <w:rPr>
          <w:lang w:eastAsia="en-US"/>
        </w:rPr>
        <w:t xml:space="preserve"> health effects.</w:t>
      </w:r>
      <w:r w:rsidR="009D2BCB">
        <w:rPr>
          <w:lang w:eastAsia="en-US"/>
        </w:rPr>
        <w:t xml:space="preserve"> Members agreed to </w:t>
      </w:r>
      <w:r w:rsidR="00C458FD">
        <w:rPr>
          <w:lang w:eastAsia="en-US"/>
        </w:rPr>
        <w:t xml:space="preserve">recommend </w:t>
      </w:r>
      <w:r w:rsidR="009D2BCB">
        <w:rPr>
          <w:lang w:eastAsia="en-US"/>
        </w:rPr>
        <w:t>reduc</w:t>
      </w:r>
      <w:r w:rsidR="00C458FD">
        <w:rPr>
          <w:lang w:eastAsia="en-US"/>
        </w:rPr>
        <w:t>ing</w:t>
      </w:r>
      <w:r w:rsidR="009D2BCB">
        <w:rPr>
          <w:lang w:eastAsia="en-US"/>
        </w:rPr>
        <w:t xml:space="preserve"> the </w:t>
      </w:r>
      <w:r w:rsidR="00143687">
        <w:rPr>
          <w:lang w:eastAsia="en-US"/>
        </w:rPr>
        <w:t xml:space="preserve">TWA </w:t>
      </w:r>
      <w:r w:rsidR="00F14176">
        <w:rPr>
          <w:lang w:eastAsia="en-US"/>
        </w:rPr>
        <w:t>for RCS from 0.05 mg/m</w:t>
      </w:r>
      <w:r w:rsidR="00F14176" w:rsidRPr="00FB18E4">
        <w:rPr>
          <w:vertAlign w:val="superscript"/>
          <w:lang w:eastAsia="en-US"/>
        </w:rPr>
        <w:t>3</w:t>
      </w:r>
      <w:r w:rsidR="00F14176">
        <w:rPr>
          <w:lang w:eastAsia="en-US"/>
        </w:rPr>
        <w:t xml:space="preserve"> to 0.025 mg/m</w:t>
      </w:r>
      <w:r w:rsidR="00F14176" w:rsidRPr="00FB18E4">
        <w:rPr>
          <w:vertAlign w:val="superscript"/>
          <w:lang w:eastAsia="en-US"/>
        </w:rPr>
        <w:t>3</w:t>
      </w:r>
      <w:r w:rsidR="00F14176">
        <w:rPr>
          <w:lang w:eastAsia="en-US"/>
        </w:rPr>
        <w:t xml:space="preserve">. </w:t>
      </w:r>
    </w:p>
    <w:p w14:paraId="0241FC10" w14:textId="3DB7F345" w:rsidR="00F26EB2" w:rsidRDefault="00F517C5" w:rsidP="007104AB">
      <w:pPr>
        <w:pStyle w:val="Paragraph"/>
        <w:keepNext w:val="0"/>
      </w:pPr>
      <w:r>
        <w:t>T</w:t>
      </w:r>
      <w:r w:rsidR="0064782B" w:rsidRPr="0064782B">
        <w:t>he proposed</w:t>
      </w:r>
      <w:r w:rsidR="0064782B" w:rsidRPr="0064782B" w:rsidDel="00136F77">
        <w:t xml:space="preserve"> </w:t>
      </w:r>
      <w:r w:rsidR="0064782B" w:rsidRPr="0064782B">
        <w:t>TWA</w:t>
      </w:r>
      <w:r w:rsidR="0064782B" w:rsidRPr="0064782B" w:rsidDel="00F61D0B">
        <w:t xml:space="preserve"> </w:t>
      </w:r>
      <w:r w:rsidR="00DE5418" w:rsidRPr="00DE5418">
        <w:t>of 0</w:t>
      </w:r>
      <w:r w:rsidR="00DE5418">
        <w:t xml:space="preserve">.025 </w:t>
      </w:r>
      <w:r w:rsidR="00DE5418" w:rsidRPr="00DE5418">
        <w:t>mg/m</w:t>
      </w:r>
      <w:r w:rsidR="00DE5418" w:rsidRPr="00DE5418">
        <w:rPr>
          <w:vertAlign w:val="superscript"/>
        </w:rPr>
        <w:t>3</w:t>
      </w:r>
      <w:r w:rsidR="00DE5418" w:rsidRPr="00DE5418">
        <w:t xml:space="preserve"> for </w:t>
      </w:r>
      <w:r w:rsidR="00521281">
        <w:t>RCS</w:t>
      </w:r>
      <w:r w:rsidR="0064782B" w:rsidRPr="0064782B">
        <w:t xml:space="preserve"> </w:t>
      </w:r>
      <w:r>
        <w:t>was determined in accordance with the</w:t>
      </w:r>
      <w:r w:rsidR="0064782B" w:rsidRPr="0064782B">
        <w:t xml:space="preserve"> health-based methodology agreed</w:t>
      </w:r>
      <w:r>
        <w:t xml:space="preserve"> by WHS ministers</w:t>
      </w:r>
      <w:r w:rsidR="0064782B" w:rsidRPr="0064782B">
        <w:t xml:space="preserve"> (and which relied on the scientific evidence available at the time of the review</w:t>
      </w:r>
      <w:r w:rsidR="00A20E3A">
        <w:t xml:space="preserve"> from trusted international </w:t>
      </w:r>
      <w:r w:rsidR="00737FF6">
        <w:t>and national sources</w:t>
      </w:r>
      <w:r w:rsidR="0064782B" w:rsidRPr="0064782B">
        <w:t>)</w:t>
      </w:r>
      <w:r w:rsidR="00737FF6">
        <w:t>.</w:t>
      </w:r>
      <w:r w:rsidR="0064782B" w:rsidRPr="0064782B">
        <w:t xml:space="preserve">  </w:t>
      </w:r>
    </w:p>
    <w:p w14:paraId="0412D161" w14:textId="601D1507" w:rsidR="00143687" w:rsidRPr="00B91307" w:rsidRDefault="00143687" w:rsidP="007104AB">
      <w:pPr>
        <w:pStyle w:val="Paragraph"/>
        <w:keepNext w:val="0"/>
      </w:pPr>
      <w:r w:rsidRPr="00B91307">
        <w:rPr>
          <w:lang w:eastAsia="en-US"/>
        </w:rPr>
        <w:lastRenderedPageBreak/>
        <w:t>The evaluation for RCS</w:t>
      </w:r>
      <w:r w:rsidRPr="00B91307">
        <w:rPr>
          <w:rStyle w:val="FootnoteReference"/>
          <w:lang w:eastAsia="en-US"/>
        </w:rPr>
        <w:footnoteReference w:id="253"/>
      </w:r>
      <w:r w:rsidRPr="00B91307">
        <w:t xml:space="preserve"> employed a weight of evidence approach, considering information from multiple agreed primary sources supported by information from agreed secondary sources </w:t>
      </w:r>
      <w:sdt>
        <w:sdtPr>
          <w:id w:val="180714556"/>
          <w:citation/>
        </w:sdtPr>
        <w:sdtEndPr/>
        <w:sdtContent>
          <w:r w:rsidRPr="00B91307">
            <w:fldChar w:fldCharType="begin"/>
          </w:r>
          <w:r w:rsidRPr="00B91307">
            <w:instrText xml:space="preserve"> CITATION Saf181 \l 3081 </w:instrText>
          </w:r>
          <w:r w:rsidRPr="00B91307">
            <w:fldChar w:fldCharType="separate"/>
          </w:r>
          <w:r w:rsidR="00490B21">
            <w:rPr>
              <w:noProof/>
            </w:rPr>
            <w:t>(Safe Work Australia, 2018)</w:t>
          </w:r>
          <w:r w:rsidRPr="00B91307">
            <w:fldChar w:fldCharType="end"/>
          </w:r>
        </w:sdtContent>
      </w:sdt>
      <w:r w:rsidRPr="00B91307">
        <w:rPr>
          <w:lang w:eastAsia="en-US"/>
        </w:rPr>
        <w:t>.</w:t>
      </w:r>
    </w:p>
    <w:p w14:paraId="51DD0C43" w14:textId="7E90126B" w:rsidR="00FF7D9D" w:rsidRPr="00B91307" w:rsidRDefault="00FF7D9D" w:rsidP="00F26EB2">
      <w:pPr>
        <w:pStyle w:val="SWAHeading4"/>
        <w:keepNext/>
      </w:pPr>
      <w:r w:rsidRPr="00B91307">
        <w:t>International precedent</w:t>
      </w:r>
    </w:p>
    <w:p w14:paraId="085AF429" w14:textId="05DB6900" w:rsidR="003B3345" w:rsidRPr="00B91307" w:rsidRDefault="009D2BCB" w:rsidP="007174E4">
      <w:pPr>
        <w:pStyle w:val="Paragraph"/>
        <w:rPr>
          <w:lang w:eastAsia="en-US"/>
        </w:rPr>
      </w:pPr>
      <w:r w:rsidRPr="00B91307">
        <w:rPr>
          <w:lang w:eastAsia="en-US"/>
        </w:rPr>
        <w:t xml:space="preserve">This proposed </w:t>
      </w:r>
      <w:r w:rsidR="00D3636B" w:rsidRPr="00B91307">
        <w:rPr>
          <w:lang w:eastAsia="en-US"/>
        </w:rPr>
        <w:t xml:space="preserve">TWA </w:t>
      </w:r>
      <w:r w:rsidR="0037763C" w:rsidRPr="00B91307">
        <w:rPr>
          <w:lang w:eastAsia="en-US"/>
        </w:rPr>
        <w:t>of 0.025 mg/m</w:t>
      </w:r>
      <w:r w:rsidR="0037763C" w:rsidRPr="00B91307">
        <w:rPr>
          <w:vertAlign w:val="superscript"/>
          <w:lang w:eastAsia="en-US"/>
        </w:rPr>
        <w:t>3</w:t>
      </w:r>
      <w:r w:rsidR="0037763C" w:rsidRPr="00B91307">
        <w:rPr>
          <w:lang w:eastAsia="en-US"/>
        </w:rPr>
        <w:t xml:space="preserve"> </w:t>
      </w:r>
      <w:r w:rsidR="00DE51E8" w:rsidRPr="00B91307">
        <w:rPr>
          <w:lang w:eastAsia="en-US"/>
        </w:rPr>
        <w:t>is consistent with that recommended</w:t>
      </w:r>
      <w:r w:rsidR="0037763C" w:rsidRPr="00B91307">
        <w:rPr>
          <w:lang w:eastAsia="en-US"/>
        </w:rPr>
        <w:t xml:space="preserve"> by the American Conference of Governmental Industrial Hygienists (ACGIH)</w:t>
      </w:r>
      <w:r w:rsidR="00BB05FD" w:rsidRPr="00B91307">
        <w:rPr>
          <w:lang w:eastAsia="en-US"/>
        </w:rPr>
        <w:fldChar w:fldCharType="begin"/>
      </w:r>
      <w:r w:rsidR="00BB05FD" w:rsidRPr="00B91307">
        <w:rPr>
          <w:lang w:eastAsia="en-US"/>
        </w:rPr>
        <w:instrText xml:space="preserve"> CITATION Amend1 \l 3081 </w:instrText>
      </w:r>
      <w:r w:rsidR="00BB05FD" w:rsidRPr="00B91307">
        <w:rPr>
          <w:lang w:eastAsia="en-US"/>
        </w:rPr>
        <w:fldChar w:fldCharType="separate"/>
      </w:r>
      <w:r w:rsidR="00490B21">
        <w:rPr>
          <w:noProof/>
          <w:lang w:eastAsia="en-US"/>
        </w:rPr>
        <w:t xml:space="preserve"> (American Conference of Governmental Industrial Hygiensts, n.d.)</w:t>
      </w:r>
      <w:r w:rsidR="00BB05FD" w:rsidRPr="00B91307">
        <w:rPr>
          <w:lang w:eastAsia="en-US"/>
        </w:rPr>
        <w:fldChar w:fldCharType="end"/>
      </w:r>
      <w:r w:rsidR="0037763C" w:rsidRPr="00B91307">
        <w:rPr>
          <w:lang w:eastAsia="en-US"/>
        </w:rPr>
        <w:t>.</w:t>
      </w:r>
      <w:r w:rsidR="00C347FE" w:rsidRPr="00B91307">
        <w:rPr>
          <w:lang w:eastAsia="en-US"/>
        </w:rPr>
        <w:t xml:space="preserve"> </w:t>
      </w:r>
    </w:p>
    <w:p w14:paraId="472528A0" w14:textId="134E5C7C" w:rsidR="00C347FE" w:rsidRPr="00B91307" w:rsidRDefault="00D825D4" w:rsidP="007174E4">
      <w:pPr>
        <w:pStyle w:val="Paragraph"/>
        <w:rPr>
          <w:lang w:eastAsia="en-US"/>
        </w:rPr>
      </w:pPr>
      <w:r w:rsidRPr="00B91307">
        <w:t>T</w:t>
      </w:r>
      <w:r w:rsidR="002E42F3" w:rsidRPr="00B91307">
        <w:t xml:space="preserve">he ACGIH was </w:t>
      </w:r>
      <w:r w:rsidR="00DE51E8" w:rsidRPr="00B91307">
        <w:t xml:space="preserve">selected as </w:t>
      </w:r>
      <w:r w:rsidR="002D66CD" w:rsidRPr="00B91307">
        <w:t>a</w:t>
      </w:r>
      <w:r w:rsidR="002E42F3" w:rsidRPr="00B91307">
        <w:t xml:space="preserve"> primary source</w:t>
      </w:r>
      <w:r w:rsidR="00CA70D6" w:rsidRPr="00B91307">
        <w:t xml:space="preserve"> </w:t>
      </w:r>
      <w:r w:rsidR="00CA70D6" w:rsidRPr="00B91307">
        <w:rPr>
          <w:rFonts w:cs="Arial"/>
        </w:rPr>
        <w:t>as they have international credibility, develop standards through consensus that are health-based and based on evaluation of appropriate data, and their documentation of evaluations is accessible and robust</w:t>
      </w:r>
      <w:r w:rsidR="002E42F3" w:rsidRPr="00B91307">
        <w:t xml:space="preserve"> </w:t>
      </w:r>
      <w:sdt>
        <w:sdtPr>
          <w:id w:val="-1365437679"/>
          <w:citation/>
        </w:sdtPr>
        <w:sdtEndPr/>
        <w:sdtContent>
          <w:r w:rsidR="002E42F3" w:rsidRPr="00B91307">
            <w:fldChar w:fldCharType="begin"/>
          </w:r>
          <w:r w:rsidR="002E42F3" w:rsidRPr="00B91307">
            <w:instrText xml:space="preserve"> CITATION Saf181 \l 3081 </w:instrText>
          </w:r>
          <w:r w:rsidR="002E42F3" w:rsidRPr="00B91307">
            <w:fldChar w:fldCharType="separate"/>
          </w:r>
          <w:r w:rsidR="00490B21">
            <w:rPr>
              <w:noProof/>
            </w:rPr>
            <w:t>(Safe Work Australia, 2018)</w:t>
          </w:r>
          <w:r w:rsidR="002E42F3" w:rsidRPr="00B91307">
            <w:fldChar w:fldCharType="end"/>
          </w:r>
        </w:sdtContent>
      </w:sdt>
      <w:r w:rsidR="002E42F3" w:rsidRPr="00B91307">
        <w:rPr>
          <w:rFonts w:cs="Arial"/>
        </w:rPr>
        <w:t>.</w:t>
      </w:r>
    </w:p>
    <w:p w14:paraId="27E16DB2" w14:textId="06AD812B" w:rsidR="007174E4" w:rsidRPr="00B91307" w:rsidRDefault="00D3636B" w:rsidP="007174E4">
      <w:pPr>
        <w:pStyle w:val="Paragraph"/>
        <w:rPr>
          <w:lang w:eastAsia="en-US"/>
        </w:rPr>
      </w:pPr>
      <w:r w:rsidRPr="00B91307">
        <w:rPr>
          <w:lang w:eastAsia="en-US"/>
        </w:rPr>
        <w:t>ACGIH</w:t>
      </w:r>
      <w:r w:rsidR="00A6628E" w:rsidRPr="00B91307">
        <w:rPr>
          <w:lang w:eastAsia="en-US"/>
        </w:rPr>
        <w:t>’s</w:t>
      </w:r>
      <w:r w:rsidRPr="00B91307">
        <w:rPr>
          <w:lang w:eastAsia="en-US"/>
        </w:rPr>
        <w:t xml:space="preserve"> </w:t>
      </w:r>
      <w:r w:rsidR="00200C18" w:rsidRPr="00B91307">
        <w:rPr>
          <w:lang w:eastAsia="en-US"/>
        </w:rPr>
        <w:t>recommend</w:t>
      </w:r>
      <w:r w:rsidR="00CF451A" w:rsidRPr="00B91307">
        <w:rPr>
          <w:lang w:eastAsia="en-US"/>
        </w:rPr>
        <w:t>ations are</w:t>
      </w:r>
      <w:r w:rsidR="000740D6" w:rsidRPr="00B91307">
        <w:rPr>
          <w:lang w:eastAsia="en-US"/>
        </w:rPr>
        <w:t xml:space="preserve"> </w:t>
      </w:r>
      <w:r w:rsidR="00A6628E" w:rsidRPr="00B91307">
        <w:rPr>
          <w:lang w:eastAsia="en-US"/>
        </w:rPr>
        <w:t>intended for use</w:t>
      </w:r>
      <w:r w:rsidR="000740D6" w:rsidRPr="00B91307">
        <w:rPr>
          <w:lang w:eastAsia="en-US"/>
        </w:rPr>
        <w:t xml:space="preserve"> </w:t>
      </w:r>
      <w:r w:rsidR="00952324" w:rsidRPr="00B91307">
        <w:rPr>
          <w:lang w:eastAsia="en-US"/>
        </w:rPr>
        <w:t xml:space="preserve">by occupational hygienists </w:t>
      </w:r>
      <w:r w:rsidR="00A01549" w:rsidRPr="00B91307">
        <w:rPr>
          <w:lang w:eastAsia="en-US"/>
        </w:rPr>
        <w:t xml:space="preserve">to assist in the control of health hazards and </w:t>
      </w:r>
      <w:r w:rsidR="007D75DA" w:rsidRPr="00B91307">
        <w:rPr>
          <w:lang w:eastAsia="en-US"/>
        </w:rPr>
        <w:t xml:space="preserve">are </w:t>
      </w:r>
      <w:r w:rsidR="00A01549" w:rsidRPr="00B91307">
        <w:rPr>
          <w:lang w:eastAsia="en-US"/>
        </w:rPr>
        <w:t>not</w:t>
      </w:r>
      <w:r w:rsidR="0025112A" w:rsidRPr="00B91307">
        <w:rPr>
          <w:lang w:eastAsia="en-US"/>
        </w:rPr>
        <w:t xml:space="preserve"> </w:t>
      </w:r>
      <w:r w:rsidR="007D75DA" w:rsidRPr="00B91307">
        <w:rPr>
          <w:lang w:eastAsia="en-US"/>
        </w:rPr>
        <w:t xml:space="preserve">set </w:t>
      </w:r>
      <w:r w:rsidR="0025112A" w:rsidRPr="00B91307">
        <w:rPr>
          <w:lang w:eastAsia="en-US"/>
        </w:rPr>
        <w:t>as</w:t>
      </w:r>
      <w:r w:rsidR="00EC3C2F" w:rsidRPr="00B91307">
        <w:rPr>
          <w:lang w:eastAsia="en-US"/>
        </w:rPr>
        <w:t xml:space="preserve"> legal exposure limits</w:t>
      </w:r>
      <w:r w:rsidR="006B00A4" w:rsidRPr="00B91307">
        <w:rPr>
          <w:lang w:eastAsia="en-US"/>
        </w:rPr>
        <w:t xml:space="preserve"> </w:t>
      </w:r>
      <w:sdt>
        <w:sdtPr>
          <w:rPr>
            <w:lang w:eastAsia="en-US"/>
          </w:rPr>
          <w:id w:val="331041343"/>
          <w:citation/>
        </w:sdtPr>
        <w:sdtEndPr/>
        <w:sdtContent>
          <w:r w:rsidR="006B00A4" w:rsidRPr="00B91307">
            <w:rPr>
              <w:lang w:eastAsia="en-US"/>
            </w:rPr>
            <w:fldChar w:fldCharType="begin"/>
          </w:r>
          <w:r w:rsidR="002C0D12" w:rsidRPr="00B91307">
            <w:rPr>
              <w:lang w:eastAsia="en-US"/>
            </w:rPr>
            <w:instrText xml:space="preserve">CITATION Ame88 \l 3081 </w:instrText>
          </w:r>
          <w:r w:rsidR="006B00A4" w:rsidRPr="00B91307">
            <w:rPr>
              <w:lang w:eastAsia="en-US"/>
            </w:rPr>
            <w:fldChar w:fldCharType="separate"/>
          </w:r>
          <w:r w:rsidR="00490B21">
            <w:rPr>
              <w:noProof/>
              <w:lang w:eastAsia="en-US"/>
            </w:rPr>
            <w:t>(ACGIH, 1988)</w:t>
          </w:r>
          <w:r w:rsidR="006B00A4" w:rsidRPr="00B91307">
            <w:rPr>
              <w:lang w:eastAsia="en-US"/>
            </w:rPr>
            <w:fldChar w:fldCharType="end"/>
          </w:r>
        </w:sdtContent>
      </w:sdt>
      <w:r w:rsidR="00EC3C2F" w:rsidRPr="00B91307">
        <w:rPr>
          <w:lang w:eastAsia="en-US"/>
        </w:rPr>
        <w:t xml:space="preserve">. </w:t>
      </w:r>
    </w:p>
    <w:p w14:paraId="281A5E14" w14:textId="028EA7AE" w:rsidR="00F36469" w:rsidRDefault="00CF4D4C" w:rsidP="00F5523D">
      <w:pPr>
        <w:rPr>
          <w:rFonts w:cs="Arial"/>
        </w:rPr>
      </w:pPr>
      <w:r w:rsidRPr="00B91307">
        <w:rPr>
          <w:rFonts w:cs="Arial"/>
        </w:rPr>
        <w:t>Th</w:t>
      </w:r>
      <w:r w:rsidR="00A513A3" w:rsidRPr="00B91307">
        <w:rPr>
          <w:rFonts w:cs="Arial"/>
        </w:rPr>
        <w:t xml:space="preserve">e proposed WEL is </w:t>
      </w:r>
      <w:r w:rsidR="00A54F97" w:rsidRPr="00B91307">
        <w:rPr>
          <w:rFonts w:cs="Arial"/>
        </w:rPr>
        <w:t>legislated</w:t>
      </w:r>
      <w:r w:rsidR="00C0012F" w:rsidRPr="00B91307">
        <w:rPr>
          <w:rFonts w:cs="Arial"/>
        </w:rPr>
        <w:t xml:space="preserve"> </w:t>
      </w:r>
      <w:r w:rsidR="005F0697" w:rsidRPr="00B91307">
        <w:rPr>
          <w:rFonts w:cs="Arial"/>
        </w:rPr>
        <w:t xml:space="preserve">for RCS </w:t>
      </w:r>
      <w:r w:rsidR="00B93CC7" w:rsidRPr="00B91307">
        <w:rPr>
          <w:rFonts w:cs="Arial"/>
        </w:rPr>
        <w:t>in</w:t>
      </w:r>
      <w:r w:rsidR="00A54F97" w:rsidRPr="00B91307">
        <w:rPr>
          <w:rFonts w:cs="Arial"/>
        </w:rPr>
        <w:t xml:space="preserve"> the</w:t>
      </w:r>
      <w:r w:rsidR="00B93CC7" w:rsidRPr="00B91307">
        <w:rPr>
          <w:rFonts w:cs="Arial"/>
        </w:rPr>
        <w:t xml:space="preserve"> British Columbia</w:t>
      </w:r>
      <w:r w:rsidR="00A54F97" w:rsidRPr="00B91307">
        <w:rPr>
          <w:rFonts w:cs="Arial"/>
        </w:rPr>
        <w:t xml:space="preserve"> and</w:t>
      </w:r>
      <w:r w:rsidR="00B93CC7" w:rsidRPr="00B91307">
        <w:rPr>
          <w:rFonts w:cs="Arial"/>
        </w:rPr>
        <w:t xml:space="preserve"> </w:t>
      </w:r>
      <w:r w:rsidR="00CF4B82" w:rsidRPr="00B91307">
        <w:rPr>
          <w:rFonts w:cs="Arial"/>
        </w:rPr>
        <w:t xml:space="preserve">Alberta provinces of </w:t>
      </w:r>
      <w:r w:rsidR="00B93CC7" w:rsidRPr="00B91307">
        <w:rPr>
          <w:rFonts w:cs="Arial"/>
        </w:rPr>
        <w:t>Canada</w:t>
      </w:r>
      <w:r w:rsidR="005F0697" w:rsidRPr="00B91307">
        <w:rPr>
          <w:rFonts w:cs="Arial"/>
        </w:rPr>
        <w:t xml:space="preserve"> </w:t>
      </w:r>
      <w:sdt>
        <w:sdtPr>
          <w:rPr>
            <w:rFonts w:cs="Arial"/>
          </w:rPr>
          <w:id w:val="2025819596"/>
          <w:citation/>
        </w:sdtPr>
        <w:sdtEndPr/>
        <w:sdtContent>
          <w:r w:rsidR="005F0697" w:rsidRPr="00B91307">
            <w:rPr>
              <w:rFonts w:cs="Arial"/>
            </w:rPr>
            <w:fldChar w:fldCharType="begin"/>
          </w:r>
          <w:r w:rsidR="005F0697" w:rsidRPr="00B91307">
            <w:rPr>
              <w:rFonts w:cs="Arial"/>
            </w:rPr>
            <w:instrText xml:space="preserve"> CITATION Wor06 \l 3081 </w:instrText>
          </w:r>
          <w:r w:rsidR="00514478" w:rsidRPr="00B91307">
            <w:rPr>
              <w:rFonts w:cs="Arial"/>
            </w:rPr>
            <w:instrText xml:space="preserve"> \m Gov25</w:instrText>
          </w:r>
          <w:r w:rsidR="005F0697" w:rsidRPr="00B91307">
            <w:rPr>
              <w:rFonts w:cs="Arial"/>
            </w:rPr>
            <w:fldChar w:fldCharType="separate"/>
          </w:r>
          <w:r w:rsidR="00490B21" w:rsidRPr="00490B21">
            <w:rPr>
              <w:rFonts w:cs="Arial"/>
              <w:noProof/>
            </w:rPr>
            <w:t>(WorkSafe BC, 2006; Government of Alberta, 2025)</w:t>
          </w:r>
          <w:r w:rsidR="005F0697" w:rsidRPr="00B91307">
            <w:rPr>
              <w:rFonts w:cs="Arial"/>
            </w:rPr>
            <w:fldChar w:fldCharType="end"/>
          </w:r>
        </w:sdtContent>
      </w:sdt>
      <w:r w:rsidR="00B67E62" w:rsidRPr="00B91307">
        <w:rPr>
          <w:rFonts w:cs="Arial"/>
        </w:rPr>
        <w:t xml:space="preserve"> </w:t>
      </w:r>
      <w:r w:rsidR="005F0697" w:rsidRPr="00B91307">
        <w:rPr>
          <w:rFonts w:cs="Arial"/>
        </w:rPr>
        <w:t xml:space="preserve">and is also </w:t>
      </w:r>
      <w:r w:rsidR="00B67E62" w:rsidRPr="00B91307">
        <w:rPr>
          <w:rFonts w:cs="Arial"/>
        </w:rPr>
        <w:t>recommended by WorkSafe</w:t>
      </w:r>
      <w:r w:rsidR="00A513A3" w:rsidRPr="00B91307">
        <w:rPr>
          <w:rFonts w:cs="Arial"/>
        </w:rPr>
        <w:t xml:space="preserve"> New Zealand</w:t>
      </w:r>
      <w:r w:rsidR="00717397" w:rsidRPr="00B91307">
        <w:rPr>
          <w:szCs w:val="22"/>
        </w:rPr>
        <w:t xml:space="preserve"> </w:t>
      </w:r>
      <w:sdt>
        <w:sdtPr>
          <w:rPr>
            <w:szCs w:val="22"/>
          </w:rPr>
          <w:id w:val="-366140924"/>
          <w:citation/>
        </w:sdtPr>
        <w:sdtEndPr/>
        <w:sdtContent>
          <w:r w:rsidR="00717397" w:rsidRPr="00B91307">
            <w:rPr>
              <w:szCs w:val="22"/>
            </w:rPr>
            <w:fldChar w:fldCharType="begin"/>
          </w:r>
          <w:r w:rsidR="00717397" w:rsidRPr="00B91307">
            <w:rPr>
              <w:szCs w:val="22"/>
            </w:rPr>
            <w:instrText xml:space="preserve"> CITATION Fornd \l 3081 </w:instrText>
          </w:r>
          <w:r w:rsidR="00717397" w:rsidRPr="00B91307">
            <w:rPr>
              <w:szCs w:val="22"/>
            </w:rPr>
            <w:fldChar w:fldCharType="separate"/>
          </w:r>
          <w:r w:rsidR="00490B21" w:rsidRPr="00490B21">
            <w:rPr>
              <w:noProof/>
              <w:szCs w:val="22"/>
            </w:rPr>
            <w:t>(Institute for Occupational Safety and Health of the German Social Accident Insurance, n.d.)</w:t>
          </w:r>
          <w:r w:rsidR="00717397" w:rsidRPr="00B91307">
            <w:rPr>
              <w:szCs w:val="22"/>
            </w:rPr>
            <w:fldChar w:fldCharType="end"/>
          </w:r>
        </w:sdtContent>
      </w:sdt>
      <w:r w:rsidR="00A513A3" w:rsidRPr="00B91307">
        <w:rPr>
          <w:rFonts w:cs="Arial"/>
        </w:rPr>
        <w:t>.</w:t>
      </w:r>
      <w:r w:rsidR="00A513A3">
        <w:rPr>
          <w:rFonts w:cs="Arial"/>
        </w:rPr>
        <w:t xml:space="preserve"> </w:t>
      </w:r>
    </w:p>
    <w:p w14:paraId="47E640CE" w14:textId="2D5C69EC" w:rsidR="00F36469" w:rsidRDefault="00F36469" w:rsidP="00767F6E">
      <w:pPr>
        <w:pStyle w:val="SWAHeading4"/>
      </w:pPr>
      <w:r>
        <w:t>Quantifi</w:t>
      </w:r>
      <w:r w:rsidR="00FF3931">
        <w:t>able</w:t>
      </w:r>
      <w:r>
        <w:t xml:space="preserve"> health benefits for the proposed WEL for RCS</w:t>
      </w:r>
    </w:p>
    <w:p w14:paraId="5B8F18E0" w14:textId="07786039" w:rsidR="00195DEF" w:rsidRDefault="001A562F" w:rsidP="00274FA4">
      <w:pPr>
        <w:pStyle w:val="Paragraph"/>
        <w:keepNext w:val="0"/>
        <w:spacing w:after="120"/>
      </w:pPr>
      <w:r>
        <w:t>Minimising</w:t>
      </w:r>
      <w:r w:rsidR="0038643B">
        <w:t xml:space="preserve"> the </w:t>
      </w:r>
      <w:r w:rsidR="008B2D29">
        <w:t>incidence</w:t>
      </w:r>
      <w:r w:rsidR="0038643B">
        <w:t xml:space="preserve"> of </w:t>
      </w:r>
      <w:r w:rsidR="008B2D29">
        <w:t>work-related disease</w:t>
      </w:r>
      <w:r w:rsidR="004D723A">
        <w:t xml:space="preserve"> </w:t>
      </w:r>
      <w:r w:rsidR="00810B57">
        <w:t xml:space="preserve">attributable to work-related </w:t>
      </w:r>
      <w:r w:rsidR="008B2D29">
        <w:t>exposure</w:t>
      </w:r>
      <w:r w:rsidR="00810B57">
        <w:t xml:space="preserve"> to RCS </w:t>
      </w:r>
      <w:r>
        <w:t>is estimated to</w:t>
      </w:r>
      <w:r w:rsidR="00810B57">
        <w:t xml:space="preserve"> deliver </w:t>
      </w:r>
      <w:r w:rsidR="0028155A">
        <w:t xml:space="preserve">a combined </w:t>
      </w:r>
      <w:r w:rsidR="008D571D">
        <w:t>$</w:t>
      </w:r>
      <w:r w:rsidR="00BB2116">
        <w:t>1</w:t>
      </w:r>
      <w:r w:rsidR="004A4C9D">
        <w:t>2.2</w:t>
      </w:r>
      <w:r w:rsidR="00BB2116">
        <w:t xml:space="preserve"> billion </w:t>
      </w:r>
      <w:r w:rsidR="00617123">
        <w:t xml:space="preserve">over 10-years in </w:t>
      </w:r>
      <w:r w:rsidR="00681FC7">
        <w:t xml:space="preserve">quantifiable </w:t>
      </w:r>
      <w:r w:rsidR="00617123">
        <w:t xml:space="preserve">health benefits. </w:t>
      </w:r>
      <w:r w:rsidR="004D723A">
        <w:t>This includes</w:t>
      </w:r>
      <w:r w:rsidR="00195DEF">
        <w:t>:</w:t>
      </w:r>
    </w:p>
    <w:p w14:paraId="5AC2A7C8" w14:textId="2157A012" w:rsidR="00195DEF" w:rsidRDefault="00A65AAF" w:rsidP="00A2768E">
      <w:pPr>
        <w:pStyle w:val="Paragraph"/>
        <w:numPr>
          <w:ilvl w:val="0"/>
          <w:numId w:val="54"/>
        </w:numPr>
      </w:pPr>
      <w:r>
        <w:t>$</w:t>
      </w:r>
      <w:r w:rsidR="009C4014">
        <w:t>9</w:t>
      </w:r>
      <w:r w:rsidR="00195DEF">
        <w:t>.</w:t>
      </w:r>
      <w:r w:rsidR="00122018">
        <w:t xml:space="preserve">7 </w:t>
      </w:r>
      <w:r>
        <w:t xml:space="preserve">billion </w:t>
      </w:r>
      <w:r w:rsidR="00E44D68">
        <w:t xml:space="preserve">in health benefits </w:t>
      </w:r>
      <w:r>
        <w:t>for all industries (excluding mining)</w:t>
      </w:r>
      <w:r w:rsidR="00E23675">
        <w:t>, as shown in</w:t>
      </w:r>
      <w:r w:rsidR="00CC3FDD">
        <w:t xml:space="preserve"> </w:t>
      </w:r>
      <w:r w:rsidR="00C23AD7">
        <w:fldChar w:fldCharType="begin"/>
      </w:r>
      <w:r w:rsidR="00C23AD7">
        <w:instrText xml:space="preserve"> REF _Ref216769628 \h </w:instrText>
      </w:r>
      <w:r w:rsidR="00C23AD7">
        <w:fldChar w:fldCharType="separate"/>
      </w:r>
      <w:r w:rsidR="00A002F4">
        <w:t xml:space="preserve">Table </w:t>
      </w:r>
      <w:r w:rsidR="00A002F4">
        <w:rPr>
          <w:noProof/>
        </w:rPr>
        <w:t>34</w:t>
      </w:r>
      <w:r w:rsidR="00C23AD7">
        <w:fldChar w:fldCharType="end"/>
      </w:r>
      <w:r w:rsidR="00E23675">
        <w:t>,</w:t>
      </w:r>
      <w:r>
        <w:t xml:space="preserve"> and</w:t>
      </w:r>
      <w:r w:rsidR="007235FE">
        <w:t xml:space="preserve"> </w:t>
      </w:r>
    </w:p>
    <w:p w14:paraId="5EC90E1F" w14:textId="7AE75771" w:rsidR="00214AB8" w:rsidRDefault="00AC7B93" w:rsidP="00A2768E">
      <w:pPr>
        <w:pStyle w:val="Paragraph"/>
        <w:numPr>
          <w:ilvl w:val="0"/>
          <w:numId w:val="54"/>
        </w:numPr>
      </w:pPr>
      <w:r>
        <w:t>$2</w:t>
      </w:r>
      <w:r w:rsidR="00CD4E9C">
        <w:t>.</w:t>
      </w:r>
      <w:r w:rsidR="00CD4E9C" w:rsidDel="00122018">
        <w:t>4</w:t>
      </w:r>
      <w:r w:rsidR="00CD4E9C">
        <w:t xml:space="preserve"> billion </w:t>
      </w:r>
      <w:r w:rsidR="00323A46">
        <w:t xml:space="preserve">in health benefits </w:t>
      </w:r>
      <w:r w:rsidR="00E44D68">
        <w:t>for the mining industry</w:t>
      </w:r>
      <w:r w:rsidR="00F11C62">
        <w:rPr>
          <w:rStyle w:val="FootnoteReference"/>
        </w:rPr>
        <w:footnoteReference w:id="254"/>
      </w:r>
      <w:r w:rsidR="00CD4E9C">
        <w:t>,</w:t>
      </w:r>
      <w:r w:rsidR="00E23675">
        <w:t xml:space="preserve"> as shown in </w:t>
      </w:r>
      <w:r w:rsidR="00C23AD7">
        <w:fldChar w:fldCharType="begin"/>
      </w:r>
      <w:r w:rsidR="00C23AD7">
        <w:instrText xml:space="preserve"> REF _Ref216769663 \h </w:instrText>
      </w:r>
      <w:r w:rsidR="00C23AD7">
        <w:fldChar w:fldCharType="separate"/>
      </w:r>
      <w:r w:rsidR="00A002F4">
        <w:t xml:space="preserve">Table </w:t>
      </w:r>
      <w:r w:rsidR="00A002F4">
        <w:rPr>
          <w:noProof/>
        </w:rPr>
        <w:t>35</w:t>
      </w:r>
      <w:r w:rsidR="00C23AD7">
        <w:fldChar w:fldCharType="end"/>
      </w:r>
      <w:r w:rsidR="00E44D68">
        <w:t xml:space="preserve">. </w:t>
      </w:r>
    </w:p>
    <w:p w14:paraId="5672CC0C" w14:textId="39E49E2F" w:rsidR="00D15CEC" w:rsidRDefault="00617123" w:rsidP="001C5372">
      <w:pPr>
        <w:pStyle w:val="Paragraph"/>
        <w:keepNext w:val="0"/>
      </w:pPr>
      <w:r>
        <w:t xml:space="preserve">This reflects the notable current burden of disease </w:t>
      </w:r>
      <w:r w:rsidR="009A2B22" w:rsidRPr="00CD46E8">
        <w:t xml:space="preserve">of </w:t>
      </w:r>
      <w:r w:rsidR="00D9627D">
        <w:t xml:space="preserve">lung cancer and other </w:t>
      </w:r>
      <w:r w:rsidR="003B0AD0">
        <w:t>respiratory diseases</w:t>
      </w:r>
      <w:r w:rsidR="009A2B22" w:rsidRPr="00CD46E8">
        <w:t xml:space="preserve"> attributable to occupational exposure to </w:t>
      </w:r>
      <w:r w:rsidR="003B0AD0">
        <w:t>RCS</w:t>
      </w:r>
      <w:r w:rsidR="009A2B22" w:rsidRPr="00CD46E8">
        <w:t xml:space="preserve">, which is estimated to be </w:t>
      </w:r>
      <w:r w:rsidR="00EA3871">
        <w:t xml:space="preserve">5,986 </w:t>
      </w:r>
      <w:r w:rsidR="009A2B22">
        <w:t>d</w:t>
      </w:r>
      <w:r w:rsidR="009A2B22" w:rsidRPr="00CD46E8">
        <w:t>isability-adjusted life years (DALYs) in 2027</w:t>
      </w:r>
      <w:r w:rsidR="0012100B">
        <w:t xml:space="preserve"> for all industries (excl. mining) and </w:t>
      </w:r>
      <w:r w:rsidR="00511F85">
        <w:t>1,</w:t>
      </w:r>
      <w:r w:rsidR="00FC1942">
        <w:t>562</w:t>
      </w:r>
      <w:r w:rsidR="00511F85">
        <w:t xml:space="preserve"> DALYs</w:t>
      </w:r>
      <w:r w:rsidR="00446810">
        <w:t xml:space="preserve"> in 2027 for the mining industry</w:t>
      </w:r>
      <w:r w:rsidR="009A2B22" w:rsidRPr="00CD46E8">
        <w:t>, based on the IHME GDB Study</w:t>
      </w:r>
      <w:r w:rsidR="00E45C87">
        <w:t xml:space="preserve">. </w:t>
      </w:r>
    </w:p>
    <w:p w14:paraId="54B14014" w14:textId="39C7C5E5" w:rsidR="00171975" w:rsidRDefault="00432CB3" w:rsidP="00432CB3">
      <w:pPr>
        <w:pStyle w:val="Paragraph"/>
      </w:pPr>
      <w:r w:rsidRPr="00432CB3">
        <w:t xml:space="preserve">It is expected that these quantifiable </w:t>
      </w:r>
      <w:r>
        <w:t>health</w:t>
      </w:r>
      <w:r w:rsidRPr="00432CB3">
        <w:t xml:space="preserve"> benefits will continue beyond the 10-year period that this estimation is based on. </w:t>
      </w:r>
      <w:r>
        <w:t xml:space="preserve">Health </w:t>
      </w:r>
      <w:r w:rsidRPr="00432CB3">
        <w:t>benefits that arise beyond the 10-year period have not been quantified and are not included the figures below.</w:t>
      </w:r>
    </w:p>
    <w:p w14:paraId="3FFFB058" w14:textId="77777777" w:rsidR="00171975" w:rsidRDefault="00171975">
      <w:pPr>
        <w:spacing w:after="200" w:line="276" w:lineRule="auto"/>
        <w:contextualSpacing w:val="0"/>
        <w:rPr>
          <w:rFonts w:eastAsia="Times New Roman"/>
          <w:lang w:eastAsia="en-AU"/>
        </w:rPr>
      </w:pPr>
      <w:r>
        <w:br w:type="page"/>
      </w:r>
    </w:p>
    <w:p w14:paraId="283741E7" w14:textId="379D023E" w:rsidR="00C23AD7" w:rsidRDefault="00C23AD7" w:rsidP="00432CB3">
      <w:pPr>
        <w:pStyle w:val="Caption"/>
        <w:keepNext w:val="0"/>
      </w:pPr>
      <w:bookmarkStart w:id="510" w:name="_Ref216769628"/>
      <w:r>
        <w:lastRenderedPageBreak/>
        <w:t xml:space="preserve">Table </w:t>
      </w:r>
      <w:fldSimple w:instr=" SEQ Table \* ARABIC ">
        <w:r w:rsidR="00A002F4">
          <w:rPr>
            <w:noProof/>
          </w:rPr>
          <w:t>34</w:t>
        </w:r>
      </w:fldSimple>
      <w:bookmarkEnd w:id="510"/>
      <w:r>
        <w:t xml:space="preserve"> - </w:t>
      </w:r>
      <w:r w:rsidRPr="00AB2BF1">
        <w:t>Estimated average annual and total quantified health benefits of the proposed WEL for RCS (all industries, excl. mining),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D15CEC" w:rsidRPr="00B65E6C" w14:paraId="17E05026" w14:textId="77777777">
        <w:trPr>
          <w:trHeight w:val="257"/>
        </w:trPr>
        <w:tc>
          <w:tcPr>
            <w:tcW w:w="4106" w:type="dxa"/>
            <w:tcBorders>
              <w:right w:val="single" w:sz="4" w:space="0" w:color="D9D9D9" w:themeColor="background1" w:themeShade="D9"/>
            </w:tcBorders>
            <w:shd w:val="clear" w:color="auto" w:fill="4877E0" w:themeFill="accent1"/>
          </w:tcPr>
          <w:p w14:paraId="0D0AD47C" w14:textId="77777777" w:rsidR="00D15CEC" w:rsidRPr="00931974" w:rsidRDefault="00D15CEC" w:rsidP="003B3345">
            <w:pPr>
              <w:pStyle w:val="Paragraph"/>
              <w:keepNext w:val="0"/>
              <w:spacing w:after="0"/>
              <w:rPr>
                <w:b/>
              </w:rPr>
            </w:pPr>
            <w:r w:rsidRPr="00950F93">
              <w:rPr>
                <w:b/>
                <w:color w:val="FFFFFF" w:themeColor="background1"/>
              </w:rPr>
              <w:t>Health benefits</w:t>
            </w:r>
          </w:p>
        </w:tc>
        <w:tc>
          <w:tcPr>
            <w:tcW w:w="2480" w:type="dxa"/>
            <w:tcBorders>
              <w:bottom w:val="single" w:sz="4" w:space="0" w:color="D9D9D9" w:themeColor="background1" w:themeShade="D9"/>
            </w:tcBorders>
            <w:shd w:val="clear" w:color="auto" w:fill="4877E0" w:themeFill="accent1"/>
          </w:tcPr>
          <w:p w14:paraId="738650A4" w14:textId="5A428531" w:rsidR="00D15CEC" w:rsidRPr="00B65E6C" w:rsidRDefault="00D15CEC" w:rsidP="003B3345">
            <w:pPr>
              <w:tabs>
                <w:tab w:val="left" w:pos="419"/>
              </w:tabs>
              <w:contextualSpacing w:val="0"/>
              <w:rPr>
                <w:b/>
                <w:bCs/>
              </w:rPr>
            </w:pPr>
            <w:r w:rsidRPr="00E80AF6">
              <w:rPr>
                <w:b/>
                <w:bCs/>
                <w:color w:val="FFFFFF" w:themeColor="background1"/>
              </w:rPr>
              <w:t>Average benefits p.a. ($</w:t>
            </w:r>
            <w:r w:rsidR="00B66D69">
              <w:rPr>
                <w:b/>
                <w:bCs/>
                <w:color w:val="FFFFFF" w:themeColor="background1"/>
              </w:rPr>
              <w:t xml:space="preserve"> </w:t>
            </w:r>
            <w:r w:rsidR="00452D98">
              <w:rPr>
                <w:b/>
                <w:bCs/>
                <w:color w:val="FFFFFF" w:themeColor="background1"/>
              </w:rPr>
              <w:t>millions</w:t>
            </w:r>
            <w:r w:rsidRPr="00E80AF6">
              <w:rPr>
                <w:b/>
                <w:bCs/>
                <w:color w:val="FFFFFF" w:themeColor="background1"/>
              </w:rPr>
              <w:t>, undiscounted)</w:t>
            </w:r>
          </w:p>
        </w:tc>
        <w:tc>
          <w:tcPr>
            <w:tcW w:w="2481" w:type="dxa"/>
            <w:tcBorders>
              <w:bottom w:val="single" w:sz="4" w:space="0" w:color="D9D9D9" w:themeColor="background1" w:themeShade="D9"/>
            </w:tcBorders>
            <w:shd w:val="clear" w:color="auto" w:fill="4877E0" w:themeFill="accent1"/>
          </w:tcPr>
          <w:p w14:paraId="02D09B3E" w14:textId="77777777" w:rsidR="00D15CEC" w:rsidRPr="00B65E6C" w:rsidRDefault="00D15CEC" w:rsidP="003B3345">
            <w:pPr>
              <w:contextualSpacing w:val="0"/>
              <w:rPr>
                <w:b/>
                <w:bCs/>
              </w:rPr>
            </w:pPr>
            <w:r w:rsidRPr="00E80AF6">
              <w:rPr>
                <w:b/>
                <w:bCs/>
                <w:color w:val="FFFFFF" w:themeColor="background1"/>
              </w:rPr>
              <w:t>Total benefits ($ millions, discounted)</w:t>
            </w:r>
          </w:p>
        </w:tc>
      </w:tr>
      <w:tr w:rsidR="00D15CEC" w:rsidRPr="00B65E6C" w14:paraId="52427DA1" w14:textId="77777777">
        <w:trPr>
          <w:trHeight w:val="274"/>
        </w:trPr>
        <w:tc>
          <w:tcPr>
            <w:tcW w:w="4106" w:type="dxa"/>
            <w:tcBorders>
              <w:right w:val="single" w:sz="4" w:space="0" w:color="D9D9D9" w:themeColor="background1" w:themeShade="D9"/>
            </w:tcBorders>
          </w:tcPr>
          <w:p w14:paraId="136F853F" w14:textId="77777777" w:rsidR="00D15CEC" w:rsidRDefault="00D15CEC" w:rsidP="003B3345">
            <w:pPr>
              <w:pStyle w:val="Paragraph"/>
              <w:keepNext w:val="0"/>
              <w:spacing w:after="0"/>
              <w:ind w:left="172"/>
              <w:rPr>
                <w:bCs/>
              </w:rPr>
            </w:pPr>
            <w:r>
              <w:rPr>
                <w:bCs/>
              </w:rPr>
              <w:t>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577849" w14:textId="42B28D8E" w:rsidR="00D15CEC" w:rsidRPr="002915B5" w:rsidRDefault="00280A5C" w:rsidP="003B3345">
            <w:pPr>
              <w:jc w:val="right"/>
            </w:pPr>
            <w:r>
              <w:t>1,</w:t>
            </w:r>
            <w:r w:rsidR="00137E05">
              <w:t>58</w:t>
            </w:r>
            <w:r w:rsidR="00306845">
              <w:t>0.2</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AE5D6B" w14:textId="35C6B477" w:rsidR="00D15CEC" w:rsidRPr="002915B5" w:rsidRDefault="00EB3AC2" w:rsidP="003B3345">
            <w:pPr>
              <w:jc w:val="right"/>
            </w:pPr>
            <w:r>
              <w:t>9,</w:t>
            </w:r>
            <w:r w:rsidR="000A7890">
              <w:t>586.2</w:t>
            </w:r>
          </w:p>
        </w:tc>
      </w:tr>
      <w:tr w:rsidR="00D15CEC" w:rsidRPr="00B65E6C" w14:paraId="1133545B" w14:textId="77777777">
        <w:trPr>
          <w:trHeight w:val="257"/>
        </w:trPr>
        <w:tc>
          <w:tcPr>
            <w:tcW w:w="4106" w:type="dxa"/>
            <w:tcBorders>
              <w:right w:val="single" w:sz="4" w:space="0" w:color="D9D9D9" w:themeColor="background1" w:themeShade="D9"/>
            </w:tcBorders>
          </w:tcPr>
          <w:p w14:paraId="5BDA6653" w14:textId="77777777" w:rsidR="00D15CEC" w:rsidRDefault="00D15CEC" w:rsidP="003B3345">
            <w:pPr>
              <w:pStyle w:val="Paragraph"/>
              <w:keepNext w:val="0"/>
              <w:spacing w:after="0"/>
              <w:ind w:left="172"/>
              <w:rPr>
                <w:bCs/>
              </w:rPr>
            </w:pPr>
            <w:r>
              <w:rPr>
                <w:bCs/>
              </w:rPr>
              <w:t>Non-fatal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945A03" w14:textId="0BF022A2" w:rsidR="00D15CEC" w:rsidRPr="002915B5" w:rsidRDefault="00137E05" w:rsidP="003B3345">
            <w:pPr>
              <w:jc w:val="right"/>
            </w:pPr>
            <w:r>
              <w:t>26.</w:t>
            </w:r>
            <w:r w:rsidR="00306845">
              <w:t>3</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4E1975" w14:textId="1A4E4611" w:rsidR="00D15CEC" w:rsidRPr="002915B5" w:rsidRDefault="0023518D" w:rsidP="003B3345">
            <w:pPr>
              <w:jc w:val="right"/>
            </w:pPr>
            <w:r>
              <w:t>160.3</w:t>
            </w:r>
          </w:p>
        </w:tc>
      </w:tr>
      <w:tr w:rsidR="00D15CEC" w:rsidRPr="00B65E6C" w14:paraId="1FFA040A" w14:textId="77777777">
        <w:trPr>
          <w:trHeight w:val="257"/>
        </w:trPr>
        <w:tc>
          <w:tcPr>
            <w:tcW w:w="4106" w:type="dxa"/>
            <w:tcBorders>
              <w:right w:val="single" w:sz="4" w:space="0" w:color="D9D9D9" w:themeColor="background1" w:themeShade="D9"/>
            </w:tcBorders>
            <w:shd w:val="clear" w:color="auto" w:fill="B5C8F2" w:themeFill="accent1" w:themeFillTint="66"/>
          </w:tcPr>
          <w:p w14:paraId="7937D908" w14:textId="77777777" w:rsidR="00D15CEC" w:rsidRPr="00950F93" w:rsidRDefault="00D15CEC" w:rsidP="003B3345">
            <w:pPr>
              <w:pStyle w:val="Paragraph"/>
              <w:keepNext w:val="0"/>
              <w:spacing w:after="0"/>
              <w:rPr>
                <w:b/>
              </w:rPr>
            </w:pPr>
            <w:r w:rsidRPr="00950F93">
              <w:rPr>
                <w:b/>
              </w:rPr>
              <w:t>Total</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6E8E0E06" w14:textId="4D8CE3B2" w:rsidR="00D15CEC" w:rsidRPr="002915B5" w:rsidRDefault="00137E05" w:rsidP="003B3345">
            <w:pPr>
              <w:jc w:val="right"/>
              <w:rPr>
                <w:b/>
              </w:rPr>
            </w:pPr>
            <w:r>
              <w:rPr>
                <w:b/>
              </w:rPr>
              <w:t>1,6</w:t>
            </w:r>
            <w:r w:rsidR="00AB1C90">
              <w:rPr>
                <w:b/>
              </w:rPr>
              <w:t>06.6</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5ABD01C7" w14:textId="3CFA7D9B" w:rsidR="00D15CEC" w:rsidRPr="002915B5" w:rsidRDefault="004B711B" w:rsidP="003B3345">
            <w:pPr>
              <w:jc w:val="right"/>
              <w:rPr>
                <w:b/>
              </w:rPr>
            </w:pPr>
            <w:r>
              <w:rPr>
                <w:b/>
              </w:rPr>
              <w:t>9,</w:t>
            </w:r>
            <w:r w:rsidR="0023518D">
              <w:rPr>
                <w:b/>
              </w:rPr>
              <w:t>746.5</w:t>
            </w:r>
          </w:p>
        </w:tc>
      </w:tr>
    </w:tbl>
    <w:p w14:paraId="19602A38" w14:textId="77777777" w:rsidR="007E7E41" w:rsidRPr="007E7E41" w:rsidRDefault="007E7E41" w:rsidP="003349CC"/>
    <w:p w14:paraId="1EF93E6A" w14:textId="2F885A41" w:rsidR="00C23AD7" w:rsidRDefault="00C23AD7" w:rsidP="003349CC">
      <w:pPr>
        <w:pStyle w:val="Caption"/>
        <w:keepLines/>
      </w:pPr>
      <w:bookmarkStart w:id="511" w:name="_Ref216769663"/>
      <w:r>
        <w:t xml:space="preserve">Table </w:t>
      </w:r>
      <w:fldSimple w:instr=" SEQ Table \* ARABIC ">
        <w:r w:rsidR="00A002F4">
          <w:rPr>
            <w:noProof/>
          </w:rPr>
          <w:t>35</w:t>
        </w:r>
      </w:fldSimple>
      <w:bookmarkEnd w:id="511"/>
      <w:r>
        <w:t xml:space="preserve"> - </w:t>
      </w:r>
      <w:r w:rsidRPr="008503FD">
        <w:t>Estimated average annual and total quantified health benefits of the proposed WEL for RCS (mining only),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270D17" w:rsidRPr="00B65E6C" w14:paraId="66E1EC57" w14:textId="77777777">
        <w:trPr>
          <w:trHeight w:val="257"/>
        </w:trPr>
        <w:tc>
          <w:tcPr>
            <w:tcW w:w="4106" w:type="dxa"/>
            <w:tcBorders>
              <w:right w:val="single" w:sz="4" w:space="0" w:color="D9D9D9" w:themeColor="background1" w:themeShade="D9"/>
            </w:tcBorders>
            <w:shd w:val="clear" w:color="auto" w:fill="4877E0" w:themeFill="accent1"/>
          </w:tcPr>
          <w:p w14:paraId="5E4DFFCA" w14:textId="77777777" w:rsidR="00270D17" w:rsidRPr="00931974" w:rsidRDefault="00270D17" w:rsidP="0016702C">
            <w:pPr>
              <w:pStyle w:val="Paragraph"/>
              <w:keepLines/>
              <w:spacing w:after="0"/>
              <w:rPr>
                <w:b/>
              </w:rPr>
            </w:pPr>
            <w:r w:rsidRPr="00950F93">
              <w:rPr>
                <w:b/>
                <w:color w:val="FFFFFF" w:themeColor="background1"/>
              </w:rPr>
              <w:t>Health benefits</w:t>
            </w:r>
          </w:p>
        </w:tc>
        <w:tc>
          <w:tcPr>
            <w:tcW w:w="2480" w:type="dxa"/>
            <w:tcBorders>
              <w:bottom w:val="single" w:sz="4" w:space="0" w:color="D9D9D9" w:themeColor="background1" w:themeShade="D9"/>
            </w:tcBorders>
            <w:shd w:val="clear" w:color="auto" w:fill="4877E0" w:themeFill="accent1"/>
          </w:tcPr>
          <w:p w14:paraId="715AC118" w14:textId="545D9AB3" w:rsidR="00270D17" w:rsidRPr="00B65E6C" w:rsidRDefault="00270D17" w:rsidP="0016702C">
            <w:pPr>
              <w:keepNext/>
              <w:keepLines/>
              <w:tabs>
                <w:tab w:val="left" w:pos="419"/>
              </w:tabs>
              <w:contextualSpacing w:val="0"/>
              <w:rPr>
                <w:b/>
                <w:bCs/>
              </w:rPr>
            </w:pPr>
            <w:r w:rsidRPr="00E80AF6">
              <w:rPr>
                <w:b/>
                <w:bCs/>
                <w:color w:val="FFFFFF" w:themeColor="background1"/>
              </w:rPr>
              <w:t>Average benefits p.a. ($</w:t>
            </w:r>
            <w:r w:rsidR="005F671A">
              <w:rPr>
                <w:b/>
                <w:bCs/>
                <w:color w:val="FFFFFF" w:themeColor="background1"/>
              </w:rPr>
              <w:t xml:space="preserve"> millions</w:t>
            </w:r>
            <w:r w:rsidRPr="00E80AF6">
              <w:rPr>
                <w:b/>
                <w:bCs/>
                <w:color w:val="FFFFFF" w:themeColor="background1"/>
              </w:rPr>
              <w:t>, undiscounted)</w:t>
            </w:r>
          </w:p>
        </w:tc>
        <w:tc>
          <w:tcPr>
            <w:tcW w:w="2481" w:type="dxa"/>
            <w:tcBorders>
              <w:bottom w:val="single" w:sz="4" w:space="0" w:color="D9D9D9" w:themeColor="background1" w:themeShade="D9"/>
            </w:tcBorders>
            <w:shd w:val="clear" w:color="auto" w:fill="4877E0" w:themeFill="accent1"/>
          </w:tcPr>
          <w:p w14:paraId="41AEB852" w14:textId="77777777" w:rsidR="00270D17" w:rsidRPr="00B65E6C" w:rsidRDefault="00270D17" w:rsidP="0016702C">
            <w:pPr>
              <w:keepNext/>
              <w:keepLines/>
              <w:contextualSpacing w:val="0"/>
              <w:rPr>
                <w:b/>
                <w:bCs/>
              </w:rPr>
            </w:pPr>
            <w:r w:rsidRPr="00E80AF6">
              <w:rPr>
                <w:b/>
                <w:bCs/>
                <w:color w:val="FFFFFF" w:themeColor="background1"/>
              </w:rPr>
              <w:t>Total benefits ($ millions, discounted)</w:t>
            </w:r>
          </w:p>
        </w:tc>
      </w:tr>
      <w:tr w:rsidR="00270D17" w:rsidRPr="00B65E6C" w14:paraId="1F84E4DE" w14:textId="77777777">
        <w:trPr>
          <w:trHeight w:val="274"/>
        </w:trPr>
        <w:tc>
          <w:tcPr>
            <w:tcW w:w="4106" w:type="dxa"/>
            <w:tcBorders>
              <w:right w:val="single" w:sz="4" w:space="0" w:color="D9D9D9" w:themeColor="background1" w:themeShade="D9"/>
            </w:tcBorders>
          </w:tcPr>
          <w:p w14:paraId="0434BB8C" w14:textId="77777777" w:rsidR="00270D17" w:rsidRDefault="00270D17" w:rsidP="0016702C">
            <w:pPr>
              <w:pStyle w:val="Paragraph"/>
              <w:keepLines/>
              <w:spacing w:after="0"/>
              <w:ind w:left="172"/>
              <w:rPr>
                <w:bCs/>
              </w:rPr>
            </w:pPr>
            <w:r>
              <w:rPr>
                <w:bCs/>
              </w:rPr>
              <w:t>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0B9996" w14:textId="5A0C10B9" w:rsidR="00270D17" w:rsidRPr="002915B5" w:rsidRDefault="0023518D" w:rsidP="0016702C">
            <w:pPr>
              <w:keepNext/>
              <w:keepLines/>
              <w:jc w:val="right"/>
            </w:pPr>
            <w:r>
              <w:t>384.6</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100462" w14:textId="4F7F05BE" w:rsidR="00270D17" w:rsidRPr="002915B5" w:rsidRDefault="004A1490" w:rsidP="0016702C">
            <w:pPr>
              <w:keepNext/>
              <w:keepLines/>
              <w:jc w:val="right"/>
            </w:pPr>
            <w:r>
              <w:t>2,</w:t>
            </w:r>
            <w:r w:rsidR="00090A99">
              <w:t>352.5</w:t>
            </w:r>
          </w:p>
        </w:tc>
      </w:tr>
      <w:tr w:rsidR="00270D17" w:rsidRPr="00B65E6C" w14:paraId="5E6BBDEB" w14:textId="77777777">
        <w:trPr>
          <w:trHeight w:val="257"/>
        </w:trPr>
        <w:tc>
          <w:tcPr>
            <w:tcW w:w="4106" w:type="dxa"/>
            <w:tcBorders>
              <w:right w:val="single" w:sz="4" w:space="0" w:color="D9D9D9" w:themeColor="background1" w:themeShade="D9"/>
            </w:tcBorders>
          </w:tcPr>
          <w:p w14:paraId="484CD424" w14:textId="77777777" w:rsidR="00270D17" w:rsidRDefault="00270D17" w:rsidP="0016702C">
            <w:pPr>
              <w:pStyle w:val="Paragraph"/>
              <w:keepLines/>
              <w:spacing w:after="0"/>
              <w:ind w:left="172"/>
              <w:rPr>
                <w:bCs/>
              </w:rPr>
            </w:pPr>
            <w:r>
              <w:rPr>
                <w:bCs/>
              </w:rPr>
              <w:t>Non-fatal burden benefits</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6734B75" w14:textId="24CB9576" w:rsidR="00270D17" w:rsidRPr="002915B5" w:rsidRDefault="009976B0" w:rsidP="0016702C">
            <w:pPr>
              <w:keepNext/>
              <w:keepLines/>
              <w:jc w:val="right"/>
            </w:pPr>
            <w:r>
              <w:t>6.</w:t>
            </w:r>
            <w:r w:rsidR="0023518D">
              <w:t>4</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22B44D" w14:textId="4FB46E96" w:rsidR="00270D17" w:rsidRPr="002915B5" w:rsidRDefault="0023518D" w:rsidP="0016702C">
            <w:pPr>
              <w:keepNext/>
              <w:keepLines/>
              <w:jc w:val="right"/>
            </w:pPr>
            <w:r>
              <w:t>39.4</w:t>
            </w:r>
          </w:p>
        </w:tc>
      </w:tr>
      <w:tr w:rsidR="00270D17" w:rsidRPr="00B65E6C" w14:paraId="0AC812CE" w14:textId="77777777">
        <w:trPr>
          <w:trHeight w:val="257"/>
        </w:trPr>
        <w:tc>
          <w:tcPr>
            <w:tcW w:w="4106" w:type="dxa"/>
            <w:tcBorders>
              <w:right w:val="single" w:sz="4" w:space="0" w:color="D9D9D9" w:themeColor="background1" w:themeShade="D9"/>
            </w:tcBorders>
            <w:shd w:val="clear" w:color="auto" w:fill="B5C8F2" w:themeFill="accent1" w:themeFillTint="66"/>
          </w:tcPr>
          <w:p w14:paraId="6661D94E" w14:textId="77777777" w:rsidR="00270D17" w:rsidRPr="00950F93" w:rsidRDefault="00270D17" w:rsidP="0016702C">
            <w:pPr>
              <w:pStyle w:val="Paragraph"/>
              <w:keepLines/>
              <w:spacing w:after="0"/>
              <w:rPr>
                <w:b/>
              </w:rPr>
            </w:pPr>
            <w:r w:rsidRPr="00950F93">
              <w:rPr>
                <w:b/>
              </w:rPr>
              <w:t>Total</w:t>
            </w:r>
          </w:p>
        </w:tc>
        <w:tc>
          <w:tcPr>
            <w:tcW w:w="24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52DA659E" w14:textId="32B4F7F7" w:rsidR="00270D17" w:rsidRPr="002915B5" w:rsidRDefault="0023518D" w:rsidP="0016702C">
            <w:pPr>
              <w:keepNext/>
              <w:keepLines/>
              <w:jc w:val="right"/>
              <w:rPr>
                <w:b/>
              </w:rPr>
            </w:pPr>
            <w:r>
              <w:rPr>
                <w:b/>
              </w:rPr>
              <w:t>391.0</w:t>
            </w:r>
          </w:p>
        </w:tc>
        <w:tc>
          <w:tcPr>
            <w:tcW w:w="24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1F7947E6" w14:textId="60B431A3" w:rsidR="00270D17" w:rsidRPr="002915B5" w:rsidRDefault="00467FE1" w:rsidP="0016702C">
            <w:pPr>
              <w:keepNext/>
              <w:keepLines/>
              <w:jc w:val="right"/>
              <w:rPr>
                <w:b/>
              </w:rPr>
            </w:pPr>
            <w:r>
              <w:rPr>
                <w:b/>
              </w:rPr>
              <w:t>2,</w:t>
            </w:r>
            <w:r w:rsidR="0023518D">
              <w:rPr>
                <w:b/>
              </w:rPr>
              <w:t>391.9</w:t>
            </w:r>
          </w:p>
        </w:tc>
      </w:tr>
    </w:tbl>
    <w:p w14:paraId="081912E3" w14:textId="5F163F81" w:rsidR="007F1306" w:rsidRDefault="0009130B" w:rsidP="0009130B">
      <w:pPr>
        <w:pStyle w:val="SWAHeading4"/>
        <w:spacing w:before="240"/>
      </w:pPr>
      <w:bookmarkStart w:id="512" w:name="_Toc196204821"/>
      <w:r>
        <w:t>A</w:t>
      </w:r>
      <w:r w:rsidR="007F1306">
        <w:t>dverse health effects associated with RCS</w:t>
      </w:r>
    </w:p>
    <w:p w14:paraId="69C0779A" w14:textId="347EDE5F" w:rsidR="00A32BF4" w:rsidRPr="00A32BF4" w:rsidRDefault="00D60671" w:rsidP="00A32BF4">
      <w:pPr>
        <w:pStyle w:val="Paragraph"/>
      </w:pPr>
      <w:r w:rsidRPr="0009130B">
        <w:t>The</w:t>
      </w:r>
      <w:r w:rsidR="00A32BF4" w:rsidRPr="00A32BF4">
        <w:t xml:space="preserve"> WES review methodology states that protecting </w:t>
      </w:r>
      <w:r w:rsidR="0009130B" w:rsidRPr="0009130B">
        <w:t xml:space="preserve">workers from </w:t>
      </w:r>
      <w:r w:rsidR="00A32BF4" w:rsidRPr="00A32BF4">
        <w:t xml:space="preserve">the critical </w:t>
      </w:r>
      <w:r w:rsidR="0009130B" w:rsidRPr="0009130B">
        <w:t xml:space="preserve">health </w:t>
      </w:r>
      <w:r w:rsidR="00A32BF4" w:rsidRPr="00A32BF4">
        <w:t xml:space="preserve">effect </w:t>
      </w:r>
      <w:r w:rsidR="0009130B" w:rsidRPr="0009130B">
        <w:t xml:space="preserve">for </w:t>
      </w:r>
      <w:r w:rsidR="009A4FD4">
        <w:t>RCS</w:t>
      </w:r>
      <w:r w:rsidR="0009130B" w:rsidRPr="0009130B">
        <w:t xml:space="preserve"> can</w:t>
      </w:r>
      <w:r w:rsidR="00A32BF4" w:rsidRPr="00A32BF4">
        <w:t xml:space="preserve"> also </w:t>
      </w:r>
      <w:r w:rsidR="0009130B" w:rsidRPr="0009130B">
        <w:t>protect workers from</w:t>
      </w:r>
      <w:r w:rsidR="00A32BF4" w:rsidRPr="00A32BF4">
        <w:t xml:space="preserve"> other adverse </w:t>
      </w:r>
      <w:r w:rsidR="0009130B" w:rsidRPr="0009130B">
        <w:t xml:space="preserve">health </w:t>
      </w:r>
      <w:r w:rsidR="00A32BF4" w:rsidRPr="00A32BF4">
        <w:t xml:space="preserve">effects </w:t>
      </w:r>
      <w:sdt>
        <w:sdtPr>
          <w:id w:val="-497575260"/>
          <w:citation/>
        </w:sdtPr>
        <w:sdtEndPr/>
        <w:sdtContent>
          <w:r w:rsidR="00A32BF4" w:rsidRPr="00A32BF4">
            <w:fldChar w:fldCharType="begin"/>
          </w:r>
          <w:r w:rsidR="00A32BF4" w:rsidRPr="00A32BF4">
            <w:instrText xml:space="preserve"> CITATION Saf18 \l 3081 </w:instrText>
          </w:r>
          <w:r w:rsidR="00A32BF4" w:rsidRPr="00A32BF4">
            <w:fldChar w:fldCharType="separate"/>
          </w:r>
          <w:r w:rsidR="00490B21">
            <w:rPr>
              <w:noProof/>
            </w:rPr>
            <w:t>(Safe Work Australia, 2018)</w:t>
          </w:r>
          <w:r w:rsidR="00A32BF4" w:rsidRPr="00A32BF4">
            <w:fldChar w:fldCharType="end"/>
          </w:r>
        </w:sdtContent>
      </w:sdt>
      <w:r w:rsidR="00A32BF4" w:rsidRPr="00A32BF4">
        <w:t xml:space="preserve">. </w:t>
      </w:r>
      <w:r w:rsidR="0009130B" w:rsidRPr="0009130B">
        <w:t xml:space="preserve">Additional adverse health effects that the proposed WEL for </w:t>
      </w:r>
      <w:r w:rsidR="00570C4E">
        <w:t>RCS</w:t>
      </w:r>
      <w:r w:rsidR="0009130B" w:rsidRPr="0009130B">
        <w:t xml:space="preserve"> can protect workers from include:</w:t>
      </w:r>
      <w:r w:rsidR="00A32BF4" w:rsidRPr="00A32BF4">
        <w:t xml:space="preserve"> </w:t>
      </w:r>
    </w:p>
    <w:p w14:paraId="152BF5C8" w14:textId="5A98E795" w:rsidR="00A759E7" w:rsidRDefault="00CF0457" w:rsidP="00A2768E">
      <w:pPr>
        <w:pStyle w:val="Paragraph"/>
        <w:keepNext w:val="0"/>
        <w:numPr>
          <w:ilvl w:val="0"/>
          <w:numId w:val="75"/>
        </w:numPr>
        <w:ind w:left="771" w:hanging="357"/>
        <w:rPr>
          <w:lang w:eastAsia="en-US"/>
        </w:rPr>
      </w:pPr>
      <w:r>
        <w:rPr>
          <w:lang w:eastAsia="en-US"/>
        </w:rPr>
        <w:t>chronic obstructive pulmonary disease (COPD</w:t>
      </w:r>
      <w:r w:rsidR="00080FE6">
        <w:rPr>
          <w:lang w:eastAsia="en-US"/>
        </w:rPr>
        <w:t>;</w:t>
      </w:r>
      <w:r w:rsidR="007F5F69">
        <w:rPr>
          <w:lang w:eastAsia="en-US"/>
        </w:rPr>
        <w:t xml:space="preserve"> </w:t>
      </w:r>
      <w:r w:rsidR="00944A9D">
        <w:rPr>
          <w:lang w:eastAsia="en-US"/>
        </w:rPr>
        <w:t>a group of progressive lung conditions including emphysema, chronic bronchitis and chronic asthma</w:t>
      </w:r>
      <w:r w:rsidR="00080FE6">
        <w:rPr>
          <w:lang w:eastAsia="en-US"/>
        </w:rPr>
        <w:t>)</w:t>
      </w:r>
      <w:r w:rsidR="00944A9D">
        <w:rPr>
          <w:lang w:eastAsia="en-US"/>
        </w:rPr>
        <w:t xml:space="preserve"> </w:t>
      </w:r>
      <w:sdt>
        <w:sdtPr>
          <w:rPr>
            <w:lang w:eastAsia="en-US"/>
          </w:rPr>
          <w:id w:val="2033835404"/>
          <w:citation/>
        </w:sdtPr>
        <w:sdtEndPr/>
        <w:sdtContent>
          <w:r w:rsidR="00944A9D">
            <w:rPr>
              <w:lang w:eastAsia="en-US"/>
            </w:rPr>
            <w:fldChar w:fldCharType="begin"/>
          </w:r>
          <w:r w:rsidR="00944A9D">
            <w:rPr>
              <w:lang w:eastAsia="en-US"/>
            </w:rPr>
            <w:instrText xml:space="preserve"> CITATION Occnd \l 3081 </w:instrText>
          </w:r>
          <w:r w:rsidR="00462F63">
            <w:rPr>
              <w:lang w:eastAsia="en-US"/>
            </w:rPr>
            <w:instrText xml:space="preserve"> \m Lunnd</w:instrText>
          </w:r>
          <w:r w:rsidR="00944A9D">
            <w:rPr>
              <w:lang w:eastAsia="en-US"/>
            </w:rPr>
            <w:fldChar w:fldCharType="separate"/>
          </w:r>
          <w:r w:rsidR="00490B21">
            <w:rPr>
              <w:noProof/>
              <w:lang w:eastAsia="en-US"/>
            </w:rPr>
            <w:t>(Occupational Safety and Health Adminstration, n.d.; Lung Foundation Australia, n.d.)</w:t>
          </w:r>
          <w:r w:rsidR="00944A9D">
            <w:rPr>
              <w:lang w:eastAsia="en-US"/>
            </w:rPr>
            <w:fldChar w:fldCharType="end"/>
          </w:r>
        </w:sdtContent>
      </w:sdt>
      <w:r w:rsidR="00080FE6">
        <w:rPr>
          <w:lang w:eastAsia="en-US"/>
        </w:rPr>
        <w:t xml:space="preserve">, </w:t>
      </w:r>
    </w:p>
    <w:p w14:paraId="73EDC8E4" w14:textId="77777777" w:rsidR="00A759E7" w:rsidRDefault="00080FE6" w:rsidP="00A2768E">
      <w:pPr>
        <w:pStyle w:val="Paragraph"/>
        <w:keepNext w:val="0"/>
        <w:numPr>
          <w:ilvl w:val="0"/>
          <w:numId w:val="75"/>
        </w:numPr>
        <w:rPr>
          <w:lang w:eastAsia="en-US"/>
        </w:rPr>
      </w:pPr>
      <w:r>
        <w:rPr>
          <w:lang w:eastAsia="en-US"/>
        </w:rPr>
        <w:t xml:space="preserve">chronic kidney disease, </w:t>
      </w:r>
    </w:p>
    <w:p w14:paraId="41FFF35D" w14:textId="030EDCA7" w:rsidR="007F1306" w:rsidRDefault="00080FE6" w:rsidP="00A2768E">
      <w:pPr>
        <w:pStyle w:val="Paragraph"/>
        <w:keepNext w:val="0"/>
        <w:numPr>
          <w:ilvl w:val="0"/>
          <w:numId w:val="75"/>
        </w:numPr>
      </w:pPr>
      <w:r>
        <w:rPr>
          <w:lang w:eastAsia="en-US"/>
        </w:rPr>
        <w:t xml:space="preserve">autoimmune diseases like </w:t>
      </w:r>
      <w:r w:rsidR="003B166A">
        <w:rPr>
          <w:lang w:eastAsia="en-US"/>
        </w:rPr>
        <w:t>scleroderma</w:t>
      </w:r>
      <w:r w:rsidR="00A759E7">
        <w:rPr>
          <w:lang w:eastAsia="en-US"/>
        </w:rPr>
        <w:t xml:space="preserve"> (</w:t>
      </w:r>
      <w:r w:rsidR="00F1427D">
        <w:rPr>
          <w:lang w:eastAsia="en-US"/>
        </w:rPr>
        <w:t xml:space="preserve">a disease </w:t>
      </w:r>
      <w:r w:rsidR="00FB135A">
        <w:rPr>
          <w:lang w:eastAsia="en-US"/>
        </w:rPr>
        <w:t>o</w:t>
      </w:r>
      <w:r w:rsidR="00FB135A" w:rsidRPr="00FB135A">
        <w:rPr>
          <w:lang w:eastAsia="en-US"/>
        </w:rPr>
        <w:t>f the connective tissue of the body resulting in the formation of scar tissue in the skin, joints and other organs of the body</w:t>
      </w:r>
      <w:r w:rsidR="00A759E7">
        <w:rPr>
          <w:lang w:eastAsia="en-US"/>
        </w:rPr>
        <w:t>) and systemic lupus erythematosus</w:t>
      </w:r>
      <w:r w:rsidR="00791437">
        <w:rPr>
          <w:lang w:eastAsia="en-US"/>
        </w:rPr>
        <w:t>,</w:t>
      </w:r>
    </w:p>
    <w:p w14:paraId="6B097781" w14:textId="63E1CD45" w:rsidR="00A759E7" w:rsidRDefault="008A66F1" w:rsidP="00A2768E">
      <w:pPr>
        <w:pStyle w:val="Paragraph"/>
        <w:keepNext w:val="0"/>
        <w:numPr>
          <w:ilvl w:val="0"/>
          <w:numId w:val="75"/>
        </w:numPr>
      </w:pPr>
      <w:r>
        <w:rPr>
          <w:lang w:eastAsia="en-US"/>
        </w:rPr>
        <w:t>activation of latent tuberculosis</w:t>
      </w:r>
      <w:r w:rsidR="00791437">
        <w:rPr>
          <w:lang w:eastAsia="en-US"/>
        </w:rPr>
        <w:t xml:space="preserve">, and </w:t>
      </w:r>
    </w:p>
    <w:p w14:paraId="577B6642" w14:textId="35BDDBD4" w:rsidR="008A66F1" w:rsidRPr="00266FEA" w:rsidRDefault="008A66F1" w:rsidP="00A2768E">
      <w:pPr>
        <w:pStyle w:val="Paragraph"/>
        <w:keepNext w:val="0"/>
        <w:numPr>
          <w:ilvl w:val="0"/>
          <w:numId w:val="75"/>
        </w:numPr>
      </w:pPr>
      <w:r>
        <w:rPr>
          <w:lang w:eastAsia="en-US"/>
        </w:rPr>
        <w:t>eye irritation and eye damage</w:t>
      </w:r>
      <w:sdt>
        <w:sdtPr>
          <w:rPr>
            <w:lang w:eastAsia="en-US"/>
          </w:rPr>
          <w:id w:val="1131294275"/>
          <w:citation/>
        </w:sdtPr>
        <w:sdtEndPr/>
        <w:sdtContent>
          <w:r w:rsidR="007443E2">
            <w:rPr>
              <w:lang w:eastAsia="en-US"/>
            </w:rPr>
            <w:fldChar w:fldCharType="begin"/>
          </w:r>
          <w:r w:rsidR="007443E2">
            <w:rPr>
              <w:lang w:eastAsia="en-US"/>
            </w:rPr>
            <w:instrText xml:space="preserve"> CITATION Saf241 \l 3081 </w:instrText>
          </w:r>
          <w:r w:rsidR="007443E2">
            <w:rPr>
              <w:lang w:eastAsia="en-US"/>
            </w:rPr>
            <w:fldChar w:fldCharType="separate"/>
          </w:r>
          <w:r w:rsidR="00490B21">
            <w:rPr>
              <w:noProof/>
              <w:lang w:eastAsia="en-US"/>
            </w:rPr>
            <w:t xml:space="preserve"> (Safe Work Australia, 2024)</w:t>
          </w:r>
          <w:r w:rsidR="007443E2">
            <w:rPr>
              <w:lang w:eastAsia="en-US"/>
            </w:rPr>
            <w:fldChar w:fldCharType="end"/>
          </w:r>
        </w:sdtContent>
      </w:sdt>
      <w:r w:rsidR="007443E2">
        <w:rPr>
          <w:lang w:eastAsia="en-US"/>
        </w:rPr>
        <w:t xml:space="preserve">. </w:t>
      </w:r>
    </w:p>
    <w:p w14:paraId="14E993AF" w14:textId="7D716A98" w:rsidR="00104A35" w:rsidRDefault="00104A35" w:rsidP="00FB18E4">
      <w:pPr>
        <w:pStyle w:val="SWAHeading3"/>
        <w:keepNext/>
        <w:keepLines/>
      </w:pPr>
      <w:r>
        <w:t xml:space="preserve">Financial benefits to the proposed WEL for </w:t>
      </w:r>
      <w:r w:rsidR="00B10258">
        <w:t>RCS</w:t>
      </w:r>
      <w:bookmarkEnd w:id="512"/>
    </w:p>
    <w:p w14:paraId="337C40ED" w14:textId="7D135508" w:rsidR="0098056F" w:rsidRPr="0098056F" w:rsidRDefault="0098056F" w:rsidP="0098056F">
      <w:pPr>
        <w:pStyle w:val="SWAHeading4"/>
        <w:rPr>
          <w:sz w:val="20"/>
        </w:rPr>
      </w:pPr>
      <w:r w:rsidRPr="0098056F">
        <w:t>Quantifi</w:t>
      </w:r>
      <w:r w:rsidR="00FF3931">
        <w:t>able</w:t>
      </w:r>
      <w:r w:rsidRPr="0098056F">
        <w:t xml:space="preserve"> financial benefits for the proposed WEL for </w:t>
      </w:r>
      <w:r>
        <w:t>RCS</w:t>
      </w:r>
    </w:p>
    <w:p w14:paraId="322520D9" w14:textId="31851A6F" w:rsidR="001A28EB" w:rsidRDefault="00104A35" w:rsidP="00FB18E4">
      <w:pPr>
        <w:pStyle w:val="NoSpacing"/>
        <w:keepNext/>
        <w:keepLines/>
        <w:spacing w:after="120"/>
        <w:rPr>
          <w:sz w:val="22"/>
          <w:szCs w:val="28"/>
        </w:rPr>
      </w:pPr>
      <w:r w:rsidRPr="00950F93">
        <w:rPr>
          <w:sz w:val="22"/>
          <w:szCs w:val="28"/>
        </w:rPr>
        <w:t xml:space="preserve">In addition to the health benefits, </w:t>
      </w:r>
      <w:r>
        <w:rPr>
          <w:sz w:val="22"/>
          <w:szCs w:val="28"/>
        </w:rPr>
        <w:t xml:space="preserve">the proposed WEL for </w:t>
      </w:r>
      <w:r w:rsidR="00CA54D5">
        <w:rPr>
          <w:sz w:val="22"/>
          <w:szCs w:val="28"/>
        </w:rPr>
        <w:t>RCS</w:t>
      </w:r>
      <w:r>
        <w:rPr>
          <w:sz w:val="22"/>
          <w:szCs w:val="28"/>
        </w:rPr>
        <w:t xml:space="preserve"> is also </w:t>
      </w:r>
      <w:r w:rsidR="00E151DA">
        <w:rPr>
          <w:sz w:val="22"/>
          <w:szCs w:val="28"/>
        </w:rPr>
        <w:t>estimated to deliver</w:t>
      </w:r>
      <w:r>
        <w:rPr>
          <w:sz w:val="22"/>
          <w:szCs w:val="28"/>
        </w:rPr>
        <w:t xml:space="preserve"> direct and indirect financial benefits for businesses.</w:t>
      </w:r>
      <w:r w:rsidR="00FF68E2">
        <w:rPr>
          <w:sz w:val="22"/>
          <w:szCs w:val="28"/>
        </w:rPr>
        <w:t xml:space="preserve"> Further discussion on these benefits can be found below </w:t>
      </w:r>
      <w:r w:rsidR="00FF68E2" w:rsidRPr="0075452D">
        <w:rPr>
          <w:sz w:val="24"/>
          <w:szCs w:val="32"/>
        </w:rPr>
        <w:fldChar w:fldCharType="begin"/>
      </w:r>
      <w:r w:rsidR="00FF68E2" w:rsidRPr="0075452D">
        <w:rPr>
          <w:sz w:val="24"/>
          <w:szCs w:val="32"/>
        </w:rPr>
        <w:instrText xml:space="preserve"> REF _Ref216769749 \h </w:instrText>
      </w:r>
      <w:r w:rsidR="00FF68E2">
        <w:rPr>
          <w:sz w:val="24"/>
          <w:szCs w:val="32"/>
        </w:rPr>
        <w:instrText xml:space="preserve"> \* MERGEFORMAT</w:instrText>
      </w:r>
      <w:r w:rsidR="00FF68E2" w:rsidRPr="00AA5F22">
        <w:rPr>
          <w:sz w:val="24"/>
          <w:szCs w:val="32"/>
        </w:rPr>
        <w:instrText xml:space="preserve"> </w:instrText>
      </w:r>
      <w:r w:rsidR="00FF68E2" w:rsidRPr="0075452D">
        <w:rPr>
          <w:sz w:val="24"/>
          <w:szCs w:val="32"/>
        </w:rPr>
      </w:r>
      <w:r w:rsidR="00FF68E2" w:rsidRPr="0075452D">
        <w:rPr>
          <w:sz w:val="24"/>
          <w:szCs w:val="32"/>
        </w:rPr>
        <w:fldChar w:fldCharType="separate"/>
      </w:r>
      <w:r w:rsidR="00A002F4" w:rsidRPr="00A002F4">
        <w:rPr>
          <w:sz w:val="22"/>
          <w:szCs w:val="28"/>
        </w:rPr>
        <w:t>Table 37</w:t>
      </w:r>
      <w:r w:rsidR="00FF68E2" w:rsidRPr="0075452D">
        <w:rPr>
          <w:sz w:val="24"/>
          <w:szCs w:val="32"/>
        </w:rPr>
        <w:fldChar w:fldCharType="end"/>
      </w:r>
      <w:r w:rsidR="00FF68E2">
        <w:rPr>
          <w:sz w:val="22"/>
          <w:szCs w:val="28"/>
        </w:rPr>
        <w:t>.</w:t>
      </w:r>
      <w:r>
        <w:rPr>
          <w:sz w:val="22"/>
          <w:szCs w:val="28"/>
        </w:rPr>
        <w:t xml:space="preserve"> </w:t>
      </w:r>
      <w:r w:rsidRPr="002B624B">
        <w:rPr>
          <w:sz w:val="22"/>
          <w:szCs w:val="28"/>
        </w:rPr>
        <w:t xml:space="preserve">These were estimated to </w:t>
      </w:r>
      <w:r w:rsidR="001A28EB">
        <w:rPr>
          <w:sz w:val="22"/>
          <w:szCs w:val="28"/>
        </w:rPr>
        <w:t>be</w:t>
      </w:r>
      <w:r w:rsidR="00624ED4">
        <w:rPr>
          <w:sz w:val="22"/>
          <w:szCs w:val="28"/>
        </w:rPr>
        <w:t xml:space="preserve"> a combined </w:t>
      </w:r>
      <w:r w:rsidR="00F560C2">
        <w:rPr>
          <w:sz w:val="22"/>
          <w:szCs w:val="28"/>
        </w:rPr>
        <w:t>$</w:t>
      </w:r>
      <w:r w:rsidR="00927D1E" w:rsidRPr="004C6617">
        <w:rPr>
          <w:sz w:val="22"/>
          <w:szCs w:val="28"/>
        </w:rPr>
        <w:t>496</w:t>
      </w:r>
      <w:r w:rsidR="00F560C2" w:rsidRPr="004C6617">
        <w:rPr>
          <w:sz w:val="22"/>
          <w:szCs w:val="28"/>
        </w:rPr>
        <w:t xml:space="preserve"> million</w:t>
      </w:r>
      <w:r w:rsidR="00F560C2">
        <w:rPr>
          <w:sz w:val="22"/>
          <w:szCs w:val="28"/>
        </w:rPr>
        <w:t xml:space="preserve"> over 10 years</w:t>
      </w:r>
      <w:r w:rsidR="00183949">
        <w:rPr>
          <w:sz w:val="22"/>
          <w:szCs w:val="28"/>
        </w:rPr>
        <w:t>. More specifically:</w:t>
      </w:r>
    </w:p>
    <w:p w14:paraId="709A6FBC" w14:textId="70EB8773" w:rsidR="004575F1" w:rsidRPr="00810F80" w:rsidRDefault="00104A35" w:rsidP="00A2768E">
      <w:pPr>
        <w:pStyle w:val="NoSpacing"/>
        <w:numPr>
          <w:ilvl w:val="0"/>
          <w:numId w:val="55"/>
        </w:numPr>
        <w:spacing w:after="120"/>
        <w:rPr>
          <w:sz w:val="22"/>
          <w:szCs w:val="22"/>
        </w:rPr>
      </w:pPr>
      <w:r w:rsidRPr="004C6617">
        <w:rPr>
          <w:sz w:val="22"/>
          <w:szCs w:val="22"/>
        </w:rPr>
        <w:t>$</w:t>
      </w:r>
      <w:r w:rsidR="006B1499" w:rsidRPr="004C6617">
        <w:rPr>
          <w:sz w:val="22"/>
          <w:szCs w:val="22"/>
        </w:rPr>
        <w:t>3</w:t>
      </w:r>
      <w:r w:rsidR="004C6617" w:rsidRPr="00B21D72">
        <w:rPr>
          <w:sz w:val="22"/>
          <w:szCs w:val="22"/>
        </w:rPr>
        <w:t>09</w:t>
      </w:r>
      <w:r w:rsidRPr="00810F80">
        <w:rPr>
          <w:sz w:val="22"/>
          <w:szCs w:val="22"/>
        </w:rPr>
        <w:t xml:space="preserve"> million for direct financial benefits and $</w:t>
      </w:r>
      <w:r w:rsidR="004C6617" w:rsidRPr="00B21D72">
        <w:rPr>
          <w:sz w:val="22"/>
          <w:szCs w:val="22"/>
        </w:rPr>
        <w:t>89</w:t>
      </w:r>
      <w:r w:rsidR="004575F1" w:rsidRPr="004C6617">
        <w:rPr>
          <w:sz w:val="22"/>
          <w:szCs w:val="22"/>
        </w:rPr>
        <w:t xml:space="preserve"> million</w:t>
      </w:r>
      <w:r w:rsidRPr="00810F80">
        <w:rPr>
          <w:sz w:val="22"/>
          <w:szCs w:val="22"/>
        </w:rPr>
        <w:t xml:space="preserve"> for indirect benefits</w:t>
      </w:r>
      <w:r w:rsidR="001A28EB" w:rsidRPr="00810F80">
        <w:rPr>
          <w:sz w:val="22"/>
          <w:szCs w:val="22"/>
        </w:rPr>
        <w:t xml:space="preserve"> for </w:t>
      </w:r>
      <w:r w:rsidR="004575F1" w:rsidRPr="00810F80">
        <w:rPr>
          <w:sz w:val="22"/>
          <w:szCs w:val="22"/>
        </w:rPr>
        <w:t>all industries excluding mining</w:t>
      </w:r>
      <w:r w:rsidR="00B4602F" w:rsidRPr="00810F80">
        <w:rPr>
          <w:sz w:val="22"/>
          <w:szCs w:val="22"/>
        </w:rPr>
        <w:t xml:space="preserve">, as shown </w:t>
      </w:r>
      <w:r w:rsidR="00B4602F" w:rsidRPr="00A014D4">
        <w:rPr>
          <w:sz w:val="22"/>
          <w:szCs w:val="22"/>
        </w:rPr>
        <w:t>in</w:t>
      </w:r>
      <w:r w:rsidR="00F054DF">
        <w:rPr>
          <w:sz w:val="22"/>
          <w:szCs w:val="22"/>
        </w:rPr>
        <w:t xml:space="preserve"> </w:t>
      </w:r>
      <w:r w:rsidR="00972B0D" w:rsidRPr="00972B0D">
        <w:rPr>
          <w:sz w:val="22"/>
          <w:szCs w:val="22"/>
        </w:rPr>
        <w:fldChar w:fldCharType="begin"/>
      </w:r>
      <w:r w:rsidR="00972B0D" w:rsidRPr="00972B0D">
        <w:rPr>
          <w:sz w:val="22"/>
          <w:szCs w:val="22"/>
        </w:rPr>
        <w:instrText xml:space="preserve"> REF _Ref216769728 \h </w:instrText>
      </w:r>
      <w:r w:rsidR="00972B0D">
        <w:rPr>
          <w:sz w:val="22"/>
          <w:szCs w:val="22"/>
        </w:rPr>
        <w:instrText xml:space="preserve"> \* MERGEFORMAT </w:instrText>
      </w:r>
      <w:r w:rsidR="00972B0D" w:rsidRPr="00972B0D">
        <w:rPr>
          <w:sz w:val="22"/>
          <w:szCs w:val="22"/>
        </w:rPr>
      </w:r>
      <w:r w:rsidR="00972B0D" w:rsidRPr="00972B0D">
        <w:rPr>
          <w:sz w:val="22"/>
          <w:szCs w:val="22"/>
        </w:rPr>
        <w:fldChar w:fldCharType="separate"/>
      </w:r>
      <w:r w:rsidR="00A002F4" w:rsidRPr="00A002F4">
        <w:rPr>
          <w:sz w:val="22"/>
          <w:szCs w:val="22"/>
        </w:rPr>
        <w:t>Table 36</w:t>
      </w:r>
      <w:r w:rsidR="00972B0D" w:rsidRPr="00972B0D">
        <w:rPr>
          <w:sz w:val="22"/>
          <w:szCs w:val="22"/>
        </w:rPr>
        <w:fldChar w:fldCharType="end"/>
      </w:r>
      <w:r w:rsidR="004575F1" w:rsidRPr="00810F80">
        <w:rPr>
          <w:sz w:val="22"/>
          <w:szCs w:val="22"/>
        </w:rPr>
        <w:t xml:space="preserve">, and </w:t>
      </w:r>
    </w:p>
    <w:p w14:paraId="5FD34E5B" w14:textId="3E815DA4" w:rsidR="00104A35" w:rsidRDefault="003B4774" w:rsidP="00A2768E">
      <w:pPr>
        <w:pStyle w:val="NoSpacing"/>
        <w:numPr>
          <w:ilvl w:val="0"/>
          <w:numId w:val="55"/>
        </w:numPr>
        <w:spacing w:after="120"/>
        <w:rPr>
          <w:sz w:val="22"/>
          <w:szCs w:val="28"/>
        </w:rPr>
      </w:pPr>
      <w:r w:rsidRPr="004C6617">
        <w:rPr>
          <w:sz w:val="22"/>
          <w:szCs w:val="22"/>
        </w:rPr>
        <w:lastRenderedPageBreak/>
        <w:t>$</w:t>
      </w:r>
      <w:r w:rsidR="004C6617" w:rsidRPr="004C6617">
        <w:rPr>
          <w:sz w:val="22"/>
          <w:szCs w:val="22"/>
        </w:rPr>
        <w:t>76</w:t>
      </w:r>
      <w:r w:rsidRPr="00810F80">
        <w:rPr>
          <w:sz w:val="22"/>
          <w:szCs w:val="22"/>
        </w:rPr>
        <w:t xml:space="preserve"> million for direct financial benefits and </w:t>
      </w:r>
      <w:r w:rsidR="00A62EA2" w:rsidRPr="00810F80">
        <w:rPr>
          <w:sz w:val="22"/>
          <w:szCs w:val="22"/>
        </w:rPr>
        <w:t>$</w:t>
      </w:r>
      <w:r w:rsidR="00A62EA2" w:rsidRPr="002C090F">
        <w:rPr>
          <w:sz w:val="22"/>
          <w:szCs w:val="22"/>
        </w:rPr>
        <w:t>22 million</w:t>
      </w:r>
      <w:r w:rsidR="00A62EA2" w:rsidRPr="00810F80">
        <w:rPr>
          <w:sz w:val="22"/>
          <w:szCs w:val="22"/>
        </w:rPr>
        <w:t xml:space="preserve"> </w:t>
      </w:r>
      <w:r w:rsidR="009714BF" w:rsidRPr="00810F80">
        <w:rPr>
          <w:sz w:val="22"/>
          <w:szCs w:val="22"/>
        </w:rPr>
        <w:t xml:space="preserve">for </w:t>
      </w:r>
      <w:r w:rsidR="00FB348E" w:rsidRPr="00810F80">
        <w:rPr>
          <w:sz w:val="22"/>
          <w:szCs w:val="22"/>
        </w:rPr>
        <w:t>indirect benefits for the mining industry</w:t>
      </w:r>
      <w:r w:rsidR="00B4602F" w:rsidRPr="00810F80">
        <w:rPr>
          <w:sz w:val="22"/>
          <w:szCs w:val="22"/>
        </w:rPr>
        <w:t>, as shown in</w:t>
      </w:r>
      <w:r w:rsidR="00972B0D">
        <w:rPr>
          <w:sz w:val="22"/>
          <w:szCs w:val="22"/>
        </w:rPr>
        <w:t xml:space="preserve"> </w:t>
      </w:r>
      <w:r w:rsidR="00972B0D" w:rsidRPr="00972B0D">
        <w:rPr>
          <w:sz w:val="22"/>
          <w:szCs w:val="22"/>
        </w:rPr>
        <w:fldChar w:fldCharType="begin"/>
      </w:r>
      <w:r w:rsidR="00972B0D" w:rsidRPr="00972B0D">
        <w:rPr>
          <w:sz w:val="22"/>
          <w:szCs w:val="22"/>
        </w:rPr>
        <w:instrText xml:space="preserve"> REF _Ref216769749 \h </w:instrText>
      </w:r>
      <w:r w:rsidR="00972B0D">
        <w:rPr>
          <w:sz w:val="22"/>
          <w:szCs w:val="22"/>
        </w:rPr>
        <w:instrText xml:space="preserve"> \* MERGEFORMAT </w:instrText>
      </w:r>
      <w:r w:rsidR="00972B0D" w:rsidRPr="00972B0D">
        <w:rPr>
          <w:sz w:val="22"/>
          <w:szCs w:val="22"/>
        </w:rPr>
      </w:r>
      <w:r w:rsidR="00972B0D" w:rsidRPr="00972B0D">
        <w:rPr>
          <w:sz w:val="22"/>
          <w:szCs w:val="22"/>
        </w:rPr>
        <w:fldChar w:fldCharType="separate"/>
      </w:r>
      <w:r w:rsidR="00A002F4" w:rsidRPr="00A002F4">
        <w:rPr>
          <w:sz w:val="22"/>
          <w:szCs w:val="22"/>
        </w:rPr>
        <w:t>Table 37</w:t>
      </w:r>
      <w:r w:rsidR="00972B0D" w:rsidRPr="00972B0D">
        <w:rPr>
          <w:sz w:val="22"/>
          <w:szCs w:val="22"/>
        </w:rPr>
        <w:fldChar w:fldCharType="end"/>
      </w:r>
      <w:r w:rsidR="00FB348E" w:rsidRPr="004C6617">
        <w:rPr>
          <w:sz w:val="22"/>
          <w:szCs w:val="28"/>
        </w:rPr>
        <w:t>.</w:t>
      </w:r>
    </w:p>
    <w:p w14:paraId="6CE51CFA" w14:textId="77777777" w:rsidR="00A742DC" w:rsidRDefault="00E02423" w:rsidP="007202E3">
      <w:pPr>
        <w:pStyle w:val="Paragraph"/>
        <w:rPr>
          <w:szCs w:val="28"/>
        </w:rPr>
      </w:pPr>
      <w:r>
        <w:rPr>
          <w:szCs w:val="28"/>
        </w:rPr>
        <w:t xml:space="preserve">The direct financial benefits were based on the </w:t>
      </w:r>
      <w:r w:rsidR="008F76FE">
        <w:rPr>
          <w:szCs w:val="28"/>
        </w:rPr>
        <w:t xml:space="preserve">400 </w:t>
      </w:r>
      <w:r w:rsidR="00D54C9B">
        <w:rPr>
          <w:szCs w:val="28"/>
        </w:rPr>
        <w:t xml:space="preserve">workers’ compensation claims </w:t>
      </w:r>
      <w:r w:rsidR="002C3402">
        <w:rPr>
          <w:szCs w:val="28"/>
        </w:rPr>
        <w:t>attributed to RCS</w:t>
      </w:r>
      <w:r w:rsidR="005F0DEF">
        <w:rPr>
          <w:szCs w:val="28"/>
        </w:rPr>
        <w:t xml:space="preserve"> between 2017 and 2021, with an average cost </w:t>
      </w:r>
      <w:r w:rsidR="00214943">
        <w:rPr>
          <w:szCs w:val="28"/>
        </w:rPr>
        <w:t>of $489,000 per claim.</w:t>
      </w:r>
      <w:r w:rsidR="003340B4">
        <w:rPr>
          <w:szCs w:val="28"/>
        </w:rPr>
        <w:t xml:space="preserve"> </w:t>
      </w:r>
    </w:p>
    <w:p w14:paraId="37366459" w14:textId="4F909585" w:rsidR="00D17F64" w:rsidRDefault="0097368E" w:rsidP="007202E3">
      <w:pPr>
        <w:pStyle w:val="Paragraph"/>
        <w:rPr>
          <w:szCs w:val="28"/>
        </w:rPr>
      </w:pPr>
      <w:r w:rsidRPr="0097368E">
        <w:rPr>
          <w:szCs w:val="28"/>
        </w:rPr>
        <w:t xml:space="preserve">The indirect </w:t>
      </w:r>
      <w:r w:rsidR="00A742DC">
        <w:rPr>
          <w:szCs w:val="28"/>
        </w:rPr>
        <w:t xml:space="preserve">financial </w:t>
      </w:r>
      <w:r w:rsidRPr="0097368E">
        <w:rPr>
          <w:szCs w:val="28"/>
        </w:rPr>
        <w:t xml:space="preserve">benefit </w:t>
      </w:r>
      <w:r w:rsidR="00A742DC">
        <w:rPr>
          <w:szCs w:val="28"/>
        </w:rPr>
        <w:t xml:space="preserve">is </w:t>
      </w:r>
      <w:r w:rsidR="00F84833" w:rsidRPr="00F84833">
        <w:rPr>
          <w:szCs w:val="28"/>
        </w:rPr>
        <w:t xml:space="preserve">based on a number of factors, including the change of number of workers’ compensation claims and the average time lost (working weeks) per workers’ compensation claim. Based on the data available, the maximum change possible in workers’ compensation claim is </w:t>
      </w:r>
      <w:r w:rsidR="00762D80">
        <w:rPr>
          <w:szCs w:val="28"/>
        </w:rPr>
        <w:t>400</w:t>
      </w:r>
      <w:r w:rsidR="00F84833" w:rsidRPr="00F84833">
        <w:rPr>
          <w:szCs w:val="28"/>
        </w:rPr>
        <w:t xml:space="preserve"> (i.e., a total reduction in all claims attributed to </w:t>
      </w:r>
      <w:r w:rsidR="00762D80">
        <w:rPr>
          <w:szCs w:val="28"/>
        </w:rPr>
        <w:t>RCS</w:t>
      </w:r>
      <w:r w:rsidR="00F84833" w:rsidRPr="00F84833">
        <w:rPr>
          <w:szCs w:val="28"/>
        </w:rPr>
        <w:t xml:space="preserve">) and the average </w:t>
      </w:r>
      <w:r w:rsidR="00ED62FF">
        <w:rPr>
          <w:szCs w:val="28"/>
        </w:rPr>
        <w:t xml:space="preserve">number of </w:t>
      </w:r>
      <w:r w:rsidR="00F84833" w:rsidRPr="00F84833">
        <w:rPr>
          <w:szCs w:val="28"/>
        </w:rPr>
        <w:t xml:space="preserve">weeks off work per claim is </w:t>
      </w:r>
      <w:r w:rsidR="00762D80">
        <w:rPr>
          <w:szCs w:val="28"/>
        </w:rPr>
        <w:t>68.5</w:t>
      </w:r>
      <w:r w:rsidRPr="0097368E">
        <w:rPr>
          <w:szCs w:val="28"/>
        </w:rPr>
        <w:t>.</w:t>
      </w:r>
      <w:r w:rsidR="007202E3">
        <w:rPr>
          <w:szCs w:val="28"/>
        </w:rPr>
        <w:t xml:space="preserve"> </w:t>
      </w:r>
    </w:p>
    <w:p w14:paraId="142EC87A" w14:textId="73E8330C" w:rsidR="00C35974" w:rsidRDefault="007202E3" w:rsidP="00F11C62">
      <w:pPr>
        <w:pStyle w:val="Paragraph"/>
        <w:keepNext w:val="0"/>
        <w:rPr>
          <w:szCs w:val="28"/>
        </w:rPr>
      </w:pPr>
      <w:r>
        <w:rPr>
          <w:szCs w:val="28"/>
        </w:rPr>
        <w:t xml:space="preserve">However, </w:t>
      </w:r>
      <w:r w:rsidR="00AB42BF">
        <w:rPr>
          <w:szCs w:val="28"/>
        </w:rPr>
        <w:t>it is important to note</w:t>
      </w:r>
      <w:r>
        <w:rPr>
          <w:szCs w:val="28"/>
        </w:rPr>
        <w:t xml:space="preserve"> t</w:t>
      </w:r>
      <w:r w:rsidRPr="007202E3">
        <w:rPr>
          <w:szCs w:val="28"/>
        </w:rPr>
        <w:t xml:space="preserve">he scale of occupational illness attributable to workplace exposure to RCS is likely to be under-represented in workers’ compensation claim data, due to difficulties in proving causation, the long latency period between occupational exposure and the illness (especially if it develops after the worker has stopped working at the workplace), or an affected worker may </w:t>
      </w:r>
      <w:r w:rsidR="006D090D">
        <w:rPr>
          <w:szCs w:val="28"/>
        </w:rPr>
        <w:t>seeking</w:t>
      </w:r>
      <w:r w:rsidRPr="007202E3">
        <w:rPr>
          <w:szCs w:val="28"/>
        </w:rPr>
        <w:t xml:space="preserve"> compensation is necessary, </w:t>
      </w:r>
      <w:r w:rsidR="006D090D">
        <w:rPr>
          <w:szCs w:val="28"/>
        </w:rPr>
        <w:t>for example</w:t>
      </w:r>
      <w:r w:rsidRPr="007202E3">
        <w:rPr>
          <w:szCs w:val="28"/>
        </w:rPr>
        <w:t xml:space="preserve"> thinking they are ineligible or not being aware they are covered.</w:t>
      </w:r>
      <w:r w:rsidR="004C3DB9">
        <w:rPr>
          <w:szCs w:val="28"/>
        </w:rPr>
        <w:t xml:space="preserve"> </w:t>
      </w:r>
      <w:r w:rsidR="00E164C5" w:rsidRPr="00E164C5">
        <w:rPr>
          <w:szCs w:val="28"/>
        </w:rPr>
        <w:t xml:space="preserve">Further limitations of the estimation of financial benefits are discussed in </w:t>
      </w:r>
      <w:r w:rsidR="00314844">
        <w:rPr>
          <w:szCs w:val="28"/>
        </w:rPr>
        <w:fldChar w:fldCharType="begin"/>
      </w:r>
      <w:r w:rsidR="00314844">
        <w:rPr>
          <w:szCs w:val="28"/>
        </w:rPr>
        <w:instrText xml:space="preserve"> REF _Ref216793461 \h </w:instrText>
      </w:r>
      <w:r w:rsidR="00314844">
        <w:rPr>
          <w:szCs w:val="28"/>
        </w:rPr>
      </w:r>
      <w:r w:rsidR="00314844">
        <w:rPr>
          <w:szCs w:val="28"/>
        </w:rPr>
        <w:fldChar w:fldCharType="separate"/>
      </w:r>
      <w:r w:rsidR="00A002F4">
        <w:t xml:space="preserve">Table </w:t>
      </w:r>
      <w:r w:rsidR="00A002F4">
        <w:rPr>
          <w:noProof/>
        </w:rPr>
        <w:t>66</w:t>
      </w:r>
      <w:r w:rsidR="00314844">
        <w:rPr>
          <w:szCs w:val="28"/>
        </w:rPr>
        <w:fldChar w:fldCharType="end"/>
      </w:r>
      <w:r w:rsidR="00E164C5" w:rsidRPr="00E164C5">
        <w:rPr>
          <w:szCs w:val="28"/>
        </w:rPr>
        <w:t xml:space="preserve"> of </w:t>
      </w:r>
      <w:r w:rsidR="00E164C5" w:rsidRPr="00195AF2">
        <w:t xml:space="preserve">Appendix </w:t>
      </w:r>
      <w:r w:rsidR="004C0E6B">
        <w:t>C</w:t>
      </w:r>
      <w:r w:rsidR="00E164C5" w:rsidRPr="00E164C5">
        <w:rPr>
          <w:szCs w:val="28"/>
        </w:rPr>
        <w:t xml:space="preserve"> of this Decision RIS.</w:t>
      </w:r>
    </w:p>
    <w:p w14:paraId="76A2DB0B" w14:textId="6695373B" w:rsidR="002E14FF" w:rsidRDefault="008B107F" w:rsidP="00F11C62">
      <w:pPr>
        <w:pStyle w:val="Paragraph"/>
        <w:keepNext w:val="0"/>
      </w:pPr>
      <w:r>
        <w:t xml:space="preserve">The latency period </w:t>
      </w:r>
      <w:r w:rsidR="006A7E3B">
        <w:t xml:space="preserve">of </w:t>
      </w:r>
      <w:r w:rsidR="007F20BE">
        <w:t xml:space="preserve">the </w:t>
      </w:r>
      <w:r w:rsidR="006A7E3B">
        <w:t>o</w:t>
      </w:r>
      <w:r w:rsidR="00AD572A">
        <w:t>ccupational diseases and illnesses caused by work-related exposures to</w:t>
      </w:r>
      <w:r w:rsidR="002E14FF" w:rsidRPr="002B2846">
        <w:t xml:space="preserve"> RCS</w:t>
      </w:r>
      <w:r w:rsidR="002E14FF">
        <w:t xml:space="preserve"> </w:t>
      </w:r>
      <w:r w:rsidR="006A7E3B">
        <w:t>can</w:t>
      </w:r>
      <w:r w:rsidR="002E14FF">
        <w:t xml:space="preserve"> a</w:t>
      </w:r>
      <w:r w:rsidR="002E14FF" w:rsidRPr="002B2846">
        <w:t>t times exceed</w:t>
      </w:r>
      <w:r w:rsidR="00092ABC">
        <w:t xml:space="preserve"> </w:t>
      </w:r>
      <w:r w:rsidR="002E14FF" w:rsidRPr="002B2846">
        <w:t>10 years</w:t>
      </w:r>
      <w:r w:rsidR="002E14FF">
        <w:t xml:space="preserve"> </w:t>
      </w:r>
      <w:sdt>
        <w:sdtPr>
          <w:id w:val="-749812953"/>
          <w:citation/>
        </w:sdtPr>
        <w:sdtEndPr/>
        <w:sdtContent>
          <w:r w:rsidR="002E14FF">
            <w:fldChar w:fldCharType="begin"/>
          </w:r>
          <w:r w:rsidR="002E14FF">
            <w:instrText xml:space="preserve"> CITATION Occnd \l 3081 </w:instrText>
          </w:r>
          <w:r w:rsidR="002E14FF">
            <w:fldChar w:fldCharType="separate"/>
          </w:r>
          <w:r w:rsidR="00490B21">
            <w:rPr>
              <w:noProof/>
            </w:rPr>
            <w:t>(Occupational Safety and Health Adminstration, n.d.)</w:t>
          </w:r>
          <w:r w:rsidR="002E14FF">
            <w:fldChar w:fldCharType="end"/>
          </w:r>
        </w:sdtContent>
      </w:sdt>
      <w:r w:rsidR="002E14FF">
        <w:t xml:space="preserve">. </w:t>
      </w:r>
      <w:r w:rsidR="00095AA7">
        <w:t xml:space="preserve">It is likely </w:t>
      </w:r>
      <w:r w:rsidR="00092ABC">
        <w:t>that a number of</w:t>
      </w:r>
      <w:r w:rsidR="00D56360">
        <w:t xml:space="preserve"> cases of fibrosis, silicosis and lung cancer</w:t>
      </w:r>
      <w:r w:rsidR="002E14FF" w:rsidRPr="002B2846">
        <w:t xml:space="preserve"> </w:t>
      </w:r>
      <w:r w:rsidR="007F20BE">
        <w:t xml:space="preserve">caused by work-related </w:t>
      </w:r>
      <w:r w:rsidR="00580A07">
        <w:t>exposures to RCS</w:t>
      </w:r>
      <w:r w:rsidR="007F20BE">
        <w:t xml:space="preserve"> </w:t>
      </w:r>
      <w:r w:rsidR="002E14FF" w:rsidRPr="002B2846">
        <w:t xml:space="preserve">may not yet be </w:t>
      </w:r>
      <w:r w:rsidR="00D56360" w:rsidRPr="002B2846">
        <w:t>observ</w:t>
      </w:r>
      <w:r w:rsidR="00D56360">
        <w:t>ed</w:t>
      </w:r>
      <w:r w:rsidR="00D56360" w:rsidRPr="002B2846">
        <w:t xml:space="preserve"> </w:t>
      </w:r>
      <w:r w:rsidR="002E14FF" w:rsidRPr="002B2846">
        <w:t xml:space="preserve">in the </w:t>
      </w:r>
      <w:r w:rsidR="00D56360">
        <w:t xml:space="preserve">2017-2021 workers’ compensation </w:t>
      </w:r>
      <w:r w:rsidR="002E14FF" w:rsidRPr="002B2846">
        <w:t>data.</w:t>
      </w:r>
    </w:p>
    <w:p w14:paraId="567AEEEB" w14:textId="26737B6B" w:rsidR="00F54041" w:rsidRPr="00F54041" w:rsidRDefault="00F54041" w:rsidP="00F54041">
      <w:pPr>
        <w:pStyle w:val="Paragraph"/>
      </w:pPr>
      <w:r w:rsidRPr="00F54041">
        <w:t>Noting the potential of under-representation in workers</w:t>
      </w:r>
      <w:r w:rsidR="00D03E80">
        <w:t>’</w:t>
      </w:r>
      <w:r w:rsidRPr="00F54041">
        <w:t xml:space="preserve"> compensation data, it is likely that a reduction in the proposed WEL for </w:t>
      </w:r>
      <w:r w:rsidR="005B4978">
        <w:t>RCS</w:t>
      </w:r>
      <w:r w:rsidRPr="00F54041">
        <w:t xml:space="preserve"> would result in protecting a greater number of workers from developing </w:t>
      </w:r>
      <w:r w:rsidR="005B4978">
        <w:t xml:space="preserve">silicosis </w:t>
      </w:r>
      <w:r w:rsidRPr="00F54041">
        <w:t xml:space="preserve">and other adverse health effects from work-related exposures to </w:t>
      </w:r>
      <w:r w:rsidR="00A229E7">
        <w:t>RCS</w:t>
      </w:r>
      <w:r w:rsidRPr="00F54041">
        <w:t xml:space="preserve">. </w:t>
      </w:r>
      <w:r w:rsidR="00F44B6C">
        <w:t xml:space="preserve">For the purposes of this </w:t>
      </w:r>
      <w:r w:rsidR="005157DA">
        <w:t xml:space="preserve">Decision RIS, an uplift factor of 50% was </w:t>
      </w:r>
      <w:r w:rsidR="007113F7">
        <w:t>assumed</w:t>
      </w:r>
      <w:r w:rsidR="005157DA">
        <w:t xml:space="preserve"> to account for this under-representation of occupational disease caused by exposure to RCS</w:t>
      </w:r>
      <w:r w:rsidR="007113F7">
        <w:t xml:space="preserve">. However, it is unclear as whether this is an accurate </w:t>
      </w:r>
      <w:r w:rsidR="007E7E41">
        <w:t xml:space="preserve">reflection </w:t>
      </w:r>
      <w:r w:rsidR="004A17AD">
        <w:t>of the under-representation</w:t>
      </w:r>
      <w:r w:rsidR="007113F7">
        <w:t xml:space="preserve">. </w:t>
      </w:r>
      <w:r w:rsidRPr="00F54041">
        <w:t xml:space="preserve">Thus, the actual financial benefits of the proposed WEL </w:t>
      </w:r>
      <w:r w:rsidR="007113F7">
        <w:t>may</w:t>
      </w:r>
      <w:r w:rsidRPr="00F54041">
        <w:t xml:space="preserve"> be </w:t>
      </w:r>
      <w:r w:rsidR="007113F7">
        <w:t>different to</w:t>
      </w:r>
      <w:r w:rsidRPr="00F54041">
        <w:t xml:space="preserve"> what has been estimated in </w:t>
      </w:r>
      <w:r w:rsidR="004636EC">
        <w:fldChar w:fldCharType="begin"/>
      </w:r>
      <w:r w:rsidR="004636EC">
        <w:instrText xml:space="preserve"> REF _Ref216769728 \h </w:instrText>
      </w:r>
      <w:r w:rsidR="004636EC">
        <w:fldChar w:fldCharType="separate"/>
      </w:r>
      <w:r w:rsidR="00A002F4">
        <w:t xml:space="preserve">Table </w:t>
      </w:r>
      <w:r w:rsidR="00A002F4">
        <w:rPr>
          <w:noProof/>
        </w:rPr>
        <w:t>36</w:t>
      </w:r>
      <w:r w:rsidR="004636EC">
        <w:fldChar w:fldCharType="end"/>
      </w:r>
      <w:r w:rsidR="004636EC">
        <w:t xml:space="preserve"> and </w:t>
      </w:r>
      <w:r w:rsidR="004636EC">
        <w:fldChar w:fldCharType="begin"/>
      </w:r>
      <w:r w:rsidR="004636EC">
        <w:instrText xml:space="preserve"> REF _Ref216769749 \h </w:instrText>
      </w:r>
      <w:r w:rsidR="004636EC">
        <w:fldChar w:fldCharType="separate"/>
      </w:r>
      <w:r w:rsidR="00A002F4">
        <w:t xml:space="preserve">Table </w:t>
      </w:r>
      <w:r w:rsidR="00A002F4">
        <w:rPr>
          <w:noProof/>
        </w:rPr>
        <w:t>37</w:t>
      </w:r>
      <w:r w:rsidR="004636EC">
        <w:fldChar w:fldCharType="end"/>
      </w:r>
      <w:r w:rsidRPr="00F54041">
        <w:t xml:space="preserve">. </w:t>
      </w:r>
    </w:p>
    <w:p w14:paraId="1736BF66" w14:textId="4FC7BDD1" w:rsidR="00A43C0F" w:rsidRDefault="00F54041" w:rsidP="000C7348">
      <w:pPr>
        <w:pStyle w:val="Paragraph"/>
        <w:rPr>
          <w:szCs w:val="28"/>
        </w:rPr>
      </w:pPr>
      <w:r w:rsidRPr="00F54041">
        <w:t xml:space="preserve">It is also expected that these quantifiable financial benefits will continue beyond the 10-year period that this estimation is based on. </w:t>
      </w:r>
      <w:r w:rsidR="00002DA3" w:rsidRPr="00002DA3">
        <w:t xml:space="preserve"> </w:t>
      </w:r>
      <w:r w:rsidR="00432CB3" w:rsidRPr="00432CB3">
        <w:t>Financial benefits that arise beyond the 10-year period have not been quantified and are not included the figures below.</w:t>
      </w:r>
    </w:p>
    <w:p w14:paraId="140C122E" w14:textId="45F6111C" w:rsidR="00C23AD7" w:rsidRDefault="00C23AD7" w:rsidP="0075452D">
      <w:pPr>
        <w:pStyle w:val="Caption"/>
      </w:pPr>
      <w:bookmarkStart w:id="513" w:name="_Ref216769728"/>
      <w:r>
        <w:t xml:space="preserve">Table </w:t>
      </w:r>
      <w:fldSimple w:instr=" SEQ Table \* ARABIC ">
        <w:r w:rsidR="00A002F4">
          <w:rPr>
            <w:noProof/>
          </w:rPr>
          <w:t>36</w:t>
        </w:r>
      </w:fldSimple>
      <w:bookmarkEnd w:id="513"/>
      <w:r>
        <w:t xml:space="preserve"> - </w:t>
      </w:r>
      <w:r w:rsidRPr="00B536F2">
        <w:t>Estimated average annual and total financial benefits of the proposed WEL for RCS (all industries excl. mining),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D11FA5" w:rsidRPr="008404A0" w14:paraId="18AB323D" w14:textId="77777777">
        <w:trPr>
          <w:trHeight w:val="514"/>
          <w:tblHeader/>
        </w:trPr>
        <w:tc>
          <w:tcPr>
            <w:tcW w:w="4106" w:type="dxa"/>
            <w:shd w:val="clear" w:color="auto" w:fill="4877E0" w:themeFill="accent1"/>
          </w:tcPr>
          <w:p w14:paraId="1BF4F028" w14:textId="77777777" w:rsidR="00D11FA5" w:rsidRPr="00E80AF6" w:rsidRDefault="00D11FA5" w:rsidP="00FB18E4">
            <w:pPr>
              <w:pStyle w:val="Paragraph"/>
              <w:keepNext w:val="0"/>
              <w:spacing w:after="0"/>
              <w:rPr>
                <w:b/>
                <w:bCs/>
                <w:color w:val="FFFFFF" w:themeColor="background1"/>
              </w:rPr>
            </w:pPr>
            <w:bookmarkStart w:id="514" w:name="_Hlk194925745"/>
            <w:r>
              <w:rPr>
                <w:b/>
                <w:bCs/>
                <w:color w:val="FFFFFF" w:themeColor="background1"/>
              </w:rPr>
              <w:t>Financial benefits</w:t>
            </w:r>
          </w:p>
        </w:tc>
        <w:tc>
          <w:tcPr>
            <w:tcW w:w="2480" w:type="dxa"/>
            <w:tcBorders>
              <w:bottom w:val="single" w:sz="4" w:space="0" w:color="D9D9D9" w:themeColor="background1" w:themeShade="D9"/>
            </w:tcBorders>
            <w:shd w:val="clear" w:color="auto" w:fill="4877E0" w:themeFill="accent1"/>
          </w:tcPr>
          <w:p w14:paraId="1EADF557" w14:textId="04E459B0" w:rsidR="00D11FA5" w:rsidRPr="00E80AF6" w:rsidRDefault="00D11FA5" w:rsidP="00FB18E4">
            <w:pPr>
              <w:pStyle w:val="Paragraph"/>
              <w:keepNext w:val="0"/>
              <w:spacing w:after="0"/>
              <w:rPr>
                <w:b/>
                <w:bCs/>
                <w:color w:val="FFFFFF" w:themeColor="background1"/>
              </w:rPr>
            </w:pPr>
            <w:r w:rsidRPr="00E80AF6">
              <w:rPr>
                <w:b/>
                <w:bCs/>
                <w:color w:val="FFFFFF" w:themeColor="background1"/>
              </w:rPr>
              <w:t>Average benefits p.a. ($</w:t>
            </w:r>
            <w:r w:rsidR="00350F8A">
              <w:rPr>
                <w:b/>
                <w:bCs/>
                <w:color w:val="FFFFFF" w:themeColor="background1"/>
              </w:rPr>
              <w:t xml:space="preserve"> </w:t>
            </w:r>
            <w:r w:rsidR="00F42C59">
              <w:rPr>
                <w:b/>
                <w:bCs/>
                <w:color w:val="FFFFFF" w:themeColor="background1"/>
              </w:rPr>
              <w:t>millions</w:t>
            </w:r>
            <w:r w:rsidRPr="00E80AF6">
              <w:rPr>
                <w:b/>
                <w:bCs/>
                <w:color w:val="FFFFFF" w:themeColor="background1"/>
              </w:rPr>
              <w:t>, undiscounted)</w:t>
            </w:r>
          </w:p>
        </w:tc>
        <w:tc>
          <w:tcPr>
            <w:tcW w:w="2481" w:type="dxa"/>
            <w:tcBorders>
              <w:bottom w:val="single" w:sz="4" w:space="0" w:color="D9D9D9" w:themeColor="background1" w:themeShade="D9"/>
            </w:tcBorders>
            <w:shd w:val="clear" w:color="auto" w:fill="4877E0" w:themeFill="accent1"/>
          </w:tcPr>
          <w:p w14:paraId="12A9D709" w14:textId="77777777" w:rsidR="00D11FA5" w:rsidRPr="00E80AF6" w:rsidRDefault="00D11FA5" w:rsidP="00FB18E4">
            <w:pPr>
              <w:pStyle w:val="Paragraph"/>
              <w:keepNext w:val="0"/>
              <w:spacing w:after="0"/>
              <w:rPr>
                <w:b/>
                <w:bCs/>
                <w:color w:val="FFFFFF" w:themeColor="background1"/>
              </w:rPr>
            </w:pPr>
            <w:r w:rsidRPr="00E80AF6">
              <w:rPr>
                <w:b/>
                <w:bCs/>
                <w:color w:val="FFFFFF" w:themeColor="background1"/>
              </w:rPr>
              <w:t>Total benefits ($ millions, discounted)</w:t>
            </w:r>
          </w:p>
        </w:tc>
      </w:tr>
      <w:tr w:rsidR="00286324" w:rsidRPr="00BA600A" w14:paraId="0066422A" w14:textId="77777777" w:rsidTr="00286324">
        <w:trPr>
          <w:trHeight w:val="257"/>
        </w:trPr>
        <w:tc>
          <w:tcPr>
            <w:tcW w:w="4106" w:type="dxa"/>
            <w:tcBorders>
              <w:right w:val="single" w:sz="4" w:space="0" w:color="D9D9D9" w:themeColor="background1" w:themeShade="D9"/>
            </w:tcBorders>
            <w:shd w:val="clear" w:color="auto" w:fill="DAE3F8" w:themeFill="accent1" w:themeFillTint="33"/>
          </w:tcPr>
          <w:p w14:paraId="7AB309F3" w14:textId="77777777" w:rsidR="00AA1593" w:rsidRPr="00931974" w:rsidRDefault="00AA1593" w:rsidP="00FB18E4">
            <w:pPr>
              <w:pStyle w:val="Paragraph"/>
              <w:keepNext w:val="0"/>
              <w:spacing w:after="0"/>
              <w:rPr>
                <w:b/>
              </w:rPr>
            </w:pPr>
            <w:r w:rsidRPr="00931974">
              <w:rPr>
                <w:b/>
              </w:rPr>
              <w:t>Direct benefits</w:t>
            </w:r>
          </w:p>
        </w:tc>
        <w:tc>
          <w:tcPr>
            <w:tcW w:w="2480" w:type="dxa"/>
            <w:tcBorders>
              <w:top w:val="nil"/>
              <w:left w:val="nil"/>
              <w:bottom w:val="single" w:sz="8" w:space="0" w:color="D9D9D9"/>
              <w:right w:val="single" w:sz="8" w:space="0" w:color="D9D9D9"/>
            </w:tcBorders>
            <w:shd w:val="clear" w:color="auto" w:fill="DAE3F8" w:themeFill="accent1" w:themeFillTint="33"/>
            <w:vAlign w:val="center"/>
          </w:tcPr>
          <w:p w14:paraId="4191AD88" w14:textId="17D02785" w:rsidR="00AA1593" w:rsidRPr="00DE6EF7" w:rsidRDefault="00AA1593" w:rsidP="00FB18E4">
            <w:pPr>
              <w:jc w:val="right"/>
              <w:rPr>
                <w:b/>
              </w:rPr>
            </w:pPr>
            <w:r>
              <w:rPr>
                <w:rFonts w:cs="Arial"/>
                <w:b/>
                <w:bCs/>
                <w:szCs w:val="22"/>
              </w:rPr>
              <w:t>50.</w:t>
            </w:r>
            <w:r w:rsidR="007222E8">
              <w:rPr>
                <w:rFonts w:cs="Arial"/>
                <w:b/>
                <w:bCs/>
                <w:szCs w:val="22"/>
              </w:rPr>
              <w:t>5</w:t>
            </w:r>
          </w:p>
        </w:tc>
        <w:tc>
          <w:tcPr>
            <w:tcW w:w="2481" w:type="dxa"/>
            <w:tcBorders>
              <w:top w:val="nil"/>
              <w:left w:val="nil"/>
              <w:bottom w:val="single" w:sz="8" w:space="0" w:color="D9D9D9"/>
              <w:right w:val="single" w:sz="8" w:space="0" w:color="D9D9D9"/>
            </w:tcBorders>
            <w:shd w:val="clear" w:color="auto" w:fill="DAE3F8" w:themeFill="accent1" w:themeFillTint="33"/>
            <w:vAlign w:val="center"/>
          </w:tcPr>
          <w:p w14:paraId="0CBB16CC" w14:textId="22BDCFF7" w:rsidR="00AA1593" w:rsidRPr="00DE6EF7" w:rsidRDefault="002A7E89" w:rsidP="00FB18E4">
            <w:pPr>
              <w:jc w:val="right"/>
              <w:rPr>
                <w:b/>
              </w:rPr>
            </w:pPr>
            <w:r>
              <w:rPr>
                <w:rFonts w:cs="Arial"/>
                <w:b/>
                <w:bCs/>
                <w:szCs w:val="22"/>
              </w:rPr>
              <w:t>309.1</w:t>
            </w:r>
          </w:p>
        </w:tc>
      </w:tr>
      <w:tr w:rsidR="00AA1593" w:rsidRPr="00BA600A" w14:paraId="6AFAC151" w14:textId="77777777" w:rsidTr="00FB18E4">
        <w:trPr>
          <w:trHeight w:val="257"/>
        </w:trPr>
        <w:tc>
          <w:tcPr>
            <w:tcW w:w="4106" w:type="dxa"/>
            <w:tcBorders>
              <w:right w:val="single" w:sz="4" w:space="0" w:color="D9D9D9" w:themeColor="background1" w:themeShade="D9"/>
            </w:tcBorders>
          </w:tcPr>
          <w:p w14:paraId="6E05059E" w14:textId="77777777" w:rsidR="00AA1593" w:rsidRDefault="00AA1593" w:rsidP="00FB18E4">
            <w:pPr>
              <w:pStyle w:val="Paragraph"/>
              <w:keepNext w:val="0"/>
              <w:spacing w:after="0"/>
              <w:ind w:left="308"/>
              <w:rPr>
                <w:bCs/>
              </w:rPr>
            </w:pPr>
            <w:r>
              <w:rPr>
                <w:bCs/>
              </w:rPr>
              <w:t>Direct compensation benefits</w:t>
            </w:r>
          </w:p>
        </w:tc>
        <w:tc>
          <w:tcPr>
            <w:tcW w:w="2480" w:type="dxa"/>
            <w:tcBorders>
              <w:top w:val="nil"/>
              <w:left w:val="nil"/>
              <w:bottom w:val="single" w:sz="8" w:space="0" w:color="D9D9D9"/>
              <w:right w:val="single" w:sz="8" w:space="0" w:color="D9D9D9"/>
            </w:tcBorders>
            <w:vAlign w:val="center"/>
          </w:tcPr>
          <w:p w14:paraId="51B57FBA" w14:textId="26C80696" w:rsidR="00AA1593" w:rsidRPr="00DE6EF7" w:rsidRDefault="00AA1593" w:rsidP="00FB18E4">
            <w:pPr>
              <w:jc w:val="right"/>
            </w:pPr>
            <w:r>
              <w:rPr>
                <w:rFonts w:cs="Arial"/>
                <w:color w:val="000000"/>
                <w:szCs w:val="22"/>
              </w:rPr>
              <w:t>33.</w:t>
            </w:r>
            <w:r w:rsidR="007222E8">
              <w:rPr>
                <w:rFonts w:cs="Arial"/>
                <w:color w:val="000000"/>
                <w:szCs w:val="22"/>
              </w:rPr>
              <w:t>3</w:t>
            </w:r>
          </w:p>
        </w:tc>
        <w:tc>
          <w:tcPr>
            <w:tcW w:w="2481" w:type="dxa"/>
            <w:tcBorders>
              <w:top w:val="nil"/>
              <w:left w:val="nil"/>
              <w:bottom w:val="single" w:sz="8" w:space="0" w:color="D9D9D9"/>
              <w:right w:val="single" w:sz="8" w:space="0" w:color="D9D9D9"/>
            </w:tcBorders>
            <w:vAlign w:val="center"/>
          </w:tcPr>
          <w:p w14:paraId="3AF1D810" w14:textId="1E07D1DD" w:rsidR="00AA1593" w:rsidRPr="00DE6EF7" w:rsidRDefault="002A7E89" w:rsidP="00FB18E4">
            <w:pPr>
              <w:jc w:val="right"/>
            </w:pPr>
            <w:r>
              <w:rPr>
                <w:rFonts w:cs="Arial"/>
                <w:color w:val="000000"/>
                <w:szCs w:val="22"/>
              </w:rPr>
              <w:t>203.7</w:t>
            </w:r>
          </w:p>
        </w:tc>
      </w:tr>
      <w:tr w:rsidR="00AA1593" w:rsidRPr="00BA600A" w14:paraId="0C9B5F88" w14:textId="77777777" w:rsidTr="00FB18E4">
        <w:trPr>
          <w:trHeight w:val="257"/>
        </w:trPr>
        <w:tc>
          <w:tcPr>
            <w:tcW w:w="4106" w:type="dxa"/>
            <w:tcBorders>
              <w:right w:val="single" w:sz="4" w:space="0" w:color="D9D9D9" w:themeColor="background1" w:themeShade="D9"/>
            </w:tcBorders>
          </w:tcPr>
          <w:p w14:paraId="30D722A8" w14:textId="77777777" w:rsidR="00AA1593" w:rsidRDefault="00AA1593" w:rsidP="00FB18E4">
            <w:pPr>
              <w:pStyle w:val="Paragraph"/>
              <w:keepNext w:val="0"/>
              <w:spacing w:after="0"/>
              <w:ind w:left="308"/>
              <w:rPr>
                <w:bCs/>
              </w:rPr>
            </w:pPr>
            <w:r>
              <w:rPr>
                <w:bCs/>
              </w:rPr>
              <w:t>Common law compensation benefits</w:t>
            </w:r>
          </w:p>
        </w:tc>
        <w:tc>
          <w:tcPr>
            <w:tcW w:w="2480" w:type="dxa"/>
            <w:tcBorders>
              <w:top w:val="nil"/>
              <w:left w:val="nil"/>
              <w:bottom w:val="single" w:sz="8" w:space="0" w:color="D9D9D9"/>
              <w:right w:val="single" w:sz="8" w:space="0" w:color="D9D9D9"/>
            </w:tcBorders>
            <w:vAlign w:val="center"/>
          </w:tcPr>
          <w:p w14:paraId="485965F7" w14:textId="2873F6CF" w:rsidR="00AA1593" w:rsidRPr="00DE6EF7" w:rsidRDefault="00AA1593" w:rsidP="00FB18E4">
            <w:pPr>
              <w:jc w:val="right"/>
            </w:pPr>
            <w:r>
              <w:rPr>
                <w:rFonts w:cs="Arial"/>
                <w:color w:val="000000"/>
                <w:szCs w:val="22"/>
              </w:rPr>
              <w:t>12.</w:t>
            </w:r>
            <w:r w:rsidR="007222E8">
              <w:rPr>
                <w:rFonts w:cs="Arial"/>
                <w:color w:val="000000"/>
                <w:szCs w:val="22"/>
              </w:rPr>
              <w:t>7</w:t>
            </w:r>
          </w:p>
        </w:tc>
        <w:tc>
          <w:tcPr>
            <w:tcW w:w="2481" w:type="dxa"/>
            <w:tcBorders>
              <w:top w:val="nil"/>
              <w:left w:val="nil"/>
              <w:bottom w:val="single" w:sz="8" w:space="0" w:color="D9D9D9"/>
              <w:right w:val="single" w:sz="8" w:space="0" w:color="D9D9D9"/>
            </w:tcBorders>
            <w:vAlign w:val="center"/>
          </w:tcPr>
          <w:p w14:paraId="28A993E4" w14:textId="05291D74" w:rsidR="00AA1593" w:rsidRPr="00DE6EF7" w:rsidRDefault="001D54A4" w:rsidP="00FB18E4">
            <w:pPr>
              <w:jc w:val="right"/>
            </w:pPr>
            <w:r>
              <w:rPr>
                <w:rFonts w:cs="Arial"/>
                <w:color w:val="000000"/>
                <w:szCs w:val="22"/>
              </w:rPr>
              <w:t>77.8</w:t>
            </w:r>
          </w:p>
        </w:tc>
      </w:tr>
      <w:tr w:rsidR="00AA1593" w:rsidRPr="00BA600A" w14:paraId="14A0B887" w14:textId="77777777" w:rsidTr="00FB18E4">
        <w:trPr>
          <w:trHeight w:val="274"/>
        </w:trPr>
        <w:tc>
          <w:tcPr>
            <w:tcW w:w="4106" w:type="dxa"/>
            <w:tcBorders>
              <w:right w:val="single" w:sz="4" w:space="0" w:color="D9D9D9" w:themeColor="background1" w:themeShade="D9"/>
            </w:tcBorders>
          </w:tcPr>
          <w:p w14:paraId="3FACA5BE" w14:textId="77777777" w:rsidR="00AA1593" w:rsidRDefault="00AA1593" w:rsidP="00FB18E4">
            <w:pPr>
              <w:pStyle w:val="Paragraph"/>
              <w:keepNext w:val="0"/>
              <w:spacing w:after="0"/>
              <w:ind w:left="308"/>
              <w:rPr>
                <w:bCs/>
              </w:rPr>
            </w:pPr>
            <w:r>
              <w:rPr>
                <w:bCs/>
              </w:rPr>
              <w:t>Medical compensation benefits</w:t>
            </w:r>
          </w:p>
        </w:tc>
        <w:tc>
          <w:tcPr>
            <w:tcW w:w="2480" w:type="dxa"/>
            <w:tcBorders>
              <w:top w:val="nil"/>
              <w:left w:val="nil"/>
              <w:bottom w:val="single" w:sz="8" w:space="0" w:color="D9D9D9"/>
              <w:right w:val="single" w:sz="8" w:space="0" w:color="D9D9D9"/>
            </w:tcBorders>
            <w:vAlign w:val="center"/>
          </w:tcPr>
          <w:p w14:paraId="5D5F52D9" w14:textId="6F6C50A8" w:rsidR="00AA1593" w:rsidRPr="00DE6EF7" w:rsidRDefault="00AA1593" w:rsidP="00FB18E4">
            <w:pPr>
              <w:jc w:val="right"/>
            </w:pPr>
            <w:r>
              <w:rPr>
                <w:rFonts w:cs="Arial"/>
                <w:color w:val="000000"/>
                <w:szCs w:val="22"/>
              </w:rPr>
              <w:t>1.1</w:t>
            </w:r>
          </w:p>
        </w:tc>
        <w:tc>
          <w:tcPr>
            <w:tcW w:w="2481" w:type="dxa"/>
            <w:tcBorders>
              <w:top w:val="nil"/>
              <w:left w:val="nil"/>
              <w:bottom w:val="single" w:sz="8" w:space="0" w:color="D9D9D9"/>
              <w:right w:val="single" w:sz="8" w:space="0" w:color="D9D9D9"/>
            </w:tcBorders>
            <w:vAlign w:val="center"/>
          </w:tcPr>
          <w:p w14:paraId="2CFA2D18" w14:textId="48526D40" w:rsidR="00AA1593" w:rsidRPr="00DE6EF7" w:rsidRDefault="00AA1593" w:rsidP="00FB18E4">
            <w:pPr>
              <w:jc w:val="right"/>
            </w:pPr>
            <w:r>
              <w:rPr>
                <w:rFonts w:cs="Arial"/>
                <w:color w:val="000000"/>
                <w:szCs w:val="22"/>
              </w:rPr>
              <w:t>7</w:t>
            </w:r>
            <w:r w:rsidR="001D54A4">
              <w:rPr>
                <w:rFonts w:cs="Arial"/>
                <w:color w:val="000000"/>
                <w:szCs w:val="22"/>
              </w:rPr>
              <w:t>.0</w:t>
            </w:r>
          </w:p>
        </w:tc>
      </w:tr>
      <w:tr w:rsidR="00AA1593" w:rsidRPr="00BA600A" w14:paraId="374E37AA" w14:textId="77777777" w:rsidTr="00FB18E4">
        <w:trPr>
          <w:trHeight w:val="246"/>
        </w:trPr>
        <w:tc>
          <w:tcPr>
            <w:tcW w:w="4106" w:type="dxa"/>
            <w:tcBorders>
              <w:right w:val="single" w:sz="4" w:space="0" w:color="D9D9D9" w:themeColor="background1" w:themeShade="D9"/>
            </w:tcBorders>
          </w:tcPr>
          <w:p w14:paraId="74D3DF78" w14:textId="77777777" w:rsidR="00AA1593" w:rsidRDefault="00AA1593" w:rsidP="00FB18E4">
            <w:pPr>
              <w:pStyle w:val="Paragraph"/>
              <w:keepNext w:val="0"/>
              <w:spacing w:after="0"/>
              <w:ind w:left="308"/>
              <w:rPr>
                <w:bCs/>
              </w:rPr>
            </w:pPr>
            <w:r>
              <w:rPr>
                <w:bCs/>
              </w:rPr>
              <w:t>Supplementary compensation benefits</w:t>
            </w:r>
          </w:p>
        </w:tc>
        <w:tc>
          <w:tcPr>
            <w:tcW w:w="2480" w:type="dxa"/>
            <w:tcBorders>
              <w:top w:val="nil"/>
              <w:left w:val="nil"/>
              <w:bottom w:val="single" w:sz="8" w:space="0" w:color="D9D9D9"/>
              <w:right w:val="single" w:sz="8" w:space="0" w:color="D9D9D9"/>
            </w:tcBorders>
            <w:vAlign w:val="center"/>
          </w:tcPr>
          <w:p w14:paraId="7F30E2EB" w14:textId="5229E232" w:rsidR="00AA1593" w:rsidRPr="00DE6EF7" w:rsidRDefault="00AA1593" w:rsidP="00FB18E4">
            <w:pPr>
              <w:jc w:val="right"/>
            </w:pPr>
            <w:r>
              <w:rPr>
                <w:rFonts w:cs="Arial"/>
                <w:color w:val="000000"/>
                <w:szCs w:val="22"/>
              </w:rPr>
              <w:t>3.4</w:t>
            </w:r>
          </w:p>
        </w:tc>
        <w:tc>
          <w:tcPr>
            <w:tcW w:w="2481" w:type="dxa"/>
            <w:tcBorders>
              <w:top w:val="nil"/>
              <w:left w:val="nil"/>
              <w:bottom w:val="single" w:sz="8" w:space="0" w:color="D9D9D9"/>
              <w:right w:val="single" w:sz="8" w:space="0" w:color="D9D9D9"/>
            </w:tcBorders>
            <w:vAlign w:val="center"/>
          </w:tcPr>
          <w:p w14:paraId="117E59F8" w14:textId="2E5F9DD6" w:rsidR="00AA1593" w:rsidRPr="00DE6EF7" w:rsidRDefault="00AA1593" w:rsidP="00FB18E4">
            <w:pPr>
              <w:jc w:val="right"/>
            </w:pPr>
            <w:r>
              <w:rPr>
                <w:rFonts w:cs="Arial"/>
                <w:color w:val="000000"/>
                <w:szCs w:val="22"/>
              </w:rPr>
              <w:t>20.</w:t>
            </w:r>
            <w:r w:rsidR="001D54A4">
              <w:rPr>
                <w:rFonts w:cs="Arial"/>
                <w:color w:val="000000"/>
                <w:szCs w:val="22"/>
              </w:rPr>
              <w:t>6</w:t>
            </w:r>
          </w:p>
        </w:tc>
      </w:tr>
      <w:tr w:rsidR="00286324" w:rsidRPr="00BA600A" w14:paraId="4B7D8AFC" w14:textId="77777777" w:rsidTr="00286324">
        <w:trPr>
          <w:trHeight w:val="257"/>
        </w:trPr>
        <w:tc>
          <w:tcPr>
            <w:tcW w:w="4106" w:type="dxa"/>
            <w:tcBorders>
              <w:right w:val="single" w:sz="4" w:space="0" w:color="D9D9D9" w:themeColor="background1" w:themeShade="D9"/>
            </w:tcBorders>
            <w:shd w:val="clear" w:color="auto" w:fill="DAE3F8" w:themeFill="accent1" w:themeFillTint="33"/>
          </w:tcPr>
          <w:p w14:paraId="4EBA53EB" w14:textId="77777777" w:rsidR="004769B7" w:rsidRPr="00931974" w:rsidRDefault="004769B7" w:rsidP="00FB18E4">
            <w:pPr>
              <w:pStyle w:val="Paragraph"/>
              <w:keepNext w:val="0"/>
              <w:spacing w:after="0"/>
              <w:rPr>
                <w:b/>
              </w:rPr>
            </w:pPr>
            <w:r w:rsidRPr="00931974">
              <w:rPr>
                <w:b/>
              </w:rPr>
              <w:t>Indirect benefits</w:t>
            </w:r>
          </w:p>
        </w:tc>
        <w:tc>
          <w:tcPr>
            <w:tcW w:w="2480" w:type="dxa"/>
            <w:tcBorders>
              <w:top w:val="nil"/>
              <w:left w:val="nil"/>
              <w:bottom w:val="single" w:sz="8" w:space="0" w:color="D9D9D9"/>
              <w:right w:val="single" w:sz="8" w:space="0" w:color="D9D9D9"/>
            </w:tcBorders>
            <w:shd w:val="clear" w:color="auto" w:fill="DAE3F8" w:themeFill="accent1" w:themeFillTint="33"/>
            <w:vAlign w:val="center"/>
          </w:tcPr>
          <w:p w14:paraId="5D322C12" w14:textId="70702D1B" w:rsidR="004769B7" w:rsidRPr="00DE6EF7" w:rsidRDefault="004769B7" w:rsidP="00FB18E4">
            <w:pPr>
              <w:jc w:val="right"/>
              <w:rPr>
                <w:b/>
              </w:rPr>
            </w:pPr>
            <w:r>
              <w:rPr>
                <w:rFonts w:cs="Arial"/>
                <w:b/>
                <w:bCs/>
                <w:color w:val="000000"/>
                <w:szCs w:val="22"/>
              </w:rPr>
              <w:t>14.6</w:t>
            </w:r>
          </w:p>
        </w:tc>
        <w:tc>
          <w:tcPr>
            <w:tcW w:w="2481" w:type="dxa"/>
            <w:tcBorders>
              <w:top w:val="nil"/>
              <w:left w:val="nil"/>
              <w:bottom w:val="single" w:sz="8" w:space="0" w:color="D9D9D9"/>
              <w:right w:val="single" w:sz="8" w:space="0" w:color="D9D9D9"/>
            </w:tcBorders>
            <w:shd w:val="clear" w:color="auto" w:fill="DAE3F8" w:themeFill="accent1" w:themeFillTint="33"/>
            <w:vAlign w:val="center"/>
          </w:tcPr>
          <w:p w14:paraId="68D1963D" w14:textId="16BB3128" w:rsidR="004769B7" w:rsidRPr="00DE6EF7" w:rsidRDefault="004769B7" w:rsidP="00FB18E4">
            <w:pPr>
              <w:jc w:val="right"/>
              <w:rPr>
                <w:b/>
              </w:rPr>
            </w:pPr>
            <w:r>
              <w:rPr>
                <w:rFonts w:cs="Arial"/>
                <w:b/>
                <w:bCs/>
                <w:color w:val="000000"/>
                <w:szCs w:val="22"/>
              </w:rPr>
              <w:t>89.</w:t>
            </w:r>
            <w:r w:rsidR="001D54A4">
              <w:rPr>
                <w:rFonts w:cs="Arial"/>
                <w:b/>
                <w:bCs/>
                <w:color w:val="000000"/>
                <w:szCs w:val="22"/>
              </w:rPr>
              <w:t>3</w:t>
            </w:r>
          </w:p>
        </w:tc>
      </w:tr>
      <w:tr w:rsidR="004769B7" w:rsidRPr="00BA600A" w14:paraId="6C52CC7F" w14:textId="77777777" w:rsidTr="00FB18E4">
        <w:trPr>
          <w:trHeight w:val="257"/>
        </w:trPr>
        <w:tc>
          <w:tcPr>
            <w:tcW w:w="4106" w:type="dxa"/>
            <w:tcBorders>
              <w:right w:val="single" w:sz="4" w:space="0" w:color="D9D9D9" w:themeColor="background1" w:themeShade="D9"/>
            </w:tcBorders>
          </w:tcPr>
          <w:p w14:paraId="2A49C3CF" w14:textId="77777777" w:rsidR="004769B7" w:rsidRDefault="004769B7" w:rsidP="00FB18E4">
            <w:pPr>
              <w:pStyle w:val="Paragraph"/>
              <w:keepNext w:val="0"/>
              <w:spacing w:after="0"/>
              <w:ind w:left="308"/>
              <w:rPr>
                <w:bCs/>
              </w:rPr>
            </w:pPr>
            <w:r>
              <w:rPr>
                <w:bCs/>
              </w:rPr>
              <w:t>Productivity benefits</w:t>
            </w:r>
          </w:p>
        </w:tc>
        <w:tc>
          <w:tcPr>
            <w:tcW w:w="2480" w:type="dxa"/>
            <w:tcBorders>
              <w:top w:val="nil"/>
              <w:left w:val="nil"/>
              <w:bottom w:val="single" w:sz="8" w:space="0" w:color="D9D9D9"/>
              <w:right w:val="single" w:sz="8" w:space="0" w:color="D9D9D9"/>
            </w:tcBorders>
            <w:vAlign w:val="center"/>
          </w:tcPr>
          <w:p w14:paraId="6AE9A301" w14:textId="75DA2767" w:rsidR="004769B7" w:rsidRPr="00DE6EF7" w:rsidRDefault="004769B7" w:rsidP="00FB18E4">
            <w:pPr>
              <w:jc w:val="right"/>
            </w:pPr>
            <w:r>
              <w:rPr>
                <w:rFonts w:cs="Arial"/>
                <w:color w:val="000000"/>
                <w:szCs w:val="22"/>
              </w:rPr>
              <w:t>14.6</w:t>
            </w:r>
          </w:p>
        </w:tc>
        <w:tc>
          <w:tcPr>
            <w:tcW w:w="2481" w:type="dxa"/>
            <w:tcBorders>
              <w:top w:val="nil"/>
              <w:left w:val="nil"/>
              <w:bottom w:val="single" w:sz="8" w:space="0" w:color="D9D9D9"/>
              <w:right w:val="single" w:sz="8" w:space="0" w:color="D9D9D9"/>
            </w:tcBorders>
            <w:vAlign w:val="center"/>
          </w:tcPr>
          <w:p w14:paraId="201F5028" w14:textId="5FD958C3" w:rsidR="004769B7" w:rsidRPr="00DE6EF7" w:rsidRDefault="004769B7" w:rsidP="00FB18E4">
            <w:pPr>
              <w:jc w:val="right"/>
            </w:pPr>
            <w:r>
              <w:rPr>
                <w:rFonts w:cs="Arial"/>
                <w:color w:val="000000"/>
                <w:szCs w:val="22"/>
              </w:rPr>
              <w:t>89.</w:t>
            </w:r>
            <w:r w:rsidR="001D54A4">
              <w:rPr>
                <w:rFonts w:cs="Arial"/>
                <w:color w:val="000000"/>
                <w:szCs w:val="22"/>
              </w:rPr>
              <w:t>3</w:t>
            </w:r>
          </w:p>
        </w:tc>
      </w:tr>
      <w:tr w:rsidR="00286324" w:rsidRPr="00BA600A" w14:paraId="49B61BC5" w14:textId="77777777" w:rsidTr="00FB18E4">
        <w:trPr>
          <w:trHeight w:val="257"/>
        </w:trPr>
        <w:tc>
          <w:tcPr>
            <w:tcW w:w="4106" w:type="dxa"/>
            <w:tcBorders>
              <w:right w:val="single" w:sz="4" w:space="0" w:color="D9D9D9" w:themeColor="background1" w:themeShade="D9"/>
            </w:tcBorders>
            <w:shd w:val="clear" w:color="auto" w:fill="B5C8F2" w:themeFill="accent1" w:themeFillTint="66"/>
          </w:tcPr>
          <w:p w14:paraId="3F7C064B" w14:textId="77777777" w:rsidR="00286324" w:rsidRDefault="00286324" w:rsidP="00FB18E4">
            <w:pPr>
              <w:pStyle w:val="Paragraph"/>
              <w:keepNext w:val="0"/>
              <w:spacing w:after="0"/>
              <w:rPr>
                <w:bCs/>
              </w:rPr>
            </w:pPr>
            <w:r>
              <w:rPr>
                <w:b/>
              </w:rPr>
              <w:t>Total financial benefits</w:t>
            </w:r>
          </w:p>
        </w:tc>
        <w:tc>
          <w:tcPr>
            <w:tcW w:w="2480" w:type="dxa"/>
            <w:tcBorders>
              <w:top w:val="nil"/>
              <w:left w:val="nil"/>
              <w:bottom w:val="nil"/>
              <w:right w:val="nil"/>
            </w:tcBorders>
            <w:shd w:val="clear" w:color="auto" w:fill="B5C8F2" w:themeFill="accent1" w:themeFillTint="66"/>
            <w:vAlign w:val="bottom"/>
          </w:tcPr>
          <w:p w14:paraId="140A434A" w14:textId="51E485E9" w:rsidR="00286324" w:rsidRPr="00B64384" w:rsidRDefault="00286324" w:rsidP="00FB18E4">
            <w:pPr>
              <w:jc w:val="right"/>
              <w:rPr>
                <w:rFonts w:cs="Arial"/>
                <w:b/>
                <w:bCs/>
              </w:rPr>
            </w:pPr>
            <w:r w:rsidRPr="00B64384">
              <w:rPr>
                <w:rFonts w:cs="Arial"/>
                <w:b/>
                <w:bCs/>
                <w:color w:val="000000"/>
                <w:szCs w:val="22"/>
              </w:rPr>
              <w:t>65.</w:t>
            </w:r>
            <w:r w:rsidR="002A7E89" w:rsidRPr="00B64384">
              <w:rPr>
                <w:rFonts w:cs="Arial"/>
                <w:b/>
                <w:bCs/>
                <w:color w:val="000000"/>
                <w:szCs w:val="22"/>
              </w:rPr>
              <w:t>1</w:t>
            </w:r>
          </w:p>
        </w:tc>
        <w:tc>
          <w:tcPr>
            <w:tcW w:w="2481" w:type="dxa"/>
            <w:tcBorders>
              <w:top w:val="nil"/>
              <w:left w:val="nil"/>
              <w:bottom w:val="nil"/>
              <w:right w:val="nil"/>
            </w:tcBorders>
            <w:shd w:val="clear" w:color="auto" w:fill="B5C8F2" w:themeFill="accent1" w:themeFillTint="66"/>
            <w:vAlign w:val="bottom"/>
          </w:tcPr>
          <w:p w14:paraId="68C431C4" w14:textId="5448D19F" w:rsidR="00286324" w:rsidRPr="00B64384" w:rsidRDefault="001C442D" w:rsidP="00FB18E4">
            <w:pPr>
              <w:jc w:val="right"/>
              <w:rPr>
                <w:rFonts w:cs="Arial"/>
                <w:b/>
                <w:bCs/>
              </w:rPr>
            </w:pPr>
            <w:r w:rsidRPr="00B64384">
              <w:rPr>
                <w:rFonts w:cs="Arial"/>
                <w:b/>
                <w:bCs/>
                <w:color w:val="000000"/>
                <w:szCs w:val="22"/>
              </w:rPr>
              <w:t>398.4</w:t>
            </w:r>
          </w:p>
        </w:tc>
      </w:tr>
    </w:tbl>
    <w:p w14:paraId="70B3C77D" w14:textId="173B5B5A" w:rsidR="00C23AD7" w:rsidRDefault="00C23AD7" w:rsidP="0075452D">
      <w:pPr>
        <w:pStyle w:val="Caption"/>
        <w:keepLines/>
      </w:pPr>
      <w:bookmarkStart w:id="515" w:name="_Ref216769749"/>
      <w:bookmarkEnd w:id="514"/>
      <w:r>
        <w:lastRenderedPageBreak/>
        <w:t xml:space="preserve">Table </w:t>
      </w:r>
      <w:fldSimple w:instr=" SEQ Table \* ARABIC ">
        <w:r w:rsidR="00A002F4">
          <w:rPr>
            <w:noProof/>
          </w:rPr>
          <w:t>37</w:t>
        </w:r>
      </w:fldSimple>
      <w:bookmarkEnd w:id="515"/>
      <w:r>
        <w:t xml:space="preserve"> - </w:t>
      </w:r>
      <w:r w:rsidRPr="00FA0D77">
        <w:t>Estimated average annual and total financial benefits of the proposed WEL for RCS (mining only),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80"/>
        <w:gridCol w:w="2481"/>
      </w:tblGrid>
      <w:tr w:rsidR="00D0428F" w:rsidRPr="008404A0" w14:paraId="4BCA3C05" w14:textId="77777777">
        <w:trPr>
          <w:trHeight w:val="514"/>
          <w:tblHeader/>
        </w:trPr>
        <w:tc>
          <w:tcPr>
            <w:tcW w:w="4106" w:type="dxa"/>
            <w:shd w:val="clear" w:color="auto" w:fill="4877E0" w:themeFill="accent1"/>
          </w:tcPr>
          <w:p w14:paraId="6214FA07" w14:textId="77777777" w:rsidR="00D0428F" w:rsidRPr="00E80AF6" w:rsidRDefault="00D0428F" w:rsidP="00AA73B4">
            <w:pPr>
              <w:pStyle w:val="Paragraph"/>
              <w:keepLines/>
              <w:spacing w:after="0"/>
              <w:rPr>
                <w:b/>
                <w:bCs/>
                <w:color w:val="FFFFFF" w:themeColor="background1"/>
              </w:rPr>
            </w:pPr>
            <w:r>
              <w:rPr>
                <w:b/>
                <w:bCs/>
                <w:color w:val="FFFFFF" w:themeColor="background1"/>
              </w:rPr>
              <w:t>Financial benefits</w:t>
            </w:r>
          </w:p>
        </w:tc>
        <w:tc>
          <w:tcPr>
            <w:tcW w:w="2480" w:type="dxa"/>
            <w:tcBorders>
              <w:bottom w:val="single" w:sz="4" w:space="0" w:color="D9D9D9" w:themeColor="background1" w:themeShade="D9"/>
            </w:tcBorders>
            <w:shd w:val="clear" w:color="auto" w:fill="4877E0" w:themeFill="accent1"/>
          </w:tcPr>
          <w:p w14:paraId="59C8D3A8" w14:textId="2838DD42" w:rsidR="00D0428F" w:rsidRPr="00E80AF6" w:rsidRDefault="00D0428F" w:rsidP="00AA73B4">
            <w:pPr>
              <w:pStyle w:val="Paragraph"/>
              <w:keepLines/>
              <w:spacing w:after="0"/>
              <w:rPr>
                <w:b/>
                <w:bCs/>
                <w:color w:val="FFFFFF" w:themeColor="background1"/>
              </w:rPr>
            </w:pPr>
            <w:r w:rsidRPr="00E80AF6">
              <w:rPr>
                <w:b/>
                <w:bCs/>
                <w:color w:val="FFFFFF" w:themeColor="background1"/>
              </w:rPr>
              <w:t>Average benefits p.a. ($</w:t>
            </w:r>
            <w:r w:rsidR="00A24E88">
              <w:rPr>
                <w:b/>
                <w:bCs/>
                <w:color w:val="FFFFFF" w:themeColor="background1"/>
              </w:rPr>
              <w:t xml:space="preserve"> </w:t>
            </w:r>
            <w:r w:rsidR="004F0D75">
              <w:rPr>
                <w:b/>
                <w:bCs/>
                <w:color w:val="FFFFFF" w:themeColor="background1"/>
              </w:rPr>
              <w:t>million</w:t>
            </w:r>
            <w:r w:rsidR="00A24E88">
              <w:rPr>
                <w:b/>
                <w:bCs/>
                <w:color w:val="FFFFFF" w:themeColor="background1"/>
              </w:rPr>
              <w:t>s</w:t>
            </w:r>
            <w:r w:rsidRPr="00E80AF6">
              <w:rPr>
                <w:b/>
                <w:bCs/>
                <w:color w:val="FFFFFF" w:themeColor="background1"/>
              </w:rPr>
              <w:t>, undiscounted)</w:t>
            </w:r>
          </w:p>
        </w:tc>
        <w:tc>
          <w:tcPr>
            <w:tcW w:w="2481" w:type="dxa"/>
            <w:tcBorders>
              <w:bottom w:val="single" w:sz="4" w:space="0" w:color="D9D9D9" w:themeColor="background1" w:themeShade="D9"/>
            </w:tcBorders>
            <w:shd w:val="clear" w:color="auto" w:fill="4877E0" w:themeFill="accent1"/>
          </w:tcPr>
          <w:p w14:paraId="086CAA34" w14:textId="77777777" w:rsidR="00D0428F" w:rsidRPr="00E80AF6" w:rsidRDefault="00D0428F" w:rsidP="00AA73B4">
            <w:pPr>
              <w:pStyle w:val="Paragraph"/>
              <w:keepLines/>
              <w:spacing w:after="0"/>
              <w:rPr>
                <w:b/>
                <w:bCs/>
                <w:color w:val="FFFFFF" w:themeColor="background1"/>
              </w:rPr>
            </w:pPr>
            <w:r w:rsidRPr="00E80AF6">
              <w:rPr>
                <w:b/>
                <w:bCs/>
                <w:color w:val="FFFFFF" w:themeColor="background1"/>
              </w:rPr>
              <w:t>Total benefits ($ millions, discounted)</w:t>
            </w:r>
          </w:p>
        </w:tc>
      </w:tr>
      <w:tr w:rsidR="00D64698" w:rsidRPr="00BA600A" w14:paraId="6AA7E209" w14:textId="77777777" w:rsidTr="00FB18E4">
        <w:trPr>
          <w:trHeight w:val="257"/>
        </w:trPr>
        <w:tc>
          <w:tcPr>
            <w:tcW w:w="4106" w:type="dxa"/>
            <w:tcBorders>
              <w:right w:val="single" w:sz="4" w:space="0" w:color="D9D9D9" w:themeColor="background1" w:themeShade="D9"/>
            </w:tcBorders>
            <w:shd w:val="clear" w:color="auto" w:fill="DAE3F8" w:themeFill="accent1" w:themeFillTint="33"/>
          </w:tcPr>
          <w:p w14:paraId="286D6F53" w14:textId="77777777" w:rsidR="00D64698" w:rsidRPr="00931974" w:rsidRDefault="00D64698" w:rsidP="00AA73B4">
            <w:pPr>
              <w:pStyle w:val="Paragraph"/>
              <w:keepLines/>
              <w:spacing w:after="0"/>
              <w:rPr>
                <w:b/>
              </w:rPr>
            </w:pPr>
            <w:r w:rsidRPr="00931974">
              <w:rPr>
                <w:b/>
              </w:rPr>
              <w:t>Direct benefits</w:t>
            </w:r>
          </w:p>
        </w:tc>
        <w:tc>
          <w:tcPr>
            <w:tcW w:w="2480" w:type="dxa"/>
            <w:tcBorders>
              <w:top w:val="nil"/>
              <w:left w:val="nil"/>
              <w:bottom w:val="single" w:sz="8" w:space="0" w:color="D9D9D9"/>
              <w:right w:val="single" w:sz="8" w:space="0" w:color="D9D9D9"/>
            </w:tcBorders>
            <w:shd w:val="clear" w:color="auto" w:fill="DAE3F8" w:themeFill="accent1" w:themeFillTint="33"/>
            <w:vAlign w:val="center"/>
          </w:tcPr>
          <w:p w14:paraId="09547F06" w14:textId="2790A112" w:rsidR="00D64698" w:rsidRPr="00DE6EF7" w:rsidRDefault="00D64698" w:rsidP="00AA73B4">
            <w:pPr>
              <w:keepNext/>
              <w:keepLines/>
              <w:jc w:val="right"/>
              <w:rPr>
                <w:b/>
              </w:rPr>
            </w:pPr>
            <w:r>
              <w:rPr>
                <w:rFonts w:cs="Arial"/>
                <w:b/>
                <w:bCs/>
                <w:szCs w:val="22"/>
              </w:rPr>
              <w:t>12.</w:t>
            </w:r>
            <w:r w:rsidR="0023518D">
              <w:rPr>
                <w:rFonts w:cs="Arial"/>
                <w:b/>
                <w:bCs/>
                <w:szCs w:val="22"/>
              </w:rPr>
              <w:t>3</w:t>
            </w:r>
          </w:p>
        </w:tc>
        <w:tc>
          <w:tcPr>
            <w:tcW w:w="2481" w:type="dxa"/>
            <w:tcBorders>
              <w:top w:val="nil"/>
              <w:left w:val="nil"/>
              <w:bottom w:val="single" w:sz="8" w:space="0" w:color="D9D9D9"/>
              <w:right w:val="single" w:sz="8" w:space="0" w:color="D9D9D9"/>
            </w:tcBorders>
            <w:shd w:val="clear" w:color="auto" w:fill="DAE3F8" w:themeFill="accent1" w:themeFillTint="33"/>
            <w:vAlign w:val="center"/>
          </w:tcPr>
          <w:p w14:paraId="0999C1AE" w14:textId="247EA116" w:rsidR="00D64698" w:rsidRPr="00DE6EF7" w:rsidRDefault="0023518D" w:rsidP="00AA73B4">
            <w:pPr>
              <w:keepNext/>
              <w:keepLines/>
              <w:jc w:val="right"/>
              <w:rPr>
                <w:b/>
              </w:rPr>
            </w:pPr>
            <w:r>
              <w:rPr>
                <w:rFonts w:cs="Arial"/>
                <w:b/>
                <w:bCs/>
                <w:szCs w:val="22"/>
              </w:rPr>
              <w:t>76.0</w:t>
            </w:r>
          </w:p>
        </w:tc>
      </w:tr>
      <w:tr w:rsidR="00D64698" w:rsidRPr="00BA600A" w14:paraId="7C2E7F44" w14:textId="77777777">
        <w:trPr>
          <w:trHeight w:val="257"/>
        </w:trPr>
        <w:tc>
          <w:tcPr>
            <w:tcW w:w="4106" w:type="dxa"/>
            <w:tcBorders>
              <w:right w:val="single" w:sz="4" w:space="0" w:color="D9D9D9" w:themeColor="background1" w:themeShade="D9"/>
            </w:tcBorders>
          </w:tcPr>
          <w:p w14:paraId="45976B74" w14:textId="77777777" w:rsidR="00D64698" w:rsidRDefault="00D64698" w:rsidP="00AA73B4">
            <w:pPr>
              <w:pStyle w:val="Paragraph"/>
              <w:keepLines/>
              <w:spacing w:after="0"/>
              <w:ind w:left="308"/>
              <w:rPr>
                <w:bCs/>
              </w:rPr>
            </w:pPr>
            <w:r>
              <w:rPr>
                <w:bCs/>
              </w:rPr>
              <w:t>Direct compensation benefits</w:t>
            </w:r>
          </w:p>
        </w:tc>
        <w:tc>
          <w:tcPr>
            <w:tcW w:w="2480" w:type="dxa"/>
            <w:tcBorders>
              <w:top w:val="nil"/>
              <w:left w:val="nil"/>
              <w:bottom w:val="single" w:sz="8" w:space="0" w:color="D9D9D9"/>
              <w:right w:val="single" w:sz="8" w:space="0" w:color="D9D9D9"/>
            </w:tcBorders>
            <w:vAlign w:val="center"/>
          </w:tcPr>
          <w:p w14:paraId="5D022877" w14:textId="26AC9E00" w:rsidR="00D64698" w:rsidRPr="00DE6EF7" w:rsidRDefault="00D64698" w:rsidP="00AA73B4">
            <w:pPr>
              <w:keepNext/>
              <w:keepLines/>
              <w:jc w:val="right"/>
            </w:pPr>
            <w:r>
              <w:rPr>
                <w:rFonts w:cs="Arial"/>
                <w:color w:val="000000"/>
                <w:szCs w:val="22"/>
              </w:rPr>
              <w:t>8</w:t>
            </w:r>
            <w:r w:rsidR="0023518D">
              <w:rPr>
                <w:rFonts w:cs="Arial"/>
                <w:color w:val="000000"/>
                <w:szCs w:val="22"/>
              </w:rPr>
              <w:t>.1</w:t>
            </w:r>
          </w:p>
        </w:tc>
        <w:tc>
          <w:tcPr>
            <w:tcW w:w="2481" w:type="dxa"/>
            <w:tcBorders>
              <w:top w:val="nil"/>
              <w:left w:val="nil"/>
              <w:bottom w:val="single" w:sz="8" w:space="0" w:color="D9D9D9"/>
              <w:right w:val="single" w:sz="8" w:space="0" w:color="D9D9D9"/>
            </w:tcBorders>
            <w:vAlign w:val="center"/>
          </w:tcPr>
          <w:p w14:paraId="36D74994" w14:textId="002B777A" w:rsidR="00D64698" w:rsidRPr="00DE6EF7" w:rsidRDefault="0023518D" w:rsidP="00AA73B4">
            <w:pPr>
              <w:keepNext/>
              <w:keepLines/>
              <w:jc w:val="right"/>
            </w:pPr>
            <w:r>
              <w:rPr>
                <w:rFonts w:cs="Arial"/>
                <w:color w:val="000000"/>
                <w:szCs w:val="22"/>
              </w:rPr>
              <w:t>50.1</w:t>
            </w:r>
          </w:p>
        </w:tc>
      </w:tr>
      <w:tr w:rsidR="00D64698" w:rsidRPr="00BA600A" w14:paraId="09F1B6B7" w14:textId="77777777">
        <w:trPr>
          <w:trHeight w:val="257"/>
        </w:trPr>
        <w:tc>
          <w:tcPr>
            <w:tcW w:w="4106" w:type="dxa"/>
            <w:tcBorders>
              <w:right w:val="single" w:sz="4" w:space="0" w:color="D9D9D9" w:themeColor="background1" w:themeShade="D9"/>
            </w:tcBorders>
          </w:tcPr>
          <w:p w14:paraId="1ED53F01" w14:textId="77777777" w:rsidR="00D64698" w:rsidRDefault="00D64698" w:rsidP="00AA73B4">
            <w:pPr>
              <w:pStyle w:val="Paragraph"/>
              <w:keepLines/>
              <w:spacing w:after="0"/>
              <w:ind w:left="308"/>
              <w:rPr>
                <w:bCs/>
              </w:rPr>
            </w:pPr>
            <w:r>
              <w:rPr>
                <w:bCs/>
              </w:rPr>
              <w:t>Common law compensation benefits</w:t>
            </w:r>
          </w:p>
        </w:tc>
        <w:tc>
          <w:tcPr>
            <w:tcW w:w="2480" w:type="dxa"/>
            <w:tcBorders>
              <w:top w:val="nil"/>
              <w:left w:val="nil"/>
              <w:bottom w:val="single" w:sz="8" w:space="0" w:color="D9D9D9"/>
              <w:right w:val="single" w:sz="8" w:space="0" w:color="D9D9D9"/>
            </w:tcBorders>
            <w:vAlign w:val="center"/>
          </w:tcPr>
          <w:p w14:paraId="75DEC108" w14:textId="697B9988" w:rsidR="00D64698" w:rsidRPr="00DE6EF7" w:rsidRDefault="00D64698" w:rsidP="00AA73B4">
            <w:pPr>
              <w:keepNext/>
              <w:keepLines/>
              <w:jc w:val="right"/>
            </w:pPr>
            <w:r>
              <w:rPr>
                <w:rFonts w:cs="Arial"/>
                <w:color w:val="000000"/>
                <w:szCs w:val="22"/>
              </w:rPr>
              <w:t>3</w:t>
            </w:r>
            <w:r w:rsidR="0023518D">
              <w:rPr>
                <w:rFonts w:cs="Arial"/>
                <w:color w:val="000000"/>
                <w:szCs w:val="22"/>
              </w:rPr>
              <w:t>.1</w:t>
            </w:r>
          </w:p>
        </w:tc>
        <w:tc>
          <w:tcPr>
            <w:tcW w:w="2481" w:type="dxa"/>
            <w:tcBorders>
              <w:top w:val="nil"/>
              <w:left w:val="nil"/>
              <w:bottom w:val="single" w:sz="8" w:space="0" w:color="D9D9D9"/>
              <w:right w:val="single" w:sz="8" w:space="0" w:color="D9D9D9"/>
            </w:tcBorders>
            <w:vAlign w:val="center"/>
          </w:tcPr>
          <w:p w14:paraId="7DA04E88" w14:textId="139B37BD" w:rsidR="00D64698" w:rsidRPr="00DE6EF7" w:rsidRDefault="0023518D" w:rsidP="00AA73B4">
            <w:pPr>
              <w:keepNext/>
              <w:keepLines/>
              <w:jc w:val="right"/>
            </w:pPr>
            <w:r>
              <w:rPr>
                <w:rFonts w:cs="Arial"/>
                <w:color w:val="000000"/>
                <w:szCs w:val="22"/>
              </w:rPr>
              <w:t>19.1</w:t>
            </w:r>
          </w:p>
        </w:tc>
      </w:tr>
      <w:tr w:rsidR="00D64698" w:rsidRPr="00BA600A" w14:paraId="14CD30E9" w14:textId="77777777">
        <w:trPr>
          <w:trHeight w:val="274"/>
        </w:trPr>
        <w:tc>
          <w:tcPr>
            <w:tcW w:w="4106" w:type="dxa"/>
            <w:tcBorders>
              <w:right w:val="single" w:sz="4" w:space="0" w:color="D9D9D9" w:themeColor="background1" w:themeShade="D9"/>
            </w:tcBorders>
          </w:tcPr>
          <w:p w14:paraId="18FB2EF9" w14:textId="77777777" w:rsidR="00D64698" w:rsidRDefault="00D64698" w:rsidP="00AA73B4">
            <w:pPr>
              <w:pStyle w:val="Paragraph"/>
              <w:keepLines/>
              <w:spacing w:after="0"/>
              <w:ind w:left="308"/>
              <w:rPr>
                <w:bCs/>
              </w:rPr>
            </w:pPr>
            <w:r>
              <w:rPr>
                <w:bCs/>
              </w:rPr>
              <w:t>Medical compensation benefits</w:t>
            </w:r>
          </w:p>
        </w:tc>
        <w:tc>
          <w:tcPr>
            <w:tcW w:w="2480" w:type="dxa"/>
            <w:tcBorders>
              <w:top w:val="nil"/>
              <w:left w:val="nil"/>
              <w:bottom w:val="single" w:sz="8" w:space="0" w:color="D9D9D9"/>
              <w:right w:val="single" w:sz="8" w:space="0" w:color="D9D9D9"/>
            </w:tcBorders>
            <w:vAlign w:val="center"/>
          </w:tcPr>
          <w:p w14:paraId="7745CB8A" w14:textId="74D01606" w:rsidR="00D64698" w:rsidRPr="00DE6EF7" w:rsidRDefault="00D64698" w:rsidP="00AA73B4">
            <w:pPr>
              <w:keepNext/>
              <w:keepLines/>
              <w:jc w:val="right"/>
            </w:pPr>
            <w:r>
              <w:rPr>
                <w:rFonts w:cs="Arial"/>
                <w:color w:val="000000"/>
                <w:szCs w:val="22"/>
              </w:rPr>
              <w:t>0.3</w:t>
            </w:r>
          </w:p>
        </w:tc>
        <w:tc>
          <w:tcPr>
            <w:tcW w:w="2481" w:type="dxa"/>
            <w:tcBorders>
              <w:top w:val="nil"/>
              <w:left w:val="nil"/>
              <w:bottom w:val="single" w:sz="8" w:space="0" w:color="D9D9D9"/>
              <w:right w:val="single" w:sz="8" w:space="0" w:color="D9D9D9"/>
            </w:tcBorders>
            <w:vAlign w:val="center"/>
          </w:tcPr>
          <w:p w14:paraId="4B9E591B" w14:textId="40221E67" w:rsidR="00D64698" w:rsidRPr="00DE6EF7" w:rsidRDefault="00D64698" w:rsidP="00AA73B4">
            <w:pPr>
              <w:keepNext/>
              <w:keepLines/>
              <w:jc w:val="right"/>
            </w:pPr>
            <w:r>
              <w:rPr>
                <w:rFonts w:cs="Arial"/>
                <w:color w:val="000000"/>
                <w:szCs w:val="22"/>
              </w:rPr>
              <w:t>1.7</w:t>
            </w:r>
          </w:p>
        </w:tc>
      </w:tr>
      <w:tr w:rsidR="00D64698" w:rsidRPr="00BA600A" w14:paraId="088C9C41" w14:textId="77777777">
        <w:trPr>
          <w:trHeight w:val="246"/>
        </w:trPr>
        <w:tc>
          <w:tcPr>
            <w:tcW w:w="4106" w:type="dxa"/>
            <w:tcBorders>
              <w:right w:val="single" w:sz="4" w:space="0" w:color="D9D9D9" w:themeColor="background1" w:themeShade="D9"/>
            </w:tcBorders>
          </w:tcPr>
          <w:p w14:paraId="1EDA14CB" w14:textId="77777777" w:rsidR="00D64698" w:rsidRDefault="00D64698" w:rsidP="00AA73B4">
            <w:pPr>
              <w:pStyle w:val="Paragraph"/>
              <w:keepLines/>
              <w:spacing w:after="0"/>
              <w:ind w:left="308"/>
              <w:rPr>
                <w:bCs/>
              </w:rPr>
            </w:pPr>
            <w:r>
              <w:rPr>
                <w:bCs/>
              </w:rPr>
              <w:t>Supplementary compensation benefits</w:t>
            </w:r>
          </w:p>
        </w:tc>
        <w:tc>
          <w:tcPr>
            <w:tcW w:w="2480" w:type="dxa"/>
            <w:tcBorders>
              <w:top w:val="nil"/>
              <w:left w:val="nil"/>
              <w:bottom w:val="single" w:sz="8" w:space="0" w:color="D9D9D9"/>
              <w:right w:val="single" w:sz="8" w:space="0" w:color="D9D9D9"/>
            </w:tcBorders>
            <w:vAlign w:val="center"/>
          </w:tcPr>
          <w:p w14:paraId="2F5C616D" w14:textId="125C9D16" w:rsidR="00D64698" w:rsidRPr="00DE6EF7" w:rsidRDefault="00D64698" w:rsidP="00AA73B4">
            <w:pPr>
              <w:keepNext/>
              <w:keepLines/>
              <w:jc w:val="right"/>
            </w:pPr>
            <w:r>
              <w:rPr>
                <w:rFonts w:cs="Arial"/>
                <w:color w:val="000000"/>
                <w:szCs w:val="22"/>
              </w:rPr>
              <w:t>0.8</w:t>
            </w:r>
          </w:p>
        </w:tc>
        <w:tc>
          <w:tcPr>
            <w:tcW w:w="2481" w:type="dxa"/>
            <w:tcBorders>
              <w:top w:val="nil"/>
              <w:left w:val="nil"/>
              <w:bottom w:val="single" w:sz="8" w:space="0" w:color="D9D9D9"/>
              <w:right w:val="single" w:sz="8" w:space="0" w:color="D9D9D9"/>
            </w:tcBorders>
            <w:vAlign w:val="center"/>
          </w:tcPr>
          <w:p w14:paraId="0612567D" w14:textId="345D02FA" w:rsidR="00D64698" w:rsidRPr="00DE6EF7" w:rsidRDefault="00D64698" w:rsidP="00AA73B4">
            <w:pPr>
              <w:keepNext/>
              <w:keepLines/>
              <w:jc w:val="right"/>
            </w:pPr>
            <w:r>
              <w:rPr>
                <w:rFonts w:cs="Arial"/>
                <w:color w:val="000000"/>
                <w:szCs w:val="22"/>
              </w:rPr>
              <w:t>5</w:t>
            </w:r>
            <w:r w:rsidR="0023518D">
              <w:rPr>
                <w:rFonts w:cs="Arial"/>
                <w:color w:val="000000"/>
                <w:szCs w:val="22"/>
              </w:rPr>
              <w:t>.1</w:t>
            </w:r>
          </w:p>
        </w:tc>
      </w:tr>
      <w:tr w:rsidR="006A702A" w:rsidRPr="00BA600A" w14:paraId="4B22051B" w14:textId="77777777" w:rsidTr="00FB18E4">
        <w:trPr>
          <w:trHeight w:val="257"/>
        </w:trPr>
        <w:tc>
          <w:tcPr>
            <w:tcW w:w="4106" w:type="dxa"/>
            <w:tcBorders>
              <w:right w:val="single" w:sz="4" w:space="0" w:color="D9D9D9" w:themeColor="background1" w:themeShade="D9"/>
            </w:tcBorders>
            <w:shd w:val="clear" w:color="auto" w:fill="DAE3F8" w:themeFill="accent1" w:themeFillTint="33"/>
          </w:tcPr>
          <w:p w14:paraId="15532EDA" w14:textId="77777777" w:rsidR="006A702A" w:rsidRPr="00931974" w:rsidRDefault="006A702A" w:rsidP="00AA73B4">
            <w:pPr>
              <w:pStyle w:val="Paragraph"/>
              <w:keepLines/>
              <w:spacing w:after="0"/>
              <w:rPr>
                <w:b/>
              </w:rPr>
            </w:pPr>
            <w:r w:rsidRPr="00931974">
              <w:rPr>
                <w:b/>
              </w:rPr>
              <w:t>Indirect benefits</w:t>
            </w:r>
          </w:p>
        </w:tc>
        <w:tc>
          <w:tcPr>
            <w:tcW w:w="2480" w:type="dxa"/>
            <w:tcBorders>
              <w:top w:val="nil"/>
              <w:left w:val="nil"/>
              <w:bottom w:val="single" w:sz="8" w:space="0" w:color="D9D9D9"/>
              <w:right w:val="single" w:sz="8" w:space="0" w:color="D9D9D9"/>
            </w:tcBorders>
            <w:shd w:val="clear" w:color="auto" w:fill="DAE3F8" w:themeFill="accent1" w:themeFillTint="33"/>
            <w:vAlign w:val="center"/>
          </w:tcPr>
          <w:p w14:paraId="33390E61" w14:textId="6D8A6E0F" w:rsidR="006A702A" w:rsidRPr="00DE6EF7" w:rsidRDefault="006A702A" w:rsidP="00AA73B4">
            <w:pPr>
              <w:keepNext/>
              <w:keepLines/>
              <w:jc w:val="right"/>
              <w:rPr>
                <w:b/>
              </w:rPr>
            </w:pPr>
            <w:r>
              <w:rPr>
                <w:rFonts w:cs="Arial"/>
                <w:b/>
                <w:bCs/>
                <w:color w:val="000000"/>
                <w:szCs w:val="22"/>
              </w:rPr>
              <w:t>3.</w:t>
            </w:r>
            <w:r w:rsidR="0023518D">
              <w:rPr>
                <w:rFonts w:cs="Arial"/>
                <w:b/>
                <w:bCs/>
                <w:color w:val="000000"/>
                <w:szCs w:val="22"/>
              </w:rPr>
              <w:t>6</w:t>
            </w:r>
          </w:p>
        </w:tc>
        <w:tc>
          <w:tcPr>
            <w:tcW w:w="2481" w:type="dxa"/>
            <w:tcBorders>
              <w:top w:val="nil"/>
              <w:left w:val="nil"/>
              <w:bottom w:val="single" w:sz="8" w:space="0" w:color="D9D9D9"/>
              <w:right w:val="single" w:sz="8" w:space="0" w:color="D9D9D9"/>
            </w:tcBorders>
            <w:shd w:val="clear" w:color="auto" w:fill="DAE3F8" w:themeFill="accent1" w:themeFillTint="33"/>
            <w:vAlign w:val="center"/>
          </w:tcPr>
          <w:p w14:paraId="2EE96705" w14:textId="57F1B689" w:rsidR="006A702A" w:rsidRPr="00DE6EF7" w:rsidRDefault="0023518D" w:rsidP="00AA73B4">
            <w:pPr>
              <w:keepNext/>
              <w:keepLines/>
              <w:jc w:val="right"/>
              <w:rPr>
                <w:b/>
              </w:rPr>
            </w:pPr>
            <w:r>
              <w:rPr>
                <w:rFonts w:cs="Arial"/>
                <w:b/>
                <w:bCs/>
                <w:color w:val="000000"/>
                <w:szCs w:val="22"/>
              </w:rPr>
              <w:t>22.0</w:t>
            </w:r>
          </w:p>
        </w:tc>
      </w:tr>
      <w:tr w:rsidR="006A702A" w:rsidRPr="00BA600A" w14:paraId="77C19FF0" w14:textId="77777777">
        <w:trPr>
          <w:trHeight w:val="257"/>
        </w:trPr>
        <w:tc>
          <w:tcPr>
            <w:tcW w:w="4106" w:type="dxa"/>
            <w:tcBorders>
              <w:right w:val="single" w:sz="4" w:space="0" w:color="D9D9D9" w:themeColor="background1" w:themeShade="D9"/>
            </w:tcBorders>
          </w:tcPr>
          <w:p w14:paraId="732AB1ED" w14:textId="77777777" w:rsidR="006A702A" w:rsidRDefault="006A702A" w:rsidP="00AA73B4">
            <w:pPr>
              <w:pStyle w:val="Paragraph"/>
              <w:keepLines/>
              <w:spacing w:after="0"/>
              <w:ind w:left="308"/>
              <w:rPr>
                <w:bCs/>
              </w:rPr>
            </w:pPr>
            <w:r>
              <w:rPr>
                <w:bCs/>
              </w:rPr>
              <w:t>Productivity benefits</w:t>
            </w:r>
          </w:p>
        </w:tc>
        <w:tc>
          <w:tcPr>
            <w:tcW w:w="2480" w:type="dxa"/>
            <w:tcBorders>
              <w:top w:val="nil"/>
              <w:left w:val="nil"/>
              <w:bottom w:val="single" w:sz="8" w:space="0" w:color="D9D9D9"/>
              <w:right w:val="single" w:sz="8" w:space="0" w:color="D9D9D9"/>
            </w:tcBorders>
            <w:vAlign w:val="center"/>
          </w:tcPr>
          <w:p w14:paraId="47F8B820" w14:textId="1B9AE8F6" w:rsidR="006A702A" w:rsidRPr="00DE6EF7" w:rsidRDefault="006A702A" w:rsidP="00AA73B4">
            <w:pPr>
              <w:keepNext/>
              <w:keepLines/>
              <w:jc w:val="right"/>
            </w:pPr>
            <w:r>
              <w:rPr>
                <w:rFonts w:cs="Arial"/>
                <w:color w:val="000000"/>
                <w:szCs w:val="22"/>
              </w:rPr>
              <w:t>3.</w:t>
            </w:r>
            <w:r w:rsidR="0023518D">
              <w:rPr>
                <w:rFonts w:cs="Arial"/>
                <w:color w:val="000000"/>
                <w:szCs w:val="22"/>
              </w:rPr>
              <w:t>6</w:t>
            </w:r>
          </w:p>
        </w:tc>
        <w:tc>
          <w:tcPr>
            <w:tcW w:w="2481" w:type="dxa"/>
            <w:tcBorders>
              <w:top w:val="nil"/>
              <w:left w:val="nil"/>
              <w:bottom w:val="single" w:sz="8" w:space="0" w:color="D9D9D9"/>
              <w:right w:val="single" w:sz="8" w:space="0" w:color="D9D9D9"/>
            </w:tcBorders>
            <w:vAlign w:val="center"/>
          </w:tcPr>
          <w:p w14:paraId="2BBC742D" w14:textId="0E49A3FE" w:rsidR="006A702A" w:rsidRPr="00DE6EF7" w:rsidRDefault="0023518D" w:rsidP="00AA73B4">
            <w:pPr>
              <w:keepNext/>
              <w:keepLines/>
              <w:jc w:val="right"/>
            </w:pPr>
            <w:r>
              <w:rPr>
                <w:rFonts w:cs="Arial"/>
                <w:color w:val="000000"/>
                <w:szCs w:val="22"/>
              </w:rPr>
              <w:t>22.0</w:t>
            </w:r>
          </w:p>
        </w:tc>
      </w:tr>
      <w:tr w:rsidR="00695B16" w:rsidRPr="00BA600A" w14:paraId="219F81AB" w14:textId="77777777" w:rsidTr="00695B16">
        <w:trPr>
          <w:trHeight w:val="257"/>
        </w:trPr>
        <w:tc>
          <w:tcPr>
            <w:tcW w:w="4106" w:type="dxa"/>
            <w:tcBorders>
              <w:right w:val="single" w:sz="4" w:space="0" w:color="D9D9D9" w:themeColor="background1" w:themeShade="D9"/>
            </w:tcBorders>
            <w:shd w:val="clear" w:color="auto" w:fill="B5C8F2" w:themeFill="accent1" w:themeFillTint="66"/>
          </w:tcPr>
          <w:p w14:paraId="5A219FDD" w14:textId="77777777" w:rsidR="00695B16" w:rsidRPr="00FB18E4" w:rsidRDefault="00695B16" w:rsidP="0075452D">
            <w:pPr>
              <w:pStyle w:val="Paragraph"/>
              <w:keepNext w:val="0"/>
              <w:spacing w:after="0"/>
              <w:rPr>
                <w:rFonts w:cs="Arial"/>
                <w:b/>
              </w:rPr>
            </w:pPr>
            <w:r w:rsidRPr="00695B16">
              <w:rPr>
                <w:rFonts w:cs="Arial"/>
                <w:b/>
              </w:rPr>
              <w:t>Total financial benefits</w:t>
            </w:r>
          </w:p>
        </w:tc>
        <w:tc>
          <w:tcPr>
            <w:tcW w:w="2480" w:type="dxa"/>
            <w:tcBorders>
              <w:top w:val="nil"/>
              <w:left w:val="nil"/>
              <w:bottom w:val="nil"/>
              <w:right w:val="nil"/>
            </w:tcBorders>
            <w:shd w:val="clear" w:color="auto" w:fill="B5C8F2" w:themeFill="accent1" w:themeFillTint="66"/>
            <w:vAlign w:val="bottom"/>
          </w:tcPr>
          <w:p w14:paraId="56FECDDB" w14:textId="01B7731E" w:rsidR="00695B16" w:rsidRPr="00695B16" w:rsidRDefault="00695B16" w:rsidP="00AA73B4">
            <w:pPr>
              <w:keepNext/>
              <w:keepLines/>
              <w:jc w:val="right"/>
              <w:rPr>
                <w:rFonts w:cs="Arial"/>
                <w:b/>
              </w:rPr>
            </w:pPr>
            <w:r w:rsidRPr="00FB18E4">
              <w:rPr>
                <w:rFonts w:cs="Arial"/>
                <w:b/>
                <w:color w:val="000000"/>
                <w:szCs w:val="22"/>
              </w:rPr>
              <w:t>15.</w:t>
            </w:r>
            <w:r w:rsidR="0023518D">
              <w:rPr>
                <w:rFonts w:cs="Arial"/>
                <w:b/>
                <w:color w:val="000000"/>
                <w:szCs w:val="22"/>
              </w:rPr>
              <w:t>9</w:t>
            </w:r>
          </w:p>
        </w:tc>
        <w:tc>
          <w:tcPr>
            <w:tcW w:w="2481" w:type="dxa"/>
            <w:tcBorders>
              <w:top w:val="nil"/>
              <w:left w:val="nil"/>
              <w:bottom w:val="nil"/>
              <w:right w:val="nil"/>
            </w:tcBorders>
            <w:shd w:val="clear" w:color="auto" w:fill="B5C8F2" w:themeFill="accent1" w:themeFillTint="66"/>
            <w:vAlign w:val="bottom"/>
          </w:tcPr>
          <w:p w14:paraId="082C2BF8" w14:textId="4DC48628" w:rsidR="00695B16" w:rsidRPr="00695B16" w:rsidRDefault="0023518D" w:rsidP="00AA73B4">
            <w:pPr>
              <w:keepNext/>
              <w:keepLines/>
              <w:jc w:val="right"/>
              <w:rPr>
                <w:rFonts w:cs="Arial"/>
                <w:b/>
              </w:rPr>
            </w:pPr>
            <w:r>
              <w:rPr>
                <w:rFonts w:cs="Arial"/>
                <w:b/>
                <w:color w:val="000000"/>
                <w:szCs w:val="22"/>
              </w:rPr>
              <w:t>98.0</w:t>
            </w:r>
          </w:p>
        </w:tc>
      </w:tr>
    </w:tbl>
    <w:p w14:paraId="2FA0750C" w14:textId="77777777" w:rsidR="00183D60" w:rsidRPr="00183D60" w:rsidRDefault="000229E6" w:rsidP="00183D60">
      <w:pPr>
        <w:pStyle w:val="SWAHeading5"/>
        <w:keepNext/>
      </w:pPr>
      <w:r w:rsidRPr="00183D60">
        <w:t>Reduced costs associated with potential worker compensation claims</w:t>
      </w:r>
      <w:r w:rsidRPr="00183D60">
        <w:rPr>
          <w:vertAlign w:val="superscript"/>
        </w:rPr>
        <w:footnoteReference w:id="255"/>
      </w:r>
    </w:p>
    <w:p w14:paraId="39B72002" w14:textId="77777777" w:rsidR="00183D60" w:rsidRPr="00183D60" w:rsidRDefault="00183D60" w:rsidP="0075452D">
      <w:pPr>
        <w:contextualSpacing w:val="0"/>
      </w:pPr>
      <w:r w:rsidRPr="00183D60">
        <w:t xml:space="preserve">Workers who develop an occupational disease or illness because of exposures to RCS are able to seek workers’ compensation if the occupational disease or illness can be linked to the workplace. Workers’ compensation will help workers focus on getting better and access rehabilitation services, without worrying about associated costs. </w:t>
      </w:r>
    </w:p>
    <w:p w14:paraId="4153AD9D" w14:textId="3D5796AC" w:rsidR="00183D60" w:rsidRPr="00183D60" w:rsidRDefault="00183D60" w:rsidP="0075452D">
      <w:pPr>
        <w:contextualSpacing w:val="0"/>
      </w:pPr>
      <w:r w:rsidRPr="00183D60">
        <w:t xml:space="preserve">RCS is listed on Safe Work Australia’s List of Deemed Diseases as a cause for lung cancer and silicosis </w:t>
      </w:r>
      <w:sdt>
        <w:sdtPr>
          <w:id w:val="-775102445"/>
          <w:citation/>
        </w:sdtPr>
        <w:sdtEndPr/>
        <w:sdtContent>
          <w:r w:rsidRPr="00183D60">
            <w:fldChar w:fldCharType="begin"/>
          </w:r>
          <w:r w:rsidRPr="00183D60">
            <w:instrText xml:space="preserve"> CITATION Saf24 \l 3081 </w:instrText>
          </w:r>
          <w:r w:rsidRPr="00183D60">
            <w:fldChar w:fldCharType="separate"/>
          </w:r>
          <w:r w:rsidR="00490B21">
            <w:rPr>
              <w:noProof/>
            </w:rPr>
            <w:t>(Safe Work Australia, 2024)</w:t>
          </w:r>
          <w:r w:rsidRPr="00183D60">
            <w:fldChar w:fldCharType="end"/>
          </w:r>
        </w:sdtContent>
      </w:sdt>
      <w:r w:rsidRPr="00183D60">
        <w:t>. Deemed diseases are conditions that are highly likely to be caused by work, based on scientific evidence. For workers’ compensation purposes, a worker with a relevant work-related exposure is assumed to have developed a deemed disease from their work, unless there is strong evidence to the contrary.</w:t>
      </w:r>
    </w:p>
    <w:p w14:paraId="66156D2E" w14:textId="23178971" w:rsidR="00183D60" w:rsidRDefault="00183D60" w:rsidP="0075452D">
      <w:pPr>
        <w:contextualSpacing w:val="0"/>
      </w:pPr>
      <w:r w:rsidRPr="00183D60">
        <w:t xml:space="preserve">A reduction in workers developing fibrosis, silicosis and lung cancer from work-related exposures to RCS can help businesses </w:t>
      </w:r>
      <w:r w:rsidR="001F6AF0">
        <w:t xml:space="preserve">directly </w:t>
      </w:r>
      <w:r w:rsidRPr="00183D60">
        <w:t>avoid the cost of potential worker compensation claims</w:t>
      </w:r>
      <w:r w:rsidR="00035E8D">
        <w:t xml:space="preserve"> </w:t>
      </w:r>
      <w:r w:rsidR="00035E8D" w:rsidRPr="00035E8D">
        <w:t>through increased premiums</w:t>
      </w:r>
      <w:r w:rsidRPr="00183D60">
        <w:t>.</w:t>
      </w:r>
    </w:p>
    <w:p w14:paraId="3AD5C905" w14:textId="77777777" w:rsidR="000229E6" w:rsidRPr="000229E6" w:rsidRDefault="000229E6" w:rsidP="0075452D">
      <w:pPr>
        <w:pStyle w:val="SWAHeading5"/>
        <w:keepNext/>
      </w:pPr>
      <w:r w:rsidRPr="000229E6">
        <w:t>Increased productivity</w:t>
      </w:r>
    </w:p>
    <w:p w14:paraId="368DA28D" w14:textId="77A30785" w:rsidR="000229E6" w:rsidRPr="000229E6" w:rsidRDefault="00B0647C" w:rsidP="0075452D">
      <w:pPr>
        <w:keepNext/>
        <w:contextualSpacing w:val="0"/>
      </w:pPr>
      <w:r>
        <w:t xml:space="preserve">The indirect benefit of </w:t>
      </w:r>
      <w:r w:rsidR="000229E6" w:rsidRPr="000229E6">
        <w:t>increased productivity from a reduction in absenteeism and presenteeism amongst the workforce who are exposed to RCS</w:t>
      </w:r>
      <w:r w:rsidR="00096A2B">
        <w:t xml:space="preserve"> was also raised by stakeholders in the 2024 public consultation</w:t>
      </w:r>
      <w:r w:rsidR="000229E6" w:rsidRPr="000229E6">
        <w:rPr>
          <w:vertAlign w:val="superscript"/>
        </w:rPr>
        <w:footnoteReference w:id="256"/>
      </w:r>
      <w:r w:rsidR="000229E6" w:rsidRPr="000229E6">
        <w:t>. The proposed WEL is expected to reduce the number of workers developing adverse health effects like fibrosis, silicosis and lung cancer</w:t>
      </w:r>
      <w:r w:rsidR="00183D60">
        <w:t xml:space="preserve">, resulting in less workers needing </w:t>
      </w:r>
      <w:r w:rsidR="000229E6" w:rsidRPr="000229E6">
        <w:t>to take time off to seek medical care or treatment.</w:t>
      </w:r>
    </w:p>
    <w:p w14:paraId="6772ECEA" w14:textId="44646450" w:rsidR="000229E6" w:rsidRPr="0075452D" w:rsidRDefault="000229E6" w:rsidP="000229E6">
      <w:pPr>
        <w:contextualSpacing w:val="0"/>
      </w:pPr>
      <w:r w:rsidRPr="000229E6">
        <w:t xml:space="preserve">A Canadian study found that of 650 patients with fibrotic interstitial lung diseases, only 148 were employed. In this cohort, 55 per cent experienced an average productivity loss of approximately 7.8 hours per week, with 2.3 hours per week due to absenteeism and 5.5 hours per week due to presenteeism. In 2017, this equated to an annual $11,610 (Canadian dollars) loss in productivity per employed patient </w:t>
      </w:r>
      <w:sdt>
        <w:sdtPr>
          <w:id w:val="-1077282089"/>
          <w:citation/>
        </w:sdtPr>
        <w:sdtEndPr/>
        <w:sdtContent>
          <w:r w:rsidRPr="000229E6">
            <w:fldChar w:fldCharType="begin"/>
          </w:r>
          <w:r w:rsidRPr="000229E6">
            <w:instrText xml:space="preserve"> CITATION Alg19 \l 3081 </w:instrText>
          </w:r>
          <w:r w:rsidRPr="000229E6">
            <w:fldChar w:fldCharType="separate"/>
          </w:r>
          <w:r w:rsidR="00490B21">
            <w:rPr>
              <w:noProof/>
            </w:rPr>
            <w:t>(Algamdi, et al., 2019)</w:t>
          </w:r>
          <w:r w:rsidRPr="000229E6">
            <w:fldChar w:fldCharType="end"/>
          </w:r>
        </w:sdtContent>
      </w:sdt>
      <w:r w:rsidRPr="000229E6">
        <w:t>.</w:t>
      </w:r>
    </w:p>
    <w:p w14:paraId="78298AD2" w14:textId="1E25CFBE" w:rsidR="00474E30" w:rsidRPr="00986995" w:rsidRDefault="00900BBD" w:rsidP="00B64384">
      <w:pPr>
        <w:pStyle w:val="SWAHeading4"/>
        <w:keepNext/>
      </w:pPr>
      <w:r>
        <w:lastRenderedPageBreak/>
        <w:t>Non-</w:t>
      </w:r>
      <w:r w:rsidR="00474E30" w:rsidRPr="00986995">
        <w:t>quantifi</w:t>
      </w:r>
      <w:r w:rsidR="00E920DE">
        <w:t>able</w:t>
      </w:r>
      <w:r w:rsidR="00474E30" w:rsidRPr="00986995">
        <w:t xml:space="preserve"> financial benefits of the proposed WEL for </w:t>
      </w:r>
      <w:r w:rsidR="00727A4C">
        <w:t>RCS</w:t>
      </w:r>
    </w:p>
    <w:p w14:paraId="6CBFA282" w14:textId="0422DAC9" w:rsidR="00474E30" w:rsidRPr="00986995" w:rsidRDefault="007E192D" w:rsidP="00B64384">
      <w:pPr>
        <w:pStyle w:val="Paragraph"/>
      </w:pPr>
      <w:r>
        <w:t>A</w:t>
      </w:r>
      <w:r w:rsidR="00474E30" w:rsidRPr="00986995">
        <w:t xml:space="preserve">dditional financial benefits of the proposed WEL for </w:t>
      </w:r>
      <w:r w:rsidR="00727A4C">
        <w:t>RCS</w:t>
      </w:r>
      <w:r>
        <w:t>, such as the reduced impacts on support networks for individuals experiencing occupational disease,</w:t>
      </w:r>
      <w:r w:rsidR="00474E30" w:rsidRPr="00986995">
        <w:t xml:space="preserve"> were not able to be quantified in this analysis due to a lack of data. However, this does not indicate an absence of these financial benefits</w:t>
      </w:r>
      <w:r w:rsidR="00695A03">
        <w:t xml:space="preserve">. </w:t>
      </w:r>
      <w:r w:rsidR="002B00E5">
        <w:t>As such, t</w:t>
      </w:r>
      <w:r w:rsidR="005932CD" w:rsidRPr="005932CD">
        <w:t xml:space="preserve">he actual benefits of the proposed WEL for RCS </w:t>
      </w:r>
      <w:r w:rsidR="001509C3">
        <w:t>is likely to be</w:t>
      </w:r>
      <w:r w:rsidR="005932CD" w:rsidRPr="005932CD">
        <w:t xml:space="preserve"> greater than those </w:t>
      </w:r>
      <w:r w:rsidR="000012DB">
        <w:t>estimated</w:t>
      </w:r>
      <w:r w:rsidR="005932CD" w:rsidRPr="005932CD">
        <w:t xml:space="preserve"> in </w:t>
      </w:r>
      <w:r w:rsidR="002B00E5">
        <w:fldChar w:fldCharType="begin"/>
      </w:r>
      <w:r w:rsidR="002B00E5">
        <w:instrText xml:space="preserve"> REF _Ref216769628 \h </w:instrText>
      </w:r>
      <w:r w:rsidR="002B00E5">
        <w:fldChar w:fldCharType="separate"/>
      </w:r>
      <w:r w:rsidR="00A002F4">
        <w:t xml:space="preserve">Table </w:t>
      </w:r>
      <w:r w:rsidR="00A002F4">
        <w:rPr>
          <w:noProof/>
        </w:rPr>
        <w:t>34</w:t>
      </w:r>
      <w:r w:rsidR="002B00E5">
        <w:fldChar w:fldCharType="end"/>
      </w:r>
      <w:r w:rsidR="002B00E5">
        <w:t xml:space="preserve"> to </w:t>
      </w:r>
      <w:r w:rsidR="002B00E5">
        <w:fldChar w:fldCharType="begin"/>
      </w:r>
      <w:r w:rsidR="002B00E5">
        <w:instrText xml:space="preserve"> REF _Ref216769749 \h </w:instrText>
      </w:r>
      <w:r w:rsidR="002B00E5">
        <w:fldChar w:fldCharType="separate"/>
      </w:r>
      <w:r w:rsidR="00A002F4">
        <w:t xml:space="preserve">Table </w:t>
      </w:r>
      <w:r w:rsidR="00A002F4">
        <w:rPr>
          <w:noProof/>
        </w:rPr>
        <w:t>37</w:t>
      </w:r>
      <w:r w:rsidR="002B00E5">
        <w:fldChar w:fldCharType="end"/>
      </w:r>
      <w:r w:rsidR="002B00E5">
        <w:t xml:space="preserve"> </w:t>
      </w:r>
      <w:r w:rsidR="005932CD" w:rsidRPr="005932CD">
        <w:t>when these non-quantifiable financial benefit</w:t>
      </w:r>
      <w:r>
        <w:t>s</w:t>
      </w:r>
      <w:r w:rsidR="00CC4C25">
        <w:t xml:space="preserve"> </w:t>
      </w:r>
      <w:r>
        <w:t xml:space="preserve">are </w:t>
      </w:r>
      <w:r w:rsidR="005932CD" w:rsidRPr="005932CD">
        <w:t xml:space="preserve">considered. </w:t>
      </w:r>
      <w:r w:rsidR="001509C3">
        <w:t xml:space="preserve">It is also expected that </w:t>
      </w:r>
      <w:r>
        <w:t>these</w:t>
      </w:r>
      <w:r w:rsidR="001509C3">
        <w:t xml:space="preserve"> </w:t>
      </w:r>
      <w:r w:rsidR="00900BBD">
        <w:t>non-</w:t>
      </w:r>
      <w:r w:rsidR="00474E30" w:rsidRPr="00986995">
        <w:t>quantifi</w:t>
      </w:r>
      <w:r w:rsidR="00900BBD">
        <w:t>able</w:t>
      </w:r>
      <w:r w:rsidR="00474E30" w:rsidRPr="00986995">
        <w:t xml:space="preserve"> financial benefits</w:t>
      </w:r>
      <w:r w:rsidR="001509C3">
        <w:t xml:space="preserve"> would be realised beyond the 10-year period that this analysis is based on. </w:t>
      </w:r>
    </w:p>
    <w:p w14:paraId="556C1F29" w14:textId="71BB8DD1" w:rsidR="00D01A86" w:rsidRPr="00494775" w:rsidRDefault="00D01A86" w:rsidP="00946576">
      <w:pPr>
        <w:pStyle w:val="SWAHeading5"/>
      </w:pPr>
      <w:r>
        <w:t>Reduction of cost to governments</w:t>
      </w:r>
      <w:r w:rsidR="00691A9B">
        <w:rPr>
          <w:rStyle w:val="FootnoteReference"/>
        </w:rPr>
        <w:footnoteReference w:id="257"/>
      </w:r>
    </w:p>
    <w:p w14:paraId="6D1BE550" w14:textId="39979953" w:rsidR="004D2909" w:rsidRDefault="00877644" w:rsidP="008D68CA">
      <w:pPr>
        <w:contextualSpacing w:val="0"/>
      </w:pPr>
      <w:r w:rsidRPr="00877644">
        <w:t xml:space="preserve">The Australian Institute of Health and Welfare </w:t>
      </w:r>
      <w:r w:rsidR="00845AC9">
        <w:t>reported</w:t>
      </w:r>
      <w:r w:rsidRPr="00877644">
        <w:t xml:space="preserve"> </w:t>
      </w:r>
      <w:r w:rsidR="00DD576C">
        <w:t xml:space="preserve">the </w:t>
      </w:r>
      <w:r w:rsidR="004D1F6D">
        <w:t xml:space="preserve">Australian </w:t>
      </w:r>
      <w:r w:rsidRPr="00877644">
        <w:t xml:space="preserve">health system </w:t>
      </w:r>
      <w:r w:rsidR="00ED1D01">
        <w:t>spent $1</w:t>
      </w:r>
      <w:r w:rsidR="00AA4E8D">
        <w:t>.</w:t>
      </w:r>
      <w:r w:rsidR="000012DB">
        <w:t xml:space="preserve">87 </w:t>
      </w:r>
      <w:r w:rsidR="00D412FE">
        <w:t>billion</w:t>
      </w:r>
      <w:r w:rsidR="004D1F6D">
        <w:t xml:space="preserve"> for lung cancer</w:t>
      </w:r>
      <w:r w:rsidR="00D412FE">
        <w:t xml:space="preserve"> </w:t>
      </w:r>
      <w:r w:rsidR="00AA4E8D">
        <w:t xml:space="preserve">and </w:t>
      </w:r>
      <w:r w:rsidR="00ED1D01">
        <w:t>$</w:t>
      </w:r>
      <w:r w:rsidR="00D6605B">
        <w:t>809,000</w:t>
      </w:r>
      <w:r w:rsidR="00ED1D01">
        <w:t xml:space="preserve"> </w:t>
      </w:r>
      <w:r w:rsidRPr="00877644">
        <w:t xml:space="preserve">for </w:t>
      </w:r>
      <w:r w:rsidR="00297AF5">
        <w:t xml:space="preserve">silicosis </w:t>
      </w:r>
      <w:r w:rsidRPr="00877644">
        <w:t xml:space="preserve">in </w:t>
      </w:r>
      <w:r w:rsidR="0021571F" w:rsidRPr="00877644">
        <w:t>202</w:t>
      </w:r>
      <w:r w:rsidR="0021571F">
        <w:t>3</w:t>
      </w:r>
      <w:r w:rsidRPr="00877644">
        <w:t>–</w:t>
      </w:r>
      <w:r w:rsidR="0021571F" w:rsidRPr="00877644">
        <w:t>2</w:t>
      </w:r>
      <w:r w:rsidR="0021571F">
        <w:t xml:space="preserve">4 </w:t>
      </w:r>
      <w:sdt>
        <w:sdtPr>
          <w:id w:val="-1552840314"/>
          <w:citation/>
        </w:sdtPr>
        <w:sdtEndPr/>
        <w:sdtContent>
          <w:r w:rsidRPr="00877644">
            <w:fldChar w:fldCharType="begin"/>
          </w:r>
          <w:r w:rsidR="00CE68FD">
            <w:instrText xml:space="preserve">CITATION Aus24 \l 3081 </w:instrText>
          </w:r>
          <w:r w:rsidRPr="00877644">
            <w:fldChar w:fldCharType="separate"/>
          </w:r>
          <w:r w:rsidR="00490B21">
            <w:rPr>
              <w:noProof/>
            </w:rPr>
            <w:t>(Australian Institute of Health and Welfare, 2025)</w:t>
          </w:r>
          <w:r w:rsidRPr="00877644">
            <w:fldChar w:fldCharType="end"/>
          </w:r>
        </w:sdtContent>
      </w:sdt>
      <w:r w:rsidRPr="00877644">
        <w:t>.</w:t>
      </w:r>
      <w:r w:rsidR="00400904">
        <w:t xml:space="preserve"> </w:t>
      </w:r>
      <w:r w:rsidR="00CE57D0">
        <w:t>In addition, $2.</w:t>
      </w:r>
      <w:r w:rsidR="001C13AD">
        <w:t xml:space="preserve">96 </w:t>
      </w:r>
      <w:r w:rsidR="00CE57D0">
        <w:t xml:space="preserve">billion was spent on chronic kidney disease </w:t>
      </w:r>
      <w:r w:rsidR="00AA4E8D">
        <w:t>and $</w:t>
      </w:r>
      <w:r w:rsidR="00864C68">
        <w:t>1.75</w:t>
      </w:r>
      <w:r w:rsidR="00AA4E8D">
        <w:t xml:space="preserve"> billion was spent on COPD</w:t>
      </w:r>
      <w:r w:rsidR="00CE57D0">
        <w:t xml:space="preserve"> </w:t>
      </w:r>
      <w:r w:rsidR="00C25542">
        <w:t xml:space="preserve">in the Australian health system in </w:t>
      </w:r>
      <w:r w:rsidR="00E80492">
        <w:t>the same financial year</w:t>
      </w:r>
      <w:r w:rsidR="00571B77">
        <w:t xml:space="preserve"> </w:t>
      </w:r>
      <w:sdt>
        <w:sdtPr>
          <w:id w:val="-2053838585"/>
          <w:citation/>
        </w:sdtPr>
        <w:sdtEndPr/>
        <w:sdtContent>
          <w:r w:rsidR="00E2290E">
            <w:fldChar w:fldCharType="begin"/>
          </w:r>
          <w:r w:rsidR="00E2290E">
            <w:instrText xml:space="preserve"> CITATION Aus24 \l 3081 </w:instrText>
          </w:r>
          <w:r w:rsidR="00E2290E">
            <w:fldChar w:fldCharType="separate"/>
          </w:r>
          <w:r w:rsidR="00490B21">
            <w:rPr>
              <w:noProof/>
            </w:rPr>
            <w:t>(Australian Institute of Health and Welfare, 2025)</w:t>
          </w:r>
          <w:r w:rsidR="00E2290E">
            <w:fldChar w:fldCharType="end"/>
          </w:r>
        </w:sdtContent>
      </w:sdt>
      <w:r w:rsidR="00C25542">
        <w:t xml:space="preserve">. </w:t>
      </w:r>
    </w:p>
    <w:p w14:paraId="7A9E199B" w14:textId="3A70B232" w:rsidR="00877644" w:rsidRDefault="00886E4B" w:rsidP="008D68CA">
      <w:pPr>
        <w:contextualSpacing w:val="0"/>
      </w:pPr>
      <w:r>
        <w:t>A</w:t>
      </w:r>
      <w:r w:rsidR="00877644" w:rsidRPr="00877644">
        <w:t>ny reduction in work</w:t>
      </w:r>
      <w:r w:rsidR="0069565E">
        <w:t>-related RCS</w:t>
      </w:r>
      <w:r w:rsidR="00877644" w:rsidRPr="00877644">
        <w:t xml:space="preserve"> exposure could potentially contribute towards a reduction in </w:t>
      </w:r>
      <w:r w:rsidR="00A46556">
        <w:t xml:space="preserve">workers developing </w:t>
      </w:r>
      <w:r w:rsidR="0069565E">
        <w:t>silicosis, lung cancer, COPD and chronic kidney diseases</w:t>
      </w:r>
      <w:r w:rsidR="00877644" w:rsidRPr="00877644">
        <w:t xml:space="preserve">, thus reducing the number of workers seeking treatment or care </w:t>
      </w:r>
      <w:r w:rsidR="00A46556">
        <w:t>for these adverse health effects</w:t>
      </w:r>
      <w:r w:rsidR="008D68CA">
        <w:t xml:space="preserve">, reducing cost to </w:t>
      </w:r>
      <w:r w:rsidR="00065A87">
        <w:t xml:space="preserve">healthcare system and the </w:t>
      </w:r>
      <w:r w:rsidR="008D68CA">
        <w:t>government</w:t>
      </w:r>
      <w:r w:rsidR="00877644" w:rsidRPr="00877644">
        <w:t xml:space="preserve">. </w:t>
      </w:r>
    </w:p>
    <w:p w14:paraId="51478423" w14:textId="5471F019" w:rsidR="00AA037C" w:rsidRPr="00AA037C" w:rsidRDefault="00E278DB" w:rsidP="00AA037C">
      <w:pPr>
        <w:contextualSpacing w:val="0"/>
      </w:pPr>
      <w:r>
        <w:t>T</w:t>
      </w:r>
      <w:r w:rsidR="00AA037C" w:rsidRPr="00AA037C">
        <w:t>he AIHW</w:t>
      </w:r>
      <w:r>
        <w:t>’s</w:t>
      </w:r>
      <w:r w:rsidR="00AA037C" w:rsidRPr="00AA037C">
        <w:t xml:space="preserve"> Burden of Disease Study, 2024 indicates that </w:t>
      </w:r>
      <w:r w:rsidR="00FE0362">
        <w:t xml:space="preserve">5.4% of lung cancer and </w:t>
      </w:r>
      <w:r w:rsidR="00AA037C">
        <w:t>100</w:t>
      </w:r>
      <w:r w:rsidR="00AA037C" w:rsidRPr="00AA037C">
        <w:t xml:space="preserve">% of </w:t>
      </w:r>
      <w:r w:rsidR="00AA037C">
        <w:t>silicosis</w:t>
      </w:r>
      <w:r w:rsidR="00AA037C" w:rsidRPr="00AA037C">
        <w:t xml:space="preserve"> total burden was attributed to occupational exposure and hazards</w:t>
      </w:r>
      <w:r w:rsidR="00E2290E">
        <w:t xml:space="preserve"> </w:t>
      </w:r>
      <w:sdt>
        <w:sdtPr>
          <w:id w:val="836034481"/>
          <w:citation/>
        </w:sdtPr>
        <w:sdtEndPr/>
        <w:sdtContent>
          <w:r w:rsidR="008329E6">
            <w:fldChar w:fldCharType="begin"/>
          </w:r>
          <w:r w:rsidR="008329E6">
            <w:instrText xml:space="preserve"> CITATION ABOD246 \l 3081 </w:instrText>
          </w:r>
          <w:r w:rsidR="008329E6">
            <w:fldChar w:fldCharType="separate"/>
          </w:r>
          <w:r w:rsidR="00490B21">
            <w:rPr>
              <w:noProof/>
            </w:rPr>
            <w:t>(Australian Insitute of Health and Welfare, 2024)</w:t>
          </w:r>
          <w:r w:rsidR="008329E6">
            <w:fldChar w:fldCharType="end"/>
          </w:r>
        </w:sdtContent>
      </w:sdt>
      <w:r w:rsidR="00AA037C" w:rsidRPr="00AA037C">
        <w:t xml:space="preserve">. </w:t>
      </w:r>
      <w:r>
        <w:t>R</w:t>
      </w:r>
      <w:r w:rsidR="00AA037C" w:rsidRPr="00AA037C">
        <w:t xml:space="preserve">educing </w:t>
      </w:r>
      <w:r w:rsidR="00FE0362">
        <w:t>lung cancer and silicosis</w:t>
      </w:r>
      <w:r w:rsidR="00AA037C" w:rsidRPr="00AA037C">
        <w:t xml:space="preserve"> caused by occupational exposure by implementing the proposed WEL </w:t>
      </w:r>
      <w:r w:rsidR="00175FB6">
        <w:t xml:space="preserve">for RCS </w:t>
      </w:r>
      <w:r w:rsidR="00AA037C" w:rsidRPr="00AA037C">
        <w:t>to</w:t>
      </w:r>
      <w:r w:rsidR="00175FB6">
        <w:t xml:space="preserve"> help</w:t>
      </w:r>
      <w:r w:rsidR="00AA037C" w:rsidRPr="00AA037C">
        <w:t xml:space="preserve"> reduce workers from developing </w:t>
      </w:r>
      <w:r w:rsidR="00175FB6">
        <w:t>lung cancer and silicosis</w:t>
      </w:r>
      <w:r w:rsidR="00065A87">
        <w:t>,</w:t>
      </w:r>
      <w:r w:rsidR="00175FB6">
        <w:t xml:space="preserve"> </w:t>
      </w:r>
      <w:r>
        <w:t xml:space="preserve">is estimated </w:t>
      </w:r>
      <w:r w:rsidR="00873854">
        <w:t xml:space="preserve">to contribute </w:t>
      </w:r>
      <w:r w:rsidR="0056112B">
        <w:t>up to</w:t>
      </w:r>
      <w:r w:rsidR="00AA037C" w:rsidRPr="00AA037C">
        <w:t xml:space="preserve"> $</w:t>
      </w:r>
      <w:r w:rsidR="00175FB6">
        <w:t>102</w:t>
      </w:r>
      <w:r w:rsidR="00AA037C" w:rsidRPr="00AA037C">
        <w:t xml:space="preserve"> million in savings to the </w:t>
      </w:r>
      <w:r w:rsidR="00873854">
        <w:t xml:space="preserve">health system and </w:t>
      </w:r>
      <w:r w:rsidR="00AA037C" w:rsidRPr="00AA037C">
        <w:t>government</w:t>
      </w:r>
      <w:r w:rsidR="00873854">
        <w:t xml:space="preserve"> per year</w:t>
      </w:r>
      <w:r w:rsidR="00AA037C" w:rsidRPr="00AA037C">
        <w:t>.</w:t>
      </w:r>
    </w:p>
    <w:p w14:paraId="5E1AD5E1" w14:textId="78C5017A" w:rsidR="00973628" w:rsidRDefault="00973628" w:rsidP="003D1D06">
      <w:pPr>
        <w:pStyle w:val="SWAHeading3"/>
        <w:keepNext/>
        <w:keepLines/>
      </w:pPr>
      <w:bookmarkStart w:id="516" w:name="_Toc196204822"/>
      <w:r>
        <w:t>Additional benefits to the proposed WEL for RCS</w:t>
      </w:r>
      <w:bookmarkEnd w:id="516"/>
    </w:p>
    <w:p w14:paraId="5DC3ACF3" w14:textId="495D0BC4" w:rsidR="003164BE" w:rsidRPr="009911EB" w:rsidRDefault="003164BE" w:rsidP="003D1D06">
      <w:pPr>
        <w:keepNext/>
        <w:keepLines/>
        <w:spacing w:after="200" w:line="240" w:lineRule="atLeast"/>
        <w:contextualSpacing w:val="0"/>
        <w:rPr>
          <w:rFonts w:eastAsia="Times New Roman"/>
        </w:rPr>
      </w:pPr>
      <w:r w:rsidRPr="009911EB">
        <w:rPr>
          <w:rFonts w:eastAsia="Times New Roman"/>
        </w:rPr>
        <w:t>Stakeholders</w:t>
      </w:r>
      <w:r>
        <w:rPr>
          <w:rFonts w:eastAsia="Times New Roman"/>
        </w:rPr>
        <w:t xml:space="preserve"> also</w:t>
      </w:r>
      <w:r w:rsidRPr="009911EB">
        <w:rPr>
          <w:rFonts w:eastAsia="Times New Roman"/>
        </w:rPr>
        <w:t xml:space="preserve"> identified that the proposed WEL for </w:t>
      </w:r>
      <w:r>
        <w:rPr>
          <w:rFonts w:eastAsia="Times New Roman"/>
        </w:rPr>
        <w:t>RCS</w:t>
      </w:r>
      <w:r w:rsidRPr="009911EB">
        <w:rPr>
          <w:rFonts w:eastAsia="Times New Roman"/>
        </w:rPr>
        <w:t xml:space="preserve"> would have the following </w:t>
      </w:r>
      <w:r>
        <w:rPr>
          <w:rFonts w:eastAsia="Times New Roman"/>
        </w:rPr>
        <w:t xml:space="preserve">qualitative </w:t>
      </w:r>
      <w:r w:rsidRPr="009911EB">
        <w:rPr>
          <w:rFonts w:eastAsia="Times New Roman"/>
        </w:rPr>
        <w:t>benefits</w:t>
      </w:r>
      <w:r>
        <w:rPr>
          <w:rFonts w:eastAsia="Times New Roman"/>
        </w:rPr>
        <w:t>.</w:t>
      </w:r>
      <w:r w:rsidR="003D1D06">
        <w:rPr>
          <w:rFonts w:eastAsia="Times New Roman"/>
        </w:rPr>
        <w:t xml:space="preserve"> </w:t>
      </w:r>
      <w:r w:rsidR="003D1D06" w:rsidRPr="003D1D06">
        <w:rPr>
          <w:rFonts w:eastAsia="Times New Roman"/>
        </w:rPr>
        <w:t>When considering these qualitative benefits, the actual benefits of the proposed WEL for RCS will be greater than what was able to be quantified in this Decision RIS (</w:t>
      </w:r>
      <w:r w:rsidR="00F6547C">
        <w:rPr>
          <w:rFonts w:eastAsia="Times New Roman"/>
        </w:rPr>
        <w:fldChar w:fldCharType="begin"/>
      </w:r>
      <w:r w:rsidR="00F6547C">
        <w:rPr>
          <w:rFonts w:eastAsia="Times New Roman"/>
        </w:rPr>
        <w:instrText xml:space="preserve"> REF _Ref216769628 \h </w:instrText>
      </w:r>
      <w:r w:rsidR="00F6547C">
        <w:rPr>
          <w:rFonts w:eastAsia="Times New Roman"/>
        </w:rPr>
      </w:r>
      <w:r w:rsidR="00F6547C">
        <w:rPr>
          <w:rFonts w:eastAsia="Times New Roman"/>
        </w:rPr>
        <w:fldChar w:fldCharType="separate"/>
      </w:r>
      <w:r w:rsidR="00A002F4">
        <w:t xml:space="preserve">Table </w:t>
      </w:r>
      <w:r w:rsidR="00A002F4">
        <w:rPr>
          <w:noProof/>
        </w:rPr>
        <w:t>34</w:t>
      </w:r>
      <w:r w:rsidR="00F6547C">
        <w:rPr>
          <w:rFonts w:eastAsia="Times New Roman"/>
        </w:rPr>
        <w:fldChar w:fldCharType="end"/>
      </w:r>
      <w:r w:rsidR="00F6547C">
        <w:rPr>
          <w:rFonts w:eastAsia="Times New Roman"/>
        </w:rPr>
        <w:t xml:space="preserve"> to </w:t>
      </w:r>
      <w:r w:rsidR="00F6547C">
        <w:rPr>
          <w:rFonts w:eastAsia="Times New Roman"/>
        </w:rPr>
        <w:fldChar w:fldCharType="begin"/>
      </w:r>
      <w:r w:rsidR="00F6547C">
        <w:rPr>
          <w:rFonts w:eastAsia="Times New Roman"/>
        </w:rPr>
        <w:instrText xml:space="preserve"> REF _Ref216769749 \h </w:instrText>
      </w:r>
      <w:r w:rsidR="00F6547C">
        <w:rPr>
          <w:rFonts w:eastAsia="Times New Roman"/>
        </w:rPr>
      </w:r>
      <w:r w:rsidR="00F6547C">
        <w:rPr>
          <w:rFonts w:eastAsia="Times New Roman"/>
        </w:rPr>
        <w:fldChar w:fldCharType="separate"/>
      </w:r>
      <w:r w:rsidR="00A002F4">
        <w:t xml:space="preserve">Table </w:t>
      </w:r>
      <w:r w:rsidR="00A002F4">
        <w:rPr>
          <w:noProof/>
        </w:rPr>
        <w:t>37</w:t>
      </w:r>
      <w:r w:rsidR="00F6547C">
        <w:rPr>
          <w:rFonts w:eastAsia="Times New Roman"/>
        </w:rPr>
        <w:fldChar w:fldCharType="end"/>
      </w:r>
      <w:r w:rsidR="003D1D06" w:rsidRPr="003D1D06">
        <w:rPr>
          <w:rFonts w:eastAsia="Times New Roman"/>
        </w:rPr>
        <w:t>)</w:t>
      </w:r>
      <w:r w:rsidR="00927E0F" w:rsidRPr="003D63C6">
        <w:rPr>
          <w:rFonts w:eastAsia="Times New Roman"/>
        </w:rPr>
        <w:t>.</w:t>
      </w:r>
    </w:p>
    <w:p w14:paraId="023BC619" w14:textId="70F279CB" w:rsidR="00F20FDB" w:rsidRDefault="00DA2BE0" w:rsidP="002D1BF0">
      <w:pPr>
        <w:pStyle w:val="SWAHeading4"/>
      </w:pPr>
      <w:r w:rsidRPr="00FB18E4">
        <w:t>Reduction in occupational hygiene costs</w:t>
      </w:r>
    </w:p>
    <w:p w14:paraId="02F6F917" w14:textId="34605178" w:rsidR="00B47BA1" w:rsidRPr="00FB18E4" w:rsidRDefault="003164BE" w:rsidP="002B5E71">
      <w:pPr>
        <w:pStyle w:val="Paragraph"/>
        <w:keepNext w:val="0"/>
        <w:spacing w:after="120"/>
      </w:pPr>
      <w:r>
        <w:t>A</w:t>
      </w:r>
      <w:r w:rsidR="00D7460A" w:rsidRPr="00FB18E4">
        <w:t xml:space="preserve"> stakeholder</w:t>
      </w:r>
      <w:r w:rsidR="008060AD">
        <w:t xml:space="preserve"> </w:t>
      </w:r>
      <w:r w:rsidR="00D7460A" w:rsidRPr="00FB18E4">
        <w:t xml:space="preserve">raised </w:t>
      </w:r>
      <w:r w:rsidR="00260BA9">
        <w:t>the proposed WEL</w:t>
      </w:r>
      <w:r w:rsidR="00D7460A" w:rsidRPr="00FB18E4">
        <w:t xml:space="preserve"> for RCS could lead to a reduction in costs for occupational hygiene services</w:t>
      </w:r>
      <w:r w:rsidR="00900BF7">
        <w:rPr>
          <w:rStyle w:val="FootnoteReference"/>
        </w:rPr>
        <w:footnoteReference w:id="258"/>
      </w:r>
      <w:r w:rsidR="00D7460A" w:rsidRPr="00FB18E4">
        <w:t xml:space="preserve">. </w:t>
      </w:r>
      <w:r w:rsidR="004E205D" w:rsidRPr="00FB18E4">
        <w:t xml:space="preserve">According to </w:t>
      </w:r>
      <w:r w:rsidR="002360EE">
        <w:t>this</w:t>
      </w:r>
      <w:r w:rsidR="004E205D" w:rsidRPr="00FB18E4">
        <w:t xml:space="preserve"> stakeholder, each</w:t>
      </w:r>
      <w:r w:rsidR="00D7460A" w:rsidRPr="00FB18E4">
        <w:t xml:space="preserve"> worker who develops silicosis is required to have a health management plan developed by an occupational hygienist and medical professionals.</w:t>
      </w:r>
      <w:r w:rsidR="004E205D" w:rsidRPr="00FB18E4">
        <w:t xml:space="preserve"> A</w:t>
      </w:r>
      <w:r w:rsidR="00D7460A" w:rsidRPr="00FB18E4">
        <w:t xml:space="preserve"> usual action out of the </w:t>
      </w:r>
      <w:r w:rsidR="004E205D" w:rsidRPr="00FB18E4">
        <w:t xml:space="preserve">health management </w:t>
      </w:r>
      <w:r w:rsidR="00D7460A" w:rsidRPr="00FB18E4">
        <w:t xml:space="preserve">plan is </w:t>
      </w:r>
      <w:r w:rsidR="00394C3D">
        <w:t xml:space="preserve">for the PCBU </w:t>
      </w:r>
      <w:r w:rsidR="00D7460A" w:rsidRPr="00FB18E4">
        <w:t>to undertake additional and frequent air monitoring</w:t>
      </w:r>
      <w:r w:rsidR="00394C3D">
        <w:t xml:space="preserve"> to ensure</w:t>
      </w:r>
      <w:r w:rsidR="00AB3DB4" w:rsidRPr="00FB18E4">
        <w:t xml:space="preserve"> the </w:t>
      </w:r>
      <w:r w:rsidR="00394C3D">
        <w:t xml:space="preserve">affected </w:t>
      </w:r>
      <w:r w:rsidR="00AB3DB4" w:rsidRPr="00FB18E4">
        <w:t>worker</w:t>
      </w:r>
      <w:r w:rsidR="00394C3D">
        <w:t xml:space="preserve"> </w:t>
      </w:r>
      <w:r w:rsidR="00AB3DB4" w:rsidRPr="00FB18E4">
        <w:t xml:space="preserve">is not further exposed to RCS (even at lower levels). </w:t>
      </w:r>
      <w:r w:rsidR="00B47BA1" w:rsidRPr="00FB18E4">
        <w:t xml:space="preserve">The stakeholder indicates that less workers with silicosis means less cost associated with this activity. </w:t>
      </w:r>
    </w:p>
    <w:p w14:paraId="1D7A136B" w14:textId="5C9052E4" w:rsidR="00F20FDB" w:rsidRDefault="00604336" w:rsidP="00E7252F">
      <w:pPr>
        <w:pStyle w:val="SWAHeading4"/>
        <w:keepNext/>
      </w:pPr>
      <w:r w:rsidRPr="00966E86">
        <w:t xml:space="preserve">Raises awareness about RCS and </w:t>
      </w:r>
      <w:r w:rsidR="00F20FDB">
        <w:t xml:space="preserve">the hazards </w:t>
      </w:r>
      <w:r w:rsidRPr="00966E86">
        <w:t xml:space="preserve">associated </w:t>
      </w:r>
      <w:r w:rsidR="00F20FDB">
        <w:t>with it</w:t>
      </w:r>
      <w:r w:rsidR="0075259E">
        <w:rPr>
          <w:rStyle w:val="FootnoteReference"/>
          <w:rFonts w:eastAsia="Arial"/>
        </w:rPr>
        <w:footnoteReference w:id="259"/>
      </w:r>
    </w:p>
    <w:p w14:paraId="0E00E369" w14:textId="0CBADBBD" w:rsidR="00C26D41" w:rsidRDefault="0080466A" w:rsidP="00E7252F">
      <w:pPr>
        <w:keepNext/>
        <w:spacing w:line="240" w:lineRule="atLeast"/>
        <w:contextualSpacing w:val="0"/>
        <w:rPr>
          <w:rFonts w:eastAsia="Arial" w:cs="Arial"/>
        </w:rPr>
      </w:pPr>
      <w:r>
        <w:rPr>
          <w:rFonts w:eastAsia="Arial" w:cs="Arial"/>
        </w:rPr>
        <w:t>S</w:t>
      </w:r>
      <w:r w:rsidR="00604336" w:rsidRPr="006549B3">
        <w:rPr>
          <w:rFonts w:eastAsia="Arial" w:cs="Arial"/>
        </w:rPr>
        <w:t xml:space="preserve">takeholder feedback noted that the proposed WEL </w:t>
      </w:r>
      <w:r>
        <w:rPr>
          <w:rFonts w:eastAsia="Arial" w:cs="Arial"/>
        </w:rPr>
        <w:t xml:space="preserve">for RCS </w:t>
      </w:r>
      <w:r w:rsidR="00604336" w:rsidRPr="006549B3">
        <w:rPr>
          <w:rFonts w:eastAsia="Arial" w:cs="Arial"/>
        </w:rPr>
        <w:t xml:space="preserve">would also lead to PCBUs and workers becoming more aware of the </w:t>
      </w:r>
      <w:r>
        <w:rPr>
          <w:rFonts w:eastAsia="Arial" w:cs="Arial"/>
        </w:rPr>
        <w:t xml:space="preserve">presence of RCS in their workplace and </w:t>
      </w:r>
      <w:r w:rsidR="001C7E9A">
        <w:rPr>
          <w:rFonts w:eastAsia="Arial" w:cs="Arial"/>
        </w:rPr>
        <w:t>occupational</w:t>
      </w:r>
      <w:r w:rsidR="00604336" w:rsidRPr="006549B3">
        <w:rPr>
          <w:rFonts w:eastAsia="Arial" w:cs="Arial"/>
        </w:rPr>
        <w:t xml:space="preserve"> </w:t>
      </w:r>
      <w:r w:rsidR="00604336" w:rsidRPr="006549B3">
        <w:rPr>
          <w:rFonts w:eastAsia="Arial" w:cs="Arial"/>
        </w:rPr>
        <w:lastRenderedPageBreak/>
        <w:t>diseases</w:t>
      </w:r>
      <w:r w:rsidR="001C7E9A">
        <w:rPr>
          <w:rFonts w:eastAsia="Arial" w:cs="Arial"/>
        </w:rPr>
        <w:t xml:space="preserve"> and illnesses</w:t>
      </w:r>
      <w:r w:rsidR="00604336" w:rsidRPr="006549B3">
        <w:rPr>
          <w:rFonts w:eastAsia="Arial" w:cs="Arial"/>
        </w:rPr>
        <w:t xml:space="preserve"> </w:t>
      </w:r>
      <w:r>
        <w:rPr>
          <w:rFonts w:eastAsia="Arial" w:cs="Arial"/>
        </w:rPr>
        <w:t>like fibrosis,</w:t>
      </w:r>
      <w:r w:rsidR="00604336" w:rsidRPr="006549B3">
        <w:rPr>
          <w:rFonts w:eastAsia="Arial" w:cs="Arial"/>
        </w:rPr>
        <w:t xml:space="preserve"> silicosis</w:t>
      </w:r>
      <w:r>
        <w:rPr>
          <w:rFonts w:eastAsia="Arial" w:cs="Arial"/>
        </w:rPr>
        <w:t xml:space="preserve"> and lung cancer</w:t>
      </w:r>
      <w:r w:rsidR="00604336" w:rsidRPr="006549B3">
        <w:rPr>
          <w:rFonts w:eastAsia="Arial" w:cs="Arial"/>
        </w:rPr>
        <w:t xml:space="preserve"> that can be caused by</w:t>
      </w:r>
      <w:r w:rsidR="001C7E9A">
        <w:rPr>
          <w:rFonts w:eastAsia="Arial" w:cs="Arial"/>
        </w:rPr>
        <w:t xml:space="preserve"> work-related exposures to</w:t>
      </w:r>
      <w:r w:rsidR="00604336" w:rsidRPr="006549B3">
        <w:rPr>
          <w:rFonts w:eastAsia="Arial" w:cs="Arial"/>
        </w:rPr>
        <w:t xml:space="preserve"> RCS. This would allow PCBUs and workers to actively contribute to making sure the workplace is safer and healthier</w:t>
      </w:r>
      <w:r w:rsidR="00F417D5">
        <w:rPr>
          <w:rFonts w:eastAsia="Arial" w:cs="Arial"/>
        </w:rPr>
        <w:t>,</w:t>
      </w:r>
      <w:r w:rsidR="00FE6DE7">
        <w:rPr>
          <w:rFonts w:eastAsia="Arial" w:cs="Arial"/>
        </w:rPr>
        <w:t xml:space="preserve"> </w:t>
      </w:r>
      <w:r w:rsidR="00FE6DE7" w:rsidRPr="0080466A">
        <w:rPr>
          <w:rFonts w:eastAsia="Arial" w:cs="Arial"/>
        </w:rPr>
        <w:t xml:space="preserve">especially in sectors which have high exposures to </w:t>
      </w:r>
      <w:r w:rsidR="00604336" w:rsidRPr="006549B3">
        <w:rPr>
          <w:rFonts w:eastAsia="Arial" w:cs="Arial"/>
        </w:rPr>
        <w:t>RCS.</w:t>
      </w:r>
      <w:r w:rsidR="00C26D41">
        <w:rPr>
          <w:rFonts w:eastAsia="Arial" w:cs="Arial"/>
        </w:rPr>
        <w:t xml:space="preserve"> </w:t>
      </w:r>
    </w:p>
    <w:p w14:paraId="7D9D025A" w14:textId="63CBA4D1" w:rsidR="00E939E2" w:rsidRDefault="00E939E2" w:rsidP="00C26D41">
      <w:pPr>
        <w:contextualSpacing w:val="0"/>
        <w:rPr>
          <w:rFonts w:eastAsia="Arial" w:cs="Arial"/>
        </w:rPr>
      </w:pPr>
      <w:r w:rsidRPr="00E939E2">
        <w:rPr>
          <w:rFonts w:eastAsia="Arial" w:cs="Arial"/>
        </w:rPr>
        <w:t xml:space="preserve">By raising awareness of the presence of hazards in the workplace and the risks associated with </w:t>
      </w:r>
      <w:r w:rsidR="001247ED">
        <w:rPr>
          <w:rFonts w:eastAsia="Arial" w:cs="Arial"/>
        </w:rPr>
        <w:t>them</w:t>
      </w:r>
      <w:r w:rsidRPr="00E939E2">
        <w:rPr>
          <w:rFonts w:eastAsia="Arial" w:cs="Arial"/>
        </w:rPr>
        <w:t xml:space="preserve">, workers have also been shown to make better and informed choices that allows them to take reasonable care for their own health and safety in the workplace, such as wearing PPE whilst working. </w:t>
      </w:r>
    </w:p>
    <w:p w14:paraId="19F1A384" w14:textId="77777777" w:rsidR="00346397" w:rsidRPr="00346397" w:rsidRDefault="00346397" w:rsidP="002D1BF0">
      <w:pPr>
        <w:pStyle w:val="SWAHeading4"/>
      </w:pPr>
      <w:r w:rsidRPr="00346397">
        <w:t>Healthier future workforce</w:t>
      </w:r>
    </w:p>
    <w:p w14:paraId="69F9EE42" w14:textId="7C50832F" w:rsidR="0075259E" w:rsidRPr="00E939E2" w:rsidRDefault="00346397" w:rsidP="002D1BF0">
      <w:pPr>
        <w:spacing w:before="120"/>
        <w:contextualSpacing w:val="0"/>
        <w:rPr>
          <w:rFonts w:eastAsia="Arial" w:cs="Arial"/>
        </w:rPr>
      </w:pPr>
      <w:r w:rsidRPr="00346397">
        <w:rPr>
          <w:rFonts w:eastAsia="Arial" w:cs="Arial"/>
        </w:rPr>
        <w:t xml:space="preserve">A submission from the university sector suggested that if exposure to </w:t>
      </w:r>
      <w:r>
        <w:rPr>
          <w:rFonts w:eastAsia="Arial" w:cs="Arial"/>
        </w:rPr>
        <w:t>RCS</w:t>
      </w:r>
      <w:r w:rsidRPr="00346397">
        <w:rPr>
          <w:rFonts w:eastAsia="Arial" w:cs="Arial"/>
        </w:rPr>
        <w:t xml:space="preserve"> is reduced to the proposed levels, future employers would benefit from having a healthier workforce when they hire students who are not “compromised” from exposures to </w:t>
      </w:r>
      <w:r>
        <w:rPr>
          <w:rFonts w:eastAsia="Arial" w:cs="Arial"/>
        </w:rPr>
        <w:t>RCS</w:t>
      </w:r>
      <w:r w:rsidR="00425D55">
        <w:rPr>
          <w:rStyle w:val="FootnoteReference"/>
          <w:rFonts w:eastAsia="Arial" w:cs="Arial"/>
        </w:rPr>
        <w:footnoteReference w:id="260"/>
      </w:r>
      <w:r w:rsidRPr="00346397">
        <w:rPr>
          <w:rFonts w:eastAsia="Arial" w:cs="Arial"/>
        </w:rPr>
        <w:t xml:space="preserve">. </w:t>
      </w:r>
    </w:p>
    <w:p w14:paraId="629BCC04" w14:textId="77A22973" w:rsidR="00680835" w:rsidRPr="00680835" w:rsidRDefault="009754F4" w:rsidP="003349CC">
      <w:pPr>
        <w:pStyle w:val="SWAHeading2"/>
        <w:keepNext/>
        <w:ind w:left="709"/>
      </w:pPr>
      <w:bookmarkStart w:id="517" w:name="_Toc196204823"/>
      <w:bookmarkStart w:id="518" w:name="_Toc219216919"/>
      <w:r>
        <w:t xml:space="preserve">Costs of the proposed WEL for </w:t>
      </w:r>
      <w:bookmarkEnd w:id="517"/>
      <w:r w:rsidR="0027234A">
        <w:t>respirable crystalline silica</w:t>
      </w:r>
      <w:bookmarkEnd w:id="518"/>
    </w:p>
    <w:p w14:paraId="1093AC89" w14:textId="4768F9C3" w:rsidR="00597C16" w:rsidRDefault="004A42E0" w:rsidP="003349CC">
      <w:pPr>
        <w:keepNext/>
        <w:contextualSpacing w:val="0"/>
      </w:pPr>
      <w:r>
        <w:t xml:space="preserve">Costs to comply with the </w:t>
      </w:r>
      <w:r w:rsidRPr="006A0158">
        <w:t xml:space="preserve">proposed WEL for </w:t>
      </w:r>
      <w:r>
        <w:t>RCS</w:t>
      </w:r>
      <w:r w:rsidRPr="006A0158">
        <w:t xml:space="preserve"> </w:t>
      </w:r>
      <w:r>
        <w:t xml:space="preserve">were estimated and are outlined below. These </w:t>
      </w:r>
      <w:r w:rsidRPr="006A0158">
        <w:t>are indicative estimates only</w:t>
      </w:r>
      <w:r w:rsidR="00041B06">
        <w:t>.</w:t>
      </w:r>
    </w:p>
    <w:p w14:paraId="311D9316" w14:textId="22666A58" w:rsidR="000B51DC" w:rsidRDefault="00597C16" w:rsidP="000C7348">
      <w:pPr>
        <w:contextualSpacing w:val="0"/>
      </w:pPr>
      <w:r w:rsidRPr="00597C16">
        <w:t>This analysis separates the incremental costs for respirable crystalline silica (RCS) in the mining industry from the other industries. This reflects that there is a large difference in the magnitude of the average impacts on businesses in the mining industry compared with other industries for RCS.</w:t>
      </w:r>
    </w:p>
    <w:p w14:paraId="6422E8C5" w14:textId="517EBE26" w:rsidR="000B51DC" w:rsidRDefault="00405A12" w:rsidP="00FB18E4">
      <w:pPr>
        <w:pStyle w:val="SWAHeading3"/>
        <w:keepNext/>
        <w:keepLines/>
      </w:pPr>
      <w:bookmarkStart w:id="519" w:name="_Toc181003135"/>
      <w:bookmarkStart w:id="520" w:name="_Toc193192695"/>
      <w:bookmarkStart w:id="521" w:name="_Toc196204824"/>
      <w:r>
        <w:t xml:space="preserve">Costs of the proposed WEL for respirable crystalline silica </w:t>
      </w:r>
      <w:r w:rsidR="000B51DC">
        <w:t>(excluding mining)</w:t>
      </w:r>
      <w:bookmarkEnd w:id="519"/>
      <w:bookmarkEnd w:id="520"/>
      <w:bookmarkEnd w:id="521"/>
    </w:p>
    <w:p w14:paraId="557D9195" w14:textId="77777777" w:rsidR="00A002F4" w:rsidRDefault="006B540E" w:rsidP="00D61927">
      <w:pPr>
        <w:suppressAutoHyphens/>
        <w:spacing w:line="259" w:lineRule="auto"/>
        <w:contextualSpacing w:val="0"/>
      </w:pPr>
      <w:r w:rsidRPr="0021571F">
        <w:rPr>
          <w:szCs w:val="22"/>
        </w:rPr>
        <w:fldChar w:fldCharType="begin"/>
      </w:r>
      <w:r w:rsidRPr="0021571F">
        <w:rPr>
          <w:szCs w:val="22"/>
        </w:rPr>
        <w:instrText xml:space="preserve"> REF _Ref216770865 \h </w:instrText>
      </w:r>
      <w:r w:rsidR="0021571F">
        <w:rPr>
          <w:szCs w:val="22"/>
        </w:rPr>
        <w:instrText xml:space="preserve"> \* MERGEFORMAT </w:instrText>
      </w:r>
      <w:r w:rsidRPr="0021571F">
        <w:rPr>
          <w:szCs w:val="22"/>
        </w:rPr>
      </w:r>
      <w:r w:rsidRPr="0021571F">
        <w:rPr>
          <w:szCs w:val="22"/>
        </w:rPr>
        <w:fldChar w:fldCharType="separate"/>
      </w:r>
      <w:r w:rsidR="00A002F4" w:rsidRPr="00A002F4">
        <w:rPr>
          <w:szCs w:val="22"/>
        </w:rPr>
        <w:t xml:space="preserve">Table </w:t>
      </w:r>
      <w:r w:rsidR="00A002F4" w:rsidRPr="00A002F4">
        <w:rPr>
          <w:noProof/>
          <w:szCs w:val="22"/>
        </w:rPr>
        <w:t>38</w:t>
      </w:r>
      <w:r w:rsidRPr="0021571F">
        <w:rPr>
          <w:szCs w:val="22"/>
        </w:rPr>
        <w:fldChar w:fldCharType="end"/>
      </w:r>
      <w:r>
        <w:rPr>
          <w:szCs w:val="22"/>
        </w:rPr>
        <w:t xml:space="preserve"> </w:t>
      </w:r>
      <w:r w:rsidR="003E7EB7" w:rsidRPr="003E7EB7">
        <w:rPr>
          <w:szCs w:val="22"/>
        </w:rPr>
        <w:fldChar w:fldCharType="begin"/>
      </w:r>
      <w:r w:rsidR="003E7EB7" w:rsidRPr="003E7EB7">
        <w:rPr>
          <w:szCs w:val="22"/>
        </w:rPr>
        <w:instrText xml:space="preserve"> REF _Ref199927542 \h </w:instrText>
      </w:r>
      <w:r w:rsidR="003E7EB7">
        <w:rPr>
          <w:szCs w:val="22"/>
        </w:rPr>
        <w:instrText xml:space="preserve"> \* MERGEFORMAT </w:instrText>
      </w:r>
      <w:r w:rsidR="003E7EB7" w:rsidRPr="003E7EB7">
        <w:rPr>
          <w:szCs w:val="22"/>
        </w:rPr>
      </w:r>
      <w:r w:rsidR="003E7EB7" w:rsidRPr="003E7EB7">
        <w:rPr>
          <w:szCs w:val="22"/>
        </w:rPr>
        <w:fldChar w:fldCharType="separate"/>
      </w:r>
      <w:r w:rsidR="00A002F4">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69CA51B8" w14:textId="34D4D08A" w:rsidR="000B51DC" w:rsidRPr="001F27EB" w:rsidRDefault="00A002F4" w:rsidP="001F27EB">
      <w:pPr>
        <w:pStyle w:val="2018ReviewBullets"/>
        <w:numPr>
          <w:ilvl w:val="0"/>
          <w:numId w:val="0"/>
        </w:numPr>
        <w:rPr>
          <w:sz w:val="22"/>
          <w:szCs w:val="22"/>
        </w:rPr>
      </w:pPr>
      <w:r>
        <w:t xml:space="preserve">Obligations around management practice costs make these costs more likely to be evenly distributed throughout the appraisal period. </w:t>
      </w:r>
      <w:r w:rsidR="003E7EB7" w:rsidRPr="003E7EB7">
        <w:rPr>
          <w:sz w:val="22"/>
          <w:szCs w:val="22"/>
        </w:rPr>
        <w:fldChar w:fldCharType="end"/>
      </w:r>
      <w:r w:rsidR="000B51DC" w:rsidRPr="001F27EB">
        <w:rPr>
          <w:sz w:val="22"/>
          <w:szCs w:val="22"/>
        </w:rPr>
        <w:t xml:space="preserve">presents the estimated total costs to </w:t>
      </w:r>
      <w:r w:rsidR="00BF3210" w:rsidRPr="001F27EB">
        <w:rPr>
          <w:sz w:val="22"/>
          <w:szCs w:val="22"/>
        </w:rPr>
        <w:t>all industries</w:t>
      </w:r>
      <w:r w:rsidR="001F27EB" w:rsidRPr="001F27EB">
        <w:rPr>
          <w:sz w:val="22"/>
          <w:szCs w:val="22"/>
        </w:rPr>
        <w:t xml:space="preserve">, </w:t>
      </w:r>
      <w:r w:rsidR="000B51DC" w:rsidRPr="001F27EB">
        <w:rPr>
          <w:sz w:val="22"/>
          <w:szCs w:val="22"/>
        </w:rPr>
        <w:t>excluding mining</w:t>
      </w:r>
      <w:r w:rsidR="001F27EB" w:rsidRPr="001F27EB">
        <w:rPr>
          <w:sz w:val="22"/>
          <w:szCs w:val="22"/>
        </w:rPr>
        <w:t>,</w:t>
      </w:r>
      <w:r w:rsidR="000B51DC" w:rsidRPr="001F27EB">
        <w:rPr>
          <w:sz w:val="22"/>
          <w:szCs w:val="22"/>
        </w:rPr>
        <w:t xml:space="preserve"> </w:t>
      </w:r>
      <w:r w:rsidR="006F66F0" w:rsidRPr="001F27EB">
        <w:rPr>
          <w:sz w:val="22"/>
          <w:szCs w:val="22"/>
        </w:rPr>
        <w:t xml:space="preserve">to </w:t>
      </w:r>
      <w:r w:rsidR="000B51DC" w:rsidRPr="001F27EB">
        <w:rPr>
          <w:sz w:val="22"/>
          <w:szCs w:val="22"/>
        </w:rPr>
        <w:t>comply with the proposed WEL for respirable crystalline silica (RCS) over the 10-year appraisal period (from FY27 to FY36</w:t>
      </w:r>
      <w:r w:rsidR="00DA010E">
        <w:rPr>
          <w:sz w:val="22"/>
          <w:szCs w:val="22"/>
        </w:rPr>
        <w:t>)</w:t>
      </w:r>
      <w:r w:rsidR="000B51DC" w:rsidRPr="001F27EB">
        <w:rPr>
          <w:sz w:val="22"/>
          <w:szCs w:val="22"/>
        </w:rPr>
        <w:t xml:space="preserve">. </w:t>
      </w:r>
    </w:p>
    <w:p w14:paraId="64DBCC50" w14:textId="2B0D67C8" w:rsidR="0037078A" w:rsidRDefault="000B51DC" w:rsidP="00FB18E4">
      <w:pPr>
        <w:contextualSpacing w:val="0"/>
      </w:pPr>
      <w:r w:rsidRPr="38A49B51">
        <w:t xml:space="preserve">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 </w:t>
      </w:r>
    </w:p>
    <w:p w14:paraId="56793541" w14:textId="1F32F7CC" w:rsidR="000B51DC" w:rsidRDefault="000B51DC" w:rsidP="000B51DC">
      <w:r>
        <w:t xml:space="preserve">The analysis </w:t>
      </w:r>
      <w:r w:rsidR="00CB24B9">
        <w:t>estimates</w:t>
      </w:r>
      <w:r>
        <w:t xml:space="preserve"> that:</w:t>
      </w:r>
    </w:p>
    <w:p w14:paraId="02FCD2FD" w14:textId="59EB527F" w:rsidR="000B51DC" w:rsidRDefault="000B51DC" w:rsidP="00B57E6C">
      <w:pPr>
        <w:pStyle w:val="ListParagraph"/>
        <w:numPr>
          <w:ilvl w:val="0"/>
          <w:numId w:val="21"/>
        </w:numPr>
        <w:suppressAutoHyphens/>
        <w:spacing w:line="259" w:lineRule="auto"/>
        <w:contextualSpacing w:val="0"/>
      </w:pPr>
      <w:bookmarkStart w:id="522" w:name="_Toc193192697"/>
      <w:bookmarkStart w:id="523" w:name="_Toc196204825"/>
      <w:r>
        <w:t xml:space="preserve">The estimated total cost to </w:t>
      </w:r>
      <w:r w:rsidR="00BF1357">
        <w:t xml:space="preserve">all industries </w:t>
      </w:r>
      <w:r>
        <w:t xml:space="preserve">excluding mining over 10 years is </w:t>
      </w:r>
      <w:r w:rsidRPr="008A5B2B">
        <w:t>$</w:t>
      </w:r>
      <w:r w:rsidR="00D42679">
        <w:t>3.</w:t>
      </w:r>
      <w:r w:rsidR="00041B06">
        <w:t>45</w:t>
      </w:r>
      <w:r w:rsidR="00041B06" w:rsidRPr="00A978BE">
        <w:t xml:space="preserve"> </w:t>
      </w:r>
      <w:r w:rsidRPr="00A978BE">
        <w:t>billion</w:t>
      </w:r>
      <w:r w:rsidRPr="008A5B2B">
        <w:t xml:space="preserve"> (in real, discounted terms), which equates to $</w:t>
      </w:r>
      <w:r w:rsidR="00704E16">
        <w:t>571</w:t>
      </w:r>
      <w:r w:rsidR="00704E16" w:rsidRPr="00A978BE">
        <w:t xml:space="preserve"> </w:t>
      </w:r>
      <w:r w:rsidRPr="00A978BE">
        <w:t>million</w:t>
      </w:r>
      <w:r w:rsidRPr="008A5B2B">
        <w:t xml:space="preserve"> per year (in real, undiscounted terms).</w:t>
      </w:r>
      <w:bookmarkEnd w:id="522"/>
      <w:bookmarkEnd w:id="523"/>
      <w:r w:rsidRPr="008A5B2B">
        <w:t xml:space="preserve"> </w:t>
      </w:r>
    </w:p>
    <w:p w14:paraId="3836D541" w14:textId="77777777" w:rsidR="000B51DC" w:rsidRDefault="000B51DC" w:rsidP="00EA7C3A">
      <w:pPr>
        <w:pStyle w:val="ListParagraph"/>
        <w:numPr>
          <w:ilvl w:val="0"/>
          <w:numId w:val="21"/>
        </w:numPr>
        <w:suppressAutoHyphens/>
        <w:spacing w:line="259" w:lineRule="auto"/>
        <w:ind w:hanging="357"/>
        <w:contextualSpacing w:val="0"/>
      </w:pPr>
      <w:bookmarkStart w:id="524" w:name="_Toc193192698"/>
      <w:bookmarkStart w:id="525" w:name="_Toc196204826"/>
      <w:r w:rsidRPr="38A49B51">
        <w:lastRenderedPageBreak/>
        <w:t>These estimated total costs comprise:</w:t>
      </w:r>
      <w:bookmarkEnd w:id="524"/>
      <w:bookmarkEnd w:id="525"/>
      <w:r w:rsidRPr="38A49B51">
        <w:t xml:space="preserve"> </w:t>
      </w:r>
    </w:p>
    <w:p w14:paraId="69CE0445" w14:textId="7A91F1DA" w:rsidR="00845F09" w:rsidRPr="0093512C" w:rsidRDefault="000B51DC" w:rsidP="00EA7C3A">
      <w:pPr>
        <w:pStyle w:val="ListParagraph"/>
        <w:numPr>
          <w:ilvl w:val="1"/>
          <w:numId w:val="21"/>
        </w:numPr>
        <w:suppressAutoHyphens/>
        <w:spacing w:line="259" w:lineRule="auto"/>
        <w:ind w:hanging="357"/>
        <w:contextualSpacing w:val="0"/>
      </w:pPr>
      <w:bookmarkStart w:id="526" w:name="_Toc193192699"/>
      <w:bookmarkStart w:id="527" w:name="_Toc196204827"/>
      <w:r w:rsidRPr="38A49B51">
        <w:t>control measure costs of $</w:t>
      </w:r>
      <w:r w:rsidR="00704E16">
        <w:t>2.9</w:t>
      </w:r>
      <w:r w:rsidRPr="38A49B51">
        <w:t xml:space="preserve"> billion over 10 years, comprising isolation controls ($</w:t>
      </w:r>
      <w:r w:rsidR="00704E16" w:rsidRPr="38A49B51">
        <w:t>7</w:t>
      </w:r>
      <w:r w:rsidR="00704E16">
        <w:t>40</w:t>
      </w:r>
      <w:r w:rsidR="00704E16" w:rsidRPr="38A49B51">
        <w:t xml:space="preserve"> </w:t>
      </w:r>
      <w:r w:rsidRPr="38A49B51">
        <w:t>million), engineering controls ($</w:t>
      </w:r>
      <w:r w:rsidR="00704E16">
        <w:t>694</w:t>
      </w:r>
      <w:r w:rsidR="00704E16" w:rsidRPr="38A49B51">
        <w:t xml:space="preserve"> </w:t>
      </w:r>
      <w:r w:rsidRPr="38A49B51">
        <w:t>million)</w:t>
      </w:r>
      <w:r w:rsidR="00C623D2">
        <w:t>, administrative controls ($1.</w:t>
      </w:r>
      <w:r w:rsidR="003B79BE">
        <w:t>0</w:t>
      </w:r>
      <w:r w:rsidR="00C623D2">
        <w:t xml:space="preserve"> billion)</w:t>
      </w:r>
      <w:r w:rsidRPr="38A49B51">
        <w:t xml:space="preserve"> and PPE ($</w:t>
      </w:r>
      <w:r w:rsidR="003B79BE">
        <w:t>477</w:t>
      </w:r>
      <w:r w:rsidR="003B79BE" w:rsidRPr="38A49B51">
        <w:t xml:space="preserve"> </w:t>
      </w:r>
      <w:r w:rsidRPr="38A49B51">
        <w:t>million).</w:t>
      </w:r>
      <w:bookmarkEnd w:id="526"/>
      <w:bookmarkEnd w:id="527"/>
    </w:p>
    <w:p w14:paraId="58EE4B58" w14:textId="44A066AC" w:rsidR="00D61927" w:rsidRDefault="000B51DC" w:rsidP="00B64384">
      <w:pPr>
        <w:pStyle w:val="ListParagraph"/>
        <w:numPr>
          <w:ilvl w:val="1"/>
          <w:numId w:val="21"/>
        </w:numPr>
        <w:suppressAutoHyphens/>
        <w:spacing w:line="259" w:lineRule="auto"/>
        <w:ind w:hanging="357"/>
        <w:contextualSpacing w:val="0"/>
      </w:pPr>
      <w:bookmarkStart w:id="528" w:name="_Toc193192700"/>
      <w:bookmarkStart w:id="529" w:name="_Toc196204828"/>
      <w:r w:rsidRPr="38A49B51">
        <w:t>management practice costs of $</w:t>
      </w:r>
      <w:r w:rsidR="00533A2C">
        <w:t>5</w:t>
      </w:r>
      <w:r w:rsidR="003B79BE">
        <w:t>02</w:t>
      </w:r>
      <w:r w:rsidR="00533A2C">
        <w:t xml:space="preserve"> million</w:t>
      </w:r>
      <w:r w:rsidRPr="38A49B51">
        <w:t xml:space="preserve"> over 10 years, comprising air monitoring ($</w:t>
      </w:r>
      <w:r w:rsidR="00C623D2">
        <w:t>12</w:t>
      </w:r>
      <w:r w:rsidR="003B79BE">
        <w:t>2</w:t>
      </w:r>
      <w:r w:rsidRPr="38A49B51">
        <w:t xml:space="preserve"> million) and occupational hygiene ($</w:t>
      </w:r>
      <w:r w:rsidR="003B79BE">
        <w:t>285</w:t>
      </w:r>
      <w:r w:rsidR="003B79BE" w:rsidRPr="38A49B51">
        <w:t xml:space="preserve"> </w:t>
      </w:r>
      <w:r w:rsidRPr="38A49B51">
        <w:t>million)</w:t>
      </w:r>
      <w:r w:rsidR="00C623D2">
        <w:t xml:space="preserve"> and health monitoring ($</w:t>
      </w:r>
      <w:r w:rsidR="003B79BE">
        <w:t xml:space="preserve">95 </w:t>
      </w:r>
      <w:r w:rsidR="00A17EEC">
        <w:t>m</w:t>
      </w:r>
      <w:r w:rsidR="00C623D2">
        <w:t>illion)</w:t>
      </w:r>
      <w:r w:rsidRPr="38A49B51">
        <w:t>.</w:t>
      </w:r>
      <w:bookmarkEnd w:id="528"/>
      <w:bookmarkEnd w:id="529"/>
    </w:p>
    <w:p w14:paraId="7F04EEAF" w14:textId="77777777" w:rsidR="00D61927" w:rsidRDefault="00D61927" w:rsidP="00D61927">
      <w:pPr>
        <w:suppressAutoHyphens/>
        <w:spacing w:line="259" w:lineRule="auto"/>
        <w:contextualSpacing w:val="0"/>
      </w:pPr>
      <w:bookmarkStart w:id="530" w:name="_Ref199927542"/>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13ECBFC4" w14:textId="6B99C41B" w:rsidR="003E7EB7" w:rsidRDefault="00D61927" w:rsidP="003349CC">
      <w:pPr>
        <w:suppressAutoHyphens/>
      </w:pPr>
      <w:r>
        <w:t xml:space="preserve">Obligations around management practice costs make these costs more likely to be evenly distributed throughout the appraisal period. </w:t>
      </w:r>
      <w:bookmarkEnd w:id="530"/>
    </w:p>
    <w:p w14:paraId="511AA607" w14:textId="2049A485" w:rsidR="006B540E" w:rsidRDefault="006B540E" w:rsidP="003349CC">
      <w:pPr>
        <w:pStyle w:val="Caption"/>
      </w:pPr>
      <w:bookmarkStart w:id="531" w:name="_Ref216770865"/>
      <w:r>
        <w:t xml:space="preserve">Table </w:t>
      </w:r>
      <w:fldSimple w:instr=" SEQ Table \* ARABIC ">
        <w:r w:rsidR="00A002F4">
          <w:rPr>
            <w:noProof/>
          </w:rPr>
          <w:t>38</w:t>
        </w:r>
      </w:fldSimple>
      <w:bookmarkEnd w:id="531"/>
      <w:r>
        <w:t xml:space="preserve"> - </w:t>
      </w:r>
      <w:r w:rsidRPr="00361A8C">
        <w:t>Estimated average annual and total incremental costs to all industries (excl. mining) affected by the proposed WEL for RCS, FY27 to FY36</w:t>
      </w:r>
    </w:p>
    <w:tbl>
      <w:tblPr>
        <w:tblStyle w:val="TableGrid"/>
        <w:tblW w:w="9067" w:type="dxa"/>
        <w:tblBorders>
          <w:insideH w:val="single" w:sz="8" w:space="0" w:color="D9D9D9" w:themeColor="background1" w:themeShade="D9"/>
        </w:tblBorders>
        <w:tblLook w:val="04A0" w:firstRow="1" w:lastRow="0" w:firstColumn="1" w:lastColumn="0" w:noHBand="0" w:noVBand="1"/>
      </w:tblPr>
      <w:tblGrid>
        <w:gridCol w:w="3823"/>
        <w:gridCol w:w="2693"/>
        <w:gridCol w:w="2551"/>
      </w:tblGrid>
      <w:tr w:rsidR="000B51DC" w:rsidRPr="008404A0" w14:paraId="522C5A48" w14:textId="77777777" w:rsidTr="00FB18E4">
        <w:trPr>
          <w:trHeight w:val="617"/>
        </w:trPr>
        <w:tc>
          <w:tcPr>
            <w:tcW w:w="3823"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4877E0" w:themeFill="accent1"/>
          </w:tcPr>
          <w:p w14:paraId="7C8570A8" w14:textId="77777777" w:rsidR="000B51DC" w:rsidRPr="00526CB9" w:rsidRDefault="000B51DC" w:rsidP="003349CC">
            <w:pPr>
              <w:pStyle w:val="Paragraph"/>
              <w:keepNext w:val="0"/>
              <w:spacing w:after="0"/>
              <w:rPr>
                <w:b/>
                <w:bCs/>
                <w:color w:val="FFFFFF" w:themeColor="background1"/>
              </w:rPr>
            </w:pPr>
            <w:r>
              <w:rPr>
                <w:b/>
                <w:bCs/>
                <w:color w:val="FFFFFF" w:themeColor="background1"/>
              </w:rPr>
              <w:t>Cost category</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263FCE8D" w14:textId="77777777" w:rsidR="000B51DC" w:rsidRPr="00526CB9" w:rsidRDefault="000B51DC" w:rsidP="003349CC">
            <w:pPr>
              <w:pStyle w:val="Paragraph"/>
              <w:keepNext w:val="0"/>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78E3B1E3" w14:textId="77777777" w:rsidR="000B51DC" w:rsidRPr="00526CB9" w:rsidRDefault="000B51DC" w:rsidP="003349CC">
            <w:pPr>
              <w:pStyle w:val="Paragraph"/>
              <w:keepNext w:val="0"/>
              <w:spacing w:after="0"/>
              <w:rPr>
                <w:b/>
                <w:bCs/>
                <w:color w:val="FFFFFF" w:themeColor="background1"/>
              </w:rPr>
            </w:pPr>
            <w:r>
              <w:rPr>
                <w:b/>
                <w:bCs/>
                <w:color w:val="FFFFFF" w:themeColor="background1"/>
              </w:rPr>
              <w:t>Total costs ($ millions, discounted)</w:t>
            </w:r>
          </w:p>
        </w:tc>
      </w:tr>
      <w:tr w:rsidR="000B51DC" w:rsidRPr="00BA600A" w14:paraId="1F182825" w14:textId="77777777" w:rsidTr="00FB18E4">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0A907013" w14:textId="77777777" w:rsidR="000B51DC" w:rsidRPr="00154D99" w:rsidRDefault="000B51DC" w:rsidP="003349CC">
            <w:pPr>
              <w:pStyle w:val="Paragraph"/>
              <w:keepNext w:val="0"/>
              <w:spacing w:after="0" w:line="276" w:lineRule="auto"/>
              <w:rPr>
                <w:b/>
              </w:rPr>
            </w:pPr>
            <w:r w:rsidRPr="00154D99">
              <w:rPr>
                <w:b/>
              </w:rPr>
              <w:t>Control measure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62283C4D" w14:textId="0F78AAC1" w:rsidR="000B51DC" w:rsidRPr="00154D99" w:rsidRDefault="001824DE" w:rsidP="003349CC">
            <w:pPr>
              <w:jc w:val="right"/>
              <w:rPr>
                <w:b/>
              </w:rPr>
            </w:pPr>
            <w:r>
              <w:rPr>
                <w:b/>
              </w:rPr>
              <w:t>488.2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C9E470A" w14:textId="2E906DD3" w:rsidR="000B51DC" w:rsidRPr="00154D99" w:rsidRDefault="001824DE" w:rsidP="003349CC">
            <w:pPr>
              <w:jc w:val="right"/>
              <w:rPr>
                <w:b/>
              </w:rPr>
            </w:pPr>
            <w:r>
              <w:rPr>
                <w:b/>
              </w:rPr>
              <w:t>2,946.0</w:t>
            </w:r>
          </w:p>
        </w:tc>
      </w:tr>
      <w:tr w:rsidR="000B51DC" w:rsidRPr="00BA600A" w14:paraId="2225BD4F"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7CC8E14A" w14:textId="77777777" w:rsidR="000B51DC" w:rsidRPr="00B155EC" w:rsidRDefault="000B51DC" w:rsidP="003349CC">
            <w:pPr>
              <w:pStyle w:val="Paragraph"/>
              <w:keepNext w:val="0"/>
              <w:spacing w:after="0" w:line="276" w:lineRule="auto"/>
              <w:ind w:left="171"/>
              <w:rPr>
                <w:bCs/>
              </w:rPr>
            </w:pPr>
            <w:r w:rsidRPr="00B155EC">
              <w:rPr>
                <w:bCs/>
              </w:rPr>
              <w:t>Isolation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177C985" w14:textId="1516FE2A" w:rsidR="000B51DC" w:rsidRPr="00B02E59" w:rsidRDefault="001824DE" w:rsidP="003349CC">
            <w:pPr>
              <w:jc w:val="right"/>
            </w:pPr>
            <w:r>
              <w:t>122.2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7AD40D" w14:textId="12AE2023" w:rsidR="000B51DC" w:rsidRPr="00B02E59" w:rsidRDefault="001824DE" w:rsidP="003349CC">
            <w:pPr>
              <w:jc w:val="right"/>
            </w:pPr>
            <w:r>
              <w:t>739.7</w:t>
            </w:r>
          </w:p>
        </w:tc>
      </w:tr>
      <w:tr w:rsidR="000B51DC" w:rsidRPr="00BA600A" w14:paraId="6AA54E6D"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1CDC3739" w14:textId="77777777" w:rsidR="000B51DC" w:rsidRPr="00B155EC" w:rsidRDefault="000B51DC" w:rsidP="003349CC">
            <w:pPr>
              <w:pStyle w:val="Paragraph"/>
              <w:keepNext w:val="0"/>
              <w:spacing w:after="0" w:line="276" w:lineRule="auto"/>
              <w:ind w:left="171"/>
              <w:rPr>
                <w:bCs/>
              </w:rPr>
            </w:pPr>
            <w:r w:rsidRPr="00B155EC">
              <w:rPr>
                <w:bCs/>
              </w:rPr>
              <w:t>Engineering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73F5009" w14:textId="2FF0D906" w:rsidR="000B51DC" w:rsidRPr="00B02E59" w:rsidRDefault="001824DE" w:rsidP="003349CC">
            <w:pPr>
              <w:jc w:val="right"/>
            </w:pPr>
            <w:r>
              <w:t>114.5</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EE4A4D" w14:textId="1E8DD7B4" w:rsidR="000B51DC" w:rsidRPr="00B02E59" w:rsidRDefault="001824DE" w:rsidP="003349CC">
            <w:pPr>
              <w:jc w:val="right"/>
            </w:pPr>
            <w:r>
              <w:t>693.9</w:t>
            </w:r>
          </w:p>
        </w:tc>
      </w:tr>
      <w:tr w:rsidR="000B51DC" w:rsidRPr="00BA600A" w14:paraId="4C99BCF2" w14:textId="77777777">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62BE9F5C" w14:textId="77777777" w:rsidR="000B51DC" w:rsidRPr="00B155EC" w:rsidRDefault="000B51DC" w:rsidP="003349CC">
            <w:pPr>
              <w:pStyle w:val="Paragraph"/>
              <w:keepNext w:val="0"/>
              <w:spacing w:after="0" w:line="276" w:lineRule="auto"/>
              <w:ind w:left="171"/>
              <w:rPr>
                <w:bCs/>
              </w:rPr>
            </w:pPr>
            <w:r w:rsidRPr="00B155EC">
              <w:rPr>
                <w:bCs/>
              </w:rPr>
              <w:t>Administrative control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5F47E9D" w14:textId="14DC8C9F" w:rsidR="000B51DC" w:rsidRPr="00B02E59" w:rsidRDefault="001824DE" w:rsidP="003349CC">
            <w:pPr>
              <w:jc w:val="right"/>
            </w:pPr>
            <w:r>
              <w:t>172.0</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AA1FFB" w14:textId="0437FFE7" w:rsidR="000B51DC" w:rsidRPr="00B02E59" w:rsidRDefault="00C623D2" w:rsidP="003349CC">
            <w:pPr>
              <w:jc w:val="right"/>
            </w:pPr>
            <w:r>
              <w:t>1,0</w:t>
            </w:r>
            <w:r w:rsidR="001824DE">
              <w:t>35.8</w:t>
            </w:r>
          </w:p>
        </w:tc>
      </w:tr>
      <w:tr w:rsidR="000B51DC" w:rsidRPr="00BA600A" w14:paraId="59EE66FC" w14:textId="77777777">
        <w:trPr>
          <w:trHeight w:val="206"/>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40F264CF" w14:textId="77777777" w:rsidR="000B51DC" w:rsidRPr="00B155EC" w:rsidRDefault="000B51DC" w:rsidP="003349CC">
            <w:pPr>
              <w:pStyle w:val="Paragraph"/>
              <w:keepNext w:val="0"/>
              <w:spacing w:after="0" w:line="276" w:lineRule="auto"/>
              <w:ind w:left="171"/>
              <w:rPr>
                <w:bCs/>
              </w:rPr>
            </w:pPr>
            <w:r w:rsidRPr="00B155EC">
              <w:rPr>
                <w:bCs/>
              </w:rPr>
              <w:t>Personal protective equipment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E122B52" w14:textId="5932457B" w:rsidR="000B51DC" w:rsidRPr="00B02E59" w:rsidRDefault="001824DE" w:rsidP="003349CC">
            <w:pPr>
              <w:jc w:val="right"/>
            </w:pPr>
            <w:r>
              <w:t>79.5</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14C5A1" w14:textId="6CDE8421" w:rsidR="000B51DC" w:rsidRPr="00B02E59" w:rsidRDefault="001824DE" w:rsidP="003349CC">
            <w:pPr>
              <w:jc w:val="right"/>
            </w:pPr>
            <w:r>
              <w:t>476.6</w:t>
            </w:r>
          </w:p>
        </w:tc>
      </w:tr>
      <w:tr w:rsidR="000B51DC" w:rsidRPr="00BA600A" w14:paraId="6BEAD450" w14:textId="77777777" w:rsidTr="00FB18E4">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AE3F8" w:themeFill="accent1" w:themeFillTint="33"/>
          </w:tcPr>
          <w:p w14:paraId="29F1C5EA" w14:textId="77777777" w:rsidR="000B51DC" w:rsidRPr="00154D99" w:rsidRDefault="000B51DC" w:rsidP="003349CC">
            <w:pPr>
              <w:pStyle w:val="Paragraph"/>
              <w:keepNext w:val="0"/>
              <w:spacing w:after="0" w:line="276" w:lineRule="auto"/>
              <w:rPr>
                <w:b/>
              </w:rPr>
            </w:pPr>
            <w:r w:rsidRPr="00154D99">
              <w:rPr>
                <w:b/>
              </w:rPr>
              <w:t>Management practice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B4258DB" w14:textId="107FD75C" w:rsidR="000B51DC" w:rsidRPr="00980AC2" w:rsidRDefault="001824DE" w:rsidP="003349CC">
            <w:pPr>
              <w:jc w:val="right"/>
              <w:rPr>
                <w:b/>
                <w:bCs/>
              </w:rPr>
            </w:pPr>
            <w:r>
              <w:rPr>
                <w:b/>
                <w:bCs/>
              </w:rPr>
              <w:t>83.1</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B57A1E5" w14:textId="1375AFA7" w:rsidR="000B51DC" w:rsidRPr="00980AC2" w:rsidRDefault="001824DE" w:rsidP="003349CC">
            <w:pPr>
              <w:jc w:val="right"/>
              <w:rPr>
                <w:b/>
                <w:bCs/>
              </w:rPr>
            </w:pPr>
            <w:r>
              <w:rPr>
                <w:b/>
                <w:bCs/>
              </w:rPr>
              <w:t>501.7</w:t>
            </w:r>
          </w:p>
        </w:tc>
      </w:tr>
      <w:tr w:rsidR="000B51DC" w:rsidRPr="00BA600A" w14:paraId="2BB2F29A" w14:textId="77777777">
        <w:trPr>
          <w:trHeight w:val="288"/>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2ADFE04C" w14:textId="77777777" w:rsidR="000B51DC" w:rsidRPr="00B155EC" w:rsidRDefault="000B51DC" w:rsidP="003349CC">
            <w:pPr>
              <w:pStyle w:val="Paragraph"/>
              <w:keepNext w:val="0"/>
              <w:spacing w:after="0" w:line="276" w:lineRule="auto"/>
              <w:ind w:left="171"/>
              <w:rPr>
                <w:bCs/>
              </w:rPr>
            </w:pPr>
            <w:r w:rsidRPr="00B155EC">
              <w:rPr>
                <w:bCs/>
              </w:rPr>
              <w:t>Air monitoring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69AC985A" w14:textId="12075339" w:rsidR="000B51DC" w:rsidRPr="00B02E59" w:rsidRDefault="001824DE" w:rsidP="003349CC">
            <w:pPr>
              <w:jc w:val="right"/>
            </w:pPr>
            <w:r>
              <w:t>20.2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5D9F3F" w14:textId="22310F85" w:rsidR="000B51DC" w:rsidRPr="00B02E59" w:rsidRDefault="001824DE" w:rsidP="003349CC">
            <w:pPr>
              <w:jc w:val="right"/>
            </w:pPr>
            <w:r>
              <w:t>122</w:t>
            </w:r>
          </w:p>
        </w:tc>
      </w:tr>
      <w:tr w:rsidR="000B51DC" w:rsidRPr="00BA600A" w14:paraId="7CD7CDF8"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0B11D910" w14:textId="77777777" w:rsidR="000B51DC" w:rsidRPr="00B155EC" w:rsidRDefault="000B51DC" w:rsidP="003349CC">
            <w:pPr>
              <w:pStyle w:val="Paragraph"/>
              <w:keepNext w:val="0"/>
              <w:spacing w:after="0" w:line="276" w:lineRule="auto"/>
              <w:ind w:left="171"/>
              <w:rPr>
                <w:bCs/>
              </w:rPr>
            </w:pPr>
            <w:r w:rsidRPr="00B155EC">
              <w:rPr>
                <w:bCs/>
              </w:rPr>
              <w:t>Occupational hygiene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6C0E97E" w14:textId="14C1DD10" w:rsidR="000B51DC" w:rsidRPr="00B02E59" w:rsidRDefault="001824DE" w:rsidP="003349CC">
            <w:pPr>
              <w:jc w:val="right"/>
            </w:pPr>
            <w:r>
              <w:t>47.2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CA66D4" w14:textId="7244CE14" w:rsidR="000B51DC" w:rsidRPr="00B02E59" w:rsidRDefault="001824DE" w:rsidP="003349CC">
            <w:pPr>
              <w:jc w:val="right"/>
            </w:pPr>
            <w:r>
              <w:t>284.5</w:t>
            </w:r>
          </w:p>
        </w:tc>
      </w:tr>
      <w:tr w:rsidR="00C623D2" w:rsidRPr="00BA600A" w14:paraId="26AFFB26" w14:textId="77777777">
        <w:trPr>
          <w:trHeight w:val="304"/>
        </w:trPr>
        <w:tc>
          <w:tcPr>
            <w:tcW w:w="3823"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tcPr>
          <w:p w14:paraId="103FEEB1" w14:textId="42D09474" w:rsidR="00C623D2" w:rsidRPr="00B155EC" w:rsidRDefault="00C623D2" w:rsidP="003349CC">
            <w:pPr>
              <w:pStyle w:val="Paragraph"/>
              <w:keepNext w:val="0"/>
              <w:spacing w:after="0" w:line="276" w:lineRule="auto"/>
              <w:ind w:left="171"/>
              <w:rPr>
                <w:bCs/>
              </w:rPr>
            </w:pPr>
            <w:r>
              <w:rPr>
                <w:bCs/>
              </w:rPr>
              <w:t>Health monitoring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FB4A788" w14:textId="171FD14A" w:rsidR="00257B3F" w:rsidRDefault="001824DE" w:rsidP="003349CC">
            <w:pPr>
              <w:jc w:val="right"/>
            </w:pPr>
            <w:r>
              <w:t>15.7</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8C0531" w14:textId="49DEE82D" w:rsidR="00C623D2" w:rsidRDefault="001824DE" w:rsidP="003349CC">
            <w:pPr>
              <w:jc w:val="right"/>
            </w:pPr>
            <w:r>
              <w:t>95.2</w:t>
            </w:r>
          </w:p>
        </w:tc>
      </w:tr>
      <w:tr w:rsidR="000B51DC" w:rsidRPr="00BA600A" w14:paraId="471DFD8D" w14:textId="77777777" w:rsidTr="00FB18E4">
        <w:trPr>
          <w:trHeight w:val="288"/>
        </w:trPr>
        <w:tc>
          <w:tcPr>
            <w:tcW w:w="3823" w:type="dxa"/>
            <w:tcBorders>
              <w:top w:val="single" w:sz="8"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vAlign w:val="center"/>
          </w:tcPr>
          <w:p w14:paraId="7E05A624" w14:textId="77777777" w:rsidR="000B51DC" w:rsidRPr="00154D99" w:rsidRDefault="000B51DC" w:rsidP="003349CC">
            <w:pPr>
              <w:pStyle w:val="Paragraph"/>
              <w:keepNext w:val="0"/>
              <w:spacing w:after="0" w:line="276" w:lineRule="auto"/>
              <w:rPr>
                <w:b/>
              </w:rPr>
            </w:pPr>
            <w:r w:rsidRPr="00154D99">
              <w:rPr>
                <w:b/>
              </w:rPr>
              <w:t>Total costs</w:t>
            </w:r>
          </w:p>
        </w:tc>
        <w:tc>
          <w:tcPr>
            <w:tcW w:w="2693"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39C3A771" w14:textId="497B3F58" w:rsidR="000B51DC" w:rsidRPr="00896F02" w:rsidRDefault="001824DE" w:rsidP="003349CC">
            <w:pPr>
              <w:jc w:val="right"/>
              <w:rPr>
                <w:b/>
                <w:bCs/>
              </w:rPr>
            </w:pPr>
            <w:r>
              <w:rPr>
                <w:b/>
                <w:bCs/>
              </w:rPr>
              <w:t>571.2</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5C8F2" w:themeFill="accent1" w:themeFillTint="66"/>
          </w:tcPr>
          <w:p w14:paraId="21FB7757" w14:textId="71688391" w:rsidR="000B51DC" w:rsidRPr="00896F02" w:rsidRDefault="00257B3F" w:rsidP="003349CC">
            <w:pPr>
              <w:jc w:val="right"/>
              <w:rPr>
                <w:b/>
                <w:bCs/>
              </w:rPr>
            </w:pPr>
            <w:r>
              <w:rPr>
                <w:b/>
                <w:bCs/>
              </w:rPr>
              <w:t>3,</w:t>
            </w:r>
            <w:r w:rsidR="001824DE">
              <w:rPr>
                <w:b/>
                <w:bCs/>
              </w:rPr>
              <w:t>447.7</w:t>
            </w:r>
          </w:p>
        </w:tc>
      </w:tr>
    </w:tbl>
    <w:p w14:paraId="3F430862" w14:textId="05051D66" w:rsidR="000B51DC" w:rsidRDefault="000B51DC" w:rsidP="00FB18E4">
      <w:pPr>
        <w:spacing w:before="240"/>
        <w:contextualSpacing w:val="0"/>
      </w:pPr>
      <w:r w:rsidRPr="38A49B51">
        <w:t>This regulatory impact analysis has also estimated the average annual and total costs to businesses (excluding those from the mining industry) under low and high</w:t>
      </w:r>
      <w:r w:rsidR="00107C7A">
        <w:t>-</w:t>
      </w:r>
      <w:r w:rsidRPr="38A49B51">
        <w:t>cost scenarios, where:</w:t>
      </w:r>
    </w:p>
    <w:p w14:paraId="09A55AD1" w14:textId="30458096" w:rsidR="000B51DC" w:rsidRDefault="000B51DC" w:rsidP="00B57E6C">
      <w:pPr>
        <w:pStyle w:val="ListParagraph"/>
        <w:numPr>
          <w:ilvl w:val="0"/>
          <w:numId w:val="22"/>
        </w:numPr>
        <w:suppressAutoHyphens/>
        <w:spacing w:line="259" w:lineRule="auto"/>
        <w:ind w:left="714" w:hanging="357"/>
        <w:contextualSpacing w:val="0"/>
      </w:pPr>
      <w:bookmarkStart w:id="532" w:name="_Toc193192701"/>
      <w:bookmarkStart w:id="533" w:name="_Toc196204829"/>
      <w:r w:rsidRPr="38A49B51">
        <w:t>Under the low</w:t>
      </w:r>
      <w:r w:rsidR="00107C7A">
        <w:t>-</w:t>
      </w:r>
      <w:r w:rsidRPr="38A49B51">
        <w:t>cost scenario, the average annual cost is $</w:t>
      </w:r>
      <w:r w:rsidR="00E97D88">
        <w:t>4</w:t>
      </w:r>
      <w:r w:rsidR="001824DE">
        <w:t>28</w:t>
      </w:r>
      <w:r w:rsidRPr="38A49B51">
        <w:t xml:space="preserve"> million (undiscounted) and the total cost is $</w:t>
      </w:r>
      <w:r w:rsidR="00E97D88">
        <w:t>2.</w:t>
      </w:r>
      <w:r w:rsidR="001824DE">
        <w:t>6</w:t>
      </w:r>
      <w:r w:rsidRPr="38A49B51">
        <w:t xml:space="preserve"> billion (discounted).</w:t>
      </w:r>
      <w:bookmarkEnd w:id="532"/>
      <w:bookmarkEnd w:id="533"/>
    </w:p>
    <w:p w14:paraId="2799B4C8" w14:textId="7562CC9C" w:rsidR="000B51DC" w:rsidRDefault="000B51DC" w:rsidP="00B57E6C">
      <w:pPr>
        <w:pStyle w:val="ListParagraph"/>
        <w:numPr>
          <w:ilvl w:val="0"/>
          <w:numId w:val="22"/>
        </w:numPr>
        <w:suppressAutoHyphens/>
        <w:spacing w:line="259" w:lineRule="auto"/>
        <w:ind w:left="714" w:hanging="357"/>
        <w:contextualSpacing w:val="0"/>
      </w:pPr>
      <w:bookmarkStart w:id="534" w:name="_Toc193192702"/>
      <w:bookmarkStart w:id="535" w:name="_Toc196204830"/>
      <w:r w:rsidRPr="38A49B51">
        <w:t>Under the high</w:t>
      </w:r>
      <w:r w:rsidR="00107C7A">
        <w:t>-</w:t>
      </w:r>
      <w:r w:rsidRPr="38A49B51">
        <w:t>cost scenario, the average annual cost is $</w:t>
      </w:r>
      <w:r w:rsidR="001824DE">
        <w:t xml:space="preserve">714 </w:t>
      </w:r>
      <w:r w:rsidR="00756714">
        <w:t>billion</w:t>
      </w:r>
      <w:r w:rsidRPr="38A49B51">
        <w:t xml:space="preserve"> (undiscounted) and the total cost is $</w:t>
      </w:r>
      <w:r w:rsidR="00E97D88">
        <w:t>4.</w:t>
      </w:r>
      <w:r w:rsidR="001824DE">
        <w:t>3</w:t>
      </w:r>
      <w:r w:rsidRPr="38A49B51">
        <w:t xml:space="preserve"> billion (discounted).</w:t>
      </w:r>
      <w:bookmarkEnd w:id="534"/>
      <w:bookmarkEnd w:id="535"/>
      <w:r w:rsidRPr="38A49B51">
        <w:t xml:space="preserve"> </w:t>
      </w:r>
    </w:p>
    <w:p w14:paraId="2F251D93" w14:textId="0B53AAFA" w:rsidR="000B51DC" w:rsidRDefault="00746EAC" w:rsidP="002B0F86">
      <w:pPr>
        <w:suppressAutoHyphens/>
        <w:spacing w:line="259" w:lineRule="auto"/>
        <w:contextualSpacing w:val="0"/>
      </w:pPr>
      <w:r>
        <w:fldChar w:fldCharType="begin"/>
      </w:r>
      <w:r>
        <w:instrText xml:space="preserve"> REF _Ref216770927 \h </w:instrText>
      </w:r>
      <w:r>
        <w:fldChar w:fldCharType="separate"/>
      </w:r>
      <w:r w:rsidR="00A002F4">
        <w:t xml:space="preserve">Table </w:t>
      </w:r>
      <w:r w:rsidR="00A002F4">
        <w:rPr>
          <w:noProof/>
        </w:rPr>
        <w:t>39</w:t>
      </w:r>
      <w:r>
        <w:fldChar w:fldCharType="end"/>
      </w:r>
      <w:r>
        <w:t xml:space="preserve"> </w:t>
      </w:r>
      <w:r w:rsidR="000B51DC" w:rsidRPr="004F240B">
        <w:t xml:space="preserve">presents the estimated average annual </w:t>
      </w:r>
      <w:r w:rsidR="00195BBD">
        <w:t>incremental</w:t>
      </w:r>
      <w:r w:rsidR="00195BBD" w:rsidRPr="004F240B">
        <w:t xml:space="preserve"> </w:t>
      </w:r>
      <w:r w:rsidR="000B51DC" w:rsidRPr="004F240B">
        <w:t xml:space="preserve">costs per affected business </w:t>
      </w:r>
      <w:r w:rsidR="000B51DC" w:rsidRPr="007C3418">
        <w:t xml:space="preserve">by business size category for the proposed WEL for </w:t>
      </w:r>
      <w:r w:rsidR="000B51DC">
        <w:t>RCS, excluding those from the mining industry</w:t>
      </w:r>
      <w:r w:rsidR="000B51DC" w:rsidRPr="007C3418">
        <w:t xml:space="preserve">. </w:t>
      </w:r>
      <w:r w:rsidR="000B51DC" w:rsidRPr="00235C27">
        <w:t xml:space="preserve">The results do not factor in costs specific to a singular business or industry that </w:t>
      </w:r>
      <w:r w:rsidR="000B51DC">
        <w:t xml:space="preserve">are </w:t>
      </w:r>
      <w:r w:rsidR="000B51DC" w:rsidRPr="00235C27">
        <w:t>not expected for other businesses or industries</w:t>
      </w:r>
      <w:r w:rsidR="000B51DC">
        <w:t>.</w:t>
      </w:r>
      <w:r w:rsidR="00957068">
        <w:t xml:space="preserve"> </w:t>
      </w:r>
      <w:r w:rsidR="008669DA" w:rsidRPr="00B548F6">
        <w:t>An average annual incremental cost is also assumed in the absence of information to indicate the true distribution of costs across the 10-year appraisal period</w:t>
      </w:r>
      <w:r w:rsidR="00481C02">
        <w:t xml:space="preserve">. </w:t>
      </w:r>
      <w:r w:rsidR="00957068">
        <w:t>These affected businesses come from the following industries:</w:t>
      </w:r>
    </w:p>
    <w:p w14:paraId="17761371" w14:textId="6A507FDE" w:rsidR="00957068" w:rsidRDefault="00171975" w:rsidP="00A2768E">
      <w:pPr>
        <w:pStyle w:val="ListParagraph"/>
        <w:numPr>
          <w:ilvl w:val="0"/>
          <w:numId w:val="56"/>
        </w:numPr>
        <w:contextualSpacing w:val="0"/>
      </w:pPr>
      <w:r>
        <w:t>manufacturing,</w:t>
      </w:r>
    </w:p>
    <w:p w14:paraId="7353A544" w14:textId="7C6F6781" w:rsidR="002947D4" w:rsidRDefault="00171975" w:rsidP="00A2768E">
      <w:pPr>
        <w:pStyle w:val="ListParagraph"/>
        <w:numPr>
          <w:ilvl w:val="0"/>
          <w:numId w:val="56"/>
        </w:numPr>
        <w:contextualSpacing w:val="0"/>
      </w:pPr>
      <w:bookmarkStart w:id="536" w:name="_Toc196204832"/>
      <w:r>
        <w:lastRenderedPageBreak/>
        <w:t>electricity</w:t>
      </w:r>
      <w:r w:rsidR="002947D4">
        <w:t xml:space="preserve">, </w:t>
      </w:r>
      <w:r>
        <w:t>g</w:t>
      </w:r>
      <w:r w:rsidRPr="009123F2">
        <w:t>as</w:t>
      </w:r>
      <w:r w:rsidR="002947D4" w:rsidRPr="009123F2">
        <w:t xml:space="preserve">, </w:t>
      </w:r>
      <w:r>
        <w:t>w</w:t>
      </w:r>
      <w:r w:rsidRPr="009123F2">
        <w:t xml:space="preserve">ater </w:t>
      </w:r>
      <w:r w:rsidR="002947D4" w:rsidRPr="009123F2">
        <w:t xml:space="preserve">and </w:t>
      </w:r>
      <w:r>
        <w:t>w</w:t>
      </w:r>
      <w:r w:rsidRPr="009123F2">
        <w:t xml:space="preserve">aste </w:t>
      </w:r>
      <w:bookmarkEnd w:id="536"/>
      <w:r>
        <w:t>s</w:t>
      </w:r>
      <w:r w:rsidRPr="009123F2">
        <w:t>ervices</w:t>
      </w:r>
      <w:r>
        <w:t>, and</w:t>
      </w:r>
    </w:p>
    <w:p w14:paraId="3CEA0847" w14:textId="58E2BF64" w:rsidR="002947D4" w:rsidRDefault="00171975" w:rsidP="00A2768E">
      <w:pPr>
        <w:pStyle w:val="ListParagraph"/>
        <w:numPr>
          <w:ilvl w:val="0"/>
          <w:numId w:val="56"/>
        </w:numPr>
        <w:contextualSpacing w:val="0"/>
      </w:pPr>
      <w:r>
        <w:t>construction</w:t>
      </w:r>
    </w:p>
    <w:p w14:paraId="3DEC5184" w14:textId="77777777" w:rsidR="000B51DC" w:rsidRPr="007C3418" w:rsidRDefault="000B51DC" w:rsidP="00FB18E4">
      <w:pPr>
        <w:keepNext/>
        <w:keepLines/>
        <w:contextualSpacing w:val="0"/>
      </w:pPr>
      <w:r w:rsidRPr="38A49B51">
        <w:t>The results indicate that:</w:t>
      </w:r>
    </w:p>
    <w:p w14:paraId="2E0008E0" w14:textId="76671A98" w:rsidR="000B51DC" w:rsidRPr="007C3418" w:rsidRDefault="000B51DC" w:rsidP="00B57E6C">
      <w:pPr>
        <w:pStyle w:val="ListParagraph"/>
        <w:keepNext/>
        <w:keepLines/>
        <w:numPr>
          <w:ilvl w:val="0"/>
          <w:numId w:val="23"/>
        </w:numPr>
        <w:suppressAutoHyphens/>
        <w:spacing w:line="259" w:lineRule="auto"/>
        <w:ind w:left="709"/>
        <w:contextualSpacing w:val="0"/>
      </w:pPr>
      <w:bookmarkStart w:id="537" w:name="_Toc193192703"/>
      <w:bookmarkStart w:id="538" w:name="_Toc196204837"/>
      <w:r w:rsidRPr="38A49B51">
        <w:t xml:space="preserve">There are an estimated </w:t>
      </w:r>
      <w:r w:rsidR="004D4A48">
        <w:t>240</w:t>
      </w:r>
      <w:r w:rsidR="00FF7912">
        <w:t>,250</w:t>
      </w:r>
      <w:r w:rsidRPr="38A49B51">
        <w:t xml:space="preserve"> affected businesses, comprising </w:t>
      </w:r>
      <w:r w:rsidR="00FF7912">
        <w:t>232,599</w:t>
      </w:r>
      <w:r w:rsidRPr="38A49B51">
        <w:t xml:space="preserve"> small businesses, 7,</w:t>
      </w:r>
      <w:r w:rsidR="00FF7912">
        <w:t>243</w:t>
      </w:r>
      <w:r w:rsidRPr="38A49B51">
        <w:t xml:space="preserve"> medium businesses and </w:t>
      </w:r>
      <w:r w:rsidR="00756714">
        <w:t>4</w:t>
      </w:r>
      <w:r w:rsidR="00FF7912">
        <w:t>0</w:t>
      </w:r>
      <w:r w:rsidR="00756714">
        <w:t>8</w:t>
      </w:r>
      <w:r w:rsidRPr="38A49B51">
        <w:t xml:space="preserve"> large businesses.</w:t>
      </w:r>
      <w:bookmarkEnd w:id="537"/>
      <w:bookmarkEnd w:id="538"/>
    </w:p>
    <w:p w14:paraId="52613DA2" w14:textId="3D0F8D5F" w:rsidR="000B51DC" w:rsidRDefault="000B51DC" w:rsidP="00B57E6C">
      <w:pPr>
        <w:pStyle w:val="ListParagraph"/>
        <w:numPr>
          <w:ilvl w:val="0"/>
          <w:numId w:val="23"/>
        </w:numPr>
        <w:suppressAutoHyphens/>
        <w:spacing w:line="259" w:lineRule="auto"/>
        <w:ind w:left="709"/>
        <w:contextualSpacing w:val="0"/>
      </w:pPr>
      <w:bookmarkStart w:id="539" w:name="_Toc193192704"/>
      <w:bookmarkStart w:id="540" w:name="_Toc196204838"/>
      <w:r w:rsidRPr="007C3418">
        <w:t xml:space="preserve">The estimated average annual cost </w:t>
      </w:r>
      <w:r w:rsidR="00F070D0">
        <w:t>is $1,600 for</w:t>
      </w:r>
      <w:r w:rsidR="00F070D0" w:rsidRPr="007C3418">
        <w:t xml:space="preserve"> </w:t>
      </w:r>
      <w:r w:rsidR="004539D6">
        <w:t xml:space="preserve">small </w:t>
      </w:r>
      <w:r w:rsidRPr="007C3418">
        <w:t>businesses</w:t>
      </w:r>
      <w:r>
        <w:t>, followed by $</w:t>
      </w:r>
      <w:r w:rsidR="00BF69B9">
        <w:t>9</w:t>
      </w:r>
      <w:r w:rsidR="00756714">
        <w:t>,500</w:t>
      </w:r>
      <w:r>
        <w:t xml:space="preserve"> for medium businesses and </w:t>
      </w:r>
      <w:r w:rsidRPr="005D4CF2">
        <w:t>$</w:t>
      </w:r>
      <w:r w:rsidR="004539D6">
        <w:t>299,300 for large</w:t>
      </w:r>
      <w:r w:rsidDel="004539D6">
        <w:t xml:space="preserve"> </w:t>
      </w:r>
      <w:r>
        <w:t>businesses.</w:t>
      </w:r>
      <w:bookmarkEnd w:id="539"/>
      <w:bookmarkEnd w:id="540"/>
    </w:p>
    <w:p w14:paraId="26C4BF45" w14:textId="2799DD75" w:rsidR="00746EAC" w:rsidRDefault="00746EAC" w:rsidP="003349CC">
      <w:pPr>
        <w:pStyle w:val="Caption"/>
      </w:pPr>
      <w:bookmarkStart w:id="541" w:name="_Ref216770927"/>
      <w:r>
        <w:t xml:space="preserve">Table </w:t>
      </w:r>
      <w:fldSimple w:instr=" SEQ Table \* ARABIC ">
        <w:r w:rsidR="00A002F4">
          <w:rPr>
            <w:noProof/>
          </w:rPr>
          <w:t>39</w:t>
        </w:r>
      </w:fldSimple>
      <w:bookmarkEnd w:id="541"/>
      <w:r>
        <w:t xml:space="preserve"> - </w:t>
      </w:r>
      <w:r w:rsidRPr="00571F86">
        <w:t>Estimated average annual incremental cost per affected business by business size ($, undiscounted) and affected businesses for RCS, excluding mining businesses,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125"/>
        <w:gridCol w:w="2405"/>
        <w:gridCol w:w="2131"/>
      </w:tblGrid>
      <w:tr w:rsidR="000B51DC" w14:paraId="54C14619" w14:textId="77777777" w:rsidTr="00FB18E4">
        <w:tc>
          <w:tcPr>
            <w:tcW w:w="2265" w:type="dxa"/>
            <w:shd w:val="clear" w:color="auto" w:fill="4877E0" w:themeFill="accent1"/>
          </w:tcPr>
          <w:p w14:paraId="78805D8B"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Measure</w:t>
            </w:r>
          </w:p>
        </w:tc>
        <w:tc>
          <w:tcPr>
            <w:tcW w:w="2125" w:type="dxa"/>
            <w:shd w:val="clear" w:color="auto" w:fill="4877E0" w:themeFill="accent1"/>
          </w:tcPr>
          <w:p w14:paraId="6F91995A"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Small businesses</w:t>
            </w:r>
          </w:p>
        </w:tc>
        <w:tc>
          <w:tcPr>
            <w:tcW w:w="2405" w:type="dxa"/>
            <w:shd w:val="clear" w:color="auto" w:fill="4877E0" w:themeFill="accent1"/>
          </w:tcPr>
          <w:p w14:paraId="3FB4F546"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Medium businesses</w:t>
            </w:r>
          </w:p>
        </w:tc>
        <w:tc>
          <w:tcPr>
            <w:tcW w:w="2131" w:type="dxa"/>
            <w:shd w:val="clear" w:color="auto" w:fill="4877E0" w:themeFill="accent1"/>
          </w:tcPr>
          <w:p w14:paraId="1C3267B5" w14:textId="77777777" w:rsidR="000B51DC" w:rsidRPr="00FB18E4" w:rsidRDefault="000B51DC">
            <w:pPr>
              <w:keepNext/>
              <w:keepLines/>
              <w:suppressAutoHyphens/>
              <w:spacing w:after="0" w:line="259" w:lineRule="auto"/>
              <w:contextualSpacing w:val="0"/>
              <w:rPr>
                <w:b/>
                <w:bCs/>
                <w:color w:val="FFFFFF" w:themeColor="background1"/>
              </w:rPr>
            </w:pPr>
            <w:r w:rsidRPr="00FB18E4">
              <w:rPr>
                <w:b/>
                <w:bCs/>
                <w:color w:val="FFFFFF" w:themeColor="background1"/>
              </w:rPr>
              <w:t>Large businesses</w:t>
            </w:r>
          </w:p>
        </w:tc>
      </w:tr>
      <w:tr w:rsidR="00201CAD" w14:paraId="5E819E62" w14:textId="77777777">
        <w:tc>
          <w:tcPr>
            <w:tcW w:w="2265" w:type="dxa"/>
          </w:tcPr>
          <w:p w14:paraId="34724B69" w14:textId="71A135C1" w:rsidR="00201CAD" w:rsidRPr="00296A4F" w:rsidRDefault="00201CAD" w:rsidP="00201CAD">
            <w:pPr>
              <w:keepNext/>
              <w:keepLines/>
              <w:suppressAutoHyphens/>
              <w:spacing w:after="0" w:line="259" w:lineRule="auto"/>
              <w:contextualSpacing w:val="0"/>
              <w:rPr>
                <w:b/>
                <w:bCs/>
              </w:rPr>
            </w:pPr>
            <w:r w:rsidRPr="00296A4F">
              <w:rPr>
                <w:b/>
                <w:bCs/>
              </w:rPr>
              <w:t>Number of affected businesses p.a.</w:t>
            </w:r>
          </w:p>
        </w:tc>
        <w:tc>
          <w:tcPr>
            <w:tcW w:w="2125" w:type="dxa"/>
            <w:vAlign w:val="center"/>
          </w:tcPr>
          <w:p w14:paraId="1FC3C0FB" w14:textId="155BB954" w:rsidR="00201CAD" w:rsidRPr="003A5215" w:rsidRDefault="00B40497" w:rsidP="00201CAD">
            <w:pPr>
              <w:keepNext/>
              <w:keepLines/>
              <w:suppressAutoHyphens/>
              <w:spacing w:after="0" w:line="259" w:lineRule="auto"/>
              <w:contextualSpacing w:val="0"/>
              <w:jc w:val="right"/>
            </w:pPr>
            <w:r>
              <w:t>232,599</w:t>
            </w:r>
          </w:p>
        </w:tc>
        <w:tc>
          <w:tcPr>
            <w:tcW w:w="2405" w:type="dxa"/>
            <w:vAlign w:val="center"/>
          </w:tcPr>
          <w:p w14:paraId="33CF1BC0" w14:textId="4BEAADF4" w:rsidR="00201CAD" w:rsidRDefault="00201CAD" w:rsidP="00201CAD">
            <w:pPr>
              <w:keepNext/>
              <w:keepLines/>
              <w:suppressAutoHyphens/>
              <w:spacing w:after="0" w:line="259" w:lineRule="auto"/>
              <w:contextualSpacing w:val="0"/>
              <w:jc w:val="right"/>
            </w:pPr>
            <w:r>
              <w:t>7,</w:t>
            </w:r>
            <w:r w:rsidR="00B40497">
              <w:t>243</w:t>
            </w:r>
          </w:p>
        </w:tc>
        <w:tc>
          <w:tcPr>
            <w:tcW w:w="2131" w:type="dxa"/>
            <w:vAlign w:val="center"/>
          </w:tcPr>
          <w:p w14:paraId="2B6861ED" w14:textId="2CB6342F" w:rsidR="00201CAD" w:rsidRDefault="00B40497" w:rsidP="00201CAD">
            <w:pPr>
              <w:keepNext/>
              <w:keepLines/>
              <w:suppressAutoHyphens/>
              <w:spacing w:after="0" w:line="259" w:lineRule="auto"/>
              <w:contextualSpacing w:val="0"/>
              <w:jc w:val="right"/>
            </w:pPr>
            <w:r>
              <w:t>408</w:t>
            </w:r>
          </w:p>
        </w:tc>
      </w:tr>
      <w:tr w:rsidR="00201CAD" w14:paraId="370156CE" w14:textId="77777777" w:rsidTr="00FB18E4">
        <w:tc>
          <w:tcPr>
            <w:tcW w:w="2265" w:type="dxa"/>
            <w:shd w:val="clear" w:color="auto" w:fill="DAE3F8" w:themeFill="accent1" w:themeFillTint="33"/>
          </w:tcPr>
          <w:p w14:paraId="15AB0187" w14:textId="77777777" w:rsidR="00201CAD" w:rsidRPr="00296A4F" w:rsidRDefault="00201CAD" w:rsidP="00201CAD">
            <w:pPr>
              <w:keepNext/>
              <w:keepLines/>
              <w:suppressAutoHyphens/>
              <w:spacing w:after="0" w:line="259" w:lineRule="auto"/>
              <w:contextualSpacing w:val="0"/>
              <w:rPr>
                <w:b/>
                <w:bCs/>
              </w:rPr>
            </w:pPr>
            <w:r w:rsidRPr="00296A4F">
              <w:rPr>
                <w:b/>
                <w:bCs/>
              </w:rPr>
              <w:t>Av. cost per business p.a.</w:t>
            </w:r>
          </w:p>
        </w:tc>
        <w:tc>
          <w:tcPr>
            <w:tcW w:w="2125" w:type="dxa"/>
            <w:shd w:val="clear" w:color="auto" w:fill="DAE3F8" w:themeFill="accent1" w:themeFillTint="33"/>
            <w:vAlign w:val="center"/>
          </w:tcPr>
          <w:p w14:paraId="5C6666B7" w14:textId="039436AD" w:rsidR="00201CAD" w:rsidRDefault="00201CAD" w:rsidP="00201CAD">
            <w:pPr>
              <w:keepNext/>
              <w:keepLines/>
              <w:suppressAutoHyphens/>
              <w:spacing w:after="0" w:line="259" w:lineRule="auto"/>
              <w:contextualSpacing w:val="0"/>
              <w:jc w:val="right"/>
            </w:pPr>
            <w:r w:rsidRPr="003A5215">
              <w:t>1,</w:t>
            </w:r>
            <w:r>
              <w:t>600</w:t>
            </w:r>
          </w:p>
        </w:tc>
        <w:tc>
          <w:tcPr>
            <w:tcW w:w="2405" w:type="dxa"/>
            <w:shd w:val="clear" w:color="auto" w:fill="DAE3F8" w:themeFill="accent1" w:themeFillTint="33"/>
            <w:vAlign w:val="center"/>
          </w:tcPr>
          <w:p w14:paraId="5F7F700B" w14:textId="528CACF5" w:rsidR="00201CAD" w:rsidRDefault="00BF69B9" w:rsidP="00201CAD">
            <w:pPr>
              <w:keepNext/>
              <w:keepLines/>
              <w:suppressAutoHyphens/>
              <w:spacing w:after="0" w:line="259" w:lineRule="auto"/>
              <w:contextualSpacing w:val="0"/>
              <w:jc w:val="right"/>
            </w:pPr>
            <w:r>
              <w:t>9</w:t>
            </w:r>
            <w:r w:rsidR="00201CAD">
              <w:t>,500</w:t>
            </w:r>
          </w:p>
        </w:tc>
        <w:tc>
          <w:tcPr>
            <w:tcW w:w="2131" w:type="dxa"/>
            <w:shd w:val="clear" w:color="auto" w:fill="DAE3F8" w:themeFill="accent1" w:themeFillTint="33"/>
            <w:vAlign w:val="center"/>
          </w:tcPr>
          <w:p w14:paraId="36FA2F9C" w14:textId="69141F31" w:rsidR="00201CAD" w:rsidRDefault="00201CAD" w:rsidP="00201CAD">
            <w:pPr>
              <w:keepNext/>
              <w:keepLines/>
              <w:suppressAutoHyphens/>
              <w:spacing w:after="0" w:line="259" w:lineRule="auto"/>
              <w:contextualSpacing w:val="0"/>
              <w:jc w:val="right"/>
            </w:pPr>
            <w:r>
              <w:t>29</w:t>
            </w:r>
            <w:r w:rsidR="00B12F12">
              <w:t>9</w:t>
            </w:r>
            <w:r>
              <w:t>,</w:t>
            </w:r>
            <w:r w:rsidR="00B12F12">
              <w:t>3</w:t>
            </w:r>
            <w:r>
              <w:t>00</w:t>
            </w:r>
          </w:p>
        </w:tc>
      </w:tr>
    </w:tbl>
    <w:p w14:paraId="688FF6AD" w14:textId="53A29A98" w:rsidR="0079100C" w:rsidRDefault="0079100C" w:rsidP="0079100C">
      <w:pPr>
        <w:pStyle w:val="SWAHeading3"/>
        <w:keepNext/>
        <w:keepLines/>
      </w:pPr>
      <w:bookmarkStart w:id="542" w:name="_Toc196204839"/>
      <w:r>
        <w:t>Costs of the proposed WEL for respirable crystalline silica for the mining industry</w:t>
      </w:r>
      <w:bookmarkEnd w:id="542"/>
      <w:r>
        <w:t xml:space="preserve"> </w:t>
      </w:r>
    </w:p>
    <w:p w14:paraId="75F74008" w14:textId="4ADC5051" w:rsidR="0079100C" w:rsidRPr="00746F98" w:rsidRDefault="00055ABE" w:rsidP="0079100C">
      <w:pPr>
        <w:spacing w:after="160" w:line="259" w:lineRule="auto"/>
        <w:contextualSpacing w:val="0"/>
      </w:pPr>
      <w:r>
        <w:t xml:space="preserve">Costs of the proposed WEL for RCS for the </w:t>
      </w:r>
      <w:r w:rsidR="0079100C" w:rsidRPr="00746F98">
        <w:t xml:space="preserve">mining industry has been </w:t>
      </w:r>
      <w:r w:rsidR="0079100C">
        <w:t>considered separately, as the</w:t>
      </w:r>
      <w:r w:rsidR="0079100C" w:rsidRPr="00746F98">
        <w:t xml:space="preserve"> estimated costs for </w:t>
      </w:r>
      <w:r w:rsidR="0079100C">
        <w:t>mining</w:t>
      </w:r>
      <w:r w:rsidR="0079100C" w:rsidRPr="00746F98">
        <w:t xml:space="preserve"> businesses are significantly higher than</w:t>
      </w:r>
      <w:r w:rsidR="0079100C" w:rsidRPr="00746F98" w:rsidDel="00055ABE">
        <w:t xml:space="preserve"> </w:t>
      </w:r>
      <w:r w:rsidR="0079100C" w:rsidRPr="00746F98">
        <w:t>other business</w:t>
      </w:r>
      <w:r w:rsidR="0079100C">
        <w:t>es</w:t>
      </w:r>
      <w:r w:rsidR="0079100C" w:rsidRPr="00746F98">
        <w:t xml:space="preserve"> (</w:t>
      </w:r>
      <w:r w:rsidR="00820197">
        <w:fldChar w:fldCharType="begin"/>
      </w:r>
      <w:r w:rsidR="00820197">
        <w:instrText xml:space="preserve"> REF _Ref216770865 \h </w:instrText>
      </w:r>
      <w:r w:rsidR="00820197">
        <w:fldChar w:fldCharType="separate"/>
      </w:r>
      <w:r w:rsidR="00A002F4">
        <w:t xml:space="preserve">Table </w:t>
      </w:r>
      <w:r w:rsidR="00A002F4">
        <w:rPr>
          <w:noProof/>
        </w:rPr>
        <w:t>38</w:t>
      </w:r>
      <w:r w:rsidR="00820197">
        <w:fldChar w:fldCharType="end"/>
      </w:r>
      <w:r w:rsidR="0079100C" w:rsidRPr="00746F98">
        <w:t xml:space="preserve">). </w:t>
      </w:r>
    </w:p>
    <w:p w14:paraId="74AB453A" w14:textId="7DEA9A97" w:rsidR="0079100C" w:rsidRDefault="00820197" w:rsidP="00FB18E4">
      <w:pPr>
        <w:spacing w:line="259" w:lineRule="auto"/>
        <w:contextualSpacing w:val="0"/>
      </w:pPr>
      <w:r>
        <w:fldChar w:fldCharType="begin"/>
      </w:r>
      <w:r>
        <w:instrText xml:space="preserve"> REF _Ref216770982 \h </w:instrText>
      </w:r>
      <w:r>
        <w:fldChar w:fldCharType="separate"/>
      </w:r>
      <w:r w:rsidR="00A002F4">
        <w:t xml:space="preserve">Table </w:t>
      </w:r>
      <w:r w:rsidR="00A002F4">
        <w:rPr>
          <w:noProof/>
        </w:rPr>
        <w:t>40</w:t>
      </w:r>
      <w:r>
        <w:fldChar w:fldCharType="end"/>
      </w:r>
      <w:r>
        <w:t xml:space="preserve"> </w:t>
      </w:r>
      <w:r w:rsidR="0079100C" w:rsidRPr="38A49B51">
        <w:t xml:space="preserve">presents the estimated total costs to </w:t>
      </w:r>
      <w:r w:rsidR="0014216F">
        <w:t>the</w:t>
      </w:r>
      <w:r w:rsidR="0014216F" w:rsidRPr="38A49B51">
        <w:t xml:space="preserve"> </w:t>
      </w:r>
      <w:r w:rsidR="0079100C" w:rsidRPr="38A49B51">
        <w:t xml:space="preserve">mining </w:t>
      </w:r>
      <w:r w:rsidR="0014216F">
        <w:t>industry</w:t>
      </w:r>
      <w:r w:rsidR="00076768">
        <w:t xml:space="preserve"> (across all business sizes)</w:t>
      </w:r>
      <w:r w:rsidR="0079100C" w:rsidRPr="38A49B51">
        <w:t xml:space="preserve"> </w:t>
      </w:r>
      <w:r w:rsidR="00814788">
        <w:t>to comply</w:t>
      </w:r>
      <w:r w:rsidR="0079100C" w:rsidRPr="38A49B51">
        <w:t xml:space="preserve"> with the proposed WEL for respirable crystalline silica (RCS) over the 10-year appraisal period (from FY27 to FY36). </w:t>
      </w:r>
    </w:p>
    <w:p w14:paraId="698BACEA" w14:textId="77777777" w:rsidR="0079100C" w:rsidRDefault="0079100C" w:rsidP="00FB18E4">
      <w:pPr>
        <w:spacing w:line="259" w:lineRule="auto"/>
        <w:contextualSpacing w:val="0"/>
      </w:pPr>
      <w:r w:rsidRPr="38A49B51">
        <w:t>The estimates represent the incremental costs between retaining the current WES (Option 1) and changing to the proposed WEL (Option 2). Any costs to businesses to comply with the current WES are not considered due to PCBUs’ ongoing WHS duty to eliminate or minimise risks, so far is as reasonably practicable (Section 17 of the model WHS Act).</w:t>
      </w:r>
    </w:p>
    <w:p w14:paraId="2E758E1C" w14:textId="7742E208" w:rsidR="0079100C" w:rsidRDefault="0079100C" w:rsidP="0079100C">
      <w:pPr>
        <w:spacing w:after="160" w:line="259" w:lineRule="auto"/>
        <w:contextualSpacing w:val="0"/>
      </w:pPr>
      <w:r>
        <w:t>The analysis illustrates that</w:t>
      </w:r>
      <w:r w:rsidR="00831A2B">
        <w:t xml:space="preserve"> for medium and large mining businesses</w:t>
      </w:r>
      <w:r>
        <w:t>:</w:t>
      </w:r>
    </w:p>
    <w:p w14:paraId="6ED9A0BC" w14:textId="1BF47331" w:rsidR="0079100C" w:rsidRDefault="0079100C" w:rsidP="00B57E6C">
      <w:pPr>
        <w:pStyle w:val="ListParagraph"/>
        <w:numPr>
          <w:ilvl w:val="0"/>
          <w:numId w:val="21"/>
        </w:numPr>
        <w:suppressAutoHyphens/>
        <w:spacing w:line="259" w:lineRule="auto"/>
        <w:contextualSpacing w:val="0"/>
      </w:pPr>
      <w:bookmarkStart w:id="543" w:name="_Toc196204840"/>
      <w:r>
        <w:t xml:space="preserve">The estimated total cost to affected businesses over 10 years is </w:t>
      </w:r>
      <w:r w:rsidRPr="008A5B2B">
        <w:t>$</w:t>
      </w:r>
      <w:r w:rsidRPr="0085691B">
        <w:t>18.</w:t>
      </w:r>
      <w:r w:rsidR="00810221">
        <w:t>5</w:t>
      </w:r>
      <w:r w:rsidRPr="0085691B">
        <w:t xml:space="preserve"> billion</w:t>
      </w:r>
      <w:r w:rsidRPr="008A5B2B">
        <w:t xml:space="preserve"> (in real, discounted terms), which equates to $</w:t>
      </w:r>
      <w:r w:rsidRPr="0085691B">
        <w:t>3.</w:t>
      </w:r>
      <w:r w:rsidR="00066812">
        <w:t>0</w:t>
      </w:r>
      <w:r w:rsidRPr="0085691B">
        <w:t xml:space="preserve"> billion</w:t>
      </w:r>
      <w:r w:rsidRPr="008A5B2B">
        <w:t xml:space="preserve"> per year (in real, undiscounted terms).</w:t>
      </w:r>
      <w:bookmarkEnd w:id="543"/>
      <w:r w:rsidRPr="008A5B2B">
        <w:t xml:space="preserve"> </w:t>
      </w:r>
    </w:p>
    <w:p w14:paraId="2DF840F6" w14:textId="77777777" w:rsidR="0079100C" w:rsidRDefault="0079100C" w:rsidP="00B57E6C">
      <w:pPr>
        <w:pStyle w:val="ListParagraph"/>
        <w:keepNext/>
        <w:keepLines/>
        <w:numPr>
          <w:ilvl w:val="0"/>
          <w:numId w:val="21"/>
        </w:numPr>
        <w:suppressAutoHyphens/>
        <w:spacing w:line="259" w:lineRule="auto"/>
        <w:ind w:left="714" w:hanging="357"/>
        <w:contextualSpacing w:val="0"/>
      </w:pPr>
      <w:bookmarkStart w:id="544" w:name="_Toc196204841"/>
      <w:r w:rsidRPr="38A49B51">
        <w:t>These estimated total costs comprise of:</w:t>
      </w:r>
      <w:bookmarkEnd w:id="544"/>
      <w:r w:rsidRPr="38A49B51">
        <w:t xml:space="preserve"> </w:t>
      </w:r>
    </w:p>
    <w:p w14:paraId="27E0F02A" w14:textId="1B9DD929" w:rsidR="0079100C" w:rsidRPr="00500066" w:rsidRDefault="0079100C" w:rsidP="00B57E6C">
      <w:pPr>
        <w:pStyle w:val="ListParagraph"/>
        <w:keepNext/>
        <w:keepLines/>
        <w:numPr>
          <w:ilvl w:val="1"/>
          <w:numId w:val="21"/>
        </w:numPr>
        <w:suppressAutoHyphens/>
        <w:spacing w:line="259" w:lineRule="auto"/>
        <w:contextualSpacing w:val="0"/>
        <w:rPr>
          <w:color w:val="000000" w:themeColor="text1"/>
        </w:rPr>
      </w:pPr>
      <w:bookmarkStart w:id="545" w:name="_Toc196204842"/>
      <w:r w:rsidRPr="00500066">
        <w:rPr>
          <w:color w:val="000000" w:themeColor="text1"/>
        </w:rPr>
        <w:t>$15.</w:t>
      </w:r>
      <w:r w:rsidR="00EB745E">
        <w:rPr>
          <w:color w:val="000000" w:themeColor="text1"/>
        </w:rPr>
        <w:t>4</w:t>
      </w:r>
      <w:r w:rsidR="00EB745E" w:rsidRPr="00500066">
        <w:rPr>
          <w:color w:val="000000" w:themeColor="text1"/>
        </w:rPr>
        <w:t xml:space="preserve"> </w:t>
      </w:r>
      <w:r w:rsidRPr="00500066">
        <w:rPr>
          <w:color w:val="000000" w:themeColor="text1"/>
        </w:rPr>
        <w:t>billion for engineering controls (including conveyor guards, transfer curtain, stockpile covers, water dust suppression, machine cab filtration, and HEPA vacuums and filters).</w:t>
      </w:r>
      <w:bookmarkEnd w:id="545"/>
    </w:p>
    <w:p w14:paraId="2C8F5454" w14:textId="5D8C5725" w:rsidR="00171E13" w:rsidRDefault="0079100C" w:rsidP="00B57E6C">
      <w:pPr>
        <w:pStyle w:val="ListParagraph"/>
        <w:numPr>
          <w:ilvl w:val="1"/>
          <w:numId w:val="21"/>
        </w:numPr>
        <w:suppressAutoHyphens/>
        <w:spacing w:line="259" w:lineRule="auto"/>
        <w:contextualSpacing w:val="0"/>
        <w:rPr>
          <w:color w:val="000000" w:themeColor="text1"/>
        </w:rPr>
      </w:pPr>
      <w:bookmarkStart w:id="546" w:name="_Toc196204843"/>
      <w:r w:rsidRPr="00500066">
        <w:rPr>
          <w:color w:val="000000" w:themeColor="text1"/>
        </w:rPr>
        <w:t>$2.</w:t>
      </w:r>
      <w:r w:rsidR="000D3356">
        <w:rPr>
          <w:color w:val="000000" w:themeColor="text1"/>
        </w:rPr>
        <w:t>5</w:t>
      </w:r>
      <w:r w:rsidRPr="00500066">
        <w:rPr>
          <w:color w:val="000000" w:themeColor="text1"/>
        </w:rPr>
        <w:t xml:space="preserve"> billion for </w:t>
      </w:r>
      <w:r w:rsidR="004444FF">
        <w:rPr>
          <w:color w:val="000000" w:themeColor="text1"/>
        </w:rPr>
        <w:t xml:space="preserve">health monitoring </w:t>
      </w:r>
      <w:r w:rsidRPr="00500066">
        <w:rPr>
          <w:color w:val="000000" w:themeColor="text1"/>
        </w:rPr>
        <w:t>controls (including annual medical assessments, medical x-rays and lung cancer screenings, ongoing health monitoring</w:t>
      </w:r>
      <w:r w:rsidR="00171E13">
        <w:rPr>
          <w:color w:val="000000" w:themeColor="text1"/>
        </w:rPr>
        <w:t>)</w:t>
      </w:r>
      <w:bookmarkEnd w:id="546"/>
    </w:p>
    <w:p w14:paraId="25BB4133" w14:textId="77777777" w:rsidR="004C7590" w:rsidRPr="00500066" w:rsidRDefault="004C7590" w:rsidP="00B57E6C">
      <w:pPr>
        <w:pStyle w:val="ListParagraph"/>
        <w:numPr>
          <w:ilvl w:val="1"/>
          <w:numId w:val="21"/>
        </w:numPr>
        <w:suppressAutoHyphens/>
        <w:spacing w:line="259" w:lineRule="auto"/>
        <w:contextualSpacing w:val="0"/>
        <w:rPr>
          <w:color w:val="000000" w:themeColor="text1"/>
        </w:rPr>
      </w:pPr>
      <w:bookmarkStart w:id="547" w:name="_Toc196204844"/>
      <w:r w:rsidRPr="00500066">
        <w:rPr>
          <w:color w:val="000000" w:themeColor="text1"/>
        </w:rPr>
        <w:t>$3</w:t>
      </w:r>
      <w:r>
        <w:rPr>
          <w:color w:val="000000" w:themeColor="text1"/>
        </w:rPr>
        <w:t>29</w:t>
      </w:r>
      <w:r w:rsidRPr="00500066">
        <w:rPr>
          <w:color w:val="000000" w:themeColor="text1"/>
        </w:rPr>
        <w:t xml:space="preserve"> million for PPE (including PAPR, P2-P3 respirators and replacement filters)</w:t>
      </w:r>
      <w:r>
        <w:rPr>
          <w:color w:val="000000" w:themeColor="text1"/>
        </w:rPr>
        <w:t>.</w:t>
      </w:r>
      <w:bookmarkEnd w:id="547"/>
    </w:p>
    <w:p w14:paraId="7B6A4A14" w14:textId="6BF819E7" w:rsidR="0079100C" w:rsidRPr="00500066" w:rsidRDefault="00C61897" w:rsidP="00B57E6C">
      <w:pPr>
        <w:pStyle w:val="ListParagraph"/>
        <w:numPr>
          <w:ilvl w:val="1"/>
          <w:numId w:val="21"/>
        </w:numPr>
        <w:suppressAutoHyphens/>
        <w:spacing w:line="259" w:lineRule="auto"/>
        <w:contextualSpacing w:val="0"/>
        <w:rPr>
          <w:color w:val="000000" w:themeColor="text1"/>
        </w:rPr>
      </w:pPr>
      <w:bookmarkStart w:id="548" w:name="_Toc196204845"/>
      <w:r>
        <w:rPr>
          <w:color w:val="000000" w:themeColor="text1"/>
        </w:rPr>
        <w:lastRenderedPageBreak/>
        <w:t>$102 million for administrative controls (</w:t>
      </w:r>
      <w:r w:rsidR="0079100C">
        <w:rPr>
          <w:color w:val="000000" w:themeColor="text1"/>
        </w:rPr>
        <w:t>respiratory protective equipment (</w:t>
      </w:r>
      <w:r w:rsidR="0079100C" w:rsidRPr="00500066">
        <w:rPr>
          <w:color w:val="000000" w:themeColor="text1"/>
        </w:rPr>
        <w:t>RPE</w:t>
      </w:r>
      <w:r w:rsidR="0079100C">
        <w:rPr>
          <w:color w:val="000000" w:themeColor="text1"/>
        </w:rPr>
        <w:t>)</w:t>
      </w:r>
      <w:r w:rsidR="0079100C" w:rsidRPr="00500066">
        <w:rPr>
          <w:color w:val="000000" w:themeColor="text1"/>
        </w:rPr>
        <w:t xml:space="preserve"> fit testing and staff training).</w:t>
      </w:r>
      <w:bookmarkEnd w:id="548"/>
    </w:p>
    <w:p w14:paraId="655D04A6" w14:textId="304F6F04" w:rsidR="0079100C" w:rsidRDefault="0079100C" w:rsidP="00B57E6C">
      <w:pPr>
        <w:pStyle w:val="ListParagraph"/>
        <w:numPr>
          <w:ilvl w:val="1"/>
          <w:numId w:val="21"/>
        </w:numPr>
        <w:suppressAutoHyphens/>
        <w:spacing w:line="259" w:lineRule="auto"/>
        <w:contextualSpacing w:val="0"/>
        <w:rPr>
          <w:color w:val="000000" w:themeColor="text1"/>
        </w:rPr>
      </w:pPr>
      <w:bookmarkStart w:id="549" w:name="_Toc196204846"/>
      <w:r w:rsidRPr="00500066" w:rsidDel="004C7590">
        <w:rPr>
          <w:color w:val="000000" w:themeColor="text1"/>
        </w:rPr>
        <w:t>$</w:t>
      </w:r>
      <w:r w:rsidRPr="00500066">
        <w:rPr>
          <w:color w:val="000000" w:themeColor="text1"/>
        </w:rPr>
        <w:t>8</w:t>
      </w:r>
      <w:r w:rsidR="004C7590">
        <w:rPr>
          <w:color w:val="000000" w:themeColor="text1"/>
        </w:rPr>
        <w:t>4</w:t>
      </w:r>
      <w:r w:rsidRPr="00500066">
        <w:rPr>
          <w:color w:val="000000" w:themeColor="text1"/>
        </w:rPr>
        <w:t xml:space="preserve"> million for air monitoring undertaken by external consultants.</w:t>
      </w:r>
      <w:bookmarkEnd w:id="549"/>
    </w:p>
    <w:p w14:paraId="3C883F27" w14:textId="40786EBE" w:rsidR="0079100C" w:rsidRDefault="0079100C" w:rsidP="0079100C">
      <w:r w:rsidRPr="38A49B51">
        <w:t>Standardised costs have been estimated for small mining businesses (which includes extractive resources businesses), given the industry-specific costs provided related to medium and large businesses</w:t>
      </w:r>
      <w:r w:rsidR="00216546">
        <w:rPr>
          <w:rStyle w:val="FootnoteReference"/>
        </w:rPr>
        <w:footnoteReference w:id="261"/>
      </w:r>
      <w:r w:rsidRPr="38A49B51">
        <w:t>. The costs estimated for these businesses is $</w:t>
      </w:r>
      <w:r w:rsidR="00DC70A8">
        <w:t>27.9</w:t>
      </w:r>
      <w:r w:rsidRPr="38A49B51">
        <w:t xml:space="preserve"> million </w:t>
      </w:r>
      <w:r w:rsidRPr="38A49B51">
        <w:rPr>
          <w:color w:val="000000" w:themeColor="text1"/>
        </w:rPr>
        <w:t>(in real, discounted terms), which equates to $</w:t>
      </w:r>
      <w:r w:rsidR="00DC70A8">
        <w:rPr>
          <w:color w:val="000000" w:themeColor="text1"/>
        </w:rPr>
        <w:t>4.5</w:t>
      </w:r>
      <w:r w:rsidRPr="38A49B51">
        <w:rPr>
          <w:color w:val="000000" w:themeColor="text1"/>
        </w:rPr>
        <w:t xml:space="preserve"> million per year (in real, undiscounted terms). These estimated total costs comprise:</w:t>
      </w:r>
    </w:p>
    <w:p w14:paraId="51EB95C1" w14:textId="77777777" w:rsidR="0079100C" w:rsidRDefault="0079100C" w:rsidP="00B57E6C">
      <w:pPr>
        <w:pStyle w:val="ListParagraph"/>
        <w:numPr>
          <w:ilvl w:val="1"/>
          <w:numId w:val="12"/>
        </w:numPr>
        <w:suppressAutoHyphens/>
        <w:spacing w:line="259" w:lineRule="auto"/>
        <w:ind w:left="680" w:hanging="340"/>
        <w:contextualSpacing w:val="0"/>
        <w:rPr>
          <w:color w:val="000000" w:themeColor="text1"/>
        </w:rPr>
      </w:pPr>
      <w:bookmarkStart w:id="550" w:name="_Toc196204847"/>
      <w:r w:rsidRPr="38A49B51">
        <w:rPr>
          <w:color w:val="000000" w:themeColor="text1"/>
        </w:rPr>
        <w:t>control measure costs of $</w:t>
      </w:r>
      <w:r>
        <w:rPr>
          <w:color w:val="000000" w:themeColor="text1"/>
        </w:rPr>
        <w:t>24.9</w:t>
      </w:r>
      <w:r w:rsidRPr="38A49B51">
        <w:rPr>
          <w:color w:val="000000" w:themeColor="text1"/>
        </w:rPr>
        <w:t xml:space="preserve"> million over 10 years, comprising isolation controls ($4.</w:t>
      </w:r>
      <w:r>
        <w:rPr>
          <w:color w:val="000000" w:themeColor="text1"/>
        </w:rPr>
        <w:t>1</w:t>
      </w:r>
      <w:r w:rsidRPr="38A49B51">
        <w:rPr>
          <w:color w:val="000000" w:themeColor="text1"/>
        </w:rPr>
        <w:t xml:space="preserve"> million), engineering controls ($3.</w:t>
      </w:r>
      <w:r>
        <w:rPr>
          <w:color w:val="000000" w:themeColor="text1"/>
        </w:rPr>
        <w:t>3</w:t>
      </w:r>
      <w:r w:rsidRPr="38A49B51">
        <w:rPr>
          <w:color w:val="000000" w:themeColor="text1"/>
        </w:rPr>
        <w:t xml:space="preserve"> million)</w:t>
      </w:r>
      <w:r>
        <w:rPr>
          <w:color w:val="000000" w:themeColor="text1"/>
        </w:rPr>
        <w:t>, administrative controls ($11.7 million)</w:t>
      </w:r>
      <w:r w:rsidRPr="38A49B51">
        <w:rPr>
          <w:color w:val="000000" w:themeColor="text1"/>
        </w:rPr>
        <w:t xml:space="preserve"> and PPE ($</w:t>
      </w:r>
      <w:r>
        <w:rPr>
          <w:color w:val="000000" w:themeColor="text1"/>
        </w:rPr>
        <w:t>5.8</w:t>
      </w:r>
      <w:r w:rsidRPr="38A49B51">
        <w:rPr>
          <w:color w:val="000000" w:themeColor="text1"/>
        </w:rPr>
        <w:t xml:space="preserve"> million).</w:t>
      </w:r>
      <w:bookmarkEnd w:id="550"/>
    </w:p>
    <w:p w14:paraId="548E500C" w14:textId="36782CC8" w:rsidR="00D61927" w:rsidRPr="007621F9" w:rsidRDefault="0079100C" w:rsidP="00B57E6C">
      <w:pPr>
        <w:pStyle w:val="ListParagraph"/>
        <w:numPr>
          <w:ilvl w:val="1"/>
          <w:numId w:val="12"/>
        </w:numPr>
        <w:suppressAutoHyphens/>
        <w:spacing w:line="259" w:lineRule="auto"/>
        <w:ind w:left="680" w:hanging="340"/>
        <w:contextualSpacing w:val="0"/>
        <w:rPr>
          <w:color w:val="000000" w:themeColor="text1"/>
        </w:rPr>
      </w:pPr>
      <w:bookmarkStart w:id="551" w:name="_Toc196204848"/>
      <w:r w:rsidRPr="38A49B51">
        <w:rPr>
          <w:color w:val="000000" w:themeColor="text1"/>
        </w:rPr>
        <w:t xml:space="preserve">management practice costs of $ </w:t>
      </w:r>
      <w:r w:rsidDel="00B51C66">
        <w:rPr>
          <w:color w:val="000000" w:themeColor="text1"/>
        </w:rPr>
        <w:t>3</w:t>
      </w:r>
      <w:r w:rsidR="00C64296">
        <w:rPr>
          <w:color w:val="000000" w:themeColor="text1"/>
        </w:rPr>
        <w:t>.0</w:t>
      </w:r>
      <w:r>
        <w:rPr>
          <w:color w:val="000000" w:themeColor="text1"/>
        </w:rPr>
        <w:t xml:space="preserve"> </w:t>
      </w:r>
      <w:r w:rsidRPr="38A49B51">
        <w:rPr>
          <w:color w:val="000000" w:themeColor="text1"/>
        </w:rPr>
        <w:t>million, comprising air monitoring ($0.</w:t>
      </w:r>
      <w:r>
        <w:rPr>
          <w:color w:val="000000" w:themeColor="text1"/>
        </w:rPr>
        <w:t>5</w:t>
      </w:r>
      <w:r w:rsidRPr="38A49B51">
        <w:rPr>
          <w:color w:val="000000" w:themeColor="text1"/>
        </w:rPr>
        <w:t xml:space="preserve"> million)</w:t>
      </w:r>
      <w:r>
        <w:rPr>
          <w:color w:val="000000" w:themeColor="text1"/>
        </w:rPr>
        <w:t>,</w:t>
      </w:r>
      <w:r w:rsidR="00B51C66">
        <w:rPr>
          <w:color w:val="000000" w:themeColor="text1"/>
        </w:rPr>
        <w:t xml:space="preserve"> </w:t>
      </w:r>
      <w:r w:rsidRPr="38A49B51">
        <w:rPr>
          <w:color w:val="000000" w:themeColor="text1"/>
        </w:rPr>
        <w:t>occupational hygiene ($2.</w:t>
      </w:r>
      <w:r>
        <w:rPr>
          <w:color w:val="000000" w:themeColor="text1"/>
        </w:rPr>
        <w:t>5</w:t>
      </w:r>
      <w:r w:rsidRPr="38A49B51">
        <w:rPr>
          <w:color w:val="000000" w:themeColor="text1"/>
        </w:rPr>
        <w:t xml:space="preserve"> </w:t>
      </w:r>
      <w:r w:rsidRPr="00B5175A">
        <w:rPr>
          <w:color w:val="000000" w:themeColor="text1"/>
        </w:rPr>
        <w:t>million</w:t>
      </w:r>
      <w:r w:rsidDel="004F1D22">
        <w:rPr>
          <w:color w:val="000000" w:themeColor="text1"/>
        </w:rPr>
        <w:t>)</w:t>
      </w:r>
      <w:r w:rsidRPr="38A49B51">
        <w:rPr>
          <w:color w:val="000000" w:themeColor="text1"/>
        </w:rPr>
        <w:t>.</w:t>
      </w:r>
      <w:bookmarkEnd w:id="551"/>
    </w:p>
    <w:p w14:paraId="3784FC83" w14:textId="77777777" w:rsidR="00C82907" w:rsidRDefault="00C82907" w:rsidP="003349CC">
      <w:pPr>
        <w:spacing w:line="240" w:lineRule="atLeast"/>
        <w:contextualSpacing w:val="0"/>
      </w:pPr>
      <w:bookmarkStart w:id="552" w:name="_Ref199927615"/>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1A0D285A" w14:textId="4565665B" w:rsidR="003E7EB7" w:rsidRDefault="00C82907" w:rsidP="003349CC">
      <w:pPr>
        <w:spacing w:line="240" w:lineRule="atLeast"/>
        <w:contextualSpacing w:val="0"/>
      </w:pPr>
      <w:r>
        <w:t xml:space="preserve">Obligations around management practice costs make these costs more likely to be evenly distributed throughout the appraisal period. </w:t>
      </w:r>
      <w:bookmarkEnd w:id="552"/>
    </w:p>
    <w:p w14:paraId="3F957CBD" w14:textId="4CB1FCD7" w:rsidR="00820197" w:rsidRDefault="00820197" w:rsidP="00E7252F">
      <w:pPr>
        <w:pStyle w:val="Caption"/>
        <w:keepLines/>
      </w:pPr>
      <w:bookmarkStart w:id="553" w:name="_Ref216770982"/>
      <w:r>
        <w:t xml:space="preserve">Table </w:t>
      </w:r>
      <w:fldSimple w:instr=" SEQ Table \* ARABIC ">
        <w:r w:rsidR="00A002F4">
          <w:rPr>
            <w:noProof/>
          </w:rPr>
          <w:t>40</w:t>
        </w:r>
      </w:fldSimple>
      <w:bookmarkEnd w:id="553"/>
      <w:r>
        <w:t xml:space="preserve"> - </w:t>
      </w:r>
      <w:r w:rsidRPr="00903E78">
        <w:t>Estimated average annual and total incremental costs to mining businesses (all business sizes) affected by the proposed WEL for RCS, FY27 to FY36</w:t>
      </w: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693"/>
        <w:gridCol w:w="2551"/>
      </w:tblGrid>
      <w:tr w:rsidR="0079100C" w:rsidRPr="008404A0" w14:paraId="65BFB6FC" w14:textId="77777777" w:rsidTr="00FB18E4">
        <w:trPr>
          <w:trHeight w:val="617"/>
        </w:trPr>
        <w:tc>
          <w:tcPr>
            <w:tcW w:w="3823" w:type="dxa"/>
            <w:shd w:val="clear" w:color="auto" w:fill="4877E0" w:themeFill="accent1"/>
          </w:tcPr>
          <w:p w14:paraId="05D1D6AC" w14:textId="77777777" w:rsidR="0079100C" w:rsidRPr="00526CB9" w:rsidRDefault="0079100C" w:rsidP="00E7252F">
            <w:pPr>
              <w:pStyle w:val="Paragraph"/>
              <w:keepLines/>
              <w:spacing w:after="0"/>
              <w:rPr>
                <w:b/>
                <w:bCs/>
                <w:color w:val="FFFFFF" w:themeColor="background1"/>
              </w:rPr>
            </w:pPr>
            <w:r>
              <w:rPr>
                <w:b/>
                <w:bCs/>
                <w:color w:val="FFFFFF" w:themeColor="background1"/>
              </w:rPr>
              <w:t>Cost category</w:t>
            </w:r>
          </w:p>
        </w:tc>
        <w:tc>
          <w:tcPr>
            <w:tcW w:w="2693" w:type="dxa"/>
            <w:shd w:val="clear" w:color="auto" w:fill="4877E0" w:themeFill="accent1"/>
          </w:tcPr>
          <w:p w14:paraId="5E252D05" w14:textId="77777777" w:rsidR="0079100C" w:rsidRPr="00526CB9" w:rsidRDefault="0079100C" w:rsidP="00E7252F">
            <w:pPr>
              <w:pStyle w:val="Paragraph"/>
              <w:keepLines/>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shd w:val="clear" w:color="auto" w:fill="4877E0" w:themeFill="accent1"/>
          </w:tcPr>
          <w:p w14:paraId="533CFCEB" w14:textId="77777777" w:rsidR="0079100C" w:rsidRPr="00526CB9" w:rsidRDefault="0079100C" w:rsidP="00E7252F">
            <w:pPr>
              <w:pStyle w:val="Paragraph"/>
              <w:keepLines/>
              <w:spacing w:after="0"/>
              <w:rPr>
                <w:b/>
                <w:bCs/>
                <w:color w:val="FFFFFF" w:themeColor="background1"/>
              </w:rPr>
            </w:pPr>
            <w:r>
              <w:rPr>
                <w:b/>
                <w:bCs/>
                <w:color w:val="FFFFFF" w:themeColor="background1"/>
              </w:rPr>
              <w:t>Total costs ($ millions, discounted)</w:t>
            </w:r>
          </w:p>
        </w:tc>
      </w:tr>
      <w:tr w:rsidR="00237CF0" w:rsidRPr="00BA600A" w14:paraId="03E5C8B9" w14:textId="77777777" w:rsidTr="00FB18E4">
        <w:trPr>
          <w:trHeight w:val="288"/>
        </w:trPr>
        <w:tc>
          <w:tcPr>
            <w:tcW w:w="3823" w:type="dxa"/>
            <w:shd w:val="clear" w:color="auto" w:fill="DAE3F8" w:themeFill="accent1" w:themeFillTint="33"/>
          </w:tcPr>
          <w:p w14:paraId="06DBC5CE" w14:textId="77777777" w:rsidR="00237CF0" w:rsidRPr="00154D99" w:rsidRDefault="00237CF0" w:rsidP="00E7252F">
            <w:pPr>
              <w:pStyle w:val="Paragraph"/>
              <w:keepLines/>
              <w:spacing w:after="0" w:line="276" w:lineRule="auto"/>
              <w:rPr>
                <w:b/>
              </w:rPr>
            </w:pPr>
            <w:r w:rsidRPr="00154D99">
              <w:rPr>
                <w:b/>
              </w:rPr>
              <w:t>Control measure costs</w:t>
            </w:r>
          </w:p>
        </w:tc>
        <w:tc>
          <w:tcPr>
            <w:tcW w:w="2693" w:type="dxa"/>
            <w:shd w:val="clear" w:color="auto" w:fill="DAE3F8" w:themeFill="accent1" w:themeFillTint="33"/>
          </w:tcPr>
          <w:p w14:paraId="384024A9" w14:textId="356C65EC" w:rsidR="00237CF0" w:rsidRPr="00102C76" w:rsidRDefault="00237CF0" w:rsidP="00E7252F">
            <w:pPr>
              <w:keepNext/>
              <w:keepLines/>
              <w:jc w:val="right"/>
              <w:rPr>
                <w:b/>
                <w:bCs/>
              </w:rPr>
            </w:pPr>
            <w:r w:rsidRPr="00FB18E4">
              <w:rPr>
                <w:rFonts w:asciiTheme="majorHAnsi" w:hAnsiTheme="majorHAnsi" w:cstheme="majorHAnsi"/>
                <w:b/>
                <w:bCs/>
              </w:rPr>
              <w:t>2,588.6</w:t>
            </w:r>
          </w:p>
        </w:tc>
        <w:tc>
          <w:tcPr>
            <w:tcW w:w="2551" w:type="dxa"/>
            <w:shd w:val="clear" w:color="auto" w:fill="DAE3F8" w:themeFill="accent1" w:themeFillTint="33"/>
          </w:tcPr>
          <w:p w14:paraId="0FCB4369" w14:textId="1064AEFF" w:rsidR="00237CF0" w:rsidRPr="00102C76" w:rsidRDefault="00237CF0" w:rsidP="00E7252F">
            <w:pPr>
              <w:keepNext/>
              <w:keepLines/>
              <w:jc w:val="right"/>
              <w:rPr>
                <w:b/>
                <w:bCs/>
              </w:rPr>
            </w:pPr>
            <w:r w:rsidRPr="00FB18E4">
              <w:rPr>
                <w:rFonts w:asciiTheme="majorHAnsi" w:hAnsiTheme="majorHAnsi" w:cstheme="majorHAnsi"/>
                <w:b/>
                <w:bCs/>
              </w:rPr>
              <w:t>15,904</w:t>
            </w:r>
            <w:r w:rsidR="00930CA8">
              <w:rPr>
                <w:rFonts w:asciiTheme="majorHAnsi" w:hAnsiTheme="majorHAnsi" w:cstheme="majorHAnsi"/>
                <w:b/>
                <w:bCs/>
              </w:rPr>
              <w:t>.4</w:t>
            </w:r>
          </w:p>
        </w:tc>
      </w:tr>
      <w:tr w:rsidR="004D2AC2" w:rsidRPr="00BA600A" w14:paraId="06CCFDD8" w14:textId="77777777" w:rsidTr="004D2AC2">
        <w:trPr>
          <w:trHeight w:val="304"/>
        </w:trPr>
        <w:tc>
          <w:tcPr>
            <w:tcW w:w="3823" w:type="dxa"/>
          </w:tcPr>
          <w:p w14:paraId="21520FD1" w14:textId="77777777" w:rsidR="00237CF0" w:rsidRPr="00B155EC" w:rsidRDefault="00237CF0" w:rsidP="00E7252F">
            <w:pPr>
              <w:pStyle w:val="Paragraph"/>
              <w:keepLines/>
              <w:spacing w:after="0" w:line="276" w:lineRule="auto"/>
              <w:ind w:left="171"/>
              <w:rPr>
                <w:bCs/>
              </w:rPr>
            </w:pPr>
            <w:r w:rsidRPr="00B155EC">
              <w:rPr>
                <w:bCs/>
              </w:rPr>
              <w:t>Isolation control costs</w:t>
            </w:r>
          </w:p>
        </w:tc>
        <w:tc>
          <w:tcPr>
            <w:tcW w:w="2693" w:type="dxa"/>
          </w:tcPr>
          <w:p w14:paraId="643577A6" w14:textId="740D88A5" w:rsidR="00237CF0" w:rsidRPr="00237CF0" w:rsidRDefault="00237CF0" w:rsidP="00E7252F">
            <w:pPr>
              <w:keepNext/>
              <w:keepLines/>
              <w:jc w:val="right"/>
            </w:pPr>
            <w:r w:rsidRPr="00237CF0" w:rsidDel="003020D6">
              <w:t>0.7</w:t>
            </w:r>
          </w:p>
        </w:tc>
        <w:tc>
          <w:tcPr>
            <w:tcW w:w="2551" w:type="dxa"/>
          </w:tcPr>
          <w:p w14:paraId="723C1A61" w14:textId="4CC967AF" w:rsidR="00237CF0" w:rsidRPr="00237CF0" w:rsidRDefault="00237CF0" w:rsidP="00E7252F">
            <w:pPr>
              <w:keepNext/>
              <w:keepLines/>
              <w:jc w:val="right"/>
            </w:pPr>
            <w:r w:rsidRPr="00237CF0" w:rsidDel="003020D6">
              <w:t>4</w:t>
            </w:r>
            <w:r w:rsidR="00930CA8">
              <w:t>.1</w:t>
            </w:r>
          </w:p>
        </w:tc>
      </w:tr>
      <w:tr w:rsidR="004D2AC2" w:rsidRPr="00BA600A" w14:paraId="3CDF5477" w14:textId="77777777" w:rsidTr="004D2AC2">
        <w:trPr>
          <w:trHeight w:val="304"/>
        </w:trPr>
        <w:tc>
          <w:tcPr>
            <w:tcW w:w="3823" w:type="dxa"/>
          </w:tcPr>
          <w:p w14:paraId="0132EBAA" w14:textId="77777777" w:rsidR="00237CF0" w:rsidRPr="00B155EC" w:rsidRDefault="00237CF0" w:rsidP="00E7252F">
            <w:pPr>
              <w:pStyle w:val="Paragraph"/>
              <w:keepLines/>
              <w:spacing w:after="0" w:line="276" w:lineRule="auto"/>
              <w:ind w:left="171"/>
              <w:rPr>
                <w:bCs/>
              </w:rPr>
            </w:pPr>
            <w:r w:rsidRPr="00B155EC">
              <w:rPr>
                <w:bCs/>
              </w:rPr>
              <w:t>Engineering control costs</w:t>
            </w:r>
          </w:p>
        </w:tc>
        <w:tc>
          <w:tcPr>
            <w:tcW w:w="2693" w:type="dxa"/>
          </w:tcPr>
          <w:p w14:paraId="198781F9" w14:textId="249BC080" w:rsidR="00237CF0" w:rsidRPr="00237CF0" w:rsidRDefault="00237CF0" w:rsidP="00E7252F">
            <w:pPr>
              <w:keepNext/>
              <w:keepLines/>
              <w:jc w:val="right"/>
            </w:pPr>
            <w:r w:rsidRPr="00237CF0">
              <w:t>2,515.</w:t>
            </w:r>
            <w:r w:rsidRPr="00237CF0" w:rsidDel="003020D6">
              <w:t>0</w:t>
            </w:r>
          </w:p>
        </w:tc>
        <w:tc>
          <w:tcPr>
            <w:tcW w:w="2551" w:type="dxa"/>
          </w:tcPr>
          <w:p w14:paraId="7E91DD2F" w14:textId="2A2DEF29" w:rsidR="00237CF0" w:rsidRPr="00237CF0" w:rsidRDefault="00237CF0" w:rsidP="00E7252F">
            <w:pPr>
              <w:keepNext/>
              <w:keepLines/>
              <w:jc w:val="right"/>
            </w:pPr>
            <w:r w:rsidRPr="00237CF0">
              <w:t>15,452</w:t>
            </w:r>
            <w:r w:rsidR="00930CA8">
              <w:t>.4</w:t>
            </w:r>
          </w:p>
        </w:tc>
      </w:tr>
      <w:tr w:rsidR="004D2AC2" w:rsidRPr="00BA600A" w14:paraId="5428F030" w14:textId="77777777" w:rsidTr="004D2AC2">
        <w:trPr>
          <w:trHeight w:val="288"/>
        </w:trPr>
        <w:tc>
          <w:tcPr>
            <w:tcW w:w="3823" w:type="dxa"/>
          </w:tcPr>
          <w:p w14:paraId="5EB8292D" w14:textId="77777777" w:rsidR="00237CF0" w:rsidRPr="00B155EC" w:rsidRDefault="00237CF0" w:rsidP="00E7252F">
            <w:pPr>
              <w:pStyle w:val="Paragraph"/>
              <w:keepLines/>
              <w:spacing w:after="0" w:line="276" w:lineRule="auto"/>
              <w:ind w:left="171"/>
              <w:rPr>
                <w:bCs/>
              </w:rPr>
            </w:pPr>
            <w:r w:rsidRPr="00B155EC">
              <w:rPr>
                <w:bCs/>
              </w:rPr>
              <w:t>Administrative control costs</w:t>
            </w:r>
          </w:p>
        </w:tc>
        <w:tc>
          <w:tcPr>
            <w:tcW w:w="2693" w:type="dxa"/>
          </w:tcPr>
          <w:p w14:paraId="5A109C48" w14:textId="3169A99E" w:rsidR="00237CF0" w:rsidRPr="00237CF0" w:rsidRDefault="00237CF0" w:rsidP="00E7252F">
            <w:pPr>
              <w:keepNext/>
              <w:keepLines/>
              <w:jc w:val="right"/>
            </w:pPr>
            <w:r w:rsidRPr="00237CF0">
              <w:t>18.5</w:t>
            </w:r>
          </w:p>
        </w:tc>
        <w:tc>
          <w:tcPr>
            <w:tcW w:w="2551" w:type="dxa"/>
          </w:tcPr>
          <w:p w14:paraId="4A485670" w14:textId="63304EA2" w:rsidR="00237CF0" w:rsidRPr="00237CF0" w:rsidRDefault="00237CF0" w:rsidP="00E7252F">
            <w:pPr>
              <w:keepNext/>
              <w:keepLines/>
              <w:jc w:val="right"/>
            </w:pPr>
            <w:r w:rsidRPr="00237CF0">
              <w:t>113</w:t>
            </w:r>
            <w:r w:rsidR="00930CA8">
              <w:t>.4</w:t>
            </w:r>
          </w:p>
        </w:tc>
      </w:tr>
      <w:tr w:rsidR="004D2AC2" w:rsidRPr="00BA600A" w14:paraId="2DB9C209" w14:textId="77777777" w:rsidTr="004D2AC2">
        <w:trPr>
          <w:trHeight w:val="206"/>
        </w:trPr>
        <w:tc>
          <w:tcPr>
            <w:tcW w:w="3823" w:type="dxa"/>
          </w:tcPr>
          <w:p w14:paraId="419331B0" w14:textId="77777777" w:rsidR="00237CF0" w:rsidRPr="00B155EC" w:rsidRDefault="00237CF0" w:rsidP="00E7252F">
            <w:pPr>
              <w:pStyle w:val="Paragraph"/>
              <w:keepLines/>
              <w:spacing w:after="0" w:line="276" w:lineRule="auto"/>
              <w:ind w:left="171"/>
              <w:rPr>
                <w:bCs/>
              </w:rPr>
            </w:pPr>
            <w:r w:rsidRPr="00B155EC">
              <w:rPr>
                <w:bCs/>
              </w:rPr>
              <w:t>Personal protective equipment costs</w:t>
            </w:r>
          </w:p>
        </w:tc>
        <w:tc>
          <w:tcPr>
            <w:tcW w:w="2693" w:type="dxa"/>
          </w:tcPr>
          <w:p w14:paraId="46E5F505" w14:textId="43D2C35D" w:rsidR="00237CF0" w:rsidRPr="00237CF0" w:rsidRDefault="00237CF0" w:rsidP="00E7252F">
            <w:pPr>
              <w:keepNext/>
              <w:keepLines/>
              <w:jc w:val="right"/>
            </w:pPr>
            <w:r w:rsidRPr="00237CF0">
              <w:t>54.4</w:t>
            </w:r>
          </w:p>
        </w:tc>
        <w:tc>
          <w:tcPr>
            <w:tcW w:w="2551" w:type="dxa"/>
          </w:tcPr>
          <w:p w14:paraId="7EF5909D" w14:textId="4500DACD" w:rsidR="00237CF0" w:rsidRPr="00237CF0" w:rsidRDefault="00237CF0" w:rsidP="00E7252F">
            <w:pPr>
              <w:keepNext/>
              <w:keepLines/>
              <w:jc w:val="right"/>
            </w:pPr>
            <w:r w:rsidRPr="00237CF0">
              <w:t>334</w:t>
            </w:r>
            <w:r w:rsidR="00930CA8">
              <w:t>.4</w:t>
            </w:r>
          </w:p>
        </w:tc>
      </w:tr>
      <w:tr w:rsidR="00237CF0" w:rsidRPr="00BA600A" w14:paraId="24F87D13" w14:textId="77777777" w:rsidTr="00FB18E4">
        <w:trPr>
          <w:trHeight w:val="304"/>
        </w:trPr>
        <w:tc>
          <w:tcPr>
            <w:tcW w:w="3823" w:type="dxa"/>
            <w:shd w:val="clear" w:color="auto" w:fill="DAE3F8" w:themeFill="accent1" w:themeFillTint="33"/>
          </w:tcPr>
          <w:p w14:paraId="4A55956E" w14:textId="77777777" w:rsidR="00237CF0" w:rsidRPr="00154D99" w:rsidRDefault="00237CF0" w:rsidP="00E7252F">
            <w:pPr>
              <w:pStyle w:val="Paragraph"/>
              <w:keepLines/>
              <w:spacing w:after="0" w:line="276" w:lineRule="auto"/>
              <w:rPr>
                <w:b/>
              </w:rPr>
            </w:pPr>
            <w:r w:rsidRPr="00154D99">
              <w:rPr>
                <w:b/>
              </w:rPr>
              <w:t>Management practice costs</w:t>
            </w:r>
          </w:p>
        </w:tc>
        <w:tc>
          <w:tcPr>
            <w:tcW w:w="2693" w:type="dxa"/>
            <w:shd w:val="clear" w:color="auto" w:fill="DAE3F8" w:themeFill="accent1" w:themeFillTint="33"/>
          </w:tcPr>
          <w:p w14:paraId="505285B6" w14:textId="45E88322" w:rsidR="00237CF0" w:rsidRPr="00102C76" w:rsidRDefault="00237CF0" w:rsidP="00E7252F">
            <w:pPr>
              <w:keepNext/>
              <w:keepLines/>
              <w:jc w:val="right"/>
              <w:rPr>
                <w:b/>
                <w:bCs/>
              </w:rPr>
            </w:pPr>
            <w:r w:rsidRPr="00FB18E4">
              <w:rPr>
                <w:rFonts w:asciiTheme="majorHAnsi" w:hAnsiTheme="majorHAnsi" w:cstheme="majorHAnsi"/>
                <w:b/>
                <w:bCs/>
              </w:rPr>
              <w:t>419.6</w:t>
            </w:r>
          </w:p>
        </w:tc>
        <w:tc>
          <w:tcPr>
            <w:tcW w:w="2551" w:type="dxa"/>
            <w:shd w:val="clear" w:color="auto" w:fill="DAE3F8" w:themeFill="accent1" w:themeFillTint="33"/>
          </w:tcPr>
          <w:p w14:paraId="08E06E6A" w14:textId="362BB681" w:rsidR="00237CF0" w:rsidRPr="00102C76" w:rsidRDefault="00237CF0" w:rsidP="00E7252F">
            <w:pPr>
              <w:keepNext/>
              <w:keepLines/>
              <w:jc w:val="right"/>
              <w:rPr>
                <w:b/>
                <w:bCs/>
              </w:rPr>
            </w:pPr>
            <w:r w:rsidRPr="00FB18E4">
              <w:rPr>
                <w:rFonts w:asciiTheme="majorHAnsi" w:hAnsiTheme="majorHAnsi" w:cstheme="majorHAnsi"/>
                <w:b/>
                <w:bCs/>
              </w:rPr>
              <w:t>2,578</w:t>
            </w:r>
            <w:r w:rsidR="00930CA8">
              <w:rPr>
                <w:rFonts w:asciiTheme="majorHAnsi" w:hAnsiTheme="majorHAnsi" w:cstheme="majorHAnsi"/>
                <w:b/>
                <w:bCs/>
              </w:rPr>
              <w:t>.2</w:t>
            </w:r>
          </w:p>
        </w:tc>
      </w:tr>
      <w:tr w:rsidR="004D2AC2" w:rsidRPr="00BA600A" w14:paraId="460F50BF" w14:textId="77777777" w:rsidTr="004D2AC2">
        <w:trPr>
          <w:trHeight w:val="288"/>
        </w:trPr>
        <w:tc>
          <w:tcPr>
            <w:tcW w:w="3823" w:type="dxa"/>
          </w:tcPr>
          <w:p w14:paraId="6BE30DF4" w14:textId="77777777" w:rsidR="00237CF0" w:rsidRPr="00B155EC" w:rsidRDefault="00237CF0" w:rsidP="00E7252F">
            <w:pPr>
              <w:pStyle w:val="Paragraph"/>
              <w:keepLines/>
              <w:spacing w:after="0" w:line="276" w:lineRule="auto"/>
              <w:ind w:left="171"/>
              <w:rPr>
                <w:bCs/>
              </w:rPr>
            </w:pPr>
            <w:r w:rsidRPr="00B155EC">
              <w:rPr>
                <w:bCs/>
              </w:rPr>
              <w:t>Air monitoring costs</w:t>
            </w:r>
          </w:p>
        </w:tc>
        <w:tc>
          <w:tcPr>
            <w:tcW w:w="2693" w:type="dxa"/>
          </w:tcPr>
          <w:p w14:paraId="009B317F" w14:textId="62975C4F" w:rsidR="00237CF0" w:rsidRPr="00237CF0" w:rsidRDefault="00237CF0" w:rsidP="00E7252F">
            <w:pPr>
              <w:keepNext/>
              <w:keepLines/>
              <w:jc w:val="right"/>
            </w:pPr>
            <w:r w:rsidRPr="00237CF0">
              <w:t>13.8</w:t>
            </w:r>
          </w:p>
        </w:tc>
        <w:tc>
          <w:tcPr>
            <w:tcW w:w="2551" w:type="dxa"/>
          </w:tcPr>
          <w:p w14:paraId="5CC67F52" w14:textId="02BEA300" w:rsidR="00237CF0" w:rsidRPr="00237CF0" w:rsidRDefault="00930CA8" w:rsidP="00E7252F">
            <w:pPr>
              <w:keepNext/>
              <w:keepLines/>
              <w:jc w:val="right"/>
            </w:pPr>
            <w:r>
              <w:t>84.6</w:t>
            </w:r>
          </w:p>
        </w:tc>
      </w:tr>
      <w:tr w:rsidR="004D2AC2" w:rsidRPr="00BA600A" w14:paraId="2C4540FA" w14:textId="77777777" w:rsidTr="004D2AC2">
        <w:trPr>
          <w:trHeight w:val="304"/>
        </w:trPr>
        <w:tc>
          <w:tcPr>
            <w:tcW w:w="3823" w:type="dxa"/>
          </w:tcPr>
          <w:p w14:paraId="54997A2A" w14:textId="77777777" w:rsidR="00237CF0" w:rsidRPr="00B155EC" w:rsidRDefault="00237CF0" w:rsidP="00E7252F">
            <w:pPr>
              <w:pStyle w:val="Paragraph"/>
              <w:keepLines/>
              <w:spacing w:after="0" w:line="276" w:lineRule="auto"/>
              <w:ind w:left="171"/>
              <w:rPr>
                <w:bCs/>
              </w:rPr>
            </w:pPr>
            <w:r w:rsidRPr="00B155EC">
              <w:rPr>
                <w:bCs/>
              </w:rPr>
              <w:t>Occupational hygiene costs</w:t>
            </w:r>
          </w:p>
        </w:tc>
        <w:tc>
          <w:tcPr>
            <w:tcW w:w="2693" w:type="dxa"/>
          </w:tcPr>
          <w:p w14:paraId="1EF081BD" w14:textId="6BC2ABDC" w:rsidR="00237CF0" w:rsidRPr="00237CF0" w:rsidRDefault="00237CF0" w:rsidP="00E7252F">
            <w:pPr>
              <w:keepNext/>
              <w:keepLines/>
              <w:jc w:val="right"/>
            </w:pPr>
            <w:r w:rsidRPr="00237CF0" w:rsidDel="003020D6">
              <w:t>0.4</w:t>
            </w:r>
          </w:p>
        </w:tc>
        <w:tc>
          <w:tcPr>
            <w:tcW w:w="2551" w:type="dxa"/>
          </w:tcPr>
          <w:p w14:paraId="0BADF965" w14:textId="07B9B166" w:rsidR="00237CF0" w:rsidRPr="00237CF0" w:rsidRDefault="00930CA8" w:rsidP="00E7252F">
            <w:pPr>
              <w:keepNext/>
              <w:keepLines/>
              <w:jc w:val="right"/>
            </w:pPr>
            <w:r>
              <w:t>2.5</w:t>
            </w:r>
          </w:p>
        </w:tc>
      </w:tr>
      <w:tr w:rsidR="004D2AC2" w:rsidRPr="00BA600A" w14:paraId="23956F7E" w14:textId="77777777" w:rsidTr="004D2AC2">
        <w:trPr>
          <w:trHeight w:val="304"/>
        </w:trPr>
        <w:tc>
          <w:tcPr>
            <w:tcW w:w="3823" w:type="dxa"/>
          </w:tcPr>
          <w:p w14:paraId="77DA93E1" w14:textId="77777777" w:rsidR="00237CF0" w:rsidRPr="00B155EC" w:rsidRDefault="00237CF0" w:rsidP="00E7252F">
            <w:pPr>
              <w:pStyle w:val="Paragraph"/>
              <w:keepLines/>
              <w:spacing w:after="0" w:line="276" w:lineRule="auto"/>
              <w:ind w:left="171"/>
              <w:rPr>
                <w:bCs/>
              </w:rPr>
            </w:pPr>
            <w:r>
              <w:rPr>
                <w:bCs/>
              </w:rPr>
              <w:t>Health monitoring costs</w:t>
            </w:r>
          </w:p>
        </w:tc>
        <w:tc>
          <w:tcPr>
            <w:tcW w:w="2693" w:type="dxa"/>
          </w:tcPr>
          <w:p w14:paraId="17680F82" w14:textId="3389FC61" w:rsidR="00237CF0" w:rsidRPr="00237CF0" w:rsidRDefault="00237CF0" w:rsidP="00E7252F">
            <w:pPr>
              <w:keepNext/>
              <w:keepLines/>
              <w:jc w:val="right"/>
            </w:pPr>
            <w:r w:rsidRPr="00237CF0">
              <w:t>405.4</w:t>
            </w:r>
          </w:p>
        </w:tc>
        <w:tc>
          <w:tcPr>
            <w:tcW w:w="2551" w:type="dxa"/>
          </w:tcPr>
          <w:p w14:paraId="0E27AFF1" w14:textId="34857CBA" w:rsidR="00237CF0" w:rsidRPr="00237CF0" w:rsidRDefault="00237CF0" w:rsidP="00E7252F">
            <w:pPr>
              <w:keepNext/>
              <w:keepLines/>
              <w:jc w:val="right"/>
            </w:pPr>
            <w:r w:rsidRPr="00237CF0">
              <w:t>2,</w:t>
            </w:r>
            <w:r w:rsidRPr="008D0D14">
              <w:t>491</w:t>
            </w:r>
            <w:r w:rsidR="00930CA8">
              <w:t>.1</w:t>
            </w:r>
          </w:p>
        </w:tc>
      </w:tr>
      <w:tr w:rsidR="00237CF0" w:rsidRPr="00BA600A" w14:paraId="6B0A80DE" w14:textId="77777777" w:rsidTr="00FB18E4">
        <w:trPr>
          <w:trHeight w:val="288"/>
        </w:trPr>
        <w:tc>
          <w:tcPr>
            <w:tcW w:w="3823" w:type="dxa"/>
            <w:shd w:val="clear" w:color="auto" w:fill="B5C8F2" w:themeFill="accent1" w:themeFillTint="66"/>
            <w:vAlign w:val="center"/>
          </w:tcPr>
          <w:p w14:paraId="36E2FE6E" w14:textId="77777777" w:rsidR="00237CF0" w:rsidRPr="00154D99" w:rsidRDefault="00237CF0" w:rsidP="00E7252F">
            <w:pPr>
              <w:pStyle w:val="Paragraph"/>
              <w:keepLines/>
              <w:spacing w:after="0" w:line="276" w:lineRule="auto"/>
              <w:rPr>
                <w:b/>
              </w:rPr>
            </w:pPr>
            <w:r w:rsidRPr="00154D99">
              <w:rPr>
                <w:b/>
              </w:rPr>
              <w:t>Total costs</w:t>
            </w:r>
          </w:p>
        </w:tc>
        <w:tc>
          <w:tcPr>
            <w:tcW w:w="2693" w:type="dxa"/>
            <w:shd w:val="clear" w:color="auto" w:fill="B5C8F2" w:themeFill="accent1" w:themeFillTint="66"/>
          </w:tcPr>
          <w:p w14:paraId="3D478AA4" w14:textId="5EDB46A7" w:rsidR="00237CF0" w:rsidRPr="00237CF0" w:rsidRDefault="00237CF0" w:rsidP="00E7252F">
            <w:pPr>
              <w:keepNext/>
              <w:keepLines/>
              <w:jc w:val="right"/>
              <w:rPr>
                <w:b/>
                <w:bCs/>
              </w:rPr>
            </w:pPr>
            <w:r w:rsidRPr="00FB18E4">
              <w:rPr>
                <w:rFonts w:asciiTheme="majorHAnsi" w:hAnsiTheme="majorHAnsi" w:cstheme="majorHAnsi"/>
                <w:b/>
                <w:bCs/>
              </w:rPr>
              <w:t>3,008.2</w:t>
            </w:r>
          </w:p>
        </w:tc>
        <w:tc>
          <w:tcPr>
            <w:tcW w:w="2551" w:type="dxa"/>
            <w:shd w:val="clear" w:color="auto" w:fill="B5C8F2" w:themeFill="accent1" w:themeFillTint="66"/>
          </w:tcPr>
          <w:p w14:paraId="7C9E96C2" w14:textId="2D4ED796" w:rsidR="00237CF0" w:rsidRPr="00237CF0" w:rsidRDefault="00237CF0" w:rsidP="00E7252F">
            <w:pPr>
              <w:keepNext/>
              <w:keepLines/>
              <w:jc w:val="right"/>
              <w:rPr>
                <w:b/>
                <w:bCs/>
              </w:rPr>
            </w:pPr>
            <w:r w:rsidRPr="00FB18E4">
              <w:rPr>
                <w:rFonts w:asciiTheme="majorHAnsi" w:hAnsiTheme="majorHAnsi" w:cstheme="majorHAnsi"/>
                <w:b/>
                <w:bCs/>
              </w:rPr>
              <w:t>18,48</w:t>
            </w:r>
            <w:r w:rsidR="00930CA8">
              <w:rPr>
                <w:rFonts w:asciiTheme="majorHAnsi" w:hAnsiTheme="majorHAnsi" w:cstheme="majorHAnsi"/>
                <w:b/>
                <w:bCs/>
              </w:rPr>
              <w:t>2.5</w:t>
            </w:r>
          </w:p>
        </w:tc>
      </w:tr>
    </w:tbl>
    <w:p w14:paraId="21B954A3" w14:textId="77777777" w:rsidR="0079100C" w:rsidRDefault="0079100C" w:rsidP="00FB18E4">
      <w:pPr>
        <w:spacing w:before="240"/>
        <w:contextualSpacing w:val="0"/>
      </w:pPr>
      <w:r w:rsidRPr="38A49B51">
        <w:t>This regulatory impact analysis has also estimated the average annual and total costs to mining businesses under low and high cost scenarios, where:</w:t>
      </w:r>
    </w:p>
    <w:p w14:paraId="5DF0C416" w14:textId="2C413AC7" w:rsidR="0079100C" w:rsidRDefault="0079100C" w:rsidP="00B57E6C">
      <w:pPr>
        <w:pStyle w:val="ListParagraph"/>
        <w:numPr>
          <w:ilvl w:val="0"/>
          <w:numId w:val="22"/>
        </w:numPr>
        <w:suppressAutoHyphens/>
        <w:spacing w:line="259" w:lineRule="auto"/>
        <w:ind w:left="714" w:hanging="357"/>
        <w:contextualSpacing w:val="0"/>
      </w:pPr>
      <w:bookmarkStart w:id="554" w:name="_Toc196204849"/>
      <w:r w:rsidRPr="38A49B51">
        <w:lastRenderedPageBreak/>
        <w:t>Under the low cost scenario, the average annual cost is $2.3 billion (undiscounted) and the total cost is $</w:t>
      </w:r>
      <w:r w:rsidDel="004D2AC2">
        <w:t>1</w:t>
      </w:r>
      <w:r w:rsidR="004D2AC2">
        <w:t>3.</w:t>
      </w:r>
      <w:r w:rsidR="00930CA8">
        <w:t>9</w:t>
      </w:r>
      <w:r w:rsidR="00930CA8" w:rsidRPr="38A49B51">
        <w:t xml:space="preserve"> </w:t>
      </w:r>
      <w:r w:rsidRPr="38A49B51">
        <w:t>billion (discounted).</w:t>
      </w:r>
      <w:bookmarkEnd w:id="554"/>
    </w:p>
    <w:p w14:paraId="789F55C8" w14:textId="03B4B195" w:rsidR="0079100C" w:rsidRDefault="0079100C" w:rsidP="00B57E6C">
      <w:pPr>
        <w:pStyle w:val="ListParagraph"/>
        <w:numPr>
          <w:ilvl w:val="0"/>
          <w:numId w:val="22"/>
        </w:numPr>
        <w:suppressAutoHyphens/>
        <w:spacing w:line="259" w:lineRule="auto"/>
        <w:ind w:left="714" w:hanging="357"/>
        <w:contextualSpacing w:val="0"/>
      </w:pPr>
      <w:bookmarkStart w:id="555" w:name="_Toc196204850"/>
      <w:r w:rsidRPr="38A49B51">
        <w:t>Under the high cost scenario, the average annual cost is $3.8 billion (undiscounted) and the total cost is $23.</w:t>
      </w:r>
      <w:r w:rsidR="004D2AC2">
        <w:t>1</w:t>
      </w:r>
      <w:r w:rsidRPr="38A49B51">
        <w:t xml:space="preserve"> billion (discounted).</w:t>
      </w:r>
      <w:bookmarkEnd w:id="555"/>
      <w:r w:rsidRPr="38A49B51">
        <w:t xml:space="preserve"> </w:t>
      </w:r>
    </w:p>
    <w:p w14:paraId="1C550005" w14:textId="0F52EBAF" w:rsidR="0079100C" w:rsidRDefault="004748AB" w:rsidP="0079100C">
      <w:pPr>
        <w:keepNext/>
        <w:keepLines/>
        <w:contextualSpacing w:val="0"/>
      </w:pPr>
      <w:r>
        <w:fldChar w:fldCharType="begin"/>
      </w:r>
      <w:r>
        <w:instrText xml:space="preserve"> REF _Ref216771023 \h </w:instrText>
      </w:r>
      <w:r>
        <w:fldChar w:fldCharType="separate"/>
      </w:r>
      <w:r w:rsidR="00A002F4">
        <w:t xml:space="preserve">Table </w:t>
      </w:r>
      <w:r w:rsidR="00A002F4">
        <w:rPr>
          <w:noProof/>
        </w:rPr>
        <w:t>41</w:t>
      </w:r>
      <w:r>
        <w:fldChar w:fldCharType="end"/>
      </w:r>
      <w:r>
        <w:t xml:space="preserve"> </w:t>
      </w:r>
      <w:r w:rsidR="0079100C" w:rsidRPr="004F240B">
        <w:t xml:space="preserve">presents the estimated average annual </w:t>
      </w:r>
      <w:r w:rsidR="004D2AC2">
        <w:t>incremental</w:t>
      </w:r>
      <w:r w:rsidR="0079100C" w:rsidRPr="004F240B">
        <w:t xml:space="preserve"> costs per affected </w:t>
      </w:r>
      <w:r w:rsidR="0079100C">
        <w:t xml:space="preserve">mining </w:t>
      </w:r>
      <w:r w:rsidR="0079100C" w:rsidRPr="004F240B">
        <w:t xml:space="preserve">business </w:t>
      </w:r>
      <w:r w:rsidR="0079100C" w:rsidRPr="007C3418">
        <w:t xml:space="preserve">by business size category for the proposed WEL for </w:t>
      </w:r>
      <w:r w:rsidR="0079100C">
        <w:t>RCS</w:t>
      </w:r>
      <w:r w:rsidR="0079100C" w:rsidRPr="007C3418">
        <w:t xml:space="preserve">. </w:t>
      </w:r>
      <w:r w:rsidR="0079100C" w:rsidRPr="00235C27">
        <w:t xml:space="preserve">The results do not factor in costs specific to a singular business that </w:t>
      </w:r>
      <w:r w:rsidR="0079100C">
        <w:t xml:space="preserve">are </w:t>
      </w:r>
      <w:r w:rsidR="0079100C" w:rsidRPr="00235C27">
        <w:t>not expected for other businesses</w:t>
      </w:r>
      <w:r w:rsidR="0079100C">
        <w:t>.</w:t>
      </w:r>
    </w:p>
    <w:p w14:paraId="03EE79D1" w14:textId="77777777" w:rsidR="0079100C" w:rsidRPr="007C3418" w:rsidRDefault="0079100C" w:rsidP="0079100C">
      <w:r w:rsidRPr="38A49B51">
        <w:t>The results indicate that:</w:t>
      </w:r>
    </w:p>
    <w:p w14:paraId="6EC3EAAA" w14:textId="44235F00" w:rsidR="0079100C" w:rsidRPr="007C3418" w:rsidRDefault="0079100C" w:rsidP="00B57E6C">
      <w:pPr>
        <w:pStyle w:val="ListParagraph"/>
        <w:numPr>
          <w:ilvl w:val="0"/>
          <w:numId w:val="23"/>
        </w:numPr>
        <w:suppressAutoHyphens/>
        <w:spacing w:line="259" w:lineRule="auto"/>
        <w:ind w:left="709"/>
        <w:contextualSpacing w:val="0"/>
      </w:pPr>
      <w:bookmarkStart w:id="556" w:name="_Toc196204851"/>
      <w:r w:rsidRPr="38A49B51">
        <w:t>There are an estimated 3,388 affected mining businesses</w:t>
      </w:r>
      <w:r w:rsidR="00456023">
        <w:rPr>
          <w:rStyle w:val="FootnoteReference"/>
        </w:rPr>
        <w:footnoteReference w:id="262"/>
      </w:r>
      <w:r w:rsidRPr="38A49B51">
        <w:t>, comprising 2,779 small businesses, 405 medium businesses and 204 large businesses.</w:t>
      </w:r>
      <w:bookmarkEnd w:id="556"/>
    </w:p>
    <w:p w14:paraId="5DA855B4" w14:textId="5419FEF9" w:rsidR="003E7EB7" w:rsidRDefault="0079100C" w:rsidP="003349CC">
      <w:pPr>
        <w:pStyle w:val="ListParagraph"/>
        <w:numPr>
          <w:ilvl w:val="0"/>
          <w:numId w:val="23"/>
        </w:numPr>
        <w:suppressAutoHyphens/>
        <w:spacing w:line="259" w:lineRule="auto"/>
        <w:ind w:left="709"/>
      </w:pPr>
      <w:bookmarkStart w:id="557" w:name="_Toc196204852"/>
      <w:r w:rsidRPr="38A49B51">
        <w:t xml:space="preserve">The estimated average annual cost </w:t>
      </w:r>
      <w:r w:rsidR="009D5DBD">
        <w:t>is $1,600 for</w:t>
      </w:r>
      <w:r w:rsidRPr="38A49B51">
        <w:t xml:space="preserve"> </w:t>
      </w:r>
      <w:r w:rsidR="00436705">
        <w:t>small</w:t>
      </w:r>
      <w:r w:rsidR="00436705" w:rsidRPr="38A49B51">
        <w:t xml:space="preserve"> </w:t>
      </w:r>
      <w:r w:rsidRPr="38A49B51">
        <w:t>mining businesses</w:t>
      </w:r>
      <w:r w:rsidR="00C365E1" w:rsidRPr="00FB18E4">
        <w:rPr>
          <w:vertAlign w:val="superscript"/>
        </w:rPr>
        <w:fldChar w:fldCharType="begin"/>
      </w:r>
      <w:r w:rsidR="00C365E1" w:rsidRPr="00FB18E4">
        <w:rPr>
          <w:vertAlign w:val="superscript"/>
        </w:rPr>
        <w:instrText xml:space="preserve"> NOTEREF _Ref194930780 \h </w:instrText>
      </w:r>
      <w:r w:rsidR="00C365E1">
        <w:rPr>
          <w:vertAlign w:val="superscript"/>
        </w:rPr>
        <w:instrText xml:space="preserve"> \* MERGEFORMAT </w:instrText>
      </w:r>
      <w:r w:rsidR="00C365E1" w:rsidRPr="00FB18E4">
        <w:rPr>
          <w:vertAlign w:val="superscript"/>
        </w:rPr>
      </w:r>
      <w:r w:rsidR="00C365E1" w:rsidRPr="00FB18E4">
        <w:rPr>
          <w:vertAlign w:val="superscript"/>
        </w:rPr>
        <w:fldChar w:fldCharType="separate"/>
      </w:r>
      <w:r w:rsidR="00A002F4">
        <w:rPr>
          <w:vertAlign w:val="superscript"/>
        </w:rPr>
        <w:t>262</w:t>
      </w:r>
      <w:r w:rsidR="00C365E1" w:rsidRPr="00FB18E4">
        <w:rPr>
          <w:vertAlign w:val="superscript"/>
        </w:rPr>
        <w:fldChar w:fldCharType="end"/>
      </w:r>
      <w:r w:rsidRPr="38A49B51">
        <w:t>, followed by $</w:t>
      </w:r>
      <w:r>
        <w:t>2.</w:t>
      </w:r>
      <w:r w:rsidR="004700D0">
        <w:t>7</w:t>
      </w:r>
      <w:r w:rsidR="004700D0" w:rsidRPr="38A49B51">
        <w:t xml:space="preserve"> </w:t>
      </w:r>
      <w:r w:rsidR="00930CA8">
        <w:t>million</w:t>
      </w:r>
      <w:r w:rsidR="004700D0" w:rsidRPr="38A49B51">
        <w:t xml:space="preserve"> </w:t>
      </w:r>
      <w:r w:rsidRPr="38A49B51">
        <w:t>for medium mining businesses and $</w:t>
      </w:r>
      <w:r w:rsidR="006F104D">
        <w:t>9.</w:t>
      </w:r>
      <w:r w:rsidR="00930CA8">
        <w:t xml:space="preserve">4 </w:t>
      </w:r>
      <w:r w:rsidR="006F104D">
        <w:t>million</w:t>
      </w:r>
      <w:r w:rsidRPr="38A49B51">
        <w:t xml:space="preserve"> for </w:t>
      </w:r>
      <w:r w:rsidR="006F104D">
        <w:t>large</w:t>
      </w:r>
      <w:r w:rsidR="006F104D" w:rsidRPr="38A49B51">
        <w:t xml:space="preserve"> </w:t>
      </w:r>
      <w:r w:rsidRPr="38A49B51">
        <w:t>mining businesses.</w:t>
      </w:r>
      <w:bookmarkEnd w:id="557"/>
    </w:p>
    <w:p w14:paraId="4432B1D3" w14:textId="7A0EA473" w:rsidR="004748AB" w:rsidRDefault="004748AB" w:rsidP="003349CC">
      <w:pPr>
        <w:pStyle w:val="Caption"/>
      </w:pPr>
      <w:bookmarkStart w:id="558" w:name="_Ref216771023"/>
      <w:r>
        <w:t xml:space="preserve">Table </w:t>
      </w:r>
      <w:fldSimple w:instr=" SEQ Table \* ARABIC ">
        <w:r w:rsidR="00A002F4">
          <w:rPr>
            <w:noProof/>
          </w:rPr>
          <w:t>41</w:t>
        </w:r>
      </w:fldSimple>
      <w:bookmarkEnd w:id="558"/>
      <w:r>
        <w:t xml:space="preserve"> - </w:t>
      </w:r>
      <w:r w:rsidRPr="0058645C">
        <w:t>Estimated average annual incremental cost per affected mining business by business size ($, undiscounted) and affected mining businesses for respirable crystalline silica,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125"/>
        <w:gridCol w:w="2409"/>
        <w:gridCol w:w="2127"/>
      </w:tblGrid>
      <w:tr w:rsidR="0079100C" w14:paraId="108E7E60" w14:textId="77777777" w:rsidTr="00FB18E4">
        <w:tc>
          <w:tcPr>
            <w:tcW w:w="2265" w:type="dxa"/>
            <w:shd w:val="clear" w:color="auto" w:fill="4877E0" w:themeFill="accent1"/>
          </w:tcPr>
          <w:p w14:paraId="1DECCD1C" w14:textId="77777777" w:rsidR="0079100C" w:rsidRPr="00FB18E4" w:rsidRDefault="0079100C">
            <w:pPr>
              <w:keepNext/>
              <w:keepLines/>
              <w:suppressAutoHyphens/>
              <w:spacing w:after="0" w:line="259" w:lineRule="auto"/>
              <w:contextualSpacing w:val="0"/>
              <w:rPr>
                <w:b/>
                <w:bCs/>
                <w:color w:val="FFFFFF" w:themeColor="background1"/>
              </w:rPr>
            </w:pPr>
            <w:r w:rsidRPr="00FB18E4">
              <w:rPr>
                <w:b/>
                <w:bCs/>
                <w:color w:val="FFFFFF" w:themeColor="background1"/>
              </w:rPr>
              <w:t>Measure</w:t>
            </w:r>
          </w:p>
        </w:tc>
        <w:tc>
          <w:tcPr>
            <w:tcW w:w="2125" w:type="dxa"/>
            <w:shd w:val="clear" w:color="auto" w:fill="4877E0" w:themeFill="accent1"/>
          </w:tcPr>
          <w:p w14:paraId="2085622C" w14:textId="77777777" w:rsidR="0079100C" w:rsidRPr="00FB18E4" w:rsidRDefault="0079100C">
            <w:pPr>
              <w:keepNext/>
              <w:keepLines/>
              <w:suppressAutoHyphens/>
              <w:spacing w:after="0" w:line="259" w:lineRule="auto"/>
              <w:contextualSpacing w:val="0"/>
              <w:rPr>
                <w:b/>
                <w:bCs/>
                <w:color w:val="FFFFFF" w:themeColor="background1"/>
              </w:rPr>
            </w:pPr>
            <w:r w:rsidRPr="00FB18E4">
              <w:rPr>
                <w:b/>
                <w:bCs/>
                <w:color w:val="FFFFFF" w:themeColor="background1"/>
              </w:rPr>
              <w:t>Small businesses</w:t>
            </w:r>
          </w:p>
        </w:tc>
        <w:tc>
          <w:tcPr>
            <w:tcW w:w="2409" w:type="dxa"/>
            <w:shd w:val="clear" w:color="auto" w:fill="4877E0" w:themeFill="accent1"/>
          </w:tcPr>
          <w:p w14:paraId="3813F1E6" w14:textId="77777777" w:rsidR="0079100C" w:rsidRPr="00FB18E4" w:rsidRDefault="0079100C">
            <w:pPr>
              <w:keepNext/>
              <w:keepLines/>
              <w:suppressAutoHyphens/>
              <w:spacing w:after="0" w:line="259" w:lineRule="auto"/>
              <w:contextualSpacing w:val="0"/>
              <w:rPr>
                <w:b/>
                <w:bCs/>
                <w:color w:val="FFFFFF" w:themeColor="background1"/>
              </w:rPr>
            </w:pPr>
            <w:r w:rsidRPr="00FB18E4">
              <w:rPr>
                <w:b/>
                <w:bCs/>
                <w:color w:val="FFFFFF" w:themeColor="background1"/>
              </w:rPr>
              <w:t>Medium businesses</w:t>
            </w:r>
          </w:p>
        </w:tc>
        <w:tc>
          <w:tcPr>
            <w:tcW w:w="2127" w:type="dxa"/>
            <w:shd w:val="clear" w:color="auto" w:fill="4877E0" w:themeFill="accent1"/>
          </w:tcPr>
          <w:p w14:paraId="7033DC11" w14:textId="77777777" w:rsidR="0079100C" w:rsidRPr="00FB18E4" w:rsidRDefault="0079100C">
            <w:pPr>
              <w:keepNext/>
              <w:keepLines/>
              <w:suppressAutoHyphens/>
              <w:spacing w:after="0" w:line="259" w:lineRule="auto"/>
              <w:contextualSpacing w:val="0"/>
              <w:rPr>
                <w:b/>
                <w:bCs/>
                <w:color w:val="FFFFFF" w:themeColor="background1"/>
              </w:rPr>
            </w:pPr>
            <w:r w:rsidRPr="00FB18E4">
              <w:rPr>
                <w:b/>
                <w:bCs/>
                <w:color w:val="FFFFFF" w:themeColor="background1"/>
              </w:rPr>
              <w:t>Large businesses</w:t>
            </w:r>
          </w:p>
        </w:tc>
      </w:tr>
      <w:tr w:rsidR="00147C0B" w14:paraId="0D182176" w14:textId="77777777">
        <w:tc>
          <w:tcPr>
            <w:tcW w:w="2265" w:type="dxa"/>
          </w:tcPr>
          <w:p w14:paraId="48AED26A" w14:textId="4308F5AF" w:rsidR="00147C0B" w:rsidRPr="00296A4F" w:rsidRDefault="00147C0B" w:rsidP="00147C0B">
            <w:pPr>
              <w:keepNext/>
              <w:keepLines/>
              <w:suppressAutoHyphens/>
              <w:spacing w:after="0" w:line="259" w:lineRule="auto"/>
              <w:contextualSpacing w:val="0"/>
              <w:rPr>
                <w:b/>
                <w:bCs/>
              </w:rPr>
            </w:pPr>
            <w:r w:rsidRPr="00296A4F">
              <w:rPr>
                <w:b/>
                <w:bCs/>
              </w:rPr>
              <w:t>Number of affected businesses p.a.</w:t>
            </w:r>
          </w:p>
        </w:tc>
        <w:tc>
          <w:tcPr>
            <w:tcW w:w="2125" w:type="dxa"/>
            <w:vAlign w:val="center"/>
          </w:tcPr>
          <w:p w14:paraId="75CB05BF" w14:textId="49C61995" w:rsidR="00147C0B" w:rsidRDefault="00147C0B" w:rsidP="00147C0B">
            <w:pPr>
              <w:keepNext/>
              <w:keepLines/>
              <w:suppressAutoHyphens/>
              <w:spacing w:after="0" w:line="259" w:lineRule="auto"/>
              <w:contextualSpacing w:val="0"/>
              <w:jc w:val="right"/>
            </w:pPr>
            <w:r>
              <w:t>2,779</w:t>
            </w:r>
          </w:p>
        </w:tc>
        <w:tc>
          <w:tcPr>
            <w:tcW w:w="2409" w:type="dxa"/>
            <w:vAlign w:val="center"/>
          </w:tcPr>
          <w:p w14:paraId="08A8570B" w14:textId="4FD04F41" w:rsidR="00147C0B" w:rsidRDefault="00147C0B" w:rsidP="00147C0B">
            <w:pPr>
              <w:keepNext/>
              <w:keepLines/>
              <w:suppressAutoHyphens/>
              <w:spacing w:after="0" w:line="259" w:lineRule="auto"/>
              <w:contextualSpacing w:val="0"/>
              <w:jc w:val="right"/>
            </w:pPr>
            <w:r>
              <w:t>405</w:t>
            </w:r>
          </w:p>
        </w:tc>
        <w:tc>
          <w:tcPr>
            <w:tcW w:w="2127" w:type="dxa"/>
            <w:vAlign w:val="center"/>
          </w:tcPr>
          <w:p w14:paraId="3D1FEEC7" w14:textId="057D608F" w:rsidR="00147C0B" w:rsidRDefault="00147C0B" w:rsidP="00147C0B">
            <w:pPr>
              <w:keepNext/>
              <w:keepLines/>
              <w:suppressAutoHyphens/>
              <w:spacing w:after="0" w:line="259" w:lineRule="auto"/>
              <w:contextualSpacing w:val="0"/>
              <w:jc w:val="right"/>
            </w:pPr>
            <w:r>
              <w:t>204</w:t>
            </w:r>
          </w:p>
        </w:tc>
      </w:tr>
      <w:tr w:rsidR="00147C0B" w14:paraId="6B2C62B0" w14:textId="77777777" w:rsidTr="00FB18E4">
        <w:tc>
          <w:tcPr>
            <w:tcW w:w="2265" w:type="dxa"/>
            <w:shd w:val="clear" w:color="auto" w:fill="DAE3F8" w:themeFill="accent1" w:themeFillTint="33"/>
          </w:tcPr>
          <w:p w14:paraId="4592E8A4" w14:textId="77777777" w:rsidR="00147C0B" w:rsidRPr="00296A4F" w:rsidRDefault="00147C0B" w:rsidP="00FB18E4">
            <w:pPr>
              <w:pageBreakBefore/>
              <w:spacing w:after="0" w:line="259" w:lineRule="auto"/>
              <w:contextualSpacing w:val="0"/>
              <w:rPr>
                <w:b/>
                <w:bCs/>
              </w:rPr>
            </w:pPr>
            <w:r w:rsidRPr="00296A4F">
              <w:rPr>
                <w:b/>
                <w:bCs/>
              </w:rPr>
              <w:t>Av. cost per business p.a.</w:t>
            </w:r>
          </w:p>
        </w:tc>
        <w:tc>
          <w:tcPr>
            <w:tcW w:w="2125" w:type="dxa"/>
            <w:shd w:val="clear" w:color="auto" w:fill="DAE3F8" w:themeFill="accent1" w:themeFillTint="33"/>
            <w:vAlign w:val="center"/>
          </w:tcPr>
          <w:p w14:paraId="2FF3A529" w14:textId="77777777" w:rsidR="00147C0B" w:rsidRDefault="00147C0B" w:rsidP="00FB18E4">
            <w:pPr>
              <w:pageBreakBefore/>
              <w:spacing w:after="0" w:line="259" w:lineRule="auto"/>
              <w:contextualSpacing w:val="0"/>
              <w:jc w:val="right"/>
            </w:pPr>
            <w:r>
              <w:t>1,600</w:t>
            </w:r>
            <w:bookmarkStart w:id="559" w:name="_Ref194930780"/>
            <w:r>
              <w:rPr>
                <w:rStyle w:val="FootnoteReference"/>
              </w:rPr>
              <w:footnoteReference w:id="263"/>
            </w:r>
            <w:bookmarkEnd w:id="559"/>
          </w:p>
        </w:tc>
        <w:tc>
          <w:tcPr>
            <w:tcW w:w="2409" w:type="dxa"/>
            <w:shd w:val="clear" w:color="auto" w:fill="DAE3F8" w:themeFill="accent1" w:themeFillTint="33"/>
            <w:vAlign w:val="center"/>
          </w:tcPr>
          <w:p w14:paraId="3113D79C" w14:textId="27710E28" w:rsidR="00147C0B" w:rsidRDefault="00930CA8" w:rsidP="00FB18E4">
            <w:pPr>
              <w:pageBreakBefore/>
              <w:spacing w:after="0" w:line="259" w:lineRule="auto"/>
              <w:contextualSpacing w:val="0"/>
              <w:jc w:val="right"/>
            </w:pPr>
            <w:r>
              <w:t>2,675</w:t>
            </w:r>
            <w:r w:rsidR="00423668">
              <w:t>,800</w:t>
            </w:r>
          </w:p>
        </w:tc>
        <w:tc>
          <w:tcPr>
            <w:tcW w:w="2127" w:type="dxa"/>
            <w:shd w:val="clear" w:color="auto" w:fill="DAE3F8" w:themeFill="accent1" w:themeFillTint="33"/>
            <w:vAlign w:val="center"/>
          </w:tcPr>
          <w:p w14:paraId="61433A9C" w14:textId="3FDA7D96" w:rsidR="00147C0B" w:rsidRDefault="00423668" w:rsidP="00FB18E4">
            <w:pPr>
              <w:pageBreakBefore/>
              <w:spacing w:after="0" w:line="259" w:lineRule="auto"/>
              <w:contextualSpacing w:val="0"/>
              <w:jc w:val="right"/>
            </w:pPr>
            <w:r>
              <w:t>9,412,700</w:t>
            </w:r>
          </w:p>
        </w:tc>
      </w:tr>
    </w:tbl>
    <w:p w14:paraId="659FE29E" w14:textId="584B7345" w:rsidR="00680835" w:rsidRDefault="002E5A50" w:rsidP="00BD7271">
      <w:pPr>
        <w:pStyle w:val="SWAHeading2"/>
        <w:ind w:left="709"/>
      </w:pPr>
      <w:bookmarkStart w:id="560" w:name="_Toc196204853"/>
      <w:bookmarkStart w:id="561" w:name="_Toc219216920"/>
      <w:r>
        <w:t xml:space="preserve">Stakeholder </w:t>
      </w:r>
      <w:bookmarkEnd w:id="560"/>
      <w:r w:rsidR="0035054F">
        <w:t>views on the proposed WEL for respirable crystalline silica</w:t>
      </w:r>
      <w:bookmarkEnd w:id="561"/>
    </w:p>
    <w:p w14:paraId="5CD97DDE" w14:textId="0DCA3D2E" w:rsidR="003B2A74" w:rsidRDefault="007F12C8" w:rsidP="003B2A74">
      <w:pPr>
        <w:pStyle w:val="paragraph0"/>
        <w:keepNext/>
        <w:keepLines/>
        <w:spacing w:before="0" w:beforeAutospacing="0" w:after="120" w:afterAutospacing="0"/>
        <w:contextualSpacing w:val="0"/>
        <w:textAlignment w:val="baseline"/>
        <w:rPr>
          <w:rStyle w:val="normaltextrun"/>
          <w:rFonts w:ascii="Arial" w:eastAsiaTheme="majorEastAsia" w:hAnsi="Arial" w:cs="Arial"/>
          <w:sz w:val="22"/>
          <w:szCs w:val="22"/>
        </w:rPr>
      </w:pPr>
      <w:r>
        <w:rPr>
          <w:rFonts w:ascii="Arial" w:hAnsi="Arial" w:cs="Arial"/>
          <w:sz w:val="22"/>
          <w:szCs w:val="22"/>
        </w:rPr>
        <w:t>As part of the</w:t>
      </w:r>
      <w:r w:rsidR="004461A5" w:rsidRPr="00FB18E4">
        <w:rPr>
          <w:rFonts w:ascii="Arial" w:hAnsi="Arial" w:cs="Arial"/>
          <w:sz w:val="22"/>
          <w:szCs w:val="22"/>
        </w:rPr>
        <w:t xml:space="preserve"> public consultation</w:t>
      </w:r>
      <w:r>
        <w:rPr>
          <w:rFonts w:ascii="Arial" w:hAnsi="Arial" w:cs="Arial"/>
          <w:sz w:val="22"/>
          <w:szCs w:val="22"/>
        </w:rPr>
        <w:t xml:space="preserve"> process</w:t>
      </w:r>
      <w:r w:rsidR="004D44A4">
        <w:rPr>
          <w:rFonts w:ascii="Arial" w:hAnsi="Arial" w:cs="Arial"/>
          <w:sz w:val="22"/>
          <w:szCs w:val="22"/>
        </w:rPr>
        <w:t>,</w:t>
      </w:r>
      <w:r>
        <w:rPr>
          <w:rFonts w:ascii="Arial" w:hAnsi="Arial" w:cs="Arial"/>
          <w:sz w:val="22"/>
          <w:szCs w:val="22"/>
        </w:rPr>
        <w:t xml:space="preserve"> </w:t>
      </w:r>
      <w:r>
        <w:rPr>
          <w:rStyle w:val="normaltextrun"/>
          <w:rFonts w:ascii="Arial" w:eastAsiaTheme="majorEastAsia" w:hAnsi="Arial" w:cs="Arial"/>
          <w:sz w:val="22"/>
          <w:szCs w:val="22"/>
        </w:rPr>
        <w:t>44</w:t>
      </w:r>
      <w:r w:rsidR="00710FB4">
        <w:rPr>
          <w:rStyle w:val="normaltextrun"/>
          <w:rFonts w:ascii="Arial" w:eastAsiaTheme="majorEastAsia" w:hAnsi="Arial" w:cs="Arial"/>
          <w:sz w:val="22"/>
          <w:szCs w:val="22"/>
        </w:rPr>
        <w:t xml:space="preserve"> submissions were received </w:t>
      </w:r>
      <w:r>
        <w:rPr>
          <w:rStyle w:val="normaltextrun"/>
          <w:rFonts w:ascii="Arial" w:eastAsiaTheme="majorEastAsia" w:hAnsi="Arial" w:cs="Arial"/>
          <w:sz w:val="22"/>
          <w:szCs w:val="22"/>
        </w:rPr>
        <w:t>tha</w:t>
      </w:r>
      <w:r w:rsidR="00832FDA">
        <w:rPr>
          <w:rStyle w:val="normaltextrun"/>
          <w:rFonts w:ascii="Arial" w:eastAsiaTheme="majorEastAsia" w:hAnsi="Arial" w:cs="Arial"/>
          <w:sz w:val="22"/>
          <w:szCs w:val="22"/>
        </w:rPr>
        <w:t>t addressed the proposed WEL</w:t>
      </w:r>
      <w:r w:rsidR="00710FB4">
        <w:rPr>
          <w:rStyle w:val="normaltextrun"/>
          <w:rFonts w:ascii="Arial" w:eastAsiaTheme="majorEastAsia" w:hAnsi="Arial" w:cs="Arial"/>
          <w:sz w:val="22"/>
          <w:szCs w:val="22"/>
        </w:rPr>
        <w:t xml:space="preserve"> </w:t>
      </w:r>
      <w:r w:rsidR="00504DD3">
        <w:rPr>
          <w:rStyle w:val="normaltextrun"/>
          <w:rFonts w:ascii="Arial" w:eastAsiaTheme="majorEastAsia" w:hAnsi="Arial" w:cs="Arial"/>
          <w:sz w:val="22"/>
          <w:szCs w:val="22"/>
        </w:rPr>
        <w:t>for</w:t>
      </w:r>
      <w:r w:rsidR="00710FB4">
        <w:rPr>
          <w:rStyle w:val="normaltextrun"/>
          <w:rFonts w:ascii="Arial" w:eastAsiaTheme="majorEastAsia" w:hAnsi="Arial" w:cs="Arial"/>
          <w:sz w:val="22"/>
          <w:szCs w:val="22"/>
        </w:rPr>
        <w:t xml:space="preserve"> RCS. </w:t>
      </w:r>
    </w:p>
    <w:p w14:paraId="02A8FA70" w14:textId="39403177" w:rsidR="00DD491D" w:rsidRDefault="007B4F2A" w:rsidP="005D4804">
      <w:pPr>
        <w:spacing w:before="240"/>
        <w:contextualSpacing w:val="0"/>
      </w:pPr>
      <w:r>
        <w:t>A</w:t>
      </w:r>
      <w:r w:rsidR="005B6651">
        <w:t>pproximately</w:t>
      </w:r>
      <w:r w:rsidR="00832FDA">
        <w:t xml:space="preserve"> a </w:t>
      </w:r>
      <w:r w:rsidR="005B6651">
        <w:t>third</w:t>
      </w:r>
      <w:r>
        <w:t xml:space="preserve"> of submissions (16</w:t>
      </w:r>
      <w:r w:rsidR="00DD491D">
        <w:t xml:space="preserve"> </w:t>
      </w:r>
      <w:r w:rsidR="00144EF0">
        <w:t xml:space="preserve">out </w:t>
      </w:r>
      <w:r w:rsidR="00DD491D">
        <w:t>of 44</w:t>
      </w:r>
      <w:r>
        <w:t xml:space="preserve">) supported the </w:t>
      </w:r>
      <w:r w:rsidR="00B3711D">
        <w:t xml:space="preserve">proposed health-based TWA of </w:t>
      </w:r>
      <w:r>
        <w:t>0.025 mg/m</w:t>
      </w:r>
      <w:r w:rsidRPr="00B64FE2">
        <w:rPr>
          <w:vertAlign w:val="superscript"/>
        </w:rPr>
        <w:t>3</w:t>
      </w:r>
      <w:r w:rsidR="00810431">
        <w:t xml:space="preserve"> (Option 2)</w:t>
      </w:r>
      <w:r>
        <w:t>.</w:t>
      </w:r>
      <w:r w:rsidR="006856F0">
        <w:t xml:space="preserve"> </w:t>
      </w:r>
    </w:p>
    <w:p w14:paraId="17F24915" w14:textId="167ED1FA" w:rsidR="007B4F2A" w:rsidRDefault="007B4F2A" w:rsidP="00D96997">
      <w:pPr>
        <w:contextualSpacing w:val="0"/>
      </w:pPr>
      <w:r>
        <w:t xml:space="preserve">These submissions came from </w:t>
      </w:r>
      <w:r w:rsidR="00FE6040">
        <w:t>individuals (including</w:t>
      </w:r>
      <w:r>
        <w:t xml:space="preserve"> workers</w:t>
      </w:r>
      <w:r w:rsidR="00FE6040">
        <w:t>)</w:t>
      </w:r>
      <w:r>
        <w:t xml:space="preserve">, industry </w:t>
      </w:r>
      <w:r w:rsidR="00FE6040">
        <w:t>bodies</w:t>
      </w:r>
      <w:r>
        <w:t>, unions, peak health bodies and academics. S</w:t>
      </w:r>
      <w:r w:rsidR="00C62ABF">
        <w:t>take</w:t>
      </w:r>
      <w:r w:rsidR="00974AC1">
        <w:t>holders</w:t>
      </w:r>
      <w:r w:rsidR="00504EB4">
        <w:t xml:space="preserve"> who supported Option 2</w:t>
      </w:r>
      <w:r w:rsidR="00974AC1">
        <w:t xml:space="preserve"> noted their s</w:t>
      </w:r>
      <w:r>
        <w:t xml:space="preserve">upport </w:t>
      </w:r>
      <w:r w:rsidR="00504EB4">
        <w:t>is</w:t>
      </w:r>
      <w:r>
        <w:t xml:space="preserve"> based on:</w:t>
      </w:r>
      <w:r w:rsidRPr="00B64FE2">
        <w:t xml:space="preserve"> </w:t>
      </w:r>
    </w:p>
    <w:p w14:paraId="44EA76AE" w14:textId="2C743BB4" w:rsidR="007B4F2A" w:rsidRDefault="007B4F2A" w:rsidP="00B57E6C">
      <w:pPr>
        <w:pStyle w:val="ListParagraph"/>
        <w:numPr>
          <w:ilvl w:val="0"/>
          <w:numId w:val="44"/>
        </w:numPr>
        <w:spacing w:line="259" w:lineRule="auto"/>
        <w:ind w:left="714" w:hanging="357"/>
        <w:contextualSpacing w:val="0"/>
      </w:pPr>
      <w:bookmarkStart w:id="562" w:name="_Toc196204862"/>
      <w:r>
        <w:t>the health impacts of RCS justify</w:t>
      </w:r>
      <w:r w:rsidR="003C1036">
        <w:t>ing</w:t>
      </w:r>
      <w:r>
        <w:t xml:space="preserve"> the proposed exposure limits </w:t>
      </w:r>
      <w:r w:rsidR="003C1036">
        <w:t>with</w:t>
      </w:r>
      <w:r w:rsidR="00974AC1">
        <w:t xml:space="preserve"> </w:t>
      </w:r>
      <w:r>
        <w:t xml:space="preserve">current scientific literature </w:t>
      </w:r>
      <w:r w:rsidR="003C1036">
        <w:t>demonstrating</w:t>
      </w:r>
      <w:r>
        <w:t xml:space="preserve"> the current WES of 0.05 mg/m</w:t>
      </w:r>
      <w:r w:rsidRPr="00B64FE2">
        <w:rPr>
          <w:vertAlign w:val="superscript"/>
        </w:rPr>
        <w:t>3</w:t>
      </w:r>
      <w:r>
        <w:t xml:space="preserve"> is not protective of adverse health effects</w:t>
      </w:r>
      <w:r w:rsidR="00857C77">
        <w:rPr>
          <w:rStyle w:val="FootnoteReference"/>
        </w:rPr>
        <w:footnoteReference w:id="264"/>
      </w:r>
      <w:r>
        <w:t>,</w:t>
      </w:r>
      <w:bookmarkEnd w:id="562"/>
    </w:p>
    <w:p w14:paraId="71D7D90F" w14:textId="19D0EFBA" w:rsidR="007B4F2A" w:rsidRDefault="007B4F2A" w:rsidP="00B57E6C">
      <w:pPr>
        <w:pStyle w:val="ListParagraph"/>
        <w:numPr>
          <w:ilvl w:val="0"/>
          <w:numId w:val="44"/>
        </w:numPr>
        <w:spacing w:line="259" w:lineRule="auto"/>
        <w:ind w:left="714" w:hanging="357"/>
        <w:contextualSpacing w:val="0"/>
      </w:pPr>
      <w:bookmarkStart w:id="563" w:name="_Toc196204863"/>
      <w:r>
        <w:lastRenderedPageBreak/>
        <w:t xml:space="preserve">RCS </w:t>
      </w:r>
      <w:r w:rsidR="003C1036">
        <w:t>being</w:t>
      </w:r>
      <w:r>
        <w:t xml:space="preserve"> a known carcinogen, classified as a </w:t>
      </w:r>
      <w:r w:rsidR="006505D6">
        <w:t>G</w:t>
      </w:r>
      <w:r>
        <w:t xml:space="preserve">roup 1 carcinogen </w:t>
      </w:r>
      <w:r w:rsidR="006505D6">
        <w:t>(</w:t>
      </w:r>
      <w:r w:rsidDel="006505D6">
        <w:t>c</w:t>
      </w:r>
      <w:r>
        <w:t>arcinogenic to humans</w:t>
      </w:r>
      <w:r w:rsidR="006505D6">
        <w:t>)</w:t>
      </w:r>
      <w:r>
        <w:t xml:space="preserve"> by the International Agency for Research on Cancer</w:t>
      </w:r>
      <w:r w:rsidR="00512524">
        <w:rPr>
          <w:rStyle w:val="FootnoteReference"/>
        </w:rPr>
        <w:footnoteReference w:id="265"/>
      </w:r>
      <w:r w:rsidR="006505D6">
        <w:t>,</w:t>
      </w:r>
      <w:bookmarkEnd w:id="563"/>
      <w:r w:rsidR="006505D6">
        <w:t xml:space="preserve"> </w:t>
      </w:r>
    </w:p>
    <w:p w14:paraId="00AF0B37" w14:textId="55649FCD" w:rsidR="007B4F2A" w:rsidRDefault="007B4F2A" w:rsidP="00B57E6C">
      <w:pPr>
        <w:pStyle w:val="ListParagraph"/>
        <w:numPr>
          <w:ilvl w:val="0"/>
          <w:numId w:val="44"/>
        </w:numPr>
        <w:spacing w:line="259" w:lineRule="auto"/>
        <w:ind w:left="714" w:hanging="357"/>
        <w:contextualSpacing w:val="0"/>
      </w:pPr>
      <w:bookmarkStart w:id="564" w:name="_Toc196204864"/>
      <w:r>
        <w:t xml:space="preserve">the proposed </w:t>
      </w:r>
      <w:r w:rsidR="00C02D00">
        <w:t>WEL</w:t>
      </w:r>
      <w:r>
        <w:t xml:space="preserve"> represent</w:t>
      </w:r>
      <w:r w:rsidR="008B60D8">
        <w:t>ing</w:t>
      </w:r>
      <w:r>
        <w:t xml:space="preserve"> international best practice</w:t>
      </w:r>
      <w:r w:rsidR="00136860">
        <w:rPr>
          <w:rStyle w:val="FootnoteReference"/>
        </w:rPr>
        <w:footnoteReference w:id="266"/>
      </w:r>
      <w:r>
        <w:t>,</w:t>
      </w:r>
      <w:bookmarkEnd w:id="564"/>
    </w:p>
    <w:p w14:paraId="564DECB5" w14:textId="68642B14" w:rsidR="007B4F2A" w:rsidRDefault="007B4F2A" w:rsidP="00B57E6C">
      <w:pPr>
        <w:pStyle w:val="ListParagraph"/>
        <w:numPr>
          <w:ilvl w:val="0"/>
          <w:numId w:val="44"/>
        </w:numPr>
        <w:spacing w:line="259" w:lineRule="auto"/>
        <w:ind w:left="714" w:hanging="357"/>
        <w:contextualSpacing w:val="0"/>
      </w:pPr>
      <w:bookmarkStart w:id="565" w:name="_Toc196204865"/>
      <w:r>
        <w:t xml:space="preserve">current levels of RCS not </w:t>
      </w:r>
      <w:r w:rsidR="008B60D8">
        <w:t xml:space="preserve">being </w:t>
      </w:r>
      <w:r>
        <w:t>taken seriously or understood</w:t>
      </w:r>
      <w:r w:rsidR="00C0111E">
        <w:rPr>
          <w:rStyle w:val="FootnoteReference"/>
        </w:rPr>
        <w:footnoteReference w:id="267"/>
      </w:r>
      <w:r>
        <w:t>, and</w:t>
      </w:r>
      <w:bookmarkEnd w:id="565"/>
    </w:p>
    <w:p w14:paraId="01A251B2" w14:textId="3C4E6E4B" w:rsidR="007A1091" w:rsidRDefault="00751B40" w:rsidP="00B57E6C">
      <w:pPr>
        <w:pStyle w:val="ListParagraph"/>
        <w:numPr>
          <w:ilvl w:val="0"/>
          <w:numId w:val="44"/>
        </w:numPr>
        <w:spacing w:line="259" w:lineRule="auto"/>
        <w:ind w:left="714" w:hanging="357"/>
        <w:contextualSpacing w:val="0"/>
      </w:pPr>
      <w:bookmarkStart w:id="566" w:name="_Toc196204866"/>
      <w:r>
        <w:t>the</w:t>
      </w:r>
      <w:r w:rsidR="007B4F2A">
        <w:t xml:space="preserve"> new crystalline silica regulation 529CA in the model WHS </w:t>
      </w:r>
      <w:r w:rsidR="000D68B7">
        <w:t>R</w:t>
      </w:r>
      <w:r w:rsidR="007B4F2A">
        <w:t xml:space="preserve">egulations </w:t>
      </w:r>
      <w:r w:rsidR="004F3E17">
        <w:t xml:space="preserve">effectively </w:t>
      </w:r>
      <w:r w:rsidR="00395174">
        <w:t>introduc</w:t>
      </w:r>
      <w:r w:rsidR="001B0F95">
        <w:t>ing</w:t>
      </w:r>
      <w:r w:rsidR="00395174">
        <w:t xml:space="preserve"> a new WEL of 0.025 mg/m</w:t>
      </w:r>
      <w:r w:rsidR="00395174" w:rsidRPr="00FB18E4">
        <w:rPr>
          <w:vertAlign w:val="superscript"/>
        </w:rPr>
        <w:t>3</w:t>
      </w:r>
      <w:r w:rsidR="00395174">
        <w:t xml:space="preserve"> that PCBUs must hav</w:t>
      </w:r>
      <w:r w:rsidR="007A1091">
        <w:t>e regard to when producing RCS</w:t>
      </w:r>
      <w:r w:rsidR="003B05A0">
        <w:rPr>
          <w:rStyle w:val="FootnoteReference"/>
        </w:rPr>
        <w:footnoteReference w:id="268"/>
      </w:r>
      <w:r w:rsidR="007A1091">
        <w:t>.</w:t>
      </w:r>
      <w:bookmarkEnd w:id="566"/>
    </w:p>
    <w:p w14:paraId="4C2BC451" w14:textId="61B32817" w:rsidR="00761BDA" w:rsidRDefault="007A1091" w:rsidP="00B57E6C">
      <w:pPr>
        <w:pStyle w:val="ListParagraph"/>
        <w:numPr>
          <w:ilvl w:val="1"/>
          <w:numId w:val="44"/>
        </w:numPr>
        <w:spacing w:line="259" w:lineRule="auto"/>
        <w:contextualSpacing w:val="0"/>
      </w:pPr>
      <w:bookmarkStart w:id="567" w:name="_Toc196204867"/>
      <w:r>
        <w:t xml:space="preserve">Model WHS regulation </w:t>
      </w:r>
      <w:r w:rsidR="004F1822">
        <w:t>529CA</w:t>
      </w:r>
      <w:r w:rsidR="007B4F2A">
        <w:t xml:space="preserve"> requires PCBUs to consider their processing of</w:t>
      </w:r>
      <w:r w:rsidR="00CA2588">
        <w:t xml:space="preserve"> a</w:t>
      </w:r>
      <w:r w:rsidR="007B4F2A">
        <w:t xml:space="preserve"> crystalline silica substance </w:t>
      </w:r>
      <w:r w:rsidR="00DD4527">
        <w:t xml:space="preserve">is </w:t>
      </w:r>
      <w:r w:rsidR="007B4F2A">
        <w:t xml:space="preserve">high risk if the airborne concentration of RCS at the workplace is </w:t>
      </w:r>
      <w:r w:rsidR="00076BB0">
        <w:t xml:space="preserve">reasonably likely to exceed </w:t>
      </w:r>
      <w:r w:rsidR="007B4F2A">
        <w:t>half of the current WES</w:t>
      </w:r>
      <w:r w:rsidR="00761BDA">
        <w:t>.</w:t>
      </w:r>
      <w:bookmarkEnd w:id="567"/>
      <w:r w:rsidR="00761BDA">
        <w:t xml:space="preserve"> </w:t>
      </w:r>
    </w:p>
    <w:p w14:paraId="067ED0A6" w14:textId="01E99C97" w:rsidR="007B4F2A" w:rsidRDefault="00761BDA" w:rsidP="00B57E6C">
      <w:pPr>
        <w:pStyle w:val="ListParagraph"/>
        <w:numPr>
          <w:ilvl w:val="1"/>
          <w:numId w:val="44"/>
        </w:numPr>
        <w:spacing w:line="259" w:lineRule="auto"/>
        <w:contextualSpacing w:val="0"/>
      </w:pPr>
      <w:bookmarkStart w:id="568" w:name="_Toc196204868"/>
      <w:r>
        <w:t xml:space="preserve">If </w:t>
      </w:r>
      <w:r w:rsidR="00546FF6" w:rsidRPr="00546FF6">
        <w:t>processing of a crystalline silica substance is high risk</w:t>
      </w:r>
      <w:r w:rsidR="007B4F2A" w:rsidDel="00761BDA">
        <w:t>,</w:t>
      </w:r>
      <w:r w:rsidR="00AC7D95">
        <w:t xml:space="preserve"> </w:t>
      </w:r>
      <w:r w:rsidR="004A0DCB">
        <w:t>then the PCBU is required to take</w:t>
      </w:r>
      <w:r w:rsidR="007B4F2A" w:rsidDel="00761BDA">
        <w:t xml:space="preserve"> </w:t>
      </w:r>
      <w:r w:rsidR="007B4F2A">
        <w:t xml:space="preserve">further action on PCBUs to minimise the risk of exposure to RCS. </w:t>
      </w:r>
      <w:bookmarkEnd w:id="568"/>
    </w:p>
    <w:p w14:paraId="0683C111" w14:textId="0FD2B934" w:rsidR="005B6651" w:rsidRDefault="00190FB4" w:rsidP="005B6651">
      <w:pPr>
        <w:contextualSpacing w:val="0"/>
      </w:pPr>
      <w:r>
        <w:t>Twenty five</w:t>
      </w:r>
      <w:r w:rsidR="005B6651">
        <w:t xml:space="preserve"> out of 44</w:t>
      </w:r>
      <w:r>
        <w:t xml:space="preserve"> </w:t>
      </w:r>
      <w:r w:rsidR="005B6651">
        <w:t xml:space="preserve">submissions supported retaining </w:t>
      </w:r>
      <w:r w:rsidR="005B6651" w:rsidDel="00504DD3">
        <w:t>the</w:t>
      </w:r>
      <w:r w:rsidR="005B6651">
        <w:t xml:space="preserve"> current TWA</w:t>
      </w:r>
      <w:r w:rsidR="005B6651" w:rsidDel="00A168AC">
        <w:t xml:space="preserve"> </w:t>
      </w:r>
      <w:r w:rsidR="005B6651">
        <w:t>of 0.05 mg/m</w:t>
      </w:r>
      <w:r w:rsidR="005B6651" w:rsidRPr="00F84556">
        <w:rPr>
          <w:vertAlign w:val="superscript"/>
        </w:rPr>
        <w:t>3</w:t>
      </w:r>
      <w:r w:rsidR="005B6651">
        <w:t xml:space="preserve"> for RCS</w:t>
      </w:r>
      <w:r w:rsidR="00810431">
        <w:t xml:space="preserve"> (Option 1)</w:t>
      </w:r>
      <w:r w:rsidR="005B6651">
        <w:t xml:space="preserve">. </w:t>
      </w:r>
    </w:p>
    <w:p w14:paraId="07926B57" w14:textId="6CA63011" w:rsidR="005B6651" w:rsidRDefault="005B6651" w:rsidP="005B6651">
      <w:pPr>
        <w:spacing w:before="240"/>
      </w:pPr>
      <w:r>
        <w:t xml:space="preserve">These submissions came from individuals, PCBUs, industry bodies, and </w:t>
      </w:r>
      <w:r w:rsidR="00EF2FF2">
        <w:t>a WHS regulator</w:t>
      </w:r>
      <w:r>
        <w:t xml:space="preserve">. Stakeholders </w:t>
      </w:r>
      <w:r w:rsidR="000738B5">
        <w:t xml:space="preserve">who supported Option 1 </w:t>
      </w:r>
      <w:r>
        <w:t xml:space="preserve">noted their support </w:t>
      </w:r>
      <w:r w:rsidR="000738B5">
        <w:t>is</w:t>
      </w:r>
      <w:r>
        <w:t xml:space="preserve"> based on:</w:t>
      </w:r>
    </w:p>
    <w:p w14:paraId="172CAAFF" w14:textId="3E8EFD0E" w:rsidR="005B6651" w:rsidRPr="00FF1168" w:rsidRDefault="005B6651" w:rsidP="00B57E6C">
      <w:pPr>
        <w:pStyle w:val="ListParagraph"/>
        <w:numPr>
          <w:ilvl w:val="0"/>
          <w:numId w:val="44"/>
        </w:numPr>
        <w:spacing w:line="259" w:lineRule="auto"/>
        <w:ind w:left="714" w:hanging="357"/>
        <w:contextualSpacing w:val="0"/>
        <w:rPr>
          <w:szCs w:val="22"/>
        </w:rPr>
      </w:pPr>
      <w:r w:rsidRPr="00FF1168">
        <w:rPr>
          <w:szCs w:val="22"/>
        </w:rPr>
        <w:t xml:space="preserve">no toxicological analysis or </w:t>
      </w:r>
      <w:r w:rsidR="008372D9">
        <w:rPr>
          <w:szCs w:val="22"/>
        </w:rPr>
        <w:t xml:space="preserve">health burden </w:t>
      </w:r>
      <w:r w:rsidRPr="00FF1168">
        <w:rPr>
          <w:szCs w:val="22"/>
        </w:rPr>
        <w:t>data to justify a lower WEL for RCS in the consultation report</w:t>
      </w:r>
      <w:r w:rsidR="00942672">
        <w:rPr>
          <w:rStyle w:val="FootnoteReference"/>
          <w:szCs w:val="22"/>
        </w:rPr>
        <w:footnoteReference w:id="269"/>
      </w:r>
      <w:r w:rsidR="00171975">
        <w:rPr>
          <w:szCs w:val="22"/>
        </w:rPr>
        <w:t xml:space="preserve">, </w:t>
      </w:r>
    </w:p>
    <w:p w14:paraId="1E222301" w14:textId="20F67F3B" w:rsidR="00095C5D" w:rsidRDefault="00095C5D" w:rsidP="00C95632">
      <w:pPr>
        <w:pStyle w:val="ListParagraph"/>
        <w:numPr>
          <w:ilvl w:val="0"/>
          <w:numId w:val="44"/>
        </w:numPr>
        <w:spacing w:line="259" w:lineRule="auto"/>
        <w:ind w:left="714" w:hanging="357"/>
        <w:contextualSpacing w:val="0"/>
        <w:rPr>
          <w:szCs w:val="22"/>
        </w:rPr>
      </w:pPr>
      <w:r>
        <w:rPr>
          <w:szCs w:val="22"/>
        </w:rPr>
        <w:t>the</w:t>
      </w:r>
      <w:r w:rsidR="00A457D7">
        <w:rPr>
          <w:szCs w:val="22"/>
        </w:rPr>
        <w:t xml:space="preserve"> </w:t>
      </w:r>
      <w:r w:rsidR="008F0331">
        <w:rPr>
          <w:szCs w:val="22"/>
        </w:rPr>
        <w:t>position paper</w:t>
      </w:r>
      <w:r w:rsidR="007900B4">
        <w:rPr>
          <w:szCs w:val="22"/>
        </w:rPr>
        <w:t xml:space="preserve"> on RCS</w:t>
      </w:r>
      <w:r w:rsidR="008F0331">
        <w:rPr>
          <w:szCs w:val="22"/>
        </w:rPr>
        <w:t xml:space="preserve"> published by the </w:t>
      </w:r>
      <w:r>
        <w:rPr>
          <w:szCs w:val="22"/>
        </w:rPr>
        <w:t xml:space="preserve">Australian Institute of Occupational </w:t>
      </w:r>
      <w:r w:rsidR="007D0A9C">
        <w:rPr>
          <w:szCs w:val="22"/>
        </w:rPr>
        <w:t>Hygienist</w:t>
      </w:r>
      <w:r>
        <w:rPr>
          <w:szCs w:val="22"/>
        </w:rPr>
        <w:t xml:space="preserve"> </w:t>
      </w:r>
      <w:r w:rsidR="000F693F">
        <w:rPr>
          <w:szCs w:val="22"/>
        </w:rPr>
        <w:t xml:space="preserve">(2024) </w:t>
      </w:r>
      <w:r>
        <w:rPr>
          <w:szCs w:val="22"/>
        </w:rPr>
        <w:t xml:space="preserve">does not recommend </w:t>
      </w:r>
      <w:r w:rsidR="007D0A9C">
        <w:rPr>
          <w:szCs w:val="22"/>
        </w:rPr>
        <w:t>a reduction to the WES for RCS</w:t>
      </w:r>
      <w:r w:rsidR="00733E06">
        <w:rPr>
          <w:rStyle w:val="FootnoteReference"/>
          <w:szCs w:val="22"/>
        </w:rPr>
        <w:footnoteReference w:id="270"/>
      </w:r>
      <w:r w:rsidR="00171975">
        <w:rPr>
          <w:szCs w:val="22"/>
        </w:rPr>
        <w:t>,</w:t>
      </w:r>
      <w:r>
        <w:rPr>
          <w:szCs w:val="22"/>
        </w:rPr>
        <w:t xml:space="preserve"> </w:t>
      </w:r>
    </w:p>
    <w:p w14:paraId="06A14B0C" w14:textId="04CF9FCC" w:rsidR="00C95632" w:rsidRPr="00FF1168" w:rsidRDefault="00C95632" w:rsidP="00C95632">
      <w:pPr>
        <w:pStyle w:val="ListParagraph"/>
        <w:numPr>
          <w:ilvl w:val="0"/>
          <w:numId w:val="44"/>
        </w:numPr>
        <w:spacing w:line="259" w:lineRule="auto"/>
        <w:ind w:left="714" w:hanging="357"/>
        <w:contextualSpacing w:val="0"/>
        <w:rPr>
          <w:szCs w:val="22"/>
        </w:rPr>
      </w:pPr>
      <w:r>
        <w:rPr>
          <w:szCs w:val="22"/>
        </w:rPr>
        <w:t xml:space="preserve">health burden data, </w:t>
      </w:r>
      <w:r w:rsidRPr="00FF1168">
        <w:rPr>
          <w:szCs w:val="22"/>
        </w:rPr>
        <w:t>monitoring data and workers’ compensation claims</w:t>
      </w:r>
      <w:r w:rsidRPr="00FF1168" w:rsidDel="005C1948">
        <w:rPr>
          <w:szCs w:val="22"/>
        </w:rPr>
        <w:t xml:space="preserve"> </w:t>
      </w:r>
      <w:r w:rsidRPr="00FF1168">
        <w:rPr>
          <w:szCs w:val="22"/>
        </w:rPr>
        <w:t>suggest</w:t>
      </w:r>
      <w:r w:rsidR="00010F48">
        <w:rPr>
          <w:szCs w:val="22"/>
        </w:rPr>
        <w:t>ing</w:t>
      </w:r>
      <w:r w:rsidRPr="00FF1168">
        <w:rPr>
          <w:szCs w:val="22"/>
        </w:rPr>
        <w:t xml:space="preserve"> the risk of silicosis has decreased over time with current controls in certain industries, particularly when excluding workers' compensation claims from the manufacturing stone industry</w:t>
      </w:r>
      <w:r>
        <w:rPr>
          <w:rStyle w:val="FootnoteReference"/>
          <w:szCs w:val="22"/>
        </w:rPr>
        <w:footnoteReference w:id="271"/>
      </w:r>
      <w:r w:rsidR="00171975">
        <w:rPr>
          <w:szCs w:val="22"/>
        </w:rPr>
        <w:t>,</w:t>
      </w:r>
    </w:p>
    <w:p w14:paraId="2D88BD5A" w14:textId="04CF3F87" w:rsidR="00D13602" w:rsidRPr="000D5611" w:rsidRDefault="00D13602" w:rsidP="00D13602">
      <w:pPr>
        <w:pStyle w:val="ListParagraph"/>
        <w:numPr>
          <w:ilvl w:val="0"/>
          <w:numId w:val="44"/>
        </w:numPr>
        <w:spacing w:line="259" w:lineRule="auto"/>
        <w:ind w:left="714" w:hanging="357"/>
        <w:contextualSpacing w:val="0"/>
        <w:rPr>
          <w:szCs w:val="22"/>
        </w:rPr>
      </w:pPr>
      <w:r>
        <w:rPr>
          <w:szCs w:val="22"/>
        </w:rPr>
        <w:t xml:space="preserve">existing controls and practices </w:t>
      </w:r>
      <w:r w:rsidR="00010F48">
        <w:rPr>
          <w:szCs w:val="22"/>
        </w:rPr>
        <w:t>being</w:t>
      </w:r>
      <w:r w:rsidR="00CF2A4B">
        <w:rPr>
          <w:szCs w:val="22"/>
        </w:rPr>
        <w:t xml:space="preserve"> </w:t>
      </w:r>
      <w:r>
        <w:rPr>
          <w:szCs w:val="22"/>
        </w:rPr>
        <w:t>sufficient to protect workers</w:t>
      </w:r>
      <w:r>
        <w:rPr>
          <w:rStyle w:val="FootnoteReference"/>
          <w:szCs w:val="22"/>
        </w:rPr>
        <w:footnoteReference w:id="272"/>
      </w:r>
      <w:r w:rsidR="00171975">
        <w:rPr>
          <w:szCs w:val="22"/>
        </w:rPr>
        <w:t>,</w:t>
      </w:r>
    </w:p>
    <w:p w14:paraId="27A8A991" w14:textId="12708DBA" w:rsidR="005B6651" w:rsidRPr="000A3EC9" w:rsidRDefault="00B47A62" w:rsidP="000D5611">
      <w:pPr>
        <w:pStyle w:val="ListParagraph"/>
        <w:numPr>
          <w:ilvl w:val="0"/>
          <w:numId w:val="44"/>
        </w:numPr>
        <w:spacing w:line="259" w:lineRule="auto"/>
        <w:ind w:left="714" w:hanging="357"/>
        <w:contextualSpacing w:val="0"/>
        <w:rPr>
          <w:szCs w:val="22"/>
        </w:rPr>
      </w:pPr>
      <w:r>
        <w:rPr>
          <w:szCs w:val="22"/>
        </w:rPr>
        <w:lastRenderedPageBreak/>
        <w:t>measurement of exposure at</w:t>
      </w:r>
      <w:r w:rsidR="005B6651" w:rsidRPr="00FF1168">
        <w:rPr>
          <w:szCs w:val="22"/>
        </w:rPr>
        <w:t xml:space="preserve"> the proposed WEL for RCS</w:t>
      </w:r>
      <w:r>
        <w:rPr>
          <w:szCs w:val="22"/>
        </w:rPr>
        <w:t xml:space="preserve"> </w:t>
      </w:r>
      <w:r w:rsidR="00010F48">
        <w:rPr>
          <w:szCs w:val="22"/>
        </w:rPr>
        <w:t>being</w:t>
      </w:r>
      <w:r>
        <w:rPr>
          <w:szCs w:val="22"/>
        </w:rPr>
        <w:t xml:space="preserve"> difficult</w:t>
      </w:r>
      <w:r w:rsidR="00037BC1">
        <w:rPr>
          <w:rStyle w:val="FootnoteReference"/>
          <w:szCs w:val="22"/>
        </w:rPr>
        <w:footnoteReference w:id="273"/>
      </w:r>
      <w:r w:rsidR="00A65BE2">
        <w:rPr>
          <w:szCs w:val="22"/>
        </w:rPr>
        <w:t xml:space="preserve"> or sampling and analysis</w:t>
      </w:r>
      <w:r w:rsidR="00495ACB">
        <w:rPr>
          <w:szCs w:val="22"/>
        </w:rPr>
        <w:t xml:space="preserve"> not be</w:t>
      </w:r>
      <w:r w:rsidR="00B44AF6">
        <w:rPr>
          <w:szCs w:val="22"/>
        </w:rPr>
        <w:t>ing</w:t>
      </w:r>
      <w:r w:rsidR="00495ACB">
        <w:rPr>
          <w:szCs w:val="22"/>
        </w:rPr>
        <w:t xml:space="preserve"> accurate with current technology</w:t>
      </w:r>
      <w:r w:rsidR="00495ACB">
        <w:rPr>
          <w:rStyle w:val="FootnoteReference"/>
          <w:szCs w:val="22"/>
        </w:rPr>
        <w:footnoteReference w:id="274"/>
      </w:r>
      <w:r w:rsidR="00171975">
        <w:rPr>
          <w:szCs w:val="22"/>
        </w:rPr>
        <w:t>,</w:t>
      </w:r>
    </w:p>
    <w:p w14:paraId="559E085C" w14:textId="49EBE19F" w:rsidR="005B6651" w:rsidRPr="00FF1168" w:rsidRDefault="005B6651" w:rsidP="00B57E6C">
      <w:pPr>
        <w:pStyle w:val="ListParagraph"/>
        <w:numPr>
          <w:ilvl w:val="0"/>
          <w:numId w:val="43"/>
        </w:numPr>
        <w:spacing w:line="259" w:lineRule="auto"/>
        <w:ind w:left="714" w:hanging="357"/>
        <w:contextualSpacing w:val="0"/>
        <w:textAlignment w:val="baseline"/>
        <w:rPr>
          <w:rFonts w:ascii="Aptos" w:eastAsiaTheme="majorEastAsia" w:hAnsi="Aptos" w:cs="Arial"/>
          <w:szCs w:val="22"/>
        </w:rPr>
      </w:pPr>
      <w:r w:rsidRPr="00FF1168">
        <w:rPr>
          <w:szCs w:val="22"/>
        </w:rPr>
        <w:t>the preliminary estimates of the costs and benefits not consider</w:t>
      </w:r>
      <w:r w:rsidR="00B44AF6">
        <w:rPr>
          <w:szCs w:val="22"/>
        </w:rPr>
        <w:t>ing</w:t>
      </w:r>
      <w:r w:rsidRPr="00FF1168">
        <w:rPr>
          <w:szCs w:val="22"/>
        </w:rPr>
        <w:t xml:space="preserve"> the effect</w:t>
      </w:r>
      <w:r w:rsidR="0032222C">
        <w:rPr>
          <w:szCs w:val="22"/>
        </w:rPr>
        <w:t>iveness of</w:t>
      </w:r>
      <w:r w:rsidRPr="00FF1168">
        <w:rPr>
          <w:szCs w:val="22"/>
        </w:rPr>
        <w:t xml:space="preserve"> </w:t>
      </w:r>
      <w:r w:rsidR="00530395">
        <w:rPr>
          <w:szCs w:val="22"/>
        </w:rPr>
        <w:t xml:space="preserve">the </w:t>
      </w:r>
      <w:r w:rsidR="0021183C">
        <w:rPr>
          <w:szCs w:val="22"/>
        </w:rPr>
        <w:t>previous</w:t>
      </w:r>
      <w:r w:rsidR="00530395">
        <w:rPr>
          <w:szCs w:val="22"/>
        </w:rPr>
        <w:t xml:space="preserve"> RCS</w:t>
      </w:r>
      <w:r w:rsidR="0021183C">
        <w:rPr>
          <w:szCs w:val="22"/>
        </w:rPr>
        <w:t xml:space="preserve"> WES reduction</w:t>
      </w:r>
      <w:r w:rsidR="00530395">
        <w:rPr>
          <w:szCs w:val="22"/>
        </w:rPr>
        <w:t xml:space="preserve"> </w:t>
      </w:r>
      <w:r w:rsidR="0021183C">
        <w:rPr>
          <w:szCs w:val="22"/>
        </w:rPr>
        <w:t xml:space="preserve">from </w:t>
      </w:r>
      <w:r w:rsidR="00530395">
        <w:rPr>
          <w:szCs w:val="22"/>
        </w:rPr>
        <w:t xml:space="preserve">a TWA of </w:t>
      </w:r>
      <w:r w:rsidR="0021183C">
        <w:rPr>
          <w:szCs w:val="22"/>
        </w:rPr>
        <w:t>0.1 mg/m</w:t>
      </w:r>
      <w:r w:rsidR="0021183C" w:rsidRPr="007D23F8">
        <w:rPr>
          <w:szCs w:val="22"/>
          <w:vertAlign w:val="superscript"/>
        </w:rPr>
        <w:t>3</w:t>
      </w:r>
      <w:r w:rsidR="0021183C">
        <w:rPr>
          <w:szCs w:val="22"/>
        </w:rPr>
        <w:t xml:space="preserve"> to 0.05 mg/m</w:t>
      </w:r>
      <w:r w:rsidR="0021183C" w:rsidRPr="007D23F8">
        <w:rPr>
          <w:szCs w:val="22"/>
          <w:vertAlign w:val="superscript"/>
        </w:rPr>
        <w:t>3</w:t>
      </w:r>
      <w:r w:rsidR="00530395">
        <w:rPr>
          <w:szCs w:val="22"/>
        </w:rPr>
        <w:t>,</w:t>
      </w:r>
      <w:r w:rsidR="0021183C">
        <w:rPr>
          <w:szCs w:val="22"/>
        </w:rPr>
        <w:t xml:space="preserve"> </w:t>
      </w:r>
      <w:r w:rsidRPr="00FF1168">
        <w:rPr>
          <w:szCs w:val="22"/>
        </w:rPr>
        <w:t>the engineered stone ban</w:t>
      </w:r>
      <w:r w:rsidR="007D23F8">
        <w:rPr>
          <w:szCs w:val="22"/>
        </w:rPr>
        <w:t>,</w:t>
      </w:r>
      <w:r w:rsidRPr="00FF1168">
        <w:rPr>
          <w:szCs w:val="22"/>
        </w:rPr>
        <w:t xml:space="preserve"> and the stronger regulation around processing of crystalline silica substance</w:t>
      </w:r>
      <w:r w:rsidR="004A0CCE">
        <w:rPr>
          <w:szCs w:val="22"/>
        </w:rPr>
        <w:t>s</w:t>
      </w:r>
      <w:r w:rsidRPr="00FF1168">
        <w:rPr>
          <w:szCs w:val="22"/>
        </w:rPr>
        <w:t xml:space="preserve"> (CSS) introduced in 2024</w:t>
      </w:r>
      <w:r w:rsidR="00530395">
        <w:rPr>
          <w:rStyle w:val="FootnoteReference"/>
          <w:szCs w:val="22"/>
        </w:rPr>
        <w:footnoteReference w:id="275"/>
      </w:r>
      <w:r w:rsidR="00171975">
        <w:rPr>
          <w:szCs w:val="22"/>
        </w:rPr>
        <w:t>,</w:t>
      </w:r>
    </w:p>
    <w:p w14:paraId="2AB39946" w14:textId="0E0A9328" w:rsidR="005B6651" w:rsidRPr="00FF1168" w:rsidRDefault="005B6651" w:rsidP="00B57E6C">
      <w:pPr>
        <w:pStyle w:val="ListParagraph"/>
        <w:numPr>
          <w:ilvl w:val="0"/>
          <w:numId w:val="43"/>
        </w:numPr>
        <w:spacing w:line="259" w:lineRule="auto"/>
        <w:ind w:left="714" w:hanging="357"/>
        <w:contextualSpacing w:val="0"/>
        <w:rPr>
          <w:szCs w:val="22"/>
        </w:rPr>
      </w:pPr>
      <w:r>
        <w:rPr>
          <w:szCs w:val="22"/>
        </w:rPr>
        <w:t xml:space="preserve"> </w:t>
      </w:r>
      <w:r w:rsidRPr="00FF1168">
        <w:rPr>
          <w:szCs w:val="22"/>
        </w:rPr>
        <w:t>the proposed reduction only be</w:t>
      </w:r>
      <w:r w:rsidR="006B232F">
        <w:rPr>
          <w:szCs w:val="22"/>
        </w:rPr>
        <w:t>ing</w:t>
      </w:r>
      <w:r w:rsidRPr="00FF1168">
        <w:rPr>
          <w:szCs w:val="22"/>
        </w:rPr>
        <w:t xml:space="preserve"> achieved with the use of respiratory protective equipment, which “cannot be relied upon due to worker behaviour (clean shave, wearing for entire shift etc.) and limitation of equipment”</w:t>
      </w:r>
      <w:r w:rsidR="0066780C">
        <w:rPr>
          <w:rStyle w:val="FootnoteReference"/>
          <w:szCs w:val="22"/>
        </w:rPr>
        <w:footnoteReference w:id="276"/>
      </w:r>
      <w:r w:rsidR="00171975">
        <w:rPr>
          <w:szCs w:val="22"/>
        </w:rPr>
        <w:t>,</w:t>
      </w:r>
    </w:p>
    <w:p w14:paraId="470BE2D4" w14:textId="683FEBB1" w:rsidR="005B6651" w:rsidRPr="00FB18E4" w:rsidRDefault="005B6651" w:rsidP="00B57E6C">
      <w:pPr>
        <w:pStyle w:val="ListParagraph"/>
        <w:numPr>
          <w:ilvl w:val="0"/>
          <w:numId w:val="43"/>
        </w:numPr>
        <w:spacing w:line="259" w:lineRule="auto"/>
        <w:ind w:left="714" w:hanging="357"/>
        <w:contextualSpacing w:val="0"/>
        <w:textAlignment w:val="baseline"/>
        <w:rPr>
          <w:rFonts w:asciiTheme="majorHAnsi" w:eastAsiaTheme="majorEastAsia" w:hAnsiTheme="majorHAnsi" w:cstheme="majorHAnsi"/>
          <w:szCs w:val="22"/>
        </w:rPr>
      </w:pPr>
      <w:r w:rsidRPr="00FB18E4">
        <w:rPr>
          <w:rFonts w:asciiTheme="majorHAnsi" w:hAnsiTheme="majorHAnsi" w:cstheme="majorHAnsi"/>
          <w:szCs w:val="22"/>
        </w:rPr>
        <w:t xml:space="preserve">the </w:t>
      </w:r>
      <w:r w:rsidRPr="00FB18E4" w:rsidDel="005C1948">
        <w:rPr>
          <w:rFonts w:asciiTheme="majorHAnsi" w:eastAsiaTheme="majorEastAsia" w:hAnsiTheme="majorHAnsi" w:cstheme="majorHAnsi"/>
          <w:szCs w:val="22"/>
        </w:rPr>
        <w:t xml:space="preserve">preliminary </w:t>
      </w:r>
      <w:r w:rsidRPr="00FB18E4">
        <w:rPr>
          <w:rFonts w:asciiTheme="majorHAnsi" w:eastAsiaTheme="majorEastAsia" w:hAnsiTheme="majorHAnsi" w:cstheme="majorHAnsi"/>
          <w:szCs w:val="22"/>
        </w:rPr>
        <w:t>estimates</w:t>
      </w:r>
      <w:r w:rsidR="00232B0F">
        <w:rPr>
          <w:rFonts w:asciiTheme="majorHAnsi" w:eastAsiaTheme="majorEastAsia" w:hAnsiTheme="majorHAnsi" w:cstheme="majorHAnsi"/>
          <w:szCs w:val="22"/>
        </w:rPr>
        <w:t>,</w:t>
      </w:r>
      <w:r w:rsidRPr="00FB18E4">
        <w:rPr>
          <w:rFonts w:asciiTheme="majorHAnsi" w:eastAsiaTheme="majorEastAsia" w:hAnsiTheme="majorHAnsi" w:cstheme="majorHAnsi"/>
          <w:szCs w:val="22"/>
        </w:rPr>
        <w:t xml:space="preserve"> </w:t>
      </w:r>
      <w:r w:rsidR="00854B6E">
        <w:rPr>
          <w:rFonts w:asciiTheme="majorHAnsi" w:eastAsiaTheme="majorEastAsia" w:hAnsiTheme="majorHAnsi" w:cstheme="majorHAnsi"/>
          <w:szCs w:val="22"/>
        </w:rPr>
        <w:t xml:space="preserve">by Nous Group, </w:t>
      </w:r>
      <w:r w:rsidRPr="00FB18E4">
        <w:rPr>
          <w:rFonts w:asciiTheme="majorHAnsi" w:eastAsiaTheme="majorEastAsia" w:hAnsiTheme="majorHAnsi" w:cstheme="majorHAnsi"/>
          <w:szCs w:val="22"/>
        </w:rPr>
        <w:t>of the costs and benefits for RCS</w:t>
      </w:r>
      <w:r w:rsidR="00232B0F">
        <w:rPr>
          <w:rFonts w:asciiTheme="majorHAnsi" w:eastAsiaTheme="majorEastAsia" w:hAnsiTheme="majorHAnsi" w:cstheme="majorHAnsi"/>
          <w:szCs w:val="22"/>
        </w:rPr>
        <w:t xml:space="preserve">, which suggests the </w:t>
      </w:r>
      <w:r>
        <w:rPr>
          <w:rFonts w:asciiTheme="majorHAnsi" w:eastAsiaTheme="majorEastAsia" w:hAnsiTheme="majorHAnsi" w:cstheme="majorHAnsi"/>
          <w:szCs w:val="22"/>
        </w:rPr>
        <w:t>estimated</w:t>
      </w:r>
      <w:r w:rsidRPr="00FB18E4">
        <w:rPr>
          <w:rFonts w:asciiTheme="majorHAnsi" w:eastAsiaTheme="majorEastAsia" w:hAnsiTheme="majorHAnsi" w:cstheme="majorHAnsi"/>
          <w:szCs w:val="22"/>
        </w:rPr>
        <w:t xml:space="preserve"> costs for Option 2 </w:t>
      </w:r>
      <w:r>
        <w:rPr>
          <w:rFonts w:asciiTheme="majorHAnsi" w:eastAsiaTheme="majorEastAsia" w:hAnsiTheme="majorHAnsi" w:cstheme="majorHAnsi"/>
          <w:szCs w:val="22"/>
        </w:rPr>
        <w:t>were higher</w:t>
      </w:r>
      <w:r w:rsidRPr="00FB18E4">
        <w:rPr>
          <w:rFonts w:asciiTheme="majorHAnsi" w:eastAsiaTheme="majorEastAsia" w:hAnsiTheme="majorHAnsi" w:cstheme="majorHAnsi"/>
          <w:szCs w:val="22"/>
        </w:rPr>
        <w:t xml:space="preserve"> </w:t>
      </w:r>
      <w:r w:rsidR="000840C6">
        <w:rPr>
          <w:rFonts w:asciiTheme="majorHAnsi" w:eastAsiaTheme="majorEastAsia" w:hAnsiTheme="majorHAnsi" w:cstheme="majorHAnsi"/>
          <w:szCs w:val="22"/>
        </w:rPr>
        <w:t xml:space="preserve">than </w:t>
      </w:r>
      <w:r w:rsidRPr="00FB18E4">
        <w:rPr>
          <w:rFonts w:asciiTheme="majorHAnsi" w:eastAsiaTheme="majorEastAsia" w:hAnsiTheme="majorHAnsi" w:cstheme="majorHAnsi"/>
          <w:szCs w:val="22"/>
        </w:rPr>
        <w:t>the</w:t>
      </w:r>
      <w:r w:rsidR="00232B0F">
        <w:rPr>
          <w:rFonts w:asciiTheme="majorHAnsi" w:eastAsiaTheme="majorEastAsia" w:hAnsiTheme="majorHAnsi" w:cstheme="majorHAnsi"/>
          <w:szCs w:val="22"/>
        </w:rPr>
        <w:t xml:space="preserve"> estimated</w:t>
      </w:r>
      <w:r w:rsidRPr="00FB18E4">
        <w:rPr>
          <w:rFonts w:asciiTheme="majorHAnsi" w:eastAsiaTheme="majorEastAsia" w:hAnsiTheme="majorHAnsi" w:cstheme="majorHAnsi"/>
          <w:szCs w:val="22"/>
        </w:rPr>
        <w:t xml:space="preserve"> benefits</w:t>
      </w:r>
      <w:r w:rsidR="002754E4">
        <w:rPr>
          <w:rStyle w:val="FootnoteReference"/>
          <w:rFonts w:asciiTheme="majorHAnsi" w:eastAsiaTheme="majorEastAsia" w:hAnsiTheme="majorHAnsi" w:cstheme="majorHAnsi"/>
          <w:szCs w:val="22"/>
        </w:rPr>
        <w:footnoteReference w:id="277"/>
      </w:r>
      <w:r w:rsidRPr="00FB18E4">
        <w:rPr>
          <w:rFonts w:asciiTheme="majorHAnsi" w:eastAsiaTheme="majorEastAsia" w:hAnsiTheme="majorHAnsi" w:cstheme="majorHAnsi"/>
          <w:szCs w:val="22"/>
        </w:rPr>
        <w:t>,</w:t>
      </w:r>
      <w:r w:rsidRPr="00FB18E4" w:rsidDel="00556A5A">
        <w:rPr>
          <w:rFonts w:asciiTheme="majorHAnsi" w:eastAsiaTheme="majorEastAsia" w:hAnsiTheme="majorHAnsi" w:cstheme="majorHAnsi"/>
          <w:szCs w:val="22"/>
        </w:rPr>
        <w:t xml:space="preserve"> </w:t>
      </w:r>
      <w:r w:rsidR="00191101">
        <w:rPr>
          <w:rFonts w:asciiTheme="majorHAnsi" w:eastAsiaTheme="majorEastAsia" w:hAnsiTheme="majorHAnsi" w:cstheme="majorHAnsi"/>
          <w:szCs w:val="22"/>
        </w:rPr>
        <w:t xml:space="preserve">and </w:t>
      </w:r>
    </w:p>
    <w:p w14:paraId="4572E1D3" w14:textId="7741DB29" w:rsidR="005B6651" w:rsidRPr="00FE682A" w:rsidRDefault="005B6651" w:rsidP="00B57E6C">
      <w:pPr>
        <w:pStyle w:val="paragraph0"/>
        <w:numPr>
          <w:ilvl w:val="0"/>
          <w:numId w:val="44"/>
        </w:numPr>
        <w:spacing w:before="0" w:beforeAutospacing="0" w:after="120" w:afterAutospacing="0" w:line="240" w:lineRule="auto"/>
        <w:ind w:left="714" w:hanging="357"/>
        <w:contextualSpacing w:val="0"/>
        <w:textAlignment w:val="baseline"/>
        <w:rPr>
          <w:rFonts w:ascii="Aptos" w:eastAsiaTheme="majorEastAsia" w:hAnsi="Aptos" w:cs="Arial"/>
          <w:sz w:val="22"/>
          <w:szCs w:val="22"/>
        </w:rPr>
      </w:pPr>
      <w:r w:rsidRPr="00FB18E4">
        <w:rPr>
          <w:rFonts w:ascii="Arial" w:eastAsiaTheme="majorEastAsia" w:hAnsi="Arial" w:cs="Arial"/>
          <w:sz w:val="22"/>
          <w:szCs w:val="22"/>
        </w:rPr>
        <w:t>practical and feasibility issues such as measurement, compliance and costs</w:t>
      </w:r>
      <w:r w:rsidR="008A0A0D">
        <w:rPr>
          <w:rStyle w:val="FootnoteReference"/>
          <w:rFonts w:ascii="Arial" w:eastAsiaTheme="majorEastAsia" w:hAnsi="Arial" w:cs="Arial"/>
          <w:sz w:val="22"/>
          <w:szCs w:val="22"/>
        </w:rPr>
        <w:footnoteReference w:id="278"/>
      </w:r>
      <w:r w:rsidRPr="00FB18E4">
        <w:rPr>
          <w:rFonts w:ascii="Arial" w:eastAsiaTheme="majorEastAsia" w:hAnsi="Arial" w:cs="Arial"/>
          <w:sz w:val="22"/>
          <w:szCs w:val="22"/>
        </w:rPr>
        <w:t>.</w:t>
      </w:r>
      <w:r w:rsidRPr="00FB18E4">
        <w:rPr>
          <w:rFonts w:ascii="Arial" w:eastAsiaTheme="majorEastAsia" w:hAnsi="Arial" w:cs="Arial"/>
          <w:szCs w:val="22"/>
        </w:rPr>
        <w:t xml:space="preserve"> </w:t>
      </w:r>
    </w:p>
    <w:p w14:paraId="09FC3C54" w14:textId="52A3840F" w:rsidR="000C701E" w:rsidRDefault="007B4F2A" w:rsidP="007B4F2A">
      <w:r>
        <w:t>Three submissions did not provide a</w:t>
      </w:r>
      <w:r w:rsidR="00194345">
        <w:t xml:space="preserve"> preferred option</w:t>
      </w:r>
      <w:r w:rsidR="00223887">
        <w:rPr>
          <w:rStyle w:val="FootnoteReference"/>
        </w:rPr>
        <w:footnoteReference w:id="279"/>
      </w:r>
      <w:r w:rsidR="00194345">
        <w:t xml:space="preserve">. </w:t>
      </w:r>
    </w:p>
    <w:p w14:paraId="10FE30F1" w14:textId="3481A962" w:rsidR="00F00B6C" w:rsidRDefault="008C3714" w:rsidP="008C3714">
      <w:pPr>
        <w:pStyle w:val="SWAHeading3"/>
      </w:pPr>
      <w:r>
        <w:t xml:space="preserve">Alternative </w:t>
      </w:r>
      <w:r w:rsidR="002D085D">
        <w:t>WEL</w:t>
      </w:r>
      <w:r w:rsidR="00426F25">
        <w:t>s</w:t>
      </w:r>
      <w:r w:rsidR="00F2027D">
        <w:t xml:space="preserve"> suggested by stakeholder</w:t>
      </w:r>
      <w:r w:rsidR="00426F25">
        <w:t>s</w:t>
      </w:r>
    </w:p>
    <w:p w14:paraId="5150C252" w14:textId="277069BD" w:rsidR="00825A8C" w:rsidRDefault="00B54BBE" w:rsidP="002D085D">
      <w:pPr>
        <w:pStyle w:val="Paragraph"/>
        <w:rPr>
          <w:lang w:eastAsia="en-US"/>
        </w:rPr>
      </w:pPr>
      <w:r>
        <w:rPr>
          <w:lang w:eastAsia="en-US"/>
        </w:rPr>
        <w:t>O</w:t>
      </w:r>
      <w:r w:rsidR="003057C1">
        <w:rPr>
          <w:lang w:eastAsia="en-US"/>
        </w:rPr>
        <w:t xml:space="preserve">ne alternative WEL was suggested </w:t>
      </w:r>
      <w:r w:rsidR="00825A8C">
        <w:rPr>
          <w:lang w:eastAsia="en-US"/>
        </w:rPr>
        <w:t xml:space="preserve">in relation to RCS. </w:t>
      </w:r>
    </w:p>
    <w:p w14:paraId="39A4AA88" w14:textId="0DEF603D" w:rsidR="002D085D" w:rsidRPr="000A3EC9" w:rsidRDefault="002D085D" w:rsidP="000A3EC9">
      <w:pPr>
        <w:pStyle w:val="Paragraph"/>
      </w:pPr>
      <w:r>
        <w:rPr>
          <w:lang w:eastAsia="en-US"/>
        </w:rPr>
        <w:t xml:space="preserve">An industry submission </w:t>
      </w:r>
      <w:r w:rsidR="00423F7A">
        <w:rPr>
          <w:lang w:eastAsia="en-US"/>
        </w:rPr>
        <w:t xml:space="preserve">suggested an alternative exposure limit </w:t>
      </w:r>
      <w:r w:rsidR="00F2027D">
        <w:rPr>
          <w:lang w:eastAsia="en-US"/>
        </w:rPr>
        <w:t>- a</w:t>
      </w:r>
      <w:r w:rsidR="00423F7A">
        <w:rPr>
          <w:lang w:eastAsia="en-US"/>
        </w:rPr>
        <w:t xml:space="preserve"> TWA of 0.05 mg/m</w:t>
      </w:r>
      <w:r w:rsidR="00423F7A" w:rsidRPr="000A3EC9">
        <w:rPr>
          <w:vertAlign w:val="superscript"/>
          <w:lang w:eastAsia="en-US"/>
        </w:rPr>
        <w:t>3</w:t>
      </w:r>
      <w:r w:rsidR="00423F7A">
        <w:rPr>
          <w:lang w:eastAsia="en-US"/>
        </w:rPr>
        <w:t xml:space="preserve"> </w:t>
      </w:r>
      <w:r w:rsidR="003057C1">
        <w:rPr>
          <w:lang w:eastAsia="en-US"/>
        </w:rPr>
        <w:t xml:space="preserve">(i.e., the current WES) and a </w:t>
      </w:r>
      <w:r w:rsidR="00454AFE">
        <w:rPr>
          <w:lang w:eastAsia="en-US"/>
        </w:rPr>
        <w:t>short</w:t>
      </w:r>
      <w:r w:rsidR="00514EAD">
        <w:rPr>
          <w:lang w:eastAsia="en-US"/>
        </w:rPr>
        <w:t>-</w:t>
      </w:r>
      <w:r w:rsidR="00454AFE">
        <w:rPr>
          <w:lang w:eastAsia="en-US"/>
        </w:rPr>
        <w:t>term exposure limit (STEL)</w:t>
      </w:r>
      <w:r w:rsidR="003057C1">
        <w:rPr>
          <w:rStyle w:val="FootnoteReference"/>
          <w:lang w:eastAsia="en-US"/>
        </w:rPr>
        <w:footnoteReference w:id="280"/>
      </w:r>
      <w:r w:rsidR="003057C1">
        <w:rPr>
          <w:lang w:eastAsia="en-US"/>
        </w:rPr>
        <w:t xml:space="preserve">. </w:t>
      </w:r>
      <w:r w:rsidR="00825A8C">
        <w:rPr>
          <w:lang w:eastAsia="en-US"/>
        </w:rPr>
        <w:t xml:space="preserve">However, the submission did not </w:t>
      </w:r>
      <w:r w:rsidR="003B2C7B">
        <w:rPr>
          <w:lang w:eastAsia="en-US"/>
        </w:rPr>
        <w:t xml:space="preserve">provide any health evidence to support a STEL proposal, nor did it </w:t>
      </w:r>
      <w:r w:rsidR="00825A8C">
        <w:rPr>
          <w:lang w:eastAsia="en-US"/>
        </w:rPr>
        <w:t xml:space="preserve">suggest a </w:t>
      </w:r>
      <w:r w:rsidR="00187059">
        <w:rPr>
          <w:lang w:eastAsia="en-US"/>
        </w:rPr>
        <w:t xml:space="preserve">value for the </w:t>
      </w:r>
      <w:r w:rsidR="00825A8C">
        <w:rPr>
          <w:lang w:eastAsia="en-US"/>
        </w:rPr>
        <w:t>STEL</w:t>
      </w:r>
      <w:r w:rsidR="003B2C7B">
        <w:rPr>
          <w:lang w:eastAsia="en-US"/>
        </w:rPr>
        <w:t>.</w:t>
      </w:r>
      <w:r w:rsidR="0030078D">
        <w:rPr>
          <w:lang w:eastAsia="en-US"/>
        </w:rPr>
        <w:t xml:space="preserve"> Furthermore, </w:t>
      </w:r>
      <w:r w:rsidR="005F4DAD">
        <w:rPr>
          <w:lang w:eastAsia="en-US"/>
        </w:rPr>
        <w:t xml:space="preserve">a </w:t>
      </w:r>
      <w:r w:rsidR="00DF188F">
        <w:rPr>
          <w:lang w:eastAsia="en-US"/>
        </w:rPr>
        <w:t xml:space="preserve">2022 </w:t>
      </w:r>
      <w:r w:rsidR="005F4DAD">
        <w:rPr>
          <w:lang w:eastAsia="en-US"/>
        </w:rPr>
        <w:t xml:space="preserve">report commissioned by Safe Work Australia </w:t>
      </w:r>
      <w:r w:rsidR="004F6D7F">
        <w:rPr>
          <w:lang w:eastAsia="en-US"/>
        </w:rPr>
        <w:t xml:space="preserve">into </w:t>
      </w:r>
      <w:hyperlink r:id="rId50" w:history="1">
        <w:r w:rsidR="004F6D7F" w:rsidRPr="00FE743A">
          <w:rPr>
            <w:rStyle w:val="Hyperlink"/>
            <w:lang w:eastAsia="en-US"/>
          </w:rPr>
          <w:t>whether a STEL for RCS can be recommended</w:t>
        </w:r>
      </w:hyperlink>
      <w:r w:rsidR="004F6D7F">
        <w:rPr>
          <w:lang w:eastAsia="en-US"/>
        </w:rPr>
        <w:t xml:space="preserve"> concluded </w:t>
      </w:r>
      <w:r w:rsidR="00D46D3D">
        <w:rPr>
          <w:lang w:eastAsia="en-US"/>
        </w:rPr>
        <w:t>that a STEL would only provide additional protection when used in combination with a TWA of 0.02 mg/m</w:t>
      </w:r>
      <w:r w:rsidR="00D46D3D" w:rsidRPr="000A3EC9">
        <w:rPr>
          <w:vertAlign w:val="superscript"/>
          <w:lang w:eastAsia="en-US"/>
        </w:rPr>
        <w:t>3</w:t>
      </w:r>
      <w:r w:rsidR="00FE743A">
        <w:rPr>
          <w:lang w:eastAsia="en-US"/>
        </w:rPr>
        <w:t>, which is not being proposed as part of this Decision RIS</w:t>
      </w:r>
      <w:r w:rsidR="00454AFE">
        <w:rPr>
          <w:lang w:eastAsia="en-US"/>
        </w:rPr>
        <w:t xml:space="preserve"> </w:t>
      </w:r>
      <w:sdt>
        <w:sdtPr>
          <w:rPr>
            <w:lang w:eastAsia="en-US"/>
          </w:rPr>
          <w:id w:val="1490058453"/>
          <w:citation/>
        </w:sdtPr>
        <w:sdtEndPr/>
        <w:sdtContent>
          <w:r w:rsidR="00454AFE">
            <w:rPr>
              <w:lang w:eastAsia="en-US"/>
            </w:rPr>
            <w:fldChar w:fldCharType="begin"/>
          </w:r>
          <w:r w:rsidR="00454AFE">
            <w:rPr>
              <w:lang w:eastAsia="en-US"/>
            </w:rPr>
            <w:instrText xml:space="preserve"> CITATION Saf222 \l 3081 </w:instrText>
          </w:r>
          <w:r w:rsidR="00454AFE">
            <w:rPr>
              <w:lang w:eastAsia="en-US"/>
            </w:rPr>
            <w:fldChar w:fldCharType="separate"/>
          </w:r>
          <w:r w:rsidR="00490B21">
            <w:rPr>
              <w:noProof/>
              <w:lang w:eastAsia="en-US"/>
            </w:rPr>
            <w:t>(Safe Work Australia, 2022)</w:t>
          </w:r>
          <w:r w:rsidR="00454AFE">
            <w:rPr>
              <w:lang w:eastAsia="en-US"/>
            </w:rPr>
            <w:fldChar w:fldCharType="end"/>
          </w:r>
        </w:sdtContent>
      </w:sdt>
      <w:r w:rsidR="00FE743A">
        <w:rPr>
          <w:lang w:eastAsia="en-US"/>
        </w:rPr>
        <w:t xml:space="preserve">. </w:t>
      </w:r>
    </w:p>
    <w:p w14:paraId="72CD77F5" w14:textId="3769278C" w:rsidR="007B4F2A" w:rsidRPr="00E7252F" w:rsidRDefault="005D4804" w:rsidP="00E7252F">
      <w:pPr>
        <w:pStyle w:val="SWAHeading3"/>
      </w:pPr>
      <w:r>
        <w:t xml:space="preserve">Considerations </w:t>
      </w:r>
      <w:r w:rsidR="00194345">
        <w:t>in relation to</w:t>
      </w:r>
      <w:r w:rsidR="00770AB3">
        <w:t xml:space="preserve"> the proposed WEL for RCS</w:t>
      </w:r>
    </w:p>
    <w:p w14:paraId="68C5CCB5" w14:textId="5E9400B5" w:rsidR="00E95EA4" w:rsidRPr="00E55C0C" w:rsidRDefault="00194345" w:rsidP="00E95EA4">
      <w:pPr>
        <w:pStyle w:val="SWAHeading4"/>
        <w:spacing w:before="200"/>
        <w:rPr>
          <w:b w:val="0"/>
          <w:bCs w:val="0"/>
          <w:i w:val="0"/>
          <w:iCs w:val="0"/>
          <w:sz w:val="22"/>
          <w:szCs w:val="24"/>
        </w:rPr>
      </w:pPr>
      <w:r>
        <w:rPr>
          <w:b w:val="0"/>
          <w:bCs w:val="0"/>
          <w:i w:val="0"/>
          <w:iCs w:val="0"/>
          <w:sz w:val="22"/>
          <w:szCs w:val="24"/>
        </w:rPr>
        <w:lastRenderedPageBreak/>
        <w:t>S</w:t>
      </w:r>
      <w:r w:rsidR="00E95EA4" w:rsidRPr="00E55C0C">
        <w:rPr>
          <w:b w:val="0"/>
          <w:bCs w:val="0"/>
          <w:i w:val="0"/>
          <w:iCs w:val="0"/>
          <w:sz w:val="22"/>
          <w:szCs w:val="24"/>
        </w:rPr>
        <w:t xml:space="preserve">takeholders were asked about challenges they expect their industry, business or PCBU </w:t>
      </w:r>
      <w:r w:rsidR="00E83AD6" w:rsidRPr="00E55C0C">
        <w:rPr>
          <w:b w:val="0"/>
          <w:bCs w:val="0"/>
          <w:i w:val="0"/>
          <w:iCs w:val="0"/>
          <w:sz w:val="22"/>
          <w:szCs w:val="24"/>
        </w:rPr>
        <w:t>would</w:t>
      </w:r>
      <w:r w:rsidR="00E95EA4" w:rsidRPr="00E55C0C">
        <w:rPr>
          <w:b w:val="0"/>
          <w:bCs w:val="0"/>
          <w:i w:val="0"/>
          <w:iCs w:val="0"/>
          <w:sz w:val="22"/>
          <w:szCs w:val="24"/>
        </w:rPr>
        <w:t xml:space="preserve"> encounter if the proposed WEL </w:t>
      </w:r>
      <w:r w:rsidR="00605856">
        <w:rPr>
          <w:b w:val="0"/>
          <w:bCs w:val="0"/>
          <w:i w:val="0"/>
          <w:iCs w:val="0"/>
          <w:sz w:val="22"/>
          <w:szCs w:val="24"/>
        </w:rPr>
        <w:t xml:space="preserve">for RCS </w:t>
      </w:r>
      <w:r w:rsidR="00E95EA4" w:rsidRPr="00E55C0C">
        <w:rPr>
          <w:b w:val="0"/>
          <w:bCs w:val="0"/>
          <w:i w:val="0"/>
          <w:iCs w:val="0"/>
          <w:sz w:val="22"/>
          <w:szCs w:val="24"/>
        </w:rPr>
        <w:t xml:space="preserve">was implemented. </w:t>
      </w:r>
      <w:r w:rsidR="004538B3">
        <w:rPr>
          <w:b w:val="0"/>
          <w:bCs w:val="0"/>
          <w:i w:val="0"/>
          <w:iCs w:val="0"/>
          <w:sz w:val="22"/>
          <w:szCs w:val="24"/>
        </w:rPr>
        <w:t xml:space="preserve">Measurability, reliance on personal protective equipment, interaction with the </w:t>
      </w:r>
      <w:r w:rsidR="00065E8C">
        <w:rPr>
          <w:b w:val="0"/>
          <w:bCs w:val="0"/>
          <w:i w:val="0"/>
          <w:iCs w:val="0"/>
          <w:sz w:val="22"/>
          <w:szCs w:val="24"/>
        </w:rPr>
        <w:t xml:space="preserve">model WHS </w:t>
      </w:r>
      <w:r w:rsidR="000D68B7">
        <w:rPr>
          <w:b w:val="0"/>
          <w:bCs w:val="0"/>
          <w:i w:val="0"/>
          <w:iCs w:val="0"/>
          <w:sz w:val="22"/>
          <w:szCs w:val="24"/>
        </w:rPr>
        <w:t>R</w:t>
      </w:r>
      <w:r w:rsidR="00065E8C">
        <w:rPr>
          <w:b w:val="0"/>
          <w:bCs w:val="0"/>
          <w:i w:val="0"/>
          <w:iCs w:val="0"/>
          <w:sz w:val="22"/>
          <w:szCs w:val="24"/>
        </w:rPr>
        <w:t xml:space="preserve">egulations on crystalline silica substances and </w:t>
      </w:r>
      <w:r w:rsidR="009D6E68">
        <w:rPr>
          <w:b w:val="0"/>
          <w:bCs w:val="0"/>
          <w:i w:val="0"/>
          <w:iCs w:val="0"/>
          <w:sz w:val="22"/>
          <w:szCs w:val="24"/>
        </w:rPr>
        <w:t xml:space="preserve">impacts on tunnelling activities were raised </w:t>
      </w:r>
      <w:r w:rsidR="00E01409">
        <w:rPr>
          <w:b w:val="0"/>
          <w:bCs w:val="0"/>
          <w:i w:val="0"/>
          <w:iCs w:val="0"/>
          <w:sz w:val="22"/>
          <w:szCs w:val="24"/>
        </w:rPr>
        <w:t xml:space="preserve">as key challenges associated with the proposed WEL for RCS. </w:t>
      </w:r>
    </w:p>
    <w:p w14:paraId="70282B2F" w14:textId="260CE4BE" w:rsidR="00520687" w:rsidRDefault="00E01409" w:rsidP="00E10D49">
      <w:pPr>
        <w:pStyle w:val="SWAHeading4"/>
        <w:keepNext/>
      </w:pPr>
      <w:r>
        <w:t>Measurability</w:t>
      </w:r>
      <w:r w:rsidR="00E20C4D">
        <w:t xml:space="preserve"> concerns</w:t>
      </w:r>
    </w:p>
    <w:p w14:paraId="1B50F4BC" w14:textId="7242E036" w:rsidR="002B4BFB" w:rsidRDefault="002B4BFB" w:rsidP="00E10D49">
      <w:pPr>
        <w:keepNext/>
        <w:contextualSpacing w:val="0"/>
      </w:pPr>
      <w:r w:rsidRPr="002B4BFB">
        <w:t xml:space="preserve">Measurement and analysis of RCS at the proposed </w:t>
      </w:r>
      <w:r w:rsidR="00457E28">
        <w:t xml:space="preserve">TWA </w:t>
      </w:r>
      <w:r w:rsidR="00320A31">
        <w:t>of 0.025 mg/m</w:t>
      </w:r>
      <w:r w:rsidR="00320A31" w:rsidRPr="00FB18E4">
        <w:rPr>
          <w:vertAlign w:val="superscript"/>
        </w:rPr>
        <w:t>3</w:t>
      </w:r>
      <w:r w:rsidR="00320A31">
        <w:t xml:space="preserve"> </w:t>
      </w:r>
      <w:r w:rsidRPr="002B4BFB">
        <w:t xml:space="preserve">was </w:t>
      </w:r>
      <w:r w:rsidR="004247CA">
        <w:t xml:space="preserve">a recurring </w:t>
      </w:r>
      <w:r w:rsidR="00F026ED">
        <w:t xml:space="preserve">challenge </w:t>
      </w:r>
      <w:r w:rsidR="002F56A4">
        <w:t xml:space="preserve">raised by </w:t>
      </w:r>
      <w:r w:rsidRPr="002B4BFB">
        <w:t>stakeholders</w:t>
      </w:r>
      <w:r w:rsidR="002F56A4">
        <w:t>, particularly those who w</w:t>
      </w:r>
      <w:r w:rsidR="00A438E0">
        <w:t xml:space="preserve">ere supportive of retaining the current </w:t>
      </w:r>
      <w:r w:rsidR="00A438E0" w:rsidRPr="002B4BFB">
        <w:t>WES</w:t>
      </w:r>
      <w:r w:rsidR="00A438E0">
        <w:t xml:space="preserve"> for RCS. </w:t>
      </w:r>
      <w:r w:rsidR="00B322E0">
        <w:t>They claimed</w:t>
      </w:r>
      <w:r w:rsidR="00F17FD3" w:rsidDel="00B322E0">
        <w:t xml:space="preserve"> </w:t>
      </w:r>
      <w:r w:rsidR="00F17FD3">
        <w:t xml:space="preserve">that </w:t>
      </w:r>
      <w:r w:rsidR="00D62711">
        <w:t>measuring down to the proposed WEL would not be feasible or practical</w:t>
      </w:r>
      <w:r w:rsidR="00A126FD">
        <w:t>, thus creating</w:t>
      </w:r>
      <w:r w:rsidR="00A126FD" w:rsidRPr="002B4BFB">
        <w:t xml:space="preserve"> difficulties in both</w:t>
      </w:r>
      <w:r w:rsidR="00DD5B3D">
        <w:t xml:space="preserve"> compliance and</w:t>
      </w:r>
      <w:r w:rsidR="00A126FD" w:rsidRPr="002B4BFB">
        <w:t xml:space="preserve"> monitoring </w:t>
      </w:r>
      <w:r w:rsidR="00A126FD">
        <w:t xml:space="preserve">activities conducted by PCBUs </w:t>
      </w:r>
      <w:r w:rsidR="00A126FD" w:rsidRPr="002B4BFB">
        <w:t>and enforcement activities carried out by regulators</w:t>
      </w:r>
      <w:r w:rsidR="00056EEF">
        <w:rPr>
          <w:rStyle w:val="FootnoteReference"/>
        </w:rPr>
        <w:footnoteReference w:id="281"/>
      </w:r>
      <w:r w:rsidR="00A94F42">
        <w:t xml:space="preserve">. </w:t>
      </w:r>
    </w:p>
    <w:p w14:paraId="4BC3E90C" w14:textId="725042FB" w:rsidR="00BD0D69" w:rsidRDefault="00F026ED" w:rsidP="00FB18E4">
      <w:pPr>
        <w:contextualSpacing w:val="0"/>
      </w:pPr>
      <w:r>
        <w:t xml:space="preserve">Common </w:t>
      </w:r>
      <w:r w:rsidR="008D46F4">
        <w:t>reasons provided by stakeholders</w:t>
      </w:r>
      <w:r w:rsidR="00BD0D69">
        <w:t xml:space="preserve"> included:</w:t>
      </w:r>
    </w:p>
    <w:p w14:paraId="1A88E55A" w14:textId="76637B3D" w:rsidR="00BD0D69" w:rsidRDefault="00BD0D69" w:rsidP="00A2768E">
      <w:pPr>
        <w:pStyle w:val="ListParagraph"/>
        <w:numPr>
          <w:ilvl w:val="0"/>
          <w:numId w:val="76"/>
        </w:numPr>
        <w:contextualSpacing w:val="0"/>
      </w:pPr>
      <w:r>
        <w:t>the proposed WEL is at the</w:t>
      </w:r>
      <w:r w:rsidR="002B4BFB" w:rsidRPr="002B4BFB">
        <w:t xml:space="preserve"> limit of detection of current measurement methods, </w:t>
      </w:r>
      <w:r w:rsidR="002E268B">
        <w:t xml:space="preserve">suggesting that they would not be able to </w:t>
      </w:r>
      <w:r w:rsidR="002B4BFB" w:rsidRPr="002B4BFB">
        <w:t xml:space="preserve">measure </w:t>
      </w:r>
      <w:r w:rsidR="002E268B">
        <w:t>down to</w:t>
      </w:r>
      <w:r w:rsidR="002B4BFB" w:rsidRPr="002B4BFB">
        <w:t xml:space="preserve"> the proposed level with any degree of reliability</w:t>
      </w:r>
      <w:r w:rsidR="00185EAF">
        <w:rPr>
          <w:rStyle w:val="FootnoteReference"/>
        </w:rPr>
        <w:footnoteReference w:id="282"/>
      </w:r>
    </w:p>
    <w:p w14:paraId="6D430F42" w14:textId="617BD815" w:rsidR="00B02A2C" w:rsidRDefault="002B4BFB" w:rsidP="00A2768E">
      <w:pPr>
        <w:pStyle w:val="ListParagraph"/>
        <w:numPr>
          <w:ilvl w:val="0"/>
          <w:numId w:val="76"/>
        </w:numPr>
        <w:contextualSpacing w:val="0"/>
      </w:pPr>
      <w:r w:rsidRPr="002B4BFB">
        <w:t xml:space="preserve">ongoing limitations </w:t>
      </w:r>
      <w:r w:rsidR="006E68DE">
        <w:t xml:space="preserve">with </w:t>
      </w:r>
      <w:r w:rsidRPr="002B4BFB">
        <w:t xml:space="preserve">measuring </w:t>
      </w:r>
      <w:r w:rsidR="006E68DE">
        <w:t xml:space="preserve">down to </w:t>
      </w:r>
      <w:r w:rsidRPr="002B4BFB">
        <w:t>the current WES for RCS</w:t>
      </w:r>
      <w:r w:rsidR="007C5EC2">
        <w:rPr>
          <w:rStyle w:val="FootnoteReference"/>
        </w:rPr>
        <w:footnoteReference w:id="283"/>
      </w:r>
    </w:p>
    <w:p w14:paraId="0B0B495D" w14:textId="671D8075" w:rsidR="005912FF" w:rsidRDefault="003E4E94" w:rsidP="00A2768E">
      <w:pPr>
        <w:pStyle w:val="ListParagraph"/>
        <w:numPr>
          <w:ilvl w:val="0"/>
          <w:numId w:val="76"/>
        </w:numPr>
        <w:contextualSpacing w:val="0"/>
      </w:pPr>
      <w:r>
        <w:t>references</w:t>
      </w:r>
      <w:r w:rsidR="002B4BFB" w:rsidRPr="002B4BFB" w:rsidDel="003E4E94">
        <w:t xml:space="preserve"> to </w:t>
      </w:r>
      <w:r w:rsidR="002B4BFB" w:rsidRPr="002B4BFB">
        <w:t>a</w:t>
      </w:r>
      <w:r w:rsidR="00A21290">
        <w:t xml:space="preserve">n </w:t>
      </w:r>
      <w:r w:rsidR="00A21290" w:rsidRPr="002B4BFB">
        <w:t>Australian Institute of Occupational Hygienists</w:t>
      </w:r>
      <w:r w:rsidR="00026006">
        <w:t>’</w:t>
      </w:r>
      <w:r w:rsidR="00A21290" w:rsidRPr="002B4BFB">
        <w:t xml:space="preserve"> </w:t>
      </w:r>
      <w:r w:rsidR="00A13577">
        <w:t xml:space="preserve">2024 </w:t>
      </w:r>
      <w:r w:rsidR="002B4BFB" w:rsidRPr="002B4BFB">
        <w:t>position paper that state</w:t>
      </w:r>
      <w:r w:rsidR="00A21290">
        <w:t>s</w:t>
      </w:r>
      <w:r w:rsidR="002B4BFB" w:rsidRPr="002B4BFB">
        <w:t xml:space="preserve"> current technology </w:t>
      </w:r>
      <w:r w:rsidR="00AB7674">
        <w:t>have limitations when</w:t>
      </w:r>
      <w:r w:rsidR="002B4BFB" w:rsidRPr="002B4BFB">
        <w:t xml:space="preserve"> measur</w:t>
      </w:r>
      <w:r w:rsidR="00AB7674">
        <w:t>ing</w:t>
      </w:r>
      <w:r w:rsidR="002B4BFB" w:rsidRPr="002B4BFB">
        <w:t xml:space="preserve"> low exposures </w:t>
      </w:r>
      <w:r w:rsidR="00A126FD">
        <w:t xml:space="preserve">of RCS </w:t>
      </w:r>
      <w:r w:rsidR="002B4BFB" w:rsidRPr="002B4BFB">
        <w:t>below 0.025 mg/m</w:t>
      </w:r>
      <w:r w:rsidR="002B4BFB" w:rsidRPr="00BD0D69">
        <w:rPr>
          <w:vertAlign w:val="superscript"/>
        </w:rPr>
        <w:t>3</w:t>
      </w:r>
      <w:r w:rsidR="0062326C">
        <w:rPr>
          <w:vertAlign w:val="superscript"/>
        </w:rPr>
        <w:t xml:space="preserve"> </w:t>
      </w:r>
      <w:r w:rsidR="0062326C">
        <w:rPr>
          <w:rStyle w:val="FootnoteReference"/>
        </w:rPr>
        <w:footnoteReference w:id="284"/>
      </w:r>
      <w:r w:rsidR="00D85BB7">
        <w:t>, and</w:t>
      </w:r>
    </w:p>
    <w:p w14:paraId="562FB804" w14:textId="0E9B0E19" w:rsidR="008F4F39" w:rsidRDefault="005912FF" w:rsidP="00A2768E">
      <w:pPr>
        <w:pStyle w:val="ListParagraph"/>
        <w:numPr>
          <w:ilvl w:val="0"/>
          <w:numId w:val="76"/>
        </w:numPr>
        <w:contextualSpacing w:val="0"/>
      </w:pPr>
      <w:r>
        <w:t xml:space="preserve">references a </w:t>
      </w:r>
      <w:r w:rsidR="00D85BB7">
        <w:t xml:space="preserve">2020 </w:t>
      </w:r>
      <w:r>
        <w:t>Safe Work Australia</w:t>
      </w:r>
      <w:r w:rsidR="00D85BB7">
        <w:t xml:space="preserve"> </w:t>
      </w:r>
      <w:hyperlink r:id="rId51" w:history="1">
        <w:r w:rsidR="00A303DB" w:rsidRPr="002110FF">
          <w:rPr>
            <w:rStyle w:val="Hyperlink"/>
          </w:rPr>
          <w:t xml:space="preserve">Measuring </w:t>
        </w:r>
        <w:r w:rsidR="00F03CEF" w:rsidRPr="002110FF">
          <w:rPr>
            <w:rStyle w:val="Hyperlink"/>
          </w:rPr>
          <w:t>respirable crystalline silica</w:t>
        </w:r>
      </w:hyperlink>
      <w:r w:rsidR="00D85BB7">
        <w:t xml:space="preserve"> report</w:t>
      </w:r>
      <w:r w:rsidR="00F03CEF">
        <w:t xml:space="preserve"> that </w:t>
      </w:r>
      <w:r w:rsidR="000E1312">
        <w:t>concluded:</w:t>
      </w:r>
      <w:r w:rsidR="00F03CEF">
        <w:t xml:space="preserve"> </w:t>
      </w:r>
      <w:r w:rsidR="0080580E" w:rsidRPr="000A3EC9">
        <w:rPr>
          <w:i/>
          <w:iCs/>
        </w:rPr>
        <w:t>“</w:t>
      </w:r>
      <w:r w:rsidR="000E1312">
        <w:rPr>
          <w:i/>
          <w:iCs/>
        </w:rPr>
        <w:t>A</w:t>
      </w:r>
      <w:r w:rsidR="0080580E" w:rsidRPr="000A3EC9">
        <w:rPr>
          <w:i/>
          <w:iCs/>
        </w:rPr>
        <w:t>t the time of writing this report, measurement of RCS to demonstrate compliance with a WES of 0.02 mg/m</w:t>
      </w:r>
      <w:r w:rsidR="0080580E" w:rsidRPr="000A3EC9">
        <w:rPr>
          <w:i/>
          <w:iCs/>
          <w:vertAlign w:val="superscript"/>
        </w:rPr>
        <w:t>3</w:t>
      </w:r>
      <w:r w:rsidR="0080580E" w:rsidRPr="000A3EC9">
        <w:rPr>
          <w:i/>
          <w:iCs/>
        </w:rPr>
        <w:t xml:space="preserve"> (including when it is adjusted for extended work shifts) is not achievable in Australia with available sampling and analysis equipment. There is significant uncertainty that increases as the WES is reduced.</w:t>
      </w:r>
      <w:r w:rsidR="0080580E">
        <w:t>”</w:t>
      </w:r>
      <w:r w:rsidR="00552D74">
        <w:rPr>
          <w:vertAlign w:val="superscript"/>
        </w:rPr>
        <w:t xml:space="preserve"> </w:t>
      </w:r>
      <w:r w:rsidR="00552D74">
        <w:rPr>
          <w:rStyle w:val="FootnoteReference"/>
        </w:rPr>
        <w:footnoteReference w:id="285"/>
      </w:r>
    </w:p>
    <w:p w14:paraId="140A4085" w14:textId="0EC73609" w:rsidR="00BF0CCE" w:rsidRDefault="008F4F39" w:rsidP="00BF0CCE">
      <w:pPr>
        <w:contextualSpacing w:val="0"/>
      </w:pPr>
      <w:r>
        <w:t xml:space="preserve">Multiple stakeholders, </w:t>
      </w:r>
      <w:r w:rsidRPr="008F4F39">
        <w:t>particularly those from the mining and construction industries</w:t>
      </w:r>
      <w:r w:rsidR="00460669">
        <w:rPr>
          <w:rStyle w:val="FootnoteReference"/>
        </w:rPr>
        <w:footnoteReference w:id="286"/>
      </w:r>
      <w:r w:rsidR="00552D74">
        <w:t xml:space="preserve"> as well as a government submission</w:t>
      </w:r>
      <w:r w:rsidR="002A7159">
        <w:rPr>
          <w:rStyle w:val="FootnoteReference"/>
        </w:rPr>
        <w:footnoteReference w:id="287"/>
      </w:r>
      <w:r>
        <w:t xml:space="preserve">, </w:t>
      </w:r>
      <w:r w:rsidR="00BB1028">
        <w:t xml:space="preserve">also </w:t>
      </w:r>
      <w:r w:rsidR="003C654E">
        <w:t xml:space="preserve">raised concerns regarding </w:t>
      </w:r>
      <w:r w:rsidR="000413DF">
        <w:t>how accounting for</w:t>
      </w:r>
      <w:r w:rsidR="003C654E">
        <w:t xml:space="preserve"> longer shifts</w:t>
      </w:r>
      <w:r w:rsidR="00BE66FA">
        <w:t xml:space="preserve"> (over 8 hours</w:t>
      </w:r>
      <w:r w:rsidR="000413DF">
        <w:t xml:space="preserve">) would result </w:t>
      </w:r>
      <w:r w:rsidR="00AE4DD6">
        <w:t>i</w:t>
      </w:r>
      <w:r w:rsidRPr="008F4F39">
        <w:t>n a</w:t>
      </w:r>
      <w:r w:rsidR="00AE4DD6">
        <w:t xml:space="preserve"> </w:t>
      </w:r>
      <w:r w:rsidRPr="008F4F39">
        <w:t>lower WEL</w:t>
      </w:r>
      <w:r w:rsidR="000413DF">
        <w:t xml:space="preserve"> </w:t>
      </w:r>
      <w:r w:rsidR="006C6E5F">
        <w:t>(</w:t>
      </w:r>
      <w:r w:rsidR="000413DF">
        <w:t>once adjusted</w:t>
      </w:r>
      <w:r w:rsidR="006C6E5F">
        <w:t>)</w:t>
      </w:r>
      <w:r w:rsidRPr="008F4F39">
        <w:t xml:space="preserve">, which would make measurement and analysis even more challenging. </w:t>
      </w:r>
      <w:r w:rsidR="00A02B0C">
        <w:t xml:space="preserve">One stakeholder suggested the adjusted WEL would be lower than </w:t>
      </w:r>
      <w:r w:rsidR="008D46F4">
        <w:t>a current measurement method’s</w:t>
      </w:r>
      <w:r w:rsidR="00A02B0C">
        <w:t xml:space="preserve"> </w:t>
      </w:r>
      <w:r w:rsidR="007F6DE6">
        <w:t>limit of detection</w:t>
      </w:r>
      <w:r w:rsidR="00633780">
        <w:t xml:space="preserve"> of </w:t>
      </w:r>
      <w:r w:rsidR="00975F82">
        <w:t>0.01 mg/m</w:t>
      </w:r>
      <w:r w:rsidR="00975F82" w:rsidRPr="00FB18E4">
        <w:rPr>
          <w:vertAlign w:val="superscript"/>
        </w:rPr>
        <w:t>3</w:t>
      </w:r>
      <w:r w:rsidR="008D46F4">
        <w:t>,</w:t>
      </w:r>
      <w:r w:rsidR="00975F82">
        <w:t xml:space="preserve"> but did not provide any evidence to support this claim</w:t>
      </w:r>
      <w:r w:rsidR="007B37F1">
        <w:rPr>
          <w:rStyle w:val="FootnoteReference"/>
        </w:rPr>
        <w:footnoteReference w:id="288"/>
      </w:r>
      <w:r w:rsidR="00975F82">
        <w:t xml:space="preserve">. </w:t>
      </w:r>
    </w:p>
    <w:p w14:paraId="1D35610F" w14:textId="65177244" w:rsidR="00467B8E" w:rsidRDefault="00E43CB3" w:rsidP="00B14835">
      <w:pPr>
        <w:contextualSpacing w:val="0"/>
      </w:pPr>
      <w:r>
        <w:t>In</w:t>
      </w:r>
      <w:r w:rsidR="00467B8E" w:rsidRPr="00387737">
        <w:t xml:space="preserve"> one </w:t>
      </w:r>
      <w:r>
        <w:t>submission, a</w:t>
      </w:r>
      <w:r w:rsidR="00467B8E" w:rsidRPr="00387737">
        <w:t xml:space="preserve"> stakeholder indicated that there is a now a </w:t>
      </w:r>
      <w:r w:rsidR="006241B3">
        <w:t>published</w:t>
      </w:r>
      <w:r w:rsidR="006241B3" w:rsidRPr="00387737">
        <w:t xml:space="preserve"> </w:t>
      </w:r>
      <w:r w:rsidR="00467B8E" w:rsidRPr="00387737">
        <w:t>method that accurately measure</w:t>
      </w:r>
      <w:r w:rsidR="00B270A2">
        <w:t>s</w:t>
      </w:r>
      <w:r w:rsidR="00467B8E" w:rsidRPr="00387737">
        <w:t xml:space="preserve"> RCS down to and below 0.025 mg/</w:t>
      </w:r>
      <w:r w:rsidR="00467B8E" w:rsidRPr="006F64DB">
        <w:t>m</w:t>
      </w:r>
      <w:r w:rsidR="00467B8E" w:rsidRPr="00FB18E4">
        <w:rPr>
          <w:vertAlign w:val="superscript"/>
        </w:rPr>
        <w:t>3</w:t>
      </w:r>
      <w:r w:rsidR="00467B8E">
        <w:t xml:space="preserve"> by using </w:t>
      </w:r>
      <w:r w:rsidR="00467B8E" w:rsidRPr="00387737">
        <w:t xml:space="preserve">existing technology </w:t>
      </w:r>
      <w:r w:rsidR="00467B8E">
        <w:t>already present in</w:t>
      </w:r>
      <w:r w:rsidR="00467B8E" w:rsidRPr="00387737">
        <w:t xml:space="preserve"> Australia.</w:t>
      </w:r>
      <w:r w:rsidR="002A3D4F">
        <w:t xml:space="preserve"> </w:t>
      </w:r>
      <w:r w:rsidR="00AD06C5">
        <w:t>The</w:t>
      </w:r>
      <w:r w:rsidR="00AD06C5" w:rsidDel="001805C5">
        <w:t xml:space="preserve"> </w:t>
      </w:r>
      <w:r w:rsidR="00AD06C5">
        <w:t>stakeholder explains that t</w:t>
      </w:r>
      <w:r w:rsidR="00467B8E" w:rsidRPr="00387737">
        <w:t xml:space="preserve">his technique involves replacing </w:t>
      </w:r>
      <w:r w:rsidR="00467B8E" w:rsidRPr="00387737">
        <w:lastRenderedPageBreak/>
        <w:t>the filter occupational hygienist</w:t>
      </w:r>
      <w:r w:rsidR="00467B8E">
        <w:t>s</w:t>
      </w:r>
      <w:r w:rsidR="00467B8E" w:rsidRPr="00387737">
        <w:t xml:space="preserve"> use for samplin</w:t>
      </w:r>
      <w:r w:rsidR="00467B8E">
        <w:t>g and using</w:t>
      </w:r>
      <w:r w:rsidR="00467B8E" w:rsidRPr="00387737">
        <w:t xml:space="preserve"> X-</w:t>
      </w:r>
      <w:r w:rsidR="00467B8E">
        <w:t>r</w:t>
      </w:r>
      <w:r w:rsidR="00467B8E" w:rsidRPr="00387737">
        <w:t xml:space="preserve">ay </w:t>
      </w:r>
      <w:r w:rsidR="00467B8E">
        <w:t>d</w:t>
      </w:r>
      <w:r w:rsidR="00467B8E" w:rsidRPr="00387737">
        <w:t>iffraction analysis</w:t>
      </w:r>
      <w:r w:rsidR="00FD69A9">
        <w:t>, which</w:t>
      </w:r>
      <w:r w:rsidR="00467B8E" w:rsidRPr="00387737">
        <w:t xml:space="preserve"> </w:t>
      </w:r>
      <w:r w:rsidR="00467B8E">
        <w:t>was</w:t>
      </w:r>
      <w:r w:rsidR="00467B8E" w:rsidDel="00AD06C5">
        <w:t xml:space="preserve"> </w:t>
      </w:r>
      <w:r w:rsidR="00467B8E">
        <w:t xml:space="preserve">identified </w:t>
      </w:r>
      <w:r w:rsidR="00AD06C5">
        <w:t xml:space="preserve">in the evaluation report </w:t>
      </w:r>
      <w:r w:rsidR="00C502E4">
        <w:t xml:space="preserve">for RCS </w:t>
      </w:r>
      <w:r w:rsidR="00467B8E">
        <w:t xml:space="preserve">as </w:t>
      </w:r>
      <w:r w:rsidR="00AD06C5">
        <w:t>one of two</w:t>
      </w:r>
      <w:r w:rsidR="00467B8E">
        <w:t xml:space="preserve"> </w:t>
      </w:r>
      <w:r w:rsidR="009F6013">
        <w:t xml:space="preserve">potential </w:t>
      </w:r>
      <w:r w:rsidR="00467B8E">
        <w:t xml:space="preserve">sampling </w:t>
      </w:r>
      <w:r w:rsidR="009F6013">
        <w:t xml:space="preserve">and analysis </w:t>
      </w:r>
      <w:r w:rsidR="00467B8E">
        <w:t>method</w:t>
      </w:r>
      <w:r w:rsidR="00AD06C5">
        <w:t>s</w:t>
      </w:r>
      <w:r w:rsidR="001805C5">
        <w:t>.</w:t>
      </w:r>
      <w:r w:rsidR="00467B8E" w:rsidDel="001805C5">
        <w:t xml:space="preserve"> </w:t>
      </w:r>
      <w:r w:rsidR="00467B8E" w:rsidRPr="00387737">
        <w:t xml:space="preserve">The stakeholder also indicated this method does not have an interference issue, which is </w:t>
      </w:r>
      <w:r w:rsidR="00467B8E">
        <w:t xml:space="preserve">another </w:t>
      </w:r>
      <w:r w:rsidR="00467B8E" w:rsidRPr="00387737">
        <w:t xml:space="preserve">concern raised by some industry stakeholders. </w:t>
      </w:r>
      <w:r w:rsidR="00B87B3C">
        <w:t>The stakeholder also noted that this method was validated through two studies by TestSafe Australia</w:t>
      </w:r>
      <w:r w:rsidR="00AD3A1D">
        <w:t xml:space="preserve"> conducted in </w:t>
      </w:r>
      <w:hyperlink r:id="rId52" w:history="1">
        <w:r w:rsidR="00EA7C3A" w:rsidRPr="00EA7C3A">
          <w:rPr>
            <w:rStyle w:val="Hyperlink"/>
          </w:rPr>
          <w:t>2022</w:t>
        </w:r>
      </w:hyperlink>
      <w:r w:rsidR="00AD3A1D">
        <w:t xml:space="preserve"> and </w:t>
      </w:r>
      <w:hyperlink r:id="rId53" w:history="1">
        <w:r w:rsidR="00EA7C3A" w:rsidRPr="00EA7C3A">
          <w:rPr>
            <w:rStyle w:val="Hyperlink"/>
          </w:rPr>
          <w:t>2024</w:t>
        </w:r>
      </w:hyperlink>
      <w:r w:rsidR="00833F37">
        <w:rPr>
          <w:rStyle w:val="FootnoteReference"/>
        </w:rPr>
        <w:footnoteReference w:id="289"/>
      </w:r>
      <w:r w:rsidR="00AD3A1D">
        <w:t xml:space="preserve">. </w:t>
      </w:r>
    </w:p>
    <w:p w14:paraId="6339E8F5" w14:textId="02C3E95B" w:rsidR="00C0299F" w:rsidRPr="00CF2A4B" w:rsidRDefault="0045447F" w:rsidP="00C0299F">
      <w:pPr>
        <w:contextualSpacing w:val="0"/>
      </w:pPr>
      <w:r>
        <w:t>T</w:t>
      </w:r>
      <w:r w:rsidR="00B35C04">
        <w:t xml:space="preserve">here are </w:t>
      </w:r>
      <w:r w:rsidR="00C0299F" w:rsidRPr="00E21AA9">
        <w:t xml:space="preserve">commercially available </w:t>
      </w:r>
      <w:r w:rsidR="006337B0">
        <w:t>methods of measurement</w:t>
      </w:r>
      <w:r w:rsidR="00C0299F" w:rsidRPr="00E21AA9">
        <w:t xml:space="preserve"> for respirable crystalline silica (RCS) that provide sufficient </w:t>
      </w:r>
      <w:r w:rsidR="00546597">
        <w:t>sensitivity and certainty</w:t>
      </w:r>
      <w:r w:rsidR="00C0299F" w:rsidRPr="00E21AA9">
        <w:t xml:space="preserve"> </w:t>
      </w:r>
      <w:r w:rsidR="00546597">
        <w:t>to assess</w:t>
      </w:r>
      <w:r w:rsidR="00C0299F" w:rsidRPr="00E21AA9">
        <w:t xml:space="preserve"> compliance at the proposed WEL. In 2024, TestSafe NSW published a paper</w:t>
      </w:r>
      <w:r w:rsidR="005F0AAE">
        <w:rPr>
          <w:rStyle w:val="FootnoteReference"/>
        </w:rPr>
        <w:footnoteReference w:id="290"/>
      </w:r>
      <w:r w:rsidR="00C0299F" w:rsidRPr="00E21AA9">
        <w:t> demonstrating a method to reduce the limit of quantification (LoQ) for respirable crystalline silica (RCS) to 0.00078 mg/m</w:t>
      </w:r>
      <w:r w:rsidR="00C0299F" w:rsidRPr="00E21AA9">
        <w:rPr>
          <w:vertAlign w:val="superscript"/>
        </w:rPr>
        <w:t>3</w:t>
      </w:r>
      <w:r w:rsidR="00C0299F" w:rsidRPr="00E21AA9">
        <w:t> for an 8hr sample (lower than the proposed WEL of 0.025 mg/m</w:t>
      </w:r>
      <w:r w:rsidR="00C0299F" w:rsidRPr="00E21AA9">
        <w:rPr>
          <w:vertAlign w:val="superscript"/>
        </w:rPr>
        <w:t>3</w:t>
      </w:r>
      <w:r w:rsidR="00C0299F" w:rsidRPr="00E21AA9">
        <w:t>). </w:t>
      </w:r>
      <w:r w:rsidR="00C0299F" w:rsidRPr="00CF2A4B">
        <w:t> </w:t>
      </w:r>
    </w:p>
    <w:p w14:paraId="4626CC22" w14:textId="549191D1" w:rsidR="00110E46" w:rsidRPr="00CF2A4B" w:rsidRDefault="00C0299F" w:rsidP="00B14835">
      <w:pPr>
        <w:contextualSpacing w:val="0"/>
      </w:pPr>
      <w:r w:rsidRPr="00E21AA9">
        <w:t xml:space="preserve">Sampling related contributions to uncertainty (e.g. sampling equipment limitations) may remain a limitation on measurability in some situations, but these issues are not </w:t>
      </w:r>
      <w:r w:rsidR="00CA70D6">
        <w:t>unique</w:t>
      </w:r>
      <w:r w:rsidRPr="00E21AA9">
        <w:t xml:space="preserve"> to RCS. To support the wider transition to the WEL, Safe Work Australia is preparing technical guidance to provide advice on measurement issues, including sampling.</w:t>
      </w:r>
      <w:r w:rsidRPr="00CF2A4B">
        <w:t> </w:t>
      </w:r>
    </w:p>
    <w:p w14:paraId="1B1D4961" w14:textId="5DA9402F" w:rsidR="00520687" w:rsidRDefault="00520687" w:rsidP="00E7252F">
      <w:pPr>
        <w:pStyle w:val="SWAHeading4"/>
        <w:keepNext/>
      </w:pPr>
      <w:r>
        <w:t>Reliance on respiratory protective equipment</w:t>
      </w:r>
    </w:p>
    <w:p w14:paraId="03814C32" w14:textId="77777777" w:rsidR="001A43F5" w:rsidRDefault="0066714A" w:rsidP="00E7252F">
      <w:pPr>
        <w:keepNext/>
        <w:spacing w:before="120"/>
        <w:contextualSpacing w:val="0"/>
      </w:pPr>
      <w:r>
        <w:t xml:space="preserve">Stakeholders also expressed concerns that reducing the exposure standards for RCS to the proposed WEL </w:t>
      </w:r>
      <w:r w:rsidR="00BD03A8">
        <w:t xml:space="preserve">would result in a </w:t>
      </w:r>
      <w:r w:rsidR="003A3FCA">
        <w:t>bigger reliance on respiratory protective equipment</w:t>
      </w:r>
      <w:r w:rsidR="00C3375C">
        <w:t xml:space="preserve"> (RPE)</w:t>
      </w:r>
      <w:r w:rsidR="001A43F5">
        <w:rPr>
          <w:rStyle w:val="FootnoteReference"/>
        </w:rPr>
        <w:footnoteReference w:id="291"/>
      </w:r>
      <w:r w:rsidR="006A23F8">
        <w:t>, with many stakeholders indicating that they will need to update current PPE</w:t>
      </w:r>
      <w:r w:rsidR="00F1362E">
        <w:t xml:space="preserve"> being used</w:t>
      </w:r>
      <w:r w:rsidR="00C56C21">
        <w:t>.</w:t>
      </w:r>
    </w:p>
    <w:p w14:paraId="6AABFBA4" w14:textId="30DBF3D1" w:rsidR="00B92E7D" w:rsidRDefault="006A23F8" w:rsidP="000A3EC9">
      <w:pPr>
        <w:keepNext/>
        <w:spacing w:before="120"/>
        <w:contextualSpacing w:val="0"/>
      </w:pPr>
      <w:r>
        <w:t xml:space="preserve">Reasons provided </w:t>
      </w:r>
      <w:r w:rsidR="00CD79C0">
        <w:t>by industry submissions</w:t>
      </w:r>
      <w:r>
        <w:t xml:space="preserve"> to </w:t>
      </w:r>
      <w:r w:rsidR="00B92E7D">
        <w:t>why</w:t>
      </w:r>
      <w:r>
        <w:t xml:space="preserve"> </w:t>
      </w:r>
      <w:r w:rsidR="00B92E7D">
        <w:t>relying on</w:t>
      </w:r>
      <w:r>
        <w:t xml:space="preserve"> RPE </w:t>
      </w:r>
      <w:r w:rsidR="00B92E7D">
        <w:t>is a challenge</w:t>
      </w:r>
      <w:r>
        <w:t xml:space="preserve"> </w:t>
      </w:r>
      <w:r w:rsidR="00274767">
        <w:t>includes</w:t>
      </w:r>
      <w:r w:rsidR="00B92E7D">
        <w:t>:</w:t>
      </w:r>
    </w:p>
    <w:p w14:paraId="31BBF3F0" w14:textId="78750579" w:rsidR="00F243BA" w:rsidRDefault="00B92E7D" w:rsidP="00A2768E">
      <w:pPr>
        <w:pStyle w:val="ListParagraph"/>
        <w:numPr>
          <w:ilvl w:val="0"/>
          <w:numId w:val="85"/>
        </w:numPr>
        <w:contextualSpacing w:val="0"/>
      </w:pPr>
      <w:r>
        <w:t>some stakeholders</w:t>
      </w:r>
      <w:r w:rsidR="006A23F8">
        <w:t xml:space="preserve"> </w:t>
      </w:r>
      <w:r w:rsidR="007157E6">
        <w:t>are</w:t>
      </w:r>
      <w:r w:rsidR="00597811">
        <w:t xml:space="preserve"> currentl</w:t>
      </w:r>
      <w:r w:rsidR="0085717A">
        <w:t xml:space="preserve">y struggling to comply with the current WES </w:t>
      </w:r>
      <w:r w:rsidR="0028453E">
        <w:t>(TWA of 0.05 mg/m</w:t>
      </w:r>
      <w:r w:rsidR="0028453E" w:rsidRPr="00FB18E4">
        <w:rPr>
          <w:vertAlign w:val="superscript"/>
        </w:rPr>
        <w:t>3</w:t>
      </w:r>
      <w:r w:rsidR="0028453E">
        <w:t xml:space="preserve">) </w:t>
      </w:r>
      <w:r w:rsidR="0085717A">
        <w:t>wit</w:t>
      </w:r>
      <w:r w:rsidR="00C3375C">
        <w:t>hout the use of RPE</w:t>
      </w:r>
      <w:r w:rsidR="00381D7D">
        <w:rPr>
          <w:rStyle w:val="FootnoteReference"/>
        </w:rPr>
        <w:footnoteReference w:id="292"/>
      </w:r>
      <w:r w:rsidR="00B42A13">
        <w:t xml:space="preserve">, </w:t>
      </w:r>
    </w:p>
    <w:p w14:paraId="3611ECE9" w14:textId="16450B0E" w:rsidR="00DB4AFF" w:rsidRDefault="0028453E" w:rsidP="00A2768E">
      <w:pPr>
        <w:pStyle w:val="ListParagraph"/>
        <w:numPr>
          <w:ilvl w:val="0"/>
          <w:numId w:val="85"/>
        </w:numPr>
        <w:contextualSpacing w:val="0"/>
      </w:pPr>
      <w:r>
        <w:t xml:space="preserve">there is a </w:t>
      </w:r>
      <w:r w:rsidR="00154E0F">
        <w:t>lack of availability</w:t>
      </w:r>
      <w:r w:rsidR="00B42A13">
        <w:t xml:space="preserve"> </w:t>
      </w:r>
      <w:r w:rsidR="00154E0F">
        <w:t xml:space="preserve">of higher order controls </w:t>
      </w:r>
      <w:r w:rsidR="00323919">
        <w:t>that can mitigate RCS in the workplace</w:t>
      </w:r>
      <w:r w:rsidR="00CF6D9C">
        <w:t xml:space="preserve"> and limitations of </w:t>
      </w:r>
      <w:r w:rsidR="006A23F8">
        <w:t xml:space="preserve">current </w:t>
      </w:r>
      <w:r w:rsidR="00CF6D9C">
        <w:t>equipment</w:t>
      </w:r>
      <w:r w:rsidR="00DB4AFF">
        <w:t xml:space="preserve">, </w:t>
      </w:r>
    </w:p>
    <w:p w14:paraId="69FC2B08" w14:textId="51CF3880" w:rsidR="00352541" w:rsidRDefault="004C22EE" w:rsidP="00A2768E">
      <w:pPr>
        <w:pStyle w:val="ListParagraph"/>
        <w:numPr>
          <w:ilvl w:val="0"/>
          <w:numId w:val="85"/>
        </w:numPr>
        <w:contextualSpacing w:val="0"/>
      </w:pPr>
      <w:r>
        <w:t xml:space="preserve">RPE </w:t>
      </w:r>
      <w:r w:rsidR="00DB4AFF" w:rsidRPr="00DB4AFF">
        <w:t>cannot be relied upon due to worker behaviours (i.e., workers keeping a clean shave and need to wear for entire shift)</w:t>
      </w:r>
      <w:r w:rsidR="000C6078">
        <w:rPr>
          <w:rStyle w:val="FootnoteReference"/>
        </w:rPr>
        <w:footnoteReference w:id="293"/>
      </w:r>
      <w:r w:rsidR="00A45A86">
        <w:t>, and</w:t>
      </w:r>
    </w:p>
    <w:p w14:paraId="4016A094" w14:textId="3AF2EDDF" w:rsidR="00F243BA" w:rsidRDefault="004C22EE" w:rsidP="00A2768E">
      <w:pPr>
        <w:pStyle w:val="ListParagraph"/>
        <w:numPr>
          <w:ilvl w:val="0"/>
          <w:numId w:val="85"/>
        </w:numPr>
        <w:contextualSpacing w:val="0"/>
      </w:pPr>
      <w:r>
        <w:t xml:space="preserve">introduction of </w:t>
      </w:r>
      <w:r w:rsidR="000458E3">
        <w:t>new hazards into the workplace, such as visual obstruction</w:t>
      </w:r>
      <w:r w:rsidR="00707009">
        <w:rPr>
          <w:rStyle w:val="FootnoteReference"/>
        </w:rPr>
        <w:footnoteReference w:id="294"/>
      </w:r>
      <w:r w:rsidR="000458E3">
        <w:t xml:space="preserve"> and worker discomfort</w:t>
      </w:r>
      <w:r w:rsidR="00707009">
        <w:rPr>
          <w:rStyle w:val="FootnoteReference"/>
        </w:rPr>
        <w:footnoteReference w:id="295"/>
      </w:r>
      <w:r w:rsidR="0028453E">
        <w:t xml:space="preserve"> </w:t>
      </w:r>
    </w:p>
    <w:p w14:paraId="02A2ABB7" w14:textId="0B04055B" w:rsidR="00274767" w:rsidRPr="00274767" w:rsidRDefault="00274767" w:rsidP="00DB4AFF">
      <w:pPr>
        <w:contextualSpacing w:val="0"/>
      </w:pPr>
      <w:r>
        <w:t>U</w:t>
      </w:r>
      <w:r w:rsidRPr="00274767">
        <w:t xml:space="preserve">nder the model WHS </w:t>
      </w:r>
      <w:r w:rsidR="000D68B7">
        <w:t>R</w:t>
      </w:r>
      <w:r w:rsidRPr="00274767">
        <w:t xml:space="preserve">egulations, PPE (including RPE) should only be considered once the PCBU has eliminated the risk posed by </w:t>
      </w:r>
      <w:r>
        <w:t>RCS</w:t>
      </w:r>
      <w:r w:rsidRPr="00274767">
        <w:t xml:space="preserve"> so far as is reasonably practicable, and if it is not reasonably practicable to eliminate the risks, then minimise the risk of </w:t>
      </w:r>
      <w:r>
        <w:t>RCS</w:t>
      </w:r>
      <w:r w:rsidRPr="00274767">
        <w:t xml:space="preserve"> by using higher-order controls (substitution, isolation, engineering) and administrative controls</w:t>
      </w:r>
      <w:r>
        <w:t>,</w:t>
      </w:r>
      <w:r w:rsidRPr="00274767">
        <w:t xml:space="preserve"> so far as is reasonably practicable. </w:t>
      </w:r>
    </w:p>
    <w:p w14:paraId="06FF3065" w14:textId="18F58411" w:rsidR="00DB4AFF" w:rsidRPr="00274767" w:rsidRDefault="00DB4AFF" w:rsidP="00DB4AFF">
      <w:pPr>
        <w:contextualSpacing w:val="0"/>
      </w:pPr>
      <w:r>
        <w:lastRenderedPageBreak/>
        <w:t>Furthermore, w</w:t>
      </w:r>
      <w:r w:rsidRPr="00DB4AFF">
        <w:t xml:space="preserve">here it has been determined that RPE must be worn to minimise the risk of exposure to airborne contaminant, the protection provided by the RPE can be taken into account when determining compliance with an exposure standard or limit, provided all other reasonably practicable higher order controls in </w:t>
      </w:r>
      <w:hyperlink r:id="rId54" w:history="1">
        <w:r w:rsidRPr="00DB4AFF">
          <w:rPr>
            <w:rStyle w:val="Hyperlink"/>
          </w:rPr>
          <w:t>the hierarchy of control</w:t>
        </w:r>
      </w:hyperlink>
      <w:r w:rsidRPr="00DB4AFF">
        <w:t xml:space="preserve"> measures have been implemented, and the RPE is worn correctly.</w:t>
      </w:r>
    </w:p>
    <w:p w14:paraId="1433B227" w14:textId="32E6EF29" w:rsidR="00C059A8" w:rsidRPr="00387737" w:rsidRDefault="00520687" w:rsidP="00E7252F">
      <w:pPr>
        <w:pStyle w:val="SWAHeading4"/>
      </w:pPr>
      <w:r>
        <w:t xml:space="preserve">Interactions with the </w:t>
      </w:r>
      <w:r w:rsidR="00451081">
        <w:t xml:space="preserve">model WHS </w:t>
      </w:r>
      <w:r w:rsidR="000D68B7">
        <w:t>R</w:t>
      </w:r>
      <w:r w:rsidR="00451081">
        <w:t xml:space="preserve">egulations on </w:t>
      </w:r>
      <w:r>
        <w:t>crystalline silica substance</w:t>
      </w:r>
      <w:r w:rsidR="00451081">
        <w:t>s</w:t>
      </w:r>
    </w:p>
    <w:p w14:paraId="47870FF7" w14:textId="3E8FF901" w:rsidR="004D33E5" w:rsidRDefault="004D33E5" w:rsidP="00E7252F">
      <w:pPr>
        <w:contextualSpacing w:val="0"/>
      </w:pPr>
      <w:r>
        <w:t xml:space="preserve">Some stakeholders were critical of the proposal to reduce the current WES for RCS </w:t>
      </w:r>
      <w:r w:rsidR="00146A1F">
        <w:t xml:space="preserve">soon after the introduction of the </w:t>
      </w:r>
      <w:r w:rsidR="00146A1F" w:rsidRPr="00146A1F">
        <w:t xml:space="preserve">crystalline silica substance (CSS) regulations </w:t>
      </w:r>
      <w:r w:rsidR="00146A1F">
        <w:t>into</w:t>
      </w:r>
      <w:r w:rsidR="00146A1F" w:rsidRPr="00146A1F">
        <w:t xml:space="preserve"> the model WHS Regulations</w:t>
      </w:r>
      <w:r w:rsidR="00146A1F">
        <w:t xml:space="preserve"> </w:t>
      </w:r>
      <w:r w:rsidR="007B6A8F">
        <w:t>since</w:t>
      </w:r>
      <w:r w:rsidR="00146A1F">
        <w:t xml:space="preserve"> 1 September 2024</w:t>
      </w:r>
      <w:r w:rsidR="00E14D28">
        <w:t xml:space="preserve">, with insufficient time to </w:t>
      </w:r>
      <w:r w:rsidR="00FE5ADE">
        <w:t>assess the effectiveness of reducing the health impacts associated with exposure to CCS</w:t>
      </w:r>
      <w:r w:rsidR="003D1387">
        <w:rPr>
          <w:rStyle w:val="FootnoteReference"/>
        </w:rPr>
        <w:footnoteReference w:id="296"/>
      </w:r>
      <w:r w:rsidR="00FE5ADE">
        <w:t xml:space="preserve">. </w:t>
      </w:r>
    </w:p>
    <w:p w14:paraId="00BB4688" w14:textId="1EA8A9CE" w:rsidR="00520687" w:rsidRDefault="00387737" w:rsidP="00E7252F">
      <w:pPr>
        <w:contextualSpacing w:val="0"/>
      </w:pPr>
      <w:r w:rsidRPr="0014451D">
        <w:t xml:space="preserve">Stakeholders </w:t>
      </w:r>
      <w:r w:rsidR="00896AD5" w:rsidRPr="0014451D">
        <w:t>also raised concerns about the interactions of the proposed WEL with</w:t>
      </w:r>
      <w:r w:rsidRPr="0014451D">
        <w:t xml:space="preserve"> the</w:t>
      </w:r>
      <w:r w:rsidR="004E3D14" w:rsidRPr="0014451D">
        <w:t xml:space="preserve"> </w:t>
      </w:r>
      <w:r w:rsidRPr="0014451D">
        <w:t>crystalline silica substance</w:t>
      </w:r>
      <w:r w:rsidR="00536772" w:rsidRPr="0014451D">
        <w:t xml:space="preserve"> (CSS)</w:t>
      </w:r>
      <w:r w:rsidRPr="0014451D">
        <w:t xml:space="preserve"> regulations</w:t>
      </w:r>
      <w:r w:rsidR="001A29B2" w:rsidRPr="0014451D">
        <w:t xml:space="preserve"> in the model WHS </w:t>
      </w:r>
      <w:r w:rsidR="000D68B7">
        <w:t>R</w:t>
      </w:r>
      <w:r w:rsidR="001A29B2" w:rsidRPr="0014451D">
        <w:t>egulations</w:t>
      </w:r>
      <w:r w:rsidR="00896AD5" w:rsidRPr="0014451D">
        <w:t xml:space="preserve">. </w:t>
      </w:r>
      <w:r w:rsidR="0014451D">
        <w:t>For example, m</w:t>
      </w:r>
      <w:r w:rsidR="00896AD5" w:rsidRPr="00AB3BDA">
        <w:t>odel WHS regulation 529CA r</w:t>
      </w:r>
      <w:r w:rsidRPr="00AB3BDA">
        <w:t>equire</w:t>
      </w:r>
      <w:r w:rsidR="001A29B2" w:rsidRPr="00AB3BDA">
        <w:t>s</w:t>
      </w:r>
      <w:r w:rsidR="00B348B0" w:rsidRPr="00AB3BDA">
        <w:t xml:space="preserve"> PCBUs to </w:t>
      </w:r>
      <w:r w:rsidR="005A034F" w:rsidRPr="00AB3BDA">
        <w:t xml:space="preserve">consider if their processing of </w:t>
      </w:r>
      <w:r w:rsidR="00536772" w:rsidRPr="00AB3BDA">
        <w:t>CSS</w:t>
      </w:r>
      <w:r w:rsidR="005A034F" w:rsidRPr="00AB3BDA">
        <w:t xml:space="preserve"> is high risk</w:t>
      </w:r>
      <w:r w:rsidR="002B4A95" w:rsidRPr="00FB18E4">
        <w:t>. I</w:t>
      </w:r>
      <w:r w:rsidR="00BF45F1" w:rsidRPr="00FB18E4">
        <w:t xml:space="preserve">f the </w:t>
      </w:r>
      <w:r w:rsidR="00B00A4F" w:rsidRPr="00FB18E4">
        <w:t xml:space="preserve">processing of CSS </w:t>
      </w:r>
      <w:r w:rsidR="002C3CF2" w:rsidRPr="00FB18E4">
        <w:t>is</w:t>
      </w:r>
      <w:r w:rsidR="00B00A4F" w:rsidRPr="00FB18E4">
        <w:t xml:space="preserve"> high risk, then the PCBU is required to </w:t>
      </w:r>
      <w:r w:rsidR="00270101" w:rsidRPr="00FB18E4">
        <w:t>take further action</w:t>
      </w:r>
      <w:r w:rsidR="00AF2BBA" w:rsidRPr="00AB3BDA">
        <w:t>.</w:t>
      </w:r>
      <w:r w:rsidR="00AF2BBA">
        <w:t xml:space="preserve"> One of the </w:t>
      </w:r>
      <w:r w:rsidR="0014451D">
        <w:t xml:space="preserve">considerations that </w:t>
      </w:r>
      <w:r w:rsidR="00350486">
        <w:t xml:space="preserve">PCBUs </w:t>
      </w:r>
      <w:r w:rsidR="0014451D">
        <w:t xml:space="preserve">must have regard to </w:t>
      </w:r>
      <w:r w:rsidR="00793F1B">
        <w:t>when identifying</w:t>
      </w:r>
      <w:r w:rsidR="00896AD5">
        <w:t xml:space="preserve"> if the</w:t>
      </w:r>
      <w:r w:rsidR="00350486">
        <w:t>ir</w:t>
      </w:r>
      <w:r w:rsidR="00896AD5">
        <w:t xml:space="preserve"> process</w:t>
      </w:r>
      <w:r w:rsidR="00793F1B">
        <w:t xml:space="preserve">ing of </w:t>
      </w:r>
      <w:r w:rsidR="002C3CF2">
        <w:t xml:space="preserve">a </w:t>
      </w:r>
      <w:r w:rsidR="00793F1B">
        <w:t>C</w:t>
      </w:r>
      <w:r w:rsidR="00A00A3F">
        <w:t>S</w:t>
      </w:r>
      <w:r w:rsidR="00793F1B">
        <w:t>S</w:t>
      </w:r>
      <w:r w:rsidR="00896AD5">
        <w:t xml:space="preserve"> is</w:t>
      </w:r>
      <w:r w:rsidR="00350486">
        <w:t xml:space="preserve"> considered</w:t>
      </w:r>
      <w:r w:rsidR="00896AD5">
        <w:t xml:space="preserve"> high risk is </w:t>
      </w:r>
      <w:r w:rsidR="00886D51">
        <w:t xml:space="preserve">whether the </w:t>
      </w:r>
      <w:r w:rsidR="00350486" w:rsidRPr="00350486">
        <w:t xml:space="preserve">airborne concentration of </w:t>
      </w:r>
      <w:r w:rsidR="00886D51">
        <w:t>RCS in the workplace</w:t>
      </w:r>
      <w:r w:rsidR="00350486" w:rsidRPr="00350486">
        <w:t xml:space="preserve"> is reasonably likely to exceed half the workplace exposure standard</w:t>
      </w:r>
      <w:r w:rsidRPr="00387737">
        <w:t xml:space="preserve">. </w:t>
      </w:r>
    </w:p>
    <w:p w14:paraId="74858645" w14:textId="0A57911C" w:rsidR="00387737" w:rsidRPr="002B4BFB" w:rsidRDefault="00387737" w:rsidP="00B14835">
      <w:pPr>
        <w:contextualSpacing w:val="0"/>
      </w:pPr>
      <w:r w:rsidRPr="00387737">
        <w:t xml:space="preserve">If the proposed limits are implemented, multiple stakeholders claims </w:t>
      </w:r>
      <w:r w:rsidR="00FD1E5B">
        <w:t>it would be impossible to determine whether the</w:t>
      </w:r>
      <w:r w:rsidR="00B67369">
        <w:t xml:space="preserve"> airborne concentration</w:t>
      </w:r>
      <w:r w:rsidRPr="00387737">
        <w:t xml:space="preserve"> </w:t>
      </w:r>
      <w:r w:rsidR="00FD1E5B">
        <w:t xml:space="preserve">at the workplace </w:t>
      </w:r>
      <w:r w:rsidR="00B67369">
        <w:t>exceeds</w:t>
      </w:r>
      <w:r w:rsidRPr="00387737">
        <w:t xml:space="preserve"> 50% of the</w:t>
      </w:r>
      <w:r w:rsidR="00B67369">
        <w:t xml:space="preserve"> </w:t>
      </w:r>
      <w:r w:rsidR="005D3923">
        <w:t>proposed WEL</w:t>
      </w:r>
      <w:r w:rsidRPr="00387737">
        <w:t xml:space="preserve"> and that all silica processes (and silica containing products including sand, concrete products, tiles, bricks and fibre cement) would </w:t>
      </w:r>
      <w:r w:rsidR="00332CEC">
        <w:t xml:space="preserve">all be considered </w:t>
      </w:r>
      <w:r w:rsidRPr="00387737">
        <w:t>high risk regardless of the true level of risk associated with the activity, creating further burden on PCBUs</w:t>
      </w:r>
      <w:r w:rsidR="00A602B9">
        <w:rPr>
          <w:rStyle w:val="FootnoteReference"/>
        </w:rPr>
        <w:footnoteReference w:id="297"/>
      </w:r>
      <w:r w:rsidRPr="00387737">
        <w:t xml:space="preserve">. </w:t>
      </w:r>
      <w:r w:rsidR="00046053">
        <w:t xml:space="preserve">However, guidance published by Safe Work Australia clearly states that </w:t>
      </w:r>
      <w:r w:rsidR="00957779">
        <w:t xml:space="preserve">PCBUs must consider all </w:t>
      </w:r>
      <w:r w:rsidR="003E7279">
        <w:t xml:space="preserve">elements </w:t>
      </w:r>
      <w:r w:rsidR="00957779">
        <w:t>listed under model WHS regulation 529CA</w:t>
      </w:r>
      <w:r w:rsidR="008E6C59">
        <w:t xml:space="preserve"> </w:t>
      </w:r>
      <w:r w:rsidR="00957779">
        <w:t>(2)</w:t>
      </w:r>
      <w:r w:rsidR="00046053">
        <w:t xml:space="preserve">, and that </w:t>
      </w:r>
      <w:r w:rsidR="00D160A6">
        <w:t>“t</w:t>
      </w:r>
      <w:r w:rsidR="00D160A6" w:rsidRPr="00D160A6">
        <w:t>here is no one factor that can determine the outcome of your assessment</w:t>
      </w:r>
      <w:r w:rsidR="00D160A6">
        <w:t xml:space="preserve"> [of whether the processing of C</w:t>
      </w:r>
      <w:r w:rsidR="00C96952">
        <w:t>S</w:t>
      </w:r>
      <w:r w:rsidR="00D160A6">
        <w:t xml:space="preserve">S is </w:t>
      </w:r>
      <w:r w:rsidR="00F872BC">
        <w:t>high risk]</w:t>
      </w:r>
      <w:r w:rsidR="00D160A6">
        <w:t>”</w:t>
      </w:r>
      <w:sdt>
        <w:sdtPr>
          <w:id w:val="316918164"/>
          <w:citation/>
        </w:sdtPr>
        <w:sdtEndPr/>
        <w:sdtContent>
          <w:r w:rsidR="00520687">
            <w:fldChar w:fldCharType="begin"/>
          </w:r>
          <w:r w:rsidR="00520687">
            <w:instrText xml:space="preserve"> CITATION Saf242 \l 3081 </w:instrText>
          </w:r>
          <w:r w:rsidR="00520687">
            <w:fldChar w:fldCharType="separate"/>
          </w:r>
          <w:r w:rsidR="00490B21">
            <w:rPr>
              <w:noProof/>
            </w:rPr>
            <w:t xml:space="preserve"> (Safe Work Australia, 2024)</w:t>
          </w:r>
          <w:r w:rsidR="00520687">
            <w:fldChar w:fldCharType="end"/>
          </w:r>
        </w:sdtContent>
      </w:sdt>
      <w:r w:rsidR="00D160A6">
        <w:t>.</w:t>
      </w:r>
    </w:p>
    <w:p w14:paraId="14F29D44" w14:textId="355F9CA1" w:rsidR="0056387A" w:rsidRPr="002B4BFB" w:rsidRDefault="0056387A" w:rsidP="000A3EC9">
      <w:pPr>
        <w:pStyle w:val="SWAHeading4"/>
      </w:pPr>
      <w:r>
        <w:t>Impacts on tunnelling</w:t>
      </w:r>
    </w:p>
    <w:p w14:paraId="0D6A419D" w14:textId="14351AE8" w:rsidR="007B4F2A" w:rsidRDefault="00981B53" w:rsidP="00BC3916">
      <w:pPr>
        <w:contextualSpacing w:val="0"/>
      </w:pPr>
      <w:r>
        <w:t>At a more</w:t>
      </w:r>
      <w:r w:rsidR="0081093A" w:rsidRPr="0081093A">
        <w:t xml:space="preserve"> industry</w:t>
      </w:r>
      <w:r w:rsidR="00DF7043">
        <w:t>-</w:t>
      </w:r>
      <w:r w:rsidR="0081093A" w:rsidRPr="0081093A">
        <w:t>specific level, a</w:t>
      </w:r>
      <w:r>
        <w:t xml:space="preserve"> construction</w:t>
      </w:r>
      <w:r w:rsidR="0081093A" w:rsidRPr="0081093A">
        <w:t xml:space="preserve"> industry</w:t>
      </w:r>
      <w:r>
        <w:t xml:space="preserve"> </w:t>
      </w:r>
      <w:r w:rsidR="0081093A" w:rsidRPr="0081093A">
        <w:t>body suggested th</w:t>
      </w:r>
      <w:r w:rsidR="00DF43DD">
        <w:t xml:space="preserve">at the proposed WEL for RCS </w:t>
      </w:r>
      <w:r w:rsidR="0081093A" w:rsidRPr="0081093A">
        <w:t xml:space="preserve">would </w:t>
      </w:r>
      <w:r w:rsidR="00DF43DD">
        <w:t>have</w:t>
      </w:r>
      <w:r w:rsidR="0081093A" w:rsidRPr="0081093A">
        <w:t xml:space="preserve"> impacts on tunnelling activities. For tunnelling, the stakeholder raised concerns regarding ongoing projects that would need extensive modification to ventilation systems</w:t>
      </w:r>
      <w:r w:rsidR="006D7E94">
        <w:t>, including positive pressure and increased scrubbers</w:t>
      </w:r>
      <w:r w:rsidR="00F00B6C">
        <w:t xml:space="preserve"> with additional land acquisitions,</w:t>
      </w:r>
      <w:r w:rsidR="0081093A" w:rsidRPr="0081093A">
        <w:t xml:space="preserve"> to comply with the proposed limits</w:t>
      </w:r>
      <w:r w:rsidR="00691654">
        <w:rPr>
          <w:rStyle w:val="FootnoteReference"/>
        </w:rPr>
        <w:footnoteReference w:id="298"/>
      </w:r>
      <w:r w:rsidR="0081093A" w:rsidRPr="0081093A">
        <w:t xml:space="preserve">, </w:t>
      </w:r>
      <w:r w:rsidR="00A15400">
        <w:t>claiming</w:t>
      </w:r>
      <w:r w:rsidR="0081093A" w:rsidRPr="0081093A">
        <w:t xml:space="preserve"> that these projects are already operating at or close to maximum ventilation activities.</w:t>
      </w:r>
      <w:r w:rsidR="00D41ADA">
        <w:t xml:space="preserve"> </w:t>
      </w:r>
      <w:r w:rsidR="005728BC">
        <w:t>A mining stakeholder also concurred with the need to</w:t>
      </w:r>
      <w:r w:rsidR="0087458C">
        <w:t xml:space="preserve"> modif</w:t>
      </w:r>
      <w:r w:rsidR="005728BC">
        <w:t>y</w:t>
      </w:r>
      <w:r w:rsidR="0087458C">
        <w:t xml:space="preserve"> current ventilation systems in underground settings</w:t>
      </w:r>
      <w:r w:rsidR="005728BC">
        <w:rPr>
          <w:rStyle w:val="FootnoteReference"/>
        </w:rPr>
        <w:footnoteReference w:id="299"/>
      </w:r>
      <w:r w:rsidR="005728BC">
        <w:t xml:space="preserve">. </w:t>
      </w:r>
      <w:r w:rsidR="000D0900">
        <w:t xml:space="preserve">A </w:t>
      </w:r>
      <w:r w:rsidR="00F00B6C">
        <w:t>construction industry body</w:t>
      </w:r>
      <w:r w:rsidR="00EE4F6F">
        <w:t xml:space="preserve"> also </w:t>
      </w:r>
      <w:r w:rsidR="000D0900">
        <w:t xml:space="preserve">suggested </w:t>
      </w:r>
      <w:r w:rsidR="00EE4F6F">
        <w:t>that c</w:t>
      </w:r>
      <w:r w:rsidR="006447BF">
        <w:t xml:space="preserve">hanges </w:t>
      </w:r>
      <w:r w:rsidR="00C70474">
        <w:t xml:space="preserve">in the methodology of some activities </w:t>
      </w:r>
      <w:r w:rsidR="00D41ADA">
        <w:t>like road profiling, concrete surface grindin</w:t>
      </w:r>
      <w:r w:rsidR="00CA7B92">
        <w:t>g</w:t>
      </w:r>
      <w:r w:rsidR="007B1470">
        <w:t>,</w:t>
      </w:r>
      <w:r w:rsidR="00CA7B92">
        <w:t xml:space="preserve"> tunnel benching operations</w:t>
      </w:r>
      <w:r w:rsidR="007B1470">
        <w:t xml:space="preserve"> and track construction and renewals</w:t>
      </w:r>
      <w:r w:rsidR="00CA7B92">
        <w:t xml:space="preserve"> would </w:t>
      </w:r>
      <w:r w:rsidR="00C70474">
        <w:t xml:space="preserve">be needed to adapt to the </w:t>
      </w:r>
      <w:r w:rsidR="0016041D">
        <w:t>proposed WEL.</w:t>
      </w:r>
      <w:r w:rsidR="009D030D">
        <w:t xml:space="preserve"> </w:t>
      </w:r>
    </w:p>
    <w:p w14:paraId="15027345" w14:textId="7AE09B81" w:rsidR="00FE5E2E" w:rsidRDefault="00BC3916" w:rsidP="00BC3916">
      <w:pPr>
        <w:contextualSpacing w:val="0"/>
      </w:pPr>
      <w:r>
        <w:t xml:space="preserve">However, changes to the </w:t>
      </w:r>
      <w:r w:rsidR="000E365E">
        <w:t>exposure limits for RCS do not change PCBUs’ ongoing WHS duties, such as their</w:t>
      </w:r>
      <w:r w:rsidR="005644B9">
        <w:t xml:space="preserve"> primary duty of care to ensure the </w:t>
      </w:r>
      <w:r w:rsidR="00450609">
        <w:t xml:space="preserve">health and safety of </w:t>
      </w:r>
      <w:r w:rsidR="005644B9">
        <w:t>workers and others</w:t>
      </w:r>
      <w:r w:rsidR="00450609">
        <w:t xml:space="preserve"> whilst at work.</w:t>
      </w:r>
      <w:r w:rsidR="002420E4">
        <w:t xml:space="preserve"> This includes </w:t>
      </w:r>
      <w:r w:rsidR="00DC3D0A">
        <w:t xml:space="preserve">PCBUs that conduct tunnelling activities, or any other </w:t>
      </w:r>
      <w:r>
        <w:t>activities</w:t>
      </w:r>
      <w:r w:rsidR="00DC3D0A">
        <w:t xml:space="preserve"> mentioned above.</w:t>
      </w:r>
      <w:r w:rsidR="00450609">
        <w:t xml:space="preserve"> In order to fulfil this primary duty, PCBUs </w:t>
      </w:r>
      <w:r w:rsidR="00DC3D0A">
        <w:t xml:space="preserve">must eliminate </w:t>
      </w:r>
      <w:r w:rsidR="00BC2572">
        <w:t xml:space="preserve">risks to </w:t>
      </w:r>
      <w:r w:rsidR="00BC2572">
        <w:lastRenderedPageBreak/>
        <w:t xml:space="preserve">health and safety, so far as is reasonably practicable, or if it is not </w:t>
      </w:r>
      <w:r w:rsidR="00D52C30">
        <w:t>reasonably practicable to eliminate those risks,</w:t>
      </w:r>
      <w:r w:rsidR="00BC2572">
        <w:t xml:space="preserve"> minimise th</w:t>
      </w:r>
      <w:r w:rsidR="00D52C30">
        <w:t xml:space="preserve">ose risks </w:t>
      </w:r>
      <w:r w:rsidR="00BC2572">
        <w:t xml:space="preserve">so far as is reasonably practicable. </w:t>
      </w:r>
    </w:p>
    <w:p w14:paraId="70555BA1" w14:textId="490BE618" w:rsidR="007B4F2A" w:rsidRDefault="007B4F2A" w:rsidP="00E21AA9">
      <w:pPr>
        <w:pStyle w:val="SWAHeading3"/>
        <w:keepNext/>
        <w:keepLines/>
      </w:pPr>
      <w:r>
        <w:t>Transitional arrangements</w:t>
      </w:r>
      <w:r w:rsidR="00B14835">
        <w:t xml:space="preserve"> suggested by stakeholders</w:t>
      </w:r>
    </w:p>
    <w:p w14:paraId="5C0083D2" w14:textId="7F4EA523" w:rsidR="002D10D3" w:rsidRDefault="004F7FAB" w:rsidP="00E21AA9">
      <w:pPr>
        <w:keepNext/>
        <w:keepLines/>
        <w:contextualSpacing w:val="0"/>
      </w:pPr>
      <w:r>
        <w:t xml:space="preserve">Stakeholders suggested a transition period would assist industry to comply with the proposed </w:t>
      </w:r>
      <w:r w:rsidR="00DF1D05">
        <w:t>limits if they were implemented.</w:t>
      </w:r>
      <w:r w:rsidR="007D3ADF">
        <w:t xml:space="preserve"> </w:t>
      </w:r>
      <w:r w:rsidR="00EC41CA">
        <w:t>Eight</w:t>
      </w:r>
      <w:r w:rsidR="00FC5D7A">
        <w:t xml:space="preserve"> </w:t>
      </w:r>
      <w:r w:rsidR="007B4F2A">
        <w:t xml:space="preserve">submissions </w:t>
      </w:r>
      <w:r w:rsidR="00DF1D05">
        <w:t>suggested</w:t>
      </w:r>
      <w:r w:rsidR="00362B0D">
        <w:t xml:space="preserve"> the following as </w:t>
      </w:r>
      <w:r w:rsidR="00DF1D05">
        <w:t xml:space="preserve">potential lengths for </w:t>
      </w:r>
      <w:r w:rsidR="00362B0D">
        <w:t xml:space="preserve">this </w:t>
      </w:r>
      <w:r w:rsidR="00BE17D6">
        <w:t xml:space="preserve">transition </w:t>
      </w:r>
      <w:r w:rsidR="00362B0D">
        <w:t xml:space="preserve">period: </w:t>
      </w:r>
    </w:p>
    <w:p w14:paraId="08C9CD44" w14:textId="77E31A3B" w:rsidR="002D10D3" w:rsidRDefault="007B4F2A" w:rsidP="00DA28CB">
      <w:pPr>
        <w:pStyle w:val="ListParagraph"/>
        <w:numPr>
          <w:ilvl w:val="0"/>
          <w:numId w:val="169"/>
        </w:numPr>
        <w:contextualSpacing w:val="0"/>
      </w:pPr>
      <w:r>
        <w:t>6 months</w:t>
      </w:r>
      <w:r w:rsidR="005943F4">
        <w:rPr>
          <w:rStyle w:val="FootnoteReference"/>
        </w:rPr>
        <w:footnoteReference w:id="300"/>
      </w:r>
      <w:r>
        <w:t xml:space="preserve">, </w:t>
      </w:r>
    </w:p>
    <w:p w14:paraId="45B3F52E" w14:textId="7F83BCB2" w:rsidR="002D10D3" w:rsidRDefault="007B4F2A" w:rsidP="00DA28CB">
      <w:pPr>
        <w:pStyle w:val="ListParagraph"/>
        <w:numPr>
          <w:ilvl w:val="0"/>
          <w:numId w:val="169"/>
        </w:numPr>
        <w:contextualSpacing w:val="0"/>
      </w:pPr>
      <w:r>
        <w:t>9 months</w:t>
      </w:r>
      <w:r w:rsidR="005943F4">
        <w:rPr>
          <w:rStyle w:val="FootnoteReference"/>
        </w:rPr>
        <w:footnoteReference w:id="301"/>
      </w:r>
      <w:r>
        <w:t xml:space="preserve">, </w:t>
      </w:r>
    </w:p>
    <w:p w14:paraId="5D2B6E5D" w14:textId="7D943931" w:rsidR="002D10D3" w:rsidRDefault="007B4F2A" w:rsidP="00DA28CB">
      <w:pPr>
        <w:pStyle w:val="ListParagraph"/>
        <w:numPr>
          <w:ilvl w:val="0"/>
          <w:numId w:val="169"/>
        </w:numPr>
        <w:contextualSpacing w:val="0"/>
      </w:pPr>
      <w:r>
        <w:t>2 years (2</w:t>
      </w:r>
      <w:r w:rsidR="001174EE">
        <w:t xml:space="preserve"> submissions</w:t>
      </w:r>
      <w:r>
        <w:t>)</w:t>
      </w:r>
      <w:r w:rsidR="002B202C">
        <w:rPr>
          <w:rStyle w:val="FootnoteReference"/>
        </w:rPr>
        <w:footnoteReference w:id="302"/>
      </w:r>
      <w:r>
        <w:t xml:space="preserve">, </w:t>
      </w:r>
    </w:p>
    <w:p w14:paraId="730DE98A" w14:textId="6D54F6EF" w:rsidR="002D10D3" w:rsidRDefault="007B4F2A" w:rsidP="00DA28CB">
      <w:pPr>
        <w:pStyle w:val="ListParagraph"/>
        <w:numPr>
          <w:ilvl w:val="0"/>
          <w:numId w:val="169"/>
        </w:numPr>
        <w:contextualSpacing w:val="0"/>
      </w:pPr>
      <w:r>
        <w:t>3 years</w:t>
      </w:r>
      <w:r w:rsidR="00760D4B">
        <w:rPr>
          <w:rStyle w:val="FootnoteReference"/>
        </w:rPr>
        <w:footnoteReference w:id="303"/>
      </w:r>
      <w:r w:rsidR="002D10D3">
        <w:t xml:space="preserve">, </w:t>
      </w:r>
    </w:p>
    <w:p w14:paraId="5E7226B3" w14:textId="77777777" w:rsidR="006A1D00" w:rsidRDefault="007B4F2A" w:rsidP="00DA28CB">
      <w:pPr>
        <w:pStyle w:val="ListParagraph"/>
        <w:numPr>
          <w:ilvl w:val="0"/>
          <w:numId w:val="169"/>
        </w:numPr>
        <w:contextualSpacing w:val="0"/>
      </w:pPr>
      <w:r>
        <w:t>5 years (2</w:t>
      </w:r>
      <w:r w:rsidR="001174EE">
        <w:t xml:space="preserve"> submissions</w:t>
      </w:r>
      <w:r>
        <w:t>)</w:t>
      </w:r>
      <w:r w:rsidR="00B056D2">
        <w:rPr>
          <w:rStyle w:val="FootnoteReference"/>
        </w:rPr>
        <w:footnoteReference w:id="304"/>
      </w:r>
      <w:r w:rsidR="006A1D00">
        <w:t xml:space="preserve">, and </w:t>
      </w:r>
    </w:p>
    <w:p w14:paraId="15A92F3E" w14:textId="5D165D38" w:rsidR="007B4F2A" w:rsidRDefault="006A1D00" w:rsidP="00DA28CB">
      <w:pPr>
        <w:pStyle w:val="ListParagraph"/>
        <w:numPr>
          <w:ilvl w:val="0"/>
          <w:numId w:val="169"/>
        </w:numPr>
        <w:contextualSpacing w:val="0"/>
      </w:pPr>
      <w:r>
        <w:t>Long term</w:t>
      </w:r>
      <w:r w:rsidR="000D6707">
        <w:rPr>
          <w:rStyle w:val="FootnoteReference"/>
        </w:rPr>
        <w:footnoteReference w:id="305"/>
      </w:r>
      <w:r w:rsidR="008B46AF">
        <w:t>.</w:t>
      </w:r>
      <w:r w:rsidR="007B4F2A">
        <w:t xml:space="preserve">  </w:t>
      </w:r>
    </w:p>
    <w:p w14:paraId="57D674FC" w14:textId="3FF1FC42" w:rsidR="00EC41CA" w:rsidRDefault="007838A9" w:rsidP="005A146F">
      <w:pPr>
        <w:contextualSpacing w:val="0"/>
      </w:pPr>
      <w:r>
        <w:t xml:space="preserve">Five </w:t>
      </w:r>
      <w:r w:rsidR="007B4F2A">
        <w:t xml:space="preserve">submissions suggested </w:t>
      </w:r>
      <w:r w:rsidR="009A1E82">
        <w:t>a transition period up</w:t>
      </w:r>
      <w:r w:rsidR="007B4F2A">
        <w:t xml:space="preserve"> until 1 December 2026 to </w:t>
      </w:r>
      <w:r>
        <w:t>coincide with the transition to the</w:t>
      </w:r>
      <w:r w:rsidR="007B4F2A">
        <w:t xml:space="preserve"> WEL list</w:t>
      </w:r>
      <w:r w:rsidR="002D7B9A">
        <w:rPr>
          <w:rStyle w:val="FootnoteReference"/>
        </w:rPr>
        <w:footnoteReference w:id="306"/>
      </w:r>
      <w:r>
        <w:t xml:space="preserve">. </w:t>
      </w:r>
      <w:r w:rsidR="005A146F">
        <w:t xml:space="preserve">Another </w:t>
      </w:r>
      <w:r w:rsidR="00EC41CA">
        <w:t xml:space="preserve">submission suggested there should be no transition </w:t>
      </w:r>
      <w:r w:rsidR="00A44E6E">
        <w:t xml:space="preserve">period </w:t>
      </w:r>
      <w:r w:rsidR="00EC41CA">
        <w:t>and that the new WEL should be implemented as soon as possible</w:t>
      </w:r>
      <w:r w:rsidR="00EC41CA">
        <w:rPr>
          <w:rStyle w:val="FootnoteReference"/>
        </w:rPr>
        <w:footnoteReference w:id="307"/>
      </w:r>
      <w:r w:rsidR="005A146F">
        <w:t xml:space="preserve">. </w:t>
      </w:r>
      <w:r w:rsidR="00EC41CA">
        <w:t xml:space="preserve"> </w:t>
      </w:r>
    </w:p>
    <w:p w14:paraId="73B84F46" w14:textId="1135F0C7" w:rsidR="00EC41CA" w:rsidRDefault="00BC277C" w:rsidP="00FB18E4">
      <w:pPr>
        <w:contextualSpacing w:val="0"/>
      </w:pPr>
      <w:r w:rsidRPr="00BC277C">
        <w:t xml:space="preserve">As mentioned in Section 7.3 of this Decision RIS, </w:t>
      </w:r>
      <w:r>
        <w:t xml:space="preserve">and in line with stakeholder suggestions, </w:t>
      </w:r>
      <w:r w:rsidRPr="00BC277C">
        <w:t xml:space="preserve">it is proposed that the new WEL for </w:t>
      </w:r>
      <w:r>
        <w:t>RCS</w:t>
      </w:r>
      <w:r w:rsidRPr="00BC277C">
        <w:t xml:space="preserve"> should come into effect on 1 December 2026. This would align with the commencement of the new WEL list and ensure the transition to the health-based exposure limits for all chemicals occurs at the same time.</w:t>
      </w:r>
    </w:p>
    <w:p w14:paraId="25662D1E" w14:textId="71C5C351" w:rsidR="00524178" w:rsidRDefault="002800BE" w:rsidP="00C812BE">
      <w:pPr>
        <w:pStyle w:val="SWAHeading2"/>
        <w:keepNext/>
        <w:ind w:left="709"/>
      </w:pPr>
      <w:bookmarkStart w:id="571" w:name="_Toc196204870"/>
      <w:bookmarkStart w:id="572" w:name="_Ref198828000"/>
      <w:bookmarkStart w:id="573" w:name="_Ref198828001"/>
      <w:bookmarkStart w:id="574" w:name="_Toc219216921"/>
      <w:r>
        <w:t>Likely net benefit and r</w:t>
      </w:r>
      <w:r w:rsidR="009D0C8D">
        <w:t xml:space="preserve">ecommended </w:t>
      </w:r>
      <w:r w:rsidR="001543E5" w:rsidRPr="00524178">
        <w:t xml:space="preserve">option for </w:t>
      </w:r>
      <w:r w:rsidR="00EE111B">
        <w:t>respirable crystalline silica</w:t>
      </w:r>
      <w:bookmarkEnd w:id="571"/>
      <w:bookmarkEnd w:id="572"/>
      <w:bookmarkEnd w:id="573"/>
      <w:bookmarkEnd w:id="574"/>
    </w:p>
    <w:p w14:paraId="07BEC2FC" w14:textId="77777777" w:rsidR="004F231B" w:rsidRPr="000B11FC" w:rsidRDefault="004F231B" w:rsidP="003349CC">
      <w:pPr>
        <w:pStyle w:val="SWAHeading3"/>
      </w:pPr>
      <w:r w:rsidRPr="000B11FC">
        <w:t>Net benefit</w:t>
      </w:r>
    </w:p>
    <w:p w14:paraId="7704C599" w14:textId="14A8B0E5" w:rsidR="00841715" w:rsidRPr="00841715" w:rsidRDefault="00CF3196" w:rsidP="00B64384">
      <w:pPr>
        <w:pStyle w:val="Paragraph"/>
        <w:keepNext w:val="0"/>
      </w:pPr>
      <w:r>
        <w:fldChar w:fldCharType="begin"/>
      </w:r>
      <w:r>
        <w:instrText xml:space="preserve"> REF _Ref216771898 \h </w:instrText>
      </w:r>
      <w:r>
        <w:fldChar w:fldCharType="separate"/>
      </w:r>
      <w:r w:rsidR="00A002F4">
        <w:t xml:space="preserve">Table </w:t>
      </w:r>
      <w:r w:rsidR="00A002F4">
        <w:rPr>
          <w:noProof/>
        </w:rPr>
        <w:t>42</w:t>
      </w:r>
      <w:r>
        <w:fldChar w:fldCharType="end"/>
      </w:r>
      <w:r>
        <w:t xml:space="preserve"> </w:t>
      </w:r>
      <w:r w:rsidR="004F231B" w:rsidRPr="000B11FC">
        <w:t xml:space="preserve">presents the quantified </w:t>
      </w:r>
      <w:r w:rsidR="00CB193B">
        <w:t>gross</w:t>
      </w:r>
      <w:r w:rsidR="004F231B" w:rsidRPr="000B11FC">
        <w:t xml:space="preserve"> benefits for the proposed WEL for </w:t>
      </w:r>
      <w:r w:rsidR="00841715">
        <w:t>RCS</w:t>
      </w:r>
      <w:r w:rsidR="004F231B" w:rsidRPr="000B11FC">
        <w:t xml:space="preserve">. </w:t>
      </w:r>
      <w:r w:rsidR="00841715" w:rsidRPr="00841715">
        <w:t>Both the quantifiable health</w:t>
      </w:r>
      <w:r w:rsidR="00460482">
        <w:t xml:space="preserve"> benefits</w:t>
      </w:r>
      <w:r w:rsidR="00841715" w:rsidRPr="00841715">
        <w:t xml:space="preserve"> </w:t>
      </w:r>
      <w:r w:rsidR="00460482" w:rsidRPr="00841715">
        <w:t xml:space="preserve">(from </w:t>
      </w:r>
      <w:r w:rsidR="00460482">
        <w:fldChar w:fldCharType="begin"/>
      </w:r>
      <w:r w:rsidR="00460482">
        <w:instrText xml:space="preserve"> REF _Ref216769628 \h </w:instrText>
      </w:r>
      <w:r w:rsidR="00460482">
        <w:fldChar w:fldCharType="separate"/>
      </w:r>
      <w:r w:rsidR="00A002F4">
        <w:t xml:space="preserve">Table </w:t>
      </w:r>
      <w:r w:rsidR="00A002F4">
        <w:rPr>
          <w:noProof/>
        </w:rPr>
        <w:t>34</w:t>
      </w:r>
      <w:r w:rsidR="00460482">
        <w:fldChar w:fldCharType="end"/>
      </w:r>
      <w:r w:rsidR="00460482" w:rsidRPr="00841715">
        <w:t xml:space="preserve"> and </w:t>
      </w:r>
      <w:r w:rsidR="00460482">
        <w:fldChar w:fldCharType="begin"/>
      </w:r>
      <w:r w:rsidR="00460482">
        <w:instrText xml:space="preserve"> REF _Ref216769663 \h </w:instrText>
      </w:r>
      <w:r w:rsidR="00460482">
        <w:fldChar w:fldCharType="separate"/>
      </w:r>
      <w:r w:rsidR="00A002F4">
        <w:t xml:space="preserve">Table </w:t>
      </w:r>
      <w:r w:rsidR="00A002F4">
        <w:rPr>
          <w:noProof/>
        </w:rPr>
        <w:t>35</w:t>
      </w:r>
      <w:r w:rsidR="00460482">
        <w:fldChar w:fldCharType="end"/>
      </w:r>
      <w:r w:rsidR="00460482" w:rsidRPr="00841715">
        <w:t xml:space="preserve">) </w:t>
      </w:r>
      <w:r w:rsidR="00841715" w:rsidRPr="00841715">
        <w:t>and financial benefits</w:t>
      </w:r>
      <w:r w:rsidR="00460482">
        <w:t xml:space="preserve"> </w:t>
      </w:r>
      <w:r w:rsidR="00460482" w:rsidRPr="00841715">
        <w:t>(</w:t>
      </w:r>
      <w:r w:rsidR="00460482">
        <w:fldChar w:fldCharType="begin"/>
      </w:r>
      <w:r w:rsidR="00460482">
        <w:instrText xml:space="preserve"> REF _Ref216769728 \h </w:instrText>
      </w:r>
      <w:r w:rsidR="00460482">
        <w:fldChar w:fldCharType="separate"/>
      </w:r>
      <w:r w:rsidR="00A002F4">
        <w:t xml:space="preserve">Table </w:t>
      </w:r>
      <w:r w:rsidR="00A002F4">
        <w:rPr>
          <w:noProof/>
        </w:rPr>
        <w:t>36</w:t>
      </w:r>
      <w:r w:rsidR="00460482">
        <w:fldChar w:fldCharType="end"/>
      </w:r>
      <w:r w:rsidR="00460482">
        <w:t xml:space="preserve"> and </w:t>
      </w:r>
      <w:r w:rsidR="00460482">
        <w:fldChar w:fldCharType="begin"/>
      </w:r>
      <w:r w:rsidR="00460482">
        <w:instrText xml:space="preserve"> REF _Ref216769749 \h </w:instrText>
      </w:r>
      <w:r w:rsidR="00460482">
        <w:fldChar w:fldCharType="separate"/>
      </w:r>
      <w:r w:rsidR="00A002F4">
        <w:t xml:space="preserve">Table </w:t>
      </w:r>
      <w:r w:rsidR="00A002F4">
        <w:rPr>
          <w:noProof/>
        </w:rPr>
        <w:t>37</w:t>
      </w:r>
      <w:r w:rsidR="00460482">
        <w:fldChar w:fldCharType="end"/>
      </w:r>
      <w:r w:rsidR="00460482" w:rsidRPr="00841715">
        <w:t>)</w:t>
      </w:r>
      <w:r w:rsidR="00841715" w:rsidRPr="00841715">
        <w:t xml:space="preserve"> estimated were considered alongside the quantifiable costs </w:t>
      </w:r>
      <w:r w:rsidR="00460482">
        <w:t>(</w:t>
      </w:r>
      <w:r w:rsidR="00460482">
        <w:fldChar w:fldCharType="begin"/>
      </w:r>
      <w:r w:rsidR="00460482">
        <w:instrText xml:space="preserve"> REF _Ref216770865 \h </w:instrText>
      </w:r>
      <w:r w:rsidR="00460482">
        <w:fldChar w:fldCharType="separate"/>
      </w:r>
      <w:r w:rsidR="00A002F4">
        <w:t xml:space="preserve">Table </w:t>
      </w:r>
      <w:r w:rsidR="00A002F4">
        <w:rPr>
          <w:noProof/>
        </w:rPr>
        <w:t>38</w:t>
      </w:r>
      <w:r w:rsidR="00460482">
        <w:fldChar w:fldCharType="end"/>
      </w:r>
      <w:r w:rsidR="00460482">
        <w:t xml:space="preserve"> and </w:t>
      </w:r>
      <w:r w:rsidR="00460482">
        <w:fldChar w:fldCharType="begin"/>
      </w:r>
      <w:r w:rsidR="00460482">
        <w:instrText xml:space="preserve"> REF _Ref216770982 \h </w:instrText>
      </w:r>
      <w:r w:rsidR="00460482">
        <w:fldChar w:fldCharType="separate"/>
      </w:r>
      <w:r w:rsidR="00A002F4">
        <w:t xml:space="preserve">Table </w:t>
      </w:r>
      <w:r w:rsidR="00A002F4">
        <w:rPr>
          <w:noProof/>
        </w:rPr>
        <w:t>40</w:t>
      </w:r>
      <w:r w:rsidR="00460482">
        <w:fldChar w:fldCharType="end"/>
      </w:r>
      <w:r w:rsidR="00841715" w:rsidRPr="00841715">
        <w:t xml:space="preserve"> to estimate a quantified </w:t>
      </w:r>
      <w:r w:rsidR="0094320F">
        <w:t>gross</w:t>
      </w:r>
      <w:r w:rsidR="00841715" w:rsidRPr="00841715">
        <w:t xml:space="preserve"> benefit of </w:t>
      </w:r>
      <w:r w:rsidR="00C84C1D">
        <w:t>$6.7</w:t>
      </w:r>
      <w:r w:rsidR="00841715" w:rsidRPr="00841715">
        <w:t xml:space="preserve"> </w:t>
      </w:r>
      <w:r w:rsidR="00C84C1D">
        <w:t>b</w:t>
      </w:r>
      <w:r w:rsidR="00841715" w:rsidRPr="00841715">
        <w:t>illion</w:t>
      </w:r>
      <w:r w:rsidR="00C84C1D">
        <w:t xml:space="preserve"> for all industries (excluding the mining industry) and </w:t>
      </w:r>
      <w:r w:rsidR="00385274">
        <w:t>$16 billion for the mining industry</w:t>
      </w:r>
      <w:r w:rsidR="00841715" w:rsidRPr="00841715">
        <w:t xml:space="preserve"> over 10 years for the proposed WEL for </w:t>
      </w:r>
      <w:r w:rsidR="00385274">
        <w:t>RCS</w:t>
      </w:r>
      <w:r w:rsidR="00841715" w:rsidRPr="00841715">
        <w:t xml:space="preserve">. </w:t>
      </w:r>
    </w:p>
    <w:p w14:paraId="5A4B9EF6" w14:textId="2443B8C8" w:rsidR="004F231B" w:rsidRPr="00AE70AA" w:rsidRDefault="004F231B" w:rsidP="003349CC">
      <w:pPr>
        <w:pStyle w:val="Paragraph"/>
      </w:pPr>
      <w:r w:rsidRPr="00AE70AA">
        <w:t xml:space="preserve">Sensitivity analysis indicates the quantified net gross benefit </w:t>
      </w:r>
      <w:r w:rsidR="00AE5207" w:rsidRPr="00AE70AA">
        <w:t xml:space="preserve">for all industries (excluding mining) </w:t>
      </w:r>
      <w:r w:rsidRPr="00AE70AA">
        <w:t>can range between</w:t>
      </w:r>
      <w:r w:rsidR="005F6632" w:rsidRPr="00AE70AA">
        <w:t xml:space="preserve"> $314 million </w:t>
      </w:r>
      <w:r w:rsidR="00821566" w:rsidRPr="00AE70AA">
        <w:t>(under the low scenario</w:t>
      </w:r>
      <w:r w:rsidR="00EB4E07" w:rsidRPr="00AE70AA">
        <w:t xml:space="preserve"> outlined in </w:t>
      </w:r>
      <w:hyperlink w:anchor="AppendixD_SensitivityAnalysis" w:history="1">
        <w:r w:rsidR="00EB4E07" w:rsidRPr="003349CC">
          <w:rPr>
            <w:rStyle w:val="Hyperlink"/>
            <w:color w:val="auto"/>
            <w:u w:val="none"/>
          </w:rPr>
          <w:t xml:space="preserve">Appendix </w:t>
        </w:r>
        <w:r w:rsidR="00341A81" w:rsidRPr="003349CC">
          <w:rPr>
            <w:rStyle w:val="Hyperlink"/>
            <w:color w:val="auto"/>
            <w:u w:val="none"/>
          </w:rPr>
          <w:t>D</w:t>
        </w:r>
      </w:hyperlink>
      <w:r w:rsidR="00EB4E07" w:rsidRPr="00AE70AA">
        <w:t xml:space="preserve">) </w:t>
      </w:r>
      <w:r w:rsidR="005F6632" w:rsidRPr="00AE70AA">
        <w:t xml:space="preserve">to </w:t>
      </w:r>
      <w:r w:rsidR="00821566" w:rsidRPr="00AE70AA">
        <w:lastRenderedPageBreak/>
        <w:t>$16 billion</w:t>
      </w:r>
      <w:r w:rsidRPr="00AE70AA">
        <w:t xml:space="preserve"> </w:t>
      </w:r>
      <w:r w:rsidR="00EB4E07" w:rsidRPr="00AE70AA">
        <w:t xml:space="preserve">(under the high scenario outlined in </w:t>
      </w:r>
      <w:hyperlink w:anchor="AppendixD_SensitivityAnalysis" w:history="1">
        <w:r w:rsidR="00EB4E07" w:rsidRPr="003349CC">
          <w:rPr>
            <w:rStyle w:val="Hyperlink"/>
            <w:color w:val="auto"/>
            <w:u w:val="none"/>
          </w:rPr>
          <w:t xml:space="preserve">Appendix </w:t>
        </w:r>
        <w:r w:rsidR="00AE70AA" w:rsidRPr="003349CC">
          <w:rPr>
            <w:rStyle w:val="Hyperlink"/>
            <w:color w:val="auto"/>
            <w:u w:val="none"/>
          </w:rPr>
          <w:t>D</w:t>
        </w:r>
      </w:hyperlink>
      <w:r w:rsidR="00EB4E07" w:rsidRPr="00AE70AA">
        <w:t>)</w:t>
      </w:r>
      <w:r w:rsidR="003F5D51" w:rsidRPr="00AE70AA">
        <w:t xml:space="preserve"> over 10 years for the proposed WEL for RCS. For the mining industry, the quantified net gross benefit can range between</w:t>
      </w:r>
      <w:r w:rsidR="00AE5207" w:rsidRPr="00AE70AA">
        <w:t xml:space="preserve"> </w:t>
      </w:r>
      <w:r w:rsidRPr="00AE70AA">
        <w:t>-$1</w:t>
      </w:r>
      <w:r w:rsidR="00AE5207" w:rsidRPr="00AE70AA">
        <w:t>1</w:t>
      </w:r>
      <w:r w:rsidRPr="00AE70AA">
        <w:t xml:space="preserve"> billion (under the low scenario outlined in </w:t>
      </w:r>
      <w:hyperlink w:anchor="AppendixD_SensitivityAnalysis" w:history="1">
        <w:r w:rsidRPr="003349CC">
          <w:rPr>
            <w:rStyle w:val="Hyperlink"/>
            <w:color w:val="auto"/>
            <w:u w:val="none"/>
          </w:rPr>
          <w:t>Appendix</w:t>
        </w:r>
        <w:r w:rsidR="00AE70AA" w:rsidRPr="003349CC">
          <w:rPr>
            <w:rStyle w:val="Hyperlink"/>
            <w:color w:val="auto"/>
            <w:u w:val="none"/>
          </w:rPr>
          <w:t xml:space="preserve"> D</w:t>
        </w:r>
      </w:hyperlink>
      <w:r w:rsidRPr="00AE70AA">
        <w:t>) and -$</w:t>
      </w:r>
      <w:r w:rsidR="00AE5207" w:rsidRPr="00AE70AA">
        <w:t>25</w:t>
      </w:r>
      <w:r w:rsidRPr="00AE70AA">
        <w:t xml:space="preserve"> billion (under the high scenario outlined in </w:t>
      </w:r>
      <w:hyperlink w:anchor="AppendixD_SensitivityAnalysis" w:history="1">
        <w:r w:rsidRPr="003349CC">
          <w:rPr>
            <w:rStyle w:val="Hyperlink"/>
            <w:color w:val="auto"/>
            <w:u w:val="none"/>
          </w:rPr>
          <w:t xml:space="preserve">Appendix </w:t>
        </w:r>
        <w:r w:rsidR="00AE70AA" w:rsidRPr="003349CC">
          <w:rPr>
            <w:rStyle w:val="Hyperlink"/>
            <w:color w:val="auto"/>
            <w:u w:val="none"/>
          </w:rPr>
          <w:t>D</w:t>
        </w:r>
      </w:hyperlink>
      <w:r w:rsidRPr="00AE70AA">
        <w:t>)</w:t>
      </w:r>
      <w:r w:rsidR="006F5C27" w:rsidRPr="00AE70AA">
        <w:t xml:space="preserve"> over 10 years for the proposed WEL for RCS</w:t>
      </w:r>
      <w:r w:rsidRPr="00AE70AA">
        <w:t xml:space="preserve">. </w:t>
      </w:r>
    </w:p>
    <w:p w14:paraId="221E3290" w14:textId="6B88D75D" w:rsidR="004F231B" w:rsidRPr="000B11FC" w:rsidRDefault="004F231B" w:rsidP="003349CC">
      <w:pPr>
        <w:pStyle w:val="Paragraph"/>
      </w:pPr>
      <w:r w:rsidRPr="000B11FC">
        <w:t xml:space="preserve">For the proposed WEL for </w:t>
      </w:r>
      <w:r w:rsidR="003F5D51">
        <w:t>RCS</w:t>
      </w:r>
      <w:r w:rsidRPr="000B11FC">
        <w:t xml:space="preserve"> to deliver a net benefit in economic terms, the non-quantified and qualitative benefits outlined in Sections 5 and 1</w:t>
      </w:r>
      <w:r w:rsidR="00CF3196">
        <w:t>6.</w:t>
      </w:r>
      <w:r w:rsidRPr="000B11FC">
        <w:t>1 of this Decision RIS would need to meet or exceed a quantified net cost of $</w:t>
      </w:r>
      <w:r w:rsidR="00F212E3">
        <w:t>6.7</w:t>
      </w:r>
      <w:r w:rsidRPr="000B11FC">
        <w:t xml:space="preserve"> </w:t>
      </w:r>
      <w:r>
        <w:t>b</w:t>
      </w:r>
      <w:r w:rsidRPr="000B11FC">
        <w:t>illion</w:t>
      </w:r>
      <w:r w:rsidR="00F212E3">
        <w:t xml:space="preserve"> for all industries (excluding mining) and $16 billion for the mining industry</w:t>
      </w:r>
      <w:r w:rsidRPr="000B11FC">
        <w:t xml:space="preserve">. </w:t>
      </w:r>
    </w:p>
    <w:p w14:paraId="72F87F53" w14:textId="30DC5A14" w:rsidR="004F231B" w:rsidRDefault="004F231B" w:rsidP="003349CC">
      <w:pPr>
        <w:pStyle w:val="Paragraph"/>
        <w:keepNext w:val="0"/>
      </w:pPr>
      <w:r w:rsidRPr="000B11FC">
        <w:t xml:space="preserve">This </w:t>
      </w:r>
      <w:r w:rsidR="006F5C27">
        <w:t>quantified gross</w:t>
      </w:r>
      <w:r w:rsidRPr="000B11FC">
        <w:t xml:space="preserve"> cost is likely to be smaller than what is estimated in</w:t>
      </w:r>
      <w:r w:rsidR="00CF3196">
        <w:t xml:space="preserve"> </w:t>
      </w:r>
      <w:r w:rsidR="00CF3196">
        <w:fldChar w:fldCharType="begin"/>
      </w:r>
      <w:r w:rsidR="00CF3196">
        <w:instrText xml:space="preserve"> REF _Ref216771898 \h </w:instrText>
      </w:r>
      <w:r w:rsidR="00CF3196">
        <w:fldChar w:fldCharType="separate"/>
      </w:r>
      <w:r w:rsidR="00A002F4">
        <w:t xml:space="preserve">Table </w:t>
      </w:r>
      <w:r w:rsidR="00A002F4">
        <w:rPr>
          <w:noProof/>
        </w:rPr>
        <w:t>42</w:t>
      </w:r>
      <w:r w:rsidR="00CF3196">
        <w:fldChar w:fldCharType="end"/>
      </w:r>
      <w:r w:rsidRPr="000B11FC">
        <w:t xml:space="preserve">. </w:t>
      </w:r>
      <w:r w:rsidR="00565E68">
        <w:t>The d</w:t>
      </w:r>
      <w:r w:rsidR="008053D5">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565E68">
        <w:t xml:space="preserve">. </w:t>
      </w:r>
    </w:p>
    <w:p w14:paraId="3BD8B3E3" w14:textId="7989AF60" w:rsidR="00565E68" w:rsidRDefault="00565E68" w:rsidP="003349CC">
      <w:pPr>
        <w:pStyle w:val="Paragraph"/>
        <w:keepNext w:val="0"/>
      </w:pPr>
      <w:r>
        <w:t xml:space="preserve">In considering the quantified gross benefit, together with the non-quantified and qualitative benefit, Option 2 presents a likely net benefit. </w:t>
      </w:r>
    </w:p>
    <w:p w14:paraId="304D7AA7" w14:textId="170B1937" w:rsidR="00CF3196" w:rsidRDefault="00CF3196" w:rsidP="003349CC">
      <w:pPr>
        <w:pStyle w:val="Caption"/>
      </w:pPr>
      <w:bookmarkStart w:id="575" w:name="_Ref216771898"/>
      <w:r>
        <w:t xml:space="preserve">Table </w:t>
      </w:r>
      <w:fldSimple w:instr=" SEQ Table \* ARABIC ">
        <w:r w:rsidR="00A002F4">
          <w:rPr>
            <w:noProof/>
          </w:rPr>
          <w:t>42</w:t>
        </w:r>
      </w:fldSimple>
      <w:bookmarkEnd w:id="575"/>
      <w:r>
        <w:t xml:space="preserve"> - </w:t>
      </w:r>
      <w:r w:rsidR="0020677E">
        <w:t>Quantified</w:t>
      </w:r>
      <w:r w:rsidRPr="00D4043A">
        <w:t xml:space="preserve"> gross benefit ($, millions, discounted) for the proposed WEL for RCS,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2268"/>
        <w:gridCol w:w="2268"/>
        <w:gridCol w:w="2217"/>
      </w:tblGrid>
      <w:tr w:rsidR="00CF3196" w:rsidRPr="000B11FC" w14:paraId="5C00E8BD" w14:textId="77777777" w:rsidTr="003349CC">
        <w:tc>
          <w:tcPr>
            <w:tcW w:w="2263" w:type="dxa"/>
            <w:shd w:val="clear" w:color="auto" w:fill="4877E0" w:themeFill="accent1"/>
          </w:tcPr>
          <w:p w14:paraId="00BBDCB9" w14:textId="77777777" w:rsidR="008D3378" w:rsidRPr="00FC7340" w:rsidRDefault="008D3378" w:rsidP="003349CC">
            <w:pPr>
              <w:pStyle w:val="Paragraph"/>
              <w:keepNext w:val="0"/>
              <w:spacing w:afterLines="120" w:after="288" w:line="120" w:lineRule="atLeast"/>
              <w:rPr>
                <w:b/>
                <w:bCs/>
                <w:color w:val="FFFFFF" w:themeColor="background1"/>
                <w:lang w:eastAsia="en-US"/>
              </w:rPr>
            </w:pPr>
          </w:p>
        </w:tc>
        <w:tc>
          <w:tcPr>
            <w:tcW w:w="2268" w:type="dxa"/>
            <w:shd w:val="clear" w:color="auto" w:fill="4877E0" w:themeFill="accent1"/>
          </w:tcPr>
          <w:p w14:paraId="42397F93" w14:textId="77777777" w:rsidR="008D3378" w:rsidRPr="00FC7340" w:rsidRDefault="008D3378" w:rsidP="003349CC">
            <w:pPr>
              <w:pStyle w:val="Paragraph"/>
              <w:keepNext w:val="0"/>
              <w:spacing w:afterLines="120" w:after="288" w:line="120" w:lineRule="atLeast"/>
              <w:rPr>
                <w:b/>
                <w:bCs/>
                <w:color w:val="FFFFFF" w:themeColor="background1"/>
                <w:lang w:eastAsia="en-US"/>
              </w:rPr>
            </w:pPr>
            <w:r w:rsidRPr="00FC7340">
              <w:rPr>
                <w:b/>
                <w:bCs/>
                <w:color w:val="FFFFFF" w:themeColor="background1"/>
                <w:lang w:eastAsia="en-US"/>
              </w:rPr>
              <w:t>Quantified benefits</w:t>
            </w:r>
          </w:p>
        </w:tc>
        <w:tc>
          <w:tcPr>
            <w:tcW w:w="2268" w:type="dxa"/>
            <w:shd w:val="clear" w:color="auto" w:fill="4877E0" w:themeFill="accent1"/>
          </w:tcPr>
          <w:p w14:paraId="32DFFDF3" w14:textId="77777777" w:rsidR="008D3378" w:rsidRPr="00FC7340" w:rsidRDefault="008D3378" w:rsidP="003349CC">
            <w:pPr>
              <w:pStyle w:val="Paragraph"/>
              <w:keepNext w:val="0"/>
              <w:spacing w:afterLines="120" w:after="288" w:line="120" w:lineRule="atLeast"/>
              <w:rPr>
                <w:b/>
                <w:bCs/>
                <w:color w:val="FFFFFF" w:themeColor="background1"/>
                <w:lang w:eastAsia="en-US"/>
              </w:rPr>
            </w:pPr>
            <w:r w:rsidRPr="00FC7340">
              <w:rPr>
                <w:b/>
                <w:bCs/>
                <w:color w:val="FFFFFF" w:themeColor="background1"/>
                <w:lang w:eastAsia="en-US"/>
              </w:rPr>
              <w:t>Quantified costs</w:t>
            </w:r>
          </w:p>
        </w:tc>
        <w:tc>
          <w:tcPr>
            <w:tcW w:w="2217" w:type="dxa"/>
            <w:shd w:val="clear" w:color="auto" w:fill="4877E0" w:themeFill="accent1"/>
          </w:tcPr>
          <w:p w14:paraId="561E1B0F" w14:textId="01F6618E" w:rsidR="008D3378" w:rsidRPr="00FC7340" w:rsidRDefault="006F5C27" w:rsidP="00B64384">
            <w:pPr>
              <w:pStyle w:val="Paragraph"/>
              <w:keepNext w:val="0"/>
              <w:spacing w:after="0"/>
              <w:rPr>
                <w:b/>
                <w:bCs/>
                <w:color w:val="FFFFFF" w:themeColor="background1"/>
                <w:lang w:eastAsia="en-US"/>
              </w:rPr>
            </w:pPr>
            <w:r>
              <w:rPr>
                <w:b/>
                <w:bCs/>
                <w:color w:val="FFFFFF" w:themeColor="background1"/>
                <w:lang w:eastAsia="en-US"/>
              </w:rPr>
              <w:t xml:space="preserve">Quantified </w:t>
            </w:r>
            <w:r w:rsidR="008D3378">
              <w:rPr>
                <w:b/>
                <w:bCs/>
                <w:color w:val="FFFFFF" w:themeColor="background1"/>
                <w:lang w:eastAsia="en-US"/>
              </w:rPr>
              <w:t>gross</w:t>
            </w:r>
            <w:r w:rsidR="008D3378" w:rsidRPr="00FC7340">
              <w:rPr>
                <w:b/>
                <w:bCs/>
                <w:color w:val="FFFFFF" w:themeColor="background1"/>
                <w:lang w:eastAsia="en-US"/>
              </w:rPr>
              <w:t xml:space="preserve"> benefit</w:t>
            </w:r>
            <w:r w:rsidR="00624BFA">
              <w:rPr>
                <w:b/>
                <w:bCs/>
                <w:color w:val="FFFFFF" w:themeColor="background1"/>
                <w:lang w:eastAsia="en-US"/>
              </w:rPr>
              <w:t>**</w:t>
            </w:r>
          </w:p>
        </w:tc>
      </w:tr>
      <w:tr w:rsidR="004415B3" w:rsidRPr="000B11FC" w14:paraId="608CC553" w14:textId="77777777" w:rsidTr="00CF3196">
        <w:trPr>
          <w:trHeight w:val="300"/>
        </w:trPr>
        <w:tc>
          <w:tcPr>
            <w:tcW w:w="2263" w:type="dxa"/>
            <w:vAlign w:val="bottom"/>
          </w:tcPr>
          <w:p w14:paraId="3E5688F7" w14:textId="68B4D55C" w:rsidR="004415B3" w:rsidRPr="003349CC" w:rsidRDefault="004415B3" w:rsidP="003349CC">
            <w:pPr>
              <w:pStyle w:val="Paragraph"/>
              <w:keepNext w:val="0"/>
              <w:spacing w:after="120" w:line="120" w:lineRule="atLeast"/>
              <w:jc w:val="right"/>
              <w:rPr>
                <w:rFonts w:cs="Arial"/>
                <w:b/>
                <w:color w:val="000000"/>
                <w:szCs w:val="22"/>
              </w:rPr>
            </w:pPr>
            <w:r w:rsidRPr="003349CC">
              <w:rPr>
                <w:rFonts w:cs="Arial"/>
                <w:b/>
                <w:color w:val="000000"/>
                <w:szCs w:val="22"/>
              </w:rPr>
              <w:t>RCS (excl. mining)</w:t>
            </w:r>
          </w:p>
        </w:tc>
        <w:tc>
          <w:tcPr>
            <w:tcW w:w="2268" w:type="dxa"/>
            <w:noWrap/>
            <w:vAlign w:val="center"/>
            <w:hideMark/>
          </w:tcPr>
          <w:p w14:paraId="29ED6FC8" w14:textId="28B65954" w:rsidR="004415B3" w:rsidRPr="004415B3" w:rsidRDefault="004415B3" w:rsidP="003349CC">
            <w:pPr>
              <w:pStyle w:val="Paragraph"/>
              <w:keepNext w:val="0"/>
              <w:spacing w:after="120" w:line="120" w:lineRule="atLeast"/>
              <w:jc w:val="right"/>
              <w:rPr>
                <w:rFonts w:cs="Arial"/>
                <w:lang w:eastAsia="en-US"/>
              </w:rPr>
            </w:pPr>
            <w:r w:rsidRPr="003349CC">
              <w:rPr>
                <w:rFonts w:cs="Arial"/>
                <w:color w:val="000000"/>
                <w:szCs w:val="22"/>
              </w:rPr>
              <w:t>10,145</w:t>
            </w:r>
          </w:p>
        </w:tc>
        <w:tc>
          <w:tcPr>
            <w:tcW w:w="2268" w:type="dxa"/>
            <w:noWrap/>
            <w:vAlign w:val="center"/>
            <w:hideMark/>
          </w:tcPr>
          <w:p w14:paraId="14E60C53" w14:textId="3768EAC6" w:rsidR="004415B3" w:rsidRPr="004415B3" w:rsidRDefault="004415B3" w:rsidP="003349CC">
            <w:pPr>
              <w:pStyle w:val="Paragraph"/>
              <w:keepNext w:val="0"/>
              <w:spacing w:after="120" w:line="120" w:lineRule="atLeast"/>
              <w:jc w:val="right"/>
              <w:rPr>
                <w:rFonts w:cs="Arial"/>
                <w:lang w:eastAsia="en-US"/>
              </w:rPr>
            </w:pPr>
            <w:r w:rsidRPr="003349CC">
              <w:rPr>
                <w:rFonts w:cs="Arial"/>
                <w:color w:val="000000"/>
                <w:szCs w:val="22"/>
              </w:rPr>
              <w:t>3,448</w:t>
            </w:r>
          </w:p>
        </w:tc>
        <w:tc>
          <w:tcPr>
            <w:tcW w:w="2217" w:type="dxa"/>
            <w:noWrap/>
            <w:vAlign w:val="center"/>
            <w:hideMark/>
          </w:tcPr>
          <w:p w14:paraId="58737643" w14:textId="78314E7F" w:rsidR="004415B3" w:rsidRPr="004415B3" w:rsidRDefault="00CF3196" w:rsidP="003349CC">
            <w:pPr>
              <w:pStyle w:val="Paragraph"/>
              <w:keepNext w:val="0"/>
              <w:spacing w:after="120" w:line="120" w:lineRule="atLeast"/>
              <w:jc w:val="right"/>
              <w:rPr>
                <w:rFonts w:cs="Arial"/>
                <w:lang w:eastAsia="en-US"/>
              </w:rPr>
            </w:pPr>
            <w:r>
              <w:rPr>
                <w:rFonts w:cs="Arial"/>
                <w:color w:val="000000"/>
                <w:szCs w:val="22"/>
              </w:rPr>
              <w:t>+6,697</w:t>
            </w:r>
            <w:r w:rsidR="004415B3" w:rsidRPr="003349CC">
              <w:rPr>
                <w:rFonts w:cs="Arial"/>
                <w:color w:val="000000"/>
                <w:szCs w:val="22"/>
              </w:rPr>
              <w:t xml:space="preserve"> </w:t>
            </w:r>
          </w:p>
        </w:tc>
      </w:tr>
      <w:tr w:rsidR="004415B3" w:rsidRPr="000B11FC" w14:paraId="4018E023" w14:textId="77777777" w:rsidTr="003349CC">
        <w:trPr>
          <w:trHeight w:val="300"/>
        </w:trPr>
        <w:tc>
          <w:tcPr>
            <w:tcW w:w="2263" w:type="dxa"/>
            <w:shd w:val="clear" w:color="auto" w:fill="DAE3F8" w:themeFill="accent1" w:themeFillTint="33"/>
          </w:tcPr>
          <w:p w14:paraId="738711A3" w14:textId="5A71BB8A" w:rsidR="004415B3" w:rsidRPr="003349CC" w:rsidRDefault="004415B3" w:rsidP="003349CC">
            <w:pPr>
              <w:pStyle w:val="Paragraph"/>
              <w:keepNext w:val="0"/>
              <w:spacing w:after="120" w:line="120" w:lineRule="atLeast"/>
              <w:jc w:val="right"/>
              <w:rPr>
                <w:rFonts w:cs="Arial"/>
                <w:b/>
                <w:color w:val="000000"/>
                <w:szCs w:val="22"/>
              </w:rPr>
            </w:pPr>
            <w:r w:rsidRPr="003349CC">
              <w:rPr>
                <w:rFonts w:cs="Arial"/>
                <w:b/>
                <w:color w:val="000000"/>
                <w:szCs w:val="22"/>
              </w:rPr>
              <w:t>RCS (mining)</w:t>
            </w:r>
          </w:p>
        </w:tc>
        <w:tc>
          <w:tcPr>
            <w:tcW w:w="2268" w:type="dxa"/>
            <w:shd w:val="clear" w:color="auto" w:fill="DAE3F8" w:themeFill="accent1" w:themeFillTint="33"/>
            <w:noWrap/>
            <w:vAlign w:val="center"/>
          </w:tcPr>
          <w:p w14:paraId="1FBC9C25" w14:textId="761C9D19" w:rsidR="004415B3" w:rsidRPr="004415B3" w:rsidRDefault="004415B3" w:rsidP="003349CC">
            <w:pPr>
              <w:pStyle w:val="Paragraph"/>
              <w:keepNext w:val="0"/>
              <w:spacing w:after="120" w:line="120" w:lineRule="atLeast"/>
              <w:jc w:val="right"/>
              <w:rPr>
                <w:rFonts w:cs="Arial"/>
                <w:color w:val="000000"/>
                <w:szCs w:val="22"/>
              </w:rPr>
            </w:pPr>
            <w:r w:rsidRPr="003349CC">
              <w:rPr>
                <w:rFonts w:cs="Arial"/>
                <w:color w:val="000000"/>
                <w:szCs w:val="22"/>
              </w:rPr>
              <w:t>2,490</w:t>
            </w:r>
          </w:p>
        </w:tc>
        <w:tc>
          <w:tcPr>
            <w:tcW w:w="2268" w:type="dxa"/>
            <w:shd w:val="clear" w:color="auto" w:fill="DAE3F8" w:themeFill="accent1" w:themeFillTint="33"/>
            <w:noWrap/>
            <w:vAlign w:val="center"/>
          </w:tcPr>
          <w:p w14:paraId="21BEE9B8" w14:textId="42C3CF7A" w:rsidR="004415B3" w:rsidRPr="004415B3" w:rsidRDefault="004415B3" w:rsidP="003349CC">
            <w:pPr>
              <w:pStyle w:val="Paragraph"/>
              <w:keepNext w:val="0"/>
              <w:spacing w:after="120" w:line="120" w:lineRule="atLeast"/>
              <w:jc w:val="right"/>
              <w:rPr>
                <w:rFonts w:cs="Arial"/>
                <w:color w:val="000000"/>
                <w:szCs w:val="22"/>
              </w:rPr>
            </w:pPr>
            <w:r w:rsidRPr="003349CC">
              <w:rPr>
                <w:rFonts w:cs="Arial"/>
                <w:color w:val="000000"/>
                <w:szCs w:val="22"/>
              </w:rPr>
              <w:t>18,483</w:t>
            </w:r>
          </w:p>
        </w:tc>
        <w:tc>
          <w:tcPr>
            <w:tcW w:w="2217" w:type="dxa"/>
            <w:shd w:val="clear" w:color="auto" w:fill="DAE3F8" w:themeFill="accent1" w:themeFillTint="33"/>
            <w:noWrap/>
            <w:vAlign w:val="center"/>
          </w:tcPr>
          <w:p w14:paraId="34190D1D" w14:textId="0E87B516" w:rsidR="004415B3" w:rsidRPr="004415B3" w:rsidRDefault="004415B3" w:rsidP="003349CC">
            <w:pPr>
              <w:pStyle w:val="Paragraph"/>
              <w:keepNext w:val="0"/>
              <w:spacing w:after="120" w:line="120" w:lineRule="atLeast"/>
              <w:jc w:val="right"/>
              <w:rPr>
                <w:rFonts w:cs="Arial"/>
                <w:color w:val="000000"/>
                <w:szCs w:val="22"/>
              </w:rPr>
            </w:pPr>
            <w:r w:rsidRPr="003349CC">
              <w:rPr>
                <w:rFonts w:cs="Arial"/>
                <w:color w:val="000000"/>
                <w:szCs w:val="22"/>
              </w:rPr>
              <w:t xml:space="preserve">-15,993 </w:t>
            </w:r>
          </w:p>
        </w:tc>
      </w:tr>
    </w:tbl>
    <w:p w14:paraId="0B0F1037" w14:textId="239A9F26" w:rsidR="00624BFA" w:rsidRPr="003349CC" w:rsidRDefault="00624BFA" w:rsidP="003349CC">
      <w:pPr>
        <w:pStyle w:val="SWAHeading3"/>
        <w:spacing w:before="0"/>
        <w:rPr>
          <w:color w:val="808080" w:themeColor="background1" w:themeShade="80"/>
          <w:sz w:val="18"/>
          <w:szCs w:val="20"/>
        </w:rPr>
      </w:pPr>
      <w:r w:rsidRPr="003349CC">
        <w:rPr>
          <w:i/>
          <w:color w:val="808080" w:themeColor="background1" w:themeShade="80"/>
          <w:sz w:val="18"/>
          <w:szCs w:val="20"/>
        </w:rPr>
        <w:t>** The quantified gross benefits should be read in conjunction with the non-quantifiable benefits set out in Section 5.2 and 16.1.</w:t>
      </w:r>
    </w:p>
    <w:p w14:paraId="190C9A0F" w14:textId="4ABE3B5D" w:rsidR="004F231B" w:rsidRPr="003349CC" w:rsidRDefault="008906C0" w:rsidP="003349CC">
      <w:pPr>
        <w:pStyle w:val="SWAHeading3"/>
      </w:pPr>
      <w:r>
        <w:t>Recommended option</w:t>
      </w:r>
    </w:p>
    <w:tbl>
      <w:tblPr>
        <w:tblStyle w:val="TableGrid"/>
        <w:tblW w:w="0" w:type="auto"/>
        <w:tblLook w:val="04A0" w:firstRow="1" w:lastRow="0" w:firstColumn="1" w:lastColumn="0" w:noHBand="0" w:noVBand="1"/>
      </w:tblPr>
      <w:tblGrid>
        <w:gridCol w:w="9016"/>
      </w:tblGrid>
      <w:tr w:rsidR="00DE4492" w14:paraId="66533030" w14:textId="77777777" w:rsidTr="001A6564">
        <w:tc>
          <w:tcPr>
            <w:tcW w:w="9016" w:type="dxa"/>
            <w:tcBorders>
              <w:top w:val="single" w:sz="4" w:space="0" w:color="DAE3F8" w:themeColor="accent1" w:themeTint="33"/>
              <w:left w:val="single" w:sz="4" w:space="0" w:color="DAE3F8" w:themeColor="accent1" w:themeTint="33"/>
              <w:bottom w:val="single" w:sz="4" w:space="0" w:color="DAE3F8" w:themeColor="accent1" w:themeTint="33"/>
              <w:right w:val="single" w:sz="4" w:space="0" w:color="DAE3F8" w:themeColor="accent1" w:themeTint="33"/>
            </w:tcBorders>
            <w:shd w:val="clear" w:color="auto" w:fill="DAE3F8" w:themeFill="accent1" w:themeFillTint="33"/>
          </w:tcPr>
          <w:p w14:paraId="14FC2AB0" w14:textId="579A397C" w:rsidR="00580FC1" w:rsidRPr="00580FC1" w:rsidRDefault="00EA37A4" w:rsidP="003349CC">
            <w:pPr>
              <w:spacing w:before="240"/>
              <w:contextualSpacing w:val="0"/>
            </w:pPr>
            <w:bookmarkStart w:id="576" w:name="_Toc196204871"/>
            <w:bookmarkStart w:id="577" w:name="_Hlk194671656"/>
            <w:r>
              <w:t xml:space="preserve">It is recommended WHS ministers agree to the health-based recommendation for the WEL for </w:t>
            </w:r>
            <w:r w:rsidR="00580FC1">
              <w:t>respirable crystalline silica (RCS)</w:t>
            </w:r>
            <w:r>
              <w:t xml:space="preserve"> (</w:t>
            </w:r>
            <w:r w:rsidRPr="005C575C">
              <w:rPr>
                <w:b/>
                <w:bCs/>
              </w:rPr>
              <w:t>Option 2</w:t>
            </w:r>
            <w:r>
              <w:t xml:space="preserve">): TWA of </w:t>
            </w:r>
            <w:r w:rsidRPr="0048681A">
              <w:t>0.</w:t>
            </w:r>
            <w:r>
              <w:t>0</w:t>
            </w:r>
            <w:r w:rsidRPr="0048681A">
              <w:t>2</w:t>
            </w:r>
            <w:r>
              <w:t>5</w:t>
            </w:r>
            <w:r w:rsidRPr="0048681A">
              <w:t xml:space="preserve"> mg/m</w:t>
            </w:r>
            <w:r w:rsidRPr="0048681A">
              <w:rPr>
                <w:vertAlign w:val="superscript"/>
              </w:rPr>
              <w:t>3</w:t>
            </w:r>
            <w:r>
              <w:t xml:space="preserve">. </w:t>
            </w:r>
            <w:r w:rsidR="00580FC1" w:rsidRPr="00580FC1">
              <w:t>This recommendation is based on the following considerations:</w:t>
            </w:r>
          </w:p>
          <w:p w14:paraId="28FE6659" w14:textId="367A2FA0" w:rsidR="00580FC1" w:rsidRPr="00580FC1" w:rsidRDefault="00580FC1" w:rsidP="003349CC">
            <w:pPr>
              <w:numPr>
                <w:ilvl w:val="0"/>
                <w:numId w:val="69"/>
              </w:numPr>
              <w:contextualSpacing w:val="0"/>
            </w:pPr>
            <w:r w:rsidRPr="00580FC1">
              <w:t xml:space="preserve">that the proposed WEL for </w:t>
            </w:r>
            <w:r>
              <w:t>RCS</w:t>
            </w:r>
            <w:r w:rsidRPr="00580FC1">
              <w:t xml:space="preserve"> </w:t>
            </w:r>
            <w:r w:rsidR="00EE6282">
              <w:t>aligns with</w:t>
            </w:r>
            <w:r w:rsidRPr="00580FC1">
              <w:t xml:space="preserve"> the object of the model WHS Act is to protect workers and others from harm to their health, safety and welfare through the elimination or minimisation of risks,</w:t>
            </w:r>
          </w:p>
          <w:p w14:paraId="42A937F4" w14:textId="794FE902" w:rsidR="00580FC1" w:rsidRPr="00580FC1" w:rsidRDefault="00580FC1" w:rsidP="003349CC">
            <w:pPr>
              <w:numPr>
                <w:ilvl w:val="0"/>
                <w:numId w:val="69"/>
              </w:numPr>
              <w:contextualSpacing w:val="0"/>
            </w:pPr>
            <w:r w:rsidRPr="0032529B">
              <w:t xml:space="preserve">the scientific evidence </w:t>
            </w:r>
            <w:r w:rsidR="00372E31" w:rsidRPr="0032529B">
              <w:t>that</w:t>
            </w:r>
            <w:r w:rsidR="00372E31" w:rsidRPr="00721944">
              <w:t xml:space="preserve"> </w:t>
            </w:r>
            <w:r w:rsidR="00EE6282" w:rsidRPr="00721944">
              <w:t>indicates the proposed</w:t>
            </w:r>
            <w:r w:rsidR="00372E31" w:rsidRPr="0032529B">
              <w:t xml:space="preserve"> health-based </w:t>
            </w:r>
            <w:r w:rsidR="00EE6282" w:rsidRPr="00721944">
              <w:t>WEL</w:t>
            </w:r>
            <w:r w:rsidR="00372E31" w:rsidRPr="0032529B">
              <w:t xml:space="preserve"> is </w:t>
            </w:r>
            <w:r w:rsidRPr="0032529B">
              <w:t>protective of worker</w:t>
            </w:r>
            <w:r w:rsidR="0032529B" w:rsidRPr="00721944">
              <w:t>s</w:t>
            </w:r>
            <w:r w:rsidR="00372E31" w:rsidRPr="00721944">
              <w:t>,</w:t>
            </w:r>
          </w:p>
          <w:p w14:paraId="70D45A63" w14:textId="7899E4D1" w:rsidR="00580FC1" w:rsidRPr="00580FC1" w:rsidRDefault="008906C0" w:rsidP="003349CC">
            <w:pPr>
              <w:numPr>
                <w:ilvl w:val="0"/>
                <w:numId w:val="69"/>
              </w:numPr>
              <w:contextualSpacing w:val="0"/>
            </w:pPr>
            <w:r>
              <w:t xml:space="preserve">that some </w:t>
            </w:r>
            <w:r w:rsidRPr="00AE318D">
              <w:t>stakeholder</w:t>
            </w:r>
            <w:r>
              <w:t>s</w:t>
            </w:r>
            <w:r w:rsidRPr="00AE318D">
              <w:t xml:space="preserve"> views and comments on the proposed WEL</w:t>
            </w:r>
            <w:r>
              <w:t xml:space="preserve"> were in agreement that the WEL for RCS should be protective of workers, in line with the objectives of the model WHS Act</w:t>
            </w:r>
            <w:r w:rsidR="00580FC1" w:rsidRPr="00580FC1">
              <w:t>, and</w:t>
            </w:r>
          </w:p>
          <w:p w14:paraId="1D9C8480" w14:textId="1C653D0E" w:rsidR="00580FC1" w:rsidRPr="00580FC1" w:rsidRDefault="00580FC1" w:rsidP="003349CC">
            <w:pPr>
              <w:numPr>
                <w:ilvl w:val="0"/>
                <w:numId w:val="69"/>
              </w:numPr>
              <w:contextualSpacing w:val="0"/>
            </w:pPr>
            <w:r w:rsidRPr="00580FC1">
              <w:t xml:space="preserve">the </w:t>
            </w:r>
            <w:r w:rsidR="00A504F2">
              <w:t xml:space="preserve">net </w:t>
            </w:r>
            <w:r w:rsidRPr="00580FC1">
              <w:t>benefit</w:t>
            </w:r>
            <w:r w:rsidR="00A504F2">
              <w:t xml:space="preserve"> expected of the proposed change</w:t>
            </w:r>
            <w:r w:rsidR="0032529B">
              <w:t xml:space="preserve">, </w:t>
            </w:r>
            <w:r w:rsidR="00595C9C">
              <w:t xml:space="preserve">in the particular the protection of workers from </w:t>
            </w:r>
            <w:r w:rsidR="00595C9C" w:rsidRPr="00595C9C">
              <w:t>fibrosis, silicosis</w:t>
            </w:r>
            <w:r w:rsidR="00595C9C" w:rsidRPr="00595C9C" w:rsidDel="008B61F5">
              <w:t xml:space="preserve"> and </w:t>
            </w:r>
            <w:r w:rsidR="00595C9C" w:rsidRPr="00595C9C">
              <w:t>lung cancer</w:t>
            </w:r>
            <w:r w:rsidR="00595C9C">
              <w:t xml:space="preserve">. </w:t>
            </w:r>
          </w:p>
          <w:bookmarkEnd w:id="576"/>
          <w:p w14:paraId="07230A6A" w14:textId="62A2082B" w:rsidR="00DE4492" w:rsidRPr="00DA0793" w:rsidRDefault="00DF42D1" w:rsidP="003349CC">
            <w:pPr>
              <w:pStyle w:val="Paragraph"/>
              <w:keepNext w:val="0"/>
              <w:rPr>
                <w:lang w:eastAsia="en-US"/>
              </w:rPr>
            </w:pPr>
            <w:r w:rsidRPr="00560E0D">
              <w:t xml:space="preserve">It </w:t>
            </w:r>
            <w:r w:rsidRPr="008B1DDD">
              <w:t xml:space="preserve">is also recommended WHS ministers agree </w:t>
            </w:r>
            <w:r w:rsidRPr="00BA36C4">
              <w:t>a transition</w:t>
            </w:r>
            <w:r w:rsidRPr="008B1DDD">
              <w:t xml:space="preserve"> period for </w:t>
            </w:r>
            <w:r>
              <w:t>RCS</w:t>
            </w:r>
            <w:r w:rsidRPr="008B1DDD">
              <w:t xml:space="preserve"> </w:t>
            </w:r>
            <w:r w:rsidRPr="00BA36C4">
              <w:t>aligned to</w:t>
            </w:r>
            <w:r w:rsidRPr="008B1DDD">
              <w:t xml:space="preserve"> the 1 December 2026 implementation date for the </w:t>
            </w:r>
            <w:r w:rsidRPr="008B1DDD">
              <w:rPr>
                <w:i/>
              </w:rPr>
              <w:t>Workplace exposure limits for airborne contaminants</w:t>
            </w:r>
            <w:r w:rsidRPr="008B1DDD">
              <w:t>.</w:t>
            </w:r>
            <w:r>
              <w:t xml:space="preserve">  </w:t>
            </w:r>
          </w:p>
        </w:tc>
      </w:tr>
      <w:bookmarkEnd w:id="577"/>
    </w:tbl>
    <w:p w14:paraId="794EC4D3" w14:textId="692E9478" w:rsidR="002E5A50" w:rsidRPr="002E5A50" w:rsidRDefault="002E5A50" w:rsidP="00FB18E4">
      <w:pPr>
        <w:pStyle w:val="NoSpacing"/>
        <w:rPr>
          <w:lang w:eastAsia="en-US"/>
        </w:rPr>
      </w:pPr>
    </w:p>
    <w:p w14:paraId="72CCDA71" w14:textId="6F6076F9" w:rsidR="000B51DC" w:rsidRDefault="00565900" w:rsidP="007966C0">
      <w:pPr>
        <w:pStyle w:val="SWAHeading1"/>
      </w:pPr>
      <w:bookmarkStart w:id="578" w:name="_Toc181003137"/>
      <w:bookmarkStart w:id="579" w:name="_Toc193192747"/>
      <w:bookmarkStart w:id="580" w:name="_Toc196204872"/>
      <w:bookmarkStart w:id="581" w:name="_Toc179376608"/>
      <w:r>
        <w:lastRenderedPageBreak/>
        <w:t xml:space="preserve"> </w:t>
      </w:r>
      <w:bookmarkStart w:id="582" w:name="_Toc219216922"/>
      <w:r w:rsidR="00DC2718">
        <w:t>Detailed impact assessment for t</w:t>
      </w:r>
      <w:r w:rsidR="000B51DC">
        <w:t>itanium dioxide</w:t>
      </w:r>
      <w:bookmarkEnd w:id="578"/>
      <w:bookmarkEnd w:id="579"/>
      <w:bookmarkEnd w:id="580"/>
      <w:bookmarkEnd w:id="582"/>
      <w:r w:rsidR="000B51DC">
        <w:t xml:space="preserve"> </w:t>
      </w:r>
      <w:bookmarkEnd w:id="581"/>
    </w:p>
    <w:tbl>
      <w:tblPr>
        <w:tblStyle w:val="TableGrid"/>
        <w:tblW w:w="0" w:type="auto"/>
        <w:tblLook w:val="04A0" w:firstRow="1" w:lastRow="0" w:firstColumn="1" w:lastColumn="0" w:noHBand="0" w:noVBand="1"/>
      </w:tblPr>
      <w:tblGrid>
        <w:gridCol w:w="9016"/>
      </w:tblGrid>
      <w:tr w:rsidR="000B51DC" w14:paraId="273547FA" w14:textId="77777777" w:rsidTr="005904ED">
        <w:tc>
          <w:tcPr>
            <w:tcW w:w="90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37E528BF" w14:textId="77777777" w:rsidR="000B51DC" w:rsidRDefault="000B51DC">
            <w:pPr>
              <w:pStyle w:val="SWAHeading3"/>
              <w:keepNext/>
              <w:keepLines/>
            </w:pPr>
            <w:bookmarkStart w:id="583" w:name="_Toc193192748"/>
            <w:bookmarkStart w:id="584" w:name="_Toc196204873"/>
            <w:r>
              <w:t>Policy options for titanium dioxide</w:t>
            </w:r>
            <w:bookmarkEnd w:id="583"/>
            <w:bookmarkEnd w:id="584"/>
          </w:p>
          <w:p w14:paraId="6D58FF6D" w14:textId="771EF3B9" w:rsidR="000B51DC" w:rsidRDefault="000B51DC" w:rsidP="38A49B51">
            <w:pPr>
              <w:pStyle w:val="Paragraph"/>
              <w:rPr>
                <w:lang w:eastAsia="en-US"/>
              </w:rPr>
            </w:pPr>
            <w:r w:rsidRPr="38A49B51">
              <w:rPr>
                <w:lang w:eastAsia="en-US"/>
              </w:rPr>
              <w:t>Option 1 is to retain the current TWA of 10 mg/m</w:t>
            </w:r>
            <w:r w:rsidRPr="38A49B51">
              <w:rPr>
                <w:vertAlign w:val="superscript"/>
                <w:lang w:eastAsia="en-US"/>
              </w:rPr>
              <w:t>3</w:t>
            </w:r>
            <w:r w:rsidRPr="38A49B51">
              <w:rPr>
                <w:lang w:eastAsia="en-US"/>
              </w:rPr>
              <w:t xml:space="preserve">. </w:t>
            </w:r>
          </w:p>
          <w:p w14:paraId="6D8BCC9B" w14:textId="2E9755FB" w:rsidR="000B51DC" w:rsidRPr="00DA0793" w:rsidRDefault="000B51DC" w:rsidP="00E73095">
            <w:pPr>
              <w:pStyle w:val="Paragraph"/>
              <w:rPr>
                <w:lang w:eastAsia="en-US"/>
              </w:rPr>
            </w:pPr>
            <w:r>
              <w:rPr>
                <w:lang w:eastAsia="en-US"/>
              </w:rPr>
              <w:t>Option 2 is to change to the proposed</w:t>
            </w:r>
            <w:r w:rsidRPr="00484DA4">
              <w:rPr>
                <w:lang w:eastAsia="en-US"/>
              </w:rPr>
              <w:t xml:space="preserve"> </w:t>
            </w:r>
            <w:r>
              <w:rPr>
                <w:lang w:eastAsia="en-US"/>
              </w:rPr>
              <w:t>TWA of</w:t>
            </w:r>
            <w:r w:rsidR="00E73095">
              <w:rPr>
                <w:lang w:eastAsia="en-US"/>
              </w:rPr>
              <w:t xml:space="preserve"> </w:t>
            </w:r>
            <w:r>
              <w:rPr>
                <w:lang w:eastAsia="en-US"/>
              </w:rPr>
              <w:t>0.</w:t>
            </w:r>
            <w:r w:rsidR="00E73095">
              <w:rPr>
                <w:lang w:eastAsia="en-US"/>
              </w:rPr>
              <w:t>3</w:t>
            </w:r>
            <w:r>
              <w:rPr>
                <w:lang w:eastAsia="en-US"/>
              </w:rPr>
              <w:t>mg/m</w:t>
            </w:r>
            <w:r w:rsidRPr="00AC463F">
              <w:rPr>
                <w:vertAlign w:val="superscript"/>
                <w:lang w:eastAsia="en-US"/>
              </w:rPr>
              <w:t>3</w:t>
            </w:r>
            <w:r>
              <w:rPr>
                <w:lang w:eastAsia="en-US"/>
              </w:rPr>
              <w:t xml:space="preserve"> for ultrafine/nanoscale titanium dioxide (respirable), and 2.4 mg/m</w:t>
            </w:r>
            <w:r w:rsidRPr="00514A29">
              <w:rPr>
                <w:vertAlign w:val="superscript"/>
                <w:lang w:eastAsia="en-US"/>
              </w:rPr>
              <w:t>3</w:t>
            </w:r>
            <w:r>
              <w:rPr>
                <w:lang w:eastAsia="en-US"/>
              </w:rPr>
              <w:t xml:space="preserve"> for fine/pigmentary grade titanium dioxide (respirable)</w:t>
            </w:r>
            <w:r w:rsidR="00CF0D31">
              <w:rPr>
                <w:lang w:eastAsia="en-US"/>
              </w:rPr>
              <w:t xml:space="preserve"> - </w:t>
            </w:r>
            <w:r w:rsidR="00CF0D31" w:rsidRPr="00E73095">
              <w:rPr>
                <w:b/>
                <w:lang w:eastAsia="en-US"/>
              </w:rPr>
              <w:t>recommended</w:t>
            </w:r>
            <w:r>
              <w:rPr>
                <w:lang w:eastAsia="en-US"/>
              </w:rPr>
              <w:t xml:space="preserve">. </w:t>
            </w:r>
          </w:p>
        </w:tc>
      </w:tr>
    </w:tbl>
    <w:p w14:paraId="29B2EC75" w14:textId="2614F320" w:rsidR="00524178" w:rsidRDefault="000B3603" w:rsidP="005904ED">
      <w:pPr>
        <w:pStyle w:val="SWAHeading2"/>
        <w:ind w:left="709"/>
      </w:pPr>
      <w:bookmarkStart w:id="585" w:name="_Toc196204874"/>
      <w:bookmarkStart w:id="586" w:name="_Toc219216923"/>
      <w:bookmarkStart w:id="587" w:name="_Toc193192749"/>
      <w:r>
        <w:t xml:space="preserve">Benefits for proposed WEL </w:t>
      </w:r>
      <w:r w:rsidR="007C57E5">
        <w:t>for titanium</w:t>
      </w:r>
      <w:r w:rsidR="00524178">
        <w:t xml:space="preserve"> dioxide</w:t>
      </w:r>
      <w:bookmarkEnd w:id="585"/>
      <w:bookmarkEnd w:id="586"/>
    </w:p>
    <w:p w14:paraId="22C1A453" w14:textId="3156EC08" w:rsidR="00524178" w:rsidRDefault="00694033" w:rsidP="00524178">
      <w:pPr>
        <w:pStyle w:val="SWAHeading3"/>
      </w:pPr>
      <w:bookmarkStart w:id="588" w:name="_Toc196204875"/>
      <w:r>
        <w:t>Health</w:t>
      </w:r>
      <w:r w:rsidR="007C57E5">
        <w:t xml:space="preserve"> benefits of the </w:t>
      </w:r>
      <w:r>
        <w:t>proposed WEL for titanium dioxide</w:t>
      </w:r>
      <w:bookmarkEnd w:id="588"/>
    </w:p>
    <w:p w14:paraId="364FD2F3" w14:textId="2EC3B0BD" w:rsidR="008962D2" w:rsidRDefault="008962D2" w:rsidP="007C57E5">
      <w:pPr>
        <w:pStyle w:val="Paragraph"/>
      </w:pPr>
      <w:r w:rsidRPr="008962D2">
        <w:t>The proposed TWA of 0.3 mg/m</w:t>
      </w:r>
      <w:r w:rsidRPr="008962D2">
        <w:rPr>
          <w:vertAlign w:val="superscript"/>
        </w:rPr>
        <w:t>3</w:t>
      </w:r>
      <w:r w:rsidRPr="008962D2">
        <w:t xml:space="preserve"> for ultrafine/nanoscale titanium dioxide and 2.4 mg/m</w:t>
      </w:r>
      <w:r w:rsidRPr="008962D2">
        <w:rPr>
          <w:vertAlign w:val="superscript"/>
        </w:rPr>
        <w:t>3</w:t>
      </w:r>
      <w:r w:rsidRPr="008962D2">
        <w:t xml:space="preserve"> fine/pigmentary grade titanium dioxide </w:t>
      </w:r>
      <w:r>
        <w:t xml:space="preserve">will reduce the risk of workers developing lung cancer </w:t>
      </w:r>
      <w:r w:rsidR="00A05E9D">
        <w:t>in their working lifetime</w:t>
      </w:r>
      <w:r w:rsidR="006F5076">
        <w:t xml:space="preserve"> </w:t>
      </w:r>
      <w:sdt>
        <w:sdtPr>
          <w:id w:val="234365695"/>
          <w:citation/>
        </w:sdtPr>
        <w:sdtEndPr/>
        <w:sdtContent>
          <w:r w:rsidR="00685351">
            <w:fldChar w:fldCharType="begin"/>
          </w:r>
          <w:r w:rsidR="00685351">
            <w:instrText xml:space="preserve"> CITATION Nat11 \l 3081 </w:instrText>
          </w:r>
          <w:r w:rsidR="00685351">
            <w:fldChar w:fldCharType="separate"/>
          </w:r>
          <w:r w:rsidR="00490B21">
            <w:rPr>
              <w:noProof/>
            </w:rPr>
            <w:t>(National Insitute of Occupational Safety and Health, 2011)</w:t>
          </w:r>
          <w:r w:rsidR="00685351">
            <w:fldChar w:fldCharType="end"/>
          </w:r>
        </w:sdtContent>
      </w:sdt>
      <w:r w:rsidR="00A05E9D">
        <w:t>. It is</w:t>
      </w:r>
      <w:r w:rsidRPr="008962D2">
        <w:t xml:space="preserve"> likely to benefit the estimated 4,564 workers in Australia who are currently at risk of exposure to titanium dioxide each year. </w:t>
      </w:r>
    </w:p>
    <w:p w14:paraId="0F434851" w14:textId="723D219F" w:rsidR="00F26EB2" w:rsidRPr="00B91307" w:rsidRDefault="00E970A6" w:rsidP="003F6F5E">
      <w:pPr>
        <w:pStyle w:val="Paragraph"/>
      </w:pPr>
      <w:r w:rsidRPr="00B91307">
        <w:rPr>
          <w:rStyle w:val="2018ReviewBulletsChar"/>
          <w:sz w:val="22"/>
          <w:szCs w:val="22"/>
        </w:rPr>
        <w:t>T</w:t>
      </w:r>
      <w:r w:rsidR="0064782B" w:rsidRPr="00B91307">
        <w:t>he proposed</w:t>
      </w:r>
      <w:r w:rsidR="0064782B" w:rsidRPr="00B91307" w:rsidDel="00136F77">
        <w:t xml:space="preserve"> </w:t>
      </w:r>
      <w:r w:rsidR="0064782B" w:rsidRPr="00B91307">
        <w:t>TWA</w:t>
      </w:r>
      <w:r w:rsidR="0064782B" w:rsidRPr="00B91307" w:rsidDel="00F61D0B">
        <w:t xml:space="preserve"> </w:t>
      </w:r>
      <w:r w:rsidR="002979EB" w:rsidRPr="00B91307">
        <w:t>of 0.3 mg/m</w:t>
      </w:r>
      <w:r w:rsidR="002979EB" w:rsidRPr="00B91307">
        <w:rPr>
          <w:vertAlign w:val="superscript"/>
        </w:rPr>
        <w:t>3</w:t>
      </w:r>
      <w:r w:rsidR="002979EB" w:rsidRPr="00B91307">
        <w:t xml:space="preserve"> for ultrafine/nanoscale titanium dioxide and 2.4 mg/m</w:t>
      </w:r>
      <w:r w:rsidR="002979EB" w:rsidRPr="00B91307">
        <w:rPr>
          <w:vertAlign w:val="superscript"/>
        </w:rPr>
        <w:t>3</w:t>
      </w:r>
      <w:r w:rsidR="002979EB" w:rsidRPr="00B91307">
        <w:t xml:space="preserve"> fine/pigmentary grade titanium dioxide </w:t>
      </w:r>
      <w:r w:rsidRPr="00B91307">
        <w:t>was determined in accordance with the</w:t>
      </w:r>
      <w:r w:rsidR="0064782B" w:rsidRPr="00B91307">
        <w:t xml:space="preserve"> health-based methodology </w:t>
      </w:r>
      <w:r w:rsidRPr="00B91307">
        <w:t>agreed by</w:t>
      </w:r>
      <w:r w:rsidR="0064782B" w:rsidRPr="00B91307">
        <w:t xml:space="preserve"> WHS ministers agreed (and which relied on the scientific evidence available at the time of the review</w:t>
      </w:r>
      <w:r w:rsidRPr="00B91307">
        <w:t xml:space="preserve"> from trusted international and national sources</w:t>
      </w:r>
      <w:r w:rsidR="0064782B" w:rsidRPr="00B91307">
        <w:t>)</w:t>
      </w:r>
      <w:r w:rsidRPr="00B91307">
        <w:t>.</w:t>
      </w:r>
    </w:p>
    <w:p w14:paraId="4963FDB9" w14:textId="69DFC41C" w:rsidR="00F31AE6" w:rsidRPr="00B91307" w:rsidRDefault="00F31AE6" w:rsidP="003F6F5E">
      <w:pPr>
        <w:pStyle w:val="Paragraph"/>
      </w:pPr>
      <w:r w:rsidRPr="00B91307">
        <w:t>The evaluation for titanium dioxide</w:t>
      </w:r>
      <w:r w:rsidRPr="00B91307">
        <w:rPr>
          <w:rStyle w:val="FootnoteReference"/>
        </w:rPr>
        <w:footnoteReference w:id="308"/>
      </w:r>
      <w:r w:rsidRPr="00B91307">
        <w:t xml:space="preserve"> employed a weight of evidence approach, considering information from multiple agreed primary sources supported by information from agreed secondary sources </w:t>
      </w:r>
      <w:sdt>
        <w:sdtPr>
          <w:id w:val="1309586966"/>
          <w:citation/>
        </w:sdtPr>
        <w:sdtEndPr/>
        <w:sdtContent>
          <w:r w:rsidRPr="00B91307">
            <w:fldChar w:fldCharType="begin"/>
          </w:r>
          <w:r w:rsidRPr="00B91307">
            <w:instrText xml:space="preserve"> CITATION Saf181 \l 3081 </w:instrText>
          </w:r>
          <w:r w:rsidRPr="00B91307">
            <w:fldChar w:fldCharType="separate"/>
          </w:r>
          <w:r w:rsidR="00490B21">
            <w:rPr>
              <w:noProof/>
            </w:rPr>
            <w:t>(Safe Work Australia, 2018)</w:t>
          </w:r>
          <w:r w:rsidRPr="00B91307">
            <w:fldChar w:fldCharType="end"/>
          </w:r>
        </w:sdtContent>
      </w:sdt>
      <w:r w:rsidRPr="00B91307">
        <w:t>.</w:t>
      </w:r>
    </w:p>
    <w:p w14:paraId="5C8F9018" w14:textId="161BC171" w:rsidR="00654567" w:rsidRDefault="00F547E4" w:rsidP="00654567">
      <w:pPr>
        <w:rPr>
          <w:rStyle w:val="2018ReviewBulletsChar"/>
          <w:sz w:val="22"/>
          <w:szCs w:val="22"/>
        </w:rPr>
      </w:pPr>
      <w:r w:rsidRPr="00B91307">
        <w:rPr>
          <w:szCs w:val="22"/>
        </w:rPr>
        <w:t xml:space="preserve">Note: </w:t>
      </w:r>
      <w:r w:rsidR="00654567" w:rsidRPr="00B91307">
        <w:t xml:space="preserve">The proposed WEL differs from that in the published evaluation report. Safe Work Australia Members </w:t>
      </w:r>
      <w:r w:rsidR="00654567" w:rsidRPr="00B91307">
        <w:rPr>
          <w:rStyle w:val="2018ReviewBulletsChar"/>
          <w:sz w:val="22"/>
          <w:szCs w:val="22"/>
        </w:rPr>
        <w:t>considered the evidence from the agreed sources and stakeholder feedback received during the WES review an agreed the alternate health-based TWA.</w:t>
      </w:r>
    </w:p>
    <w:p w14:paraId="1FFC7E3C" w14:textId="43EA1814" w:rsidR="00DC2718" w:rsidRDefault="00F61DD4" w:rsidP="008E14B4">
      <w:pPr>
        <w:pStyle w:val="SWAHeading4"/>
      </w:pPr>
      <w:r>
        <w:t>International precedent</w:t>
      </w:r>
    </w:p>
    <w:p w14:paraId="0B2C201C" w14:textId="2DF149A9" w:rsidR="00426F25" w:rsidRDefault="00426F25" w:rsidP="00824863">
      <w:r>
        <w:t xml:space="preserve">The </w:t>
      </w:r>
      <w:r w:rsidR="00F61DD4">
        <w:t>proposed TWA</w:t>
      </w:r>
      <w:r w:rsidR="002B635E">
        <w:t>s</w:t>
      </w:r>
      <w:r w:rsidR="007869D6">
        <w:t xml:space="preserve"> for titanium dioxide </w:t>
      </w:r>
      <w:r>
        <w:t xml:space="preserve">are both </w:t>
      </w:r>
      <w:r w:rsidR="002B635E">
        <w:t xml:space="preserve">consistent with those </w:t>
      </w:r>
      <w:r w:rsidR="00E3213A">
        <w:t>recommended by</w:t>
      </w:r>
      <w:r w:rsidR="004014A1">
        <w:t xml:space="preserve"> the D</w:t>
      </w:r>
      <w:r w:rsidR="004014A1" w:rsidRPr="004014A1">
        <w:t>eutsche Forschungsgemeinschaft</w:t>
      </w:r>
      <w:r w:rsidR="007869D6">
        <w:t xml:space="preserve"> </w:t>
      </w:r>
      <w:r w:rsidR="00F31AE6">
        <w:t xml:space="preserve">(DFG) </w:t>
      </w:r>
      <w:r w:rsidR="007869D6">
        <w:t>in Germany</w:t>
      </w:r>
      <w:r w:rsidR="00EF70C6">
        <w:t xml:space="preserve"> and the United States’ National Institute of the </w:t>
      </w:r>
      <w:r>
        <w:t xml:space="preserve">Occupational Safety and Health (NIOSH) </w:t>
      </w:r>
      <w:sdt>
        <w:sdtPr>
          <w:id w:val="-454103419"/>
          <w:citation/>
        </w:sdtPr>
        <w:sdtEndPr/>
        <w:sdtContent>
          <w:r w:rsidR="00F77294" w:rsidRPr="00F77294">
            <w:fldChar w:fldCharType="begin"/>
          </w:r>
          <w:r w:rsidR="00F77294" w:rsidRPr="00F77294">
            <w:instrText xml:space="preserve"> CITATION Fornd \l 3081 </w:instrText>
          </w:r>
          <w:r w:rsidR="008D68BA">
            <w:instrText xml:space="preserve"> \m Nat11</w:instrText>
          </w:r>
          <w:r w:rsidR="00F77294" w:rsidRPr="00F77294">
            <w:fldChar w:fldCharType="separate"/>
          </w:r>
          <w:r w:rsidR="00490B21">
            <w:rPr>
              <w:noProof/>
            </w:rPr>
            <w:t>(Institute for Occupational Safety and Health of the German Social Accident Insurance, n.d.; National Insitute of Occupational Safety and Health, 2011)</w:t>
          </w:r>
          <w:r w:rsidR="00F77294" w:rsidRPr="00F77294">
            <w:fldChar w:fldCharType="end"/>
          </w:r>
        </w:sdtContent>
      </w:sdt>
      <w:r w:rsidR="004014A1">
        <w:t xml:space="preserve">. </w:t>
      </w:r>
    </w:p>
    <w:p w14:paraId="089C273C" w14:textId="77777777" w:rsidR="00426F25" w:rsidRDefault="00426F25" w:rsidP="00824863"/>
    <w:p w14:paraId="7D122743" w14:textId="36479CDE" w:rsidR="00824863" w:rsidRPr="00B91307" w:rsidRDefault="00824863" w:rsidP="00824863">
      <w:r w:rsidRPr="00B91307">
        <w:t xml:space="preserve">The DFG was </w:t>
      </w:r>
      <w:r w:rsidR="00426F25" w:rsidRPr="00B91307">
        <w:t xml:space="preserve">selected as a </w:t>
      </w:r>
      <w:r w:rsidRPr="00B91307">
        <w:t>primary source</w:t>
      </w:r>
      <w:r w:rsidR="00426F25" w:rsidRPr="00B91307">
        <w:rPr>
          <w:rFonts w:cs="Arial"/>
        </w:rPr>
        <w:t xml:space="preserve"> as they have international credibility, develop standards through consensus that are health-based and based on evaluation of appropriate data, and their documentation of evaluations is accessible and robust</w:t>
      </w:r>
      <w:r w:rsidR="00CA70D6" w:rsidRPr="00B91307">
        <w:rPr>
          <w:rFonts w:cs="Arial"/>
        </w:rPr>
        <w:t xml:space="preserve"> </w:t>
      </w:r>
      <w:sdt>
        <w:sdtPr>
          <w:id w:val="1979343017"/>
          <w:citation/>
        </w:sdtPr>
        <w:sdtEndPr/>
        <w:sdtContent>
          <w:r w:rsidR="00CA70D6" w:rsidRPr="00B91307">
            <w:fldChar w:fldCharType="begin"/>
          </w:r>
          <w:r w:rsidR="00CA70D6" w:rsidRPr="00B91307">
            <w:instrText xml:space="preserve"> CITATION Saf181 \l 3081 </w:instrText>
          </w:r>
          <w:r w:rsidR="00CA70D6" w:rsidRPr="00B91307">
            <w:fldChar w:fldCharType="separate"/>
          </w:r>
          <w:r w:rsidR="00490B21">
            <w:rPr>
              <w:noProof/>
            </w:rPr>
            <w:t>(Safe Work Australia, 2018)</w:t>
          </w:r>
          <w:r w:rsidR="00CA70D6" w:rsidRPr="00B91307">
            <w:fldChar w:fldCharType="end"/>
          </w:r>
        </w:sdtContent>
      </w:sdt>
      <w:r w:rsidR="00CA70D6" w:rsidRPr="00B91307">
        <w:rPr>
          <w:rFonts w:cs="Arial"/>
        </w:rPr>
        <w:t>.</w:t>
      </w:r>
      <w:r w:rsidR="00427CA0" w:rsidRPr="00B91307">
        <w:t xml:space="preserve"> </w:t>
      </w:r>
      <w:r w:rsidR="00E40C1C" w:rsidRPr="00B91307">
        <w:t xml:space="preserve">NIOSH only met some of these criteria and was </w:t>
      </w:r>
      <w:r w:rsidR="00426F25" w:rsidRPr="00B91307">
        <w:t>selected as</w:t>
      </w:r>
      <w:r w:rsidR="00E40C1C" w:rsidRPr="00B91307">
        <w:t xml:space="preserve"> a secondary source. </w:t>
      </w:r>
    </w:p>
    <w:p w14:paraId="714411E2" w14:textId="40BCE0B6" w:rsidR="00F77294" w:rsidRDefault="00FC64A7" w:rsidP="00F61DD4">
      <w:r w:rsidRPr="00B91307">
        <w:lastRenderedPageBreak/>
        <w:t xml:space="preserve">Recommendations made by the DFG are used by Germany’s Federal Ministry of Labour and Social Affairs to set legally binding exposure limits in Germany </w:t>
      </w:r>
      <w:sdt>
        <w:sdtPr>
          <w:id w:val="1969464536"/>
          <w:citation/>
        </w:sdtPr>
        <w:sdtEndPr/>
        <w:sdtContent>
          <w:r w:rsidRPr="00B91307">
            <w:fldChar w:fldCharType="begin"/>
          </w:r>
          <w:r w:rsidRPr="00B91307">
            <w:instrText xml:space="preserve"> CITATION Ger25 \l 3081 </w:instrText>
          </w:r>
          <w:r w:rsidRPr="00B91307">
            <w:fldChar w:fldCharType="separate"/>
          </w:r>
          <w:r w:rsidR="00490B21">
            <w:rPr>
              <w:noProof/>
            </w:rPr>
            <w:t>(German Research Foundation, 2025)</w:t>
          </w:r>
          <w:r w:rsidRPr="00B91307">
            <w:fldChar w:fldCharType="end"/>
          </w:r>
        </w:sdtContent>
      </w:sdt>
      <w:r w:rsidRPr="00B91307">
        <w:t>.</w:t>
      </w:r>
    </w:p>
    <w:p w14:paraId="5A313EBA" w14:textId="77777777" w:rsidR="00F77294" w:rsidRDefault="00F77294" w:rsidP="00F61DD4"/>
    <w:p w14:paraId="7FF1AC4D" w14:textId="3BE059D7" w:rsidR="00F61DD4" w:rsidRPr="00F61DD4" w:rsidRDefault="002E1C76" w:rsidP="00386562">
      <w:r>
        <w:t>A TWA of 0.3 mg/m</w:t>
      </w:r>
      <w:r w:rsidRPr="00386562">
        <w:rPr>
          <w:vertAlign w:val="superscript"/>
        </w:rPr>
        <w:t>3</w:t>
      </w:r>
      <w:r>
        <w:t xml:space="preserve"> </w:t>
      </w:r>
      <w:r w:rsidR="00D17FD6">
        <w:t xml:space="preserve">(nanoparticles, as Ti) </w:t>
      </w:r>
      <w:r>
        <w:t>has also been</w:t>
      </w:r>
      <w:r w:rsidR="00087A5A">
        <w:t xml:space="preserve"> </w:t>
      </w:r>
      <w:r w:rsidR="00363C8B">
        <w:t>recommended</w:t>
      </w:r>
      <w:r>
        <w:t xml:space="preserve"> </w:t>
      </w:r>
      <w:r w:rsidR="00315165">
        <w:t xml:space="preserve">by the </w:t>
      </w:r>
      <w:r>
        <w:t xml:space="preserve">Japan </w:t>
      </w:r>
      <w:r w:rsidR="00315165">
        <w:t>Society for Occupational Health</w:t>
      </w:r>
      <w:r w:rsidR="00D17FD6">
        <w:t xml:space="preserve"> </w:t>
      </w:r>
      <w:sdt>
        <w:sdtPr>
          <w:id w:val="-322437502"/>
          <w:citation/>
        </w:sdtPr>
        <w:sdtEndPr/>
        <w:sdtContent>
          <w:r w:rsidR="00CE3B59">
            <w:fldChar w:fldCharType="begin"/>
          </w:r>
          <w:r w:rsidR="00CE3B59">
            <w:instrText xml:space="preserve"> CITATION Fornd \l 3081 </w:instrText>
          </w:r>
          <w:r w:rsidR="00CE3B59">
            <w:fldChar w:fldCharType="separate"/>
          </w:r>
          <w:r w:rsidR="00490B21">
            <w:rPr>
              <w:noProof/>
            </w:rPr>
            <w:t>(Institute for Occupational Safety and Health of the German Social Accident Insurance, n.d.)</w:t>
          </w:r>
          <w:r w:rsidR="00CE3B59">
            <w:fldChar w:fldCharType="end"/>
          </w:r>
        </w:sdtContent>
      </w:sdt>
      <w:r w:rsidR="00315165">
        <w:t xml:space="preserve">. </w:t>
      </w:r>
    </w:p>
    <w:p w14:paraId="75BF70ED" w14:textId="72E3FE53" w:rsidR="003C22CC" w:rsidRDefault="003C22CC" w:rsidP="00FD2D30">
      <w:pPr>
        <w:pStyle w:val="SWAHeading4"/>
      </w:pPr>
      <w:r>
        <w:t>Quantifi</w:t>
      </w:r>
      <w:r w:rsidR="00FF3931">
        <w:t>able</w:t>
      </w:r>
      <w:r>
        <w:t xml:space="preserve"> health benefits for the proposed WEL for titanium dioxide</w:t>
      </w:r>
    </w:p>
    <w:p w14:paraId="4C5C3054" w14:textId="2FA0B7DB" w:rsidR="003C22CC" w:rsidRPr="003723DA" w:rsidRDefault="003C22CC" w:rsidP="003C22CC">
      <w:pPr>
        <w:pStyle w:val="Paragraph"/>
        <w:keepNext w:val="0"/>
        <w:spacing w:before="240" w:after="120"/>
      </w:pPr>
      <w:r w:rsidRPr="003723DA">
        <w:t>Quantifi</w:t>
      </w:r>
      <w:r w:rsidR="00FF3931">
        <w:t>able</w:t>
      </w:r>
      <w:r w:rsidRPr="003723DA">
        <w:t xml:space="preserve"> health benefits were not estimated for </w:t>
      </w:r>
      <w:r>
        <w:t>titanium dioxide</w:t>
      </w:r>
      <w:r w:rsidRPr="003723DA">
        <w:t xml:space="preserve">. </w:t>
      </w:r>
      <w:r w:rsidR="00155FEC" w:rsidRPr="00155FEC">
        <w:t xml:space="preserve">This is because no estimates of the current burden of disease attributable to workplace exposure to </w:t>
      </w:r>
      <w:r w:rsidR="00155FEC">
        <w:t>titanium dioxide</w:t>
      </w:r>
      <w:r w:rsidR="00155FEC" w:rsidRPr="00155FEC">
        <w:t xml:space="preserve"> were able to be identified through research or stakeholder engagement</w:t>
      </w:r>
      <w:r w:rsidR="00155FEC" w:rsidRPr="00155FEC" w:rsidDel="00155FEC">
        <w:t xml:space="preserve"> </w:t>
      </w:r>
    </w:p>
    <w:p w14:paraId="07B6E6A7" w14:textId="620FE6F0" w:rsidR="003C22CC" w:rsidRDefault="003C22CC" w:rsidP="00E970A6">
      <w:pPr>
        <w:pStyle w:val="Paragraph"/>
        <w:keepNext w:val="0"/>
      </w:pPr>
      <w:r w:rsidRPr="003723DA">
        <w:t>However, a lack of data does not mean that the introduction of the proposed WEL will not result in health benefits for workers</w:t>
      </w:r>
      <w:r>
        <w:t>, communities and businesses</w:t>
      </w:r>
      <w:r w:rsidRPr="003723DA">
        <w:t>. As the health evidence has shown, the proposed TWA</w:t>
      </w:r>
      <w:r>
        <w:t xml:space="preserve"> for titanium dioxide</w:t>
      </w:r>
      <w:r w:rsidRPr="003723DA">
        <w:t xml:space="preserve"> is at a level </w:t>
      </w:r>
      <w:r>
        <w:t xml:space="preserve">that reduces the risk </w:t>
      </w:r>
      <w:r w:rsidR="00A93AB6">
        <w:t xml:space="preserve">of lung cancer over a workers’ </w:t>
      </w:r>
      <w:r w:rsidR="00CE2BED">
        <w:t>working life</w:t>
      </w:r>
      <w:r w:rsidR="00A93AB6">
        <w:t xml:space="preserve">. </w:t>
      </w:r>
      <w:r>
        <w:t xml:space="preserve"> </w:t>
      </w:r>
    </w:p>
    <w:p w14:paraId="0D788C13" w14:textId="18B5D3B0" w:rsidR="00D60671" w:rsidRDefault="00CE2BED" w:rsidP="00BA3CA7">
      <w:pPr>
        <w:pStyle w:val="SWAHeading4"/>
      </w:pPr>
      <w:r>
        <w:t>A</w:t>
      </w:r>
      <w:r w:rsidR="00D60671">
        <w:t>dverse health effects associated with titanium dioxide</w:t>
      </w:r>
    </w:p>
    <w:p w14:paraId="5D77E56F" w14:textId="7FABA2F0" w:rsidR="00533F30" w:rsidRDefault="00706535" w:rsidP="00E970A6">
      <w:pPr>
        <w:keepNext/>
        <w:keepLines/>
        <w:contextualSpacing w:val="0"/>
      </w:pPr>
      <w:r w:rsidRPr="00706535">
        <w:t xml:space="preserve">In addition to lung cancer, the proposed WEL for </w:t>
      </w:r>
      <w:r>
        <w:t xml:space="preserve">titanium </w:t>
      </w:r>
      <w:r w:rsidR="00C874B0">
        <w:t>dioxide</w:t>
      </w:r>
      <w:r w:rsidRPr="00706535">
        <w:t xml:space="preserve"> can also protect workers </w:t>
      </w:r>
      <w:r w:rsidR="00567E6E">
        <w:t>from</w:t>
      </w:r>
      <w:r w:rsidRPr="00706535">
        <w:t xml:space="preserve"> developing the following adverse health effects</w:t>
      </w:r>
      <w:r w:rsidR="00B60041">
        <w:t xml:space="preserve"> like</w:t>
      </w:r>
      <w:r w:rsidR="00533F30">
        <w:t>:</w:t>
      </w:r>
    </w:p>
    <w:p w14:paraId="3E7E3706" w14:textId="71C5B749" w:rsidR="00C874B0" w:rsidRDefault="00B60041" w:rsidP="00A2768E">
      <w:pPr>
        <w:pStyle w:val="ListParagraph"/>
        <w:numPr>
          <w:ilvl w:val="0"/>
          <w:numId w:val="77"/>
        </w:numPr>
        <w:contextualSpacing w:val="0"/>
      </w:pPr>
      <w:r>
        <w:t xml:space="preserve">pulmonary inflammation </w:t>
      </w:r>
      <w:sdt>
        <w:sdtPr>
          <w:id w:val="1434627961"/>
          <w:citation/>
        </w:sdtPr>
        <w:sdtEndPr/>
        <w:sdtContent>
          <w:r w:rsidR="007507BC">
            <w:fldChar w:fldCharType="begin"/>
          </w:r>
          <w:r w:rsidR="007507BC">
            <w:instrText xml:space="preserve"> CITATION Nat11 \l 3081 </w:instrText>
          </w:r>
          <w:r w:rsidR="007507BC">
            <w:fldChar w:fldCharType="separate"/>
          </w:r>
          <w:r w:rsidR="00490B21">
            <w:rPr>
              <w:noProof/>
            </w:rPr>
            <w:t>(National Insitute of Occupational Safety and Health, 2011)</w:t>
          </w:r>
          <w:r w:rsidR="007507BC">
            <w:fldChar w:fldCharType="end"/>
          </w:r>
        </w:sdtContent>
      </w:sdt>
      <w:r w:rsidR="00533F30">
        <w:t>,</w:t>
      </w:r>
    </w:p>
    <w:p w14:paraId="771DA77A" w14:textId="3914F577" w:rsidR="00533F30" w:rsidRDefault="00573E95" w:rsidP="00A2768E">
      <w:pPr>
        <w:pStyle w:val="ListParagraph"/>
        <w:numPr>
          <w:ilvl w:val="0"/>
          <w:numId w:val="77"/>
        </w:numPr>
        <w:contextualSpacing w:val="0"/>
      </w:pPr>
      <w:r>
        <w:t>respiratory tract irritation</w:t>
      </w:r>
      <w:r w:rsidR="006946AB">
        <w:t xml:space="preserve"> and pulmonary overload</w:t>
      </w:r>
      <w:r w:rsidR="008E47D5">
        <w:t xml:space="preserve"> </w:t>
      </w:r>
      <w:sdt>
        <w:sdtPr>
          <w:id w:val="-1786118601"/>
          <w:citation/>
        </w:sdtPr>
        <w:sdtEndPr/>
        <w:sdtContent>
          <w:r w:rsidR="00C874B0">
            <w:fldChar w:fldCharType="begin"/>
          </w:r>
          <w:r w:rsidR="00C874B0">
            <w:instrText xml:space="preserve"> CITATION Saf21 \l 3081 </w:instrText>
          </w:r>
          <w:r w:rsidR="00C874B0">
            <w:fldChar w:fldCharType="separate"/>
          </w:r>
          <w:r w:rsidR="00490B21">
            <w:rPr>
              <w:noProof/>
            </w:rPr>
            <w:t>(Safe Work Australia, 2021)</w:t>
          </w:r>
          <w:r w:rsidR="00C874B0">
            <w:fldChar w:fldCharType="end"/>
          </w:r>
        </w:sdtContent>
      </w:sdt>
      <w:r w:rsidR="00C874B0">
        <w:t xml:space="preserve">. </w:t>
      </w:r>
    </w:p>
    <w:p w14:paraId="4FCFF9A7" w14:textId="345BED09" w:rsidR="005B49C3" w:rsidRPr="005B49C3" w:rsidRDefault="00BB0F08" w:rsidP="00567E6E">
      <w:pPr>
        <w:contextualSpacing w:val="0"/>
      </w:pPr>
      <w:r>
        <w:t xml:space="preserve">Animal studies have also shown titanium dioxide can </w:t>
      </w:r>
      <w:r w:rsidR="00B70B0D">
        <w:t>cause</w:t>
      </w:r>
      <w:r>
        <w:t xml:space="preserve"> </w:t>
      </w:r>
      <w:r w:rsidR="000D0DF5">
        <w:t>respiratory sensitisation to other allergens</w:t>
      </w:r>
      <w:r w:rsidR="00C71F49">
        <w:t>, while chronic</w:t>
      </w:r>
      <w:r w:rsidR="007A2575">
        <w:t xml:space="preserve"> inhalation</w:t>
      </w:r>
      <w:r w:rsidR="00C71F49">
        <w:t xml:space="preserve"> exposures to titanium dioxide </w:t>
      </w:r>
      <w:r w:rsidR="00CC673D">
        <w:t>may also cause pulmonary damage</w:t>
      </w:r>
      <w:r>
        <w:t xml:space="preserve"> and</w:t>
      </w:r>
      <w:r w:rsidR="00CC673D">
        <w:t xml:space="preserve"> fibrosis </w:t>
      </w:r>
      <w:r w:rsidR="009D07C0">
        <w:t>due to impairment of lung clearance mechanisms</w:t>
      </w:r>
      <w:r w:rsidR="00D72BE4">
        <w:t xml:space="preserve"> </w:t>
      </w:r>
      <w:sdt>
        <w:sdtPr>
          <w:id w:val="1583257429"/>
          <w:citation/>
        </w:sdtPr>
        <w:sdtEndPr/>
        <w:sdtContent>
          <w:r w:rsidR="00D72BE4">
            <w:fldChar w:fldCharType="begin"/>
          </w:r>
          <w:r w:rsidR="00D72BE4">
            <w:instrText xml:space="preserve"> CITATION Nat20 \l 3081 </w:instrText>
          </w:r>
          <w:r w:rsidR="00D72BE4">
            <w:fldChar w:fldCharType="separate"/>
          </w:r>
          <w:r w:rsidR="00490B21">
            <w:rPr>
              <w:noProof/>
            </w:rPr>
            <w:t>(National Industrial Chemicals Notification and Assessment Scheme, 2020)</w:t>
          </w:r>
          <w:r w:rsidR="00D72BE4">
            <w:fldChar w:fldCharType="end"/>
          </w:r>
        </w:sdtContent>
      </w:sdt>
      <w:r w:rsidR="006201B3">
        <w:t xml:space="preserve">. </w:t>
      </w:r>
    </w:p>
    <w:p w14:paraId="78A95CB2" w14:textId="16EF540D" w:rsidR="005B49C3" w:rsidRPr="005B49C3" w:rsidRDefault="005B49C3" w:rsidP="00C13330">
      <w:pPr>
        <w:pStyle w:val="SWAHeading3"/>
      </w:pPr>
      <w:bookmarkStart w:id="589" w:name="_Toc196204876"/>
      <w:r w:rsidRPr="005B49C3">
        <w:t xml:space="preserve">Financial benefits of the proposed WEL for </w:t>
      </w:r>
      <w:r w:rsidR="00C44071">
        <w:t xml:space="preserve">titanium </w:t>
      </w:r>
      <w:r w:rsidRPr="005B49C3">
        <w:t>dioxide</w:t>
      </w:r>
      <w:bookmarkEnd w:id="589"/>
    </w:p>
    <w:p w14:paraId="09AF7E03" w14:textId="43BA1038" w:rsidR="00274F7F" w:rsidRPr="00274F7F" w:rsidRDefault="00274F7F" w:rsidP="00274F7F">
      <w:pPr>
        <w:pStyle w:val="SWAHeading4"/>
      </w:pPr>
      <w:r w:rsidRPr="00274F7F">
        <w:t>Quantifi</w:t>
      </w:r>
      <w:r w:rsidR="00FF3931">
        <w:t>able</w:t>
      </w:r>
      <w:r w:rsidRPr="00274F7F">
        <w:t xml:space="preserve"> financial benefits for the proposed WEL for </w:t>
      </w:r>
      <w:r>
        <w:t>titanium</w:t>
      </w:r>
      <w:r w:rsidRPr="00274F7F">
        <w:t xml:space="preserve"> dioxide</w:t>
      </w:r>
    </w:p>
    <w:p w14:paraId="1456217C" w14:textId="14059154" w:rsidR="005B49C3" w:rsidRPr="005B49C3" w:rsidRDefault="00FF3931" w:rsidP="005B49C3">
      <w:pPr>
        <w:pStyle w:val="Paragraph"/>
      </w:pPr>
      <w:r>
        <w:t>F</w:t>
      </w:r>
      <w:r w:rsidR="005B49C3" w:rsidRPr="005B49C3">
        <w:t xml:space="preserve">inancial benefits were not </w:t>
      </w:r>
      <w:r>
        <w:t xml:space="preserve">able to be quantified </w:t>
      </w:r>
      <w:r w:rsidR="005B49C3" w:rsidRPr="005B49C3">
        <w:t xml:space="preserve">for </w:t>
      </w:r>
      <w:r w:rsidR="00C44071">
        <w:t>titanium</w:t>
      </w:r>
      <w:r w:rsidR="00C44071" w:rsidRPr="005B49C3">
        <w:t xml:space="preserve"> </w:t>
      </w:r>
      <w:r w:rsidR="005B49C3" w:rsidRPr="005B49C3">
        <w:t xml:space="preserve">dioxide in this analysis. This is due to the lack of workers’ compensation claims </w:t>
      </w:r>
      <w:r w:rsidR="00C44071">
        <w:t>attributed to titanium</w:t>
      </w:r>
      <w:r w:rsidR="005B49C3" w:rsidRPr="005B49C3">
        <w:t xml:space="preserve"> dioxide. Noting the adverse health effects that the proposed WEL is based on</w:t>
      </w:r>
      <w:r w:rsidR="00203D6F">
        <w:t xml:space="preserve">, it is possible that </w:t>
      </w:r>
      <w:r w:rsidR="00C44400">
        <w:t>occupational illness attributa</w:t>
      </w:r>
      <w:r w:rsidR="002B13BD">
        <w:t xml:space="preserve">ble to workplace exposure for titanium dioxide are likely under-represented </w:t>
      </w:r>
      <w:r w:rsidR="00C72CE1">
        <w:t xml:space="preserve">in workers’ compensation data, </w:t>
      </w:r>
      <w:r w:rsidR="00762EBC">
        <w:rPr>
          <w:szCs w:val="32"/>
        </w:rPr>
        <w:t xml:space="preserve">due to </w:t>
      </w:r>
      <w:r w:rsidR="00762EBC" w:rsidRPr="004B07EB">
        <w:rPr>
          <w:szCs w:val="32"/>
        </w:rPr>
        <w:t>difficulties in proving causation</w:t>
      </w:r>
      <w:r w:rsidR="00E20870">
        <w:rPr>
          <w:szCs w:val="32"/>
        </w:rPr>
        <w:t>,</w:t>
      </w:r>
      <w:r w:rsidR="00762EBC" w:rsidRPr="004B07EB">
        <w:rPr>
          <w:szCs w:val="32"/>
        </w:rPr>
        <w:t xml:space="preserve"> the long </w:t>
      </w:r>
      <w:r w:rsidR="00762EBC">
        <w:rPr>
          <w:szCs w:val="32"/>
        </w:rPr>
        <w:t>latency period</w:t>
      </w:r>
      <w:r w:rsidR="00762EBC" w:rsidRPr="004B07EB">
        <w:rPr>
          <w:szCs w:val="32"/>
        </w:rPr>
        <w:t xml:space="preserve"> between occupational exposure and </w:t>
      </w:r>
      <w:r w:rsidR="00762EBC">
        <w:rPr>
          <w:szCs w:val="32"/>
        </w:rPr>
        <w:t>the illness (especially if it develops after the worker has stopped working at the workplace)</w:t>
      </w:r>
      <w:r w:rsidR="001D5AD9">
        <w:rPr>
          <w:szCs w:val="32"/>
        </w:rPr>
        <w:t>,</w:t>
      </w:r>
      <w:r w:rsidR="00E20870">
        <w:rPr>
          <w:szCs w:val="32"/>
        </w:rPr>
        <w:t xml:space="preserve"> or </w:t>
      </w:r>
      <w:r w:rsidR="002B5221">
        <w:rPr>
          <w:szCs w:val="32"/>
        </w:rPr>
        <w:t>an affected</w:t>
      </w:r>
      <w:r w:rsidR="00E20870">
        <w:rPr>
          <w:szCs w:val="32"/>
        </w:rPr>
        <w:t xml:space="preserve"> worker may not </w:t>
      </w:r>
      <w:r w:rsidR="00A15BB9">
        <w:rPr>
          <w:szCs w:val="32"/>
        </w:rPr>
        <w:t>seek</w:t>
      </w:r>
      <w:r w:rsidR="001D5AD9">
        <w:rPr>
          <w:szCs w:val="32"/>
        </w:rPr>
        <w:t xml:space="preserve"> compensation</w:t>
      </w:r>
      <w:r w:rsidR="00A15BB9">
        <w:rPr>
          <w:szCs w:val="32"/>
        </w:rPr>
        <w:t>, for example</w:t>
      </w:r>
      <w:r w:rsidR="001D5AD9">
        <w:rPr>
          <w:szCs w:val="32"/>
        </w:rPr>
        <w:t xml:space="preserve"> thinking they are in</w:t>
      </w:r>
      <w:r w:rsidR="009C599F">
        <w:rPr>
          <w:szCs w:val="32"/>
        </w:rPr>
        <w:t>eligible or not being aware they are covered.</w:t>
      </w:r>
      <w:r w:rsidR="005B49C3" w:rsidRPr="005B49C3">
        <w:t xml:space="preserve"> </w:t>
      </w:r>
    </w:p>
    <w:p w14:paraId="416C2A91" w14:textId="3687ACC0" w:rsidR="00274F7F" w:rsidRPr="00274F7F" w:rsidRDefault="00900BBD" w:rsidP="00274F7F">
      <w:pPr>
        <w:pStyle w:val="SWAHeading4"/>
      </w:pPr>
      <w:r>
        <w:t>Non-</w:t>
      </w:r>
      <w:r w:rsidR="00274F7F">
        <w:t>q</w:t>
      </w:r>
      <w:r w:rsidR="00274F7F" w:rsidRPr="00274F7F">
        <w:t>uantifi</w:t>
      </w:r>
      <w:r>
        <w:t>able</w:t>
      </w:r>
      <w:r w:rsidR="00274F7F" w:rsidRPr="00274F7F">
        <w:t xml:space="preserve"> financial benefits for the proposed WEL for </w:t>
      </w:r>
      <w:r w:rsidR="00880387">
        <w:t>titanium</w:t>
      </w:r>
      <w:r w:rsidR="00274F7F" w:rsidRPr="00274F7F">
        <w:t xml:space="preserve"> dioxide</w:t>
      </w:r>
    </w:p>
    <w:p w14:paraId="474F5F99" w14:textId="3F77CC64" w:rsidR="005B49C3" w:rsidRPr="005B49C3" w:rsidRDefault="00997C10" w:rsidP="005904ED">
      <w:pPr>
        <w:pStyle w:val="Paragraph"/>
        <w:keepNext w:val="0"/>
      </w:pPr>
      <w:r>
        <w:t>A</w:t>
      </w:r>
      <w:r w:rsidR="005B49C3" w:rsidRPr="005B49C3">
        <w:t xml:space="preserve"> lack of data to quantify financial benefits does not mean the introduction of the proposed WEL for </w:t>
      </w:r>
      <w:r w:rsidR="000D663B">
        <w:t>titanium dioxide</w:t>
      </w:r>
      <w:r w:rsidR="000D663B" w:rsidRPr="005B49C3">
        <w:t xml:space="preserve"> </w:t>
      </w:r>
      <w:r w:rsidR="005B49C3" w:rsidRPr="005B49C3">
        <w:t xml:space="preserve">would not </w:t>
      </w:r>
      <w:r w:rsidR="00804CE3">
        <w:t>achieve</w:t>
      </w:r>
      <w:r w:rsidR="005B49C3" w:rsidRPr="005B49C3">
        <w:t xml:space="preserve"> financial benefits </w:t>
      </w:r>
      <w:r w:rsidR="00821449">
        <w:t>(as outlined earlier in this Decision RIS).</w:t>
      </w:r>
      <w:r w:rsidR="005B49C3" w:rsidRPr="005B49C3">
        <w:t xml:space="preserve"> </w:t>
      </w:r>
      <w:r w:rsidR="00804CE3">
        <w:t xml:space="preserve">Other financial benefits </w:t>
      </w:r>
      <w:r w:rsidR="00605908">
        <w:t xml:space="preserve">that the proposed WEL </w:t>
      </w:r>
      <w:r w:rsidR="00831C48">
        <w:t xml:space="preserve">for titanium dioxide can </w:t>
      </w:r>
      <w:r w:rsidR="00821449">
        <w:t>deliver</w:t>
      </w:r>
      <w:r w:rsidR="00831C48">
        <w:t xml:space="preserve"> are described below.</w:t>
      </w:r>
    </w:p>
    <w:p w14:paraId="361A583D" w14:textId="5456F9E8" w:rsidR="00BE1E3C" w:rsidRPr="00BE1E3C" w:rsidRDefault="00BE1E3C" w:rsidP="00274F7F">
      <w:pPr>
        <w:pStyle w:val="SWAHeading5"/>
      </w:pPr>
      <w:r w:rsidRPr="00BE1E3C">
        <w:lastRenderedPageBreak/>
        <w:t>Increased productivity</w:t>
      </w:r>
      <w:r w:rsidR="00DA3C54">
        <w:rPr>
          <w:rStyle w:val="FootnoteReference"/>
        </w:rPr>
        <w:footnoteReference w:id="309"/>
      </w:r>
      <w:r w:rsidRPr="00BE1E3C">
        <w:t xml:space="preserve"> </w:t>
      </w:r>
    </w:p>
    <w:p w14:paraId="1AEEAB45" w14:textId="77777777" w:rsidR="009B1811" w:rsidRDefault="00BE1E3C" w:rsidP="00EF7578">
      <w:pPr>
        <w:pStyle w:val="Paragraph"/>
        <w:keepNext w:val="0"/>
      </w:pPr>
      <w:r w:rsidRPr="00EF7578">
        <w:t xml:space="preserve">Stakeholders from the public consultation suggested the proposed WEL for </w:t>
      </w:r>
      <w:r>
        <w:t xml:space="preserve">titanium </w:t>
      </w:r>
      <w:r w:rsidRPr="00EF7578">
        <w:t xml:space="preserve">dioxide would likely result in increased productivity from a reduction in absenteeism and presenteeism amongst the workforce who are exposed to </w:t>
      </w:r>
      <w:r>
        <w:t xml:space="preserve">titanium </w:t>
      </w:r>
      <w:r w:rsidRPr="00EF7578">
        <w:t>dioxide.</w:t>
      </w:r>
      <w:r w:rsidR="00F45154">
        <w:t xml:space="preserve"> </w:t>
      </w:r>
    </w:p>
    <w:p w14:paraId="4ACFB665" w14:textId="1E8F466B" w:rsidR="00BE1E3C" w:rsidRPr="00F77294" w:rsidRDefault="00595C9C" w:rsidP="00EF7578">
      <w:pPr>
        <w:pStyle w:val="Paragraph"/>
        <w:keepNext w:val="0"/>
      </w:pPr>
      <w:r>
        <w:t xml:space="preserve">While there are no workers’ compensation claims associated with titanium dioxide exposure, this does not mean the proposed WEL will not result in productivity benefits, noting the likely under-reporting in workers’ compensation claims data outlined above. </w:t>
      </w:r>
      <w:r w:rsidR="00BE1E3C" w:rsidRPr="00F77294">
        <w:t>The proposed WEL</w:t>
      </w:r>
      <w:r w:rsidR="00BE1E3C">
        <w:t xml:space="preserve"> </w:t>
      </w:r>
      <w:r w:rsidR="00831C48">
        <w:t>for titanium dioxide</w:t>
      </w:r>
      <w:r w:rsidR="00BE1E3C" w:rsidRPr="00F77294">
        <w:t xml:space="preserve"> is expected to </w:t>
      </w:r>
      <w:r>
        <w:t>protect</w:t>
      </w:r>
      <w:r w:rsidR="00BE1E3C" w:rsidRPr="00F77294">
        <w:t xml:space="preserve"> workers </w:t>
      </w:r>
      <w:r>
        <w:t xml:space="preserve">from developing </w:t>
      </w:r>
      <w:r w:rsidR="00670BBD">
        <w:t>lung cancer caused by work-related exposures to titanium dioxide</w:t>
      </w:r>
      <w:r w:rsidR="00BE1E3C" w:rsidRPr="00F77294">
        <w:t>. Workers</w:t>
      </w:r>
      <w:r w:rsidR="00711F08">
        <w:t xml:space="preserve"> likely to be exposed to titanium dioxide would continue to not need to, or be less likely, </w:t>
      </w:r>
      <w:r w:rsidR="00A31DE4">
        <w:t>to take</w:t>
      </w:r>
      <w:r w:rsidR="00BE1E3C" w:rsidRPr="00F77294">
        <w:t xml:space="preserve"> time off to seek medical care or treatment.</w:t>
      </w:r>
    </w:p>
    <w:p w14:paraId="6E8D1BF1" w14:textId="35B6CDCB" w:rsidR="00BE1E3C" w:rsidRPr="00A93D14" w:rsidRDefault="00BE1E3C" w:rsidP="00274F7F">
      <w:pPr>
        <w:pStyle w:val="SWAHeading5"/>
      </w:pPr>
      <w:r w:rsidRPr="00A93D14">
        <w:t>Reduced costs to government</w:t>
      </w:r>
      <w:r w:rsidR="009B1811">
        <w:t>s</w:t>
      </w:r>
      <w:r w:rsidR="00DA3C54">
        <w:rPr>
          <w:rStyle w:val="FootnoteReference"/>
        </w:rPr>
        <w:footnoteReference w:id="310"/>
      </w:r>
    </w:p>
    <w:p w14:paraId="3675E616" w14:textId="0086FF2C" w:rsidR="00BE1E3C" w:rsidRPr="000C0818" w:rsidRDefault="00BE1E3C" w:rsidP="00F77294">
      <w:pPr>
        <w:pStyle w:val="Paragraph"/>
        <w:keepNext w:val="0"/>
      </w:pPr>
      <w:r w:rsidRPr="000C0818">
        <w:t xml:space="preserve">The Australian Institute of Health and Welfare states healthcare expenditure on </w:t>
      </w:r>
      <w:r w:rsidR="003360EB">
        <w:t>lung cancer</w:t>
      </w:r>
      <w:r>
        <w:t xml:space="preserve"> </w:t>
      </w:r>
      <w:r w:rsidRPr="000C0818">
        <w:t>was approximately $</w:t>
      </w:r>
      <w:r w:rsidR="00AB4313">
        <w:t>1.</w:t>
      </w:r>
      <w:r w:rsidR="00B364CA">
        <w:t>87</w:t>
      </w:r>
      <w:r w:rsidR="00B364CA" w:rsidRPr="000C0818">
        <w:t xml:space="preserve"> </w:t>
      </w:r>
      <w:r>
        <w:t>b</w:t>
      </w:r>
      <w:r w:rsidRPr="000C0818">
        <w:t xml:space="preserve">illion in </w:t>
      </w:r>
      <w:r w:rsidR="00B364CA" w:rsidRPr="000C0818">
        <w:t>202</w:t>
      </w:r>
      <w:r w:rsidR="00B364CA">
        <w:t>3</w:t>
      </w:r>
      <w:r w:rsidRPr="000C0818">
        <w:t>-</w:t>
      </w:r>
      <w:r w:rsidR="00B364CA" w:rsidRPr="000C0818">
        <w:t>2</w:t>
      </w:r>
      <w:r w:rsidR="00B364CA">
        <w:t>4</w:t>
      </w:r>
      <w:r w:rsidR="00B364CA" w:rsidRPr="000C0818">
        <w:t xml:space="preserve"> </w:t>
      </w:r>
      <w:sdt>
        <w:sdtPr>
          <w:id w:val="904728585"/>
          <w:citation/>
        </w:sdtPr>
        <w:sdtEndPr/>
        <w:sdtContent>
          <w:r w:rsidRPr="000C0818">
            <w:fldChar w:fldCharType="begin"/>
          </w:r>
          <w:r w:rsidR="00CE68FD">
            <w:instrText xml:space="preserve">CITATION Aus24 \l 3081 </w:instrText>
          </w:r>
          <w:r w:rsidRPr="000C0818">
            <w:fldChar w:fldCharType="separate"/>
          </w:r>
          <w:r w:rsidR="00490B21">
            <w:rPr>
              <w:noProof/>
            </w:rPr>
            <w:t>(Australian Institute of Health and Welfare, 2025)</w:t>
          </w:r>
          <w:r w:rsidRPr="000C0818">
            <w:fldChar w:fldCharType="end"/>
          </w:r>
        </w:sdtContent>
      </w:sdt>
      <w:r w:rsidRPr="000C0818">
        <w:t xml:space="preserve">. </w:t>
      </w:r>
    </w:p>
    <w:p w14:paraId="4DD3552A" w14:textId="33CDCCDB" w:rsidR="00CE68FD" w:rsidRPr="000C0818" w:rsidRDefault="00BE1E3C" w:rsidP="00F77294">
      <w:pPr>
        <w:pStyle w:val="Paragraph"/>
        <w:keepNext w:val="0"/>
      </w:pPr>
      <w:r w:rsidRPr="000C0818">
        <w:t xml:space="preserve">While not all </w:t>
      </w:r>
      <w:r>
        <w:t xml:space="preserve">lung </w:t>
      </w:r>
      <w:r w:rsidR="00AB4313">
        <w:t xml:space="preserve">cancer cases in the health care system </w:t>
      </w:r>
      <w:r w:rsidR="00034110">
        <w:t>can</w:t>
      </w:r>
      <w:r>
        <w:t xml:space="preserve"> be </w:t>
      </w:r>
      <w:r w:rsidR="00034110">
        <w:t xml:space="preserve">attributed to </w:t>
      </w:r>
      <w:r w:rsidRPr="000C0818">
        <w:t xml:space="preserve">work-related exposures to </w:t>
      </w:r>
      <w:r w:rsidR="000F35D5">
        <w:t>titanium</w:t>
      </w:r>
      <w:r>
        <w:t xml:space="preserve"> dioxide</w:t>
      </w:r>
      <w:r w:rsidRPr="000C0818">
        <w:t xml:space="preserve">, </w:t>
      </w:r>
      <w:r w:rsidR="00D25ECB">
        <w:t xml:space="preserve">any reduction </w:t>
      </w:r>
      <w:r w:rsidR="000B2519">
        <w:t xml:space="preserve">to work-related titanium dioxide exposure could potentially </w:t>
      </w:r>
      <w:r w:rsidR="00F720FB">
        <w:t>help</w:t>
      </w:r>
      <w:r w:rsidR="00CE68FD">
        <w:t xml:space="preserve"> </w:t>
      </w:r>
      <w:r w:rsidRPr="000C0818">
        <w:t xml:space="preserve">reduce the number of workers </w:t>
      </w:r>
      <w:r w:rsidR="00512AF3">
        <w:t>seeking treatment or care</w:t>
      </w:r>
      <w:r w:rsidR="009B1811">
        <w:t>, reducing cost</w:t>
      </w:r>
      <w:r w:rsidR="00B35555">
        <w:t>s</w:t>
      </w:r>
      <w:r w:rsidR="009B1811">
        <w:t xml:space="preserve"> to </w:t>
      </w:r>
      <w:r w:rsidR="002A01D0">
        <w:t xml:space="preserve">the healthcare system and </w:t>
      </w:r>
      <w:r w:rsidR="009B1811">
        <w:t>government</w:t>
      </w:r>
      <w:r w:rsidR="00B35555">
        <w:t>.</w:t>
      </w:r>
      <w:r w:rsidRPr="000C0818">
        <w:t xml:space="preserve"> </w:t>
      </w:r>
    </w:p>
    <w:p w14:paraId="0C580988" w14:textId="2D21BC33" w:rsidR="00D25ECB" w:rsidRDefault="004E5290" w:rsidP="003349CC">
      <w:r>
        <w:t>T</w:t>
      </w:r>
      <w:r w:rsidR="00D25ECB" w:rsidRPr="00AA037C">
        <w:t>he AIHW</w:t>
      </w:r>
      <w:r>
        <w:t>’s</w:t>
      </w:r>
      <w:r w:rsidR="00D25ECB" w:rsidRPr="00AA037C">
        <w:t xml:space="preserve"> Burden of Disease Study, 2024 indicates that </w:t>
      </w:r>
      <w:r w:rsidR="00D25ECB">
        <w:t xml:space="preserve">5.4% of lung cancer </w:t>
      </w:r>
      <w:r w:rsidR="00D25ECB" w:rsidRPr="00AA037C">
        <w:t>total burden was attributed to occupational exposure and hazards</w:t>
      </w:r>
      <w:r w:rsidR="005737BE">
        <w:t xml:space="preserve"> </w:t>
      </w:r>
      <w:sdt>
        <w:sdtPr>
          <w:id w:val="-1809312530"/>
          <w:citation/>
        </w:sdtPr>
        <w:sdtEndPr/>
        <w:sdtContent>
          <w:r w:rsidR="005737BE">
            <w:fldChar w:fldCharType="begin"/>
          </w:r>
          <w:r w:rsidR="005737BE">
            <w:instrText xml:space="preserve"> CITATION ABOD246 \l 3081 </w:instrText>
          </w:r>
          <w:r w:rsidR="005737BE">
            <w:fldChar w:fldCharType="separate"/>
          </w:r>
          <w:r w:rsidR="00490B21">
            <w:rPr>
              <w:noProof/>
            </w:rPr>
            <w:t>(Australian Insitute of Health and Welfare, 2024)</w:t>
          </w:r>
          <w:r w:rsidR="005737BE">
            <w:fldChar w:fldCharType="end"/>
          </w:r>
        </w:sdtContent>
      </w:sdt>
      <w:r w:rsidR="00D25ECB" w:rsidRPr="00AA037C">
        <w:t xml:space="preserve">. </w:t>
      </w:r>
      <w:r>
        <w:t>R</w:t>
      </w:r>
      <w:r w:rsidR="00D25ECB" w:rsidRPr="00AA037C">
        <w:t xml:space="preserve">educing </w:t>
      </w:r>
      <w:r w:rsidR="00D25ECB">
        <w:t xml:space="preserve">lung cancer </w:t>
      </w:r>
      <w:r w:rsidR="00D25ECB" w:rsidRPr="00AA037C">
        <w:t xml:space="preserve">caused by occupational exposure, such as by implementing the proposed WEL </w:t>
      </w:r>
      <w:r w:rsidR="00D25ECB">
        <w:t xml:space="preserve">for </w:t>
      </w:r>
      <w:r w:rsidR="00512AF3">
        <w:t>titanium dioxide,</w:t>
      </w:r>
      <w:r w:rsidR="00D25ECB">
        <w:t xml:space="preserve"> </w:t>
      </w:r>
      <w:r>
        <w:t xml:space="preserve">is estimated </w:t>
      </w:r>
      <w:r w:rsidR="009641C4">
        <w:t>to contribute up to</w:t>
      </w:r>
      <w:r w:rsidR="00D25ECB" w:rsidRPr="00AA037C">
        <w:t xml:space="preserve"> $</w:t>
      </w:r>
      <w:r w:rsidR="00D25ECB">
        <w:t>10</w:t>
      </w:r>
      <w:r w:rsidR="00690C89">
        <w:t>1</w:t>
      </w:r>
      <w:r w:rsidR="00D25ECB" w:rsidRPr="00AA037C">
        <w:t xml:space="preserve"> million in savings to the </w:t>
      </w:r>
      <w:r w:rsidR="009641C4">
        <w:t xml:space="preserve">health system and </w:t>
      </w:r>
      <w:r w:rsidR="00D25ECB" w:rsidRPr="00AA037C">
        <w:t>government</w:t>
      </w:r>
      <w:r w:rsidR="009641C4">
        <w:t xml:space="preserve"> per year</w:t>
      </w:r>
      <w:r w:rsidR="00D25ECB" w:rsidRPr="00AA037C">
        <w:t>.</w:t>
      </w:r>
    </w:p>
    <w:p w14:paraId="2D6CEF58" w14:textId="3982BB8D" w:rsidR="005B49C3" w:rsidRPr="005B49C3" w:rsidRDefault="005410EF" w:rsidP="00274F7F">
      <w:pPr>
        <w:pStyle w:val="SWAHeading5"/>
      </w:pPr>
      <w:r w:rsidRPr="005B49C3">
        <w:t>Reduc</w:t>
      </w:r>
      <w:r>
        <w:t>ed</w:t>
      </w:r>
      <w:r w:rsidRPr="005B49C3">
        <w:t xml:space="preserve"> </w:t>
      </w:r>
      <w:r w:rsidR="005B49C3" w:rsidRPr="005B49C3">
        <w:t xml:space="preserve">costs associated with </w:t>
      </w:r>
      <w:r w:rsidR="00B35555">
        <w:t xml:space="preserve">potential </w:t>
      </w:r>
      <w:r w:rsidR="005B49C3" w:rsidRPr="005B49C3">
        <w:t>worker compensation claims</w:t>
      </w:r>
    </w:p>
    <w:p w14:paraId="4726CCA0" w14:textId="2ADFCE71" w:rsidR="005B49C3" w:rsidRDefault="005B49C3" w:rsidP="000865DE">
      <w:pPr>
        <w:pStyle w:val="Paragraph"/>
        <w:keepNext w:val="0"/>
      </w:pPr>
      <w:r w:rsidRPr="005B49C3">
        <w:t xml:space="preserve">Workers who develop an occupational disease or illness because of exposures to </w:t>
      </w:r>
      <w:r w:rsidR="00E60199">
        <w:t>titanium</w:t>
      </w:r>
      <w:r w:rsidR="00E60199" w:rsidRPr="005B49C3">
        <w:t xml:space="preserve"> </w:t>
      </w:r>
      <w:r w:rsidRPr="005B49C3">
        <w:t xml:space="preserve">dioxide are able to seek workers’ compensation if the occupational disease or illness can be linked to the workplace. Workers’ compensation will help workers focus on getting better and access rehabilitation services, without worrying about associated costs. </w:t>
      </w:r>
    </w:p>
    <w:p w14:paraId="6E8E0D13" w14:textId="3BD76FE4" w:rsidR="0000504D" w:rsidRPr="005B49C3" w:rsidRDefault="006A5E6C" w:rsidP="000865DE">
      <w:pPr>
        <w:pStyle w:val="Paragraph"/>
        <w:keepNext w:val="0"/>
      </w:pPr>
      <w:r>
        <w:t xml:space="preserve">While there are no worker’s compensation claims associated with titanium dioxide exposure, this does not mean the proposed WEL will not result in direct financial benefits, noting the likely under-reporting in workers’ compensation claims outlined above. However, as the proposed WLE is expected to protect </w:t>
      </w:r>
      <w:r w:rsidR="0000504D">
        <w:t xml:space="preserve">workers </w:t>
      </w:r>
      <w:r>
        <w:t xml:space="preserve">from </w:t>
      </w:r>
      <w:r w:rsidR="0000504D">
        <w:t>developing lung cancer from work-related exposures to titanium dioxide</w:t>
      </w:r>
      <w:r w:rsidR="00493DB6">
        <w:t>, this</w:t>
      </w:r>
      <w:r w:rsidR="0000504D">
        <w:t xml:space="preserve"> can help businesses avoid </w:t>
      </w:r>
      <w:r w:rsidR="00A95744">
        <w:t>avoid the emergence and</w:t>
      </w:r>
      <w:r w:rsidR="0000504D">
        <w:t xml:space="preserve"> cost</w:t>
      </w:r>
      <w:r w:rsidR="00A95744">
        <w:t>s</w:t>
      </w:r>
      <w:r w:rsidR="0000504D">
        <w:t xml:space="preserve"> of worker compensation claims</w:t>
      </w:r>
      <w:r w:rsidR="00A95744">
        <w:t xml:space="preserve"> </w:t>
      </w:r>
      <w:r w:rsidR="00035E8D" w:rsidRPr="00035E8D">
        <w:t>through increased premiums</w:t>
      </w:r>
      <w:r w:rsidR="0000504D">
        <w:t xml:space="preserve">. </w:t>
      </w:r>
    </w:p>
    <w:p w14:paraId="00AA97DA" w14:textId="7403C03D" w:rsidR="005B49C3" w:rsidRPr="005B49C3" w:rsidRDefault="005B49C3" w:rsidP="00EA7C3A">
      <w:pPr>
        <w:pStyle w:val="SWAHeading3"/>
      </w:pPr>
      <w:bookmarkStart w:id="590" w:name="_Toc196204877"/>
      <w:r w:rsidRPr="005B49C3">
        <w:t xml:space="preserve">Additional benefits to the proposed WEL for </w:t>
      </w:r>
      <w:r w:rsidR="00CF1634">
        <w:t>titanium</w:t>
      </w:r>
      <w:r w:rsidR="00CF1634" w:rsidRPr="005B49C3">
        <w:t xml:space="preserve"> </w:t>
      </w:r>
      <w:r w:rsidRPr="005B49C3">
        <w:t>dioxide</w:t>
      </w:r>
      <w:bookmarkEnd w:id="590"/>
    </w:p>
    <w:p w14:paraId="6D725277" w14:textId="0F1C513D" w:rsidR="00B65396" w:rsidRPr="00B65396" w:rsidRDefault="005B49C3" w:rsidP="000865DE">
      <w:pPr>
        <w:pStyle w:val="Paragraph"/>
        <w:keepNext w:val="0"/>
      </w:pPr>
      <w:r w:rsidRPr="005B49C3">
        <w:t xml:space="preserve">Stakeholders identified the proposed WEL for </w:t>
      </w:r>
      <w:r w:rsidR="00CF1634">
        <w:t>titanium</w:t>
      </w:r>
      <w:r w:rsidRPr="005B49C3">
        <w:t xml:space="preserve"> dioxide would have the following </w:t>
      </w:r>
      <w:r w:rsidR="003D1D06" w:rsidRPr="003D1D06">
        <w:t>qualitative</w:t>
      </w:r>
      <w:r w:rsidR="003D1D06" w:rsidRPr="003D1D06" w:rsidDel="003D1D06">
        <w:t xml:space="preserve"> </w:t>
      </w:r>
      <w:r w:rsidRPr="005B49C3">
        <w:t>benefits</w:t>
      </w:r>
      <w:r w:rsidR="00B65396">
        <w:t xml:space="preserve">. </w:t>
      </w:r>
    </w:p>
    <w:p w14:paraId="3065162D" w14:textId="2BED9F14" w:rsidR="00CF1634" w:rsidRPr="00B006DE" w:rsidRDefault="007B26F3" w:rsidP="00CE68FD">
      <w:pPr>
        <w:pStyle w:val="SWAHeading4"/>
        <w:keepNext/>
      </w:pPr>
      <w:r w:rsidRPr="00B006DE">
        <w:lastRenderedPageBreak/>
        <w:t>Improved dust management practices in workplaces</w:t>
      </w:r>
    </w:p>
    <w:p w14:paraId="45F42D0F" w14:textId="6226EF18" w:rsidR="008124F0" w:rsidRDefault="008124F0" w:rsidP="00CE68FD">
      <w:pPr>
        <w:pStyle w:val="Paragraph"/>
      </w:pPr>
      <w:r>
        <w:t xml:space="preserve">In their submission to the </w:t>
      </w:r>
      <w:r w:rsidR="0045301C">
        <w:t>2024</w:t>
      </w:r>
      <w:r>
        <w:t xml:space="preserve"> public consultation, a </w:t>
      </w:r>
      <w:r w:rsidR="003D1EFA">
        <w:t>government respondent</w:t>
      </w:r>
      <w:r>
        <w:t xml:space="preserve"> indicated </w:t>
      </w:r>
      <w:r w:rsidR="00B7137A">
        <w:t xml:space="preserve">that complying with </w:t>
      </w:r>
      <w:r w:rsidR="008A5EDF">
        <w:t>the current</w:t>
      </w:r>
      <w:r w:rsidR="00B7137A">
        <w:t xml:space="preserve"> WES </w:t>
      </w:r>
      <w:r w:rsidR="00933833">
        <w:t>of 10 mg/m</w:t>
      </w:r>
      <w:r w:rsidR="00933833" w:rsidRPr="00B006DE">
        <w:rPr>
          <w:vertAlign w:val="superscript"/>
        </w:rPr>
        <w:t>3</w:t>
      </w:r>
      <w:r w:rsidR="00933833">
        <w:t xml:space="preserve"> </w:t>
      </w:r>
      <w:r w:rsidR="008A5EDF">
        <w:t>for titanium dioxide</w:t>
      </w:r>
      <w:r w:rsidR="00945CD8">
        <w:t xml:space="preserve"> </w:t>
      </w:r>
      <w:r w:rsidR="00933833">
        <w:t>indicates “a very high dust level</w:t>
      </w:r>
      <w:r w:rsidR="009D6B7B">
        <w:t xml:space="preserve"> and is not representative of good</w:t>
      </w:r>
      <w:r w:rsidR="00133846">
        <w:t xml:space="preserve"> dust management</w:t>
      </w:r>
      <w:r w:rsidR="009D6B7B">
        <w:t xml:space="preserve"> practices” in the workplace</w:t>
      </w:r>
      <w:r w:rsidR="00DA3C54">
        <w:rPr>
          <w:rStyle w:val="FootnoteReference"/>
        </w:rPr>
        <w:footnoteReference w:id="311"/>
      </w:r>
      <w:r w:rsidR="00133846">
        <w:t xml:space="preserve">. </w:t>
      </w:r>
      <w:r w:rsidR="006A5919">
        <w:t xml:space="preserve">In </w:t>
      </w:r>
      <w:r w:rsidR="008A5EDF">
        <w:t xml:space="preserve">the </w:t>
      </w:r>
      <w:hyperlink r:id="rId55" w:history="1">
        <w:r w:rsidR="00756B5F" w:rsidRPr="00A052E4">
          <w:rPr>
            <w:rStyle w:val="Hyperlink"/>
            <w:i/>
            <w:iCs/>
          </w:rPr>
          <w:t>Guidance o</w:t>
        </w:r>
        <w:r w:rsidR="00E15005" w:rsidRPr="00A052E4">
          <w:rPr>
            <w:rStyle w:val="Hyperlink"/>
            <w:i/>
            <w:iCs/>
          </w:rPr>
          <w:t>n the</w:t>
        </w:r>
        <w:r w:rsidR="00756B5F" w:rsidRPr="00A052E4">
          <w:rPr>
            <w:rStyle w:val="Hyperlink"/>
            <w:i/>
            <w:iCs/>
          </w:rPr>
          <w:t xml:space="preserve"> interpretation of the </w:t>
        </w:r>
        <w:r w:rsidR="00E3768E" w:rsidRPr="00A052E4">
          <w:rPr>
            <w:rStyle w:val="Hyperlink"/>
            <w:i/>
            <w:iCs/>
          </w:rPr>
          <w:t xml:space="preserve">workplace exposure standards for </w:t>
        </w:r>
        <w:r w:rsidR="0090767B" w:rsidRPr="00A052E4">
          <w:rPr>
            <w:rStyle w:val="Hyperlink"/>
            <w:i/>
            <w:iCs/>
          </w:rPr>
          <w:t>airborne contaminants</w:t>
        </w:r>
      </w:hyperlink>
      <w:r w:rsidR="0090767B">
        <w:t xml:space="preserve">, it is noted that the </w:t>
      </w:r>
      <w:r w:rsidR="004E3499">
        <w:t xml:space="preserve">WES recommended for </w:t>
      </w:r>
      <w:r w:rsidR="0000701C">
        <w:t xml:space="preserve">dusts not otherwise classified </w:t>
      </w:r>
      <w:r w:rsidR="006A5919">
        <w:t xml:space="preserve">in the WES list </w:t>
      </w:r>
      <w:r w:rsidR="0000701C">
        <w:t>is 10 mg/m</w:t>
      </w:r>
      <w:r w:rsidR="0000701C" w:rsidRPr="006A5919">
        <w:rPr>
          <w:vertAlign w:val="superscript"/>
        </w:rPr>
        <w:t>3</w:t>
      </w:r>
      <w:r w:rsidR="0000701C">
        <w:t xml:space="preserve"> (inhalable).</w:t>
      </w:r>
    </w:p>
    <w:p w14:paraId="1F764E2A" w14:textId="7520D4ED" w:rsidR="0045301C" w:rsidRDefault="0045301C" w:rsidP="00F77294">
      <w:pPr>
        <w:pStyle w:val="Paragraph"/>
      </w:pPr>
      <w:r>
        <w:t>This</w:t>
      </w:r>
      <w:r w:rsidR="006A5919">
        <w:t xml:space="preserve"> benefit</w:t>
      </w:r>
      <w:r>
        <w:t xml:space="preserve"> is supported by an industry submission, </w:t>
      </w:r>
      <w:r w:rsidR="00945CD8">
        <w:t>which noted</w:t>
      </w:r>
      <w:r>
        <w:t xml:space="preserve"> the reduction to the proposed WELs for titanium dioxide can</w:t>
      </w:r>
      <w:r w:rsidRPr="00E1022D">
        <w:t xml:space="preserve"> result in improved housekeeping</w:t>
      </w:r>
      <w:r w:rsidR="003D4920">
        <w:rPr>
          <w:rStyle w:val="FootnoteReference"/>
        </w:rPr>
        <w:footnoteReference w:id="312"/>
      </w:r>
      <w:r w:rsidR="00C70AED">
        <w:t xml:space="preserve">. Such improvements will </w:t>
      </w:r>
      <w:r w:rsidRPr="00E1022D">
        <w:t>result in better outcomes for workers</w:t>
      </w:r>
      <w:r w:rsidR="00C70AED">
        <w:t>,</w:t>
      </w:r>
      <w:r w:rsidRPr="00E1022D">
        <w:t xml:space="preserve"> like elevated workplace pride (i.e., workplace feels safer and environmentally friendly)</w:t>
      </w:r>
      <w:r w:rsidR="00131DF2" w:rsidRPr="00131DF2">
        <w:rPr>
          <w:rFonts w:eastAsiaTheme="minorHAnsi"/>
          <w:vertAlign w:val="superscript"/>
          <w:lang w:eastAsia="en-US"/>
        </w:rPr>
        <w:t xml:space="preserve"> </w:t>
      </w:r>
      <w:r w:rsidR="00131DF2" w:rsidRPr="00131DF2">
        <w:rPr>
          <w:vertAlign w:val="superscript"/>
        </w:rPr>
        <w:footnoteReference w:id="313"/>
      </w:r>
      <w:r w:rsidRPr="00E1022D">
        <w:t>.</w:t>
      </w:r>
    </w:p>
    <w:p w14:paraId="28528235" w14:textId="3F3B137D" w:rsidR="00B006DE" w:rsidRPr="005904ED" w:rsidRDefault="00B006DE" w:rsidP="007D6A62">
      <w:pPr>
        <w:pStyle w:val="SWAHeading4"/>
      </w:pPr>
      <w:r w:rsidRPr="005904ED">
        <w:t>Healthier future workforce</w:t>
      </w:r>
    </w:p>
    <w:p w14:paraId="78E19949" w14:textId="46A2D9DB" w:rsidR="00B006DE" w:rsidRDefault="00E1022D" w:rsidP="00F77294">
      <w:pPr>
        <w:pStyle w:val="Paragraph"/>
      </w:pPr>
      <w:r w:rsidRPr="00CD57C8">
        <w:t>A submission from the university sector</w:t>
      </w:r>
      <w:r w:rsidR="00A42CF9">
        <w:t xml:space="preserve"> suggested that</w:t>
      </w:r>
      <w:r w:rsidRPr="00CD57C8">
        <w:t xml:space="preserve"> </w:t>
      </w:r>
      <w:r w:rsidR="00A42CF9">
        <w:t xml:space="preserve">if exposure to titanium dioxide is reduced to the proposed levels, </w:t>
      </w:r>
      <w:r w:rsidR="00DB3B61">
        <w:t xml:space="preserve">future </w:t>
      </w:r>
      <w:r w:rsidRPr="00CD57C8">
        <w:t xml:space="preserve">employers would benefit from having </w:t>
      </w:r>
      <w:r w:rsidR="00DB3B61">
        <w:t xml:space="preserve">a </w:t>
      </w:r>
      <w:r w:rsidRPr="00CD57C8">
        <w:t xml:space="preserve">healthier </w:t>
      </w:r>
      <w:r w:rsidR="00A42CF9">
        <w:t>workforce</w:t>
      </w:r>
      <w:r w:rsidR="00EF4468">
        <w:t xml:space="preserve"> when they hire students who are not </w:t>
      </w:r>
      <w:r w:rsidR="002233AA">
        <w:t>“compromised” from exposures to titanium dioxide</w:t>
      </w:r>
      <w:r w:rsidR="00E03336">
        <w:rPr>
          <w:rStyle w:val="FootnoteReference"/>
        </w:rPr>
        <w:footnoteReference w:id="314"/>
      </w:r>
      <w:r w:rsidR="002233AA">
        <w:t>.</w:t>
      </w:r>
      <w:r w:rsidR="004B5448">
        <w:t xml:space="preserve"> </w:t>
      </w:r>
    </w:p>
    <w:p w14:paraId="3A8BB3F9" w14:textId="77777777" w:rsidR="00B712E4" w:rsidRPr="006549B3" w:rsidRDefault="00B712E4" w:rsidP="007D6A62">
      <w:pPr>
        <w:pStyle w:val="SWAHeading4"/>
      </w:pPr>
      <w:r w:rsidRPr="006549B3">
        <w:t>Raises awareness about titanium dioxide and the hazards associated with it</w:t>
      </w:r>
    </w:p>
    <w:p w14:paraId="2533E131" w14:textId="66F69136" w:rsidR="00B65396" w:rsidRDefault="00B65396" w:rsidP="00A90A1B">
      <w:pPr>
        <w:contextualSpacing w:val="0"/>
        <w:rPr>
          <w:rFonts w:eastAsia="Arial" w:cs="Arial"/>
        </w:rPr>
      </w:pPr>
      <w:r w:rsidRPr="00B65396">
        <w:rPr>
          <w:rFonts w:eastAsia="Arial" w:cs="Arial"/>
        </w:rPr>
        <w:t xml:space="preserve">Stakeholder feedback noted that the proposed WEL for </w:t>
      </w:r>
      <w:r>
        <w:rPr>
          <w:rFonts w:eastAsia="Arial" w:cs="Arial"/>
        </w:rPr>
        <w:t>titanium dioxide</w:t>
      </w:r>
      <w:r w:rsidRPr="00B65396">
        <w:rPr>
          <w:rFonts w:eastAsia="Arial" w:cs="Arial"/>
        </w:rPr>
        <w:t xml:space="preserve"> would also lead to PCBUs and workers becoming more aware of the presence of </w:t>
      </w:r>
      <w:r>
        <w:rPr>
          <w:rFonts w:eastAsia="Arial" w:cs="Arial"/>
        </w:rPr>
        <w:t>titanium dioxide</w:t>
      </w:r>
      <w:r w:rsidRPr="00B65396">
        <w:rPr>
          <w:rFonts w:eastAsia="Arial" w:cs="Arial"/>
        </w:rPr>
        <w:t xml:space="preserve"> in their workplace and </w:t>
      </w:r>
      <w:r>
        <w:rPr>
          <w:rFonts w:eastAsia="Arial" w:cs="Arial"/>
        </w:rPr>
        <w:t xml:space="preserve">the </w:t>
      </w:r>
      <w:r w:rsidR="00D372F9">
        <w:rPr>
          <w:rFonts w:eastAsia="Arial" w:cs="Arial"/>
        </w:rPr>
        <w:t>hazards associated with it</w:t>
      </w:r>
      <w:r w:rsidR="00D875D8">
        <w:rPr>
          <w:rFonts w:eastAsia="Arial" w:cs="Arial"/>
        </w:rPr>
        <w:t xml:space="preserve">, like </w:t>
      </w:r>
      <w:r w:rsidR="00D875D8" w:rsidRPr="00B65396">
        <w:rPr>
          <w:rFonts w:eastAsia="Arial" w:cs="Arial"/>
        </w:rPr>
        <w:t>lung</w:t>
      </w:r>
      <w:r w:rsidRPr="00B65396">
        <w:rPr>
          <w:rFonts w:eastAsia="Arial" w:cs="Arial"/>
        </w:rPr>
        <w:t xml:space="preserve"> cancer. This would allow PCBUs and workers to actively contribute to making sure the workplace is safer and healthier, </w:t>
      </w:r>
      <w:r w:rsidR="00D372F9">
        <w:rPr>
          <w:rFonts w:eastAsia="Arial" w:cs="Arial"/>
        </w:rPr>
        <w:t>especially in sectors which have higher exposure to titanium dioxide</w:t>
      </w:r>
      <w:r w:rsidRPr="00B65396">
        <w:rPr>
          <w:rFonts w:eastAsia="Arial" w:cs="Arial"/>
        </w:rPr>
        <w:t>.</w:t>
      </w:r>
    </w:p>
    <w:p w14:paraId="1D80AC7B" w14:textId="0FCA76DE" w:rsidR="00A90A1B" w:rsidRPr="00A90A1B" w:rsidRDefault="00A90A1B" w:rsidP="00A90A1B">
      <w:pPr>
        <w:contextualSpacing w:val="0"/>
        <w:rPr>
          <w:rFonts w:eastAsia="Arial" w:cs="Arial"/>
        </w:rPr>
      </w:pPr>
      <w:r w:rsidRPr="00A90A1B">
        <w:rPr>
          <w:rFonts w:eastAsia="Arial" w:cs="Arial"/>
        </w:rPr>
        <w:t xml:space="preserve">By raising awareness of the presence of hazards in the workplace and the risks associated with </w:t>
      </w:r>
      <w:r w:rsidR="0053287B">
        <w:rPr>
          <w:rFonts w:eastAsia="Arial" w:cs="Arial"/>
        </w:rPr>
        <w:t>them</w:t>
      </w:r>
      <w:r w:rsidRPr="00A90A1B">
        <w:rPr>
          <w:rFonts w:eastAsia="Arial" w:cs="Arial"/>
        </w:rPr>
        <w:t xml:space="preserve">, workers have also been shown to make better and informed choices that allows them to take reasonable care for their own health and safety in the workplace, such as wearing PPE whilst working. </w:t>
      </w:r>
    </w:p>
    <w:p w14:paraId="05954622" w14:textId="53136EEC" w:rsidR="00394C23" w:rsidRDefault="00541F4A" w:rsidP="00D97433">
      <w:pPr>
        <w:pStyle w:val="SWAHeading2"/>
        <w:keepNext/>
        <w:keepLines/>
        <w:ind w:left="709"/>
      </w:pPr>
      <w:bookmarkStart w:id="591" w:name="_Ref194677621"/>
      <w:bookmarkStart w:id="592" w:name="_Toc196204878"/>
      <w:bookmarkStart w:id="593" w:name="_Toc219216924"/>
      <w:r>
        <w:t xml:space="preserve">Costs </w:t>
      </w:r>
      <w:r w:rsidR="00394C23">
        <w:t>of proposed WEL for titanium dioxide</w:t>
      </w:r>
      <w:bookmarkEnd w:id="591"/>
      <w:bookmarkEnd w:id="592"/>
      <w:bookmarkEnd w:id="593"/>
    </w:p>
    <w:p w14:paraId="66F55A1E" w14:textId="65FB6A57" w:rsidR="00E34C1E" w:rsidRDefault="007D3E7A" w:rsidP="00E34C1E">
      <w:pPr>
        <w:keepNext/>
        <w:keepLines/>
        <w:contextualSpacing w:val="0"/>
      </w:pPr>
      <w:r>
        <w:t xml:space="preserve">Costs to comply with the proposed WEL for titanium dioxide were estimated and outlined below. </w:t>
      </w:r>
      <w:bookmarkStart w:id="594" w:name="_Hlk194580551"/>
      <w:r w:rsidR="00E34C1E">
        <w:t xml:space="preserve">These </w:t>
      </w:r>
      <w:r w:rsidR="00E34C1E" w:rsidRPr="006A0158">
        <w:t>are indicative estimates only</w:t>
      </w:r>
      <w:r w:rsidR="00A90A1B">
        <w:t>.</w:t>
      </w:r>
    </w:p>
    <w:bookmarkEnd w:id="587"/>
    <w:bookmarkEnd w:id="594"/>
    <w:p w14:paraId="2442D39C" w14:textId="362E7983" w:rsidR="00A8525D" w:rsidRDefault="00731BB1" w:rsidP="00C526E8">
      <w:pPr>
        <w:contextualSpacing w:val="0"/>
      </w:pPr>
      <w:r>
        <w:fldChar w:fldCharType="begin"/>
      </w:r>
      <w:r>
        <w:instrText xml:space="preserve"> REF _Ref216773068 \h </w:instrText>
      </w:r>
      <w:r>
        <w:fldChar w:fldCharType="separate"/>
      </w:r>
      <w:r w:rsidR="00A002F4">
        <w:t xml:space="preserve">Table </w:t>
      </w:r>
      <w:r w:rsidR="00A002F4">
        <w:rPr>
          <w:noProof/>
        </w:rPr>
        <w:t>43</w:t>
      </w:r>
      <w:r>
        <w:fldChar w:fldCharType="end"/>
      </w:r>
      <w:r>
        <w:t xml:space="preserve"> </w:t>
      </w:r>
      <w:r w:rsidR="000B51DC" w:rsidRPr="38A49B51">
        <w:t xml:space="preserve">presents the estimated total costs to </w:t>
      </w:r>
      <w:r w:rsidR="0008018D">
        <w:t>industry</w:t>
      </w:r>
      <w:r w:rsidR="000B51DC" w:rsidRPr="38A49B51">
        <w:t xml:space="preserve"> of complying with the proposed WELs for titanium dioxide over the 10-year appraisal period (from FY27 to FY36). </w:t>
      </w:r>
    </w:p>
    <w:p w14:paraId="2638E6B7" w14:textId="65AD74EE" w:rsidR="000B51DC" w:rsidRDefault="000B51DC" w:rsidP="00C526E8">
      <w:pPr>
        <w:keepNext/>
        <w:keepLines/>
        <w:contextualSpacing w:val="0"/>
      </w:pPr>
      <w:r w:rsidRPr="38A49B51">
        <w:t>The estimates represent the incremental costs between retaining the current WES (Option 1) and changing to the proposed WEL</w:t>
      </w:r>
      <w:r w:rsidR="00F9179C">
        <w:t>s</w:t>
      </w:r>
      <w:r w:rsidRPr="38A49B51">
        <w:t xml:space="preserve"> (Option 2). Any costs to businesses to comply with the current WES are not considered due to PCBUs’ ongoing WHS duty to eliminate or minimise risks, so far is as reasonably practicable (Section 17 of the model WHS Act). </w:t>
      </w:r>
    </w:p>
    <w:p w14:paraId="6FF7BF43" w14:textId="77777777" w:rsidR="000B51DC" w:rsidRDefault="000B51DC" w:rsidP="000B51DC">
      <w:r>
        <w:t>The analysis illustrates that:</w:t>
      </w:r>
    </w:p>
    <w:p w14:paraId="0E7163CE" w14:textId="669E04ED" w:rsidR="000B51DC" w:rsidRDefault="000B51DC" w:rsidP="00B57E6C">
      <w:pPr>
        <w:pStyle w:val="ListParagraph"/>
        <w:numPr>
          <w:ilvl w:val="0"/>
          <w:numId w:val="25"/>
        </w:numPr>
        <w:suppressAutoHyphens/>
        <w:spacing w:line="259" w:lineRule="auto"/>
        <w:ind w:left="851" w:hanging="425"/>
        <w:contextualSpacing w:val="0"/>
      </w:pPr>
      <w:bookmarkStart w:id="595" w:name="_Toc193192750"/>
      <w:bookmarkStart w:id="596" w:name="_Toc196204879"/>
      <w:r>
        <w:t xml:space="preserve">The estimated total cost to </w:t>
      </w:r>
      <w:r w:rsidR="007025B3">
        <w:t>industry</w:t>
      </w:r>
      <w:r>
        <w:t xml:space="preserve"> over 10 years is $</w:t>
      </w:r>
      <w:r w:rsidR="00E9550B">
        <w:t>62</w:t>
      </w:r>
      <w:r w:rsidR="00E9550B" w:rsidRPr="001334F2">
        <w:t xml:space="preserve"> </w:t>
      </w:r>
      <w:r>
        <w:t>million (in real, discounted terms), which equates to $</w:t>
      </w:r>
      <w:r w:rsidR="00E9550B">
        <w:t>10</w:t>
      </w:r>
      <w:r>
        <w:t xml:space="preserve"> million per year (in real, undiscounted terms).</w:t>
      </w:r>
      <w:bookmarkEnd w:id="595"/>
      <w:bookmarkEnd w:id="596"/>
      <w:r>
        <w:t xml:space="preserve"> </w:t>
      </w:r>
    </w:p>
    <w:p w14:paraId="2F0E900E" w14:textId="77777777" w:rsidR="000B51DC" w:rsidRDefault="000B51DC" w:rsidP="00B57E6C">
      <w:pPr>
        <w:pStyle w:val="ListParagraph"/>
        <w:keepNext/>
        <w:keepLines/>
        <w:numPr>
          <w:ilvl w:val="0"/>
          <w:numId w:val="25"/>
        </w:numPr>
        <w:suppressAutoHyphens/>
        <w:spacing w:line="259" w:lineRule="auto"/>
        <w:ind w:left="851" w:hanging="425"/>
        <w:contextualSpacing w:val="0"/>
      </w:pPr>
      <w:bookmarkStart w:id="597" w:name="_Toc193192751"/>
      <w:bookmarkStart w:id="598" w:name="_Toc196204880"/>
      <w:r w:rsidRPr="38A49B51">
        <w:lastRenderedPageBreak/>
        <w:t>These estimated total costs comprise of:</w:t>
      </w:r>
      <w:bookmarkEnd w:id="597"/>
      <w:bookmarkEnd w:id="598"/>
      <w:r w:rsidRPr="38A49B51">
        <w:t xml:space="preserve"> </w:t>
      </w:r>
    </w:p>
    <w:p w14:paraId="5CB94818" w14:textId="4D983BCA" w:rsidR="000B51DC" w:rsidRDefault="000B51DC" w:rsidP="00B57E6C">
      <w:pPr>
        <w:pStyle w:val="ListParagraph"/>
        <w:keepNext/>
        <w:keepLines/>
        <w:numPr>
          <w:ilvl w:val="1"/>
          <w:numId w:val="21"/>
        </w:numPr>
        <w:suppressAutoHyphens/>
        <w:spacing w:line="259" w:lineRule="auto"/>
        <w:contextualSpacing w:val="0"/>
      </w:pPr>
      <w:bookmarkStart w:id="599" w:name="_Toc193192752"/>
      <w:bookmarkStart w:id="600" w:name="_Toc196204881"/>
      <w:r w:rsidRPr="38A49B51">
        <w:t>control measure costs of $</w:t>
      </w:r>
      <w:r w:rsidR="00E9550B">
        <w:t>54</w:t>
      </w:r>
      <w:r w:rsidRPr="38A49B51">
        <w:t xml:space="preserve"> million over 10 years, comprising engineering controls ($</w:t>
      </w:r>
      <w:r w:rsidR="00E9550B">
        <w:t>23</w:t>
      </w:r>
      <w:r w:rsidRPr="38A49B51">
        <w:t xml:space="preserve"> million), isolation controls ($</w:t>
      </w:r>
      <w:r w:rsidR="00E9550B">
        <w:t>21</w:t>
      </w:r>
      <w:r w:rsidRPr="38A49B51">
        <w:t xml:space="preserve"> million)</w:t>
      </w:r>
      <w:r w:rsidR="00B106D4">
        <w:t>, administrative controls ($</w:t>
      </w:r>
      <w:r w:rsidR="00E9550B">
        <w:t>7</w:t>
      </w:r>
      <w:r w:rsidR="00B106D4">
        <w:t xml:space="preserve"> million)</w:t>
      </w:r>
      <w:r w:rsidRPr="38A49B51">
        <w:t xml:space="preserve"> and PPE ($</w:t>
      </w:r>
      <w:r w:rsidR="00E9550B">
        <w:t>2</w:t>
      </w:r>
      <w:r w:rsidRPr="38A49B51">
        <w:t xml:space="preserve"> million).</w:t>
      </w:r>
      <w:bookmarkEnd w:id="599"/>
      <w:bookmarkEnd w:id="600"/>
    </w:p>
    <w:p w14:paraId="4B0FA6D8" w14:textId="6255B378" w:rsidR="00C82907" w:rsidRDefault="000B51DC" w:rsidP="00C82907">
      <w:pPr>
        <w:pStyle w:val="ListParagraph"/>
        <w:numPr>
          <w:ilvl w:val="1"/>
          <w:numId w:val="21"/>
        </w:numPr>
        <w:suppressAutoHyphens/>
        <w:spacing w:line="259" w:lineRule="auto"/>
        <w:contextualSpacing w:val="0"/>
      </w:pPr>
      <w:bookmarkStart w:id="601" w:name="_Toc193192753"/>
      <w:bookmarkStart w:id="602" w:name="_Toc196204882"/>
      <w:r w:rsidRPr="38A49B51">
        <w:t>management practice costs of $</w:t>
      </w:r>
      <w:r w:rsidR="00E9550B">
        <w:t>8</w:t>
      </w:r>
      <w:r w:rsidR="00E9550B" w:rsidRPr="38A49B51">
        <w:t xml:space="preserve"> </w:t>
      </w:r>
      <w:r w:rsidRPr="38A49B51">
        <w:t>million over 10 years, comprising air monitoring (</w:t>
      </w:r>
      <w:r w:rsidR="00704832">
        <w:t>$</w:t>
      </w:r>
      <w:r w:rsidR="00B106D4">
        <w:t>4</w:t>
      </w:r>
      <w:r w:rsidRPr="38A49B51">
        <w:t xml:space="preserve"> million) and occupational hygiene ($</w:t>
      </w:r>
      <w:r w:rsidR="00E9550B">
        <w:t>4</w:t>
      </w:r>
      <w:r w:rsidRPr="38A49B51">
        <w:t xml:space="preserve"> million).</w:t>
      </w:r>
      <w:bookmarkEnd w:id="601"/>
      <w:bookmarkEnd w:id="602"/>
    </w:p>
    <w:p w14:paraId="38645F22" w14:textId="77777777" w:rsidR="00C82907" w:rsidRDefault="00C82907" w:rsidP="003349CC">
      <w:pPr>
        <w:suppressAutoHyphens/>
        <w:spacing w:line="259" w:lineRule="auto"/>
        <w:contextualSpacing w:val="0"/>
      </w:pPr>
      <w:r>
        <w:t xml:space="preserve">Based on stakeholder feedback, it is likely that the control measure costs above will be incurred by businesses in the initial years following implementation of the proposed WEL, if it is agreed to. However, no data was provided on the estimated distribution of costs over the 10-year appraisal period, and so it was assumed that these costs would be evenly distributed over the period. </w:t>
      </w:r>
    </w:p>
    <w:p w14:paraId="1164C816" w14:textId="2D2BD78E" w:rsidR="00C82907" w:rsidRDefault="00C82907" w:rsidP="003349CC">
      <w:pPr>
        <w:suppressAutoHyphens/>
      </w:pPr>
      <w:r>
        <w:t xml:space="preserve">Obligations around management practice costs make these costs more likely to be evenly distributed throughout the appraisal period. </w:t>
      </w:r>
    </w:p>
    <w:p w14:paraId="249B1D38" w14:textId="1D6F08B7" w:rsidR="00B4092A" w:rsidRDefault="00B4092A" w:rsidP="003349CC">
      <w:pPr>
        <w:pStyle w:val="Caption"/>
      </w:pPr>
      <w:bookmarkStart w:id="603" w:name="_Ref216773068"/>
      <w:r>
        <w:t xml:space="preserve">Table </w:t>
      </w:r>
      <w:fldSimple w:instr=" SEQ Table \* ARABIC ">
        <w:r w:rsidR="00A002F4">
          <w:rPr>
            <w:noProof/>
          </w:rPr>
          <w:t>43</w:t>
        </w:r>
      </w:fldSimple>
      <w:bookmarkEnd w:id="603"/>
      <w:r>
        <w:t xml:space="preserve"> - </w:t>
      </w:r>
      <w:r w:rsidRPr="008C5C66">
        <w:t>Estimated average annual and total incremental costs to industry by the proposed WEL for titanium dioxide, FY27 to FY36</w:t>
      </w:r>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23"/>
        <w:gridCol w:w="2693"/>
        <w:gridCol w:w="2551"/>
      </w:tblGrid>
      <w:tr w:rsidR="000B51DC" w:rsidRPr="008404A0" w14:paraId="0E03EC0D" w14:textId="77777777" w:rsidTr="00C526E8">
        <w:trPr>
          <w:trHeight w:val="617"/>
        </w:trPr>
        <w:tc>
          <w:tcPr>
            <w:tcW w:w="3823" w:type="dxa"/>
            <w:shd w:val="clear" w:color="auto" w:fill="4877E0" w:themeFill="accent1"/>
          </w:tcPr>
          <w:p w14:paraId="0AFD5039" w14:textId="77777777" w:rsidR="000B51DC" w:rsidRPr="00526CB9" w:rsidRDefault="000B51DC">
            <w:pPr>
              <w:pStyle w:val="Paragraph"/>
              <w:spacing w:after="0"/>
              <w:rPr>
                <w:b/>
                <w:bCs/>
                <w:color w:val="FFFFFF" w:themeColor="background1"/>
              </w:rPr>
            </w:pPr>
            <w:r>
              <w:rPr>
                <w:b/>
                <w:bCs/>
                <w:color w:val="FFFFFF" w:themeColor="background1"/>
              </w:rPr>
              <w:t>Cost category</w:t>
            </w:r>
          </w:p>
        </w:tc>
        <w:tc>
          <w:tcPr>
            <w:tcW w:w="2693" w:type="dxa"/>
            <w:shd w:val="clear" w:color="auto" w:fill="4877E0" w:themeFill="accent1"/>
          </w:tcPr>
          <w:p w14:paraId="32FB59A6" w14:textId="77777777" w:rsidR="000B51DC" w:rsidRPr="00526CB9" w:rsidRDefault="000B51DC">
            <w:pPr>
              <w:pStyle w:val="Paragraph"/>
              <w:spacing w:after="0"/>
              <w:rPr>
                <w:b/>
                <w:bCs/>
                <w:color w:val="FFFFFF" w:themeColor="background1"/>
              </w:rPr>
            </w:pPr>
            <w:r w:rsidRPr="00526CB9">
              <w:rPr>
                <w:b/>
                <w:bCs/>
                <w:color w:val="FFFFFF" w:themeColor="background1"/>
              </w:rPr>
              <w:t>Average costs</w:t>
            </w:r>
            <w:r>
              <w:rPr>
                <w:b/>
                <w:bCs/>
                <w:color w:val="FFFFFF" w:themeColor="background1"/>
              </w:rPr>
              <w:t xml:space="preserve"> p.a. ($ millions, undiscounted)</w:t>
            </w:r>
          </w:p>
        </w:tc>
        <w:tc>
          <w:tcPr>
            <w:tcW w:w="2551" w:type="dxa"/>
            <w:shd w:val="clear" w:color="auto" w:fill="4877E0" w:themeFill="accent1"/>
          </w:tcPr>
          <w:p w14:paraId="6FAAFEF5" w14:textId="77777777" w:rsidR="000B51DC" w:rsidRPr="00526CB9" w:rsidRDefault="000B51DC">
            <w:pPr>
              <w:pStyle w:val="Paragraph"/>
              <w:spacing w:after="0"/>
              <w:rPr>
                <w:b/>
                <w:bCs/>
                <w:color w:val="FFFFFF" w:themeColor="background1"/>
              </w:rPr>
            </w:pPr>
            <w:r>
              <w:rPr>
                <w:b/>
                <w:bCs/>
                <w:color w:val="FFFFFF" w:themeColor="background1"/>
              </w:rPr>
              <w:t>Total costs ($ millions, discounted)</w:t>
            </w:r>
          </w:p>
        </w:tc>
      </w:tr>
      <w:tr w:rsidR="000B51DC" w:rsidRPr="00BA600A" w14:paraId="7E4E52DF" w14:textId="77777777" w:rsidTr="005904ED">
        <w:trPr>
          <w:trHeight w:val="288"/>
        </w:trPr>
        <w:tc>
          <w:tcPr>
            <w:tcW w:w="3823" w:type="dxa"/>
            <w:shd w:val="clear" w:color="auto" w:fill="DAE3F8" w:themeFill="accent1" w:themeFillTint="33"/>
          </w:tcPr>
          <w:p w14:paraId="478369B1" w14:textId="77777777" w:rsidR="000B51DC" w:rsidRPr="00154D99" w:rsidRDefault="000B51DC">
            <w:pPr>
              <w:pStyle w:val="Paragraph"/>
              <w:spacing w:after="0" w:line="276" w:lineRule="auto"/>
              <w:rPr>
                <w:b/>
              </w:rPr>
            </w:pPr>
            <w:r w:rsidRPr="00154D99">
              <w:rPr>
                <w:b/>
              </w:rPr>
              <w:t>Control measure costs</w:t>
            </w:r>
          </w:p>
        </w:tc>
        <w:tc>
          <w:tcPr>
            <w:tcW w:w="2693" w:type="dxa"/>
            <w:shd w:val="clear" w:color="auto" w:fill="DAE3F8" w:themeFill="accent1" w:themeFillTint="33"/>
          </w:tcPr>
          <w:p w14:paraId="177A8345" w14:textId="780EF2AD" w:rsidR="000B51DC" w:rsidRPr="004A4E88" w:rsidRDefault="00423668">
            <w:pPr>
              <w:keepNext/>
              <w:keepLines/>
              <w:jc w:val="right"/>
              <w:rPr>
                <w:b/>
                <w:bCs/>
              </w:rPr>
            </w:pPr>
            <w:r>
              <w:rPr>
                <w:rFonts w:asciiTheme="majorHAnsi" w:hAnsiTheme="majorHAnsi" w:cstheme="majorHAnsi"/>
                <w:b/>
                <w:bCs/>
              </w:rPr>
              <w:t>8.8</w:t>
            </w:r>
          </w:p>
        </w:tc>
        <w:tc>
          <w:tcPr>
            <w:tcW w:w="2551" w:type="dxa"/>
            <w:shd w:val="clear" w:color="auto" w:fill="DAE3F8" w:themeFill="accent1" w:themeFillTint="33"/>
          </w:tcPr>
          <w:p w14:paraId="520AAAFB" w14:textId="068B2800" w:rsidR="000B51DC" w:rsidRPr="004A4E88" w:rsidRDefault="00423668">
            <w:pPr>
              <w:keepNext/>
              <w:keepLines/>
              <w:jc w:val="right"/>
              <w:rPr>
                <w:b/>
                <w:bCs/>
              </w:rPr>
            </w:pPr>
            <w:r>
              <w:rPr>
                <w:rFonts w:asciiTheme="majorHAnsi" w:hAnsiTheme="majorHAnsi" w:cstheme="majorHAnsi"/>
                <w:b/>
                <w:bCs/>
              </w:rPr>
              <w:t>53.7</w:t>
            </w:r>
          </w:p>
        </w:tc>
      </w:tr>
      <w:tr w:rsidR="000B51DC" w:rsidRPr="00BA600A" w14:paraId="47EAEECA" w14:textId="77777777">
        <w:trPr>
          <w:trHeight w:val="304"/>
        </w:trPr>
        <w:tc>
          <w:tcPr>
            <w:tcW w:w="3823" w:type="dxa"/>
          </w:tcPr>
          <w:p w14:paraId="1DCE203D" w14:textId="77777777" w:rsidR="000B51DC" w:rsidRPr="00B155EC" w:rsidRDefault="000B51DC" w:rsidP="00C526E8">
            <w:pPr>
              <w:pStyle w:val="Paragraph"/>
              <w:spacing w:after="0" w:line="276" w:lineRule="auto"/>
              <w:ind w:left="175"/>
              <w:rPr>
                <w:bCs/>
              </w:rPr>
            </w:pPr>
            <w:r w:rsidRPr="00B155EC">
              <w:rPr>
                <w:bCs/>
              </w:rPr>
              <w:t>Isolation control costs</w:t>
            </w:r>
          </w:p>
        </w:tc>
        <w:tc>
          <w:tcPr>
            <w:tcW w:w="2693" w:type="dxa"/>
          </w:tcPr>
          <w:p w14:paraId="07B774F1" w14:textId="193524EB" w:rsidR="000B51DC" w:rsidRPr="00B02E59" w:rsidRDefault="00423668">
            <w:pPr>
              <w:keepNext/>
              <w:keepLines/>
              <w:jc w:val="right"/>
            </w:pPr>
            <w:r>
              <w:t>3.5</w:t>
            </w:r>
          </w:p>
        </w:tc>
        <w:tc>
          <w:tcPr>
            <w:tcW w:w="2551" w:type="dxa"/>
          </w:tcPr>
          <w:p w14:paraId="240DFE8B" w14:textId="70E77839" w:rsidR="000B51DC" w:rsidRPr="00B02E59" w:rsidRDefault="00423668">
            <w:pPr>
              <w:keepNext/>
              <w:keepLines/>
              <w:jc w:val="right"/>
            </w:pPr>
            <w:r>
              <w:t>21.3</w:t>
            </w:r>
          </w:p>
        </w:tc>
      </w:tr>
      <w:tr w:rsidR="000B51DC" w:rsidRPr="00BA600A" w14:paraId="3AB6219B" w14:textId="77777777">
        <w:trPr>
          <w:trHeight w:val="304"/>
        </w:trPr>
        <w:tc>
          <w:tcPr>
            <w:tcW w:w="3823" w:type="dxa"/>
          </w:tcPr>
          <w:p w14:paraId="1AD7A27D" w14:textId="77777777" w:rsidR="000B51DC" w:rsidRPr="00B155EC" w:rsidRDefault="000B51DC" w:rsidP="00C526E8">
            <w:pPr>
              <w:pStyle w:val="Paragraph"/>
              <w:spacing w:after="0" w:line="276" w:lineRule="auto"/>
              <w:ind w:left="175"/>
              <w:rPr>
                <w:bCs/>
              </w:rPr>
            </w:pPr>
            <w:r w:rsidRPr="00B155EC">
              <w:rPr>
                <w:bCs/>
              </w:rPr>
              <w:t>Engineering control costs</w:t>
            </w:r>
          </w:p>
        </w:tc>
        <w:tc>
          <w:tcPr>
            <w:tcW w:w="2693" w:type="dxa"/>
          </w:tcPr>
          <w:p w14:paraId="5D81467D" w14:textId="3655A08B" w:rsidR="000B51DC" w:rsidRPr="00B02E59" w:rsidRDefault="00423668">
            <w:pPr>
              <w:keepNext/>
              <w:keepLines/>
              <w:jc w:val="right"/>
            </w:pPr>
            <w:r>
              <w:t>3.8</w:t>
            </w:r>
          </w:p>
        </w:tc>
        <w:tc>
          <w:tcPr>
            <w:tcW w:w="2551" w:type="dxa"/>
          </w:tcPr>
          <w:p w14:paraId="437A0246" w14:textId="270D0468" w:rsidR="000B51DC" w:rsidRPr="00B02E59" w:rsidRDefault="00B30036">
            <w:pPr>
              <w:keepNext/>
              <w:keepLines/>
              <w:jc w:val="right"/>
            </w:pPr>
            <w:r>
              <w:t>23.3</w:t>
            </w:r>
          </w:p>
        </w:tc>
      </w:tr>
      <w:tr w:rsidR="000B51DC" w:rsidRPr="00BA600A" w14:paraId="3805716B" w14:textId="77777777">
        <w:trPr>
          <w:trHeight w:val="288"/>
        </w:trPr>
        <w:tc>
          <w:tcPr>
            <w:tcW w:w="3823" w:type="dxa"/>
          </w:tcPr>
          <w:p w14:paraId="7833F98B" w14:textId="77777777" w:rsidR="000B51DC" w:rsidRPr="00B155EC" w:rsidRDefault="000B51DC" w:rsidP="00C526E8">
            <w:pPr>
              <w:pStyle w:val="Paragraph"/>
              <w:spacing w:after="0" w:line="276" w:lineRule="auto"/>
              <w:ind w:left="175"/>
              <w:rPr>
                <w:bCs/>
              </w:rPr>
            </w:pPr>
            <w:r w:rsidRPr="00B155EC">
              <w:rPr>
                <w:bCs/>
              </w:rPr>
              <w:t>Administrative control costs</w:t>
            </w:r>
          </w:p>
        </w:tc>
        <w:tc>
          <w:tcPr>
            <w:tcW w:w="2693" w:type="dxa"/>
          </w:tcPr>
          <w:p w14:paraId="7CF93936" w14:textId="7E291DF5" w:rsidR="000B51DC" w:rsidRPr="00B02E59" w:rsidRDefault="00423668">
            <w:pPr>
              <w:keepNext/>
              <w:keepLines/>
              <w:jc w:val="right"/>
            </w:pPr>
            <w:r>
              <w:t>1.1</w:t>
            </w:r>
          </w:p>
        </w:tc>
        <w:tc>
          <w:tcPr>
            <w:tcW w:w="2551" w:type="dxa"/>
          </w:tcPr>
          <w:p w14:paraId="0014C63B" w14:textId="024279DD" w:rsidR="000B51DC" w:rsidRPr="00B02E59" w:rsidRDefault="00B30036">
            <w:pPr>
              <w:keepNext/>
              <w:keepLines/>
              <w:jc w:val="right"/>
            </w:pPr>
            <w:r>
              <w:t>7.0</w:t>
            </w:r>
          </w:p>
        </w:tc>
      </w:tr>
      <w:tr w:rsidR="000B51DC" w:rsidRPr="00BA600A" w14:paraId="494CEB1F" w14:textId="77777777">
        <w:trPr>
          <w:trHeight w:val="214"/>
        </w:trPr>
        <w:tc>
          <w:tcPr>
            <w:tcW w:w="3823" w:type="dxa"/>
          </w:tcPr>
          <w:p w14:paraId="43DCE140" w14:textId="77777777" w:rsidR="000B51DC" w:rsidRPr="00B155EC" w:rsidRDefault="000B51DC" w:rsidP="00C526E8">
            <w:pPr>
              <w:pStyle w:val="Paragraph"/>
              <w:spacing w:after="0" w:line="276" w:lineRule="auto"/>
              <w:ind w:left="175"/>
              <w:rPr>
                <w:bCs/>
              </w:rPr>
            </w:pPr>
            <w:r w:rsidRPr="00B155EC">
              <w:rPr>
                <w:bCs/>
              </w:rPr>
              <w:t>Personal protective equipment costs</w:t>
            </w:r>
          </w:p>
        </w:tc>
        <w:tc>
          <w:tcPr>
            <w:tcW w:w="2693" w:type="dxa"/>
          </w:tcPr>
          <w:p w14:paraId="0BBA3164" w14:textId="1FD4B14D" w:rsidR="000B51DC" w:rsidRPr="00B02E59" w:rsidRDefault="00423668">
            <w:pPr>
              <w:keepNext/>
              <w:keepLines/>
              <w:jc w:val="right"/>
            </w:pPr>
            <w:r>
              <w:t>0.3</w:t>
            </w:r>
          </w:p>
        </w:tc>
        <w:tc>
          <w:tcPr>
            <w:tcW w:w="2551" w:type="dxa"/>
          </w:tcPr>
          <w:p w14:paraId="01057457" w14:textId="4B84D888" w:rsidR="000B51DC" w:rsidRPr="00B02E59" w:rsidRDefault="00B30036">
            <w:pPr>
              <w:keepNext/>
              <w:keepLines/>
              <w:jc w:val="right"/>
            </w:pPr>
            <w:r>
              <w:t>2.1</w:t>
            </w:r>
          </w:p>
        </w:tc>
      </w:tr>
      <w:tr w:rsidR="000B51DC" w:rsidRPr="00BA600A" w14:paraId="6C0D888F" w14:textId="77777777" w:rsidTr="00D97433">
        <w:trPr>
          <w:trHeight w:val="304"/>
        </w:trPr>
        <w:tc>
          <w:tcPr>
            <w:tcW w:w="3823" w:type="dxa"/>
            <w:shd w:val="clear" w:color="auto" w:fill="DAE3F8" w:themeFill="accent1" w:themeFillTint="33"/>
          </w:tcPr>
          <w:p w14:paraId="26E4E2F9" w14:textId="77777777" w:rsidR="000B51DC" w:rsidRPr="00154D99" w:rsidRDefault="000B51DC">
            <w:pPr>
              <w:pStyle w:val="Paragraph"/>
              <w:spacing w:after="0" w:line="276" w:lineRule="auto"/>
              <w:rPr>
                <w:b/>
              </w:rPr>
            </w:pPr>
            <w:r w:rsidRPr="00154D99">
              <w:rPr>
                <w:b/>
              </w:rPr>
              <w:t>Management practice costs</w:t>
            </w:r>
          </w:p>
        </w:tc>
        <w:tc>
          <w:tcPr>
            <w:tcW w:w="2693" w:type="dxa"/>
            <w:shd w:val="clear" w:color="auto" w:fill="DAE3F8" w:themeFill="accent1" w:themeFillTint="33"/>
          </w:tcPr>
          <w:p w14:paraId="35E4402D" w14:textId="0CE5ACE2" w:rsidR="000B51DC" w:rsidRPr="00154D99" w:rsidRDefault="00423668">
            <w:pPr>
              <w:keepNext/>
              <w:keepLines/>
              <w:jc w:val="right"/>
              <w:rPr>
                <w:b/>
              </w:rPr>
            </w:pPr>
            <w:r>
              <w:rPr>
                <w:b/>
              </w:rPr>
              <w:t>1.3</w:t>
            </w:r>
          </w:p>
        </w:tc>
        <w:tc>
          <w:tcPr>
            <w:tcW w:w="2551" w:type="dxa"/>
            <w:shd w:val="clear" w:color="auto" w:fill="DAE3F8" w:themeFill="accent1" w:themeFillTint="33"/>
          </w:tcPr>
          <w:p w14:paraId="107ED066" w14:textId="19596E50" w:rsidR="000B51DC" w:rsidRPr="00154D99" w:rsidRDefault="00B30036">
            <w:pPr>
              <w:keepNext/>
              <w:keepLines/>
              <w:jc w:val="right"/>
              <w:rPr>
                <w:b/>
              </w:rPr>
            </w:pPr>
            <w:r>
              <w:rPr>
                <w:b/>
              </w:rPr>
              <w:t>8.1</w:t>
            </w:r>
          </w:p>
        </w:tc>
      </w:tr>
      <w:tr w:rsidR="000B51DC" w:rsidRPr="00BA600A" w14:paraId="6EE8950F" w14:textId="77777777">
        <w:trPr>
          <w:trHeight w:val="288"/>
        </w:trPr>
        <w:tc>
          <w:tcPr>
            <w:tcW w:w="3823" w:type="dxa"/>
          </w:tcPr>
          <w:p w14:paraId="5E3CB5EE" w14:textId="77777777" w:rsidR="000B51DC" w:rsidRPr="00B155EC" w:rsidRDefault="000B51DC" w:rsidP="00C526E8">
            <w:pPr>
              <w:pStyle w:val="Paragraph"/>
              <w:spacing w:after="0" w:line="276" w:lineRule="auto"/>
              <w:ind w:left="175"/>
              <w:rPr>
                <w:bCs/>
              </w:rPr>
            </w:pPr>
            <w:r w:rsidRPr="00B155EC">
              <w:rPr>
                <w:bCs/>
              </w:rPr>
              <w:t>Air monitoring costs</w:t>
            </w:r>
          </w:p>
        </w:tc>
        <w:tc>
          <w:tcPr>
            <w:tcW w:w="2693" w:type="dxa"/>
          </w:tcPr>
          <w:p w14:paraId="5A1C5F86" w14:textId="38832882" w:rsidR="000B51DC" w:rsidRPr="00B02E59" w:rsidRDefault="00423668">
            <w:pPr>
              <w:keepNext/>
              <w:keepLines/>
              <w:jc w:val="right"/>
            </w:pPr>
            <w:r>
              <w:t>0.6</w:t>
            </w:r>
          </w:p>
        </w:tc>
        <w:tc>
          <w:tcPr>
            <w:tcW w:w="2551" w:type="dxa"/>
          </w:tcPr>
          <w:p w14:paraId="0D897F62" w14:textId="6F5F390F" w:rsidR="000B51DC" w:rsidRPr="00B02E59" w:rsidRDefault="00051A6E">
            <w:pPr>
              <w:keepNext/>
              <w:keepLines/>
              <w:jc w:val="right"/>
            </w:pPr>
            <w:r>
              <w:t>3.9</w:t>
            </w:r>
          </w:p>
        </w:tc>
      </w:tr>
      <w:tr w:rsidR="000B51DC" w:rsidRPr="00BA600A" w14:paraId="70D3C679" w14:textId="77777777" w:rsidTr="00D97433">
        <w:trPr>
          <w:trHeight w:val="304"/>
        </w:trPr>
        <w:tc>
          <w:tcPr>
            <w:tcW w:w="3823" w:type="dxa"/>
            <w:tcBorders>
              <w:bottom w:val="single" w:sz="4" w:space="0" w:color="BFBFBF" w:themeColor="background1" w:themeShade="BF"/>
            </w:tcBorders>
          </w:tcPr>
          <w:p w14:paraId="6BAB6512" w14:textId="77777777" w:rsidR="000B51DC" w:rsidRPr="00B155EC" w:rsidRDefault="000B51DC" w:rsidP="00C526E8">
            <w:pPr>
              <w:pStyle w:val="Paragraph"/>
              <w:spacing w:after="0" w:line="276" w:lineRule="auto"/>
              <w:ind w:left="175"/>
              <w:rPr>
                <w:bCs/>
              </w:rPr>
            </w:pPr>
            <w:r w:rsidRPr="00B155EC">
              <w:rPr>
                <w:bCs/>
              </w:rPr>
              <w:t>Occupational hygiene costs</w:t>
            </w:r>
          </w:p>
        </w:tc>
        <w:tc>
          <w:tcPr>
            <w:tcW w:w="2693" w:type="dxa"/>
            <w:tcBorders>
              <w:bottom w:val="single" w:sz="4" w:space="0" w:color="BFBFBF" w:themeColor="background1" w:themeShade="BF"/>
            </w:tcBorders>
          </w:tcPr>
          <w:p w14:paraId="295150DC" w14:textId="462E1F58" w:rsidR="000B51DC" w:rsidRPr="00B02E59" w:rsidRDefault="00423668">
            <w:pPr>
              <w:keepNext/>
              <w:keepLines/>
              <w:jc w:val="right"/>
            </w:pPr>
            <w:r>
              <w:t>0.7</w:t>
            </w:r>
          </w:p>
        </w:tc>
        <w:tc>
          <w:tcPr>
            <w:tcW w:w="2551" w:type="dxa"/>
            <w:tcBorders>
              <w:bottom w:val="single" w:sz="4" w:space="0" w:color="BFBFBF" w:themeColor="background1" w:themeShade="BF"/>
            </w:tcBorders>
          </w:tcPr>
          <w:p w14:paraId="2F97E25D" w14:textId="5D5059EB" w:rsidR="000B51DC" w:rsidRPr="00B02E59" w:rsidRDefault="00051A6E">
            <w:pPr>
              <w:keepNext/>
              <w:keepLines/>
              <w:jc w:val="right"/>
            </w:pPr>
            <w:r>
              <w:t>4.2</w:t>
            </w:r>
          </w:p>
        </w:tc>
      </w:tr>
      <w:tr w:rsidR="000B51DC" w:rsidRPr="00BA600A" w14:paraId="1DC5ABAD" w14:textId="77777777" w:rsidTr="00D97433">
        <w:trPr>
          <w:trHeight w:val="288"/>
        </w:trPr>
        <w:tc>
          <w:tcPr>
            <w:tcW w:w="3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1ACEC" w:themeFill="accent1" w:themeFillTint="99"/>
          </w:tcPr>
          <w:p w14:paraId="0772151C" w14:textId="77777777" w:rsidR="000B51DC" w:rsidRPr="00154D99" w:rsidRDefault="000B51DC">
            <w:pPr>
              <w:pStyle w:val="Paragraph"/>
              <w:spacing w:after="0" w:line="276" w:lineRule="auto"/>
              <w:rPr>
                <w:b/>
              </w:rPr>
            </w:pPr>
            <w:r w:rsidRPr="00154D99">
              <w:rPr>
                <w:b/>
              </w:rPr>
              <w:t>Total costs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1ACEC" w:themeFill="accent1" w:themeFillTint="99"/>
          </w:tcPr>
          <w:p w14:paraId="3EA07E1B" w14:textId="2752DAD2" w:rsidR="000B51DC" w:rsidRPr="00154D99" w:rsidRDefault="00423668">
            <w:pPr>
              <w:keepNext/>
              <w:keepLines/>
              <w:jc w:val="right"/>
              <w:rPr>
                <w:b/>
              </w:rPr>
            </w:pPr>
            <w:r>
              <w:rPr>
                <w:b/>
              </w:rPr>
              <w:t>10.1</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1ACEC" w:themeFill="accent1" w:themeFillTint="99"/>
          </w:tcPr>
          <w:p w14:paraId="2E12AEB9" w14:textId="3EA7C914" w:rsidR="000B51DC" w:rsidRPr="00154D99" w:rsidRDefault="00051A6E">
            <w:pPr>
              <w:keepNext/>
              <w:keepLines/>
              <w:jc w:val="right"/>
              <w:rPr>
                <w:b/>
              </w:rPr>
            </w:pPr>
            <w:r>
              <w:rPr>
                <w:b/>
              </w:rPr>
              <w:t>61.8</w:t>
            </w:r>
          </w:p>
        </w:tc>
      </w:tr>
    </w:tbl>
    <w:p w14:paraId="1BAF1E29" w14:textId="2EA561ED" w:rsidR="000B51DC" w:rsidRDefault="000B51DC" w:rsidP="00D97433">
      <w:pPr>
        <w:spacing w:before="240"/>
        <w:contextualSpacing w:val="0"/>
      </w:pPr>
      <w:r w:rsidRPr="38A49B51">
        <w:t xml:space="preserve">This regulatory impact analysis has also estimated the average annual and total costs to </w:t>
      </w:r>
      <w:r w:rsidR="00125356">
        <w:t>industry</w:t>
      </w:r>
      <w:r w:rsidR="00125356" w:rsidRPr="38A49B51">
        <w:t xml:space="preserve"> </w:t>
      </w:r>
      <w:r w:rsidRPr="38A49B51">
        <w:t>under low and high cost scenarios, where:</w:t>
      </w:r>
    </w:p>
    <w:p w14:paraId="2824B95A" w14:textId="01E0E5AF" w:rsidR="000B51DC" w:rsidRDefault="000B51DC" w:rsidP="00B57E6C">
      <w:pPr>
        <w:pStyle w:val="ListParagraph"/>
        <w:numPr>
          <w:ilvl w:val="0"/>
          <w:numId w:val="22"/>
        </w:numPr>
        <w:suppressAutoHyphens/>
        <w:spacing w:line="259" w:lineRule="auto"/>
        <w:ind w:left="714" w:hanging="357"/>
        <w:contextualSpacing w:val="0"/>
      </w:pPr>
      <w:bookmarkStart w:id="604" w:name="_Toc193192754"/>
      <w:bookmarkStart w:id="605" w:name="_Toc196204883"/>
      <w:r w:rsidRPr="38A49B51">
        <w:t>Under the low cost scenario, the average annual cost $</w:t>
      </w:r>
      <w:r w:rsidR="00051A6E">
        <w:t>8</w:t>
      </w:r>
      <w:r w:rsidRPr="38A49B51">
        <w:t xml:space="preserve"> million (undiscounted) and the total cost is $</w:t>
      </w:r>
      <w:r w:rsidR="00051A6E">
        <w:t>46</w:t>
      </w:r>
      <w:r w:rsidR="00051A6E" w:rsidRPr="38A49B51">
        <w:t xml:space="preserve"> </w:t>
      </w:r>
      <w:r w:rsidRPr="38A49B51">
        <w:t>million (discounted).</w:t>
      </w:r>
      <w:bookmarkEnd w:id="604"/>
      <w:bookmarkEnd w:id="605"/>
    </w:p>
    <w:p w14:paraId="23E77CDA" w14:textId="0EDAA427" w:rsidR="000B51DC" w:rsidRDefault="000B51DC" w:rsidP="00B57E6C">
      <w:pPr>
        <w:pStyle w:val="ListParagraph"/>
        <w:numPr>
          <w:ilvl w:val="0"/>
          <w:numId w:val="22"/>
        </w:numPr>
        <w:suppressAutoHyphens/>
        <w:spacing w:line="259" w:lineRule="auto"/>
        <w:ind w:left="714" w:hanging="357"/>
        <w:contextualSpacing w:val="0"/>
      </w:pPr>
      <w:bookmarkStart w:id="606" w:name="_Toc193192755"/>
      <w:bookmarkStart w:id="607" w:name="_Toc196204884"/>
      <w:r w:rsidRPr="38A49B51">
        <w:t>Under the high cost scenario, the average annual cost is $</w:t>
      </w:r>
      <w:r w:rsidR="00051A6E">
        <w:t>13</w:t>
      </w:r>
      <w:r w:rsidRPr="38A49B51">
        <w:t xml:space="preserve"> million (undiscounted) and the total cost is $</w:t>
      </w:r>
      <w:r w:rsidR="00051A6E">
        <w:t>77</w:t>
      </w:r>
      <w:r w:rsidR="00051A6E" w:rsidRPr="38A49B51">
        <w:t xml:space="preserve"> </w:t>
      </w:r>
      <w:r w:rsidRPr="38A49B51">
        <w:t>million (discounted).</w:t>
      </w:r>
      <w:bookmarkEnd w:id="606"/>
      <w:bookmarkEnd w:id="607"/>
    </w:p>
    <w:p w14:paraId="0F0C0A91" w14:textId="40E464AA" w:rsidR="00523CC8" w:rsidRDefault="00640FB3" w:rsidP="00D61012">
      <w:pPr>
        <w:suppressAutoHyphens/>
        <w:spacing w:line="259" w:lineRule="auto"/>
        <w:contextualSpacing w:val="0"/>
      </w:pPr>
      <w:r>
        <w:fldChar w:fldCharType="begin"/>
      </w:r>
      <w:r>
        <w:instrText xml:space="preserve"> REF _Ref216773412 \h </w:instrText>
      </w:r>
      <w:r>
        <w:fldChar w:fldCharType="separate"/>
      </w:r>
      <w:r w:rsidR="00A002F4">
        <w:t xml:space="preserve">Table </w:t>
      </w:r>
      <w:r w:rsidR="00A002F4">
        <w:rPr>
          <w:noProof/>
        </w:rPr>
        <w:t>44</w:t>
      </w:r>
      <w:r>
        <w:fldChar w:fldCharType="end"/>
      </w:r>
      <w:r w:rsidR="006250C0">
        <w:t xml:space="preserve"> </w:t>
      </w:r>
      <w:r w:rsidR="000B51DC" w:rsidRPr="004F240B">
        <w:t xml:space="preserve">presents the estimated average annual </w:t>
      </w:r>
      <w:r w:rsidR="00806390">
        <w:t>incremental</w:t>
      </w:r>
      <w:r w:rsidR="00806390" w:rsidRPr="004F240B">
        <w:t xml:space="preserve"> </w:t>
      </w:r>
      <w:r w:rsidR="000B51DC" w:rsidRPr="004F240B">
        <w:t xml:space="preserve">costs per affected business </w:t>
      </w:r>
      <w:r w:rsidR="000B51DC" w:rsidRPr="007C3418">
        <w:t xml:space="preserve">by business size category for the proposed WEL for </w:t>
      </w:r>
      <w:r w:rsidR="000B51DC">
        <w:t>titanium dioxide</w:t>
      </w:r>
      <w:r w:rsidR="000B51DC" w:rsidRPr="007C3418">
        <w:t xml:space="preserve">. </w:t>
      </w:r>
      <w:r w:rsidR="000B51DC" w:rsidRPr="001018C7">
        <w:t xml:space="preserve">The results do not factor in costs specific to a singular business or industry that </w:t>
      </w:r>
      <w:r w:rsidR="000B51DC">
        <w:t xml:space="preserve">are </w:t>
      </w:r>
      <w:r w:rsidR="000B51DC" w:rsidRPr="001018C7">
        <w:t>not expected for other businesses or industries</w:t>
      </w:r>
      <w:r w:rsidR="000B51DC">
        <w:t>.</w:t>
      </w:r>
      <w:r w:rsidR="008669DA">
        <w:t xml:space="preserve"> </w:t>
      </w:r>
      <w:r w:rsidR="008669DA" w:rsidRPr="00B548F6">
        <w:t>An average annual incremental cost is also assumed in the absence of information to indicate the true distribution of costs across the 10-year appraisal period</w:t>
      </w:r>
      <w:r w:rsidR="008669DA">
        <w:t>.</w:t>
      </w:r>
    </w:p>
    <w:p w14:paraId="32C95306" w14:textId="52FAA11E" w:rsidR="00523CC8" w:rsidRDefault="00944E17" w:rsidP="000B51DC">
      <w:r>
        <w:t>Businesses affected by the proposed WEL for titanium dioxide</w:t>
      </w:r>
      <w:r w:rsidR="00523CC8">
        <w:t xml:space="preserve"> come from the following industries:</w:t>
      </w:r>
    </w:p>
    <w:p w14:paraId="5F964CF4" w14:textId="52EC4310" w:rsidR="00EF5558" w:rsidRDefault="00A45A86" w:rsidP="00A2768E">
      <w:pPr>
        <w:pStyle w:val="ListParagraph"/>
        <w:numPr>
          <w:ilvl w:val="0"/>
          <w:numId w:val="53"/>
        </w:numPr>
        <w:ind w:left="714" w:hanging="357"/>
        <w:contextualSpacing w:val="0"/>
      </w:pPr>
      <w:r>
        <w:t>manufacturing,</w:t>
      </w:r>
    </w:p>
    <w:p w14:paraId="73B2D852" w14:textId="4CD5905B" w:rsidR="00EF5558" w:rsidRDefault="00A45A86" w:rsidP="00A2768E">
      <w:pPr>
        <w:pStyle w:val="ListParagraph"/>
        <w:numPr>
          <w:ilvl w:val="0"/>
          <w:numId w:val="53"/>
        </w:numPr>
        <w:ind w:left="714" w:hanging="357"/>
        <w:contextualSpacing w:val="0"/>
      </w:pPr>
      <w:r>
        <w:t>construction, and</w:t>
      </w:r>
    </w:p>
    <w:p w14:paraId="46A8654E" w14:textId="1C4AAE0A" w:rsidR="00EF5558" w:rsidRDefault="00A45A86" w:rsidP="00A2768E">
      <w:pPr>
        <w:pStyle w:val="ListParagraph"/>
        <w:numPr>
          <w:ilvl w:val="0"/>
          <w:numId w:val="53"/>
        </w:numPr>
        <w:ind w:left="714" w:hanging="357"/>
        <w:contextualSpacing w:val="0"/>
      </w:pPr>
      <w:bookmarkStart w:id="608" w:name="_Toc196204888"/>
      <w:r>
        <w:lastRenderedPageBreak/>
        <w:t xml:space="preserve">wholesale </w:t>
      </w:r>
      <w:r w:rsidR="00E52F04">
        <w:t>t</w:t>
      </w:r>
      <w:r w:rsidR="00EF5558">
        <w:t>rade</w:t>
      </w:r>
      <w:bookmarkEnd w:id="608"/>
      <w:r w:rsidR="00481E6E">
        <w:t>.</w:t>
      </w:r>
    </w:p>
    <w:p w14:paraId="56339589" w14:textId="77777777" w:rsidR="000B51DC" w:rsidRPr="007C3418" w:rsidRDefault="000B51DC" w:rsidP="00E9550B">
      <w:pPr>
        <w:spacing w:before="240"/>
        <w:contextualSpacing w:val="0"/>
      </w:pPr>
      <w:r w:rsidRPr="38A49B51">
        <w:t>The results indicate that:</w:t>
      </w:r>
    </w:p>
    <w:p w14:paraId="13FC8B3A" w14:textId="4AED4F6A" w:rsidR="000B51DC" w:rsidRPr="007C3418" w:rsidRDefault="000B51DC" w:rsidP="00B57E6C">
      <w:pPr>
        <w:pStyle w:val="ListParagraph"/>
        <w:numPr>
          <w:ilvl w:val="0"/>
          <w:numId w:val="23"/>
        </w:numPr>
        <w:suppressAutoHyphens/>
        <w:spacing w:line="259" w:lineRule="auto"/>
        <w:ind w:left="709"/>
        <w:contextualSpacing w:val="0"/>
      </w:pPr>
      <w:bookmarkStart w:id="609" w:name="_Toc193192756"/>
      <w:bookmarkStart w:id="610" w:name="_Toc196204890"/>
      <w:r w:rsidRPr="38A49B51">
        <w:t xml:space="preserve">There are an estimated </w:t>
      </w:r>
      <w:r w:rsidR="00051A6E">
        <w:t>875</w:t>
      </w:r>
      <w:r w:rsidRPr="38A49B51">
        <w:t xml:space="preserve"> affected businesses, comprising </w:t>
      </w:r>
      <w:r w:rsidR="00051A6E">
        <w:t>670</w:t>
      </w:r>
      <w:r w:rsidRPr="38A49B51">
        <w:t xml:space="preserve"> small businesses, </w:t>
      </w:r>
      <w:r w:rsidR="00051A6E">
        <w:t>190</w:t>
      </w:r>
      <w:r w:rsidR="00051A6E" w:rsidRPr="38A49B51">
        <w:t xml:space="preserve"> </w:t>
      </w:r>
      <w:r w:rsidRPr="38A49B51">
        <w:t xml:space="preserve">medium businesses and </w:t>
      </w:r>
      <w:r w:rsidR="00051A6E">
        <w:t>15</w:t>
      </w:r>
      <w:r w:rsidR="00051A6E" w:rsidRPr="38A49B51">
        <w:t xml:space="preserve"> </w:t>
      </w:r>
      <w:r w:rsidRPr="38A49B51">
        <w:t>large businesses.</w:t>
      </w:r>
      <w:bookmarkEnd w:id="609"/>
      <w:bookmarkEnd w:id="610"/>
    </w:p>
    <w:p w14:paraId="5A75FD78" w14:textId="354F7703" w:rsidR="000B51DC" w:rsidRDefault="000B51DC" w:rsidP="00B57E6C">
      <w:pPr>
        <w:pStyle w:val="ListParagraph"/>
        <w:numPr>
          <w:ilvl w:val="0"/>
          <w:numId w:val="23"/>
        </w:numPr>
        <w:suppressAutoHyphens/>
        <w:spacing w:line="259" w:lineRule="auto"/>
        <w:ind w:left="709"/>
        <w:contextualSpacing w:val="0"/>
      </w:pPr>
      <w:bookmarkStart w:id="611" w:name="_Toc193192757"/>
      <w:bookmarkStart w:id="612" w:name="_Toc196204891"/>
      <w:r w:rsidRPr="007C3418">
        <w:t xml:space="preserve">The estimated average annual cost </w:t>
      </w:r>
      <w:r w:rsidR="00A63221">
        <w:t>is $2,300 for</w:t>
      </w:r>
      <w:r w:rsidRPr="007C3418">
        <w:t xml:space="preserve"> </w:t>
      </w:r>
      <w:r w:rsidR="002F216F">
        <w:t>small businesses, $</w:t>
      </w:r>
      <w:r w:rsidR="00B106D4">
        <w:t>10,700</w:t>
      </w:r>
      <w:r>
        <w:t xml:space="preserve"> for medium businesses and $</w:t>
      </w:r>
      <w:r w:rsidR="00CD523C">
        <w:t>4</w:t>
      </w:r>
      <w:r w:rsidR="00B106D4">
        <w:t>2</w:t>
      </w:r>
      <w:r w:rsidR="00CD523C">
        <w:t>3</w:t>
      </w:r>
      <w:r w:rsidR="00B106D4">
        <w:t>,</w:t>
      </w:r>
      <w:r w:rsidR="00CD523C">
        <w:t>9</w:t>
      </w:r>
      <w:r w:rsidR="00B106D4">
        <w:t>0</w:t>
      </w:r>
      <w:r w:rsidR="00CD523C">
        <w:t>0</w:t>
      </w:r>
      <w:r>
        <w:t xml:space="preserve"> </w:t>
      </w:r>
      <w:r w:rsidR="00CD523C">
        <w:t>for large</w:t>
      </w:r>
      <w:r>
        <w:t xml:space="preserve"> businesses.</w:t>
      </w:r>
      <w:bookmarkEnd w:id="611"/>
      <w:bookmarkEnd w:id="612"/>
    </w:p>
    <w:p w14:paraId="4E088A8B" w14:textId="171B855D" w:rsidR="00640FB3" w:rsidRDefault="00640FB3" w:rsidP="003349CC">
      <w:pPr>
        <w:pStyle w:val="Caption"/>
      </w:pPr>
      <w:bookmarkStart w:id="613" w:name="_Ref216773412"/>
      <w:r>
        <w:t xml:space="preserve">Table </w:t>
      </w:r>
      <w:fldSimple w:instr=" SEQ Table \* ARABIC ">
        <w:r w:rsidR="00A002F4">
          <w:rPr>
            <w:noProof/>
          </w:rPr>
          <w:t>44</w:t>
        </w:r>
      </w:fldSimple>
      <w:bookmarkEnd w:id="613"/>
      <w:r>
        <w:t xml:space="preserve"> - </w:t>
      </w:r>
      <w:r w:rsidRPr="006C4819">
        <w:t>Estimated average annual incremental cost per affected business by business size ($, undiscounted) and affected businesses for titanium dioxide, FY27 to FY36</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3"/>
        <w:gridCol w:w="2115"/>
        <w:gridCol w:w="2391"/>
        <w:gridCol w:w="2257"/>
      </w:tblGrid>
      <w:tr w:rsidR="000B51DC" w14:paraId="5D927074" w14:textId="77777777" w:rsidTr="006717DC">
        <w:tc>
          <w:tcPr>
            <w:tcW w:w="2253" w:type="dxa"/>
            <w:shd w:val="clear" w:color="auto" w:fill="4877E0" w:themeFill="accent1"/>
          </w:tcPr>
          <w:p w14:paraId="7201AFF6" w14:textId="77777777" w:rsidR="000B51DC" w:rsidRPr="006717DC" w:rsidRDefault="000B51DC">
            <w:pPr>
              <w:keepNext/>
              <w:keepLines/>
              <w:suppressAutoHyphens/>
              <w:spacing w:after="0" w:line="259" w:lineRule="auto"/>
              <w:contextualSpacing w:val="0"/>
              <w:rPr>
                <w:b/>
                <w:bCs/>
                <w:color w:val="FFFFFF" w:themeColor="background1"/>
              </w:rPr>
            </w:pPr>
            <w:r w:rsidRPr="006717DC">
              <w:rPr>
                <w:b/>
                <w:bCs/>
                <w:color w:val="FFFFFF" w:themeColor="background1"/>
              </w:rPr>
              <w:t>Measure</w:t>
            </w:r>
          </w:p>
        </w:tc>
        <w:tc>
          <w:tcPr>
            <w:tcW w:w="2115" w:type="dxa"/>
            <w:shd w:val="clear" w:color="auto" w:fill="4877E0" w:themeFill="accent1"/>
          </w:tcPr>
          <w:p w14:paraId="45C87391" w14:textId="77777777" w:rsidR="000B51DC" w:rsidRPr="006717DC" w:rsidRDefault="000B51DC">
            <w:pPr>
              <w:keepNext/>
              <w:keepLines/>
              <w:suppressAutoHyphens/>
              <w:spacing w:after="0" w:line="259" w:lineRule="auto"/>
              <w:contextualSpacing w:val="0"/>
              <w:rPr>
                <w:b/>
                <w:bCs/>
                <w:color w:val="FFFFFF" w:themeColor="background1"/>
              </w:rPr>
            </w:pPr>
            <w:r w:rsidRPr="006717DC">
              <w:rPr>
                <w:b/>
                <w:bCs/>
                <w:color w:val="FFFFFF" w:themeColor="background1"/>
              </w:rPr>
              <w:t>Small businesses</w:t>
            </w:r>
          </w:p>
        </w:tc>
        <w:tc>
          <w:tcPr>
            <w:tcW w:w="2391" w:type="dxa"/>
            <w:shd w:val="clear" w:color="auto" w:fill="4877E0" w:themeFill="accent1"/>
          </w:tcPr>
          <w:p w14:paraId="36065D9D" w14:textId="77777777" w:rsidR="000B51DC" w:rsidRPr="006717DC" w:rsidRDefault="000B51DC">
            <w:pPr>
              <w:keepNext/>
              <w:keepLines/>
              <w:suppressAutoHyphens/>
              <w:spacing w:after="0" w:line="259" w:lineRule="auto"/>
              <w:contextualSpacing w:val="0"/>
              <w:rPr>
                <w:b/>
                <w:bCs/>
                <w:color w:val="FFFFFF" w:themeColor="background1"/>
              </w:rPr>
            </w:pPr>
            <w:r w:rsidRPr="006717DC">
              <w:rPr>
                <w:b/>
                <w:bCs/>
                <w:color w:val="FFFFFF" w:themeColor="background1"/>
              </w:rPr>
              <w:t>Medium businesses</w:t>
            </w:r>
          </w:p>
        </w:tc>
        <w:tc>
          <w:tcPr>
            <w:tcW w:w="2257" w:type="dxa"/>
            <w:shd w:val="clear" w:color="auto" w:fill="4877E0" w:themeFill="accent1"/>
          </w:tcPr>
          <w:p w14:paraId="2D422501" w14:textId="77777777" w:rsidR="000B51DC" w:rsidRPr="006717DC" w:rsidRDefault="000B51DC">
            <w:pPr>
              <w:keepNext/>
              <w:keepLines/>
              <w:suppressAutoHyphens/>
              <w:spacing w:after="0" w:line="259" w:lineRule="auto"/>
              <w:contextualSpacing w:val="0"/>
              <w:rPr>
                <w:b/>
                <w:bCs/>
                <w:color w:val="FFFFFF" w:themeColor="background1"/>
              </w:rPr>
            </w:pPr>
            <w:r w:rsidRPr="006717DC">
              <w:rPr>
                <w:b/>
                <w:bCs/>
                <w:color w:val="FFFFFF" w:themeColor="background1"/>
              </w:rPr>
              <w:t>Large businesses</w:t>
            </w:r>
          </w:p>
        </w:tc>
      </w:tr>
      <w:tr w:rsidR="002C6261" w14:paraId="376D1C84" w14:textId="77777777" w:rsidTr="002C6261">
        <w:tc>
          <w:tcPr>
            <w:tcW w:w="2253" w:type="dxa"/>
          </w:tcPr>
          <w:p w14:paraId="56B4A777" w14:textId="635EEA87" w:rsidR="002C6261" w:rsidRPr="00296A4F" w:rsidRDefault="002C6261" w:rsidP="002C6261">
            <w:pPr>
              <w:keepNext/>
              <w:keepLines/>
              <w:suppressAutoHyphens/>
              <w:spacing w:after="0" w:line="259" w:lineRule="auto"/>
              <w:contextualSpacing w:val="0"/>
              <w:rPr>
                <w:b/>
                <w:bCs/>
              </w:rPr>
            </w:pPr>
            <w:r w:rsidRPr="00296A4F">
              <w:rPr>
                <w:b/>
                <w:bCs/>
              </w:rPr>
              <w:t>Number of affected businesses p.a.</w:t>
            </w:r>
          </w:p>
        </w:tc>
        <w:tc>
          <w:tcPr>
            <w:tcW w:w="2115" w:type="dxa"/>
            <w:vAlign w:val="center"/>
          </w:tcPr>
          <w:p w14:paraId="6B8953A0" w14:textId="4CBBD77F" w:rsidR="002C6261" w:rsidRPr="00CB0E3F" w:rsidDel="00B106D4" w:rsidRDefault="00051A6E" w:rsidP="002C6261">
            <w:pPr>
              <w:keepNext/>
              <w:keepLines/>
              <w:suppressAutoHyphens/>
              <w:spacing w:after="0" w:line="259" w:lineRule="auto"/>
              <w:contextualSpacing w:val="0"/>
              <w:jc w:val="right"/>
            </w:pPr>
            <w:r>
              <w:t>670</w:t>
            </w:r>
          </w:p>
        </w:tc>
        <w:tc>
          <w:tcPr>
            <w:tcW w:w="2391" w:type="dxa"/>
            <w:vAlign w:val="center"/>
          </w:tcPr>
          <w:p w14:paraId="0E5A0156" w14:textId="5DA189E0" w:rsidR="002C6261" w:rsidRDefault="00051A6E" w:rsidP="002C6261">
            <w:pPr>
              <w:keepNext/>
              <w:keepLines/>
              <w:suppressAutoHyphens/>
              <w:spacing w:after="0" w:line="259" w:lineRule="auto"/>
              <w:contextualSpacing w:val="0"/>
              <w:jc w:val="right"/>
            </w:pPr>
            <w:r>
              <w:t>190</w:t>
            </w:r>
          </w:p>
        </w:tc>
        <w:tc>
          <w:tcPr>
            <w:tcW w:w="2257" w:type="dxa"/>
            <w:vAlign w:val="center"/>
          </w:tcPr>
          <w:p w14:paraId="2DF1FC69" w14:textId="339965D7" w:rsidR="002C6261" w:rsidRPr="007977EE" w:rsidRDefault="00051A6E" w:rsidP="002C6261">
            <w:pPr>
              <w:keepNext/>
              <w:keepLines/>
              <w:suppressAutoHyphens/>
              <w:spacing w:after="0" w:line="259" w:lineRule="auto"/>
              <w:contextualSpacing w:val="0"/>
              <w:jc w:val="right"/>
            </w:pPr>
            <w:r>
              <w:t>15</w:t>
            </w:r>
          </w:p>
        </w:tc>
      </w:tr>
      <w:tr w:rsidR="002C6261" w14:paraId="5A6A5514" w14:textId="77777777" w:rsidTr="00A63221">
        <w:tc>
          <w:tcPr>
            <w:tcW w:w="2253" w:type="dxa"/>
            <w:shd w:val="clear" w:color="auto" w:fill="DAE3F8" w:themeFill="accent1" w:themeFillTint="33"/>
          </w:tcPr>
          <w:p w14:paraId="55F0EADB" w14:textId="77777777" w:rsidR="002C6261" w:rsidRPr="00296A4F" w:rsidRDefault="002C6261" w:rsidP="002C6261">
            <w:pPr>
              <w:keepNext/>
              <w:keepLines/>
              <w:suppressAutoHyphens/>
              <w:spacing w:after="0" w:line="259" w:lineRule="auto"/>
              <w:contextualSpacing w:val="0"/>
              <w:rPr>
                <w:b/>
                <w:bCs/>
              </w:rPr>
            </w:pPr>
            <w:r w:rsidRPr="00296A4F">
              <w:rPr>
                <w:b/>
                <w:bCs/>
              </w:rPr>
              <w:t>Av. cost per business p.a.</w:t>
            </w:r>
          </w:p>
        </w:tc>
        <w:tc>
          <w:tcPr>
            <w:tcW w:w="2115" w:type="dxa"/>
            <w:shd w:val="clear" w:color="auto" w:fill="DAE3F8" w:themeFill="accent1" w:themeFillTint="33"/>
            <w:vAlign w:val="center"/>
          </w:tcPr>
          <w:p w14:paraId="166EAFCC" w14:textId="47057EAB" w:rsidR="002C6261" w:rsidRDefault="002C6261" w:rsidP="002C6261">
            <w:pPr>
              <w:keepNext/>
              <w:keepLines/>
              <w:suppressAutoHyphens/>
              <w:spacing w:after="0" w:line="259" w:lineRule="auto"/>
              <w:contextualSpacing w:val="0"/>
              <w:jc w:val="right"/>
            </w:pPr>
            <w:r>
              <w:t>2</w:t>
            </w:r>
            <w:r w:rsidRPr="00CB0E3F">
              <w:t>,</w:t>
            </w:r>
            <w:r>
              <w:t>300</w:t>
            </w:r>
          </w:p>
        </w:tc>
        <w:tc>
          <w:tcPr>
            <w:tcW w:w="2391" w:type="dxa"/>
            <w:shd w:val="clear" w:color="auto" w:fill="DAE3F8" w:themeFill="accent1" w:themeFillTint="33"/>
            <w:vAlign w:val="center"/>
          </w:tcPr>
          <w:p w14:paraId="2F5AEF97" w14:textId="02188ACD" w:rsidR="002C6261" w:rsidRDefault="002C6261" w:rsidP="002C6261">
            <w:pPr>
              <w:keepNext/>
              <w:keepLines/>
              <w:suppressAutoHyphens/>
              <w:spacing w:after="0" w:line="259" w:lineRule="auto"/>
              <w:contextualSpacing w:val="0"/>
              <w:jc w:val="right"/>
            </w:pPr>
            <w:r>
              <w:t>10,700</w:t>
            </w:r>
          </w:p>
        </w:tc>
        <w:tc>
          <w:tcPr>
            <w:tcW w:w="2257" w:type="dxa"/>
            <w:shd w:val="clear" w:color="auto" w:fill="DAE3F8" w:themeFill="accent1" w:themeFillTint="33"/>
            <w:vAlign w:val="center"/>
          </w:tcPr>
          <w:p w14:paraId="4EA63C76" w14:textId="24D736C4" w:rsidR="002C6261" w:rsidRDefault="002C6261" w:rsidP="002C6261">
            <w:pPr>
              <w:keepNext/>
              <w:keepLines/>
              <w:suppressAutoHyphens/>
              <w:spacing w:after="0" w:line="259" w:lineRule="auto"/>
              <w:contextualSpacing w:val="0"/>
              <w:jc w:val="right"/>
            </w:pPr>
            <w:r w:rsidRPr="007977EE">
              <w:t>4</w:t>
            </w:r>
            <w:r>
              <w:t>23,900</w:t>
            </w:r>
          </w:p>
        </w:tc>
      </w:tr>
    </w:tbl>
    <w:p w14:paraId="01A3A74B" w14:textId="582576BE" w:rsidR="00394C23" w:rsidRDefault="00B224E2" w:rsidP="00752E42">
      <w:pPr>
        <w:pStyle w:val="SWAHeading2"/>
        <w:ind w:left="709"/>
      </w:pPr>
      <w:bookmarkStart w:id="614" w:name="_Toc196204892"/>
      <w:bookmarkStart w:id="615" w:name="_Toc219216925"/>
      <w:r>
        <w:t xml:space="preserve">Stakeholder </w:t>
      </w:r>
      <w:r w:rsidR="00227EFB">
        <w:t xml:space="preserve">views on the proposed WEL for </w:t>
      </w:r>
      <w:r>
        <w:t>titanium dioxide</w:t>
      </w:r>
      <w:bookmarkEnd w:id="614"/>
      <w:bookmarkEnd w:id="615"/>
    </w:p>
    <w:p w14:paraId="463933E7" w14:textId="167E67FF" w:rsidR="00AA4D33" w:rsidRPr="00D97433" w:rsidRDefault="008762AC" w:rsidP="00D97433">
      <w:pPr>
        <w:pStyle w:val="paragraph0"/>
        <w:keepNext/>
        <w:keepLines/>
        <w:spacing w:before="0" w:beforeAutospacing="0" w:after="120" w:afterAutospacing="0"/>
        <w:contextualSpacing w:val="0"/>
        <w:textAlignment w:val="baseline"/>
        <w:rPr>
          <w:rFonts w:eastAsiaTheme="majorEastAsia" w:cs="Arial"/>
          <w:szCs w:val="22"/>
        </w:rPr>
      </w:pPr>
      <w:r>
        <w:rPr>
          <w:rStyle w:val="normaltextrun"/>
          <w:rFonts w:ascii="Arial" w:eastAsiaTheme="majorEastAsia" w:hAnsi="Arial" w:cs="Arial"/>
          <w:sz w:val="22"/>
          <w:szCs w:val="22"/>
        </w:rPr>
        <w:t>As part of the</w:t>
      </w:r>
      <w:r w:rsidR="00AA4D33">
        <w:rPr>
          <w:rStyle w:val="normaltextrun"/>
          <w:rFonts w:ascii="Arial" w:eastAsiaTheme="majorEastAsia" w:hAnsi="Arial" w:cs="Arial"/>
          <w:sz w:val="22"/>
          <w:szCs w:val="22"/>
        </w:rPr>
        <w:t xml:space="preserve"> public consultation</w:t>
      </w:r>
      <w:r>
        <w:rPr>
          <w:rStyle w:val="normaltextrun"/>
          <w:rFonts w:ascii="Arial" w:eastAsiaTheme="majorEastAsia" w:hAnsi="Arial" w:cs="Arial"/>
          <w:sz w:val="22"/>
          <w:szCs w:val="22"/>
        </w:rPr>
        <w:t xml:space="preserve"> process supporting this Decision RIS</w:t>
      </w:r>
      <w:r w:rsidR="00AA4D33">
        <w:rPr>
          <w:rStyle w:val="normaltextrun"/>
          <w:rFonts w:ascii="Arial" w:eastAsiaTheme="majorEastAsia" w:hAnsi="Arial" w:cs="Arial"/>
          <w:sz w:val="22"/>
          <w:szCs w:val="22"/>
        </w:rPr>
        <w:t xml:space="preserve">, </w:t>
      </w:r>
      <w:r>
        <w:rPr>
          <w:rStyle w:val="normaltextrun"/>
          <w:rFonts w:ascii="Arial" w:eastAsiaTheme="majorEastAsia" w:hAnsi="Arial" w:cs="Arial"/>
          <w:sz w:val="22"/>
          <w:szCs w:val="22"/>
        </w:rPr>
        <w:t>16</w:t>
      </w:r>
      <w:r w:rsidR="00DF3533">
        <w:rPr>
          <w:rStyle w:val="normaltextrun"/>
          <w:rFonts w:ascii="Arial" w:eastAsiaTheme="majorEastAsia" w:hAnsi="Arial" w:cs="Arial"/>
          <w:sz w:val="22"/>
          <w:szCs w:val="22"/>
        </w:rPr>
        <w:t xml:space="preserve"> submissions were received</w:t>
      </w:r>
      <w:r>
        <w:rPr>
          <w:rStyle w:val="normaltextrun"/>
          <w:rFonts w:ascii="Arial" w:eastAsiaTheme="majorEastAsia" w:hAnsi="Arial" w:cs="Arial"/>
          <w:sz w:val="22"/>
          <w:szCs w:val="22"/>
        </w:rPr>
        <w:t xml:space="preserve"> that addressed the proposed WEL</w:t>
      </w:r>
      <w:r w:rsidR="00DF3533">
        <w:rPr>
          <w:rStyle w:val="normaltextrun"/>
          <w:rFonts w:ascii="Arial" w:eastAsiaTheme="majorEastAsia" w:hAnsi="Arial" w:cs="Arial"/>
          <w:sz w:val="22"/>
          <w:szCs w:val="22"/>
        </w:rPr>
        <w:t xml:space="preserve"> for titanium dioxide. </w:t>
      </w:r>
    </w:p>
    <w:p w14:paraId="25DD1D48" w14:textId="712476A6" w:rsidR="00FD3C8B" w:rsidRDefault="008762AC" w:rsidP="00FD3C8B">
      <w:r>
        <w:t xml:space="preserve">A majority of submissions </w:t>
      </w:r>
      <w:r w:rsidR="00FD3C8B">
        <w:t>(</w:t>
      </w:r>
      <w:r w:rsidR="00E10B2E">
        <w:t xml:space="preserve">9 </w:t>
      </w:r>
      <w:r w:rsidR="00DF3533">
        <w:t>out of 16</w:t>
      </w:r>
      <w:r w:rsidR="00FD3C8B">
        <w:t>) were supportive of</w:t>
      </w:r>
      <w:r w:rsidR="00DA0AFC">
        <w:t xml:space="preserve"> the proposed health-based TWA</w:t>
      </w:r>
      <w:r w:rsidR="00D81B40">
        <w:t>s</w:t>
      </w:r>
      <w:r w:rsidR="007D4D79">
        <w:t xml:space="preserve"> </w:t>
      </w:r>
      <w:r w:rsidR="00D73302">
        <w:t xml:space="preserve">for </w:t>
      </w:r>
      <w:r w:rsidR="007D4D79">
        <w:t>titanium dioxide</w:t>
      </w:r>
      <w:r w:rsidR="00D73302">
        <w:t xml:space="preserve"> (Option 2</w:t>
      </w:r>
      <w:r w:rsidR="005F0713">
        <w:t>)</w:t>
      </w:r>
      <w:r w:rsidR="00FD3C8B">
        <w:t>:</w:t>
      </w:r>
    </w:p>
    <w:p w14:paraId="2EB91013" w14:textId="6A16A060" w:rsidR="00FD3C8B" w:rsidRDefault="00FD3C8B" w:rsidP="00B57E6C">
      <w:pPr>
        <w:pStyle w:val="ListParagraph"/>
        <w:numPr>
          <w:ilvl w:val="0"/>
          <w:numId w:val="45"/>
        </w:numPr>
        <w:spacing w:line="259" w:lineRule="auto"/>
        <w:ind w:left="714" w:hanging="357"/>
        <w:contextualSpacing w:val="0"/>
      </w:pPr>
      <w:bookmarkStart w:id="616" w:name="_Toc196204894"/>
      <w:r>
        <w:t>0.3 mg/m</w:t>
      </w:r>
      <w:r w:rsidRPr="00150331">
        <w:rPr>
          <w:vertAlign w:val="superscript"/>
        </w:rPr>
        <w:t>3</w:t>
      </w:r>
      <w:r>
        <w:t xml:space="preserve"> for ultrafine/nanoscale particles (respirable)</w:t>
      </w:r>
      <w:bookmarkEnd w:id="616"/>
    </w:p>
    <w:p w14:paraId="0CAA81BC" w14:textId="021F08D2" w:rsidR="00FD3C8B" w:rsidRDefault="00FD3C8B" w:rsidP="00B57E6C">
      <w:pPr>
        <w:pStyle w:val="ListParagraph"/>
        <w:numPr>
          <w:ilvl w:val="0"/>
          <w:numId w:val="45"/>
        </w:numPr>
        <w:spacing w:line="259" w:lineRule="auto"/>
        <w:ind w:left="714" w:hanging="357"/>
        <w:contextualSpacing w:val="0"/>
      </w:pPr>
      <w:bookmarkStart w:id="617" w:name="_Toc196204895"/>
      <w:r>
        <w:t>2.4 mg/m</w:t>
      </w:r>
      <w:r w:rsidRPr="00D97433">
        <w:rPr>
          <w:vertAlign w:val="superscript"/>
        </w:rPr>
        <w:t>3</w:t>
      </w:r>
      <w:r>
        <w:t xml:space="preserve"> for fine/pigmentary grade particles (respirable).</w:t>
      </w:r>
      <w:bookmarkEnd w:id="617"/>
    </w:p>
    <w:p w14:paraId="043FB672" w14:textId="364D5F70" w:rsidR="00FD3C8B" w:rsidRDefault="00FD3C8B" w:rsidP="00FD3C8B">
      <w:r>
        <w:t>These submissions came from professionals, government</w:t>
      </w:r>
      <w:r w:rsidR="00D81B40">
        <w:t xml:space="preserve">s </w:t>
      </w:r>
      <w:r>
        <w:t>and academics. S</w:t>
      </w:r>
      <w:r w:rsidR="00D81B40">
        <w:t xml:space="preserve">takeholders </w:t>
      </w:r>
      <w:r w:rsidR="0053287B">
        <w:t xml:space="preserve">who supported Option 2 </w:t>
      </w:r>
      <w:r w:rsidR="00D81B40">
        <w:t>noted their s</w:t>
      </w:r>
      <w:r>
        <w:t xml:space="preserve">upport </w:t>
      </w:r>
      <w:r w:rsidR="0053287B">
        <w:t xml:space="preserve">is </w:t>
      </w:r>
      <w:r>
        <w:t>based on:</w:t>
      </w:r>
    </w:p>
    <w:p w14:paraId="1B46E488" w14:textId="7A8663BC" w:rsidR="00FD3C8B" w:rsidRDefault="00FD3C8B" w:rsidP="00B57E6C">
      <w:pPr>
        <w:pStyle w:val="ListParagraph"/>
        <w:numPr>
          <w:ilvl w:val="0"/>
          <w:numId w:val="46"/>
        </w:numPr>
        <w:spacing w:line="259" w:lineRule="auto"/>
        <w:ind w:left="765" w:hanging="357"/>
        <w:contextualSpacing w:val="0"/>
      </w:pPr>
      <w:bookmarkStart w:id="618" w:name="_Toc196204896"/>
      <w:r>
        <w:t>reducing the exposure limit would provide more robust protection for workers</w:t>
      </w:r>
      <w:r w:rsidR="004647FF">
        <w:rPr>
          <w:rStyle w:val="FootnoteReference"/>
        </w:rPr>
        <w:footnoteReference w:id="315"/>
      </w:r>
      <w:r>
        <w:t xml:space="preserve"> a</w:t>
      </w:r>
      <w:r w:rsidR="00D81B40">
        <w:t>n</w:t>
      </w:r>
      <w:r>
        <w:t>d “reduce the worker exposure to acceptable levels</w:t>
      </w:r>
      <w:bookmarkEnd w:id="618"/>
      <w:r>
        <w:t>”</w:t>
      </w:r>
      <w:r w:rsidR="004647FF">
        <w:t xml:space="preserve"> </w:t>
      </w:r>
      <w:r w:rsidR="00B45B20">
        <w:rPr>
          <w:rStyle w:val="FootnoteReference"/>
        </w:rPr>
        <w:footnoteReference w:id="316"/>
      </w:r>
      <w:r>
        <w:t>,</w:t>
      </w:r>
    </w:p>
    <w:p w14:paraId="62D893D7" w14:textId="54054CB6" w:rsidR="00817DDE" w:rsidRDefault="00817DDE" w:rsidP="00B57E6C">
      <w:pPr>
        <w:pStyle w:val="ListParagraph"/>
        <w:numPr>
          <w:ilvl w:val="0"/>
          <w:numId w:val="46"/>
        </w:numPr>
        <w:spacing w:line="259" w:lineRule="auto"/>
        <w:ind w:left="765" w:hanging="357"/>
        <w:contextualSpacing w:val="0"/>
      </w:pPr>
      <w:r>
        <w:t xml:space="preserve">the current WES </w:t>
      </w:r>
      <w:r w:rsidR="00BD0161" w:rsidRPr="00195AF2">
        <w:t>not reflecting</w:t>
      </w:r>
      <w:r>
        <w:t xml:space="preserve"> good dust managemen</w:t>
      </w:r>
      <w:r w:rsidR="001C3DAE">
        <w:t>t</w:t>
      </w:r>
      <w:r w:rsidR="001C3DAE">
        <w:rPr>
          <w:rStyle w:val="FootnoteReference"/>
        </w:rPr>
        <w:footnoteReference w:id="317"/>
      </w:r>
      <w:r w:rsidR="00A45A86">
        <w:t>,</w:t>
      </w:r>
    </w:p>
    <w:p w14:paraId="09B9FE94" w14:textId="391C8656" w:rsidR="00FD3C8B" w:rsidRDefault="00FD3C8B" w:rsidP="00B57E6C">
      <w:pPr>
        <w:pStyle w:val="ListParagraph"/>
        <w:numPr>
          <w:ilvl w:val="0"/>
          <w:numId w:val="46"/>
        </w:numPr>
        <w:spacing w:line="259" w:lineRule="auto"/>
        <w:ind w:left="765" w:hanging="357"/>
        <w:contextualSpacing w:val="0"/>
      </w:pPr>
      <w:bookmarkStart w:id="619" w:name="_Toc196204897"/>
      <w:r>
        <w:t xml:space="preserve">the limits proposed in Option 2 </w:t>
      </w:r>
      <w:r w:rsidR="00BD0161">
        <w:t>meeting</w:t>
      </w:r>
      <w:r>
        <w:t xml:space="preserve"> international best practice</w:t>
      </w:r>
      <w:bookmarkEnd w:id="619"/>
      <w:r w:rsidR="00526C30">
        <w:rPr>
          <w:rStyle w:val="FootnoteReference"/>
        </w:rPr>
        <w:footnoteReference w:id="318"/>
      </w:r>
      <w:r w:rsidR="00A45A86">
        <w:t>, and</w:t>
      </w:r>
    </w:p>
    <w:p w14:paraId="3F682255" w14:textId="63010C2E" w:rsidR="00FD3C8B" w:rsidRDefault="00FD3C8B" w:rsidP="00B57E6C">
      <w:pPr>
        <w:pStyle w:val="ListParagraph"/>
        <w:numPr>
          <w:ilvl w:val="0"/>
          <w:numId w:val="46"/>
        </w:numPr>
        <w:spacing w:line="259" w:lineRule="auto"/>
        <w:ind w:left="765" w:hanging="357"/>
        <w:contextualSpacing w:val="0"/>
      </w:pPr>
      <w:bookmarkStart w:id="620" w:name="_Toc196204898"/>
      <w:r>
        <w:t>evidence suggest</w:t>
      </w:r>
      <w:r w:rsidR="00034339">
        <w:t>ing</w:t>
      </w:r>
      <w:r>
        <w:t xml:space="preserve"> titanium dioxide has a similar hazard profile to RCS, and greater control of the respirable fraction of titanium dioxide would be “wise”</w:t>
      </w:r>
      <w:r w:rsidR="00B5266F">
        <w:rPr>
          <w:rStyle w:val="FootnoteReference"/>
        </w:rPr>
        <w:footnoteReference w:id="319"/>
      </w:r>
      <w:r>
        <w:t>.</w:t>
      </w:r>
      <w:bookmarkEnd w:id="620"/>
      <w:r>
        <w:t xml:space="preserve"> </w:t>
      </w:r>
    </w:p>
    <w:p w14:paraId="1E230A01" w14:textId="77777777" w:rsidR="00F33D31" w:rsidRDefault="00FD3C8B" w:rsidP="00D97433">
      <w:pPr>
        <w:contextualSpacing w:val="0"/>
      </w:pPr>
      <w:r>
        <w:t xml:space="preserve">Under half of the submissions (6 </w:t>
      </w:r>
      <w:r w:rsidR="00EA5736">
        <w:t>out of 16</w:t>
      </w:r>
      <w:r>
        <w:t>) were supportive of retaining the current WES of 10 mg/m</w:t>
      </w:r>
      <w:r w:rsidRPr="005F5D61">
        <w:rPr>
          <w:vertAlign w:val="superscript"/>
        </w:rPr>
        <w:t>3</w:t>
      </w:r>
      <w:r>
        <w:t xml:space="preserve"> for titanium dioxide</w:t>
      </w:r>
      <w:r w:rsidR="00F1618D">
        <w:t xml:space="preserve"> (inhalable fraction)</w:t>
      </w:r>
      <w:r w:rsidR="001418C7">
        <w:t xml:space="preserve"> (Option 1)</w:t>
      </w:r>
      <w:r>
        <w:t>.</w:t>
      </w:r>
    </w:p>
    <w:p w14:paraId="49D20AC1" w14:textId="0F29699E" w:rsidR="00FD3C8B" w:rsidRDefault="00FD3C8B" w:rsidP="00D97433">
      <w:pPr>
        <w:contextualSpacing w:val="0"/>
      </w:pPr>
      <w:r>
        <w:lastRenderedPageBreak/>
        <w:t>These submissions came from industry bodies and PCBU</w:t>
      </w:r>
      <w:r w:rsidR="009F0F07">
        <w:t>s</w:t>
      </w:r>
      <w:r>
        <w:t>. S</w:t>
      </w:r>
      <w:r w:rsidR="009F0F07">
        <w:t xml:space="preserve">takeholders </w:t>
      </w:r>
      <w:r w:rsidR="00034339">
        <w:t xml:space="preserve">who supported Option 1 </w:t>
      </w:r>
      <w:r w:rsidR="00BB39AA">
        <w:t xml:space="preserve">noted </w:t>
      </w:r>
      <w:r w:rsidR="00034339">
        <w:t>their support is</w:t>
      </w:r>
      <w:r>
        <w:t xml:space="preserve"> based on:</w:t>
      </w:r>
    </w:p>
    <w:p w14:paraId="53831EAE" w14:textId="318AB312" w:rsidR="007926D2" w:rsidRDefault="007926D2" w:rsidP="00B57E6C">
      <w:pPr>
        <w:pStyle w:val="ListParagraph"/>
        <w:numPr>
          <w:ilvl w:val="0"/>
          <w:numId w:val="47"/>
        </w:numPr>
        <w:spacing w:line="259" w:lineRule="auto"/>
        <w:ind w:left="765" w:hanging="357"/>
        <w:contextualSpacing w:val="0"/>
      </w:pPr>
      <w:bookmarkStart w:id="621" w:name="_Toc196204899"/>
      <w:r>
        <w:t>the consultation paper establishes no benefit that justif</w:t>
      </w:r>
      <w:r w:rsidR="00257C88">
        <w:t>ies</w:t>
      </w:r>
      <w:r>
        <w:t xml:space="preserve"> changing the exposure limit</w:t>
      </w:r>
      <w:r w:rsidR="00727827">
        <w:rPr>
          <w:rStyle w:val="FootnoteReference"/>
        </w:rPr>
        <w:footnoteReference w:id="320"/>
      </w:r>
    </w:p>
    <w:p w14:paraId="29258B6F" w14:textId="322126E4" w:rsidR="00E0507B" w:rsidRDefault="00E0507B" w:rsidP="00B57E6C">
      <w:pPr>
        <w:pStyle w:val="ListParagraph"/>
        <w:numPr>
          <w:ilvl w:val="0"/>
          <w:numId w:val="47"/>
        </w:numPr>
        <w:spacing w:line="259" w:lineRule="auto"/>
        <w:ind w:left="765" w:hanging="357"/>
        <w:contextualSpacing w:val="0"/>
      </w:pPr>
      <w:r>
        <w:t xml:space="preserve">the proposed WELs are not consistent with the recommendation made by the </w:t>
      </w:r>
      <w:r w:rsidRPr="00E0507B">
        <w:t>National Industrial Chemicals Notification and Assessment Scheme (NICNAS, now the Australian Industrial Chemical Introduction Scheme)</w:t>
      </w:r>
      <w:r w:rsidR="00A9761E">
        <w:rPr>
          <w:rStyle w:val="FootnoteReference"/>
        </w:rPr>
        <w:footnoteReference w:id="321"/>
      </w:r>
    </w:p>
    <w:p w14:paraId="0216D00F" w14:textId="76F5396B" w:rsidR="00594E7E" w:rsidRDefault="00594E7E" w:rsidP="00B57E6C">
      <w:pPr>
        <w:pStyle w:val="ListParagraph"/>
        <w:numPr>
          <w:ilvl w:val="0"/>
          <w:numId w:val="47"/>
        </w:numPr>
        <w:spacing w:line="259" w:lineRule="auto"/>
        <w:ind w:left="765" w:hanging="357"/>
        <w:contextualSpacing w:val="0"/>
      </w:pPr>
      <w:r>
        <w:t>the additional costs and burden on paint manufacturers is unjustified</w:t>
      </w:r>
      <w:bookmarkEnd w:id="621"/>
      <w:r w:rsidR="00D82246">
        <w:rPr>
          <w:rStyle w:val="FootnoteReference"/>
        </w:rPr>
        <w:footnoteReference w:id="322"/>
      </w:r>
      <w:r>
        <w:t xml:space="preserve"> </w:t>
      </w:r>
    </w:p>
    <w:p w14:paraId="4D987EDE" w14:textId="2F6503F3" w:rsidR="00FD3C8B" w:rsidRDefault="00FD3C8B" w:rsidP="00B57E6C">
      <w:pPr>
        <w:pStyle w:val="ListParagraph"/>
        <w:numPr>
          <w:ilvl w:val="0"/>
          <w:numId w:val="47"/>
        </w:numPr>
        <w:spacing w:line="259" w:lineRule="auto"/>
        <w:ind w:left="765" w:hanging="357"/>
        <w:contextualSpacing w:val="0"/>
      </w:pPr>
      <w:bookmarkStart w:id="622" w:name="_Toc196204902"/>
      <w:r w:rsidRPr="00642068">
        <w:t xml:space="preserve">the preliminary </w:t>
      </w:r>
      <w:r w:rsidR="00D71397">
        <w:t>estimates</w:t>
      </w:r>
      <w:r w:rsidR="00727827">
        <w:t>,</w:t>
      </w:r>
      <w:r w:rsidR="00D71397">
        <w:t xml:space="preserve"> </w:t>
      </w:r>
      <w:r w:rsidR="00727827">
        <w:t xml:space="preserve">by Nous Group, </w:t>
      </w:r>
      <w:r w:rsidR="001D3885">
        <w:t xml:space="preserve">of </w:t>
      </w:r>
      <w:r w:rsidR="00D71397">
        <w:t>the costs and benefits</w:t>
      </w:r>
      <w:r w:rsidRPr="00642068">
        <w:t xml:space="preserve"> for </w:t>
      </w:r>
      <w:r w:rsidR="00D71397">
        <w:t>titanium dioxide</w:t>
      </w:r>
      <w:r w:rsidR="00727827">
        <w:t>, which</w:t>
      </w:r>
      <w:r w:rsidR="00D71397" w:rsidRPr="00642068">
        <w:t xml:space="preserve"> </w:t>
      </w:r>
      <w:r w:rsidR="00CA3F2D">
        <w:t>suggests</w:t>
      </w:r>
      <w:r w:rsidR="00CA3F2D" w:rsidRPr="00642068">
        <w:t xml:space="preserve"> </w:t>
      </w:r>
      <w:r w:rsidRPr="00642068">
        <w:t xml:space="preserve">that </w:t>
      </w:r>
      <w:r w:rsidR="00727827">
        <w:t xml:space="preserve">the </w:t>
      </w:r>
      <w:r w:rsidR="00E009E2">
        <w:t xml:space="preserve">estimated </w:t>
      </w:r>
      <w:r w:rsidRPr="00642068">
        <w:t xml:space="preserve">costs for Option 2 </w:t>
      </w:r>
      <w:r w:rsidR="00E009E2">
        <w:t>were higher than</w:t>
      </w:r>
      <w:r w:rsidR="00E009E2" w:rsidRPr="00642068">
        <w:t xml:space="preserve"> </w:t>
      </w:r>
      <w:r w:rsidRPr="00642068">
        <w:t>the</w:t>
      </w:r>
      <w:r w:rsidR="00E009E2">
        <w:t xml:space="preserve"> estimated</w:t>
      </w:r>
      <w:r w:rsidRPr="00642068">
        <w:t xml:space="preserve"> benefits</w:t>
      </w:r>
      <w:r w:rsidR="00B67D8D" w:rsidRPr="00B67D8D">
        <w:rPr>
          <w:rStyle w:val="FootnoteReference"/>
        </w:rPr>
        <w:footnoteReference w:id="323"/>
      </w:r>
      <w:r w:rsidR="00B67D8D">
        <w:t xml:space="preserve">, and </w:t>
      </w:r>
      <w:bookmarkEnd w:id="622"/>
    </w:p>
    <w:p w14:paraId="46415C98" w14:textId="51556096" w:rsidR="00B67D8D" w:rsidRPr="004C6534" w:rsidRDefault="00C4221F" w:rsidP="004C6534">
      <w:pPr>
        <w:pStyle w:val="paragraph0"/>
        <w:numPr>
          <w:ilvl w:val="0"/>
          <w:numId w:val="47"/>
        </w:numPr>
        <w:spacing w:before="0" w:beforeAutospacing="0" w:after="120" w:afterAutospacing="0" w:line="240" w:lineRule="auto"/>
        <w:contextualSpacing w:val="0"/>
        <w:textAlignment w:val="baseline"/>
        <w:rPr>
          <w:rFonts w:eastAsiaTheme="majorEastAsia" w:cs="Arial"/>
          <w:szCs w:val="22"/>
        </w:rPr>
      </w:pPr>
      <w:r>
        <w:rPr>
          <w:rFonts w:ascii="Arial" w:eastAsiaTheme="majorEastAsia" w:hAnsi="Arial" w:cs="Arial"/>
          <w:sz w:val="22"/>
          <w:szCs w:val="22"/>
        </w:rPr>
        <w:t>the</w:t>
      </w:r>
      <w:r w:rsidR="00B67D8D" w:rsidRPr="00C754F5">
        <w:rPr>
          <w:rFonts w:ascii="Arial" w:eastAsiaTheme="majorEastAsia" w:hAnsi="Arial" w:cs="Arial"/>
          <w:sz w:val="22"/>
          <w:szCs w:val="22"/>
        </w:rPr>
        <w:t xml:space="preserve"> practical and feasibility issues such as measurement, compliance and costs</w:t>
      </w:r>
      <w:r w:rsidR="00B67D8D" w:rsidRPr="00501BA2">
        <w:rPr>
          <w:rFonts w:ascii="Arial" w:eastAsiaTheme="majorEastAsia" w:hAnsi="Arial" w:cs="Arial"/>
          <w:sz w:val="22"/>
          <w:szCs w:val="22"/>
          <w:vertAlign w:val="superscript"/>
        </w:rPr>
        <w:footnoteReference w:id="324"/>
      </w:r>
      <w:r w:rsidR="00B67D8D" w:rsidRPr="00501BA2">
        <w:rPr>
          <w:rFonts w:ascii="Arial" w:eastAsiaTheme="majorEastAsia" w:hAnsi="Arial" w:cs="Arial"/>
          <w:sz w:val="22"/>
          <w:szCs w:val="22"/>
        </w:rPr>
        <w:t>.</w:t>
      </w:r>
      <w:r w:rsidR="00B67D8D" w:rsidRPr="00C754F5">
        <w:rPr>
          <w:rFonts w:ascii="Arial" w:eastAsiaTheme="majorEastAsia" w:hAnsi="Arial" w:cs="Arial"/>
          <w:sz w:val="22"/>
          <w:szCs w:val="22"/>
        </w:rPr>
        <w:t xml:space="preserve"> </w:t>
      </w:r>
    </w:p>
    <w:p w14:paraId="65E056F4" w14:textId="7943592A" w:rsidR="00E10B2E" w:rsidRPr="00877DE5" w:rsidRDefault="00E10B2E" w:rsidP="00E009E2">
      <w:pPr>
        <w:contextualSpacing w:val="0"/>
      </w:pPr>
      <w:r>
        <w:t xml:space="preserve">One submission did not provide a </w:t>
      </w:r>
      <w:r w:rsidR="00E009E2">
        <w:t>preferred option, but</w:t>
      </w:r>
      <w:r>
        <w:t xml:space="preserve"> concurred that the proposed change was in line with the maximum workplace concentration of 0.3 mg/m</w:t>
      </w:r>
      <w:r w:rsidRPr="00E10B2E">
        <w:rPr>
          <w:vertAlign w:val="superscript"/>
        </w:rPr>
        <w:t xml:space="preserve">3 </w:t>
      </w:r>
      <w:r w:rsidR="005D5CD5" w:rsidRPr="005D5CD5">
        <w:t>for titanium</w:t>
      </w:r>
      <w:r w:rsidR="005D5CD5">
        <w:rPr>
          <w:vertAlign w:val="superscript"/>
        </w:rPr>
        <w:t xml:space="preserve"> </w:t>
      </w:r>
      <w:r w:rsidR="005D5CD5">
        <w:t>dioxide recommended by the DFG</w:t>
      </w:r>
      <w:r w:rsidR="00286A95">
        <w:rPr>
          <w:rStyle w:val="FootnoteReference"/>
        </w:rPr>
        <w:footnoteReference w:id="325"/>
      </w:r>
      <w:r w:rsidR="005D5CD5">
        <w:t>.</w:t>
      </w:r>
      <w:r>
        <w:t xml:space="preserve"> </w:t>
      </w:r>
    </w:p>
    <w:p w14:paraId="6E47EA7B" w14:textId="11181D54" w:rsidR="00FD3C8B" w:rsidRDefault="00271E81" w:rsidP="00E21AA9">
      <w:pPr>
        <w:pStyle w:val="SWAHeading3"/>
      </w:pPr>
      <w:r>
        <w:t>C</w:t>
      </w:r>
      <w:r w:rsidR="00E009E2">
        <w:t>onsideration</w:t>
      </w:r>
      <w:r w:rsidR="0066084C">
        <w:t>s in relation to</w:t>
      </w:r>
      <w:r>
        <w:t xml:space="preserve"> the proposed WEL</w:t>
      </w:r>
      <w:r w:rsidR="00FD3C8B">
        <w:t xml:space="preserve"> for titanium dioxide</w:t>
      </w:r>
    </w:p>
    <w:p w14:paraId="2D1D11C8" w14:textId="0842C6C5" w:rsidR="003D662C" w:rsidRPr="00D97433" w:rsidRDefault="0066084C" w:rsidP="00AF06A3">
      <w:pPr>
        <w:pStyle w:val="SWAHeading4"/>
        <w:spacing w:before="200"/>
        <w:rPr>
          <w:b w:val="0"/>
          <w:bCs w:val="0"/>
          <w:i w:val="0"/>
          <w:iCs w:val="0"/>
          <w:sz w:val="22"/>
          <w:szCs w:val="24"/>
        </w:rPr>
      </w:pPr>
      <w:bookmarkStart w:id="623" w:name="_Hlk194586950"/>
      <w:r>
        <w:rPr>
          <w:b w:val="0"/>
          <w:bCs w:val="0"/>
          <w:i w:val="0"/>
          <w:iCs w:val="0"/>
          <w:sz w:val="22"/>
          <w:szCs w:val="24"/>
        </w:rPr>
        <w:t>S</w:t>
      </w:r>
      <w:r w:rsidR="003D662C" w:rsidRPr="00E55C0C">
        <w:rPr>
          <w:b w:val="0"/>
          <w:bCs w:val="0"/>
          <w:i w:val="0"/>
          <w:iCs w:val="0"/>
          <w:sz w:val="22"/>
          <w:szCs w:val="24"/>
        </w:rPr>
        <w:t xml:space="preserve">takeholders were asked about challenges they expect their industry, business or PCBU </w:t>
      </w:r>
      <w:r w:rsidR="00A9472F" w:rsidRPr="00E55C0C">
        <w:rPr>
          <w:b w:val="0"/>
          <w:bCs w:val="0"/>
          <w:i w:val="0"/>
          <w:iCs w:val="0"/>
          <w:sz w:val="22"/>
          <w:szCs w:val="24"/>
        </w:rPr>
        <w:t xml:space="preserve">would </w:t>
      </w:r>
      <w:r w:rsidR="003D662C" w:rsidRPr="00E55C0C">
        <w:rPr>
          <w:b w:val="0"/>
          <w:bCs w:val="0"/>
          <w:i w:val="0"/>
          <w:iCs w:val="0"/>
          <w:sz w:val="22"/>
          <w:szCs w:val="24"/>
        </w:rPr>
        <w:t>encounter if the proposed WEL</w:t>
      </w:r>
      <w:r w:rsidR="0035054F">
        <w:rPr>
          <w:b w:val="0"/>
          <w:bCs w:val="0"/>
          <w:i w:val="0"/>
          <w:iCs w:val="0"/>
          <w:sz w:val="22"/>
          <w:szCs w:val="24"/>
        </w:rPr>
        <w:t>s for titanium dioxide</w:t>
      </w:r>
      <w:r w:rsidR="003D662C" w:rsidRPr="00E55C0C">
        <w:rPr>
          <w:b w:val="0"/>
          <w:bCs w:val="0"/>
          <w:i w:val="0"/>
          <w:iCs w:val="0"/>
          <w:sz w:val="22"/>
          <w:szCs w:val="24"/>
        </w:rPr>
        <w:t xml:space="preserve"> was implemented. </w:t>
      </w:r>
      <w:bookmarkEnd w:id="623"/>
      <w:r w:rsidR="00DD1AD8">
        <w:rPr>
          <w:b w:val="0"/>
          <w:bCs w:val="0"/>
          <w:i w:val="0"/>
          <w:iCs w:val="0"/>
          <w:sz w:val="22"/>
          <w:szCs w:val="24"/>
        </w:rPr>
        <w:t>A lack of guidance</w:t>
      </w:r>
      <w:r w:rsidR="0045021A">
        <w:rPr>
          <w:b w:val="0"/>
          <w:bCs w:val="0"/>
          <w:i w:val="0"/>
          <w:iCs w:val="0"/>
          <w:sz w:val="22"/>
          <w:szCs w:val="24"/>
        </w:rPr>
        <w:t xml:space="preserve"> around particle size</w:t>
      </w:r>
      <w:r w:rsidR="0017222B">
        <w:rPr>
          <w:b w:val="0"/>
          <w:bCs w:val="0"/>
          <w:i w:val="0"/>
          <w:iCs w:val="0"/>
          <w:sz w:val="22"/>
          <w:szCs w:val="24"/>
        </w:rPr>
        <w:t xml:space="preserve"> and the impacts of </w:t>
      </w:r>
      <w:r w:rsidR="0077234A">
        <w:rPr>
          <w:b w:val="0"/>
          <w:bCs w:val="0"/>
          <w:i w:val="0"/>
          <w:iCs w:val="0"/>
          <w:sz w:val="22"/>
          <w:szCs w:val="24"/>
        </w:rPr>
        <w:t xml:space="preserve">having two WELs </w:t>
      </w:r>
      <w:r w:rsidR="009D4D3B">
        <w:rPr>
          <w:b w:val="0"/>
          <w:bCs w:val="0"/>
          <w:i w:val="0"/>
          <w:iCs w:val="0"/>
          <w:sz w:val="22"/>
          <w:szCs w:val="24"/>
        </w:rPr>
        <w:t xml:space="preserve">for titanium dioxide were raised by stakeholders as challenges associated </w:t>
      </w:r>
      <w:r w:rsidR="00573939">
        <w:rPr>
          <w:b w:val="0"/>
          <w:bCs w:val="0"/>
          <w:i w:val="0"/>
          <w:iCs w:val="0"/>
          <w:sz w:val="22"/>
          <w:szCs w:val="24"/>
        </w:rPr>
        <w:t xml:space="preserve">with the proposed WEL for </w:t>
      </w:r>
      <w:r w:rsidR="0045021A">
        <w:rPr>
          <w:b w:val="0"/>
          <w:bCs w:val="0"/>
          <w:i w:val="0"/>
          <w:iCs w:val="0"/>
          <w:sz w:val="22"/>
          <w:szCs w:val="24"/>
        </w:rPr>
        <w:t>titanium</w:t>
      </w:r>
      <w:r w:rsidR="00573939">
        <w:rPr>
          <w:b w:val="0"/>
          <w:bCs w:val="0"/>
          <w:i w:val="0"/>
          <w:iCs w:val="0"/>
          <w:sz w:val="22"/>
          <w:szCs w:val="24"/>
        </w:rPr>
        <w:t xml:space="preserve"> dioxide. </w:t>
      </w:r>
    </w:p>
    <w:p w14:paraId="56E82416" w14:textId="50AEF7A9" w:rsidR="00D02606" w:rsidRPr="00D97433" w:rsidRDefault="0045021A" w:rsidP="00EA7C3A">
      <w:pPr>
        <w:pStyle w:val="SWAHeading4"/>
      </w:pPr>
      <w:r>
        <w:t>Lack of guidance around particle sizes</w:t>
      </w:r>
    </w:p>
    <w:p w14:paraId="0A090507" w14:textId="45B6C43B" w:rsidR="00747533" w:rsidRDefault="00195DAE" w:rsidP="003E755D">
      <w:pPr>
        <w:keepNext/>
        <w:keepLines/>
        <w:contextualSpacing w:val="0"/>
      </w:pPr>
      <w:r>
        <w:t xml:space="preserve">A recurring challenge </w:t>
      </w:r>
      <w:r w:rsidR="007F3D40">
        <w:t xml:space="preserve">raised in the submissions </w:t>
      </w:r>
      <w:r w:rsidR="009E4FB3">
        <w:t xml:space="preserve">in relation to the proposed WELs of titanium dioxide </w:t>
      </w:r>
      <w:r w:rsidR="00857A0B">
        <w:t xml:space="preserve">was </w:t>
      </w:r>
      <w:r w:rsidR="002F30A9">
        <w:t>regarding the siz</w:t>
      </w:r>
      <w:r w:rsidR="00F475BB">
        <w:t>ing of the particle</w:t>
      </w:r>
      <w:r w:rsidR="00747533">
        <w:t xml:space="preserve">s </w:t>
      </w:r>
      <w:r w:rsidR="00F475BB">
        <w:t>- ultrafine/nanoscale and fine/pigmentary grade titanium dioxide particles.</w:t>
      </w:r>
      <w:r w:rsidR="009E4FB3">
        <w:t xml:space="preserve"> </w:t>
      </w:r>
      <w:r w:rsidR="00AA23A3">
        <w:t xml:space="preserve">A government </w:t>
      </w:r>
      <w:r w:rsidR="003919EC">
        <w:t xml:space="preserve">and industry </w:t>
      </w:r>
      <w:r w:rsidR="00AA23A3">
        <w:t xml:space="preserve">submission indicated that </w:t>
      </w:r>
      <w:r w:rsidR="00A42B46">
        <w:t>both particle sizes would be produced concurrently in the workplace</w:t>
      </w:r>
      <w:r w:rsidR="00E7035E">
        <w:t xml:space="preserve">, and so there would be particular </w:t>
      </w:r>
      <w:r w:rsidR="0030421C">
        <w:t xml:space="preserve">challenges around </w:t>
      </w:r>
      <w:r w:rsidR="00E961DD">
        <w:t xml:space="preserve">compliance, measurement and </w:t>
      </w:r>
      <w:r w:rsidR="0030421C">
        <w:t>enforcement</w:t>
      </w:r>
      <w:r w:rsidR="0030421C">
        <w:rPr>
          <w:rStyle w:val="FootnoteReference"/>
        </w:rPr>
        <w:footnoteReference w:id="326"/>
      </w:r>
      <w:r w:rsidR="0030421C">
        <w:t>.</w:t>
      </w:r>
    </w:p>
    <w:p w14:paraId="779C145F" w14:textId="153FAC03" w:rsidR="00F475BB" w:rsidRDefault="00597807" w:rsidP="00F475BB">
      <w:pPr>
        <w:contextualSpacing w:val="0"/>
      </w:pPr>
      <w:r>
        <w:t xml:space="preserve">These </w:t>
      </w:r>
      <w:r w:rsidR="00F475BB">
        <w:t xml:space="preserve">stakeholders suggested further guidance to clarify the definition of ultrafine/nanoscale and fine/pigmentary grade particle sizes for titanium dioxide was needed to assist stakeholders in navigating the introduction of the two exposure limits. This can be included as part of Safe Work Australia’s </w:t>
      </w:r>
      <w:r w:rsidR="00F475BB" w:rsidRPr="009456A5">
        <w:t>communications</w:t>
      </w:r>
      <w:r w:rsidR="00FB0660">
        <w:t xml:space="preserve"> and </w:t>
      </w:r>
      <w:r w:rsidR="005F30C6">
        <w:t>updated guidance</w:t>
      </w:r>
      <w:r w:rsidR="00F475BB" w:rsidRPr="009456A5">
        <w:t xml:space="preserve"> </w:t>
      </w:r>
      <w:r w:rsidR="003C333F">
        <w:t>for the</w:t>
      </w:r>
      <w:r w:rsidR="00F475BB" w:rsidRPr="009456A5">
        <w:t xml:space="preserve"> transition to the </w:t>
      </w:r>
      <w:r w:rsidR="00F475BB" w:rsidRPr="009456A5">
        <w:rPr>
          <w:i/>
          <w:iCs/>
        </w:rPr>
        <w:t>Workplace exposure limits for airborne contaminants</w:t>
      </w:r>
      <w:r w:rsidR="00F475BB">
        <w:rPr>
          <w:i/>
          <w:iCs/>
        </w:rPr>
        <w:t xml:space="preserve">. </w:t>
      </w:r>
    </w:p>
    <w:p w14:paraId="72084931" w14:textId="0B827E0A" w:rsidR="00BB4D6E" w:rsidRDefault="00D7047C" w:rsidP="000062C4">
      <w:pPr>
        <w:pStyle w:val="SWAHeading4"/>
      </w:pPr>
      <w:r>
        <w:t>Introduction of two WELs for titanium dioxide</w:t>
      </w:r>
    </w:p>
    <w:p w14:paraId="32EB4E69" w14:textId="5734B6FC" w:rsidR="0093784E" w:rsidRDefault="003A3693" w:rsidP="00D97433">
      <w:pPr>
        <w:contextualSpacing w:val="0"/>
      </w:pPr>
      <w:r>
        <w:t xml:space="preserve">Industry stakeholders </w:t>
      </w:r>
      <w:r w:rsidR="005E77C9">
        <w:t xml:space="preserve">also raised that introducing 2 size fractions would require them </w:t>
      </w:r>
      <w:r w:rsidR="00836362">
        <w:t xml:space="preserve">to undertake </w:t>
      </w:r>
      <w:r w:rsidR="00FD3C8B">
        <w:t xml:space="preserve">additional sampling </w:t>
      </w:r>
      <w:r w:rsidR="00C13330">
        <w:t xml:space="preserve">and tests </w:t>
      </w:r>
      <w:r w:rsidR="00FD3C8B">
        <w:t xml:space="preserve">to assess </w:t>
      </w:r>
      <w:r w:rsidR="00CB2D17">
        <w:t xml:space="preserve">exposures for the </w:t>
      </w:r>
      <w:r w:rsidR="00FD3C8B">
        <w:t xml:space="preserve">2 size fractions of </w:t>
      </w:r>
      <w:r w:rsidR="00FD3C8B">
        <w:lastRenderedPageBreak/>
        <w:t>titanium dioxide</w:t>
      </w:r>
      <w:r w:rsidR="00405A63">
        <w:t xml:space="preserve">, thus raising costs associated with the </w:t>
      </w:r>
      <w:r w:rsidR="00083440">
        <w:t xml:space="preserve">proposed </w:t>
      </w:r>
      <w:r w:rsidR="00405A63">
        <w:t>change</w:t>
      </w:r>
      <w:r w:rsidR="003C6210">
        <w:rPr>
          <w:rStyle w:val="FootnoteReference"/>
        </w:rPr>
        <w:footnoteReference w:id="327"/>
      </w:r>
      <w:r w:rsidR="00FD3C8B" w:rsidDel="003416D6">
        <w:t>.</w:t>
      </w:r>
      <w:r w:rsidR="00FD3C8B">
        <w:t xml:space="preserve"> </w:t>
      </w:r>
      <w:r w:rsidR="0093784E">
        <w:t xml:space="preserve">Costs associated engaging an occupational hygienist and conduct air monitoring to assess workers’ exposure to titanium dioxide have been estimated as part of the costs to industry in </w:t>
      </w:r>
      <w:r w:rsidR="00FB0660">
        <w:t xml:space="preserve">Section </w:t>
      </w:r>
      <w:r w:rsidR="00FB0660">
        <w:rPr>
          <w:highlight w:val="lightGray"/>
        </w:rPr>
        <w:fldChar w:fldCharType="begin"/>
      </w:r>
      <w:r w:rsidR="00FB0660">
        <w:instrText xml:space="preserve"> REF _Ref194677621 \r \h </w:instrText>
      </w:r>
      <w:r w:rsidR="00FB0660">
        <w:rPr>
          <w:highlight w:val="lightGray"/>
        </w:rPr>
      </w:r>
      <w:r w:rsidR="00FB0660">
        <w:rPr>
          <w:highlight w:val="lightGray"/>
        </w:rPr>
        <w:fldChar w:fldCharType="separate"/>
      </w:r>
      <w:r w:rsidR="00A002F4">
        <w:t>17.2</w:t>
      </w:r>
      <w:r w:rsidR="00FB0660">
        <w:rPr>
          <w:highlight w:val="lightGray"/>
        </w:rPr>
        <w:fldChar w:fldCharType="end"/>
      </w:r>
      <w:r w:rsidR="0093784E" w:rsidRPr="00A6724B">
        <w:t>.</w:t>
      </w:r>
      <w:r w:rsidR="0093784E">
        <w:t xml:space="preserve">  </w:t>
      </w:r>
    </w:p>
    <w:p w14:paraId="603B536B" w14:textId="2F4D29DC" w:rsidR="00FD3C8B" w:rsidRDefault="00FD3C8B" w:rsidP="00D97433">
      <w:pPr>
        <w:contextualSpacing w:val="0"/>
      </w:pPr>
      <w:r>
        <w:t>Another industry body stakeholder said that since the proposed option would no longer be in line with the inhalable dust limit of 10 mg/m</w:t>
      </w:r>
      <w:r w:rsidRPr="005B1C0E">
        <w:rPr>
          <w:vertAlign w:val="superscript"/>
        </w:rPr>
        <w:t>3</w:t>
      </w:r>
      <w:r>
        <w:t xml:space="preserve">, </w:t>
      </w:r>
      <w:r w:rsidR="00BF2DD7">
        <w:t xml:space="preserve">industry </w:t>
      </w:r>
      <w:r w:rsidR="00415A61">
        <w:t xml:space="preserve">would now need to conduct </w:t>
      </w:r>
      <w:r>
        <w:t>specialised monitoring and testing to monitor compliance with the proposed WELs for titanium dioxide</w:t>
      </w:r>
      <w:r w:rsidR="00BF2DD7">
        <w:rPr>
          <w:rStyle w:val="FootnoteReference"/>
        </w:rPr>
        <w:footnoteReference w:id="328"/>
      </w:r>
      <w:r>
        <w:t xml:space="preserve">. However, </w:t>
      </w:r>
      <w:r w:rsidR="0021711F">
        <w:t xml:space="preserve">one submission from a </w:t>
      </w:r>
      <w:r>
        <w:t>PCBU did indicate that monitoring costs for fine</w:t>
      </w:r>
      <w:r w:rsidR="00B02BBC">
        <w:t>/</w:t>
      </w:r>
      <w:r>
        <w:t>pigmentary grade titanium dioxide would be minimal as this is “currently standard practice”.</w:t>
      </w:r>
      <w:r w:rsidR="0066191C">
        <w:t xml:space="preserve"> </w:t>
      </w:r>
    </w:p>
    <w:p w14:paraId="758EFB9F" w14:textId="12BE76C1" w:rsidR="001742A3" w:rsidRPr="007F1A68" w:rsidRDefault="001742A3" w:rsidP="000062C4">
      <w:pPr>
        <w:pStyle w:val="SWAHeading4"/>
      </w:pPr>
      <w:r w:rsidRPr="007F1A68">
        <w:t>Measurability</w:t>
      </w:r>
      <w:r w:rsidR="002E38F9">
        <w:t xml:space="preserve"> concerns</w:t>
      </w:r>
    </w:p>
    <w:p w14:paraId="156604D7" w14:textId="76F4F427" w:rsidR="00F56E3F" w:rsidRPr="00B91307" w:rsidRDefault="00F56E3F" w:rsidP="00EE4D46">
      <w:pPr>
        <w:pStyle w:val="Paragraph"/>
      </w:pPr>
      <w:r w:rsidRPr="00B91307">
        <w:t xml:space="preserve">No concerns were raised by stakeholders regarding the measurement of </w:t>
      </w:r>
      <w:r w:rsidR="00EE4D46" w:rsidRPr="00B91307">
        <w:t>titanium dioxide</w:t>
      </w:r>
      <w:r w:rsidRPr="00B91307">
        <w:t xml:space="preserve"> to assess compliance with the proposed WEL.</w:t>
      </w:r>
    </w:p>
    <w:p w14:paraId="6ED63BB1" w14:textId="649A572E" w:rsidR="00AF71A2" w:rsidRPr="00A6724B" w:rsidRDefault="0072028E">
      <w:pPr>
        <w:pStyle w:val="SWAHeading5"/>
        <w:rPr>
          <w:b w:val="0"/>
          <w:bCs w:val="0"/>
          <w:color w:val="auto"/>
          <w:sz w:val="22"/>
        </w:rPr>
      </w:pPr>
      <w:r w:rsidRPr="00B91307">
        <w:rPr>
          <w:b w:val="0"/>
          <w:bCs w:val="0"/>
          <w:color w:val="auto"/>
          <w:sz w:val="22"/>
        </w:rPr>
        <w:t>There are commercially available methods</w:t>
      </w:r>
      <w:r w:rsidR="009875BE" w:rsidRPr="00B91307">
        <w:rPr>
          <w:rStyle w:val="FootnoteReference"/>
          <w:b w:val="0"/>
          <w:bCs w:val="0"/>
          <w:color w:val="auto"/>
          <w:sz w:val="22"/>
        </w:rPr>
        <w:footnoteReference w:id="329"/>
      </w:r>
      <w:r w:rsidR="004507D4" w:rsidRPr="00B91307">
        <w:rPr>
          <w:b w:val="0"/>
          <w:bCs w:val="0"/>
          <w:color w:val="auto"/>
          <w:sz w:val="22"/>
        </w:rPr>
        <w:t xml:space="preserve"> in Australia </w:t>
      </w:r>
      <w:r w:rsidR="007053C1" w:rsidRPr="00B91307">
        <w:rPr>
          <w:b w:val="0"/>
          <w:bCs w:val="0"/>
          <w:color w:val="auto"/>
          <w:sz w:val="22"/>
        </w:rPr>
        <w:t>to measure tita</w:t>
      </w:r>
      <w:r w:rsidR="003A3B1B" w:rsidRPr="00B91307">
        <w:rPr>
          <w:b w:val="0"/>
          <w:bCs w:val="0"/>
          <w:color w:val="auto"/>
          <w:sz w:val="22"/>
        </w:rPr>
        <w:t>nium dioxide with</w:t>
      </w:r>
      <w:r w:rsidR="00D72A62" w:rsidRPr="00B91307">
        <w:rPr>
          <w:b w:val="0"/>
          <w:bCs w:val="0"/>
          <w:color w:val="auto"/>
          <w:sz w:val="22"/>
        </w:rPr>
        <w:t xml:space="preserve"> sufficient </w:t>
      </w:r>
      <w:r w:rsidR="0003048E" w:rsidRPr="00B91307">
        <w:rPr>
          <w:b w:val="0"/>
          <w:bCs w:val="0"/>
          <w:color w:val="auto"/>
          <w:sz w:val="22"/>
        </w:rPr>
        <w:t>sensitivity</w:t>
      </w:r>
      <w:r w:rsidR="003A3B1B" w:rsidRPr="00B91307">
        <w:rPr>
          <w:b w:val="0"/>
          <w:bCs w:val="0"/>
          <w:color w:val="auto"/>
          <w:sz w:val="22"/>
        </w:rPr>
        <w:t xml:space="preserve"> and certainty to determine compliance </w:t>
      </w:r>
      <w:r w:rsidR="009875BE" w:rsidRPr="00B91307">
        <w:rPr>
          <w:b w:val="0"/>
          <w:bCs w:val="0"/>
          <w:color w:val="auto"/>
          <w:sz w:val="22"/>
        </w:rPr>
        <w:t>at the proposed WEL</w:t>
      </w:r>
      <w:r w:rsidR="00D72A62" w:rsidRPr="00B91307">
        <w:rPr>
          <w:b w:val="0"/>
          <w:bCs w:val="0"/>
          <w:color w:val="auto"/>
          <w:sz w:val="22"/>
        </w:rPr>
        <w:t xml:space="preserve"> for both size fractions.</w:t>
      </w:r>
      <w:r w:rsidR="00A10232" w:rsidRPr="00B91307">
        <w:rPr>
          <w:b w:val="0"/>
          <w:bCs w:val="0"/>
          <w:color w:val="auto"/>
          <w:sz w:val="22"/>
        </w:rPr>
        <w:t xml:space="preserve"> Additional analysis may be </w:t>
      </w:r>
      <w:r w:rsidR="00EF4A16" w:rsidRPr="00B91307">
        <w:rPr>
          <w:b w:val="0"/>
          <w:bCs w:val="0"/>
          <w:color w:val="auto"/>
          <w:sz w:val="22"/>
        </w:rPr>
        <w:t>required to identify and measure particles at nanoscale</w:t>
      </w:r>
      <w:r w:rsidR="00546597" w:rsidRPr="00B91307">
        <w:rPr>
          <w:b w:val="0"/>
          <w:bCs w:val="0"/>
          <w:color w:val="auto"/>
          <w:sz w:val="22"/>
        </w:rPr>
        <w:t xml:space="preserve"> </w:t>
      </w:r>
      <w:r w:rsidR="00817E1E" w:rsidRPr="00B91307">
        <w:rPr>
          <w:b w:val="0"/>
          <w:bCs w:val="0"/>
          <w:color w:val="auto"/>
          <w:sz w:val="22"/>
        </w:rPr>
        <w:t>(based on Safe Work Australia analysis)</w:t>
      </w:r>
      <w:r w:rsidR="001B2A1F" w:rsidRPr="00B91307">
        <w:rPr>
          <w:b w:val="0"/>
          <w:bCs w:val="0"/>
          <w:color w:val="auto"/>
          <w:sz w:val="22"/>
        </w:rPr>
        <w:t xml:space="preserve">. </w:t>
      </w:r>
    </w:p>
    <w:p w14:paraId="5B377DD0" w14:textId="6F93E0EE" w:rsidR="001742A3" w:rsidRPr="00A6724B" w:rsidRDefault="00892365" w:rsidP="00A6724B">
      <w:pPr>
        <w:pStyle w:val="SWAHeading5"/>
        <w:rPr>
          <w:color w:val="auto"/>
        </w:rPr>
      </w:pPr>
      <w:r w:rsidRPr="00A6724B">
        <w:rPr>
          <w:b w:val="0"/>
          <w:bCs w:val="0"/>
          <w:color w:val="auto"/>
          <w:sz w:val="22"/>
        </w:rPr>
        <w:t xml:space="preserve">Sampling related contributions to uncertainty (e.g. sampling equipment limitations) may remain a limitation on measurability in some situations, but these issues are not </w:t>
      </w:r>
      <w:r w:rsidR="00CA70D6">
        <w:rPr>
          <w:b w:val="0"/>
          <w:bCs w:val="0"/>
          <w:color w:val="auto"/>
          <w:sz w:val="22"/>
        </w:rPr>
        <w:t>unique</w:t>
      </w:r>
      <w:r w:rsidRPr="00A6724B">
        <w:rPr>
          <w:b w:val="0"/>
          <w:bCs w:val="0"/>
          <w:color w:val="auto"/>
          <w:sz w:val="22"/>
        </w:rPr>
        <w:t xml:space="preserve"> to </w:t>
      </w:r>
      <w:r w:rsidR="00AF71A2" w:rsidRPr="00A6724B">
        <w:rPr>
          <w:b w:val="0"/>
          <w:bCs w:val="0"/>
          <w:color w:val="auto"/>
          <w:sz w:val="22"/>
        </w:rPr>
        <w:t>titanium dioxide</w:t>
      </w:r>
      <w:r w:rsidRPr="00A6724B">
        <w:rPr>
          <w:b w:val="0"/>
          <w:bCs w:val="0"/>
          <w:color w:val="auto"/>
          <w:sz w:val="22"/>
        </w:rPr>
        <w:t>. To support the wider transition to the WEL, Safe Work Australia is preparing technical guidance to provide advice on measurement issues, including sampling.</w:t>
      </w:r>
    </w:p>
    <w:p w14:paraId="5E8B0E65" w14:textId="5ECB6155" w:rsidR="00FD3C8B" w:rsidRDefault="00FD3C8B" w:rsidP="00EA7C3A">
      <w:pPr>
        <w:pStyle w:val="SWAHeading3"/>
      </w:pPr>
      <w:r>
        <w:t>Transitional arrangements</w:t>
      </w:r>
      <w:r w:rsidR="0044363C">
        <w:t xml:space="preserve"> suggested by stakeholders</w:t>
      </w:r>
    </w:p>
    <w:p w14:paraId="3D357564" w14:textId="09D86BF4" w:rsidR="00A00ACA" w:rsidRDefault="000C43D0" w:rsidP="00E21AA9">
      <w:pPr>
        <w:contextualSpacing w:val="0"/>
      </w:pPr>
      <w:r>
        <w:rPr>
          <w:rFonts w:eastAsiaTheme="majorEastAsia" w:cs="Arial"/>
        </w:rPr>
        <w:t>A minority of s</w:t>
      </w:r>
      <w:r w:rsidR="00374249">
        <w:rPr>
          <w:rFonts w:eastAsiaTheme="majorEastAsia" w:cs="Arial"/>
        </w:rPr>
        <w:t>takeholders suggested a transition period would assist industry to comply with the proposed limits if they were to be implemented</w:t>
      </w:r>
      <w:r w:rsidR="00374249">
        <w:t xml:space="preserve">. </w:t>
      </w:r>
      <w:r w:rsidR="007159B2">
        <w:t>Three</w:t>
      </w:r>
      <w:r w:rsidR="007159B2" w:rsidRPr="00B7289F">
        <w:t xml:space="preserve"> </w:t>
      </w:r>
      <w:r w:rsidR="00FD3C8B" w:rsidRPr="00B7289F">
        <w:t>submissions</w:t>
      </w:r>
      <w:r w:rsidR="00BD2E13">
        <w:t xml:space="preserve"> </w:t>
      </w:r>
      <w:r w:rsidR="00443542">
        <w:t>s</w:t>
      </w:r>
      <w:r w:rsidR="00FD3C8B">
        <w:t>uggest</w:t>
      </w:r>
      <w:r w:rsidR="00BD2E13">
        <w:t>ed</w:t>
      </w:r>
      <w:r w:rsidR="00BF048A">
        <w:t xml:space="preserve"> the following as potential lengths for a transitional period, including</w:t>
      </w:r>
      <w:r w:rsidR="00A00ACA">
        <w:t>:</w:t>
      </w:r>
    </w:p>
    <w:p w14:paraId="28070D38" w14:textId="77777777" w:rsidR="00A00ACA" w:rsidRDefault="00FD3C8B" w:rsidP="00DA28CB">
      <w:pPr>
        <w:pStyle w:val="ListParagraph"/>
        <w:numPr>
          <w:ilvl w:val="0"/>
          <w:numId w:val="170"/>
        </w:numPr>
        <w:contextualSpacing w:val="0"/>
      </w:pPr>
      <w:r>
        <w:t>6 months to 24 months</w:t>
      </w:r>
      <w:r w:rsidR="004B7AA0">
        <w:rPr>
          <w:rStyle w:val="FootnoteReference"/>
        </w:rPr>
        <w:footnoteReference w:id="330"/>
      </w:r>
      <w:r>
        <w:t>,</w:t>
      </w:r>
    </w:p>
    <w:p w14:paraId="2A50E48F" w14:textId="21873841" w:rsidR="00A00ACA" w:rsidRDefault="00FD3C8B" w:rsidP="00DA28CB">
      <w:pPr>
        <w:pStyle w:val="ListParagraph"/>
        <w:numPr>
          <w:ilvl w:val="0"/>
          <w:numId w:val="170"/>
        </w:numPr>
        <w:contextualSpacing w:val="0"/>
      </w:pPr>
      <w:r>
        <w:t>3 years</w:t>
      </w:r>
      <w:r w:rsidR="00C72F9C">
        <w:rPr>
          <w:rStyle w:val="FootnoteReference"/>
        </w:rPr>
        <w:footnoteReference w:id="331"/>
      </w:r>
      <w:r w:rsidR="00A00ACA">
        <w:t xml:space="preserve">, </w:t>
      </w:r>
      <w:r>
        <w:t xml:space="preserve">and </w:t>
      </w:r>
    </w:p>
    <w:p w14:paraId="16E9CA09" w14:textId="2282FBAC" w:rsidR="00BF048A" w:rsidRDefault="00FD3C8B" w:rsidP="00DA28CB">
      <w:pPr>
        <w:pStyle w:val="ListParagraph"/>
        <w:numPr>
          <w:ilvl w:val="0"/>
          <w:numId w:val="170"/>
        </w:numPr>
        <w:contextualSpacing w:val="0"/>
      </w:pPr>
      <w:r>
        <w:t>5 years</w:t>
      </w:r>
      <w:r w:rsidR="00510851">
        <w:rPr>
          <w:rStyle w:val="FootnoteReference"/>
        </w:rPr>
        <w:footnoteReference w:id="332"/>
      </w:r>
      <w:r>
        <w:t xml:space="preserve">. </w:t>
      </w:r>
    </w:p>
    <w:p w14:paraId="633F824F" w14:textId="543F622E" w:rsidR="007159B2" w:rsidRDefault="007159B2" w:rsidP="00E974C5">
      <w:pPr>
        <w:contextualSpacing w:val="0"/>
      </w:pPr>
      <w:r>
        <w:t>One stakeholder suggested there should be no transition period and the new WEL should be implemented as soon as possible</w:t>
      </w:r>
      <w:r>
        <w:rPr>
          <w:rStyle w:val="FootnoteReference"/>
        </w:rPr>
        <w:footnoteReference w:id="333"/>
      </w:r>
      <w:r w:rsidR="000B11FC">
        <w:t>.</w:t>
      </w:r>
    </w:p>
    <w:p w14:paraId="25C1C33D" w14:textId="58C4CB02" w:rsidR="000B11FC" w:rsidRDefault="000B11FC" w:rsidP="00E974C5">
      <w:pPr>
        <w:contextualSpacing w:val="0"/>
      </w:pPr>
      <w:r w:rsidRPr="000B11FC">
        <w:t xml:space="preserve">As mentioned in Section 7.3 of this Decision RIS, it is proposed that the new WEL for </w:t>
      </w:r>
      <w:r>
        <w:t>titanium dioxide</w:t>
      </w:r>
      <w:r w:rsidRPr="000B11FC">
        <w:t xml:space="preserve"> should come into effect on 1 December 2026. This would align with the commencement of the new WEL list and ensure the transition to the health-based exposure limits for all chemicals occurs at the same time.</w:t>
      </w:r>
    </w:p>
    <w:p w14:paraId="4FE30D4F" w14:textId="488DE101" w:rsidR="00865DCD" w:rsidRDefault="00865DCD" w:rsidP="00FD3C8B">
      <w:pPr>
        <w:contextualSpacing w:val="0"/>
        <w:rPr>
          <w:rFonts w:eastAsiaTheme="majorEastAsia" w:cs="Arial"/>
        </w:rPr>
      </w:pPr>
      <w:r>
        <w:rPr>
          <w:rFonts w:eastAsiaTheme="majorEastAsia" w:cs="Arial"/>
        </w:rPr>
        <w:lastRenderedPageBreak/>
        <w:t xml:space="preserve">As noted above, stakeholders have also requested guidance to clarify the definitions of </w:t>
      </w:r>
      <w:r w:rsidRPr="00865DCD">
        <w:rPr>
          <w:rFonts w:eastAsiaTheme="majorEastAsia" w:cs="Arial"/>
        </w:rPr>
        <w:t>ultrafine/nanoscale and fine/pigmentary grade particle sizes</w:t>
      </w:r>
      <w:r>
        <w:rPr>
          <w:rFonts w:eastAsiaTheme="majorEastAsia" w:cs="Arial"/>
        </w:rPr>
        <w:t xml:space="preserve"> to help with their transition. </w:t>
      </w:r>
    </w:p>
    <w:p w14:paraId="7D741987" w14:textId="1EA653D5" w:rsidR="00B224E2" w:rsidRDefault="00640FB3" w:rsidP="00E970A6">
      <w:pPr>
        <w:pStyle w:val="SWAHeading2"/>
        <w:keepNext/>
        <w:keepLines/>
        <w:ind w:left="709"/>
      </w:pPr>
      <w:bookmarkStart w:id="624" w:name="_Toc196204904"/>
      <w:bookmarkStart w:id="625" w:name="_Ref198906404"/>
      <w:bookmarkStart w:id="626" w:name="_Toc219216926"/>
      <w:r>
        <w:t>Likely net benefit and r</w:t>
      </w:r>
      <w:r w:rsidR="005F5EFC">
        <w:t xml:space="preserve">ecommended </w:t>
      </w:r>
      <w:r w:rsidR="00B224E2">
        <w:t>option for titanium dioxide</w:t>
      </w:r>
      <w:bookmarkEnd w:id="624"/>
      <w:bookmarkEnd w:id="625"/>
      <w:bookmarkEnd w:id="626"/>
    </w:p>
    <w:p w14:paraId="7D24580C" w14:textId="77777777" w:rsidR="002800BE" w:rsidRPr="000B11FC" w:rsidRDefault="002800BE" w:rsidP="003349CC">
      <w:pPr>
        <w:pStyle w:val="SWAHeading3"/>
      </w:pPr>
      <w:r w:rsidRPr="000B11FC">
        <w:t>Net benefit</w:t>
      </w:r>
    </w:p>
    <w:p w14:paraId="7652BFFD" w14:textId="3ED5AEA5" w:rsidR="002800BE" w:rsidRDefault="00932C23" w:rsidP="003349CC">
      <w:pPr>
        <w:pStyle w:val="Paragraph"/>
      </w:pPr>
      <w:r>
        <w:fldChar w:fldCharType="begin"/>
      </w:r>
      <w:r>
        <w:instrText xml:space="preserve"> REF _Ref216773356 \h </w:instrText>
      </w:r>
      <w:r>
        <w:fldChar w:fldCharType="separate"/>
      </w:r>
      <w:r w:rsidR="00A002F4">
        <w:t xml:space="preserve">Table </w:t>
      </w:r>
      <w:r w:rsidR="00A002F4">
        <w:rPr>
          <w:noProof/>
        </w:rPr>
        <w:t>45</w:t>
      </w:r>
      <w:r>
        <w:fldChar w:fldCharType="end"/>
      </w:r>
      <w:r>
        <w:t xml:space="preserve"> </w:t>
      </w:r>
      <w:r w:rsidR="002800BE" w:rsidRPr="000B11FC">
        <w:t xml:space="preserve">presents the quantified </w:t>
      </w:r>
      <w:r w:rsidR="00622B06">
        <w:t>gross</w:t>
      </w:r>
      <w:r w:rsidR="002800BE" w:rsidRPr="000B11FC">
        <w:t xml:space="preserve"> benefit</w:t>
      </w:r>
      <w:r w:rsidR="00CB193B">
        <w:t xml:space="preserve"> </w:t>
      </w:r>
      <w:r w:rsidR="002800BE" w:rsidRPr="000B11FC">
        <w:t xml:space="preserve">for the proposed WEL for </w:t>
      </w:r>
      <w:r>
        <w:t>titanium</w:t>
      </w:r>
      <w:r w:rsidR="002800BE">
        <w:t xml:space="preserve"> dioxide</w:t>
      </w:r>
      <w:r w:rsidR="002800BE" w:rsidRPr="000B11FC">
        <w:t xml:space="preserve">. </w:t>
      </w:r>
      <w:r w:rsidR="002800BE">
        <w:t>B</w:t>
      </w:r>
      <w:r w:rsidR="002800BE" w:rsidRPr="003A746B">
        <w:t>enefits</w:t>
      </w:r>
      <w:r w:rsidR="002800BE">
        <w:t xml:space="preserve"> for the proposed WEL for </w:t>
      </w:r>
      <w:r>
        <w:t xml:space="preserve">titanium dioxide </w:t>
      </w:r>
      <w:r w:rsidR="002800BE">
        <w:t>could not be</w:t>
      </w:r>
      <w:r w:rsidR="002800BE" w:rsidRPr="003A746B">
        <w:t xml:space="preserve"> estimated </w:t>
      </w:r>
      <w:r w:rsidR="002800BE">
        <w:t xml:space="preserve">due to a lack of health burden data and workers compensation claims to derive quantified heath and financial benefits, respectively. However, a lack of quantified benefits </w:t>
      </w:r>
      <w:r w:rsidR="002800BE" w:rsidRPr="007538AD">
        <w:t xml:space="preserve">does not mean that the introduction of the proposed WEL will not result in health </w:t>
      </w:r>
      <w:r w:rsidR="002800BE">
        <w:t xml:space="preserve">or financial benefits. </w:t>
      </w:r>
    </w:p>
    <w:p w14:paraId="5F9C4205" w14:textId="7A35D93B" w:rsidR="002800BE" w:rsidRPr="000B11FC" w:rsidRDefault="002800BE" w:rsidP="003349CC">
      <w:pPr>
        <w:pStyle w:val="Paragraph"/>
      </w:pPr>
      <w:r>
        <w:t>For the purposes of determining a</w:t>
      </w:r>
      <w:r w:rsidRPr="003A746B">
        <w:t xml:space="preserve"> </w:t>
      </w:r>
      <w:r>
        <w:t>net gross benefit, only the quantified</w:t>
      </w:r>
      <w:r w:rsidRPr="003A746B">
        <w:t xml:space="preserve"> costs (</w:t>
      </w:r>
      <w:r w:rsidR="00640FB3">
        <w:fldChar w:fldCharType="begin"/>
      </w:r>
      <w:r w:rsidR="00640FB3">
        <w:instrText xml:space="preserve"> REF _Ref216773068 \h </w:instrText>
      </w:r>
      <w:r w:rsidR="00640FB3">
        <w:fldChar w:fldCharType="separate"/>
      </w:r>
      <w:r w:rsidR="00A002F4">
        <w:t xml:space="preserve">Table </w:t>
      </w:r>
      <w:r w:rsidR="00A002F4">
        <w:rPr>
          <w:noProof/>
        </w:rPr>
        <w:t>43</w:t>
      </w:r>
      <w:r w:rsidR="00640FB3">
        <w:fldChar w:fldCharType="end"/>
      </w:r>
      <w:r w:rsidRPr="003A746B">
        <w:t xml:space="preserve">) </w:t>
      </w:r>
      <w:r>
        <w:t>were</w:t>
      </w:r>
      <w:r w:rsidRPr="003A746B">
        <w:t xml:space="preserve"> </w:t>
      </w:r>
      <w:r>
        <w:t xml:space="preserve">used to </w:t>
      </w:r>
      <w:r w:rsidRPr="003A746B">
        <w:t xml:space="preserve">estimate a net </w:t>
      </w:r>
      <w:r>
        <w:t xml:space="preserve">gross </w:t>
      </w:r>
      <w:r w:rsidRPr="003A746B">
        <w:t>benefit of -$</w:t>
      </w:r>
      <w:r w:rsidR="004F32A8">
        <w:t>62 million</w:t>
      </w:r>
      <w:r w:rsidRPr="003A746B">
        <w:t xml:space="preserve"> over 10 years for the proposed WEL for </w:t>
      </w:r>
      <w:r w:rsidR="00640FB3">
        <w:t>titanium dioxide</w:t>
      </w:r>
      <w:r w:rsidRPr="003A746B">
        <w:t xml:space="preserve">. </w:t>
      </w:r>
    </w:p>
    <w:p w14:paraId="089DB66D" w14:textId="65639394" w:rsidR="002800BE" w:rsidRPr="000B11FC" w:rsidRDefault="002800BE" w:rsidP="003349CC">
      <w:pPr>
        <w:pStyle w:val="Paragraph"/>
      </w:pPr>
      <w:r w:rsidRPr="000B11FC">
        <w:t>Sensitivity analysis indicates the quantified</w:t>
      </w:r>
      <w:r>
        <w:t xml:space="preserve"> gross</w:t>
      </w:r>
      <w:r w:rsidRPr="000B11FC">
        <w:t xml:space="preserve"> benefit can range between -$</w:t>
      </w:r>
      <w:r w:rsidR="00B748E4">
        <w:t>38</w:t>
      </w:r>
      <w:r w:rsidRPr="000B11FC">
        <w:t xml:space="preserve"> </w:t>
      </w:r>
      <w:r w:rsidR="00B748E4">
        <w:t>m</w:t>
      </w:r>
      <w:r w:rsidRPr="000B11FC">
        <w:t xml:space="preserve">illion (under the </w:t>
      </w:r>
      <w:r>
        <w:t>low</w:t>
      </w:r>
      <w:r w:rsidRPr="000B11FC">
        <w:t xml:space="preserve"> scenario outlined in </w:t>
      </w:r>
      <w:hyperlink w:anchor="AppendixD_SensitivityAnalysis" w:history="1">
        <w:r w:rsidRPr="00B64384">
          <w:rPr>
            <w:rStyle w:val="Hyperlink"/>
            <w:color w:val="auto"/>
            <w:u w:val="none"/>
          </w:rPr>
          <w:t xml:space="preserve">Appendix </w:t>
        </w:r>
        <w:r w:rsidR="00725872" w:rsidRPr="00B64384">
          <w:rPr>
            <w:rStyle w:val="Hyperlink"/>
            <w:color w:val="auto"/>
            <w:u w:val="none"/>
          </w:rPr>
          <w:t>D</w:t>
        </w:r>
      </w:hyperlink>
      <w:r w:rsidRPr="000B11FC">
        <w:t>) and -$</w:t>
      </w:r>
      <w:r w:rsidR="00B748E4">
        <w:t>102</w:t>
      </w:r>
      <w:r w:rsidRPr="000B11FC">
        <w:t xml:space="preserve"> </w:t>
      </w:r>
      <w:r>
        <w:t>b</w:t>
      </w:r>
      <w:r w:rsidRPr="000B11FC">
        <w:t xml:space="preserve">illion (under the </w:t>
      </w:r>
      <w:r>
        <w:t xml:space="preserve">high </w:t>
      </w:r>
      <w:r w:rsidRPr="000B11FC">
        <w:t xml:space="preserve">scenario outlined in </w:t>
      </w:r>
      <w:hyperlink w:anchor="AppendixD_SensitivityAnalysis" w:history="1">
        <w:r w:rsidRPr="00B64384">
          <w:rPr>
            <w:rStyle w:val="Hyperlink"/>
            <w:color w:val="auto"/>
            <w:u w:val="none"/>
          </w:rPr>
          <w:t xml:space="preserve">Appendix </w:t>
        </w:r>
        <w:r w:rsidR="00725872" w:rsidRPr="00B64384">
          <w:rPr>
            <w:rStyle w:val="Hyperlink"/>
            <w:color w:val="auto"/>
            <w:u w:val="none"/>
          </w:rPr>
          <w:t>D</w:t>
        </w:r>
      </w:hyperlink>
      <w:r w:rsidRPr="000B11FC">
        <w:t xml:space="preserve">) over 10 years for the proposed WEL for </w:t>
      </w:r>
      <w:r w:rsidR="00B748E4">
        <w:t>titanium</w:t>
      </w:r>
      <w:r>
        <w:t xml:space="preserve"> dioxide</w:t>
      </w:r>
      <w:r w:rsidRPr="000B11FC">
        <w:t xml:space="preserve">. </w:t>
      </w:r>
    </w:p>
    <w:p w14:paraId="256C29B3" w14:textId="6C9735EF" w:rsidR="002800BE" w:rsidRPr="000B11FC" w:rsidRDefault="002800BE" w:rsidP="003349CC">
      <w:pPr>
        <w:pStyle w:val="Paragraph"/>
      </w:pPr>
      <w:r w:rsidRPr="000B11FC">
        <w:t xml:space="preserve">For the proposed WEL for </w:t>
      </w:r>
      <w:r w:rsidR="00B748E4">
        <w:t>titanium</w:t>
      </w:r>
      <w:r>
        <w:t xml:space="preserve"> dioxide</w:t>
      </w:r>
      <w:r w:rsidRPr="000B11FC">
        <w:t xml:space="preserve"> to deliver a net benefit in economic terms, the non-quantified and qualitative benefits outlined in Sections 5 and 1</w:t>
      </w:r>
      <w:r w:rsidR="00B51AD0">
        <w:t>7</w:t>
      </w:r>
      <w:r w:rsidRPr="000B11FC">
        <w:t>.1 of this Decision RIS would need to meet or exceed a quantified net cost of $</w:t>
      </w:r>
      <w:r w:rsidR="00EC19DF">
        <w:t>62</w:t>
      </w:r>
      <w:r w:rsidRPr="000B11FC">
        <w:t xml:space="preserve"> </w:t>
      </w:r>
      <w:r>
        <w:t>b</w:t>
      </w:r>
      <w:r w:rsidRPr="000B11FC">
        <w:t xml:space="preserve">illion. </w:t>
      </w:r>
    </w:p>
    <w:p w14:paraId="4962B05B" w14:textId="55290040" w:rsidR="002800BE" w:rsidRDefault="002800BE" w:rsidP="002800BE">
      <w:pPr>
        <w:pStyle w:val="Paragraph"/>
        <w:keepNext w:val="0"/>
      </w:pPr>
      <w:r w:rsidRPr="000B11FC">
        <w:t xml:space="preserve">This </w:t>
      </w:r>
      <w:r w:rsidR="003C0668">
        <w:t>quantified gross</w:t>
      </w:r>
      <w:r w:rsidRPr="000B11FC">
        <w:t xml:space="preserve"> cost is likely to be smaller than what is estimated in</w:t>
      </w:r>
      <w:r>
        <w:t xml:space="preserve"> </w:t>
      </w:r>
      <w:r w:rsidR="00EC19DF">
        <w:fldChar w:fldCharType="begin"/>
      </w:r>
      <w:r w:rsidR="00EC19DF">
        <w:instrText xml:space="preserve"> REF _Ref216773356 \h </w:instrText>
      </w:r>
      <w:r w:rsidR="00EC19DF">
        <w:fldChar w:fldCharType="separate"/>
      </w:r>
      <w:r w:rsidR="00A002F4">
        <w:t xml:space="preserve">Table </w:t>
      </w:r>
      <w:r w:rsidR="00A002F4">
        <w:rPr>
          <w:noProof/>
        </w:rPr>
        <w:t>45</w:t>
      </w:r>
      <w:r w:rsidR="00EC19DF">
        <w:fldChar w:fldCharType="end"/>
      </w:r>
      <w:r w:rsidR="00EC19DF">
        <w:t xml:space="preserve">. </w:t>
      </w:r>
      <w:r w:rsidR="00565E68">
        <w:t>The d</w:t>
      </w:r>
      <w:r w:rsidR="009A3622">
        <w:t>ata limitations, particularly the likely under-reporting in workers’ compensations data discussed throughout this Decision RIS, are also relevant. Actual benefits are therefore under-estimated; and will continue to be realised even after the 10-year appraisal period of this analysis</w:t>
      </w:r>
      <w:r w:rsidR="00565E68">
        <w:t xml:space="preserve">. </w:t>
      </w:r>
    </w:p>
    <w:p w14:paraId="27839363" w14:textId="26596CE3" w:rsidR="00565E68" w:rsidRDefault="00565E68" w:rsidP="002800BE">
      <w:pPr>
        <w:pStyle w:val="Paragraph"/>
        <w:keepNext w:val="0"/>
      </w:pPr>
      <w:r>
        <w:t>In considering the gross quantified benefit, together with the non-quantified and qualitative be</w:t>
      </w:r>
      <w:r w:rsidR="00DD4190">
        <w:t xml:space="preserve">nefit, Option 2 presents a likely net benefit. </w:t>
      </w:r>
    </w:p>
    <w:p w14:paraId="0A8898A4" w14:textId="4F4C6AB5" w:rsidR="00932C23" w:rsidRDefault="00932C23" w:rsidP="003349CC">
      <w:pPr>
        <w:pStyle w:val="Caption"/>
      </w:pPr>
      <w:bookmarkStart w:id="627" w:name="_Ref216773356"/>
      <w:r>
        <w:t xml:space="preserve">Table </w:t>
      </w:r>
      <w:fldSimple w:instr=" SEQ Table \* ARABIC ">
        <w:r w:rsidR="00A002F4">
          <w:rPr>
            <w:noProof/>
          </w:rPr>
          <w:t>45</w:t>
        </w:r>
      </w:fldSimple>
      <w:bookmarkEnd w:id="627"/>
      <w:r>
        <w:t xml:space="preserve"> - </w:t>
      </w:r>
      <w:r w:rsidR="00622B06">
        <w:t>Quantified</w:t>
      </w:r>
      <w:r w:rsidRPr="006827A5">
        <w:t xml:space="preserve"> gross benefit ($, millions, discounted) for the proposed WEL for </w:t>
      </w:r>
      <w:r>
        <w:t>titanium dioxide</w:t>
      </w:r>
      <w:r w:rsidRPr="006827A5">
        <w:t>, FY27 to FY36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04"/>
        <w:gridCol w:w="3006"/>
        <w:gridCol w:w="3006"/>
      </w:tblGrid>
      <w:tr w:rsidR="002800BE" w:rsidRPr="002800BE" w14:paraId="2AD12268" w14:textId="77777777">
        <w:tc>
          <w:tcPr>
            <w:tcW w:w="3004" w:type="dxa"/>
            <w:tcBorders>
              <w:bottom w:val="single" w:sz="4" w:space="0" w:color="A6A6A6" w:themeColor="background1" w:themeShade="A6"/>
            </w:tcBorders>
            <w:shd w:val="clear" w:color="auto" w:fill="4877E0" w:themeFill="accent1"/>
          </w:tcPr>
          <w:p w14:paraId="5B421D0B" w14:textId="77777777" w:rsidR="002800BE" w:rsidRPr="003349CC" w:rsidRDefault="002800BE" w:rsidP="002800BE">
            <w:pPr>
              <w:pStyle w:val="Paragraph"/>
              <w:keepNext w:val="0"/>
              <w:rPr>
                <w:b/>
                <w:color w:val="FFFFFF" w:themeColor="background1"/>
              </w:rPr>
            </w:pPr>
            <w:r w:rsidRPr="003349CC">
              <w:rPr>
                <w:b/>
                <w:color w:val="FFFFFF" w:themeColor="background1"/>
              </w:rPr>
              <w:t>Quantified benefits</w:t>
            </w:r>
          </w:p>
        </w:tc>
        <w:tc>
          <w:tcPr>
            <w:tcW w:w="3006" w:type="dxa"/>
            <w:tcBorders>
              <w:bottom w:val="single" w:sz="4" w:space="0" w:color="A6A6A6" w:themeColor="background1" w:themeShade="A6"/>
            </w:tcBorders>
            <w:shd w:val="clear" w:color="auto" w:fill="4877E0" w:themeFill="accent1"/>
          </w:tcPr>
          <w:p w14:paraId="1261199F" w14:textId="77777777" w:rsidR="002800BE" w:rsidRPr="003349CC" w:rsidRDefault="002800BE" w:rsidP="002800BE">
            <w:pPr>
              <w:pStyle w:val="Paragraph"/>
              <w:keepNext w:val="0"/>
              <w:rPr>
                <w:b/>
                <w:color w:val="FFFFFF" w:themeColor="background1"/>
              </w:rPr>
            </w:pPr>
            <w:r w:rsidRPr="003349CC">
              <w:rPr>
                <w:b/>
                <w:color w:val="FFFFFF" w:themeColor="background1"/>
              </w:rPr>
              <w:t>Quantified costs</w:t>
            </w:r>
          </w:p>
        </w:tc>
        <w:tc>
          <w:tcPr>
            <w:tcW w:w="3006" w:type="dxa"/>
            <w:tcBorders>
              <w:bottom w:val="single" w:sz="4" w:space="0" w:color="A6A6A6" w:themeColor="background1" w:themeShade="A6"/>
            </w:tcBorders>
            <w:shd w:val="clear" w:color="auto" w:fill="4877E0" w:themeFill="accent1"/>
          </w:tcPr>
          <w:p w14:paraId="3220AE72" w14:textId="5E89C01A" w:rsidR="002800BE" w:rsidRPr="003349CC" w:rsidRDefault="00622B06" w:rsidP="002800BE">
            <w:pPr>
              <w:pStyle w:val="Paragraph"/>
              <w:keepNext w:val="0"/>
              <w:rPr>
                <w:b/>
                <w:color w:val="FFFFFF" w:themeColor="background1"/>
              </w:rPr>
            </w:pPr>
            <w:r>
              <w:rPr>
                <w:b/>
                <w:bCs/>
                <w:color w:val="FFFFFF" w:themeColor="background1"/>
              </w:rPr>
              <w:t xml:space="preserve">Quantified </w:t>
            </w:r>
            <w:r w:rsidR="002800BE" w:rsidRPr="003349CC">
              <w:rPr>
                <w:b/>
                <w:color w:val="FFFFFF" w:themeColor="background1"/>
              </w:rPr>
              <w:t>gross benefit</w:t>
            </w:r>
            <w:r w:rsidR="00B227B6">
              <w:rPr>
                <w:b/>
                <w:bCs/>
                <w:color w:val="FFFFFF" w:themeColor="background1"/>
              </w:rPr>
              <w:t>**</w:t>
            </w:r>
          </w:p>
        </w:tc>
      </w:tr>
      <w:tr w:rsidR="002800BE" w:rsidRPr="002800BE" w14:paraId="1FD0E7BF" w14:textId="77777777">
        <w:trPr>
          <w:trHeight w:val="300"/>
        </w:trPr>
        <w:tc>
          <w:tcPr>
            <w:tcW w:w="30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421C533" w14:textId="5728B0DF" w:rsidR="002800BE" w:rsidRPr="002800BE" w:rsidRDefault="002800BE" w:rsidP="002800BE">
            <w:pPr>
              <w:pStyle w:val="Paragraph"/>
              <w:keepNext w:val="0"/>
            </w:pPr>
            <w:r w:rsidRPr="002800BE">
              <w:t>ND</w:t>
            </w:r>
            <w:r w:rsidR="00B227B6">
              <w:t>*</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E971211" w14:textId="6781CA78" w:rsidR="002800BE" w:rsidRPr="002800BE" w:rsidRDefault="00B51AD0" w:rsidP="002800BE">
            <w:pPr>
              <w:pStyle w:val="Paragraph"/>
              <w:keepNext w:val="0"/>
            </w:pPr>
            <w:r>
              <w:t>62</w:t>
            </w:r>
          </w:p>
        </w:tc>
        <w:tc>
          <w:tcPr>
            <w:tcW w:w="30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549CD62A" w14:textId="21BE2F82" w:rsidR="002800BE" w:rsidRPr="002800BE" w:rsidRDefault="002800BE" w:rsidP="002800BE">
            <w:pPr>
              <w:pStyle w:val="Paragraph"/>
              <w:keepNext w:val="0"/>
            </w:pPr>
            <w:r w:rsidRPr="002800BE">
              <w:t>-</w:t>
            </w:r>
            <w:r w:rsidR="00B51AD0">
              <w:t>62</w:t>
            </w:r>
            <w:r w:rsidRPr="002800BE">
              <w:t xml:space="preserve"> </w:t>
            </w:r>
          </w:p>
        </w:tc>
      </w:tr>
    </w:tbl>
    <w:p w14:paraId="46B94075" w14:textId="0FB3FBA1" w:rsidR="00B227B6" w:rsidRDefault="00B227B6" w:rsidP="003349CC">
      <w:pPr>
        <w:pStyle w:val="SWAHeading3"/>
        <w:spacing w:before="0"/>
      </w:pPr>
      <w:r>
        <w:rPr>
          <w:rFonts w:eastAsia="Times New Roman"/>
          <w:i/>
          <w:iCs/>
          <w:color w:val="808080" w:themeColor="background1" w:themeShade="80"/>
          <w:sz w:val="16"/>
          <w:szCs w:val="16"/>
        </w:rPr>
        <w:t xml:space="preserve">   </w:t>
      </w:r>
      <w:r w:rsidRPr="00FC7340">
        <w:rPr>
          <w:rFonts w:eastAsia="Times New Roman"/>
          <w:i/>
          <w:iCs/>
          <w:color w:val="808080" w:themeColor="background1" w:themeShade="80"/>
          <w:sz w:val="16"/>
          <w:szCs w:val="16"/>
        </w:rPr>
        <w:t>ND = Not determined due to insufficient data</w:t>
      </w:r>
      <w:r w:rsidRPr="00FC7340">
        <w:rPr>
          <w:color w:val="808080" w:themeColor="background1" w:themeShade="80"/>
        </w:rPr>
        <w:br/>
      </w:r>
      <w:r w:rsidRPr="00FC7340">
        <w:rPr>
          <w:rFonts w:eastAsia="Times New Roman"/>
          <w:i/>
          <w:iCs/>
          <w:color w:val="808080" w:themeColor="background1" w:themeShade="80"/>
          <w:sz w:val="16"/>
          <w:szCs w:val="16"/>
        </w:rPr>
        <w:t xml:space="preserve">  * Benefits exist but were unable to be quantified. This should not be read as an absence of benefits. </w:t>
      </w:r>
      <w:r w:rsidRPr="00FC7340">
        <w:rPr>
          <w:color w:val="808080" w:themeColor="background1" w:themeShade="80"/>
        </w:rPr>
        <w:br/>
      </w:r>
      <w:r w:rsidRPr="00FC7340">
        <w:rPr>
          <w:rFonts w:eastAsia="Times New Roman"/>
          <w:i/>
          <w:iCs/>
          <w:color w:val="808080" w:themeColor="background1" w:themeShade="80"/>
          <w:sz w:val="16"/>
          <w:szCs w:val="16"/>
        </w:rPr>
        <w:t xml:space="preserve">  ** The quantified gross benefits should be read in conjunction with the non-quantifiable benefits set out </w:t>
      </w:r>
      <w:r>
        <w:rPr>
          <w:rFonts w:eastAsia="Times New Roman"/>
          <w:i/>
          <w:iCs/>
          <w:color w:val="808080" w:themeColor="background1" w:themeShade="80"/>
          <w:sz w:val="16"/>
          <w:szCs w:val="16"/>
        </w:rPr>
        <w:t>in Section 5 and 11.1.</w:t>
      </w:r>
    </w:p>
    <w:p w14:paraId="3D16411C" w14:textId="11D4CE4F" w:rsidR="002800BE" w:rsidRPr="002800BE" w:rsidRDefault="00DF272B" w:rsidP="003349CC">
      <w:pPr>
        <w:pStyle w:val="SWAHeading3"/>
      </w:pPr>
      <w:r>
        <w:t>Recommended option</w:t>
      </w:r>
    </w:p>
    <w:tbl>
      <w:tblPr>
        <w:tblStyle w:val="TableGrid"/>
        <w:tblW w:w="0" w:type="auto"/>
        <w:tblLook w:val="04A0" w:firstRow="1" w:lastRow="0" w:firstColumn="1" w:lastColumn="0" w:noHBand="0" w:noVBand="1"/>
      </w:tblPr>
      <w:tblGrid>
        <w:gridCol w:w="9016"/>
      </w:tblGrid>
      <w:tr w:rsidR="006B5AE3" w14:paraId="7C1510AB" w14:textId="77777777">
        <w:tc>
          <w:tcPr>
            <w:tcW w:w="9060" w:type="dxa"/>
            <w:tcBorders>
              <w:top w:val="single" w:sz="4" w:space="0" w:color="DAE3F8" w:themeColor="accent1" w:themeTint="33"/>
              <w:left w:val="single" w:sz="4" w:space="0" w:color="DAE3F8" w:themeColor="accent1" w:themeTint="33"/>
              <w:bottom w:val="single" w:sz="4" w:space="0" w:color="DAE3F8" w:themeColor="accent1" w:themeTint="33"/>
              <w:right w:val="single" w:sz="4" w:space="0" w:color="DAE3F8" w:themeColor="accent1" w:themeTint="33"/>
            </w:tcBorders>
            <w:shd w:val="clear" w:color="auto" w:fill="DAE3F8" w:themeFill="accent1" w:themeFillTint="33"/>
          </w:tcPr>
          <w:p w14:paraId="238EDDF2" w14:textId="74812D23" w:rsidR="00CE3BFA" w:rsidRPr="00CE3BFA" w:rsidRDefault="005F5EFC" w:rsidP="00CE68FD">
            <w:pPr>
              <w:pStyle w:val="Paragraph"/>
              <w:keepNext w:val="0"/>
              <w:spacing w:before="240"/>
            </w:pPr>
            <w:bookmarkStart w:id="628" w:name="_Toc196204905"/>
            <w:r w:rsidRPr="008A210F">
              <w:t>I</w:t>
            </w:r>
            <w:r>
              <w:t>t is recommended WHS ministers agree to the health-based recommendation for the WEL for titanium dioxide (</w:t>
            </w:r>
            <w:r w:rsidRPr="005C575C">
              <w:rPr>
                <w:b/>
              </w:rPr>
              <w:t>Option 2</w:t>
            </w:r>
            <w:r>
              <w:t xml:space="preserve">): TWAs of </w:t>
            </w:r>
            <w:r w:rsidRPr="006B5AE3">
              <w:t>0.3 mg/m</w:t>
            </w:r>
            <w:r w:rsidRPr="006B5AE3">
              <w:rPr>
                <w:vertAlign w:val="superscript"/>
              </w:rPr>
              <w:t>3</w:t>
            </w:r>
            <w:r w:rsidRPr="006B5AE3">
              <w:t xml:space="preserve"> for ultrafine/nanoscale particles </w:t>
            </w:r>
            <w:r w:rsidR="009D1FFE">
              <w:t xml:space="preserve">(respirable) </w:t>
            </w:r>
            <w:r w:rsidRPr="006B5AE3">
              <w:t>and 2.4 mg/m</w:t>
            </w:r>
            <w:r w:rsidRPr="006B5AE3">
              <w:rPr>
                <w:vertAlign w:val="superscript"/>
              </w:rPr>
              <w:t>3</w:t>
            </w:r>
            <w:r w:rsidRPr="006B5AE3">
              <w:t xml:space="preserve"> for fine/pigmentary grade particles</w:t>
            </w:r>
            <w:r w:rsidR="009D1FFE">
              <w:t xml:space="preserve"> (respirable)</w:t>
            </w:r>
            <w:r>
              <w:t>.</w:t>
            </w:r>
            <w:r w:rsidR="00CE3BFA">
              <w:rPr>
                <w:lang w:eastAsia="en-US"/>
              </w:rPr>
              <w:t xml:space="preserve"> </w:t>
            </w:r>
            <w:r w:rsidR="00CE3BFA" w:rsidRPr="00CE3BFA">
              <w:t>This recommendation is based on the following considerations:</w:t>
            </w:r>
          </w:p>
          <w:p w14:paraId="3AE55ED0" w14:textId="7C0F9EB5" w:rsidR="00CE3BFA" w:rsidRPr="00CE3BFA" w:rsidRDefault="00CE3BFA" w:rsidP="00CE68FD">
            <w:pPr>
              <w:pStyle w:val="Paragraph"/>
              <w:keepNext w:val="0"/>
              <w:numPr>
                <w:ilvl w:val="0"/>
                <w:numId w:val="69"/>
              </w:numPr>
              <w:spacing w:before="120" w:after="120"/>
              <w:ind w:left="782" w:hanging="357"/>
            </w:pPr>
            <w:r w:rsidRPr="00CE3BFA">
              <w:lastRenderedPageBreak/>
              <w:t xml:space="preserve">that the proposed WEL for </w:t>
            </w:r>
            <w:r>
              <w:t>titanium dioxide</w:t>
            </w:r>
            <w:r w:rsidRPr="00CE3BFA">
              <w:t xml:space="preserve"> </w:t>
            </w:r>
            <w:r w:rsidR="009D1FFE">
              <w:t>aligns with the</w:t>
            </w:r>
            <w:r w:rsidRPr="00CE3BFA">
              <w:t xml:space="preserve"> object of the model WHS Act to protect workers and others from harm to their health, safety and welfare through the elimination or minimisation of risks,</w:t>
            </w:r>
          </w:p>
          <w:p w14:paraId="0C73197F" w14:textId="316B869D" w:rsidR="00CE3BFA" w:rsidRPr="00CE3BFA" w:rsidRDefault="00CE3BFA" w:rsidP="00CE68FD">
            <w:pPr>
              <w:pStyle w:val="Paragraph"/>
              <w:keepNext w:val="0"/>
              <w:numPr>
                <w:ilvl w:val="0"/>
                <w:numId w:val="69"/>
              </w:numPr>
              <w:spacing w:before="120" w:after="120"/>
              <w:ind w:left="782" w:hanging="357"/>
            </w:pPr>
            <w:r w:rsidRPr="00CE3BFA">
              <w:t xml:space="preserve">the scientific evidence that </w:t>
            </w:r>
            <w:r w:rsidR="009D1FFE">
              <w:t xml:space="preserve">indicates that the </w:t>
            </w:r>
            <w:r w:rsidRPr="00CE3BFA">
              <w:t xml:space="preserve">health-based </w:t>
            </w:r>
            <w:r w:rsidR="009D1FFE">
              <w:t>WEL</w:t>
            </w:r>
            <w:r w:rsidRPr="00CE3BFA">
              <w:t xml:space="preserve"> is protective of worker</w:t>
            </w:r>
            <w:r w:rsidR="00D2224C">
              <w:t>s</w:t>
            </w:r>
            <w:r w:rsidRPr="00CE3BFA">
              <w:t>,</w:t>
            </w:r>
          </w:p>
          <w:p w14:paraId="36A5DF00" w14:textId="77777777" w:rsidR="00CE3BFA" w:rsidRPr="00CE3BFA" w:rsidRDefault="00CE3BFA" w:rsidP="00CE68FD">
            <w:pPr>
              <w:pStyle w:val="Paragraph"/>
              <w:keepNext w:val="0"/>
              <w:numPr>
                <w:ilvl w:val="0"/>
                <w:numId w:val="69"/>
              </w:numPr>
              <w:spacing w:before="120" w:after="120"/>
              <w:ind w:left="782" w:hanging="357"/>
            </w:pPr>
            <w:r w:rsidRPr="00CE3BFA">
              <w:t>stakeholder views and comments on the proposed WEL, and</w:t>
            </w:r>
          </w:p>
          <w:p w14:paraId="1468CFE1" w14:textId="3A6DA08F" w:rsidR="00CE3BFA" w:rsidRPr="00CE3BFA" w:rsidRDefault="00CE3BFA" w:rsidP="00CE68FD">
            <w:pPr>
              <w:pStyle w:val="Paragraph"/>
              <w:keepNext w:val="0"/>
              <w:numPr>
                <w:ilvl w:val="0"/>
                <w:numId w:val="69"/>
              </w:numPr>
              <w:spacing w:before="120" w:after="120"/>
              <w:ind w:left="782" w:hanging="357"/>
            </w:pPr>
            <w:r w:rsidRPr="00CE3BFA">
              <w:t>the</w:t>
            </w:r>
            <w:r w:rsidR="009D1FFE">
              <w:t xml:space="preserve"> </w:t>
            </w:r>
            <w:r w:rsidR="002A5497">
              <w:t xml:space="preserve">net </w:t>
            </w:r>
            <w:r w:rsidRPr="00CE3BFA">
              <w:t>benefit</w:t>
            </w:r>
            <w:r w:rsidR="002A5497">
              <w:t xml:space="preserve"> expected of the proposed change</w:t>
            </w:r>
            <w:r w:rsidR="009D1FFE">
              <w:t>,</w:t>
            </w:r>
            <w:r w:rsidR="002A5497">
              <w:t xml:space="preserve"> in</w:t>
            </w:r>
            <w:r w:rsidR="009D1FFE">
              <w:t xml:space="preserve"> particular</w:t>
            </w:r>
            <w:r w:rsidR="002A5497">
              <w:t xml:space="preserve"> the protection of workers </w:t>
            </w:r>
            <w:r w:rsidR="00CE0EC4">
              <w:t xml:space="preserve">from developing lung cancer over their working lifetime. </w:t>
            </w:r>
          </w:p>
          <w:p w14:paraId="2BB93AE4" w14:textId="1194CA2D" w:rsidR="00CE3BFA" w:rsidRPr="00DA0793" w:rsidRDefault="00C733B9" w:rsidP="00CE68FD">
            <w:pPr>
              <w:pStyle w:val="Paragraph"/>
              <w:keepNext w:val="0"/>
              <w:spacing w:before="240" w:after="240"/>
              <w:rPr>
                <w:lang w:eastAsia="en-US"/>
              </w:rPr>
            </w:pPr>
            <w:r w:rsidRPr="00560E0D">
              <w:t xml:space="preserve">It </w:t>
            </w:r>
            <w:r w:rsidRPr="008B1DDD">
              <w:t xml:space="preserve">is also recommended WHS ministers agree </w:t>
            </w:r>
            <w:r w:rsidRPr="00BA36C4">
              <w:t>a transition</w:t>
            </w:r>
            <w:r w:rsidRPr="008B1DDD">
              <w:t xml:space="preserve"> period for </w:t>
            </w:r>
            <w:r>
              <w:t>titanium dioxide</w:t>
            </w:r>
            <w:r w:rsidRPr="008B1DDD">
              <w:t xml:space="preserve"> </w:t>
            </w:r>
            <w:r w:rsidRPr="00BA36C4">
              <w:t>aligned to</w:t>
            </w:r>
            <w:r w:rsidRPr="008B1DDD">
              <w:t xml:space="preserve"> the 1 December 2026 implementation date for the </w:t>
            </w:r>
            <w:r w:rsidRPr="008B1DDD">
              <w:rPr>
                <w:i/>
              </w:rPr>
              <w:t>Workplace exposure limits for airborne contaminants</w:t>
            </w:r>
            <w:r w:rsidRPr="008B1DDD">
              <w:t>.</w:t>
            </w:r>
            <w:bookmarkEnd w:id="628"/>
          </w:p>
        </w:tc>
      </w:tr>
    </w:tbl>
    <w:p w14:paraId="1A2670CD" w14:textId="0FFF68A2" w:rsidR="00431D4E" w:rsidRDefault="000569D4">
      <w:pPr>
        <w:pStyle w:val="SWAHeading1"/>
        <w:numPr>
          <w:ilvl w:val="0"/>
          <w:numId w:val="0"/>
        </w:numPr>
      </w:pPr>
      <w:bookmarkStart w:id="629" w:name="_Toc196204909"/>
      <w:bookmarkStart w:id="630" w:name="_Toc219216927"/>
      <w:bookmarkEnd w:id="117"/>
      <w:r>
        <w:lastRenderedPageBreak/>
        <w:t xml:space="preserve">Appendix A – </w:t>
      </w:r>
      <w:bookmarkEnd w:id="629"/>
      <w:r w:rsidR="00B7539B">
        <w:t>Bibliography</w:t>
      </w:r>
      <w:bookmarkEnd w:id="630"/>
    </w:p>
    <w:sdt>
      <w:sdtPr>
        <w:id w:val="229971831"/>
        <w:docPartObj>
          <w:docPartGallery w:val="Bibliographies"/>
          <w:docPartUnique/>
        </w:docPartObj>
      </w:sdtPr>
      <w:sdtEndPr/>
      <w:sdtContent>
        <w:sdt>
          <w:sdtPr>
            <w:id w:val="111145805"/>
            <w:bibliography/>
          </w:sdtPr>
          <w:sdtEndPr/>
          <w:sdtContent>
            <w:p w14:paraId="096F7A22" w14:textId="77777777" w:rsidR="00490B21" w:rsidRDefault="007F03D2" w:rsidP="00490B21">
              <w:pPr>
                <w:pStyle w:val="Bibliography"/>
                <w:ind w:left="720" w:hanging="720"/>
                <w:rPr>
                  <w:noProof/>
                  <w:sz w:val="24"/>
                </w:rPr>
              </w:pPr>
              <w:r>
                <w:fldChar w:fldCharType="begin"/>
              </w:r>
              <w:r>
                <w:instrText xml:space="preserve"> BIBLIOGRAPHY </w:instrText>
              </w:r>
              <w:r>
                <w:fldChar w:fldCharType="separate"/>
              </w:r>
              <w:r w:rsidR="00490B21">
                <w:rPr>
                  <w:noProof/>
                </w:rPr>
                <w:t xml:space="preserve">Abelson, P. (2007). </w:t>
              </w:r>
              <w:r w:rsidR="00490B21">
                <w:rPr>
                  <w:i/>
                  <w:iCs/>
                  <w:noProof/>
                </w:rPr>
                <w:t>Working Paper - Establishing a monetary value for lives saved</w:t>
              </w:r>
              <w:r w:rsidR="00490B21">
                <w:rPr>
                  <w:noProof/>
                </w:rPr>
                <w:t>. Retrieved from Office of Impact Analysis: https://oia.pmc.gov.au/resources/research-and-other-resources/working-paper-establishing-monetary-value-lives-saved</w:t>
              </w:r>
            </w:p>
            <w:p w14:paraId="14AD24A6" w14:textId="77777777" w:rsidR="00490B21" w:rsidRDefault="00490B21" w:rsidP="00490B21">
              <w:pPr>
                <w:pStyle w:val="Bibliography"/>
                <w:ind w:left="720" w:hanging="720"/>
                <w:rPr>
                  <w:noProof/>
                </w:rPr>
              </w:pPr>
              <w:r>
                <w:rPr>
                  <w:noProof/>
                </w:rPr>
                <w:t xml:space="preserve">ACGIH. (1988). </w:t>
              </w:r>
              <w:r>
                <w:rPr>
                  <w:i/>
                  <w:iCs/>
                  <w:noProof/>
                </w:rPr>
                <w:t>TLV/BEI Policy Statement</w:t>
              </w:r>
              <w:r>
                <w:rPr>
                  <w:noProof/>
                </w:rPr>
                <w:t>. Retrieved from ACGIH: https://www.acgih.org/science/tlv-bei-guidelines/policies-procedures-presentations/tlv-bei-policy-statement/</w:t>
              </w:r>
            </w:p>
            <w:p w14:paraId="5163B3EB" w14:textId="77777777" w:rsidR="00490B21" w:rsidRDefault="00490B21" w:rsidP="00490B21">
              <w:pPr>
                <w:pStyle w:val="Bibliography"/>
                <w:ind w:left="720" w:hanging="720"/>
                <w:rPr>
                  <w:noProof/>
                </w:rPr>
              </w:pPr>
              <w:r>
                <w:rPr>
                  <w:noProof/>
                </w:rPr>
                <w:t xml:space="preserve">Al-Abri, M., Al-Ghafri, B., Bora, T., Dobrestov, S., Dutta, J., Castelletto, S., . . . Boretti, A. (2019). Chlorination disadvantages and alternative routes for biofouling control in reverse osmosis desalination. </w:t>
              </w:r>
              <w:r>
                <w:rPr>
                  <w:i/>
                  <w:iCs/>
                  <w:noProof/>
                </w:rPr>
                <w:t>npj Clean Water, 2</w:t>
              </w:r>
              <w:r>
                <w:rPr>
                  <w:noProof/>
                </w:rPr>
                <w:t>.</w:t>
              </w:r>
            </w:p>
            <w:p w14:paraId="78FA2060" w14:textId="77777777" w:rsidR="00490B21" w:rsidRDefault="00490B21" w:rsidP="00490B21">
              <w:pPr>
                <w:pStyle w:val="Bibliography"/>
                <w:ind w:left="720" w:hanging="720"/>
                <w:rPr>
                  <w:noProof/>
                </w:rPr>
              </w:pPr>
              <w:r>
                <w:rPr>
                  <w:noProof/>
                </w:rPr>
                <w:t xml:space="preserve">Algamdi, M., Sadatsafavi, M., Fisher, J. H., Morisset, J., Johannson, K. A., Fell, C. D., . . . Ryerson, C. J. (2019). Costs of Workplace Productivity Loss in Patients With Fibrotic Interstitial Lung Disease. </w:t>
              </w:r>
              <w:r>
                <w:rPr>
                  <w:i/>
                  <w:iCs/>
                  <w:noProof/>
                </w:rPr>
                <w:t>Chest, 156</w:t>
              </w:r>
              <w:r>
                <w:rPr>
                  <w:noProof/>
                </w:rPr>
                <w:t>(5), 887-895. Retrieved from https://www.sciencedirect.com/science/article/pii/S0012369219308852</w:t>
              </w:r>
            </w:p>
            <w:p w14:paraId="2EB8F332" w14:textId="77777777" w:rsidR="00490B21" w:rsidRDefault="00490B21" w:rsidP="00490B21">
              <w:pPr>
                <w:pStyle w:val="Bibliography"/>
                <w:ind w:left="720" w:hanging="720"/>
                <w:rPr>
                  <w:noProof/>
                </w:rPr>
              </w:pPr>
              <w:r>
                <w:rPr>
                  <w:noProof/>
                </w:rPr>
                <w:t xml:space="preserve">American Conference of Govermental Industrial Hygienists (ACGIH). (n.d.). </w:t>
              </w:r>
              <w:r>
                <w:rPr>
                  <w:i/>
                  <w:iCs/>
                  <w:noProof/>
                </w:rPr>
                <w:t>Nitrogen Dioxide</w:t>
              </w:r>
              <w:r>
                <w:rPr>
                  <w:noProof/>
                </w:rPr>
                <w:t>. Retrieved from ACGIH: https://www.acgih.org/nitrogen-dioxide/</w:t>
              </w:r>
            </w:p>
            <w:p w14:paraId="0856836F" w14:textId="77777777" w:rsidR="00490B21" w:rsidRDefault="00490B21" w:rsidP="00490B21">
              <w:pPr>
                <w:pStyle w:val="Bibliography"/>
                <w:ind w:left="720" w:hanging="720"/>
                <w:rPr>
                  <w:noProof/>
                </w:rPr>
              </w:pPr>
              <w:r>
                <w:rPr>
                  <w:noProof/>
                </w:rPr>
                <w:t xml:space="preserve">American Conference of Government Industrial Hygiensts. (n.d.). </w:t>
              </w:r>
              <w:r>
                <w:rPr>
                  <w:i/>
                  <w:iCs/>
                  <w:noProof/>
                </w:rPr>
                <w:t>Hydrogen sulfide</w:t>
              </w:r>
              <w:r>
                <w:rPr>
                  <w:noProof/>
                </w:rPr>
                <w:t>. Retrieved from American Conference of Government Industrial Hygiensts: https://www.acgih.org/hydrogen-sulfide/</w:t>
              </w:r>
            </w:p>
            <w:p w14:paraId="79FCEAA0" w14:textId="77777777" w:rsidR="00490B21" w:rsidRDefault="00490B21" w:rsidP="00490B21">
              <w:pPr>
                <w:pStyle w:val="Bibliography"/>
                <w:ind w:left="720" w:hanging="720"/>
                <w:rPr>
                  <w:noProof/>
                </w:rPr>
              </w:pPr>
              <w:r>
                <w:rPr>
                  <w:noProof/>
                </w:rPr>
                <w:t xml:space="preserve">American Conference of Governmental Industrial Hygiensts. (2024). </w:t>
              </w:r>
              <w:r>
                <w:rPr>
                  <w:i/>
                  <w:iCs/>
                  <w:noProof/>
                </w:rPr>
                <w:t>Benzene</w:t>
              </w:r>
              <w:r>
                <w:rPr>
                  <w:noProof/>
                </w:rPr>
                <w:t>. Retrieved from American Conference of Governmental Industrial Hygiensts: https://www.acgih.org/benzene-2/</w:t>
              </w:r>
            </w:p>
            <w:p w14:paraId="76C1E9E4" w14:textId="77777777" w:rsidR="00490B21" w:rsidRDefault="00490B21" w:rsidP="00490B21">
              <w:pPr>
                <w:pStyle w:val="Bibliography"/>
                <w:ind w:left="720" w:hanging="720"/>
                <w:rPr>
                  <w:noProof/>
                </w:rPr>
              </w:pPr>
              <w:r>
                <w:rPr>
                  <w:noProof/>
                </w:rPr>
                <w:t xml:space="preserve">American Conference of Governmental Industrial Hygiensts. (n.d.). </w:t>
              </w:r>
              <w:r>
                <w:rPr>
                  <w:i/>
                  <w:iCs/>
                  <w:noProof/>
                </w:rPr>
                <w:t>SILICA, CRYSTALLINE — α-QUARTZ AND CRISTOBALITE</w:t>
              </w:r>
              <w:r>
                <w:rPr>
                  <w:noProof/>
                </w:rPr>
                <w:t>. Retrieved from American Conference of Governmental Industrial Hygiensts: https://www.acgih.org/silica-crystalline-a-quartz-and-cristobalite/</w:t>
              </w:r>
            </w:p>
            <w:p w14:paraId="0836D415" w14:textId="77777777" w:rsidR="00490B21" w:rsidRDefault="00490B21" w:rsidP="00490B21">
              <w:pPr>
                <w:pStyle w:val="Bibliography"/>
                <w:ind w:left="720" w:hanging="720"/>
                <w:rPr>
                  <w:noProof/>
                </w:rPr>
              </w:pPr>
              <w:r>
                <w:rPr>
                  <w:noProof/>
                </w:rPr>
                <w:t xml:space="preserve">Australian Bureau of Statistics. (2006). </w:t>
              </w:r>
              <w:r>
                <w:rPr>
                  <w:i/>
                  <w:iCs/>
                  <w:noProof/>
                </w:rPr>
                <w:t>Numbering system and titles - Australian and New Zealand Standard Industrial Classification (ANZSIC)</w:t>
              </w:r>
              <w:r>
                <w:rPr>
                  <w:noProof/>
                </w:rPr>
                <w:t>. Retrieved from Australian Bureau of Statistics: https://www.abs.gov.au/statistics/classifications/australian-and-new-zealand-standard-industrial-classification-anzsic/2006-revision-2-0/numbering-system-and-titles</w:t>
              </w:r>
            </w:p>
            <w:p w14:paraId="3A72CDAC" w14:textId="77777777" w:rsidR="00490B21" w:rsidRDefault="00490B21" w:rsidP="00490B21">
              <w:pPr>
                <w:pStyle w:val="Bibliography"/>
                <w:ind w:left="720" w:hanging="720"/>
                <w:rPr>
                  <w:noProof/>
                </w:rPr>
              </w:pPr>
              <w:r>
                <w:rPr>
                  <w:noProof/>
                </w:rPr>
                <w:t xml:space="preserve">Australian Bureau of Statistics. (2018). </w:t>
              </w:r>
              <w:r>
                <w:rPr>
                  <w:i/>
                  <w:iCs/>
                  <w:noProof/>
                </w:rPr>
                <w:t>8155.0 - Australian Industry, 2016-17</w:t>
              </w:r>
              <w:r>
                <w:rPr>
                  <w:noProof/>
                </w:rPr>
                <w:t>. Retrieved from Australian Bureau of Statistics: https://www.abs.gov.au/ausstats/abs@.nsf/Previousproducts/8155.0Main%20Features42016-17?opendocument&amp;tabname=Summary&amp;prodno=8155.0&amp;issue=2016-17&amp;num=&amp;view=</w:t>
              </w:r>
            </w:p>
            <w:p w14:paraId="6149011F" w14:textId="77777777" w:rsidR="00490B21" w:rsidRDefault="00490B21" w:rsidP="00490B21">
              <w:pPr>
                <w:pStyle w:val="Bibliography"/>
                <w:ind w:left="720" w:hanging="720"/>
                <w:rPr>
                  <w:noProof/>
                </w:rPr>
              </w:pPr>
              <w:r>
                <w:rPr>
                  <w:noProof/>
                </w:rPr>
                <w:t xml:space="preserve">Australian Bureau of Statistics. (2018). </w:t>
              </w:r>
              <w:r>
                <w:rPr>
                  <w:i/>
                  <w:iCs/>
                  <w:noProof/>
                </w:rPr>
                <w:t>8155.0 - Australian Industry, 2016-17</w:t>
              </w:r>
              <w:r>
                <w:rPr>
                  <w:noProof/>
                </w:rPr>
                <w:t>. Retrieved from Australian Bureau of Statistics: https://www.abs.gov.au/ausstats/abs@.nsf/Previousproducts/8155.0Main%20Features42016-17?opendocument&amp;tabname=Summary&amp;prodno=8155.0&amp;issue=2016-17&amp;num=&amp;view=</w:t>
              </w:r>
            </w:p>
            <w:p w14:paraId="48BCE099" w14:textId="77777777" w:rsidR="00490B21" w:rsidRDefault="00490B21" w:rsidP="00490B21">
              <w:pPr>
                <w:pStyle w:val="Bibliography"/>
                <w:ind w:left="720" w:hanging="720"/>
                <w:rPr>
                  <w:noProof/>
                </w:rPr>
              </w:pPr>
              <w:r>
                <w:rPr>
                  <w:noProof/>
                </w:rPr>
                <w:t xml:space="preserve">Australian Bureau of Statistics. (2021). </w:t>
              </w:r>
              <w:r>
                <w:rPr>
                  <w:i/>
                  <w:iCs/>
                  <w:noProof/>
                </w:rPr>
                <w:t>TableBuilder</w:t>
              </w:r>
              <w:r>
                <w:rPr>
                  <w:noProof/>
                </w:rPr>
                <w:t>. Retrieved from Australian Bureau of Statistics: https://www.abs.gov.au/statistics/microdata-tablebuilder/tablebuilder</w:t>
              </w:r>
            </w:p>
            <w:p w14:paraId="11011B5C" w14:textId="77777777" w:rsidR="00490B21" w:rsidRDefault="00490B21" w:rsidP="00490B21">
              <w:pPr>
                <w:pStyle w:val="Bibliography"/>
                <w:ind w:left="720" w:hanging="720"/>
                <w:rPr>
                  <w:noProof/>
                </w:rPr>
              </w:pPr>
              <w:r>
                <w:rPr>
                  <w:noProof/>
                </w:rPr>
                <w:t xml:space="preserve">Australian Bureau of Statistics. (2023). </w:t>
              </w:r>
              <w:r>
                <w:rPr>
                  <w:i/>
                  <w:iCs/>
                  <w:noProof/>
                </w:rPr>
                <w:t>Counts of Australian Businesses, including Entries and Exits</w:t>
              </w:r>
              <w:r>
                <w:rPr>
                  <w:noProof/>
                </w:rPr>
                <w:t>. Retrieved from Australian Bureau of Statistics: https://www.abs.gov.au/statistics/economy/business-indicators/counts-australian-businesses-including-entries-and-exits/jul2019-jun2023</w:t>
              </w:r>
            </w:p>
            <w:p w14:paraId="728360BA" w14:textId="77777777" w:rsidR="00490B21" w:rsidRDefault="00490B21" w:rsidP="00490B21">
              <w:pPr>
                <w:pStyle w:val="Bibliography"/>
                <w:ind w:left="720" w:hanging="720"/>
                <w:rPr>
                  <w:noProof/>
                </w:rPr>
              </w:pPr>
              <w:r>
                <w:rPr>
                  <w:noProof/>
                </w:rPr>
                <w:lastRenderedPageBreak/>
                <w:t xml:space="preserve">Australian Bureau of Statistics. (2023). </w:t>
              </w:r>
              <w:r>
                <w:rPr>
                  <w:i/>
                  <w:iCs/>
                  <w:noProof/>
                </w:rPr>
                <w:t>Table 11. Main reason did not apply for workers' compensation, 2021-22</w:t>
              </w:r>
              <w:r>
                <w:rPr>
                  <w:noProof/>
                </w:rPr>
                <w:t>. Retrieved from Work-related injuries: https://www.abs.gov.au/statistics/labour/earnings-and-working-conditions/work-related-injuries/2021-22/63240_Table_11.xlsx</w:t>
              </w:r>
            </w:p>
            <w:p w14:paraId="3522A446" w14:textId="77777777" w:rsidR="00490B21" w:rsidRDefault="00490B21" w:rsidP="00490B21">
              <w:pPr>
                <w:pStyle w:val="Bibliography"/>
                <w:ind w:left="720" w:hanging="720"/>
                <w:rPr>
                  <w:noProof/>
                </w:rPr>
              </w:pPr>
              <w:r>
                <w:rPr>
                  <w:noProof/>
                </w:rPr>
                <w:t xml:space="preserve">Australian Bureau of Statistics. (2023). </w:t>
              </w:r>
              <w:r>
                <w:rPr>
                  <w:i/>
                  <w:iCs/>
                  <w:noProof/>
                </w:rPr>
                <w:t>Table 9. Workers' compensation by characteristics of injury, 2021-22</w:t>
              </w:r>
              <w:r>
                <w:rPr>
                  <w:noProof/>
                </w:rPr>
                <w:t>. Retrieved from Work-related injuries: https://www.abs.gov.au/statistics/labour/earnings-and-working-conditions/work-related-injuries/2021-22/63240_Table_09.xlsx</w:t>
              </w:r>
            </w:p>
            <w:p w14:paraId="0D04F011" w14:textId="77777777" w:rsidR="00490B21" w:rsidRDefault="00490B21" w:rsidP="00490B21">
              <w:pPr>
                <w:pStyle w:val="Bibliography"/>
                <w:ind w:left="720" w:hanging="720"/>
                <w:rPr>
                  <w:noProof/>
                </w:rPr>
              </w:pPr>
              <w:r>
                <w:rPr>
                  <w:noProof/>
                </w:rPr>
                <w:t xml:space="preserve">Australian Bureau of Statistics. (2023). </w:t>
              </w:r>
              <w:r>
                <w:rPr>
                  <w:i/>
                  <w:iCs/>
                  <w:noProof/>
                </w:rPr>
                <w:t>Work-related injuries, 2021-22</w:t>
              </w:r>
              <w:r>
                <w:rPr>
                  <w:noProof/>
                </w:rPr>
                <w:t>. Retrieved from Australian Bureau of Statistics: https://www.abs.gov.au/statistics/labour/earnings-and-working-conditions/work-related-injuries/latest-release</w:t>
              </w:r>
            </w:p>
            <w:p w14:paraId="117A7F77" w14:textId="77777777" w:rsidR="00490B21" w:rsidRDefault="00490B21" w:rsidP="00490B21">
              <w:pPr>
                <w:pStyle w:val="Bibliography"/>
                <w:ind w:left="720" w:hanging="720"/>
                <w:rPr>
                  <w:noProof/>
                </w:rPr>
              </w:pPr>
              <w:r>
                <w:rPr>
                  <w:noProof/>
                </w:rPr>
                <w:t xml:space="preserve">Australian Bureau of Statistics. (2024). </w:t>
              </w:r>
              <w:r>
                <w:rPr>
                  <w:i/>
                  <w:iCs/>
                  <w:noProof/>
                </w:rPr>
                <w:t>Average Weekly Earnings, Australia, May 2024</w:t>
              </w:r>
              <w:r>
                <w:rPr>
                  <w:noProof/>
                </w:rPr>
                <w:t>. Retrieved from Australian Bureau of Statistics: https://www.abs.gov.au/statistics/labour/earnings-and-working-conditions/average-weekly-earnings-australia/may-2024</w:t>
              </w:r>
            </w:p>
            <w:p w14:paraId="2378B00E" w14:textId="77777777" w:rsidR="00490B21" w:rsidRDefault="00490B21" w:rsidP="00490B21">
              <w:pPr>
                <w:pStyle w:val="Bibliography"/>
                <w:ind w:left="720" w:hanging="720"/>
                <w:rPr>
                  <w:noProof/>
                </w:rPr>
              </w:pPr>
              <w:r>
                <w:rPr>
                  <w:noProof/>
                </w:rPr>
                <w:t xml:space="preserve">Australian Bureau of Statistics. (2024). </w:t>
              </w:r>
              <w:r>
                <w:rPr>
                  <w:i/>
                  <w:iCs/>
                  <w:noProof/>
                </w:rPr>
                <w:t>Consumer Price Index, Australia</w:t>
              </w:r>
              <w:r>
                <w:rPr>
                  <w:noProof/>
                </w:rPr>
                <w:t>. Retrieved from Australian Bureau of Statistics: https://www.abs.gov.au/statistics/economy/price-indexes-and-inflation/consumer-price-index-australia/jun-quarter-2024</w:t>
              </w:r>
            </w:p>
            <w:p w14:paraId="6806C8EC" w14:textId="77777777" w:rsidR="00490B21" w:rsidRDefault="00490B21" w:rsidP="00490B21">
              <w:pPr>
                <w:pStyle w:val="Bibliography"/>
                <w:ind w:left="720" w:hanging="720"/>
                <w:rPr>
                  <w:noProof/>
                </w:rPr>
              </w:pPr>
              <w:r>
                <w:rPr>
                  <w:noProof/>
                </w:rPr>
                <w:t xml:space="preserve">Australian Bureau of Statistics. (2024, July 4). </w:t>
              </w:r>
              <w:r>
                <w:rPr>
                  <w:i/>
                  <w:iCs/>
                  <w:noProof/>
                </w:rPr>
                <w:t>Disability, Ageing and Carers, Australia: Summary of Findings</w:t>
              </w:r>
              <w:r>
                <w:rPr>
                  <w:noProof/>
                </w:rPr>
                <w:t>. Retrieved from Australian Bureau of Statistics: https://www.abs.gov.au/statistics/health/disability/disability-ageing-and-carers-australia-summary-findings/2022</w:t>
              </w:r>
            </w:p>
            <w:p w14:paraId="6756FCA5" w14:textId="77777777" w:rsidR="00490B21" w:rsidRDefault="00490B21" w:rsidP="00490B21">
              <w:pPr>
                <w:pStyle w:val="Bibliography"/>
                <w:ind w:left="720" w:hanging="720"/>
                <w:rPr>
                  <w:noProof/>
                </w:rPr>
              </w:pPr>
              <w:r>
                <w:rPr>
                  <w:noProof/>
                </w:rPr>
                <w:t xml:space="preserve">Australian Bureau of Statistics. (2024). </w:t>
              </w:r>
              <w:r>
                <w:rPr>
                  <w:i/>
                  <w:iCs/>
                  <w:noProof/>
                </w:rPr>
                <w:t>Labour Force, Australia, Detailed</w:t>
              </w:r>
              <w:r>
                <w:rPr>
                  <w:noProof/>
                </w:rPr>
                <w:t>. Retrieved from Australian Bureau of Statistics: https://www.abs.gov.au/statistics/labour/employment-and-unemployment/labour-force-australia-detailed/jun-2024</w:t>
              </w:r>
            </w:p>
            <w:p w14:paraId="0F2729E6" w14:textId="77777777" w:rsidR="00490B21" w:rsidRDefault="00490B21" w:rsidP="00490B21">
              <w:pPr>
                <w:pStyle w:val="Bibliography"/>
                <w:ind w:left="720" w:hanging="720"/>
                <w:rPr>
                  <w:noProof/>
                </w:rPr>
              </w:pPr>
              <w:r>
                <w:rPr>
                  <w:noProof/>
                </w:rPr>
                <w:t xml:space="preserve">Australian Bureau of Statistics. (2024). </w:t>
              </w:r>
              <w:r>
                <w:rPr>
                  <w:i/>
                  <w:iCs/>
                  <w:noProof/>
                </w:rPr>
                <w:t>Labour Force, Australia, Detailed</w:t>
              </w:r>
              <w:r>
                <w:rPr>
                  <w:noProof/>
                </w:rPr>
                <w:t>. Retrieved from Australian Bureau of Statistics: https://www.abs.gov.au/statistics/labour/employment-and-unemployment/labour-force-australia-detailed/may-2024</w:t>
              </w:r>
            </w:p>
            <w:p w14:paraId="6C7F1BDE" w14:textId="77777777" w:rsidR="00490B21" w:rsidRDefault="00490B21" w:rsidP="00490B21">
              <w:pPr>
                <w:pStyle w:val="Bibliography"/>
                <w:ind w:left="720" w:hanging="720"/>
                <w:rPr>
                  <w:noProof/>
                </w:rPr>
              </w:pPr>
              <w:r>
                <w:rPr>
                  <w:noProof/>
                </w:rPr>
                <w:t xml:space="preserve">Australian Bureau of Statistics. (2024). </w:t>
              </w:r>
              <w:r>
                <w:rPr>
                  <w:i/>
                  <w:iCs/>
                  <w:noProof/>
                </w:rPr>
                <w:t>Price indexes and inflation</w:t>
              </w:r>
              <w:r>
                <w:rPr>
                  <w:noProof/>
                </w:rPr>
                <w:t>. Retrieved from Australian Bureau of Statistics: https://www.abs.gov.au/statistics/economy/price-indexes-and-inflation</w:t>
              </w:r>
            </w:p>
            <w:p w14:paraId="635D0025" w14:textId="77777777" w:rsidR="00490B21" w:rsidRDefault="00490B21" w:rsidP="00490B21">
              <w:pPr>
                <w:pStyle w:val="Bibliography"/>
                <w:ind w:left="720" w:hanging="720"/>
                <w:rPr>
                  <w:noProof/>
                </w:rPr>
              </w:pPr>
              <w:r>
                <w:rPr>
                  <w:noProof/>
                </w:rPr>
                <w:t xml:space="preserve">Australian Bureau of Statistics. (2024). </w:t>
              </w:r>
              <w:r>
                <w:rPr>
                  <w:i/>
                  <w:iCs/>
                  <w:noProof/>
                </w:rPr>
                <w:t>Producer Price Index</w:t>
              </w:r>
              <w:r>
                <w:rPr>
                  <w:noProof/>
                </w:rPr>
                <w:t>. Retrieved from Australian Bureau of Statistics: https://www.abs.gov.au/statistics/economy/price-indexes-and-inflation/producer-price-indexes-australia/jun-quarter-2024</w:t>
              </w:r>
            </w:p>
            <w:p w14:paraId="01DB65E2" w14:textId="77777777" w:rsidR="00490B21" w:rsidRDefault="00490B21" w:rsidP="00490B21">
              <w:pPr>
                <w:pStyle w:val="Bibliography"/>
                <w:ind w:left="720" w:hanging="720"/>
                <w:rPr>
                  <w:noProof/>
                </w:rPr>
              </w:pPr>
              <w:r>
                <w:rPr>
                  <w:noProof/>
                </w:rPr>
                <w:t xml:space="preserve">Australian Bureau of Statistics. (2024). </w:t>
              </w:r>
              <w:r>
                <w:rPr>
                  <w:i/>
                  <w:iCs/>
                  <w:noProof/>
                </w:rPr>
                <w:t>Wage Price Index, Australia</w:t>
              </w:r>
              <w:r>
                <w:rPr>
                  <w:noProof/>
                </w:rPr>
                <w:t>. Retrieved from Australian Bureau of Statistics: https://www.abs.gov.au/statistics/economy/price-indexes-and-inflation/wage-price-index-australia/jun-2024/634505a.xlsx</w:t>
              </w:r>
            </w:p>
            <w:p w14:paraId="58E04BCB" w14:textId="77777777" w:rsidR="00490B21" w:rsidRDefault="00490B21" w:rsidP="00490B21">
              <w:pPr>
                <w:pStyle w:val="Bibliography"/>
                <w:ind w:left="720" w:hanging="720"/>
                <w:rPr>
                  <w:noProof/>
                </w:rPr>
              </w:pPr>
              <w:r>
                <w:rPr>
                  <w:noProof/>
                </w:rPr>
                <w:t xml:space="preserve">Australian Govenrment Department of Climate Change, Energy, the Environment and Water. (2024). </w:t>
              </w:r>
              <w:r>
                <w:rPr>
                  <w:i/>
                  <w:iCs/>
                  <w:noProof/>
                </w:rPr>
                <w:t>National Pollutant Inventory</w:t>
              </w:r>
              <w:r>
                <w:rPr>
                  <w:noProof/>
                </w:rPr>
                <w:t>. Retrieved from Australian Governmet | data.gov.au: https://data.gov.au/data/dataset/npi</w:t>
              </w:r>
            </w:p>
            <w:p w14:paraId="2FC88989" w14:textId="77777777" w:rsidR="00490B21" w:rsidRDefault="00490B21" w:rsidP="00490B21">
              <w:pPr>
                <w:pStyle w:val="Bibliography"/>
                <w:ind w:left="720" w:hanging="720"/>
                <w:rPr>
                  <w:noProof/>
                </w:rPr>
              </w:pPr>
              <w:r>
                <w:rPr>
                  <w:noProof/>
                </w:rPr>
                <w:t xml:space="preserve">Australian Industrial Chemicals Introduction Scheme. (2016, April 21). </w:t>
              </w:r>
              <w:r>
                <w:rPr>
                  <w:i/>
                  <w:iCs/>
                  <w:noProof/>
                </w:rPr>
                <w:t>Chlorine: Human health tier II assessment.</w:t>
              </w:r>
              <w:r>
                <w:rPr>
                  <w:noProof/>
                </w:rPr>
                <w:t xml:space="preserve"> Retrieved from Australian Industrial Chemicals Introduction Scheme: https://cdnservices.industrialchemicals.gov.au/statements/IMAP_1937%20-%20IMAP%20Assessment%20-%2021%20April%202016.pdf</w:t>
              </w:r>
            </w:p>
            <w:p w14:paraId="3B510EA2" w14:textId="77777777" w:rsidR="00490B21" w:rsidRDefault="00490B21" w:rsidP="00490B21">
              <w:pPr>
                <w:pStyle w:val="Bibliography"/>
                <w:ind w:left="720" w:hanging="720"/>
                <w:rPr>
                  <w:noProof/>
                </w:rPr>
              </w:pPr>
              <w:r>
                <w:rPr>
                  <w:noProof/>
                </w:rPr>
                <w:t xml:space="preserve">Australian Insitute of Health and Welfare. (2024). </w:t>
              </w:r>
              <w:r>
                <w:rPr>
                  <w:i/>
                  <w:iCs/>
                  <w:noProof/>
                </w:rPr>
                <w:t>Australian Burden of Disease Study, 2024</w:t>
              </w:r>
              <w:r>
                <w:rPr>
                  <w:noProof/>
                </w:rPr>
                <w:t>. Retrieved from Australian Institute of Health and Welfare: https://www.aihw.gov.au/reports/burden-of-disease/australian-burden-of-disease-study-2024/contents/interactive-data-on-risk-factor-burden/diseases-and-associated-risk-factors</w:t>
              </w:r>
            </w:p>
            <w:p w14:paraId="2FAB29BB" w14:textId="77777777" w:rsidR="00490B21" w:rsidRDefault="00490B21" w:rsidP="00490B21">
              <w:pPr>
                <w:pStyle w:val="Bibliography"/>
                <w:ind w:left="720" w:hanging="720"/>
                <w:rPr>
                  <w:noProof/>
                </w:rPr>
              </w:pPr>
              <w:r>
                <w:rPr>
                  <w:noProof/>
                </w:rPr>
                <w:lastRenderedPageBreak/>
                <w:t xml:space="preserve">Australian Institute of Health and Welfare. (2023). </w:t>
              </w:r>
              <w:r>
                <w:rPr>
                  <w:i/>
                  <w:iCs/>
                  <w:noProof/>
                </w:rPr>
                <w:t>Australian Burden of Disease Study 2023</w:t>
              </w:r>
              <w:r>
                <w:rPr>
                  <w:noProof/>
                </w:rPr>
                <w:t>. Retrieved from Australian Institute of Health and Welfare: https://www.aihw.gov.au/reports/burden-of-disease/australian-burden-of-disease-study-2023/contents/technical-notes</w:t>
              </w:r>
            </w:p>
            <w:p w14:paraId="546CAC58" w14:textId="77777777" w:rsidR="00490B21" w:rsidRDefault="00490B21" w:rsidP="00490B21">
              <w:pPr>
                <w:pStyle w:val="Bibliography"/>
                <w:ind w:left="720" w:hanging="720"/>
                <w:rPr>
                  <w:noProof/>
                </w:rPr>
              </w:pPr>
              <w:r>
                <w:rPr>
                  <w:noProof/>
                </w:rPr>
                <w:t xml:space="preserve">Australian Institute of Health and Welfare. (2025). </w:t>
              </w:r>
              <w:r>
                <w:rPr>
                  <w:i/>
                  <w:iCs/>
                  <w:noProof/>
                </w:rPr>
                <w:t>Health system spending on disease and injury in Australia 2023-24.</w:t>
              </w:r>
              <w:r>
                <w:rPr>
                  <w:noProof/>
                </w:rPr>
                <w:t xml:space="preserve"> Retrieved from Australian Institute of Health and Welfare: https://www.aihw.gov.au/reports/health-welfare-expenditure/health-system-spending-disease-injury-aus-2023-24/contents/spending-on-disease-by-abod-conditions</w:t>
              </w:r>
            </w:p>
            <w:p w14:paraId="681C9BC2" w14:textId="77777777" w:rsidR="00490B21" w:rsidRDefault="00490B21" w:rsidP="00490B21">
              <w:pPr>
                <w:pStyle w:val="Bibliography"/>
                <w:ind w:left="720" w:hanging="720"/>
                <w:rPr>
                  <w:noProof/>
                </w:rPr>
              </w:pPr>
              <w:r>
                <w:rPr>
                  <w:noProof/>
                </w:rPr>
                <w:t xml:space="preserve">Australian Institute of Health and Welfare. (2025, October 29). </w:t>
              </w:r>
              <w:r>
                <w:rPr>
                  <w:i/>
                  <w:iCs/>
                  <w:noProof/>
                </w:rPr>
                <w:t>Health system spending on disease and injury in Australia 2023–24</w:t>
              </w:r>
              <w:r>
                <w:rPr>
                  <w:noProof/>
                </w:rPr>
                <w:t>. Retrieved from Australian Institute of Health and Welfare: https://www.aihw.gov.au/reports/health-welfare-expenditure/health-system-spending-disease-injury-aus-2023-24/contents/spending-on-disease-by-abod-groups</w:t>
              </w:r>
            </w:p>
            <w:p w14:paraId="2C9061FB" w14:textId="77777777" w:rsidR="00490B21" w:rsidRDefault="00490B21" w:rsidP="00490B21">
              <w:pPr>
                <w:pStyle w:val="Bibliography"/>
                <w:ind w:left="720" w:hanging="720"/>
                <w:rPr>
                  <w:noProof/>
                </w:rPr>
              </w:pPr>
              <w:r>
                <w:rPr>
                  <w:noProof/>
                </w:rPr>
                <w:t xml:space="preserve">Australian Institute of Health and Welfare. (2025). </w:t>
              </w:r>
              <w:r>
                <w:rPr>
                  <w:i/>
                  <w:iCs/>
                  <w:noProof/>
                </w:rPr>
                <w:t>Health system spending on disease and injury in Australia 2023–24</w:t>
              </w:r>
              <w:r>
                <w:rPr>
                  <w:noProof/>
                </w:rPr>
                <w:t>. Retrieved from Australian Institute of Health and Welfare: https://www.aihw.gov.au/reports/health-welfare-expenditure/health-system-spending-disease-injury-aus-2023-24/contents/spending-on-disease-by-abod-groups</w:t>
              </w:r>
            </w:p>
            <w:p w14:paraId="3A0BA15E" w14:textId="77777777" w:rsidR="00490B21" w:rsidRDefault="00490B21" w:rsidP="00490B21">
              <w:pPr>
                <w:pStyle w:val="Bibliography"/>
                <w:ind w:left="720" w:hanging="720"/>
                <w:rPr>
                  <w:noProof/>
                </w:rPr>
              </w:pPr>
              <w:r>
                <w:rPr>
                  <w:noProof/>
                </w:rPr>
                <w:t xml:space="preserve">Bates, N., Callandar, E., Lindsay, D., &amp; Watt, K. (2018). Labour force participation and the cost of lost productivity due to cancer in Australia. </w:t>
              </w:r>
              <w:r>
                <w:rPr>
                  <w:i/>
                  <w:iCs/>
                  <w:noProof/>
                </w:rPr>
                <w:t>BMC Public Health</w:t>
              </w:r>
              <w:r>
                <w:rPr>
                  <w:noProof/>
                </w:rPr>
                <w:t>, 375.</w:t>
              </w:r>
            </w:p>
            <w:p w14:paraId="6B3A5C0D" w14:textId="77777777" w:rsidR="00490B21" w:rsidRDefault="00490B21" w:rsidP="00490B21">
              <w:pPr>
                <w:pStyle w:val="Bibliography"/>
                <w:ind w:left="720" w:hanging="720"/>
                <w:rPr>
                  <w:noProof/>
                </w:rPr>
              </w:pPr>
              <w:r>
                <w:rPr>
                  <w:noProof/>
                </w:rPr>
                <w:t xml:space="preserve">Budhathoki, S. S., Singh, S. B., Sagtani, R. A., Niraula, S. R., &amp; Pokharel, P. K. (2014). Awareness of occupational hazards and use of safety measures among welders: a cross-sectional study from eastern Nepal. </w:t>
              </w:r>
              <w:r>
                <w:rPr>
                  <w:i/>
                  <w:iCs/>
                  <w:noProof/>
                </w:rPr>
                <w:t>BMJ Open, 4</w:t>
              </w:r>
              <w:r>
                <w:rPr>
                  <w:noProof/>
                </w:rPr>
                <w:t>. Retrieved from https://bmjopen.bmj.com/content/4/6/e004646.info</w:t>
              </w:r>
            </w:p>
            <w:p w14:paraId="38EA54CF" w14:textId="77777777" w:rsidR="00490B21" w:rsidRDefault="00490B21" w:rsidP="00490B21">
              <w:pPr>
                <w:pStyle w:val="Bibliography"/>
                <w:ind w:left="720" w:hanging="720"/>
                <w:rPr>
                  <w:noProof/>
                </w:rPr>
              </w:pPr>
              <w:r>
                <w:rPr>
                  <w:noProof/>
                </w:rPr>
                <w:t xml:space="preserve">Canadian Centre of Occupational Health and Safety. (2025, February 27). </w:t>
              </w:r>
              <w:r>
                <w:rPr>
                  <w:i/>
                  <w:iCs/>
                  <w:noProof/>
                </w:rPr>
                <w:t>Asthma, Work-related</w:t>
              </w:r>
              <w:r>
                <w:rPr>
                  <w:noProof/>
                </w:rPr>
                <w:t>. Retrieved from Canadian Centre for Occupational Health and Safety: https://www.ccohs.ca/oshanswers/diseases/asthma.html</w:t>
              </w:r>
            </w:p>
            <w:p w14:paraId="10C46D3B" w14:textId="77777777" w:rsidR="00490B21" w:rsidRDefault="00490B21" w:rsidP="00490B21">
              <w:pPr>
                <w:pStyle w:val="Bibliography"/>
                <w:ind w:left="720" w:hanging="720"/>
                <w:rPr>
                  <w:noProof/>
                </w:rPr>
              </w:pPr>
              <w:r>
                <w:rPr>
                  <w:noProof/>
                </w:rPr>
                <w:t xml:space="preserve">Charalambous, G., Argyriadi, A., Patelarou, A., Paoullis, P., Laliotis, A., Patelarou, E., . . . Argyriadis, A. (2024). The impact of leukemia on quality of life and mental health: Insights from a case study examining physical, social, and cultural implications. </w:t>
              </w:r>
              <w:r>
                <w:rPr>
                  <w:i/>
                  <w:iCs/>
                  <w:noProof/>
                </w:rPr>
                <w:t>International Journal of Science and Research Archive, 11</w:t>
              </w:r>
              <w:r>
                <w:rPr>
                  <w:noProof/>
                </w:rPr>
                <w:t>(01), 1469-1477.</w:t>
              </w:r>
            </w:p>
            <w:p w14:paraId="5A9F36B7" w14:textId="77777777" w:rsidR="00490B21" w:rsidRDefault="00490B21" w:rsidP="00490B21">
              <w:pPr>
                <w:pStyle w:val="Bibliography"/>
                <w:ind w:left="720" w:hanging="720"/>
                <w:rPr>
                  <w:noProof/>
                </w:rPr>
              </w:pPr>
              <w:r>
                <w:rPr>
                  <w:noProof/>
                </w:rPr>
                <w:t xml:space="preserve">Department of the Prime Minister and Cabinet. (2008, July 03). </w:t>
              </w:r>
              <w:r>
                <w:rPr>
                  <w:i/>
                  <w:iCs/>
                  <w:noProof/>
                </w:rPr>
                <w:t>Intergovernmental Agreement for Regulatory and Operational Reform in Occupational Health and Safety.</w:t>
              </w:r>
              <w:r>
                <w:rPr>
                  <w:noProof/>
                </w:rPr>
                <w:t xml:space="preserve"> Retrieved from federation.gov.au: https://federation.gov.au/about/agreements/intergovernmental-agreement-regulatory-and-operational-reform-occupational-health</w:t>
              </w:r>
            </w:p>
            <w:p w14:paraId="2902F2DB" w14:textId="77777777" w:rsidR="00490B21" w:rsidRDefault="00490B21" w:rsidP="00490B21">
              <w:pPr>
                <w:pStyle w:val="Bibliography"/>
                <w:ind w:left="720" w:hanging="720"/>
                <w:rPr>
                  <w:noProof/>
                </w:rPr>
              </w:pPr>
              <w:r>
                <w:rPr>
                  <w:noProof/>
                </w:rPr>
                <w:t>Deutsche Forschungsgemeinschaft. (2015). Copper and its inorganic compounds – MAK value.</w:t>
              </w:r>
            </w:p>
            <w:p w14:paraId="712B965E" w14:textId="77777777" w:rsidR="00490B21" w:rsidRDefault="00490B21" w:rsidP="00490B21">
              <w:pPr>
                <w:pStyle w:val="Bibliography"/>
                <w:ind w:left="720" w:hanging="720"/>
                <w:rPr>
                  <w:noProof/>
                </w:rPr>
              </w:pPr>
              <w:r>
                <w:rPr>
                  <w:noProof/>
                </w:rPr>
                <w:t xml:space="preserve">Directorate-General for Employment, Social Affairs &amp; Inclusion. (2014). </w:t>
              </w:r>
              <w:r>
                <w:rPr>
                  <w:i/>
                  <w:iCs/>
                  <w:noProof/>
                </w:rPr>
                <w:t>Recommendation from the Scientific Committee on Occupational Exposure Limits for Copper and its inorganic compounds (SCOEL/SUM/171).</w:t>
              </w:r>
              <w:r>
                <w:rPr>
                  <w:noProof/>
                </w:rPr>
                <w:t xml:space="preserve"> Retrieved from European Chemicals Agency (ECHA): https://echa.europa.eu/documents/10162/35144386/174_copper_compounds_oel_en.pdf/e10fab3f-7618-eaeb-ab44-b05503acf07e?t=1691407205856</w:t>
              </w:r>
            </w:p>
            <w:p w14:paraId="30349A0C" w14:textId="77777777" w:rsidR="00490B21" w:rsidRDefault="00490B21" w:rsidP="00490B21">
              <w:pPr>
                <w:pStyle w:val="Bibliography"/>
                <w:ind w:left="720" w:hanging="720"/>
                <w:rPr>
                  <w:noProof/>
                </w:rPr>
              </w:pPr>
              <w:r>
                <w:rPr>
                  <w:noProof/>
                </w:rPr>
                <w:t xml:space="preserve">Directorate-General for Employment, Social Affairs and Inclusion (Euorpean Commission). (2014). </w:t>
              </w:r>
              <w:r>
                <w:rPr>
                  <w:i/>
                  <w:iCs/>
                  <w:noProof/>
                </w:rPr>
                <w:t>Recommendation from the Scientific Commitee on Occupational Exposure Limits for Nitrogen Dioxide (SCOEL/SUM/53).</w:t>
              </w:r>
              <w:r>
                <w:rPr>
                  <w:noProof/>
                </w:rPr>
                <w:t xml:space="preserve"> Retrieved from European Chemical Agency: https://echa.europa.eu/documents/10162/35144386/046_nitrogen_dioxide_oel_en.pdf/cc6a3a75-49ae-0749-c08e-90d513ad8e90?t=1691407227472</w:t>
              </w:r>
            </w:p>
            <w:p w14:paraId="6D06889C" w14:textId="77777777" w:rsidR="00490B21" w:rsidRDefault="00490B21" w:rsidP="00490B21">
              <w:pPr>
                <w:pStyle w:val="Bibliography"/>
                <w:ind w:left="720" w:hanging="720"/>
                <w:rPr>
                  <w:noProof/>
                </w:rPr>
              </w:pPr>
              <w:r>
                <w:rPr>
                  <w:noProof/>
                </w:rPr>
                <w:lastRenderedPageBreak/>
                <w:t xml:space="preserve">Directorate-General for Employment, Social Affairs and Inclusion (European Commission). (2016). </w:t>
              </w:r>
              <w:r>
                <w:rPr>
                  <w:i/>
                  <w:iCs/>
                  <w:noProof/>
                </w:rPr>
                <w:t>SCOEL/REC/125 Formaldehyde - Recommendation from the Scientific Committee on Occupational Exposure Limits</w:t>
              </w:r>
              <w:r>
                <w:rPr>
                  <w:noProof/>
                </w:rPr>
                <w:t>. Retrieved from ECHA: https://echa.europa.eu/documents/10162/35144386/095_formaldehyde_oel_en.pdf/4d8862d5-1092-1e49-90fd-8fb8fdba8f17?t=1691407246311</w:t>
              </w:r>
            </w:p>
            <w:p w14:paraId="2EB3C91A" w14:textId="77777777" w:rsidR="00490B21" w:rsidRDefault="00490B21" w:rsidP="00490B21">
              <w:pPr>
                <w:pStyle w:val="Bibliography"/>
                <w:ind w:left="720" w:hanging="720"/>
                <w:rPr>
                  <w:noProof/>
                </w:rPr>
              </w:pPr>
              <w:r>
                <w:rPr>
                  <w:noProof/>
                </w:rPr>
                <w:t xml:space="preserve">Directorate-General for Employment, Social Affairs and Inclusion (European Commission). (2016). </w:t>
              </w:r>
              <w:r>
                <w:rPr>
                  <w:i/>
                  <w:iCs/>
                  <w:noProof/>
                </w:rPr>
                <w:t>SCOEL/REC/125 formaldehyde: Recommendation from the Scientific Committee on Occupational Exposure Limits.</w:t>
              </w:r>
              <w:r>
                <w:rPr>
                  <w:noProof/>
                </w:rPr>
                <w:t xml:space="preserve"> Retrieved from Publications Office of the European Union: https://op.europa.eu/en/publication-detail/-/publication/7a7ae0c9-c03d-11e6-a6db-01aa75ed71a1</w:t>
              </w:r>
            </w:p>
            <w:p w14:paraId="4236AACF" w14:textId="77777777" w:rsidR="00490B21" w:rsidRDefault="00490B21" w:rsidP="00490B21">
              <w:pPr>
                <w:pStyle w:val="Bibliography"/>
                <w:ind w:left="720" w:hanging="720"/>
                <w:rPr>
                  <w:noProof/>
                </w:rPr>
              </w:pPr>
              <w:r>
                <w:rPr>
                  <w:noProof/>
                </w:rPr>
                <w:t xml:space="preserve">Directorate-General for Employment, Social Affairs and Inclusion (European Commission). (2018). </w:t>
              </w:r>
              <w:r>
                <w:rPr>
                  <w:i/>
                  <w:iCs/>
                  <w:noProof/>
                </w:rPr>
                <w:t>Methodology for derivation of occupational exposure limits of chemical agents.</w:t>
              </w:r>
              <w:r>
                <w:rPr>
                  <w:noProof/>
                </w:rPr>
                <w:t xml:space="preserve"> Retrieved from Publications Office of the European Union: https://op.europa.eu/en/publication-detail/-/publication/3c8ef3e0-48fc-11e8-be1d-01aa75ed71a1</w:t>
              </w:r>
            </w:p>
            <w:p w14:paraId="4643A229" w14:textId="77777777" w:rsidR="00490B21" w:rsidRDefault="00490B21" w:rsidP="00490B21">
              <w:pPr>
                <w:pStyle w:val="Bibliography"/>
                <w:ind w:left="720" w:hanging="720"/>
                <w:rPr>
                  <w:noProof/>
                </w:rPr>
              </w:pPr>
              <w:r>
                <w:rPr>
                  <w:noProof/>
                </w:rPr>
                <w:t xml:space="preserve">Directorate-General for Employment, Social Affairs and Inclusion. (2007). </w:t>
              </w:r>
              <w:r>
                <w:rPr>
                  <w:i/>
                  <w:iCs/>
                  <w:noProof/>
                </w:rPr>
                <w:t>Recommendation from the Scientific Committee on Occupational Exposure Limits for Hydrogen Sulfide</w:t>
              </w:r>
              <w:r>
                <w:rPr>
                  <w:noProof/>
                </w:rPr>
                <w:t>. Retrieved from European Chemical Agency: https://echa.europa.eu/documents/10162/35144386/094_hydrogen_sulphide_oel_en.pdf/e80bba7d-1c50-9d24-4d3d-1bd791f8e7a4?t=1691407245769</w:t>
              </w:r>
            </w:p>
            <w:p w14:paraId="2BB0EC5E" w14:textId="77777777" w:rsidR="00490B21" w:rsidRDefault="00490B21" w:rsidP="00490B21">
              <w:pPr>
                <w:pStyle w:val="Bibliography"/>
                <w:ind w:left="720" w:hanging="720"/>
                <w:rPr>
                  <w:noProof/>
                </w:rPr>
              </w:pPr>
              <w:r>
                <w:rPr>
                  <w:noProof/>
                </w:rPr>
                <w:t xml:space="preserve">El-Helaly, M. (2024, April 24). </w:t>
              </w:r>
              <w:r>
                <w:rPr>
                  <w:i/>
                  <w:iCs/>
                  <w:noProof/>
                </w:rPr>
                <w:t>Artificial Intelligence and Occupational Health and Safety, Benefits and Drawbacks</w:t>
              </w:r>
              <w:r>
                <w:rPr>
                  <w:noProof/>
                </w:rPr>
                <w:t>. Retrieved from National Libray of Medicine: https://pmc.ncbi.nlm.nih.gov/articles/PMC11181216/</w:t>
              </w:r>
            </w:p>
            <w:p w14:paraId="3D689416" w14:textId="77777777" w:rsidR="00490B21" w:rsidRDefault="00490B21" w:rsidP="00490B21">
              <w:pPr>
                <w:pStyle w:val="Bibliography"/>
                <w:ind w:left="720" w:hanging="720"/>
                <w:rPr>
                  <w:noProof/>
                </w:rPr>
              </w:pPr>
              <w:r>
                <w:rPr>
                  <w:noProof/>
                </w:rPr>
                <w:t xml:space="preserve">European Chemical Agency (ECHA). (n.d.). </w:t>
              </w:r>
              <w:r>
                <w:rPr>
                  <w:i/>
                  <w:iCs/>
                  <w:noProof/>
                </w:rPr>
                <w:t>OEL process</w:t>
              </w:r>
              <w:r>
                <w:rPr>
                  <w:noProof/>
                </w:rPr>
                <w:t>. Retrieved from ECHA: https://echa.europa.eu/oel-process</w:t>
              </w:r>
            </w:p>
            <w:p w14:paraId="7005E3D6" w14:textId="77777777" w:rsidR="00490B21" w:rsidRDefault="00490B21" w:rsidP="00490B21">
              <w:pPr>
                <w:pStyle w:val="Bibliography"/>
                <w:ind w:left="720" w:hanging="720"/>
                <w:rPr>
                  <w:noProof/>
                </w:rPr>
              </w:pPr>
              <w:r>
                <w:rPr>
                  <w:noProof/>
                </w:rPr>
                <w:t xml:space="preserve">European Commission. (2018, April 05). </w:t>
              </w:r>
              <w:r>
                <w:rPr>
                  <w:i/>
                  <w:iCs/>
                  <w:noProof/>
                </w:rPr>
                <w:t>Commission Staff Working Document Impact Assessment - Proposal for a Directive of the European Parliament and of the Council amending Directive 2004/37 on the protection of workers from the risk related to exposure to carcinogens or mutagens at work.</w:t>
              </w:r>
              <w:r>
                <w:rPr>
                  <w:noProof/>
                </w:rPr>
                <w:t xml:space="preserve"> Retrieved from EUR-Lex: https://eur-lex.europa.eu/legal-content/EN/TXT/?uri=CELEX%3A52018SC0088&amp;qid=1751324419539</w:t>
              </w:r>
            </w:p>
            <w:p w14:paraId="2D026C66" w14:textId="77777777" w:rsidR="00490B21" w:rsidRDefault="00490B21" w:rsidP="00490B21">
              <w:pPr>
                <w:pStyle w:val="Bibliography"/>
                <w:ind w:left="720" w:hanging="720"/>
                <w:rPr>
                  <w:noProof/>
                </w:rPr>
              </w:pPr>
              <w:r>
                <w:rPr>
                  <w:noProof/>
                </w:rPr>
                <w:t xml:space="preserve">European Commission. (2020, 09 22). </w:t>
              </w:r>
              <w:r>
                <w:rPr>
                  <w:i/>
                  <w:iCs/>
                  <w:noProof/>
                </w:rPr>
                <w:t>Proposal for a DIRECTIVE OF THE EUROPEAN PARLIAMENT AND OF THE COUNCIL amending Directive 2004/37/EC on the protection of workers from the risks related to exposure to carcinogens or mutagens at work.</w:t>
              </w:r>
              <w:r>
                <w:rPr>
                  <w:noProof/>
                </w:rPr>
                <w:t xml:space="preserve"> Retrieved from EUR-Lex: https://eur-lex.europa.eu/legal-content/EN/TXT/HTML/?uri=CELEX:52020PC0571</w:t>
              </w:r>
            </w:p>
            <w:p w14:paraId="51054F02" w14:textId="77777777" w:rsidR="00490B21" w:rsidRDefault="00490B21" w:rsidP="00490B21">
              <w:pPr>
                <w:pStyle w:val="Bibliography"/>
                <w:ind w:left="720" w:hanging="720"/>
                <w:rPr>
                  <w:noProof/>
                </w:rPr>
              </w:pPr>
              <w:r>
                <w:rPr>
                  <w:noProof/>
                </w:rPr>
                <w:t>European Commission. (2022, April 05). Retrieved from EUR-Lex: https://eur-lex.europa.eu/legal-content/EN/TXT/?uri=CELEX%3A02004L0037-20240408&amp;qid=1751348880752</w:t>
              </w:r>
            </w:p>
            <w:p w14:paraId="53B4E448" w14:textId="77777777" w:rsidR="00490B21" w:rsidRDefault="00490B21" w:rsidP="00490B21">
              <w:pPr>
                <w:pStyle w:val="Bibliography"/>
                <w:ind w:left="720" w:hanging="720"/>
                <w:rPr>
                  <w:noProof/>
                </w:rPr>
              </w:pPr>
              <w:r>
                <w:rPr>
                  <w:noProof/>
                </w:rPr>
                <w:t xml:space="preserve">European Commission Directorate-General of Department of Employment, Social Affairs and Inclusion. (2009). </w:t>
              </w:r>
              <w:r>
                <w:rPr>
                  <w:i/>
                  <w:iCs/>
                  <w:noProof/>
                </w:rPr>
                <w:t>Recommendation from the Scientific Committee on Occupational Exposure Limits for Cyanide (HCN, KCN, NaCN).</w:t>
              </w:r>
              <w:r>
                <w:rPr>
                  <w:noProof/>
                </w:rPr>
                <w:t xml:space="preserve"> Retrieved from European Chemicals Agency: https://echa.europa.eu/documents/10162/35144386/166_cyanides_oel_en.pdf/12ee1c63-b624-dc3d-21d7-e90b9b9d65fd?t=1691407201873</w:t>
              </w:r>
            </w:p>
            <w:p w14:paraId="5DA66EDA" w14:textId="77777777" w:rsidR="00490B21" w:rsidRDefault="00490B21" w:rsidP="00490B21">
              <w:pPr>
                <w:pStyle w:val="Bibliography"/>
                <w:ind w:left="720" w:hanging="720"/>
                <w:rPr>
                  <w:noProof/>
                </w:rPr>
              </w:pPr>
              <w:r>
                <w:rPr>
                  <w:noProof/>
                </w:rPr>
                <w:t xml:space="preserve">European Union. (2019, June 05). </w:t>
              </w:r>
              <w:r>
                <w:rPr>
                  <w:i/>
                  <w:iCs/>
                  <w:noProof/>
                </w:rPr>
                <w:t>Directive (EU) 2019/983 of the European Parliament and of the Council of 5 June 2019 amending Directive 2004/37/EC on the protection of workers from the risks related to exposure to carcinogens or mutagens at work .</w:t>
              </w:r>
              <w:r>
                <w:rPr>
                  <w:noProof/>
                </w:rPr>
                <w:t xml:space="preserve"> Retrieved from EUR-Lex: https://eur-lex.europa.eu/legal-content/EN/TXT/?qid=1562069170036&amp;uri=CELEX:32019L0983</w:t>
              </w:r>
            </w:p>
            <w:p w14:paraId="54F79316" w14:textId="77777777" w:rsidR="00490B21" w:rsidRDefault="00490B21" w:rsidP="00490B21">
              <w:pPr>
                <w:pStyle w:val="Bibliography"/>
                <w:ind w:left="720" w:hanging="720"/>
                <w:rPr>
                  <w:noProof/>
                </w:rPr>
              </w:pPr>
              <w:r>
                <w:rPr>
                  <w:noProof/>
                </w:rPr>
                <w:lastRenderedPageBreak/>
                <w:t xml:space="preserve">Fair Work Ombudsman. (2024). </w:t>
              </w:r>
              <w:r>
                <w:rPr>
                  <w:i/>
                  <w:iCs/>
                  <w:noProof/>
                </w:rPr>
                <w:t>Workers compensation</w:t>
              </w:r>
              <w:r>
                <w:rPr>
                  <w:noProof/>
                </w:rPr>
                <w:t>. Retrieved from Fair Work Ombudsman: https://www.fairwork.gov.au/employment-conditions/workers-compensation</w:t>
              </w:r>
            </w:p>
            <w:p w14:paraId="38D2906E" w14:textId="77777777" w:rsidR="00490B21" w:rsidRDefault="00490B21" w:rsidP="00490B21">
              <w:pPr>
                <w:pStyle w:val="Bibliography"/>
                <w:ind w:left="720" w:hanging="720"/>
                <w:rPr>
                  <w:noProof/>
                </w:rPr>
              </w:pPr>
              <w:r>
                <w:rPr>
                  <w:noProof/>
                </w:rPr>
                <w:t xml:space="preserve">Falzone, L., Marconi, A., Loreto, C., Franco, S., Spandidos, D. A., &amp; Libra, M. (2016, October 3). Occupational exposure to carcinogens: Benzene, pesticides and fibers. </w:t>
              </w:r>
              <w:r>
                <w:rPr>
                  <w:i/>
                  <w:iCs/>
                  <w:noProof/>
                </w:rPr>
                <w:t>Molecular Medicine Reports, 14</w:t>
              </w:r>
              <w:r>
                <w:rPr>
                  <w:noProof/>
                </w:rPr>
                <w:t>(5), 4467-4474.</w:t>
              </w:r>
            </w:p>
            <w:p w14:paraId="00FB92D9" w14:textId="77777777" w:rsidR="00490B21" w:rsidRDefault="00490B21" w:rsidP="00490B21">
              <w:pPr>
                <w:pStyle w:val="Bibliography"/>
                <w:ind w:left="720" w:hanging="720"/>
                <w:rPr>
                  <w:noProof/>
                </w:rPr>
              </w:pPr>
              <w:r>
                <w:rPr>
                  <w:noProof/>
                </w:rPr>
                <w:t xml:space="preserve">German Research Foundation. (2025). </w:t>
              </w:r>
              <w:r>
                <w:rPr>
                  <w:i/>
                  <w:iCs/>
                  <w:noProof/>
                </w:rPr>
                <w:t>List of MAK and BAT Values</w:t>
              </w:r>
              <w:r>
                <w:rPr>
                  <w:noProof/>
                </w:rPr>
                <w:t>. Retrieved from PUBLISSO: https://series.publisso.de/en/pgseries/overview/mak/lmbv/curIssue</w:t>
              </w:r>
            </w:p>
            <w:p w14:paraId="4E3D3BDD" w14:textId="77777777" w:rsidR="00490B21" w:rsidRDefault="00490B21" w:rsidP="00490B21">
              <w:pPr>
                <w:pStyle w:val="Bibliography"/>
                <w:ind w:left="720" w:hanging="720"/>
                <w:rPr>
                  <w:noProof/>
                </w:rPr>
              </w:pPr>
              <w:r>
                <w:rPr>
                  <w:noProof/>
                </w:rPr>
                <w:t xml:space="preserve">Government of Alberta. (2025). </w:t>
              </w:r>
              <w:r>
                <w:rPr>
                  <w:i/>
                  <w:iCs/>
                  <w:noProof/>
                </w:rPr>
                <w:t>Occupational Health and Safety Code, Alta Reg 191/2021</w:t>
              </w:r>
              <w:r>
                <w:rPr>
                  <w:noProof/>
                </w:rPr>
                <w:t>. Retrieved from Canadian Legal Information Institute (CanLII) : https://www.canlii.org/en/ab/laws/regu/alta-reg-191-2021/latest/alta-reg-191-2021.html</w:t>
              </w:r>
            </w:p>
            <w:p w14:paraId="1E2E6D7F" w14:textId="77777777" w:rsidR="00490B21" w:rsidRDefault="00490B21" w:rsidP="00490B21">
              <w:pPr>
                <w:pStyle w:val="Bibliography"/>
                <w:ind w:left="720" w:hanging="720"/>
                <w:rPr>
                  <w:noProof/>
                </w:rPr>
              </w:pPr>
              <w:r>
                <w:rPr>
                  <w:noProof/>
                </w:rPr>
                <w:t xml:space="preserve">Health and Safety Executive. (n.d.). </w:t>
              </w:r>
              <w:r>
                <w:rPr>
                  <w:i/>
                  <w:iCs/>
                  <w:noProof/>
                </w:rPr>
                <w:t>Costs to Great Britain of workplace injuries and new cases of work-related Ill Health – 2022/23</w:t>
              </w:r>
              <w:r>
                <w:rPr>
                  <w:noProof/>
                </w:rPr>
                <w:t>. Retrieved from Health and Safety Executive: https://www.hse.gov.uk/statistics/cost.htm</w:t>
              </w:r>
            </w:p>
            <w:p w14:paraId="762B68C4" w14:textId="77777777" w:rsidR="00490B21" w:rsidRDefault="00490B21" w:rsidP="00490B21">
              <w:pPr>
                <w:pStyle w:val="Bibliography"/>
                <w:ind w:left="720" w:hanging="720"/>
                <w:rPr>
                  <w:noProof/>
                </w:rPr>
              </w:pPr>
              <w:r>
                <w:rPr>
                  <w:noProof/>
                </w:rPr>
                <w:t xml:space="preserve">Health Council of the Netherlands (HCOTN). (2004). </w:t>
              </w:r>
              <w:r>
                <w:rPr>
                  <w:i/>
                  <w:iCs/>
                  <w:noProof/>
                </w:rPr>
                <w:t>Nitrogen dioxide; health-based recommended occupational exposure limit</w:t>
              </w:r>
              <w:r>
                <w:rPr>
                  <w:noProof/>
                </w:rPr>
                <w:t>. Retrieved from HCOTN: https://www.healthcouncil.nl/documents/2004/02/05/nitrogen-dioxide</w:t>
              </w:r>
            </w:p>
            <w:p w14:paraId="7A5F19EA" w14:textId="77777777" w:rsidR="00490B21" w:rsidRDefault="00490B21" w:rsidP="00490B21">
              <w:pPr>
                <w:pStyle w:val="Bibliography"/>
                <w:ind w:left="720" w:hanging="720"/>
                <w:rPr>
                  <w:noProof/>
                </w:rPr>
              </w:pPr>
              <w:r>
                <w:rPr>
                  <w:noProof/>
                </w:rPr>
                <w:t xml:space="preserve">Health Council of the Netherlands. (2002). </w:t>
              </w:r>
              <w:r>
                <w:rPr>
                  <w:i/>
                  <w:iCs/>
                  <w:noProof/>
                </w:rPr>
                <w:t>Hydrogencyanide, sodiumcyanate, and potassiumcyanate - Health-based recommended occupational exposure limits.</w:t>
              </w:r>
              <w:r>
                <w:rPr>
                  <w:noProof/>
                </w:rPr>
                <w:t xml:space="preserve"> Retrieved from Health Council of the Netherlands: https://www.healthcouncil.nl/documents/advisory-reports/2002/10/29/hydrogencyanide-sodiumcyanate-and-potassiumcyanate</w:t>
              </w:r>
            </w:p>
            <w:p w14:paraId="2D7229CF" w14:textId="77777777" w:rsidR="00490B21" w:rsidRDefault="00490B21" w:rsidP="00490B21">
              <w:pPr>
                <w:pStyle w:val="Bibliography"/>
                <w:ind w:left="720" w:hanging="720"/>
                <w:rPr>
                  <w:noProof/>
                </w:rPr>
              </w:pPr>
              <w:r>
                <w:rPr>
                  <w:noProof/>
                </w:rPr>
                <w:t xml:space="preserve">Health Council of The Netherlands. (2004). </w:t>
              </w:r>
              <w:r>
                <w:rPr>
                  <w:i/>
                  <w:iCs/>
                  <w:noProof/>
                </w:rPr>
                <w:t>Nitrogen dioxide; health-based recommended occupational exposure limit.</w:t>
              </w:r>
              <w:r>
                <w:rPr>
                  <w:noProof/>
                </w:rPr>
                <w:t xml:space="preserve"> Retrieved from Health Council of the Netherlands: https://www.healthcouncil.nl/documents/advisory-reports/2004/02/05/nitrogen-dioxide</w:t>
              </w:r>
            </w:p>
            <w:p w14:paraId="0FBAB129" w14:textId="77777777" w:rsidR="00490B21" w:rsidRDefault="00490B21" w:rsidP="00490B21">
              <w:pPr>
                <w:pStyle w:val="Bibliography"/>
                <w:ind w:left="720" w:hanging="720"/>
                <w:rPr>
                  <w:noProof/>
                </w:rPr>
              </w:pPr>
              <w:r>
                <w:rPr>
                  <w:noProof/>
                </w:rPr>
                <w:t xml:space="preserve">Health Council of The Netherlands. (2006). </w:t>
              </w:r>
              <w:r>
                <w:rPr>
                  <w:i/>
                  <w:iCs/>
                  <w:noProof/>
                </w:rPr>
                <w:t>Hydrogen sulphide; Health-based recommended occupatioanl exposure limit</w:t>
              </w:r>
              <w:r>
                <w:rPr>
                  <w:noProof/>
                </w:rPr>
                <w:t>. Retrieved from Health Council of The Netherlands: https://www.healthcouncil.nl/documents/advisory-reports/2006/07/13/hydrogen-sulphide</w:t>
              </w:r>
            </w:p>
            <w:p w14:paraId="082B25E6" w14:textId="77777777" w:rsidR="00490B21" w:rsidRDefault="00490B21" w:rsidP="00490B21">
              <w:pPr>
                <w:pStyle w:val="Bibliography"/>
                <w:ind w:left="720" w:hanging="720"/>
                <w:rPr>
                  <w:noProof/>
                </w:rPr>
              </w:pPr>
              <w:r>
                <w:rPr>
                  <w:noProof/>
                </w:rPr>
                <w:t xml:space="preserve">Health Council of the Netherlands. (2014, February 21). </w:t>
              </w:r>
              <w:r>
                <w:rPr>
                  <w:i/>
                  <w:iCs/>
                  <w:noProof/>
                </w:rPr>
                <w:t>Benzene - Health-based recommended occupational exposure limit.</w:t>
              </w:r>
              <w:r>
                <w:rPr>
                  <w:noProof/>
                </w:rPr>
                <w:t xml:space="preserve"> Retrieved from Health Council of the Netherlands: https://www.healthcouncil.nl/documents/advisory-reports/2014/02/21/benzene-health-based-recommended-occupational-exposure-limit</w:t>
              </w:r>
            </w:p>
            <w:p w14:paraId="7A599E46" w14:textId="77777777" w:rsidR="00490B21" w:rsidRDefault="00490B21" w:rsidP="00490B21">
              <w:pPr>
                <w:pStyle w:val="Bibliography"/>
                <w:ind w:left="720" w:hanging="720"/>
                <w:rPr>
                  <w:noProof/>
                </w:rPr>
              </w:pPr>
              <w:r>
                <w:rPr>
                  <w:noProof/>
                </w:rPr>
                <w:t xml:space="preserve">Health Council of the Netherlands. (2021). </w:t>
              </w:r>
              <w:r>
                <w:rPr>
                  <w:i/>
                  <w:iCs/>
                  <w:noProof/>
                </w:rPr>
                <w:t>Guidance for recommending classifications and health based occupational exposure limits</w:t>
              </w:r>
              <w:r>
                <w:rPr>
                  <w:noProof/>
                </w:rPr>
                <w:t>. Retrieved from Health Council of the Netherlands: https://www.healthcouncil.nl/documents/2021/12/21/guidance-for-recommending-classifications-and-health-based-occupational-exposure-limits</w:t>
              </w:r>
            </w:p>
            <w:p w14:paraId="5B19ECB2" w14:textId="77777777" w:rsidR="00490B21" w:rsidRDefault="00490B21" w:rsidP="00490B21">
              <w:pPr>
                <w:pStyle w:val="Bibliography"/>
                <w:ind w:left="720" w:hanging="720"/>
                <w:rPr>
                  <w:noProof/>
                </w:rPr>
              </w:pPr>
              <w:r>
                <w:rPr>
                  <w:noProof/>
                </w:rPr>
                <w:t xml:space="preserve">Howard, J. (2015, January 6). </w:t>
              </w:r>
              <w:r>
                <w:rPr>
                  <w:i/>
                  <w:iCs/>
                  <w:noProof/>
                </w:rPr>
                <w:t>Minimum Latency &amp; Types or Categories of Cancer.</w:t>
              </w:r>
              <w:r>
                <w:rPr>
                  <w:noProof/>
                </w:rPr>
                <w:t xml:space="preserve"> Retrieved from Centers for Disease Control and Prevention: https://www.cdc.gov/wtc/pdfs/policies/wtchp-minimum-cancer-latency-pp-01062015-508.pdf</w:t>
              </w:r>
            </w:p>
            <w:p w14:paraId="0C9A5FE1" w14:textId="77777777" w:rsidR="00490B21" w:rsidRDefault="00490B21" w:rsidP="00490B21">
              <w:pPr>
                <w:pStyle w:val="Bibliography"/>
                <w:ind w:left="720" w:hanging="720"/>
                <w:rPr>
                  <w:noProof/>
                </w:rPr>
              </w:pPr>
              <w:r>
                <w:rPr>
                  <w:noProof/>
                </w:rPr>
                <w:t xml:space="preserve">Hughes, K., &amp; Eastman, C. (2012). Goitre Causes, investigation and management. </w:t>
              </w:r>
              <w:r>
                <w:rPr>
                  <w:i/>
                  <w:iCs/>
                  <w:noProof/>
                </w:rPr>
                <w:t>41</w:t>
              </w:r>
              <w:r>
                <w:rPr>
                  <w:noProof/>
                </w:rPr>
                <w:t>(8), 572-576. Retrieved from Royal Australian College of General Practitioners - Australian Family Physican: https://www.racgp.org.au/afp/2012/august/goitre</w:t>
              </w:r>
            </w:p>
            <w:p w14:paraId="195CEDD8" w14:textId="77777777" w:rsidR="00490B21" w:rsidRDefault="00490B21" w:rsidP="00490B21">
              <w:pPr>
                <w:pStyle w:val="Bibliography"/>
                <w:ind w:left="720" w:hanging="720"/>
                <w:rPr>
                  <w:noProof/>
                </w:rPr>
              </w:pPr>
              <w:r>
                <w:rPr>
                  <w:noProof/>
                </w:rPr>
                <w:t xml:space="preserve">Institute For Health Metrics and Evaluation. (2024, May 16). </w:t>
              </w:r>
              <w:r>
                <w:rPr>
                  <w:i/>
                  <w:iCs/>
                  <w:noProof/>
                </w:rPr>
                <w:t>Global Burden of Disease 2021: Findings from the GBD 2021 Study.</w:t>
              </w:r>
              <w:r>
                <w:rPr>
                  <w:noProof/>
                </w:rPr>
                <w:t xml:space="preserve"> Retrieved from Institute For Health Metrics and Evaluation: https://www.healthdata.org/research-analysis/library/global-burden-disease-2021-findings-gbd-2021-study</w:t>
              </w:r>
            </w:p>
            <w:p w14:paraId="1D1D264D" w14:textId="77777777" w:rsidR="00490B21" w:rsidRDefault="00490B21" w:rsidP="00490B21">
              <w:pPr>
                <w:pStyle w:val="Bibliography"/>
                <w:ind w:left="720" w:hanging="720"/>
                <w:rPr>
                  <w:noProof/>
                </w:rPr>
              </w:pPr>
              <w:r>
                <w:rPr>
                  <w:noProof/>
                </w:rPr>
                <w:lastRenderedPageBreak/>
                <w:t xml:space="preserve">Institute for Occupational Safety and Health of the German Social Accident Insurance. (n.d.). </w:t>
              </w:r>
              <w:r>
                <w:rPr>
                  <w:i/>
                  <w:iCs/>
                  <w:noProof/>
                </w:rPr>
                <w:t>GESTIS - International limit values</w:t>
              </w:r>
              <w:r>
                <w:rPr>
                  <w:noProof/>
                </w:rPr>
                <w:t>. Retrieved from Institut für Arbeitsschutz der Deutschen Gesetzlichen Unfallversicherung: https://ilv.ifa.dguv.de/substances</w:t>
              </w:r>
            </w:p>
            <w:p w14:paraId="02531F9C" w14:textId="77777777" w:rsidR="00490B21" w:rsidRDefault="00490B21" w:rsidP="00490B21">
              <w:pPr>
                <w:pStyle w:val="Bibliography"/>
                <w:ind w:left="720" w:hanging="720"/>
                <w:rPr>
                  <w:noProof/>
                </w:rPr>
              </w:pPr>
              <w:r>
                <w:rPr>
                  <w:noProof/>
                </w:rPr>
                <w:t xml:space="preserve">International Agency for Research on Cancer. (2006). </w:t>
              </w:r>
              <w:r>
                <w:rPr>
                  <w:i/>
                  <w:iCs/>
                  <w:noProof/>
                </w:rPr>
                <w:t>Formaldehyde, 2-Butoxyethanol and 1-tert-Butoxypropan-2-ol - IARC Monographs on the Evaluation of Carcinogenic Risks to Humans Volume 88.</w:t>
              </w:r>
              <w:r>
                <w:rPr>
                  <w:noProof/>
                </w:rPr>
                <w:t xml:space="preserve"> Retrieved from International Agency For Research on Cancer: https://publications.iarc.fr/106</w:t>
              </w:r>
            </w:p>
            <w:p w14:paraId="49F049A9" w14:textId="77777777" w:rsidR="00490B21" w:rsidRDefault="00490B21" w:rsidP="00490B21">
              <w:pPr>
                <w:pStyle w:val="Bibliography"/>
                <w:ind w:left="720" w:hanging="720"/>
                <w:rPr>
                  <w:noProof/>
                </w:rPr>
              </w:pPr>
              <w:r>
                <w:rPr>
                  <w:noProof/>
                </w:rPr>
                <w:t xml:space="preserve">International Agency for Research on Cancer. (2012). </w:t>
              </w:r>
              <w:r>
                <w:rPr>
                  <w:i/>
                  <w:iCs/>
                  <w:noProof/>
                </w:rPr>
                <w:t>IARC: Diesel engines exhaust carcinogenic</w:t>
              </w:r>
              <w:r>
                <w:rPr>
                  <w:noProof/>
                </w:rPr>
                <w:t>. Retrieved from International Agency for Research on Canceer: https://www.iarc.who.int/wp-content/uploads/2018/07/pr213_E.pdf</w:t>
              </w:r>
            </w:p>
            <w:p w14:paraId="2246B5C2" w14:textId="77777777" w:rsidR="00490B21" w:rsidRDefault="00490B21" w:rsidP="00490B21">
              <w:pPr>
                <w:pStyle w:val="Bibliography"/>
                <w:ind w:left="720" w:hanging="720"/>
                <w:rPr>
                  <w:noProof/>
                </w:rPr>
              </w:pPr>
              <w:r>
                <w:rPr>
                  <w:noProof/>
                </w:rPr>
                <w:t xml:space="preserve">International Agency for Research on Cancer. (2018). </w:t>
              </w:r>
              <w:r>
                <w:rPr>
                  <w:i/>
                  <w:iCs/>
                  <w:noProof/>
                </w:rPr>
                <w:t>Benzene - IARC Monographs on the Evaluation of Carcinogenic Risks to Humans Volume 120.</w:t>
              </w:r>
              <w:r>
                <w:rPr>
                  <w:noProof/>
                </w:rPr>
                <w:t xml:space="preserve"> Retrieved from Interational Agency for Research on Cancer: https://publications.iarc.fr/Book-And-Report-Series/Iarc-Monographs-On-The-Identification-Of-Carcinogenic-Hazards-To-Humans/Benzene-2018</w:t>
              </w:r>
            </w:p>
            <w:p w14:paraId="0DB7AA66" w14:textId="77777777" w:rsidR="00490B21" w:rsidRDefault="00490B21" w:rsidP="00490B21">
              <w:pPr>
                <w:pStyle w:val="Bibliography"/>
                <w:ind w:left="720" w:hanging="720"/>
                <w:rPr>
                  <w:noProof/>
                </w:rPr>
              </w:pPr>
              <w:r>
                <w:rPr>
                  <w:noProof/>
                </w:rPr>
                <w:t xml:space="preserve">International Labour Organization. (2013, March 25). </w:t>
              </w:r>
              <w:r>
                <w:rPr>
                  <w:i/>
                  <w:iCs/>
                  <w:noProof/>
                </w:rPr>
                <w:t>The Prevention of Occupational Diseases.</w:t>
              </w:r>
              <w:r>
                <w:rPr>
                  <w:noProof/>
                </w:rPr>
                <w:t xml:space="preserve"> Retrieved from International Labour Organization: https://www.ilo.org/publications/prevention-occupational-diseases</w:t>
              </w:r>
            </w:p>
            <w:p w14:paraId="5A10B324" w14:textId="77777777" w:rsidR="00490B21" w:rsidRDefault="00490B21" w:rsidP="00490B21">
              <w:pPr>
                <w:pStyle w:val="Bibliography"/>
                <w:ind w:left="720" w:hanging="720"/>
                <w:rPr>
                  <w:noProof/>
                </w:rPr>
              </w:pPr>
              <w:r>
                <w:rPr>
                  <w:noProof/>
                </w:rPr>
                <w:t xml:space="preserve">International Labour Organization. (2021, May 7). </w:t>
              </w:r>
              <w:r>
                <w:rPr>
                  <w:i/>
                  <w:iCs/>
                  <w:noProof/>
                </w:rPr>
                <w:t>Exposure to hazardous chemicals at work and resulting health impacts: A global review.</w:t>
              </w:r>
              <w:r>
                <w:rPr>
                  <w:noProof/>
                </w:rPr>
                <w:t xml:space="preserve"> Retrieved from International Labour Organization: https://www.ilo.org/publications/exposure-hazardous-chemicals-work-and-resulting-health-impacts-global</w:t>
              </w:r>
            </w:p>
            <w:p w14:paraId="4DB54CBC" w14:textId="77777777" w:rsidR="00490B21" w:rsidRDefault="00490B21" w:rsidP="00490B21">
              <w:pPr>
                <w:pStyle w:val="Bibliography"/>
                <w:ind w:left="720" w:hanging="720"/>
                <w:rPr>
                  <w:noProof/>
                </w:rPr>
              </w:pPr>
              <w:r>
                <w:rPr>
                  <w:noProof/>
                </w:rPr>
                <w:t xml:space="preserve">International Labour Organization. (2023, November 26). </w:t>
              </w:r>
              <w:r>
                <w:rPr>
                  <w:i/>
                  <w:iCs/>
                  <w:noProof/>
                </w:rPr>
                <w:t>A call for safer and healthier working environments.</w:t>
              </w:r>
              <w:r>
                <w:rPr>
                  <w:noProof/>
                </w:rPr>
                <w:t xml:space="preserve"> Retrieved from International Labour Organization: https://www.ilo.org/publications/call-safer-and-healthier-working-environments</w:t>
              </w:r>
            </w:p>
            <w:p w14:paraId="3F4DAE46" w14:textId="77777777" w:rsidR="00490B21" w:rsidRDefault="00490B21" w:rsidP="00490B21">
              <w:pPr>
                <w:pStyle w:val="Bibliography"/>
                <w:ind w:left="720" w:hanging="720"/>
                <w:rPr>
                  <w:noProof/>
                </w:rPr>
              </w:pPr>
              <w:r>
                <w:rPr>
                  <w:noProof/>
                </w:rPr>
                <w:t xml:space="preserve">Kerger, B., &amp; Fedoruk, M. (2015). Pathology, toxicology, and latency of irritant gases known to cause bronchiolitis obliterans disease: Does diacetyl fit the pattern? </w:t>
              </w:r>
              <w:r>
                <w:rPr>
                  <w:i/>
                  <w:iCs/>
                  <w:noProof/>
                </w:rPr>
                <w:t>Toxicology Reports</w:t>
              </w:r>
              <w:r>
                <w:rPr>
                  <w:noProof/>
                </w:rPr>
                <w:t>, 1463-1472.</w:t>
              </w:r>
            </w:p>
            <w:p w14:paraId="22239570" w14:textId="77777777" w:rsidR="00490B21" w:rsidRDefault="00490B21" w:rsidP="00490B21">
              <w:pPr>
                <w:pStyle w:val="Bibliography"/>
                <w:ind w:left="720" w:hanging="720"/>
                <w:rPr>
                  <w:noProof/>
                </w:rPr>
              </w:pPr>
              <w:r>
                <w:rPr>
                  <w:noProof/>
                </w:rPr>
                <w:t xml:space="preserve">Liang, Y., McCoy, K. E., Tomasallo, C. D., &amp; Meiman, J. G. (2023). Social determinants of an occupational lung disease: Workers’ narratives on silicosis. </w:t>
              </w:r>
              <w:r>
                <w:rPr>
                  <w:i/>
                  <w:iCs/>
                  <w:noProof/>
                </w:rPr>
                <w:t>SSM - Qualitative Research in Health, 3</w:t>
              </w:r>
              <w:r>
                <w:rPr>
                  <w:noProof/>
                </w:rPr>
                <w:t>.</w:t>
              </w:r>
            </w:p>
            <w:p w14:paraId="4A28B3A4" w14:textId="77777777" w:rsidR="00490B21" w:rsidRDefault="00490B21" w:rsidP="00490B21">
              <w:pPr>
                <w:pStyle w:val="Bibliography"/>
                <w:ind w:left="720" w:hanging="720"/>
                <w:rPr>
                  <w:noProof/>
                </w:rPr>
              </w:pPr>
              <w:r>
                <w:rPr>
                  <w:noProof/>
                </w:rPr>
                <w:t xml:space="preserve">Loughlin, D. H., Kaufman, K. R., Lenox, C. S., &amp; Hubbell, B. J. (2015). Analysis of alternative pathways for reducing nitrogen oxide emissions. </w:t>
              </w:r>
              <w:r>
                <w:rPr>
                  <w:i/>
                  <w:iCs/>
                  <w:noProof/>
                </w:rPr>
                <w:t>Journal of the Air &amp; Waste Management Association, 65</w:t>
              </w:r>
              <w:r>
                <w:rPr>
                  <w:noProof/>
                </w:rPr>
                <w:t>(9), 1083-1093. Retrieved from https://www.tandfonline.com/doi/10.1080/10962247.2015.1062440?url_ver=Z39.88-2003&amp;rfr_id=ori:rid:crossref.org&amp;rfr_dat=cr_pub%20%200pubmed#d1e206</w:t>
              </w:r>
            </w:p>
            <w:p w14:paraId="16807F22" w14:textId="77777777" w:rsidR="00490B21" w:rsidRDefault="00490B21" w:rsidP="00490B21">
              <w:pPr>
                <w:pStyle w:val="Bibliography"/>
                <w:ind w:left="720" w:hanging="720"/>
                <w:rPr>
                  <w:noProof/>
                </w:rPr>
              </w:pPr>
              <w:r>
                <w:rPr>
                  <w:noProof/>
                </w:rPr>
                <w:t xml:space="preserve">Lung Foundation Australia. (n.d.). </w:t>
              </w:r>
              <w:r>
                <w:rPr>
                  <w:i/>
                  <w:iCs/>
                  <w:noProof/>
                </w:rPr>
                <w:t>Overview - Chronic Obstructive Pulmonary Disease</w:t>
              </w:r>
              <w:r>
                <w:rPr>
                  <w:noProof/>
                </w:rPr>
                <w:t>. Retrieved from Lung Foundation Australia: https://lungfoundation.com.au/patients-carers/living-with-a-lung-disease/copd/overview/</w:t>
              </w:r>
            </w:p>
            <w:p w14:paraId="5A9A0C0C" w14:textId="77777777" w:rsidR="00490B21" w:rsidRDefault="00490B21" w:rsidP="00490B21">
              <w:pPr>
                <w:pStyle w:val="Bibliography"/>
                <w:ind w:left="720" w:hanging="720"/>
                <w:rPr>
                  <w:noProof/>
                </w:rPr>
              </w:pPr>
              <w:r>
                <w:rPr>
                  <w:noProof/>
                </w:rPr>
                <w:t xml:space="preserve">MacNaughton, P., Pegues, J., Satish, U., Santanam, S., Spengler, J., &amp; Allen, J. (2015). Economic, Environmental and Health Implications of Enhanced Ventilation in Office Buildings. </w:t>
              </w:r>
              <w:r>
                <w:rPr>
                  <w:i/>
                  <w:iCs/>
                  <w:noProof/>
                </w:rPr>
                <w:t>Int. J. Environ. Res. Public Health, 12</w:t>
              </w:r>
              <w:r>
                <w:rPr>
                  <w:noProof/>
                </w:rPr>
                <w:t>(11), 14709-14722. Retrieved from https://www.mdpi.com/1660-4601/12/11/14709</w:t>
              </w:r>
            </w:p>
            <w:p w14:paraId="62CD1A40" w14:textId="77777777" w:rsidR="00490B21" w:rsidRDefault="00490B21" w:rsidP="00490B21">
              <w:pPr>
                <w:pStyle w:val="Bibliography"/>
                <w:ind w:left="720" w:hanging="720"/>
                <w:rPr>
                  <w:noProof/>
                </w:rPr>
              </w:pPr>
              <w:r>
                <w:rPr>
                  <w:noProof/>
                </w:rPr>
                <w:t xml:space="preserve">Morim, A., &amp; Guldner, G. T. (2023, June 26). </w:t>
              </w:r>
              <w:r>
                <w:rPr>
                  <w:i/>
                  <w:iCs/>
                  <w:noProof/>
                </w:rPr>
                <w:t>Chlorine Gas Toxicity.</w:t>
              </w:r>
              <w:r>
                <w:rPr>
                  <w:noProof/>
                </w:rPr>
                <w:t xml:space="preserve"> Retrieved from StatPearls: https://www.ncbi.nlm.nih.gov/books/NBK537213/</w:t>
              </w:r>
            </w:p>
            <w:p w14:paraId="7174E6AF" w14:textId="77777777" w:rsidR="00490B21" w:rsidRDefault="00490B21" w:rsidP="00490B21">
              <w:pPr>
                <w:pStyle w:val="Bibliography"/>
                <w:ind w:left="720" w:hanging="720"/>
                <w:rPr>
                  <w:noProof/>
                </w:rPr>
              </w:pPr>
              <w:r>
                <w:rPr>
                  <w:noProof/>
                </w:rPr>
                <w:t xml:space="preserve">Mylek, M., &amp; Schirmer, J. (2024, October). </w:t>
              </w:r>
              <w:r>
                <w:rPr>
                  <w:i/>
                  <w:iCs/>
                  <w:noProof/>
                </w:rPr>
                <w:t>Caring for others &amp; yourself: Carer Wellbeing Survey 2024 Report.</w:t>
              </w:r>
              <w:r>
                <w:rPr>
                  <w:noProof/>
                </w:rPr>
                <w:t xml:space="preserve"> Retrieved from Carers Australia: https://www.carersaustralia.com.au/wp-content/uploads/2024/10/Final-CWS-2024-Report-compressed.pdf</w:t>
              </w:r>
            </w:p>
            <w:p w14:paraId="2CC2B4D2" w14:textId="77777777" w:rsidR="00490B21" w:rsidRDefault="00490B21" w:rsidP="00490B21">
              <w:pPr>
                <w:pStyle w:val="Bibliography"/>
                <w:ind w:left="720" w:hanging="720"/>
                <w:rPr>
                  <w:noProof/>
                </w:rPr>
              </w:pPr>
              <w:r>
                <w:rPr>
                  <w:noProof/>
                </w:rPr>
                <w:lastRenderedPageBreak/>
                <w:t xml:space="preserve">National Health and Medical Research Council. (2025). </w:t>
              </w:r>
              <w:r>
                <w:rPr>
                  <w:i/>
                  <w:iCs/>
                  <w:noProof/>
                </w:rPr>
                <w:t>Australian Drinking Water Guidelines</w:t>
              </w:r>
              <w:r>
                <w:rPr>
                  <w:noProof/>
                </w:rPr>
                <w:t>. Retrieved from National Health and Medical Research Council: https://www.nhmrc.gov.au/about-us/publications/australian-drinking-water-guidelines#block-views-block-file-attachments-content-block-1</w:t>
              </w:r>
            </w:p>
            <w:p w14:paraId="449FAFD6" w14:textId="77777777" w:rsidR="00490B21" w:rsidRDefault="00490B21" w:rsidP="00490B21">
              <w:pPr>
                <w:pStyle w:val="Bibliography"/>
                <w:ind w:left="720" w:hanging="720"/>
                <w:rPr>
                  <w:noProof/>
                </w:rPr>
              </w:pPr>
              <w:r>
                <w:rPr>
                  <w:noProof/>
                </w:rPr>
                <w:t xml:space="preserve">National Industrial Chemicals Notification and Assessment Scheme. (2006). </w:t>
              </w:r>
              <w:r>
                <w:rPr>
                  <w:i/>
                  <w:iCs/>
                  <w:noProof/>
                </w:rPr>
                <w:t>Formaldehyde</w:t>
              </w:r>
              <w:r>
                <w:rPr>
                  <w:noProof/>
                </w:rPr>
                <w:t>. Retrieved from Australian Industrial Chemicals Introduction Scheme: https://cdnservices.industrialchemicals.gov.au/statements/PEC_28%20-%20PEC_SN_Other%20Assessment%20-%2001%20November%202006.pdf</w:t>
              </w:r>
            </w:p>
            <w:p w14:paraId="3D296C86" w14:textId="77777777" w:rsidR="00490B21" w:rsidRDefault="00490B21" w:rsidP="00490B21">
              <w:pPr>
                <w:pStyle w:val="Bibliography"/>
                <w:ind w:left="720" w:hanging="720"/>
                <w:rPr>
                  <w:noProof/>
                </w:rPr>
              </w:pPr>
              <w:r>
                <w:rPr>
                  <w:noProof/>
                </w:rPr>
                <w:t xml:space="preserve">National Industrial Chemicals Notification and Assessment Scheme. (2020). </w:t>
              </w:r>
              <w:r>
                <w:rPr>
                  <w:i/>
                  <w:iCs/>
                  <w:noProof/>
                </w:rPr>
                <w:t>Titanium dioxide: Human health tier II assessment.</w:t>
              </w:r>
              <w:r>
                <w:rPr>
                  <w:noProof/>
                </w:rPr>
                <w:t xml:space="preserve"> Retrieved from Australian Industrial Chemicals Introduction Scheme: https://www.industrialchemicals.gov.au/sites/default/files/Titanium%20dioxide_Human%20health%20tier%20II%20assessment.pdf</w:t>
              </w:r>
            </w:p>
            <w:p w14:paraId="79352AF7" w14:textId="77777777" w:rsidR="00490B21" w:rsidRDefault="00490B21" w:rsidP="00490B21">
              <w:pPr>
                <w:pStyle w:val="Bibliography"/>
                <w:ind w:left="720" w:hanging="720"/>
                <w:rPr>
                  <w:noProof/>
                </w:rPr>
              </w:pPr>
              <w:r>
                <w:rPr>
                  <w:noProof/>
                </w:rPr>
                <w:t xml:space="preserve">National Insitute of Occupational Safety and Health. (2011). </w:t>
              </w:r>
              <w:r>
                <w:rPr>
                  <w:i/>
                  <w:iCs/>
                  <w:noProof/>
                </w:rPr>
                <w:t>Current Intelligence Bulletin 63: Occupational Exposure to Titanium Dioxide.</w:t>
              </w:r>
              <w:r>
                <w:rPr>
                  <w:noProof/>
                </w:rPr>
                <w:t xml:space="preserve"> Retrieved from National Insitute of Occupational Safety and Health: https://www.cdc.gov/niosh/docs/2011-160/default.html</w:t>
              </w:r>
            </w:p>
            <w:p w14:paraId="07BE4137" w14:textId="77777777" w:rsidR="00490B21" w:rsidRDefault="00490B21" w:rsidP="00490B21">
              <w:pPr>
                <w:pStyle w:val="Bibliography"/>
                <w:ind w:left="720" w:hanging="720"/>
                <w:rPr>
                  <w:noProof/>
                </w:rPr>
              </w:pPr>
              <w:r>
                <w:rPr>
                  <w:noProof/>
                </w:rPr>
                <w:t xml:space="preserve">National Institute for Occupational Safety and Health. (2019). </w:t>
              </w:r>
              <w:r>
                <w:rPr>
                  <w:i/>
                  <w:iCs/>
                  <w:noProof/>
                </w:rPr>
                <w:t>Copper (dusts and mists, as Cu)</w:t>
              </w:r>
              <w:r>
                <w:rPr>
                  <w:noProof/>
                </w:rPr>
                <w:t>. Retrieved from NIOSH Pocket Guide to Chemical Hazards: https://www.cdc.gov/niosh/npg/npgd0150.html</w:t>
              </w:r>
            </w:p>
            <w:p w14:paraId="28D89BA5" w14:textId="77777777" w:rsidR="00490B21" w:rsidRDefault="00490B21" w:rsidP="00490B21">
              <w:pPr>
                <w:pStyle w:val="Bibliography"/>
                <w:ind w:left="720" w:hanging="720"/>
                <w:rPr>
                  <w:noProof/>
                </w:rPr>
              </w:pPr>
              <w:r>
                <w:rPr>
                  <w:noProof/>
                </w:rPr>
                <w:t xml:space="preserve">National Institute of Occupational Safety and Health. (2019). </w:t>
              </w:r>
              <w:r>
                <w:rPr>
                  <w:i/>
                  <w:iCs/>
                  <w:noProof/>
                </w:rPr>
                <w:t>Formalin (as formaldehyde)</w:t>
              </w:r>
              <w:r>
                <w:rPr>
                  <w:noProof/>
                </w:rPr>
                <w:t>. Retrieved from NIOSH Pocket Guide to Chemical Hazards: https://www.cdc.gov/niosh/npg/npgd0294.html</w:t>
              </w:r>
            </w:p>
            <w:p w14:paraId="18D7D96B" w14:textId="77777777" w:rsidR="00490B21" w:rsidRDefault="00490B21" w:rsidP="00490B21">
              <w:pPr>
                <w:pStyle w:val="Bibliography"/>
                <w:ind w:left="720" w:hanging="720"/>
                <w:rPr>
                  <w:noProof/>
                </w:rPr>
              </w:pPr>
              <w:r>
                <w:rPr>
                  <w:noProof/>
                </w:rPr>
                <w:t xml:space="preserve">Occupational Safety and Health Adminstration. (n.d.). </w:t>
              </w:r>
              <w:r>
                <w:rPr>
                  <w:i/>
                  <w:iCs/>
                  <w:noProof/>
                </w:rPr>
                <w:t>Silica, Crystalline - Health effects</w:t>
              </w:r>
              <w:r>
                <w:rPr>
                  <w:noProof/>
                </w:rPr>
                <w:t>. Retrieved from Occupational Safety and Health Adminstration: https://www.osha.gov/silica-crystalline/health-effects#healthinfo</w:t>
              </w:r>
            </w:p>
            <w:p w14:paraId="2BBC947F" w14:textId="77777777" w:rsidR="00490B21" w:rsidRDefault="00490B21" w:rsidP="00490B21">
              <w:pPr>
                <w:pStyle w:val="Bibliography"/>
                <w:ind w:left="720" w:hanging="720"/>
                <w:rPr>
                  <w:noProof/>
                </w:rPr>
              </w:pPr>
              <w:r>
                <w:rPr>
                  <w:noProof/>
                </w:rPr>
                <w:t xml:space="preserve">Office of Impact Analysis. (2023). </w:t>
              </w:r>
              <w:r>
                <w:rPr>
                  <w:i/>
                  <w:iCs/>
                  <w:noProof/>
                </w:rPr>
                <w:t>Cost Benefit Analysis</w:t>
              </w:r>
              <w:r>
                <w:rPr>
                  <w:noProof/>
                </w:rPr>
                <w:t>. Retrieved from Australian Government Department of Prime Minister and Cabinet: https://oia.pmc.gov.au/resources/guidance-assessing-impacts/cost-benefit-analysis</w:t>
              </w:r>
            </w:p>
            <w:p w14:paraId="7C998F92" w14:textId="77777777" w:rsidR="00490B21" w:rsidRDefault="00490B21" w:rsidP="00490B21">
              <w:pPr>
                <w:pStyle w:val="Bibliography"/>
                <w:ind w:left="720" w:hanging="720"/>
                <w:rPr>
                  <w:noProof/>
                </w:rPr>
              </w:pPr>
              <w:r>
                <w:rPr>
                  <w:noProof/>
                </w:rPr>
                <w:t xml:space="preserve">Office of Impact Analysis. (2023). </w:t>
              </w:r>
              <w:r>
                <w:rPr>
                  <w:i/>
                  <w:iCs/>
                  <w:noProof/>
                </w:rPr>
                <w:t>Value of a statistical life</w:t>
              </w:r>
              <w:r>
                <w:rPr>
                  <w:noProof/>
                </w:rPr>
                <w:t>. Retrieved from Australian Government Department of the Prime Ministers and Cabinet: https://oia.pmc.gov.au/resources/guidance-assessing-impacts/value-statistical-life</w:t>
              </w:r>
            </w:p>
            <w:p w14:paraId="2A25C02A" w14:textId="77777777" w:rsidR="00490B21" w:rsidRDefault="00490B21" w:rsidP="00490B21">
              <w:pPr>
                <w:pStyle w:val="Bibliography"/>
                <w:ind w:left="720" w:hanging="720"/>
                <w:rPr>
                  <w:noProof/>
                </w:rPr>
              </w:pPr>
              <w:r>
                <w:rPr>
                  <w:noProof/>
                </w:rPr>
                <w:t xml:space="preserve">Office of Impact Analysis. (2024). </w:t>
              </w:r>
              <w:r>
                <w:rPr>
                  <w:i/>
                  <w:iCs/>
                  <w:noProof/>
                </w:rPr>
                <w:t>Regulatory Burden Measurement Framework</w:t>
              </w:r>
              <w:r>
                <w:rPr>
                  <w:noProof/>
                </w:rPr>
                <w:t>. Retrieved from Australian Government Department of the Prime Minister and Cabinet: https://oia.pmc.gov.au/resources/guidance-assessing-impacts/regulatory-burden-measurement-framework</w:t>
              </w:r>
            </w:p>
            <w:p w14:paraId="0549C2EF" w14:textId="77777777" w:rsidR="00490B21" w:rsidRDefault="00490B21" w:rsidP="00490B21">
              <w:pPr>
                <w:pStyle w:val="Bibliography"/>
                <w:ind w:left="720" w:hanging="720"/>
                <w:rPr>
                  <w:noProof/>
                </w:rPr>
              </w:pPr>
              <w:r>
                <w:rPr>
                  <w:noProof/>
                </w:rPr>
                <w:t xml:space="preserve">Papadopoli, R., Nobile, C. G., Trovato, A., Pileggi, C., &amp; Pavia, M. (2020). Chemical risk and safety awareness, perception, and practices among research laboratories workers in Italy. </w:t>
              </w:r>
              <w:r>
                <w:rPr>
                  <w:i/>
                  <w:iCs/>
                  <w:noProof/>
                </w:rPr>
                <w:t>Journal of Occupational Medicine and Toxicity, 15</w:t>
              </w:r>
              <w:r>
                <w:rPr>
                  <w:noProof/>
                </w:rPr>
                <w:t>. Retrieved from https://occup-med.biomedcentral.com/articles/10.1186/s12995-020-00268-x</w:t>
              </w:r>
            </w:p>
            <w:p w14:paraId="79C7FCB9" w14:textId="77777777" w:rsidR="00490B21" w:rsidRDefault="00490B21" w:rsidP="00490B21">
              <w:pPr>
                <w:pStyle w:val="Bibliography"/>
                <w:ind w:left="720" w:hanging="720"/>
                <w:rPr>
                  <w:noProof/>
                </w:rPr>
              </w:pPr>
              <w:r>
                <w:rPr>
                  <w:noProof/>
                </w:rPr>
                <w:t xml:space="preserve">Parker, C., Liew, D., Ademi, Z., Owen, A. J., Ayton, D., Wei, A., &amp; Zomer, E. (2021). Estimating the Productivity Impact of Acute Myeloid Leukemia in Australia Between 2020 and 2029, Using a Novel Work Utility Measure: The Productivity-Adjusted Life Year (PALY). </w:t>
              </w:r>
              <w:r>
                <w:rPr>
                  <w:i/>
                  <w:iCs/>
                  <w:noProof/>
                </w:rPr>
                <w:t>JCO Oncology Practice, 17</w:t>
              </w:r>
              <w:r>
                <w:rPr>
                  <w:noProof/>
                </w:rPr>
                <w:t>(11), e1803-e1810.</w:t>
              </w:r>
            </w:p>
            <w:p w14:paraId="0837445D" w14:textId="77777777" w:rsidR="00490B21" w:rsidRDefault="00490B21" w:rsidP="00490B21">
              <w:pPr>
                <w:pStyle w:val="Bibliography"/>
                <w:ind w:left="720" w:hanging="720"/>
                <w:rPr>
                  <w:noProof/>
                </w:rPr>
              </w:pPr>
              <w:r>
                <w:rPr>
                  <w:noProof/>
                </w:rPr>
                <w:t xml:space="preserve">Rushton, L. (2017). The Global Burden of Occupational Disease. </w:t>
              </w:r>
              <w:r>
                <w:rPr>
                  <w:i/>
                  <w:iCs/>
                  <w:noProof/>
                </w:rPr>
                <w:t>Current Environmental Health Reports, 4</w:t>
              </w:r>
              <w:r>
                <w:rPr>
                  <w:noProof/>
                </w:rPr>
                <w:t>, 340-348. Retrieved from https://link.springer.com/article/10.1007/s40572-017-0151-2</w:t>
              </w:r>
            </w:p>
            <w:p w14:paraId="4B4660B4" w14:textId="77777777" w:rsidR="00490B21" w:rsidRDefault="00490B21" w:rsidP="00490B21">
              <w:pPr>
                <w:pStyle w:val="Bibliography"/>
                <w:ind w:left="720" w:hanging="720"/>
                <w:rPr>
                  <w:noProof/>
                </w:rPr>
              </w:pPr>
              <w:r>
                <w:rPr>
                  <w:noProof/>
                </w:rPr>
                <w:t xml:space="preserve">Safe Work Australia. (2016). </w:t>
              </w:r>
              <w:r>
                <w:rPr>
                  <w:i/>
                  <w:iCs/>
                  <w:noProof/>
                </w:rPr>
                <w:t>Benzene</w:t>
              </w:r>
              <w:r>
                <w:rPr>
                  <w:noProof/>
                </w:rPr>
                <w:t>. Retrieved from Hazadous Chemial Information System (HCIS): https://hcis.safeworkaustralia.gov.au/HazardousChemical/Details?chemicalID=359</w:t>
              </w:r>
            </w:p>
            <w:p w14:paraId="65F8A6B7" w14:textId="77777777" w:rsidR="00490B21" w:rsidRDefault="00490B21" w:rsidP="00490B21">
              <w:pPr>
                <w:pStyle w:val="Bibliography"/>
                <w:ind w:left="720" w:hanging="720"/>
                <w:rPr>
                  <w:noProof/>
                </w:rPr>
              </w:pPr>
              <w:r>
                <w:rPr>
                  <w:noProof/>
                </w:rPr>
                <w:lastRenderedPageBreak/>
                <w:t xml:space="preserve">Safe Work Australia. (2018, June 14). </w:t>
              </w:r>
              <w:r>
                <w:rPr>
                  <w:i/>
                  <w:iCs/>
                  <w:noProof/>
                </w:rPr>
                <w:t>WES review - Recommending health-based workplace exposure standards and notations.</w:t>
              </w:r>
              <w:r>
                <w:rPr>
                  <w:noProof/>
                </w:rPr>
                <w:t xml:space="preserve"> Retrieved from Safe Work Australia: https://www.safeworkaustralia.gov.au/doc/wes-review-recommending-health-based-workplace-exposure-standards-and-notations</w:t>
              </w:r>
            </w:p>
            <w:p w14:paraId="0F20A5B5" w14:textId="77777777" w:rsidR="00490B21" w:rsidRDefault="00490B21" w:rsidP="00490B21">
              <w:pPr>
                <w:pStyle w:val="Bibliography"/>
                <w:ind w:left="720" w:hanging="720"/>
                <w:rPr>
                  <w:noProof/>
                </w:rPr>
              </w:pPr>
              <w:r>
                <w:rPr>
                  <w:noProof/>
                </w:rPr>
                <w:t xml:space="preserve">Safe Work Australia. (2018, June 14). </w:t>
              </w:r>
              <w:r>
                <w:rPr>
                  <w:i/>
                  <w:iCs/>
                  <w:noProof/>
                </w:rPr>
                <w:t>WES review - Selection of sources for exposure standards, notations and supporting data.</w:t>
              </w:r>
              <w:r>
                <w:rPr>
                  <w:noProof/>
                </w:rPr>
                <w:t xml:space="preserve"> Retrieved from Safe Work Australia: https://www.safeworkaustralia.gov.au/doc/wes-review-selection-sources-exposure-standards-notations-and-supporting-data</w:t>
              </w:r>
            </w:p>
            <w:p w14:paraId="7281C174" w14:textId="77777777" w:rsidR="00490B21" w:rsidRDefault="00490B21" w:rsidP="00490B21">
              <w:pPr>
                <w:pStyle w:val="Bibliography"/>
                <w:ind w:left="720" w:hanging="720"/>
                <w:rPr>
                  <w:noProof/>
                </w:rPr>
              </w:pPr>
              <w:r>
                <w:rPr>
                  <w:noProof/>
                </w:rPr>
                <w:t xml:space="preserve">Safe Work Australia. (2019). </w:t>
              </w:r>
              <w:r>
                <w:rPr>
                  <w:i/>
                  <w:iCs/>
                  <w:noProof/>
                </w:rPr>
                <w:t>Copper Fume, Dust and Mist (as Cu): Evaluation Report.</w:t>
              </w:r>
              <w:r>
                <w:rPr>
                  <w:noProof/>
                </w:rPr>
                <w:t xml:space="preserve"> Retrieved from Safe Work Australia's Consultation Hub: https://storage.googleapis.com/files-au-swa/safework/p/prj06da3bdf2c1cf9737efab/page/draft_evaluation_report_wes_copper_fumes_dusts_and_mists_as_Cu_pdf.pdf</w:t>
              </w:r>
            </w:p>
            <w:p w14:paraId="76E781E3" w14:textId="77777777" w:rsidR="00490B21" w:rsidRDefault="00490B21" w:rsidP="00490B21">
              <w:pPr>
                <w:pStyle w:val="Bibliography"/>
                <w:ind w:left="720" w:hanging="720"/>
                <w:rPr>
                  <w:noProof/>
                </w:rPr>
              </w:pPr>
              <w:r>
                <w:rPr>
                  <w:noProof/>
                </w:rPr>
                <w:t xml:space="preserve">Safe Work Australia. (2019, November 11). </w:t>
              </w:r>
              <w:r>
                <w:rPr>
                  <w:i/>
                  <w:iCs/>
                  <w:noProof/>
                </w:rPr>
                <w:t>Decision regulation impact statement: Workplace exposure standards framework under the model Work Health and Safety laws.</w:t>
              </w:r>
              <w:r>
                <w:rPr>
                  <w:noProof/>
                </w:rPr>
                <w:t xml:space="preserve"> Retrieved from Safe Work Australia: https://www.safeworkaustralia.gov.au/doc/decision-regulation-impact-statement-workplace-exposure-standards-framework-under-model-work-health-and-safety-laws</w:t>
              </w:r>
            </w:p>
            <w:p w14:paraId="2A6EE052" w14:textId="77777777" w:rsidR="00490B21" w:rsidRDefault="00490B21" w:rsidP="00490B21">
              <w:pPr>
                <w:pStyle w:val="Bibliography"/>
                <w:ind w:left="720" w:hanging="720"/>
                <w:rPr>
                  <w:noProof/>
                </w:rPr>
              </w:pPr>
              <w:r>
                <w:rPr>
                  <w:noProof/>
                </w:rPr>
                <w:t xml:space="preserve">Safe Work Australia. (2019, August 30). </w:t>
              </w:r>
              <w:r>
                <w:rPr>
                  <w:i/>
                  <w:iCs/>
                  <w:noProof/>
                </w:rPr>
                <w:t>Evaluation Report: Benzene.</w:t>
              </w:r>
              <w:r>
                <w:rPr>
                  <w:noProof/>
                </w:rPr>
                <w:t xml:space="preserve"> Retrieved from Safe Work Australia Consultation Hub: https://storage.googleapis.com/files-au-swa/safework/p/prj28f3a307cfe6ee51abbd3/page/draft_evaluation_report_wes_benzene_pdf.pdf</w:t>
              </w:r>
            </w:p>
            <w:p w14:paraId="7AA07131" w14:textId="77777777" w:rsidR="00490B21" w:rsidRDefault="00490B21" w:rsidP="00490B21">
              <w:pPr>
                <w:pStyle w:val="Bibliography"/>
                <w:ind w:left="720" w:hanging="720"/>
                <w:rPr>
                  <w:noProof/>
                </w:rPr>
              </w:pPr>
              <w:r>
                <w:rPr>
                  <w:noProof/>
                </w:rPr>
                <w:t xml:space="preserve">Safe Work Australia. (2019, December 6). </w:t>
              </w:r>
              <w:r>
                <w:rPr>
                  <w:i/>
                  <w:iCs/>
                  <w:noProof/>
                </w:rPr>
                <w:t>Evaluation report: Formaldehyde.</w:t>
              </w:r>
              <w:r>
                <w:rPr>
                  <w:noProof/>
                </w:rPr>
                <w:t xml:space="preserve"> Retrieved from Safe Work Australia's Consultation Hub: https://storage.googleapis.com/files-au-swa/safework/p/prj642e68d6133ea3a631d25/page/draft_evaluation_report_wes_formaldehyde_pdf.pdf</w:t>
              </w:r>
            </w:p>
            <w:p w14:paraId="782368F9" w14:textId="77777777" w:rsidR="00490B21" w:rsidRDefault="00490B21" w:rsidP="00490B21">
              <w:pPr>
                <w:pStyle w:val="Bibliography"/>
                <w:ind w:left="720" w:hanging="720"/>
                <w:rPr>
                  <w:noProof/>
                </w:rPr>
              </w:pPr>
              <w:r>
                <w:rPr>
                  <w:noProof/>
                </w:rPr>
                <w:t xml:space="preserve">Safe Work Australia. (2019, October 11). </w:t>
              </w:r>
              <w:r>
                <w:rPr>
                  <w:i/>
                  <w:iCs/>
                  <w:noProof/>
                </w:rPr>
                <w:t>Safe Work Australia's Consultation Hub.</w:t>
              </w:r>
              <w:r>
                <w:rPr>
                  <w:noProof/>
                </w:rPr>
                <w:t xml:space="preserve"> Retrieved from Chlorine: Evaluation Report: https://storage.googleapis.com/files-au-swa/safework/p/prj06da3bdf2c1cf9737efab/page/draft_evaluation_report_wes_chlorine_pdf.pdf</w:t>
              </w:r>
            </w:p>
            <w:p w14:paraId="017F022F" w14:textId="77777777" w:rsidR="00490B21" w:rsidRDefault="00490B21" w:rsidP="00490B21">
              <w:pPr>
                <w:pStyle w:val="Bibliography"/>
                <w:ind w:left="720" w:hanging="720"/>
                <w:rPr>
                  <w:noProof/>
                </w:rPr>
              </w:pPr>
              <w:r>
                <w:rPr>
                  <w:noProof/>
                </w:rPr>
                <w:t xml:space="preserve">Safe Work Australia. (2019). </w:t>
              </w:r>
              <w:r>
                <w:rPr>
                  <w:i/>
                  <w:iCs/>
                  <w:noProof/>
                </w:rPr>
                <w:t>Silica; Crystalline (Respirable Dust): Evaluation report.</w:t>
              </w:r>
              <w:r>
                <w:rPr>
                  <w:noProof/>
                </w:rPr>
                <w:t xml:space="preserve"> Retrieved from Safe Work Australia.</w:t>
              </w:r>
            </w:p>
            <w:p w14:paraId="008383F1" w14:textId="77777777" w:rsidR="00490B21" w:rsidRDefault="00490B21" w:rsidP="00490B21">
              <w:pPr>
                <w:pStyle w:val="Bibliography"/>
                <w:ind w:left="720" w:hanging="720"/>
                <w:rPr>
                  <w:noProof/>
                </w:rPr>
              </w:pPr>
              <w:r>
                <w:rPr>
                  <w:noProof/>
                </w:rPr>
                <w:t xml:space="preserve">Safe Work Australia. (2020). </w:t>
              </w:r>
              <w:r>
                <w:rPr>
                  <w:i/>
                  <w:iCs/>
                  <w:noProof/>
                </w:rPr>
                <w:t>Benzene - Exposure standard documentation.</w:t>
              </w:r>
              <w:r>
                <w:rPr>
                  <w:noProof/>
                </w:rPr>
                <w:t xml:space="preserve"> Retrieved from Hazardous Chemical Information System: https://hcis.safeworkaustralia.gov.au/ExposureStandards/Document?exposureStandardID=1065</w:t>
              </w:r>
            </w:p>
            <w:p w14:paraId="5069773D" w14:textId="77777777" w:rsidR="00490B21" w:rsidRDefault="00490B21" w:rsidP="00490B21">
              <w:pPr>
                <w:pStyle w:val="Bibliography"/>
                <w:ind w:left="720" w:hanging="720"/>
                <w:rPr>
                  <w:noProof/>
                </w:rPr>
              </w:pPr>
              <w:r>
                <w:rPr>
                  <w:noProof/>
                </w:rPr>
                <w:t xml:space="preserve">Safe Work Australia. (2020). </w:t>
              </w:r>
              <w:r>
                <w:rPr>
                  <w:i/>
                  <w:iCs/>
                  <w:noProof/>
                </w:rPr>
                <w:t>Hazardous chemcials requiring health monitoring</w:t>
              </w:r>
              <w:r>
                <w:rPr>
                  <w:noProof/>
                </w:rPr>
                <w:t>. Retrieved from Safe Work Australia: https://www.safeworkaustralia.gov.au/doc/hazardous-chemicals-requiring-health-monitoring</w:t>
              </w:r>
            </w:p>
            <w:p w14:paraId="79103775" w14:textId="77777777" w:rsidR="00490B21" w:rsidRDefault="00490B21" w:rsidP="00490B21">
              <w:pPr>
                <w:pStyle w:val="Bibliography"/>
                <w:ind w:left="720" w:hanging="720"/>
                <w:rPr>
                  <w:noProof/>
                </w:rPr>
              </w:pPr>
              <w:r>
                <w:rPr>
                  <w:noProof/>
                </w:rPr>
                <w:t xml:space="preserve">Safe Work Australia. (2020). </w:t>
              </w:r>
              <w:r>
                <w:rPr>
                  <w:i/>
                  <w:iCs/>
                  <w:noProof/>
                </w:rPr>
                <w:t>Hydrogen cyanide: Evaluation report.</w:t>
              </w:r>
              <w:r>
                <w:rPr>
                  <w:noProof/>
                </w:rPr>
                <w:t xml:space="preserve"> Retrieved from Safe Work Australia's Consultation Hub: https://storage.googleapis.com/files-au-swa/safework/p/prj0ae13e590bf0d888ca147/page/draft_evaluation_report_wes_hydrogen_cyanide_pdf.pdf</w:t>
              </w:r>
            </w:p>
            <w:p w14:paraId="7E2C825B" w14:textId="77777777" w:rsidR="00490B21" w:rsidRDefault="00490B21" w:rsidP="00490B21">
              <w:pPr>
                <w:pStyle w:val="Bibliography"/>
                <w:ind w:left="720" w:hanging="720"/>
                <w:rPr>
                  <w:noProof/>
                </w:rPr>
              </w:pPr>
              <w:r>
                <w:rPr>
                  <w:noProof/>
                </w:rPr>
                <w:t xml:space="preserve">Safe Work Australia. (2020). </w:t>
              </w:r>
              <w:r>
                <w:rPr>
                  <w:i/>
                  <w:iCs/>
                  <w:noProof/>
                </w:rPr>
                <w:t>Hydrogen sulfide: Evaluation report.</w:t>
              </w:r>
              <w:r>
                <w:rPr>
                  <w:noProof/>
                </w:rPr>
                <w:t xml:space="preserve"> Retrieved from Safe Work Australia's Consultation Hub: https://storage.googleapis.com/files-au-swa/safework/p/prj0ae13e590bf0d888ca147/page/draft_evaluation_report_wes_hydrogen_sulfide_pdf.pdf</w:t>
              </w:r>
            </w:p>
            <w:p w14:paraId="0C91CAD5" w14:textId="77777777" w:rsidR="00490B21" w:rsidRDefault="00490B21" w:rsidP="00490B21">
              <w:pPr>
                <w:pStyle w:val="Bibliography"/>
                <w:ind w:left="720" w:hanging="720"/>
                <w:rPr>
                  <w:noProof/>
                </w:rPr>
              </w:pPr>
              <w:r>
                <w:rPr>
                  <w:noProof/>
                </w:rPr>
                <w:t xml:space="preserve">Safe Work Australia. (2020). </w:t>
              </w:r>
              <w:r>
                <w:rPr>
                  <w:i/>
                  <w:iCs/>
                  <w:noProof/>
                </w:rPr>
                <w:t>National dataset for compensation-based statistics 3rd edition (Revision 1)</w:t>
              </w:r>
              <w:r>
                <w:rPr>
                  <w:noProof/>
                </w:rPr>
                <w:t xml:space="preserve">. Retrieved from Safe Work Australia: </w:t>
              </w:r>
              <w:r>
                <w:rPr>
                  <w:noProof/>
                </w:rPr>
                <w:lastRenderedPageBreak/>
                <w:t>https://www.safeworkaustralia.gov.au/doc/national-dataset-compensation-based-statistics-3rd-edition-revision-1</w:t>
              </w:r>
            </w:p>
            <w:p w14:paraId="501F04E6" w14:textId="77777777" w:rsidR="00490B21" w:rsidRDefault="00490B21" w:rsidP="00490B21">
              <w:pPr>
                <w:pStyle w:val="Bibliography"/>
                <w:ind w:left="720" w:hanging="720"/>
                <w:rPr>
                  <w:noProof/>
                </w:rPr>
              </w:pPr>
              <w:r>
                <w:rPr>
                  <w:noProof/>
                </w:rPr>
                <w:t xml:space="preserve">Safe Work Australia. (2020). </w:t>
              </w:r>
              <w:r>
                <w:rPr>
                  <w:i/>
                  <w:iCs/>
                  <w:noProof/>
                </w:rPr>
                <w:t>Nitrogen dioxide: Evaluation report.</w:t>
              </w:r>
              <w:r>
                <w:rPr>
                  <w:noProof/>
                </w:rPr>
                <w:t xml:space="preserve"> Retrieved from Safe Work Australia's Consultation Hub: https://storage.googleapis.com/files-au-swa/safework/p/prj345078c28dff3c94a3e5a/page/draft_evaluation_report_wes_nitrogen_dioxide_pdf.pdf</w:t>
              </w:r>
            </w:p>
            <w:p w14:paraId="510BDC3F" w14:textId="77777777" w:rsidR="00490B21" w:rsidRDefault="00490B21" w:rsidP="00490B21">
              <w:pPr>
                <w:pStyle w:val="Bibliography"/>
                <w:ind w:left="720" w:hanging="720"/>
                <w:rPr>
                  <w:noProof/>
                </w:rPr>
              </w:pPr>
              <w:r>
                <w:rPr>
                  <w:noProof/>
                </w:rPr>
                <w:t xml:space="preserve">Safe Work Australia. (2021). </w:t>
              </w:r>
              <w:r>
                <w:rPr>
                  <w:i/>
                  <w:iCs/>
                  <w:noProof/>
                </w:rPr>
                <w:t>Titanium dioxide: Evaluation report.</w:t>
              </w:r>
              <w:r>
                <w:rPr>
                  <w:noProof/>
                </w:rPr>
                <w:t xml:space="preserve"> Retrieved from Safe Work Australia: https://storage.googleapis.com/files-au-swa/safework/p/prjea9c46238e814e3fac152/page/draft_evaluation_report_wes_titanium_dioxide_pdf.pdf</w:t>
              </w:r>
            </w:p>
            <w:p w14:paraId="4F0D3DEB" w14:textId="77777777" w:rsidR="00490B21" w:rsidRDefault="00490B21" w:rsidP="00490B21">
              <w:pPr>
                <w:pStyle w:val="Bibliography"/>
                <w:ind w:left="720" w:hanging="720"/>
                <w:rPr>
                  <w:noProof/>
                </w:rPr>
              </w:pPr>
              <w:r>
                <w:rPr>
                  <w:noProof/>
                </w:rPr>
                <w:t xml:space="preserve">Safe Work Australia. (2022, August 1). </w:t>
              </w:r>
              <w:r>
                <w:rPr>
                  <w:i/>
                  <w:iCs/>
                  <w:noProof/>
                </w:rPr>
                <w:t>Model Code of Practice: Managing psychosocial hazards at work.</w:t>
              </w:r>
              <w:r>
                <w:rPr>
                  <w:noProof/>
                </w:rPr>
                <w:t xml:space="preserve"> Retrieved from Safe Work Australia: https://www.safeworkaustralia.gov.au/doc/model-code-practice-managing-psychosocial-hazards-work</w:t>
              </w:r>
            </w:p>
            <w:p w14:paraId="4A0D42D4" w14:textId="77777777" w:rsidR="00490B21" w:rsidRDefault="00490B21" w:rsidP="00490B21">
              <w:pPr>
                <w:pStyle w:val="Bibliography"/>
                <w:ind w:left="720" w:hanging="720"/>
                <w:rPr>
                  <w:noProof/>
                </w:rPr>
              </w:pPr>
              <w:r>
                <w:rPr>
                  <w:noProof/>
                </w:rPr>
                <w:t xml:space="preserve">Safe Work Australia. (2022). </w:t>
              </w:r>
              <w:r>
                <w:rPr>
                  <w:i/>
                  <w:iCs/>
                  <w:noProof/>
                </w:rPr>
                <w:t>Report: Short Term Exposure Limit for Respirable Crystalline Silica</w:t>
              </w:r>
              <w:r>
                <w:rPr>
                  <w:noProof/>
                </w:rPr>
                <w:t>. Retrieved from Safe Work Australia: https://www.safeworkaustralia.gov.au/doc/report-short-term-exposure-limit-respirable-crystalline-silica</w:t>
              </w:r>
            </w:p>
            <w:p w14:paraId="79C98C6A" w14:textId="77777777" w:rsidR="00490B21" w:rsidRDefault="00490B21" w:rsidP="00490B21">
              <w:pPr>
                <w:pStyle w:val="Bibliography"/>
                <w:ind w:left="720" w:hanging="720"/>
                <w:rPr>
                  <w:noProof/>
                </w:rPr>
              </w:pPr>
              <w:r>
                <w:rPr>
                  <w:noProof/>
                </w:rPr>
                <w:t xml:space="preserve">Safe Work Australia. (2022, October 24). </w:t>
              </w:r>
              <w:r>
                <w:rPr>
                  <w:i/>
                  <w:iCs/>
                  <w:noProof/>
                </w:rPr>
                <w:t>Safer, healthier, wealthier: The economic value of reducing work-related injuries and illnesses – summary report.</w:t>
              </w:r>
              <w:r>
                <w:rPr>
                  <w:noProof/>
                </w:rPr>
                <w:t xml:space="preserve"> Retrieved from Safe Work Australia: https://www.safeworkaustralia.gov.au/doc/safer-healthier-wealthier-economic-value-reducing-work-related-injuries-and-illnesses-summary-report</w:t>
              </w:r>
            </w:p>
            <w:p w14:paraId="441CB0B3" w14:textId="77777777" w:rsidR="00490B21" w:rsidRDefault="00490B21" w:rsidP="00490B21">
              <w:pPr>
                <w:pStyle w:val="Bibliography"/>
                <w:ind w:left="720" w:hanging="720"/>
                <w:rPr>
                  <w:noProof/>
                </w:rPr>
              </w:pPr>
              <w:r>
                <w:rPr>
                  <w:noProof/>
                </w:rPr>
                <w:t xml:space="preserve">Safe Work Australia. (2023, February 28). </w:t>
              </w:r>
              <w:r>
                <w:rPr>
                  <w:i/>
                  <w:iCs/>
                  <w:noProof/>
                </w:rPr>
                <w:t>Decision Regulation Impact Statement: Managing the risks of respirable crystalline silica at work.</w:t>
              </w:r>
              <w:r>
                <w:rPr>
                  <w:noProof/>
                </w:rPr>
                <w:t xml:space="preserve"> Retrieved from Safe Work Australia: https://www.safeworkaustralia.gov.au/doc/decision-regulation-impact-statement-managing-risks-respirable-crystalline-silica-work</w:t>
              </w:r>
            </w:p>
            <w:p w14:paraId="1BB395FA" w14:textId="77777777" w:rsidR="00490B21" w:rsidRDefault="00490B21" w:rsidP="00490B21">
              <w:pPr>
                <w:pStyle w:val="Bibliography"/>
                <w:ind w:left="720" w:hanging="720"/>
                <w:rPr>
                  <w:noProof/>
                </w:rPr>
              </w:pPr>
              <w:r>
                <w:rPr>
                  <w:noProof/>
                </w:rPr>
                <w:t xml:space="preserve">Safe Work Australia. (2023). </w:t>
              </w:r>
              <w:r>
                <w:rPr>
                  <w:i/>
                  <w:iCs/>
                  <w:noProof/>
                </w:rPr>
                <w:t>Decision Regulation Impact Statement: Managing the risks of respirable crystalline silica at work</w:t>
              </w:r>
              <w:r>
                <w:rPr>
                  <w:noProof/>
                </w:rPr>
                <w:t>. Retrieved from Safe Work Australia: https://www.safeworkaustralia.gov.au/doc/decision-regulation-impact-statement-managing-risks-respirable-crystalline-silica-work</w:t>
              </w:r>
            </w:p>
            <w:p w14:paraId="538D4E38" w14:textId="77777777" w:rsidR="00490B21" w:rsidRDefault="00490B21" w:rsidP="00490B21">
              <w:pPr>
                <w:pStyle w:val="Bibliography"/>
                <w:ind w:left="720" w:hanging="720"/>
                <w:rPr>
                  <w:noProof/>
                </w:rPr>
              </w:pPr>
              <w:r>
                <w:rPr>
                  <w:noProof/>
                </w:rPr>
                <w:t xml:space="preserve">Safe Work Australia. (2023, October 27). </w:t>
              </w:r>
              <w:r>
                <w:rPr>
                  <w:i/>
                  <w:iCs/>
                  <w:noProof/>
                </w:rPr>
                <w:t>Decision Regulation Impact Statement: Prohibition on the use of engineered stone.</w:t>
              </w:r>
              <w:r>
                <w:rPr>
                  <w:noProof/>
                </w:rPr>
                <w:t xml:space="preserve"> Retrieved from Safe Work Australia: https://www.safeworkaustralia.gov.au/doc/decision-regulation-impact-statement-prohibition-use-engineered-stone</w:t>
              </w:r>
            </w:p>
            <w:p w14:paraId="6EFE8F3C" w14:textId="77777777" w:rsidR="00490B21" w:rsidRDefault="00490B21" w:rsidP="00490B21">
              <w:pPr>
                <w:pStyle w:val="Bibliography"/>
                <w:ind w:left="720" w:hanging="720"/>
                <w:rPr>
                  <w:noProof/>
                </w:rPr>
              </w:pPr>
              <w:r>
                <w:rPr>
                  <w:noProof/>
                </w:rPr>
                <w:t xml:space="preserve">Safe Work Australia. (2023). </w:t>
              </w:r>
              <w:r>
                <w:rPr>
                  <w:i/>
                  <w:iCs/>
                  <w:noProof/>
                </w:rPr>
                <w:t>Model Code of Practice: Managing risks of hazardous chemicals in the workplace.</w:t>
              </w:r>
              <w:r>
                <w:rPr>
                  <w:noProof/>
                </w:rPr>
                <w:t xml:space="preserve"> Retrieved from Safe Work Australia: https://www.safeworkaustralia.gov.au/doc/model-code-practice-managing-risks-hazardous-chemicals-workplace</w:t>
              </w:r>
            </w:p>
            <w:p w14:paraId="36C9E948" w14:textId="77777777" w:rsidR="00490B21" w:rsidRDefault="00490B21" w:rsidP="00490B21">
              <w:pPr>
                <w:pStyle w:val="Bibliography"/>
                <w:ind w:left="720" w:hanging="720"/>
                <w:rPr>
                  <w:noProof/>
                </w:rPr>
              </w:pPr>
              <w:r>
                <w:rPr>
                  <w:noProof/>
                </w:rPr>
                <w:t>Safe Work Australia. (2023). National Dataset for Compensation-based Statistics.</w:t>
              </w:r>
            </w:p>
            <w:p w14:paraId="7B074BFD" w14:textId="77777777" w:rsidR="00490B21" w:rsidRDefault="00490B21" w:rsidP="00490B21">
              <w:pPr>
                <w:pStyle w:val="Bibliography"/>
                <w:ind w:left="720" w:hanging="720"/>
                <w:rPr>
                  <w:noProof/>
                </w:rPr>
              </w:pPr>
              <w:r>
                <w:rPr>
                  <w:noProof/>
                </w:rPr>
                <w:t xml:space="preserve">Safe Work Australia. (2024). </w:t>
              </w:r>
              <w:r>
                <w:rPr>
                  <w:i/>
                  <w:iCs/>
                  <w:noProof/>
                </w:rPr>
                <w:t>Exposure standards - airborne contaminants</w:t>
              </w:r>
              <w:r>
                <w:rPr>
                  <w:noProof/>
                </w:rPr>
                <w:t>. Retrieved from Safe Work Australia: https://www.safeworkaustralia.gov.au/safety-topic/managing-health-and-safety/exposure-standards-airborne-contaminants</w:t>
              </w:r>
            </w:p>
            <w:p w14:paraId="61FB2B22" w14:textId="77777777" w:rsidR="00490B21" w:rsidRDefault="00490B21" w:rsidP="00490B21">
              <w:pPr>
                <w:pStyle w:val="Bibliography"/>
                <w:ind w:left="720" w:hanging="720"/>
                <w:rPr>
                  <w:noProof/>
                </w:rPr>
              </w:pPr>
              <w:r>
                <w:rPr>
                  <w:noProof/>
                </w:rPr>
                <w:t xml:space="preserve">Safe Work Australia. (2024, April 29). </w:t>
              </w:r>
              <w:r>
                <w:rPr>
                  <w:i/>
                  <w:iCs/>
                  <w:noProof/>
                </w:rPr>
                <w:t>List of Deemed Diseases in Australia.</w:t>
              </w:r>
              <w:r>
                <w:rPr>
                  <w:noProof/>
                </w:rPr>
                <w:t xml:space="preserve"> Retrieved from Safe Work Australia: https://www.safeworkaustralia.gov.au/doc/list-deemed-diseases-australia</w:t>
              </w:r>
            </w:p>
            <w:p w14:paraId="7BB2ABDD" w14:textId="77777777" w:rsidR="00490B21" w:rsidRDefault="00490B21" w:rsidP="00490B21">
              <w:pPr>
                <w:pStyle w:val="Bibliography"/>
                <w:ind w:left="720" w:hanging="720"/>
                <w:rPr>
                  <w:noProof/>
                </w:rPr>
              </w:pPr>
              <w:r>
                <w:rPr>
                  <w:noProof/>
                </w:rPr>
                <w:t xml:space="preserve">Safe Work Australia. (2024). </w:t>
              </w:r>
              <w:r>
                <w:rPr>
                  <w:i/>
                  <w:iCs/>
                  <w:noProof/>
                </w:rPr>
                <w:t>Working with crystalline silica substances: Guidance for PCBUs</w:t>
              </w:r>
              <w:r>
                <w:rPr>
                  <w:noProof/>
                </w:rPr>
                <w:t>. Retrieved from Safe Work Australia: https://www.safeworkaustralia.gov.au/doc/working-crystalline-silica-substances-guidance-pcbus</w:t>
              </w:r>
            </w:p>
            <w:p w14:paraId="10782870" w14:textId="77777777" w:rsidR="00490B21" w:rsidRDefault="00490B21" w:rsidP="00490B21">
              <w:pPr>
                <w:pStyle w:val="Bibliography"/>
                <w:ind w:left="720" w:hanging="720"/>
                <w:rPr>
                  <w:noProof/>
                </w:rPr>
              </w:pPr>
              <w:r>
                <w:rPr>
                  <w:noProof/>
                </w:rPr>
                <w:lastRenderedPageBreak/>
                <w:t xml:space="preserve">Safe Work Australia. (2024). </w:t>
              </w:r>
              <w:r>
                <w:rPr>
                  <w:i/>
                  <w:iCs/>
                  <w:noProof/>
                </w:rPr>
                <w:t>Working with crystalline silica substances: Guidance for PCBUs.</w:t>
              </w:r>
              <w:r>
                <w:rPr>
                  <w:noProof/>
                </w:rPr>
                <w:t xml:space="preserve"> Retrieved from Safe Work Australia: https://www.safeworkaustralia.gov.au/doc/working-crystalline-silica-substances-guidance-pcbus</w:t>
              </w:r>
            </w:p>
            <w:p w14:paraId="6CB3FA92" w14:textId="77777777" w:rsidR="00490B21" w:rsidRDefault="00490B21" w:rsidP="00490B21">
              <w:pPr>
                <w:pStyle w:val="Bibliography"/>
                <w:ind w:left="720" w:hanging="720"/>
                <w:rPr>
                  <w:noProof/>
                </w:rPr>
              </w:pPr>
              <w:r>
                <w:rPr>
                  <w:noProof/>
                </w:rPr>
                <w:t xml:space="preserve">Safe Work Australia. (n.d.). </w:t>
              </w:r>
              <w:r>
                <w:rPr>
                  <w:i/>
                  <w:iCs/>
                  <w:noProof/>
                </w:rPr>
                <w:t>List of deemed diseases in Australia.</w:t>
              </w:r>
              <w:r>
                <w:rPr>
                  <w:noProof/>
                </w:rPr>
                <w:t xml:space="preserve"> Retrieved from Safe Work Australia: https://www.safeworkaustralia.gov.au/workers-compensation/list-deemed-diseases-australia</w:t>
              </w:r>
            </w:p>
            <w:p w14:paraId="4FA0A17C" w14:textId="77777777" w:rsidR="00490B21" w:rsidRDefault="00490B21" w:rsidP="00490B21">
              <w:pPr>
                <w:pStyle w:val="Bibliography"/>
                <w:ind w:left="720" w:hanging="720"/>
                <w:rPr>
                  <w:noProof/>
                </w:rPr>
              </w:pPr>
              <w:r>
                <w:rPr>
                  <w:noProof/>
                </w:rPr>
                <w:t xml:space="preserve">Safe Work Australia. (n.d.). </w:t>
              </w:r>
              <w:r>
                <w:rPr>
                  <w:i/>
                  <w:iCs/>
                  <w:noProof/>
                </w:rPr>
                <w:t>Workers' Compensation</w:t>
              </w:r>
              <w:r>
                <w:rPr>
                  <w:noProof/>
                </w:rPr>
                <w:t>. Retrieved from Safe Work Australia: https://www.safeworkaustralia.gov.au/workers-compensation</w:t>
              </w:r>
            </w:p>
            <w:p w14:paraId="605FE1FE" w14:textId="77777777" w:rsidR="00490B21" w:rsidRDefault="00490B21" w:rsidP="00490B21">
              <w:pPr>
                <w:pStyle w:val="Bibliography"/>
                <w:ind w:left="720" w:hanging="720"/>
                <w:rPr>
                  <w:noProof/>
                </w:rPr>
              </w:pPr>
              <w:r>
                <w:rPr>
                  <w:noProof/>
                </w:rPr>
                <w:t xml:space="preserve">Sanderson, K., &amp; Cocker, F. (2013). </w:t>
              </w:r>
              <w:r>
                <w:rPr>
                  <w:i/>
                  <w:iCs/>
                  <w:noProof/>
                </w:rPr>
                <w:t>Presenteeism - Implications and health risks</w:t>
              </w:r>
              <w:r>
                <w:rPr>
                  <w:noProof/>
                </w:rPr>
                <w:t>. Retrieved from Australian Family Physician: https://www.racgp.org.au/getattachment/90c82662-8859-45cc-9ff2-1fb46ac1110d/Presenteeism.aspx</w:t>
              </w:r>
            </w:p>
            <w:p w14:paraId="596DC635" w14:textId="77777777" w:rsidR="00490B21" w:rsidRDefault="00490B21" w:rsidP="00490B21">
              <w:pPr>
                <w:pStyle w:val="Bibliography"/>
                <w:ind w:left="720" w:hanging="720"/>
                <w:rPr>
                  <w:noProof/>
                </w:rPr>
              </w:pPr>
              <w:r>
                <w:rPr>
                  <w:noProof/>
                </w:rPr>
                <w:t xml:space="preserve">Sarika, P. R., Nancarrow, P., Khansaheb, A., &amp; Ibrahim, T. (2020). Bio-Based Alternatives to Phenol and Formaldehyde for the Production of Resins. </w:t>
              </w:r>
              <w:r>
                <w:rPr>
                  <w:i/>
                  <w:iCs/>
                  <w:noProof/>
                </w:rPr>
                <w:t>Polymers, 12</w:t>
              </w:r>
              <w:r>
                <w:rPr>
                  <w:noProof/>
                </w:rPr>
                <w:t>(10), 2237. Retrieved from https://pmc.ncbi.nlm.nih.gov/articles/PMC7599631/</w:t>
              </w:r>
            </w:p>
            <w:p w14:paraId="6359BF89" w14:textId="77777777" w:rsidR="00490B21" w:rsidRDefault="00490B21" w:rsidP="00490B21">
              <w:pPr>
                <w:pStyle w:val="Bibliography"/>
                <w:ind w:left="720" w:hanging="720"/>
                <w:rPr>
                  <w:noProof/>
                </w:rPr>
              </w:pPr>
              <w:r>
                <w:rPr>
                  <w:noProof/>
                </w:rPr>
                <w:t xml:space="preserve">Savage, S., &amp; Bailey, S. (2004). The impact of caring on caregivers' mental health: a review of the literature. </w:t>
              </w:r>
              <w:r>
                <w:rPr>
                  <w:i/>
                  <w:iCs/>
                  <w:noProof/>
                </w:rPr>
                <w:t>Australian Health Review, 27</w:t>
              </w:r>
              <w:r>
                <w:rPr>
                  <w:noProof/>
                </w:rPr>
                <w:t>(1), 103-109.</w:t>
              </w:r>
            </w:p>
            <w:p w14:paraId="0515D446" w14:textId="77777777" w:rsidR="00490B21" w:rsidRDefault="00490B21" w:rsidP="00490B21">
              <w:pPr>
                <w:pStyle w:val="Bibliography"/>
                <w:ind w:left="720" w:hanging="720"/>
                <w:rPr>
                  <w:noProof/>
                </w:rPr>
              </w:pPr>
              <w:r>
                <w:rPr>
                  <w:noProof/>
                </w:rPr>
                <w:t xml:space="preserve">Sell, P., Plass, D., Kienzler, S., &amp; Zeeb, H. (2025). Environmental burden of disease resulting from long-term nitrogen dioxide exposure in Germany. </w:t>
              </w:r>
              <w:r>
                <w:rPr>
                  <w:i/>
                  <w:iCs/>
                  <w:noProof/>
                </w:rPr>
                <w:t>BMC Public Health</w:t>
              </w:r>
              <w:r>
                <w:rPr>
                  <w:noProof/>
                </w:rPr>
                <w:t>, 79.</w:t>
              </w:r>
            </w:p>
            <w:p w14:paraId="317D2B51" w14:textId="77777777" w:rsidR="00490B21" w:rsidRDefault="00490B21" w:rsidP="00490B21">
              <w:pPr>
                <w:pStyle w:val="Bibliography"/>
                <w:ind w:left="720" w:hanging="720"/>
                <w:rPr>
                  <w:noProof/>
                </w:rPr>
              </w:pPr>
              <w:r>
                <w:rPr>
                  <w:noProof/>
                </w:rPr>
                <w:t xml:space="preserve">The National Institute for Occupational Safety and Health (NIOSH). (2019). </w:t>
              </w:r>
              <w:r>
                <w:rPr>
                  <w:i/>
                  <w:iCs/>
                  <w:noProof/>
                </w:rPr>
                <w:t>Hydrogen Cyanide</w:t>
              </w:r>
              <w:r>
                <w:rPr>
                  <w:noProof/>
                </w:rPr>
                <w:t>. Retrieved from NIOSH Pocket Guide to Chemcial Hazards: https://www.cdc.gov/niosh/npg/npgd0333.html</w:t>
              </w:r>
            </w:p>
            <w:p w14:paraId="29F38A82" w14:textId="77777777" w:rsidR="00490B21" w:rsidRDefault="00490B21" w:rsidP="00490B21">
              <w:pPr>
                <w:pStyle w:val="Bibliography"/>
                <w:ind w:left="720" w:hanging="720"/>
                <w:rPr>
                  <w:noProof/>
                </w:rPr>
              </w:pPr>
              <w:r>
                <w:rPr>
                  <w:noProof/>
                </w:rPr>
                <w:t xml:space="preserve">Triebig, G. (2010, March 19). Implications of latency period between benzene exposure and development of leukemia--a synopsis of literature. </w:t>
              </w:r>
              <w:r>
                <w:rPr>
                  <w:i/>
                  <w:iCs/>
                  <w:noProof/>
                </w:rPr>
                <w:t>Chemico-biological interactions, 184</w:t>
              </w:r>
              <w:r>
                <w:rPr>
                  <w:noProof/>
                </w:rPr>
                <w:t>(1-2), 26-29.</w:t>
              </w:r>
            </w:p>
            <w:p w14:paraId="7F156D06" w14:textId="77777777" w:rsidR="00490B21" w:rsidRDefault="00490B21" w:rsidP="00490B21">
              <w:pPr>
                <w:pStyle w:val="Bibliography"/>
                <w:ind w:left="720" w:hanging="720"/>
                <w:rPr>
                  <w:noProof/>
                </w:rPr>
              </w:pPr>
              <w:r>
                <w:rPr>
                  <w:noProof/>
                </w:rPr>
                <w:t xml:space="preserve">United States Environmental Protection Agency. (2025, March 6). </w:t>
              </w:r>
              <w:r>
                <w:rPr>
                  <w:i/>
                  <w:iCs/>
                  <w:noProof/>
                </w:rPr>
                <w:t>Alternative Wastewater Disinfectant Research</w:t>
              </w:r>
              <w:r>
                <w:rPr>
                  <w:noProof/>
                </w:rPr>
                <w:t>. Retrieved from United States Environmental Protection Agency: https://www.epa.gov/water-research/alternative-wastewater-disinfectant-research</w:t>
              </w:r>
            </w:p>
            <w:p w14:paraId="74046A2D" w14:textId="77777777" w:rsidR="00490B21" w:rsidRDefault="00490B21" w:rsidP="00490B21">
              <w:pPr>
                <w:pStyle w:val="Bibliography"/>
                <w:ind w:left="720" w:hanging="720"/>
                <w:rPr>
                  <w:noProof/>
                </w:rPr>
              </w:pPr>
              <w:r>
                <w:rPr>
                  <w:noProof/>
                </w:rPr>
                <w:t xml:space="preserve">WorkSafe BC. (2006). </w:t>
              </w:r>
              <w:r>
                <w:rPr>
                  <w:i/>
                  <w:iCs/>
                  <w:noProof/>
                </w:rPr>
                <w:t>Silica, Crystalline - alpha-quartz and Cristobalite, Respirable</w:t>
              </w:r>
              <w:r>
                <w:rPr>
                  <w:noProof/>
                </w:rPr>
                <w:t>. Retrieved from E-Limit: https://elimit.online.worksafebc.com/substance/silica-crystalline-alpha-quartz-and-cristobalite-respirable/</w:t>
              </w:r>
            </w:p>
            <w:p w14:paraId="686A28DF" w14:textId="77777777" w:rsidR="00490B21" w:rsidRDefault="00490B21" w:rsidP="00490B21">
              <w:pPr>
                <w:pStyle w:val="Bibliography"/>
                <w:ind w:left="720" w:hanging="720"/>
                <w:rPr>
                  <w:noProof/>
                </w:rPr>
              </w:pPr>
              <w:r>
                <w:rPr>
                  <w:noProof/>
                </w:rPr>
                <w:t xml:space="preserve">Wyon, D. P. (2004). The effects of indoor air quality on performance and productivity. </w:t>
              </w:r>
              <w:r>
                <w:rPr>
                  <w:i/>
                  <w:iCs/>
                  <w:noProof/>
                </w:rPr>
                <w:t>Indoor Air, 14</w:t>
              </w:r>
              <w:r>
                <w:rPr>
                  <w:noProof/>
                </w:rPr>
                <w:t>, 92-101.</w:t>
              </w:r>
            </w:p>
            <w:p w14:paraId="4BAEDBD6" w14:textId="77777777" w:rsidR="00490B21" w:rsidRDefault="00490B21" w:rsidP="00490B21">
              <w:pPr>
                <w:pStyle w:val="Bibliography"/>
                <w:ind w:left="720" w:hanging="720"/>
                <w:rPr>
                  <w:noProof/>
                </w:rPr>
              </w:pPr>
              <w:r>
                <w:rPr>
                  <w:noProof/>
                </w:rPr>
                <w:t xml:space="preserve">Yamamoto, R., Fuijishima, S., Ueno, K., Miyaki, M., Kurihara, T., Hori, S., &amp; Aikawa, N. (2009). Two cases of delayed-onset acute lung injury after chlorine gas exposure. </w:t>
              </w:r>
              <w:r>
                <w:rPr>
                  <w:i/>
                  <w:iCs/>
                  <w:noProof/>
                </w:rPr>
                <w:t>Nihon Kyukyu Igakukai Zasshi, 20</w:t>
              </w:r>
              <w:r>
                <w:rPr>
                  <w:noProof/>
                </w:rPr>
                <w:t>(7), 390-396. Retrieved from https://www.jstage.jst.go.jp/article/jjaam/20/7/20_7_390/_article/-char/en</w:t>
              </w:r>
            </w:p>
            <w:p w14:paraId="0EF703F3" w14:textId="533F58C7" w:rsidR="0090327E" w:rsidRPr="00C5730D" w:rsidRDefault="007F03D2" w:rsidP="00B64384">
              <w:pPr>
                <w:contextualSpacing w:val="0"/>
              </w:pPr>
              <w:r>
                <w:rPr>
                  <w:b/>
                  <w:bCs/>
                  <w:noProof/>
                </w:rPr>
                <w:fldChar w:fldCharType="end"/>
              </w:r>
            </w:p>
          </w:sdtContent>
        </w:sdt>
      </w:sdtContent>
    </w:sdt>
    <w:p w14:paraId="296AF324" w14:textId="10FE8B9D" w:rsidR="00FE2E1A" w:rsidRDefault="00FE2E1A" w:rsidP="00FE2E1A">
      <w:pPr>
        <w:pStyle w:val="SWAHeading1"/>
        <w:numPr>
          <w:ilvl w:val="0"/>
          <w:numId w:val="0"/>
        </w:numPr>
      </w:pPr>
      <w:bookmarkStart w:id="631" w:name="AppendixB_AgreedSources"/>
      <w:bookmarkStart w:id="632" w:name="_Toc219216928"/>
      <w:r w:rsidRPr="00B91307">
        <w:lastRenderedPageBreak/>
        <w:t xml:space="preserve">Appendix B – Agreed </w:t>
      </w:r>
      <w:r w:rsidR="00B12299" w:rsidRPr="00B91307">
        <w:t xml:space="preserve">methodology and </w:t>
      </w:r>
      <w:r w:rsidRPr="00B91307">
        <w:t>sources for the WES review</w:t>
      </w:r>
      <w:bookmarkEnd w:id="631"/>
      <w:bookmarkEnd w:id="632"/>
    </w:p>
    <w:p w14:paraId="4FBDB0DF" w14:textId="629AA010" w:rsidR="00C56D42" w:rsidRDefault="00C56D42" w:rsidP="00C56D42">
      <w:r>
        <w:t xml:space="preserve">The WES review methodology, agreed to by WHS ministers, outlined the </w:t>
      </w:r>
      <w:hyperlink r:id="rId56" w:history="1">
        <w:r w:rsidRPr="002A40C2">
          <w:rPr>
            <w:rStyle w:val="Hyperlink"/>
          </w:rPr>
          <w:t>criteria</w:t>
        </w:r>
      </w:hyperlink>
      <w:r>
        <w:t xml:space="preserve"> for the selection of sources for recommending exposure standards (to be renamed ‘exposure limits</w:t>
      </w:r>
      <w:r w:rsidR="00CA70D6">
        <w:t>’</w:t>
      </w:r>
      <w:r>
        <w:t xml:space="preserve">) and the </w:t>
      </w:r>
      <w:hyperlink r:id="rId57" w:history="1">
        <w:r w:rsidRPr="002A40C2">
          <w:rPr>
            <w:rStyle w:val="Hyperlink"/>
          </w:rPr>
          <w:t>list of sources</w:t>
        </w:r>
      </w:hyperlink>
      <w:r>
        <w:t xml:space="preserve"> to be used for the WES review.</w:t>
      </w:r>
    </w:p>
    <w:p w14:paraId="3D3FA176" w14:textId="2B20580A" w:rsidR="00FE2E1A" w:rsidRDefault="005E04AA" w:rsidP="00DC0EBA">
      <w:pPr>
        <w:pStyle w:val="SWAHeading2"/>
        <w:numPr>
          <w:ilvl w:val="0"/>
          <w:numId w:val="0"/>
        </w:numPr>
        <w:spacing w:before="120"/>
      </w:pPr>
      <w:bookmarkStart w:id="633" w:name="_Toc219216929"/>
      <w:r>
        <w:t>Primary sources</w:t>
      </w:r>
      <w:bookmarkEnd w:id="633"/>
    </w:p>
    <w:p w14:paraId="23EC645B" w14:textId="7F764374" w:rsidR="001B5886" w:rsidRDefault="001B5886" w:rsidP="001B5886">
      <w:pPr>
        <w:rPr>
          <w:lang w:val="en-GB"/>
        </w:rPr>
      </w:pPr>
      <w:r>
        <w:t xml:space="preserve">Primary sources </w:t>
      </w:r>
      <w:r w:rsidR="00CA70D6">
        <w:t>were selected</w:t>
      </w:r>
      <w:r w:rsidR="00C92A34">
        <w:t xml:space="preserve"> based on the following criteria: </w:t>
      </w:r>
      <w:r w:rsidR="00C92A34">
        <w:rPr>
          <w:rFonts w:cs="Arial"/>
        </w:rPr>
        <w:t xml:space="preserve">they </w:t>
      </w:r>
      <w:r w:rsidR="00B26218">
        <w:rPr>
          <w:rFonts w:cs="Arial"/>
        </w:rPr>
        <w:t xml:space="preserve">are </w:t>
      </w:r>
      <w:r w:rsidR="00166095">
        <w:rPr>
          <w:rFonts w:cs="Arial"/>
        </w:rPr>
        <w:t>credible and trusted</w:t>
      </w:r>
      <w:r w:rsidR="00C92A34">
        <w:rPr>
          <w:rFonts w:cs="Arial"/>
        </w:rPr>
        <w:t>, develop standards through consensus that are</w:t>
      </w:r>
      <w:r w:rsidR="00C92A34" w:rsidRPr="00185B52">
        <w:rPr>
          <w:rFonts w:cs="Arial"/>
        </w:rPr>
        <w:t xml:space="preserve"> health-based </w:t>
      </w:r>
      <w:r w:rsidR="00C92A34">
        <w:rPr>
          <w:rFonts w:cs="Arial"/>
        </w:rPr>
        <w:t>and based</w:t>
      </w:r>
      <w:r w:rsidR="00C92A34" w:rsidRPr="00185B52">
        <w:rPr>
          <w:rFonts w:cs="Arial"/>
        </w:rPr>
        <w:t xml:space="preserve"> on evaluation of appropriate data</w:t>
      </w:r>
      <w:r w:rsidR="00C92A34">
        <w:rPr>
          <w:rFonts w:cs="Arial"/>
        </w:rPr>
        <w:t>, and their documentation of</w:t>
      </w:r>
      <w:r w:rsidR="00C92A34" w:rsidRPr="00185B52">
        <w:rPr>
          <w:rFonts w:cs="Arial"/>
        </w:rPr>
        <w:t xml:space="preserve"> evaluations </w:t>
      </w:r>
      <w:r w:rsidR="00C92A34">
        <w:rPr>
          <w:rFonts w:cs="Arial"/>
        </w:rPr>
        <w:t>is</w:t>
      </w:r>
      <w:r w:rsidR="00C92A34" w:rsidRPr="00185B52">
        <w:rPr>
          <w:rFonts w:cs="Arial"/>
        </w:rPr>
        <w:t xml:space="preserve"> accessible and robust</w:t>
      </w:r>
      <w:r w:rsidR="00C92A34">
        <w:rPr>
          <w:rFonts w:cs="Arial"/>
        </w:rPr>
        <w:t>. They are the main sources in recommending a workplace exposure standard</w:t>
      </w:r>
      <w:r>
        <w:rPr>
          <w:lang w:val="en-GB"/>
        </w:rPr>
        <w:t>. Agreed primary sources include:</w:t>
      </w:r>
    </w:p>
    <w:p w14:paraId="3ED2CD00" w14:textId="77777777" w:rsidR="001B5886" w:rsidRPr="00C1082B" w:rsidRDefault="001B5886" w:rsidP="00DA28CB">
      <w:pPr>
        <w:pStyle w:val="ListParagraph"/>
        <w:numPr>
          <w:ilvl w:val="0"/>
          <w:numId w:val="174"/>
        </w:numPr>
        <w:spacing w:after="160" w:line="259" w:lineRule="auto"/>
      </w:pPr>
      <w:r w:rsidRPr="00C1082B">
        <w:rPr>
          <w:lang w:val="en-GB"/>
        </w:rPr>
        <w:t>American Conference of Governmental Industrial Hygienists (ACGIH) – Threshold Limit Values (TLV)</w:t>
      </w:r>
      <w:r w:rsidRPr="00C1082B">
        <w:rPr>
          <w:rFonts w:cs="Arial"/>
          <w:lang w:val="en-GB"/>
        </w:rPr>
        <w:t> </w:t>
      </w:r>
      <w:r w:rsidRPr="00C1082B">
        <w:rPr>
          <w:rFonts w:cs="Arial"/>
        </w:rPr>
        <w:t> </w:t>
      </w:r>
      <w:r w:rsidRPr="00C1082B">
        <w:t> </w:t>
      </w:r>
    </w:p>
    <w:p w14:paraId="380F5FF4" w14:textId="77777777" w:rsidR="001B5886" w:rsidRPr="00C1082B" w:rsidRDefault="001B5886" w:rsidP="00DA28CB">
      <w:pPr>
        <w:pStyle w:val="ListParagraph"/>
        <w:numPr>
          <w:ilvl w:val="0"/>
          <w:numId w:val="174"/>
        </w:numPr>
        <w:spacing w:after="160" w:line="259" w:lineRule="auto"/>
      </w:pPr>
      <w:r w:rsidRPr="00C1082B">
        <w:rPr>
          <w:lang w:val="en-GB"/>
        </w:rPr>
        <w:t>Deutsche Forschungsgemeinschaft (DFG) – Maximum workplace values (MAK values)</w:t>
      </w:r>
      <w:r w:rsidRPr="00C1082B">
        <w:rPr>
          <w:rFonts w:cs="Arial"/>
          <w:lang w:val="en-GB"/>
        </w:rPr>
        <w:t> </w:t>
      </w:r>
      <w:r w:rsidRPr="00C1082B">
        <w:rPr>
          <w:rFonts w:cs="Arial"/>
        </w:rPr>
        <w:t> </w:t>
      </w:r>
      <w:r w:rsidRPr="00C1082B">
        <w:t> </w:t>
      </w:r>
    </w:p>
    <w:p w14:paraId="40E0DD25" w14:textId="77777777" w:rsidR="001B5886" w:rsidRPr="00C1082B" w:rsidRDefault="001B5886" w:rsidP="00DA28CB">
      <w:pPr>
        <w:pStyle w:val="ListParagraph"/>
        <w:numPr>
          <w:ilvl w:val="0"/>
          <w:numId w:val="174"/>
        </w:numPr>
        <w:spacing w:after="160" w:line="259" w:lineRule="auto"/>
      </w:pPr>
      <w:r w:rsidRPr="00C1082B">
        <w:rPr>
          <w:lang w:val="en-GB"/>
        </w:rPr>
        <w:t>EU Scientific Committee on Occupational Exposure Limits (SCOEL) – Occupational exposure limits (OEL)</w:t>
      </w:r>
      <w:r w:rsidRPr="00C1082B">
        <w:rPr>
          <w:rFonts w:cs="Arial"/>
          <w:lang w:val="en-GB"/>
        </w:rPr>
        <w:t>  </w:t>
      </w:r>
      <w:r w:rsidRPr="00C1082B">
        <w:rPr>
          <w:rFonts w:cs="Arial"/>
        </w:rPr>
        <w:t> </w:t>
      </w:r>
      <w:r w:rsidRPr="00C1082B">
        <w:t> </w:t>
      </w:r>
    </w:p>
    <w:p w14:paraId="0D90B58D" w14:textId="77777777" w:rsidR="001B5886" w:rsidRPr="00C1082B" w:rsidRDefault="001B5886" w:rsidP="00DA28CB">
      <w:pPr>
        <w:pStyle w:val="ListParagraph"/>
        <w:numPr>
          <w:ilvl w:val="0"/>
          <w:numId w:val="174"/>
        </w:numPr>
        <w:spacing w:after="160" w:line="259" w:lineRule="auto"/>
      </w:pPr>
      <w:r w:rsidRPr="00C1082B">
        <w:rPr>
          <w:lang w:val="en-GB"/>
        </w:rPr>
        <w:t>American Industrial Hygiene Association/Occupational Alliance for Risk Science (AIHA/OARS)</w:t>
      </w:r>
      <w:r w:rsidRPr="00C1082B">
        <w:rPr>
          <w:rFonts w:cs="Arial"/>
          <w:lang w:val="en-GB"/>
        </w:rPr>
        <w:t>  </w:t>
      </w:r>
      <w:r w:rsidRPr="00C1082B">
        <w:rPr>
          <w:rFonts w:cs="Arial"/>
        </w:rPr>
        <w:t> </w:t>
      </w:r>
      <w:r w:rsidRPr="00C1082B">
        <w:t> </w:t>
      </w:r>
    </w:p>
    <w:p w14:paraId="0391A54A" w14:textId="77777777" w:rsidR="001B5886" w:rsidRPr="00C1082B" w:rsidRDefault="001B5886" w:rsidP="00DA28CB">
      <w:pPr>
        <w:pStyle w:val="ListParagraph"/>
        <w:numPr>
          <w:ilvl w:val="0"/>
          <w:numId w:val="174"/>
        </w:numPr>
        <w:spacing w:after="160" w:line="259" w:lineRule="auto"/>
        <w:rPr>
          <w:rFonts w:asciiTheme="minorHAnsi" w:hAnsiTheme="minorHAnsi"/>
        </w:rPr>
      </w:pPr>
      <w:r w:rsidRPr="00C1082B">
        <w:rPr>
          <w:lang w:val="en-GB"/>
        </w:rPr>
        <w:t>Health Council of the Netherlands (HCOTN) – Dutch Expert Committee on Occupational Safety</w:t>
      </w:r>
    </w:p>
    <w:p w14:paraId="226AC557" w14:textId="77777777" w:rsidR="00500137" w:rsidRDefault="00500137" w:rsidP="00DC0EBA">
      <w:pPr>
        <w:pStyle w:val="SWAHeading2"/>
        <w:numPr>
          <w:ilvl w:val="0"/>
          <w:numId w:val="0"/>
        </w:numPr>
        <w:spacing w:before="120"/>
      </w:pPr>
      <w:bookmarkStart w:id="634" w:name="_Toc219216930"/>
      <w:r>
        <w:t>Secondary sources</w:t>
      </w:r>
      <w:bookmarkEnd w:id="634"/>
    </w:p>
    <w:p w14:paraId="752152F3" w14:textId="77777777" w:rsidR="00500137" w:rsidRDefault="00500137" w:rsidP="00DC0EBA">
      <w:pPr>
        <w:contextualSpacing w:val="0"/>
        <w:rPr>
          <w:rFonts w:cs="Arial"/>
        </w:rPr>
      </w:pPr>
      <w:r w:rsidRPr="00C1082B">
        <w:rPr>
          <w:lang w:val="en-GB"/>
        </w:rPr>
        <w:t>Secondary sources are used when significant data gaps or uncertainty arises from the evaluations conducted by primary sources.</w:t>
      </w:r>
      <w:r w:rsidRPr="00C1082B">
        <w:rPr>
          <w:rFonts w:cs="Arial"/>
          <w:lang w:val="en-GB"/>
        </w:rPr>
        <w:t> </w:t>
      </w:r>
      <w:r w:rsidRPr="00DC0EBA">
        <w:rPr>
          <w:rFonts w:cs="Arial"/>
          <w:szCs w:val="22"/>
        </w:rPr>
        <w:t xml:space="preserve">Secondary sources are split into 2 categories – </w:t>
      </w:r>
      <w:r w:rsidRPr="00DC0EBA">
        <w:rPr>
          <w:rFonts w:cs="Arial"/>
          <w:i/>
          <w:iCs/>
          <w:szCs w:val="22"/>
        </w:rPr>
        <w:t>Group A</w:t>
      </w:r>
      <w:r w:rsidRPr="00DC0EBA">
        <w:rPr>
          <w:rFonts w:cs="Arial"/>
          <w:szCs w:val="22"/>
        </w:rPr>
        <w:t xml:space="preserve"> and </w:t>
      </w:r>
      <w:r w:rsidRPr="00DC0EBA">
        <w:rPr>
          <w:rFonts w:cs="Arial"/>
          <w:i/>
          <w:iCs/>
          <w:szCs w:val="22"/>
        </w:rPr>
        <w:t>Group B</w:t>
      </w:r>
      <w:r w:rsidRPr="00DC0EBA">
        <w:rPr>
          <w:rFonts w:cs="Arial"/>
          <w:szCs w:val="22"/>
        </w:rPr>
        <w:t xml:space="preserve">. </w:t>
      </w:r>
    </w:p>
    <w:p w14:paraId="1A7824E6" w14:textId="606D1F1D" w:rsidR="00500137" w:rsidRDefault="00500137" w:rsidP="00DC0EBA">
      <w:pPr>
        <w:contextualSpacing w:val="0"/>
        <w:rPr>
          <w:lang w:val="en-GB"/>
        </w:rPr>
      </w:pPr>
      <w:r w:rsidRPr="00C1082B">
        <w:rPr>
          <w:i/>
          <w:iCs/>
          <w:lang w:val="en-GB"/>
        </w:rPr>
        <w:t>Group A</w:t>
      </w:r>
      <w:r w:rsidRPr="00C1082B">
        <w:rPr>
          <w:lang w:val="en-GB"/>
        </w:rPr>
        <w:t> are used to supplement lacking or unavailable evaluation documentation or if exposure standards </w:t>
      </w:r>
      <w:r w:rsidR="00B96C06">
        <w:rPr>
          <w:lang w:val="en-GB"/>
        </w:rPr>
        <w:t>have</w:t>
      </w:r>
      <w:r w:rsidR="00B96C06" w:rsidRPr="00C1082B">
        <w:rPr>
          <w:lang w:val="en-GB"/>
        </w:rPr>
        <w:t> </w:t>
      </w:r>
      <w:r w:rsidRPr="00C1082B">
        <w:rPr>
          <w:lang w:val="en-GB"/>
        </w:rPr>
        <w:t>not been reviewed by the primary sources since 1995 or since last revision</w:t>
      </w:r>
      <w:r>
        <w:rPr>
          <w:lang w:val="en-GB"/>
        </w:rPr>
        <w:t xml:space="preserve">. Agreed </w:t>
      </w:r>
      <w:r w:rsidRPr="00D766D8">
        <w:rPr>
          <w:i/>
          <w:iCs/>
          <w:lang w:val="en-GB"/>
        </w:rPr>
        <w:t xml:space="preserve">Group A </w:t>
      </w:r>
      <w:r>
        <w:rPr>
          <w:lang w:val="en-GB"/>
        </w:rPr>
        <w:t>secondary sources include:</w:t>
      </w:r>
    </w:p>
    <w:p w14:paraId="0E2C3F55" w14:textId="77777777" w:rsidR="00500137" w:rsidRPr="00C1082B" w:rsidRDefault="00500137" w:rsidP="00DA28CB">
      <w:pPr>
        <w:pStyle w:val="ListParagraph"/>
        <w:numPr>
          <w:ilvl w:val="0"/>
          <w:numId w:val="175"/>
        </w:numPr>
        <w:spacing w:after="160" w:line="259" w:lineRule="auto"/>
      </w:pPr>
      <w:r w:rsidRPr="00C1082B">
        <w:rPr>
          <w:lang w:val="en-GB"/>
        </w:rPr>
        <w:t>UK Health and Safety Executive</w:t>
      </w:r>
      <w:r w:rsidRPr="00C1082B">
        <w:rPr>
          <w:rFonts w:cs="Arial"/>
          <w:lang w:val="en-GB"/>
        </w:rPr>
        <w:t>  </w:t>
      </w:r>
      <w:r w:rsidRPr="00C1082B">
        <w:rPr>
          <w:rFonts w:cs="Arial"/>
        </w:rPr>
        <w:t> </w:t>
      </w:r>
      <w:r w:rsidRPr="00C1082B">
        <w:t> </w:t>
      </w:r>
    </w:p>
    <w:p w14:paraId="5286670F" w14:textId="77777777" w:rsidR="00500137" w:rsidRPr="00C1082B" w:rsidRDefault="00500137" w:rsidP="00DA28CB">
      <w:pPr>
        <w:pStyle w:val="ListParagraph"/>
        <w:numPr>
          <w:ilvl w:val="0"/>
          <w:numId w:val="175"/>
        </w:numPr>
        <w:spacing w:after="160" w:line="259" w:lineRule="auto"/>
      </w:pPr>
      <w:r w:rsidRPr="00C1082B">
        <w:rPr>
          <w:lang w:val="en-GB"/>
        </w:rPr>
        <w:t>Australian Institute of Occupational Hygienists (AIOH) position papers – recommendations for WES</w:t>
      </w:r>
      <w:r w:rsidRPr="00C1082B">
        <w:rPr>
          <w:rFonts w:cs="Arial"/>
          <w:lang w:val="en-GB"/>
        </w:rPr>
        <w:t> </w:t>
      </w:r>
      <w:r w:rsidRPr="00C1082B">
        <w:rPr>
          <w:rFonts w:cs="Arial"/>
        </w:rPr>
        <w:t> </w:t>
      </w:r>
      <w:r w:rsidRPr="00C1082B">
        <w:t> </w:t>
      </w:r>
    </w:p>
    <w:p w14:paraId="092C99B9" w14:textId="77777777" w:rsidR="00500137" w:rsidRDefault="00500137" w:rsidP="00DA28CB">
      <w:pPr>
        <w:pStyle w:val="ListParagraph"/>
        <w:numPr>
          <w:ilvl w:val="0"/>
          <w:numId w:val="175"/>
        </w:numPr>
        <w:spacing w:after="160" w:line="259" w:lineRule="auto"/>
      </w:pPr>
      <w:r w:rsidRPr="00C1082B">
        <w:rPr>
          <w:lang w:val="en-GB"/>
        </w:rPr>
        <w:t>Nordic Council: The Nordic Expert Group for Criteria Documentation of Health Risks of Chemicals</w:t>
      </w:r>
      <w:r w:rsidRPr="00C1082B">
        <w:rPr>
          <w:rFonts w:cs="Arial"/>
          <w:lang w:val="en-GB"/>
        </w:rPr>
        <w:t> </w:t>
      </w:r>
      <w:r w:rsidRPr="00C1082B">
        <w:rPr>
          <w:rFonts w:cs="Arial"/>
        </w:rPr>
        <w:t> </w:t>
      </w:r>
      <w:r w:rsidRPr="00C1082B">
        <w:t> </w:t>
      </w:r>
    </w:p>
    <w:p w14:paraId="0F11F792" w14:textId="77777777" w:rsidR="00500137" w:rsidRDefault="00500137" w:rsidP="00500137">
      <w:pPr>
        <w:rPr>
          <w:lang w:val="en-GB"/>
        </w:rPr>
      </w:pPr>
      <w:r w:rsidRPr="00D766D8">
        <w:rPr>
          <w:i/>
          <w:iCs/>
        </w:rPr>
        <w:t>Group B</w:t>
      </w:r>
      <w:r>
        <w:t xml:space="preserve"> secondary sources are used if key information </w:t>
      </w:r>
      <w:r w:rsidRPr="00C1082B">
        <w:rPr>
          <w:lang w:val="en-GB"/>
        </w:rPr>
        <w:t>for recommending an exposure limit is lacking from primary source documentation or to clarify and resolve inconsistencies in data present or interpreted by primary sources</w:t>
      </w:r>
      <w:r>
        <w:rPr>
          <w:lang w:val="en-GB"/>
        </w:rPr>
        <w:t>. Agreed Group B secondary sources include:</w:t>
      </w:r>
    </w:p>
    <w:p w14:paraId="3F5359B5" w14:textId="77777777" w:rsidR="00500137" w:rsidRPr="00C1082B" w:rsidRDefault="00500137" w:rsidP="00DA28CB">
      <w:pPr>
        <w:pStyle w:val="ListParagraph"/>
        <w:numPr>
          <w:ilvl w:val="0"/>
          <w:numId w:val="176"/>
        </w:numPr>
        <w:spacing w:after="160" w:line="259" w:lineRule="auto"/>
      </w:pPr>
      <w:r w:rsidRPr="00C1082B">
        <w:rPr>
          <w:lang w:val="en-GB"/>
        </w:rPr>
        <w:t>National Industrial Chemicals Notification and Assessment Scheme (NICNAS)</w:t>
      </w:r>
      <w:r>
        <w:rPr>
          <w:lang w:val="en-GB"/>
        </w:rPr>
        <w:t xml:space="preserve">, </w:t>
      </w:r>
      <w:r w:rsidRPr="00C1082B">
        <w:rPr>
          <w:i/>
          <w:iCs/>
          <w:lang w:val="en-GB"/>
        </w:rPr>
        <w:t>now</w:t>
      </w:r>
      <w:r w:rsidRPr="00C1082B">
        <w:rPr>
          <w:lang w:val="en-GB"/>
        </w:rPr>
        <w:t> the Australian Industrial Chemicals Introduction Scheme (AICIS)</w:t>
      </w:r>
    </w:p>
    <w:p w14:paraId="7BA53B09" w14:textId="77777777" w:rsidR="00500137" w:rsidRPr="00C1082B" w:rsidRDefault="00500137" w:rsidP="00DA28CB">
      <w:pPr>
        <w:pStyle w:val="ListParagraph"/>
        <w:numPr>
          <w:ilvl w:val="0"/>
          <w:numId w:val="176"/>
        </w:numPr>
        <w:spacing w:after="160" w:line="259" w:lineRule="auto"/>
      </w:pPr>
      <w:r w:rsidRPr="00C1082B">
        <w:rPr>
          <w:lang w:val="en-GB"/>
        </w:rPr>
        <w:t>Australian Pesticides and Veterinary Medicines Authority (APVMA)</w:t>
      </w:r>
      <w:r w:rsidRPr="00C1082B">
        <w:rPr>
          <w:rFonts w:cs="Arial"/>
        </w:rPr>
        <w:t> </w:t>
      </w:r>
      <w:r w:rsidRPr="00C1082B">
        <w:t> </w:t>
      </w:r>
    </w:p>
    <w:p w14:paraId="0CD6B0A6" w14:textId="77777777" w:rsidR="00500137" w:rsidRPr="00C1082B" w:rsidRDefault="00500137" w:rsidP="00DA28CB">
      <w:pPr>
        <w:pStyle w:val="ListParagraph"/>
        <w:numPr>
          <w:ilvl w:val="0"/>
          <w:numId w:val="176"/>
        </w:numPr>
        <w:spacing w:after="160" w:line="259" w:lineRule="auto"/>
      </w:pPr>
      <w:r w:rsidRPr="00C1082B">
        <w:rPr>
          <w:lang w:val="en-GB"/>
        </w:rPr>
        <w:t>The European Chemicals Agency (ECHA)</w:t>
      </w:r>
      <w:r w:rsidRPr="00C1082B">
        <w:rPr>
          <w:rFonts w:cs="Arial"/>
          <w:lang w:val="en-GB"/>
        </w:rPr>
        <w:t> </w:t>
      </w:r>
      <w:r w:rsidRPr="00C1082B">
        <w:rPr>
          <w:rFonts w:cs="Arial"/>
        </w:rPr>
        <w:t> </w:t>
      </w:r>
      <w:r w:rsidRPr="00C1082B">
        <w:t> </w:t>
      </w:r>
    </w:p>
    <w:p w14:paraId="234384D5" w14:textId="77777777" w:rsidR="00500137" w:rsidRPr="00C1082B" w:rsidRDefault="00500137" w:rsidP="00DA28CB">
      <w:pPr>
        <w:pStyle w:val="ListParagraph"/>
        <w:numPr>
          <w:ilvl w:val="0"/>
          <w:numId w:val="176"/>
        </w:numPr>
        <w:spacing w:after="160" w:line="259" w:lineRule="auto"/>
      </w:pPr>
      <w:r w:rsidRPr="00C1082B">
        <w:rPr>
          <w:lang w:val="en-GB"/>
        </w:rPr>
        <w:t>The International Agency for Research on Cancer (IARC)</w:t>
      </w:r>
      <w:r w:rsidRPr="00C1082B">
        <w:rPr>
          <w:rFonts w:cs="Arial"/>
          <w:lang w:val="en-GB"/>
        </w:rPr>
        <w:t>  </w:t>
      </w:r>
      <w:r w:rsidRPr="00C1082B">
        <w:rPr>
          <w:rFonts w:cs="Arial"/>
        </w:rPr>
        <w:t> </w:t>
      </w:r>
      <w:r w:rsidRPr="00C1082B">
        <w:t> </w:t>
      </w:r>
    </w:p>
    <w:p w14:paraId="704B9F84" w14:textId="77777777" w:rsidR="00500137" w:rsidRPr="00C1082B" w:rsidRDefault="00500137" w:rsidP="00DA28CB">
      <w:pPr>
        <w:pStyle w:val="ListParagraph"/>
        <w:numPr>
          <w:ilvl w:val="0"/>
          <w:numId w:val="176"/>
        </w:numPr>
        <w:spacing w:after="160" w:line="259" w:lineRule="auto"/>
      </w:pPr>
      <w:r w:rsidRPr="00C1082B">
        <w:rPr>
          <w:lang w:val="en-GB"/>
        </w:rPr>
        <w:t>National Toxicology Program (NTP)</w:t>
      </w:r>
      <w:r w:rsidRPr="00C1082B">
        <w:rPr>
          <w:rFonts w:cs="Arial"/>
          <w:lang w:val="en-GB"/>
        </w:rPr>
        <w:t> </w:t>
      </w:r>
      <w:r w:rsidRPr="00C1082B">
        <w:rPr>
          <w:rFonts w:cs="Arial"/>
        </w:rPr>
        <w:t> </w:t>
      </w:r>
      <w:r w:rsidRPr="00C1082B">
        <w:t> </w:t>
      </w:r>
    </w:p>
    <w:p w14:paraId="20337760" w14:textId="77777777" w:rsidR="00500137" w:rsidRPr="00C1082B" w:rsidRDefault="00500137" w:rsidP="00DA28CB">
      <w:pPr>
        <w:pStyle w:val="ListParagraph"/>
        <w:numPr>
          <w:ilvl w:val="0"/>
          <w:numId w:val="176"/>
        </w:numPr>
        <w:spacing w:after="160" w:line="259" w:lineRule="auto"/>
      </w:pPr>
      <w:r w:rsidRPr="00C1082B">
        <w:rPr>
          <w:lang w:val="en-GB"/>
        </w:rPr>
        <w:lastRenderedPageBreak/>
        <w:t>US Environmental Protection Agency (US EPA)</w:t>
      </w:r>
      <w:r w:rsidRPr="00C1082B">
        <w:rPr>
          <w:rFonts w:cs="Arial"/>
          <w:lang w:val="en-GB"/>
        </w:rPr>
        <w:t> </w:t>
      </w:r>
      <w:r w:rsidRPr="00C1082B">
        <w:rPr>
          <w:rFonts w:cs="Arial"/>
        </w:rPr>
        <w:t> </w:t>
      </w:r>
      <w:r w:rsidRPr="00C1082B">
        <w:t> </w:t>
      </w:r>
    </w:p>
    <w:p w14:paraId="480229A5" w14:textId="77777777" w:rsidR="00500137" w:rsidRDefault="00500137" w:rsidP="00DA28CB">
      <w:pPr>
        <w:pStyle w:val="ListParagraph"/>
        <w:numPr>
          <w:ilvl w:val="0"/>
          <w:numId w:val="176"/>
        </w:numPr>
        <w:spacing w:after="160" w:line="259" w:lineRule="auto"/>
      </w:pPr>
      <w:r w:rsidRPr="00C1082B">
        <w:rPr>
          <w:lang w:val="en-GB"/>
        </w:rPr>
        <w:t>Organisation for Economic Cooperation and Development (OECD)</w:t>
      </w:r>
      <w:r w:rsidRPr="00C1082B">
        <w:rPr>
          <w:rFonts w:cs="Arial"/>
          <w:lang w:val="en-GB"/>
        </w:rPr>
        <w:t> </w:t>
      </w:r>
      <w:r w:rsidRPr="00C1082B">
        <w:rPr>
          <w:rFonts w:cs="Arial"/>
        </w:rPr>
        <w:t> </w:t>
      </w:r>
      <w:r w:rsidRPr="00C1082B">
        <w:t> </w:t>
      </w:r>
    </w:p>
    <w:p w14:paraId="0AC61929" w14:textId="00C606DE" w:rsidR="005E04AA" w:rsidRDefault="00500137" w:rsidP="00DA28CB">
      <w:pPr>
        <w:pStyle w:val="ListParagraph"/>
        <w:numPr>
          <w:ilvl w:val="0"/>
          <w:numId w:val="176"/>
        </w:numPr>
        <w:spacing w:after="160" w:line="259" w:lineRule="auto"/>
      </w:pPr>
      <w:r w:rsidRPr="00500137">
        <w:rPr>
          <w:lang w:val="en-GB"/>
        </w:rPr>
        <w:t>US National Institute for Occupational Safety and Health (NIOSH)</w:t>
      </w:r>
      <w:r w:rsidRPr="00500137">
        <w:rPr>
          <w:rFonts w:cs="Arial"/>
          <w:lang w:val="en-GB"/>
        </w:rPr>
        <w:t> </w:t>
      </w:r>
      <w:r w:rsidRPr="00500137">
        <w:rPr>
          <w:rFonts w:cs="Arial"/>
        </w:rPr>
        <w:t> </w:t>
      </w:r>
      <w:r w:rsidRPr="00C1082B">
        <w:t> </w:t>
      </w:r>
    </w:p>
    <w:p w14:paraId="4B8A286C" w14:textId="050E295C" w:rsidR="00731514" w:rsidRDefault="00166095" w:rsidP="00195AF2">
      <w:pPr>
        <w:pStyle w:val="SWAHeading2"/>
        <w:numPr>
          <w:ilvl w:val="0"/>
          <w:numId w:val="0"/>
        </w:numPr>
        <w:spacing w:before="120"/>
      </w:pPr>
      <w:bookmarkStart w:id="635" w:name="_Toc219216931"/>
      <w:r>
        <w:t>Weight of evidence approach</w:t>
      </w:r>
      <w:bookmarkEnd w:id="635"/>
    </w:p>
    <w:p w14:paraId="7A1F9A29" w14:textId="79EABE70" w:rsidR="008B060C" w:rsidRDefault="002D3207" w:rsidP="008B060C">
      <w:pPr>
        <w:spacing w:after="160" w:line="259" w:lineRule="auto"/>
      </w:pPr>
      <w:r>
        <w:t xml:space="preserve">The evaluation process </w:t>
      </w:r>
      <w:r w:rsidR="005B4D9C">
        <w:t>followed the methodology</w:t>
      </w:r>
      <w:r w:rsidR="00DA37BB">
        <w:rPr>
          <w:rStyle w:val="FootnoteReference"/>
        </w:rPr>
        <w:footnoteReference w:id="334"/>
      </w:r>
      <w:r w:rsidR="005B4D9C">
        <w:t xml:space="preserve"> agreed by WHS ministers and </w:t>
      </w:r>
      <w:r>
        <w:t>involve</w:t>
      </w:r>
      <w:r w:rsidR="00C75ADF">
        <w:t xml:space="preserve">d </w:t>
      </w:r>
      <w:r w:rsidR="00420133">
        <w:t>consideration of</w:t>
      </w:r>
      <w:r w:rsidR="004468F5">
        <w:t xml:space="preserve"> all available</w:t>
      </w:r>
      <w:r w:rsidR="00420133">
        <w:t xml:space="preserve"> </w:t>
      </w:r>
      <w:r w:rsidR="001D4E84">
        <w:t xml:space="preserve">health evidence </w:t>
      </w:r>
      <w:r w:rsidR="004468F5">
        <w:t>reports</w:t>
      </w:r>
      <w:r w:rsidR="00C75ADF">
        <w:t xml:space="preserve"> </w:t>
      </w:r>
      <w:r w:rsidR="004468F5">
        <w:t>published by</w:t>
      </w:r>
      <w:r w:rsidR="00C75ADF">
        <w:t xml:space="preserve"> the primary </w:t>
      </w:r>
      <w:r w:rsidR="00290B5D">
        <w:t xml:space="preserve">source (and </w:t>
      </w:r>
      <w:r w:rsidR="00733A73">
        <w:t>those</w:t>
      </w:r>
      <w:r w:rsidR="00C75ADF">
        <w:t xml:space="preserve"> from secondary </w:t>
      </w:r>
      <w:r w:rsidR="00733A73">
        <w:t>sources (</w:t>
      </w:r>
      <w:r w:rsidR="00290B5D">
        <w:t xml:space="preserve">where </w:t>
      </w:r>
      <w:r w:rsidR="001D4E84">
        <w:t xml:space="preserve">available and </w:t>
      </w:r>
      <w:r w:rsidR="00290B5D">
        <w:t>required)</w:t>
      </w:r>
      <w:r w:rsidR="001D4E84">
        <w:t>)</w:t>
      </w:r>
      <w:r w:rsidR="00290B5D">
        <w:t xml:space="preserve">. </w:t>
      </w:r>
      <w:r w:rsidR="006115F5">
        <w:t>Where</w:t>
      </w:r>
      <w:r w:rsidR="00C75ADF">
        <w:t xml:space="preserve"> sources</w:t>
      </w:r>
      <w:r w:rsidR="00C51594">
        <w:t xml:space="preserve"> </w:t>
      </w:r>
      <w:r w:rsidR="002468E0">
        <w:t xml:space="preserve">had differing </w:t>
      </w:r>
      <w:r w:rsidR="001D4E84">
        <w:t>health-based recommendations</w:t>
      </w:r>
      <w:r w:rsidR="002468E0">
        <w:t xml:space="preserve">, </w:t>
      </w:r>
      <w:r w:rsidR="00AA5C71">
        <w:t>further consideration was given</w:t>
      </w:r>
      <w:r w:rsidR="00C51594">
        <w:t xml:space="preserve"> to </w:t>
      </w:r>
      <w:r w:rsidR="00D45C2F">
        <w:t>the underlying data in the reports, including</w:t>
      </w:r>
      <w:r w:rsidR="005B4EDA">
        <w:t xml:space="preserve"> </w:t>
      </w:r>
      <w:r w:rsidR="00D45C2F">
        <w:t xml:space="preserve">any </w:t>
      </w:r>
      <w:r w:rsidR="005B4EDA">
        <w:t xml:space="preserve">differences in </w:t>
      </w:r>
      <w:r w:rsidR="006956E1">
        <w:t>the</w:t>
      </w:r>
      <w:r w:rsidR="005B4EDA">
        <w:t xml:space="preserve"> data or </w:t>
      </w:r>
      <w:r w:rsidR="0012675B">
        <w:t>its</w:t>
      </w:r>
      <w:r w:rsidR="005B4EDA">
        <w:t xml:space="preserve"> interpretation</w:t>
      </w:r>
      <w:r w:rsidR="00D45C2F">
        <w:t>,</w:t>
      </w:r>
      <w:r w:rsidR="005B4EDA">
        <w:t xml:space="preserve"> and the age and quality of the data.</w:t>
      </w:r>
      <w:r w:rsidR="007128FA">
        <w:t xml:space="preserve"> Expert judgement using a weight of evidence approach was then applied in recommending </w:t>
      </w:r>
      <w:r w:rsidR="0016590E">
        <w:t>a</w:t>
      </w:r>
      <w:r w:rsidR="007128FA">
        <w:t xml:space="preserve"> WEL.</w:t>
      </w:r>
    </w:p>
    <w:p w14:paraId="2502D6C3" w14:textId="3BE60E1C" w:rsidR="004B2067" w:rsidRDefault="004B2067">
      <w:pPr>
        <w:spacing w:after="200" w:line="276" w:lineRule="auto"/>
        <w:contextualSpacing w:val="0"/>
        <w:rPr>
          <w:rFonts w:cs="Arial"/>
          <w:b/>
          <w:bCs/>
          <w:sz w:val="40"/>
          <w:szCs w:val="40"/>
        </w:rPr>
      </w:pPr>
    </w:p>
    <w:p w14:paraId="4EC078E6" w14:textId="75BAFAFF" w:rsidR="00FC4D28" w:rsidRDefault="00FC4D28" w:rsidP="007624BD">
      <w:pPr>
        <w:pStyle w:val="SWAHeading1"/>
        <w:numPr>
          <w:ilvl w:val="0"/>
          <w:numId w:val="0"/>
        </w:numPr>
        <w:ind w:left="567" w:hanging="567"/>
      </w:pPr>
      <w:bookmarkStart w:id="636" w:name="AppendixC_Methodology"/>
      <w:bookmarkStart w:id="637" w:name="_Toc219216932"/>
      <w:bookmarkEnd w:id="636"/>
      <w:r>
        <w:lastRenderedPageBreak/>
        <w:t xml:space="preserve">Appendix </w:t>
      </w:r>
      <w:r w:rsidR="00006136">
        <w:t>C</w:t>
      </w:r>
      <w:r w:rsidR="00C05E73">
        <w:t xml:space="preserve"> </w:t>
      </w:r>
      <w:r>
        <w:t>– Impact analysis methodology</w:t>
      </w:r>
      <w:bookmarkEnd w:id="637"/>
    </w:p>
    <w:p w14:paraId="6C4ED148" w14:textId="31C284D7" w:rsidR="00D70225" w:rsidRPr="00D05CA7" w:rsidRDefault="00D70225" w:rsidP="00D70225">
      <w:pPr>
        <w:pStyle w:val="Sectionintroduction"/>
        <w:rPr>
          <w:rFonts w:asciiTheme="minorHAnsi" w:hAnsiTheme="minorHAnsi" w:cstheme="minorHAnsi"/>
          <w:color w:val="auto"/>
          <w:sz w:val="22"/>
          <w:szCs w:val="22"/>
        </w:rPr>
      </w:pPr>
      <w:r w:rsidRPr="00D05CA7">
        <w:rPr>
          <w:rFonts w:asciiTheme="minorHAnsi" w:hAnsiTheme="minorHAnsi" w:cstheme="minorHAnsi"/>
          <w:color w:val="auto"/>
          <w:sz w:val="22"/>
          <w:szCs w:val="22"/>
        </w:rPr>
        <w:t xml:space="preserve">This </w:t>
      </w:r>
      <w:r>
        <w:rPr>
          <w:rFonts w:asciiTheme="minorHAnsi" w:hAnsiTheme="minorHAnsi" w:cstheme="minorHAnsi"/>
          <w:color w:val="auto"/>
          <w:sz w:val="22"/>
          <w:szCs w:val="22"/>
        </w:rPr>
        <w:t>appendix</w:t>
      </w:r>
      <w:r w:rsidRPr="00D05CA7" w:rsidDel="00D70225">
        <w:rPr>
          <w:rFonts w:asciiTheme="minorHAnsi" w:hAnsiTheme="minorHAnsi" w:cstheme="minorHAnsi"/>
          <w:color w:val="auto"/>
          <w:sz w:val="22"/>
          <w:szCs w:val="22"/>
        </w:rPr>
        <w:t xml:space="preserve"> </w:t>
      </w:r>
      <w:r w:rsidRPr="00D05CA7">
        <w:rPr>
          <w:rFonts w:asciiTheme="minorHAnsi" w:hAnsiTheme="minorHAnsi" w:cstheme="minorHAnsi"/>
          <w:color w:val="auto"/>
          <w:sz w:val="22"/>
          <w:szCs w:val="22"/>
        </w:rPr>
        <w:t>defines the Base Case and Intervention Cases</w:t>
      </w:r>
      <w:r w:rsidRPr="00D05CA7">
        <w:rPr>
          <w:color w:val="auto"/>
          <w:sz w:val="22"/>
          <w:szCs w:val="22"/>
        </w:rPr>
        <w:t xml:space="preserve"> </w:t>
      </w:r>
      <w:r w:rsidRPr="00D05CA7">
        <w:rPr>
          <w:rFonts w:asciiTheme="minorHAnsi" w:hAnsiTheme="minorHAnsi" w:cstheme="minorHAnsi"/>
          <w:color w:val="auto"/>
          <w:sz w:val="22"/>
          <w:szCs w:val="22"/>
        </w:rPr>
        <w:t>underpinning the impact analysis. It also presents the inputs, parameters and methodologies used to estimate the impacts of the proposed WEL, including the number of affected businesses and workers, the costs to businesses of compliance, and the direct and indirect benefits of reduced occupational disease. This includes discussion of the key assumptions underpinning these estimates and the limitations of this analysis.</w:t>
      </w:r>
    </w:p>
    <w:p w14:paraId="26BFA8AD" w14:textId="77777777" w:rsidR="00D70225" w:rsidRPr="00993B73" w:rsidRDefault="00D70225" w:rsidP="00D70225">
      <w:pPr>
        <w:pStyle w:val="SWAHeading2"/>
        <w:numPr>
          <w:ilvl w:val="0"/>
          <w:numId w:val="0"/>
        </w:numPr>
      </w:pPr>
      <w:bookmarkStart w:id="638" w:name="_Ref177481311"/>
      <w:bookmarkStart w:id="639" w:name="_Toc191647949"/>
      <w:bookmarkStart w:id="640" w:name="_Toc193867309"/>
      <w:bookmarkStart w:id="641" w:name="_Toc194003945"/>
      <w:bookmarkStart w:id="642" w:name="_Toc199184034"/>
      <w:bookmarkStart w:id="643" w:name="_Toc199361180"/>
      <w:bookmarkStart w:id="644" w:name="_Toc219216933"/>
      <w:r w:rsidRPr="00993B73">
        <w:t>Base Case and Intervention Cases definition</w:t>
      </w:r>
      <w:bookmarkEnd w:id="638"/>
      <w:bookmarkEnd w:id="639"/>
      <w:bookmarkEnd w:id="640"/>
      <w:bookmarkEnd w:id="641"/>
      <w:bookmarkEnd w:id="642"/>
      <w:bookmarkEnd w:id="643"/>
      <w:bookmarkEnd w:id="644"/>
    </w:p>
    <w:p w14:paraId="21B6AF85" w14:textId="77777777" w:rsidR="00D70225" w:rsidRPr="00993B73" w:rsidRDefault="00D70225" w:rsidP="00D70225">
      <w:pPr>
        <w:pStyle w:val="SWAHeading3"/>
      </w:pPr>
      <w:bookmarkStart w:id="645" w:name="_Ref177551439"/>
      <w:r w:rsidRPr="00993B73">
        <w:t>Base Case definition</w:t>
      </w:r>
      <w:bookmarkEnd w:id="645"/>
    </w:p>
    <w:p w14:paraId="78783D68" w14:textId="24C8746F" w:rsidR="00D70225" w:rsidRPr="00993B73" w:rsidRDefault="00D70225" w:rsidP="00D70225">
      <w:pPr>
        <w:rPr>
          <w:lang w:eastAsia="en-AU"/>
        </w:rPr>
      </w:pPr>
      <w:r w:rsidRPr="00993B73">
        <w:rPr>
          <w:lang w:eastAsia="en-AU"/>
        </w:rPr>
        <w:t>This impact analysis assumes a ‘business as usual’ Base Case, against which the incremental costs and benefits of the Intervention Cases are estimated for each chemical. The Base Case represents the maintenance of the current WES for the nine chemicals</w:t>
      </w:r>
      <w:r>
        <w:rPr>
          <w:lang w:eastAsia="en-AU"/>
        </w:rPr>
        <w:t xml:space="preserve"> subject to this regulatory impact analysis</w:t>
      </w:r>
      <w:r w:rsidRPr="00993B73">
        <w:rPr>
          <w:lang w:eastAsia="en-AU"/>
        </w:rPr>
        <w:t xml:space="preserve"> (</w:t>
      </w:r>
      <w:r w:rsidR="00CF68BA">
        <w:rPr>
          <w:lang w:eastAsia="en-AU"/>
        </w:rPr>
        <w:fldChar w:fldCharType="begin"/>
      </w:r>
      <w:r w:rsidR="00CF68BA">
        <w:rPr>
          <w:lang w:eastAsia="en-AU"/>
        </w:rPr>
        <w:instrText xml:space="preserve"> REF _Ref199839947 \h </w:instrText>
      </w:r>
      <w:r w:rsidR="00CF68BA">
        <w:rPr>
          <w:lang w:eastAsia="en-AU"/>
        </w:rPr>
      </w:r>
      <w:r w:rsidR="00CF68BA">
        <w:rPr>
          <w:lang w:eastAsia="en-AU"/>
        </w:rPr>
        <w:fldChar w:fldCharType="separate"/>
      </w:r>
      <w:r w:rsidR="00A002F4">
        <w:t xml:space="preserve">Table </w:t>
      </w:r>
      <w:r w:rsidR="00A002F4">
        <w:rPr>
          <w:noProof/>
        </w:rPr>
        <w:t>3</w:t>
      </w:r>
      <w:r w:rsidR="00CF68BA">
        <w:rPr>
          <w:lang w:eastAsia="en-AU"/>
        </w:rPr>
        <w:fldChar w:fldCharType="end"/>
      </w:r>
      <w:r w:rsidRPr="00993B73">
        <w:rPr>
          <w:lang w:eastAsia="en-AU"/>
        </w:rPr>
        <w:t xml:space="preserve">), as well as other relevant policy settings as of </w:t>
      </w:r>
      <w:r>
        <w:rPr>
          <w:lang w:eastAsia="en-AU"/>
        </w:rPr>
        <w:t>4</w:t>
      </w:r>
      <w:r w:rsidRPr="00993B73">
        <w:rPr>
          <w:lang w:eastAsia="en-AU"/>
        </w:rPr>
        <w:t xml:space="preserve"> March 2025, which implicitly assumes that:</w:t>
      </w:r>
    </w:p>
    <w:p w14:paraId="37D8B28C" w14:textId="77777777" w:rsidR="00D70225" w:rsidRPr="00993B73" w:rsidRDefault="00D70225" w:rsidP="00A2768E">
      <w:pPr>
        <w:pStyle w:val="ListParagraph"/>
        <w:numPr>
          <w:ilvl w:val="0"/>
          <w:numId w:val="94"/>
        </w:numPr>
        <w:suppressAutoHyphens/>
        <w:spacing w:line="259" w:lineRule="auto"/>
        <w:contextualSpacing w:val="0"/>
      </w:pPr>
      <w:r w:rsidRPr="00993B73">
        <w:t xml:space="preserve">all businesses comply with the current WES for each of the nine chemicals, </w:t>
      </w:r>
    </w:p>
    <w:p w14:paraId="0F4670C4" w14:textId="77777777" w:rsidR="00D70225" w:rsidRPr="00993B73" w:rsidRDefault="00D70225" w:rsidP="00A2768E">
      <w:pPr>
        <w:pStyle w:val="ListParagraph"/>
        <w:numPr>
          <w:ilvl w:val="0"/>
          <w:numId w:val="94"/>
        </w:numPr>
        <w:suppressAutoHyphens/>
        <w:spacing w:line="259" w:lineRule="auto"/>
        <w:contextualSpacing w:val="0"/>
      </w:pPr>
      <w:r w:rsidRPr="00993B73">
        <w:t xml:space="preserve">all businesses comply with the recent changes to regulations for </w:t>
      </w:r>
      <w:r>
        <w:t xml:space="preserve">the processing of </w:t>
      </w:r>
      <w:r w:rsidRPr="00993B73">
        <w:t>silica-containing substances,</w:t>
      </w:r>
    </w:p>
    <w:p w14:paraId="1C60C2C2" w14:textId="77777777" w:rsidR="00D70225" w:rsidRPr="00993B73" w:rsidRDefault="00D70225" w:rsidP="00A2768E">
      <w:pPr>
        <w:pStyle w:val="ListParagraph"/>
        <w:numPr>
          <w:ilvl w:val="0"/>
          <w:numId w:val="94"/>
        </w:numPr>
        <w:suppressAutoHyphens/>
        <w:spacing w:line="259" w:lineRule="auto"/>
        <w:contextualSpacing w:val="0"/>
      </w:pPr>
      <w:r>
        <w:t xml:space="preserve">all businesses </w:t>
      </w:r>
      <w:r w:rsidRPr="00993B73">
        <w:t xml:space="preserve">fulfill their obligations </w:t>
      </w:r>
      <w:r>
        <w:t>under</w:t>
      </w:r>
      <w:r w:rsidRPr="00993B73">
        <w:t xml:space="preserve"> the model WHS Act.</w:t>
      </w:r>
    </w:p>
    <w:p w14:paraId="471C3EC1" w14:textId="77777777" w:rsidR="00D70225" w:rsidRPr="00993B73" w:rsidRDefault="00D70225" w:rsidP="00D70225">
      <w:pPr>
        <w:rPr>
          <w:lang w:eastAsia="en-AU"/>
        </w:rPr>
      </w:pPr>
      <w:r w:rsidRPr="00993B73">
        <w:rPr>
          <w:lang w:eastAsia="en-AU"/>
        </w:rPr>
        <w:t>Further information on these policy settings is detailed below.</w:t>
      </w:r>
    </w:p>
    <w:p w14:paraId="21A04762" w14:textId="77777777" w:rsidR="00D70225" w:rsidRPr="00896A94" w:rsidRDefault="00D70225" w:rsidP="00896A94">
      <w:pPr>
        <w:spacing w:before="240"/>
        <w:contextualSpacing w:val="0"/>
        <w:rPr>
          <w:b/>
          <w:bCs/>
        </w:rPr>
      </w:pPr>
      <w:r w:rsidRPr="00896A94">
        <w:rPr>
          <w:b/>
          <w:bCs/>
        </w:rPr>
        <w:t>All businesses comply with the current WES for each chemical.</w:t>
      </w:r>
    </w:p>
    <w:p w14:paraId="1CDF4934" w14:textId="77777777" w:rsidR="00D70225" w:rsidRPr="00993B73" w:rsidRDefault="00D70225" w:rsidP="00896A94">
      <w:pPr>
        <w:contextualSpacing w:val="0"/>
        <w:rPr>
          <w:rFonts w:asciiTheme="minorHAnsi" w:hAnsiTheme="minorHAnsi" w:cstheme="minorHAnsi"/>
          <w:lang w:eastAsia="en-AU"/>
        </w:rPr>
      </w:pPr>
      <w:r w:rsidRPr="00993B73">
        <w:rPr>
          <w:rFonts w:asciiTheme="minorHAnsi" w:hAnsiTheme="minorHAnsi" w:cstheme="minorHAnsi"/>
          <w:lang w:eastAsia="en-AU"/>
        </w:rPr>
        <w:t xml:space="preserve">This analysis assumes that all businesses, where workers are exposed to any of the nine chemicals, are both aware of and comply with the current WES. This analysis focuses on the incremental regulatory costs of transitioning from the current WES to the proposed WEL. By default, this assumes businesses have already taken the necessary actions to comply with the current WES, including having in place the necessary control measures to minimise risk. </w:t>
      </w:r>
    </w:p>
    <w:p w14:paraId="3D08181F" w14:textId="77777777" w:rsidR="00D70225" w:rsidRPr="00896A94" w:rsidRDefault="00D70225" w:rsidP="00896A94">
      <w:pPr>
        <w:spacing w:before="240"/>
        <w:contextualSpacing w:val="0"/>
        <w:rPr>
          <w:b/>
          <w:bCs/>
        </w:rPr>
      </w:pPr>
      <w:r w:rsidRPr="00896A94">
        <w:rPr>
          <w:b/>
          <w:bCs/>
        </w:rPr>
        <w:t>All businesses comply with all changes to regulations for RCS.</w:t>
      </w:r>
    </w:p>
    <w:p w14:paraId="7A923AFE" w14:textId="2B893E0D" w:rsidR="00D70225" w:rsidRDefault="00D70225" w:rsidP="00D70225">
      <w:pPr>
        <w:spacing w:after="160"/>
        <w:rPr>
          <w:lang w:eastAsia="en-AU"/>
        </w:rPr>
      </w:pPr>
      <w:r w:rsidRPr="00993B73">
        <w:rPr>
          <w:lang w:eastAsia="en-AU"/>
        </w:rPr>
        <w:t xml:space="preserve">In response to the widely documented impacts of workplace exposure to </w:t>
      </w:r>
      <w:r>
        <w:rPr>
          <w:lang w:eastAsia="en-AU"/>
        </w:rPr>
        <w:t>RCS</w:t>
      </w:r>
      <w:r w:rsidRPr="00993B73">
        <w:rPr>
          <w:lang w:eastAsia="en-AU"/>
        </w:rPr>
        <w:t xml:space="preserve"> (particularly </w:t>
      </w:r>
      <w:r>
        <w:rPr>
          <w:lang w:eastAsia="en-AU"/>
        </w:rPr>
        <w:t xml:space="preserve">from </w:t>
      </w:r>
      <w:r w:rsidRPr="00993B73">
        <w:rPr>
          <w:lang w:eastAsia="en-AU"/>
        </w:rPr>
        <w:t xml:space="preserve">engineered stone products), </w:t>
      </w:r>
      <w:r>
        <w:rPr>
          <w:lang w:eastAsia="en-AU"/>
        </w:rPr>
        <w:t xml:space="preserve">the </w:t>
      </w:r>
      <w:r w:rsidR="00CF68BA">
        <w:rPr>
          <w:lang w:eastAsia="en-AU"/>
        </w:rPr>
        <w:t xml:space="preserve">Commonwealth, states and territory </w:t>
      </w:r>
      <w:r w:rsidR="00E419CE">
        <w:rPr>
          <w:lang w:eastAsia="en-AU"/>
        </w:rPr>
        <w:t>g</w:t>
      </w:r>
      <w:r>
        <w:rPr>
          <w:lang w:eastAsia="en-AU"/>
        </w:rPr>
        <w:t>overnment</w:t>
      </w:r>
      <w:r w:rsidR="00E419CE">
        <w:rPr>
          <w:lang w:eastAsia="en-AU"/>
        </w:rPr>
        <w:t>s</w:t>
      </w:r>
      <w:r>
        <w:rPr>
          <w:lang w:eastAsia="en-AU"/>
        </w:rPr>
        <w:t xml:space="preserve"> ha</w:t>
      </w:r>
      <w:r w:rsidR="00E419CE">
        <w:rPr>
          <w:lang w:eastAsia="en-AU"/>
        </w:rPr>
        <w:t>ve</w:t>
      </w:r>
      <w:r w:rsidRPr="00993B73">
        <w:rPr>
          <w:lang w:eastAsia="en-AU"/>
        </w:rPr>
        <w:t xml:space="preserve"> implemented several changes to regulations for </w:t>
      </w:r>
      <w:r>
        <w:rPr>
          <w:lang w:eastAsia="en-AU"/>
        </w:rPr>
        <w:t xml:space="preserve">RCS </w:t>
      </w:r>
      <w:r w:rsidRPr="00993B73">
        <w:rPr>
          <w:lang w:eastAsia="en-AU"/>
        </w:rPr>
        <w:t xml:space="preserve">(outlined below in the call-out box). This impact analysis assumes that all businesses have adopted and fully comply with these recent regulatory changes for </w:t>
      </w:r>
      <w:r>
        <w:rPr>
          <w:lang w:eastAsia="en-AU"/>
        </w:rPr>
        <w:t>RCS</w:t>
      </w:r>
      <w:r w:rsidRPr="00993B73">
        <w:rPr>
          <w:lang w:eastAsia="en-AU"/>
        </w:rPr>
        <w:t>.</w:t>
      </w:r>
      <w:r>
        <w:rPr>
          <w:lang w:eastAsia="en-AU"/>
        </w:rPr>
        <w:t xml:space="preserve"> These regulations form the baseline scenario against which the proposed WEL impacts are assessed, meaning that only incremental costs and benefits beyond existing requirements should be attributed to the transition from the current WES to the proposed WEL for RCS.</w:t>
      </w:r>
    </w:p>
    <w:p w14:paraId="56EE2B64" w14:textId="77777777" w:rsidR="00D70225" w:rsidRPr="00993B73" w:rsidRDefault="00D70225" w:rsidP="00D70225">
      <w:pPr>
        <w:spacing w:after="160"/>
        <w:rPr>
          <w:lang w:eastAsia="en-AU"/>
        </w:rPr>
      </w:pPr>
    </w:p>
    <w:tbl>
      <w:tblPr>
        <w:tblStyle w:val="TableGrid"/>
        <w:tblW w:w="0" w:type="auto"/>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tblBorders>
        <w:shd w:val="clear" w:color="auto" w:fill="7F7F7F" w:themeFill="accent5"/>
        <w:tblLook w:val="04A0" w:firstRow="1" w:lastRow="0" w:firstColumn="1" w:lastColumn="0" w:noHBand="0" w:noVBand="1"/>
      </w:tblPr>
      <w:tblGrid>
        <w:gridCol w:w="8980"/>
      </w:tblGrid>
      <w:tr w:rsidR="00D70225" w:rsidRPr="006B7B7B" w14:paraId="16DD3A29" w14:textId="77777777">
        <w:trPr>
          <w:cantSplit/>
        </w:trPr>
        <w:tc>
          <w:tcPr>
            <w:tcW w:w="8980" w:type="dxa"/>
            <w:shd w:val="clear" w:color="auto" w:fill="DAE3F8" w:themeFill="accent1" w:themeFillTint="33"/>
          </w:tcPr>
          <w:p w14:paraId="0A0384C1" w14:textId="77777777" w:rsidR="00D70225" w:rsidRPr="006B7B7B" w:rsidRDefault="00D70225">
            <w:pPr>
              <w:spacing w:before="60"/>
              <w:contextualSpacing w:val="0"/>
              <w:rPr>
                <w:rFonts w:asciiTheme="majorHAnsi" w:hAnsiTheme="majorHAnsi" w:cstheme="majorHAnsi"/>
                <w:b/>
                <w:bCs/>
                <w:lang w:eastAsia="en-AU"/>
              </w:rPr>
            </w:pPr>
            <w:r w:rsidRPr="006B7B7B">
              <w:rPr>
                <w:rFonts w:asciiTheme="majorHAnsi" w:hAnsiTheme="majorHAnsi" w:cstheme="majorHAnsi"/>
                <w:b/>
                <w:bCs/>
                <w:lang w:eastAsia="en-AU"/>
              </w:rPr>
              <w:lastRenderedPageBreak/>
              <w:t>Recent changes to regulations for RCS</w:t>
            </w:r>
          </w:p>
          <w:p w14:paraId="4408A965" w14:textId="77777777" w:rsidR="00D70225" w:rsidRPr="00D05CA7" w:rsidRDefault="00D70225">
            <w:pPr>
              <w:spacing w:before="60"/>
              <w:contextualSpacing w:val="0"/>
              <w:rPr>
                <w:rFonts w:asciiTheme="majorHAnsi" w:hAnsiTheme="majorHAnsi" w:cstheme="majorHAnsi"/>
                <w:b/>
                <w:bCs/>
                <w:i/>
                <w:iCs/>
                <w:lang w:eastAsia="en-AU"/>
              </w:rPr>
            </w:pPr>
            <w:r w:rsidRPr="00D05CA7">
              <w:rPr>
                <w:rFonts w:asciiTheme="majorHAnsi" w:hAnsiTheme="majorHAnsi" w:cstheme="majorHAnsi"/>
                <w:b/>
                <w:bCs/>
                <w:i/>
                <w:iCs/>
                <w:lang w:eastAsia="en-AU"/>
              </w:rPr>
              <w:t>Engineered stone ban</w:t>
            </w:r>
          </w:p>
          <w:p w14:paraId="1B5753E5" w14:textId="77777777" w:rsidR="00D70225" w:rsidRPr="006B7B7B" w:rsidRDefault="00D70225">
            <w:pPr>
              <w:spacing w:before="60"/>
              <w:contextualSpacing w:val="0"/>
              <w:rPr>
                <w:lang w:eastAsia="en-AU"/>
              </w:rPr>
            </w:pPr>
            <w:r w:rsidRPr="006B7B7B">
              <w:rPr>
                <w:lang w:eastAsia="en-AU"/>
              </w:rPr>
              <w:t xml:space="preserve">On 1 July 2024, the ban on the manufacture, supply, processing and installation of engineered stone benchtops, panels and slabs came into effect. This ban applies to engineered stone benchtops, panels and slabs. The ban does not apply to legacy engineered stone products that are already installed and, for the purposes of disposal, engineered stone benchtops, panels and slabs whether installed or not. </w:t>
            </w:r>
          </w:p>
          <w:p w14:paraId="003A479F" w14:textId="77777777" w:rsidR="00D70225" w:rsidRPr="006B7B7B" w:rsidRDefault="00D70225">
            <w:pPr>
              <w:spacing w:before="60"/>
              <w:contextualSpacing w:val="0"/>
              <w:rPr>
                <w:lang w:eastAsia="en-AU"/>
              </w:rPr>
            </w:pPr>
            <w:r w:rsidRPr="006B7B7B">
              <w:rPr>
                <w:lang w:eastAsia="en-AU"/>
              </w:rPr>
              <w:t xml:space="preserve">On 1 January 2025, the ban on engineered stone importation also came into effect. </w:t>
            </w:r>
          </w:p>
          <w:p w14:paraId="56DA408E" w14:textId="77777777" w:rsidR="00D70225" w:rsidRPr="00D05CA7" w:rsidRDefault="00D70225">
            <w:pPr>
              <w:spacing w:before="60"/>
              <w:contextualSpacing w:val="0"/>
              <w:rPr>
                <w:rFonts w:asciiTheme="majorHAnsi" w:hAnsiTheme="majorHAnsi" w:cstheme="majorHAnsi"/>
                <w:b/>
                <w:bCs/>
                <w:i/>
                <w:iCs/>
                <w:lang w:eastAsia="en-AU"/>
              </w:rPr>
            </w:pPr>
            <w:r w:rsidRPr="00D05CA7">
              <w:rPr>
                <w:rFonts w:asciiTheme="majorHAnsi" w:hAnsiTheme="majorHAnsi" w:cstheme="majorHAnsi"/>
                <w:b/>
                <w:bCs/>
                <w:i/>
                <w:iCs/>
                <w:lang w:eastAsia="en-AU"/>
              </w:rPr>
              <w:t>Stronger regulation of crystalline silica substances</w:t>
            </w:r>
          </w:p>
          <w:p w14:paraId="0DEB5E5C" w14:textId="77777777" w:rsidR="00D70225" w:rsidRPr="006B7B7B" w:rsidRDefault="00D70225">
            <w:pPr>
              <w:spacing w:before="60"/>
              <w:contextualSpacing w:val="0"/>
              <w:rPr>
                <w:lang w:eastAsia="en-AU"/>
              </w:rPr>
            </w:pPr>
            <w:r w:rsidRPr="006B7B7B">
              <w:rPr>
                <w:lang w:eastAsia="en-AU"/>
              </w:rPr>
              <w:t xml:space="preserve">On 1 September 2024, stronger regulation of all crystalline silica substances containing more than 1 per cent silica (including marble, limestone, slate, shale, granite and sandstone) came into effect. These regulations require control measures for work involving processing engineered stone, porcelain products or sintered stone, including: </w:t>
            </w:r>
          </w:p>
          <w:p w14:paraId="198F97F6" w14:textId="77777777" w:rsidR="00D70225" w:rsidRPr="006B7B7B" w:rsidRDefault="00D70225" w:rsidP="00A2768E">
            <w:pPr>
              <w:pStyle w:val="ListParagraph"/>
              <w:numPr>
                <w:ilvl w:val="0"/>
                <w:numId w:val="96"/>
              </w:numPr>
              <w:suppressAutoHyphens/>
              <w:spacing w:before="60" w:line="240" w:lineRule="auto"/>
              <w:contextualSpacing w:val="0"/>
            </w:pPr>
            <w:r w:rsidRPr="006B7B7B">
              <w:t>Control measures to eliminate or minimise risks arising from the processing of stone products to be implemented as far as is reasonably practicable,</w:t>
            </w:r>
          </w:p>
          <w:p w14:paraId="34C5761C" w14:textId="77777777" w:rsidR="00D70225" w:rsidRPr="006B7B7B" w:rsidRDefault="00D70225" w:rsidP="00A2768E">
            <w:pPr>
              <w:pStyle w:val="ListParagraph"/>
              <w:numPr>
                <w:ilvl w:val="0"/>
                <w:numId w:val="96"/>
              </w:numPr>
              <w:suppressAutoHyphens/>
              <w:spacing w:before="60" w:line="240" w:lineRule="auto"/>
              <w:contextualSpacing w:val="0"/>
            </w:pPr>
            <w:r w:rsidRPr="006B7B7B">
              <w:t>At least one protection system must be used when a stone product is being processes, such as an effective local exhaust ventilation system, and</w:t>
            </w:r>
          </w:p>
          <w:p w14:paraId="1650DD6D" w14:textId="77777777" w:rsidR="00D70225" w:rsidRPr="006B7B7B" w:rsidRDefault="00D70225" w:rsidP="00A2768E">
            <w:pPr>
              <w:pStyle w:val="ListParagraph"/>
              <w:numPr>
                <w:ilvl w:val="0"/>
                <w:numId w:val="96"/>
              </w:numPr>
              <w:suppressAutoHyphens/>
              <w:spacing w:before="60" w:line="240" w:lineRule="auto"/>
              <w:contextualSpacing w:val="0"/>
            </w:pPr>
            <w:r w:rsidRPr="006B7B7B">
              <w:t xml:space="preserve">Each at-risk worker must be provided with respiratory protective equipment (RPE) and must wear this while work is being carried out. </w:t>
            </w:r>
          </w:p>
          <w:p w14:paraId="374B5C7D" w14:textId="77777777" w:rsidR="00D70225" w:rsidRPr="00D05CA7" w:rsidRDefault="00D70225">
            <w:pPr>
              <w:spacing w:before="60"/>
              <w:contextualSpacing w:val="0"/>
              <w:rPr>
                <w:rFonts w:asciiTheme="majorHAnsi" w:hAnsiTheme="majorHAnsi" w:cstheme="majorHAnsi"/>
                <w:b/>
                <w:bCs/>
                <w:i/>
                <w:iCs/>
                <w:lang w:eastAsia="en-AU"/>
              </w:rPr>
            </w:pPr>
            <w:r w:rsidRPr="00D05CA7">
              <w:rPr>
                <w:rFonts w:asciiTheme="majorHAnsi" w:hAnsiTheme="majorHAnsi" w:cstheme="majorHAnsi"/>
                <w:b/>
                <w:bCs/>
                <w:i/>
                <w:iCs/>
                <w:lang w:eastAsia="en-AU"/>
              </w:rPr>
              <w:t>Relevance to this impact assessment</w:t>
            </w:r>
          </w:p>
          <w:p w14:paraId="61280299" w14:textId="77777777" w:rsidR="00D70225" w:rsidRPr="00D05CA7" w:rsidRDefault="00D70225" w:rsidP="00A2768E">
            <w:pPr>
              <w:pStyle w:val="ListParagraph"/>
              <w:numPr>
                <w:ilvl w:val="0"/>
                <w:numId w:val="95"/>
              </w:numPr>
              <w:spacing w:line="240" w:lineRule="auto"/>
              <w:contextualSpacing w:val="0"/>
            </w:pPr>
            <w:r w:rsidRPr="00D05CA7">
              <w:t>The engineered stone ban may reduce the number of businesses affected by the proposed WEL changes, given the banning of a major source of high-risk RCS exposure (engineered stone). It may also mean that some benefits attributed to the proposed WEL may in fact occur as a result of the engineered stone ban.</w:t>
            </w:r>
          </w:p>
          <w:p w14:paraId="56F88398" w14:textId="77777777" w:rsidR="00D70225" w:rsidRPr="006B7B7B" w:rsidRDefault="00D70225" w:rsidP="00A2768E">
            <w:pPr>
              <w:pStyle w:val="ListParagraph"/>
              <w:numPr>
                <w:ilvl w:val="0"/>
                <w:numId w:val="95"/>
              </w:numPr>
              <w:spacing w:line="240" w:lineRule="auto"/>
              <w:contextualSpacing w:val="0"/>
            </w:pPr>
            <w:r w:rsidRPr="00D05CA7">
              <w:t>While implementing the hierarchy of controls is already a requirement, the stronger regulations for crystalline silica substances clarify how these controls must be applied and have established mandatory control measures (including ventilation systems and respiratory protection) that businesses must implement. The proposed WEL for RCS would only require businesses to evaluate whether these existing measures are sufficient or if additional controls are needed to meet the proposed WEL.</w:t>
            </w:r>
          </w:p>
        </w:tc>
      </w:tr>
    </w:tbl>
    <w:p w14:paraId="400CE580" w14:textId="77777777" w:rsidR="00D70225" w:rsidRPr="00896A94" w:rsidRDefault="00D70225" w:rsidP="00896A94">
      <w:pPr>
        <w:spacing w:before="240"/>
        <w:contextualSpacing w:val="0"/>
        <w:rPr>
          <w:b/>
          <w:bCs/>
        </w:rPr>
      </w:pPr>
      <w:r w:rsidRPr="00896A94">
        <w:rPr>
          <w:b/>
          <w:bCs/>
        </w:rPr>
        <w:t>Businesses fulfill their obligations under the model WHS Act.</w:t>
      </w:r>
    </w:p>
    <w:p w14:paraId="49CD3897" w14:textId="77777777" w:rsidR="00D70225" w:rsidRPr="00993B73" w:rsidRDefault="00D70225" w:rsidP="00D70225">
      <w:r w:rsidRPr="00993B73">
        <w:t xml:space="preserve">The Base Case assumes that </w:t>
      </w:r>
      <w:r>
        <w:t>businesses</w:t>
      </w:r>
      <w:r w:rsidRPr="00993B73">
        <w:t xml:space="preserve"> fulfill their obligations under the model WHS Act</w:t>
      </w:r>
      <w:r>
        <w:t xml:space="preserve"> and model WHS Regulations</w:t>
      </w:r>
      <w:r w:rsidRPr="00993B73">
        <w:t xml:space="preserve">. </w:t>
      </w:r>
      <w:r>
        <w:t>Businesses</w:t>
      </w:r>
      <w:r w:rsidRPr="00993B73">
        <w:t xml:space="preserve"> must, as far as reasonably practicable, eliminate or minimise workplace health and safety risks. </w:t>
      </w:r>
      <w:r>
        <w:t xml:space="preserve">The WHS Act specifies that workers and other persons must be given the highest level of protection against harm to their health, safety and welfare from work hazards and risks as is reasonably practicable. </w:t>
      </w:r>
      <w:r w:rsidRPr="00993B73">
        <w:t>This responsibility includes:</w:t>
      </w:r>
    </w:p>
    <w:p w14:paraId="6100D192" w14:textId="77777777" w:rsidR="00D70225" w:rsidRPr="00993B73" w:rsidRDefault="00D70225" w:rsidP="00A2768E">
      <w:pPr>
        <w:pStyle w:val="ListParagraph"/>
        <w:numPr>
          <w:ilvl w:val="0"/>
          <w:numId w:val="97"/>
        </w:numPr>
        <w:suppressAutoHyphens/>
        <w:spacing w:line="259" w:lineRule="auto"/>
        <w:contextualSpacing w:val="0"/>
      </w:pPr>
      <w:r>
        <w:t>Providing and maintaining a safe work environment, safe plant and structures, and safe systems of work.</w:t>
      </w:r>
    </w:p>
    <w:p w14:paraId="7774AA46" w14:textId="77777777" w:rsidR="00D70225" w:rsidRPr="00993B73" w:rsidRDefault="00D70225" w:rsidP="00A2768E">
      <w:pPr>
        <w:pStyle w:val="ListParagraph"/>
        <w:numPr>
          <w:ilvl w:val="0"/>
          <w:numId w:val="97"/>
        </w:numPr>
        <w:suppressAutoHyphens/>
        <w:spacing w:line="259" w:lineRule="auto"/>
        <w:contextualSpacing w:val="0"/>
      </w:pPr>
      <w:r w:rsidRPr="00993B73">
        <w:t xml:space="preserve">Maintaining </w:t>
      </w:r>
      <w:r>
        <w:t>any worker accommodation to ensure health and safety standards are met.</w:t>
      </w:r>
    </w:p>
    <w:p w14:paraId="51B53045" w14:textId="77777777" w:rsidR="00D70225" w:rsidRDefault="00D70225" w:rsidP="00A2768E">
      <w:pPr>
        <w:pStyle w:val="ListParagraph"/>
        <w:numPr>
          <w:ilvl w:val="0"/>
          <w:numId w:val="97"/>
        </w:numPr>
        <w:suppressAutoHyphens/>
        <w:spacing w:line="259" w:lineRule="auto"/>
        <w:contextualSpacing w:val="0"/>
      </w:pPr>
      <w:r w:rsidRPr="00993B73">
        <w:t>Ensuring correct handling and storage of machinery, structures, and substances.</w:t>
      </w:r>
      <w:r>
        <w:t xml:space="preserve"> </w:t>
      </w:r>
    </w:p>
    <w:p w14:paraId="2F09B630" w14:textId="77777777" w:rsidR="00D70225" w:rsidRPr="00993B73" w:rsidRDefault="00D70225" w:rsidP="00A2768E">
      <w:pPr>
        <w:pStyle w:val="ListParagraph"/>
        <w:numPr>
          <w:ilvl w:val="0"/>
          <w:numId w:val="97"/>
        </w:numPr>
        <w:suppressAutoHyphens/>
        <w:spacing w:line="259" w:lineRule="auto"/>
        <w:contextualSpacing w:val="0"/>
      </w:pPr>
      <w:r>
        <w:lastRenderedPageBreak/>
        <w:t>Ensuring safe use, handling and storage of plant, structures and substances.</w:t>
      </w:r>
    </w:p>
    <w:p w14:paraId="229F113A" w14:textId="77777777" w:rsidR="00D70225" w:rsidRPr="00993B73" w:rsidRDefault="00D70225" w:rsidP="00A2768E">
      <w:pPr>
        <w:pStyle w:val="ListParagraph"/>
        <w:numPr>
          <w:ilvl w:val="0"/>
          <w:numId w:val="97"/>
        </w:numPr>
        <w:suppressAutoHyphens/>
        <w:spacing w:line="259" w:lineRule="auto"/>
        <w:contextualSpacing w:val="0"/>
      </w:pPr>
      <w:r>
        <w:t>Providing adequate and</w:t>
      </w:r>
      <w:r w:rsidRPr="00993B73">
        <w:t xml:space="preserve"> accessible facilities </w:t>
      </w:r>
      <w:r>
        <w:t>such as</w:t>
      </w:r>
      <w:r w:rsidRPr="00993B73">
        <w:t xml:space="preserve"> </w:t>
      </w:r>
      <w:r>
        <w:t>washrooms, lockers</w:t>
      </w:r>
      <w:r w:rsidRPr="00993B73">
        <w:t xml:space="preserve"> and dining areas.</w:t>
      </w:r>
    </w:p>
    <w:p w14:paraId="4B64A3FA" w14:textId="77777777" w:rsidR="00D70225" w:rsidRPr="00993B73" w:rsidRDefault="00D70225" w:rsidP="00A2768E">
      <w:pPr>
        <w:pStyle w:val="ListParagraph"/>
        <w:numPr>
          <w:ilvl w:val="0"/>
          <w:numId w:val="97"/>
        </w:numPr>
        <w:suppressAutoHyphens/>
        <w:spacing w:line="259" w:lineRule="auto"/>
        <w:contextualSpacing w:val="0"/>
      </w:pPr>
      <w:r w:rsidRPr="00993B73">
        <w:t>Delivering necessary health and safety information, training, and supervision.</w:t>
      </w:r>
    </w:p>
    <w:p w14:paraId="6EF399B7" w14:textId="77777777" w:rsidR="00D70225" w:rsidRPr="00993B73" w:rsidRDefault="00D70225" w:rsidP="00A2768E">
      <w:pPr>
        <w:pStyle w:val="ListParagraph"/>
        <w:numPr>
          <w:ilvl w:val="0"/>
          <w:numId w:val="97"/>
        </w:numPr>
        <w:suppressAutoHyphens/>
        <w:spacing w:line="259" w:lineRule="auto"/>
        <w:contextualSpacing w:val="0"/>
      </w:pPr>
      <w:r w:rsidRPr="00993B73">
        <w:t>Monitoring worker</w:t>
      </w:r>
      <w:r>
        <w:t>s’</w:t>
      </w:r>
      <w:r w:rsidRPr="00993B73">
        <w:t xml:space="preserve"> health and workplace conditions to prevent </w:t>
      </w:r>
      <w:r>
        <w:t>illness or injury.</w:t>
      </w:r>
    </w:p>
    <w:p w14:paraId="125CF0E7" w14:textId="77777777" w:rsidR="00D70225" w:rsidRDefault="00D70225" w:rsidP="00D70225">
      <w:pPr>
        <w:pStyle w:val="Paragraph"/>
      </w:pPr>
      <w:r>
        <w:t>The WES for airborne contaminants sets the requirements for businesses to ensure that workers are adequately protected from the adverse health effects from exposure to airborne hazardous chemicals.</w:t>
      </w:r>
    </w:p>
    <w:p w14:paraId="1292854B" w14:textId="77777777" w:rsidR="00D70225" w:rsidRPr="00993B73" w:rsidRDefault="00D70225" w:rsidP="00D70225">
      <w:pPr>
        <w:pStyle w:val="SWAHeading3"/>
      </w:pPr>
      <w:r w:rsidRPr="00993B73">
        <w:t>Proposed Intervention Case definition</w:t>
      </w:r>
    </w:p>
    <w:p w14:paraId="1A104AA4" w14:textId="16F3DD4F" w:rsidR="00D70225" w:rsidRPr="00993B73" w:rsidRDefault="00D70225" w:rsidP="00D70225">
      <w:pPr>
        <w:contextualSpacing w:val="0"/>
      </w:pPr>
      <w:r w:rsidRPr="00993B73">
        <w:t xml:space="preserve">The proposed Intervention Case represents the scenario where the proposed WEL for each chemical is implemented (see </w:t>
      </w:r>
      <w:r w:rsidR="00B71E0D">
        <w:fldChar w:fldCharType="begin"/>
      </w:r>
      <w:r w:rsidR="00B71E0D">
        <w:instrText xml:space="preserve"> REF _Ref199839947 \h </w:instrText>
      </w:r>
      <w:r w:rsidR="00B71E0D">
        <w:fldChar w:fldCharType="separate"/>
      </w:r>
      <w:r w:rsidR="00A002F4">
        <w:t xml:space="preserve">Table </w:t>
      </w:r>
      <w:r w:rsidR="00A002F4">
        <w:rPr>
          <w:noProof/>
        </w:rPr>
        <w:t>3</w:t>
      </w:r>
      <w:r w:rsidR="00B71E0D">
        <w:fldChar w:fldCharType="end"/>
      </w:r>
      <w:r w:rsidRPr="00993B73">
        <w:t xml:space="preserve">). </w:t>
      </w:r>
      <w:r w:rsidRPr="00993B73">
        <w:rPr>
          <w:lang w:eastAsia="en-AU"/>
        </w:rPr>
        <w:t xml:space="preserve">The proposed WEL </w:t>
      </w:r>
      <w:r>
        <w:rPr>
          <w:lang w:eastAsia="en-AU"/>
        </w:rPr>
        <w:t xml:space="preserve">for each of the 9 chemicals </w:t>
      </w:r>
      <w:r w:rsidRPr="00993B73">
        <w:rPr>
          <w:lang w:eastAsia="en-AU"/>
        </w:rPr>
        <w:t xml:space="preserve">was </w:t>
      </w:r>
      <w:r w:rsidRPr="00993B73">
        <w:t xml:space="preserve">agreed by Members following consideration of the independent expert recommendations and feedback from public consultation, as part of the WES Review. </w:t>
      </w:r>
    </w:p>
    <w:p w14:paraId="7E0C387C" w14:textId="77777777" w:rsidR="00D70225" w:rsidRDefault="00D70225" w:rsidP="00D70225">
      <w:pPr>
        <w:contextualSpacing w:val="0"/>
      </w:pPr>
      <w:r w:rsidRPr="00993B73">
        <w:t xml:space="preserve">The Intervention Case assumes, for the purposes of this analysis, that all businesses currently comply with the WES and will comply with the proposed WEL. Therefore, the impact assessment seeks to capture only the additional costs to businesses </w:t>
      </w:r>
      <w:r>
        <w:t xml:space="preserve">that are meeting the current WES, </w:t>
      </w:r>
      <w:r w:rsidRPr="00993B73">
        <w:t xml:space="preserve">to comply with the proposed WEL, relative to the Base Case where all businesses comply with the current WES. </w:t>
      </w:r>
    </w:p>
    <w:p w14:paraId="2F10D09C" w14:textId="4F606B59" w:rsidR="009A1CF9" w:rsidRPr="00993B73" w:rsidRDefault="009A1CF9" w:rsidP="00C7790E">
      <w:pPr>
        <w:pStyle w:val="SWAHeading2"/>
        <w:numPr>
          <w:ilvl w:val="0"/>
          <w:numId w:val="0"/>
        </w:numPr>
      </w:pPr>
      <w:bookmarkStart w:id="646" w:name="_Toc191647950"/>
      <w:bookmarkStart w:id="647" w:name="_Toc193867310"/>
      <w:bookmarkStart w:id="648" w:name="_Toc194003946"/>
      <w:bookmarkStart w:id="649" w:name="_Toc199184035"/>
      <w:bookmarkStart w:id="650" w:name="_Toc199361181"/>
      <w:bookmarkStart w:id="651" w:name="_Toc219216934"/>
      <w:r w:rsidRPr="00993B73" w:rsidDel="00DF6DB6">
        <w:t xml:space="preserve">Analysis </w:t>
      </w:r>
      <w:r w:rsidRPr="00993B73">
        <w:t>inputs</w:t>
      </w:r>
      <w:bookmarkEnd w:id="646"/>
      <w:bookmarkEnd w:id="647"/>
      <w:bookmarkEnd w:id="648"/>
      <w:bookmarkEnd w:id="649"/>
      <w:bookmarkEnd w:id="650"/>
      <w:bookmarkEnd w:id="651"/>
    </w:p>
    <w:p w14:paraId="68F99314" w14:textId="32CEE09E" w:rsidR="009A23A0" w:rsidRDefault="009A23A0" w:rsidP="009A23A0">
      <w:pPr>
        <w:spacing w:before="240" w:after="160"/>
        <w:rPr>
          <w:lang w:eastAsia="en-AU"/>
        </w:rPr>
      </w:pPr>
      <w:r w:rsidRPr="00993B73">
        <w:rPr>
          <w:lang w:eastAsia="en-AU"/>
        </w:rPr>
        <w:t>This impact analysis is underpinned by a set of key inputs, presented in</w:t>
      </w:r>
      <w:r w:rsidR="009007B1">
        <w:rPr>
          <w:lang w:eastAsia="en-AU"/>
        </w:rPr>
        <w:t xml:space="preserve"> </w:t>
      </w:r>
      <w:r w:rsidR="009007B1">
        <w:rPr>
          <w:lang w:eastAsia="en-AU"/>
        </w:rPr>
        <w:fldChar w:fldCharType="begin"/>
      </w:r>
      <w:r w:rsidR="009007B1">
        <w:rPr>
          <w:lang w:eastAsia="en-AU"/>
        </w:rPr>
        <w:instrText xml:space="preserve"> REF _Ref216792210 \h </w:instrText>
      </w:r>
      <w:r w:rsidR="009007B1">
        <w:rPr>
          <w:lang w:eastAsia="en-AU"/>
        </w:rPr>
      </w:r>
      <w:r w:rsidR="009007B1">
        <w:rPr>
          <w:lang w:eastAsia="en-AU"/>
        </w:rPr>
        <w:fldChar w:fldCharType="separate"/>
      </w:r>
      <w:r w:rsidR="00A002F4">
        <w:t xml:space="preserve">Table </w:t>
      </w:r>
      <w:r w:rsidR="00A002F4">
        <w:rPr>
          <w:noProof/>
        </w:rPr>
        <w:t>46</w:t>
      </w:r>
      <w:r w:rsidR="009007B1">
        <w:rPr>
          <w:lang w:eastAsia="en-AU"/>
        </w:rPr>
        <w:fldChar w:fldCharType="end"/>
      </w:r>
      <w:r w:rsidRPr="00993B73">
        <w:rPr>
          <w:lang w:eastAsia="en-AU"/>
        </w:rPr>
        <w:t xml:space="preserve">. These inputs align with OIA guidance, as presented in the ‘basis’ column. </w:t>
      </w:r>
    </w:p>
    <w:p w14:paraId="26D20F34" w14:textId="69C70119" w:rsidR="009007B1" w:rsidRDefault="009007B1" w:rsidP="00C77C18">
      <w:pPr>
        <w:pStyle w:val="Caption"/>
      </w:pPr>
      <w:bookmarkStart w:id="652" w:name="_Ref216792210"/>
      <w:r>
        <w:lastRenderedPageBreak/>
        <w:t xml:space="preserve">Table </w:t>
      </w:r>
      <w:fldSimple w:instr=" SEQ Table \* ARABIC ">
        <w:r w:rsidR="00A002F4">
          <w:rPr>
            <w:noProof/>
          </w:rPr>
          <w:t>46</w:t>
        </w:r>
      </w:fldSimple>
      <w:bookmarkEnd w:id="652"/>
      <w:r>
        <w:t xml:space="preserve"> - </w:t>
      </w:r>
      <w:r w:rsidRPr="008D3E5B">
        <w:t>Key impact analysis inputs</w:t>
      </w:r>
    </w:p>
    <w:tbl>
      <w:tblPr>
        <w:tblStyle w:val="TableGrid"/>
        <w:tblW w:w="0" w:type="auto"/>
        <w:tblLook w:val="04A0" w:firstRow="1" w:lastRow="0" w:firstColumn="1" w:lastColumn="0" w:noHBand="0" w:noVBand="1"/>
      </w:tblPr>
      <w:tblGrid>
        <w:gridCol w:w="2115"/>
        <w:gridCol w:w="3383"/>
        <w:gridCol w:w="3518"/>
      </w:tblGrid>
      <w:tr w:rsidR="006C1B75" w:rsidRPr="000F1508" w14:paraId="2A17D27B" w14:textId="77777777" w:rsidTr="002A0DBB">
        <w:trPr>
          <w:tblHeader/>
        </w:trPr>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1BD2AA65" w14:textId="77777777" w:rsidR="006C1B75" w:rsidRPr="001E311D" w:rsidRDefault="006C1B75">
            <w:pPr>
              <w:keepNext/>
              <w:rPr>
                <w:b/>
                <w:bCs/>
                <w:color w:val="FFFFFF" w:themeColor="background1"/>
              </w:rPr>
            </w:pPr>
            <w:r w:rsidRPr="001E311D">
              <w:rPr>
                <w:b/>
                <w:bCs/>
                <w:color w:val="FFFFFF" w:themeColor="background1"/>
              </w:rPr>
              <w:t>Input</w:t>
            </w:r>
          </w:p>
        </w:tc>
        <w:tc>
          <w:tcPr>
            <w:tcW w:w="33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7BDFA13B" w14:textId="77777777" w:rsidR="006C1B75" w:rsidRPr="001E311D" w:rsidRDefault="006C1B75">
            <w:pPr>
              <w:keepNext/>
              <w:rPr>
                <w:b/>
                <w:bCs/>
                <w:color w:val="FFFFFF" w:themeColor="background1"/>
              </w:rPr>
            </w:pPr>
            <w:r w:rsidRPr="001E311D">
              <w:rPr>
                <w:b/>
                <w:bCs/>
                <w:color w:val="FFFFFF" w:themeColor="background1"/>
              </w:rPr>
              <w:t>Value</w:t>
            </w:r>
          </w:p>
        </w:tc>
        <w:tc>
          <w:tcPr>
            <w:tcW w:w="35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877E0" w:themeFill="accent1"/>
          </w:tcPr>
          <w:p w14:paraId="4D394BA5" w14:textId="77777777" w:rsidR="006C1B75" w:rsidRPr="001E311D" w:rsidRDefault="006C1B75">
            <w:pPr>
              <w:keepNext/>
              <w:rPr>
                <w:b/>
                <w:bCs/>
                <w:color w:val="FFFFFF" w:themeColor="background1"/>
              </w:rPr>
            </w:pPr>
            <w:r w:rsidRPr="001E311D">
              <w:rPr>
                <w:b/>
                <w:bCs/>
                <w:color w:val="FFFFFF" w:themeColor="background1"/>
              </w:rPr>
              <w:t>Basis</w:t>
            </w:r>
          </w:p>
        </w:tc>
      </w:tr>
      <w:tr w:rsidR="006C1B75" w14:paraId="76155E72" w14:textId="77777777" w:rsidTr="002A0DBB">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F294D8" w14:textId="77777777" w:rsidR="006C1B75" w:rsidRPr="00FD0128" w:rsidRDefault="006C1B75">
            <w:pPr>
              <w:keepNext/>
              <w:rPr>
                <w:b/>
                <w:bCs/>
              </w:rPr>
            </w:pPr>
            <w:r w:rsidRPr="00FD0128">
              <w:rPr>
                <w:rFonts w:asciiTheme="majorHAnsi" w:hAnsiTheme="majorHAnsi" w:cstheme="majorHAnsi"/>
                <w:b/>
                <w:bCs/>
                <w:lang w:eastAsia="en-AU"/>
              </w:rPr>
              <w:t>Base period</w:t>
            </w:r>
          </w:p>
        </w:tc>
        <w:tc>
          <w:tcPr>
            <w:tcW w:w="33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450C57" w14:textId="1BC6A6C4" w:rsidR="006C1B75" w:rsidRDefault="006C1B75">
            <w:pPr>
              <w:keepNext/>
            </w:pPr>
            <w:r w:rsidRPr="00EC70BF">
              <w:rPr>
                <w:lang w:eastAsia="en-AU"/>
              </w:rPr>
              <w:t xml:space="preserve">All monetary values </w:t>
            </w:r>
            <w:r>
              <w:rPr>
                <w:lang w:eastAsia="en-AU"/>
              </w:rPr>
              <w:t xml:space="preserve">are </w:t>
            </w:r>
            <w:r w:rsidRPr="00EC70BF">
              <w:rPr>
                <w:lang w:eastAsia="en-AU"/>
              </w:rPr>
              <w:t>presented in real terms, as of June 2024.</w:t>
            </w:r>
            <w:r>
              <w:rPr>
                <w:lang w:eastAsia="en-AU"/>
              </w:rPr>
              <w:t xml:space="preserve"> All inputs presented in historical terms are escalated to June 2024 terms using ABS price indexes</w:t>
            </w:r>
            <w:r w:rsidR="002E35E0">
              <w:rPr>
                <w:lang w:eastAsia="en-AU"/>
              </w:rPr>
              <w:t xml:space="preserve"> </w:t>
            </w:r>
            <w:sdt>
              <w:sdtPr>
                <w:rPr>
                  <w:lang w:eastAsia="en-AU"/>
                </w:rPr>
                <w:id w:val="-1624299311"/>
                <w:citation/>
              </w:sdtPr>
              <w:sdtEndPr/>
              <w:sdtContent>
                <w:r w:rsidR="00461E96">
                  <w:rPr>
                    <w:lang w:eastAsia="en-AU"/>
                  </w:rPr>
                  <w:fldChar w:fldCharType="begin"/>
                </w:r>
                <w:r w:rsidR="006657FF">
                  <w:rPr>
                    <w:lang w:eastAsia="en-AU"/>
                  </w:rPr>
                  <w:instrText xml:space="preserve">CITATION Aus25 \l 3081 </w:instrText>
                </w:r>
                <w:r w:rsidR="00461E96">
                  <w:rPr>
                    <w:lang w:eastAsia="en-AU"/>
                  </w:rPr>
                  <w:fldChar w:fldCharType="separate"/>
                </w:r>
                <w:r w:rsidR="00490B21">
                  <w:rPr>
                    <w:noProof/>
                    <w:lang w:eastAsia="en-AU"/>
                  </w:rPr>
                  <w:t>(Australian Bureau of Statistics, 2024)</w:t>
                </w:r>
                <w:r w:rsidR="00461E96">
                  <w:rPr>
                    <w:lang w:eastAsia="en-AU"/>
                  </w:rPr>
                  <w:fldChar w:fldCharType="end"/>
                </w:r>
              </w:sdtContent>
            </w:sdt>
            <w:r>
              <w:rPr>
                <w:lang w:eastAsia="en-AU"/>
              </w:rPr>
              <w:t>.</w:t>
            </w:r>
          </w:p>
        </w:tc>
        <w:tc>
          <w:tcPr>
            <w:tcW w:w="35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F758C5" w14:textId="77777777" w:rsidR="006C1B75" w:rsidRDefault="006C1B75">
            <w:pPr>
              <w:keepNext/>
            </w:pPr>
            <w:r w:rsidRPr="00EC70BF">
              <w:rPr>
                <w:lang w:eastAsia="en-AU"/>
              </w:rPr>
              <w:t xml:space="preserve">This base period aligns with the </w:t>
            </w:r>
            <w:r>
              <w:rPr>
                <w:lang w:eastAsia="en-AU"/>
              </w:rPr>
              <w:t>most recent completed</w:t>
            </w:r>
            <w:r w:rsidRPr="00EC70BF">
              <w:rPr>
                <w:lang w:eastAsia="en-AU"/>
              </w:rPr>
              <w:t xml:space="preserve"> financial year.</w:t>
            </w:r>
          </w:p>
        </w:tc>
      </w:tr>
      <w:tr w:rsidR="006C1B75" w14:paraId="6DFA974A" w14:textId="77777777" w:rsidTr="00FD7442">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CD5364C" w14:textId="77777777" w:rsidR="006C1B75" w:rsidRPr="00FD0128" w:rsidRDefault="006C1B75">
            <w:pPr>
              <w:keepNext/>
              <w:rPr>
                <w:b/>
                <w:bCs/>
              </w:rPr>
            </w:pPr>
            <w:r w:rsidRPr="00FD0128">
              <w:rPr>
                <w:rFonts w:asciiTheme="majorHAnsi" w:hAnsiTheme="majorHAnsi" w:cstheme="majorHAnsi"/>
                <w:b/>
                <w:bCs/>
                <w:lang w:eastAsia="en-AU"/>
              </w:rPr>
              <w:t>Evaluation period</w:t>
            </w:r>
          </w:p>
        </w:tc>
        <w:tc>
          <w:tcPr>
            <w:tcW w:w="33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0A90D742" w14:textId="77777777" w:rsidR="006C1B75" w:rsidRDefault="006C1B75">
            <w:pPr>
              <w:keepNext/>
            </w:pPr>
            <w:r w:rsidRPr="00EC70BF">
              <w:rPr>
                <w:lang w:eastAsia="en-AU"/>
              </w:rPr>
              <w:t xml:space="preserve">A 10-year assessment period </w:t>
            </w:r>
            <w:r>
              <w:rPr>
                <w:lang w:eastAsia="en-AU"/>
              </w:rPr>
              <w:t>is</w:t>
            </w:r>
            <w:r w:rsidRPr="00EC70BF">
              <w:rPr>
                <w:lang w:eastAsia="en-AU"/>
              </w:rPr>
              <w:t xml:space="preserve"> used, from</w:t>
            </w:r>
            <w:r>
              <w:rPr>
                <w:lang w:eastAsia="en-AU"/>
              </w:rPr>
              <w:t xml:space="preserve"> 2026-27 to 2035-36,</w:t>
            </w:r>
            <w:r w:rsidRPr="00EC70BF">
              <w:rPr>
                <w:lang w:eastAsia="en-AU"/>
              </w:rPr>
              <w:t xml:space="preserve"> inclusive.</w:t>
            </w:r>
          </w:p>
        </w:tc>
        <w:tc>
          <w:tcPr>
            <w:tcW w:w="35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19EA3B0" w14:textId="5484515A" w:rsidR="006C1B75" w:rsidRDefault="006C1B75">
            <w:pPr>
              <w:keepNext/>
            </w:pPr>
            <w:r w:rsidRPr="00EC70BF">
              <w:rPr>
                <w:lang w:eastAsia="en-AU"/>
              </w:rPr>
              <w:t>This assessment period aligns with the 10-year duration of the policy, as per the O</w:t>
            </w:r>
            <w:r>
              <w:rPr>
                <w:lang w:eastAsia="en-AU"/>
              </w:rPr>
              <w:t>IA</w:t>
            </w:r>
            <w:r w:rsidRPr="00EC70BF">
              <w:rPr>
                <w:lang w:eastAsia="en-AU"/>
              </w:rPr>
              <w:t xml:space="preserve"> </w:t>
            </w:r>
            <w:r w:rsidRPr="00EC70BF">
              <w:rPr>
                <w:i/>
                <w:iCs/>
                <w:lang w:eastAsia="en-AU"/>
              </w:rPr>
              <w:t>Regulatory Burden Measurement Framework guidance note</w:t>
            </w:r>
            <w:r w:rsidR="00841D13">
              <w:rPr>
                <w:i/>
                <w:iCs/>
                <w:lang w:eastAsia="en-AU"/>
              </w:rPr>
              <w:t xml:space="preserve"> </w:t>
            </w:r>
            <w:sdt>
              <w:sdtPr>
                <w:rPr>
                  <w:i/>
                  <w:iCs/>
                  <w:lang w:eastAsia="en-AU"/>
                </w:rPr>
                <w:id w:val="-1920241401"/>
                <w:citation/>
              </w:sdtPr>
              <w:sdtEndPr/>
              <w:sdtContent>
                <w:r w:rsidR="0064220E">
                  <w:rPr>
                    <w:i/>
                    <w:iCs/>
                    <w:lang w:eastAsia="en-AU"/>
                  </w:rPr>
                  <w:fldChar w:fldCharType="begin"/>
                </w:r>
                <w:r w:rsidR="004A7E7F">
                  <w:rPr>
                    <w:lang w:eastAsia="en-AU"/>
                  </w:rPr>
                  <w:instrText xml:space="preserve">CITATION The24 \l 3081 </w:instrText>
                </w:r>
                <w:r w:rsidR="0064220E">
                  <w:rPr>
                    <w:i/>
                    <w:iCs/>
                    <w:lang w:eastAsia="en-AU"/>
                  </w:rPr>
                  <w:fldChar w:fldCharType="separate"/>
                </w:r>
                <w:r w:rsidR="00490B21">
                  <w:rPr>
                    <w:noProof/>
                    <w:lang w:eastAsia="en-AU"/>
                  </w:rPr>
                  <w:t>(Office of Impact Analysis, 2024)</w:t>
                </w:r>
                <w:r w:rsidR="0064220E">
                  <w:rPr>
                    <w:i/>
                    <w:iCs/>
                    <w:lang w:eastAsia="en-AU"/>
                  </w:rPr>
                  <w:fldChar w:fldCharType="end"/>
                </w:r>
              </w:sdtContent>
            </w:sdt>
            <w:r w:rsidRPr="00EC70BF">
              <w:rPr>
                <w:lang w:eastAsia="en-AU"/>
              </w:rPr>
              <w:t>.</w:t>
            </w:r>
          </w:p>
        </w:tc>
      </w:tr>
      <w:tr w:rsidR="006C1B75" w14:paraId="120D97EC" w14:textId="77777777" w:rsidTr="00FD7442">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8AD191" w14:textId="77777777" w:rsidR="006C1B75" w:rsidRPr="00FD0128" w:rsidRDefault="006C1B75">
            <w:pPr>
              <w:keepNext/>
              <w:rPr>
                <w:b/>
                <w:bCs/>
              </w:rPr>
            </w:pPr>
            <w:r w:rsidRPr="00FD0128">
              <w:rPr>
                <w:rFonts w:asciiTheme="majorHAnsi" w:hAnsiTheme="majorHAnsi" w:cstheme="majorHAnsi"/>
                <w:b/>
                <w:bCs/>
                <w:lang w:eastAsia="en-AU"/>
              </w:rPr>
              <w:t>Discount rate</w:t>
            </w:r>
          </w:p>
        </w:tc>
        <w:tc>
          <w:tcPr>
            <w:tcW w:w="33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967FDF" w14:textId="65EAC4E0" w:rsidR="006C1B75" w:rsidRDefault="006C1B75">
            <w:pPr>
              <w:keepNext/>
            </w:pPr>
            <w:r w:rsidRPr="00EC70BF">
              <w:rPr>
                <w:lang w:eastAsia="en-AU"/>
              </w:rPr>
              <w:t>A 7</w:t>
            </w:r>
            <w:r w:rsidR="001E311D">
              <w:rPr>
                <w:lang w:eastAsia="en-AU"/>
              </w:rPr>
              <w:t xml:space="preserve"> per cent</w:t>
            </w:r>
            <w:r w:rsidRPr="00EC70BF">
              <w:rPr>
                <w:lang w:eastAsia="en-AU"/>
              </w:rPr>
              <w:t xml:space="preserve"> real discount rate </w:t>
            </w:r>
            <w:r>
              <w:rPr>
                <w:lang w:eastAsia="en-AU"/>
              </w:rPr>
              <w:t>is</w:t>
            </w:r>
            <w:r w:rsidRPr="00EC70BF">
              <w:rPr>
                <w:lang w:eastAsia="en-AU"/>
              </w:rPr>
              <w:t xml:space="preserve"> applied to all </w:t>
            </w:r>
            <w:r>
              <w:rPr>
                <w:lang w:eastAsia="en-AU"/>
              </w:rPr>
              <w:t>costs and benefits.</w:t>
            </w:r>
          </w:p>
        </w:tc>
        <w:tc>
          <w:tcPr>
            <w:tcW w:w="35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B43978" w14:textId="52FE6C8C" w:rsidR="006C1B75" w:rsidRDefault="006C1B75">
            <w:pPr>
              <w:keepNext/>
            </w:pPr>
            <w:r w:rsidRPr="00EC70BF">
              <w:rPr>
                <w:lang w:eastAsia="en-AU"/>
              </w:rPr>
              <w:t xml:space="preserve">This discount rate aligns with the OIA </w:t>
            </w:r>
            <w:r w:rsidRPr="00EC70BF">
              <w:rPr>
                <w:i/>
                <w:iCs/>
                <w:lang w:eastAsia="en-AU"/>
              </w:rPr>
              <w:t>Cost Benefit Analysis guidance note</w:t>
            </w:r>
            <w:r w:rsidR="00C01608">
              <w:rPr>
                <w:i/>
                <w:iCs/>
                <w:lang w:eastAsia="en-AU"/>
              </w:rPr>
              <w:t xml:space="preserve"> </w:t>
            </w:r>
            <w:sdt>
              <w:sdtPr>
                <w:rPr>
                  <w:i/>
                  <w:iCs/>
                  <w:lang w:eastAsia="en-AU"/>
                </w:rPr>
                <w:id w:val="1204668232"/>
                <w:citation/>
              </w:sdtPr>
              <w:sdtEndPr/>
              <w:sdtContent>
                <w:r w:rsidR="004A7E7F">
                  <w:rPr>
                    <w:i/>
                    <w:iCs/>
                    <w:lang w:eastAsia="en-AU"/>
                  </w:rPr>
                  <w:fldChar w:fldCharType="begin"/>
                </w:r>
                <w:r w:rsidR="004A7E7F">
                  <w:rPr>
                    <w:i/>
                    <w:iCs/>
                    <w:lang w:eastAsia="en-AU"/>
                  </w:rPr>
                  <w:instrText xml:space="preserve"> CITATION Off23 \l 3081 </w:instrText>
                </w:r>
                <w:r w:rsidR="004A7E7F">
                  <w:rPr>
                    <w:i/>
                    <w:iCs/>
                    <w:lang w:eastAsia="en-AU"/>
                  </w:rPr>
                  <w:fldChar w:fldCharType="separate"/>
                </w:r>
                <w:r w:rsidR="00490B21">
                  <w:rPr>
                    <w:noProof/>
                    <w:lang w:eastAsia="en-AU"/>
                  </w:rPr>
                  <w:t>(Office of Impact Analysis, 2023)</w:t>
                </w:r>
                <w:r w:rsidR="004A7E7F">
                  <w:rPr>
                    <w:i/>
                    <w:iCs/>
                    <w:lang w:eastAsia="en-AU"/>
                  </w:rPr>
                  <w:fldChar w:fldCharType="end"/>
                </w:r>
              </w:sdtContent>
            </w:sdt>
            <w:r w:rsidRPr="00EC70BF">
              <w:rPr>
                <w:lang w:eastAsia="en-AU"/>
              </w:rPr>
              <w:t>.</w:t>
            </w:r>
          </w:p>
        </w:tc>
      </w:tr>
      <w:tr w:rsidR="006C1B75" w14:paraId="69D8BB03" w14:textId="77777777" w:rsidTr="002A0DBB">
        <w:tc>
          <w:tcPr>
            <w:tcW w:w="21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2E89FECB" w14:textId="77777777" w:rsidR="006C1B75" w:rsidRPr="00FD0128" w:rsidRDefault="006C1B75">
            <w:pPr>
              <w:keepNext/>
              <w:rPr>
                <w:b/>
                <w:bCs/>
              </w:rPr>
            </w:pPr>
            <w:r w:rsidRPr="00FD0128">
              <w:rPr>
                <w:rFonts w:asciiTheme="majorHAnsi" w:hAnsiTheme="majorHAnsi" w:cstheme="majorHAnsi"/>
                <w:b/>
                <w:bCs/>
                <w:lang w:eastAsia="en-AU"/>
              </w:rPr>
              <w:t>Value of a statistical life year (VLY)</w:t>
            </w:r>
          </w:p>
        </w:tc>
        <w:tc>
          <w:tcPr>
            <w:tcW w:w="33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F008536" w14:textId="77777777" w:rsidR="006C1B75" w:rsidRDefault="006C1B75">
            <w:pPr>
              <w:keepNext/>
            </w:pPr>
            <w:r>
              <w:rPr>
                <w:lang w:eastAsia="en-AU"/>
              </w:rPr>
              <w:t xml:space="preserve">A real </w:t>
            </w:r>
            <w:r w:rsidRPr="00EC70BF">
              <w:rPr>
                <w:lang w:eastAsia="en-AU"/>
              </w:rPr>
              <w:t>VLY of</w:t>
            </w:r>
            <w:r>
              <w:rPr>
                <w:lang w:eastAsia="en-AU"/>
              </w:rPr>
              <w:t xml:space="preserve"> </w:t>
            </w:r>
            <w:r w:rsidRPr="007D7F34">
              <w:rPr>
                <w:lang w:eastAsia="en-AU"/>
              </w:rPr>
              <w:t>$244,</w:t>
            </w:r>
            <w:r>
              <w:rPr>
                <w:lang w:eastAsia="en-AU"/>
              </w:rPr>
              <w:t xml:space="preserve">741 is </w:t>
            </w:r>
            <w:r w:rsidRPr="00EC70BF">
              <w:rPr>
                <w:lang w:eastAsia="en-AU"/>
              </w:rPr>
              <w:t>used to estimate the benefits including reduced years of life lost (YLL) and years lived with disability (YLD).</w:t>
            </w:r>
          </w:p>
        </w:tc>
        <w:tc>
          <w:tcPr>
            <w:tcW w:w="35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52037628" w14:textId="1AC7ECA1" w:rsidR="006C1B75" w:rsidRDefault="006C1B75">
            <w:pPr>
              <w:keepNext/>
            </w:pPr>
            <w:r w:rsidRPr="00EC70BF">
              <w:rPr>
                <w:lang w:eastAsia="en-AU"/>
              </w:rPr>
              <w:t xml:space="preserve">This </w:t>
            </w:r>
            <w:r w:rsidR="00103F35">
              <w:rPr>
                <w:lang w:eastAsia="en-AU"/>
              </w:rPr>
              <w:t>value of a statistical life (</w:t>
            </w:r>
            <w:r>
              <w:rPr>
                <w:lang w:eastAsia="en-AU"/>
              </w:rPr>
              <w:t>VSL</w:t>
            </w:r>
            <w:r w:rsidR="00103F35">
              <w:rPr>
                <w:lang w:eastAsia="en-AU"/>
              </w:rPr>
              <w:t>)</w:t>
            </w:r>
            <w:r>
              <w:rPr>
                <w:lang w:eastAsia="en-AU"/>
              </w:rPr>
              <w:t xml:space="preserve"> and </w:t>
            </w:r>
            <w:r w:rsidRPr="00EC70BF">
              <w:rPr>
                <w:lang w:eastAsia="en-AU"/>
              </w:rPr>
              <w:t xml:space="preserve">VLY </w:t>
            </w:r>
            <w:r>
              <w:rPr>
                <w:lang w:eastAsia="en-AU"/>
              </w:rPr>
              <w:t>are</w:t>
            </w:r>
            <w:r w:rsidRPr="00EC70BF">
              <w:rPr>
                <w:lang w:eastAsia="en-AU"/>
              </w:rPr>
              <w:t xml:space="preserve"> based on</w:t>
            </w:r>
            <w:r w:rsidR="00F84759">
              <w:rPr>
                <w:lang w:eastAsia="en-AU"/>
              </w:rPr>
              <w:t xml:space="preserve"> </w:t>
            </w:r>
            <w:r w:rsidR="0075338D">
              <w:rPr>
                <w:noProof/>
                <w:lang w:eastAsia="en-AU"/>
              </w:rPr>
              <w:t xml:space="preserve">Abelson </w:t>
            </w:r>
            <w:r w:rsidR="00F84759">
              <w:rPr>
                <w:noProof/>
                <w:lang w:eastAsia="en-AU"/>
              </w:rPr>
              <w:t>(</w:t>
            </w:r>
            <w:r w:rsidR="0075338D">
              <w:rPr>
                <w:noProof/>
                <w:lang w:eastAsia="en-AU"/>
              </w:rPr>
              <w:t>2007)</w:t>
            </w:r>
            <w:r w:rsidRPr="00EC70BF">
              <w:rPr>
                <w:lang w:eastAsia="en-AU"/>
              </w:rPr>
              <w:t xml:space="preserve"> and align with OIA</w:t>
            </w:r>
            <w:r w:rsidR="00F84759">
              <w:rPr>
                <w:lang w:eastAsia="en-AU"/>
              </w:rPr>
              <w:t>’s</w:t>
            </w:r>
            <w:r w:rsidRPr="00EC70BF">
              <w:rPr>
                <w:lang w:eastAsia="en-AU"/>
              </w:rPr>
              <w:t xml:space="preserve"> </w:t>
            </w:r>
            <w:r w:rsidRPr="00EC70BF">
              <w:rPr>
                <w:i/>
                <w:iCs/>
                <w:lang w:eastAsia="en-AU"/>
              </w:rPr>
              <w:t>Value of a statistical life guidance note</w:t>
            </w:r>
            <w:r w:rsidR="00F84759">
              <w:rPr>
                <w:i/>
                <w:iCs/>
                <w:lang w:eastAsia="en-AU"/>
              </w:rPr>
              <w:t xml:space="preserve"> </w:t>
            </w:r>
            <w:sdt>
              <w:sdtPr>
                <w:rPr>
                  <w:i/>
                  <w:iCs/>
                  <w:lang w:eastAsia="en-AU"/>
                </w:rPr>
                <w:id w:val="746694879"/>
                <w:citation/>
              </w:sdtPr>
              <w:sdtEndPr/>
              <w:sdtContent>
                <w:r w:rsidR="00F84759">
                  <w:rPr>
                    <w:i/>
                    <w:iCs/>
                    <w:lang w:eastAsia="en-AU"/>
                  </w:rPr>
                  <w:fldChar w:fldCharType="begin"/>
                </w:r>
                <w:r w:rsidR="00CC7C54">
                  <w:rPr>
                    <w:i/>
                    <w:iCs/>
                    <w:lang w:eastAsia="en-AU"/>
                  </w:rPr>
                  <w:instrText xml:space="preserve">CITATION Off24 \l 3081 </w:instrText>
                </w:r>
                <w:r w:rsidR="00F84759">
                  <w:rPr>
                    <w:i/>
                    <w:iCs/>
                    <w:lang w:eastAsia="en-AU"/>
                  </w:rPr>
                  <w:fldChar w:fldCharType="separate"/>
                </w:r>
                <w:r w:rsidR="00490B21">
                  <w:rPr>
                    <w:noProof/>
                    <w:lang w:eastAsia="en-AU"/>
                  </w:rPr>
                  <w:t>(Office of Impact Analysis, 2023)</w:t>
                </w:r>
                <w:r w:rsidR="00F84759">
                  <w:rPr>
                    <w:i/>
                    <w:iCs/>
                    <w:lang w:eastAsia="en-AU"/>
                  </w:rPr>
                  <w:fldChar w:fldCharType="end"/>
                </w:r>
              </w:sdtContent>
            </w:sdt>
            <w:r w:rsidRPr="00EC70BF">
              <w:rPr>
                <w:lang w:eastAsia="en-AU"/>
              </w:rPr>
              <w:t xml:space="preserve">. The </w:t>
            </w:r>
            <w:r>
              <w:rPr>
                <w:lang w:eastAsia="en-AU"/>
              </w:rPr>
              <w:t xml:space="preserve">VSL and </w:t>
            </w:r>
            <w:r w:rsidRPr="00EC70BF">
              <w:rPr>
                <w:lang w:eastAsia="en-AU"/>
              </w:rPr>
              <w:t>VLY</w:t>
            </w:r>
            <w:r w:rsidRPr="00EC70BF" w:rsidDel="00767929">
              <w:rPr>
                <w:lang w:eastAsia="en-AU"/>
              </w:rPr>
              <w:t xml:space="preserve"> </w:t>
            </w:r>
            <w:r>
              <w:rPr>
                <w:lang w:eastAsia="en-AU"/>
              </w:rPr>
              <w:t>have</w:t>
            </w:r>
            <w:r w:rsidRPr="00EC70BF">
              <w:rPr>
                <w:lang w:eastAsia="en-AU"/>
              </w:rPr>
              <w:t xml:space="preserve"> been escalated to June 2024 terms using the ABS Wage Price Index (WPI) for Australia</w:t>
            </w:r>
            <w:r w:rsidR="00AC1BA9">
              <w:rPr>
                <w:lang w:eastAsia="en-AU"/>
              </w:rPr>
              <w:t xml:space="preserve"> </w:t>
            </w:r>
            <w:sdt>
              <w:sdtPr>
                <w:rPr>
                  <w:lang w:eastAsia="en-AU"/>
                </w:rPr>
                <w:id w:val="919998461"/>
                <w:citation/>
              </w:sdtPr>
              <w:sdtEndPr/>
              <w:sdtContent>
                <w:r w:rsidR="00AC1BA9">
                  <w:rPr>
                    <w:lang w:eastAsia="en-AU"/>
                  </w:rPr>
                  <w:fldChar w:fldCharType="begin"/>
                </w:r>
                <w:r w:rsidR="00AC1BA9">
                  <w:rPr>
                    <w:lang w:eastAsia="en-AU"/>
                  </w:rPr>
                  <w:instrText xml:space="preserve"> CITATION Aus243 \l 3081 </w:instrText>
                </w:r>
                <w:r w:rsidR="00AC1BA9">
                  <w:rPr>
                    <w:lang w:eastAsia="en-AU"/>
                  </w:rPr>
                  <w:fldChar w:fldCharType="separate"/>
                </w:r>
                <w:r w:rsidR="00490B21">
                  <w:rPr>
                    <w:noProof/>
                    <w:lang w:eastAsia="en-AU"/>
                  </w:rPr>
                  <w:t>(Australian Bureau of Statistics, 2024)</w:t>
                </w:r>
                <w:r w:rsidR="00AC1BA9">
                  <w:rPr>
                    <w:lang w:eastAsia="en-AU"/>
                  </w:rPr>
                  <w:fldChar w:fldCharType="end"/>
                </w:r>
              </w:sdtContent>
            </w:sdt>
            <w:r w:rsidRPr="00EC70BF">
              <w:rPr>
                <w:lang w:eastAsia="en-AU"/>
              </w:rPr>
              <w:t>.</w:t>
            </w:r>
          </w:p>
        </w:tc>
      </w:tr>
    </w:tbl>
    <w:p w14:paraId="62A0E696" w14:textId="77777777" w:rsidR="00B71E0D" w:rsidRDefault="00B71E0D" w:rsidP="00D70225">
      <w:pPr>
        <w:contextualSpacing w:val="0"/>
      </w:pPr>
    </w:p>
    <w:p w14:paraId="025FEF38" w14:textId="77777777" w:rsidR="00896A94" w:rsidRPr="00993B73" w:rsidRDefault="00896A94" w:rsidP="00896A94">
      <w:pPr>
        <w:pStyle w:val="SWAHeading2"/>
        <w:numPr>
          <w:ilvl w:val="0"/>
          <w:numId w:val="0"/>
        </w:numPr>
      </w:pPr>
      <w:bookmarkStart w:id="653" w:name="_Toc199184036"/>
      <w:bookmarkStart w:id="654" w:name="_Toc199361182"/>
      <w:bookmarkStart w:id="655" w:name="_Toc219216935"/>
      <w:bookmarkStart w:id="656" w:name="_Ref177461193"/>
      <w:bookmarkStart w:id="657" w:name="_Toc191647951"/>
      <w:bookmarkStart w:id="658" w:name="_Toc193867311"/>
      <w:bookmarkStart w:id="659" w:name="_Toc194003947"/>
      <w:r w:rsidRPr="00993B73">
        <w:t>Businesses and workers affected by proposed WEL</w:t>
      </w:r>
      <w:bookmarkEnd w:id="653"/>
      <w:bookmarkEnd w:id="654"/>
      <w:bookmarkEnd w:id="655"/>
      <w:r w:rsidRPr="00993B73">
        <w:t xml:space="preserve"> </w:t>
      </w:r>
      <w:bookmarkEnd w:id="656"/>
      <w:bookmarkEnd w:id="657"/>
      <w:bookmarkEnd w:id="658"/>
      <w:bookmarkEnd w:id="659"/>
    </w:p>
    <w:p w14:paraId="3568E50D" w14:textId="77777777" w:rsidR="00896A94" w:rsidRPr="00993B73" w:rsidRDefault="00896A94" w:rsidP="00896A94">
      <w:pPr>
        <w:pStyle w:val="SWAHeading3"/>
      </w:pPr>
      <w:r w:rsidRPr="00993B73">
        <w:t xml:space="preserve">Businesses affected by the proposed WEL </w:t>
      </w:r>
    </w:p>
    <w:p w14:paraId="1427F5ED" w14:textId="77777777" w:rsidR="00896A94" w:rsidRPr="00993B73" w:rsidRDefault="00896A94" w:rsidP="00896A94">
      <w:pPr>
        <w:pStyle w:val="SWAHeading4"/>
      </w:pPr>
      <w:r w:rsidRPr="00993B73">
        <w:t>Summary</w:t>
      </w:r>
    </w:p>
    <w:p w14:paraId="5C12332D" w14:textId="61F7062E" w:rsidR="00896A94" w:rsidRPr="00896A94" w:rsidRDefault="00896A94" w:rsidP="00896A94">
      <w:pPr>
        <w:spacing w:before="240"/>
        <w:contextualSpacing w:val="0"/>
        <w:rPr>
          <w:b/>
          <w:bCs/>
        </w:rPr>
      </w:pPr>
      <w:r w:rsidRPr="00896A94">
        <w:rPr>
          <w:b/>
          <w:bCs/>
        </w:rPr>
        <w:t xml:space="preserve">Many Australian workers may be exposed to the </w:t>
      </w:r>
      <w:r w:rsidR="00B95B45">
        <w:rPr>
          <w:b/>
          <w:bCs/>
        </w:rPr>
        <w:t>9</w:t>
      </w:r>
      <w:r w:rsidRPr="00896A94">
        <w:rPr>
          <w:b/>
          <w:bCs/>
        </w:rPr>
        <w:t xml:space="preserve"> chemicals</w:t>
      </w:r>
    </w:p>
    <w:p w14:paraId="41423A63" w14:textId="3261A352" w:rsidR="00896A94" w:rsidRPr="00993B73" w:rsidRDefault="00896A94" w:rsidP="00896A94">
      <w:pPr>
        <w:contextualSpacing w:val="0"/>
        <w:rPr>
          <w:lang w:eastAsia="en-AU"/>
        </w:rPr>
      </w:pPr>
      <w:r w:rsidRPr="00993B73">
        <w:rPr>
          <w:lang w:eastAsia="en-AU"/>
        </w:rPr>
        <w:t xml:space="preserve">The businesses where workers </w:t>
      </w:r>
      <w:r>
        <w:rPr>
          <w:lang w:eastAsia="en-AU"/>
        </w:rPr>
        <w:t>are at risk of being</w:t>
      </w:r>
      <w:r w:rsidRPr="00993B73">
        <w:rPr>
          <w:lang w:eastAsia="en-AU"/>
        </w:rPr>
        <w:t xml:space="preserve"> exposed to the </w:t>
      </w:r>
      <w:r>
        <w:rPr>
          <w:lang w:eastAsia="en-AU"/>
        </w:rPr>
        <w:t>9</w:t>
      </w:r>
      <w:r w:rsidRPr="00993B73">
        <w:rPr>
          <w:lang w:eastAsia="en-AU"/>
        </w:rPr>
        <w:t xml:space="preserve"> chemicals represent a notable proportion of the total businesses operating across Australia. Given the nature of the proposed WEL, it is expected that a large number of businesses will </w:t>
      </w:r>
      <w:r>
        <w:rPr>
          <w:lang w:eastAsia="en-AU"/>
        </w:rPr>
        <w:t xml:space="preserve">likely </w:t>
      </w:r>
      <w:r w:rsidRPr="00993B73">
        <w:rPr>
          <w:lang w:eastAsia="en-AU"/>
        </w:rPr>
        <w:t xml:space="preserve">incur </w:t>
      </w:r>
      <w:r>
        <w:rPr>
          <w:lang w:eastAsia="en-AU"/>
        </w:rPr>
        <w:t xml:space="preserve">some </w:t>
      </w:r>
      <w:r w:rsidRPr="00993B73">
        <w:rPr>
          <w:lang w:eastAsia="en-AU"/>
        </w:rPr>
        <w:t>additional costs to comply with the proposed reduced limits</w:t>
      </w:r>
      <w:r>
        <w:rPr>
          <w:lang w:eastAsia="en-AU"/>
        </w:rPr>
        <w:t>, while a large number of workers are likely to benefit from these reduced limits</w:t>
      </w:r>
      <w:r w:rsidRPr="00993B73">
        <w:rPr>
          <w:lang w:eastAsia="en-AU"/>
        </w:rPr>
        <w:t>.</w:t>
      </w:r>
    </w:p>
    <w:p w14:paraId="24C6B72B" w14:textId="77777777" w:rsidR="00896A94" w:rsidRPr="00993B73" w:rsidRDefault="00896A94" w:rsidP="00896A94">
      <w:pPr>
        <w:contextualSpacing w:val="0"/>
        <w:rPr>
          <w:lang w:eastAsia="en-AU"/>
        </w:rPr>
      </w:pPr>
      <w:r w:rsidRPr="00993B73">
        <w:rPr>
          <w:lang w:eastAsia="en-AU"/>
        </w:rPr>
        <w:t>This section summarises the categorisation of businesses for the purpose of this analysis, the industries where workers are currently exposed to each chemical, and presents the methodology used to estimate the number of businesses affected by the proposed WEL.</w:t>
      </w:r>
    </w:p>
    <w:p w14:paraId="766D9FDE" w14:textId="77777777" w:rsidR="00896A94" w:rsidRPr="00993B73" w:rsidRDefault="00896A94" w:rsidP="00432137">
      <w:pPr>
        <w:pStyle w:val="SWAHeading4"/>
        <w:keepNext/>
      </w:pPr>
      <w:r w:rsidRPr="00993B73">
        <w:lastRenderedPageBreak/>
        <w:t xml:space="preserve">Categorisation of business </w:t>
      </w:r>
    </w:p>
    <w:p w14:paraId="669B1124" w14:textId="77777777" w:rsidR="00896A94" w:rsidRPr="00993B73" w:rsidRDefault="00896A94" w:rsidP="00432137">
      <w:pPr>
        <w:keepNext/>
        <w:contextualSpacing w:val="0"/>
        <w:rPr>
          <w:lang w:eastAsia="en-AU"/>
        </w:rPr>
      </w:pPr>
      <w:r w:rsidRPr="00993B73">
        <w:rPr>
          <w:lang w:eastAsia="en-AU"/>
        </w:rPr>
        <w:t>Businesses are categorised across two dimensions: industry and business size.</w:t>
      </w:r>
    </w:p>
    <w:p w14:paraId="65ED77E7" w14:textId="77777777" w:rsidR="00896A94" w:rsidRPr="00896A94" w:rsidRDefault="00896A94" w:rsidP="00896A94">
      <w:pPr>
        <w:spacing w:before="240"/>
        <w:contextualSpacing w:val="0"/>
        <w:rPr>
          <w:b/>
          <w:bCs/>
        </w:rPr>
      </w:pPr>
      <w:r w:rsidRPr="00896A94">
        <w:rPr>
          <w:b/>
          <w:bCs/>
        </w:rPr>
        <w:t>Businesses are categorised into small, medium and large sizes</w:t>
      </w:r>
    </w:p>
    <w:p w14:paraId="621DD359" w14:textId="77777777" w:rsidR="00896A94" w:rsidRPr="00993B73" w:rsidRDefault="00896A94" w:rsidP="00896A94">
      <w:pPr>
        <w:rPr>
          <w:lang w:eastAsia="en-AU"/>
        </w:rPr>
      </w:pPr>
      <w:r w:rsidRPr="00993B73">
        <w:rPr>
          <w:lang w:eastAsia="en-AU"/>
        </w:rPr>
        <w:t>The size of business is categorised in line with ABS classification, as follows:</w:t>
      </w:r>
    </w:p>
    <w:p w14:paraId="2D41F5E5" w14:textId="77777777" w:rsidR="00896A94" w:rsidRPr="00993B73" w:rsidRDefault="00896A94" w:rsidP="00A2768E">
      <w:pPr>
        <w:pStyle w:val="ListParagraph"/>
        <w:numPr>
          <w:ilvl w:val="0"/>
          <w:numId w:val="99"/>
        </w:numPr>
        <w:suppressAutoHyphens/>
        <w:spacing w:line="259" w:lineRule="auto"/>
        <w:contextualSpacing w:val="0"/>
      </w:pPr>
      <w:r w:rsidRPr="00993B73">
        <w:t>Small businesses employ 1 to 19 people</w:t>
      </w:r>
    </w:p>
    <w:p w14:paraId="56830FA2" w14:textId="77777777" w:rsidR="00896A94" w:rsidRPr="00993B73" w:rsidRDefault="00896A94" w:rsidP="00A2768E">
      <w:pPr>
        <w:pStyle w:val="ListParagraph"/>
        <w:numPr>
          <w:ilvl w:val="0"/>
          <w:numId w:val="99"/>
        </w:numPr>
        <w:suppressAutoHyphens/>
        <w:spacing w:line="259" w:lineRule="auto"/>
        <w:contextualSpacing w:val="0"/>
      </w:pPr>
      <w:r w:rsidRPr="00993B73">
        <w:t>Medium businesses employ 20 to 199 people</w:t>
      </w:r>
    </w:p>
    <w:p w14:paraId="7CFB9197" w14:textId="59C0DE6F" w:rsidR="00896A94" w:rsidRPr="00993B73" w:rsidRDefault="00896A94" w:rsidP="00A2768E">
      <w:pPr>
        <w:pStyle w:val="ListParagraph"/>
        <w:numPr>
          <w:ilvl w:val="0"/>
          <w:numId w:val="99"/>
        </w:numPr>
        <w:suppressAutoHyphens/>
        <w:spacing w:line="259" w:lineRule="auto"/>
        <w:contextualSpacing w:val="0"/>
      </w:pPr>
      <w:r w:rsidRPr="00993B73">
        <w:t>Large businesses employ 200 or more people</w:t>
      </w:r>
      <w:r w:rsidR="00A45EE2">
        <w:t xml:space="preserve"> </w:t>
      </w:r>
      <w:sdt>
        <w:sdtPr>
          <w:id w:val="-1648270089"/>
          <w:citation/>
        </w:sdtPr>
        <w:sdtEndPr/>
        <w:sdtContent>
          <w:r w:rsidR="00A45EE2">
            <w:fldChar w:fldCharType="begin"/>
          </w:r>
          <w:r w:rsidR="00A45EE2">
            <w:instrText xml:space="preserve"> CITATION Aus181 \l 3081 </w:instrText>
          </w:r>
          <w:r w:rsidR="00A45EE2">
            <w:fldChar w:fldCharType="separate"/>
          </w:r>
          <w:r w:rsidR="00490B21">
            <w:rPr>
              <w:noProof/>
            </w:rPr>
            <w:t>(Australian Bureau of Statistics, 2018)</w:t>
          </w:r>
          <w:r w:rsidR="00A45EE2">
            <w:fldChar w:fldCharType="end"/>
          </w:r>
        </w:sdtContent>
      </w:sdt>
      <w:r w:rsidRPr="00993B73">
        <w:t>.</w:t>
      </w:r>
    </w:p>
    <w:p w14:paraId="5A0D4298" w14:textId="01796E64" w:rsidR="00896A94" w:rsidRPr="00993B73" w:rsidRDefault="00896A94" w:rsidP="00896A94">
      <w:pPr>
        <w:contextualSpacing w:val="0"/>
        <w:rPr>
          <w:lang w:eastAsia="en-AU"/>
        </w:rPr>
      </w:pPr>
      <w:r w:rsidRPr="00993B73">
        <w:t xml:space="preserve">Non-employing businesses are not included in this analysis. The exclusion assumes that non-employing businesses may not be currently operating or, if they are operating, may not be undertaking the activities that give rise to exposure </w:t>
      </w:r>
      <w:r w:rsidR="0084576C">
        <w:t xml:space="preserve">to the 9 chemicals </w:t>
      </w:r>
      <w:r w:rsidR="0007001C">
        <w:t>considered in</w:t>
      </w:r>
      <w:r w:rsidR="0084576C">
        <w:t xml:space="preserve"> this </w:t>
      </w:r>
      <w:r w:rsidR="00B95B45">
        <w:t xml:space="preserve">Decision RIS </w:t>
      </w:r>
      <w:r w:rsidRPr="00993B73">
        <w:t xml:space="preserve">due to not having employees to undertake such activities. </w:t>
      </w:r>
    </w:p>
    <w:p w14:paraId="49C09B0F" w14:textId="77777777" w:rsidR="00896A94" w:rsidRPr="00896A94" w:rsidRDefault="00896A94" w:rsidP="00896A94">
      <w:pPr>
        <w:spacing w:before="240"/>
        <w:contextualSpacing w:val="0"/>
        <w:rPr>
          <w:b/>
          <w:bCs/>
        </w:rPr>
      </w:pPr>
      <w:r w:rsidRPr="00896A94">
        <w:rPr>
          <w:b/>
          <w:bCs/>
        </w:rPr>
        <w:t>Businesses are categorised into industries using the ANZSIC</w:t>
      </w:r>
    </w:p>
    <w:p w14:paraId="21046F97" w14:textId="035E9036" w:rsidR="00850B44" w:rsidRDefault="00896A94" w:rsidP="002377F2">
      <w:r w:rsidRPr="00993B73">
        <w:rPr>
          <w:lang w:eastAsia="en-AU"/>
        </w:rPr>
        <w:t xml:space="preserve">The </w:t>
      </w:r>
      <w:r w:rsidR="006709FB" w:rsidRPr="006709FB">
        <w:rPr>
          <w:lang w:eastAsia="en-AU"/>
        </w:rPr>
        <w:t>Australian and New Zealand Standard Industrial Classification</w:t>
      </w:r>
      <w:r w:rsidR="006709FB" w:rsidRPr="006709FB" w:rsidDel="00CB4AF3">
        <w:rPr>
          <w:lang w:eastAsia="en-AU"/>
        </w:rPr>
        <w:t xml:space="preserve"> </w:t>
      </w:r>
      <w:r w:rsidR="006709FB">
        <w:rPr>
          <w:lang w:eastAsia="en-AU"/>
        </w:rPr>
        <w:t>(</w:t>
      </w:r>
      <w:r w:rsidRPr="00993B73" w:rsidDel="00CB4AF3">
        <w:rPr>
          <w:lang w:eastAsia="en-AU"/>
        </w:rPr>
        <w:t>ANZSIC</w:t>
      </w:r>
      <w:r w:rsidR="006709FB">
        <w:rPr>
          <w:lang w:eastAsia="en-AU"/>
        </w:rPr>
        <w:t>)</w:t>
      </w:r>
      <w:r w:rsidRPr="00993B73" w:rsidDel="00CB4AF3">
        <w:rPr>
          <w:lang w:eastAsia="en-AU"/>
        </w:rPr>
        <w:t xml:space="preserve"> </w:t>
      </w:r>
      <w:r w:rsidRPr="00993B73">
        <w:rPr>
          <w:lang w:eastAsia="en-AU"/>
        </w:rPr>
        <w:t>adopts a hierarchical alphanumeric classification system, where the industry division is denoted by an alpha character and the subdivision, group and class levels are denoted by numeric codes</w:t>
      </w:r>
      <w:r w:rsidR="00EE3F58">
        <w:rPr>
          <w:lang w:eastAsia="en-AU"/>
        </w:rPr>
        <w:t xml:space="preserve"> </w:t>
      </w:r>
      <w:sdt>
        <w:sdtPr>
          <w:rPr>
            <w:lang w:eastAsia="en-AU"/>
          </w:rPr>
          <w:id w:val="-398990555"/>
          <w:citation/>
        </w:sdtPr>
        <w:sdtEndPr/>
        <w:sdtContent>
          <w:r w:rsidR="00461122">
            <w:rPr>
              <w:lang w:eastAsia="en-AU"/>
            </w:rPr>
            <w:fldChar w:fldCharType="begin"/>
          </w:r>
          <w:r w:rsidR="00461122">
            <w:rPr>
              <w:lang w:eastAsia="en-AU"/>
            </w:rPr>
            <w:instrText xml:space="preserve"> CITATION Aus06 \l 3081 </w:instrText>
          </w:r>
          <w:r w:rsidR="00461122">
            <w:rPr>
              <w:lang w:eastAsia="en-AU"/>
            </w:rPr>
            <w:fldChar w:fldCharType="separate"/>
          </w:r>
          <w:r w:rsidR="00490B21">
            <w:rPr>
              <w:noProof/>
              <w:lang w:eastAsia="en-AU"/>
            </w:rPr>
            <w:t>(Australian Bureau of Statistics, 2006)</w:t>
          </w:r>
          <w:r w:rsidR="00461122">
            <w:rPr>
              <w:lang w:eastAsia="en-AU"/>
            </w:rPr>
            <w:fldChar w:fldCharType="end"/>
          </w:r>
        </w:sdtContent>
      </w:sdt>
      <w:r w:rsidRPr="00993B73">
        <w:rPr>
          <w:lang w:eastAsia="en-AU"/>
        </w:rPr>
        <w:t>. An example is presented in</w:t>
      </w:r>
      <w:r w:rsidR="00850B44">
        <w:rPr>
          <w:lang w:eastAsia="en-AU"/>
        </w:rPr>
        <w:t xml:space="preserve"> </w:t>
      </w:r>
      <w:r w:rsidR="009007B1">
        <w:rPr>
          <w:lang w:eastAsia="en-AU"/>
        </w:rPr>
        <w:fldChar w:fldCharType="begin"/>
      </w:r>
      <w:r w:rsidR="009007B1">
        <w:rPr>
          <w:lang w:eastAsia="en-AU"/>
        </w:rPr>
        <w:instrText xml:space="preserve"> REF _Ref216792241 \h </w:instrText>
      </w:r>
      <w:r w:rsidR="009007B1">
        <w:rPr>
          <w:lang w:eastAsia="en-AU"/>
        </w:rPr>
      </w:r>
      <w:r w:rsidR="009007B1">
        <w:rPr>
          <w:lang w:eastAsia="en-AU"/>
        </w:rPr>
        <w:fldChar w:fldCharType="separate"/>
      </w:r>
      <w:r w:rsidR="00A002F4">
        <w:t xml:space="preserve">Table </w:t>
      </w:r>
      <w:r w:rsidR="00A002F4">
        <w:rPr>
          <w:noProof/>
        </w:rPr>
        <w:t>47</w:t>
      </w:r>
      <w:r w:rsidR="009007B1">
        <w:rPr>
          <w:lang w:eastAsia="en-AU"/>
        </w:rPr>
        <w:fldChar w:fldCharType="end"/>
      </w:r>
      <w:r w:rsidRPr="00993B73">
        <w:rPr>
          <w:lang w:eastAsia="en-AU"/>
        </w:rPr>
        <w:t>.</w:t>
      </w:r>
    </w:p>
    <w:p w14:paraId="226AFEEA" w14:textId="1CE2B318" w:rsidR="009007B1" w:rsidRDefault="009007B1" w:rsidP="002377F2">
      <w:pPr>
        <w:pStyle w:val="Caption"/>
      </w:pPr>
      <w:bookmarkStart w:id="660" w:name="_Ref216792241"/>
      <w:r>
        <w:t xml:space="preserve">Table </w:t>
      </w:r>
      <w:fldSimple w:instr=" SEQ Table \* ARABIC ">
        <w:r w:rsidR="00A002F4">
          <w:rPr>
            <w:noProof/>
          </w:rPr>
          <w:t>47</w:t>
        </w:r>
      </w:fldSimple>
      <w:bookmarkEnd w:id="660"/>
      <w:r>
        <w:t xml:space="preserve"> - </w:t>
      </w:r>
      <w:r w:rsidRPr="0055089A">
        <w:t>ANZSIC hierarchy</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80"/>
        <w:gridCol w:w="6536"/>
      </w:tblGrid>
      <w:tr w:rsidR="00850B44" w:rsidRPr="003042C8" w14:paraId="37AEB6EE" w14:textId="77777777" w:rsidTr="00850B44">
        <w:tc>
          <w:tcPr>
            <w:tcW w:w="2480" w:type="dxa"/>
            <w:shd w:val="clear" w:color="auto" w:fill="4877E0" w:themeFill="accent1"/>
          </w:tcPr>
          <w:p w14:paraId="2FDD6BF5" w14:textId="77777777" w:rsidR="00850B44" w:rsidRPr="00850B44" w:rsidRDefault="00850B44">
            <w:pPr>
              <w:pStyle w:val="Paragraph"/>
              <w:rPr>
                <w:b/>
                <w:bCs/>
                <w:color w:val="FFFFFF" w:themeColor="background1"/>
              </w:rPr>
            </w:pPr>
            <w:r w:rsidRPr="00850B44">
              <w:rPr>
                <w:b/>
                <w:bCs/>
                <w:color w:val="FFFFFF" w:themeColor="background1"/>
              </w:rPr>
              <w:t>Level</w:t>
            </w:r>
          </w:p>
        </w:tc>
        <w:tc>
          <w:tcPr>
            <w:tcW w:w="6536" w:type="dxa"/>
            <w:shd w:val="clear" w:color="auto" w:fill="4877E0" w:themeFill="accent1"/>
          </w:tcPr>
          <w:p w14:paraId="5C836461" w14:textId="77777777" w:rsidR="00850B44" w:rsidRPr="00850B44" w:rsidRDefault="00850B44">
            <w:pPr>
              <w:pStyle w:val="Paragraph"/>
              <w:rPr>
                <w:b/>
                <w:bCs/>
                <w:color w:val="FFFFFF" w:themeColor="background1"/>
              </w:rPr>
            </w:pPr>
            <w:r w:rsidRPr="00850B44">
              <w:rPr>
                <w:b/>
                <w:bCs/>
                <w:color w:val="FFFFFF" w:themeColor="background1"/>
              </w:rPr>
              <w:t>Example</w:t>
            </w:r>
          </w:p>
        </w:tc>
      </w:tr>
      <w:tr w:rsidR="00850B44" w:rsidRPr="003042C8" w14:paraId="3A81CE96" w14:textId="77777777" w:rsidTr="00850B44">
        <w:tc>
          <w:tcPr>
            <w:tcW w:w="2480" w:type="dxa"/>
          </w:tcPr>
          <w:p w14:paraId="44AC8C32" w14:textId="77777777" w:rsidR="00850B44" w:rsidRPr="003042C8" w:rsidRDefault="00850B44">
            <w:pPr>
              <w:pStyle w:val="Paragraph"/>
              <w:rPr>
                <w:b/>
                <w:bCs/>
              </w:rPr>
            </w:pPr>
            <w:r w:rsidRPr="003042C8">
              <w:rPr>
                <w:b/>
                <w:bCs/>
              </w:rPr>
              <w:t>Division</w:t>
            </w:r>
          </w:p>
        </w:tc>
        <w:tc>
          <w:tcPr>
            <w:tcW w:w="6536" w:type="dxa"/>
          </w:tcPr>
          <w:p w14:paraId="2A8B3BCC" w14:textId="77777777" w:rsidR="00850B44" w:rsidRPr="003042C8" w:rsidRDefault="00850B44">
            <w:pPr>
              <w:pStyle w:val="Paragraph"/>
            </w:pPr>
            <w:r w:rsidRPr="003042C8">
              <w:t>C Manufacturing</w:t>
            </w:r>
          </w:p>
        </w:tc>
      </w:tr>
      <w:tr w:rsidR="00850B44" w:rsidRPr="003042C8" w14:paraId="27DDA8E4" w14:textId="77777777" w:rsidTr="00850B44">
        <w:tc>
          <w:tcPr>
            <w:tcW w:w="2480" w:type="dxa"/>
            <w:shd w:val="clear" w:color="auto" w:fill="DAE3F8" w:themeFill="accent1" w:themeFillTint="33"/>
          </w:tcPr>
          <w:p w14:paraId="20DF234A" w14:textId="77777777" w:rsidR="00850B44" w:rsidRPr="003042C8" w:rsidRDefault="00850B44">
            <w:pPr>
              <w:pStyle w:val="Paragraph"/>
              <w:rPr>
                <w:b/>
                <w:bCs/>
              </w:rPr>
            </w:pPr>
            <w:r w:rsidRPr="003042C8">
              <w:rPr>
                <w:b/>
                <w:bCs/>
              </w:rPr>
              <w:t>Subdivision</w:t>
            </w:r>
          </w:p>
        </w:tc>
        <w:tc>
          <w:tcPr>
            <w:tcW w:w="6536" w:type="dxa"/>
            <w:shd w:val="clear" w:color="auto" w:fill="DAE3F8" w:themeFill="accent1" w:themeFillTint="33"/>
          </w:tcPr>
          <w:p w14:paraId="2B599CB5" w14:textId="77777777" w:rsidR="00850B44" w:rsidRPr="003042C8" w:rsidRDefault="00850B44">
            <w:pPr>
              <w:pStyle w:val="Paragraph"/>
            </w:pPr>
            <w:r w:rsidRPr="003042C8">
              <w:t>11 Food Product Manufacturing</w:t>
            </w:r>
          </w:p>
        </w:tc>
      </w:tr>
      <w:tr w:rsidR="00850B44" w:rsidRPr="003042C8" w14:paraId="74460090" w14:textId="77777777" w:rsidTr="00850B44">
        <w:tc>
          <w:tcPr>
            <w:tcW w:w="2480" w:type="dxa"/>
          </w:tcPr>
          <w:p w14:paraId="7DA50432" w14:textId="77777777" w:rsidR="00850B44" w:rsidRPr="003042C8" w:rsidRDefault="00850B44">
            <w:pPr>
              <w:pStyle w:val="Paragraph"/>
              <w:rPr>
                <w:b/>
                <w:bCs/>
              </w:rPr>
            </w:pPr>
            <w:r w:rsidRPr="003042C8">
              <w:rPr>
                <w:b/>
                <w:bCs/>
              </w:rPr>
              <w:t>Group</w:t>
            </w:r>
          </w:p>
        </w:tc>
        <w:tc>
          <w:tcPr>
            <w:tcW w:w="6536" w:type="dxa"/>
          </w:tcPr>
          <w:p w14:paraId="3E9EFC68" w14:textId="77777777" w:rsidR="00850B44" w:rsidRPr="003042C8" w:rsidRDefault="00850B44">
            <w:pPr>
              <w:pStyle w:val="Paragraph"/>
            </w:pPr>
            <w:r w:rsidRPr="003042C8">
              <w:t>111 Meat and Meat Product Manufacturing</w:t>
            </w:r>
          </w:p>
        </w:tc>
      </w:tr>
      <w:tr w:rsidR="00850B44" w:rsidRPr="003042C8" w14:paraId="79D90B16" w14:textId="77777777" w:rsidTr="00850B44">
        <w:tc>
          <w:tcPr>
            <w:tcW w:w="2480" w:type="dxa"/>
            <w:shd w:val="clear" w:color="auto" w:fill="DAE3F8" w:themeFill="accent1" w:themeFillTint="33"/>
          </w:tcPr>
          <w:p w14:paraId="3C908BE6" w14:textId="77777777" w:rsidR="00850B44" w:rsidRPr="003042C8" w:rsidRDefault="00850B44">
            <w:pPr>
              <w:pStyle w:val="Paragraph"/>
              <w:rPr>
                <w:b/>
                <w:bCs/>
              </w:rPr>
            </w:pPr>
            <w:r w:rsidRPr="003042C8">
              <w:rPr>
                <w:b/>
                <w:bCs/>
              </w:rPr>
              <w:t>Class</w:t>
            </w:r>
          </w:p>
        </w:tc>
        <w:tc>
          <w:tcPr>
            <w:tcW w:w="6536" w:type="dxa"/>
            <w:shd w:val="clear" w:color="auto" w:fill="DAE3F8" w:themeFill="accent1" w:themeFillTint="33"/>
          </w:tcPr>
          <w:p w14:paraId="1053CC80" w14:textId="77777777" w:rsidR="00850B44" w:rsidRPr="003042C8" w:rsidRDefault="00850B44">
            <w:pPr>
              <w:pStyle w:val="Paragraph"/>
            </w:pPr>
            <w:r w:rsidRPr="003042C8">
              <w:t>1111 Meat Processing</w:t>
            </w:r>
          </w:p>
        </w:tc>
      </w:tr>
    </w:tbl>
    <w:p w14:paraId="45DAA415" w14:textId="77777777" w:rsidR="00850B44" w:rsidRPr="00993B73" w:rsidRDefault="00850B44" w:rsidP="00896A94">
      <w:pPr>
        <w:rPr>
          <w:lang w:eastAsia="en-AU"/>
        </w:rPr>
      </w:pPr>
    </w:p>
    <w:p w14:paraId="0685097C" w14:textId="77777777" w:rsidR="00047E04" w:rsidRPr="00993B73" w:rsidRDefault="00047E04" w:rsidP="00047E04">
      <w:pPr>
        <w:pStyle w:val="SWAHeading4"/>
      </w:pPr>
      <w:r w:rsidRPr="00993B73">
        <w:t>Current businesses where workers may be exposed</w:t>
      </w:r>
    </w:p>
    <w:p w14:paraId="683E0671" w14:textId="17B5979D" w:rsidR="00FF20D6" w:rsidRPr="00993B73" w:rsidRDefault="00FF20D6" w:rsidP="005A3D84">
      <w:pPr>
        <w:contextualSpacing w:val="0"/>
      </w:pPr>
      <w:r w:rsidRPr="00993B73">
        <w:rPr>
          <w:lang w:eastAsia="en-AU"/>
        </w:rPr>
        <w:t>The key characteristics of the businesses that are expected to be affected by the proposed WEL for each chemical – including business size and ANZSIC Group – are summarised in</w:t>
      </w:r>
      <w:r w:rsidR="004A7A9C">
        <w:t xml:space="preserve"> </w:t>
      </w:r>
      <w:r w:rsidR="004A7A9C">
        <w:fldChar w:fldCharType="begin"/>
      </w:r>
      <w:r w:rsidR="004A7A9C">
        <w:instrText xml:space="preserve"> REF _Ref201063354 \h </w:instrText>
      </w:r>
      <w:r w:rsidR="004A7A9C">
        <w:fldChar w:fldCharType="separate"/>
      </w:r>
      <w:r w:rsidR="00A002F4">
        <w:t xml:space="preserve">Figure </w:t>
      </w:r>
      <w:r w:rsidR="00A002F4">
        <w:rPr>
          <w:noProof/>
        </w:rPr>
        <w:t>2</w:t>
      </w:r>
      <w:r w:rsidR="004A7A9C">
        <w:fldChar w:fldCharType="end"/>
      </w:r>
      <w:r w:rsidRPr="00993B73">
        <w:t xml:space="preserve">. These figures have been estimated using the ABS </w:t>
      </w:r>
      <w:r w:rsidRPr="00993B73">
        <w:rPr>
          <w:i/>
          <w:iCs/>
        </w:rPr>
        <w:t>Counts of Australian Businesses, including Entries and Exits</w:t>
      </w:r>
      <w:r w:rsidR="00787DD2">
        <w:rPr>
          <w:i/>
          <w:iCs/>
        </w:rPr>
        <w:t xml:space="preserve"> </w:t>
      </w:r>
      <w:sdt>
        <w:sdtPr>
          <w:rPr>
            <w:i/>
            <w:iCs/>
          </w:rPr>
          <w:id w:val="-140037400"/>
          <w:citation/>
        </w:sdtPr>
        <w:sdtEndPr/>
        <w:sdtContent>
          <w:r w:rsidR="000C5CBA">
            <w:rPr>
              <w:i/>
              <w:iCs/>
            </w:rPr>
            <w:fldChar w:fldCharType="begin"/>
          </w:r>
          <w:r w:rsidR="00990D33">
            <w:instrText xml:space="preserve">CITATION Aus244 \l 3081 </w:instrText>
          </w:r>
          <w:r w:rsidR="000C5CBA">
            <w:rPr>
              <w:i/>
              <w:iCs/>
            </w:rPr>
            <w:fldChar w:fldCharType="separate"/>
          </w:r>
          <w:r w:rsidR="00490B21">
            <w:rPr>
              <w:noProof/>
            </w:rPr>
            <w:t>(Australian Bureau of Statistics, 2023)</w:t>
          </w:r>
          <w:r w:rsidR="000C5CBA">
            <w:rPr>
              <w:i/>
              <w:iCs/>
            </w:rPr>
            <w:fldChar w:fldCharType="end"/>
          </w:r>
        </w:sdtContent>
      </w:sdt>
      <w:r w:rsidRPr="00993B73">
        <w:t>. See overleaf the approach used to estimate the number of affected businesses.</w:t>
      </w:r>
    </w:p>
    <w:p w14:paraId="2E8A1563" w14:textId="3F4E878A" w:rsidR="00FF20D6" w:rsidRPr="00993B73" w:rsidRDefault="005811EE" w:rsidP="005A3D84">
      <w:pPr>
        <w:contextualSpacing w:val="0"/>
      </w:pPr>
      <w:r>
        <w:fldChar w:fldCharType="begin"/>
      </w:r>
      <w:r>
        <w:instrText xml:space="preserve"> REF _Ref201063354 \h </w:instrText>
      </w:r>
      <w:r>
        <w:fldChar w:fldCharType="separate"/>
      </w:r>
      <w:r w:rsidR="00A002F4">
        <w:t xml:space="preserve">Figure </w:t>
      </w:r>
      <w:r w:rsidR="00A002F4">
        <w:rPr>
          <w:noProof/>
        </w:rPr>
        <w:t>2</w:t>
      </w:r>
      <w:r>
        <w:fldChar w:fldCharType="end"/>
      </w:r>
      <w:r>
        <w:t xml:space="preserve"> </w:t>
      </w:r>
      <w:r w:rsidR="00FF20D6" w:rsidRPr="00993B73">
        <w:t>illustrates that:</w:t>
      </w:r>
    </w:p>
    <w:p w14:paraId="026345DE" w14:textId="62E7AB3B" w:rsidR="00FF20D6" w:rsidRPr="00993B73" w:rsidRDefault="00FF20D6" w:rsidP="00A2768E">
      <w:pPr>
        <w:pStyle w:val="ListParagraph"/>
        <w:numPr>
          <w:ilvl w:val="0"/>
          <w:numId w:val="100"/>
        </w:numPr>
        <w:suppressAutoHyphens/>
        <w:spacing w:line="259" w:lineRule="auto"/>
        <w:contextualSpacing w:val="0"/>
      </w:pPr>
      <w:r w:rsidRPr="00993B73">
        <w:t xml:space="preserve">The </w:t>
      </w:r>
      <w:r w:rsidR="009A2EBA">
        <w:t>3</w:t>
      </w:r>
      <w:r>
        <w:t xml:space="preserve"> </w:t>
      </w:r>
      <w:r w:rsidRPr="00993B73">
        <w:t>chemicals with the estimated highest number of affected businesses include: RCS (19</w:t>
      </w:r>
      <w:r>
        <w:t>0</w:t>
      </w:r>
      <w:r w:rsidRPr="00993B73">
        <w:t xml:space="preserve">,000), </w:t>
      </w:r>
      <w:r>
        <w:t>formaldehyde</w:t>
      </w:r>
      <w:r w:rsidRPr="00993B73">
        <w:t xml:space="preserve"> (</w:t>
      </w:r>
      <w:r>
        <w:t>58</w:t>
      </w:r>
      <w:r w:rsidRPr="00993B73">
        <w:t xml:space="preserve">,000), and </w:t>
      </w:r>
      <w:r>
        <w:t>nitrogen dioxide</w:t>
      </w:r>
      <w:r w:rsidRPr="00993B73">
        <w:t xml:space="preserve"> (</w:t>
      </w:r>
      <w:r>
        <w:t>49</w:t>
      </w:r>
      <w:r w:rsidRPr="00993B73">
        <w:t>,000).</w:t>
      </w:r>
    </w:p>
    <w:p w14:paraId="357C1364" w14:textId="3BEF1A8F" w:rsidR="00FF20D6" w:rsidRPr="00993B73" w:rsidRDefault="00FF20D6" w:rsidP="00A2768E">
      <w:pPr>
        <w:pStyle w:val="ListParagraph"/>
        <w:numPr>
          <w:ilvl w:val="0"/>
          <w:numId w:val="100"/>
        </w:numPr>
        <w:suppressAutoHyphens/>
        <w:spacing w:line="259" w:lineRule="auto"/>
        <w:contextualSpacing w:val="0"/>
      </w:pPr>
      <w:r w:rsidRPr="00993B73">
        <w:t>The majority (93</w:t>
      </w:r>
      <w:r w:rsidR="00047E04">
        <w:t>%</w:t>
      </w:r>
      <w:r w:rsidRPr="00993B73">
        <w:t>) of affected businesses are estimated to be small, while only 6</w:t>
      </w:r>
      <w:r w:rsidR="00047E04">
        <w:t>%</w:t>
      </w:r>
      <w:r w:rsidRPr="00993B73">
        <w:t xml:space="preserve"> are medium and 1</w:t>
      </w:r>
      <w:r w:rsidR="00047E04">
        <w:t>%</w:t>
      </w:r>
      <w:r w:rsidRPr="00993B73" w:rsidDel="00047E04">
        <w:t xml:space="preserve"> </w:t>
      </w:r>
      <w:r w:rsidRPr="00993B73">
        <w:t>are large.</w:t>
      </w:r>
    </w:p>
    <w:p w14:paraId="7400B094" w14:textId="1265A69C" w:rsidR="00FF20D6" w:rsidRPr="00993B73" w:rsidRDefault="00FF20D6" w:rsidP="00A2768E">
      <w:pPr>
        <w:pStyle w:val="ListParagraph"/>
        <w:numPr>
          <w:ilvl w:val="0"/>
          <w:numId w:val="100"/>
        </w:numPr>
        <w:suppressAutoHyphens/>
        <w:spacing w:line="259" w:lineRule="auto"/>
        <w:contextualSpacing w:val="0"/>
      </w:pPr>
      <w:r w:rsidRPr="00993B73">
        <w:t xml:space="preserve">The </w:t>
      </w:r>
      <w:r w:rsidR="009A2EBA">
        <w:t xml:space="preserve">3 </w:t>
      </w:r>
      <w:r>
        <w:t xml:space="preserve">industries estimated to have the highest number of affected businesses are </w:t>
      </w:r>
      <w:r w:rsidRPr="00993B73">
        <w:t>construction (</w:t>
      </w:r>
      <w:r>
        <w:t>67</w:t>
      </w:r>
      <w:r w:rsidR="00047E04">
        <w:t>%</w:t>
      </w:r>
      <w:r w:rsidRPr="00993B73">
        <w:t>), manufacturing (</w:t>
      </w:r>
      <w:r>
        <w:t>16</w:t>
      </w:r>
      <w:r w:rsidR="00047E04">
        <w:t>%</w:t>
      </w:r>
      <w:r w:rsidRPr="00993B73">
        <w:t xml:space="preserve">), </w:t>
      </w:r>
      <w:r>
        <w:t xml:space="preserve">and </w:t>
      </w:r>
      <w:r w:rsidRPr="00993B73">
        <w:t>transport, postal and warehousing (6</w:t>
      </w:r>
      <w:r w:rsidR="00047E04">
        <w:t>%</w:t>
      </w:r>
      <w:r w:rsidRPr="00993B73">
        <w:t>).</w:t>
      </w:r>
    </w:p>
    <w:p w14:paraId="59831905" w14:textId="3281C8CB" w:rsidR="00FF20D6" w:rsidRDefault="00FF20D6" w:rsidP="005A3D84">
      <w:pPr>
        <w:contextualSpacing w:val="0"/>
        <w:rPr>
          <w:lang w:eastAsia="en-AU"/>
        </w:rPr>
      </w:pPr>
      <w:r w:rsidRPr="00993B73">
        <w:rPr>
          <w:lang w:eastAsia="en-AU"/>
        </w:rPr>
        <w:lastRenderedPageBreak/>
        <w:t xml:space="preserve">It is important to note that many of these businesses will use more than one of the </w:t>
      </w:r>
      <w:r w:rsidR="00467D9F">
        <w:rPr>
          <w:lang w:eastAsia="en-AU"/>
        </w:rPr>
        <w:t>9</w:t>
      </w:r>
      <w:r w:rsidRPr="00993B73">
        <w:rPr>
          <w:lang w:eastAsia="en-AU"/>
        </w:rPr>
        <w:t xml:space="preserve"> chemicals</w:t>
      </w:r>
      <w:r w:rsidR="00467D9F">
        <w:rPr>
          <w:lang w:eastAsia="en-AU"/>
        </w:rPr>
        <w:t xml:space="preserve"> that are subjected to this Decision RIS</w:t>
      </w:r>
      <w:r w:rsidRPr="00993B73">
        <w:rPr>
          <w:lang w:eastAsia="en-AU"/>
        </w:rPr>
        <w:t>. As such, the actual total number of affected businesses will be less than the sum of affected businesses for each industry.</w:t>
      </w:r>
    </w:p>
    <w:p w14:paraId="4A8B3E14" w14:textId="77777777" w:rsidR="00AF01AC" w:rsidRDefault="00467D9F" w:rsidP="00AF01AC">
      <w:pPr>
        <w:keepNext/>
      </w:pPr>
      <w:r>
        <w:rPr>
          <w:noProof/>
        </w:rPr>
        <w:drawing>
          <wp:inline distT="0" distB="0" distL="0" distR="0" wp14:anchorId="34A13458" wp14:editId="2761DD07">
            <wp:extent cx="5670550" cy="4105275"/>
            <wp:effectExtent l="0" t="0" r="6350" b="9525"/>
            <wp:docPr id="5050216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21662" name="Picture 1" descr="A screenshot of a graph&#10;&#10;Description automatically generated"/>
                    <pic:cNvPicPr/>
                  </pic:nvPicPr>
                  <pic:blipFill>
                    <a:blip r:embed="rId58"/>
                    <a:stretch>
                      <a:fillRect/>
                    </a:stretch>
                  </pic:blipFill>
                  <pic:spPr>
                    <a:xfrm>
                      <a:off x="0" y="0"/>
                      <a:ext cx="5670550" cy="4105275"/>
                    </a:xfrm>
                    <a:prstGeom prst="rect">
                      <a:avLst/>
                    </a:prstGeom>
                  </pic:spPr>
                </pic:pic>
              </a:graphicData>
            </a:graphic>
          </wp:inline>
        </w:drawing>
      </w:r>
    </w:p>
    <w:p w14:paraId="5EBFCB16" w14:textId="59D6A118" w:rsidR="00495105" w:rsidRPr="00993B73" w:rsidRDefault="00AF01AC" w:rsidP="00AF01AC">
      <w:pPr>
        <w:pStyle w:val="Caption"/>
        <w:spacing w:before="0"/>
        <w:rPr>
          <w:lang w:eastAsia="en-AU"/>
        </w:rPr>
      </w:pPr>
      <w:bookmarkStart w:id="661" w:name="_Ref201063354"/>
      <w:r>
        <w:t xml:space="preserve">Figure </w:t>
      </w:r>
      <w:fldSimple w:instr=" SEQ Figure \* ARABIC ">
        <w:r w:rsidR="00A002F4">
          <w:rPr>
            <w:noProof/>
          </w:rPr>
          <w:t>2</w:t>
        </w:r>
      </w:fldSimple>
      <w:bookmarkEnd w:id="661"/>
      <w:r>
        <w:t xml:space="preserve"> - </w:t>
      </w:r>
      <w:r w:rsidRPr="003D3B52">
        <w:t>Summary of affected businesses by chemical, 2024</w:t>
      </w:r>
    </w:p>
    <w:p w14:paraId="59C36588" w14:textId="77777777" w:rsidR="00B7012D" w:rsidRPr="00993B73" w:rsidRDefault="00B7012D" w:rsidP="00713FD7">
      <w:pPr>
        <w:pStyle w:val="SWAHeading4"/>
        <w:spacing w:before="240"/>
      </w:pPr>
      <w:r w:rsidRPr="00993B73">
        <w:t xml:space="preserve">Estimating the number of businesses affected by the proposed WEL </w:t>
      </w:r>
    </w:p>
    <w:p w14:paraId="6922C6B2" w14:textId="77777777" w:rsidR="00B25B09" w:rsidRDefault="00B25B09" w:rsidP="00B25B09">
      <w:pPr>
        <w:contextualSpacing w:val="0"/>
        <w:rPr>
          <w:lang w:eastAsia="en-AU"/>
        </w:rPr>
      </w:pPr>
      <w:r>
        <w:rPr>
          <w:lang w:eastAsia="en-AU"/>
        </w:rPr>
        <w:t>We have</w:t>
      </w:r>
      <w:r w:rsidRPr="00EC70BF">
        <w:rPr>
          <w:lang w:eastAsia="en-AU"/>
        </w:rPr>
        <w:t xml:space="preserve"> estimate</w:t>
      </w:r>
      <w:r>
        <w:rPr>
          <w:lang w:eastAsia="en-AU"/>
        </w:rPr>
        <w:t>d</w:t>
      </w:r>
      <w:r w:rsidRPr="00EC70BF">
        <w:rPr>
          <w:lang w:eastAsia="en-AU"/>
        </w:rPr>
        <w:t xml:space="preserve"> the number of businesses where workers </w:t>
      </w:r>
      <w:r>
        <w:rPr>
          <w:lang w:eastAsia="en-AU"/>
        </w:rPr>
        <w:t xml:space="preserve">are at risk of exposure </w:t>
      </w:r>
      <w:r w:rsidRPr="00EC70BF">
        <w:rPr>
          <w:lang w:eastAsia="en-AU"/>
        </w:rPr>
        <w:t xml:space="preserve">to </w:t>
      </w:r>
      <w:r>
        <w:rPr>
          <w:lang w:eastAsia="en-AU"/>
        </w:rPr>
        <w:t xml:space="preserve">each of </w:t>
      </w:r>
      <w:r w:rsidRPr="00EC70BF">
        <w:rPr>
          <w:lang w:eastAsia="en-AU"/>
        </w:rPr>
        <w:t>the</w:t>
      </w:r>
      <w:r>
        <w:rPr>
          <w:lang w:eastAsia="en-AU"/>
        </w:rPr>
        <w:t xml:space="preserve"> 9</w:t>
      </w:r>
      <w:r w:rsidRPr="00EC70BF">
        <w:rPr>
          <w:lang w:eastAsia="en-AU"/>
        </w:rPr>
        <w:t xml:space="preserve"> chemicals</w:t>
      </w:r>
      <w:r>
        <w:rPr>
          <w:lang w:eastAsia="en-AU"/>
        </w:rPr>
        <w:t>, which are expected to be affected by the proposed WEL. The number of affected businesses is estimated as follows:</w:t>
      </w:r>
    </w:p>
    <w:p w14:paraId="762D7D1E" w14:textId="77777777" w:rsidR="00B25B09" w:rsidRPr="00E4301F" w:rsidRDefault="002A11AD" w:rsidP="00B25B09">
      <w:pPr>
        <w:rPr>
          <w:rFonts w:eastAsiaTheme="minorEastAsia"/>
        </w:rPr>
      </w:pPr>
      <m:oMath>
        <m:sSubSup>
          <m:sSubSupPr>
            <m:ctrlPr>
              <w:rPr>
                <w:rFonts w:ascii="Cambria Math" w:hAnsi="Cambria Math"/>
                <w:i/>
              </w:rPr>
            </m:ctrlPr>
          </m:sSubSupPr>
          <m:e>
            <m:r>
              <w:rPr>
                <w:rFonts w:ascii="Cambria Math" w:hAnsi="Cambria Math"/>
              </w:rPr>
              <m:t>AB</m:t>
            </m:r>
          </m:e>
          <m:sub>
            <m:r>
              <w:rPr>
                <w:rFonts w:ascii="Cambria Math" w:hAnsi="Cambria Math"/>
              </w:rPr>
              <m:t>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ub>
          <m:sup>
            <m:r>
              <w:rPr>
                <w:rFonts w:ascii="Cambria Math" w:hAnsi="Cambria Math"/>
              </w:rPr>
              <m:t>S</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sidR="00B25B09" w:rsidRPr="00E4301F">
        <w:rPr>
          <w:rFonts w:eastAsiaTheme="minorEastAsia"/>
        </w:rPr>
        <w:t>, where:</w:t>
      </w:r>
    </w:p>
    <w:p w14:paraId="4A25DBAA" w14:textId="77777777" w:rsidR="00B25B09" w:rsidRPr="00E4301F" w:rsidRDefault="00B25B09" w:rsidP="00A2768E">
      <w:pPr>
        <w:pStyle w:val="ListParagraph"/>
        <w:numPr>
          <w:ilvl w:val="0"/>
          <w:numId w:val="101"/>
        </w:numPr>
        <w:suppressAutoHyphens/>
        <w:spacing w:line="259" w:lineRule="auto"/>
        <w:contextualSpacing w:val="0"/>
      </w:pPr>
      <w:r>
        <w:t>A</w:t>
      </w:r>
      <w:r w:rsidRPr="00E4301F">
        <w:t xml:space="preserve">B represents the number of </w:t>
      </w:r>
      <w:r>
        <w:t>affected</w:t>
      </w:r>
      <w:r w:rsidRPr="00E4301F">
        <w:t xml:space="preserve"> businesses</w:t>
      </w:r>
    </w:p>
    <w:p w14:paraId="2968D4A9" w14:textId="77777777" w:rsidR="00B25B09" w:rsidRPr="00E4301F" w:rsidRDefault="00B25B09" w:rsidP="00A2768E">
      <w:pPr>
        <w:pStyle w:val="ListParagraph"/>
        <w:numPr>
          <w:ilvl w:val="0"/>
          <w:numId w:val="101"/>
        </w:numPr>
        <w:suppressAutoHyphens/>
        <w:spacing w:line="259" w:lineRule="auto"/>
        <w:contextualSpacing w:val="0"/>
      </w:pPr>
      <w:r w:rsidRPr="00E4301F">
        <w:t>B represents the number of businesses in each industry where workers may be exposed to each chemical</w:t>
      </w:r>
    </w:p>
    <w:p w14:paraId="35B3314F" w14:textId="77777777" w:rsidR="00B25B09" w:rsidRPr="00E4301F" w:rsidRDefault="00B25B09" w:rsidP="00A2768E">
      <w:pPr>
        <w:pStyle w:val="ListParagraph"/>
        <w:numPr>
          <w:ilvl w:val="0"/>
          <w:numId w:val="101"/>
        </w:numPr>
        <w:suppressAutoHyphens/>
        <w:spacing w:line="259" w:lineRule="auto"/>
        <w:contextualSpacing w:val="0"/>
      </w:pPr>
      <w:r w:rsidRPr="00E4301F">
        <w:t xml:space="preserve">G represents the </w:t>
      </w:r>
      <w:r>
        <w:t xml:space="preserve">annual </w:t>
      </w:r>
      <w:r w:rsidRPr="00E4301F">
        <w:t>growth rate in the number of businesses</w:t>
      </w:r>
    </w:p>
    <w:p w14:paraId="36777C57" w14:textId="77777777" w:rsidR="00B25B09" w:rsidRPr="00E4301F" w:rsidRDefault="00B25B09" w:rsidP="00A2768E">
      <w:pPr>
        <w:pStyle w:val="ListParagraph"/>
        <w:numPr>
          <w:ilvl w:val="0"/>
          <w:numId w:val="101"/>
        </w:numPr>
        <w:suppressAutoHyphens/>
        <w:spacing w:line="259" w:lineRule="auto"/>
        <w:contextualSpacing w:val="0"/>
      </w:pPr>
      <w:r w:rsidRPr="00E4301F">
        <w:t xml:space="preserve">P represents the proportion of businesses in each industry where workers are </w:t>
      </w:r>
      <w:r>
        <w:t xml:space="preserve">at risk of exposure </w:t>
      </w:r>
      <w:r w:rsidRPr="00E4301F">
        <w:t>to each chemical</w:t>
      </w:r>
    </w:p>
    <w:p w14:paraId="20E9EAE0" w14:textId="77777777" w:rsidR="00B25B09" w:rsidRPr="00E4301F" w:rsidRDefault="00B25B09" w:rsidP="00A2768E">
      <w:pPr>
        <w:pStyle w:val="ListParagraph"/>
        <w:numPr>
          <w:ilvl w:val="0"/>
          <w:numId w:val="101"/>
        </w:numPr>
        <w:suppressAutoHyphens/>
        <w:spacing w:line="259" w:lineRule="auto"/>
        <w:contextualSpacing w:val="0"/>
      </w:pPr>
      <w:r w:rsidRPr="00E4301F">
        <w:t>I represents the ANZSIC Industry</w:t>
      </w:r>
    </w:p>
    <w:p w14:paraId="48E461F9" w14:textId="77777777" w:rsidR="00B25B09" w:rsidRPr="00E4301F" w:rsidRDefault="00B25B09" w:rsidP="00A2768E">
      <w:pPr>
        <w:pStyle w:val="ListParagraph"/>
        <w:numPr>
          <w:ilvl w:val="0"/>
          <w:numId w:val="101"/>
        </w:numPr>
        <w:suppressAutoHyphens/>
        <w:spacing w:line="259" w:lineRule="auto"/>
        <w:contextualSpacing w:val="0"/>
      </w:pPr>
      <w:r w:rsidRPr="00E4301F">
        <w:t>S represents the business size</w:t>
      </w:r>
      <w:r>
        <w:t>.</w:t>
      </w:r>
    </w:p>
    <w:p w14:paraId="7C8F7C0C" w14:textId="77777777" w:rsidR="00B25B09" w:rsidRPr="00E4301F" w:rsidRDefault="00B25B09" w:rsidP="00B25B09">
      <w:pPr>
        <w:keepNext/>
        <w:keepLines/>
      </w:pPr>
      <w:r w:rsidRPr="00E4301F">
        <w:lastRenderedPageBreak/>
        <w:t xml:space="preserve">The approach and information </w:t>
      </w:r>
      <w:r>
        <w:t>sources</w:t>
      </w:r>
      <w:r w:rsidRPr="00E4301F">
        <w:t xml:space="preserve"> used to estimate the number of businesses is:</w:t>
      </w:r>
    </w:p>
    <w:p w14:paraId="2796DC76" w14:textId="4673BE1F" w:rsidR="00B25B09" w:rsidRPr="0025795C" w:rsidRDefault="00B25B09" w:rsidP="00A2768E">
      <w:pPr>
        <w:pStyle w:val="ListParagraph"/>
        <w:keepNext/>
        <w:keepLines/>
        <w:numPr>
          <w:ilvl w:val="0"/>
          <w:numId w:val="101"/>
        </w:numPr>
        <w:suppressAutoHyphens/>
        <w:spacing w:line="259" w:lineRule="auto"/>
        <w:contextualSpacing w:val="0"/>
      </w:pPr>
      <w:r w:rsidRPr="00F92642">
        <w:rPr>
          <w:rFonts w:asciiTheme="majorHAnsi" w:hAnsiTheme="majorHAnsi" w:cstheme="majorHAnsi"/>
          <w:b/>
        </w:rPr>
        <w:t>Identify industries</w:t>
      </w:r>
      <w:r>
        <w:rPr>
          <w:rFonts w:asciiTheme="majorHAnsi" w:hAnsiTheme="majorHAnsi" w:cstheme="majorHAnsi"/>
        </w:rPr>
        <w:t xml:space="preserve"> |</w:t>
      </w:r>
      <w:r w:rsidRPr="00E4301F">
        <w:t xml:space="preserve"> </w:t>
      </w:r>
      <w:r w:rsidR="000F7D02" w:rsidRPr="00993B73">
        <w:t xml:space="preserve">Identify the industries in which workers are estimated to be </w:t>
      </w:r>
      <w:r w:rsidR="000F7D02">
        <w:t>at risk of exposure</w:t>
      </w:r>
      <w:r w:rsidR="000F7D02" w:rsidRPr="00993B73">
        <w:t xml:space="preserve"> to each chemical, based on stakeholder responses and </w:t>
      </w:r>
      <w:r w:rsidR="000F7D02">
        <w:t xml:space="preserve">NPI chemical emissions </w:t>
      </w:r>
      <w:r w:rsidR="000F7D02" w:rsidRPr="00993B73">
        <w:t xml:space="preserve">data </w:t>
      </w:r>
      <w:r w:rsidR="000F7D02">
        <w:t>reported by businesses</w:t>
      </w:r>
      <w:r w:rsidR="00FE53A8">
        <w:t xml:space="preserve"> </w:t>
      </w:r>
      <w:sdt>
        <w:sdtPr>
          <w:id w:val="-1511369777"/>
          <w:citation/>
        </w:sdtPr>
        <w:sdtEndPr/>
        <w:sdtContent>
          <w:r w:rsidR="00D907F2">
            <w:fldChar w:fldCharType="begin"/>
          </w:r>
          <w:r w:rsidR="00D907F2">
            <w:instrText xml:space="preserve">CITATION Aus \l 3081 </w:instrText>
          </w:r>
          <w:r w:rsidR="00D907F2">
            <w:fldChar w:fldCharType="separate"/>
          </w:r>
          <w:r w:rsidR="00490B21">
            <w:rPr>
              <w:noProof/>
            </w:rPr>
            <w:t>(Australian Govenrment Department of Climate Change, Energy, the Environment and Water, 2024)</w:t>
          </w:r>
          <w:r w:rsidR="00D907F2">
            <w:fldChar w:fldCharType="end"/>
          </w:r>
        </w:sdtContent>
      </w:sdt>
      <w:r w:rsidR="000F7D02" w:rsidRPr="00993B73">
        <w:t>. This is done at the ANZSIC Class level, which is the most granular level of the ANZSIC system</w:t>
      </w:r>
      <w:r w:rsidR="000944A1">
        <w:t xml:space="preserve"> </w:t>
      </w:r>
      <w:sdt>
        <w:sdtPr>
          <w:id w:val="-839009054"/>
          <w:citation/>
        </w:sdtPr>
        <w:sdtEndPr/>
        <w:sdtContent>
          <w:r w:rsidR="000944A1">
            <w:fldChar w:fldCharType="begin"/>
          </w:r>
          <w:r w:rsidR="000944A1">
            <w:instrText xml:space="preserve"> CITATION Aus06 \l 3081 </w:instrText>
          </w:r>
          <w:r w:rsidR="000944A1">
            <w:fldChar w:fldCharType="separate"/>
          </w:r>
          <w:r w:rsidR="00490B21">
            <w:rPr>
              <w:noProof/>
            </w:rPr>
            <w:t>(Australian Bureau of Statistics, 2006)</w:t>
          </w:r>
          <w:r w:rsidR="000944A1">
            <w:fldChar w:fldCharType="end"/>
          </w:r>
        </w:sdtContent>
      </w:sdt>
      <w:r w:rsidR="000F7D02" w:rsidRPr="00993B73">
        <w:t xml:space="preserve">. </w:t>
      </w:r>
      <w:r w:rsidR="000F7D02">
        <w:t xml:space="preserve">The industry list represents the key industries where workers may be exposed to the </w:t>
      </w:r>
      <w:r w:rsidR="00B5159C">
        <w:t>9 chemicals considered in this Decision RIS</w:t>
      </w:r>
      <w:r w:rsidR="000F7D02">
        <w:t xml:space="preserve">. </w:t>
      </w:r>
      <w:r w:rsidR="000F7D02" w:rsidRPr="00993B73">
        <w:t xml:space="preserve">The detailed list </w:t>
      </w:r>
      <w:r w:rsidR="000F7D02">
        <w:t xml:space="preserve">of </w:t>
      </w:r>
      <w:r w:rsidR="000F7D02" w:rsidRPr="00993B73">
        <w:t xml:space="preserve">industries that are expected to be impacted by the proposed WEL, for each of the chemicals is included in </w:t>
      </w:r>
      <w:hyperlink w:anchor="AppendixF_AffectedBusinssesandWorkers" w:history="1">
        <w:r w:rsidR="00DA3BEE">
          <w:rPr>
            <w:rStyle w:val="Hyperlink"/>
            <w:color w:val="auto"/>
            <w:u w:val="none"/>
          </w:rPr>
          <w:t>Appendix F</w:t>
        </w:r>
      </w:hyperlink>
      <w:r w:rsidR="000F7D02" w:rsidRPr="00993B73">
        <w:t>.</w:t>
      </w:r>
    </w:p>
    <w:p w14:paraId="61945755" w14:textId="7961846B" w:rsidR="00B25B09" w:rsidRPr="00E4301F" w:rsidRDefault="00B25B09" w:rsidP="00A2768E">
      <w:pPr>
        <w:pStyle w:val="ListParagraph"/>
        <w:numPr>
          <w:ilvl w:val="0"/>
          <w:numId w:val="101"/>
        </w:numPr>
        <w:suppressAutoHyphens/>
        <w:spacing w:line="259" w:lineRule="auto"/>
        <w:contextualSpacing w:val="0"/>
      </w:pPr>
      <w:r w:rsidRPr="00C62E4B">
        <w:rPr>
          <w:rFonts w:asciiTheme="majorHAnsi" w:hAnsiTheme="majorHAnsi" w:cstheme="majorHAnsi"/>
          <w:b/>
        </w:rPr>
        <w:t>Count of businesses (current)</w:t>
      </w:r>
      <w:r>
        <w:rPr>
          <w:rFonts w:asciiTheme="majorHAnsi" w:hAnsiTheme="majorHAnsi" w:cstheme="majorHAnsi"/>
        </w:rPr>
        <w:t xml:space="preserve"> |</w:t>
      </w:r>
      <w:r w:rsidRPr="00E4301F">
        <w:t xml:space="preserve"> The current count of businesses (by industry and size) is based on the ABS Counts of Australian Businesses</w:t>
      </w:r>
      <w:r>
        <w:t xml:space="preserve"> June 2023</w:t>
      </w:r>
      <w:r w:rsidR="00990D33">
        <w:t xml:space="preserve"> </w:t>
      </w:r>
      <w:sdt>
        <w:sdtPr>
          <w:id w:val="-1233385134"/>
          <w:citation/>
        </w:sdtPr>
        <w:sdtEndPr/>
        <w:sdtContent>
          <w:r w:rsidR="004E1AEB">
            <w:fldChar w:fldCharType="begin"/>
          </w:r>
          <w:r w:rsidR="004E1AEB">
            <w:instrText xml:space="preserve"> CITATION Aus244 \l 3081 </w:instrText>
          </w:r>
          <w:r w:rsidR="004E1AEB">
            <w:fldChar w:fldCharType="separate"/>
          </w:r>
          <w:r w:rsidR="00490B21">
            <w:rPr>
              <w:noProof/>
            </w:rPr>
            <w:t>(Australian Bureau of Statistics, 2023)</w:t>
          </w:r>
          <w:r w:rsidR="004E1AEB">
            <w:fldChar w:fldCharType="end"/>
          </w:r>
        </w:sdtContent>
      </w:sdt>
      <w:r w:rsidRPr="00E4301F">
        <w:t xml:space="preserve">. </w:t>
      </w:r>
      <w:r>
        <w:t xml:space="preserve">This data presents the total number of businesses at the four-digit </w:t>
      </w:r>
      <w:r w:rsidRPr="006664F3">
        <w:t xml:space="preserve">ANZSIC Industry </w:t>
      </w:r>
      <w:r>
        <w:t xml:space="preserve">Class by employment size for each jurisdiction. ABS counts of Australian Businesses for June 2024 is not used as it is only available at the ANZSIC subdivision level, which does not provide sufficient granularity for this analysis. </w:t>
      </w:r>
    </w:p>
    <w:p w14:paraId="36975A7F" w14:textId="3C53FE6C" w:rsidR="00D94FE8" w:rsidRPr="00993B73" w:rsidRDefault="00B25B09" w:rsidP="00A2768E">
      <w:pPr>
        <w:pStyle w:val="ListParagraph"/>
        <w:numPr>
          <w:ilvl w:val="0"/>
          <w:numId w:val="101"/>
        </w:numPr>
        <w:suppressAutoHyphens/>
        <w:spacing w:line="259" w:lineRule="auto"/>
        <w:contextualSpacing w:val="0"/>
      </w:pPr>
      <w:r w:rsidRPr="001B2841">
        <w:rPr>
          <w:rFonts w:asciiTheme="majorHAnsi" w:hAnsiTheme="majorHAnsi" w:cstheme="majorHAnsi"/>
          <w:b/>
        </w:rPr>
        <w:t>Count of businesses (projected)</w:t>
      </w:r>
      <w:r>
        <w:rPr>
          <w:rFonts w:asciiTheme="majorHAnsi" w:hAnsiTheme="majorHAnsi" w:cstheme="majorHAnsi"/>
        </w:rPr>
        <w:t xml:space="preserve"> |</w:t>
      </w:r>
      <w:r w:rsidRPr="00406593">
        <w:rPr>
          <w:rFonts w:asciiTheme="majorHAnsi" w:hAnsiTheme="majorHAnsi" w:cstheme="majorHAnsi"/>
        </w:rPr>
        <w:t xml:space="preserve"> </w:t>
      </w:r>
      <w:r w:rsidR="00D94FE8" w:rsidRPr="00993B73">
        <w:t>The growth rate in the number of businesses (by industry and size) is based on the compound annual growth rate (CAGR) in the count of businesses between June 2013 and June 2023</w:t>
      </w:r>
      <w:r w:rsidR="004D1FDA">
        <w:t xml:space="preserve"> </w:t>
      </w:r>
      <w:sdt>
        <w:sdtPr>
          <w:id w:val="-41744979"/>
          <w:citation/>
        </w:sdtPr>
        <w:sdtEndPr/>
        <w:sdtContent>
          <w:r w:rsidR="004E1AEB">
            <w:fldChar w:fldCharType="begin"/>
          </w:r>
          <w:r w:rsidR="004E1AEB">
            <w:instrText xml:space="preserve"> CITATION Aus244 \l 3081 </w:instrText>
          </w:r>
          <w:r w:rsidR="004E1AEB">
            <w:fldChar w:fldCharType="separate"/>
          </w:r>
          <w:r w:rsidR="00490B21">
            <w:rPr>
              <w:noProof/>
            </w:rPr>
            <w:t>(Australian Bureau of Statistics, 2023)</w:t>
          </w:r>
          <w:r w:rsidR="004E1AEB">
            <w:fldChar w:fldCharType="end"/>
          </w:r>
        </w:sdtContent>
      </w:sdt>
      <w:r w:rsidR="00D94FE8" w:rsidRPr="00993B73">
        <w:t xml:space="preserve">. The metric is calculated using a ten-year period to provide a smoothed average growth rate, that reduces the effects of short-term fluctuations or outliers. </w:t>
      </w:r>
      <w:r w:rsidR="00C821E8">
        <w:fldChar w:fldCharType="begin"/>
      </w:r>
      <w:r w:rsidR="00C821E8">
        <w:instrText xml:space="preserve"> REF _Ref216793874 \h </w:instrText>
      </w:r>
      <w:r w:rsidR="00C821E8">
        <w:fldChar w:fldCharType="separate"/>
      </w:r>
      <w:r w:rsidR="00A002F4">
        <w:t xml:space="preserve">Table </w:t>
      </w:r>
      <w:r w:rsidR="00A002F4">
        <w:rPr>
          <w:noProof/>
        </w:rPr>
        <w:t>74</w:t>
      </w:r>
      <w:r w:rsidR="00C821E8">
        <w:fldChar w:fldCharType="end"/>
      </w:r>
      <w:r w:rsidR="00C821E8">
        <w:t xml:space="preserve"> </w:t>
      </w:r>
      <w:r w:rsidR="00EC6377">
        <w:t xml:space="preserve">of </w:t>
      </w:r>
      <w:hyperlink w:anchor="AppendixF_AffectedBusinssesandWorkers" w:history="1">
        <w:r w:rsidR="00DA3BEE" w:rsidRPr="00B64384">
          <w:rPr>
            <w:rStyle w:val="Hyperlink"/>
            <w:color w:val="auto"/>
            <w:u w:val="none"/>
          </w:rPr>
          <w:t>Appendix F</w:t>
        </w:r>
      </w:hyperlink>
      <w:r w:rsidR="00DA3BEE">
        <w:t xml:space="preserve"> </w:t>
      </w:r>
      <w:r w:rsidR="00D94FE8" w:rsidRPr="00993B73">
        <w:t xml:space="preserve">presents the estimated CAGR for the count of businesses by ANZSIC Group and business size classification. Using the established CAGR, the business count has been forecast for the FY27 to FY36 appraisal period. </w:t>
      </w:r>
    </w:p>
    <w:p w14:paraId="4DC6AAD9" w14:textId="77777777" w:rsidR="00B25B09" w:rsidRDefault="00B25B09" w:rsidP="00A2768E">
      <w:pPr>
        <w:pStyle w:val="ListParagraph"/>
        <w:numPr>
          <w:ilvl w:val="0"/>
          <w:numId w:val="101"/>
        </w:numPr>
        <w:suppressAutoHyphens/>
        <w:spacing w:line="259" w:lineRule="auto"/>
        <w:contextualSpacing w:val="0"/>
      </w:pPr>
      <w:r w:rsidRPr="001B2841">
        <w:rPr>
          <w:rFonts w:asciiTheme="majorHAnsi" w:hAnsiTheme="majorHAnsi" w:cstheme="majorHAnsi"/>
          <w:b/>
        </w:rPr>
        <w:t>Proportion of businesses</w:t>
      </w:r>
      <w:r>
        <w:rPr>
          <w:rFonts w:asciiTheme="majorHAnsi" w:hAnsiTheme="majorHAnsi" w:cstheme="majorHAnsi"/>
        </w:rPr>
        <w:t xml:space="preserve"> |</w:t>
      </w:r>
      <w:r w:rsidRPr="00E4301F">
        <w:t xml:space="preserve"> The proportion of businesses where workers are </w:t>
      </w:r>
      <w:r>
        <w:t>assumed to be</w:t>
      </w:r>
      <w:r w:rsidRPr="00E4301F">
        <w:t xml:space="preserve"> </w:t>
      </w:r>
      <w:r>
        <w:t>at risk of exposure to the 9 chemicals</w:t>
      </w:r>
      <w:r w:rsidRPr="00723A5E">
        <w:t xml:space="preserve"> </w:t>
      </w:r>
      <w:r>
        <w:t>has been informed by</w:t>
      </w:r>
      <w:r w:rsidRPr="00E4301F">
        <w:t xml:space="preserve"> </w:t>
      </w:r>
      <w:r>
        <w:t>stakeholder responses</w:t>
      </w:r>
      <w:r w:rsidRPr="00E4301F">
        <w:t>.</w:t>
      </w:r>
      <w:r w:rsidRPr="00723A5E">
        <w:t xml:space="preserve"> In the absence of estimated proportions, the analysis assumes </w:t>
      </w:r>
      <w:r>
        <w:t xml:space="preserve">that around </w:t>
      </w:r>
      <w:r w:rsidRPr="00723A5E">
        <w:t>80</w:t>
      </w:r>
      <w:r>
        <w:t>%</w:t>
      </w:r>
      <w:r w:rsidRPr="00723A5E">
        <w:t xml:space="preserve"> of businesses in each industry</w:t>
      </w:r>
      <w:r>
        <w:t xml:space="preserve"> where workers are at risk of exposure to each chemical</w:t>
      </w:r>
      <w:r w:rsidRPr="00723A5E">
        <w:t>.</w:t>
      </w:r>
      <w:r>
        <w:t xml:space="preserve"> </w:t>
      </w:r>
    </w:p>
    <w:p w14:paraId="59951BA6" w14:textId="77777777" w:rsidR="00B25B09" w:rsidRDefault="00B25B09" w:rsidP="00B25B09">
      <w:pPr>
        <w:contextualSpacing w:val="0"/>
        <w:rPr>
          <w:lang w:eastAsia="en-AU"/>
        </w:rPr>
      </w:pPr>
      <w:r>
        <w:rPr>
          <w:lang w:eastAsia="en-AU"/>
        </w:rPr>
        <w:t>The call-out box below highlights the key assumptions made in estimating the number of businesses affected by the proposed WELs.</w:t>
      </w:r>
    </w:p>
    <w:tbl>
      <w:tblPr>
        <w:tblStyle w:val="TableGrid"/>
        <w:tblW w:w="0" w:type="auto"/>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tblBorders>
        <w:shd w:val="clear" w:color="auto" w:fill="7F7F7F" w:themeFill="accent5"/>
        <w:tblLook w:val="04A0" w:firstRow="1" w:lastRow="0" w:firstColumn="1" w:lastColumn="0" w:noHBand="0" w:noVBand="1"/>
      </w:tblPr>
      <w:tblGrid>
        <w:gridCol w:w="8980"/>
      </w:tblGrid>
      <w:tr w:rsidR="00713FD7" w:rsidRPr="006B7B7B" w14:paraId="4BEF47B8" w14:textId="77777777">
        <w:trPr>
          <w:cantSplit/>
        </w:trPr>
        <w:tc>
          <w:tcPr>
            <w:tcW w:w="8980" w:type="dxa"/>
            <w:shd w:val="clear" w:color="auto" w:fill="DAE3F8" w:themeFill="accent1" w:themeFillTint="33"/>
          </w:tcPr>
          <w:p w14:paraId="18090AF9" w14:textId="76710B6A" w:rsidR="00713FD7" w:rsidRPr="006B7B7B" w:rsidRDefault="00B533A2">
            <w:pPr>
              <w:spacing w:before="60"/>
              <w:contextualSpacing w:val="0"/>
              <w:rPr>
                <w:rFonts w:asciiTheme="majorHAnsi" w:hAnsiTheme="majorHAnsi" w:cstheme="majorHAnsi"/>
                <w:b/>
                <w:bCs/>
                <w:lang w:eastAsia="en-AU"/>
              </w:rPr>
            </w:pPr>
            <w:r>
              <w:rPr>
                <w:rFonts w:asciiTheme="majorHAnsi" w:hAnsiTheme="majorHAnsi" w:cstheme="majorHAnsi"/>
                <w:b/>
                <w:bCs/>
                <w:lang w:eastAsia="en-AU"/>
              </w:rPr>
              <w:lastRenderedPageBreak/>
              <w:t>Key assumptions: Estimation of the number of affected businesses</w:t>
            </w:r>
          </w:p>
          <w:p w14:paraId="6557D053" w14:textId="77777777" w:rsidR="00B533A2" w:rsidRPr="00B533A2" w:rsidRDefault="00B533A2" w:rsidP="00B533A2">
            <w:pPr>
              <w:rPr>
                <w:lang w:eastAsia="en-AU"/>
              </w:rPr>
            </w:pPr>
            <w:r w:rsidRPr="00B533A2">
              <w:rPr>
                <w:lang w:eastAsia="en-AU"/>
              </w:rPr>
              <w:t>This analysis relies on key assumptions around the identified industries, the CAGR and the proportion of businesses.</w:t>
            </w:r>
          </w:p>
          <w:p w14:paraId="74DFE5FA" w14:textId="2F806958" w:rsidR="00B533A2" w:rsidRPr="00B533A2" w:rsidRDefault="00B533A2" w:rsidP="00A2768E">
            <w:pPr>
              <w:pStyle w:val="ListParagraph"/>
              <w:numPr>
                <w:ilvl w:val="0"/>
                <w:numId w:val="102"/>
              </w:numPr>
              <w:spacing w:line="259" w:lineRule="auto"/>
              <w:ind w:left="714" w:hanging="357"/>
              <w:contextualSpacing w:val="0"/>
              <w:rPr>
                <w:lang w:eastAsia="en-AU"/>
              </w:rPr>
            </w:pPr>
            <w:r w:rsidRPr="00B533A2">
              <w:t xml:space="preserve">The identified industries where workers are estimated to be at risk of exposure to each chemical at the ANZSIC Class level reflect the stakeholder responses provided on the </w:t>
            </w:r>
            <w:r w:rsidR="00576A58">
              <w:t>9</w:t>
            </w:r>
            <w:r w:rsidR="00576A58" w:rsidRPr="00B533A2">
              <w:t xml:space="preserve"> </w:t>
            </w:r>
            <w:r w:rsidRPr="00B533A2">
              <w:t>chemicals, and data from the NPI which covers seven of the nine chemicals.</w:t>
            </w:r>
          </w:p>
          <w:p w14:paraId="4C86A241" w14:textId="77777777" w:rsidR="00B533A2" w:rsidRPr="00B533A2" w:rsidRDefault="00B533A2" w:rsidP="00A2768E">
            <w:pPr>
              <w:pStyle w:val="ListParagraph"/>
              <w:numPr>
                <w:ilvl w:val="0"/>
                <w:numId w:val="102"/>
              </w:numPr>
              <w:spacing w:line="259" w:lineRule="auto"/>
              <w:ind w:left="714" w:hanging="357"/>
              <w:contextualSpacing w:val="0"/>
              <w:rPr>
                <w:lang w:eastAsia="en-AU"/>
              </w:rPr>
            </w:pPr>
            <w:r w:rsidRPr="00B533A2">
              <w:rPr>
                <w:lang w:eastAsia="en-AU"/>
              </w:rPr>
              <w:t>The CAGR for the count of businesses is calculated for all businesses within the identified industries, assuming those where workers are exposed to the nine chemicals follow the same growth trend.</w:t>
            </w:r>
          </w:p>
          <w:p w14:paraId="3DC50F78" w14:textId="414E8CDF" w:rsidR="00713FD7" w:rsidRPr="006B7B7B" w:rsidRDefault="00B533A2" w:rsidP="00A2768E">
            <w:pPr>
              <w:pStyle w:val="ListParagraph"/>
              <w:numPr>
                <w:ilvl w:val="0"/>
                <w:numId w:val="102"/>
              </w:numPr>
              <w:spacing w:line="240" w:lineRule="auto"/>
              <w:ind w:left="714" w:hanging="357"/>
              <w:contextualSpacing w:val="0"/>
            </w:pPr>
            <w:r w:rsidRPr="00B533A2">
              <w:rPr>
                <w:lang w:eastAsia="en-AU"/>
              </w:rPr>
              <w:t>The proportion of businesses where workers are estimated to be at risk of exposure is assumed to be 80</w:t>
            </w:r>
            <w:r>
              <w:rPr>
                <w:lang w:eastAsia="en-AU"/>
              </w:rPr>
              <w:t>%</w:t>
            </w:r>
            <w:r w:rsidRPr="00B533A2" w:rsidDel="00B533A2">
              <w:rPr>
                <w:lang w:eastAsia="en-AU"/>
              </w:rPr>
              <w:t xml:space="preserve"> </w:t>
            </w:r>
            <w:r w:rsidRPr="00B533A2">
              <w:rPr>
                <w:lang w:eastAsia="en-AU"/>
              </w:rPr>
              <w:t xml:space="preserve">based on stakeholder advice. This assumption recognises that not all businesses in affected industries will have workers that are exposed to the </w:t>
            </w:r>
            <w:r w:rsidR="00576A58">
              <w:rPr>
                <w:lang w:eastAsia="en-AU"/>
              </w:rPr>
              <w:t>9</w:t>
            </w:r>
            <w:r w:rsidRPr="00B533A2" w:rsidDel="00576A58">
              <w:rPr>
                <w:lang w:eastAsia="en-AU"/>
              </w:rPr>
              <w:t xml:space="preserve"> </w:t>
            </w:r>
            <w:r w:rsidRPr="00B533A2">
              <w:rPr>
                <w:lang w:eastAsia="en-AU"/>
              </w:rPr>
              <w:t>chemicals for various reasons, including that they may not use the chemicals or have processes that give rise to airborne exposure. This assumption may overestimate or underestimate the proportion of businesses and workers affected in some industries.</w:t>
            </w:r>
          </w:p>
        </w:tc>
      </w:tr>
    </w:tbl>
    <w:p w14:paraId="5E6C866C" w14:textId="519FE512" w:rsidR="00876634" w:rsidRDefault="00157218" w:rsidP="003017A7">
      <w:pPr>
        <w:spacing w:before="240"/>
        <w:contextualSpacing w:val="0"/>
      </w:pPr>
      <w:r w:rsidRPr="00993B73">
        <w:t>The projected number of businesses that may be affected by the proposed WEL for each chemical over the appraisal period is summarised in</w:t>
      </w:r>
      <w:r w:rsidR="00620A94">
        <w:t xml:space="preserve"> </w:t>
      </w:r>
      <w:r w:rsidR="00620A94">
        <w:fldChar w:fldCharType="begin"/>
      </w:r>
      <w:r w:rsidR="00620A94">
        <w:instrText xml:space="preserve"> REF _Ref216792291 \h </w:instrText>
      </w:r>
      <w:r w:rsidR="00620A94">
        <w:fldChar w:fldCharType="separate"/>
      </w:r>
      <w:r w:rsidR="00A002F4">
        <w:t xml:space="preserve">Table </w:t>
      </w:r>
      <w:r w:rsidR="00A002F4">
        <w:rPr>
          <w:noProof/>
        </w:rPr>
        <w:t>48</w:t>
      </w:r>
      <w:r w:rsidR="00620A94">
        <w:fldChar w:fldCharType="end"/>
      </w:r>
      <w:r w:rsidR="00876634">
        <w:t>.</w:t>
      </w:r>
    </w:p>
    <w:p w14:paraId="1EA66682" w14:textId="2EF76F61" w:rsidR="00620A94" w:rsidRDefault="00620A94" w:rsidP="00037BC7">
      <w:pPr>
        <w:pStyle w:val="Caption"/>
      </w:pPr>
      <w:bookmarkStart w:id="662" w:name="_Ref216792291"/>
      <w:r>
        <w:t xml:space="preserve">Table </w:t>
      </w:r>
      <w:fldSimple w:instr=" SEQ Table \* ARABIC ">
        <w:r w:rsidR="00A002F4">
          <w:rPr>
            <w:noProof/>
          </w:rPr>
          <w:t>48</w:t>
        </w:r>
      </w:fldSimple>
      <w:bookmarkEnd w:id="662"/>
      <w:r>
        <w:t xml:space="preserve"> - </w:t>
      </w:r>
      <w:r w:rsidRPr="00043B39">
        <w:t>Estimated count of businesses where workers are exposed to the 9 chemicals (‘000s), FY27 to FY36</w:t>
      </w:r>
    </w:p>
    <w:tbl>
      <w:tblPr>
        <w:tblW w:w="892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584"/>
        <w:gridCol w:w="717"/>
        <w:gridCol w:w="717"/>
        <w:gridCol w:w="717"/>
        <w:gridCol w:w="717"/>
        <w:gridCol w:w="783"/>
        <w:gridCol w:w="717"/>
        <w:gridCol w:w="717"/>
        <w:gridCol w:w="717"/>
        <w:gridCol w:w="717"/>
        <w:gridCol w:w="823"/>
      </w:tblGrid>
      <w:tr w:rsidR="00AE3CD3" w:rsidRPr="005970B5" w14:paraId="3747E867" w14:textId="77777777" w:rsidTr="00AE3CD3">
        <w:trPr>
          <w:trHeight w:val="315"/>
        </w:trPr>
        <w:tc>
          <w:tcPr>
            <w:tcW w:w="1584" w:type="dxa"/>
            <w:shd w:val="clear" w:color="auto" w:fill="4877E0" w:themeFill="accent1"/>
          </w:tcPr>
          <w:p w14:paraId="2CA71FBE" w14:textId="77777777"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Chemical</w:t>
            </w:r>
          </w:p>
        </w:tc>
        <w:tc>
          <w:tcPr>
            <w:tcW w:w="717" w:type="dxa"/>
            <w:shd w:val="clear" w:color="auto" w:fill="4877E0" w:themeFill="accent1"/>
          </w:tcPr>
          <w:p w14:paraId="22799318" w14:textId="77B0160E"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FY27</w:t>
            </w:r>
          </w:p>
        </w:tc>
        <w:tc>
          <w:tcPr>
            <w:tcW w:w="717" w:type="dxa"/>
            <w:shd w:val="clear" w:color="auto" w:fill="4877E0" w:themeFill="accent1"/>
          </w:tcPr>
          <w:p w14:paraId="2D0CB5BE" w14:textId="4A7EA48E"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FY28</w:t>
            </w:r>
          </w:p>
        </w:tc>
        <w:tc>
          <w:tcPr>
            <w:tcW w:w="717" w:type="dxa"/>
            <w:shd w:val="clear" w:color="auto" w:fill="4877E0" w:themeFill="accent1"/>
          </w:tcPr>
          <w:p w14:paraId="5BA51270" w14:textId="3E551155"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FY29</w:t>
            </w:r>
          </w:p>
        </w:tc>
        <w:tc>
          <w:tcPr>
            <w:tcW w:w="717" w:type="dxa"/>
            <w:shd w:val="clear" w:color="auto" w:fill="4877E0" w:themeFill="accent1"/>
          </w:tcPr>
          <w:p w14:paraId="66C1396A" w14:textId="72A529A8"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FY30</w:t>
            </w:r>
          </w:p>
        </w:tc>
        <w:tc>
          <w:tcPr>
            <w:tcW w:w="783" w:type="dxa"/>
            <w:shd w:val="clear" w:color="auto" w:fill="4877E0" w:themeFill="accent1"/>
          </w:tcPr>
          <w:p w14:paraId="1DC47279" w14:textId="149770B9"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FY31</w:t>
            </w:r>
          </w:p>
        </w:tc>
        <w:tc>
          <w:tcPr>
            <w:tcW w:w="717" w:type="dxa"/>
            <w:shd w:val="clear" w:color="auto" w:fill="4877E0" w:themeFill="accent1"/>
          </w:tcPr>
          <w:p w14:paraId="14685311" w14:textId="294C4032"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FY32</w:t>
            </w:r>
          </w:p>
        </w:tc>
        <w:tc>
          <w:tcPr>
            <w:tcW w:w="717" w:type="dxa"/>
            <w:shd w:val="clear" w:color="auto" w:fill="4877E0" w:themeFill="accent1"/>
          </w:tcPr>
          <w:p w14:paraId="0147751E" w14:textId="43FAAE71"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FY33</w:t>
            </w:r>
          </w:p>
        </w:tc>
        <w:tc>
          <w:tcPr>
            <w:tcW w:w="717" w:type="dxa"/>
            <w:shd w:val="clear" w:color="auto" w:fill="4877E0" w:themeFill="accent1"/>
          </w:tcPr>
          <w:p w14:paraId="2D64AD62" w14:textId="1EB98AD1"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FY34</w:t>
            </w:r>
          </w:p>
        </w:tc>
        <w:tc>
          <w:tcPr>
            <w:tcW w:w="717" w:type="dxa"/>
            <w:shd w:val="clear" w:color="auto" w:fill="4877E0" w:themeFill="accent1"/>
          </w:tcPr>
          <w:p w14:paraId="0A5C45E6" w14:textId="0E8A1E2C"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FY35</w:t>
            </w:r>
          </w:p>
        </w:tc>
        <w:tc>
          <w:tcPr>
            <w:tcW w:w="823" w:type="dxa"/>
            <w:shd w:val="clear" w:color="auto" w:fill="4877E0" w:themeFill="accent1"/>
          </w:tcPr>
          <w:p w14:paraId="10F23780" w14:textId="13A4FF95" w:rsidR="005A4171" w:rsidRPr="009D607C" w:rsidRDefault="005A4171">
            <w:pPr>
              <w:keepLines/>
              <w:widowControl w:val="0"/>
              <w:spacing w:after="200" w:line="240" w:lineRule="auto"/>
              <w:rPr>
                <w:rFonts w:eastAsia="Times New Roman" w:cs="Arial"/>
                <w:b/>
                <w:bCs/>
                <w:color w:val="FFFFFF" w:themeColor="background1"/>
                <w:sz w:val="18"/>
                <w:szCs w:val="18"/>
                <w:lang w:eastAsia="en-AU"/>
              </w:rPr>
            </w:pPr>
            <w:r w:rsidRPr="009D607C">
              <w:rPr>
                <w:rFonts w:eastAsia="Times New Roman" w:cs="Arial"/>
                <w:b/>
                <w:bCs/>
                <w:color w:val="FFFFFF" w:themeColor="background1"/>
                <w:sz w:val="18"/>
                <w:szCs w:val="18"/>
                <w:lang w:eastAsia="en-AU"/>
              </w:rPr>
              <w:t>FY36</w:t>
            </w:r>
          </w:p>
        </w:tc>
      </w:tr>
      <w:tr w:rsidR="00AE3CD3" w:rsidRPr="005970B5" w14:paraId="2AD813D5" w14:textId="77777777" w:rsidTr="00AE3CD3">
        <w:trPr>
          <w:trHeight w:val="451"/>
        </w:trPr>
        <w:tc>
          <w:tcPr>
            <w:tcW w:w="1584" w:type="dxa"/>
          </w:tcPr>
          <w:p w14:paraId="5CAB90C5"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Benzene</w:t>
            </w:r>
          </w:p>
        </w:tc>
        <w:tc>
          <w:tcPr>
            <w:tcW w:w="717" w:type="dxa"/>
          </w:tcPr>
          <w:p w14:paraId="3CDDB387" w14:textId="28B55D56"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9.5</w:t>
            </w:r>
          </w:p>
        </w:tc>
        <w:tc>
          <w:tcPr>
            <w:tcW w:w="717" w:type="dxa"/>
          </w:tcPr>
          <w:p w14:paraId="203D1358" w14:textId="3996D95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9.6</w:t>
            </w:r>
          </w:p>
        </w:tc>
        <w:tc>
          <w:tcPr>
            <w:tcW w:w="717" w:type="dxa"/>
          </w:tcPr>
          <w:p w14:paraId="621BCD84" w14:textId="29D4338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9.7</w:t>
            </w:r>
          </w:p>
        </w:tc>
        <w:tc>
          <w:tcPr>
            <w:tcW w:w="717" w:type="dxa"/>
          </w:tcPr>
          <w:p w14:paraId="5FA823C8" w14:textId="2311680A"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w:t>
            </w:r>
            <w:r w:rsidRPr="009D607C">
              <w:rPr>
                <w:rFonts w:cs="Arial"/>
                <w:sz w:val="18"/>
                <w:szCs w:val="18"/>
              </w:rPr>
              <w:t>7</w:t>
            </w:r>
          </w:p>
        </w:tc>
        <w:tc>
          <w:tcPr>
            <w:tcW w:w="783" w:type="dxa"/>
          </w:tcPr>
          <w:p w14:paraId="50719FE6" w14:textId="4EDA081C"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w:t>
            </w:r>
            <w:r w:rsidRPr="009D607C">
              <w:rPr>
                <w:rFonts w:cs="Arial"/>
                <w:sz w:val="18"/>
                <w:szCs w:val="18"/>
              </w:rPr>
              <w:t>8</w:t>
            </w:r>
          </w:p>
        </w:tc>
        <w:tc>
          <w:tcPr>
            <w:tcW w:w="717" w:type="dxa"/>
          </w:tcPr>
          <w:p w14:paraId="32101824" w14:textId="1D75EC72"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9.9</w:t>
            </w:r>
          </w:p>
        </w:tc>
        <w:tc>
          <w:tcPr>
            <w:tcW w:w="717" w:type="dxa"/>
          </w:tcPr>
          <w:p w14:paraId="2E7AF1E6" w14:textId="4FFC95D3"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10.0</w:t>
            </w:r>
          </w:p>
        </w:tc>
        <w:tc>
          <w:tcPr>
            <w:tcW w:w="717" w:type="dxa"/>
          </w:tcPr>
          <w:p w14:paraId="3D9ECFB5" w14:textId="7CF97CE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10.1</w:t>
            </w:r>
          </w:p>
        </w:tc>
        <w:tc>
          <w:tcPr>
            <w:tcW w:w="717" w:type="dxa"/>
          </w:tcPr>
          <w:p w14:paraId="109333B7" w14:textId="0945A223"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10.2</w:t>
            </w:r>
          </w:p>
        </w:tc>
        <w:tc>
          <w:tcPr>
            <w:tcW w:w="823" w:type="dxa"/>
          </w:tcPr>
          <w:p w14:paraId="7A33A89A" w14:textId="6E4C3775"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10.3</w:t>
            </w:r>
          </w:p>
        </w:tc>
      </w:tr>
      <w:tr w:rsidR="00AE3CD3" w:rsidRPr="005970B5" w14:paraId="01CC2847" w14:textId="77777777" w:rsidTr="00AE3CD3">
        <w:trPr>
          <w:trHeight w:val="463"/>
        </w:trPr>
        <w:tc>
          <w:tcPr>
            <w:tcW w:w="1584" w:type="dxa"/>
            <w:shd w:val="clear" w:color="auto" w:fill="DAE3F8" w:themeFill="accent1" w:themeFillTint="33"/>
          </w:tcPr>
          <w:p w14:paraId="3E7D9DD5"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Chlorine</w:t>
            </w:r>
          </w:p>
        </w:tc>
        <w:tc>
          <w:tcPr>
            <w:tcW w:w="717" w:type="dxa"/>
            <w:shd w:val="clear" w:color="auto" w:fill="DAE3F8" w:themeFill="accent1" w:themeFillTint="33"/>
          </w:tcPr>
          <w:p w14:paraId="741CCAD8" w14:textId="4527452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16.0</w:t>
            </w:r>
          </w:p>
        </w:tc>
        <w:tc>
          <w:tcPr>
            <w:tcW w:w="717" w:type="dxa"/>
            <w:shd w:val="clear" w:color="auto" w:fill="DAE3F8" w:themeFill="accent1" w:themeFillTint="33"/>
          </w:tcPr>
          <w:p w14:paraId="0F9EB1D7" w14:textId="0D530A76"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16.4</w:t>
            </w:r>
          </w:p>
        </w:tc>
        <w:tc>
          <w:tcPr>
            <w:tcW w:w="717" w:type="dxa"/>
            <w:shd w:val="clear" w:color="auto" w:fill="DAE3F8" w:themeFill="accent1" w:themeFillTint="33"/>
          </w:tcPr>
          <w:p w14:paraId="561931D6" w14:textId="7DA5FBCC"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16.9</w:t>
            </w:r>
          </w:p>
        </w:tc>
        <w:tc>
          <w:tcPr>
            <w:tcW w:w="717" w:type="dxa"/>
            <w:shd w:val="clear" w:color="auto" w:fill="DAE3F8" w:themeFill="accent1" w:themeFillTint="33"/>
          </w:tcPr>
          <w:p w14:paraId="1F99C971" w14:textId="32F0F305"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17.3</w:t>
            </w:r>
          </w:p>
        </w:tc>
        <w:tc>
          <w:tcPr>
            <w:tcW w:w="783" w:type="dxa"/>
            <w:shd w:val="clear" w:color="auto" w:fill="DAE3F8" w:themeFill="accent1" w:themeFillTint="33"/>
          </w:tcPr>
          <w:p w14:paraId="69D1C0B3" w14:textId="5BAB569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17.</w:t>
            </w:r>
            <w:r w:rsidRPr="009D607C">
              <w:rPr>
                <w:rFonts w:cs="Arial"/>
                <w:sz w:val="18"/>
                <w:szCs w:val="18"/>
              </w:rPr>
              <w:t>8</w:t>
            </w:r>
          </w:p>
        </w:tc>
        <w:tc>
          <w:tcPr>
            <w:tcW w:w="717" w:type="dxa"/>
            <w:shd w:val="clear" w:color="auto" w:fill="DAE3F8" w:themeFill="accent1" w:themeFillTint="33"/>
          </w:tcPr>
          <w:p w14:paraId="2EDA8C43" w14:textId="5F75C39D"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18.3</w:t>
            </w:r>
          </w:p>
        </w:tc>
        <w:tc>
          <w:tcPr>
            <w:tcW w:w="717" w:type="dxa"/>
            <w:shd w:val="clear" w:color="auto" w:fill="DAE3F8" w:themeFill="accent1" w:themeFillTint="33"/>
          </w:tcPr>
          <w:p w14:paraId="1143BC23" w14:textId="4175212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18.8</w:t>
            </w:r>
          </w:p>
        </w:tc>
        <w:tc>
          <w:tcPr>
            <w:tcW w:w="717" w:type="dxa"/>
            <w:shd w:val="clear" w:color="auto" w:fill="DAE3F8" w:themeFill="accent1" w:themeFillTint="33"/>
          </w:tcPr>
          <w:p w14:paraId="6E953D5D" w14:textId="4F698AD4"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19.3</w:t>
            </w:r>
          </w:p>
        </w:tc>
        <w:tc>
          <w:tcPr>
            <w:tcW w:w="717" w:type="dxa"/>
            <w:shd w:val="clear" w:color="auto" w:fill="DAE3F8" w:themeFill="accent1" w:themeFillTint="33"/>
          </w:tcPr>
          <w:p w14:paraId="6E6010E5" w14:textId="158E158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19.8</w:t>
            </w:r>
          </w:p>
        </w:tc>
        <w:tc>
          <w:tcPr>
            <w:tcW w:w="823" w:type="dxa"/>
            <w:shd w:val="clear" w:color="auto" w:fill="DAE3F8" w:themeFill="accent1" w:themeFillTint="33"/>
          </w:tcPr>
          <w:p w14:paraId="7675019F" w14:textId="626384A1"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20.4</w:t>
            </w:r>
          </w:p>
        </w:tc>
      </w:tr>
      <w:tr w:rsidR="00AE3CD3" w:rsidRPr="005970B5" w14:paraId="3E8FCA11" w14:textId="77777777" w:rsidTr="00AE3CD3">
        <w:trPr>
          <w:trHeight w:val="451"/>
        </w:trPr>
        <w:tc>
          <w:tcPr>
            <w:tcW w:w="1584" w:type="dxa"/>
          </w:tcPr>
          <w:p w14:paraId="1031D47B"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Copper</w:t>
            </w:r>
          </w:p>
        </w:tc>
        <w:tc>
          <w:tcPr>
            <w:tcW w:w="717" w:type="dxa"/>
          </w:tcPr>
          <w:p w14:paraId="62B13E5D" w14:textId="035F741D"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21.6</w:t>
            </w:r>
          </w:p>
        </w:tc>
        <w:tc>
          <w:tcPr>
            <w:tcW w:w="717" w:type="dxa"/>
          </w:tcPr>
          <w:p w14:paraId="44B251CC" w14:textId="7F185856"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21.7</w:t>
            </w:r>
          </w:p>
        </w:tc>
        <w:tc>
          <w:tcPr>
            <w:tcW w:w="717" w:type="dxa"/>
          </w:tcPr>
          <w:p w14:paraId="07F8DB0D" w14:textId="1ADCE502"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21.8</w:t>
            </w:r>
          </w:p>
        </w:tc>
        <w:tc>
          <w:tcPr>
            <w:tcW w:w="717" w:type="dxa"/>
          </w:tcPr>
          <w:p w14:paraId="70F83053" w14:textId="60483907"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w:t>
            </w:r>
            <w:r w:rsidRPr="009D607C">
              <w:rPr>
                <w:rFonts w:cs="Arial"/>
                <w:sz w:val="18"/>
                <w:szCs w:val="18"/>
              </w:rPr>
              <w:t>0</w:t>
            </w:r>
          </w:p>
        </w:tc>
        <w:tc>
          <w:tcPr>
            <w:tcW w:w="783" w:type="dxa"/>
          </w:tcPr>
          <w:p w14:paraId="7C62DF9A" w14:textId="451E7C3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22.2</w:t>
            </w:r>
          </w:p>
        </w:tc>
        <w:tc>
          <w:tcPr>
            <w:tcW w:w="717" w:type="dxa"/>
          </w:tcPr>
          <w:p w14:paraId="78291618" w14:textId="7087AEC2"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22.3</w:t>
            </w:r>
          </w:p>
        </w:tc>
        <w:tc>
          <w:tcPr>
            <w:tcW w:w="717" w:type="dxa"/>
          </w:tcPr>
          <w:p w14:paraId="5B41A05C" w14:textId="76C34D61"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22.5</w:t>
            </w:r>
          </w:p>
        </w:tc>
        <w:tc>
          <w:tcPr>
            <w:tcW w:w="717" w:type="dxa"/>
          </w:tcPr>
          <w:p w14:paraId="7FB1DD2F" w14:textId="7851F212"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22.7</w:t>
            </w:r>
          </w:p>
        </w:tc>
        <w:tc>
          <w:tcPr>
            <w:tcW w:w="717" w:type="dxa"/>
          </w:tcPr>
          <w:p w14:paraId="657F4643" w14:textId="2CA32A92"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22.9</w:t>
            </w:r>
          </w:p>
        </w:tc>
        <w:tc>
          <w:tcPr>
            <w:tcW w:w="823" w:type="dxa"/>
          </w:tcPr>
          <w:p w14:paraId="5EB771A6" w14:textId="58A827AD"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23.1</w:t>
            </w:r>
          </w:p>
        </w:tc>
      </w:tr>
      <w:tr w:rsidR="00AE3CD3" w:rsidRPr="005970B5" w14:paraId="737CE4EC" w14:textId="77777777" w:rsidTr="00AE3CD3">
        <w:trPr>
          <w:trHeight w:val="500"/>
        </w:trPr>
        <w:tc>
          <w:tcPr>
            <w:tcW w:w="1584" w:type="dxa"/>
            <w:shd w:val="clear" w:color="auto" w:fill="DAE3F8" w:themeFill="accent1" w:themeFillTint="33"/>
          </w:tcPr>
          <w:p w14:paraId="2D47C312"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Formaldehyde</w:t>
            </w:r>
          </w:p>
        </w:tc>
        <w:tc>
          <w:tcPr>
            <w:tcW w:w="717" w:type="dxa"/>
            <w:shd w:val="clear" w:color="auto" w:fill="DAE3F8" w:themeFill="accent1" w:themeFillTint="33"/>
          </w:tcPr>
          <w:p w14:paraId="35135BA9" w14:textId="5A5100CA"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63.4</w:t>
            </w:r>
          </w:p>
        </w:tc>
        <w:tc>
          <w:tcPr>
            <w:tcW w:w="717" w:type="dxa"/>
            <w:shd w:val="clear" w:color="auto" w:fill="DAE3F8" w:themeFill="accent1" w:themeFillTint="33"/>
          </w:tcPr>
          <w:p w14:paraId="42B03F3B" w14:textId="709820F1"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65.</w:t>
            </w:r>
            <w:r w:rsidRPr="009D607C">
              <w:rPr>
                <w:rFonts w:cs="Arial"/>
                <w:sz w:val="18"/>
                <w:szCs w:val="18"/>
              </w:rPr>
              <w:t>1</w:t>
            </w:r>
          </w:p>
        </w:tc>
        <w:tc>
          <w:tcPr>
            <w:tcW w:w="717" w:type="dxa"/>
            <w:shd w:val="clear" w:color="auto" w:fill="DAE3F8" w:themeFill="accent1" w:themeFillTint="33"/>
          </w:tcPr>
          <w:p w14:paraId="7E76964B" w14:textId="1734BC6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67.</w:t>
            </w:r>
            <w:r w:rsidRPr="009D607C">
              <w:rPr>
                <w:rFonts w:cs="Arial"/>
                <w:sz w:val="18"/>
                <w:szCs w:val="18"/>
              </w:rPr>
              <w:t>0</w:t>
            </w:r>
          </w:p>
        </w:tc>
        <w:tc>
          <w:tcPr>
            <w:tcW w:w="717" w:type="dxa"/>
            <w:shd w:val="clear" w:color="auto" w:fill="DAE3F8" w:themeFill="accent1" w:themeFillTint="33"/>
          </w:tcPr>
          <w:p w14:paraId="2670AF9D" w14:textId="08FA9C1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68.9</w:t>
            </w:r>
          </w:p>
        </w:tc>
        <w:tc>
          <w:tcPr>
            <w:tcW w:w="783" w:type="dxa"/>
            <w:shd w:val="clear" w:color="auto" w:fill="DAE3F8" w:themeFill="accent1" w:themeFillTint="33"/>
          </w:tcPr>
          <w:p w14:paraId="4C0DD0F5" w14:textId="334E75C4"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70.9</w:t>
            </w:r>
          </w:p>
        </w:tc>
        <w:tc>
          <w:tcPr>
            <w:tcW w:w="717" w:type="dxa"/>
            <w:shd w:val="clear" w:color="auto" w:fill="DAE3F8" w:themeFill="accent1" w:themeFillTint="33"/>
          </w:tcPr>
          <w:p w14:paraId="49162650" w14:textId="0FC9A26B"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72.9</w:t>
            </w:r>
          </w:p>
        </w:tc>
        <w:tc>
          <w:tcPr>
            <w:tcW w:w="717" w:type="dxa"/>
            <w:shd w:val="clear" w:color="auto" w:fill="DAE3F8" w:themeFill="accent1" w:themeFillTint="33"/>
          </w:tcPr>
          <w:p w14:paraId="71C8A6B2" w14:textId="2221160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75.1</w:t>
            </w:r>
          </w:p>
        </w:tc>
        <w:tc>
          <w:tcPr>
            <w:tcW w:w="717" w:type="dxa"/>
            <w:shd w:val="clear" w:color="auto" w:fill="DAE3F8" w:themeFill="accent1" w:themeFillTint="33"/>
          </w:tcPr>
          <w:p w14:paraId="39B0007D" w14:textId="08374105"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77.3</w:t>
            </w:r>
          </w:p>
        </w:tc>
        <w:tc>
          <w:tcPr>
            <w:tcW w:w="717" w:type="dxa"/>
            <w:shd w:val="clear" w:color="auto" w:fill="DAE3F8" w:themeFill="accent1" w:themeFillTint="33"/>
          </w:tcPr>
          <w:p w14:paraId="300F7EC6" w14:textId="599AC9A3"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79.5</w:t>
            </w:r>
          </w:p>
        </w:tc>
        <w:tc>
          <w:tcPr>
            <w:tcW w:w="823" w:type="dxa"/>
            <w:shd w:val="clear" w:color="auto" w:fill="DAE3F8" w:themeFill="accent1" w:themeFillTint="33"/>
          </w:tcPr>
          <w:p w14:paraId="5D7F30B8" w14:textId="623A6B9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81.</w:t>
            </w:r>
            <w:r w:rsidRPr="009D607C">
              <w:rPr>
                <w:rFonts w:cs="Arial"/>
                <w:sz w:val="18"/>
                <w:szCs w:val="18"/>
              </w:rPr>
              <w:t>9</w:t>
            </w:r>
          </w:p>
        </w:tc>
      </w:tr>
      <w:tr w:rsidR="00AE3CD3" w:rsidRPr="00E55C16" w14:paraId="12289E7D" w14:textId="77777777" w:rsidTr="00AE3CD3">
        <w:trPr>
          <w:trHeight w:val="706"/>
        </w:trPr>
        <w:tc>
          <w:tcPr>
            <w:tcW w:w="1584" w:type="dxa"/>
          </w:tcPr>
          <w:p w14:paraId="19672906"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Hydrogen cyanide</w:t>
            </w:r>
          </w:p>
        </w:tc>
        <w:tc>
          <w:tcPr>
            <w:tcW w:w="717" w:type="dxa"/>
          </w:tcPr>
          <w:p w14:paraId="259D8540" w14:textId="646D5E8C"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17" w:type="dxa"/>
          </w:tcPr>
          <w:p w14:paraId="270DB953" w14:textId="457409A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17" w:type="dxa"/>
          </w:tcPr>
          <w:p w14:paraId="548B6D28" w14:textId="0D19F1C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17" w:type="dxa"/>
          </w:tcPr>
          <w:p w14:paraId="03E786BB" w14:textId="632ADACC"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83" w:type="dxa"/>
          </w:tcPr>
          <w:p w14:paraId="64285653" w14:textId="7E18A72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17" w:type="dxa"/>
          </w:tcPr>
          <w:p w14:paraId="7A84964D" w14:textId="12D1D50C"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2.3</w:t>
            </w:r>
          </w:p>
        </w:tc>
        <w:tc>
          <w:tcPr>
            <w:tcW w:w="717" w:type="dxa"/>
          </w:tcPr>
          <w:p w14:paraId="4B86F43E" w14:textId="11BE7DA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2.4</w:t>
            </w:r>
          </w:p>
        </w:tc>
        <w:tc>
          <w:tcPr>
            <w:tcW w:w="717" w:type="dxa"/>
          </w:tcPr>
          <w:p w14:paraId="1354DA80" w14:textId="39507236"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2.4</w:t>
            </w:r>
          </w:p>
        </w:tc>
        <w:tc>
          <w:tcPr>
            <w:tcW w:w="717" w:type="dxa"/>
          </w:tcPr>
          <w:p w14:paraId="394F0A29" w14:textId="0116BE80"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2.4</w:t>
            </w:r>
          </w:p>
        </w:tc>
        <w:tc>
          <w:tcPr>
            <w:tcW w:w="823" w:type="dxa"/>
          </w:tcPr>
          <w:p w14:paraId="2845A070" w14:textId="1D00771A"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2.4</w:t>
            </w:r>
          </w:p>
        </w:tc>
      </w:tr>
      <w:tr w:rsidR="00AE3CD3" w:rsidRPr="00E55C16" w14:paraId="4709EC45" w14:textId="77777777" w:rsidTr="00AE3CD3">
        <w:trPr>
          <w:trHeight w:val="558"/>
        </w:trPr>
        <w:tc>
          <w:tcPr>
            <w:tcW w:w="1584" w:type="dxa"/>
            <w:shd w:val="clear" w:color="auto" w:fill="DAE3F8" w:themeFill="accent1" w:themeFillTint="33"/>
          </w:tcPr>
          <w:p w14:paraId="3B54E4EC" w14:textId="000C462E"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Hydrogen sul</w:t>
            </w:r>
            <w:r w:rsidR="00312B4B">
              <w:rPr>
                <w:rFonts w:eastAsia="Times New Roman" w:cs="Arial"/>
                <w:b/>
                <w:bCs/>
                <w:sz w:val="18"/>
                <w:szCs w:val="18"/>
                <w:lang w:eastAsia="en-AU"/>
              </w:rPr>
              <w:t>f</w:t>
            </w:r>
            <w:r w:rsidRPr="009D607C">
              <w:rPr>
                <w:rFonts w:eastAsia="Times New Roman" w:cs="Arial"/>
                <w:b/>
                <w:bCs/>
                <w:sz w:val="18"/>
                <w:szCs w:val="18"/>
                <w:lang w:eastAsia="en-AU"/>
              </w:rPr>
              <w:t>ide</w:t>
            </w:r>
          </w:p>
        </w:tc>
        <w:tc>
          <w:tcPr>
            <w:tcW w:w="717" w:type="dxa"/>
            <w:shd w:val="clear" w:color="auto" w:fill="DAE3F8" w:themeFill="accent1" w:themeFillTint="33"/>
          </w:tcPr>
          <w:p w14:paraId="42DEFE76" w14:textId="5A32C23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31.1</w:t>
            </w:r>
          </w:p>
        </w:tc>
        <w:tc>
          <w:tcPr>
            <w:tcW w:w="717" w:type="dxa"/>
            <w:shd w:val="clear" w:color="auto" w:fill="DAE3F8" w:themeFill="accent1" w:themeFillTint="33"/>
          </w:tcPr>
          <w:p w14:paraId="7FD4CEB4" w14:textId="5C0FEBB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32.0</w:t>
            </w:r>
          </w:p>
        </w:tc>
        <w:tc>
          <w:tcPr>
            <w:tcW w:w="717" w:type="dxa"/>
            <w:shd w:val="clear" w:color="auto" w:fill="DAE3F8" w:themeFill="accent1" w:themeFillTint="33"/>
          </w:tcPr>
          <w:p w14:paraId="220AC76E" w14:textId="74DC725E"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33.0</w:t>
            </w:r>
          </w:p>
        </w:tc>
        <w:tc>
          <w:tcPr>
            <w:tcW w:w="717" w:type="dxa"/>
            <w:shd w:val="clear" w:color="auto" w:fill="DAE3F8" w:themeFill="accent1" w:themeFillTint="33"/>
          </w:tcPr>
          <w:p w14:paraId="12917A24" w14:textId="5F971C2D"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34.1</w:t>
            </w:r>
          </w:p>
        </w:tc>
        <w:tc>
          <w:tcPr>
            <w:tcW w:w="783" w:type="dxa"/>
            <w:shd w:val="clear" w:color="auto" w:fill="DAE3F8" w:themeFill="accent1" w:themeFillTint="33"/>
          </w:tcPr>
          <w:p w14:paraId="72076CE0" w14:textId="0F2007D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35.1</w:t>
            </w:r>
          </w:p>
        </w:tc>
        <w:tc>
          <w:tcPr>
            <w:tcW w:w="717" w:type="dxa"/>
            <w:shd w:val="clear" w:color="auto" w:fill="DAE3F8" w:themeFill="accent1" w:themeFillTint="33"/>
          </w:tcPr>
          <w:p w14:paraId="21E8B740" w14:textId="622ACB37"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36.2</w:t>
            </w:r>
          </w:p>
        </w:tc>
        <w:tc>
          <w:tcPr>
            <w:tcW w:w="717" w:type="dxa"/>
            <w:shd w:val="clear" w:color="auto" w:fill="DAE3F8" w:themeFill="accent1" w:themeFillTint="33"/>
          </w:tcPr>
          <w:p w14:paraId="77CADF0C" w14:textId="74D343D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37.3</w:t>
            </w:r>
          </w:p>
        </w:tc>
        <w:tc>
          <w:tcPr>
            <w:tcW w:w="717" w:type="dxa"/>
            <w:shd w:val="clear" w:color="auto" w:fill="DAE3F8" w:themeFill="accent1" w:themeFillTint="33"/>
          </w:tcPr>
          <w:p w14:paraId="3CDBD688" w14:textId="1016FAC4"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38.</w:t>
            </w:r>
            <w:r w:rsidRPr="009D607C">
              <w:rPr>
                <w:rFonts w:cs="Arial"/>
                <w:sz w:val="18"/>
                <w:szCs w:val="18"/>
              </w:rPr>
              <w:t>5</w:t>
            </w:r>
          </w:p>
        </w:tc>
        <w:tc>
          <w:tcPr>
            <w:tcW w:w="717" w:type="dxa"/>
            <w:shd w:val="clear" w:color="auto" w:fill="DAE3F8" w:themeFill="accent1" w:themeFillTint="33"/>
          </w:tcPr>
          <w:p w14:paraId="58C1ECF5" w14:textId="4B39E2D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39.7</w:t>
            </w:r>
          </w:p>
        </w:tc>
        <w:tc>
          <w:tcPr>
            <w:tcW w:w="823" w:type="dxa"/>
            <w:shd w:val="clear" w:color="auto" w:fill="DAE3F8" w:themeFill="accent1" w:themeFillTint="33"/>
          </w:tcPr>
          <w:p w14:paraId="22AC4CC5" w14:textId="2AB7B598"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41.0</w:t>
            </w:r>
          </w:p>
        </w:tc>
      </w:tr>
      <w:tr w:rsidR="00AE3CD3" w:rsidRPr="00E55C16" w14:paraId="7BC1C896" w14:textId="77777777" w:rsidTr="00AE3CD3">
        <w:trPr>
          <w:trHeight w:val="410"/>
        </w:trPr>
        <w:tc>
          <w:tcPr>
            <w:tcW w:w="1584" w:type="dxa"/>
          </w:tcPr>
          <w:p w14:paraId="62B9F093" w14:textId="77777777" w:rsidR="00C71655" w:rsidRPr="009D607C" w:rsidRDefault="00C71655" w:rsidP="00C71655">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Nitrogen dioxide</w:t>
            </w:r>
          </w:p>
        </w:tc>
        <w:tc>
          <w:tcPr>
            <w:tcW w:w="717" w:type="dxa"/>
          </w:tcPr>
          <w:p w14:paraId="124F2B9F" w14:textId="600B99C0"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50.1</w:t>
            </w:r>
          </w:p>
        </w:tc>
        <w:tc>
          <w:tcPr>
            <w:tcW w:w="717" w:type="dxa"/>
          </w:tcPr>
          <w:p w14:paraId="02491BAD" w14:textId="3616CDE6"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50.6</w:t>
            </w:r>
          </w:p>
        </w:tc>
        <w:tc>
          <w:tcPr>
            <w:tcW w:w="717" w:type="dxa"/>
          </w:tcPr>
          <w:p w14:paraId="49B77611" w14:textId="23E5BCAF"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51.0</w:t>
            </w:r>
          </w:p>
        </w:tc>
        <w:tc>
          <w:tcPr>
            <w:tcW w:w="717" w:type="dxa"/>
          </w:tcPr>
          <w:p w14:paraId="1E394931" w14:textId="6C8A55C3"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51.5</w:t>
            </w:r>
          </w:p>
        </w:tc>
        <w:tc>
          <w:tcPr>
            <w:tcW w:w="783" w:type="dxa"/>
          </w:tcPr>
          <w:p w14:paraId="16B98D35" w14:textId="0E448D24"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51.9</w:t>
            </w:r>
          </w:p>
        </w:tc>
        <w:tc>
          <w:tcPr>
            <w:tcW w:w="717" w:type="dxa"/>
          </w:tcPr>
          <w:p w14:paraId="676AEAC4" w14:textId="50225107"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52.4</w:t>
            </w:r>
          </w:p>
        </w:tc>
        <w:tc>
          <w:tcPr>
            <w:tcW w:w="717" w:type="dxa"/>
          </w:tcPr>
          <w:p w14:paraId="0BBD4A1B" w14:textId="48AB7B3B"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52.9</w:t>
            </w:r>
          </w:p>
        </w:tc>
        <w:tc>
          <w:tcPr>
            <w:tcW w:w="717" w:type="dxa"/>
          </w:tcPr>
          <w:p w14:paraId="77D0ACAC" w14:textId="1FC4B88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53.4</w:t>
            </w:r>
          </w:p>
        </w:tc>
        <w:tc>
          <w:tcPr>
            <w:tcW w:w="717" w:type="dxa"/>
          </w:tcPr>
          <w:p w14:paraId="1B7D2B89" w14:textId="75D2E389"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53.9</w:t>
            </w:r>
          </w:p>
        </w:tc>
        <w:tc>
          <w:tcPr>
            <w:tcW w:w="823" w:type="dxa"/>
          </w:tcPr>
          <w:p w14:paraId="2BFBF3B9" w14:textId="21EA304A" w:rsidR="00C71655" w:rsidRPr="009D607C" w:rsidRDefault="00C71655" w:rsidP="00C71655">
            <w:pPr>
              <w:keepLines/>
              <w:widowControl w:val="0"/>
              <w:spacing w:after="200" w:line="240" w:lineRule="auto"/>
              <w:rPr>
                <w:rFonts w:eastAsia="Times New Roman" w:cs="Arial"/>
                <w:sz w:val="18"/>
                <w:szCs w:val="18"/>
                <w:lang w:eastAsia="en-AU"/>
              </w:rPr>
            </w:pPr>
            <w:r w:rsidRPr="009D607C">
              <w:rPr>
                <w:sz w:val="18"/>
                <w:szCs w:val="18"/>
              </w:rPr>
              <w:t>54.5</w:t>
            </w:r>
          </w:p>
        </w:tc>
      </w:tr>
      <w:tr w:rsidR="00AE3CD3" w:rsidRPr="00E55C16" w14:paraId="6B1E0A19" w14:textId="77777777" w:rsidTr="00AE3CD3">
        <w:trPr>
          <w:trHeight w:val="460"/>
        </w:trPr>
        <w:tc>
          <w:tcPr>
            <w:tcW w:w="1584" w:type="dxa"/>
            <w:shd w:val="clear" w:color="auto" w:fill="DAE3F8" w:themeFill="accent1" w:themeFillTint="33"/>
          </w:tcPr>
          <w:p w14:paraId="54390E2A" w14:textId="2870BF79" w:rsidR="007B18D8" w:rsidRPr="009D607C" w:rsidRDefault="007B18D8" w:rsidP="007B18D8">
            <w:pPr>
              <w:keepLines/>
              <w:widowControl w:val="0"/>
              <w:spacing w:after="200" w:line="240" w:lineRule="auto"/>
              <w:rPr>
                <w:rFonts w:eastAsia="Times New Roman" w:cs="Arial"/>
                <w:b/>
                <w:bCs/>
                <w:sz w:val="18"/>
                <w:szCs w:val="18"/>
                <w:lang w:eastAsia="en-AU"/>
              </w:rPr>
            </w:pPr>
            <w:r w:rsidRPr="009D607C">
              <w:rPr>
                <w:rFonts w:eastAsia="Times New Roman" w:cs="Arial"/>
                <w:b/>
                <w:bCs/>
                <w:sz w:val="18"/>
                <w:szCs w:val="18"/>
                <w:lang w:eastAsia="en-AU"/>
              </w:rPr>
              <w:t>RCS</w:t>
            </w:r>
            <w:r w:rsidRPr="009D607C">
              <w:rPr>
                <w:rStyle w:val="FootnoteReference"/>
                <w:rFonts w:asciiTheme="majorHAnsi" w:hAnsiTheme="majorHAnsi" w:cstheme="majorHAnsi"/>
                <w:b/>
                <w:bCs/>
                <w:sz w:val="18"/>
                <w:szCs w:val="18"/>
              </w:rPr>
              <w:footnoteReference w:id="335"/>
            </w:r>
            <w:r w:rsidRPr="009D607C">
              <w:rPr>
                <w:rFonts w:eastAsia="Times New Roman" w:cs="Arial"/>
                <w:b/>
                <w:bCs/>
                <w:sz w:val="18"/>
                <w:szCs w:val="18"/>
                <w:lang w:eastAsia="en-AU"/>
              </w:rPr>
              <w:t xml:space="preserve"> (excluding mining)</w:t>
            </w:r>
          </w:p>
        </w:tc>
        <w:tc>
          <w:tcPr>
            <w:tcW w:w="717" w:type="dxa"/>
            <w:shd w:val="clear" w:color="auto" w:fill="DAE3F8" w:themeFill="accent1" w:themeFillTint="33"/>
          </w:tcPr>
          <w:p w14:paraId="2BE13BD9" w14:textId="7D2DA060"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205.9</w:t>
            </w:r>
          </w:p>
        </w:tc>
        <w:tc>
          <w:tcPr>
            <w:tcW w:w="717" w:type="dxa"/>
            <w:shd w:val="clear" w:color="auto" w:fill="DAE3F8" w:themeFill="accent1" w:themeFillTint="33"/>
          </w:tcPr>
          <w:p w14:paraId="7AC1BE75" w14:textId="5A6E7DFB"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212.9</w:t>
            </w:r>
          </w:p>
        </w:tc>
        <w:tc>
          <w:tcPr>
            <w:tcW w:w="717" w:type="dxa"/>
            <w:shd w:val="clear" w:color="auto" w:fill="DAE3F8" w:themeFill="accent1" w:themeFillTint="33"/>
          </w:tcPr>
          <w:p w14:paraId="75B48B68" w14:textId="2861CB4D"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220.1</w:t>
            </w:r>
          </w:p>
        </w:tc>
        <w:tc>
          <w:tcPr>
            <w:tcW w:w="717" w:type="dxa"/>
            <w:shd w:val="clear" w:color="auto" w:fill="DAE3F8" w:themeFill="accent1" w:themeFillTint="33"/>
          </w:tcPr>
          <w:p w14:paraId="2A550D31" w14:textId="0F130624"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227.5</w:t>
            </w:r>
          </w:p>
        </w:tc>
        <w:tc>
          <w:tcPr>
            <w:tcW w:w="783" w:type="dxa"/>
            <w:shd w:val="clear" w:color="auto" w:fill="DAE3F8" w:themeFill="accent1" w:themeFillTint="33"/>
          </w:tcPr>
          <w:p w14:paraId="1BE7E6BF" w14:textId="110D5C8F"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235.</w:t>
            </w:r>
            <w:r w:rsidRPr="009D607C">
              <w:rPr>
                <w:rFonts w:cs="Arial"/>
                <w:sz w:val="18"/>
                <w:szCs w:val="18"/>
              </w:rPr>
              <w:t>2</w:t>
            </w:r>
          </w:p>
        </w:tc>
        <w:tc>
          <w:tcPr>
            <w:tcW w:w="717" w:type="dxa"/>
            <w:shd w:val="clear" w:color="auto" w:fill="DAE3F8" w:themeFill="accent1" w:themeFillTint="33"/>
          </w:tcPr>
          <w:p w14:paraId="2A8BEDFA" w14:textId="622DFF6A"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243.2</w:t>
            </w:r>
          </w:p>
        </w:tc>
        <w:tc>
          <w:tcPr>
            <w:tcW w:w="717" w:type="dxa"/>
            <w:shd w:val="clear" w:color="auto" w:fill="DAE3F8" w:themeFill="accent1" w:themeFillTint="33"/>
          </w:tcPr>
          <w:p w14:paraId="55355953" w14:textId="750C07F6"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251.4</w:t>
            </w:r>
          </w:p>
        </w:tc>
        <w:tc>
          <w:tcPr>
            <w:tcW w:w="717" w:type="dxa"/>
            <w:shd w:val="clear" w:color="auto" w:fill="DAE3F8" w:themeFill="accent1" w:themeFillTint="33"/>
          </w:tcPr>
          <w:p w14:paraId="7AB0A642" w14:textId="05172DB7"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259.9</w:t>
            </w:r>
          </w:p>
        </w:tc>
        <w:tc>
          <w:tcPr>
            <w:tcW w:w="717" w:type="dxa"/>
            <w:shd w:val="clear" w:color="auto" w:fill="DAE3F8" w:themeFill="accent1" w:themeFillTint="33"/>
          </w:tcPr>
          <w:p w14:paraId="65E71B66" w14:textId="62549DFC"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268.7</w:t>
            </w:r>
          </w:p>
        </w:tc>
        <w:tc>
          <w:tcPr>
            <w:tcW w:w="823" w:type="dxa"/>
            <w:shd w:val="clear" w:color="auto" w:fill="DAE3F8" w:themeFill="accent1" w:themeFillTint="33"/>
          </w:tcPr>
          <w:p w14:paraId="6E1307C5" w14:textId="06708723"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277.8</w:t>
            </w:r>
          </w:p>
        </w:tc>
      </w:tr>
      <w:tr w:rsidR="00AE3CD3" w:rsidRPr="00E55C16" w14:paraId="023A7339" w14:textId="77777777" w:rsidTr="00AE3CD3">
        <w:trPr>
          <w:trHeight w:val="460"/>
        </w:trPr>
        <w:tc>
          <w:tcPr>
            <w:tcW w:w="1584" w:type="dxa"/>
          </w:tcPr>
          <w:p w14:paraId="6693D21D" w14:textId="59024E79" w:rsidR="007B18D8" w:rsidRPr="009D607C" w:rsidRDefault="007B18D8" w:rsidP="007B18D8">
            <w:pPr>
              <w:keepLines/>
              <w:widowControl w:val="0"/>
              <w:spacing w:after="200" w:line="240" w:lineRule="auto"/>
              <w:rPr>
                <w:rFonts w:eastAsia="Times New Roman" w:cs="Arial"/>
                <w:b/>
                <w:bCs/>
                <w:sz w:val="18"/>
                <w:szCs w:val="18"/>
                <w:lang w:eastAsia="en-AU"/>
              </w:rPr>
            </w:pPr>
            <w:r w:rsidRPr="009D607C">
              <w:rPr>
                <w:rFonts w:asciiTheme="majorHAnsi" w:hAnsiTheme="majorHAnsi" w:cstheme="majorHAnsi"/>
                <w:b/>
                <w:bCs/>
                <w:sz w:val="18"/>
                <w:szCs w:val="18"/>
              </w:rPr>
              <w:t>RCS (mining only)</w:t>
            </w:r>
          </w:p>
        </w:tc>
        <w:tc>
          <w:tcPr>
            <w:tcW w:w="717" w:type="dxa"/>
          </w:tcPr>
          <w:p w14:paraId="4FF088A9" w14:textId="424721AD"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3.4</w:t>
            </w:r>
          </w:p>
        </w:tc>
        <w:tc>
          <w:tcPr>
            <w:tcW w:w="717" w:type="dxa"/>
          </w:tcPr>
          <w:p w14:paraId="59B7AB56" w14:textId="3DE3BCB8"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7634EA51" w14:textId="64CBB4A2"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670E0ABA" w14:textId="75DDAA3A"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83" w:type="dxa"/>
          </w:tcPr>
          <w:p w14:paraId="20BE7197" w14:textId="53D86B2E"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45187689" w14:textId="3094A425"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568846F3" w14:textId="5169F083"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4516C8AB" w14:textId="683CBFF5"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717" w:type="dxa"/>
          </w:tcPr>
          <w:p w14:paraId="161D33A5" w14:textId="7D9D0932" w:rsidR="007B18D8" w:rsidRPr="009D607C" w:rsidRDefault="007B18D8" w:rsidP="007B18D8">
            <w:pPr>
              <w:keepLines/>
              <w:widowControl w:val="0"/>
              <w:spacing w:after="200" w:line="240" w:lineRule="auto"/>
              <w:rPr>
                <w:rFonts w:cs="Arial"/>
                <w:sz w:val="18"/>
                <w:szCs w:val="18"/>
              </w:rPr>
            </w:pPr>
            <w:r w:rsidRPr="009D607C">
              <w:rPr>
                <w:sz w:val="18"/>
                <w:szCs w:val="18"/>
              </w:rPr>
              <w:t>3.4</w:t>
            </w:r>
          </w:p>
        </w:tc>
        <w:tc>
          <w:tcPr>
            <w:tcW w:w="823" w:type="dxa"/>
          </w:tcPr>
          <w:p w14:paraId="79530D84" w14:textId="0C76B249" w:rsidR="007B18D8" w:rsidRPr="009D607C" w:rsidRDefault="007B18D8" w:rsidP="007B18D8">
            <w:pPr>
              <w:keepLines/>
              <w:widowControl w:val="0"/>
              <w:spacing w:after="200" w:line="240" w:lineRule="auto"/>
              <w:rPr>
                <w:rFonts w:cs="Arial"/>
                <w:sz w:val="18"/>
                <w:szCs w:val="18"/>
              </w:rPr>
            </w:pPr>
            <w:r w:rsidRPr="009D607C">
              <w:rPr>
                <w:sz w:val="18"/>
                <w:szCs w:val="18"/>
              </w:rPr>
              <w:t>3.4</w:t>
            </w:r>
          </w:p>
        </w:tc>
      </w:tr>
      <w:tr w:rsidR="00AE3CD3" w:rsidRPr="00AE3CD3" w14:paraId="755EE677" w14:textId="77777777" w:rsidTr="00AE3CD3">
        <w:trPr>
          <w:trHeight w:val="426"/>
        </w:trPr>
        <w:tc>
          <w:tcPr>
            <w:tcW w:w="1584" w:type="dxa"/>
            <w:shd w:val="clear" w:color="auto" w:fill="DAE3F8" w:themeFill="accent1" w:themeFillTint="33"/>
          </w:tcPr>
          <w:p w14:paraId="7A7652E5" w14:textId="77777777" w:rsidR="007B18D8" w:rsidRPr="009D607C" w:rsidRDefault="007B18D8" w:rsidP="007B18D8">
            <w:pPr>
              <w:keepLines/>
              <w:widowControl w:val="0"/>
              <w:spacing w:after="200" w:line="240" w:lineRule="auto"/>
              <w:contextualSpacing w:val="0"/>
              <w:rPr>
                <w:rFonts w:eastAsia="Times New Roman" w:cs="Arial"/>
                <w:b/>
                <w:bCs/>
                <w:sz w:val="18"/>
                <w:szCs w:val="18"/>
                <w:lang w:eastAsia="en-AU"/>
              </w:rPr>
            </w:pPr>
            <w:r w:rsidRPr="009D607C">
              <w:rPr>
                <w:rFonts w:eastAsia="Times New Roman" w:cs="Arial"/>
                <w:b/>
                <w:bCs/>
                <w:sz w:val="18"/>
                <w:szCs w:val="18"/>
                <w:lang w:eastAsia="en-AU"/>
              </w:rPr>
              <w:t>Titanium dioxide</w:t>
            </w:r>
          </w:p>
        </w:tc>
        <w:tc>
          <w:tcPr>
            <w:tcW w:w="717" w:type="dxa"/>
            <w:shd w:val="clear" w:color="auto" w:fill="DAE3F8" w:themeFill="accent1" w:themeFillTint="33"/>
          </w:tcPr>
          <w:p w14:paraId="28571819" w14:textId="5A214085"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30444921" w14:textId="10D5130A"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46B64CDB" w14:textId="5794FC4D"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5AAF4D8A" w14:textId="62E8BA46"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83" w:type="dxa"/>
            <w:shd w:val="clear" w:color="auto" w:fill="DAE3F8" w:themeFill="accent1" w:themeFillTint="33"/>
          </w:tcPr>
          <w:p w14:paraId="123E9B20" w14:textId="4893508E"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06D1D4FF" w14:textId="5BBF7A20"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3AE50138" w14:textId="770F2470"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7E6C9F3A" w14:textId="73939550"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717" w:type="dxa"/>
            <w:shd w:val="clear" w:color="auto" w:fill="DAE3F8" w:themeFill="accent1" w:themeFillTint="33"/>
          </w:tcPr>
          <w:p w14:paraId="282564C4" w14:textId="0C8DFBD4"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0.9</w:t>
            </w:r>
          </w:p>
        </w:tc>
        <w:tc>
          <w:tcPr>
            <w:tcW w:w="823" w:type="dxa"/>
            <w:shd w:val="clear" w:color="auto" w:fill="DAE3F8" w:themeFill="accent1" w:themeFillTint="33"/>
          </w:tcPr>
          <w:p w14:paraId="3D976DDF" w14:textId="1DA6ABC1" w:rsidR="007B18D8" w:rsidRPr="009D607C" w:rsidRDefault="007B18D8" w:rsidP="007B18D8">
            <w:pPr>
              <w:keepLines/>
              <w:widowControl w:val="0"/>
              <w:spacing w:after="200" w:line="240" w:lineRule="auto"/>
              <w:rPr>
                <w:rFonts w:eastAsia="Times New Roman" w:cs="Arial"/>
                <w:sz w:val="18"/>
                <w:szCs w:val="18"/>
                <w:lang w:eastAsia="en-AU"/>
              </w:rPr>
            </w:pPr>
            <w:r w:rsidRPr="009D607C">
              <w:rPr>
                <w:sz w:val="18"/>
                <w:szCs w:val="18"/>
              </w:rPr>
              <w:t>0.</w:t>
            </w:r>
            <w:r w:rsidRPr="009D607C">
              <w:rPr>
                <w:rFonts w:cs="Arial"/>
                <w:sz w:val="18"/>
                <w:szCs w:val="18"/>
              </w:rPr>
              <w:t>9</w:t>
            </w:r>
          </w:p>
        </w:tc>
      </w:tr>
    </w:tbl>
    <w:p w14:paraId="7742EBF8" w14:textId="77777777" w:rsidR="005179F8" w:rsidRPr="003B783D" w:rsidRDefault="005179F8" w:rsidP="003B783D">
      <w:pPr>
        <w:contextualSpacing w:val="0"/>
        <w:rPr>
          <w:b/>
          <w:bCs/>
        </w:rPr>
      </w:pPr>
      <w:r w:rsidRPr="003B783D">
        <w:rPr>
          <w:b/>
          <w:bCs/>
        </w:rPr>
        <w:lastRenderedPageBreak/>
        <w:t>The estimated number of businesses affected by the proposed WEL for RCS reflects a broader scope of analysis than previous Decision RISs.</w:t>
      </w:r>
    </w:p>
    <w:p w14:paraId="5D63736A" w14:textId="77777777" w:rsidR="005179F8" w:rsidRPr="00993B73" w:rsidRDefault="005179F8" w:rsidP="005179F8">
      <w:r w:rsidRPr="00993B73">
        <w:t xml:space="preserve">This analysis projects the number of businesses that may be affected by the proposed WEL for RCS as around </w:t>
      </w:r>
      <w:r>
        <w:t>209</w:t>
      </w:r>
      <w:r w:rsidRPr="00993B73">
        <w:t>,000 in FY27. This estimate differs to figures applied in two previous Decision RISs related to RCS due to differences in scope of analysis, specifically:</w:t>
      </w:r>
    </w:p>
    <w:p w14:paraId="4B4FA01E" w14:textId="561C57AE" w:rsidR="005179F8" w:rsidRPr="00993B73" w:rsidRDefault="00325DFF" w:rsidP="00A2768E">
      <w:pPr>
        <w:pStyle w:val="ListParagraph"/>
        <w:numPr>
          <w:ilvl w:val="0"/>
          <w:numId w:val="103"/>
        </w:numPr>
        <w:suppressAutoHyphens/>
        <w:spacing w:line="259" w:lineRule="auto"/>
        <w:contextualSpacing w:val="0"/>
      </w:pPr>
      <w:r w:rsidRPr="00325DFF">
        <w:t xml:space="preserve">The </w:t>
      </w:r>
      <w:hyperlink r:id="rId59" w:history="1">
        <w:r w:rsidRPr="00325DFF">
          <w:rPr>
            <w:rStyle w:val="Hyperlink"/>
            <w:i/>
            <w:iCs/>
          </w:rPr>
          <w:t>Decision Regulation Impact Statement: Managing the risks of respirable crystalline silica at work</w:t>
        </w:r>
      </w:hyperlink>
      <w:r w:rsidRPr="00325DFF">
        <w:rPr>
          <w:i/>
          <w:iCs/>
        </w:rPr>
        <w:t xml:space="preserve"> </w:t>
      </w:r>
      <w:r w:rsidRPr="00325DFF">
        <w:t xml:space="preserve">(RCS </w:t>
      </w:r>
      <w:r w:rsidR="005179F8" w:rsidRPr="00993B73">
        <w:t>Decision RIS</w:t>
      </w:r>
      <w:r w:rsidRPr="00325DFF">
        <w:t>)</w:t>
      </w:r>
      <w:r w:rsidRPr="00325DFF">
        <w:rPr>
          <w:i/>
          <w:iCs/>
        </w:rPr>
        <w:t xml:space="preserve"> </w:t>
      </w:r>
      <w:r w:rsidR="005179F8" w:rsidRPr="00993B73">
        <w:t>estimated that up to 22,000 businesses would be affected by regulatory and non-regulatory options aimed at reducing workplace exposures to RCS in Australia in 2021</w:t>
      </w:r>
      <w:r w:rsidR="00EA2989">
        <w:t xml:space="preserve"> </w:t>
      </w:r>
      <w:sdt>
        <w:sdtPr>
          <w:id w:val="-1651277150"/>
          <w:citation/>
        </w:sdtPr>
        <w:sdtEndPr/>
        <w:sdtContent>
          <w:r w:rsidR="003022F4">
            <w:fldChar w:fldCharType="begin"/>
          </w:r>
          <w:r w:rsidR="003022F4">
            <w:instrText xml:space="preserve"> CITATION Saf234 \l 3081 </w:instrText>
          </w:r>
          <w:r w:rsidR="003022F4">
            <w:fldChar w:fldCharType="separate"/>
          </w:r>
          <w:r w:rsidR="00490B21">
            <w:rPr>
              <w:noProof/>
            </w:rPr>
            <w:t>(Safe Work Australia, 2023)</w:t>
          </w:r>
          <w:r w:rsidR="003022F4">
            <w:fldChar w:fldCharType="end"/>
          </w:r>
        </w:sdtContent>
      </w:sdt>
      <w:r w:rsidR="005179F8" w:rsidRPr="00993B73">
        <w:t xml:space="preserve">. </w:t>
      </w:r>
    </w:p>
    <w:p w14:paraId="48BE8D58" w14:textId="0C00D3C6" w:rsidR="005179F8" w:rsidRPr="00993B73" w:rsidRDefault="00AB7E32" w:rsidP="00A2768E">
      <w:pPr>
        <w:pStyle w:val="ListParagraph"/>
        <w:numPr>
          <w:ilvl w:val="0"/>
          <w:numId w:val="103"/>
        </w:numPr>
        <w:suppressAutoHyphens/>
        <w:spacing w:line="259" w:lineRule="auto"/>
        <w:contextualSpacing w:val="0"/>
      </w:pPr>
      <w:r w:rsidRPr="00AB7E32">
        <w:t xml:space="preserve">The </w:t>
      </w:r>
      <w:hyperlink r:id="rId60" w:history="1">
        <w:r w:rsidRPr="00AB7E32">
          <w:rPr>
            <w:rStyle w:val="Hyperlink"/>
            <w:i/>
            <w:iCs/>
          </w:rPr>
          <w:t>Decision Regulation Impact Statement: Prohibition on the use of engineered stone</w:t>
        </w:r>
      </w:hyperlink>
      <w:r>
        <w:t xml:space="preserve"> </w:t>
      </w:r>
      <w:r w:rsidR="000B2BAA">
        <w:t xml:space="preserve">(Engineered stoned Decision RIS) </w:t>
      </w:r>
      <w:r w:rsidR="005179F8" w:rsidRPr="00993B73">
        <w:t>suggested as many as 179,750 construction industry businesses may work with engineered stone in 2019</w:t>
      </w:r>
      <w:r w:rsidR="00A12B58">
        <w:t xml:space="preserve"> </w:t>
      </w:r>
      <w:sdt>
        <w:sdtPr>
          <w:id w:val="-1697920200"/>
          <w:citation/>
        </w:sdtPr>
        <w:sdtEndPr/>
        <w:sdtContent>
          <w:r w:rsidR="00FA4D3F">
            <w:fldChar w:fldCharType="begin"/>
          </w:r>
          <w:r w:rsidR="00FA4D3F">
            <w:instrText xml:space="preserve"> CITATION Saf231 \l 3081 </w:instrText>
          </w:r>
          <w:r w:rsidR="00FA4D3F">
            <w:fldChar w:fldCharType="separate"/>
          </w:r>
          <w:r w:rsidR="00490B21">
            <w:rPr>
              <w:noProof/>
            </w:rPr>
            <w:t>(Safe Work Australia, 2023)</w:t>
          </w:r>
          <w:r w:rsidR="00FA4D3F">
            <w:fldChar w:fldCharType="end"/>
          </w:r>
        </w:sdtContent>
      </w:sdt>
      <w:r w:rsidR="005179F8" w:rsidRPr="00993B73">
        <w:t>.</w:t>
      </w:r>
    </w:p>
    <w:p w14:paraId="514138C4" w14:textId="77777777" w:rsidR="005179F8" w:rsidRDefault="005179F8" w:rsidP="005179F8">
      <w:r w:rsidRPr="00993B73">
        <w:t>The estimated number of businesses affected by the proposed WEL for RCS is slightly higher than the previous Decision RIS figures as it includes a broader range of industry sub-divisions affected by the proposed WEL</w:t>
      </w:r>
      <w:r>
        <w:t>. This analysis also includes Victorian workplaces that were excluded from the previous analysis as they have not adopted the model WHS laws</w:t>
      </w:r>
      <w:r w:rsidRPr="00993B73">
        <w:t>.</w:t>
      </w:r>
    </w:p>
    <w:p w14:paraId="20E52E76" w14:textId="77777777" w:rsidR="007D0D57" w:rsidRPr="00993B73" w:rsidRDefault="007D0D57" w:rsidP="00DE72EE">
      <w:pPr>
        <w:pStyle w:val="SWAHeading3"/>
      </w:pPr>
      <w:r w:rsidRPr="00993B73">
        <w:t xml:space="preserve">Workers affected by the proposed WEL </w:t>
      </w:r>
    </w:p>
    <w:p w14:paraId="13342755" w14:textId="7D7F208C" w:rsidR="007D0D57" w:rsidRPr="00DE72EE" w:rsidRDefault="007D0D57" w:rsidP="00DE72EE">
      <w:pPr>
        <w:spacing w:after="160"/>
        <w:contextualSpacing w:val="0"/>
        <w:rPr>
          <w:rFonts w:asciiTheme="majorHAnsi" w:hAnsiTheme="majorHAnsi" w:cstheme="majorHAnsi"/>
          <w:b/>
          <w:bCs/>
          <w:lang w:eastAsia="en-AU"/>
        </w:rPr>
      </w:pPr>
      <w:r w:rsidRPr="00DE72EE">
        <w:rPr>
          <w:rFonts w:asciiTheme="majorHAnsi" w:hAnsiTheme="majorHAnsi" w:cstheme="majorHAnsi"/>
          <w:b/>
          <w:bCs/>
          <w:lang w:eastAsia="en-AU"/>
        </w:rPr>
        <w:t xml:space="preserve">A significant number of workers are exposed to the </w:t>
      </w:r>
      <w:r w:rsidR="00226A6F">
        <w:rPr>
          <w:rFonts w:asciiTheme="majorHAnsi" w:hAnsiTheme="majorHAnsi" w:cstheme="majorHAnsi"/>
          <w:b/>
          <w:bCs/>
          <w:lang w:eastAsia="en-AU"/>
        </w:rPr>
        <w:t>9</w:t>
      </w:r>
      <w:r w:rsidRPr="00DE72EE">
        <w:rPr>
          <w:rFonts w:asciiTheme="majorHAnsi" w:hAnsiTheme="majorHAnsi" w:cstheme="majorHAnsi"/>
          <w:b/>
          <w:bCs/>
          <w:lang w:eastAsia="en-AU"/>
        </w:rPr>
        <w:t xml:space="preserve"> chemicals</w:t>
      </w:r>
      <w:r w:rsidR="009C5F03">
        <w:rPr>
          <w:rFonts w:asciiTheme="majorHAnsi" w:hAnsiTheme="majorHAnsi" w:cstheme="majorHAnsi"/>
          <w:b/>
          <w:bCs/>
          <w:lang w:eastAsia="en-AU"/>
        </w:rPr>
        <w:t xml:space="preserve"> considered in this Decision RIS</w:t>
      </w:r>
      <w:r w:rsidRPr="00DE72EE">
        <w:rPr>
          <w:rFonts w:asciiTheme="majorHAnsi" w:hAnsiTheme="majorHAnsi" w:cstheme="majorHAnsi"/>
          <w:b/>
          <w:bCs/>
          <w:lang w:eastAsia="en-AU"/>
        </w:rPr>
        <w:t xml:space="preserve"> in the workplace</w:t>
      </w:r>
    </w:p>
    <w:p w14:paraId="52D59FC6" w14:textId="51E9C45F" w:rsidR="007D0D57" w:rsidRPr="00993B73" w:rsidRDefault="00AC080C" w:rsidP="007D0D57">
      <w:r>
        <w:fldChar w:fldCharType="begin"/>
      </w:r>
      <w:r>
        <w:instrText xml:space="preserve"> REF _Ref200023395 \h </w:instrText>
      </w:r>
      <w:r>
        <w:fldChar w:fldCharType="separate"/>
      </w:r>
      <w:r w:rsidR="00A002F4">
        <w:t xml:space="preserve">Figure </w:t>
      </w:r>
      <w:r w:rsidR="00A002F4">
        <w:rPr>
          <w:noProof/>
        </w:rPr>
        <w:t>3</w:t>
      </w:r>
      <w:r>
        <w:fldChar w:fldCharType="end"/>
      </w:r>
      <w:r>
        <w:t xml:space="preserve"> </w:t>
      </w:r>
      <w:r w:rsidR="007D0D57" w:rsidRPr="00993B73">
        <w:t>summarises the estimated number of affected workers by chemical and the proportion of workers by industry, as of June 2024. These figures have been calculated using ABS Labour Force data</w:t>
      </w:r>
      <w:r w:rsidR="0019526D">
        <w:t xml:space="preserve"> </w:t>
      </w:r>
      <w:sdt>
        <w:sdtPr>
          <w:id w:val="1219013462"/>
          <w:citation/>
        </w:sdtPr>
        <w:sdtEndPr/>
        <w:sdtContent>
          <w:r w:rsidR="00F75D4C">
            <w:fldChar w:fldCharType="begin"/>
          </w:r>
          <w:r w:rsidR="00F75D4C">
            <w:instrText xml:space="preserve"> CITATION Aus246 \l 3081 </w:instrText>
          </w:r>
          <w:r w:rsidR="00F75D4C">
            <w:fldChar w:fldCharType="separate"/>
          </w:r>
          <w:r w:rsidR="00490B21">
            <w:rPr>
              <w:noProof/>
            </w:rPr>
            <w:t>(Australian Bureau of Statistics, 2024)</w:t>
          </w:r>
          <w:r w:rsidR="00F75D4C">
            <w:fldChar w:fldCharType="end"/>
          </w:r>
        </w:sdtContent>
      </w:sdt>
      <w:r w:rsidR="007D0D57" w:rsidRPr="00993B73">
        <w:t>. The figure shows that:</w:t>
      </w:r>
    </w:p>
    <w:p w14:paraId="685F5C19" w14:textId="77777777" w:rsidR="007D0D57" w:rsidRPr="00993B73" w:rsidRDefault="007D0D57" w:rsidP="00A2768E">
      <w:pPr>
        <w:pStyle w:val="ListParagraph"/>
        <w:numPr>
          <w:ilvl w:val="0"/>
          <w:numId w:val="104"/>
        </w:numPr>
        <w:suppressAutoHyphens/>
        <w:spacing w:line="259" w:lineRule="auto"/>
        <w:contextualSpacing w:val="0"/>
      </w:pPr>
      <w:r w:rsidRPr="00993B73">
        <w:t>The estimated highest number of workers are exposed to RCS (</w:t>
      </w:r>
      <w:r>
        <w:t>1.44</w:t>
      </w:r>
      <w:r w:rsidRPr="00993B73">
        <w:t xml:space="preserve"> million), nitrogen dioxide (</w:t>
      </w:r>
      <w:r>
        <w:t>604</w:t>
      </w:r>
      <w:r w:rsidRPr="00993B73">
        <w:t>,000), copper (</w:t>
      </w:r>
      <w:r>
        <w:t>365</w:t>
      </w:r>
      <w:r w:rsidRPr="00993B73">
        <w:t>,000) and formaldehyde (</w:t>
      </w:r>
      <w:r>
        <w:t>218</w:t>
      </w:r>
      <w:r w:rsidRPr="00993B73">
        <w:t>,000).</w:t>
      </w:r>
    </w:p>
    <w:p w14:paraId="2D5D1DE0" w14:textId="77777777" w:rsidR="007D0D57" w:rsidRPr="00993B73" w:rsidRDefault="007D0D57" w:rsidP="00A2768E">
      <w:pPr>
        <w:pStyle w:val="ListParagraph"/>
        <w:numPr>
          <w:ilvl w:val="0"/>
          <w:numId w:val="104"/>
        </w:numPr>
        <w:suppressAutoHyphens/>
        <w:spacing w:line="259" w:lineRule="auto"/>
        <w:contextualSpacing w:val="0"/>
      </w:pPr>
      <w:r w:rsidRPr="00993B73">
        <w:t>The industries with the estimated highest number of affected workers include construction (</w:t>
      </w:r>
      <w:r>
        <w:t>1.1</w:t>
      </w:r>
      <w:r w:rsidRPr="00993B73">
        <w:t xml:space="preserve"> million), manufacturing (782,000)</w:t>
      </w:r>
      <w:r>
        <w:t>, mining (676,000)</w:t>
      </w:r>
      <w:r w:rsidRPr="00993B73">
        <w:t xml:space="preserve"> and transport, postal and warehousing (</w:t>
      </w:r>
      <w:r>
        <w:t>271</w:t>
      </w:r>
      <w:r w:rsidRPr="00993B73">
        <w:t>,000).</w:t>
      </w:r>
    </w:p>
    <w:p w14:paraId="684FD857" w14:textId="11109D63" w:rsidR="007D0D57" w:rsidRDefault="007D0D57" w:rsidP="007D0D57">
      <w:r w:rsidRPr="00993B73">
        <w:t xml:space="preserve">In line with the estimated number of affected businesses, the actual number of affected workers is likely to be significantly lower than the sum of affected workers for each chemical. This is because workers may be exposed to more than one of the </w:t>
      </w:r>
      <w:r>
        <w:t>9</w:t>
      </w:r>
      <w:r w:rsidRPr="00993B73">
        <w:t xml:space="preserve"> chemicals in their workplace.</w:t>
      </w:r>
    </w:p>
    <w:p w14:paraId="4EADA17D" w14:textId="77777777" w:rsidR="00AC080C" w:rsidRDefault="005D5A27" w:rsidP="00AC080C">
      <w:pPr>
        <w:keepNext/>
      </w:pPr>
      <w:r w:rsidRPr="00993B73">
        <w:rPr>
          <w:noProof/>
        </w:rPr>
        <w:lastRenderedPageBreak/>
        <w:drawing>
          <wp:inline distT="0" distB="0" distL="0" distR="0" wp14:anchorId="3BE5F759" wp14:editId="33FA2E21">
            <wp:extent cx="5629099" cy="4426876"/>
            <wp:effectExtent l="0" t="0" r="0" b="0"/>
            <wp:docPr id="19263415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41537" name="Picture 1" descr="A screenshot of a graph&#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629099" cy="4426876"/>
                    </a:xfrm>
                    <a:prstGeom prst="rect">
                      <a:avLst/>
                    </a:prstGeom>
                  </pic:spPr>
                </pic:pic>
              </a:graphicData>
            </a:graphic>
          </wp:inline>
        </w:drawing>
      </w:r>
    </w:p>
    <w:p w14:paraId="52F3AAAF" w14:textId="01C397CA" w:rsidR="00162F2F" w:rsidRDefault="00AC080C" w:rsidP="003A1E0F">
      <w:pPr>
        <w:pStyle w:val="Caption"/>
        <w:spacing w:before="0"/>
        <w:contextualSpacing w:val="0"/>
      </w:pPr>
      <w:bookmarkStart w:id="663" w:name="_Ref200023395"/>
      <w:r>
        <w:t xml:space="preserve">Figure </w:t>
      </w:r>
      <w:fldSimple w:instr=" SEQ Figure \* ARABIC ">
        <w:r w:rsidR="00A002F4">
          <w:rPr>
            <w:noProof/>
          </w:rPr>
          <w:t>3</w:t>
        </w:r>
      </w:fldSimple>
      <w:bookmarkEnd w:id="663"/>
      <w:r>
        <w:t xml:space="preserve"> - </w:t>
      </w:r>
      <w:r w:rsidRPr="006B27F7">
        <w:t>Summary of the estimated scale of affected workers, 2024</w:t>
      </w:r>
    </w:p>
    <w:p w14:paraId="515D9CA0" w14:textId="77777777" w:rsidR="001C289F" w:rsidRPr="001C289F" w:rsidRDefault="001C289F" w:rsidP="001C289F">
      <w:pPr>
        <w:pStyle w:val="SWAHeading4"/>
        <w:spacing w:before="240"/>
        <w:rPr>
          <w:rStyle w:val="Heading4Char"/>
          <w:b/>
          <w:bCs/>
          <w:i/>
          <w:iCs/>
          <w:sz w:val="24"/>
        </w:rPr>
      </w:pPr>
      <w:r w:rsidRPr="001C289F">
        <w:rPr>
          <w:rStyle w:val="Heading4Char"/>
          <w:b/>
          <w:bCs/>
          <w:i/>
          <w:iCs/>
          <w:sz w:val="24"/>
        </w:rPr>
        <w:t>Estimating the number of workers exposed to each chemical</w:t>
      </w:r>
    </w:p>
    <w:p w14:paraId="0F4E8A28" w14:textId="759F4CFA" w:rsidR="001C289F" w:rsidRPr="00993B73" w:rsidRDefault="001C289F" w:rsidP="001C289F">
      <w:pPr>
        <w:contextualSpacing w:val="0"/>
        <w:rPr>
          <w:lang w:eastAsia="en-AU"/>
        </w:rPr>
      </w:pPr>
      <w:r>
        <w:rPr>
          <w:lang w:eastAsia="en-AU"/>
        </w:rPr>
        <w:t>The analysis</w:t>
      </w:r>
      <w:r w:rsidRPr="00993B73">
        <w:rPr>
          <w:lang w:eastAsia="en-AU"/>
        </w:rPr>
        <w:t xml:space="preserve"> estimate</w:t>
      </w:r>
      <w:r>
        <w:rPr>
          <w:lang w:eastAsia="en-AU"/>
        </w:rPr>
        <w:t>s</w:t>
      </w:r>
      <w:r w:rsidRPr="00993B73">
        <w:rPr>
          <w:lang w:eastAsia="en-AU"/>
        </w:rPr>
        <w:t xml:space="preserve"> the number of workers that are likely to be exposed to the </w:t>
      </w:r>
      <w:r w:rsidR="009C5F03">
        <w:rPr>
          <w:lang w:eastAsia="en-AU"/>
        </w:rPr>
        <w:t>9</w:t>
      </w:r>
      <w:r w:rsidRPr="00993B73" w:rsidDel="009C5F03">
        <w:rPr>
          <w:lang w:eastAsia="en-AU"/>
        </w:rPr>
        <w:t xml:space="preserve"> </w:t>
      </w:r>
      <w:r w:rsidRPr="00993B73">
        <w:rPr>
          <w:lang w:eastAsia="en-AU"/>
        </w:rPr>
        <w:t>chemicals</w:t>
      </w:r>
      <w:r w:rsidR="009C5F03">
        <w:rPr>
          <w:lang w:eastAsia="en-AU"/>
        </w:rPr>
        <w:t xml:space="preserve"> considered in this Decision RIS</w:t>
      </w:r>
      <w:r w:rsidRPr="00993B73">
        <w:rPr>
          <w:lang w:eastAsia="en-AU"/>
        </w:rPr>
        <w:t xml:space="preserve">, by industry and business size. This assumes that only some of a business’ workers would be exposed to chemicals and that the proportion of workers exposed would differ by industry. The estimated number of workers exposed to the </w:t>
      </w:r>
      <w:r>
        <w:rPr>
          <w:lang w:eastAsia="en-AU"/>
        </w:rPr>
        <w:t>9</w:t>
      </w:r>
      <w:r w:rsidRPr="00993B73">
        <w:rPr>
          <w:lang w:eastAsia="en-AU"/>
        </w:rPr>
        <w:t xml:space="preserve"> chemicals </w:t>
      </w:r>
      <w:r w:rsidR="00C2782B">
        <w:rPr>
          <w:lang w:eastAsia="en-AU"/>
        </w:rPr>
        <w:t xml:space="preserve">considered in this Decision RIS </w:t>
      </w:r>
      <w:r w:rsidRPr="00993B73">
        <w:rPr>
          <w:lang w:eastAsia="en-AU"/>
        </w:rPr>
        <w:t xml:space="preserve">will be used to estimate the benefits of the proposed WEL. </w:t>
      </w:r>
    </w:p>
    <w:p w14:paraId="5316E6D0" w14:textId="77777777" w:rsidR="001C289F" w:rsidRPr="00993B73" w:rsidRDefault="001C289F" w:rsidP="001C289F">
      <w:pPr>
        <w:contextualSpacing w:val="0"/>
        <w:rPr>
          <w:noProof/>
        </w:rPr>
      </w:pPr>
      <w:r w:rsidRPr="00993B73">
        <w:rPr>
          <w:noProof/>
        </w:rPr>
        <w:t>The number of workers (by industry) is estimated as follows:</w:t>
      </w:r>
    </w:p>
    <w:p w14:paraId="30A1A1F0" w14:textId="77777777" w:rsidR="001C289F" w:rsidRPr="00993B73" w:rsidRDefault="002A11AD" w:rsidP="001C289F">
      <w:pPr>
        <w:rPr>
          <w:rFonts w:eastAsiaTheme="minorEastAsia"/>
          <w:noProof/>
        </w:rPr>
      </w:pPr>
      <m:oMath>
        <m:sSub>
          <m:sSubPr>
            <m:ctrlPr>
              <w:rPr>
                <w:rFonts w:ascii="Cambria Math" w:hAnsi="Cambria Math"/>
                <w:i/>
                <w:noProof/>
              </w:rPr>
            </m:ctrlPr>
          </m:sSubPr>
          <m:e>
            <m:r>
              <w:rPr>
                <w:rFonts w:ascii="Cambria Math" w:hAnsi="Cambria Math"/>
                <w:noProof/>
              </w:rPr>
              <m:t>W</m:t>
            </m:r>
          </m:e>
          <m:sub>
            <m:r>
              <w:rPr>
                <w:rFonts w:ascii="Cambria Math" w:hAnsi="Cambria Math"/>
                <w:noProof/>
              </w:rPr>
              <m:t>I</m:t>
            </m:r>
          </m:sub>
        </m:sSub>
        <m:r>
          <w:rPr>
            <w:rFonts w:ascii="Cambria Math" w:hAnsi="Cambria Math"/>
            <w:noProof/>
          </w:rPr>
          <m:t>=</m:t>
        </m:r>
        <m:d>
          <m:dPr>
            <m:ctrlPr>
              <w:rPr>
                <w:rFonts w:ascii="Cambria Math" w:hAnsi="Cambria Math"/>
                <w:i/>
                <w:noProof/>
              </w:rPr>
            </m:ctrlPr>
          </m:dPr>
          <m:e>
            <m:r>
              <w:rPr>
                <w:rFonts w:ascii="Cambria Math" w:hAnsi="Cambria Math"/>
                <w:noProof/>
              </w:rPr>
              <m:t xml:space="preserve"> </m:t>
            </m:r>
            <m:sSubSup>
              <m:sSubSupPr>
                <m:ctrlPr>
                  <w:rPr>
                    <w:rFonts w:ascii="Cambria Math" w:hAnsi="Cambria Math"/>
                    <w:i/>
                    <w:noProof/>
                  </w:rPr>
                </m:ctrlPr>
              </m:sSubSupPr>
              <m:e>
                <m:r>
                  <w:rPr>
                    <w:rFonts w:ascii="Cambria Math" w:hAnsi="Cambria Math"/>
                    <w:noProof/>
                  </w:rPr>
                  <m:t>W</m:t>
                </m:r>
              </m:e>
              <m:sub>
                <m:r>
                  <w:rPr>
                    <w:rFonts w:ascii="Cambria Math" w:hAnsi="Cambria Math"/>
                    <w:noProof/>
                  </w:rPr>
                  <m:t>I</m:t>
                </m:r>
              </m:sub>
              <m:sup>
                <m:r>
                  <w:rPr>
                    <w:rFonts w:ascii="Cambria Math" w:hAnsi="Cambria Math"/>
                    <w:noProof/>
                  </w:rPr>
                  <m:t>FT</m:t>
                </m:r>
              </m:sup>
            </m:sSubSup>
            <m:r>
              <m:rPr>
                <m:sty m:val="p"/>
              </m:rPr>
              <w:rPr>
                <w:rFonts w:ascii="Cambria Math" w:eastAsiaTheme="minorEastAsia" w:hAnsi="Cambria Math"/>
                <w:noProof/>
              </w:rPr>
              <m:t xml:space="preserve">× </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HW</m:t>
                    </m:r>
                  </m:e>
                  <m:sub>
                    <m:r>
                      <w:rPr>
                        <w:rFonts w:ascii="Cambria Math" w:hAnsi="Cambria Math"/>
                        <w:noProof/>
                      </w:rPr>
                      <m:t>I</m:t>
                    </m:r>
                  </m:sub>
                  <m:sup>
                    <m:r>
                      <w:rPr>
                        <w:rFonts w:ascii="Cambria Math" w:hAnsi="Cambria Math"/>
                        <w:noProof/>
                      </w:rPr>
                      <m:t>FT</m:t>
                    </m:r>
                  </m:sup>
                </m:sSubSup>
              </m:num>
              <m:den>
                <m:r>
                  <w:rPr>
                    <w:rFonts w:ascii="Cambria Math" w:hAnsi="Cambria Math"/>
                    <w:noProof/>
                  </w:rPr>
                  <m:t>35</m:t>
                </m:r>
              </m:den>
            </m:f>
            <m:r>
              <w:rPr>
                <w:rFonts w:ascii="Cambria Math" w:hAnsi="Cambria Math"/>
                <w:noProof/>
              </w:rPr>
              <m:t>+</m:t>
            </m:r>
            <m:sSubSup>
              <m:sSubSupPr>
                <m:ctrlPr>
                  <w:rPr>
                    <w:rFonts w:ascii="Cambria Math" w:hAnsi="Cambria Math"/>
                    <w:i/>
                    <w:noProof/>
                  </w:rPr>
                </m:ctrlPr>
              </m:sSubSupPr>
              <m:e>
                <m:r>
                  <w:rPr>
                    <w:rFonts w:ascii="Cambria Math" w:hAnsi="Cambria Math"/>
                    <w:noProof/>
                  </w:rPr>
                  <m:t>W</m:t>
                </m:r>
              </m:e>
              <m:sub>
                <m:r>
                  <w:rPr>
                    <w:rFonts w:ascii="Cambria Math" w:hAnsi="Cambria Math"/>
                    <w:noProof/>
                  </w:rPr>
                  <m:t>I</m:t>
                </m:r>
              </m:sub>
              <m:sup>
                <m:r>
                  <w:rPr>
                    <w:rFonts w:ascii="Cambria Math" w:hAnsi="Cambria Math"/>
                    <w:noProof/>
                  </w:rPr>
                  <m:t>PT</m:t>
                </m:r>
              </m:sup>
            </m:sSubSup>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HW</m:t>
                    </m:r>
                  </m:e>
                  <m:sub>
                    <m:r>
                      <w:rPr>
                        <w:rFonts w:ascii="Cambria Math" w:hAnsi="Cambria Math"/>
                        <w:noProof/>
                      </w:rPr>
                      <m:t>I</m:t>
                    </m:r>
                  </m:sub>
                  <m:sup>
                    <m:r>
                      <w:rPr>
                        <w:rFonts w:ascii="Cambria Math" w:hAnsi="Cambria Math"/>
                        <w:noProof/>
                      </w:rPr>
                      <m:t>PT</m:t>
                    </m:r>
                  </m:sup>
                </m:sSubSup>
              </m:num>
              <m:den>
                <m:r>
                  <w:rPr>
                    <w:rFonts w:ascii="Cambria Math" w:hAnsi="Cambria Math"/>
                    <w:noProof/>
                  </w:rPr>
                  <m:t>35</m:t>
                </m:r>
              </m:den>
            </m:f>
            <m:r>
              <w:rPr>
                <w:rFonts w:ascii="Cambria Math" w:hAnsi="Cambria Math"/>
                <w:noProof/>
              </w:rPr>
              <m:t xml:space="preserve">  </m:t>
            </m:r>
          </m:e>
        </m:d>
        <m:r>
          <w:rPr>
            <w:rFonts w:ascii="Cambria Math" w:hAnsi="Cambria Math"/>
          </w:rPr>
          <m:t>×</m:t>
        </m:r>
        <m:sSub>
          <m:sSubPr>
            <m:ctrlPr>
              <w:rPr>
                <w:rFonts w:ascii="Cambria Math" w:hAnsi="Cambria Math"/>
                <w:i/>
                <w:noProof/>
              </w:rPr>
            </m:ctrlPr>
          </m:sSubPr>
          <m:e>
            <m:r>
              <w:rPr>
                <w:rFonts w:ascii="Cambria Math" w:hAnsi="Cambria Math"/>
                <w:noProof/>
              </w:rPr>
              <m:t>G</m:t>
            </m:r>
          </m:e>
          <m:sub>
            <m:r>
              <w:rPr>
                <w:rFonts w:ascii="Cambria Math" w:hAnsi="Cambria Math"/>
                <w:noProof/>
              </w:rPr>
              <m:t>I</m:t>
            </m:r>
          </m:sub>
        </m:sSub>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PW</m:t>
            </m:r>
          </m:e>
          <m:sub>
            <m:r>
              <w:rPr>
                <w:rFonts w:ascii="Cambria Math" w:hAnsi="Cambria Math"/>
              </w:rPr>
              <m:t>I</m:t>
            </m:r>
            <m:r>
              <w:rPr>
                <w:rFonts w:ascii="Cambria Math" w:hAnsi="Cambria Math"/>
              </w:rPr>
              <m:t xml:space="preserve"> </m:t>
            </m:r>
          </m:sub>
        </m:sSub>
        <m:r>
          <w:rPr>
            <w:rFonts w:ascii="Cambria Math" w:hAnsi="Cambria Math"/>
          </w:rPr>
          <m:t>×</m:t>
        </m:r>
        <m:sSub>
          <m:sSubPr>
            <m:ctrlPr>
              <w:rPr>
                <w:rFonts w:ascii="Cambria Math" w:hAnsi="Cambria Math"/>
                <w:i/>
              </w:rPr>
            </m:ctrlPr>
          </m:sSubPr>
          <m:e>
            <m:r>
              <w:rPr>
                <w:rFonts w:ascii="Cambria Math" w:hAnsi="Cambria Math"/>
              </w:rPr>
              <m:t>PB</m:t>
            </m:r>
          </m:e>
          <m:sub>
            <m:r>
              <w:rPr>
                <w:rFonts w:ascii="Cambria Math" w:hAnsi="Cambria Math"/>
              </w:rPr>
              <m:t>I</m:t>
            </m:r>
          </m:sub>
        </m:sSub>
        <m:r>
          <w:rPr>
            <w:rFonts w:ascii="Cambria Math" w:hAnsi="Cambria Math"/>
          </w:rPr>
          <m:t>)</m:t>
        </m:r>
      </m:oMath>
      <w:r w:rsidR="001C289F" w:rsidRPr="00993B73">
        <w:rPr>
          <w:rFonts w:eastAsiaTheme="minorEastAsia"/>
        </w:rPr>
        <w:t xml:space="preserve">, where: </w:t>
      </w:r>
    </w:p>
    <w:p w14:paraId="43CE4F00"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 xml:space="preserve">W represents the number of workers </w:t>
      </w:r>
    </w:p>
    <w:p w14:paraId="5CB99288"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 xml:space="preserve">HW represents the average hours worked per week </w:t>
      </w:r>
    </w:p>
    <w:p w14:paraId="56375BF3"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I represents the ANZSIC Group</w:t>
      </w:r>
    </w:p>
    <w:p w14:paraId="24CF4C60"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FT represents full-time workers</w:t>
      </w:r>
    </w:p>
    <w:p w14:paraId="3FB1C336"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PT represents part-time workers</w:t>
      </w:r>
    </w:p>
    <w:p w14:paraId="219ABB45"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G represents the annual growth rate in the number of workers</w:t>
      </w:r>
    </w:p>
    <w:p w14:paraId="480F18F0"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t>PW represents the assumed proportion of workers in each industry where workers are exposed to each chemical</w:t>
      </w:r>
    </w:p>
    <w:p w14:paraId="063C84FC" w14:textId="77777777" w:rsidR="001C289F" w:rsidRPr="00993B73" w:rsidRDefault="001C289F" w:rsidP="00A2768E">
      <w:pPr>
        <w:pStyle w:val="ListParagraph"/>
        <w:numPr>
          <w:ilvl w:val="0"/>
          <w:numId w:val="105"/>
        </w:numPr>
        <w:suppressAutoHyphens/>
        <w:spacing w:line="259" w:lineRule="auto"/>
        <w:contextualSpacing w:val="0"/>
        <w:rPr>
          <w:noProof/>
        </w:rPr>
      </w:pPr>
      <w:r w:rsidRPr="00993B73">
        <w:rPr>
          <w:noProof/>
        </w:rPr>
        <w:lastRenderedPageBreak/>
        <w:t>PB represents the assumed proportion of businesses in each industry where workers are exposed to each chemical.</w:t>
      </w:r>
    </w:p>
    <w:p w14:paraId="5AC66A32" w14:textId="77777777" w:rsidR="001C289F" w:rsidRPr="00993B73" w:rsidRDefault="001C289F" w:rsidP="001C289F">
      <w:pPr>
        <w:rPr>
          <w:noProof/>
        </w:rPr>
      </w:pPr>
      <w:r w:rsidRPr="00993B73">
        <w:rPr>
          <w:noProof/>
        </w:rPr>
        <w:t>The approach and information sources used to estimate the number of affected workers is:</w:t>
      </w:r>
    </w:p>
    <w:p w14:paraId="08E4F847" w14:textId="6AAE3C36" w:rsidR="001C289F" w:rsidRPr="00993B73" w:rsidRDefault="001C289F" w:rsidP="00A2768E">
      <w:pPr>
        <w:pStyle w:val="ListParagraph"/>
        <w:numPr>
          <w:ilvl w:val="0"/>
          <w:numId w:val="106"/>
        </w:numPr>
        <w:suppressAutoHyphens/>
        <w:spacing w:line="259" w:lineRule="auto"/>
        <w:contextualSpacing w:val="0"/>
        <w:rPr>
          <w:noProof/>
        </w:rPr>
      </w:pPr>
      <w:r w:rsidRPr="001C289F">
        <w:rPr>
          <w:rFonts w:asciiTheme="majorHAnsi" w:hAnsiTheme="majorHAnsi" w:cstheme="majorHAnsi"/>
          <w:b/>
          <w:bCs/>
          <w:noProof/>
        </w:rPr>
        <w:t>Identify industries</w:t>
      </w:r>
      <w:r w:rsidRPr="00993B73">
        <w:rPr>
          <w:rFonts w:asciiTheme="majorHAnsi" w:hAnsiTheme="majorHAnsi" w:cstheme="majorHAnsi"/>
          <w:noProof/>
        </w:rPr>
        <w:t xml:space="preserve"> |</w:t>
      </w:r>
      <w:r w:rsidRPr="00993B73">
        <w:rPr>
          <w:noProof/>
        </w:rPr>
        <w:t xml:space="preserve"> Identify the industries in which workers are estimated to be </w:t>
      </w:r>
      <w:r>
        <w:rPr>
          <w:noProof/>
        </w:rPr>
        <w:t>at risk of exposure</w:t>
      </w:r>
      <w:r w:rsidRPr="00993B73">
        <w:rPr>
          <w:noProof/>
        </w:rPr>
        <w:t xml:space="preserve"> to each chemical, based on stakeholder responses and </w:t>
      </w:r>
      <w:r>
        <w:rPr>
          <w:noProof/>
        </w:rPr>
        <w:t xml:space="preserve">NPI chemical emissions </w:t>
      </w:r>
      <w:r w:rsidRPr="00993B73">
        <w:t xml:space="preserve">data </w:t>
      </w:r>
      <w:r>
        <w:t>reported by businesses</w:t>
      </w:r>
      <w:r w:rsidR="0019526D">
        <w:t xml:space="preserve"> </w:t>
      </w:r>
      <w:sdt>
        <w:sdtPr>
          <w:id w:val="1087959198"/>
          <w:citation/>
        </w:sdtPr>
        <w:sdtEndPr/>
        <w:sdtContent>
          <w:r w:rsidR="001A1395">
            <w:fldChar w:fldCharType="begin"/>
          </w:r>
          <w:r w:rsidR="001A1395">
            <w:instrText xml:space="preserve"> CITATION Aus \l 3081 </w:instrText>
          </w:r>
          <w:r w:rsidR="001A1395">
            <w:fldChar w:fldCharType="separate"/>
          </w:r>
          <w:r w:rsidR="00490B21">
            <w:rPr>
              <w:noProof/>
            </w:rPr>
            <w:t>(Australian Govenrment Department of Climate Change, Energy, the Environment and Water, 2024)</w:t>
          </w:r>
          <w:r w:rsidR="001A1395">
            <w:fldChar w:fldCharType="end"/>
          </w:r>
        </w:sdtContent>
      </w:sdt>
      <w:r w:rsidRPr="00993B73">
        <w:rPr>
          <w:noProof/>
        </w:rPr>
        <w:t>. This is done at the ANZSIC Group level, which is the second most granular level of the ANZSIC system</w:t>
      </w:r>
      <w:r w:rsidR="007A1E25">
        <w:rPr>
          <w:noProof/>
        </w:rPr>
        <w:t xml:space="preserve"> </w:t>
      </w:r>
      <w:sdt>
        <w:sdtPr>
          <w:rPr>
            <w:noProof/>
          </w:rPr>
          <w:id w:val="-740483358"/>
          <w:citation/>
        </w:sdtPr>
        <w:sdtEndPr/>
        <w:sdtContent>
          <w:r w:rsidR="000331CA">
            <w:rPr>
              <w:noProof/>
            </w:rPr>
            <w:fldChar w:fldCharType="begin"/>
          </w:r>
          <w:r w:rsidR="000331CA">
            <w:rPr>
              <w:noProof/>
            </w:rPr>
            <w:instrText xml:space="preserve"> CITATION Aus06 \l 3081 </w:instrText>
          </w:r>
          <w:r w:rsidR="000331CA">
            <w:rPr>
              <w:noProof/>
            </w:rPr>
            <w:fldChar w:fldCharType="separate"/>
          </w:r>
          <w:r w:rsidR="00490B21">
            <w:rPr>
              <w:noProof/>
            </w:rPr>
            <w:t>(Australian Bureau of Statistics, 2006)</w:t>
          </w:r>
          <w:r w:rsidR="000331CA">
            <w:rPr>
              <w:noProof/>
            </w:rPr>
            <w:fldChar w:fldCharType="end"/>
          </w:r>
        </w:sdtContent>
      </w:sdt>
      <w:r w:rsidRPr="00993B73">
        <w:rPr>
          <w:noProof/>
        </w:rPr>
        <w:t xml:space="preserve">. </w:t>
      </w:r>
      <w:r>
        <w:t xml:space="preserve">The industry list represents key sectors where the chemical is used or where worker exposure risk exists, but may not capture exposure scenarios not represented in the available data. </w:t>
      </w:r>
      <w:r w:rsidRPr="00993B73">
        <w:t xml:space="preserve">The detailed list </w:t>
      </w:r>
      <w:r>
        <w:t xml:space="preserve">of </w:t>
      </w:r>
      <w:r w:rsidRPr="00993B73">
        <w:t>industries that are expected to be impacted by the proposed WEL, for each of the in-scope chemicals is included in</w:t>
      </w:r>
      <w:r w:rsidR="00167380">
        <w:t xml:space="preserve"> </w:t>
      </w:r>
      <w:r w:rsidR="00FD6DB7">
        <w:fldChar w:fldCharType="begin"/>
      </w:r>
      <w:r w:rsidR="00FD6DB7">
        <w:instrText xml:space="preserve"> REF _Ref216793765 \h </w:instrText>
      </w:r>
      <w:r w:rsidR="00FD6DB7">
        <w:fldChar w:fldCharType="separate"/>
      </w:r>
      <w:r w:rsidR="00A002F4">
        <w:t xml:space="preserve">Table </w:t>
      </w:r>
      <w:r w:rsidR="00A002F4">
        <w:rPr>
          <w:noProof/>
        </w:rPr>
        <w:t>73</w:t>
      </w:r>
      <w:r w:rsidR="00FD6DB7">
        <w:fldChar w:fldCharType="end"/>
      </w:r>
      <w:r w:rsidR="00FD6DB7">
        <w:t xml:space="preserve"> of </w:t>
      </w:r>
      <w:hyperlink w:anchor="AppendixF_AffectedBusinssesandWorkers" w:history="1">
        <w:r w:rsidR="00B9470C">
          <w:rPr>
            <w:rStyle w:val="Hyperlink"/>
          </w:rPr>
          <w:t>Appendi</w:t>
        </w:r>
        <w:r w:rsidR="001E71C0">
          <w:rPr>
            <w:rStyle w:val="Hyperlink"/>
          </w:rPr>
          <w:t>x F</w:t>
        </w:r>
      </w:hyperlink>
      <w:r w:rsidRPr="00993B73">
        <w:t>.</w:t>
      </w:r>
    </w:p>
    <w:p w14:paraId="531575C9" w14:textId="2845A9AB" w:rsidR="001C289F" w:rsidRPr="00993B73" w:rsidRDefault="001C289F" w:rsidP="00A2768E">
      <w:pPr>
        <w:pStyle w:val="ListParagraph"/>
        <w:numPr>
          <w:ilvl w:val="0"/>
          <w:numId w:val="106"/>
        </w:numPr>
        <w:suppressAutoHyphens/>
        <w:spacing w:line="259" w:lineRule="auto"/>
        <w:contextualSpacing w:val="0"/>
        <w:rPr>
          <w:noProof/>
        </w:rPr>
      </w:pPr>
      <w:r w:rsidRPr="001C289F">
        <w:rPr>
          <w:rFonts w:asciiTheme="majorHAnsi" w:hAnsiTheme="majorHAnsi" w:cstheme="majorHAnsi"/>
          <w:b/>
          <w:bCs/>
          <w:noProof/>
        </w:rPr>
        <w:t>Count of workers (current)</w:t>
      </w:r>
      <w:r w:rsidRPr="00993B73">
        <w:rPr>
          <w:rFonts w:asciiTheme="majorHAnsi" w:hAnsiTheme="majorHAnsi" w:cstheme="majorHAnsi"/>
          <w:noProof/>
        </w:rPr>
        <w:t xml:space="preserve"> |</w:t>
      </w:r>
      <w:r w:rsidRPr="00993B73">
        <w:rPr>
          <w:noProof/>
        </w:rPr>
        <w:t xml:space="preserve"> The current count of full-time and part-time workers (by industry) is based on the ABS Counts of Australian Workers in May 2024</w:t>
      </w:r>
      <w:r w:rsidR="00107190">
        <w:rPr>
          <w:noProof/>
        </w:rPr>
        <w:t xml:space="preserve"> </w:t>
      </w:r>
      <w:sdt>
        <w:sdtPr>
          <w:rPr>
            <w:noProof/>
          </w:rPr>
          <w:id w:val="1524518558"/>
          <w:citation/>
        </w:sdtPr>
        <w:sdtEndPr/>
        <w:sdtContent>
          <w:r w:rsidR="00107190">
            <w:rPr>
              <w:noProof/>
            </w:rPr>
            <w:fldChar w:fldCharType="begin"/>
          </w:r>
          <w:r w:rsidR="00107190">
            <w:rPr>
              <w:noProof/>
            </w:rPr>
            <w:instrText xml:space="preserve"> CITATION Aus246 \l 3081 </w:instrText>
          </w:r>
          <w:r w:rsidR="00107190">
            <w:rPr>
              <w:noProof/>
            </w:rPr>
            <w:fldChar w:fldCharType="separate"/>
          </w:r>
          <w:r w:rsidR="00490B21">
            <w:rPr>
              <w:noProof/>
            </w:rPr>
            <w:t>(Australian Bureau of Statistics, 2024)</w:t>
          </w:r>
          <w:r w:rsidR="00107190">
            <w:rPr>
              <w:noProof/>
            </w:rPr>
            <w:fldChar w:fldCharType="end"/>
          </w:r>
        </w:sdtContent>
      </w:sdt>
      <w:r w:rsidRPr="00993B73">
        <w:rPr>
          <w:noProof/>
        </w:rPr>
        <w:t>. Under this approach:</w:t>
      </w:r>
    </w:p>
    <w:p w14:paraId="7954907C" w14:textId="77777777" w:rsidR="001C289F" w:rsidRPr="00993B73" w:rsidRDefault="001C289F" w:rsidP="00A2768E">
      <w:pPr>
        <w:pStyle w:val="ListParagraph"/>
        <w:numPr>
          <w:ilvl w:val="1"/>
          <w:numId w:val="106"/>
        </w:numPr>
        <w:suppressAutoHyphens/>
        <w:spacing w:line="259" w:lineRule="auto"/>
        <w:contextualSpacing w:val="0"/>
        <w:rPr>
          <w:noProof/>
        </w:rPr>
      </w:pPr>
      <w:r w:rsidRPr="001C289F">
        <w:rPr>
          <w:rFonts w:asciiTheme="majorHAnsi" w:hAnsiTheme="majorHAnsi" w:cstheme="majorHAnsi"/>
          <w:b/>
          <w:bCs/>
          <w:noProof/>
        </w:rPr>
        <w:t>Full-time workers</w:t>
      </w:r>
      <w:r w:rsidRPr="001C289F">
        <w:rPr>
          <w:rFonts w:asciiTheme="majorHAnsi" w:hAnsiTheme="majorHAnsi" w:cstheme="majorHAnsi"/>
          <w:noProof/>
        </w:rPr>
        <w:t xml:space="preserve">: </w:t>
      </w:r>
      <w:r w:rsidRPr="00993B73">
        <w:t>Full-time equivalent</w:t>
      </w:r>
      <w:r w:rsidRPr="00993B73">
        <w:rPr>
          <w:noProof/>
        </w:rPr>
        <w:t xml:space="preserve"> (FTE) is calculated by dividing the average hours worked by full-time workers by 35, which the ABS uses as a threshold for full-time employment. This approach factors in individuals working more than 35 hours per week, on average.</w:t>
      </w:r>
    </w:p>
    <w:p w14:paraId="3C37D78A" w14:textId="77777777" w:rsidR="001C289F" w:rsidRPr="00993B73" w:rsidRDefault="001C289F" w:rsidP="00A2768E">
      <w:pPr>
        <w:pStyle w:val="ListParagraph"/>
        <w:numPr>
          <w:ilvl w:val="1"/>
          <w:numId w:val="106"/>
        </w:numPr>
        <w:suppressAutoHyphens/>
        <w:spacing w:line="259" w:lineRule="auto"/>
        <w:contextualSpacing w:val="0"/>
        <w:rPr>
          <w:noProof/>
        </w:rPr>
      </w:pPr>
      <w:r w:rsidRPr="001C289F">
        <w:rPr>
          <w:rFonts w:asciiTheme="majorHAnsi" w:hAnsiTheme="majorHAnsi" w:cstheme="majorHAnsi"/>
          <w:b/>
          <w:bCs/>
          <w:noProof/>
        </w:rPr>
        <w:t>Part-time workers</w:t>
      </w:r>
      <w:r w:rsidRPr="001C289F">
        <w:rPr>
          <w:rFonts w:asciiTheme="majorHAnsi" w:hAnsiTheme="majorHAnsi" w:cstheme="majorHAnsi"/>
          <w:noProof/>
        </w:rPr>
        <w:t>:</w:t>
      </w:r>
      <w:r w:rsidRPr="00993B73">
        <w:rPr>
          <w:noProof/>
        </w:rPr>
        <w:t xml:space="preserve"> FTE is calculated by dividing the average hours worked by part-time workers by 35, which the ABS uses as a threshold for full-time employment.</w:t>
      </w:r>
    </w:p>
    <w:p w14:paraId="45549197" w14:textId="77777777" w:rsidR="001C289F" w:rsidRPr="00993B73" w:rsidRDefault="001C289F" w:rsidP="00A2768E">
      <w:pPr>
        <w:pStyle w:val="ListParagraph"/>
        <w:numPr>
          <w:ilvl w:val="0"/>
          <w:numId w:val="106"/>
        </w:numPr>
        <w:suppressAutoHyphens/>
        <w:spacing w:line="259" w:lineRule="auto"/>
        <w:contextualSpacing w:val="0"/>
        <w:rPr>
          <w:noProof/>
        </w:rPr>
      </w:pPr>
      <w:r w:rsidRPr="001C289F">
        <w:rPr>
          <w:rFonts w:asciiTheme="majorHAnsi" w:hAnsiTheme="majorHAnsi" w:cstheme="majorHAnsi"/>
          <w:b/>
          <w:bCs/>
          <w:noProof/>
        </w:rPr>
        <w:t>Count of workers (projected)</w:t>
      </w:r>
      <w:r w:rsidRPr="00993B73">
        <w:rPr>
          <w:rFonts w:asciiTheme="majorHAnsi" w:hAnsiTheme="majorHAnsi" w:cstheme="majorHAnsi"/>
          <w:noProof/>
        </w:rPr>
        <w:t xml:space="preserve"> | </w:t>
      </w:r>
      <w:r w:rsidRPr="00993B73">
        <w:rPr>
          <w:noProof/>
        </w:rPr>
        <w:t>The growth rate in the number of workers (by industry) is based on the CAGR in the count of workers between May 2014 and May 2024. Under this approach, the change in the number of workers is not linked to the change in the number of businesses.</w:t>
      </w:r>
    </w:p>
    <w:p w14:paraId="58621A22" w14:textId="1A598ABE" w:rsidR="001C289F" w:rsidRPr="00993B73" w:rsidRDefault="001C289F" w:rsidP="00A2768E">
      <w:pPr>
        <w:pStyle w:val="ListParagraph"/>
        <w:numPr>
          <w:ilvl w:val="0"/>
          <w:numId w:val="106"/>
        </w:numPr>
        <w:suppressAutoHyphens/>
        <w:spacing w:line="259" w:lineRule="auto"/>
        <w:contextualSpacing w:val="0"/>
      </w:pPr>
      <w:r w:rsidRPr="001C289F">
        <w:rPr>
          <w:rFonts w:asciiTheme="majorHAnsi" w:hAnsiTheme="majorHAnsi" w:cstheme="majorHAnsi"/>
          <w:b/>
          <w:bCs/>
        </w:rPr>
        <w:t>Proportion of workers</w:t>
      </w:r>
      <w:r w:rsidRPr="00993B73">
        <w:rPr>
          <w:rFonts w:asciiTheme="majorHAnsi" w:hAnsiTheme="majorHAnsi" w:cstheme="majorHAnsi"/>
        </w:rPr>
        <w:t xml:space="preserve"> |</w:t>
      </w:r>
      <w:r w:rsidRPr="00993B73">
        <w:t xml:space="preserve"> The assumed proportion of workers exposed to the nine chemicals in each industry is based on stakeholder responses and data extracted from the ABS Census Employment, Income, and Education in 2021</w:t>
      </w:r>
      <w:r w:rsidR="00645010">
        <w:t xml:space="preserve"> </w:t>
      </w:r>
      <w:sdt>
        <w:sdtPr>
          <w:id w:val="-1417629618"/>
          <w:citation/>
        </w:sdtPr>
        <w:sdtEndPr/>
        <w:sdtContent>
          <w:r w:rsidR="00CA0D16">
            <w:fldChar w:fldCharType="begin"/>
          </w:r>
          <w:r w:rsidR="00CA0D16">
            <w:instrText xml:space="preserve"> CITATION Aus246 \l 3081 </w:instrText>
          </w:r>
          <w:r w:rsidR="00CA0D16">
            <w:fldChar w:fldCharType="separate"/>
          </w:r>
          <w:r w:rsidR="00490B21">
            <w:rPr>
              <w:noProof/>
            </w:rPr>
            <w:t>(Australian Bureau of Statistics, 2024)</w:t>
          </w:r>
          <w:r w:rsidR="00CA0D16">
            <w:fldChar w:fldCharType="end"/>
          </w:r>
        </w:sdtContent>
      </w:sdt>
      <w:r w:rsidRPr="00993B73">
        <w:t xml:space="preserve">. This metric considers the proportion of workers exposed to each chemical within a business and the proportion of businesses affected within each industry. </w:t>
      </w:r>
    </w:p>
    <w:p w14:paraId="469160BE" w14:textId="28E0CA38" w:rsidR="001C289F" w:rsidRPr="00993B73" w:rsidRDefault="001C289F" w:rsidP="00A2768E">
      <w:pPr>
        <w:pStyle w:val="ListParagraph"/>
        <w:numPr>
          <w:ilvl w:val="1"/>
          <w:numId w:val="107"/>
        </w:numPr>
        <w:suppressAutoHyphens/>
        <w:spacing w:line="259" w:lineRule="auto"/>
        <w:contextualSpacing w:val="0"/>
      </w:pPr>
      <w:r w:rsidRPr="001C289F">
        <w:rPr>
          <w:rFonts w:asciiTheme="majorHAnsi" w:hAnsiTheme="majorHAnsi" w:cstheme="majorHAnsi"/>
          <w:b/>
          <w:bCs/>
        </w:rPr>
        <w:t>Proportion of workers in each industry</w:t>
      </w:r>
      <w:r w:rsidRPr="00993B73">
        <w:rPr>
          <w:rFonts w:asciiTheme="majorHAnsi" w:hAnsiTheme="majorHAnsi" w:cstheme="majorHAnsi"/>
        </w:rPr>
        <w:t xml:space="preserve">: </w:t>
      </w:r>
      <w:r w:rsidRPr="00993B73">
        <w:t xml:space="preserve">The estimated proportion of workers exposed to the nine chemicals in each business (by industry) is based on stakeholder responses. In the absence of </w:t>
      </w:r>
      <w:r w:rsidRPr="00993B73">
        <w:rPr>
          <w:color w:val="000000" w:themeColor="text1"/>
        </w:rPr>
        <w:t>estimated proportions, the analysis assumes proportions equal to the total percentage of technicians and trades workers, machinery operators and drivers, and labourer</w:t>
      </w:r>
      <w:r>
        <w:rPr>
          <w:color w:val="000000" w:themeColor="text1"/>
        </w:rPr>
        <w:t>s</w:t>
      </w:r>
      <w:r w:rsidRPr="00993B73">
        <w:rPr>
          <w:color w:val="000000" w:themeColor="text1"/>
        </w:rPr>
        <w:t xml:space="preserve"> </w:t>
      </w:r>
      <w:r>
        <w:rPr>
          <w:color w:val="000000" w:themeColor="text1"/>
        </w:rPr>
        <w:t>(as classified by the</w:t>
      </w:r>
      <w:r w:rsidRPr="00993B73">
        <w:rPr>
          <w:color w:val="000000" w:themeColor="text1"/>
        </w:rPr>
        <w:t xml:space="preserve"> Occupation Standard Classification for Australia (OSCA) Major Groups</w:t>
      </w:r>
      <w:r>
        <w:rPr>
          <w:color w:val="000000" w:themeColor="text1"/>
        </w:rPr>
        <w:t>)</w:t>
      </w:r>
      <w:r w:rsidRPr="00993B73">
        <w:rPr>
          <w:color w:val="000000" w:themeColor="text1"/>
        </w:rPr>
        <w:t xml:space="preserve"> within each ANZSIC division</w:t>
      </w:r>
      <w:r>
        <w:rPr>
          <w:color w:val="000000" w:themeColor="text1"/>
        </w:rPr>
        <w:t>,</w:t>
      </w:r>
      <w:r w:rsidRPr="00993B73">
        <w:rPr>
          <w:color w:val="000000" w:themeColor="text1"/>
        </w:rPr>
        <w:t xml:space="preserve"> extracted through ABS TableBuilder</w:t>
      </w:r>
      <w:r w:rsidR="005D07A2">
        <w:rPr>
          <w:color w:val="000000" w:themeColor="text1"/>
        </w:rPr>
        <w:t xml:space="preserve"> </w:t>
      </w:r>
      <w:sdt>
        <w:sdtPr>
          <w:rPr>
            <w:color w:val="000000" w:themeColor="text1"/>
          </w:rPr>
          <w:id w:val="796264365"/>
          <w:citation/>
        </w:sdtPr>
        <w:sdtEndPr/>
        <w:sdtContent>
          <w:r w:rsidR="005D07A2">
            <w:rPr>
              <w:color w:val="000000" w:themeColor="text1"/>
            </w:rPr>
            <w:fldChar w:fldCharType="begin"/>
          </w:r>
          <w:r w:rsidR="005D07A2">
            <w:rPr>
              <w:color w:val="000000" w:themeColor="text1"/>
            </w:rPr>
            <w:instrText xml:space="preserve"> CITATION Aus21 \l 3081 </w:instrText>
          </w:r>
          <w:r w:rsidR="005D07A2">
            <w:rPr>
              <w:color w:val="000000" w:themeColor="text1"/>
            </w:rPr>
            <w:fldChar w:fldCharType="separate"/>
          </w:r>
          <w:r w:rsidR="00490B21" w:rsidRPr="00490B21">
            <w:rPr>
              <w:noProof/>
              <w:color w:val="000000" w:themeColor="text1"/>
            </w:rPr>
            <w:t>(Australian Bureau of Statistics, 2021)</w:t>
          </w:r>
          <w:r w:rsidR="005D07A2">
            <w:rPr>
              <w:color w:val="000000" w:themeColor="text1"/>
            </w:rPr>
            <w:fldChar w:fldCharType="end"/>
          </w:r>
        </w:sdtContent>
      </w:sdt>
      <w:r w:rsidRPr="00993B73">
        <w:rPr>
          <w:color w:val="000000" w:themeColor="text1"/>
        </w:rPr>
        <w:t xml:space="preserve">. These occupations are assumed to most likely come into direct contact with the chemicals as part of their daily work across all industries. </w:t>
      </w:r>
      <w:r w:rsidR="00FD6DB7">
        <w:rPr>
          <w:color w:val="000000" w:themeColor="text1"/>
        </w:rPr>
        <w:fldChar w:fldCharType="begin"/>
      </w:r>
      <w:r w:rsidR="00FD6DB7">
        <w:rPr>
          <w:color w:val="000000" w:themeColor="text1"/>
        </w:rPr>
        <w:instrText xml:space="preserve"> REF _Ref216794152 \h </w:instrText>
      </w:r>
      <w:r w:rsidR="00FD6DB7">
        <w:rPr>
          <w:color w:val="000000" w:themeColor="text1"/>
        </w:rPr>
      </w:r>
      <w:r w:rsidR="00FD6DB7">
        <w:rPr>
          <w:color w:val="000000" w:themeColor="text1"/>
        </w:rPr>
        <w:fldChar w:fldCharType="separate"/>
      </w:r>
      <w:r w:rsidR="00A002F4">
        <w:t xml:space="preserve">Table </w:t>
      </w:r>
      <w:r w:rsidR="00A002F4">
        <w:rPr>
          <w:noProof/>
        </w:rPr>
        <w:t>75</w:t>
      </w:r>
      <w:r w:rsidR="00FD6DB7">
        <w:rPr>
          <w:color w:val="000000" w:themeColor="text1"/>
        </w:rPr>
        <w:fldChar w:fldCharType="end"/>
      </w:r>
      <w:r w:rsidR="00FD6DB7">
        <w:rPr>
          <w:color w:val="000000" w:themeColor="text1"/>
        </w:rPr>
        <w:t xml:space="preserve"> of </w:t>
      </w:r>
      <w:hyperlink w:anchor="AppendixF_AffectedBusinssesandWorkers" w:history="1">
        <w:r w:rsidR="00B9470C">
          <w:rPr>
            <w:rStyle w:val="Hyperlink"/>
          </w:rPr>
          <w:t xml:space="preserve">Appendix </w:t>
        </w:r>
        <w:r w:rsidR="004B5715">
          <w:rPr>
            <w:rStyle w:val="Hyperlink"/>
          </w:rPr>
          <w:t>F</w:t>
        </w:r>
      </w:hyperlink>
      <w:r w:rsidR="00D96E79" w:rsidRPr="00993B73">
        <w:rPr>
          <w:color w:val="000000" w:themeColor="text1"/>
        </w:rPr>
        <w:t xml:space="preserve"> </w:t>
      </w:r>
      <w:r w:rsidRPr="00993B73">
        <w:rPr>
          <w:color w:val="000000" w:themeColor="text1"/>
        </w:rPr>
        <w:t>presents a summary of the extracted proportions from ABS.</w:t>
      </w:r>
    </w:p>
    <w:p w14:paraId="5239436C" w14:textId="77777777" w:rsidR="001C289F" w:rsidRDefault="001C289F" w:rsidP="00A2768E">
      <w:pPr>
        <w:pStyle w:val="ListParagraph"/>
        <w:numPr>
          <w:ilvl w:val="1"/>
          <w:numId w:val="107"/>
        </w:numPr>
        <w:suppressAutoHyphens/>
        <w:spacing w:line="259" w:lineRule="auto"/>
        <w:contextualSpacing w:val="0"/>
      </w:pPr>
      <w:r w:rsidRPr="001C289F">
        <w:rPr>
          <w:rFonts w:asciiTheme="majorHAnsi" w:hAnsiTheme="majorHAnsi" w:cstheme="majorHAnsi"/>
          <w:b/>
          <w:bCs/>
        </w:rPr>
        <w:t>Proportion of businesses in each industry</w:t>
      </w:r>
      <w:r w:rsidRPr="00993B73">
        <w:rPr>
          <w:rFonts w:asciiTheme="majorHAnsi" w:hAnsiTheme="majorHAnsi" w:cstheme="majorHAnsi"/>
        </w:rPr>
        <w:t>:</w:t>
      </w:r>
      <w:r w:rsidRPr="00993B73">
        <w:t xml:space="preserve"> The estimated proportion of businesses where workers are exposed to the nine chemicals is based on </w:t>
      </w:r>
      <w:r w:rsidRPr="00993B73">
        <w:lastRenderedPageBreak/>
        <w:t>stakeholder responses. The proportion of businesses is measured by calculating the proportion of businesses affected at the ANZSIC Class level within the ANZSIC Group level for each industry.</w:t>
      </w:r>
    </w:p>
    <w:p w14:paraId="6994B4A9" w14:textId="46042215" w:rsidR="00AF2366" w:rsidRDefault="00FB465D" w:rsidP="00550E21">
      <w:pPr>
        <w:suppressAutoHyphens/>
        <w:spacing w:line="259" w:lineRule="auto"/>
        <w:contextualSpacing w:val="0"/>
      </w:pPr>
      <w:r w:rsidRPr="00993B73">
        <w:t>The projected number of workers</w:t>
      </w:r>
      <w:r w:rsidRPr="00993B73" w:rsidDel="0091749F">
        <w:t xml:space="preserve"> </w:t>
      </w:r>
      <w:r w:rsidRPr="00993B73">
        <w:t>affected by the proposed WEL for each chemical over the appraisal period is summarised in</w:t>
      </w:r>
      <w:r w:rsidR="00B4160C">
        <w:t xml:space="preserve"> </w:t>
      </w:r>
      <w:r w:rsidR="00B4160C">
        <w:fldChar w:fldCharType="begin"/>
      </w:r>
      <w:r w:rsidR="00B4160C">
        <w:instrText xml:space="preserve"> REF _Ref216792395 \h </w:instrText>
      </w:r>
      <w:r w:rsidR="00B4160C">
        <w:fldChar w:fldCharType="separate"/>
      </w:r>
      <w:r w:rsidR="00A002F4">
        <w:t xml:space="preserve">Table </w:t>
      </w:r>
      <w:r w:rsidR="00A002F4">
        <w:rPr>
          <w:noProof/>
        </w:rPr>
        <w:t>49</w:t>
      </w:r>
      <w:r w:rsidR="00B4160C">
        <w:fldChar w:fldCharType="end"/>
      </w:r>
      <w:r w:rsidR="00AF2366">
        <w:t>.</w:t>
      </w:r>
    </w:p>
    <w:p w14:paraId="42090A88" w14:textId="1F868782" w:rsidR="00B4160C" w:rsidRDefault="00B4160C" w:rsidP="00037BC7">
      <w:pPr>
        <w:pStyle w:val="Caption"/>
      </w:pPr>
      <w:bookmarkStart w:id="664" w:name="_Ref216792395"/>
      <w:r>
        <w:t xml:space="preserve">Table </w:t>
      </w:r>
      <w:fldSimple w:instr=" SEQ Table \* ARABIC ">
        <w:r w:rsidR="00A002F4">
          <w:rPr>
            <w:noProof/>
          </w:rPr>
          <w:t>49</w:t>
        </w:r>
      </w:fldSimple>
      <w:bookmarkEnd w:id="664"/>
      <w:r>
        <w:t xml:space="preserve"> - </w:t>
      </w:r>
      <w:r w:rsidRPr="00C353E3">
        <w:t>Estimated count of workers exposed to the nine chemicals (‘000s), FY27 to FY36</w:t>
      </w:r>
    </w:p>
    <w:tbl>
      <w:tblPr>
        <w:tblW w:w="892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584"/>
        <w:gridCol w:w="717"/>
        <w:gridCol w:w="717"/>
        <w:gridCol w:w="717"/>
        <w:gridCol w:w="717"/>
        <w:gridCol w:w="783"/>
        <w:gridCol w:w="717"/>
        <w:gridCol w:w="717"/>
        <w:gridCol w:w="717"/>
        <w:gridCol w:w="717"/>
        <w:gridCol w:w="823"/>
      </w:tblGrid>
      <w:tr w:rsidR="006D5BAD" w:rsidRPr="000B2640" w14:paraId="0C3C83F5" w14:textId="77777777">
        <w:trPr>
          <w:trHeight w:val="315"/>
        </w:trPr>
        <w:tc>
          <w:tcPr>
            <w:tcW w:w="1584" w:type="dxa"/>
            <w:shd w:val="clear" w:color="auto" w:fill="4877E0" w:themeFill="accent1"/>
          </w:tcPr>
          <w:p w14:paraId="753925BC"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Chemical</w:t>
            </w:r>
          </w:p>
        </w:tc>
        <w:tc>
          <w:tcPr>
            <w:tcW w:w="717" w:type="dxa"/>
            <w:shd w:val="clear" w:color="auto" w:fill="4877E0" w:themeFill="accent1"/>
          </w:tcPr>
          <w:p w14:paraId="2C699303"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FY27</w:t>
            </w:r>
          </w:p>
        </w:tc>
        <w:tc>
          <w:tcPr>
            <w:tcW w:w="717" w:type="dxa"/>
            <w:shd w:val="clear" w:color="auto" w:fill="4877E0" w:themeFill="accent1"/>
          </w:tcPr>
          <w:p w14:paraId="69399B5A"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FY28</w:t>
            </w:r>
          </w:p>
        </w:tc>
        <w:tc>
          <w:tcPr>
            <w:tcW w:w="717" w:type="dxa"/>
            <w:shd w:val="clear" w:color="auto" w:fill="4877E0" w:themeFill="accent1"/>
          </w:tcPr>
          <w:p w14:paraId="6209AD8D"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FY29</w:t>
            </w:r>
          </w:p>
        </w:tc>
        <w:tc>
          <w:tcPr>
            <w:tcW w:w="717" w:type="dxa"/>
            <w:shd w:val="clear" w:color="auto" w:fill="4877E0" w:themeFill="accent1"/>
          </w:tcPr>
          <w:p w14:paraId="2853DC9B"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FY30</w:t>
            </w:r>
          </w:p>
        </w:tc>
        <w:tc>
          <w:tcPr>
            <w:tcW w:w="783" w:type="dxa"/>
            <w:shd w:val="clear" w:color="auto" w:fill="4877E0" w:themeFill="accent1"/>
          </w:tcPr>
          <w:p w14:paraId="3442ECBE"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FY31</w:t>
            </w:r>
          </w:p>
        </w:tc>
        <w:tc>
          <w:tcPr>
            <w:tcW w:w="717" w:type="dxa"/>
            <w:shd w:val="clear" w:color="auto" w:fill="4877E0" w:themeFill="accent1"/>
          </w:tcPr>
          <w:p w14:paraId="068104FA"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FY32</w:t>
            </w:r>
          </w:p>
        </w:tc>
        <w:tc>
          <w:tcPr>
            <w:tcW w:w="717" w:type="dxa"/>
            <w:shd w:val="clear" w:color="auto" w:fill="4877E0" w:themeFill="accent1"/>
          </w:tcPr>
          <w:p w14:paraId="1EA89708"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FY33</w:t>
            </w:r>
          </w:p>
        </w:tc>
        <w:tc>
          <w:tcPr>
            <w:tcW w:w="717" w:type="dxa"/>
            <w:shd w:val="clear" w:color="auto" w:fill="4877E0" w:themeFill="accent1"/>
          </w:tcPr>
          <w:p w14:paraId="44B6C7D3"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FY34</w:t>
            </w:r>
          </w:p>
        </w:tc>
        <w:tc>
          <w:tcPr>
            <w:tcW w:w="717" w:type="dxa"/>
            <w:shd w:val="clear" w:color="auto" w:fill="4877E0" w:themeFill="accent1"/>
          </w:tcPr>
          <w:p w14:paraId="331CD327"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FY35</w:t>
            </w:r>
          </w:p>
        </w:tc>
        <w:tc>
          <w:tcPr>
            <w:tcW w:w="823" w:type="dxa"/>
            <w:shd w:val="clear" w:color="auto" w:fill="4877E0" w:themeFill="accent1"/>
          </w:tcPr>
          <w:p w14:paraId="73DD4F6A" w14:textId="77777777" w:rsidR="000B2640" w:rsidRPr="00E8076B" w:rsidRDefault="000B2640" w:rsidP="000B2640">
            <w:pPr>
              <w:spacing w:after="160"/>
              <w:rPr>
                <w:b/>
                <w:bCs/>
                <w:color w:val="FFFFFF" w:themeColor="background1"/>
                <w:sz w:val="20"/>
                <w:szCs w:val="22"/>
              </w:rPr>
            </w:pPr>
            <w:r w:rsidRPr="00E8076B">
              <w:rPr>
                <w:b/>
                <w:bCs/>
                <w:color w:val="FFFFFF" w:themeColor="background1"/>
                <w:sz w:val="20"/>
                <w:szCs w:val="22"/>
              </w:rPr>
              <w:t>FY36</w:t>
            </w:r>
          </w:p>
        </w:tc>
      </w:tr>
      <w:tr w:rsidR="006D5BAD" w:rsidRPr="000B2640" w14:paraId="42C18D40" w14:textId="77777777">
        <w:trPr>
          <w:trHeight w:val="451"/>
        </w:trPr>
        <w:tc>
          <w:tcPr>
            <w:tcW w:w="1584" w:type="dxa"/>
          </w:tcPr>
          <w:p w14:paraId="089EF798" w14:textId="77777777" w:rsidR="006D5BAD" w:rsidRPr="00E8076B" w:rsidRDefault="006D5BAD" w:rsidP="006D5BAD">
            <w:pPr>
              <w:spacing w:after="160"/>
              <w:rPr>
                <w:b/>
                <w:bCs/>
                <w:sz w:val="20"/>
                <w:szCs w:val="22"/>
              </w:rPr>
            </w:pPr>
            <w:r w:rsidRPr="00E8076B">
              <w:rPr>
                <w:b/>
                <w:bCs/>
                <w:sz w:val="20"/>
                <w:szCs w:val="22"/>
              </w:rPr>
              <w:t>Benzene</w:t>
            </w:r>
          </w:p>
        </w:tc>
        <w:tc>
          <w:tcPr>
            <w:tcW w:w="717" w:type="dxa"/>
          </w:tcPr>
          <w:p w14:paraId="558D2E6D" w14:textId="65581591" w:rsidR="006D5BAD" w:rsidRPr="00E8076B" w:rsidRDefault="006D5BAD" w:rsidP="006D5BAD">
            <w:pPr>
              <w:spacing w:after="160"/>
              <w:rPr>
                <w:sz w:val="20"/>
                <w:szCs w:val="22"/>
              </w:rPr>
            </w:pPr>
            <w:r w:rsidRPr="006D5BAD">
              <w:rPr>
                <w:sz w:val="20"/>
                <w:szCs w:val="20"/>
              </w:rPr>
              <w:t>153</w:t>
            </w:r>
          </w:p>
        </w:tc>
        <w:tc>
          <w:tcPr>
            <w:tcW w:w="717" w:type="dxa"/>
          </w:tcPr>
          <w:p w14:paraId="243AEBE2" w14:textId="7D3B7F39" w:rsidR="006D5BAD" w:rsidRPr="00E8076B" w:rsidRDefault="006D5BAD" w:rsidP="006D5BAD">
            <w:pPr>
              <w:spacing w:after="160"/>
              <w:rPr>
                <w:sz w:val="20"/>
                <w:szCs w:val="22"/>
              </w:rPr>
            </w:pPr>
            <w:r w:rsidRPr="006D5BAD">
              <w:rPr>
                <w:sz w:val="20"/>
                <w:szCs w:val="20"/>
              </w:rPr>
              <w:t>154</w:t>
            </w:r>
          </w:p>
        </w:tc>
        <w:tc>
          <w:tcPr>
            <w:tcW w:w="717" w:type="dxa"/>
          </w:tcPr>
          <w:p w14:paraId="0378003E" w14:textId="6CC44C28" w:rsidR="006D5BAD" w:rsidRPr="00E8076B" w:rsidRDefault="006D5BAD" w:rsidP="006D5BAD">
            <w:pPr>
              <w:spacing w:after="160"/>
              <w:rPr>
                <w:sz w:val="20"/>
                <w:szCs w:val="22"/>
              </w:rPr>
            </w:pPr>
            <w:r w:rsidRPr="006D5BAD">
              <w:rPr>
                <w:sz w:val="20"/>
                <w:szCs w:val="20"/>
              </w:rPr>
              <w:t>155</w:t>
            </w:r>
          </w:p>
        </w:tc>
        <w:tc>
          <w:tcPr>
            <w:tcW w:w="717" w:type="dxa"/>
          </w:tcPr>
          <w:p w14:paraId="2DADF469" w14:textId="0EF90199" w:rsidR="006D5BAD" w:rsidRPr="00E8076B" w:rsidRDefault="006D5BAD" w:rsidP="006D5BAD">
            <w:pPr>
              <w:spacing w:after="160"/>
              <w:rPr>
                <w:sz w:val="20"/>
                <w:szCs w:val="22"/>
              </w:rPr>
            </w:pPr>
            <w:r w:rsidRPr="006D5BAD">
              <w:rPr>
                <w:sz w:val="20"/>
                <w:szCs w:val="20"/>
              </w:rPr>
              <w:t>156</w:t>
            </w:r>
          </w:p>
        </w:tc>
        <w:tc>
          <w:tcPr>
            <w:tcW w:w="783" w:type="dxa"/>
          </w:tcPr>
          <w:p w14:paraId="0586283B" w14:textId="3DAF9C9E" w:rsidR="006D5BAD" w:rsidRPr="00E8076B" w:rsidRDefault="006D5BAD" w:rsidP="006D5BAD">
            <w:pPr>
              <w:spacing w:after="160"/>
              <w:rPr>
                <w:sz w:val="20"/>
                <w:szCs w:val="22"/>
              </w:rPr>
            </w:pPr>
            <w:r w:rsidRPr="006D5BAD">
              <w:rPr>
                <w:sz w:val="20"/>
                <w:szCs w:val="20"/>
              </w:rPr>
              <w:t>156</w:t>
            </w:r>
          </w:p>
        </w:tc>
        <w:tc>
          <w:tcPr>
            <w:tcW w:w="717" w:type="dxa"/>
          </w:tcPr>
          <w:p w14:paraId="06C208DF" w14:textId="34D988DE" w:rsidR="006D5BAD" w:rsidRPr="00E8076B" w:rsidRDefault="006D5BAD" w:rsidP="006D5BAD">
            <w:pPr>
              <w:spacing w:after="160"/>
              <w:rPr>
                <w:sz w:val="20"/>
                <w:szCs w:val="22"/>
              </w:rPr>
            </w:pPr>
            <w:r w:rsidRPr="006D5BAD">
              <w:rPr>
                <w:sz w:val="20"/>
                <w:szCs w:val="20"/>
              </w:rPr>
              <w:t>157</w:t>
            </w:r>
          </w:p>
        </w:tc>
        <w:tc>
          <w:tcPr>
            <w:tcW w:w="717" w:type="dxa"/>
          </w:tcPr>
          <w:p w14:paraId="5CDB17A5" w14:textId="532F44E9" w:rsidR="006D5BAD" w:rsidRPr="00E8076B" w:rsidRDefault="006D5BAD" w:rsidP="006D5BAD">
            <w:pPr>
              <w:spacing w:after="160"/>
              <w:rPr>
                <w:sz w:val="20"/>
                <w:szCs w:val="22"/>
              </w:rPr>
            </w:pPr>
            <w:r w:rsidRPr="006D5BAD">
              <w:rPr>
                <w:sz w:val="20"/>
                <w:szCs w:val="20"/>
              </w:rPr>
              <w:t>158</w:t>
            </w:r>
          </w:p>
        </w:tc>
        <w:tc>
          <w:tcPr>
            <w:tcW w:w="717" w:type="dxa"/>
          </w:tcPr>
          <w:p w14:paraId="5C26FD77" w14:textId="397C16EF" w:rsidR="006D5BAD" w:rsidRPr="00E8076B" w:rsidRDefault="006D5BAD" w:rsidP="006D5BAD">
            <w:pPr>
              <w:spacing w:after="160"/>
              <w:rPr>
                <w:sz w:val="20"/>
                <w:szCs w:val="22"/>
              </w:rPr>
            </w:pPr>
            <w:r w:rsidRPr="006D5BAD">
              <w:rPr>
                <w:sz w:val="20"/>
                <w:szCs w:val="20"/>
              </w:rPr>
              <w:t>159</w:t>
            </w:r>
          </w:p>
        </w:tc>
        <w:tc>
          <w:tcPr>
            <w:tcW w:w="717" w:type="dxa"/>
          </w:tcPr>
          <w:p w14:paraId="5ED6A6FB" w14:textId="491CC2A3" w:rsidR="006D5BAD" w:rsidRPr="00E8076B" w:rsidRDefault="006D5BAD" w:rsidP="006D5BAD">
            <w:pPr>
              <w:spacing w:after="160"/>
              <w:rPr>
                <w:sz w:val="20"/>
                <w:szCs w:val="22"/>
              </w:rPr>
            </w:pPr>
            <w:r w:rsidRPr="006D5BAD">
              <w:rPr>
                <w:sz w:val="20"/>
                <w:szCs w:val="20"/>
              </w:rPr>
              <w:t>160</w:t>
            </w:r>
          </w:p>
        </w:tc>
        <w:tc>
          <w:tcPr>
            <w:tcW w:w="823" w:type="dxa"/>
          </w:tcPr>
          <w:p w14:paraId="6BD0C279" w14:textId="0A19B885" w:rsidR="006D5BAD" w:rsidRPr="00E8076B" w:rsidRDefault="006D5BAD" w:rsidP="006D5BAD">
            <w:pPr>
              <w:spacing w:after="160"/>
              <w:rPr>
                <w:sz w:val="20"/>
                <w:szCs w:val="22"/>
              </w:rPr>
            </w:pPr>
            <w:r w:rsidRPr="006D5BAD">
              <w:rPr>
                <w:sz w:val="20"/>
                <w:szCs w:val="20"/>
              </w:rPr>
              <w:t>161</w:t>
            </w:r>
          </w:p>
        </w:tc>
      </w:tr>
      <w:tr w:rsidR="00E843CB" w:rsidRPr="000B2640" w14:paraId="66733B4C" w14:textId="77777777" w:rsidTr="00997935">
        <w:trPr>
          <w:trHeight w:val="463"/>
        </w:trPr>
        <w:tc>
          <w:tcPr>
            <w:tcW w:w="1584" w:type="dxa"/>
            <w:shd w:val="clear" w:color="auto" w:fill="DAE3F8" w:themeFill="accent1" w:themeFillTint="33"/>
          </w:tcPr>
          <w:p w14:paraId="16549C4E" w14:textId="77777777" w:rsidR="006D5BAD" w:rsidRPr="00E8076B" w:rsidRDefault="006D5BAD" w:rsidP="006D5BAD">
            <w:pPr>
              <w:spacing w:after="160"/>
              <w:rPr>
                <w:b/>
                <w:bCs/>
                <w:sz w:val="20"/>
                <w:szCs w:val="22"/>
              </w:rPr>
            </w:pPr>
            <w:r w:rsidRPr="00E8076B">
              <w:rPr>
                <w:b/>
                <w:bCs/>
                <w:sz w:val="20"/>
                <w:szCs w:val="22"/>
              </w:rPr>
              <w:t>Chlorine</w:t>
            </w:r>
          </w:p>
        </w:tc>
        <w:tc>
          <w:tcPr>
            <w:tcW w:w="717" w:type="dxa"/>
            <w:shd w:val="clear" w:color="auto" w:fill="DAE3F8" w:themeFill="accent1" w:themeFillTint="33"/>
          </w:tcPr>
          <w:p w14:paraId="46FD1DD3" w14:textId="4C557D09" w:rsidR="006D5BAD" w:rsidRPr="00E8076B" w:rsidRDefault="006D5BAD" w:rsidP="006D5BAD">
            <w:pPr>
              <w:spacing w:after="160"/>
              <w:rPr>
                <w:sz w:val="20"/>
                <w:szCs w:val="22"/>
              </w:rPr>
            </w:pPr>
            <w:r w:rsidRPr="006D5BAD">
              <w:rPr>
                <w:sz w:val="20"/>
                <w:szCs w:val="20"/>
              </w:rPr>
              <w:t>114</w:t>
            </w:r>
          </w:p>
        </w:tc>
        <w:tc>
          <w:tcPr>
            <w:tcW w:w="717" w:type="dxa"/>
            <w:shd w:val="clear" w:color="auto" w:fill="DAE3F8" w:themeFill="accent1" w:themeFillTint="33"/>
          </w:tcPr>
          <w:p w14:paraId="776DF80C" w14:textId="26B5BCDB" w:rsidR="006D5BAD" w:rsidRPr="00E8076B" w:rsidRDefault="006D5BAD" w:rsidP="006D5BAD">
            <w:pPr>
              <w:spacing w:after="160"/>
              <w:rPr>
                <w:sz w:val="20"/>
                <w:szCs w:val="22"/>
              </w:rPr>
            </w:pPr>
            <w:r w:rsidRPr="006D5BAD">
              <w:rPr>
                <w:sz w:val="20"/>
                <w:szCs w:val="20"/>
              </w:rPr>
              <w:t>115</w:t>
            </w:r>
          </w:p>
        </w:tc>
        <w:tc>
          <w:tcPr>
            <w:tcW w:w="717" w:type="dxa"/>
            <w:shd w:val="clear" w:color="auto" w:fill="DAE3F8" w:themeFill="accent1" w:themeFillTint="33"/>
          </w:tcPr>
          <w:p w14:paraId="50D1E0BD" w14:textId="3F50966A" w:rsidR="006D5BAD" w:rsidRPr="00E8076B" w:rsidRDefault="006D5BAD" w:rsidP="006D5BAD">
            <w:pPr>
              <w:spacing w:after="160"/>
              <w:rPr>
                <w:sz w:val="20"/>
                <w:szCs w:val="22"/>
              </w:rPr>
            </w:pPr>
            <w:r w:rsidRPr="006D5BAD">
              <w:rPr>
                <w:sz w:val="20"/>
                <w:szCs w:val="20"/>
              </w:rPr>
              <w:t>116</w:t>
            </w:r>
          </w:p>
        </w:tc>
        <w:tc>
          <w:tcPr>
            <w:tcW w:w="717" w:type="dxa"/>
            <w:shd w:val="clear" w:color="auto" w:fill="DAE3F8" w:themeFill="accent1" w:themeFillTint="33"/>
          </w:tcPr>
          <w:p w14:paraId="1EA7A095" w14:textId="321FC8DF" w:rsidR="006D5BAD" w:rsidRPr="00E8076B" w:rsidRDefault="006D5BAD" w:rsidP="006D5BAD">
            <w:pPr>
              <w:spacing w:after="160"/>
              <w:rPr>
                <w:sz w:val="20"/>
                <w:szCs w:val="22"/>
              </w:rPr>
            </w:pPr>
            <w:r w:rsidRPr="006D5BAD">
              <w:rPr>
                <w:sz w:val="20"/>
                <w:szCs w:val="20"/>
              </w:rPr>
              <w:t>118</w:t>
            </w:r>
          </w:p>
        </w:tc>
        <w:tc>
          <w:tcPr>
            <w:tcW w:w="783" w:type="dxa"/>
            <w:shd w:val="clear" w:color="auto" w:fill="DAE3F8" w:themeFill="accent1" w:themeFillTint="33"/>
          </w:tcPr>
          <w:p w14:paraId="1FC83984" w14:textId="1D2B2E50" w:rsidR="006D5BAD" w:rsidRPr="00E8076B" w:rsidRDefault="006D5BAD" w:rsidP="006D5BAD">
            <w:pPr>
              <w:spacing w:after="160"/>
              <w:rPr>
                <w:sz w:val="20"/>
                <w:szCs w:val="22"/>
              </w:rPr>
            </w:pPr>
            <w:r w:rsidRPr="006D5BAD">
              <w:rPr>
                <w:sz w:val="20"/>
                <w:szCs w:val="20"/>
              </w:rPr>
              <w:t>119</w:t>
            </w:r>
          </w:p>
        </w:tc>
        <w:tc>
          <w:tcPr>
            <w:tcW w:w="717" w:type="dxa"/>
            <w:shd w:val="clear" w:color="auto" w:fill="DAE3F8" w:themeFill="accent1" w:themeFillTint="33"/>
          </w:tcPr>
          <w:p w14:paraId="5F533812" w14:textId="1F483045" w:rsidR="006D5BAD" w:rsidRPr="00E8076B" w:rsidRDefault="006D5BAD" w:rsidP="006D5BAD">
            <w:pPr>
              <w:spacing w:after="160"/>
              <w:rPr>
                <w:sz w:val="20"/>
                <w:szCs w:val="22"/>
              </w:rPr>
            </w:pPr>
            <w:r w:rsidRPr="006D5BAD">
              <w:rPr>
                <w:sz w:val="20"/>
                <w:szCs w:val="20"/>
              </w:rPr>
              <w:t>121</w:t>
            </w:r>
          </w:p>
        </w:tc>
        <w:tc>
          <w:tcPr>
            <w:tcW w:w="717" w:type="dxa"/>
            <w:shd w:val="clear" w:color="auto" w:fill="DAE3F8" w:themeFill="accent1" w:themeFillTint="33"/>
          </w:tcPr>
          <w:p w14:paraId="169AF072" w14:textId="5E5B1B71" w:rsidR="006D5BAD" w:rsidRPr="00E8076B" w:rsidRDefault="006D5BAD" w:rsidP="006D5BAD">
            <w:pPr>
              <w:spacing w:after="160"/>
              <w:rPr>
                <w:sz w:val="20"/>
                <w:szCs w:val="22"/>
              </w:rPr>
            </w:pPr>
            <w:r w:rsidRPr="006D5BAD">
              <w:rPr>
                <w:sz w:val="20"/>
                <w:szCs w:val="20"/>
              </w:rPr>
              <w:t>122</w:t>
            </w:r>
          </w:p>
        </w:tc>
        <w:tc>
          <w:tcPr>
            <w:tcW w:w="717" w:type="dxa"/>
            <w:shd w:val="clear" w:color="auto" w:fill="DAE3F8" w:themeFill="accent1" w:themeFillTint="33"/>
          </w:tcPr>
          <w:p w14:paraId="5106FA17" w14:textId="6459CE11" w:rsidR="006D5BAD" w:rsidRPr="00E8076B" w:rsidRDefault="006D5BAD" w:rsidP="006D5BAD">
            <w:pPr>
              <w:spacing w:after="160"/>
              <w:rPr>
                <w:sz w:val="20"/>
                <w:szCs w:val="22"/>
              </w:rPr>
            </w:pPr>
            <w:r w:rsidRPr="006D5BAD">
              <w:rPr>
                <w:sz w:val="20"/>
                <w:szCs w:val="20"/>
              </w:rPr>
              <w:t>124</w:t>
            </w:r>
          </w:p>
        </w:tc>
        <w:tc>
          <w:tcPr>
            <w:tcW w:w="717" w:type="dxa"/>
            <w:shd w:val="clear" w:color="auto" w:fill="DAE3F8" w:themeFill="accent1" w:themeFillTint="33"/>
          </w:tcPr>
          <w:p w14:paraId="13B5126F" w14:textId="0650811E" w:rsidR="006D5BAD" w:rsidRPr="00E8076B" w:rsidRDefault="006D5BAD" w:rsidP="006D5BAD">
            <w:pPr>
              <w:spacing w:after="160"/>
              <w:rPr>
                <w:sz w:val="20"/>
                <w:szCs w:val="22"/>
              </w:rPr>
            </w:pPr>
            <w:r w:rsidRPr="006D5BAD">
              <w:rPr>
                <w:sz w:val="20"/>
                <w:szCs w:val="20"/>
              </w:rPr>
              <w:t>125</w:t>
            </w:r>
          </w:p>
        </w:tc>
        <w:tc>
          <w:tcPr>
            <w:tcW w:w="823" w:type="dxa"/>
            <w:shd w:val="clear" w:color="auto" w:fill="DAE3F8" w:themeFill="accent1" w:themeFillTint="33"/>
          </w:tcPr>
          <w:p w14:paraId="2490EA24" w14:textId="0DCC5091" w:rsidR="006D5BAD" w:rsidRPr="00E8076B" w:rsidRDefault="006D5BAD" w:rsidP="006D5BAD">
            <w:pPr>
              <w:spacing w:after="160"/>
              <w:rPr>
                <w:sz w:val="20"/>
                <w:szCs w:val="22"/>
              </w:rPr>
            </w:pPr>
            <w:r w:rsidRPr="006D5BAD">
              <w:rPr>
                <w:sz w:val="20"/>
                <w:szCs w:val="20"/>
              </w:rPr>
              <w:t>127</w:t>
            </w:r>
          </w:p>
        </w:tc>
      </w:tr>
      <w:tr w:rsidR="006D5BAD" w:rsidRPr="000B2640" w14:paraId="0F6D7A3D" w14:textId="77777777">
        <w:trPr>
          <w:trHeight w:val="451"/>
        </w:trPr>
        <w:tc>
          <w:tcPr>
            <w:tcW w:w="1584" w:type="dxa"/>
          </w:tcPr>
          <w:p w14:paraId="6DB6B2BD" w14:textId="77777777" w:rsidR="006D5BAD" w:rsidRPr="00E8076B" w:rsidRDefault="006D5BAD" w:rsidP="006D5BAD">
            <w:pPr>
              <w:spacing w:after="160"/>
              <w:rPr>
                <w:b/>
                <w:bCs/>
                <w:sz w:val="20"/>
                <w:szCs w:val="22"/>
              </w:rPr>
            </w:pPr>
            <w:r w:rsidRPr="00E8076B">
              <w:rPr>
                <w:b/>
                <w:bCs/>
                <w:sz w:val="20"/>
                <w:szCs w:val="22"/>
              </w:rPr>
              <w:t>Copper</w:t>
            </w:r>
          </w:p>
        </w:tc>
        <w:tc>
          <w:tcPr>
            <w:tcW w:w="717" w:type="dxa"/>
          </w:tcPr>
          <w:p w14:paraId="14F3FE97" w14:textId="6A8E77BA" w:rsidR="006D5BAD" w:rsidRPr="00E8076B" w:rsidRDefault="006D5BAD" w:rsidP="006D5BAD">
            <w:pPr>
              <w:spacing w:after="160"/>
              <w:rPr>
                <w:sz w:val="20"/>
                <w:szCs w:val="22"/>
              </w:rPr>
            </w:pPr>
            <w:r w:rsidRPr="006D5BAD">
              <w:rPr>
                <w:sz w:val="20"/>
                <w:szCs w:val="20"/>
              </w:rPr>
              <w:t>370</w:t>
            </w:r>
          </w:p>
        </w:tc>
        <w:tc>
          <w:tcPr>
            <w:tcW w:w="717" w:type="dxa"/>
          </w:tcPr>
          <w:p w14:paraId="6F7A9921" w14:textId="2DE58AFB" w:rsidR="006D5BAD" w:rsidRPr="00E8076B" w:rsidRDefault="006D5BAD" w:rsidP="006D5BAD">
            <w:pPr>
              <w:spacing w:after="160"/>
              <w:rPr>
                <w:sz w:val="20"/>
                <w:szCs w:val="22"/>
              </w:rPr>
            </w:pPr>
            <w:r w:rsidRPr="006D5BAD">
              <w:rPr>
                <w:sz w:val="20"/>
                <w:szCs w:val="20"/>
              </w:rPr>
              <w:t>373</w:t>
            </w:r>
          </w:p>
        </w:tc>
        <w:tc>
          <w:tcPr>
            <w:tcW w:w="717" w:type="dxa"/>
          </w:tcPr>
          <w:p w14:paraId="4D51829F" w14:textId="5926C1A2" w:rsidR="006D5BAD" w:rsidRPr="00E8076B" w:rsidRDefault="006D5BAD" w:rsidP="006D5BAD">
            <w:pPr>
              <w:spacing w:after="160"/>
              <w:rPr>
                <w:sz w:val="20"/>
                <w:szCs w:val="22"/>
              </w:rPr>
            </w:pPr>
            <w:r w:rsidRPr="006D5BAD">
              <w:rPr>
                <w:sz w:val="20"/>
                <w:szCs w:val="20"/>
              </w:rPr>
              <w:t>375</w:t>
            </w:r>
          </w:p>
        </w:tc>
        <w:tc>
          <w:tcPr>
            <w:tcW w:w="717" w:type="dxa"/>
          </w:tcPr>
          <w:p w14:paraId="4B0CDC83" w14:textId="345C0AA3" w:rsidR="006D5BAD" w:rsidRPr="00E8076B" w:rsidRDefault="006D5BAD" w:rsidP="006D5BAD">
            <w:pPr>
              <w:spacing w:after="160"/>
              <w:rPr>
                <w:sz w:val="20"/>
                <w:szCs w:val="22"/>
              </w:rPr>
            </w:pPr>
            <w:r w:rsidRPr="006D5BAD">
              <w:rPr>
                <w:sz w:val="20"/>
                <w:szCs w:val="20"/>
              </w:rPr>
              <w:t>377</w:t>
            </w:r>
          </w:p>
        </w:tc>
        <w:tc>
          <w:tcPr>
            <w:tcW w:w="783" w:type="dxa"/>
          </w:tcPr>
          <w:p w14:paraId="477463C2" w14:textId="44CA966C" w:rsidR="006D5BAD" w:rsidRPr="00E8076B" w:rsidRDefault="006D5BAD" w:rsidP="006D5BAD">
            <w:pPr>
              <w:spacing w:after="160"/>
              <w:rPr>
                <w:sz w:val="20"/>
                <w:szCs w:val="22"/>
              </w:rPr>
            </w:pPr>
            <w:r w:rsidRPr="006D5BAD">
              <w:rPr>
                <w:sz w:val="20"/>
                <w:szCs w:val="20"/>
              </w:rPr>
              <w:t>379</w:t>
            </w:r>
          </w:p>
        </w:tc>
        <w:tc>
          <w:tcPr>
            <w:tcW w:w="717" w:type="dxa"/>
          </w:tcPr>
          <w:p w14:paraId="5723DEF8" w14:textId="6E8FF5D2" w:rsidR="006D5BAD" w:rsidRPr="00E8076B" w:rsidRDefault="006D5BAD" w:rsidP="006D5BAD">
            <w:pPr>
              <w:spacing w:after="160"/>
              <w:rPr>
                <w:sz w:val="20"/>
                <w:szCs w:val="22"/>
              </w:rPr>
            </w:pPr>
            <w:r w:rsidRPr="006D5BAD">
              <w:rPr>
                <w:sz w:val="20"/>
                <w:szCs w:val="20"/>
              </w:rPr>
              <w:t>382</w:t>
            </w:r>
          </w:p>
        </w:tc>
        <w:tc>
          <w:tcPr>
            <w:tcW w:w="717" w:type="dxa"/>
          </w:tcPr>
          <w:p w14:paraId="162DB39A" w14:textId="15B877AE" w:rsidR="006D5BAD" w:rsidRPr="00E8076B" w:rsidRDefault="006D5BAD" w:rsidP="006D5BAD">
            <w:pPr>
              <w:spacing w:after="160"/>
              <w:rPr>
                <w:sz w:val="20"/>
                <w:szCs w:val="22"/>
              </w:rPr>
            </w:pPr>
            <w:r w:rsidRPr="006D5BAD">
              <w:rPr>
                <w:sz w:val="20"/>
                <w:szCs w:val="20"/>
              </w:rPr>
              <w:t>384</w:t>
            </w:r>
          </w:p>
        </w:tc>
        <w:tc>
          <w:tcPr>
            <w:tcW w:w="717" w:type="dxa"/>
          </w:tcPr>
          <w:p w14:paraId="724FD6CF" w14:textId="229846D7" w:rsidR="006D5BAD" w:rsidRPr="00E8076B" w:rsidRDefault="006D5BAD" w:rsidP="006D5BAD">
            <w:pPr>
              <w:spacing w:after="160"/>
              <w:rPr>
                <w:sz w:val="20"/>
                <w:szCs w:val="22"/>
              </w:rPr>
            </w:pPr>
            <w:r w:rsidRPr="006D5BAD">
              <w:rPr>
                <w:sz w:val="20"/>
                <w:szCs w:val="20"/>
              </w:rPr>
              <w:t>387</w:t>
            </w:r>
          </w:p>
        </w:tc>
        <w:tc>
          <w:tcPr>
            <w:tcW w:w="717" w:type="dxa"/>
          </w:tcPr>
          <w:p w14:paraId="7BF0C86B" w14:textId="07ECF39F" w:rsidR="006D5BAD" w:rsidRPr="00E8076B" w:rsidRDefault="006D5BAD" w:rsidP="006D5BAD">
            <w:pPr>
              <w:spacing w:after="160"/>
              <w:rPr>
                <w:sz w:val="20"/>
                <w:szCs w:val="22"/>
              </w:rPr>
            </w:pPr>
            <w:r w:rsidRPr="006D5BAD">
              <w:rPr>
                <w:sz w:val="20"/>
                <w:szCs w:val="20"/>
              </w:rPr>
              <w:t>390</w:t>
            </w:r>
          </w:p>
        </w:tc>
        <w:tc>
          <w:tcPr>
            <w:tcW w:w="823" w:type="dxa"/>
          </w:tcPr>
          <w:p w14:paraId="5F45AF93" w14:textId="3E70C865" w:rsidR="006D5BAD" w:rsidRPr="00E8076B" w:rsidRDefault="006D5BAD" w:rsidP="006D5BAD">
            <w:pPr>
              <w:spacing w:after="160"/>
              <w:rPr>
                <w:sz w:val="20"/>
                <w:szCs w:val="22"/>
              </w:rPr>
            </w:pPr>
            <w:r w:rsidRPr="006D5BAD">
              <w:rPr>
                <w:sz w:val="20"/>
                <w:szCs w:val="20"/>
              </w:rPr>
              <w:t>392</w:t>
            </w:r>
          </w:p>
        </w:tc>
      </w:tr>
      <w:tr w:rsidR="00997935" w:rsidRPr="000B2640" w14:paraId="1BF6142D" w14:textId="77777777" w:rsidTr="00997935">
        <w:trPr>
          <w:trHeight w:val="500"/>
        </w:trPr>
        <w:tc>
          <w:tcPr>
            <w:tcW w:w="1584" w:type="dxa"/>
            <w:shd w:val="clear" w:color="auto" w:fill="DAE3F8" w:themeFill="accent1" w:themeFillTint="33"/>
          </w:tcPr>
          <w:p w14:paraId="75F735D9" w14:textId="77777777" w:rsidR="006D5BAD" w:rsidRPr="00E8076B" w:rsidRDefault="006D5BAD" w:rsidP="006D5BAD">
            <w:pPr>
              <w:spacing w:after="160"/>
              <w:rPr>
                <w:b/>
                <w:bCs/>
                <w:sz w:val="20"/>
                <w:szCs w:val="22"/>
              </w:rPr>
            </w:pPr>
            <w:r w:rsidRPr="00E8076B">
              <w:rPr>
                <w:b/>
                <w:bCs/>
                <w:sz w:val="20"/>
                <w:szCs w:val="22"/>
              </w:rPr>
              <w:t>Formaldehyde</w:t>
            </w:r>
          </w:p>
        </w:tc>
        <w:tc>
          <w:tcPr>
            <w:tcW w:w="717" w:type="dxa"/>
            <w:shd w:val="clear" w:color="auto" w:fill="DAE3F8" w:themeFill="accent1" w:themeFillTint="33"/>
          </w:tcPr>
          <w:p w14:paraId="27D9AECF" w14:textId="17D873E6" w:rsidR="006D5BAD" w:rsidRPr="00E8076B" w:rsidRDefault="006D5BAD" w:rsidP="006D5BAD">
            <w:pPr>
              <w:spacing w:after="160"/>
              <w:rPr>
                <w:sz w:val="20"/>
                <w:szCs w:val="22"/>
              </w:rPr>
            </w:pPr>
            <w:r w:rsidRPr="006D5BAD">
              <w:rPr>
                <w:sz w:val="20"/>
                <w:szCs w:val="20"/>
              </w:rPr>
              <w:t>227</w:t>
            </w:r>
          </w:p>
        </w:tc>
        <w:tc>
          <w:tcPr>
            <w:tcW w:w="717" w:type="dxa"/>
            <w:shd w:val="clear" w:color="auto" w:fill="DAE3F8" w:themeFill="accent1" w:themeFillTint="33"/>
          </w:tcPr>
          <w:p w14:paraId="6514011B" w14:textId="26849A56" w:rsidR="006D5BAD" w:rsidRPr="00E8076B" w:rsidRDefault="006D5BAD" w:rsidP="006D5BAD">
            <w:pPr>
              <w:spacing w:after="160"/>
              <w:rPr>
                <w:sz w:val="20"/>
                <w:szCs w:val="22"/>
              </w:rPr>
            </w:pPr>
            <w:r w:rsidRPr="006D5BAD">
              <w:rPr>
                <w:sz w:val="20"/>
                <w:szCs w:val="20"/>
              </w:rPr>
              <w:t>230</w:t>
            </w:r>
          </w:p>
        </w:tc>
        <w:tc>
          <w:tcPr>
            <w:tcW w:w="717" w:type="dxa"/>
            <w:shd w:val="clear" w:color="auto" w:fill="DAE3F8" w:themeFill="accent1" w:themeFillTint="33"/>
          </w:tcPr>
          <w:p w14:paraId="4B7B54B4" w14:textId="5731CFC2" w:rsidR="006D5BAD" w:rsidRPr="00E8076B" w:rsidRDefault="006D5BAD" w:rsidP="006D5BAD">
            <w:pPr>
              <w:spacing w:after="160"/>
              <w:rPr>
                <w:sz w:val="20"/>
                <w:szCs w:val="22"/>
              </w:rPr>
            </w:pPr>
            <w:r w:rsidRPr="006D5BAD">
              <w:rPr>
                <w:sz w:val="20"/>
                <w:szCs w:val="20"/>
              </w:rPr>
              <w:t>234</w:t>
            </w:r>
          </w:p>
        </w:tc>
        <w:tc>
          <w:tcPr>
            <w:tcW w:w="717" w:type="dxa"/>
            <w:shd w:val="clear" w:color="auto" w:fill="DAE3F8" w:themeFill="accent1" w:themeFillTint="33"/>
          </w:tcPr>
          <w:p w14:paraId="556D6CCF" w14:textId="2617DEA6" w:rsidR="006D5BAD" w:rsidRPr="00E8076B" w:rsidRDefault="006D5BAD" w:rsidP="006D5BAD">
            <w:pPr>
              <w:spacing w:after="160"/>
              <w:rPr>
                <w:sz w:val="20"/>
                <w:szCs w:val="22"/>
              </w:rPr>
            </w:pPr>
            <w:r w:rsidRPr="006D5BAD">
              <w:rPr>
                <w:sz w:val="20"/>
                <w:szCs w:val="20"/>
              </w:rPr>
              <w:t>237</w:t>
            </w:r>
          </w:p>
        </w:tc>
        <w:tc>
          <w:tcPr>
            <w:tcW w:w="783" w:type="dxa"/>
            <w:shd w:val="clear" w:color="auto" w:fill="DAE3F8" w:themeFill="accent1" w:themeFillTint="33"/>
          </w:tcPr>
          <w:p w14:paraId="61F41EDC" w14:textId="15F71BBC" w:rsidR="006D5BAD" w:rsidRPr="00E8076B" w:rsidRDefault="006D5BAD" w:rsidP="006D5BAD">
            <w:pPr>
              <w:spacing w:after="160"/>
              <w:rPr>
                <w:sz w:val="20"/>
                <w:szCs w:val="22"/>
              </w:rPr>
            </w:pPr>
            <w:r w:rsidRPr="006D5BAD">
              <w:rPr>
                <w:sz w:val="20"/>
                <w:szCs w:val="20"/>
              </w:rPr>
              <w:t>241</w:t>
            </w:r>
          </w:p>
        </w:tc>
        <w:tc>
          <w:tcPr>
            <w:tcW w:w="717" w:type="dxa"/>
            <w:shd w:val="clear" w:color="auto" w:fill="DAE3F8" w:themeFill="accent1" w:themeFillTint="33"/>
          </w:tcPr>
          <w:p w14:paraId="6D50B9B5" w14:textId="38E7E260" w:rsidR="006D5BAD" w:rsidRPr="00E8076B" w:rsidRDefault="006D5BAD" w:rsidP="006D5BAD">
            <w:pPr>
              <w:spacing w:after="160"/>
              <w:rPr>
                <w:sz w:val="20"/>
                <w:szCs w:val="22"/>
              </w:rPr>
            </w:pPr>
            <w:r w:rsidRPr="006D5BAD">
              <w:rPr>
                <w:sz w:val="20"/>
                <w:szCs w:val="20"/>
              </w:rPr>
              <w:t>245</w:t>
            </w:r>
          </w:p>
        </w:tc>
        <w:tc>
          <w:tcPr>
            <w:tcW w:w="717" w:type="dxa"/>
            <w:shd w:val="clear" w:color="auto" w:fill="DAE3F8" w:themeFill="accent1" w:themeFillTint="33"/>
          </w:tcPr>
          <w:p w14:paraId="4CF14226" w14:textId="64DA11FB" w:rsidR="006D5BAD" w:rsidRPr="00E8076B" w:rsidRDefault="006D5BAD" w:rsidP="006D5BAD">
            <w:pPr>
              <w:spacing w:after="160"/>
              <w:rPr>
                <w:sz w:val="20"/>
                <w:szCs w:val="22"/>
              </w:rPr>
            </w:pPr>
            <w:r w:rsidRPr="006D5BAD">
              <w:rPr>
                <w:sz w:val="20"/>
                <w:szCs w:val="20"/>
              </w:rPr>
              <w:t>249</w:t>
            </w:r>
          </w:p>
        </w:tc>
        <w:tc>
          <w:tcPr>
            <w:tcW w:w="717" w:type="dxa"/>
            <w:shd w:val="clear" w:color="auto" w:fill="DAE3F8" w:themeFill="accent1" w:themeFillTint="33"/>
          </w:tcPr>
          <w:p w14:paraId="5E838D23" w14:textId="54935851" w:rsidR="006D5BAD" w:rsidRPr="00E8076B" w:rsidRDefault="006D5BAD" w:rsidP="006D5BAD">
            <w:pPr>
              <w:spacing w:after="160"/>
              <w:rPr>
                <w:sz w:val="20"/>
                <w:szCs w:val="22"/>
              </w:rPr>
            </w:pPr>
            <w:r w:rsidRPr="006D5BAD">
              <w:rPr>
                <w:sz w:val="20"/>
                <w:szCs w:val="20"/>
              </w:rPr>
              <w:t>254</w:t>
            </w:r>
          </w:p>
        </w:tc>
        <w:tc>
          <w:tcPr>
            <w:tcW w:w="717" w:type="dxa"/>
            <w:shd w:val="clear" w:color="auto" w:fill="DAE3F8" w:themeFill="accent1" w:themeFillTint="33"/>
          </w:tcPr>
          <w:p w14:paraId="77CA4FAD" w14:textId="02A50607" w:rsidR="006D5BAD" w:rsidRPr="00E8076B" w:rsidRDefault="006D5BAD" w:rsidP="006D5BAD">
            <w:pPr>
              <w:spacing w:after="160"/>
              <w:rPr>
                <w:sz w:val="20"/>
                <w:szCs w:val="22"/>
              </w:rPr>
            </w:pPr>
            <w:r w:rsidRPr="006D5BAD">
              <w:rPr>
                <w:sz w:val="20"/>
                <w:szCs w:val="20"/>
              </w:rPr>
              <w:t>259</w:t>
            </w:r>
          </w:p>
        </w:tc>
        <w:tc>
          <w:tcPr>
            <w:tcW w:w="823" w:type="dxa"/>
            <w:shd w:val="clear" w:color="auto" w:fill="DAE3F8" w:themeFill="accent1" w:themeFillTint="33"/>
          </w:tcPr>
          <w:p w14:paraId="275FA97E" w14:textId="4E23920B" w:rsidR="006D5BAD" w:rsidRPr="00E8076B" w:rsidRDefault="006D5BAD" w:rsidP="006D5BAD">
            <w:pPr>
              <w:spacing w:after="160"/>
              <w:rPr>
                <w:sz w:val="20"/>
                <w:szCs w:val="22"/>
              </w:rPr>
            </w:pPr>
            <w:r w:rsidRPr="006D5BAD">
              <w:rPr>
                <w:sz w:val="20"/>
                <w:szCs w:val="20"/>
              </w:rPr>
              <w:t>264</w:t>
            </w:r>
          </w:p>
        </w:tc>
      </w:tr>
      <w:tr w:rsidR="006D5BAD" w:rsidRPr="000B2640" w14:paraId="77E60FF5" w14:textId="77777777">
        <w:trPr>
          <w:trHeight w:val="706"/>
        </w:trPr>
        <w:tc>
          <w:tcPr>
            <w:tcW w:w="1584" w:type="dxa"/>
          </w:tcPr>
          <w:p w14:paraId="4A70CE2D" w14:textId="77777777" w:rsidR="006D5BAD" w:rsidRPr="00E8076B" w:rsidRDefault="006D5BAD" w:rsidP="006D5BAD">
            <w:pPr>
              <w:spacing w:after="160"/>
              <w:rPr>
                <w:b/>
                <w:bCs/>
                <w:sz w:val="20"/>
                <w:szCs w:val="22"/>
              </w:rPr>
            </w:pPr>
            <w:r w:rsidRPr="00E8076B">
              <w:rPr>
                <w:b/>
                <w:bCs/>
                <w:sz w:val="20"/>
                <w:szCs w:val="22"/>
              </w:rPr>
              <w:t>Hydrogen cyanide</w:t>
            </w:r>
          </w:p>
        </w:tc>
        <w:tc>
          <w:tcPr>
            <w:tcW w:w="717" w:type="dxa"/>
          </w:tcPr>
          <w:p w14:paraId="64A2674B" w14:textId="51EC9113" w:rsidR="006D5BAD" w:rsidRPr="00E8076B" w:rsidRDefault="006D5BAD" w:rsidP="006D5BAD">
            <w:pPr>
              <w:spacing w:after="160"/>
              <w:rPr>
                <w:sz w:val="20"/>
                <w:szCs w:val="22"/>
              </w:rPr>
            </w:pPr>
            <w:r w:rsidRPr="006D5BAD">
              <w:rPr>
                <w:sz w:val="20"/>
                <w:szCs w:val="20"/>
              </w:rPr>
              <w:t>79</w:t>
            </w:r>
          </w:p>
        </w:tc>
        <w:tc>
          <w:tcPr>
            <w:tcW w:w="717" w:type="dxa"/>
          </w:tcPr>
          <w:p w14:paraId="45618502" w14:textId="4F5A1818" w:rsidR="006D5BAD" w:rsidRPr="00E8076B" w:rsidRDefault="006D5BAD" w:rsidP="006D5BAD">
            <w:pPr>
              <w:spacing w:after="160"/>
              <w:rPr>
                <w:sz w:val="20"/>
                <w:szCs w:val="22"/>
              </w:rPr>
            </w:pPr>
            <w:r w:rsidRPr="006D5BAD">
              <w:rPr>
                <w:sz w:val="20"/>
                <w:szCs w:val="20"/>
              </w:rPr>
              <w:t>79</w:t>
            </w:r>
          </w:p>
        </w:tc>
        <w:tc>
          <w:tcPr>
            <w:tcW w:w="717" w:type="dxa"/>
          </w:tcPr>
          <w:p w14:paraId="4938729F" w14:textId="5E15010D" w:rsidR="006D5BAD" w:rsidRPr="00E8076B" w:rsidRDefault="006D5BAD" w:rsidP="006D5BAD">
            <w:pPr>
              <w:spacing w:after="160"/>
              <w:rPr>
                <w:sz w:val="20"/>
                <w:szCs w:val="22"/>
              </w:rPr>
            </w:pPr>
            <w:r w:rsidRPr="006D5BAD">
              <w:rPr>
                <w:sz w:val="20"/>
                <w:szCs w:val="20"/>
              </w:rPr>
              <w:t>79</w:t>
            </w:r>
          </w:p>
        </w:tc>
        <w:tc>
          <w:tcPr>
            <w:tcW w:w="717" w:type="dxa"/>
          </w:tcPr>
          <w:p w14:paraId="15920FE3" w14:textId="300106C1" w:rsidR="006D5BAD" w:rsidRPr="00E8076B" w:rsidRDefault="006D5BAD" w:rsidP="006D5BAD">
            <w:pPr>
              <w:spacing w:after="160"/>
              <w:rPr>
                <w:sz w:val="20"/>
                <w:szCs w:val="22"/>
              </w:rPr>
            </w:pPr>
            <w:r w:rsidRPr="006D5BAD">
              <w:rPr>
                <w:sz w:val="20"/>
                <w:szCs w:val="20"/>
              </w:rPr>
              <w:t>80</w:t>
            </w:r>
          </w:p>
        </w:tc>
        <w:tc>
          <w:tcPr>
            <w:tcW w:w="783" w:type="dxa"/>
          </w:tcPr>
          <w:p w14:paraId="1F782DF1" w14:textId="5C1D07F1" w:rsidR="006D5BAD" w:rsidRPr="00E8076B" w:rsidRDefault="006D5BAD" w:rsidP="006D5BAD">
            <w:pPr>
              <w:spacing w:after="160"/>
              <w:rPr>
                <w:sz w:val="20"/>
                <w:szCs w:val="22"/>
              </w:rPr>
            </w:pPr>
            <w:r w:rsidRPr="006D5BAD">
              <w:rPr>
                <w:sz w:val="20"/>
                <w:szCs w:val="20"/>
              </w:rPr>
              <w:t>80</w:t>
            </w:r>
          </w:p>
        </w:tc>
        <w:tc>
          <w:tcPr>
            <w:tcW w:w="717" w:type="dxa"/>
          </w:tcPr>
          <w:p w14:paraId="60872C0C" w14:textId="5E1E5B47" w:rsidR="006D5BAD" w:rsidRPr="00E8076B" w:rsidRDefault="006D5BAD" w:rsidP="006D5BAD">
            <w:pPr>
              <w:spacing w:after="160"/>
              <w:rPr>
                <w:sz w:val="20"/>
                <w:szCs w:val="22"/>
              </w:rPr>
            </w:pPr>
            <w:r w:rsidRPr="006D5BAD">
              <w:rPr>
                <w:sz w:val="20"/>
                <w:szCs w:val="20"/>
              </w:rPr>
              <w:t>80</w:t>
            </w:r>
          </w:p>
        </w:tc>
        <w:tc>
          <w:tcPr>
            <w:tcW w:w="717" w:type="dxa"/>
          </w:tcPr>
          <w:p w14:paraId="3CB1BCB9" w14:textId="15894DC4" w:rsidR="006D5BAD" w:rsidRPr="00E8076B" w:rsidRDefault="006D5BAD" w:rsidP="006D5BAD">
            <w:pPr>
              <w:spacing w:after="160"/>
              <w:rPr>
                <w:sz w:val="20"/>
                <w:szCs w:val="22"/>
              </w:rPr>
            </w:pPr>
            <w:r w:rsidRPr="006D5BAD">
              <w:rPr>
                <w:sz w:val="20"/>
                <w:szCs w:val="20"/>
              </w:rPr>
              <w:t>80</w:t>
            </w:r>
          </w:p>
        </w:tc>
        <w:tc>
          <w:tcPr>
            <w:tcW w:w="717" w:type="dxa"/>
          </w:tcPr>
          <w:p w14:paraId="09A1E26C" w14:textId="71C0D78F" w:rsidR="006D5BAD" w:rsidRPr="00E8076B" w:rsidRDefault="006D5BAD" w:rsidP="006D5BAD">
            <w:pPr>
              <w:spacing w:after="160"/>
              <w:rPr>
                <w:sz w:val="20"/>
                <w:szCs w:val="22"/>
              </w:rPr>
            </w:pPr>
            <w:r w:rsidRPr="006D5BAD">
              <w:rPr>
                <w:sz w:val="20"/>
                <w:szCs w:val="20"/>
              </w:rPr>
              <w:t>81</w:t>
            </w:r>
          </w:p>
        </w:tc>
        <w:tc>
          <w:tcPr>
            <w:tcW w:w="717" w:type="dxa"/>
          </w:tcPr>
          <w:p w14:paraId="2277FB37" w14:textId="6DDC869C" w:rsidR="006D5BAD" w:rsidRPr="00E8076B" w:rsidRDefault="006D5BAD" w:rsidP="006D5BAD">
            <w:pPr>
              <w:spacing w:after="160"/>
              <w:rPr>
                <w:sz w:val="20"/>
                <w:szCs w:val="22"/>
              </w:rPr>
            </w:pPr>
            <w:r w:rsidRPr="006D5BAD">
              <w:rPr>
                <w:sz w:val="20"/>
                <w:szCs w:val="20"/>
              </w:rPr>
              <w:t>81</w:t>
            </w:r>
          </w:p>
        </w:tc>
        <w:tc>
          <w:tcPr>
            <w:tcW w:w="823" w:type="dxa"/>
          </w:tcPr>
          <w:p w14:paraId="6FED265F" w14:textId="59298584" w:rsidR="006D5BAD" w:rsidRPr="00E8076B" w:rsidRDefault="006D5BAD" w:rsidP="006D5BAD">
            <w:pPr>
              <w:spacing w:after="160"/>
              <w:rPr>
                <w:sz w:val="20"/>
                <w:szCs w:val="22"/>
              </w:rPr>
            </w:pPr>
            <w:r w:rsidRPr="006D5BAD">
              <w:rPr>
                <w:sz w:val="20"/>
                <w:szCs w:val="20"/>
              </w:rPr>
              <w:t>81</w:t>
            </w:r>
          </w:p>
        </w:tc>
      </w:tr>
      <w:tr w:rsidR="00E843CB" w:rsidRPr="000B2640" w14:paraId="0711B66F" w14:textId="77777777" w:rsidTr="00997935">
        <w:trPr>
          <w:trHeight w:val="558"/>
        </w:trPr>
        <w:tc>
          <w:tcPr>
            <w:tcW w:w="1584" w:type="dxa"/>
            <w:shd w:val="clear" w:color="auto" w:fill="DAE3F8" w:themeFill="accent1" w:themeFillTint="33"/>
          </w:tcPr>
          <w:p w14:paraId="4FFF172C" w14:textId="29B13E84" w:rsidR="006D5BAD" w:rsidRPr="00E8076B" w:rsidRDefault="006D5BAD" w:rsidP="006D5BAD">
            <w:pPr>
              <w:spacing w:after="160"/>
              <w:rPr>
                <w:b/>
                <w:bCs/>
                <w:sz w:val="20"/>
                <w:szCs w:val="22"/>
              </w:rPr>
            </w:pPr>
            <w:r w:rsidRPr="00E8076B">
              <w:rPr>
                <w:b/>
                <w:bCs/>
                <w:sz w:val="20"/>
                <w:szCs w:val="22"/>
              </w:rPr>
              <w:t>Hydrogen sul</w:t>
            </w:r>
            <w:r w:rsidR="00312B4B">
              <w:rPr>
                <w:b/>
                <w:bCs/>
                <w:sz w:val="20"/>
                <w:szCs w:val="22"/>
              </w:rPr>
              <w:t>f</w:t>
            </w:r>
            <w:r w:rsidRPr="00E8076B">
              <w:rPr>
                <w:b/>
                <w:bCs/>
                <w:sz w:val="20"/>
                <w:szCs w:val="22"/>
              </w:rPr>
              <w:t>ide</w:t>
            </w:r>
          </w:p>
        </w:tc>
        <w:tc>
          <w:tcPr>
            <w:tcW w:w="717" w:type="dxa"/>
            <w:shd w:val="clear" w:color="auto" w:fill="DAE3F8" w:themeFill="accent1" w:themeFillTint="33"/>
          </w:tcPr>
          <w:p w14:paraId="0828E5DA" w14:textId="374973B8" w:rsidR="006D5BAD" w:rsidRPr="00E8076B" w:rsidRDefault="006D5BAD" w:rsidP="006D5BAD">
            <w:pPr>
              <w:spacing w:after="160"/>
              <w:rPr>
                <w:sz w:val="20"/>
                <w:szCs w:val="22"/>
              </w:rPr>
            </w:pPr>
            <w:r w:rsidRPr="006D5BAD">
              <w:rPr>
                <w:sz w:val="20"/>
                <w:szCs w:val="20"/>
              </w:rPr>
              <w:t>138</w:t>
            </w:r>
          </w:p>
        </w:tc>
        <w:tc>
          <w:tcPr>
            <w:tcW w:w="717" w:type="dxa"/>
            <w:shd w:val="clear" w:color="auto" w:fill="DAE3F8" w:themeFill="accent1" w:themeFillTint="33"/>
          </w:tcPr>
          <w:p w14:paraId="2406A122" w14:textId="659D2C92" w:rsidR="006D5BAD" w:rsidRPr="00E8076B" w:rsidRDefault="006D5BAD" w:rsidP="006D5BAD">
            <w:pPr>
              <w:spacing w:after="160"/>
              <w:rPr>
                <w:sz w:val="20"/>
                <w:szCs w:val="22"/>
              </w:rPr>
            </w:pPr>
            <w:r w:rsidRPr="006D5BAD">
              <w:rPr>
                <w:sz w:val="20"/>
                <w:szCs w:val="20"/>
              </w:rPr>
              <w:t>139</w:t>
            </w:r>
          </w:p>
        </w:tc>
        <w:tc>
          <w:tcPr>
            <w:tcW w:w="717" w:type="dxa"/>
            <w:shd w:val="clear" w:color="auto" w:fill="DAE3F8" w:themeFill="accent1" w:themeFillTint="33"/>
          </w:tcPr>
          <w:p w14:paraId="2D604D06" w14:textId="19F9CF04" w:rsidR="006D5BAD" w:rsidRPr="00E8076B" w:rsidRDefault="006D5BAD" w:rsidP="006D5BAD">
            <w:pPr>
              <w:spacing w:after="160"/>
              <w:rPr>
                <w:sz w:val="20"/>
                <w:szCs w:val="22"/>
              </w:rPr>
            </w:pPr>
            <w:r w:rsidRPr="006D5BAD">
              <w:rPr>
                <w:sz w:val="20"/>
                <w:szCs w:val="20"/>
              </w:rPr>
              <w:t>140</w:t>
            </w:r>
          </w:p>
        </w:tc>
        <w:tc>
          <w:tcPr>
            <w:tcW w:w="717" w:type="dxa"/>
            <w:shd w:val="clear" w:color="auto" w:fill="DAE3F8" w:themeFill="accent1" w:themeFillTint="33"/>
          </w:tcPr>
          <w:p w14:paraId="6277B772" w14:textId="152109B5" w:rsidR="006D5BAD" w:rsidRPr="00E8076B" w:rsidRDefault="006D5BAD" w:rsidP="006D5BAD">
            <w:pPr>
              <w:spacing w:after="160"/>
              <w:rPr>
                <w:sz w:val="20"/>
                <w:szCs w:val="22"/>
              </w:rPr>
            </w:pPr>
            <w:r w:rsidRPr="006D5BAD">
              <w:rPr>
                <w:sz w:val="20"/>
                <w:szCs w:val="20"/>
              </w:rPr>
              <w:t>141</w:t>
            </w:r>
          </w:p>
        </w:tc>
        <w:tc>
          <w:tcPr>
            <w:tcW w:w="783" w:type="dxa"/>
            <w:shd w:val="clear" w:color="auto" w:fill="DAE3F8" w:themeFill="accent1" w:themeFillTint="33"/>
          </w:tcPr>
          <w:p w14:paraId="25C56935" w14:textId="4ABDDC01" w:rsidR="006D5BAD" w:rsidRPr="00E8076B" w:rsidRDefault="006D5BAD" w:rsidP="006D5BAD">
            <w:pPr>
              <w:spacing w:after="160"/>
              <w:rPr>
                <w:sz w:val="20"/>
                <w:szCs w:val="22"/>
              </w:rPr>
            </w:pPr>
            <w:r w:rsidRPr="006D5BAD">
              <w:rPr>
                <w:sz w:val="20"/>
                <w:szCs w:val="20"/>
              </w:rPr>
              <w:t>142</w:t>
            </w:r>
          </w:p>
        </w:tc>
        <w:tc>
          <w:tcPr>
            <w:tcW w:w="717" w:type="dxa"/>
            <w:shd w:val="clear" w:color="auto" w:fill="DAE3F8" w:themeFill="accent1" w:themeFillTint="33"/>
          </w:tcPr>
          <w:p w14:paraId="2161D319" w14:textId="079EDF75" w:rsidR="006D5BAD" w:rsidRPr="00E8076B" w:rsidRDefault="006D5BAD" w:rsidP="006D5BAD">
            <w:pPr>
              <w:spacing w:after="160"/>
              <w:rPr>
                <w:sz w:val="20"/>
                <w:szCs w:val="22"/>
              </w:rPr>
            </w:pPr>
            <w:r w:rsidRPr="006D5BAD">
              <w:rPr>
                <w:sz w:val="20"/>
                <w:szCs w:val="20"/>
              </w:rPr>
              <w:t>143</w:t>
            </w:r>
          </w:p>
        </w:tc>
        <w:tc>
          <w:tcPr>
            <w:tcW w:w="717" w:type="dxa"/>
            <w:shd w:val="clear" w:color="auto" w:fill="DAE3F8" w:themeFill="accent1" w:themeFillTint="33"/>
          </w:tcPr>
          <w:p w14:paraId="40EC2C71" w14:textId="5907716E" w:rsidR="006D5BAD" w:rsidRPr="00E8076B" w:rsidRDefault="006D5BAD" w:rsidP="006D5BAD">
            <w:pPr>
              <w:spacing w:after="160"/>
              <w:rPr>
                <w:sz w:val="20"/>
                <w:szCs w:val="22"/>
              </w:rPr>
            </w:pPr>
            <w:r w:rsidRPr="006D5BAD">
              <w:rPr>
                <w:sz w:val="20"/>
                <w:szCs w:val="20"/>
              </w:rPr>
              <w:t>144</w:t>
            </w:r>
          </w:p>
        </w:tc>
        <w:tc>
          <w:tcPr>
            <w:tcW w:w="717" w:type="dxa"/>
            <w:shd w:val="clear" w:color="auto" w:fill="DAE3F8" w:themeFill="accent1" w:themeFillTint="33"/>
          </w:tcPr>
          <w:p w14:paraId="3F71B408" w14:textId="32638035" w:rsidR="006D5BAD" w:rsidRPr="00E8076B" w:rsidRDefault="006D5BAD" w:rsidP="006D5BAD">
            <w:pPr>
              <w:spacing w:after="160"/>
              <w:rPr>
                <w:sz w:val="20"/>
                <w:szCs w:val="22"/>
              </w:rPr>
            </w:pPr>
            <w:r w:rsidRPr="006D5BAD">
              <w:rPr>
                <w:sz w:val="20"/>
                <w:szCs w:val="20"/>
              </w:rPr>
              <w:t>145</w:t>
            </w:r>
          </w:p>
        </w:tc>
        <w:tc>
          <w:tcPr>
            <w:tcW w:w="717" w:type="dxa"/>
            <w:shd w:val="clear" w:color="auto" w:fill="DAE3F8" w:themeFill="accent1" w:themeFillTint="33"/>
          </w:tcPr>
          <w:p w14:paraId="08146D9A" w14:textId="5030F168" w:rsidR="006D5BAD" w:rsidRPr="00E8076B" w:rsidRDefault="006D5BAD" w:rsidP="006D5BAD">
            <w:pPr>
              <w:spacing w:after="160"/>
              <w:rPr>
                <w:sz w:val="20"/>
                <w:szCs w:val="22"/>
              </w:rPr>
            </w:pPr>
            <w:r w:rsidRPr="006D5BAD">
              <w:rPr>
                <w:sz w:val="20"/>
                <w:szCs w:val="20"/>
              </w:rPr>
              <w:t>146</w:t>
            </w:r>
          </w:p>
        </w:tc>
        <w:tc>
          <w:tcPr>
            <w:tcW w:w="823" w:type="dxa"/>
            <w:shd w:val="clear" w:color="auto" w:fill="DAE3F8" w:themeFill="accent1" w:themeFillTint="33"/>
          </w:tcPr>
          <w:p w14:paraId="12BD667E" w14:textId="724DB26A" w:rsidR="006D5BAD" w:rsidRPr="00E8076B" w:rsidRDefault="006D5BAD" w:rsidP="006D5BAD">
            <w:pPr>
              <w:spacing w:after="160"/>
              <w:rPr>
                <w:sz w:val="20"/>
                <w:szCs w:val="22"/>
              </w:rPr>
            </w:pPr>
            <w:r w:rsidRPr="006D5BAD">
              <w:rPr>
                <w:sz w:val="20"/>
                <w:szCs w:val="20"/>
              </w:rPr>
              <w:t>147</w:t>
            </w:r>
          </w:p>
        </w:tc>
      </w:tr>
      <w:tr w:rsidR="006D5BAD" w:rsidRPr="000B2640" w14:paraId="34E1AB87" w14:textId="77777777">
        <w:trPr>
          <w:trHeight w:val="410"/>
        </w:trPr>
        <w:tc>
          <w:tcPr>
            <w:tcW w:w="1584" w:type="dxa"/>
          </w:tcPr>
          <w:p w14:paraId="4D907ED0" w14:textId="77777777" w:rsidR="006D5BAD" w:rsidRPr="00E8076B" w:rsidRDefault="006D5BAD" w:rsidP="006D5BAD">
            <w:pPr>
              <w:spacing w:after="160"/>
              <w:rPr>
                <w:b/>
                <w:bCs/>
                <w:sz w:val="20"/>
                <w:szCs w:val="22"/>
              </w:rPr>
            </w:pPr>
            <w:r w:rsidRPr="00E8076B">
              <w:rPr>
                <w:b/>
                <w:bCs/>
                <w:sz w:val="20"/>
                <w:szCs w:val="22"/>
              </w:rPr>
              <w:t>Nitrogen dioxide</w:t>
            </w:r>
          </w:p>
        </w:tc>
        <w:tc>
          <w:tcPr>
            <w:tcW w:w="717" w:type="dxa"/>
          </w:tcPr>
          <w:p w14:paraId="3B5DDE22" w14:textId="41C14D9D" w:rsidR="006D5BAD" w:rsidRPr="00E8076B" w:rsidRDefault="006D5BAD" w:rsidP="006D5BAD">
            <w:pPr>
              <w:spacing w:after="160"/>
              <w:rPr>
                <w:sz w:val="20"/>
                <w:szCs w:val="22"/>
              </w:rPr>
            </w:pPr>
            <w:r w:rsidRPr="006D5BAD">
              <w:rPr>
                <w:sz w:val="20"/>
                <w:szCs w:val="20"/>
              </w:rPr>
              <w:t>624</w:t>
            </w:r>
          </w:p>
        </w:tc>
        <w:tc>
          <w:tcPr>
            <w:tcW w:w="717" w:type="dxa"/>
          </w:tcPr>
          <w:p w14:paraId="1B1F9FC3" w14:textId="30ABEE0C" w:rsidR="006D5BAD" w:rsidRPr="00E8076B" w:rsidRDefault="006D5BAD" w:rsidP="006D5BAD">
            <w:pPr>
              <w:spacing w:after="160"/>
              <w:rPr>
                <w:sz w:val="20"/>
                <w:szCs w:val="22"/>
              </w:rPr>
            </w:pPr>
            <w:r w:rsidRPr="006D5BAD">
              <w:rPr>
                <w:sz w:val="20"/>
                <w:szCs w:val="20"/>
              </w:rPr>
              <w:t>631</w:t>
            </w:r>
          </w:p>
        </w:tc>
        <w:tc>
          <w:tcPr>
            <w:tcW w:w="717" w:type="dxa"/>
          </w:tcPr>
          <w:p w14:paraId="2740B46A" w14:textId="339D651E" w:rsidR="006D5BAD" w:rsidRPr="00E8076B" w:rsidRDefault="006D5BAD" w:rsidP="006D5BAD">
            <w:pPr>
              <w:spacing w:after="160"/>
              <w:rPr>
                <w:sz w:val="20"/>
                <w:szCs w:val="22"/>
              </w:rPr>
            </w:pPr>
            <w:r w:rsidRPr="006D5BAD">
              <w:rPr>
                <w:sz w:val="20"/>
                <w:szCs w:val="20"/>
              </w:rPr>
              <w:t>638</w:t>
            </w:r>
          </w:p>
        </w:tc>
        <w:tc>
          <w:tcPr>
            <w:tcW w:w="717" w:type="dxa"/>
          </w:tcPr>
          <w:p w14:paraId="7855FF4D" w14:textId="271CBBEF" w:rsidR="006D5BAD" w:rsidRPr="00E8076B" w:rsidRDefault="006D5BAD" w:rsidP="006D5BAD">
            <w:pPr>
              <w:spacing w:after="160"/>
              <w:rPr>
                <w:sz w:val="20"/>
                <w:szCs w:val="22"/>
              </w:rPr>
            </w:pPr>
            <w:r w:rsidRPr="006D5BAD">
              <w:rPr>
                <w:sz w:val="20"/>
                <w:szCs w:val="20"/>
              </w:rPr>
              <w:t>645</w:t>
            </w:r>
          </w:p>
        </w:tc>
        <w:tc>
          <w:tcPr>
            <w:tcW w:w="783" w:type="dxa"/>
          </w:tcPr>
          <w:p w14:paraId="1630210A" w14:textId="74C49158" w:rsidR="006D5BAD" w:rsidRPr="00E8076B" w:rsidRDefault="006D5BAD" w:rsidP="006D5BAD">
            <w:pPr>
              <w:spacing w:after="160"/>
              <w:rPr>
                <w:sz w:val="20"/>
                <w:szCs w:val="22"/>
              </w:rPr>
            </w:pPr>
            <w:r w:rsidRPr="006D5BAD">
              <w:rPr>
                <w:sz w:val="20"/>
                <w:szCs w:val="20"/>
              </w:rPr>
              <w:t>653</w:t>
            </w:r>
          </w:p>
        </w:tc>
        <w:tc>
          <w:tcPr>
            <w:tcW w:w="717" w:type="dxa"/>
          </w:tcPr>
          <w:p w14:paraId="4F703E0B" w14:textId="5CE045A3" w:rsidR="006D5BAD" w:rsidRPr="00E8076B" w:rsidRDefault="006D5BAD" w:rsidP="006D5BAD">
            <w:pPr>
              <w:spacing w:after="160"/>
              <w:rPr>
                <w:sz w:val="20"/>
                <w:szCs w:val="22"/>
              </w:rPr>
            </w:pPr>
            <w:r w:rsidRPr="006D5BAD">
              <w:rPr>
                <w:sz w:val="20"/>
                <w:szCs w:val="20"/>
              </w:rPr>
              <w:t>661</w:t>
            </w:r>
          </w:p>
        </w:tc>
        <w:tc>
          <w:tcPr>
            <w:tcW w:w="717" w:type="dxa"/>
          </w:tcPr>
          <w:p w14:paraId="20091BCB" w14:textId="4E26764A" w:rsidR="006D5BAD" w:rsidRPr="00E8076B" w:rsidRDefault="006D5BAD" w:rsidP="006D5BAD">
            <w:pPr>
              <w:spacing w:after="160"/>
              <w:rPr>
                <w:sz w:val="20"/>
                <w:szCs w:val="22"/>
              </w:rPr>
            </w:pPr>
            <w:r w:rsidRPr="006D5BAD">
              <w:rPr>
                <w:sz w:val="20"/>
                <w:szCs w:val="20"/>
              </w:rPr>
              <w:t>669</w:t>
            </w:r>
          </w:p>
        </w:tc>
        <w:tc>
          <w:tcPr>
            <w:tcW w:w="717" w:type="dxa"/>
          </w:tcPr>
          <w:p w14:paraId="187BEE86" w14:textId="73AA7CDB" w:rsidR="006D5BAD" w:rsidRPr="00E8076B" w:rsidRDefault="006D5BAD" w:rsidP="006D5BAD">
            <w:pPr>
              <w:spacing w:after="160"/>
              <w:rPr>
                <w:sz w:val="20"/>
                <w:szCs w:val="22"/>
              </w:rPr>
            </w:pPr>
            <w:r w:rsidRPr="006D5BAD">
              <w:rPr>
                <w:sz w:val="20"/>
                <w:szCs w:val="20"/>
              </w:rPr>
              <w:t>677</w:t>
            </w:r>
          </w:p>
        </w:tc>
        <w:tc>
          <w:tcPr>
            <w:tcW w:w="717" w:type="dxa"/>
          </w:tcPr>
          <w:p w14:paraId="657A51DC" w14:textId="56A59ED1" w:rsidR="006D5BAD" w:rsidRPr="00E8076B" w:rsidRDefault="006D5BAD" w:rsidP="006D5BAD">
            <w:pPr>
              <w:spacing w:after="160"/>
              <w:rPr>
                <w:sz w:val="20"/>
                <w:szCs w:val="22"/>
              </w:rPr>
            </w:pPr>
            <w:r w:rsidRPr="006D5BAD">
              <w:rPr>
                <w:sz w:val="20"/>
                <w:szCs w:val="20"/>
              </w:rPr>
              <w:t>685</w:t>
            </w:r>
          </w:p>
        </w:tc>
        <w:tc>
          <w:tcPr>
            <w:tcW w:w="823" w:type="dxa"/>
          </w:tcPr>
          <w:p w14:paraId="20A35431" w14:textId="2DCD8A6F" w:rsidR="006D5BAD" w:rsidRPr="00E8076B" w:rsidRDefault="006D5BAD" w:rsidP="006D5BAD">
            <w:pPr>
              <w:spacing w:after="160"/>
              <w:rPr>
                <w:sz w:val="20"/>
                <w:szCs w:val="22"/>
              </w:rPr>
            </w:pPr>
            <w:r w:rsidRPr="006D5BAD">
              <w:rPr>
                <w:sz w:val="20"/>
                <w:szCs w:val="20"/>
              </w:rPr>
              <w:t>694</w:t>
            </w:r>
          </w:p>
        </w:tc>
      </w:tr>
      <w:tr w:rsidR="00E843CB" w:rsidRPr="000B2640" w14:paraId="66D70F88" w14:textId="77777777" w:rsidTr="00997935">
        <w:trPr>
          <w:trHeight w:val="460"/>
        </w:trPr>
        <w:tc>
          <w:tcPr>
            <w:tcW w:w="1584" w:type="dxa"/>
            <w:shd w:val="clear" w:color="auto" w:fill="DAE3F8" w:themeFill="accent1" w:themeFillTint="33"/>
          </w:tcPr>
          <w:p w14:paraId="507E17B5" w14:textId="77777777" w:rsidR="006D5BAD" w:rsidRPr="00E8076B" w:rsidRDefault="006D5BAD" w:rsidP="006D5BAD">
            <w:pPr>
              <w:spacing w:after="160"/>
              <w:rPr>
                <w:b/>
                <w:bCs/>
                <w:sz w:val="20"/>
                <w:szCs w:val="22"/>
              </w:rPr>
            </w:pPr>
            <w:r w:rsidRPr="00E8076B">
              <w:rPr>
                <w:b/>
                <w:bCs/>
                <w:sz w:val="20"/>
                <w:szCs w:val="22"/>
              </w:rPr>
              <w:t>RCS</w:t>
            </w:r>
            <w:r w:rsidRPr="00E8076B">
              <w:rPr>
                <w:b/>
                <w:bCs/>
                <w:sz w:val="20"/>
                <w:szCs w:val="22"/>
                <w:vertAlign w:val="superscript"/>
              </w:rPr>
              <w:footnoteReference w:id="336"/>
            </w:r>
            <w:r w:rsidRPr="00E8076B">
              <w:rPr>
                <w:b/>
                <w:bCs/>
                <w:sz w:val="20"/>
                <w:szCs w:val="22"/>
              </w:rPr>
              <w:t xml:space="preserve"> (excluding mining)</w:t>
            </w:r>
          </w:p>
        </w:tc>
        <w:tc>
          <w:tcPr>
            <w:tcW w:w="717" w:type="dxa"/>
            <w:shd w:val="clear" w:color="auto" w:fill="DAE3F8" w:themeFill="accent1" w:themeFillTint="33"/>
          </w:tcPr>
          <w:p w14:paraId="10606767" w14:textId="5A7C3993" w:rsidR="006D5BAD" w:rsidRPr="00E8076B" w:rsidRDefault="006D5BAD" w:rsidP="006D5BAD">
            <w:pPr>
              <w:spacing w:after="160"/>
              <w:rPr>
                <w:sz w:val="20"/>
                <w:szCs w:val="22"/>
              </w:rPr>
            </w:pPr>
            <w:r w:rsidRPr="006D5BAD">
              <w:rPr>
                <w:sz w:val="20"/>
                <w:szCs w:val="20"/>
              </w:rPr>
              <w:t>1,208</w:t>
            </w:r>
          </w:p>
        </w:tc>
        <w:tc>
          <w:tcPr>
            <w:tcW w:w="717" w:type="dxa"/>
            <w:shd w:val="clear" w:color="auto" w:fill="DAE3F8" w:themeFill="accent1" w:themeFillTint="33"/>
          </w:tcPr>
          <w:p w14:paraId="5D6B9C6E" w14:textId="5B7248CD" w:rsidR="006D5BAD" w:rsidRPr="00E8076B" w:rsidRDefault="006D5BAD" w:rsidP="006D5BAD">
            <w:pPr>
              <w:spacing w:after="160"/>
              <w:rPr>
                <w:sz w:val="20"/>
                <w:szCs w:val="22"/>
              </w:rPr>
            </w:pPr>
            <w:r w:rsidRPr="006D5BAD">
              <w:rPr>
                <w:sz w:val="20"/>
                <w:szCs w:val="20"/>
              </w:rPr>
              <w:t>1,235</w:t>
            </w:r>
          </w:p>
        </w:tc>
        <w:tc>
          <w:tcPr>
            <w:tcW w:w="717" w:type="dxa"/>
            <w:shd w:val="clear" w:color="auto" w:fill="DAE3F8" w:themeFill="accent1" w:themeFillTint="33"/>
          </w:tcPr>
          <w:p w14:paraId="045D02C7" w14:textId="776708DA" w:rsidR="006D5BAD" w:rsidRPr="00E8076B" w:rsidRDefault="006D5BAD" w:rsidP="006D5BAD">
            <w:pPr>
              <w:spacing w:after="160"/>
              <w:rPr>
                <w:sz w:val="20"/>
                <w:szCs w:val="22"/>
              </w:rPr>
            </w:pPr>
            <w:r w:rsidRPr="006D5BAD">
              <w:rPr>
                <w:sz w:val="20"/>
                <w:szCs w:val="20"/>
              </w:rPr>
              <w:t>1,263</w:t>
            </w:r>
          </w:p>
        </w:tc>
        <w:tc>
          <w:tcPr>
            <w:tcW w:w="717" w:type="dxa"/>
            <w:shd w:val="clear" w:color="auto" w:fill="DAE3F8" w:themeFill="accent1" w:themeFillTint="33"/>
          </w:tcPr>
          <w:p w14:paraId="7F404576" w14:textId="302AEAA5" w:rsidR="006D5BAD" w:rsidRPr="00E8076B" w:rsidRDefault="006D5BAD" w:rsidP="006D5BAD">
            <w:pPr>
              <w:spacing w:after="160"/>
              <w:rPr>
                <w:sz w:val="20"/>
                <w:szCs w:val="22"/>
              </w:rPr>
            </w:pPr>
            <w:r w:rsidRPr="006D5BAD">
              <w:rPr>
                <w:sz w:val="20"/>
                <w:szCs w:val="20"/>
              </w:rPr>
              <w:t>1,291</w:t>
            </w:r>
          </w:p>
        </w:tc>
        <w:tc>
          <w:tcPr>
            <w:tcW w:w="783" w:type="dxa"/>
            <w:shd w:val="clear" w:color="auto" w:fill="DAE3F8" w:themeFill="accent1" w:themeFillTint="33"/>
          </w:tcPr>
          <w:p w14:paraId="5FB5B068" w14:textId="3EAC59AB" w:rsidR="006D5BAD" w:rsidRPr="00E8076B" w:rsidRDefault="006D5BAD" w:rsidP="006D5BAD">
            <w:pPr>
              <w:spacing w:after="160"/>
              <w:rPr>
                <w:sz w:val="20"/>
                <w:szCs w:val="22"/>
              </w:rPr>
            </w:pPr>
            <w:r w:rsidRPr="006D5BAD">
              <w:rPr>
                <w:sz w:val="20"/>
                <w:szCs w:val="20"/>
              </w:rPr>
              <w:t>1,320</w:t>
            </w:r>
          </w:p>
        </w:tc>
        <w:tc>
          <w:tcPr>
            <w:tcW w:w="717" w:type="dxa"/>
            <w:shd w:val="clear" w:color="auto" w:fill="DAE3F8" w:themeFill="accent1" w:themeFillTint="33"/>
          </w:tcPr>
          <w:p w14:paraId="583D7F64" w14:textId="6D4E3503" w:rsidR="006D5BAD" w:rsidRPr="00E8076B" w:rsidRDefault="006D5BAD" w:rsidP="006D5BAD">
            <w:pPr>
              <w:spacing w:after="160"/>
              <w:rPr>
                <w:sz w:val="20"/>
                <w:szCs w:val="22"/>
              </w:rPr>
            </w:pPr>
            <w:r w:rsidRPr="006D5BAD">
              <w:rPr>
                <w:sz w:val="20"/>
                <w:szCs w:val="20"/>
              </w:rPr>
              <w:t>1,350</w:t>
            </w:r>
          </w:p>
        </w:tc>
        <w:tc>
          <w:tcPr>
            <w:tcW w:w="717" w:type="dxa"/>
            <w:shd w:val="clear" w:color="auto" w:fill="DAE3F8" w:themeFill="accent1" w:themeFillTint="33"/>
          </w:tcPr>
          <w:p w14:paraId="4A4CF199" w14:textId="3ACD0D6F" w:rsidR="006D5BAD" w:rsidRPr="00E8076B" w:rsidRDefault="006D5BAD" w:rsidP="006D5BAD">
            <w:pPr>
              <w:spacing w:after="160"/>
              <w:rPr>
                <w:sz w:val="20"/>
                <w:szCs w:val="22"/>
              </w:rPr>
            </w:pPr>
            <w:r w:rsidRPr="006D5BAD">
              <w:rPr>
                <w:sz w:val="20"/>
                <w:szCs w:val="20"/>
              </w:rPr>
              <w:t>1,380</w:t>
            </w:r>
          </w:p>
        </w:tc>
        <w:tc>
          <w:tcPr>
            <w:tcW w:w="717" w:type="dxa"/>
            <w:shd w:val="clear" w:color="auto" w:fill="DAE3F8" w:themeFill="accent1" w:themeFillTint="33"/>
          </w:tcPr>
          <w:p w14:paraId="04DD655C" w14:textId="17A35BA8" w:rsidR="006D5BAD" w:rsidRPr="00E8076B" w:rsidRDefault="006D5BAD" w:rsidP="006D5BAD">
            <w:pPr>
              <w:spacing w:after="160"/>
              <w:rPr>
                <w:sz w:val="20"/>
                <w:szCs w:val="22"/>
              </w:rPr>
            </w:pPr>
            <w:r w:rsidRPr="006D5BAD">
              <w:rPr>
                <w:sz w:val="20"/>
                <w:szCs w:val="20"/>
              </w:rPr>
              <w:t>1,411</w:t>
            </w:r>
          </w:p>
        </w:tc>
        <w:tc>
          <w:tcPr>
            <w:tcW w:w="717" w:type="dxa"/>
            <w:shd w:val="clear" w:color="auto" w:fill="DAE3F8" w:themeFill="accent1" w:themeFillTint="33"/>
          </w:tcPr>
          <w:p w14:paraId="3C8627AE" w14:textId="37F62608" w:rsidR="006D5BAD" w:rsidRPr="00E8076B" w:rsidRDefault="006D5BAD" w:rsidP="006D5BAD">
            <w:pPr>
              <w:spacing w:after="160"/>
              <w:rPr>
                <w:sz w:val="20"/>
                <w:szCs w:val="22"/>
              </w:rPr>
            </w:pPr>
            <w:r w:rsidRPr="006D5BAD">
              <w:rPr>
                <w:sz w:val="20"/>
                <w:szCs w:val="20"/>
              </w:rPr>
              <w:t>1,443</w:t>
            </w:r>
          </w:p>
        </w:tc>
        <w:tc>
          <w:tcPr>
            <w:tcW w:w="823" w:type="dxa"/>
            <w:shd w:val="clear" w:color="auto" w:fill="DAE3F8" w:themeFill="accent1" w:themeFillTint="33"/>
          </w:tcPr>
          <w:p w14:paraId="01AD0CF7" w14:textId="6D9903C9" w:rsidR="006D5BAD" w:rsidRPr="00E8076B" w:rsidRDefault="006D5BAD" w:rsidP="006D5BAD">
            <w:pPr>
              <w:spacing w:after="160"/>
              <w:rPr>
                <w:sz w:val="20"/>
                <w:szCs w:val="22"/>
              </w:rPr>
            </w:pPr>
            <w:r w:rsidRPr="006D5BAD">
              <w:rPr>
                <w:sz w:val="20"/>
                <w:szCs w:val="20"/>
              </w:rPr>
              <w:t>1,475</w:t>
            </w:r>
          </w:p>
        </w:tc>
      </w:tr>
      <w:tr w:rsidR="006D5BAD" w:rsidRPr="000B2640" w14:paraId="48B73262" w14:textId="77777777">
        <w:trPr>
          <w:trHeight w:val="460"/>
        </w:trPr>
        <w:tc>
          <w:tcPr>
            <w:tcW w:w="1584" w:type="dxa"/>
          </w:tcPr>
          <w:p w14:paraId="637BD043" w14:textId="77777777" w:rsidR="006D5BAD" w:rsidRPr="00E8076B" w:rsidRDefault="006D5BAD" w:rsidP="006D5BAD">
            <w:pPr>
              <w:spacing w:after="160"/>
              <w:rPr>
                <w:b/>
                <w:bCs/>
                <w:sz w:val="20"/>
                <w:szCs w:val="22"/>
              </w:rPr>
            </w:pPr>
            <w:r w:rsidRPr="00E8076B">
              <w:rPr>
                <w:b/>
                <w:bCs/>
                <w:sz w:val="20"/>
                <w:szCs w:val="22"/>
              </w:rPr>
              <w:t>RCS (mining only)</w:t>
            </w:r>
          </w:p>
        </w:tc>
        <w:tc>
          <w:tcPr>
            <w:tcW w:w="717" w:type="dxa"/>
          </w:tcPr>
          <w:p w14:paraId="1FF194DA" w14:textId="5483E443" w:rsidR="006D5BAD" w:rsidRPr="00E8076B" w:rsidRDefault="006D5BAD" w:rsidP="006D5BAD">
            <w:pPr>
              <w:spacing w:after="160"/>
              <w:rPr>
                <w:sz w:val="20"/>
                <w:szCs w:val="22"/>
              </w:rPr>
            </w:pPr>
            <w:r w:rsidRPr="006D5BAD">
              <w:rPr>
                <w:sz w:val="20"/>
                <w:szCs w:val="20"/>
              </w:rPr>
              <w:t>315</w:t>
            </w:r>
          </w:p>
        </w:tc>
        <w:tc>
          <w:tcPr>
            <w:tcW w:w="717" w:type="dxa"/>
          </w:tcPr>
          <w:p w14:paraId="11E82200" w14:textId="1329A683" w:rsidR="006D5BAD" w:rsidRPr="00E8076B" w:rsidRDefault="006D5BAD" w:rsidP="006D5BAD">
            <w:pPr>
              <w:spacing w:after="160"/>
              <w:rPr>
                <w:sz w:val="20"/>
                <w:szCs w:val="22"/>
              </w:rPr>
            </w:pPr>
            <w:r w:rsidRPr="006D5BAD">
              <w:rPr>
                <w:sz w:val="20"/>
                <w:szCs w:val="20"/>
              </w:rPr>
              <w:t>318</w:t>
            </w:r>
          </w:p>
        </w:tc>
        <w:tc>
          <w:tcPr>
            <w:tcW w:w="717" w:type="dxa"/>
          </w:tcPr>
          <w:p w14:paraId="116D1353" w14:textId="32BC17C7" w:rsidR="006D5BAD" w:rsidRPr="00E8076B" w:rsidRDefault="006D5BAD" w:rsidP="006D5BAD">
            <w:pPr>
              <w:spacing w:after="160"/>
              <w:rPr>
                <w:sz w:val="20"/>
                <w:szCs w:val="22"/>
              </w:rPr>
            </w:pPr>
            <w:r w:rsidRPr="006D5BAD">
              <w:rPr>
                <w:sz w:val="20"/>
                <w:szCs w:val="20"/>
              </w:rPr>
              <w:t>320</w:t>
            </w:r>
          </w:p>
        </w:tc>
        <w:tc>
          <w:tcPr>
            <w:tcW w:w="717" w:type="dxa"/>
          </w:tcPr>
          <w:p w14:paraId="208B08E8" w14:textId="615954BE" w:rsidR="006D5BAD" w:rsidRPr="00E8076B" w:rsidRDefault="006D5BAD" w:rsidP="006D5BAD">
            <w:pPr>
              <w:spacing w:after="160"/>
              <w:rPr>
                <w:sz w:val="20"/>
                <w:szCs w:val="22"/>
              </w:rPr>
            </w:pPr>
            <w:r w:rsidRPr="006D5BAD">
              <w:rPr>
                <w:sz w:val="20"/>
                <w:szCs w:val="20"/>
              </w:rPr>
              <w:t>322</w:t>
            </w:r>
          </w:p>
        </w:tc>
        <w:tc>
          <w:tcPr>
            <w:tcW w:w="783" w:type="dxa"/>
          </w:tcPr>
          <w:p w14:paraId="10E17723" w14:textId="64F53298" w:rsidR="006D5BAD" w:rsidRPr="00E8076B" w:rsidRDefault="006D5BAD" w:rsidP="006D5BAD">
            <w:pPr>
              <w:spacing w:after="160"/>
              <w:rPr>
                <w:sz w:val="20"/>
                <w:szCs w:val="22"/>
              </w:rPr>
            </w:pPr>
            <w:r w:rsidRPr="006D5BAD">
              <w:rPr>
                <w:sz w:val="20"/>
                <w:szCs w:val="20"/>
              </w:rPr>
              <w:t>324</w:t>
            </w:r>
          </w:p>
        </w:tc>
        <w:tc>
          <w:tcPr>
            <w:tcW w:w="717" w:type="dxa"/>
          </w:tcPr>
          <w:p w14:paraId="34A43ECD" w14:textId="251E6920" w:rsidR="006D5BAD" w:rsidRPr="00E8076B" w:rsidRDefault="006D5BAD" w:rsidP="006D5BAD">
            <w:pPr>
              <w:spacing w:after="160"/>
              <w:rPr>
                <w:sz w:val="20"/>
                <w:szCs w:val="22"/>
              </w:rPr>
            </w:pPr>
            <w:r w:rsidRPr="006D5BAD">
              <w:rPr>
                <w:sz w:val="20"/>
                <w:szCs w:val="20"/>
              </w:rPr>
              <w:t>327</w:t>
            </w:r>
          </w:p>
        </w:tc>
        <w:tc>
          <w:tcPr>
            <w:tcW w:w="717" w:type="dxa"/>
          </w:tcPr>
          <w:p w14:paraId="1C0A0415" w14:textId="17D7C897" w:rsidR="006D5BAD" w:rsidRPr="00E8076B" w:rsidRDefault="006D5BAD" w:rsidP="006D5BAD">
            <w:pPr>
              <w:spacing w:after="160"/>
              <w:rPr>
                <w:sz w:val="20"/>
                <w:szCs w:val="22"/>
              </w:rPr>
            </w:pPr>
            <w:r w:rsidRPr="006D5BAD">
              <w:rPr>
                <w:sz w:val="20"/>
                <w:szCs w:val="20"/>
              </w:rPr>
              <w:t>329</w:t>
            </w:r>
          </w:p>
        </w:tc>
        <w:tc>
          <w:tcPr>
            <w:tcW w:w="717" w:type="dxa"/>
          </w:tcPr>
          <w:p w14:paraId="474B69A7" w14:textId="3509F321" w:rsidR="006D5BAD" w:rsidRPr="00E8076B" w:rsidRDefault="006D5BAD" w:rsidP="006D5BAD">
            <w:pPr>
              <w:spacing w:after="160"/>
              <w:rPr>
                <w:sz w:val="20"/>
                <w:szCs w:val="22"/>
              </w:rPr>
            </w:pPr>
            <w:r w:rsidRPr="006D5BAD">
              <w:rPr>
                <w:sz w:val="20"/>
                <w:szCs w:val="20"/>
              </w:rPr>
              <w:t>331</w:t>
            </w:r>
          </w:p>
        </w:tc>
        <w:tc>
          <w:tcPr>
            <w:tcW w:w="717" w:type="dxa"/>
          </w:tcPr>
          <w:p w14:paraId="33210535" w14:textId="4694AE76" w:rsidR="006D5BAD" w:rsidRPr="00E8076B" w:rsidRDefault="006D5BAD" w:rsidP="006D5BAD">
            <w:pPr>
              <w:spacing w:after="160"/>
              <w:rPr>
                <w:sz w:val="20"/>
                <w:szCs w:val="22"/>
              </w:rPr>
            </w:pPr>
            <w:r w:rsidRPr="006D5BAD">
              <w:rPr>
                <w:sz w:val="20"/>
                <w:szCs w:val="20"/>
              </w:rPr>
              <w:t>334</w:t>
            </w:r>
          </w:p>
        </w:tc>
        <w:tc>
          <w:tcPr>
            <w:tcW w:w="823" w:type="dxa"/>
          </w:tcPr>
          <w:p w14:paraId="14D19E6B" w14:textId="3A80D689" w:rsidR="006D5BAD" w:rsidRPr="00E8076B" w:rsidRDefault="006D5BAD" w:rsidP="006D5BAD">
            <w:pPr>
              <w:spacing w:after="160"/>
              <w:rPr>
                <w:sz w:val="20"/>
                <w:szCs w:val="22"/>
              </w:rPr>
            </w:pPr>
            <w:r w:rsidRPr="006D5BAD">
              <w:rPr>
                <w:sz w:val="20"/>
                <w:szCs w:val="20"/>
              </w:rPr>
              <w:t>336</w:t>
            </w:r>
          </w:p>
        </w:tc>
      </w:tr>
      <w:tr w:rsidR="00E843CB" w:rsidRPr="000B2640" w14:paraId="6AC4086E" w14:textId="77777777" w:rsidTr="00997935">
        <w:trPr>
          <w:trHeight w:val="426"/>
        </w:trPr>
        <w:tc>
          <w:tcPr>
            <w:tcW w:w="1584" w:type="dxa"/>
            <w:shd w:val="clear" w:color="auto" w:fill="DAE3F8" w:themeFill="accent1" w:themeFillTint="33"/>
          </w:tcPr>
          <w:p w14:paraId="3714A654" w14:textId="77777777" w:rsidR="006D5BAD" w:rsidRPr="00E8076B" w:rsidRDefault="006D5BAD" w:rsidP="006D5BAD">
            <w:pPr>
              <w:spacing w:after="160"/>
              <w:rPr>
                <w:b/>
                <w:bCs/>
                <w:sz w:val="20"/>
                <w:szCs w:val="22"/>
              </w:rPr>
            </w:pPr>
            <w:r w:rsidRPr="00E8076B">
              <w:rPr>
                <w:b/>
                <w:bCs/>
                <w:sz w:val="20"/>
                <w:szCs w:val="22"/>
              </w:rPr>
              <w:t>Titanium dioxide</w:t>
            </w:r>
          </w:p>
        </w:tc>
        <w:tc>
          <w:tcPr>
            <w:tcW w:w="717" w:type="dxa"/>
            <w:shd w:val="clear" w:color="auto" w:fill="DAE3F8" w:themeFill="accent1" w:themeFillTint="33"/>
          </w:tcPr>
          <w:p w14:paraId="2E3DBE5B" w14:textId="05E2B234" w:rsidR="006D5BAD" w:rsidRPr="00E8076B" w:rsidRDefault="006D5BAD" w:rsidP="006D5BAD">
            <w:pPr>
              <w:spacing w:after="160"/>
              <w:rPr>
                <w:sz w:val="20"/>
                <w:szCs w:val="22"/>
              </w:rPr>
            </w:pPr>
            <w:r w:rsidRPr="006D5BAD">
              <w:rPr>
                <w:sz w:val="20"/>
                <w:szCs w:val="20"/>
              </w:rPr>
              <w:t>5</w:t>
            </w:r>
          </w:p>
        </w:tc>
        <w:tc>
          <w:tcPr>
            <w:tcW w:w="717" w:type="dxa"/>
            <w:shd w:val="clear" w:color="auto" w:fill="DAE3F8" w:themeFill="accent1" w:themeFillTint="33"/>
          </w:tcPr>
          <w:p w14:paraId="11BC7ABC" w14:textId="225EB50E" w:rsidR="006D5BAD" w:rsidRPr="00E8076B" w:rsidRDefault="006D5BAD" w:rsidP="006D5BAD">
            <w:pPr>
              <w:spacing w:after="160"/>
              <w:rPr>
                <w:sz w:val="20"/>
                <w:szCs w:val="22"/>
              </w:rPr>
            </w:pPr>
            <w:r w:rsidRPr="006D5BAD">
              <w:rPr>
                <w:sz w:val="20"/>
                <w:szCs w:val="20"/>
              </w:rPr>
              <w:t>5</w:t>
            </w:r>
          </w:p>
        </w:tc>
        <w:tc>
          <w:tcPr>
            <w:tcW w:w="717" w:type="dxa"/>
            <w:shd w:val="clear" w:color="auto" w:fill="DAE3F8" w:themeFill="accent1" w:themeFillTint="33"/>
          </w:tcPr>
          <w:p w14:paraId="06BD3154" w14:textId="159FA903" w:rsidR="006D5BAD" w:rsidRPr="00E8076B" w:rsidRDefault="006D5BAD" w:rsidP="006D5BAD">
            <w:pPr>
              <w:spacing w:after="160"/>
              <w:rPr>
                <w:sz w:val="20"/>
                <w:szCs w:val="22"/>
              </w:rPr>
            </w:pPr>
            <w:bookmarkStart w:id="665" w:name="_Ref177414511"/>
            <w:r w:rsidRPr="006D5BAD">
              <w:rPr>
                <w:sz w:val="20"/>
                <w:szCs w:val="20"/>
              </w:rPr>
              <w:t>5</w:t>
            </w:r>
            <w:bookmarkEnd w:id="665"/>
          </w:p>
        </w:tc>
        <w:tc>
          <w:tcPr>
            <w:tcW w:w="717" w:type="dxa"/>
            <w:shd w:val="clear" w:color="auto" w:fill="DAE3F8" w:themeFill="accent1" w:themeFillTint="33"/>
          </w:tcPr>
          <w:p w14:paraId="231A0B61" w14:textId="60499C8D" w:rsidR="006D5BAD" w:rsidRPr="00E8076B" w:rsidRDefault="006D5BAD" w:rsidP="006D5BAD">
            <w:pPr>
              <w:spacing w:after="160"/>
              <w:rPr>
                <w:sz w:val="20"/>
                <w:szCs w:val="22"/>
              </w:rPr>
            </w:pPr>
            <w:bookmarkStart w:id="666" w:name="_Ref177414505"/>
            <w:r w:rsidRPr="006D5BAD">
              <w:rPr>
                <w:sz w:val="20"/>
                <w:szCs w:val="20"/>
              </w:rPr>
              <w:t>5</w:t>
            </w:r>
            <w:bookmarkEnd w:id="666"/>
          </w:p>
        </w:tc>
        <w:tc>
          <w:tcPr>
            <w:tcW w:w="783" w:type="dxa"/>
            <w:shd w:val="clear" w:color="auto" w:fill="DAE3F8" w:themeFill="accent1" w:themeFillTint="33"/>
          </w:tcPr>
          <w:p w14:paraId="393353FE" w14:textId="464A2BAC" w:rsidR="006D5BAD" w:rsidRPr="00E8076B" w:rsidRDefault="006D5BAD" w:rsidP="006D5BAD">
            <w:pPr>
              <w:spacing w:after="160"/>
              <w:rPr>
                <w:sz w:val="20"/>
                <w:szCs w:val="22"/>
              </w:rPr>
            </w:pPr>
            <w:bookmarkStart w:id="667" w:name="_Ref177414531"/>
            <w:r w:rsidRPr="006D5BAD">
              <w:rPr>
                <w:sz w:val="20"/>
                <w:szCs w:val="20"/>
              </w:rPr>
              <w:t>5</w:t>
            </w:r>
            <w:bookmarkEnd w:id="667"/>
          </w:p>
        </w:tc>
        <w:tc>
          <w:tcPr>
            <w:tcW w:w="717" w:type="dxa"/>
            <w:shd w:val="clear" w:color="auto" w:fill="DAE3F8" w:themeFill="accent1" w:themeFillTint="33"/>
          </w:tcPr>
          <w:p w14:paraId="012A0341" w14:textId="61318341" w:rsidR="006D5BAD" w:rsidRPr="00E8076B" w:rsidRDefault="006D5BAD" w:rsidP="006D5BAD">
            <w:pPr>
              <w:spacing w:after="160"/>
              <w:rPr>
                <w:sz w:val="20"/>
                <w:szCs w:val="22"/>
              </w:rPr>
            </w:pPr>
            <w:r w:rsidRPr="006D5BAD">
              <w:rPr>
                <w:sz w:val="20"/>
                <w:szCs w:val="20"/>
              </w:rPr>
              <w:t>5</w:t>
            </w:r>
          </w:p>
        </w:tc>
        <w:tc>
          <w:tcPr>
            <w:tcW w:w="717" w:type="dxa"/>
            <w:shd w:val="clear" w:color="auto" w:fill="DAE3F8" w:themeFill="accent1" w:themeFillTint="33"/>
          </w:tcPr>
          <w:p w14:paraId="43CB8F22" w14:textId="274D51AC" w:rsidR="006D5BAD" w:rsidRPr="00E8076B" w:rsidRDefault="006D5BAD" w:rsidP="006D5BAD">
            <w:pPr>
              <w:spacing w:after="160"/>
              <w:rPr>
                <w:sz w:val="20"/>
                <w:szCs w:val="22"/>
              </w:rPr>
            </w:pPr>
            <w:r w:rsidRPr="006D5BAD">
              <w:rPr>
                <w:sz w:val="20"/>
                <w:szCs w:val="20"/>
              </w:rPr>
              <w:t>5</w:t>
            </w:r>
          </w:p>
        </w:tc>
        <w:tc>
          <w:tcPr>
            <w:tcW w:w="717" w:type="dxa"/>
            <w:shd w:val="clear" w:color="auto" w:fill="DAE3F8" w:themeFill="accent1" w:themeFillTint="33"/>
          </w:tcPr>
          <w:p w14:paraId="733EDFDE" w14:textId="445AEDF2" w:rsidR="006D5BAD" w:rsidRPr="00E8076B" w:rsidRDefault="006D5BAD" w:rsidP="006D5BAD">
            <w:pPr>
              <w:spacing w:after="160"/>
              <w:rPr>
                <w:sz w:val="20"/>
                <w:szCs w:val="22"/>
              </w:rPr>
            </w:pPr>
            <w:r w:rsidRPr="006D5BAD">
              <w:rPr>
                <w:sz w:val="20"/>
                <w:szCs w:val="20"/>
              </w:rPr>
              <w:t>5</w:t>
            </w:r>
          </w:p>
        </w:tc>
        <w:tc>
          <w:tcPr>
            <w:tcW w:w="717" w:type="dxa"/>
            <w:shd w:val="clear" w:color="auto" w:fill="DAE3F8" w:themeFill="accent1" w:themeFillTint="33"/>
          </w:tcPr>
          <w:p w14:paraId="4E1F4F1E" w14:textId="0FD4DF03" w:rsidR="006D5BAD" w:rsidRPr="00E8076B" w:rsidRDefault="006D5BAD" w:rsidP="006D5BAD">
            <w:pPr>
              <w:spacing w:after="160"/>
              <w:rPr>
                <w:sz w:val="20"/>
                <w:szCs w:val="22"/>
              </w:rPr>
            </w:pPr>
            <w:r w:rsidRPr="006D5BAD">
              <w:rPr>
                <w:sz w:val="20"/>
                <w:szCs w:val="20"/>
              </w:rPr>
              <w:t>4</w:t>
            </w:r>
          </w:p>
        </w:tc>
        <w:tc>
          <w:tcPr>
            <w:tcW w:w="823" w:type="dxa"/>
            <w:shd w:val="clear" w:color="auto" w:fill="DAE3F8" w:themeFill="accent1" w:themeFillTint="33"/>
          </w:tcPr>
          <w:p w14:paraId="222B1B53" w14:textId="616CC633" w:rsidR="006D5BAD" w:rsidRPr="00E8076B" w:rsidRDefault="006D5BAD" w:rsidP="006D5BAD">
            <w:pPr>
              <w:spacing w:after="160"/>
              <w:rPr>
                <w:sz w:val="20"/>
                <w:szCs w:val="22"/>
              </w:rPr>
            </w:pPr>
            <w:r w:rsidRPr="006D5BAD">
              <w:rPr>
                <w:sz w:val="20"/>
                <w:szCs w:val="20"/>
              </w:rPr>
              <w:t>4</w:t>
            </w:r>
          </w:p>
        </w:tc>
      </w:tr>
    </w:tbl>
    <w:p w14:paraId="225DFA67" w14:textId="77777777" w:rsidR="00143287" w:rsidRPr="00143287" w:rsidRDefault="00143287" w:rsidP="00E94FE1">
      <w:pPr>
        <w:spacing w:before="240"/>
        <w:contextualSpacing w:val="0"/>
        <w:rPr>
          <w:b/>
          <w:bCs/>
        </w:rPr>
      </w:pPr>
      <w:r w:rsidRPr="00143287">
        <w:rPr>
          <w:b/>
          <w:bCs/>
        </w:rPr>
        <w:t>The estimated number of workers affected by the proposed WEL for RCS reflects a broader scope of analysis than previous Decision RISs</w:t>
      </w:r>
    </w:p>
    <w:p w14:paraId="0A5C048F" w14:textId="77777777" w:rsidR="00143287" w:rsidRPr="00993B73" w:rsidRDefault="00143287" w:rsidP="00143287">
      <w:r w:rsidRPr="00993B73">
        <w:t xml:space="preserve">This analysis projects the number of workers affected by the proposed WEL for RCS as around </w:t>
      </w:r>
      <w:r>
        <w:t>1.52</w:t>
      </w:r>
      <w:r w:rsidRPr="00993B73">
        <w:t xml:space="preserve"> million in FY27. This estimate differs to figures reported in the two previous Decision RISs related to RCS due to differences in scopes of analysis, specifically:</w:t>
      </w:r>
    </w:p>
    <w:p w14:paraId="07278BD7" w14:textId="6006E421" w:rsidR="00143287" w:rsidRPr="00993B73" w:rsidRDefault="00DE41EC" w:rsidP="00A2768E">
      <w:pPr>
        <w:pStyle w:val="ListParagraph"/>
        <w:numPr>
          <w:ilvl w:val="0"/>
          <w:numId w:val="108"/>
        </w:numPr>
        <w:suppressAutoHyphens/>
        <w:spacing w:line="259" w:lineRule="auto"/>
        <w:contextualSpacing w:val="0"/>
      </w:pPr>
      <w:r>
        <w:t xml:space="preserve">The </w:t>
      </w:r>
      <w:r w:rsidR="00AB7E32" w:rsidRPr="00AB7E32">
        <w:t>RCS Decision RIS</w:t>
      </w:r>
      <w:r>
        <w:rPr>
          <w:i/>
          <w:iCs/>
        </w:rPr>
        <w:t xml:space="preserve"> </w:t>
      </w:r>
      <w:r w:rsidR="00143287" w:rsidRPr="00993B73">
        <w:t>estimated that up to 1.45 million workers are employed in industries where there may be exposures to RCS in the workplace in 2021</w:t>
      </w:r>
      <w:r w:rsidR="009A0BB1">
        <w:t xml:space="preserve"> </w:t>
      </w:r>
      <w:sdt>
        <w:sdtPr>
          <w:id w:val="2021810899"/>
          <w:citation/>
        </w:sdtPr>
        <w:sdtEndPr/>
        <w:sdtContent>
          <w:r w:rsidR="00006CC5">
            <w:fldChar w:fldCharType="begin"/>
          </w:r>
          <w:r w:rsidR="00006CC5">
            <w:instrText xml:space="preserve"> CITATION Saf23 \l 3081 </w:instrText>
          </w:r>
          <w:r w:rsidR="00006CC5">
            <w:fldChar w:fldCharType="separate"/>
          </w:r>
          <w:r w:rsidR="00490B21">
            <w:rPr>
              <w:noProof/>
            </w:rPr>
            <w:t>(Safe Work Australia, 2023)</w:t>
          </w:r>
          <w:r w:rsidR="00006CC5">
            <w:fldChar w:fldCharType="end"/>
          </w:r>
        </w:sdtContent>
      </w:sdt>
      <w:r w:rsidR="00143287" w:rsidRPr="00993B73">
        <w:t>.</w:t>
      </w:r>
    </w:p>
    <w:p w14:paraId="132C58D4" w14:textId="3C969D32" w:rsidR="00143287" w:rsidRPr="00993B73" w:rsidRDefault="00800E9D" w:rsidP="00A2768E">
      <w:pPr>
        <w:pStyle w:val="ListParagraph"/>
        <w:numPr>
          <w:ilvl w:val="0"/>
          <w:numId w:val="108"/>
        </w:numPr>
        <w:suppressAutoHyphens/>
        <w:spacing w:line="259" w:lineRule="auto"/>
        <w:contextualSpacing w:val="0"/>
      </w:pPr>
      <w:r>
        <w:t xml:space="preserve">The </w:t>
      </w:r>
      <w:r w:rsidR="000B2BAA" w:rsidRPr="000B2BAA">
        <w:t>Engineered stoned Decision RIS</w:t>
      </w:r>
      <w:r w:rsidR="000B2BAA" w:rsidRPr="000B2BAA" w:rsidDel="000B2BAA">
        <w:rPr>
          <w:i/>
          <w:iCs/>
        </w:rPr>
        <w:t xml:space="preserve"> </w:t>
      </w:r>
      <w:r w:rsidR="00143287" w:rsidRPr="00993B73">
        <w:t>estimated that between 8,000 and 10,000 individuals work with engineered stone in Australia in 2019</w:t>
      </w:r>
      <w:r w:rsidR="00006CC5">
        <w:t xml:space="preserve"> </w:t>
      </w:r>
      <w:sdt>
        <w:sdtPr>
          <w:id w:val="1108924633"/>
          <w:citation/>
        </w:sdtPr>
        <w:sdtEndPr/>
        <w:sdtContent>
          <w:r w:rsidR="00B66A23">
            <w:fldChar w:fldCharType="begin"/>
          </w:r>
          <w:r w:rsidR="00B66A23">
            <w:instrText xml:space="preserve"> CITATION Saf231 \l 3081 </w:instrText>
          </w:r>
          <w:r w:rsidR="00B66A23">
            <w:fldChar w:fldCharType="separate"/>
          </w:r>
          <w:r w:rsidR="00490B21">
            <w:rPr>
              <w:noProof/>
            </w:rPr>
            <w:t>(Safe Work Australia, 2023)</w:t>
          </w:r>
          <w:r w:rsidR="00B66A23">
            <w:fldChar w:fldCharType="end"/>
          </w:r>
        </w:sdtContent>
      </w:sdt>
      <w:r w:rsidR="00143287" w:rsidRPr="00993B73">
        <w:t>.</w:t>
      </w:r>
    </w:p>
    <w:p w14:paraId="27586674" w14:textId="5EC9FA6C" w:rsidR="00143287" w:rsidRDefault="00143287" w:rsidP="00143287">
      <w:r w:rsidRPr="00993B73">
        <w:t>The estimated number of workers affected by the proposed WEL for RCS is broadly similar to the RCS Decision RIS (</w:t>
      </w:r>
      <w:r>
        <w:t>1.52</w:t>
      </w:r>
      <w:r w:rsidRPr="00993B73">
        <w:t xml:space="preserve"> million versus 1.45 million), primarily driven by the different years in which the figures represent. The RCS Decision RIS figure of 1.45 million is based </w:t>
      </w:r>
      <w:r w:rsidRPr="00993B73">
        <w:lastRenderedPageBreak/>
        <w:t xml:space="preserve">on ABS 2021 </w:t>
      </w:r>
      <w:r w:rsidR="004850EE">
        <w:t>L</w:t>
      </w:r>
      <w:r w:rsidRPr="00993B73">
        <w:t xml:space="preserve">abour </w:t>
      </w:r>
      <w:r w:rsidR="004850EE">
        <w:t>F</w:t>
      </w:r>
      <w:r w:rsidRPr="00993B73">
        <w:t xml:space="preserve">orce data, while this analysis’ figure of </w:t>
      </w:r>
      <w:r>
        <w:t>1.52</w:t>
      </w:r>
      <w:r w:rsidRPr="00993B73">
        <w:t xml:space="preserve"> million relates to FY27. The figure also reflects a broader range of industry sub-divisions as discussed previously</w:t>
      </w:r>
      <w:r>
        <w:t xml:space="preserve"> and includes Victorian workplaces that were excluded from the previous analysis as they have not adopted the model WHS laws</w:t>
      </w:r>
      <w:r w:rsidRPr="00993B73">
        <w:t>.</w:t>
      </w:r>
    </w:p>
    <w:p w14:paraId="22A1E3A1" w14:textId="5D03CF56" w:rsidR="00AE0F18" w:rsidRPr="00993B73" w:rsidRDefault="00AE0F18" w:rsidP="00B02EF1">
      <w:pPr>
        <w:pStyle w:val="SWAHeading2"/>
        <w:numPr>
          <w:ilvl w:val="0"/>
          <w:numId w:val="0"/>
        </w:numPr>
      </w:pPr>
      <w:bookmarkStart w:id="668" w:name="_Toc199184037"/>
      <w:bookmarkStart w:id="669" w:name="_Toc199361183"/>
      <w:bookmarkStart w:id="670" w:name="_Ref177637068"/>
      <w:bookmarkStart w:id="671" w:name="_Toc191647952"/>
      <w:bookmarkStart w:id="672" w:name="_Toc193867312"/>
      <w:bookmarkStart w:id="673" w:name="_Toc194003948"/>
      <w:bookmarkStart w:id="674" w:name="_Toc219216936"/>
      <w:r w:rsidRPr="00993B73">
        <w:t>Benefits of the proposed WEL</w:t>
      </w:r>
      <w:bookmarkEnd w:id="668"/>
      <w:bookmarkEnd w:id="669"/>
      <w:bookmarkEnd w:id="670"/>
      <w:bookmarkEnd w:id="671"/>
      <w:bookmarkEnd w:id="672"/>
      <w:bookmarkEnd w:id="673"/>
      <w:bookmarkEnd w:id="674"/>
    </w:p>
    <w:p w14:paraId="37A65934" w14:textId="77777777" w:rsidR="00AE0F18" w:rsidRPr="00993B73" w:rsidRDefault="00AE0F18" w:rsidP="00B02EF1">
      <w:pPr>
        <w:pStyle w:val="SWAHeading3"/>
      </w:pPr>
      <w:bookmarkStart w:id="675" w:name="_Ref185838258"/>
      <w:r w:rsidRPr="00993B73">
        <w:t>Benefits summary</w:t>
      </w:r>
      <w:bookmarkEnd w:id="675"/>
    </w:p>
    <w:p w14:paraId="03B8DED6" w14:textId="77777777" w:rsidR="00AE0F18" w:rsidRPr="00993B73" w:rsidRDefault="00AE0F18" w:rsidP="00AE0F18">
      <w:pPr>
        <w:rPr>
          <w:lang w:eastAsia="en-AU"/>
        </w:rPr>
      </w:pPr>
      <w:r w:rsidRPr="00993B73">
        <w:rPr>
          <w:lang w:eastAsia="en-AU"/>
        </w:rPr>
        <w:t>The benefits of the proposed WEL are split into three categories:</w:t>
      </w:r>
    </w:p>
    <w:p w14:paraId="66495B08" w14:textId="77777777" w:rsidR="00AE0F18" w:rsidRPr="00993B73" w:rsidRDefault="00AE0F18" w:rsidP="00A2768E">
      <w:pPr>
        <w:pStyle w:val="ListParagraph"/>
        <w:numPr>
          <w:ilvl w:val="0"/>
          <w:numId w:val="109"/>
        </w:numPr>
        <w:suppressAutoHyphens/>
        <w:spacing w:line="259" w:lineRule="auto"/>
        <w:contextualSpacing w:val="0"/>
      </w:pPr>
      <w:r w:rsidRPr="00B02EF1">
        <w:rPr>
          <w:rFonts w:asciiTheme="majorHAnsi" w:hAnsiTheme="majorHAnsi" w:cstheme="majorHAnsi"/>
          <w:b/>
          <w:bCs/>
        </w:rPr>
        <w:t>Direct financial benefits</w:t>
      </w:r>
      <w:r w:rsidRPr="00993B73">
        <w:rPr>
          <w:rFonts w:asciiTheme="majorHAnsi" w:hAnsiTheme="majorHAnsi" w:cstheme="majorHAnsi"/>
        </w:rPr>
        <w:t xml:space="preserve"> |</w:t>
      </w:r>
      <w:r w:rsidRPr="00993B73">
        <w:t xml:space="preserve"> The reduction </w:t>
      </w:r>
      <w:bookmarkStart w:id="676" w:name="_Hlk171535221"/>
      <w:r w:rsidRPr="00993B73">
        <w:t>in the direct financial costs of workers’ compensation and medical expenses due to occupational disease, attributable to reduced workplace exposure to the nine chemicals.</w:t>
      </w:r>
    </w:p>
    <w:bookmarkEnd w:id="676"/>
    <w:p w14:paraId="273630F4" w14:textId="77777777" w:rsidR="00AE0F18" w:rsidRPr="00993B73" w:rsidRDefault="00AE0F18" w:rsidP="00A2768E">
      <w:pPr>
        <w:pStyle w:val="ListParagraph"/>
        <w:numPr>
          <w:ilvl w:val="0"/>
          <w:numId w:val="109"/>
        </w:numPr>
        <w:suppressAutoHyphens/>
        <w:spacing w:line="259" w:lineRule="auto"/>
        <w:contextualSpacing w:val="0"/>
      </w:pPr>
      <w:r w:rsidRPr="00B02EF1">
        <w:rPr>
          <w:rFonts w:asciiTheme="majorHAnsi" w:hAnsiTheme="majorHAnsi" w:cstheme="majorHAnsi"/>
          <w:b/>
          <w:bCs/>
        </w:rPr>
        <w:t>Improved health outcomes</w:t>
      </w:r>
      <w:r w:rsidRPr="00993B73">
        <w:rPr>
          <w:rFonts w:asciiTheme="majorHAnsi" w:hAnsiTheme="majorHAnsi" w:cstheme="majorHAnsi"/>
        </w:rPr>
        <w:t xml:space="preserve"> |</w:t>
      </w:r>
      <w:r w:rsidRPr="00993B73">
        <w:t xml:space="preserve"> The reduction in the burden of occupational disease, attributable to reduced workplace exposure to the nine chemicals.</w:t>
      </w:r>
    </w:p>
    <w:p w14:paraId="6500BB75" w14:textId="77777777" w:rsidR="00AE0F18" w:rsidRPr="00993B73" w:rsidRDefault="00AE0F18" w:rsidP="00A2768E">
      <w:pPr>
        <w:pStyle w:val="ListParagraph"/>
        <w:numPr>
          <w:ilvl w:val="0"/>
          <w:numId w:val="109"/>
        </w:numPr>
        <w:suppressAutoHyphens/>
        <w:spacing w:line="259" w:lineRule="auto"/>
        <w:contextualSpacing w:val="0"/>
      </w:pPr>
      <w:r w:rsidRPr="00B02EF1">
        <w:rPr>
          <w:rFonts w:asciiTheme="majorHAnsi" w:hAnsiTheme="majorHAnsi" w:cstheme="majorHAnsi"/>
          <w:b/>
          <w:bCs/>
        </w:rPr>
        <w:t>Indirect benefits</w:t>
      </w:r>
      <w:r w:rsidRPr="00993B73">
        <w:rPr>
          <w:rFonts w:asciiTheme="majorHAnsi" w:hAnsiTheme="majorHAnsi" w:cstheme="majorHAnsi"/>
        </w:rPr>
        <w:t xml:space="preserve"> |</w:t>
      </w:r>
      <w:r w:rsidRPr="00993B73">
        <w:t xml:space="preserve"> The reduction in the indirect impacts of occupational disease on workers, their family and friends, attributable to reduced workplace exposure to the nine chemicals.</w:t>
      </w:r>
    </w:p>
    <w:p w14:paraId="432C39AE" w14:textId="323C2845" w:rsidR="003977C3" w:rsidRDefault="00AE0F18" w:rsidP="00037BC7">
      <w:r w:rsidRPr="00993B73">
        <w:t>The individual benefits that are considered as part of this impact analysis, which fall under each of these three categories, are summarised in</w:t>
      </w:r>
      <w:r w:rsidR="003977C3">
        <w:t xml:space="preserve"> </w:t>
      </w:r>
      <w:r w:rsidR="00C01115">
        <w:fldChar w:fldCharType="begin"/>
      </w:r>
      <w:r w:rsidR="00C01115">
        <w:instrText xml:space="preserve"> REF _Ref216792440 \h </w:instrText>
      </w:r>
      <w:r w:rsidR="00C01115">
        <w:fldChar w:fldCharType="separate"/>
      </w:r>
      <w:r w:rsidR="00A002F4">
        <w:t xml:space="preserve">Table </w:t>
      </w:r>
      <w:r w:rsidR="00A002F4">
        <w:rPr>
          <w:noProof/>
        </w:rPr>
        <w:t>50</w:t>
      </w:r>
      <w:r w:rsidR="00C01115">
        <w:fldChar w:fldCharType="end"/>
      </w:r>
      <w:r w:rsidRPr="00993B73">
        <w:t>.</w:t>
      </w:r>
    </w:p>
    <w:p w14:paraId="4A3C187B" w14:textId="44C52C6B" w:rsidR="00C01115" w:rsidRDefault="00C01115" w:rsidP="00037BC7">
      <w:pPr>
        <w:pStyle w:val="Caption"/>
      </w:pPr>
      <w:bookmarkStart w:id="677" w:name="_Ref216792440"/>
      <w:r>
        <w:t xml:space="preserve">Table </w:t>
      </w:r>
      <w:fldSimple w:instr=" SEQ Table \* ARABIC ">
        <w:r w:rsidR="00A002F4">
          <w:rPr>
            <w:noProof/>
          </w:rPr>
          <w:t>50</w:t>
        </w:r>
      </w:fldSimple>
      <w:bookmarkEnd w:id="677"/>
      <w:r>
        <w:t xml:space="preserve"> - </w:t>
      </w:r>
      <w:r w:rsidRPr="00FE5034">
        <w:t>Description of the benefits of the proposed WEL</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154D1D" w:rsidRPr="002A1131" w14:paraId="3BC66DE1" w14:textId="77777777" w:rsidTr="00A21D1E">
        <w:trPr>
          <w:trHeight w:val="285"/>
          <w:tblHeader/>
        </w:trPr>
        <w:tc>
          <w:tcPr>
            <w:tcW w:w="1980" w:type="dxa"/>
            <w:shd w:val="clear" w:color="auto" w:fill="4877E0" w:themeFill="accent1"/>
          </w:tcPr>
          <w:p w14:paraId="77E9399D" w14:textId="77777777" w:rsidR="00154D1D" w:rsidRPr="00A21D1E" w:rsidRDefault="00154D1D">
            <w:pPr>
              <w:widowControl w:val="0"/>
              <w:spacing w:after="0" w:line="240" w:lineRule="auto"/>
              <w:rPr>
                <w:rFonts w:eastAsia="Times New Roman" w:cs="Arial"/>
                <w:b/>
                <w:bCs/>
                <w:color w:val="FFFFFF" w:themeColor="background1"/>
                <w:lang w:eastAsia="en-AU"/>
              </w:rPr>
            </w:pPr>
            <w:r w:rsidRPr="00A21D1E">
              <w:rPr>
                <w:rFonts w:eastAsia="Times New Roman" w:cs="Arial"/>
                <w:b/>
                <w:bCs/>
                <w:color w:val="FFFFFF" w:themeColor="background1"/>
                <w:lang w:eastAsia="en-AU"/>
              </w:rPr>
              <w:t>Benefit</w:t>
            </w:r>
          </w:p>
        </w:tc>
        <w:tc>
          <w:tcPr>
            <w:tcW w:w="7438" w:type="dxa"/>
            <w:shd w:val="clear" w:color="auto" w:fill="4877E0" w:themeFill="accent1"/>
          </w:tcPr>
          <w:p w14:paraId="495422C3" w14:textId="77777777" w:rsidR="00154D1D" w:rsidRPr="00A21D1E" w:rsidRDefault="00154D1D">
            <w:pPr>
              <w:widowControl w:val="0"/>
              <w:spacing w:after="0" w:line="240" w:lineRule="auto"/>
              <w:rPr>
                <w:rFonts w:eastAsia="Times New Roman" w:cs="Arial"/>
                <w:b/>
                <w:bCs/>
                <w:color w:val="FFFFFF" w:themeColor="background1"/>
                <w:lang w:eastAsia="en-AU"/>
              </w:rPr>
            </w:pPr>
            <w:r w:rsidRPr="00A21D1E">
              <w:rPr>
                <w:rFonts w:eastAsia="Times New Roman" w:cs="Arial"/>
                <w:b/>
                <w:bCs/>
                <w:color w:val="FFFFFF" w:themeColor="background1"/>
                <w:lang w:eastAsia="en-AU"/>
              </w:rPr>
              <w:t xml:space="preserve">Description </w:t>
            </w:r>
          </w:p>
        </w:tc>
      </w:tr>
      <w:tr w:rsidR="00154D1D" w:rsidRPr="002A1131" w14:paraId="2314F5BE" w14:textId="77777777" w:rsidTr="002A36AF">
        <w:trPr>
          <w:trHeight w:val="265"/>
        </w:trPr>
        <w:tc>
          <w:tcPr>
            <w:tcW w:w="9418" w:type="dxa"/>
            <w:gridSpan w:val="2"/>
            <w:shd w:val="clear" w:color="auto" w:fill="91ACEC" w:themeFill="accent1" w:themeFillTint="99"/>
          </w:tcPr>
          <w:p w14:paraId="46721ED0" w14:textId="77777777" w:rsidR="00154D1D" w:rsidRPr="002A1131" w:rsidRDefault="00154D1D">
            <w:pPr>
              <w:rPr>
                <w:rFonts w:eastAsia="Arial" w:cs="Arial"/>
                <w:b/>
              </w:rPr>
            </w:pPr>
            <w:r w:rsidRPr="002A36AF">
              <w:rPr>
                <w:rFonts w:eastAsia="Arial" w:cs="Arial"/>
                <w:b/>
                <w:color w:val="FFFFFF" w:themeColor="background1"/>
              </w:rPr>
              <w:t xml:space="preserve">Direct </w:t>
            </w:r>
            <w:r w:rsidRPr="002A36AF">
              <w:rPr>
                <w:rFonts w:eastAsia="Arial" w:cs="Arial"/>
                <w:b/>
                <w:color w:val="FFFFFF" w:themeColor="background1"/>
                <w:shd w:val="clear" w:color="auto" w:fill="91ACEC" w:themeFill="accent1" w:themeFillTint="99"/>
              </w:rPr>
              <w:t>financial benefits</w:t>
            </w:r>
            <w:r w:rsidRPr="002A36AF">
              <w:rPr>
                <w:rFonts w:eastAsia="Arial" w:cs="Arial"/>
                <w:b/>
                <w:color w:val="FFFFFF" w:themeColor="background1"/>
              </w:rPr>
              <w:t xml:space="preserve"> </w:t>
            </w:r>
          </w:p>
        </w:tc>
      </w:tr>
      <w:tr w:rsidR="00154D1D" w:rsidRPr="002A1131" w14:paraId="7E8688AA" w14:textId="77777777">
        <w:trPr>
          <w:trHeight w:val="265"/>
        </w:trPr>
        <w:tc>
          <w:tcPr>
            <w:tcW w:w="1980" w:type="dxa"/>
          </w:tcPr>
          <w:p w14:paraId="76244E3D" w14:textId="77777777" w:rsidR="00154D1D" w:rsidRPr="002A1131" w:rsidRDefault="00154D1D">
            <w:pPr>
              <w:widowControl w:val="0"/>
              <w:spacing w:after="0" w:line="240" w:lineRule="auto"/>
              <w:rPr>
                <w:rFonts w:eastAsia="Times New Roman" w:cs="Arial"/>
                <w:b/>
                <w:bCs/>
                <w:szCs w:val="22"/>
                <w:lang w:eastAsia="en-AU"/>
              </w:rPr>
            </w:pPr>
            <w:r w:rsidRPr="0066781B">
              <w:rPr>
                <w:rFonts w:cs="Arial"/>
                <w:b/>
                <w:szCs w:val="22"/>
              </w:rPr>
              <w:t>Reduced direct compensation costs</w:t>
            </w:r>
          </w:p>
        </w:tc>
        <w:tc>
          <w:tcPr>
            <w:tcW w:w="7438" w:type="dxa"/>
          </w:tcPr>
          <w:p w14:paraId="23476F16" w14:textId="77777777" w:rsidR="00154D1D" w:rsidRDefault="00154D1D">
            <w:pPr>
              <w:contextualSpacing w:val="0"/>
              <w:rPr>
                <w:rFonts w:cs="Arial"/>
                <w:szCs w:val="22"/>
              </w:rPr>
            </w:pPr>
            <w:r w:rsidRPr="00885D52">
              <w:rPr>
                <w:rFonts w:cs="Arial"/>
                <w:szCs w:val="22"/>
              </w:rPr>
              <w:t>The reduction in compensation payments made directly to a worker or their family on account of permanent injury/disease, pain and suffering. This can include death benefits, impairment sums and/or weekly benefits.</w:t>
            </w:r>
          </w:p>
          <w:p w14:paraId="69DA80A7" w14:textId="50BF8BF5" w:rsidR="00354974" w:rsidRPr="002A1131" w:rsidRDefault="00354974">
            <w:pPr>
              <w:contextualSpacing w:val="0"/>
              <w:rPr>
                <w:rFonts w:eastAsia="Arial" w:cs="Arial"/>
                <w:szCs w:val="22"/>
                <w:lang w:eastAsia="en-AU"/>
              </w:rPr>
            </w:pPr>
            <w:r w:rsidRPr="00796E28">
              <w:t>This benefit was quantifi</w:t>
            </w:r>
            <w:r w:rsidR="00FF3931">
              <w:t>able</w:t>
            </w:r>
            <w:r w:rsidRPr="00796E28">
              <w:t xml:space="preserve"> for </w:t>
            </w:r>
            <w:r w:rsidR="0099784D">
              <w:t>4</w:t>
            </w:r>
            <w:r w:rsidRPr="00796E28">
              <w:t xml:space="preserve"> chemicals</w:t>
            </w:r>
            <w:r w:rsidR="0099784D">
              <w:t xml:space="preserve"> (</w:t>
            </w:r>
            <w:r w:rsidRPr="00796E28">
              <w:t>benzene, chlorine, hydrogen sul</w:t>
            </w:r>
            <w:r w:rsidR="00312B4B">
              <w:t>f</w:t>
            </w:r>
            <w:r w:rsidRPr="00796E28">
              <w:t>ide and RCS</w:t>
            </w:r>
            <w:r w:rsidR="0099784D">
              <w:t>)</w:t>
            </w:r>
            <w:r>
              <w:t xml:space="preserve"> where sufficient data was available</w:t>
            </w:r>
            <w:r w:rsidRPr="00796E28">
              <w:t>.</w:t>
            </w:r>
          </w:p>
        </w:tc>
      </w:tr>
      <w:tr w:rsidR="00154D1D" w:rsidRPr="00885D52" w14:paraId="55265A90" w14:textId="77777777" w:rsidTr="00A21D1E">
        <w:trPr>
          <w:trHeight w:val="265"/>
        </w:trPr>
        <w:tc>
          <w:tcPr>
            <w:tcW w:w="1980" w:type="dxa"/>
            <w:shd w:val="clear" w:color="auto" w:fill="DAE3F8" w:themeFill="accent1" w:themeFillTint="33"/>
          </w:tcPr>
          <w:p w14:paraId="0A35E795" w14:textId="77777777" w:rsidR="00154D1D" w:rsidRPr="00885D52" w:rsidRDefault="00154D1D">
            <w:pPr>
              <w:widowControl w:val="0"/>
              <w:spacing w:after="0" w:line="240" w:lineRule="auto"/>
              <w:rPr>
                <w:rFonts w:eastAsia="Times New Roman" w:cs="Arial"/>
                <w:b/>
                <w:bCs/>
                <w:szCs w:val="22"/>
                <w:lang w:eastAsia="en-AU"/>
              </w:rPr>
            </w:pPr>
            <w:r w:rsidRPr="0066781B">
              <w:rPr>
                <w:rFonts w:cs="Arial"/>
                <w:b/>
                <w:szCs w:val="22"/>
              </w:rPr>
              <w:t xml:space="preserve">Reduced Common Law costs </w:t>
            </w:r>
          </w:p>
        </w:tc>
        <w:tc>
          <w:tcPr>
            <w:tcW w:w="7438" w:type="dxa"/>
            <w:shd w:val="clear" w:color="auto" w:fill="DAE3F8" w:themeFill="accent1" w:themeFillTint="33"/>
          </w:tcPr>
          <w:p w14:paraId="1516409E" w14:textId="77777777" w:rsidR="00154D1D" w:rsidRDefault="00154D1D">
            <w:pPr>
              <w:contextualSpacing w:val="0"/>
              <w:rPr>
                <w:rFonts w:cs="Arial"/>
                <w:szCs w:val="22"/>
              </w:rPr>
            </w:pPr>
            <w:r w:rsidRPr="00885D52">
              <w:rPr>
                <w:rFonts w:cs="Arial"/>
                <w:szCs w:val="22"/>
              </w:rPr>
              <w:t>The reduction in total lump sum paid to a worker on account of economic loss (income replacement) and non-economic loss (excluding insurance and worker legal costs) under common law arrangements.</w:t>
            </w:r>
          </w:p>
          <w:p w14:paraId="5102027D" w14:textId="5F6909C6" w:rsidR="00154D1D" w:rsidRPr="00885D52" w:rsidRDefault="0099784D">
            <w:pPr>
              <w:contextualSpacing w:val="0"/>
              <w:rPr>
                <w:rFonts w:eastAsia="Arial" w:cs="Arial"/>
                <w:szCs w:val="22"/>
                <w:lang w:eastAsia="en-AU"/>
              </w:rPr>
            </w:pPr>
            <w:r w:rsidRPr="0099784D">
              <w:t>This benefit was quantifi</w:t>
            </w:r>
            <w:r w:rsidR="00FF3931">
              <w:t>able</w:t>
            </w:r>
            <w:r w:rsidRPr="0099784D">
              <w:t xml:space="preserve"> for 4 chemicals (benzene, chlorine, hydrogen sul</w:t>
            </w:r>
            <w:r w:rsidR="00312B4B">
              <w:t>f</w:t>
            </w:r>
            <w:r w:rsidRPr="0099784D">
              <w:t>ide and RCS) where sufficient data was available.</w:t>
            </w:r>
          </w:p>
        </w:tc>
      </w:tr>
      <w:tr w:rsidR="00154D1D" w:rsidRPr="00885D52" w14:paraId="319A1678" w14:textId="77777777">
        <w:trPr>
          <w:trHeight w:val="265"/>
        </w:trPr>
        <w:tc>
          <w:tcPr>
            <w:tcW w:w="1980" w:type="dxa"/>
          </w:tcPr>
          <w:p w14:paraId="3B6D2865" w14:textId="77777777" w:rsidR="00154D1D" w:rsidRPr="00885D52" w:rsidRDefault="00154D1D">
            <w:pPr>
              <w:widowControl w:val="0"/>
              <w:spacing w:after="0" w:line="240" w:lineRule="auto"/>
              <w:rPr>
                <w:rFonts w:eastAsia="Times New Roman" w:cs="Arial"/>
                <w:b/>
                <w:bCs/>
                <w:szCs w:val="22"/>
                <w:lang w:eastAsia="en-AU"/>
              </w:rPr>
            </w:pPr>
            <w:r w:rsidRPr="0066781B">
              <w:rPr>
                <w:rFonts w:cs="Arial"/>
                <w:b/>
                <w:szCs w:val="22"/>
              </w:rPr>
              <w:t>Reduced medical costs</w:t>
            </w:r>
          </w:p>
        </w:tc>
        <w:tc>
          <w:tcPr>
            <w:tcW w:w="7438" w:type="dxa"/>
          </w:tcPr>
          <w:p w14:paraId="526A3C33" w14:textId="77777777" w:rsidR="00154D1D" w:rsidRDefault="00154D1D">
            <w:pPr>
              <w:contextualSpacing w:val="0"/>
              <w:rPr>
                <w:rFonts w:cs="Arial"/>
                <w:szCs w:val="22"/>
              </w:rPr>
            </w:pPr>
            <w:r w:rsidRPr="00885D52">
              <w:rPr>
                <w:rFonts w:cs="Arial"/>
                <w:szCs w:val="22"/>
              </w:rPr>
              <w:t>The reduction in medical costs (including hospital, medical practitioner and allied health services) to support a worker to recover from occupational disease, attributable to reduced workplace exposure to airborne contaminants.</w:t>
            </w:r>
          </w:p>
          <w:p w14:paraId="65B37B9D" w14:textId="5BA8CD9D" w:rsidR="00154D1D" w:rsidRPr="00885D52" w:rsidRDefault="0099784D">
            <w:pPr>
              <w:contextualSpacing w:val="0"/>
              <w:rPr>
                <w:rFonts w:eastAsia="Arial" w:cs="Arial"/>
                <w:szCs w:val="22"/>
                <w:lang w:eastAsia="en-AU"/>
              </w:rPr>
            </w:pPr>
            <w:r w:rsidRPr="0099784D">
              <w:t>This benefit was quantifi</w:t>
            </w:r>
            <w:r w:rsidR="00FF3931">
              <w:t>able</w:t>
            </w:r>
            <w:r w:rsidRPr="0099784D">
              <w:t xml:space="preserve"> for 4 chemicals (benzene, chlorine, hydrogen sul</w:t>
            </w:r>
            <w:r w:rsidR="00312B4B">
              <w:t>f</w:t>
            </w:r>
            <w:r w:rsidRPr="0099784D">
              <w:t>ide and RCS) where sufficient data was available.</w:t>
            </w:r>
          </w:p>
        </w:tc>
      </w:tr>
      <w:tr w:rsidR="00154D1D" w:rsidRPr="00885D52" w14:paraId="62721CE4" w14:textId="77777777" w:rsidTr="00A21D1E">
        <w:trPr>
          <w:trHeight w:val="265"/>
        </w:trPr>
        <w:tc>
          <w:tcPr>
            <w:tcW w:w="1980" w:type="dxa"/>
            <w:shd w:val="clear" w:color="auto" w:fill="DAE3F8" w:themeFill="accent1" w:themeFillTint="33"/>
          </w:tcPr>
          <w:p w14:paraId="7F5CCAAA" w14:textId="77777777" w:rsidR="00154D1D" w:rsidRPr="00885D52" w:rsidRDefault="00154D1D">
            <w:pPr>
              <w:widowControl w:val="0"/>
              <w:spacing w:line="240" w:lineRule="auto"/>
              <w:contextualSpacing w:val="0"/>
              <w:rPr>
                <w:rFonts w:eastAsia="Times New Roman" w:cs="Arial"/>
                <w:b/>
                <w:bCs/>
                <w:szCs w:val="22"/>
                <w:lang w:eastAsia="en-AU"/>
              </w:rPr>
            </w:pPr>
            <w:r w:rsidRPr="0066781B">
              <w:rPr>
                <w:rFonts w:cs="Arial"/>
                <w:b/>
                <w:szCs w:val="22"/>
              </w:rPr>
              <w:t>Reduced supplementary costs</w:t>
            </w:r>
          </w:p>
        </w:tc>
        <w:tc>
          <w:tcPr>
            <w:tcW w:w="7438" w:type="dxa"/>
            <w:shd w:val="clear" w:color="auto" w:fill="DAE3F8" w:themeFill="accent1" w:themeFillTint="33"/>
          </w:tcPr>
          <w:p w14:paraId="12251060" w14:textId="77777777" w:rsidR="00154D1D" w:rsidRDefault="00154D1D">
            <w:pPr>
              <w:rPr>
                <w:rFonts w:cs="Arial"/>
                <w:szCs w:val="22"/>
              </w:rPr>
            </w:pPr>
            <w:r w:rsidRPr="00885D52">
              <w:rPr>
                <w:rFonts w:cs="Arial"/>
                <w:szCs w:val="22"/>
              </w:rPr>
              <w:t>The reduction in supplementary workers’ compensation claim costs, attributable to reduced workplace exposure to airborne contaminants.</w:t>
            </w:r>
          </w:p>
          <w:p w14:paraId="2675F16B" w14:textId="77777777" w:rsidR="0099784D" w:rsidRDefault="0099784D">
            <w:pPr>
              <w:rPr>
                <w:rFonts w:eastAsia="Arial" w:cs="Arial"/>
                <w:szCs w:val="22"/>
                <w:lang w:eastAsia="en-AU"/>
              </w:rPr>
            </w:pPr>
          </w:p>
          <w:p w14:paraId="25D7CA21" w14:textId="75E4F452" w:rsidR="00154D1D" w:rsidRPr="00885D52" w:rsidRDefault="0099784D">
            <w:pPr>
              <w:rPr>
                <w:rFonts w:eastAsia="Arial" w:cs="Arial"/>
                <w:szCs w:val="22"/>
                <w:lang w:eastAsia="en-AU"/>
              </w:rPr>
            </w:pPr>
            <w:r w:rsidRPr="0099784D">
              <w:t>This benefit was quantifi</w:t>
            </w:r>
            <w:r w:rsidR="00FF3931">
              <w:t>able</w:t>
            </w:r>
            <w:r w:rsidRPr="0099784D">
              <w:t xml:space="preserve"> for 4 chemicals (benzene, chlorine, hydrogen sul</w:t>
            </w:r>
            <w:r w:rsidR="00312B4B">
              <w:t>f</w:t>
            </w:r>
            <w:r w:rsidRPr="0099784D">
              <w:t>ide and RCS) where sufficient data was available.</w:t>
            </w:r>
          </w:p>
        </w:tc>
      </w:tr>
      <w:tr w:rsidR="00154D1D" w:rsidRPr="002A1131" w14:paraId="68529109" w14:textId="77777777" w:rsidTr="006B4C67">
        <w:trPr>
          <w:trHeight w:val="284"/>
        </w:trPr>
        <w:tc>
          <w:tcPr>
            <w:tcW w:w="9418" w:type="dxa"/>
            <w:gridSpan w:val="2"/>
            <w:shd w:val="clear" w:color="auto" w:fill="91ACEC" w:themeFill="accent1" w:themeFillTint="99"/>
          </w:tcPr>
          <w:p w14:paraId="4ECB4CEA" w14:textId="77777777" w:rsidR="00154D1D" w:rsidRPr="002A1131" w:rsidRDefault="00154D1D">
            <w:pPr>
              <w:spacing w:after="0"/>
              <w:rPr>
                <w:rFonts w:eastAsia="Arial" w:cs="Arial"/>
                <w:b/>
                <w:bCs/>
              </w:rPr>
            </w:pPr>
            <w:r w:rsidRPr="00AB220A">
              <w:rPr>
                <w:rFonts w:eastAsia="Arial" w:cs="Arial"/>
                <w:b/>
                <w:color w:val="FFFFFF" w:themeColor="background1"/>
              </w:rPr>
              <w:lastRenderedPageBreak/>
              <w:t>Health benefits</w:t>
            </w:r>
          </w:p>
        </w:tc>
      </w:tr>
      <w:tr w:rsidR="00154D1D" w:rsidRPr="002A1131" w14:paraId="6A89016A" w14:textId="77777777">
        <w:trPr>
          <w:trHeight w:val="783"/>
        </w:trPr>
        <w:tc>
          <w:tcPr>
            <w:tcW w:w="1980" w:type="dxa"/>
          </w:tcPr>
          <w:p w14:paraId="4292F2EA" w14:textId="77777777" w:rsidR="00154D1D" w:rsidRPr="002A1131" w:rsidRDefault="00154D1D">
            <w:pPr>
              <w:widowControl w:val="0"/>
              <w:spacing w:after="0" w:line="240" w:lineRule="auto"/>
              <w:rPr>
                <w:rFonts w:eastAsia="Times New Roman" w:cs="Arial"/>
                <w:b/>
                <w:bCs/>
                <w:lang w:eastAsia="en-AU"/>
              </w:rPr>
            </w:pPr>
            <w:r w:rsidRPr="0066781B">
              <w:rPr>
                <w:rFonts w:cs="Arial"/>
                <w:b/>
              </w:rPr>
              <w:t>Reduced years of life lost to disease</w:t>
            </w:r>
          </w:p>
        </w:tc>
        <w:tc>
          <w:tcPr>
            <w:tcW w:w="7438" w:type="dxa"/>
          </w:tcPr>
          <w:p w14:paraId="7FFF4E32" w14:textId="77777777" w:rsidR="00AB220A" w:rsidRDefault="00154D1D" w:rsidP="00AB220A">
            <w:pPr>
              <w:contextualSpacing w:val="0"/>
              <w:rPr>
                <w:rFonts w:cs="Arial"/>
              </w:rPr>
            </w:pPr>
            <w:r w:rsidRPr="00885D52">
              <w:rPr>
                <w:rFonts w:cs="Arial"/>
              </w:rPr>
              <w:t>The reduction in the YLL due to occupational disease, attributable to reduced workplace exposure to airborne contaminants.</w:t>
            </w:r>
          </w:p>
          <w:p w14:paraId="1A7DE363" w14:textId="6B7DEA64" w:rsidR="00154D1D" w:rsidRPr="002A1131" w:rsidRDefault="00AB220A">
            <w:pPr>
              <w:rPr>
                <w:rFonts w:eastAsia="Arial" w:cs="Arial"/>
                <w:lang w:eastAsia="en-AU"/>
              </w:rPr>
            </w:pPr>
            <w:r>
              <w:t>This benefit was quantifi</w:t>
            </w:r>
            <w:r w:rsidR="00FF3931">
              <w:t>able</w:t>
            </w:r>
            <w:r>
              <w:t xml:space="preserve"> for </w:t>
            </w:r>
            <w:r w:rsidR="00A06F85">
              <w:t>3</w:t>
            </w:r>
            <w:r>
              <w:t xml:space="preserve"> chemicals (benzene, formaldehyde and RCS) where sufficient data was available.</w:t>
            </w:r>
          </w:p>
        </w:tc>
      </w:tr>
      <w:tr w:rsidR="00154D1D" w:rsidRPr="002A1131" w14:paraId="47359871" w14:textId="77777777" w:rsidTr="00A21D1E">
        <w:trPr>
          <w:trHeight w:val="265"/>
        </w:trPr>
        <w:tc>
          <w:tcPr>
            <w:tcW w:w="1980" w:type="dxa"/>
            <w:shd w:val="clear" w:color="auto" w:fill="DAE3F8" w:themeFill="accent1" w:themeFillTint="33"/>
          </w:tcPr>
          <w:p w14:paraId="25081F0B" w14:textId="77777777" w:rsidR="00154D1D" w:rsidRPr="002A1131" w:rsidRDefault="00154D1D">
            <w:pPr>
              <w:widowControl w:val="0"/>
              <w:spacing w:line="240" w:lineRule="auto"/>
              <w:contextualSpacing w:val="0"/>
              <w:rPr>
                <w:rFonts w:eastAsia="Times New Roman" w:cs="Arial"/>
                <w:b/>
                <w:bCs/>
                <w:lang w:eastAsia="en-AU"/>
              </w:rPr>
            </w:pPr>
            <w:r w:rsidRPr="0066781B">
              <w:rPr>
                <w:rFonts w:cs="Arial"/>
                <w:b/>
              </w:rPr>
              <w:t>Reduced years lived with disability</w:t>
            </w:r>
          </w:p>
        </w:tc>
        <w:tc>
          <w:tcPr>
            <w:tcW w:w="7438" w:type="dxa"/>
            <w:shd w:val="clear" w:color="auto" w:fill="DAE3F8" w:themeFill="accent1" w:themeFillTint="33"/>
          </w:tcPr>
          <w:p w14:paraId="1A033A4C" w14:textId="77777777" w:rsidR="00154D1D" w:rsidRDefault="00154D1D" w:rsidP="00A06F85">
            <w:pPr>
              <w:contextualSpacing w:val="0"/>
              <w:rPr>
                <w:rFonts w:cs="Arial"/>
              </w:rPr>
            </w:pPr>
            <w:r w:rsidRPr="00885D52">
              <w:rPr>
                <w:rFonts w:cs="Arial"/>
              </w:rPr>
              <w:t>The reduction in the YLD due to occupational disease, attributable to reduced workplace exposure to airborne contaminants.</w:t>
            </w:r>
          </w:p>
          <w:p w14:paraId="439BB32D" w14:textId="5896013A" w:rsidR="00154D1D" w:rsidRPr="002A1131" w:rsidRDefault="00A06F85">
            <w:pPr>
              <w:rPr>
                <w:rFonts w:eastAsia="Arial" w:cs="Arial"/>
                <w:lang w:eastAsia="en-AU"/>
              </w:rPr>
            </w:pPr>
            <w:r w:rsidRPr="00A06F85">
              <w:rPr>
                <w:rFonts w:eastAsia="Arial" w:cs="Arial"/>
                <w:lang w:eastAsia="en-AU"/>
              </w:rPr>
              <w:t>This benefit was quantifi</w:t>
            </w:r>
            <w:r w:rsidR="00FF3931">
              <w:rPr>
                <w:rFonts w:eastAsia="Arial" w:cs="Arial"/>
                <w:lang w:eastAsia="en-AU"/>
              </w:rPr>
              <w:t>able</w:t>
            </w:r>
            <w:r w:rsidRPr="00A06F85">
              <w:rPr>
                <w:rFonts w:eastAsia="Arial" w:cs="Arial"/>
                <w:lang w:eastAsia="en-AU"/>
              </w:rPr>
              <w:t xml:space="preserve"> for </w:t>
            </w:r>
            <w:r>
              <w:rPr>
                <w:rFonts w:eastAsia="Arial" w:cs="Arial"/>
                <w:lang w:eastAsia="en-AU"/>
              </w:rPr>
              <w:t>3</w:t>
            </w:r>
            <w:r w:rsidRPr="00A06F85">
              <w:rPr>
                <w:rFonts w:eastAsia="Arial" w:cs="Arial"/>
                <w:lang w:eastAsia="en-AU"/>
              </w:rPr>
              <w:t xml:space="preserve"> chemicals (benzene, formaldehyde and RCS) where sufficient data was available.</w:t>
            </w:r>
          </w:p>
        </w:tc>
      </w:tr>
      <w:tr w:rsidR="00154D1D" w:rsidRPr="0066781B" w14:paraId="4583BF67" w14:textId="77777777" w:rsidTr="00A21D1E">
        <w:trPr>
          <w:trHeight w:val="265"/>
        </w:trPr>
        <w:tc>
          <w:tcPr>
            <w:tcW w:w="9418" w:type="dxa"/>
            <w:gridSpan w:val="2"/>
            <w:shd w:val="clear" w:color="auto" w:fill="91ACEC" w:themeFill="accent1" w:themeFillTint="99"/>
          </w:tcPr>
          <w:p w14:paraId="6E2611BF" w14:textId="77777777" w:rsidR="00154D1D" w:rsidRPr="00AB220A" w:rsidRDefault="00154D1D">
            <w:pPr>
              <w:rPr>
                <w:rFonts w:eastAsia="Arial" w:cs="Arial"/>
                <w:b/>
                <w:color w:val="FFFFFF" w:themeColor="background1"/>
                <w:lang w:eastAsia="en-AU"/>
              </w:rPr>
            </w:pPr>
            <w:r w:rsidRPr="00AB220A">
              <w:rPr>
                <w:rFonts w:eastAsia="Times New Roman" w:cs="Arial"/>
                <w:b/>
                <w:color w:val="FFFFFF" w:themeColor="background1"/>
                <w:lang w:eastAsia="en-AU"/>
              </w:rPr>
              <w:t>Indirect benefits</w:t>
            </w:r>
          </w:p>
        </w:tc>
      </w:tr>
      <w:tr w:rsidR="00154D1D" w:rsidRPr="00885D52" w14:paraId="07DA78C2" w14:textId="77777777">
        <w:trPr>
          <w:trHeight w:val="265"/>
        </w:trPr>
        <w:tc>
          <w:tcPr>
            <w:tcW w:w="1980" w:type="dxa"/>
          </w:tcPr>
          <w:p w14:paraId="6A52A55D" w14:textId="77777777" w:rsidR="00154D1D" w:rsidRPr="00885D52" w:rsidRDefault="00154D1D">
            <w:pPr>
              <w:widowControl w:val="0"/>
              <w:spacing w:after="0" w:line="240" w:lineRule="auto"/>
              <w:rPr>
                <w:rFonts w:eastAsia="Times New Roman" w:cs="Arial"/>
                <w:b/>
                <w:bCs/>
                <w:lang w:eastAsia="en-AU"/>
              </w:rPr>
            </w:pPr>
            <w:r w:rsidRPr="0066781B">
              <w:rPr>
                <w:rFonts w:cs="Arial"/>
                <w:b/>
              </w:rPr>
              <w:t>Reduced loss of productivity</w:t>
            </w:r>
          </w:p>
        </w:tc>
        <w:tc>
          <w:tcPr>
            <w:tcW w:w="7438" w:type="dxa"/>
          </w:tcPr>
          <w:p w14:paraId="451E06C3" w14:textId="77777777" w:rsidR="00AA3CC9" w:rsidRDefault="00154D1D">
            <w:pPr>
              <w:rPr>
                <w:rFonts w:cs="Arial"/>
              </w:rPr>
            </w:pPr>
            <w:r w:rsidRPr="00885D52">
              <w:rPr>
                <w:rFonts w:cs="Arial"/>
              </w:rPr>
              <w:t>The reduction in paid productivity losses due to occupational disease, attributable to reduced workplace exposure to airborne contaminants.</w:t>
            </w:r>
          </w:p>
          <w:p w14:paraId="345D41C5" w14:textId="0DB9F480" w:rsidR="00AA3CC9" w:rsidRPr="00AA3CC9" w:rsidRDefault="00AA3CC9" w:rsidP="00AA3CC9">
            <w:pPr>
              <w:pStyle w:val="TableNText"/>
              <w:rPr>
                <w:rFonts w:asciiTheme="minorHAnsi" w:hAnsiTheme="minorHAnsi" w:cstheme="minorHAnsi"/>
                <w:sz w:val="22"/>
                <w:szCs w:val="32"/>
              </w:rPr>
            </w:pPr>
            <w:r w:rsidRPr="00AA3CC9">
              <w:rPr>
                <w:rFonts w:asciiTheme="minorHAnsi" w:hAnsiTheme="minorHAnsi" w:cstheme="minorHAnsi"/>
                <w:sz w:val="22"/>
                <w:szCs w:val="32"/>
              </w:rPr>
              <w:t>This benefit was quantifi</w:t>
            </w:r>
            <w:r w:rsidR="00FF3931">
              <w:rPr>
                <w:rFonts w:asciiTheme="minorHAnsi" w:hAnsiTheme="minorHAnsi" w:cstheme="minorHAnsi"/>
                <w:sz w:val="22"/>
                <w:szCs w:val="32"/>
              </w:rPr>
              <w:t>able</w:t>
            </w:r>
            <w:r w:rsidRPr="00AA3CC9">
              <w:rPr>
                <w:rFonts w:asciiTheme="minorHAnsi" w:hAnsiTheme="minorHAnsi" w:cstheme="minorHAnsi"/>
                <w:sz w:val="22"/>
                <w:szCs w:val="32"/>
              </w:rPr>
              <w:t xml:space="preserve"> for </w:t>
            </w:r>
            <w:r>
              <w:rPr>
                <w:rFonts w:asciiTheme="minorHAnsi" w:hAnsiTheme="minorHAnsi" w:cstheme="minorHAnsi"/>
                <w:sz w:val="22"/>
                <w:szCs w:val="32"/>
              </w:rPr>
              <w:t>4</w:t>
            </w:r>
            <w:r w:rsidRPr="00AA3CC9">
              <w:rPr>
                <w:rFonts w:asciiTheme="minorHAnsi" w:hAnsiTheme="minorHAnsi" w:cstheme="minorHAnsi"/>
                <w:sz w:val="22"/>
                <w:szCs w:val="32"/>
              </w:rPr>
              <w:t xml:space="preserve"> chemicals</w:t>
            </w:r>
            <w:r>
              <w:rPr>
                <w:rFonts w:asciiTheme="minorHAnsi" w:hAnsiTheme="minorHAnsi" w:cstheme="minorHAnsi"/>
                <w:sz w:val="22"/>
                <w:szCs w:val="32"/>
              </w:rPr>
              <w:t xml:space="preserve"> (</w:t>
            </w:r>
            <w:r w:rsidRPr="00AA3CC9">
              <w:rPr>
                <w:rFonts w:asciiTheme="minorHAnsi" w:hAnsiTheme="minorHAnsi" w:cstheme="minorHAnsi"/>
                <w:sz w:val="22"/>
                <w:szCs w:val="32"/>
              </w:rPr>
              <w:t>benzene, chlorine, hydrogen sul</w:t>
            </w:r>
            <w:r w:rsidR="00312B4B">
              <w:rPr>
                <w:rFonts w:asciiTheme="minorHAnsi" w:hAnsiTheme="minorHAnsi" w:cstheme="minorHAnsi"/>
                <w:sz w:val="22"/>
                <w:szCs w:val="32"/>
              </w:rPr>
              <w:t>f</w:t>
            </w:r>
            <w:r w:rsidRPr="00AA3CC9">
              <w:rPr>
                <w:rFonts w:asciiTheme="minorHAnsi" w:hAnsiTheme="minorHAnsi" w:cstheme="minorHAnsi"/>
                <w:sz w:val="22"/>
                <w:szCs w:val="32"/>
              </w:rPr>
              <w:t>ide and RCS</w:t>
            </w:r>
            <w:r>
              <w:rPr>
                <w:rFonts w:asciiTheme="minorHAnsi" w:hAnsiTheme="minorHAnsi" w:cstheme="minorHAnsi"/>
                <w:sz w:val="22"/>
                <w:szCs w:val="32"/>
              </w:rPr>
              <w:t>)</w:t>
            </w:r>
            <w:r w:rsidRPr="00AA3CC9">
              <w:rPr>
                <w:rFonts w:asciiTheme="minorHAnsi" w:hAnsiTheme="minorHAnsi" w:cstheme="minorHAnsi"/>
                <w:sz w:val="22"/>
                <w:szCs w:val="32"/>
              </w:rPr>
              <w:t xml:space="preserve"> where sufficient data was available.</w:t>
            </w:r>
          </w:p>
          <w:p w14:paraId="7F9EBD8B" w14:textId="31E59197" w:rsidR="00154D1D" w:rsidRPr="00885D52" w:rsidRDefault="00AA3CC9" w:rsidP="003977C3">
            <w:pPr>
              <w:contextualSpacing w:val="0"/>
              <w:rPr>
                <w:rFonts w:eastAsia="Arial" w:cs="Arial"/>
                <w:lang w:eastAsia="en-AU"/>
              </w:rPr>
            </w:pPr>
            <w:r>
              <w:t>Additional productivity related benefits, including reduced absenteeism and reduced presenteeism, were not quantifi</w:t>
            </w:r>
            <w:r w:rsidR="00FF3931">
              <w:t>able</w:t>
            </w:r>
            <w:r>
              <w:t xml:space="preserve"> for the purposes of this impact analysis, due to a lack of available data.</w:t>
            </w:r>
          </w:p>
        </w:tc>
      </w:tr>
      <w:tr w:rsidR="00154D1D" w:rsidRPr="00885D52" w14:paraId="42C8449B" w14:textId="77777777" w:rsidTr="00A21D1E">
        <w:trPr>
          <w:trHeight w:val="265"/>
        </w:trPr>
        <w:tc>
          <w:tcPr>
            <w:tcW w:w="1980" w:type="dxa"/>
            <w:shd w:val="clear" w:color="auto" w:fill="DAE3F8" w:themeFill="accent1" w:themeFillTint="33"/>
          </w:tcPr>
          <w:p w14:paraId="6357564F" w14:textId="77777777" w:rsidR="00154D1D" w:rsidRPr="00885D52" w:rsidRDefault="00154D1D">
            <w:pPr>
              <w:widowControl w:val="0"/>
              <w:spacing w:line="240" w:lineRule="auto"/>
              <w:contextualSpacing w:val="0"/>
              <w:rPr>
                <w:rFonts w:eastAsia="Times New Roman" w:cs="Arial"/>
                <w:b/>
                <w:bCs/>
                <w:lang w:eastAsia="en-AU"/>
              </w:rPr>
            </w:pPr>
            <w:r w:rsidRPr="0066781B">
              <w:rPr>
                <w:rFonts w:cs="Arial"/>
                <w:b/>
              </w:rPr>
              <w:t>Reduced impacts on family and friends</w:t>
            </w:r>
          </w:p>
        </w:tc>
        <w:tc>
          <w:tcPr>
            <w:tcW w:w="7438" w:type="dxa"/>
            <w:shd w:val="clear" w:color="auto" w:fill="DAE3F8" w:themeFill="accent1" w:themeFillTint="33"/>
          </w:tcPr>
          <w:p w14:paraId="31152D2E" w14:textId="77777777" w:rsidR="00154D1D" w:rsidRDefault="00154D1D" w:rsidP="000806BC">
            <w:pPr>
              <w:contextualSpacing w:val="0"/>
              <w:rPr>
                <w:rFonts w:cs="Arial"/>
              </w:rPr>
            </w:pPr>
            <w:r w:rsidRPr="00885D52">
              <w:rPr>
                <w:rFonts w:cs="Arial"/>
              </w:rPr>
              <w:t xml:space="preserve">The reduced indirect burden on workers’ family and friends due to occupational disease, attributable to reduced workplace exposure to airborne contaminants. </w:t>
            </w:r>
          </w:p>
          <w:p w14:paraId="2896F881" w14:textId="4F0F2572" w:rsidR="00154D1D" w:rsidRPr="00885D52" w:rsidRDefault="000806BC" w:rsidP="000806BC">
            <w:pPr>
              <w:contextualSpacing w:val="0"/>
              <w:rPr>
                <w:rFonts w:eastAsia="Arial" w:cs="Arial"/>
                <w:lang w:eastAsia="en-AU"/>
              </w:rPr>
            </w:pPr>
            <w:r w:rsidRPr="00993B73">
              <w:t xml:space="preserve">This benefit </w:t>
            </w:r>
            <w:r>
              <w:t>was</w:t>
            </w:r>
            <w:r w:rsidRPr="00993B73">
              <w:t xml:space="preserve"> not quantifi</w:t>
            </w:r>
            <w:r w:rsidR="00FF3931">
              <w:t>able</w:t>
            </w:r>
            <w:r w:rsidRPr="00993B73">
              <w:t xml:space="preserve"> for the purposes of this impact analysis due to a lack of publicly available data</w:t>
            </w:r>
            <w:r>
              <w:t>.</w:t>
            </w:r>
          </w:p>
        </w:tc>
      </w:tr>
    </w:tbl>
    <w:p w14:paraId="69B24172" w14:textId="77777777" w:rsidR="006259A7" w:rsidRPr="006259A7" w:rsidRDefault="006259A7" w:rsidP="006259A7">
      <w:pPr>
        <w:spacing w:before="240"/>
        <w:contextualSpacing w:val="0"/>
        <w:rPr>
          <w:b/>
          <w:bCs/>
        </w:rPr>
      </w:pPr>
      <w:r w:rsidRPr="006259A7">
        <w:rPr>
          <w:b/>
          <w:bCs/>
        </w:rPr>
        <w:t>The estimation of benefits is underpinned by a number of assumptions.</w:t>
      </w:r>
    </w:p>
    <w:p w14:paraId="7685A354" w14:textId="77777777" w:rsidR="006259A7" w:rsidRPr="00993B73" w:rsidRDefault="006259A7" w:rsidP="006259A7">
      <w:r w:rsidRPr="00993B73">
        <w:t>The estimation of benefits for this impact analysis uses a number of simplifying assumptions, including:</w:t>
      </w:r>
    </w:p>
    <w:p w14:paraId="7FD7C373" w14:textId="4E3193D1" w:rsidR="006259A7" w:rsidRPr="00993B73" w:rsidRDefault="006259A7" w:rsidP="00A2768E">
      <w:pPr>
        <w:pStyle w:val="ListParagraph"/>
        <w:numPr>
          <w:ilvl w:val="0"/>
          <w:numId w:val="110"/>
        </w:numPr>
        <w:suppressAutoHyphens/>
        <w:spacing w:line="259" w:lineRule="auto"/>
        <w:contextualSpacing w:val="0"/>
      </w:pPr>
      <w:r w:rsidRPr="006C1437">
        <w:rPr>
          <w:rFonts w:asciiTheme="majorHAnsi" w:hAnsiTheme="majorHAnsi" w:cstheme="majorHAnsi"/>
          <w:b/>
        </w:rPr>
        <w:t>The shift to the proposed WEL is assumed to avert all occupational disease attributable to workplace exposure.</w:t>
      </w:r>
      <w:r w:rsidRPr="00993B73">
        <w:rPr>
          <w:rFonts w:asciiTheme="majorHAnsi" w:hAnsiTheme="majorHAnsi" w:cstheme="majorHAnsi"/>
        </w:rPr>
        <w:t xml:space="preserve"> </w:t>
      </w:r>
      <w:r w:rsidRPr="00993B73">
        <w:t>In the absence of research which provides estimates of the reduction in the incidence of occupational disease attributable to the adoption of the proposed WEL for each chemical, this analysis assumes all occupational disease would be averted. This likely results in an over-estimation of the ‘treatment effect’ for each chemical, as adverse health impacts cannot be fully averted unless exposure to a chemical is eliminated altogether. This is because natural human biological variations and individual susceptibilities (such as an existing medical condition) may mean a small number of people could still experience adverse health effects from exposure at levels below the proposed WEL</w:t>
      </w:r>
      <w:r w:rsidR="00B074BC">
        <w:t xml:space="preserve"> </w:t>
      </w:r>
      <w:sdt>
        <w:sdtPr>
          <w:id w:val="-1115521294"/>
          <w:citation/>
        </w:sdtPr>
        <w:sdtEndPr/>
        <w:sdtContent>
          <w:r w:rsidR="00B074BC">
            <w:fldChar w:fldCharType="begin"/>
          </w:r>
          <w:r w:rsidR="00B074BC">
            <w:instrText xml:space="preserve"> CITATION Saf243 \l 3081 </w:instrText>
          </w:r>
          <w:r w:rsidR="00B074BC">
            <w:fldChar w:fldCharType="separate"/>
          </w:r>
          <w:r w:rsidR="00490B21">
            <w:rPr>
              <w:noProof/>
            </w:rPr>
            <w:t>(Safe Work Australia, 2024)</w:t>
          </w:r>
          <w:r w:rsidR="00B074BC">
            <w:fldChar w:fldCharType="end"/>
          </w:r>
        </w:sdtContent>
      </w:sdt>
      <w:r w:rsidRPr="00993B73">
        <w:t>.</w:t>
      </w:r>
    </w:p>
    <w:p w14:paraId="13720F63" w14:textId="2FCD1BD3" w:rsidR="006259A7" w:rsidRPr="00993B73" w:rsidRDefault="006259A7" w:rsidP="00A2768E">
      <w:pPr>
        <w:pStyle w:val="ListParagraph"/>
        <w:numPr>
          <w:ilvl w:val="0"/>
          <w:numId w:val="110"/>
        </w:numPr>
        <w:suppressAutoHyphens/>
        <w:spacing w:line="259" w:lineRule="auto"/>
        <w:contextualSpacing w:val="0"/>
      </w:pPr>
      <w:r w:rsidRPr="006C1437">
        <w:rPr>
          <w:rFonts w:asciiTheme="majorHAnsi" w:hAnsiTheme="majorHAnsi" w:cstheme="majorHAnsi"/>
          <w:b/>
        </w:rPr>
        <w:t>The full scale of benefits is assumed to be incurred from the first year following the adoption of the proposed WELs.</w:t>
      </w:r>
      <w:r w:rsidRPr="00993B73">
        <w:t xml:space="preserve"> The estimation of the reduction in workers’ compensation claims and the burden of disease, attributable to the WEL, would be accrued in-full starting in the first year of implementation. However, many of the diseases that result from occupational exposure to the chemicals </w:t>
      </w:r>
      <w:r w:rsidR="00FF5F51">
        <w:t xml:space="preserve">considered in this Decision RIS </w:t>
      </w:r>
      <w:r w:rsidRPr="00993B73">
        <w:t xml:space="preserve">can manifest 10-or-more years after the period of exposure. As such, the full scale of benefits attributable to the </w:t>
      </w:r>
      <w:r w:rsidRPr="00993B73">
        <w:lastRenderedPageBreak/>
        <w:t>reduction in the WEL may not be experienced until after the end of the 10-year appraisal period.</w:t>
      </w:r>
    </w:p>
    <w:p w14:paraId="19C4FF24" w14:textId="77777777" w:rsidR="006259A7" w:rsidRPr="00993B73" w:rsidRDefault="006259A7" w:rsidP="00A2768E">
      <w:pPr>
        <w:pStyle w:val="ListParagraph"/>
        <w:numPr>
          <w:ilvl w:val="0"/>
          <w:numId w:val="110"/>
        </w:numPr>
        <w:suppressAutoHyphens/>
        <w:spacing w:line="259" w:lineRule="auto"/>
        <w:contextualSpacing w:val="0"/>
      </w:pPr>
      <w:r w:rsidRPr="006C1437">
        <w:rPr>
          <w:rFonts w:asciiTheme="majorHAnsi" w:hAnsiTheme="majorHAnsi" w:cstheme="majorHAnsi"/>
          <w:b/>
        </w:rPr>
        <w:t>Benefits estimation assumes all existing direct and indirect health impacts are due to exposure at levels within the current WES.</w:t>
      </w:r>
      <w:r w:rsidRPr="00993B73">
        <w:rPr>
          <w:rFonts w:asciiTheme="majorHAnsi" w:hAnsiTheme="majorHAnsi" w:cstheme="majorHAnsi"/>
        </w:rPr>
        <w:t xml:space="preserve"> </w:t>
      </w:r>
      <w:r>
        <w:t>T</w:t>
      </w:r>
      <w:r w:rsidRPr="00993B73">
        <w:t xml:space="preserve">he workers’ compensation claims data and burden of disease data used to estimate the benefits do not identify the exposure levels that </w:t>
      </w:r>
      <w:r>
        <w:t xml:space="preserve">caused the adverse health effects. </w:t>
      </w:r>
      <w:r w:rsidRPr="00993B73">
        <w:t xml:space="preserve">As such, the estimated benefits may capture claims resulting from workers being exposed to </w:t>
      </w:r>
      <w:r>
        <w:t xml:space="preserve">chemical </w:t>
      </w:r>
      <w:r w:rsidRPr="00993B73">
        <w:t xml:space="preserve">levels in excess of the current WES </w:t>
      </w:r>
      <w:r>
        <w:t>The</w:t>
      </w:r>
      <w:r w:rsidRPr="00993B73">
        <w:t xml:space="preserve"> benefits associated with avoiding these cases would not </w:t>
      </w:r>
      <w:r>
        <w:t xml:space="preserve">solely </w:t>
      </w:r>
      <w:r w:rsidRPr="00993B73">
        <w:t>be attributable to the proposed WEL.</w:t>
      </w:r>
    </w:p>
    <w:p w14:paraId="357CC811" w14:textId="595FD0A6" w:rsidR="006259A7" w:rsidRPr="00B72E2B" w:rsidRDefault="006259A7" w:rsidP="00A2768E">
      <w:pPr>
        <w:pStyle w:val="ListParagraph"/>
        <w:numPr>
          <w:ilvl w:val="0"/>
          <w:numId w:val="110"/>
        </w:numPr>
        <w:suppressAutoHyphens/>
        <w:spacing w:line="259" w:lineRule="auto"/>
        <w:contextualSpacing w:val="0"/>
        <w:rPr>
          <w:rFonts w:ascii="Segoe UI Semibold" w:hAnsi="Segoe UI Semibold"/>
          <w:color w:val="00264D"/>
          <w:sz w:val="26"/>
        </w:rPr>
      </w:pPr>
      <w:r w:rsidRPr="006C1437">
        <w:rPr>
          <w:rFonts w:asciiTheme="majorHAnsi" w:hAnsiTheme="majorHAnsi" w:cstheme="majorHAnsi"/>
          <w:b/>
        </w:rPr>
        <w:t>The estimated benefits attributed to the proposed WEL for RCS do not directly account for the 2019 WES changes.</w:t>
      </w:r>
      <w:r w:rsidRPr="00993B73">
        <w:t xml:space="preserve"> The benefits analysis is based on data for occupational diseases linked to workplace exposure to RCS. Given the long latency period of many RCS-related diseases (</w:t>
      </w:r>
      <w:r>
        <w:t>at times</w:t>
      </w:r>
      <w:r w:rsidRPr="00993B73">
        <w:t xml:space="preserve"> exceeding 10 years), any impact from recent WES changes may not yet be observable in the data, as the data used for estimating the benefits span</w:t>
      </w:r>
      <w:r>
        <w:t>s</w:t>
      </w:r>
      <w:r w:rsidRPr="00993B73">
        <w:t xml:space="preserve"> </w:t>
      </w:r>
      <w:r>
        <w:t>the period</w:t>
      </w:r>
      <w:r w:rsidRPr="00993B73">
        <w:t xml:space="preserve"> 2017 to 2021. As a result, the estimated benefits </w:t>
      </w:r>
      <w:r>
        <w:t>may</w:t>
      </w:r>
      <w:r w:rsidRPr="00993B73">
        <w:t xml:space="preserve"> reflect the effect of reducing the WEL from a TWA of 0.1 mg/m</w:t>
      </w:r>
      <w:r w:rsidRPr="00993B73">
        <w:rPr>
          <w:vertAlign w:val="superscript"/>
        </w:rPr>
        <w:t>3</w:t>
      </w:r>
      <w:r w:rsidRPr="00993B73">
        <w:t xml:space="preserve"> to 0.025 mg/m</w:t>
      </w:r>
      <w:r w:rsidRPr="00993B73">
        <w:rPr>
          <w:vertAlign w:val="superscript"/>
        </w:rPr>
        <w:t>3</w:t>
      </w:r>
      <w:r w:rsidRPr="00993B73">
        <w:t xml:space="preserve">, rather than the </w:t>
      </w:r>
      <w:r w:rsidR="00892FDE">
        <w:t>proposed</w:t>
      </w:r>
      <w:r w:rsidRPr="00993B73">
        <w:t xml:space="preserve"> reduction from 0.05 mg/m</w:t>
      </w:r>
      <w:r w:rsidRPr="00993B73">
        <w:rPr>
          <w:vertAlign w:val="superscript"/>
        </w:rPr>
        <w:t>3</w:t>
      </w:r>
      <w:r w:rsidRPr="00993B73">
        <w:t xml:space="preserve"> to 0.025 mg/m</w:t>
      </w:r>
      <w:r w:rsidRPr="00993B73">
        <w:rPr>
          <w:vertAlign w:val="superscript"/>
        </w:rPr>
        <w:t>3</w:t>
      </w:r>
      <w:r w:rsidRPr="00993B73">
        <w:t xml:space="preserve">. </w:t>
      </w:r>
      <w:r>
        <w:t>There was no evidence available to enable apportioning of the estimated benefits between the</w:t>
      </w:r>
      <w:r w:rsidRPr="00993B73">
        <w:t xml:space="preserve"> </w:t>
      </w:r>
      <w:r>
        <w:t>proposed WEL and</w:t>
      </w:r>
      <w:r w:rsidRPr="00993B73">
        <w:t xml:space="preserve"> the 2019 WES change.</w:t>
      </w:r>
      <w:r w:rsidRPr="00993B73" w:rsidDel="00522798">
        <w:t xml:space="preserve"> </w:t>
      </w:r>
      <w:bookmarkStart w:id="678" w:name="_Ref178602842"/>
    </w:p>
    <w:p w14:paraId="1310A2DD" w14:textId="77777777" w:rsidR="00BA70CB" w:rsidRPr="00993B73" w:rsidRDefault="00BA70CB" w:rsidP="00C563D2">
      <w:pPr>
        <w:pStyle w:val="SWAHeading3"/>
      </w:pPr>
      <w:bookmarkStart w:id="679" w:name="AppendixB_Methodology_Benefits_DFB"/>
      <w:bookmarkStart w:id="680" w:name="AppendixC_Methodology_Benefits_DFB"/>
      <w:bookmarkStart w:id="681" w:name="_Ref178715221"/>
      <w:bookmarkStart w:id="682" w:name="_Ref178873344"/>
      <w:bookmarkEnd w:id="678"/>
      <w:bookmarkEnd w:id="679"/>
      <w:bookmarkEnd w:id="680"/>
      <w:r w:rsidRPr="00993B73">
        <w:t>Direct financial benefits</w:t>
      </w:r>
      <w:bookmarkEnd w:id="681"/>
      <w:bookmarkEnd w:id="682"/>
    </w:p>
    <w:p w14:paraId="0044AF70" w14:textId="77777777" w:rsidR="00BA70CB" w:rsidRPr="00993B73" w:rsidRDefault="00BA70CB" w:rsidP="00C563D2">
      <w:pPr>
        <w:pStyle w:val="SWAHeading4"/>
      </w:pPr>
      <w:r w:rsidRPr="00993B73">
        <w:t>Benefits summary</w:t>
      </w:r>
    </w:p>
    <w:p w14:paraId="660B032C" w14:textId="3BB20870" w:rsidR="00BA70CB" w:rsidRPr="00993B73" w:rsidRDefault="00BA70CB" w:rsidP="008C1DE4">
      <w:pPr>
        <w:contextualSpacing w:val="0"/>
        <w:rPr>
          <w:lang w:eastAsia="en-AU"/>
        </w:rPr>
      </w:pPr>
      <w:r w:rsidRPr="00993B73">
        <w:rPr>
          <w:lang w:eastAsia="en-AU"/>
        </w:rPr>
        <w:t>The direct financial benefits estimate the reduction in the direct financial costs of workers’ compensation and medical expenses due to occupational disease, attributable to reduced workplace exposure to the nine chemicals. The direct financial benefits are calculated using workers’ compensation claims data from the National Dataset for Compensation-based Statistics (</w:t>
      </w:r>
      <w:r w:rsidRPr="00993B73">
        <w:rPr>
          <w:color w:val="000000" w:themeColor="text1"/>
          <w:lang w:eastAsia="en-AU"/>
        </w:rPr>
        <w:t>NDS)</w:t>
      </w:r>
      <w:r w:rsidR="00010996">
        <w:rPr>
          <w:color w:val="000000" w:themeColor="text1"/>
          <w:lang w:eastAsia="en-AU"/>
        </w:rPr>
        <w:t xml:space="preserve"> </w:t>
      </w:r>
      <w:sdt>
        <w:sdtPr>
          <w:rPr>
            <w:color w:val="000000" w:themeColor="text1"/>
            <w:lang w:eastAsia="en-AU"/>
          </w:rPr>
          <w:id w:val="-2134929628"/>
          <w:citation/>
        </w:sdtPr>
        <w:sdtEndPr/>
        <w:sdtContent>
          <w:r w:rsidR="00010996">
            <w:rPr>
              <w:color w:val="000000" w:themeColor="text1"/>
              <w:lang w:eastAsia="en-AU"/>
            </w:rPr>
            <w:fldChar w:fldCharType="begin"/>
          </w:r>
          <w:r w:rsidR="00010996">
            <w:rPr>
              <w:color w:val="000000" w:themeColor="text1"/>
              <w:lang w:eastAsia="en-AU"/>
            </w:rPr>
            <w:instrText xml:space="preserve"> CITATION Saf204 \l 3081 </w:instrText>
          </w:r>
          <w:r w:rsidR="00010996">
            <w:rPr>
              <w:color w:val="000000" w:themeColor="text1"/>
              <w:lang w:eastAsia="en-AU"/>
            </w:rPr>
            <w:fldChar w:fldCharType="separate"/>
          </w:r>
          <w:r w:rsidR="00490B21" w:rsidRPr="00490B21">
            <w:rPr>
              <w:noProof/>
              <w:color w:val="000000" w:themeColor="text1"/>
              <w:lang w:eastAsia="en-AU"/>
            </w:rPr>
            <w:t>(Safe Work Australia, 2020)</w:t>
          </w:r>
          <w:r w:rsidR="00010996">
            <w:rPr>
              <w:color w:val="000000" w:themeColor="text1"/>
              <w:lang w:eastAsia="en-AU"/>
            </w:rPr>
            <w:fldChar w:fldCharType="end"/>
          </w:r>
        </w:sdtContent>
      </w:sdt>
      <w:r w:rsidR="00EE50BA">
        <w:rPr>
          <w:color w:val="000000" w:themeColor="text1"/>
          <w:lang w:eastAsia="en-AU"/>
        </w:rPr>
        <w:t>.</w:t>
      </w:r>
      <w:r w:rsidRPr="00993B73">
        <w:rPr>
          <w:color w:val="000000" w:themeColor="text1"/>
          <w:lang w:eastAsia="en-AU"/>
        </w:rPr>
        <w:t xml:space="preserve"> The </w:t>
      </w:r>
      <w:r w:rsidRPr="00993B73">
        <w:rPr>
          <w:lang w:eastAsia="en-AU"/>
        </w:rPr>
        <w:t>NDS is a standard set of data items, concepts and definitions for inclusion in workers’ compensation systems operated by state and territory WHS and workers’ compensation agencies. Its primary purpose is to enable the production of national and nationally comparable workers’ compensation-based data.</w:t>
      </w:r>
    </w:p>
    <w:p w14:paraId="4F85A49F" w14:textId="2067F6DB" w:rsidR="00BA70CB" w:rsidRPr="00993B73" w:rsidRDefault="00BA70CB" w:rsidP="00BA70CB">
      <w:pPr>
        <w:rPr>
          <w:lang w:eastAsia="en-AU"/>
        </w:rPr>
      </w:pPr>
      <w:r w:rsidRPr="00993B73">
        <w:rPr>
          <w:lang w:eastAsia="en-AU"/>
        </w:rPr>
        <w:t xml:space="preserve">The costs associated with workers’ compensation claims have been divided into </w:t>
      </w:r>
      <w:r w:rsidR="008C1DE4">
        <w:rPr>
          <w:lang w:eastAsia="en-AU"/>
        </w:rPr>
        <w:t>4</w:t>
      </w:r>
      <w:r w:rsidR="008C1DE4" w:rsidRPr="00993B73">
        <w:rPr>
          <w:lang w:eastAsia="en-AU"/>
        </w:rPr>
        <w:t xml:space="preserve"> </w:t>
      </w:r>
      <w:r w:rsidRPr="00993B73">
        <w:rPr>
          <w:lang w:eastAsia="en-AU"/>
        </w:rPr>
        <w:t>categories:</w:t>
      </w:r>
    </w:p>
    <w:p w14:paraId="550956BB" w14:textId="77777777" w:rsidR="00BA70CB" w:rsidRPr="00993B73" w:rsidRDefault="00BA70CB" w:rsidP="00A2768E">
      <w:pPr>
        <w:pStyle w:val="ListParagraph"/>
        <w:numPr>
          <w:ilvl w:val="0"/>
          <w:numId w:val="111"/>
        </w:numPr>
        <w:suppressAutoHyphens/>
        <w:spacing w:line="259" w:lineRule="auto"/>
        <w:contextualSpacing w:val="0"/>
      </w:pPr>
      <w:r w:rsidRPr="00050856">
        <w:rPr>
          <w:rFonts w:asciiTheme="majorHAnsi" w:hAnsiTheme="majorHAnsi" w:cstheme="majorHAnsi"/>
          <w:b/>
        </w:rPr>
        <w:t>Direct compensation costs</w:t>
      </w:r>
      <w:r w:rsidRPr="00993B73">
        <w:t xml:space="preserve"> refer to payments made directly to a worker or their family on account of economic loss and permanent injuries, pain and suffering. The costs include weekly benefits, death benefits provided to dependents, redemptions, statutory lump sums and impairments.</w:t>
      </w:r>
    </w:p>
    <w:p w14:paraId="62511E25" w14:textId="5B63A341" w:rsidR="00BA70CB" w:rsidRPr="00993B73" w:rsidRDefault="00BA70CB" w:rsidP="00A2768E">
      <w:pPr>
        <w:pStyle w:val="ListParagraph"/>
        <w:numPr>
          <w:ilvl w:val="0"/>
          <w:numId w:val="111"/>
        </w:numPr>
        <w:suppressAutoHyphens/>
        <w:spacing w:line="259" w:lineRule="auto"/>
        <w:contextualSpacing w:val="0"/>
      </w:pPr>
      <w:r w:rsidRPr="00050856">
        <w:rPr>
          <w:rFonts w:asciiTheme="majorHAnsi" w:hAnsiTheme="majorHAnsi" w:cstheme="majorHAnsi"/>
          <w:b/>
        </w:rPr>
        <w:t>Common law costs</w:t>
      </w:r>
      <w:r w:rsidRPr="00993B73">
        <w:t xml:space="preserve"> refer to lump sum payments made to workers under common law arrangements. The costs include lump sums paid to workers for economic loss (such as income replacement), and for non-economic loss (excluding the legal fees for both insurers and workers.</w:t>
      </w:r>
    </w:p>
    <w:p w14:paraId="5CFE65F4" w14:textId="77777777" w:rsidR="00BA70CB" w:rsidRPr="00993B73" w:rsidRDefault="00BA70CB" w:rsidP="00A2768E">
      <w:pPr>
        <w:pStyle w:val="ListParagraph"/>
        <w:numPr>
          <w:ilvl w:val="0"/>
          <w:numId w:val="111"/>
        </w:numPr>
        <w:suppressAutoHyphens/>
        <w:spacing w:line="259" w:lineRule="auto"/>
        <w:contextualSpacing w:val="0"/>
      </w:pPr>
      <w:r w:rsidRPr="00050856">
        <w:rPr>
          <w:rFonts w:asciiTheme="majorHAnsi" w:hAnsiTheme="majorHAnsi" w:cstheme="majorHAnsi"/>
          <w:b/>
        </w:rPr>
        <w:t>Medical costs</w:t>
      </w:r>
      <w:r w:rsidRPr="00993B73">
        <w:rPr>
          <w:rFonts w:asciiTheme="majorHAnsi" w:hAnsiTheme="majorHAnsi" w:cstheme="majorHAnsi"/>
        </w:rPr>
        <w:t xml:space="preserve"> </w:t>
      </w:r>
      <w:r w:rsidRPr="00993B73">
        <w:t>refer to costs related to medical services and supplies for the treatment and recovery of work-related injury or disease. The costs consist of allied health costs, hospital visit costs, medical services costs, and other medical supplies costs.</w:t>
      </w:r>
    </w:p>
    <w:p w14:paraId="269A2CCA" w14:textId="0F03FB7D" w:rsidR="00BA70CB" w:rsidRPr="00993B73" w:rsidRDefault="00BA70CB" w:rsidP="00A2768E">
      <w:pPr>
        <w:pStyle w:val="ListParagraph"/>
        <w:numPr>
          <w:ilvl w:val="0"/>
          <w:numId w:val="111"/>
        </w:numPr>
        <w:suppressAutoHyphens/>
        <w:spacing w:line="259" w:lineRule="auto"/>
        <w:contextualSpacing w:val="0"/>
      </w:pPr>
      <w:r w:rsidRPr="00050856">
        <w:rPr>
          <w:rFonts w:asciiTheme="majorHAnsi" w:hAnsiTheme="majorHAnsi" w:cstheme="majorHAnsi"/>
          <w:b/>
        </w:rPr>
        <w:t>Supplementary costs</w:t>
      </w:r>
      <w:r w:rsidRPr="00050856">
        <w:rPr>
          <w:b/>
        </w:rPr>
        <w:t xml:space="preserve"> </w:t>
      </w:r>
      <w:r w:rsidRPr="00993B73">
        <w:t xml:space="preserve">encompass vocational rehabilitation services, such as retraining, job placement, and workplace assessments, which are aimed at </w:t>
      </w:r>
      <w:r w:rsidRPr="00993B73">
        <w:lastRenderedPageBreak/>
        <w:t>facilitating the injured worker’s return to employment. Additionally, they include all legal costs not directly compensable to the worker and other non-compensation related expenses, such as investigative, transport, and interpreter services associated with claim administration.</w:t>
      </w:r>
    </w:p>
    <w:p w14:paraId="03B5117C" w14:textId="6832FAFC" w:rsidR="00BA70CB" w:rsidRPr="00993B73" w:rsidRDefault="00BA70CB" w:rsidP="00BA70CB">
      <w:r w:rsidRPr="00993B73">
        <w:t>These cost categories are groupings of NDS cost items and have been created for the purpose of this impact analysis. These cost categories are discussed further in the following sections. The NDS cost items are defined in</w:t>
      </w:r>
      <w:r w:rsidR="00611624">
        <w:t xml:space="preserve"> </w:t>
      </w:r>
      <w:r w:rsidR="00611624">
        <w:fldChar w:fldCharType="begin"/>
      </w:r>
      <w:r w:rsidR="00611624">
        <w:instrText xml:space="preserve"> REF _Ref216794277 \h </w:instrText>
      </w:r>
      <w:r w:rsidR="00611624">
        <w:fldChar w:fldCharType="separate"/>
      </w:r>
      <w:r w:rsidR="00A002F4">
        <w:t xml:space="preserve">Table </w:t>
      </w:r>
      <w:r w:rsidR="00A002F4">
        <w:rPr>
          <w:noProof/>
        </w:rPr>
        <w:t>78</w:t>
      </w:r>
      <w:r w:rsidR="00611624">
        <w:fldChar w:fldCharType="end"/>
      </w:r>
      <w:r w:rsidR="00611624">
        <w:t xml:space="preserve"> </w:t>
      </w:r>
      <w:r w:rsidR="00FD1A76">
        <w:t xml:space="preserve">of </w:t>
      </w:r>
      <w:hyperlink w:anchor="AppendixH2_DirectBenefitInputs" w:history="1">
        <w:r w:rsidR="00B9470C">
          <w:rPr>
            <w:rStyle w:val="Hyperlink"/>
            <w:color w:val="auto"/>
            <w:u w:val="none"/>
          </w:rPr>
          <w:t xml:space="preserve">Appendix </w:t>
        </w:r>
        <w:r w:rsidR="005A7CDF">
          <w:rPr>
            <w:rStyle w:val="Hyperlink"/>
            <w:color w:val="auto"/>
            <w:u w:val="none"/>
          </w:rPr>
          <w:t>H</w:t>
        </w:r>
      </w:hyperlink>
      <w:r w:rsidRPr="00993B73">
        <w:t xml:space="preserve">. </w:t>
      </w:r>
    </w:p>
    <w:p w14:paraId="546C7C31" w14:textId="77777777" w:rsidR="00BA70CB" w:rsidRPr="00993B73" w:rsidRDefault="00BA70CB" w:rsidP="00B82D65">
      <w:pPr>
        <w:pStyle w:val="SWAHeading4"/>
      </w:pPr>
      <w:bookmarkStart w:id="683" w:name="_Ref177547534"/>
      <w:r w:rsidRPr="00993B73">
        <w:t>Workers’ compensation claim data</w:t>
      </w:r>
      <w:bookmarkEnd w:id="683"/>
    </w:p>
    <w:p w14:paraId="60E53BD7" w14:textId="2DDFDD3D" w:rsidR="00BA70CB" w:rsidRPr="00993B73" w:rsidRDefault="00BA70CB" w:rsidP="00BA70CB">
      <w:r w:rsidRPr="00993B73">
        <w:t xml:space="preserve">The call-out box below provides further information on the NDS data used to estimate the baseline workers’ compensation costs attributable to the </w:t>
      </w:r>
      <w:r w:rsidR="00B82D65">
        <w:t>9</w:t>
      </w:r>
      <w:r w:rsidRPr="00993B73">
        <w:t xml:space="preserve"> chemicals</w:t>
      </w:r>
      <w:r w:rsidR="00050856">
        <w:t xml:space="preserve"> that are </w:t>
      </w:r>
      <w:r w:rsidR="00827865">
        <w:t>considered in</w:t>
      </w:r>
      <w:r w:rsidR="00050856">
        <w:t xml:space="preserve"> this Decision RIS</w:t>
      </w:r>
      <w:r w:rsidRPr="00993B73">
        <w:t>.</w:t>
      </w:r>
    </w:p>
    <w:p w14:paraId="58A60AEF" w14:textId="77777777" w:rsidR="004A735C" w:rsidRDefault="004A735C" w:rsidP="00BA70CB"/>
    <w:tbl>
      <w:tblPr>
        <w:tblStyle w:val="TableGrid"/>
        <w:tblW w:w="0" w:type="auto"/>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tblBorders>
        <w:shd w:val="clear" w:color="auto" w:fill="7F7F7F" w:themeFill="accent5"/>
        <w:tblLook w:val="04A0" w:firstRow="1" w:lastRow="0" w:firstColumn="1" w:lastColumn="0" w:noHBand="0" w:noVBand="1"/>
      </w:tblPr>
      <w:tblGrid>
        <w:gridCol w:w="9016"/>
      </w:tblGrid>
      <w:tr w:rsidR="004A735C" w:rsidRPr="00594FFA" w14:paraId="22C85F46" w14:textId="77777777" w:rsidTr="00DC645D">
        <w:tc>
          <w:tcPr>
            <w:tcW w:w="9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7AAE0397" w14:textId="77777777" w:rsidR="004A735C" w:rsidRPr="00594FFA" w:rsidRDefault="004A735C">
            <w:pPr>
              <w:keepNext/>
              <w:keepLines/>
              <w:spacing w:before="240" w:after="0" w:line="240" w:lineRule="auto"/>
              <w:contextualSpacing w:val="0"/>
              <w:rPr>
                <w:rFonts w:cs="Arial"/>
                <w:b/>
                <w:bCs/>
                <w:lang w:eastAsia="en-AU"/>
              </w:rPr>
            </w:pPr>
            <w:r w:rsidRPr="00594FFA">
              <w:rPr>
                <w:rFonts w:cs="Arial"/>
                <w:b/>
                <w:bCs/>
                <w:lang w:eastAsia="en-AU"/>
              </w:rPr>
              <w:lastRenderedPageBreak/>
              <w:t>Workers’ compensation statistics</w:t>
            </w:r>
          </w:p>
          <w:p w14:paraId="6D36A008" w14:textId="1BA35630" w:rsidR="0046172B" w:rsidRPr="00993B73" w:rsidRDefault="0046172B" w:rsidP="0046172B">
            <w:pPr>
              <w:rPr>
                <w:color w:val="E7E6E6" w:themeColor="background2"/>
                <w:lang w:eastAsia="en-AU"/>
              </w:rPr>
            </w:pPr>
            <w:r w:rsidRPr="0046172B">
              <w:rPr>
                <w:lang w:eastAsia="en-AU"/>
              </w:rPr>
              <w:t xml:space="preserve">The workers’ compensation statistics summarised below are derived from NDS data provided by </w:t>
            </w:r>
            <w:r>
              <w:rPr>
                <w:lang w:eastAsia="en-AU"/>
              </w:rPr>
              <w:t>Safe Work Australia</w:t>
            </w:r>
            <w:r w:rsidRPr="0046172B">
              <w:rPr>
                <w:lang w:eastAsia="en-AU"/>
              </w:rPr>
              <w:t xml:space="preserve">. Workers’ compensation data is available for only </w:t>
            </w:r>
            <w:r>
              <w:rPr>
                <w:lang w:eastAsia="en-AU"/>
              </w:rPr>
              <w:t>4</w:t>
            </w:r>
            <w:r w:rsidRPr="0046172B">
              <w:rPr>
                <w:lang w:eastAsia="en-AU"/>
              </w:rPr>
              <w:t xml:space="preserve"> of the </w:t>
            </w:r>
            <w:r>
              <w:rPr>
                <w:lang w:eastAsia="en-AU"/>
              </w:rPr>
              <w:t>9</w:t>
            </w:r>
            <w:r w:rsidRPr="0046172B">
              <w:rPr>
                <w:lang w:eastAsia="en-AU"/>
              </w:rPr>
              <w:t xml:space="preserve"> chemicals</w:t>
            </w:r>
            <w:r>
              <w:rPr>
                <w:lang w:eastAsia="en-AU"/>
              </w:rPr>
              <w:t xml:space="preserve"> that </w:t>
            </w:r>
            <w:r w:rsidR="00827865">
              <w:rPr>
                <w:lang w:eastAsia="en-AU"/>
              </w:rPr>
              <w:t>considered in</w:t>
            </w:r>
            <w:r>
              <w:rPr>
                <w:lang w:eastAsia="en-AU"/>
              </w:rPr>
              <w:t xml:space="preserve"> this Decision RIS</w:t>
            </w:r>
            <w:r w:rsidRPr="0046172B">
              <w:rPr>
                <w:lang w:eastAsia="en-AU"/>
              </w:rPr>
              <w:t>, namely: benzene, chlorine, hydrogen sul</w:t>
            </w:r>
            <w:r w:rsidR="0069736F">
              <w:rPr>
                <w:lang w:eastAsia="en-AU"/>
              </w:rPr>
              <w:t>f</w:t>
            </w:r>
            <w:r w:rsidRPr="0046172B">
              <w:rPr>
                <w:lang w:eastAsia="en-AU"/>
              </w:rPr>
              <w:t xml:space="preserve">ide and RCS. </w:t>
            </w:r>
            <w:r>
              <w:t>No workers’ compensation data was available for the remaining five chemicals (copper, formaldehyde, hydrogen cyanide, nitrogen dioxide and titanium dioxide). This is due, in part, to the challenges in establishing causation given the long latency periods between exposure and disease onset.</w:t>
            </w:r>
          </w:p>
          <w:p w14:paraId="4A2538F4" w14:textId="77777777" w:rsidR="004A735C" w:rsidRPr="009E2CC2" w:rsidRDefault="004A735C">
            <w:pPr>
              <w:keepNext/>
              <w:keepLines/>
              <w:spacing w:before="240" w:after="0" w:line="240" w:lineRule="auto"/>
              <w:contextualSpacing w:val="0"/>
              <w:rPr>
                <w:rFonts w:cs="Arial"/>
                <w:lang w:eastAsia="en-AU"/>
              </w:rPr>
            </w:pPr>
            <w:r w:rsidRPr="009E2CC2">
              <w:rPr>
                <w:rFonts w:cs="Arial"/>
                <w:lang w:eastAsia="en-AU"/>
              </w:rPr>
              <w:t>The analysis of workplace compensation data uses the following datasets:</w:t>
            </w:r>
          </w:p>
          <w:p w14:paraId="1106D7FD" w14:textId="77777777" w:rsidR="004A735C" w:rsidRPr="00594FFA" w:rsidRDefault="004A735C" w:rsidP="00A2768E">
            <w:pPr>
              <w:pStyle w:val="ListParagraph"/>
              <w:keepNext/>
              <w:keepLines/>
              <w:numPr>
                <w:ilvl w:val="0"/>
                <w:numId w:val="112"/>
              </w:numPr>
              <w:spacing w:before="120" w:after="0" w:line="240" w:lineRule="auto"/>
              <w:rPr>
                <w:rFonts w:cs="Arial"/>
                <w:szCs w:val="22"/>
                <w:lang w:eastAsia="en-AU"/>
              </w:rPr>
            </w:pPr>
            <w:r w:rsidRPr="00594FFA">
              <w:rPr>
                <w:rFonts w:cs="Arial"/>
                <w:b/>
                <w:bCs/>
                <w:szCs w:val="22"/>
                <w:lang w:eastAsia="en-AU"/>
              </w:rPr>
              <w:t>The airborne contaminants specific dataset</w:t>
            </w:r>
            <w:r w:rsidRPr="00594FFA">
              <w:rPr>
                <w:rFonts w:cs="Arial"/>
                <w:szCs w:val="22"/>
                <w:lang w:eastAsia="en-AU"/>
              </w:rPr>
              <w:t xml:space="preserve"> contains all workers’ compensation claims where the claim was primarily attributable to one of these four chemicals. </w:t>
            </w:r>
          </w:p>
          <w:p w14:paraId="4E98C0B4" w14:textId="24911BA2" w:rsidR="004A735C" w:rsidRPr="00594FFA" w:rsidRDefault="004A735C" w:rsidP="00A2768E">
            <w:pPr>
              <w:pStyle w:val="ListParagraph"/>
              <w:keepNext/>
              <w:keepLines/>
              <w:numPr>
                <w:ilvl w:val="0"/>
                <w:numId w:val="112"/>
              </w:numPr>
              <w:spacing w:before="120" w:after="0" w:line="240" w:lineRule="auto"/>
              <w:ind w:left="714" w:hanging="357"/>
              <w:contextualSpacing w:val="0"/>
              <w:rPr>
                <w:rFonts w:cs="Arial"/>
                <w:szCs w:val="22"/>
                <w:lang w:eastAsia="en-AU"/>
              </w:rPr>
            </w:pPr>
            <w:r w:rsidRPr="00594FFA">
              <w:rPr>
                <w:rFonts w:cs="Arial"/>
                <w:b/>
                <w:bCs/>
                <w:szCs w:val="22"/>
                <w:lang w:eastAsia="en-AU"/>
              </w:rPr>
              <w:t>The breakdown agency column</w:t>
            </w:r>
            <w:r w:rsidRPr="00594FFA">
              <w:rPr>
                <w:rFonts w:cs="Arial"/>
                <w:szCs w:val="22"/>
                <w:lang w:eastAsia="en-AU"/>
              </w:rPr>
              <w:t xml:space="preserve"> identifies the object, substance or circumstance that was principally involved in, or most closely associated with, the point at which things started to go wrong and which ultimately led to the most serious injury or disease</w:t>
            </w:r>
            <w:r w:rsidR="00A70A79">
              <w:rPr>
                <w:rFonts w:cs="Arial"/>
                <w:szCs w:val="22"/>
                <w:lang w:eastAsia="en-AU"/>
              </w:rPr>
              <w:t xml:space="preserve"> </w:t>
            </w:r>
            <w:sdt>
              <w:sdtPr>
                <w:rPr>
                  <w:rFonts w:cs="Arial"/>
                  <w:szCs w:val="22"/>
                  <w:lang w:eastAsia="en-AU"/>
                </w:rPr>
                <w:id w:val="-354042562"/>
                <w:citation/>
              </w:sdtPr>
              <w:sdtEndPr/>
              <w:sdtContent>
                <w:r w:rsidR="007D395B">
                  <w:rPr>
                    <w:rFonts w:cs="Arial"/>
                    <w:szCs w:val="22"/>
                    <w:lang w:eastAsia="en-AU"/>
                  </w:rPr>
                  <w:fldChar w:fldCharType="begin"/>
                </w:r>
                <w:r w:rsidR="007D395B">
                  <w:rPr>
                    <w:rFonts w:cs="Arial"/>
                    <w:szCs w:val="22"/>
                    <w:lang w:eastAsia="en-AU"/>
                  </w:rPr>
                  <w:instrText xml:space="preserve"> CITATION Saf204 \l 3081 </w:instrText>
                </w:r>
                <w:r w:rsidR="007D395B">
                  <w:rPr>
                    <w:rFonts w:cs="Arial"/>
                    <w:szCs w:val="22"/>
                    <w:lang w:eastAsia="en-AU"/>
                  </w:rPr>
                  <w:fldChar w:fldCharType="separate"/>
                </w:r>
                <w:r w:rsidR="00490B21" w:rsidRPr="00490B21">
                  <w:rPr>
                    <w:rFonts w:cs="Arial"/>
                    <w:noProof/>
                    <w:szCs w:val="22"/>
                    <w:lang w:eastAsia="en-AU"/>
                  </w:rPr>
                  <w:t>(Safe Work Australia, 2020)</w:t>
                </w:r>
                <w:r w:rsidR="007D395B">
                  <w:rPr>
                    <w:rFonts w:cs="Arial"/>
                    <w:szCs w:val="22"/>
                    <w:lang w:eastAsia="en-AU"/>
                  </w:rPr>
                  <w:fldChar w:fldCharType="end"/>
                </w:r>
              </w:sdtContent>
            </w:sdt>
            <w:r w:rsidRPr="00594FFA">
              <w:rPr>
                <w:rFonts w:cs="Arial"/>
                <w:szCs w:val="22"/>
                <w:lang w:eastAsia="en-AU"/>
              </w:rPr>
              <w:t>.</w:t>
            </w:r>
            <w:r w:rsidRPr="00B231FB">
              <w:rPr>
                <w:rFonts w:cs="Arial"/>
                <w:szCs w:val="22"/>
                <w:lang w:eastAsia="en-AU"/>
              </w:rPr>
              <w:t xml:space="preserve"> </w:t>
            </w:r>
          </w:p>
          <w:p w14:paraId="55259148" w14:textId="77777777" w:rsidR="004A735C" w:rsidRPr="00594FFA" w:rsidRDefault="004A735C" w:rsidP="00A2768E">
            <w:pPr>
              <w:pStyle w:val="ListParagraph"/>
              <w:keepNext/>
              <w:keepLines/>
              <w:numPr>
                <w:ilvl w:val="0"/>
                <w:numId w:val="112"/>
              </w:numPr>
              <w:spacing w:before="120" w:after="0" w:line="240" w:lineRule="auto"/>
              <w:ind w:left="714" w:hanging="357"/>
              <w:contextualSpacing w:val="0"/>
              <w:rPr>
                <w:rFonts w:cs="Arial"/>
                <w:szCs w:val="22"/>
                <w:lang w:eastAsia="en-AU"/>
              </w:rPr>
            </w:pPr>
            <w:r w:rsidRPr="00594FFA">
              <w:rPr>
                <w:rFonts w:cs="Arial"/>
                <w:b/>
                <w:bCs/>
                <w:szCs w:val="22"/>
                <w:lang w:eastAsia="en-AU"/>
              </w:rPr>
              <w:t>The severity indicator column</w:t>
            </w:r>
            <w:r w:rsidRPr="00594FFA">
              <w:rPr>
                <w:rFonts w:cs="Arial"/>
                <w:szCs w:val="22"/>
                <w:lang w:eastAsia="en-AU"/>
              </w:rPr>
              <w:t xml:space="preserve"> categorises illness or disease as fatal, total or partial incapacitation or temporary incapacitation. The calculation of the direct financial benefits (measured using the average cost per claim) and indirect financial benefits (measured using the average time off work) accounts for all categories of severity.</w:t>
            </w:r>
          </w:p>
          <w:p w14:paraId="1D435378" w14:textId="77777777" w:rsidR="004A735C" w:rsidRPr="00594FFA" w:rsidRDefault="004A735C" w:rsidP="00A2768E">
            <w:pPr>
              <w:pStyle w:val="ListParagraph"/>
              <w:keepNext/>
              <w:keepLines/>
              <w:numPr>
                <w:ilvl w:val="0"/>
                <w:numId w:val="112"/>
              </w:numPr>
              <w:spacing w:before="120" w:line="240" w:lineRule="auto"/>
              <w:ind w:left="714" w:hanging="357"/>
              <w:contextualSpacing w:val="0"/>
              <w:rPr>
                <w:rFonts w:cs="Arial"/>
                <w:szCs w:val="22"/>
                <w:lang w:eastAsia="en-AU"/>
              </w:rPr>
            </w:pPr>
            <w:r w:rsidRPr="00594FFA">
              <w:rPr>
                <w:rFonts w:cs="Arial"/>
                <w:b/>
                <w:bCs/>
                <w:szCs w:val="22"/>
                <w:lang w:eastAsia="en-AU"/>
              </w:rPr>
              <w:t>The nature of injury column</w:t>
            </w:r>
            <w:r w:rsidRPr="00594FFA">
              <w:rPr>
                <w:rFonts w:cs="Arial"/>
                <w:szCs w:val="22"/>
                <w:lang w:eastAsia="en-AU"/>
              </w:rPr>
              <w:t xml:space="preserve"> identifies the most serious injury or disease sustained or suffered by the worker exposed to each chemical. The calculation of the direct financial benefits (measured using the average cost per claim) and indirect financial benefits (measured using the average time off work) accounts for all natures of injury classifications.</w:t>
            </w:r>
          </w:p>
          <w:p w14:paraId="3AE5F40B" w14:textId="770228CE" w:rsidR="004A735C" w:rsidRDefault="004A735C">
            <w:pPr>
              <w:keepNext/>
              <w:keepLines/>
              <w:spacing w:before="240" w:line="240" w:lineRule="auto"/>
              <w:contextualSpacing w:val="0"/>
              <w:rPr>
                <w:rFonts w:cs="Arial"/>
                <w:lang w:eastAsia="en-AU"/>
              </w:rPr>
            </w:pPr>
            <w:r w:rsidRPr="009E2CC2">
              <w:rPr>
                <w:rFonts w:cs="Arial"/>
                <w:lang w:eastAsia="en-AU"/>
              </w:rPr>
              <w:t xml:space="preserve">The statistics provided by </w:t>
            </w:r>
            <w:r w:rsidR="008D6AE7">
              <w:rPr>
                <w:rFonts w:cs="Arial"/>
                <w:lang w:eastAsia="en-AU"/>
              </w:rPr>
              <w:t>Safe Work Australia</w:t>
            </w:r>
            <w:r w:rsidRPr="009E2CC2">
              <w:rPr>
                <w:rFonts w:cs="Arial"/>
                <w:lang w:eastAsia="en-AU"/>
              </w:rPr>
              <w:t xml:space="preserve"> included all relevant claims for the 10-year period from 2012 to 2021, inclusive. However, for the purpose of the below analysis, the five-year period from 2017 to 2021 has been used. This period captures the significant uplift in workers’ compensation claims attributed to occupational exposure to RCS and is considered to be a more appropriate reflection of the current burden of occupational exposure to the </w:t>
            </w:r>
            <w:r>
              <w:rPr>
                <w:rFonts w:cs="Arial"/>
                <w:lang w:eastAsia="en-AU"/>
              </w:rPr>
              <w:t xml:space="preserve">9 </w:t>
            </w:r>
            <w:r w:rsidRPr="009E2CC2">
              <w:rPr>
                <w:rFonts w:cs="Arial"/>
                <w:lang w:eastAsia="en-AU"/>
              </w:rPr>
              <w:t xml:space="preserve">chemicals. </w:t>
            </w:r>
          </w:p>
          <w:p w14:paraId="1ED85982" w14:textId="77777777" w:rsidR="004A735C" w:rsidRDefault="004A735C">
            <w:pPr>
              <w:keepNext/>
              <w:keepLines/>
              <w:spacing w:line="240" w:lineRule="auto"/>
              <w:contextualSpacing w:val="0"/>
              <w:rPr>
                <w:rFonts w:cs="Arial"/>
                <w:szCs w:val="22"/>
                <w:lang w:eastAsia="en-AU"/>
              </w:rPr>
            </w:pPr>
            <w:r w:rsidRPr="00594FFA">
              <w:rPr>
                <w:rFonts w:cs="Arial"/>
                <w:szCs w:val="22"/>
                <w:lang w:eastAsia="en-AU"/>
              </w:rPr>
              <w:t xml:space="preserve">It should be noted that workers compensation data does not identify whether any claims resulted from occupational exposure to a chemical that was in excess of the current WES. </w:t>
            </w:r>
          </w:p>
          <w:p w14:paraId="22D00E7C" w14:textId="49B753BA" w:rsidR="004A735C" w:rsidRPr="00594FFA" w:rsidRDefault="00C150D9">
            <w:pPr>
              <w:keepNext/>
              <w:keepLines/>
              <w:spacing w:line="240" w:lineRule="auto"/>
              <w:contextualSpacing w:val="0"/>
              <w:rPr>
                <w:szCs w:val="22"/>
                <w:lang w:eastAsia="en-AU"/>
              </w:rPr>
            </w:pPr>
            <w:r w:rsidRPr="00C150D9">
              <w:rPr>
                <w:lang w:eastAsia="en-AU"/>
              </w:rPr>
              <w:t>The limitations are discussed in further detail in</w:t>
            </w:r>
            <w:r w:rsidR="00E03B72">
              <w:rPr>
                <w:lang w:eastAsia="en-AU"/>
              </w:rPr>
              <w:t xml:space="preserve"> </w:t>
            </w:r>
            <w:r w:rsidR="00E03B72">
              <w:rPr>
                <w:lang w:eastAsia="en-AU"/>
              </w:rPr>
              <w:fldChar w:fldCharType="begin"/>
            </w:r>
            <w:r w:rsidR="00E03B72">
              <w:rPr>
                <w:lang w:eastAsia="en-AU"/>
              </w:rPr>
              <w:instrText xml:space="preserve"> REF _Ref216793461 \h </w:instrText>
            </w:r>
            <w:r w:rsidR="00E03B72">
              <w:rPr>
                <w:lang w:eastAsia="en-AU"/>
              </w:rPr>
            </w:r>
            <w:r w:rsidR="00E03B72">
              <w:rPr>
                <w:lang w:eastAsia="en-AU"/>
              </w:rPr>
              <w:fldChar w:fldCharType="separate"/>
            </w:r>
            <w:r w:rsidR="00A002F4">
              <w:t xml:space="preserve">Table </w:t>
            </w:r>
            <w:r w:rsidR="00A002F4">
              <w:rPr>
                <w:noProof/>
              </w:rPr>
              <w:t>66</w:t>
            </w:r>
            <w:r w:rsidR="00E03B72">
              <w:rPr>
                <w:lang w:eastAsia="en-AU"/>
              </w:rPr>
              <w:fldChar w:fldCharType="end"/>
            </w:r>
            <w:r w:rsidRPr="00C150D9">
              <w:rPr>
                <w:lang w:eastAsia="en-AU"/>
              </w:rPr>
              <w:t>.</w:t>
            </w:r>
          </w:p>
        </w:tc>
      </w:tr>
    </w:tbl>
    <w:p w14:paraId="05BF871D" w14:textId="77777777" w:rsidR="004A735C" w:rsidRPr="00993B73" w:rsidRDefault="004A735C" w:rsidP="00BA70CB"/>
    <w:p w14:paraId="4422A057" w14:textId="77777777" w:rsidR="00B82D65" w:rsidRPr="00B82D65" w:rsidRDefault="00B82D65" w:rsidP="00B82D65">
      <w:pPr>
        <w:pStyle w:val="SWAHeading4"/>
      </w:pPr>
      <w:r w:rsidRPr="00B82D65">
        <w:t>Analysis of worker’ compensation data</w:t>
      </w:r>
    </w:p>
    <w:p w14:paraId="7F6DF701" w14:textId="5AEB50FB" w:rsidR="00B82D65" w:rsidRPr="00082586" w:rsidRDefault="00B82D65" w:rsidP="00B82D65">
      <w:pPr>
        <w:spacing w:before="240"/>
        <w:contextualSpacing w:val="0"/>
        <w:rPr>
          <w:color w:val="000000" w:themeColor="text1"/>
        </w:rPr>
      </w:pPr>
      <w:r w:rsidRPr="0044242A">
        <w:rPr>
          <w:b/>
          <w:bCs/>
        </w:rPr>
        <w:t>Workers’ compensation claims attributed to benzene, chlorine, hydrogen sul</w:t>
      </w:r>
      <w:r w:rsidR="00E83499">
        <w:rPr>
          <w:b/>
          <w:bCs/>
        </w:rPr>
        <w:t>f</w:t>
      </w:r>
      <w:r w:rsidRPr="0044242A">
        <w:rPr>
          <w:b/>
          <w:bCs/>
        </w:rPr>
        <w:t xml:space="preserve">ide and RCS between 2017 and 2021 totalled $219 million. </w:t>
      </w:r>
    </w:p>
    <w:p w14:paraId="38A9D38E" w14:textId="2AD96D0C" w:rsidR="00B82D65" w:rsidRPr="00594FFA" w:rsidRDefault="00B82D65" w:rsidP="00B82D65">
      <w:pPr>
        <w:contextualSpacing w:val="0"/>
        <w:rPr>
          <w:rFonts w:cs="Arial"/>
          <w:color w:val="000000" w:themeColor="text1"/>
          <w:szCs w:val="22"/>
          <w:lang w:eastAsia="en-AU"/>
        </w:rPr>
      </w:pPr>
      <w:r w:rsidRPr="00EE39F8">
        <w:rPr>
          <w:rFonts w:cs="Arial"/>
          <w:bCs/>
          <w:color w:val="000000" w:themeColor="text1"/>
          <w:szCs w:val="22"/>
          <w:lang w:eastAsia="en-AU"/>
        </w:rPr>
        <w:t>Summaries of the analysis for the workers’ compensation claims attributed to benzene, chlorine, hydrogen sul</w:t>
      </w:r>
      <w:r w:rsidR="00312B4B" w:rsidRPr="00EE39F8">
        <w:rPr>
          <w:rFonts w:cs="Arial"/>
          <w:bCs/>
          <w:color w:val="000000" w:themeColor="text1"/>
          <w:szCs w:val="22"/>
          <w:lang w:eastAsia="en-AU"/>
        </w:rPr>
        <w:t>f</w:t>
      </w:r>
      <w:r w:rsidRPr="00EE39F8">
        <w:rPr>
          <w:rFonts w:cs="Arial"/>
          <w:bCs/>
          <w:color w:val="000000" w:themeColor="text1"/>
          <w:szCs w:val="22"/>
          <w:lang w:eastAsia="en-AU"/>
        </w:rPr>
        <w:t xml:space="preserve">ide and RCS between 2017 and 2021 are presented in </w:t>
      </w:r>
      <w:r w:rsidR="008D4759" w:rsidRPr="00EE39F8">
        <w:rPr>
          <w:rFonts w:cs="Arial"/>
          <w:bCs/>
          <w:color w:val="000000" w:themeColor="text1"/>
          <w:szCs w:val="22"/>
          <w:lang w:eastAsia="en-AU"/>
        </w:rPr>
        <w:fldChar w:fldCharType="begin"/>
      </w:r>
      <w:r w:rsidR="008D4759" w:rsidRPr="00EE39F8">
        <w:rPr>
          <w:rFonts w:cs="Arial"/>
          <w:bCs/>
          <w:color w:val="000000" w:themeColor="text1"/>
          <w:szCs w:val="22"/>
          <w:lang w:eastAsia="en-AU"/>
        </w:rPr>
        <w:instrText xml:space="preserve"> REF _Ref200028722 \h </w:instrText>
      </w:r>
      <w:r w:rsidR="00EE39F8" w:rsidRPr="00EE39F8">
        <w:rPr>
          <w:rFonts w:cs="Arial"/>
          <w:bCs/>
          <w:color w:val="000000" w:themeColor="text1"/>
          <w:szCs w:val="22"/>
          <w:lang w:eastAsia="en-AU"/>
        </w:rPr>
        <w:instrText xml:space="preserve"> \* MERGEFORMAT </w:instrText>
      </w:r>
      <w:r w:rsidR="008D4759" w:rsidRPr="00EE39F8">
        <w:rPr>
          <w:rFonts w:cs="Arial"/>
          <w:bCs/>
          <w:color w:val="000000" w:themeColor="text1"/>
          <w:szCs w:val="22"/>
          <w:lang w:eastAsia="en-AU"/>
        </w:rPr>
      </w:r>
      <w:r w:rsidR="008D4759" w:rsidRPr="00EE39F8">
        <w:rPr>
          <w:rFonts w:cs="Arial"/>
          <w:bCs/>
          <w:color w:val="000000" w:themeColor="text1"/>
          <w:szCs w:val="22"/>
          <w:lang w:eastAsia="en-AU"/>
        </w:rPr>
        <w:fldChar w:fldCharType="separate"/>
      </w:r>
      <w:r w:rsidR="00A002F4" w:rsidRPr="00A002F4">
        <w:rPr>
          <w:bCs/>
        </w:rPr>
        <w:t xml:space="preserve">Figure </w:t>
      </w:r>
      <w:r w:rsidR="00A002F4" w:rsidRPr="00A002F4">
        <w:rPr>
          <w:bCs/>
          <w:noProof/>
        </w:rPr>
        <w:t>4</w:t>
      </w:r>
      <w:r w:rsidR="008D4759" w:rsidRPr="00EE39F8">
        <w:rPr>
          <w:rFonts w:cs="Arial"/>
          <w:bCs/>
          <w:color w:val="000000" w:themeColor="text1"/>
          <w:szCs w:val="22"/>
          <w:lang w:eastAsia="en-AU"/>
        </w:rPr>
        <w:fldChar w:fldCharType="end"/>
      </w:r>
      <w:r w:rsidRPr="00EE39F8">
        <w:rPr>
          <w:rFonts w:cs="Arial"/>
          <w:bCs/>
          <w:color w:val="000000" w:themeColor="text1"/>
          <w:szCs w:val="22"/>
          <w:lang w:eastAsia="en-AU"/>
        </w:rPr>
        <w:t xml:space="preserve"> and</w:t>
      </w:r>
      <w:r w:rsidRPr="00EE39F8">
        <w:rPr>
          <w:bCs/>
        </w:rPr>
        <w:t xml:space="preserve"> </w:t>
      </w:r>
      <w:r w:rsidR="00212BC4">
        <w:rPr>
          <w:bCs/>
        </w:rPr>
        <w:fldChar w:fldCharType="begin"/>
      </w:r>
      <w:r w:rsidR="00212BC4">
        <w:rPr>
          <w:bCs/>
        </w:rPr>
        <w:instrText xml:space="preserve"> REF _Ref216792583 \h </w:instrText>
      </w:r>
      <w:r w:rsidR="00212BC4">
        <w:rPr>
          <w:bCs/>
        </w:rPr>
      </w:r>
      <w:r w:rsidR="00212BC4">
        <w:rPr>
          <w:bCs/>
        </w:rPr>
        <w:fldChar w:fldCharType="separate"/>
      </w:r>
      <w:r w:rsidR="00A002F4">
        <w:t xml:space="preserve">Table </w:t>
      </w:r>
      <w:r w:rsidR="00A002F4">
        <w:rPr>
          <w:noProof/>
        </w:rPr>
        <w:t>51</w:t>
      </w:r>
      <w:r w:rsidR="00212BC4">
        <w:rPr>
          <w:bCs/>
        </w:rPr>
        <w:fldChar w:fldCharType="end"/>
      </w:r>
      <w:r w:rsidRPr="00594FFA">
        <w:rPr>
          <w:rFonts w:cs="Arial"/>
          <w:color w:val="000000" w:themeColor="text1"/>
          <w:szCs w:val="22"/>
          <w:lang w:eastAsia="en-AU"/>
        </w:rPr>
        <w:t xml:space="preserve">. The figure and table present all claims attributed to these chemicals, regardless of the severity or nature of injury (including fatality and permanent impairment). As such, the claims may involve injuries that are not expected to be reduced as a result of the proposed WEL changes, for example, chemical burns. See </w:t>
      </w:r>
      <w:r w:rsidR="00E03B72">
        <w:rPr>
          <w:rFonts w:cs="Arial"/>
          <w:color w:val="000000" w:themeColor="text1"/>
          <w:szCs w:val="22"/>
          <w:highlight w:val="lightGray"/>
          <w:lang w:eastAsia="en-AU"/>
        </w:rPr>
        <w:fldChar w:fldCharType="begin"/>
      </w:r>
      <w:r w:rsidR="00E03B72">
        <w:rPr>
          <w:rFonts w:cs="Arial"/>
          <w:color w:val="000000" w:themeColor="text1"/>
          <w:szCs w:val="22"/>
          <w:lang w:eastAsia="en-AU"/>
        </w:rPr>
        <w:instrText xml:space="preserve"> REF _Ref216793461 \h </w:instrText>
      </w:r>
      <w:r w:rsidR="00E03B72">
        <w:rPr>
          <w:rFonts w:cs="Arial"/>
          <w:color w:val="000000" w:themeColor="text1"/>
          <w:szCs w:val="22"/>
          <w:highlight w:val="lightGray"/>
          <w:lang w:eastAsia="en-AU"/>
        </w:rPr>
      </w:r>
      <w:r w:rsidR="00E03B72">
        <w:rPr>
          <w:rFonts w:cs="Arial"/>
          <w:color w:val="000000" w:themeColor="text1"/>
          <w:szCs w:val="22"/>
          <w:highlight w:val="lightGray"/>
          <w:lang w:eastAsia="en-AU"/>
        </w:rPr>
        <w:fldChar w:fldCharType="separate"/>
      </w:r>
      <w:r w:rsidR="00A002F4">
        <w:t xml:space="preserve">Table </w:t>
      </w:r>
      <w:r w:rsidR="00A002F4">
        <w:rPr>
          <w:noProof/>
        </w:rPr>
        <w:t>66</w:t>
      </w:r>
      <w:r w:rsidR="00E03B72">
        <w:rPr>
          <w:rFonts w:cs="Arial"/>
          <w:color w:val="000000" w:themeColor="text1"/>
          <w:szCs w:val="22"/>
          <w:highlight w:val="lightGray"/>
          <w:lang w:eastAsia="en-AU"/>
        </w:rPr>
        <w:fldChar w:fldCharType="end"/>
      </w:r>
      <w:r w:rsidRPr="0050663D">
        <w:rPr>
          <w:rFonts w:cs="Arial"/>
          <w:color w:val="000000" w:themeColor="text1"/>
          <w:szCs w:val="22"/>
          <w:lang w:eastAsia="en-AU"/>
        </w:rPr>
        <w:t xml:space="preserve"> </w:t>
      </w:r>
      <w:r w:rsidRPr="00594FFA">
        <w:rPr>
          <w:rFonts w:cs="Arial"/>
          <w:color w:val="000000" w:themeColor="text1"/>
          <w:szCs w:val="22"/>
          <w:lang w:eastAsia="en-AU"/>
        </w:rPr>
        <w:t>for further discussion.</w:t>
      </w:r>
    </w:p>
    <w:p w14:paraId="6625C188" w14:textId="77777777" w:rsidR="00B82D65" w:rsidRDefault="00B82D65" w:rsidP="00B82D65">
      <w:pPr>
        <w:keepNext/>
        <w:keepLines/>
        <w:rPr>
          <w:rFonts w:cs="Arial"/>
          <w:szCs w:val="22"/>
        </w:rPr>
      </w:pPr>
      <w:r>
        <w:rPr>
          <w:rFonts w:cs="Arial"/>
          <w:szCs w:val="22"/>
        </w:rPr>
        <w:lastRenderedPageBreak/>
        <w:t>The analysis insights across the three key metrics include:</w:t>
      </w:r>
    </w:p>
    <w:p w14:paraId="517E5B2B" w14:textId="77777777" w:rsidR="00B82D65" w:rsidRPr="00594FFA" w:rsidRDefault="00B82D65" w:rsidP="00A2768E">
      <w:pPr>
        <w:pStyle w:val="ListParagraph"/>
        <w:keepNext/>
        <w:keepLines/>
        <w:numPr>
          <w:ilvl w:val="0"/>
          <w:numId w:val="113"/>
        </w:numPr>
        <w:suppressAutoHyphens/>
        <w:spacing w:line="259" w:lineRule="auto"/>
        <w:contextualSpacing w:val="0"/>
        <w:rPr>
          <w:rFonts w:cs="Arial"/>
          <w:szCs w:val="22"/>
        </w:rPr>
      </w:pPr>
      <w:r w:rsidRPr="00F21039">
        <w:rPr>
          <w:rFonts w:cs="Arial"/>
          <w:b/>
          <w:bCs/>
          <w:szCs w:val="22"/>
        </w:rPr>
        <w:t>The number of claims</w:t>
      </w:r>
      <w:r w:rsidRPr="00594FFA">
        <w:rPr>
          <w:rFonts w:cs="Arial"/>
          <w:szCs w:val="22"/>
        </w:rPr>
        <w:t>: RCS has the highest number of claims (400, or 60</w:t>
      </w:r>
      <w:r>
        <w:rPr>
          <w:rFonts w:cs="Arial"/>
          <w:szCs w:val="22"/>
        </w:rPr>
        <w:t>%</w:t>
      </w:r>
      <w:r w:rsidRPr="00594FFA">
        <w:rPr>
          <w:rFonts w:cs="Arial"/>
          <w:szCs w:val="22"/>
        </w:rPr>
        <w:t xml:space="preserve"> of the total claims), followed by chlorine (232</w:t>
      </w:r>
      <w:r>
        <w:rPr>
          <w:rFonts w:cs="Arial"/>
          <w:szCs w:val="22"/>
        </w:rPr>
        <w:t>,</w:t>
      </w:r>
      <w:r w:rsidRPr="00594FFA">
        <w:rPr>
          <w:rFonts w:cs="Arial"/>
          <w:szCs w:val="22"/>
        </w:rPr>
        <w:t xml:space="preserve"> or 35</w:t>
      </w:r>
      <w:r>
        <w:rPr>
          <w:rFonts w:cs="Arial"/>
          <w:szCs w:val="22"/>
        </w:rPr>
        <w:t>%</w:t>
      </w:r>
      <w:r w:rsidRPr="00594FFA">
        <w:rPr>
          <w:rFonts w:cs="Arial"/>
          <w:szCs w:val="22"/>
        </w:rPr>
        <w:t xml:space="preserve"> of </w:t>
      </w:r>
      <w:r>
        <w:rPr>
          <w:rFonts w:cs="Arial"/>
          <w:szCs w:val="22"/>
        </w:rPr>
        <w:t xml:space="preserve">total </w:t>
      </w:r>
      <w:r w:rsidRPr="00594FFA">
        <w:rPr>
          <w:rFonts w:cs="Arial"/>
          <w:szCs w:val="22"/>
        </w:rPr>
        <w:t>claims). This likely reflects the potentially significant health effects of occupational exposure to RCS</w:t>
      </w:r>
      <w:r w:rsidRPr="00A7463B">
        <w:rPr>
          <w:rFonts w:cs="Arial"/>
          <w:szCs w:val="22"/>
        </w:rPr>
        <w:t xml:space="preserve">. </w:t>
      </w:r>
      <w:r>
        <w:rPr>
          <w:rFonts w:cs="Arial"/>
          <w:szCs w:val="22"/>
        </w:rPr>
        <w:t>The next section on Health benefits</w:t>
      </w:r>
      <w:r w:rsidRPr="00594FFA">
        <w:rPr>
          <w:rFonts w:cs="Arial"/>
          <w:szCs w:val="22"/>
        </w:rPr>
        <w:t xml:space="preserve"> provides further commentary regarding the magnitude of the burden of disease attributable to workplace exposure to RCS. As the number of workers’ compensation claims for each chemical differs each year, and there is no discernible trend (either a decrease or increase) between 2017 and 2021, this analysis assumes a constant number of workers’ compensation claims for each chemical over the 10-year appraisal period.</w:t>
      </w:r>
    </w:p>
    <w:p w14:paraId="777C5583" w14:textId="32BA85BE" w:rsidR="00B82D65" w:rsidRPr="00594FFA" w:rsidRDefault="00B82D65" w:rsidP="00A2768E">
      <w:pPr>
        <w:pStyle w:val="ListParagraph"/>
        <w:numPr>
          <w:ilvl w:val="0"/>
          <w:numId w:val="113"/>
        </w:numPr>
        <w:suppressAutoHyphens/>
        <w:spacing w:line="259" w:lineRule="auto"/>
        <w:contextualSpacing w:val="0"/>
        <w:rPr>
          <w:rFonts w:cs="Arial"/>
          <w:szCs w:val="22"/>
        </w:rPr>
      </w:pPr>
      <w:r w:rsidRPr="0085691B">
        <w:rPr>
          <w:rFonts w:cs="Arial"/>
          <w:b/>
          <w:bCs/>
          <w:szCs w:val="22"/>
        </w:rPr>
        <w:t>The cost of claims</w:t>
      </w:r>
      <w:r w:rsidRPr="00594FFA">
        <w:rPr>
          <w:rFonts w:cs="Arial"/>
          <w:szCs w:val="22"/>
        </w:rPr>
        <w:t>: Compensation claims attributable to RCS totalled $209 million (96</w:t>
      </w:r>
      <w:r>
        <w:rPr>
          <w:rFonts w:cs="Arial"/>
          <w:szCs w:val="22"/>
        </w:rPr>
        <w:t>%</w:t>
      </w:r>
      <w:r w:rsidRPr="00594FFA">
        <w:rPr>
          <w:rFonts w:cs="Arial"/>
          <w:szCs w:val="22"/>
        </w:rPr>
        <w:t xml:space="preserve"> of total claims costs), which is significantly higher than hydrogen sul</w:t>
      </w:r>
      <w:r w:rsidR="00312B4B">
        <w:rPr>
          <w:rFonts w:cs="Arial"/>
          <w:szCs w:val="22"/>
        </w:rPr>
        <w:t>f</w:t>
      </w:r>
      <w:r w:rsidRPr="00594FFA">
        <w:rPr>
          <w:rFonts w:cs="Arial"/>
          <w:szCs w:val="22"/>
        </w:rPr>
        <w:t>ide ($3.6 million), chlorine ($3.1 million) and benzene ($2.7 million). This reflects that RCS has the highest number of attributed claims and the second highest average costs per claim ($523,000) of all four chemicals, where workers compensation data is available. For the purpose of this analysis, the average cost per claim has been escalated to June 2024 terms using ABS price indexes</w:t>
      </w:r>
      <w:r w:rsidR="00D84529">
        <w:rPr>
          <w:rFonts w:cs="Arial"/>
          <w:szCs w:val="22"/>
        </w:rPr>
        <w:t xml:space="preserve"> </w:t>
      </w:r>
      <w:sdt>
        <w:sdtPr>
          <w:rPr>
            <w:rFonts w:cs="Arial"/>
            <w:szCs w:val="22"/>
          </w:rPr>
          <w:id w:val="1551412738"/>
          <w:citation/>
        </w:sdtPr>
        <w:sdtEndPr/>
        <w:sdtContent>
          <w:r w:rsidR="001C7E1B">
            <w:rPr>
              <w:rFonts w:cs="Arial"/>
              <w:szCs w:val="22"/>
            </w:rPr>
            <w:fldChar w:fldCharType="begin"/>
          </w:r>
          <w:r w:rsidR="006657FF">
            <w:rPr>
              <w:rFonts w:cs="Arial"/>
              <w:szCs w:val="22"/>
            </w:rPr>
            <w:instrText xml:space="preserve">CITATION Aus25 \l 3081 </w:instrText>
          </w:r>
          <w:r w:rsidR="001C7E1B">
            <w:rPr>
              <w:rFonts w:cs="Arial"/>
              <w:szCs w:val="22"/>
            </w:rPr>
            <w:fldChar w:fldCharType="separate"/>
          </w:r>
          <w:r w:rsidR="00490B21" w:rsidRPr="00490B21">
            <w:rPr>
              <w:rFonts w:cs="Arial"/>
              <w:noProof/>
              <w:szCs w:val="22"/>
            </w:rPr>
            <w:t>(Australian Bureau of Statistics, 2024)</w:t>
          </w:r>
          <w:r w:rsidR="001C7E1B">
            <w:rPr>
              <w:rFonts w:cs="Arial"/>
              <w:szCs w:val="22"/>
            </w:rPr>
            <w:fldChar w:fldCharType="end"/>
          </w:r>
        </w:sdtContent>
      </w:sdt>
      <w:r w:rsidRPr="00594FFA">
        <w:rPr>
          <w:rFonts w:cs="Arial"/>
          <w:szCs w:val="22"/>
        </w:rPr>
        <w:t xml:space="preserve">. </w:t>
      </w:r>
    </w:p>
    <w:p w14:paraId="77E97B12" w14:textId="29601001" w:rsidR="00B82D65" w:rsidRDefault="00B82D65" w:rsidP="00A2768E">
      <w:pPr>
        <w:pStyle w:val="Caption"/>
        <w:keepNext w:val="0"/>
        <w:numPr>
          <w:ilvl w:val="0"/>
          <w:numId w:val="113"/>
        </w:numPr>
        <w:rPr>
          <w:rFonts w:cs="Arial"/>
          <w:b w:val="0"/>
          <w:bCs w:val="0"/>
          <w:szCs w:val="22"/>
        </w:rPr>
      </w:pPr>
      <w:r w:rsidRPr="00C91B40">
        <w:rPr>
          <w:rFonts w:cs="Arial"/>
          <w:szCs w:val="22"/>
        </w:rPr>
        <w:t>Time off from work</w:t>
      </w:r>
      <w:r w:rsidRPr="00594FFA">
        <w:rPr>
          <w:rFonts w:cs="Arial"/>
          <w:szCs w:val="22"/>
        </w:rPr>
        <w:t xml:space="preserve">: </w:t>
      </w:r>
      <w:r w:rsidRPr="00EE39F8">
        <w:rPr>
          <w:rFonts w:cs="Arial"/>
          <w:b w:val="0"/>
          <w:bCs w:val="0"/>
          <w:szCs w:val="22"/>
        </w:rPr>
        <w:t xml:space="preserve">Compensation claims attributable to RCS resulted in more than 27,000 weeks off from work, while claims attributed to chlorine resulted in over 860 weeks off from work. This reflects the higher number of claims and average number of weeks off per claim (3.7 for chlorine and 68.5 for RCS, see </w:t>
      </w:r>
      <w:r w:rsidR="009B39BF" w:rsidRPr="008E0929">
        <w:rPr>
          <w:rFonts w:cs="Arial"/>
          <w:b w:val="0"/>
          <w:bCs w:val="0"/>
          <w:szCs w:val="22"/>
        </w:rPr>
        <w:fldChar w:fldCharType="begin"/>
      </w:r>
      <w:r w:rsidR="009B39BF" w:rsidRPr="008E0929">
        <w:rPr>
          <w:rFonts w:cs="Arial"/>
          <w:b w:val="0"/>
          <w:bCs w:val="0"/>
          <w:szCs w:val="22"/>
        </w:rPr>
        <w:instrText xml:space="preserve"> REF _Ref216792583 \h </w:instrText>
      </w:r>
      <w:r w:rsidR="009B39BF" w:rsidRPr="004A7676">
        <w:rPr>
          <w:rFonts w:cs="Arial"/>
          <w:b w:val="0"/>
          <w:bCs w:val="0"/>
          <w:szCs w:val="22"/>
        </w:rPr>
        <w:instrText xml:space="preserve"> \* MERGEFORMAT </w:instrText>
      </w:r>
      <w:r w:rsidR="009B39BF" w:rsidRPr="008E0929">
        <w:rPr>
          <w:rFonts w:cs="Arial"/>
          <w:b w:val="0"/>
          <w:bCs w:val="0"/>
          <w:szCs w:val="22"/>
        </w:rPr>
      </w:r>
      <w:r w:rsidR="009B39BF" w:rsidRPr="008E0929">
        <w:rPr>
          <w:rFonts w:cs="Arial"/>
          <w:b w:val="0"/>
          <w:bCs w:val="0"/>
          <w:szCs w:val="22"/>
        </w:rPr>
        <w:fldChar w:fldCharType="separate"/>
      </w:r>
      <w:r w:rsidR="00A002F4" w:rsidRPr="00A002F4">
        <w:rPr>
          <w:b w:val="0"/>
          <w:bCs w:val="0"/>
        </w:rPr>
        <w:t xml:space="preserve">Table </w:t>
      </w:r>
      <w:r w:rsidR="00A002F4" w:rsidRPr="00A002F4">
        <w:rPr>
          <w:b w:val="0"/>
          <w:bCs w:val="0"/>
          <w:noProof/>
        </w:rPr>
        <w:t>51</w:t>
      </w:r>
      <w:r w:rsidR="009B39BF" w:rsidRPr="008E0929">
        <w:rPr>
          <w:rFonts w:cs="Arial"/>
          <w:b w:val="0"/>
          <w:bCs w:val="0"/>
          <w:szCs w:val="22"/>
        </w:rPr>
        <w:fldChar w:fldCharType="end"/>
      </w:r>
      <w:r w:rsidRPr="00EE39F8">
        <w:rPr>
          <w:rFonts w:cs="Arial"/>
          <w:b w:val="0"/>
          <w:bCs w:val="0"/>
          <w:szCs w:val="22"/>
        </w:rPr>
        <w:t>) for each of these chemicals. However, it should be noted that this analysis indicates little or no correlation between total compensation costs and average time off work.</w:t>
      </w:r>
    </w:p>
    <w:p w14:paraId="3D7E6078" w14:textId="77777777" w:rsidR="00D61A61" w:rsidRPr="00D61A61" w:rsidRDefault="00D61A61" w:rsidP="00D61A61"/>
    <w:p w14:paraId="365848D9" w14:textId="77777777" w:rsidR="00F5411B" w:rsidRDefault="00016F95" w:rsidP="008D4759">
      <w:pPr>
        <w:keepNext/>
        <w:keepLines/>
        <w:suppressAutoHyphens/>
        <w:spacing w:after="0" w:line="259" w:lineRule="auto"/>
        <w:contextualSpacing w:val="0"/>
      </w:pPr>
      <w:r>
        <w:rPr>
          <w:noProof/>
          <w:lang w:eastAsia="en-AU"/>
        </w:rPr>
        <w:drawing>
          <wp:inline distT="0" distB="0" distL="0" distR="0" wp14:anchorId="3F5D2032" wp14:editId="54163EBA">
            <wp:extent cx="5670550" cy="2275293"/>
            <wp:effectExtent l="0" t="0" r="6350" b="0"/>
            <wp:docPr id="950633374" name="Picture 2" descr="A graph of a number of wo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3374" name="Picture 2" descr="A graph of a number of workers&#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670550" cy="2275293"/>
                    </a:xfrm>
                    <a:prstGeom prst="rect">
                      <a:avLst/>
                    </a:prstGeom>
                  </pic:spPr>
                </pic:pic>
              </a:graphicData>
            </a:graphic>
          </wp:inline>
        </w:drawing>
      </w:r>
    </w:p>
    <w:p w14:paraId="37234888" w14:textId="100CB363" w:rsidR="00016F95" w:rsidRPr="00016F95" w:rsidRDefault="00F5411B" w:rsidP="0058286F">
      <w:pPr>
        <w:pStyle w:val="Caption"/>
        <w:keepNext w:val="0"/>
        <w:spacing w:before="120" w:after="240"/>
        <w:contextualSpacing w:val="0"/>
        <w:rPr>
          <w:rFonts w:cs="Arial"/>
          <w:szCs w:val="22"/>
        </w:rPr>
      </w:pPr>
      <w:bookmarkStart w:id="684" w:name="_Ref200028722"/>
      <w:r>
        <w:t xml:space="preserve">Figure </w:t>
      </w:r>
      <w:fldSimple w:instr=" SEQ Figure \* ARABIC ">
        <w:r w:rsidR="00A002F4">
          <w:rPr>
            <w:noProof/>
          </w:rPr>
          <w:t>4</w:t>
        </w:r>
      </w:fldSimple>
      <w:bookmarkEnd w:id="684"/>
      <w:r>
        <w:t xml:space="preserve"> - </w:t>
      </w:r>
      <w:r w:rsidRPr="00840071">
        <w:t>Workers' compensation data for benzene, chlorine, hydrogen sul</w:t>
      </w:r>
      <w:r w:rsidR="0069736F">
        <w:t>f</w:t>
      </w:r>
      <w:r w:rsidRPr="00840071">
        <w:t>ide and RCS, 2017-2021</w:t>
      </w:r>
    </w:p>
    <w:p w14:paraId="1D3FA0F0" w14:textId="4AD3C993" w:rsidR="0043670C" w:rsidRDefault="0043670C" w:rsidP="00454971">
      <w:pPr>
        <w:pStyle w:val="Caption"/>
      </w:pPr>
      <w:bookmarkStart w:id="685" w:name="_Ref216792583"/>
      <w:r>
        <w:lastRenderedPageBreak/>
        <w:t xml:space="preserve">Table </w:t>
      </w:r>
      <w:fldSimple w:instr=" SEQ Table \* ARABIC ">
        <w:r w:rsidR="00A002F4">
          <w:rPr>
            <w:noProof/>
          </w:rPr>
          <w:t>51</w:t>
        </w:r>
      </w:fldSimple>
      <w:bookmarkEnd w:id="685"/>
      <w:r>
        <w:t xml:space="preserve"> - </w:t>
      </w:r>
      <w:r w:rsidRPr="004E3CDB">
        <w:t>Summary of workers’ compensation claim analysis, 2017 to 2021 (Safe Work Australia, 2023)</w:t>
      </w:r>
    </w:p>
    <w:tbl>
      <w:tblPr>
        <w:tblW w:w="96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43"/>
        <w:gridCol w:w="1085"/>
        <w:gridCol w:w="1134"/>
        <w:gridCol w:w="1170"/>
        <w:gridCol w:w="1023"/>
        <w:gridCol w:w="1806"/>
        <w:gridCol w:w="1134"/>
        <w:gridCol w:w="1085"/>
      </w:tblGrid>
      <w:tr w:rsidR="00C82F4C" w:rsidRPr="005970B5" w14:paraId="27640497" w14:textId="77777777" w:rsidTr="00C82F4C">
        <w:trPr>
          <w:trHeight w:val="289"/>
        </w:trPr>
        <w:tc>
          <w:tcPr>
            <w:tcW w:w="1243" w:type="dxa"/>
            <w:vMerge w:val="restart"/>
            <w:shd w:val="clear" w:color="auto" w:fill="4877E0" w:themeFill="accent1"/>
          </w:tcPr>
          <w:p w14:paraId="4268664B" w14:textId="77777777" w:rsidR="00C82F4C" w:rsidRPr="00C82F4C" w:rsidRDefault="00C82F4C" w:rsidP="0058286F">
            <w:pPr>
              <w:keepNext/>
              <w:keepLines/>
              <w:spacing w:after="200" w:line="240" w:lineRule="auto"/>
              <w:rPr>
                <w:rFonts w:eastAsia="Times New Roman" w:cs="Arial"/>
                <w:b/>
                <w:bCs/>
                <w:color w:val="FFFFFF" w:themeColor="background1"/>
                <w:szCs w:val="22"/>
                <w:lang w:eastAsia="en-AU"/>
              </w:rPr>
            </w:pPr>
            <w:r w:rsidRPr="00C82F4C">
              <w:rPr>
                <w:rFonts w:eastAsia="Times New Roman" w:cs="Arial"/>
                <w:b/>
                <w:bCs/>
                <w:color w:val="FFFFFF" w:themeColor="background1"/>
                <w:szCs w:val="22"/>
                <w:lang w:eastAsia="en-AU"/>
              </w:rPr>
              <w:t>Chemical</w:t>
            </w:r>
          </w:p>
        </w:tc>
        <w:tc>
          <w:tcPr>
            <w:tcW w:w="1085" w:type="dxa"/>
            <w:vMerge w:val="restart"/>
            <w:shd w:val="clear" w:color="auto" w:fill="4877E0" w:themeFill="accent1"/>
          </w:tcPr>
          <w:p w14:paraId="3A291919" w14:textId="77777777" w:rsidR="00C82F4C" w:rsidRPr="00C82F4C" w:rsidRDefault="00C82F4C" w:rsidP="0058286F">
            <w:pPr>
              <w:keepNext/>
              <w:keepLines/>
              <w:spacing w:after="200" w:line="240" w:lineRule="auto"/>
              <w:rPr>
                <w:rFonts w:eastAsia="Times New Roman" w:cs="Arial"/>
                <w:b/>
                <w:bCs/>
                <w:color w:val="FFFFFF" w:themeColor="background1"/>
                <w:szCs w:val="22"/>
                <w:lang w:eastAsia="en-AU"/>
              </w:rPr>
            </w:pPr>
            <w:r w:rsidRPr="00C82F4C">
              <w:rPr>
                <w:rFonts w:eastAsia="Times New Roman" w:cs="Arial"/>
                <w:b/>
                <w:bCs/>
                <w:color w:val="FFFFFF" w:themeColor="background1"/>
                <w:szCs w:val="22"/>
                <w:lang w:eastAsia="en-AU"/>
              </w:rPr>
              <w:t>Average claims per year</w:t>
            </w:r>
          </w:p>
        </w:tc>
        <w:tc>
          <w:tcPr>
            <w:tcW w:w="6267" w:type="dxa"/>
            <w:gridSpan w:val="5"/>
            <w:shd w:val="clear" w:color="auto" w:fill="4877E0" w:themeFill="accent1"/>
          </w:tcPr>
          <w:p w14:paraId="55B4A35B" w14:textId="77777777" w:rsidR="00C82F4C" w:rsidRPr="00C82F4C" w:rsidRDefault="00C82F4C" w:rsidP="0058286F">
            <w:pPr>
              <w:keepNext/>
              <w:keepLines/>
              <w:spacing w:after="200" w:line="240" w:lineRule="auto"/>
              <w:rPr>
                <w:rFonts w:eastAsia="Times New Roman" w:cs="Arial"/>
                <w:b/>
                <w:bCs/>
                <w:color w:val="FFFFFF" w:themeColor="background1"/>
                <w:szCs w:val="22"/>
                <w:lang w:eastAsia="en-AU"/>
              </w:rPr>
            </w:pPr>
            <w:r w:rsidRPr="00C82F4C">
              <w:rPr>
                <w:rFonts w:eastAsia="Times New Roman" w:cs="Arial"/>
                <w:b/>
                <w:bCs/>
                <w:color w:val="FFFFFF" w:themeColor="background1"/>
                <w:szCs w:val="22"/>
                <w:lang w:eastAsia="en-AU"/>
              </w:rPr>
              <w:t>Average cost per workers’ compensation claim</w:t>
            </w:r>
          </w:p>
        </w:tc>
        <w:tc>
          <w:tcPr>
            <w:tcW w:w="1085" w:type="dxa"/>
            <w:vMerge w:val="restart"/>
            <w:shd w:val="clear" w:color="auto" w:fill="4877E0" w:themeFill="accent1"/>
          </w:tcPr>
          <w:p w14:paraId="0DEBBAA5" w14:textId="77777777" w:rsidR="00C82F4C" w:rsidRPr="00C82F4C" w:rsidRDefault="00C82F4C" w:rsidP="0058286F">
            <w:pPr>
              <w:keepNext/>
              <w:keepLines/>
              <w:spacing w:after="200" w:line="240" w:lineRule="auto"/>
              <w:rPr>
                <w:rFonts w:eastAsia="Times New Roman" w:cs="Arial"/>
                <w:b/>
                <w:bCs/>
                <w:color w:val="FFFFFF" w:themeColor="background1"/>
                <w:szCs w:val="22"/>
                <w:lang w:eastAsia="en-AU"/>
              </w:rPr>
            </w:pPr>
            <w:r w:rsidRPr="00C82F4C">
              <w:rPr>
                <w:rFonts w:eastAsia="Times New Roman" w:cs="Arial"/>
                <w:b/>
                <w:bCs/>
                <w:color w:val="FFFFFF" w:themeColor="background1"/>
                <w:szCs w:val="22"/>
                <w:lang w:eastAsia="en-AU"/>
              </w:rPr>
              <w:t>Average weeks off work</w:t>
            </w:r>
          </w:p>
        </w:tc>
      </w:tr>
      <w:tr w:rsidR="00C82F4C" w:rsidRPr="005970B5" w14:paraId="1916F3A2" w14:textId="77777777" w:rsidTr="00C82F4C">
        <w:trPr>
          <w:trHeight w:val="548"/>
        </w:trPr>
        <w:tc>
          <w:tcPr>
            <w:tcW w:w="1243" w:type="dxa"/>
            <w:vMerge/>
            <w:shd w:val="clear" w:color="auto" w:fill="4877E0" w:themeFill="accent1"/>
          </w:tcPr>
          <w:p w14:paraId="4310D49F" w14:textId="77777777" w:rsidR="00C82F4C" w:rsidRPr="00CF1F44" w:rsidRDefault="00C82F4C" w:rsidP="00D61A61">
            <w:pPr>
              <w:keepNext/>
              <w:keepLines/>
              <w:spacing w:after="200" w:line="240" w:lineRule="auto"/>
              <w:rPr>
                <w:rFonts w:eastAsia="Times New Roman" w:cs="Arial"/>
                <w:b/>
                <w:bCs/>
                <w:szCs w:val="22"/>
                <w:lang w:eastAsia="en-AU"/>
              </w:rPr>
            </w:pPr>
          </w:p>
        </w:tc>
        <w:tc>
          <w:tcPr>
            <w:tcW w:w="1085" w:type="dxa"/>
            <w:vMerge/>
            <w:shd w:val="clear" w:color="auto" w:fill="4877E0" w:themeFill="accent1"/>
          </w:tcPr>
          <w:p w14:paraId="77B9A157" w14:textId="77777777" w:rsidR="00C82F4C" w:rsidRPr="005970B5" w:rsidRDefault="00C82F4C" w:rsidP="00D61A61">
            <w:pPr>
              <w:keepNext/>
              <w:keepLines/>
              <w:spacing w:after="200" w:line="240" w:lineRule="auto"/>
              <w:rPr>
                <w:rFonts w:eastAsia="Times New Roman" w:cs="Arial"/>
                <w:b/>
                <w:bCs/>
                <w:szCs w:val="22"/>
                <w:lang w:eastAsia="en-AU"/>
              </w:rPr>
            </w:pPr>
          </w:p>
        </w:tc>
        <w:tc>
          <w:tcPr>
            <w:tcW w:w="1134" w:type="dxa"/>
            <w:shd w:val="clear" w:color="auto" w:fill="91ACEC" w:themeFill="accent1" w:themeFillTint="99"/>
          </w:tcPr>
          <w:p w14:paraId="276F6EAF" w14:textId="77777777" w:rsidR="00C82F4C" w:rsidRPr="005970B5" w:rsidRDefault="00C82F4C" w:rsidP="00D61A61">
            <w:pPr>
              <w:keepNext/>
              <w:keepLines/>
              <w:spacing w:after="200" w:line="240" w:lineRule="auto"/>
              <w:jc w:val="center"/>
              <w:rPr>
                <w:rFonts w:eastAsia="Times New Roman" w:cs="Arial"/>
                <w:b/>
                <w:bCs/>
                <w:szCs w:val="22"/>
                <w:lang w:eastAsia="en-AU"/>
              </w:rPr>
            </w:pPr>
            <w:r>
              <w:rPr>
                <w:rFonts w:eastAsia="Times New Roman" w:cs="Arial"/>
                <w:b/>
                <w:bCs/>
                <w:szCs w:val="22"/>
                <w:lang w:eastAsia="en-AU"/>
              </w:rPr>
              <w:t>Direct</w:t>
            </w:r>
          </w:p>
        </w:tc>
        <w:tc>
          <w:tcPr>
            <w:tcW w:w="1170" w:type="dxa"/>
            <w:shd w:val="clear" w:color="auto" w:fill="91ACEC" w:themeFill="accent1" w:themeFillTint="99"/>
          </w:tcPr>
          <w:p w14:paraId="78F5EE96" w14:textId="77777777" w:rsidR="00C82F4C" w:rsidRPr="005970B5" w:rsidRDefault="00C82F4C" w:rsidP="00D61A61">
            <w:pPr>
              <w:keepNext/>
              <w:keepLines/>
              <w:spacing w:after="200" w:line="240" w:lineRule="auto"/>
              <w:jc w:val="center"/>
              <w:rPr>
                <w:rFonts w:eastAsia="Times New Roman" w:cs="Arial"/>
                <w:b/>
                <w:bCs/>
                <w:szCs w:val="22"/>
                <w:lang w:eastAsia="en-AU"/>
              </w:rPr>
            </w:pPr>
            <w:r>
              <w:rPr>
                <w:rFonts w:eastAsia="Times New Roman" w:cs="Arial"/>
                <w:b/>
                <w:bCs/>
                <w:szCs w:val="22"/>
                <w:lang w:eastAsia="en-AU"/>
              </w:rPr>
              <w:t>Common Law</w:t>
            </w:r>
          </w:p>
        </w:tc>
        <w:tc>
          <w:tcPr>
            <w:tcW w:w="1023" w:type="dxa"/>
            <w:shd w:val="clear" w:color="auto" w:fill="91ACEC" w:themeFill="accent1" w:themeFillTint="99"/>
          </w:tcPr>
          <w:p w14:paraId="0DCEE77B" w14:textId="77777777" w:rsidR="00C82F4C" w:rsidRPr="005970B5" w:rsidRDefault="00C82F4C" w:rsidP="00D61A61">
            <w:pPr>
              <w:keepNext/>
              <w:keepLines/>
              <w:spacing w:after="200" w:line="240" w:lineRule="auto"/>
              <w:jc w:val="center"/>
              <w:rPr>
                <w:rFonts w:eastAsia="Times New Roman" w:cs="Arial"/>
                <w:b/>
                <w:bCs/>
                <w:szCs w:val="22"/>
                <w:lang w:eastAsia="en-AU"/>
              </w:rPr>
            </w:pPr>
            <w:r>
              <w:rPr>
                <w:rFonts w:eastAsia="Times New Roman" w:cs="Arial"/>
                <w:b/>
                <w:bCs/>
                <w:szCs w:val="22"/>
                <w:lang w:eastAsia="en-AU"/>
              </w:rPr>
              <w:t>Medical</w:t>
            </w:r>
          </w:p>
        </w:tc>
        <w:tc>
          <w:tcPr>
            <w:tcW w:w="1806" w:type="dxa"/>
            <w:shd w:val="clear" w:color="auto" w:fill="91ACEC" w:themeFill="accent1" w:themeFillTint="99"/>
          </w:tcPr>
          <w:p w14:paraId="55931E3E" w14:textId="77777777" w:rsidR="00C82F4C" w:rsidRPr="005970B5" w:rsidRDefault="00C82F4C" w:rsidP="00D61A61">
            <w:pPr>
              <w:keepNext/>
              <w:keepLines/>
              <w:spacing w:after="200" w:line="240" w:lineRule="auto"/>
              <w:jc w:val="center"/>
              <w:rPr>
                <w:rFonts w:eastAsia="Times New Roman" w:cs="Arial"/>
                <w:b/>
                <w:bCs/>
                <w:szCs w:val="22"/>
                <w:lang w:eastAsia="en-AU"/>
              </w:rPr>
            </w:pPr>
            <w:r>
              <w:rPr>
                <w:rFonts w:eastAsia="Times New Roman" w:cs="Arial"/>
                <w:b/>
                <w:bCs/>
                <w:szCs w:val="22"/>
                <w:lang w:eastAsia="en-AU"/>
              </w:rPr>
              <w:t>Supplementary</w:t>
            </w:r>
          </w:p>
        </w:tc>
        <w:tc>
          <w:tcPr>
            <w:tcW w:w="1134" w:type="dxa"/>
            <w:shd w:val="clear" w:color="auto" w:fill="91ACEC" w:themeFill="accent1" w:themeFillTint="99"/>
          </w:tcPr>
          <w:p w14:paraId="07FC1215" w14:textId="77777777" w:rsidR="00C82F4C" w:rsidRPr="005970B5" w:rsidRDefault="00C82F4C" w:rsidP="00D61A61">
            <w:pPr>
              <w:keepNext/>
              <w:keepLines/>
              <w:spacing w:after="200" w:line="240" w:lineRule="auto"/>
              <w:jc w:val="center"/>
              <w:rPr>
                <w:rFonts w:eastAsia="Times New Roman" w:cs="Arial"/>
                <w:b/>
                <w:bCs/>
                <w:szCs w:val="22"/>
                <w:lang w:eastAsia="en-AU"/>
              </w:rPr>
            </w:pPr>
            <w:r>
              <w:rPr>
                <w:rFonts w:eastAsia="Times New Roman" w:cs="Arial"/>
                <w:b/>
                <w:bCs/>
                <w:szCs w:val="22"/>
                <w:lang w:eastAsia="en-AU"/>
              </w:rPr>
              <w:t>Total</w:t>
            </w:r>
          </w:p>
        </w:tc>
        <w:tc>
          <w:tcPr>
            <w:tcW w:w="1085" w:type="dxa"/>
            <w:vMerge/>
            <w:shd w:val="clear" w:color="auto" w:fill="490C61"/>
          </w:tcPr>
          <w:p w14:paraId="6C4E7622" w14:textId="77777777" w:rsidR="00C82F4C" w:rsidRPr="005970B5" w:rsidRDefault="00C82F4C" w:rsidP="00D61A61">
            <w:pPr>
              <w:keepNext/>
              <w:keepLines/>
              <w:spacing w:after="200" w:line="240" w:lineRule="auto"/>
              <w:rPr>
                <w:rFonts w:eastAsia="Times New Roman" w:cs="Arial"/>
                <w:b/>
                <w:bCs/>
                <w:szCs w:val="22"/>
                <w:lang w:eastAsia="en-AU"/>
              </w:rPr>
            </w:pPr>
          </w:p>
        </w:tc>
      </w:tr>
      <w:tr w:rsidR="00C82F4C" w:rsidRPr="005970B5" w14:paraId="3AD6E179" w14:textId="77777777" w:rsidTr="00C82F4C">
        <w:trPr>
          <w:trHeight w:val="706"/>
        </w:trPr>
        <w:tc>
          <w:tcPr>
            <w:tcW w:w="1243" w:type="dxa"/>
            <w:vAlign w:val="center"/>
          </w:tcPr>
          <w:p w14:paraId="208D5C4E" w14:textId="77777777" w:rsidR="00C82F4C" w:rsidRPr="005970B5" w:rsidRDefault="00C82F4C" w:rsidP="00B46E55">
            <w:pPr>
              <w:keepNext/>
              <w:keepLines/>
              <w:spacing w:after="200" w:line="240" w:lineRule="auto"/>
              <w:rPr>
                <w:rFonts w:eastAsia="Times New Roman" w:cs="Arial"/>
                <w:b/>
                <w:bCs/>
                <w:szCs w:val="22"/>
                <w:lang w:eastAsia="en-AU"/>
              </w:rPr>
            </w:pPr>
            <w:r w:rsidRPr="00CF1F44">
              <w:rPr>
                <w:rFonts w:eastAsia="Times New Roman" w:cs="Arial"/>
                <w:b/>
                <w:bCs/>
                <w:szCs w:val="22"/>
                <w:lang w:eastAsia="en-AU"/>
              </w:rPr>
              <w:t>Benzene</w:t>
            </w:r>
          </w:p>
        </w:tc>
        <w:tc>
          <w:tcPr>
            <w:tcW w:w="1085" w:type="dxa"/>
            <w:vAlign w:val="center"/>
          </w:tcPr>
          <w:p w14:paraId="6A1AD6A1"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1.0</w:t>
            </w:r>
          </w:p>
        </w:tc>
        <w:tc>
          <w:tcPr>
            <w:tcW w:w="1134" w:type="dxa"/>
            <w:vAlign w:val="center"/>
          </w:tcPr>
          <w:p w14:paraId="22A8C478"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$3,128</w:t>
            </w:r>
          </w:p>
        </w:tc>
        <w:tc>
          <w:tcPr>
            <w:tcW w:w="1170" w:type="dxa"/>
            <w:vAlign w:val="center"/>
          </w:tcPr>
          <w:p w14:paraId="3F85EB3D"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$342,857</w:t>
            </w:r>
          </w:p>
        </w:tc>
        <w:tc>
          <w:tcPr>
            <w:tcW w:w="1023" w:type="dxa"/>
            <w:vAlign w:val="center"/>
          </w:tcPr>
          <w:p w14:paraId="0F9E4D1E"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$2,786</w:t>
            </w:r>
          </w:p>
        </w:tc>
        <w:tc>
          <w:tcPr>
            <w:tcW w:w="1806" w:type="dxa"/>
            <w:vAlign w:val="center"/>
          </w:tcPr>
          <w:p w14:paraId="47013617"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$186,634</w:t>
            </w:r>
          </w:p>
        </w:tc>
        <w:tc>
          <w:tcPr>
            <w:tcW w:w="1134" w:type="dxa"/>
            <w:vAlign w:val="center"/>
          </w:tcPr>
          <w:p w14:paraId="1484E10E"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$535,406</w:t>
            </w:r>
          </w:p>
        </w:tc>
        <w:tc>
          <w:tcPr>
            <w:tcW w:w="1085" w:type="dxa"/>
            <w:vAlign w:val="center"/>
          </w:tcPr>
          <w:p w14:paraId="48BAA19D" w14:textId="77777777" w:rsidR="00C82F4C" w:rsidRPr="005970B5" w:rsidRDefault="00C82F4C" w:rsidP="00B46E55">
            <w:pPr>
              <w:keepNext/>
              <w:keepLines/>
              <w:spacing w:after="200" w:line="240" w:lineRule="auto"/>
              <w:jc w:val="right"/>
              <w:rPr>
                <w:rFonts w:eastAsia="Times New Roman" w:cs="Arial"/>
                <w:szCs w:val="22"/>
                <w:lang w:eastAsia="en-AU"/>
              </w:rPr>
            </w:pPr>
            <w:r w:rsidRPr="008440ED">
              <w:rPr>
                <w:rFonts w:cs="Arial"/>
                <w:szCs w:val="22"/>
              </w:rPr>
              <w:t>0.1</w:t>
            </w:r>
          </w:p>
        </w:tc>
      </w:tr>
      <w:tr w:rsidR="00C82F4C" w:rsidRPr="005970B5" w14:paraId="069C01E0" w14:textId="77777777" w:rsidTr="00C82F4C">
        <w:trPr>
          <w:trHeight w:val="706"/>
        </w:trPr>
        <w:tc>
          <w:tcPr>
            <w:tcW w:w="1243" w:type="dxa"/>
            <w:shd w:val="clear" w:color="auto" w:fill="DAE3F8" w:themeFill="accent1" w:themeFillTint="33"/>
            <w:vAlign w:val="center"/>
          </w:tcPr>
          <w:p w14:paraId="6094A5D6" w14:textId="77777777" w:rsidR="00C82F4C" w:rsidRPr="005970B5" w:rsidRDefault="00C82F4C" w:rsidP="00B46E55">
            <w:pPr>
              <w:keepNext/>
              <w:keepLines/>
              <w:spacing w:after="200" w:line="240" w:lineRule="auto"/>
              <w:rPr>
                <w:rFonts w:eastAsia="Times New Roman" w:cs="Arial"/>
                <w:b/>
                <w:bCs/>
                <w:szCs w:val="22"/>
                <w:lang w:eastAsia="en-AU"/>
              </w:rPr>
            </w:pPr>
            <w:r w:rsidRPr="00CF1F44">
              <w:rPr>
                <w:rFonts w:eastAsia="Times New Roman" w:cs="Arial"/>
                <w:b/>
                <w:bCs/>
                <w:szCs w:val="22"/>
                <w:lang w:eastAsia="en-AU"/>
              </w:rPr>
              <w:t>Chlorine</w:t>
            </w:r>
          </w:p>
        </w:tc>
        <w:tc>
          <w:tcPr>
            <w:tcW w:w="1085" w:type="dxa"/>
            <w:shd w:val="clear" w:color="auto" w:fill="DAE3F8" w:themeFill="accent1" w:themeFillTint="33"/>
            <w:vAlign w:val="center"/>
          </w:tcPr>
          <w:p w14:paraId="41AAFC80"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46.4</w:t>
            </w:r>
          </w:p>
        </w:tc>
        <w:tc>
          <w:tcPr>
            <w:tcW w:w="1134" w:type="dxa"/>
            <w:shd w:val="clear" w:color="auto" w:fill="DAE3F8" w:themeFill="accent1" w:themeFillTint="33"/>
            <w:vAlign w:val="center"/>
          </w:tcPr>
          <w:p w14:paraId="57A59AB5"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$5,085</w:t>
            </w:r>
          </w:p>
        </w:tc>
        <w:tc>
          <w:tcPr>
            <w:tcW w:w="1170" w:type="dxa"/>
            <w:shd w:val="clear" w:color="auto" w:fill="DAE3F8" w:themeFill="accent1" w:themeFillTint="33"/>
            <w:vAlign w:val="center"/>
          </w:tcPr>
          <w:p w14:paraId="072CF44A"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$4,526</w:t>
            </w:r>
          </w:p>
        </w:tc>
        <w:tc>
          <w:tcPr>
            <w:tcW w:w="1023" w:type="dxa"/>
            <w:shd w:val="clear" w:color="auto" w:fill="DAE3F8" w:themeFill="accent1" w:themeFillTint="33"/>
            <w:vAlign w:val="center"/>
          </w:tcPr>
          <w:p w14:paraId="62A468E3"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$2,297</w:t>
            </w:r>
          </w:p>
        </w:tc>
        <w:tc>
          <w:tcPr>
            <w:tcW w:w="1806" w:type="dxa"/>
            <w:shd w:val="clear" w:color="auto" w:fill="DAE3F8" w:themeFill="accent1" w:themeFillTint="33"/>
            <w:vAlign w:val="center"/>
          </w:tcPr>
          <w:p w14:paraId="5858BA89"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$1,325</w:t>
            </w:r>
          </w:p>
        </w:tc>
        <w:tc>
          <w:tcPr>
            <w:tcW w:w="1134" w:type="dxa"/>
            <w:shd w:val="clear" w:color="auto" w:fill="DAE3F8" w:themeFill="accent1" w:themeFillTint="33"/>
            <w:vAlign w:val="center"/>
          </w:tcPr>
          <w:p w14:paraId="5EF8ED17"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$13,234</w:t>
            </w:r>
          </w:p>
        </w:tc>
        <w:tc>
          <w:tcPr>
            <w:tcW w:w="1085" w:type="dxa"/>
            <w:shd w:val="clear" w:color="auto" w:fill="DAE3F8" w:themeFill="accent1" w:themeFillTint="33"/>
            <w:vAlign w:val="center"/>
          </w:tcPr>
          <w:p w14:paraId="0EAC6499" w14:textId="77777777" w:rsidR="00C82F4C" w:rsidRPr="005970B5" w:rsidRDefault="00C82F4C" w:rsidP="00B46E55">
            <w:pPr>
              <w:keepNext/>
              <w:keepLines/>
              <w:spacing w:after="200" w:line="240" w:lineRule="auto"/>
              <w:jc w:val="right"/>
              <w:rPr>
                <w:rFonts w:eastAsia="Times New Roman" w:cs="Arial"/>
                <w:szCs w:val="22"/>
                <w:lang w:eastAsia="en-AU"/>
              </w:rPr>
            </w:pPr>
            <w:r w:rsidRPr="008440ED">
              <w:rPr>
                <w:rFonts w:cs="Arial"/>
                <w:szCs w:val="22"/>
              </w:rPr>
              <w:t>3.7</w:t>
            </w:r>
          </w:p>
        </w:tc>
      </w:tr>
      <w:tr w:rsidR="00C82F4C" w:rsidRPr="005970B5" w14:paraId="67E2BD33" w14:textId="77777777" w:rsidTr="00C82F4C">
        <w:trPr>
          <w:trHeight w:val="706"/>
        </w:trPr>
        <w:tc>
          <w:tcPr>
            <w:tcW w:w="1243" w:type="dxa"/>
            <w:vAlign w:val="center"/>
          </w:tcPr>
          <w:p w14:paraId="2A009C02" w14:textId="66322DE8" w:rsidR="00C82F4C" w:rsidRPr="005970B5" w:rsidRDefault="00C82F4C" w:rsidP="00B46E55">
            <w:pPr>
              <w:keepNext/>
              <w:keepLines/>
              <w:spacing w:after="200" w:line="240" w:lineRule="auto"/>
              <w:rPr>
                <w:rFonts w:eastAsia="Times New Roman" w:cs="Arial"/>
                <w:b/>
                <w:bCs/>
                <w:szCs w:val="22"/>
                <w:lang w:eastAsia="en-AU"/>
              </w:rPr>
            </w:pPr>
            <w:r>
              <w:rPr>
                <w:rFonts w:eastAsia="Times New Roman" w:cs="Arial"/>
                <w:b/>
                <w:bCs/>
                <w:szCs w:val="22"/>
                <w:lang w:eastAsia="en-AU"/>
              </w:rPr>
              <w:t>Hydrogen sul</w:t>
            </w:r>
            <w:r w:rsidR="0069736F">
              <w:rPr>
                <w:rFonts w:eastAsia="Times New Roman" w:cs="Arial"/>
                <w:b/>
                <w:bCs/>
                <w:szCs w:val="22"/>
                <w:lang w:eastAsia="en-AU"/>
              </w:rPr>
              <w:t>f</w:t>
            </w:r>
            <w:r>
              <w:rPr>
                <w:rFonts w:eastAsia="Times New Roman" w:cs="Arial"/>
                <w:b/>
                <w:bCs/>
                <w:szCs w:val="22"/>
                <w:lang w:eastAsia="en-AU"/>
              </w:rPr>
              <w:t>ide</w:t>
            </w:r>
          </w:p>
        </w:tc>
        <w:tc>
          <w:tcPr>
            <w:tcW w:w="1085" w:type="dxa"/>
            <w:vAlign w:val="center"/>
          </w:tcPr>
          <w:p w14:paraId="746DC3F4"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6.2</w:t>
            </w:r>
          </w:p>
        </w:tc>
        <w:tc>
          <w:tcPr>
            <w:tcW w:w="1134" w:type="dxa"/>
            <w:vAlign w:val="center"/>
          </w:tcPr>
          <w:p w14:paraId="32034F91"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$94,049</w:t>
            </w:r>
          </w:p>
        </w:tc>
        <w:tc>
          <w:tcPr>
            <w:tcW w:w="1170" w:type="dxa"/>
            <w:vAlign w:val="center"/>
          </w:tcPr>
          <w:p w14:paraId="4410451E"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$20,038</w:t>
            </w:r>
          </w:p>
        </w:tc>
        <w:tc>
          <w:tcPr>
            <w:tcW w:w="1023" w:type="dxa"/>
            <w:vAlign w:val="center"/>
          </w:tcPr>
          <w:p w14:paraId="3F3868C4"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$1,616</w:t>
            </w:r>
          </w:p>
        </w:tc>
        <w:tc>
          <w:tcPr>
            <w:tcW w:w="1806" w:type="dxa"/>
            <w:vAlign w:val="center"/>
          </w:tcPr>
          <w:p w14:paraId="7217EB03"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$895</w:t>
            </w:r>
          </w:p>
        </w:tc>
        <w:tc>
          <w:tcPr>
            <w:tcW w:w="1134" w:type="dxa"/>
            <w:vAlign w:val="center"/>
          </w:tcPr>
          <w:p w14:paraId="1A9FBAB1"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$116,598</w:t>
            </w:r>
          </w:p>
        </w:tc>
        <w:tc>
          <w:tcPr>
            <w:tcW w:w="1085" w:type="dxa"/>
            <w:vAlign w:val="center"/>
          </w:tcPr>
          <w:p w14:paraId="7CC9E1A7" w14:textId="77777777" w:rsidR="00C82F4C" w:rsidRPr="005970B5" w:rsidRDefault="00C82F4C" w:rsidP="00B46E55">
            <w:pPr>
              <w:keepNext/>
              <w:keepLines/>
              <w:spacing w:after="200" w:line="240" w:lineRule="auto"/>
              <w:jc w:val="right"/>
              <w:rPr>
                <w:rFonts w:eastAsia="Times New Roman" w:cs="Arial"/>
                <w:szCs w:val="22"/>
                <w:lang w:eastAsia="en-AU"/>
              </w:rPr>
            </w:pPr>
            <w:r w:rsidRPr="008440ED">
              <w:rPr>
                <w:rFonts w:cs="Arial"/>
                <w:szCs w:val="22"/>
              </w:rPr>
              <w:t>0.3</w:t>
            </w:r>
          </w:p>
        </w:tc>
      </w:tr>
      <w:tr w:rsidR="00C82F4C" w:rsidRPr="005970B5" w14:paraId="14339859" w14:textId="77777777" w:rsidTr="00C82F4C">
        <w:trPr>
          <w:trHeight w:val="706"/>
        </w:trPr>
        <w:tc>
          <w:tcPr>
            <w:tcW w:w="1243" w:type="dxa"/>
            <w:shd w:val="clear" w:color="auto" w:fill="DAE3F8" w:themeFill="accent1" w:themeFillTint="33"/>
            <w:vAlign w:val="center"/>
          </w:tcPr>
          <w:p w14:paraId="00813F59" w14:textId="77777777" w:rsidR="00C82F4C" w:rsidRPr="005970B5" w:rsidRDefault="00C82F4C" w:rsidP="00B46E55">
            <w:pPr>
              <w:keepNext/>
              <w:keepLines/>
              <w:spacing w:after="200" w:line="240" w:lineRule="auto"/>
              <w:contextualSpacing w:val="0"/>
              <w:rPr>
                <w:rFonts w:eastAsia="Times New Roman" w:cs="Arial"/>
                <w:b/>
                <w:bCs/>
                <w:szCs w:val="22"/>
                <w:lang w:eastAsia="en-AU"/>
              </w:rPr>
            </w:pPr>
            <w:r>
              <w:rPr>
                <w:rFonts w:eastAsia="Times New Roman" w:cs="Arial"/>
                <w:b/>
                <w:bCs/>
                <w:szCs w:val="22"/>
                <w:lang w:eastAsia="en-AU"/>
              </w:rPr>
              <w:t>RCS</w:t>
            </w:r>
          </w:p>
        </w:tc>
        <w:tc>
          <w:tcPr>
            <w:tcW w:w="1085" w:type="dxa"/>
            <w:shd w:val="clear" w:color="auto" w:fill="DAE3F8" w:themeFill="accent1" w:themeFillTint="33"/>
            <w:vAlign w:val="center"/>
          </w:tcPr>
          <w:p w14:paraId="7967E96F"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80.0</w:t>
            </w:r>
          </w:p>
        </w:tc>
        <w:tc>
          <w:tcPr>
            <w:tcW w:w="1134" w:type="dxa"/>
            <w:shd w:val="clear" w:color="auto" w:fill="DAE3F8" w:themeFill="accent1" w:themeFillTint="33"/>
            <w:vAlign w:val="center"/>
          </w:tcPr>
          <w:p w14:paraId="227338B2"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$344,818</w:t>
            </w:r>
          </w:p>
        </w:tc>
        <w:tc>
          <w:tcPr>
            <w:tcW w:w="1170" w:type="dxa"/>
            <w:shd w:val="clear" w:color="auto" w:fill="DAE3F8" w:themeFill="accent1" w:themeFillTint="33"/>
            <w:vAlign w:val="center"/>
          </w:tcPr>
          <w:p w14:paraId="3952BCF0"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$131,692</w:t>
            </w:r>
          </w:p>
        </w:tc>
        <w:tc>
          <w:tcPr>
            <w:tcW w:w="1023" w:type="dxa"/>
            <w:shd w:val="clear" w:color="auto" w:fill="DAE3F8" w:themeFill="accent1" w:themeFillTint="33"/>
            <w:vAlign w:val="center"/>
          </w:tcPr>
          <w:p w14:paraId="36270679"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$11,839</w:t>
            </w:r>
          </w:p>
        </w:tc>
        <w:tc>
          <w:tcPr>
            <w:tcW w:w="1806" w:type="dxa"/>
            <w:shd w:val="clear" w:color="auto" w:fill="DAE3F8" w:themeFill="accent1" w:themeFillTint="33"/>
            <w:vAlign w:val="center"/>
          </w:tcPr>
          <w:p w14:paraId="12302E25"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$34,813</w:t>
            </w:r>
          </w:p>
        </w:tc>
        <w:tc>
          <w:tcPr>
            <w:tcW w:w="1134" w:type="dxa"/>
            <w:shd w:val="clear" w:color="auto" w:fill="DAE3F8" w:themeFill="accent1" w:themeFillTint="33"/>
            <w:vAlign w:val="center"/>
          </w:tcPr>
          <w:p w14:paraId="5D670147" w14:textId="77777777" w:rsidR="00C82F4C" w:rsidRPr="008440ED" w:rsidRDefault="00C82F4C" w:rsidP="00B46E55">
            <w:pPr>
              <w:keepNext/>
              <w:keepLines/>
              <w:spacing w:after="200" w:line="240" w:lineRule="auto"/>
              <w:jc w:val="right"/>
              <w:rPr>
                <w:rFonts w:eastAsia="Times New Roman" w:cs="Arial"/>
                <w:szCs w:val="22"/>
                <w:lang w:eastAsia="en-AU"/>
              </w:rPr>
            </w:pPr>
            <w:r w:rsidRPr="008440ED">
              <w:rPr>
                <w:rFonts w:cs="Arial"/>
                <w:szCs w:val="22"/>
              </w:rPr>
              <w:t>$523,163</w:t>
            </w:r>
          </w:p>
        </w:tc>
        <w:tc>
          <w:tcPr>
            <w:tcW w:w="1085" w:type="dxa"/>
            <w:shd w:val="clear" w:color="auto" w:fill="DAE3F8" w:themeFill="accent1" w:themeFillTint="33"/>
            <w:vAlign w:val="center"/>
          </w:tcPr>
          <w:p w14:paraId="53A8F7B4" w14:textId="77777777" w:rsidR="00C82F4C" w:rsidRPr="005970B5" w:rsidRDefault="00C82F4C" w:rsidP="00B46E55">
            <w:pPr>
              <w:keepNext/>
              <w:keepLines/>
              <w:spacing w:after="200" w:line="240" w:lineRule="auto"/>
              <w:jc w:val="right"/>
              <w:rPr>
                <w:rFonts w:eastAsia="Times New Roman" w:cs="Arial"/>
                <w:szCs w:val="22"/>
                <w:lang w:eastAsia="en-AU"/>
              </w:rPr>
            </w:pPr>
            <w:r w:rsidRPr="008440ED">
              <w:rPr>
                <w:rFonts w:cs="Arial"/>
                <w:szCs w:val="22"/>
              </w:rPr>
              <w:t>68.5</w:t>
            </w:r>
          </w:p>
        </w:tc>
      </w:tr>
    </w:tbl>
    <w:p w14:paraId="5F5C89D6" w14:textId="77777777" w:rsidR="00BA70CB" w:rsidRPr="00BA70CB" w:rsidRDefault="00BA70CB" w:rsidP="00B46E55">
      <w:pPr>
        <w:pStyle w:val="ListParagraph"/>
        <w:keepNext/>
        <w:keepLines/>
        <w:tabs>
          <w:tab w:val="clear" w:pos="720"/>
        </w:tabs>
        <w:spacing w:line="259" w:lineRule="auto"/>
        <w:ind w:left="0" w:firstLine="0"/>
        <w:contextualSpacing w:val="0"/>
        <w:rPr>
          <w:rFonts w:ascii="Segoe UI Semibold" w:hAnsi="Segoe UI Semibold"/>
          <w:color w:val="00264D"/>
          <w:sz w:val="26"/>
        </w:rPr>
      </w:pPr>
    </w:p>
    <w:p w14:paraId="7CBC1658" w14:textId="77777777" w:rsidR="005874AC" w:rsidRPr="00082586" w:rsidRDefault="005874AC" w:rsidP="00B46E55">
      <w:pPr>
        <w:keepNext/>
        <w:keepLines/>
        <w:contextualSpacing w:val="0"/>
        <w:rPr>
          <w:color w:val="000000" w:themeColor="text1"/>
        </w:rPr>
      </w:pPr>
      <w:r w:rsidRPr="00741408">
        <w:rPr>
          <w:b/>
          <w:bCs/>
        </w:rPr>
        <w:t xml:space="preserve">Workers’ compensation claims are likely to significantly under-represent the scale of workplace injury or illness attributable to the </w:t>
      </w:r>
      <w:r>
        <w:rPr>
          <w:b/>
          <w:bCs/>
        </w:rPr>
        <w:t>9</w:t>
      </w:r>
      <w:r w:rsidRPr="00741408">
        <w:rPr>
          <w:b/>
          <w:bCs/>
        </w:rPr>
        <w:t xml:space="preserve"> chemicals. </w:t>
      </w:r>
    </w:p>
    <w:p w14:paraId="56B238CF" w14:textId="68716F35" w:rsidR="005874AC" w:rsidRPr="003A5B08" w:rsidRDefault="005874AC" w:rsidP="005874AC">
      <w:pPr>
        <w:rPr>
          <w:rFonts w:cs="Arial"/>
          <w:szCs w:val="22"/>
        </w:rPr>
      </w:pPr>
      <w:r w:rsidRPr="003A5B08">
        <w:rPr>
          <w:rFonts w:cs="Arial"/>
          <w:szCs w:val="22"/>
        </w:rPr>
        <w:t xml:space="preserve">The ABS </w:t>
      </w:r>
      <w:r w:rsidRPr="003A5B08">
        <w:rPr>
          <w:rFonts w:cs="Arial"/>
          <w:i/>
          <w:szCs w:val="22"/>
        </w:rPr>
        <w:t>Work-Related Injuries Survey 2021-22</w:t>
      </w:r>
      <w:r w:rsidR="00B46E55">
        <w:rPr>
          <w:rFonts w:cs="Arial"/>
          <w:i/>
          <w:szCs w:val="22"/>
        </w:rPr>
        <w:t xml:space="preserve"> </w:t>
      </w:r>
      <w:sdt>
        <w:sdtPr>
          <w:rPr>
            <w:rFonts w:cs="Arial"/>
            <w:i/>
            <w:szCs w:val="22"/>
          </w:rPr>
          <w:id w:val="230813066"/>
          <w:citation/>
        </w:sdtPr>
        <w:sdtEndPr/>
        <w:sdtContent>
          <w:r w:rsidR="00F32D04">
            <w:rPr>
              <w:rFonts w:cs="Arial"/>
              <w:i/>
              <w:szCs w:val="22"/>
            </w:rPr>
            <w:fldChar w:fldCharType="begin"/>
          </w:r>
          <w:r w:rsidR="00F32D04">
            <w:rPr>
              <w:rFonts w:cs="Arial"/>
              <w:i/>
              <w:szCs w:val="22"/>
            </w:rPr>
            <w:instrText xml:space="preserve"> CITATION Aus23 \l 3081 </w:instrText>
          </w:r>
          <w:r w:rsidR="00F32D04">
            <w:rPr>
              <w:rFonts w:cs="Arial"/>
              <w:i/>
              <w:szCs w:val="22"/>
            </w:rPr>
            <w:fldChar w:fldCharType="separate"/>
          </w:r>
          <w:r w:rsidR="00490B21" w:rsidRPr="00490B21">
            <w:rPr>
              <w:rFonts w:cs="Arial"/>
              <w:noProof/>
              <w:szCs w:val="22"/>
            </w:rPr>
            <w:t>(Australian Bureau of Statistics, 2023)</w:t>
          </w:r>
          <w:r w:rsidR="00F32D04">
            <w:rPr>
              <w:rFonts w:cs="Arial"/>
              <w:i/>
              <w:szCs w:val="22"/>
            </w:rPr>
            <w:fldChar w:fldCharType="end"/>
          </w:r>
        </w:sdtContent>
      </w:sdt>
      <w:r w:rsidRPr="003A5B08">
        <w:rPr>
          <w:rFonts w:cs="Arial"/>
          <w:i/>
          <w:szCs w:val="22"/>
        </w:rPr>
        <w:t xml:space="preserve"> </w:t>
      </w:r>
      <w:r w:rsidRPr="003A5B08">
        <w:rPr>
          <w:rFonts w:cs="Arial"/>
          <w:szCs w:val="22"/>
        </w:rPr>
        <w:t>stated that 96.7</w:t>
      </w:r>
      <w:r>
        <w:rPr>
          <w:rFonts w:cs="Arial"/>
          <w:szCs w:val="22"/>
        </w:rPr>
        <w:t xml:space="preserve">% </w:t>
      </w:r>
      <w:r w:rsidRPr="003A5B08">
        <w:rPr>
          <w:rFonts w:cs="Arial"/>
          <w:szCs w:val="22"/>
        </w:rPr>
        <w:t xml:space="preserve">of individuals that experienced a work-related injury or illness attributable to contact with a chemical or substance did not receive workers’ </w:t>
      </w:r>
      <w:r w:rsidRPr="003A5B08">
        <w:rPr>
          <w:rFonts w:cs="Arial"/>
          <w:color w:val="000000" w:themeColor="text1"/>
          <w:szCs w:val="22"/>
          <w:lang w:eastAsia="en-AU"/>
        </w:rPr>
        <w:t>compensation</w:t>
      </w:r>
      <w:r w:rsidR="00235AE7">
        <w:rPr>
          <w:rFonts w:cs="Arial"/>
          <w:color w:val="000000" w:themeColor="text1"/>
          <w:szCs w:val="22"/>
          <w:lang w:eastAsia="en-AU"/>
        </w:rPr>
        <w:t xml:space="preserve"> </w:t>
      </w:r>
      <w:sdt>
        <w:sdtPr>
          <w:rPr>
            <w:rFonts w:cs="Arial"/>
            <w:color w:val="000000" w:themeColor="text1"/>
            <w:szCs w:val="22"/>
            <w:lang w:eastAsia="en-AU"/>
          </w:rPr>
          <w:id w:val="-343855823"/>
          <w:citation/>
        </w:sdtPr>
        <w:sdtEndPr/>
        <w:sdtContent>
          <w:r w:rsidR="008F291E">
            <w:rPr>
              <w:rFonts w:cs="Arial"/>
              <w:color w:val="000000" w:themeColor="text1"/>
              <w:szCs w:val="22"/>
              <w:lang w:eastAsia="en-AU"/>
            </w:rPr>
            <w:fldChar w:fldCharType="begin"/>
          </w:r>
          <w:r w:rsidR="008F291E">
            <w:rPr>
              <w:rFonts w:cs="Arial"/>
              <w:color w:val="000000" w:themeColor="text1"/>
              <w:szCs w:val="22"/>
              <w:lang w:eastAsia="en-AU"/>
            </w:rPr>
            <w:instrText xml:space="preserve"> CITATION Aus231 \l 3081 </w:instrText>
          </w:r>
          <w:r w:rsidR="008F291E">
            <w:rPr>
              <w:rFonts w:cs="Arial"/>
              <w:color w:val="000000" w:themeColor="text1"/>
              <w:szCs w:val="22"/>
              <w:lang w:eastAsia="en-AU"/>
            </w:rPr>
            <w:fldChar w:fldCharType="separate"/>
          </w:r>
          <w:r w:rsidR="00490B21" w:rsidRPr="00490B21">
            <w:rPr>
              <w:rFonts w:cs="Arial"/>
              <w:noProof/>
              <w:color w:val="000000" w:themeColor="text1"/>
              <w:szCs w:val="22"/>
              <w:lang w:eastAsia="en-AU"/>
            </w:rPr>
            <w:t>(Australian Bureau of Statistics, 2023)</w:t>
          </w:r>
          <w:r w:rsidR="008F291E">
            <w:rPr>
              <w:rFonts w:cs="Arial"/>
              <w:color w:val="000000" w:themeColor="text1"/>
              <w:szCs w:val="22"/>
              <w:lang w:eastAsia="en-AU"/>
            </w:rPr>
            <w:fldChar w:fldCharType="end"/>
          </w:r>
        </w:sdtContent>
      </w:sdt>
      <w:r w:rsidRPr="003A5B08">
        <w:rPr>
          <w:rFonts w:cs="Arial"/>
          <w:color w:val="000000" w:themeColor="text1"/>
          <w:szCs w:val="22"/>
          <w:lang w:eastAsia="en-AU"/>
        </w:rPr>
        <w:t>.</w:t>
      </w:r>
      <w:r w:rsidRPr="003A5B08">
        <w:rPr>
          <w:rFonts w:cs="Arial"/>
          <w:szCs w:val="22"/>
        </w:rPr>
        <w:t xml:space="preserve"> Among those who did not apply for workers’ compensation, the survey identifies that:</w:t>
      </w:r>
    </w:p>
    <w:p w14:paraId="0E3A4D5F" w14:textId="128B3E2A" w:rsidR="005874AC" w:rsidRPr="003A5B08" w:rsidRDefault="005874AC" w:rsidP="00A2768E">
      <w:pPr>
        <w:pStyle w:val="ListParagraph"/>
        <w:numPr>
          <w:ilvl w:val="0"/>
          <w:numId w:val="114"/>
        </w:numPr>
        <w:suppressAutoHyphens/>
        <w:spacing w:line="259" w:lineRule="auto"/>
        <w:contextualSpacing w:val="0"/>
        <w:rPr>
          <w:rFonts w:cs="Arial"/>
          <w:szCs w:val="22"/>
        </w:rPr>
      </w:pPr>
      <w:r>
        <w:rPr>
          <w:rFonts w:cs="Arial"/>
          <w:szCs w:val="22"/>
        </w:rPr>
        <w:t xml:space="preserve">Thirty-nine per cent </w:t>
      </w:r>
      <w:r w:rsidRPr="003A5B08">
        <w:rPr>
          <w:rFonts w:cs="Arial"/>
          <w:szCs w:val="22"/>
        </w:rPr>
        <w:t>considered their injury too minor or did not believe workers' compensation was necessary.</w:t>
      </w:r>
    </w:p>
    <w:p w14:paraId="6DB6E5C3" w14:textId="02DC9226" w:rsidR="005874AC" w:rsidRPr="003A5B08" w:rsidRDefault="005874AC" w:rsidP="00A2768E">
      <w:pPr>
        <w:pStyle w:val="ListParagraph"/>
        <w:numPr>
          <w:ilvl w:val="0"/>
          <w:numId w:val="114"/>
        </w:numPr>
        <w:suppressAutoHyphens/>
        <w:spacing w:line="259" w:lineRule="auto"/>
        <w:contextualSpacing w:val="0"/>
        <w:rPr>
          <w:rFonts w:cs="Arial"/>
          <w:szCs w:val="22"/>
        </w:rPr>
      </w:pPr>
      <w:r>
        <w:rPr>
          <w:rFonts w:cs="Arial"/>
          <w:szCs w:val="22"/>
        </w:rPr>
        <w:t xml:space="preserve">Fourteen per cent </w:t>
      </w:r>
      <w:r w:rsidRPr="003A5B08">
        <w:rPr>
          <w:rFonts w:cs="Arial"/>
          <w:szCs w:val="22"/>
        </w:rPr>
        <w:t>did not think they were eligible.</w:t>
      </w:r>
    </w:p>
    <w:p w14:paraId="1C996925" w14:textId="05D81944" w:rsidR="005874AC" w:rsidRDefault="005874AC" w:rsidP="00A2768E">
      <w:pPr>
        <w:pStyle w:val="ListParagraph"/>
        <w:numPr>
          <w:ilvl w:val="0"/>
          <w:numId w:val="114"/>
        </w:numPr>
        <w:suppressAutoHyphens/>
        <w:spacing w:line="259" w:lineRule="auto"/>
        <w:contextualSpacing w:val="0"/>
        <w:rPr>
          <w:rFonts w:cs="Arial"/>
          <w:szCs w:val="22"/>
        </w:rPr>
      </w:pPr>
      <w:r>
        <w:rPr>
          <w:rFonts w:cs="Arial"/>
          <w:szCs w:val="22"/>
        </w:rPr>
        <w:t xml:space="preserve">Ten per cent </w:t>
      </w:r>
      <w:r w:rsidRPr="003A5B08">
        <w:rPr>
          <w:rFonts w:cs="Arial"/>
          <w:szCs w:val="22"/>
        </w:rPr>
        <w:t>were either not covered or unaware of workers' compensation</w:t>
      </w:r>
      <w:r w:rsidR="00912BBA">
        <w:rPr>
          <w:rFonts w:cs="Arial"/>
          <w:szCs w:val="22"/>
        </w:rPr>
        <w:t xml:space="preserve"> </w:t>
      </w:r>
      <w:sdt>
        <w:sdtPr>
          <w:rPr>
            <w:rFonts w:cs="Arial"/>
            <w:szCs w:val="22"/>
          </w:rPr>
          <w:id w:val="-155152750"/>
          <w:citation/>
        </w:sdtPr>
        <w:sdtEndPr/>
        <w:sdtContent>
          <w:r w:rsidR="00912BBA">
            <w:rPr>
              <w:rFonts w:cs="Arial"/>
              <w:szCs w:val="22"/>
            </w:rPr>
            <w:fldChar w:fldCharType="begin"/>
          </w:r>
          <w:r w:rsidR="00912BBA">
            <w:rPr>
              <w:rFonts w:cs="Arial"/>
              <w:szCs w:val="22"/>
            </w:rPr>
            <w:instrText xml:space="preserve">CITATION Aus1 \l 3081 </w:instrText>
          </w:r>
          <w:r w:rsidR="00912BBA">
            <w:rPr>
              <w:rFonts w:cs="Arial"/>
              <w:szCs w:val="22"/>
            </w:rPr>
            <w:fldChar w:fldCharType="separate"/>
          </w:r>
          <w:r w:rsidR="00490B21" w:rsidRPr="00490B21">
            <w:rPr>
              <w:rFonts w:cs="Arial"/>
              <w:noProof/>
              <w:szCs w:val="22"/>
            </w:rPr>
            <w:t>(Australian Bureau of Statistics, 2023)</w:t>
          </w:r>
          <w:r w:rsidR="00912BBA">
            <w:rPr>
              <w:rFonts w:cs="Arial"/>
              <w:szCs w:val="22"/>
            </w:rPr>
            <w:fldChar w:fldCharType="end"/>
          </w:r>
        </w:sdtContent>
      </w:sdt>
      <w:r w:rsidR="00912BBA">
        <w:rPr>
          <w:rFonts w:cs="Arial"/>
          <w:szCs w:val="22"/>
        </w:rPr>
        <w:t>.</w:t>
      </w:r>
    </w:p>
    <w:p w14:paraId="44637B4B" w14:textId="77777777" w:rsidR="005874AC" w:rsidRPr="004F5394" w:rsidRDefault="005874AC" w:rsidP="005874AC">
      <w:pPr>
        <w:rPr>
          <w:rFonts w:cs="Arial"/>
          <w:szCs w:val="22"/>
        </w:rPr>
      </w:pPr>
      <w:r w:rsidRPr="004F5394">
        <w:rPr>
          <w:rFonts w:cs="Arial"/>
          <w:szCs w:val="22"/>
        </w:rPr>
        <w:t xml:space="preserve">Furthermore, information provided by </w:t>
      </w:r>
      <w:r>
        <w:rPr>
          <w:rFonts w:cs="Arial"/>
          <w:szCs w:val="22"/>
        </w:rPr>
        <w:t>Safe Work Australia</w:t>
      </w:r>
      <w:r w:rsidRPr="004F5394">
        <w:rPr>
          <w:rFonts w:cs="Arial"/>
          <w:szCs w:val="22"/>
        </w:rPr>
        <w:t xml:space="preserve"> suggests that workers’ compensation claims attributable to the </w:t>
      </w:r>
      <w:r>
        <w:rPr>
          <w:rFonts w:cs="Arial"/>
          <w:szCs w:val="22"/>
        </w:rPr>
        <w:t>9</w:t>
      </w:r>
      <w:r w:rsidRPr="004F5394">
        <w:rPr>
          <w:rFonts w:cs="Arial"/>
          <w:szCs w:val="22"/>
        </w:rPr>
        <w:t xml:space="preserve"> chemicals may be under-represented within NDS data due to:</w:t>
      </w:r>
    </w:p>
    <w:p w14:paraId="377DD7B2" w14:textId="77777777" w:rsidR="005874AC" w:rsidRPr="003A5B08" w:rsidRDefault="005874AC" w:rsidP="00A2768E">
      <w:pPr>
        <w:pStyle w:val="ListParagraph"/>
        <w:numPr>
          <w:ilvl w:val="0"/>
          <w:numId w:val="115"/>
        </w:numPr>
        <w:suppressAutoHyphens/>
        <w:spacing w:line="259" w:lineRule="auto"/>
        <w:contextualSpacing w:val="0"/>
        <w:rPr>
          <w:rFonts w:cs="Arial"/>
          <w:szCs w:val="22"/>
        </w:rPr>
      </w:pPr>
      <w:r w:rsidRPr="003A5B08">
        <w:rPr>
          <w:rFonts w:cs="Arial"/>
          <w:szCs w:val="22"/>
        </w:rPr>
        <w:t>Long latency periods between exposure and the observable onset of disease may result in individuals not linking the disease to workplace exposure or having insufficient evidence to link the disease to occupational exposure. As such, the full scale of benefits attributable to the reduction in the WEL may not be experienced until after the end of the 10-year appraisal period.</w:t>
      </w:r>
    </w:p>
    <w:p w14:paraId="71C88D45" w14:textId="77777777" w:rsidR="005874AC" w:rsidRPr="003A5B08" w:rsidRDefault="005874AC" w:rsidP="00A2768E">
      <w:pPr>
        <w:pStyle w:val="ListParagraph"/>
        <w:numPr>
          <w:ilvl w:val="0"/>
          <w:numId w:val="115"/>
        </w:numPr>
        <w:suppressAutoHyphens/>
        <w:spacing w:line="259" w:lineRule="auto"/>
        <w:contextualSpacing w:val="0"/>
        <w:rPr>
          <w:rFonts w:cs="Arial"/>
          <w:szCs w:val="22"/>
        </w:rPr>
      </w:pPr>
      <w:r w:rsidRPr="003A5B08">
        <w:rPr>
          <w:rFonts w:cs="Arial"/>
          <w:szCs w:val="22"/>
        </w:rPr>
        <w:t>Unincorporated enterprises and independent contractors are generally not covered under workers’ compensation schemes. Approximately 12</w:t>
      </w:r>
      <w:r>
        <w:rPr>
          <w:rFonts w:cs="Arial"/>
          <w:szCs w:val="22"/>
        </w:rPr>
        <w:t>%</w:t>
      </w:r>
      <w:r w:rsidRPr="003A5B08">
        <w:rPr>
          <w:rFonts w:cs="Arial"/>
          <w:szCs w:val="22"/>
        </w:rPr>
        <w:t xml:space="preserve"> of Australian workers are employed in this way.</w:t>
      </w:r>
    </w:p>
    <w:p w14:paraId="0192E9AF" w14:textId="77777777" w:rsidR="005874AC" w:rsidRPr="003A5B08" w:rsidRDefault="005874AC" w:rsidP="005874AC">
      <w:pPr>
        <w:contextualSpacing w:val="0"/>
        <w:rPr>
          <w:rFonts w:cs="Arial"/>
          <w:szCs w:val="22"/>
        </w:rPr>
      </w:pPr>
      <w:r w:rsidRPr="003A5B08">
        <w:rPr>
          <w:rFonts w:cs="Arial"/>
          <w:szCs w:val="22"/>
        </w:rPr>
        <w:t xml:space="preserve">There are also observed practices of ‘code dumping’ within NDS data, where claims are attributed to ‘other’ and ‘unspecified’ categories, rather than to the </w:t>
      </w:r>
      <w:r>
        <w:rPr>
          <w:rFonts w:cs="Arial"/>
          <w:szCs w:val="22"/>
        </w:rPr>
        <w:t>9</w:t>
      </w:r>
      <w:r w:rsidRPr="003A5B08">
        <w:rPr>
          <w:rFonts w:cs="Arial"/>
          <w:szCs w:val="22"/>
        </w:rPr>
        <w:t xml:space="preserve"> chemicals. For example, in the Nominated chemicals (51) Agency Sub major group, the ‘Other and not specified nominated chemicals’ (5199) Sub minor group made up 61</w:t>
      </w:r>
      <w:r>
        <w:rPr>
          <w:rFonts w:cs="Arial"/>
          <w:szCs w:val="22"/>
        </w:rPr>
        <w:t xml:space="preserve">% </w:t>
      </w:r>
      <w:r w:rsidRPr="003A5B08">
        <w:rPr>
          <w:rFonts w:cs="Arial"/>
          <w:szCs w:val="22"/>
        </w:rPr>
        <w:t>of all in-scope claims.</w:t>
      </w:r>
    </w:p>
    <w:p w14:paraId="7C1B945F" w14:textId="77777777" w:rsidR="005874AC" w:rsidRPr="003A5B08" w:rsidRDefault="005874AC" w:rsidP="005874AC">
      <w:pPr>
        <w:contextualSpacing w:val="0"/>
        <w:rPr>
          <w:rFonts w:cs="Arial"/>
          <w:szCs w:val="22"/>
        </w:rPr>
      </w:pPr>
      <w:r w:rsidRPr="003A5B08">
        <w:rPr>
          <w:rFonts w:cs="Arial"/>
          <w:szCs w:val="22"/>
        </w:rPr>
        <w:t xml:space="preserve">Workers’ compensation claims also do not identify the exposure levels that resulted in occupational illness or injury. To the extent that some of these cases related to exposures in </w:t>
      </w:r>
      <w:r w:rsidRPr="003A5B08">
        <w:rPr>
          <w:rFonts w:cs="Arial"/>
          <w:szCs w:val="22"/>
        </w:rPr>
        <w:lastRenderedPageBreak/>
        <w:t>excess of the current WES, the benefits associated with avoiding these cases would not be directly attributable to the proposed WEL.</w:t>
      </w:r>
    </w:p>
    <w:p w14:paraId="54596531" w14:textId="623E2AB1" w:rsidR="00991D3F" w:rsidRPr="00993B73" w:rsidRDefault="00991D3F" w:rsidP="00991D3F">
      <w:r w:rsidRPr="00BB1A30">
        <w:t xml:space="preserve">As noted earlier, the workers’ compensation claims also do not identify the exposure levels that resulted in occupational illness or injury. </w:t>
      </w:r>
      <w:r w:rsidRPr="00993B73">
        <w:t>To account for the likely under-representation of workplace injury and illness in workers’ compensation claims, this impact analysis applies a 50</w:t>
      </w:r>
      <w:r>
        <w:t>%</w:t>
      </w:r>
      <w:r w:rsidRPr="00993B73">
        <w:t xml:space="preserve"> uplift factor to all direct financial benefits and indirect benefits.</w:t>
      </w:r>
    </w:p>
    <w:p w14:paraId="3587B04E" w14:textId="77777777" w:rsidR="005874AC" w:rsidRDefault="005874AC" w:rsidP="005874AC">
      <w:pPr>
        <w:pStyle w:val="SWAHeading4"/>
        <w:rPr>
          <w:szCs w:val="22"/>
        </w:rPr>
      </w:pPr>
      <w:r>
        <w:t>Reduced direct compensation costs</w:t>
      </w:r>
    </w:p>
    <w:p w14:paraId="0775FD45" w14:textId="27B659C0" w:rsidR="00991D3F" w:rsidRDefault="005874AC" w:rsidP="00037BC7">
      <w:pPr>
        <w:contextualSpacing w:val="0"/>
      </w:pPr>
      <w:r w:rsidRPr="00AA554A">
        <w:rPr>
          <w:rFonts w:cs="Arial"/>
          <w:szCs w:val="22"/>
          <w:lang w:eastAsia="en-AU"/>
        </w:rPr>
        <w:t xml:space="preserve">This benefit measures the reduction in compensation payments </w:t>
      </w:r>
      <w:r w:rsidRPr="00AA554A">
        <w:rPr>
          <w:rFonts w:cs="Arial"/>
          <w:szCs w:val="22"/>
        </w:rPr>
        <w:t xml:space="preserve">made directly to a worker or their family on account of permanent injury or disease, pain and suffering, </w:t>
      </w:r>
      <w:r w:rsidRPr="00AA554A">
        <w:rPr>
          <w:rFonts w:cs="Arial"/>
          <w:szCs w:val="22"/>
          <w:lang w:eastAsia="en-AU"/>
        </w:rPr>
        <w:t xml:space="preserve">attributable to reduced workplace exposure to airborne contaminants. </w:t>
      </w:r>
      <w:r w:rsidRPr="00AA554A">
        <w:rPr>
          <w:rFonts w:cs="Arial"/>
          <w:szCs w:val="22"/>
        </w:rPr>
        <w:t xml:space="preserve">Direct compensation costs include weekly benefits, death benefits provided to dependents, redemptions, statutory lump sums and impairments. </w:t>
      </w:r>
      <w:r w:rsidRPr="00AA554A">
        <w:rPr>
          <w:rFonts w:cs="Arial"/>
          <w:szCs w:val="22"/>
          <w:lang w:eastAsia="en-AU"/>
        </w:rPr>
        <w:t>The inputs, parameters and methodology used to estimate this benefit are presented in</w:t>
      </w:r>
      <w:r w:rsidR="008E0929">
        <w:rPr>
          <w:rFonts w:cs="Arial"/>
          <w:szCs w:val="22"/>
          <w:lang w:eastAsia="en-AU"/>
        </w:rPr>
        <w:t xml:space="preserve"> </w:t>
      </w:r>
      <w:r w:rsidR="008E0929">
        <w:rPr>
          <w:rFonts w:cs="Arial"/>
          <w:szCs w:val="22"/>
          <w:lang w:eastAsia="en-AU"/>
        </w:rPr>
        <w:fldChar w:fldCharType="begin"/>
      </w:r>
      <w:r w:rsidR="008E0929">
        <w:rPr>
          <w:rFonts w:cs="Arial"/>
          <w:szCs w:val="22"/>
          <w:lang w:eastAsia="en-AU"/>
        </w:rPr>
        <w:instrText xml:space="preserve"> REF _Ref216792721 \h </w:instrText>
      </w:r>
      <w:r w:rsidR="008E0929">
        <w:rPr>
          <w:rFonts w:cs="Arial"/>
          <w:szCs w:val="22"/>
          <w:lang w:eastAsia="en-AU"/>
        </w:rPr>
      </w:r>
      <w:r w:rsidR="008E0929">
        <w:rPr>
          <w:rFonts w:cs="Arial"/>
          <w:szCs w:val="22"/>
          <w:lang w:eastAsia="en-AU"/>
        </w:rPr>
        <w:fldChar w:fldCharType="separate"/>
      </w:r>
      <w:r w:rsidR="00A002F4">
        <w:t xml:space="preserve">Table </w:t>
      </w:r>
      <w:r w:rsidR="00A002F4">
        <w:rPr>
          <w:noProof/>
        </w:rPr>
        <w:t>52</w:t>
      </w:r>
      <w:r w:rsidR="008E0929">
        <w:rPr>
          <w:rFonts w:cs="Arial"/>
          <w:szCs w:val="22"/>
          <w:lang w:eastAsia="en-AU"/>
        </w:rPr>
        <w:fldChar w:fldCharType="end"/>
      </w:r>
      <w:r w:rsidR="008E0929">
        <w:rPr>
          <w:rFonts w:cs="Arial"/>
          <w:szCs w:val="22"/>
          <w:lang w:eastAsia="en-AU"/>
        </w:rPr>
        <w:t>.</w:t>
      </w:r>
    </w:p>
    <w:p w14:paraId="234490C7" w14:textId="5C8D72FE" w:rsidR="008E0929" w:rsidRDefault="008E0929" w:rsidP="00037BC7">
      <w:pPr>
        <w:pStyle w:val="Caption"/>
      </w:pPr>
      <w:bookmarkStart w:id="686" w:name="_Ref216792721"/>
      <w:r>
        <w:t xml:space="preserve">Table </w:t>
      </w:r>
      <w:fldSimple w:instr=" SEQ Table \* ARABIC ">
        <w:r w:rsidR="00A002F4">
          <w:rPr>
            <w:noProof/>
          </w:rPr>
          <w:t>52</w:t>
        </w:r>
      </w:fldSimple>
      <w:bookmarkEnd w:id="686"/>
      <w:r>
        <w:t xml:space="preserve"> - </w:t>
      </w:r>
      <w:r w:rsidRPr="001D0388">
        <w:t>Inputs, parameters and methodology used to estimate the reduced direct compensation costs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5874AC" w:rsidRPr="002A1131" w14:paraId="12959E97" w14:textId="77777777" w:rsidTr="00A471B8">
        <w:trPr>
          <w:trHeight w:val="265"/>
        </w:trPr>
        <w:tc>
          <w:tcPr>
            <w:tcW w:w="1980" w:type="dxa"/>
            <w:shd w:val="clear" w:color="auto" w:fill="4877E0" w:themeFill="accent1"/>
          </w:tcPr>
          <w:p w14:paraId="57906091" w14:textId="77777777" w:rsidR="005874AC" w:rsidRPr="00040643" w:rsidRDefault="005874AC">
            <w:pPr>
              <w:keepNext/>
              <w:keepLines/>
              <w:widowControl w:val="0"/>
              <w:spacing w:after="0" w:line="240" w:lineRule="auto"/>
              <w:rPr>
                <w:rFonts w:eastAsia="Times New Roman" w:cs="Arial"/>
                <w:b/>
                <w:szCs w:val="22"/>
                <w:lang w:eastAsia="en-AU"/>
              </w:rPr>
            </w:pPr>
            <w:r w:rsidRPr="0085691B">
              <w:rPr>
                <w:rFonts w:cs="Arial"/>
                <w:b/>
                <w:color w:val="FFFFFF" w:themeColor="background1"/>
                <w:szCs w:val="22"/>
                <w:lang w:eastAsia="en-AU"/>
              </w:rPr>
              <w:t>Inputs</w:t>
            </w:r>
          </w:p>
        </w:tc>
        <w:tc>
          <w:tcPr>
            <w:tcW w:w="7438" w:type="dxa"/>
          </w:tcPr>
          <w:p w14:paraId="58D5867F" w14:textId="77777777" w:rsidR="005874AC" w:rsidRPr="002A1131" w:rsidRDefault="005874AC">
            <w:pPr>
              <w:keepNext/>
              <w:keepLines/>
              <w:rPr>
                <w:rFonts w:eastAsia="Arial" w:cs="Arial"/>
                <w:szCs w:val="22"/>
                <w:lang w:eastAsia="en-AU"/>
              </w:rPr>
            </w:pPr>
            <w:r w:rsidRPr="00AA554A">
              <w:rPr>
                <w:rFonts w:cs="Arial"/>
                <w:szCs w:val="22"/>
                <w:lang w:eastAsia="en-AU"/>
              </w:rPr>
              <w:t>Not applicable.</w:t>
            </w:r>
          </w:p>
        </w:tc>
      </w:tr>
      <w:tr w:rsidR="005874AC" w:rsidRPr="002A1131" w14:paraId="72207CC0" w14:textId="77777777" w:rsidTr="00DC645D">
        <w:trPr>
          <w:trHeight w:val="265"/>
        </w:trPr>
        <w:tc>
          <w:tcPr>
            <w:tcW w:w="1980" w:type="dxa"/>
            <w:shd w:val="clear" w:color="auto" w:fill="4877E0" w:themeFill="accent1"/>
          </w:tcPr>
          <w:p w14:paraId="10F1C247" w14:textId="77777777" w:rsidR="005874AC" w:rsidRPr="00040643" w:rsidRDefault="005874AC">
            <w:pPr>
              <w:keepNext/>
              <w:keepLines/>
              <w:widowControl w:val="0"/>
              <w:spacing w:after="0" w:line="240" w:lineRule="auto"/>
              <w:rPr>
                <w:rFonts w:eastAsia="Times New Roman" w:cs="Arial"/>
                <w:b/>
                <w:szCs w:val="22"/>
                <w:lang w:eastAsia="en-AU"/>
              </w:rPr>
            </w:pPr>
            <w:r w:rsidRPr="0085691B">
              <w:rPr>
                <w:rFonts w:cs="Arial"/>
                <w:b/>
                <w:color w:val="FFFFFF" w:themeColor="background1"/>
                <w:szCs w:val="22"/>
                <w:lang w:eastAsia="en-AU"/>
              </w:rPr>
              <w:t>Parameters</w:t>
            </w:r>
          </w:p>
        </w:tc>
        <w:tc>
          <w:tcPr>
            <w:tcW w:w="7438" w:type="dxa"/>
          </w:tcPr>
          <w:p w14:paraId="25B6D2D8" w14:textId="0ACBA0D0" w:rsidR="005874AC" w:rsidRPr="00AA554A" w:rsidRDefault="005874AC" w:rsidP="00A471B8">
            <w:pPr>
              <w:pStyle w:val="TableNText"/>
              <w:spacing w:before="0" w:after="120" w:line="240" w:lineRule="atLeast"/>
              <w:rPr>
                <w:rFonts w:ascii="Arial" w:hAnsi="Arial" w:cs="Arial"/>
                <w:sz w:val="22"/>
                <w:lang w:eastAsia="en-AU"/>
              </w:rPr>
            </w:pPr>
            <w:r w:rsidRPr="00AA554A">
              <w:rPr>
                <w:rFonts w:ascii="Arial" w:hAnsi="Arial" w:cs="Arial"/>
                <w:sz w:val="22"/>
                <w:lang w:eastAsia="en-AU"/>
              </w:rPr>
              <w:t xml:space="preserve">The average number of workers’ compensation claims per year and the average direct compensation costs per claim for each chemical </w:t>
            </w:r>
            <w:r w:rsidRPr="00DB0DDE">
              <w:rPr>
                <w:rFonts w:ascii="Arial" w:hAnsi="Arial" w:cs="Arial"/>
                <w:sz w:val="22"/>
                <w:lang w:eastAsia="en-AU"/>
              </w:rPr>
              <w:t>(see</w:t>
            </w:r>
            <w:r w:rsidR="002840B1">
              <w:rPr>
                <w:rFonts w:ascii="Arial" w:hAnsi="Arial" w:cs="Arial"/>
                <w:sz w:val="22"/>
                <w:lang w:eastAsia="en-AU"/>
              </w:rPr>
              <w:t xml:space="preserve"> </w:t>
            </w:r>
            <w:r w:rsidR="002840B1" w:rsidRPr="002840B1">
              <w:rPr>
                <w:rFonts w:ascii="Arial" w:hAnsi="Arial" w:cs="Arial"/>
                <w:sz w:val="22"/>
                <w:lang w:eastAsia="en-AU"/>
              </w:rPr>
              <w:fldChar w:fldCharType="begin"/>
            </w:r>
            <w:r w:rsidR="002840B1" w:rsidRPr="002840B1">
              <w:rPr>
                <w:rFonts w:ascii="Arial" w:hAnsi="Arial" w:cs="Arial"/>
                <w:sz w:val="22"/>
                <w:lang w:eastAsia="en-AU"/>
              </w:rPr>
              <w:instrText xml:space="preserve"> REF _Ref216792583 \h  \* MERGEFORMAT </w:instrText>
            </w:r>
            <w:r w:rsidR="002840B1" w:rsidRPr="002840B1">
              <w:rPr>
                <w:rFonts w:ascii="Arial" w:hAnsi="Arial" w:cs="Arial"/>
                <w:sz w:val="22"/>
                <w:lang w:eastAsia="en-AU"/>
              </w:rPr>
            </w:r>
            <w:r w:rsidR="002840B1" w:rsidRPr="002840B1">
              <w:rPr>
                <w:rFonts w:ascii="Arial" w:hAnsi="Arial" w:cs="Arial"/>
                <w:sz w:val="22"/>
                <w:lang w:eastAsia="en-AU"/>
              </w:rPr>
              <w:fldChar w:fldCharType="separate"/>
            </w:r>
            <w:r w:rsidR="00A002F4" w:rsidRPr="00A002F4">
              <w:rPr>
                <w:rFonts w:ascii="Arial" w:hAnsi="Arial" w:cs="Arial"/>
                <w:sz w:val="22"/>
              </w:rPr>
              <w:t xml:space="preserve">Table </w:t>
            </w:r>
            <w:r w:rsidR="00A002F4" w:rsidRPr="00A002F4">
              <w:rPr>
                <w:rFonts w:ascii="Arial" w:hAnsi="Arial" w:cs="Arial"/>
                <w:noProof/>
                <w:sz w:val="22"/>
              </w:rPr>
              <w:t>51</w:t>
            </w:r>
            <w:r w:rsidR="002840B1" w:rsidRPr="002840B1">
              <w:rPr>
                <w:rFonts w:ascii="Arial" w:hAnsi="Arial" w:cs="Arial"/>
                <w:sz w:val="22"/>
                <w:lang w:eastAsia="en-AU"/>
              </w:rPr>
              <w:fldChar w:fldCharType="end"/>
            </w:r>
            <w:r w:rsidRPr="002840B1">
              <w:rPr>
                <w:rFonts w:ascii="Arial" w:hAnsi="Arial" w:cs="Arial"/>
                <w:sz w:val="22"/>
                <w:lang w:eastAsia="en-AU"/>
              </w:rPr>
              <w:t>)</w:t>
            </w:r>
            <w:r w:rsidRPr="002840B1">
              <w:rPr>
                <w:rFonts w:ascii="Arial" w:hAnsi="Arial" w:cs="Arial"/>
                <w:sz w:val="28"/>
                <w:szCs w:val="28"/>
                <w:lang w:eastAsia="en-AU"/>
              </w:rPr>
              <w:t xml:space="preserve"> </w:t>
            </w:r>
            <w:r w:rsidRPr="00AA554A">
              <w:rPr>
                <w:rFonts w:ascii="Arial" w:hAnsi="Arial" w:cs="Arial"/>
                <w:sz w:val="22"/>
                <w:lang w:eastAsia="en-AU"/>
              </w:rPr>
              <w:t>are based on NDS data.</w:t>
            </w:r>
          </w:p>
          <w:p w14:paraId="71C37305" w14:textId="6F8F23F9" w:rsidR="005874AC" w:rsidRPr="00AA554A" w:rsidRDefault="005874AC">
            <w:pPr>
              <w:keepNext/>
              <w:keepLines/>
              <w:rPr>
                <w:rFonts w:eastAsia="Arial" w:cs="Arial"/>
                <w:szCs w:val="22"/>
                <w:lang w:eastAsia="en-AU"/>
              </w:rPr>
            </w:pPr>
            <w:r w:rsidRPr="00AA554A">
              <w:rPr>
                <w:rFonts w:cs="Arial"/>
                <w:szCs w:val="22"/>
                <w:lang w:eastAsia="en-AU"/>
              </w:rPr>
              <w:t>An uplift factor of 50</w:t>
            </w:r>
            <w:r>
              <w:rPr>
                <w:rFonts w:cs="Arial"/>
                <w:szCs w:val="22"/>
                <w:lang w:eastAsia="en-AU"/>
              </w:rPr>
              <w:t>%</w:t>
            </w:r>
            <w:r w:rsidRPr="00AA554A">
              <w:rPr>
                <w:rFonts w:cs="Arial"/>
                <w:szCs w:val="22"/>
                <w:lang w:eastAsia="en-AU"/>
              </w:rPr>
              <w:t xml:space="preserve"> has been assumed, to account for the likely under-reporting of workplace injury or illness attributable to the </w:t>
            </w:r>
            <w:r>
              <w:rPr>
                <w:rFonts w:cs="Arial"/>
                <w:szCs w:val="22"/>
                <w:lang w:eastAsia="en-AU"/>
              </w:rPr>
              <w:t>9</w:t>
            </w:r>
            <w:r w:rsidRPr="00AA554A">
              <w:rPr>
                <w:rFonts w:cs="Arial"/>
                <w:szCs w:val="22"/>
                <w:lang w:eastAsia="en-AU"/>
              </w:rPr>
              <w:t xml:space="preserve"> chemicals in workers’ compensation data. </w:t>
            </w:r>
            <w:r w:rsidRPr="00FA1B1F">
              <w:rPr>
                <w:rFonts w:cs="Arial"/>
                <w:szCs w:val="22"/>
                <w:lang w:eastAsia="en-AU"/>
              </w:rPr>
              <w:t xml:space="preserve">See </w:t>
            </w:r>
            <w:r w:rsidR="00A56E18">
              <w:rPr>
                <w:rFonts w:cs="Arial"/>
                <w:szCs w:val="22"/>
                <w:highlight w:val="lightGray"/>
                <w:lang w:eastAsia="en-AU"/>
              </w:rPr>
              <w:fldChar w:fldCharType="begin"/>
            </w:r>
            <w:r w:rsidR="00A56E18">
              <w:rPr>
                <w:rFonts w:cs="Arial"/>
                <w:szCs w:val="22"/>
                <w:lang w:eastAsia="en-AU"/>
              </w:rPr>
              <w:instrText xml:space="preserve"> REF _Ref216793461 \h </w:instrText>
            </w:r>
            <w:r w:rsidR="00A56E18">
              <w:rPr>
                <w:rFonts w:cs="Arial"/>
                <w:szCs w:val="22"/>
                <w:highlight w:val="lightGray"/>
                <w:lang w:eastAsia="en-AU"/>
              </w:rPr>
            </w:r>
            <w:r w:rsidR="00A56E18">
              <w:rPr>
                <w:rFonts w:cs="Arial"/>
                <w:szCs w:val="22"/>
                <w:highlight w:val="lightGray"/>
                <w:lang w:eastAsia="en-AU"/>
              </w:rPr>
              <w:fldChar w:fldCharType="separate"/>
            </w:r>
            <w:r w:rsidR="00A002F4">
              <w:t xml:space="preserve">Table </w:t>
            </w:r>
            <w:r w:rsidR="00A002F4">
              <w:rPr>
                <w:noProof/>
              </w:rPr>
              <w:t>66</w:t>
            </w:r>
            <w:r w:rsidR="00A56E18">
              <w:rPr>
                <w:rFonts w:cs="Arial"/>
                <w:szCs w:val="22"/>
                <w:highlight w:val="lightGray"/>
                <w:lang w:eastAsia="en-AU"/>
              </w:rPr>
              <w:fldChar w:fldCharType="end"/>
            </w:r>
            <w:r w:rsidRPr="00FA1B1F">
              <w:rPr>
                <w:rFonts w:cs="Arial"/>
                <w:szCs w:val="22"/>
                <w:lang w:eastAsia="en-AU"/>
              </w:rPr>
              <w:t xml:space="preserve"> for further discussion.</w:t>
            </w:r>
          </w:p>
        </w:tc>
      </w:tr>
      <w:tr w:rsidR="005874AC" w:rsidRPr="002A1131" w14:paraId="199FCFC2" w14:textId="77777777" w:rsidTr="00A471B8">
        <w:trPr>
          <w:trHeight w:val="265"/>
        </w:trPr>
        <w:tc>
          <w:tcPr>
            <w:tcW w:w="1980" w:type="dxa"/>
            <w:shd w:val="clear" w:color="auto" w:fill="4877E0" w:themeFill="accent1"/>
          </w:tcPr>
          <w:p w14:paraId="635ECE5B" w14:textId="77777777" w:rsidR="005874AC" w:rsidRPr="00040643" w:rsidRDefault="005874AC">
            <w:pPr>
              <w:keepNext/>
              <w:keepLines/>
              <w:widowControl w:val="0"/>
              <w:spacing w:after="0" w:line="240" w:lineRule="auto"/>
              <w:rPr>
                <w:rFonts w:eastAsia="Times New Roman" w:cs="Arial"/>
                <w:b/>
                <w:szCs w:val="22"/>
                <w:lang w:eastAsia="en-AU"/>
              </w:rPr>
            </w:pPr>
            <w:r w:rsidRPr="00372444">
              <w:rPr>
                <w:rFonts w:cs="Arial"/>
                <w:b/>
                <w:color w:val="FFFFFF" w:themeColor="background1"/>
                <w:szCs w:val="22"/>
                <w:lang w:eastAsia="en-AU"/>
              </w:rPr>
              <w:t>Methodology</w:t>
            </w:r>
          </w:p>
        </w:tc>
        <w:tc>
          <w:tcPr>
            <w:tcW w:w="7438" w:type="dxa"/>
          </w:tcPr>
          <w:p w14:paraId="471F5598" w14:textId="77777777" w:rsidR="005874AC" w:rsidRPr="00AA554A" w:rsidRDefault="000C2C81">
            <w:pPr>
              <w:pStyle w:val="TableNText"/>
              <w:rPr>
                <w:rFonts w:ascii="Arial" w:hAnsi="Arial" w:cs="Arial"/>
                <w:sz w:val="22"/>
                <w:lang w:eastAsia="en-AU"/>
              </w:rPr>
            </w:pPr>
            <m:oMath>
              <m:r>
                <w:rPr>
                  <w:rFonts w:ascii="Cambria Math" w:hAnsi="Cambria Math" w:cs="Arial"/>
                  <w:sz w:val="22"/>
                  <w:lang w:eastAsia="en-AU"/>
                </w:rPr>
                <m:t>Benefit=NC×</m:t>
              </m:r>
              <m:sSub>
                <m:sSubPr>
                  <m:ctrlPr>
                    <w:rPr>
                      <w:rFonts w:ascii="Cambria Math" w:hAnsi="Cambria Math" w:cs="Arial"/>
                      <w:i/>
                      <w:sz w:val="22"/>
                      <w:lang w:eastAsia="en-AU"/>
                    </w:rPr>
                  </m:ctrlPr>
                </m:sSubPr>
                <m:e>
                  <m:r>
                    <w:rPr>
                      <w:rFonts w:ascii="Cambria Math" w:hAnsi="Cambria Math" w:cs="Arial"/>
                      <w:sz w:val="22"/>
                      <w:lang w:eastAsia="en-AU"/>
                    </w:rPr>
                    <m:t>AC</m:t>
                  </m:r>
                </m:e>
                <m:sub>
                  <m:r>
                    <w:rPr>
                      <w:rFonts w:ascii="Cambria Math" w:hAnsi="Cambria Math" w:cs="Arial"/>
                      <w:sz w:val="22"/>
                      <w:lang w:eastAsia="en-AU"/>
                    </w:rPr>
                    <m:t>DC</m:t>
                  </m:r>
                </m:sub>
              </m:sSub>
              <m:r>
                <w:rPr>
                  <w:rFonts w:ascii="Cambria Math" w:hAnsi="Cambria Math" w:cs="Arial"/>
                  <w:sz w:val="22"/>
                  <w:lang w:eastAsia="en-AU"/>
                </w:rPr>
                <m:t>×UF</m:t>
              </m:r>
            </m:oMath>
            <w:r w:rsidR="005874AC" w:rsidRPr="00AA554A">
              <w:rPr>
                <w:rFonts w:ascii="Arial" w:eastAsiaTheme="minorEastAsia" w:hAnsi="Arial" w:cs="Arial"/>
                <w:sz w:val="22"/>
                <w:lang w:eastAsia="en-AU"/>
              </w:rPr>
              <w:t>, where:</w:t>
            </w:r>
          </w:p>
          <w:p w14:paraId="18238E93" w14:textId="77777777" w:rsidR="005874AC" w:rsidRPr="00AA554A" w:rsidRDefault="005874AC" w:rsidP="005874AC">
            <w:pPr>
              <w:pStyle w:val="TableNBullet"/>
              <w:spacing w:line="240" w:lineRule="auto"/>
              <w:rPr>
                <w:rFonts w:ascii="Arial" w:hAnsi="Arial" w:cs="Arial"/>
                <w:sz w:val="22"/>
                <w:szCs w:val="22"/>
              </w:rPr>
            </w:pPr>
            <w:r w:rsidRPr="00AA554A">
              <w:rPr>
                <w:rFonts w:ascii="Arial" w:hAnsi="Arial" w:cs="Arial"/>
                <w:sz w:val="22"/>
                <w:szCs w:val="22"/>
              </w:rPr>
              <w:t>NC represents the average number of workers’ compensation claims per year</w:t>
            </w:r>
          </w:p>
          <w:p w14:paraId="27215587" w14:textId="77777777" w:rsidR="005874AC" w:rsidRPr="00AA554A" w:rsidRDefault="005874AC" w:rsidP="005874AC">
            <w:pPr>
              <w:pStyle w:val="TableNBullet"/>
              <w:spacing w:line="240" w:lineRule="auto"/>
              <w:rPr>
                <w:rFonts w:ascii="Arial" w:hAnsi="Arial" w:cs="Arial"/>
                <w:sz w:val="22"/>
                <w:szCs w:val="22"/>
              </w:rPr>
            </w:pPr>
            <w:r w:rsidRPr="00AA554A">
              <w:rPr>
                <w:rFonts w:ascii="Arial" w:hAnsi="Arial" w:cs="Arial"/>
                <w:sz w:val="22"/>
                <w:szCs w:val="22"/>
              </w:rPr>
              <w:t>AC</w:t>
            </w:r>
            <w:r w:rsidRPr="00AA554A">
              <w:rPr>
                <w:rFonts w:ascii="Arial" w:hAnsi="Arial" w:cs="Arial"/>
                <w:sz w:val="22"/>
                <w:szCs w:val="22"/>
                <w:vertAlign w:val="subscript"/>
              </w:rPr>
              <w:t>DC</w:t>
            </w:r>
            <w:r w:rsidRPr="00AA554A">
              <w:rPr>
                <w:rFonts w:ascii="Arial" w:hAnsi="Arial" w:cs="Arial"/>
                <w:sz w:val="22"/>
                <w:szCs w:val="22"/>
              </w:rPr>
              <w:t xml:space="preserve"> represents the average direct compensation costs per claim</w:t>
            </w:r>
          </w:p>
          <w:p w14:paraId="44DAD164" w14:textId="71A52259" w:rsidR="005874AC" w:rsidRPr="00AA554A" w:rsidRDefault="00972768" w:rsidP="00A2768E">
            <w:pPr>
              <w:pStyle w:val="ListParagraph"/>
              <w:keepNext/>
              <w:keepLines/>
              <w:numPr>
                <w:ilvl w:val="0"/>
                <w:numId w:val="119"/>
              </w:numPr>
              <w:rPr>
                <w:rFonts w:eastAsia="Arial" w:cs="Arial"/>
                <w:szCs w:val="22"/>
                <w:lang w:eastAsia="en-AU"/>
              </w:rPr>
            </w:pPr>
            <w:r>
              <w:rPr>
                <w:rFonts w:cs="Arial"/>
                <w:szCs w:val="22"/>
              </w:rPr>
              <w:t>U</w:t>
            </w:r>
            <w:r w:rsidR="005874AC" w:rsidRPr="00AA554A">
              <w:rPr>
                <w:rFonts w:cs="Arial"/>
                <w:szCs w:val="22"/>
              </w:rPr>
              <w:t>F represents the uplift factor.</w:t>
            </w:r>
          </w:p>
        </w:tc>
      </w:tr>
    </w:tbl>
    <w:p w14:paraId="22F20491" w14:textId="77777777" w:rsidR="005874AC" w:rsidRPr="003A5B15" w:rsidRDefault="005874AC" w:rsidP="005874AC">
      <w:pPr>
        <w:rPr>
          <w:rFonts w:cs="Arial"/>
          <w:szCs w:val="22"/>
        </w:rPr>
      </w:pPr>
    </w:p>
    <w:p w14:paraId="39A60645" w14:textId="77777777" w:rsidR="005874AC" w:rsidRDefault="005874AC" w:rsidP="005874AC">
      <w:pPr>
        <w:pStyle w:val="SWAHeading4"/>
      </w:pPr>
      <w:r>
        <w:t>Reduced common law costs</w:t>
      </w:r>
    </w:p>
    <w:p w14:paraId="2B835CD8" w14:textId="2F064A52" w:rsidR="00852609" w:rsidRDefault="005874AC" w:rsidP="00144BE5">
      <w:r w:rsidRPr="00914CEC">
        <w:rPr>
          <w:rFonts w:cs="Arial"/>
          <w:szCs w:val="22"/>
          <w:lang w:eastAsia="en-AU"/>
        </w:rPr>
        <w:t xml:space="preserve">This benefit measures the reduction in compensation payments made under common law arrangements, attributable to reduced workplace exposure to airborne contaminants. Common law costs include economic losses (income replacement) and non-economic losses (excluding insurer and worker legal costs). The inputs, parameters and methodology used to estimate this benefit are presented in </w:t>
      </w:r>
      <w:r w:rsidR="008E0929">
        <w:rPr>
          <w:rFonts w:cs="Arial"/>
          <w:szCs w:val="22"/>
          <w:lang w:eastAsia="en-AU"/>
        </w:rPr>
        <w:fldChar w:fldCharType="begin"/>
      </w:r>
      <w:r w:rsidR="008E0929">
        <w:rPr>
          <w:rFonts w:cs="Arial"/>
          <w:szCs w:val="22"/>
          <w:lang w:eastAsia="en-AU"/>
        </w:rPr>
        <w:instrText xml:space="preserve"> REF _Ref216792768 \h </w:instrText>
      </w:r>
      <w:r w:rsidR="008E0929">
        <w:rPr>
          <w:rFonts w:cs="Arial"/>
          <w:szCs w:val="22"/>
          <w:lang w:eastAsia="en-AU"/>
        </w:rPr>
      </w:r>
      <w:r w:rsidR="008E0929">
        <w:rPr>
          <w:rFonts w:cs="Arial"/>
          <w:szCs w:val="22"/>
          <w:lang w:eastAsia="en-AU"/>
        </w:rPr>
        <w:fldChar w:fldCharType="separate"/>
      </w:r>
      <w:r w:rsidR="00A002F4">
        <w:t xml:space="preserve">Table </w:t>
      </w:r>
      <w:r w:rsidR="00A002F4">
        <w:rPr>
          <w:noProof/>
        </w:rPr>
        <w:t>53</w:t>
      </w:r>
      <w:r w:rsidR="008E0929">
        <w:rPr>
          <w:rFonts w:cs="Arial"/>
          <w:szCs w:val="22"/>
          <w:lang w:eastAsia="en-AU"/>
        </w:rPr>
        <w:fldChar w:fldCharType="end"/>
      </w:r>
      <w:r w:rsidR="008E0929">
        <w:rPr>
          <w:rFonts w:cs="Arial"/>
          <w:szCs w:val="22"/>
          <w:lang w:eastAsia="en-AU"/>
        </w:rPr>
        <w:t>.</w:t>
      </w:r>
    </w:p>
    <w:p w14:paraId="2DB45513" w14:textId="36D9775E" w:rsidR="008E0929" w:rsidRDefault="008E0929" w:rsidP="00144BE5">
      <w:pPr>
        <w:pStyle w:val="Caption"/>
      </w:pPr>
      <w:bookmarkStart w:id="687" w:name="_Ref216792768"/>
      <w:r>
        <w:lastRenderedPageBreak/>
        <w:t xml:space="preserve">Table </w:t>
      </w:r>
      <w:fldSimple w:instr=" SEQ Table \* ARABIC ">
        <w:r w:rsidR="00A002F4">
          <w:rPr>
            <w:noProof/>
          </w:rPr>
          <w:t>53</w:t>
        </w:r>
      </w:fldSimple>
      <w:bookmarkEnd w:id="687"/>
      <w:r>
        <w:t xml:space="preserve"> - </w:t>
      </w:r>
      <w:r w:rsidRPr="00B226CA">
        <w:t>Inputs, parameters and methodology used to estimate the reduced common law costs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5874AC" w:rsidRPr="002A1131" w14:paraId="7C0EF016" w14:textId="77777777" w:rsidTr="002D711D">
        <w:trPr>
          <w:trHeight w:val="265"/>
        </w:trPr>
        <w:tc>
          <w:tcPr>
            <w:tcW w:w="1980" w:type="dxa"/>
            <w:shd w:val="clear" w:color="auto" w:fill="4877E0" w:themeFill="accent1"/>
          </w:tcPr>
          <w:p w14:paraId="7EED2017" w14:textId="77777777" w:rsidR="005874AC" w:rsidRPr="00B87228" w:rsidRDefault="005874AC">
            <w:pPr>
              <w:keepNext/>
              <w:keepLines/>
              <w:widowControl w:val="0"/>
              <w:spacing w:after="0" w:line="240" w:lineRule="auto"/>
              <w:rPr>
                <w:rFonts w:eastAsia="Times New Roman" w:cs="Arial"/>
                <w:b/>
                <w:szCs w:val="22"/>
                <w:lang w:eastAsia="en-AU"/>
              </w:rPr>
            </w:pPr>
            <w:r w:rsidRPr="0085691B">
              <w:rPr>
                <w:rFonts w:cs="Arial"/>
                <w:b/>
                <w:color w:val="FFFFFF" w:themeColor="background1"/>
                <w:szCs w:val="22"/>
                <w:lang w:eastAsia="en-AU"/>
              </w:rPr>
              <w:t>Inputs</w:t>
            </w:r>
          </w:p>
        </w:tc>
        <w:tc>
          <w:tcPr>
            <w:tcW w:w="7438" w:type="dxa"/>
          </w:tcPr>
          <w:p w14:paraId="69F52164" w14:textId="77777777" w:rsidR="005874AC" w:rsidRPr="002A1131" w:rsidRDefault="005874AC">
            <w:pPr>
              <w:keepNext/>
              <w:keepLines/>
              <w:rPr>
                <w:rFonts w:eastAsia="Arial" w:cs="Arial"/>
                <w:szCs w:val="22"/>
                <w:lang w:eastAsia="en-AU"/>
              </w:rPr>
            </w:pPr>
            <w:r w:rsidRPr="00914CEC">
              <w:rPr>
                <w:rFonts w:cs="Arial"/>
                <w:szCs w:val="22"/>
                <w:lang w:eastAsia="en-AU"/>
              </w:rPr>
              <w:t>Not applicable.</w:t>
            </w:r>
          </w:p>
        </w:tc>
      </w:tr>
      <w:tr w:rsidR="005874AC" w:rsidRPr="002A1131" w14:paraId="60C9BE3C" w14:textId="77777777" w:rsidTr="00DC645D">
        <w:trPr>
          <w:trHeight w:val="265"/>
        </w:trPr>
        <w:tc>
          <w:tcPr>
            <w:tcW w:w="1980" w:type="dxa"/>
            <w:shd w:val="clear" w:color="auto" w:fill="4877E0" w:themeFill="accent1"/>
          </w:tcPr>
          <w:p w14:paraId="641D785F" w14:textId="77777777" w:rsidR="005874AC" w:rsidRPr="00B87228" w:rsidRDefault="005874AC">
            <w:pPr>
              <w:keepNext/>
              <w:keepLines/>
              <w:widowControl w:val="0"/>
              <w:spacing w:after="0" w:line="240" w:lineRule="auto"/>
              <w:rPr>
                <w:rFonts w:eastAsia="Times New Roman" w:cs="Arial"/>
                <w:b/>
                <w:szCs w:val="22"/>
                <w:lang w:eastAsia="en-AU"/>
              </w:rPr>
            </w:pPr>
            <w:r w:rsidRPr="0085691B">
              <w:rPr>
                <w:rFonts w:cs="Arial"/>
                <w:b/>
                <w:color w:val="FFFFFF" w:themeColor="background1"/>
                <w:szCs w:val="22"/>
                <w:lang w:eastAsia="en-AU"/>
              </w:rPr>
              <w:t>Parameters</w:t>
            </w:r>
          </w:p>
        </w:tc>
        <w:tc>
          <w:tcPr>
            <w:tcW w:w="7438" w:type="dxa"/>
          </w:tcPr>
          <w:p w14:paraId="599FC26E" w14:textId="08172355" w:rsidR="005874AC" w:rsidRPr="00914CEC" w:rsidRDefault="005874AC">
            <w:pPr>
              <w:pStyle w:val="TableNText"/>
              <w:rPr>
                <w:rFonts w:ascii="Arial" w:hAnsi="Arial" w:cs="Arial"/>
                <w:sz w:val="22"/>
                <w:lang w:eastAsia="en-AU"/>
              </w:rPr>
            </w:pPr>
            <w:r w:rsidRPr="00914CEC">
              <w:rPr>
                <w:rFonts w:ascii="Arial" w:hAnsi="Arial" w:cs="Arial"/>
                <w:sz w:val="22"/>
                <w:lang w:eastAsia="en-AU"/>
              </w:rPr>
              <w:t xml:space="preserve">The average number of workers’ compensation claims per year and the average common law compensation costs per claim for each chemical </w:t>
            </w:r>
            <w:r w:rsidRPr="00DB0DDE">
              <w:rPr>
                <w:rFonts w:ascii="Arial" w:hAnsi="Arial" w:cs="Arial"/>
                <w:sz w:val="22"/>
                <w:lang w:eastAsia="en-AU"/>
              </w:rPr>
              <w:t>(see</w:t>
            </w:r>
            <w:r w:rsidR="002840B1">
              <w:rPr>
                <w:rFonts w:ascii="Arial" w:hAnsi="Arial" w:cs="Arial"/>
                <w:sz w:val="22"/>
                <w:lang w:eastAsia="en-AU"/>
              </w:rPr>
              <w:t xml:space="preserve"> </w:t>
            </w:r>
            <w:r w:rsidR="002840B1" w:rsidRPr="00207D34">
              <w:rPr>
                <w:rFonts w:ascii="Arial" w:hAnsi="Arial" w:cs="Arial"/>
                <w:sz w:val="22"/>
                <w:lang w:eastAsia="en-AU"/>
              </w:rPr>
              <w:fldChar w:fldCharType="begin"/>
            </w:r>
            <w:r w:rsidR="002840B1" w:rsidRPr="00207D34">
              <w:rPr>
                <w:rFonts w:ascii="Arial" w:hAnsi="Arial" w:cs="Arial"/>
                <w:sz w:val="22"/>
                <w:lang w:eastAsia="en-AU"/>
              </w:rPr>
              <w:instrText xml:space="preserve"> REF _Ref216792583 \h </w:instrText>
            </w:r>
            <w:r w:rsidR="00207D34" w:rsidRPr="00207D34">
              <w:rPr>
                <w:rFonts w:ascii="Arial" w:hAnsi="Arial" w:cs="Arial"/>
                <w:sz w:val="22"/>
                <w:lang w:eastAsia="en-AU"/>
              </w:rPr>
              <w:instrText xml:space="preserve"> \* MERGEFORMAT </w:instrText>
            </w:r>
            <w:r w:rsidR="002840B1" w:rsidRPr="00207D34">
              <w:rPr>
                <w:rFonts w:ascii="Arial" w:hAnsi="Arial" w:cs="Arial"/>
                <w:sz w:val="22"/>
                <w:lang w:eastAsia="en-AU"/>
              </w:rPr>
            </w:r>
            <w:r w:rsidR="002840B1" w:rsidRPr="00207D34">
              <w:rPr>
                <w:rFonts w:ascii="Arial" w:hAnsi="Arial" w:cs="Arial"/>
                <w:sz w:val="22"/>
                <w:lang w:eastAsia="en-AU"/>
              </w:rPr>
              <w:fldChar w:fldCharType="separate"/>
            </w:r>
            <w:r w:rsidR="00A002F4" w:rsidRPr="00A002F4">
              <w:rPr>
                <w:rFonts w:ascii="Arial" w:hAnsi="Arial" w:cs="Arial"/>
                <w:sz w:val="22"/>
              </w:rPr>
              <w:t xml:space="preserve">Table </w:t>
            </w:r>
            <w:r w:rsidR="00A002F4" w:rsidRPr="00A002F4">
              <w:rPr>
                <w:rFonts w:ascii="Arial" w:hAnsi="Arial" w:cs="Arial"/>
                <w:noProof/>
                <w:sz w:val="22"/>
              </w:rPr>
              <w:t>51</w:t>
            </w:r>
            <w:r w:rsidR="002840B1" w:rsidRPr="00207D34">
              <w:rPr>
                <w:rFonts w:ascii="Arial" w:hAnsi="Arial" w:cs="Arial"/>
                <w:sz w:val="22"/>
                <w:lang w:eastAsia="en-AU"/>
              </w:rPr>
              <w:fldChar w:fldCharType="end"/>
            </w:r>
            <w:r w:rsidRPr="00DB0DDE">
              <w:rPr>
                <w:rFonts w:ascii="Arial" w:hAnsi="Arial" w:cs="Arial"/>
                <w:sz w:val="22"/>
                <w:lang w:eastAsia="en-AU"/>
              </w:rPr>
              <w:t>)</w:t>
            </w:r>
            <w:r w:rsidRPr="00914CEC">
              <w:rPr>
                <w:rFonts w:ascii="Arial" w:hAnsi="Arial" w:cs="Arial"/>
                <w:sz w:val="22"/>
                <w:lang w:eastAsia="en-AU"/>
              </w:rPr>
              <w:t xml:space="preserve"> are based on NDS data.</w:t>
            </w:r>
          </w:p>
          <w:p w14:paraId="60F2E1B5" w14:textId="7FA9CD7E" w:rsidR="005874AC" w:rsidRPr="00914CEC" w:rsidRDefault="005874AC">
            <w:pPr>
              <w:keepNext/>
              <w:keepLines/>
              <w:rPr>
                <w:rFonts w:eastAsia="Arial" w:cs="Arial"/>
                <w:szCs w:val="22"/>
                <w:lang w:eastAsia="en-AU"/>
              </w:rPr>
            </w:pPr>
            <w:r w:rsidRPr="00914CEC">
              <w:rPr>
                <w:rFonts w:cs="Arial"/>
                <w:szCs w:val="22"/>
                <w:lang w:eastAsia="en-AU"/>
              </w:rPr>
              <w:t>An uplift factor of 50</w:t>
            </w:r>
            <w:r>
              <w:rPr>
                <w:rFonts w:cs="Arial"/>
                <w:szCs w:val="22"/>
                <w:lang w:eastAsia="en-AU"/>
              </w:rPr>
              <w:t>%</w:t>
            </w:r>
            <w:r w:rsidRPr="00914CEC">
              <w:rPr>
                <w:rFonts w:cs="Arial"/>
                <w:szCs w:val="22"/>
                <w:lang w:eastAsia="en-AU"/>
              </w:rPr>
              <w:t xml:space="preserve"> has been assumed, to account for the likely under-reporting of workplace injury or illness attributable to the </w:t>
            </w:r>
            <w:r>
              <w:rPr>
                <w:rFonts w:cs="Arial"/>
                <w:szCs w:val="22"/>
                <w:lang w:eastAsia="en-AU"/>
              </w:rPr>
              <w:t>9</w:t>
            </w:r>
            <w:r w:rsidRPr="00914CEC">
              <w:rPr>
                <w:rFonts w:cs="Arial"/>
                <w:szCs w:val="22"/>
                <w:lang w:eastAsia="en-AU"/>
              </w:rPr>
              <w:t xml:space="preserve"> chemicals in workers’ compensation data. </w:t>
            </w:r>
            <w:r w:rsidRPr="00DB0DDE">
              <w:rPr>
                <w:rFonts w:cs="Arial"/>
                <w:szCs w:val="22"/>
                <w:lang w:eastAsia="en-AU"/>
              </w:rPr>
              <w:t xml:space="preserve">See </w:t>
            </w:r>
            <w:r w:rsidR="00A56E18">
              <w:rPr>
                <w:highlight w:val="lightGray"/>
              </w:rPr>
              <w:fldChar w:fldCharType="begin"/>
            </w:r>
            <w:r w:rsidR="00A56E18">
              <w:rPr>
                <w:rFonts w:cs="Arial"/>
                <w:szCs w:val="22"/>
                <w:lang w:eastAsia="en-AU"/>
              </w:rPr>
              <w:instrText xml:space="preserve"> REF _Ref216793461 \h </w:instrText>
            </w:r>
            <w:r w:rsidR="00A56E18">
              <w:rPr>
                <w:highlight w:val="lightGray"/>
              </w:rPr>
            </w:r>
            <w:r w:rsidR="00A56E18">
              <w:rPr>
                <w:highlight w:val="lightGray"/>
              </w:rPr>
              <w:fldChar w:fldCharType="separate"/>
            </w:r>
            <w:r w:rsidR="00A002F4">
              <w:t xml:space="preserve">Table </w:t>
            </w:r>
            <w:r w:rsidR="00A002F4">
              <w:rPr>
                <w:noProof/>
              </w:rPr>
              <w:t>66</w:t>
            </w:r>
            <w:r w:rsidR="00A56E18">
              <w:rPr>
                <w:highlight w:val="lightGray"/>
              </w:rPr>
              <w:fldChar w:fldCharType="end"/>
            </w:r>
            <w:r w:rsidR="0087384C">
              <w:t xml:space="preserve"> </w:t>
            </w:r>
            <w:r w:rsidRPr="00DB0DDE">
              <w:rPr>
                <w:rFonts w:cs="Arial"/>
                <w:szCs w:val="22"/>
                <w:lang w:eastAsia="en-AU"/>
              </w:rPr>
              <w:t>for further discussion.</w:t>
            </w:r>
          </w:p>
        </w:tc>
      </w:tr>
      <w:tr w:rsidR="005874AC" w:rsidRPr="002A1131" w14:paraId="0B1DECD9" w14:textId="77777777" w:rsidTr="002D711D">
        <w:trPr>
          <w:trHeight w:val="265"/>
        </w:trPr>
        <w:tc>
          <w:tcPr>
            <w:tcW w:w="1980" w:type="dxa"/>
            <w:shd w:val="clear" w:color="auto" w:fill="4877E0" w:themeFill="accent1"/>
          </w:tcPr>
          <w:p w14:paraId="3693E9B3" w14:textId="77777777" w:rsidR="005874AC" w:rsidRPr="00B87228" w:rsidRDefault="005874AC">
            <w:pPr>
              <w:keepNext/>
              <w:keepLines/>
              <w:widowControl w:val="0"/>
              <w:spacing w:after="0" w:line="240" w:lineRule="auto"/>
              <w:rPr>
                <w:rFonts w:eastAsia="Times New Roman" w:cs="Arial"/>
                <w:b/>
                <w:szCs w:val="22"/>
                <w:lang w:eastAsia="en-AU"/>
              </w:rPr>
            </w:pPr>
            <w:r w:rsidRPr="006848C7">
              <w:rPr>
                <w:rFonts w:cs="Arial"/>
                <w:b/>
                <w:color w:val="FFFFFF" w:themeColor="background1"/>
                <w:szCs w:val="22"/>
                <w:lang w:eastAsia="en-AU"/>
              </w:rPr>
              <w:t>Methodology</w:t>
            </w:r>
          </w:p>
        </w:tc>
        <w:tc>
          <w:tcPr>
            <w:tcW w:w="7438" w:type="dxa"/>
          </w:tcPr>
          <w:p w14:paraId="63795310" w14:textId="6723A7D7" w:rsidR="005874AC" w:rsidRPr="00914CEC" w:rsidRDefault="000C2C81">
            <w:pPr>
              <w:pStyle w:val="TableNText"/>
              <w:rPr>
                <w:rFonts w:ascii="Arial" w:hAnsi="Arial" w:cs="Arial"/>
                <w:sz w:val="22"/>
                <w:lang w:eastAsia="en-AU"/>
              </w:rPr>
            </w:pPr>
            <m:oMath>
              <m:r>
                <w:rPr>
                  <w:rFonts w:ascii="Cambria Math" w:hAnsi="Cambria Math" w:cs="Arial"/>
                  <w:sz w:val="22"/>
                  <w:lang w:eastAsia="en-AU"/>
                </w:rPr>
                <m:t>Benefit=NC×</m:t>
              </m:r>
              <m:sSub>
                <m:sSubPr>
                  <m:ctrlPr>
                    <w:rPr>
                      <w:rFonts w:ascii="Cambria Math" w:hAnsi="Cambria Math" w:cs="Arial"/>
                      <w:i/>
                      <w:sz w:val="22"/>
                      <w:lang w:eastAsia="en-AU"/>
                    </w:rPr>
                  </m:ctrlPr>
                </m:sSubPr>
                <m:e>
                  <m:r>
                    <w:rPr>
                      <w:rFonts w:ascii="Cambria Math" w:hAnsi="Cambria Math" w:cs="Arial"/>
                      <w:sz w:val="22"/>
                      <w:lang w:eastAsia="en-AU"/>
                    </w:rPr>
                    <m:t>AC</m:t>
                  </m:r>
                </m:e>
                <m:sub>
                  <m:r>
                    <w:rPr>
                      <w:rFonts w:ascii="Cambria Math" w:hAnsi="Cambria Math" w:cs="Arial"/>
                      <w:sz w:val="22"/>
                      <w:lang w:eastAsia="en-AU"/>
                    </w:rPr>
                    <m:t>CLC</m:t>
                  </m:r>
                </m:sub>
              </m:sSub>
              <m:r>
                <w:rPr>
                  <w:rFonts w:ascii="Cambria Math" w:hAnsi="Cambria Math" w:cs="Arial"/>
                  <w:sz w:val="22"/>
                  <w:lang w:eastAsia="en-AU"/>
                </w:rPr>
                <m:t>×UF</m:t>
              </m:r>
            </m:oMath>
            <w:r w:rsidR="005874AC" w:rsidRPr="00914CEC">
              <w:rPr>
                <w:rFonts w:ascii="Arial" w:eastAsiaTheme="minorEastAsia" w:hAnsi="Arial" w:cs="Arial"/>
                <w:sz w:val="22"/>
                <w:lang w:eastAsia="en-AU"/>
              </w:rPr>
              <w:t>, where:</w:t>
            </w:r>
          </w:p>
          <w:p w14:paraId="40748140" w14:textId="77777777" w:rsidR="005874AC" w:rsidRPr="00914CEC" w:rsidRDefault="005874AC" w:rsidP="005874AC">
            <w:pPr>
              <w:pStyle w:val="TableNBullet"/>
              <w:spacing w:line="240" w:lineRule="auto"/>
              <w:rPr>
                <w:rFonts w:ascii="Arial" w:hAnsi="Arial" w:cs="Arial"/>
                <w:sz w:val="22"/>
                <w:szCs w:val="22"/>
              </w:rPr>
            </w:pPr>
            <w:r w:rsidRPr="00914CEC">
              <w:rPr>
                <w:rFonts w:ascii="Arial" w:hAnsi="Arial" w:cs="Arial"/>
                <w:sz w:val="22"/>
                <w:szCs w:val="22"/>
              </w:rPr>
              <w:t>NC represents the average number of workers’ compensation claims per year</w:t>
            </w:r>
          </w:p>
          <w:p w14:paraId="508F586E" w14:textId="77777777" w:rsidR="005874AC" w:rsidRPr="00914CEC" w:rsidRDefault="005874AC" w:rsidP="005874AC">
            <w:pPr>
              <w:pStyle w:val="TableNBullet"/>
              <w:spacing w:line="240" w:lineRule="auto"/>
              <w:rPr>
                <w:rFonts w:ascii="Arial" w:hAnsi="Arial" w:cs="Arial"/>
                <w:sz w:val="22"/>
                <w:szCs w:val="22"/>
              </w:rPr>
            </w:pPr>
            <w:r w:rsidRPr="00914CEC">
              <w:rPr>
                <w:rFonts w:ascii="Arial" w:hAnsi="Arial" w:cs="Arial"/>
                <w:sz w:val="22"/>
                <w:szCs w:val="22"/>
              </w:rPr>
              <w:t>AC</w:t>
            </w:r>
            <w:r w:rsidRPr="00914CEC">
              <w:rPr>
                <w:rFonts w:ascii="Arial" w:hAnsi="Arial" w:cs="Arial"/>
                <w:sz w:val="22"/>
                <w:szCs w:val="22"/>
                <w:vertAlign w:val="subscript"/>
              </w:rPr>
              <w:t>CLC</w:t>
            </w:r>
            <w:r w:rsidRPr="00914CEC">
              <w:rPr>
                <w:rFonts w:ascii="Arial" w:hAnsi="Arial" w:cs="Arial"/>
                <w:sz w:val="22"/>
                <w:szCs w:val="22"/>
              </w:rPr>
              <w:t xml:space="preserve"> represents the average common law compensation costs per claim</w:t>
            </w:r>
          </w:p>
          <w:p w14:paraId="2640482F" w14:textId="7129F4E6" w:rsidR="005874AC" w:rsidRPr="00914CEC" w:rsidRDefault="00972768" w:rsidP="00A2768E">
            <w:pPr>
              <w:pStyle w:val="ListParagraph"/>
              <w:keepNext/>
              <w:keepLines/>
              <w:numPr>
                <w:ilvl w:val="0"/>
                <w:numId w:val="118"/>
              </w:numPr>
              <w:rPr>
                <w:rFonts w:eastAsia="Arial" w:cs="Arial"/>
                <w:szCs w:val="22"/>
                <w:lang w:eastAsia="en-AU"/>
              </w:rPr>
            </w:pPr>
            <w:r>
              <w:rPr>
                <w:rFonts w:cs="Arial"/>
                <w:szCs w:val="22"/>
              </w:rPr>
              <w:t>U</w:t>
            </w:r>
            <w:r w:rsidR="005874AC" w:rsidRPr="00914CEC">
              <w:rPr>
                <w:rFonts w:cs="Arial"/>
                <w:szCs w:val="22"/>
              </w:rPr>
              <w:t>F represents the uplift factor.</w:t>
            </w:r>
          </w:p>
        </w:tc>
      </w:tr>
    </w:tbl>
    <w:p w14:paraId="1613F609" w14:textId="77777777" w:rsidR="005874AC" w:rsidRPr="007A0D35" w:rsidRDefault="005874AC" w:rsidP="005874AC">
      <w:pPr>
        <w:rPr>
          <w:rFonts w:cs="Arial"/>
          <w:szCs w:val="22"/>
        </w:rPr>
      </w:pPr>
    </w:p>
    <w:p w14:paraId="16D26966" w14:textId="77777777" w:rsidR="005874AC" w:rsidRPr="00D27B2E" w:rsidRDefault="005874AC" w:rsidP="005874AC">
      <w:pPr>
        <w:pStyle w:val="SWAHeading4"/>
        <w:rPr>
          <w:szCs w:val="22"/>
        </w:rPr>
      </w:pPr>
      <w:r>
        <w:t>Reduced medical costs</w:t>
      </w:r>
    </w:p>
    <w:p w14:paraId="3664D91B" w14:textId="0DFD0D8B" w:rsidR="005874AC" w:rsidRDefault="005874AC" w:rsidP="00CE14BA">
      <w:r w:rsidRPr="00914CEC">
        <w:rPr>
          <w:rFonts w:cs="Arial"/>
          <w:szCs w:val="22"/>
          <w:lang w:eastAsia="en-AU"/>
        </w:rPr>
        <w:t xml:space="preserve">This benefit measures the reduction in medical costs </w:t>
      </w:r>
      <w:r w:rsidRPr="00914CEC">
        <w:rPr>
          <w:rFonts w:cs="Arial"/>
          <w:szCs w:val="22"/>
        </w:rPr>
        <w:t xml:space="preserve">to support a worker to recover from occupational disease, </w:t>
      </w:r>
      <w:r w:rsidRPr="00914CEC">
        <w:rPr>
          <w:rFonts w:cs="Arial"/>
          <w:szCs w:val="22"/>
          <w:lang w:eastAsia="en-AU"/>
        </w:rPr>
        <w:t xml:space="preserve">attributable to reduced workplace exposure to airborne contaminants. </w:t>
      </w:r>
      <w:r w:rsidRPr="00914CEC">
        <w:rPr>
          <w:rFonts w:cs="Arial"/>
          <w:szCs w:val="22"/>
        </w:rPr>
        <w:t xml:space="preserve">Medical costs include hospital visits, medical practitioner services (including general practice, psychiatry and surgery), allied health services (including physiotherapy, psychology and occupational therapy) and other goods (including prescriptions, medical supplies, and aids and appliances). </w:t>
      </w:r>
      <w:r w:rsidRPr="00914CEC">
        <w:rPr>
          <w:rFonts w:cs="Arial"/>
          <w:szCs w:val="22"/>
          <w:lang w:eastAsia="en-AU"/>
        </w:rPr>
        <w:t>The inputs, parameters and methodology used to estimate this benefit are presented in</w:t>
      </w:r>
      <w:r w:rsidR="00C93F1E">
        <w:rPr>
          <w:rFonts w:cs="Arial"/>
          <w:szCs w:val="22"/>
          <w:lang w:eastAsia="en-AU"/>
        </w:rPr>
        <w:t xml:space="preserve"> </w:t>
      </w:r>
      <w:r w:rsidR="00C93F1E">
        <w:rPr>
          <w:rFonts w:cs="Arial"/>
          <w:szCs w:val="22"/>
          <w:lang w:eastAsia="en-AU"/>
        </w:rPr>
        <w:fldChar w:fldCharType="begin"/>
      </w:r>
      <w:r w:rsidR="00C93F1E">
        <w:rPr>
          <w:rFonts w:cs="Arial"/>
          <w:szCs w:val="22"/>
          <w:lang w:eastAsia="en-AU"/>
        </w:rPr>
        <w:instrText xml:space="preserve"> REF _Ref216792816 \h </w:instrText>
      </w:r>
      <w:r w:rsidR="00C93F1E">
        <w:rPr>
          <w:rFonts w:cs="Arial"/>
          <w:szCs w:val="22"/>
          <w:lang w:eastAsia="en-AU"/>
        </w:rPr>
      </w:r>
      <w:r w:rsidR="00C93F1E">
        <w:rPr>
          <w:rFonts w:cs="Arial"/>
          <w:szCs w:val="22"/>
          <w:lang w:eastAsia="en-AU"/>
        </w:rPr>
        <w:fldChar w:fldCharType="separate"/>
      </w:r>
      <w:r w:rsidR="00A002F4">
        <w:t xml:space="preserve">Table </w:t>
      </w:r>
      <w:r w:rsidR="00A002F4">
        <w:rPr>
          <w:noProof/>
        </w:rPr>
        <w:t>54</w:t>
      </w:r>
      <w:r w:rsidR="00C93F1E">
        <w:rPr>
          <w:rFonts w:cs="Arial"/>
          <w:szCs w:val="22"/>
          <w:lang w:eastAsia="en-AU"/>
        </w:rPr>
        <w:fldChar w:fldCharType="end"/>
      </w:r>
      <w:r>
        <w:rPr>
          <w:rFonts w:cs="Arial"/>
          <w:szCs w:val="22"/>
          <w:lang w:eastAsia="en-AU"/>
        </w:rPr>
        <w:t>.</w:t>
      </w:r>
    </w:p>
    <w:p w14:paraId="0E975D6A" w14:textId="3CF99246" w:rsidR="00C93F1E" w:rsidRDefault="00C93F1E" w:rsidP="00144BE5">
      <w:pPr>
        <w:pStyle w:val="Caption"/>
      </w:pPr>
      <w:bookmarkStart w:id="688" w:name="_Ref216792816"/>
      <w:r>
        <w:t xml:space="preserve">Table </w:t>
      </w:r>
      <w:fldSimple w:instr=" SEQ Table \* ARABIC ">
        <w:r w:rsidR="00A002F4">
          <w:rPr>
            <w:noProof/>
          </w:rPr>
          <w:t>54</w:t>
        </w:r>
      </w:fldSimple>
      <w:bookmarkEnd w:id="688"/>
      <w:r>
        <w:t xml:space="preserve"> - </w:t>
      </w:r>
      <w:r w:rsidRPr="006E65A2">
        <w:t>Inputs, parameters and methodology used to estimate the reduced medical costs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5874AC" w:rsidRPr="002A1131" w14:paraId="7A2E5782" w14:textId="77777777" w:rsidTr="0068189E">
        <w:trPr>
          <w:trHeight w:val="265"/>
        </w:trPr>
        <w:tc>
          <w:tcPr>
            <w:tcW w:w="1980" w:type="dxa"/>
            <w:shd w:val="clear" w:color="auto" w:fill="4877E0" w:themeFill="accent1"/>
          </w:tcPr>
          <w:p w14:paraId="5FBDE5AE" w14:textId="77777777" w:rsidR="005874AC" w:rsidRPr="00B87228" w:rsidRDefault="005874AC">
            <w:pPr>
              <w:keepNext/>
              <w:keepLines/>
              <w:widowControl w:val="0"/>
              <w:spacing w:after="0" w:line="240" w:lineRule="auto"/>
              <w:rPr>
                <w:rFonts w:eastAsia="Times New Roman" w:cs="Arial"/>
                <w:b/>
                <w:bCs/>
                <w:szCs w:val="22"/>
                <w:lang w:eastAsia="en-AU"/>
              </w:rPr>
            </w:pPr>
            <w:r w:rsidRPr="00CA3C75">
              <w:rPr>
                <w:rFonts w:cs="Arial"/>
                <w:b/>
                <w:bCs/>
                <w:color w:val="FFFFFF" w:themeColor="background1"/>
                <w:szCs w:val="22"/>
                <w:lang w:eastAsia="en-AU"/>
              </w:rPr>
              <w:t>Inputs</w:t>
            </w:r>
          </w:p>
        </w:tc>
        <w:tc>
          <w:tcPr>
            <w:tcW w:w="7438" w:type="dxa"/>
          </w:tcPr>
          <w:p w14:paraId="132128FE" w14:textId="77777777" w:rsidR="005874AC" w:rsidRPr="002A1131" w:rsidRDefault="005874AC">
            <w:pPr>
              <w:keepNext/>
              <w:keepLines/>
              <w:rPr>
                <w:rFonts w:eastAsia="Arial" w:cs="Arial"/>
                <w:szCs w:val="22"/>
                <w:lang w:eastAsia="en-AU"/>
              </w:rPr>
            </w:pPr>
            <w:r w:rsidRPr="00914CEC">
              <w:rPr>
                <w:rFonts w:cs="Arial"/>
                <w:szCs w:val="22"/>
                <w:lang w:eastAsia="en-AU"/>
              </w:rPr>
              <w:t>Not applicable.</w:t>
            </w:r>
          </w:p>
        </w:tc>
      </w:tr>
      <w:tr w:rsidR="005874AC" w:rsidRPr="002A1131" w14:paraId="5784E545" w14:textId="77777777" w:rsidTr="0068189E">
        <w:trPr>
          <w:trHeight w:val="265"/>
        </w:trPr>
        <w:tc>
          <w:tcPr>
            <w:tcW w:w="1980" w:type="dxa"/>
            <w:shd w:val="clear" w:color="auto" w:fill="4877E0" w:themeFill="accent1"/>
          </w:tcPr>
          <w:p w14:paraId="5EE0221E" w14:textId="77777777" w:rsidR="005874AC" w:rsidRPr="00B87228" w:rsidRDefault="005874AC">
            <w:pPr>
              <w:keepNext/>
              <w:keepLines/>
              <w:widowControl w:val="0"/>
              <w:spacing w:after="0" w:line="240" w:lineRule="auto"/>
              <w:rPr>
                <w:rFonts w:eastAsia="Times New Roman" w:cs="Arial"/>
                <w:b/>
                <w:bCs/>
                <w:szCs w:val="22"/>
                <w:lang w:eastAsia="en-AU"/>
              </w:rPr>
            </w:pPr>
            <w:r w:rsidRPr="00CA3C75">
              <w:rPr>
                <w:rFonts w:cs="Arial"/>
                <w:b/>
                <w:bCs/>
                <w:color w:val="FFFFFF" w:themeColor="background1"/>
                <w:szCs w:val="22"/>
                <w:lang w:eastAsia="en-AU"/>
              </w:rPr>
              <w:t>Parameters</w:t>
            </w:r>
          </w:p>
        </w:tc>
        <w:tc>
          <w:tcPr>
            <w:tcW w:w="7438" w:type="dxa"/>
          </w:tcPr>
          <w:p w14:paraId="5789B788" w14:textId="77553CBF" w:rsidR="005874AC" w:rsidRPr="00B24C33" w:rsidRDefault="005874AC">
            <w:pPr>
              <w:pStyle w:val="TableNText"/>
              <w:spacing w:before="40" w:after="40"/>
              <w:rPr>
                <w:rFonts w:asciiTheme="minorHAnsi" w:hAnsiTheme="minorHAnsi" w:cstheme="minorHAnsi"/>
                <w:sz w:val="22"/>
              </w:rPr>
            </w:pPr>
            <w:r w:rsidRPr="00914CEC">
              <w:rPr>
                <w:rFonts w:ascii="Arial" w:hAnsi="Arial" w:cs="Arial"/>
                <w:sz w:val="22"/>
              </w:rPr>
              <w:t xml:space="preserve">The average number of workers’ compensation claims per year and the average medical costs per claim for each chemical </w:t>
            </w:r>
            <w:r w:rsidRPr="00DB0DDE">
              <w:rPr>
                <w:rFonts w:ascii="Arial" w:hAnsi="Arial" w:cs="Arial"/>
                <w:sz w:val="22"/>
              </w:rPr>
              <w:t>(see</w:t>
            </w:r>
            <w:r w:rsidR="006521CD">
              <w:rPr>
                <w:rFonts w:asciiTheme="minorHAnsi" w:hAnsiTheme="minorHAnsi" w:cstheme="minorHAnsi"/>
                <w:sz w:val="22"/>
                <w:szCs w:val="28"/>
              </w:rPr>
              <w:t xml:space="preserve"> </w:t>
            </w:r>
            <w:r w:rsidR="00261B0D" w:rsidRPr="00454971">
              <w:rPr>
                <w:rFonts w:ascii="Arial" w:hAnsi="Arial" w:cs="Arial"/>
                <w:sz w:val="22"/>
              </w:rPr>
              <w:fldChar w:fldCharType="begin"/>
            </w:r>
            <w:r w:rsidR="00261B0D" w:rsidRPr="00A82CC9">
              <w:rPr>
                <w:rFonts w:ascii="Arial" w:hAnsi="Arial" w:cs="Arial"/>
                <w:sz w:val="22"/>
              </w:rPr>
              <w:instrText xml:space="preserve"> REF _Ref216792583 \h </w:instrText>
            </w:r>
            <w:r w:rsidR="006521CD" w:rsidRPr="006521CD">
              <w:rPr>
                <w:rFonts w:ascii="Arial" w:hAnsi="Arial" w:cs="Arial"/>
                <w:sz w:val="22"/>
              </w:rPr>
              <w:instrText xml:space="preserve"> \* MERGEFORMAT </w:instrText>
            </w:r>
            <w:r w:rsidR="00261B0D" w:rsidRPr="00454971">
              <w:rPr>
                <w:rFonts w:ascii="Arial" w:hAnsi="Arial" w:cs="Arial"/>
                <w:sz w:val="22"/>
              </w:rPr>
            </w:r>
            <w:r w:rsidR="00261B0D" w:rsidRPr="00454971">
              <w:rPr>
                <w:rFonts w:ascii="Arial" w:hAnsi="Arial" w:cs="Arial"/>
                <w:sz w:val="22"/>
              </w:rPr>
              <w:fldChar w:fldCharType="separate"/>
            </w:r>
            <w:r w:rsidR="00A002F4" w:rsidRPr="00A002F4">
              <w:rPr>
                <w:rFonts w:ascii="Arial" w:hAnsi="Arial" w:cs="Arial"/>
                <w:sz w:val="22"/>
              </w:rPr>
              <w:t xml:space="preserve">Table </w:t>
            </w:r>
            <w:r w:rsidR="00A002F4" w:rsidRPr="00A002F4">
              <w:rPr>
                <w:rFonts w:ascii="Arial" w:hAnsi="Arial" w:cs="Arial"/>
                <w:noProof/>
                <w:sz w:val="22"/>
              </w:rPr>
              <w:t>51</w:t>
            </w:r>
            <w:r w:rsidR="00261B0D" w:rsidRPr="00454971">
              <w:rPr>
                <w:rFonts w:ascii="Arial" w:hAnsi="Arial" w:cs="Arial"/>
                <w:sz w:val="22"/>
              </w:rPr>
              <w:fldChar w:fldCharType="end"/>
            </w:r>
            <w:r w:rsidRPr="00DB0DDE">
              <w:rPr>
                <w:rFonts w:ascii="Arial" w:hAnsi="Arial" w:cs="Arial"/>
                <w:sz w:val="22"/>
                <w:lang w:eastAsia="en-AU"/>
              </w:rPr>
              <w:t>)</w:t>
            </w:r>
            <w:r w:rsidRPr="00914CEC">
              <w:rPr>
                <w:rFonts w:ascii="Arial" w:hAnsi="Arial" w:cs="Arial"/>
                <w:sz w:val="22"/>
                <w:lang w:eastAsia="en-AU"/>
              </w:rPr>
              <w:t xml:space="preserve"> are based on NDS data.</w:t>
            </w:r>
          </w:p>
          <w:p w14:paraId="5952C60E" w14:textId="716D76C3" w:rsidR="005874AC" w:rsidRPr="00914CEC" w:rsidRDefault="005874AC" w:rsidP="00407316">
            <w:pPr>
              <w:keepNext/>
              <w:keepLines/>
              <w:spacing w:line="240" w:lineRule="atLeast"/>
              <w:contextualSpacing w:val="0"/>
              <w:rPr>
                <w:rFonts w:eastAsia="Arial" w:cs="Arial"/>
                <w:szCs w:val="22"/>
                <w:lang w:eastAsia="en-AU"/>
              </w:rPr>
            </w:pPr>
            <w:r w:rsidRPr="00914CEC">
              <w:rPr>
                <w:rFonts w:cs="Arial"/>
                <w:szCs w:val="22"/>
                <w:lang w:eastAsia="en-AU"/>
              </w:rPr>
              <w:t>An uplift factor of 50</w:t>
            </w:r>
            <w:r>
              <w:rPr>
                <w:rFonts w:cs="Arial"/>
                <w:szCs w:val="22"/>
                <w:lang w:eastAsia="en-AU"/>
              </w:rPr>
              <w:t>%</w:t>
            </w:r>
            <w:r w:rsidRPr="00914CEC">
              <w:rPr>
                <w:rFonts w:cs="Arial"/>
                <w:szCs w:val="22"/>
                <w:lang w:eastAsia="en-AU"/>
              </w:rPr>
              <w:t xml:space="preserve"> has been assumed, to account for the likely under-reporting of workplace injury or illness attributable to the </w:t>
            </w:r>
            <w:r>
              <w:rPr>
                <w:rFonts w:cs="Arial"/>
                <w:szCs w:val="22"/>
                <w:lang w:eastAsia="en-AU"/>
              </w:rPr>
              <w:t>9</w:t>
            </w:r>
            <w:r w:rsidRPr="00914CEC">
              <w:rPr>
                <w:rFonts w:cs="Arial"/>
                <w:szCs w:val="22"/>
                <w:lang w:eastAsia="en-AU"/>
              </w:rPr>
              <w:t xml:space="preserve"> chemicals in workers’ compensation data</w:t>
            </w:r>
            <w:r w:rsidRPr="00DB0DDE">
              <w:rPr>
                <w:rFonts w:cs="Arial"/>
                <w:szCs w:val="22"/>
                <w:lang w:eastAsia="en-AU"/>
              </w:rPr>
              <w:t xml:space="preserve">. See </w:t>
            </w:r>
            <w:r w:rsidR="00A56E18">
              <w:rPr>
                <w:rFonts w:cs="Arial"/>
                <w:szCs w:val="22"/>
                <w:highlight w:val="lightGray"/>
                <w:lang w:eastAsia="en-AU"/>
              </w:rPr>
              <w:fldChar w:fldCharType="begin"/>
            </w:r>
            <w:r w:rsidR="00A56E18">
              <w:rPr>
                <w:rFonts w:cs="Arial"/>
                <w:szCs w:val="22"/>
                <w:lang w:eastAsia="en-AU"/>
              </w:rPr>
              <w:instrText xml:space="preserve"> REF _Ref216793461 \h </w:instrText>
            </w:r>
            <w:r w:rsidR="00A56E18">
              <w:rPr>
                <w:rFonts w:cs="Arial"/>
                <w:szCs w:val="22"/>
                <w:highlight w:val="lightGray"/>
                <w:lang w:eastAsia="en-AU"/>
              </w:rPr>
            </w:r>
            <w:r w:rsidR="00A56E18">
              <w:rPr>
                <w:rFonts w:cs="Arial"/>
                <w:szCs w:val="22"/>
                <w:highlight w:val="lightGray"/>
                <w:lang w:eastAsia="en-AU"/>
              </w:rPr>
              <w:fldChar w:fldCharType="separate"/>
            </w:r>
            <w:r w:rsidR="00A002F4">
              <w:t xml:space="preserve">Table </w:t>
            </w:r>
            <w:r w:rsidR="00A002F4">
              <w:rPr>
                <w:noProof/>
              </w:rPr>
              <w:t>66</w:t>
            </w:r>
            <w:r w:rsidR="00A56E18">
              <w:rPr>
                <w:rFonts w:cs="Arial"/>
                <w:szCs w:val="22"/>
                <w:highlight w:val="lightGray"/>
                <w:lang w:eastAsia="en-AU"/>
              </w:rPr>
              <w:fldChar w:fldCharType="end"/>
            </w:r>
            <w:r w:rsidR="00144BE5">
              <w:rPr>
                <w:rFonts w:cs="Arial"/>
                <w:szCs w:val="22"/>
                <w:lang w:eastAsia="en-AU"/>
              </w:rPr>
              <w:t xml:space="preserve"> </w:t>
            </w:r>
            <w:r w:rsidRPr="00DB0DDE">
              <w:rPr>
                <w:rFonts w:cs="Arial"/>
                <w:szCs w:val="22"/>
                <w:lang w:eastAsia="en-AU"/>
              </w:rPr>
              <w:t>for further discussion.</w:t>
            </w:r>
          </w:p>
        </w:tc>
      </w:tr>
      <w:tr w:rsidR="005874AC" w:rsidRPr="002A1131" w14:paraId="48621859" w14:textId="77777777" w:rsidTr="0068189E">
        <w:trPr>
          <w:trHeight w:val="265"/>
        </w:trPr>
        <w:tc>
          <w:tcPr>
            <w:tcW w:w="1980" w:type="dxa"/>
            <w:shd w:val="clear" w:color="auto" w:fill="4877E0" w:themeFill="accent1"/>
          </w:tcPr>
          <w:p w14:paraId="205C6E45" w14:textId="77777777" w:rsidR="005874AC" w:rsidRPr="00B87228" w:rsidRDefault="005874AC">
            <w:pPr>
              <w:keepNext/>
              <w:keepLines/>
              <w:widowControl w:val="0"/>
              <w:spacing w:after="0" w:line="240" w:lineRule="auto"/>
              <w:rPr>
                <w:rFonts w:eastAsia="Times New Roman" w:cs="Arial"/>
                <w:b/>
                <w:bCs/>
                <w:szCs w:val="22"/>
                <w:lang w:eastAsia="en-AU"/>
              </w:rPr>
            </w:pPr>
            <w:r w:rsidRPr="00CA3C75">
              <w:rPr>
                <w:rFonts w:cs="Arial"/>
                <w:b/>
                <w:bCs/>
                <w:color w:val="FFFFFF" w:themeColor="background1"/>
                <w:szCs w:val="22"/>
                <w:lang w:eastAsia="en-AU"/>
              </w:rPr>
              <w:t>Methodology</w:t>
            </w:r>
          </w:p>
        </w:tc>
        <w:tc>
          <w:tcPr>
            <w:tcW w:w="7438" w:type="dxa"/>
          </w:tcPr>
          <w:p w14:paraId="14FF1D9E" w14:textId="6FF12AE9" w:rsidR="005874AC" w:rsidRPr="00914CEC" w:rsidRDefault="000C2C81" w:rsidP="49A15BB9">
            <w:pPr>
              <w:pStyle w:val="TableNText"/>
              <w:spacing w:before="40" w:after="40"/>
              <w:rPr>
                <w:rFonts w:ascii="Arial" w:hAnsi="Arial" w:cs="Arial"/>
                <w:sz w:val="22"/>
                <w:lang w:eastAsia="en-AU"/>
              </w:rPr>
            </w:pPr>
            <m:oMath>
              <m:r>
                <w:rPr>
                  <w:rFonts w:ascii="Cambria Math" w:hAnsi="Cambria Math" w:cs="Arial"/>
                  <w:sz w:val="22"/>
                  <w:lang w:eastAsia="en-AU"/>
                </w:rPr>
                <m:t>Benefit=NC×</m:t>
              </m:r>
              <m:sSub>
                <m:sSubPr>
                  <m:ctrlPr>
                    <w:rPr>
                      <w:rFonts w:ascii="Cambria Math" w:hAnsi="Cambria Math" w:cs="Arial"/>
                      <w:i/>
                      <w:sz w:val="22"/>
                      <w:lang w:eastAsia="en-AU"/>
                    </w:rPr>
                  </m:ctrlPr>
                </m:sSubPr>
                <m:e>
                  <m:r>
                    <w:rPr>
                      <w:rFonts w:ascii="Cambria Math" w:hAnsi="Cambria Math" w:cs="Arial"/>
                      <w:sz w:val="22"/>
                      <w:lang w:eastAsia="en-AU"/>
                    </w:rPr>
                    <m:t>AC</m:t>
                  </m:r>
                </m:e>
                <m:sub>
                  <m:r>
                    <w:rPr>
                      <w:rFonts w:ascii="Cambria Math" w:hAnsi="Cambria Math" w:cs="Arial"/>
                      <w:sz w:val="22"/>
                      <w:lang w:eastAsia="en-AU"/>
                    </w:rPr>
                    <m:t>MC</m:t>
                  </m:r>
                </m:sub>
              </m:sSub>
              <m:r>
                <w:rPr>
                  <w:rFonts w:ascii="Cambria Math" w:hAnsi="Cambria Math" w:cs="Arial"/>
                  <w:sz w:val="22"/>
                  <w:lang w:eastAsia="en-AU"/>
                </w:rPr>
                <m:t>×UF</m:t>
              </m:r>
            </m:oMath>
            <w:r w:rsidR="005874AC" w:rsidRPr="49A15BB9">
              <w:rPr>
                <w:rFonts w:ascii="Arial" w:eastAsiaTheme="minorEastAsia" w:hAnsi="Arial" w:cs="Arial"/>
                <w:sz w:val="22"/>
                <w:lang w:eastAsia="en-AU"/>
              </w:rPr>
              <w:t xml:space="preserve">, </w:t>
            </w:r>
            <w:r w:rsidR="00052324">
              <w:rPr>
                <w:rFonts w:ascii="Arial" w:eastAsiaTheme="minorEastAsia" w:hAnsi="Arial" w:cs="Arial"/>
                <w:sz w:val="22"/>
                <w:lang w:eastAsia="en-AU"/>
              </w:rPr>
              <w:t>where:</w:t>
            </w:r>
          </w:p>
          <w:p w14:paraId="1A1FF3FE" w14:textId="77777777" w:rsidR="005874AC" w:rsidRPr="00914CEC" w:rsidRDefault="005874AC" w:rsidP="005874AC">
            <w:pPr>
              <w:pStyle w:val="TableNBullet"/>
              <w:spacing w:before="40" w:after="40" w:line="240" w:lineRule="auto"/>
              <w:rPr>
                <w:rFonts w:ascii="Arial" w:hAnsi="Arial" w:cs="Arial"/>
                <w:sz w:val="22"/>
                <w:szCs w:val="22"/>
              </w:rPr>
            </w:pPr>
            <w:r w:rsidRPr="00914CEC">
              <w:rPr>
                <w:rFonts w:ascii="Arial" w:hAnsi="Arial" w:cs="Arial"/>
                <w:sz w:val="22"/>
                <w:szCs w:val="22"/>
              </w:rPr>
              <w:t>NC represents the average number of workers’ compensation claims per year</w:t>
            </w:r>
          </w:p>
          <w:p w14:paraId="56E01696" w14:textId="77777777" w:rsidR="005874AC" w:rsidRPr="00914CEC" w:rsidRDefault="005874AC" w:rsidP="005874AC">
            <w:pPr>
              <w:pStyle w:val="TableNBullet"/>
              <w:spacing w:before="40" w:after="40" w:line="240" w:lineRule="auto"/>
              <w:rPr>
                <w:rFonts w:ascii="Arial" w:hAnsi="Arial" w:cs="Arial"/>
                <w:sz w:val="22"/>
                <w:szCs w:val="22"/>
              </w:rPr>
            </w:pPr>
            <w:r w:rsidRPr="00914CEC">
              <w:rPr>
                <w:rFonts w:ascii="Arial" w:hAnsi="Arial" w:cs="Arial"/>
                <w:sz w:val="22"/>
                <w:szCs w:val="22"/>
              </w:rPr>
              <w:t>AC</w:t>
            </w:r>
            <w:r w:rsidRPr="00914CEC">
              <w:rPr>
                <w:rFonts w:ascii="Arial" w:hAnsi="Arial" w:cs="Arial"/>
                <w:sz w:val="22"/>
                <w:szCs w:val="22"/>
                <w:vertAlign w:val="subscript"/>
              </w:rPr>
              <w:t>MC</w:t>
            </w:r>
            <w:r w:rsidRPr="00914CEC">
              <w:rPr>
                <w:rFonts w:ascii="Arial" w:hAnsi="Arial" w:cs="Arial"/>
                <w:sz w:val="22"/>
                <w:szCs w:val="22"/>
              </w:rPr>
              <w:t xml:space="preserve"> represents the average medical costs per claim</w:t>
            </w:r>
          </w:p>
          <w:p w14:paraId="6DCF64FC" w14:textId="77777777" w:rsidR="005874AC" w:rsidRPr="00914CEC" w:rsidRDefault="005874AC" w:rsidP="00A2768E">
            <w:pPr>
              <w:pStyle w:val="ListParagraph"/>
              <w:keepNext/>
              <w:keepLines/>
              <w:numPr>
                <w:ilvl w:val="0"/>
                <w:numId w:val="117"/>
              </w:numPr>
              <w:rPr>
                <w:rFonts w:eastAsia="Arial" w:cs="Arial"/>
                <w:szCs w:val="22"/>
                <w:lang w:eastAsia="en-AU"/>
              </w:rPr>
            </w:pPr>
            <w:r w:rsidRPr="00914CEC">
              <w:rPr>
                <w:rFonts w:cs="Arial"/>
                <w:szCs w:val="22"/>
              </w:rPr>
              <w:t>UF represents the uplift factor.</w:t>
            </w:r>
          </w:p>
        </w:tc>
      </w:tr>
    </w:tbl>
    <w:p w14:paraId="764CF176" w14:textId="77777777" w:rsidR="005874AC" w:rsidRDefault="005874AC" w:rsidP="005874AC">
      <w:pPr>
        <w:rPr>
          <w:rFonts w:cs="Arial"/>
          <w:szCs w:val="22"/>
        </w:rPr>
      </w:pPr>
    </w:p>
    <w:p w14:paraId="747CBFB1" w14:textId="77777777" w:rsidR="005874AC" w:rsidRDefault="005874AC" w:rsidP="00AC6661">
      <w:pPr>
        <w:pStyle w:val="SWAHeading4"/>
        <w:keepNext/>
        <w:keepLines/>
        <w:rPr>
          <w:szCs w:val="22"/>
          <w:lang w:eastAsia="en-AU"/>
        </w:rPr>
      </w:pPr>
      <w:r>
        <w:lastRenderedPageBreak/>
        <w:t>Reduced supplementary costs</w:t>
      </w:r>
    </w:p>
    <w:p w14:paraId="470D0D4C" w14:textId="057EFF1E" w:rsidR="008F6360" w:rsidRDefault="005874AC" w:rsidP="00133D0B">
      <w:pPr>
        <w:keepNext/>
        <w:keepLines/>
        <w:contextualSpacing w:val="0"/>
      </w:pPr>
      <w:r w:rsidRPr="00914CEC">
        <w:rPr>
          <w:rFonts w:cs="Arial"/>
          <w:szCs w:val="22"/>
          <w:lang w:eastAsia="en-AU"/>
        </w:rPr>
        <w:t xml:space="preserve">This benefit measures the reduction in supplementary workers’ compensation claim costs, attributable to reduced workplace exposure to airborne contaminants. </w:t>
      </w:r>
      <w:r w:rsidRPr="00914CEC">
        <w:rPr>
          <w:rFonts w:cs="Arial"/>
          <w:szCs w:val="22"/>
        </w:rPr>
        <w:t>Supplementary costs include vocational rehabilitation (including retraining, job placement and workplace assessment), non-compensation legal expenses (including medical reports for legal proceedings, workers’ legal costs and employers’ legal costs) and non-compensation costs (including medical reports for legal proceedings, transport, accommodation and interpreter services).</w:t>
      </w:r>
      <w:r w:rsidRPr="00914CEC">
        <w:rPr>
          <w:rFonts w:cs="Arial"/>
          <w:szCs w:val="22"/>
          <w:lang w:eastAsia="en-AU"/>
        </w:rPr>
        <w:t xml:space="preserve"> The inputs, parameters and methodology used to estimate this benefit are presented in</w:t>
      </w:r>
      <w:r w:rsidR="00404E62">
        <w:rPr>
          <w:rFonts w:cs="Arial"/>
          <w:szCs w:val="22"/>
          <w:lang w:eastAsia="en-AU"/>
        </w:rPr>
        <w:t xml:space="preserve"> </w:t>
      </w:r>
      <w:r w:rsidR="00404E62">
        <w:rPr>
          <w:rFonts w:cs="Arial"/>
          <w:szCs w:val="22"/>
          <w:lang w:eastAsia="en-AU"/>
        </w:rPr>
        <w:fldChar w:fldCharType="begin"/>
      </w:r>
      <w:r w:rsidR="00404E62">
        <w:rPr>
          <w:rFonts w:cs="Arial"/>
          <w:szCs w:val="22"/>
          <w:lang w:eastAsia="en-AU"/>
        </w:rPr>
        <w:instrText xml:space="preserve"> REF _Ref216792863 \h </w:instrText>
      </w:r>
      <w:r w:rsidR="00404E62">
        <w:rPr>
          <w:rFonts w:cs="Arial"/>
          <w:szCs w:val="22"/>
          <w:lang w:eastAsia="en-AU"/>
        </w:rPr>
      </w:r>
      <w:r w:rsidR="00404E62">
        <w:rPr>
          <w:rFonts w:cs="Arial"/>
          <w:szCs w:val="22"/>
          <w:lang w:eastAsia="en-AU"/>
        </w:rPr>
        <w:fldChar w:fldCharType="separate"/>
      </w:r>
      <w:r w:rsidR="00A002F4">
        <w:t xml:space="preserve">Table </w:t>
      </w:r>
      <w:r w:rsidR="00A002F4">
        <w:rPr>
          <w:noProof/>
        </w:rPr>
        <w:t>55</w:t>
      </w:r>
      <w:r w:rsidR="00404E62">
        <w:rPr>
          <w:rFonts w:cs="Arial"/>
          <w:szCs w:val="22"/>
          <w:lang w:eastAsia="en-AU"/>
        </w:rPr>
        <w:fldChar w:fldCharType="end"/>
      </w:r>
      <w:r>
        <w:rPr>
          <w:rFonts w:cs="Arial"/>
          <w:szCs w:val="22"/>
          <w:lang w:eastAsia="en-AU"/>
        </w:rPr>
        <w:t>.</w:t>
      </w:r>
    </w:p>
    <w:p w14:paraId="4BD73CAB" w14:textId="7FE9E107" w:rsidR="00404E62" w:rsidRDefault="00404E62" w:rsidP="00133D0B">
      <w:pPr>
        <w:pStyle w:val="Caption"/>
      </w:pPr>
      <w:bookmarkStart w:id="689" w:name="_Ref216792863"/>
      <w:r>
        <w:t xml:space="preserve">Table </w:t>
      </w:r>
      <w:fldSimple w:instr=" SEQ Table \* ARABIC ">
        <w:r w:rsidR="00A002F4">
          <w:rPr>
            <w:noProof/>
          </w:rPr>
          <w:t>55</w:t>
        </w:r>
      </w:fldSimple>
      <w:bookmarkEnd w:id="689"/>
      <w:r>
        <w:t xml:space="preserve"> - </w:t>
      </w:r>
      <w:r w:rsidRPr="005F4B75">
        <w:t>Inputs, parameters and methodology used to estimate the reduced supplementary costs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5874AC" w:rsidRPr="002A1131" w14:paraId="796380D8" w14:textId="77777777" w:rsidTr="00C557F9">
        <w:trPr>
          <w:trHeight w:val="265"/>
        </w:trPr>
        <w:tc>
          <w:tcPr>
            <w:tcW w:w="1980" w:type="dxa"/>
            <w:shd w:val="clear" w:color="auto" w:fill="4877E0" w:themeFill="accent1"/>
          </w:tcPr>
          <w:p w14:paraId="54371456" w14:textId="77777777" w:rsidR="005874AC" w:rsidRPr="00863F02" w:rsidRDefault="005874AC">
            <w:pPr>
              <w:keepNext/>
              <w:keepLines/>
              <w:widowControl w:val="0"/>
              <w:spacing w:after="0" w:line="240" w:lineRule="auto"/>
              <w:rPr>
                <w:rFonts w:eastAsia="Times New Roman" w:cs="Arial"/>
                <w:b/>
                <w:szCs w:val="22"/>
                <w:lang w:eastAsia="en-AU"/>
              </w:rPr>
            </w:pPr>
            <w:r w:rsidRPr="000D587D">
              <w:rPr>
                <w:rFonts w:cs="Arial"/>
                <w:b/>
                <w:color w:val="FFFFFF" w:themeColor="background1"/>
                <w:szCs w:val="22"/>
                <w:lang w:eastAsia="en-AU"/>
              </w:rPr>
              <w:t>Inputs</w:t>
            </w:r>
          </w:p>
        </w:tc>
        <w:tc>
          <w:tcPr>
            <w:tcW w:w="7438" w:type="dxa"/>
          </w:tcPr>
          <w:p w14:paraId="6013F9D0" w14:textId="77777777" w:rsidR="005874AC" w:rsidRPr="002A1131" w:rsidRDefault="005874AC">
            <w:pPr>
              <w:keepNext/>
              <w:keepLines/>
              <w:rPr>
                <w:rFonts w:eastAsia="Arial" w:cs="Arial"/>
                <w:szCs w:val="22"/>
                <w:lang w:eastAsia="en-AU"/>
              </w:rPr>
            </w:pPr>
            <w:r w:rsidRPr="00914CEC">
              <w:rPr>
                <w:rFonts w:cs="Arial"/>
                <w:szCs w:val="22"/>
                <w:lang w:eastAsia="en-AU"/>
              </w:rPr>
              <w:t>Not applicable.</w:t>
            </w:r>
          </w:p>
        </w:tc>
      </w:tr>
      <w:tr w:rsidR="005874AC" w:rsidRPr="002A1131" w14:paraId="65FDAE13" w14:textId="77777777" w:rsidTr="00DC645D">
        <w:trPr>
          <w:trHeight w:val="265"/>
        </w:trPr>
        <w:tc>
          <w:tcPr>
            <w:tcW w:w="1980" w:type="dxa"/>
            <w:shd w:val="clear" w:color="auto" w:fill="4877E0" w:themeFill="accent1"/>
          </w:tcPr>
          <w:p w14:paraId="7952C7F7" w14:textId="77777777" w:rsidR="005874AC" w:rsidRPr="00863F02" w:rsidRDefault="005874AC">
            <w:pPr>
              <w:keepNext/>
              <w:keepLines/>
              <w:widowControl w:val="0"/>
              <w:spacing w:after="0" w:line="240" w:lineRule="auto"/>
              <w:rPr>
                <w:rFonts w:eastAsia="Times New Roman" w:cs="Arial"/>
                <w:b/>
                <w:szCs w:val="22"/>
                <w:lang w:eastAsia="en-AU"/>
              </w:rPr>
            </w:pPr>
            <w:r w:rsidRPr="000D587D">
              <w:rPr>
                <w:rFonts w:cs="Arial"/>
                <w:b/>
                <w:color w:val="FFFFFF" w:themeColor="background1"/>
                <w:szCs w:val="22"/>
                <w:lang w:eastAsia="en-AU"/>
              </w:rPr>
              <w:t>Parameters</w:t>
            </w:r>
          </w:p>
        </w:tc>
        <w:tc>
          <w:tcPr>
            <w:tcW w:w="7438" w:type="dxa"/>
          </w:tcPr>
          <w:p w14:paraId="77CE4557" w14:textId="3DB80029" w:rsidR="005874AC" w:rsidRPr="00914CEC" w:rsidRDefault="005874AC">
            <w:pPr>
              <w:pStyle w:val="TableNText"/>
              <w:spacing w:before="40" w:after="40"/>
              <w:rPr>
                <w:rFonts w:ascii="Arial" w:hAnsi="Arial" w:cs="Arial"/>
                <w:sz w:val="22"/>
                <w:lang w:eastAsia="en-AU"/>
              </w:rPr>
            </w:pPr>
            <w:r w:rsidRPr="00914CEC">
              <w:rPr>
                <w:rFonts w:ascii="Arial" w:hAnsi="Arial" w:cs="Arial"/>
                <w:sz w:val="22"/>
                <w:lang w:eastAsia="en-AU"/>
              </w:rPr>
              <w:t xml:space="preserve">The average number of workers’ compensation claims per year and the average supplementary costs per claim for each chemical </w:t>
            </w:r>
            <w:r w:rsidRPr="00DB0DDE">
              <w:rPr>
                <w:rFonts w:ascii="Arial" w:hAnsi="Arial" w:cs="Arial"/>
                <w:sz w:val="22"/>
                <w:lang w:eastAsia="en-AU"/>
              </w:rPr>
              <w:t>(see</w:t>
            </w:r>
            <w:r w:rsidR="006521CD" w:rsidRPr="000000BF">
              <w:rPr>
                <w:rFonts w:ascii="Arial" w:hAnsi="Arial" w:cs="Arial"/>
                <w:sz w:val="22"/>
                <w:lang w:eastAsia="en-AU"/>
              </w:rPr>
              <w:t xml:space="preserve"> </w:t>
            </w:r>
            <w:r w:rsidR="006521CD" w:rsidRPr="000000BF">
              <w:rPr>
                <w:rFonts w:ascii="Arial" w:hAnsi="Arial" w:cs="Arial"/>
                <w:sz w:val="22"/>
                <w:lang w:eastAsia="en-AU"/>
              </w:rPr>
              <w:fldChar w:fldCharType="begin"/>
            </w:r>
            <w:r w:rsidR="006521CD" w:rsidRPr="000000BF">
              <w:rPr>
                <w:rFonts w:ascii="Arial" w:hAnsi="Arial" w:cs="Arial"/>
                <w:sz w:val="22"/>
                <w:lang w:eastAsia="en-AU"/>
              </w:rPr>
              <w:instrText xml:space="preserve"> REF _Ref216792583 \h  \* MERGEFORMAT </w:instrText>
            </w:r>
            <w:r w:rsidR="006521CD" w:rsidRPr="000000BF">
              <w:rPr>
                <w:rFonts w:ascii="Arial" w:hAnsi="Arial" w:cs="Arial"/>
                <w:sz w:val="22"/>
                <w:lang w:eastAsia="en-AU"/>
              </w:rPr>
            </w:r>
            <w:r w:rsidR="006521CD" w:rsidRPr="000000BF">
              <w:rPr>
                <w:rFonts w:ascii="Arial" w:hAnsi="Arial" w:cs="Arial"/>
                <w:sz w:val="22"/>
                <w:lang w:eastAsia="en-AU"/>
              </w:rPr>
              <w:fldChar w:fldCharType="separate"/>
            </w:r>
            <w:r w:rsidR="00A002F4" w:rsidRPr="00A002F4">
              <w:rPr>
                <w:rFonts w:ascii="Arial" w:hAnsi="Arial" w:cs="Arial"/>
                <w:sz w:val="22"/>
              </w:rPr>
              <w:t xml:space="preserve">Table </w:t>
            </w:r>
            <w:r w:rsidR="00A002F4" w:rsidRPr="00A002F4">
              <w:rPr>
                <w:rFonts w:ascii="Arial" w:hAnsi="Arial" w:cs="Arial"/>
                <w:noProof/>
                <w:sz w:val="22"/>
              </w:rPr>
              <w:t>51</w:t>
            </w:r>
            <w:r w:rsidR="006521CD" w:rsidRPr="000000BF">
              <w:rPr>
                <w:rFonts w:ascii="Arial" w:hAnsi="Arial" w:cs="Arial"/>
                <w:sz w:val="22"/>
                <w:lang w:eastAsia="en-AU"/>
              </w:rPr>
              <w:fldChar w:fldCharType="end"/>
            </w:r>
            <w:r w:rsidRPr="00DB0DDE">
              <w:rPr>
                <w:rFonts w:ascii="Arial" w:hAnsi="Arial" w:cs="Arial"/>
                <w:sz w:val="22"/>
                <w:lang w:eastAsia="en-AU"/>
              </w:rPr>
              <w:t>)</w:t>
            </w:r>
            <w:r w:rsidRPr="00914CEC">
              <w:rPr>
                <w:rFonts w:ascii="Arial" w:hAnsi="Arial" w:cs="Arial"/>
                <w:sz w:val="22"/>
                <w:lang w:eastAsia="en-AU"/>
              </w:rPr>
              <w:t xml:space="preserve"> are based on NDS data.</w:t>
            </w:r>
          </w:p>
          <w:p w14:paraId="2335E778" w14:textId="32AB681C" w:rsidR="005874AC" w:rsidRPr="00914CEC" w:rsidRDefault="005874AC">
            <w:pPr>
              <w:keepNext/>
              <w:keepLines/>
              <w:rPr>
                <w:rFonts w:eastAsia="Arial" w:cs="Arial"/>
                <w:szCs w:val="22"/>
                <w:lang w:eastAsia="en-AU"/>
              </w:rPr>
            </w:pPr>
            <w:r w:rsidRPr="00914CEC">
              <w:rPr>
                <w:rFonts w:cs="Arial"/>
                <w:szCs w:val="22"/>
                <w:lang w:eastAsia="en-AU"/>
              </w:rPr>
              <w:t>An uplift factor of 50</w:t>
            </w:r>
            <w:r>
              <w:rPr>
                <w:rFonts w:cs="Arial"/>
                <w:szCs w:val="22"/>
                <w:lang w:eastAsia="en-AU"/>
              </w:rPr>
              <w:t>%</w:t>
            </w:r>
            <w:r w:rsidRPr="00914CEC">
              <w:rPr>
                <w:rFonts w:cs="Arial"/>
                <w:szCs w:val="22"/>
                <w:lang w:eastAsia="en-AU"/>
              </w:rPr>
              <w:t xml:space="preserve"> has been assumed, to account for the likely under-reporting of workplace injury or illness attributable to the </w:t>
            </w:r>
            <w:r>
              <w:rPr>
                <w:rFonts w:cs="Arial"/>
                <w:szCs w:val="22"/>
                <w:lang w:eastAsia="en-AU"/>
              </w:rPr>
              <w:t>9</w:t>
            </w:r>
            <w:r w:rsidRPr="00914CEC">
              <w:rPr>
                <w:rFonts w:cs="Arial"/>
                <w:szCs w:val="22"/>
                <w:lang w:eastAsia="en-AU"/>
              </w:rPr>
              <w:t xml:space="preserve"> chemicals in workers’ compensation data. </w:t>
            </w:r>
            <w:r w:rsidRPr="00DB0DDE">
              <w:rPr>
                <w:rFonts w:cs="Arial"/>
                <w:szCs w:val="22"/>
                <w:lang w:eastAsia="en-AU"/>
              </w:rPr>
              <w:t xml:space="preserve">See </w:t>
            </w:r>
            <w:r w:rsidR="00F61557">
              <w:rPr>
                <w:rFonts w:cs="Arial"/>
                <w:szCs w:val="22"/>
                <w:lang w:eastAsia="en-AU"/>
              </w:rPr>
              <w:fldChar w:fldCharType="begin"/>
            </w:r>
            <w:r w:rsidR="00F61557">
              <w:rPr>
                <w:rFonts w:cs="Arial"/>
                <w:szCs w:val="22"/>
                <w:lang w:eastAsia="en-AU"/>
              </w:rPr>
              <w:instrText xml:space="preserve"> REF _Ref216793461 \h </w:instrText>
            </w:r>
            <w:r w:rsidR="00F61557">
              <w:rPr>
                <w:rFonts w:cs="Arial"/>
                <w:szCs w:val="22"/>
                <w:lang w:eastAsia="en-AU"/>
              </w:rPr>
            </w:r>
            <w:r w:rsidR="00F61557">
              <w:rPr>
                <w:rFonts w:cs="Arial"/>
                <w:szCs w:val="22"/>
                <w:lang w:eastAsia="en-AU"/>
              </w:rPr>
              <w:fldChar w:fldCharType="separate"/>
            </w:r>
            <w:r w:rsidR="00A002F4">
              <w:t xml:space="preserve">Table </w:t>
            </w:r>
            <w:r w:rsidR="00A002F4">
              <w:rPr>
                <w:noProof/>
              </w:rPr>
              <w:t>66</w:t>
            </w:r>
            <w:r w:rsidR="00F61557">
              <w:rPr>
                <w:rFonts w:cs="Arial"/>
                <w:szCs w:val="22"/>
                <w:lang w:eastAsia="en-AU"/>
              </w:rPr>
              <w:fldChar w:fldCharType="end"/>
            </w:r>
            <w:r w:rsidR="00133D0B">
              <w:t xml:space="preserve"> </w:t>
            </w:r>
            <w:r w:rsidRPr="00DB0DDE">
              <w:rPr>
                <w:rFonts w:cs="Arial"/>
                <w:szCs w:val="22"/>
                <w:lang w:eastAsia="en-AU"/>
              </w:rPr>
              <w:t>for further discussion.</w:t>
            </w:r>
          </w:p>
        </w:tc>
      </w:tr>
      <w:tr w:rsidR="005874AC" w:rsidRPr="002A1131" w14:paraId="5F0A8722" w14:textId="77777777" w:rsidTr="00C557F9">
        <w:trPr>
          <w:trHeight w:val="265"/>
        </w:trPr>
        <w:tc>
          <w:tcPr>
            <w:tcW w:w="1980" w:type="dxa"/>
            <w:shd w:val="clear" w:color="auto" w:fill="4877E0" w:themeFill="accent1"/>
          </w:tcPr>
          <w:p w14:paraId="500BF3AE" w14:textId="77777777" w:rsidR="005874AC" w:rsidRPr="00863F02" w:rsidRDefault="005874AC">
            <w:pPr>
              <w:keepNext/>
              <w:keepLines/>
              <w:widowControl w:val="0"/>
              <w:spacing w:after="0" w:line="240" w:lineRule="auto"/>
              <w:rPr>
                <w:rFonts w:eastAsia="Times New Roman" w:cs="Arial"/>
                <w:b/>
                <w:szCs w:val="22"/>
                <w:lang w:eastAsia="en-AU"/>
              </w:rPr>
            </w:pPr>
            <w:r w:rsidRPr="000D587D">
              <w:rPr>
                <w:rFonts w:cs="Arial"/>
                <w:b/>
                <w:color w:val="FFFFFF" w:themeColor="background1"/>
                <w:szCs w:val="22"/>
                <w:lang w:eastAsia="en-AU"/>
              </w:rPr>
              <w:t>Methodology</w:t>
            </w:r>
          </w:p>
        </w:tc>
        <w:tc>
          <w:tcPr>
            <w:tcW w:w="7438" w:type="dxa"/>
          </w:tcPr>
          <w:p w14:paraId="75903FD0" w14:textId="77777777" w:rsidR="005874AC" w:rsidRPr="00914CEC" w:rsidRDefault="000C2C81">
            <w:pPr>
              <w:pStyle w:val="TableNText"/>
              <w:spacing w:before="40" w:after="40"/>
              <w:rPr>
                <w:rFonts w:ascii="Arial" w:hAnsi="Arial" w:cs="Arial"/>
                <w:sz w:val="22"/>
                <w:lang w:eastAsia="en-AU"/>
              </w:rPr>
            </w:pPr>
            <m:oMath>
              <m:r>
                <w:rPr>
                  <w:rFonts w:ascii="Cambria Math" w:hAnsi="Cambria Math" w:cs="Arial"/>
                  <w:sz w:val="22"/>
                  <w:lang w:eastAsia="en-AU"/>
                </w:rPr>
                <m:t>Benefit=NC×</m:t>
              </m:r>
              <m:sSub>
                <m:sSubPr>
                  <m:ctrlPr>
                    <w:rPr>
                      <w:rFonts w:ascii="Cambria Math" w:hAnsi="Cambria Math" w:cs="Arial"/>
                      <w:i/>
                      <w:sz w:val="22"/>
                      <w:lang w:eastAsia="en-AU"/>
                    </w:rPr>
                  </m:ctrlPr>
                </m:sSubPr>
                <m:e>
                  <m:r>
                    <w:rPr>
                      <w:rFonts w:ascii="Cambria Math" w:hAnsi="Cambria Math" w:cs="Arial"/>
                      <w:sz w:val="22"/>
                      <w:lang w:eastAsia="en-AU"/>
                    </w:rPr>
                    <m:t>AC</m:t>
                  </m:r>
                </m:e>
                <m:sub>
                  <m:r>
                    <w:rPr>
                      <w:rFonts w:ascii="Cambria Math" w:hAnsi="Cambria Math" w:cs="Arial"/>
                      <w:sz w:val="22"/>
                      <w:lang w:eastAsia="en-AU"/>
                    </w:rPr>
                    <m:t>SC</m:t>
                  </m:r>
                </m:sub>
              </m:sSub>
              <m:r>
                <w:rPr>
                  <w:rFonts w:ascii="Cambria Math" w:hAnsi="Cambria Math" w:cs="Arial"/>
                  <w:sz w:val="22"/>
                  <w:lang w:eastAsia="en-AU"/>
                </w:rPr>
                <m:t>×UF</m:t>
              </m:r>
            </m:oMath>
            <w:r w:rsidR="005874AC" w:rsidRPr="00914CEC">
              <w:rPr>
                <w:rFonts w:ascii="Arial" w:eastAsiaTheme="minorEastAsia" w:hAnsi="Arial" w:cs="Arial"/>
                <w:sz w:val="22"/>
                <w:lang w:eastAsia="en-AU"/>
              </w:rPr>
              <w:t>, where:</w:t>
            </w:r>
          </w:p>
          <w:p w14:paraId="39ECF417" w14:textId="77777777" w:rsidR="005874AC" w:rsidRPr="00914CEC" w:rsidRDefault="005874AC" w:rsidP="005874AC">
            <w:pPr>
              <w:pStyle w:val="TableNBullet"/>
              <w:spacing w:before="40" w:after="40" w:line="240" w:lineRule="auto"/>
              <w:rPr>
                <w:rFonts w:ascii="Arial" w:hAnsi="Arial" w:cs="Arial"/>
                <w:sz w:val="22"/>
                <w:szCs w:val="22"/>
              </w:rPr>
            </w:pPr>
            <w:r w:rsidRPr="00914CEC">
              <w:rPr>
                <w:rFonts w:ascii="Arial" w:hAnsi="Arial" w:cs="Arial"/>
                <w:sz w:val="22"/>
                <w:szCs w:val="22"/>
              </w:rPr>
              <w:t>NC represents the average number of workers’ compensation claims per year</w:t>
            </w:r>
          </w:p>
          <w:p w14:paraId="525CF4FD" w14:textId="77777777" w:rsidR="005874AC" w:rsidRPr="00914CEC" w:rsidRDefault="005874AC" w:rsidP="005874AC">
            <w:pPr>
              <w:pStyle w:val="TableNBullet"/>
              <w:spacing w:before="40" w:after="40" w:line="240" w:lineRule="auto"/>
              <w:rPr>
                <w:rFonts w:ascii="Arial" w:hAnsi="Arial" w:cs="Arial"/>
                <w:sz w:val="22"/>
                <w:szCs w:val="22"/>
              </w:rPr>
            </w:pPr>
            <w:r w:rsidRPr="00914CEC">
              <w:rPr>
                <w:rFonts w:ascii="Arial" w:hAnsi="Arial" w:cs="Arial"/>
                <w:sz w:val="22"/>
                <w:szCs w:val="22"/>
              </w:rPr>
              <w:t>AC</w:t>
            </w:r>
            <w:r w:rsidRPr="00C557F9">
              <w:rPr>
                <w:rFonts w:ascii="Arial" w:hAnsi="Arial" w:cs="Arial"/>
                <w:sz w:val="22"/>
                <w:szCs w:val="22"/>
                <w:vertAlign w:val="subscript"/>
              </w:rPr>
              <w:t>SC</w:t>
            </w:r>
            <w:r w:rsidRPr="00914CEC">
              <w:rPr>
                <w:rFonts w:ascii="Arial" w:hAnsi="Arial" w:cs="Arial"/>
                <w:sz w:val="22"/>
                <w:szCs w:val="22"/>
              </w:rPr>
              <w:t xml:space="preserve"> represents the average supplementary costs per claim</w:t>
            </w:r>
          </w:p>
          <w:p w14:paraId="532F778F" w14:textId="457FB1C4" w:rsidR="005874AC" w:rsidRPr="00914CEC" w:rsidRDefault="00AF1D71" w:rsidP="00A2768E">
            <w:pPr>
              <w:pStyle w:val="ListParagraph"/>
              <w:keepNext/>
              <w:keepLines/>
              <w:numPr>
                <w:ilvl w:val="0"/>
                <w:numId w:val="116"/>
              </w:numPr>
              <w:rPr>
                <w:rFonts w:eastAsia="Arial" w:cs="Arial"/>
                <w:szCs w:val="22"/>
                <w:lang w:eastAsia="en-AU"/>
              </w:rPr>
            </w:pPr>
            <w:r>
              <w:rPr>
                <w:rFonts w:cs="Arial"/>
                <w:szCs w:val="22"/>
              </w:rPr>
              <w:t>U</w:t>
            </w:r>
            <w:r w:rsidR="005874AC" w:rsidRPr="00914CEC">
              <w:rPr>
                <w:rFonts w:cs="Arial"/>
                <w:szCs w:val="22"/>
              </w:rPr>
              <w:t>F represents the uplift factor.</w:t>
            </w:r>
          </w:p>
        </w:tc>
      </w:tr>
    </w:tbl>
    <w:p w14:paraId="59BC866B" w14:textId="77777777" w:rsidR="005874AC" w:rsidRPr="00BA70CB" w:rsidRDefault="005874AC" w:rsidP="00050856">
      <w:pPr>
        <w:pStyle w:val="ListParagraph"/>
        <w:tabs>
          <w:tab w:val="clear" w:pos="720"/>
        </w:tabs>
        <w:suppressAutoHyphens/>
        <w:spacing w:line="259" w:lineRule="auto"/>
        <w:ind w:left="0" w:firstLine="0"/>
        <w:contextualSpacing w:val="0"/>
        <w:rPr>
          <w:rFonts w:ascii="Segoe UI Semibold" w:hAnsi="Segoe UI Semibold"/>
          <w:color w:val="00264D"/>
          <w:sz w:val="26"/>
        </w:rPr>
      </w:pPr>
    </w:p>
    <w:p w14:paraId="2545E470" w14:textId="0880CC07" w:rsidR="009E0D9F" w:rsidRPr="00086C68" w:rsidRDefault="00E96191" w:rsidP="009E0D9F">
      <w:pPr>
        <w:pStyle w:val="SWAHeading3"/>
        <w:keepNext/>
      </w:pPr>
      <w:r>
        <w:t xml:space="preserve">Improved </w:t>
      </w:r>
      <w:r w:rsidR="004E114E">
        <w:t>h</w:t>
      </w:r>
      <w:r w:rsidR="009E0D9F">
        <w:t>ealth</w:t>
      </w:r>
      <w:r w:rsidR="004E114E">
        <w:t xml:space="preserve"> outcome</w:t>
      </w:r>
      <w:r w:rsidR="009E0D9F">
        <w:t xml:space="preserve"> benefits</w:t>
      </w:r>
    </w:p>
    <w:p w14:paraId="05595650" w14:textId="77777777" w:rsidR="009E0D9F" w:rsidRDefault="009E0D9F" w:rsidP="009E0D9F">
      <w:pPr>
        <w:pStyle w:val="SWAHeading4"/>
        <w:keepNext/>
      </w:pPr>
      <w:r>
        <w:t>Benefits summary</w:t>
      </w:r>
    </w:p>
    <w:p w14:paraId="4F50E253" w14:textId="2C4B7B61" w:rsidR="009E0D9F" w:rsidRPr="00914CEC" w:rsidRDefault="00C9671D" w:rsidP="009E0D9F">
      <w:pPr>
        <w:rPr>
          <w:rFonts w:cs="Arial"/>
          <w:szCs w:val="22"/>
          <w:lang w:eastAsia="en-AU"/>
        </w:rPr>
      </w:pPr>
      <w:r>
        <w:rPr>
          <w:lang w:eastAsia="en-AU"/>
        </w:rPr>
        <w:t>The analysis</w:t>
      </w:r>
      <w:r w:rsidRPr="00993B73">
        <w:rPr>
          <w:lang w:eastAsia="en-AU"/>
        </w:rPr>
        <w:t xml:space="preserve"> estimate</w:t>
      </w:r>
      <w:r>
        <w:rPr>
          <w:lang w:eastAsia="en-AU"/>
        </w:rPr>
        <w:t>s</w:t>
      </w:r>
      <w:r w:rsidR="009E0D9F" w:rsidRPr="00914CEC">
        <w:rPr>
          <w:rFonts w:cs="Arial"/>
          <w:szCs w:val="22"/>
          <w:lang w:eastAsia="en-AU"/>
        </w:rPr>
        <w:t xml:space="preserve"> the </w:t>
      </w:r>
      <w:r w:rsidRPr="00993B73">
        <w:rPr>
          <w:lang w:eastAsia="en-AU"/>
        </w:rPr>
        <w:t>improved health outcomes</w:t>
      </w:r>
      <w:r w:rsidR="009E0D9F" w:rsidRPr="00914CEC">
        <w:rPr>
          <w:rFonts w:cs="Arial"/>
          <w:szCs w:val="22"/>
          <w:lang w:eastAsia="en-AU"/>
        </w:rPr>
        <w:t xml:space="preserve"> benefits based on the reduction in the burden of occupational disease for the </w:t>
      </w:r>
      <w:r w:rsidRPr="00993B73">
        <w:rPr>
          <w:lang w:eastAsia="en-AU"/>
        </w:rPr>
        <w:t>nine</w:t>
      </w:r>
      <w:r w:rsidR="009E0D9F" w:rsidRPr="00914CEC">
        <w:rPr>
          <w:rFonts w:cs="Arial"/>
          <w:szCs w:val="22"/>
          <w:lang w:eastAsia="en-AU"/>
        </w:rPr>
        <w:t xml:space="preserve"> chemicals, attributable to the proposed changes to the WEL for each chemical. In this analysis, the burden of disease is measured in disability-adjusted life years (DALYs), which represent the number of years of healthy life lost, either through premature death (fatal burden) or living with disability due to illness or injury (non-fatal burden)</w:t>
      </w:r>
      <w:r w:rsidR="00E34D28">
        <w:rPr>
          <w:rFonts w:cs="Arial"/>
          <w:szCs w:val="22"/>
          <w:lang w:eastAsia="en-AU"/>
        </w:rPr>
        <w:t xml:space="preserve"> </w:t>
      </w:r>
      <w:sdt>
        <w:sdtPr>
          <w:rPr>
            <w:rFonts w:cs="Arial"/>
            <w:szCs w:val="22"/>
            <w:lang w:eastAsia="en-AU"/>
          </w:rPr>
          <w:id w:val="1110090369"/>
          <w:citation/>
        </w:sdtPr>
        <w:sdtEndPr/>
        <w:sdtContent>
          <w:r w:rsidR="006872AF">
            <w:rPr>
              <w:rFonts w:cs="Arial"/>
              <w:szCs w:val="22"/>
              <w:lang w:eastAsia="en-AU"/>
            </w:rPr>
            <w:fldChar w:fldCharType="begin"/>
          </w:r>
          <w:r w:rsidR="006872AF">
            <w:rPr>
              <w:rFonts w:cs="Arial"/>
              <w:szCs w:val="22"/>
              <w:lang w:eastAsia="en-AU"/>
            </w:rPr>
            <w:instrText xml:space="preserve"> CITATION Aus232 \l 3081 </w:instrText>
          </w:r>
          <w:r w:rsidR="006872AF">
            <w:rPr>
              <w:rFonts w:cs="Arial"/>
              <w:szCs w:val="22"/>
              <w:lang w:eastAsia="en-AU"/>
            </w:rPr>
            <w:fldChar w:fldCharType="separate"/>
          </w:r>
          <w:r w:rsidR="00490B21" w:rsidRPr="00490B21">
            <w:rPr>
              <w:rFonts w:cs="Arial"/>
              <w:noProof/>
              <w:szCs w:val="22"/>
              <w:lang w:eastAsia="en-AU"/>
            </w:rPr>
            <w:t>(Australian Institute of Health and Welfare, 2023)</w:t>
          </w:r>
          <w:r w:rsidR="006872AF">
            <w:rPr>
              <w:rFonts w:cs="Arial"/>
              <w:szCs w:val="22"/>
              <w:lang w:eastAsia="en-AU"/>
            </w:rPr>
            <w:fldChar w:fldCharType="end"/>
          </w:r>
        </w:sdtContent>
      </w:sdt>
      <w:r w:rsidR="009E0D9F" w:rsidRPr="00914CEC">
        <w:rPr>
          <w:rFonts w:cs="Arial"/>
          <w:szCs w:val="22"/>
          <w:lang w:eastAsia="en-AU"/>
        </w:rPr>
        <w:t>. The estimation of DALYs is underpinned by two key metrics</w:t>
      </w:r>
      <w:r w:rsidRPr="00993B73">
        <w:rPr>
          <w:lang w:eastAsia="en-AU"/>
        </w:rPr>
        <w:t>, in line with the AIHW Australian Burden of Disease (ABD) Study</w:t>
      </w:r>
      <w:r w:rsidR="009E0D9F" w:rsidRPr="00914CEC">
        <w:rPr>
          <w:rFonts w:cs="Arial"/>
          <w:szCs w:val="22"/>
          <w:lang w:eastAsia="en-AU"/>
        </w:rPr>
        <w:t>:</w:t>
      </w:r>
    </w:p>
    <w:p w14:paraId="6D076AE2" w14:textId="77777777" w:rsidR="009E0D9F" w:rsidRPr="00914CEC" w:rsidRDefault="009E0D9F" w:rsidP="00A2768E">
      <w:pPr>
        <w:pStyle w:val="ListParagraph"/>
        <w:numPr>
          <w:ilvl w:val="0"/>
          <w:numId w:val="120"/>
        </w:numPr>
        <w:suppressAutoHyphens/>
        <w:spacing w:line="259" w:lineRule="auto"/>
        <w:contextualSpacing w:val="0"/>
        <w:rPr>
          <w:rFonts w:cs="Arial"/>
          <w:szCs w:val="22"/>
        </w:rPr>
      </w:pPr>
      <w:r w:rsidRPr="0027202B">
        <w:rPr>
          <w:rFonts w:cs="Arial"/>
          <w:b/>
          <w:bCs/>
          <w:szCs w:val="22"/>
        </w:rPr>
        <w:t>Years of life lost (YLL)</w:t>
      </w:r>
      <w:r w:rsidRPr="00914CEC">
        <w:rPr>
          <w:rFonts w:cs="Arial"/>
          <w:szCs w:val="22"/>
        </w:rPr>
        <w:t xml:space="preserve"> | The number of years of life lost </w:t>
      </w:r>
      <w:r w:rsidRPr="00914CEC">
        <w:rPr>
          <w:rFonts w:eastAsia="Segoe UI" w:cs="Arial"/>
          <w:szCs w:val="22"/>
        </w:rPr>
        <w:t>due to premature death before the ideal life span. YLL represents the fatal burden of disease.</w:t>
      </w:r>
    </w:p>
    <w:p w14:paraId="509C4D0C" w14:textId="3AEE58D9" w:rsidR="009E0D9F" w:rsidRPr="00D70847" w:rsidRDefault="009E0D9F" w:rsidP="00A2768E">
      <w:pPr>
        <w:pStyle w:val="ListParagraph"/>
        <w:keepNext/>
        <w:keepLines/>
        <w:numPr>
          <w:ilvl w:val="0"/>
          <w:numId w:val="120"/>
        </w:numPr>
        <w:suppressAutoHyphens/>
        <w:spacing w:line="259" w:lineRule="auto"/>
        <w:ind w:left="714" w:hanging="357"/>
        <w:contextualSpacing w:val="0"/>
        <w:rPr>
          <w:rFonts w:cs="Arial"/>
          <w:szCs w:val="22"/>
        </w:rPr>
      </w:pPr>
      <w:r w:rsidRPr="008E20BF">
        <w:rPr>
          <w:rFonts w:cs="Arial"/>
          <w:b/>
          <w:bCs/>
          <w:szCs w:val="22"/>
        </w:rPr>
        <w:t>Years lived with disease (YLD)</w:t>
      </w:r>
      <w:r w:rsidRPr="00914CEC">
        <w:rPr>
          <w:rFonts w:cs="Arial"/>
          <w:szCs w:val="22"/>
        </w:rPr>
        <w:t xml:space="preserve"> | The number of years lived in a state of less than full health. YLD represents the non-fatal burden of disease. YLD are multiplied by disability weights (DW) which are factors that reflect the severity of health loss from a particular condition on a scale from 0 (perfect health) to 1 (equivalent to death)</w:t>
      </w:r>
      <w:r w:rsidR="00113170">
        <w:rPr>
          <w:rFonts w:cs="Arial"/>
          <w:szCs w:val="22"/>
        </w:rPr>
        <w:t xml:space="preserve"> </w:t>
      </w:r>
      <w:sdt>
        <w:sdtPr>
          <w:rPr>
            <w:rFonts w:cs="Arial"/>
            <w:szCs w:val="22"/>
          </w:rPr>
          <w:id w:val="-701473763"/>
          <w:citation/>
        </w:sdtPr>
        <w:sdtEndPr/>
        <w:sdtContent>
          <w:r w:rsidR="00445707">
            <w:rPr>
              <w:rFonts w:cs="Arial"/>
              <w:szCs w:val="22"/>
            </w:rPr>
            <w:fldChar w:fldCharType="begin"/>
          </w:r>
          <w:r w:rsidR="00445707">
            <w:rPr>
              <w:rFonts w:cs="Arial"/>
              <w:szCs w:val="22"/>
            </w:rPr>
            <w:instrText xml:space="preserve"> CITATION Aus232 \l 3081 </w:instrText>
          </w:r>
          <w:r w:rsidR="00445707">
            <w:rPr>
              <w:rFonts w:cs="Arial"/>
              <w:szCs w:val="22"/>
            </w:rPr>
            <w:fldChar w:fldCharType="separate"/>
          </w:r>
          <w:r w:rsidR="00490B21" w:rsidRPr="00490B21">
            <w:rPr>
              <w:rFonts w:cs="Arial"/>
              <w:noProof/>
              <w:szCs w:val="22"/>
            </w:rPr>
            <w:t>(Australian Institute of Health and Welfare, 2023)</w:t>
          </w:r>
          <w:r w:rsidR="00445707">
            <w:rPr>
              <w:rFonts w:cs="Arial"/>
              <w:szCs w:val="22"/>
            </w:rPr>
            <w:fldChar w:fldCharType="end"/>
          </w:r>
        </w:sdtContent>
      </w:sdt>
      <w:r w:rsidRPr="00914CEC">
        <w:rPr>
          <w:rFonts w:cs="Arial"/>
          <w:szCs w:val="22"/>
        </w:rPr>
        <w:t xml:space="preserve">. </w:t>
      </w:r>
    </w:p>
    <w:p w14:paraId="1744A366" w14:textId="4E07CA30" w:rsidR="009E0D9F" w:rsidRPr="000E08BE" w:rsidRDefault="009E0D9F" w:rsidP="009E0D9F">
      <w:pPr>
        <w:contextualSpacing w:val="0"/>
        <w:rPr>
          <w:rFonts w:cs="Arial"/>
          <w:szCs w:val="22"/>
          <w:lang w:eastAsia="en-AU"/>
        </w:rPr>
      </w:pPr>
      <w:r w:rsidRPr="000E08BE">
        <w:rPr>
          <w:rFonts w:cs="Arial"/>
          <w:szCs w:val="22"/>
          <w:lang w:eastAsia="en-AU"/>
        </w:rPr>
        <w:t xml:space="preserve">The monetary value of the burden of disease is calculated by multiplying DALYs by the VLY. The VLY is an </w:t>
      </w:r>
      <w:r w:rsidRPr="000E08BE">
        <w:rPr>
          <w:rFonts w:cs="Arial"/>
          <w:szCs w:val="22"/>
        </w:rPr>
        <w:t xml:space="preserve">estimate on the value society places on a year of life, assumed to be the life of a young adult with at least 40 years of life ahead. The VLY is most appropriately </w:t>
      </w:r>
      <w:r w:rsidRPr="000E08BE">
        <w:rPr>
          <w:rFonts w:cs="Arial"/>
          <w:szCs w:val="22"/>
        </w:rPr>
        <w:lastRenderedPageBreak/>
        <w:t>measured by estimating how much society is willing to pay to reduce the risk of death</w:t>
      </w:r>
      <w:r w:rsidR="005C3115">
        <w:rPr>
          <w:rFonts w:cs="Arial"/>
          <w:szCs w:val="22"/>
        </w:rPr>
        <w:t xml:space="preserve"> </w:t>
      </w:r>
      <w:sdt>
        <w:sdtPr>
          <w:rPr>
            <w:rFonts w:cs="Arial"/>
            <w:szCs w:val="22"/>
          </w:rPr>
          <w:id w:val="-1078977196"/>
          <w:citation/>
        </w:sdtPr>
        <w:sdtEndPr/>
        <w:sdtContent>
          <w:r w:rsidR="005C3115">
            <w:rPr>
              <w:rFonts w:cs="Arial"/>
              <w:szCs w:val="22"/>
            </w:rPr>
            <w:fldChar w:fldCharType="begin"/>
          </w:r>
          <w:r w:rsidR="005C3115">
            <w:rPr>
              <w:rFonts w:cs="Arial"/>
              <w:szCs w:val="22"/>
            </w:rPr>
            <w:instrText xml:space="preserve"> CITATION Aus232 \l 3081 </w:instrText>
          </w:r>
          <w:r w:rsidR="005C3115">
            <w:rPr>
              <w:rFonts w:cs="Arial"/>
              <w:szCs w:val="22"/>
            </w:rPr>
            <w:fldChar w:fldCharType="separate"/>
          </w:r>
          <w:r w:rsidR="00490B21" w:rsidRPr="00490B21">
            <w:rPr>
              <w:rFonts w:cs="Arial"/>
              <w:noProof/>
              <w:szCs w:val="22"/>
            </w:rPr>
            <w:t>(Australian Institute of Health and Welfare, 2023)</w:t>
          </w:r>
          <w:r w:rsidR="005C3115">
            <w:rPr>
              <w:rFonts w:cs="Arial"/>
              <w:szCs w:val="22"/>
            </w:rPr>
            <w:fldChar w:fldCharType="end"/>
          </w:r>
        </w:sdtContent>
      </w:sdt>
      <w:r w:rsidRPr="000E08BE">
        <w:rPr>
          <w:rFonts w:cs="Arial"/>
          <w:szCs w:val="22"/>
        </w:rPr>
        <w:t>. This analysis assumes a VLY of $</w:t>
      </w:r>
      <w:r w:rsidRPr="000E08BE">
        <w:rPr>
          <w:rFonts w:cs="Arial"/>
          <w:szCs w:val="22"/>
          <w:lang w:eastAsia="en-AU"/>
        </w:rPr>
        <w:t>244,741</w:t>
      </w:r>
      <w:r w:rsidRPr="000E08BE">
        <w:rPr>
          <w:rFonts w:cs="Arial"/>
          <w:szCs w:val="22"/>
        </w:rPr>
        <w:t xml:space="preserve">, based on </w:t>
      </w:r>
      <w:r w:rsidRPr="00F425C9">
        <w:rPr>
          <w:rFonts w:cs="Arial"/>
          <w:szCs w:val="22"/>
          <w:lang w:eastAsia="en-AU"/>
        </w:rPr>
        <w:t>Abelson</w:t>
      </w:r>
      <w:r w:rsidRPr="000E08BE">
        <w:rPr>
          <w:rFonts w:cs="Arial"/>
          <w:szCs w:val="22"/>
          <w:lang w:eastAsia="en-AU"/>
        </w:rPr>
        <w:t xml:space="preserve"> (</w:t>
      </w:r>
      <w:r w:rsidR="00E753F6" w:rsidRPr="005419CD">
        <w:rPr>
          <w:rFonts w:cs="Arial"/>
          <w:szCs w:val="22"/>
          <w:lang w:eastAsia="en-AU"/>
        </w:rPr>
        <w:t>200</w:t>
      </w:r>
      <w:r w:rsidR="006F4747">
        <w:rPr>
          <w:rFonts w:cs="Arial"/>
          <w:noProof/>
          <w:szCs w:val="22"/>
          <w:lang w:eastAsia="en-AU"/>
        </w:rPr>
        <w:t>8</w:t>
      </w:r>
      <w:r w:rsidR="00E753F6" w:rsidRPr="005419CD">
        <w:rPr>
          <w:rFonts w:cs="Arial"/>
          <w:szCs w:val="22"/>
          <w:lang w:eastAsia="en-AU"/>
        </w:rPr>
        <w:t>)</w:t>
      </w:r>
      <w:r w:rsidRPr="000E08BE">
        <w:rPr>
          <w:rFonts w:cs="Arial"/>
          <w:szCs w:val="22"/>
          <w:lang w:eastAsia="en-AU"/>
        </w:rPr>
        <w:t xml:space="preserve"> and escalated to June 2024 terms using the ABS WPI for Australia</w:t>
      </w:r>
      <w:r w:rsidR="006F4747">
        <w:rPr>
          <w:rFonts w:cs="Arial"/>
          <w:szCs w:val="22"/>
          <w:lang w:eastAsia="en-AU"/>
        </w:rPr>
        <w:t xml:space="preserve"> </w:t>
      </w:r>
      <w:sdt>
        <w:sdtPr>
          <w:rPr>
            <w:rFonts w:cs="Arial"/>
            <w:szCs w:val="22"/>
            <w:lang w:eastAsia="en-AU"/>
          </w:rPr>
          <w:id w:val="-594024199"/>
          <w:citation/>
        </w:sdtPr>
        <w:sdtEndPr/>
        <w:sdtContent>
          <w:r w:rsidR="0095172D">
            <w:rPr>
              <w:rFonts w:cs="Arial"/>
              <w:szCs w:val="22"/>
              <w:lang w:eastAsia="en-AU"/>
            </w:rPr>
            <w:fldChar w:fldCharType="begin"/>
          </w:r>
          <w:r w:rsidR="0095172D">
            <w:rPr>
              <w:rFonts w:cs="Arial"/>
              <w:szCs w:val="22"/>
              <w:lang w:eastAsia="en-AU"/>
            </w:rPr>
            <w:instrText xml:space="preserve"> CITATION Aus243 \l 3081 </w:instrText>
          </w:r>
          <w:r w:rsidR="0095172D">
            <w:rPr>
              <w:rFonts w:cs="Arial"/>
              <w:szCs w:val="22"/>
              <w:lang w:eastAsia="en-AU"/>
            </w:rPr>
            <w:fldChar w:fldCharType="separate"/>
          </w:r>
          <w:r w:rsidR="00490B21" w:rsidRPr="00490B21">
            <w:rPr>
              <w:rFonts w:cs="Arial"/>
              <w:noProof/>
              <w:szCs w:val="22"/>
              <w:lang w:eastAsia="en-AU"/>
            </w:rPr>
            <w:t>(Australian Bureau of Statistics, 2024)</w:t>
          </w:r>
          <w:r w:rsidR="0095172D">
            <w:rPr>
              <w:rFonts w:cs="Arial"/>
              <w:szCs w:val="22"/>
              <w:lang w:eastAsia="en-AU"/>
            </w:rPr>
            <w:fldChar w:fldCharType="end"/>
          </w:r>
        </w:sdtContent>
      </w:sdt>
      <w:r w:rsidRPr="000E08BE">
        <w:rPr>
          <w:rFonts w:cs="Arial"/>
          <w:szCs w:val="22"/>
          <w:lang w:eastAsia="en-AU"/>
        </w:rPr>
        <w:t xml:space="preserve">. </w:t>
      </w:r>
    </w:p>
    <w:p w14:paraId="3F3D31F5" w14:textId="77777777" w:rsidR="009E0D9F" w:rsidRPr="0040734A" w:rsidRDefault="009E0D9F" w:rsidP="009E0D9F">
      <w:pPr>
        <w:contextualSpacing w:val="0"/>
        <w:rPr>
          <w:rFonts w:cs="Arial"/>
          <w:b/>
          <w:bCs/>
          <w:szCs w:val="22"/>
        </w:rPr>
      </w:pPr>
      <w:r w:rsidRPr="0040734A">
        <w:rPr>
          <w:rFonts w:cs="Arial"/>
          <w:b/>
          <w:bCs/>
          <w:szCs w:val="22"/>
        </w:rPr>
        <w:t xml:space="preserve">The full scale of the improved outcomes benefits may not be accrued until after the end of the 10-year appraisal period, given latency periods between exposure and disease manifestation. </w:t>
      </w:r>
    </w:p>
    <w:p w14:paraId="29B25CCC" w14:textId="77777777" w:rsidR="009E0D9F" w:rsidRPr="0040734A" w:rsidRDefault="009E0D9F" w:rsidP="009E0D9F">
      <w:pPr>
        <w:rPr>
          <w:rFonts w:cs="Arial"/>
          <w:szCs w:val="22"/>
        </w:rPr>
      </w:pPr>
      <w:r w:rsidRPr="0040734A">
        <w:rPr>
          <w:rFonts w:cs="Arial"/>
          <w:szCs w:val="22"/>
        </w:rPr>
        <w:t xml:space="preserve">This analysis assumes that the reduction in the burden of disease, attributable to the WEL changes, would be accrued in-full, starting in the first year of implementation. However, many of the diseases that result from occupational exposure to the </w:t>
      </w:r>
      <w:r>
        <w:rPr>
          <w:rFonts w:cs="Arial"/>
          <w:szCs w:val="22"/>
        </w:rPr>
        <w:t>9</w:t>
      </w:r>
      <w:r w:rsidRPr="0040734A">
        <w:rPr>
          <w:rFonts w:cs="Arial"/>
          <w:szCs w:val="22"/>
        </w:rPr>
        <w:t xml:space="preserve"> chemicals can manifest 10-or-more years after the period of exposure due to long latency periods between exposure and disease onset. As such, the full scale of improved health outcomes attributable to the reduction in the WEL may not be experienced until after the end of the 10-year appraisal period.</w:t>
      </w:r>
    </w:p>
    <w:p w14:paraId="3A9EBAF4" w14:textId="77777777" w:rsidR="009E0D9F" w:rsidRDefault="009E0D9F" w:rsidP="009E0D9F">
      <w:pPr>
        <w:pStyle w:val="SWAHeading4"/>
        <w:rPr>
          <w:szCs w:val="22"/>
        </w:rPr>
      </w:pPr>
      <w:r>
        <w:t>Current burden of occupational disease</w:t>
      </w:r>
    </w:p>
    <w:p w14:paraId="7676E8FF" w14:textId="77777777" w:rsidR="009E0D9F" w:rsidRPr="0040734A" w:rsidRDefault="009E0D9F" w:rsidP="009E0D9F">
      <w:pPr>
        <w:contextualSpacing w:val="0"/>
        <w:rPr>
          <w:rFonts w:cs="Arial"/>
          <w:b/>
          <w:bCs/>
          <w:szCs w:val="22"/>
          <w:lang w:eastAsia="en-AU"/>
        </w:rPr>
      </w:pPr>
      <w:r w:rsidRPr="0040734A">
        <w:rPr>
          <w:rFonts w:cs="Arial"/>
          <w:b/>
          <w:bCs/>
          <w:szCs w:val="22"/>
          <w:lang w:eastAsia="en-AU"/>
        </w:rPr>
        <w:t xml:space="preserve">Research suggests that all </w:t>
      </w:r>
      <w:r>
        <w:rPr>
          <w:rFonts w:cs="Arial"/>
          <w:b/>
          <w:bCs/>
          <w:szCs w:val="22"/>
          <w:lang w:eastAsia="en-AU"/>
        </w:rPr>
        <w:t>9</w:t>
      </w:r>
      <w:r w:rsidRPr="0040734A">
        <w:rPr>
          <w:rFonts w:cs="Arial"/>
          <w:b/>
          <w:bCs/>
          <w:szCs w:val="22"/>
          <w:lang w:eastAsia="en-AU"/>
        </w:rPr>
        <w:t xml:space="preserve"> chemicals may cause occupational disease, but with varying severity.</w:t>
      </w:r>
    </w:p>
    <w:p w14:paraId="6F012076" w14:textId="1C818D46" w:rsidR="005419CD" w:rsidRDefault="00A429A3" w:rsidP="008D3C8E">
      <w:pPr>
        <w:spacing w:line="240" w:lineRule="atLeast"/>
        <w:contextualSpacing w:val="0"/>
        <w:rPr>
          <w:rFonts w:cs="Arial"/>
          <w:szCs w:val="22"/>
          <w:lang w:eastAsia="en-AU"/>
        </w:rPr>
      </w:pPr>
      <w:r w:rsidRPr="00993B73">
        <w:rPr>
          <w:lang w:eastAsia="en-AU"/>
        </w:rPr>
        <w:t xml:space="preserve">As outlined in </w:t>
      </w:r>
      <w:r w:rsidR="002B09C0">
        <w:rPr>
          <w:lang w:eastAsia="en-AU"/>
        </w:rPr>
        <w:fldChar w:fldCharType="begin"/>
      </w:r>
      <w:r w:rsidR="002B09C0">
        <w:rPr>
          <w:lang w:eastAsia="en-AU"/>
        </w:rPr>
        <w:instrText xml:space="preserve"> REF _Ref199835096 \h </w:instrText>
      </w:r>
      <w:r w:rsidR="002B09C0">
        <w:rPr>
          <w:lang w:eastAsia="en-AU"/>
        </w:rPr>
      </w:r>
      <w:r w:rsidR="002B09C0">
        <w:rPr>
          <w:lang w:eastAsia="en-AU"/>
        </w:rPr>
        <w:fldChar w:fldCharType="separate"/>
      </w:r>
      <w:r w:rsidR="00A002F4">
        <w:t xml:space="preserve">Table </w:t>
      </w:r>
      <w:r w:rsidR="00A002F4">
        <w:rPr>
          <w:noProof/>
        </w:rPr>
        <w:t>2</w:t>
      </w:r>
      <w:r w:rsidR="002B09C0">
        <w:rPr>
          <w:lang w:eastAsia="en-AU"/>
        </w:rPr>
        <w:fldChar w:fldCharType="end"/>
      </w:r>
      <w:r w:rsidR="002B09C0">
        <w:rPr>
          <w:lang w:eastAsia="en-AU"/>
        </w:rPr>
        <w:t>,</w:t>
      </w:r>
      <w:r w:rsidRPr="00993B73">
        <w:rPr>
          <w:lang w:eastAsia="en-AU"/>
        </w:rPr>
        <w:t xml:space="preserve"> exposure to each of the nine chemicals may potentially have adverse health effects. However, the </w:t>
      </w:r>
      <w:r>
        <w:rPr>
          <w:lang w:eastAsia="en-AU"/>
        </w:rPr>
        <w:t>specific</w:t>
      </w:r>
      <w:r w:rsidRPr="00993B73">
        <w:rPr>
          <w:lang w:eastAsia="en-AU"/>
        </w:rPr>
        <w:t xml:space="preserve"> health effects differ </w:t>
      </w:r>
      <w:r>
        <w:rPr>
          <w:lang w:eastAsia="en-AU"/>
        </w:rPr>
        <w:t>from</w:t>
      </w:r>
      <w:r w:rsidRPr="00993B73">
        <w:rPr>
          <w:lang w:eastAsia="en-AU"/>
        </w:rPr>
        <w:t xml:space="preserve"> chemical-to-chemical.</w:t>
      </w:r>
    </w:p>
    <w:p w14:paraId="78E90D06" w14:textId="6E4D21D7" w:rsidR="009E0D9F" w:rsidRPr="0040734A" w:rsidRDefault="009E0D9F" w:rsidP="008D3C8E">
      <w:pPr>
        <w:spacing w:line="240" w:lineRule="atLeast"/>
        <w:contextualSpacing w:val="0"/>
        <w:rPr>
          <w:rFonts w:cs="Arial"/>
          <w:b/>
          <w:bCs/>
          <w:szCs w:val="22"/>
          <w:lang w:eastAsia="en-AU"/>
        </w:rPr>
      </w:pPr>
      <w:r w:rsidRPr="0040734A">
        <w:rPr>
          <w:rFonts w:cs="Arial"/>
          <w:b/>
          <w:bCs/>
          <w:szCs w:val="22"/>
          <w:lang w:eastAsia="en-AU"/>
        </w:rPr>
        <w:t xml:space="preserve">Benzene, formaldehyde and </w:t>
      </w:r>
      <w:r>
        <w:rPr>
          <w:rFonts w:cs="Arial"/>
          <w:b/>
          <w:bCs/>
          <w:szCs w:val="22"/>
          <w:lang w:eastAsia="en-AU"/>
        </w:rPr>
        <w:t>RCS</w:t>
      </w:r>
      <w:r w:rsidRPr="0040734A">
        <w:rPr>
          <w:rFonts w:cs="Arial"/>
          <w:b/>
          <w:bCs/>
          <w:szCs w:val="22"/>
          <w:lang w:eastAsia="en-AU"/>
        </w:rPr>
        <w:t xml:space="preserve"> are classified as carcinogens.</w:t>
      </w:r>
    </w:p>
    <w:p w14:paraId="4EC80DEE" w14:textId="331F304E" w:rsidR="003C50CE" w:rsidRDefault="003C50CE" w:rsidP="00EB509A">
      <w:pPr>
        <w:contextualSpacing w:val="0"/>
        <w:rPr>
          <w:lang w:eastAsia="en-AU"/>
        </w:rPr>
      </w:pPr>
      <w:r>
        <w:rPr>
          <w:lang w:eastAsia="en-AU"/>
        </w:rPr>
        <w:t>The Globally Harmonised System for the Classification and Labelling of chemicals (</w:t>
      </w:r>
      <w:r w:rsidRPr="00993B73">
        <w:rPr>
          <w:lang w:eastAsia="en-AU"/>
        </w:rPr>
        <w:t>GHS</w:t>
      </w:r>
      <w:r>
        <w:rPr>
          <w:lang w:eastAsia="en-AU"/>
        </w:rPr>
        <w:t>)</w:t>
      </w:r>
      <w:r w:rsidRPr="00993B73">
        <w:rPr>
          <w:lang w:eastAsia="en-AU"/>
        </w:rPr>
        <w:t xml:space="preserve"> classify these </w:t>
      </w:r>
      <w:r>
        <w:rPr>
          <w:lang w:eastAsia="en-AU"/>
        </w:rPr>
        <w:t>3</w:t>
      </w:r>
      <w:r w:rsidRPr="00993B73">
        <w:rPr>
          <w:lang w:eastAsia="en-AU"/>
        </w:rPr>
        <w:t xml:space="preserve"> chemicals as carcinogens. The burden of disease attributable to occupational exposure to these </w:t>
      </w:r>
      <w:r>
        <w:rPr>
          <w:lang w:eastAsia="en-AU"/>
        </w:rPr>
        <w:t>3</w:t>
      </w:r>
      <w:r w:rsidRPr="00993B73">
        <w:rPr>
          <w:lang w:eastAsia="en-AU"/>
        </w:rPr>
        <w:t xml:space="preserve"> chemicals has been estimated by the IHME Global Burden of Disease (GBD) study.</w:t>
      </w:r>
      <w:r w:rsidRPr="00993B73">
        <w:rPr>
          <w:rStyle w:val="FootnoteReference"/>
          <w:lang w:eastAsia="en-AU"/>
        </w:rPr>
        <w:footnoteReference w:id="337"/>
      </w:r>
      <w:r w:rsidRPr="00993B73">
        <w:rPr>
          <w:lang w:eastAsia="en-AU"/>
        </w:rPr>
        <w:t xml:space="preserve"> The GBD study is the most comprehensive worldwide observational epidemiological study to date</w:t>
      </w:r>
      <w:r w:rsidR="00564882">
        <w:rPr>
          <w:lang w:eastAsia="en-AU"/>
        </w:rPr>
        <w:t xml:space="preserve"> </w:t>
      </w:r>
      <w:sdt>
        <w:sdtPr>
          <w:rPr>
            <w:lang w:eastAsia="en-AU"/>
          </w:rPr>
          <w:id w:val="376442600"/>
          <w:citation/>
        </w:sdtPr>
        <w:sdtEndPr/>
        <w:sdtContent>
          <w:r w:rsidR="00564882">
            <w:rPr>
              <w:lang w:eastAsia="en-AU"/>
            </w:rPr>
            <w:fldChar w:fldCharType="begin"/>
          </w:r>
          <w:r w:rsidR="00564882">
            <w:rPr>
              <w:lang w:eastAsia="en-AU"/>
            </w:rPr>
            <w:instrText xml:space="preserve"> CITATION Ins24 \l 3081 </w:instrText>
          </w:r>
          <w:r w:rsidR="00564882">
            <w:rPr>
              <w:lang w:eastAsia="en-AU"/>
            </w:rPr>
            <w:fldChar w:fldCharType="separate"/>
          </w:r>
          <w:r w:rsidR="00490B21">
            <w:rPr>
              <w:noProof/>
              <w:lang w:eastAsia="en-AU"/>
            </w:rPr>
            <w:t>(Institute For Health Metrics and Evaluation, 2024)</w:t>
          </w:r>
          <w:r w:rsidR="00564882">
            <w:rPr>
              <w:lang w:eastAsia="en-AU"/>
            </w:rPr>
            <w:fldChar w:fldCharType="end"/>
          </w:r>
        </w:sdtContent>
      </w:sdt>
      <w:r w:rsidRPr="00993B73">
        <w:rPr>
          <w:lang w:eastAsia="en-AU"/>
        </w:rPr>
        <w:t xml:space="preserve">. </w:t>
      </w:r>
    </w:p>
    <w:p w14:paraId="6BCB4072" w14:textId="296618BF" w:rsidR="003C50CE" w:rsidRPr="00993B73" w:rsidRDefault="003C50CE" w:rsidP="00EB509A">
      <w:pPr>
        <w:contextualSpacing w:val="0"/>
        <w:rPr>
          <w:lang w:eastAsia="en-AU"/>
        </w:rPr>
      </w:pPr>
      <w:r>
        <w:rPr>
          <w:lang w:eastAsia="en-AU"/>
        </w:rPr>
        <w:t>For the remaining 6 chemicals</w:t>
      </w:r>
      <w:r w:rsidR="007F6FA7">
        <w:rPr>
          <w:lang w:eastAsia="en-AU"/>
        </w:rPr>
        <w:t xml:space="preserve"> considered in this Decision RIS</w:t>
      </w:r>
      <w:r>
        <w:rPr>
          <w:lang w:eastAsia="en-AU"/>
        </w:rPr>
        <w:t>, no equivalent burden of disease estimates are currently available. Attribution of occupational disease to specific workplace exposures often presents challenges due to long latency periods between exposure and disease onset, and difficulties in linking specific chemical exposures to health outcomes.</w:t>
      </w:r>
    </w:p>
    <w:p w14:paraId="2D20041C" w14:textId="45DEBA51" w:rsidR="009E0D9F" w:rsidRPr="0040734A" w:rsidRDefault="0069736F" w:rsidP="005B52BA">
      <w:pPr>
        <w:rPr>
          <w:rFonts w:cs="Arial"/>
          <w:szCs w:val="22"/>
          <w:lang w:eastAsia="en-AU"/>
        </w:rPr>
      </w:pPr>
      <w:r>
        <w:rPr>
          <w:rFonts w:cs="Arial"/>
          <w:szCs w:val="22"/>
          <w:lang w:eastAsia="en-AU"/>
        </w:rPr>
        <w:fldChar w:fldCharType="begin"/>
      </w:r>
      <w:r>
        <w:rPr>
          <w:rFonts w:cs="Arial"/>
          <w:szCs w:val="22"/>
          <w:lang w:eastAsia="en-AU"/>
        </w:rPr>
        <w:instrText xml:space="preserve"> REF _Ref200032109 \h </w:instrText>
      </w:r>
      <w:r>
        <w:rPr>
          <w:rFonts w:cs="Arial"/>
          <w:szCs w:val="22"/>
          <w:lang w:eastAsia="en-AU"/>
        </w:rPr>
      </w:r>
      <w:r>
        <w:rPr>
          <w:rFonts w:cs="Arial"/>
          <w:szCs w:val="22"/>
          <w:lang w:eastAsia="en-AU"/>
        </w:rPr>
        <w:fldChar w:fldCharType="separate"/>
      </w:r>
      <w:r w:rsidR="00A002F4">
        <w:t xml:space="preserve">Figure </w:t>
      </w:r>
      <w:r w:rsidR="00A002F4">
        <w:rPr>
          <w:noProof/>
        </w:rPr>
        <w:t>5</w:t>
      </w:r>
      <w:r>
        <w:rPr>
          <w:rFonts w:cs="Arial"/>
          <w:szCs w:val="22"/>
          <w:lang w:eastAsia="en-AU"/>
        </w:rPr>
        <w:fldChar w:fldCharType="end"/>
      </w:r>
      <w:r>
        <w:rPr>
          <w:rFonts w:cs="Arial"/>
          <w:szCs w:val="22"/>
          <w:lang w:eastAsia="en-AU"/>
        </w:rPr>
        <w:t xml:space="preserve"> </w:t>
      </w:r>
      <w:r w:rsidR="009E0D9F" w:rsidRPr="0040734A">
        <w:rPr>
          <w:rFonts w:cs="Arial"/>
          <w:szCs w:val="22"/>
          <w:lang w:eastAsia="en-AU"/>
        </w:rPr>
        <w:t>summarises the scale and nature of the burden of disease attributable to benzene, formaldehyde and RCS, based on GDB study from 2017 to 2021. The figure shows that the burden of disease for RCS over the five-year period ($8 billion) is significantly higher than for benzene ($317 million) and formaldehyde ($34 million). This reflects the outcomes of the compensation claims data analysis, which also showed that the impacts of occupational disease for RCS are significantly higher than all other chemicals. The figure also shows that the fatal burden of disease comprises the majority (96 to 98</w:t>
      </w:r>
      <w:r w:rsidR="009E0D9F">
        <w:rPr>
          <w:rFonts w:cs="Arial"/>
          <w:szCs w:val="22"/>
          <w:lang w:eastAsia="en-AU"/>
        </w:rPr>
        <w:t>%</w:t>
      </w:r>
      <w:r w:rsidR="009E0D9F" w:rsidRPr="0040734A">
        <w:rPr>
          <w:rFonts w:cs="Arial"/>
          <w:szCs w:val="22"/>
          <w:lang w:eastAsia="en-AU"/>
        </w:rPr>
        <w:t xml:space="preserve">) of the total burden of disease for the </w:t>
      </w:r>
      <w:r w:rsidR="00075E03">
        <w:rPr>
          <w:rFonts w:cs="Arial"/>
          <w:szCs w:val="22"/>
          <w:lang w:eastAsia="en-AU"/>
        </w:rPr>
        <w:t>3</w:t>
      </w:r>
      <w:r w:rsidR="009E0D9F" w:rsidRPr="0040734A">
        <w:rPr>
          <w:rFonts w:cs="Arial"/>
          <w:szCs w:val="22"/>
          <w:lang w:eastAsia="en-AU"/>
        </w:rPr>
        <w:t xml:space="preserve"> chemicals.</w:t>
      </w:r>
    </w:p>
    <w:p w14:paraId="66BAF0D4" w14:textId="77777777" w:rsidR="00851754" w:rsidRDefault="00075E03" w:rsidP="00851754">
      <w:pPr>
        <w:keepNext/>
        <w:keepLines/>
      </w:pPr>
      <w:r w:rsidRPr="00993B73">
        <w:rPr>
          <w:noProof/>
        </w:rPr>
        <w:lastRenderedPageBreak/>
        <w:drawing>
          <wp:inline distT="0" distB="0" distL="0" distR="0" wp14:anchorId="29FC095D" wp14:editId="4500058F">
            <wp:extent cx="5670550" cy="3055620"/>
            <wp:effectExtent l="0" t="0" r="6350" b="0"/>
            <wp:docPr id="350763521" name="Picture 9" descr="A graph of the cost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63521" name="Picture 9" descr="A graph of the cost of a company&#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670550" cy="3055620"/>
                    </a:xfrm>
                    <a:prstGeom prst="rect">
                      <a:avLst/>
                    </a:prstGeom>
                  </pic:spPr>
                </pic:pic>
              </a:graphicData>
            </a:graphic>
          </wp:inline>
        </w:drawing>
      </w:r>
    </w:p>
    <w:p w14:paraId="31D432E5" w14:textId="61DB0782" w:rsidR="009E0D9F" w:rsidRPr="00BA70CB" w:rsidRDefault="00851754" w:rsidP="00346EEA">
      <w:pPr>
        <w:pStyle w:val="Caption"/>
        <w:spacing w:before="0"/>
      </w:pPr>
      <w:bookmarkStart w:id="690" w:name="_Ref200032109"/>
      <w:r>
        <w:t xml:space="preserve">Figure </w:t>
      </w:r>
      <w:fldSimple w:instr=" SEQ Figure \* ARABIC ">
        <w:r w:rsidR="00A002F4">
          <w:rPr>
            <w:noProof/>
          </w:rPr>
          <w:t>5</w:t>
        </w:r>
      </w:fldSimple>
      <w:bookmarkEnd w:id="690"/>
      <w:r>
        <w:t xml:space="preserve"> - </w:t>
      </w:r>
      <w:r w:rsidRPr="00C82AED">
        <w:t>Estimated burden of disease attributable to benzene, formaldehyde and RCS, 2017-2021</w:t>
      </w:r>
      <w:r w:rsidR="00346EEA">
        <w:t xml:space="preserve"> </w:t>
      </w:r>
      <w:sdt>
        <w:sdtPr>
          <w:id w:val="1285383882"/>
          <w:citation/>
        </w:sdtPr>
        <w:sdtEndPr/>
        <w:sdtContent>
          <w:r w:rsidR="00346EEA">
            <w:fldChar w:fldCharType="begin"/>
          </w:r>
          <w:r w:rsidR="00346EEA">
            <w:instrText xml:space="preserve"> CITATION Ins24 \l 3081 </w:instrText>
          </w:r>
          <w:r w:rsidR="00346EEA">
            <w:fldChar w:fldCharType="separate"/>
          </w:r>
          <w:r w:rsidR="00490B21">
            <w:rPr>
              <w:noProof/>
            </w:rPr>
            <w:t>(Institute For Health Metrics and Evaluation, 2024)</w:t>
          </w:r>
          <w:r w:rsidR="00346EEA">
            <w:fldChar w:fldCharType="end"/>
          </w:r>
        </w:sdtContent>
      </w:sdt>
    </w:p>
    <w:p w14:paraId="14C1F3C6" w14:textId="77777777" w:rsidR="00FB450F" w:rsidRPr="00993B73" w:rsidRDefault="00FB450F" w:rsidP="00FB450F">
      <w:pPr>
        <w:pStyle w:val="Heading4"/>
      </w:pPr>
      <w:r w:rsidRPr="00993B73">
        <w:t>Reduced years of life lost due to occupational disease</w:t>
      </w:r>
    </w:p>
    <w:p w14:paraId="6FB1ADE5" w14:textId="77777777" w:rsidR="00FB450F" w:rsidRPr="00993B73" w:rsidRDefault="00FB450F" w:rsidP="00FB450F">
      <w:pPr>
        <w:contextualSpacing w:val="0"/>
        <w:rPr>
          <w:lang w:eastAsia="en-AU"/>
        </w:rPr>
      </w:pPr>
      <w:r w:rsidRPr="00993B73">
        <w:rPr>
          <w:lang w:eastAsia="en-AU"/>
        </w:rPr>
        <w:t>This benefit measures the reduction in the YLL due to occupational disease, attributable to reduced workplace exposure to airborne contaminants.</w:t>
      </w:r>
    </w:p>
    <w:p w14:paraId="4A59925B" w14:textId="23123366" w:rsidR="00EE6721" w:rsidRDefault="00FB450F" w:rsidP="00B3532F">
      <w:pPr>
        <w:contextualSpacing w:val="0"/>
      </w:pPr>
      <w:r w:rsidRPr="00993B73">
        <w:rPr>
          <w:lang w:eastAsia="en-AU"/>
        </w:rPr>
        <w:t>The forecast fatal burden of disease for benzene, formaldehyde and RCS over the appraisal period are presented in</w:t>
      </w:r>
      <w:r w:rsidR="002B6CA4">
        <w:rPr>
          <w:lang w:eastAsia="en-AU"/>
        </w:rPr>
        <w:t xml:space="preserve"> </w:t>
      </w:r>
      <w:r w:rsidR="002B6CA4">
        <w:rPr>
          <w:lang w:eastAsia="en-AU"/>
        </w:rPr>
        <w:fldChar w:fldCharType="begin"/>
      </w:r>
      <w:r w:rsidR="002B6CA4">
        <w:rPr>
          <w:lang w:eastAsia="en-AU"/>
        </w:rPr>
        <w:instrText xml:space="preserve"> REF _Ref216792926 \h </w:instrText>
      </w:r>
      <w:r w:rsidR="002B6CA4">
        <w:rPr>
          <w:lang w:eastAsia="en-AU"/>
        </w:rPr>
      </w:r>
      <w:r w:rsidR="002B6CA4">
        <w:rPr>
          <w:lang w:eastAsia="en-AU"/>
        </w:rPr>
        <w:fldChar w:fldCharType="separate"/>
      </w:r>
      <w:r w:rsidR="00A002F4">
        <w:t xml:space="preserve">Table </w:t>
      </w:r>
      <w:r w:rsidR="00A002F4">
        <w:rPr>
          <w:noProof/>
        </w:rPr>
        <w:t>56</w:t>
      </w:r>
      <w:r w:rsidR="002B6CA4">
        <w:rPr>
          <w:lang w:eastAsia="en-AU"/>
        </w:rPr>
        <w:fldChar w:fldCharType="end"/>
      </w:r>
      <w:r w:rsidRPr="00993B73">
        <w:rPr>
          <w:lang w:eastAsia="en-AU"/>
        </w:rPr>
        <w:t>. These figures are estimated based on IHME GBD data, using the CAGR in the historical burden of disease between 2016 and 2021. The mean measure presents the most likely value, while the low and high measure represent the upper and lower bounds of the 95</w:t>
      </w:r>
      <w:r w:rsidR="00EB509A">
        <w:rPr>
          <w:lang w:eastAsia="en-AU"/>
        </w:rPr>
        <w:t>%</w:t>
      </w:r>
      <w:r w:rsidRPr="00993B73">
        <w:rPr>
          <w:lang w:eastAsia="en-AU"/>
        </w:rPr>
        <w:t xml:space="preserve"> confidence interval, respectively. </w:t>
      </w:r>
      <w:r w:rsidR="00F25744">
        <w:rPr>
          <w:lang w:eastAsia="en-AU"/>
        </w:rPr>
        <w:fldChar w:fldCharType="begin"/>
      </w:r>
      <w:r w:rsidR="00F25744">
        <w:rPr>
          <w:lang w:eastAsia="en-AU"/>
        </w:rPr>
        <w:instrText xml:space="preserve"> REF _Ref216792926 \h </w:instrText>
      </w:r>
      <w:r w:rsidR="00F25744">
        <w:rPr>
          <w:lang w:eastAsia="en-AU"/>
        </w:rPr>
      </w:r>
      <w:r w:rsidR="00F25744">
        <w:rPr>
          <w:lang w:eastAsia="en-AU"/>
        </w:rPr>
        <w:fldChar w:fldCharType="separate"/>
      </w:r>
      <w:r w:rsidR="00A002F4">
        <w:t xml:space="preserve">Table </w:t>
      </w:r>
      <w:r w:rsidR="00A002F4">
        <w:rPr>
          <w:noProof/>
        </w:rPr>
        <w:t>56</w:t>
      </w:r>
      <w:r w:rsidR="00F25744">
        <w:rPr>
          <w:lang w:eastAsia="en-AU"/>
        </w:rPr>
        <w:fldChar w:fldCharType="end"/>
      </w:r>
      <w:r w:rsidR="00F25744">
        <w:rPr>
          <w:lang w:eastAsia="en-AU"/>
        </w:rPr>
        <w:t xml:space="preserve"> </w:t>
      </w:r>
      <w:r w:rsidRPr="00993B73">
        <w:rPr>
          <w:lang w:eastAsia="en-AU"/>
        </w:rPr>
        <w:t>shows that the forecast burden of disease for RCS in FY27 (7,421 DALYs or $1.82 billion) is significantly higher than for benzene (270 DALYs or $66.1 million) and formaldehyde (28 DALYs or $6.9 million).</w:t>
      </w:r>
    </w:p>
    <w:p w14:paraId="1555680B" w14:textId="22FDBDD9" w:rsidR="002B6CA4" w:rsidRDefault="002B6CA4" w:rsidP="00B3532F">
      <w:pPr>
        <w:pStyle w:val="Caption"/>
      </w:pPr>
      <w:bookmarkStart w:id="691" w:name="_Ref216792926"/>
      <w:r>
        <w:t xml:space="preserve">Table </w:t>
      </w:r>
      <w:fldSimple w:instr=" SEQ Table \* ARABIC ">
        <w:r w:rsidR="00A002F4">
          <w:rPr>
            <w:noProof/>
          </w:rPr>
          <w:t>56</w:t>
        </w:r>
      </w:fldSimple>
      <w:bookmarkEnd w:id="691"/>
      <w:r>
        <w:t xml:space="preserve"> - </w:t>
      </w:r>
      <w:r w:rsidRPr="00AA1DC1">
        <w:t>Forecast fatal burden of occupational disease for benzene, formaldehyde and RCS (DALYs), FY27 to FY36</w:t>
      </w:r>
    </w:p>
    <w:tbl>
      <w:tblPr>
        <w:tblpPr w:leftFromText="180" w:rightFromText="180" w:vertAnchor="text" w:horzAnchor="margin" w:tblpXSpec="center" w:tblpY="155"/>
        <w:tblW w:w="1101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620"/>
        <w:gridCol w:w="1064"/>
        <w:gridCol w:w="832"/>
        <w:gridCol w:w="833"/>
        <w:gridCol w:w="833"/>
        <w:gridCol w:w="832"/>
        <w:gridCol w:w="833"/>
        <w:gridCol w:w="833"/>
        <w:gridCol w:w="832"/>
        <w:gridCol w:w="833"/>
        <w:gridCol w:w="833"/>
        <w:gridCol w:w="833"/>
      </w:tblGrid>
      <w:tr w:rsidR="003045E8" w:rsidRPr="005970B5" w14:paraId="7C896166" w14:textId="77777777" w:rsidTr="003045E8">
        <w:trPr>
          <w:trHeight w:val="274"/>
        </w:trPr>
        <w:tc>
          <w:tcPr>
            <w:tcW w:w="1620" w:type="dxa"/>
            <w:shd w:val="clear" w:color="auto" w:fill="4877E0" w:themeFill="accent1"/>
          </w:tcPr>
          <w:p w14:paraId="0DE7CB64" w14:textId="77777777"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Chemical</w:t>
            </w:r>
          </w:p>
        </w:tc>
        <w:tc>
          <w:tcPr>
            <w:tcW w:w="1064" w:type="dxa"/>
            <w:shd w:val="clear" w:color="auto" w:fill="4877E0" w:themeFill="accent1"/>
          </w:tcPr>
          <w:p w14:paraId="107279E3" w14:textId="77777777"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Estimate</w:t>
            </w:r>
          </w:p>
        </w:tc>
        <w:tc>
          <w:tcPr>
            <w:tcW w:w="832" w:type="dxa"/>
            <w:shd w:val="clear" w:color="auto" w:fill="4877E0" w:themeFill="accent1"/>
          </w:tcPr>
          <w:p w14:paraId="12BAB765" w14:textId="297ED53A"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FY27</w:t>
            </w:r>
          </w:p>
        </w:tc>
        <w:tc>
          <w:tcPr>
            <w:tcW w:w="833" w:type="dxa"/>
            <w:shd w:val="clear" w:color="auto" w:fill="4877E0" w:themeFill="accent1"/>
          </w:tcPr>
          <w:p w14:paraId="201A692F" w14:textId="56064534"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FY28</w:t>
            </w:r>
          </w:p>
        </w:tc>
        <w:tc>
          <w:tcPr>
            <w:tcW w:w="833" w:type="dxa"/>
            <w:shd w:val="clear" w:color="auto" w:fill="4877E0" w:themeFill="accent1"/>
          </w:tcPr>
          <w:p w14:paraId="3041F6D8" w14:textId="4F04EFEC"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FY29</w:t>
            </w:r>
          </w:p>
        </w:tc>
        <w:tc>
          <w:tcPr>
            <w:tcW w:w="832" w:type="dxa"/>
            <w:shd w:val="clear" w:color="auto" w:fill="4877E0" w:themeFill="accent1"/>
          </w:tcPr>
          <w:p w14:paraId="6DA79897" w14:textId="2EE77F80"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FY30</w:t>
            </w:r>
          </w:p>
        </w:tc>
        <w:tc>
          <w:tcPr>
            <w:tcW w:w="833" w:type="dxa"/>
            <w:shd w:val="clear" w:color="auto" w:fill="4877E0" w:themeFill="accent1"/>
          </w:tcPr>
          <w:p w14:paraId="5195D26D" w14:textId="33A2844B"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FY31</w:t>
            </w:r>
          </w:p>
        </w:tc>
        <w:tc>
          <w:tcPr>
            <w:tcW w:w="833" w:type="dxa"/>
            <w:shd w:val="clear" w:color="auto" w:fill="4877E0" w:themeFill="accent1"/>
          </w:tcPr>
          <w:p w14:paraId="7BB681AD" w14:textId="675C5422"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FY32</w:t>
            </w:r>
          </w:p>
        </w:tc>
        <w:tc>
          <w:tcPr>
            <w:tcW w:w="832" w:type="dxa"/>
            <w:shd w:val="clear" w:color="auto" w:fill="4877E0" w:themeFill="accent1"/>
          </w:tcPr>
          <w:p w14:paraId="2399C123" w14:textId="0752B19D"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FY33</w:t>
            </w:r>
          </w:p>
        </w:tc>
        <w:tc>
          <w:tcPr>
            <w:tcW w:w="833" w:type="dxa"/>
            <w:shd w:val="clear" w:color="auto" w:fill="4877E0" w:themeFill="accent1"/>
          </w:tcPr>
          <w:p w14:paraId="5C9315C8" w14:textId="59E3B266"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FY34</w:t>
            </w:r>
          </w:p>
        </w:tc>
        <w:tc>
          <w:tcPr>
            <w:tcW w:w="833" w:type="dxa"/>
            <w:shd w:val="clear" w:color="auto" w:fill="4877E0" w:themeFill="accent1"/>
          </w:tcPr>
          <w:p w14:paraId="11B79118" w14:textId="74B2EE31"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FY35</w:t>
            </w:r>
          </w:p>
        </w:tc>
        <w:tc>
          <w:tcPr>
            <w:tcW w:w="833" w:type="dxa"/>
            <w:shd w:val="clear" w:color="auto" w:fill="4877E0" w:themeFill="accent1"/>
          </w:tcPr>
          <w:p w14:paraId="4A460DB9" w14:textId="02A4FEA7" w:rsidR="005F24FE" w:rsidRPr="003045E8" w:rsidRDefault="005F24FE">
            <w:pPr>
              <w:keepNext/>
              <w:keepLines/>
              <w:widowControl w:val="0"/>
              <w:spacing w:after="200" w:line="240" w:lineRule="auto"/>
              <w:rPr>
                <w:rFonts w:eastAsia="Times New Roman" w:cs="Arial"/>
                <w:b/>
                <w:bCs/>
                <w:color w:val="FFFFFF" w:themeColor="background1"/>
                <w:sz w:val="20"/>
                <w:szCs w:val="20"/>
                <w:lang w:eastAsia="en-AU"/>
              </w:rPr>
            </w:pPr>
            <w:r w:rsidRPr="003045E8">
              <w:rPr>
                <w:rFonts w:eastAsia="Times New Roman" w:cs="Arial"/>
                <w:b/>
                <w:bCs/>
                <w:color w:val="FFFFFF" w:themeColor="background1"/>
                <w:sz w:val="20"/>
                <w:szCs w:val="20"/>
                <w:lang w:eastAsia="en-AU"/>
              </w:rPr>
              <w:t>FY36</w:t>
            </w:r>
          </w:p>
        </w:tc>
      </w:tr>
      <w:tr w:rsidR="003045E8" w:rsidRPr="001A205B" w14:paraId="1F3073DD" w14:textId="77777777" w:rsidTr="003045E8">
        <w:trPr>
          <w:trHeight w:val="320"/>
        </w:trPr>
        <w:tc>
          <w:tcPr>
            <w:tcW w:w="1620" w:type="dxa"/>
            <w:vMerge w:val="restart"/>
          </w:tcPr>
          <w:p w14:paraId="3D6A752D" w14:textId="77777777" w:rsidR="005F24FE" w:rsidRPr="001A205B" w:rsidRDefault="005F24FE">
            <w:pPr>
              <w:keepNext/>
              <w:keepLines/>
              <w:widowControl w:val="0"/>
              <w:spacing w:after="200" w:line="240" w:lineRule="auto"/>
              <w:rPr>
                <w:rFonts w:eastAsia="Times New Roman" w:cs="Arial"/>
                <w:b/>
                <w:bCs/>
                <w:sz w:val="20"/>
                <w:szCs w:val="20"/>
                <w:lang w:eastAsia="en-AU"/>
              </w:rPr>
            </w:pPr>
            <w:r w:rsidRPr="001A205B">
              <w:rPr>
                <w:rFonts w:eastAsia="Times New Roman" w:cs="Arial"/>
                <w:b/>
                <w:bCs/>
                <w:sz w:val="20"/>
                <w:szCs w:val="20"/>
                <w:lang w:eastAsia="en-AU"/>
              </w:rPr>
              <w:t>Benzene</w:t>
            </w:r>
          </w:p>
        </w:tc>
        <w:tc>
          <w:tcPr>
            <w:tcW w:w="1064" w:type="dxa"/>
            <w:vAlign w:val="center"/>
          </w:tcPr>
          <w:p w14:paraId="381E0136" w14:textId="77777777" w:rsidR="005F24FE" w:rsidRPr="007F438E" w:rsidRDefault="005F24FE">
            <w:pPr>
              <w:keepNext/>
              <w:keepLines/>
              <w:widowControl w:val="0"/>
              <w:spacing w:after="200" w:line="240" w:lineRule="auto"/>
              <w:rPr>
                <w:rFonts w:cs="Arial"/>
                <w:szCs w:val="22"/>
              </w:rPr>
            </w:pPr>
            <w:r w:rsidRPr="007F438E">
              <w:rPr>
                <w:rFonts w:cs="Arial"/>
                <w:szCs w:val="22"/>
              </w:rPr>
              <w:t>Low</w:t>
            </w:r>
          </w:p>
        </w:tc>
        <w:tc>
          <w:tcPr>
            <w:tcW w:w="832" w:type="dxa"/>
            <w:vAlign w:val="center"/>
          </w:tcPr>
          <w:p w14:paraId="7221417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57 </w:t>
            </w:r>
          </w:p>
        </w:tc>
        <w:tc>
          <w:tcPr>
            <w:tcW w:w="833" w:type="dxa"/>
            <w:vAlign w:val="center"/>
          </w:tcPr>
          <w:p w14:paraId="00DA668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58 </w:t>
            </w:r>
          </w:p>
        </w:tc>
        <w:tc>
          <w:tcPr>
            <w:tcW w:w="833" w:type="dxa"/>
            <w:vAlign w:val="center"/>
          </w:tcPr>
          <w:p w14:paraId="559CF8B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59 </w:t>
            </w:r>
          </w:p>
        </w:tc>
        <w:tc>
          <w:tcPr>
            <w:tcW w:w="832" w:type="dxa"/>
            <w:vAlign w:val="center"/>
          </w:tcPr>
          <w:p w14:paraId="01FED8A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61</w:t>
            </w:r>
          </w:p>
        </w:tc>
        <w:tc>
          <w:tcPr>
            <w:tcW w:w="833" w:type="dxa"/>
            <w:vAlign w:val="center"/>
          </w:tcPr>
          <w:p w14:paraId="28CB59B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62 </w:t>
            </w:r>
          </w:p>
        </w:tc>
        <w:tc>
          <w:tcPr>
            <w:tcW w:w="833" w:type="dxa"/>
            <w:vAlign w:val="center"/>
          </w:tcPr>
          <w:p w14:paraId="1C3E68E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63 </w:t>
            </w:r>
          </w:p>
        </w:tc>
        <w:tc>
          <w:tcPr>
            <w:tcW w:w="832" w:type="dxa"/>
            <w:vAlign w:val="center"/>
          </w:tcPr>
          <w:p w14:paraId="214C1E99"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65 </w:t>
            </w:r>
          </w:p>
        </w:tc>
        <w:tc>
          <w:tcPr>
            <w:tcW w:w="833" w:type="dxa"/>
            <w:vAlign w:val="center"/>
          </w:tcPr>
          <w:p w14:paraId="003E868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66 </w:t>
            </w:r>
          </w:p>
        </w:tc>
        <w:tc>
          <w:tcPr>
            <w:tcW w:w="833" w:type="dxa"/>
            <w:vAlign w:val="center"/>
          </w:tcPr>
          <w:p w14:paraId="79BBFD0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67</w:t>
            </w:r>
          </w:p>
        </w:tc>
        <w:tc>
          <w:tcPr>
            <w:tcW w:w="833" w:type="dxa"/>
            <w:vAlign w:val="center"/>
          </w:tcPr>
          <w:p w14:paraId="3BE6C56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69 </w:t>
            </w:r>
          </w:p>
        </w:tc>
      </w:tr>
      <w:tr w:rsidR="003045E8" w:rsidRPr="001A205B" w14:paraId="3F0DDD06" w14:textId="77777777" w:rsidTr="003045E8">
        <w:trPr>
          <w:trHeight w:val="320"/>
        </w:trPr>
        <w:tc>
          <w:tcPr>
            <w:tcW w:w="1620" w:type="dxa"/>
            <w:vMerge/>
          </w:tcPr>
          <w:p w14:paraId="20D99E88"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shd w:val="clear" w:color="auto" w:fill="DAE3F8" w:themeFill="accent1" w:themeFillTint="33"/>
            <w:vAlign w:val="center"/>
          </w:tcPr>
          <w:p w14:paraId="57A3988D" w14:textId="77777777" w:rsidR="005F24FE" w:rsidRPr="007F438E" w:rsidRDefault="005F24FE">
            <w:pPr>
              <w:keepNext/>
              <w:keepLines/>
              <w:widowControl w:val="0"/>
              <w:spacing w:after="200" w:line="240" w:lineRule="auto"/>
              <w:rPr>
                <w:rFonts w:cs="Arial"/>
                <w:szCs w:val="22"/>
              </w:rPr>
            </w:pPr>
            <w:r w:rsidRPr="007F438E">
              <w:rPr>
                <w:rFonts w:cs="Arial"/>
                <w:szCs w:val="22"/>
              </w:rPr>
              <w:t>Mean</w:t>
            </w:r>
          </w:p>
        </w:tc>
        <w:tc>
          <w:tcPr>
            <w:tcW w:w="832" w:type="dxa"/>
            <w:shd w:val="clear" w:color="auto" w:fill="DAE3F8" w:themeFill="accent1" w:themeFillTint="33"/>
            <w:vAlign w:val="center"/>
          </w:tcPr>
          <w:p w14:paraId="3A204E90"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270</w:t>
            </w:r>
          </w:p>
        </w:tc>
        <w:tc>
          <w:tcPr>
            <w:tcW w:w="833" w:type="dxa"/>
            <w:shd w:val="clear" w:color="auto" w:fill="DAE3F8" w:themeFill="accent1" w:themeFillTint="33"/>
            <w:vAlign w:val="center"/>
          </w:tcPr>
          <w:p w14:paraId="0472AF07"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273</w:t>
            </w:r>
          </w:p>
        </w:tc>
        <w:tc>
          <w:tcPr>
            <w:tcW w:w="833" w:type="dxa"/>
            <w:shd w:val="clear" w:color="auto" w:fill="DAE3F8" w:themeFill="accent1" w:themeFillTint="33"/>
            <w:vAlign w:val="center"/>
          </w:tcPr>
          <w:p w14:paraId="3EB1424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275</w:t>
            </w:r>
          </w:p>
        </w:tc>
        <w:tc>
          <w:tcPr>
            <w:tcW w:w="832" w:type="dxa"/>
            <w:shd w:val="clear" w:color="auto" w:fill="DAE3F8" w:themeFill="accent1" w:themeFillTint="33"/>
            <w:vAlign w:val="center"/>
          </w:tcPr>
          <w:p w14:paraId="3149B554"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278</w:t>
            </w:r>
          </w:p>
        </w:tc>
        <w:tc>
          <w:tcPr>
            <w:tcW w:w="833" w:type="dxa"/>
            <w:shd w:val="clear" w:color="auto" w:fill="DAE3F8" w:themeFill="accent1" w:themeFillTint="33"/>
            <w:vAlign w:val="center"/>
          </w:tcPr>
          <w:p w14:paraId="73BE2F2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280</w:t>
            </w:r>
          </w:p>
        </w:tc>
        <w:tc>
          <w:tcPr>
            <w:tcW w:w="833" w:type="dxa"/>
            <w:shd w:val="clear" w:color="auto" w:fill="DAE3F8" w:themeFill="accent1" w:themeFillTint="33"/>
            <w:vAlign w:val="center"/>
          </w:tcPr>
          <w:p w14:paraId="6224E57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283</w:t>
            </w:r>
          </w:p>
        </w:tc>
        <w:tc>
          <w:tcPr>
            <w:tcW w:w="832" w:type="dxa"/>
            <w:shd w:val="clear" w:color="auto" w:fill="DAE3F8" w:themeFill="accent1" w:themeFillTint="33"/>
            <w:vAlign w:val="center"/>
          </w:tcPr>
          <w:p w14:paraId="3C847D92"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285</w:t>
            </w:r>
          </w:p>
        </w:tc>
        <w:tc>
          <w:tcPr>
            <w:tcW w:w="833" w:type="dxa"/>
            <w:shd w:val="clear" w:color="auto" w:fill="DAE3F8" w:themeFill="accent1" w:themeFillTint="33"/>
            <w:vAlign w:val="center"/>
          </w:tcPr>
          <w:p w14:paraId="41D2145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288</w:t>
            </w:r>
          </w:p>
        </w:tc>
        <w:tc>
          <w:tcPr>
            <w:tcW w:w="833" w:type="dxa"/>
            <w:shd w:val="clear" w:color="auto" w:fill="DAE3F8" w:themeFill="accent1" w:themeFillTint="33"/>
            <w:vAlign w:val="center"/>
          </w:tcPr>
          <w:p w14:paraId="33643B2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291</w:t>
            </w:r>
          </w:p>
        </w:tc>
        <w:tc>
          <w:tcPr>
            <w:tcW w:w="833" w:type="dxa"/>
            <w:shd w:val="clear" w:color="auto" w:fill="DAE3F8" w:themeFill="accent1" w:themeFillTint="33"/>
            <w:vAlign w:val="center"/>
          </w:tcPr>
          <w:p w14:paraId="273F362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293</w:t>
            </w:r>
          </w:p>
        </w:tc>
      </w:tr>
      <w:tr w:rsidR="003045E8" w:rsidRPr="001A205B" w14:paraId="69F56ADC" w14:textId="77777777" w:rsidTr="003045E8">
        <w:trPr>
          <w:trHeight w:val="320"/>
        </w:trPr>
        <w:tc>
          <w:tcPr>
            <w:tcW w:w="1620" w:type="dxa"/>
            <w:vMerge/>
          </w:tcPr>
          <w:p w14:paraId="11E4FB03"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vAlign w:val="center"/>
          </w:tcPr>
          <w:p w14:paraId="187E4EAD" w14:textId="77777777" w:rsidR="005F24FE" w:rsidRPr="007F438E" w:rsidRDefault="005F24FE">
            <w:pPr>
              <w:keepNext/>
              <w:keepLines/>
              <w:widowControl w:val="0"/>
              <w:spacing w:after="200" w:line="240" w:lineRule="auto"/>
              <w:rPr>
                <w:rFonts w:cs="Arial"/>
                <w:szCs w:val="22"/>
              </w:rPr>
            </w:pPr>
            <w:r w:rsidRPr="007F438E">
              <w:rPr>
                <w:rFonts w:cs="Arial"/>
                <w:szCs w:val="22"/>
              </w:rPr>
              <w:t>High</w:t>
            </w:r>
          </w:p>
        </w:tc>
        <w:tc>
          <w:tcPr>
            <w:tcW w:w="832" w:type="dxa"/>
            <w:vAlign w:val="center"/>
          </w:tcPr>
          <w:p w14:paraId="409CF93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467 </w:t>
            </w:r>
          </w:p>
        </w:tc>
        <w:tc>
          <w:tcPr>
            <w:tcW w:w="833" w:type="dxa"/>
            <w:vAlign w:val="center"/>
          </w:tcPr>
          <w:p w14:paraId="6112BAC7"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470 </w:t>
            </w:r>
          </w:p>
        </w:tc>
        <w:tc>
          <w:tcPr>
            <w:tcW w:w="833" w:type="dxa"/>
            <w:vAlign w:val="center"/>
          </w:tcPr>
          <w:p w14:paraId="26945CC8"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473 </w:t>
            </w:r>
          </w:p>
        </w:tc>
        <w:tc>
          <w:tcPr>
            <w:tcW w:w="832" w:type="dxa"/>
            <w:vAlign w:val="center"/>
          </w:tcPr>
          <w:p w14:paraId="24B81B22"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476 </w:t>
            </w:r>
          </w:p>
        </w:tc>
        <w:tc>
          <w:tcPr>
            <w:tcW w:w="833" w:type="dxa"/>
            <w:vAlign w:val="center"/>
          </w:tcPr>
          <w:p w14:paraId="45F59CD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479 </w:t>
            </w:r>
          </w:p>
        </w:tc>
        <w:tc>
          <w:tcPr>
            <w:tcW w:w="833" w:type="dxa"/>
            <w:vAlign w:val="center"/>
          </w:tcPr>
          <w:p w14:paraId="7A8F2531"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482 </w:t>
            </w:r>
          </w:p>
        </w:tc>
        <w:tc>
          <w:tcPr>
            <w:tcW w:w="832" w:type="dxa"/>
            <w:vAlign w:val="center"/>
          </w:tcPr>
          <w:p w14:paraId="6092CC60"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485 </w:t>
            </w:r>
          </w:p>
        </w:tc>
        <w:tc>
          <w:tcPr>
            <w:tcW w:w="833" w:type="dxa"/>
            <w:vAlign w:val="center"/>
          </w:tcPr>
          <w:p w14:paraId="7AB7573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488</w:t>
            </w:r>
          </w:p>
        </w:tc>
        <w:tc>
          <w:tcPr>
            <w:tcW w:w="833" w:type="dxa"/>
            <w:vAlign w:val="center"/>
          </w:tcPr>
          <w:p w14:paraId="6699B8B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491 </w:t>
            </w:r>
          </w:p>
        </w:tc>
        <w:tc>
          <w:tcPr>
            <w:tcW w:w="833" w:type="dxa"/>
            <w:vAlign w:val="center"/>
          </w:tcPr>
          <w:p w14:paraId="325109E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494 </w:t>
            </w:r>
          </w:p>
        </w:tc>
      </w:tr>
      <w:tr w:rsidR="003045E8" w:rsidRPr="001A205B" w14:paraId="455E4390" w14:textId="77777777" w:rsidTr="003045E8">
        <w:trPr>
          <w:trHeight w:val="320"/>
        </w:trPr>
        <w:tc>
          <w:tcPr>
            <w:tcW w:w="1620" w:type="dxa"/>
            <w:vMerge w:val="restart"/>
          </w:tcPr>
          <w:p w14:paraId="07115D81" w14:textId="77777777" w:rsidR="005F24FE" w:rsidRPr="001A205B" w:rsidRDefault="005F24FE" w:rsidP="003045E8">
            <w:pPr>
              <w:keepNext/>
              <w:keepLines/>
              <w:widowControl w:val="0"/>
              <w:spacing w:after="200" w:line="240" w:lineRule="auto"/>
              <w:rPr>
                <w:rFonts w:eastAsia="Times New Roman" w:cs="Arial"/>
                <w:b/>
                <w:bCs/>
                <w:sz w:val="20"/>
                <w:szCs w:val="20"/>
                <w:lang w:eastAsia="en-AU"/>
              </w:rPr>
            </w:pPr>
            <w:r w:rsidRPr="001A205B">
              <w:rPr>
                <w:rFonts w:eastAsia="Times New Roman" w:cs="Arial"/>
                <w:b/>
                <w:bCs/>
                <w:sz w:val="20"/>
                <w:szCs w:val="20"/>
                <w:lang w:eastAsia="en-AU"/>
              </w:rPr>
              <w:t>Formaldehyde</w:t>
            </w:r>
          </w:p>
        </w:tc>
        <w:tc>
          <w:tcPr>
            <w:tcW w:w="1064" w:type="dxa"/>
            <w:shd w:val="clear" w:color="auto" w:fill="DAE3F8" w:themeFill="accent1" w:themeFillTint="33"/>
            <w:vAlign w:val="center"/>
          </w:tcPr>
          <w:p w14:paraId="403CE0B3" w14:textId="77777777" w:rsidR="005F24FE" w:rsidRPr="007F438E" w:rsidRDefault="005F24FE">
            <w:pPr>
              <w:keepNext/>
              <w:keepLines/>
              <w:widowControl w:val="0"/>
              <w:spacing w:after="200" w:line="240" w:lineRule="auto"/>
              <w:rPr>
                <w:rFonts w:cs="Arial"/>
                <w:szCs w:val="22"/>
              </w:rPr>
            </w:pPr>
            <w:r w:rsidRPr="007F438E">
              <w:rPr>
                <w:rFonts w:cs="Arial"/>
                <w:szCs w:val="22"/>
              </w:rPr>
              <w:t>Low</w:t>
            </w:r>
          </w:p>
        </w:tc>
        <w:tc>
          <w:tcPr>
            <w:tcW w:w="832" w:type="dxa"/>
            <w:shd w:val="clear" w:color="auto" w:fill="DAE3F8" w:themeFill="accent1" w:themeFillTint="33"/>
            <w:vAlign w:val="center"/>
          </w:tcPr>
          <w:p w14:paraId="7A850DC3"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23 </w:t>
            </w:r>
          </w:p>
        </w:tc>
        <w:tc>
          <w:tcPr>
            <w:tcW w:w="833" w:type="dxa"/>
            <w:shd w:val="clear" w:color="auto" w:fill="DAE3F8" w:themeFill="accent1" w:themeFillTint="33"/>
            <w:vAlign w:val="center"/>
          </w:tcPr>
          <w:p w14:paraId="5D6DF0C4"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23 </w:t>
            </w:r>
          </w:p>
        </w:tc>
        <w:tc>
          <w:tcPr>
            <w:tcW w:w="833" w:type="dxa"/>
            <w:shd w:val="clear" w:color="auto" w:fill="DAE3F8" w:themeFill="accent1" w:themeFillTint="33"/>
            <w:vAlign w:val="center"/>
          </w:tcPr>
          <w:p w14:paraId="5DBA8404"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23 </w:t>
            </w:r>
          </w:p>
        </w:tc>
        <w:tc>
          <w:tcPr>
            <w:tcW w:w="832" w:type="dxa"/>
            <w:shd w:val="clear" w:color="auto" w:fill="DAE3F8" w:themeFill="accent1" w:themeFillTint="33"/>
            <w:vAlign w:val="center"/>
          </w:tcPr>
          <w:p w14:paraId="57676E1C"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3" w:type="dxa"/>
            <w:shd w:val="clear" w:color="auto" w:fill="DAE3F8" w:themeFill="accent1" w:themeFillTint="33"/>
            <w:vAlign w:val="center"/>
          </w:tcPr>
          <w:p w14:paraId="35F80E2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3" w:type="dxa"/>
            <w:shd w:val="clear" w:color="auto" w:fill="DAE3F8" w:themeFill="accent1" w:themeFillTint="33"/>
            <w:vAlign w:val="center"/>
          </w:tcPr>
          <w:p w14:paraId="0843A9D1"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2" w:type="dxa"/>
            <w:shd w:val="clear" w:color="auto" w:fill="DAE3F8" w:themeFill="accent1" w:themeFillTint="33"/>
            <w:vAlign w:val="center"/>
          </w:tcPr>
          <w:p w14:paraId="26D65A8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3" w:type="dxa"/>
            <w:shd w:val="clear" w:color="auto" w:fill="DAE3F8" w:themeFill="accent1" w:themeFillTint="33"/>
            <w:vAlign w:val="center"/>
          </w:tcPr>
          <w:p w14:paraId="085B5E83"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3" w:type="dxa"/>
            <w:shd w:val="clear" w:color="auto" w:fill="DAE3F8" w:themeFill="accent1" w:themeFillTint="33"/>
            <w:vAlign w:val="center"/>
          </w:tcPr>
          <w:p w14:paraId="344571E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24 </w:t>
            </w:r>
          </w:p>
        </w:tc>
        <w:tc>
          <w:tcPr>
            <w:tcW w:w="833" w:type="dxa"/>
            <w:shd w:val="clear" w:color="auto" w:fill="DAE3F8" w:themeFill="accent1" w:themeFillTint="33"/>
            <w:vAlign w:val="center"/>
          </w:tcPr>
          <w:p w14:paraId="67305CA0"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24</w:t>
            </w:r>
          </w:p>
        </w:tc>
      </w:tr>
      <w:tr w:rsidR="003045E8" w:rsidRPr="001A205B" w14:paraId="2221B91A" w14:textId="77777777" w:rsidTr="003045E8">
        <w:trPr>
          <w:trHeight w:val="320"/>
        </w:trPr>
        <w:tc>
          <w:tcPr>
            <w:tcW w:w="1620" w:type="dxa"/>
            <w:vMerge/>
          </w:tcPr>
          <w:p w14:paraId="4C52B232"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vAlign w:val="center"/>
          </w:tcPr>
          <w:p w14:paraId="1B8AFB90" w14:textId="77777777" w:rsidR="005F24FE" w:rsidRPr="007F438E" w:rsidRDefault="005F24FE">
            <w:pPr>
              <w:keepNext/>
              <w:keepLines/>
              <w:widowControl w:val="0"/>
              <w:spacing w:after="200" w:line="240" w:lineRule="auto"/>
              <w:rPr>
                <w:rFonts w:cs="Arial"/>
                <w:szCs w:val="22"/>
              </w:rPr>
            </w:pPr>
            <w:r w:rsidRPr="007F438E">
              <w:rPr>
                <w:rFonts w:cs="Arial"/>
                <w:szCs w:val="22"/>
              </w:rPr>
              <w:t>Mean</w:t>
            </w:r>
          </w:p>
        </w:tc>
        <w:tc>
          <w:tcPr>
            <w:tcW w:w="832" w:type="dxa"/>
            <w:vAlign w:val="center"/>
          </w:tcPr>
          <w:p w14:paraId="3DE17D28"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w:t>
            </w:r>
          </w:p>
        </w:tc>
        <w:tc>
          <w:tcPr>
            <w:tcW w:w="833" w:type="dxa"/>
            <w:vAlign w:val="center"/>
          </w:tcPr>
          <w:p w14:paraId="0E8B4A11"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28</w:t>
            </w:r>
          </w:p>
        </w:tc>
        <w:tc>
          <w:tcPr>
            <w:tcW w:w="833" w:type="dxa"/>
            <w:vAlign w:val="center"/>
          </w:tcPr>
          <w:p w14:paraId="10A51C2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w:t>
            </w:r>
          </w:p>
        </w:tc>
        <w:tc>
          <w:tcPr>
            <w:tcW w:w="832" w:type="dxa"/>
            <w:vAlign w:val="center"/>
          </w:tcPr>
          <w:p w14:paraId="2936FEC8"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w:t>
            </w:r>
          </w:p>
        </w:tc>
        <w:tc>
          <w:tcPr>
            <w:tcW w:w="833" w:type="dxa"/>
            <w:vAlign w:val="center"/>
          </w:tcPr>
          <w:p w14:paraId="3DD911F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w:t>
            </w:r>
          </w:p>
        </w:tc>
        <w:tc>
          <w:tcPr>
            <w:tcW w:w="833" w:type="dxa"/>
            <w:vAlign w:val="center"/>
          </w:tcPr>
          <w:p w14:paraId="4B937D0F"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w:t>
            </w:r>
          </w:p>
        </w:tc>
        <w:tc>
          <w:tcPr>
            <w:tcW w:w="832" w:type="dxa"/>
            <w:vAlign w:val="center"/>
          </w:tcPr>
          <w:p w14:paraId="74318F19"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29</w:t>
            </w:r>
          </w:p>
        </w:tc>
        <w:tc>
          <w:tcPr>
            <w:tcW w:w="833" w:type="dxa"/>
            <w:vAlign w:val="center"/>
          </w:tcPr>
          <w:p w14:paraId="2C4BAC71"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30</w:t>
            </w:r>
          </w:p>
        </w:tc>
        <w:tc>
          <w:tcPr>
            <w:tcW w:w="833" w:type="dxa"/>
            <w:vAlign w:val="center"/>
          </w:tcPr>
          <w:p w14:paraId="6E23365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30</w:t>
            </w:r>
          </w:p>
        </w:tc>
        <w:tc>
          <w:tcPr>
            <w:tcW w:w="833" w:type="dxa"/>
            <w:vAlign w:val="center"/>
          </w:tcPr>
          <w:p w14:paraId="57E90997"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30</w:t>
            </w:r>
          </w:p>
        </w:tc>
      </w:tr>
      <w:tr w:rsidR="003045E8" w:rsidRPr="001A205B" w14:paraId="657A9EDB" w14:textId="77777777" w:rsidTr="003045E8">
        <w:trPr>
          <w:trHeight w:val="320"/>
        </w:trPr>
        <w:tc>
          <w:tcPr>
            <w:tcW w:w="1620" w:type="dxa"/>
            <w:vMerge/>
          </w:tcPr>
          <w:p w14:paraId="02C6ECB8"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shd w:val="clear" w:color="auto" w:fill="DAE3F8" w:themeFill="accent1" w:themeFillTint="33"/>
            <w:vAlign w:val="center"/>
          </w:tcPr>
          <w:p w14:paraId="24741341" w14:textId="77777777" w:rsidR="005F24FE" w:rsidRPr="007F438E" w:rsidRDefault="005F24FE">
            <w:pPr>
              <w:keepNext/>
              <w:keepLines/>
              <w:widowControl w:val="0"/>
              <w:spacing w:after="200" w:line="240" w:lineRule="auto"/>
              <w:rPr>
                <w:rFonts w:cs="Arial"/>
                <w:szCs w:val="22"/>
              </w:rPr>
            </w:pPr>
            <w:r w:rsidRPr="007F438E">
              <w:rPr>
                <w:rFonts w:cs="Arial"/>
                <w:szCs w:val="22"/>
              </w:rPr>
              <w:t>High</w:t>
            </w:r>
          </w:p>
        </w:tc>
        <w:tc>
          <w:tcPr>
            <w:tcW w:w="832" w:type="dxa"/>
            <w:shd w:val="clear" w:color="auto" w:fill="DAE3F8" w:themeFill="accent1" w:themeFillTint="33"/>
            <w:vAlign w:val="center"/>
          </w:tcPr>
          <w:p w14:paraId="1413783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34 </w:t>
            </w:r>
          </w:p>
        </w:tc>
        <w:tc>
          <w:tcPr>
            <w:tcW w:w="833" w:type="dxa"/>
            <w:shd w:val="clear" w:color="auto" w:fill="DAE3F8" w:themeFill="accent1" w:themeFillTint="33"/>
            <w:vAlign w:val="center"/>
          </w:tcPr>
          <w:p w14:paraId="49F87B8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34 </w:t>
            </w:r>
          </w:p>
        </w:tc>
        <w:tc>
          <w:tcPr>
            <w:tcW w:w="833" w:type="dxa"/>
            <w:shd w:val="clear" w:color="auto" w:fill="DAE3F8" w:themeFill="accent1" w:themeFillTint="33"/>
            <w:vAlign w:val="center"/>
          </w:tcPr>
          <w:p w14:paraId="5CA89D53"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34.2 </w:t>
            </w:r>
          </w:p>
        </w:tc>
        <w:tc>
          <w:tcPr>
            <w:tcW w:w="832" w:type="dxa"/>
            <w:shd w:val="clear" w:color="auto" w:fill="DAE3F8" w:themeFill="accent1" w:themeFillTint="33"/>
            <w:vAlign w:val="center"/>
          </w:tcPr>
          <w:p w14:paraId="4BA84F78"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35 </w:t>
            </w:r>
          </w:p>
        </w:tc>
        <w:tc>
          <w:tcPr>
            <w:tcW w:w="833" w:type="dxa"/>
            <w:shd w:val="clear" w:color="auto" w:fill="DAE3F8" w:themeFill="accent1" w:themeFillTint="33"/>
            <w:vAlign w:val="center"/>
          </w:tcPr>
          <w:p w14:paraId="12FD9207"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35 </w:t>
            </w:r>
          </w:p>
        </w:tc>
        <w:tc>
          <w:tcPr>
            <w:tcW w:w="833" w:type="dxa"/>
            <w:shd w:val="clear" w:color="auto" w:fill="DAE3F8" w:themeFill="accent1" w:themeFillTint="33"/>
            <w:vAlign w:val="center"/>
          </w:tcPr>
          <w:p w14:paraId="24D7CB72"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35 </w:t>
            </w:r>
          </w:p>
        </w:tc>
        <w:tc>
          <w:tcPr>
            <w:tcW w:w="832" w:type="dxa"/>
            <w:shd w:val="clear" w:color="auto" w:fill="DAE3F8" w:themeFill="accent1" w:themeFillTint="33"/>
            <w:vAlign w:val="center"/>
          </w:tcPr>
          <w:p w14:paraId="05A49109"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36 </w:t>
            </w:r>
          </w:p>
        </w:tc>
        <w:tc>
          <w:tcPr>
            <w:tcW w:w="833" w:type="dxa"/>
            <w:shd w:val="clear" w:color="auto" w:fill="DAE3F8" w:themeFill="accent1" w:themeFillTint="33"/>
            <w:vAlign w:val="center"/>
          </w:tcPr>
          <w:p w14:paraId="155CB7B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36 </w:t>
            </w:r>
          </w:p>
        </w:tc>
        <w:tc>
          <w:tcPr>
            <w:tcW w:w="833" w:type="dxa"/>
            <w:shd w:val="clear" w:color="auto" w:fill="DAE3F8" w:themeFill="accent1" w:themeFillTint="33"/>
            <w:vAlign w:val="center"/>
          </w:tcPr>
          <w:p w14:paraId="2101098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36 </w:t>
            </w:r>
          </w:p>
        </w:tc>
        <w:tc>
          <w:tcPr>
            <w:tcW w:w="833" w:type="dxa"/>
            <w:shd w:val="clear" w:color="auto" w:fill="DAE3F8" w:themeFill="accent1" w:themeFillTint="33"/>
            <w:vAlign w:val="center"/>
          </w:tcPr>
          <w:p w14:paraId="3FD83BC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36</w:t>
            </w:r>
          </w:p>
        </w:tc>
      </w:tr>
      <w:tr w:rsidR="003045E8" w:rsidRPr="005970B5" w14:paraId="20058823" w14:textId="77777777" w:rsidTr="003045E8">
        <w:trPr>
          <w:trHeight w:val="320"/>
        </w:trPr>
        <w:tc>
          <w:tcPr>
            <w:tcW w:w="1620" w:type="dxa"/>
            <w:vMerge w:val="restart"/>
          </w:tcPr>
          <w:p w14:paraId="2C2D15AC" w14:textId="77777777" w:rsidR="005F24FE" w:rsidRPr="005970B5" w:rsidRDefault="005F24FE">
            <w:pPr>
              <w:keepNext/>
              <w:keepLines/>
              <w:widowControl w:val="0"/>
              <w:spacing w:after="200" w:line="240" w:lineRule="auto"/>
              <w:rPr>
                <w:rFonts w:eastAsia="Times New Roman" w:cs="Arial"/>
                <w:b/>
                <w:bCs/>
                <w:sz w:val="20"/>
                <w:szCs w:val="20"/>
                <w:lang w:eastAsia="en-AU"/>
              </w:rPr>
            </w:pPr>
            <w:r w:rsidRPr="001A205B">
              <w:rPr>
                <w:rFonts w:eastAsia="Times New Roman" w:cs="Arial"/>
                <w:b/>
                <w:bCs/>
                <w:sz w:val="20"/>
                <w:szCs w:val="20"/>
                <w:lang w:eastAsia="en-AU"/>
              </w:rPr>
              <w:t>RCS</w:t>
            </w:r>
          </w:p>
        </w:tc>
        <w:tc>
          <w:tcPr>
            <w:tcW w:w="1064" w:type="dxa"/>
            <w:vAlign w:val="center"/>
          </w:tcPr>
          <w:p w14:paraId="58A5205B" w14:textId="77777777" w:rsidR="005F24FE" w:rsidRPr="007F438E" w:rsidRDefault="005F24FE">
            <w:pPr>
              <w:keepNext/>
              <w:keepLines/>
              <w:widowControl w:val="0"/>
              <w:spacing w:after="200" w:line="240" w:lineRule="auto"/>
              <w:rPr>
                <w:rFonts w:cs="Arial"/>
                <w:szCs w:val="22"/>
              </w:rPr>
            </w:pPr>
            <w:r w:rsidRPr="007F438E">
              <w:rPr>
                <w:rFonts w:cs="Arial"/>
                <w:szCs w:val="22"/>
              </w:rPr>
              <w:t>Low</w:t>
            </w:r>
          </w:p>
        </w:tc>
        <w:tc>
          <w:tcPr>
            <w:tcW w:w="832" w:type="dxa"/>
            <w:vAlign w:val="center"/>
          </w:tcPr>
          <w:p w14:paraId="51D717B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2,003 </w:t>
            </w:r>
          </w:p>
        </w:tc>
        <w:tc>
          <w:tcPr>
            <w:tcW w:w="833" w:type="dxa"/>
            <w:vAlign w:val="center"/>
          </w:tcPr>
          <w:p w14:paraId="43B61E2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2,038 </w:t>
            </w:r>
          </w:p>
        </w:tc>
        <w:tc>
          <w:tcPr>
            <w:tcW w:w="833" w:type="dxa"/>
            <w:vAlign w:val="center"/>
          </w:tcPr>
          <w:p w14:paraId="3CAF8101"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2,073 </w:t>
            </w:r>
          </w:p>
        </w:tc>
        <w:tc>
          <w:tcPr>
            <w:tcW w:w="832" w:type="dxa"/>
            <w:vAlign w:val="center"/>
          </w:tcPr>
          <w:p w14:paraId="33F4DE1A"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2,110 </w:t>
            </w:r>
          </w:p>
        </w:tc>
        <w:tc>
          <w:tcPr>
            <w:tcW w:w="833" w:type="dxa"/>
            <w:vAlign w:val="center"/>
          </w:tcPr>
          <w:p w14:paraId="53F96402"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2,147 </w:t>
            </w:r>
          </w:p>
        </w:tc>
        <w:tc>
          <w:tcPr>
            <w:tcW w:w="833" w:type="dxa"/>
            <w:vAlign w:val="center"/>
          </w:tcPr>
          <w:p w14:paraId="217E9564"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2,184 </w:t>
            </w:r>
          </w:p>
        </w:tc>
        <w:tc>
          <w:tcPr>
            <w:tcW w:w="832" w:type="dxa"/>
            <w:vAlign w:val="center"/>
          </w:tcPr>
          <w:p w14:paraId="1035F00D"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2,222 </w:t>
            </w:r>
          </w:p>
        </w:tc>
        <w:tc>
          <w:tcPr>
            <w:tcW w:w="833" w:type="dxa"/>
            <w:vAlign w:val="center"/>
          </w:tcPr>
          <w:p w14:paraId="0046EA9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2,261 </w:t>
            </w:r>
          </w:p>
        </w:tc>
        <w:tc>
          <w:tcPr>
            <w:tcW w:w="833" w:type="dxa"/>
            <w:vAlign w:val="center"/>
          </w:tcPr>
          <w:p w14:paraId="3BA2110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2,301 </w:t>
            </w:r>
          </w:p>
        </w:tc>
        <w:tc>
          <w:tcPr>
            <w:tcW w:w="833" w:type="dxa"/>
            <w:vAlign w:val="center"/>
          </w:tcPr>
          <w:p w14:paraId="5373E42E" w14:textId="77777777" w:rsidR="005F24FE" w:rsidRPr="005970B5"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2,341 </w:t>
            </w:r>
          </w:p>
        </w:tc>
      </w:tr>
      <w:tr w:rsidR="003045E8" w:rsidRPr="001A205B" w14:paraId="4347DFC2" w14:textId="77777777" w:rsidTr="003045E8">
        <w:trPr>
          <w:trHeight w:val="313"/>
        </w:trPr>
        <w:tc>
          <w:tcPr>
            <w:tcW w:w="1620" w:type="dxa"/>
            <w:vMerge/>
          </w:tcPr>
          <w:p w14:paraId="0F446EE0"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shd w:val="clear" w:color="auto" w:fill="DAE3F8" w:themeFill="accent1" w:themeFillTint="33"/>
            <w:vAlign w:val="center"/>
          </w:tcPr>
          <w:p w14:paraId="4F5E37C7" w14:textId="77777777" w:rsidR="005F24FE" w:rsidRPr="007F438E" w:rsidRDefault="005F24FE">
            <w:pPr>
              <w:keepNext/>
              <w:keepLines/>
              <w:widowControl w:val="0"/>
              <w:spacing w:after="200" w:line="240" w:lineRule="auto"/>
              <w:rPr>
                <w:rFonts w:cs="Arial"/>
                <w:szCs w:val="22"/>
              </w:rPr>
            </w:pPr>
            <w:r w:rsidRPr="007F438E">
              <w:rPr>
                <w:rFonts w:cs="Arial"/>
                <w:szCs w:val="22"/>
              </w:rPr>
              <w:t>Mean</w:t>
            </w:r>
          </w:p>
        </w:tc>
        <w:tc>
          <w:tcPr>
            <w:tcW w:w="832" w:type="dxa"/>
            <w:shd w:val="clear" w:color="auto" w:fill="DAE3F8" w:themeFill="accent1" w:themeFillTint="33"/>
            <w:vAlign w:val="center"/>
          </w:tcPr>
          <w:p w14:paraId="6C8EB42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7,421</w:t>
            </w:r>
          </w:p>
        </w:tc>
        <w:tc>
          <w:tcPr>
            <w:tcW w:w="833" w:type="dxa"/>
            <w:shd w:val="clear" w:color="auto" w:fill="DAE3F8" w:themeFill="accent1" w:themeFillTint="33"/>
            <w:vAlign w:val="center"/>
          </w:tcPr>
          <w:p w14:paraId="39A2BE8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7,550</w:t>
            </w:r>
          </w:p>
        </w:tc>
        <w:tc>
          <w:tcPr>
            <w:tcW w:w="833" w:type="dxa"/>
            <w:shd w:val="clear" w:color="auto" w:fill="DAE3F8" w:themeFill="accent1" w:themeFillTint="33"/>
            <w:vAlign w:val="center"/>
          </w:tcPr>
          <w:p w14:paraId="3373D98C"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7,681</w:t>
            </w:r>
          </w:p>
        </w:tc>
        <w:tc>
          <w:tcPr>
            <w:tcW w:w="832" w:type="dxa"/>
            <w:shd w:val="clear" w:color="auto" w:fill="DAE3F8" w:themeFill="accent1" w:themeFillTint="33"/>
            <w:vAlign w:val="center"/>
          </w:tcPr>
          <w:p w14:paraId="7E6D928B"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7,814</w:t>
            </w:r>
          </w:p>
        </w:tc>
        <w:tc>
          <w:tcPr>
            <w:tcW w:w="833" w:type="dxa"/>
            <w:shd w:val="clear" w:color="auto" w:fill="DAE3F8" w:themeFill="accent1" w:themeFillTint="33"/>
            <w:vAlign w:val="center"/>
          </w:tcPr>
          <w:p w14:paraId="4C9BD1A9"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7,950</w:t>
            </w:r>
          </w:p>
        </w:tc>
        <w:tc>
          <w:tcPr>
            <w:tcW w:w="833" w:type="dxa"/>
            <w:shd w:val="clear" w:color="auto" w:fill="DAE3F8" w:themeFill="accent1" w:themeFillTint="33"/>
            <w:vAlign w:val="center"/>
          </w:tcPr>
          <w:p w14:paraId="10C72148"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8,088</w:t>
            </w:r>
          </w:p>
        </w:tc>
        <w:tc>
          <w:tcPr>
            <w:tcW w:w="832" w:type="dxa"/>
            <w:shd w:val="clear" w:color="auto" w:fill="DAE3F8" w:themeFill="accent1" w:themeFillTint="33"/>
            <w:vAlign w:val="center"/>
          </w:tcPr>
          <w:p w14:paraId="42547550"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8,228</w:t>
            </w:r>
          </w:p>
        </w:tc>
        <w:tc>
          <w:tcPr>
            <w:tcW w:w="833" w:type="dxa"/>
            <w:shd w:val="clear" w:color="auto" w:fill="DAE3F8" w:themeFill="accent1" w:themeFillTint="33"/>
            <w:vAlign w:val="center"/>
          </w:tcPr>
          <w:p w14:paraId="3D2553B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8,371</w:t>
            </w:r>
          </w:p>
        </w:tc>
        <w:tc>
          <w:tcPr>
            <w:tcW w:w="833" w:type="dxa"/>
            <w:shd w:val="clear" w:color="auto" w:fill="DAE3F8" w:themeFill="accent1" w:themeFillTint="33"/>
            <w:vAlign w:val="center"/>
          </w:tcPr>
          <w:p w14:paraId="5C0911D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8,516</w:t>
            </w:r>
          </w:p>
        </w:tc>
        <w:tc>
          <w:tcPr>
            <w:tcW w:w="833" w:type="dxa"/>
            <w:shd w:val="clear" w:color="auto" w:fill="DAE3F8" w:themeFill="accent1" w:themeFillTint="33"/>
            <w:vAlign w:val="center"/>
          </w:tcPr>
          <w:p w14:paraId="62FDF25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8,664</w:t>
            </w:r>
          </w:p>
        </w:tc>
      </w:tr>
      <w:tr w:rsidR="003045E8" w:rsidRPr="001A205B" w14:paraId="5C574E39" w14:textId="77777777" w:rsidTr="003045E8">
        <w:trPr>
          <w:trHeight w:val="313"/>
        </w:trPr>
        <w:tc>
          <w:tcPr>
            <w:tcW w:w="1620" w:type="dxa"/>
            <w:vMerge/>
          </w:tcPr>
          <w:p w14:paraId="375FE6A0" w14:textId="77777777" w:rsidR="005F24FE" w:rsidRDefault="005F24FE">
            <w:pPr>
              <w:keepNext/>
              <w:keepLines/>
              <w:widowControl w:val="0"/>
              <w:spacing w:after="200" w:line="240" w:lineRule="auto"/>
              <w:rPr>
                <w:rFonts w:eastAsia="Times New Roman" w:cs="Arial"/>
                <w:b/>
                <w:bCs/>
                <w:szCs w:val="22"/>
                <w:lang w:eastAsia="en-AU"/>
              </w:rPr>
            </w:pPr>
          </w:p>
        </w:tc>
        <w:tc>
          <w:tcPr>
            <w:tcW w:w="1064" w:type="dxa"/>
            <w:vAlign w:val="center"/>
          </w:tcPr>
          <w:p w14:paraId="751F5719" w14:textId="77777777" w:rsidR="005F24FE" w:rsidRPr="007F438E" w:rsidRDefault="005F24FE">
            <w:pPr>
              <w:keepNext/>
              <w:keepLines/>
              <w:widowControl w:val="0"/>
              <w:spacing w:after="200" w:line="240" w:lineRule="auto"/>
              <w:rPr>
                <w:rFonts w:cs="Arial"/>
                <w:szCs w:val="22"/>
              </w:rPr>
            </w:pPr>
            <w:r w:rsidRPr="007F438E">
              <w:rPr>
                <w:rFonts w:cs="Arial"/>
                <w:szCs w:val="22"/>
              </w:rPr>
              <w:t>High</w:t>
            </w:r>
          </w:p>
        </w:tc>
        <w:tc>
          <w:tcPr>
            <w:tcW w:w="832" w:type="dxa"/>
            <w:vAlign w:val="center"/>
          </w:tcPr>
          <w:p w14:paraId="4E5D4527"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12,550 </w:t>
            </w:r>
          </w:p>
        </w:tc>
        <w:tc>
          <w:tcPr>
            <w:tcW w:w="833" w:type="dxa"/>
            <w:vAlign w:val="center"/>
          </w:tcPr>
          <w:p w14:paraId="6B32D8BC"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12,769 </w:t>
            </w:r>
          </w:p>
        </w:tc>
        <w:tc>
          <w:tcPr>
            <w:tcW w:w="833" w:type="dxa"/>
            <w:vAlign w:val="center"/>
          </w:tcPr>
          <w:p w14:paraId="18B18FE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12,992 </w:t>
            </w:r>
          </w:p>
        </w:tc>
        <w:tc>
          <w:tcPr>
            <w:tcW w:w="832" w:type="dxa"/>
            <w:vAlign w:val="center"/>
          </w:tcPr>
          <w:p w14:paraId="6EEA17BC"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13,219 </w:t>
            </w:r>
          </w:p>
        </w:tc>
        <w:tc>
          <w:tcPr>
            <w:tcW w:w="833" w:type="dxa"/>
            <w:vAlign w:val="center"/>
          </w:tcPr>
          <w:p w14:paraId="259D7572"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13,449 </w:t>
            </w:r>
          </w:p>
        </w:tc>
        <w:tc>
          <w:tcPr>
            <w:tcW w:w="833" w:type="dxa"/>
            <w:vAlign w:val="center"/>
          </w:tcPr>
          <w:p w14:paraId="24AF4A7E"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13,684 </w:t>
            </w:r>
          </w:p>
        </w:tc>
        <w:tc>
          <w:tcPr>
            <w:tcW w:w="832" w:type="dxa"/>
            <w:vAlign w:val="center"/>
          </w:tcPr>
          <w:p w14:paraId="73C98076"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13,922 </w:t>
            </w:r>
          </w:p>
        </w:tc>
        <w:tc>
          <w:tcPr>
            <w:tcW w:w="833" w:type="dxa"/>
            <w:vAlign w:val="center"/>
          </w:tcPr>
          <w:p w14:paraId="14523405"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14,165 </w:t>
            </w:r>
          </w:p>
        </w:tc>
        <w:tc>
          <w:tcPr>
            <w:tcW w:w="833" w:type="dxa"/>
            <w:vAlign w:val="center"/>
          </w:tcPr>
          <w:p w14:paraId="30A24EC0"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14,412 </w:t>
            </w:r>
          </w:p>
        </w:tc>
        <w:tc>
          <w:tcPr>
            <w:tcW w:w="833" w:type="dxa"/>
            <w:vAlign w:val="center"/>
          </w:tcPr>
          <w:p w14:paraId="5DB3F8A9" w14:textId="77777777" w:rsidR="005F24FE" w:rsidRPr="001A205B" w:rsidRDefault="005F24FE">
            <w:pPr>
              <w:keepNext/>
              <w:keepLines/>
              <w:widowControl w:val="0"/>
              <w:spacing w:after="200" w:line="240" w:lineRule="auto"/>
              <w:jc w:val="right"/>
              <w:rPr>
                <w:rFonts w:eastAsia="Times New Roman" w:cs="Arial"/>
                <w:sz w:val="20"/>
                <w:szCs w:val="20"/>
                <w:lang w:eastAsia="en-AU"/>
              </w:rPr>
            </w:pPr>
            <w:r w:rsidRPr="001A205B">
              <w:rPr>
                <w:rFonts w:cs="Arial"/>
                <w:sz w:val="20"/>
                <w:szCs w:val="20"/>
              </w:rPr>
              <w:t xml:space="preserve">14,664 </w:t>
            </w:r>
          </w:p>
        </w:tc>
      </w:tr>
    </w:tbl>
    <w:p w14:paraId="12F702C6" w14:textId="77777777" w:rsidR="001938EE" w:rsidRDefault="001938EE" w:rsidP="000B2640">
      <w:pPr>
        <w:spacing w:after="160"/>
        <w:rPr>
          <w:rFonts w:eastAsia="Times New Roman" w:cs="Arial"/>
          <w:szCs w:val="22"/>
          <w:lang w:eastAsia="en-AU"/>
        </w:rPr>
      </w:pPr>
    </w:p>
    <w:p w14:paraId="44B3378A" w14:textId="1474D24A" w:rsidR="0072683F" w:rsidRDefault="00246783" w:rsidP="00B3532F">
      <w:pPr>
        <w:spacing w:before="240" w:after="160"/>
        <w:contextualSpacing w:val="0"/>
      </w:pPr>
      <w:r w:rsidRPr="00D97910">
        <w:rPr>
          <w:rFonts w:cs="Arial"/>
          <w:szCs w:val="22"/>
          <w:lang w:eastAsia="en-AU"/>
        </w:rPr>
        <w:lastRenderedPageBreak/>
        <w:t>The inputs, parameters and methodology used to estimate this benefit are presented in</w:t>
      </w:r>
      <w:r w:rsidR="00F25744">
        <w:rPr>
          <w:rFonts w:cs="Arial"/>
          <w:szCs w:val="22"/>
          <w:lang w:eastAsia="en-AU"/>
        </w:rPr>
        <w:t xml:space="preserve"> </w:t>
      </w:r>
      <w:r w:rsidR="00F25744">
        <w:rPr>
          <w:rFonts w:cs="Arial"/>
          <w:szCs w:val="22"/>
          <w:lang w:eastAsia="en-AU"/>
        </w:rPr>
        <w:fldChar w:fldCharType="begin"/>
      </w:r>
      <w:r w:rsidR="00F25744">
        <w:rPr>
          <w:rFonts w:cs="Arial"/>
          <w:szCs w:val="22"/>
          <w:lang w:eastAsia="en-AU"/>
        </w:rPr>
        <w:instrText xml:space="preserve"> REF _Ref216792998 \h </w:instrText>
      </w:r>
      <w:r w:rsidR="00F25744">
        <w:rPr>
          <w:rFonts w:cs="Arial"/>
          <w:szCs w:val="22"/>
          <w:lang w:eastAsia="en-AU"/>
        </w:rPr>
      </w:r>
      <w:r w:rsidR="00F25744">
        <w:rPr>
          <w:rFonts w:cs="Arial"/>
          <w:szCs w:val="22"/>
          <w:lang w:eastAsia="en-AU"/>
        </w:rPr>
        <w:fldChar w:fldCharType="separate"/>
      </w:r>
      <w:r w:rsidR="00A002F4">
        <w:t xml:space="preserve">Table </w:t>
      </w:r>
      <w:r w:rsidR="00A002F4">
        <w:rPr>
          <w:noProof/>
        </w:rPr>
        <w:t>57</w:t>
      </w:r>
      <w:r w:rsidR="00F25744">
        <w:rPr>
          <w:rFonts w:cs="Arial"/>
          <w:szCs w:val="22"/>
          <w:lang w:eastAsia="en-AU"/>
        </w:rPr>
        <w:fldChar w:fldCharType="end"/>
      </w:r>
      <w:r w:rsidRPr="005C28B0">
        <w:rPr>
          <w:rFonts w:cs="Arial"/>
          <w:szCs w:val="22"/>
          <w:lang w:eastAsia="en-AU"/>
        </w:rPr>
        <w:t>.</w:t>
      </w:r>
    </w:p>
    <w:p w14:paraId="32560F57" w14:textId="1C457158" w:rsidR="00F25744" w:rsidRDefault="00F25744" w:rsidP="00B3532F">
      <w:pPr>
        <w:pStyle w:val="Caption"/>
      </w:pPr>
      <w:bookmarkStart w:id="692" w:name="_Ref216792998"/>
      <w:r>
        <w:t xml:space="preserve">Table </w:t>
      </w:r>
      <w:fldSimple w:instr=" SEQ Table \* ARABIC ">
        <w:r w:rsidR="00A002F4">
          <w:rPr>
            <w:noProof/>
          </w:rPr>
          <w:t>57</w:t>
        </w:r>
      </w:fldSimple>
      <w:bookmarkEnd w:id="692"/>
      <w:r>
        <w:t xml:space="preserve"> - </w:t>
      </w:r>
      <w:r w:rsidRPr="00501987">
        <w:t>Inputs, parameters and methodology used to estimate the reduced years of life lost due to occupational disease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246783" w:rsidRPr="002A1131" w14:paraId="0BA87306" w14:textId="77777777" w:rsidTr="005B52BA">
        <w:trPr>
          <w:trHeight w:val="265"/>
        </w:trPr>
        <w:tc>
          <w:tcPr>
            <w:tcW w:w="1980" w:type="dxa"/>
            <w:shd w:val="clear" w:color="auto" w:fill="4877E0" w:themeFill="accent1"/>
          </w:tcPr>
          <w:p w14:paraId="6D1383AE" w14:textId="77777777" w:rsidR="00246783" w:rsidRPr="003635A7" w:rsidRDefault="00246783" w:rsidP="00884472">
            <w:pPr>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Inputs</w:t>
            </w:r>
          </w:p>
        </w:tc>
        <w:tc>
          <w:tcPr>
            <w:tcW w:w="7438" w:type="dxa"/>
          </w:tcPr>
          <w:p w14:paraId="20AF99B5" w14:textId="33C424D7" w:rsidR="00246783" w:rsidRPr="002A1131" w:rsidRDefault="00246783">
            <w:pPr>
              <w:spacing w:after="160"/>
              <w:rPr>
                <w:rFonts w:eastAsia="Arial" w:cs="Arial"/>
                <w:szCs w:val="22"/>
                <w:lang w:eastAsia="en-AU"/>
              </w:rPr>
            </w:pPr>
            <w:r w:rsidRPr="00D97910">
              <w:rPr>
                <w:rFonts w:cs="Arial"/>
                <w:szCs w:val="22"/>
                <w:lang w:eastAsia="en-AU"/>
              </w:rPr>
              <w:t xml:space="preserve">The forecast fatal burden of disease for each </w:t>
            </w:r>
            <w:r w:rsidRPr="005C28B0">
              <w:rPr>
                <w:rFonts w:cs="Arial"/>
                <w:szCs w:val="22"/>
                <w:lang w:eastAsia="en-AU"/>
              </w:rPr>
              <w:t xml:space="preserve">chemical (see </w:t>
            </w:r>
            <w:r w:rsidR="000000BF">
              <w:fldChar w:fldCharType="begin"/>
            </w:r>
            <w:r w:rsidR="000000BF">
              <w:rPr>
                <w:rFonts w:cs="Arial"/>
                <w:szCs w:val="22"/>
                <w:lang w:eastAsia="en-AU"/>
              </w:rPr>
              <w:instrText xml:space="preserve"> REF _Ref216792926 \h </w:instrText>
            </w:r>
            <w:r w:rsidR="000000BF">
              <w:fldChar w:fldCharType="separate"/>
            </w:r>
            <w:r w:rsidR="00A002F4">
              <w:t xml:space="preserve">Table </w:t>
            </w:r>
            <w:r w:rsidR="00A002F4">
              <w:rPr>
                <w:noProof/>
              </w:rPr>
              <w:t>56</w:t>
            </w:r>
            <w:r w:rsidR="000000BF">
              <w:fldChar w:fldCharType="end"/>
            </w:r>
            <w:r w:rsidR="00D261E7">
              <w:t xml:space="preserve"> </w:t>
            </w:r>
            <w:r w:rsidRPr="00D97910">
              <w:rPr>
                <w:rFonts w:cs="Arial"/>
                <w:szCs w:val="22"/>
                <w:lang w:eastAsia="en-AU"/>
              </w:rPr>
              <w:t>is estimated based on IHME GBD data.</w:t>
            </w:r>
          </w:p>
        </w:tc>
      </w:tr>
      <w:tr w:rsidR="00246783" w:rsidRPr="00D97910" w14:paraId="297379F4" w14:textId="77777777" w:rsidTr="005B52BA">
        <w:trPr>
          <w:trHeight w:val="265"/>
        </w:trPr>
        <w:tc>
          <w:tcPr>
            <w:tcW w:w="1980" w:type="dxa"/>
            <w:shd w:val="clear" w:color="auto" w:fill="4877E0" w:themeFill="accent1"/>
          </w:tcPr>
          <w:p w14:paraId="58515E7B" w14:textId="77777777" w:rsidR="00246783" w:rsidRPr="003635A7" w:rsidRDefault="00246783" w:rsidP="00884472">
            <w:pPr>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Parameters</w:t>
            </w:r>
          </w:p>
        </w:tc>
        <w:tc>
          <w:tcPr>
            <w:tcW w:w="7438" w:type="dxa"/>
          </w:tcPr>
          <w:p w14:paraId="44A28274" w14:textId="0CE5B778" w:rsidR="00246783" w:rsidRPr="00D97910" w:rsidRDefault="00246783" w:rsidP="00884472">
            <w:pPr>
              <w:rPr>
                <w:rFonts w:eastAsia="Arial" w:cs="Arial"/>
                <w:szCs w:val="22"/>
                <w:lang w:eastAsia="en-AU"/>
              </w:rPr>
            </w:pPr>
            <w:r w:rsidRPr="00D97910">
              <w:rPr>
                <w:rFonts w:cs="Arial"/>
                <w:szCs w:val="22"/>
                <w:lang w:eastAsia="en-AU"/>
              </w:rPr>
              <w:t>The VLY of $244,741 is based on Abelson (</w:t>
            </w:r>
            <w:r w:rsidR="003E5BD0" w:rsidRPr="00D97910">
              <w:rPr>
                <w:rFonts w:cs="Arial"/>
                <w:szCs w:val="22"/>
                <w:lang w:eastAsia="en-AU"/>
              </w:rPr>
              <w:t>200</w:t>
            </w:r>
            <w:r w:rsidR="003E5BD0">
              <w:rPr>
                <w:rFonts w:cs="Arial"/>
                <w:szCs w:val="22"/>
                <w:lang w:eastAsia="en-AU"/>
              </w:rPr>
              <w:t>7</w:t>
            </w:r>
            <w:r w:rsidRPr="00D97910">
              <w:rPr>
                <w:rFonts w:cs="Arial"/>
                <w:szCs w:val="22"/>
                <w:lang w:eastAsia="en-AU"/>
              </w:rPr>
              <w:t>) and escalated to June 2024 terms using the ABS WPI for Australia</w:t>
            </w:r>
            <w:r w:rsidR="002A0DBB">
              <w:rPr>
                <w:rFonts w:cs="Arial"/>
                <w:szCs w:val="22"/>
                <w:lang w:eastAsia="en-AU"/>
              </w:rPr>
              <w:t xml:space="preserve"> </w:t>
            </w:r>
            <w:sdt>
              <w:sdtPr>
                <w:rPr>
                  <w:rFonts w:cs="Arial"/>
                  <w:szCs w:val="22"/>
                  <w:lang w:eastAsia="en-AU"/>
                </w:rPr>
                <w:id w:val="1744989339"/>
                <w:citation/>
              </w:sdtPr>
              <w:sdtEndPr/>
              <w:sdtContent>
                <w:r w:rsidR="002A0DBB">
                  <w:rPr>
                    <w:rFonts w:cs="Arial"/>
                    <w:szCs w:val="22"/>
                    <w:lang w:eastAsia="en-AU"/>
                  </w:rPr>
                  <w:fldChar w:fldCharType="begin"/>
                </w:r>
                <w:r w:rsidR="002A0DBB">
                  <w:rPr>
                    <w:rFonts w:cs="Arial"/>
                    <w:szCs w:val="22"/>
                    <w:lang w:eastAsia="en-AU"/>
                  </w:rPr>
                  <w:instrText xml:space="preserve"> CITATION Aus243 \l 3081 </w:instrText>
                </w:r>
                <w:r w:rsidR="002A0DBB">
                  <w:rPr>
                    <w:rFonts w:cs="Arial"/>
                    <w:szCs w:val="22"/>
                    <w:lang w:eastAsia="en-AU"/>
                  </w:rPr>
                  <w:fldChar w:fldCharType="separate"/>
                </w:r>
                <w:r w:rsidR="00490B21" w:rsidRPr="00490B21">
                  <w:rPr>
                    <w:rFonts w:cs="Arial"/>
                    <w:noProof/>
                    <w:szCs w:val="22"/>
                    <w:lang w:eastAsia="en-AU"/>
                  </w:rPr>
                  <w:t>(Australian Bureau of Statistics, 2024)</w:t>
                </w:r>
                <w:r w:rsidR="002A0DBB">
                  <w:rPr>
                    <w:rFonts w:cs="Arial"/>
                    <w:szCs w:val="22"/>
                    <w:lang w:eastAsia="en-AU"/>
                  </w:rPr>
                  <w:fldChar w:fldCharType="end"/>
                </w:r>
              </w:sdtContent>
            </w:sdt>
            <w:r w:rsidRPr="00D97910">
              <w:rPr>
                <w:rFonts w:cs="Arial"/>
                <w:szCs w:val="22"/>
                <w:lang w:eastAsia="en-AU"/>
              </w:rPr>
              <w:t>.</w:t>
            </w:r>
          </w:p>
        </w:tc>
      </w:tr>
      <w:tr w:rsidR="00246783" w:rsidRPr="00D97910" w14:paraId="70AA5C6A" w14:textId="77777777" w:rsidTr="005B52BA">
        <w:trPr>
          <w:trHeight w:val="265"/>
        </w:trPr>
        <w:tc>
          <w:tcPr>
            <w:tcW w:w="1980" w:type="dxa"/>
            <w:shd w:val="clear" w:color="auto" w:fill="4877E0" w:themeFill="accent1"/>
          </w:tcPr>
          <w:p w14:paraId="4E1A4900" w14:textId="77777777" w:rsidR="00246783" w:rsidRPr="003635A7" w:rsidRDefault="00246783" w:rsidP="00884472">
            <w:pPr>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Methodology</w:t>
            </w:r>
          </w:p>
        </w:tc>
        <w:tc>
          <w:tcPr>
            <w:tcW w:w="7438" w:type="dxa"/>
          </w:tcPr>
          <w:p w14:paraId="616F6A27" w14:textId="71AFDCDE" w:rsidR="00246783" w:rsidRPr="00D97910" w:rsidRDefault="00246783">
            <w:pPr>
              <w:pStyle w:val="TableNText"/>
              <w:rPr>
                <w:rFonts w:ascii="Arial" w:hAnsi="Arial" w:cs="Arial"/>
                <w:sz w:val="22"/>
                <w:lang w:eastAsia="en-AU"/>
              </w:rPr>
            </w:pPr>
            <m:oMath>
              <m:r>
                <w:rPr>
                  <w:rFonts w:ascii="Cambria Math" w:hAnsi="Cambria Math" w:cs="Arial"/>
                  <w:sz w:val="22"/>
                  <w:lang w:eastAsia="en-AU"/>
                </w:rPr>
                <m:t>Benefit=FB×VLY×∆HI</m:t>
              </m:r>
            </m:oMath>
            <w:r w:rsidRPr="00D97910">
              <w:rPr>
                <w:rFonts w:ascii="Arial" w:eastAsiaTheme="minorEastAsia" w:hAnsi="Arial" w:cs="Arial"/>
                <w:sz w:val="22"/>
                <w:lang w:eastAsia="en-AU"/>
              </w:rPr>
              <w:t>, where:</w:t>
            </w:r>
          </w:p>
          <w:p w14:paraId="0A483C41" w14:textId="77777777" w:rsidR="00246783" w:rsidRPr="00D97910" w:rsidRDefault="00246783" w:rsidP="00246783">
            <w:pPr>
              <w:pStyle w:val="TableNBullet"/>
              <w:spacing w:line="240" w:lineRule="auto"/>
              <w:rPr>
                <w:rFonts w:ascii="Arial" w:hAnsi="Arial" w:cs="Arial"/>
                <w:sz w:val="22"/>
                <w:szCs w:val="22"/>
              </w:rPr>
            </w:pPr>
            <w:r w:rsidRPr="00D97910">
              <w:rPr>
                <w:rFonts w:ascii="Arial" w:hAnsi="Arial" w:cs="Arial"/>
                <w:sz w:val="22"/>
                <w:szCs w:val="22"/>
              </w:rPr>
              <w:t>FB represents the fatal burden of disease (DALYs lost to premature death)</w:t>
            </w:r>
          </w:p>
          <w:p w14:paraId="489873E4" w14:textId="77777777" w:rsidR="00246783" w:rsidRPr="00884472" w:rsidRDefault="00246783" w:rsidP="00A2768E">
            <w:pPr>
              <w:pStyle w:val="ListParagraph"/>
              <w:numPr>
                <w:ilvl w:val="0"/>
                <w:numId w:val="121"/>
              </w:numPr>
              <w:rPr>
                <w:rFonts w:eastAsia="Arial" w:cs="Arial"/>
                <w:szCs w:val="22"/>
                <w:lang w:eastAsia="en-AU"/>
              </w:rPr>
            </w:pPr>
            <w:r w:rsidRPr="00D97910">
              <w:rPr>
                <w:rFonts w:cs="Arial"/>
                <w:szCs w:val="22"/>
              </w:rPr>
              <w:t>VLY represents the value of a statistical life year</w:t>
            </w:r>
            <w:r w:rsidRPr="00D97910">
              <w:rPr>
                <w:rFonts w:eastAsia="Segoe UI" w:cs="Arial"/>
                <w:szCs w:val="22"/>
              </w:rPr>
              <w:t>.</w:t>
            </w:r>
          </w:p>
          <w:p w14:paraId="103C342D" w14:textId="70A80CFE" w:rsidR="00246783" w:rsidRPr="00D97910" w:rsidRDefault="00884472" w:rsidP="00A2768E">
            <w:pPr>
              <w:pStyle w:val="ListParagraph"/>
              <w:numPr>
                <w:ilvl w:val="0"/>
                <w:numId w:val="121"/>
              </w:numPr>
              <w:rPr>
                <w:rFonts w:eastAsia="Arial" w:cs="Arial"/>
                <w:szCs w:val="22"/>
                <w:lang w:eastAsia="en-AU"/>
              </w:rPr>
            </w:pPr>
            <w:r w:rsidRPr="00884472">
              <w:rPr>
                <w:rFonts w:eastAsia="Arial" w:cs="Arial"/>
                <w:szCs w:val="22"/>
                <w:lang w:eastAsia="en-AU"/>
              </w:rPr>
              <w:t>∆HI represents the reduction in the fatal burden of disease attributable to the WEL.</w:t>
            </w:r>
          </w:p>
        </w:tc>
      </w:tr>
    </w:tbl>
    <w:p w14:paraId="75083282" w14:textId="77777777" w:rsidR="00477A32" w:rsidRDefault="00477A32" w:rsidP="000B2640">
      <w:pPr>
        <w:spacing w:after="160"/>
      </w:pPr>
    </w:p>
    <w:p w14:paraId="7FAE01FE" w14:textId="77777777" w:rsidR="00477A32" w:rsidRDefault="00477A32" w:rsidP="00477A32">
      <w:pPr>
        <w:pStyle w:val="SWAHeading4"/>
        <w:spacing w:before="240"/>
      </w:pPr>
      <w:r>
        <w:t>Reduced years lived with disability due to occupational disease</w:t>
      </w:r>
    </w:p>
    <w:p w14:paraId="518F5A12" w14:textId="77777777" w:rsidR="00477A32" w:rsidRPr="00D97910" w:rsidRDefault="00477A32" w:rsidP="00477A32">
      <w:pPr>
        <w:contextualSpacing w:val="0"/>
        <w:rPr>
          <w:rFonts w:cs="Arial"/>
          <w:szCs w:val="22"/>
          <w:lang w:eastAsia="en-AU"/>
        </w:rPr>
      </w:pPr>
      <w:r w:rsidRPr="00D97910">
        <w:rPr>
          <w:rFonts w:cs="Arial"/>
          <w:szCs w:val="22"/>
          <w:lang w:eastAsia="en-AU"/>
        </w:rPr>
        <w:t>This benefit measures the reduction in the YLD due to occupational disease, attributable to reduced workplace exposure to airborne contaminants.</w:t>
      </w:r>
    </w:p>
    <w:p w14:paraId="1C537B90" w14:textId="41DCA5BD" w:rsidR="00CB6699" w:rsidRDefault="00477A32" w:rsidP="00DF0F71">
      <w:r w:rsidRPr="00D97910">
        <w:rPr>
          <w:rFonts w:cs="Arial"/>
          <w:szCs w:val="22"/>
          <w:lang w:eastAsia="en-AU"/>
        </w:rPr>
        <w:t>The forecast non-fatal burden of disease for benzene, formaldehyde and RCS over the appraisal period are presented</w:t>
      </w:r>
      <w:r>
        <w:rPr>
          <w:rFonts w:cs="Arial"/>
          <w:szCs w:val="22"/>
          <w:lang w:eastAsia="en-AU"/>
        </w:rPr>
        <w:t xml:space="preserve"> in</w:t>
      </w:r>
      <w:r w:rsidR="00F25744">
        <w:t xml:space="preserve"> </w:t>
      </w:r>
      <w:r w:rsidR="00F25744">
        <w:rPr>
          <w:rFonts w:cs="Arial"/>
          <w:szCs w:val="22"/>
          <w:lang w:eastAsia="en-AU"/>
        </w:rPr>
        <w:fldChar w:fldCharType="begin"/>
      </w:r>
      <w:r w:rsidR="00F25744">
        <w:rPr>
          <w:rFonts w:cs="Arial"/>
          <w:szCs w:val="22"/>
          <w:lang w:eastAsia="en-AU"/>
        </w:rPr>
        <w:instrText xml:space="preserve"> REF _Ref216793042 \h </w:instrText>
      </w:r>
      <w:r w:rsidR="00F25744">
        <w:rPr>
          <w:rFonts w:cs="Arial"/>
          <w:szCs w:val="22"/>
          <w:lang w:eastAsia="en-AU"/>
        </w:rPr>
      </w:r>
      <w:r w:rsidR="00F25744">
        <w:rPr>
          <w:rFonts w:cs="Arial"/>
          <w:szCs w:val="22"/>
          <w:lang w:eastAsia="en-AU"/>
        </w:rPr>
        <w:fldChar w:fldCharType="separate"/>
      </w:r>
      <w:r w:rsidR="00A002F4">
        <w:t xml:space="preserve">Table </w:t>
      </w:r>
      <w:r w:rsidR="00A002F4">
        <w:rPr>
          <w:noProof/>
        </w:rPr>
        <w:t>58</w:t>
      </w:r>
      <w:r w:rsidR="00F25744">
        <w:rPr>
          <w:rFonts w:cs="Arial"/>
          <w:szCs w:val="22"/>
          <w:lang w:eastAsia="en-AU"/>
        </w:rPr>
        <w:fldChar w:fldCharType="end"/>
      </w:r>
      <w:r w:rsidRPr="00D97910">
        <w:rPr>
          <w:rFonts w:cs="Arial"/>
          <w:szCs w:val="22"/>
          <w:lang w:eastAsia="en-AU"/>
        </w:rPr>
        <w:t>. These figures are estimated based on IHME GBD data, based on the CAGR in the historical burden of disease between 2016 and 2021. The mean measure presents the most likely value, while the low and high measure represent the upper and lower bounds of the confidence interval, respectively.</w:t>
      </w:r>
    </w:p>
    <w:p w14:paraId="416BD3A5" w14:textId="407FCF14" w:rsidR="00F25744" w:rsidRDefault="00F25744" w:rsidP="00DF0F71">
      <w:pPr>
        <w:pStyle w:val="Caption"/>
      </w:pPr>
      <w:bookmarkStart w:id="693" w:name="_Ref216793042"/>
      <w:r>
        <w:t xml:space="preserve">Table </w:t>
      </w:r>
      <w:fldSimple w:instr=" SEQ Table \* ARABIC ">
        <w:r w:rsidR="00A002F4">
          <w:rPr>
            <w:noProof/>
          </w:rPr>
          <w:t>58</w:t>
        </w:r>
      </w:fldSimple>
      <w:bookmarkEnd w:id="693"/>
      <w:r>
        <w:t xml:space="preserve"> - </w:t>
      </w:r>
      <w:r w:rsidRPr="00046BD4">
        <w:t>Forecast non-fatal burden of occupational disease for benzene, formaldehyde and RCS (DALYs), FY27 to FY36 (Institute For Health Metrics and Evaluation, 2024)</w:t>
      </w:r>
    </w:p>
    <w:tbl>
      <w:tblPr>
        <w:tblStyle w:val="TableGrid"/>
        <w:tblW w:w="98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83"/>
        <w:gridCol w:w="1061"/>
        <w:gridCol w:w="717"/>
        <w:gridCol w:w="717"/>
        <w:gridCol w:w="717"/>
        <w:gridCol w:w="717"/>
        <w:gridCol w:w="717"/>
        <w:gridCol w:w="717"/>
        <w:gridCol w:w="717"/>
        <w:gridCol w:w="717"/>
        <w:gridCol w:w="717"/>
        <w:gridCol w:w="717"/>
      </w:tblGrid>
      <w:tr w:rsidR="00E843CB" w14:paraId="1D01239B" w14:textId="77777777" w:rsidTr="00CB6699">
        <w:trPr>
          <w:trHeight w:val="501"/>
        </w:trPr>
        <w:tc>
          <w:tcPr>
            <w:tcW w:w="1583" w:type="dxa"/>
            <w:shd w:val="clear" w:color="auto" w:fill="4877E0" w:themeFill="accent1"/>
          </w:tcPr>
          <w:p w14:paraId="18DA8A78" w14:textId="77777777" w:rsidR="00477A32" w:rsidRPr="005F5D0D" w:rsidRDefault="00477A32">
            <w:pPr>
              <w:rPr>
                <w:rFonts w:cs="Arial"/>
                <w:b/>
                <w:color w:val="FFFFFF" w:themeColor="background1"/>
                <w:sz w:val="20"/>
                <w:szCs w:val="20"/>
              </w:rPr>
            </w:pPr>
            <w:r w:rsidRPr="005F5D0D">
              <w:rPr>
                <w:rFonts w:cs="Arial"/>
                <w:b/>
                <w:color w:val="FFFFFF" w:themeColor="background1"/>
                <w:sz w:val="20"/>
                <w:szCs w:val="20"/>
              </w:rPr>
              <w:t>Chemical</w:t>
            </w:r>
          </w:p>
        </w:tc>
        <w:tc>
          <w:tcPr>
            <w:tcW w:w="1061" w:type="dxa"/>
            <w:shd w:val="clear" w:color="auto" w:fill="4877E0" w:themeFill="accent1"/>
          </w:tcPr>
          <w:p w14:paraId="12FEE0BC" w14:textId="77777777" w:rsidR="00477A32" w:rsidRPr="005F5D0D" w:rsidRDefault="00477A32">
            <w:pPr>
              <w:rPr>
                <w:rFonts w:cs="Arial"/>
                <w:b/>
                <w:color w:val="FFFFFF" w:themeColor="background1"/>
                <w:sz w:val="20"/>
                <w:szCs w:val="20"/>
              </w:rPr>
            </w:pPr>
            <w:r w:rsidRPr="005F5D0D">
              <w:rPr>
                <w:rFonts w:cs="Arial"/>
                <w:b/>
                <w:color w:val="FFFFFF" w:themeColor="background1"/>
                <w:sz w:val="20"/>
                <w:szCs w:val="20"/>
              </w:rPr>
              <w:t>Scenario</w:t>
            </w:r>
          </w:p>
        </w:tc>
        <w:tc>
          <w:tcPr>
            <w:tcW w:w="717" w:type="dxa"/>
            <w:shd w:val="clear" w:color="auto" w:fill="4877E0" w:themeFill="accent1"/>
            <w:vAlign w:val="center"/>
          </w:tcPr>
          <w:p w14:paraId="5700362E" w14:textId="77777777" w:rsidR="00477A32" w:rsidRPr="0085691B" w:rsidRDefault="00477A32">
            <w:pPr>
              <w:rPr>
                <w:rFonts w:cs="Arial"/>
                <w:b/>
                <w:sz w:val="20"/>
                <w:szCs w:val="20"/>
              </w:rPr>
            </w:pPr>
            <w:r w:rsidRPr="0085691B">
              <w:rPr>
                <w:rFonts w:cs="Arial"/>
                <w:b/>
                <w:color w:val="FFFFFF" w:themeColor="background1"/>
                <w:sz w:val="20"/>
                <w:szCs w:val="20"/>
              </w:rPr>
              <w:t>FY 27</w:t>
            </w:r>
          </w:p>
        </w:tc>
        <w:tc>
          <w:tcPr>
            <w:tcW w:w="717" w:type="dxa"/>
            <w:shd w:val="clear" w:color="auto" w:fill="4877E0" w:themeFill="accent1"/>
            <w:vAlign w:val="center"/>
          </w:tcPr>
          <w:p w14:paraId="3E2B7128" w14:textId="77777777" w:rsidR="00477A32" w:rsidRPr="0085691B" w:rsidRDefault="00477A32">
            <w:pPr>
              <w:rPr>
                <w:rFonts w:cs="Arial"/>
                <w:b/>
                <w:sz w:val="20"/>
                <w:szCs w:val="20"/>
              </w:rPr>
            </w:pPr>
            <w:r w:rsidRPr="0085691B">
              <w:rPr>
                <w:rFonts w:cs="Arial"/>
                <w:b/>
                <w:color w:val="FFFFFF" w:themeColor="background1"/>
                <w:sz w:val="20"/>
                <w:szCs w:val="20"/>
              </w:rPr>
              <w:t>FY 28</w:t>
            </w:r>
          </w:p>
        </w:tc>
        <w:tc>
          <w:tcPr>
            <w:tcW w:w="717" w:type="dxa"/>
            <w:shd w:val="clear" w:color="auto" w:fill="4877E0" w:themeFill="accent1"/>
            <w:vAlign w:val="center"/>
          </w:tcPr>
          <w:p w14:paraId="23A0DB55" w14:textId="77777777" w:rsidR="00477A32" w:rsidRPr="0085691B" w:rsidRDefault="00477A32">
            <w:pPr>
              <w:rPr>
                <w:rFonts w:cs="Arial"/>
                <w:b/>
                <w:sz w:val="20"/>
                <w:szCs w:val="20"/>
              </w:rPr>
            </w:pPr>
            <w:r w:rsidRPr="0085691B">
              <w:rPr>
                <w:rFonts w:cs="Arial"/>
                <w:b/>
                <w:color w:val="FFFFFF" w:themeColor="background1"/>
                <w:sz w:val="20"/>
                <w:szCs w:val="20"/>
              </w:rPr>
              <w:t>FY 29</w:t>
            </w:r>
          </w:p>
        </w:tc>
        <w:tc>
          <w:tcPr>
            <w:tcW w:w="717" w:type="dxa"/>
            <w:shd w:val="clear" w:color="auto" w:fill="4877E0" w:themeFill="accent1"/>
            <w:vAlign w:val="center"/>
          </w:tcPr>
          <w:p w14:paraId="6D0B1083" w14:textId="77777777" w:rsidR="00477A32" w:rsidRPr="0085691B" w:rsidRDefault="00477A32">
            <w:pPr>
              <w:rPr>
                <w:rFonts w:cs="Arial"/>
                <w:b/>
                <w:sz w:val="20"/>
                <w:szCs w:val="20"/>
              </w:rPr>
            </w:pPr>
            <w:r w:rsidRPr="0085691B">
              <w:rPr>
                <w:rFonts w:cs="Arial"/>
                <w:b/>
                <w:color w:val="FFFFFF" w:themeColor="background1"/>
                <w:sz w:val="20"/>
                <w:szCs w:val="20"/>
              </w:rPr>
              <w:t>FY 30</w:t>
            </w:r>
          </w:p>
        </w:tc>
        <w:tc>
          <w:tcPr>
            <w:tcW w:w="717" w:type="dxa"/>
            <w:shd w:val="clear" w:color="auto" w:fill="4877E0" w:themeFill="accent1"/>
            <w:vAlign w:val="center"/>
          </w:tcPr>
          <w:p w14:paraId="5C855A1D" w14:textId="77777777" w:rsidR="00477A32" w:rsidRPr="0085691B" w:rsidRDefault="00477A32">
            <w:pPr>
              <w:rPr>
                <w:rFonts w:cs="Arial"/>
                <w:b/>
                <w:sz w:val="20"/>
                <w:szCs w:val="20"/>
              </w:rPr>
            </w:pPr>
            <w:r w:rsidRPr="0085691B">
              <w:rPr>
                <w:rFonts w:cs="Arial"/>
                <w:b/>
                <w:color w:val="FFFFFF" w:themeColor="background1"/>
                <w:sz w:val="20"/>
                <w:szCs w:val="20"/>
              </w:rPr>
              <w:t>FY 31</w:t>
            </w:r>
          </w:p>
        </w:tc>
        <w:tc>
          <w:tcPr>
            <w:tcW w:w="717" w:type="dxa"/>
            <w:shd w:val="clear" w:color="auto" w:fill="4877E0" w:themeFill="accent1"/>
            <w:vAlign w:val="center"/>
          </w:tcPr>
          <w:p w14:paraId="02DEF35D" w14:textId="77777777" w:rsidR="00477A32" w:rsidRPr="0085691B" w:rsidRDefault="00477A32">
            <w:pPr>
              <w:rPr>
                <w:rFonts w:cs="Arial"/>
                <w:b/>
                <w:sz w:val="20"/>
                <w:szCs w:val="20"/>
              </w:rPr>
            </w:pPr>
            <w:r w:rsidRPr="0085691B">
              <w:rPr>
                <w:rFonts w:cs="Arial"/>
                <w:b/>
                <w:color w:val="FFFFFF" w:themeColor="background1"/>
                <w:sz w:val="20"/>
                <w:szCs w:val="20"/>
              </w:rPr>
              <w:t>FY 32</w:t>
            </w:r>
          </w:p>
        </w:tc>
        <w:tc>
          <w:tcPr>
            <w:tcW w:w="717" w:type="dxa"/>
            <w:shd w:val="clear" w:color="auto" w:fill="4877E0" w:themeFill="accent1"/>
            <w:vAlign w:val="center"/>
          </w:tcPr>
          <w:p w14:paraId="3E2AEEAF" w14:textId="77777777" w:rsidR="00477A32" w:rsidRPr="0085691B" w:rsidRDefault="00477A32">
            <w:pPr>
              <w:rPr>
                <w:rFonts w:cs="Arial"/>
                <w:b/>
                <w:sz w:val="20"/>
                <w:szCs w:val="20"/>
              </w:rPr>
            </w:pPr>
            <w:r w:rsidRPr="0085691B">
              <w:rPr>
                <w:rFonts w:cs="Arial"/>
                <w:b/>
                <w:color w:val="FFFFFF" w:themeColor="background1"/>
                <w:sz w:val="20"/>
                <w:szCs w:val="20"/>
              </w:rPr>
              <w:t>FY 33</w:t>
            </w:r>
          </w:p>
        </w:tc>
        <w:tc>
          <w:tcPr>
            <w:tcW w:w="717" w:type="dxa"/>
            <w:shd w:val="clear" w:color="auto" w:fill="4877E0" w:themeFill="accent1"/>
            <w:vAlign w:val="center"/>
          </w:tcPr>
          <w:p w14:paraId="10137663" w14:textId="77777777" w:rsidR="00477A32" w:rsidRPr="0085691B" w:rsidRDefault="00477A32">
            <w:pPr>
              <w:rPr>
                <w:rFonts w:cs="Arial"/>
                <w:b/>
                <w:sz w:val="20"/>
                <w:szCs w:val="20"/>
              </w:rPr>
            </w:pPr>
            <w:r w:rsidRPr="0085691B">
              <w:rPr>
                <w:rFonts w:cs="Arial"/>
                <w:b/>
                <w:color w:val="FFFFFF" w:themeColor="background1"/>
                <w:sz w:val="20"/>
                <w:szCs w:val="20"/>
              </w:rPr>
              <w:t>FY 34</w:t>
            </w:r>
          </w:p>
        </w:tc>
        <w:tc>
          <w:tcPr>
            <w:tcW w:w="717" w:type="dxa"/>
            <w:shd w:val="clear" w:color="auto" w:fill="4877E0" w:themeFill="accent1"/>
            <w:vAlign w:val="center"/>
          </w:tcPr>
          <w:p w14:paraId="55B17108" w14:textId="77777777" w:rsidR="00477A32" w:rsidRPr="0085691B" w:rsidRDefault="00477A32">
            <w:pPr>
              <w:rPr>
                <w:rFonts w:cs="Arial"/>
                <w:b/>
                <w:sz w:val="20"/>
                <w:szCs w:val="20"/>
              </w:rPr>
            </w:pPr>
            <w:r w:rsidRPr="0085691B">
              <w:rPr>
                <w:rFonts w:cs="Arial"/>
                <w:b/>
                <w:color w:val="FFFFFF" w:themeColor="background1"/>
                <w:sz w:val="20"/>
                <w:szCs w:val="20"/>
              </w:rPr>
              <w:t>FY 35</w:t>
            </w:r>
          </w:p>
        </w:tc>
        <w:tc>
          <w:tcPr>
            <w:tcW w:w="717" w:type="dxa"/>
            <w:shd w:val="clear" w:color="auto" w:fill="4877E0" w:themeFill="accent1"/>
            <w:vAlign w:val="center"/>
          </w:tcPr>
          <w:p w14:paraId="134A1B2C" w14:textId="77777777" w:rsidR="00477A32" w:rsidRPr="0085691B" w:rsidRDefault="00477A32">
            <w:pPr>
              <w:rPr>
                <w:rFonts w:cs="Arial"/>
                <w:b/>
                <w:sz w:val="20"/>
                <w:szCs w:val="20"/>
              </w:rPr>
            </w:pPr>
            <w:r w:rsidRPr="0085691B">
              <w:rPr>
                <w:rFonts w:cs="Arial"/>
                <w:b/>
                <w:color w:val="FFFFFF" w:themeColor="background1"/>
                <w:sz w:val="20"/>
                <w:szCs w:val="20"/>
              </w:rPr>
              <w:t>FY 36</w:t>
            </w:r>
          </w:p>
        </w:tc>
      </w:tr>
      <w:tr w:rsidR="00477A32" w14:paraId="0DD27E59" w14:textId="77777777" w:rsidTr="00CB6699">
        <w:trPr>
          <w:trHeight w:val="250"/>
        </w:trPr>
        <w:tc>
          <w:tcPr>
            <w:tcW w:w="1583" w:type="dxa"/>
            <w:vMerge w:val="restart"/>
            <w:shd w:val="clear" w:color="auto" w:fill="4877E0" w:themeFill="accent1"/>
          </w:tcPr>
          <w:p w14:paraId="4FBFA2C3" w14:textId="77777777" w:rsidR="00477A32" w:rsidRPr="005F5D0D" w:rsidRDefault="00477A32">
            <w:pPr>
              <w:rPr>
                <w:rFonts w:cs="Arial"/>
                <w:b/>
                <w:color w:val="FFFFFF" w:themeColor="background1"/>
                <w:sz w:val="20"/>
                <w:szCs w:val="20"/>
              </w:rPr>
            </w:pPr>
            <w:r w:rsidRPr="005F5D0D">
              <w:rPr>
                <w:rFonts w:cs="Arial"/>
                <w:b/>
                <w:color w:val="FFFFFF" w:themeColor="background1"/>
                <w:sz w:val="20"/>
                <w:szCs w:val="20"/>
              </w:rPr>
              <w:t>Benzene</w:t>
            </w:r>
          </w:p>
        </w:tc>
        <w:tc>
          <w:tcPr>
            <w:tcW w:w="1061" w:type="dxa"/>
            <w:vAlign w:val="center"/>
          </w:tcPr>
          <w:p w14:paraId="05D3E830" w14:textId="77777777" w:rsidR="00477A32" w:rsidRPr="0085691B" w:rsidRDefault="00477A32">
            <w:pPr>
              <w:rPr>
                <w:rFonts w:cs="Arial"/>
                <w:sz w:val="20"/>
                <w:szCs w:val="20"/>
              </w:rPr>
            </w:pPr>
            <w:r w:rsidRPr="0085691B">
              <w:rPr>
                <w:rFonts w:cs="Arial"/>
                <w:sz w:val="20"/>
                <w:szCs w:val="20"/>
              </w:rPr>
              <w:t>Low</w:t>
            </w:r>
          </w:p>
        </w:tc>
        <w:tc>
          <w:tcPr>
            <w:tcW w:w="717" w:type="dxa"/>
            <w:vAlign w:val="bottom"/>
          </w:tcPr>
          <w:p w14:paraId="2D7F28A5" w14:textId="77777777" w:rsidR="00477A32" w:rsidRPr="0085691B" w:rsidRDefault="00477A32">
            <w:pPr>
              <w:rPr>
                <w:rFonts w:cs="Arial"/>
                <w:sz w:val="20"/>
                <w:szCs w:val="20"/>
              </w:rPr>
            </w:pPr>
            <w:r w:rsidRPr="0085691B">
              <w:rPr>
                <w:rFonts w:cs="Arial"/>
                <w:sz w:val="20"/>
                <w:szCs w:val="20"/>
              </w:rPr>
              <w:t xml:space="preserve">1.8 </w:t>
            </w:r>
          </w:p>
        </w:tc>
        <w:tc>
          <w:tcPr>
            <w:tcW w:w="717" w:type="dxa"/>
            <w:vAlign w:val="bottom"/>
          </w:tcPr>
          <w:p w14:paraId="0247060E" w14:textId="77777777" w:rsidR="00477A32" w:rsidRPr="0085691B" w:rsidRDefault="00477A32">
            <w:pPr>
              <w:rPr>
                <w:rFonts w:cs="Arial"/>
                <w:sz w:val="20"/>
                <w:szCs w:val="20"/>
              </w:rPr>
            </w:pPr>
            <w:r w:rsidRPr="0085691B">
              <w:rPr>
                <w:rFonts w:cs="Arial"/>
                <w:sz w:val="20"/>
                <w:szCs w:val="20"/>
              </w:rPr>
              <w:t xml:space="preserve">1.8 </w:t>
            </w:r>
          </w:p>
        </w:tc>
        <w:tc>
          <w:tcPr>
            <w:tcW w:w="717" w:type="dxa"/>
            <w:vAlign w:val="bottom"/>
          </w:tcPr>
          <w:p w14:paraId="79BFFED4" w14:textId="77777777" w:rsidR="00477A32" w:rsidRPr="0085691B" w:rsidRDefault="00477A32">
            <w:pPr>
              <w:rPr>
                <w:rFonts w:cs="Arial"/>
                <w:sz w:val="20"/>
                <w:szCs w:val="20"/>
              </w:rPr>
            </w:pPr>
            <w:r w:rsidRPr="0085691B">
              <w:rPr>
                <w:rFonts w:cs="Arial"/>
                <w:sz w:val="20"/>
                <w:szCs w:val="20"/>
              </w:rPr>
              <w:t xml:space="preserve">1.8 </w:t>
            </w:r>
          </w:p>
        </w:tc>
        <w:tc>
          <w:tcPr>
            <w:tcW w:w="717" w:type="dxa"/>
            <w:vAlign w:val="bottom"/>
          </w:tcPr>
          <w:p w14:paraId="55A0109D" w14:textId="77777777" w:rsidR="00477A32" w:rsidRPr="0085691B" w:rsidRDefault="00477A32">
            <w:pPr>
              <w:rPr>
                <w:rFonts w:cs="Arial"/>
                <w:sz w:val="20"/>
                <w:szCs w:val="20"/>
              </w:rPr>
            </w:pPr>
            <w:r w:rsidRPr="0085691B">
              <w:rPr>
                <w:rFonts w:cs="Arial"/>
                <w:sz w:val="20"/>
                <w:szCs w:val="20"/>
              </w:rPr>
              <w:t xml:space="preserve">1.8 </w:t>
            </w:r>
          </w:p>
        </w:tc>
        <w:tc>
          <w:tcPr>
            <w:tcW w:w="717" w:type="dxa"/>
            <w:vAlign w:val="bottom"/>
          </w:tcPr>
          <w:p w14:paraId="78AA42B4" w14:textId="77777777" w:rsidR="00477A32" w:rsidRPr="0085691B" w:rsidRDefault="00477A32">
            <w:pPr>
              <w:rPr>
                <w:rFonts w:cs="Arial"/>
                <w:sz w:val="20"/>
                <w:szCs w:val="20"/>
              </w:rPr>
            </w:pPr>
            <w:r w:rsidRPr="0085691B">
              <w:rPr>
                <w:rFonts w:cs="Arial"/>
                <w:sz w:val="20"/>
                <w:szCs w:val="20"/>
              </w:rPr>
              <w:t xml:space="preserve">1.9 </w:t>
            </w:r>
          </w:p>
        </w:tc>
        <w:tc>
          <w:tcPr>
            <w:tcW w:w="717" w:type="dxa"/>
            <w:vAlign w:val="bottom"/>
          </w:tcPr>
          <w:p w14:paraId="36CDF445" w14:textId="77777777" w:rsidR="00477A32" w:rsidRPr="0085691B" w:rsidRDefault="00477A32">
            <w:pPr>
              <w:rPr>
                <w:rFonts w:cs="Arial"/>
                <w:sz w:val="20"/>
                <w:szCs w:val="20"/>
              </w:rPr>
            </w:pPr>
            <w:r w:rsidRPr="0085691B">
              <w:rPr>
                <w:rFonts w:cs="Arial"/>
                <w:sz w:val="20"/>
                <w:szCs w:val="20"/>
              </w:rPr>
              <w:t xml:space="preserve">1.9 </w:t>
            </w:r>
          </w:p>
        </w:tc>
        <w:tc>
          <w:tcPr>
            <w:tcW w:w="717" w:type="dxa"/>
            <w:vAlign w:val="bottom"/>
          </w:tcPr>
          <w:p w14:paraId="1620BEBB" w14:textId="77777777" w:rsidR="00477A32" w:rsidRPr="0085691B" w:rsidRDefault="00477A32">
            <w:pPr>
              <w:rPr>
                <w:rFonts w:cs="Arial"/>
                <w:sz w:val="20"/>
                <w:szCs w:val="20"/>
              </w:rPr>
            </w:pPr>
            <w:r w:rsidRPr="0085691B">
              <w:rPr>
                <w:rFonts w:cs="Arial"/>
                <w:sz w:val="20"/>
                <w:szCs w:val="20"/>
              </w:rPr>
              <w:t xml:space="preserve">1.9 </w:t>
            </w:r>
          </w:p>
        </w:tc>
        <w:tc>
          <w:tcPr>
            <w:tcW w:w="717" w:type="dxa"/>
            <w:vAlign w:val="bottom"/>
          </w:tcPr>
          <w:p w14:paraId="0141C03D" w14:textId="77777777" w:rsidR="00477A32" w:rsidRPr="0085691B" w:rsidRDefault="00477A32">
            <w:pPr>
              <w:rPr>
                <w:rFonts w:cs="Arial"/>
                <w:sz w:val="20"/>
                <w:szCs w:val="20"/>
              </w:rPr>
            </w:pPr>
            <w:r w:rsidRPr="0085691B">
              <w:rPr>
                <w:rFonts w:cs="Arial"/>
                <w:sz w:val="20"/>
                <w:szCs w:val="20"/>
              </w:rPr>
              <w:t xml:space="preserve">1.9 </w:t>
            </w:r>
          </w:p>
        </w:tc>
        <w:tc>
          <w:tcPr>
            <w:tcW w:w="717" w:type="dxa"/>
            <w:vAlign w:val="bottom"/>
          </w:tcPr>
          <w:p w14:paraId="52788F65" w14:textId="77777777" w:rsidR="00477A32" w:rsidRPr="0085691B" w:rsidRDefault="00477A32">
            <w:pPr>
              <w:rPr>
                <w:rFonts w:cs="Arial"/>
                <w:sz w:val="20"/>
                <w:szCs w:val="20"/>
              </w:rPr>
            </w:pPr>
            <w:r w:rsidRPr="0085691B">
              <w:rPr>
                <w:rFonts w:cs="Arial"/>
                <w:sz w:val="20"/>
                <w:szCs w:val="20"/>
              </w:rPr>
              <w:t xml:space="preserve">1.9 </w:t>
            </w:r>
          </w:p>
        </w:tc>
        <w:tc>
          <w:tcPr>
            <w:tcW w:w="717" w:type="dxa"/>
            <w:vAlign w:val="bottom"/>
          </w:tcPr>
          <w:p w14:paraId="7621E81C" w14:textId="77777777" w:rsidR="00477A32" w:rsidRPr="0085691B" w:rsidRDefault="00477A32">
            <w:pPr>
              <w:rPr>
                <w:rFonts w:cs="Arial"/>
                <w:sz w:val="20"/>
                <w:szCs w:val="20"/>
              </w:rPr>
            </w:pPr>
            <w:r w:rsidRPr="0085691B">
              <w:rPr>
                <w:rFonts w:cs="Arial"/>
                <w:sz w:val="20"/>
                <w:szCs w:val="20"/>
              </w:rPr>
              <w:t xml:space="preserve">2.0 </w:t>
            </w:r>
          </w:p>
        </w:tc>
      </w:tr>
      <w:tr w:rsidR="00477A32" w14:paraId="0809F763" w14:textId="77777777" w:rsidTr="00CB6699">
        <w:trPr>
          <w:trHeight w:val="144"/>
        </w:trPr>
        <w:tc>
          <w:tcPr>
            <w:tcW w:w="1583" w:type="dxa"/>
            <w:vMerge/>
            <w:shd w:val="clear" w:color="auto" w:fill="4877E0" w:themeFill="accent1"/>
          </w:tcPr>
          <w:p w14:paraId="5F45DFB1" w14:textId="77777777" w:rsidR="00477A32" w:rsidRPr="008D3863" w:rsidRDefault="00477A32">
            <w:pPr>
              <w:rPr>
                <w:rFonts w:cs="Arial"/>
                <w:b/>
                <w:color w:val="FFFFFF" w:themeColor="background1"/>
                <w:sz w:val="20"/>
                <w:szCs w:val="20"/>
              </w:rPr>
            </w:pPr>
          </w:p>
        </w:tc>
        <w:tc>
          <w:tcPr>
            <w:tcW w:w="1061" w:type="dxa"/>
            <w:shd w:val="clear" w:color="auto" w:fill="DAE3F8" w:themeFill="accent1" w:themeFillTint="33"/>
            <w:vAlign w:val="center"/>
          </w:tcPr>
          <w:p w14:paraId="16A36E75" w14:textId="77777777" w:rsidR="00477A32" w:rsidRPr="0085691B" w:rsidRDefault="00477A32">
            <w:pPr>
              <w:rPr>
                <w:rFonts w:cs="Arial"/>
                <w:sz w:val="20"/>
                <w:szCs w:val="20"/>
              </w:rPr>
            </w:pPr>
            <w:r w:rsidRPr="0085691B">
              <w:rPr>
                <w:rFonts w:cs="Arial"/>
                <w:sz w:val="20"/>
                <w:szCs w:val="20"/>
              </w:rPr>
              <w:t>Mean</w:t>
            </w:r>
          </w:p>
        </w:tc>
        <w:tc>
          <w:tcPr>
            <w:tcW w:w="717" w:type="dxa"/>
            <w:shd w:val="clear" w:color="auto" w:fill="DAE3F8" w:themeFill="accent1" w:themeFillTint="33"/>
            <w:vAlign w:val="center"/>
          </w:tcPr>
          <w:p w14:paraId="16D13A39" w14:textId="77777777" w:rsidR="00477A32" w:rsidRPr="0085691B" w:rsidRDefault="00477A32">
            <w:pPr>
              <w:rPr>
                <w:rFonts w:cs="Arial"/>
                <w:sz w:val="20"/>
                <w:szCs w:val="20"/>
              </w:rPr>
            </w:pPr>
            <w:r w:rsidRPr="0085691B">
              <w:rPr>
                <w:rFonts w:cs="Arial"/>
                <w:sz w:val="20"/>
                <w:szCs w:val="20"/>
              </w:rPr>
              <w:t>8.9</w:t>
            </w:r>
          </w:p>
        </w:tc>
        <w:tc>
          <w:tcPr>
            <w:tcW w:w="717" w:type="dxa"/>
            <w:shd w:val="clear" w:color="auto" w:fill="DAE3F8" w:themeFill="accent1" w:themeFillTint="33"/>
            <w:vAlign w:val="center"/>
          </w:tcPr>
          <w:p w14:paraId="73B36DA0" w14:textId="77777777" w:rsidR="00477A32" w:rsidRPr="0085691B" w:rsidRDefault="00477A32">
            <w:pPr>
              <w:rPr>
                <w:rFonts w:cs="Arial"/>
                <w:sz w:val="20"/>
                <w:szCs w:val="20"/>
              </w:rPr>
            </w:pPr>
            <w:r w:rsidRPr="0085691B">
              <w:rPr>
                <w:rFonts w:cs="Arial"/>
                <w:sz w:val="20"/>
                <w:szCs w:val="20"/>
              </w:rPr>
              <w:t>8.9</w:t>
            </w:r>
          </w:p>
        </w:tc>
        <w:tc>
          <w:tcPr>
            <w:tcW w:w="717" w:type="dxa"/>
            <w:shd w:val="clear" w:color="auto" w:fill="DAE3F8" w:themeFill="accent1" w:themeFillTint="33"/>
            <w:vAlign w:val="center"/>
          </w:tcPr>
          <w:p w14:paraId="458199EC" w14:textId="77777777" w:rsidR="00477A32" w:rsidRPr="0085691B" w:rsidRDefault="00477A32">
            <w:pPr>
              <w:rPr>
                <w:rFonts w:cs="Arial"/>
                <w:sz w:val="20"/>
                <w:szCs w:val="20"/>
              </w:rPr>
            </w:pPr>
            <w:r w:rsidRPr="0085691B">
              <w:rPr>
                <w:rFonts w:cs="Arial"/>
                <w:sz w:val="20"/>
                <w:szCs w:val="20"/>
              </w:rPr>
              <w:t>8.9</w:t>
            </w:r>
          </w:p>
        </w:tc>
        <w:tc>
          <w:tcPr>
            <w:tcW w:w="717" w:type="dxa"/>
            <w:shd w:val="clear" w:color="auto" w:fill="DAE3F8" w:themeFill="accent1" w:themeFillTint="33"/>
            <w:vAlign w:val="center"/>
          </w:tcPr>
          <w:p w14:paraId="17FAC3E2"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0A398414"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5B8CB7F9"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407ABAF3"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3F62E0E8"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4F5AFBF2" w14:textId="77777777" w:rsidR="00477A32" w:rsidRPr="0085691B" w:rsidRDefault="00477A32">
            <w:pPr>
              <w:rPr>
                <w:rFonts w:cs="Arial"/>
                <w:sz w:val="20"/>
                <w:szCs w:val="20"/>
              </w:rPr>
            </w:pPr>
            <w:r w:rsidRPr="0085691B">
              <w:rPr>
                <w:rFonts w:cs="Arial"/>
                <w:sz w:val="20"/>
                <w:szCs w:val="20"/>
              </w:rPr>
              <w:t>9.0</w:t>
            </w:r>
          </w:p>
        </w:tc>
        <w:tc>
          <w:tcPr>
            <w:tcW w:w="717" w:type="dxa"/>
            <w:shd w:val="clear" w:color="auto" w:fill="DAE3F8" w:themeFill="accent1" w:themeFillTint="33"/>
            <w:vAlign w:val="center"/>
          </w:tcPr>
          <w:p w14:paraId="708060AE" w14:textId="77777777" w:rsidR="00477A32" w:rsidRPr="0085691B" w:rsidRDefault="00477A32">
            <w:pPr>
              <w:rPr>
                <w:rFonts w:cs="Arial"/>
                <w:sz w:val="20"/>
                <w:szCs w:val="20"/>
              </w:rPr>
            </w:pPr>
            <w:r w:rsidRPr="0085691B">
              <w:rPr>
                <w:rFonts w:cs="Arial"/>
                <w:sz w:val="20"/>
                <w:szCs w:val="20"/>
              </w:rPr>
              <w:t>9.1</w:t>
            </w:r>
          </w:p>
        </w:tc>
      </w:tr>
      <w:tr w:rsidR="00477A32" w14:paraId="184B7820" w14:textId="77777777" w:rsidTr="00CB6699">
        <w:trPr>
          <w:trHeight w:val="144"/>
        </w:trPr>
        <w:tc>
          <w:tcPr>
            <w:tcW w:w="1583" w:type="dxa"/>
            <w:vMerge/>
            <w:shd w:val="clear" w:color="auto" w:fill="4877E0" w:themeFill="accent1"/>
          </w:tcPr>
          <w:p w14:paraId="01645454" w14:textId="77777777" w:rsidR="00477A32" w:rsidRPr="008D3863" w:rsidRDefault="00477A32">
            <w:pPr>
              <w:rPr>
                <w:rFonts w:cs="Arial"/>
                <w:b/>
                <w:color w:val="FFFFFF" w:themeColor="background1"/>
                <w:sz w:val="20"/>
                <w:szCs w:val="20"/>
              </w:rPr>
            </w:pPr>
          </w:p>
        </w:tc>
        <w:tc>
          <w:tcPr>
            <w:tcW w:w="1061" w:type="dxa"/>
            <w:vAlign w:val="center"/>
          </w:tcPr>
          <w:p w14:paraId="0103D94F" w14:textId="77777777" w:rsidR="00477A32" w:rsidRPr="0085691B" w:rsidRDefault="00477A32">
            <w:pPr>
              <w:rPr>
                <w:rFonts w:cs="Arial"/>
                <w:sz w:val="20"/>
                <w:szCs w:val="20"/>
              </w:rPr>
            </w:pPr>
            <w:r w:rsidRPr="0085691B">
              <w:rPr>
                <w:rFonts w:cs="Arial"/>
                <w:sz w:val="20"/>
                <w:szCs w:val="20"/>
              </w:rPr>
              <w:t>High</w:t>
            </w:r>
          </w:p>
        </w:tc>
        <w:tc>
          <w:tcPr>
            <w:tcW w:w="717" w:type="dxa"/>
            <w:vAlign w:val="bottom"/>
          </w:tcPr>
          <w:p w14:paraId="0BB4676C" w14:textId="77777777" w:rsidR="00477A32" w:rsidRPr="0085691B" w:rsidRDefault="00477A32">
            <w:pPr>
              <w:rPr>
                <w:rFonts w:cs="Arial"/>
                <w:sz w:val="20"/>
                <w:szCs w:val="20"/>
              </w:rPr>
            </w:pPr>
            <w:r w:rsidRPr="0085691B">
              <w:rPr>
                <w:rFonts w:cs="Arial"/>
                <w:sz w:val="20"/>
                <w:szCs w:val="20"/>
              </w:rPr>
              <w:t xml:space="preserve">18.2 </w:t>
            </w:r>
          </w:p>
        </w:tc>
        <w:tc>
          <w:tcPr>
            <w:tcW w:w="717" w:type="dxa"/>
            <w:vAlign w:val="bottom"/>
          </w:tcPr>
          <w:p w14:paraId="22F0504B" w14:textId="77777777" w:rsidR="00477A32" w:rsidRPr="0085691B" w:rsidRDefault="00477A32">
            <w:pPr>
              <w:rPr>
                <w:rFonts w:cs="Arial"/>
                <w:sz w:val="20"/>
                <w:szCs w:val="20"/>
              </w:rPr>
            </w:pPr>
            <w:r w:rsidRPr="0085691B">
              <w:rPr>
                <w:rFonts w:cs="Arial"/>
                <w:sz w:val="20"/>
                <w:szCs w:val="20"/>
              </w:rPr>
              <w:t xml:space="preserve">18.3 </w:t>
            </w:r>
          </w:p>
        </w:tc>
        <w:tc>
          <w:tcPr>
            <w:tcW w:w="717" w:type="dxa"/>
            <w:vAlign w:val="bottom"/>
          </w:tcPr>
          <w:p w14:paraId="78452555" w14:textId="77777777" w:rsidR="00477A32" w:rsidRPr="0085691B" w:rsidRDefault="00477A32">
            <w:pPr>
              <w:rPr>
                <w:rFonts w:cs="Arial"/>
                <w:sz w:val="20"/>
                <w:szCs w:val="20"/>
              </w:rPr>
            </w:pPr>
            <w:r w:rsidRPr="0085691B">
              <w:rPr>
                <w:rFonts w:cs="Arial"/>
                <w:sz w:val="20"/>
                <w:szCs w:val="20"/>
              </w:rPr>
              <w:t xml:space="preserve">18.4 </w:t>
            </w:r>
          </w:p>
        </w:tc>
        <w:tc>
          <w:tcPr>
            <w:tcW w:w="717" w:type="dxa"/>
            <w:vAlign w:val="bottom"/>
          </w:tcPr>
          <w:p w14:paraId="0FB617AE" w14:textId="77777777" w:rsidR="00477A32" w:rsidRPr="0085691B" w:rsidRDefault="00477A32">
            <w:pPr>
              <w:rPr>
                <w:rFonts w:cs="Arial"/>
                <w:sz w:val="20"/>
                <w:szCs w:val="20"/>
              </w:rPr>
            </w:pPr>
            <w:r w:rsidRPr="0085691B">
              <w:rPr>
                <w:rFonts w:cs="Arial"/>
                <w:sz w:val="20"/>
                <w:szCs w:val="20"/>
              </w:rPr>
              <w:t xml:space="preserve">18.5 </w:t>
            </w:r>
          </w:p>
        </w:tc>
        <w:tc>
          <w:tcPr>
            <w:tcW w:w="717" w:type="dxa"/>
            <w:vAlign w:val="bottom"/>
          </w:tcPr>
          <w:p w14:paraId="57B733F8" w14:textId="77777777" w:rsidR="00477A32" w:rsidRPr="0085691B" w:rsidRDefault="00477A32">
            <w:pPr>
              <w:rPr>
                <w:rFonts w:cs="Arial"/>
                <w:sz w:val="20"/>
                <w:szCs w:val="20"/>
              </w:rPr>
            </w:pPr>
            <w:r w:rsidRPr="0085691B">
              <w:rPr>
                <w:rFonts w:cs="Arial"/>
                <w:sz w:val="20"/>
                <w:szCs w:val="20"/>
              </w:rPr>
              <w:t xml:space="preserve">18.7 </w:t>
            </w:r>
          </w:p>
        </w:tc>
        <w:tc>
          <w:tcPr>
            <w:tcW w:w="717" w:type="dxa"/>
            <w:vAlign w:val="bottom"/>
          </w:tcPr>
          <w:p w14:paraId="2A518F0E" w14:textId="77777777" w:rsidR="00477A32" w:rsidRPr="0085691B" w:rsidRDefault="00477A32">
            <w:pPr>
              <w:rPr>
                <w:rFonts w:cs="Arial"/>
                <w:sz w:val="20"/>
                <w:szCs w:val="20"/>
              </w:rPr>
            </w:pPr>
            <w:r w:rsidRPr="0085691B">
              <w:rPr>
                <w:rFonts w:cs="Arial"/>
                <w:sz w:val="20"/>
                <w:szCs w:val="20"/>
              </w:rPr>
              <w:t xml:space="preserve">18.8 </w:t>
            </w:r>
          </w:p>
        </w:tc>
        <w:tc>
          <w:tcPr>
            <w:tcW w:w="717" w:type="dxa"/>
            <w:vAlign w:val="bottom"/>
          </w:tcPr>
          <w:p w14:paraId="15E9DD63" w14:textId="77777777" w:rsidR="00477A32" w:rsidRPr="0085691B" w:rsidRDefault="00477A32">
            <w:pPr>
              <w:rPr>
                <w:rFonts w:cs="Arial"/>
                <w:sz w:val="20"/>
                <w:szCs w:val="20"/>
              </w:rPr>
            </w:pPr>
            <w:r w:rsidRPr="0085691B">
              <w:rPr>
                <w:rFonts w:cs="Arial"/>
                <w:sz w:val="20"/>
                <w:szCs w:val="20"/>
              </w:rPr>
              <w:t xml:space="preserve">18.9 </w:t>
            </w:r>
          </w:p>
        </w:tc>
        <w:tc>
          <w:tcPr>
            <w:tcW w:w="717" w:type="dxa"/>
            <w:vAlign w:val="bottom"/>
          </w:tcPr>
          <w:p w14:paraId="47DED583" w14:textId="77777777" w:rsidR="00477A32" w:rsidRPr="0085691B" w:rsidRDefault="00477A32">
            <w:pPr>
              <w:rPr>
                <w:rFonts w:cs="Arial"/>
                <w:sz w:val="20"/>
                <w:szCs w:val="20"/>
              </w:rPr>
            </w:pPr>
            <w:r w:rsidRPr="0085691B">
              <w:rPr>
                <w:rFonts w:cs="Arial"/>
                <w:sz w:val="20"/>
                <w:szCs w:val="20"/>
              </w:rPr>
              <w:t xml:space="preserve">19.0 </w:t>
            </w:r>
          </w:p>
        </w:tc>
        <w:tc>
          <w:tcPr>
            <w:tcW w:w="717" w:type="dxa"/>
            <w:vAlign w:val="bottom"/>
          </w:tcPr>
          <w:p w14:paraId="4AB1E56C" w14:textId="77777777" w:rsidR="00477A32" w:rsidRPr="0085691B" w:rsidRDefault="00477A32">
            <w:pPr>
              <w:rPr>
                <w:rFonts w:cs="Arial"/>
                <w:sz w:val="20"/>
                <w:szCs w:val="20"/>
              </w:rPr>
            </w:pPr>
            <w:r w:rsidRPr="0085691B">
              <w:rPr>
                <w:rFonts w:cs="Arial"/>
                <w:sz w:val="20"/>
                <w:szCs w:val="20"/>
              </w:rPr>
              <w:t xml:space="preserve">19.1 </w:t>
            </w:r>
          </w:p>
        </w:tc>
        <w:tc>
          <w:tcPr>
            <w:tcW w:w="717" w:type="dxa"/>
            <w:vAlign w:val="bottom"/>
          </w:tcPr>
          <w:p w14:paraId="25BB2A1E" w14:textId="77777777" w:rsidR="00477A32" w:rsidRPr="0085691B" w:rsidRDefault="00477A32">
            <w:pPr>
              <w:rPr>
                <w:rFonts w:cs="Arial"/>
                <w:sz w:val="20"/>
                <w:szCs w:val="20"/>
              </w:rPr>
            </w:pPr>
            <w:r w:rsidRPr="0085691B">
              <w:rPr>
                <w:rFonts w:cs="Arial"/>
                <w:sz w:val="20"/>
                <w:szCs w:val="20"/>
              </w:rPr>
              <w:t xml:space="preserve">19.3 </w:t>
            </w:r>
          </w:p>
        </w:tc>
      </w:tr>
      <w:tr w:rsidR="00477A32" w14:paraId="1D45A3BA" w14:textId="77777777" w:rsidTr="00CB6699">
        <w:trPr>
          <w:trHeight w:val="250"/>
        </w:trPr>
        <w:tc>
          <w:tcPr>
            <w:tcW w:w="1583" w:type="dxa"/>
            <w:vMerge w:val="restart"/>
            <w:shd w:val="clear" w:color="auto" w:fill="4877E0" w:themeFill="accent1"/>
          </w:tcPr>
          <w:p w14:paraId="224C1215" w14:textId="77777777" w:rsidR="00477A32" w:rsidRPr="005F5D0D" w:rsidRDefault="00477A32">
            <w:pPr>
              <w:rPr>
                <w:rFonts w:cs="Arial"/>
                <w:b/>
                <w:color w:val="FFFFFF" w:themeColor="background1"/>
                <w:sz w:val="20"/>
                <w:szCs w:val="20"/>
              </w:rPr>
            </w:pPr>
            <w:r w:rsidRPr="005F5D0D">
              <w:rPr>
                <w:rFonts w:cs="Arial"/>
                <w:b/>
                <w:color w:val="FFFFFF" w:themeColor="background1"/>
                <w:sz w:val="20"/>
                <w:szCs w:val="20"/>
              </w:rPr>
              <w:t>Formaldehyde</w:t>
            </w:r>
          </w:p>
        </w:tc>
        <w:tc>
          <w:tcPr>
            <w:tcW w:w="1061" w:type="dxa"/>
            <w:shd w:val="clear" w:color="auto" w:fill="DAE3F8" w:themeFill="accent1" w:themeFillTint="33"/>
            <w:vAlign w:val="center"/>
          </w:tcPr>
          <w:p w14:paraId="5B5E7AC8" w14:textId="77777777" w:rsidR="00477A32" w:rsidRPr="0085691B" w:rsidRDefault="00477A32">
            <w:pPr>
              <w:rPr>
                <w:rFonts w:cs="Arial"/>
                <w:sz w:val="20"/>
                <w:szCs w:val="20"/>
              </w:rPr>
            </w:pPr>
            <w:r w:rsidRPr="0085691B">
              <w:rPr>
                <w:rFonts w:cs="Arial"/>
                <w:sz w:val="20"/>
                <w:szCs w:val="20"/>
              </w:rPr>
              <w:t>Low</w:t>
            </w:r>
          </w:p>
        </w:tc>
        <w:tc>
          <w:tcPr>
            <w:tcW w:w="717" w:type="dxa"/>
            <w:shd w:val="clear" w:color="auto" w:fill="DAE3F8" w:themeFill="accent1" w:themeFillTint="33"/>
            <w:vAlign w:val="bottom"/>
          </w:tcPr>
          <w:p w14:paraId="52992B9D"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592B0185"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61E64333"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59ACED58"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5A1A1F6F"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3734D6B1"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011D1753"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54148885"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32C62717" w14:textId="77777777" w:rsidR="00477A32" w:rsidRPr="0085691B" w:rsidRDefault="00477A32">
            <w:pPr>
              <w:rPr>
                <w:rFonts w:cs="Arial"/>
                <w:sz w:val="20"/>
                <w:szCs w:val="20"/>
              </w:rPr>
            </w:pPr>
            <w:r w:rsidRPr="0085691B">
              <w:rPr>
                <w:rFonts w:cs="Arial"/>
                <w:sz w:val="20"/>
                <w:szCs w:val="20"/>
              </w:rPr>
              <w:t xml:space="preserve">0.8 </w:t>
            </w:r>
          </w:p>
        </w:tc>
        <w:tc>
          <w:tcPr>
            <w:tcW w:w="717" w:type="dxa"/>
            <w:shd w:val="clear" w:color="auto" w:fill="DAE3F8" w:themeFill="accent1" w:themeFillTint="33"/>
            <w:vAlign w:val="bottom"/>
          </w:tcPr>
          <w:p w14:paraId="76D67B50" w14:textId="77777777" w:rsidR="00477A32" w:rsidRPr="0085691B" w:rsidRDefault="00477A32">
            <w:pPr>
              <w:rPr>
                <w:rFonts w:cs="Arial"/>
                <w:sz w:val="20"/>
                <w:szCs w:val="20"/>
              </w:rPr>
            </w:pPr>
            <w:r w:rsidRPr="0085691B">
              <w:rPr>
                <w:rFonts w:cs="Arial"/>
                <w:sz w:val="20"/>
                <w:szCs w:val="20"/>
              </w:rPr>
              <w:t xml:space="preserve">0.8 </w:t>
            </w:r>
          </w:p>
        </w:tc>
      </w:tr>
      <w:tr w:rsidR="00477A32" w14:paraId="62998E7F" w14:textId="77777777" w:rsidTr="00CB6699">
        <w:trPr>
          <w:trHeight w:val="144"/>
        </w:trPr>
        <w:tc>
          <w:tcPr>
            <w:tcW w:w="1583" w:type="dxa"/>
            <w:vMerge/>
            <w:shd w:val="clear" w:color="auto" w:fill="4877E0" w:themeFill="accent1"/>
          </w:tcPr>
          <w:p w14:paraId="13A6CD32" w14:textId="77777777" w:rsidR="00477A32" w:rsidRPr="008D3863" w:rsidRDefault="00477A32">
            <w:pPr>
              <w:rPr>
                <w:rFonts w:cs="Arial"/>
                <w:b/>
                <w:color w:val="FFFFFF" w:themeColor="background1"/>
                <w:sz w:val="20"/>
                <w:szCs w:val="20"/>
              </w:rPr>
            </w:pPr>
          </w:p>
        </w:tc>
        <w:tc>
          <w:tcPr>
            <w:tcW w:w="1061" w:type="dxa"/>
            <w:vAlign w:val="center"/>
          </w:tcPr>
          <w:p w14:paraId="011ABA9B" w14:textId="77777777" w:rsidR="00477A32" w:rsidRPr="0085691B" w:rsidRDefault="00477A32">
            <w:pPr>
              <w:rPr>
                <w:rFonts w:cs="Arial"/>
                <w:sz w:val="20"/>
                <w:szCs w:val="20"/>
              </w:rPr>
            </w:pPr>
            <w:r w:rsidRPr="0085691B">
              <w:rPr>
                <w:rFonts w:cs="Arial"/>
                <w:sz w:val="20"/>
                <w:szCs w:val="20"/>
              </w:rPr>
              <w:t>Mean</w:t>
            </w:r>
          </w:p>
        </w:tc>
        <w:tc>
          <w:tcPr>
            <w:tcW w:w="717" w:type="dxa"/>
            <w:vAlign w:val="center"/>
          </w:tcPr>
          <w:p w14:paraId="79756BB3"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28B1B65B"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44AD7788"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4DCF7845"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2B45BD11"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2D731263"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3295384E"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219DE819"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41DDBFCE" w14:textId="77777777" w:rsidR="00477A32" w:rsidRPr="0085691B" w:rsidRDefault="00477A32">
            <w:pPr>
              <w:rPr>
                <w:rFonts w:cs="Arial"/>
                <w:sz w:val="20"/>
                <w:szCs w:val="20"/>
              </w:rPr>
            </w:pPr>
            <w:r w:rsidRPr="0085691B">
              <w:rPr>
                <w:rFonts w:cs="Arial"/>
                <w:sz w:val="20"/>
                <w:szCs w:val="20"/>
              </w:rPr>
              <w:t>1.1</w:t>
            </w:r>
          </w:p>
        </w:tc>
        <w:tc>
          <w:tcPr>
            <w:tcW w:w="717" w:type="dxa"/>
            <w:vAlign w:val="center"/>
          </w:tcPr>
          <w:p w14:paraId="73140891" w14:textId="77777777" w:rsidR="00477A32" w:rsidRPr="0085691B" w:rsidRDefault="00477A32">
            <w:pPr>
              <w:rPr>
                <w:rFonts w:cs="Arial"/>
                <w:sz w:val="20"/>
                <w:szCs w:val="20"/>
              </w:rPr>
            </w:pPr>
            <w:r w:rsidRPr="0085691B">
              <w:rPr>
                <w:rFonts w:cs="Arial"/>
                <w:sz w:val="20"/>
                <w:szCs w:val="20"/>
              </w:rPr>
              <w:t>1.1</w:t>
            </w:r>
          </w:p>
        </w:tc>
      </w:tr>
      <w:tr w:rsidR="00477A32" w14:paraId="29CC9BEF" w14:textId="77777777" w:rsidTr="00CB6699">
        <w:trPr>
          <w:trHeight w:val="144"/>
        </w:trPr>
        <w:tc>
          <w:tcPr>
            <w:tcW w:w="1583" w:type="dxa"/>
            <w:vMerge/>
            <w:shd w:val="clear" w:color="auto" w:fill="4877E0" w:themeFill="accent1"/>
          </w:tcPr>
          <w:p w14:paraId="37FC86AA" w14:textId="77777777" w:rsidR="00477A32" w:rsidRPr="008D3863" w:rsidRDefault="00477A32">
            <w:pPr>
              <w:rPr>
                <w:rFonts w:cs="Arial"/>
                <w:b/>
                <w:color w:val="FFFFFF" w:themeColor="background1"/>
                <w:sz w:val="20"/>
                <w:szCs w:val="20"/>
              </w:rPr>
            </w:pPr>
          </w:p>
        </w:tc>
        <w:tc>
          <w:tcPr>
            <w:tcW w:w="1061" w:type="dxa"/>
            <w:shd w:val="clear" w:color="auto" w:fill="DAE3F8" w:themeFill="accent1" w:themeFillTint="33"/>
            <w:vAlign w:val="center"/>
          </w:tcPr>
          <w:p w14:paraId="6DC6EA24" w14:textId="77777777" w:rsidR="00477A32" w:rsidRPr="0085691B" w:rsidRDefault="00477A32">
            <w:pPr>
              <w:rPr>
                <w:rFonts w:cs="Arial"/>
                <w:sz w:val="20"/>
                <w:szCs w:val="20"/>
              </w:rPr>
            </w:pPr>
            <w:r w:rsidRPr="0085691B">
              <w:rPr>
                <w:rFonts w:cs="Arial"/>
                <w:sz w:val="20"/>
                <w:szCs w:val="20"/>
              </w:rPr>
              <w:t>High</w:t>
            </w:r>
          </w:p>
        </w:tc>
        <w:tc>
          <w:tcPr>
            <w:tcW w:w="717" w:type="dxa"/>
            <w:shd w:val="clear" w:color="auto" w:fill="DAE3F8" w:themeFill="accent1" w:themeFillTint="33"/>
            <w:vAlign w:val="bottom"/>
          </w:tcPr>
          <w:p w14:paraId="031164BD" w14:textId="77777777" w:rsidR="00477A32" w:rsidRPr="0085691B" w:rsidRDefault="00477A32">
            <w:pPr>
              <w:rPr>
                <w:rFonts w:cs="Arial"/>
                <w:sz w:val="20"/>
                <w:szCs w:val="20"/>
              </w:rPr>
            </w:pPr>
            <w:r w:rsidRPr="0085691B">
              <w:rPr>
                <w:rFonts w:cs="Arial"/>
                <w:sz w:val="20"/>
                <w:szCs w:val="20"/>
              </w:rPr>
              <w:t xml:space="preserve">1.7 </w:t>
            </w:r>
          </w:p>
        </w:tc>
        <w:tc>
          <w:tcPr>
            <w:tcW w:w="717" w:type="dxa"/>
            <w:shd w:val="clear" w:color="auto" w:fill="DAE3F8" w:themeFill="accent1" w:themeFillTint="33"/>
            <w:vAlign w:val="bottom"/>
          </w:tcPr>
          <w:p w14:paraId="4D524B4D" w14:textId="77777777" w:rsidR="00477A32" w:rsidRPr="0085691B" w:rsidRDefault="00477A32">
            <w:pPr>
              <w:rPr>
                <w:rFonts w:cs="Arial"/>
                <w:sz w:val="20"/>
                <w:szCs w:val="20"/>
              </w:rPr>
            </w:pPr>
            <w:r w:rsidRPr="0085691B">
              <w:rPr>
                <w:rFonts w:cs="Arial"/>
                <w:sz w:val="20"/>
                <w:szCs w:val="20"/>
              </w:rPr>
              <w:t xml:space="preserve">1.7 </w:t>
            </w:r>
          </w:p>
        </w:tc>
        <w:tc>
          <w:tcPr>
            <w:tcW w:w="717" w:type="dxa"/>
            <w:shd w:val="clear" w:color="auto" w:fill="DAE3F8" w:themeFill="accent1" w:themeFillTint="33"/>
            <w:vAlign w:val="bottom"/>
          </w:tcPr>
          <w:p w14:paraId="691F9BFE" w14:textId="77777777" w:rsidR="00477A32" w:rsidRPr="0085691B" w:rsidRDefault="00477A32">
            <w:pPr>
              <w:rPr>
                <w:rFonts w:cs="Arial"/>
                <w:sz w:val="20"/>
                <w:szCs w:val="20"/>
              </w:rPr>
            </w:pPr>
            <w:r w:rsidRPr="0085691B">
              <w:rPr>
                <w:rFonts w:cs="Arial"/>
                <w:sz w:val="20"/>
                <w:szCs w:val="20"/>
              </w:rPr>
              <w:t xml:space="preserve">1.7 </w:t>
            </w:r>
          </w:p>
        </w:tc>
        <w:tc>
          <w:tcPr>
            <w:tcW w:w="717" w:type="dxa"/>
            <w:shd w:val="clear" w:color="auto" w:fill="DAE3F8" w:themeFill="accent1" w:themeFillTint="33"/>
            <w:vAlign w:val="bottom"/>
          </w:tcPr>
          <w:p w14:paraId="7CB05A01" w14:textId="77777777" w:rsidR="00477A32" w:rsidRPr="0085691B" w:rsidRDefault="00477A32">
            <w:pPr>
              <w:rPr>
                <w:rFonts w:cs="Arial"/>
                <w:sz w:val="20"/>
                <w:szCs w:val="20"/>
              </w:rPr>
            </w:pPr>
            <w:r w:rsidRPr="0085691B">
              <w:rPr>
                <w:rFonts w:cs="Arial"/>
                <w:sz w:val="20"/>
                <w:szCs w:val="20"/>
              </w:rPr>
              <w:t xml:space="preserve">1.7 </w:t>
            </w:r>
          </w:p>
        </w:tc>
        <w:tc>
          <w:tcPr>
            <w:tcW w:w="717" w:type="dxa"/>
            <w:shd w:val="clear" w:color="auto" w:fill="DAE3F8" w:themeFill="accent1" w:themeFillTint="33"/>
            <w:vAlign w:val="bottom"/>
          </w:tcPr>
          <w:p w14:paraId="1479C670" w14:textId="77777777" w:rsidR="00477A32" w:rsidRPr="0085691B" w:rsidRDefault="00477A32">
            <w:pPr>
              <w:rPr>
                <w:rFonts w:cs="Arial"/>
                <w:sz w:val="20"/>
                <w:szCs w:val="20"/>
              </w:rPr>
            </w:pPr>
            <w:r w:rsidRPr="0085691B">
              <w:rPr>
                <w:rFonts w:cs="Arial"/>
                <w:sz w:val="20"/>
                <w:szCs w:val="20"/>
              </w:rPr>
              <w:t xml:space="preserve">1.7 </w:t>
            </w:r>
          </w:p>
        </w:tc>
        <w:tc>
          <w:tcPr>
            <w:tcW w:w="717" w:type="dxa"/>
            <w:shd w:val="clear" w:color="auto" w:fill="DAE3F8" w:themeFill="accent1" w:themeFillTint="33"/>
            <w:vAlign w:val="bottom"/>
          </w:tcPr>
          <w:p w14:paraId="1EBE63B9" w14:textId="77777777" w:rsidR="00477A32" w:rsidRPr="0085691B" w:rsidRDefault="00477A32">
            <w:pPr>
              <w:rPr>
                <w:rFonts w:cs="Arial"/>
                <w:sz w:val="20"/>
                <w:szCs w:val="20"/>
              </w:rPr>
            </w:pPr>
            <w:r w:rsidRPr="0085691B">
              <w:rPr>
                <w:rFonts w:cs="Arial"/>
                <w:sz w:val="20"/>
                <w:szCs w:val="20"/>
              </w:rPr>
              <w:t xml:space="preserve">1.8 </w:t>
            </w:r>
          </w:p>
        </w:tc>
        <w:tc>
          <w:tcPr>
            <w:tcW w:w="717" w:type="dxa"/>
            <w:shd w:val="clear" w:color="auto" w:fill="DAE3F8" w:themeFill="accent1" w:themeFillTint="33"/>
            <w:vAlign w:val="bottom"/>
          </w:tcPr>
          <w:p w14:paraId="09046A0E" w14:textId="77777777" w:rsidR="00477A32" w:rsidRPr="0085691B" w:rsidRDefault="00477A32">
            <w:pPr>
              <w:rPr>
                <w:rFonts w:cs="Arial"/>
                <w:sz w:val="20"/>
                <w:szCs w:val="20"/>
              </w:rPr>
            </w:pPr>
            <w:r w:rsidRPr="0085691B">
              <w:rPr>
                <w:rFonts w:cs="Arial"/>
                <w:sz w:val="20"/>
                <w:szCs w:val="20"/>
              </w:rPr>
              <w:t xml:space="preserve">1.8 </w:t>
            </w:r>
          </w:p>
        </w:tc>
        <w:tc>
          <w:tcPr>
            <w:tcW w:w="717" w:type="dxa"/>
            <w:shd w:val="clear" w:color="auto" w:fill="DAE3F8" w:themeFill="accent1" w:themeFillTint="33"/>
            <w:vAlign w:val="bottom"/>
          </w:tcPr>
          <w:p w14:paraId="09655742" w14:textId="77777777" w:rsidR="00477A32" w:rsidRPr="0085691B" w:rsidRDefault="00477A32">
            <w:pPr>
              <w:rPr>
                <w:rFonts w:cs="Arial"/>
                <w:sz w:val="20"/>
                <w:szCs w:val="20"/>
              </w:rPr>
            </w:pPr>
            <w:r w:rsidRPr="0085691B">
              <w:rPr>
                <w:rFonts w:cs="Arial"/>
                <w:sz w:val="20"/>
                <w:szCs w:val="20"/>
              </w:rPr>
              <w:t xml:space="preserve">1.8 </w:t>
            </w:r>
          </w:p>
        </w:tc>
        <w:tc>
          <w:tcPr>
            <w:tcW w:w="717" w:type="dxa"/>
            <w:shd w:val="clear" w:color="auto" w:fill="DAE3F8" w:themeFill="accent1" w:themeFillTint="33"/>
            <w:vAlign w:val="bottom"/>
          </w:tcPr>
          <w:p w14:paraId="0FD12CFC" w14:textId="77777777" w:rsidR="00477A32" w:rsidRPr="0085691B" w:rsidRDefault="00477A32">
            <w:pPr>
              <w:rPr>
                <w:rFonts w:cs="Arial"/>
                <w:sz w:val="20"/>
                <w:szCs w:val="20"/>
              </w:rPr>
            </w:pPr>
            <w:r w:rsidRPr="0085691B">
              <w:rPr>
                <w:rFonts w:cs="Arial"/>
                <w:sz w:val="20"/>
                <w:szCs w:val="20"/>
              </w:rPr>
              <w:t xml:space="preserve">1.8 </w:t>
            </w:r>
          </w:p>
        </w:tc>
        <w:tc>
          <w:tcPr>
            <w:tcW w:w="717" w:type="dxa"/>
            <w:shd w:val="clear" w:color="auto" w:fill="DAE3F8" w:themeFill="accent1" w:themeFillTint="33"/>
            <w:vAlign w:val="bottom"/>
          </w:tcPr>
          <w:p w14:paraId="66B78740" w14:textId="77777777" w:rsidR="00477A32" w:rsidRPr="0085691B" w:rsidRDefault="00477A32">
            <w:pPr>
              <w:rPr>
                <w:rFonts w:cs="Arial"/>
                <w:sz w:val="20"/>
                <w:szCs w:val="20"/>
              </w:rPr>
            </w:pPr>
            <w:r w:rsidRPr="0085691B">
              <w:rPr>
                <w:rFonts w:cs="Arial"/>
                <w:sz w:val="20"/>
                <w:szCs w:val="20"/>
              </w:rPr>
              <w:t xml:space="preserve">1.8 </w:t>
            </w:r>
          </w:p>
        </w:tc>
      </w:tr>
      <w:tr w:rsidR="00477A32" w14:paraId="3AB1F5BE" w14:textId="77777777" w:rsidTr="00CB6699">
        <w:trPr>
          <w:trHeight w:val="250"/>
        </w:trPr>
        <w:tc>
          <w:tcPr>
            <w:tcW w:w="1583" w:type="dxa"/>
            <w:vMerge w:val="restart"/>
            <w:shd w:val="clear" w:color="auto" w:fill="4877E0" w:themeFill="accent1"/>
          </w:tcPr>
          <w:p w14:paraId="2986F911" w14:textId="77777777" w:rsidR="00477A32" w:rsidRPr="005F5D0D" w:rsidRDefault="00477A32">
            <w:pPr>
              <w:rPr>
                <w:rFonts w:cs="Arial"/>
                <w:b/>
                <w:color w:val="FFFFFF" w:themeColor="background1"/>
                <w:sz w:val="20"/>
                <w:szCs w:val="20"/>
              </w:rPr>
            </w:pPr>
            <w:r w:rsidRPr="005F5D0D">
              <w:rPr>
                <w:rFonts w:cs="Arial"/>
                <w:b/>
                <w:color w:val="FFFFFF" w:themeColor="background1"/>
                <w:sz w:val="20"/>
                <w:szCs w:val="20"/>
              </w:rPr>
              <w:t>RCS</w:t>
            </w:r>
          </w:p>
        </w:tc>
        <w:tc>
          <w:tcPr>
            <w:tcW w:w="1061" w:type="dxa"/>
            <w:vAlign w:val="center"/>
          </w:tcPr>
          <w:p w14:paraId="3A0DC177" w14:textId="77777777" w:rsidR="00477A32" w:rsidRPr="0085691B" w:rsidRDefault="00477A32">
            <w:pPr>
              <w:rPr>
                <w:rFonts w:cs="Arial"/>
                <w:sz w:val="20"/>
                <w:szCs w:val="20"/>
              </w:rPr>
            </w:pPr>
            <w:r w:rsidRPr="0085691B">
              <w:rPr>
                <w:rFonts w:cs="Arial"/>
                <w:sz w:val="20"/>
                <w:szCs w:val="20"/>
              </w:rPr>
              <w:t>Low</w:t>
            </w:r>
          </w:p>
        </w:tc>
        <w:tc>
          <w:tcPr>
            <w:tcW w:w="717" w:type="dxa"/>
            <w:vAlign w:val="bottom"/>
          </w:tcPr>
          <w:p w14:paraId="3CC3C63A" w14:textId="77777777" w:rsidR="00477A32" w:rsidRPr="0085691B" w:rsidRDefault="00477A32">
            <w:pPr>
              <w:rPr>
                <w:rFonts w:cs="Arial"/>
                <w:sz w:val="20"/>
                <w:szCs w:val="20"/>
              </w:rPr>
            </w:pPr>
            <w:r w:rsidRPr="0085691B">
              <w:rPr>
                <w:rFonts w:cs="Arial"/>
                <w:sz w:val="20"/>
                <w:szCs w:val="20"/>
              </w:rPr>
              <w:t xml:space="preserve">35.2 </w:t>
            </w:r>
          </w:p>
        </w:tc>
        <w:tc>
          <w:tcPr>
            <w:tcW w:w="717" w:type="dxa"/>
            <w:vAlign w:val="bottom"/>
          </w:tcPr>
          <w:p w14:paraId="3D986A4C" w14:textId="77777777" w:rsidR="00477A32" w:rsidRPr="0085691B" w:rsidRDefault="00477A32">
            <w:pPr>
              <w:rPr>
                <w:rFonts w:cs="Arial"/>
                <w:sz w:val="20"/>
                <w:szCs w:val="20"/>
              </w:rPr>
            </w:pPr>
            <w:r w:rsidRPr="0085691B">
              <w:rPr>
                <w:rFonts w:cs="Arial"/>
                <w:sz w:val="20"/>
                <w:szCs w:val="20"/>
              </w:rPr>
              <w:t xml:space="preserve">34.6 </w:t>
            </w:r>
          </w:p>
        </w:tc>
        <w:tc>
          <w:tcPr>
            <w:tcW w:w="717" w:type="dxa"/>
            <w:vAlign w:val="bottom"/>
          </w:tcPr>
          <w:p w14:paraId="1B32CD8A" w14:textId="77777777" w:rsidR="00477A32" w:rsidRPr="0085691B" w:rsidRDefault="00477A32">
            <w:pPr>
              <w:rPr>
                <w:rFonts w:cs="Arial"/>
                <w:sz w:val="20"/>
                <w:szCs w:val="20"/>
              </w:rPr>
            </w:pPr>
            <w:r w:rsidRPr="0085691B">
              <w:rPr>
                <w:rFonts w:cs="Arial"/>
                <w:sz w:val="20"/>
                <w:szCs w:val="20"/>
              </w:rPr>
              <w:t xml:space="preserve">33.9 </w:t>
            </w:r>
          </w:p>
        </w:tc>
        <w:tc>
          <w:tcPr>
            <w:tcW w:w="717" w:type="dxa"/>
            <w:vAlign w:val="bottom"/>
          </w:tcPr>
          <w:p w14:paraId="0703D824" w14:textId="77777777" w:rsidR="00477A32" w:rsidRPr="0085691B" w:rsidRDefault="00477A32">
            <w:pPr>
              <w:rPr>
                <w:rFonts w:cs="Arial"/>
                <w:sz w:val="20"/>
                <w:szCs w:val="20"/>
              </w:rPr>
            </w:pPr>
            <w:r w:rsidRPr="0085691B">
              <w:rPr>
                <w:rFonts w:cs="Arial"/>
                <w:sz w:val="20"/>
                <w:szCs w:val="20"/>
              </w:rPr>
              <w:t xml:space="preserve">33.3 </w:t>
            </w:r>
          </w:p>
        </w:tc>
        <w:tc>
          <w:tcPr>
            <w:tcW w:w="717" w:type="dxa"/>
            <w:vAlign w:val="bottom"/>
          </w:tcPr>
          <w:p w14:paraId="3987889D" w14:textId="77777777" w:rsidR="00477A32" w:rsidRPr="0085691B" w:rsidRDefault="00477A32">
            <w:pPr>
              <w:rPr>
                <w:rFonts w:cs="Arial"/>
                <w:sz w:val="20"/>
                <w:szCs w:val="20"/>
              </w:rPr>
            </w:pPr>
            <w:r w:rsidRPr="0085691B">
              <w:rPr>
                <w:rFonts w:cs="Arial"/>
                <w:sz w:val="20"/>
                <w:szCs w:val="20"/>
              </w:rPr>
              <w:t xml:space="preserve">32.6 </w:t>
            </w:r>
          </w:p>
        </w:tc>
        <w:tc>
          <w:tcPr>
            <w:tcW w:w="717" w:type="dxa"/>
            <w:vAlign w:val="bottom"/>
          </w:tcPr>
          <w:p w14:paraId="1F90B6F8" w14:textId="77777777" w:rsidR="00477A32" w:rsidRPr="0085691B" w:rsidRDefault="00477A32">
            <w:pPr>
              <w:rPr>
                <w:rFonts w:cs="Arial"/>
                <w:sz w:val="20"/>
                <w:szCs w:val="20"/>
              </w:rPr>
            </w:pPr>
            <w:r w:rsidRPr="0085691B">
              <w:rPr>
                <w:rFonts w:cs="Arial"/>
                <w:sz w:val="20"/>
                <w:szCs w:val="20"/>
              </w:rPr>
              <w:t xml:space="preserve">32.0 </w:t>
            </w:r>
          </w:p>
        </w:tc>
        <w:tc>
          <w:tcPr>
            <w:tcW w:w="717" w:type="dxa"/>
            <w:vAlign w:val="bottom"/>
          </w:tcPr>
          <w:p w14:paraId="0DC809F6" w14:textId="77777777" w:rsidR="00477A32" w:rsidRPr="0085691B" w:rsidRDefault="00477A32">
            <w:pPr>
              <w:rPr>
                <w:rFonts w:cs="Arial"/>
                <w:sz w:val="20"/>
                <w:szCs w:val="20"/>
              </w:rPr>
            </w:pPr>
            <w:r w:rsidRPr="0085691B">
              <w:rPr>
                <w:rFonts w:cs="Arial"/>
                <w:sz w:val="20"/>
                <w:szCs w:val="20"/>
              </w:rPr>
              <w:t xml:space="preserve">31.4 </w:t>
            </w:r>
          </w:p>
        </w:tc>
        <w:tc>
          <w:tcPr>
            <w:tcW w:w="717" w:type="dxa"/>
            <w:vAlign w:val="bottom"/>
          </w:tcPr>
          <w:p w14:paraId="4E32C8E1" w14:textId="77777777" w:rsidR="00477A32" w:rsidRPr="0085691B" w:rsidRDefault="00477A32">
            <w:pPr>
              <w:rPr>
                <w:rFonts w:cs="Arial"/>
                <w:sz w:val="20"/>
                <w:szCs w:val="20"/>
              </w:rPr>
            </w:pPr>
            <w:r w:rsidRPr="0085691B">
              <w:rPr>
                <w:rFonts w:cs="Arial"/>
                <w:sz w:val="20"/>
                <w:szCs w:val="20"/>
              </w:rPr>
              <w:t xml:space="preserve">30.8 </w:t>
            </w:r>
          </w:p>
        </w:tc>
        <w:tc>
          <w:tcPr>
            <w:tcW w:w="717" w:type="dxa"/>
            <w:vAlign w:val="bottom"/>
          </w:tcPr>
          <w:p w14:paraId="0D514784" w14:textId="77777777" w:rsidR="00477A32" w:rsidRPr="0085691B" w:rsidRDefault="00477A32">
            <w:pPr>
              <w:rPr>
                <w:rFonts w:cs="Arial"/>
                <w:sz w:val="20"/>
                <w:szCs w:val="20"/>
              </w:rPr>
            </w:pPr>
            <w:r w:rsidRPr="0085691B">
              <w:rPr>
                <w:rFonts w:cs="Arial"/>
                <w:sz w:val="20"/>
                <w:szCs w:val="20"/>
              </w:rPr>
              <w:t xml:space="preserve">30.2 </w:t>
            </w:r>
          </w:p>
        </w:tc>
        <w:tc>
          <w:tcPr>
            <w:tcW w:w="717" w:type="dxa"/>
            <w:vAlign w:val="bottom"/>
          </w:tcPr>
          <w:p w14:paraId="02315C63" w14:textId="77777777" w:rsidR="00477A32" w:rsidRPr="0085691B" w:rsidRDefault="00477A32">
            <w:pPr>
              <w:rPr>
                <w:rFonts w:cs="Arial"/>
                <w:sz w:val="20"/>
                <w:szCs w:val="20"/>
              </w:rPr>
            </w:pPr>
            <w:r w:rsidRPr="0085691B">
              <w:rPr>
                <w:rFonts w:cs="Arial"/>
                <w:sz w:val="20"/>
                <w:szCs w:val="20"/>
              </w:rPr>
              <w:t xml:space="preserve">29.6 </w:t>
            </w:r>
          </w:p>
        </w:tc>
      </w:tr>
      <w:tr w:rsidR="00477A32" w14:paraId="104ED181" w14:textId="77777777" w:rsidTr="00CB6699">
        <w:trPr>
          <w:trHeight w:val="144"/>
        </w:trPr>
        <w:tc>
          <w:tcPr>
            <w:tcW w:w="1583" w:type="dxa"/>
            <w:vMerge/>
            <w:shd w:val="clear" w:color="auto" w:fill="4877E0" w:themeFill="accent1"/>
          </w:tcPr>
          <w:p w14:paraId="582D4135" w14:textId="77777777" w:rsidR="00477A32" w:rsidRPr="0085691B" w:rsidRDefault="00477A32">
            <w:pPr>
              <w:rPr>
                <w:rFonts w:cs="Arial"/>
                <w:sz w:val="20"/>
                <w:szCs w:val="20"/>
              </w:rPr>
            </w:pPr>
          </w:p>
        </w:tc>
        <w:tc>
          <w:tcPr>
            <w:tcW w:w="1061" w:type="dxa"/>
            <w:shd w:val="clear" w:color="auto" w:fill="DAE3F8" w:themeFill="accent1" w:themeFillTint="33"/>
            <w:vAlign w:val="center"/>
          </w:tcPr>
          <w:p w14:paraId="5B2B6E29" w14:textId="77777777" w:rsidR="00477A32" w:rsidRPr="0085691B" w:rsidRDefault="00477A32">
            <w:pPr>
              <w:rPr>
                <w:rFonts w:cs="Arial"/>
                <w:sz w:val="20"/>
                <w:szCs w:val="20"/>
              </w:rPr>
            </w:pPr>
            <w:r w:rsidRPr="0085691B">
              <w:rPr>
                <w:rFonts w:cs="Arial"/>
                <w:sz w:val="20"/>
                <w:szCs w:val="20"/>
              </w:rPr>
              <w:t>Mean</w:t>
            </w:r>
          </w:p>
        </w:tc>
        <w:tc>
          <w:tcPr>
            <w:tcW w:w="717" w:type="dxa"/>
            <w:shd w:val="clear" w:color="auto" w:fill="DAE3F8" w:themeFill="accent1" w:themeFillTint="33"/>
            <w:vAlign w:val="center"/>
          </w:tcPr>
          <w:p w14:paraId="2C2E07EB" w14:textId="77777777" w:rsidR="00477A32" w:rsidRPr="0085691B" w:rsidRDefault="00477A32">
            <w:pPr>
              <w:rPr>
                <w:rFonts w:cs="Arial"/>
                <w:sz w:val="20"/>
                <w:szCs w:val="20"/>
              </w:rPr>
            </w:pPr>
            <w:r w:rsidRPr="0085691B">
              <w:rPr>
                <w:rFonts w:cs="Arial"/>
                <w:sz w:val="20"/>
                <w:szCs w:val="20"/>
              </w:rPr>
              <w:t>127.2</w:t>
            </w:r>
          </w:p>
        </w:tc>
        <w:tc>
          <w:tcPr>
            <w:tcW w:w="717" w:type="dxa"/>
            <w:shd w:val="clear" w:color="auto" w:fill="DAE3F8" w:themeFill="accent1" w:themeFillTint="33"/>
            <w:vAlign w:val="center"/>
          </w:tcPr>
          <w:p w14:paraId="7CF280DC" w14:textId="77777777" w:rsidR="00477A32" w:rsidRPr="0085691B" w:rsidRDefault="00477A32">
            <w:pPr>
              <w:rPr>
                <w:rFonts w:cs="Arial"/>
                <w:sz w:val="20"/>
                <w:szCs w:val="20"/>
              </w:rPr>
            </w:pPr>
            <w:r w:rsidRPr="0085691B">
              <w:rPr>
                <w:rFonts w:cs="Arial"/>
                <w:sz w:val="20"/>
                <w:szCs w:val="20"/>
              </w:rPr>
              <w:t>128.7</w:t>
            </w:r>
          </w:p>
        </w:tc>
        <w:tc>
          <w:tcPr>
            <w:tcW w:w="717" w:type="dxa"/>
            <w:shd w:val="clear" w:color="auto" w:fill="DAE3F8" w:themeFill="accent1" w:themeFillTint="33"/>
            <w:vAlign w:val="center"/>
          </w:tcPr>
          <w:p w14:paraId="7E46647D" w14:textId="77777777" w:rsidR="00477A32" w:rsidRPr="0085691B" w:rsidRDefault="00477A32">
            <w:pPr>
              <w:rPr>
                <w:rFonts w:cs="Arial"/>
                <w:sz w:val="20"/>
                <w:szCs w:val="20"/>
              </w:rPr>
            </w:pPr>
            <w:r w:rsidRPr="0085691B">
              <w:rPr>
                <w:rFonts w:cs="Arial"/>
                <w:sz w:val="20"/>
                <w:szCs w:val="20"/>
              </w:rPr>
              <w:t>130.1</w:t>
            </w:r>
          </w:p>
        </w:tc>
        <w:tc>
          <w:tcPr>
            <w:tcW w:w="717" w:type="dxa"/>
            <w:shd w:val="clear" w:color="auto" w:fill="DAE3F8" w:themeFill="accent1" w:themeFillTint="33"/>
            <w:vAlign w:val="center"/>
          </w:tcPr>
          <w:p w14:paraId="6D8A1741" w14:textId="77777777" w:rsidR="00477A32" w:rsidRPr="0085691B" w:rsidRDefault="00477A32">
            <w:pPr>
              <w:rPr>
                <w:rFonts w:cs="Arial"/>
                <w:sz w:val="20"/>
                <w:szCs w:val="20"/>
              </w:rPr>
            </w:pPr>
            <w:r w:rsidRPr="0085691B">
              <w:rPr>
                <w:rFonts w:cs="Arial"/>
                <w:sz w:val="20"/>
                <w:szCs w:val="20"/>
              </w:rPr>
              <w:t>131.6</w:t>
            </w:r>
          </w:p>
        </w:tc>
        <w:tc>
          <w:tcPr>
            <w:tcW w:w="717" w:type="dxa"/>
            <w:shd w:val="clear" w:color="auto" w:fill="DAE3F8" w:themeFill="accent1" w:themeFillTint="33"/>
            <w:vAlign w:val="center"/>
          </w:tcPr>
          <w:p w14:paraId="65AAFE97" w14:textId="77777777" w:rsidR="00477A32" w:rsidRPr="0085691B" w:rsidRDefault="00477A32">
            <w:pPr>
              <w:rPr>
                <w:rFonts w:cs="Arial"/>
                <w:sz w:val="20"/>
                <w:szCs w:val="20"/>
              </w:rPr>
            </w:pPr>
            <w:r w:rsidRPr="0085691B">
              <w:rPr>
                <w:rFonts w:cs="Arial"/>
                <w:sz w:val="20"/>
                <w:szCs w:val="20"/>
              </w:rPr>
              <w:t>133.0</w:t>
            </w:r>
          </w:p>
        </w:tc>
        <w:tc>
          <w:tcPr>
            <w:tcW w:w="717" w:type="dxa"/>
            <w:shd w:val="clear" w:color="auto" w:fill="DAE3F8" w:themeFill="accent1" w:themeFillTint="33"/>
            <w:vAlign w:val="center"/>
          </w:tcPr>
          <w:p w14:paraId="6BF5C8EF" w14:textId="77777777" w:rsidR="00477A32" w:rsidRPr="0085691B" w:rsidRDefault="00477A32">
            <w:pPr>
              <w:rPr>
                <w:rFonts w:cs="Arial"/>
                <w:sz w:val="20"/>
                <w:szCs w:val="20"/>
              </w:rPr>
            </w:pPr>
            <w:r w:rsidRPr="0085691B">
              <w:rPr>
                <w:rFonts w:cs="Arial"/>
                <w:sz w:val="20"/>
                <w:szCs w:val="20"/>
              </w:rPr>
              <w:t>134.5</w:t>
            </w:r>
          </w:p>
        </w:tc>
        <w:tc>
          <w:tcPr>
            <w:tcW w:w="717" w:type="dxa"/>
            <w:shd w:val="clear" w:color="auto" w:fill="DAE3F8" w:themeFill="accent1" w:themeFillTint="33"/>
            <w:vAlign w:val="center"/>
          </w:tcPr>
          <w:p w14:paraId="4F2A701C" w14:textId="77777777" w:rsidR="00477A32" w:rsidRPr="0085691B" w:rsidRDefault="00477A32">
            <w:pPr>
              <w:rPr>
                <w:rFonts w:cs="Arial"/>
                <w:sz w:val="20"/>
                <w:szCs w:val="20"/>
              </w:rPr>
            </w:pPr>
            <w:r w:rsidRPr="0085691B">
              <w:rPr>
                <w:rFonts w:cs="Arial"/>
                <w:sz w:val="20"/>
                <w:szCs w:val="20"/>
              </w:rPr>
              <w:t>136.0</w:t>
            </w:r>
          </w:p>
        </w:tc>
        <w:tc>
          <w:tcPr>
            <w:tcW w:w="717" w:type="dxa"/>
            <w:shd w:val="clear" w:color="auto" w:fill="DAE3F8" w:themeFill="accent1" w:themeFillTint="33"/>
            <w:vAlign w:val="center"/>
          </w:tcPr>
          <w:p w14:paraId="2A1BC29B" w14:textId="77777777" w:rsidR="00477A32" w:rsidRPr="0085691B" w:rsidRDefault="00477A32">
            <w:pPr>
              <w:rPr>
                <w:rFonts w:cs="Arial"/>
                <w:sz w:val="20"/>
                <w:szCs w:val="20"/>
              </w:rPr>
            </w:pPr>
            <w:r w:rsidRPr="0085691B">
              <w:rPr>
                <w:rFonts w:cs="Arial"/>
                <w:sz w:val="20"/>
                <w:szCs w:val="20"/>
              </w:rPr>
              <w:t>137.6</w:t>
            </w:r>
          </w:p>
        </w:tc>
        <w:tc>
          <w:tcPr>
            <w:tcW w:w="717" w:type="dxa"/>
            <w:shd w:val="clear" w:color="auto" w:fill="DAE3F8" w:themeFill="accent1" w:themeFillTint="33"/>
            <w:vAlign w:val="center"/>
          </w:tcPr>
          <w:p w14:paraId="06058563" w14:textId="77777777" w:rsidR="00477A32" w:rsidRPr="0085691B" w:rsidRDefault="00477A32">
            <w:pPr>
              <w:rPr>
                <w:rFonts w:cs="Arial"/>
                <w:sz w:val="20"/>
                <w:szCs w:val="20"/>
              </w:rPr>
            </w:pPr>
            <w:r w:rsidRPr="0085691B">
              <w:rPr>
                <w:rFonts w:cs="Arial"/>
                <w:sz w:val="20"/>
                <w:szCs w:val="20"/>
              </w:rPr>
              <w:t>139.1</w:t>
            </w:r>
          </w:p>
        </w:tc>
        <w:tc>
          <w:tcPr>
            <w:tcW w:w="717" w:type="dxa"/>
            <w:shd w:val="clear" w:color="auto" w:fill="DAE3F8" w:themeFill="accent1" w:themeFillTint="33"/>
            <w:vAlign w:val="center"/>
          </w:tcPr>
          <w:p w14:paraId="1CDAC89C" w14:textId="77777777" w:rsidR="00477A32" w:rsidRPr="0085691B" w:rsidRDefault="00477A32">
            <w:pPr>
              <w:rPr>
                <w:rFonts w:cs="Arial"/>
                <w:sz w:val="20"/>
                <w:szCs w:val="20"/>
              </w:rPr>
            </w:pPr>
            <w:r w:rsidRPr="0085691B">
              <w:rPr>
                <w:rFonts w:cs="Arial"/>
                <w:sz w:val="20"/>
                <w:szCs w:val="20"/>
              </w:rPr>
              <w:t>140.7</w:t>
            </w:r>
          </w:p>
        </w:tc>
      </w:tr>
      <w:tr w:rsidR="00477A32" w14:paraId="323EBF8C" w14:textId="77777777" w:rsidTr="00CB6699">
        <w:trPr>
          <w:trHeight w:val="144"/>
        </w:trPr>
        <w:tc>
          <w:tcPr>
            <w:tcW w:w="1583" w:type="dxa"/>
            <w:vMerge/>
            <w:shd w:val="clear" w:color="auto" w:fill="4877E0" w:themeFill="accent1"/>
          </w:tcPr>
          <w:p w14:paraId="3AC80A9F" w14:textId="77777777" w:rsidR="00477A32" w:rsidRPr="0085691B" w:rsidRDefault="00477A32">
            <w:pPr>
              <w:rPr>
                <w:rFonts w:cs="Arial"/>
                <w:sz w:val="20"/>
                <w:szCs w:val="20"/>
              </w:rPr>
            </w:pPr>
          </w:p>
        </w:tc>
        <w:tc>
          <w:tcPr>
            <w:tcW w:w="1061" w:type="dxa"/>
            <w:vAlign w:val="center"/>
          </w:tcPr>
          <w:p w14:paraId="274C378D" w14:textId="77777777" w:rsidR="00477A32" w:rsidRPr="0085691B" w:rsidRDefault="00477A32">
            <w:pPr>
              <w:rPr>
                <w:rFonts w:cs="Arial"/>
                <w:sz w:val="20"/>
                <w:szCs w:val="20"/>
              </w:rPr>
            </w:pPr>
            <w:r w:rsidRPr="0085691B">
              <w:rPr>
                <w:rFonts w:cs="Arial"/>
                <w:sz w:val="20"/>
                <w:szCs w:val="20"/>
              </w:rPr>
              <w:t>High</w:t>
            </w:r>
          </w:p>
        </w:tc>
        <w:tc>
          <w:tcPr>
            <w:tcW w:w="717" w:type="dxa"/>
            <w:vAlign w:val="bottom"/>
          </w:tcPr>
          <w:p w14:paraId="31FBE222" w14:textId="77777777" w:rsidR="00477A32" w:rsidRPr="0085691B" w:rsidRDefault="00477A32">
            <w:pPr>
              <w:rPr>
                <w:rFonts w:cs="Arial"/>
                <w:sz w:val="20"/>
                <w:szCs w:val="20"/>
              </w:rPr>
            </w:pPr>
            <w:r w:rsidRPr="0085691B">
              <w:rPr>
                <w:rFonts w:cs="Arial"/>
                <w:sz w:val="20"/>
                <w:szCs w:val="20"/>
              </w:rPr>
              <w:t xml:space="preserve">231.0 </w:t>
            </w:r>
          </w:p>
        </w:tc>
        <w:tc>
          <w:tcPr>
            <w:tcW w:w="717" w:type="dxa"/>
            <w:vAlign w:val="bottom"/>
          </w:tcPr>
          <w:p w14:paraId="271EF7E3" w14:textId="77777777" w:rsidR="00477A32" w:rsidRPr="0085691B" w:rsidRDefault="00477A32">
            <w:pPr>
              <w:rPr>
                <w:rFonts w:cs="Arial"/>
                <w:sz w:val="20"/>
                <w:szCs w:val="20"/>
              </w:rPr>
            </w:pPr>
            <w:r w:rsidRPr="0085691B">
              <w:rPr>
                <w:rFonts w:cs="Arial"/>
                <w:sz w:val="20"/>
                <w:szCs w:val="20"/>
              </w:rPr>
              <w:t xml:space="preserve">234.9 </w:t>
            </w:r>
          </w:p>
        </w:tc>
        <w:tc>
          <w:tcPr>
            <w:tcW w:w="717" w:type="dxa"/>
            <w:vAlign w:val="bottom"/>
          </w:tcPr>
          <w:p w14:paraId="6A188885" w14:textId="77777777" w:rsidR="00477A32" w:rsidRPr="0085691B" w:rsidRDefault="00477A32">
            <w:pPr>
              <w:rPr>
                <w:rFonts w:cs="Arial"/>
                <w:sz w:val="20"/>
                <w:szCs w:val="20"/>
              </w:rPr>
            </w:pPr>
            <w:r w:rsidRPr="0085691B">
              <w:rPr>
                <w:rFonts w:cs="Arial"/>
                <w:sz w:val="20"/>
                <w:szCs w:val="20"/>
              </w:rPr>
              <w:t xml:space="preserve">239.0 </w:t>
            </w:r>
          </w:p>
        </w:tc>
        <w:tc>
          <w:tcPr>
            <w:tcW w:w="717" w:type="dxa"/>
            <w:vAlign w:val="bottom"/>
          </w:tcPr>
          <w:p w14:paraId="4A3A33FA" w14:textId="77777777" w:rsidR="00477A32" w:rsidRPr="0085691B" w:rsidRDefault="00477A32">
            <w:pPr>
              <w:rPr>
                <w:rFonts w:cs="Arial"/>
                <w:sz w:val="20"/>
                <w:szCs w:val="20"/>
              </w:rPr>
            </w:pPr>
            <w:r w:rsidRPr="0085691B">
              <w:rPr>
                <w:rFonts w:cs="Arial"/>
                <w:sz w:val="20"/>
                <w:szCs w:val="20"/>
              </w:rPr>
              <w:t xml:space="preserve">243.1 </w:t>
            </w:r>
          </w:p>
        </w:tc>
        <w:tc>
          <w:tcPr>
            <w:tcW w:w="717" w:type="dxa"/>
            <w:vAlign w:val="bottom"/>
          </w:tcPr>
          <w:p w14:paraId="35E8D99C" w14:textId="77777777" w:rsidR="00477A32" w:rsidRPr="0085691B" w:rsidRDefault="00477A32">
            <w:pPr>
              <w:rPr>
                <w:rFonts w:cs="Arial"/>
                <w:sz w:val="20"/>
                <w:szCs w:val="20"/>
              </w:rPr>
            </w:pPr>
            <w:r w:rsidRPr="0085691B">
              <w:rPr>
                <w:rFonts w:cs="Arial"/>
                <w:sz w:val="20"/>
                <w:szCs w:val="20"/>
              </w:rPr>
              <w:t xml:space="preserve">247.3 </w:t>
            </w:r>
          </w:p>
        </w:tc>
        <w:tc>
          <w:tcPr>
            <w:tcW w:w="717" w:type="dxa"/>
            <w:vAlign w:val="bottom"/>
          </w:tcPr>
          <w:p w14:paraId="40F0FCB4" w14:textId="77777777" w:rsidR="00477A32" w:rsidRPr="0085691B" w:rsidRDefault="00477A32">
            <w:pPr>
              <w:rPr>
                <w:rFonts w:cs="Arial"/>
                <w:sz w:val="20"/>
                <w:szCs w:val="20"/>
              </w:rPr>
            </w:pPr>
            <w:r w:rsidRPr="0085691B">
              <w:rPr>
                <w:rFonts w:cs="Arial"/>
                <w:sz w:val="20"/>
                <w:szCs w:val="20"/>
              </w:rPr>
              <w:t xml:space="preserve">251.6 </w:t>
            </w:r>
          </w:p>
        </w:tc>
        <w:tc>
          <w:tcPr>
            <w:tcW w:w="717" w:type="dxa"/>
            <w:vAlign w:val="bottom"/>
          </w:tcPr>
          <w:p w14:paraId="781B66B8" w14:textId="77777777" w:rsidR="00477A32" w:rsidRPr="0085691B" w:rsidRDefault="00477A32">
            <w:pPr>
              <w:rPr>
                <w:rFonts w:cs="Arial"/>
                <w:sz w:val="20"/>
                <w:szCs w:val="20"/>
              </w:rPr>
            </w:pPr>
            <w:r w:rsidRPr="0085691B">
              <w:rPr>
                <w:rFonts w:cs="Arial"/>
                <w:sz w:val="20"/>
                <w:szCs w:val="20"/>
              </w:rPr>
              <w:t xml:space="preserve">255.9 </w:t>
            </w:r>
          </w:p>
        </w:tc>
        <w:tc>
          <w:tcPr>
            <w:tcW w:w="717" w:type="dxa"/>
            <w:vAlign w:val="bottom"/>
          </w:tcPr>
          <w:p w14:paraId="4E409F2C" w14:textId="77777777" w:rsidR="00477A32" w:rsidRPr="0085691B" w:rsidRDefault="00477A32">
            <w:pPr>
              <w:rPr>
                <w:rFonts w:cs="Arial"/>
                <w:sz w:val="20"/>
                <w:szCs w:val="20"/>
              </w:rPr>
            </w:pPr>
            <w:r w:rsidRPr="0085691B">
              <w:rPr>
                <w:rFonts w:cs="Arial"/>
                <w:sz w:val="20"/>
                <w:szCs w:val="20"/>
              </w:rPr>
              <w:t xml:space="preserve">260.3 </w:t>
            </w:r>
          </w:p>
        </w:tc>
        <w:tc>
          <w:tcPr>
            <w:tcW w:w="717" w:type="dxa"/>
            <w:vAlign w:val="bottom"/>
          </w:tcPr>
          <w:p w14:paraId="20273E6B" w14:textId="77777777" w:rsidR="00477A32" w:rsidRPr="0085691B" w:rsidRDefault="00477A32">
            <w:pPr>
              <w:rPr>
                <w:rFonts w:cs="Arial"/>
                <w:sz w:val="20"/>
                <w:szCs w:val="20"/>
              </w:rPr>
            </w:pPr>
            <w:r w:rsidRPr="0085691B">
              <w:rPr>
                <w:rFonts w:cs="Arial"/>
                <w:sz w:val="20"/>
                <w:szCs w:val="20"/>
              </w:rPr>
              <w:t xml:space="preserve">264.8 </w:t>
            </w:r>
          </w:p>
        </w:tc>
        <w:tc>
          <w:tcPr>
            <w:tcW w:w="717" w:type="dxa"/>
            <w:vAlign w:val="bottom"/>
          </w:tcPr>
          <w:p w14:paraId="1C9243C6" w14:textId="77777777" w:rsidR="00477A32" w:rsidRPr="0085691B" w:rsidRDefault="00477A32">
            <w:pPr>
              <w:rPr>
                <w:rFonts w:cs="Arial"/>
                <w:sz w:val="20"/>
                <w:szCs w:val="20"/>
              </w:rPr>
            </w:pPr>
            <w:r w:rsidRPr="0085691B">
              <w:rPr>
                <w:rFonts w:cs="Arial"/>
                <w:sz w:val="20"/>
                <w:szCs w:val="20"/>
              </w:rPr>
              <w:t xml:space="preserve">269.4 </w:t>
            </w:r>
          </w:p>
        </w:tc>
      </w:tr>
    </w:tbl>
    <w:p w14:paraId="2C4735AD" w14:textId="77777777" w:rsidR="00477A32" w:rsidRPr="00853B1F" w:rsidRDefault="00477A32" w:rsidP="00477A32"/>
    <w:p w14:paraId="0970A989" w14:textId="0C9E5997" w:rsidR="007F6CC8" w:rsidRDefault="00477A32" w:rsidP="00DF0F71">
      <w:r>
        <w:t>The inputs, parameters and methodology used to estimate this benefit are presented in</w:t>
      </w:r>
      <w:r w:rsidR="00F25744">
        <w:t xml:space="preserve"> </w:t>
      </w:r>
      <w:r w:rsidR="00F25744">
        <w:fldChar w:fldCharType="begin"/>
      </w:r>
      <w:r w:rsidR="00F25744">
        <w:instrText xml:space="preserve"> REF _Ref216793081 \h </w:instrText>
      </w:r>
      <w:r w:rsidR="00F25744">
        <w:fldChar w:fldCharType="separate"/>
      </w:r>
      <w:r w:rsidR="00A002F4">
        <w:t xml:space="preserve">Table </w:t>
      </w:r>
      <w:r w:rsidR="00A002F4">
        <w:rPr>
          <w:noProof/>
        </w:rPr>
        <w:t>59</w:t>
      </w:r>
      <w:r w:rsidR="00F25744">
        <w:fldChar w:fldCharType="end"/>
      </w:r>
      <w:r w:rsidRPr="000B2D17">
        <w:t>.</w:t>
      </w:r>
    </w:p>
    <w:p w14:paraId="19F642C2" w14:textId="434A8CB4" w:rsidR="00F25744" w:rsidRDefault="00F25744" w:rsidP="00DF0F71">
      <w:pPr>
        <w:pStyle w:val="Caption"/>
      </w:pPr>
      <w:bookmarkStart w:id="694" w:name="_Ref216793081"/>
      <w:r>
        <w:lastRenderedPageBreak/>
        <w:t xml:space="preserve">Table </w:t>
      </w:r>
      <w:fldSimple w:instr=" SEQ Table \* ARABIC ">
        <w:r w:rsidR="00A002F4">
          <w:rPr>
            <w:noProof/>
          </w:rPr>
          <w:t>59</w:t>
        </w:r>
      </w:fldSimple>
      <w:bookmarkEnd w:id="694"/>
      <w:r>
        <w:t xml:space="preserve"> - </w:t>
      </w:r>
      <w:r w:rsidRPr="002771FC">
        <w:t>Inputs, parameters and methodology used to estimate the reduced years lived with disability due to occupational disease benefit</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477A32" w:rsidRPr="002A1131" w14:paraId="5412EB3F" w14:textId="77777777" w:rsidTr="005B52BA">
        <w:trPr>
          <w:trHeight w:val="265"/>
        </w:trPr>
        <w:tc>
          <w:tcPr>
            <w:tcW w:w="1980" w:type="dxa"/>
            <w:shd w:val="clear" w:color="auto" w:fill="4877E0" w:themeFill="accent1"/>
          </w:tcPr>
          <w:p w14:paraId="4A91B49F" w14:textId="77777777" w:rsidR="00477A32" w:rsidRPr="00D57EB6" w:rsidRDefault="00477A32">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Inputs</w:t>
            </w:r>
          </w:p>
        </w:tc>
        <w:tc>
          <w:tcPr>
            <w:tcW w:w="7438" w:type="dxa"/>
          </w:tcPr>
          <w:p w14:paraId="52CB15DF" w14:textId="79A33D34" w:rsidR="00477A32" w:rsidRPr="002A1131" w:rsidRDefault="00477A32">
            <w:pPr>
              <w:keepNext/>
              <w:keepLines/>
              <w:rPr>
                <w:rFonts w:eastAsia="Arial" w:cs="Arial"/>
                <w:szCs w:val="22"/>
                <w:lang w:eastAsia="en-AU"/>
              </w:rPr>
            </w:pPr>
            <w:r w:rsidRPr="001B417D">
              <w:rPr>
                <w:rFonts w:cs="Arial"/>
                <w:szCs w:val="22"/>
                <w:lang w:eastAsia="en-AU"/>
              </w:rPr>
              <w:t>The forecast non-fatal burden of disease for each chemical (</w:t>
            </w:r>
            <w:r w:rsidRPr="000B2D17">
              <w:rPr>
                <w:rFonts w:cs="Arial"/>
                <w:szCs w:val="22"/>
                <w:lang w:eastAsia="en-AU"/>
              </w:rPr>
              <w:t>see</w:t>
            </w:r>
            <w:r w:rsidR="000F04F3">
              <w:t xml:space="preserve"> </w:t>
            </w:r>
            <w:r w:rsidR="000000BF">
              <w:fldChar w:fldCharType="begin"/>
            </w:r>
            <w:r w:rsidR="000000BF">
              <w:instrText xml:space="preserve"> REF _Ref216793042 \h </w:instrText>
            </w:r>
            <w:r w:rsidR="000000BF">
              <w:fldChar w:fldCharType="separate"/>
            </w:r>
            <w:r w:rsidR="00A002F4">
              <w:t xml:space="preserve">Table </w:t>
            </w:r>
            <w:r w:rsidR="00A002F4">
              <w:rPr>
                <w:noProof/>
              </w:rPr>
              <w:t>58</w:t>
            </w:r>
            <w:r w:rsidR="000000BF">
              <w:fldChar w:fldCharType="end"/>
            </w:r>
            <w:r w:rsidRPr="001B417D">
              <w:rPr>
                <w:rFonts w:cs="Arial"/>
                <w:szCs w:val="22"/>
                <w:lang w:eastAsia="en-AU"/>
              </w:rPr>
              <w:t>) is estimated based on IHME GBD data.</w:t>
            </w:r>
          </w:p>
        </w:tc>
      </w:tr>
      <w:tr w:rsidR="00477A32" w:rsidRPr="001B417D" w14:paraId="53BC1E1D" w14:textId="77777777" w:rsidTr="005B52BA">
        <w:trPr>
          <w:trHeight w:val="265"/>
        </w:trPr>
        <w:tc>
          <w:tcPr>
            <w:tcW w:w="1980" w:type="dxa"/>
            <w:shd w:val="clear" w:color="auto" w:fill="4877E0" w:themeFill="accent1"/>
          </w:tcPr>
          <w:p w14:paraId="74D7A48E" w14:textId="77777777" w:rsidR="00477A32" w:rsidRPr="00D57EB6" w:rsidRDefault="00477A32">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Parameters</w:t>
            </w:r>
          </w:p>
        </w:tc>
        <w:tc>
          <w:tcPr>
            <w:tcW w:w="7438" w:type="dxa"/>
          </w:tcPr>
          <w:p w14:paraId="56429788" w14:textId="6A887496" w:rsidR="00477A32" w:rsidRPr="007946CD" w:rsidRDefault="00477A32" w:rsidP="007946CD">
            <w:pPr>
              <w:pStyle w:val="TableNText"/>
              <w:spacing w:before="0" w:after="120"/>
              <w:rPr>
                <w:rFonts w:ascii="Arial" w:hAnsi="Arial" w:cs="Arial"/>
                <w:sz w:val="22"/>
                <w:lang w:eastAsia="en-AU"/>
              </w:rPr>
            </w:pPr>
            <w:r w:rsidRPr="001B417D">
              <w:rPr>
                <w:rFonts w:ascii="Arial" w:hAnsi="Arial" w:cs="Arial"/>
                <w:sz w:val="22"/>
                <w:lang w:eastAsia="en-AU"/>
              </w:rPr>
              <w:t>The VLY of $244,741 is based on Abelson (</w:t>
            </w:r>
            <w:r w:rsidR="00581295" w:rsidRPr="001B417D">
              <w:rPr>
                <w:rFonts w:ascii="Arial" w:hAnsi="Arial" w:cs="Arial"/>
                <w:sz w:val="22"/>
                <w:lang w:eastAsia="en-AU"/>
              </w:rPr>
              <w:t>200</w:t>
            </w:r>
            <w:r w:rsidR="00581295">
              <w:rPr>
                <w:rFonts w:ascii="Arial" w:hAnsi="Arial" w:cs="Arial"/>
                <w:sz w:val="22"/>
                <w:lang w:eastAsia="en-AU"/>
              </w:rPr>
              <w:t>7</w:t>
            </w:r>
            <w:r w:rsidRPr="001B417D">
              <w:rPr>
                <w:rFonts w:ascii="Arial" w:hAnsi="Arial" w:cs="Arial"/>
                <w:sz w:val="22"/>
                <w:lang w:eastAsia="en-AU"/>
              </w:rPr>
              <w:t>) and escalated to June 2024 terms using the ABS WPI for Australia</w:t>
            </w:r>
            <w:r w:rsidR="00581295">
              <w:rPr>
                <w:rFonts w:ascii="Arial" w:hAnsi="Arial" w:cs="Arial"/>
                <w:sz w:val="22"/>
                <w:lang w:eastAsia="en-AU"/>
              </w:rPr>
              <w:t xml:space="preserve"> </w:t>
            </w:r>
            <w:sdt>
              <w:sdtPr>
                <w:rPr>
                  <w:rFonts w:ascii="Arial" w:hAnsi="Arial" w:cs="Arial"/>
                  <w:sz w:val="22"/>
                  <w:lang w:eastAsia="en-AU"/>
                </w:rPr>
                <w:id w:val="-660162537"/>
                <w:citation/>
              </w:sdtPr>
              <w:sdtEndPr/>
              <w:sdtContent>
                <w:r w:rsidR="006B1120">
                  <w:rPr>
                    <w:rFonts w:ascii="Arial" w:hAnsi="Arial" w:cs="Arial"/>
                    <w:sz w:val="22"/>
                    <w:lang w:eastAsia="en-AU"/>
                  </w:rPr>
                  <w:fldChar w:fldCharType="begin"/>
                </w:r>
                <w:r w:rsidR="006B1120">
                  <w:rPr>
                    <w:rFonts w:ascii="Arial" w:hAnsi="Arial" w:cs="Arial"/>
                    <w:sz w:val="22"/>
                    <w:lang w:eastAsia="en-AU"/>
                  </w:rPr>
                  <w:instrText xml:space="preserve"> CITATION Aus243 \l 3081 </w:instrText>
                </w:r>
                <w:r w:rsidR="006B1120">
                  <w:rPr>
                    <w:rFonts w:ascii="Arial" w:hAnsi="Arial" w:cs="Arial"/>
                    <w:sz w:val="22"/>
                    <w:lang w:eastAsia="en-AU"/>
                  </w:rPr>
                  <w:fldChar w:fldCharType="separate"/>
                </w:r>
                <w:r w:rsidR="00490B21" w:rsidRPr="00490B21">
                  <w:rPr>
                    <w:rFonts w:ascii="Arial" w:hAnsi="Arial" w:cs="Arial"/>
                    <w:noProof/>
                    <w:sz w:val="22"/>
                    <w:lang w:eastAsia="en-AU"/>
                  </w:rPr>
                  <w:t>(Australian Bureau of Statistics, 2024)</w:t>
                </w:r>
                <w:r w:rsidR="006B1120">
                  <w:rPr>
                    <w:rFonts w:ascii="Arial" w:hAnsi="Arial" w:cs="Arial"/>
                    <w:sz w:val="22"/>
                    <w:lang w:eastAsia="en-AU"/>
                  </w:rPr>
                  <w:fldChar w:fldCharType="end"/>
                </w:r>
              </w:sdtContent>
            </w:sdt>
            <w:r w:rsidRPr="001B417D">
              <w:rPr>
                <w:rFonts w:ascii="Arial" w:hAnsi="Arial" w:cs="Arial"/>
                <w:sz w:val="22"/>
                <w:lang w:eastAsia="en-AU"/>
              </w:rPr>
              <w:t>.</w:t>
            </w:r>
          </w:p>
        </w:tc>
      </w:tr>
      <w:tr w:rsidR="00477A32" w:rsidRPr="001B417D" w14:paraId="5E613EE9" w14:textId="77777777" w:rsidTr="005B52BA">
        <w:trPr>
          <w:trHeight w:val="265"/>
        </w:trPr>
        <w:tc>
          <w:tcPr>
            <w:tcW w:w="1980" w:type="dxa"/>
            <w:shd w:val="clear" w:color="auto" w:fill="4877E0" w:themeFill="accent1"/>
          </w:tcPr>
          <w:p w14:paraId="72DC12FA" w14:textId="77777777" w:rsidR="00477A32" w:rsidRPr="00D57EB6" w:rsidRDefault="00477A32">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Methodology</w:t>
            </w:r>
          </w:p>
        </w:tc>
        <w:tc>
          <w:tcPr>
            <w:tcW w:w="7438" w:type="dxa"/>
          </w:tcPr>
          <w:p w14:paraId="7FD0F5DB" w14:textId="77777777" w:rsidR="00477A32" w:rsidRPr="001B417D" w:rsidRDefault="00477A32">
            <w:pPr>
              <w:pStyle w:val="TableNText"/>
              <w:spacing w:before="20" w:after="20"/>
              <w:rPr>
                <w:rFonts w:ascii="Arial" w:hAnsi="Arial" w:cs="Arial"/>
                <w:sz w:val="22"/>
                <w:lang w:eastAsia="en-AU"/>
              </w:rPr>
            </w:pPr>
            <m:oMath>
              <m:r>
                <w:rPr>
                  <w:rFonts w:ascii="Cambria Math" w:hAnsi="Cambria Math" w:cs="Arial"/>
                  <w:sz w:val="22"/>
                  <w:lang w:eastAsia="en-AU"/>
                </w:rPr>
                <m:t>Benefit=NFB×VLY×∆HI</m:t>
              </m:r>
            </m:oMath>
            <w:r w:rsidRPr="001B417D">
              <w:rPr>
                <w:rFonts w:ascii="Arial" w:eastAsiaTheme="minorEastAsia" w:hAnsi="Arial" w:cs="Arial"/>
                <w:sz w:val="22"/>
                <w:lang w:eastAsia="en-AU"/>
              </w:rPr>
              <w:t>, where:</w:t>
            </w:r>
          </w:p>
          <w:p w14:paraId="0E74C846" w14:textId="77777777" w:rsidR="00477A32" w:rsidRPr="001B417D" w:rsidRDefault="00477A32" w:rsidP="00477A32">
            <w:pPr>
              <w:pStyle w:val="TableNBullet"/>
              <w:spacing w:before="20" w:after="20" w:line="240" w:lineRule="auto"/>
              <w:rPr>
                <w:rFonts w:ascii="Arial" w:hAnsi="Arial" w:cs="Arial"/>
                <w:sz w:val="22"/>
                <w:szCs w:val="22"/>
              </w:rPr>
            </w:pPr>
            <w:r w:rsidRPr="001B417D">
              <w:rPr>
                <w:rFonts w:ascii="Arial" w:hAnsi="Arial" w:cs="Arial"/>
                <w:sz w:val="22"/>
                <w:szCs w:val="22"/>
              </w:rPr>
              <w:t>NFB represents the non-fatal burden of disease (DALYs lost to premature death)</w:t>
            </w:r>
          </w:p>
          <w:p w14:paraId="3133E6B2" w14:textId="77777777" w:rsidR="00477A32" w:rsidRPr="001B417D" w:rsidRDefault="00477A32" w:rsidP="00477A32">
            <w:pPr>
              <w:pStyle w:val="TableNBullet"/>
              <w:spacing w:before="20" w:after="20" w:line="240" w:lineRule="auto"/>
              <w:rPr>
                <w:rFonts w:ascii="Arial" w:hAnsi="Arial" w:cs="Arial"/>
                <w:sz w:val="22"/>
                <w:szCs w:val="22"/>
              </w:rPr>
            </w:pPr>
            <w:r w:rsidRPr="001B417D">
              <w:rPr>
                <w:rFonts w:ascii="Arial" w:hAnsi="Arial" w:cs="Arial"/>
                <w:sz w:val="22"/>
                <w:szCs w:val="22"/>
              </w:rPr>
              <w:t>VLY represents the value of a statistical life year</w:t>
            </w:r>
          </w:p>
          <w:p w14:paraId="2F25F629" w14:textId="77777777" w:rsidR="00477A32" w:rsidRPr="00DF39C9" w:rsidRDefault="00477A32" w:rsidP="00A2768E">
            <w:pPr>
              <w:pStyle w:val="ListParagraph"/>
              <w:keepNext/>
              <w:keepLines/>
              <w:numPr>
                <w:ilvl w:val="0"/>
                <w:numId w:val="121"/>
              </w:numPr>
              <w:rPr>
                <w:rFonts w:eastAsia="Arial" w:cs="Arial"/>
                <w:szCs w:val="22"/>
                <w:lang w:eastAsia="en-AU"/>
              </w:rPr>
            </w:pPr>
            <w:r w:rsidRPr="0085691B">
              <w:rPr>
                <w:rFonts w:eastAsia="Segoe UI" w:cs="Arial"/>
                <w:szCs w:val="22"/>
              </w:rPr>
              <w:t>∆HI represents the reduction in the non-fatal burden of disease attributable to the WEL.</w:t>
            </w:r>
          </w:p>
        </w:tc>
      </w:tr>
    </w:tbl>
    <w:p w14:paraId="655D67EF" w14:textId="77777777" w:rsidR="004B0FAF" w:rsidRPr="00853B1F" w:rsidRDefault="004B0FAF" w:rsidP="004B0FAF">
      <w:pPr>
        <w:pStyle w:val="SWAHeading3"/>
        <w:keepNext/>
      </w:pPr>
      <w:r>
        <w:t>Indirect benefits</w:t>
      </w:r>
    </w:p>
    <w:p w14:paraId="4B693223" w14:textId="77777777" w:rsidR="004B0FAF" w:rsidRDefault="004B0FAF" w:rsidP="004B0FAF">
      <w:pPr>
        <w:pStyle w:val="SWAHeading4"/>
        <w:keepNext/>
      </w:pPr>
      <w:r>
        <w:t>Benefit summary</w:t>
      </w:r>
    </w:p>
    <w:p w14:paraId="1DB53B4A" w14:textId="77777777" w:rsidR="004B0FAF" w:rsidRPr="001B417D" w:rsidRDefault="004B0FAF" w:rsidP="004B0FAF">
      <w:pPr>
        <w:rPr>
          <w:rFonts w:cs="Arial"/>
          <w:szCs w:val="22"/>
        </w:rPr>
      </w:pPr>
      <w:r w:rsidRPr="001B417D">
        <w:rPr>
          <w:rFonts w:cs="Arial"/>
          <w:szCs w:val="22"/>
          <w:lang w:eastAsia="en-AU"/>
        </w:rPr>
        <w:t xml:space="preserve">The indirect benefits measure the </w:t>
      </w:r>
      <w:r w:rsidRPr="001B417D">
        <w:rPr>
          <w:rFonts w:cs="Arial"/>
          <w:szCs w:val="22"/>
        </w:rPr>
        <w:t xml:space="preserve">reduction in the indirect impacts of occupational disease on workers, their family and friends, attributable to reduced workplace exposure to the </w:t>
      </w:r>
      <w:r>
        <w:rPr>
          <w:rFonts w:cs="Arial"/>
          <w:szCs w:val="22"/>
        </w:rPr>
        <w:t>9</w:t>
      </w:r>
      <w:r w:rsidRPr="001B417D">
        <w:rPr>
          <w:rFonts w:cs="Arial"/>
          <w:szCs w:val="22"/>
        </w:rPr>
        <w:t xml:space="preserve"> chemicals. In this analysis, indirect benefits are measured through two metrics: </w:t>
      </w:r>
    </w:p>
    <w:p w14:paraId="4CB03FCD" w14:textId="77777777" w:rsidR="004B0FAF" w:rsidRPr="001B417D" w:rsidRDefault="004B0FAF" w:rsidP="00A2768E">
      <w:pPr>
        <w:pStyle w:val="ListParagraph"/>
        <w:numPr>
          <w:ilvl w:val="0"/>
          <w:numId w:val="122"/>
        </w:numPr>
        <w:suppressAutoHyphens/>
        <w:spacing w:line="259" w:lineRule="auto"/>
        <w:contextualSpacing w:val="0"/>
        <w:rPr>
          <w:rFonts w:cs="Arial"/>
          <w:szCs w:val="22"/>
        </w:rPr>
      </w:pPr>
      <w:r w:rsidRPr="001B417D">
        <w:rPr>
          <w:rFonts w:cs="Arial"/>
          <w:szCs w:val="22"/>
        </w:rPr>
        <w:t>The reduction in paid productivity losses due to occupational disease, measured by the reduction in time lost (working weeks)</w:t>
      </w:r>
    </w:p>
    <w:p w14:paraId="208C84F9" w14:textId="77777777" w:rsidR="004B0FAF" w:rsidRPr="001B417D" w:rsidRDefault="004B0FAF" w:rsidP="00A2768E">
      <w:pPr>
        <w:pStyle w:val="ListParagraph"/>
        <w:numPr>
          <w:ilvl w:val="0"/>
          <w:numId w:val="122"/>
        </w:numPr>
        <w:suppressAutoHyphens/>
        <w:spacing w:line="259" w:lineRule="auto"/>
        <w:contextualSpacing w:val="0"/>
        <w:rPr>
          <w:rFonts w:cs="Arial"/>
          <w:szCs w:val="22"/>
        </w:rPr>
      </w:pPr>
      <w:r w:rsidRPr="001B417D">
        <w:rPr>
          <w:rFonts w:cs="Arial"/>
          <w:szCs w:val="22"/>
        </w:rPr>
        <w:t xml:space="preserve">The reduced burden on the support networks (family and friends) due to occupational disease, including decreased stress and fewer unpaid responsibilities related to caring for workers affected by workplace illnesses. </w:t>
      </w:r>
    </w:p>
    <w:p w14:paraId="41B49FA4" w14:textId="77777777" w:rsidR="00A373B9" w:rsidRDefault="004B0FAF" w:rsidP="002676C0">
      <w:pPr>
        <w:pStyle w:val="Caption"/>
        <w:keepNext w:val="0"/>
        <w:spacing w:after="120" w:line="240" w:lineRule="atLeast"/>
        <w:contextualSpacing w:val="0"/>
        <w:rPr>
          <w:rFonts w:cs="Arial"/>
          <w:szCs w:val="22"/>
        </w:rPr>
      </w:pPr>
      <w:r w:rsidRPr="001B417D">
        <w:rPr>
          <w:rFonts w:cs="Arial"/>
          <w:szCs w:val="22"/>
        </w:rPr>
        <w:t xml:space="preserve">Occupational disease significantly affects businesses, individuals and their support networks. </w:t>
      </w:r>
    </w:p>
    <w:p w14:paraId="49D614B4" w14:textId="5DE7FA12" w:rsidR="004B0FAF" w:rsidRPr="002676C0" w:rsidRDefault="004B0FAF" w:rsidP="002676C0">
      <w:pPr>
        <w:pStyle w:val="Caption"/>
        <w:keepNext w:val="0"/>
        <w:spacing w:after="120" w:line="240" w:lineRule="atLeast"/>
        <w:contextualSpacing w:val="0"/>
        <w:rPr>
          <w:b w:val="0"/>
          <w:bCs w:val="0"/>
        </w:rPr>
      </w:pPr>
      <w:r w:rsidRPr="002676C0">
        <w:rPr>
          <w:rFonts w:cs="Arial"/>
          <w:b w:val="0"/>
          <w:bCs w:val="0"/>
          <w:szCs w:val="22"/>
        </w:rPr>
        <w:t>Between 2017 and 2021, it is estimated that more than 29,000 working weeks were lost due to occupation disease attributed to benzene, chlorine, hydrogen sul</w:t>
      </w:r>
      <w:r w:rsidR="00312B4B" w:rsidRPr="002676C0">
        <w:rPr>
          <w:rFonts w:cs="Arial"/>
          <w:b w:val="0"/>
          <w:bCs w:val="0"/>
          <w:szCs w:val="22"/>
        </w:rPr>
        <w:t>f</w:t>
      </w:r>
      <w:r w:rsidRPr="002676C0">
        <w:rPr>
          <w:rFonts w:cs="Arial"/>
          <w:b w:val="0"/>
          <w:bCs w:val="0"/>
          <w:szCs w:val="22"/>
        </w:rPr>
        <w:t xml:space="preserve">ide and RCS (see </w:t>
      </w:r>
      <w:r w:rsidR="00CE48DD" w:rsidRPr="002676C0">
        <w:rPr>
          <w:b w:val="0"/>
          <w:bCs w:val="0"/>
        </w:rPr>
        <w:fldChar w:fldCharType="begin"/>
      </w:r>
      <w:r w:rsidR="00CE48DD" w:rsidRPr="002676C0">
        <w:rPr>
          <w:rFonts w:cs="Arial"/>
          <w:b w:val="0"/>
          <w:bCs w:val="0"/>
          <w:szCs w:val="22"/>
        </w:rPr>
        <w:instrText xml:space="preserve"> REF _Ref200028722 \h </w:instrText>
      </w:r>
      <w:r w:rsidR="002676C0">
        <w:rPr>
          <w:b w:val="0"/>
          <w:bCs w:val="0"/>
        </w:rPr>
        <w:instrText xml:space="preserve"> \* MERGEFORMAT </w:instrText>
      </w:r>
      <w:r w:rsidR="00CE48DD" w:rsidRPr="002676C0">
        <w:rPr>
          <w:b w:val="0"/>
          <w:bCs w:val="0"/>
        </w:rPr>
      </w:r>
      <w:r w:rsidR="00CE48DD" w:rsidRPr="002676C0">
        <w:rPr>
          <w:b w:val="0"/>
          <w:bCs w:val="0"/>
        </w:rPr>
        <w:fldChar w:fldCharType="separate"/>
      </w:r>
      <w:r w:rsidR="00A002F4" w:rsidRPr="00A002F4">
        <w:rPr>
          <w:b w:val="0"/>
          <w:bCs w:val="0"/>
        </w:rPr>
        <w:t xml:space="preserve">Figure </w:t>
      </w:r>
      <w:r w:rsidR="00A002F4" w:rsidRPr="00A002F4">
        <w:rPr>
          <w:b w:val="0"/>
          <w:bCs w:val="0"/>
          <w:noProof/>
        </w:rPr>
        <w:t>4</w:t>
      </w:r>
      <w:r w:rsidR="00CE48DD" w:rsidRPr="002676C0">
        <w:rPr>
          <w:b w:val="0"/>
          <w:bCs w:val="0"/>
        </w:rPr>
        <w:fldChar w:fldCharType="end"/>
      </w:r>
      <w:r w:rsidR="00CE48DD" w:rsidRPr="002676C0">
        <w:rPr>
          <w:b w:val="0"/>
          <w:bCs w:val="0"/>
        </w:rPr>
        <w:t xml:space="preserve"> </w:t>
      </w:r>
      <w:r w:rsidRPr="002676C0">
        <w:rPr>
          <w:rFonts w:cs="Arial"/>
          <w:b w:val="0"/>
          <w:bCs w:val="0"/>
          <w:szCs w:val="22"/>
        </w:rPr>
        <w:t>above). The average time off for these claims was 42 weeks, with RCS having the highest average time off per claim of 66 weeks (see</w:t>
      </w:r>
      <w:r w:rsidR="000000BF" w:rsidRPr="000000BF">
        <w:rPr>
          <w:rFonts w:cs="Arial"/>
          <w:b w:val="0"/>
          <w:bCs w:val="0"/>
          <w:szCs w:val="22"/>
        </w:rPr>
        <w:t xml:space="preserve"> </w:t>
      </w:r>
      <w:r w:rsidR="000000BF" w:rsidRPr="000000BF">
        <w:rPr>
          <w:rFonts w:cs="Arial"/>
          <w:b w:val="0"/>
          <w:bCs w:val="0"/>
          <w:szCs w:val="22"/>
        </w:rPr>
        <w:fldChar w:fldCharType="begin"/>
      </w:r>
      <w:r w:rsidR="000000BF" w:rsidRPr="000000BF">
        <w:rPr>
          <w:rFonts w:cs="Arial"/>
          <w:b w:val="0"/>
          <w:bCs w:val="0"/>
          <w:szCs w:val="22"/>
        </w:rPr>
        <w:instrText xml:space="preserve"> REF _Ref216792768 \h </w:instrText>
      </w:r>
      <w:r w:rsidR="000000BF" w:rsidRPr="00F55CB2">
        <w:rPr>
          <w:rFonts w:cs="Arial"/>
          <w:b w:val="0"/>
          <w:bCs w:val="0"/>
          <w:szCs w:val="22"/>
        </w:rPr>
        <w:instrText xml:space="preserve"> \* MERGEFORMAT </w:instrText>
      </w:r>
      <w:r w:rsidR="000000BF" w:rsidRPr="000000BF">
        <w:rPr>
          <w:rFonts w:cs="Arial"/>
          <w:b w:val="0"/>
          <w:bCs w:val="0"/>
          <w:szCs w:val="22"/>
        </w:rPr>
      </w:r>
      <w:r w:rsidR="000000BF" w:rsidRPr="000000BF">
        <w:rPr>
          <w:rFonts w:cs="Arial"/>
          <w:b w:val="0"/>
          <w:bCs w:val="0"/>
          <w:szCs w:val="22"/>
        </w:rPr>
        <w:fldChar w:fldCharType="separate"/>
      </w:r>
      <w:r w:rsidR="00A002F4" w:rsidRPr="00A002F4">
        <w:rPr>
          <w:b w:val="0"/>
          <w:bCs w:val="0"/>
        </w:rPr>
        <w:t xml:space="preserve">Table </w:t>
      </w:r>
      <w:r w:rsidR="00A002F4" w:rsidRPr="00A002F4">
        <w:rPr>
          <w:b w:val="0"/>
          <w:bCs w:val="0"/>
          <w:noProof/>
        </w:rPr>
        <w:t>53</w:t>
      </w:r>
      <w:r w:rsidR="000000BF" w:rsidRPr="000000BF">
        <w:rPr>
          <w:rFonts w:cs="Arial"/>
          <w:b w:val="0"/>
          <w:bCs w:val="0"/>
          <w:szCs w:val="22"/>
        </w:rPr>
        <w:fldChar w:fldCharType="end"/>
      </w:r>
      <w:r w:rsidRPr="002676C0">
        <w:rPr>
          <w:rFonts w:cs="Arial"/>
          <w:b w:val="0"/>
          <w:bCs w:val="0"/>
          <w:szCs w:val="22"/>
        </w:rPr>
        <w:t xml:space="preserve">). </w:t>
      </w:r>
    </w:p>
    <w:p w14:paraId="34E52BD6" w14:textId="78693C54" w:rsidR="004B0FAF" w:rsidRDefault="004B0FAF" w:rsidP="002676C0">
      <w:pPr>
        <w:spacing w:line="240" w:lineRule="atLeast"/>
        <w:contextualSpacing w:val="0"/>
        <w:rPr>
          <w:rFonts w:cs="Arial"/>
          <w:szCs w:val="22"/>
        </w:rPr>
      </w:pPr>
      <w:r w:rsidRPr="001B417D">
        <w:rPr>
          <w:rFonts w:cs="Arial"/>
          <w:szCs w:val="22"/>
        </w:rPr>
        <w:t xml:space="preserve">Time off work due to occupational disease can negatively affect businesses, causing loss in productivity and potentially leading to increased costs to hire and train replacement workers. Similarly, individual workers and their networks are affected through the emotional and financial burden of recovering from and managing workplace disease. </w:t>
      </w:r>
    </w:p>
    <w:p w14:paraId="71831921" w14:textId="77777777" w:rsidR="004B0FAF" w:rsidRDefault="004B0FAF" w:rsidP="004B0FAF">
      <w:pPr>
        <w:pStyle w:val="SWAHeading4"/>
      </w:pPr>
      <w:r>
        <w:t>Reduced productivity losses</w:t>
      </w:r>
    </w:p>
    <w:p w14:paraId="4D67EF83" w14:textId="365E07A6" w:rsidR="004B0FAF" w:rsidRPr="00A6189E" w:rsidRDefault="00132EC7" w:rsidP="004B0FAF">
      <w:pPr>
        <w:contextualSpacing w:val="0"/>
        <w:rPr>
          <w:rFonts w:cs="Arial"/>
          <w:szCs w:val="22"/>
          <w:lang w:eastAsia="en-AU"/>
        </w:rPr>
      </w:pPr>
      <w:r>
        <w:rPr>
          <w:lang w:eastAsia="en-AU"/>
        </w:rPr>
        <w:t>The analysis</w:t>
      </w:r>
      <w:r w:rsidRPr="00993B73">
        <w:rPr>
          <w:lang w:eastAsia="en-AU"/>
        </w:rPr>
        <w:t xml:space="preserve"> estimate</w:t>
      </w:r>
      <w:r>
        <w:rPr>
          <w:lang w:eastAsia="en-AU"/>
        </w:rPr>
        <w:t>s</w:t>
      </w:r>
      <w:r w:rsidR="004B0FAF" w:rsidRPr="00A6189E">
        <w:rPr>
          <w:rFonts w:cs="Arial"/>
          <w:szCs w:val="22"/>
          <w:lang w:eastAsia="en-AU"/>
        </w:rPr>
        <w:t xml:space="preserve"> the benefit of the reduction in paid productivity losses due to occupational disease, attributable to reduced workplace exposure to airborne contaminants. The productivity loss is estimated through the reduction in working weeks lost due to workplace illnesses per workers’ compensation claim and is monetised using the average weekly earnings (AWE) of workers in the industries where workers are </w:t>
      </w:r>
      <w:r w:rsidR="004B0FAF">
        <w:rPr>
          <w:rFonts w:cs="Arial"/>
          <w:szCs w:val="22"/>
          <w:lang w:eastAsia="en-AU"/>
        </w:rPr>
        <w:t>at risk of exposure</w:t>
      </w:r>
      <w:r w:rsidR="004B0FAF" w:rsidRPr="00A6189E">
        <w:rPr>
          <w:rFonts w:cs="Arial"/>
          <w:szCs w:val="22"/>
          <w:lang w:eastAsia="en-AU"/>
        </w:rPr>
        <w:t xml:space="preserve"> to the chemicals. </w:t>
      </w:r>
    </w:p>
    <w:p w14:paraId="275C5D6B" w14:textId="0E165B4A" w:rsidR="004B0FAF" w:rsidRPr="00A6189E" w:rsidRDefault="004B0FAF" w:rsidP="009D19AB">
      <w:pPr>
        <w:spacing w:after="160"/>
        <w:contextualSpacing w:val="0"/>
        <w:rPr>
          <w:rFonts w:cs="Arial"/>
          <w:szCs w:val="22"/>
          <w:lang w:eastAsia="en-AU"/>
        </w:rPr>
      </w:pPr>
      <w:r w:rsidRPr="00A6189E">
        <w:rPr>
          <w:rFonts w:cs="Arial"/>
          <w:szCs w:val="22"/>
          <w:lang w:eastAsia="en-AU"/>
        </w:rPr>
        <w:t xml:space="preserve">This benefit is calculated using the weighted-average weekly earnings (WAWE) per worker exposed to each chemical, presented </w:t>
      </w:r>
      <w:r w:rsidRPr="00C3083B">
        <w:rPr>
          <w:rFonts w:cs="Arial"/>
          <w:szCs w:val="22"/>
          <w:lang w:eastAsia="en-AU"/>
        </w:rPr>
        <w:t>in</w:t>
      </w:r>
      <w:r w:rsidR="008D64F6">
        <w:rPr>
          <w:rFonts w:cs="Arial"/>
          <w:szCs w:val="22"/>
        </w:rPr>
        <w:t xml:space="preserve"> </w:t>
      </w:r>
      <w:r w:rsidR="008D64F6">
        <w:rPr>
          <w:rFonts w:cs="Arial"/>
          <w:szCs w:val="22"/>
        </w:rPr>
        <w:fldChar w:fldCharType="begin"/>
      </w:r>
      <w:r w:rsidR="008D64F6">
        <w:rPr>
          <w:rFonts w:cs="Arial"/>
          <w:szCs w:val="22"/>
        </w:rPr>
        <w:instrText xml:space="preserve"> REF _Ref216793125 \h </w:instrText>
      </w:r>
      <w:r w:rsidR="008D64F6">
        <w:rPr>
          <w:rFonts w:cs="Arial"/>
          <w:szCs w:val="22"/>
        </w:rPr>
      </w:r>
      <w:r w:rsidR="008D64F6">
        <w:rPr>
          <w:rFonts w:cs="Arial"/>
          <w:szCs w:val="22"/>
        </w:rPr>
        <w:fldChar w:fldCharType="separate"/>
      </w:r>
      <w:r w:rsidR="00A002F4">
        <w:t xml:space="preserve">Table </w:t>
      </w:r>
      <w:r w:rsidR="00A002F4">
        <w:rPr>
          <w:noProof/>
        </w:rPr>
        <w:t>60</w:t>
      </w:r>
      <w:r w:rsidR="008D64F6">
        <w:rPr>
          <w:rFonts w:cs="Arial"/>
          <w:szCs w:val="22"/>
        </w:rPr>
        <w:fldChar w:fldCharType="end"/>
      </w:r>
      <w:r w:rsidRPr="00C3083B">
        <w:rPr>
          <w:rFonts w:cs="Arial"/>
          <w:szCs w:val="22"/>
          <w:lang w:eastAsia="en-AU"/>
        </w:rPr>
        <w:t>.</w:t>
      </w:r>
      <w:r w:rsidRPr="00A6189E">
        <w:rPr>
          <w:rFonts w:cs="Arial"/>
          <w:szCs w:val="22"/>
          <w:lang w:eastAsia="en-AU"/>
        </w:rPr>
        <w:t xml:space="preserve"> These figures have been calculated using the following formula:</w:t>
      </w:r>
    </w:p>
    <w:p w14:paraId="1D7889C5" w14:textId="3EB0446B" w:rsidR="004B0FAF" w:rsidRPr="00A6189E" w:rsidRDefault="002A11AD" w:rsidP="49A15BB9">
      <w:pPr>
        <w:rPr>
          <w:rFonts w:eastAsiaTheme="minorEastAsia" w:cs="Arial"/>
          <w:lang w:eastAsia="en-AU"/>
        </w:rPr>
      </w:pPr>
      <m:oMath>
        <m:sSub>
          <m:sSubPr>
            <m:ctrlPr>
              <w:rPr>
                <w:rFonts w:ascii="Cambria Math" w:hAnsi="Cambria Math" w:cs="Arial"/>
                <w:i/>
                <w:szCs w:val="22"/>
                <w:lang w:eastAsia="en-AU"/>
              </w:rPr>
            </m:ctrlPr>
          </m:sSubPr>
          <m:e>
            <m:r>
              <w:rPr>
                <w:rFonts w:ascii="Cambria Math" w:hAnsi="Cambria Math" w:cs="Arial"/>
                <w:szCs w:val="22"/>
                <w:lang w:eastAsia="en-AU"/>
              </w:rPr>
              <m:t>WAWE</m:t>
            </m:r>
          </m:e>
          <m:sub>
            <m:r>
              <w:rPr>
                <w:rFonts w:ascii="Cambria Math" w:hAnsi="Cambria Math" w:cs="Arial"/>
                <w:szCs w:val="22"/>
                <w:lang w:eastAsia="en-AU"/>
              </w:rPr>
              <m:t>C</m:t>
            </m:r>
          </m:sub>
        </m:sSub>
        <m:r>
          <w:rPr>
            <w:rFonts w:ascii="Cambria Math" w:hAnsi="Cambria Math" w:cs="Arial"/>
            <w:szCs w:val="22"/>
            <w:lang w:eastAsia="en-AU"/>
          </w:rPr>
          <m:t>=</m:t>
        </m:r>
        <m:nary>
          <m:naryPr>
            <m:chr m:val="∑"/>
            <m:limLoc m:val="undOvr"/>
            <m:subHide m:val="1"/>
            <m:supHide m:val="1"/>
            <m:ctrlPr>
              <w:rPr>
                <w:rFonts w:ascii="Cambria Math" w:hAnsi="Cambria Math" w:cs="Arial"/>
                <w:i/>
                <w:szCs w:val="22"/>
                <w:lang w:eastAsia="en-AU"/>
              </w:rPr>
            </m:ctrlPr>
          </m:naryPr>
          <m:sub/>
          <m:sup/>
          <m:e>
            <m:d>
              <m:dPr>
                <m:begChr m:val="["/>
                <m:endChr m:val="]"/>
                <m:ctrlPr>
                  <w:rPr>
                    <w:rFonts w:ascii="Cambria Math" w:hAnsi="Cambria Math" w:cs="Arial"/>
                    <w:i/>
                    <w:szCs w:val="22"/>
                    <w:lang w:eastAsia="en-AU"/>
                  </w:rPr>
                </m:ctrlPr>
              </m:dPr>
              <m:e>
                <m:sSub>
                  <m:sSubPr>
                    <m:ctrlPr>
                      <w:rPr>
                        <w:rFonts w:ascii="Cambria Math" w:hAnsi="Cambria Math" w:cs="Arial"/>
                        <w:i/>
                        <w:szCs w:val="22"/>
                        <w:lang w:eastAsia="en-AU"/>
                      </w:rPr>
                    </m:ctrlPr>
                  </m:sSubPr>
                  <m:e>
                    <m:r>
                      <w:rPr>
                        <w:rFonts w:ascii="Cambria Math" w:hAnsi="Cambria Math" w:cs="Arial"/>
                        <w:szCs w:val="22"/>
                        <w:lang w:eastAsia="en-AU"/>
                      </w:rPr>
                      <m:t>AWE</m:t>
                    </m:r>
                  </m:e>
                  <m:sub>
                    <m:r>
                      <w:rPr>
                        <w:rFonts w:ascii="Cambria Math" w:hAnsi="Cambria Math" w:cs="Arial"/>
                        <w:szCs w:val="22"/>
                        <w:lang w:eastAsia="en-AU"/>
                      </w:rPr>
                      <m:t>I</m:t>
                    </m:r>
                  </m:sub>
                </m:sSub>
                <m:r>
                  <w:rPr>
                    <w:rFonts w:ascii="Cambria Math" w:hAnsi="Cambria Math" w:cs="Arial"/>
                    <w:szCs w:val="22"/>
                    <w:lang w:eastAsia="en-AU"/>
                  </w:rPr>
                  <m:t>×</m:t>
                </m:r>
                <m:sSub>
                  <m:sSubPr>
                    <m:ctrlPr>
                      <w:rPr>
                        <w:rFonts w:ascii="Cambria Math" w:hAnsi="Cambria Math" w:cs="Arial"/>
                        <w:i/>
                        <w:szCs w:val="22"/>
                        <w:lang w:eastAsia="en-AU"/>
                      </w:rPr>
                    </m:ctrlPr>
                  </m:sSubPr>
                  <m:e>
                    <m:r>
                      <w:rPr>
                        <w:rFonts w:ascii="Cambria Math" w:hAnsi="Cambria Math" w:cs="Arial"/>
                        <w:szCs w:val="22"/>
                        <w:lang w:eastAsia="en-AU"/>
                      </w:rPr>
                      <m:t>SAB</m:t>
                    </m:r>
                  </m:e>
                  <m:sub>
                    <m:r>
                      <w:rPr>
                        <w:rFonts w:ascii="Cambria Math" w:hAnsi="Cambria Math" w:cs="Arial"/>
                        <w:szCs w:val="22"/>
                        <w:lang w:eastAsia="en-AU"/>
                      </w:rPr>
                      <m:t>I</m:t>
                    </m:r>
                  </m:sub>
                </m:sSub>
              </m:e>
            </m:d>
          </m:e>
        </m:nary>
      </m:oMath>
      <w:r w:rsidR="004B0FAF" w:rsidRPr="49A15BB9">
        <w:rPr>
          <w:rFonts w:eastAsiaTheme="minorEastAsia" w:cs="Arial"/>
          <w:lang w:eastAsia="en-AU"/>
        </w:rPr>
        <w:t xml:space="preserve">, </w:t>
      </w:r>
      <w:r w:rsidR="0003444E">
        <w:rPr>
          <w:rFonts w:eastAsiaTheme="minorEastAsia" w:cs="Arial"/>
          <w:lang w:eastAsia="en-AU"/>
        </w:rPr>
        <w:t>where</w:t>
      </w:r>
      <w:r w:rsidR="004B0FAF" w:rsidRPr="49A15BB9">
        <w:rPr>
          <w:rFonts w:eastAsiaTheme="minorEastAsia" w:cs="Arial"/>
          <w:lang w:eastAsia="en-AU"/>
        </w:rPr>
        <w:t>:</w:t>
      </w:r>
    </w:p>
    <w:p w14:paraId="344A1160" w14:textId="77777777" w:rsidR="004B0FAF" w:rsidRPr="00A6189E" w:rsidRDefault="004B0FAF" w:rsidP="00A2768E">
      <w:pPr>
        <w:pStyle w:val="ListParagraph"/>
        <w:numPr>
          <w:ilvl w:val="0"/>
          <w:numId w:val="123"/>
        </w:numPr>
        <w:suppressAutoHyphens/>
        <w:spacing w:line="259" w:lineRule="auto"/>
        <w:contextualSpacing w:val="0"/>
        <w:rPr>
          <w:rFonts w:cs="Arial"/>
          <w:szCs w:val="22"/>
        </w:rPr>
      </w:pPr>
      <w:r w:rsidRPr="00A6189E">
        <w:rPr>
          <w:rFonts w:cs="Arial"/>
          <w:szCs w:val="22"/>
        </w:rPr>
        <w:t xml:space="preserve">AWE represents the average weekly earnings </w:t>
      </w:r>
    </w:p>
    <w:p w14:paraId="18895C4E" w14:textId="77777777" w:rsidR="004B0FAF" w:rsidRPr="00A6189E" w:rsidRDefault="004B0FAF" w:rsidP="00A2768E">
      <w:pPr>
        <w:pStyle w:val="ListParagraph"/>
        <w:numPr>
          <w:ilvl w:val="0"/>
          <w:numId w:val="123"/>
        </w:numPr>
        <w:suppressAutoHyphens/>
        <w:spacing w:line="259" w:lineRule="auto"/>
        <w:contextualSpacing w:val="0"/>
        <w:rPr>
          <w:rFonts w:cs="Arial"/>
          <w:szCs w:val="22"/>
        </w:rPr>
      </w:pPr>
      <w:r w:rsidRPr="00A6189E">
        <w:rPr>
          <w:rFonts w:cs="Arial"/>
          <w:szCs w:val="22"/>
        </w:rPr>
        <w:t xml:space="preserve">SAB represents the proportion of affected businesses </w:t>
      </w:r>
    </w:p>
    <w:p w14:paraId="2FA753F8" w14:textId="54E5FED2" w:rsidR="00207489" w:rsidRDefault="004B0FAF" w:rsidP="002C2387">
      <w:pPr>
        <w:pStyle w:val="ListParagraph"/>
        <w:numPr>
          <w:ilvl w:val="0"/>
          <w:numId w:val="123"/>
        </w:numPr>
        <w:suppressAutoHyphens/>
        <w:spacing w:line="259" w:lineRule="auto"/>
        <w:contextualSpacing w:val="0"/>
      </w:pPr>
      <w:r w:rsidRPr="008D64F6">
        <w:rPr>
          <w:rFonts w:cs="Arial"/>
          <w:szCs w:val="22"/>
        </w:rPr>
        <w:t>I represents the industry (ANZSIC Group).</w:t>
      </w:r>
    </w:p>
    <w:p w14:paraId="157D0B5E" w14:textId="193263AF" w:rsidR="008D64F6" w:rsidRDefault="008D64F6" w:rsidP="002C2387">
      <w:pPr>
        <w:pStyle w:val="Caption"/>
      </w:pPr>
      <w:bookmarkStart w:id="695" w:name="_Ref216793125"/>
      <w:r>
        <w:t xml:space="preserve">Table </w:t>
      </w:r>
      <w:fldSimple w:instr=" SEQ Table \* ARABIC ">
        <w:r w:rsidR="00A002F4">
          <w:rPr>
            <w:noProof/>
          </w:rPr>
          <w:t>60</w:t>
        </w:r>
      </w:fldSimple>
      <w:bookmarkEnd w:id="695"/>
      <w:r>
        <w:t xml:space="preserve"> - </w:t>
      </w:r>
      <w:r w:rsidRPr="001F2AD0">
        <w:t>Estimated AWE for workers at risk of exposure to each chemical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8"/>
        <w:gridCol w:w="4508"/>
      </w:tblGrid>
      <w:tr w:rsidR="009F175A" w:rsidRPr="0085691B" w14:paraId="4F2EB4A0" w14:textId="77777777" w:rsidTr="009F175A">
        <w:tc>
          <w:tcPr>
            <w:tcW w:w="4508" w:type="dxa"/>
            <w:shd w:val="clear" w:color="auto" w:fill="4877E0" w:themeFill="accent1"/>
          </w:tcPr>
          <w:p w14:paraId="6E4F4DAB" w14:textId="77777777" w:rsidR="009F175A" w:rsidRPr="009F175A" w:rsidRDefault="009F175A" w:rsidP="00481A77">
            <w:pPr>
              <w:keepNext/>
              <w:keepLines/>
              <w:rPr>
                <w:rFonts w:cs="Arial"/>
                <w:b/>
                <w:bCs/>
                <w:color w:val="FFFFFF" w:themeColor="background1"/>
                <w:szCs w:val="22"/>
              </w:rPr>
            </w:pPr>
            <w:r w:rsidRPr="009F175A">
              <w:rPr>
                <w:rFonts w:cs="Arial"/>
                <w:b/>
                <w:bCs/>
                <w:color w:val="FFFFFF" w:themeColor="background1"/>
              </w:rPr>
              <w:t>Chemical</w:t>
            </w:r>
          </w:p>
        </w:tc>
        <w:tc>
          <w:tcPr>
            <w:tcW w:w="4508" w:type="dxa"/>
            <w:shd w:val="clear" w:color="auto" w:fill="4877E0" w:themeFill="accent1"/>
          </w:tcPr>
          <w:p w14:paraId="73639A98" w14:textId="77777777" w:rsidR="009F175A" w:rsidRPr="009F175A" w:rsidRDefault="009F175A" w:rsidP="00481A77">
            <w:pPr>
              <w:keepNext/>
              <w:keepLines/>
              <w:rPr>
                <w:rFonts w:cs="Arial"/>
                <w:b/>
                <w:bCs/>
                <w:color w:val="FFFFFF" w:themeColor="background1"/>
                <w:szCs w:val="22"/>
              </w:rPr>
            </w:pPr>
            <w:r w:rsidRPr="009F175A">
              <w:rPr>
                <w:rFonts w:cs="Arial"/>
                <w:b/>
                <w:bCs/>
                <w:color w:val="FFFFFF" w:themeColor="background1"/>
              </w:rPr>
              <w:t>AWE</w:t>
            </w:r>
          </w:p>
        </w:tc>
      </w:tr>
      <w:tr w:rsidR="009F175A" w:rsidRPr="00A6189E" w14:paraId="6229979F" w14:textId="77777777">
        <w:tc>
          <w:tcPr>
            <w:tcW w:w="4508" w:type="dxa"/>
          </w:tcPr>
          <w:p w14:paraId="4DD43E42" w14:textId="77777777" w:rsidR="009F175A" w:rsidRPr="0085691B" w:rsidRDefault="009F175A" w:rsidP="00481A77">
            <w:pPr>
              <w:keepNext/>
              <w:keepLines/>
              <w:rPr>
                <w:rFonts w:cs="Arial"/>
                <w:b/>
                <w:bCs/>
                <w:szCs w:val="22"/>
              </w:rPr>
            </w:pPr>
            <w:r w:rsidRPr="0085691B">
              <w:rPr>
                <w:rFonts w:cs="Arial"/>
                <w:b/>
                <w:bCs/>
              </w:rPr>
              <w:t>Benzene</w:t>
            </w:r>
          </w:p>
        </w:tc>
        <w:tc>
          <w:tcPr>
            <w:tcW w:w="4508" w:type="dxa"/>
          </w:tcPr>
          <w:p w14:paraId="6265458A" w14:textId="77777777" w:rsidR="009F175A" w:rsidRPr="00A6189E" w:rsidRDefault="009F175A" w:rsidP="00481A77">
            <w:pPr>
              <w:keepNext/>
              <w:keepLines/>
              <w:jc w:val="right"/>
              <w:rPr>
                <w:rFonts w:cs="Arial"/>
                <w:szCs w:val="22"/>
              </w:rPr>
            </w:pPr>
            <w:r w:rsidRPr="00A6189E">
              <w:rPr>
                <w:rFonts w:cs="Arial"/>
                <w:szCs w:val="22"/>
                <w:lang w:eastAsia="en-AU"/>
              </w:rPr>
              <w:t>$2,244</w:t>
            </w:r>
          </w:p>
        </w:tc>
      </w:tr>
      <w:tr w:rsidR="009F175A" w:rsidRPr="00A6189E" w14:paraId="465D1CE3" w14:textId="77777777" w:rsidTr="009F175A">
        <w:tc>
          <w:tcPr>
            <w:tcW w:w="4508" w:type="dxa"/>
            <w:shd w:val="clear" w:color="auto" w:fill="DAE3F8" w:themeFill="accent1" w:themeFillTint="33"/>
          </w:tcPr>
          <w:p w14:paraId="70AA9C74" w14:textId="77777777" w:rsidR="009F175A" w:rsidRPr="0085691B" w:rsidRDefault="009F175A" w:rsidP="00481A77">
            <w:pPr>
              <w:keepNext/>
              <w:keepLines/>
              <w:rPr>
                <w:rFonts w:cs="Arial"/>
                <w:b/>
                <w:bCs/>
                <w:szCs w:val="22"/>
              </w:rPr>
            </w:pPr>
            <w:r w:rsidRPr="0085691B">
              <w:rPr>
                <w:rFonts w:cs="Arial"/>
                <w:b/>
                <w:bCs/>
              </w:rPr>
              <w:t>Chlorine</w:t>
            </w:r>
          </w:p>
        </w:tc>
        <w:tc>
          <w:tcPr>
            <w:tcW w:w="4508" w:type="dxa"/>
            <w:shd w:val="clear" w:color="auto" w:fill="DAE3F8" w:themeFill="accent1" w:themeFillTint="33"/>
          </w:tcPr>
          <w:p w14:paraId="5C410B58" w14:textId="77777777" w:rsidR="009F175A" w:rsidRPr="00A6189E" w:rsidRDefault="009F175A" w:rsidP="00481A77">
            <w:pPr>
              <w:keepNext/>
              <w:keepLines/>
              <w:jc w:val="right"/>
              <w:rPr>
                <w:rFonts w:cs="Arial"/>
                <w:szCs w:val="22"/>
              </w:rPr>
            </w:pPr>
            <w:r w:rsidRPr="00A6189E">
              <w:rPr>
                <w:rFonts w:cs="Arial"/>
                <w:szCs w:val="22"/>
                <w:lang w:eastAsia="en-AU"/>
              </w:rPr>
              <w:t>$2,319</w:t>
            </w:r>
          </w:p>
        </w:tc>
      </w:tr>
      <w:tr w:rsidR="009F175A" w:rsidRPr="00A6189E" w14:paraId="4F61160F" w14:textId="77777777">
        <w:tc>
          <w:tcPr>
            <w:tcW w:w="4508" w:type="dxa"/>
          </w:tcPr>
          <w:p w14:paraId="7D2A1C35" w14:textId="77777777" w:rsidR="009F175A" w:rsidRPr="0085691B" w:rsidRDefault="009F175A" w:rsidP="00481A77">
            <w:pPr>
              <w:keepNext/>
              <w:keepLines/>
              <w:rPr>
                <w:rFonts w:cs="Arial"/>
                <w:b/>
                <w:bCs/>
                <w:szCs w:val="22"/>
              </w:rPr>
            </w:pPr>
            <w:r w:rsidRPr="0085691B">
              <w:rPr>
                <w:rFonts w:cs="Arial"/>
                <w:b/>
                <w:bCs/>
              </w:rPr>
              <w:t>Copper</w:t>
            </w:r>
          </w:p>
        </w:tc>
        <w:tc>
          <w:tcPr>
            <w:tcW w:w="4508" w:type="dxa"/>
          </w:tcPr>
          <w:p w14:paraId="53892519" w14:textId="77777777" w:rsidR="009F175A" w:rsidRPr="00A6189E" w:rsidRDefault="009F175A" w:rsidP="00481A77">
            <w:pPr>
              <w:keepNext/>
              <w:keepLines/>
              <w:jc w:val="right"/>
              <w:rPr>
                <w:rFonts w:cs="Arial"/>
                <w:szCs w:val="22"/>
              </w:rPr>
            </w:pPr>
            <w:r w:rsidRPr="00A6189E">
              <w:rPr>
                <w:rFonts w:cs="Arial"/>
                <w:szCs w:val="22"/>
                <w:lang w:eastAsia="en-AU"/>
              </w:rPr>
              <w:t>$2,271</w:t>
            </w:r>
          </w:p>
        </w:tc>
      </w:tr>
      <w:tr w:rsidR="009F175A" w:rsidRPr="00A6189E" w14:paraId="06A18E10" w14:textId="77777777" w:rsidTr="009F175A">
        <w:tc>
          <w:tcPr>
            <w:tcW w:w="4508" w:type="dxa"/>
            <w:shd w:val="clear" w:color="auto" w:fill="DAE3F8" w:themeFill="accent1" w:themeFillTint="33"/>
          </w:tcPr>
          <w:p w14:paraId="5A981F74" w14:textId="77777777" w:rsidR="009F175A" w:rsidRPr="0085691B" w:rsidRDefault="009F175A" w:rsidP="00481A77">
            <w:pPr>
              <w:keepNext/>
              <w:keepLines/>
              <w:rPr>
                <w:rFonts w:cs="Arial"/>
                <w:b/>
                <w:bCs/>
                <w:szCs w:val="22"/>
              </w:rPr>
            </w:pPr>
            <w:r w:rsidRPr="0085691B">
              <w:rPr>
                <w:rFonts w:cs="Arial"/>
                <w:b/>
                <w:bCs/>
              </w:rPr>
              <w:t>Formaldehyde</w:t>
            </w:r>
          </w:p>
        </w:tc>
        <w:tc>
          <w:tcPr>
            <w:tcW w:w="4508" w:type="dxa"/>
            <w:shd w:val="clear" w:color="auto" w:fill="DAE3F8" w:themeFill="accent1" w:themeFillTint="33"/>
          </w:tcPr>
          <w:p w14:paraId="18FB9576" w14:textId="77777777" w:rsidR="009F175A" w:rsidRPr="00A6189E" w:rsidRDefault="009F175A" w:rsidP="00481A77">
            <w:pPr>
              <w:keepNext/>
              <w:keepLines/>
              <w:jc w:val="right"/>
              <w:rPr>
                <w:rFonts w:cs="Arial"/>
                <w:szCs w:val="22"/>
              </w:rPr>
            </w:pPr>
            <w:r w:rsidRPr="00A6189E">
              <w:rPr>
                <w:rFonts w:cs="Arial"/>
                <w:szCs w:val="22"/>
                <w:lang w:eastAsia="en-AU"/>
              </w:rPr>
              <w:t>$2,291</w:t>
            </w:r>
          </w:p>
        </w:tc>
      </w:tr>
      <w:tr w:rsidR="009F175A" w:rsidRPr="00A6189E" w14:paraId="5F1A5950" w14:textId="77777777">
        <w:tc>
          <w:tcPr>
            <w:tcW w:w="4508" w:type="dxa"/>
          </w:tcPr>
          <w:p w14:paraId="7ED3A625" w14:textId="77777777" w:rsidR="009F175A" w:rsidRPr="0085691B" w:rsidRDefault="009F175A" w:rsidP="00481A77">
            <w:pPr>
              <w:keepNext/>
              <w:keepLines/>
              <w:rPr>
                <w:rFonts w:cs="Arial"/>
                <w:b/>
                <w:bCs/>
                <w:szCs w:val="22"/>
              </w:rPr>
            </w:pPr>
            <w:r w:rsidRPr="0085691B">
              <w:rPr>
                <w:rFonts w:cs="Arial"/>
                <w:b/>
                <w:bCs/>
              </w:rPr>
              <w:t>Hydrogen cyanide</w:t>
            </w:r>
          </w:p>
        </w:tc>
        <w:tc>
          <w:tcPr>
            <w:tcW w:w="4508" w:type="dxa"/>
          </w:tcPr>
          <w:p w14:paraId="1899CB56" w14:textId="77777777" w:rsidR="009F175A" w:rsidRPr="00A6189E" w:rsidRDefault="009F175A" w:rsidP="00481A77">
            <w:pPr>
              <w:keepNext/>
              <w:keepLines/>
              <w:jc w:val="right"/>
              <w:rPr>
                <w:rFonts w:cs="Arial"/>
                <w:szCs w:val="22"/>
              </w:rPr>
            </w:pPr>
            <w:r w:rsidRPr="00A6189E">
              <w:rPr>
                <w:rFonts w:cs="Arial"/>
                <w:szCs w:val="22"/>
                <w:lang w:eastAsia="en-AU"/>
              </w:rPr>
              <w:t>$2,725</w:t>
            </w:r>
          </w:p>
        </w:tc>
      </w:tr>
      <w:tr w:rsidR="009F175A" w:rsidRPr="00A6189E" w14:paraId="299FB1EE" w14:textId="77777777" w:rsidTr="009F175A">
        <w:tc>
          <w:tcPr>
            <w:tcW w:w="4508" w:type="dxa"/>
            <w:shd w:val="clear" w:color="auto" w:fill="DAE3F8" w:themeFill="accent1" w:themeFillTint="33"/>
          </w:tcPr>
          <w:p w14:paraId="10E13F50" w14:textId="6BA89FAF" w:rsidR="009F175A" w:rsidRPr="0085691B" w:rsidRDefault="009F175A" w:rsidP="00481A77">
            <w:pPr>
              <w:keepNext/>
              <w:keepLines/>
              <w:rPr>
                <w:rFonts w:cs="Arial"/>
                <w:b/>
                <w:bCs/>
                <w:szCs w:val="22"/>
              </w:rPr>
            </w:pPr>
            <w:r w:rsidRPr="0085691B">
              <w:rPr>
                <w:rFonts w:cs="Arial"/>
                <w:b/>
                <w:bCs/>
              </w:rPr>
              <w:t>Hydrogen sul</w:t>
            </w:r>
            <w:r>
              <w:rPr>
                <w:rFonts w:cs="Arial"/>
                <w:b/>
                <w:bCs/>
              </w:rPr>
              <w:t>f</w:t>
            </w:r>
            <w:r w:rsidRPr="0085691B">
              <w:rPr>
                <w:rFonts w:cs="Arial"/>
                <w:b/>
                <w:bCs/>
              </w:rPr>
              <w:t>ide</w:t>
            </w:r>
          </w:p>
        </w:tc>
        <w:tc>
          <w:tcPr>
            <w:tcW w:w="4508" w:type="dxa"/>
            <w:shd w:val="clear" w:color="auto" w:fill="DAE3F8" w:themeFill="accent1" w:themeFillTint="33"/>
          </w:tcPr>
          <w:p w14:paraId="2C468D19" w14:textId="77777777" w:rsidR="009F175A" w:rsidRPr="00A6189E" w:rsidRDefault="009F175A" w:rsidP="00481A77">
            <w:pPr>
              <w:keepNext/>
              <w:keepLines/>
              <w:jc w:val="right"/>
              <w:rPr>
                <w:rFonts w:cs="Arial"/>
                <w:szCs w:val="22"/>
              </w:rPr>
            </w:pPr>
            <w:r w:rsidRPr="00A6189E">
              <w:rPr>
                <w:rFonts w:cs="Arial"/>
                <w:szCs w:val="22"/>
                <w:lang w:eastAsia="en-AU"/>
              </w:rPr>
              <w:t>$2,787</w:t>
            </w:r>
          </w:p>
        </w:tc>
      </w:tr>
      <w:tr w:rsidR="009F175A" w:rsidRPr="00A6189E" w14:paraId="1786EEC8" w14:textId="77777777">
        <w:tc>
          <w:tcPr>
            <w:tcW w:w="4508" w:type="dxa"/>
          </w:tcPr>
          <w:p w14:paraId="6E79B3A0" w14:textId="77777777" w:rsidR="009F175A" w:rsidRPr="0085691B" w:rsidRDefault="009F175A" w:rsidP="00481A77">
            <w:pPr>
              <w:keepNext/>
              <w:keepLines/>
              <w:rPr>
                <w:rFonts w:cs="Arial"/>
                <w:b/>
                <w:bCs/>
                <w:szCs w:val="22"/>
              </w:rPr>
            </w:pPr>
            <w:r w:rsidRPr="0085691B">
              <w:rPr>
                <w:rFonts w:cs="Arial"/>
                <w:b/>
                <w:bCs/>
              </w:rPr>
              <w:t>Nitrogen dioxide</w:t>
            </w:r>
          </w:p>
        </w:tc>
        <w:tc>
          <w:tcPr>
            <w:tcW w:w="4508" w:type="dxa"/>
          </w:tcPr>
          <w:p w14:paraId="4DECFBDB" w14:textId="77777777" w:rsidR="009F175A" w:rsidRPr="00A6189E" w:rsidRDefault="009F175A" w:rsidP="00481A77">
            <w:pPr>
              <w:keepNext/>
              <w:keepLines/>
              <w:jc w:val="right"/>
              <w:rPr>
                <w:rFonts w:cs="Arial"/>
                <w:szCs w:val="22"/>
              </w:rPr>
            </w:pPr>
            <w:r w:rsidRPr="00A6189E">
              <w:rPr>
                <w:rFonts w:cs="Arial"/>
                <w:szCs w:val="22"/>
                <w:lang w:eastAsia="en-AU"/>
              </w:rPr>
              <w:t>$2,174</w:t>
            </w:r>
          </w:p>
        </w:tc>
      </w:tr>
      <w:tr w:rsidR="009F175A" w:rsidRPr="00A6189E" w14:paraId="719666BE" w14:textId="77777777" w:rsidTr="009F175A">
        <w:tc>
          <w:tcPr>
            <w:tcW w:w="4508" w:type="dxa"/>
            <w:shd w:val="clear" w:color="auto" w:fill="DAE3F8" w:themeFill="accent1" w:themeFillTint="33"/>
          </w:tcPr>
          <w:p w14:paraId="2E83298D" w14:textId="77777777" w:rsidR="009F175A" w:rsidRPr="0085691B" w:rsidRDefault="009F175A" w:rsidP="00481A77">
            <w:pPr>
              <w:keepNext/>
              <w:keepLines/>
              <w:rPr>
                <w:rFonts w:cs="Arial"/>
                <w:b/>
                <w:bCs/>
              </w:rPr>
            </w:pPr>
            <w:r w:rsidRPr="0085691B">
              <w:rPr>
                <w:rFonts w:cs="Arial"/>
                <w:b/>
                <w:bCs/>
              </w:rPr>
              <w:t>RCS</w:t>
            </w:r>
          </w:p>
        </w:tc>
        <w:tc>
          <w:tcPr>
            <w:tcW w:w="4508" w:type="dxa"/>
            <w:shd w:val="clear" w:color="auto" w:fill="DAE3F8" w:themeFill="accent1" w:themeFillTint="33"/>
          </w:tcPr>
          <w:p w14:paraId="78DDD738" w14:textId="77777777" w:rsidR="009F175A" w:rsidRPr="00A6189E" w:rsidRDefault="009F175A" w:rsidP="00481A77">
            <w:pPr>
              <w:keepNext/>
              <w:keepLines/>
              <w:jc w:val="right"/>
              <w:rPr>
                <w:rFonts w:cs="Arial"/>
                <w:szCs w:val="22"/>
              </w:rPr>
            </w:pPr>
            <w:r w:rsidRPr="00A6189E">
              <w:rPr>
                <w:rFonts w:cs="Arial"/>
                <w:szCs w:val="22"/>
                <w:lang w:eastAsia="en-AU"/>
              </w:rPr>
              <w:t>$2,204</w:t>
            </w:r>
          </w:p>
        </w:tc>
      </w:tr>
      <w:tr w:rsidR="009F175A" w:rsidRPr="00A6189E" w14:paraId="0E7E4618" w14:textId="77777777">
        <w:tc>
          <w:tcPr>
            <w:tcW w:w="4508" w:type="dxa"/>
          </w:tcPr>
          <w:p w14:paraId="31F07A57" w14:textId="77777777" w:rsidR="009F175A" w:rsidRPr="0085691B" w:rsidRDefault="009F175A" w:rsidP="00481A77">
            <w:pPr>
              <w:keepNext/>
              <w:keepLines/>
              <w:rPr>
                <w:rFonts w:cs="Arial"/>
                <w:b/>
                <w:bCs/>
              </w:rPr>
            </w:pPr>
            <w:r w:rsidRPr="0085691B">
              <w:rPr>
                <w:rFonts w:cs="Arial"/>
                <w:b/>
                <w:bCs/>
              </w:rPr>
              <w:t>Titanium dioxide</w:t>
            </w:r>
          </w:p>
        </w:tc>
        <w:tc>
          <w:tcPr>
            <w:tcW w:w="4508" w:type="dxa"/>
          </w:tcPr>
          <w:p w14:paraId="7192240F" w14:textId="77777777" w:rsidR="009F175A" w:rsidRPr="00A6189E" w:rsidRDefault="009F175A" w:rsidP="00481A77">
            <w:pPr>
              <w:keepNext/>
              <w:keepLines/>
              <w:jc w:val="right"/>
              <w:rPr>
                <w:rFonts w:cs="Arial"/>
                <w:szCs w:val="22"/>
              </w:rPr>
            </w:pPr>
            <w:r w:rsidRPr="00A6189E">
              <w:rPr>
                <w:rFonts w:cs="Arial"/>
                <w:szCs w:val="22"/>
                <w:lang w:eastAsia="en-AU"/>
              </w:rPr>
              <w:t>$1,906</w:t>
            </w:r>
          </w:p>
        </w:tc>
      </w:tr>
    </w:tbl>
    <w:p w14:paraId="3CA76FA2" w14:textId="4EDAC8AF" w:rsidR="00B13D66" w:rsidRDefault="00D03C46" w:rsidP="0059407C">
      <w:pPr>
        <w:pStyle w:val="Paragraph"/>
        <w:spacing w:before="240"/>
      </w:pPr>
      <w:r>
        <w:rPr>
          <w:szCs w:val="22"/>
          <w:lang w:eastAsia="en-US"/>
        </w:rPr>
        <w:t>The inputs, parameters and methodology used to estimate this benefit are presented in</w:t>
      </w:r>
      <w:r w:rsidR="008D64F6">
        <w:rPr>
          <w:szCs w:val="22"/>
          <w:lang w:eastAsia="en-US"/>
        </w:rPr>
        <w:t xml:space="preserve"> </w:t>
      </w:r>
      <w:r w:rsidR="008D64F6">
        <w:rPr>
          <w:szCs w:val="22"/>
          <w:lang w:eastAsia="en-US"/>
        </w:rPr>
        <w:fldChar w:fldCharType="begin"/>
      </w:r>
      <w:r w:rsidR="008D64F6">
        <w:rPr>
          <w:szCs w:val="22"/>
          <w:lang w:eastAsia="en-US"/>
        </w:rPr>
        <w:instrText xml:space="preserve"> REF _Ref216793158 \h </w:instrText>
      </w:r>
      <w:r w:rsidR="008D64F6">
        <w:rPr>
          <w:szCs w:val="22"/>
          <w:lang w:eastAsia="en-US"/>
        </w:rPr>
      </w:r>
      <w:r w:rsidR="008D64F6">
        <w:rPr>
          <w:szCs w:val="22"/>
          <w:lang w:eastAsia="en-US"/>
        </w:rPr>
        <w:fldChar w:fldCharType="separate"/>
      </w:r>
      <w:r w:rsidR="00A002F4">
        <w:t xml:space="preserve">Table </w:t>
      </w:r>
      <w:r w:rsidR="00A002F4">
        <w:rPr>
          <w:noProof/>
        </w:rPr>
        <w:t>61</w:t>
      </w:r>
      <w:r w:rsidR="008D64F6">
        <w:rPr>
          <w:szCs w:val="22"/>
          <w:lang w:eastAsia="en-US"/>
        </w:rPr>
        <w:fldChar w:fldCharType="end"/>
      </w:r>
      <w:r w:rsidRPr="00AA3D59">
        <w:rPr>
          <w:szCs w:val="22"/>
          <w:lang w:eastAsia="en-US"/>
        </w:rPr>
        <w:t>.</w:t>
      </w:r>
    </w:p>
    <w:p w14:paraId="207E1AC2" w14:textId="00373BB1" w:rsidR="008D64F6" w:rsidRDefault="008D64F6" w:rsidP="00973B77">
      <w:pPr>
        <w:pStyle w:val="Caption"/>
      </w:pPr>
      <w:bookmarkStart w:id="696" w:name="_Ref216793158"/>
      <w:r>
        <w:t xml:space="preserve">Table </w:t>
      </w:r>
      <w:fldSimple w:instr=" SEQ Table \* ARABIC ">
        <w:r w:rsidR="00A002F4">
          <w:rPr>
            <w:noProof/>
          </w:rPr>
          <w:t>61</w:t>
        </w:r>
      </w:fldSimple>
      <w:bookmarkEnd w:id="696"/>
      <w:r>
        <w:t xml:space="preserve"> - </w:t>
      </w:r>
      <w:r w:rsidRPr="00DD671E">
        <w:t>Inputs, parameters and methodology used to estimate the reduced productivity losses</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D03C46" w:rsidRPr="00D97910" w14:paraId="340A7965" w14:textId="77777777" w:rsidTr="00FD7442">
        <w:trPr>
          <w:trHeight w:val="265"/>
        </w:trPr>
        <w:tc>
          <w:tcPr>
            <w:tcW w:w="1980" w:type="dxa"/>
            <w:shd w:val="clear" w:color="auto" w:fill="4877E0" w:themeFill="accent1"/>
          </w:tcPr>
          <w:p w14:paraId="46A50C1A" w14:textId="77777777" w:rsidR="00D03C46" w:rsidRPr="00A5436E" w:rsidRDefault="00D03C46">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Inputs</w:t>
            </w:r>
          </w:p>
        </w:tc>
        <w:tc>
          <w:tcPr>
            <w:tcW w:w="7438" w:type="dxa"/>
          </w:tcPr>
          <w:p w14:paraId="44CE2912" w14:textId="77777777" w:rsidR="00D03C46" w:rsidRPr="002A1131" w:rsidRDefault="00D03C46">
            <w:pPr>
              <w:keepNext/>
              <w:keepLines/>
              <w:rPr>
                <w:rFonts w:eastAsia="Arial" w:cs="Arial"/>
                <w:szCs w:val="22"/>
                <w:lang w:eastAsia="en-AU"/>
              </w:rPr>
            </w:pPr>
            <w:r w:rsidRPr="00A6189E">
              <w:rPr>
                <w:rFonts w:cs="Arial"/>
                <w:szCs w:val="22"/>
                <w:lang w:eastAsia="en-AU"/>
              </w:rPr>
              <w:t>Not applicable.</w:t>
            </w:r>
          </w:p>
        </w:tc>
      </w:tr>
      <w:tr w:rsidR="00D03C46" w:rsidRPr="00D97910" w14:paraId="0A52EA73" w14:textId="77777777" w:rsidTr="00DC645D">
        <w:trPr>
          <w:trHeight w:val="265"/>
        </w:trPr>
        <w:tc>
          <w:tcPr>
            <w:tcW w:w="1980" w:type="dxa"/>
            <w:shd w:val="clear" w:color="auto" w:fill="4877E0" w:themeFill="accent1"/>
          </w:tcPr>
          <w:p w14:paraId="10DFFA13" w14:textId="77777777" w:rsidR="00D03C46" w:rsidRPr="00A5436E" w:rsidRDefault="00D03C46">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Parameters</w:t>
            </w:r>
          </w:p>
        </w:tc>
        <w:tc>
          <w:tcPr>
            <w:tcW w:w="7438" w:type="dxa"/>
          </w:tcPr>
          <w:p w14:paraId="7B897155" w14:textId="0DC30A89" w:rsidR="00D03C46" w:rsidRPr="00A6189E" w:rsidRDefault="00D03C46">
            <w:pPr>
              <w:pStyle w:val="TableNText"/>
              <w:rPr>
                <w:rFonts w:ascii="Arial" w:hAnsi="Arial" w:cs="Arial"/>
                <w:sz w:val="22"/>
                <w:lang w:eastAsia="en-AU"/>
              </w:rPr>
            </w:pPr>
            <w:r w:rsidRPr="00A6189E">
              <w:rPr>
                <w:rFonts w:ascii="Arial" w:hAnsi="Arial" w:cs="Arial"/>
                <w:sz w:val="22"/>
                <w:lang w:eastAsia="en-AU"/>
              </w:rPr>
              <w:t>The average time lost in working weeks per workers’ compensation claim for each chemical (</w:t>
            </w:r>
            <w:r w:rsidRPr="00973B77">
              <w:rPr>
                <w:rFonts w:asciiTheme="minorHAnsi" w:hAnsiTheme="minorHAnsi" w:cstheme="minorHAnsi"/>
                <w:sz w:val="22"/>
                <w:lang w:eastAsia="en-AU"/>
              </w:rPr>
              <w:t>see</w:t>
            </w:r>
            <w:r w:rsidR="004B7C05" w:rsidRPr="00A56E18">
              <w:rPr>
                <w:rFonts w:asciiTheme="minorHAnsi" w:hAnsiTheme="minorHAnsi" w:cstheme="minorHAnsi"/>
                <w:sz w:val="22"/>
              </w:rPr>
              <w:t xml:space="preserve"> </w:t>
            </w:r>
            <w:r w:rsidR="00A56E18" w:rsidRPr="00A56E18">
              <w:rPr>
                <w:rFonts w:asciiTheme="minorHAnsi" w:hAnsiTheme="minorHAnsi" w:cstheme="minorHAnsi"/>
                <w:sz w:val="22"/>
              </w:rPr>
              <w:fldChar w:fldCharType="begin"/>
            </w:r>
            <w:r w:rsidR="00A56E18" w:rsidRPr="00A56E18">
              <w:rPr>
                <w:rFonts w:asciiTheme="minorHAnsi" w:hAnsiTheme="minorHAnsi" w:cstheme="minorHAnsi"/>
                <w:sz w:val="22"/>
              </w:rPr>
              <w:instrText xml:space="preserve"> REF _Ref216792583 \h  \* MERGEFORMAT </w:instrText>
            </w:r>
            <w:r w:rsidR="00A56E18" w:rsidRPr="00A56E18">
              <w:rPr>
                <w:rFonts w:asciiTheme="minorHAnsi" w:hAnsiTheme="minorHAnsi" w:cstheme="minorHAnsi"/>
                <w:sz w:val="22"/>
              </w:rPr>
            </w:r>
            <w:r w:rsidR="00A56E18" w:rsidRPr="00A56E18">
              <w:rPr>
                <w:rFonts w:asciiTheme="minorHAnsi" w:hAnsiTheme="minorHAnsi" w:cstheme="minorHAnsi"/>
                <w:sz w:val="22"/>
              </w:rPr>
              <w:fldChar w:fldCharType="separate"/>
            </w:r>
            <w:r w:rsidR="00A002F4" w:rsidRPr="00A002F4">
              <w:rPr>
                <w:rFonts w:asciiTheme="minorHAnsi" w:hAnsiTheme="minorHAnsi" w:cstheme="minorHAnsi"/>
                <w:sz w:val="22"/>
              </w:rPr>
              <w:t xml:space="preserve">Table </w:t>
            </w:r>
            <w:r w:rsidR="00A002F4" w:rsidRPr="00A002F4">
              <w:rPr>
                <w:rFonts w:asciiTheme="minorHAnsi" w:hAnsiTheme="minorHAnsi" w:cstheme="minorHAnsi"/>
                <w:noProof/>
                <w:sz w:val="22"/>
              </w:rPr>
              <w:t>51</w:t>
            </w:r>
            <w:r w:rsidR="00A56E18" w:rsidRPr="00A56E18">
              <w:rPr>
                <w:rFonts w:asciiTheme="minorHAnsi" w:hAnsiTheme="minorHAnsi" w:cstheme="minorHAnsi"/>
                <w:sz w:val="22"/>
              </w:rPr>
              <w:fldChar w:fldCharType="end"/>
            </w:r>
            <w:r w:rsidRPr="00DD6A2C">
              <w:rPr>
                <w:rFonts w:ascii="Arial" w:hAnsi="Arial" w:cs="Arial"/>
                <w:sz w:val="22"/>
                <w:lang w:eastAsia="en-AU"/>
              </w:rPr>
              <w:t>)</w:t>
            </w:r>
            <w:r w:rsidRPr="00A6189E">
              <w:rPr>
                <w:rFonts w:ascii="Arial" w:hAnsi="Arial" w:cs="Arial"/>
                <w:sz w:val="22"/>
                <w:lang w:eastAsia="en-AU"/>
              </w:rPr>
              <w:t xml:space="preserve"> is based on NDS data.</w:t>
            </w:r>
          </w:p>
          <w:p w14:paraId="71AE61E8" w14:textId="7398DDD8" w:rsidR="006A4DC0" w:rsidRPr="006A4DC0" w:rsidRDefault="00D03C46" w:rsidP="006A4DC0">
            <w:pPr>
              <w:pStyle w:val="TableNText"/>
              <w:rPr>
                <w:rFonts w:asciiTheme="minorHAnsi" w:hAnsiTheme="minorHAnsi" w:cstheme="minorHAnsi"/>
                <w:sz w:val="22"/>
                <w:szCs w:val="32"/>
                <w:lang w:eastAsia="en-AU"/>
              </w:rPr>
            </w:pPr>
            <w:r w:rsidRPr="006A4DC0">
              <w:rPr>
                <w:rFonts w:asciiTheme="minorHAnsi" w:hAnsiTheme="minorHAnsi" w:cstheme="minorHAnsi"/>
                <w:sz w:val="22"/>
                <w:szCs w:val="32"/>
                <w:lang w:eastAsia="en-AU"/>
              </w:rPr>
              <w:t xml:space="preserve">The AWE of workers at risk of exposure to each chemical is estimating using ABS AWE data. </w:t>
            </w:r>
            <w:r w:rsidR="006A4DC0" w:rsidRPr="006A4DC0">
              <w:rPr>
                <w:rFonts w:asciiTheme="minorHAnsi" w:hAnsiTheme="minorHAnsi" w:cstheme="minorHAnsi"/>
                <w:sz w:val="22"/>
                <w:szCs w:val="32"/>
                <w:lang w:eastAsia="en-AU"/>
              </w:rPr>
              <w:t xml:space="preserve">See </w:t>
            </w:r>
            <w:r w:rsidR="005228DB" w:rsidRPr="005228DB">
              <w:rPr>
                <w:rFonts w:asciiTheme="minorHAnsi" w:hAnsiTheme="minorHAnsi" w:cstheme="minorHAnsi"/>
                <w:sz w:val="22"/>
                <w:szCs w:val="32"/>
                <w:lang w:eastAsia="en-AU"/>
              </w:rPr>
              <w:t xml:space="preserve">‘Indirect benefits inputs’ of </w:t>
            </w:r>
            <w:hyperlink w:anchor="AppendixH_BenefitInputTables" w:history="1">
              <w:r w:rsidR="005228DB" w:rsidRPr="00B64384">
                <w:rPr>
                  <w:rStyle w:val="Hyperlink"/>
                  <w:rFonts w:asciiTheme="minorHAnsi" w:hAnsiTheme="minorHAnsi" w:cstheme="minorHAnsi"/>
                  <w:color w:val="auto"/>
                  <w:sz w:val="22"/>
                  <w:szCs w:val="32"/>
                  <w:u w:val="none"/>
                  <w:lang w:eastAsia="en-AU"/>
                </w:rPr>
                <w:t>Appendix H</w:t>
              </w:r>
            </w:hyperlink>
            <w:r w:rsidR="005228DB" w:rsidRPr="006A4DC0">
              <w:rPr>
                <w:rFonts w:asciiTheme="minorHAnsi" w:hAnsiTheme="minorHAnsi" w:cstheme="minorHAnsi"/>
                <w:sz w:val="22"/>
                <w:szCs w:val="32"/>
                <w:lang w:eastAsia="en-AU"/>
              </w:rPr>
              <w:t xml:space="preserve"> </w:t>
            </w:r>
            <w:r w:rsidR="006A4DC0" w:rsidRPr="006A4DC0">
              <w:rPr>
                <w:rFonts w:asciiTheme="minorHAnsi" w:hAnsiTheme="minorHAnsi" w:cstheme="minorHAnsi"/>
                <w:sz w:val="22"/>
                <w:szCs w:val="32"/>
                <w:lang w:eastAsia="en-AU"/>
              </w:rPr>
              <w:t>for detailed inputs.</w:t>
            </w:r>
          </w:p>
          <w:p w14:paraId="62CDC030" w14:textId="4F429537" w:rsidR="00D03C46" w:rsidRPr="00A6189E" w:rsidRDefault="00D03C46">
            <w:pPr>
              <w:keepNext/>
              <w:keepLines/>
              <w:rPr>
                <w:rFonts w:eastAsia="Arial" w:cs="Arial"/>
                <w:szCs w:val="22"/>
                <w:lang w:eastAsia="en-AU"/>
              </w:rPr>
            </w:pPr>
            <w:r w:rsidRPr="00A6189E">
              <w:rPr>
                <w:rFonts w:cs="Arial"/>
                <w:szCs w:val="22"/>
                <w:lang w:eastAsia="en-AU"/>
              </w:rPr>
              <w:t>An uplift factor of 50</w:t>
            </w:r>
            <w:r>
              <w:rPr>
                <w:rFonts w:cs="Arial"/>
                <w:szCs w:val="22"/>
                <w:lang w:eastAsia="en-AU"/>
              </w:rPr>
              <w:t xml:space="preserve">% </w:t>
            </w:r>
            <w:r w:rsidRPr="00A6189E">
              <w:rPr>
                <w:rFonts w:cs="Arial"/>
                <w:szCs w:val="22"/>
                <w:lang w:eastAsia="en-AU"/>
              </w:rPr>
              <w:t xml:space="preserve">has been assumed, to account for the likely under-reporting of workplace injury or illness attributable to the </w:t>
            </w:r>
            <w:r>
              <w:rPr>
                <w:rFonts w:cs="Arial"/>
                <w:szCs w:val="22"/>
                <w:lang w:eastAsia="en-AU"/>
              </w:rPr>
              <w:t>9</w:t>
            </w:r>
            <w:r w:rsidRPr="00A6189E">
              <w:rPr>
                <w:rFonts w:cs="Arial"/>
                <w:szCs w:val="22"/>
                <w:lang w:eastAsia="en-AU"/>
              </w:rPr>
              <w:t xml:space="preserve"> chemicals in workers’ compensation data. See </w:t>
            </w:r>
            <w:r w:rsidR="00F61557">
              <w:rPr>
                <w:rFonts w:cs="Arial"/>
                <w:szCs w:val="22"/>
                <w:lang w:eastAsia="en-AU"/>
              </w:rPr>
              <w:fldChar w:fldCharType="begin"/>
            </w:r>
            <w:r w:rsidR="00F61557">
              <w:rPr>
                <w:rFonts w:cs="Arial"/>
                <w:szCs w:val="22"/>
                <w:lang w:eastAsia="en-AU"/>
              </w:rPr>
              <w:instrText xml:space="preserve"> REF _Ref216793461 \h </w:instrText>
            </w:r>
            <w:r w:rsidR="00F61557">
              <w:rPr>
                <w:rFonts w:cs="Arial"/>
                <w:szCs w:val="22"/>
                <w:lang w:eastAsia="en-AU"/>
              </w:rPr>
            </w:r>
            <w:r w:rsidR="00F61557">
              <w:rPr>
                <w:rFonts w:cs="Arial"/>
                <w:szCs w:val="22"/>
                <w:lang w:eastAsia="en-AU"/>
              </w:rPr>
              <w:fldChar w:fldCharType="separate"/>
            </w:r>
            <w:r w:rsidR="00A002F4">
              <w:t xml:space="preserve">Table </w:t>
            </w:r>
            <w:r w:rsidR="00A002F4">
              <w:rPr>
                <w:noProof/>
              </w:rPr>
              <w:t>66</w:t>
            </w:r>
            <w:r w:rsidR="00F61557">
              <w:rPr>
                <w:rFonts w:cs="Arial"/>
                <w:szCs w:val="22"/>
                <w:lang w:eastAsia="en-AU"/>
              </w:rPr>
              <w:fldChar w:fldCharType="end"/>
            </w:r>
            <w:r w:rsidR="00916668">
              <w:rPr>
                <w:rFonts w:cs="Arial"/>
                <w:szCs w:val="22"/>
                <w:lang w:eastAsia="en-AU"/>
              </w:rPr>
              <w:t xml:space="preserve"> </w:t>
            </w:r>
            <w:r w:rsidRPr="00DD6A2C">
              <w:rPr>
                <w:rFonts w:cs="Arial"/>
                <w:szCs w:val="22"/>
                <w:lang w:eastAsia="en-AU"/>
              </w:rPr>
              <w:t>for further discussion.</w:t>
            </w:r>
          </w:p>
        </w:tc>
      </w:tr>
      <w:tr w:rsidR="00D03C46" w:rsidRPr="00D97910" w14:paraId="2691402E" w14:textId="77777777" w:rsidTr="002676C0">
        <w:trPr>
          <w:trHeight w:val="265"/>
        </w:trPr>
        <w:tc>
          <w:tcPr>
            <w:tcW w:w="1980" w:type="dxa"/>
            <w:shd w:val="clear" w:color="auto" w:fill="4877E0" w:themeFill="accent1"/>
          </w:tcPr>
          <w:p w14:paraId="29F8FEAB" w14:textId="77777777" w:rsidR="00D03C46" w:rsidRPr="00A5436E" w:rsidRDefault="00D03C46">
            <w:pPr>
              <w:keepNext/>
              <w:keepLines/>
              <w:widowControl w:val="0"/>
              <w:spacing w:after="0" w:line="240" w:lineRule="auto"/>
              <w:rPr>
                <w:rFonts w:eastAsia="Times New Roman" w:cs="Arial"/>
                <w:b/>
                <w:bCs/>
                <w:szCs w:val="22"/>
                <w:lang w:eastAsia="en-AU"/>
              </w:rPr>
            </w:pPr>
            <w:r w:rsidRPr="0085691B">
              <w:rPr>
                <w:rFonts w:cs="Arial"/>
                <w:b/>
                <w:bCs/>
                <w:color w:val="FFFFFF" w:themeColor="background1"/>
                <w:szCs w:val="22"/>
                <w:lang w:eastAsia="en-AU"/>
              </w:rPr>
              <w:t>Methodology</w:t>
            </w:r>
          </w:p>
        </w:tc>
        <w:tc>
          <w:tcPr>
            <w:tcW w:w="7438" w:type="dxa"/>
          </w:tcPr>
          <w:p w14:paraId="504EA523" w14:textId="78D01789" w:rsidR="00D03C46" w:rsidRPr="00A6189E" w:rsidRDefault="00306E5A">
            <w:pPr>
              <w:rPr>
                <w:rFonts w:cs="Arial"/>
                <w:i/>
                <w:szCs w:val="22"/>
                <w:lang w:eastAsia="en-AU"/>
              </w:rPr>
            </w:pPr>
            <m:oMath>
              <m:r>
                <w:rPr>
                  <w:rFonts w:ascii="Cambria Math" w:hAnsi="Cambria Math" w:cs="Arial"/>
                  <w:szCs w:val="22"/>
                  <w:lang w:eastAsia="en-AU"/>
                </w:rPr>
                <m:t>Benefit=∆WCC×UF×ATL×WAWE×∆NC</m:t>
              </m:r>
            </m:oMath>
            <w:r w:rsidR="00D03C46" w:rsidRPr="00A6189E">
              <w:rPr>
                <w:rStyle w:val="TableNTextChar"/>
                <w:rFonts w:cs="Arial"/>
                <w:szCs w:val="22"/>
              </w:rPr>
              <w:t xml:space="preserve">, </w:t>
            </w:r>
            <w:r w:rsidR="002676C0" w:rsidRPr="002676C0">
              <w:rPr>
                <w:rStyle w:val="TableNTextChar"/>
                <w:rFonts w:cs="Arial"/>
                <w:sz w:val="22"/>
                <w:szCs w:val="32"/>
              </w:rPr>
              <w:t>w</w:t>
            </w:r>
            <w:r w:rsidR="002676C0" w:rsidRPr="002676C0">
              <w:rPr>
                <w:rStyle w:val="TableNTextChar"/>
                <w:sz w:val="22"/>
                <w:szCs w:val="36"/>
              </w:rPr>
              <w:t>here:</w:t>
            </w:r>
          </w:p>
          <w:p w14:paraId="74220056" w14:textId="77777777" w:rsidR="00D03C46" w:rsidRPr="00A6189E" w:rsidRDefault="00D03C46">
            <w:pPr>
              <w:pStyle w:val="TableNBullet"/>
              <w:spacing w:line="240" w:lineRule="auto"/>
              <w:rPr>
                <w:rFonts w:ascii="Arial" w:hAnsi="Arial" w:cs="Arial"/>
                <w:sz w:val="22"/>
                <w:szCs w:val="22"/>
              </w:rPr>
            </w:pPr>
            <w:r w:rsidRPr="00A6189E">
              <w:rPr>
                <w:rFonts w:ascii="Arial" w:eastAsia="Segoe UI" w:hAnsi="Arial" w:cs="Arial"/>
                <w:sz w:val="22"/>
                <w:szCs w:val="22"/>
              </w:rPr>
              <w:t>∆WCC represents the change in the number of workers compensation claims</w:t>
            </w:r>
          </w:p>
          <w:p w14:paraId="5773CE2A" w14:textId="77777777" w:rsidR="00D03C46" w:rsidRPr="00A6189E" w:rsidRDefault="00D03C46">
            <w:pPr>
              <w:pStyle w:val="TableNBullet"/>
              <w:spacing w:line="240" w:lineRule="auto"/>
              <w:rPr>
                <w:rFonts w:ascii="Arial" w:hAnsi="Arial" w:cs="Arial"/>
                <w:sz w:val="22"/>
                <w:szCs w:val="22"/>
              </w:rPr>
            </w:pPr>
            <w:r w:rsidRPr="00A6189E">
              <w:rPr>
                <w:rFonts w:ascii="Arial" w:hAnsi="Arial" w:cs="Arial"/>
                <w:sz w:val="22"/>
                <w:szCs w:val="22"/>
              </w:rPr>
              <w:t>UF represents the uplift factor</w:t>
            </w:r>
          </w:p>
          <w:p w14:paraId="10B902E5" w14:textId="77777777" w:rsidR="00D03C46" w:rsidRPr="00A6189E" w:rsidRDefault="00D03C46">
            <w:pPr>
              <w:pStyle w:val="TableNBullet"/>
              <w:spacing w:line="240" w:lineRule="auto"/>
              <w:rPr>
                <w:rFonts w:ascii="Arial" w:hAnsi="Arial" w:cs="Arial"/>
                <w:sz w:val="22"/>
                <w:szCs w:val="22"/>
              </w:rPr>
            </w:pPr>
            <w:r w:rsidRPr="00A6189E">
              <w:rPr>
                <w:rFonts w:ascii="Arial" w:eastAsia="Segoe UI" w:hAnsi="Arial" w:cs="Arial"/>
                <w:sz w:val="22"/>
                <w:szCs w:val="22"/>
              </w:rPr>
              <w:t>ATL represents the average time lost (working weeks) per workers’ compensation claim</w:t>
            </w:r>
          </w:p>
          <w:p w14:paraId="24B0B24E" w14:textId="77777777" w:rsidR="00D03C46" w:rsidRPr="00A6189E" w:rsidRDefault="00D03C46">
            <w:pPr>
              <w:pStyle w:val="TableNBullet"/>
              <w:spacing w:line="240" w:lineRule="auto"/>
              <w:rPr>
                <w:rFonts w:ascii="Arial" w:hAnsi="Arial" w:cs="Arial"/>
                <w:sz w:val="22"/>
                <w:szCs w:val="22"/>
              </w:rPr>
            </w:pPr>
            <w:r w:rsidRPr="00A6189E">
              <w:rPr>
                <w:rFonts w:ascii="Arial" w:eastAsia="Segoe UI" w:hAnsi="Arial" w:cs="Arial"/>
                <w:sz w:val="22"/>
                <w:szCs w:val="22"/>
              </w:rPr>
              <w:t xml:space="preserve">WAWE represents the weighted-average weekly earnings for the workers </w:t>
            </w:r>
            <w:r>
              <w:rPr>
                <w:rFonts w:ascii="Arial" w:eastAsia="Segoe UI" w:hAnsi="Arial" w:cs="Arial"/>
                <w:sz w:val="22"/>
                <w:szCs w:val="22"/>
              </w:rPr>
              <w:t>at risk of exposure</w:t>
            </w:r>
            <w:r w:rsidRPr="00A6189E">
              <w:rPr>
                <w:rFonts w:ascii="Arial" w:eastAsia="Segoe UI" w:hAnsi="Arial" w:cs="Arial"/>
                <w:sz w:val="22"/>
                <w:szCs w:val="22"/>
              </w:rPr>
              <w:t xml:space="preserve"> to each chemical</w:t>
            </w:r>
          </w:p>
          <w:p w14:paraId="29B52D22" w14:textId="77777777" w:rsidR="00D03C46" w:rsidRPr="00A6189E" w:rsidRDefault="00D03C46" w:rsidP="00A2768E">
            <w:pPr>
              <w:pStyle w:val="ListParagraph"/>
              <w:keepNext/>
              <w:keepLines/>
              <w:numPr>
                <w:ilvl w:val="0"/>
                <w:numId w:val="124"/>
              </w:numPr>
              <w:rPr>
                <w:rFonts w:eastAsia="Arial" w:cs="Arial"/>
                <w:szCs w:val="22"/>
                <w:lang w:eastAsia="en-AU"/>
              </w:rPr>
            </w:pPr>
            <w:r w:rsidRPr="00A6189E">
              <w:rPr>
                <w:rFonts w:cs="Arial"/>
                <w:szCs w:val="22"/>
              </w:rPr>
              <w:t>ΔNC represents the percentage reduction in the number of workers compensation claims, attributable to the reduced WEL.</w:t>
            </w:r>
          </w:p>
        </w:tc>
      </w:tr>
    </w:tbl>
    <w:p w14:paraId="57B2E4DA" w14:textId="77777777" w:rsidR="00AA4331" w:rsidRDefault="00AA4331" w:rsidP="000B2640">
      <w:pPr>
        <w:spacing w:after="160"/>
      </w:pPr>
    </w:p>
    <w:p w14:paraId="2E7A89FE" w14:textId="77777777" w:rsidR="00AA4331" w:rsidRPr="00993B73" w:rsidRDefault="00AA4331" w:rsidP="00C9751E">
      <w:pPr>
        <w:pStyle w:val="SWAHeading4"/>
      </w:pPr>
      <w:r w:rsidRPr="00993B73">
        <w:t>Reduced impacts on support networks benefit</w:t>
      </w:r>
    </w:p>
    <w:p w14:paraId="2E0C9AE2" w14:textId="77777777" w:rsidR="00AA4331" w:rsidRPr="00993B73" w:rsidRDefault="00AA4331" w:rsidP="00C9751E">
      <w:pPr>
        <w:contextualSpacing w:val="0"/>
        <w:rPr>
          <w:lang w:eastAsia="en-AU"/>
        </w:rPr>
      </w:pPr>
      <w:r w:rsidRPr="00993B73">
        <w:rPr>
          <w:lang w:eastAsia="en-AU"/>
        </w:rPr>
        <w:t xml:space="preserve">This benefit considers the reduced indirect burden on workers’ family and friends due to occupational disease, attributable to reduced workplace exposure to airborne contaminants. </w:t>
      </w:r>
      <w:r w:rsidRPr="00993B73">
        <w:rPr>
          <w:lang w:eastAsia="en-AU"/>
        </w:rPr>
        <w:lastRenderedPageBreak/>
        <w:t xml:space="preserve">When an individual becomes unwell due to an occupational disease, this can create additional strain on their networks and families. For example, household tasks may be left unfulfilled, requiring support from other family members, friends or necessitating paid support. It can also necessitate additional caring arrangements within households. For example, a worker with occupation disease may require support from their spouse, </w:t>
      </w:r>
      <w:r>
        <w:rPr>
          <w:lang w:eastAsia="en-AU"/>
        </w:rPr>
        <w:t xml:space="preserve">adversely affecting </w:t>
      </w:r>
      <w:r w:rsidRPr="00993B73">
        <w:rPr>
          <w:lang w:eastAsia="en-AU"/>
        </w:rPr>
        <w:t xml:space="preserve">the spouse’s ability to care for their child. This can place additional physical, emotional and financial strain on workers’ support networks.  </w:t>
      </w:r>
    </w:p>
    <w:p w14:paraId="349EA020" w14:textId="77777777" w:rsidR="00AA4331" w:rsidRPr="00993B73" w:rsidRDefault="00AA4331" w:rsidP="00C9751E">
      <w:pPr>
        <w:contextualSpacing w:val="0"/>
        <w:rPr>
          <w:lang w:eastAsia="en-AU"/>
        </w:rPr>
      </w:pPr>
      <w:r w:rsidRPr="00993B73">
        <w:rPr>
          <w:lang w:eastAsia="en-AU"/>
        </w:rPr>
        <w:t>The indirect burden of occupational disease on family and friends relates to the stress and additional unpaid responsibilities, including:</w:t>
      </w:r>
    </w:p>
    <w:p w14:paraId="4471C52A" w14:textId="1B11862A" w:rsidR="00AA4331" w:rsidRPr="00993B73" w:rsidRDefault="00F46337" w:rsidP="00A2768E">
      <w:pPr>
        <w:pStyle w:val="ListParagraph"/>
        <w:numPr>
          <w:ilvl w:val="0"/>
          <w:numId w:val="125"/>
        </w:numPr>
        <w:suppressAutoHyphens/>
        <w:spacing w:line="259" w:lineRule="auto"/>
        <w:contextualSpacing w:val="0"/>
      </w:pPr>
      <w:r>
        <w:t>c</w:t>
      </w:r>
      <w:r w:rsidR="00AA4331" w:rsidRPr="00993B73">
        <w:t>aring for the sick worker</w:t>
      </w:r>
    </w:p>
    <w:p w14:paraId="5BA5B86B" w14:textId="3C36076B" w:rsidR="00AA4331" w:rsidRPr="00993B73" w:rsidRDefault="00F46337" w:rsidP="00A2768E">
      <w:pPr>
        <w:pStyle w:val="ListParagraph"/>
        <w:numPr>
          <w:ilvl w:val="0"/>
          <w:numId w:val="125"/>
        </w:numPr>
        <w:suppressAutoHyphens/>
        <w:spacing w:line="259" w:lineRule="auto"/>
        <w:contextualSpacing w:val="0"/>
      </w:pPr>
      <w:r>
        <w:t>a</w:t>
      </w:r>
      <w:r w:rsidR="00AA4331" w:rsidRPr="00993B73">
        <w:t>ttendance at medical appointments</w:t>
      </w:r>
    </w:p>
    <w:p w14:paraId="7FA0CABE" w14:textId="17B1EFE5" w:rsidR="00AA4331" w:rsidRPr="00993B73" w:rsidRDefault="00F46337" w:rsidP="00A2768E">
      <w:pPr>
        <w:pStyle w:val="ListParagraph"/>
        <w:numPr>
          <w:ilvl w:val="0"/>
          <w:numId w:val="125"/>
        </w:numPr>
        <w:suppressAutoHyphens/>
        <w:spacing w:line="259" w:lineRule="auto"/>
        <w:contextualSpacing w:val="0"/>
      </w:pPr>
      <w:r>
        <w:t>c</w:t>
      </w:r>
      <w:r w:rsidR="00AA4331" w:rsidRPr="00993B73">
        <w:t>aring for children or other dependents</w:t>
      </w:r>
      <w:r>
        <w:t>, and</w:t>
      </w:r>
    </w:p>
    <w:p w14:paraId="568ECE1D" w14:textId="208A9C6F" w:rsidR="00AA4331" w:rsidRPr="00993B73" w:rsidRDefault="00F46337" w:rsidP="00A2768E">
      <w:pPr>
        <w:pStyle w:val="ListParagraph"/>
        <w:numPr>
          <w:ilvl w:val="0"/>
          <w:numId w:val="125"/>
        </w:numPr>
        <w:suppressAutoHyphens/>
        <w:spacing w:line="259" w:lineRule="auto"/>
        <w:contextualSpacing w:val="0"/>
      </w:pPr>
      <w:r>
        <w:t>h</w:t>
      </w:r>
      <w:r w:rsidR="00AA4331" w:rsidRPr="00993B73">
        <w:t>ousehold work.</w:t>
      </w:r>
    </w:p>
    <w:p w14:paraId="3F860860" w14:textId="46D4BD18" w:rsidR="00AA4331" w:rsidRPr="00993B73" w:rsidRDefault="00AA4331" w:rsidP="00AA4331">
      <w:r w:rsidRPr="00993B73">
        <w:t xml:space="preserve">This benefit </w:t>
      </w:r>
      <w:r w:rsidR="00FF3931">
        <w:t>was</w:t>
      </w:r>
      <w:r w:rsidR="00FF3931" w:rsidRPr="00993B73">
        <w:t xml:space="preserve"> </w:t>
      </w:r>
      <w:r w:rsidRPr="00993B73">
        <w:t>not quantifi</w:t>
      </w:r>
      <w:r w:rsidR="00FF3931">
        <w:t>able</w:t>
      </w:r>
      <w:r w:rsidRPr="00993B73">
        <w:t xml:space="preserve"> for the purposes of this impact analysis due to a lack of publicly available data. However, the indirect impacts on the support networks of individuals who experience occupational disease should be considered qualitatively </w:t>
      </w:r>
      <w:r>
        <w:t xml:space="preserve">when considering </w:t>
      </w:r>
      <w:r w:rsidRPr="00993B73">
        <w:t>the overall benefits of the proposed reforms.</w:t>
      </w:r>
    </w:p>
    <w:p w14:paraId="5DA430C0" w14:textId="60ACCC70" w:rsidR="00832140" w:rsidRPr="00D268FF" w:rsidRDefault="00832140" w:rsidP="00B52413">
      <w:pPr>
        <w:pStyle w:val="SWAHeading2"/>
        <w:numPr>
          <w:ilvl w:val="0"/>
          <w:numId w:val="0"/>
        </w:numPr>
        <w:ind w:left="709" w:hanging="720"/>
      </w:pPr>
      <w:bookmarkStart w:id="697" w:name="_Toc181003147"/>
      <w:bookmarkStart w:id="698" w:name="_Toc219216937"/>
      <w:r>
        <w:t>Costs of the proposed WEL</w:t>
      </w:r>
      <w:bookmarkEnd w:id="697"/>
      <w:bookmarkEnd w:id="698"/>
    </w:p>
    <w:p w14:paraId="7EEF0C37" w14:textId="77777777" w:rsidR="00832140" w:rsidRPr="007F0114" w:rsidRDefault="00832140" w:rsidP="00832140">
      <w:pPr>
        <w:rPr>
          <w:rFonts w:cs="Arial"/>
          <w:szCs w:val="22"/>
        </w:rPr>
      </w:pPr>
      <w:r w:rsidRPr="007F0114">
        <w:rPr>
          <w:rFonts w:cs="Arial"/>
          <w:szCs w:val="22"/>
        </w:rPr>
        <w:t>This impact analysis applies two key estimation approaches to estimate the costs to industry of the proposed WELs:</w:t>
      </w:r>
    </w:p>
    <w:p w14:paraId="33B48B59" w14:textId="1C1400FA" w:rsidR="00832140" w:rsidRPr="007F0114" w:rsidRDefault="00832140" w:rsidP="00A2768E">
      <w:pPr>
        <w:pStyle w:val="ListParagraph"/>
        <w:numPr>
          <w:ilvl w:val="0"/>
          <w:numId w:val="126"/>
        </w:numPr>
        <w:suppressAutoHyphens/>
        <w:spacing w:line="259" w:lineRule="auto"/>
        <w:contextualSpacing w:val="0"/>
        <w:rPr>
          <w:rFonts w:cs="Arial"/>
          <w:szCs w:val="22"/>
        </w:rPr>
      </w:pPr>
      <w:r w:rsidRPr="00742664">
        <w:rPr>
          <w:rFonts w:cs="Arial"/>
          <w:b/>
          <w:bCs/>
          <w:szCs w:val="22"/>
        </w:rPr>
        <w:t>Standardised costs</w:t>
      </w:r>
      <w:r w:rsidRPr="007F0114">
        <w:rPr>
          <w:rFonts w:cs="Arial"/>
          <w:szCs w:val="22"/>
        </w:rPr>
        <w:t xml:space="preserve"> use a standardised set of inputs to estimate the costs to business of the proposed WEL changes. These costs are estimated using the inputs and methodology from the </w:t>
      </w:r>
      <w:hyperlink r:id="rId64" w:history="1">
        <w:r w:rsidRPr="00FC3B4B">
          <w:rPr>
            <w:rStyle w:val="Hyperlink"/>
            <w:rFonts w:cs="Arial"/>
            <w:i/>
            <w:iCs/>
            <w:szCs w:val="22"/>
          </w:rPr>
          <w:t>Decision RIS: Workplace Exposure Standards framework under the model Work Health and Safety laws</w:t>
        </w:r>
      </w:hyperlink>
      <w:r w:rsidR="0030037C">
        <w:rPr>
          <w:rFonts w:cs="Arial"/>
          <w:i/>
          <w:iCs/>
          <w:szCs w:val="22"/>
        </w:rPr>
        <w:t xml:space="preserve"> </w:t>
      </w:r>
      <w:sdt>
        <w:sdtPr>
          <w:rPr>
            <w:rFonts w:cs="Arial"/>
            <w:i/>
            <w:iCs/>
            <w:szCs w:val="22"/>
          </w:rPr>
          <w:id w:val="1667814733"/>
          <w:citation/>
        </w:sdtPr>
        <w:sdtEndPr/>
        <w:sdtContent>
          <w:r w:rsidR="0030037C">
            <w:rPr>
              <w:rFonts w:cs="Arial"/>
              <w:i/>
              <w:iCs/>
              <w:szCs w:val="22"/>
            </w:rPr>
            <w:fldChar w:fldCharType="begin"/>
          </w:r>
          <w:r w:rsidR="0030037C">
            <w:rPr>
              <w:rFonts w:cs="Arial"/>
              <w:i/>
              <w:iCs/>
              <w:szCs w:val="22"/>
            </w:rPr>
            <w:instrText xml:space="preserve"> CITATION Saf19 \l 3081 </w:instrText>
          </w:r>
          <w:r w:rsidR="0030037C">
            <w:rPr>
              <w:rFonts w:cs="Arial"/>
              <w:i/>
              <w:iCs/>
              <w:szCs w:val="22"/>
            </w:rPr>
            <w:fldChar w:fldCharType="separate"/>
          </w:r>
          <w:r w:rsidR="00490B21" w:rsidRPr="00490B21">
            <w:rPr>
              <w:rFonts w:cs="Arial"/>
              <w:noProof/>
              <w:szCs w:val="22"/>
            </w:rPr>
            <w:t>(Safe Work Australia, 2019)</w:t>
          </w:r>
          <w:r w:rsidR="0030037C">
            <w:rPr>
              <w:rFonts w:cs="Arial"/>
              <w:i/>
              <w:iCs/>
              <w:szCs w:val="22"/>
            </w:rPr>
            <w:fldChar w:fldCharType="end"/>
          </w:r>
        </w:sdtContent>
      </w:sdt>
      <w:r w:rsidRPr="007F0114">
        <w:rPr>
          <w:rFonts w:cs="Arial"/>
          <w:szCs w:val="22"/>
        </w:rPr>
        <w:t>, with all cost inputs escalated to June 2024.</w:t>
      </w:r>
    </w:p>
    <w:p w14:paraId="3052A86E" w14:textId="77777777" w:rsidR="00832140" w:rsidRPr="00B73A46" w:rsidRDefault="00832140" w:rsidP="00A2768E">
      <w:pPr>
        <w:pStyle w:val="ListParagraph"/>
        <w:numPr>
          <w:ilvl w:val="0"/>
          <w:numId w:val="126"/>
        </w:numPr>
        <w:suppressAutoHyphens/>
        <w:spacing w:line="259" w:lineRule="auto"/>
        <w:contextualSpacing w:val="0"/>
        <w:rPr>
          <w:rFonts w:cs="Arial"/>
          <w:szCs w:val="22"/>
        </w:rPr>
      </w:pPr>
      <w:r w:rsidRPr="00742664">
        <w:rPr>
          <w:rFonts w:cs="Arial"/>
          <w:b/>
          <w:bCs/>
          <w:szCs w:val="22"/>
        </w:rPr>
        <w:t>Specific costs</w:t>
      </w:r>
      <w:r w:rsidRPr="007F0114">
        <w:rPr>
          <w:rFonts w:cs="Arial"/>
          <w:szCs w:val="22"/>
        </w:rPr>
        <w:t xml:space="preserve"> use chemical and/or industry-specific information to estimate the costs to business of the proposed WEL changes. These costs are estimated using information obtained through stakeholder engagement.</w:t>
      </w:r>
    </w:p>
    <w:p w14:paraId="6E14484B" w14:textId="77777777" w:rsidR="00832140" w:rsidRDefault="00832140" w:rsidP="00832140">
      <w:pPr>
        <w:pStyle w:val="Paragraph"/>
      </w:pPr>
      <w:r>
        <w:rPr>
          <w:b/>
          <w:bCs/>
          <w:lang w:eastAsia="en-US"/>
        </w:rPr>
        <w:t xml:space="preserve">The cost impact analysis is indicative and subject to a number of limitations, reflecting the limited data availability. </w:t>
      </w:r>
    </w:p>
    <w:p w14:paraId="1B265843" w14:textId="77777777" w:rsidR="00832140" w:rsidRPr="007F0114" w:rsidRDefault="00832140" w:rsidP="00832140">
      <w:pPr>
        <w:keepNext/>
        <w:keepLines/>
        <w:rPr>
          <w:rFonts w:eastAsia="Times New Roman" w:cs="Arial"/>
          <w:b/>
          <w:color w:val="000000" w:themeColor="text1"/>
          <w:szCs w:val="22"/>
          <w:lang w:eastAsia="en-AU"/>
        </w:rPr>
      </w:pPr>
      <w:r w:rsidRPr="007F0114">
        <w:rPr>
          <w:rFonts w:cs="Arial"/>
          <w:szCs w:val="22"/>
        </w:rPr>
        <w:t xml:space="preserve">Estimating the compliance costs of the proposed WEL changes for each chemical is constrained by the following limitations: </w:t>
      </w:r>
    </w:p>
    <w:p w14:paraId="2914D54A" w14:textId="3D5294DC" w:rsidR="00832140" w:rsidRPr="007F0114" w:rsidRDefault="00832140" w:rsidP="00A2768E">
      <w:pPr>
        <w:pStyle w:val="ListParagraph"/>
        <w:numPr>
          <w:ilvl w:val="0"/>
          <w:numId w:val="127"/>
        </w:numPr>
        <w:suppressAutoHyphens/>
        <w:spacing w:line="259" w:lineRule="auto"/>
        <w:contextualSpacing w:val="0"/>
        <w:rPr>
          <w:rFonts w:cs="Arial"/>
          <w:szCs w:val="22"/>
        </w:rPr>
      </w:pPr>
      <w:r w:rsidRPr="007F0114">
        <w:rPr>
          <w:rFonts w:cs="Arial"/>
          <w:szCs w:val="22"/>
        </w:rPr>
        <w:t xml:space="preserve">The analysis provides an indicative estimation of costs and has not accounted for individual businesses’ circumstances. In the absence of the necessary data to robustly estimate compliance costs for each industry, the analysis applies the inputs and methodology from the </w:t>
      </w:r>
      <w:hyperlink r:id="rId65" w:history="1">
        <w:r w:rsidRPr="00FC3B4B">
          <w:rPr>
            <w:rStyle w:val="Hyperlink"/>
            <w:rFonts w:cs="Arial"/>
            <w:i/>
            <w:iCs/>
            <w:szCs w:val="22"/>
          </w:rPr>
          <w:t>Decision RIS: Workplace Exposure Standards framework under the model Work Health and Safety laws</w:t>
        </w:r>
      </w:hyperlink>
      <w:r w:rsidR="0030037C">
        <w:rPr>
          <w:rFonts w:cs="Arial"/>
          <w:i/>
          <w:iCs/>
          <w:szCs w:val="22"/>
        </w:rPr>
        <w:t xml:space="preserve"> </w:t>
      </w:r>
      <w:sdt>
        <w:sdtPr>
          <w:rPr>
            <w:rFonts w:cs="Arial"/>
            <w:i/>
            <w:iCs/>
            <w:szCs w:val="22"/>
          </w:rPr>
          <w:id w:val="-1315641694"/>
          <w:citation/>
        </w:sdtPr>
        <w:sdtEndPr/>
        <w:sdtContent>
          <w:r w:rsidR="0030037C">
            <w:rPr>
              <w:rFonts w:cs="Arial"/>
              <w:i/>
              <w:iCs/>
              <w:szCs w:val="22"/>
            </w:rPr>
            <w:fldChar w:fldCharType="begin"/>
          </w:r>
          <w:r w:rsidR="0030037C">
            <w:rPr>
              <w:rFonts w:cs="Arial"/>
              <w:i/>
              <w:iCs/>
              <w:szCs w:val="22"/>
            </w:rPr>
            <w:instrText xml:space="preserve"> CITATION Saf19 \l 3081 </w:instrText>
          </w:r>
          <w:r w:rsidR="0030037C">
            <w:rPr>
              <w:rFonts w:cs="Arial"/>
              <w:i/>
              <w:iCs/>
              <w:szCs w:val="22"/>
            </w:rPr>
            <w:fldChar w:fldCharType="separate"/>
          </w:r>
          <w:r w:rsidR="00490B21" w:rsidRPr="00490B21">
            <w:rPr>
              <w:rFonts w:cs="Arial"/>
              <w:noProof/>
              <w:szCs w:val="22"/>
            </w:rPr>
            <w:t>(Safe Work Australia, 2019)</w:t>
          </w:r>
          <w:r w:rsidR="0030037C">
            <w:rPr>
              <w:rFonts w:cs="Arial"/>
              <w:i/>
              <w:iCs/>
              <w:szCs w:val="22"/>
            </w:rPr>
            <w:fldChar w:fldCharType="end"/>
          </w:r>
        </w:sdtContent>
      </w:sdt>
      <w:r w:rsidRPr="007F0114">
        <w:rPr>
          <w:rFonts w:cs="Arial"/>
          <w:szCs w:val="22"/>
        </w:rPr>
        <w:t>.</w:t>
      </w:r>
    </w:p>
    <w:p w14:paraId="1F472E48" w14:textId="77777777" w:rsidR="00832140" w:rsidRPr="007F0114" w:rsidRDefault="00832140" w:rsidP="00A2768E">
      <w:pPr>
        <w:pStyle w:val="ListParagraph"/>
        <w:numPr>
          <w:ilvl w:val="0"/>
          <w:numId w:val="127"/>
        </w:numPr>
        <w:suppressAutoHyphens/>
        <w:spacing w:line="259" w:lineRule="auto"/>
        <w:contextualSpacing w:val="0"/>
        <w:rPr>
          <w:rFonts w:cs="Arial"/>
          <w:szCs w:val="22"/>
        </w:rPr>
      </w:pPr>
      <w:r w:rsidRPr="007F0114">
        <w:rPr>
          <w:rFonts w:cs="Arial"/>
          <w:szCs w:val="22"/>
        </w:rPr>
        <w:t>Data is not available on the actual number of businesses which would be affected by the proposed WEL changes. The analysis undertaken makes assumptions based on ABS data, informed by information from the NPI and stakeholder engagement.</w:t>
      </w:r>
    </w:p>
    <w:p w14:paraId="08C7550E" w14:textId="2778705A" w:rsidR="00832140" w:rsidRDefault="00832140" w:rsidP="007875F6">
      <w:pPr>
        <w:spacing w:line="240" w:lineRule="atLeast"/>
        <w:contextualSpacing w:val="0"/>
      </w:pPr>
      <w:r w:rsidRPr="007F0114">
        <w:rPr>
          <w:rFonts w:cs="Arial"/>
          <w:szCs w:val="22"/>
        </w:rPr>
        <w:t xml:space="preserve">Further detail on these limitations is provided </w:t>
      </w:r>
      <w:r w:rsidRPr="00AE0EFC">
        <w:rPr>
          <w:rFonts w:cs="Arial"/>
          <w:szCs w:val="22"/>
        </w:rPr>
        <w:t>in</w:t>
      </w:r>
      <w:r w:rsidR="008E70DD">
        <w:rPr>
          <w:rFonts w:cs="Arial"/>
          <w:szCs w:val="22"/>
        </w:rPr>
        <w:t xml:space="preserve"> </w:t>
      </w:r>
      <w:r w:rsidR="00787C29" w:rsidRPr="007875F6">
        <w:rPr>
          <w:rFonts w:cs="Arial"/>
          <w:szCs w:val="22"/>
        </w:rPr>
        <w:t xml:space="preserve">the </w:t>
      </w:r>
      <w:hyperlink w:anchor="AppendixC_Methodology_Limitations" w:history="1">
        <w:r w:rsidR="00A35810">
          <w:rPr>
            <w:rStyle w:val="Hyperlink"/>
            <w:rFonts w:cs="Arial"/>
            <w:szCs w:val="22"/>
          </w:rPr>
          <w:t>‘Limitations’ section of Appendix C</w:t>
        </w:r>
      </w:hyperlink>
      <w:r w:rsidRPr="00D62278">
        <w:rPr>
          <w:rFonts w:cs="Arial"/>
          <w:szCs w:val="22"/>
        </w:rPr>
        <w:t>.</w:t>
      </w:r>
      <w:r w:rsidRPr="007F0114">
        <w:rPr>
          <w:rFonts w:cs="Arial"/>
          <w:szCs w:val="22"/>
        </w:rPr>
        <w:t xml:space="preserve"> </w:t>
      </w:r>
    </w:p>
    <w:p w14:paraId="71E5A84E" w14:textId="77777777" w:rsidR="00F42A31" w:rsidRPr="00437872" w:rsidRDefault="00F42A31" w:rsidP="007875F6">
      <w:pPr>
        <w:spacing w:line="240" w:lineRule="atLeast"/>
        <w:contextualSpacing w:val="0"/>
        <w:rPr>
          <w:b/>
          <w:bCs/>
        </w:rPr>
      </w:pPr>
      <w:r w:rsidRPr="00437872">
        <w:rPr>
          <w:b/>
          <w:bCs/>
        </w:rPr>
        <w:lastRenderedPageBreak/>
        <w:t>This analysis used inputs relating to the high scenario from the 2019 Decision RIS: Workplace Exposure Standards.</w:t>
      </w:r>
    </w:p>
    <w:p w14:paraId="1276B339" w14:textId="21270720" w:rsidR="00F42A31" w:rsidRPr="00993B73" w:rsidRDefault="00F42A31" w:rsidP="00437872">
      <w:pPr>
        <w:contextualSpacing w:val="0"/>
      </w:pPr>
      <w:r>
        <w:t>SWA’s 2019</w:t>
      </w:r>
      <w:r w:rsidRPr="00993B73">
        <w:t xml:space="preserve"> </w:t>
      </w:r>
      <w:hyperlink r:id="rId66" w:history="1">
        <w:r w:rsidRPr="00053C69">
          <w:rPr>
            <w:rStyle w:val="Hyperlink"/>
            <w:i/>
            <w:iCs/>
          </w:rPr>
          <w:t xml:space="preserve">Decision RIS: Workplace </w:t>
        </w:r>
        <w:r w:rsidR="004520DB" w:rsidRPr="00053C69">
          <w:rPr>
            <w:rStyle w:val="Hyperlink"/>
            <w:i/>
            <w:iCs/>
          </w:rPr>
          <w:t>exposure standards framework under the model Work Health and Safety Laws</w:t>
        </w:r>
      </w:hyperlink>
      <w:r w:rsidR="0030037C">
        <w:t xml:space="preserve"> </w:t>
      </w:r>
      <w:sdt>
        <w:sdtPr>
          <w:id w:val="73639077"/>
          <w:citation/>
        </w:sdtPr>
        <w:sdtEndPr/>
        <w:sdtContent>
          <w:r w:rsidR="0030037C">
            <w:fldChar w:fldCharType="begin"/>
          </w:r>
          <w:r w:rsidR="0030037C">
            <w:instrText xml:space="preserve"> CITATION Saf19 \l 3081 </w:instrText>
          </w:r>
          <w:r w:rsidR="0030037C">
            <w:fldChar w:fldCharType="separate"/>
          </w:r>
          <w:r w:rsidR="00490B21">
            <w:rPr>
              <w:noProof/>
            </w:rPr>
            <w:t>(Safe Work Australia, 2019)</w:t>
          </w:r>
          <w:r w:rsidR="0030037C">
            <w:fldChar w:fldCharType="end"/>
          </w:r>
        </w:sdtContent>
      </w:sdt>
      <w:r w:rsidRPr="00993B73">
        <w:t xml:space="preserve"> identified two scenarios for the Intervention Case:</w:t>
      </w:r>
    </w:p>
    <w:p w14:paraId="6EC640FC" w14:textId="77777777" w:rsidR="00F42A31" w:rsidRPr="00993B73" w:rsidRDefault="00F42A31" w:rsidP="00A2768E">
      <w:pPr>
        <w:pStyle w:val="ListParagraph"/>
        <w:numPr>
          <w:ilvl w:val="0"/>
          <w:numId w:val="129"/>
        </w:numPr>
        <w:suppressAutoHyphens/>
        <w:spacing w:line="259" w:lineRule="auto"/>
        <w:contextualSpacing w:val="0"/>
      </w:pPr>
      <w:r w:rsidRPr="00F42A31">
        <w:rPr>
          <w:rFonts w:asciiTheme="majorHAnsi" w:hAnsiTheme="majorHAnsi" w:cstheme="majorHAnsi"/>
          <w:b/>
          <w:bCs/>
        </w:rPr>
        <w:t>Low scenario</w:t>
      </w:r>
      <w:r w:rsidRPr="00993B73">
        <w:rPr>
          <w:rFonts w:asciiTheme="majorHAnsi" w:hAnsiTheme="majorHAnsi" w:cstheme="majorHAnsi"/>
        </w:rPr>
        <w:t xml:space="preserve"> |</w:t>
      </w:r>
      <w:r w:rsidRPr="00993B73">
        <w:t xml:space="preserve"> The changes to the WES values are less significant (i.e. the new values are not significantly different to the current values); and</w:t>
      </w:r>
    </w:p>
    <w:p w14:paraId="46B7F4FD" w14:textId="77777777" w:rsidR="00F42A31" w:rsidRPr="00993B73" w:rsidRDefault="00F42A31" w:rsidP="00A2768E">
      <w:pPr>
        <w:pStyle w:val="ListParagraph"/>
        <w:numPr>
          <w:ilvl w:val="0"/>
          <w:numId w:val="129"/>
        </w:numPr>
        <w:suppressAutoHyphens/>
        <w:spacing w:line="259" w:lineRule="auto"/>
        <w:contextualSpacing w:val="0"/>
      </w:pPr>
      <w:r w:rsidRPr="00F42A31">
        <w:rPr>
          <w:rFonts w:asciiTheme="majorHAnsi" w:hAnsiTheme="majorHAnsi" w:cstheme="majorHAnsi"/>
          <w:b/>
          <w:bCs/>
        </w:rPr>
        <w:t>High scenario</w:t>
      </w:r>
      <w:r w:rsidRPr="00993B73">
        <w:rPr>
          <w:rFonts w:asciiTheme="majorHAnsi" w:hAnsiTheme="majorHAnsi" w:cstheme="majorHAnsi"/>
        </w:rPr>
        <w:t xml:space="preserve"> |</w:t>
      </w:r>
      <w:r w:rsidRPr="00993B73">
        <w:t xml:space="preserve"> The changes to the WES values are more significant (i.e. the new values are significantly different to the current values).</w:t>
      </w:r>
    </w:p>
    <w:p w14:paraId="1A3E680D" w14:textId="77966089" w:rsidR="00F42A31" w:rsidRPr="00993B73" w:rsidRDefault="00F42A31" w:rsidP="00F42A31">
      <w:r w:rsidRPr="00993B73">
        <w:t xml:space="preserve">Nous </w:t>
      </w:r>
      <w:r w:rsidR="00F63031">
        <w:t>Group</w:t>
      </w:r>
      <w:r w:rsidRPr="00993B73">
        <w:t xml:space="preserve"> </w:t>
      </w:r>
      <w:r>
        <w:t>considered that</w:t>
      </w:r>
      <w:r w:rsidRPr="00993B73">
        <w:t xml:space="preserve"> the extent of the proposed changes to the WEL for each of the </w:t>
      </w:r>
      <w:r w:rsidR="00BF1F71">
        <w:t>9</w:t>
      </w:r>
      <w:r w:rsidR="00BF1F71" w:rsidRPr="00993B73">
        <w:t xml:space="preserve"> </w:t>
      </w:r>
      <w:r w:rsidRPr="00993B73">
        <w:t>chemicals</w:t>
      </w:r>
      <w:r w:rsidR="006D26D9">
        <w:t xml:space="preserve"> considered in this Decision RIS</w:t>
      </w:r>
      <w:r w:rsidRPr="00993B73">
        <w:t xml:space="preserve"> were substantial and more </w:t>
      </w:r>
      <w:r>
        <w:t xml:space="preserve">closely </w:t>
      </w:r>
      <w:r w:rsidRPr="00993B73">
        <w:t>aligned with the high scenario</w:t>
      </w:r>
      <w:r>
        <w:t xml:space="preserve"> than the low scenario</w:t>
      </w:r>
      <w:r w:rsidRPr="00993B73">
        <w:t xml:space="preserve">. As such, </w:t>
      </w:r>
      <w:r>
        <w:t>the</w:t>
      </w:r>
      <w:r w:rsidRPr="00993B73" w:rsidDel="008705FE">
        <w:t xml:space="preserve"> analysis used the high scenario to inform the estimate</w:t>
      </w:r>
      <w:r w:rsidRPr="00993B73">
        <w:t>d</w:t>
      </w:r>
      <w:r w:rsidRPr="00993B73" w:rsidDel="008705FE">
        <w:t xml:space="preserve"> incremental costs to businesses </w:t>
      </w:r>
      <w:r w:rsidRPr="00993B73">
        <w:t xml:space="preserve">for </w:t>
      </w:r>
      <w:r w:rsidRPr="00993B73" w:rsidDel="008705FE">
        <w:t>complying with the proposed WEL</w:t>
      </w:r>
      <w:r w:rsidRPr="00993B73">
        <w:t>. A</w:t>
      </w:r>
      <w:r w:rsidRPr="00993B73" w:rsidDel="008705FE">
        <w:t xml:space="preserve">djustments </w:t>
      </w:r>
      <w:r w:rsidRPr="00993B73">
        <w:t xml:space="preserve">were </w:t>
      </w:r>
      <w:r w:rsidRPr="00993B73" w:rsidDel="008705FE">
        <w:t xml:space="preserve">made based on the </w:t>
      </w:r>
      <w:r w:rsidRPr="00993B73">
        <w:t xml:space="preserve">extent </w:t>
      </w:r>
      <w:r w:rsidRPr="00993B73" w:rsidDel="008705FE">
        <w:t>of the change</w:t>
      </w:r>
      <w:r w:rsidRPr="00993B73">
        <w:t>s</w:t>
      </w:r>
      <w:r w:rsidRPr="00993B73" w:rsidDel="008705FE">
        <w:t xml:space="preserve"> between the current WES and proposed WEL</w:t>
      </w:r>
      <w:r w:rsidRPr="00993B73">
        <w:t xml:space="preserve">, for each of the </w:t>
      </w:r>
      <w:r w:rsidR="00BF1F71">
        <w:t>9</w:t>
      </w:r>
      <w:r w:rsidR="00BF1F71" w:rsidRPr="00993B73">
        <w:t xml:space="preserve"> </w:t>
      </w:r>
      <w:r w:rsidRPr="00993B73">
        <w:t>chemicals</w:t>
      </w:r>
      <w:r w:rsidR="00BF1F71">
        <w:t xml:space="preserve"> considered in this Decision RIS</w:t>
      </w:r>
      <w:r w:rsidRPr="00993B73">
        <w:t>.</w:t>
      </w:r>
    </w:p>
    <w:p w14:paraId="6216A5D8" w14:textId="77777777" w:rsidR="00832140" w:rsidRDefault="00832140" w:rsidP="0030037C">
      <w:pPr>
        <w:pStyle w:val="SWAHeading3"/>
        <w:keepNext/>
        <w:keepLines/>
      </w:pPr>
      <w:r>
        <w:t>Standardised costs</w:t>
      </w:r>
    </w:p>
    <w:p w14:paraId="19E52C4F" w14:textId="77777777" w:rsidR="00832140" w:rsidRDefault="00832140" w:rsidP="0030037C">
      <w:pPr>
        <w:pStyle w:val="SWAHeading4"/>
        <w:keepNext/>
        <w:keepLines/>
      </w:pPr>
      <w:r>
        <w:t>Summary</w:t>
      </w:r>
    </w:p>
    <w:p w14:paraId="07E18834" w14:textId="535547A0" w:rsidR="00832140" w:rsidRPr="007F0114" w:rsidRDefault="00832140" w:rsidP="00832140">
      <w:pPr>
        <w:rPr>
          <w:rFonts w:cs="Arial"/>
          <w:szCs w:val="22"/>
          <w:lang w:eastAsia="en-AU"/>
        </w:rPr>
      </w:pPr>
      <w:r w:rsidRPr="007F0114">
        <w:rPr>
          <w:rFonts w:cs="Arial"/>
          <w:szCs w:val="22"/>
          <w:lang w:eastAsia="en-AU"/>
        </w:rPr>
        <w:t xml:space="preserve">In line with the methodology used in the </w:t>
      </w:r>
      <w:hyperlink r:id="rId67" w:history="1">
        <w:r w:rsidRPr="00053C69">
          <w:rPr>
            <w:rStyle w:val="Hyperlink"/>
            <w:rFonts w:cs="Arial"/>
            <w:i/>
            <w:iCs/>
            <w:szCs w:val="22"/>
            <w:lang w:eastAsia="en-AU"/>
          </w:rPr>
          <w:t xml:space="preserve">Decision RIS: Workplace </w:t>
        </w:r>
        <w:r w:rsidR="00053C69" w:rsidRPr="00053C69">
          <w:rPr>
            <w:rStyle w:val="Hyperlink"/>
            <w:rFonts w:cs="Arial"/>
            <w:i/>
            <w:iCs/>
            <w:szCs w:val="22"/>
            <w:lang w:eastAsia="en-AU"/>
          </w:rPr>
          <w:t>e</w:t>
        </w:r>
        <w:r w:rsidRPr="00053C69">
          <w:rPr>
            <w:rStyle w:val="Hyperlink"/>
            <w:rFonts w:cs="Arial"/>
            <w:i/>
            <w:iCs/>
            <w:szCs w:val="22"/>
            <w:lang w:eastAsia="en-AU"/>
          </w:rPr>
          <w:t xml:space="preserve">xposure </w:t>
        </w:r>
        <w:r w:rsidR="00053C69" w:rsidRPr="00053C69">
          <w:rPr>
            <w:rStyle w:val="Hyperlink"/>
            <w:rFonts w:cs="Arial"/>
            <w:i/>
            <w:iCs/>
            <w:szCs w:val="22"/>
            <w:lang w:eastAsia="en-AU"/>
          </w:rPr>
          <w:t>s</w:t>
        </w:r>
        <w:r w:rsidRPr="00053C69">
          <w:rPr>
            <w:rStyle w:val="Hyperlink"/>
            <w:rFonts w:cs="Arial"/>
            <w:i/>
            <w:iCs/>
            <w:szCs w:val="22"/>
            <w:lang w:eastAsia="en-AU"/>
          </w:rPr>
          <w:t xml:space="preserve">tandards framework under the model Work Health and Safety </w:t>
        </w:r>
        <w:r w:rsidR="00053C69" w:rsidRPr="00053C69">
          <w:rPr>
            <w:rStyle w:val="Hyperlink"/>
            <w:rFonts w:cs="Arial"/>
            <w:i/>
            <w:iCs/>
            <w:szCs w:val="22"/>
            <w:lang w:eastAsia="en-AU"/>
          </w:rPr>
          <w:t>L</w:t>
        </w:r>
        <w:r w:rsidRPr="00053C69">
          <w:rPr>
            <w:rStyle w:val="Hyperlink"/>
            <w:rFonts w:cs="Arial"/>
            <w:i/>
            <w:iCs/>
            <w:szCs w:val="22"/>
            <w:lang w:eastAsia="en-AU"/>
          </w:rPr>
          <w:t>aws</w:t>
        </w:r>
      </w:hyperlink>
      <w:r w:rsidR="0030037C">
        <w:t xml:space="preserve"> </w:t>
      </w:r>
      <w:sdt>
        <w:sdtPr>
          <w:id w:val="-111900428"/>
          <w:citation/>
        </w:sdtPr>
        <w:sdtEndPr/>
        <w:sdtContent>
          <w:r w:rsidR="0030037C">
            <w:fldChar w:fldCharType="begin"/>
          </w:r>
          <w:r w:rsidR="0030037C">
            <w:instrText xml:space="preserve"> CITATION Saf19 \l 3081 </w:instrText>
          </w:r>
          <w:r w:rsidR="0030037C">
            <w:fldChar w:fldCharType="separate"/>
          </w:r>
          <w:r w:rsidR="00490B21">
            <w:rPr>
              <w:noProof/>
            </w:rPr>
            <w:t>(Safe Work Australia, 2019)</w:t>
          </w:r>
          <w:r w:rsidR="0030037C">
            <w:fldChar w:fldCharType="end"/>
          </w:r>
        </w:sdtContent>
      </w:sdt>
      <w:r w:rsidRPr="007F0114">
        <w:rPr>
          <w:rFonts w:cs="Arial"/>
          <w:szCs w:val="22"/>
          <w:lang w:eastAsia="en-AU"/>
        </w:rPr>
        <w:t>, this analysis splits costs into two categories:</w:t>
      </w:r>
    </w:p>
    <w:p w14:paraId="7232DA86" w14:textId="77777777" w:rsidR="00832140" w:rsidRPr="007F0114" w:rsidRDefault="00832140" w:rsidP="00A2768E">
      <w:pPr>
        <w:pStyle w:val="ListParagraph"/>
        <w:numPr>
          <w:ilvl w:val="0"/>
          <w:numId w:val="128"/>
        </w:numPr>
        <w:suppressAutoHyphens/>
        <w:spacing w:line="259" w:lineRule="auto"/>
        <w:contextualSpacing w:val="0"/>
        <w:rPr>
          <w:rFonts w:cs="Arial"/>
          <w:szCs w:val="22"/>
        </w:rPr>
      </w:pPr>
      <w:r w:rsidRPr="0085691B">
        <w:rPr>
          <w:rFonts w:cs="Arial"/>
          <w:b/>
          <w:bCs/>
          <w:szCs w:val="22"/>
        </w:rPr>
        <w:t>Control measure costs</w:t>
      </w:r>
      <w:r w:rsidRPr="007F0114">
        <w:rPr>
          <w:rFonts w:cs="Arial"/>
          <w:szCs w:val="22"/>
        </w:rPr>
        <w:t xml:space="preserve"> | The estimated increased costs to businesses related to additional expenditure from implementing control measures to comply with the reduced WEL for the </w:t>
      </w:r>
      <w:r>
        <w:rPr>
          <w:rFonts w:cs="Arial"/>
          <w:szCs w:val="22"/>
        </w:rPr>
        <w:t>9</w:t>
      </w:r>
      <w:r w:rsidRPr="007F0114">
        <w:rPr>
          <w:rFonts w:cs="Arial"/>
          <w:szCs w:val="22"/>
        </w:rPr>
        <w:t xml:space="preserve"> chemicals. Control measure costs include isolation controls, engineering controls, administrative controls and personal protective equipment (PPE).</w:t>
      </w:r>
    </w:p>
    <w:p w14:paraId="23F64A41" w14:textId="20A04551" w:rsidR="00832140" w:rsidRPr="007F0114" w:rsidRDefault="00832140" w:rsidP="00A2768E">
      <w:pPr>
        <w:pStyle w:val="ListParagraph"/>
        <w:numPr>
          <w:ilvl w:val="0"/>
          <w:numId w:val="128"/>
        </w:numPr>
        <w:suppressAutoHyphens/>
        <w:spacing w:line="259" w:lineRule="auto"/>
        <w:contextualSpacing w:val="0"/>
        <w:rPr>
          <w:rFonts w:cs="Arial"/>
          <w:szCs w:val="22"/>
        </w:rPr>
      </w:pPr>
      <w:r w:rsidRPr="0085691B">
        <w:rPr>
          <w:rFonts w:cs="Arial"/>
          <w:b/>
          <w:bCs/>
          <w:szCs w:val="22"/>
        </w:rPr>
        <w:t>Management practice costs</w:t>
      </w:r>
      <w:r w:rsidRPr="007F0114">
        <w:rPr>
          <w:rFonts w:cs="Arial"/>
          <w:szCs w:val="22"/>
        </w:rPr>
        <w:t xml:space="preserve"> | The estimated increased costs to businesses related to additional expenditure on measures that support the business to comply with the reduced WEL for the </w:t>
      </w:r>
      <w:r>
        <w:rPr>
          <w:rFonts w:cs="Arial"/>
          <w:szCs w:val="22"/>
        </w:rPr>
        <w:t>9</w:t>
      </w:r>
      <w:r w:rsidRPr="007F0114">
        <w:rPr>
          <w:rFonts w:cs="Arial"/>
          <w:szCs w:val="22"/>
        </w:rPr>
        <w:t xml:space="preserve"> chemicals. Management practice costs include air monitoring</w:t>
      </w:r>
      <w:r w:rsidR="00671DBE">
        <w:rPr>
          <w:rFonts w:cs="Arial"/>
          <w:szCs w:val="22"/>
        </w:rPr>
        <w:t xml:space="preserve">, </w:t>
      </w:r>
      <w:r w:rsidRPr="007F0114">
        <w:rPr>
          <w:rFonts w:cs="Arial"/>
          <w:szCs w:val="22"/>
        </w:rPr>
        <w:t>occupational hygienist</w:t>
      </w:r>
      <w:r w:rsidR="00671DBE">
        <w:rPr>
          <w:rFonts w:cs="Arial"/>
          <w:szCs w:val="22"/>
        </w:rPr>
        <w:t xml:space="preserve"> and health monitoring costs</w:t>
      </w:r>
      <w:r w:rsidRPr="007F0114">
        <w:rPr>
          <w:rFonts w:cs="Arial"/>
          <w:szCs w:val="22"/>
        </w:rPr>
        <w:t>.</w:t>
      </w:r>
    </w:p>
    <w:p w14:paraId="54B25871" w14:textId="6C76C7AC" w:rsidR="00A73827" w:rsidRDefault="00832140" w:rsidP="00876689">
      <w:pPr>
        <w:pStyle w:val="Paragraph"/>
        <w:keepNext w:val="0"/>
        <w:spacing w:after="120"/>
      </w:pPr>
      <w:r>
        <w:rPr>
          <w:szCs w:val="22"/>
          <w:lang w:eastAsia="en-US"/>
        </w:rPr>
        <w:t>These cost items estimated in this impact analysis are indicative and outlined in</w:t>
      </w:r>
      <w:r w:rsidR="00EA2070">
        <w:rPr>
          <w:szCs w:val="22"/>
          <w:lang w:eastAsia="en-US"/>
        </w:rPr>
        <w:t xml:space="preserve"> </w:t>
      </w:r>
      <w:r w:rsidR="00EA2070">
        <w:rPr>
          <w:szCs w:val="22"/>
        </w:rPr>
        <w:fldChar w:fldCharType="begin"/>
      </w:r>
      <w:r w:rsidR="00EA2070">
        <w:rPr>
          <w:szCs w:val="22"/>
          <w:lang w:eastAsia="en-US"/>
        </w:rPr>
        <w:instrText xml:space="preserve"> REF _Ref216793204 \h </w:instrText>
      </w:r>
      <w:r w:rsidR="00EA2070">
        <w:rPr>
          <w:szCs w:val="22"/>
        </w:rPr>
      </w:r>
      <w:r w:rsidR="00EA2070">
        <w:rPr>
          <w:szCs w:val="22"/>
        </w:rPr>
        <w:fldChar w:fldCharType="separate"/>
      </w:r>
      <w:r w:rsidR="00A002F4">
        <w:t xml:space="preserve">Table </w:t>
      </w:r>
      <w:r w:rsidR="00A002F4">
        <w:rPr>
          <w:noProof/>
        </w:rPr>
        <w:t>62</w:t>
      </w:r>
      <w:r w:rsidR="00EA2070">
        <w:rPr>
          <w:szCs w:val="22"/>
        </w:rPr>
        <w:fldChar w:fldCharType="end"/>
      </w:r>
      <w:r w:rsidRPr="008F7958">
        <w:rPr>
          <w:szCs w:val="22"/>
          <w:lang w:eastAsia="en-US"/>
        </w:rPr>
        <w:t>.</w:t>
      </w:r>
    </w:p>
    <w:p w14:paraId="2A231828" w14:textId="4C8484E6" w:rsidR="00EA2070" w:rsidRDefault="00EA2070" w:rsidP="00876689">
      <w:pPr>
        <w:pStyle w:val="Caption"/>
      </w:pPr>
      <w:bookmarkStart w:id="699" w:name="_Ref216793204"/>
      <w:r>
        <w:lastRenderedPageBreak/>
        <w:t xml:space="preserve">Table </w:t>
      </w:r>
      <w:fldSimple w:instr=" SEQ Table \* ARABIC ">
        <w:r w:rsidR="00A002F4">
          <w:rPr>
            <w:noProof/>
          </w:rPr>
          <w:t>62</w:t>
        </w:r>
      </w:fldSimple>
      <w:bookmarkEnd w:id="699"/>
      <w:r>
        <w:t xml:space="preserve"> - </w:t>
      </w:r>
      <w:r w:rsidRPr="00361B34">
        <w:t>Description of the costs of the proposed WEL</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855CE7" w:rsidRPr="002A1131" w14:paraId="34ACC138" w14:textId="77777777" w:rsidTr="00BF2D46">
        <w:trPr>
          <w:trHeight w:val="285"/>
          <w:tblHeader/>
        </w:trPr>
        <w:tc>
          <w:tcPr>
            <w:tcW w:w="1980" w:type="dxa"/>
            <w:shd w:val="clear" w:color="auto" w:fill="4877E0" w:themeFill="accent1"/>
          </w:tcPr>
          <w:p w14:paraId="697E56F9" w14:textId="77777777" w:rsidR="00855CE7" w:rsidRPr="00BF2D46" w:rsidRDefault="00855CE7" w:rsidP="00274F40">
            <w:pPr>
              <w:keepNext/>
              <w:keepLines/>
              <w:widowControl w:val="0"/>
              <w:spacing w:after="0" w:line="240" w:lineRule="auto"/>
              <w:rPr>
                <w:rFonts w:eastAsia="Times New Roman" w:cs="Arial"/>
                <w:b/>
                <w:bCs/>
                <w:color w:val="FFFFFF" w:themeColor="background1"/>
                <w:lang w:eastAsia="en-AU"/>
              </w:rPr>
            </w:pPr>
            <w:r w:rsidRPr="00BF2D46">
              <w:rPr>
                <w:rFonts w:eastAsia="Times New Roman" w:cs="Arial"/>
                <w:b/>
                <w:bCs/>
                <w:color w:val="FFFFFF" w:themeColor="background1"/>
                <w:lang w:eastAsia="en-AU"/>
              </w:rPr>
              <w:t>Cost</w:t>
            </w:r>
          </w:p>
        </w:tc>
        <w:tc>
          <w:tcPr>
            <w:tcW w:w="7438" w:type="dxa"/>
            <w:shd w:val="clear" w:color="auto" w:fill="4877E0" w:themeFill="accent1"/>
          </w:tcPr>
          <w:p w14:paraId="2EDB788F" w14:textId="77777777" w:rsidR="00855CE7" w:rsidRPr="00BF2D46" w:rsidRDefault="00855CE7" w:rsidP="00274F40">
            <w:pPr>
              <w:keepNext/>
              <w:keepLines/>
              <w:widowControl w:val="0"/>
              <w:spacing w:after="0" w:line="240" w:lineRule="auto"/>
              <w:rPr>
                <w:rFonts w:eastAsia="Times New Roman" w:cs="Arial"/>
                <w:b/>
                <w:bCs/>
                <w:color w:val="FFFFFF" w:themeColor="background1"/>
                <w:lang w:eastAsia="en-AU"/>
              </w:rPr>
            </w:pPr>
            <w:r w:rsidRPr="00BF2D46">
              <w:rPr>
                <w:rFonts w:eastAsia="Times New Roman" w:cs="Arial"/>
                <w:b/>
                <w:bCs/>
                <w:color w:val="FFFFFF" w:themeColor="background1"/>
                <w:lang w:eastAsia="en-AU"/>
              </w:rPr>
              <w:t xml:space="preserve">Description </w:t>
            </w:r>
          </w:p>
        </w:tc>
      </w:tr>
      <w:tr w:rsidR="00855CE7" w:rsidRPr="002A1131" w14:paraId="7C45A115" w14:textId="77777777" w:rsidTr="00BF2D46">
        <w:trPr>
          <w:trHeight w:val="265"/>
        </w:trPr>
        <w:tc>
          <w:tcPr>
            <w:tcW w:w="9418" w:type="dxa"/>
            <w:gridSpan w:val="2"/>
            <w:shd w:val="clear" w:color="auto" w:fill="B5C8F2" w:themeFill="accent1" w:themeFillTint="66"/>
          </w:tcPr>
          <w:p w14:paraId="627D4ED1" w14:textId="77777777" w:rsidR="00855CE7" w:rsidRPr="002A1131" w:rsidRDefault="00855CE7" w:rsidP="00274F40">
            <w:pPr>
              <w:keepNext/>
              <w:keepLines/>
              <w:rPr>
                <w:rFonts w:eastAsia="Arial" w:cs="Arial"/>
                <w:b/>
              </w:rPr>
            </w:pPr>
            <w:r>
              <w:rPr>
                <w:rFonts w:eastAsia="Arial" w:cs="Arial"/>
                <w:b/>
              </w:rPr>
              <w:t xml:space="preserve">Control measure costs </w:t>
            </w:r>
          </w:p>
        </w:tc>
      </w:tr>
      <w:tr w:rsidR="00855CE7" w:rsidRPr="002A1131" w14:paraId="1810D930" w14:textId="77777777" w:rsidTr="00274F40">
        <w:trPr>
          <w:trHeight w:val="265"/>
        </w:trPr>
        <w:tc>
          <w:tcPr>
            <w:tcW w:w="1980" w:type="dxa"/>
          </w:tcPr>
          <w:p w14:paraId="164197D2" w14:textId="77777777" w:rsidR="00855CE7" w:rsidRPr="002A1131" w:rsidRDefault="00855CE7" w:rsidP="00274F40">
            <w:pPr>
              <w:keepNext/>
              <w:keepLines/>
              <w:widowControl w:val="0"/>
              <w:spacing w:after="0" w:line="240" w:lineRule="auto"/>
              <w:rPr>
                <w:rFonts w:eastAsia="Times New Roman" w:cs="Arial"/>
                <w:b/>
                <w:bCs/>
                <w:szCs w:val="22"/>
                <w:lang w:eastAsia="en-AU"/>
              </w:rPr>
            </w:pPr>
            <w:r w:rsidRPr="00141F32">
              <w:rPr>
                <w:rFonts w:cs="Arial"/>
                <w:b/>
                <w:bCs/>
              </w:rPr>
              <w:t>Increased isolation control costs</w:t>
            </w:r>
          </w:p>
        </w:tc>
        <w:tc>
          <w:tcPr>
            <w:tcW w:w="7438" w:type="dxa"/>
          </w:tcPr>
          <w:p w14:paraId="6D6A0A0F" w14:textId="77777777" w:rsidR="00855CE7" w:rsidRPr="002A1131" w:rsidRDefault="00855CE7" w:rsidP="00274F40">
            <w:pPr>
              <w:keepNext/>
              <w:keepLines/>
              <w:contextualSpacing w:val="0"/>
              <w:rPr>
                <w:rFonts w:eastAsia="Arial" w:cs="Arial"/>
                <w:szCs w:val="22"/>
                <w:lang w:eastAsia="en-AU"/>
              </w:rPr>
            </w:pPr>
            <w:r w:rsidRPr="00141F32">
              <w:rPr>
                <w:rFonts w:cs="Arial"/>
              </w:rPr>
              <w:t>The increase in costs related to implementing enclosed systems, exhaust extraction, isolating processes and other isolation controls to comply with the proposed WEL.</w:t>
            </w:r>
          </w:p>
        </w:tc>
      </w:tr>
      <w:tr w:rsidR="00855CE7" w:rsidRPr="00141F32" w14:paraId="374E88BB" w14:textId="77777777" w:rsidTr="00274F40">
        <w:trPr>
          <w:trHeight w:val="265"/>
        </w:trPr>
        <w:tc>
          <w:tcPr>
            <w:tcW w:w="1980" w:type="dxa"/>
          </w:tcPr>
          <w:p w14:paraId="5968C41A" w14:textId="77777777" w:rsidR="00855CE7" w:rsidRPr="00141F32" w:rsidRDefault="00855CE7" w:rsidP="00274F40">
            <w:pPr>
              <w:keepNext/>
              <w:keepLines/>
              <w:widowControl w:val="0"/>
              <w:spacing w:after="0" w:line="240" w:lineRule="auto"/>
              <w:rPr>
                <w:rFonts w:eastAsia="Times New Roman" w:cs="Arial"/>
                <w:b/>
                <w:bCs/>
                <w:szCs w:val="22"/>
                <w:lang w:eastAsia="en-AU"/>
              </w:rPr>
            </w:pPr>
            <w:r w:rsidRPr="00141F32">
              <w:rPr>
                <w:rFonts w:cs="Arial"/>
                <w:b/>
                <w:bCs/>
              </w:rPr>
              <w:t>Increased engineering control costs</w:t>
            </w:r>
          </w:p>
        </w:tc>
        <w:tc>
          <w:tcPr>
            <w:tcW w:w="7438" w:type="dxa"/>
          </w:tcPr>
          <w:p w14:paraId="23380618" w14:textId="29F39D16" w:rsidR="00855CE7" w:rsidRPr="00141F32" w:rsidRDefault="00855CE7" w:rsidP="00274F40">
            <w:pPr>
              <w:keepNext/>
              <w:keepLines/>
              <w:contextualSpacing w:val="0"/>
              <w:rPr>
                <w:rFonts w:eastAsia="Arial" w:cs="Arial"/>
                <w:szCs w:val="22"/>
                <w:lang w:eastAsia="en-AU"/>
              </w:rPr>
            </w:pPr>
            <w:r w:rsidRPr="00141F32">
              <w:rPr>
                <w:rFonts w:cs="Arial"/>
              </w:rPr>
              <w:t xml:space="preserve">The increase in costs related to implementing fully enclosed vent booths, </w:t>
            </w:r>
            <w:r w:rsidR="00A21403" w:rsidRPr="00141F32">
              <w:rPr>
                <w:rFonts w:cs="Arial"/>
              </w:rPr>
              <w:t>partially enclosed</w:t>
            </w:r>
            <w:r w:rsidRPr="00141F32">
              <w:rPr>
                <w:rFonts w:cs="Arial"/>
              </w:rPr>
              <w:t xml:space="preserve"> fume cupboards, local exhaust ventilation, robotics and other engineering controls to comply with the proposed WEL.</w:t>
            </w:r>
          </w:p>
        </w:tc>
      </w:tr>
      <w:tr w:rsidR="00855CE7" w:rsidRPr="00141F32" w14:paraId="493775EA" w14:textId="77777777" w:rsidTr="00274F40">
        <w:trPr>
          <w:trHeight w:val="265"/>
        </w:trPr>
        <w:tc>
          <w:tcPr>
            <w:tcW w:w="1980" w:type="dxa"/>
          </w:tcPr>
          <w:p w14:paraId="5AE048BF" w14:textId="77777777" w:rsidR="00855CE7" w:rsidRPr="00141F32" w:rsidRDefault="00855CE7" w:rsidP="00274F40">
            <w:pPr>
              <w:keepNext/>
              <w:keepLines/>
              <w:widowControl w:val="0"/>
              <w:spacing w:line="240" w:lineRule="auto"/>
              <w:contextualSpacing w:val="0"/>
              <w:rPr>
                <w:rFonts w:eastAsia="Times New Roman" w:cs="Arial"/>
                <w:b/>
                <w:bCs/>
                <w:szCs w:val="22"/>
                <w:lang w:eastAsia="en-AU"/>
              </w:rPr>
            </w:pPr>
            <w:r w:rsidRPr="00141F32">
              <w:rPr>
                <w:rFonts w:cs="Arial"/>
                <w:b/>
                <w:bCs/>
              </w:rPr>
              <w:t>Increased administrative control costs</w:t>
            </w:r>
          </w:p>
        </w:tc>
        <w:tc>
          <w:tcPr>
            <w:tcW w:w="7438" w:type="dxa"/>
          </w:tcPr>
          <w:p w14:paraId="6953A6EB" w14:textId="18C8DE5D" w:rsidR="00855CE7" w:rsidRPr="00141F32" w:rsidRDefault="005F1047" w:rsidP="00274F40">
            <w:pPr>
              <w:keepNext/>
              <w:keepLines/>
              <w:rPr>
                <w:rFonts w:eastAsia="Arial" w:cs="Arial"/>
                <w:szCs w:val="22"/>
                <w:lang w:eastAsia="en-AU"/>
              </w:rPr>
            </w:pPr>
            <w:r w:rsidRPr="00993B73">
              <w:t>The increase in costs related to staffing, scheduling and risk management practices (such as reviewing the suitability of existing controls and implementing other administrative controls) needed to comply with the proposed WEL.</w:t>
            </w:r>
          </w:p>
        </w:tc>
      </w:tr>
      <w:tr w:rsidR="00855CE7" w:rsidRPr="00141F32" w14:paraId="6F793517" w14:textId="77777777" w:rsidTr="00274F40">
        <w:trPr>
          <w:trHeight w:val="265"/>
        </w:trPr>
        <w:tc>
          <w:tcPr>
            <w:tcW w:w="1980" w:type="dxa"/>
          </w:tcPr>
          <w:p w14:paraId="6FB3651A" w14:textId="77777777" w:rsidR="00855CE7" w:rsidRPr="00141F32" w:rsidRDefault="00855CE7" w:rsidP="00274F40">
            <w:pPr>
              <w:keepNext/>
              <w:keepLines/>
              <w:widowControl w:val="0"/>
              <w:spacing w:after="0" w:line="240" w:lineRule="auto"/>
              <w:rPr>
                <w:rFonts w:eastAsia="Times New Roman" w:cs="Arial"/>
                <w:b/>
                <w:bCs/>
                <w:szCs w:val="22"/>
                <w:lang w:eastAsia="en-AU"/>
              </w:rPr>
            </w:pPr>
            <w:r w:rsidRPr="00141F32">
              <w:rPr>
                <w:rFonts w:cs="Arial"/>
                <w:b/>
                <w:bCs/>
              </w:rPr>
              <w:t>Increased PPE costs</w:t>
            </w:r>
          </w:p>
        </w:tc>
        <w:tc>
          <w:tcPr>
            <w:tcW w:w="7438" w:type="dxa"/>
          </w:tcPr>
          <w:p w14:paraId="503A8124" w14:textId="77777777" w:rsidR="00855CE7" w:rsidRPr="00141F32" w:rsidRDefault="00855CE7" w:rsidP="00274F40">
            <w:pPr>
              <w:keepNext/>
              <w:keepLines/>
              <w:contextualSpacing w:val="0"/>
              <w:rPr>
                <w:rFonts w:eastAsia="Arial" w:cs="Arial"/>
                <w:szCs w:val="22"/>
                <w:lang w:eastAsia="en-AU"/>
              </w:rPr>
            </w:pPr>
            <w:r w:rsidRPr="00141F32">
              <w:rPr>
                <w:rFonts w:cs="Arial"/>
              </w:rPr>
              <w:t>The increase in costs related to purchasing chemical resistant glasses, respirators, protective clothing, face shields or goggles, gloves and other PPE controls to comply with the proposed WEL.</w:t>
            </w:r>
          </w:p>
        </w:tc>
      </w:tr>
      <w:tr w:rsidR="00855CE7" w:rsidRPr="002A1131" w14:paraId="6D47F2CC" w14:textId="77777777" w:rsidTr="00BF2D46">
        <w:trPr>
          <w:trHeight w:val="284"/>
        </w:trPr>
        <w:tc>
          <w:tcPr>
            <w:tcW w:w="9418" w:type="dxa"/>
            <w:gridSpan w:val="2"/>
            <w:shd w:val="clear" w:color="auto" w:fill="B5C8F2" w:themeFill="accent1" w:themeFillTint="66"/>
          </w:tcPr>
          <w:p w14:paraId="17F6AC98" w14:textId="77777777" w:rsidR="00855CE7" w:rsidRPr="002A1131" w:rsidRDefault="00855CE7" w:rsidP="00274F40">
            <w:pPr>
              <w:keepNext/>
              <w:keepLines/>
              <w:spacing w:after="0"/>
              <w:rPr>
                <w:rFonts w:eastAsia="Arial" w:cs="Arial"/>
                <w:b/>
                <w:bCs/>
              </w:rPr>
            </w:pPr>
            <w:r w:rsidRPr="00141F32">
              <w:rPr>
                <w:rFonts w:eastAsia="Arial" w:cs="Arial"/>
                <w:b/>
                <w:bCs/>
              </w:rPr>
              <w:t>Management practice costs</w:t>
            </w:r>
          </w:p>
        </w:tc>
      </w:tr>
      <w:tr w:rsidR="00855CE7" w:rsidRPr="002A1131" w14:paraId="328B925A" w14:textId="77777777" w:rsidTr="00274F40">
        <w:trPr>
          <w:trHeight w:val="283"/>
        </w:trPr>
        <w:tc>
          <w:tcPr>
            <w:tcW w:w="1980" w:type="dxa"/>
          </w:tcPr>
          <w:p w14:paraId="7C3A630F" w14:textId="77777777" w:rsidR="00855CE7" w:rsidRPr="002A1131" w:rsidRDefault="00855CE7" w:rsidP="00274F40">
            <w:pPr>
              <w:keepNext/>
              <w:keepLines/>
              <w:widowControl w:val="0"/>
              <w:spacing w:after="0" w:line="240" w:lineRule="auto"/>
              <w:rPr>
                <w:rFonts w:eastAsia="Times New Roman" w:cs="Arial"/>
                <w:b/>
                <w:bCs/>
                <w:lang w:eastAsia="en-AU"/>
              </w:rPr>
            </w:pPr>
            <w:r w:rsidRPr="00141F32">
              <w:rPr>
                <w:rFonts w:cs="Arial"/>
                <w:b/>
                <w:bCs/>
              </w:rPr>
              <w:t>Increased air monitoring costs</w:t>
            </w:r>
          </w:p>
        </w:tc>
        <w:tc>
          <w:tcPr>
            <w:tcW w:w="7438" w:type="dxa"/>
          </w:tcPr>
          <w:p w14:paraId="66F72677" w14:textId="6E0E35F9" w:rsidR="00855CE7" w:rsidRPr="002A1131" w:rsidRDefault="00B2571E" w:rsidP="00274F40">
            <w:pPr>
              <w:keepNext/>
              <w:keepLines/>
              <w:contextualSpacing w:val="0"/>
              <w:rPr>
                <w:rFonts w:eastAsia="Arial" w:cs="Arial"/>
                <w:lang w:eastAsia="en-AU"/>
              </w:rPr>
            </w:pPr>
            <w:r w:rsidRPr="00141F32">
              <w:rPr>
                <w:rFonts w:cs="Arial"/>
              </w:rPr>
              <w:t xml:space="preserve">The increase in costs related to </w:t>
            </w:r>
            <w:r>
              <w:t>air monitoring to ensure compliance with the proposed WEL. For most businesses, this would involve contracting third-party occupational hygiene consultants to conduct periodic monitoring. For businesses with in-house occupational hygienists, costs may include</w:t>
            </w:r>
            <w:r w:rsidRPr="00993B73">
              <w:t xml:space="preserve"> </w:t>
            </w:r>
            <w:r w:rsidRPr="00141F32">
              <w:rPr>
                <w:rFonts w:cs="Arial"/>
              </w:rPr>
              <w:t>purchasing and installing air monitoring equipment, maintaining and calibrating the equipment, managing the data, and training staff to operate and maintain the equipment as well as interpret the data to ensure compliance with the proposed WEL.</w:t>
            </w:r>
          </w:p>
        </w:tc>
      </w:tr>
      <w:tr w:rsidR="00855CE7" w:rsidRPr="002A1131" w14:paraId="631BB689" w14:textId="77777777" w:rsidTr="00274F40">
        <w:trPr>
          <w:trHeight w:val="265"/>
        </w:trPr>
        <w:tc>
          <w:tcPr>
            <w:tcW w:w="1980" w:type="dxa"/>
          </w:tcPr>
          <w:p w14:paraId="2F7A487C" w14:textId="77777777" w:rsidR="00855CE7" w:rsidRPr="002A1131" w:rsidRDefault="00855CE7" w:rsidP="00274F40">
            <w:pPr>
              <w:keepNext/>
              <w:keepLines/>
              <w:widowControl w:val="0"/>
              <w:spacing w:line="240" w:lineRule="auto"/>
              <w:contextualSpacing w:val="0"/>
              <w:rPr>
                <w:rFonts w:eastAsia="Times New Roman" w:cs="Arial"/>
                <w:b/>
                <w:bCs/>
                <w:lang w:eastAsia="en-AU"/>
              </w:rPr>
            </w:pPr>
            <w:r w:rsidRPr="00141F32">
              <w:rPr>
                <w:rFonts w:cs="Arial"/>
                <w:b/>
                <w:bCs/>
              </w:rPr>
              <w:t>Increased occupational hygienist costs</w:t>
            </w:r>
          </w:p>
        </w:tc>
        <w:tc>
          <w:tcPr>
            <w:tcW w:w="7438" w:type="dxa"/>
          </w:tcPr>
          <w:p w14:paraId="013B82F6" w14:textId="77777777" w:rsidR="00855CE7" w:rsidRPr="002A1131" w:rsidRDefault="00855CE7" w:rsidP="00274F40">
            <w:pPr>
              <w:keepNext/>
              <w:keepLines/>
              <w:contextualSpacing w:val="0"/>
              <w:rPr>
                <w:rFonts w:eastAsia="Arial" w:cs="Arial"/>
                <w:lang w:eastAsia="en-AU"/>
              </w:rPr>
            </w:pPr>
            <w:r w:rsidRPr="00141F32">
              <w:rPr>
                <w:rFonts w:cs="Arial"/>
              </w:rPr>
              <w:t>The increase in costs related to hiring occupational hygienists to conduct regular site assessments and air quality tests for contaminants to ensure compliance with the proposed WEL.</w:t>
            </w:r>
          </w:p>
        </w:tc>
      </w:tr>
      <w:tr w:rsidR="00DA5128" w:rsidRPr="002A1131" w14:paraId="0ACB8911" w14:textId="77777777" w:rsidTr="00274F40">
        <w:trPr>
          <w:trHeight w:val="265"/>
        </w:trPr>
        <w:tc>
          <w:tcPr>
            <w:tcW w:w="1980" w:type="dxa"/>
          </w:tcPr>
          <w:p w14:paraId="5FC3102F" w14:textId="7078A57E" w:rsidR="00DA5128" w:rsidRPr="00141F32" w:rsidRDefault="00DA5128" w:rsidP="00274F40">
            <w:pPr>
              <w:keepNext/>
              <w:keepLines/>
              <w:widowControl w:val="0"/>
              <w:spacing w:line="240" w:lineRule="auto"/>
              <w:contextualSpacing w:val="0"/>
              <w:rPr>
                <w:rFonts w:cs="Arial"/>
                <w:b/>
                <w:bCs/>
              </w:rPr>
            </w:pPr>
            <w:r>
              <w:rPr>
                <w:rFonts w:cs="Arial"/>
                <w:b/>
                <w:bCs/>
              </w:rPr>
              <w:t>Increased health monitoring costs</w:t>
            </w:r>
          </w:p>
        </w:tc>
        <w:tc>
          <w:tcPr>
            <w:tcW w:w="7438" w:type="dxa"/>
          </w:tcPr>
          <w:p w14:paraId="23F746B4" w14:textId="25CA192D" w:rsidR="000D23E3" w:rsidRPr="000D23E3" w:rsidRDefault="000D23E3" w:rsidP="000D23E3">
            <w:pPr>
              <w:pStyle w:val="TableNText"/>
              <w:spacing w:before="0" w:after="120"/>
              <w:rPr>
                <w:rFonts w:asciiTheme="minorHAnsi" w:hAnsiTheme="minorHAnsi" w:cstheme="minorHAnsi"/>
                <w:sz w:val="22"/>
                <w:szCs w:val="32"/>
              </w:rPr>
            </w:pPr>
            <w:r w:rsidRPr="000D23E3">
              <w:rPr>
                <w:rFonts w:asciiTheme="minorHAnsi" w:hAnsiTheme="minorHAnsi" w:cstheme="minorHAnsi"/>
                <w:sz w:val="22"/>
                <w:szCs w:val="32"/>
              </w:rPr>
              <w:t xml:space="preserve">The increase in costs related to conducting health assessments, attending medical appointments and health monitoring for workers. </w:t>
            </w:r>
          </w:p>
          <w:p w14:paraId="5950C612" w14:textId="111C17A4" w:rsidR="00DA5128" w:rsidRPr="00141F32" w:rsidRDefault="000D23E3" w:rsidP="000D23E3">
            <w:pPr>
              <w:keepNext/>
              <w:keepLines/>
              <w:contextualSpacing w:val="0"/>
              <w:rPr>
                <w:rFonts w:cs="Arial"/>
              </w:rPr>
            </w:pPr>
            <w:r w:rsidRPr="00993B73">
              <w:t xml:space="preserve">Health monitoring is </w:t>
            </w:r>
            <w:r>
              <w:t>required</w:t>
            </w:r>
            <w:r w:rsidRPr="00993B73">
              <w:t xml:space="preserve"> only for </w:t>
            </w:r>
            <w:r>
              <w:t>b</w:t>
            </w:r>
            <w:r w:rsidRPr="00993B73">
              <w:t xml:space="preserve">enzene and RCS, </w:t>
            </w:r>
            <w:r w:rsidR="00D84D79">
              <w:t>2</w:t>
            </w:r>
            <w:r w:rsidR="00D84D79" w:rsidRPr="00993B73">
              <w:t xml:space="preserve"> </w:t>
            </w:r>
            <w:r w:rsidRPr="00993B73">
              <w:t xml:space="preserve">of the </w:t>
            </w:r>
            <w:r w:rsidR="00D84D79">
              <w:t>9</w:t>
            </w:r>
            <w:r w:rsidRPr="00993B73">
              <w:t xml:space="preserve"> chemicals</w:t>
            </w:r>
            <w:r w:rsidR="009165F5">
              <w:t xml:space="preserve"> considered in this Decision RIS</w:t>
            </w:r>
            <w:r w:rsidR="001D55EA">
              <w:t xml:space="preserve"> </w:t>
            </w:r>
            <w:sdt>
              <w:sdtPr>
                <w:id w:val="253019016"/>
                <w:citation/>
              </w:sdtPr>
              <w:sdtEndPr/>
              <w:sdtContent>
                <w:r w:rsidR="00692D13">
                  <w:fldChar w:fldCharType="begin"/>
                </w:r>
                <w:r w:rsidR="00692D13">
                  <w:instrText xml:space="preserve"> CITATION Saf205 \l 3081 </w:instrText>
                </w:r>
                <w:r w:rsidR="00692D13">
                  <w:fldChar w:fldCharType="separate"/>
                </w:r>
                <w:r w:rsidR="00490B21">
                  <w:rPr>
                    <w:noProof/>
                  </w:rPr>
                  <w:t>(Safe Work Australia, 2020)</w:t>
                </w:r>
                <w:r w:rsidR="00692D13">
                  <w:fldChar w:fldCharType="end"/>
                </w:r>
              </w:sdtContent>
            </w:sdt>
            <w:r w:rsidRPr="00993B73">
              <w:t xml:space="preserve">. As a result, costs </w:t>
            </w:r>
            <w:r>
              <w:t>are</w:t>
            </w:r>
            <w:r w:rsidRPr="00993B73">
              <w:t xml:space="preserve"> applied to these chemicals</w:t>
            </w:r>
            <w:r>
              <w:t xml:space="preserve"> only</w:t>
            </w:r>
            <w:r w:rsidRPr="00993B73">
              <w:t xml:space="preserve">. </w:t>
            </w:r>
            <w:r>
              <w:t>Monitoring requirements remain unchanged, but with lower WELs, the frequency of health monitoring may increase and/or more businesses may need to undertake health monitoring activities.</w:t>
            </w:r>
          </w:p>
        </w:tc>
      </w:tr>
    </w:tbl>
    <w:p w14:paraId="0FED708B" w14:textId="77777777" w:rsidR="00DB539C" w:rsidRPr="00993B73" w:rsidRDefault="00DB539C" w:rsidP="00DB539C">
      <w:pPr>
        <w:pStyle w:val="Heading4"/>
      </w:pPr>
      <w:r w:rsidRPr="00993B73">
        <w:t>Cost estimation approach</w:t>
      </w:r>
    </w:p>
    <w:p w14:paraId="23033AD2" w14:textId="77777777" w:rsidR="00DB539C" w:rsidRPr="00993B73" w:rsidRDefault="00DB539C" w:rsidP="00DB539C">
      <w:pPr>
        <w:rPr>
          <w:lang w:eastAsia="en-AU"/>
        </w:rPr>
      </w:pPr>
      <w:r w:rsidRPr="00993B73">
        <w:rPr>
          <w:lang w:eastAsia="en-AU"/>
        </w:rPr>
        <w:t xml:space="preserve">The incremental costs to businesses </w:t>
      </w:r>
      <w:r>
        <w:rPr>
          <w:lang w:eastAsia="en-AU"/>
        </w:rPr>
        <w:t>to comply</w:t>
      </w:r>
      <w:r w:rsidRPr="00993B73">
        <w:rPr>
          <w:lang w:eastAsia="en-AU"/>
        </w:rPr>
        <w:t xml:space="preserve"> with the proposed WEL for each chemical are estimated using a standardised set of assumptions for the Base Case and Intervention Case. </w:t>
      </w:r>
      <w:r>
        <w:rPr>
          <w:lang w:eastAsia="en-AU"/>
        </w:rPr>
        <w:t>The</w:t>
      </w:r>
      <w:r w:rsidRPr="00993B73">
        <w:rPr>
          <w:lang w:eastAsia="en-AU"/>
        </w:rPr>
        <w:t xml:space="preserve"> analysis estimates the standardised costs using data from two </w:t>
      </w:r>
      <w:r>
        <w:rPr>
          <w:lang w:eastAsia="en-AU"/>
        </w:rPr>
        <w:t xml:space="preserve">key </w:t>
      </w:r>
      <w:r w:rsidRPr="00993B73">
        <w:rPr>
          <w:lang w:eastAsia="en-AU"/>
        </w:rPr>
        <w:t>sources:</w:t>
      </w:r>
    </w:p>
    <w:p w14:paraId="4DF45837" w14:textId="77777777" w:rsidR="00DB539C" w:rsidRPr="00993B73" w:rsidRDefault="00DB539C" w:rsidP="00A2768E">
      <w:pPr>
        <w:pStyle w:val="ListParagraph"/>
        <w:numPr>
          <w:ilvl w:val="0"/>
          <w:numId w:val="130"/>
        </w:numPr>
        <w:suppressAutoHyphens/>
        <w:spacing w:line="259" w:lineRule="auto"/>
        <w:contextualSpacing w:val="0"/>
      </w:pPr>
      <w:r w:rsidRPr="00DB539C">
        <w:rPr>
          <w:rFonts w:asciiTheme="majorHAnsi" w:hAnsiTheme="majorHAnsi" w:cstheme="majorHAnsi"/>
          <w:b/>
          <w:bCs/>
        </w:rPr>
        <w:t>SWA’s 2019 Decision RIS: Workplace Exposure Standards</w:t>
      </w:r>
      <w:r w:rsidRPr="00B72E2B">
        <w:rPr>
          <w:rFonts w:asciiTheme="majorHAnsi" w:hAnsiTheme="majorHAnsi" w:cstheme="majorHAnsi"/>
        </w:rPr>
        <w:t xml:space="preserve"> |</w:t>
      </w:r>
      <w:r w:rsidRPr="00993B73">
        <w:t xml:space="preserve"> The Decision RIS cost estimates represent the generalised change in costs that businesses </w:t>
      </w:r>
      <w:r>
        <w:t>are expected to</w:t>
      </w:r>
      <w:r w:rsidRPr="00993B73">
        <w:t xml:space="preserve"> incur if there was a change in the WEL. </w:t>
      </w:r>
    </w:p>
    <w:p w14:paraId="31E90C39" w14:textId="77777777" w:rsidR="00DB539C" w:rsidRPr="00993B73" w:rsidRDefault="00DB539C" w:rsidP="00A2768E">
      <w:pPr>
        <w:pStyle w:val="ListParagraph"/>
        <w:numPr>
          <w:ilvl w:val="0"/>
          <w:numId w:val="130"/>
        </w:numPr>
        <w:suppressAutoHyphens/>
        <w:spacing w:line="259" w:lineRule="auto"/>
        <w:contextualSpacing w:val="0"/>
      </w:pPr>
      <w:r w:rsidRPr="00DB539C">
        <w:rPr>
          <w:rFonts w:asciiTheme="majorHAnsi" w:hAnsiTheme="majorHAnsi" w:cstheme="majorHAnsi"/>
          <w:b/>
          <w:bCs/>
        </w:rPr>
        <w:lastRenderedPageBreak/>
        <w:t>Public submission from Australian Chamber of Commerce and Industry (ACCI)</w:t>
      </w:r>
      <w:r w:rsidRPr="00B72E2B">
        <w:rPr>
          <w:rFonts w:asciiTheme="majorHAnsi" w:hAnsiTheme="majorHAnsi" w:cstheme="majorHAnsi"/>
        </w:rPr>
        <w:t xml:space="preserve"> |</w:t>
      </w:r>
      <w:r w:rsidRPr="00993B73">
        <w:t xml:space="preserve"> The ACCI cost estimates </w:t>
      </w:r>
      <w:r>
        <w:t xml:space="preserve">are based on a 2024 survey of its members, with 101 responses recorded. The survey questions asked respondents to consider </w:t>
      </w:r>
      <w:r w:rsidRPr="00993B73">
        <w:t xml:space="preserve">the incremental costs </w:t>
      </w:r>
      <w:r>
        <w:t xml:space="preserve">they expect to incur that would be </w:t>
      </w:r>
      <w:r w:rsidRPr="00993B73">
        <w:t>specifically attributable to the proposed WEL.</w:t>
      </w:r>
    </w:p>
    <w:p w14:paraId="5486C32B" w14:textId="4D5EB96E" w:rsidR="00DB539C" w:rsidRDefault="00DB539C" w:rsidP="00DB539C">
      <w:r w:rsidRPr="00833FA3">
        <w:rPr>
          <w:rFonts w:asciiTheme="majorHAnsi" w:hAnsiTheme="majorHAnsi" w:cstheme="majorHAnsi"/>
          <w:b/>
          <w:bCs/>
        </w:rPr>
        <w:t>The public submission by ACCI</w:t>
      </w:r>
      <w:r>
        <w:t xml:space="preserve"> provided data that were collected in its member survey and published in an aggregated or selected manner. There are some limitations to using this ACCI data, including: </w:t>
      </w:r>
    </w:p>
    <w:p w14:paraId="50FA2801" w14:textId="77777777" w:rsidR="00DB539C" w:rsidRDefault="00DB539C" w:rsidP="00A2768E">
      <w:pPr>
        <w:pStyle w:val="ListParagraph"/>
        <w:numPr>
          <w:ilvl w:val="1"/>
          <w:numId w:val="131"/>
        </w:numPr>
        <w:suppressAutoHyphens/>
        <w:spacing w:line="259" w:lineRule="auto"/>
        <w:ind w:left="993"/>
        <w:contextualSpacing w:val="0"/>
      </w:pPr>
      <w:r>
        <w:t>Survey responses may reflect selection bias if the voluntary survey was more likely to be completed by those members that expected to incur the greatest costs.</w:t>
      </w:r>
    </w:p>
    <w:p w14:paraId="27DD90F9" w14:textId="10E52E1B" w:rsidR="00DB539C" w:rsidRDefault="00DB539C" w:rsidP="00A2768E">
      <w:pPr>
        <w:pStyle w:val="ListParagraph"/>
        <w:numPr>
          <w:ilvl w:val="1"/>
          <w:numId w:val="131"/>
        </w:numPr>
        <w:suppressAutoHyphens/>
        <w:spacing w:line="259" w:lineRule="auto"/>
        <w:ind w:left="993"/>
        <w:contextualSpacing w:val="0"/>
      </w:pPr>
      <w:r>
        <w:t xml:space="preserve">Nous </w:t>
      </w:r>
      <w:r w:rsidR="00F63031">
        <w:t>Group</w:t>
      </w:r>
      <w:r>
        <w:t xml:space="preserve"> did not have access to actual survey responses and could not review or analyse the raw data. Instead, we relied on ACCI’s submission and its reporting of the survey results. </w:t>
      </w:r>
    </w:p>
    <w:p w14:paraId="7A0F556E" w14:textId="77777777" w:rsidR="00DB539C" w:rsidRDefault="00DB539C" w:rsidP="00A2768E">
      <w:pPr>
        <w:pStyle w:val="ListParagraph"/>
        <w:numPr>
          <w:ilvl w:val="1"/>
          <w:numId w:val="131"/>
        </w:numPr>
        <w:suppressAutoHyphens/>
        <w:spacing w:line="259" w:lineRule="auto"/>
        <w:ind w:left="993"/>
        <w:contextualSpacing w:val="0"/>
      </w:pPr>
      <w:r>
        <w:t xml:space="preserve">Some survey data reported in the ACCI submission was excluded due to a lack of sufficient detail to interpret the data provided (i.e. whether the costs were annualised, the control type they related to, the size of the business, etc). </w:t>
      </w:r>
    </w:p>
    <w:p w14:paraId="394D46E9" w14:textId="59374443" w:rsidR="00DB539C" w:rsidRDefault="00611624" w:rsidP="003923D9">
      <w:pPr>
        <w:contextualSpacing w:val="0"/>
      </w:pPr>
      <w:r>
        <w:rPr>
          <w:highlight w:val="lightGray"/>
        </w:rPr>
        <w:fldChar w:fldCharType="begin"/>
      </w:r>
      <w:r>
        <w:instrText xml:space="preserve"> REF _Ref216793360 \h </w:instrText>
      </w:r>
      <w:r>
        <w:rPr>
          <w:highlight w:val="lightGray"/>
        </w:rPr>
      </w:r>
      <w:r>
        <w:rPr>
          <w:highlight w:val="lightGray"/>
        </w:rPr>
        <w:fldChar w:fldCharType="separate"/>
      </w:r>
      <w:r w:rsidR="00A002F4">
        <w:t xml:space="preserve">Table </w:t>
      </w:r>
      <w:r w:rsidR="00A002F4">
        <w:rPr>
          <w:noProof/>
        </w:rPr>
        <w:t>65</w:t>
      </w:r>
      <w:r>
        <w:rPr>
          <w:highlight w:val="lightGray"/>
        </w:rPr>
        <w:fldChar w:fldCharType="end"/>
      </w:r>
      <w:r>
        <w:t xml:space="preserve"> </w:t>
      </w:r>
      <w:r w:rsidR="00D775C8">
        <w:t>of the</w:t>
      </w:r>
      <w:r w:rsidR="008E70DD">
        <w:t xml:space="preserve"> </w:t>
      </w:r>
      <w:hyperlink w:anchor="AppendixC_Methodology_Limitations" w:history="1">
        <w:r w:rsidR="00A35810">
          <w:rPr>
            <w:rStyle w:val="Hyperlink"/>
          </w:rPr>
          <w:t>‘Limitations’ section of Appendix C</w:t>
        </w:r>
      </w:hyperlink>
      <w:r w:rsidR="00A35810">
        <w:t xml:space="preserve"> </w:t>
      </w:r>
      <w:r w:rsidR="00DB539C">
        <w:t xml:space="preserve">provides further details on the limitations. </w:t>
      </w:r>
    </w:p>
    <w:p w14:paraId="64A62C7D" w14:textId="781D02C0" w:rsidR="00DB539C" w:rsidRDefault="00DB539C" w:rsidP="003923D9">
      <w:pPr>
        <w:contextualSpacing w:val="0"/>
      </w:pPr>
      <w:r>
        <w:t xml:space="preserve">To manage these limitations, </w:t>
      </w:r>
      <w:r w:rsidRPr="00993B73">
        <w:t xml:space="preserve">Nous reviewed and assessed the </w:t>
      </w:r>
      <w:r>
        <w:t>reporting of the</w:t>
      </w:r>
      <w:r w:rsidRPr="00993B73">
        <w:t xml:space="preserve"> survey results collected by ACCI for applicability and </w:t>
      </w:r>
      <w:r w:rsidR="00F57D62" w:rsidRPr="00993B73">
        <w:t>robustness and</w:t>
      </w:r>
      <w:r>
        <w:t xml:space="preserve"> considered</w:t>
      </w:r>
      <w:r w:rsidRPr="00993B73">
        <w:t xml:space="preserve"> whether they </w:t>
      </w:r>
      <w:r>
        <w:t xml:space="preserve">appeared to </w:t>
      </w:r>
      <w:r w:rsidRPr="00993B73">
        <w:t xml:space="preserve">represent incremental costs beyond </w:t>
      </w:r>
      <w:r>
        <w:t xml:space="preserve">the existing costs incurred in </w:t>
      </w:r>
      <w:r w:rsidRPr="00993B73">
        <w:t>compl</w:t>
      </w:r>
      <w:r>
        <w:t>ying</w:t>
      </w:r>
      <w:r w:rsidRPr="00993B73">
        <w:t xml:space="preserve"> with the current WES. The assessment also </w:t>
      </w:r>
      <w:r>
        <w:t>considered apparent outliers and</w:t>
      </w:r>
      <w:r w:rsidRPr="00993B73">
        <w:t xml:space="preserve"> </w:t>
      </w:r>
      <w:r>
        <w:t>excluded them where there was insufficient evidence provided to understand the nature and extent of the costs.</w:t>
      </w:r>
      <w:r w:rsidRPr="00993B73">
        <w:t xml:space="preserve"> </w:t>
      </w:r>
    </w:p>
    <w:p w14:paraId="56059B10" w14:textId="3269454A" w:rsidR="00DB539C" w:rsidRPr="00B72E2B" w:rsidRDefault="00DB539C" w:rsidP="003923D9">
      <w:pPr>
        <w:contextualSpacing w:val="0"/>
        <w:rPr>
          <w:rFonts w:eastAsiaTheme="minorEastAsia"/>
        </w:rPr>
      </w:pPr>
      <w:r w:rsidRPr="00993B73">
        <w:t>The ACCI standardised costs were incorporated with the previous Decision RIS standardised costs using a weighting based on survey response counts from ACCI and the previous Decision RIS for each cost item</w:t>
      </w:r>
      <w:r>
        <w:t xml:space="preserve"> (Refer to </w:t>
      </w:r>
      <w:hyperlink w:anchor="AppendixI_StandardisedCostInputTables" w:history="1">
        <w:r w:rsidR="00B9470C">
          <w:rPr>
            <w:rStyle w:val="Hyperlink"/>
          </w:rPr>
          <w:t xml:space="preserve">Appendix </w:t>
        </w:r>
        <w:r w:rsidR="009D6F0C">
          <w:rPr>
            <w:rStyle w:val="Hyperlink"/>
          </w:rPr>
          <w:t>I</w:t>
        </w:r>
      </w:hyperlink>
      <w:r w:rsidR="00EF090A">
        <w:t xml:space="preserve"> </w:t>
      </w:r>
      <w:r>
        <w:t>for weightings).</w:t>
      </w:r>
    </w:p>
    <w:p w14:paraId="08F1655C" w14:textId="7F9EACEE" w:rsidR="00141FA7" w:rsidRDefault="00DB539C" w:rsidP="00876689">
      <w:r w:rsidRPr="001B47AC">
        <w:rPr>
          <w:lang w:eastAsia="en-AU"/>
        </w:rPr>
        <w:t>The inputs, parameters and methodology used to estimate the standardised costs to business of complying with the proposed WEL are presented in</w:t>
      </w:r>
      <w:r w:rsidR="001B47AC">
        <w:rPr>
          <w:lang w:eastAsia="en-AU"/>
        </w:rPr>
        <w:t xml:space="preserve"> </w:t>
      </w:r>
      <w:r w:rsidR="006170D6" w:rsidRPr="00F70081">
        <w:rPr>
          <w:lang w:eastAsia="en-AU"/>
        </w:rPr>
        <w:fldChar w:fldCharType="begin"/>
      </w:r>
      <w:r w:rsidR="006170D6" w:rsidRPr="00F70081">
        <w:rPr>
          <w:lang w:eastAsia="en-AU"/>
        </w:rPr>
        <w:instrText xml:space="preserve"> REF _Ref216793267 \h </w:instrText>
      </w:r>
      <w:r w:rsidR="00F70081" w:rsidRPr="00F70081">
        <w:rPr>
          <w:lang w:eastAsia="en-AU"/>
        </w:rPr>
        <w:instrText xml:space="preserve"> \* MERGEFORMAT </w:instrText>
      </w:r>
      <w:r w:rsidR="006170D6" w:rsidRPr="00F70081">
        <w:rPr>
          <w:lang w:eastAsia="en-AU"/>
        </w:rPr>
      </w:r>
      <w:r w:rsidR="006170D6" w:rsidRPr="00F70081">
        <w:rPr>
          <w:lang w:eastAsia="en-AU"/>
        </w:rPr>
        <w:fldChar w:fldCharType="separate"/>
      </w:r>
      <w:r w:rsidR="00A002F4">
        <w:t xml:space="preserve">Table </w:t>
      </w:r>
      <w:r w:rsidR="00A002F4">
        <w:rPr>
          <w:noProof/>
        </w:rPr>
        <w:t>63</w:t>
      </w:r>
      <w:r w:rsidR="006170D6" w:rsidRPr="00F70081">
        <w:rPr>
          <w:lang w:eastAsia="en-AU"/>
        </w:rPr>
        <w:fldChar w:fldCharType="end"/>
      </w:r>
      <w:r w:rsidRPr="00993B73">
        <w:rPr>
          <w:lang w:eastAsia="en-AU"/>
        </w:rPr>
        <w:t>.</w:t>
      </w:r>
    </w:p>
    <w:p w14:paraId="403145B1" w14:textId="725AA245" w:rsidR="006170D6" w:rsidRDefault="006170D6" w:rsidP="00F70081">
      <w:pPr>
        <w:pStyle w:val="Caption"/>
      </w:pPr>
      <w:bookmarkStart w:id="700" w:name="_Ref216793267"/>
      <w:r>
        <w:t xml:space="preserve">Table </w:t>
      </w:r>
      <w:fldSimple w:instr=" SEQ Table \* ARABIC ">
        <w:r w:rsidR="00A002F4">
          <w:rPr>
            <w:noProof/>
          </w:rPr>
          <w:t>63</w:t>
        </w:r>
      </w:fldSimple>
      <w:bookmarkEnd w:id="700"/>
      <w:r>
        <w:t xml:space="preserve"> - </w:t>
      </w:r>
      <w:r w:rsidRPr="003F024C">
        <w:t>Inputs, parameters and methodology used to estimate the standardised costs to business</w:t>
      </w:r>
    </w:p>
    <w:tbl>
      <w:tblPr>
        <w:tblStyle w:val="TableGrid"/>
        <w:tblW w:w="94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438"/>
      </w:tblGrid>
      <w:tr w:rsidR="002D07B2" w:rsidRPr="002D07B2" w14:paraId="5693AE71" w14:textId="77777777" w:rsidTr="00DC645D">
        <w:trPr>
          <w:trHeight w:val="265"/>
        </w:trPr>
        <w:tc>
          <w:tcPr>
            <w:tcW w:w="1980" w:type="dxa"/>
            <w:shd w:val="clear" w:color="auto" w:fill="4877E0" w:themeFill="accent1"/>
          </w:tcPr>
          <w:p w14:paraId="4FC809DD" w14:textId="77777777" w:rsidR="002D07B2" w:rsidRPr="00DE6A4F" w:rsidRDefault="002D07B2" w:rsidP="00DE6A4F">
            <w:pPr>
              <w:rPr>
                <w:b/>
                <w:bCs/>
                <w:color w:val="FFFFFF" w:themeColor="background1"/>
              </w:rPr>
            </w:pPr>
            <w:r w:rsidRPr="00DE6A4F">
              <w:rPr>
                <w:b/>
                <w:bCs/>
                <w:color w:val="FFFFFF" w:themeColor="background1"/>
              </w:rPr>
              <w:t>Inputs</w:t>
            </w:r>
          </w:p>
        </w:tc>
        <w:tc>
          <w:tcPr>
            <w:tcW w:w="7438" w:type="dxa"/>
          </w:tcPr>
          <w:p w14:paraId="482F3867" w14:textId="42DDED28" w:rsidR="002D07B2" w:rsidRPr="002D07B2" w:rsidRDefault="002D07B2" w:rsidP="00DE6A4F">
            <w:r w:rsidRPr="002D07B2">
              <w:rPr>
                <w:rFonts w:asciiTheme="minorHAnsi" w:hAnsiTheme="minorHAnsi" w:cstheme="minorHAnsi"/>
                <w:szCs w:val="22"/>
                <w:lang w:eastAsia="en-AU"/>
              </w:rPr>
              <w:t xml:space="preserve">The estimated number of affected businesses (by size classification) for each chemical is estimated using the ABS </w:t>
            </w:r>
            <w:r w:rsidRPr="002D07B2">
              <w:rPr>
                <w:rFonts w:asciiTheme="minorHAnsi" w:hAnsiTheme="minorHAnsi" w:cstheme="minorHAnsi"/>
                <w:i/>
                <w:szCs w:val="22"/>
                <w:lang w:eastAsia="en-AU"/>
              </w:rPr>
              <w:t>Counts of Australian Businesses, including Entries and Exits</w:t>
            </w:r>
            <w:r w:rsidRPr="002D07B2">
              <w:rPr>
                <w:rFonts w:asciiTheme="minorHAnsi" w:hAnsiTheme="minorHAnsi" w:cstheme="minorHAnsi"/>
                <w:szCs w:val="22"/>
                <w:lang w:eastAsia="en-AU"/>
              </w:rPr>
              <w:t xml:space="preserve"> (see</w:t>
            </w:r>
            <w:r w:rsidR="00611624">
              <w:rPr>
                <w:rFonts w:asciiTheme="minorHAnsi" w:hAnsiTheme="minorHAnsi" w:cstheme="minorHAnsi"/>
                <w:szCs w:val="22"/>
                <w:lang w:eastAsia="en-AU"/>
              </w:rPr>
              <w:t xml:space="preserve"> </w:t>
            </w:r>
            <w:r w:rsidR="00611624">
              <w:rPr>
                <w:rFonts w:asciiTheme="minorHAnsi" w:hAnsiTheme="minorHAnsi" w:cstheme="minorHAnsi"/>
                <w:szCs w:val="22"/>
                <w:lang w:eastAsia="en-AU"/>
              </w:rPr>
              <w:fldChar w:fldCharType="begin"/>
            </w:r>
            <w:r w:rsidR="00611624">
              <w:rPr>
                <w:rFonts w:asciiTheme="minorHAnsi" w:hAnsiTheme="minorHAnsi" w:cstheme="minorHAnsi"/>
                <w:szCs w:val="22"/>
                <w:lang w:eastAsia="en-AU"/>
              </w:rPr>
              <w:instrText xml:space="preserve"> REF _Ref216792291 \h </w:instrText>
            </w:r>
            <w:r w:rsidR="00611624">
              <w:rPr>
                <w:rFonts w:asciiTheme="minorHAnsi" w:hAnsiTheme="minorHAnsi" w:cstheme="minorHAnsi"/>
                <w:szCs w:val="22"/>
                <w:lang w:eastAsia="en-AU"/>
              </w:rPr>
            </w:r>
            <w:r w:rsidR="00611624">
              <w:rPr>
                <w:rFonts w:asciiTheme="minorHAnsi" w:hAnsiTheme="minorHAnsi" w:cstheme="minorHAnsi"/>
                <w:szCs w:val="22"/>
                <w:lang w:eastAsia="en-AU"/>
              </w:rPr>
              <w:fldChar w:fldCharType="separate"/>
            </w:r>
            <w:r w:rsidR="00A002F4">
              <w:t xml:space="preserve">Table </w:t>
            </w:r>
            <w:r w:rsidR="00A002F4">
              <w:rPr>
                <w:noProof/>
              </w:rPr>
              <w:t>48</w:t>
            </w:r>
            <w:r w:rsidR="00611624">
              <w:rPr>
                <w:rFonts w:asciiTheme="minorHAnsi" w:hAnsiTheme="minorHAnsi" w:cstheme="minorHAnsi"/>
                <w:szCs w:val="22"/>
                <w:lang w:eastAsia="en-AU"/>
              </w:rPr>
              <w:fldChar w:fldCharType="end"/>
            </w:r>
            <w:r w:rsidRPr="002D07B2">
              <w:rPr>
                <w:rFonts w:asciiTheme="minorHAnsi" w:hAnsiTheme="minorHAnsi" w:cstheme="minorHAnsi"/>
                <w:szCs w:val="22"/>
                <w:lang w:eastAsia="en-AU"/>
              </w:rPr>
              <w:t>)</w:t>
            </w:r>
            <w:r w:rsidR="00430194">
              <w:rPr>
                <w:rFonts w:asciiTheme="minorHAnsi" w:hAnsiTheme="minorHAnsi" w:cstheme="minorHAnsi"/>
                <w:szCs w:val="22"/>
                <w:lang w:eastAsia="en-AU"/>
              </w:rPr>
              <w:t xml:space="preserve"> </w:t>
            </w:r>
            <w:sdt>
              <w:sdtPr>
                <w:rPr>
                  <w:rFonts w:asciiTheme="minorHAnsi" w:hAnsiTheme="minorHAnsi" w:cstheme="minorHAnsi"/>
                  <w:szCs w:val="22"/>
                  <w:lang w:eastAsia="en-AU"/>
                </w:rPr>
                <w:id w:val="1596596120"/>
                <w:citation/>
              </w:sdtPr>
              <w:sdtEndPr/>
              <w:sdtContent>
                <w:r w:rsidR="00430194">
                  <w:rPr>
                    <w:rFonts w:asciiTheme="minorHAnsi" w:hAnsiTheme="minorHAnsi" w:cstheme="minorHAnsi"/>
                    <w:szCs w:val="22"/>
                    <w:lang w:eastAsia="en-AU"/>
                  </w:rPr>
                  <w:fldChar w:fldCharType="begin"/>
                </w:r>
                <w:r w:rsidR="00430194">
                  <w:rPr>
                    <w:rFonts w:asciiTheme="minorHAnsi" w:hAnsiTheme="minorHAnsi" w:cstheme="minorHAnsi"/>
                    <w:szCs w:val="22"/>
                    <w:lang w:eastAsia="en-AU"/>
                  </w:rPr>
                  <w:instrText xml:space="preserve"> CITATION Aus244 \l 3081 </w:instrText>
                </w:r>
                <w:r w:rsidR="00430194">
                  <w:rPr>
                    <w:rFonts w:asciiTheme="minorHAnsi" w:hAnsiTheme="minorHAnsi" w:cstheme="minorHAnsi"/>
                    <w:szCs w:val="22"/>
                    <w:lang w:eastAsia="en-AU"/>
                  </w:rPr>
                  <w:fldChar w:fldCharType="separate"/>
                </w:r>
                <w:r w:rsidR="00490B21" w:rsidRPr="00490B21">
                  <w:rPr>
                    <w:rFonts w:asciiTheme="minorHAnsi" w:hAnsiTheme="minorHAnsi" w:cstheme="minorHAnsi"/>
                    <w:noProof/>
                    <w:szCs w:val="22"/>
                    <w:lang w:eastAsia="en-AU"/>
                  </w:rPr>
                  <w:t>(Australian Bureau of Statistics, 2023)</w:t>
                </w:r>
                <w:r w:rsidR="00430194">
                  <w:rPr>
                    <w:rFonts w:asciiTheme="minorHAnsi" w:hAnsiTheme="minorHAnsi" w:cstheme="minorHAnsi"/>
                    <w:szCs w:val="22"/>
                    <w:lang w:eastAsia="en-AU"/>
                  </w:rPr>
                  <w:fldChar w:fldCharType="end"/>
                </w:r>
              </w:sdtContent>
            </w:sdt>
            <w:r w:rsidRPr="002D07B2">
              <w:rPr>
                <w:rFonts w:asciiTheme="minorHAnsi" w:hAnsiTheme="minorHAnsi" w:cstheme="minorHAnsi"/>
                <w:szCs w:val="22"/>
                <w:lang w:eastAsia="en-AU"/>
              </w:rPr>
              <w:t>.</w:t>
            </w:r>
          </w:p>
        </w:tc>
      </w:tr>
      <w:tr w:rsidR="002D07B2" w:rsidRPr="002D07B2" w14:paraId="7FE52087" w14:textId="77777777" w:rsidTr="008737F2">
        <w:trPr>
          <w:trHeight w:val="265"/>
        </w:trPr>
        <w:tc>
          <w:tcPr>
            <w:tcW w:w="1980" w:type="dxa"/>
            <w:shd w:val="clear" w:color="auto" w:fill="4877E0" w:themeFill="accent1"/>
          </w:tcPr>
          <w:p w14:paraId="7A981BE2" w14:textId="77777777" w:rsidR="002D07B2" w:rsidRPr="00DE6A4F" w:rsidRDefault="002D07B2" w:rsidP="00DE6A4F">
            <w:pPr>
              <w:rPr>
                <w:b/>
                <w:bCs/>
                <w:color w:val="FFFFFF" w:themeColor="background1"/>
              </w:rPr>
            </w:pPr>
            <w:r w:rsidRPr="00DE6A4F">
              <w:rPr>
                <w:b/>
                <w:bCs/>
                <w:color w:val="FFFFFF" w:themeColor="background1"/>
              </w:rPr>
              <w:t>Parameters</w:t>
            </w:r>
          </w:p>
        </w:tc>
        <w:tc>
          <w:tcPr>
            <w:tcW w:w="7438" w:type="dxa"/>
          </w:tcPr>
          <w:p w14:paraId="68149B9C" w14:textId="25DA82AE" w:rsidR="00087C4A" w:rsidRPr="00DE6A4F" w:rsidRDefault="00087C4A" w:rsidP="00DE6A4F">
            <w:pPr>
              <w:pStyle w:val="TableNText"/>
              <w:rPr>
                <w:rFonts w:asciiTheme="minorHAnsi" w:hAnsiTheme="minorHAnsi" w:cstheme="minorHAnsi"/>
                <w:sz w:val="22"/>
                <w:szCs w:val="32"/>
              </w:rPr>
            </w:pPr>
            <w:r w:rsidRPr="00DE6A4F">
              <w:rPr>
                <w:rFonts w:asciiTheme="minorHAnsi" w:hAnsiTheme="minorHAnsi" w:cstheme="minorHAnsi"/>
                <w:sz w:val="22"/>
                <w:szCs w:val="32"/>
                <w:lang w:eastAsia="en-AU"/>
              </w:rPr>
              <w:t xml:space="preserve">The following inputs have been sourced from the previous 2019 </w:t>
            </w:r>
            <w:r w:rsidRPr="00DE6A4F">
              <w:rPr>
                <w:rFonts w:asciiTheme="minorHAnsi" w:hAnsiTheme="minorHAnsi" w:cstheme="minorHAnsi"/>
                <w:sz w:val="22"/>
                <w:szCs w:val="32"/>
              </w:rPr>
              <w:t>Decision RIS: Workplace Exposure Standards</w:t>
            </w:r>
            <w:r w:rsidR="002126A3">
              <w:rPr>
                <w:rFonts w:asciiTheme="minorHAnsi" w:hAnsiTheme="minorHAnsi" w:cstheme="minorHAnsi"/>
                <w:sz w:val="22"/>
                <w:szCs w:val="32"/>
              </w:rPr>
              <w:t xml:space="preserve"> framework under the model Work Health and Safety laws</w:t>
            </w:r>
            <w:r w:rsidR="00781563">
              <w:rPr>
                <w:rFonts w:asciiTheme="minorHAnsi" w:hAnsiTheme="minorHAnsi" w:cstheme="minorHAnsi"/>
                <w:sz w:val="22"/>
                <w:szCs w:val="32"/>
              </w:rPr>
              <w:t xml:space="preserve"> </w:t>
            </w:r>
            <w:sdt>
              <w:sdtPr>
                <w:rPr>
                  <w:rFonts w:asciiTheme="minorHAnsi" w:hAnsiTheme="minorHAnsi" w:cstheme="minorHAnsi"/>
                  <w:sz w:val="22"/>
                  <w:szCs w:val="32"/>
                </w:rPr>
                <w:id w:val="-222753326"/>
                <w:citation/>
              </w:sdtPr>
              <w:sdtEndPr/>
              <w:sdtContent>
                <w:r w:rsidR="00781563">
                  <w:rPr>
                    <w:rFonts w:asciiTheme="minorHAnsi" w:hAnsiTheme="minorHAnsi" w:cstheme="minorHAnsi"/>
                    <w:sz w:val="22"/>
                    <w:szCs w:val="32"/>
                  </w:rPr>
                  <w:fldChar w:fldCharType="begin"/>
                </w:r>
                <w:r w:rsidR="00781563">
                  <w:rPr>
                    <w:rFonts w:asciiTheme="minorHAnsi" w:hAnsiTheme="minorHAnsi" w:cstheme="minorHAnsi"/>
                    <w:sz w:val="22"/>
                    <w:szCs w:val="32"/>
                  </w:rPr>
                  <w:instrText xml:space="preserve"> CITATION Saf19 \l 3081 </w:instrText>
                </w:r>
                <w:r w:rsidR="00781563">
                  <w:rPr>
                    <w:rFonts w:asciiTheme="minorHAnsi" w:hAnsiTheme="minorHAnsi" w:cstheme="minorHAnsi"/>
                    <w:sz w:val="22"/>
                    <w:szCs w:val="32"/>
                  </w:rPr>
                  <w:fldChar w:fldCharType="separate"/>
                </w:r>
                <w:r w:rsidR="00490B21" w:rsidRPr="00490B21">
                  <w:rPr>
                    <w:rFonts w:asciiTheme="minorHAnsi" w:hAnsiTheme="minorHAnsi" w:cstheme="minorHAnsi"/>
                    <w:noProof/>
                    <w:sz w:val="22"/>
                    <w:szCs w:val="32"/>
                  </w:rPr>
                  <w:t>(Safe Work Australia, 2019)</w:t>
                </w:r>
                <w:r w:rsidR="00781563">
                  <w:rPr>
                    <w:rFonts w:asciiTheme="minorHAnsi" w:hAnsiTheme="minorHAnsi" w:cstheme="minorHAnsi"/>
                    <w:sz w:val="22"/>
                    <w:szCs w:val="32"/>
                  </w:rPr>
                  <w:fldChar w:fldCharType="end"/>
                </w:r>
              </w:sdtContent>
            </w:sdt>
            <w:r w:rsidRPr="00DE6A4F">
              <w:rPr>
                <w:rFonts w:asciiTheme="minorHAnsi" w:hAnsiTheme="minorHAnsi" w:cstheme="minorHAnsi"/>
                <w:sz w:val="22"/>
                <w:szCs w:val="32"/>
              </w:rPr>
              <w:t>:</w:t>
            </w:r>
            <w:r w:rsidR="002126A3">
              <w:rPr>
                <w:rFonts w:asciiTheme="minorHAnsi" w:hAnsiTheme="minorHAnsi" w:cstheme="minorHAnsi"/>
                <w:sz w:val="22"/>
                <w:szCs w:val="32"/>
              </w:rPr>
              <w:t xml:space="preserve"> </w:t>
            </w:r>
          </w:p>
          <w:p w14:paraId="79A2B005" w14:textId="77777777" w:rsidR="00087C4A" w:rsidRPr="00DE6A4F" w:rsidRDefault="00087C4A" w:rsidP="00DE6A4F">
            <w:pPr>
              <w:pStyle w:val="TableNBullet"/>
              <w:ind w:left="602"/>
              <w:rPr>
                <w:rFonts w:asciiTheme="minorHAnsi" w:hAnsiTheme="minorHAnsi" w:cstheme="minorHAnsi"/>
                <w:sz w:val="22"/>
                <w:szCs w:val="22"/>
              </w:rPr>
            </w:pPr>
            <w:r w:rsidRPr="00DE6A4F">
              <w:rPr>
                <w:rFonts w:asciiTheme="minorHAnsi" w:hAnsiTheme="minorHAnsi" w:cstheme="minorHAnsi"/>
                <w:sz w:val="22"/>
                <w:szCs w:val="22"/>
              </w:rPr>
              <w:t>The proportion of businesses using each control measure or practice management (by cost item and business size category). Where this was not available (for instance, for health monitoring inputs), a proportion was calculated from the percentage of responses on the respective cost item out of the total number of responses received.</w:t>
            </w:r>
          </w:p>
          <w:p w14:paraId="7147B5C9" w14:textId="77777777" w:rsidR="00087C4A" w:rsidRPr="00DE6A4F" w:rsidRDefault="00087C4A" w:rsidP="00DE6A4F">
            <w:pPr>
              <w:pStyle w:val="TableNBullet"/>
              <w:ind w:left="602"/>
              <w:rPr>
                <w:rFonts w:asciiTheme="minorHAnsi" w:hAnsiTheme="minorHAnsi" w:cstheme="minorHAnsi"/>
                <w:sz w:val="22"/>
                <w:szCs w:val="22"/>
              </w:rPr>
            </w:pPr>
            <w:r w:rsidRPr="00DE6A4F">
              <w:rPr>
                <w:rFonts w:asciiTheme="minorHAnsi" w:hAnsiTheme="minorHAnsi" w:cstheme="minorHAnsi"/>
                <w:sz w:val="22"/>
                <w:szCs w:val="22"/>
              </w:rPr>
              <w:t>The average number of control measure or practice management used (by cost item and business size category)</w:t>
            </w:r>
          </w:p>
          <w:p w14:paraId="6715D787" w14:textId="609064F9" w:rsidR="00087C4A" w:rsidRPr="00DE6A4F" w:rsidRDefault="00087C4A" w:rsidP="00DE6A4F">
            <w:pPr>
              <w:pStyle w:val="TableNBullet"/>
              <w:ind w:left="602"/>
              <w:rPr>
                <w:rFonts w:asciiTheme="minorHAnsi" w:hAnsiTheme="minorHAnsi" w:cstheme="minorHAnsi"/>
                <w:sz w:val="22"/>
                <w:szCs w:val="22"/>
              </w:rPr>
            </w:pPr>
            <w:r w:rsidRPr="00DE6A4F">
              <w:rPr>
                <w:rFonts w:asciiTheme="minorHAnsi" w:hAnsiTheme="minorHAnsi" w:cstheme="minorHAnsi"/>
                <w:sz w:val="22"/>
                <w:szCs w:val="22"/>
              </w:rPr>
              <w:lastRenderedPageBreak/>
              <w:t>The weighted-average annual cost per control measure or management practice (by cost item and business size category). The cost per control is escalated to June 2024 terms using ABS Price Indexes</w:t>
            </w:r>
            <w:r w:rsidR="006657FF">
              <w:rPr>
                <w:rFonts w:asciiTheme="minorHAnsi" w:hAnsiTheme="minorHAnsi" w:cstheme="minorHAnsi"/>
                <w:sz w:val="22"/>
                <w:szCs w:val="22"/>
              </w:rPr>
              <w:t xml:space="preserve"> </w:t>
            </w:r>
            <w:sdt>
              <w:sdtPr>
                <w:rPr>
                  <w:rFonts w:asciiTheme="minorHAnsi" w:hAnsiTheme="minorHAnsi" w:cstheme="minorHAnsi"/>
                  <w:sz w:val="22"/>
                  <w:szCs w:val="22"/>
                </w:rPr>
                <w:id w:val="1527367746"/>
                <w:citation/>
              </w:sdtPr>
              <w:sdtEndPr/>
              <w:sdtContent>
                <w:r w:rsidR="006657FF">
                  <w:rPr>
                    <w:rFonts w:asciiTheme="minorHAnsi" w:hAnsiTheme="minorHAnsi" w:cstheme="minorHAnsi"/>
                    <w:sz w:val="22"/>
                    <w:szCs w:val="22"/>
                  </w:rPr>
                  <w:fldChar w:fldCharType="begin"/>
                </w:r>
                <w:r w:rsidR="006657FF">
                  <w:rPr>
                    <w:rFonts w:asciiTheme="minorHAnsi" w:hAnsiTheme="minorHAnsi" w:cstheme="minorHAnsi"/>
                    <w:sz w:val="22"/>
                    <w:szCs w:val="22"/>
                  </w:rPr>
                  <w:instrText xml:space="preserve">CITATION Aus25 \l 3081 </w:instrText>
                </w:r>
                <w:r w:rsidR="006657FF">
                  <w:rPr>
                    <w:rFonts w:asciiTheme="minorHAnsi" w:hAnsiTheme="minorHAnsi" w:cstheme="minorHAnsi"/>
                    <w:sz w:val="22"/>
                    <w:szCs w:val="22"/>
                  </w:rPr>
                  <w:fldChar w:fldCharType="separate"/>
                </w:r>
                <w:r w:rsidR="00490B21" w:rsidRPr="00490B21">
                  <w:rPr>
                    <w:rFonts w:asciiTheme="minorHAnsi" w:hAnsiTheme="minorHAnsi" w:cstheme="minorHAnsi"/>
                    <w:noProof/>
                    <w:sz w:val="22"/>
                    <w:szCs w:val="22"/>
                  </w:rPr>
                  <w:t>(Australian Bureau of Statistics, 2024)</w:t>
                </w:r>
                <w:r w:rsidR="006657FF">
                  <w:rPr>
                    <w:rFonts w:asciiTheme="minorHAnsi" w:hAnsiTheme="minorHAnsi" w:cstheme="minorHAnsi"/>
                    <w:sz w:val="22"/>
                    <w:szCs w:val="22"/>
                  </w:rPr>
                  <w:fldChar w:fldCharType="end"/>
                </w:r>
              </w:sdtContent>
            </w:sdt>
            <w:r w:rsidRPr="00DE6A4F">
              <w:rPr>
                <w:rFonts w:asciiTheme="minorHAnsi" w:hAnsiTheme="minorHAnsi" w:cstheme="minorHAnsi"/>
                <w:sz w:val="22"/>
                <w:szCs w:val="22"/>
              </w:rPr>
              <w:t>.</w:t>
            </w:r>
          </w:p>
          <w:p w14:paraId="4BFA4B75" w14:textId="77777777" w:rsidR="00087C4A" w:rsidRPr="00DE6A4F" w:rsidRDefault="00087C4A" w:rsidP="00DE6A4F">
            <w:pPr>
              <w:pStyle w:val="TableNBullet"/>
              <w:numPr>
                <w:ilvl w:val="0"/>
                <w:numId w:val="0"/>
              </w:numPr>
              <w:ind w:left="63"/>
              <w:rPr>
                <w:rFonts w:asciiTheme="minorHAnsi" w:hAnsiTheme="minorHAnsi" w:cstheme="minorHAnsi"/>
                <w:sz w:val="22"/>
                <w:szCs w:val="22"/>
              </w:rPr>
            </w:pPr>
            <w:r w:rsidRPr="00DE6A4F">
              <w:rPr>
                <w:rFonts w:asciiTheme="minorHAnsi" w:hAnsiTheme="minorHAnsi" w:cstheme="minorHAnsi"/>
                <w:sz w:val="22"/>
                <w:szCs w:val="22"/>
              </w:rPr>
              <w:t xml:space="preserve">The following inputs have been sourced from a public submission made by </w:t>
            </w:r>
            <w:r w:rsidRPr="00DE6A4F" w:rsidDel="0073536E">
              <w:rPr>
                <w:rFonts w:asciiTheme="minorHAnsi" w:hAnsiTheme="minorHAnsi" w:cstheme="minorHAnsi"/>
                <w:sz w:val="22"/>
                <w:szCs w:val="22"/>
              </w:rPr>
              <w:t>ACCI:</w:t>
            </w:r>
          </w:p>
          <w:p w14:paraId="3C937465" w14:textId="5C2D932E" w:rsidR="002D07B2" w:rsidRPr="002D07B2" w:rsidRDefault="00087C4A" w:rsidP="00A2768E">
            <w:pPr>
              <w:pStyle w:val="ListParagraph"/>
              <w:numPr>
                <w:ilvl w:val="0"/>
                <w:numId w:val="132"/>
              </w:numPr>
              <w:ind w:left="602" w:hanging="318"/>
            </w:pPr>
            <w:r w:rsidRPr="00993B73">
              <w:t>The weighted-average incremental annual cost per control measure or management practice (by cost item and business size category).</w:t>
            </w:r>
          </w:p>
        </w:tc>
      </w:tr>
      <w:tr w:rsidR="00BE176A" w:rsidRPr="002D07B2" w14:paraId="6E087A43" w14:textId="77777777" w:rsidTr="008737F2">
        <w:trPr>
          <w:trHeight w:val="265"/>
        </w:trPr>
        <w:tc>
          <w:tcPr>
            <w:tcW w:w="1980" w:type="dxa"/>
            <w:shd w:val="clear" w:color="auto" w:fill="4877E0" w:themeFill="accent1"/>
          </w:tcPr>
          <w:p w14:paraId="141DD315" w14:textId="77777777" w:rsidR="00BE176A" w:rsidRPr="00DE6A4F" w:rsidRDefault="00BE176A" w:rsidP="00DE6A4F">
            <w:pPr>
              <w:rPr>
                <w:b/>
                <w:bCs/>
                <w:color w:val="FFFFFF" w:themeColor="background1"/>
              </w:rPr>
            </w:pPr>
            <w:r w:rsidRPr="00DE6A4F">
              <w:rPr>
                <w:b/>
                <w:bCs/>
                <w:color w:val="FFFFFF" w:themeColor="background1"/>
              </w:rPr>
              <w:lastRenderedPageBreak/>
              <w:t>Methodology</w:t>
            </w:r>
          </w:p>
        </w:tc>
        <w:tc>
          <w:tcPr>
            <w:tcW w:w="7438" w:type="dxa"/>
          </w:tcPr>
          <w:p w14:paraId="1D004B60" w14:textId="77777777" w:rsidR="00BE176A" w:rsidRPr="00D9749F" w:rsidRDefault="00BE176A" w:rsidP="00BE176A">
            <w:pPr>
              <w:pStyle w:val="TableNText"/>
              <w:rPr>
                <w:rFonts w:asciiTheme="minorHAnsi" w:hAnsiTheme="minorHAnsi" w:cstheme="minorHAnsi"/>
                <w:sz w:val="22"/>
                <w:lang w:eastAsia="en-AU"/>
              </w:rPr>
            </w:pPr>
            <w:r w:rsidRPr="00D9749F">
              <w:rPr>
                <w:rFonts w:asciiTheme="minorHAnsi" w:hAnsiTheme="minorHAnsi" w:cstheme="minorHAnsi"/>
                <w:sz w:val="22"/>
                <w:lang w:eastAsia="en-AU"/>
              </w:rPr>
              <w:t>The standardised cost to businesses of complying with the proposed WEL is calculated using the following formula:</w:t>
            </w:r>
          </w:p>
          <w:p w14:paraId="2F58580D" w14:textId="77777777" w:rsidR="00BE176A" w:rsidRPr="00D9749F" w:rsidRDefault="00BE176A" w:rsidP="00BE176A">
            <w:pPr>
              <w:pStyle w:val="TableNText"/>
              <w:rPr>
                <w:rFonts w:asciiTheme="minorHAnsi" w:hAnsiTheme="minorHAnsi" w:cstheme="minorHAnsi"/>
                <w:sz w:val="22"/>
                <w:lang w:eastAsia="en-AU"/>
              </w:rPr>
            </w:pPr>
            <w:r w:rsidRPr="00D9749F">
              <w:rPr>
                <w:rFonts w:asciiTheme="minorHAnsi" w:hAnsiTheme="minorHAnsi" w:cstheme="minorHAnsi"/>
                <w:sz w:val="22"/>
                <w:lang w:eastAsia="en-AU"/>
              </w:rPr>
              <w:t>1. The standardised costs are a weighting of the ACCI and Decision RIS standardised costs.</w:t>
            </w:r>
          </w:p>
          <w:p w14:paraId="6B36AAB6" w14:textId="77777777" w:rsidR="00BE176A" w:rsidRPr="00D9749F" w:rsidRDefault="002A11AD" w:rsidP="00BE176A">
            <w:pPr>
              <w:rPr>
                <w:rFonts w:asciiTheme="minorHAnsi" w:hAnsiTheme="minorHAnsi" w:cstheme="minorHAnsi"/>
                <w:b/>
                <w:i/>
                <w:szCs w:val="22"/>
                <w:lang w:eastAsia="en-AU"/>
              </w:rPr>
            </w:pPr>
            <m:oMath>
              <m:sSub>
                <m:sSubPr>
                  <m:ctrlPr>
                    <w:rPr>
                      <w:rFonts w:ascii="Cambria Math" w:hAnsi="Cambria Math" w:cstheme="minorHAnsi"/>
                      <w:b/>
                      <w:bCs/>
                      <w:i/>
                      <w:szCs w:val="22"/>
                      <w:lang w:eastAsia="en-AU"/>
                    </w:rPr>
                  </m:ctrlPr>
                </m:sSubPr>
                <m:e>
                  <m:r>
                    <m:rPr>
                      <m:sty m:val="bi"/>
                    </m:rPr>
                    <w:rPr>
                      <w:rFonts w:ascii="Cambria Math" w:hAnsi="Cambria Math" w:cstheme="minorHAnsi"/>
                      <w:szCs w:val="22"/>
                      <w:lang w:eastAsia="en-AU"/>
                    </w:rPr>
                    <m:t>Cost</m:t>
                  </m:r>
                </m:e>
                <m:sub>
                  <m:r>
                    <m:rPr>
                      <m:sty m:val="bi"/>
                    </m:rPr>
                    <w:rPr>
                      <w:rFonts w:ascii="Cambria Math" w:hAnsi="Cambria Math" w:cstheme="minorHAnsi"/>
                      <w:szCs w:val="22"/>
                      <w:lang w:eastAsia="en-AU"/>
                    </w:rPr>
                    <m:t>STD</m:t>
                  </m:r>
                </m:sub>
              </m:sSub>
              <m:r>
                <m:rPr>
                  <m:sty m:val="bi"/>
                </m:rPr>
                <w:rPr>
                  <w:rFonts w:ascii="Cambria Math" w:hAnsi="Cambria Math" w:cstheme="minorHAnsi"/>
                  <w:szCs w:val="22"/>
                  <w:lang w:eastAsia="en-AU"/>
                </w:rPr>
                <m:t>=</m:t>
              </m:r>
              <m:r>
                <m:rPr>
                  <m:sty m:val="bi"/>
                </m:rPr>
                <w:rPr>
                  <w:rFonts w:ascii="Cambria Math" w:hAnsi="Cambria Math" w:cstheme="minorHAnsi"/>
                  <w:szCs w:val="22"/>
                  <w:lang w:eastAsia="en-AU"/>
                </w:rPr>
                <m:t>DRIS</m:t>
              </m:r>
              <m:r>
                <m:rPr>
                  <m:sty m:val="bi"/>
                </m:rPr>
                <w:rPr>
                  <w:rFonts w:ascii="Cambria Math" w:hAnsi="Cambria Math" w:cstheme="minorHAnsi"/>
                  <w:szCs w:val="22"/>
                  <w:lang w:eastAsia="en-AU"/>
                </w:rPr>
                <m:t xml:space="preserve"> </m:t>
              </m:r>
              <m:sSub>
                <m:sSubPr>
                  <m:ctrlPr>
                    <w:rPr>
                      <w:rFonts w:ascii="Cambria Math" w:hAnsi="Cambria Math" w:cstheme="minorHAnsi"/>
                      <w:b/>
                      <w:bCs/>
                      <w:i/>
                      <w:szCs w:val="22"/>
                      <w:lang w:eastAsia="en-AU"/>
                    </w:rPr>
                  </m:ctrlPr>
                </m:sSubPr>
                <m:e>
                  <m:r>
                    <m:rPr>
                      <m:sty m:val="bi"/>
                    </m:rPr>
                    <w:rPr>
                      <w:rFonts w:ascii="Cambria Math" w:hAnsi="Cambria Math" w:cstheme="minorHAnsi"/>
                      <w:szCs w:val="22"/>
                      <w:lang w:eastAsia="en-AU"/>
                    </w:rPr>
                    <m:t>Cost</m:t>
                  </m:r>
                </m:e>
                <m:sub>
                  <m:r>
                    <m:rPr>
                      <m:sty m:val="bi"/>
                    </m:rPr>
                    <w:rPr>
                      <w:rFonts w:ascii="Cambria Math" w:hAnsi="Cambria Math" w:cstheme="minorHAnsi"/>
                      <w:szCs w:val="22"/>
                      <w:lang w:eastAsia="en-AU"/>
                    </w:rPr>
                    <m:t>STD</m:t>
                  </m:r>
                </m:sub>
              </m:sSub>
              <m:r>
                <m:rPr>
                  <m:sty m:val="bi"/>
                </m:rPr>
                <w:rPr>
                  <w:rFonts w:ascii="Cambria Math" w:hAnsi="Cambria Math" w:cstheme="minorHAnsi"/>
                  <w:szCs w:val="22"/>
                  <w:lang w:eastAsia="en-AU"/>
                </w:rPr>
                <m:t>×</m:t>
              </m:r>
              <m:sSub>
                <m:sSubPr>
                  <m:ctrlPr>
                    <w:rPr>
                      <w:rFonts w:ascii="Cambria Math" w:hAnsi="Cambria Math" w:cstheme="minorHAnsi"/>
                      <w:b/>
                      <w:bCs/>
                      <w:i/>
                      <w:szCs w:val="22"/>
                      <w:lang w:eastAsia="en-AU"/>
                    </w:rPr>
                  </m:ctrlPr>
                </m:sSubPr>
                <m:e>
                  <m:r>
                    <m:rPr>
                      <m:sty m:val="bi"/>
                    </m:rPr>
                    <w:rPr>
                      <w:rFonts w:ascii="Cambria Math" w:hAnsi="Cambria Math" w:cstheme="minorHAnsi"/>
                      <w:szCs w:val="22"/>
                      <w:lang w:eastAsia="en-AU"/>
                    </w:rPr>
                    <m:t>Weighting</m:t>
                  </m:r>
                </m:e>
                <m:sub>
                  <m:r>
                    <m:rPr>
                      <m:sty m:val="bi"/>
                    </m:rPr>
                    <w:rPr>
                      <w:rFonts w:ascii="Cambria Math" w:hAnsi="Cambria Math" w:cstheme="minorHAnsi"/>
                      <w:szCs w:val="22"/>
                      <w:lang w:eastAsia="en-AU"/>
                    </w:rPr>
                    <m:t>DRIS</m:t>
                  </m:r>
                </m:sub>
              </m:sSub>
              <m:r>
                <m:rPr>
                  <m:sty m:val="bi"/>
                </m:rPr>
                <w:rPr>
                  <w:rFonts w:ascii="Cambria Math" w:hAnsi="Cambria Math" w:cstheme="minorHAnsi"/>
                  <w:szCs w:val="22"/>
                  <w:lang w:eastAsia="en-AU"/>
                </w:rPr>
                <m:t>+</m:t>
              </m:r>
              <m:r>
                <m:rPr>
                  <m:sty m:val="bi"/>
                </m:rPr>
                <w:rPr>
                  <w:rFonts w:ascii="Cambria Math" w:hAnsi="Cambria Math" w:cstheme="minorHAnsi"/>
                  <w:szCs w:val="22"/>
                  <w:lang w:eastAsia="en-AU"/>
                </w:rPr>
                <m:t>ACCI</m:t>
              </m:r>
              <m:r>
                <m:rPr>
                  <m:sty m:val="bi"/>
                </m:rPr>
                <w:rPr>
                  <w:rFonts w:ascii="Cambria Math" w:hAnsi="Cambria Math" w:cstheme="minorHAnsi"/>
                  <w:szCs w:val="22"/>
                  <w:lang w:eastAsia="en-AU"/>
                </w:rPr>
                <m:t xml:space="preserve"> </m:t>
              </m:r>
              <m:sSub>
                <m:sSubPr>
                  <m:ctrlPr>
                    <w:rPr>
                      <w:rFonts w:ascii="Cambria Math" w:hAnsi="Cambria Math" w:cstheme="minorHAnsi"/>
                      <w:b/>
                      <w:bCs/>
                      <w:i/>
                      <w:szCs w:val="22"/>
                      <w:lang w:eastAsia="en-AU"/>
                    </w:rPr>
                  </m:ctrlPr>
                </m:sSubPr>
                <m:e>
                  <m:r>
                    <m:rPr>
                      <m:sty m:val="bi"/>
                    </m:rPr>
                    <w:rPr>
                      <w:rFonts w:ascii="Cambria Math" w:hAnsi="Cambria Math" w:cstheme="minorHAnsi"/>
                      <w:szCs w:val="22"/>
                      <w:lang w:eastAsia="en-AU"/>
                    </w:rPr>
                    <m:t>Cost</m:t>
                  </m:r>
                </m:e>
                <m:sub>
                  <m:r>
                    <m:rPr>
                      <m:sty m:val="bi"/>
                    </m:rPr>
                    <w:rPr>
                      <w:rFonts w:ascii="Cambria Math" w:hAnsi="Cambria Math" w:cstheme="minorHAnsi"/>
                      <w:szCs w:val="22"/>
                      <w:lang w:eastAsia="en-AU"/>
                    </w:rPr>
                    <m:t>STD</m:t>
                  </m:r>
                </m:sub>
              </m:sSub>
              <m:r>
                <m:rPr>
                  <m:sty m:val="bi"/>
                </m:rPr>
                <w:rPr>
                  <w:rFonts w:ascii="Cambria Math" w:hAnsi="Cambria Math" w:cstheme="minorHAnsi"/>
                  <w:szCs w:val="22"/>
                  <w:lang w:eastAsia="en-AU"/>
                </w:rPr>
                <m:t>×</m:t>
              </m:r>
              <m:sSub>
                <m:sSubPr>
                  <m:ctrlPr>
                    <w:rPr>
                      <w:rFonts w:ascii="Cambria Math" w:hAnsi="Cambria Math" w:cstheme="minorHAnsi"/>
                      <w:b/>
                      <w:bCs/>
                      <w:i/>
                      <w:szCs w:val="22"/>
                      <w:lang w:eastAsia="en-AU"/>
                    </w:rPr>
                  </m:ctrlPr>
                </m:sSubPr>
                <m:e>
                  <m:r>
                    <m:rPr>
                      <m:sty m:val="bi"/>
                    </m:rPr>
                    <w:rPr>
                      <w:rFonts w:ascii="Cambria Math" w:hAnsi="Cambria Math" w:cstheme="minorHAnsi"/>
                      <w:szCs w:val="22"/>
                      <w:lang w:eastAsia="en-AU"/>
                    </w:rPr>
                    <m:t>Weighting</m:t>
                  </m:r>
                </m:e>
                <m:sub>
                  <m:r>
                    <m:rPr>
                      <m:sty m:val="bi"/>
                    </m:rPr>
                    <w:rPr>
                      <w:rFonts w:ascii="Cambria Math" w:hAnsi="Cambria Math" w:cstheme="minorHAnsi"/>
                      <w:szCs w:val="22"/>
                      <w:lang w:eastAsia="en-AU"/>
                    </w:rPr>
                    <m:t>ACCI</m:t>
                  </m:r>
                </m:sub>
              </m:sSub>
            </m:oMath>
            <w:r w:rsidR="00BE176A" w:rsidRPr="00D9749F">
              <w:rPr>
                <w:rStyle w:val="TableNTextChar"/>
                <w:rFonts w:asciiTheme="minorHAnsi" w:hAnsiTheme="minorHAnsi" w:cstheme="minorHAnsi"/>
                <w:b/>
                <w:bCs/>
                <w:sz w:val="22"/>
                <w:szCs w:val="22"/>
              </w:rPr>
              <w:t xml:space="preserve"> </w:t>
            </w:r>
          </w:p>
          <w:p w14:paraId="2B3FE69A" w14:textId="77777777" w:rsidR="00BE176A" w:rsidRPr="00D9749F" w:rsidRDefault="00BE176A" w:rsidP="00BE176A">
            <w:pPr>
              <w:pStyle w:val="TableNText"/>
              <w:rPr>
                <w:rFonts w:asciiTheme="minorHAnsi" w:eastAsiaTheme="minorEastAsia" w:hAnsiTheme="minorHAnsi" w:cstheme="minorHAnsi"/>
                <w:iCs/>
                <w:sz w:val="22"/>
                <w:lang w:eastAsia="en-AU"/>
              </w:rPr>
            </w:pPr>
            <w:r w:rsidRPr="00D9749F">
              <w:rPr>
                <w:rFonts w:asciiTheme="minorHAnsi" w:eastAsiaTheme="minorEastAsia" w:hAnsiTheme="minorHAnsi" w:cstheme="minorHAnsi"/>
                <w:iCs/>
                <w:sz w:val="22"/>
                <w:lang w:eastAsia="en-AU"/>
              </w:rPr>
              <w:t>2. The Decision RIS weighted-average annualised costs are proportioned by the incremental average number of control measures or management practices per businesses between the intervention case and base case.</w:t>
            </w:r>
          </w:p>
          <w:p w14:paraId="4D7E7DBB" w14:textId="77777777" w:rsidR="00BE176A" w:rsidRPr="00D9749F" w:rsidRDefault="00073EA1" w:rsidP="00BE176A">
            <w:pPr>
              <w:pStyle w:val="TableNText"/>
              <w:rPr>
                <w:rStyle w:val="TableNTextChar"/>
                <w:rFonts w:asciiTheme="minorHAnsi" w:hAnsiTheme="minorHAnsi" w:cstheme="minorHAnsi"/>
                <w:sz w:val="22"/>
              </w:rPr>
            </w:pPr>
            <m:oMath>
              <m:r>
                <w:rPr>
                  <w:rFonts w:ascii="Cambria Math" w:hAnsi="Cambria Math" w:cstheme="minorHAnsi"/>
                  <w:sz w:val="22"/>
                  <w:lang w:eastAsia="en-AU"/>
                </w:rPr>
                <m:t xml:space="preserve">DRIS </m:t>
              </m:r>
              <m:sSub>
                <m:sSubPr>
                  <m:ctrlPr>
                    <w:rPr>
                      <w:rFonts w:ascii="Cambria Math" w:hAnsi="Cambria Math" w:cstheme="minorHAnsi"/>
                      <w:i/>
                      <w:sz w:val="22"/>
                      <w:lang w:eastAsia="en-AU"/>
                    </w:rPr>
                  </m:ctrlPr>
                </m:sSubPr>
                <m:e>
                  <m:r>
                    <w:rPr>
                      <w:rFonts w:ascii="Cambria Math" w:hAnsi="Cambria Math" w:cstheme="minorHAnsi"/>
                      <w:sz w:val="22"/>
                      <w:lang w:eastAsia="en-AU"/>
                    </w:rPr>
                    <m:t>Cost</m:t>
                  </m:r>
                </m:e>
                <m:sub>
                  <m:r>
                    <w:rPr>
                      <w:rFonts w:ascii="Cambria Math" w:hAnsi="Cambria Math" w:cstheme="minorHAnsi"/>
                      <w:sz w:val="22"/>
                      <w:lang w:eastAsia="en-AU"/>
                    </w:rPr>
                    <m:t>STD</m:t>
                  </m:r>
                </m:sub>
              </m:sSub>
              <m:r>
                <w:rPr>
                  <w:rFonts w:ascii="Cambria Math" w:hAnsi="Cambria Math" w:cstheme="minorHAnsi"/>
                  <w:sz w:val="22"/>
                  <w:lang w:eastAsia="en-AU"/>
                </w:rPr>
                <m:t>=</m:t>
              </m:r>
              <m:nary>
                <m:naryPr>
                  <m:chr m:val="∑"/>
                  <m:limLoc m:val="undOvr"/>
                  <m:ctrlPr>
                    <w:rPr>
                      <w:rFonts w:ascii="Cambria Math" w:hAnsi="Cambria Math" w:cstheme="minorHAnsi"/>
                      <w:i/>
                      <w:sz w:val="22"/>
                      <w:lang w:eastAsia="en-AU"/>
                    </w:rPr>
                  </m:ctrlPr>
                </m:naryPr>
                <m:sub>
                  <m:r>
                    <w:rPr>
                      <w:rFonts w:ascii="Cambria Math" w:hAnsi="Cambria Math" w:cstheme="minorHAnsi"/>
                      <w:sz w:val="22"/>
                      <w:lang w:eastAsia="en-AU"/>
                    </w:rPr>
                    <m:t>CI</m:t>
                  </m:r>
                </m:sub>
                <m:sup>
                  <m:r>
                    <w:rPr>
                      <w:rFonts w:ascii="Cambria Math" w:hAnsi="Cambria Math" w:cstheme="minorHAnsi"/>
                      <w:sz w:val="22"/>
                      <w:lang w:eastAsia="en-AU"/>
                    </w:rPr>
                    <m:t>S</m:t>
                  </m:r>
                </m:sup>
                <m:e>
                  <m:r>
                    <w:rPr>
                      <w:rFonts w:ascii="Cambria Math" w:hAnsi="Cambria Math" w:cstheme="minorHAnsi"/>
                      <w:sz w:val="22"/>
                      <w:lang w:eastAsia="en-AU"/>
                    </w:rPr>
                    <m:t xml:space="preserve"> </m:t>
                  </m:r>
                  <m:sSubSup>
                    <m:sSubSupPr>
                      <m:ctrlPr>
                        <w:rPr>
                          <w:rFonts w:ascii="Cambria Math" w:hAnsi="Cambria Math" w:cstheme="minorHAnsi"/>
                          <w:i/>
                          <w:sz w:val="22"/>
                          <w:lang w:eastAsia="en-AU"/>
                        </w:rPr>
                      </m:ctrlPr>
                    </m:sSubSupPr>
                    <m:e>
                      <m:r>
                        <w:rPr>
                          <w:rFonts w:ascii="Cambria Math" w:hAnsi="Cambria Math" w:cstheme="minorHAnsi"/>
                          <w:sz w:val="22"/>
                          <w:lang w:eastAsia="en-AU"/>
                        </w:rPr>
                        <m:t>WAAC</m:t>
                      </m:r>
                    </m:e>
                    <m:sub>
                      <m:r>
                        <w:rPr>
                          <w:rFonts w:ascii="Cambria Math" w:hAnsi="Cambria Math" w:cstheme="minorHAnsi"/>
                          <w:sz w:val="22"/>
                          <w:lang w:eastAsia="en-AU"/>
                        </w:rPr>
                        <m:t>CI</m:t>
                      </m:r>
                    </m:sub>
                    <m:sup>
                      <m:r>
                        <w:rPr>
                          <w:rFonts w:ascii="Cambria Math" w:hAnsi="Cambria Math" w:cstheme="minorHAnsi"/>
                          <w:sz w:val="22"/>
                          <w:lang w:eastAsia="en-AU"/>
                        </w:rPr>
                        <m:t>S</m:t>
                      </m:r>
                    </m:sup>
                  </m:sSubSup>
                </m:e>
              </m:nary>
              <m:r>
                <w:rPr>
                  <w:rFonts w:ascii="Cambria Math" w:hAnsi="Cambria Math" w:cstheme="minorHAnsi"/>
                  <w:sz w:val="22"/>
                  <w:lang w:eastAsia="en-AU"/>
                </w:rPr>
                <m:t>×</m:t>
              </m:r>
              <m:d>
                <m:dPr>
                  <m:begChr m:val="["/>
                  <m:endChr m:val="]"/>
                  <m:ctrlPr>
                    <w:rPr>
                      <w:rFonts w:ascii="Cambria Math" w:hAnsi="Cambria Math" w:cstheme="minorHAnsi"/>
                      <w:i/>
                      <w:sz w:val="22"/>
                      <w:lang w:eastAsia="en-AU"/>
                    </w:rPr>
                  </m:ctrlPr>
                </m:dPr>
                <m:e>
                  <m:d>
                    <m:dPr>
                      <m:ctrlPr>
                        <w:rPr>
                          <w:rFonts w:ascii="Cambria Math" w:hAnsi="Cambria Math" w:cstheme="minorHAnsi"/>
                          <w:i/>
                          <w:sz w:val="22"/>
                          <w:lang w:eastAsia="en-AU"/>
                        </w:rPr>
                      </m:ctrlPr>
                    </m:dPr>
                    <m:e>
                      <m:sSubSup>
                        <m:sSubSupPr>
                          <m:ctrlPr>
                            <w:rPr>
                              <w:rFonts w:ascii="Cambria Math" w:hAnsi="Cambria Math" w:cstheme="minorHAnsi"/>
                              <w:i/>
                              <w:sz w:val="22"/>
                              <w:lang w:eastAsia="en-AU"/>
                            </w:rPr>
                          </m:ctrlPr>
                        </m:sSubSupPr>
                        <m:e>
                          <m:r>
                            <w:rPr>
                              <w:rFonts w:ascii="Cambria Math" w:hAnsi="Cambria Math" w:cstheme="minorHAnsi"/>
                              <w:sz w:val="22"/>
                              <w:lang w:eastAsia="en-AU"/>
                            </w:rPr>
                            <m:t>PB</m:t>
                          </m:r>
                        </m:e>
                        <m:sub>
                          <m:r>
                            <w:rPr>
                              <w:rFonts w:ascii="Cambria Math" w:hAnsi="Cambria Math" w:cstheme="minorHAnsi"/>
                              <w:sz w:val="22"/>
                              <w:lang w:eastAsia="en-AU"/>
                            </w:rPr>
                            <m:t>S</m:t>
                          </m:r>
                        </m:sub>
                        <m:sup>
                          <m:r>
                            <w:rPr>
                              <w:rFonts w:ascii="Cambria Math" w:hAnsi="Cambria Math" w:cstheme="minorHAnsi"/>
                              <w:sz w:val="22"/>
                              <w:lang w:eastAsia="en-AU"/>
                            </w:rPr>
                            <m:t>IC</m:t>
                          </m:r>
                        </m:sup>
                      </m:sSubSup>
                      <m:r>
                        <w:rPr>
                          <w:rFonts w:ascii="Cambria Math" w:hAnsi="Cambria Math" w:cstheme="minorHAnsi"/>
                          <w:sz w:val="22"/>
                          <w:lang w:eastAsia="en-AU"/>
                        </w:rPr>
                        <m:t>×</m:t>
                      </m:r>
                      <m:sSubSup>
                        <m:sSubSupPr>
                          <m:ctrlPr>
                            <w:rPr>
                              <w:rFonts w:ascii="Cambria Math" w:hAnsi="Cambria Math" w:cstheme="minorHAnsi"/>
                              <w:i/>
                              <w:sz w:val="22"/>
                              <w:lang w:eastAsia="en-AU"/>
                            </w:rPr>
                          </m:ctrlPr>
                        </m:sSubSupPr>
                        <m:e>
                          <m:r>
                            <w:rPr>
                              <w:rFonts w:ascii="Cambria Math" w:hAnsi="Cambria Math" w:cstheme="minorHAnsi"/>
                              <w:sz w:val="22"/>
                              <w:lang w:eastAsia="en-AU"/>
                            </w:rPr>
                            <m:t>NCI</m:t>
                          </m:r>
                        </m:e>
                        <m:sub>
                          <m:r>
                            <w:rPr>
                              <w:rFonts w:ascii="Cambria Math" w:hAnsi="Cambria Math" w:cstheme="minorHAnsi"/>
                              <w:sz w:val="22"/>
                              <w:lang w:eastAsia="en-AU"/>
                            </w:rPr>
                            <m:t>S</m:t>
                          </m:r>
                        </m:sub>
                        <m:sup>
                          <m:r>
                            <w:rPr>
                              <w:rFonts w:ascii="Cambria Math" w:hAnsi="Cambria Math" w:cstheme="minorHAnsi"/>
                              <w:sz w:val="22"/>
                              <w:lang w:eastAsia="en-AU"/>
                            </w:rPr>
                            <m:t>IC</m:t>
                          </m:r>
                        </m:sup>
                      </m:sSubSup>
                    </m:e>
                  </m:d>
                  <m:r>
                    <w:rPr>
                      <w:rFonts w:ascii="Cambria Math" w:hAnsi="Cambria Math" w:cstheme="minorHAnsi"/>
                      <w:sz w:val="22"/>
                      <w:lang w:eastAsia="en-AU"/>
                    </w:rPr>
                    <m:t>-</m:t>
                  </m:r>
                  <m:d>
                    <m:dPr>
                      <m:ctrlPr>
                        <w:rPr>
                          <w:rFonts w:ascii="Cambria Math" w:hAnsi="Cambria Math" w:cstheme="minorHAnsi"/>
                          <w:i/>
                          <w:sz w:val="22"/>
                          <w:lang w:eastAsia="en-AU"/>
                        </w:rPr>
                      </m:ctrlPr>
                    </m:dPr>
                    <m:e>
                      <m:sSubSup>
                        <m:sSubSupPr>
                          <m:ctrlPr>
                            <w:rPr>
                              <w:rFonts w:ascii="Cambria Math" w:hAnsi="Cambria Math" w:cstheme="minorHAnsi"/>
                              <w:i/>
                              <w:sz w:val="22"/>
                              <w:lang w:eastAsia="en-AU"/>
                            </w:rPr>
                          </m:ctrlPr>
                        </m:sSubSupPr>
                        <m:e>
                          <m:r>
                            <w:rPr>
                              <w:rFonts w:ascii="Cambria Math" w:hAnsi="Cambria Math" w:cstheme="minorHAnsi"/>
                              <w:sz w:val="22"/>
                              <w:lang w:eastAsia="en-AU"/>
                            </w:rPr>
                            <m:t>PB</m:t>
                          </m:r>
                        </m:e>
                        <m:sub>
                          <m:r>
                            <w:rPr>
                              <w:rFonts w:ascii="Cambria Math" w:hAnsi="Cambria Math" w:cstheme="minorHAnsi"/>
                              <w:sz w:val="22"/>
                              <w:lang w:eastAsia="en-AU"/>
                            </w:rPr>
                            <m:t>S</m:t>
                          </m:r>
                        </m:sub>
                        <m:sup>
                          <m:r>
                            <w:rPr>
                              <w:rFonts w:ascii="Cambria Math" w:hAnsi="Cambria Math" w:cstheme="minorHAnsi"/>
                              <w:sz w:val="22"/>
                              <w:lang w:eastAsia="en-AU"/>
                            </w:rPr>
                            <m:t>BC</m:t>
                          </m:r>
                        </m:sup>
                      </m:sSubSup>
                      <m:r>
                        <w:rPr>
                          <w:rFonts w:ascii="Cambria Math" w:hAnsi="Cambria Math" w:cstheme="minorHAnsi"/>
                          <w:sz w:val="22"/>
                          <w:lang w:eastAsia="en-AU"/>
                        </w:rPr>
                        <m:t>×</m:t>
                      </m:r>
                      <m:sSubSup>
                        <m:sSubSupPr>
                          <m:ctrlPr>
                            <w:rPr>
                              <w:rFonts w:ascii="Cambria Math" w:hAnsi="Cambria Math" w:cstheme="minorHAnsi"/>
                              <w:i/>
                              <w:sz w:val="22"/>
                              <w:lang w:eastAsia="en-AU"/>
                            </w:rPr>
                          </m:ctrlPr>
                        </m:sSubSupPr>
                        <m:e>
                          <m:r>
                            <w:rPr>
                              <w:rFonts w:ascii="Cambria Math" w:hAnsi="Cambria Math" w:cstheme="minorHAnsi"/>
                              <w:sz w:val="22"/>
                              <w:lang w:eastAsia="en-AU"/>
                            </w:rPr>
                            <m:t>NCI</m:t>
                          </m:r>
                        </m:e>
                        <m:sub>
                          <m:r>
                            <w:rPr>
                              <w:rFonts w:ascii="Cambria Math" w:hAnsi="Cambria Math" w:cstheme="minorHAnsi"/>
                              <w:sz w:val="22"/>
                              <w:lang w:eastAsia="en-AU"/>
                            </w:rPr>
                            <m:t>S</m:t>
                          </m:r>
                        </m:sub>
                        <m:sup>
                          <m:r>
                            <w:rPr>
                              <w:rFonts w:ascii="Cambria Math" w:hAnsi="Cambria Math" w:cstheme="minorHAnsi"/>
                              <w:sz w:val="22"/>
                              <w:lang w:eastAsia="en-AU"/>
                            </w:rPr>
                            <m:t>BC</m:t>
                          </m:r>
                        </m:sup>
                      </m:sSubSup>
                    </m:e>
                  </m:d>
                </m:e>
              </m:d>
              <m:r>
                <w:rPr>
                  <w:rFonts w:ascii="Cambria Math" w:hAnsi="Cambria Math" w:cstheme="minorHAnsi"/>
                  <w:sz w:val="22"/>
                  <w:lang w:eastAsia="en-AU"/>
                </w:rPr>
                <m:t xml:space="preserve"> </m:t>
              </m:r>
            </m:oMath>
            <w:r w:rsidR="00BE176A" w:rsidRPr="00D9749F">
              <w:rPr>
                <w:rStyle w:val="TableNTextChar"/>
                <w:rFonts w:asciiTheme="minorHAnsi" w:hAnsiTheme="minorHAnsi" w:cstheme="minorHAnsi"/>
                <w:sz w:val="22"/>
              </w:rPr>
              <w:t>,</w:t>
            </w:r>
          </w:p>
          <w:p w14:paraId="08AA5C55" w14:textId="77777777" w:rsidR="00BE176A" w:rsidRPr="00D9749F" w:rsidRDefault="00BE176A" w:rsidP="00BE176A">
            <w:pPr>
              <w:pStyle w:val="TableNText"/>
              <w:rPr>
                <w:rStyle w:val="TableNTextChar"/>
                <w:rFonts w:asciiTheme="minorHAnsi" w:hAnsiTheme="minorHAnsi" w:cstheme="minorHAnsi"/>
                <w:sz w:val="22"/>
              </w:rPr>
            </w:pPr>
            <w:r w:rsidRPr="00D9749F">
              <w:rPr>
                <w:rStyle w:val="TableNTextChar"/>
                <w:rFonts w:asciiTheme="minorHAnsi" w:hAnsiTheme="minorHAnsi" w:cstheme="minorHAnsi"/>
                <w:sz w:val="22"/>
              </w:rPr>
              <w:t>3. The ACCI weighted-average incremental annual costs are proportioned by the Decision RIS’ proportion of businesses using each control measure or management practice in the intervention case.</w:t>
            </w:r>
          </w:p>
          <w:p w14:paraId="0AA4E3DA" w14:textId="77777777" w:rsidR="00BE176A" w:rsidRPr="00D9749F" w:rsidRDefault="00073EA1" w:rsidP="00BE176A">
            <w:pPr>
              <w:pStyle w:val="TableNText"/>
              <w:rPr>
                <w:rStyle w:val="TableNTextChar"/>
                <w:rFonts w:asciiTheme="minorHAnsi" w:hAnsiTheme="minorHAnsi" w:cstheme="minorHAnsi"/>
                <w:sz w:val="22"/>
              </w:rPr>
            </w:pPr>
            <m:oMath>
              <m:r>
                <w:rPr>
                  <w:rFonts w:ascii="Cambria Math" w:hAnsi="Cambria Math" w:cstheme="minorHAnsi"/>
                  <w:sz w:val="22"/>
                  <w:lang w:eastAsia="en-AU"/>
                </w:rPr>
                <m:t xml:space="preserve">ACCI </m:t>
              </m:r>
              <m:sSub>
                <m:sSubPr>
                  <m:ctrlPr>
                    <w:rPr>
                      <w:rFonts w:ascii="Cambria Math" w:hAnsi="Cambria Math" w:cstheme="minorHAnsi"/>
                      <w:i/>
                      <w:sz w:val="22"/>
                      <w:lang w:eastAsia="en-AU"/>
                    </w:rPr>
                  </m:ctrlPr>
                </m:sSubPr>
                <m:e>
                  <m:r>
                    <w:rPr>
                      <w:rFonts w:ascii="Cambria Math" w:hAnsi="Cambria Math" w:cstheme="minorHAnsi"/>
                      <w:sz w:val="22"/>
                      <w:lang w:eastAsia="en-AU"/>
                    </w:rPr>
                    <m:t>Cost</m:t>
                  </m:r>
                </m:e>
                <m:sub>
                  <m:r>
                    <w:rPr>
                      <w:rFonts w:ascii="Cambria Math" w:hAnsi="Cambria Math" w:cstheme="minorHAnsi"/>
                      <w:sz w:val="22"/>
                      <w:lang w:eastAsia="en-AU"/>
                    </w:rPr>
                    <m:t>STD</m:t>
                  </m:r>
                </m:sub>
              </m:sSub>
              <m:r>
                <w:rPr>
                  <w:rFonts w:ascii="Cambria Math" w:hAnsi="Cambria Math" w:cstheme="minorHAnsi"/>
                  <w:sz w:val="22"/>
                  <w:lang w:eastAsia="en-AU"/>
                </w:rPr>
                <m:t xml:space="preserve">= </m:t>
              </m:r>
              <m:nary>
                <m:naryPr>
                  <m:chr m:val="∑"/>
                  <m:limLoc m:val="subSup"/>
                  <m:ctrlPr>
                    <w:rPr>
                      <w:rFonts w:ascii="Cambria Math" w:hAnsi="Cambria Math" w:cstheme="minorHAnsi"/>
                      <w:i/>
                      <w:sz w:val="22"/>
                      <w:lang w:eastAsia="en-AU"/>
                    </w:rPr>
                  </m:ctrlPr>
                </m:naryPr>
                <m:sub>
                  <m:r>
                    <w:rPr>
                      <w:rFonts w:ascii="Cambria Math" w:hAnsi="Cambria Math" w:cstheme="minorHAnsi"/>
                      <w:sz w:val="22"/>
                      <w:lang w:eastAsia="en-AU"/>
                    </w:rPr>
                    <m:t>CI</m:t>
                  </m:r>
                </m:sub>
                <m:sup>
                  <m:r>
                    <w:rPr>
                      <w:rFonts w:ascii="Cambria Math" w:hAnsi="Cambria Math" w:cstheme="minorHAnsi"/>
                      <w:sz w:val="22"/>
                      <w:lang w:eastAsia="en-AU"/>
                    </w:rPr>
                    <m:t>S</m:t>
                  </m:r>
                </m:sup>
                <m:e>
                  <m:sSubSup>
                    <m:sSubSupPr>
                      <m:ctrlPr>
                        <w:rPr>
                          <w:rFonts w:ascii="Cambria Math" w:hAnsi="Cambria Math" w:cstheme="minorHAnsi"/>
                          <w:i/>
                          <w:sz w:val="22"/>
                          <w:lang w:eastAsia="en-AU"/>
                        </w:rPr>
                      </m:ctrlPr>
                    </m:sSubSupPr>
                    <m:e>
                      <m:r>
                        <w:rPr>
                          <w:rFonts w:ascii="Cambria Math" w:hAnsi="Cambria Math" w:cstheme="minorHAnsi"/>
                          <w:sz w:val="22"/>
                          <w:lang w:eastAsia="en-AU"/>
                        </w:rPr>
                        <m:t>WAIAC</m:t>
                      </m:r>
                    </m:e>
                    <m:sub>
                      <m:r>
                        <w:rPr>
                          <w:rFonts w:ascii="Cambria Math" w:hAnsi="Cambria Math" w:cstheme="minorHAnsi"/>
                          <w:sz w:val="22"/>
                          <w:lang w:eastAsia="en-AU"/>
                        </w:rPr>
                        <m:t>CI</m:t>
                      </m:r>
                    </m:sub>
                    <m:sup>
                      <m:r>
                        <w:rPr>
                          <w:rFonts w:ascii="Cambria Math" w:hAnsi="Cambria Math" w:cstheme="minorHAnsi"/>
                          <w:sz w:val="22"/>
                          <w:lang w:eastAsia="en-AU"/>
                        </w:rPr>
                        <m:t>S</m:t>
                      </m:r>
                    </m:sup>
                  </m:sSubSup>
                </m:e>
              </m:nary>
              <m:r>
                <w:rPr>
                  <w:rFonts w:ascii="Cambria Math" w:hAnsi="Cambria Math" w:cstheme="minorHAnsi"/>
                  <w:sz w:val="22"/>
                  <w:lang w:eastAsia="en-AU"/>
                </w:rPr>
                <m:t>×</m:t>
              </m:r>
              <m:sSubSup>
                <m:sSubSupPr>
                  <m:ctrlPr>
                    <w:rPr>
                      <w:rFonts w:ascii="Cambria Math" w:hAnsi="Cambria Math" w:cstheme="minorHAnsi"/>
                      <w:i/>
                      <w:sz w:val="22"/>
                      <w:lang w:eastAsia="en-AU"/>
                    </w:rPr>
                  </m:ctrlPr>
                </m:sSubSupPr>
                <m:e>
                  <m:r>
                    <w:rPr>
                      <w:rFonts w:ascii="Cambria Math" w:hAnsi="Cambria Math" w:cstheme="minorHAnsi"/>
                      <w:sz w:val="22"/>
                      <w:lang w:eastAsia="en-AU"/>
                    </w:rPr>
                    <m:t>PB</m:t>
                  </m:r>
                </m:e>
                <m:sub>
                  <m:r>
                    <w:rPr>
                      <w:rFonts w:ascii="Cambria Math" w:hAnsi="Cambria Math" w:cstheme="minorHAnsi"/>
                      <w:sz w:val="22"/>
                      <w:lang w:eastAsia="en-AU"/>
                    </w:rPr>
                    <m:t>S</m:t>
                  </m:r>
                </m:sub>
                <m:sup>
                  <m:r>
                    <w:rPr>
                      <w:rFonts w:ascii="Cambria Math" w:hAnsi="Cambria Math" w:cstheme="minorHAnsi"/>
                      <w:sz w:val="22"/>
                      <w:lang w:eastAsia="en-AU"/>
                    </w:rPr>
                    <m:t>IC</m:t>
                  </m:r>
                </m:sup>
              </m:sSubSup>
              <m:r>
                <w:rPr>
                  <w:rFonts w:ascii="Cambria Math" w:hAnsi="Cambria Math" w:cstheme="minorHAnsi"/>
                  <w:sz w:val="22"/>
                  <w:lang w:eastAsia="en-AU"/>
                </w:rPr>
                <m:t xml:space="preserve">, </m:t>
              </m:r>
            </m:oMath>
            <w:r w:rsidR="00BE176A" w:rsidRPr="00D9749F">
              <w:rPr>
                <w:rStyle w:val="TableNTextChar"/>
                <w:rFonts w:asciiTheme="minorHAnsi" w:hAnsiTheme="minorHAnsi" w:cstheme="minorHAnsi"/>
                <w:sz w:val="22"/>
              </w:rPr>
              <w:t xml:space="preserve"> </w:t>
            </w:r>
          </w:p>
          <w:p w14:paraId="72C5D3CC" w14:textId="77777777" w:rsidR="00BE176A" w:rsidRPr="00D9749F" w:rsidRDefault="00BE176A" w:rsidP="00BE176A">
            <w:pPr>
              <w:pStyle w:val="TableNText"/>
              <w:rPr>
                <w:rStyle w:val="TableNTextChar"/>
                <w:rFonts w:asciiTheme="minorHAnsi" w:hAnsiTheme="minorHAnsi" w:cstheme="minorHAnsi"/>
                <w:sz w:val="22"/>
              </w:rPr>
            </w:pPr>
            <w:r w:rsidRPr="00D9749F">
              <w:rPr>
                <w:rStyle w:val="TableNTextChar"/>
                <w:rFonts w:asciiTheme="minorHAnsi" w:hAnsiTheme="minorHAnsi" w:cstheme="minorHAnsi"/>
                <w:sz w:val="22"/>
              </w:rPr>
              <w:t>4. The weightings are calculated based on the count of responses provided by ACCI and the Decision RIS for each control measure or management practice.</w:t>
            </w:r>
          </w:p>
          <w:p w14:paraId="2A5B1C64" w14:textId="77777777" w:rsidR="00BE176A" w:rsidRPr="00D9749F" w:rsidRDefault="002A11AD" w:rsidP="00BE176A">
            <w:pPr>
              <w:rPr>
                <w:rFonts w:asciiTheme="minorHAnsi" w:eastAsiaTheme="minorEastAsia" w:hAnsiTheme="minorHAnsi" w:cstheme="minorHAnsi"/>
                <w:szCs w:val="22"/>
                <w:lang w:eastAsia="en-AU"/>
              </w:rPr>
            </w:pPr>
            <m:oMathPara>
              <m:oMathParaPr>
                <m:jc m:val="left"/>
              </m:oMathParaPr>
              <m:oMath>
                <m:sSub>
                  <m:sSubPr>
                    <m:ctrlPr>
                      <w:rPr>
                        <w:rFonts w:ascii="Cambria Math" w:hAnsi="Cambria Math" w:cstheme="minorHAnsi"/>
                        <w:i/>
                        <w:szCs w:val="22"/>
                        <w:lang w:eastAsia="en-AU"/>
                      </w:rPr>
                    </m:ctrlPr>
                  </m:sSubPr>
                  <m:e>
                    <m:r>
                      <w:rPr>
                        <w:rFonts w:ascii="Cambria Math" w:hAnsi="Cambria Math" w:cstheme="minorHAnsi"/>
                        <w:szCs w:val="22"/>
                        <w:lang w:eastAsia="en-AU"/>
                      </w:rPr>
                      <m:t>Weig</m:t>
                    </m:r>
                    <m:r>
                      <w:rPr>
                        <w:rFonts w:ascii="Cambria Math" w:hAnsi="Cambria Math" w:cstheme="minorHAnsi"/>
                        <w:szCs w:val="22"/>
                        <w:lang w:eastAsia="en-AU"/>
                      </w:rPr>
                      <m:t>h</m:t>
                    </m:r>
                    <m:r>
                      <w:rPr>
                        <w:rFonts w:ascii="Cambria Math" w:hAnsi="Cambria Math" w:cstheme="minorHAnsi"/>
                        <w:szCs w:val="22"/>
                        <w:lang w:eastAsia="en-AU"/>
                      </w:rPr>
                      <m:t>ting</m:t>
                    </m:r>
                  </m:e>
                  <m:sub>
                    <m:r>
                      <w:rPr>
                        <w:rFonts w:ascii="Cambria Math" w:hAnsi="Cambria Math" w:cstheme="minorHAnsi"/>
                        <w:szCs w:val="22"/>
                        <w:lang w:eastAsia="en-AU"/>
                      </w:rPr>
                      <m:t>ACCI</m:t>
                    </m:r>
                  </m:sub>
                </m:sSub>
                <m:r>
                  <w:rPr>
                    <w:rFonts w:ascii="Cambria Math" w:hAnsi="Cambria Math" w:cstheme="minorHAnsi"/>
                    <w:szCs w:val="22"/>
                    <w:lang w:eastAsia="en-AU"/>
                  </w:rPr>
                  <m:t>=</m:t>
                </m:r>
                <m:r>
                  <w:rPr>
                    <w:rFonts w:ascii="Cambria Math" w:eastAsiaTheme="minorEastAsia" w:hAnsi="Cambria Math" w:cstheme="minorHAnsi"/>
                    <w:szCs w:val="22"/>
                    <w:lang w:eastAsia="en-AU"/>
                  </w:rPr>
                  <m:t xml:space="preserve"> </m:t>
                </m:r>
                <m:f>
                  <m:fPr>
                    <m:type m:val="lin"/>
                    <m:ctrlPr>
                      <w:rPr>
                        <w:rFonts w:ascii="Cambria Math" w:eastAsiaTheme="minorEastAsia" w:hAnsi="Cambria Math" w:cstheme="minorHAnsi"/>
                        <w:i/>
                        <w:szCs w:val="22"/>
                        <w:lang w:eastAsia="en-AU"/>
                      </w:rPr>
                    </m:ctrlPr>
                  </m:fPr>
                  <m:num>
                    <m:sSubSup>
                      <m:sSubSupPr>
                        <m:ctrlPr>
                          <w:rPr>
                            <w:rFonts w:ascii="Cambria Math" w:eastAsiaTheme="minorEastAsia" w:hAnsi="Cambria Math" w:cstheme="minorHAnsi"/>
                            <w:i/>
                            <w:szCs w:val="22"/>
                            <w:lang w:eastAsia="en-AU"/>
                          </w:rPr>
                        </m:ctrlPr>
                      </m:sSubSupPr>
                      <m:e>
                        <m:r>
                          <w:rPr>
                            <w:rFonts w:ascii="Cambria Math" w:eastAsiaTheme="minorEastAsia" w:hAnsi="Cambria Math" w:cstheme="minorHAnsi"/>
                            <w:szCs w:val="22"/>
                            <w:lang w:eastAsia="en-AU"/>
                          </w:rPr>
                          <m:t>ACCI</m:t>
                        </m:r>
                        <m:r>
                          <w:rPr>
                            <w:rFonts w:ascii="Cambria Math" w:eastAsiaTheme="minorEastAsia" w:hAnsi="Cambria Math" w:cstheme="minorHAnsi"/>
                            <w:szCs w:val="22"/>
                            <w:lang w:eastAsia="en-AU"/>
                          </w:rPr>
                          <m:t xml:space="preserve"> </m:t>
                        </m:r>
                        <m:r>
                          <w:rPr>
                            <w:rFonts w:ascii="Cambria Math" w:eastAsiaTheme="minorEastAsia" w:hAnsi="Cambria Math" w:cstheme="minorHAnsi"/>
                            <w:szCs w:val="22"/>
                            <w:lang w:eastAsia="en-AU"/>
                          </w:rPr>
                          <m:t>Responses</m:t>
                        </m:r>
                      </m:e>
                      <m:sub>
                        <m:r>
                          <w:rPr>
                            <w:rFonts w:ascii="Cambria Math" w:eastAsiaTheme="minorEastAsia" w:hAnsi="Cambria Math" w:cstheme="minorHAnsi"/>
                            <w:szCs w:val="22"/>
                            <w:lang w:eastAsia="en-AU"/>
                          </w:rPr>
                          <m:t>CI</m:t>
                        </m:r>
                      </m:sub>
                      <m:sup>
                        <m:r>
                          <w:rPr>
                            <w:rFonts w:ascii="Cambria Math" w:eastAsiaTheme="minorEastAsia" w:hAnsi="Cambria Math" w:cstheme="minorHAnsi"/>
                            <w:szCs w:val="22"/>
                            <w:lang w:eastAsia="en-AU"/>
                          </w:rPr>
                          <m:t>S</m:t>
                        </m:r>
                      </m:sup>
                    </m:sSubSup>
                  </m:num>
                  <m:den>
                    <m:r>
                      <w:rPr>
                        <w:rFonts w:ascii="Cambria Math" w:eastAsiaTheme="minorEastAsia" w:hAnsi="Cambria Math" w:cstheme="minorHAnsi"/>
                        <w:szCs w:val="22"/>
                        <w:lang w:eastAsia="en-AU"/>
                      </w:rPr>
                      <m:t>(</m:t>
                    </m:r>
                    <m:sSubSup>
                      <m:sSubSupPr>
                        <m:ctrlPr>
                          <w:rPr>
                            <w:rFonts w:ascii="Cambria Math" w:eastAsiaTheme="minorEastAsia" w:hAnsi="Cambria Math" w:cstheme="minorHAnsi"/>
                            <w:i/>
                            <w:szCs w:val="22"/>
                            <w:lang w:eastAsia="en-AU"/>
                          </w:rPr>
                        </m:ctrlPr>
                      </m:sSubSupPr>
                      <m:e>
                        <m:r>
                          <w:rPr>
                            <w:rFonts w:ascii="Cambria Math" w:eastAsiaTheme="minorEastAsia" w:hAnsi="Cambria Math" w:cstheme="minorHAnsi"/>
                            <w:szCs w:val="22"/>
                            <w:lang w:eastAsia="en-AU"/>
                          </w:rPr>
                          <m:t>ACCI</m:t>
                        </m:r>
                        <m:r>
                          <w:rPr>
                            <w:rFonts w:ascii="Cambria Math" w:eastAsiaTheme="minorEastAsia" w:hAnsi="Cambria Math" w:cstheme="minorHAnsi"/>
                            <w:szCs w:val="22"/>
                            <w:lang w:eastAsia="en-AU"/>
                          </w:rPr>
                          <m:t xml:space="preserve"> </m:t>
                        </m:r>
                        <m:r>
                          <w:rPr>
                            <w:rFonts w:ascii="Cambria Math" w:eastAsiaTheme="minorEastAsia" w:hAnsi="Cambria Math" w:cstheme="minorHAnsi"/>
                            <w:szCs w:val="22"/>
                            <w:lang w:eastAsia="en-AU"/>
                          </w:rPr>
                          <m:t>Responses</m:t>
                        </m:r>
                      </m:e>
                      <m:sub>
                        <m:r>
                          <w:rPr>
                            <w:rFonts w:ascii="Cambria Math" w:eastAsiaTheme="minorEastAsia" w:hAnsi="Cambria Math" w:cstheme="minorHAnsi"/>
                            <w:szCs w:val="22"/>
                            <w:lang w:eastAsia="en-AU"/>
                          </w:rPr>
                          <m:t>CI</m:t>
                        </m:r>
                      </m:sub>
                      <m:sup>
                        <m:r>
                          <w:rPr>
                            <w:rFonts w:ascii="Cambria Math" w:eastAsiaTheme="minorEastAsia" w:hAnsi="Cambria Math" w:cstheme="minorHAnsi"/>
                            <w:szCs w:val="22"/>
                            <w:lang w:eastAsia="en-AU"/>
                          </w:rPr>
                          <m:t>S</m:t>
                        </m:r>
                      </m:sup>
                    </m:sSubSup>
                    <m:r>
                      <w:rPr>
                        <w:rFonts w:ascii="Cambria Math" w:eastAsiaTheme="minorEastAsia" w:hAnsi="Cambria Math" w:cstheme="minorHAnsi"/>
                        <w:szCs w:val="22"/>
                        <w:lang w:eastAsia="en-AU"/>
                      </w:rPr>
                      <m:t>+</m:t>
                    </m:r>
                    <m:sSubSup>
                      <m:sSubSupPr>
                        <m:ctrlPr>
                          <w:rPr>
                            <w:rFonts w:ascii="Cambria Math" w:eastAsiaTheme="minorEastAsia" w:hAnsi="Cambria Math" w:cstheme="minorHAnsi"/>
                            <w:i/>
                            <w:szCs w:val="22"/>
                            <w:lang w:eastAsia="en-AU"/>
                          </w:rPr>
                        </m:ctrlPr>
                      </m:sSubSupPr>
                      <m:e>
                        <m:r>
                          <w:rPr>
                            <w:rFonts w:ascii="Cambria Math" w:eastAsiaTheme="minorEastAsia" w:hAnsi="Cambria Math" w:cstheme="minorHAnsi"/>
                            <w:szCs w:val="22"/>
                            <w:lang w:eastAsia="en-AU"/>
                          </w:rPr>
                          <m:t>DRIS</m:t>
                        </m:r>
                        <m:r>
                          <w:rPr>
                            <w:rFonts w:ascii="Cambria Math" w:eastAsiaTheme="minorEastAsia" w:hAnsi="Cambria Math" w:cstheme="minorHAnsi"/>
                            <w:szCs w:val="22"/>
                            <w:lang w:eastAsia="en-AU"/>
                          </w:rPr>
                          <m:t xml:space="preserve"> </m:t>
                        </m:r>
                        <m:r>
                          <w:rPr>
                            <w:rFonts w:ascii="Cambria Math" w:eastAsiaTheme="minorEastAsia" w:hAnsi="Cambria Math" w:cstheme="minorHAnsi"/>
                            <w:szCs w:val="22"/>
                            <w:lang w:eastAsia="en-AU"/>
                          </w:rPr>
                          <m:t>Responses</m:t>
                        </m:r>
                      </m:e>
                      <m:sub>
                        <m:r>
                          <w:rPr>
                            <w:rFonts w:ascii="Cambria Math" w:eastAsiaTheme="minorEastAsia" w:hAnsi="Cambria Math" w:cstheme="minorHAnsi"/>
                            <w:szCs w:val="22"/>
                            <w:lang w:eastAsia="en-AU"/>
                          </w:rPr>
                          <m:t>CI</m:t>
                        </m:r>
                      </m:sub>
                      <m:sup>
                        <m:r>
                          <w:rPr>
                            <w:rFonts w:ascii="Cambria Math" w:eastAsiaTheme="minorEastAsia" w:hAnsi="Cambria Math" w:cstheme="minorHAnsi"/>
                            <w:szCs w:val="22"/>
                            <w:lang w:eastAsia="en-AU"/>
                          </w:rPr>
                          <m:t>S</m:t>
                        </m:r>
                      </m:sup>
                    </m:sSubSup>
                  </m:den>
                </m:f>
                <m:r>
                  <w:rPr>
                    <w:rFonts w:ascii="Cambria Math" w:eastAsiaTheme="minorEastAsia" w:hAnsi="Cambria Math" w:cstheme="minorHAnsi"/>
                    <w:szCs w:val="22"/>
                    <w:lang w:eastAsia="en-AU"/>
                  </w:rPr>
                  <m:t>),</m:t>
                </m:r>
              </m:oMath>
            </m:oMathPara>
          </w:p>
          <w:p w14:paraId="045CF5BC" w14:textId="77777777" w:rsidR="00BE176A" w:rsidRPr="00D9749F" w:rsidRDefault="002A11AD" w:rsidP="00BE176A">
            <w:pPr>
              <w:pStyle w:val="TableNText"/>
              <w:rPr>
                <w:rFonts w:asciiTheme="minorHAnsi" w:hAnsiTheme="minorHAnsi" w:cstheme="minorHAnsi"/>
                <w:sz w:val="22"/>
              </w:rPr>
            </w:pPr>
            <m:oMath>
              <m:sSub>
                <m:sSubPr>
                  <m:ctrlPr>
                    <w:rPr>
                      <w:rFonts w:ascii="Cambria Math" w:eastAsiaTheme="minorEastAsia" w:hAnsi="Cambria Math" w:cstheme="minorHAnsi"/>
                      <w:i/>
                      <w:sz w:val="22"/>
                      <w:lang w:eastAsia="en-AU"/>
                    </w:rPr>
                  </m:ctrlPr>
                </m:sSubPr>
                <m:e>
                  <m:r>
                    <w:rPr>
                      <w:rFonts w:ascii="Cambria Math" w:eastAsiaTheme="minorEastAsia" w:hAnsi="Cambria Math" w:cstheme="minorHAnsi"/>
                      <w:sz w:val="22"/>
                      <w:lang w:eastAsia="en-AU"/>
                    </w:rPr>
                    <m:t>Weig</m:t>
                  </m:r>
                  <m:r>
                    <w:rPr>
                      <w:rFonts w:ascii="Cambria Math" w:eastAsiaTheme="minorEastAsia" w:hAnsi="Cambria Math" w:cstheme="minorHAnsi"/>
                      <w:sz w:val="22"/>
                      <w:lang w:eastAsia="en-AU"/>
                    </w:rPr>
                    <m:t>h</m:t>
                  </m:r>
                  <m:r>
                    <w:rPr>
                      <w:rFonts w:ascii="Cambria Math" w:eastAsiaTheme="minorEastAsia" w:hAnsi="Cambria Math" w:cstheme="minorHAnsi"/>
                      <w:sz w:val="22"/>
                      <w:lang w:eastAsia="en-AU"/>
                    </w:rPr>
                    <m:t>ting</m:t>
                  </m:r>
                </m:e>
                <m:sub>
                  <m:r>
                    <w:rPr>
                      <w:rFonts w:ascii="Cambria Math" w:eastAsiaTheme="minorEastAsia" w:hAnsi="Cambria Math" w:cstheme="minorHAnsi"/>
                      <w:sz w:val="22"/>
                      <w:lang w:eastAsia="en-AU"/>
                    </w:rPr>
                    <m:t>DRIS</m:t>
                  </m:r>
                </m:sub>
              </m:sSub>
              <m:r>
                <w:rPr>
                  <w:rFonts w:ascii="Cambria Math" w:eastAsiaTheme="minorEastAsia" w:hAnsi="Cambria Math" w:cstheme="minorHAnsi"/>
                  <w:sz w:val="22"/>
                  <w:lang w:eastAsia="en-AU"/>
                </w:rPr>
                <m:t>=1-</m:t>
              </m:r>
              <m:sSub>
                <m:sSubPr>
                  <m:ctrlPr>
                    <w:rPr>
                      <w:rFonts w:ascii="Cambria Math" w:hAnsi="Cambria Math" w:cstheme="minorHAnsi"/>
                      <w:i/>
                      <w:sz w:val="22"/>
                      <w:lang w:eastAsia="en-AU"/>
                    </w:rPr>
                  </m:ctrlPr>
                </m:sSubPr>
                <m:e>
                  <m:r>
                    <w:rPr>
                      <w:rFonts w:ascii="Cambria Math" w:hAnsi="Cambria Math" w:cstheme="minorHAnsi"/>
                      <w:sz w:val="22"/>
                      <w:lang w:eastAsia="en-AU"/>
                    </w:rPr>
                    <m:t>Weig</m:t>
                  </m:r>
                  <m:r>
                    <w:rPr>
                      <w:rFonts w:ascii="Cambria Math" w:hAnsi="Cambria Math" w:cstheme="minorHAnsi"/>
                      <w:sz w:val="22"/>
                      <w:lang w:eastAsia="en-AU"/>
                    </w:rPr>
                    <m:t>h</m:t>
                  </m:r>
                  <m:r>
                    <w:rPr>
                      <w:rFonts w:ascii="Cambria Math" w:hAnsi="Cambria Math" w:cstheme="minorHAnsi"/>
                      <w:sz w:val="22"/>
                      <w:lang w:eastAsia="en-AU"/>
                    </w:rPr>
                    <m:t>ting</m:t>
                  </m:r>
                </m:e>
                <m:sub>
                  <m:r>
                    <w:rPr>
                      <w:rFonts w:ascii="Cambria Math" w:hAnsi="Cambria Math" w:cstheme="minorHAnsi"/>
                      <w:sz w:val="22"/>
                      <w:lang w:eastAsia="en-AU"/>
                    </w:rPr>
                    <m:t>ACCI</m:t>
                  </m:r>
                </m:sub>
              </m:sSub>
              <m:r>
                <w:rPr>
                  <w:rFonts w:ascii="Cambria Math" w:hAnsi="Cambria Math" w:cstheme="minorHAnsi"/>
                  <w:sz w:val="22"/>
                  <w:lang w:eastAsia="en-AU"/>
                </w:rPr>
                <m:t>,</m:t>
              </m:r>
            </m:oMath>
            <w:r w:rsidR="00BE176A" w:rsidRPr="00D9749F">
              <w:rPr>
                <w:rFonts w:asciiTheme="minorHAnsi" w:eastAsiaTheme="minorEastAsia" w:hAnsiTheme="minorHAnsi" w:cstheme="minorHAnsi"/>
                <w:sz w:val="22"/>
                <w:lang w:eastAsia="en-AU"/>
              </w:rPr>
              <w:t xml:space="preserve"> where:</w:t>
            </w:r>
          </w:p>
          <w:p w14:paraId="7D4BD2C2"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DRIS represents data sourced from SWA’s 2019 Decision RIS: Workplace Exposure Standards</w:t>
            </w:r>
          </w:p>
          <w:p w14:paraId="60E155C9"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ACCI represents data sourced from the Australian Chamber of Commerce and Industry</w:t>
            </w:r>
          </w:p>
          <w:p w14:paraId="3FA4DCDB"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WAAC represents the weighted-average annual cost of the previous Decision RIS inputs</w:t>
            </w:r>
          </w:p>
          <w:p w14:paraId="32B9996C"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WAIAC represents the ACCI weighted-average incremental annual cost</w:t>
            </w:r>
          </w:p>
          <w:p w14:paraId="153F923D"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PB represents the proportion of businesses using each control measure or management practice</w:t>
            </w:r>
          </w:p>
          <w:p w14:paraId="42D9E502"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NCI represents the average number of control measures or management practices</w:t>
            </w:r>
          </w:p>
          <w:p w14:paraId="3C335611" w14:textId="77777777" w:rsidR="00BE176A" w:rsidRPr="00D9749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CI represents each cost item</w:t>
            </w:r>
          </w:p>
          <w:p w14:paraId="65416CBF" w14:textId="77777777" w:rsidR="00DE6A4F" w:rsidRDefault="00BE176A" w:rsidP="00BE176A">
            <w:pPr>
              <w:pStyle w:val="TableNBullet"/>
              <w:spacing w:line="240" w:lineRule="auto"/>
              <w:rPr>
                <w:rFonts w:asciiTheme="minorHAnsi" w:hAnsiTheme="minorHAnsi" w:cstheme="minorHAnsi"/>
                <w:sz w:val="22"/>
                <w:szCs w:val="22"/>
              </w:rPr>
            </w:pPr>
            <w:r w:rsidRPr="00D9749F">
              <w:rPr>
                <w:rFonts w:asciiTheme="minorHAnsi" w:hAnsiTheme="minorHAnsi" w:cstheme="minorHAnsi"/>
                <w:sz w:val="22"/>
                <w:szCs w:val="22"/>
              </w:rPr>
              <w:t>S represents the business size categories</w:t>
            </w:r>
          </w:p>
          <w:p w14:paraId="29925660" w14:textId="2FDBE243" w:rsidR="00BE176A" w:rsidRPr="006B013F" w:rsidRDefault="00BE176A" w:rsidP="006B013F">
            <w:pPr>
              <w:pStyle w:val="TableNBullet"/>
              <w:spacing w:line="240" w:lineRule="auto"/>
              <w:rPr>
                <w:rFonts w:eastAsia="Arial"/>
              </w:rPr>
            </w:pPr>
            <w:r w:rsidRPr="00BE176A">
              <w:rPr>
                <w:rFonts w:asciiTheme="minorHAnsi" w:hAnsiTheme="minorHAnsi" w:cstheme="minorHAnsi"/>
                <w:sz w:val="22"/>
                <w:szCs w:val="22"/>
              </w:rPr>
              <w:t>BC represents the Base Case and IC represents the Intervention Case.</w:t>
            </w:r>
          </w:p>
        </w:tc>
      </w:tr>
    </w:tbl>
    <w:p w14:paraId="69F19D95" w14:textId="77777777" w:rsidR="002D07B2" w:rsidRDefault="002D07B2" w:rsidP="00DB539C">
      <w:pPr>
        <w:rPr>
          <w:lang w:eastAsia="en-AU"/>
        </w:rPr>
      </w:pPr>
    </w:p>
    <w:p w14:paraId="43A3527C" w14:textId="674B157B" w:rsidR="000F5CC7" w:rsidRDefault="00C40982" w:rsidP="00C40982">
      <w:pPr>
        <w:pStyle w:val="SWAHeading3"/>
        <w:rPr>
          <w:lang w:eastAsia="en-AU"/>
        </w:rPr>
      </w:pPr>
      <w:r>
        <w:rPr>
          <w:lang w:eastAsia="en-AU"/>
        </w:rPr>
        <w:lastRenderedPageBreak/>
        <w:t>Specific costs</w:t>
      </w:r>
    </w:p>
    <w:p w14:paraId="4369DCA6" w14:textId="77777777" w:rsidR="00C40982" w:rsidRPr="00993B73" w:rsidRDefault="00C40982" w:rsidP="007C4491">
      <w:pPr>
        <w:contextualSpacing w:val="0"/>
        <w:rPr>
          <w:lang w:eastAsia="en-AU"/>
        </w:rPr>
      </w:pPr>
      <w:r w:rsidRPr="00993B73">
        <w:rPr>
          <w:lang w:eastAsia="en-AU"/>
        </w:rPr>
        <w:t>This analysis estimate</w:t>
      </w:r>
      <w:r>
        <w:rPr>
          <w:lang w:eastAsia="en-AU"/>
        </w:rPr>
        <w:t>s</w:t>
      </w:r>
      <w:r w:rsidRPr="00993B73">
        <w:rPr>
          <w:lang w:eastAsia="en-AU"/>
        </w:rPr>
        <w:t xml:space="preserve"> the specific costs with chemical and/or industry-specific information gathered through engagement with stakeholders. Nous reviewed and assessed the cost items provided for their applicability and robustness for this impact analysis. In particular, the assessment considered whether the cost item provided represents an incremental cost, recognising that some costs provided </w:t>
      </w:r>
      <w:r>
        <w:rPr>
          <w:lang w:eastAsia="en-AU"/>
        </w:rPr>
        <w:t>could potentially also</w:t>
      </w:r>
      <w:r w:rsidRPr="00993B73">
        <w:rPr>
          <w:lang w:eastAsia="en-AU"/>
        </w:rPr>
        <w:t xml:space="preserve"> apply under the Base Case of ensuring compliance with the current WES. The assessment also considered whether the cost item represent</w:t>
      </w:r>
      <w:r>
        <w:rPr>
          <w:lang w:eastAsia="en-AU"/>
        </w:rPr>
        <w:t>ed</w:t>
      </w:r>
      <w:r w:rsidRPr="00993B73">
        <w:rPr>
          <w:lang w:eastAsia="en-AU"/>
        </w:rPr>
        <w:t xml:space="preserve"> an annualised cost, a single control type and the respective business size. Based on this assessment, not all cost inputs provided by stakeholders have been included in this analysis. </w:t>
      </w:r>
    </w:p>
    <w:p w14:paraId="4F42B461" w14:textId="77777777" w:rsidR="00C40982" w:rsidRPr="00993B73" w:rsidRDefault="00C40982" w:rsidP="007C4491">
      <w:pPr>
        <w:contextualSpacing w:val="0"/>
        <w:rPr>
          <w:lang w:eastAsia="en-AU"/>
        </w:rPr>
      </w:pPr>
      <w:r w:rsidRPr="00993B73">
        <w:rPr>
          <w:lang w:eastAsia="en-AU"/>
        </w:rPr>
        <w:t>All specific cost items have been adjusted to annualised figures for the purpose of this impact analysis. The average annual cost</w:t>
      </w:r>
      <w:r w:rsidRPr="00993B73" w:rsidDel="009F68A0">
        <w:rPr>
          <w:lang w:eastAsia="en-AU"/>
        </w:rPr>
        <w:t xml:space="preserve"> </w:t>
      </w:r>
      <w:r w:rsidRPr="00993B73" w:rsidDel="00F4017A">
        <w:rPr>
          <w:lang w:eastAsia="en-AU"/>
        </w:rPr>
        <w:t>for</w:t>
      </w:r>
      <w:r w:rsidRPr="00993B73">
        <w:rPr>
          <w:lang w:eastAsia="en-AU"/>
        </w:rPr>
        <w:t xml:space="preserve"> capital investments </w:t>
      </w:r>
      <w:r>
        <w:rPr>
          <w:lang w:eastAsia="en-AU"/>
        </w:rPr>
        <w:t>is</w:t>
      </w:r>
      <w:r w:rsidRPr="00993B73">
        <w:rPr>
          <w:lang w:eastAsia="en-AU"/>
        </w:rPr>
        <w:t xml:space="preserve"> calculated as follows:</w:t>
      </w:r>
    </w:p>
    <w:p w14:paraId="4D0ED28A" w14:textId="77777777" w:rsidR="00C40982" w:rsidRPr="00993B73" w:rsidRDefault="00073EA1" w:rsidP="007C4491">
      <w:pPr>
        <w:contextualSpacing w:val="0"/>
        <w:rPr>
          <w:rFonts w:eastAsiaTheme="minorEastAsia"/>
          <w:lang w:eastAsia="en-AU"/>
        </w:rPr>
      </w:pPr>
      <m:oMath>
        <m:r>
          <w:rPr>
            <w:rFonts w:ascii="Cambria Math" w:hAnsi="Cambria Math"/>
            <w:lang w:eastAsia="en-AU"/>
          </w:rPr>
          <m:t>AAC=</m:t>
        </m:r>
        <m:f>
          <m:fPr>
            <m:ctrlPr>
              <w:rPr>
                <w:rFonts w:ascii="Cambria Math" w:hAnsi="Cambria Math"/>
                <w:i/>
                <w:lang w:eastAsia="en-AU"/>
              </w:rPr>
            </m:ctrlPr>
          </m:fPr>
          <m:num>
            <m:r>
              <w:rPr>
                <w:rFonts w:ascii="Cambria Math" w:hAnsi="Cambria Math"/>
                <w:lang w:eastAsia="en-AU"/>
              </w:rPr>
              <m:t>PC</m:t>
            </m:r>
          </m:num>
          <m:den>
            <m:r>
              <w:rPr>
                <w:rFonts w:ascii="Cambria Math" w:hAnsi="Cambria Math"/>
                <w:lang w:eastAsia="en-AU"/>
              </w:rPr>
              <m:t>UL</m:t>
            </m:r>
          </m:den>
        </m:f>
        <m:r>
          <w:rPr>
            <w:rFonts w:ascii="Cambria Math" w:hAnsi="Cambria Math"/>
            <w:lang w:eastAsia="en-AU"/>
          </w:rPr>
          <m:t>+OC</m:t>
        </m:r>
      </m:oMath>
      <w:r w:rsidR="00C40982" w:rsidRPr="00993B73">
        <w:rPr>
          <w:rFonts w:eastAsiaTheme="minorEastAsia"/>
          <w:lang w:eastAsia="en-AU"/>
        </w:rPr>
        <w:t>, where:</w:t>
      </w:r>
    </w:p>
    <w:p w14:paraId="4CAFE826" w14:textId="77777777" w:rsidR="00C40982" w:rsidRPr="007C4491" w:rsidRDefault="00C40982" w:rsidP="007C4491">
      <w:pPr>
        <w:pStyle w:val="TableNBullet"/>
        <w:ind w:left="993"/>
        <w:rPr>
          <w:rFonts w:asciiTheme="minorHAnsi" w:eastAsiaTheme="minorEastAsia" w:hAnsiTheme="minorHAnsi" w:cstheme="minorHAnsi"/>
          <w:sz w:val="22"/>
          <w:szCs w:val="24"/>
        </w:rPr>
      </w:pPr>
      <w:r w:rsidRPr="007C4491">
        <w:rPr>
          <w:rFonts w:asciiTheme="minorHAnsi" w:eastAsiaTheme="minorEastAsia" w:hAnsiTheme="minorHAnsi" w:cstheme="minorHAnsi"/>
          <w:sz w:val="22"/>
          <w:szCs w:val="24"/>
        </w:rPr>
        <w:t>PC represents purchase cost (including any relevant engineering design or installation costs)</w:t>
      </w:r>
    </w:p>
    <w:p w14:paraId="1369E8DA" w14:textId="77777777" w:rsidR="00C40982" w:rsidRPr="007C4491" w:rsidRDefault="00C40982" w:rsidP="007C4491">
      <w:pPr>
        <w:pStyle w:val="TableNBullet"/>
        <w:ind w:left="993"/>
        <w:rPr>
          <w:rFonts w:asciiTheme="minorHAnsi" w:eastAsiaTheme="minorEastAsia" w:hAnsiTheme="minorHAnsi" w:cstheme="minorHAnsi"/>
          <w:sz w:val="22"/>
          <w:szCs w:val="24"/>
        </w:rPr>
      </w:pPr>
      <w:r w:rsidRPr="007C4491">
        <w:rPr>
          <w:rFonts w:asciiTheme="minorHAnsi" w:eastAsiaTheme="minorEastAsia" w:hAnsiTheme="minorHAnsi" w:cstheme="minorHAnsi"/>
          <w:sz w:val="22"/>
          <w:szCs w:val="24"/>
        </w:rPr>
        <w:t>UL represents the useful life of the control</w:t>
      </w:r>
    </w:p>
    <w:p w14:paraId="6116AE03" w14:textId="77777777" w:rsidR="00C40982" w:rsidRPr="007C4491" w:rsidRDefault="00C40982" w:rsidP="007C4491">
      <w:pPr>
        <w:pStyle w:val="TableNBullet"/>
        <w:spacing w:after="120"/>
        <w:ind w:left="992" w:hanging="357"/>
        <w:rPr>
          <w:rFonts w:asciiTheme="minorHAnsi" w:eastAsiaTheme="minorEastAsia" w:hAnsiTheme="minorHAnsi" w:cstheme="minorHAnsi"/>
          <w:sz w:val="22"/>
          <w:szCs w:val="24"/>
        </w:rPr>
      </w:pPr>
      <w:r w:rsidRPr="007C4491">
        <w:rPr>
          <w:rFonts w:asciiTheme="minorHAnsi" w:eastAsiaTheme="minorEastAsia" w:hAnsiTheme="minorHAnsi" w:cstheme="minorHAnsi"/>
          <w:sz w:val="22"/>
          <w:szCs w:val="24"/>
        </w:rPr>
        <w:t>OC represents the annual operating cost.</w:t>
      </w:r>
    </w:p>
    <w:p w14:paraId="3E1E997C" w14:textId="77777777" w:rsidR="00C40982" w:rsidRPr="00993B73" w:rsidRDefault="00C40982" w:rsidP="007C4491">
      <w:pPr>
        <w:contextualSpacing w:val="0"/>
        <w:rPr>
          <w:lang w:eastAsia="en-AU"/>
        </w:rPr>
      </w:pPr>
      <w:r w:rsidRPr="00993B73">
        <w:rPr>
          <w:lang w:eastAsia="en-AU"/>
        </w:rPr>
        <w:t xml:space="preserve">The call-out box below presents a case study </w:t>
      </w:r>
      <w:r>
        <w:rPr>
          <w:lang w:eastAsia="en-AU"/>
        </w:rPr>
        <w:t xml:space="preserve">provided by industry </w:t>
      </w:r>
      <w:r w:rsidRPr="00993B73">
        <w:rPr>
          <w:lang w:eastAsia="en-AU"/>
        </w:rPr>
        <w:t xml:space="preserve">of </w:t>
      </w:r>
      <w:r>
        <w:rPr>
          <w:lang w:eastAsia="en-AU"/>
        </w:rPr>
        <w:t xml:space="preserve">its cost estimates </w:t>
      </w:r>
      <w:r w:rsidRPr="00993B73">
        <w:rPr>
          <w:lang w:eastAsia="en-AU"/>
        </w:rPr>
        <w:t>for the mining industry to comply with the proposed WEL for RCS.</w:t>
      </w:r>
    </w:p>
    <w:tbl>
      <w:tblPr>
        <w:tblStyle w:val="TableGrid"/>
        <w:tblW w:w="0" w:type="auto"/>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tblBorders>
        <w:shd w:val="clear" w:color="auto" w:fill="7F7F7F" w:themeFill="accent5"/>
        <w:tblLook w:val="04A0" w:firstRow="1" w:lastRow="0" w:firstColumn="1" w:lastColumn="0" w:noHBand="0" w:noVBand="1"/>
      </w:tblPr>
      <w:tblGrid>
        <w:gridCol w:w="9016"/>
      </w:tblGrid>
      <w:tr w:rsidR="00E31C95" w:rsidRPr="000D0E4E" w14:paraId="3CBFC7C7" w14:textId="77777777" w:rsidTr="00E31C95">
        <w:tc>
          <w:tcPr>
            <w:tcW w:w="90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3F8" w:themeFill="accent1" w:themeFillTint="33"/>
          </w:tcPr>
          <w:p w14:paraId="621F5808" w14:textId="77777777" w:rsidR="00E31C95" w:rsidRPr="0085691B" w:rsidRDefault="00E31C95" w:rsidP="00274F40">
            <w:pPr>
              <w:spacing w:before="120" w:line="259" w:lineRule="auto"/>
              <w:contextualSpacing w:val="0"/>
              <w:rPr>
                <w:rFonts w:eastAsia="Segoe UI" w:cs="Arial"/>
                <w:b/>
                <w:bCs/>
                <w:szCs w:val="22"/>
                <w:lang w:eastAsia="en-AU"/>
              </w:rPr>
            </w:pPr>
            <w:r w:rsidRPr="0085691B">
              <w:rPr>
                <w:rFonts w:eastAsia="Segoe UI" w:cs="Arial"/>
                <w:b/>
                <w:bCs/>
                <w:szCs w:val="22"/>
                <w:lang w:eastAsia="en-AU"/>
              </w:rPr>
              <w:t>Case study: Illustrative costs for the mining sector to comply with the proposed WEL change for RCS</w:t>
            </w:r>
          </w:p>
          <w:p w14:paraId="67810FAF" w14:textId="5CA506E2" w:rsidR="00E31C95" w:rsidRPr="001125B5" w:rsidRDefault="00E31C95" w:rsidP="00274F40">
            <w:pPr>
              <w:spacing w:before="40" w:line="259" w:lineRule="auto"/>
              <w:contextualSpacing w:val="0"/>
              <w:rPr>
                <w:rFonts w:eastAsia="Segoe UI" w:cs="Arial"/>
                <w:szCs w:val="22"/>
                <w:lang w:eastAsia="en-AU"/>
              </w:rPr>
            </w:pPr>
            <w:r w:rsidRPr="0085691B">
              <w:rPr>
                <w:rFonts w:eastAsia="Segoe UI" w:cs="Arial"/>
                <w:szCs w:val="22"/>
                <w:lang w:eastAsia="en-AU"/>
              </w:rPr>
              <w:t>An industry group, representing businesses operating in the Australian mining industry, has provided estimates of the costs to the mining sector of complying with the proposed WEL for RCS</w:t>
            </w:r>
            <w:r w:rsidRPr="001125B5">
              <w:rPr>
                <w:rFonts w:eastAsia="Segoe UI" w:cs="Arial"/>
                <w:szCs w:val="22"/>
                <w:lang w:eastAsia="en-AU"/>
              </w:rPr>
              <w:t xml:space="preserve">. </w:t>
            </w:r>
            <w:r w:rsidR="001125B5" w:rsidRPr="001125B5">
              <w:rPr>
                <w:lang w:eastAsia="en-AU"/>
              </w:rPr>
              <w:t>The costing included around 20 line items, unit prices and accompanying notes (with the key line items outlined below)</w:t>
            </w:r>
            <w:r w:rsidR="001125B5">
              <w:rPr>
                <w:lang w:eastAsia="en-AU"/>
              </w:rPr>
              <w:t>.</w:t>
            </w:r>
          </w:p>
          <w:p w14:paraId="5D43922D" w14:textId="09F9C5C8" w:rsidR="00E31C95" w:rsidRPr="0085691B" w:rsidRDefault="001125B5" w:rsidP="00274F40">
            <w:pPr>
              <w:spacing w:before="40" w:line="259" w:lineRule="auto"/>
              <w:contextualSpacing w:val="0"/>
              <w:rPr>
                <w:rFonts w:eastAsia="Segoe UI" w:cs="Arial"/>
                <w:b/>
                <w:bCs/>
                <w:i/>
                <w:iCs/>
                <w:szCs w:val="22"/>
                <w:lang w:eastAsia="en-AU"/>
              </w:rPr>
            </w:pPr>
            <w:r>
              <w:rPr>
                <w:rFonts w:eastAsia="Segoe UI" w:cs="Arial"/>
                <w:b/>
                <w:bCs/>
                <w:i/>
                <w:iCs/>
                <w:szCs w:val="22"/>
                <w:lang w:eastAsia="en-AU"/>
              </w:rPr>
              <w:t>Industry a</w:t>
            </w:r>
            <w:r w:rsidR="00E31C95" w:rsidRPr="0085691B">
              <w:rPr>
                <w:rFonts w:eastAsia="Segoe UI" w:cs="Arial"/>
                <w:b/>
                <w:bCs/>
                <w:i/>
                <w:iCs/>
                <w:szCs w:val="22"/>
                <w:lang w:eastAsia="en-AU"/>
              </w:rPr>
              <w:t>ssumptions</w:t>
            </w:r>
          </w:p>
          <w:p w14:paraId="044BADE1" w14:textId="77777777" w:rsidR="00E31C95" w:rsidRPr="0085691B" w:rsidRDefault="00E31C95" w:rsidP="00274F40">
            <w:pPr>
              <w:spacing w:before="40" w:after="40" w:line="259" w:lineRule="auto"/>
              <w:rPr>
                <w:rFonts w:eastAsia="Segoe UI" w:cs="Arial"/>
                <w:szCs w:val="22"/>
              </w:rPr>
            </w:pPr>
            <w:r w:rsidRPr="0085691B">
              <w:rPr>
                <w:rFonts w:eastAsia="Segoe UI" w:cs="Arial"/>
                <w:szCs w:val="22"/>
              </w:rPr>
              <w:t>The estimates assumed:</w:t>
            </w:r>
          </w:p>
          <w:p w14:paraId="665A48EF" w14:textId="77777777" w:rsidR="00E31C95" w:rsidRPr="0085691B" w:rsidRDefault="00E31C95" w:rsidP="00A2768E">
            <w:pPr>
              <w:pStyle w:val="ListParagraph"/>
              <w:numPr>
                <w:ilvl w:val="0"/>
                <w:numId w:val="133"/>
              </w:numPr>
              <w:suppressAutoHyphens/>
              <w:spacing w:before="40" w:after="40" w:line="259" w:lineRule="auto"/>
              <w:rPr>
                <w:rFonts w:eastAsia="Times New Roman" w:cs="Arial"/>
                <w:szCs w:val="22"/>
                <w:lang w:eastAsia="en-AU"/>
              </w:rPr>
            </w:pPr>
            <w:r w:rsidRPr="0085691B">
              <w:rPr>
                <w:rFonts w:eastAsia="Times New Roman" w:cs="Arial"/>
                <w:szCs w:val="22"/>
                <w:lang w:eastAsia="en-AU"/>
              </w:rPr>
              <w:t>There are 379 operational mines in Australia, comprising 309 open-cut mines and 70 underground mines.</w:t>
            </w:r>
          </w:p>
          <w:p w14:paraId="30ACDB82" w14:textId="77777777" w:rsidR="00E31C95" w:rsidRPr="0085691B" w:rsidRDefault="00E31C95" w:rsidP="00A2768E">
            <w:pPr>
              <w:pStyle w:val="ListParagraph"/>
              <w:numPr>
                <w:ilvl w:val="0"/>
                <w:numId w:val="133"/>
              </w:numPr>
              <w:suppressAutoHyphens/>
              <w:spacing w:before="120" w:line="259" w:lineRule="auto"/>
              <w:ind w:left="714" w:hanging="357"/>
              <w:contextualSpacing w:val="0"/>
              <w:rPr>
                <w:rFonts w:eastAsia="Times New Roman" w:cs="Arial"/>
                <w:szCs w:val="22"/>
                <w:lang w:eastAsia="en-AU"/>
              </w:rPr>
            </w:pPr>
            <w:r w:rsidRPr="0085691B">
              <w:rPr>
                <w:rFonts w:eastAsia="Times New Roman" w:cs="Arial"/>
                <w:szCs w:val="22"/>
                <w:lang w:eastAsia="en-AU"/>
              </w:rPr>
              <w:t>An additional 220,000 workers would be required to undergo pre-employment medical assessments and would require RPE.</w:t>
            </w:r>
          </w:p>
          <w:p w14:paraId="726DC62B" w14:textId="62D8DDF5" w:rsidR="00E31C95" w:rsidRPr="0085691B" w:rsidRDefault="00E31C95" w:rsidP="00274F40">
            <w:pPr>
              <w:spacing w:before="40" w:line="259" w:lineRule="auto"/>
              <w:contextualSpacing w:val="0"/>
              <w:rPr>
                <w:rFonts w:eastAsia="Segoe UI" w:cs="Arial"/>
                <w:b/>
                <w:bCs/>
                <w:i/>
                <w:iCs/>
                <w:szCs w:val="22"/>
                <w:lang w:eastAsia="en-AU"/>
              </w:rPr>
            </w:pPr>
            <w:r w:rsidRPr="0085691B">
              <w:rPr>
                <w:rFonts w:eastAsia="Segoe UI" w:cs="Arial"/>
                <w:b/>
                <w:bCs/>
                <w:i/>
                <w:iCs/>
                <w:szCs w:val="22"/>
                <w:lang w:eastAsia="en-AU"/>
              </w:rPr>
              <w:t xml:space="preserve">Cost provided by </w:t>
            </w:r>
            <w:r w:rsidR="001F5F44">
              <w:rPr>
                <w:rFonts w:eastAsia="Segoe UI" w:cs="Arial"/>
                <w:b/>
                <w:bCs/>
                <w:i/>
                <w:iCs/>
                <w:szCs w:val="22"/>
                <w:lang w:eastAsia="en-AU"/>
              </w:rPr>
              <w:t>industry</w:t>
            </w:r>
          </w:p>
          <w:p w14:paraId="525BF5D5" w14:textId="77777777" w:rsidR="00496E4C" w:rsidRPr="00496E4C" w:rsidRDefault="00496E4C" w:rsidP="006B013F">
            <w:pPr>
              <w:spacing w:before="40" w:after="40"/>
              <w:contextualSpacing w:val="0"/>
            </w:pPr>
            <w:r w:rsidRPr="00496E4C">
              <w:t xml:space="preserve">The industry submission provided business’ estimates for additional or upgraded engineering controls, administrative controls, and personal protective equipment. It should be noted that many of these measures are already required under the model WHS laws and current regulations for RCS. </w:t>
            </w:r>
          </w:p>
          <w:p w14:paraId="2CF2DE32" w14:textId="77777777" w:rsidR="00496E4C" w:rsidRPr="00496E4C" w:rsidRDefault="00496E4C" w:rsidP="00496E4C">
            <w:pPr>
              <w:spacing w:before="40" w:after="40"/>
            </w:pPr>
            <w:r w:rsidRPr="00496E4C">
              <w:t xml:space="preserve">The types of control measures and management practices included in the submission and the annualised additional cost estimates for these items included: </w:t>
            </w:r>
          </w:p>
          <w:p w14:paraId="6D6D20EB" w14:textId="77777777" w:rsidR="00E31C95" w:rsidRPr="0085691B" w:rsidRDefault="00E31C95" w:rsidP="00A2768E">
            <w:pPr>
              <w:pStyle w:val="ListParagraph"/>
              <w:numPr>
                <w:ilvl w:val="0"/>
                <w:numId w:val="134"/>
              </w:numPr>
              <w:suppressAutoHyphens/>
              <w:spacing w:before="40" w:after="40" w:line="259" w:lineRule="auto"/>
              <w:rPr>
                <w:rFonts w:eastAsia="Times New Roman" w:cs="Arial"/>
                <w:szCs w:val="22"/>
                <w:lang w:eastAsia="en-AU"/>
              </w:rPr>
            </w:pPr>
            <w:r w:rsidRPr="0085691B">
              <w:rPr>
                <w:rFonts w:eastAsia="Times New Roman" w:cs="Arial"/>
                <w:b/>
                <w:bCs/>
                <w:szCs w:val="22"/>
                <w:lang w:eastAsia="en-AU"/>
              </w:rPr>
              <w:lastRenderedPageBreak/>
              <w:t>Engineering controls ($10.9 billion p.a.)</w:t>
            </w:r>
            <w:r w:rsidRPr="0085691B">
              <w:rPr>
                <w:rFonts w:eastAsia="Times New Roman" w:cs="Arial"/>
                <w:szCs w:val="22"/>
                <w:lang w:eastAsia="en-AU"/>
              </w:rPr>
              <w:t>:</w:t>
            </w:r>
            <w:r w:rsidRPr="0085691B">
              <w:rPr>
                <w:rFonts w:eastAsia="Times New Roman" w:cs="Arial"/>
                <w:b/>
                <w:bCs/>
                <w:szCs w:val="22"/>
                <w:lang w:eastAsia="en-AU"/>
              </w:rPr>
              <w:t xml:space="preserve"> </w:t>
            </w:r>
            <w:r w:rsidRPr="0085691B">
              <w:rPr>
                <w:rFonts w:eastAsia="Times New Roman" w:cs="Arial"/>
                <w:szCs w:val="22"/>
                <w:lang w:eastAsia="en-AU"/>
              </w:rPr>
              <w:t>Conveyor guards, transfer curtain, stockpile covers, water dust suppression, machine cab filtration, and HEPA vacuums and filters.</w:t>
            </w:r>
            <w:r w:rsidRPr="000D0E4E">
              <w:rPr>
                <w:rFonts w:cs="Arial"/>
                <w:szCs w:val="22"/>
                <w:vertAlign w:val="superscript"/>
                <w:lang w:eastAsia="en-AU"/>
              </w:rPr>
              <w:footnoteReference w:id="338"/>
            </w:r>
          </w:p>
          <w:p w14:paraId="0750C418" w14:textId="3C3F7185" w:rsidR="00FE2824" w:rsidRPr="00993B73" w:rsidRDefault="00E31C95" w:rsidP="00A2768E">
            <w:pPr>
              <w:pStyle w:val="ListParagraph"/>
              <w:numPr>
                <w:ilvl w:val="0"/>
                <w:numId w:val="134"/>
              </w:numPr>
              <w:suppressAutoHyphens/>
              <w:spacing w:before="40" w:after="40" w:line="259" w:lineRule="auto"/>
              <w:contextualSpacing w:val="0"/>
              <w:rPr>
                <w:color w:val="E7E6E6" w:themeColor="background2"/>
              </w:rPr>
            </w:pPr>
            <w:r w:rsidRPr="0085691B">
              <w:rPr>
                <w:rFonts w:eastAsia="Times New Roman" w:cs="Arial"/>
                <w:b/>
                <w:bCs/>
                <w:szCs w:val="22"/>
                <w:lang w:eastAsia="en-AU"/>
              </w:rPr>
              <w:t>Administrative controls ($</w:t>
            </w:r>
            <w:r w:rsidR="00FE2824">
              <w:rPr>
                <w:rFonts w:eastAsia="Times New Roman" w:cs="Arial"/>
                <w:b/>
                <w:bCs/>
                <w:szCs w:val="22"/>
                <w:lang w:eastAsia="en-AU"/>
              </w:rPr>
              <w:t>72</w:t>
            </w:r>
            <w:r w:rsidR="00493E34">
              <w:rPr>
                <w:rFonts w:eastAsia="Times New Roman" w:cs="Arial"/>
                <w:b/>
                <w:bCs/>
                <w:szCs w:val="22"/>
                <w:lang w:eastAsia="en-AU"/>
              </w:rPr>
              <w:t xml:space="preserve"> </w:t>
            </w:r>
            <w:r w:rsidR="00FE2824">
              <w:rPr>
                <w:rFonts w:eastAsia="Times New Roman" w:cs="Arial"/>
                <w:b/>
                <w:bCs/>
                <w:szCs w:val="22"/>
                <w:lang w:eastAsia="en-AU"/>
              </w:rPr>
              <w:t>m</w:t>
            </w:r>
            <w:r w:rsidRPr="0085691B">
              <w:rPr>
                <w:rFonts w:eastAsia="Times New Roman" w:cs="Arial"/>
                <w:b/>
                <w:bCs/>
                <w:szCs w:val="22"/>
                <w:lang w:eastAsia="en-AU"/>
              </w:rPr>
              <w:t>illion p.a.)</w:t>
            </w:r>
            <w:r w:rsidRPr="0085691B">
              <w:rPr>
                <w:rFonts w:eastAsia="Times New Roman" w:cs="Arial"/>
                <w:szCs w:val="22"/>
                <w:lang w:eastAsia="en-AU"/>
              </w:rPr>
              <w:t>:</w:t>
            </w:r>
            <w:r w:rsidRPr="00493E34">
              <w:rPr>
                <w:rFonts w:eastAsia="Times New Roman" w:cs="Arial"/>
                <w:szCs w:val="22"/>
                <w:lang w:eastAsia="en-AU"/>
              </w:rPr>
              <w:t xml:space="preserve"> </w:t>
            </w:r>
            <w:r w:rsidR="00FE2824" w:rsidRPr="00493E34">
              <w:t>RPE fit testing and staff training.</w:t>
            </w:r>
          </w:p>
          <w:p w14:paraId="0E94D6FA" w14:textId="7454486A" w:rsidR="00E31C95" w:rsidRPr="0085691B" w:rsidRDefault="00261387" w:rsidP="00A2768E">
            <w:pPr>
              <w:pStyle w:val="ListParagraph"/>
              <w:numPr>
                <w:ilvl w:val="0"/>
                <w:numId w:val="134"/>
              </w:numPr>
              <w:suppressAutoHyphens/>
              <w:spacing w:before="40" w:after="40" w:line="259" w:lineRule="auto"/>
              <w:rPr>
                <w:rFonts w:eastAsia="Times New Roman" w:cs="Arial"/>
                <w:szCs w:val="22"/>
                <w:lang w:eastAsia="en-AU"/>
              </w:rPr>
            </w:pPr>
            <w:r w:rsidRPr="00261387">
              <w:rPr>
                <w:rFonts w:eastAsia="Times New Roman" w:cs="Arial"/>
                <w:b/>
                <w:bCs/>
                <w:szCs w:val="22"/>
                <w:lang w:eastAsia="en-AU"/>
              </w:rPr>
              <w:t>Health monitoring costs</w:t>
            </w:r>
            <w:r>
              <w:rPr>
                <w:rFonts w:eastAsia="Times New Roman" w:cs="Arial"/>
                <w:szCs w:val="22"/>
                <w:lang w:eastAsia="en-AU"/>
              </w:rPr>
              <w:t xml:space="preserve"> </w:t>
            </w:r>
            <w:r w:rsidRPr="00261387">
              <w:rPr>
                <w:rFonts w:eastAsia="Times New Roman" w:cs="Arial"/>
                <w:b/>
                <w:bCs/>
                <w:szCs w:val="22"/>
                <w:lang w:eastAsia="en-AU"/>
              </w:rPr>
              <w:t>($1.8 billion p.a.)</w:t>
            </w:r>
            <w:r>
              <w:rPr>
                <w:rFonts w:eastAsia="Times New Roman" w:cs="Arial"/>
                <w:szCs w:val="22"/>
                <w:lang w:eastAsia="en-AU"/>
              </w:rPr>
              <w:t xml:space="preserve"> </w:t>
            </w:r>
            <w:r w:rsidR="00E31C95" w:rsidRPr="0085691B">
              <w:rPr>
                <w:rFonts w:eastAsia="Times New Roman" w:cs="Arial"/>
                <w:szCs w:val="22"/>
                <w:lang w:eastAsia="en-AU"/>
              </w:rPr>
              <w:t>Annual medical assessments, medical x-rays and lung cancer screenings, ongoing health monitoring.</w:t>
            </w:r>
          </w:p>
          <w:p w14:paraId="7F07F52E" w14:textId="77777777" w:rsidR="00E31C95" w:rsidRPr="0085691B" w:rsidRDefault="00E31C95" w:rsidP="00A2768E">
            <w:pPr>
              <w:pStyle w:val="ListParagraph"/>
              <w:numPr>
                <w:ilvl w:val="0"/>
                <w:numId w:val="134"/>
              </w:numPr>
              <w:suppressAutoHyphens/>
              <w:spacing w:before="40" w:after="40" w:line="259" w:lineRule="auto"/>
              <w:rPr>
                <w:rFonts w:eastAsia="Times New Roman" w:cs="Arial"/>
                <w:szCs w:val="22"/>
                <w:lang w:eastAsia="en-AU"/>
              </w:rPr>
            </w:pPr>
            <w:r w:rsidRPr="0085691B">
              <w:rPr>
                <w:rFonts w:eastAsia="Times New Roman" w:cs="Arial"/>
                <w:b/>
                <w:bCs/>
                <w:szCs w:val="22"/>
                <w:lang w:eastAsia="en-AU"/>
              </w:rPr>
              <w:t>Personal protective equipment ($231 million p.a.)</w:t>
            </w:r>
            <w:r w:rsidRPr="0085691B">
              <w:rPr>
                <w:rFonts w:eastAsia="Times New Roman" w:cs="Arial"/>
                <w:szCs w:val="22"/>
                <w:lang w:eastAsia="en-AU"/>
              </w:rPr>
              <w:t>: RPE including Positive Air Purifying Respirators (PAPR) and P2-P3 respirators, including replacement filters.</w:t>
            </w:r>
          </w:p>
          <w:p w14:paraId="6F55E709" w14:textId="77777777" w:rsidR="00E31C95" w:rsidRPr="000D0E4E" w:rsidRDefault="00E31C95" w:rsidP="00A2768E">
            <w:pPr>
              <w:pStyle w:val="ListParagraph"/>
              <w:numPr>
                <w:ilvl w:val="0"/>
                <w:numId w:val="134"/>
              </w:numPr>
              <w:suppressAutoHyphens/>
              <w:spacing w:before="40" w:line="259" w:lineRule="auto"/>
              <w:ind w:left="714" w:hanging="357"/>
              <w:contextualSpacing w:val="0"/>
              <w:rPr>
                <w:rFonts w:eastAsia="Times New Roman" w:cs="Arial"/>
                <w:szCs w:val="22"/>
                <w:lang w:eastAsia="en-AU"/>
              </w:rPr>
            </w:pPr>
            <w:r w:rsidRPr="0085691B">
              <w:rPr>
                <w:rFonts w:eastAsia="Times New Roman" w:cs="Arial"/>
                <w:b/>
                <w:bCs/>
                <w:szCs w:val="22"/>
                <w:lang w:eastAsia="en-AU"/>
              </w:rPr>
              <w:t>Air monitoring ($59 million p.a.)</w:t>
            </w:r>
            <w:r w:rsidRPr="0085691B">
              <w:rPr>
                <w:rFonts w:eastAsia="Times New Roman" w:cs="Arial"/>
                <w:szCs w:val="22"/>
                <w:lang w:eastAsia="en-AU"/>
              </w:rPr>
              <w:t>: Quarterly air monitoring at five sites per operating mine.</w:t>
            </w:r>
          </w:p>
          <w:p w14:paraId="717736D8" w14:textId="77777777" w:rsidR="00E31C95" w:rsidRDefault="00E31C95" w:rsidP="00274F40">
            <w:pPr>
              <w:spacing w:line="240" w:lineRule="auto"/>
              <w:contextualSpacing w:val="0"/>
              <w:rPr>
                <w:rFonts w:eastAsia="Segoe UI" w:cs="Arial"/>
                <w:szCs w:val="22"/>
              </w:rPr>
            </w:pPr>
            <w:r w:rsidRPr="0085691B">
              <w:rPr>
                <w:rFonts w:eastAsia="Segoe UI" w:cs="Arial"/>
                <w:szCs w:val="22"/>
              </w:rPr>
              <w:t>Further stakeholder engagement with experts indicated it is unlikely that the full quantum of costs included in the estimates above are attributable to the proposed WEL changes. Adjustments have been made to relevant items, with the objective of developing more balanced cost estimates.</w:t>
            </w:r>
          </w:p>
          <w:p w14:paraId="30B87E75" w14:textId="77777777" w:rsidR="001C49E5" w:rsidRPr="001C49E5" w:rsidRDefault="001C49E5" w:rsidP="001C49E5">
            <w:pPr>
              <w:pStyle w:val="ListParagraph"/>
              <w:tabs>
                <w:tab w:val="clear" w:pos="720"/>
              </w:tabs>
              <w:spacing w:before="40" w:after="40"/>
              <w:ind w:left="0" w:firstLine="0"/>
              <w:rPr>
                <w:b/>
                <w:bCs/>
                <w:i/>
                <w:iCs/>
              </w:rPr>
            </w:pPr>
            <w:r w:rsidRPr="001C49E5">
              <w:rPr>
                <w:rFonts w:asciiTheme="majorHAnsi" w:hAnsiTheme="majorHAnsi" w:cstheme="majorHAnsi"/>
                <w:b/>
                <w:bCs/>
                <w:i/>
              </w:rPr>
              <w:t xml:space="preserve">Implications for </w:t>
            </w:r>
            <w:r w:rsidRPr="001C49E5">
              <w:rPr>
                <w:rFonts w:asciiTheme="majorHAnsi" w:hAnsiTheme="majorHAnsi" w:cstheme="majorHAnsi"/>
                <w:b/>
                <w:bCs/>
                <w:i/>
                <w:iCs/>
              </w:rPr>
              <w:t>Nous’ cost estimation</w:t>
            </w:r>
          </w:p>
          <w:p w14:paraId="30D82918" w14:textId="0ED13B3A" w:rsidR="001C49E5" w:rsidRPr="001C49E5" w:rsidRDefault="001C49E5" w:rsidP="001C49E5">
            <w:pPr>
              <w:spacing w:before="40" w:after="40"/>
              <w:contextualSpacing w:val="0"/>
            </w:pPr>
            <w:r w:rsidRPr="001C49E5">
              <w:t xml:space="preserve">Subsequent engagement with industry and WHS experts to test these assumptions and cost estimates indicated that many of these control measures are relevant to complying with the existing WES and some items are not directly required by the WEL. </w:t>
            </w:r>
          </w:p>
          <w:p w14:paraId="4D8D31E4" w14:textId="6FAD4858" w:rsidR="001C49E5" w:rsidRPr="000D0E4E" w:rsidRDefault="001C49E5" w:rsidP="001C49E5">
            <w:pPr>
              <w:spacing w:line="240" w:lineRule="auto"/>
              <w:contextualSpacing w:val="0"/>
              <w:rPr>
                <w:szCs w:val="22"/>
                <w:lang w:eastAsia="en-AU"/>
              </w:rPr>
            </w:pPr>
            <w:r w:rsidRPr="001C49E5">
              <w:t>As a result, Nous’ cost estimates applied material adjustments to better reflect the expected incremental costs beyond compliance with the current WES.</w:t>
            </w:r>
          </w:p>
        </w:tc>
      </w:tr>
    </w:tbl>
    <w:p w14:paraId="783F8ACA" w14:textId="77777777" w:rsidR="0030740F" w:rsidRDefault="008B4C29" w:rsidP="00704722">
      <w:pPr>
        <w:pStyle w:val="SWAHeading2"/>
        <w:numPr>
          <w:ilvl w:val="0"/>
          <w:numId w:val="0"/>
        </w:numPr>
      </w:pPr>
      <w:bookmarkStart w:id="701" w:name="AppendixB_Methodology_Limitations"/>
      <w:bookmarkStart w:id="702" w:name="AppendixC_Methodology_Limitations"/>
      <w:bookmarkStart w:id="703" w:name="_Toc219216938"/>
      <w:bookmarkEnd w:id="701"/>
      <w:bookmarkEnd w:id="702"/>
      <w:r>
        <w:lastRenderedPageBreak/>
        <w:t>Limitations</w:t>
      </w:r>
      <w:bookmarkEnd w:id="703"/>
    </w:p>
    <w:p w14:paraId="1C628585" w14:textId="77777777" w:rsidR="0030740F" w:rsidRDefault="0030740F" w:rsidP="0030740F">
      <w:pPr>
        <w:pStyle w:val="Paragraph"/>
        <w:rPr>
          <w:lang w:eastAsia="en-US"/>
        </w:rPr>
      </w:pPr>
      <w:r w:rsidRPr="003A5C20">
        <w:rPr>
          <w:lang w:eastAsia="en-US"/>
        </w:rPr>
        <w:t xml:space="preserve">The analysis presented in this report is subject to three broad limitations: count of business and workers, costs and benefits. This reflects the gaps in the data, documentation and stakeholder engagement and feedback made accessible during the impact analysis. </w:t>
      </w:r>
    </w:p>
    <w:p w14:paraId="0AA90288" w14:textId="77777777" w:rsidR="0030740F" w:rsidRDefault="0030740F" w:rsidP="0030740F">
      <w:pPr>
        <w:pStyle w:val="Paragraph"/>
        <w:rPr>
          <w:lang w:eastAsia="en-US"/>
        </w:rPr>
      </w:pPr>
      <w:r w:rsidRPr="003A5C20">
        <w:rPr>
          <w:lang w:eastAsia="en-US"/>
        </w:rPr>
        <w:t>The most material limitations of this analysis, including the potential implications of these limitations,</w:t>
      </w:r>
      <w:r>
        <w:rPr>
          <w:lang w:eastAsia="en-US"/>
        </w:rPr>
        <w:t xml:space="preserve"> for determining:</w:t>
      </w:r>
    </w:p>
    <w:p w14:paraId="10D2CC43" w14:textId="47846F6B" w:rsidR="0030740F" w:rsidRDefault="0030740F" w:rsidP="00A2768E">
      <w:pPr>
        <w:pStyle w:val="Paragraph"/>
        <w:keepNext w:val="0"/>
        <w:keepLines/>
        <w:widowControl w:val="0"/>
        <w:numPr>
          <w:ilvl w:val="0"/>
          <w:numId w:val="135"/>
        </w:numPr>
        <w:spacing w:line="240" w:lineRule="auto"/>
      </w:pPr>
      <w:r>
        <w:rPr>
          <w:lang w:eastAsia="en-US"/>
        </w:rPr>
        <w:t>the number of businesses and workers at risk of exposure to the 9 chemicals</w:t>
      </w:r>
      <w:r w:rsidRPr="003A5C20">
        <w:rPr>
          <w:lang w:eastAsia="en-US"/>
        </w:rPr>
        <w:t xml:space="preserve"> are documented in</w:t>
      </w:r>
      <w:r w:rsidR="006170D6">
        <w:rPr>
          <w:lang w:eastAsia="en-US"/>
        </w:rPr>
        <w:t xml:space="preserve"> </w:t>
      </w:r>
      <w:r w:rsidR="006170D6">
        <w:rPr>
          <w:lang w:eastAsia="en-US"/>
        </w:rPr>
        <w:fldChar w:fldCharType="begin"/>
      </w:r>
      <w:r w:rsidR="006170D6">
        <w:rPr>
          <w:lang w:eastAsia="en-US"/>
        </w:rPr>
        <w:instrText xml:space="preserve"> REF _Ref216793310 \h </w:instrText>
      </w:r>
      <w:r w:rsidR="006170D6">
        <w:rPr>
          <w:lang w:eastAsia="en-US"/>
        </w:rPr>
      </w:r>
      <w:r w:rsidR="006170D6">
        <w:rPr>
          <w:lang w:eastAsia="en-US"/>
        </w:rPr>
        <w:fldChar w:fldCharType="separate"/>
      </w:r>
      <w:r w:rsidR="00A002F4">
        <w:t xml:space="preserve">Table </w:t>
      </w:r>
      <w:r w:rsidR="00A002F4">
        <w:rPr>
          <w:noProof/>
        </w:rPr>
        <w:t>64</w:t>
      </w:r>
      <w:r w:rsidR="006170D6">
        <w:rPr>
          <w:lang w:eastAsia="en-US"/>
        </w:rPr>
        <w:fldChar w:fldCharType="end"/>
      </w:r>
      <w:r w:rsidRPr="00C71800">
        <w:t>.</w:t>
      </w:r>
    </w:p>
    <w:p w14:paraId="01F2EA4E" w14:textId="6ECB1850" w:rsidR="0030740F" w:rsidRDefault="0030740F" w:rsidP="00A2768E">
      <w:pPr>
        <w:pStyle w:val="Paragraph"/>
        <w:keepNext w:val="0"/>
        <w:keepLines/>
        <w:widowControl w:val="0"/>
        <w:numPr>
          <w:ilvl w:val="0"/>
          <w:numId w:val="135"/>
        </w:numPr>
        <w:spacing w:line="240" w:lineRule="auto"/>
      </w:pPr>
      <w:r>
        <w:rPr>
          <w:lang w:eastAsia="en-US"/>
        </w:rPr>
        <w:t>the costs for the proposed WELs for each of the 9 chemicals are documented in</w:t>
      </w:r>
      <w:r w:rsidR="00386947">
        <w:rPr>
          <w:lang w:eastAsia="en-US"/>
        </w:rPr>
        <w:t xml:space="preserve"> </w:t>
      </w:r>
      <w:r w:rsidR="009C04AD">
        <w:rPr>
          <w:lang w:eastAsia="en-US"/>
        </w:rPr>
        <w:fldChar w:fldCharType="begin"/>
      </w:r>
      <w:r w:rsidR="009C04AD">
        <w:rPr>
          <w:lang w:eastAsia="en-US"/>
        </w:rPr>
        <w:instrText xml:space="preserve"> REF _Ref216793360 \h </w:instrText>
      </w:r>
      <w:r w:rsidR="009C04AD">
        <w:rPr>
          <w:lang w:eastAsia="en-US"/>
        </w:rPr>
      </w:r>
      <w:r w:rsidR="009C04AD">
        <w:rPr>
          <w:lang w:eastAsia="en-US"/>
        </w:rPr>
        <w:fldChar w:fldCharType="separate"/>
      </w:r>
      <w:r w:rsidR="00A002F4">
        <w:t xml:space="preserve">Table </w:t>
      </w:r>
      <w:r w:rsidR="00A002F4">
        <w:rPr>
          <w:noProof/>
        </w:rPr>
        <w:t>65</w:t>
      </w:r>
      <w:r w:rsidR="009C04AD">
        <w:rPr>
          <w:lang w:eastAsia="en-US"/>
        </w:rPr>
        <w:fldChar w:fldCharType="end"/>
      </w:r>
      <w:r>
        <w:rPr>
          <w:lang w:eastAsia="en-US"/>
        </w:rPr>
        <w:t>.</w:t>
      </w:r>
    </w:p>
    <w:p w14:paraId="4BB22D08" w14:textId="0B40BD63" w:rsidR="008D48BD" w:rsidRDefault="0030740F" w:rsidP="00C15B77">
      <w:pPr>
        <w:pStyle w:val="Paragraph"/>
        <w:keepNext w:val="0"/>
        <w:keepLines/>
        <w:widowControl w:val="0"/>
        <w:numPr>
          <w:ilvl w:val="0"/>
          <w:numId w:val="135"/>
        </w:numPr>
        <w:spacing w:line="240" w:lineRule="auto"/>
      </w:pPr>
      <w:r>
        <w:rPr>
          <w:lang w:eastAsia="en-US"/>
        </w:rPr>
        <w:t>the benefits for the proposed WELs of each of the 9 chemicals are documented in</w:t>
      </w:r>
      <w:r w:rsidR="006F6F6D">
        <w:rPr>
          <w:lang w:eastAsia="en-US"/>
        </w:rPr>
        <w:t xml:space="preserve"> </w:t>
      </w:r>
      <w:r w:rsidR="006F6F6D">
        <w:fldChar w:fldCharType="begin"/>
      </w:r>
      <w:r w:rsidR="006F6F6D">
        <w:rPr>
          <w:lang w:eastAsia="en-US"/>
        </w:rPr>
        <w:instrText xml:space="preserve"> REF _Ref216793461 \h </w:instrText>
      </w:r>
      <w:r w:rsidR="006F6F6D">
        <w:fldChar w:fldCharType="separate"/>
      </w:r>
      <w:r w:rsidR="00A002F4">
        <w:t xml:space="preserve">Table </w:t>
      </w:r>
      <w:r w:rsidR="00A002F4">
        <w:rPr>
          <w:noProof/>
        </w:rPr>
        <w:t>66</w:t>
      </w:r>
      <w:r w:rsidR="006F6F6D">
        <w:fldChar w:fldCharType="end"/>
      </w:r>
      <w:r w:rsidR="009D6BCF">
        <w:t>.</w:t>
      </w:r>
    </w:p>
    <w:p w14:paraId="12606EA0" w14:textId="3E99B778" w:rsidR="006170D6" w:rsidRDefault="006170D6" w:rsidP="008520F1">
      <w:pPr>
        <w:pStyle w:val="Caption"/>
      </w:pPr>
      <w:bookmarkStart w:id="704" w:name="_Ref216793310"/>
      <w:r>
        <w:lastRenderedPageBreak/>
        <w:t xml:space="preserve">Table </w:t>
      </w:r>
      <w:fldSimple w:instr=" SEQ Table \* ARABIC ">
        <w:r w:rsidR="00A002F4">
          <w:rPr>
            <w:noProof/>
          </w:rPr>
          <w:t>64</w:t>
        </w:r>
      </w:fldSimple>
      <w:bookmarkEnd w:id="704"/>
      <w:r>
        <w:t xml:space="preserve"> - </w:t>
      </w:r>
      <w:r w:rsidRPr="00483761">
        <w:t>Key limitations of the analysis for determining the number of businesses and workers at risk of exposure to the 9 chemicals</w:t>
      </w:r>
    </w:p>
    <w:tbl>
      <w:tblPr>
        <w:tblStyle w:val="TableGrid"/>
        <w:tblW w:w="9072"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127"/>
        <w:gridCol w:w="6945"/>
      </w:tblGrid>
      <w:tr w:rsidR="00F56081" w:rsidRPr="002A1131" w14:paraId="2EE4B03D" w14:textId="77777777" w:rsidTr="006B013F">
        <w:trPr>
          <w:trHeight w:val="285"/>
          <w:tblHeader/>
        </w:trPr>
        <w:tc>
          <w:tcPr>
            <w:tcW w:w="2127" w:type="dxa"/>
            <w:shd w:val="clear" w:color="auto" w:fill="4877E0" w:themeFill="accent1"/>
          </w:tcPr>
          <w:p w14:paraId="32C83A6A" w14:textId="77777777" w:rsidR="001A3682" w:rsidRPr="006B013F" w:rsidRDefault="001A3682" w:rsidP="00274F40">
            <w:pPr>
              <w:keepNext/>
              <w:keepLines/>
              <w:widowControl w:val="0"/>
              <w:spacing w:after="0" w:line="240" w:lineRule="auto"/>
              <w:rPr>
                <w:rFonts w:eastAsia="Times New Roman" w:cs="Arial"/>
                <w:b/>
                <w:bCs/>
                <w:color w:val="FFFFFF" w:themeColor="background1"/>
                <w:lang w:eastAsia="en-AU"/>
              </w:rPr>
            </w:pPr>
            <w:r w:rsidRPr="006B013F">
              <w:rPr>
                <w:rFonts w:eastAsia="Times New Roman" w:cs="Arial"/>
                <w:b/>
                <w:bCs/>
                <w:color w:val="FFFFFF" w:themeColor="background1"/>
                <w:lang w:eastAsia="en-AU"/>
              </w:rPr>
              <w:t>Limitation</w:t>
            </w:r>
          </w:p>
        </w:tc>
        <w:tc>
          <w:tcPr>
            <w:tcW w:w="6945" w:type="dxa"/>
            <w:shd w:val="clear" w:color="auto" w:fill="4877E0" w:themeFill="accent1"/>
          </w:tcPr>
          <w:p w14:paraId="4675C3C8" w14:textId="77777777" w:rsidR="001A3682" w:rsidRPr="006B013F" w:rsidRDefault="001A3682" w:rsidP="00274F40">
            <w:pPr>
              <w:keepNext/>
              <w:keepLines/>
              <w:widowControl w:val="0"/>
              <w:spacing w:after="0" w:line="240" w:lineRule="auto"/>
              <w:rPr>
                <w:rFonts w:eastAsia="Times New Roman" w:cs="Arial"/>
                <w:b/>
                <w:bCs/>
                <w:color w:val="FFFFFF" w:themeColor="background1"/>
                <w:lang w:eastAsia="en-AU"/>
              </w:rPr>
            </w:pPr>
            <w:r w:rsidRPr="006B013F">
              <w:rPr>
                <w:rFonts w:eastAsia="Times New Roman" w:cs="Arial"/>
                <w:b/>
                <w:bCs/>
                <w:color w:val="FFFFFF" w:themeColor="background1"/>
                <w:lang w:eastAsia="en-AU"/>
              </w:rPr>
              <w:t xml:space="preserve">Description </w:t>
            </w:r>
          </w:p>
        </w:tc>
      </w:tr>
      <w:tr w:rsidR="00C23F4B" w:rsidRPr="002A1131" w14:paraId="15207F98" w14:textId="77777777" w:rsidTr="00274F40">
        <w:trPr>
          <w:trHeight w:val="265"/>
        </w:trPr>
        <w:tc>
          <w:tcPr>
            <w:tcW w:w="2127" w:type="dxa"/>
          </w:tcPr>
          <w:p w14:paraId="1649F32C" w14:textId="77777777" w:rsidR="001A3682" w:rsidRPr="002A1131" w:rsidRDefault="001A3682" w:rsidP="00274F40">
            <w:pPr>
              <w:keepNext/>
              <w:keepLines/>
              <w:widowControl w:val="0"/>
              <w:spacing w:after="0" w:line="240" w:lineRule="auto"/>
              <w:rPr>
                <w:rFonts w:eastAsia="Times New Roman" w:cs="Arial"/>
                <w:b/>
                <w:bCs/>
                <w:szCs w:val="22"/>
                <w:lang w:eastAsia="en-AU"/>
              </w:rPr>
            </w:pPr>
            <w:r w:rsidRPr="00DD1E39">
              <w:rPr>
                <w:rFonts w:cs="Arial"/>
                <w:b/>
                <w:bCs/>
                <w:szCs w:val="22"/>
              </w:rPr>
              <w:t xml:space="preserve">The actual number of businesses where workers are </w:t>
            </w:r>
            <w:r>
              <w:rPr>
                <w:rFonts w:cs="Arial"/>
                <w:b/>
                <w:bCs/>
                <w:szCs w:val="22"/>
              </w:rPr>
              <w:t>at risk of exposure</w:t>
            </w:r>
            <w:r w:rsidRPr="00DD1E39">
              <w:rPr>
                <w:rFonts w:cs="Arial"/>
                <w:b/>
                <w:bCs/>
                <w:szCs w:val="22"/>
              </w:rPr>
              <w:t xml:space="preserve"> to each chemical is not known.</w:t>
            </w:r>
          </w:p>
        </w:tc>
        <w:tc>
          <w:tcPr>
            <w:tcW w:w="6945" w:type="dxa"/>
          </w:tcPr>
          <w:p w14:paraId="2E029EC0" w14:textId="77777777" w:rsidR="009C18D1" w:rsidRPr="006B013F" w:rsidRDefault="009C18D1" w:rsidP="009C18D1">
            <w:pPr>
              <w:pStyle w:val="TableNText"/>
              <w:rPr>
                <w:rFonts w:asciiTheme="minorHAnsi" w:hAnsiTheme="minorHAnsi" w:cstheme="minorHAnsi"/>
                <w:sz w:val="22"/>
              </w:rPr>
            </w:pPr>
            <w:r w:rsidRPr="006B013F">
              <w:rPr>
                <w:rFonts w:asciiTheme="minorHAnsi" w:hAnsiTheme="minorHAnsi" w:cstheme="minorHAnsi"/>
                <w:sz w:val="22"/>
              </w:rPr>
              <w:t>The count of businesses affected by the proposed WEL for each chemical are estimated based on ABS data, informed by information from the NPI and stakeholder engagement. The analysis undertaken makes assumptions regarding which ANZSIC classes, and the proportion of businesses in each class, are affected.</w:t>
            </w:r>
          </w:p>
          <w:p w14:paraId="3590F555" w14:textId="558AC71C" w:rsidR="001A3682" w:rsidRPr="002A1131" w:rsidRDefault="009C18D1" w:rsidP="00274F40">
            <w:pPr>
              <w:keepNext/>
              <w:keepLines/>
              <w:contextualSpacing w:val="0"/>
              <w:rPr>
                <w:rFonts w:eastAsia="Arial" w:cs="Arial"/>
                <w:szCs w:val="22"/>
                <w:lang w:eastAsia="en-AU"/>
              </w:rPr>
            </w:pPr>
            <w:r w:rsidRPr="006B013F">
              <w:rPr>
                <w:rFonts w:asciiTheme="minorHAnsi" w:hAnsiTheme="minorHAnsi" w:cstheme="minorHAnsi"/>
                <w:szCs w:val="22"/>
              </w:rPr>
              <w:t>Actual counts of businesses where workers are exposed to each chemical have not been identified through desktop analysis of publicly available data, nor has stakeholder engagement identified relevant non-public counts of relevant businesses.</w:t>
            </w:r>
          </w:p>
        </w:tc>
      </w:tr>
      <w:tr w:rsidR="00F56081" w:rsidRPr="00885D52" w14:paraId="39AC4F1A" w14:textId="77777777" w:rsidTr="006B013F">
        <w:trPr>
          <w:trHeight w:val="265"/>
        </w:trPr>
        <w:tc>
          <w:tcPr>
            <w:tcW w:w="2127" w:type="dxa"/>
            <w:shd w:val="clear" w:color="auto" w:fill="DAE3F8" w:themeFill="accent1" w:themeFillTint="33"/>
          </w:tcPr>
          <w:p w14:paraId="1ACBA929" w14:textId="77777777" w:rsidR="00873636" w:rsidRPr="00885D52" w:rsidRDefault="00873636" w:rsidP="00873636">
            <w:pPr>
              <w:keepNext/>
              <w:keepLines/>
              <w:widowControl w:val="0"/>
              <w:spacing w:after="0" w:line="240" w:lineRule="auto"/>
              <w:rPr>
                <w:rFonts w:eastAsia="Times New Roman" w:cs="Arial"/>
                <w:b/>
                <w:bCs/>
                <w:szCs w:val="22"/>
                <w:lang w:eastAsia="en-AU"/>
              </w:rPr>
            </w:pPr>
            <w:r w:rsidRPr="00DD1E39">
              <w:rPr>
                <w:rFonts w:cs="Arial"/>
                <w:b/>
                <w:bCs/>
                <w:szCs w:val="22"/>
              </w:rPr>
              <w:t xml:space="preserve">The actual number of workers </w:t>
            </w:r>
            <w:r>
              <w:rPr>
                <w:rFonts w:cs="Arial"/>
                <w:b/>
                <w:bCs/>
                <w:szCs w:val="22"/>
              </w:rPr>
              <w:t>at risk of exposure</w:t>
            </w:r>
            <w:r w:rsidRPr="00DD1E39">
              <w:rPr>
                <w:rFonts w:cs="Arial"/>
                <w:b/>
                <w:bCs/>
                <w:szCs w:val="22"/>
              </w:rPr>
              <w:t xml:space="preserve"> to each chemical is not known.</w:t>
            </w:r>
          </w:p>
        </w:tc>
        <w:tc>
          <w:tcPr>
            <w:tcW w:w="6945" w:type="dxa"/>
            <w:shd w:val="clear" w:color="auto" w:fill="DAE3F8" w:themeFill="accent1" w:themeFillTint="33"/>
          </w:tcPr>
          <w:p w14:paraId="2874B9D7" w14:textId="221F0BA8" w:rsidR="00873636" w:rsidRPr="006B013F" w:rsidRDefault="00873636" w:rsidP="00873636">
            <w:pPr>
              <w:pStyle w:val="TableNText"/>
              <w:rPr>
                <w:rFonts w:asciiTheme="minorHAnsi" w:hAnsiTheme="minorHAnsi" w:cstheme="minorHAnsi"/>
                <w:sz w:val="22"/>
              </w:rPr>
            </w:pPr>
            <w:r w:rsidRPr="006B013F">
              <w:rPr>
                <w:rFonts w:asciiTheme="minorHAnsi" w:hAnsiTheme="minorHAnsi" w:cstheme="minorHAnsi"/>
                <w:sz w:val="22"/>
              </w:rPr>
              <w:t>As above, the count of workers affected by the proposed WEL for each chemical are estimated based on ABS data, informed by information from the NPI and stakeholder engagement. The analysis undertaken makes assumptions regarding the proportion of workers in each industry that are exposed to the chemicals</w:t>
            </w:r>
            <w:r w:rsidR="007B3F12">
              <w:rPr>
                <w:rFonts w:asciiTheme="minorHAnsi" w:hAnsiTheme="minorHAnsi" w:cstheme="minorHAnsi"/>
                <w:sz w:val="22"/>
              </w:rPr>
              <w:t xml:space="preserve"> considered in this Decision RIS</w:t>
            </w:r>
            <w:r w:rsidRPr="006B013F">
              <w:rPr>
                <w:rFonts w:asciiTheme="minorHAnsi" w:hAnsiTheme="minorHAnsi" w:cstheme="minorHAnsi"/>
                <w:sz w:val="22"/>
              </w:rPr>
              <w:t>.</w:t>
            </w:r>
          </w:p>
          <w:p w14:paraId="3D0310E7" w14:textId="53083ABB" w:rsidR="00873636" w:rsidRPr="00F06D4D" w:rsidRDefault="00873636" w:rsidP="00873636">
            <w:pPr>
              <w:keepNext/>
              <w:keepLines/>
              <w:contextualSpacing w:val="0"/>
              <w:rPr>
                <w:rFonts w:asciiTheme="minorHAnsi" w:eastAsia="Arial" w:hAnsiTheme="minorHAnsi" w:cstheme="minorHAnsi"/>
                <w:szCs w:val="22"/>
                <w:lang w:eastAsia="en-AU"/>
              </w:rPr>
            </w:pPr>
            <w:r w:rsidRPr="00F06D4D">
              <w:rPr>
                <w:rFonts w:asciiTheme="minorHAnsi" w:hAnsiTheme="minorHAnsi" w:cstheme="minorHAnsi"/>
                <w:szCs w:val="22"/>
              </w:rPr>
              <w:t>Actual counts of workers exposed to each chemical have not been identified through desktop analysis of publicly available data, nor has stakeholder engagement identified relevant non-public counts of relevant workers.</w:t>
            </w:r>
          </w:p>
        </w:tc>
      </w:tr>
      <w:tr w:rsidR="00C23F4B" w:rsidRPr="00885D52" w14:paraId="0EB6E643" w14:textId="77777777" w:rsidTr="00274F40">
        <w:trPr>
          <w:trHeight w:val="265"/>
        </w:trPr>
        <w:tc>
          <w:tcPr>
            <w:tcW w:w="2127" w:type="dxa"/>
          </w:tcPr>
          <w:p w14:paraId="2263627A" w14:textId="77777777" w:rsidR="00873636" w:rsidRPr="00885D52" w:rsidRDefault="00873636" w:rsidP="00873636">
            <w:pPr>
              <w:keepNext/>
              <w:keepLines/>
              <w:widowControl w:val="0"/>
              <w:spacing w:line="240" w:lineRule="auto"/>
              <w:contextualSpacing w:val="0"/>
              <w:rPr>
                <w:rFonts w:eastAsia="Times New Roman" w:cs="Arial"/>
                <w:b/>
                <w:bCs/>
                <w:szCs w:val="22"/>
                <w:lang w:eastAsia="en-AU"/>
              </w:rPr>
            </w:pPr>
            <w:r w:rsidRPr="00DD1E39">
              <w:rPr>
                <w:rFonts w:cs="Arial"/>
                <w:b/>
                <w:bCs/>
                <w:szCs w:val="22"/>
              </w:rPr>
              <w:t>Businesses and workers may be affected by reductions to more than one WEL.</w:t>
            </w:r>
          </w:p>
        </w:tc>
        <w:tc>
          <w:tcPr>
            <w:tcW w:w="6945" w:type="dxa"/>
          </w:tcPr>
          <w:p w14:paraId="28C5C72D" w14:textId="1C0EF77D" w:rsidR="00873636" w:rsidRPr="00F06D4D" w:rsidRDefault="00873636" w:rsidP="00873636">
            <w:pPr>
              <w:pStyle w:val="TableNText"/>
              <w:rPr>
                <w:rFonts w:asciiTheme="minorHAnsi" w:hAnsiTheme="minorHAnsi" w:cstheme="minorHAnsi"/>
                <w:sz w:val="22"/>
              </w:rPr>
            </w:pPr>
            <w:r w:rsidRPr="00F06D4D">
              <w:rPr>
                <w:rFonts w:asciiTheme="minorHAnsi" w:hAnsiTheme="minorHAnsi" w:cstheme="minorHAnsi"/>
                <w:sz w:val="22"/>
              </w:rPr>
              <w:t xml:space="preserve">A number of businesses considered in this analysis are understood to expose workers to more than one of the </w:t>
            </w:r>
            <w:r w:rsidR="007B3F12">
              <w:rPr>
                <w:rFonts w:asciiTheme="minorHAnsi" w:hAnsiTheme="minorHAnsi" w:cstheme="minorHAnsi"/>
                <w:sz w:val="22"/>
              </w:rPr>
              <w:t>9</w:t>
            </w:r>
            <w:r w:rsidRPr="00F06D4D">
              <w:rPr>
                <w:rFonts w:asciiTheme="minorHAnsi" w:hAnsiTheme="minorHAnsi" w:cstheme="minorHAnsi"/>
                <w:sz w:val="22"/>
              </w:rPr>
              <w:t xml:space="preserve"> chemicals</w:t>
            </w:r>
            <w:r w:rsidR="007B3F12">
              <w:rPr>
                <w:rFonts w:asciiTheme="minorHAnsi" w:hAnsiTheme="minorHAnsi" w:cstheme="minorHAnsi"/>
                <w:sz w:val="22"/>
              </w:rPr>
              <w:t xml:space="preserve"> considered in this Decision RIS</w:t>
            </w:r>
            <w:r w:rsidRPr="00F06D4D">
              <w:rPr>
                <w:rFonts w:asciiTheme="minorHAnsi" w:hAnsiTheme="minorHAnsi" w:cstheme="minorHAnsi"/>
                <w:sz w:val="22"/>
              </w:rPr>
              <w:t>. This analysis does not consider the flow-on impacts to the costs or benefits where the WEL for two or more chemicals are implemented.</w:t>
            </w:r>
          </w:p>
          <w:p w14:paraId="59C5A77A" w14:textId="62216CD4" w:rsidR="00873636" w:rsidRPr="00F06D4D" w:rsidRDefault="00873636" w:rsidP="00873636">
            <w:pPr>
              <w:keepNext/>
              <w:keepLines/>
              <w:rPr>
                <w:rFonts w:asciiTheme="minorHAnsi" w:eastAsia="Arial" w:hAnsiTheme="minorHAnsi" w:cstheme="minorHAnsi"/>
                <w:szCs w:val="22"/>
                <w:lang w:eastAsia="en-AU"/>
              </w:rPr>
            </w:pPr>
            <w:r w:rsidRPr="00F06D4D">
              <w:rPr>
                <w:rFonts w:asciiTheme="minorHAnsi" w:hAnsiTheme="minorHAnsi" w:cstheme="minorHAnsi"/>
                <w:szCs w:val="22"/>
              </w:rPr>
              <w:t>A survey conducted by the Australian Chamber of Commerce and Industry shows at least 50</w:t>
            </w:r>
            <w:r w:rsidR="008F1E57">
              <w:rPr>
                <w:rFonts w:asciiTheme="minorHAnsi" w:hAnsiTheme="minorHAnsi" w:cstheme="minorHAnsi"/>
                <w:szCs w:val="22"/>
              </w:rPr>
              <w:t>%</w:t>
            </w:r>
            <w:r w:rsidR="008737F2">
              <w:rPr>
                <w:rFonts w:asciiTheme="minorHAnsi" w:hAnsiTheme="minorHAnsi" w:cstheme="minorHAnsi"/>
                <w:szCs w:val="22"/>
              </w:rPr>
              <w:t xml:space="preserve"> </w:t>
            </w:r>
            <w:r w:rsidRPr="00F06D4D">
              <w:rPr>
                <w:rFonts w:asciiTheme="minorHAnsi" w:hAnsiTheme="minorHAnsi" w:cstheme="minorHAnsi"/>
                <w:szCs w:val="22"/>
              </w:rPr>
              <w:t xml:space="preserve">of its surveyed members identified that workers are at risk of being exposed to more than one of the </w:t>
            </w:r>
            <w:r w:rsidR="00947E2C">
              <w:rPr>
                <w:rFonts w:asciiTheme="minorHAnsi" w:hAnsiTheme="minorHAnsi" w:cstheme="minorHAnsi"/>
                <w:szCs w:val="22"/>
              </w:rPr>
              <w:t>9</w:t>
            </w:r>
            <w:r w:rsidRPr="00F06D4D" w:rsidDel="00947E2C">
              <w:rPr>
                <w:rFonts w:asciiTheme="minorHAnsi" w:hAnsiTheme="minorHAnsi" w:cstheme="minorHAnsi"/>
                <w:szCs w:val="22"/>
              </w:rPr>
              <w:t xml:space="preserve"> </w:t>
            </w:r>
            <w:r w:rsidRPr="00F06D4D">
              <w:rPr>
                <w:rFonts w:asciiTheme="minorHAnsi" w:hAnsiTheme="minorHAnsi" w:cstheme="minorHAnsi"/>
                <w:szCs w:val="22"/>
              </w:rPr>
              <w:t>chemicals</w:t>
            </w:r>
            <w:r w:rsidR="008F1E57">
              <w:rPr>
                <w:rFonts w:asciiTheme="minorHAnsi" w:hAnsiTheme="minorHAnsi" w:cstheme="minorHAnsi"/>
                <w:szCs w:val="22"/>
              </w:rPr>
              <w:t xml:space="preserve"> considered in this Decision RIS</w:t>
            </w:r>
            <w:r w:rsidRPr="00F06D4D">
              <w:rPr>
                <w:rFonts w:asciiTheme="minorHAnsi" w:hAnsiTheme="minorHAnsi" w:cstheme="minorHAnsi"/>
                <w:szCs w:val="22"/>
              </w:rPr>
              <w:t xml:space="preserve"> in their workplaces. </w:t>
            </w:r>
          </w:p>
        </w:tc>
      </w:tr>
    </w:tbl>
    <w:p w14:paraId="4A60E314" w14:textId="4095EDAC" w:rsidR="006170D6" w:rsidRDefault="006170D6" w:rsidP="008520F1">
      <w:pPr>
        <w:pStyle w:val="Caption"/>
      </w:pPr>
      <w:r>
        <w:br/>
      </w:r>
      <w:bookmarkStart w:id="705" w:name="_Ref216793360"/>
      <w:r>
        <w:t xml:space="preserve">Table </w:t>
      </w:r>
      <w:fldSimple w:instr=" SEQ Table \* ARABIC ">
        <w:r w:rsidR="00A002F4">
          <w:rPr>
            <w:noProof/>
          </w:rPr>
          <w:t>65</w:t>
        </w:r>
      </w:fldSimple>
      <w:bookmarkEnd w:id="705"/>
      <w:r>
        <w:t xml:space="preserve"> - </w:t>
      </w:r>
      <w:r w:rsidRPr="00BB2A23">
        <w:t>Key limitations of the analysis for determining the costs of each proposed WELs</w:t>
      </w:r>
    </w:p>
    <w:tbl>
      <w:tblPr>
        <w:tblStyle w:val="TableGrid"/>
        <w:tblW w:w="90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087"/>
      </w:tblGrid>
      <w:tr w:rsidR="00AE7691" w:rsidRPr="002A1131" w14:paraId="63DA1E87" w14:textId="77777777" w:rsidTr="00F06D4D">
        <w:trPr>
          <w:trHeight w:val="285"/>
          <w:tblHeader/>
        </w:trPr>
        <w:tc>
          <w:tcPr>
            <w:tcW w:w="1980" w:type="dxa"/>
            <w:shd w:val="clear" w:color="auto" w:fill="4877E0" w:themeFill="accent1"/>
          </w:tcPr>
          <w:p w14:paraId="0CEAC027" w14:textId="77777777" w:rsidR="00AE7691" w:rsidRPr="00F06D4D" w:rsidRDefault="00AE7691" w:rsidP="00F06D4D">
            <w:pPr>
              <w:widowControl w:val="0"/>
              <w:spacing w:after="0" w:line="240" w:lineRule="auto"/>
              <w:rPr>
                <w:rFonts w:eastAsia="Times New Roman" w:cs="Arial"/>
                <w:b/>
                <w:bCs/>
                <w:color w:val="FFFFFF" w:themeColor="background1"/>
                <w:lang w:eastAsia="en-AU"/>
              </w:rPr>
            </w:pPr>
            <w:r w:rsidRPr="00F06D4D">
              <w:rPr>
                <w:rFonts w:eastAsia="Times New Roman" w:cs="Arial"/>
                <w:b/>
                <w:bCs/>
                <w:color w:val="FFFFFF" w:themeColor="background1"/>
                <w:lang w:eastAsia="en-AU"/>
              </w:rPr>
              <w:t>Limitation</w:t>
            </w:r>
          </w:p>
        </w:tc>
        <w:tc>
          <w:tcPr>
            <w:tcW w:w="7087" w:type="dxa"/>
            <w:shd w:val="clear" w:color="auto" w:fill="4877E0" w:themeFill="accent1"/>
          </w:tcPr>
          <w:p w14:paraId="24DA401B" w14:textId="77777777" w:rsidR="00AE7691" w:rsidRPr="00F06D4D" w:rsidRDefault="00AE7691" w:rsidP="00F06D4D">
            <w:pPr>
              <w:widowControl w:val="0"/>
              <w:spacing w:after="0" w:line="240" w:lineRule="auto"/>
              <w:rPr>
                <w:rFonts w:eastAsia="Times New Roman" w:cs="Arial"/>
                <w:b/>
                <w:bCs/>
                <w:color w:val="FFFFFF" w:themeColor="background1"/>
                <w:lang w:eastAsia="en-AU"/>
              </w:rPr>
            </w:pPr>
            <w:r w:rsidRPr="00F06D4D">
              <w:rPr>
                <w:rFonts w:eastAsia="Times New Roman" w:cs="Arial"/>
                <w:b/>
                <w:bCs/>
                <w:color w:val="FFFFFF" w:themeColor="background1"/>
                <w:lang w:eastAsia="en-AU"/>
              </w:rPr>
              <w:t xml:space="preserve">Description </w:t>
            </w:r>
          </w:p>
        </w:tc>
      </w:tr>
      <w:tr w:rsidR="00E47DF1" w:rsidRPr="002A1131" w14:paraId="0CA2E92C" w14:textId="77777777" w:rsidTr="00274F40">
        <w:trPr>
          <w:trHeight w:val="265"/>
        </w:trPr>
        <w:tc>
          <w:tcPr>
            <w:tcW w:w="1980" w:type="dxa"/>
          </w:tcPr>
          <w:p w14:paraId="41D20F43" w14:textId="77777777" w:rsidR="00E47DF1" w:rsidRPr="002A1131" w:rsidRDefault="00E47DF1" w:rsidP="00F06D4D">
            <w:pPr>
              <w:widowControl w:val="0"/>
              <w:spacing w:after="0" w:line="240" w:lineRule="auto"/>
              <w:rPr>
                <w:rFonts w:eastAsia="Times New Roman" w:cs="Arial"/>
                <w:b/>
                <w:bCs/>
                <w:szCs w:val="22"/>
                <w:lang w:eastAsia="en-AU"/>
              </w:rPr>
            </w:pPr>
            <w:r w:rsidRPr="00DD1E39">
              <w:rPr>
                <w:rFonts w:cs="Arial"/>
                <w:b/>
                <w:bCs/>
                <w:szCs w:val="22"/>
              </w:rPr>
              <w:t>Detailed cost data, for each chemical and industry, was not available to inform this impact analysis.</w:t>
            </w:r>
          </w:p>
        </w:tc>
        <w:tc>
          <w:tcPr>
            <w:tcW w:w="7087" w:type="dxa"/>
          </w:tcPr>
          <w:p w14:paraId="4A057A13" w14:textId="77777777" w:rsidR="00E47DF1" w:rsidRPr="00E47DF1" w:rsidRDefault="00E47DF1" w:rsidP="00386947">
            <w:pPr>
              <w:pStyle w:val="TableNbiophoto"/>
              <w:rPr>
                <w:rFonts w:asciiTheme="minorHAnsi" w:hAnsiTheme="minorHAnsi" w:cstheme="minorHAnsi"/>
                <w:sz w:val="22"/>
              </w:rPr>
            </w:pPr>
            <w:r w:rsidRPr="00E47DF1">
              <w:rPr>
                <w:rFonts w:asciiTheme="minorHAnsi" w:hAnsiTheme="minorHAnsi" w:cstheme="minorHAnsi"/>
                <w:sz w:val="22"/>
              </w:rPr>
              <w:t xml:space="preserve">This impact assessment is based on publicly available data which is highly limited in detail and accessibility. Therefore, a number of simplifying assumptions have been made to produce indicative estimates of costs, across different chemicals and industries. </w:t>
            </w:r>
          </w:p>
          <w:p w14:paraId="4D59E494" w14:textId="4F2911A1" w:rsidR="00E47DF1" w:rsidRPr="00E47DF1" w:rsidRDefault="00E47DF1" w:rsidP="00F06D4D">
            <w:pPr>
              <w:contextualSpacing w:val="0"/>
              <w:rPr>
                <w:rFonts w:asciiTheme="minorHAnsi" w:eastAsia="Arial" w:hAnsiTheme="minorHAnsi" w:cstheme="minorHAnsi"/>
                <w:szCs w:val="22"/>
                <w:lang w:eastAsia="en-AU"/>
              </w:rPr>
            </w:pPr>
            <w:r w:rsidRPr="00E47DF1">
              <w:rPr>
                <w:rFonts w:asciiTheme="minorHAnsi" w:hAnsiTheme="minorHAnsi" w:cstheme="minorHAnsi"/>
                <w:szCs w:val="22"/>
              </w:rPr>
              <w:t>The analysis provides an indicative estimation of costs only, as it has not been able to consider individual businesses and the specific changes that each business may be required to make to account for its individual circumstances (for example, premises size and location, construction materials, types of processes and equipment, proximity of workers to the relevant chemicals, existing controls, etc.).</w:t>
            </w:r>
          </w:p>
        </w:tc>
      </w:tr>
      <w:tr w:rsidR="00E47DF1" w:rsidRPr="00885D52" w14:paraId="6AA25253" w14:textId="77777777" w:rsidTr="00F06D4D">
        <w:trPr>
          <w:trHeight w:val="265"/>
        </w:trPr>
        <w:tc>
          <w:tcPr>
            <w:tcW w:w="1980" w:type="dxa"/>
            <w:shd w:val="clear" w:color="auto" w:fill="DAE3F8" w:themeFill="accent1" w:themeFillTint="33"/>
          </w:tcPr>
          <w:p w14:paraId="60D7E392" w14:textId="77777777" w:rsidR="00E47DF1" w:rsidRPr="00885D52" w:rsidRDefault="00E47DF1" w:rsidP="00F06D4D">
            <w:pPr>
              <w:widowControl w:val="0"/>
              <w:spacing w:line="240" w:lineRule="auto"/>
              <w:contextualSpacing w:val="0"/>
              <w:rPr>
                <w:rFonts w:eastAsia="Times New Roman" w:cs="Arial"/>
                <w:b/>
                <w:bCs/>
                <w:szCs w:val="22"/>
                <w:lang w:eastAsia="en-AU"/>
              </w:rPr>
            </w:pPr>
            <w:r w:rsidRPr="00DD1E39">
              <w:rPr>
                <w:rFonts w:cs="Arial"/>
                <w:b/>
                <w:bCs/>
                <w:szCs w:val="22"/>
              </w:rPr>
              <w:lastRenderedPageBreak/>
              <w:t>This impact analysis assumes businesses comply with the current WES and will comply with the proposed WEL.</w:t>
            </w:r>
          </w:p>
        </w:tc>
        <w:tc>
          <w:tcPr>
            <w:tcW w:w="7087" w:type="dxa"/>
            <w:shd w:val="clear" w:color="auto" w:fill="DAE3F8" w:themeFill="accent1" w:themeFillTint="33"/>
          </w:tcPr>
          <w:p w14:paraId="75962873" w14:textId="77777777" w:rsidR="00E47DF1" w:rsidRPr="00E47DF1" w:rsidRDefault="00E47DF1" w:rsidP="00386947">
            <w:pPr>
              <w:pStyle w:val="TableNText"/>
              <w:rPr>
                <w:rFonts w:asciiTheme="minorHAnsi" w:hAnsiTheme="minorHAnsi" w:cstheme="minorHAnsi"/>
                <w:sz w:val="22"/>
              </w:rPr>
            </w:pPr>
            <w:r w:rsidRPr="00E47DF1">
              <w:rPr>
                <w:rFonts w:asciiTheme="minorHAnsi" w:hAnsiTheme="minorHAnsi" w:cstheme="minorHAnsi"/>
                <w:sz w:val="22"/>
              </w:rPr>
              <w:t xml:space="preserve">A comprehensive estimate of the costs would require specific inputs for each chemical, each industry and each type of business within each industry. This level of detail is not within the scope of this impact analysis. </w:t>
            </w:r>
          </w:p>
          <w:p w14:paraId="1C9AB140" w14:textId="77777777" w:rsidR="00E47DF1" w:rsidRPr="00E47DF1" w:rsidRDefault="00E47DF1" w:rsidP="00386947">
            <w:pPr>
              <w:pStyle w:val="TableNText"/>
              <w:rPr>
                <w:rFonts w:asciiTheme="minorHAnsi" w:hAnsiTheme="minorHAnsi" w:cstheme="minorHAnsi"/>
                <w:sz w:val="22"/>
              </w:rPr>
            </w:pPr>
            <w:r w:rsidRPr="00E47DF1">
              <w:rPr>
                <w:rFonts w:asciiTheme="minorHAnsi" w:hAnsiTheme="minorHAnsi" w:cstheme="minorHAnsi"/>
                <w:sz w:val="22"/>
              </w:rPr>
              <w:t xml:space="preserve">Further, the data and information captured through stakeholder engagement provided only limited chemical and industry-specific data to inform estimates. There was also insufficient information to determine the specific impact that may be associated with changing from a peak limit WES to a TWA and STEL WEL. </w:t>
            </w:r>
          </w:p>
          <w:p w14:paraId="554246C8" w14:textId="758EA642" w:rsidR="00E47DF1" w:rsidRPr="00E47DF1" w:rsidRDefault="00E47DF1" w:rsidP="00F06D4D">
            <w:pPr>
              <w:rPr>
                <w:rFonts w:asciiTheme="minorHAnsi" w:eastAsia="Arial" w:hAnsiTheme="minorHAnsi" w:cstheme="minorHAnsi"/>
                <w:szCs w:val="22"/>
                <w:lang w:eastAsia="en-AU"/>
              </w:rPr>
            </w:pPr>
            <w:r w:rsidRPr="00E47DF1">
              <w:rPr>
                <w:rFonts w:asciiTheme="minorHAnsi" w:hAnsiTheme="minorHAnsi" w:cstheme="minorHAnsi"/>
                <w:szCs w:val="22"/>
              </w:rPr>
              <w:t>In the absence of the necessary data to sufficiently estimate costs for each industry and chemical, the analysis uses the inputs and methodology from SWA’s 2019 Decision RIS: Workplace Exposure Standards.</w:t>
            </w:r>
          </w:p>
        </w:tc>
      </w:tr>
      <w:tr w:rsidR="00E47DF1" w:rsidRPr="00941F08" w14:paraId="5B5B466A" w14:textId="77777777" w:rsidTr="00274F40">
        <w:trPr>
          <w:trHeight w:val="265"/>
        </w:trPr>
        <w:tc>
          <w:tcPr>
            <w:tcW w:w="1980" w:type="dxa"/>
          </w:tcPr>
          <w:p w14:paraId="703D3B07" w14:textId="77777777" w:rsidR="00E47DF1" w:rsidRPr="00885D52" w:rsidRDefault="00E47DF1" w:rsidP="00F06D4D">
            <w:pPr>
              <w:widowControl w:val="0"/>
              <w:spacing w:after="0" w:line="240" w:lineRule="auto"/>
              <w:rPr>
                <w:rFonts w:eastAsia="Times New Roman" w:cs="Arial"/>
                <w:b/>
                <w:bCs/>
                <w:szCs w:val="22"/>
                <w:lang w:eastAsia="en-AU"/>
              </w:rPr>
            </w:pPr>
            <w:r w:rsidRPr="00DD1E39">
              <w:rPr>
                <w:rFonts w:cs="Arial"/>
                <w:b/>
                <w:bCs/>
                <w:szCs w:val="22"/>
              </w:rPr>
              <w:t xml:space="preserve">Stakeholder engagement provided insufficient cost information to undertake comprehensive cost estimates.  </w:t>
            </w:r>
          </w:p>
        </w:tc>
        <w:tc>
          <w:tcPr>
            <w:tcW w:w="7087" w:type="dxa"/>
          </w:tcPr>
          <w:p w14:paraId="7C8D3326" w14:textId="77777777" w:rsidR="00E47DF1" w:rsidRPr="00E47DF1" w:rsidRDefault="00E47DF1" w:rsidP="00386947">
            <w:pPr>
              <w:pStyle w:val="TableNText"/>
              <w:rPr>
                <w:rFonts w:asciiTheme="minorHAnsi" w:hAnsiTheme="minorHAnsi" w:cstheme="minorHAnsi"/>
                <w:sz w:val="22"/>
              </w:rPr>
            </w:pPr>
            <w:r w:rsidRPr="00E47DF1">
              <w:rPr>
                <w:rFonts w:asciiTheme="minorHAnsi" w:hAnsiTheme="minorHAnsi" w:cstheme="minorHAnsi"/>
                <w:sz w:val="22"/>
              </w:rPr>
              <w:t>Stakeholders provided input via consultations and public submissions, but often there was insufficient evidence or detail for this data to be included in the analysis. This included:</w:t>
            </w:r>
          </w:p>
          <w:p w14:paraId="4FF03EB3" w14:textId="77777777" w:rsidR="00E47DF1" w:rsidRPr="00E47DF1" w:rsidRDefault="00E47DF1" w:rsidP="00386947">
            <w:pPr>
              <w:pStyle w:val="TableNBullet"/>
              <w:spacing w:line="240" w:lineRule="auto"/>
              <w:rPr>
                <w:rFonts w:asciiTheme="minorHAnsi" w:hAnsiTheme="minorHAnsi" w:cstheme="minorHAnsi"/>
                <w:sz w:val="22"/>
                <w:szCs w:val="22"/>
              </w:rPr>
            </w:pPr>
            <w:r w:rsidRPr="00E47DF1">
              <w:rPr>
                <w:rFonts w:asciiTheme="minorHAnsi" w:hAnsiTheme="minorHAnsi" w:cstheme="minorHAnsi"/>
                <w:sz w:val="22"/>
                <w:szCs w:val="22"/>
              </w:rPr>
              <w:t xml:space="preserve">Lack of access to raw and deidentified data limited the use and interpretation of the resulting data. Without access to raw data, the authenticity and accuracy of the results cannot be verified and restricts the ability to examine the results. </w:t>
            </w:r>
          </w:p>
          <w:p w14:paraId="4EA249A5" w14:textId="77777777" w:rsidR="00E47DF1" w:rsidRPr="00E47DF1" w:rsidRDefault="00E47DF1" w:rsidP="00386947">
            <w:pPr>
              <w:pStyle w:val="TableNBullet"/>
              <w:spacing w:line="240" w:lineRule="auto"/>
              <w:rPr>
                <w:rFonts w:asciiTheme="minorHAnsi" w:hAnsiTheme="minorHAnsi" w:cstheme="minorHAnsi"/>
                <w:sz w:val="22"/>
                <w:szCs w:val="22"/>
              </w:rPr>
            </w:pPr>
            <w:r w:rsidRPr="00E47DF1">
              <w:rPr>
                <w:rFonts w:asciiTheme="minorHAnsi" w:hAnsiTheme="minorHAnsi" w:cstheme="minorHAnsi"/>
                <w:sz w:val="22"/>
                <w:szCs w:val="22"/>
              </w:rPr>
              <w:t xml:space="preserve">The quality of data was sometimes unsatisfactory and could not be included in the analysis. Examples of reasons for exclusion include: unclear cost control category associated with cost, lack of cost breakdown or reasoning, or unspecified cost frequency (for example, once off cost or annual cost). </w:t>
            </w:r>
          </w:p>
          <w:p w14:paraId="42F01901" w14:textId="77777777" w:rsidR="00E47DF1" w:rsidRPr="00E47DF1" w:rsidRDefault="00E47DF1" w:rsidP="00386947">
            <w:pPr>
              <w:pStyle w:val="TableNBullet"/>
              <w:spacing w:line="240" w:lineRule="auto"/>
              <w:rPr>
                <w:rFonts w:asciiTheme="minorHAnsi" w:hAnsiTheme="minorHAnsi" w:cstheme="minorHAnsi"/>
                <w:sz w:val="22"/>
                <w:szCs w:val="22"/>
              </w:rPr>
            </w:pPr>
            <w:r w:rsidRPr="00E47DF1">
              <w:rPr>
                <w:rFonts w:asciiTheme="minorHAnsi" w:hAnsiTheme="minorHAnsi" w:cstheme="minorHAnsi"/>
                <w:sz w:val="22"/>
                <w:szCs w:val="22"/>
              </w:rPr>
              <w:t>Stakeholders conducted surveys of members. Survey responses may reflect selection bias (the voluntary survey may have been completed by members who are most likely to be affected and incur the greatest costs).</w:t>
            </w:r>
          </w:p>
          <w:p w14:paraId="0FFC21F2" w14:textId="77777777" w:rsidR="00E47DF1" w:rsidRPr="00E47DF1" w:rsidRDefault="00E47DF1" w:rsidP="00386947">
            <w:pPr>
              <w:pStyle w:val="TableNBullet"/>
              <w:spacing w:line="240" w:lineRule="auto"/>
              <w:rPr>
                <w:rFonts w:asciiTheme="minorHAnsi" w:hAnsiTheme="minorHAnsi" w:cstheme="minorHAnsi"/>
                <w:sz w:val="22"/>
                <w:szCs w:val="22"/>
              </w:rPr>
            </w:pPr>
            <w:r w:rsidRPr="00E47DF1">
              <w:rPr>
                <w:rFonts w:asciiTheme="minorHAnsi" w:hAnsiTheme="minorHAnsi" w:cstheme="minorHAnsi"/>
                <w:sz w:val="22"/>
                <w:szCs w:val="22"/>
              </w:rPr>
              <w:t>Data provided did not reveal the specific chemical and industry for each cost input provided. Given the small sample size, it is unclear if costs are representative of the entire industry, the respective business size and/or applicable to all nine chemicals.</w:t>
            </w:r>
          </w:p>
          <w:p w14:paraId="780E6590" w14:textId="0EF6E81E" w:rsidR="00E47DF1" w:rsidRPr="00E47DF1" w:rsidRDefault="00E47DF1" w:rsidP="00F06D4D">
            <w:pPr>
              <w:contextualSpacing w:val="0"/>
              <w:rPr>
                <w:rFonts w:asciiTheme="minorHAnsi" w:hAnsiTheme="minorHAnsi" w:cstheme="minorHAnsi"/>
                <w:szCs w:val="22"/>
              </w:rPr>
            </w:pPr>
            <w:r w:rsidRPr="00E47DF1">
              <w:rPr>
                <w:rFonts w:asciiTheme="minorHAnsi" w:hAnsiTheme="minorHAnsi" w:cstheme="minorHAnsi"/>
                <w:szCs w:val="22"/>
              </w:rPr>
              <w:t xml:space="preserve">Where available, stakeholder input was included in the analysis as an additional data source informing cost inputs. Given the limitations, a weighted average between stakeholder input and previous Decision RIS data was applied, based on the number of responses or data points. </w:t>
            </w:r>
          </w:p>
        </w:tc>
      </w:tr>
    </w:tbl>
    <w:p w14:paraId="65FF8B80" w14:textId="4290A13E" w:rsidR="009C04AD" w:rsidRDefault="009C04AD" w:rsidP="0081349A">
      <w:pPr>
        <w:pStyle w:val="Caption"/>
      </w:pPr>
      <w:bookmarkStart w:id="706" w:name="_Ref216793461"/>
      <w:r>
        <w:lastRenderedPageBreak/>
        <w:t xml:space="preserve">Table </w:t>
      </w:r>
      <w:fldSimple w:instr=" SEQ Table \* ARABIC ">
        <w:r w:rsidR="00A002F4">
          <w:rPr>
            <w:noProof/>
          </w:rPr>
          <w:t>66</w:t>
        </w:r>
      </w:fldSimple>
      <w:bookmarkEnd w:id="706"/>
      <w:r>
        <w:t xml:space="preserve"> - </w:t>
      </w:r>
      <w:r w:rsidRPr="00A10057">
        <w:t>Key limitations of the analysis for determining the benefits of each proposed WELs</w:t>
      </w:r>
    </w:p>
    <w:tbl>
      <w:tblPr>
        <w:tblStyle w:val="TableGrid"/>
        <w:tblW w:w="90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087"/>
      </w:tblGrid>
      <w:tr w:rsidR="00950BE5" w:rsidRPr="002A1131" w14:paraId="0458CC90" w14:textId="77777777" w:rsidTr="005B52BA">
        <w:trPr>
          <w:trHeight w:val="285"/>
          <w:tblHeader/>
        </w:trPr>
        <w:tc>
          <w:tcPr>
            <w:tcW w:w="1980" w:type="dxa"/>
            <w:shd w:val="clear" w:color="auto" w:fill="4877E0" w:themeFill="accent1"/>
          </w:tcPr>
          <w:p w14:paraId="36B682B2" w14:textId="77777777" w:rsidR="00950BE5" w:rsidRPr="00F06D4D" w:rsidRDefault="00950BE5" w:rsidP="00274F40">
            <w:pPr>
              <w:keepNext/>
              <w:keepLines/>
              <w:widowControl w:val="0"/>
              <w:spacing w:after="0" w:line="240" w:lineRule="auto"/>
              <w:rPr>
                <w:rFonts w:eastAsia="Times New Roman" w:cs="Arial"/>
                <w:b/>
                <w:bCs/>
                <w:color w:val="FFFFFF" w:themeColor="background1"/>
                <w:lang w:eastAsia="en-AU"/>
              </w:rPr>
            </w:pPr>
            <w:r w:rsidRPr="00F06D4D">
              <w:rPr>
                <w:rFonts w:eastAsia="Times New Roman" w:cs="Arial"/>
                <w:b/>
                <w:bCs/>
                <w:color w:val="FFFFFF" w:themeColor="background1"/>
                <w:lang w:eastAsia="en-AU"/>
              </w:rPr>
              <w:t>Limitation</w:t>
            </w:r>
          </w:p>
        </w:tc>
        <w:tc>
          <w:tcPr>
            <w:tcW w:w="7087" w:type="dxa"/>
            <w:shd w:val="clear" w:color="auto" w:fill="4877E0" w:themeFill="accent1"/>
          </w:tcPr>
          <w:p w14:paraId="12C0AA7A" w14:textId="77777777" w:rsidR="00950BE5" w:rsidRPr="00F06D4D" w:rsidRDefault="00950BE5" w:rsidP="00274F40">
            <w:pPr>
              <w:keepNext/>
              <w:keepLines/>
              <w:widowControl w:val="0"/>
              <w:spacing w:after="0" w:line="240" w:lineRule="auto"/>
              <w:rPr>
                <w:rFonts w:eastAsia="Times New Roman" w:cs="Arial"/>
                <w:b/>
                <w:bCs/>
                <w:color w:val="FFFFFF" w:themeColor="background1"/>
                <w:lang w:eastAsia="en-AU"/>
              </w:rPr>
            </w:pPr>
            <w:r w:rsidRPr="00F06D4D">
              <w:rPr>
                <w:rFonts w:eastAsia="Times New Roman" w:cs="Arial"/>
                <w:b/>
                <w:bCs/>
                <w:color w:val="FFFFFF" w:themeColor="background1"/>
                <w:lang w:eastAsia="en-AU"/>
              </w:rPr>
              <w:t xml:space="preserve">Description </w:t>
            </w:r>
          </w:p>
        </w:tc>
      </w:tr>
      <w:tr w:rsidR="004256A7" w:rsidRPr="00DD1E39" w14:paraId="3A6A11F0" w14:textId="77777777" w:rsidTr="005B52BA">
        <w:trPr>
          <w:trHeight w:val="265"/>
        </w:trPr>
        <w:tc>
          <w:tcPr>
            <w:tcW w:w="1980" w:type="dxa"/>
          </w:tcPr>
          <w:p w14:paraId="5DAC534D" w14:textId="77777777" w:rsidR="004256A7" w:rsidRPr="00DD1E39" w:rsidRDefault="004256A7" w:rsidP="004256A7">
            <w:pPr>
              <w:keepNext/>
              <w:keepLines/>
              <w:widowControl w:val="0"/>
              <w:spacing w:line="240" w:lineRule="auto"/>
              <w:contextualSpacing w:val="0"/>
              <w:rPr>
                <w:rFonts w:cs="Arial"/>
                <w:b/>
                <w:bCs/>
                <w:szCs w:val="22"/>
              </w:rPr>
            </w:pPr>
            <w:r>
              <w:rPr>
                <w:rFonts w:cs="Arial"/>
                <w:b/>
                <w:bCs/>
                <w:szCs w:val="22"/>
              </w:rPr>
              <w:t>This analysis was unable to quantify some benefits for the proposed WEL for each chemical.</w:t>
            </w:r>
          </w:p>
        </w:tc>
        <w:tc>
          <w:tcPr>
            <w:tcW w:w="7087" w:type="dxa"/>
          </w:tcPr>
          <w:p w14:paraId="490E0887" w14:textId="37F9BA67" w:rsidR="004256A7" w:rsidRPr="00DD1E39" w:rsidRDefault="004256A7" w:rsidP="004256A7">
            <w:pPr>
              <w:keepNext/>
              <w:keepLines/>
              <w:contextualSpacing w:val="0"/>
              <w:rPr>
                <w:rFonts w:cs="Arial"/>
                <w:szCs w:val="22"/>
              </w:rPr>
            </w:pPr>
            <w:r w:rsidRPr="0008032F">
              <w:rPr>
                <w:b/>
                <w:bCs/>
              </w:rPr>
              <w:t xml:space="preserve">Benefits were not able to be estimated for four of the </w:t>
            </w:r>
            <w:r w:rsidR="00947E2C">
              <w:rPr>
                <w:b/>
                <w:bCs/>
              </w:rPr>
              <w:t>9</w:t>
            </w:r>
            <w:r w:rsidR="00C3435A">
              <w:rPr>
                <w:b/>
                <w:bCs/>
              </w:rPr>
              <w:t xml:space="preserve"> </w:t>
            </w:r>
            <w:r w:rsidRPr="0008032F">
              <w:rPr>
                <w:b/>
                <w:bCs/>
              </w:rPr>
              <w:t>chemicals</w:t>
            </w:r>
            <w:r w:rsidR="00F06D4D">
              <w:rPr>
                <w:b/>
                <w:bCs/>
              </w:rPr>
              <w:t xml:space="preserve"> considered in this Decision RIS</w:t>
            </w:r>
            <w:r w:rsidRPr="006E4C82">
              <w:t xml:space="preserve"> (copper, hydrogen cyanide, nitrogen dioxide and titanium dioxide) </w:t>
            </w:r>
            <w:r>
              <w:t xml:space="preserve">due to insufficient available data. However, this absence of data should not be interpreted as an absence of potential benefits. Workplace exposure to these chemicals can result in adverse health impacts (see </w:t>
            </w:r>
            <w:r w:rsidR="0055743C">
              <w:fldChar w:fldCharType="begin"/>
            </w:r>
            <w:r w:rsidR="0055743C">
              <w:instrText xml:space="preserve"> REF _Ref199835096 \h </w:instrText>
            </w:r>
            <w:r w:rsidR="0055743C">
              <w:fldChar w:fldCharType="separate"/>
            </w:r>
            <w:r w:rsidR="00A002F4">
              <w:t xml:space="preserve">Table </w:t>
            </w:r>
            <w:r w:rsidR="00A002F4">
              <w:rPr>
                <w:noProof/>
              </w:rPr>
              <w:t>2</w:t>
            </w:r>
            <w:r w:rsidR="0055743C">
              <w:fldChar w:fldCharType="end"/>
            </w:r>
            <w:r>
              <w:t xml:space="preserve">) that would be expected to be reduced through implementation of the proposed WEL. </w:t>
            </w:r>
          </w:p>
        </w:tc>
      </w:tr>
      <w:tr w:rsidR="00A84387" w:rsidRPr="00766C2F" w14:paraId="6CD9C4FD" w14:textId="77777777" w:rsidTr="005B52BA">
        <w:trPr>
          <w:trHeight w:val="265"/>
        </w:trPr>
        <w:tc>
          <w:tcPr>
            <w:tcW w:w="1980" w:type="dxa"/>
            <w:shd w:val="clear" w:color="auto" w:fill="DAE3F8" w:themeFill="accent1" w:themeFillTint="33"/>
          </w:tcPr>
          <w:p w14:paraId="123EF770" w14:textId="238F29A6" w:rsidR="004256A7" w:rsidRPr="00A84387" w:rsidRDefault="004256A7" w:rsidP="004256A7">
            <w:pPr>
              <w:keepNext/>
              <w:keepLines/>
              <w:widowControl w:val="0"/>
              <w:spacing w:line="240" w:lineRule="auto"/>
              <w:contextualSpacing w:val="0"/>
              <w:rPr>
                <w:rFonts w:eastAsia="Times New Roman" w:cs="Arial"/>
                <w:b/>
                <w:bCs/>
                <w:szCs w:val="22"/>
                <w:lang w:eastAsia="en-AU"/>
              </w:rPr>
            </w:pPr>
            <w:r w:rsidRPr="00A84387">
              <w:rPr>
                <w:b/>
                <w:bCs/>
              </w:rPr>
              <w:t>The available benefits-related data is limited, partly due to the long latency periods and challenges linking health outcomes to specific chemical exposures</w:t>
            </w:r>
            <w:r w:rsidRPr="00A84387" w:rsidDel="004D29F5">
              <w:rPr>
                <w:rFonts w:cs="Arial"/>
                <w:b/>
                <w:bCs/>
                <w:szCs w:val="22"/>
              </w:rPr>
              <w:t xml:space="preserve"> </w:t>
            </w:r>
          </w:p>
        </w:tc>
        <w:tc>
          <w:tcPr>
            <w:tcW w:w="7087" w:type="dxa"/>
            <w:shd w:val="clear" w:color="auto" w:fill="DAE3F8" w:themeFill="accent1" w:themeFillTint="33"/>
          </w:tcPr>
          <w:p w14:paraId="06045706" w14:textId="099894B2" w:rsidR="004256A7" w:rsidRPr="00A84387" w:rsidRDefault="004256A7" w:rsidP="004256A7">
            <w:pPr>
              <w:pStyle w:val="TableNText"/>
              <w:rPr>
                <w:rFonts w:asciiTheme="minorHAnsi" w:hAnsiTheme="minorHAnsi" w:cstheme="minorHAnsi"/>
                <w:sz w:val="22"/>
              </w:rPr>
            </w:pPr>
            <w:r w:rsidRPr="00A84387">
              <w:rPr>
                <w:rFonts w:asciiTheme="minorHAnsi" w:hAnsiTheme="minorHAnsi" w:cstheme="minorHAnsi"/>
                <w:b/>
                <w:sz w:val="22"/>
              </w:rPr>
              <w:t xml:space="preserve">For the remaining </w:t>
            </w:r>
            <w:r w:rsidR="00147584">
              <w:rPr>
                <w:rFonts w:asciiTheme="minorHAnsi" w:hAnsiTheme="minorHAnsi" w:cstheme="minorHAnsi"/>
                <w:b/>
                <w:sz w:val="22"/>
              </w:rPr>
              <w:t>5</w:t>
            </w:r>
            <w:r w:rsidRPr="00A84387" w:rsidDel="00147584">
              <w:rPr>
                <w:rFonts w:asciiTheme="minorHAnsi" w:hAnsiTheme="minorHAnsi" w:cstheme="minorHAnsi"/>
                <w:b/>
                <w:bCs/>
                <w:sz w:val="22"/>
              </w:rPr>
              <w:t xml:space="preserve"> </w:t>
            </w:r>
            <w:r w:rsidRPr="00A84387">
              <w:rPr>
                <w:rFonts w:asciiTheme="minorHAnsi" w:hAnsiTheme="minorHAnsi" w:cstheme="minorHAnsi"/>
                <w:b/>
                <w:sz w:val="22"/>
              </w:rPr>
              <w:t>chemicals,</w:t>
            </w:r>
            <w:r w:rsidRPr="00A84387">
              <w:rPr>
                <w:rFonts w:asciiTheme="minorHAnsi" w:hAnsiTheme="minorHAnsi" w:cstheme="minorHAnsi"/>
                <w:sz w:val="22"/>
              </w:rPr>
              <w:t xml:space="preserve"> benefits-related data is limited and subject to a number of caveats:</w:t>
            </w:r>
          </w:p>
          <w:p w14:paraId="6F8B4237" w14:textId="5F6950CF" w:rsidR="004256A7" w:rsidRPr="00A84387" w:rsidRDefault="004256A7" w:rsidP="00A2768E">
            <w:pPr>
              <w:pStyle w:val="TableNText"/>
              <w:numPr>
                <w:ilvl w:val="0"/>
                <w:numId w:val="136"/>
              </w:numPr>
              <w:spacing w:line="240" w:lineRule="auto"/>
              <w:rPr>
                <w:rFonts w:asciiTheme="minorHAnsi" w:hAnsiTheme="minorHAnsi" w:cstheme="minorHAnsi"/>
                <w:b/>
                <w:sz w:val="22"/>
              </w:rPr>
            </w:pPr>
            <w:r w:rsidRPr="00A84387">
              <w:rPr>
                <w:rFonts w:asciiTheme="minorHAnsi" w:hAnsiTheme="minorHAnsi" w:cstheme="minorHAnsi"/>
                <w:sz w:val="22"/>
              </w:rPr>
              <w:t>Workers’ compensation claims data, used to calculate the direct financial benefits and indirect benefits, is available for only four chemicals (benzene, chlorine, hydrogen sul</w:t>
            </w:r>
            <w:r w:rsidR="00312B4B">
              <w:rPr>
                <w:rFonts w:asciiTheme="minorHAnsi" w:hAnsiTheme="minorHAnsi" w:cstheme="minorHAnsi"/>
                <w:sz w:val="22"/>
              </w:rPr>
              <w:t>f</w:t>
            </w:r>
            <w:r w:rsidRPr="00A84387">
              <w:rPr>
                <w:rFonts w:asciiTheme="minorHAnsi" w:hAnsiTheme="minorHAnsi" w:cstheme="minorHAnsi"/>
                <w:sz w:val="22"/>
              </w:rPr>
              <w:t>ide and RCS). Occupational diseases linked to underreported chemicals likely face challenges in establishing causation, long latency periods between exposure and disease onset and attributing specific health conditions to workplace chemical exposures.</w:t>
            </w:r>
          </w:p>
          <w:p w14:paraId="14A72F99" w14:textId="4C782B4B" w:rsidR="004256A7" w:rsidRPr="00147584" w:rsidRDefault="004256A7" w:rsidP="00A2768E">
            <w:pPr>
              <w:pStyle w:val="ListParagraph"/>
              <w:keepNext/>
              <w:keepLines/>
              <w:numPr>
                <w:ilvl w:val="0"/>
                <w:numId w:val="136"/>
              </w:numPr>
              <w:rPr>
                <w:rFonts w:asciiTheme="minorHAnsi" w:hAnsiTheme="minorHAnsi" w:cstheme="minorHAnsi"/>
                <w:szCs w:val="22"/>
              </w:rPr>
            </w:pPr>
            <w:r w:rsidRPr="00A84387">
              <w:rPr>
                <w:rFonts w:asciiTheme="minorHAnsi" w:hAnsiTheme="minorHAnsi" w:cstheme="minorHAnsi"/>
                <w:szCs w:val="22"/>
              </w:rPr>
              <w:t>Estimated burden of disease data from the IHME Global Burden of Disease study, used to estimate improved health outcomes benefits, exists for only three chemicals (benzene, formaldehyde and RCS). Under-reporting of occupational diseases is likely due to long latency periods and difficulties linking specific exposures to health outcomes.</w:t>
            </w:r>
          </w:p>
        </w:tc>
      </w:tr>
      <w:tr w:rsidR="004256A7" w:rsidRPr="00885D52" w14:paraId="60E35935" w14:textId="77777777" w:rsidTr="005B52BA">
        <w:trPr>
          <w:trHeight w:val="265"/>
        </w:trPr>
        <w:tc>
          <w:tcPr>
            <w:tcW w:w="1980" w:type="dxa"/>
          </w:tcPr>
          <w:p w14:paraId="030C7AF2" w14:textId="26FEE9D6" w:rsidR="004256A7" w:rsidRPr="00147584" w:rsidRDefault="004256A7" w:rsidP="00147584">
            <w:pPr>
              <w:pStyle w:val="TableNText"/>
              <w:rPr>
                <w:rFonts w:asciiTheme="minorHAnsi" w:eastAsia="Times New Roman" w:hAnsiTheme="minorHAnsi" w:cstheme="minorHAnsi"/>
                <w:b/>
                <w:bCs/>
                <w:lang w:eastAsia="en-AU"/>
              </w:rPr>
            </w:pPr>
            <w:r w:rsidRPr="00A84387">
              <w:rPr>
                <w:rFonts w:asciiTheme="minorHAnsi" w:hAnsiTheme="minorHAnsi" w:cstheme="minorHAnsi"/>
                <w:b/>
                <w:bCs/>
                <w:sz w:val="22"/>
              </w:rPr>
              <w:t>This analysis assumes that the shift to the proposed WEL would avert all occupational disease attributable to workplace exposure for each chemical.</w:t>
            </w:r>
          </w:p>
        </w:tc>
        <w:tc>
          <w:tcPr>
            <w:tcW w:w="7087" w:type="dxa"/>
          </w:tcPr>
          <w:p w14:paraId="10D545CC" w14:textId="3D8D16A7" w:rsidR="004256A7" w:rsidRPr="00885D52" w:rsidRDefault="004256A7" w:rsidP="004256A7">
            <w:pPr>
              <w:keepNext/>
              <w:keepLines/>
              <w:contextualSpacing w:val="0"/>
              <w:rPr>
                <w:rFonts w:eastAsia="Arial" w:cs="Arial"/>
                <w:szCs w:val="22"/>
                <w:lang w:eastAsia="en-AU"/>
              </w:rPr>
            </w:pPr>
            <w:r>
              <w:rPr>
                <w:b/>
                <w:bCs/>
              </w:rPr>
              <w:t xml:space="preserve">For the </w:t>
            </w:r>
            <w:r w:rsidR="00147584">
              <w:rPr>
                <w:b/>
                <w:bCs/>
              </w:rPr>
              <w:t>5</w:t>
            </w:r>
            <w:r>
              <w:rPr>
                <w:b/>
                <w:bCs/>
              </w:rPr>
              <w:t xml:space="preserve"> chemicals where the benefits were able to be quantified: </w:t>
            </w:r>
            <w:r w:rsidRPr="00993B73">
              <w:t xml:space="preserve">In the absence of research </w:t>
            </w:r>
            <w:r>
              <w:t>on</w:t>
            </w:r>
            <w:r w:rsidRPr="00993B73">
              <w:t xml:space="preserve"> the </w:t>
            </w:r>
            <w:r>
              <w:t xml:space="preserve">expected </w:t>
            </w:r>
            <w:r w:rsidRPr="00993B73">
              <w:t xml:space="preserve">reduction in the incidence of occupational disease attributable </w:t>
            </w:r>
            <w:r>
              <w:t>to</w:t>
            </w:r>
            <w:r w:rsidRPr="00993B73">
              <w:t xml:space="preserve"> the proposed WEL for each chemical, this analysis assumes all occupational disease would be averted. This </w:t>
            </w:r>
            <w:r>
              <w:t>could</w:t>
            </w:r>
            <w:r w:rsidRPr="00993B73">
              <w:t xml:space="preserve"> result in an over-estimation of the </w:t>
            </w:r>
            <w:r>
              <w:t>actual benefits for</w:t>
            </w:r>
            <w:r w:rsidRPr="00993B73">
              <w:t xml:space="preserve"> each chemical, as adverse health impacts </w:t>
            </w:r>
            <w:r>
              <w:t>may not be fully avoided</w:t>
            </w:r>
            <w:r w:rsidRPr="00993B73">
              <w:t xml:space="preserve"> unless exposure to a chemical is </w:t>
            </w:r>
            <w:r>
              <w:t xml:space="preserve">completely </w:t>
            </w:r>
            <w:r w:rsidRPr="00993B73">
              <w:t xml:space="preserve">eliminated. This is because natural human biological variations and individual susceptibilities (such as an existing medical condition) may mean </w:t>
            </w:r>
            <w:r>
              <w:t>some individuals</w:t>
            </w:r>
            <w:r w:rsidRPr="00993B73">
              <w:t xml:space="preserve"> could still experience adverse health effects from exposure at levels below the proposed WEL.</w:t>
            </w:r>
          </w:p>
        </w:tc>
      </w:tr>
      <w:tr w:rsidR="00A84387" w:rsidRPr="00941F08" w14:paraId="2C9022DD" w14:textId="77777777" w:rsidTr="005B52BA">
        <w:trPr>
          <w:trHeight w:val="265"/>
        </w:trPr>
        <w:tc>
          <w:tcPr>
            <w:tcW w:w="1980" w:type="dxa"/>
            <w:shd w:val="clear" w:color="auto" w:fill="DAE3F8" w:themeFill="accent1" w:themeFillTint="33"/>
          </w:tcPr>
          <w:p w14:paraId="13B48528" w14:textId="77777777" w:rsidR="004256A7" w:rsidRPr="00A84387" w:rsidRDefault="004256A7" w:rsidP="004256A7">
            <w:pPr>
              <w:pStyle w:val="TableNText"/>
              <w:rPr>
                <w:rFonts w:asciiTheme="minorHAnsi" w:hAnsiTheme="minorHAnsi" w:cstheme="minorHAnsi"/>
                <w:b/>
                <w:bCs/>
                <w:sz w:val="22"/>
              </w:rPr>
            </w:pPr>
            <w:r w:rsidRPr="00A84387">
              <w:rPr>
                <w:rFonts w:asciiTheme="minorHAnsi" w:hAnsiTheme="minorHAnsi" w:cstheme="minorHAnsi"/>
                <w:b/>
                <w:bCs/>
                <w:sz w:val="22"/>
              </w:rPr>
              <w:t>This analysis assumes the full quantum of benefits is accrued from the first year of the analysis.</w:t>
            </w:r>
          </w:p>
          <w:p w14:paraId="5E3D391E" w14:textId="77777777" w:rsidR="004256A7" w:rsidRPr="00147584" w:rsidRDefault="004256A7" w:rsidP="00147584">
            <w:pPr>
              <w:pStyle w:val="TableNText"/>
              <w:rPr>
                <w:rFonts w:asciiTheme="minorHAnsi" w:eastAsia="Times New Roman" w:hAnsiTheme="minorHAnsi" w:cstheme="minorHAnsi"/>
                <w:b/>
                <w:bCs/>
                <w:lang w:eastAsia="en-AU"/>
              </w:rPr>
            </w:pPr>
          </w:p>
        </w:tc>
        <w:tc>
          <w:tcPr>
            <w:tcW w:w="7087" w:type="dxa"/>
            <w:shd w:val="clear" w:color="auto" w:fill="DAE3F8" w:themeFill="accent1" w:themeFillTint="33"/>
          </w:tcPr>
          <w:p w14:paraId="4E04E348" w14:textId="521D3C2A" w:rsidR="004256A7" w:rsidRPr="00941F08" w:rsidRDefault="004256A7" w:rsidP="004256A7">
            <w:pPr>
              <w:keepNext/>
              <w:keepLines/>
              <w:contextualSpacing w:val="0"/>
              <w:rPr>
                <w:rFonts w:cs="Arial"/>
                <w:szCs w:val="22"/>
              </w:rPr>
            </w:pPr>
            <w:r>
              <w:rPr>
                <w:b/>
                <w:bCs/>
              </w:rPr>
              <w:t xml:space="preserve">For the </w:t>
            </w:r>
            <w:r w:rsidR="00147584">
              <w:rPr>
                <w:b/>
                <w:bCs/>
              </w:rPr>
              <w:t>5</w:t>
            </w:r>
            <w:r>
              <w:rPr>
                <w:b/>
                <w:bCs/>
              </w:rPr>
              <w:t xml:space="preserve"> chemicals where the benefits were able to be quantified: </w:t>
            </w:r>
            <w:r w:rsidRPr="00993B73">
              <w:t xml:space="preserve">This analysis assumes that the </w:t>
            </w:r>
            <w:r>
              <w:t>quantifi</w:t>
            </w:r>
            <w:r w:rsidR="00FF3931">
              <w:t>able</w:t>
            </w:r>
            <w:r>
              <w:t xml:space="preserve"> </w:t>
            </w:r>
            <w:r w:rsidRPr="00993B73">
              <w:t xml:space="preserve">benefits </w:t>
            </w:r>
            <w:r>
              <w:t xml:space="preserve">from </w:t>
            </w:r>
            <w:r w:rsidRPr="00993B73">
              <w:t>the reduction in workers’ compensation claims and the burden of disease, attributable to the WEL, would be accrued in-full starting in the first year of implementation. However, many of the diseases that result from occupational exposure to the chemicals can manifest 10-or-more years after the period of exposure, due to long latency periods between exposure and disease onset. As such, the full scale of benefits attributable to the reduction in the WEL may not be experienced until after the end of the 10-year appraisal period.</w:t>
            </w:r>
          </w:p>
        </w:tc>
      </w:tr>
      <w:tr w:rsidR="004256A7" w:rsidRPr="00941F08" w14:paraId="43089574" w14:textId="77777777" w:rsidTr="005B52BA">
        <w:trPr>
          <w:trHeight w:val="265"/>
        </w:trPr>
        <w:tc>
          <w:tcPr>
            <w:tcW w:w="1980" w:type="dxa"/>
          </w:tcPr>
          <w:p w14:paraId="4ADD613B" w14:textId="30CDFBD5" w:rsidR="004256A7" w:rsidRPr="00147584" w:rsidRDefault="004256A7" w:rsidP="00147584">
            <w:pPr>
              <w:pStyle w:val="TableNText"/>
              <w:rPr>
                <w:rFonts w:asciiTheme="minorHAnsi" w:hAnsiTheme="minorHAnsi" w:cstheme="minorHAnsi"/>
                <w:b/>
                <w:bCs/>
              </w:rPr>
            </w:pPr>
            <w:r w:rsidRPr="00A84387">
              <w:rPr>
                <w:rFonts w:asciiTheme="minorHAnsi" w:hAnsiTheme="minorHAnsi" w:cstheme="minorHAnsi"/>
                <w:b/>
                <w:bCs/>
                <w:sz w:val="22"/>
              </w:rPr>
              <w:lastRenderedPageBreak/>
              <w:t>The prevalence of occupational disease is likely under-represented in workers compensation claims data.</w:t>
            </w:r>
          </w:p>
        </w:tc>
        <w:tc>
          <w:tcPr>
            <w:tcW w:w="7087" w:type="dxa"/>
          </w:tcPr>
          <w:p w14:paraId="7A289388" w14:textId="762EABCD" w:rsidR="004256A7" w:rsidRPr="00147584" w:rsidRDefault="004256A7" w:rsidP="004256A7">
            <w:pPr>
              <w:pStyle w:val="TableNText"/>
              <w:rPr>
                <w:rFonts w:asciiTheme="minorHAnsi" w:hAnsiTheme="minorHAnsi" w:cstheme="minorHAnsi"/>
                <w:sz w:val="22"/>
              </w:rPr>
            </w:pPr>
            <w:r w:rsidRPr="00147584">
              <w:rPr>
                <w:rFonts w:asciiTheme="minorHAnsi" w:hAnsiTheme="minorHAnsi" w:cstheme="minorHAnsi"/>
                <w:b/>
                <w:bCs/>
                <w:sz w:val="22"/>
              </w:rPr>
              <w:t xml:space="preserve">For the five chemicals where the benefits were able to be quantified: </w:t>
            </w:r>
            <w:r w:rsidRPr="00147584">
              <w:rPr>
                <w:rFonts w:asciiTheme="minorHAnsi" w:hAnsiTheme="minorHAnsi" w:cstheme="minorHAnsi"/>
                <w:sz w:val="22"/>
              </w:rPr>
              <w:t xml:space="preserve">Data on workers’ compensation likely under-represent the extent of occupational disease attributable to workplace exposure to the </w:t>
            </w:r>
            <w:r w:rsidR="00147584">
              <w:rPr>
                <w:rFonts w:asciiTheme="minorHAnsi" w:hAnsiTheme="minorHAnsi" w:cstheme="minorHAnsi"/>
                <w:sz w:val="22"/>
              </w:rPr>
              <w:t>9</w:t>
            </w:r>
            <w:r w:rsidRPr="00147584">
              <w:rPr>
                <w:rFonts w:asciiTheme="minorHAnsi" w:hAnsiTheme="minorHAnsi" w:cstheme="minorHAnsi"/>
                <w:sz w:val="22"/>
              </w:rPr>
              <w:t xml:space="preserve"> chemicals. This is due to:</w:t>
            </w:r>
          </w:p>
          <w:p w14:paraId="01B0B2CF" w14:textId="77777777" w:rsidR="004256A7" w:rsidRPr="00147584" w:rsidRDefault="004256A7" w:rsidP="004256A7">
            <w:pPr>
              <w:pStyle w:val="TableNBullet"/>
              <w:spacing w:line="240" w:lineRule="auto"/>
              <w:rPr>
                <w:rFonts w:asciiTheme="minorHAnsi" w:hAnsiTheme="minorHAnsi" w:cstheme="minorHAnsi"/>
                <w:sz w:val="22"/>
                <w:szCs w:val="22"/>
              </w:rPr>
            </w:pPr>
            <w:r w:rsidRPr="00147584">
              <w:rPr>
                <w:rFonts w:asciiTheme="minorHAnsi" w:hAnsiTheme="minorHAnsi" w:cstheme="minorHAnsi"/>
                <w:sz w:val="22"/>
                <w:szCs w:val="22"/>
              </w:rPr>
              <w:t>Under-reporting of work-related injury and illness due to workers not believing compensation was necessary, thinking they were ineligible, or not being aware they were covered.</w:t>
            </w:r>
          </w:p>
          <w:p w14:paraId="72C85FFA" w14:textId="77777777" w:rsidR="004256A7" w:rsidRPr="00147584" w:rsidRDefault="004256A7" w:rsidP="004256A7">
            <w:pPr>
              <w:pStyle w:val="TableNBullet"/>
              <w:spacing w:line="240" w:lineRule="auto"/>
              <w:rPr>
                <w:rFonts w:asciiTheme="minorHAnsi" w:hAnsiTheme="minorHAnsi" w:cstheme="minorHAnsi"/>
                <w:sz w:val="22"/>
                <w:szCs w:val="22"/>
              </w:rPr>
            </w:pPr>
            <w:r w:rsidRPr="00147584">
              <w:rPr>
                <w:rFonts w:asciiTheme="minorHAnsi" w:hAnsiTheme="minorHAnsi" w:cstheme="minorHAnsi"/>
                <w:sz w:val="22"/>
                <w:szCs w:val="22"/>
              </w:rPr>
              <w:t>Long latency periods between exposure and the observable onset of disease may result in individuals not linking the disease to workplace exposure or having insufficient evidence to link the disease to occupational exposure.</w:t>
            </w:r>
          </w:p>
          <w:p w14:paraId="0C16DD2E" w14:textId="77777777" w:rsidR="004256A7" w:rsidRPr="00147584" w:rsidRDefault="004256A7" w:rsidP="004256A7">
            <w:pPr>
              <w:pStyle w:val="TableNBullet"/>
              <w:spacing w:line="240" w:lineRule="auto"/>
              <w:rPr>
                <w:rFonts w:asciiTheme="minorHAnsi" w:hAnsiTheme="minorHAnsi" w:cstheme="minorHAnsi"/>
                <w:sz w:val="22"/>
                <w:szCs w:val="22"/>
              </w:rPr>
            </w:pPr>
            <w:r w:rsidRPr="00147584">
              <w:rPr>
                <w:rFonts w:asciiTheme="minorHAnsi" w:hAnsiTheme="minorHAnsi" w:cstheme="minorHAnsi"/>
                <w:sz w:val="22"/>
                <w:szCs w:val="22"/>
              </w:rPr>
              <w:t>Practices of ‘code dumping’ within NDS data, where claims are attributed to ‘other’ and ‘unspecified’ categories, rather than being coded against the relevant chemical.</w:t>
            </w:r>
          </w:p>
          <w:p w14:paraId="642FF2B8" w14:textId="77777777" w:rsidR="004256A7" w:rsidRPr="00147584" w:rsidRDefault="004256A7" w:rsidP="004256A7">
            <w:pPr>
              <w:pStyle w:val="TableNBullet"/>
              <w:spacing w:line="240" w:lineRule="auto"/>
              <w:rPr>
                <w:rFonts w:asciiTheme="minorHAnsi" w:hAnsiTheme="minorHAnsi" w:cstheme="minorHAnsi"/>
                <w:sz w:val="22"/>
                <w:szCs w:val="22"/>
              </w:rPr>
            </w:pPr>
            <w:r w:rsidRPr="00147584">
              <w:rPr>
                <w:rFonts w:asciiTheme="minorHAnsi" w:hAnsiTheme="minorHAnsi" w:cstheme="minorHAnsi"/>
                <w:sz w:val="22"/>
                <w:szCs w:val="22"/>
              </w:rPr>
              <w:t>Unincorporated enterprises and independent contractors are generally not covered under workers’ compensation schemes.</w:t>
            </w:r>
          </w:p>
          <w:p w14:paraId="1E7F61D9" w14:textId="561B20CD" w:rsidR="004256A7" w:rsidRPr="00147584" w:rsidRDefault="004256A7" w:rsidP="004256A7">
            <w:pPr>
              <w:pStyle w:val="TableNText"/>
              <w:rPr>
                <w:rFonts w:asciiTheme="minorHAnsi" w:hAnsiTheme="minorHAnsi" w:cstheme="minorHAnsi"/>
                <w:sz w:val="22"/>
              </w:rPr>
            </w:pPr>
            <w:r w:rsidRPr="00147584">
              <w:rPr>
                <w:rFonts w:asciiTheme="minorHAnsi" w:hAnsiTheme="minorHAnsi" w:cstheme="minorHAnsi"/>
                <w:sz w:val="22"/>
              </w:rPr>
              <w:t>To account for the likely under-representation of workplace injury and illness in workers’ compensation claims, the impact analysis applies a 50</w:t>
            </w:r>
            <w:r w:rsidR="00147584">
              <w:rPr>
                <w:rFonts w:asciiTheme="minorHAnsi" w:hAnsiTheme="minorHAnsi" w:cstheme="minorHAnsi"/>
                <w:sz w:val="22"/>
              </w:rPr>
              <w:t>%</w:t>
            </w:r>
            <w:r w:rsidRPr="00147584">
              <w:rPr>
                <w:rFonts w:asciiTheme="minorHAnsi" w:hAnsiTheme="minorHAnsi" w:cstheme="minorHAnsi"/>
                <w:sz w:val="22"/>
              </w:rPr>
              <w:t xml:space="preserve"> uplift factor to all direct financial benefits and indirect benefits. </w:t>
            </w:r>
          </w:p>
          <w:p w14:paraId="29E7F757" w14:textId="7E11E1AB" w:rsidR="004256A7" w:rsidRPr="00147584" w:rsidRDefault="004256A7" w:rsidP="004256A7">
            <w:pPr>
              <w:keepNext/>
              <w:keepLines/>
              <w:contextualSpacing w:val="0"/>
              <w:rPr>
                <w:rFonts w:asciiTheme="minorHAnsi" w:hAnsiTheme="minorHAnsi" w:cstheme="minorHAnsi"/>
                <w:szCs w:val="22"/>
              </w:rPr>
            </w:pPr>
            <w:r w:rsidRPr="00147584">
              <w:rPr>
                <w:rFonts w:asciiTheme="minorHAnsi" w:hAnsiTheme="minorHAnsi" w:cstheme="minorHAnsi"/>
                <w:szCs w:val="22"/>
              </w:rPr>
              <w:t xml:space="preserve">Further details on these factors are presented in </w:t>
            </w:r>
            <w:r w:rsidR="009C39D6">
              <w:rPr>
                <w:rFonts w:asciiTheme="minorHAnsi" w:hAnsiTheme="minorHAnsi" w:cstheme="minorHAnsi"/>
                <w:szCs w:val="22"/>
              </w:rPr>
              <w:t>the ‘</w:t>
            </w:r>
            <w:hyperlink w:anchor="AppendixC_Methodology_Benefits_DFB" w:history="1">
              <w:r w:rsidR="00B9470C">
                <w:rPr>
                  <w:rStyle w:val="Hyperlink"/>
                  <w:rFonts w:asciiTheme="minorHAnsi" w:hAnsiTheme="minorHAnsi" w:cstheme="minorHAnsi"/>
                  <w:szCs w:val="22"/>
                </w:rPr>
                <w:t>Direct financial benefits’ section of Appendi</w:t>
              </w:r>
              <w:r w:rsidR="00815940">
                <w:rPr>
                  <w:rStyle w:val="Hyperlink"/>
                  <w:rFonts w:asciiTheme="minorHAnsi" w:hAnsiTheme="minorHAnsi" w:cstheme="minorHAnsi"/>
                  <w:szCs w:val="22"/>
                </w:rPr>
                <w:t>x</w:t>
              </w:r>
              <w:r w:rsidR="00815940">
                <w:rPr>
                  <w:rStyle w:val="Hyperlink"/>
                  <w:rFonts w:cstheme="minorHAnsi"/>
                  <w:szCs w:val="22"/>
                </w:rPr>
                <w:t xml:space="preserve"> C</w:t>
              </w:r>
            </w:hyperlink>
            <w:r w:rsidRPr="00147584">
              <w:rPr>
                <w:rFonts w:asciiTheme="minorHAnsi" w:hAnsiTheme="minorHAnsi" w:cstheme="minorHAnsi"/>
                <w:szCs w:val="22"/>
              </w:rPr>
              <w:t xml:space="preserve">. </w:t>
            </w:r>
          </w:p>
        </w:tc>
      </w:tr>
      <w:tr w:rsidR="004256A7" w:rsidRPr="00941F08" w14:paraId="7C2F479F" w14:textId="77777777" w:rsidTr="005B52BA">
        <w:trPr>
          <w:trHeight w:val="265"/>
        </w:trPr>
        <w:tc>
          <w:tcPr>
            <w:tcW w:w="1980" w:type="dxa"/>
            <w:shd w:val="clear" w:color="auto" w:fill="DAE3F8" w:themeFill="accent1" w:themeFillTint="33"/>
          </w:tcPr>
          <w:p w14:paraId="30964CBB" w14:textId="77777777" w:rsidR="004256A7" w:rsidRPr="00885D52" w:rsidRDefault="004256A7" w:rsidP="004256A7">
            <w:pPr>
              <w:keepNext/>
              <w:keepLines/>
              <w:widowControl w:val="0"/>
              <w:spacing w:after="0" w:line="240" w:lineRule="auto"/>
              <w:rPr>
                <w:rFonts w:eastAsia="Times New Roman" w:cs="Arial"/>
                <w:b/>
                <w:bCs/>
                <w:szCs w:val="22"/>
                <w:lang w:eastAsia="en-AU"/>
              </w:rPr>
            </w:pPr>
            <w:r w:rsidRPr="00DD1E39">
              <w:rPr>
                <w:rFonts w:cs="Arial"/>
                <w:b/>
                <w:bCs/>
                <w:szCs w:val="22"/>
              </w:rPr>
              <w:t>Workers’ compensation claims do not identify the exposure levels that resulted in occupational illness or injury.</w:t>
            </w:r>
          </w:p>
        </w:tc>
        <w:tc>
          <w:tcPr>
            <w:tcW w:w="7087" w:type="dxa"/>
            <w:shd w:val="clear" w:color="auto" w:fill="DAE3F8" w:themeFill="accent1" w:themeFillTint="33"/>
          </w:tcPr>
          <w:p w14:paraId="6955ABBB" w14:textId="771951DD" w:rsidR="004256A7" w:rsidRPr="00147584" w:rsidRDefault="004256A7" w:rsidP="1D397EB2">
            <w:pPr>
              <w:pStyle w:val="TableNText"/>
              <w:rPr>
                <w:rFonts w:asciiTheme="minorHAnsi" w:hAnsiTheme="minorHAnsi"/>
                <w:sz w:val="22"/>
              </w:rPr>
            </w:pPr>
            <w:r w:rsidRPr="00147584">
              <w:rPr>
                <w:rFonts w:asciiTheme="minorHAnsi" w:hAnsiTheme="minorHAnsi"/>
                <w:b/>
                <w:bCs/>
                <w:sz w:val="22"/>
              </w:rPr>
              <w:t xml:space="preserve">For the </w:t>
            </w:r>
            <w:r w:rsidR="00147584">
              <w:rPr>
                <w:rFonts w:asciiTheme="minorHAnsi" w:hAnsiTheme="minorHAnsi"/>
                <w:b/>
                <w:bCs/>
                <w:sz w:val="22"/>
              </w:rPr>
              <w:t>5</w:t>
            </w:r>
            <w:r w:rsidRPr="00147584">
              <w:rPr>
                <w:rFonts w:asciiTheme="minorHAnsi" w:hAnsiTheme="minorHAnsi"/>
                <w:b/>
                <w:bCs/>
                <w:sz w:val="22"/>
              </w:rPr>
              <w:t xml:space="preserve"> chemicals where the benefits were able to be quantified: </w:t>
            </w:r>
            <w:r w:rsidRPr="00147584">
              <w:rPr>
                <w:rFonts w:asciiTheme="minorHAnsi" w:hAnsiTheme="minorHAnsi"/>
                <w:sz w:val="22"/>
              </w:rPr>
              <w:t>The workers’ compensation claims attributed to benzene, chlorine, hydrogen sul</w:t>
            </w:r>
            <w:r w:rsidR="00147584">
              <w:rPr>
                <w:rFonts w:asciiTheme="minorHAnsi" w:hAnsiTheme="minorHAnsi"/>
                <w:sz w:val="22"/>
              </w:rPr>
              <w:t>f</w:t>
            </w:r>
            <w:r w:rsidRPr="00147584">
              <w:rPr>
                <w:rFonts w:asciiTheme="minorHAnsi" w:hAnsiTheme="minorHAnsi"/>
                <w:sz w:val="22"/>
              </w:rPr>
              <w:t xml:space="preserve">ide and RCS – which have been used to estimate the benefits of the proposed WEL– do not identify the exposure levels that resulted in occupational disease of illness. As such, the estimated benefits may capture claims resulting from workers being exposed to levels in excess of the current WES, potentially resulting in some estimated benefits not solely being directly attributable to the proposed WEL. </w:t>
            </w:r>
          </w:p>
          <w:p w14:paraId="588EDFDF" w14:textId="481893E8" w:rsidR="004256A7" w:rsidRPr="00147584" w:rsidRDefault="004256A7" w:rsidP="1D397EB2">
            <w:pPr>
              <w:keepNext/>
              <w:keepLines/>
              <w:rPr>
                <w:rFonts w:asciiTheme="minorHAnsi" w:hAnsiTheme="minorHAnsi"/>
              </w:rPr>
            </w:pPr>
            <w:r w:rsidRPr="00147584">
              <w:rPr>
                <w:rFonts w:asciiTheme="minorHAnsi" w:hAnsiTheme="minorHAnsi"/>
              </w:rPr>
              <w:t xml:space="preserve">The workers’ compensation data used to estimate the direct and indirect benefits includes all types of injuries, reflected in the nature of injury column in the dataset. This includes chemical burns, poisoning and toxic effects of substances, and silicosis. The shift to the proposed WEL will not necessarily reduce the incidence of injuries such as chemical burns. </w:t>
            </w:r>
          </w:p>
        </w:tc>
      </w:tr>
    </w:tbl>
    <w:p w14:paraId="09EBC3ED" w14:textId="77777777" w:rsidR="009165F5" w:rsidRDefault="009165F5">
      <w:pPr>
        <w:spacing w:after="200" w:line="276" w:lineRule="auto"/>
        <w:contextualSpacing w:val="0"/>
        <w:rPr>
          <w:rFonts w:cs="Arial"/>
          <w:color w:val="2B0A99" w:themeColor="text2"/>
          <w:sz w:val="28"/>
          <w:szCs w:val="32"/>
        </w:rPr>
      </w:pPr>
      <w:r>
        <w:br w:type="page"/>
      </w:r>
    </w:p>
    <w:p w14:paraId="7887EE9F" w14:textId="2F0017E3" w:rsidR="00542EE2" w:rsidRDefault="00542EE2" w:rsidP="001A5328">
      <w:pPr>
        <w:pStyle w:val="SWAHeading1"/>
        <w:numPr>
          <w:ilvl w:val="0"/>
          <w:numId w:val="0"/>
        </w:numPr>
        <w:ind w:left="567" w:hanging="567"/>
      </w:pPr>
      <w:bookmarkStart w:id="707" w:name="AppendixD_SensitivityAnalysis"/>
      <w:bookmarkStart w:id="708" w:name="_Toc219216939"/>
      <w:bookmarkStart w:id="709" w:name="_Hlk213855466"/>
      <w:bookmarkEnd w:id="707"/>
      <w:r>
        <w:lastRenderedPageBreak/>
        <w:t xml:space="preserve">Appendix </w:t>
      </w:r>
      <w:r w:rsidR="00006136">
        <w:t xml:space="preserve">D </w:t>
      </w:r>
      <w:r>
        <w:t>– Sensitivity analysis</w:t>
      </w:r>
      <w:bookmarkEnd w:id="708"/>
    </w:p>
    <w:bookmarkEnd w:id="709"/>
    <w:p w14:paraId="050B7EF5" w14:textId="77777777" w:rsidR="00542EE2" w:rsidRDefault="00542EE2" w:rsidP="009A05BE">
      <w:pPr>
        <w:contextualSpacing w:val="0"/>
        <w:rPr>
          <w:lang w:eastAsia="en-AU"/>
        </w:rPr>
      </w:pPr>
      <w:r>
        <w:rPr>
          <w:lang w:eastAsia="en-AU"/>
        </w:rPr>
        <w:t>A sensitivity analysis was conducted to illustrate the range of potential outcomes for this impact analysis. The sensitivity analysis compares the results under the current central scenario – which represents the estimates based on available data and inputs – against</w:t>
      </w:r>
      <w:r w:rsidDel="00EB7FAA">
        <w:rPr>
          <w:lang w:eastAsia="en-AU"/>
        </w:rPr>
        <w:t xml:space="preserve"> </w:t>
      </w:r>
      <w:r>
        <w:rPr>
          <w:lang w:eastAsia="en-AU"/>
        </w:rPr>
        <w:t xml:space="preserve">low and high scenarios. </w:t>
      </w:r>
    </w:p>
    <w:p w14:paraId="25122BE0" w14:textId="68CB1EAF" w:rsidR="00542EE2" w:rsidRDefault="00542EE2" w:rsidP="009A05BE">
      <w:pPr>
        <w:contextualSpacing w:val="0"/>
        <w:rPr>
          <w:lang w:eastAsia="en-AU"/>
        </w:rPr>
      </w:pPr>
      <w:r w:rsidRPr="00993B73">
        <w:rPr>
          <w:lang w:eastAsia="en-AU"/>
        </w:rPr>
        <w:t>The scenario analysis provide</w:t>
      </w:r>
      <w:r>
        <w:rPr>
          <w:lang w:eastAsia="en-AU"/>
        </w:rPr>
        <w:t>s</w:t>
      </w:r>
      <w:r w:rsidRPr="00993B73">
        <w:rPr>
          <w:lang w:eastAsia="en-AU"/>
        </w:rPr>
        <w:t xml:space="preserve"> a wide range of potential outcomes which reflect the uncertainty </w:t>
      </w:r>
      <w:r>
        <w:rPr>
          <w:lang w:eastAsia="en-AU"/>
        </w:rPr>
        <w:t>of</w:t>
      </w:r>
      <w:r w:rsidRPr="00993B73">
        <w:rPr>
          <w:lang w:eastAsia="en-AU"/>
        </w:rPr>
        <w:t xml:space="preserve"> the estimates of costs and benefits</w:t>
      </w:r>
      <w:r>
        <w:rPr>
          <w:lang w:eastAsia="en-AU"/>
        </w:rPr>
        <w:t>, summarised in</w:t>
      </w:r>
      <w:r w:rsidR="006F6F6D">
        <w:rPr>
          <w:lang w:eastAsia="en-AU"/>
        </w:rPr>
        <w:t xml:space="preserve"> </w:t>
      </w:r>
      <w:r w:rsidR="006F6F6D">
        <w:rPr>
          <w:lang w:eastAsia="en-AU"/>
        </w:rPr>
        <w:fldChar w:fldCharType="begin"/>
      </w:r>
      <w:r w:rsidR="006F6F6D">
        <w:rPr>
          <w:lang w:eastAsia="en-AU"/>
        </w:rPr>
        <w:instrText xml:space="preserve"> REF _Ref216793511 \h </w:instrText>
      </w:r>
      <w:r w:rsidR="006F6F6D">
        <w:rPr>
          <w:lang w:eastAsia="en-AU"/>
        </w:rPr>
      </w:r>
      <w:r w:rsidR="006F6F6D">
        <w:rPr>
          <w:lang w:eastAsia="en-AU"/>
        </w:rPr>
        <w:fldChar w:fldCharType="separate"/>
      </w:r>
      <w:r w:rsidR="00A002F4">
        <w:t xml:space="preserve">Table </w:t>
      </w:r>
      <w:r w:rsidR="00A002F4">
        <w:rPr>
          <w:noProof/>
        </w:rPr>
        <w:t>67</w:t>
      </w:r>
      <w:r w:rsidR="006F6F6D">
        <w:rPr>
          <w:lang w:eastAsia="en-AU"/>
        </w:rPr>
        <w:fldChar w:fldCharType="end"/>
      </w:r>
      <w:r w:rsidRPr="00993B73">
        <w:rPr>
          <w:lang w:eastAsia="en-AU"/>
        </w:rPr>
        <w:t xml:space="preserve">. </w:t>
      </w:r>
      <w:r>
        <w:rPr>
          <w:lang w:eastAsia="en-AU"/>
        </w:rPr>
        <w:t>These scenarios represent:</w:t>
      </w:r>
    </w:p>
    <w:p w14:paraId="4529E84F" w14:textId="33F13862" w:rsidR="00542EE2" w:rsidRPr="00993B73" w:rsidRDefault="00542EE2" w:rsidP="00A2768E">
      <w:pPr>
        <w:pStyle w:val="ListParagraph"/>
        <w:numPr>
          <w:ilvl w:val="0"/>
          <w:numId w:val="137"/>
        </w:numPr>
        <w:suppressAutoHyphens/>
        <w:spacing w:line="259" w:lineRule="auto"/>
        <w:contextualSpacing w:val="0"/>
      </w:pPr>
      <w:r w:rsidRPr="009A05BE">
        <w:rPr>
          <w:rFonts w:asciiTheme="majorHAnsi" w:hAnsiTheme="majorHAnsi" w:cstheme="majorHAnsi"/>
          <w:b/>
          <w:bCs/>
        </w:rPr>
        <w:t>Cost ranges</w:t>
      </w:r>
      <w:r w:rsidRPr="006E4C82">
        <w:rPr>
          <w:rFonts w:asciiTheme="majorHAnsi" w:hAnsiTheme="majorHAnsi" w:cstheme="majorHAnsi"/>
        </w:rPr>
        <w:t xml:space="preserve"> |</w:t>
      </w:r>
      <w:r>
        <w:t xml:space="preserve"> The</w:t>
      </w:r>
      <w:r w:rsidRPr="00993B73">
        <w:t xml:space="preserve"> </w:t>
      </w:r>
      <w:r>
        <w:t xml:space="preserve">cost </w:t>
      </w:r>
      <w:r w:rsidRPr="00993B73">
        <w:t xml:space="preserve">scenarios </w:t>
      </w:r>
      <w:r>
        <w:t>that reflect</w:t>
      </w:r>
      <w:r w:rsidRPr="00993B73">
        <w:t xml:space="preserve"> the estimated lower and upper </w:t>
      </w:r>
      <w:r>
        <w:t xml:space="preserve">(higher) </w:t>
      </w:r>
      <w:r w:rsidRPr="00993B73">
        <w:t xml:space="preserve">bounds of the estimated </w:t>
      </w:r>
      <w:r>
        <w:t>incremental</w:t>
      </w:r>
      <w:r w:rsidRPr="00993B73" w:rsidDel="00230ED8">
        <w:t xml:space="preserve"> </w:t>
      </w:r>
      <w:r w:rsidRPr="00993B73">
        <w:t xml:space="preserve">costs to affected businesses. The cost scenarios reflect changes in the </w:t>
      </w:r>
      <w:r>
        <w:t xml:space="preserve">discount rate applied </w:t>
      </w:r>
      <w:sdt>
        <w:sdtPr>
          <w:id w:val="-1446922431"/>
          <w:citation/>
        </w:sdtPr>
        <w:sdtEndPr/>
        <w:sdtContent>
          <w:r w:rsidR="00FD1547">
            <w:fldChar w:fldCharType="begin"/>
          </w:r>
          <w:r w:rsidR="00FD1547">
            <w:instrText xml:space="preserve"> CITATION Off23 \l 3081 </w:instrText>
          </w:r>
          <w:r w:rsidR="00FD1547">
            <w:fldChar w:fldCharType="separate"/>
          </w:r>
          <w:r w:rsidR="00490B21">
            <w:rPr>
              <w:noProof/>
            </w:rPr>
            <w:t>(Office of Impact Analysis, 2023)</w:t>
          </w:r>
          <w:r w:rsidR="00FD1547">
            <w:fldChar w:fldCharType="end"/>
          </w:r>
        </w:sdtContent>
      </w:sdt>
      <w:r>
        <w:t xml:space="preserve">, and the </w:t>
      </w:r>
      <w:r w:rsidRPr="00993B73">
        <w:t>number of affected businesses.</w:t>
      </w:r>
    </w:p>
    <w:p w14:paraId="73C1FC2B" w14:textId="77777777" w:rsidR="00542EE2" w:rsidRDefault="00542EE2" w:rsidP="00A2768E">
      <w:pPr>
        <w:pStyle w:val="ListParagraph"/>
        <w:numPr>
          <w:ilvl w:val="0"/>
          <w:numId w:val="137"/>
        </w:numPr>
        <w:suppressAutoHyphens/>
        <w:spacing w:line="259" w:lineRule="auto"/>
        <w:contextualSpacing w:val="0"/>
      </w:pPr>
      <w:r w:rsidRPr="009A05BE">
        <w:rPr>
          <w:rFonts w:asciiTheme="majorHAnsi" w:hAnsiTheme="majorHAnsi" w:cstheme="majorHAnsi"/>
          <w:b/>
          <w:bCs/>
        </w:rPr>
        <w:t>Benefit ranges</w:t>
      </w:r>
      <w:r w:rsidRPr="006E4C82">
        <w:rPr>
          <w:rFonts w:asciiTheme="majorHAnsi" w:hAnsiTheme="majorHAnsi" w:cstheme="majorHAnsi"/>
        </w:rPr>
        <w:t xml:space="preserve"> |</w:t>
      </w:r>
      <w:r>
        <w:t xml:space="preserve"> The </w:t>
      </w:r>
      <w:r w:rsidRPr="00993B73">
        <w:t xml:space="preserve">benefit scenarios </w:t>
      </w:r>
      <w:r>
        <w:t xml:space="preserve">that reflect </w:t>
      </w:r>
      <w:r w:rsidRPr="00993B73">
        <w:t>the estimated lower and upper</w:t>
      </w:r>
      <w:r>
        <w:t xml:space="preserve"> (higher)</w:t>
      </w:r>
      <w:r w:rsidRPr="00993B73">
        <w:t xml:space="preserve"> bounds of the estimated benefits to workers</w:t>
      </w:r>
      <w:r>
        <w:t>, communities and businesses</w:t>
      </w:r>
      <w:r w:rsidRPr="00993B73">
        <w:t xml:space="preserve">. The benefit scenarios represent </w:t>
      </w:r>
      <w:r>
        <w:t xml:space="preserve">a combination of assumptions, including: </w:t>
      </w:r>
    </w:p>
    <w:p w14:paraId="73F4017E" w14:textId="07D35F42" w:rsidR="00542EE2" w:rsidRDefault="00542EE2" w:rsidP="00A2768E">
      <w:pPr>
        <w:pStyle w:val="ListParagraph"/>
        <w:numPr>
          <w:ilvl w:val="0"/>
          <w:numId w:val="138"/>
        </w:numPr>
        <w:suppressAutoHyphens/>
        <w:spacing w:line="259" w:lineRule="auto"/>
        <w:contextualSpacing w:val="0"/>
      </w:pPr>
      <w:r>
        <w:t>Changes in the discount rate applied</w:t>
      </w:r>
      <w:r w:rsidR="00E438E1">
        <w:t xml:space="preserve"> </w:t>
      </w:r>
      <w:sdt>
        <w:sdtPr>
          <w:id w:val="-1761207943"/>
          <w:citation/>
        </w:sdtPr>
        <w:sdtEndPr/>
        <w:sdtContent>
          <w:r w:rsidR="00E438E1">
            <w:fldChar w:fldCharType="begin"/>
          </w:r>
          <w:r w:rsidR="00E438E1">
            <w:instrText xml:space="preserve"> CITATION Off23 \l 3081 </w:instrText>
          </w:r>
          <w:r w:rsidR="00E438E1">
            <w:fldChar w:fldCharType="separate"/>
          </w:r>
          <w:r w:rsidR="00490B21">
            <w:rPr>
              <w:noProof/>
            </w:rPr>
            <w:t>(Office of Impact Analysis, 2023)</w:t>
          </w:r>
          <w:r w:rsidR="00E438E1">
            <w:fldChar w:fldCharType="end"/>
          </w:r>
        </w:sdtContent>
      </w:sdt>
      <w:r>
        <w:t>,</w:t>
      </w:r>
    </w:p>
    <w:p w14:paraId="72EA32FC" w14:textId="77777777" w:rsidR="00542EE2" w:rsidRDefault="00542EE2" w:rsidP="00A2768E">
      <w:pPr>
        <w:pStyle w:val="ListParagraph"/>
        <w:numPr>
          <w:ilvl w:val="0"/>
          <w:numId w:val="138"/>
        </w:numPr>
        <w:suppressAutoHyphens/>
        <w:spacing w:line="259" w:lineRule="auto"/>
        <w:contextualSpacing w:val="0"/>
      </w:pPr>
      <w:r>
        <w:t>Adjusting the benefits uplift factor for the estimated direct financial and indirect benefits, which are primarily based on workers’ compensation claims data. Workers’ compensation claims data likely underestimates the true economic burden to workers due to likely under-reporting of occupational disease (due to the long latency periods and difficulty attributing a particular individual’s disease to past workplace exposure of a specific chemical).</w:t>
      </w:r>
    </w:p>
    <w:p w14:paraId="088F55AA" w14:textId="1251E5EB" w:rsidR="00906DB0" w:rsidRDefault="00542EE2" w:rsidP="007C5AE6">
      <w:pPr>
        <w:pStyle w:val="ListParagraph"/>
        <w:numPr>
          <w:ilvl w:val="0"/>
          <w:numId w:val="138"/>
        </w:numPr>
        <w:suppressAutoHyphens/>
        <w:spacing w:line="259" w:lineRule="auto"/>
        <w:contextualSpacing w:val="0"/>
      </w:pPr>
      <w:r>
        <w:t>Use of the burden of disease estimates (mean, lower bound and upper bound values) provided by IHME GBD data for the improved health outcome benefits</w:t>
      </w:r>
      <w:r w:rsidR="00245DCF">
        <w:t xml:space="preserve"> </w:t>
      </w:r>
      <w:sdt>
        <w:sdtPr>
          <w:id w:val="-1144964320"/>
          <w:citation/>
        </w:sdtPr>
        <w:sdtEndPr/>
        <w:sdtContent>
          <w:r w:rsidR="00245DCF">
            <w:fldChar w:fldCharType="begin"/>
          </w:r>
          <w:r w:rsidR="00245DCF">
            <w:instrText xml:space="preserve"> CITATION Ins24 \l 3081 </w:instrText>
          </w:r>
          <w:r w:rsidR="00245DCF">
            <w:fldChar w:fldCharType="separate"/>
          </w:r>
          <w:r w:rsidR="00490B21">
            <w:rPr>
              <w:noProof/>
            </w:rPr>
            <w:t>(Institute For Health Metrics and Evaluation, 2024)</w:t>
          </w:r>
          <w:r w:rsidR="00245DCF">
            <w:fldChar w:fldCharType="end"/>
          </w:r>
        </w:sdtContent>
      </w:sdt>
      <w:r>
        <w:t xml:space="preserve">. </w:t>
      </w:r>
      <w:r w:rsidRPr="00993B73">
        <w:t>The mean measure presents the most likely value, while the low and high measure represent the upper and lower bounds of the 95</w:t>
      </w:r>
      <w:r w:rsidR="00DD2F65">
        <w:t>%</w:t>
      </w:r>
      <w:r w:rsidRPr="00993B73" w:rsidDel="00DD2F65">
        <w:t xml:space="preserve"> </w:t>
      </w:r>
      <w:r w:rsidRPr="00993B73">
        <w:t>confidence interval, respectively.</w:t>
      </w:r>
    </w:p>
    <w:p w14:paraId="480248D9" w14:textId="78B61C54" w:rsidR="006F6F6D" w:rsidRDefault="006F6F6D" w:rsidP="00763931">
      <w:pPr>
        <w:pStyle w:val="Caption"/>
      </w:pPr>
      <w:bookmarkStart w:id="710" w:name="_Ref216793511"/>
      <w:r>
        <w:t xml:space="preserve">Table </w:t>
      </w:r>
      <w:fldSimple w:instr=" SEQ Table \* ARABIC ">
        <w:r w:rsidR="00A002F4">
          <w:rPr>
            <w:noProof/>
          </w:rPr>
          <w:t>67</w:t>
        </w:r>
      </w:fldSimple>
      <w:bookmarkEnd w:id="710"/>
      <w:r>
        <w:t xml:space="preserve"> - </w:t>
      </w:r>
      <w:r w:rsidRPr="00082C7F">
        <w:t>Scenario analysis inputs for each impact measure</w:t>
      </w:r>
    </w:p>
    <w:tbl>
      <w:tblPr>
        <w:tblStyle w:val="NousTableStyletopandsideheading"/>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7"/>
        <w:gridCol w:w="2190"/>
        <w:gridCol w:w="2190"/>
        <w:gridCol w:w="2189"/>
      </w:tblGrid>
      <w:tr w:rsidR="00FC19F3" w:rsidRPr="00BB6456" w14:paraId="6DA28291" w14:textId="77777777" w:rsidTr="005B52BA">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5D3FE84C" w14:textId="77777777" w:rsidR="009A05BE" w:rsidRPr="0085210E" w:rsidRDefault="009A05BE" w:rsidP="0085210E">
            <w:pPr>
              <w:pStyle w:val="TableNheader"/>
              <w:spacing w:before="0" w:after="0"/>
              <w:rPr>
                <w:rFonts w:asciiTheme="minorHAnsi" w:hAnsiTheme="minorHAnsi" w:cstheme="minorHAnsi"/>
                <w:bCs/>
                <w:color w:val="FFFFFF" w:themeColor="background1"/>
                <w:sz w:val="22"/>
                <w:lang w:eastAsia="en-AU"/>
              </w:rPr>
            </w:pPr>
            <w:r w:rsidRPr="0085210E">
              <w:rPr>
                <w:rFonts w:asciiTheme="minorHAnsi" w:hAnsiTheme="minorHAnsi" w:cstheme="minorHAnsi"/>
                <w:bCs/>
                <w:color w:val="FFFFFF" w:themeColor="background1"/>
                <w:sz w:val="22"/>
                <w:lang w:eastAsia="en-AU"/>
              </w:rPr>
              <w:t>Change</w:t>
            </w:r>
          </w:p>
        </w:tc>
        <w:tc>
          <w:tcPr>
            <w:tcW w:w="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77BF86DE" w14:textId="77777777" w:rsidR="009A05BE" w:rsidRPr="0085210E" w:rsidRDefault="009A05BE" w:rsidP="0085210E">
            <w:pPr>
              <w:pStyle w:val="TableNheade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2"/>
                <w:lang w:eastAsia="en-AU"/>
              </w:rPr>
            </w:pPr>
            <w:r w:rsidRPr="0085210E">
              <w:rPr>
                <w:rFonts w:asciiTheme="minorHAnsi" w:hAnsiTheme="minorHAnsi" w:cstheme="minorHAnsi"/>
                <w:bCs/>
                <w:color w:val="FFFFFF" w:themeColor="background1"/>
                <w:sz w:val="22"/>
                <w:lang w:eastAsia="en-AU"/>
              </w:rPr>
              <w:t>Low scenario</w:t>
            </w:r>
          </w:p>
        </w:tc>
        <w:tc>
          <w:tcPr>
            <w:tcW w:w="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09A5FBFF" w14:textId="77777777" w:rsidR="009A05BE" w:rsidRPr="0085210E" w:rsidRDefault="009A05BE" w:rsidP="0085210E">
            <w:pPr>
              <w:pStyle w:val="TableNheade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2"/>
                <w:lang w:eastAsia="en-AU"/>
              </w:rPr>
            </w:pPr>
            <w:r w:rsidRPr="0085210E">
              <w:rPr>
                <w:rFonts w:asciiTheme="minorHAnsi" w:hAnsiTheme="minorHAnsi" w:cstheme="minorHAnsi"/>
                <w:bCs/>
                <w:color w:val="FFFFFF" w:themeColor="background1"/>
                <w:sz w:val="22"/>
                <w:lang w:eastAsia="en-AU"/>
              </w:rPr>
              <w:t>Central (current)</w:t>
            </w:r>
          </w:p>
        </w:tc>
        <w:tc>
          <w:tcPr>
            <w:tcW w:w="0" w:type="pct"/>
            <w:tcBorders>
              <w:top w:val="single" w:sz="4" w:space="0" w:color="BFBFBF" w:themeColor="background1" w:themeShade="BF"/>
              <w:left w:val="single" w:sz="4" w:space="0" w:color="BFBFBF" w:themeColor="background1" w:themeShade="BF"/>
            </w:tcBorders>
            <w:shd w:val="clear" w:color="auto" w:fill="4877E0" w:themeFill="accent1"/>
          </w:tcPr>
          <w:p w14:paraId="3FC1172A" w14:textId="77777777" w:rsidR="009A05BE" w:rsidRPr="0085210E" w:rsidRDefault="009A05BE" w:rsidP="0085210E">
            <w:pPr>
              <w:pStyle w:val="TableNheade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2"/>
                <w:lang w:eastAsia="en-AU"/>
              </w:rPr>
            </w:pPr>
            <w:r w:rsidRPr="0085210E">
              <w:rPr>
                <w:rFonts w:asciiTheme="minorHAnsi" w:hAnsiTheme="minorHAnsi" w:cstheme="minorHAnsi"/>
                <w:bCs/>
                <w:color w:val="FFFFFF" w:themeColor="background1"/>
                <w:sz w:val="22"/>
                <w:lang w:eastAsia="en-AU"/>
              </w:rPr>
              <w:t>High scenario</w:t>
            </w:r>
          </w:p>
        </w:tc>
      </w:tr>
      <w:tr w:rsidR="00852609" w:rsidRPr="000F5204" w14:paraId="7557D843" w14:textId="77777777" w:rsidTr="004452F5">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BFBFBF" w:themeColor="background1" w:themeShade="BF"/>
              <w:bottom w:val="single" w:sz="4" w:space="0" w:color="BFBFBF" w:themeColor="background1" w:themeShade="BF"/>
            </w:tcBorders>
            <w:shd w:val="clear" w:color="auto" w:fill="FFFFFF" w:themeFill="background1"/>
          </w:tcPr>
          <w:p w14:paraId="0E77EC7D" w14:textId="77777777" w:rsidR="009A05BE" w:rsidRPr="0085210E" w:rsidRDefault="009A05BE" w:rsidP="0085210E">
            <w:pPr>
              <w:pStyle w:val="TableNheader"/>
              <w:spacing w:before="0" w:after="0"/>
              <w:jc w:val="left"/>
              <w:rPr>
                <w:rFonts w:asciiTheme="minorHAnsi" w:hAnsiTheme="minorHAnsi" w:cstheme="minorHAnsi"/>
                <w:bCs/>
                <w:color w:val="auto"/>
                <w:sz w:val="22"/>
                <w:lang w:eastAsia="en-AU"/>
              </w:rPr>
            </w:pPr>
            <w:r w:rsidRPr="0085210E">
              <w:rPr>
                <w:rFonts w:asciiTheme="minorHAnsi" w:hAnsiTheme="minorHAnsi" w:cstheme="minorHAnsi"/>
                <w:bCs/>
                <w:color w:val="auto"/>
                <w:sz w:val="22"/>
                <w:lang w:eastAsia="en-AU"/>
              </w:rPr>
              <w:t>Discount rate</w:t>
            </w:r>
          </w:p>
        </w:tc>
        <w:tc>
          <w:tcPr>
            <w:tcW w:w="0" w:type="pct"/>
            <w:shd w:val="clear" w:color="auto" w:fill="auto"/>
          </w:tcPr>
          <w:p w14:paraId="29B83BF9"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10%</w:t>
            </w:r>
          </w:p>
        </w:tc>
        <w:tc>
          <w:tcPr>
            <w:tcW w:w="0" w:type="pct"/>
            <w:shd w:val="clear" w:color="auto" w:fill="auto"/>
          </w:tcPr>
          <w:p w14:paraId="1BE17AA7"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7%</w:t>
            </w:r>
          </w:p>
        </w:tc>
        <w:tc>
          <w:tcPr>
            <w:tcW w:w="0" w:type="pct"/>
            <w:shd w:val="clear" w:color="auto" w:fill="auto"/>
          </w:tcPr>
          <w:p w14:paraId="342B1F2D"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3%</w:t>
            </w:r>
          </w:p>
        </w:tc>
      </w:tr>
      <w:tr w:rsidR="009B1303" w14:paraId="2B014ACC" w14:textId="77777777" w:rsidTr="005B52BA">
        <w:trPr>
          <w:trHeight w:val="53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BFBFBF" w:themeColor="background1" w:themeShade="BF"/>
            </w:tcBorders>
            <w:shd w:val="clear" w:color="auto" w:fill="DAE3F8" w:themeFill="accent1" w:themeFillTint="33"/>
          </w:tcPr>
          <w:p w14:paraId="46107727" w14:textId="77777777" w:rsidR="009A05BE" w:rsidRPr="0085210E" w:rsidRDefault="009A05BE" w:rsidP="0085210E">
            <w:pPr>
              <w:pStyle w:val="TableNText"/>
              <w:spacing w:before="0" w:after="0"/>
              <w:jc w:val="left"/>
              <w:rPr>
                <w:rFonts w:asciiTheme="minorHAnsi" w:hAnsiTheme="minorHAnsi" w:cstheme="minorHAnsi"/>
                <w:bCs/>
                <w:color w:val="auto"/>
                <w:sz w:val="22"/>
                <w:lang w:eastAsia="en-AU"/>
              </w:rPr>
            </w:pPr>
            <w:r w:rsidRPr="0085210E">
              <w:rPr>
                <w:rFonts w:asciiTheme="minorHAnsi" w:hAnsiTheme="minorHAnsi" w:cstheme="minorHAnsi"/>
                <w:bCs/>
                <w:color w:val="auto"/>
                <w:sz w:val="22"/>
                <w:lang w:eastAsia="en-AU"/>
              </w:rPr>
              <w:t xml:space="preserve">Number of businesses affected </w:t>
            </w:r>
          </w:p>
        </w:tc>
        <w:tc>
          <w:tcPr>
            <w:tcW w:w="0" w:type="pct"/>
            <w:shd w:val="clear" w:color="auto" w:fill="DAE3F8" w:themeFill="accent1" w:themeFillTint="33"/>
          </w:tcPr>
          <w:p w14:paraId="00B7F3E8"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Central scenario, less 25%</w:t>
            </w:r>
          </w:p>
        </w:tc>
        <w:tc>
          <w:tcPr>
            <w:tcW w:w="0" w:type="pct"/>
            <w:shd w:val="clear" w:color="auto" w:fill="DAE3F8" w:themeFill="accent1" w:themeFillTint="33"/>
          </w:tcPr>
          <w:p w14:paraId="2C14AB81"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Central scenario</w:t>
            </w:r>
          </w:p>
        </w:tc>
        <w:tc>
          <w:tcPr>
            <w:tcW w:w="0" w:type="pct"/>
            <w:shd w:val="clear" w:color="auto" w:fill="DAE3F8" w:themeFill="accent1" w:themeFillTint="33"/>
          </w:tcPr>
          <w:p w14:paraId="30042B63"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Central scenario, plus 25%</w:t>
            </w:r>
          </w:p>
        </w:tc>
      </w:tr>
      <w:tr w:rsidR="00852609" w14:paraId="17396B2B" w14:textId="77777777" w:rsidTr="004452F5">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BFBFBF" w:themeColor="background1" w:themeShade="BF"/>
              <w:bottom w:val="single" w:sz="4" w:space="0" w:color="BFBFBF" w:themeColor="background1" w:themeShade="BF"/>
            </w:tcBorders>
            <w:shd w:val="clear" w:color="auto" w:fill="FFFFFF" w:themeFill="background1"/>
          </w:tcPr>
          <w:p w14:paraId="6B9F3D6D" w14:textId="383516D7" w:rsidR="009A05BE" w:rsidRPr="0085210E" w:rsidRDefault="009A05BE" w:rsidP="0085210E">
            <w:pPr>
              <w:pStyle w:val="TableNText"/>
              <w:spacing w:before="0" w:after="0"/>
              <w:jc w:val="left"/>
              <w:rPr>
                <w:rFonts w:asciiTheme="minorHAnsi" w:hAnsiTheme="minorHAnsi" w:cstheme="minorHAnsi"/>
                <w:bCs/>
                <w:color w:val="auto"/>
                <w:sz w:val="22"/>
                <w:lang w:eastAsia="en-AU"/>
              </w:rPr>
            </w:pPr>
            <w:r w:rsidRPr="0085210E">
              <w:rPr>
                <w:rFonts w:asciiTheme="minorHAnsi" w:hAnsiTheme="minorHAnsi" w:cstheme="minorHAnsi"/>
                <w:bCs/>
                <w:color w:val="auto"/>
                <w:sz w:val="22"/>
                <w:lang w:eastAsia="en-AU"/>
              </w:rPr>
              <w:t xml:space="preserve">Burden of disease, from the GBD Study </w:t>
            </w:r>
            <w:r w:rsidRPr="0008671C">
              <w:rPr>
                <w:rFonts w:asciiTheme="minorHAnsi" w:hAnsiTheme="minorHAnsi" w:cstheme="minorHAnsi"/>
                <w:bCs/>
                <w:color w:val="auto"/>
                <w:sz w:val="22"/>
                <w:lang w:eastAsia="en-AU"/>
              </w:rPr>
              <w:t>(</w:t>
            </w:r>
            <w:r w:rsidRPr="00611B1E">
              <w:rPr>
                <w:rFonts w:asciiTheme="minorHAnsi" w:hAnsiTheme="minorHAnsi" w:cstheme="minorHAnsi"/>
                <w:color w:val="auto"/>
                <w:sz w:val="22"/>
                <w:lang w:eastAsia="en-AU"/>
              </w:rPr>
              <w:t>see</w:t>
            </w:r>
            <w:r w:rsidR="0008671C" w:rsidRPr="00611B1E">
              <w:rPr>
                <w:rFonts w:asciiTheme="minorHAnsi" w:hAnsiTheme="minorHAnsi" w:cstheme="minorHAnsi"/>
                <w:color w:val="auto"/>
                <w:sz w:val="22"/>
                <w:lang w:eastAsia="en-AU"/>
              </w:rPr>
              <w:t xml:space="preserve"> </w:t>
            </w:r>
            <w:r w:rsidR="00C75C93" w:rsidRPr="00611624">
              <w:rPr>
                <w:rFonts w:ascii="Arial" w:hAnsi="Arial" w:cs="Arial"/>
                <w:sz w:val="22"/>
              </w:rPr>
              <w:fldChar w:fldCharType="begin"/>
            </w:r>
            <w:r w:rsidR="00C75C93" w:rsidRPr="00611624">
              <w:rPr>
                <w:rFonts w:ascii="Arial" w:hAnsi="Arial" w:cs="Arial"/>
                <w:b w:val="0"/>
                <w:sz w:val="22"/>
              </w:rPr>
              <w:instrText xml:space="preserve"> </w:instrText>
            </w:r>
            <w:r w:rsidR="00C75C93" w:rsidRPr="00611624">
              <w:rPr>
                <w:rFonts w:ascii="Arial" w:hAnsi="Arial" w:cs="Arial"/>
                <w:color w:val="auto"/>
                <w:sz w:val="22"/>
              </w:rPr>
              <w:instrText xml:space="preserve">REF </w:instrText>
            </w:r>
            <w:r w:rsidR="00C75C93" w:rsidRPr="00611624">
              <w:rPr>
                <w:rFonts w:ascii="Arial" w:hAnsi="Arial" w:cs="Arial"/>
                <w:b w:val="0"/>
                <w:sz w:val="22"/>
              </w:rPr>
              <w:instrText xml:space="preserve">_Ref216793042 \h </w:instrText>
            </w:r>
            <w:r w:rsidR="007B4159" w:rsidRPr="00611624">
              <w:rPr>
                <w:rFonts w:ascii="Arial" w:hAnsi="Arial" w:cs="Arial"/>
                <w:b w:val="0"/>
                <w:sz w:val="22"/>
              </w:rPr>
              <w:instrText xml:space="preserve"> \* MERGEFORMAT </w:instrText>
            </w:r>
            <w:r w:rsidR="00C75C93" w:rsidRPr="00611624">
              <w:rPr>
                <w:rFonts w:ascii="Arial" w:hAnsi="Arial" w:cs="Arial"/>
                <w:sz w:val="22"/>
              </w:rPr>
            </w:r>
            <w:r w:rsidR="00C75C93" w:rsidRPr="00611624">
              <w:rPr>
                <w:rFonts w:ascii="Arial" w:hAnsi="Arial" w:cs="Arial"/>
                <w:sz w:val="22"/>
              </w:rPr>
              <w:fldChar w:fldCharType="separate"/>
            </w:r>
            <w:r w:rsidR="00A002F4" w:rsidRPr="00A002F4">
              <w:rPr>
                <w:rFonts w:ascii="Arial" w:hAnsi="Arial" w:cs="Arial"/>
                <w:color w:val="auto"/>
                <w:sz w:val="22"/>
              </w:rPr>
              <w:t xml:space="preserve">Table </w:t>
            </w:r>
            <w:r w:rsidR="00A002F4" w:rsidRPr="00A002F4">
              <w:rPr>
                <w:rFonts w:ascii="Arial" w:hAnsi="Arial" w:cs="Arial"/>
                <w:noProof/>
                <w:color w:val="auto"/>
                <w:sz w:val="22"/>
              </w:rPr>
              <w:t>58</w:t>
            </w:r>
            <w:r w:rsidR="00C75C93" w:rsidRPr="00611624">
              <w:rPr>
                <w:rFonts w:ascii="Arial" w:hAnsi="Arial" w:cs="Arial"/>
                <w:sz w:val="22"/>
              </w:rPr>
              <w:fldChar w:fldCharType="end"/>
            </w:r>
            <w:r w:rsidRPr="0085210E">
              <w:rPr>
                <w:rFonts w:asciiTheme="minorHAnsi" w:hAnsiTheme="minorHAnsi" w:cstheme="minorHAnsi"/>
                <w:bCs/>
                <w:color w:val="auto"/>
                <w:sz w:val="22"/>
                <w:lang w:eastAsia="en-AU"/>
              </w:rPr>
              <w:t>)</w:t>
            </w:r>
          </w:p>
        </w:tc>
        <w:tc>
          <w:tcPr>
            <w:tcW w:w="0" w:type="pct"/>
            <w:shd w:val="clear" w:color="auto" w:fill="auto"/>
          </w:tcPr>
          <w:p w14:paraId="57046177"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Lower</w:t>
            </w:r>
            <w:r w:rsidRPr="0085210E">
              <w:rPr>
                <w:rFonts w:asciiTheme="minorHAnsi" w:hAnsiTheme="minorHAnsi" w:cstheme="minorHAnsi"/>
                <w:b/>
                <w:bCs/>
                <w:sz w:val="22"/>
                <w:lang w:eastAsia="en-AU"/>
              </w:rPr>
              <w:t xml:space="preserve"> </w:t>
            </w:r>
            <w:r w:rsidRPr="0085210E">
              <w:rPr>
                <w:rFonts w:asciiTheme="minorHAnsi" w:hAnsiTheme="minorHAnsi" w:cstheme="minorHAnsi"/>
                <w:sz w:val="22"/>
                <w:lang w:eastAsia="en-AU"/>
              </w:rPr>
              <w:t>bound estimates</w:t>
            </w:r>
          </w:p>
        </w:tc>
        <w:tc>
          <w:tcPr>
            <w:tcW w:w="0" w:type="pct"/>
            <w:shd w:val="clear" w:color="auto" w:fill="auto"/>
          </w:tcPr>
          <w:p w14:paraId="5E1BF2D0"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Mean estimates</w:t>
            </w:r>
          </w:p>
        </w:tc>
        <w:tc>
          <w:tcPr>
            <w:tcW w:w="0" w:type="pct"/>
            <w:shd w:val="clear" w:color="auto" w:fill="auto"/>
          </w:tcPr>
          <w:p w14:paraId="713EF492"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Upper bound estimates</w:t>
            </w:r>
          </w:p>
        </w:tc>
      </w:tr>
      <w:tr w:rsidR="009B1303" w14:paraId="0537BB56" w14:textId="77777777" w:rsidTr="005B52BA">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BFBFBF" w:themeColor="background1" w:themeShade="BF"/>
            </w:tcBorders>
            <w:shd w:val="clear" w:color="auto" w:fill="DAE3F8" w:themeFill="accent1" w:themeFillTint="33"/>
          </w:tcPr>
          <w:p w14:paraId="10D11A47" w14:textId="77777777" w:rsidR="009A05BE" w:rsidRPr="0085210E" w:rsidRDefault="009A05BE" w:rsidP="0085210E">
            <w:pPr>
              <w:pStyle w:val="TableNText"/>
              <w:spacing w:before="0" w:after="0"/>
              <w:jc w:val="left"/>
              <w:rPr>
                <w:rFonts w:asciiTheme="minorHAnsi" w:hAnsiTheme="minorHAnsi" w:cstheme="minorHAnsi"/>
                <w:bCs/>
                <w:color w:val="auto"/>
                <w:sz w:val="22"/>
                <w:lang w:eastAsia="en-AU"/>
              </w:rPr>
            </w:pPr>
            <w:r w:rsidRPr="0085210E">
              <w:rPr>
                <w:rFonts w:asciiTheme="minorHAnsi" w:hAnsiTheme="minorHAnsi" w:cstheme="minorHAnsi"/>
                <w:bCs/>
                <w:color w:val="auto"/>
                <w:sz w:val="22"/>
                <w:lang w:eastAsia="en-AU"/>
              </w:rPr>
              <w:t>Benefits uplift factor</w:t>
            </w:r>
          </w:p>
        </w:tc>
        <w:tc>
          <w:tcPr>
            <w:tcW w:w="0" w:type="pct"/>
            <w:shd w:val="clear" w:color="auto" w:fill="DAE3F8" w:themeFill="accent1" w:themeFillTint="33"/>
          </w:tcPr>
          <w:p w14:paraId="40E9DE79"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1.25x</w:t>
            </w:r>
          </w:p>
        </w:tc>
        <w:tc>
          <w:tcPr>
            <w:tcW w:w="0" w:type="pct"/>
            <w:shd w:val="clear" w:color="auto" w:fill="DAE3F8" w:themeFill="accent1" w:themeFillTint="33"/>
          </w:tcPr>
          <w:p w14:paraId="6708A923"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1.50x</w:t>
            </w:r>
          </w:p>
        </w:tc>
        <w:tc>
          <w:tcPr>
            <w:tcW w:w="0" w:type="pct"/>
            <w:shd w:val="clear" w:color="auto" w:fill="DAE3F8" w:themeFill="accent1" w:themeFillTint="33"/>
          </w:tcPr>
          <w:p w14:paraId="524D941B" w14:textId="77777777" w:rsidR="009A05BE" w:rsidRPr="0085210E" w:rsidRDefault="009A05BE" w:rsidP="0085210E">
            <w:pPr>
              <w:pStyle w:val="TableN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85210E">
              <w:rPr>
                <w:rFonts w:asciiTheme="minorHAnsi" w:hAnsiTheme="minorHAnsi" w:cstheme="minorHAnsi"/>
                <w:sz w:val="22"/>
                <w:lang w:eastAsia="en-AU"/>
              </w:rPr>
              <w:t>1.75x</w:t>
            </w:r>
          </w:p>
        </w:tc>
      </w:tr>
    </w:tbl>
    <w:p w14:paraId="2FA5F53E" w14:textId="77777777" w:rsidR="00245DCF" w:rsidRDefault="00245DCF" w:rsidP="000C1C5F">
      <w:pPr>
        <w:spacing w:before="240" w:line="240" w:lineRule="atLeast"/>
        <w:contextualSpacing w:val="0"/>
        <w:rPr>
          <w:lang w:eastAsia="en-AU"/>
        </w:rPr>
      </w:pPr>
    </w:p>
    <w:p w14:paraId="4A8152E5" w14:textId="44E69BF0" w:rsidR="00CE04E0" w:rsidRDefault="00A40831" w:rsidP="00144BE5">
      <w:pPr>
        <w:spacing w:before="240" w:line="240" w:lineRule="atLeast"/>
      </w:pPr>
      <w:r>
        <w:rPr>
          <w:lang w:eastAsia="en-AU"/>
        </w:rPr>
        <w:fldChar w:fldCharType="begin"/>
      </w:r>
      <w:r>
        <w:rPr>
          <w:lang w:eastAsia="en-AU"/>
        </w:rPr>
        <w:instrText xml:space="preserve"> REF _Ref216793592 \h </w:instrText>
      </w:r>
      <w:r>
        <w:rPr>
          <w:lang w:eastAsia="en-AU"/>
        </w:rPr>
      </w:r>
      <w:r>
        <w:rPr>
          <w:lang w:eastAsia="en-AU"/>
        </w:rPr>
        <w:fldChar w:fldCharType="separate"/>
      </w:r>
      <w:r w:rsidR="00A002F4">
        <w:t xml:space="preserve">Table </w:t>
      </w:r>
      <w:r w:rsidR="00A002F4">
        <w:rPr>
          <w:noProof/>
        </w:rPr>
        <w:t>68</w:t>
      </w:r>
      <w:r>
        <w:rPr>
          <w:lang w:eastAsia="en-AU"/>
        </w:rPr>
        <w:fldChar w:fldCharType="end"/>
      </w:r>
      <w:r>
        <w:rPr>
          <w:lang w:eastAsia="en-AU"/>
        </w:rPr>
        <w:t xml:space="preserve"> </w:t>
      </w:r>
      <w:r w:rsidR="00AC3A30">
        <w:rPr>
          <w:lang w:eastAsia="en-AU"/>
        </w:rPr>
        <w:t>presents the estimated incremental costs (discounted) for each of the 9 chemicals considered in this Decision RIS</w:t>
      </w:r>
      <w:r w:rsidR="00611B1E">
        <w:rPr>
          <w:lang w:eastAsia="en-AU"/>
        </w:rPr>
        <w:t xml:space="preserve"> </w:t>
      </w:r>
      <w:r w:rsidR="00AC3A30">
        <w:rPr>
          <w:lang w:eastAsia="en-AU"/>
        </w:rPr>
        <w:t xml:space="preserve">across the low, central and </w:t>
      </w:r>
      <w:r w:rsidR="00144BE5">
        <w:rPr>
          <w:lang w:eastAsia="en-AU"/>
        </w:rPr>
        <w:t>high-cost</w:t>
      </w:r>
      <w:r w:rsidR="00AC3A30">
        <w:rPr>
          <w:lang w:eastAsia="en-AU"/>
        </w:rPr>
        <w:t xml:space="preserve"> scenarios. </w:t>
      </w:r>
    </w:p>
    <w:p w14:paraId="484ACBDD" w14:textId="28895A84" w:rsidR="00A40831" w:rsidRDefault="00A40831" w:rsidP="00144BE5">
      <w:pPr>
        <w:pStyle w:val="Caption"/>
      </w:pPr>
      <w:bookmarkStart w:id="711" w:name="_Ref216793592"/>
      <w:r>
        <w:lastRenderedPageBreak/>
        <w:t xml:space="preserve">Table </w:t>
      </w:r>
      <w:fldSimple w:instr=" SEQ Table \* ARABIC ">
        <w:r w:rsidR="00A002F4">
          <w:rPr>
            <w:noProof/>
          </w:rPr>
          <w:t>68</w:t>
        </w:r>
      </w:fldSimple>
      <w:bookmarkEnd w:id="711"/>
      <w:r>
        <w:t xml:space="preserve"> - </w:t>
      </w:r>
      <w:r w:rsidRPr="001361A7">
        <w:t>Estimated incremental costs ($ millions, discounted), all scenarios</w:t>
      </w:r>
    </w:p>
    <w:tbl>
      <w:tblPr>
        <w:tblStyle w:val="NousTableStyletopandsideheading"/>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7"/>
        <w:gridCol w:w="2273"/>
        <w:gridCol w:w="2273"/>
        <w:gridCol w:w="2273"/>
      </w:tblGrid>
      <w:tr w:rsidR="002C790E" w:rsidRPr="00D7052E" w14:paraId="600419BC" w14:textId="77777777" w:rsidTr="00CE0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3CC86FE0" w14:textId="77777777" w:rsidR="0030187D" w:rsidRPr="001D2906" w:rsidRDefault="0030187D" w:rsidP="004452F5">
            <w:pPr>
              <w:pStyle w:val="TableNheader"/>
              <w:keepNext/>
              <w:keepLines/>
              <w:rPr>
                <w:rFonts w:asciiTheme="minorHAnsi" w:hAnsiTheme="minorHAnsi" w:cstheme="minorHAnsi"/>
                <w:color w:val="FFFFFF" w:themeColor="background1"/>
              </w:rPr>
            </w:pPr>
            <w:r w:rsidRPr="001D2906">
              <w:rPr>
                <w:rFonts w:asciiTheme="minorHAnsi" w:hAnsiTheme="minorHAnsi" w:cstheme="minorHAnsi"/>
                <w:color w:val="FFFFFF" w:themeColor="background1"/>
              </w:rPr>
              <w:t>Chemical</w:t>
            </w:r>
          </w:p>
        </w:tc>
        <w:tc>
          <w:tcPr>
            <w:tcW w:w="6819" w:type="dxa"/>
            <w:gridSpan w:val="3"/>
            <w:tcBorders>
              <w:top w:val="single" w:sz="4" w:space="0" w:color="BFBFBF" w:themeColor="background1" w:themeShade="BF"/>
              <w:left w:val="single" w:sz="4" w:space="0" w:color="BFBFBF" w:themeColor="background1" w:themeShade="BF"/>
            </w:tcBorders>
            <w:shd w:val="clear" w:color="auto" w:fill="4877E0" w:themeFill="accent1"/>
          </w:tcPr>
          <w:p w14:paraId="7078A94E" w14:textId="77777777" w:rsidR="0030187D" w:rsidRPr="001D2906" w:rsidRDefault="0030187D" w:rsidP="004452F5">
            <w:pPr>
              <w:pStyle w:val="TableNheade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eastAsia="en-AU"/>
              </w:rPr>
            </w:pPr>
            <w:r w:rsidRPr="001D2906">
              <w:rPr>
                <w:rFonts w:asciiTheme="minorHAnsi" w:hAnsiTheme="minorHAnsi" w:cstheme="minorHAnsi"/>
                <w:color w:val="FFFFFF" w:themeColor="background1"/>
              </w:rPr>
              <w:t>The estimated incremental costs to affected businesses of complying with the proposed WEL over the 10-year appraisal period (FY27 to FY36)</w:t>
            </w:r>
          </w:p>
        </w:tc>
      </w:tr>
      <w:tr w:rsidR="002C790E" w:rsidRPr="009632C7" w14:paraId="4BC0B7E4" w14:textId="77777777" w:rsidTr="00CE04E0">
        <w:trPr>
          <w:trHeight w:val="88"/>
        </w:trPr>
        <w:tc>
          <w:tcPr>
            <w:cnfStyle w:val="001000000000" w:firstRow="0" w:lastRow="0" w:firstColumn="1" w:lastColumn="0" w:oddVBand="0" w:evenVBand="0" w:oddHBand="0" w:evenHBand="0" w:firstRowFirstColumn="0" w:firstRowLastColumn="0" w:lastRowFirstColumn="0" w:lastRowLastColumn="0"/>
            <w:tcW w:w="2197" w:type="dxa"/>
            <w:vMerge/>
            <w:tcBorders>
              <w:left w:val="single" w:sz="4" w:space="0" w:color="BFBFBF" w:themeColor="background1" w:themeShade="BF"/>
            </w:tcBorders>
            <w:shd w:val="clear" w:color="auto" w:fill="E7E6E6" w:themeFill="background2"/>
          </w:tcPr>
          <w:p w14:paraId="185C19A4" w14:textId="77777777" w:rsidR="0030187D" w:rsidRPr="001D2906" w:rsidRDefault="0030187D" w:rsidP="004452F5">
            <w:pPr>
              <w:pStyle w:val="TableNheader"/>
              <w:keepNext/>
              <w:keepLines/>
              <w:jc w:val="left"/>
              <w:rPr>
                <w:rFonts w:asciiTheme="minorHAnsi" w:hAnsiTheme="minorHAnsi" w:cstheme="minorHAnsi"/>
                <w:color w:val="auto"/>
                <w:lang w:eastAsia="en-AU"/>
              </w:rPr>
            </w:pPr>
          </w:p>
        </w:tc>
        <w:tc>
          <w:tcPr>
            <w:tcW w:w="2273" w:type="dxa"/>
            <w:shd w:val="clear" w:color="auto" w:fill="2050BD" w:themeFill="accent1" w:themeFillShade="BF"/>
          </w:tcPr>
          <w:p w14:paraId="205061FA" w14:textId="77777777" w:rsidR="0030187D" w:rsidRPr="001D2906" w:rsidRDefault="0030187D" w:rsidP="004452F5">
            <w:pPr>
              <w:pStyle w:val="TableNheade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Low scenario</w:t>
            </w:r>
          </w:p>
        </w:tc>
        <w:tc>
          <w:tcPr>
            <w:tcW w:w="2273" w:type="dxa"/>
            <w:shd w:val="clear" w:color="auto" w:fill="2050BD" w:themeFill="accent1" w:themeFillShade="BF"/>
          </w:tcPr>
          <w:p w14:paraId="46CB6C8A" w14:textId="77777777" w:rsidR="0030187D" w:rsidRPr="001D2906" w:rsidRDefault="0030187D" w:rsidP="004452F5">
            <w:pPr>
              <w:pStyle w:val="TableNheade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Central (current) scenario</w:t>
            </w:r>
          </w:p>
        </w:tc>
        <w:tc>
          <w:tcPr>
            <w:tcW w:w="2273" w:type="dxa"/>
            <w:shd w:val="clear" w:color="auto" w:fill="2050BD" w:themeFill="accent1" w:themeFillShade="BF"/>
          </w:tcPr>
          <w:p w14:paraId="050FD73B" w14:textId="77777777" w:rsidR="0030187D" w:rsidRPr="001D2906" w:rsidRDefault="0030187D" w:rsidP="004452F5">
            <w:pPr>
              <w:pStyle w:val="TableNheade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High scenario</w:t>
            </w:r>
          </w:p>
        </w:tc>
      </w:tr>
      <w:tr w:rsidR="001D2906" w:rsidRPr="00BB6456" w14:paraId="426E1B93" w14:textId="77777777" w:rsidTr="00691357">
        <w:trPr>
          <w:trHeight w:val="221"/>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91ACEC" w:themeFill="accent1" w:themeFillTint="99"/>
          </w:tcPr>
          <w:p w14:paraId="3B5B8E47" w14:textId="3EA94749" w:rsidR="0030187D" w:rsidRPr="001D2906" w:rsidRDefault="0030187D" w:rsidP="004452F5">
            <w:pPr>
              <w:keepNext/>
              <w:keepLines/>
              <w:spacing w:after="0"/>
              <w:jc w:val="left"/>
              <w:rPr>
                <w:rFonts w:asciiTheme="minorHAnsi" w:hAnsiTheme="minorHAnsi" w:cstheme="minorHAnsi"/>
                <w:bCs/>
                <w:color w:val="auto"/>
                <w:szCs w:val="20"/>
                <w:lang w:eastAsia="en-AU"/>
              </w:rPr>
            </w:pPr>
            <w:r w:rsidRPr="001D2906">
              <w:rPr>
                <w:rFonts w:asciiTheme="minorHAnsi" w:hAnsiTheme="minorHAnsi" w:cstheme="minorHAnsi"/>
                <w:bCs/>
                <w:color w:val="auto"/>
                <w:szCs w:val="20"/>
                <w:lang w:eastAsia="en-AU"/>
              </w:rPr>
              <w:t>Chemicals where the costs and benefits were quantifi</w:t>
            </w:r>
            <w:r w:rsidR="00FF3931">
              <w:rPr>
                <w:rFonts w:asciiTheme="minorHAnsi" w:hAnsiTheme="minorHAnsi" w:cstheme="minorHAnsi"/>
                <w:bCs/>
                <w:color w:val="auto"/>
                <w:szCs w:val="20"/>
                <w:lang w:eastAsia="en-AU"/>
              </w:rPr>
              <w:t>able</w:t>
            </w:r>
            <w:r w:rsidRPr="001D2906">
              <w:rPr>
                <w:rFonts w:asciiTheme="minorHAnsi" w:hAnsiTheme="minorHAnsi" w:cstheme="minorHAnsi"/>
                <w:bCs/>
                <w:color w:val="auto"/>
                <w:szCs w:val="20"/>
                <w:lang w:eastAsia="en-AU"/>
              </w:rPr>
              <w:t>:</w:t>
            </w:r>
          </w:p>
        </w:tc>
      </w:tr>
      <w:tr w:rsidR="007C53CC" w:rsidRPr="006E4C82" w14:paraId="2822CE11" w14:textId="77777777" w:rsidTr="004452F5">
        <w:tc>
          <w:tcPr>
            <w:cnfStyle w:val="001000000000" w:firstRow="0" w:lastRow="0" w:firstColumn="1" w:lastColumn="0" w:oddVBand="0" w:evenVBand="0" w:oddHBand="0" w:evenHBand="0" w:firstRowFirstColumn="0" w:firstRowLastColumn="0" w:lastRowFirstColumn="0" w:lastRowLastColumn="0"/>
            <w:tcW w:w="2197" w:type="dxa"/>
            <w:shd w:val="clear" w:color="auto" w:fill="FFFFFF" w:themeFill="background1"/>
          </w:tcPr>
          <w:p w14:paraId="1524B1D1"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Benzene</w:t>
            </w:r>
          </w:p>
        </w:tc>
        <w:tc>
          <w:tcPr>
            <w:tcW w:w="2273" w:type="dxa"/>
            <w:shd w:val="clear" w:color="auto" w:fill="auto"/>
            <w:vAlign w:val="center"/>
          </w:tcPr>
          <w:p w14:paraId="3BC6697B"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520</w:t>
            </w:r>
          </w:p>
        </w:tc>
        <w:tc>
          <w:tcPr>
            <w:tcW w:w="2273" w:type="dxa"/>
            <w:shd w:val="clear" w:color="auto" w:fill="auto"/>
            <w:vAlign w:val="center"/>
          </w:tcPr>
          <w:p w14:paraId="45C96342"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840 </w:t>
            </w:r>
          </w:p>
        </w:tc>
        <w:tc>
          <w:tcPr>
            <w:tcW w:w="2273" w:type="dxa"/>
            <w:shd w:val="clear" w:color="auto" w:fill="auto"/>
            <w:vAlign w:val="center"/>
          </w:tcPr>
          <w:p w14:paraId="59F1B111"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1,384 </w:t>
            </w:r>
          </w:p>
        </w:tc>
      </w:tr>
      <w:tr w:rsidR="001D2906" w:rsidRPr="006E4C82" w14:paraId="49DEF8EF" w14:textId="77777777" w:rsidTr="00691357">
        <w:tc>
          <w:tcPr>
            <w:cnfStyle w:val="001000000000" w:firstRow="0" w:lastRow="0" w:firstColumn="1" w:lastColumn="0" w:oddVBand="0" w:evenVBand="0" w:oddHBand="0" w:evenHBand="0" w:firstRowFirstColumn="0" w:firstRowLastColumn="0" w:lastRowFirstColumn="0" w:lastRowLastColumn="0"/>
            <w:tcW w:w="2197" w:type="dxa"/>
            <w:shd w:val="clear" w:color="auto" w:fill="DAE3F8" w:themeFill="accent1" w:themeFillTint="33"/>
          </w:tcPr>
          <w:p w14:paraId="5A482370"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Chlorine</w:t>
            </w:r>
          </w:p>
        </w:tc>
        <w:tc>
          <w:tcPr>
            <w:tcW w:w="2273" w:type="dxa"/>
            <w:shd w:val="clear" w:color="auto" w:fill="DAE3F8" w:themeFill="accent1" w:themeFillTint="33"/>
            <w:vAlign w:val="center"/>
          </w:tcPr>
          <w:p w14:paraId="1C84618C"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596</w:t>
            </w:r>
          </w:p>
        </w:tc>
        <w:tc>
          <w:tcPr>
            <w:tcW w:w="2273" w:type="dxa"/>
            <w:shd w:val="clear" w:color="auto" w:fill="DAE3F8" w:themeFill="accent1" w:themeFillTint="33"/>
            <w:vAlign w:val="center"/>
          </w:tcPr>
          <w:p w14:paraId="1D9EF3E1"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968 </w:t>
            </w:r>
          </w:p>
        </w:tc>
        <w:tc>
          <w:tcPr>
            <w:tcW w:w="2273" w:type="dxa"/>
            <w:shd w:val="clear" w:color="auto" w:fill="DAE3F8" w:themeFill="accent1" w:themeFillTint="33"/>
            <w:vAlign w:val="center"/>
          </w:tcPr>
          <w:p w14:paraId="75FEC52B"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1,603 </w:t>
            </w:r>
          </w:p>
        </w:tc>
      </w:tr>
      <w:tr w:rsidR="007C53CC" w:rsidRPr="006E4C82" w14:paraId="3734DE10" w14:textId="77777777" w:rsidTr="004452F5">
        <w:tc>
          <w:tcPr>
            <w:cnfStyle w:val="001000000000" w:firstRow="0" w:lastRow="0" w:firstColumn="1" w:lastColumn="0" w:oddVBand="0" w:evenVBand="0" w:oddHBand="0" w:evenHBand="0" w:firstRowFirstColumn="0" w:firstRowLastColumn="0" w:lastRowFirstColumn="0" w:lastRowLastColumn="0"/>
            <w:tcW w:w="2197" w:type="dxa"/>
            <w:shd w:val="clear" w:color="auto" w:fill="FFFFFF" w:themeFill="background1"/>
          </w:tcPr>
          <w:p w14:paraId="0A00BB79"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Formaldehyde </w:t>
            </w:r>
          </w:p>
        </w:tc>
        <w:tc>
          <w:tcPr>
            <w:tcW w:w="2273" w:type="dxa"/>
            <w:shd w:val="clear" w:color="auto" w:fill="auto"/>
            <w:vAlign w:val="center"/>
          </w:tcPr>
          <w:p w14:paraId="5924D1D8"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1,031</w:t>
            </w:r>
          </w:p>
        </w:tc>
        <w:tc>
          <w:tcPr>
            <w:tcW w:w="2273" w:type="dxa"/>
            <w:shd w:val="clear" w:color="auto" w:fill="auto"/>
            <w:vAlign w:val="center"/>
          </w:tcPr>
          <w:p w14:paraId="749330D8"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1,669</w:t>
            </w:r>
          </w:p>
        </w:tc>
        <w:tc>
          <w:tcPr>
            <w:tcW w:w="2273" w:type="dxa"/>
            <w:shd w:val="clear" w:color="auto" w:fill="auto"/>
            <w:vAlign w:val="center"/>
          </w:tcPr>
          <w:p w14:paraId="4DC5C574"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2,757</w:t>
            </w:r>
          </w:p>
        </w:tc>
      </w:tr>
      <w:tr w:rsidR="001D2906" w:rsidRPr="006E4C82" w14:paraId="4BE61C57" w14:textId="77777777" w:rsidTr="00691357">
        <w:tc>
          <w:tcPr>
            <w:cnfStyle w:val="001000000000" w:firstRow="0" w:lastRow="0" w:firstColumn="1" w:lastColumn="0" w:oddVBand="0" w:evenVBand="0" w:oddHBand="0" w:evenHBand="0" w:firstRowFirstColumn="0" w:firstRowLastColumn="0" w:lastRowFirstColumn="0" w:lastRowLastColumn="0"/>
            <w:tcW w:w="2197" w:type="dxa"/>
            <w:shd w:val="clear" w:color="auto" w:fill="DAE3F8" w:themeFill="accent1" w:themeFillTint="33"/>
          </w:tcPr>
          <w:p w14:paraId="0237ED60" w14:textId="0A20D959"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Hydrogen sul</w:t>
            </w:r>
            <w:r w:rsidR="000D3783" w:rsidRPr="001D2906">
              <w:rPr>
                <w:rFonts w:asciiTheme="minorHAnsi" w:hAnsiTheme="minorHAnsi" w:cstheme="minorHAnsi"/>
                <w:bCs/>
                <w:color w:val="auto"/>
                <w:lang w:eastAsia="en-AU"/>
              </w:rPr>
              <w:t>f</w:t>
            </w:r>
            <w:r w:rsidRPr="001D2906">
              <w:rPr>
                <w:rFonts w:asciiTheme="minorHAnsi" w:hAnsiTheme="minorHAnsi" w:cstheme="minorHAnsi"/>
                <w:bCs/>
                <w:color w:val="auto"/>
                <w:lang w:eastAsia="en-AU"/>
              </w:rPr>
              <w:t xml:space="preserve">ide </w:t>
            </w:r>
          </w:p>
        </w:tc>
        <w:tc>
          <w:tcPr>
            <w:tcW w:w="2273" w:type="dxa"/>
            <w:shd w:val="clear" w:color="auto" w:fill="DAE3F8" w:themeFill="accent1" w:themeFillTint="33"/>
            <w:vAlign w:val="center"/>
          </w:tcPr>
          <w:p w14:paraId="369A1C05"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1,176</w:t>
            </w:r>
          </w:p>
        </w:tc>
        <w:tc>
          <w:tcPr>
            <w:tcW w:w="2273" w:type="dxa"/>
            <w:shd w:val="clear" w:color="auto" w:fill="DAE3F8" w:themeFill="accent1" w:themeFillTint="33"/>
            <w:vAlign w:val="center"/>
          </w:tcPr>
          <w:p w14:paraId="5131C2BC"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1,907</w:t>
            </w:r>
          </w:p>
        </w:tc>
        <w:tc>
          <w:tcPr>
            <w:tcW w:w="2273" w:type="dxa"/>
            <w:shd w:val="clear" w:color="auto" w:fill="DAE3F8" w:themeFill="accent1" w:themeFillTint="33"/>
            <w:vAlign w:val="center"/>
          </w:tcPr>
          <w:p w14:paraId="7D088BBF"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3,153</w:t>
            </w:r>
          </w:p>
        </w:tc>
      </w:tr>
      <w:tr w:rsidR="007C53CC" w:rsidRPr="006E4C82" w14:paraId="4C242B1F" w14:textId="77777777" w:rsidTr="004452F5">
        <w:tc>
          <w:tcPr>
            <w:cnfStyle w:val="001000000000" w:firstRow="0" w:lastRow="0" w:firstColumn="1" w:lastColumn="0" w:oddVBand="0" w:evenVBand="0" w:oddHBand="0" w:evenHBand="0" w:firstRowFirstColumn="0" w:firstRowLastColumn="0" w:lastRowFirstColumn="0" w:lastRowLastColumn="0"/>
            <w:tcW w:w="2197" w:type="dxa"/>
            <w:shd w:val="clear" w:color="auto" w:fill="FFFFFF" w:themeFill="background1"/>
          </w:tcPr>
          <w:p w14:paraId="55DA1C7B" w14:textId="704E349B"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RCS (</w:t>
            </w:r>
            <w:r w:rsidR="00935359">
              <w:rPr>
                <w:rFonts w:asciiTheme="minorHAnsi" w:hAnsiTheme="minorHAnsi" w:cstheme="minorHAnsi"/>
                <w:bCs/>
                <w:color w:val="auto"/>
                <w:lang w:eastAsia="en-AU"/>
              </w:rPr>
              <w:t>e</w:t>
            </w:r>
            <w:r w:rsidRPr="001D2906">
              <w:rPr>
                <w:rFonts w:asciiTheme="minorHAnsi" w:hAnsiTheme="minorHAnsi" w:cstheme="minorHAnsi"/>
                <w:bCs/>
                <w:color w:val="auto"/>
                <w:lang w:eastAsia="en-AU"/>
              </w:rPr>
              <w:t>xcluding mining)</w:t>
            </w:r>
          </w:p>
        </w:tc>
        <w:tc>
          <w:tcPr>
            <w:tcW w:w="2273" w:type="dxa"/>
            <w:shd w:val="clear" w:color="auto" w:fill="auto"/>
            <w:vAlign w:val="center"/>
          </w:tcPr>
          <w:p w14:paraId="2B838396"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2,127 </w:t>
            </w:r>
          </w:p>
        </w:tc>
        <w:tc>
          <w:tcPr>
            <w:tcW w:w="2273" w:type="dxa"/>
            <w:shd w:val="clear" w:color="auto" w:fill="auto"/>
            <w:vAlign w:val="center"/>
          </w:tcPr>
          <w:p w14:paraId="6F5BD05B"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3,448 </w:t>
            </w:r>
          </w:p>
        </w:tc>
        <w:tc>
          <w:tcPr>
            <w:tcW w:w="2273" w:type="dxa"/>
            <w:shd w:val="clear" w:color="auto" w:fill="auto"/>
            <w:vAlign w:val="center"/>
          </w:tcPr>
          <w:p w14:paraId="30551C1C"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5,698 </w:t>
            </w:r>
          </w:p>
        </w:tc>
      </w:tr>
      <w:tr w:rsidR="001D2906" w:rsidRPr="006E4C82" w14:paraId="245B0FE0" w14:textId="77777777" w:rsidTr="00691357">
        <w:tc>
          <w:tcPr>
            <w:cnfStyle w:val="001000000000" w:firstRow="0" w:lastRow="0" w:firstColumn="1" w:lastColumn="0" w:oddVBand="0" w:evenVBand="0" w:oddHBand="0" w:evenHBand="0" w:firstRowFirstColumn="0" w:firstRowLastColumn="0" w:lastRowFirstColumn="0" w:lastRowLastColumn="0"/>
            <w:tcW w:w="2197" w:type="dxa"/>
            <w:shd w:val="clear" w:color="auto" w:fill="DAE3F8" w:themeFill="accent1" w:themeFillTint="33"/>
          </w:tcPr>
          <w:p w14:paraId="22973302" w14:textId="2878C77C"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RCS (mining</w:t>
            </w:r>
            <w:r w:rsidR="00935359">
              <w:rPr>
                <w:rFonts w:asciiTheme="minorHAnsi" w:hAnsiTheme="minorHAnsi" w:cstheme="minorHAnsi"/>
                <w:bCs/>
                <w:color w:val="auto"/>
                <w:lang w:eastAsia="en-AU"/>
              </w:rPr>
              <w:t xml:space="preserve"> only</w:t>
            </w:r>
            <w:r w:rsidRPr="001D2906">
              <w:rPr>
                <w:rFonts w:asciiTheme="minorHAnsi" w:hAnsiTheme="minorHAnsi" w:cstheme="minorHAnsi"/>
                <w:bCs/>
                <w:color w:val="auto"/>
                <w:lang w:eastAsia="en-AU"/>
              </w:rPr>
              <w:t>)</w:t>
            </w:r>
          </w:p>
        </w:tc>
        <w:tc>
          <w:tcPr>
            <w:tcW w:w="2273" w:type="dxa"/>
            <w:shd w:val="clear" w:color="auto" w:fill="DAE3F8" w:themeFill="accent1" w:themeFillTint="33"/>
            <w:vAlign w:val="center"/>
          </w:tcPr>
          <w:p w14:paraId="1D8C990A"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11,482 </w:t>
            </w:r>
          </w:p>
        </w:tc>
        <w:tc>
          <w:tcPr>
            <w:tcW w:w="2273" w:type="dxa"/>
            <w:shd w:val="clear" w:color="auto" w:fill="DAE3F8" w:themeFill="accent1" w:themeFillTint="33"/>
            <w:vAlign w:val="center"/>
          </w:tcPr>
          <w:p w14:paraId="35D7C8C9"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18,483 </w:t>
            </w:r>
          </w:p>
        </w:tc>
        <w:tc>
          <w:tcPr>
            <w:tcW w:w="2273" w:type="dxa"/>
            <w:shd w:val="clear" w:color="auto" w:fill="DAE3F8" w:themeFill="accent1" w:themeFillTint="33"/>
            <w:vAlign w:val="center"/>
          </w:tcPr>
          <w:p w14:paraId="323E8AAE"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rPr>
              <w:t xml:space="preserve">30,255 </w:t>
            </w:r>
          </w:p>
        </w:tc>
      </w:tr>
      <w:tr w:rsidR="00691357" w:rsidRPr="00BB6456" w14:paraId="542983E1" w14:textId="77777777" w:rsidTr="00691357">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91ACEC" w:themeFill="accent1" w:themeFillTint="99"/>
          </w:tcPr>
          <w:p w14:paraId="547CD5F9" w14:textId="7F208984" w:rsidR="0030187D" w:rsidRPr="001D2906" w:rsidRDefault="0030187D" w:rsidP="004452F5">
            <w:pPr>
              <w:keepNext/>
              <w:keepLines/>
              <w:spacing w:after="0"/>
              <w:jc w:val="left"/>
              <w:rPr>
                <w:rFonts w:asciiTheme="minorHAnsi" w:hAnsiTheme="minorHAnsi" w:cstheme="minorHAnsi"/>
                <w:bCs/>
                <w:color w:val="auto"/>
                <w:szCs w:val="20"/>
                <w:lang w:eastAsia="en-AU"/>
              </w:rPr>
            </w:pPr>
            <w:r w:rsidRPr="001D2906">
              <w:rPr>
                <w:rFonts w:asciiTheme="minorHAnsi" w:hAnsiTheme="minorHAnsi" w:cstheme="minorHAnsi"/>
                <w:bCs/>
                <w:color w:val="auto"/>
                <w:szCs w:val="20"/>
                <w:lang w:eastAsia="en-AU"/>
              </w:rPr>
              <w:t>Chemicals where only costs were quantifi</w:t>
            </w:r>
            <w:r w:rsidR="00FF3931">
              <w:rPr>
                <w:rFonts w:asciiTheme="minorHAnsi" w:hAnsiTheme="minorHAnsi" w:cstheme="minorHAnsi"/>
                <w:bCs/>
                <w:color w:val="auto"/>
                <w:szCs w:val="20"/>
                <w:lang w:eastAsia="en-AU"/>
              </w:rPr>
              <w:t>able</w:t>
            </w:r>
            <w:r w:rsidRPr="001D2906">
              <w:rPr>
                <w:rFonts w:asciiTheme="minorHAnsi" w:hAnsiTheme="minorHAnsi" w:cstheme="minorHAnsi"/>
                <w:bCs/>
                <w:color w:val="auto"/>
                <w:szCs w:val="20"/>
                <w:lang w:eastAsia="en-AU"/>
              </w:rPr>
              <w:t xml:space="preserve">: </w:t>
            </w:r>
          </w:p>
        </w:tc>
      </w:tr>
      <w:tr w:rsidR="007C53CC" w:rsidRPr="006E4C82" w14:paraId="4439DAA0" w14:textId="77777777" w:rsidTr="004452F5">
        <w:tc>
          <w:tcPr>
            <w:cnfStyle w:val="001000000000" w:firstRow="0" w:lastRow="0" w:firstColumn="1" w:lastColumn="0" w:oddVBand="0" w:evenVBand="0" w:oddHBand="0" w:evenHBand="0" w:firstRowFirstColumn="0" w:firstRowLastColumn="0" w:lastRowFirstColumn="0" w:lastRowLastColumn="0"/>
            <w:tcW w:w="2197" w:type="dxa"/>
            <w:shd w:val="clear" w:color="auto" w:fill="FFFFFF" w:themeFill="background1"/>
          </w:tcPr>
          <w:p w14:paraId="57B52115"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Copper</w:t>
            </w:r>
          </w:p>
        </w:tc>
        <w:tc>
          <w:tcPr>
            <w:tcW w:w="2273" w:type="dxa"/>
            <w:shd w:val="clear" w:color="auto" w:fill="auto"/>
            <w:vAlign w:val="center"/>
          </w:tcPr>
          <w:p w14:paraId="5AC3145E"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1,059</w:t>
            </w:r>
          </w:p>
        </w:tc>
        <w:tc>
          <w:tcPr>
            <w:tcW w:w="2273" w:type="dxa"/>
            <w:shd w:val="clear" w:color="auto" w:fill="auto"/>
            <w:vAlign w:val="center"/>
          </w:tcPr>
          <w:p w14:paraId="08F15004"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1,709</w:t>
            </w:r>
          </w:p>
        </w:tc>
        <w:tc>
          <w:tcPr>
            <w:tcW w:w="2273" w:type="dxa"/>
            <w:shd w:val="clear" w:color="auto" w:fill="auto"/>
            <w:vAlign w:val="center"/>
          </w:tcPr>
          <w:p w14:paraId="2C975237"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2,810</w:t>
            </w:r>
          </w:p>
        </w:tc>
      </w:tr>
      <w:tr w:rsidR="001D2906" w:rsidRPr="006E4C82" w14:paraId="1F718F4B" w14:textId="77777777" w:rsidTr="00691357">
        <w:tc>
          <w:tcPr>
            <w:cnfStyle w:val="001000000000" w:firstRow="0" w:lastRow="0" w:firstColumn="1" w:lastColumn="0" w:oddVBand="0" w:evenVBand="0" w:oddHBand="0" w:evenHBand="0" w:firstRowFirstColumn="0" w:firstRowLastColumn="0" w:lastRowFirstColumn="0" w:lastRowLastColumn="0"/>
            <w:tcW w:w="2197" w:type="dxa"/>
            <w:shd w:val="clear" w:color="auto" w:fill="DAE3F8" w:themeFill="accent1" w:themeFillTint="33"/>
          </w:tcPr>
          <w:p w14:paraId="7A85135F"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Hydrogen cyanide </w:t>
            </w:r>
          </w:p>
        </w:tc>
        <w:tc>
          <w:tcPr>
            <w:tcW w:w="2273" w:type="dxa"/>
            <w:shd w:val="clear" w:color="auto" w:fill="DAE3F8" w:themeFill="accent1" w:themeFillTint="33"/>
            <w:vAlign w:val="center"/>
          </w:tcPr>
          <w:p w14:paraId="5E452F40"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196</w:t>
            </w:r>
          </w:p>
        </w:tc>
        <w:tc>
          <w:tcPr>
            <w:tcW w:w="2273" w:type="dxa"/>
            <w:shd w:val="clear" w:color="auto" w:fill="DAE3F8" w:themeFill="accent1" w:themeFillTint="33"/>
            <w:vAlign w:val="center"/>
          </w:tcPr>
          <w:p w14:paraId="1F32A150"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318</w:t>
            </w:r>
          </w:p>
        </w:tc>
        <w:tc>
          <w:tcPr>
            <w:tcW w:w="2273" w:type="dxa"/>
            <w:shd w:val="clear" w:color="auto" w:fill="DAE3F8" w:themeFill="accent1" w:themeFillTint="33"/>
            <w:vAlign w:val="center"/>
          </w:tcPr>
          <w:p w14:paraId="74634596"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526</w:t>
            </w:r>
          </w:p>
        </w:tc>
      </w:tr>
      <w:tr w:rsidR="00F4474B" w:rsidRPr="006E4C82" w14:paraId="1ADA63AD" w14:textId="77777777" w:rsidTr="004452F5">
        <w:tc>
          <w:tcPr>
            <w:cnfStyle w:val="001000000000" w:firstRow="0" w:lastRow="0" w:firstColumn="1" w:lastColumn="0" w:oddVBand="0" w:evenVBand="0" w:oddHBand="0" w:evenHBand="0" w:firstRowFirstColumn="0" w:firstRowLastColumn="0" w:lastRowFirstColumn="0" w:lastRowLastColumn="0"/>
            <w:tcW w:w="2197" w:type="dxa"/>
            <w:shd w:val="clear" w:color="auto" w:fill="FFFFFF" w:themeFill="background1"/>
          </w:tcPr>
          <w:p w14:paraId="6292F734"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Nitrogen dioxide </w:t>
            </w:r>
          </w:p>
        </w:tc>
        <w:tc>
          <w:tcPr>
            <w:tcW w:w="2273" w:type="dxa"/>
            <w:shd w:val="clear" w:color="auto" w:fill="auto"/>
            <w:vAlign w:val="center"/>
          </w:tcPr>
          <w:p w14:paraId="3B226041"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1,673</w:t>
            </w:r>
          </w:p>
        </w:tc>
        <w:tc>
          <w:tcPr>
            <w:tcW w:w="2273" w:type="dxa"/>
            <w:shd w:val="clear" w:color="auto" w:fill="auto"/>
            <w:vAlign w:val="center"/>
          </w:tcPr>
          <w:p w14:paraId="30D379B4"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2,703</w:t>
            </w:r>
          </w:p>
        </w:tc>
        <w:tc>
          <w:tcPr>
            <w:tcW w:w="2273" w:type="dxa"/>
            <w:shd w:val="clear" w:color="auto" w:fill="auto"/>
            <w:vAlign w:val="center"/>
          </w:tcPr>
          <w:p w14:paraId="3BF0AAEF"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4,446</w:t>
            </w:r>
          </w:p>
        </w:tc>
      </w:tr>
      <w:tr w:rsidR="001D2906" w:rsidRPr="006E4C82" w14:paraId="36FC09B1" w14:textId="77777777" w:rsidTr="00691357">
        <w:tc>
          <w:tcPr>
            <w:cnfStyle w:val="001000000000" w:firstRow="0" w:lastRow="0" w:firstColumn="1" w:lastColumn="0" w:oddVBand="0" w:evenVBand="0" w:oddHBand="0" w:evenHBand="0" w:firstRowFirstColumn="0" w:firstRowLastColumn="0" w:lastRowFirstColumn="0" w:lastRowLastColumn="0"/>
            <w:tcW w:w="2197" w:type="dxa"/>
            <w:shd w:val="clear" w:color="auto" w:fill="DAE3F8" w:themeFill="accent1" w:themeFillTint="33"/>
          </w:tcPr>
          <w:p w14:paraId="472E96F3" w14:textId="77777777" w:rsidR="0030187D" w:rsidRPr="001D2906" w:rsidRDefault="0030187D" w:rsidP="004452F5">
            <w:pPr>
              <w:pStyle w:val="TableNheader"/>
              <w:keepNext/>
              <w:keepLines/>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Titanium dioxide </w:t>
            </w:r>
          </w:p>
        </w:tc>
        <w:tc>
          <w:tcPr>
            <w:tcW w:w="2273" w:type="dxa"/>
            <w:shd w:val="clear" w:color="auto" w:fill="DAE3F8" w:themeFill="accent1" w:themeFillTint="33"/>
            <w:vAlign w:val="center"/>
          </w:tcPr>
          <w:p w14:paraId="6161BD78"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38</w:t>
            </w:r>
          </w:p>
        </w:tc>
        <w:tc>
          <w:tcPr>
            <w:tcW w:w="2273" w:type="dxa"/>
            <w:shd w:val="clear" w:color="auto" w:fill="DAE3F8" w:themeFill="accent1" w:themeFillTint="33"/>
            <w:vAlign w:val="center"/>
          </w:tcPr>
          <w:p w14:paraId="7DAE9296"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62</w:t>
            </w:r>
          </w:p>
        </w:tc>
        <w:tc>
          <w:tcPr>
            <w:tcW w:w="2273" w:type="dxa"/>
            <w:shd w:val="clear" w:color="auto" w:fill="DAE3F8" w:themeFill="accent1" w:themeFillTint="33"/>
            <w:vAlign w:val="center"/>
          </w:tcPr>
          <w:p w14:paraId="2D3A7735" w14:textId="77777777" w:rsidR="0030187D" w:rsidRPr="001D2906" w:rsidRDefault="0030187D" w:rsidP="004452F5">
            <w:pPr>
              <w:keepNext/>
              <w:keepLines/>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1D2906">
              <w:rPr>
                <w:rFonts w:asciiTheme="minorHAnsi" w:hAnsiTheme="minorHAnsi" w:cstheme="minorHAnsi"/>
                <w:sz w:val="17"/>
                <w:szCs w:val="17"/>
                <w:lang w:eastAsia="en-AU"/>
              </w:rPr>
              <w:t>102</w:t>
            </w:r>
          </w:p>
        </w:tc>
      </w:tr>
    </w:tbl>
    <w:p w14:paraId="0ED41919" w14:textId="77777777" w:rsidR="0030187D" w:rsidRDefault="0030187D" w:rsidP="00AC3A30">
      <w:pPr>
        <w:spacing w:after="160"/>
        <w:rPr>
          <w:lang w:eastAsia="en-AU"/>
        </w:rPr>
      </w:pPr>
    </w:p>
    <w:p w14:paraId="08DABDA2" w14:textId="094F9EAD" w:rsidR="00856E25" w:rsidRDefault="00A40831" w:rsidP="00144BE5">
      <w:pPr>
        <w:spacing w:after="160"/>
      </w:pPr>
      <w:r>
        <w:rPr>
          <w:lang w:eastAsia="en-AU"/>
        </w:rPr>
        <w:fldChar w:fldCharType="begin"/>
      </w:r>
      <w:r>
        <w:rPr>
          <w:lang w:eastAsia="en-AU"/>
        </w:rPr>
        <w:instrText xml:space="preserve"> REF _Ref216793622 \h </w:instrText>
      </w:r>
      <w:r>
        <w:rPr>
          <w:lang w:eastAsia="en-AU"/>
        </w:rPr>
      </w:r>
      <w:r>
        <w:rPr>
          <w:lang w:eastAsia="en-AU"/>
        </w:rPr>
        <w:fldChar w:fldCharType="separate"/>
      </w:r>
      <w:r w:rsidR="00A002F4">
        <w:t xml:space="preserve">Table </w:t>
      </w:r>
      <w:r w:rsidR="00A002F4">
        <w:rPr>
          <w:noProof/>
        </w:rPr>
        <w:t>69</w:t>
      </w:r>
      <w:r>
        <w:rPr>
          <w:lang w:eastAsia="en-AU"/>
        </w:rPr>
        <w:fldChar w:fldCharType="end"/>
      </w:r>
      <w:r>
        <w:rPr>
          <w:lang w:eastAsia="en-AU"/>
        </w:rPr>
        <w:t xml:space="preserve"> </w:t>
      </w:r>
      <w:r w:rsidR="00706845">
        <w:rPr>
          <w:lang w:eastAsia="en-AU"/>
        </w:rPr>
        <w:t xml:space="preserve">presents the range of estimated benefits (discounted) for the </w:t>
      </w:r>
      <w:r w:rsidR="000101ED">
        <w:rPr>
          <w:lang w:eastAsia="en-AU"/>
        </w:rPr>
        <w:t>5</w:t>
      </w:r>
      <w:r w:rsidR="00706845">
        <w:rPr>
          <w:lang w:eastAsia="en-AU"/>
        </w:rPr>
        <w:t xml:space="preserve"> chemicals where the benefits were able to be quantified, across the low, central and high scenarios. </w:t>
      </w:r>
    </w:p>
    <w:p w14:paraId="5B8E0810" w14:textId="3CDAC6CC" w:rsidR="00A40831" w:rsidRDefault="00A40831" w:rsidP="00144BE5">
      <w:pPr>
        <w:pStyle w:val="Caption"/>
      </w:pPr>
      <w:bookmarkStart w:id="712" w:name="_Ref216793622"/>
      <w:r>
        <w:t xml:space="preserve">Table </w:t>
      </w:r>
      <w:fldSimple w:instr=" SEQ Table \* ARABIC ">
        <w:r w:rsidR="00A002F4">
          <w:rPr>
            <w:noProof/>
          </w:rPr>
          <w:t>69</w:t>
        </w:r>
      </w:fldSimple>
      <w:bookmarkEnd w:id="712"/>
      <w:r>
        <w:t xml:space="preserve"> - </w:t>
      </w:r>
      <w:r w:rsidRPr="00996E68">
        <w:t>Estimated benefits ($ millions, discounted), for chemicals where the benefits were quantifiable, all scenarios</w:t>
      </w:r>
    </w:p>
    <w:tbl>
      <w:tblPr>
        <w:tblStyle w:val="NousTableStyletopandsideheading"/>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7"/>
        <w:gridCol w:w="2273"/>
        <w:gridCol w:w="2273"/>
        <w:gridCol w:w="2273"/>
      </w:tblGrid>
      <w:tr w:rsidR="00EE1BA8" w:rsidRPr="001D2906" w14:paraId="6A0B11D1" w14:textId="77777777" w:rsidTr="00FC1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143CFAB9" w14:textId="77777777" w:rsidR="00EE1BA8" w:rsidRPr="001D2906" w:rsidRDefault="00EE1BA8" w:rsidP="000867AE">
            <w:pPr>
              <w:pStyle w:val="TableNheader"/>
              <w:rPr>
                <w:rFonts w:asciiTheme="minorHAnsi" w:hAnsiTheme="minorHAnsi" w:cstheme="minorHAnsi"/>
                <w:color w:val="FFFFFF" w:themeColor="background1"/>
              </w:rPr>
            </w:pPr>
            <w:r w:rsidRPr="001D2906">
              <w:rPr>
                <w:rFonts w:asciiTheme="minorHAnsi" w:hAnsiTheme="minorHAnsi" w:cstheme="minorHAnsi"/>
                <w:color w:val="FFFFFF" w:themeColor="background1"/>
              </w:rPr>
              <w:t>Chemical</w:t>
            </w:r>
          </w:p>
        </w:tc>
        <w:tc>
          <w:tcPr>
            <w:tcW w:w="6819" w:type="dxa"/>
            <w:gridSpan w:val="3"/>
            <w:tcBorders>
              <w:top w:val="single" w:sz="4" w:space="0" w:color="BFBFBF" w:themeColor="background1" w:themeShade="BF"/>
              <w:left w:val="single" w:sz="4" w:space="0" w:color="BFBFBF" w:themeColor="background1" w:themeShade="BF"/>
            </w:tcBorders>
            <w:shd w:val="clear" w:color="auto" w:fill="4877E0" w:themeFill="accent1"/>
          </w:tcPr>
          <w:p w14:paraId="026B50E5" w14:textId="4FF13F69" w:rsidR="00EE1BA8" w:rsidRPr="00963BC5" w:rsidRDefault="00573C2B" w:rsidP="000867AE">
            <w:pPr>
              <w:pStyle w:val="TableNheade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963BC5">
              <w:rPr>
                <w:rFonts w:asciiTheme="minorHAnsi" w:hAnsiTheme="minorHAnsi" w:cstheme="minorHAnsi"/>
                <w:color w:val="FFFFFF" w:themeColor="background1"/>
              </w:rPr>
              <w:t>The estimated benefits of the proposed WEL over the 10-year appraisal period (FY27 to FY36)</w:t>
            </w:r>
          </w:p>
        </w:tc>
      </w:tr>
      <w:tr w:rsidR="00EE1BA8" w:rsidRPr="001D2906" w14:paraId="595BEB1E" w14:textId="77777777" w:rsidTr="00FC19F3">
        <w:trPr>
          <w:trHeight w:val="88"/>
        </w:trPr>
        <w:tc>
          <w:tcPr>
            <w:cnfStyle w:val="001000000000" w:firstRow="0" w:lastRow="0" w:firstColumn="1" w:lastColumn="0" w:oddVBand="0" w:evenVBand="0" w:oddHBand="0" w:evenHBand="0" w:firstRowFirstColumn="0" w:firstRowLastColumn="0" w:lastRowFirstColumn="0" w:lastRowLastColumn="0"/>
            <w:tcW w:w="2197" w:type="dxa"/>
            <w:vMerge/>
            <w:tcBorders>
              <w:left w:val="single" w:sz="4" w:space="0" w:color="BFBFBF" w:themeColor="background1" w:themeShade="BF"/>
            </w:tcBorders>
            <w:shd w:val="clear" w:color="auto" w:fill="E7E6E6" w:themeFill="background2"/>
          </w:tcPr>
          <w:p w14:paraId="45B77AB6" w14:textId="77777777" w:rsidR="00EE1BA8" w:rsidRPr="001D2906" w:rsidRDefault="00EE1BA8" w:rsidP="000867AE">
            <w:pPr>
              <w:pStyle w:val="TableNheader"/>
              <w:jc w:val="left"/>
              <w:rPr>
                <w:rFonts w:asciiTheme="minorHAnsi" w:hAnsiTheme="minorHAnsi" w:cstheme="minorHAnsi"/>
                <w:color w:val="auto"/>
                <w:lang w:eastAsia="en-AU"/>
              </w:rPr>
            </w:pPr>
          </w:p>
        </w:tc>
        <w:tc>
          <w:tcPr>
            <w:tcW w:w="2273" w:type="dxa"/>
            <w:shd w:val="clear" w:color="auto" w:fill="2050BD" w:themeFill="accent1" w:themeFillShade="BF"/>
          </w:tcPr>
          <w:p w14:paraId="2AEB654C" w14:textId="77777777" w:rsidR="00EE1BA8" w:rsidRPr="001D2906" w:rsidRDefault="00EE1BA8" w:rsidP="000867AE">
            <w:pPr>
              <w:pStyle w:val="TableNheade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Low scenario</w:t>
            </w:r>
          </w:p>
        </w:tc>
        <w:tc>
          <w:tcPr>
            <w:tcW w:w="2273" w:type="dxa"/>
            <w:shd w:val="clear" w:color="auto" w:fill="2050BD" w:themeFill="accent1" w:themeFillShade="BF"/>
          </w:tcPr>
          <w:p w14:paraId="2399CB89" w14:textId="77777777" w:rsidR="00EE1BA8" w:rsidRPr="001D2906" w:rsidRDefault="00EE1BA8" w:rsidP="000867AE">
            <w:pPr>
              <w:pStyle w:val="TableNheade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Central (current) scenario</w:t>
            </w:r>
          </w:p>
        </w:tc>
        <w:tc>
          <w:tcPr>
            <w:tcW w:w="2273" w:type="dxa"/>
            <w:shd w:val="clear" w:color="auto" w:fill="2050BD" w:themeFill="accent1" w:themeFillShade="BF"/>
          </w:tcPr>
          <w:p w14:paraId="5E21FFB7" w14:textId="77777777" w:rsidR="00EE1BA8" w:rsidRPr="001D2906" w:rsidRDefault="00EE1BA8" w:rsidP="000867AE">
            <w:pPr>
              <w:pStyle w:val="TableNheade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eastAsia="en-AU"/>
              </w:rPr>
            </w:pPr>
            <w:r w:rsidRPr="001D2906">
              <w:rPr>
                <w:rFonts w:asciiTheme="minorHAnsi" w:hAnsiTheme="minorHAnsi" w:cstheme="minorHAnsi"/>
                <w:b/>
                <w:color w:val="FFFFFF" w:themeColor="background1"/>
                <w:lang w:eastAsia="en-AU"/>
              </w:rPr>
              <w:t>High scenario</w:t>
            </w:r>
          </w:p>
        </w:tc>
      </w:tr>
      <w:tr w:rsidR="00EE1BA8" w:rsidRPr="001D2906" w14:paraId="5F0835A2" w14:textId="77777777" w:rsidTr="00FC19F3">
        <w:trPr>
          <w:trHeight w:val="221"/>
        </w:trPr>
        <w:tc>
          <w:tcPr>
            <w:cnfStyle w:val="001000000000" w:firstRow="0" w:lastRow="0" w:firstColumn="1" w:lastColumn="0" w:oddVBand="0" w:evenVBand="0" w:oddHBand="0" w:evenHBand="0" w:firstRowFirstColumn="0" w:firstRowLastColumn="0" w:lastRowFirstColumn="0" w:lastRowLastColumn="0"/>
            <w:tcW w:w="9016" w:type="dxa"/>
            <w:gridSpan w:val="4"/>
            <w:tcBorders>
              <w:left w:val="single" w:sz="4" w:space="0" w:color="BFBFBF" w:themeColor="background1" w:themeShade="BF"/>
            </w:tcBorders>
            <w:shd w:val="clear" w:color="auto" w:fill="91ACEC" w:themeFill="accent1" w:themeFillTint="99"/>
          </w:tcPr>
          <w:p w14:paraId="3657BD5C" w14:textId="1E489088" w:rsidR="00EE1BA8" w:rsidRPr="001D2906" w:rsidRDefault="00EE1BA8" w:rsidP="000867AE">
            <w:pPr>
              <w:spacing w:after="0"/>
              <w:jc w:val="left"/>
              <w:rPr>
                <w:rFonts w:asciiTheme="minorHAnsi" w:hAnsiTheme="minorHAnsi" w:cstheme="minorHAnsi"/>
                <w:bCs/>
                <w:color w:val="auto"/>
                <w:szCs w:val="20"/>
                <w:lang w:eastAsia="en-AU"/>
              </w:rPr>
            </w:pPr>
            <w:r w:rsidRPr="001D2906">
              <w:rPr>
                <w:rFonts w:asciiTheme="minorHAnsi" w:hAnsiTheme="minorHAnsi" w:cstheme="minorHAnsi"/>
                <w:bCs/>
                <w:color w:val="auto"/>
                <w:szCs w:val="20"/>
                <w:lang w:eastAsia="en-AU"/>
              </w:rPr>
              <w:t>Chemicals where the costs and benefits were quantifi</w:t>
            </w:r>
            <w:r w:rsidR="00FF3931">
              <w:rPr>
                <w:rFonts w:asciiTheme="minorHAnsi" w:hAnsiTheme="minorHAnsi" w:cstheme="minorHAnsi"/>
                <w:bCs/>
                <w:color w:val="auto"/>
                <w:szCs w:val="20"/>
                <w:lang w:eastAsia="en-AU"/>
              </w:rPr>
              <w:t>able</w:t>
            </w:r>
            <w:r w:rsidRPr="001D2906">
              <w:rPr>
                <w:rFonts w:asciiTheme="minorHAnsi" w:hAnsiTheme="minorHAnsi" w:cstheme="minorHAnsi"/>
                <w:bCs/>
                <w:color w:val="auto"/>
                <w:szCs w:val="20"/>
                <w:lang w:eastAsia="en-AU"/>
              </w:rPr>
              <w:t>:</w:t>
            </w:r>
          </w:p>
        </w:tc>
      </w:tr>
      <w:tr w:rsidR="00F63698" w:rsidRPr="001D2906" w14:paraId="5FF2D549" w14:textId="77777777" w:rsidTr="004452F5">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FFFFFF" w:themeFill="background1"/>
          </w:tcPr>
          <w:p w14:paraId="58FE5F11" w14:textId="77777777"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Benzene</w:t>
            </w:r>
          </w:p>
        </w:tc>
        <w:tc>
          <w:tcPr>
            <w:tcW w:w="2273" w:type="dxa"/>
            <w:tcBorders>
              <w:top w:val="single" w:sz="4" w:space="0" w:color="FFFFFF" w:themeColor="background1"/>
            </w:tcBorders>
            <w:shd w:val="clear" w:color="auto" w:fill="auto"/>
            <w:vAlign w:val="center"/>
          </w:tcPr>
          <w:p w14:paraId="3191F980" w14:textId="38628388"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82 </w:t>
            </w:r>
          </w:p>
        </w:tc>
        <w:tc>
          <w:tcPr>
            <w:tcW w:w="2273" w:type="dxa"/>
            <w:tcBorders>
              <w:top w:val="single" w:sz="4" w:space="0" w:color="FFFFFF" w:themeColor="background1"/>
            </w:tcBorders>
            <w:shd w:val="clear" w:color="auto" w:fill="auto"/>
            <w:vAlign w:val="center"/>
          </w:tcPr>
          <w:p w14:paraId="481D73AC" w14:textId="74C5CC07"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439 </w:t>
            </w:r>
          </w:p>
        </w:tc>
        <w:tc>
          <w:tcPr>
            <w:tcW w:w="2273" w:type="dxa"/>
            <w:tcBorders>
              <w:top w:val="single" w:sz="4" w:space="0" w:color="FFFFFF" w:themeColor="background1"/>
            </w:tcBorders>
            <w:shd w:val="clear" w:color="auto" w:fill="auto"/>
            <w:vAlign w:val="center"/>
          </w:tcPr>
          <w:p w14:paraId="2CEB74F6" w14:textId="0C2C72A9"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988 </w:t>
            </w:r>
          </w:p>
        </w:tc>
      </w:tr>
      <w:tr w:rsidR="00FC19F3" w:rsidRPr="001D2906" w14:paraId="291547C9" w14:textId="77777777" w:rsidTr="00FC19F3">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DAE3F8" w:themeFill="accent1" w:themeFillTint="33"/>
          </w:tcPr>
          <w:p w14:paraId="01ED3C26" w14:textId="77777777"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Chlorine</w:t>
            </w:r>
          </w:p>
        </w:tc>
        <w:tc>
          <w:tcPr>
            <w:tcW w:w="2273" w:type="dxa"/>
            <w:shd w:val="clear" w:color="auto" w:fill="DAE3F8" w:themeFill="accent1" w:themeFillTint="33"/>
            <w:vAlign w:val="center"/>
          </w:tcPr>
          <w:p w14:paraId="05291D21" w14:textId="388939EF"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6 </w:t>
            </w:r>
          </w:p>
        </w:tc>
        <w:tc>
          <w:tcPr>
            <w:tcW w:w="2273" w:type="dxa"/>
            <w:shd w:val="clear" w:color="auto" w:fill="DAE3F8" w:themeFill="accent1" w:themeFillTint="33"/>
            <w:vAlign w:val="center"/>
          </w:tcPr>
          <w:p w14:paraId="154F2B9F" w14:textId="55E26254"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9 </w:t>
            </w:r>
          </w:p>
        </w:tc>
        <w:tc>
          <w:tcPr>
            <w:tcW w:w="2273" w:type="dxa"/>
            <w:shd w:val="clear" w:color="auto" w:fill="DAE3F8" w:themeFill="accent1" w:themeFillTint="33"/>
            <w:vAlign w:val="center"/>
          </w:tcPr>
          <w:p w14:paraId="194938D0" w14:textId="63498CBA"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13 </w:t>
            </w:r>
          </w:p>
        </w:tc>
      </w:tr>
      <w:tr w:rsidR="00416C0C" w:rsidRPr="001D2906" w14:paraId="227D3AEB" w14:textId="77777777" w:rsidTr="004452F5">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FFFFFF" w:themeFill="background1"/>
          </w:tcPr>
          <w:p w14:paraId="306FBF67" w14:textId="77777777"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Formaldehyde </w:t>
            </w:r>
          </w:p>
        </w:tc>
        <w:tc>
          <w:tcPr>
            <w:tcW w:w="2273" w:type="dxa"/>
            <w:shd w:val="clear" w:color="auto" w:fill="auto"/>
            <w:vAlign w:val="center"/>
          </w:tcPr>
          <w:p w14:paraId="4A0E984A" w14:textId="7AF67B45"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FB3EC5">
              <w:rPr>
                <w:rFonts w:cs="Segoe UI"/>
                <w:sz w:val="17"/>
                <w:szCs w:val="17"/>
              </w:rPr>
              <w:t>30</w:t>
            </w:r>
          </w:p>
        </w:tc>
        <w:tc>
          <w:tcPr>
            <w:tcW w:w="2273" w:type="dxa"/>
            <w:shd w:val="clear" w:color="auto" w:fill="auto"/>
            <w:vAlign w:val="center"/>
          </w:tcPr>
          <w:p w14:paraId="2CF5241D" w14:textId="4C5A913D"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D347F1">
              <w:rPr>
                <w:sz w:val="17"/>
                <w:szCs w:val="17"/>
                <w:lang w:eastAsia="en-AU"/>
              </w:rPr>
              <w:t>45</w:t>
            </w:r>
          </w:p>
        </w:tc>
        <w:tc>
          <w:tcPr>
            <w:tcW w:w="2273" w:type="dxa"/>
            <w:shd w:val="clear" w:color="auto" w:fill="auto"/>
            <w:vAlign w:val="center"/>
          </w:tcPr>
          <w:p w14:paraId="53774ACB" w14:textId="3DAFB020"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Pr>
                <w:sz w:val="17"/>
                <w:szCs w:val="17"/>
                <w:lang w:eastAsia="en-AU"/>
              </w:rPr>
              <w:t>72</w:t>
            </w:r>
          </w:p>
        </w:tc>
      </w:tr>
      <w:tr w:rsidR="00FC19F3" w:rsidRPr="001D2906" w14:paraId="294F30BC" w14:textId="77777777" w:rsidTr="00FC19F3">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DAE3F8" w:themeFill="accent1" w:themeFillTint="33"/>
          </w:tcPr>
          <w:p w14:paraId="394A15CC" w14:textId="77777777"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 xml:space="preserve">Hydrogen sulfide </w:t>
            </w:r>
          </w:p>
        </w:tc>
        <w:tc>
          <w:tcPr>
            <w:tcW w:w="2273" w:type="dxa"/>
            <w:shd w:val="clear" w:color="auto" w:fill="DAE3F8" w:themeFill="accent1" w:themeFillTint="33"/>
            <w:vAlign w:val="center"/>
          </w:tcPr>
          <w:p w14:paraId="6A331770" w14:textId="47380EFF"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FB3EC5">
              <w:rPr>
                <w:sz w:val="17"/>
                <w:szCs w:val="17"/>
                <w:lang w:eastAsia="en-AU"/>
              </w:rPr>
              <w:t>5</w:t>
            </w:r>
          </w:p>
        </w:tc>
        <w:tc>
          <w:tcPr>
            <w:tcW w:w="2273" w:type="dxa"/>
            <w:shd w:val="clear" w:color="auto" w:fill="DAE3F8" w:themeFill="accent1" w:themeFillTint="33"/>
            <w:vAlign w:val="center"/>
          </w:tcPr>
          <w:p w14:paraId="451705D8" w14:textId="47E5A5E1"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D347F1">
              <w:rPr>
                <w:sz w:val="17"/>
                <w:szCs w:val="17"/>
                <w:lang w:eastAsia="en-AU"/>
              </w:rPr>
              <w:t>7</w:t>
            </w:r>
          </w:p>
        </w:tc>
        <w:tc>
          <w:tcPr>
            <w:tcW w:w="2273" w:type="dxa"/>
            <w:shd w:val="clear" w:color="auto" w:fill="DAE3F8" w:themeFill="accent1" w:themeFillTint="33"/>
            <w:vAlign w:val="center"/>
          </w:tcPr>
          <w:p w14:paraId="1F48075D" w14:textId="1918E9AA"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8A4250">
              <w:rPr>
                <w:sz w:val="17"/>
                <w:szCs w:val="17"/>
                <w:lang w:eastAsia="en-AU"/>
              </w:rPr>
              <w:t>10</w:t>
            </w:r>
          </w:p>
        </w:tc>
      </w:tr>
      <w:tr w:rsidR="00852609" w:rsidRPr="001D2906" w14:paraId="0B5B9CF3" w14:textId="77777777" w:rsidTr="004452F5">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FFFFFF" w:themeFill="background1"/>
          </w:tcPr>
          <w:p w14:paraId="5E0D6DBE" w14:textId="7789C19A"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RCS (</w:t>
            </w:r>
            <w:r w:rsidR="00306543">
              <w:rPr>
                <w:rFonts w:asciiTheme="minorHAnsi" w:hAnsiTheme="minorHAnsi" w:cstheme="minorHAnsi"/>
                <w:bCs/>
                <w:color w:val="auto"/>
                <w:lang w:eastAsia="en-AU"/>
              </w:rPr>
              <w:t>e</w:t>
            </w:r>
            <w:r w:rsidRPr="001D2906">
              <w:rPr>
                <w:rFonts w:asciiTheme="minorHAnsi" w:hAnsiTheme="minorHAnsi" w:cstheme="minorHAnsi"/>
                <w:bCs/>
                <w:color w:val="auto"/>
                <w:lang w:eastAsia="en-AU"/>
              </w:rPr>
              <w:t>xcluding mining)</w:t>
            </w:r>
          </w:p>
        </w:tc>
        <w:tc>
          <w:tcPr>
            <w:tcW w:w="2273" w:type="dxa"/>
            <w:shd w:val="clear" w:color="auto" w:fill="auto"/>
            <w:vAlign w:val="center"/>
          </w:tcPr>
          <w:p w14:paraId="4437FCDF" w14:textId="3CC8C71B"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FB3EC5">
              <w:rPr>
                <w:sz w:val="17"/>
                <w:szCs w:val="17"/>
                <w:lang w:eastAsia="en-AU"/>
              </w:rPr>
              <w:t>2,441</w:t>
            </w:r>
          </w:p>
        </w:tc>
        <w:tc>
          <w:tcPr>
            <w:tcW w:w="2273" w:type="dxa"/>
            <w:shd w:val="clear" w:color="auto" w:fill="auto"/>
            <w:vAlign w:val="center"/>
          </w:tcPr>
          <w:p w14:paraId="32ECD19A" w14:textId="42F7B722"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10,145 </w:t>
            </w:r>
          </w:p>
        </w:tc>
        <w:tc>
          <w:tcPr>
            <w:tcW w:w="2273" w:type="dxa"/>
            <w:shd w:val="clear" w:color="auto" w:fill="auto"/>
            <w:vAlign w:val="center"/>
          </w:tcPr>
          <w:p w14:paraId="4231CB93" w14:textId="05DAE7CC"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8A4250">
              <w:rPr>
                <w:sz w:val="17"/>
                <w:szCs w:val="17"/>
                <w:lang w:eastAsia="en-AU"/>
              </w:rPr>
              <w:t>22,394</w:t>
            </w:r>
          </w:p>
        </w:tc>
      </w:tr>
      <w:tr w:rsidR="00306543" w:rsidRPr="001D2906" w14:paraId="616D5685" w14:textId="77777777" w:rsidTr="00FC19F3">
        <w:tc>
          <w:tcPr>
            <w:cnfStyle w:val="001000000000" w:firstRow="0" w:lastRow="0" w:firstColumn="1" w:lastColumn="0" w:oddVBand="0" w:evenVBand="0" w:oddHBand="0" w:evenHBand="0" w:firstRowFirstColumn="0" w:firstRowLastColumn="0" w:lastRowFirstColumn="0" w:lastRowLastColumn="0"/>
            <w:tcW w:w="2197" w:type="dxa"/>
            <w:tcBorders>
              <w:left w:val="single" w:sz="4" w:space="0" w:color="BFBFBF" w:themeColor="background1" w:themeShade="BF"/>
            </w:tcBorders>
            <w:shd w:val="clear" w:color="auto" w:fill="DAE3F8" w:themeFill="accent1" w:themeFillTint="33"/>
          </w:tcPr>
          <w:p w14:paraId="54A0C1E2" w14:textId="71AF40C5" w:rsidR="00416C0C" w:rsidRPr="001D2906" w:rsidRDefault="00416C0C" w:rsidP="00416C0C">
            <w:pPr>
              <w:pStyle w:val="TableNheader"/>
              <w:jc w:val="left"/>
              <w:rPr>
                <w:rFonts w:asciiTheme="minorHAnsi" w:hAnsiTheme="minorHAnsi" w:cstheme="minorHAnsi"/>
                <w:bCs/>
                <w:color w:val="auto"/>
                <w:lang w:eastAsia="en-AU"/>
              </w:rPr>
            </w:pPr>
            <w:r w:rsidRPr="001D2906">
              <w:rPr>
                <w:rFonts w:asciiTheme="minorHAnsi" w:hAnsiTheme="minorHAnsi" w:cstheme="minorHAnsi"/>
                <w:bCs/>
                <w:color w:val="auto"/>
                <w:lang w:eastAsia="en-AU"/>
              </w:rPr>
              <w:t>RCS (mining</w:t>
            </w:r>
            <w:r w:rsidR="00935359">
              <w:rPr>
                <w:rFonts w:asciiTheme="minorHAnsi" w:hAnsiTheme="minorHAnsi" w:cstheme="minorHAnsi"/>
                <w:bCs/>
                <w:color w:val="auto"/>
                <w:lang w:eastAsia="en-AU"/>
              </w:rPr>
              <w:t xml:space="preserve"> only</w:t>
            </w:r>
            <w:r w:rsidRPr="001D2906">
              <w:rPr>
                <w:rFonts w:asciiTheme="minorHAnsi" w:hAnsiTheme="minorHAnsi" w:cstheme="minorHAnsi"/>
                <w:bCs/>
                <w:color w:val="auto"/>
                <w:lang w:eastAsia="en-AU"/>
              </w:rPr>
              <w:t>)</w:t>
            </w:r>
          </w:p>
        </w:tc>
        <w:tc>
          <w:tcPr>
            <w:tcW w:w="2273" w:type="dxa"/>
            <w:shd w:val="clear" w:color="auto" w:fill="DAE3F8" w:themeFill="accent1" w:themeFillTint="33"/>
            <w:vAlign w:val="center"/>
          </w:tcPr>
          <w:p w14:paraId="363AF05E" w14:textId="5B8F485F"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FB3EC5">
              <w:rPr>
                <w:sz w:val="17"/>
                <w:szCs w:val="17"/>
                <w:lang w:eastAsia="en-AU"/>
              </w:rPr>
              <w:t>601</w:t>
            </w:r>
          </w:p>
        </w:tc>
        <w:tc>
          <w:tcPr>
            <w:tcW w:w="2273" w:type="dxa"/>
            <w:shd w:val="clear" w:color="auto" w:fill="DAE3F8" w:themeFill="accent1" w:themeFillTint="33"/>
            <w:vAlign w:val="center"/>
          </w:tcPr>
          <w:p w14:paraId="0E2403E5" w14:textId="5860B42A"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6E4C82">
              <w:rPr>
                <w:sz w:val="17"/>
                <w:szCs w:val="17"/>
              </w:rPr>
              <w:t xml:space="preserve">2,490 </w:t>
            </w:r>
          </w:p>
        </w:tc>
        <w:tc>
          <w:tcPr>
            <w:tcW w:w="2273" w:type="dxa"/>
            <w:shd w:val="clear" w:color="auto" w:fill="DAE3F8" w:themeFill="accent1" w:themeFillTint="33"/>
            <w:vAlign w:val="center"/>
          </w:tcPr>
          <w:p w14:paraId="16B60F15" w14:textId="30538FFF" w:rsidR="00416C0C" w:rsidRPr="001D2906" w:rsidRDefault="00416C0C" w:rsidP="00416C0C">
            <w:pPr>
              <w:spacing w:after="1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lang w:eastAsia="en-AU"/>
              </w:rPr>
            </w:pPr>
            <w:r w:rsidRPr="008A4250">
              <w:rPr>
                <w:sz w:val="17"/>
                <w:szCs w:val="17"/>
                <w:lang w:eastAsia="en-AU"/>
              </w:rPr>
              <w:t>5,470</w:t>
            </w:r>
          </w:p>
        </w:tc>
      </w:tr>
    </w:tbl>
    <w:p w14:paraId="25F576C4" w14:textId="77777777" w:rsidR="00AC3A30" w:rsidRDefault="00AC3A30" w:rsidP="00AC3A30">
      <w:pPr>
        <w:spacing w:after="160"/>
        <w:rPr>
          <w:lang w:eastAsia="en-AU"/>
        </w:rPr>
      </w:pPr>
    </w:p>
    <w:p w14:paraId="79DC5D5F" w14:textId="28BA0772" w:rsidR="001C289F" w:rsidRDefault="00100B59" w:rsidP="00100B59">
      <w:pPr>
        <w:pStyle w:val="SWAHeading1"/>
        <w:numPr>
          <w:ilvl w:val="0"/>
          <w:numId w:val="0"/>
        </w:numPr>
      </w:pPr>
      <w:bookmarkStart w:id="713" w:name="AppendixF_StakeholdersQuestions"/>
      <w:bookmarkStart w:id="714" w:name="_Toc219216940"/>
      <w:bookmarkEnd w:id="713"/>
      <w:r>
        <w:lastRenderedPageBreak/>
        <w:t xml:space="preserve">Appendix </w:t>
      </w:r>
      <w:r w:rsidR="00006136">
        <w:t>E</w:t>
      </w:r>
      <w:r w:rsidR="00EC4F05">
        <w:t xml:space="preserve"> </w:t>
      </w:r>
      <w:r>
        <w:t>– Stakeholder engagement questions</w:t>
      </w:r>
      <w:bookmarkEnd w:id="714"/>
    </w:p>
    <w:p w14:paraId="5151F80B" w14:textId="3E1EA292" w:rsidR="00100B59" w:rsidRDefault="00100B59" w:rsidP="00100B59">
      <w:pPr>
        <w:pStyle w:val="SWAHeading2"/>
        <w:numPr>
          <w:ilvl w:val="0"/>
          <w:numId w:val="0"/>
        </w:numPr>
      </w:pPr>
      <w:bookmarkStart w:id="715" w:name="_Toc219216941"/>
      <w:r>
        <w:t>Public consultation questions</w:t>
      </w:r>
      <w:bookmarkEnd w:id="715"/>
    </w:p>
    <w:p w14:paraId="68F1AE93" w14:textId="2EB6BC8E" w:rsidR="00E34D73" w:rsidRDefault="00E34D73" w:rsidP="001D72BD">
      <w:pPr>
        <w:pStyle w:val="Paragraph"/>
        <w:rPr>
          <w:lang w:eastAsia="en-US"/>
        </w:rPr>
      </w:pPr>
      <w:r>
        <w:rPr>
          <w:lang w:eastAsia="en-US"/>
        </w:rPr>
        <w:t xml:space="preserve">The following questions were </w:t>
      </w:r>
      <w:r w:rsidR="001D72BD">
        <w:rPr>
          <w:lang w:eastAsia="en-US"/>
        </w:rPr>
        <w:t>put forward</w:t>
      </w:r>
      <w:r>
        <w:rPr>
          <w:lang w:eastAsia="en-US"/>
        </w:rPr>
        <w:t xml:space="preserve"> </w:t>
      </w:r>
      <w:r w:rsidR="001D72BD">
        <w:rPr>
          <w:lang w:eastAsia="en-US"/>
        </w:rPr>
        <w:t xml:space="preserve">to stakeholders </w:t>
      </w:r>
      <w:r>
        <w:rPr>
          <w:lang w:eastAsia="en-US"/>
        </w:rPr>
        <w:t xml:space="preserve">during the public consultation </w:t>
      </w:r>
      <w:r w:rsidR="001D72BD">
        <w:rPr>
          <w:lang w:eastAsia="en-US"/>
        </w:rPr>
        <w:t xml:space="preserve">(See Section </w:t>
      </w:r>
      <w:r w:rsidR="007A11F1">
        <w:rPr>
          <w:lang w:eastAsia="en-US"/>
        </w:rPr>
        <w:fldChar w:fldCharType="begin"/>
      </w:r>
      <w:r w:rsidR="007A11F1">
        <w:rPr>
          <w:lang w:eastAsia="en-US"/>
        </w:rPr>
        <w:instrText xml:space="preserve"> REF _Ref194507459 \r \h </w:instrText>
      </w:r>
      <w:r w:rsidR="007A11F1">
        <w:rPr>
          <w:lang w:eastAsia="en-US"/>
        </w:rPr>
      </w:r>
      <w:r w:rsidR="007A11F1">
        <w:rPr>
          <w:lang w:eastAsia="en-US"/>
        </w:rPr>
        <w:fldChar w:fldCharType="separate"/>
      </w:r>
      <w:r w:rsidR="00A002F4">
        <w:rPr>
          <w:lang w:eastAsia="en-US"/>
        </w:rPr>
        <w:t>6.1</w:t>
      </w:r>
      <w:r w:rsidR="007A11F1">
        <w:rPr>
          <w:lang w:eastAsia="en-US"/>
        </w:rPr>
        <w:fldChar w:fldCharType="end"/>
      </w:r>
      <w:r w:rsidR="007A11F1">
        <w:rPr>
          <w:lang w:eastAsia="en-US"/>
        </w:rPr>
        <w:t xml:space="preserve"> for further details regarding the public consultation</w:t>
      </w:r>
      <w:r w:rsidR="001D495C">
        <w:rPr>
          <w:lang w:eastAsia="en-US"/>
        </w:rPr>
        <w:t xml:space="preserve"> approach used to inform this Decision RIS</w:t>
      </w:r>
      <w:r w:rsidR="006A58A0">
        <w:rPr>
          <w:lang w:eastAsia="en-US"/>
        </w:rPr>
        <w:t>)</w:t>
      </w:r>
      <w:r w:rsidR="007A11F1">
        <w:rPr>
          <w:lang w:eastAsia="en-US"/>
        </w:rPr>
        <w:t xml:space="preserve">. </w:t>
      </w:r>
    </w:p>
    <w:tbl>
      <w:tblPr>
        <w:tblStyle w:val="TableGrid"/>
        <w:tblW w:w="0" w:type="auto"/>
        <w:shd w:val="clear" w:color="auto" w:fill="F4E1FB"/>
        <w:tblLook w:val="04A0" w:firstRow="1" w:lastRow="0" w:firstColumn="1" w:lastColumn="0" w:noHBand="0" w:noVBand="1"/>
      </w:tblPr>
      <w:tblGrid>
        <w:gridCol w:w="9016"/>
      </w:tblGrid>
      <w:tr w:rsidR="00AD4A79" w14:paraId="35687879" w14:textId="77777777" w:rsidTr="00DC645D">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4DE86465" w14:textId="1E95FF60" w:rsidR="00AD4A79" w:rsidRDefault="00D62C19" w:rsidP="00391CA9">
            <w:pPr>
              <w:pStyle w:val="Paragraph"/>
              <w:keepNext w:val="0"/>
              <w:keepLines/>
              <w:widowControl w:val="0"/>
              <w:spacing w:before="240" w:line="240" w:lineRule="auto"/>
              <w:rPr>
                <w:lang w:eastAsia="en-US"/>
              </w:rPr>
            </w:pPr>
            <w:r>
              <w:rPr>
                <w:lang w:eastAsia="en-US"/>
              </w:rPr>
              <w:t>1</w:t>
            </w:r>
            <w:r w:rsidR="00037956">
              <w:rPr>
                <w:lang w:eastAsia="en-US"/>
              </w:rPr>
              <w:t xml:space="preserve">. </w:t>
            </w:r>
            <w:r w:rsidR="00AD4A79">
              <w:rPr>
                <w:lang w:eastAsia="en-US"/>
              </w:rPr>
              <w:t xml:space="preserve">For the chemical, what policy option do you support? Please explain why you support the option you have chosen. </w:t>
            </w:r>
          </w:p>
          <w:p w14:paraId="676054F3" w14:textId="1A96F4C2" w:rsidR="00AD4A79" w:rsidRDefault="00AD4A79" w:rsidP="00A2768E">
            <w:pPr>
              <w:pStyle w:val="Paragraph"/>
              <w:keepNext w:val="0"/>
              <w:keepLines/>
              <w:widowControl w:val="0"/>
              <w:numPr>
                <w:ilvl w:val="2"/>
                <w:numId w:val="139"/>
              </w:numPr>
              <w:spacing w:line="240" w:lineRule="auto"/>
              <w:ind w:left="1020"/>
              <w:rPr>
                <w:lang w:eastAsia="en-US"/>
              </w:rPr>
            </w:pPr>
            <w:r>
              <w:rPr>
                <w:lang w:eastAsia="en-US"/>
              </w:rPr>
              <w:t>Option 1: Retain the current workplace exposure standard (WES) (</w:t>
            </w:r>
            <w:r w:rsidR="007E1104">
              <w:rPr>
                <w:lang w:eastAsia="en-US"/>
              </w:rPr>
              <w:fldChar w:fldCharType="begin"/>
            </w:r>
            <w:r w:rsidR="007E1104">
              <w:rPr>
                <w:lang w:eastAsia="en-US"/>
              </w:rPr>
              <w:instrText xml:space="preserve"> REF _Ref199839947 \h </w:instrText>
            </w:r>
            <w:r w:rsidR="007E1104">
              <w:rPr>
                <w:lang w:eastAsia="en-US"/>
              </w:rPr>
            </w:r>
            <w:r w:rsidR="007E1104">
              <w:rPr>
                <w:lang w:eastAsia="en-US"/>
              </w:rPr>
              <w:fldChar w:fldCharType="separate"/>
            </w:r>
            <w:r w:rsidR="00A002F4">
              <w:t xml:space="preserve">Table </w:t>
            </w:r>
            <w:r w:rsidR="00A002F4">
              <w:rPr>
                <w:noProof/>
              </w:rPr>
              <w:t>3</w:t>
            </w:r>
            <w:r w:rsidR="007E1104">
              <w:rPr>
                <w:lang w:eastAsia="en-US"/>
              </w:rPr>
              <w:fldChar w:fldCharType="end"/>
            </w:r>
            <w:r>
              <w:rPr>
                <w:lang w:eastAsia="en-US"/>
              </w:rPr>
              <w:t>).</w:t>
            </w:r>
          </w:p>
          <w:p w14:paraId="75A7DB72" w14:textId="736ECF3F" w:rsidR="00AD4A79" w:rsidRDefault="00AD4A79" w:rsidP="00A2768E">
            <w:pPr>
              <w:pStyle w:val="Paragraph"/>
              <w:keepNext w:val="0"/>
              <w:keepLines/>
              <w:widowControl w:val="0"/>
              <w:numPr>
                <w:ilvl w:val="2"/>
                <w:numId w:val="139"/>
              </w:numPr>
              <w:spacing w:line="240" w:lineRule="auto"/>
              <w:ind w:left="1020"/>
              <w:rPr>
                <w:lang w:eastAsia="en-US"/>
              </w:rPr>
            </w:pPr>
            <w:r>
              <w:rPr>
                <w:lang w:eastAsia="en-US"/>
              </w:rPr>
              <w:t>Option 2: Change to the proposed workplace exposure limit (WEL) (</w:t>
            </w:r>
            <w:r w:rsidR="007E1104">
              <w:rPr>
                <w:lang w:eastAsia="en-US"/>
              </w:rPr>
              <w:fldChar w:fldCharType="begin"/>
            </w:r>
            <w:r w:rsidR="007E1104">
              <w:rPr>
                <w:lang w:eastAsia="en-US"/>
              </w:rPr>
              <w:instrText xml:space="preserve"> REF _Ref199839947 \h </w:instrText>
            </w:r>
            <w:r w:rsidR="007E1104">
              <w:rPr>
                <w:lang w:eastAsia="en-US"/>
              </w:rPr>
            </w:r>
            <w:r w:rsidR="007E1104">
              <w:rPr>
                <w:lang w:eastAsia="en-US"/>
              </w:rPr>
              <w:fldChar w:fldCharType="separate"/>
            </w:r>
            <w:r w:rsidR="00A002F4">
              <w:t xml:space="preserve">Table </w:t>
            </w:r>
            <w:r w:rsidR="00A002F4">
              <w:rPr>
                <w:noProof/>
              </w:rPr>
              <w:t>3</w:t>
            </w:r>
            <w:r w:rsidR="007E1104">
              <w:rPr>
                <w:lang w:eastAsia="en-US"/>
              </w:rPr>
              <w:fldChar w:fldCharType="end"/>
            </w:r>
            <w:r>
              <w:rPr>
                <w:lang w:eastAsia="en-US"/>
              </w:rPr>
              <w:t xml:space="preserve">). </w:t>
            </w:r>
          </w:p>
          <w:p w14:paraId="439A9734" w14:textId="06170189" w:rsidR="00AD4A79" w:rsidRDefault="00C80C5C" w:rsidP="00391CA9">
            <w:pPr>
              <w:pStyle w:val="Paragraph"/>
              <w:keepNext w:val="0"/>
              <w:keepLines/>
              <w:widowControl w:val="0"/>
              <w:spacing w:line="240" w:lineRule="auto"/>
              <w:ind w:left="34"/>
              <w:rPr>
                <w:lang w:eastAsia="en-US"/>
              </w:rPr>
            </w:pPr>
            <w:r>
              <w:rPr>
                <w:lang w:eastAsia="en-US"/>
              </w:rPr>
              <w:t xml:space="preserve">2. </w:t>
            </w:r>
            <w:r w:rsidR="00AD4A79" w:rsidRPr="3FDBF41E">
              <w:rPr>
                <w:lang w:eastAsia="en-US"/>
              </w:rPr>
              <w:t>If you support Option 2, what timeframe would you consider necessary to comply with the proposed exposure limit if it was implemented?</w:t>
            </w:r>
          </w:p>
          <w:p w14:paraId="1CA78A39" w14:textId="75C68389" w:rsidR="00AD4A79" w:rsidRDefault="00C80C5C" w:rsidP="00C80C5C">
            <w:pPr>
              <w:pStyle w:val="Paragraph"/>
              <w:keepNext w:val="0"/>
              <w:keepLines/>
              <w:widowControl w:val="0"/>
              <w:spacing w:line="240" w:lineRule="auto"/>
              <w:rPr>
                <w:lang w:eastAsia="en-US"/>
              </w:rPr>
            </w:pPr>
            <w:r>
              <w:rPr>
                <w:lang w:eastAsia="en-US"/>
              </w:rPr>
              <w:t xml:space="preserve">3. </w:t>
            </w:r>
            <w:r w:rsidR="00AD4A79">
              <w:rPr>
                <w:lang w:eastAsia="en-US"/>
              </w:rPr>
              <w:t xml:space="preserve">What challenges will your business, employer or industry experience if </w:t>
            </w:r>
            <w:r w:rsidR="00AD4A79" w:rsidRPr="55215106">
              <w:rPr>
                <w:lang w:eastAsia="en-US"/>
              </w:rPr>
              <w:t>Option</w:t>
            </w:r>
            <w:r w:rsidR="00AD4A79">
              <w:rPr>
                <w:lang w:eastAsia="en-US"/>
              </w:rPr>
              <w:t xml:space="preserve"> 2 is implemented? </w:t>
            </w:r>
            <w:r w:rsidR="00AD4A79" w:rsidRPr="024B7B12">
              <w:rPr>
                <w:lang w:eastAsia="en-US"/>
              </w:rPr>
              <w:t>Where possible, please</w:t>
            </w:r>
            <w:r w:rsidR="00AD4A79">
              <w:rPr>
                <w:lang w:eastAsia="en-US"/>
              </w:rPr>
              <w:t xml:space="preserve"> provide evidence to support your response. </w:t>
            </w:r>
          </w:p>
          <w:p w14:paraId="626E687F" w14:textId="70BF1433" w:rsidR="00AD4A79" w:rsidRDefault="00C80C5C" w:rsidP="001041F2">
            <w:pPr>
              <w:pStyle w:val="Paragraph"/>
              <w:keepNext w:val="0"/>
              <w:keepLines/>
              <w:widowControl w:val="0"/>
              <w:spacing w:line="240" w:lineRule="auto"/>
              <w:rPr>
                <w:lang w:eastAsia="en-US"/>
              </w:rPr>
            </w:pPr>
            <w:r>
              <w:rPr>
                <w:lang w:eastAsia="en-US"/>
              </w:rPr>
              <w:t xml:space="preserve">4. </w:t>
            </w:r>
            <w:r w:rsidR="00AD4A79" w:rsidRPr="00433E1F">
              <w:rPr>
                <w:lang w:eastAsia="en-US"/>
              </w:rPr>
              <w:t>What proportion of workers use the chemical at your business or workplace?</w:t>
            </w:r>
          </w:p>
          <w:p w14:paraId="40ABCE64" w14:textId="77777777" w:rsidR="00AD4A79" w:rsidRDefault="00AD4A79" w:rsidP="00A2768E">
            <w:pPr>
              <w:pStyle w:val="Paragraph"/>
              <w:keepNext w:val="0"/>
              <w:keepLines/>
              <w:widowControl w:val="0"/>
              <w:numPr>
                <w:ilvl w:val="0"/>
                <w:numId w:val="141"/>
              </w:numPr>
              <w:spacing w:line="240" w:lineRule="auto"/>
              <w:rPr>
                <w:lang w:eastAsia="en-US"/>
              </w:rPr>
            </w:pPr>
            <w:r>
              <w:rPr>
                <w:lang w:eastAsia="en-US"/>
              </w:rPr>
              <w:t>Less than 5%</w:t>
            </w:r>
          </w:p>
          <w:p w14:paraId="1A19AEA4" w14:textId="77777777" w:rsidR="00AD4A79" w:rsidRDefault="00AD4A79" w:rsidP="00A2768E">
            <w:pPr>
              <w:pStyle w:val="Paragraph"/>
              <w:keepNext w:val="0"/>
              <w:keepLines/>
              <w:widowControl w:val="0"/>
              <w:numPr>
                <w:ilvl w:val="0"/>
                <w:numId w:val="141"/>
              </w:numPr>
              <w:spacing w:line="240" w:lineRule="auto"/>
              <w:rPr>
                <w:lang w:eastAsia="en-US"/>
              </w:rPr>
            </w:pPr>
            <w:r>
              <w:rPr>
                <w:lang w:eastAsia="en-US"/>
              </w:rPr>
              <w:t>5 – 25%</w:t>
            </w:r>
          </w:p>
          <w:p w14:paraId="664D9B06" w14:textId="77777777" w:rsidR="00AD4A79" w:rsidRDefault="00AD4A79" w:rsidP="00A2768E">
            <w:pPr>
              <w:pStyle w:val="Paragraph"/>
              <w:keepNext w:val="0"/>
              <w:keepLines/>
              <w:widowControl w:val="0"/>
              <w:numPr>
                <w:ilvl w:val="0"/>
                <w:numId w:val="141"/>
              </w:numPr>
              <w:spacing w:line="240" w:lineRule="auto"/>
              <w:rPr>
                <w:lang w:eastAsia="en-US"/>
              </w:rPr>
            </w:pPr>
            <w:r>
              <w:rPr>
                <w:lang w:eastAsia="en-US"/>
              </w:rPr>
              <w:t>26 – 50%</w:t>
            </w:r>
          </w:p>
          <w:p w14:paraId="4A412007" w14:textId="77777777" w:rsidR="00AD4A79" w:rsidRDefault="00AD4A79" w:rsidP="00A2768E">
            <w:pPr>
              <w:pStyle w:val="Paragraph"/>
              <w:keepNext w:val="0"/>
              <w:keepLines/>
              <w:widowControl w:val="0"/>
              <w:numPr>
                <w:ilvl w:val="0"/>
                <w:numId w:val="141"/>
              </w:numPr>
              <w:spacing w:line="240" w:lineRule="auto"/>
              <w:rPr>
                <w:lang w:eastAsia="en-US"/>
              </w:rPr>
            </w:pPr>
            <w:r>
              <w:rPr>
                <w:lang w:eastAsia="en-US"/>
              </w:rPr>
              <w:t>51 – 75%</w:t>
            </w:r>
          </w:p>
          <w:p w14:paraId="3F768722" w14:textId="77777777" w:rsidR="00AD4A79" w:rsidRDefault="00AD4A79" w:rsidP="00A2768E">
            <w:pPr>
              <w:pStyle w:val="Paragraph"/>
              <w:keepNext w:val="0"/>
              <w:keepLines/>
              <w:widowControl w:val="0"/>
              <w:numPr>
                <w:ilvl w:val="0"/>
                <w:numId w:val="141"/>
              </w:numPr>
              <w:spacing w:line="240" w:lineRule="auto"/>
              <w:rPr>
                <w:lang w:eastAsia="en-US"/>
              </w:rPr>
            </w:pPr>
            <w:r>
              <w:rPr>
                <w:lang w:eastAsia="en-US"/>
              </w:rPr>
              <w:t>76 – 100%</w:t>
            </w:r>
          </w:p>
          <w:p w14:paraId="412AEDFB" w14:textId="5C28E273" w:rsidR="00AD4A79" w:rsidRDefault="00270EA8" w:rsidP="00270EA8">
            <w:pPr>
              <w:pStyle w:val="ListParagraph"/>
              <w:tabs>
                <w:tab w:val="clear" w:pos="720"/>
              </w:tabs>
              <w:spacing w:after="200" w:line="240" w:lineRule="auto"/>
              <w:ind w:left="34" w:firstLine="0"/>
              <w:contextualSpacing w:val="0"/>
            </w:pPr>
            <w:r>
              <w:t xml:space="preserve">5. </w:t>
            </w:r>
            <w:r w:rsidR="00AD4A79" w:rsidRPr="009B7A3B">
              <w:t>What additional controls</w:t>
            </w:r>
            <w:r w:rsidR="00AD4A79">
              <w:t xml:space="preserve">, </w:t>
            </w:r>
            <w:r w:rsidR="00AD4A79" w:rsidRPr="00DE3A14">
              <w:t>beyond what you currently use</w:t>
            </w:r>
            <w:r w:rsidR="00AD4A79">
              <w:t>,</w:t>
            </w:r>
            <w:r w:rsidR="00AD4A79" w:rsidRPr="009B7A3B">
              <w:t xml:space="preserve"> will your busines</w:t>
            </w:r>
            <w:r w:rsidR="00AD4A79">
              <w:t xml:space="preserve">s, </w:t>
            </w:r>
            <w:r w:rsidR="00AD4A79" w:rsidRPr="009B7A3B">
              <w:t>employer</w:t>
            </w:r>
            <w:r w:rsidR="00AD4A79">
              <w:t xml:space="preserve"> or industry</w:t>
            </w:r>
            <w:r w:rsidR="00AD4A79" w:rsidRPr="009B7A3B">
              <w:t xml:space="preserve"> </w:t>
            </w:r>
            <w:r w:rsidR="00AD4A79">
              <w:t>need to</w:t>
            </w:r>
            <w:r w:rsidR="00AD4A79" w:rsidRPr="009B7A3B">
              <w:t xml:space="preserve"> manage worker exposure to</w:t>
            </w:r>
            <w:r w:rsidR="00AD4A79">
              <w:t xml:space="preserve"> the chemical</w:t>
            </w:r>
            <w:r w:rsidR="00AD4A79" w:rsidRPr="009B7A3B">
              <w:t xml:space="preserve"> if the proposed WEL </w:t>
            </w:r>
            <w:r w:rsidR="00AD4A79">
              <w:t xml:space="preserve">(Option 2) </w:t>
            </w:r>
            <w:r w:rsidR="00AD4A79" w:rsidRPr="009B7A3B">
              <w:t xml:space="preserve">is implemented? </w:t>
            </w:r>
          </w:p>
          <w:p w14:paraId="26F88CBA" w14:textId="77777777" w:rsidR="00AD4A79" w:rsidRPr="008C0337" w:rsidRDefault="00AD4A79" w:rsidP="000867AE">
            <w:pPr>
              <w:pStyle w:val="ListParagraph"/>
              <w:tabs>
                <w:tab w:val="clear" w:pos="720"/>
              </w:tabs>
              <w:spacing w:after="200" w:line="240" w:lineRule="auto"/>
              <w:ind w:left="737" w:firstLine="0"/>
              <w:contextualSpacing w:val="0"/>
              <w:rPr>
                <w:sz w:val="18"/>
                <w:szCs w:val="20"/>
              </w:rPr>
            </w:pPr>
            <w:r w:rsidRPr="008C0337">
              <w:rPr>
                <w:sz w:val="18"/>
                <w:szCs w:val="20"/>
              </w:rPr>
              <w:t>If available, please provide</w:t>
            </w:r>
            <w:r>
              <w:rPr>
                <w:sz w:val="18"/>
                <w:szCs w:val="20"/>
              </w:rPr>
              <w:t xml:space="preserve"> average annual</w:t>
            </w:r>
            <w:r w:rsidRPr="008C0337">
              <w:rPr>
                <w:sz w:val="18"/>
                <w:szCs w:val="20"/>
              </w:rPr>
              <w:t xml:space="preserve"> cost information and identify the type of control (i.e., isolation, engineering, administrative or personal protective equipment).</w:t>
            </w:r>
          </w:p>
          <w:p w14:paraId="283B8D8B" w14:textId="52CC0FDC" w:rsidR="00AD4A79" w:rsidRDefault="00270EA8" w:rsidP="00270EA8">
            <w:pPr>
              <w:spacing w:after="200" w:line="240" w:lineRule="auto"/>
              <w:contextualSpacing w:val="0"/>
            </w:pPr>
            <w:r>
              <w:t xml:space="preserve">6. </w:t>
            </w:r>
            <w:r w:rsidR="00AD4A79">
              <w:t>What management costs (e.g. air monitoring, occupational hygienist</w:t>
            </w:r>
            <w:r w:rsidR="00AD4A79" w:rsidRPr="00DE3A14">
              <w:t>), beyond what you currently incur</w:t>
            </w:r>
            <w:r w:rsidR="00AD4A79">
              <w:t xml:space="preserve">, will your business, workplace or industry need if the proposed WEL (Option 2) is implemented? </w:t>
            </w:r>
          </w:p>
          <w:p w14:paraId="0FB1DC66" w14:textId="77777777" w:rsidR="00AD4A79" w:rsidRPr="008C0337" w:rsidRDefault="00AD4A79" w:rsidP="006A58A0">
            <w:pPr>
              <w:pStyle w:val="ListParagraph"/>
              <w:tabs>
                <w:tab w:val="clear" w:pos="720"/>
              </w:tabs>
              <w:spacing w:after="200" w:line="240" w:lineRule="auto"/>
              <w:ind w:left="737" w:firstLine="0"/>
              <w:contextualSpacing w:val="0"/>
              <w:rPr>
                <w:sz w:val="20"/>
                <w:szCs w:val="22"/>
              </w:rPr>
            </w:pPr>
            <w:r w:rsidRPr="008C0337">
              <w:rPr>
                <w:sz w:val="18"/>
                <w:szCs w:val="20"/>
              </w:rPr>
              <w:t xml:space="preserve">If available, please provide </w:t>
            </w:r>
            <w:r>
              <w:rPr>
                <w:sz w:val="18"/>
                <w:szCs w:val="20"/>
              </w:rPr>
              <w:t xml:space="preserve">average annual </w:t>
            </w:r>
            <w:r w:rsidRPr="008C0337">
              <w:rPr>
                <w:sz w:val="18"/>
                <w:szCs w:val="20"/>
              </w:rPr>
              <w:t xml:space="preserve">cost information to support your response. </w:t>
            </w:r>
          </w:p>
          <w:p w14:paraId="3560F2CC" w14:textId="674C7BA6" w:rsidR="00AD4A79" w:rsidRDefault="000B463F" w:rsidP="000B463F">
            <w:pPr>
              <w:pStyle w:val="ListParagraph"/>
              <w:keepNext/>
              <w:keepLines/>
              <w:tabs>
                <w:tab w:val="clear" w:pos="720"/>
              </w:tabs>
              <w:spacing w:after="200" w:line="240" w:lineRule="auto"/>
              <w:ind w:left="34" w:firstLine="0"/>
              <w:contextualSpacing w:val="0"/>
            </w:pPr>
            <w:r>
              <w:lastRenderedPageBreak/>
              <w:t xml:space="preserve">7. </w:t>
            </w:r>
            <w:r w:rsidR="00AD4A79">
              <w:t xml:space="preserve">What direct financial benefits would the proposed WEL (Option 2) provide if it is implemented? Where possible, please provide evidence to support your response. </w:t>
            </w:r>
          </w:p>
          <w:p w14:paraId="634F495C" w14:textId="77777777" w:rsidR="00AD4A79" w:rsidRDefault="00AD4A79" w:rsidP="000867AE">
            <w:pPr>
              <w:pStyle w:val="ListParagraph"/>
              <w:keepNext/>
              <w:keepLines/>
              <w:tabs>
                <w:tab w:val="clear" w:pos="720"/>
              </w:tabs>
              <w:spacing w:after="0" w:line="240" w:lineRule="auto"/>
              <w:ind w:left="737" w:firstLine="0"/>
              <w:contextualSpacing w:val="0"/>
              <w:rPr>
                <w:sz w:val="18"/>
                <w:szCs w:val="20"/>
              </w:rPr>
            </w:pPr>
            <w:r w:rsidRPr="008C0337">
              <w:rPr>
                <w:sz w:val="18"/>
                <w:szCs w:val="20"/>
              </w:rPr>
              <w:t>Examples of direct benefits</w:t>
            </w:r>
            <w:r>
              <w:rPr>
                <w:sz w:val="18"/>
                <w:szCs w:val="20"/>
              </w:rPr>
              <w:t>, attributed to reduced workplace exposure to airborne contaminants</w:t>
            </w:r>
            <w:r w:rsidRPr="008C0337">
              <w:rPr>
                <w:sz w:val="18"/>
                <w:szCs w:val="20"/>
              </w:rPr>
              <w:t xml:space="preserve"> include</w:t>
            </w:r>
            <w:r>
              <w:rPr>
                <w:sz w:val="18"/>
                <w:szCs w:val="20"/>
              </w:rPr>
              <w:t xml:space="preserve"> (</w:t>
            </w:r>
            <w:r w:rsidRPr="008C0337">
              <w:rPr>
                <w:sz w:val="18"/>
                <w:szCs w:val="20"/>
              </w:rPr>
              <w:t>but are not limited to</w:t>
            </w:r>
            <w:r>
              <w:rPr>
                <w:sz w:val="18"/>
                <w:szCs w:val="20"/>
              </w:rPr>
              <w:t>):</w:t>
            </w:r>
          </w:p>
          <w:p w14:paraId="73BE32AC" w14:textId="77777777" w:rsidR="00AD4A79" w:rsidRDefault="00AD4A79" w:rsidP="00A2768E">
            <w:pPr>
              <w:pStyle w:val="ListParagraph"/>
              <w:keepNext/>
              <w:keepLines/>
              <w:numPr>
                <w:ilvl w:val="0"/>
                <w:numId w:val="140"/>
              </w:numPr>
              <w:spacing w:after="0" w:line="240" w:lineRule="auto"/>
              <w:ind w:left="1304"/>
              <w:contextualSpacing w:val="0"/>
              <w:rPr>
                <w:sz w:val="18"/>
                <w:szCs w:val="20"/>
              </w:rPr>
            </w:pPr>
            <w:r>
              <w:rPr>
                <w:sz w:val="18"/>
                <w:szCs w:val="20"/>
              </w:rPr>
              <w:t xml:space="preserve">reduced direct compensation costs, like benefits paid directly to workers or their family, </w:t>
            </w:r>
          </w:p>
          <w:p w14:paraId="62AAF209" w14:textId="77777777" w:rsidR="00AD4A79" w:rsidRDefault="00AD4A79" w:rsidP="00A2768E">
            <w:pPr>
              <w:pStyle w:val="ListParagraph"/>
              <w:keepNext/>
              <w:keepLines/>
              <w:numPr>
                <w:ilvl w:val="0"/>
                <w:numId w:val="140"/>
              </w:numPr>
              <w:spacing w:after="0" w:line="240" w:lineRule="auto"/>
              <w:ind w:left="1304"/>
              <w:contextualSpacing w:val="0"/>
              <w:rPr>
                <w:sz w:val="18"/>
                <w:szCs w:val="20"/>
              </w:rPr>
            </w:pPr>
            <w:r>
              <w:rPr>
                <w:sz w:val="18"/>
                <w:szCs w:val="20"/>
              </w:rPr>
              <w:t xml:space="preserve">reduced costs paid to workers as income replacement, </w:t>
            </w:r>
          </w:p>
          <w:p w14:paraId="53141F5B" w14:textId="77777777" w:rsidR="00AD4A79" w:rsidRDefault="00AD4A79" w:rsidP="00A2768E">
            <w:pPr>
              <w:pStyle w:val="ListParagraph"/>
              <w:keepNext/>
              <w:keepLines/>
              <w:numPr>
                <w:ilvl w:val="0"/>
                <w:numId w:val="140"/>
              </w:numPr>
              <w:spacing w:after="0" w:line="240" w:lineRule="auto"/>
              <w:ind w:left="1304"/>
              <w:contextualSpacing w:val="0"/>
              <w:rPr>
                <w:sz w:val="18"/>
                <w:szCs w:val="20"/>
              </w:rPr>
            </w:pPr>
            <w:r>
              <w:rPr>
                <w:sz w:val="18"/>
                <w:szCs w:val="20"/>
              </w:rPr>
              <w:t xml:space="preserve">reduced medical costs, and </w:t>
            </w:r>
          </w:p>
          <w:p w14:paraId="4603C8F7" w14:textId="77777777" w:rsidR="00AD4A79" w:rsidRPr="008C0337" w:rsidRDefault="00AD4A79" w:rsidP="00A2768E">
            <w:pPr>
              <w:pStyle w:val="ListParagraph"/>
              <w:keepNext/>
              <w:keepLines/>
              <w:numPr>
                <w:ilvl w:val="0"/>
                <w:numId w:val="140"/>
              </w:numPr>
              <w:spacing w:after="200" w:line="240" w:lineRule="auto"/>
              <w:ind w:left="1304"/>
              <w:contextualSpacing w:val="0"/>
              <w:rPr>
                <w:sz w:val="18"/>
                <w:szCs w:val="20"/>
              </w:rPr>
            </w:pPr>
            <w:r>
              <w:rPr>
                <w:sz w:val="18"/>
                <w:szCs w:val="20"/>
              </w:rPr>
              <w:t xml:space="preserve">reduced costs involved with a worker returning to work following occupational disease or legal costs associated with compensation related expenses. </w:t>
            </w:r>
          </w:p>
          <w:p w14:paraId="1A417C95" w14:textId="5CEB5C49" w:rsidR="00AD4A79" w:rsidRPr="00D71D1D" w:rsidRDefault="000B463F" w:rsidP="000B463F">
            <w:pPr>
              <w:pStyle w:val="Paragraph"/>
              <w:keepNext w:val="0"/>
              <w:keepLines/>
              <w:widowControl w:val="0"/>
              <w:spacing w:line="240" w:lineRule="auto"/>
              <w:ind w:left="34"/>
              <w:rPr>
                <w:lang w:eastAsia="en-US"/>
              </w:rPr>
            </w:pPr>
            <w:r>
              <w:rPr>
                <w:lang w:eastAsia="en-US"/>
              </w:rPr>
              <w:t xml:space="preserve">8. </w:t>
            </w:r>
            <w:r w:rsidR="00AD4A79">
              <w:rPr>
                <w:lang w:eastAsia="en-US"/>
              </w:rPr>
              <w:t xml:space="preserve">What other quantifiable health benefits would the proposed WEL (Option 2) provide if it is implemented? Where possible, please provide evidence to support your response. </w:t>
            </w:r>
          </w:p>
          <w:p w14:paraId="5D55133B" w14:textId="12635AA3" w:rsidR="00AD4A79" w:rsidRDefault="000B463F" w:rsidP="000B463F">
            <w:pPr>
              <w:pStyle w:val="Paragraph"/>
              <w:keepNext w:val="0"/>
              <w:keepLines/>
              <w:widowControl w:val="0"/>
              <w:spacing w:line="240" w:lineRule="auto"/>
              <w:ind w:left="34"/>
            </w:pPr>
            <w:r>
              <w:rPr>
                <w:lang w:eastAsia="en-US"/>
              </w:rPr>
              <w:t xml:space="preserve">9. </w:t>
            </w:r>
            <w:r w:rsidR="00AD4A79">
              <w:rPr>
                <w:lang w:eastAsia="en-US"/>
              </w:rPr>
              <w:t>What other indirect benefits could the proposed WEL (Option 2) provide if it is implemented? Where possible, please provide evidence to support your response.</w:t>
            </w:r>
          </w:p>
          <w:p w14:paraId="23CF93A1" w14:textId="77777777" w:rsidR="00AD4A79" w:rsidRPr="008C0337" w:rsidRDefault="00AD4A79" w:rsidP="000867AE">
            <w:pPr>
              <w:pStyle w:val="ListParagraph"/>
              <w:tabs>
                <w:tab w:val="clear" w:pos="720"/>
              </w:tabs>
              <w:spacing w:after="200" w:line="240" w:lineRule="auto"/>
              <w:ind w:left="737" w:firstLine="0"/>
              <w:contextualSpacing w:val="0"/>
              <w:rPr>
                <w:sz w:val="18"/>
                <w:szCs w:val="20"/>
              </w:rPr>
            </w:pPr>
            <w:r w:rsidRPr="008C0337">
              <w:rPr>
                <w:sz w:val="18"/>
                <w:szCs w:val="20"/>
              </w:rPr>
              <w:t>Examples of indirect benefits include</w:t>
            </w:r>
            <w:r>
              <w:rPr>
                <w:sz w:val="18"/>
                <w:szCs w:val="20"/>
              </w:rPr>
              <w:t xml:space="preserve">, </w:t>
            </w:r>
            <w:r w:rsidRPr="008C0337">
              <w:rPr>
                <w:sz w:val="18"/>
                <w:szCs w:val="20"/>
              </w:rPr>
              <w:t>but are not limited to</w:t>
            </w:r>
            <w:r>
              <w:rPr>
                <w:sz w:val="18"/>
                <w:szCs w:val="20"/>
              </w:rPr>
              <w:t xml:space="preserve">, </w:t>
            </w:r>
            <w:r w:rsidRPr="008C0337">
              <w:rPr>
                <w:sz w:val="18"/>
                <w:szCs w:val="20"/>
              </w:rPr>
              <w:t>reduc</w:t>
            </w:r>
            <w:r>
              <w:rPr>
                <w:sz w:val="18"/>
                <w:szCs w:val="20"/>
              </w:rPr>
              <w:t xml:space="preserve">ed </w:t>
            </w:r>
            <w:r w:rsidRPr="008C0337">
              <w:rPr>
                <w:sz w:val="18"/>
                <w:szCs w:val="20"/>
              </w:rPr>
              <w:t xml:space="preserve">productivity losses and </w:t>
            </w:r>
            <w:r>
              <w:rPr>
                <w:sz w:val="18"/>
                <w:szCs w:val="20"/>
              </w:rPr>
              <w:t>reduced</w:t>
            </w:r>
            <w:r w:rsidRPr="008C0337">
              <w:rPr>
                <w:sz w:val="18"/>
                <w:szCs w:val="20"/>
              </w:rPr>
              <w:t xml:space="preserve"> burden on support networks (family and friends) due to occupational diseases. </w:t>
            </w:r>
          </w:p>
          <w:p w14:paraId="6D5F4F1E" w14:textId="39778BBC" w:rsidR="00AD4A79" w:rsidRDefault="000B463F" w:rsidP="000B463F">
            <w:pPr>
              <w:pStyle w:val="Paragraph"/>
              <w:keepNext w:val="0"/>
              <w:keepLines/>
              <w:widowControl w:val="0"/>
              <w:spacing w:line="240" w:lineRule="auto"/>
            </w:pPr>
            <w:r>
              <w:rPr>
                <w:lang w:eastAsia="en-US"/>
              </w:rPr>
              <w:t xml:space="preserve">10. </w:t>
            </w:r>
            <w:r w:rsidR="00AD4A79">
              <w:rPr>
                <w:lang w:eastAsia="en-US"/>
              </w:rPr>
              <w:t xml:space="preserve">What other benefits could the proposed WEL (Option 2) provide if it is implemented? Where possible, please provide evidence to support your claims. </w:t>
            </w:r>
          </w:p>
          <w:p w14:paraId="7C6B249C" w14:textId="2C1A1406" w:rsidR="00AD4A79" w:rsidRDefault="000B463F" w:rsidP="000B463F">
            <w:pPr>
              <w:pStyle w:val="ListParagraph"/>
              <w:tabs>
                <w:tab w:val="clear" w:pos="720"/>
              </w:tabs>
              <w:spacing w:after="200" w:line="240" w:lineRule="auto"/>
              <w:ind w:left="34" w:firstLine="0"/>
            </w:pPr>
            <w:r>
              <w:t xml:space="preserve">11. </w:t>
            </w:r>
            <w:r w:rsidR="00AD4A79">
              <w:t>Is there any other information WHS ministers should consider in making their decision?</w:t>
            </w:r>
          </w:p>
        </w:tc>
      </w:tr>
    </w:tbl>
    <w:p w14:paraId="133E5D5C" w14:textId="77777777" w:rsidR="00AD4A79" w:rsidRDefault="00AD4A79" w:rsidP="001D72BD">
      <w:pPr>
        <w:pStyle w:val="Paragraph"/>
        <w:rPr>
          <w:lang w:eastAsia="en-US"/>
        </w:rPr>
      </w:pPr>
    </w:p>
    <w:p w14:paraId="0E5173AF" w14:textId="129447C2" w:rsidR="00963BC5" w:rsidRPr="001D72BD" w:rsidRDefault="00007FA7" w:rsidP="00007FA7">
      <w:pPr>
        <w:pStyle w:val="SWAHeading2"/>
        <w:numPr>
          <w:ilvl w:val="0"/>
          <w:numId w:val="0"/>
        </w:numPr>
      </w:pPr>
      <w:bookmarkStart w:id="716" w:name="_Toc219216942"/>
      <w:r>
        <w:t>Targeted stakeholder engagement approach</w:t>
      </w:r>
      <w:bookmarkEnd w:id="716"/>
    </w:p>
    <w:p w14:paraId="2EF8204F" w14:textId="77777777" w:rsidR="003D7BEF" w:rsidRPr="00993B73" w:rsidRDefault="003D7BEF" w:rsidP="00497218">
      <w:pPr>
        <w:contextualSpacing w:val="0"/>
        <w:rPr>
          <w:lang w:eastAsia="en-AU"/>
        </w:rPr>
      </w:pPr>
      <w:r w:rsidRPr="00993B73">
        <w:rPr>
          <w:lang w:eastAsia="en-AU"/>
        </w:rPr>
        <w:t>Stakeholder engagement formed a key part of this impact analysis. Engagement was used to better understand the industries which are expected to be affected by the proposed WEL, the incremental costs for businesses, and the benefits to workers</w:t>
      </w:r>
      <w:r>
        <w:rPr>
          <w:lang w:eastAsia="en-AU"/>
        </w:rPr>
        <w:t>, communities and businesses</w:t>
      </w:r>
      <w:r w:rsidRPr="00993B73">
        <w:rPr>
          <w:lang w:eastAsia="en-AU"/>
        </w:rPr>
        <w:t>.</w:t>
      </w:r>
    </w:p>
    <w:p w14:paraId="7FFC418D" w14:textId="4DF90F87" w:rsidR="003D7BEF" w:rsidRPr="00993B73" w:rsidRDefault="003D7BEF" w:rsidP="00497218">
      <w:pPr>
        <w:contextualSpacing w:val="0"/>
        <w:rPr>
          <w:lang w:eastAsia="en-AU"/>
        </w:rPr>
      </w:pPr>
      <w:r w:rsidRPr="00993B73">
        <w:rPr>
          <w:lang w:eastAsia="en-AU"/>
        </w:rPr>
        <w:t xml:space="preserve">Nous </w:t>
      </w:r>
      <w:r w:rsidR="00160A51">
        <w:rPr>
          <w:lang w:eastAsia="en-AU"/>
        </w:rPr>
        <w:t xml:space="preserve">Group </w:t>
      </w:r>
      <w:r w:rsidRPr="00993B73">
        <w:rPr>
          <w:lang w:eastAsia="en-AU"/>
        </w:rPr>
        <w:t xml:space="preserve">engaged stakeholder groups through various mechanisms such as </w:t>
      </w:r>
      <w:r w:rsidRPr="00993B73">
        <w:t xml:space="preserve">detailed question guides, roundtable discussions, small-group interviews, follow-up meetings and written stakeholder responses. </w:t>
      </w:r>
      <w:r w:rsidRPr="00993B73">
        <w:rPr>
          <w:lang w:eastAsia="en-AU"/>
        </w:rPr>
        <w:t>The stakeholder groups engaged included (in no particular order):</w:t>
      </w:r>
    </w:p>
    <w:p w14:paraId="0B6BA9AC" w14:textId="77777777" w:rsidR="003D7BEF" w:rsidRPr="00993B73" w:rsidRDefault="003D7BEF" w:rsidP="00A2768E">
      <w:pPr>
        <w:pStyle w:val="ListParagraph"/>
        <w:numPr>
          <w:ilvl w:val="0"/>
          <w:numId w:val="142"/>
        </w:numPr>
        <w:spacing w:line="259" w:lineRule="auto"/>
        <w:contextualSpacing w:val="0"/>
        <w:rPr>
          <w:lang w:eastAsia="en-AU"/>
        </w:rPr>
      </w:pPr>
      <w:r w:rsidRPr="007032A8">
        <w:rPr>
          <w:rFonts w:asciiTheme="majorHAnsi" w:hAnsiTheme="majorHAnsi" w:cstheme="majorHAnsi"/>
          <w:b/>
          <w:bCs/>
          <w:lang w:eastAsia="en-AU"/>
        </w:rPr>
        <w:t>Group 1</w:t>
      </w:r>
      <w:r w:rsidRPr="003D7BEF">
        <w:rPr>
          <w:rFonts w:asciiTheme="majorHAnsi" w:hAnsiTheme="majorHAnsi" w:cstheme="majorHAnsi"/>
          <w:lang w:eastAsia="en-AU"/>
        </w:rPr>
        <w:t>:</w:t>
      </w:r>
      <w:r w:rsidRPr="00993B73">
        <w:rPr>
          <w:lang w:eastAsia="en-AU"/>
        </w:rPr>
        <w:t xml:space="preserve"> Commonwealth, state and territory WHS and workers’ compensation agencies</w:t>
      </w:r>
    </w:p>
    <w:p w14:paraId="3C58F13E" w14:textId="77777777" w:rsidR="003D7BEF" w:rsidRPr="00993B73" w:rsidRDefault="003D7BEF" w:rsidP="00A2768E">
      <w:pPr>
        <w:pStyle w:val="ListParagraph"/>
        <w:numPr>
          <w:ilvl w:val="0"/>
          <w:numId w:val="142"/>
        </w:numPr>
        <w:spacing w:line="259" w:lineRule="auto"/>
        <w:contextualSpacing w:val="0"/>
        <w:rPr>
          <w:lang w:eastAsia="en-AU"/>
        </w:rPr>
      </w:pPr>
      <w:r w:rsidRPr="007032A8">
        <w:rPr>
          <w:rFonts w:asciiTheme="majorHAnsi" w:hAnsiTheme="majorHAnsi" w:cstheme="majorHAnsi"/>
          <w:b/>
          <w:bCs/>
          <w:lang w:eastAsia="en-AU"/>
        </w:rPr>
        <w:t>Group 2</w:t>
      </w:r>
      <w:r w:rsidRPr="003D7BEF">
        <w:rPr>
          <w:rFonts w:asciiTheme="majorHAnsi" w:hAnsiTheme="majorHAnsi" w:cstheme="majorHAnsi"/>
          <w:lang w:eastAsia="en-AU"/>
        </w:rPr>
        <w:t>:</w:t>
      </w:r>
      <w:r w:rsidRPr="00993B73">
        <w:rPr>
          <w:lang w:eastAsia="en-AU"/>
        </w:rPr>
        <w:t xml:space="preserve"> Australian Institute of Occupational Hygienists (AIOH)</w:t>
      </w:r>
    </w:p>
    <w:p w14:paraId="3B2BB57C" w14:textId="77777777" w:rsidR="003D7BEF" w:rsidRPr="00993B73" w:rsidRDefault="003D7BEF" w:rsidP="00A2768E">
      <w:pPr>
        <w:pStyle w:val="ListParagraph"/>
        <w:numPr>
          <w:ilvl w:val="0"/>
          <w:numId w:val="142"/>
        </w:numPr>
        <w:spacing w:line="259" w:lineRule="auto"/>
        <w:contextualSpacing w:val="0"/>
        <w:rPr>
          <w:lang w:eastAsia="en-AU"/>
        </w:rPr>
      </w:pPr>
      <w:r w:rsidRPr="007032A8">
        <w:rPr>
          <w:rFonts w:asciiTheme="majorHAnsi" w:hAnsiTheme="majorHAnsi" w:cstheme="majorHAnsi"/>
          <w:b/>
          <w:bCs/>
          <w:lang w:eastAsia="en-AU"/>
        </w:rPr>
        <w:t>Group 3</w:t>
      </w:r>
      <w:r w:rsidRPr="003D7BEF">
        <w:rPr>
          <w:rFonts w:asciiTheme="majorHAnsi" w:hAnsiTheme="majorHAnsi" w:cstheme="majorHAnsi"/>
          <w:lang w:eastAsia="en-AU"/>
        </w:rPr>
        <w:t>:</w:t>
      </w:r>
      <w:r w:rsidRPr="00993B73">
        <w:rPr>
          <w:lang w:eastAsia="en-AU"/>
        </w:rPr>
        <w:t xml:space="preserve"> Academics</w:t>
      </w:r>
    </w:p>
    <w:p w14:paraId="16DE2759" w14:textId="77777777" w:rsidR="003D7BEF" w:rsidRPr="00993B73" w:rsidRDefault="003D7BEF" w:rsidP="00A2768E">
      <w:pPr>
        <w:pStyle w:val="ListParagraph"/>
        <w:numPr>
          <w:ilvl w:val="0"/>
          <w:numId w:val="142"/>
        </w:numPr>
        <w:spacing w:line="259" w:lineRule="auto"/>
        <w:contextualSpacing w:val="0"/>
        <w:rPr>
          <w:lang w:eastAsia="en-AU"/>
        </w:rPr>
      </w:pPr>
      <w:r w:rsidRPr="007032A8">
        <w:rPr>
          <w:rFonts w:asciiTheme="majorHAnsi" w:hAnsiTheme="majorHAnsi" w:cstheme="majorHAnsi"/>
          <w:b/>
          <w:bCs/>
          <w:lang w:eastAsia="en-AU"/>
        </w:rPr>
        <w:t>Group 4</w:t>
      </w:r>
      <w:r w:rsidRPr="003D7BEF">
        <w:rPr>
          <w:rFonts w:asciiTheme="majorHAnsi" w:hAnsiTheme="majorHAnsi" w:cstheme="majorHAnsi"/>
          <w:lang w:eastAsia="en-AU"/>
        </w:rPr>
        <w:t>:</w:t>
      </w:r>
      <w:r w:rsidRPr="00993B73">
        <w:rPr>
          <w:lang w:eastAsia="en-AU"/>
        </w:rPr>
        <w:t xml:space="preserve"> Australian Council of Trade Unions (ACTU) and workers’ groups</w:t>
      </w:r>
    </w:p>
    <w:p w14:paraId="639837E1" w14:textId="4A413C6A" w:rsidR="003D7BEF" w:rsidRPr="00993B73" w:rsidRDefault="003D7BEF" w:rsidP="00A2768E">
      <w:pPr>
        <w:pStyle w:val="ListParagraph"/>
        <w:numPr>
          <w:ilvl w:val="0"/>
          <w:numId w:val="142"/>
        </w:numPr>
        <w:spacing w:line="259" w:lineRule="auto"/>
        <w:contextualSpacing w:val="0"/>
        <w:rPr>
          <w:lang w:eastAsia="en-AU"/>
        </w:rPr>
      </w:pPr>
      <w:r w:rsidRPr="007032A8">
        <w:rPr>
          <w:rFonts w:asciiTheme="majorHAnsi" w:hAnsiTheme="majorHAnsi" w:cstheme="majorHAnsi"/>
          <w:b/>
          <w:bCs/>
          <w:lang w:eastAsia="en-AU"/>
        </w:rPr>
        <w:t>Group 5</w:t>
      </w:r>
      <w:r w:rsidRPr="003D7BEF">
        <w:rPr>
          <w:rFonts w:asciiTheme="majorHAnsi" w:hAnsiTheme="majorHAnsi" w:cstheme="majorHAnsi"/>
          <w:lang w:eastAsia="en-AU"/>
        </w:rPr>
        <w:t>:</w:t>
      </w:r>
      <w:r w:rsidRPr="00993B73">
        <w:rPr>
          <w:lang w:eastAsia="en-AU"/>
        </w:rPr>
        <w:t xml:space="preserve"> Australian Chamber of Commerce and Industry (ACCI), Australian Industry Group and industry groups.</w:t>
      </w:r>
    </w:p>
    <w:p w14:paraId="4180B799" w14:textId="3E660A6B" w:rsidR="0043209C" w:rsidRDefault="003D7BEF" w:rsidP="00144BE5">
      <w:pPr>
        <w:contextualSpacing w:val="0"/>
      </w:pPr>
      <w:r w:rsidRPr="00993B73">
        <w:rPr>
          <w:lang w:eastAsia="en-AU"/>
        </w:rPr>
        <w:t xml:space="preserve">Overall, Nous </w:t>
      </w:r>
      <w:r w:rsidR="00160A51">
        <w:rPr>
          <w:lang w:eastAsia="en-AU"/>
        </w:rPr>
        <w:t xml:space="preserve">Group </w:t>
      </w:r>
      <w:r w:rsidRPr="00993B73">
        <w:rPr>
          <w:lang w:eastAsia="en-AU"/>
        </w:rPr>
        <w:t xml:space="preserve">facilitated 11 consultations with stakeholders over the course of the impact analysis. </w:t>
      </w:r>
      <w:r w:rsidR="00A40831">
        <w:rPr>
          <w:lang w:eastAsia="en-AU"/>
        </w:rPr>
        <w:fldChar w:fldCharType="begin"/>
      </w:r>
      <w:r w:rsidR="00A40831">
        <w:rPr>
          <w:lang w:eastAsia="en-AU"/>
        </w:rPr>
        <w:instrText xml:space="preserve"> REF _Ref216793669 \h </w:instrText>
      </w:r>
      <w:r w:rsidR="00A40831">
        <w:rPr>
          <w:lang w:eastAsia="en-AU"/>
        </w:rPr>
      </w:r>
      <w:r w:rsidR="00A40831">
        <w:rPr>
          <w:lang w:eastAsia="en-AU"/>
        </w:rPr>
        <w:fldChar w:fldCharType="separate"/>
      </w:r>
      <w:r w:rsidR="00A002F4">
        <w:t xml:space="preserve">Table </w:t>
      </w:r>
      <w:r w:rsidR="00A002F4">
        <w:rPr>
          <w:noProof/>
        </w:rPr>
        <w:t>70</w:t>
      </w:r>
      <w:r w:rsidR="00A40831">
        <w:rPr>
          <w:lang w:eastAsia="en-AU"/>
        </w:rPr>
        <w:fldChar w:fldCharType="end"/>
      </w:r>
      <w:r w:rsidR="00A40831">
        <w:rPr>
          <w:lang w:eastAsia="en-AU"/>
        </w:rPr>
        <w:t xml:space="preserve"> </w:t>
      </w:r>
      <w:r w:rsidRPr="00993B73">
        <w:rPr>
          <w:lang w:eastAsia="en-AU"/>
        </w:rPr>
        <w:t xml:space="preserve">summarises the five stakeholder groups, the mechanisms of engagement, and key lines of enquiry used. </w:t>
      </w:r>
    </w:p>
    <w:p w14:paraId="0F39F857" w14:textId="57BDF599" w:rsidR="00A40831" w:rsidRDefault="00A40831" w:rsidP="00B92ED5">
      <w:pPr>
        <w:pStyle w:val="Caption"/>
      </w:pPr>
      <w:bookmarkStart w:id="717" w:name="_Ref216793669"/>
      <w:r>
        <w:lastRenderedPageBreak/>
        <w:t xml:space="preserve">Table </w:t>
      </w:r>
      <w:fldSimple w:instr=" SEQ Table \* ARABIC ">
        <w:r w:rsidR="00A002F4">
          <w:rPr>
            <w:noProof/>
          </w:rPr>
          <w:t>70</w:t>
        </w:r>
      </w:fldSimple>
      <w:bookmarkEnd w:id="717"/>
      <w:r>
        <w:t xml:space="preserve"> - </w:t>
      </w:r>
      <w:r w:rsidRPr="00985D5E">
        <w:t>Stakeholder engagement approach undertaken by Nous</w:t>
      </w:r>
    </w:p>
    <w:tbl>
      <w:tblPr>
        <w:tblStyle w:val="NousTableStyletopandsideheading"/>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56"/>
        <w:gridCol w:w="4860"/>
      </w:tblGrid>
      <w:tr w:rsidR="008C331A" w:rsidRPr="00993B73" w14:paraId="20A5E339" w14:textId="77777777" w:rsidTr="00A51A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4B6BA12C" w14:textId="77777777" w:rsidR="00722248" w:rsidRPr="008C331A" w:rsidRDefault="00722248" w:rsidP="000867AE">
            <w:pPr>
              <w:pStyle w:val="TableNText"/>
              <w:rPr>
                <w:rFonts w:asciiTheme="minorHAnsi" w:hAnsiTheme="minorHAnsi" w:cstheme="minorHAnsi"/>
                <w:bCs/>
                <w:color w:val="FFFFFF" w:themeColor="background1"/>
                <w:sz w:val="18"/>
                <w:szCs w:val="18"/>
              </w:rPr>
            </w:pPr>
            <w:r w:rsidRPr="008C331A">
              <w:rPr>
                <w:rFonts w:asciiTheme="minorHAnsi" w:hAnsiTheme="minorHAnsi" w:cstheme="minorHAnsi"/>
                <w:bCs/>
                <w:color w:val="FFFFFF" w:themeColor="background1"/>
                <w:sz w:val="18"/>
                <w:szCs w:val="18"/>
              </w:rPr>
              <w:t xml:space="preserve">Mode of engagement </w:t>
            </w:r>
          </w:p>
        </w:tc>
        <w:tc>
          <w:tcPr>
            <w:tcW w:w="2695" w:type="pct"/>
            <w:tcBorders>
              <w:top w:val="single" w:sz="4" w:space="0" w:color="BFBFBF" w:themeColor="background1" w:themeShade="BF"/>
              <w:left w:val="single" w:sz="4" w:space="0" w:color="BFBFBF" w:themeColor="background1" w:themeShade="BF"/>
            </w:tcBorders>
            <w:shd w:val="clear" w:color="auto" w:fill="4877E0" w:themeFill="accent1"/>
          </w:tcPr>
          <w:p w14:paraId="7B12F09E" w14:textId="77777777" w:rsidR="00722248" w:rsidRPr="008C331A" w:rsidRDefault="00722248" w:rsidP="000867AE">
            <w:pPr>
              <w:pStyle w:val="TableN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18"/>
                <w:szCs w:val="18"/>
              </w:rPr>
            </w:pPr>
            <w:r w:rsidRPr="008C331A">
              <w:rPr>
                <w:rFonts w:asciiTheme="minorHAnsi" w:hAnsiTheme="minorHAnsi" w:cstheme="minorHAnsi"/>
                <w:bCs/>
                <w:color w:val="FFFFFF" w:themeColor="background1"/>
                <w:sz w:val="18"/>
                <w:szCs w:val="18"/>
              </w:rPr>
              <w:t>Key lines of enquiry</w:t>
            </w:r>
          </w:p>
        </w:tc>
      </w:tr>
      <w:tr w:rsidR="00722248" w:rsidRPr="00993B73" w14:paraId="13370255" w14:textId="77777777" w:rsidTr="008C331A">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1ACEC" w:themeFill="accent1" w:themeFillTint="99"/>
          </w:tcPr>
          <w:p w14:paraId="170AC512" w14:textId="77777777" w:rsidR="00722248" w:rsidRPr="008C331A" w:rsidRDefault="00722248" w:rsidP="000867AE">
            <w:pPr>
              <w:pStyle w:val="TableNText"/>
              <w:rPr>
                <w:rFonts w:asciiTheme="minorHAnsi" w:hAnsiTheme="minorHAnsi" w:cstheme="minorHAnsi"/>
                <w:bCs/>
                <w:color w:val="000000" w:themeColor="text1"/>
                <w:sz w:val="18"/>
                <w:szCs w:val="18"/>
              </w:rPr>
            </w:pPr>
            <w:r w:rsidRPr="008C331A">
              <w:rPr>
                <w:rFonts w:asciiTheme="minorHAnsi" w:hAnsiTheme="minorHAnsi" w:cstheme="minorHAnsi"/>
                <w:bCs/>
                <w:color w:val="000000" w:themeColor="text1"/>
                <w:sz w:val="18"/>
                <w:szCs w:val="18"/>
              </w:rPr>
              <w:t>State and Territory WHS and workers’ compensation agencies</w:t>
            </w:r>
          </w:p>
        </w:tc>
      </w:tr>
      <w:tr w:rsidR="00A51AF2" w:rsidRPr="00993B73" w14:paraId="0B65A790" w14:textId="77777777" w:rsidTr="004452F5">
        <w:tc>
          <w:tcPr>
            <w:cnfStyle w:val="001000000000" w:firstRow="0" w:lastRow="0" w:firstColumn="1" w:lastColumn="0" w:oddVBand="0" w:evenVBand="0" w:oddHBand="0" w:evenHBand="0" w:firstRowFirstColumn="0" w:firstRowLastColumn="0" w:lastRowFirstColumn="0" w:lastRowLastColumn="0"/>
            <w:tcW w:w="2305" w:type="pct"/>
            <w:tcBorders>
              <w:left w:val="single" w:sz="4" w:space="0" w:color="BFBFBF" w:themeColor="background1" w:themeShade="BF"/>
            </w:tcBorders>
            <w:shd w:val="clear" w:color="auto" w:fill="FFFFFF" w:themeFill="background1"/>
          </w:tcPr>
          <w:p w14:paraId="40613299" w14:textId="77777777" w:rsidR="00722248" w:rsidRPr="00722248" w:rsidRDefault="00722248" w:rsidP="000867AE">
            <w:pPr>
              <w:pStyle w:val="TableNText"/>
              <w:jc w:val="left"/>
              <w:rPr>
                <w:rFonts w:asciiTheme="minorHAnsi" w:hAnsiTheme="minorHAnsi" w:cstheme="minorHAnsi"/>
                <w:color w:val="000000" w:themeColor="text1"/>
                <w:sz w:val="18"/>
                <w:szCs w:val="18"/>
              </w:rPr>
            </w:pPr>
            <w:r w:rsidRPr="008C331A">
              <w:rPr>
                <w:rFonts w:asciiTheme="minorHAnsi" w:hAnsiTheme="minorHAnsi" w:cstheme="minorHAnsi"/>
                <w:bCs/>
                <w:color w:val="000000" w:themeColor="text1"/>
                <w:sz w:val="18"/>
                <w:szCs w:val="18"/>
              </w:rPr>
              <w:t>Enquiry questions</w:t>
            </w:r>
            <w:r w:rsidRPr="00722248">
              <w:rPr>
                <w:rFonts w:asciiTheme="minorHAnsi" w:hAnsiTheme="minorHAnsi" w:cstheme="minorHAnsi"/>
                <w:b w:val="0"/>
                <w:color w:val="000000" w:themeColor="text1"/>
                <w:sz w:val="18"/>
                <w:szCs w:val="18"/>
              </w:rPr>
              <w:t>:</w:t>
            </w:r>
            <w:r w:rsidRPr="00722248">
              <w:rPr>
                <w:rFonts w:asciiTheme="minorHAnsi" w:hAnsiTheme="minorHAnsi" w:cstheme="minorHAnsi"/>
                <w:b w:val="0"/>
                <w:bCs/>
                <w:color w:val="000000" w:themeColor="text1"/>
                <w:sz w:val="18"/>
                <w:szCs w:val="18"/>
              </w:rPr>
              <w:t xml:space="preserve"> An initial set of questions sent to agencies, designed to gain data and information on the potential impacts of the proposed changes to the WELs for each chemical.</w:t>
            </w:r>
          </w:p>
          <w:p w14:paraId="6BDEE881" w14:textId="77777777" w:rsidR="00722248" w:rsidRPr="00722248" w:rsidRDefault="00722248" w:rsidP="000867AE">
            <w:pPr>
              <w:pStyle w:val="TableNText"/>
              <w:jc w:val="left"/>
              <w:rPr>
                <w:rFonts w:asciiTheme="minorHAnsi" w:hAnsiTheme="minorHAnsi" w:cstheme="minorHAnsi"/>
                <w:b w:val="0"/>
                <w:bCs/>
                <w:color w:val="000000" w:themeColor="text1"/>
                <w:sz w:val="18"/>
                <w:szCs w:val="18"/>
              </w:rPr>
            </w:pPr>
            <w:r w:rsidRPr="008C331A">
              <w:rPr>
                <w:rFonts w:asciiTheme="minorHAnsi" w:hAnsiTheme="minorHAnsi" w:cstheme="minorHAnsi"/>
                <w:bCs/>
                <w:color w:val="000000" w:themeColor="text1"/>
                <w:sz w:val="18"/>
                <w:szCs w:val="18"/>
              </w:rPr>
              <w:t>Meeting</w:t>
            </w:r>
            <w:r w:rsidRPr="00722248">
              <w:rPr>
                <w:rFonts w:asciiTheme="minorHAnsi" w:hAnsiTheme="minorHAnsi" w:cstheme="minorHAnsi"/>
                <w:b w:val="0"/>
                <w:color w:val="000000" w:themeColor="text1"/>
                <w:sz w:val="18"/>
                <w:szCs w:val="18"/>
              </w:rPr>
              <w:t>: Meeting with a jurisdictional WHS and workers’ compensation agency to discuss the requirements.</w:t>
            </w:r>
          </w:p>
        </w:tc>
        <w:tc>
          <w:tcPr>
            <w:tcW w:w="2695" w:type="pct"/>
            <w:shd w:val="clear" w:color="auto" w:fill="auto"/>
          </w:tcPr>
          <w:p w14:paraId="618A7D4B"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Workplace exposure data</w:t>
            </w:r>
          </w:p>
          <w:p w14:paraId="18F59DC2"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workplace exposure data for the nine chemicals, by industry and/or business size.</w:t>
            </w:r>
          </w:p>
          <w:p w14:paraId="21B1EA74"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data on the proportion of businesses currently exceeding the proposed WEL.</w:t>
            </w:r>
          </w:p>
          <w:p w14:paraId="417C28DA"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Control measures</w:t>
            </w:r>
          </w:p>
          <w:p w14:paraId="5337FC53"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current WES.</w:t>
            </w:r>
          </w:p>
          <w:p w14:paraId="25D7E0C8"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proposed WEL.</w:t>
            </w:r>
          </w:p>
          <w:p w14:paraId="65D73052"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costs to business of implementing different controls measures.</w:t>
            </w:r>
          </w:p>
        </w:tc>
      </w:tr>
      <w:tr w:rsidR="00722248" w:rsidRPr="00993B73" w14:paraId="25DC5A34" w14:textId="77777777" w:rsidTr="008C331A">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1ACEC" w:themeFill="accent1" w:themeFillTint="99"/>
          </w:tcPr>
          <w:p w14:paraId="55D9F6C2" w14:textId="77777777" w:rsidR="00722248" w:rsidRPr="008C331A" w:rsidRDefault="00722248" w:rsidP="000867AE">
            <w:pPr>
              <w:pStyle w:val="TableNText"/>
              <w:rPr>
                <w:rFonts w:asciiTheme="minorHAnsi" w:hAnsiTheme="minorHAnsi" w:cstheme="minorHAnsi"/>
                <w:bCs/>
                <w:color w:val="000000" w:themeColor="text1"/>
                <w:sz w:val="18"/>
                <w:szCs w:val="18"/>
              </w:rPr>
            </w:pPr>
            <w:r w:rsidRPr="008C331A" w:rsidDel="00A96CD5">
              <w:rPr>
                <w:rFonts w:asciiTheme="minorHAnsi" w:hAnsiTheme="minorHAnsi" w:cstheme="minorHAnsi"/>
                <w:bCs/>
                <w:color w:val="000000" w:themeColor="text1"/>
                <w:sz w:val="18"/>
                <w:szCs w:val="18"/>
              </w:rPr>
              <w:t>Australian Institute of Occupational Hygienists</w:t>
            </w:r>
          </w:p>
        </w:tc>
      </w:tr>
      <w:tr w:rsidR="00A51AF2" w:rsidRPr="00993B73" w14:paraId="26648F68" w14:textId="77777777" w:rsidTr="004452F5">
        <w:tc>
          <w:tcPr>
            <w:cnfStyle w:val="001000000000" w:firstRow="0" w:lastRow="0" w:firstColumn="1" w:lastColumn="0" w:oddVBand="0" w:evenVBand="0" w:oddHBand="0" w:evenHBand="0" w:firstRowFirstColumn="0" w:firstRowLastColumn="0" w:lastRowFirstColumn="0" w:lastRowLastColumn="0"/>
            <w:tcW w:w="2305" w:type="pct"/>
            <w:tcBorders>
              <w:left w:val="single" w:sz="4" w:space="0" w:color="BFBFBF" w:themeColor="background1" w:themeShade="BF"/>
            </w:tcBorders>
            <w:shd w:val="clear" w:color="auto" w:fill="FFFFFF" w:themeFill="background1"/>
          </w:tcPr>
          <w:p w14:paraId="117D3BAF" w14:textId="77777777" w:rsidR="00722248" w:rsidRPr="00722248" w:rsidRDefault="00722248" w:rsidP="000867AE">
            <w:pPr>
              <w:pStyle w:val="TableNText"/>
              <w:jc w:val="left"/>
              <w:rPr>
                <w:rFonts w:asciiTheme="minorHAnsi" w:hAnsiTheme="minorHAnsi" w:cstheme="minorHAnsi"/>
                <w:b w:val="0"/>
                <w:color w:val="000000" w:themeColor="text1"/>
                <w:sz w:val="18"/>
                <w:szCs w:val="18"/>
              </w:rPr>
            </w:pPr>
            <w:r w:rsidRPr="008C331A">
              <w:rPr>
                <w:rFonts w:asciiTheme="minorHAnsi" w:hAnsiTheme="minorHAnsi" w:cstheme="minorHAnsi"/>
                <w:bCs/>
                <w:color w:val="000000" w:themeColor="text1"/>
                <w:sz w:val="18"/>
                <w:szCs w:val="18"/>
              </w:rPr>
              <w:t>Enquiry questions</w:t>
            </w:r>
            <w:r w:rsidRPr="00722248">
              <w:rPr>
                <w:rFonts w:asciiTheme="minorHAnsi" w:hAnsiTheme="minorHAnsi" w:cstheme="minorHAnsi"/>
                <w:b w:val="0"/>
                <w:color w:val="000000" w:themeColor="text1"/>
                <w:sz w:val="18"/>
                <w:szCs w:val="18"/>
              </w:rPr>
              <w:t>: An initial set of questions designed to gain data and information on the potential impacts of the proposed changes to the WELs for each chemical.</w:t>
            </w:r>
          </w:p>
          <w:p w14:paraId="0C67644C" w14:textId="2601E50F" w:rsidR="00722248" w:rsidRPr="00722248" w:rsidRDefault="00722248" w:rsidP="000867AE">
            <w:pPr>
              <w:pStyle w:val="TableNText"/>
              <w:jc w:val="left"/>
              <w:rPr>
                <w:rFonts w:asciiTheme="minorHAnsi" w:hAnsiTheme="minorHAnsi" w:cstheme="minorHAnsi"/>
                <w:color w:val="000000" w:themeColor="text1"/>
                <w:sz w:val="18"/>
                <w:szCs w:val="18"/>
              </w:rPr>
            </w:pPr>
            <w:r w:rsidRPr="008C331A">
              <w:rPr>
                <w:rFonts w:asciiTheme="minorHAnsi" w:hAnsiTheme="minorHAnsi" w:cstheme="minorHAnsi"/>
                <w:bCs/>
                <w:color w:val="000000" w:themeColor="text1"/>
                <w:sz w:val="18"/>
                <w:szCs w:val="18"/>
              </w:rPr>
              <w:t>Interview</w:t>
            </w:r>
            <w:r w:rsidRPr="00722248">
              <w:rPr>
                <w:rFonts w:asciiTheme="minorHAnsi" w:hAnsiTheme="minorHAnsi" w:cstheme="minorHAnsi"/>
                <w:b w:val="0"/>
                <w:color w:val="000000" w:themeColor="text1"/>
                <w:sz w:val="18"/>
                <w:szCs w:val="18"/>
              </w:rPr>
              <w:t xml:space="preserve">: Interview with AIOH representative, </w:t>
            </w:r>
            <w:r w:rsidR="008C331A" w:rsidRPr="00722248">
              <w:rPr>
                <w:rFonts w:asciiTheme="minorHAnsi" w:hAnsiTheme="minorHAnsi" w:cstheme="minorHAnsi"/>
                <w:b w:val="0"/>
                <w:color w:val="000000" w:themeColor="text1"/>
                <w:sz w:val="18"/>
                <w:szCs w:val="18"/>
              </w:rPr>
              <w:t>focused</w:t>
            </w:r>
            <w:r w:rsidRPr="00722248">
              <w:rPr>
                <w:rFonts w:asciiTheme="minorHAnsi" w:hAnsiTheme="minorHAnsi" w:cstheme="minorHAnsi"/>
                <w:b w:val="0"/>
                <w:color w:val="000000" w:themeColor="text1"/>
                <w:sz w:val="18"/>
                <w:szCs w:val="18"/>
              </w:rPr>
              <w:t xml:space="preserve"> on validating emerging findings and </w:t>
            </w:r>
            <w:r w:rsidRPr="00722248">
              <w:rPr>
                <w:rFonts w:asciiTheme="minorHAnsi" w:hAnsiTheme="minorHAnsi" w:cstheme="minorHAnsi"/>
                <w:b w:val="0"/>
                <w:bCs/>
                <w:color w:val="000000" w:themeColor="text1"/>
                <w:sz w:val="18"/>
                <w:szCs w:val="18"/>
              </w:rPr>
              <w:t>obtaining further clarifications</w:t>
            </w:r>
            <w:r w:rsidRPr="00722248">
              <w:rPr>
                <w:rFonts w:asciiTheme="minorHAnsi" w:hAnsiTheme="minorHAnsi" w:cstheme="minorHAnsi"/>
                <w:b w:val="0"/>
                <w:color w:val="000000" w:themeColor="text1"/>
                <w:sz w:val="18"/>
                <w:szCs w:val="18"/>
              </w:rPr>
              <w:t xml:space="preserve"> of </w:t>
            </w:r>
            <w:r w:rsidRPr="00722248">
              <w:rPr>
                <w:rFonts w:asciiTheme="minorHAnsi" w:hAnsiTheme="minorHAnsi" w:cstheme="minorHAnsi"/>
                <w:b w:val="0"/>
                <w:bCs/>
                <w:color w:val="000000" w:themeColor="text1"/>
                <w:sz w:val="18"/>
                <w:szCs w:val="18"/>
              </w:rPr>
              <w:t>responses provided.</w:t>
            </w:r>
          </w:p>
        </w:tc>
        <w:tc>
          <w:tcPr>
            <w:tcW w:w="2695" w:type="pct"/>
            <w:shd w:val="clear" w:color="auto" w:fill="auto"/>
          </w:tcPr>
          <w:p w14:paraId="757F622A"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Workplace exposure data</w:t>
            </w:r>
          </w:p>
          <w:p w14:paraId="32E5EC0E"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workplace exposure data for the nine chemicals, by industry and/or business size.</w:t>
            </w:r>
          </w:p>
          <w:p w14:paraId="399DA63C"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data on the proportion of businesses currently exceeding the proposed WEL.</w:t>
            </w:r>
          </w:p>
          <w:p w14:paraId="6FFF1AC5"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Control measures</w:t>
            </w:r>
          </w:p>
          <w:p w14:paraId="28B2E2A4"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current WEL.</w:t>
            </w:r>
          </w:p>
          <w:p w14:paraId="71AD76C8"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proposed WEL.</w:t>
            </w:r>
          </w:p>
          <w:p w14:paraId="26B2C241"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costs to business of implementing different controls measures.</w:t>
            </w:r>
          </w:p>
          <w:p w14:paraId="32D30B29"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effectiveness of control measures in reducing exposure to airborne contaminants.</w:t>
            </w:r>
          </w:p>
          <w:p w14:paraId="655FEBAD"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Health impacts</w:t>
            </w:r>
          </w:p>
          <w:p w14:paraId="2BE12623"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Further evidence on the health impacts of exposure to the nine chemicals, including the associated costs.</w:t>
            </w:r>
          </w:p>
          <w:p w14:paraId="7780E1D5" w14:textId="3FFDCC9A"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effectiveness of proposed WEL in reducing the health impacts of the nine chemicals.</w:t>
            </w:r>
          </w:p>
        </w:tc>
      </w:tr>
      <w:tr w:rsidR="00722248" w:rsidRPr="00993B73" w14:paraId="3F15CF78" w14:textId="77777777" w:rsidTr="008C331A">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1ACEC" w:themeFill="accent1" w:themeFillTint="99"/>
          </w:tcPr>
          <w:p w14:paraId="7ADE5953" w14:textId="77777777" w:rsidR="00722248" w:rsidRPr="008C331A" w:rsidRDefault="00722248" w:rsidP="000867AE">
            <w:pPr>
              <w:pStyle w:val="TableNText"/>
              <w:rPr>
                <w:rFonts w:asciiTheme="minorHAnsi" w:hAnsiTheme="minorHAnsi" w:cstheme="minorHAnsi"/>
                <w:bCs/>
                <w:color w:val="000000" w:themeColor="text1"/>
                <w:sz w:val="18"/>
                <w:szCs w:val="18"/>
              </w:rPr>
            </w:pPr>
            <w:r w:rsidRPr="008C331A">
              <w:rPr>
                <w:rFonts w:asciiTheme="minorHAnsi" w:hAnsiTheme="minorHAnsi" w:cstheme="minorHAnsi"/>
                <w:bCs/>
                <w:color w:val="000000" w:themeColor="text1"/>
                <w:sz w:val="18"/>
                <w:szCs w:val="18"/>
              </w:rPr>
              <w:t>Academics and medical experts</w:t>
            </w:r>
          </w:p>
        </w:tc>
      </w:tr>
      <w:tr w:rsidR="00A51AF2" w:rsidRPr="00993B73" w14:paraId="0A003336" w14:textId="77777777" w:rsidTr="004452F5">
        <w:tc>
          <w:tcPr>
            <w:cnfStyle w:val="001000000000" w:firstRow="0" w:lastRow="0" w:firstColumn="1" w:lastColumn="0" w:oddVBand="0" w:evenVBand="0" w:oddHBand="0" w:evenHBand="0" w:firstRowFirstColumn="0" w:firstRowLastColumn="0" w:lastRowFirstColumn="0" w:lastRowLastColumn="0"/>
            <w:tcW w:w="2305" w:type="pct"/>
            <w:tcBorders>
              <w:left w:val="single" w:sz="4" w:space="0" w:color="BFBFBF" w:themeColor="background1" w:themeShade="BF"/>
            </w:tcBorders>
            <w:shd w:val="clear" w:color="auto" w:fill="FFFFFF" w:themeFill="background1"/>
          </w:tcPr>
          <w:p w14:paraId="3B596494" w14:textId="77777777" w:rsidR="00722248" w:rsidRDefault="00722248" w:rsidP="000867AE">
            <w:pPr>
              <w:pStyle w:val="TableNText"/>
              <w:jc w:val="left"/>
              <w:rPr>
                <w:rFonts w:asciiTheme="minorHAnsi" w:hAnsiTheme="minorHAnsi" w:cstheme="minorHAnsi"/>
                <w:color w:val="000000" w:themeColor="text1"/>
                <w:sz w:val="18"/>
                <w:szCs w:val="18"/>
              </w:rPr>
            </w:pPr>
            <w:r w:rsidRPr="008C331A">
              <w:rPr>
                <w:rFonts w:asciiTheme="minorHAnsi" w:hAnsiTheme="minorHAnsi" w:cstheme="minorHAnsi"/>
                <w:bCs/>
                <w:color w:val="000000" w:themeColor="text1"/>
                <w:sz w:val="18"/>
                <w:szCs w:val="18"/>
              </w:rPr>
              <w:t>Enquiry questions</w:t>
            </w:r>
            <w:r w:rsidRPr="00722248">
              <w:rPr>
                <w:rFonts w:asciiTheme="minorHAnsi" w:hAnsiTheme="minorHAnsi" w:cstheme="minorHAnsi"/>
                <w:b w:val="0"/>
                <w:color w:val="000000" w:themeColor="text1"/>
                <w:sz w:val="18"/>
                <w:szCs w:val="18"/>
              </w:rPr>
              <w:t>: An initial set of questions designed to gain data and information on the potential impacts of the proposed changes to the WELs for each chemical.</w:t>
            </w:r>
          </w:p>
          <w:p w14:paraId="35BF1584" w14:textId="77777777" w:rsidR="00A51AF2" w:rsidRDefault="00A51AF2" w:rsidP="000867AE">
            <w:pPr>
              <w:pStyle w:val="TableNText"/>
              <w:jc w:val="left"/>
              <w:rPr>
                <w:rFonts w:asciiTheme="minorHAnsi" w:hAnsiTheme="minorHAnsi" w:cstheme="minorHAnsi"/>
                <w:color w:val="000000" w:themeColor="text1"/>
                <w:sz w:val="18"/>
                <w:szCs w:val="18"/>
              </w:rPr>
            </w:pPr>
          </w:p>
          <w:p w14:paraId="487071C3" w14:textId="77777777" w:rsidR="00A51AF2" w:rsidRDefault="00A51AF2" w:rsidP="000867AE">
            <w:pPr>
              <w:pStyle w:val="TableNText"/>
              <w:jc w:val="left"/>
              <w:rPr>
                <w:rFonts w:asciiTheme="minorHAnsi" w:hAnsiTheme="minorHAnsi" w:cstheme="minorHAnsi"/>
                <w:color w:val="000000" w:themeColor="text1"/>
                <w:sz w:val="18"/>
                <w:szCs w:val="18"/>
              </w:rPr>
            </w:pPr>
          </w:p>
          <w:p w14:paraId="193532E7" w14:textId="77777777" w:rsidR="00A51AF2" w:rsidRDefault="00A51AF2" w:rsidP="000867AE">
            <w:pPr>
              <w:pStyle w:val="TableNText"/>
              <w:jc w:val="left"/>
              <w:rPr>
                <w:rFonts w:asciiTheme="minorHAnsi" w:hAnsiTheme="minorHAnsi" w:cstheme="minorHAnsi"/>
                <w:color w:val="000000" w:themeColor="text1"/>
                <w:sz w:val="18"/>
                <w:szCs w:val="18"/>
              </w:rPr>
            </w:pPr>
          </w:p>
          <w:p w14:paraId="792DF725" w14:textId="77777777" w:rsidR="00A51AF2" w:rsidRDefault="00A51AF2" w:rsidP="000867AE">
            <w:pPr>
              <w:pStyle w:val="TableNText"/>
              <w:jc w:val="left"/>
              <w:rPr>
                <w:rFonts w:asciiTheme="minorHAnsi" w:hAnsiTheme="minorHAnsi" w:cstheme="minorHAnsi"/>
                <w:color w:val="000000" w:themeColor="text1"/>
                <w:sz w:val="18"/>
                <w:szCs w:val="18"/>
              </w:rPr>
            </w:pPr>
          </w:p>
          <w:p w14:paraId="133FE657" w14:textId="77777777" w:rsidR="00A51AF2" w:rsidRDefault="00A51AF2" w:rsidP="000867AE">
            <w:pPr>
              <w:pStyle w:val="TableNText"/>
              <w:jc w:val="left"/>
              <w:rPr>
                <w:rFonts w:asciiTheme="minorHAnsi" w:hAnsiTheme="minorHAnsi" w:cstheme="minorHAnsi"/>
                <w:color w:val="000000" w:themeColor="text1"/>
                <w:sz w:val="18"/>
                <w:szCs w:val="18"/>
              </w:rPr>
            </w:pPr>
          </w:p>
          <w:p w14:paraId="7A53C4F2" w14:textId="77777777" w:rsidR="00A51AF2" w:rsidRDefault="00A51AF2" w:rsidP="000867AE">
            <w:pPr>
              <w:pStyle w:val="TableNText"/>
              <w:jc w:val="left"/>
              <w:rPr>
                <w:rFonts w:asciiTheme="minorHAnsi" w:hAnsiTheme="minorHAnsi" w:cstheme="minorHAnsi"/>
                <w:color w:val="000000" w:themeColor="text1"/>
                <w:sz w:val="18"/>
                <w:szCs w:val="18"/>
              </w:rPr>
            </w:pPr>
          </w:p>
          <w:p w14:paraId="65CA1AEE" w14:textId="77777777" w:rsidR="00A51AF2" w:rsidRDefault="00A51AF2" w:rsidP="000867AE">
            <w:pPr>
              <w:pStyle w:val="TableNText"/>
              <w:jc w:val="left"/>
              <w:rPr>
                <w:rFonts w:asciiTheme="minorHAnsi" w:hAnsiTheme="minorHAnsi" w:cstheme="minorHAnsi"/>
                <w:color w:val="000000" w:themeColor="text1"/>
                <w:sz w:val="18"/>
                <w:szCs w:val="18"/>
              </w:rPr>
            </w:pPr>
          </w:p>
          <w:p w14:paraId="42C5146C" w14:textId="13E0E795" w:rsidR="00A51AF2" w:rsidRPr="00722248" w:rsidRDefault="00A51AF2" w:rsidP="000867AE">
            <w:pPr>
              <w:pStyle w:val="TableNText"/>
              <w:jc w:val="left"/>
              <w:rPr>
                <w:rFonts w:asciiTheme="minorHAnsi" w:hAnsiTheme="minorHAnsi" w:cstheme="minorHAnsi"/>
                <w:b w:val="0"/>
                <w:color w:val="000000" w:themeColor="text1"/>
                <w:sz w:val="18"/>
                <w:szCs w:val="18"/>
              </w:rPr>
            </w:pPr>
          </w:p>
        </w:tc>
        <w:tc>
          <w:tcPr>
            <w:tcW w:w="2695" w:type="pct"/>
            <w:shd w:val="clear" w:color="auto" w:fill="auto"/>
          </w:tcPr>
          <w:p w14:paraId="1DAD474E"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Workplace exposure data</w:t>
            </w:r>
          </w:p>
          <w:p w14:paraId="1B954D89"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workplace exposure data for the nine chemicals, by industry and/or business size.</w:t>
            </w:r>
          </w:p>
          <w:p w14:paraId="49CC3E36"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data on the proportion of businesses currently exceeding the proposed WEL.</w:t>
            </w:r>
          </w:p>
          <w:p w14:paraId="3B7B755C" w14:textId="77777777" w:rsidR="00722248" w:rsidRPr="008C331A"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8C331A">
              <w:rPr>
                <w:rFonts w:asciiTheme="minorHAnsi" w:hAnsiTheme="minorHAnsi" w:cstheme="minorHAnsi"/>
                <w:b/>
                <w:bCs/>
                <w:color w:val="000000" w:themeColor="text1"/>
                <w:sz w:val="18"/>
                <w:szCs w:val="18"/>
              </w:rPr>
              <w:t>Health impacts</w:t>
            </w:r>
          </w:p>
          <w:p w14:paraId="0A5218CD"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Further evidence on the health impacts of exposure to the nine chemicals, including the associated costs.</w:t>
            </w:r>
          </w:p>
          <w:p w14:paraId="0A8E23CD"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 xml:space="preserve">The effectiveness of proposed WEL in reducing the health impacts of the nine chemicals. </w:t>
            </w:r>
          </w:p>
        </w:tc>
      </w:tr>
      <w:tr w:rsidR="00A51AF2" w:rsidRPr="00993B73" w14:paraId="15BA26F2" w14:textId="77777777" w:rsidTr="00A51AF2">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BFBFBF" w:themeColor="background1" w:themeShade="BF"/>
            </w:tcBorders>
            <w:shd w:val="clear" w:color="auto" w:fill="91ACEC" w:themeFill="accent1" w:themeFillTint="99"/>
          </w:tcPr>
          <w:p w14:paraId="44B959E3" w14:textId="77777777" w:rsidR="00722248" w:rsidRPr="00A51AF2" w:rsidRDefault="00722248" w:rsidP="000867AE">
            <w:pPr>
              <w:pStyle w:val="TableNText"/>
              <w:rPr>
                <w:rFonts w:asciiTheme="minorHAnsi" w:hAnsiTheme="minorHAnsi" w:cstheme="minorHAnsi"/>
                <w:bCs/>
                <w:color w:val="000000" w:themeColor="text1"/>
                <w:sz w:val="18"/>
                <w:szCs w:val="18"/>
              </w:rPr>
            </w:pPr>
            <w:r w:rsidRPr="00A51AF2">
              <w:rPr>
                <w:rFonts w:asciiTheme="minorHAnsi" w:hAnsiTheme="minorHAnsi" w:cstheme="minorHAnsi"/>
                <w:bCs/>
                <w:color w:val="000000" w:themeColor="text1"/>
                <w:sz w:val="18"/>
                <w:szCs w:val="18"/>
              </w:rPr>
              <w:t>ACTU and workers’ groups</w:t>
            </w:r>
          </w:p>
        </w:tc>
      </w:tr>
      <w:tr w:rsidR="00A51AF2" w:rsidRPr="00993B73" w14:paraId="48AEE752" w14:textId="77777777" w:rsidTr="004452F5">
        <w:tc>
          <w:tcPr>
            <w:cnfStyle w:val="001000000000" w:firstRow="0" w:lastRow="0" w:firstColumn="1" w:lastColumn="0" w:oddVBand="0" w:evenVBand="0" w:oddHBand="0" w:evenHBand="0" w:firstRowFirstColumn="0" w:firstRowLastColumn="0" w:lastRowFirstColumn="0" w:lastRowLastColumn="0"/>
            <w:tcW w:w="2305" w:type="pct"/>
            <w:tcBorders>
              <w:left w:val="single" w:sz="4" w:space="0" w:color="BFBFBF" w:themeColor="background1" w:themeShade="BF"/>
            </w:tcBorders>
            <w:shd w:val="clear" w:color="auto" w:fill="FFFFFF" w:themeFill="background1"/>
          </w:tcPr>
          <w:p w14:paraId="2174BE59" w14:textId="65E82DFA" w:rsidR="00722248" w:rsidRPr="00722248" w:rsidRDefault="00722248" w:rsidP="000867AE">
            <w:pPr>
              <w:pStyle w:val="TableNText"/>
              <w:jc w:val="left"/>
              <w:rPr>
                <w:rFonts w:asciiTheme="minorHAnsi" w:hAnsiTheme="minorHAnsi" w:cstheme="minorHAnsi"/>
                <w:b w:val="0"/>
                <w:color w:val="000000" w:themeColor="text1"/>
                <w:sz w:val="18"/>
                <w:szCs w:val="18"/>
              </w:rPr>
            </w:pPr>
            <w:r w:rsidRPr="00A51AF2">
              <w:rPr>
                <w:rFonts w:asciiTheme="minorHAnsi" w:hAnsiTheme="minorHAnsi" w:cstheme="minorHAnsi"/>
                <w:bCs/>
                <w:color w:val="000000" w:themeColor="text1"/>
                <w:sz w:val="18"/>
                <w:szCs w:val="18"/>
              </w:rPr>
              <w:t>Roundtable discussion</w:t>
            </w:r>
            <w:r w:rsidRPr="00722248">
              <w:rPr>
                <w:rFonts w:asciiTheme="minorHAnsi" w:hAnsiTheme="minorHAnsi" w:cstheme="minorHAnsi"/>
                <w:b w:val="0"/>
                <w:color w:val="000000" w:themeColor="text1"/>
                <w:sz w:val="18"/>
                <w:szCs w:val="18"/>
              </w:rPr>
              <w:t xml:space="preserve">: A 2-hour roundtable discussion with ACTU and workers’ groups </w:t>
            </w:r>
            <w:r w:rsidRPr="00722248">
              <w:rPr>
                <w:rFonts w:asciiTheme="minorHAnsi" w:hAnsiTheme="minorHAnsi" w:cstheme="minorHAnsi"/>
                <w:b w:val="0"/>
                <w:color w:val="000000" w:themeColor="text1"/>
                <w:sz w:val="18"/>
                <w:szCs w:val="18"/>
              </w:rPr>
              <w:lastRenderedPageBreak/>
              <w:t>focused on the key lines of enquiry on the nine chemicals.</w:t>
            </w:r>
          </w:p>
        </w:tc>
        <w:tc>
          <w:tcPr>
            <w:tcW w:w="2695" w:type="pct"/>
            <w:shd w:val="clear" w:color="auto" w:fill="auto"/>
          </w:tcPr>
          <w:p w14:paraId="16B72B29" w14:textId="77777777" w:rsidR="00722248" w:rsidRPr="00A51AF2"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A51AF2">
              <w:rPr>
                <w:rFonts w:asciiTheme="minorHAnsi" w:hAnsiTheme="minorHAnsi" w:cstheme="minorHAnsi"/>
                <w:b/>
                <w:bCs/>
                <w:color w:val="000000" w:themeColor="text1"/>
                <w:sz w:val="18"/>
                <w:szCs w:val="18"/>
              </w:rPr>
              <w:lastRenderedPageBreak/>
              <w:t>Workplace exposure data</w:t>
            </w:r>
          </w:p>
          <w:p w14:paraId="0BFF7AAC"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lastRenderedPageBreak/>
              <w:t>The availability of workplace exposure data for the nine chemicals, by industry and/or business size.</w:t>
            </w:r>
          </w:p>
          <w:p w14:paraId="6311C37E"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data on the proportion of businesses currently exceeding the proposed WEL.</w:t>
            </w:r>
          </w:p>
          <w:p w14:paraId="3B859CA7" w14:textId="77777777" w:rsidR="00722248" w:rsidRPr="00A51AF2"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A51AF2">
              <w:rPr>
                <w:rFonts w:asciiTheme="minorHAnsi" w:hAnsiTheme="minorHAnsi" w:cstheme="minorHAnsi"/>
                <w:b/>
                <w:bCs/>
                <w:color w:val="000000" w:themeColor="text1"/>
                <w:sz w:val="18"/>
                <w:szCs w:val="18"/>
              </w:rPr>
              <w:t>Control measures</w:t>
            </w:r>
          </w:p>
          <w:p w14:paraId="0FD79161"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current WES.</w:t>
            </w:r>
          </w:p>
          <w:p w14:paraId="5BF1007E"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proposed WEL.</w:t>
            </w:r>
          </w:p>
          <w:p w14:paraId="47ACBBD6"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costs to business of implementing different controls measures.</w:t>
            </w:r>
          </w:p>
        </w:tc>
      </w:tr>
      <w:tr w:rsidR="00A51AF2" w:rsidRPr="00993B73" w14:paraId="376B7E47" w14:textId="77777777" w:rsidTr="00A51AF2">
        <w:trPr>
          <w:trHeight w:val="11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BFBFBF" w:themeColor="background1" w:themeShade="BF"/>
            </w:tcBorders>
            <w:shd w:val="clear" w:color="auto" w:fill="91ACEC" w:themeFill="accent1" w:themeFillTint="99"/>
          </w:tcPr>
          <w:p w14:paraId="78ED01D0" w14:textId="77777777" w:rsidR="00722248" w:rsidRPr="00A51AF2" w:rsidRDefault="00722248" w:rsidP="000867AE">
            <w:pPr>
              <w:pStyle w:val="TableNText"/>
              <w:rPr>
                <w:rFonts w:asciiTheme="minorHAnsi" w:hAnsiTheme="minorHAnsi" w:cstheme="minorHAnsi"/>
                <w:bCs/>
                <w:color w:val="000000" w:themeColor="text1"/>
                <w:sz w:val="18"/>
                <w:szCs w:val="18"/>
              </w:rPr>
            </w:pPr>
            <w:r w:rsidRPr="00A51AF2">
              <w:rPr>
                <w:rFonts w:asciiTheme="minorHAnsi" w:hAnsiTheme="minorHAnsi" w:cstheme="minorHAnsi"/>
                <w:bCs/>
                <w:color w:val="000000" w:themeColor="text1"/>
                <w:sz w:val="18"/>
                <w:szCs w:val="18"/>
              </w:rPr>
              <w:lastRenderedPageBreak/>
              <w:t>Industry groups</w:t>
            </w:r>
          </w:p>
        </w:tc>
      </w:tr>
      <w:tr w:rsidR="00A51AF2" w:rsidRPr="00993B73" w14:paraId="334CCAC0" w14:textId="77777777" w:rsidTr="004452F5">
        <w:trPr>
          <w:trHeight w:val="750"/>
        </w:trPr>
        <w:tc>
          <w:tcPr>
            <w:cnfStyle w:val="001000000000" w:firstRow="0" w:lastRow="0" w:firstColumn="1" w:lastColumn="0" w:oddVBand="0" w:evenVBand="0" w:oddHBand="0" w:evenHBand="0" w:firstRowFirstColumn="0" w:firstRowLastColumn="0" w:lastRowFirstColumn="0" w:lastRowLastColumn="0"/>
            <w:tcW w:w="2305" w:type="pct"/>
            <w:tcBorders>
              <w:left w:val="single" w:sz="4" w:space="0" w:color="BFBFBF" w:themeColor="background1" w:themeShade="BF"/>
            </w:tcBorders>
            <w:shd w:val="clear" w:color="auto" w:fill="FFFFFF" w:themeFill="background1"/>
          </w:tcPr>
          <w:p w14:paraId="31D82B0F" w14:textId="03B25E00" w:rsidR="00722248" w:rsidRPr="00722248" w:rsidRDefault="00722248" w:rsidP="000867AE">
            <w:pPr>
              <w:pStyle w:val="TableNText"/>
              <w:jc w:val="left"/>
              <w:rPr>
                <w:rFonts w:asciiTheme="minorHAnsi" w:hAnsiTheme="minorHAnsi" w:cstheme="minorHAnsi"/>
                <w:b w:val="0"/>
                <w:color w:val="000000" w:themeColor="text1"/>
                <w:sz w:val="18"/>
                <w:szCs w:val="18"/>
              </w:rPr>
            </w:pPr>
            <w:r w:rsidRPr="00A51AF2">
              <w:rPr>
                <w:rFonts w:asciiTheme="minorHAnsi" w:hAnsiTheme="minorHAnsi" w:cstheme="minorHAnsi"/>
                <w:bCs/>
                <w:color w:val="000000" w:themeColor="text1"/>
                <w:sz w:val="18"/>
                <w:szCs w:val="18"/>
              </w:rPr>
              <w:t>Workshops</w:t>
            </w:r>
            <w:r w:rsidRPr="00722248">
              <w:rPr>
                <w:rFonts w:asciiTheme="minorHAnsi" w:hAnsiTheme="minorHAnsi" w:cstheme="minorHAnsi"/>
                <w:b w:val="0"/>
                <w:color w:val="000000" w:themeColor="text1"/>
                <w:sz w:val="18"/>
                <w:szCs w:val="18"/>
              </w:rPr>
              <w:t xml:space="preserve">: Five 60–90-minute workshops with industry groups focused on the key lines of enquiry, </w:t>
            </w:r>
            <w:r w:rsidRPr="00722248">
              <w:rPr>
                <w:rFonts w:asciiTheme="minorHAnsi" w:hAnsiTheme="minorHAnsi" w:cstheme="minorHAnsi"/>
                <w:b w:val="0"/>
                <w:bCs/>
                <w:color w:val="000000" w:themeColor="text1"/>
                <w:sz w:val="18"/>
                <w:szCs w:val="18"/>
              </w:rPr>
              <w:t>The order of</w:t>
            </w:r>
            <w:r w:rsidRPr="00722248">
              <w:rPr>
                <w:rFonts w:asciiTheme="minorHAnsi" w:hAnsiTheme="minorHAnsi" w:cstheme="minorHAnsi"/>
                <w:b w:val="0"/>
                <w:color w:val="000000" w:themeColor="text1"/>
                <w:sz w:val="18"/>
                <w:szCs w:val="18"/>
              </w:rPr>
              <w:t xml:space="preserve"> </w:t>
            </w:r>
            <w:r w:rsidRPr="00722248">
              <w:rPr>
                <w:rFonts w:asciiTheme="minorHAnsi" w:hAnsiTheme="minorHAnsi" w:cstheme="minorHAnsi"/>
                <w:b w:val="0"/>
                <w:bCs/>
                <w:color w:val="000000" w:themeColor="text1"/>
                <w:sz w:val="18"/>
                <w:szCs w:val="18"/>
              </w:rPr>
              <w:t>the workshops was as follows:</w:t>
            </w:r>
          </w:p>
          <w:p w14:paraId="4CF899F1" w14:textId="77777777" w:rsidR="00722248" w:rsidRPr="00722248" w:rsidRDefault="00722248" w:rsidP="000867AE">
            <w:pPr>
              <w:pStyle w:val="TableNBullet"/>
              <w:spacing w:line="240" w:lineRule="auto"/>
              <w:jc w:val="left"/>
              <w:rPr>
                <w:rFonts w:asciiTheme="minorHAnsi" w:hAnsiTheme="minorHAnsi" w:cstheme="minorHAnsi"/>
                <w:b w:val="0"/>
                <w:color w:val="000000" w:themeColor="text1"/>
                <w:sz w:val="18"/>
                <w:szCs w:val="18"/>
              </w:rPr>
            </w:pPr>
            <w:r w:rsidRPr="00A51AF2">
              <w:rPr>
                <w:rFonts w:asciiTheme="minorHAnsi" w:hAnsiTheme="minorHAnsi" w:cstheme="minorHAnsi"/>
                <w:bCs/>
                <w:color w:val="000000" w:themeColor="text1"/>
                <w:sz w:val="18"/>
                <w:szCs w:val="18"/>
              </w:rPr>
              <w:t>Workshop 1</w:t>
            </w:r>
            <w:r w:rsidRPr="00722248">
              <w:rPr>
                <w:rFonts w:asciiTheme="minorHAnsi" w:hAnsiTheme="minorHAnsi" w:cstheme="minorHAnsi"/>
                <w:b w:val="0"/>
                <w:color w:val="000000" w:themeColor="text1"/>
                <w:sz w:val="18"/>
                <w:szCs w:val="18"/>
              </w:rPr>
              <w:t>: Titanium Dioxide</w:t>
            </w:r>
          </w:p>
          <w:p w14:paraId="783694EE" w14:textId="77777777" w:rsidR="00722248" w:rsidRPr="00722248" w:rsidRDefault="00722248" w:rsidP="000867AE">
            <w:pPr>
              <w:pStyle w:val="TableNBullet"/>
              <w:spacing w:line="240" w:lineRule="auto"/>
              <w:jc w:val="left"/>
              <w:rPr>
                <w:rFonts w:asciiTheme="minorHAnsi" w:hAnsiTheme="minorHAnsi" w:cstheme="minorHAnsi"/>
                <w:b w:val="0"/>
                <w:color w:val="000000" w:themeColor="text1"/>
                <w:sz w:val="18"/>
                <w:szCs w:val="18"/>
              </w:rPr>
            </w:pPr>
            <w:r w:rsidRPr="00A51AF2">
              <w:rPr>
                <w:rFonts w:asciiTheme="minorHAnsi" w:hAnsiTheme="minorHAnsi" w:cstheme="minorHAnsi"/>
                <w:bCs/>
                <w:color w:val="000000" w:themeColor="text1"/>
                <w:sz w:val="18"/>
                <w:szCs w:val="18"/>
              </w:rPr>
              <w:t>Workshop 2</w:t>
            </w:r>
            <w:r w:rsidRPr="00722248">
              <w:rPr>
                <w:rFonts w:asciiTheme="minorHAnsi" w:hAnsiTheme="minorHAnsi" w:cstheme="minorHAnsi"/>
                <w:b w:val="0"/>
                <w:color w:val="000000" w:themeColor="text1"/>
                <w:sz w:val="18"/>
                <w:szCs w:val="18"/>
              </w:rPr>
              <w:t>: Formaldehyde</w:t>
            </w:r>
          </w:p>
          <w:p w14:paraId="60FC5B41" w14:textId="3A37AC52" w:rsidR="00722248" w:rsidRPr="00722248" w:rsidRDefault="00722248" w:rsidP="000867AE">
            <w:pPr>
              <w:pStyle w:val="TableNBullet"/>
              <w:spacing w:line="240" w:lineRule="auto"/>
              <w:jc w:val="left"/>
              <w:rPr>
                <w:rFonts w:asciiTheme="minorHAnsi" w:hAnsiTheme="minorHAnsi" w:cstheme="minorHAnsi"/>
                <w:b w:val="0"/>
                <w:color w:val="000000" w:themeColor="text1"/>
                <w:sz w:val="18"/>
                <w:szCs w:val="18"/>
              </w:rPr>
            </w:pPr>
            <w:r w:rsidRPr="00A51AF2">
              <w:rPr>
                <w:rFonts w:asciiTheme="minorHAnsi" w:hAnsiTheme="minorHAnsi" w:cstheme="minorHAnsi"/>
                <w:bCs/>
                <w:color w:val="000000" w:themeColor="text1"/>
                <w:sz w:val="18"/>
                <w:szCs w:val="18"/>
              </w:rPr>
              <w:t>Workshop 3</w:t>
            </w:r>
            <w:r w:rsidRPr="00722248">
              <w:rPr>
                <w:rFonts w:asciiTheme="minorHAnsi" w:hAnsiTheme="minorHAnsi" w:cstheme="minorHAnsi"/>
                <w:b w:val="0"/>
                <w:color w:val="000000" w:themeColor="text1"/>
                <w:sz w:val="18"/>
                <w:szCs w:val="18"/>
              </w:rPr>
              <w:t>: Benzene, Chlorine, Copper, Hydrogen Cyanide, Hydrogen Sul</w:t>
            </w:r>
            <w:r w:rsidR="00EB1D48">
              <w:rPr>
                <w:rFonts w:asciiTheme="minorHAnsi" w:hAnsiTheme="minorHAnsi" w:cstheme="minorHAnsi"/>
                <w:b w:val="0"/>
                <w:color w:val="000000" w:themeColor="text1"/>
                <w:sz w:val="18"/>
                <w:szCs w:val="18"/>
              </w:rPr>
              <w:t>f</w:t>
            </w:r>
            <w:r w:rsidRPr="00722248">
              <w:rPr>
                <w:rFonts w:asciiTheme="minorHAnsi" w:hAnsiTheme="minorHAnsi" w:cstheme="minorHAnsi"/>
                <w:b w:val="0"/>
                <w:color w:val="000000" w:themeColor="text1"/>
                <w:sz w:val="18"/>
                <w:szCs w:val="18"/>
              </w:rPr>
              <w:t>ide, Nitrogen Dioxide</w:t>
            </w:r>
          </w:p>
          <w:p w14:paraId="4C45C2ED" w14:textId="77777777" w:rsidR="00722248" w:rsidRPr="00722248" w:rsidRDefault="00722248" w:rsidP="000867AE">
            <w:pPr>
              <w:pStyle w:val="TableNBullet"/>
              <w:spacing w:line="240" w:lineRule="auto"/>
              <w:jc w:val="left"/>
              <w:rPr>
                <w:rFonts w:asciiTheme="minorHAnsi" w:hAnsiTheme="minorHAnsi" w:cstheme="minorHAnsi"/>
                <w:color w:val="000000" w:themeColor="text1"/>
                <w:sz w:val="18"/>
                <w:szCs w:val="18"/>
              </w:rPr>
            </w:pPr>
            <w:r w:rsidRPr="00A51AF2">
              <w:rPr>
                <w:rFonts w:asciiTheme="minorHAnsi" w:hAnsiTheme="minorHAnsi" w:cstheme="minorHAnsi"/>
                <w:bCs/>
                <w:color w:val="000000" w:themeColor="text1"/>
                <w:sz w:val="18"/>
                <w:szCs w:val="18"/>
              </w:rPr>
              <w:t>Workshop 4</w:t>
            </w:r>
            <w:r w:rsidRPr="00722248">
              <w:rPr>
                <w:rFonts w:asciiTheme="minorHAnsi" w:hAnsiTheme="minorHAnsi" w:cstheme="minorHAnsi"/>
                <w:b w:val="0"/>
                <w:color w:val="000000" w:themeColor="text1"/>
                <w:sz w:val="18"/>
                <w:szCs w:val="18"/>
              </w:rPr>
              <w:t xml:space="preserve">: RCS </w:t>
            </w:r>
          </w:p>
          <w:p w14:paraId="2B53D0AC" w14:textId="77777777" w:rsidR="00722248" w:rsidRPr="00722248" w:rsidRDefault="00722248" w:rsidP="000867AE">
            <w:pPr>
              <w:pStyle w:val="TableNBullet"/>
              <w:spacing w:line="240" w:lineRule="auto"/>
              <w:jc w:val="left"/>
              <w:rPr>
                <w:rFonts w:asciiTheme="minorHAnsi" w:hAnsiTheme="minorHAnsi" w:cstheme="minorHAnsi"/>
                <w:color w:val="000000" w:themeColor="text1"/>
                <w:sz w:val="18"/>
                <w:szCs w:val="18"/>
              </w:rPr>
            </w:pPr>
            <w:r w:rsidRPr="00A51AF2">
              <w:rPr>
                <w:rFonts w:asciiTheme="minorHAnsi" w:hAnsiTheme="minorHAnsi" w:cstheme="minorHAnsi"/>
                <w:bCs/>
                <w:color w:val="000000" w:themeColor="text1"/>
                <w:sz w:val="18"/>
                <w:szCs w:val="18"/>
              </w:rPr>
              <w:t>Meeting 5:</w:t>
            </w:r>
            <w:r w:rsidRPr="00722248">
              <w:rPr>
                <w:rFonts w:asciiTheme="minorHAnsi" w:hAnsiTheme="minorHAnsi" w:cstheme="minorHAnsi"/>
                <w:b w:val="0"/>
                <w:color w:val="000000" w:themeColor="text1"/>
                <w:sz w:val="18"/>
                <w:szCs w:val="18"/>
              </w:rPr>
              <w:t xml:space="preserve"> Formaldehyde follow-up </w:t>
            </w:r>
            <w:r w:rsidRPr="00722248">
              <w:rPr>
                <w:rFonts w:asciiTheme="minorHAnsi" w:hAnsiTheme="minorHAnsi" w:cstheme="minorHAnsi"/>
                <w:b w:val="0"/>
                <w:bCs/>
                <w:color w:val="000000" w:themeColor="text1"/>
                <w:sz w:val="18"/>
                <w:szCs w:val="18"/>
              </w:rPr>
              <w:t>discussion</w:t>
            </w:r>
            <w:r w:rsidRPr="00722248">
              <w:rPr>
                <w:rFonts w:asciiTheme="minorHAnsi" w:hAnsiTheme="minorHAnsi" w:cstheme="minorHAnsi"/>
                <w:b w:val="0"/>
                <w:color w:val="000000" w:themeColor="text1"/>
                <w:sz w:val="18"/>
                <w:szCs w:val="18"/>
              </w:rPr>
              <w:t>.</w:t>
            </w:r>
          </w:p>
          <w:p w14:paraId="49791067" w14:textId="3107F558" w:rsidR="00722248" w:rsidRPr="00722248" w:rsidRDefault="00722248" w:rsidP="000867AE">
            <w:pPr>
              <w:pStyle w:val="TableNText"/>
              <w:jc w:val="left"/>
              <w:rPr>
                <w:rFonts w:asciiTheme="minorHAnsi" w:hAnsiTheme="minorHAnsi" w:cstheme="minorHAnsi"/>
                <w:color w:val="000000" w:themeColor="text1"/>
                <w:sz w:val="18"/>
                <w:szCs w:val="18"/>
              </w:rPr>
            </w:pPr>
            <w:r w:rsidRPr="00722248">
              <w:rPr>
                <w:rFonts w:asciiTheme="minorHAnsi" w:hAnsiTheme="minorHAnsi" w:cstheme="minorHAnsi"/>
                <w:b w:val="0"/>
                <w:color w:val="000000" w:themeColor="text1"/>
                <w:sz w:val="18"/>
                <w:szCs w:val="18"/>
              </w:rPr>
              <w:t>Nous also met with ACCI and A</w:t>
            </w:r>
            <w:r w:rsidR="00685F8F">
              <w:rPr>
                <w:rFonts w:asciiTheme="minorHAnsi" w:hAnsiTheme="minorHAnsi" w:cstheme="minorHAnsi"/>
                <w:b w:val="0"/>
                <w:color w:val="000000" w:themeColor="text1"/>
                <w:sz w:val="18"/>
                <w:szCs w:val="18"/>
              </w:rPr>
              <w:t>ustralian Industry Group</w:t>
            </w:r>
            <w:r w:rsidRPr="00722248">
              <w:rPr>
                <w:rFonts w:asciiTheme="minorHAnsi" w:hAnsiTheme="minorHAnsi" w:cstheme="minorHAnsi"/>
                <w:b w:val="0"/>
                <w:color w:val="000000" w:themeColor="text1"/>
                <w:sz w:val="18"/>
                <w:szCs w:val="18"/>
              </w:rPr>
              <w:t xml:space="preserve"> prior to and following the completion of these workshops.</w:t>
            </w:r>
          </w:p>
        </w:tc>
        <w:tc>
          <w:tcPr>
            <w:tcW w:w="2695" w:type="pct"/>
            <w:shd w:val="clear" w:color="auto" w:fill="auto"/>
          </w:tcPr>
          <w:p w14:paraId="447728EB" w14:textId="77777777" w:rsidR="00722248" w:rsidRPr="00A51AF2"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A51AF2">
              <w:rPr>
                <w:rFonts w:asciiTheme="minorHAnsi" w:hAnsiTheme="minorHAnsi" w:cstheme="minorHAnsi"/>
                <w:b/>
                <w:bCs/>
                <w:color w:val="000000" w:themeColor="text1"/>
                <w:sz w:val="18"/>
                <w:szCs w:val="18"/>
              </w:rPr>
              <w:t>Workplace exposure data</w:t>
            </w:r>
          </w:p>
          <w:p w14:paraId="2A698F9F"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workplace exposure data for the nine chemicals, by industry and/or business size.</w:t>
            </w:r>
          </w:p>
          <w:p w14:paraId="2EB78ED8"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availability of data on the proportion of businesses currently exceeding the proposed WEL.</w:t>
            </w:r>
          </w:p>
          <w:p w14:paraId="52EFC444" w14:textId="77777777" w:rsidR="00722248" w:rsidRPr="00A51AF2" w:rsidRDefault="00722248" w:rsidP="000867A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A51AF2">
              <w:rPr>
                <w:rFonts w:asciiTheme="minorHAnsi" w:hAnsiTheme="minorHAnsi" w:cstheme="minorHAnsi"/>
                <w:b/>
                <w:bCs/>
                <w:color w:val="000000" w:themeColor="text1"/>
                <w:sz w:val="18"/>
                <w:szCs w:val="18"/>
              </w:rPr>
              <w:t>Control measures</w:t>
            </w:r>
          </w:p>
          <w:p w14:paraId="53494FB3"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current WES.</w:t>
            </w:r>
          </w:p>
          <w:p w14:paraId="3E836E8D" w14:textId="77777777" w:rsidR="00722248" w:rsidRP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types of control measures used under proposed WEL.</w:t>
            </w:r>
          </w:p>
          <w:p w14:paraId="6D0A3940" w14:textId="77777777" w:rsidR="00722248" w:rsidRDefault="00722248" w:rsidP="000867AE">
            <w:pPr>
              <w:pStyle w:val="TableNBulle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22248">
              <w:rPr>
                <w:rFonts w:asciiTheme="minorHAnsi" w:hAnsiTheme="minorHAnsi" w:cstheme="minorHAnsi"/>
                <w:color w:val="000000" w:themeColor="text1"/>
                <w:sz w:val="18"/>
                <w:szCs w:val="18"/>
              </w:rPr>
              <w:t>The costs to business of implementing different controls measures.</w:t>
            </w:r>
          </w:p>
          <w:p w14:paraId="5334FFF9" w14:textId="6DFE6A76" w:rsidR="00497218" w:rsidRPr="00722248" w:rsidRDefault="00497218" w:rsidP="00497218">
            <w:pPr>
              <w:pStyle w:val="TableNBullet"/>
              <w:numPr>
                <w:ilvl w:val="0"/>
                <w:numId w:val="0"/>
              </w:num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bl>
    <w:p w14:paraId="16FA0F61" w14:textId="0A5AF295" w:rsidR="00497218" w:rsidRDefault="00497218" w:rsidP="00497218">
      <w:pPr>
        <w:pStyle w:val="SWAHeading3"/>
        <w:rPr>
          <w:lang w:eastAsia="en-AU"/>
        </w:rPr>
      </w:pPr>
      <w:r>
        <w:rPr>
          <w:lang w:eastAsia="en-AU"/>
        </w:rPr>
        <w:t>Enquiry questions</w:t>
      </w:r>
    </w:p>
    <w:p w14:paraId="225E0AAE" w14:textId="65D1F5FA" w:rsidR="00412B62" w:rsidRDefault="00A40831" w:rsidP="00144BE5">
      <w:r>
        <w:rPr>
          <w:lang w:eastAsia="en-AU"/>
        </w:rPr>
        <w:fldChar w:fldCharType="begin"/>
      </w:r>
      <w:r>
        <w:rPr>
          <w:lang w:eastAsia="en-AU"/>
        </w:rPr>
        <w:instrText xml:space="preserve"> REF _Ref216793704 \h </w:instrText>
      </w:r>
      <w:r>
        <w:rPr>
          <w:lang w:eastAsia="en-AU"/>
        </w:rPr>
      </w:r>
      <w:r>
        <w:rPr>
          <w:lang w:eastAsia="en-AU"/>
        </w:rPr>
        <w:fldChar w:fldCharType="separate"/>
      </w:r>
      <w:r w:rsidR="00A002F4">
        <w:t xml:space="preserve">Table </w:t>
      </w:r>
      <w:r w:rsidR="00A002F4">
        <w:rPr>
          <w:noProof/>
        </w:rPr>
        <w:t>71</w:t>
      </w:r>
      <w:r>
        <w:rPr>
          <w:lang w:eastAsia="en-AU"/>
        </w:rPr>
        <w:fldChar w:fldCharType="end"/>
      </w:r>
      <w:r>
        <w:rPr>
          <w:lang w:eastAsia="en-AU"/>
        </w:rPr>
        <w:t xml:space="preserve"> </w:t>
      </w:r>
      <w:r w:rsidR="00497218" w:rsidRPr="00993B73">
        <w:rPr>
          <w:lang w:eastAsia="en-AU"/>
        </w:rPr>
        <w:t xml:space="preserve">presents the detailed enquiry questions sent to jurisdictional WHS and worker’ compensation agencies, the AIOH, and academic experts. Stakeholders provided written responses to these enquiry questions, with follow-up meetings facilitated as required. </w:t>
      </w:r>
    </w:p>
    <w:p w14:paraId="32DC3FBF" w14:textId="67F2286D" w:rsidR="00A40831" w:rsidRDefault="00A40831" w:rsidP="00144BE5">
      <w:pPr>
        <w:pStyle w:val="Caption"/>
      </w:pPr>
      <w:bookmarkStart w:id="718" w:name="_Ref216793704"/>
      <w:r>
        <w:t xml:space="preserve">Table </w:t>
      </w:r>
      <w:fldSimple w:instr=" SEQ Table \* ARABIC ">
        <w:r w:rsidR="00A002F4">
          <w:rPr>
            <w:noProof/>
          </w:rPr>
          <w:t>71</w:t>
        </w:r>
      </w:fldSimple>
      <w:bookmarkEnd w:id="718"/>
      <w:r>
        <w:t xml:space="preserve"> - </w:t>
      </w:r>
      <w:r w:rsidRPr="00EA1FF6">
        <w:t>Key enquiry questions sent to stakeholders</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7095"/>
      </w:tblGrid>
      <w:tr w:rsidR="0069163D" w:rsidRPr="00993B73" w14:paraId="6BC77BD2" w14:textId="77777777" w:rsidTr="00412B62">
        <w:trPr>
          <w:cnfStyle w:val="100000000000" w:firstRow="1" w:lastRow="0" w:firstColumn="0" w:lastColumn="0" w:oddVBand="0" w:evenVBand="0" w:oddHBand="0" w:evenHBand="0" w:firstRowFirstColumn="0" w:firstRowLastColumn="0" w:lastRowFirstColumn="0" w:lastRowLastColumn="0"/>
        </w:trPr>
        <w:tc>
          <w:tcPr>
            <w:tcW w:w="19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6C9F1F4B" w14:textId="77777777" w:rsidR="002F48E6" w:rsidRPr="0069163D" w:rsidRDefault="002F48E6" w:rsidP="000867AE">
            <w:pPr>
              <w:pStyle w:val="TableNText"/>
              <w:rPr>
                <w:rFonts w:asciiTheme="minorHAnsi" w:hAnsiTheme="minorHAnsi" w:cstheme="minorHAnsi"/>
                <w:bCs/>
                <w:color w:val="FFFFFF" w:themeColor="background1"/>
                <w:sz w:val="18"/>
                <w:szCs w:val="18"/>
                <w:lang w:eastAsia="en-AU"/>
              </w:rPr>
            </w:pPr>
            <w:r w:rsidRPr="0069163D">
              <w:rPr>
                <w:rFonts w:asciiTheme="minorHAnsi" w:hAnsiTheme="minorHAnsi" w:cstheme="minorHAnsi"/>
                <w:bCs/>
                <w:color w:val="FFFFFF" w:themeColor="background1"/>
                <w:sz w:val="18"/>
                <w:szCs w:val="18"/>
                <w:lang w:eastAsia="en-AU"/>
              </w:rPr>
              <w:t>Stakeholder group</w:t>
            </w:r>
          </w:p>
        </w:tc>
        <w:tc>
          <w:tcPr>
            <w:tcW w:w="7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2F8065A0" w14:textId="77777777" w:rsidR="002F48E6" w:rsidRPr="0069163D" w:rsidRDefault="002F48E6" w:rsidP="000867AE">
            <w:pPr>
              <w:pStyle w:val="TableNText"/>
              <w:rPr>
                <w:rFonts w:asciiTheme="minorHAnsi" w:hAnsiTheme="minorHAnsi" w:cstheme="minorHAnsi"/>
                <w:bCs/>
                <w:color w:val="FFFFFF" w:themeColor="background1"/>
                <w:sz w:val="18"/>
                <w:szCs w:val="18"/>
                <w:lang w:eastAsia="en-AU"/>
              </w:rPr>
            </w:pPr>
            <w:r w:rsidRPr="0069163D">
              <w:rPr>
                <w:rFonts w:asciiTheme="minorHAnsi" w:hAnsiTheme="minorHAnsi" w:cstheme="minorHAnsi"/>
                <w:bCs/>
                <w:color w:val="FFFFFF" w:themeColor="background1"/>
                <w:sz w:val="18"/>
                <w:szCs w:val="18"/>
                <w:lang w:eastAsia="en-AU"/>
              </w:rPr>
              <w:t>Enquiry questions</w:t>
            </w:r>
          </w:p>
        </w:tc>
      </w:tr>
      <w:tr w:rsidR="00412B62" w:rsidRPr="00993B73" w14:paraId="141EDC49" w14:textId="77777777" w:rsidTr="004452F5">
        <w:tc>
          <w:tcPr>
            <w:tcW w:w="1921" w:type="dxa"/>
            <w:tcBorders>
              <w:top w:val="single" w:sz="4" w:space="0" w:color="BFBFBF" w:themeColor="background1" w:themeShade="BF"/>
            </w:tcBorders>
            <w:shd w:val="clear" w:color="auto" w:fill="FFFFFF" w:themeFill="background1"/>
          </w:tcPr>
          <w:p w14:paraId="5EE6192E" w14:textId="77777777" w:rsidR="002F48E6" w:rsidRPr="0069163D" w:rsidRDefault="002F48E6" w:rsidP="000867AE">
            <w:pPr>
              <w:pStyle w:val="TableNText"/>
              <w:rPr>
                <w:rFonts w:asciiTheme="minorHAnsi" w:hAnsiTheme="minorHAnsi" w:cstheme="minorHAnsi"/>
                <w:b/>
                <w:sz w:val="18"/>
                <w:szCs w:val="18"/>
                <w:lang w:eastAsia="en-AU"/>
              </w:rPr>
            </w:pPr>
            <w:r w:rsidRPr="0069163D">
              <w:rPr>
                <w:rFonts w:asciiTheme="minorHAnsi" w:hAnsiTheme="minorHAnsi" w:cstheme="minorHAnsi"/>
                <w:b/>
                <w:sz w:val="18"/>
                <w:szCs w:val="18"/>
                <w:lang w:eastAsia="en-AU"/>
              </w:rPr>
              <w:t>State and Territory WHS and workers’ compensation agencies</w:t>
            </w:r>
          </w:p>
        </w:tc>
        <w:tc>
          <w:tcPr>
            <w:tcW w:w="7095" w:type="dxa"/>
            <w:tcBorders>
              <w:top w:val="single" w:sz="4" w:space="0" w:color="BFBFBF" w:themeColor="background1" w:themeShade="BF"/>
            </w:tcBorders>
            <w:shd w:val="clear" w:color="auto" w:fill="auto"/>
          </w:tcPr>
          <w:p w14:paraId="3C60D726" w14:textId="77777777" w:rsidR="002F48E6" w:rsidRPr="0069163D" w:rsidRDefault="002F48E6" w:rsidP="000867AE">
            <w:pPr>
              <w:pStyle w:val="TableNText"/>
              <w:rPr>
                <w:rFonts w:asciiTheme="minorHAnsi" w:hAnsiTheme="minorHAnsi" w:cstheme="minorHAnsi"/>
                <w:b/>
                <w:sz w:val="18"/>
                <w:szCs w:val="18"/>
                <w:u w:val="single"/>
                <w:lang w:eastAsia="en-AU"/>
              </w:rPr>
            </w:pPr>
            <w:r w:rsidRPr="0069163D">
              <w:rPr>
                <w:rFonts w:asciiTheme="minorHAnsi" w:hAnsiTheme="minorHAnsi" w:cstheme="minorHAnsi"/>
                <w:b/>
                <w:sz w:val="18"/>
                <w:szCs w:val="18"/>
                <w:u w:val="single"/>
                <w:lang w:eastAsia="en-AU"/>
              </w:rPr>
              <w:t>Workplace exposure data</w:t>
            </w:r>
          </w:p>
          <w:p w14:paraId="6A2A93AF" w14:textId="77777777" w:rsidR="002F48E6" w:rsidRPr="0069163D" w:rsidRDefault="002F48E6" w:rsidP="000867AE">
            <w:pPr>
              <w:pStyle w:val="TableNText"/>
              <w:rPr>
                <w:rFonts w:asciiTheme="minorHAnsi" w:hAnsiTheme="minorHAnsi" w:cstheme="minorHAnsi"/>
                <w:b/>
                <w:i/>
                <w:sz w:val="18"/>
                <w:szCs w:val="18"/>
                <w:lang w:eastAsia="en-AU"/>
              </w:rPr>
            </w:pPr>
            <w:r w:rsidRPr="0069163D">
              <w:rPr>
                <w:rFonts w:asciiTheme="minorHAnsi" w:hAnsiTheme="minorHAnsi" w:cstheme="minorHAnsi"/>
                <w:b/>
                <w:i/>
                <w:sz w:val="18"/>
                <w:szCs w:val="18"/>
                <w:lang w:eastAsia="en-AU"/>
              </w:rPr>
              <w:t>Affected businesses and workers</w:t>
            </w:r>
          </w:p>
          <w:p w14:paraId="7E709A54"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1. In which ANZSIC industries are workers exposed to each chemical?</w:t>
            </w:r>
          </w:p>
          <w:p w14:paraId="40DD8F16"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2. What proportion of businesses in each ANZSIC industry would be likely to use each chemical (and therefore potentially expose their workers)?</w:t>
            </w:r>
          </w:p>
          <w:p w14:paraId="0EC72187"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3. What proportion of workers in each ANZSIC industry are likely to be exposed to each chemical?</w:t>
            </w:r>
          </w:p>
          <w:p w14:paraId="085DE60D" w14:textId="77777777" w:rsidR="002F48E6" w:rsidRPr="0069163D" w:rsidRDefault="002F48E6" w:rsidP="000867AE">
            <w:pPr>
              <w:pStyle w:val="TableNText"/>
              <w:rPr>
                <w:rFonts w:asciiTheme="minorHAnsi" w:hAnsiTheme="minorHAnsi" w:cstheme="minorHAnsi"/>
                <w:b/>
                <w:i/>
                <w:sz w:val="18"/>
                <w:szCs w:val="18"/>
                <w:lang w:eastAsia="en-AU"/>
              </w:rPr>
            </w:pPr>
            <w:r w:rsidRPr="0069163D">
              <w:rPr>
                <w:rFonts w:asciiTheme="minorHAnsi" w:hAnsiTheme="minorHAnsi" w:cstheme="minorHAnsi"/>
                <w:b/>
                <w:i/>
                <w:sz w:val="18"/>
                <w:szCs w:val="18"/>
                <w:lang w:eastAsia="en-AU"/>
              </w:rPr>
              <w:t>Workplace exposure levels</w:t>
            </w:r>
          </w:p>
          <w:p w14:paraId="154F486F"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4. Approximately what proportion of businesses in each ANZSIC industry are currently exceeding the:</w:t>
            </w:r>
          </w:p>
          <w:p w14:paraId="1D9A7749"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49DEDE65"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p w14:paraId="0606AF59" w14:textId="77777777" w:rsidR="002F48E6" w:rsidRPr="0069163D" w:rsidRDefault="002F48E6" w:rsidP="000867AE">
            <w:pPr>
              <w:pStyle w:val="TableNText"/>
              <w:rPr>
                <w:rFonts w:asciiTheme="minorHAnsi" w:hAnsiTheme="minorHAnsi" w:cstheme="minorHAnsi"/>
                <w:b/>
                <w:sz w:val="18"/>
                <w:szCs w:val="18"/>
                <w:u w:val="single"/>
              </w:rPr>
            </w:pPr>
            <w:r w:rsidRPr="0069163D">
              <w:rPr>
                <w:rFonts w:asciiTheme="minorHAnsi" w:hAnsiTheme="minorHAnsi" w:cstheme="minorHAnsi"/>
                <w:b/>
                <w:sz w:val="18"/>
                <w:szCs w:val="18"/>
                <w:u w:val="single"/>
              </w:rPr>
              <w:t>Control measures</w:t>
            </w:r>
          </w:p>
          <w:p w14:paraId="498196F7"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5. What types of control measures would be used by businesses to meet the:</w:t>
            </w:r>
          </w:p>
          <w:p w14:paraId="0B894CF6"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2D5A3AEE"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lastRenderedPageBreak/>
              <w:t>Proposed WEL for each of the nine chemicals?</w:t>
            </w:r>
          </w:p>
          <w:p w14:paraId="799393D3"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6. What are the indicative costs of control measures that would be used by the typical business to meet the:</w:t>
            </w:r>
          </w:p>
          <w:p w14:paraId="2D9AFDEA"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2E0BC204"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tc>
      </w:tr>
      <w:tr w:rsidR="00412B62" w:rsidRPr="00993B73" w14:paraId="7C57202B" w14:textId="77777777" w:rsidTr="00412B62">
        <w:tc>
          <w:tcPr>
            <w:tcW w:w="1921" w:type="dxa"/>
            <w:shd w:val="clear" w:color="auto" w:fill="DAE3F8" w:themeFill="accent1" w:themeFillTint="33"/>
          </w:tcPr>
          <w:p w14:paraId="7EF5A545" w14:textId="77777777" w:rsidR="002F48E6" w:rsidRPr="0069163D" w:rsidRDefault="002F48E6" w:rsidP="000867AE">
            <w:pPr>
              <w:pStyle w:val="TableNText"/>
              <w:rPr>
                <w:rFonts w:asciiTheme="minorHAnsi" w:hAnsiTheme="minorHAnsi" w:cstheme="minorHAnsi"/>
                <w:b/>
                <w:sz w:val="18"/>
                <w:szCs w:val="18"/>
                <w:lang w:eastAsia="en-AU"/>
              </w:rPr>
            </w:pPr>
            <w:r w:rsidRPr="0069163D">
              <w:rPr>
                <w:rFonts w:asciiTheme="minorHAnsi" w:hAnsiTheme="minorHAnsi" w:cstheme="minorHAnsi"/>
                <w:b/>
                <w:sz w:val="18"/>
                <w:szCs w:val="18"/>
                <w:lang w:eastAsia="en-AU"/>
              </w:rPr>
              <w:lastRenderedPageBreak/>
              <w:t>AIOH</w:t>
            </w:r>
          </w:p>
        </w:tc>
        <w:tc>
          <w:tcPr>
            <w:tcW w:w="7095" w:type="dxa"/>
            <w:shd w:val="clear" w:color="auto" w:fill="DAE3F8" w:themeFill="accent1" w:themeFillTint="33"/>
          </w:tcPr>
          <w:p w14:paraId="30D25695" w14:textId="77777777" w:rsidR="002F48E6" w:rsidRPr="0069163D" w:rsidRDefault="002F48E6" w:rsidP="000867AE">
            <w:pPr>
              <w:pStyle w:val="TableNText"/>
              <w:rPr>
                <w:rFonts w:asciiTheme="minorHAnsi" w:hAnsiTheme="minorHAnsi" w:cstheme="minorHAnsi"/>
                <w:b/>
                <w:sz w:val="18"/>
                <w:szCs w:val="18"/>
                <w:u w:val="single"/>
                <w:lang w:eastAsia="en-AU"/>
              </w:rPr>
            </w:pPr>
            <w:r w:rsidRPr="0069163D">
              <w:rPr>
                <w:rFonts w:asciiTheme="minorHAnsi" w:hAnsiTheme="minorHAnsi" w:cstheme="minorHAnsi"/>
                <w:b/>
                <w:sz w:val="18"/>
                <w:szCs w:val="18"/>
                <w:u w:val="single"/>
                <w:lang w:eastAsia="en-AU"/>
              </w:rPr>
              <w:t>Workplace exposure data</w:t>
            </w:r>
          </w:p>
          <w:p w14:paraId="10505831" w14:textId="77777777" w:rsidR="002F48E6" w:rsidRPr="0069163D" w:rsidRDefault="002F48E6" w:rsidP="000867AE">
            <w:pPr>
              <w:pStyle w:val="TableNText"/>
              <w:rPr>
                <w:rFonts w:asciiTheme="minorHAnsi" w:hAnsiTheme="minorHAnsi" w:cstheme="minorHAnsi"/>
                <w:b/>
                <w:i/>
                <w:sz w:val="18"/>
                <w:szCs w:val="18"/>
                <w:lang w:eastAsia="en-AU"/>
              </w:rPr>
            </w:pPr>
            <w:r w:rsidRPr="0069163D">
              <w:rPr>
                <w:rFonts w:asciiTheme="minorHAnsi" w:hAnsiTheme="minorHAnsi" w:cstheme="minorHAnsi"/>
                <w:b/>
                <w:i/>
                <w:sz w:val="18"/>
                <w:szCs w:val="18"/>
                <w:lang w:eastAsia="en-AU"/>
              </w:rPr>
              <w:t>Affected businesses and workers</w:t>
            </w:r>
          </w:p>
          <w:p w14:paraId="7553FCE8"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1. In which ANZSIC industries are workers exposed to each chemical?</w:t>
            </w:r>
          </w:p>
          <w:p w14:paraId="321A3775"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2. What proportion of businesses in each ANZSIC industry would be likely to use each chemical (and therefore potentially expose their workers)?</w:t>
            </w:r>
          </w:p>
          <w:p w14:paraId="32CE61FD"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3. What proportion of workers in each ANZSIC industry are likely to be exposed to each chemical?</w:t>
            </w:r>
          </w:p>
          <w:p w14:paraId="329202A0" w14:textId="77777777" w:rsidR="002F48E6" w:rsidRPr="0069163D" w:rsidRDefault="002F48E6" w:rsidP="000867AE">
            <w:pPr>
              <w:pStyle w:val="TableNText"/>
              <w:rPr>
                <w:rFonts w:asciiTheme="minorHAnsi" w:hAnsiTheme="minorHAnsi" w:cstheme="minorHAnsi"/>
                <w:i/>
                <w:sz w:val="18"/>
                <w:szCs w:val="18"/>
                <w:lang w:eastAsia="en-AU"/>
              </w:rPr>
            </w:pPr>
            <w:r w:rsidRPr="0069163D">
              <w:rPr>
                <w:rFonts w:asciiTheme="minorHAnsi" w:hAnsiTheme="minorHAnsi" w:cstheme="minorHAnsi"/>
                <w:i/>
                <w:sz w:val="18"/>
                <w:szCs w:val="18"/>
                <w:lang w:eastAsia="en-AU"/>
              </w:rPr>
              <w:t>Workplace exposure levels</w:t>
            </w:r>
          </w:p>
          <w:p w14:paraId="267B7431"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4. Approximately what proportion of businesses in each ANZSIC industry are currently exceeding the:</w:t>
            </w:r>
          </w:p>
          <w:p w14:paraId="69253AE3"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5451146B"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p w14:paraId="458933AC" w14:textId="77777777" w:rsidR="002F48E6" w:rsidRPr="0069163D" w:rsidRDefault="002F48E6" w:rsidP="000867AE">
            <w:pPr>
              <w:pStyle w:val="TableNText"/>
              <w:rPr>
                <w:rFonts w:asciiTheme="minorHAnsi" w:hAnsiTheme="minorHAnsi" w:cstheme="minorHAnsi"/>
                <w:b/>
                <w:sz w:val="18"/>
                <w:szCs w:val="18"/>
                <w:u w:val="single"/>
              </w:rPr>
            </w:pPr>
            <w:r w:rsidRPr="0069163D">
              <w:rPr>
                <w:rFonts w:asciiTheme="minorHAnsi" w:hAnsiTheme="minorHAnsi" w:cstheme="minorHAnsi"/>
                <w:b/>
                <w:sz w:val="18"/>
                <w:szCs w:val="18"/>
                <w:u w:val="single"/>
              </w:rPr>
              <w:t>Control measures</w:t>
            </w:r>
          </w:p>
          <w:p w14:paraId="3B902F6B"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5. What types of control measures would be used by businesses to meet the:</w:t>
            </w:r>
          </w:p>
          <w:p w14:paraId="2577DEDC"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02AD603D"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p w14:paraId="5051AE1F"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6. What are the indicative costs of control measures that would be used by the typical business to meet the:</w:t>
            </w:r>
          </w:p>
          <w:p w14:paraId="6891AA50"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373FA1BE"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p w14:paraId="1F2CD855" w14:textId="77777777" w:rsidR="002F48E6" w:rsidRPr="0069163D" w:rsidRDefault="002F48E6" w:rsidP="000867AE">
            <w:pPr>
              <w:pStyle w:val="TableNText"/>
              <w:rPr>
                <w:rFonts w:asciiTheme="minorHAnsi" w:hAnsiTheme="minorHAnsi" w:cstheme="minorHAnsi"/>
                <w:b/>
                <w:sz w:val="18"/>
                <w:szCs w:val="18"/>
                <w:u w:val="single"/>
              </w:rPr>
            </w:pPr>
            <w:r w:rsidRPr="0069163D">
              <w:rPr>
                <w:rFonts w:asciiTheme="minorHAnsi" w:hAnsiTheme="minorHAnsi" w:cstheme="minorHAnsi"/>
                <w:b/>
                <w:sz w:val="18"/>
                <w:szCs w:val="18"/>
                <w:u w:val="single"/>
              </w:rPr>
              <w:t>Health impacts</w:t>
            </w:r>
          </w:p>
          <w:p w14:paraId="1673F459"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7. What are the health impacts of exposure to each chemical?</w:t>
            </w:r>
          </w:p>
          <w:p w14:paraId="7971A809"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8. What is the current burden of disease attributable to workplace exposure to each chemical under the current WES?</w:t>
            </w:r>
          </w:p>
          <w:p w14:paraId="184859D5"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 xml:space="preserve">Disability-adjusted life years </w:t>
            </w:r>
          </w:p>
          <w:p w14:paraId="2AAAFDE6"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Medical and other costs</w:t>
            </w:r>
          </w:p>
          <w:p w14:paraId="7CDB18E6"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9. How much would the burden of disease attributable to each chemical be reduced under the proposed WEL? For example, provide an indicative percentage reduction in the expected burden of disease.</w:t>
            </w:r>
          </w:p>
        </w:tc>
      </w:tr>
      <w:tr w:rsidR="0069163D" w:rsidRPr="00993B73" w14:paraId="2DC7F28A" w14:textId="77777777" w:rsidTr="004452F5">
        <w:tc>
          <w:tcPr>
            <w:tcW w:w="1921" w:type="dxa"/>
            <w:shd w:val="clear" w:color="auto" w:fill="FFFFFF" w:themeFill="background1"/>
          </w:tcPr>
          <w:p w14:paraId="357A1220" w14:textId="77777777" w:rsidR="002F48E6" w:rsidRPr="0069163D" w:rsidRDefault="002F48E6" w:rsidP="000867AE">
            <w:pPr>
              <w:pStyle w:val="TableNText"/>
              <w:rPr>
                <w:rFonts w:asciiTheme="minorHAnsi" w:hAnsiTheme="minorHAnsi" w:cstheme="minorHAnsi"/>
                <w:b/>
                <w:sz w:val="18"/>
                <w:szCs w:val="18"/>
                <w:lang w:eastAsia="en-AU"/>
              </w:rPr>
            </w:pPr>
            <w:r w:rsidRPr="0069163D">
              <w:rPr>
                <w:rFonts w:asciiTheme="minorHAnsi" w:hAnsiTheme="minorHAnsi" w:cstheme="minorHAnsi"/>
                <w:b/>
                <w:sz w:val="18"/>
                <w:szCs w:val="18"/>
                <w:lang w:eastAsia="en-AU"/>
              </w:rPr>
              <w:t>Academics and medical experts</w:t>
            </w:r>
          </w:p>
        </w:tc>
        <w:tc>
          <w:tcPr>
            <w:tcW w:w="7095" w:type="dxa"/>
            <w:shd w:val="clear" w:color="auto" w:fill="auto"/>
          </w:tcPr>
          <w:p w14:paraId="27161CE2" w14:textId="77777777" w:rsidR="002F48E6" w:rsidRPr="0069163D" w:rsidRDefault="002F48E6" w:rsidP="000867AE">
            <w:pPr>
              <w:pStyle w:val="TableNText"/>
              <w:rPr>
                <w:rFonts w:asciiTheme="minorHAnsi" w:hAnsiTheme="minorHAnsi" w:cstheme="minorHAnsi"/>
                <w:b/>
                <w:sz w:val="18"/>
                <w:szCs w:val="18"/>
                <w:u w:val="single"/>
                <w:lang w:eastAsia="en-AU"/>
              </w:rPr>
            </w:pPr>
            <w:r w:rsidRPr="0069163D">
              <w:rPr>
                <w:rFonts w:asciiTheme="minorHAnsi" w:hAnsiTheme="minorHAnsi" w:cstheme="minorHAnsi"/>
                <w:b/>
                <w:sz w:val="18"/>
                <w:szCs w:val="18"/>
                <w:u w:val="single"/>
                <w:lang w:eastAsia="en-AU"/>
              </w:rPr>
              <w:t>Workplace exposure data</w:t>
            </w:r>
          </w:p>
          <w:p w14:paraId="165ED9FA" w14:textId="77777777" w:rsidR="002F48E6" w:rsidRPr="0069163D" w:rsidRDefault="002F48E6" w:rsidP="000867AE">
            <w:pPr>
              <w:pStyle w:val="TableNText"/>
              <w:rPr>
                <w:rFonts w:asciiTheme="minorHAnsi" w:hAnsiTheme="minorHAnsi" w:cstheme="minorHAnsi"/>
                <w:b/>
                <w:i/>
                <w:sz w:val="18"/>
                <w:szCs w:val="18"/>
                <w:lang w:eastAsia="en-AU"/>
              </w:rPr>
            </w:pPr>
            <w:r w:rsidRPr="0069163D">
              <w:rPr>
                <w:rFonts w:asciiTheme="minorHAnsi" w:hAnsiTheme="minorHAnsi" w:cstheme="minorHAnsi"/>
                <w:b/>
                <w:i/>
                <w:sz w:val="18"/>
                <w:szCs w:val="18"/>
                <w:lang w:eastAsia="en-AU"/>
              </w:rPr>
              <w:t>Affected businesses and workers</w:t>
            </w:r>
          </w:p>
          <w:p w14:paraId="4FDD176C"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1. In which ANZSIC industries are workers exposed to each chemical?</w:t>
            </w:r>
          </w:p>
          <w:p w14:paraId="6FD86EA3"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2. What proportion of businesses in each ANZSIC industry would be likely to use each chemical (and therefore potentially expose their workers)?</w:t>
            </w:r>
          </w:p>
          <w:p w14:paraId="5D194C56"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3. What proportion of workers in each ANZSIC industry are likely to be exposed to each chemical?</w:t>
            </w:r>
          </w:p>
          <w:p w14:paraId="2E927974" w14:textId="77777777" w:rsidR="002F48E6" w:rsidRPr="0069163D" w:rsidRDefault="002F48E6" w:rsidP="000867AE">
            <w:pPr>
              <w:pStyle w:val="TableNText"/>
              <w:rPr>
                <w:rFonts w:asciiTheme="minorHAnsi" w:hAnsiTheme="minorHAnsi" w:cstheme="minorHAnsi"/>
                <w:b/>
                <w:i/>
                <w:sz w:val="18"/>
                <w:szCs w:val="18"/>
                <w:lang w:eastAsia="en-AU"/>
              </w:rPr>
            </w:pPr>
            <w:r w:rsidRPr="0069163D">
              <w:rPr>
                <w:rFonts w:asciiTheme="minorHAnsi" w:hAnsiTheme="minorHAnsi" w:cstheme="minorHAnsi"/>
                <w:b/>
                <w:i/>
                <w:sz w:val="18"/>
                <w:szCs w:val="18"/>
                <w:lang w:eastAsia="en-AU"/>
              </w:rPr>
              <w:t>Workplace exposure levels</w:t>
            </w:r>
          </w:p>
          <w:p w14:paraId="444A146F"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4. Approximately what proportion of businesses in each ANZSIC industry are currently exceeding the:</w:t>
            </w:r>
          </w:p>
          <w:p w14:paraId="68FEB020"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Current WES for each of the nine chemicals?</w:t>
            </w:r>
          </w:p>
          <w:p w14:paraId="0DB7B89C"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Proposed WEL for each of the nine chemicals?</w:t>
            </w:r>
          </w:p>
          <w:p w14:paraId="5C31EB3F" w14:textId="77777777" w:rsidR="002F48E6" w:rsidRPr="0069163D" w:rsidRDefault="002F48E6" w:rsidP="000867AE">
            <w:pPr>
              <w:pStyle w:val="TableNText"/>
              <w:rPr>
                <w:rFonts w:asciiTheme="minorHAnsi" w:hAnsiTheme="minorHAnsi" w:cstheme="minorHAnsi"/>
                <w:b/>
                <w:sz w:val="18"/>
                <w:szCs w:val="18"/>
                <w:u w:val="single"/>
              </w:rPr>
            </w:pPr>
            <w:r w:rsidRPr="0069163D">
              <w:rPr>
                <w:rFonts w:asciiTheme="minorHAnsi" w:hAnsiTheme="minorHAnsi" w:cstheme="minorHAnsi"/>
                <w:b/>
                <w:sz w:val="18"/>
                <w:szCs w:val="18"/>
                <w:u w:val="single"/>
              </w:rPr>
              <w:t>Health impacts</w:t>
            </w:r>
          </w:p>
          <w:p w14:paraId="021AC108"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5. What are the health impacts of exposure to each chemical?</w:t>
            </w:r>
          </w:p>
          <w:p w14:paraId="576C0E05" w14:textId="77777777" w:rsidR="002F48E6" w:rsidRPr="0069163D" w:rsidRDefault="002F48E6" w:rsidP="000867AE">
            <w:pPr>
              <w:pStyle w:val="TableNText"/>
              <w:rPr>
                <w:rFonts w:asciiTheme="minorHAnsi" w:hAnsiTheme="minorHAnsi" w:cstheme="minorHAnsi"/>
                <w:sz w:val="18"/>
                <w:szCs w:val="18"/>
              </w:rPr>
            </w:pPr>
            <w:r w:rsidRPr="0069163D">
              <w:rPr>
                <w:rFonts w:asciiTheme="minorHAnsi" w:hAnsiTheme="minorHAnsi" w:cstheme="minorHAnsi"/>
                <w:sz w:val="18"/>
                <w:szCs w:val="18"/>
              </w:rPr>
              <w:t>6. What is the current burden of disease attributable to workplace exposure to each chemical under the current WES?</w:t>
            </w:r>
          </w:p>
          <w:p w14:paraId="6762C5E9"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t>Disability-adjusted life years</w:t>
            </w:r>
          </w:p>
          <w:p w14:paraId="534F624C" w14:textId="77777777" w:rsidR="002F48E6" w:rsidRPr="0069163D" w:rsidRDefault="002F48E6" w:rsidP="000867AE">
            <w:pPr>
              <w:pStyle w:val="TableNBullet"/>
              <w:spacing w:line="240" w:lineRule="auto"/>
              <w:rPr>
                <w:rFonts w:asciiTheme="minorHAnsi" w:hAnsiTheme="minorHAnsi" w:cstheme="minorHAnsi"/>
                <w:sz w:val="18"/>
                <w:szCs w:val="18"/>
              </w:rPr>
            </w:pPr>
            <w:r w:rsidRPr="0069163D">
              <w:rPr>
                <w:rFonts w:asciiTheme="minorHAnsi" w:hAnsiTheme="minorHAnsi" w:cstheme="minorHAnsi"/>
                <w:sz w:val="18"/>
                <w:szCs w:val="18"/>
              </w:rPr>
              <w:lastRenderedPageBreak/>
              <w:t>Medical and other costs</w:t>
            </w:r>
          </w:p>
          <w:p w14:paraId="277AD19B" w14:textId="77777777" w:rsidR="002F48E6" w:rsidRPr="0069163D" w:rsidRDefault="002F48E6" w:rsidP="000867AE">
            <w:pPr>
              <w:pStyle w:val="TableNText"/>
              <w:rPr>
                <w:rFonts w:asciiTheme="minorHAnsi" w:hAnsiTheme="minorHAnsi" w:cstheme="minorHAnsi"/>
                <w:sz w:val="18"/>
                <w:szCs w:val="18"/>
                <w:lang w:eastAsia="en-AU"/>
              </w:rPr>
            </w:pPr>
            <w:r w:rsidRPr="0069163D">
              <w:rPr>
                <w:rFonts w:asciiTheme="minorHAnsi" w:hAnsiTheme="minorHAnsi" w:cstheme="minorHAnsi"/>
                <w:sz w:val="18"/>
                <w:szCs w:val="18"/>
              </w:rPr>
              <w:t>7. How much would the burden of disease attributable to each chemical be reduced under the proposed WEL? For example, provide an indicative percentage reduction in the expected burden of disease.</w:t>
            </w:r>
          </w:p>
        </w:tc>
      </w:tr>
    </w:tbl>
    <w:p w14:paraId="59FBFDEE" w14:textId="19CC7D3B" w:rsidR="002F48E6" w:rsidRDefault="002E4D0D" w:rsidP="002E4D0D">
      <w:pPr>
        <w:pStyle w:val="SWAHeading3"/>
        <w:rPr>
          <w:lang w:eastAsia="en-AU"/>
        </w:rPr>
      </w:pPr>
      <w:r>
        <w:rPr>
          <w:lang w:eastAsia="en-AU"/>
        </w:rPr>
        <w:lastRenderedPageBreak/>
        <w:t>Workshop discussion questions</w:t>
      </w:r>
    </w:p>
    <w:p w14:paraId="2F35A594" w14:textId="4876E2FA" w:rsidR="001E0C12" w:rsidRDefault="00A40831" w:rsidP="00144BE5">
      <w:r>
        <w:fldChar w:fldCharType="begin"/>
      </w:r>
      <w:r>
        <w:instrText xml:space="preserve"> REF _Ref216793737 \h </w:instrText>
      </w:r>
      <w:r>
        <w:fldChar w:fldCharType="separate"/>
      </w:r>
      <w:r w:rsidR="00A002F4">
        <w:t xml:space="preserve">Table </w:t>
      </w:r>
      <w:r w:rsidR="00A002F4">
        <w:rPr>
          <w:noProof/>
        </w:rPr>
        <w:t>72</w:t>
      </w:r>
      <w:r>
        <w:fldChar w:fldCharType="end"/>
      </w:r>
      <w:r>
        <w:t xml:space="preserve"> </w:t>
      </w:r>
      <w:r w:rsidR="0087110D" w:rsidRPr="00993B73">
        <w:rPr>
          <w:lang w:eastAsia="en-AU"/>
        </w:rPr>
        <w:t>outlines the discussion questions used during the roundtable discussions with the ACTU and workers groups, as well as industry groups.</w:t>
      </w:r>
    </w:p>
    <w:p w14:paraId="0419D966" w14:textId="3872E1A3" w:rsidR="00A40831" w:rsidRDefault="00A40831" w:rsidP="00144BE5">
      <w:pPr>
        <w:pStyle w:val="Caption"/>
      </w:pPr>
      <w:bookmarkStart w:id="719" w:name="_Ref216793737"/>
      <w:r>
        <w:t xml:space="preserve">Table </w:t>
      </w:r>
      <w:fldSimple w:instr=" SEQ Table \* ARABIC ">
        <w:r w:rsidR="00A002F4">
          <w:rPr>
            <w:noProof/>
          </w:rPr>
          <w:t>72</w:t>
        </w:r>
      </w:fldSimple>
      <w:bookmarkEnd w:id="719"/>
      <w:r>
        <w:t xml:space="preserve"> - </w:t>
      </w:r>
      <w:r w:rsidRPr="00666A80">
        <w:t>Discussion items during workshops and roundtable discussion</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8"/>
        <w:gridCol w:w="7098"/>
      </w:tblGrid>
      <w:tr w:rsidR="0042317C" w:rsidRPr="00993B73" w14:paraId="6CC0A5D7" w14:textId="77777777" w:rsidTr="002F3D55">
        <w:trPr>
          <w:cnfStyle w:val="100000000000" w:firstRow="1" w:lastRow="0" w:firstColumn="0" w:lastColumn="0" w:oddVBand="0" w:evenVBand="0" w:oddHBand="0" w:evenHBand="0" w:firstRowFirstColumn="0" w:firstRowLastColumn="0" w:lastRowFirstColumn="0" w:lastRowLastColumn="0"/>
          <w:tblHeader/>
        </w:trPr>
        <w:tc>
          <w:tcPr>
            <w:tcW w:w="1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78868BC4" w14:textId="77777777" w:rsidR="0042317C" w:rsidRPr="0042317C" w:rsidRDefault="0042317C" w:rsidP="001E0C12">
            <w:pPr>
              <w:pStyle w:val="TableNText"/>
              <w:spacing w:before="0" w:after="0"/>
              <w:rPr>
                <w:rFonts w:asciiTheme="minorHAnsi" w:hAnsiTheme="minorHAnsi" w:cstheme="minorHAnsi"/>
                <w:color w:val="FFFFFF" w:themeColor="background1"/>
                <w:sz w:val="18"/>
                <w:szCs w:val="18"/>
                <w:lang w:eastAsia="en-AU"/>
              </w:rPr>
            </w:pPr>
            <w:r w:rsidRPr="0042317C">
              <w:rPr>
                <w:rFonts w:asciiTheme="minorHAnsi" w:hAnsiTheme="minorHAnsi" w:cstheme="minorHAnsi"/>
                <w:color w:val="FFFFFF" w:themeColor="background1"/>
                <w:sz w:val="18"/>
                <w:szCs w:val="18"/>
                <w:lang w:eastAsia="en-AU"/>
              </w:rPr>
              <w:t>Stakeholder group</w:t>
            </w:r>
          </w:p>
        </w:tc>
        <w:tc>
          <w:tcPr>
            <w:tcW w:w="7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5CACD051" w14:textId="77777777" w:rsidR="0042317C" w:rsidRPr="0042317C" w:rsidRDefault="0042317C" w:rsidP="001E0C12">
            <w:pPr>
              <w:pStyle w:val="TableNText"/>
              <w:spacing w:before="0" w:after="0"/>
              <w:rPr>
                <w:rFonts w:asciiTheme="minorHAnsi" w:hAnsiTheme="minorHAnsi" w:cstheme="minorHAnsi"/>
                <w:color w:val="FFFFFF" w:themeColor="background1"/>
                <w:sz w:val="18"/>
                <w:szCs w:val="18"/>
                <w:lang w:eastAsia="en-AU"/>
              </w:rPr>
            </w:pPr>
            <w:r w:rsidRPr="0042317C">
              <w:rPr>
                <w:rFonts w:asciiTheme="minorHAnsi" w:hAnsiTheme="minorHAnsi" w:cstheme="minorHAnsi"/>
                <w:color w:val="FFFFFF" w:themeColor="background1"/>
                <w:sz w:val="18"/>
                <w:szCs w:val="18"/>
                <w:lang w:eastAsia="en-AU"/>
              </w:rPr>
              <w:t>Discussion items</w:t>
            </w:r>
          </w:p>
        </w:tc>
      </w:tr>
      <w:tr w:rsidR="0042317C" w:rsidRPr="00993B73" w14:paraId="77CC8091" w14:textId="77777777" w:rsidTr="004452F5">
        <w:tc>
          <w:tcPr>
            <w:tcW w:w="1918" w:type="dxa"/>
            <w:tcBorders>
              <w:top w:val="single" w:sz="4" w:space="0" w:color="BFBFBF" w:themeColor="background1" w:themeShade="BF"/>
              <w:bottom w:val="single" w:sz="4" w:space="0" w:color="BFBFBF" w:themeColor="background1" w:themeShade="BF"/>
            </w:tcBorders>
            <w:shd w:val="clear" w:color="auto" w:fill="FFFFFF" w:themeFill="background1"/>
          </w:tcPr>
          <w:p w14:paraId="35A710F5"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ACTU and workers’ groups</w:t>
            </w:r>
          </w:p>
        </w:tc>
        <w:tc>
          <w:tcPr>
            <w:tcW w:w="7098" w:type="dxa"/>
            <w:tcBorders>
              <w:top w:val="single" w:sz="4" w:space="0" w:color="BFBFBF" w:themeColor="background1" w:themeShade="BF"/>
            </w:tcBorders>
            <w:shd w:val="clear" w:color="auto" w:fill="auto"/>
          </w:tcPr>
          <w:p w14:paraId="6542578D"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Workplace exposure</w:t>
            </w:r>
          </w:p>
          <w:p w14:paraId="3D25A02D" w14:textId="77777777" w:rsidR="0042317C" w:rsidRPr="0042317C" w:rsidRDefault="0042317C" w:rsidP="000867AE">
            <w:pPr>
              <w:pStyle w:val="TableNText"/>
              <w:rPr>
                <w:rFonts w:asciiTheme="minorHAnsi" w:hAnsiTheme="minorHAnsi" w:cstheme="minorHAnsi"/>
                <w:i/>
                <w:iCs/>
                <w:sz w:val="18"/>
                <w:szCs w:val="18"/>
                <w:lang w:eastAsia="en-AU"/>
              </w:rPr>
            </w:pPr>
            <w:r w:rsidRPr="0042317C">
              <w:rPr>
                <w:rFonts w:asciiTheme="minorHAnsi" w:hAnsiTheme="minorHAnsi" w:cstheme="minorHAnsi"/>
                <w:i/>
                <w:iCs/>
                <w:sz w:val="18"/>
                <w:szCs w:val="18"/>
                <w:lang w:eastAsia="en-AU"/>
              </w:rPr>
              <w:t>We would appreciate your input to better understand:</w:t>
            </w:r>
          </w:p>
          <w:p w14:paraId="677EC406"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1. The proportion of businesses in each industry that would be likely to use each chemical (and therefore could potentially expose their workers)?</w:t>
            </w:r>
          </w:p>
          <w:p w14:paraId="053306AE"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 xml:space="preserve">2. The proportion of workers in each affected business that could be potentially exposed to each chemical? </w:t>
            </w:r>
          </w:p>
          <w:p w14:paraId="1193F54A"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3. The extent to which the existing WES for each chemical may be exceeded currently?</w:t>
            </w:r>
          </w:p>
          <w:p w14:paraId="7435D492"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Benefits</w:t>
            </w:r>
          </w:p>
          <w:p w14:paraId="5028EA30" w14:textId="77777777" w:rsidR="0042317C" w:rsidRPr="0042317C" w:rsidRDefault="0042317C" w:rsidP="000867AE">
            <w:pPr>
              <w:pStyle w:val="TableNText"/>
              <w:rPr>
                <w:rFonts w:asciiTheme="minorHAnsi" w:hAnsiTheme="minorHAnsi" w:cstheme="minorHAnsi"/>
                <w:i/>
                <w:iCs/>
                <w:sz w:val="18"/>
                <w:szCs w:val="18"/>
                <w:lang w:eastAsia="en-AU"/>
              </w:rPr>
            </w:pPr>
            <w:r w:rsidRPr="0042317C">
              <w:rPr>
                <w:rFonts w:asciiTheme="minorHAnsi" w:hAnsiTheme="minorHAnsi" w:cstheme="minorHAnsi"/>
                <w:i/>
                <w:iCs/>
                <w:sz w:val="18"/>
                <w:szCs w:val="18"/>
                <w:lang w:eastAsia="en-AU"/>
              </w:rPr>
              <w:t>We would appreciate your input to better understand:</w:t>
            </w:r>
          </w:p>
          <w:p w14:paraId="4CAD04BC"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4. Which of the nine chemicals you are most concerned about, with regards to their impacts on workers?</w:t>
            </w:r>
          </w:p>
          <w:p w14:paraId="249B7D36"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5. Are there any other impacts (direct or indirect) that should be considered (qualitatively or quantitatively) within the impact analysis?</w:t>
            </w:r>
          </w:p>
          <w:p w14:paraId="7C1F3D15"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6. To what extent are the proposed WEL changes expected to reduce the impacts of occupational disease on workers? To what extent will the recent ban on engineered stone reduce these impacts?</w:t>
            </w:r>
          </w:p>
          <w:p w14:paraId="55773EDF"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7. Are there additional studies or research available that would inform the benefits of the proposed WEL reforms?</w:t>
            </w:r>
          </w:p>
          <w:p w14:paraId="5AB3CEBF"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Control measures</w:t>
            </w:r>
          </w:p>
          <w:p w14:paraId="3F0F5825" w14:textId="77777777" w:rsidR="0042317C" w:rsidRPr="0042317C" w:rsidRDefault="0042317C" w:rsidP="000867AE">
            <w:pPr>
              <w:pStyle w:val="TableNText"/>
              <w:rPr>
                <w:rFonts w:asciiTheme="minorHAnsi" w:hAnsiTheme="minorHAnsi" w:cstheme="minorHAnsi"/>
                <w:i/>
                <w:iCs/>
                <w:sz w:val="18"/>
                <w:szCs w:val="18"/>
                <w:lang w:eastAsia="en-AU"/>
              </w:rPr>
            </w:pPr>
            <w:r w:rsidRPr="0042317C">
              <w:rPr>
                <w:rFonts w:asciiTheme="minorHAnsi" w:hAnsiTheme="minorHAnsi" w:cstheme="minorHAnsi"/>
                <w:i/>
                <w:iCs/>
                <w:sz w:val="18"/>
                <w:szCs w:val="18"/>
                <w:lang w:eastAsia="en-AU"/>
              </w:rPr>
              <w:t>We would appreciate your input to better understand:</w:t>
            </w:r>
          </w:p>
          <w:p w14:paraId="4AB5465A"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8. The types of control measures used by businesses to meet:</w:t>
            </w:r>
          </w:p>
          <w:p w14:paraId="2758CC67" w14:textId="77777777" w:rsidR="0042317C" w:rsidRPr="0042317C" w:rsidRDefault="0042317C" w:rsidP="00A2768E">
            <w:pPr>
              <w:pStyle w:val="TableNText"/>
              <w:numPr>
                <w:ilvl w:val="0"/>
                <w:numId w:val="144"/>
              </w:numPr>
              <w:rPr>
                <w:rFonts w:asciiTheme="minorHAnsi" w:hAnsiTheme="minorHAnsi" w:cstheme="minorHAnsi"/>
                <w:sz w:val="18"/>
                <w:szCs w:val="18"/>
                <w:lang w:eastAsia="en-AU"/>
              </w:rPr>
            </w:pPr>
            <w:r w:rsidRPr="0042317C">
              <w:rPr>
                <w:rFonts w:asciiTheme="minorHAnsi" w:hAnsiTheme="minorHAnsi" w:cstheme="minorHAnsi"/>
                <w:sz w:val="18"/>
                <w:szCs w:val="18"/>
                <w:lang w:eastAsia="en-AU"/>
              </w:rPr>
              <w:t>Current WES for each of the nine chemicals?</w:t>
            </w:r>
          </w:p>
          <w:p w14:paraId="14A65FDD" w14:textId="77777777" w:rsidR="0042317C" w:rsidRPr="0042317C" w:rsidRDefault="0042317C" w:rsidP="00A2768E">
            <w:pPr>
              <w:pStyle w:val="TableNText"/>
              <w:numPr>
                <w:ilvl w:val="0"/>
                <w:numId w:val="144"/>
              </w:numPr>
              <w:rPr>
                <w:rFonts w:asciiTheme="minorHAnsi" w:hAnsiTheme="minorHAnsi" w:cstheme="minorHAnsi"/>
                <w:sz w:val="18"/>
                <w:szCs w:val="18"/>
                <w:lang w:eastAsia="en-AU"/>
              </w:rPr>
            </w:pPr>
            <w:r w:rsidRPr="0042317C">
              <w:rPr>
                <w:rFonts w:asciiTheme="minorHAnsi" w:hAnsiTheme="minorHAnsi" w:cstheme="minorHAnsi"/>
                <w:sz w:val="18"/>
                <w:szCs w:val="18"/>
                <w:lang w:eastAsia="en-AU"/>
              </w:rPr>
              <w:t>Proposed WEL for each of the nine chemicals?</w:t>
            </w:r>
          </w:p>
          <w:p w14:paraId="4DB86FF6"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9. The indicative costs of control measures used by the typical business to meet:</w:t>
            </w:r>
          </w:p>
          <w:p w14:paraId="37ABFF91" w14:textId="77777777" w:rsidR="0042317C" w:rsidRPr="0042317C" w:rsidRDefault="0042317C" w:rsidP="00A2768E">
            <w:pPr>
              <w:pStyle w:val="TableNText"/>
              <w:numPr>
                <w:ilvl w:val="0"/>
                <w:numId w:val="143"/>
              </w:numPr>
              <w:rPr>
                <w:rFonts w:asciiTheme="minorHAnsi" w:hAnsiTheme="minorHAnsi" w:cstheme="minorHAnsi"/>
                <w:sz w:val="18"/>
                <w:szCs w:val="18"/>
                <w:lang w:eastAsia="en-AU"/>
              </w:rPr>
            </w:pPr>
            <w:r w:rsidRPr="0042317C">
              <w:rPr>
                <w:rFonts w:asciiTheme="minorHAnsi" w:hAnsiTheme="minorHAnsi" w:cstheme="minorHAnsi"/>
                <w:sz w:val="18"/>
                <w:szCs w:val="18"/>
                <w:lang w:eastAsia="en-AU"/>
              </w:rPr>
              <w:t>Current WES for each of the nine chemicals?</w:t>
            </w:r>
          </w:p>
          <w:p w14:paraId="5C78374A" w14:textId="77777777" w:rsidR="0042317C" w:rsidRPr="0042317C" w:rsidRDefault="0042317C" w:rsidP="00A2768E">
            <w:pPr>
              <w:pStyle w:val="TableNText"/>
              <w:numPr>
                <w:ilvl w:val="0"/>
                <w:numId w:val="143"/>
              </w:numPr>
              <w:rPr>
                <w:rFonts w:asciiTheme="minorHAnsi" w:hAnsiTheme="minorHAnsi" w:cstheme="minorHAnsi"/>
                <w:sz w:val="18"/>
                <w:szCs w:val="18"/>
                <w:lang w:eastAsia="en-AU"/>
              </w:rPr>
            </w:pPr>
            <w:r w:rsidRPr="0042317C">
              <w:rPr>
                <w:rFonts w:asciiTheme="minorHAnsi" w:hAnsiTheme="minorHAnsi" w:cstheme="minorHAnsi"/>
                <w:sz w:val="18"/>
                <w:szCs w:val="18"/>
                <w:lang w:eastAsia="en-AU"/>
              </w:rPr>
              <w:t>Proposed WEL for each of the nine chemicals?</w:t>
            </w:r>
          </w:p>
          <w:p w14:paraId="0AEDF504"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Other impacts</w:t>
            </w:r>
          </w:p>
          <w:p w14:paraId="65DD59D7"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10. Would any industries or activities be likely to be restricted or cease to operate as a result of the proposed WEL changes?</w:t>
            </w:r>
          </w:p>
        </w:tc>
      </w:tr>
      <w:tr w:rsidR="0042317C" w:rsidRPr="00993B73" w14:paraId="682A4FD8" w14:textId="77777777" w:rsidTr="001E0C12">
        <w:trPr>
          <w:trHeight w:val="20"/>
        </w:trPr>
        <w:tc>
          <w:tcPr>
            <w:tcW w:w="19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B6D375A" w14:textId="77777777" w:rsidR="0042317C" w:rsidRPr="0042317C" w:rsidRDefault="0042317C" w:rsidP="000867AE">
            <w:pPr>
              <w:pStyle w:val="TableNText"/>
              <w:rPr>
                <w:rFonts w:asciiTheme="minorHAnsi" w:hAnsiTheme="minorHAnsi" w:cstheme="minorHAnsi"/>
                <w:b/>
                <w:color w:val="E7E6E6" w:themeColor="background2"/>
                <w:sz w:val="18"/>
                <w:szCs w:val="18"/>
                <w:lang w:eastAsia="en-AU"/>
              </w:rPr>
            </w:pPr>
            <w:r w:rsidRPr="0042317C">
              <w:rPr>
                <w:rFonts w:asciiTheme="minorHAnsi" w:hAnsiTheme="minorHAnsi" w:cstheme="minorHAnsi"/>
                <w:b/>
                <w:sz w:val="18"/>
                <w:szCs w:val="18"/>
                <w:lang w:eastAsia="en-AU"/>
              </w:rPr>
              <w:t>Industry groups</w:t>
            </w:r>
          </w:p>
        </w:tc>
        <w:tc>
          <w:tcPr>
            <w:tcW w:w="7098" w:type="dxa"/>
            <w:tcBorders>
              <w:left w:val="single" w:sz="4" w:space="0" w:color="BFBFBF" w:themeColor="background1" w:themeShade="BF"/>
            </w:tcBorders>
            <w:shd w:val="clear" w:color="auto" w:fill="DAE3F8" w:themeFill="accent1" w:themeFillTint="33"/>
          </w:tcPr>
          <w:p w14:paraId="27F1817E"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Workshop 1: Titanium Dioxide</w:t>
            </w:r>
          </w:p>
          <w:p w14:paraId="770173BF"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Affected industries</w:t>
            </w:r>
          </w:p>
          <w:p w14:paraId="0DC25057"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1. In which ANZSIC industries are workers exposed to titanium dioxide (nanoscale and pigmentary)?</w:t>
            </w:r>
          </w:p>
          <w:p w14:paraId="7290C716" w14:textId="77777777" w:rsidR="0042317C" w:rsidRPr="0042317C" w:rsidRDefault="0042317C" w:rsidP="00A2768E">
            <w:pPr>
              <w:pStyle w:val="TableNBullet"/>
              <w:numPr>
                <w:ilvl w:val="0"/>
                <w:numId w:val="145"/>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businesses in each ANZSIC industry would be likely to use titanium dioxide (nanoscale and pigmentary) and therefore potentially expose their workers?</w:t>
            </w:r>
          </w:p>
          <w:p w14:paraId="37327AA6" w14:textId="77777777" w:rsidR="0042317C" w:rsidRPr="0042317C" w:rsidRDefault="0042317C" w:rsidP="00A2768E">
            <w:pPr>
              <w:pStyle w:val="TableNBullet"/>
              <w:numPr>
                <w:ilvl w:val="0"/>
                <w:numId w:val="145"/>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workers in the businesses using titanium dioxide (in the ANZSIC industry) could potentially be exposed to each of the nine chemicals?</w:t>
            </w:r>
          </w:p>
          <w:p w14:paraId="2697FC43"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lastRenderedPageBreak/>
              <w:t>Costs to businesses</w:t>
            </w:r>
          </w:p>
          <w:p w14:paraId="2FB55488"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2. Considering the hierarchy of controls, relative to the current operating environment (and workplace exposure standard):</w:t>
            </w:r>
          </w:p>
          <w:p w14:paraId="5A78B61A" w14:textId="77777777" w:rsidR="0042317C" w:rsidRPr="0042317C" w:rsidRDefault="0042317C" w:rsidP="00A2768E">
            <w:pPr>
              <w:pStyle w:val="TableNBullet"/>
              <w:numPr>
                <w:ilvl w:val="0"/>
                <w:numId w:val="146"/>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controls are used to manage exposure under the current WES?</w:t>
            </w:r>
          </w:p>
          <w:p w14:paraId="63EEF556" w14:textId="77777777" w:rsidR="0042317C" w:rsidRPr="0042317C" w:rsidRDefault="0042317C" w:rsidP="00A2768E">
            <w:pPr>
              <w:pStyle w:val="TableNBullet"/>
              <w:numPr>
                <w:ilvl w:val="0"/>
                <w:numId w:val="146"/>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changes or additions to control measures would business need to implement to comply with the proposed WEL changes?</w:t>
            </w:r>
          </w:p>
          <w:p w14:paraId="6146C1AD" w14:textId="77777777" w:rsidR="0042317C" w:rsidRPr="0042317C" w:rsidRDefault="0042317C" w:rsidP="00A2768E">
            <w:pPr>
              <w:pStyle w:val="TableNBullet"/>
              <w:numPr>
                <w:ilvl w:val="0"/>
                <w:numId w:val="146"/>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are the approximate additional costs to business of implementing these control measures, both upfront and ongoing?</w:t>
            </w:r>
          </w:p>
          <w:p w14:paraId="7280F717"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Broader impacts</w:t>
            </w:r>
          </w:p>
          <w:p w14:paraId="5894271D"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3. Are there any broader impacts on industry?</w:t>
            </w:r>
          </w:p>
          <w:p w14:paraId="46AD63D1" w14:textId="77777777" w:rsidR="0042317C" w:rsidRPr="0042317C" w:rsidRDefault="0042317C" w:rsidP="00A2768E">
            <w:pPr>
              <w:pStyle w:val="TableNBullet"/>
              <w:numPr>
                <w:ilvl w:val="0"/>
                <w:numId w:val="147"/>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certain activities be restricted? If so, why?</w:t>
            </w:r>
          </w:p>
          <w:p w14:paraId="04DB326E" w14:textId="77777777" w:rsidR="0042317C" w:rsidRPr="0042317C" w:rsidRDefault="0042317C" w:rsidP="00A2768E">
            <w:pPr>
              <w:pStyle w:val="TableNBullet"/>
              <w:numPr>
                <w:ilvl w:val="0"/>
                <w:numId w:val="147"/>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any businesses cease to operate? If so, why?</w:t>
            </w:r>
          </w:p>
        </w:tc>
      </w:tr>
      <w:tr w:rsidR="0042317C" w:rsidRPr="00993B73" w14:paraId="122C42F9" w14:textId="77777777" w:rsidTr="001E0C12">
        <w:trPr>
          <w:trHeight w:val="20"/>
        </w:trPr>
        <w:tc>
          <w:tcPr>
            <w:tcW w:w="19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A45FFEA" w14:textId="77777777" w:rsidR="0042317C" w:rsidRPr="008D3863" w:rsidRDefault="0042317C" w:rsidP="000867AE">
            <w:pPr>
              <w:pStyle w:val="TableNText"/>
              <w:rPr>
                <w:rFonts w:asciiTheme="minorHAnsi" w:hAnsiTheme="minorHAnsi" w:cstheme="minorHAnsi"/>
                <w:sz w:val="18"/>
                <w:szCs w:val="18"/>
                <w:lang w:eastAsia="en-AU"/>
              </w:rPr>
            </w:pPr>
          </w:p>
        </w:tc>
        <w:tc>
          <w:tcPr>
            <w:tcW w:w="7098" w:type="dxa"/>
            <w:tcBorders>
              <w:left w:val="single" w:sz="4" w:space="0" w:color="BFBFBF" w:themeColor="background1" w:themeShade="BF"/>
            </w:tcBorders>
            <w:shd w:val="clear" w:color="auto" w:fill="DAE3F8" w:themeFill="accent1" w:themeFillTint="33"/>
          </w:tcPr>
          <w:p w14:paraId="2A7783CF" w14:textId="77777777"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Workshop 2: Formaldehyde</w:t>
            </w:r>
          </w:p>
          <w:p w14:paraId="460860D5"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Affected industries</w:t>
            </w:r>
          </w:p>
          <w:p w14:paraId="4A77B3E7"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1. In which ANZSIC industries are workers exposed to formaldehyde?</w:t>
            </w:r>
          </w:p>
          <w:p w14:paraId="6D3D8DAA" w14:textId="77777777" w:rsidR="0042317C" w:rsidRPr="0042317C" w:rsidRDefault="0042317C" w:rsidP="00A2768E">
            <w:pPr>
              <w:pStyle w:val="TableNBullet"/>
              <w:numPr>
                <w:ilvl w:val="0"/>
                <w:numId w:val="148"/>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businesses in each ANZSIC industry would be likely to use formaldehyde and therefore potentially expose their workers?</w:t>
            </w:r>
          </w:p>
          <w:p w14:paraId="6D70B069" w14:textId="77777777" w:rsidR="0042317C" w:rsidRPr="0042317C" w:rsidRDefault="0042317C" w:rsidP="00A2768E">
            <w:pPr>
              <w:pStyle w:val="TableNBullet"/>
              <w:numPr>
                <w:ilvl w:val="0"/>
                <w:numId w:val="148"/>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workers in the businesses using formaldehyde (in the ANZSIC industry) could potentially be exposed to formaldehyde?</w:t>
            </w:r>
          </w:p>
          <w:p w14:paraId="172C9D84" w14:textId="77777777" w:rsidR="0042317C" w:rsidRPr="0042317C" w:rsidRDefault="0042317C" w:rsidP="00A2768E">
            <w:pPr>
              <w:pStyle w:val="TableNBullet"/>
              <w:numPr>
                <w:ilvl w:val="0"/>
                <w:numId w:val="148"/>
              </w:numPr>
              <w:spacing w:line="240" w:lineRule="auto"/>
              <w:rPr>
                <w:rFonts w:asciiTheme="minorHAnsi" w:hAnsiTheme="minorHAnsi" w:cstheme="minorHAnsi"/>
                <w:sz w:val="18"/>
                <w:szCs w:val="18"/>
              </w:rPr>
            </w:pPr>
            <w:r w:rsidRPr="0042317C">
              <w:rPr>
                <w:rFonts w:asciiTheme="minorHAnsi" w:hAnsiTheme="minorHAnsi" w:cstheme="minorHAnsi"/>
                <w:sz w:val="18"/>
                <w:szCs w:val="18"/>
              </w:rPr>
              <w:t>Which of these industries are expected to be most significantly affected by the proposed WEL changes to formaldehyde?</w:t>
            </w:r>
          </w:p>
          <w:p w14:paraId="25A37DB0"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Costs to businesses</w:t>
            </w:r>
          </w:p>
          <w:p w14:paraId="0C198D47"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2. Considering the hierarchy of controls, relative to the current operating environment (and workplace exposure standard):</w:t>
            </w:r>
          </w:p>
          <w:p w14:paraId="4B4D8315" w14:textId="77777777" w:rsidR="0042317C" w:rsidRPr="0042317C" w:rsidRDefault="0042317C" w:rsidP="00A2768E">
            <w:pPr>
              <w:pStyle w:val="TableNBullet"/>
              <w:numPr>
                <w:ilvl w:val="0"/>
                <w:numId w:val="149"/>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controls are used to manage exposure under the current WES?</w:t>
            </w:r>
          </w:p>
          <w:p w14:paraId="77AA8F7F" w14:textId="77777777" w:rsidR="0042317C" w:rsidRPr="0042317C" w:rsidRDefault="0042317C" w:rsidP="00A2768E">
            <w:pPr>
              <w:pStyle w:val="TableNBullet"/>
              <w:numPr>
                <w:ilvl w:val="0"/>
                <w:numId w:val="149"/>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changes or additions to control measures would businesses need to implement to comply with the proposed WEL changes?</w:t>
            </w:r>
          </w:p>
          <w:p w14:paraId="654FF74A" w14:textId="77777777" w:rsidR="0042317C" w:rsidRPr="0042317C" w:rsidRDefault="0042317C" w:rsidP="00A2768E">
            <w:pPr>
              <w:pStyle w:val="TableNBullet"/>
              <w:numPr>
                <w:ilvl w:val="0"/>
                <w:numId w:val="149"/>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are the approximate additional costs to business of implementing these control measures, both upfront and ongoing?</w:t>
            </w:r>
          </w:p>
          <w:p w14:paraId="47CED156"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Broader impacts</w:t>
            </w:r>
          </w:p>
          <w:p w14:paraId="6441A8F5" w14:textId="77777777" w:rsidR="0042317C" w:rsidRPr="0042317C" w:rsidRDefault="0042317C" w:rsidP="000867AE">
            <w:pPr>
              <w:pStyle w:val="TableNBullet"/>
              <w:numPr>
                <w:ilvl w:val="0"/>
                <w:numId w:val="0"/>
              </w:numPr>
              <w:ind w:left="360" w:hanging="360"/>
              <w:rPr>
                <w:rFonts w:asciiTheme="minorHAnsi" w:hAnsiTheme="minorHAnsi" w:cstheme="minorHAnsi"/>
                <w:sz w:val="18"/>
                <w:szCs w:val="18"/>
              </w:rPr>
            </w:pPr>
            <w:r w:rsidRPr="0042317C">
              <w:rPr>
                <w:rFonts w:asciiTheme="minorHAnsi" w:hAnsiTheme="minorHAnsi" w:cstheme="minorHAnsi"/>
                <w:sz w:val="18"/>
                <w:szCs w:val="18"/>
              </w:rPr>
              <w:t>3. Are there any broader impacts on industry?</w:t>
            </w:r>
          </w:p>
          <w:p w14:paraId="45FB9B3E" w14:textId="77777777" w:rsidR="0042317C" w:rsidRPr="0042317C" w:rsidRDefault="0042317C" w:rsidP="00A2768E">
            <w:pPr>
              <w:pStyle w:val="TableNBullet"/>
              <w:numPr>
                <w:ilvl w:val="0"/>
                <w:numId w:val="150"/>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certain activities be restricted? If so, why?</w:t>
            </w:r>
          </w:p>
          <w:p w14:paraId="607F6400" w14:textId="77777777" w:rsidR="0042317C" w:rsidRPr="0042317C" w:rsidRDefault="0042317C" w:rsidP="00A2768E">
            <w:pPr>
              <w:pStyle w:val="TableNBullet"/>
              <w:numPr>
                <w:ilvl w:val="0"/>
                <w:numId w:val="150"/>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any businesses cease to operate? If so, why?</w:t>
            </w:r>
          </w:p>
        </w:tc>
      </w:tr>
      <w:tr w:rsidR="0042317C" w:rsidRPr="00993B73" w14:paraId="6DC60727" w14:textId="77777777" w:rsidTr="001E0C12">
        <w:trPr>
          <w:trHeight w:val="20"/>
        </w:trPr>
        <w:tc>
          <w:tcPr>
            <w:tcW w:w="19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4711FE4F" w14:textId="77777777" w:rsidR="0042317C" w:rsidRPr="008D3863" w:rsidRDefault="0042317C" w:rsidP="000867AE">
            <w:pPr>
              <w:pStyle w:val="TableNText"/>
              <w:rPr>
                <w:rFonts w:asciiTheme="minorHAnsi" w:hAnsiTheme="minorHAnsi" w:cstheme="minorHAnsi"/>
                <w:sz w:val="18"/>
                <w:szCs w:val="18"/>
                <w:lang w:eastAsia="en-AU"/>
              </w:rPr>
            </w:pPr>
          </w:p>
        </w:tc>
        <w:tc>
          <w:tcPr>
            <w:tcW w:w="7098" w:type="dxa"/>
            <w:tcBorders>
              <w:left w:val="single" w:sz="4" w:space="0" w:color="BFBFBF" w:themeColor="background1" w:themeShade="BF"/>
            </w:tcBorders>
            <w:shd w:val="clear" w:color="auto" w:fill="DAE3F8" w:themeFill="accent1" w:themeFillTint="33"/>
          </w:tcPr>
          <w:p w14:paraId="1855EADA" w14:textId="7572B6E2" w:rsidR="0042317C" w:rsidRPr="0042317C" w:rsidRDefault="0042317C" w:rsidP="000867AE">
            <w:pPr>
              <w:pStyle w:val="TableNText"/>
              <w:rPr>
                <w:rFonts w:asciiTheme="minorHAnsi" w:hAnsiTheme="minorHAnsi" w:cstheme="minorHAnsi"/>
                <w:b/>
                <w:sz w:val="18"/>
                <w:szCs w:val="18"/>
                <w:u w:val="single"/>
                <w:lang w:eastAsia="en-AU"/>
              </w:rPr>
            </w:pPr>
            <w:r w:rsidRPr="0042317C">
              <w:rPr>
                <w:rFonts w:asciiTheme="minorHAnsi" w:hAnsiTheme="minorHAnsi" w:cstheme="minorHAnsi"/>
                <w:b/>
                <w:sz w:val="18"/>
                <w:szCs w:val="18"/>
                <w:u w:val="single"/>
                <w:lang w:eastAsia="en-AU"/>
              </w:rPr>
              <w:t xml:space="preserve">Workshop 3: Benzene, Chlorine, Copper, Hydrogen Cyanide, Hydrogen </w:t>
            </w:r>
            <w:r w:rsidR="00EB1D48" w:rsidRPr="0042317C">
              <w:rPr>
                <w:rFonts w:asciiTheme="minorHAnsi" w:hAnsiTheme="minorHAnsi" w:cstheme="minorHAnsi"/>
                <w:b/>
                <w:sz w:val="18"/>
                <w:szCs w:val="18"/>
                <w:u w:val="single"/>
                <w:lang w:eastAsia="en-AU"/>
              </w:rPr>
              <w:t>Sulfide</w:t>
            </w:r>
            <w:r w:rsidRPr="0042317C">
              <w:rPr>
                <w:rFonts w:asciiTheme="minorHAnsi" w:hAnsiTheme="minorHAnsi" w:cstheme="minorHAnsi"/>
                <w:b/>
                <w:sz w:val="18"/>
                <w:szCs w:val="18"/>
                <w:u w:val="single"/>
                <w:lang w:eastAsia="en-AU"/>
              </w:rPr>
              <w:t>, Nitrogen Dioxide</w:t>
            </w:r>
          </w:p>
          <w:p w14:paraId="331F71FB"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Affected industries</w:t>
            </w:r>
          </w:p>
          <w:p w14:paraId="58647A48"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1. In which ANZSIC industries are workers exposed to each of the six chemicals?</w:t>
            </w:r>
          </w:p>
          <w:p w14:paraId="21B3FCAB" w14:textId="77777777" w:rsidR="0042317C" w:rsidRPr="0042317C" w:rsidRDefault="0042317C" w:rsidP="00A2768E">
            <w:pPr>
              <w:pStyle w:val="TableNBullet"/>
              <w:numPr>
                <w:ilvl w:val="0"/>
                <w:numId w:val="151"/>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businesses in each ANZSIC industry would be likely to use the chemical and therefore potentially expose their workers?</w:t>
            </w:r>
          </w:p>
          <w:p w14:paraId="10F0DDCD" w14:textId="77777777" w:rsidR="0042317C" w:rsidRPr="0042317C" w:rsidRDefault="0042317C" w:rsidP="00A2768E">
            <w:pPr>
              <w:pStyle w:val="TableNBullet"/>
              <w:numPr>
                <w:ilvl w:val="0"/>
                <w:numId w:val="151"/>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proportion of workers in the businesses using these chemicals (in the ANZSIC industry) could potentially be exposed to it?</w:t>
            </w:r>
          </w:p>
          <w:p w14:paraId="0379C55D" w14:textId="77777777" w:rsidR="0042317C" w:rsidRPr="0042317C" w:rsidRDefault="0042317C" w:rsidP="00A2768E">
            <w:pPr>
              <w:pStyle w:val="TableNBullet"/>
              <w:numPr>
                <w:ilvl w:val="0"/>
                <w:numId w:val="151"/>
              </w:numPr>
              <w:spacing w:line="240" w:lineRule="auto"/>
              <w:rPr>
                <w:rFonts w:asciiTheme="minorHAnsi" w:hAnsiTheme="minorHAnsi" w:cstheme="minorHAnsi"/>
                <w:sz w:val="18"/>
                <w:szCs w:val="18"/>
              </w:rPr>
            </w:pPr>
            <w:r w:rsidRPr="0042317C">
              <w:rPr>
                <w:rFonts w:asciiTheme="minorHAnsi" w:hAnsiTheme="minorHAnsi" w:cstheme="minorHAnsi"/>
                <w:sz w:val="18"/>
                <w:szCs w:val="18"/>
              </w:rPr>
              <w:t>Which of these industries are expected to be most significantly affected by the proposed WEL changes to the six chemicals?</w:t>
            </w:r>
          </w:p>
          <w:p w14:paraId="719523A0"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Costs to businesses</w:t>
            </w:r>
          </w:p>
          <w:p w14:paraId="01849CBA"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2. Considering the hierarchy of controls, relative to the current operating environment (and workplace exposure standard):</w:t>
            </w:r>
          </w:p>
          <w:p w14:paraId="577D38C0" w14:textId="77777777" w:rsidR="0042317C" w:rsidRPr="0042317C" w:rsidRDefault="0042317C" w:rsidP="00A2768E">
            <w:pPr>
              <w:pStyle w:val="TableNBullet"/>
              <w:numPr>
                <w:ilvl w:val="0"/>
                <w:numId w:val="153"/>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controls are used to manage exposure under the current WES?</w:t>
            </w:r>
          </w:p>
          <w:p w14:paraId="79F70BE4" w14:textId="77777777" w:rsidR="0042317C" w:rsidRPr="0042317C" w:rsidRDefault="0042317C" w:rsidP="00A2768E">
            <w:pPr>
              <w:pStyle w:val="TableNBullet"/>
              <w:numPr>
                <w:ilvl w:val="0"/>
                <w:numId w:val="153"/>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changes or additions to control measures would businesses need to implement to comply with the proposed WEL changes?</w:t>
            </w:r>
          </w:p>
          <w:p w14:paraId="159035F2" w14:textId="77777777" w:rsidR="0042317C" w:rsidRPr="0042317C" w:rsidRDefault="0042317C" w:rsidP="00A2768E">
            <w:pPr>
              <w:pStyle w:val="TableNBullet"/>
              <w:numPr>
                <w:ilvl w:val="0"/>
                <w:numId w:val="153"/>
              </w:numPr>
              <w:spacing w:line="240" w:lineRule="auto"/>
              <w:rPr>
                <w:rFonts w:asciiTheme="minorHAnsi" w:hAnsiTheme="minorHAnsi" w:cstheme="minorHAnsi"/>
                <w:sz w:val="18"/>
                <w:szCs w:val="18"/>
              </w:rPr>
            </w:pPr>
            <w:r w:rsidRPr="0042317C">
              <w:rPr>
                <w:rFonts w:asciiTheme="minorHAnsi" w:hAnsiTheme="minorHAnsi" w:cstheme="minorHAnsi"/>
                <w:sz w:val="18"/>
                <w:szCs w:val="18"/>
              </w:rPr>
              <w:t>What are the approximate additional costs to business of implementing these control measures, both upfront and ongoing?</w:t>
            </w:r>
          </w:p>
          <w:p w14:paraId="5872522A"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Measurability</w:t>
            </w:r>
          </w:p>
          <w:p w14:paraId="34C6F983"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lastRenderedPageBreak/>
              <w:t>3. What equipment and processes are currently used to measure exposure to each of the six chemicals?</w:t>
            </w:r>
          </w:p>
          <w:p w14:paraId="505EF1C7"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4. Would these equipment and processes be sufficient to measure exposure under the proposed WEL? If not, what new equipment and/or processes would need to be implemented? What would be the additional costs to businesses of implementing these?</w:t>
            </w:r>
          </w:p>
          <w:p w14:paraId="656E3B4E"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Broader impacts</w:t>
            </w:r>
          </w:p>
          <w:p w14:paraId="50E5FB46"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5. Would there any broader impacts on industry under the proposed WEL?</w:t>
            </w:r>
          </w:p>
          <w:p w14:paraId="21E58167" w14:textId="77777777" w:rsidR="0042317C" w:rsidRPr="0042317C" w:rsidRDefault="0042317C" w:rsidP="00A2768E">
            <w:pPr>
              <w:pStyle w:val="TableNBullet"/>
              <w:numPr>
                <w:ilvl w:val="0"/>
                <w:numId w:val="152"/>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certain activities be restricted? If so, why?</w:t>
            </w:r>
          </w:p>
          <w:p w14:paraId="7CA1FF24" w14:textId="77777777" w:rsidR="0042317C" w:rsidRPr="0042317C" w:rsidRDefault="0042317C" w:rsidP="00A2768E">
            <w:pPr>
              <w:pStyle w:val="TableNBullet"/>
              <w:numPr>
                <w:ilvl w:val="0"/>
                <w:numId w:val="152"/>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any businesses cease to operate? If so, why?</w:t>
            </w:r>
          </w:p>
        </w:tc>
      </w:tr>
      <w:tr w:rsidR="0042317C" w:rsidRPr="00993B73" w14:paraId="5A858D13" w14:textId="77777777" w:rsidTr="001E0C12">
        <w:trPr>
          <w:trHeight w:val="20"/>
        </w:trPr>
        <w:tc>
          <w:tcPr>
            <w:tcW w:w="19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610D65C4" w14:textId="77777777" w:rsidR="0042317C" w:rsidRPr="008D3863" w:rsidRDefault="0042317C" w:rsidP="000867AE">
            <w:pPr>
              <w:pStyle w:val="TableNText"/>
              <w:rPr>
                <w:rFonts w:asciiTheme="minorHAnsi" w:hAnsiTheme="minorHAnsi" w:cstheme="minorHAnsi"/>
                <w:sz w:val="18"/>
                <w:szCs w:val="18"/>
                <w:lang w:eastAsia="en-AU"/>
              </w:rPr>
            </w:pPr>
          </w:p>
        </w:tc>
        <w:tc>
          <w:tcPr>
            <w:tcW w:w="7098" w:type="dxa"/>
            <w:tcBorders>
              <w:left w:val="single" w:sz="4" w:space="0" w:color="BFBFBF" w:themeColor="background1" w:themeShade="BF"/>
            </w:tcBorders>
            <w:shd w:val="clear" w:color="auto" w:fill="DAE3F8" w:themeFill="accent1" w:themeFillTint="33"/>
          </w:tcPr>
          <w:p w14:paraId="5A06011E"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 xml:space="preserve">Workshop 4: Respirable Crystalline Silica </w:t>
            </w:r>
          </w:p>
          <w:p w14:paraId="3365D1D6"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Affected industries</w:t>
            </w:r>
          </w:p>
          <w:p w14:paraId="642FD4D5" w14:textId="77777777" w:rsidR="0042317C" w:rsidRPr="00EB1D48" w:rsidRDefault="0042317C" w:rsidP="000867AE">
            <w:pPr>
              <w:pStyle w:val="TableNText"/>
              <w:rPr>
                <w:rFonts w:asciiTheme="minorHAnsi" w:hAnsiTheme="minorHAnsi" w:cstheme="minorHAnsi"/>
                <w:sz w:val="18"/>
                <w:szCs w:val="18"/>
                <w:lang w:eastAsia="en-AU"/>
              </w:rPr>
            </w:pPr>
            <w:r w:rsidRPr="00EB1D48">
              <w:rPr>
                <w:rFonts w:asciiTheme="minorHAnsi" w:hAnsiTheme="minorHAnsi" w:cstheme="minorHAnsi"/>
                <w:sz w:val="18"/>
                <w:szCs w:val="18"/>
                <w:lang w:eastAsia="en-AU"/>
              </w:rPr>
              <w:t>1. In which ANZSIC industries are workers exposed to RCS?</w:t>
            </w:r>
          </w:p>
          <w:p w14:paraId="1A04E445" w14:textId="77777777" w:rsidR="0042317C" w:rsidRPr="00EB1D48" w:rsidRDefault="0042317C" w:rsidP="00A2768E">
            <w:pPr>
              <w:pStyle w:val="TableNBullet"/>
              <w:numPr>
                <w:ilvl w:val="0"/>
                <w:numId w:val="156"/>
              </w:numPr>
              <w:spacing w:line="240" w:lineRule="auto"/>
              <w:rPr>
                <w:rFonts w:asciiTheme="minorHAnsi" w:hAnsiTheme="minorHAnsi" w:cstheme="minorHAnsi"/>
                <w:sz w:val="18"/>
                <w:szCs w:val="18"/>
              </w:rPr>
            </w:pPr>
            <w:r w:rsidRPr="00EB1D48">
              <w:rPr>
                <w:rFonts w:asciiTheme="minorHAnsi" w:hAnsiTheme="minorHAnsi" w:cstheme="minorHAnsi"/>
                <w:sz w:val="18"/>
                <w:szCs w:val="18"/>
              </w:rPr>
              <w:t>What proportion of businesses in each ANZSIC industry would be likely to use RCS and therefore potentially expose their workers?</w:t>
            </w:r>
          </w:p>
          <w:p w14:paraId="48B5EC54" w14:textId="77777777" w:rsidR="0042317C" w:rsidRPr="00EB1D48" w:rsidRDefault="0042317C" w:rsidP="00A2768E">
            <w:pPr>
              <w:pStyle w:val="TableNBullet"/>
              <w:numPr>
                <w:ilvl w:val="0"/>
                <w:numId w:val="156"/>
              </w:numPr>
              <w:spacing w:line="240" w:lineRule="auto"/>
              <w:rPr>
                <w:rFonts w:asciiTheme="minorHAnsi" w:hAnsiTheme="minorHAnsi" w:cstheme="minorHAnsi"/>
                <w:sz w:val="18"/>
                <w:szCs w:val="18"/>
              </w:rPr>
            </w:pPr>
            <w:r w:rsidRPr="00EB1D48">
              <w:rPr>
                <w:rFonts w:asciiTheme="minorHAnsi" w:hAnsiTheme="minorHAnsi" w:cstheme="minorHAnsi"/>
                <w:sz w:val="18"/>
                <w:szCs w:val="18"/>
              </w:rPr>
              <w:t>What proportion of workers in the businesses using RCS (in the ANZSIC industry) could potentially be exposed to RCS?</w:t>
            </w:r>
          </w:p>
          <w:p w14:paraId="06383460" w14:textId="77777777" w:rsidR="0042317C" w:rsidRPr="00EB1D48" w:rsidRDefault="0042317C" w:rsidP="000867AE">
            <w:pPr>
              <w:pStyle w:val="TableNText"/>
              <w:rPr>
                <w:rFonts w:asciiTheme="minorHAnsi" w:hAnsiTheme="minorHAnsi" w:cstheme="minorHAnsi"/>
                <w:sz w:val="18"/>
                <w:szCs w:val="18"/>
                <w:lang w:eastAsia="en-AU"/>
              </w:rPr>
            </w:pPr>
            <w:r w:rsidRPr="00EB1D48">
              <w:rPr>
                <w:rFonts w:asciiTheme="minorHAnsi" w:hAnsiTheme="minorHAnsi" w:cstheme="minorHAnsi"/>
                <w:sz w:val="18"/>
                <w:szCs w:val="18"/>
                <w:lang w:eastAsia="en-AU"/>
              </w:rPr>
              <w:t>2. Which of these industries are expected to be most significantly affected by the proposed WEL changes to RCS?</w:t>
            </w:r>
          </w:p>
          <w:p w14:paraId="353E02E5"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Costs to businesses</w:t>
            </w:r>
          </w:p>
          <w:p w14:paraId="2701D1A0" w14:textId="77777777" w:rsidR="0042317C" w:rsidRPr="00EB1D48" w:rsidRDefault="0042317C" w:rsidP="000867AE">
            <w:pPr>
              <w:pStyle w:val="TableNText"/>
              <w:rPr>
                <w:rFonts w:asciiTheme="minorHAnsi" w:hAnsiTheme="minorHAnsi" w:cstheme="minorHAnsi"/>
                <w:sz w:val="18"/>
                <w:szCs w:val="18"/>
                <w:lang w:eastAsia="en-AU"/>
              </w:rPr>
            </w:pPr>
            <w:r w:rsidRPr="00EB1D48">
              <w:rPr>
                <w:rFonts w:asciiTheme="minorHAnsi" w:hAnsiTheme="minorHAnsi" w:cstheme="minorHAnsi"/>
                <w:sz w:val="18"/>
                <w:szCs w:val="18"/>
                <w:lang w:eastAsia="en-AU"/>
              </w:rPr>
              <w:t>3. Considering the hierarchy of controls, relative to the current operating environment (and workplace exposure standard):</w:t>
            </w:r>
          </w:p>
          <w:p w14:paraId="0BD3B714" w14:textId="77777777" w:rsidR="0042317C" w:rsidRPr="00EB1D48" w:rsidRDefault="0042317C" w:rsidP="00A2768E">
            <w:pPr>
              <w:pStyle w:val="TableNBullet"/>
              <w:numPr>
                <w:ilvl w:val="0"/>
                <w:numId w:val="155"/>
              </w:numPr>
              <w:spacing w:line="240" w:lineRule="auto"/>
              <w:rPr>
                <w:rFonts w:asciiTheme="minorHAnsi" w:hAnsiTheme="minorHAnsi" w:cstheme="minorHAnsi"/>
                <w:sz w:val="18"/>
                <w:szCs w:val="18"/>
              </w:rPr>
            </w:pPr>
            <w:r w:rsidRPr="00EB1D48">
              <w:rPr>
                <w:rFonts w:asciiTheme="minorHAnsi" w:hAnsiTheme="minorHAnsi" w:cstheme="minorHAnsi"/>
                <w:sz w:val="18"/>
                <w:szCs w:val="18"/>
              </w:rPr>
              <w:t>What controls are used to manage exposure under the current WES?</w:t>
            </w:r>
          </w:p>
          <w:p w14:paraId="54232679" w14:textId="77777777" w:rsidR="0042317C" w:rsidRPr="0042317C" w:rsidRDefault="0042317C" w:rsidP="00A2768E">
            <w:pPr>
              <w:pStyle w:val="TableNBullet"/>
              <w:numPr>
                <w:ilvl w:val="0"/>
                <w:numId w:val="155"/>
              </w:numPr>
              <w:spacing w:line="240" w:lineRule="auto"/>
              <w:rPr>
                <w:rFonts w:asciiTheme="minorHAnsi" w:hAnsiTheme="minorHAnsi" w:cstheme="minorHAnsi"/>
                <w:sz w:val="18"/>
                <w:szCs w:val="18"/>
              </w:rPr>
            </w:pPr>
            <w:r w:rsidRPr="00EB1D48">
              <w:rPr>
                <w:rFonts w:asciiTheme="minorHAnsi" w:hAnsiTheme="minorHAnsi" w:cstheme="minorHAnsi"/>
                <w:sz w:val="18"/>
                <w:szCs w:val="18"/>
              </w:rPr>
              <w:t xml:space="preserve">What changes or additions to control measures would businesses need to implement to comply with the </w:t>
            </w:r>
            <w:r w:rsidRPr="0042317C">
              <w:rPr>
                <w:rFonts w:asciiTheme="minorHAnsi" w:hAnsiTheme="minorHAnsi" w:cstheme="minorHAnsi"/>
                <w:sz w:val="18"/>
                <w:szCs w:val="18"/>
              </w:rPr>
              <w:t>proposed WEL changes?</w:t>
            </w:r>
          </w:p>
          <w:p w14:paraId="6387D03D"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4. What are the approximate additional costs to business of implementing these control measures, both upfront and ongoing?</w:t>
            </w:r>
          </w:p>
          <w:p w14:paraId="6C4C9DA8"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Measurability</w:t>
            </w:r>
          </w:p>
          <w:p w14:paraId="52492CA4" w14:textId="77777777" w:rsidR="0042317C" w:rsidRPr="00EB1D48" w:rsidRDefault="0042317C" w:rsidP="000867AE">
            <w:pPr>
              <w:pStyle w:val="TableNText"/>
              <w:rPr>
                <w:rFonts w:asciiTheme="minorHAnsi" w:hAnsiTheme="minorHAnsi" w:cstheme="minorHAnsi"/>
                <w:sz w:val="18"/>
                <w:szCs w:val="18"/>
                <w:lang w:eastAsia="en-AU"/>
              </w:rPr>
            </w:pPr>
            <w:r w:rsidRPr="00EB1D48">
              <w:rPr>
                <w:rFonts w:asciiTheme="minorHAnsi" w:hAnsiTheme="minorHAnsi" w:cstheme="minorHAnsi"/>
                <w:sz w:val="18"/>
                <w:szCs w:val="18"/>
                <w:lang w:eastAsia="en-AU"/>
              </w:rPr>
              <w:t>5. What equipment and processes are currently used to measure exposure to RCS?</w:t>
            </w:r>
          </w:p>
          <w:p w14:paraId="5C427E19" w14:textId="77777777" w:rsidR="0042317C" w:rsidRPr="00EB1D48" w:rsidRDefault="0042317C" w:rsidP="000867AE">
            <w:pPr>
              <w:pStyle w:val="TableNText"/>
              <w:rPr>
                <w:rFonts w:asciiTheme="minorHAnsi" w:hAnsiTheme="minorHAnsi" w:cstheme="minorHAnsi"/>
                <w:sz w:val="18"/>
                <w:szCs w:val="18"/>
                <w:lang w:eastAsia="en-AU"/>
              </w:rPr>
            </w:pPr>
            <w:r w:rsidRPr="00EB1D48">
              <w:rPr>
                <w:rFonts w:asciiTheme="minorHAnsi" w:hAnsiTheme="minorHAnsi" w:cstheme="minorHAnsi"/>
                <w:sz w:val="18"/>
                <w:szCs w:val="18"/>
                <w:lang w:eastAsia="en-AU"/>
              </w:rPr>
              <w:t>6. Would this equipment and processes be sufficient to measure RCS exposure under the proposed WEL? If not, what new equipment and/or processes would need to be implemented? What would be the additional costs to businesses of implementing these?</w:t>
            </w:r>
          </w:p>
          <w:p w14:paraId="7DEC5BD8" w14:textId="77777777" w:rsidR="0042317C" w:rsidRPr="0042317C" w:rsidRDefault="0042317C" w:rsidP="000867AE">
            <w:pPr>
              <w:pStyle w:val="TableNText"/>
              <w:rPr>
                <w:rFonts w:asciiTheme="minorHAnsi" w:hAnsiTheme="minorHAnsi" w:cstheme="minorHAnsi"/>
                <w:b/>
                <w:sz w:val="18"/>
                <w:szCs w:val="18"/>
                <w:lang w:eastAsia="en-AU"/>
              </w:rPr>
            </w:pPr>
            <w:r w:rsidRPr="0042317C">
              <w:rPr>
                <w:rFonts w:asciiTheme="minorHAnsi" w:hAnsiTheme="minorHAnsi" w:cstheme="minorHAnsi"/>
                <w:b/>
                <w:sz w:val="18"/>
                <w:szCs w:val="18"/>
                <w:lang w:eastAsia="en-AU"/>
              </w:rPr>
              <w:t>Broader impacts</w:t>
            </w:r>
          </w:p>
          <w:p w14:paraId="6F8C7AB5" w14:textId="77777777" w:rsidR="0042317C" w:rsidRPr="0042317C" w:rsidRDefault="0042317C" w:rsidP="000867AE">
            <w:pPr>
              <w:pStyle w:val="TableNText"/>
              <w:rPr>
                <w:rFonts w:asciiTheme="minorHAnsi" w:hAnsiTheme="minorHAnsi" w:cstheme="minorHAnsi"/>
                <w:sz w:val="18"/>
                <w:szCs w:val="18"/>
                <w:lang w:eastAsia="en-AU"/>
              </w:rPr>
            </w:pPr>
            <w:r w:rsidRPr="0042317C">
              <w:rPr>
                <w:rFonts w:asciiTheme="minorHAnsi" w:hAnsiTheme="minorHAnsi" w:cstheme="minorHAnsi"/>
                <w:sz w:val="18"/>
                <w:szCs w:val="18"/>
                <w:lang w:eastAsia="en-AU"/>
              </w:rPr>
              <w:t>7. Would there any broader impacts on industry under the proposed WEL?</w:t>
            </w:r>
          </w:p>
          <w:p w14:paraId="5AA160E7" w14:textId="2DF2EC1D" w:rsidR="0042317C" w:rsidRPr="0042317C" w:rsidRDefault="0042317C" w:rsidP="00A2768E">
            <w:pPr>
              <w:pStyle w:val="TableNBullet"/>
              <w:numPr>
                <w:ilvl w:val="0"/>
                <w:numId w:val="154"/>
              </w:numPr>
              <w:spacing w:line="240" w:lineRule="auto"/>
              <w:rPr>
                <w:rFonts w:asciiTheme="minorHAnsi" w:hAnsiTheme="minorHAnsi" w:cstheme="minorHAnsi"/>
                <w:sz w:val="18"/>
                <w:szCs w:val="18"/>
              </w:rPr>
            </w:pPr>
            <w:r w:rsidRPr="0042317C">
              <w:rPr>
                <w:rFonts w:asciiTheme="minorHAnsi" w:hAnsiTheme="minorHAnsi" w:cstheme="minorHAnsi"/>
                <w:sz w:val="18"/>
                <w:szCs w:val="18"/>
              </w:rPr>
              <w:t>Would certain activities be restricted? If so, why?</w:t>
            </w:r>
          </w:p>
          <w:p w14:paraId="3B417DD8" w14:textId="77777777" w:rsidR="0042317C" w:rsidRPr="0042317C" w:rsidRDefault="0042317C" w:rsidP="00A2768E">
            <w:pPr>
              <w:pStyle w:val="TableNBullet"/>
              <w:numPr>
                <w:ilvl w:val="0"/>
                <w:numId w:val="154"/>
              </w:numPr>
              <w:spacing w:line="240" w:lineRule="auto"/>
              <w:rPr>
                <w:rFonts w:asciiTheme="minorHAnsi" w:hAnsiTheme="minorHAnsi" w:cstheme="minorHAnsi"/>
                <w:color w:val="E7E6E6" w:themeColor="background2"/>
                <w:sz w:val="18"/>
                <w:szCs w:val="18"/>
              </w:rPr>
            </w:pPr>
            <w:r w:rsidRPr="0042317C">
              <w:rPr>
                <w:rFonts w:asciiTheme="minorHAnsi" w:hAnsiTheme="minorHAnsi" w:cstheme="minorHAnsi"/>
                <w:sz w:val="18"/>
                <w:szCs w:val="18"/>
              </w:rPr>
              <w:t>Would any businesses cease to operate? If so, why?</w:t>
            </w:r>
          </w:p>
        </w:tc>
      </w:tr>
    </w:tbl>
    <w:p w14:paraId="00D9155C" w14:textId="77777777" w:rsidR="009713D7" w:rsidRPr="009713D7" w:rsidRDefault="009713D7" w:rsidP="0087110D">
      <w:pPr>
        <w:pStyle w:val="Paragraph"/>
      </w:pPr>
    </w:p>
    <w:p w14:paraId="165BD061" w14:textId="2985A288" w:rsidR="00431D4E" w:rsidRDefault="001D12C8" w:rsidP="001D12C8">
      <w:pPr>
        <w:pStyle w:val="SWAHeading1"/>
        <w:numPr>
          <w:ilvl w:val="0"/>
          <w:numId w:val="0"/>
        </w:numPr>
        <w:ind w:left="567" w:hanging="567"/>
      </w:pPr>
      <w:bookmarkStart w:id="720" w:name="AppendixF_AffectedBusinssesandWorkers"/>
      <w:bookmarkStart w:id="721" w:name="_Toc219216943"/>
      <w:bookmarkEnd w:id="720"/>
      <w:r>
        <w:lastRenderedPageBreak/>
        <w:t xml:space="preserve">Appendix </w:t>
      </w:r>
      <w:r w:rsidR="00006136">
        <w:t>F</w:t>
      </w:r>
      <w:r w:rsidR="00144056">
        <w:t xml:space="preserve"> </w:t>
      </w:r>
      <w:r>
        <w:t>– Affected businesses and workers</w:t>
      </w:r>
      <w:bookmarkEnd w:id="721"/>
    </w:p>
    <w:p w14:paraId="6D58F050" w14:textId="6F819465" w:rsidR="001D12C8" w:rsidRDefault="001D12C8" w:rsidP="001D12C8">
      <w:pPr>
        <w:pStyle w:val="SWAHeading2"/>
        <w:numPr>
          <w:ilvl w:val="0"/>
          <w:numId w:val="0"/>
        </w:numPr>
      </w:pPr>
      <w:bookmarkStart w:id="722" w:name="_Toc219216944"/>
      <w:r>
        <w:t>Industries affected by the proposed change</w:t>
      </w:r>
      <w:bookmarkEnd w:id="722"/>
    </w:p>
    <w:p w14:paraId="593635ED" w14:textId="048086DD" w:rsidR="00296A42" w:rsidRDefault="00A40831" w:rsidP="00144BE5">
      <w:r>
        <w:rPr>
          <w:lang w:eastAsia="en-AU"/>
        </w:rPr>
        <w:fldChar w:fldCharType="begin"/>
      </w:r>
      <w:r>
        <w:rPr>
          <w:lang w:eastAsia="en-AU"/>
        </w:rPr>
        <w:instrText xml:space="preserve"> REF _Ref216793765 \h </w:instrText>
      </w:r>
      <w:r>
        <w:rPr>
          <w:lang w:eastAsia="en-AU"/>
        </w:rPr>
      </w:r>
      <w:r>
        <w:rPr>
          <w:lang w:eastAsia="en-AU"/>
        </w:rPr>
        <w:fldChar w:fldCharType="separate"/>
      </w:r>
      <w:r w:rsidR="00A002F4">
        <w:t xml:space="preserve">Table </w:t>
      </w:r>
      <w:r w:rsidR="00A002F4">
        <w:rPr>
          <w:noProof/>
        </w:rPr>
        <w:t>73</w:t>
      </w:r>
      <w:r>
        <w:rPr>
          <w:lang w:eastAsia="en-AU"/>
        </w:rPr>
        <w:fldChar w:fldCharType="end"/>
      </w:r>
      <w:r>
        <w:rPr>
          <w:lang w:eastAsia="en-AU"/>
        </w:rPr>
        <w:t xml:space="preserve"> </w:t>
      </w:r>
      <w:r w:rsidR="00F36105" w:rsidRPr="00993B73">
        <w:rPr>
          <w:lang w:eastAsia="en-AU"/>
        </w:rPr>
        <w:t>presents the industries that are expected to be affected by the proposed WEL, for each of the</w:t>
      </w:r>
      <w:r w:rsidR="000A1B2F">
        <w:rPr>
          <w:lang w:eastAsia="en-AU"/>
        </w:rPr>
        <w:t xml:space="preserve"> </w:t>
      </w:r>
      <w:r w:rsidR="00F36105" w:rsidRPr="00993B73">
        <w:rPr>
          <w:lang w:eastAsia="en-AU"/>
        </w:rPr>
        <w:t>chemicals</w:t>
      </w:r>
      <w:r w:rsidR="000A1B2F">
        <w:rPr>
          <w:lang w:eastAsia="en-AU"/>
        </w:rPr>
        <w:t xml:space="preserve"> considered in this Decision RIS</w:t>
      </w:r>
      <w:r w:rsidR="00F36105" w:rsidRPr="00993B73">
        <w:rPr>
          <w:lang w:eastAsia="en-AU"/>
        </w:rPr>
        <w:t>. These industries have been identified through analysis of NPI data</w:t>
      </w:r>
      <w:r w:rsidR="000C1C5F">
        <w:rPr>
          <w:lang w:eastAsia="en-AU"/>
        </w:rPr>
        <w:t xml:space="preserve"> </w:t>
      </w:r>
      <w:sdt>
        <w:sdtPr>
          <w:rPr>
            <w:lang w:eastAsia="en-AU"/>
          </w:rPr>
          <w:id w:val="513352302"/>
          <w:citation/>
        </w:sdtPr>
        <w:sdtEndPr/>
        <w:sdtContent>
          <w:r w:rsidR="004A6BEC">
            <w:rPr>
              <w:lang w:eastAsia="en-AU"/>
            </w:rPr>
            <w:fldChar w:fldCharType="begin"/>
          </w:r>
          <w:r w:rsidR="004A6BEC">
            <w:rPr>
              <w:lang w:eastAsia="en-AU"/>
            </w:rPr>
            <w:instrText xml:space="preserve"> CITATION Aus \l 3081 </w:instrText>
          </w:r>
          <w:r w:rsidR="004A6BEC">
            <w:rPr>
              <w:lang w:eastAsia="en-AU"/>
            </w:rPr>
            <w:fldChar w:fldCharType="separate"/>
          </w:r>
          <w:r w:rsidR="00490B21">
            <w:rPr>
              <w:noProof/>
              <w:lang w:eastAsia="en-AU"/>
            </w:rPr>
            <w:t>(Australian Govenrment Department of Climate Change, Energy, the Environment and Water, 2024)</w:t>
          </w:r>
          <w:r w:rsidR="004A6BEC">
            <w:rPr>
              <w:lang w:eastAsia="en-AU"/>
            </w:rPr>
            <w:fldChar w:fldCharType="end"/>
          </w:r>
        </w:sdtContent>
      </w:sdt>
      <w:r w:rsidR="00F36105" w:rsidRPr="00993B73">
        <w:rPr>
          <w:lang w:eastAsia="en-AU"/>
        </w:rPr>
        <w:t xml:space="preserve"> and stakeholder engagement.</w:t>
      </w:r>
    </w:p>
    <w:p w14:paraId="4FA3F523" w14:textId="284B208F" w:rsidR="00A40831" w:rsidRDefault="00A40831" w:rsidP="00144BE5">
      <w:pPr>
        <w:pStyle w:val="Caption"/>
      </w:pPr>
      <w:bookmarkStart w:id="723" w:name="_Ref216793765"/>
      <w:r>
        <w:t xml:space="preserve">Table </w:t>
      </w:r>
      <w:fldSimple w:instr=" SEQ Table \* ARABIC ">
        <w:r w:rsidR="00A002F4">
          <w:rPr>
            <w:noProof/>
          </w:rPr>
          <w:t>73</w:t>
        </w:r>
      </w:fldSimple>
      <w:bookmarkEnd w:id="723"/>
      <w:r>
        <w:t xml:space="preserve"> - </w:t>
      </w:r>
      <w:r w:rsidRPr="006009E7">
        <w:t>Industries affected by the proposed WEL for the 9 chemicals considered in this Decision RIS</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9"/>
        <w:gridCol w:w="6946"/>
        <w:gridCol w:w="11"/>
      </w:tblGrid>
      <w:tr w:rsidR="00A42368" w:rsidRPr="00993B73" w14:paraId="55F49F7E" w14:textId="77777777" w:rsidTr="002F3D55">
        <w:trPr>
          <w:gridAfter w:val="1"/>
          <w:cnfStyle w:val="100000000000" w:firstRow="1" w:lastRow="0" w:firstColumn="0" w:lastColumn="0" w:oddVBand="0" w:evenVBand="0" w:oddHBand="0" w:evenHBand="0" w:firstRowFirstColumn="0" w:firstRowLastColumn="0" w:lastRowFirstColumn="0" w:lastRowLastColumn="0"/>
          <w:wAfter w:w="11" w:type="dxa"/>
          <w:tblHeader/>
        </w:trPr>
        <w:tc>
          <w:tcPr>
            <w:tcW w:w="2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64CF63D8" w14:textId="77777777" w:rsidR="003F37E7" w:rsidRPr="00A42368" w:rsidRDefault="003F37E7" w:rsidP="000867AE">
            <w:pPr>
              <w:pStyle w:val="TableNText"/>
              <w:rPr>
                <w:rFonts w:asciiTheme="majorHAnsi" w:hAnsiTheme="majorHAnsi" w:cstheme="majorHAnsi"/>
                <w:bCs/>
                <w:color w:val="FFFFFF" w:themeColor="background1"/>
              </w:rPr>
            </w:pPr>
            <w:r w:rsidRPr="00A42368">
              <w:rPr>
                <w:rFonts w:asciiTheme="majorHAnsi" w:hAnsiTheme="majorHAnsi" w:cstheme="majorHAnsi"/>
                <w:bCs/>
                <w:color w:val="FFFFFF" w:themeColor="background1"/>
              </w:rPr>
              <w:t>ANZSIC Division</w:t>
            </w:r>
          </w:p>
        </w:tc>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3365201" w14:textId="77777777" w:rsidR="003F37E7" w:rsidRPr="00A42368" w:rsidRDefault="003F37E7" w:rsidP="000867AE">
            <w:pPr>
              <w:pStyle w:val="TableNText"/>
              <w:rPr>
                <w:rFonts w:asciiTheme="majorHAnsi" w:hAnsiTheme="majorHAnsi" w:cstheme="majorHAnsi"/>
                <w:bCs/>
                <w:color w:val="FFFFFF" w:themeColor="background1"/>
              </w:rPr>
            </w:pPr>
            <w:r w:rsidRPr="00A42368">
              <w:rPr>
                <w:rFonts w:asciiTheme="majorHAnsi" w:hAnsiTheme="majorHAnsi" w:cstheme="majorHAnsi"/>
                <w:bCs/>
                <w:color w:val="FFFFFF" w:themeColor="background1"/>
              </w:rPr>
              <w:t>ANZSIC Industry</w:t>
            </w:r>
          </w:p>
        </w:tc>
      </w:tr>
      <w:tr w:rsidR="00304773" w:rsidRPr="00993B73" w14:paraId="0651B357" w14:textId="77777777" w:rsidTr="00296A42">
        <w:trPr>
          <w:gridAfter w:val="1"/>
          <w:wAfter w:w="11" w:type="dxa"/>
        </w:trPr>
        <w:tc>
          <w:tcPr>
            <w:tcW w:w="2059" w:type="dxa"/>
            <w:tcBorders>
              <w:top w:val="single" w:sz="4" w:space="0" w:color="BFBFBF" w:themeColor="background1" w:themeShade="BF"/>
            </w:tcBorders>
            <w:shd w:val="clear" w:color="auto" w:fill="91ACEC" w:themeFill="accent1" w:themeFillTint="99"/>
          </w:tcPr>
          <w:p w14:paraId="24978848" w14:textId="66B6DB5B" w:rsidR="003F37E7" w:rsidRPr="00A42368" w:rsidRDefault="003F37E7" w:rsidP="000867AE">
            <w:pPr>
              <w:pStyle w:val="TableNText"/>
              <w:rPr>
                <w:rFonts w:asciiTheme="majorHAnsi" w:hAnsiTheme="majorHAnsi" w:cstheme="majorHAnsi"/>
                <w:b/>
                <w:color w:val="E7E6E6" w:themeColor="background2"/>
              </w:rPr>
            </w:pPr>
            <w:r w:rsidRPr="00A42368">
              <w:rPr>
                <w:rFonts w:asciiTheme="majorHAnsi" w:hAnsiTheme="majorHAnsi" w:cstheme="majorHAnsi"/>
                <w:b/>
              </w:rPr>
              <w:t>Benzene</w:t>
            </w:r>
          </w:p>
        </w:tc>
        <w:tc>
          <w:tcPr>
            <w:tcW w:w="6946" w:type="dxa"/>
            <w:tcBorders>
              <w:top w:val="single" w:sz="4" w:space="0" w:color="BFBFBF" w:themeColor="background1" w:themeShade="BF"/>
            </w:tcBorders>
            <w:shd w:val="clear" w:color="auto" w:fill="91ACEC" w:themeFill="accent1" w:themeFillTint="99"/>
          </w:tcPr>
          <w:p w14:paraId="64540506" w14:textId="77777777" w:rsidR="003F37E7" w:rsidRPr="00993B73" w:rsidRDefault="003F37E7" w:rsidP="000867AE">
            <w:pPr>
              <w:pStyle w:val="TableNText"/>
              <w:rPr>
                <w:rFonts w:asciiTheme="majorHAnsi" w:hAnsiTheme="majorHAnsi" w:cstheme="majorHAnsi"/>
                <w:color w:val="E7E6E6" w:themeColor="background2"/>
              </w:rPr>
            </w:pPr>
          </w:p>
        </w:tc>
      </w:tr>
      <w:tr w:rsidR="00304773" w:rsidRPr="00623C30" w14:paraId="6FDBDD1E" w14:textId="77777777" w:rsidTr="004452F5">
        <w:trPr>
          <w:gridAfter w:val="1"/>
          <w:wAfter w:w="11" w:type="dxa"/>
        </w:trPr>
        <w:tc>
          <w:tcPr>
            <w:tcW w:w="2059" w:type="dxa"/>
            <w:shd w:val="clear" w:color="auto" w:fill="auto"/>
          </w:tcPr>
          <w:p w14:paraId="0759C3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B – Mining</w:t>
            </w:r>
          </w:p>
        </w:tc>
        <w:tc>
          <w:tcPr>
            <w:tcW w:w="6946" w:type="dxa"/>
            <w:shd w:val="clear" w:color="auto" w:fill="auto"/>
          </w:tcPr>
          <w:p w14:paraId="19A48CB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0600 - Coal Mining</w:t>
            </w:r>
          </w:p>
          <w:p w14:paraId="58B7759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0700 - Oil and Gas Extraction</w:t>
            </w:r>
          </w:p>
          <w:p w14:paraId="112605C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0801 - Iron Ore Mining</w:t>
            </w:r>
          </w:p>
          <w:p w14:paraId="7AB895C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0802 - Bauxite Mining</w:t>
            </w:r>
          </w:p>
          <w:p w14:paraId="1657087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0803 - Copper Ore Mining</w:t>
            </w:r>
          </w:p>
          <w:p w14:paraId="23ECFCA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0804 - Gold Ore Mining</w:t>
            </w:r>
          </w:p>
          <w:p w14:paraId="55A62FD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0805 - Mineral Sand Mining</w:t>
            </w:r>
          </w:p>
          <w:p w14:paraId="638657B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0806 - Nickel Ore Mining</w:t>
            </w:r>
          </w:p>
          <w:p w14:paraId="33E111E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0807 - Silver-Lead-Zinc Ore Mining</w:t>
            </w:r>
          </w:p>
          <w:p w14:paraId="5C78AAC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0809 - Other Metal Ore Mining</w:t>
            </w:r>
          </w:p>
          <w:p w14:paraId="1C3B6DC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0911 - Gravel and Sand Quarrying</w:t>
            </w:r>
          </w:p>
          <w:p w14:paraId="2EF03A7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0919 - Other Construction Material Mining</w:t>
            </w:r>
          </w:p>
          <w:p w14:paraId="50FF139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0990 - Other Non-Metallic Mineral Mining and Quarrying</w:t>
            </w:r>
          </w:p>
          <w:p w14:paraId="64A02C9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1010 - Exploration</w:t>
            </w:r>
          </w:p>
        </w:tc>
      </w:tr>
      <w:tr w:rsidR="00304773" w:rsidRPr="00623C30" w14:paraId="79CD9491" w14:textId="77777777" w:rsidTr="004452F5">
        <w:trPr>
          <w:gridAfter w:val="1"/>
          <w:wAfter w:w="11" w:type="dxa"/>
        </w:trPr>
        <w:tc>
          <w:tcPr>
            <w:tcW w:w="2059" w:type="dxa"/>
            <w:shd w:val="clear" w:color="auto" w:fill="auto"/>
          </w:tcPr>
          <w:p w14:paraId="60BECB8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1293993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1111 - Meat Processing</w:t>
            </w:r>
          </w:p>
          <w:p w14:paraId="436AC22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1131 - Milk and Cream Processing</w:t>
            </w:r>
          </w:p>
          <w:p w14:paraId="71A6475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1150 - Oil and Fat Manufacturing</w:t>
            </w:r>
          </w:p>
          <w:p w14:paraId="130B251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1199 - Other Food Product Manufacturing n.e.c.</w:t>
            </w:r>
          </w:p>
          <w:p w14:paraId="2D9B2A4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1212 - Beer Manufacturing</w:t>
            </w:r>
          </w:p>
          <w:p w14:paraId="34B23C8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1213 - Spirit Manufacturing</w:t>
            </w:r>
          </w:p>
          <w:p w14:paraId="34C943F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1313 - Synthetic Textile Manufacturing</w:t>
            </w:r>
          </w:p>
          <w:p w14:paraId="284024C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1411 - Log Sawmilling</w:t>
            </w:r>
          </w:p>
          <w:p w14:paraId="3FD0CBC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1494 - Reconstituted Wood Product Manufacturing</w:t>
            </w:r>
          </w:p>
          <w:p w14:paraId="48265C1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1499 - Other Wood Product Manufacturing n.e.c.</w:t>
            </w:r>
          </w:p>
          <w:p w14:paraId="02A7030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1510 - Pulp, Paper and Paperboard Manufacturing</w:t>
            </w:r>
          </w:p>
          <w:p w14:paraId="5C2BA08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1701 - Petroleum Refining and Petroleum Fuel Manufacturing</w:t>
            </w:r>
          </w:p>
          <w:p w14:paraId="10BAEA8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1709 - Other Petroleum and Coal Product Manufacturing</w:t>
            </w:r>
          </w:p>
          <w:p w14:paraId="6DC3714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1811 - Industrial Gas Manufacturing</w:t>
            </w:r>
          </w:p>
          <w:p w14:paraId="7DDE0B9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1812 - Basic Organic Chemical Manufacturing</w:t>
            </w:r>
          </w:p>
          <w:p w14:paraId="4A6F3BF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1813 - Basic Inorganic Chemical Manufacturing</w:t>
            </w:r>
          </w:p>
          <w:p w14:paraId="285BDDF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1821 - Synthetic Resin and Synthetic Rubber Manufacturing</w:t>
            </w:r>
          </w:p>
          <w:p w14:paraId="675F8D9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1829 - Other Basic Polymer Manufacturing</w:t>
            </w:r>
          </w:p>
          <w:p w14:paraId="57C7EEE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1831 - Fertiliser Manufacturing</w:t>
            </w:r>
          </w:p>
          <w:p w14:paraId="2C245F2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1841 - Human Pharmaceutical and Medicinal Product Manufacturing</w:t>
            </w:r>
          </w:p>
          <w:p w14:paraId="0A63D34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1892 - Explosive Manufacturing</w:t>
            </w:r>
          </w:p>
          <w:p w14:paraId="32AC4E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1899 - Other Basic Chemical Product Manufacturing n.e.c.</w:t>
            </w:r>
          </w:p>
          <w:p w14:paraId="17433E8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1911 - Polymer Film and Sheet Packaging Material Manufacturing</w:t>
            </w:r>
          </w:p>
          <w:p w14:paraId="09C280E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1912 - Rigid and Semi-Rigid Polymer Product Manufacturing</w:t>
            </w:r>
          </w:p>
          <w:p w14:paraId="05D72E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1913 - Polymer Foam Product Manufacturing</w:t>
            </w:r>
          </w:p>
          <w:p w14:paraId="2B257A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1914 - Tyre Manufacturing</w:t>
            </w:r>
          </w:p>
          <w:p w14:paraId="57D01B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1915 - Adhesive Manufacturing</w:t>
            </w:r>
          </w:p>
          <w:p w14:paraId="65C1C22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1919 - Other Polymer Product Manufacturing</w:t>
            </w:r>
          </w:p>
          <w:p w14:paraId="55429FB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1920 - Natural Rubber Product Manufacturing</w:t>
            </w:r>
          </w:p>
          <w:p w14:paraId="77F552B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2031 - Cement and Lime Manufacturing</w:t>
            </w:r>
          </w:p>
          <w:p w14:paraId="19733BA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2032 - Plaster Product Manufacturing</w:t>
            </w:r>
          </w:p>
          <w:p w14:paraId="74C360C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2090 - Other Non-Metallic Mineral Product Manufacturing</w:t>
            </w:r>
          </w:p>
          <w:p w14:paraId="0664DBE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2110 - Iron Smelting and Steel Manufacturing</w:t>
            </w:r>
          </w:p>
          <w:p w14:paraId="66561C4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2121 - Iron and Steel Casting</w:t>
            </w:r>
          </w:p>
          <w:p w14:paraId="1088332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2131 - Alumina Production</w:t>
            </w:r>
          </w:p>
          <w:p w14:paraId="541E3036" w14:textId="4BCED564"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2132 - </w:t>
            </w:r>
            <w:r w:rsidR="00304773" w:rsidRPr="00623C30">
              <w:rPr>
                <w:rFonts w:asciiTheme="minorHAnsi" w:hAnsiTheme="minorHAnsi" w:cstheme="minorHAnsi"/>
                <w:sz w:val="18"/>
                <w:szCs w:val="18"/>
              </w:rPr>
              <w:t>Aluminum</w:t>
            </w:r>
            <w:r w:rsidRPr="00623C30">
              <w:rPr>
                <w:rFonts w:asciiTheme="minorHAnsi" w:hAnsiTheme="minorHAnsi" w:cstheme="minorHAnsi"/>
                <w:sz w:val="18"/>
                <w:szCs w:val="18"/>
              </w:rPr>
              <w:t xml:space="preserve"> Smelting</w:t>
            </w:r>
          </w:p>
          <w:p w14:paraId="252C5C7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2139 - Other Basic Non-Ferrous Metal Manufacturing</w:t>
            </w:r>
          </w:p>
          <w:p w14:paraId="31E2FFD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2239 - Other Metal Container Manufacturing</w:t>
            </w:r>
          </w:p>
          <w:p w14:paraId="6C7DBC0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2393 - Railway Rolling Stock Manufacturing and Repair Services</w:t>
            </w:r>
          </w:p>
          <w:p w14:paraId="2EA48D4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2394 - Aircraft Manufacturing and Repair Services</w:t>
            </w:r>
          </w:p>
        </w:tc>
      </w:tr>
      <w:tr w:rsidR="00304773" w:rsidRPr="00623C30" w14:paraId="3757D718" w14:textId="77777777" w:rsidTr="004452F5">
        <w:trPr>
          <w:gridAfter w:val="1"/>
          <w:wAfter w:w="11" w:type="dxa"/>
        </w:trPr>
        <w:tc>
          <w:tcPr>
            <w:tcW w:w="2059" w:type="dxa"/>
            <w:shd w:val="clear" w:color="auto" w:fill="auto"/>
          </w:tcPr>
          <w:p w14:paraId="5EC9777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D – Electricity, Gas, Water and Waste Services</w:t>
            </w:r>
          </w:p>
        </w:tc>
        <w:tc>
          <w:tcPr>
            <w:tcW w:w="6946" w:type="dxa"/>
            <w:shd w:val="clear" w:color="auto" w:fill="auto"/>
            <w:vAlign w:val="center"/>
          </w:tcPr>
          <w:p w14:paraId="71F8BC3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2611 - Fossil Fuel Electricity Generation</w:t>
            </w:r>
          </w:p>
          <w:p w14:paraId="6E59555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2700 - Gas Supply</w:t>
            </w:r>
          </w:p>
          <w:p w14:paraId="742C7A1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2812 - Sewerage and Drainage Services</w:t>
            </w:r>
          </w:p>
          <w:p w14:paraId="6953E1A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2921 - Waste Treatment and Disposal Services</w:t>
            </w:r>
          </w:p>
          <w:p w14:paraId="52057B4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2922 - Waste Remediation and Materials Recovery Services</w:t>
            </w:r>
          </w:p>
        </w:tc>
      </w:tr>
      <w:tr w:rsidR="00623C30" w:rsidRPr="0098199F" w14:paraId="5E0ED96B" w14:textId="77777777" w:rsidTr="004452F5">
        <w:tc>
          <w:tcPr>
            <w:tcW w:w="2059" w:type="dxa"/>
            <w:shd w:val="clear" w:color="auto" w:fill="auto"/>
            <w:vAlign w:val="center"/>
          </w:tcPr>
          <w:p w14:paraId="3FE38E4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O – Public Administration and Safety</w:t>
            </w:r>
          </w:p>
        </w:tc>
        <w:tc>
          <w:tcPr>
            <w:tcW w:w="6957" w:type="dxa"/>
            <w:gridSpan w:val="2"/>
            <w:shd w:val="clear" w:color="auto" w:fill="auto"/>
            <w:vAlign w:val="center"/>
          </w:tcPr>
          <w:p w14:paraId="17D7375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7600 – Defence</w:t>
            </w:r>
          </w:p>
          <w:p w14:paraId="3672680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7719 - Other Public Order and Safety Services</w:t>
            </w:r>
          </w:p>
        </w:tc>
      </w:tr>
      <w:tr w:rsidR="00623C30" w:rsidRPr="00993B73" w14:paraId="1A2A8CC2" w14:textId="77777777" w:rsidTr="00296A42">
        <w:trPr>
          <w:gridAfter w:val="1"/>
          <w:wAfter w:w="11" w:type="dxa"/>
        </w:trPr>
        <w:tc>
          <w:tcPr>
            <w:tcW w:w="2059" w:type="dxa"/>
            <w:shd w:val="clear" w:color="auto" w:fill="91ACEC" w:themeFill="accent1" w:themeFillTint="99"/>
          </w:tcPr>
          <w:p w14:paraId="7AB7D321" w14:textId="65299FB5" w:rsidR="003F37E7" w:rsidRPr="00623C30" w:rsidRDefault="003F37E7" w:rsidP="000867AE">
            <w:pPr>
              <w:pStyle w:val="TableNText"/>
              <w:rPr>
                <w:rFonts w:asciiTheme="majorHAnsi" w:hAnsiTheme="majorHAnsi" w:cstheme="majorHAnsi"/>
                <w:b/>
              </w:rPr>
            </w:pPr>
            <w:r w:rsidRPr="00623C30">
              <w:rPr>
                <w:rFonts w:asciiTheme="majorHAnsi" w:hAnsiTheme="majorHAnsi" w:cstheme="majorHAnsi"/>
                <w:b/>
              </w:rPr>
              <w:t>Chlorine</w:t>
            </w:r>
          </w:p>
        </w:tc>
        <w:tc>
          <w:tcPr>
            <w:tcW w:w="6946" w:type="dxa"/>
            <w:shd w:val="clear" w:color="auto" w:fill="91ACEC" w:themeFill="accent1" w:themeFillTint="99"/>
          </w:tcPr>
          <w:p w14:paraId="792BA374" w14:textId="77777777" w:rsidR="003F37E7" w:rsidRPr="00623C30" w:rsidRDefault="003F37E7" w:rsidP="000867AE">
            <w:pPr>
              <w:pStyle w:val="TableNText"/>
              <w:rPr>
                <w:rFonts w:asciiTheme="majorHAnsi" w:hAnsiTheme="majorHAnsi" w:cstheme="majorHAnsi"/>
              </w:rPr>
            </w:pPr>
          </w:p>
        </w:tc>
      </w:tr>
      <w:tr w:rsidR="00623C30" w:rsidRPr="00993B73" w14:paraId="21550FD4" w14:textId="77777777" w:rsidTr="004452F5">
        <w:trPr>
          <w:gridAfter w:val="1"/>
          <w:wAfter w:w="11" w:type="dxa"/>
        </w:trPr>
        <w:tc>
          <w:tcPr>
            <w:tcW w:w="2059" w:type="dxa"/>
            <w:shd w:val="clear" w:color="auto" w:fill="auto"/>
            <w:vAlign w:val="center"/>
          </w:tcPr>
          <w:p w14:paraId="6D66AC7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C – Manufacturing</w:t>
            </w:r>
          </w:p>
        </w:tc>
        <w:tc>
          <w:tcPr>
            <w:tcW w:w="6946" w:type="dxa"/>
            <w:shd w:val="clear" w:color="auto" w:fill="auto"/>
            <w:vAlign w:val="center"/>
          </w:tcPr>
          <w:p w14:paraId="16F24D36"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1131 - Milk and Cream Processing</w:t>
            </w:r>
          </w:p>
          <w:p w14:paraId="6888C24B"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1161 - Grain Mill Product Manufacturing</w:t>
            </w:r>
          </w:p>
          <w:p w14:paraId="6192A17E"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1181 - Sugar Manufacturing</w:t>
            </w:r>
          </w:p>
          <w:p w14:paraId="514A4E5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1199 - Other Food Product Manufacturing n.e.c.</w:t>
            </w:r>
          </w:p>
          <w:p w14:paraId="2AAC4B34"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1510 - Pulp, Paper and Paperboard Manufacturing</w:t>
            </w:r>
          </w:p>
          <w:p w14:paraId="2ECDDD70"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1701 - Petroleum Refining and Petroleum Fuel Manufacturing</w:t>
            </w:r>
          </w:p>
          <w:p w14:paraId="2AB4D978"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1709 - Other Petroleum and Coal Product Manufacturing</w:t>
            </w:r>
          </w:p>
          <w:p w14:paraId="7707AAE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1812 - Basic Organic Chemical Manufacturing</w:t>
            </w:r>
          </w:p>
          <w:p w14:paraId="7C33753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1813 - Basic Inorganic Chemical Manufacturing</w:t>
            </w:r>
          </w:p>
          <w:p w14:paraId="5D24CC5E"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1829 - Other Basic Polymer Manufacturing</w:t>
            </w:r>
          </w:p>
          <w:p w14:paraId="67C1290F"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1831 - Fertiliser Manufacturing</w:t>
            </w:r>
          </w:p>
          <w:p w14:paraId="7851086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1832 - Pesticide Manufacturing</w:t>
            </w:r>
          </w:p>
          <w:p w14:paraId="57BC3D18"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1851 - Cleaning Compound Manufacturing</w:t>
            </w:r>
          </w:p>
          <w:p w14:paraId="6B80AE4A"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1899 - Other Basic Chemical Product Manufacturing n.e.c.</w:t>
            </w:r>
          </w:p>
          <w:p w14:paraId="42AB2E4A"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1912 - Rigid and Semi-Rigid Polymer Product Manufacturing</w:t>
            </w:r>
          </w:p>
          <w:p w14:paraId="3C1BABD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2031 - Cement and Lime Manufacturing</w:t>
            </w:r>
          </w:p>
          <w:p w14:paraId="0C9B501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2110 - Iron Smelting and Steel Manufacturing</w:t>
            </w:r>
          </w:p>
          <w:p w14:paraId="3D5C29B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2131 - Alumina Production</w:t>
            </w:r>
          </w:p>
          <w:p w14:paraId="13B8530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2133 - Copper, Silver, Lead and Zinc Smelting and Refining</w:t>
            </w:r>
          </w:p>
        </w:tc>
      </w:tr>
      <w:tr w:rsidR="00623C30" w:rsidRPr="00993B73" w14:paraId="69B7EC21" w14:textId="77777777" w:rsidTr="004452F5">
        <w:trPr>
          <w:gridAfter w:val="1"/>
          <w:wAfter w:w="11" w:type="dxa"/>
        </w:trPr>
        <w:tc>
          <w:tcPr>
            <w:tcW w:w="2059" w:type="dxa"/>
            <w:shd w:val="clear" w:color="auto" w:fill="auto"/>
            <w:vAlign w:val="center"/>
          </w:tcPr>
          <w:p w14:paraId="574CEFE9"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lastRenderedPageBreak/>
              <w:t>D – Electricity, Gas, Water and Waste Services</w:t>
            </w:r>
          </w:p>
        </w:tc>
        <w:tc>
          <w:tcPr>
            <w:tcW w:w="6946" w:type="dxa"/>
            <w:shd w:val="clear" w:color="auto" w:fill="auto"/>
            <w:vAlign w:val="center"/>
          </w:tcPr>
          <w:p w14:paraId="3D9CAAD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2611 - Fossil Fuel Electricity Generation</w:t>
            </w:r>
          </w:p>
          <w:p w14:paraId="3E51E05A"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2811 – Water Supply</w:t>
            </w:r>
          </w:p>
          <w:p w14:paraId="6618C106"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2812 - Sewerage and Drainage Services</w:t>
            </w:r>
          </w:p>
          <w:p w14:paraId="5EB1E556"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2921 - Waste Treatment and Disposal Services</w:t>
            </w:r>
          </w:p>
        </w:tc>
      </w:tr>
      <w:tr w:rsidR="00623C30" w:rsidRPr="00993B73" w14:paraId="7A5424BC" w14:textId="77777777" w:rsidTr="004452F5">
        <w:tc>
          <w:tcPr>
            <w:tcW w:w="2059" w:type="dxa"/>
            <w:shd w:val="clear" w:color="auto" w:fill="auto"/>
            <w:vAlign w:val="center"/>
          </w:tcPr>
          <w:p w14:paraId="4FEAB0AA"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N – Administrative and Support services</w:t>
            </w:r>
          </w:p>
        </w:tc>
        <w:tc>
          <w:tcPr>
            <w:tcW w:w="6957" w:type="dxa"/>
            <w:gridSpan w:val="2"/>
            <w:shd w:val="clear" w:color="auto" w:fill="auto"/>
            <w:vAlign w:val="center"/>
          </w:tcPr>
          <w:p w14:paraId="79883B34"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 xml:space="preserve">7311 - Building and Other Industrial Cleaning Services </w:t>
            </w:r>
          </w:p>
        </w:tc>
      </w:tr>
      <w:tr w:rsidR="00623C30" w:rsidRPr="00993B73" w14:paraId="399787EF" w14:textId="77777777" w:rsidTr="004452F5">
        <w:trPr>
          <w:gridAfter w:val="1"/>
          <w:wAfter w:w="11" w:type="dxa"/>
        </w:trPr>
        <w:tc>
          <w:tcPr>
            <w:tcW w:w="2059" w:type="dxa"/>
            <w:shd w:val="clear" w:color="auto" w:fill="auto"/>
            <w:vAlign w:val="center"/>
          </w:tcPr>
          <w:p w14:paraId="0912416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R – Arts and Recreation Services</w:t>
            </w:r>
          </w:p>
        </w:tc>
        <w:tc>
          <w:tcPr>
            <w:tcW w:w="6946" w:type="dxa"/>
            <w:shd w:val="clear" w:color="auto" w:fill="auto"/>
            <w:vAlign w:val="center"/>
          </w:tcPr>
          <w:p w14:paraId="1C63BEB3"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9113 - Sports and Physical Recreation Venues, Grounds and Facilities Operation</w:t>
            </w:r>
          </w:p>
        </w:tc>
      </w:tr>
      <w:tr w:rsidR="00623C30" w:rsidRPr="00993B73" w14:paraId="6D0BA5C0" w14:textId="77777777" w:rsidTr="00296A42">
        <w:trPr>
          <w:gridAfter w:val="1"/>
          <w:wAfter w:w="11" w:type="dxa"/>
        </w:trPr>
        <w:tc>
          <w:tcPr>
            <w:tcW w:w="2059" w:type="dxa"/>
            <w:shd w:val="clear" w:color="auto" w:fill="91ACEC" w:themeFill="accent1" w:themeFillTint="99"/>
          </w:tcPr>
          <w:p w14:paraId="0546AA6E" w14:textId="66BB453A" w:rsidR="003F37E7" w:rsidRPr="00623C30" w:rsidRDefault="00623C30" w:rsidP="000867AE">
            <w:pPr>
              <w:pStyle w:val="TableNText"/>
              <w:rPr>
                <w:rFonts w:asciiTheme="majorHAnsi" w:hAnsiTheme="majorHAnsi" w:cstheme="majorHAnsi"/>
                <w:b/>
                <w:color w:val="E7E6E6" w:themeColor="background2"/>
              </w:rPr>
            </w:pPr>
            <w:r w:rsidRPr="00623C30">
              <w:rPr>
                <w:rFonts w:asciiTheme="majorHAnsi" w:hAnsiTheme="majorHAnsi" w:cstheme="majorHAnsi"/>
                <w:b/>
              </w:rPr>
              <w:t>C</w:t>
            </w:r>
            <w:r w:rsidR="003F37E7" w:rsidRPr="00623C30">
              <w:rPr>
                <w:rFonts w:asciiTheme="majorHAnsi" w:hAnsiTheme="majorHAnsi" w:cstheme="majorHAnsi"/>
                <w:b/>
              </w:rPr>
              <w:t>opper</w:t>
            </w:r>
          </w:p>
        </w:tc>
        <w:tc>
          <w:tcPr>
            <w:tcW w:w="6946" w:type="dxa"/>
            <w:shd w:val="clear" w:color="auto" w:fill="91ACEC" w:themeFill="accent1" w:themeFillTint="99"/>
          </w:tcPr>
          <w:p w14:paraId="0304DFD5" w14:textId="77777777" w:rsidR="003F37E7" w:rsidRPr="00993B73" w:rsidRDefault="003F37E7" w:rsidP="000867AE">
            <w:pPr>
              <w:pStyle w:val="TableNText"/>
              <w:rPr>
                <w:rFonts w:asciiTheme="majorHAnsi" w:hAnsiTheme="majorHAnsi" w:cstheme="majorHAnsi"/>
                <w:color w:val="E7E6E6" w:themeColor="background2"/>
              </w:rPr>
            </w:pPr>
          </w:p>
        </w:tc>
      </w:tr>
      <w:tr w:rsidR="00623C30" w:rsidRPr="00993B73" w14:paraId="79C3E57B" w14:textId="77777777" w:rsidTr="004452F5">
        <w:trPr>
          <w:gridAfter w:val="1"/>
          <w:wAfter w:w="11" w:type="dxa"/>
        </w:trPr>
        <w:tc>
          <w:tcPr>
            <w:tcW w:w="2059" w:type="dxa"/>
            <w:shd w:val="clear" w:color="auto" w:fill="auto"/>
            <w:vAlign w:val="center"/>
          </w:tcPr>
          <w:p w14:paraId="72E2998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B - Mining</w:t>
            </w:r>
          </w:p>
        </w:tc>
        <w:tc>
          <w:tcPr>
            <w:tcW w:w="6946" w:type="dxa"/>
            <w:shd w:val="clear" w:color="auto" w:fill="auto"/>
            <w:vAlign w:val="center"/>
          </w:tcPr>
          <w:p w14:paraId="7A27EA3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0600 - Coal Mining</w:t>
            </w:r>
          </w:p>
          <w:p w14:paraId="68511FA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0700 - Oil and Gas Extraction</w:t>
            </w:r>
          </w:p>
          <w:p w14:paraId="0B3894F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0801 - Iron Ore Mining</w:t>
            </w:r>
          </w:p>
          <w:p w14:paraId="14B7001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0802 - Bauxite Mining</w:t>
            </w:r>
          </w:p>
          <w:p w14:paraId="4B8BA66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0803 - Copper Ore Mining</w:t>
            </w:r>
          </w:p>
          <w:p w14:paraId="477BD02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0804 - Gold Ore Mining</w:t>
            </w:r>
          </w:p>
          <w:p w14:paraId="73EC4E7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0805 - Mineral Sand Mining</w:t>
            </w:r>
          </w:p>
          <w:p w14:paraId="4B8BFCB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0806 - Nickel Ore Mining</w:t>
            </w:r>
          </w:p>
          <w:p w14:paraId="546A89C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0807 - Silver-Lead-Zinc Ore Mining</w:t>
            </w:r>
          </w:p>
          <w:p w14:paraId="1634E2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0809 - Other Metal Ore Mining</w:t>
            </w:r>
          </w:p>
          <w:p w14:paraId="05E7D31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0911 - Gravel and Sand Quarrying</w:t>
            </w:r>
          </w:p>
          <w:p w14:paraId="299A22E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0919 - Other Construction Material Mining</w:t>
            </w:r>
          </w:p>
          <w:p w14:paraId="193AA47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0990 - Other Non-Metallic Mineral Mining and Quarrying</w:t>
            </w:r>
          </w:p>
        </w:tc>
      </w:tr>
      <w:tr w:rsidR="00623C30" w:rsidRPr="00993B73" w14:paraId="1DD2C4DA" w14:textId="77777777" w:rsidTr="004452F5">
        <w:trPr>
          <w:gridAfter w:val="1"/>
          <w:wAfter w:w="11" w:type="dxa"/>
        </w:trPr>
        <w:tc>
          <w:tcPr>
            <w:tcW w:w="2059" w:type="dxa"/>
            <w:shd w:val="clear" w:color="auto" w:fill="auto"/>
            <w:vAlign w:val="center"/>
          </w:tcPr>
          <w:p w14:paraId="6B479CB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3554DEA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1111 - Meat Processing</w:t>
            </w:r>
          </w:p>
          <w:p w14:paraId="13EE2DA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1112 - Poultry Processing</w:t>
            </w:r>
          </w:p>
          <w:p w14:paraId="3359D44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1113 - Cured Meat and Smallgoods Manufacturing</w:t>
            </w:r>
          </w:p>
          <w:p w14:paraId="1831909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1131 - Milk and Cream Processing</w:t>
            </w:r>
          </w:p>
          <w:p w14:paraId="4085DBA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1132 - Ice Cream Manufacturing</w:t>
            </w:r>
          </w:p>
          <w:p w14:paraId="6A48A93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1133 - Cheese and Other Dairy Product Manufacturing</w:t>
            </w:r>
          </w:p>
          <w:p w14:paraId="008FFC5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1140 - Fruit and Vegetable Processing</w:t>
            </w:r>
          </w:p>
          <w:p w14:paraId="2ECF93C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1150 - Oil and Fat Manufacturing</w:t>
            </w:r>
          </w:p>
          <w:p w14:paraId="6C64354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1161 - Grain Mill Product Manufacturing</w:t>
            </w:r>
          </w:p>
          <w:p w14:paraId="5B5C7B7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1162 - Cereal, Pasta and Baking Mix Manufacturing</w:t>
            </w:r>
          </w:p>
          <w:p w14:paraId="05F9229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1171 - Bread Manufacturing (Factory based)</w:t>
            </w:r>
          </w:p>
          <w:p w14:paraId="41B050E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1173 - Biscuit Manufacturing (Factory based)</w:t>
            </w:r>
          </w:p>
          <w:p w14:paraId="241C45D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1181 - Sugar Manufacturing</w:t>
            </w:r>
          </w:p>
          <w:p w14:paraId="6BAF60F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1182 - Confectionery Manufacturing</w:t>
            </w:r>
          </w:p>
          <w:p w14:paraId="42275E6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1191 - Potato, Corn and Other Crisp Manufacturing</w:t>
            </w:r>
          </w:p>
          <w:p w14:paraId="7B5DC00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1192 - Prepared Animal and Bird Feed Manufacturing</w:t>
            </w:r>
          </w:p>
          <w:p w14:paraId="569CBD3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1199 - Other Food Product Manufacturing n.e.c.</w:t>
            </w:r>
          </w:p>
          <w:p w14:paraId="561487D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1211 - Soft Drink, Cordial and Syrup Manufacturing</w:t>
            </w:r>
          </w:p>
          <w:p w14:paraId="6CABB27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1212 - Beer Manufacturing</w:t>
            </w:r>
          </w:p>
          <w:p w14:paraId="11EA995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1213 - Spirit Manufacturing</w:t>
            </w:r>
          </w:p>
          <w:p w14:paraId="700A2A5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1214 - Wine and Other Alcoholic Beverage Manufacturing</w:t>
            </w:r>
          </w:p>
          <w:p w14:paraId="51068C1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1311 - Wool Scouring</w:t>
            </w:r>
          </w:p>
          <w:p w14:paraId="033840D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1334 - Textile Finishing and Other Textile Product Manufacturing</w:t>
            </w:r>
          </w:p>
          <w:p w14:paraId="201B673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1411 - Log Sawmilling</w:t>
            </w:r>
          </w:p>
          <w:p w14:paraId="5652B7C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1413 - Timber Resawing and Dressing</w:t>
            </w:r>
          </w:p>
          <w:p w14:paraId="3E60B97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1493 - Veneer and Plywood Manufacturing</w:t>
            </w:r>
          </w:p>
          <w:p w14:paraId="1FB6D25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1494 - Reconstituted Wood Product Manufacturing</w:t>
            </w:r>
          </w:p>
          <w:p w14:paraId="43B0D0A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1499 - Other Wood Product Manufacturing n.e.c.</w:t>
            </w:r>
          </w:p>
          <w:p w14:paraId="7140E66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1510 - Pulp, Paper and Paperboard Manufacturing</w:t>
            </w:r>
          </w:p>
          <w:p w14:paraId="61D44B3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1521 - Corrugated Paperboard and Paperboard Container Manufacturing</w:t>
            </w:r>
          </w:p>
          <w:p w14:paraId="2857888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1611 - Printing</w:t>
            </w:r>
          </w:p>
          <w:p w14:paraId="411D785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1701 - Petroleum Refining and Petroleum Fuel Manufacturing</w:t>
            </w:r>
          </w:p>
          <w:p w14:paraId="229D63A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1709 - Other Petroleum and Coal Product Manufacturing</w:t>
            </w:r>
          </w:p>
          <w:p w14:paraId="0B0538F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1811 - Industrial Gas Manufacturing</w:t>
            </w:r>
          </w:p>
          <w:p w14:paraId="62681FA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1812 - Basic Organic Chemical Manufacturing</w:t>
            </w:r>
          </w:p>
          <w:p w14:paraId="4F92DFB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1813 - Basic Inorganic Chemical Manufacturing</w:t>
            </w:r>
          </w:p>
          <w:p w14:paraId="509C98F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1821 - Synthetic Resin and Synthetic Rubber Manufacturing</w:t>
            </w:r>
          </w:p>
          <w:p w14:paraId="22A410E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1831 - Fertiliser Manufacturing</w:t>
            </w:r>
          </w:p>
          <w:p w14:paraId="0B28F5A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1832 - Pesticide Manufacturing</w:t>
            </w:r>
          </w:p>
          <w:p w14:paraId="3D643CE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1841 - Human Pharmaceutical and Medicinal Product Manufacturing</w:t>
            </w:r>
          </w:p>
          <w:p w14:paraId="4980C60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1851 - Cleaning Compound Manufacturing</w:t>
            </w:r>
          </w:p>
          <w:p w14:paraId="6C39D42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1852 - Cosmetic and Toiletry Preparation Manufacturing</w:t>
            </w:r>
          </w:p>
          <w:p w14:paraId="018CE5A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1892 - Explosive Manufacturing</w:t>
            </w:r>
          </w:p>
          <w:p w14:paraId="15536A3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1899 - Other Basic Chemical Product Manufacturing n.e.c.</w:t>
            </w:r>
          </w:p>
          <w:p w14:paraId="3C1EE0C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1911 - Polymer Film and Sheet Packaging Material Manufacturing</w:t>
            </w:r>
          </w:p>
          <w:p w14:paraId="07A20FF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1912 - Rigid and Semi-Rigid Polymer Product Manufacturing</w:t>
            </w:r>
          </w:p>
          <w:p w14:paraId="6F4C4F6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1913 - Polymer Foam Product Manufacturing</w:t>
            </w:r>
          </w:p>
          <w:p w14:paraId="5D8EEAD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1914 - Tyre Manufacturing</w:t>
            </w:r>
          </w:p>
          <w:p w14:paraId="4ED55FB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1919 - Other Polymer Product Manufacturing</w:t>
            </w:r>
          </w:p>
          <w:p w14:paraId="6AC63FE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2010 - Glass and Glass Product Manufacturing</w:t>
            </w:r>
          </w:p>
          <w:p w14:paraId="528F73B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2021 - Clay Brick Manufacturing</w:t>
            </w:r>
          </w:p>
          <w:p w14:paraId="6457F14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2029 - Other Ceramic Product Manufacturing</w:t>
            </w:r>
          </w:p>
          <w:p w14:paraId="1CCF0B0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2031 - Cement and Lime Manufacturing</w:t>
            </w:r>
          </w:p>
          <w:p w14:paraId="4DE7D3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2032 - Plaster Product Manufacturing</w:t>
            </w:r>
          </w:p>
          <w:p w14:paraId="51AF970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2034 - Concrete Product Manufacturing</w:t>
            </w:r>
          </w:p>
          <w:p w14:paraId="58415D2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2090 - Other Non-Metallic Mineral Product Manufacturing</w:t>
            </w:r>
          </w:p>
          <w:p w14:paraId="5E9E8B4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2110 - Iron Smelting and Steel Manufacturing</w:t>
            </w:r>
          </w:p>
          <w:p w14:paraId="03534B1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2121 - Iron and Steel Casting</w:t>
            </w:r>
          </w:p>
          <w:p w14:paraId="2D75633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2122 - Steel Pipe and Tube Manufacturing</w:t>
            </w:r>
          </w:p>
          <w:p w14:paraId="0B6BF9F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2131 - Alumina Production</w:t>
            </w:r>
          </w:p>
          <w:p w14:paraId="48625AEB" w14:textId="4D4AF1E0"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2132 - </w:t>
            </w:r>
            <w:r w:rsidR="00304773" w:rsidRPr="00623C30">
              <w:rPr>
                <w:rFonts w:asciiTheme="minorHAnsi" w:hAnsiTheme="minorHAnsi" w:cstheme="minorHAnsi"/>
                <w:sz w:val="18"/>
                <w:szCs w:val="18"/>
              </w:rPr>
              <w:t>Aluminum</w:t>
            </w:r>
            <w:r w:rsidRPr="00623C30">
              <w:rPr>
                <w:rFonts w:asciiTheme="minorHAnsi" w:hAnsiTheme="minorHAnsi" w:cstheme="minorHAnsi"/>
                <w:sz w:val="18"/>
                <w:szCs w:val="18"/>
              </w:rPr>
              <w:t xml:space="preserve"> Smelting</w:t>
            </w:r>
          </w:p>
          <w:p w14:paraId="0046B47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2133 - Copper, Silver, Lead and Zinc Smelting and Refining</w:t>
            </w:r>
          </w:p>
          <w:p w14:paraId="338579C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2139 - Other Basic Non-Ferrous Metal Manufacturing</w:t>
            </w:r>
          </w:p>
          <w:p w14:paraId="229D33D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2141 - Non-Ferrous Metal Casting</w:t>
            </w:r>
          </w:p>
          <w:p w14:paraId="03D9921A" w14:textId="24BF2F18"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2142 - </w:t>
            </w:r>
            <w:r w:rsidR="00304773" w:rsidRPr="00623C30">
              <w:rPr>
                <w:rFonts w:asciiTheme="minorHAnsi" w:hAnsiTheme="minorHAnsi" w:cstheme="minorHAnsi"/>
                <w:sz w:val="18"/>
                <w:szCs w:val="18"/>
              </w:rPr>
              <w:t>Aluminum</w:t>
            </w:r>
            <w:r w:rsidRPr="00623C30">
              <w:rPr>
                <w:rFonts w:asciiTheme="minorHAnsi" w:hAnsiTheme="minorHAnsi" w:cstheme="minorHAnsi"/>
                <w:sz w:val="18"/>
                <w:szCs w:val="18"/>
              </w:rPr>
              <w:t xml:space="preserve"> Rolling, Drawing, Extruding</w:t>
            </w:r>
          </w:p>
          <w:p w14:paraId="4CC693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2149 - Other Basic Non-Ferrous Metal Product Manufacturing</w:t>
            </w:r>
          </w:p>
          <w:p w14:paraId="790C446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2210 - Iron and Steel Forging</w:t>
            </w:r>
          </w:p>
          <w:p w14:paraId="66AA410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2229 - Other Structural Metal Product Manufacturing</w:t>
            </w:r>
          </w:p>
          <w:p w14:paraId="2C8D4FD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2291 - Spring and Wire Product Manufacturing</w:t>
            </w:r>
          </w:p>
          <w:p w14:paraId="443C714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2293 - Metal Coating and Finishing</w:t>
            </w:r>
          </w:p>
          <w:p w14:paraId="5DD17A0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2299 - Other Fabricated Metal Product Manufacturing n.e.c.</w:t>
            </w:r>
          </w:p>
          <w:p w14:paraId="4843D10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2319 - Other Motor Vehicle Parts Manufacturing</w:t>
            </w:r>
          </w:p>
          <w:p w14:paraId="6CB631D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2393 - Railway Rolling Stock Manufacturing and Repair Services</w:t>
            </w:r>
          </w:p>
          <w:p w14:paraId="24A2BF1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2394 - Aircraft Manufacturing and Repair Services</w:t>
            </w:r>
          </w:p>
          <w:p w14:paraId="128A12B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2419 - Other Professional and Scientific Equipment Manufacturing</w:t>
            </w:r>
          </w:p>
          <w:p w14:paraId="55FC371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2431 - Electric Cable and Wire Manufacturing</w:t>
            </w:r>
          </w:p>
          <w:p w14:paraId="47DA53E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2441 - Whiteware Appliance Manufacturing</w:t>
            </w:r>
          </w:p>
        </w:tc>
      </w:tr>
      <w:tr w:rsidR="00623C30" w:rsidRPr="00993B73" w14:paraId="6064C772" w14:textId="77777777" w:rsidTr="004452F5">
        <w:trPr>
          <w:gridAfter w:val="1"/>
          <w:wAfter w:w="11" w:type="dxa"/>
        </w:trPr>
        <w:tc>
          <w:tcPr>
            <w:tcW w:w="2059" w:type="dxa"/>
            <w:shd w:val="clear" w:color="auto" w:fill="auto"/>
            <w:vAlign w:val="center"/>
          </w:tcPr>
          <w:p w14:paraId="39D6AE8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D – Electricity, Gas, Water and Waste Services</w:t>
            </w:r>
          </w:p>
        </w:tc>
        <w:tc>
          <w:tcPr>
            <w:tcW w:w="6946" w:type="dxa"/>
            <w:shd w:val="clear" w:color="auto" w:fill="auto"/>
            <w:vAlign w:val="center"/>
          </w:tcPr>
          <w:p w14:paraId="7BF2F20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2611 - Fossil Fuel Electricity Generation</w:t>
            </w:r>
          </w:p>
          <w:p w14:paraId="323C914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2619 - Other Electricity Generation</w:t>
            </w:r>
          </w:p>
          <w:p w14:paraId="589D047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2700 - Gas Supply</w:t>
            </w:r>
          </w:p>
          <w:p w14:paraId="1AC1164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2811 - Water Supply</w:t>
            </w:r>
          </w:p>
          <w:p w14:paraId="7C7FB15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2812 - Sewerage and Drainage Services</w:t>
            </w:r>
          </w:p>
          <w:p w14:paraId="49C2A4B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2911 - Solid Waste Collection Services</w:t>
            </w:r>
          </w:p>
          <w:p w14:paraId="4B35686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2921 - Waste Treatment and Disposal Services</w:t>
            </w:r>
          </w:p>
          <w:p w14:paraId="5AF4120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2922 - Waste Remediation and Materials Recovery Services</w:t>
            </w:r>
          </w:p>
        </w:tc>
      </w:tr>
      <w:tr w:rsidR="00623C30" w:rsidRPr="00993B73" w14:paraId="611A0921" w14:textId="77777777" w:rsidTr="00296A42">
        <w:trPr>
          <w:gridAfter w:val="1"/>
          <w:wAfter w:w="11" w:type="dxa"/>
        </w:trPr>
        <w:tc>
          <w:tcPr>
            <w:tcW w:w="2059" w:type="dxa"/>
            <w:shd w:val="clear" w:color="auto" w:fill="91ACEC" w:themeFill="accent1" w:themeFillTint="99"/>
          </w:tcPr>
          <w:p w14:paraId="15445B00" w14:textId="47B30EF6" w:rsidR="003F37E7" w:rsidRPr="00623C30" w:rsidRDefault="003F37E7" w:rsidP="000867AE">
            <w:pPr>
              <w:pStyle w:val="TableNText"/>
              <w:rPr>
                <w:rFonts w:asciiTheme="majorHAnsi" w:hAnsiTheme="majorHAnsi" w:cstheme="majorHAnsi"/>
                <w:b/>
                <w:color w:val="E7E6E6" w:themeColor="background2"/>
              </w:rPr>
            </w:pPr>
            <w:r w:rsidRPr="00623C30">
              <w:rPr>
                <w:rFonts w:asciiTheme="majorHAnsi" w:hAnsiTheme="majorHAnsi" w:cstheme="majorHAnsi"/>
                <w:b/>
              </w:rPr>
              <w:t>Formaldehyde</w:t>
            </w:r>
          </w:p>
        </w:tc>
        <w:tc>
          <w:tcPr>
            <w:tcW w:w="6946" w:type="dxa"/>
            <w:shd w:val="clear" w:color="auto" w:fill="91ACEC" w:themeFill="accent1" w:themeFillTint="99"/>
          </w:tcPr>
          <w:p w14:paraId="7A63C8C4" w14:textId="77777777" w:rsidR="003F37E7" w:rsidRPr="00993B73" w:rsidRDefault="003F37E7" w:rsidP="000867AE">
            <w:pPr>
              <w:pStyle w:val="TableNText"/>
              <w:rPr>
                <w:rFonts w:asciiTheme="majorHAnsi" w:hAnsiTheme="majorHAnsi" w:cstheme="majorHAnsi"/>
                <w:color w:val="E7E6E6" w:themeColor="background2"/>
              </w:rPr>
            </w:pPr>
          </w:p>
        </w:tc>
      </w:tr>
      <w:tr w:rsidR="00623C30" w:rsidRPr="00993B73" w14:paraId="3498A914" w14:textId="77777777" w:rsidTr="004452F5">
        <w:trPr>
          <w:gridAfter w:val="1"/>
          <w:wAfter w:w="11" w:type="dxa"/>
        </w:trPr>
        <w:tc>
          <w:tcPr>
            <w:tcW w:w="2059" w:type="dxa"/>
            <w:shd w:val="clear" w:color="auto" w:fill="auto"/>
            <w:vAlign w:val="center"/>
          </w:tcPr>
          <w:p w14:paraId="3EDD0FA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A – Agriculture</w:t>
            </w:r>
          </w:p>
        </w:tc>
        <w:tc>
          <w:tcPr>
            <w:tcW w:w="6946" w:type="dxa"/>
            <w:shd w:val="clear" w:color="auto" w:fill="auto"/>
            <w:vAlign w:val="center"/>
          </w:tcPr>
          <w:p w14:paraId="41AD68C2"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0143 - Beef Cattle Feedlots (Specialised)</w:t>
            </w:r>
          </w:p>
        </w:tc>
      </w:tr>
      <w:tr w:rsidR="00623C30" w:rsidRPr="00993B73" w14:paraId="4690C6CE" w14:textId="77777777" w:rsidTr="004452F5">
        <w:trPr>
          <w:gridAfter w:val="1"/>
          <w:wAfter w:w="11" w:type="dxa"/>
        </w:trPr>
        <w:tc>
          <w:tcPr>
            <w:tcW w:w="2059" w:type="dxa"/>
            <w:shd w:val="clear" w:color="auto" w:fill="auto"/>
            <w:vAlign w:val="center"/>
          </w:tcPr>
          <w:p w14:paraId="5F9B2C7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C – Manufacturing</w:t>
            </w:r>
          </w:p>
        </w:tc>
        <w:tc>
          <w:tcPr>
            <w:tcW w:w="6946" w:type="dxa"/>
            <w:shd w:val="clear" w:color="auto" w:fill="auto"/>
            <w:vAlign w:val="center"/>
          </w:tcPr>
          <w:p w14:paraId="5F06E1D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1111 - Meat Processing</w:t>
            </w:r>
          </w:p>
          <w:p w14:paraId="26140AC5"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1112 - Poultry Processing</w:t>
            </w:r>
          </w:p>
          <w:p w14:paraId="69EDEA7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1131 - Milk and Cream Processing</w:t>
            </w:r>
          </w:p>
          <w:p w14:paraId="67492C06"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1133 - Cheese and Other Dairy Product Manufacturing</w:t>
            </w:r>
          </w:p>
          <w:p w14:paraId="7D2ADCF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1140 - Fruit and Vegetable Processing</w:t>
            </w:r>
          </w:p>
          <w:p w14:paraId="706CA495"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1150 - Oil and Fat Manufacturing</w:t>
            </w:r>
          </w:p>
          <w:p w14:paraId="12F2DDD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1161 - Grain Mill Product Manufacturing</w:t>
            </w:r>
          </w:p>
          <w:p w14:paraId="0A3568B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1173 - Biscuit Manufacturing (Factory based)</w:t>
            </w:r>
          </w:p>
          <w:p w14:paraId="3DFFAFC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1181 - Sugar Manufacturing</w:t>
            </w:r>
          </w:p>
          <w:p w14:paraId="1507BAC4"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1192 - Prepared Animal and Bird Feed Manufacturing</w:t>
            </w:r>
          </w:p>
          <w:p w14:paraId="6494B7A2"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1199 - Other Food Product Manufacturing n.e.c.</w:t>
            </w:r>
          </w:p>
          <w:p w14:paraId="3855B82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1212 - Beer Manufacturing</w:t>
            </w:r>
          </w:p>
          <w:p w14:paraId="4B86F5D4"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1213 - Spirit Manufacturing</w:t>
            </w:r>
          </w:p>
          <w:p w14:paraId="1391A64D"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1411 - Log Sawmilling</w:t>
            </w:r>
          </w:p>
          <w:p w14:paraId="55A59B1B"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1413 - Timber Resawing and Dressing</w:t>
            </w:r>
          </w:p>
          <w:p w14:paraId="4D3C516B"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1491 - Prefabricated Wooden Building Manufacturing</w:t>
            </w:r>
          </w:p>
          <w:p w14:paraId="1E0C645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1492 - Wooden Structural Fitting and Component Manufacturing</w:t>
            </w:r>
          </w:p>
          <w:p w14:paraId="5C714739"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1493 - Veneer and Plywood Manufacturing</w:t>
            </w:r>
          </w:p>
          <w:p w14:paraId="00C640B5"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1494 - Reconstituted Wood Product Manufacturing</w:t>
            </w:r>
          </w:p>
          <w:p w14:paraId="50AD21E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1499 - Other Wood Product Manufacturing n.e.c.</w:t>
            </w:r>
          </w:p>
          <w:p w14:paraId="1CFAF6C3"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1510 - Pulp, Paper and Paperboard Manufacturing</w:t>
            </w:r>
          </w:p>
          <w:p w14:paraId="62D9533B"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1529 - Other Converted Paper Product Manufacturing</w:t>
            </w:r>
          </w:p>
          <w:p w14:paraId="465AE7B5"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1701 - Petroleum Refining and Petroleum Fuel Manufacturing</w:t>
            </w:r>
          </w:p>
          <w:p w14:paraId="2877EC76"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1709 - Other Petroleum and Coal Product Manufacturing</w:t>
            </w:r>
          </w:p>
          <w:p w14:paraId="1BB73F50"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1811 - Industrial Gas Manufacturing</w:t>
            </w:r>
          </w:p>
          <w:p w14:paraId="6004AEB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1812 - Basic Organic Chemical Manufacturing</w:t>
            </w:r>
          </w:p>
          <w:p w14:paraId="2EB057D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1813 - Basic Inorganic Chemical Manufacturing</w:t>
            </w:r>
          </w:p>
          <w:p w14:paraId="3E276C89"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1821 - Synthetic Resin and Synthetic Rubber Manufacturing</w:t>
            </w:r>
          </w:p>
          <w:p w14:paraId="097BA6E7"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1831 - Fertiliser Manufacturing</w:t>
            </w:r>
          </w:p>
          <w:p w14:paraId="67BEAB4E"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1841 - Human Pharmaceutical and Medicinal Product Manufacturing</w:t>
            </w:r>
          </w:p>
          <w:p w14:paraId="18BEC2CE"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1852 - Cosmetic and Toiletry Preparation Manufacturing</w:t>
            </w:r>
          </w:p>
          <w:p w14:paraId="694408C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1892 - Explosive Manufacturing</w:t>
            </w:r>
          </w:p>
          <w:p w14:paraId="721210C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lastRenderedPageBreak/>
              <w:t>1899 - Other Basic Chemical Product Manufacturing n.e.c.</w:t>
            </w:r>
          </w:p>
          <w:p w14:paraId="3A1BD6D3"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1915 - Adhesive Manufacturing</w:t>
            </w:r>
          </w:p>
          <w:p w14:paraId="590D3FC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2010 - Glass and Glass Product Manufacturing</w:t>
            </w:r>
          </w:p>
          <w:p w14:paraId="6C54C16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2031 - Cement and Lime Manufacturing</w:t>
            </w:r>
          </w:p>
          <w:p w14:paraId="0A8CA640"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2032 - Plaster Product Manufacturing</w:t>
            </w:r>
          </w:p>
          <w:p w14:paraId="50D29547"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2090 - Other Non-Metallic Mineral Product Manufacturing</w:t>
            </w:r>
          </w:p>
          <w:p w14:paraId="39B5AF3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2110 - Iron Smelting and Steel Manufacturing</w:t>
            </w:r>
          </w:p>
          <w:p w14:paraId="0A0EC1F2"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2121 - Iron and Steel Casting</w:t>
            </w:r>
          </w:p>
          <w:p w14:paraId="73331DE7"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2131 - Alumina Production</w:t>
            </w:r>
          </w:p>
          <w:p w14:paraId="0B0F2194" w14:textId="1DFA8F34"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 xml:space="preserve">2132 - </w:t>
            </w:r>
            <w:r w:rsidR="00296A42" w:rsidRPr="00D157DF">
              <w:rPr>
                <w:rFonts w:asciiTheme="minorHAnsi" w:hAnsiTheme="minorHAnsi" w:cstheme="minorHAnsi"/>
                <w:sz w:val="18"/>
                <w:szCs w:val="18"/>
              </w:rPr>
              <w:t>Aluminum</w:t>
            </w:r>
            <w:r w:rsidRPr="00D157DF">
              <w:rPr>
                <w:rFonts w:asciiTheme="minorHAnsi" w:hAnsiTheme="minorHAnsi" w:cstheme="minorHAnsi"/>
                <w:sz w:val="18"/>
                <w:szCs w:val="18"/>
              </w:rPr>
              <w:t xml:space="preserve"> Smelting</w:t>
            </w:r>
          </w:p>
          <w:p w14:paraId="5E87EB94"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2133 - Copper, Silver, Lead and Zinc Smelting and Refining</w:t>
            </w:r>
          </w:p>
          <w:p w14:paraId="1F656B2D"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2139 - Other Basic Non-Ferrous Metal Manufacturing</w:t>
            </w:r>
          </w:p>
          <w:p w14:paraId="10CD721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2141 - Non-Ferrous Metal Casting</w:t>
            </w:r>
          </w:p>
          <w:p w14:paraId="349EC6E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2293 - Metal Coating and Finishing</w:t>
            </w:r>
          </w:p>
          <w:p w14:paraId="4A4170F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2394 - Aircraft Manufacturing and Repair Services</w:t>
            </w:r>
          </w:p>
          <w:p w14:paraId="4B98C1C0"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2431 - Electric Cable and Wire Manufacturing</w:t>
            </w:r>
          </w:p>
          <w:p w14:paraId="3E4DB7CB"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2511 - Wooden Furniture and Upholstered Seat Manufacturing</w:t>
            </w:r>
          </w:p>
        </w:tc>
      </w:tr>
      <w:tr w:rsidR="00623C30" w:rsidRPr="00993B73" w14:paraId="185E6D9B" w14:textId="77777777" w:rsidTr="004452F5">
        <w:trPr>
          <w:gridAfter w:val="1"/>
          <w:wAfter w:w="11" w:type="dxa"/>
        </w:trPr>
        <w:tc>
          <w:tcPr>
            <w:tcW w:w="2059" w:type="dxa"/>
            <w:shd w:val="clear" w:color="auto" w:fill="auto"/>
            <w:vAlign w:val="center"/>
          </w:tcPr>
          <w:p w14:paraId="3B27A16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 xml:space="preserve">E – Construction </w:t>
            </w:r>
          </w:p>
        </w:tc>
        <w:tc>
          <w:tcPr>
            <w:tcW w:w="6946" w:type="dxa"/>
            <w:shd w:val="clear" w:color="auto" w:fill="auto"/>
            <w:vAlign w:val="center"/>
          </w:tcPr>
          <w:p w14:paraId="7A68D59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3011 - House Construction</w:t>
            </w:r>
          </w:p>
          <w:p w14:paraId="22D62F5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3109 - Other Heavy and Civil Engineering Construction</w:t>
            </w:r>
          </w:p>
          <w:p w14:paraId="0DE3B6D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3211 - Land Development and Subdivision </w:t>
            </w:r>
          </w:p>
          <w:p w14:paraId="73EAF8F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3242 - Carpentry Services</w:t>
            </w:r>
          </w:p>
        </w:tc>
      </w:tr>
      <w:tr w:rsidR="00623C30" w:rsidRPr="00993B73" w14:paraId="7BE7964C" w14:textId="77777777" w:rsidTr="004452F5">
        <w:trPr>
          <w:gridAfter w:val="1"/>
          <w:wAfter w:w="11" w:type="dxa"/>
        </w:trPr>
        <w:tc>
          <w:tcPr>
            <w:tcW w:w="2059" w:type="dxa"/>
            <w:shd w:val="clear" w:color="auto" w:fill="auto"/>
            <w:vAlign w:val="center"/>
          </w:tcPr>
          <w:p w14:paraId="799FA49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M – Professional, Scientific and Technical Services</w:t>
            </w:r>
          </w:p>
        </w:tc>
        <w:tc>
          <w:tcPr>
            <w:tcW w:w="6946" w:type="dxa"/>
            <w:shd w:val="clear" w:color="auto" w:fill="auto"/>
            <w:vAlign w:val="center"/>
          </w:tcPr>
          <w:p w14:paraId="7C7AAB3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6910 - Scientific Research Services</w:t>
            </w:r>
          </w:p>
          <w:p w14:paraId="0907662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6925 - Scientific Testing and Analysis Services</w:t>
            </w:r>
          </w:p>
        </w:tc>
      </w:tr>
      <w:tr w:rsidR="00623C30" w:rsidRPr="0098199F" w14:paraId="39ADA550" w14:textId="77777777" w:rsidTr="004452F5">
        <w:tc>
          <w:tcPr>
            <w:tcW w:w="2059" w:type="dxa"/>
            <w:shd w:val="clear" w:color="auto" w:fill="auto"/>
            <w:vAlign w:val="center"/>
          </w:tcPr>
          <w:p w14:paraId="7E7DEC8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O – Public Administration and Safety</w:t>
            </w:r>
          </w:p>
        </w:tc>
        <w:tc>
          <w:tcPr>
            <w:tcW w:w="6957" w:type="dxa"/>
            <w:gridSpan w:val="2"/>
            <w:shd w:val="clear" w:color="auto" w:fill="auto"/>
            <w:vAlign w:val="center"/>
          </w:tcPr>
          <w:p w14:paraId="3FE7C7E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7600 – Defence</w:t>
            </w:r>
          </w:p>
          <w:p w14:paraId="39EC4F5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7719 - Other Public Order and Safety Services</w:t>
            </w:r>
          </w:p>
        </w:tc>
      </w:tr>
      <w:tr w:rsidR="00623C30" w:rsidRPr="00993B73" w14:paraId="77443EAF" w14:textId="77777777" w:rsidTr="004452F5">
        <w:trPr>
          <w:gridAfter w:val="1"/>
          <w:wAfter w:w="11" w:type="dxa"/>
        </w:trPr>
        <w:tc>
          <w:tcPr>
            <w:tcW w:w="2059" w:type="dxa"/>
            <w:shd w:val="clear" w:color="auto" w:fill="auto"/>
            <w:vAlign w:val="center"/>
          </w:tcPr>
          <w:p w14:paraId="55ABB19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Q – Health Care and Social Assistance</w:t>
            </w:r>
          </w:p>
        </w:tc>
        <w:tc>
          <w:tcPr>
            <w:tcW w:w="6946" w:type="dxa"/>
            <w:shd w:val="clear" w:color="auto" w:fill="auto"/>
            <w:vAlign w:val="center"/>
          </w:tcPr>
          <w:p w14:paraId="36C8212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8401 - Hospitals (Except Psychiatric Hospitals)</w:t>
            </w:r>
          </w:p>
          <w:p w14:paraId="36ABC8D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8520 - Pathology and Diagnostic Imaging Services</w:t>
            </w:r>
          </w:p>
        </w:tc>
      </w:tr>
      <w:tr w:rsidR="00623C30" w:rsidRPr="00993B73" w14:paraId="44E36FA6" w14:textId="77777777" w:rsidTr="004452F5">
        <w:trPr>
          <w:gridAfter w:val="1"/>
          <w:wAfter w:w="11" w:type="dxa"/>
        </w:trPr>
        <w:tc>
          <w:tcPr>
            <w:tcW w:w="2059" w:type="dxa"/>
            <w:shd w:val="clear" w:color="auto" w:fill="auto"/>
            <w:vAlign w:val="center"/>
          </w:tcPr>
          <w:p w14:paraId="1025BF5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S – Other Services</w:t>
            </w:r>
          </w:p>
        </w:tc>
        <w:tc>
          <w:tcPr>
            <w:tcW w:w="6946" w:type="dxa"/>
            <w:shd w:val="clear" w:color="auto" w:fill="auto"/>
            <w:vAlign w:val="center"/>
          </w:tcPr>
          <w:p w14:paraId="1329C7D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9520 - Funeral, Crematorium and Cemetery Services</w:t>
            </w:r>
          </w:p>
        </w:tc>
      </w:tr>
      <w:tr w:rsidR="00623C30" w:rsidRPr="00993B73" w14:paraId="3DA1EA2A" w14:textId="77777777" w:rsidTr="00296A42">
        <w:trPr>
          <w:gridAfter w:val="1"/>
          <w:wAfter w:w="11" w:type="dxa"/>
        </w:trPr>
        <w:tc>
          <w:tcPr>
            <w:tcW w:w="2059" w:type="dxa"/>
            <w:shd w:val="clear" w:color="auto" w:fill="91ACEC" w:themeFill="accent1" w:themeFillTint="99"/>
          </w:tcPr>
          <w:p w14:paraId="643EFB29" w14:textId="4FA6F949" w:rsidR="003F37E7" w:rsidRPr="00623C30" w:rsidRDefault="003F37E7" w:rsidP="00296A42">
            <w:pPr>
              <w:pStyle w:val="TableNText"/>
              <w:keepNext/>
              <w:keepLines/>
              <w:rPr>
                <w:rFonts w:asciiTheme="majorHAnsi" w:hAnsiTheme="majorHAnsi" w:cstheme="majorHAnsi"/>
                <w:b/>
                <w:sz w:val="18"/>
                <w:szCs w:val="24"/>
              </w:rPr>
            </w:pPr>
            <w:r w:rsidRPr="00623C30">
              <w:rPr>
                <w:rFonts w:asciiTheme="majorHAnsi" w:hAnsiTheme="majorHAnsi" w:cstheme="majorHAnsi"/>
                <w:b/>
                <w:sz w:val="18"/>
                <w:szCs w:val="24"/>
              </w:rPr>
              <w:t>Hydrogen cyanide</w:t>
            </w:r>
          </w:p>
        </w:tc>
        <w:tc>
          <w:tcPr>
            <w:tcW w:w="6946" w:type="dxa"/>
            <w:shd w:val="clear" w:color="auto" w:fill="91ACEC" w:themeFill="accent1" w:themeFillTint="99"/>
          </w:tcPr>
          <w:p w14:paraId="5F363526" w14:textId="77777777" w:rsidR="003F37E7" w:rsidRPr="00623C30" w:rsidRDefault="003F37E7" w:rsidP="00296A42">
            <w:pPr>
              <w:pStyle w:val="TableNText"/>
              <w:keepNext/>
              <w:keepLines/>
              <w:rPr>
                <w:rFonts w:asciiTheme="majorHAnsi" w:hAnsiTheme="majorHAnsi" w:cstheme="majorHAnsi"/>
                <w:b/>
                <w:sz w:val="18"/>
                <w:szCs w:val="24"/>
              </w:rPr>
            </w:pPr>
          </w:p>
        </w:tc>
      </w:tr>
      <w:tr w:rsidR="00623C30" w:rsidRPr="00623C30" w14:paraId="0A436F8A" w14:textId="77777777" w:rsidTr="004452F5">
        <w:trPr>
          <w:gridAfter w:val="1"/>
          <w:wAfter w:w="11" w:type="dxa"/>
        </w:trPr>
        <w:tc>
          <w:tcPr>
            <w:tcW w:w="2059" w:type="dxa"/>
            <w:shd w:val="clear" w:color="auto" w:fill="auto"/>
            <w:vAlign w:val="center"/>
          </w:tcPr>
          <w:p w14:paraId="07A134AA"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B - Mining</w:t>
            </w:r>
          </w:p>
        </w:tc>
        <w:tc>
          <w:tcPr>
            <w:tcW w:w="6946" w:type="dxa"/>
            <w:shd w:val="clear" w:color="auto" w:fill="auto"/>
            <w:vAlign w:val="center"/>
          </w:tcPr>
          <w:p w14:paraId="4E6E0458"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0600 - Coal Mining</w:t>
            </w:r>
          </w:p>
          <w:p w14:paraId="6DA992B6"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0803 - Copper Ore Mining</w:t>
            </w:r>
          </w:p>
          <w:p w14:paraId="1D6E3BCB"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0804 - Gold Ore Mining</w:t>
            </w:r>
          </w:p>
          <w:p w14:paraId="28F88EF9"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0806 - Nickel Ore Mining</w:t>
            </w:r>
          </w:p>
          <w:p w14:paraId="6291B115" w14:textId="77777777" w:rsidR="003F37E7" w:rsidRPr="00623C30" w:rsidRDefault="003F37E7" w:rsidP="00296A42">
            <w:pPr>
              <w:pStyle w:val="TableNText"/>
              <w:keepNext/>
              <w:keepLines/>
              <w:rPr>
                <w:rFonts w:asciiTheme="minorHAnsi" w:hAnsiTheme="minorHAnsi" w:cstheme="minorHAnsi"/>
                <w:sz w:val="18"/>
                <w:szCs w:val="24"/>
              </w:rPr>
            </w:pPr>
            <w:r w:rsidRPr="00623C30">
              <w:rPr>
                <w:rFonts w:asciiTheme="minorHAnsi" w:hAnsiTheme="minorHAnsi" w:cstheme="minorHAnsi"/>
                <w:sz w:val="18"/>
                <w:szCs w:val="24"/>
              </w:rPr>
              <w:t>0807 - Silver-Lead-Zinc Ore Mining</w:t>
            </w:r>
          </w:p>
        </w:tc>
      </w:tr>
      <w:tr w:rsidR="00623C30" w:rsidRPr="00623C30" w14:paraId="4CF246EE" w14:textId="77777777" w:rsidTr="004452F5">
        <w:trPr>
          <w:gridAfter w:val="1"/>
          <w:wAfter w:w="11" w:type="dxa"/>
        </w:trPr>
        <w:tc>
          <w:tcPr>
            <w:tcW w:w="2059" w:type="dxa"/>
            <w:shd w:val="clear" w:color="auto" w:fill="auto"/>
            <w:vAlign w:val="center"/>
          </w:tcPr>
          <w:p w14:paraId="581AACBD"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C – Manufacturing</w:t>
            </w:r>
          </w:p>
        </w:tc>
        <w:tc>
          <w:tcPr>
            <w:tcW w:w="6946" w:type="dxa"/>
            <w:shd w:val="clear" w:color="auto" w:fill="auto"/>
            <w:vAlign w:val="center"/>
          </w:tcPr>
          <w:p w14:paraId="1261C3ED"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1701 - Petroleum Refining and Petroleum Fuel Manufacturing</w:t>
            </w:r>
          </w:p>
          <w:p w14:paraId="4BA618D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1813 - Basic Inorganic Chemical Manufacturing</w:t>
            </w:r>
          </w:p>
          <w:p w14:paraId="3E13BD5B"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1831 - Fertiliser Manufacturing</w:t>
            </w:r>
          </w:p>
          <w:p w14:paraId="16543051"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2110 - Iron Smelting and Steel Manufacturing</w:t>
            </w:r>
          </w:p>
          <w:p w14:paraId="36CE4840"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2121 - Iron and Steel Casting</w:t>
            </w:r>
          </w:p>
          <w:p w14:paraId="22B69B44"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2133 - Copper, Silver, Lead and Zinc Smelting and Refining</w:t>
            </w:r>
          </w:p>
          <w:p w14:paraId="526F3547"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2139 - Other Basic Non-Ferrous Metal Manufacturing</w:t>
            </w:r>
          </w:p>
          <w:p w14:paraId="0F5BB9C4"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2293 - Metal Coating and Finishing</w:t>
            </w:r>
          </w:p>
        </w:tc>
      </w:tr>
      <w:tr w:rsidR="00623C30" w:rsidRPr="0098199F" w14:paraId="3A576FF9" w14:textId="77777777" w:rsidTr="004452F5">
        <w:tc>
          <w:tcPr>
            <w:tcW w:w="2059" w:type="dxa"/>
            <w:shd w:val="clear" w:color="auto" w:fill="auto"/>
            <w:vAlign w:val="center"/>
          </w:tcPr>
          <w:p w14:paraId="0597F12E"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O – Public Administration and Safety</w:t>
            </w:r>
          </w:p>
        </w:tc>
        <w:tc>
          <w:tcPr>
            <w:tcW w:w="6957" w:type="dxa"/>
            <w:gridSpan w:val="2"/>
            <w:shd w:val="clear" w:color="auto" w:fill="auto"/>
            <w:vAlign w:val="center"/>
          </w:tcPr>
          <w:p w14:paraId="310C2796" w14:textId="77777777" w:rsidR="003F37E7" w:rsidRPr="00623C30" w:rsidRDefault="003F37E7" w:rsidP="000867AE">
            <w:pPr>
              <w:pStyle w:val="TableNText"/>
              <w:rPr>
                <w:rFonts w:asciiTheme="minorHAnsi" w:hAnsiTheme="minorHAnsi" w:cstheme="minorHAnsi"/>
                <w:sz w:val="18"/>
                <w:szCs w:val="24"/>
              </w:rPr>
            </w:pPr>
            <w:r w:rsidRPr="00623C30">
              <w:rPr>
                <w:rFonts w:asciiTheme="minorHAnsi" w:hAnsiTheme="minorHAnsi" w:cstheme="minorHAnsi"/>
                <w:sz w:val="18"/>
                <w:szCs w:val="24"/>
              </w:rPr>
              <w:t>7719 - Other Public Order and Safety Services</w:t>
            </w:r>
          </w:p>
        </w:tc>
      </w:tr>
      <w:tr w:rsidR="00623C30" w:rsidRPr="00993B73" w14:paraId="204FE6B2" w14:textId="77777777" w:rsidTr="00296A42">
        <w:trPr>
          <w:gridAfter w:val="1"/>
          <w:wAfter w:w="11" w:type="dxa"/>
        </w:trPr>
        <w:tc>
          <w:tcPr>
            <w:tcW w:w="2059" w:type="dxa"/>
            <w:shd w:val="clear" w:color="auto" w:fill="91ACEC" w:themeFill="accent1" w:themeFillTint="99"/>
          </w:tcPr>
          <w:p w14:paraId="476F6C10" w14:textId="11028108" w:rsidR="003F37E7" w:rsidRPr="00623C30" w:rsidRDefault="003F37E7" w:rsidP="000867AE">
            <w:pPr>
              <w:pStyle w:val="TableNText"/>
              <w:rPr>
                <w:rFonts w:asciiTheme="majorHAnsi" w:hAnsiTheme="majorHAnsi" w:cstheme="majorHAnsi"/>
                <w:b/>
                <w:sz w:val="18"/>
                <w:szCs w:val="24"/>
              </w:rPr>
            </w:pPr>
            <w:r w:rsidRPr="00623C30">
              <w:rPr>
                <w:rFonts w:asciiTheme="majorHAnsi" w:hAnsiTheme="majorHAnsi" w:cstheme="majorHAnsi"/>
                <w:b/>
                <w:sz w:val="18"/>
                <w:szCs w:val="24"/>
              </w:rPr>
              <w:lastRenderedPageBreak/>
              <w:t>Hydrogen sul</w:t>
            </w:r>
            <w:r w:rsidR="00623C30" w:rsidRPr="00623C30">
              <w:rPr>
                <w:rFonts w:asciiTheme="majorHAnsi" w:hAnsiTheme="majorHAnsi" w:cstheme="majorHAnsi"/>
                <w:b/>
                <w:sz w:val="18"/>
                <w:szCs w:val="24"/>
              </w:rPr>
              <w:t>f</w:t>
            </w:r>
            <w:r w:rsidRPr="00623C30">
              <w:rPr>
                <w:rFonts w:asciiTheme="majorHAnsi" w:hAnsiTheme="majorHAnsi" w:cstheme="majorHAnsi"/>
                <w:b/>
                <w:sz w:val="18"/>
                <w:szCs w:val="24"/>
              </w:rPr>
              <w:t>ide</w:t>
            </w:r>
          </w:p>
        </w:tc>
        <w:tc>
          <w:tcPr>
            <w:tcW w:w="6946" w:type="dxa"/>
            <w:shd w:val="clear" w:color="auto" w:fill="91ACEC" w:themeFill="accent1" w:themeFillTint="99"/>
          </w:tcPr>
          <w:p w14:paraId="18917C07" w14:textId="77777777" w:rsidR="003F37E7" w:rsidRPr="00623C30" w:rsidRDefault="003F37E7" w:rsidP="000867AE">
            <w:pPr>
              <w:pStyle w:val="TableNText"/>
              <w:rPr>
                <w:rFonts w:asciiTheme="majorHAnsi" w:hAnsiTheme="majorHAnsi" w:cstheme="majorHAnsi"/>
                <w:b/>
                <w:sz w:val="18"/>
                <w:szCs w:val="24"/>
              </w:rPr>
            </w:pPr>
          </w:p>
        </w:tc>
      </w:tr>
      <w:tr w:rsidR="00623C30" w:rsidRPr="00623C30" w14:paraId="7E4DBB77" w14:textId="77777777" w:rsidTr="004452F5">
        <w:trPr>
          <w:gridAfter w:val="1"/>
          <w:wAfter w:w="11" w:type="dxa"/>
        </w:trPr>
        <w:tc>
          <w:tcPr>
            <w:tcW w:w="2059" w:type="dxa"/>
            <w:shd w:val="clear" w:color="auto" w:fill="auto"/>
            <w:vAlign w:val="center"/>
          </w:tcPr>
          <w:p w14:paraId="3451FF7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B - Mining</w:t>
            </w:r>
          </w:p>
        </w:tc>
        <w:tc>
          <w:tcPr>
            <w:tcW w:w="6946" w:type="dxa"/>
            <w:shd w:val="clear" w:color="auto" w:fill="auto"/>
            <w:vAlign w:val="center"/>
          </w:tcPr>
          <w:p w14:paraId="48C1AEE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0600 - Coal Mining</w:t>
            </w:r>
          </w:p>
          <w:p w14:paraId="495EA7E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0700 - Oil and Gas Extraction</w:t>
            </w:r>
          </w:p>
          <w:p w14:paraId="4F5B612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0806 - Nickel Ore Mining</w:t>
            </w:r>
          </w:p>
          <w:p w14:paraId="7FAA8C5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1011 - Petroleum Exploration</w:t>
            </w:r>
          </w:p>
          <w:p w14:paraId="4CD63BB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1012 - Mineral Exploration</w:t>
            </w:r>
          </w:p>
          <w:p w14:paraId="51BDED8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1090 - Other Mining Support Services</w:t>
            </w:r>
          </w:p>
        </w:tc>
      </w:tr>
      <w:tr w:rsidR="00623C30" w:rsidRPr="00623C30" w14:paraId="4F0458E4" w14:textId="77777777" w:rsidTr="004452F5">
        <w:trPr>
          <w:gridAfter w:val="1"/>
          <w:wAfter w:w="11" w:type="dxa"/>
        </w:trPr>
        <w:tc>
          <w:tcPr>
            <w:tcW w:w="2059" w:type="dxa"/>
            <w:shd w:val="clear" w:color="auto" w:fill="auto"/>
            <w:vAlign w:val="center"/>
          </w:tcPr>
          <w:p w14:paraId="071DAE4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18B2CE5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1701 - Petroleum Refining and Petroleum Fuel Manufacturing</w:t>
            </w:r>
          </w:p>
          <w:p w14:paraId="1EA32B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1709 - Other Petroleum and Coal Product Manufacturing</w:t>
            </w:r>
          </w:p>
          <w:p w14:paraId="74BF77A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1813 - Basic Inorganic Chemical Manufacturing</w:t>
            </w:r>
          </w:p>
          <w:p w14:paraId="705DA14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1831 - Fertiliser Manufacturing</w:t>
            </w:r>
          </w:p>
          <w:p w14:paraId="5301CED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2110 - Iron Smelting and Steel Manufacturing</w:t>
            </w:r>
          </w:p>
          <w:p w14:paraId="07687C5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2121 - Iron and Steel Casting</w:t>
            </w:r>
          </w:p>
          <w:p w14:paraId="4E773A4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2139 - Other Basic Non-Ferrous Metal Manufacturing</w:t>
            </w:r>
          </w:p>
        </w:tc>
      </w:tr>
      <w:tr w:rsidR="00623C30" w:rsidRPr="00623C30" w14:paraId="11DD50F4" w14:textId="77777777" w:rsidTr="004452F5">
        <w:trPr>
          <w:gridAfter w:val="1"/>
          <w:wAfter w:w="11" w:type="dxa"/>
        </w:trPr>
        <w:tc>
          <w:tcPr>
            <w:tcW w:w="2059" w:type="dxa"/>
            <w:shd w:val="clear" w:color="auto" w:fill="auto"/>
            <w:vAlign w:val="center"/>
          </w:tcPr>
          <w:p w14:paraId="74D2F02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D – Electricity, Gas, Water and Waste Services</w:t>
            </w:r>
          </w:p>
        </w:tc>
        <w:tc>
          <w:tcPr>
            <w:tcW w:w="6946" w:type="dxa"/>
            <w:shd w:val="clear" w:color="auto" w:fill="auto"/>
            <w:vAlign w:val="center"/>
          </w:tcPr>
          <w:p w14:paraId="5B53F36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2812 - Sewerage and Drainage Services</w:t>
            </w:r>
          </w:p>
          <w:p w14:paraId="3EAD1A7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2921 - Waste Treatment and Disposal Services</w:t>
            </w:r>
          </w:p>
        </w:tc>
      </w:tr>
      <w:tr w:rsidR="00623C30" w:rsidRPr="0098199F" w14:paraId="0ED9CBE3" w14:textId="77777777" w:rsidTr="004452F5">
        <w:tc>
          <w:tcPr>
            <w:tcW w:w="2059" w:type="dxa"/>
            <w:shd w:val="clear" w:color="auto" w:fill="auto"/>
            <w:vAlign w:val="center"/>
          </w:tcPr>
          <w:p w14:paraId="72774E9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E – Construction </w:t>
            </w:r>
          </w:p>
        </w:tc>
        <w:tc>
          <w:tcPr>
            <w:tcW w:w="6957" w:type="dxa"/>
            <w:gridSpan w:val="2"/>
            <w:shd w:val="clear" w:color="auto" w:fill="auto"/>
            <w:vAlign w:val="center"/>
          </w:tcPr>
          <w:p w14:paraId="660E1E2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3011 - House Construction</w:t>
            </w:r>
          </w:p>
          <w:p w14:paraId="46A7228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3109 - Other Heavy and Civil Engineering Construction</w:t>
            </w:r>
          </w:p>
          <w:p w14:paraId="14E4212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3211 - Land Development and Subdivision</w:t>
            </w:r>
          </w:p>
        </w:tc>
      </w:tr>
      <w:tr w:rsidR="00623C30" w:rsidRPr="00993B73" w14:paraId="3B27598F" w14:textId="77777777" w:rsidTr="00296A42">
        <w:trPr>
          <w:gridAfter w:val="1"/>
          <w:wAfter w:w="11" w:type="dxa"/>
        </w:trPr>
        <w:tc>
          <w:tcPr>
            <w:tcW w:w="2059" w:type="dxa"/>
            <w:shd w:val="clear" w:color="auto" w:fill="91ACEC" w:themeFill="accent1" w:themeFillTint="99"/>
          </w:tcPr>
          <w:p w14:paraId="546F85B3" w14:textId="1EBB84EB" w:rsidR="003F37E7" w:rsidRPr="00623C30" w:rsidRDefault="003F37E7" w:rsidP="000867AE">
            <w:pPr>
              <w:pStyle w:val="TableNText"/>
              <w:rPr>
                <w:rFonts w:asciiTheme="majorHAnsi" w:hAnsiTheme="majorHAnsi" w:cstheme="majorHAnsi"/>
                <w:b/>
              </w:rPr>
            </w:pPr>
            <w:r w:rsidRPr="00623C30">
              <w:rPr>
                <w:rFonts w:asciiTheme="majorHAnsi" w:hAnsiTheme="majorHAnsi" w:cstheme="majorHAnsi"/>
                <w:b/>
              </w:rPr>
              <w:t>Nitrogen dioxide</w:t>
            </w:r>
          </w:p>
        </w:tc>
        <w:tc>
          <w:tcPr>
            <w:tcW w:w="6946" w:type="dxa"/>
            <w:shd w:val="clear" w:color="auto" w:fill="91ACEC" w:themeFill="accent1" w:themeFillTint="99"/>
          </w:tcPr>
          <w:p w14:paraId="556913BF" w14:textId="77777777" w:rsidR="003F37E7" w:rsidRPr="00623C30" w:rsidRDefault="003F37E7" w:rsidP="000867AE">
            <w:pPr>
              <w:pStyle w:val="TableNText"/>
              <w:rPr>
                <w:rFonts w:asciiTheme="majorHAnsi" w:hAnsiTheme="majorHAnsi" w:cstheme="majorHAnsi"/>
                <w:b/>
              </w:rPr>
            </w:pPr>
          </w:p>
        </w:tc>
      </w:tr>
      <w:tr w:rsidR="00623C30" w:rsidRPr="00623C30" w14:paraId="015C3FE7" w14:textId="77777777" w:rsidTr="004452F5">
        <w:trPr>
          <w:gridAfter w:val="1"/>
          <w:wAfter w:w="11" w:type="dxa"/>
        </w:trPr>
        <w:tc>
          <w:tcPr>
            <w:tcW w:w="2059" w:type="dxa"/>
            <w:shd w:val="clear" w:color="auto" w:fill="auto"/>
            <w:vAlign w:val="center"/>
          </w:tcPr>
          <w:p w14:paraId="6FA38E4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A – Agriculture</w:t>
            </w:r>
          </w:p>
        </w:tc>
        <w:tc>
          <w:tcPr>
            <w:tcW w:w="6946" w:type="dxa"/>
            <w:shd w:val="clear" w:color="auto" w:fill="auto"/>
            <w:vAlign w:val="center"/>
          </w:tcPr>
          <w:p w14:paraId="70951C2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0143 - Beef Cattle Feedlots (Specialised)</w:t>
            </w:r>
          </w:p>
          <w:p w14:paraId="23658AB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0171 - Poultry Farming (Meat)</w:t>
            </w:r>
          </w:p>
          <w:p w14:paraId="0986544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0192 - Pig Farming</w:t>
            </w:r>
          </w:p>
        </w:tc>
      </w:tr>
      <w:tr w:rsidR="00623C30" w:rsidRPr="00623C30" w14:paraId="598BFA40" w14:textId="77777777" w:rsidTr="004452F5">
        <w:trPr>
          <w:gridAfter w:val="1"/>
          <w:wAfter w:w="11" w:type="dxa"/>
        </w:trPr>
        <w:tc>
          <w:tcPr>
            <w:tcW w:w="2059" w:type="dxa"/>
            <w:shd w:val="clear" w:color="auto" w:fill="auto"/>
            <w:vAlign w:val="center"/>
          </w:tcPr>
          <w:p w14:paraId="4B0C2A0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B – Mining</w:t>
            </w:r>
          </w:p>
        </w:tc>
        <w:tc>
          <w:tcPr>
            <w:tcW w:w="6946" w:type="dxa"/>
            <w:shd w:val="clear" w:color="auto" w:fill="auto"/>
            <w:vAlign w:val="center"/>
          </w:tcPr>
          <w:p w14:paraId="2CB62A3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0600 - Coal Mining</w:t>
            </w:r>
          </w:p>
          <w:p w14:paraId="637E37B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0700 - Oil and Gas Extraction</w:t>
            </w:r>
          </w:p>
          <w:p w14:paraId="7C2CB9C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0801 - Iron Ore Mining</w:t>
            </w:r>
          </w:p>
          <w:p w14:paraId="5AE0E88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0802 - Bauxite Mining</w:t>
            </w:r>
          </w:p>
          <w:p w14:paraId="0144809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0803 - Copper Ore Mining</w:t>
            </w:r>
          </w:p>
          <w:p w14:paraId="3C0617F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0804 - Gold Ore Mining</w:t>
            </w:r>
          </w:p>
          <w:p w14:paraId="50D33DC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0805 - Mineral Sand Mining</w:t>
            </w:r>
          </w:p>
          <w:p w14:paraId="52F5935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0806 - Nickel Ore Mining</w:t>
            </w:r>
          </w:p>
          <w:p w14:paraId="32227C9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0807 - Silver-Lead-Zinc Ore Mining</w:t>
            </w:r>
          </w:p>
          <w:p w14:paraId="7011D29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0809 - Other Metal Ore Mining</w:t>
            </w:r>
          </w:p>
          <w:p w14:paraId="76C7E33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0911 - Gravel and Sand Quarrying</w:t>
            </w:r>
          </w:p>
          <w:p w14:paraId="6D6557A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0919 - Other Construction Material Mining</w:t>
            </w:r>
          </w:p>
          <w:p w14:paraId="63DF857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0990 - Other Non-Metallic Mineral Mining and Quarrying</w:t>
            </w:r>
          </w:p>
          <w:p w14:paraId="110F24A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1011 - Petroleum Exploration</w:t>
            </w:r>
          </w:p>
          <w:p w14:paraId="0CFEFEE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1012 - Mineral Exploration</w:t>
            </w:r>
          </w:p>
          <w:p w14:paraId="2D84C52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1090 - Other Mining Support Services</w:t>
            </w:r>
          </w:p>
        </w:tc>
      </w:tr>
      <w:tr w:rsidR="00623C30" w:rsidRPr="00623C30" w14:paraId="0D973E4A" w14:textId="77777777" w:rsidTr="004452F5">
        <w:trPr>
          <w:gridAfter w:val="1"/>
          <w:wAfter w:w="11" w:type="dxa"/>
        </w:trPr>
        <w:tc>
          <w:tcPr>
            <w:tcW w:w="2059" w:type="dxa"/>
            <w:shd w:val="clear" w:color="auto" w:fill="auto"/>
            <w:vAlign w:val="center"/>
          </w:tcPr>
          <w:p w14:paraId="6A0C52F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75D7FF9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1111 - Meat Processing</w:t>
            </w:r>
          </w:p>
          <w:p w14:paraId="7A75E5C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1112 - Poultry Processing</w:t>
            </w:r>
          </w:p>
          <w:p w14:paraId="17FBEE1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1113 - Cured Meat and Smallgoods Manufacturing</w:t>
            </w:r>
          </w:p>
          <w:p w14:paraId="36EA8FA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1131 - Milk and Cream Processing</w:t>
            </w:r>
          </w:p>
          <w:p w14:paraId="5F95A73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1132 - Ice Cream Manufacturing</w:t>
            </w:r>
          </w:p>
          <w:p w14:paraId="0B3D205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1133 - Cheese and Other Dairy Product Manufacturing</w:t>
            </w:r>
          </w:p>
          <w:p w14:paraId="430E229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1140 - Fruit and Vegetable Processing</w:t>
            </w:r>
          </w:p>
          <w:p w14:paraId="1050C54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1150 - Oil and Fat Manufacturing</w:t>
            </w:r>
          </w:p>
          <w:p w14:paraId="05AE16C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1161 - Grain Mill Product Manufacturing</w:t>
            </w:r>
          </w:p>
          <w:p w14:paraId="02ABC6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1162 - Cereal, Pasta and Baking Mix Manufacturing</w:t>
            </w:r>
          </w:p>
          <w:p w14:paraId="12F0B4A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1171 - Bread Manufacturing (Factory based)</w:t>
            </w:r>
          </w:p>
          <w:p w14:paraId="374F6F8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1172 - Cake and Pastry Manufacturing (Factory based)</w:t>
            </w:r>
          </w:p>
          <w:p w14:paraId="7D760DA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1173 - Biscuit Manufacturing (Factory based)</w:t>
            </w:r>
          </w:p>
          <w:p w14:paraId="34F7367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1181 - Sugar Manufacturing</w:t>
            </w:r>
          </w:p>
          <w:p w14:paraId="0AF1F31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1182 - Confectionery Manufacturing</w:t>
            </w:r>
          </w:p>
          <w:p w14:paraId="7F085E9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1191 - Potato, Corn and Other Crisp Manufacturing</w:t>
            </w:r>
          </w:p>
          <w:p w14:paraId="7F22F7B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1192 - Prepared Animal and Bird Feed Manufacturing</w:t>
            </w:r>
          </w:p>
          <w:p w14:paraId="7B860E5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1199 - Other Food Product Manufacturing n.e.c.</w:t>
            </w:r>
          </w:p>
          <w:p w14:paraId="60E1A20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1211 - Soft Drink, Cordial and Syrup Manufacturing</w:t>
            </w:r>
          </w:p>
          <w:p w14:paraId="4B11F92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1212 - Beer Manufacturing</w:t>
            </w:r>
          </w:p>
          <w:p w14:paraId="0B911F3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1213 - Spirit Manufacturing</w:t>
            </w:r>
          </w:p>
          <w:p w14:paraId="59687CF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1214 - Wine and Other Alcoholic Beverage Manufacturing</w:t>
            </w:r>
          </w:p>
          <w:p w14:paraId="188E073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1311 - Wool Scouring</w:t>
            </w:r>
          </w:p>
          <w:p w14:paraId="1BB77E6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1320 - Leather Tanning, Fur Dressing and Leather Product Manufacturing</w:t>
            </w:r>
          </w:p>
          <w:p w14:paraId="697922D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1331 - Textile Floor Covering Manufacturing</w:t>
            </w:r>
          </w:p>
          <w:p w14:paraId="673966E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1334 - Textile Finishing and Other Textile Product Manufacturing</w:t>
            </w:r>
          </w:p>
          <w:p w14:paraId="202D372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1411 - Log Sawmilling</w:t>
            </w:r>
          </w:p>
          <w:p w14:paraId="01A9DCD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1413 - Timber Resawing and Dressing</w:t>
            </w:r>
          </w:p>
          <w:p w14:paraId="6C88E4E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1493 - Veneer and Plywood Manufacturing</w:t>
            </w:r>
          </w:p>
          <w:p w14:paraId="5AC1C3B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1494 - Reconstituted Wood Product Manufacturing</w:t>
            </w:r>
          </w:p>
          <w:p w14:paraId="567D199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1499 - Other Wood Product Manufacturing n.e.c.</w:t>
            </w:r>
          </w:p>
          <w:p w14:paraId="184CA4B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1510 - Pulp, Paper and Paperboard Manufacturing</w:t>
            </w:r>
          </w:p>
          <w:p w14:paraId="4F57733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1521 - Corrugated Paperboard and Paperboard Container Manufacturing</w:t>
            </w:r>
          </w:p>
          <w:p w14:paraId="68EBFF6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1529 - Other Converted Paper Product Manufacturing</w:t>
            </w:r>
          </w:p>
          <w:p w14:paraId="40B257B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1611 - Printing</w:t>
            </w:r>
          </w:p>
          <w:p w14:paraId="14DB783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1701 - Petroleum Refining and Petroleum Fuel Manufacturing</w:t>
            </w:r>
          </w:p>
          <w:p w14:paraId="429EEDE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1709 - Other Petroleum and Coal Product Manufacturing</w:t>
            </w:r>
          </w:p>
          <w:p w14:paraId="6619ABA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1811 - Industrial Gas Manufacturing</w:t>
            </w:r>
          </w:p>
          <w:p w14:paraId="01DB25B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1812 - Basic Organic Chemical Manufacturing</w:t>
            </w:r>
          </w:p>
          <w:p w14:paraId="4F42EDF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1813 - Basic Inorganic Chemical Manufacturing</w:t>
            </w:r>
          </w:p>
          <w:p w14:paraId="55AF182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1821 - Synthetic Resin and Synthetic Rubber Manufacturing</w:t>
            </w:r>
          </w:p>
          <w:p w14:paraId="393FA78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1829 - Other Basic Polymer Manufacturing</w:t>
            </w:r>
          </w:p>
          <w:p w14:paraId="5A0BBC5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1831 - Fertiliser Manufacturing</w:t>
            </w:r>
          </w:p>
          <w:p w14:paraId="0F443F1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1832 - Pesticide Manufacturing</w:t>
            </w:r>
          </w:p>
          <w:p w14:paraId="483498F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1841 - Human Pharmaceutical and Medicinal Product Manufacturing</w:t>
            </w:r>
          </w:p>
          <w:p w14:paraId="24DD062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1851 - Cleaning Compound Manufacturing</w:t>
            </w:r>
          </w:p>
          <w:p w14:paraId="4E412E5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1852 - Cosmetic and Toiletry Preparation Manufacturing</w:t>
            </w:r>
          </w:p>
          <w:p w14:paraId="359C110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1892 - Explosive Manufacturing</w:t>
            </w:r>
          </w:p>
          <w:p w14:paraId="3F462DA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1899 - Other Basic Chemical Product Manufacturing n.e.c.</w:t>
            </w:r>
          </w:p>
          <w:p w14:paraId="02535AE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1911 - Polymer Film and Sheet Packaging Material Manufacturing</w:t>
            </w:r>
          </w:p>
          <w:p w14:paraId="52D24E7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1912 - Rigid and Semi-Rigid Polymer Product Manufacturing</w:t>
            </w:r>
          </w:p>
          <w:p w14:paraId="691823A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1913 - Polymer Foam Product Manufacturing</w:t>
            </w:r>
          </w:p>
          <w:p w14:paraId="5E1DF13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1914 - Tyre Manufacturing</w:t>
            </w:r>
          </w:p>
          <w:p w14:paraId="3DBC133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1915 - Adhesive Manufacturing</w:t>
            </w:r>
          </w:p>
          <w:p w14:paraId="7338FF7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1916 - Paint and Coatings Manufacturing</w:t>
            </w:r>
          </w:p>
          <w:p w14:paraId="6CAD48B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1919 - Other Polymer Product Manufacturing</w:t>
            </w:r>
          </w:p>
          <w:p w14:paraId="4ECAFE8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1920 - Natural Rubber Product Manufacturing</w:t>
            </w:r>
          </w:p>
          <w:p w14:paraId="5C93527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2010 - Glass and Glass Product Manufacturing</w:t>
            </w:r>
          </w:p>
          <w:p w14:paraId="1AD0704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2021 - Clay Brick Manufacturing</w:t>
            </w:r>
          </w:p>
          <w:p w14:paraId="496F6E9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2029 - Other Ceramic Product Manufacturing</w:t>
            </w:r>
          </w:p>
          <w:p w14:paraId="52F17B4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2031 - Cement and Lime Manufacturing</w:t>
            </w:r>
          </w:p>
          <w:p w14:paraId="151435E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2032 - Plaster Product Manufacturing</w:t>
            </w:r>
          </w:p>
          <w:p w14:paraId="4363CAB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2033 - Ready-Mixed Concrete Manufacturing</w:t>
            </w:r>
          </w:p>
          <w:p w14:paraId="6664770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2034 - Concrete Product Manufacturing</w:t>
            </w:r>
          </w:p>
          <w:p w14:paraId="3736B88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2090 - Other Non-Metallic Mineral Product Manufacturing</w:t>
            </w:r>
          </w:p>
          <w:p w14:paraId="4953133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2110 - Iron Smelting and Steel Manufacturing</w:t>
            </w:r>
          </w:p>
          <w:p w14:paraId="13146FC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2121 - Iron and Steel Casting</w:t>
            </w:r>
          </w:p>
          <w:p w14:paraId="121126D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2122 - Steel Pipe and Tube Manufacturing</w:t>
            </w:r>
          </w:p>
          <w:p w14:paraId="370C087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2131 - Alumina Production</w:t>
            </w:r>
          </w:p>
          <w:p w14:paraId="63AE329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2132 - Aluminium Smelting</w:t>
            </w:r>
          </w:p>
          <w:p w14:paraId="2CD8D2B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2133 - Copper, Silver, Lead and Zinc Smelting and Refining</w:t>
            </w:r>
          </w:p>
          <w:p w14:paraId="1519290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2139 - Other Basic Non-Ferrous Metal Manufacturing</w:t>
            </w:r>
          </w:p>
          <w:p w14:paraId="0147A3E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2141 - Non-Ferrous Metal Casting</w:t>
            </w:r>
          </w:p>
          <w:p w14:paraId="3467646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2142 - Aluminium Rolling, Drawing, Extruding</w:t>
            </w:r>
          </w:p>
          <w:p w14:paraId="7D849A7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2210 - Iron and Steel Forging</w:t>
            </w:r>
          </w:p>
          <w:p w14:paraId="6325B52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2221 - Structural Steel Fabricating</w:t>
            </w:r>
          </w:p>
          <w:p w14:paraId="38A3A88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2229 - Other Structural Metal Product Manufacturing</w:t>
            </w:r>
          </w:p>
          <w:p w14:paraId="7984490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2239 - Other Metal Container Manufacturing</w:t>
            </w:r>
          </w:p>
          <w:p w14:paraId="62F3A96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2291 - Spring and Wire Product Manufacturing</w:t>
            </w:r>
          </w:p>
          <w:p w14:paraId="38B5BB7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2292 - Nut, Bolt, Screw and Rivet Manufacturing</w:t>
            </w:r>
          </w:p>
          <w:p w14:paraId="2EE68EA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2293 - Metal Coating and Finishing</w:t>
            </w:r>
          </w:p>
          <w:p w14:paraId="5DFBEAF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2311 - Motor Vehicle Manufacturing</w:t>
            </w:r>
          </w:p>
          <w:p w14:paraId="247121E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2319 - Other Motor Vehicle Parts Manufacturing</w:t>
            </w:r>
          </w:p>
          <w:p w14:paraId="232F5D0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2393 - Railway Rolling Stock Manufacturing and Repair Services</w:t>
            </w:r>
          </w:p>
          <w:p w14:paraId="6B10F73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2394 - Aircraft Manufacturing and Repair Services</w:t>
            </w:r>
          </w:p>
          <w:p w14:paraId="04E9B84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2412 - Medical and Surgical Equipment Manufacturing</w:t>
            </w:r>
          </w:p>
          <w:p w14:paraId="154E480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2431 - Electric Cable and Wire Manufacturing</w:t>
            </w:r>
          </w:p>
          <w:p w14:paraId="772E8AD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2439 - Other Electrical Equipment Manufacturing</w:t>
            </w:r>
          </w:p>
          <w:p w14:paraId="4F91207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2441 - Whiteware Appliance Manufacturing</w:t>
            </w:r>
          </w:p>
        </w:tc>
      </w:tr>
      <w:tr w:rsidR="00623C30" w:rsidRPr="00623C30" w14:paraId="2316B834" w14:textId="77777777" w:rsidTr="004452F5">
        <w:trPr>
          <w:gridAfter w:val="1"/>
          <w:wAfter w:w="11" w:type="dxa"/>
        </w:trPr>
        <w:tc>
          <w:tcPr>
            <w:tcW w:w="2059" w:type="dxa"/>
            <w:shd w:val="clear" w:color="auto" w:fill="auto"/>
            <w:vAlign w:val="center"/>
          </w:tcPr>
          <w:p w14:paraId="7E3D542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D – Electricity, Gas, Water and Waste Services</w:t>
            </w:r>
          </w:p>
        </w:tc>
        <w:tc>
          <w:tcPr>
            <w:tcW w:w="6946" w:type="dxa"/>
            <w:shd w:val="clear" w:color="auto" w:fill="auto"/>
            <w:vAlign w:val="center"/>
          </w:tcPr>
          <w:p w14:paraId="11D3448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2611 - Fossil Fuel Electricity Generation</w:t>
            </w:r>
          </w:p>
          <w:p w14:paraId="70F7A99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2612 - Hydro-Electricity Generation</w:t>
            </w:r>
          </w:p>
          <w:p w14:paraId="6832879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2619 - Other Electricity Generation</w:t>
            </w:r>
          </w:p>
          <w:p w14:paraId="75893F8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2700 - Gas Supply</w:t>
            </w:r>
          </w:p>
          <w:p w14:paraId="2D568E9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2811 - Water Supply</w:t>
            </w:r>
          </w:p>
          <w:p w14:paraId="6CA9C0A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2812 - Sewerage and Drainage Services</w:t>
            </w:r>
          </w:p>
          <w:p w14:paraId="474F9EA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2911 - Solid Waste Collection Services</w:t>
            </w:r>
          </w:p>
          <w:p w14:paraId="54874A0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2921 - Waste Treatment and Disposal Services</w:t>
            </w:r>
          </w:p>
          <w:p w14:paraId="6530FAE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2922 - Waste Remediation and Materials Recovery Services</w:t>
            </w:r>
          </w:p>
        </w:tc>
      </w:tr>
      <w:tr w:rsidR="00623C30" w:rsidRPr="00623C30" w14:paraId="1AED7CAA" w14:textId="77777777" w:rsidTr="004452F5">
        <w:trPr>
          <w:gridAfter w:val="1"/>
          <w:wAfter w:w="11" w:type="dxa"/>
        </w:trPr>
        <w:tc>
          <w:tcPr>
            <w:tcW w:w="2059" w:type="dxa"/>
            <w:shd w:val="clear" w:color="auto" w:fill="auto"/>
            <w:vAlign w:val="center"/>
          </w:tcPr>
          <w:p w14:paraId="39A56A8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I – Transport, Postal and Warehousing</w:t>
            </w:r>
          </w:p>
        </w:tc>
        <w:tc>
          <w:tcPr>
            <w:tcW w:w="6946" w:type="dxa"/>
            <w:shd w:val="clear" w:color="auto" w:fill="auto"/>
            <w:vAlign w:val="center"/>
          </w:tcPr>
          <w:p w14:paraId="19F4630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4610 - Road Freight Transport</w:t>
            </w:r>
          </w:p>
          <w:p w14:paraId="4F88074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4710 - Rail Freight Transport</w:t>
            </w:r>
          </w:p>
          <w:p w14:paraId="308BA1F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4820 - Water Passenger Transport</w:t>
            </w:r>
          </w:p>
          <w:p w14:paraId="77D1F1B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5211 - Stevedoring Services</w:t>
            </w:r>
          </w:p>
          <w:p w14:paraId="4C323FD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5212 - Port and Water Transport Terminal Operations</w:t>
            </w:r>
          </w:p>
          <w:p w14:paraId="3EC8C10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5220 - Airport Operations and Other Air Transport Support Services</w:t>
            </w:r>
          </w:p>
          <w:p w14:paraId="36A2D94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5299 - Other Transport Support Services n.e.c.</w:t>
            </w:r>
          </w:p>
          <w:p w14:paraId="2077470D"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5309 - Other Warehousing and Storage Services</w:t>
            </w:r>
          </w:p>
        </w:tc>
      </w:tr>
      <w:tr w:rsidR="00623C30" w:rsidRPr="0098199F" w14:paraId="06E538A0" w14:textId="77777777" w:rsidTr="004452F5">
        <w:tc>
          <w:tcPr>
            <w:tcW w:w="2059" w:type="dxa"/>
            <w:shd w:val="clear" w:color="auto" w:fill="auto"/>
            <w:vAlign w:val="center"/>
          </w:tcPr>
          <w:p w14:paraId="23D44F6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O – Public Administration and Safety</w:t>
            </w:r>
          </w:p>
        </w:tc>
        <w:tc>
          <w:tcPr>
            <w:tcW w:w="6957" w:type="dxa"/>
            <w:gridSpan w:val="2"/>
            <w:shd w:val="clear" w:color="auto" w:fill="auto"/>
            <w:vAlign w:val="center"/>
          </w:tcPr>
          <w:p w14:paraId="22F75E3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7719 - Other Public Order and Safety Services</w:t>
            </w:r>
          </w:p>
        </w:tc>
      </w:tr>
      <w:tr w:rsidR="00304773" w:rsidRPr="00993B73" w14:paraId="3BE25DDC" w14:textId="77777777" w:rsidTr="00296A42">
        <w:trPr>
          <w:gridAfter w:val="1"/>
          <w:wAfter w:w="11" w:type="dxa"/>
        </w:trPr>
        <w:tc>
          <w:tcPr>
            <w:tcW w:w="2059" w:type="dxa"/>
            <w:shd w:val="clear" w:color="auto" w:fill="91ACEC" w:themeFill="accent1" w:themeFillTint="99"/>
          </w:tcPr>
          <w:p w14:paraId="22B9F5CB" w14:textId="181E82F2" w:rsidR="003F37E7" w:rsidRPr="00A42368" w:rsidRDefault="003F37E7" w:rsidP="000867AE">
            <w:pPr>
              <w:pStyle w:val="TableNText"/>
              <w:rPr>
                <w:rFonts w:asciiTheme="majorHAnsi" w:hAnsiTheme="majorHAnsi" w:cstheme="majorHAnsi"/>
                <w:b/>
                <w:color w:val="E7E6E6" w:themeColor="background2"/>
              </w:rPr>
            </w:pPr>
            <w:r w:rsidRPr="00A42368">
              <w:rPr>
                <w:rFonts w:asciiTheme="majorHAnsi" w:hAnsiTheme="majorHAnsi" w:cstheme="majorHAnsi"/>
                <w:b/>
              </w:rPr>
              <w:t>Respirable crystalline silica</w:t>
            </w:r>
          </w:p>
        </w:tc>
        <w:tc>
          <w:tcPr>
            <w:tcW w:w="6946" w:type="dxa"/>
            <w:shd w:val="clear" w:color="auto" w:fill="91ACEC" w:themeFill="accent1" w:themeFillTint="99"/>
          </w:tcPr>
          <w:p w14:paraId="531731E7" w14:textId="77777777" w:rsidR="003F37E7" w:rsidRPr="00A42368" w:rsidRDefault="003F37E7" w:rsidP="000867AE">
            <w:pPr>
              <w:pStyle w:val="TableNText"/>
              <w:rPr>
                <w:rFonts w:asciiTheme="majorHAnsi" w:hAnsiTheme="majorHAnsi" w:cstheme="majorHAnsi"/>
                <w:b/>
                <w:color w:val="E7E6E6" w:themeColor="background2"/>
                <w:u w:val="single"/>
              </w:rPr>
            </w:pPr>
          </w:p>
        </w:tc>
      </w:tr>
      <w:tr w:rsidR="00623C30" w:rsidRPr="00993B73" w14:paraId="2C97F203" w14:textId="77777777" w:rsidTr="004452F5">
        <w:trPr>
          <w:gridAfter w:val="1"/>
          <w:wAfter w:w="11" w:type="dxa"/>
        </w:trPr>
        <w:tc>
          <w:tcPr>
            <w:tcW w:w="2059" w:type="dxa"/>
            <w:shd w:val="clear" w:color="auto" w:fill="auto"/>
            <w:vAlign w:val="center"/>
          </w:tcPr>
          <w:p w14:paraId="76378CD2"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B - Mining</w:t>
            </w:r>
          </w:p>
        </w:tc>
        <w:tc>
          <w:tcPr>
            <w:tcW w:w="6946" w:type="dxa"/>
            <w:shd w:val="clear" w:color="auto" w:fill="auto"/>
            <w:vAlign w:val="center"/>
          </w:tcPr>
          <w:p w14:paraId="4C22549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0600 - Coal Mining</w:t>
            </w:r>
          </w:p>
          <w:p w14:paraId="5C13175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0700 - Oil and Gas Extraction</w:t>
            </w:r>
          </w:p>
          <w:p w14:paraId="637253B1"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0801 - Iron Ore Mining</w:t>
            </w:r>
          </w:p>
          <w:p w14:paraId="3401A244"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0802 - Bauxite Mining</w:t>
            </w:r>
          </w:p>
          <w:p w14:paraId="3DBAD2E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0803 - Copper Ore Mining</w:t>
            </w:r>
          </w:p>
          <w:p w14:paraId="433AF88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0804 - Gold Ore Mining</w:t>
            </w:r>
          </w:p>
          <w:p w14:paraId="485E68B4"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0805 - Mineral Sand Mining</w:t>
            </w:r>
          </w:p>
          <w:p w14:paraId="68E3AAAA"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0806 - Nickel Ore Mining</w:t>
            </w:r>
          </w:p>
          <w:p w14:paraId="01171D78"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0807 - Silver-Lead-Zinc Ore Mining</w:t>
            </w:r>
          </w:p>
          <w:p w14:paraId="6ED232A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0809 - Other Metal Ore Mining</w:t>
            </w:r>
          </w:p>
          <w:p w14:paraId="10EEE587"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0911 - Gravel and Sand Quarrying</w:t>
            </w:r>
          </w:p>
          <w:p w14:paraId="37E8206B"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0919 - Other Construction Material Mining</w:t>
            </w:r>
          </w:p>
          <w:p w14:paraId="5F30816F"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0990 - Other Non-Metallic Mineral Mining and Quarrying</w:t>
            </w:r>
          </w:p>
          <w:p w14:paraId="62E273FC"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1011 - Petroleum Exploration</w:t>
            </w:r>
          </w:p>
          <w:p w14:paraId="248883A2"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1012 - Mineral Exploration</w:t>
            </w:r>
          </w:p>
          <w:p w14:paraId="242EA5B6" w14:textId="77777777" w:rsidR="003F37E7" w:rsidRPr="00D157DF" w:rsidRDefault="003F37E7" w:rsidP="000867AE">
            <w:pPr>
              <w:pStyle w:val="TableNText"/>
              <w:rPr>
                <w:rFonts w:asciiTheme="minorHAnsi" w:hAnsiTheme="minorHAnsi" w:cstheme="minorHAnsi"/>
                <w:sz w:val="18"/>
                <w:szCs w:val="18"/>
              </w:rPr>
            </w:pPr>
            <w:r w:rsidRPr="00D157DF">
              <w:rPr>
                <w:rFonts w:asciiTheme="minorHAnsi" w:hAnsiTheme="minorHAnsi" w:cstheme="minorHAnsi"/>
                <w:sz w:val="18"/>
                <w:szCs w:val="18"/>
              </w:rPr>
              <w:t>1090 - Other Mining Support Services</w:t>
            </w:r>
          </w:p>
        </w:tc>
      </w:tr>
      <w:tr w:rsidR="00623C30" w:rsidRPr="00993B73" w14:paraId="2EA2B66F" w14:textId="77777777" w:rsidTr="004452F5">
        <w:trPr>
          <w:gridAfter w:val="1"/>
          <w:wAfter w:w="11" w:type="dxa"/>
        </w:trPr>
        <w:tc>
          <w:tcPr>
            <w:tcW w:w="2059" w:type="dxa"/>
            <w:shd w:val="clear" w:color="auto" w:fill="auto"/>
            <w:vAlign w:val="center"/>
          </w:tcPr>
          <w:p w14:paraId="5C2C2E1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25F0E96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1701 - Petroleum Refining and Petroleum Fuel Manufacturing</w:t>
            </w:r>
          </w:p>
          <w:p w14:paraId="263694A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1709 - Other Petroleum and Coal Product Manufacturing</w:t>
            </w:r>
          </w:p>
          <w:p w14:paraId="16F1465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2010 - Glass and Glass Product Manufacturing</w:t>
            </w:r>
          </w:p>
          <w:p w14:paraId="4123A376"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2021 - Clay Brick Manufacturing</w:t>
            </w:r>
          </w:p>
          <w:p w14:paraId="0F42C06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2029 - Other Ceramic Product Manufacturing</w:t>
            </w:r>
          </w:p>
          <w:p w14:paraId="0EDB334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2033 - Ready-Mixed Concrete Manufacturing</w:t>
            </w:r>
          </w:p>
          <w:p w14:paraId="0A4A6C0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2034 - Concrete Product Manufacturing</w:t>
            </w:r>
          </w:p>
          <w:p w14:paraId="641E33F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2090 - Other Non-Metallic Mineral Product Manufacturing</w:t>
            </w:r>
          </w:p>
          <w:p w14:paraId="75BC36C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2121 - Iron and Steel Casting</w:t>
            </w:r>
          </w:p>
          <w:p w14:paraId="508EB5B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2141 - Non-Ferrous Metal Casting</w:t>
            </w:r>
          </w:p>
          <w:p w14:paraId="0DDE926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2591 – Jewellery and Silverware Manufacturing</w:t>
            </w:r>
          </w:p>
        </w:tc>
      </w:tr>
      <w:tr w:rsidR="00623C30" w:rsidRPr="00993B73" w14:paraId="726A0645" w14:textId="77777777" w:rsidTr="004452F5">
        <w:trPr>
          <w:gridAfter w:val="1"/>
          <w:wAfter w:w="11" w:type="dxa"/>
        </w:trPr>
        <w:tc>
          <w:tcPr>
            <w:tcW w:w="2059" w:type="dxa"/>
            <w:shd w:val="clear" w:color="auto" w:fill="auto"/>
            <w:vAlign w:val="center"/>
          </w:tcPr>
          <w:p w14:paraId="333D8B5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D – Electricity, Gas, Water and Waste Services</w:t>
            </w:r>
          </w:p>
        </w:tc>
        <w:tc>
          <w:tcPr>
            <w:tcW w:w="6946" w:type="dxa"/>
            <w:shd w:val="clear" w:color="auto" w:fill="auto"/>
            <w:vAlign w:val="center"/>
          </w:tcPr>
          <w:p w14:paraId="5B16E889"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2611 - Fossil Fuel Electricity Generation</w:t>
            </w:r>
          </w:p>
          <w:p w14:paraId="18E3B38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2922 - Waste Remediation and Materials Recovery Services</w:t>
            </w:r>
          </w:p>
        </w:tc>
      </w:tr>
      <w:tr w:rsidR="00623C30" w:rsidRPr="00993B73" w14:paraId="0DB321E0" w14:textId="77777777" w:rsidTr="004452F5">
        <w:trPr>
          <w:gridAfter w:val="1"/>
          <w:wAfter w:w="11" w:type="dxa"/>
        </w:trPr>
        <w:tc>
          <w:tcPr>
            <w:tcW w:w="2059" w:type="dxa"/>
            <w:shd w:val="clear" w:color="auto" w:fill="auto"/>
            <w:vAlign w:val="center"/>
          </w:tcPr>
          <w:p w14:paraId="687F7DE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E – Construction</w:t>
            </w:r>
          </w:p>
        </w:tc>
        <w:tc>
          <w:tcPr>
            <w:tcW w:w="6946" w:type="dxa"/>
            <w:shd w:val="clear" w:color="auto" w:fill="auto"/>
            <w:vAlign w:val="center"/>
          </w:tcPr>
          <w:p w14:paraId="7E0EC67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3011 - House Construction</w:t>
            </w:r>
          </w:p>
          <w:p w14:paraId="17E177A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3019 - Other Residential Building Construction</w:t>
            </w:r>
          </w:p>
          <w:p w14:paraId="3FB773F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3020 - Non-Residential Building Construction</w:t>
            </w:r>
          </w:p>
          <w:p w14:paraId="7BE8BD1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3101 - Road and Bridge Construction</w:t>
            </w:r>
          </w:p>
          <w:p w14:paraId="2AAA3C6C"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3109 - Other Heavy and Civil Engineering Construction</w:t>
            </w:r>
          </w:p>
          <w:p w14:paraId="5FDCCFD4"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3212 - Site Preparation Services</w:t>
            </w:r>
          </w:p>
          <w:p w14:paraId="351DD4A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lastRenderedPageBreak/>
              <w:t>3221 - Concreting Services</w:t>
            </w:r>
          </w:p>
          <w:p w14:paraId="5472EB7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3222 - Bricklaying Services</w:t>
            </w:r>
          </w:p>
          <w:p w14:paraId="57BF4EC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3223 - Roofing Services</w:t>
            </w:r>
          </w:p>
          <w:p w14:paraId="613E0461"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3231 - Plumbing Services</w:t>
            </w:r>
          </w:p>
          <w:p w14:paraId="233AE025"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3232 - Electrical Services</w:t>
            </w:r>
          </w:p>
          <w:p w14:paraId="24B5BC4B"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3233 - Air Conditioning and Heating Services</w:t>
            </w:r>
          </w:p>
          <w:p w14:paraId="6B053C5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3239 - Other Building Installation Services</w:t>
            </w:r>
          </w:p>
          <w:p w14:paraId="42E8F787"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3241 - Plastering and Ceiling Services</w:t>
            </w:r>
          </w:p>
          <w:p w14:paraId="7E6CBDBF"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3242 - Carpentry Services</w:t>
            </w:r>
          </w:p>
          <w:p w14:paraId="2CB8421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3243 - Tiling and Carpeting Services</w:t>
            </w:r>
          </w:p>
          <w:p w14:paraId="33CB85C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3244 - Painting and Decorating Services</w:t>
            </w:r>
          </w:p>
          <w:p w14:paraId="21D809F2"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3291 - Landscape Construction Services</w:t>
            </w:r>
          </w:p>
          <w:p w14:paraId="78025CE8"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3299 - Other Construction Services n.e.c.</w:t>
            </w:r>
          </w:p>
        </w:tc>
      </w:tr>
      <w:tr w:rsidR="00304773" w:rsidRPr="00993B73" w14:paraId="5BA0F67B" w14:textId="77777777" w:rsidTr="00296A42">
        <w:trPr>
          <w:gridAfter w:val="1"/>
          <w:wAfter w:w="11" w:type="dxa"/>
        </w:trPr>
        <w:tc>
          <w:tcPr>
            <w:tcW w:w="2059" w:type="dxa"/>
            <w:shd w:val="clear" w:color="auto" w:fill="91ACEC" w:themeFill="accent1" w:themeFillTint="99"/>
          </w:tcPr>
          <w:p w14:paraId="2C274FF0" w14:textId="30A3F11D" w:rsidR="003F37E7" w:rsidRPr="00623C30" w:rsidRDefault="003F37E7" w:rsidP="000867AE">
            <w:pPr>
              <w:pStyle w:val="TableNText"/>
              <w:rPr>
                <w:rFonts w:asciiTheme="minorHAnsi" w:hAnsiTheme="minorHAnsi" w:cstheme="minorHAnsi"/>
                <w:b/>
                <w:color w:val="E7E6E6" w:themeColor="background2"/>
                <w:sz w:val="18"/>
                <w:szCs w:val="18"/>
              </w:rPr>
            </w:pPr>
            <w:r w:rsidRPr="00623C30">
              <w:rPr>
                <w:rFonts w:asciiTheme="minorHAnsi" w:hAnsiTheme="minorHAnsi" w:cstheme="minorHAnsi"/>
                <w:b/>
                <w:sz w:val="18"/>
                <w:szCs w:val="18"/>
              </w:rPr>
              <w:lastRenderedPageBreak/>
              <w:t>Titanium dioxide</w:t>
            </w:r>
          </w:p>
        </w:tc>
        <w:tc>
          <w:tcPr>
            <w:tcW w:w="6946" w:type="dxa"/>
            <w:shd w:val="clear" w:color="auto" w:fill="91ACEC" w:themeFill="accent1" w:themeFillTint="99"/>
          </w:tcPr>
          <w:p w14:paraId="7B32818D" w14:textId="77777777" w:rsidR="003F37E7" w:rsidRPr="00623C30" w:rsidRDefault="003F37E7" w:rsidP="000867AE">
            <w:pPr>
              <w:pStyle w:val="TableNText"/>
              <w:rPr>
                <w:rFonts w:asciiTheme="minorHAnsi" w:hAnsiTheme="minorHAnsi" w:cstheme="minorHAnsi"/>
                <w:color w:val="E7E6E6" w:themeColor="background2"/>
                <w:sz w:val="18"/>
                <w:szCs w:val="18"/>
              </w:rPr>
            </w:pPr>
          </w:p>
        </w:tc>
      </w:tr>
      <w:tr w:rsidR="00623C30" w:rsidRPr="00993B73" w14:paraId="37FA8D51" w14:textId="77777777" w:rsidTr="004452F5">
        <w:trPr>
          <w:gridAfter w:val="1"/>
          <w:wAfter w:w="11" w:type="dxa"/>
        </w:trPr>
        <w:tc>
          <w:tcPr>
            <w:tcW w:w="2059" w:type="dxa"/>
            <w:shd w:val="clear" w:color="auto" w:fill="auto"/>
            <w:vAlign w:val="center"/>
          </w:tcPr>
          <w:p w14:paraId="491CBB0E"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C – Manufacturing</w:t>
            </w:r>
          </w:p>
        </w:tc>
        <w:tc>
          <w:tcPr>
            <w:tcW w:w="6946" w:type="dxa"/>
            <w:shd w:val="clear" w:color="auto" w:fill="auto"/>
            <w:vAlign w:val="center"/>
          </w:tcPr>
          <w:p w14:paraId="6E40D0E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1510 - Pulp, Paper and Paperboard Manufacturing</w:t>
            </w:r>
          </w:p>
          <w:p w14:paraId="479B9020"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1912 - Rigid and Semi-Rigid Polymer Product Manufacturing</w:t>
            </w:r>
          </w:p>
          <w:p w14:paraId="35F503DA"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1914 - Tyre Manufacturing</w:t>
            </w:r>
          </w:p>
          <w:p w14:paraId="13A18F13" w14:textId="77777777" w:rsidR="003F37E7" w:rsidRPr="00623C30" w:rsidRDefault="003F37E7" w:rsidP="000867AE">
            <w:pPr>
              <w:pStyle w:val="TableNText"/>
              <w:rPr>
                <w:rFonts w:asciiTheme="minorHAnsi" w:hAnsiTheme="minorHAnsi" w:cstheme="minorHAnsi"/>
                <w:sz w:val="18"/>
                <w:szCs w:val="18"/>
              </w:rPr>
            </w:pPr>
            <w:r w:rsidRPr="00623C30">
              <w:rPr>
                <w:rFonts w:asciiTheme="minorHAnsi" w:hAnsiTheme="minorHAnsi" w:cstheme="minorHAnsi"/>
                <w:sz w:val="18"/>
                <w:szCs w:val="18"/>
              </w:rPr>
              <w:t xml:space="preserve">1916 - Paint and Coatings Manufacturing </w:t>
            </w:r>
          </w:p>
        </w:tc>
      </w:tr>
    </w:tbl>
    <w:p w14:paraId="65C21333" w14:textId="72E1C049" w:rsidR="00F36105" w:rsidRPr="001E0C12" w:rsidRDefault="0041102F" w:rsidP="0041102F">
      <w:pPr>
        <w:pStyle w:val="SWAHeading3"/>
      </w:pPr>
      <w:r>
        <w:t>Inputs to the estimation of affected businesses</w:t>
      </w:r>
    </w:p>
    <w:p w14:paraId="3977A77A" w14:textId="1F048ADE" w:rsidR="00A40831" w:rsidRDefault="00930BED" w:rsidP="00930BED">
      <w:r>
        <w:fldChar w:fldCharType="begin"/>
      </w:r>
      <w:r>
        <w:rPr>
          <w:lang w:eastAsia="en-AU"/>
        </w:rPr>
        <w:instrText xml:space="preserve"> REF _Ref216793874 \h </w:instrText>
      </w:r>
      <w:r>
        <w:fldChar w:fldCharType="separate"/>
      </w:r>
      <w:r w:rsidR="00A002F4">
        <w:t xml:space="preserve">Table </w:t>
      </w:r>
      <w:r w:rsidR="00A002F4">
        <w:rPr>
          <w:noProof/>
        </w:rPr>
        <w:t>74</w:t>
      </w:r>
      <w:r>
        <w:fldChar w:fldCharType="end"/>
      </w:r>
      <w:r w:rsidRPr="00993B73">
        <w:rPr>
          <w:lang w:eastAsia="en-AU"/>
        </w:rPr>
        <w:t xml:space="preserve"> </w:t>
      </w:r>
      <w:r w:rsidR="00CB0FE1" w:rsidRPr="00993B73">
        <w:rPr>
          <w:lang w:eastAsia="en-AU"/>
        </w:rPr>
        <w:t xml:space="preserve">presents the estimated </w:t>
      </w:r>
      <w:r w:rsidR="00397CB9">
        <w:t>c</w:t>
      </w:r>
      <w:r w:rsidR="00397CB9" w:rsidRPr="00993B73">
        <w:t>ompound annual growth rate</w:t>
      </w:r>
      <w:r w:rsidR="00397CB9" w:rsidRPr="00993B73">
        <w:rPr>
          <w:lang w:eastAsia="en-AU"/>
        </w:rPr>
        <w:t xml:space="preserve"> </w:t>
      </w:r>
      <w:r w:rsidR="00397CB9">
        <w:rPr>
          <w:lang w:eastAsia="en-AU"/>
        </w:rPr>
        <w:t>(</w:t>
      </w:r>
      <w:r w:rsidR="00CB0FE1" w:rsidRPr="00993B73">
        <w:rPr>
          <w:lang w:eastAsia="en-AU"/>
        </w:rPr>
        <w:t>CAGR</w:t>
      </w:r>
      <w:r w:rsidR="00397CB9">
        <w:rPr>
          <w:lang w:eastAsia="en-AU"/>
        </w:rPr>
        <w:t>)</w:t>
      </w:r>
      <w:r w:rsidR="00CB0FE1" w:rsidRPr="00993B73">
        <w:rPr>
          <w:lang w:eastAsia="en-AU"/>
        </w:rPr>
        <w:t xml:space="preserve"> for the count of businesses by ANZSIC Group and business size classification. This CAGR has been calculated based on the change in the count of businesses (by industry and size) between June 2013 and June 2023.</w:t>
      </w:r>
    </w:p>
    <w:p w14:paraId="2A839E54" w14:textId="13BCD730" w:rsidR="00930BED" w:rsidRDefault="00930BED" w:rsidP="00C572F3">
      <w:pPr>
        <w:pStyle w:val="Caption"/>
      </w:pPr>
      <w:bookmarkStart w:id="724" w:name="_Ref216793874"/>
      <w:r>
        <w:t xml:space="preserve">Table </w:t>
      </w:r>
      <w:fldSimple w:instr=" SEQ Table \* ARABIC ">
        <w:r w:rsidR="00A002F4">
          <w:rPr>
            <w:noProof/>
          </w:rPr>
          <w:t>74</w:t>
        </w:r>
      </w:fldSimple>
      <w:bookmarkEnd w:id="724"/>
      <w:r>
        <w:t xml:space="preserve"> - </w:t>
      </w:r>
      <w:r w:rsidRPr="00802040">
        <w:t>Compound annual growth rates (CAGR) for the count of businesses, by ANZSIC Group and business size classification, (2013-2023) (Australian Bureau of Statistics, 2023)</w:t>
      </w:r>
    </w:p>
    <w:tbl>
      <w:tblPr>
        <w:tblStyle w:val="NOUS"/>
        <w:tblW w:w="5000" w:type="pct"/>
        <w:tblLook w:val="04A0" w:firstRow="1" w:lastRow="0" w:firstColumn="1" w:lastColumn="0" w:noHBand="0" w:noVBand="1"/>
      </w:tblPr>
      <w:tblGrid>
        <w:gridCol w:w="3738"/>
        <w:gridCol w:w="1760"/>
        <w:gridCol w:w="1760"/>
        <w:gridCol w:w="1758"/>
      </w:tblGrid>
      <w:tr w:rsidR="00CB0FE1" w:rsidRPr="0098199F" w14:paraId="163A5AF3" w14:textId="77777777" w:rsidTr="00CB0FE1">
        <w:trPr>
          <w:cnfStyle w:val="100000000000" w:firstRow="1" w:lastRow="0" w:firstColumn="0" w:lastColumn="0" w:oddVBand="0" w:evenVBand="0" w:oddHBand="0" w:evenHBand="0" w:firstRowFirstColumn="0" w:firstRowLastColumn="0" w:lastRowFirstColumn="0" w:lastRowLastColumn="0"/>
        </w:trPr>
        <w:tc>
          <w:tcPr>
            <w:tcW w:w="2073"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48C01F60" w14:textId="77777777" w:rsidR="00CB0FE1" w:rsidRPr="00B64384" w:rsidRDefault="00CB0FE1" w:rsidP="000867AE">
            <w:pPr>
              <w:pStyle w:val="TableNText"/>
              <w:spacing w:before="20" w:after="20"/>
              <w:rPr>
                <w:rFonts w:asciiTheme="majorHAnsi" w:hAnsiTheme="majorHAnsi" w:cstheme="majorHAnsi"/>
                <w:bCs/>
                <w:color w:val="FFFFFF" w:themeColor="background1"/>
                <w:sz w:val="18"/>
                <w:szCs w:val="24"/>
              </w:rPr>
            </w:pPr>
            <w:r w:rsidRPr="00B64384">
              <w:rPr>
                <w:rFonts w:asciiTheme="majorHAnsi" w:hAnsiTheme="majorHAnsi" w:cstheme="majorHAnsi"/>
                <w:bCs/>
                <w:color w:val="FFFFFF" w:themeColor="background1"/>
                <w:sz w:val="18"/>
                <w:szCs w:val="24"/>
              </w:rPr>
              <w:t>ANZSIC Group</w:t>
            </w:r>
          </w:p>
        </w:tc>
        <w:tc>
          <w:tcPr>
            <w:tcW w:w="29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D808350" w14:textId="12403B11" w:rsidR="00CB0FE1" w:rsidRPr="00B64384" w:rsidRDefault="00CB0FE1" w:rsidP="000867AE">
            <w:pPr>
              <w:pStyle w:val="TableNText"/>
              <w:spacing w:before="20" w:after="20"/>
              <w:jc w:val="center"/>
              <w:rPr>
                <w:rFonts w:asciiTheme="majorHAnsi" w:hAnsiTheme="majorHAnsi" w:cstheme="majorHAnsi"/>
                <w:bCs/>
                <w:color w:val="FFFFFF" w:themeColor="background1"/>
                <w:sz w:val="18"/>
                <w:szCs w:val="24"/>
              </w:rPr>
            </w:pPr>
            <w:r w:rsidRPr="00B64384">
              <w:rPr>
                <w:rFonts w:asciiTheme="majorHAnsi" w:hAnsiTheme="majorHAnsi" w:cstheme="majorHAnsi"/>
                <w:bCs/>
                <w:color w:val="FFFFFF" w:themeColor="background1"/>
                <w:sz w:val="18"/>
                <w:szCs w:val="24"/>
              </w:rPr>
              <w:t>CAGR (%)</w:t>
            </w:r>
          </w:p>
        </w:tc>
      </w:tr>
      <w:tr w:rsidR="00CB0FE1" w:rsidRPr="0098199F" w14:paraId="271E1867" w14:textId="77777777" w:rsidTr="006867FF">
        <w:tc>
          <w:tcPr>
            <w:tcW w:w="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accent5"/>
          </w:tcPr>
          <w:p w14:paraId="57BFC94F" w14:textId="77777777" w:rsidR="00CB0FE1" w:rsidRPr="00B64384" w:rsidRDefault="00CB0FE1" w:rsidP="000867AE">
            <w:pPr>
              <w:pStyle w:val="TableNText"/>
              <w:spacing w:before="20" w:after="20"/>
              <w:rPr>
                <w:rFonts w:asciiTheme="majorHAnsi" w:hAnsiTheme="majorHAnsi" w:cstheme="majorHAnsi"/>
                <w:b/>
                <w:color w:val="E7E6E6" w:themeColor="background2"/>
                <w:sz w:val="18"/>
                <w:szCs w:val="24"/>
              </w:rPr>
            </w:pPr>
          </w:p>
        </w:tc>
        <w:tc>
          <w:tcPr>
            <w:tcW w:w="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739ABBE8" w14:textId="77777777" w:rsidR="00CB0FE1" w:rsidRPr="00B64384" w:rsidRDefault="00CB0FE1" w:rsidP="000867AE">
            <w:pPr>
              <w:pStyle w:val="TableNText"/>
              <w:spacing w:before="20" w:after="20"/>
              <w:jc w:val="center"/>
              <w:rPr>
                <w:rFonts w:asciiTheme="majorHAnsi" w:hAnsiTheme="majorHAnsi" w:cstheme="majorHAnsi"/>
                <w:b/>
                <w:color w:val="E7E6E6" w:themeColor="background2"/>
                <w:sz w:val="18"/>
                <w:szCs w:val="24"/>
              </w:rPr>
            </w:pPr>
            <w:r w:rsidRPr="00B64384">
              <w:rPr>
                <w:rFonts w:asciiTheme="majorHAnsi" w:hAnsiTheme="majorHAnsi" w:cstheme="majorHAnsi"/>
                <w:b/>
                <w:color w:val="E7E6E6" w:themeColor="background2"/>
                <w:sz w:val="18"/>
                <w:szCs w:val="24"/>
              </w:rPr>
              <w:t>Small businesses</w:t>
            </w:r>
          </w:p>
        </w:tc>
        <w:tc>
          <w:tcPr>
            <w:tcW w:w="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122795D1" w14:textId="77777777" w:rsidR="00CB0FE1" w:rsidRPr="00B64384" w:rsidRDefault="00CB0FE1" w:rsidP="000867AE">
            <w:pPr>
              <w:pStyle w:val="TableNText"/>
              <w:spacing w:before="20" w:after="20"/>
              <w:jc w:val="center"/>
              <w:rPr>
                <w:rFonts w:asciiTheme="majorHAnsi" w:hAnsiTheme="majorHAnsi" w:cstheme="majorHAnsi"/>
                <w:b/>
                <w:color w:val="E7E6E6" w:themeColor="background2"/>
                <w:sz w:val="18"/>
                <w:szCs w:val="24"/>
              </w:rPr>
            </w:pPr>
            <w:r w:rsidRPr="00B64384">
              <w:rPr>
                <w:rFonts w:asciiTheme="majorHAnsi" w:hAnsiTheme="majorHAnsi" w:cstheme="majorHAnsi"/>
                <w:b/>
                <w:color w:val="E7E6E6" w:themeColor="background2"/>
                <w:sz w:val="18"/>
                <w:szCs w:val="24"/>
              </w:rPr>
              <w:t xml:space="preserve">Medium businesses </w:t>
            </w:r>
          </w:p>
        </w:tc>
        <w:tc>
          <w:tcPr>
            <w:tcW w:w="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13AB2102" w14:textId="77777777" w:rsidR="00CB0FE1" w:rsidRPr="00B64384" w:rsidRDefault="00CB0FE1" w:rsidP="000867AE">
            <w:pPr>
              <w:pStyle w:val="TableNText"/>
              <w:spacing w:before="20" w:after="20"/>
              <w:jc w:val="center"/>
              <w:rPr>
                <w:rFonts w:asciiTheme="majorHAnsi" w:hAnsiTheme="majorHAnsi" w:cstheme="majorHAnsi"/>
                <w:b/>
                <w:color w:val="E7E6E6" w:themeColor="background2"/>
                <w:sz w:val="18"/>
                <w:szCs w:val="24"/>
              </w:rPr>
            </w:pPr>
            <w:r w:rsidRPr="00B64384">
              <w:rPr>
                <w:rFonts w:asciiTheme="majorHAnsi" w:hAnsiTheme="majorHAnsi" w:cstheme="majorHAnsi"/>
                <w:b/>
                <w:color w:val="E7E6E6" w:themeColor="background2"/>
                <w:sz w:val="18"/>
                <w:szCs w:val="24"/>
              </w:rPr>
              <w:t>Large businesses</w:t>
            </w:r>
          </w:p>
        </w:tc>
      </w:tr>
      <w:tr w:rsidR="00CB0FE1" w:rsidRPr="0098199F" w14:paraId="106D4D0F"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AF69E"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A – Agriculture</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F3E502"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-1.9%</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58738"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0.0%</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1552C"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5.0%</w:t>
            </w:r>
          </w:p>
        </w:tc>
      </w:tr>
      <w:tr w:rsidR="00742D9D" w:rsidRPr="0098199F" w14:paraId="730C768C" w14:textId="77777777" w:rsidTr="00742D9D">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4C31E448"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B – Mining</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10F81F6"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-0.4%</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AF9921C"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-0.5%</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13670A8D"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2.1%</w:t>
            </w:r>
          </w:p>
        </w:tc>
      </w:tr>
      <w:tr w:rsidR="00CB0FE1" w:rsidRPr="0098199F" w14:paraId="16EEC6E9"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CC2F5"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C – Manufacturing</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012A4"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-0.1%</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7C4B2"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1.1%</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18D18"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0.8%</w:t>
            </w:r>
          </w:p>
        </w:tc>
      </w:tr>
      <w:tr w:rsidR="00742D9D" w:rsidRPr="0098199F" w14:paraId="024D313F" w14:textId="77777777" w:rsidTr="00742D9D">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61518F6A"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D – Electricity, Gas, Water and Waste Services</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10F7CD3F"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3.6%</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0D89A768"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4.5%</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4E7F920"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1.1%</w:t>
            </w:r>
          </w:p>
        </w:tc>
      </w:tr>
      <w:tr w:rsidR="00CB0FE1" w:rsidRPr="0098199F" w14:paraId="10902089"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6F1A9"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 xml:space="preserve">E – Construction </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1CDF2"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3.4%</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67675"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2.6%</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0B5387"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1.6%</w:t>
            </w:r>
          </w:p>
        </w:tc>
      </w:tr>
      <w:tr w:rsidR="00742D9D" w:rsidRPr="0098199F" w14:paraId="7AABF861" w14:textId="77777777" w:rsidTr="00742D9D">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043CEDFB"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F – Wholesale Trade</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082713A"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0.1%</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173E9D02"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0.9%</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581A0E85"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3.1%</w:t>
            </w:r>
          </w:p>
        </w:tc>
      </w:tr>
      <w:tr w:rsidR="00CB0FE1" w:rsidRPr="0098199F" w14:paraId="489D795D"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488F1"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I – Transport, Postal and Warehousing</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64803"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0.5%</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57959"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0.5%</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D3881"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1.8%</w:t>
            </w:r>
          </w:p>
        </w:tc>
      </w:tr>
      <w:tr w:rsidR="00742D9D" w:rsidRPr="0098199F" w14:paraId="3161141E" w14:textId="77777777" w:rsidTr="00742D9D">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5C45D015"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M – Professional, Scientific and Technical Services</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D4C93A9"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3.2%</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DC9B905"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3.9%</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ECBF41F"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2.9%</w:t>
            </w:r>
          </w:p>
        </w:tc>
      </w:tr>
      <w:tr w:rsidR="00CB0FE1" w:rsidRPr="0098199F" w14:paraId="3E1EB0AE"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D87FB"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P – Education and Training</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69427"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5.0%</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4E92A1"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3.6%</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C0AFF"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4.4%</w:t>
            </w:r>
          </w:p>
        </w:tc>
      </w:tr>
      <w:tr w:rsidR="00742D9D" w:rsidRPr="0098199F" w14:paraId="6A2E8231" w14:textId="77777777" w:rsidTr="00742D9D">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3A6CC719"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Q – Health Care and Social Assistance</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7A1ED349"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3.9%</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0B9C831F"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5.9%</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3F8" w:themeFill="accent1" w:themeFillTint="33"/>
          </w:tcPr>
          <w:p w14:paraId="0E5EE972"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4.6%</w:t>
            </w:r>
          </w:p>
        </w:tc>
      </w:tr>
      <w:tr w:rsidR="00CB0FE1" w:rsidRPr="0098199F" w14:paraId="7C43F4E0" w14:textId="77777777" w:rsidTr="004452F5">
        <w:tc>
          <w:tcPr>
            <w:tcW w:w="20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459275" w14:textId="77777777" w:rsidR="00CB0FE1" w:rsidRPr="00B64384" w:rsidRDefault="00CB0FE1" w:rsidP="000867AE">
            <w:pPr>
              <w:pStyle w:val="TableNText"/>
              <w:rPr>
                <w:rFonts w:asciiTheme="majorHAnsi" w:hAnsiTheme="majorHAnsi" w:cstheme="majorHAnsi"/>
                <w:b/>
                <w:sz w:val="18"/>
                <w:szCs w:val="24"/>
              </w:rPr>
            </w:pPr>
            <w:r w:rsidRPr="00B64384">
              <w:rPr>
                <w:rFonts w:asciiTheme="majorHAnsi" w:hAnsiTheme="majorHAnsi" w:cstheme="majorHAnsi"/>
                <w:b/>
                <w:sz w:val="18"/>
                <w:szCs w:val="24"/>
              </w:rPr>
              <w:t>S – Other Services</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104143"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4.8%</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46800"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3.0%</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6BED7" w14:textId="77777777" w:rsidR="00CB0FE1" w:rsidRPr="00B64384" w:rsidRDefault="00CB0FE1" w:rsidP="000867AE">
            <w:pPr>
              <w:pStyle w:val="TableNText"/>
              <w:jc w:val="right"/>
              <w:rPr>
                <w:rFonts w:asciiTheme="minorHAnsi" w:hAnsiTheme="minorHAnsi" w:cstheme="minorHAnsi"/>
                <w:sz w:val="18"/>
                <w:szCs w:val="24"/>
              </w:rPr>
            </w:pPr>
            <w:r w:rsidRPr="00B64384">
              <w:rPr>
                <w:rFonts w:asciiTheme="minorHAnsi" w:hAnsiTheme="minorHAnsi" w:cstheme="minorHAnsi"/>
                <w:sz w:val="18"/>
                <w:szCs w:val="24"/>
              </w:rPr>
              <w:t>4.8%</w:t>
            </w:r>
          </w:p>
        </w:tc>
      </w:tr>
    </w:tbl>
    <w:p w14:paraId="7F259D51" w14:textId="06D2EB4D" w:rsidR="00395439" w:rsidRDefault="00395439" w:rsidP="00395439">
      <w:pPr>
        <w:pStyle w:val="SWAHeading3"/>
      </w:pPr>
      <w:r>
        <w:lastRenderedPageBreak/>
        <w:t>Inputs to the estimation of affected workers</w:t>
      </w:r>
    </w:p>
    <w:p w14:paraId="187CBCDA" w14:textId="4EE40C3B" w:rsidR="00207F17" w:rsidRDefault="00267E10" w:rsidP="00354D05">
      <w:r>
        <w:rPr>
          <w:bCs/>
        </w:rPr>
        <w:fldChar w:fldCharType="begin"/>
      </w:r>
      <w:r>
        <w:instrText xml:space="preserve"> REF _Ref216794152 \h </w:instrText>
      </w:r>
      <w:r w:rsidR="00354D05">
        <w:rPr>
          <w:bCs/>
        </w:rPr>
        <w:instrText xml:space="preserve"> \* MERGEFORMAT </w:instrText>
      </w:r>
      <w:r>
        <w:rPr>
          <w:bCs/>
        </w:rPr>
      </w:r>
      <w:r>
        <w:rPr>
          <w:bCs/>
        </w:rPr>
        <w:fldChar w:fldCharType="separate"/>
      </w:r>
      <w:r w:rsidR="00A002F4">
        <w:t xml:space="preserve">Table </w:t>
      </w:r>
      <w:r w:rsidR="00A002F4">
        <w:rPr>
          <w:noProof/>
        </w:rPr>
        <w:t>75</w:t>
      </w:r>
      <w:r>
        <w:rPr>
          <w:bCs/>
        </w:rPr>
        <w:fldChar w:fldCharType="end"/>
      </w:r>
      <w:r>
        <w:t xml:space="preserve"> </w:t>
      </w:r>
      <w:r w:rsidR="009D4B91" w:rsidRPr="00993B73">
        <w:t>presents the proportion of workers in each ANZSIC Division that are expected to be exposed to airborne contaminants in the workplace. This proportion is informed by ABS Census data, extracted from ABS TableBuilder. The proportion of exposed workers is estimated by summing the proportion of technicians and trades workers, machinery operators and drivers, and labourers within each industry.</w:t>
      </w:r>
    </w:p>
    <w:p w14:paraId="30E88548" w14:textId="5A8943A5" w:rsidR="00267E10" w:rsidRDefault="00267E10" w:rsidP="00354D05">
      <w:pPr>
        <w:pStyle w:val="Caption"/>
      </w:pPr>
      <w:bookmarkStart w:id="725" w:name="_Ref216794152"/>
      <w:r>
        <w:t xml:space="preserve">Table </w:t>
      </w:r>
      <w:fldSimple w:instr=" SEQ Table \* ARABIC ">
        <w:r w:rsidR="00A002F4">
          <w:rPr>
            <w:noProof/>
          </w:rPr>
          <w:t>75</w:t>
        </w:r>
      </w:fldSimple>
      <w:bookmarkEnd w:id="725"/>
      <w:r>
        <w:t xml:space="preserve"> - </w:t>
      </w:r>
      <w:r w:rsidRPr="000D5A20">
        <w:t>Proportion of technicians and trades workers, machinery operators and drivers, and labourers within each industry (Australian Bureau of Statistics, 2021)</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0"/>
        <w:gridCol w:w="1968"/>
        <w:gridCol w:w="1965"/>
        <w:gridCol w:w="1548"/>
        <w:gridCol w:w="1205"/>
      </w:tblGrid>
      <w:tr w:rsidR="008814BE" w:rsidRPr="00993B73" w14:paraId="0BDFFF53" w14:textId="77777777" w:rsidTr="0057713A">
        <w:trPr>
          <w:cnfStyle w:val="100000000000" w:firstRow="1" w:lastRow="0" w:firstColumn="0" w:lastColumn="0" w:oddVBand="0" w:evenVBand="0" w:oddHBand="0" w:evenHBand="0" w:firstRowFirstColumn="0" w:firstRowLastColumn="0" w:lastRowFirstColumn="0" w:lastRowLastColumn="0"/>
          <w:trHeight w:val="205"/>
        </w:trPr>
        <w:tc>
          <w:tcPr>
            <w:tcW w:w="233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5B6CA549" w14:textId="77777777" w:rsidR="00E90195" w:rsidRPr="008814BE" w:rsidRDefault="00E90195" w:rsidP="000867AE">
            <w:pPr>
              <w:pStyle w:val="TableNText"/>
              <w:rPr>
                <w:rFonts w:asciiTheme="majorHAnsi" w:hAnsiTheme="majorHAnsi" w:cstheme="majorHAnsi"/>
                <w:bCs/>
                <w:color w:val="FFFFFF" w:themeColor="background1"/>
                <w:szCs w:val="17"/>
              </w:rPr>
            </w:pPr>
            <w:r w:rsidRPr="008814BE">
              <w:rPr>
                <w:rFonts w:asciiTheme="majorHAnsi" w:hAnsiTheme="majorHAnsi" w:cstheme="majorHAnsi"/>
                <w:bCs/>
                <w:color w:val="FFFFFF" w:themeColor="background1"/>
              </w:rPr>
              <w:t>ANZSIC Division</w:t>
            </w:r>
          </w:p>
        </w:tc>
        <w:tc>
          <w:tcPr>
            <w:tcW w:w="548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720DB942" w14:textId="77777777" w:rsidR="00E90195" w:rsidRPr="008814BE" w:rsidRDefault="00E90195" w:rsidP="000867AE">
            <w:pPr>
              <w:pStyle w:val="TableNText"/>
              <w:jc w:val="center"/>
              <w:rPr>
                <w:rFonts w:asciiTheme="majorHAnsi" w:hAnsiTheme="majorHAnsi" w:cstheme="majorHAnsi"/>
                <w:bCs/>
                <w:color w:val="FFFFFF" w:themeColor="background1"/>
                <w:szCs w:val="17"/>
              </w:rPr>
            </w:pPr>
            <w:r w:rsidRPr="008814BE">
              <w:rPr>
                <w:rFonts w:asciiTheme="majorHAnsi" w:hAnsiTheme="majorHAnsi" w:cstheme="majorHAnsi"/>
                <w:bCs/>
                <w:color w:val="FFFFFF" w:themeColor="background1"/>
              </w:rPr>
              <w:t>OSCA Major Group</w:t>
            </w:r>
          </w:p>
        </w:tc>
        <w:tc>
          <w:tcPr>
            <w:tcW w:w="120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13890DB8" w14:textId="77777777" w:rsidR="00E90195" w:rsidRPr="008814BE" w:rsidRDefault="00E90195" w:rsidP="000867AE">
            <w:pPr>
              <w:pStyle w:val="TableNText"/>
              <w:rPr>
                <w:rFonts w:asciiTheme="majorHAnsi" w:hAnsiTheme="majorHAnsi" w:cstheme="majorHAnsi"/>
                <w:bCs/>
                <w:color w:val="FFFFFF" w:themeColor="background1"/>
                <w:szCs w:val="17"/>
              </w:rPr>
            </w:pPr>
            <w:r w:rsidRPr="008814BE">
              <w:rPr>
                <w:rFonts w:asciiTheme="majorHAnsi" w:hAnsiTheme="majorHAnsi" w:cstheme="majorHAnsi"/>
                <w:bCs/>
                <w:color w:val="FFFFFF" w:themeColor="background1"/>
              </w:rPr>
              <w:t>Total</w:t>
            </w:r>
          </w:p>
        </w:tc>
      </w:tr>
      <w:tr w:rsidR="00C659A5" w:rsidRPr="0098199F" w14:paraId="51BF9741" w14:textId="77777777" w:rsidTr="0057713A">
        <w:trPr>
          <w:trHeight w:val="199"/>
        </w:trPr>
        <w:tc>
          <w:tcPr>
            <w:tcW w:w="2330" w:type="dxa"/>
            <w:vMerge/>
            <w:tcBorders>
              <w:top w:val="single" w:sz="4" w:space="0" w:color="BFBFBF" w:themeColor="background1" w:themeShade="BF"/>
            </w:tcBorders>
          </w:tcPr>
          <w:p w14:paraId="2B52BE76" w14:textId="77777777" w:rsidR="00E90195" w:rsidRPr="00E90195" w:rsidRDefault="00E90195" w:rsidP="000867AE">
            <w:pPr>
              <w:pStyle w:val="TableNText"/>
            </w:pPr>
          </w:p>
        </w:tc>
        <w:tc>
          <w:tcPr>
            <w:tcW w:w="1968" w:type="dxa"/>
            <w:tcBorders>
              <w:top w:val="single" w:sz="4" w:space="0" w:color="BFBFBF" w:themeColor="background1" w:themeShade="BF"/>
            </w:tcBorders>
            <w:shd w:val="clear" w:color="auto" w:fill="91ACEC" w:themeFill="accent1" w:themeFillTint="99"/>
          </w:tcPr>
          <w:p w14:paraId="20618E42" w14:textId="77777777" w:rsidR="00E90195" w:rsidRPr="008814BE" w:rsidRDefault="00E90195" w:rsidP="000867AE">
            <w:pPr>
              <w:pStyle w:val="TableNText"/>
              <w:jc w:val="center"/>
              <w:rPr>
                <w:rFonts w:asciiTheme="majorHAnsi" w:hAnsiTheme="majorHAnsi" w:cstheme="majorHAnsi"/>
                <w:b/>
                <w:bCs/>
              </w:rPr>
            </w:pPr>
            <w:r w:rsidRPr="008814BE">
              <w:rPr>
                <w:rFonts w:asciiTheme="majorHAnsi" w:hAnsiTheme="majorHAnsi" w:cstheme="majorHAnsi"/>
                <w:b/>
                <w:bCs/>
              </w:rPr>
              <w:t>Technicians and Trades Workers</w:t>
            </w:r>
          </w:p>
        </w:tc>
        <w:tc>
          <w:tcPr>
            <w:tcW w:w="1965" w:type="dxa"/>
            <w:tcBorders>
              <w:top w:val="single" w:sz="4" w:space="0" w:color="BFBFBF" w:themeColor="background1" w:themeShade="BF"/>
            </w:tcBorders>
            <w:shd w:val="clear" w:color="auto" w:fill="91ACEC" w:themeFill="accent1" w:themeFillTint="99"/>
          </w:tcPr>
          <w:p w14:paraId="599B4833" w14:textId="77777777" w:rsidR="00E90195" w:rsidRPr="008814BE" w:rsidRDefault="00E90195" w:rsidP="000867AE">
            <w:pPr>
              <w:pStyle w:val="TableNText"/>
              <w:jc w:val="center"/>
              <w:rPr>
                <w:rFonts w:asciiTheme="majorHAnsi" w:hAnsiTheme="majorHAnsi" w:cstheme="majorHAnsi"/>
                <w:b/>
                <w:bCs/>
              </w:rPr>
            </w:pPr>
            <w:r w:rsidRPr="008814BE">
              <w:rPr>
                <w:rFonts w:asciiTheme="majorHAnsi" w:hAnsiTheme="majorHAnsi" w:cstheme="majorHAnsi"/>
                <w:b/>
                <w:bCs/>
              </w:rPr>
              <w:t>Machinery Operators and Drivers</w:t>
            </w:r>
          </w:p>
        </w:tc>
        <w:tc>
          <w:tcPr>
            <w:tcW w:w="1548" w:type="dxa"/>
            <w:tcBorders>
              <w:top w:val="single" w:sz="4" w:space="0" w:color="BFBFBF" w:themeColor="background1" w:themeShade="BF"/>
            </w:tcBorders>
            <w:shd w:val="clear" w:color="auto" w:fill="91ACEC" w:themeFill="accent1" w:themeFillTint="99"/>
          </w:tcPr>
          <w:p w14:paraId="352DBEA5" w14:textId="77777777" w:rsidR="00E90195" w:rsidRPr="008814BE" w:rsidRDefault="00E90195" w:rsidP="000867AE">
            <w:pPr>
              <w:pStyle w:val="TableNText"/>
              <w:jc w:val="center"/>
              <w:rPr>
                <w:rFonts w:asciiTheme="majorHAnsi" w:hAnsiTheme="majorHAnsi" w:cstheme="majorHAnsi"/>
                <w:b/>
                <w:bCs/>
              </w:rPr>
            </w:pPr>
            <w:r w:rsidRPr="008814BE">
              <w:rPr>
                <w:rFonts w:asciiTheme="majorHAnsi" w:hAnsiTheme="majorHAnsi" w:cstheme="majorHAnsi"/>
                <w:b/>
                <w:bCs/>
              </w:rPr>
              <w:t>Labourers</w:t>
            </w:r>
          </w:p>
        </w:tc>
        <w:tc>
          <w:tcPr>
            <w:tcW w:w="1205" w:type="dxa"/>
            <w:vMerge/>
            <w:tcBorders>
              <w:top w:val="single" w:sz="4" w:space="0" w:color="BFBFBF" w:themeColor="background1" w:themeShade="BF"/>
            </w:tcBorders>
          </w:tcPr>
          <w:p w14:paraId="36F78BEB" w14:textId="77777777" w:rsidR="00E90195" w:rsidRPr="0098199F" w:rsidRDefault="00E90195" w:rsidP="000867AE">
            <w:pPr>
              <w:pStyle w:val="TableNText"/>
            </w:pPr>
          </w:p>
        </w:tc>
      </w:tr>
      <w:tr w:rsidR="008814BE" w:rsidRPr="00993B73" w14:paraId="72608C09" w14:textId="77777777" w:rsidTr="004452F5">
        <w:tc>
          <w:tcPr>
            <w:tcW w:w="2330" w:type="dxa"/>
            <w:shd w:val="clear" w:color="auto" w:fill="auto"/>
          </w:tcPr>
          <w:p w14:paraId="3E1A6D22"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A - Agriculture, Forestry and Fishing</w:t>
            </w:r>
          </w:p>
        </w:tc>
        <w:tc>
          <w:tcPr>
            <w:tcW w:w="1968" w:type="dxa"/>
            <w:shd w:val="clear" w:color="auto" w:fill="auto"/>
          </w:tcPr>
          <w:p w14:paraId="16D986FF"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6%</w:t>
            </w:r>
          </w:p>
        </w:tc>
        <w:tc>
          <w:tcPr>
            <w:tcW w:w="1965" w:type="dxa"/>
            <w:shd w:val="clear" w:color="auto" w:fill="auto"/>
          </w:tcPr>
          <w:p w14:paraId="321CAFB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6%</w:t>
            </w:r>
          </w:p>
        </w:tc>
        <w:tc>
          <w:tcPr>
            <w:tcW w:w="1548" w:type="dxa"/>
            <w:shd w:val="clear" w:color="auto" w:fill="auto"/>
          </w:tcPr>
          <w:p w14:paraId="118DD97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27%</w:t>
            </w:r>
          </w:p>
        </w:tc>
        <w:tc>
          <w:tcPr>
            <w:tcW w:w="1205" w:type="dxa"/>
            <w:shd w:val="clear" w:color="auto" w:fill="auto"/>
          </w:tcPr>
          <w:p w14:paraId="09DCB035"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39%</w:t>
            </w:r>
          </w:p>
        </w:tc>
      </w:tr>
      <w:tr w:rsidR="008814BE" w:rsidRPr="00993B73" w14:paraId="64676B87" w14:textId="77777777" w:rsidTr="0057713A">
        <w:tc>
          <w:tcPr>
            <w:tcW w:w="2330" w:type="dxa"/>
            <w:shd w:val="clear" w:color="auto" w:fill="DAE3F8" w:themeFill="accent1" w:themeFillTint="33"/>
          </w:tcPr>
          <w:p w14:paraId="7CE92A9B"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B - Mining</w:t>
            </w:r>
          </w:p>
        </w:tc>
        <w:tc>
          <w:tcPr>
            <w:tcW w:w="1968" w:type="dxa"/>
            <w:shd w:val="clear" w:color="auto" w:fill="DAE3F8" w:themeFill="accent1" w:themeFillTint="33"/>
          </w:tcPr>
          <w:p w14:paraId="1814678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27%</w:t>
            </w:r>
          </w:p>
        </w:tc>
        <w:tc>
          <w:tcPr>
            <w:tcW w:w="1965" w:type="dxa"/>
            <w:shd w:val="clear" w:color="auto" w:fill="DAE3F8" w:themeFill="accent1" w:themeFillTint="33"/>
          </w:tcPr>
          <w:p w14:paraId="61D4A38C"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31%</w:t>
            </w:r>
          </w:p>
        </w:tc>
        <w:tc>
          <w:tcPr>
            <w:tcW w:w="1548" w:type="dxa"/>
            <w:shd w:val="clear" w:color="auto" w:fill="DAE3F8" w:themeFill="accent1" w:themeFillTint="33"/>
          </w:tcPr>
          <w:p w14:paraId="3593153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w:t>
            </w:r>
          </w:p>
        </w:tc>
        <w:tc>
          <w:tcPr>
            <w:tcW w:w="1205" w:type="dxa"/>
            <w:shd w:val="clear" w:color="auto" w:fill="DAE3F8" w:themeFill="accent1" w:themeFillTint="33"/>
          </w:tcPr>
          <w:p w14:paraId="66A1B346"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63%</w:t>
            </w:r>
          </w:p>
        </w:tc>
      </w:tr>
      <w:tr w:rsidR="00207F17" w:rsidRPr="00993B73" w14:paraId="0C4DC8BB" w14:textId="77777777" w:rsidTr="004452F5">
        <w:tc>
          <w:tcPr>
            <w:tcW w:w="2330" w:type="dxa"/>
            <w:shd w:val="clear" w:color="auto" w:fill="auto"/>
          </w:tcPr>
          <w:p w14:paraId="6E9517D8"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 xml:space="preserve">C - Manufacturing </w:t>
            </w:r>
          </w:p>
        </w:tc>
        <w:tc>
          <w:tcPr>
            <w:tcW w:w="1968" w:type="dxa"/>
            <w:shd w:val="clear" w:color="auto" w:fill="auto"/>
          </w:tcPr>
          <w:p w14:paraId="68C0B8B2"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24%</w:t>
            </w:r>
          </w:p>
        </w:tc>
        <w:tc>
          <w:tcPr>
            <w:tcW w:w="1965" w:type="dxa"/>
            <w:shd w:val="clear" w:color="auto" w:fill="auto"/>
          </w:tcPr>
          <w:p w14:paraId="447A6EFD"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13%</w:t>
            </w:r>
          </w:p>
        </w:tc>
        <w:tc>
          <w:tcPr>
            <w:tcW w:w="1548" w:type="dxa"/>
            <w:shd w:val="clear" w:color="auto" w:fill="auto"/>
          </w:tcPr>
          <w:p w14:paraId="2800B016"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18%</w:t>
            </w:r>
          </w:p>
        </w:tc>
        <w:tc>
          <w:tcPr>
            <w:tcW w:w="1205" w:type="dxa"/>
            <w:shd w:val="clear" w:color="auto" w:fill="auto"/>
          </w:tcPr>
          <w:p w14:paraId="3D6FFD1B"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55%</w:t>
            </w:r>
          </w:p>
        </w:tc>
      </w:tr>
      <w:tr w:rsidR="008814BE" w:rsidRPr="00993B73" w14:paraId="4029CA41" w14:textId="77777777" w:rsidTr="0057713A">
        <w:tc>
          <w:tcPr>
            <w:tcW w:w="2330" w:type="dxa"/>
            <w:shd w:val="clear" w:color="auto" w:fill="DAE3F8" w:themeFill="accent1" w:themeFillTint="33"/>
          </w:tcPr>
          <w:p w14:paraId="1F1A7232"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D - Electricity, Gas, Water and Waste Services</w:t>
            </w:r>
          </w:p>
        </w:tc>
        <w:tc>
          <w:tcPr>
            <w:tcW w:w="1968" w:type="dxa"/>
            <w:shd w:val="clear" w:color="auto" w:fill="DAE3F8" w:themeFill="accent1" w:themeFillTint="33"/>
          </w:tcPr>
          <w:p w14:paraId="549BADD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20%</w:t>
            </w:r>
          </w:p>
        </w:tc>
        <w:tc>
          <w:tcPr>
            <w:tcW w:w="1965" w:type="dxa"/>
            <w:shd w:val="clear" w:color="auto" w:fill="DAE3F8" w:themeFill="accent1" w:themeFillTint="33"/>
          </w:tcPr>
          <w:p w14:paraId="736934D2"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15%</w:t>
            </w:r>
          </w:p>
        </w:tc>
        <w:tc>
          <w:tcPr>
            <w:tcW w:w="1548" w:type="dxa"/>
            <w:shd w:val="clear" w:color="auto" w:fill="DAE3F8" w:themeFill="accent1" w:themeFillTint="33"/>
          </w:tcPr>
          <w:p w14:paraId="261C5813"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7%</w:t>
            </w:r>
          </w:p>
        </w:tc>
        <w:tc>
          <w:tcPr>
            <w:tcW w:w="1205" w:type="dxa"/>
            <w:shd w:val="clear" w:color="auto" w:fill="DAE3F8" w:themeFill="accent1" w:themeFillTint="33"/>
          </w:tcPr>
          <w:p w14:paraId="286B8714"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43%</w:t>
            </w:r>
          </w:p>
        </w:tc>
      </w:tr>
      <w:tr w:rsidR="00207F17" w:rsidRPr="00993B73" w14:paraId="20504999" w14:textId="77777777" w:rsidTr="004452F5">
        <w:tc>
          <w:tcPr>
            <w:tcW w:w="2330" w:type="dxa"/>
            <w:shd w:val="clear" w:color="auto" w:fill="auto"/>
          </w:tcPr>
          <w:p w14:paraId="1E40FE1A"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 xml:space="preserve">E - Construction </w:t>
            </w:r>
          </w:p>
        </w:tc>
        <w:tc>
          <w:tcPr>
            <w:tcW w:w="1968" w:type="dxa"/>
            <w:shd w:val="clear" w:color="auto" w:fill="auto"/>
          </w:tcPr>
          <w:p w14:paraId="3E60E0CB"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47%</w:t>
            </w:r>
          </w:p>
        </w:tc>
        <w:tc>
          <w:tcPr>
            <w:tcW w:w="1965" w:type="dxa"/>
            <w:shd w:val="clear" w:color="auto" w:fill="auto"/>
          </w:tcPr>
          <w:p w14:paraId="259CB22D"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7%</w:t>
            </w:r>
          </w:p>
        </w:tc>
        <w:tc>
          <w:tcPr>
            <w:tcW w:w="1548" w:type="dxa"/>
            <w:shd w:val="clear" w:color="auto" w:fill="auto"/>
          </w:tcPr>
          <w:p w14:paraId="076C2771"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14%</w:t>
            </w:r>
          </w:p>
        </w:tc>
        <w:tc>
          <w:tcPr>
            <w:tcW w:w="1205" w:type="dxa"/>
            <w:shd w:val="clear" w:color="auto" w:fill="auto"/>
          </w:tcPr>
          <w:p w14:paraId="5B31CB4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69%</w:t>
            </w:r>
          </w:p>
        </w:tc>
      </w:tr>
      <w:tr w:rsidR="008814BE" w:rsidRPr="00993B73" w14:paraId="4A1C6EC9" w14:textId="77777777" w:rsidTr="0057713A">
        <w:tc>
          <w:tcPr>
            <w:tcW w:w="2330" w:type="dxa"/>
            <w:shd w:val="clear" w:color="auto" w:fill="DAE3F8" w:themeFill="accent1" w:themeFillTint="33"/>
          </w:tcPr>
          <w:p w14:paraId="43242E26"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F - Wholesale Trade</w:t>
            </w:r>
          </w:p>
        </w:tc>
        <w:tc>
          <w:tcPr>
            <w:tcW w:w="1968" w:type="dxa"/>
            <w:shd w:val="clear" w:color="auto" w:fill="DAE3F8" w:themeFill="accent1" w:themeFillTint="33"/>
          </w:tcPr>
          <w:p w14:paraId="5E0B512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9%</w:t>
            </w:r>
          </w:p>
        </w:tc>
        <w:tc>
          <w:tcPr>
            <w:tcW w:w="1965" w:type="dxa"/>
            <w:shd w:val="clear" w:color="auto" w:fill="DAE3F8" w:themeFill="accent1" w:themeFillTint="33"/>
          </w:tcPr>
          <w:p w14:paraId="73352DD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14%</w:t>
            </w:r>
          </w:p>
        </w:tc>
        <w:tc>
          <w:tcPr>
            <w:tcW w:w="1548" w:type="dxa"/>
            <w:shd w:val="clear" w:color="auto" w:fill="DAE3F8" w:themeFill="accent1" w:themeFillTint="33"/>
          </w:tcPr>
          <w:p w14:paraId="5A2C87CA"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6%</w:t>
            </w:r>
          </w:p>
        </w:tc>
        <w:tc>
          <w:tcPr>
            <w:tcW w:w="1205" w:type="dxa"/>
            <w:shd w:val="clear" w:color="auto" w:fill="DAE3F8" w:themeFill="accent1" w:themeFillTint="33"/>
          </w:tcPr>
          <w:p w14:paraId="796245CB"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29%</w:t>
            </w:r>
          </w:p>
        </w:tc>
      </w:tr>
      <w:tr w:rsidR="00207F17" w:rsidRPr="00993B73" w14:paraId="4EDA5499" w14:textId="77777777" w:rsidTr="004452F5">
        <w:tc>
          <w:tcPr>
            <w:tcW w:w="2330" w:type="dxa"/>
            <w:shd w:val="clear" w:color="auto" w:fill="auto"/>
          </w:tcPr>
          <w:p w14:paraId="3FD3008B"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I - Transport, Postal and Warehousing</w:t>
            </w:r>
          </w:p>
        </w:tc>
        <w:tc>
          <w:tcPr>
            <w:tcW w:w="1968" w:type="dxa"/>
            <w:shd w:val="clear" w:color="auto" w:fill="auto"/>
          </w:tcPr>
          <w:p w14:paraId="1CC8A113"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w:t>
            </w:r>
          </w:p>
        </w:tc>
        <w:tc>
          <w:tcPr>
            <w:tcW w:w="1965" w:type="dxa"/>
            <w:shd w:val="clear" w:color="auto" w:fill="auto"/>
          </w:tcPr>
          <w:p w14:paraId="57D821CE"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45%</w:t>
            </w:r>
          </w:p>
        </w:tc>
        <w:tc>
          <w:tcPr>
            <w:tcW w:w="1548" w:type="dxa"/>
            <w:shd w:val="clear" w:color="auto" w:fill="auto"/>
          </w:tcPr>
          <w:p w14:paraId="1995B5C1"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w:t>
            </w:r>
          </w:p>
        </w:tc>
        <w:tc>
          <w:tcPr>
            <w:tcW w:w="1205" w:type="dxa"/>
            <w:shd w:val="clear" w:color="auto" w:fill="auto"/>
          </w:tcPr>
          <w:p w14:paraId="1F6A5F64"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55%</w:t>
            </w:r>
          </w:p>
        </w:tc>
      </w:tr>
      <w:tr w:rsidR="008814BE" w:rsidRPr="00993B73" w14:paraId="0AFDE407" w14:textId="77777777" w:rsidTr="0057713A">
        <w:tc>
          <w:tcPr>
            <w:tcW w:w="2330" w:type="dxa"/>
            <w:shd w:val="clear" w:color="auto" w:fill="DAE3F8" w:themeFill="accent1" w:themeFillTint="33"/>
          </w:tcPr>
          <w:p w14:paraId="28EC402F"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M - Professional, Scientific and Technical Services</w:t>
            </w:r>
          </w:p>
        </w:tc>
        <w:tc>
          <w:tcPr>
            <w:tcW w:w="1968" w:type="dxa"/>
            <w:shd w:val="clear" w:color="auto" w:fill="DAE3F8" w:themeFill="accent1" w:themeFillTint="33"/>
          </w:tcPr>
          <w:p w14:paraId="0A67134F"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9%</w:t>
            </w:r>
          </w:p>
        </w:tc>
        <w:tc>
          <w:tcPr>
            <w:tcW w:w="1965" w:type="dxa"/>
            <w:shd w:val="clear" w:color="auto" w:fill="DAE3F8" w:themeFill="accent1" w:themeFillTint="33"/>
          </w:tcPr>
          <w:p w14:paraId="2F5C7513"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0%</w:t>
            </w:r>
          </w:p>
        </w:tc>
        <w:tc>
          <w:tcPr>
            <w:tcW w:w="1548" w:type="dxa"/>
            <w:shd w:val="clear" w:color="auto" w:fill="DAE3F8" w:themeFill="accent1" w:themeFillTint="33"/>
          </w:tcPr>
          <w:p w14:paraId="0904164C"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w:t>
            </w:r>
          </w:p>
        </w:tc>
        <w:tc>
          <w:tcPr>
            <w:tcW w:w="1205" w:type="dxa"/>
            <w:shd w:val="clear" w:color="auto" w:fill="DAE3F8" w:themeFill="accent1" w:themeFillTint="33"/>
          </w:tcPr>
          <w:p w14:paraId="7CD82484"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10%</w:t>
            </w:r>
          </w:p>
        </w:tc>
      </w:tr>
      <w:tr w:rsidR="00207F17" w:rsidRPr="00993B73" w14:paraId="3DC8D85F" w14:textId="77777777" w:rsidTr="004452F5">
        <w:tc>
          <w:tcPr>
            <w:tcW w:w="2330" w:type="dxa"/>
            <w:shd w:val="clear" w:color="auto" w:fill="auto"/>
          </w:tcPr>
          <w:p w14:paraId="49218EA0"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P - Education and Training</w:t>
            </w:r>
          </w:p>
        </w:tc>
        <w:tc>
          <w:tcPr>
            <w:tcW w:w="1968" w:type="dxa"/>
            <w:shd w:val="clear" w:color="auto" w:fill="auto"/>
          </w:tcPr>
          <w:p w14:paraId="27695ECD"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3%</w:t>
            </w:r>
          </w:p>
        </w:tc>
        <w:tc>
          <w:tcPr>
            <w:tcW w:w="1965" w:type="dxa"/>
            <w:shd w:val="clear" w:color="auto" w:fill="auto"/>
          </w:tcPr>
          <w:p w14:paraId="1066ADAD"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0%</w:t>
            </w:r>
          </w:p>
        </w:tc>
        <w:tc>
          <w:tcPr>
            <w:tcW w:w="1548" w:type="dxa"/>
            <w:shd w:val="clear" w:color="auto" w:fill="auto"/>
          </w:tcPr>
          <w:p w14:paraId="4E21791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2%</w:t>
            </w:r>
          </w:p>
        </w:tc>
        <w:tc>
          <w:tcPr>
            <w:tcW w:w="1205" w:type="dxa"/>
            <w:shd w:val="clear" w:color="auto" w:fill="auto"/>
          </w:tcPr>
          <w:p w14:paraId="752F9736"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w:t>
            </w:r>
          </w:p>
        </w:tc>
      </w:tr>
      <w:tr w:rsidR="008814BE" w:rsidRPr="00993B73" w14:paraId="5206EE0B" w14:textId="77777777" w:rsidTr="0057713A">
        <w:tc>
          <w:tcPr>
            <w:tcW w:w="2330" w:type="dxa"/>
            <w:shd w:val="clear" w:color="auto" w:fill="DAE3F8" w:themeFill="accent1" w:themeFillTint="33"/>
          </w:tcPr>
          <w:p w14:paraId="5D2181C3"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Q - Health Care and Social Assistance</w:t>
            </w:r>
          </w:p>
        </w:tc>
        <w:tc>
          <w:tcPr>
            <w:tcW w:w="1968" w:type="dxa"/>
            <w:shd w:val="clear" w:color="auto" w:fill="DAE3F8" w:themeFill="accent1" w:themeFillTint="33"/>
          </w:tcPr>
          <w:p w14:paraId="697BFA17"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3%</w:t>
            </w:r>
          </w:p>
        </w:tc>
        <w:tc>
          <w:tcPr>
            <w:tcW w:w="1965" w:type="dxa"/>
            <w:shd w:val="clear" w:color="auto" w:fill="DAE3F8" w:themeFill="accent1" w:themeFillTint="33"/>
          </w:tcPr>
          <w:p w14:paraId="543645E8"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w:t>
            </w:r>
          </w:p>
        </w:tc>
        <w:tc>
          <w:tcPr>
            <w:tcW w:w="1548" w:type="dxa"/>
            <w:shd w:val="clear" w:color="auto" w:fill="DAE3F8" w:themeFill="accent1" w:themeFillTint="33"/>
          </w:tcPr>
          <w:p w14:paraId="4124B14B"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3%</w:t>
            </w:r>
          </w:p>
        </w:tc>
        <w:tc>
          <w:tcPr>
            <w:tcW w:w="1205" w:type="dxa"/>
            <w:shd w:val="clear" w:color="auto" w:fill="DAE3F8" w:themeFill="accent1" w:themeFillTint="33"/>
          </w:tcPr>
          <w:p w14:paraId="37B2662F"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7%</w:t>
            </w:r>
          </w:p>
        </w:tc>
      </w:tr>
      <w:tr w:rsidR="00207F17" w:rsidRPr="00993B73" w14:paraId="3F2C1722" w14:textId="77777777" w:rsidTr="004452F5">
        <w:tc>
          <w:tcPr>
            <w:tcW w:w="2330" w:type="dxa"/>
            <w:shd w:val="clear" w:color="auto" w:fill="auto"/>
          </w:tcPr>
          <w:p w14:paraId="6EE6F515"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R - Arts and Recreation Services</w:t>
            </w:r>
          </w:p>
        </w:tc>
        <w:tc>
          <w:tcPr>
            <w:tcW w:w="1968" w:type="dxa"/>
            <w:shd w:val="clear" w:color="auto" w:fill="auto"/>
          </w:tcPr>
          <w:p w14:paraId="2D5525B5"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9%</w:t>
            </w:r>
          </w:p>
        </w:tc>
        <w:tc>
          <w:tcPr>
            <w:tcW w:w="1965" w:type="dxa"/>
            <w:shd w:val="clear" w:color="auto" w:fill="auto"/>
          </w:tcPr>
          <w:p w14:paraId="36946CFE"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w:t>
            </w:r>
          </w:p>
        </w:tc>
        <w:tc>
          <w:tcPr>
            <w:tcW w:w="1548" w:type="dxa"/>
            <w:shd w:val="clear" w:color="auto" w:fill="auto"/>
          </w:tcPr>
          <w:p w14:paraId="772616C0"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7%</w:t>
            </w:r>
          </w:p>
        </w:tc>
        <w:tc>
          <w:tcPr>
            <w:tcW w:w="1205" w:type="dxa"/>
            <w:shd w:val="clear" w:color="auto" w:fill="auto"/>
          </w:tcPr>
          <w:p w14:paraId="0B43B2B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17%</w:t>
            </w:r>
          </w:p>
        </w:tc>
      </w:tr>
      <w:tr w:rsidR="008814BE" w:rsidRPr="00993B73" w14:paraId="48F9D022" w14:textId="77777777" w:rsidTr="0057713A">
        <w:tc>
          <w:tcPr>
            <w:tcW w:w="2330" w:type="dxa"/>
            <w:shd w:val="clear" w:color="auto" w:fill="DAE3F8" w:themeFill="accent1" w:themeFillTint="33"/>
          </w:tcPr>
          <w:p w14:paraId="19804879" w14:textId="77777777" w:rsidR="00E90195" w:rsidRPr="008814BE" w:rsidRDefault="00E90195" w:rsidP="000867AE">
            <w:pPr>
              <w:pStyle w:val="TableNText"/>
              <w:rPr>
                <w:rFonts w:asciiTheme="minorHAnsi" w:hAnsiTheme="minorHAnsi" w:cstheme="minorHAnsi"/>
                <w:b/>
              </w:rPr>
            </w:pPr>
            <w:r w:rsidRPr="008814BE">
              <w:rPr>
                <w:rFonts w:asciiTheme="minorHAnsi" w:hAnsiTheme="minorHAnsi" w:cstheme="minorHAnsi"/>
                <w:b/>
              </w:rPr>
              <w:t>S - Other Services</w:t>
            </w:r>
          </w:p>
        </w:tc>
        <w:tc>
          <w:tcPr>
            <w:tcW w:w="1968" w:type="dxa"/>
            <w:shd w:val="clear" w:color="auto" w:fill="DAE3F8" w:themeFill="accent1" w:themeFillTint="33"/>
          </w:tcPr>
          <w:p w14:paraId="69690A9E"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42%</w:t>
            </w:r>
          </w:p>
        </w:tc>
        <w:tc>
          <w:tcPr>
            <w:tcW w:w="1965" w:type="dxa"/>
            <w:shd w:val="clear" w:color="auto" w:fill="DAE3F8" w:themeFill="accent1" w:themeFillTint="33"/>
          </w:tcPr>
          <w:p w14:paraId="7DC9463B"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1%</w:t>
            </w:r>
          </w:p>
        </w:tc>
        <w:tc>
          <w:tcPr>
            <w:tcW w:w="1548" w:type="dxa"/>
            <w:shd w:val="clear" w:color="auto" w:fill="DAE3F8" w:themeFill="accent1" w:themeFillTint="33"/>
          </w:tcPr>
          <w:p w14:paraId="2D9848C9"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8%</w:t>
            </w:r>
          </w:p>
        </w:tc>
        <w:tc>
          <w:tcPr>
            <w:tcW w:w="1205" w:type="dxa"/>
            <w:shd w:val="clear" w:color="auto" w:fill="DAE3F8" w:themeFill="accent1" w:themeFillTint="33"/>
          </w:tcPr>
          <w:p w14:paraId="462D0A88" w14:textId="77777777" w:rsidR="00E90195" w:rsidRPr="008814BE" w:rsidRDefault="00E90195" w:rsidP="000867AE">
            <w:pPr>
              <w:pStyle w:val="TableNText"/>
              <w:jc w:val="right"/>
              <w:rPr>
                <w:rFonts w:asciiTheme="minorHAnsi" w:hAnsiTheme="minorHAnsi" w:cstheme="minorHAnsi"/>
              </w:rPr>
            </w:pPr>
            <w:r w:rsidRPr="008814BE">
              <w:rPr>
                <w:rFonts w:asciiTheme="minorHAnsi" w:hAnsiTheme="minorHAnsi" w:cstheme="minorHAnsi"/>
              </w:rPr>
              <w:t>51%</w:t>
            </w:r>
          </w:p>
        </w:tc>
      </w:tr>
    </w:tbl>
    <w:p w14:paraId="2E35BE28" w14:textId="3A75A372" w:rsidR="009D4B91" w:rsidRPr="009D4B91" w:rsidRDefault="0010691F" w:rsidP="00BA7743">
      <w:pPr>
        <w:pStyle w:val="SWAHeading1"/>
        <w:numPr>
          <w:ilvl w:val="0"/>
          <w:numId w:val="0"/>
        </w:numPr>
        <w:ind w:left="567" w:hanging="567"/>
      </w:pPr>
      <w:bookmarkStart w:id="726" w:name="_Toc219216945"/>
      <w:r>
        <w:lastRenderedPageBreak/>
        <w:t xml:space="preserve">Appendix </w:t>
      </w:r>
      <w:r w:rsidR="00006136">
        <w:t>G</w:t>
      </w:r>
      <w:r w:rsidR="000B74A2">
        <w:t xml:space="preserve"> </w:t>
      </w:r>
      <w:r>
        <w:t>- Escalation indexes</w:t>
      </w:r>
      <w:bookmarkEnd w:id="726"/>
    </w:p>
    <w:p w14:paraId="7FF1A00D" w14:textId="1F25EFFD" w:rsidR="008F6093" w:rsidRDefault="00BA7743" w:rsidP="00267E10">
      <w:r w:rsidRPr="00993B73">
        <w:rPr>
          <w:lang w:eastAsia="en-AU"/>
        </w:rPr>
        <w:t>The indexes used to escalate cost and benefit inputs to June 2024 terms are presented in</w:t>
      </w:r>
      <w:r w:rsidR="00267E10">
        <w:rPr>
          <w:lang w:eastAsia="en-AU"/>
        </w:rPr>
        <w:t xml:space="preserve"> </w:t>
      </w:r>
      <w:r w:rsidR="00267E10">
        <w:rPr>
          <w:lang w:eastAsia="en-AU"/>
        </w:rPr>
        <w:fldChar w:fldCharType="begin"/>
      </w:r>
      <w:r w:rsidR="00267E10">
        <w:rPr>
          <w:lang w:eastAsia="en-AU"/>
        </w:rPr>
        <w:instrText xml:space="preserve"> REF _Ref216794191 \h </w:instrText>
      </w:r>
      <w:r w:rsidR="00267E10">
        <w:rPr>
          <w:lang w:eastAsia="en-AU"/>
        </w:rPr>
      </w:r>
      <w:r w:rsidR="00267E10">
        <w:rPr>
          <w:lang w:eastAsia="en-AU"/>
        </w:rPr>
        <w:fldChar w:fldCharType="separate"/>
      </w:r>
      <w:r w:rsidR="00A002F4">
        <w:t xml:space="preserve">Table </w:t>
      </w:r>
      <w:r w:rsidR="00A002F4">
        <w:rPr>
          <w:noProof/>
        </w:rPr>
        <w:t>76</w:t>
      </w:r>
      <w:r w:rsidR="00267E10">
        <w:rPr>
          <w:lang w:eastAsia="en-AU"/>
        </w:rPr>
        <w:fldChar w:fldCharType="end"/>
      </w:r>
      <w:r w:rsidRPr="00993B73">
        <w:rPr>
          <w:lang w:eastAsia="en-AU"/>
        </w:rPr>
        <w:t>.</w:t>
      </w:r>
    </w:p>
    <w:p w14:paraId="1F00C5D5" w14:textId="454A5438" w:rsidR="00267E10" w:rsidRDefault="00267E10" w:rsidP="00267E10">
      <w:pPr>
        <w:pStyle w:val="Caption"/>
      </w:pPr>
      <w:bookmarkStart w:id="727" w:name="_Ref216794191"/>
      <w:r>
        <w:t xml:space="preserve">Table </w:t>
      </w:r>
      <w:fldSimple w:instr=" SEQ Table \* ARABIC ">
        <w:r w:rsidR="00A002F4">
          <w:rPr>
            <w:noProof/>
          </w:rPr>
          <w:t>76</w:t>
        </w:r>
      </w:fldSimple>
      <w:bookmarkEnd w:id="727"/>
      <w:r>
        <w:t xml:space="preserve"> - </w:t>
      </w:r>
      <w:r w:rsidRPr="00D65237">
        <w:t>Escalation indexes used in the impact analysis</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04"/>
        <w:gridCol w:w="1437"/>
        <w:gridCol w:w="1442"/>
        <w:gridCol w:w="1433"/>
      </w:tblGrid>
      <w:tr w:rsidR="00384744" w:rsidRPr="0098199F" w14:paraId="156B1807" w14:textId="77777777" w:rsidTr="00984286">
        <w:trPr>
          <w:cnfStyle w:val="100000000000" w:firstRow="1" w:lastRow="0" w:firstColumn="0" w:lastColumn="0" w:oddVBand="0" w:evenVBand="0" w:oddHBand="0" w:evenHBand="0" w:firstRowFirstColumn="0" w:firstRowLastColumn="0" w:lastRowFirstColumn="0" w:lastRowLastColumn="0"/>
        </w:trPr>
        <w:tc>
          <w:tcPr>
            <w:tcW w:w="4704" w:type="dxa"/>
            <w:tcBorders>
              <w:top w:val="single" w:sz="4" w:space="0" w:color="BFBFBF" w:themeColor="background1" w:themeShade="BF"/>
            </w:tcBorders>
            <w:shd w:val="clear" w:color="auto" w:fill="4877E0" w:themeFill="accent1"/>
          </w:tcPr>
          <w:p w14:paraId="45DA7A89" w14:textId="77777777" w:rsidR="00BA7743" w:rsidRPr="00556F8C" w:rsidRDefault="00BA7743" w:rsidP="00F2451D">
            <w:pPr>
              <w:pStyle w:val="TableNheader"/>
              <w:spacing w:before="0" w:after="0"/>
              <w:rPr>
                <w:rFonts w:asciiTheme="minorHAnsi" w:hAnsiTheme="minorHAnsi" w:cstheme="minorHAnsi"/>
                <w:color w:val="FFFFFF" w:themeColor="background1"/>
                <w:szCs w:val="18"/>
              </w:rPr>
            </w:pPr>
            <w:r w:rsidRPr="00556F8C">
              <w:rPr>
                <w:rFonts w:asciiTheme="minorHAnsi" w:hAnsiTheme="minorHAnsi" w:cstheme="minorHAnsi"/>
                <w:color w:val="FFFFFF" w:themeColor="background1"/>
                <w:szCs w:val="18"/>
              </w:rPr>
              <w:t>Escalation index</w:t>
            </w:r>
          </w:p>
        </w:tc>
        <w:tc>
          <w:tcPr>
            <w:tcW w:w="1437" w:type="dxa"/>
            <w:tcBorders>
              <w:top w:val="single" w:sz="4" w:space="0" w:color="BFBFBF" w:themeColor="background1" w:themeShade="BF"/>
            </w:tcBorders>
            <w:shd w:val="clear" w:color="auto" w:fill="4877E0" w:themeFill="accent1"/>
          </w:tcPr>
          <w:p w14:paraId="699BC344" w14:textId="77777777" w:rsidR="00BA7743" w:rsidRPr="00556F8C" w:rsidRDefault="00BA7743" w:rsidP="00F2451D">
            <w:pPr>
              <w:pStyle w:val="TableNheader"/>
              <w:spacing w:before="0" w:after="0"/>
              <w:rPr>
                <w:rFonts w:asciiTheme="minorHAnsi" w:hAnsiTheme="minorHAnsi" w:cstheme="minorHAnsi"/>
                <w:color w:val="FFFFFF" w:themeColor="background1"/>
                <w:szCs w:val="18"/>
              </w:rPr>
            </w:pPr>
            <w:r w:rsidRPr="00556F8C">
              <w:rPr>
                <w:rFonts w:asciiTheme="minorHAnsi" w:hAnsiTheme="minorHAnsi" w:cstheme="minorHAnsi"/>
                <w:color w:val="FFFFFF" w:themeColor="background1"/>
                <w:szCs w:val="18"/>
              </w:rPr>
              <w:t>Category No.</w:t>
            </w:r>
          </w:p>
        </w:tc>
        <w:tc>
          <w:tcPr>
            <w:tcW w:w="1442" w:type="dxa"/>
            <w:tcBorders>
              <w:top w:val="single" w:sz="4" w:space="0" w:color="BFBFBF" w:themeColor="background1" w:themeShade="BF"/>
            </w:tcBorders>
            <w:shd w:val="clear" w:color="auto" w:fill="4877E0" w:themeFill="accent1"/>
          </w:tcPr>
          <w:p w14:paraId="179EFE51" w14:textId="77777777" w:rsidR="00BA7743" w:rsidRPr="00556F8C" w:rsidRDefault="00BA7743" w:rsidP="00F2451D">
            <w:pPr>
              <w:pStyle w:val="TableNheader"/>
              <w:spacing w:before="0" w:after="0"/>
              <w:rPr>
                <w:rFonts w:asciiTheme="minorHAnsi" w:hAnsiTheme="minorHAnsi" w:cstheme="minorHAnsi"/>
                <w:color w:val="FFFFFF" w:themeColor="background1"/>
                <w:szCs w:val="18"/>
              </w:rPr>
            </w:pPr>
            <w:r w:rsidRPr="00556F8C">
              <w:rPr>
                <w:rFonts w:asciiTheme="minorHAnsi" w:hAnsiTheme="minorHAnsi" w:cstheme="minorHAnsi"/>
                <w:color w:val="FFFFFF" w:themeColor="background1"/>
                <w:szCs w:val="18"/>
              </w:rPr>
              <w:t>Series ID</w:t>
            </w:r>
          </w:p>
        </w:tc>
        <w:tc>
          <w:tcPr>
            <w:tcW w:w="1433" w:type="dxa"/>
            <w:tcBorders>
              <w:top w:val="single" w:sz="4" w:space="0" w:color="BFBFBF" w:themeColor="background1" w:themeShade="BF"/>
            </w:tcBorders>
            <w:shd w:val="clear" w:color="auto" w:fill="4877E0" w:themeFill="accent1"/>
          </w:tcPr>
          <w:p w14:paraId="498F3182" w14:textId="77777777" w:rsidR="00BA7743" w:rsidRPr="00556F8C" w:rsidRDefault="00BA7743" w:rsidP="00F2451D">
            <w:pPr>
              <w:pStyle w:val="TableNheader"/>
              <w:spacing w:before="0" w:after="0"/>
              <w:rPr>
                <w:rFonts w:asciiTheme="minorHAnsi" w:hAnsiTheme="minorHAnsi" w:cstheme="minorHAnsi"/>
                <w:color w:val="FFFFFF" w:themeColor="background1"/>
                <w:szCs w:val="18"/>
              </w:rPr>
            </w:pPr>
            <w:r w:rsidRPr="00556F8C">
              <w:rPr>
                <w:rFonts w:asciiTheme="minorHAnsi" w:hAnsiTheme="minorHAnsi" w:cstheme="minorHAnsi"/>
                <w:color w:val="FFFFFF" w:themeColor="background1"/>
                <w:szCs w:val="18"/>
              </w:rPr>
              <w:t>Ref. Code</w:t>
            </w:r>
          </w:p>
        </w:tc>
      </w:tr>
      <w:tr w:rsidR="00887795" w:rsidRPr="0098199F" w14:paraId="7195F547" w14:textId="77777777">
        <w:tc>
          <w:tcPr>
            <w:tcW w:w="9016" w:type="dxa"/>
            <w:gridSpan w:val="4"/>
            <w:shd w:val="clear" w:color="auto" w:fill="91ACEC" w:themeFill="accent1" w:themeFillTint="99"/>
          </w:tcPr>
          <w:p w14:paraId="21EF3A22" w14:textId="0B851CBA" w:rsidR="00887795" w:rsidRPr="00F2451D" w:rsidRDefault="00887795" w:rsidP="00F2451D">
            <w:pPr>
              <w:pStyle w:val="TableNText"/>
              <w:spacing w:before="0" w:after="0"/>
              <w:rPr>
                <w:rFonts w:asciiTheme="minorHAnsi" w:hAnsiTheme="minorHAnsi" w:cstheme="minorHAnsi"/>
                <w:color w:val="E7E6E6" w:themeColor="background2"/>
                <w:sz w:val="18"/>
                <w:szCs w:val="18"/>
              </w:rPr>
            </w:pPr>
            <w:r w:rsidRPr="00F2451D">
              <w:rPr>
                <w:rFonts w:asciiTheme="minorHAnsi" w:hAnsiTheme="minorHAnsi" w:cstheme="minorHAnsi"/>
                <w:b/>
                <w:sz w:val="18"/>
                <w:szCs w:val="18"/>
              </w:rPr>
              <w:t>Consumer Price Indexes (CPI)</w:t>
            </w:r>
            <w:r>
              <w:rPr>
                <w:rFonts w:asciiTheme="minorHAnsi" w:hAnsiTheme="minorHAnsi" w:cstheme="minorHAnsi"/>
                <w:b/>
                <w:sz w:val="18"/>
                <w:szCs w:val="18"/>
              </w:rPr>
              <w:t xml:space="preserve"> </w:t>
            </w:r>
            <w:sdt>
              <w:sdtPr>
                <w:rPr>
                  <w:rFonts w:asciiTheme="minorHAnsi" w:hAnsiTheme="minorHAnsi" w:cstheme="minorHAnsi"/>
                  <w:b/>
                  <w:sz w:val="18"/>
                  <w:szCs w:val="18"/>
                </w:rPr>
                <w:id w:val="1312671321"/>
                <w:citation/>
              </w:sdtPr>
              <w:sdtEndPr/>
              <w:sdtContent>
                <w:r>
                  <w:rPr>
                    <w:rFonts w:asciiTheme="minorHAnsi" w:hAnsiTheme="minorHAnsi" w:cstheme="minorHAnsi"/>
                    <w:b/>
                    <w:sz w:val="18"/>
                    <w:szCs w:val="18"/>
                  </w:rPr>
                  <w:fldChar w:fldCharType="begin"/>
                </w:r>
                <w:r>
                  <w:rPr>
                    <w:rFonts w:asciiTheme="minorHAnsi" w:hAnsiTheme="minorHAnsi" w:cstheme="minorHAnsi"/>
                    <w:b/>
                    <w:sz w:val="18"/>
                    <w:szCs w:val="18"/>
                  </w:rPr>
                  <w:instrText xml:space="preserve"> </w:instrText>
                </w:r>
                <w:r>
                  <w:rPr>
                    <w:rFonts w:asciiTheme="minorHAnsi" w:hAnsiTheme="minorHAnsi" w:cstheme="minorHAnsi"/>
                    <w:b/>
                    <w:sz w:val="18"/>
                    <w:szCs w:val="18"/>
                    <w:lang w:val="en-AU"/>
                  </w:rPr>
                  <w:instrText xml:space="preserve">CITATION </w:instrText>
                </w:r>
                <w:r>
                  <w:rPr>
                    <w:rFonts w:asciiTheme="minorHAnsi" w:hAnsiTheme="minorHAnsi" w:cstheme="minorHAnsi"/>
                    <w:b/>
                    <w:sz w:val="18"/>
                    <w:szCs w:val="18"/>
                  </w:rPr>
                  <w:instrText xml:space="preserve">ABS246 \l 3081 </w:instrText>
                </w:r>
                <w:r>
                  <w:rPr>
                    <w:rFonts w:asciiTheme="minorHAnsi" w:hAnsiTheme="minorHAnsi" w:cstheme="minorHAnsi"/>
                    <w:b/>
                    <w:sz w:val="18"/>
                    <w:szCs w:val="18"/>
                  </w:rPr>
                  <w:fldChar w:fldCharType="separate"/>
                </w:r>
                <w:r w:rsidR="00490B21" w:rsidRPr="00490B21">
                  <w:rPr>
                    <w:rFonts w:asciiTheme="minorHAnsi" w:hAnsiTheme="minorHAnsi" w:cstheme="minorHAnsi"/>
                    <w:noProof/>
                    <w:sz w:val="18"/>
                    <w:szCs w:val="18"/>
                    <w:lang w:val="en-AU"/>
                  </w:rPr>
                  <w:t>(Australian Bureau of Statistics, 2024)</w:t>
                </w:r>
                <w:r>
                  <w:rPr>
                    <w:rFonts w:asciiTheme="minorHAnsi" w:hAnsiTheme="minorHAnsi" w:cstheme="minorHAnsi"/>
                    <w:b/>
                    <w:sz w:val="18"/>
                    <w:szCs w:val="18"/>
                  </w:rPr>
                  <w:fldChar w:fldCharType="end"/>
                </w:r>
              </w:sdtContent>
            </w:sdt>
          </w:p>
        </w:tc>
      </w:tr>
      <w:tr w:rsidR="00790AFC" w:rsidRPr="0098199F" w14:paraId="366E2044" w14:textId="77777777" w:rsidTr="004452F5">
        <w:tc>
          <w:tcPr>
            <w:tcW w:w="4704" w:type="dxa"/>
            <w:shd w:val="clear" w:color="auto" w:fill="auto"/>
          </w:tcPr>
          <w:p w14:paraId="20EF9736"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 xml:space="preserve">All groups </w:t>
            </w:r>
            <w:r w:rsidRPr="00F2451D" w:rsidDel="00CB6CE4">
              <w:rPr>
                <w:rFonts w:asciiTheme="minorHAnsi" w:hAnsiTheme="minorHAnsi" w:cstheme="minorHAnsi"/>
                <w:sz w:val="18"/>
                <w:szCs w:val="18"/>
              </w:rPr>
              <w:t>CPI</w:t>
            </w:r>
            <w:r w:rsidRPr="00F2451D">
              <w:rPr>
                <w:rFonts w:asciiTheme="minorHAnsi" w:hAnsiTheme="minorHAnsi" w:cstheme="minorHAnsi"/>
                <w:sz w:val="18"/>
                <w:szCs w:val="18"/>
              </w:rPr>
              <w:t>; Australia</w:t>
            </w:r>
          </w:p>
        </w:tc>
        <w:tc>
          <w:tcPr>
            <w:tcW w:w="1437" w:type="dxa"/>
            <w:shd w:val="clear" w:color="auto" w:fill="auto"/>
          </w:tcPr>
          <w:p w14:paraId="2288B42E"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640102</w:t>
            </w:r>
          </w:p>
        </w:tc>
        <w:tc>
          <w:tcPr>
            <w:tcW w:w="1442" w:type="dxa"/>
            <w:shd w:val="clear" w:color="auto" w:fill="auto"/>
          </w:tcPr>
          <w:p w14:paraId="7175201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A2325846C</w:t>
            </w:r>
          </w:p>
        </w:tc>
        <w:tc>
          <w:tcPr>
            <w:tcW w:w="1433" w:type="dxa"/>
            <w:shd w:val="clear" w:color="auto" w:fill="auto"/>
          </w:tcPr>
          <w:p w14:paraId="355C712A"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CPI.1</w:t>
            </w:r>
          </w:p>
        </w:tc>
      </w:tr>
      <w:tr w:rsidR="00790AFC" w:rsidRPr="0098199F" w14:paraId="45167E6B" w14:textId="77777777" w:rsidTr="004452F5">
        <w:tc>
          <w:tcPr>
            <w:tcW w:w="4704" w:type="dxa"/>
            <w:shd w:val="clear" w:color="auto" w:fill="auto"/>
          </w:tcPr>
          <w:p w14:paraId="39D8998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CPI; Clothing and footwear; Australia</w:t>
            </w:r>
          </w:p>
        </w:tc>
        <w:tc>
          <w:tcPr>
            <w:tcW w:w="1437" w:type="dxa"/>
            <w:shd w:val="clear" w:color="auto" w:fill="auto"/>
          </w:tcPr>
          <w:p w14:paraId="4586E586"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640102</w:t>
            </w:r>
          </w:p>
        </w:tc>
        <w:tc>
          <w:tcPr>
            <w:tcW w:w="1442" w:type="dxa"/>
            <w:shd w:val="clear" w:color="auto" w:fill="auto"/>
          </w:tcPr>
          <w:p w14:paraId="63202DD4"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A2325936J</w:t>
            </w:r>
          </w:p>
        </w:tc>
        <w:tc>
          <w:tcPr>
            <w:tcW w:w="1433" w:type="dxa"/>
            <w:shd w:val="clear" w:color="auto" w:fill="auto"/>
          </w:tcPr>
          <w:p w14:paraId="648B0A4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CPI.2</w:t>
            </w:r>
          </w:p>
        </w:tc>
      </w:tr>
      <w:tr w:rsidR="00790AFC" w:rsidRPr="0098199F" w14:paraId="757ED2A0" w14:textId="77777777" w:rsidTr="004452F5">
        <w:tc>
          <w:tcPr>
            <w:tcW w:w="4704" w:type="dxa"/>
            <w:shd w:val="clear" w:color="auto" w:fill="auto"/>
          </w:tcPr>
          <w:p w14:paraId="0AFC97EE"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CPI; Medical products, appliances and equipment; Australia</w:t>
            </w:r>
          </w:p>
        </w:tc>
        <w:tc>
          <w:tcPr>
            <w:tcW w:w="1437" w:type="dxa"/>
            <w:shd w:val="clear" w:color="auto" w:fill="auto"/>
          </w:tcPr>
          <w:p w14:paraId="175D3CC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640105</w:t>
            </w:r>
          </w:p>
        </w:tc>
        <w:tc>
          <w:tcPr>
            <w:tcW w:w="1442" w:type="dxa"/>
            <w:shd w:val="clear" w:color="auto" w:fill="auto"/>
          </w:tcPr>
          <w:p w14:paraId="6EF0BA4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A3604438R</w:t>
            </w:r>
          </w:p>
        </w:tc>
        <w:tc>
          <w:tcPr>
            <w:tcW w:w="1433" w:type="dxa"/>
            <w:shd w:val="clear" w:color="auto" w:fill="auto"/>
          </w:tcPr>
          <w:p w14:paraId="242689BD"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CPI.3</w:t>
            </w:r>
          </w:p>
        </w:tc>
      </w:tr>
      <w:tr w:rsidR="00164469" w:rsidRPr="0098199F" w14:paraId="04407B76" w14:textId="77777777">
        <w:tc>
          <w:tcPr>
            <w:tcW w:w="9016" w:type="dxa"/>
            <w:gridSpan w:val="4"/>
            <w:shd w:val="clear" w:color="auto" w:fill="91ACEC" w:themeFill="accent1" w:themeFillTint="99"/>
          </w:tcPr>
          <w:p w14:paraId="41D42FF4" w14:textId="351F59AB" w:rsidR="00164469" w:rsidRPr="00F2451D" w:rsidRDefault="00164469" w:rsidP="00F2451D">
            <w:pPr>
              <w:pStyle w:val="TableNText"/>
              <w:spacing w:before="0" w:after="0"/>
              <w:rPr>
                <w:rFonts w:asciiTheme="minorHAnsi" w:hAnsiTheme="minorHAnsi" w:cstheme="minorHAnsi"/>
                <w:color w:val="E7E6E6" w:themeColor="background2"/>
                <w:sz w:val="18"/>
                <w:szCs w:val="18"/>
              </w:rPr>
            </w:pPr>
            <w:r w:rsidRPr="00F2451D">
              <w:rPr>
                <w:rFonts w:asciiTheme="minorHAnsi" w:hAnsiTheme="minorHAnsi" w:cstheme="minorHAnsi"/>
                <w:b/>
                <w:sz w:val="18"/>
                <w:szCs w:val="18"/>
              </w:rPr>
              <w:t>Producer Price Indexes (PPI)</w:t>
            </w:r>
            <w:r>
              <w:rPr>
                <w:rFonts w:asciiTheme="minorHAnsi" w:hAnsiTheme="minorHAnsi" w:cstheme="minorHAnsi"/>
                <w:b/>
                <w:sz w:val="18"/>
                <w:szCs w:val="18"/>
              </w:rPr>
              <w:t xml:space="preserve"> </w:t>
            </w:r>
            <w:sdt>
              <w:sdtPr>
                <w:rPr>
                  <w:rFonts w:asciiTheme="minorHAnsi" w:hAnsiTheme="minorHAnsi" w:cstheme="minorHAnsi"/>
                  <w:b/>
                  <w:sz w:val="18"/>
                  <w:szCs w:val="18"/>
                </w:rPr>
                <w:id w:val="1109555013"/>
                <w:citation/>
              </w:sdtPr>
              <w:sdtEndPr/>
              <w:sdtContent>
                <w:r>
                  <w:rPr>
                    <w:rFonts w:asciiTheme="minorHAnsi" w:hAnsiTheme="minorHAnsi" w:cstheme="minorHAnsi"/>
                    <w:b/>
                    <w:sz w:val="18"/>
                    <w:szCs w:val="18"/>
                  </w:rPr>
                  <w:fldChar w:fldCharType="begin"/>
                </w:r>
                <w:r>
                  <w:rPr>
                    <w:rFonts w:asciiTheme="minorHAnsi" w:hAnsiTheme="minorHAnsi" w:cstheme="minorHAnsi"/>
                    <w:b/>
                    <w:sz w:val="18"/>
                    <w:szCs w:val="18"/>
                  </w:rPr>
                  <w:instrText xml:space="preserve"> </w:instrText>
                </w:r>
                <w:r>
                  <w:rPr>
                    <w:rFonts w:asciiTheme="minorHAnsi" w:hAnsiTheme="minorHAnsi" w:cstheme="minorHAnsi"/>
                    <w:b/>
                    <w:sz w:val="18"/>
                    <w:szCs w:val="18"/>
                    <w:lang w:val="en-AU"/>
                  </w:rPr>
                  <w:instrText xml:space="preserve">CITATION </w:instrText>
                </w:r>
                <w:r>
                  <w:rPr>
                    <w:rFonts w:asciiTheme="minorHAnsi" w:hAnsiTheme="minorHAnsi" w:cstheme="minorHAnsi"/>
                    <w:b/>
                    <w:sz w:val="18"/>
                    <w:szCs w:val="18"/>
                  </w:rPr>
                  <w:instrText xml:space="preserve">ABSPPI246 \l 3081 </w:instrText>
                </w:r>
                <w:r>
                  <w:rPr>
                    <w:rFonts w:asciiTheme="minorHAnsi" w:hAnsiTheme="minorHAnsi" w:cstheme="minorHAnsi"/>
                    <w:b/>
                    <w:sz w:val="18"/>
                    <w:szCs w:val="18"/>
                  </w:rPr>
                  <w:fldChar w:fldCharType="separate"/>
                </w:r>
                <w:r w:rsidR="00490B21" w:rsidRPr="00490B21">
                  <w:rPr>
                    <w:rFonts w:asciiTheme="minorHAnsi" w:hAnsiTheme="minorHAnsi" w:cstheme="minorHAnsi"/>
                    <w:noProof/>
                    <w:sz w:val="18"/>
                    <w:szCs w:val="18"/>
                    <w:lang w:val="en-AU"/>
                  </w:rPr>
                  <w:t>(Australian Bureau of Statistics, 2024)</w:t>
                </w:r>
                <w:r>
                  <w:rPr>
                    <w:rFonts w:asciiTheme="minorHAnsi" w:hAnsiTheme="minorHAnsi" w:cstheme="minorHAnsi"/>
                    <w:b/>
                    <w:sz w:val="18"/>
                    <w:szCs w:val="18"/>
                  </w:rPr>
                  <w:fldChar w:fldCharType="end"/>
                </w:r>
              </w:sdtContent>
            </w:sdt>
          </w:p>
        </w:tc>
      </w:tr>
      <w:tr w:rsidR="00790AFC" w:rsidRPr="0098199F" w14:paraId="0B076568" w14:textId="77777777" w:rsidTr="004452F5">
        <w:tc>
          <w:tcPr>
            <w:tcW w:w="4704" w:type="dxa"/>
            <w:shd w:val="clear" w:color="auto" w:fill="auto"/>
          </w:tcPr>
          <w:p w14:paraId="38CD0CD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Manufacturing industries; 241 Professional and scientific equipment manufacturing</w:t>
            </w:r>
          </w:p>
        </w:tc>
        <w:tc>
          <w:tcPr>
            <w:tcW w:w="1437" w:type="dxa"/>
            <w:shd w:val="clear" w:color="auto" w:fill="auto"/>
          </w:tcPr>
          <w:p w14:paraId="2D72B667"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6427012</w:t>
            </w:r>
          </w:p>
        </w:tc>
        <w:tc>
          <w:tcPr>
            <w:tcW w:w="1442" w:type="dxa"/>
            <w:shd w:val="clear" w:color="auto" w:fill="auto"/>
          </w:tcPr>
          <w:p w14:paraId="24CC5188"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A2307764L</w:t>
            </w:r>
          </w:p>
        </w:tc>
        <w:tc>
          <w:tcPr>
            <w:tcW w:w="1433" w:type="dxa"/>
            <w:shd w:val="clear" w:color="auto" w:fill="auto"/>
          </w:tcPr>
          <w:p w14:paraId="4D608627"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PPI.1</w:t>
            </w:r>
          </w:p>
        </w:tc>
      </w:tr>
      <w:tr w:rsidR="00790AFC" w:rsidRPr="0098199F" w14:paraId="1DD02033" w14:textId="77777777" w:rsidTr="004452F5">
        <w:tc>
          <w:tcPr>
            <w:tcW w:w="4704" w:type="dxa"/>
            <w:shd w:val="clear" w:color="auto" w:fill="auto"/>
          </w:tcPr>
          <w:p w14:paraId="35C9F516"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Manufacturing industries; 2411 Photographic, optical and ophthalmic equipment manufacturing</w:t>
            </w:r>
          </w:p>
        </w:tc>
        <w:tc>
          <w:tcPr>
            <w:tcW w:w="1437" w:type="dxa"/>
            <w:shd w:val="clear" w:color="auto" w:fill="auto"/>
          </w:tcPr>
          <w:p w14:paraId="1FCC309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6427012</w:t>
            </w:r>
          </w:p>
        </w:tc>
        <w:tc>
          <w:tcPr>
            <w:tcW w:w="1442" w:type="dxa"/>
            <w:shd w:val="clear" w:color="auto" w:fill="auto"/>
          </w:tcPr>
          <w:p w14:paraId="77703A3C"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A3343897K</w:t>
            </w:r>
          </w:p>
        </w:tc>
        <w:tc>
          <w:tcPr>
            <w:tcW w:w="1433" w:type="dxa"/>
            <w:shd w:val="clear" w:color="auto" w:fill="auto"/>
          </w:tcPr>
          <w:p w14:paraId="277710E6"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PPI.2</w:t>
            </w:r>
          </w:p>
        </w:tc>
      </w:tr>
      <w:tr w:rsidR="00790AFC" w:rsidRPr="0098199F" w14:paraId="20D2DD02" w14:textId="77777777" w:rsidTr="004452F5">
        <w:tc>
          <w:tcPr>
            <w:tcW w:w="4704" w:type="dxa"/>
            <w:shd w:val="clear" w:color="auto" w:fill="auto"/>
          </w:tcPr>
          <w:p w14:paraId="546FF36E"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Manufacturing industries; 182 Basic polymer manufacturing</w:t>
            </w:r>
          </w:p>
        </w:tc>
        <w:tc>
          <w:tcPr>
            <w:tcW w:w="1437" w:type="dxa"/>
            <w:shd w:val="clear" w:color="auto" w:fill="auto"/>
          </w:tcPr>
          <w:p w14:paraId="65DAB7EC"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6427012</w:t>
            </w:r>
          </w:p>
        </w:tc>
        <w:tc>
          <w:tcPr>
            <w:tcW w:w="1442" w:type="dxa"/>
            <w:shd w:val="clear" w:color="auto" w:fill="auto"/>
          </w:tcPr>
          <w:p w14:paraId="12CEC755"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A2305658W</w:t>
            </w:r>
          </w:p>
        </w:tc>
        <w:tc>
          <w:tcPr>
            <w:tcW w:w="1433" w:type="dxa"/>
            <w:shd w:val="clear" w:color="auto" w:fill="auto"/>
          </w:tcPr>
          <w:p w14:paraId="21C1BF41"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PPI.3</w:t>
            </w:r>
          </w:p>
        </w:tc>
      </w:tr>
      <w:tr w:rsidR="00790AFC" w:rsidRPr="0098199F" w14:paraId="3A764C2A" w14:textId="77777777" w:rsidTr="004452F5">
        <w:tc>
          <w:tcPr>
            <w:tcW w:w="4704" w:type="dxa"/>
            <w:shd w:val="clear" w:color="auto" w:fill="auto"/>
          </w:tcPr>
          <w:p w14:paraId="547558A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Manufacturing industries; 2412 Medical and surgical equipment manufacturing</w:t>
            </w:r>
          </w:p>
        </w:tc>
        <w:tc>
          <w:tcPr>
            <w:tcW w:w="1437" w:type="dxa"/>
            <w:shd w:val="clear" w:color="auto" w:fill="auto"/>
          </w:tcPr>
          <w:p w14:paraId="34D646EC"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6427012</w:t>
            </w:r>
          </w:p>
        </w:tc>
        <w:tc>
          <w:tcPr>
            <w:tcW w:w="1442" w:type="dxa"/>
            <w:shd w:val="clear" w:color="auto" w:fill="auto"/>
          </w:tcPr>
          <w:p w14:paraId="1B6BA02E"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A2305940A</w:t>
            </w:r>
          </w:p>
        </w:tc>
        <w:tc>
          <w:tcPr>
            <w:tcW w:w="1433" w:type="dxa"/>
            <w:shd w:val="clear" w:color="auto" w:fill="auto"/>
          </w:tcPr>
          <w:p w14:paraId="0AECD364"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PPI.4</w:t>
            </w:r>
          </w:p>
        </w:tc>
      </w:tr>
      <w:tr w:rsidR="00790AFC" w:rsidRPr="0098199F" w14:paraId="09F47D01" w14:textId="77777777" w:rsidTr="004452F5">
        <w:tc>
          <w:tcPr>
            <w:tcW w:w="4704" w:type="dxa"/>
            <w:shd w:val="clear" w:color="auto" w:fill="auto"/>
          </w:tcPr>
          <w:p w14:paraId="6754C0DF"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Manufacturing industries; 192 Natural rubber product manufacturing</w:t>
            </w:r>
          </w:p>
        </w:tc>
        <w:tc>
          <w:tcPr>
            <w:tcW w:w="1437" w:type="dxa"/>
            <w:shd w:val="clear" w:color="auto" w:fill="auto"/>
          </w:tcPr>
          <w:p w14:paraId="39780E24"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6427012</w:t>
            </w:r>
          </w:p>
        </w:tc>
        <w:tc>
          <w:tcPr>
            <w:tcW w:w="1442" w:type="dxa"/>
            <w:shd w:val="clear" w:color="auto" w:fill="auto"/>
          </w:tcPr>
          <w:p w14:paraId="4DC360D5"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A2308547K</w:t>
            </w:r>
          </w:p>
        </w:tc>
        <w:tc>
          <w:tcPr>
            <w:tcW w:w="1433" w:type="dxa"/>
            <w:shd w:val="clear" w:color="auto" w:fill="auto"/>
          </w:tcPr>
          <w:p w14:paraId="5B66987B"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PPI.5</w:t>
            </w:r>
          </w:p>
        </w:tc>
      </w:tr>
      <w:tr w:rsidR="00790AFC" w:rsidRPr="0098199F" w14:paraId="3969F054" w14:textId="77777777" w:rsidTr="004452F5">
        <w:tc>
          <w:tcPr>
            <w:tcW w:w="4704" w:type="dxa"/>
            <w:shd w:val="clear" w:color="auto" w:fill="auto"/>
          </w:tcPr>
          <w:p w14:paraId="036C4C6F"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 xml:space="preserve">Output of the Professional, scientific and technical services industries; 6962 Management advice and related consulting services </w:t>
            </w:r>
          </w:p>
        </w:tc>
        <w:tc>
          <w:tcPr>
            <w:tcW w:w="1437" w:type="dxa"/>
            <w:shd w:val="clear" w:color="auto" w:fill="auto"/>
          </w:tcPr>
          <w:p w14:paraId="6CBCF33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6427024</w:t>
            </w:r>
          </w:p>
        </w:tc>
        <w:tc>
          <w:tcPr>
            <w:tcW w:w="1442" w:type="dxa"/>
            <w:shd w:val="clear" w:color="auto" w:fill="auto"/>
          </w:tcPr>
          <w:p w14:paraId="27CBB4B0"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A3343920W</w:t>
            </w:r>
          </w:p>
        </w:tc>
        <w:tc>
          <w:tcPr>
            <w:tcW w:w="1433" w:type="dxa"/>
            <w:shd w:val="clear" w:color="auto" w:fill="auto"/>
          </w:tcPr>
          <w:p w14:paraId="4CDF9BD4"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PPI.6</w:t>
            </w:r>
          </w:p>
        </w:tc>
      </w:tr>
      <w:tr w:rsidR="00790AFC" w:rsidRPr="0098199F" w14:paraId="6A229CA9" w14:textId="77777777" w:rsidTr="004452F5">
        <w:tc>
          <w:tcPr>
            <w:tcW w:w="4704" w:type="dxa"/>
            <w:shd w:val="clear" w:color="auto" w:fill="auto"/>
          </w:tcPr>
          <w:p w14:paraId="303597F7"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Professional, scientific and technical services industries; 6931 Legal services</w:t>
            </w:r>
          </w:p>
        </w:tc>
        <w:tc>
          <w:tcPr>
            <w:tcW w:w="1437" w:type="dxa"/>
            <w:shd w:val="clear" w:color="auto" w:fill="auto"/>
          </w:tcPr>
          <w:p w14:paraId="1313A338"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6427024</w:t>
            </w:r>
          </w:p>
        </w:tc>
        <w:tc>
          <w:tcPr>
            <w:tcW w:w="1442" w:type="dxa"/>
            <w:shd w:val="clear" w:color="auto" w:fill="auto"/>
          </w:tcPr>
          <w:p w14:paraId="73694F91"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A2314223C</w:t>
            </w:r>
          </w:p>
        </w:tc>
        <w:tc>
          <w:tcPr>
            <w:tcW w:w="1433" w:type="dxa"/>
            <w:shd w:val="clear" w:color="auto" w:fill="auto"/>
          </w:tcPr>
          <w:p w14:paraId="2A1E5EAB"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PPI.7</w:t>
            </w:r>
          </w:p>
        </w:tc>
      </w:tr>
      <w:tr w:rsidR="00790AFC" w:rsidRPr="0098199F" w14:paraId="4A8333DD" w14:textId="77777777" w:rsidTr="004452F5">
        <w:tc>
          <w:tcPr>
            <w:tcW w:w="4704" w:type="dxa"/>
            <w:shd w:val="clear" w:color="auto" w:fill="auto"/>
          </w:tcPr>
          <w:p w14:paraId="4CE0F7BB"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Output of the Health care and social assistance industries, 851 Medical services</w:t>
            </w:r>
          </w:p>
        </w:tc>
        <w:tc>
          <w:tcPr>
            <w:tcW w:w="1437" w:type="dxa"/>
            <w:shd w:val="clear" w:color="auto" w:fill="auto"/>
          </w:tcPr>
          <w:p w14:paraId="6D8C8FD5"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6427035</w:t>
            </w:r>
          </w:p>
        </w:tc>
        <w:tc>
          <w:tcPr>
            <w:tcW w:w="1442" w:type="dxa"/>
            <w:shd w:val="clear" w:color="auto" w:fill="auto"/>
          </w:tcPr>
          <w:p w14:paraId="4476C27C"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A85232038C</w:t>
            </w:r>
          </w:p>
        </w:tc>
        <w:tc>
          <w:tcPr>
            <w:tcW w:w="1433" w:type="dxa"/>
            <w:shd w:val="clear" w:color="auto" w:fill="auto"/>
          </w:tcPr>
          <w:p w14:paraId="1B0FDC4D"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PPI.8</w:t>
            </w:r>
          </w:p>
        </w:tc>
      </w:tr>
      <w:tr w:rsidR="00D80636" w:rsidRPr="0098199F" w14:paraId="59EA1C77" w14:textId="77777777">
        <w:tc>
          <w:tcPr>
            <w:tcW w:w="9016" w:type="dxa"/>
            <w:gridSpan w:val="4"/>
            <w:shd w:val="clear" w:color="auto" w:fill="91ACEC" w:themeFill="accent1" w:themeFillTint="99"/>
          </w:tcPr>
          <w:p w14:paraId="044B5AE1" w14:textId="3F9BC0BE" w:rsidR="00D80636" w:rsidRPr="00F2451D" w:rsidRDefault="00D80636" w:rsidP="00F2451D">
            <w:pPr>
              <w:pStyle w:val="TableNText"/>
              <w:spacing w:before="0" w:after="0"/>
              <w:rPr>
                <w:rFonts w:asciiTheme="minorHAnsi" w:hAnsiTheme="minorHAnsi" w:cstheme="minorHAnsi"/>
                <w:color w:val="E7E6E6" w:themeColor="background2"/>
                <w:sz w:val="18"/>
                <w:szCs w:val="18"/>
              </w:rPr>
            </w:pPr>
            <w:r w:rsidRPr="00F2451D">
              <w:rPr>
                <w:rFonts w:asciiTheme="minorHAnsi" w:hAnsiTheme="minorHAnsi" w:cstheme="minorHAnsi"/>
                <w:b/>
                <w:sz w:val="18"/>
                <w:szCs w:val="18"/>
              </w:rPr>
              <w:t>Wage Price Indexes</w:t>
            </w:r>
            <w:r>
              <w:rPr>
                <w:rFonts w:asciiTheme="minorHAnsi" w:hAnsiTheme="minorHAnsi" w:cstheme="minorHAnsi"/>
                <w:b/>
                <w:sz w:val="18"/>
                <w:szCs w:val="18"/>
              </w:rPr>
              <w:t xml:space="preserve"> </w:t>
            </w:r>
            <w:sdt>
              <w:sdtPr>
                <w:rPr>
                  <w:rFonts w:asciiTheme="minorHAnsi" w:hAnsiTheme="minorHAnsi" w:cstheme="minorHAnsi"/>
                  <w:b/>
                  <w:sz w:val="18"/>
                  <w:szCs w:val="18"/>
                </w:rPr>
                <w:id w:val="-1243715171"/>
                <w:citation/>
              </w:sdtPr>
              <w:sdtEndPr/>
              <w:sdtContent>
                <w:r>
                  <w:rPr>
                    <w:rFonts w:asciiTheme="minorHAnsi" w:hAnsiTheme="minorHAnsi" w:cstheme="minorHAnsi"/>
                    <w:b/>
                    <w:sz w:val="18"/>
                    <w:szCs w:val="18"/>
                  </w:rPr>
                  <w:fldChar w:fldCharType="begin"/>
                </w:r>
                <w:r>
                  <w:rPr>
                    <w:rFonts w:asciiTheme="minorHAnsi" w:hAnsiTheme="minorHAnsi" w:cstheme="minorHAnsi"/>
                    <w:b/>
                    <w:sz w:val="18"/>
                    <w:szCs w:val="18"/>
                  </w:rPr>
                  <w:instrText xml:space="preserve"> </w:instrText>
                </w:r>
                <w:r>
                  <w:rPr>
                    <w:rFonts w:asciiTheme="minorHAnsi" w:hAnsiTheme="minorHAnsi" w:cstheme="minorHAnsi"/>
                    <w:b/>
                    <w:sz w:val="18"/>
                    <w:szCs w:val="18"/>
                    <w:lang w:val="en-AU"/>
                  </w:rPr>
                  <w:instrText xml:space="preserve">CITATION </w:instrText>
                </w:r>
                <w:r>
                  <w:rPr>
                    <w:rFonts w:asciiTheme="minorHAnsi" w:hAnsiTheme="minorHAnsi" w:cstheme="minorHAnsi"/>
                    <w:b/>
                    <w:sz w:val="18"/>
                    <w:szCs w:val="18"/>
                  </w:rPr>
                  <w:instrText xml:space="preserve">Aus243 \l 3081 </w:instrText>
                </w:r>
                <w:r>
                  <w:rPr>
                    <w:rFonts w:asciiTheme="minorHAnsi" w:hAnsiTheme="minorHAnsi" w:cstheme="minorHAnsi"/>
                    <w:b/>
                    <w:sz w:val="18"/>
                    <w:szCs w:val="18"/>
                  </w:rPr>
                  <w:fldChar w:fldCharType="separate"/>
                </w:r>
                <w:r w:rsidR="00490B21" w:rsidRPr="00490B21">
                  <w:rPr>
                    <w:rFonts w:asciiTheme="minorHAnsi" w:hAnsiTheme="minorHAnsi" w:cstheme="minorHAnsi"/>
                    <w:noProof/>
                    <w:sz w:val="18"/>
                    <w:szCs w:val="18"/>
                    <w:lang w:val="en-AU"/>
                  </w:rPr>
                  <w:t>(Australian Bureau of Statistics, 2024)</w:t>
                </w:r>
                <w:r>
                  <w:rPr>
                    <w:rFonts w:asciiTheme="minorHAnsi" w:hAnsiTheme="minorHAnsi" w:cstheme="minorHAnsi"/>
                    <w:b/>
                    <w:sz w:val="18"/>
                    <w:szCs w:val="18"/>
                  </w:rPr>
                  <w:fldChar w:fldCharType="end"/>
                </w:r>
              </w:sdtContent>
            </w:sdt>
          </w:p>
        </w:tc>
      </w:tr>
      <w:tr w:rsidR="00790AFC" w:rsidRPr="0098199F" w14:paraId="06F0C7DD" w14:textId="77777777" w:rsidTr="004452F5">
        <w:tc>
          <w:tcPr>
            <w:tcW w:w="4704" w:type="dxa"/>
            <w:shd w:val="clear" w:color="auto" w:fill="auto"/>
          </w:tcPr>
          <w:p w14:paraId="0552D9F3"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 xml:space="preserve">Total hourly rates of pay excluding bonuses; Australia; Private and Public; All </w:t>
            </w:r>
            <w:r w:rsidRPr="00F2451D" w:rsidDel="00CB6CE4">
              <w:rPr>
                <w:rFonts w:asciiTheme="minorHAnsi" w:hAnsiTheme="minorHAnsi" w:cstheme="minorHAnsi"/>
                <w:sz w:val="18"/>
                <w:szCs w:val="18"/>
              </w:rPr>
              <w:t>industries</w:t>
            </w:r>
          </w:p>
        </w:tc>
        <w:tc>
          <w:tcPr>
            <w:tcW w:w="1437" w:type="dxa"/>
            <w:shd w:val="clear" w:color="auto" w:fill="auto"/>
          </w:tcPr>
          <w:p w14:paraId="567FF526"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634505</w:t>
            </w:r>
          </w:p>
        </w:tc>
        <w:tc>
          <w:tcPr>
            <w:tcW w:w="1442" w:type="dxa"/>
            <w:shd w:val="clear" w:color="auto" w:fill="auto"/>
          </w:tcPr>
          <w:p w14:paraId="05ECA3A7"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A2705194A</w:t>
            </w:r>
          </w:p>
        </w:tc>
        <w:tc>
          <w:tcPr>
            <w:tcW w:w="1433" w:type="dxa"/>
            <w:shd w:val="clear" w:color="auto" w:fill="auto"/>
          </w:tcPr>
          <w:p w14:paraId="624EDFE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WPI.1</w:t>
            </w:r>
          </w:p>
        </w:tc>
      </w:tr>
      <w:tr w:rsidR="00790AFC" w:rsidRPr="0098199F" w14:paraId="190DE135" w14:textId="77777777" w:rsidTr="004452F5">
        <w:tc>
          <w:tcPr>
            <w:tcW w:w="4704" w:type="dxa"/>
            <w:shd w:val="clear" w:color="auto" w:fill="auto"/>
          </w:tcPr>
          <w:p w14:paraId="5E301112"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Total hourly rates of pay excluding bonuses; Australia; Private and Public; Professional, scientific and technical services</w:t>
            </w:r>
          </w:p>
        </w:tc>
        <w:tc>
          <w:tcPr>
            <w:tcW w:w="1437" w:type="dxa"/>
            <w:shd w:val="clear" w:color="auto" w:fill="auto"/>
          </w:tcPr>
          <w:p w14:paraId="750BCAAF"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634505</w:t>
            </w:r>
          </w:p>
        </w:tc>
        <w:tc>
          <w:tcPr>
            <w:tcW w:w="1442" w:type="dxa"/>
            <w:shd w:val="clear" w:color="auto" w:fill="auto"/>
          </w:tcPr>
          <w:p w14:paraId="606B9209"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A2705168W</w:t>
            </w:r>
          </w:p>
        </w:tc>
        <w:tc>
          <w:tcPr>
            <w:tcW w:w="1433" w:type="dxa"/>
            <w:shd w:val="clear" w:color="auto" w:fill="auto"/>
          </w:tcPr>
          <w:p w14:paraId="19CE43DB"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WPI.2</w:t>
            </w:r>
          </w:p>
        </w:tc>
      </w:tr>
      <w:tr w:rsidR="00790AFC" w:rsidRPr="0098199F" w14:paraId="17754DE2" w14:textId="77777777" w:rsidTr="004452F5">
        <w:trPr>
          <w:trHeight w:val="184"/>
        </w:trPr>
        <w:tc>
          <w:tcPr>
            <w:tcW w:w="4704" w:type="dxa"/>
            <w:shd w:val="clear" w:color="auto" w:fill="auto"/>
          </w:tcPr>
          <w:p w14:paraId="44856E05"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Total hourly rates of pay excluding bonuses; Australia; Private and Public; Administrative and support services</w:t>
            </w:r>
          </w:p>
        </w:tc>
        <w:tc>
          <w:tcPr>
            <w:tcW w:w="1437" w:type="dxa"/>
            <w:shd w:val="clear" w:color="auto" w:fill="auto"/>
          </w:tcPr>
          <w:p w14:paraId="4DDA7F65"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634505</w:t>
            </w:r>
          </w:p>
        </w:tc>
        <w:tc>
          <w:tcPr>
            <w:tcW w:w="1442" w:type="dxa"/>
            <w:shd w:val="clear" w:color="auto" w:fill="auto"/>
          </w:tcPr>
          <w:p w14:paraId="52562DC4"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A2705180L</w:t>
            </w:r>
          </w:p>
        </w:tc>
        <w:tc>
          <w:tcPr>
            <w:tcW w:w="1433" w:type="dxa"/>
            <w:shd w:val="clear" w:color="auto" w:fill="auto"/>
          </w:tcPr>
          <w:p w14:paraId="4F269D81" w14:textId="77777777" w:rsidR="00BA7743" w:rsidRPr="00F2451D" w:rsidRDefault="00BA7743" w:rsidP="000867AE">
            <w:pPr>
              <w:pStyle w:val="TableNText"/>
              <w:spacing w:before="40" w:after="40"/>
              <w:rPr>
                <w:rFonts w:asciiTheme="minorHAnsi" w:hAnsiTheme="minorHAnsi" w:cstheme="minorHAnsi"/>
                <w:sz w:val="18"/>
                <w:szCs w:val="18"/>
              </w:rPr>
            </w:pPr>
            <w:r w:rsidRPr="00F2451D">
              <w:rPr>
                <w:rFonts w:asciiTheme="minorHAnsi" w:hAnsiTheme="minorHAnsi" w:cstheme="minorHAnsi"/>
                <w:sz w:val="18"/>
                <w:szCs w:val="18"/>
              </w:rPr>
              <w:t>WPI.3</w:t>
            </w:r>
          </w:p>
        </w:tc>
      </w:tr>
    </w:tbl>
    <w:p w14:paraId="5EF8E1EC" w14:textId="030DE2BA" w:rsidR="00BA7743" w:rsidRPr="009D4B91" w:rsidRDefault="00D82B44" w:rsidP="00D82B44">
      <w:pPr>
        <w:pStyle w:val="SWAHeading1"/>
        <w:numPr>
          <w:ilvl w:val="0"/>
          <w:numId w:val="0"/>
        </w:numPr>
        <w:ind w:left="567" w:hanging="567"/>
      </w:pPr>
      <w:bookmarkStart w:id="728" w:name="AppendixH_BenefitInputTables"/>
      <w:bookmarkStart w:id="729" w:name="_Toc219216946"/>
      <w:bookmarkEnd w:id="728"/>
      <w:r>
        <w:lastRenderedPageBreak/>
        <w:t xml:space="preserve">Appendix </w:t>
      </w:r>
      <w:r w:rsidR="00006136">
        <w:t>H</w:t>
      </w:r>
      <w:r w:rsidR="000B74A2">
        <w:t xml:space="preserve"> </w:t>
      </w:r>
      <w:r>
        <w:t>– Benefit Input Tables</w:t>
      </w:r>
      <w:bookmarkEnd w:id="729"/>
    </w:p>
    <w:p w14:paraId="62411E34" w14:textId="39A73154" w:rsidR="00D82B44" w:rsidRDefault="00D82B44" w:rsidP="00D82B44">
      <w:pPr>
        <w:pStyle w:val="SWAHeading2"/>
        <w:numPr>
          <w:ilvl w:val="0"/>
          <w:numId w:val="0"/>
        </w:numPr>
      </w:pPr>
      <w:bookmarkStart w:id="730" w:name="AppendixH2_DirectBenefitInputs"/>
      <w:bookmarkStart w:id="731" w:name="_Toc219216947"/>
      <w:bookmarkEnd w:id="730"/>
      <w:r>
        <w:t>Benefit escalation</w:t>
      </w:r>
      <w:bookmarkEnd w:id="731"/>
    </w:p>
    <w:p w14:paraId="705B7007" w14:textId="349A1A26" w:rsidR="007C516A" w:rsidRDefault="007C516A" w:rsidP="001A1939">
      <w:r w:rsidRPr="00993B73">
        <w:rPr>
          <w:lang w:eastAsia="en-AU"/>
        </w:rPr>
        <w:t>The indexes used to escalate workers’ compensation costs to June 2024 terms are presented in</w:t>
      </w:r>
      <w:r w:rsidR="00267E10">
        <w:rPr>
          <w:lang w:eastAsia="en-AU"/>
        </w:rPr>
        <w:t xml:space="preserve"> </w:t>
      </w:r>
      <w:r w:rsidR="00267E10">
        <w:rPr>
          <w:lang w:eastAsia="en-AU"/>
        </w:rPr>
        <w:fldChar w:fldCharType="begin"/>
      </w:r>
      <w:r w:rsidR="00267E10">
        <w:rPr>
          <w:lang w:eastAsia="en-AU"/>
        </w:rPr>
        <w:instrText xml:space="preserve"> REF _Ref216794236 \h </w:instrText>
      </w:r>
      <w:r w:rsidR="00267E10">
        <w:rPr>
          <w:lang w:eastAsia="en-AU"/>
        </w:rPr>
      </w:r>
      <w:r w:rsidR="00267E10">
        <w:rPr>
          <w:lang w:eastAsia="en-AU"/>
        </w:rPr>
        <w:fldChar w:fldCharType="separate"/>
      </w:r>
      <w:r w:rsidR="00A002F4">
        <w:t xml:space="preserve">Table </w:t>
      </w:r>
      <w:r w:rsidR="00A002F4">
        <w:rPr>
          <w:noProof/>
        </w:rPr>
        <w:t>77</w:t>
      </w:r>
      <w:r w:rsidR="00267E10">
        <w:rPr>
          <w:lang w:eastAsia="en-AU"/>
        </w:rPr>
        <w:fldChar w:fldCharType="end"/>
      </w:r>
      <w:r w:rsidRPr="00993B73">
        <w:rPr>
          <w:lang w:eastAsia="en-AU"/>
        </w:rPr>
        <w:t xml:space="preserve">. Note that the </w:t>
      </w:r>
      <w:r w:rsidRPr="00993B73" w:rsidDel="003C5FA1">
        <w:rPr>
          <w:lang w:eastAsia="en-AU"/>
        </w:rPr>
        <w:t>average weekly earnings</w:t>
      </w:r>
      <w:r w:rsidRPr="00993B73">
        <w:rPr>
          <w:lang w:eastAsia="en-AU"/>
        </w:rPr>
        <w:t xml:space="preserve"> data used to estimate the indirect benefits are based on the latest ABS </w:t>
      </w:r>
      <w:r w:rsidRPr="00993B73">
        <w:rPr>
          <w:i/>
          <w:lang w:eastAsia="en-AU"/>
        </w:rPr>
        <w:t>Average Weekly Earnings</w:t>
      </w:r>
      <w:r w:rsidRPr="00993B73">
        <w:rPr>
          <w:lang w:eastAsia="en-AU"/>
        </w:rPr>
        <w:t xml:space="preserve"> data</w:t>
      </w:r>
      <w:r w:rsidR="00350F0C">
        <w:rPr>
          <w:lang w:eastAsia="en-AU"/>
        </w:rPr>
        <w:t xml:space="preserve"> </w:t>
      </w:r>
      <w:sdt>
        <w:sdtPr>
          <w:rPr>
            <w:lang w:eastAsia="en-AU"/>
          </w:rPr>
          <w:id w:val="1584791040"/>
          <w:citation/>
        </w:sdtPr>
        <w:sdtEndPr/>
        <w:sdtContent>
          <w:r w:rsidR="00350F0C">
            <w:rPr>
              <w:lang w:eastAsia="en-AU"/>
            </w:rPr>
            <w:fldChar w:fldCharType="begin"/>
          </w:r>
          <w:r w:rsidR="00350F0C">
            <w:rPr>
              <w:lang w:eastAsia="en-AU"/>
            </w:rPr>
            <w:instrText xml:space="preserve"> CITATION ABSAWE246 \l 3081 </w:instrText>
          </w:r>
          <w:r w:rsidR="00350F0C">
            <w:rPr>
              <w:lang w:eastAsia="en-AU"/>
            </w:rPr>
            <w:fldChar w:fldCharType="separate"/>
          </w:r>
          <w:r w:rsidR="00490B21">
            <w:rPr>
              <w:noProof/>
              <w:lang w:eastAsia="en-AU"/>
            </w:rPr>
            <w:t>(Australian Bureau of Statistics, 2024)</w:t>
          </w:r>
          <w:r w:rsidR="00350F0C">
            <w:rPr>
              <w:lang w:eastAsia="en-AU"/>
            </w:rPr>
            <w:fldChar w:fldCharType="end"/>
          </w:r>
        </w:sdtContent>
      </w:sdt>
      <w:r w:rsidRPr="00993B73">
        <w:rPr>
          <w:lang w:eastAsia="en-AU"/>
        </w:rPr>
        <w:t xml:space="preserve"> and require no further escalation.</w:t>
      </w:r>
    </w:p>
    <w:p w14:paraId="54D8DF05" w14:textId="709C0F3F" w:rsidR="00267E10" w:rsidRDefault="00267E10" w:rsidP="001A1939">
      <w:pPr>
        <w:pStyle w:val="Caption"/>
      </w:pPr>
      <w:bookmarkStart w:id="732" w:name="_Ref216794236"/>
      <w:r>
        <w:t xml:space="preserve">Table </w:t>
      </w:r>
      <w:fldSimple w:instr=" SEQ Table \* ARABIC ">
        <w:r w:rsidR="00A002F4">
          <w:rPr>
            <w:noProof/>
          </w:rPr>
          <w:t>77</w:t>
        </w:r>
      </w:fldSimple>
      <w:bookmarkEnd w:id="732"/>
      <w:r>
        <w:t xml:space="preserve"> - </w:t>
      </w:r>
      <w:r w:rsidRPr="00C43A06">
        <w:t>Escalation indexes used for direct benefits</w:t>
      </w:r>
    </w:p>
    <w:tbl>
      <w:tblPr>
        <w:tblStyle w:val="NOUS"/>
        <w:tblW w:w="91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53"/>
        <w:gridCol w:w="5670"/>
        <w:gridCol w:w="1077"/>
      </w:tblGrid>
      <w:tr w:rsidR="002233EC" w:rsidRPr="0098199F" w14:paraId="76596C15" w14:textId="77777777" w:rsidTr="00164469">
        <w:trPr>
          <w:cnfStyle w:val="100000000000" w:firstRow="1" w:lastRow="0" w:firstColumn="0" w:lastColumn="0" w:oddVBand="0" w:evenVBand="0" w:oddHBand="0" w:evenHBand="0" w:firstRowFirstColumn="0" w:firstRowLastColumn="0" w:lastRowFirstColumn="0" w:lastRowLastColumn="0"/>
        </w:trPr>
        <w:tc>
          <w:tcPr>
            <w:tcW w:w="23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94E76AA" w14:textId="77777777" w:rsidR="007C516A" w:rsidRPr="007C516A" w:rsidRDefault="007C516A" w:rsidP="00E06275">
            <w:pPr>
              <w:pStyle w:val="TableNText"/>
              <w:rPr>
                <w:rFonts w:asciiTheme="majorHAnsi" w:hAnsiTheme="majorHAnsi" w:cstheme="majorHAnsi"/>
                <w:bCs/>
                <w:color w:val="FFFFFF" w:themeColor="background1"/>
                <w:sz w:val="18"/>
                <w:szCs w:val="18"/>
              </w:rPr>
            </w:pPr>
            <w:r w:rsidRPr="007C516A">
              <w:rPr>
                <w:rFonts w:asciiTheme="majorHAnsi" w:hAnsiTheme="majorHAnsi" w:cstheme="majorHAnsi"/>
                <w:bCs/>
                <w:color w:val="FFFFFF" w:themeColor="background1"/>
                <w:sz w:val="18"/>
                <w:szCs w:val="18"/>
              </w:rPr>
              <w:t xml:space="preserve">Benefits </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222B1DAB" w14:textId="77777777" w:rsidR="007C516A" w:rsidRPr="007C516A" w:rsidRDefault="007C516A" w:rsidP="00E06275">
            <w:pPr>
              <w:pStyle w:val="TableNText"/>
              <w:rPr>
                <w:rFonts w:asciiTheme="majorHAnsi" w:hAnsiTheme="majorHAnsi" w:cstheme="majorHAnsi"/>
                <w:bCs/>
                <w:color w:val="FFFFFF" w:themeColor="background1"/>
                <w:sz w:val="18"/>
                <w:szCs w:val="18"/>
              </w:rPr>
            </w:pPr>
            <w:r w:rsidRPr="007C516A">
              <w:rPr>
                <w:rFonts w:asciiTheme="majorHAnsi" w:hAnsiTheme="majorHAnsi" w:cstheme="majorHAnsi"/>
                <w:bCs/>
                <w:color w:val="FFFFFF" w:themeColor="background1"/>
                <w:sz w:val="18"/>
                <w:szCs w:val="18"/>
              </w:rPr>
              <w:t>Escalation index</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6B1DEEA7" w14:textId="77777777" w:rsidR="007C516A" w:rsidRPr="007C516A" w:rsidRDefault="007C516A" w:rsidP="00E06275">
            <w:pPr>
              <w:pStyle w:val="TableNText"/>
              <w:rPr>
                <w:rFonts w:asciiTheme="minorHAnsi" w:hAnsiTheme="minorHAnsi" w:cstheme="minorHAnsi"/>
                <w:bCs/>
                <w:color w:val="FFFFFF" w:themeColor="background1"/>
                <w:sz w:val="18"/>
                <w:szCs w:val="18"/>
              </w:rPr>
            </w:pPr>
            <w:r w:rsidRPr="007C516A">
              <w:rPr>
                <w:rFonts w:asciiTheme="minorHAnsi" w:hAnsiTheme="minorHAnsi" w:cstheme="minorHAnsi"/>
                <w:bCs/>
                <w:color w:val="FFFFFF" w:themeColor="background1"/>
                <w:sz w:val="18"/>
                <w:szCs w:val="18"/>
              </w:rPr>
              <w:t>Ref. code</w:t>
            </w:r>
          </w:p>
        </w:tc>
      </w:tr>
      <w:tr w:rsidR="004D6C27" w:rsidRPr="0098199F" w14:paraId="5B0F7366" w14:textId="77777777" w:rsidTr="00164469">
        <w:tc>
          <w:tcPr>
            <w:tcW w:w="9100" w:type="dxa"/>
            <w:gridSpan w:val="3"/>
            <w:tcBorders>
              <w:top w:val="single" w:sz="4" w:space="0" w:color="BFBFBF" w:themeColor="background1" w:themeShade="BF"/>
            </w:tcBorders>
            <w:shd w:val="clear" w:color="auto" w:fill="91ACEC" w:themeFill="accent1" w:themeFillTint="99"/>
          </w:tcPr>
          <w:p w14:paraId="5F9465BA" w14:textId="77777777" w:rsidR="007C516A" w:rsidRPr="007C516A" w:rsidRDefault="007C516A" w:rsidP="00E06275">
            <w:pPr>
              <w:pStyle w:val="TableNText"/>
              <w:rPr>
                <w:rFonts w:asciiTheme="minorHAnsi" w:hAnsiTheme="minorHAnsi" w:cstheme="minorHAnsi"/>
                <w:b/>
              </w:rPr>
            </w:pPr>
            <w:r w:rsidRPr="00211A07">
              <w:rPr>
                <w:rFonts w:asciiTheme="minorHAnsi" w:hAnsiTheme="minorHAnsi" w:cstheme="minorHAnsi"/>
                <w:b/>
                <w:sz w:val="18"/>
                <w:szCs w:val="24"/>
              </w:rPr>
              <w:t xml:space="preserve">Direct financial benefits  </w:t>
            </w:r>
          </w:p>
        </w:tc>
      </w:tr>
      <w:tr w:rsidR="00790AFC" w:rsidRPr="0098199F" w14:paraId="20C24193" w14:textId="77777777" w:rsidTr="004452F5">
        <w:tc>
          <w:tcPr>
            <w:tcW w:w="2353" w:type="dxa"/>
            <w:shd w:val="clear" w:color="auto" w:fill="auto"/>
          </w:tcPr>
          <w:p w14:paraId="7ACB004B"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 xml:space="preserve">Direct compensation costs </w:t>
            </w:r>
          </w:p>
        </w:tc>
        <w:tc>
          <w:tcPr>
            <w:tcW w:w="5670" w:type="dxa"/>
            <w:shd w:val="clear" w:color="auto" w:fill="auto"/>
          </w:tcPr>
          <w:p w14:paraId="58D74132"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Total hourly rates of pay excluding bonuses; Australia; Private and Public; All industries</w:t>
            </w:r>
          </w:p>
        </w:tc>
        <w:tc>
          <w:tcPr>
            <w:tcW w:w="1077" w:type="dxa"/>
            <w:shd w:val="clear" w:color="auto" w:fill="auto"/>
          </w:tcPr>
          <w:p w14:paraId="54ECF00F"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WPI.1</w:t>
            </w:r>
          </w:p>
        </w:tc>
      </w:tr>
      <w:tr w:rsidR="002233EC" w:rsidRPr="0098199F" w14:paraId="1DF8431C" w14:textId="77777777" w:rsidTr="007C516A">
        <w:tc>
          <w:tcPr>
            <w:tcW w:w="2353" w:type="dxa"/>
            <w:shd w:val="clear" w:color="auto" w:fill="DAE3F8" w:themeFill="accent1" w:themeFillTint="33"/>
          </w:tcPr>
          <w:p w14:paraId="575A5AE0"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 xml:space="preserve">Common law costs </w:t>
            </w:r>
          </w:p>
        </w:tc>
        <w:tc>
          <w:tcPr>
            <w:tcW w:w="5670" w:type="dxa"/>
            <w:shd w:val="clear" w:color="auto" w:fill="DAE3F8" w:themeFill="accent1" w:themeFillTint="33"/>
          </w:tcPr>
          <w:p w14:paraId="405D1F3D"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 xml:space="preserve">Total hourly rates of pay excluding </w:t>
            </w:r>
            <w:r w:rsidRPr="00211A07" w:rsidDel="00192290">
              <w:rPr>
                <w:rFonts w:asciiTheme="minorHAnsi" w:hAnsiTheme="minorHAnsi" w:cstheme="minorHAnsi"/>
                <w:sz w:val="18"/>
                <w:szCs w:val="18"/>
              </w:rPr>
              <w:t xml:space="preserve">bonuses; </w:t>
            </w:r>
            <w:r w:rsidRPr="00211A07">
              <w:rPr>
                <w:rFonts w:asciiTheme="minorHAnsi" w:hAnsiTheme="minorHAnsi" w:cstheme="minorHAnsi"/>
                <w:sz w:val="18"/>
                <w:szCs w:val="18"/>
              </w:rPr>
              <w:t>Australia; Private and Public; All industries</w:t>
            </w:r>
          </w:p>
        </w:tc>
        <w:tc>
          <w:tcPr>
            <w:tcW w:w="1077" w:type="dxa"/>
            <w:shd w:val="clear" w:color="auto" w:fill="DAE3F8" w:themeFill="accent1" w:themeFillTint="33"/>
          </w:tcPr>
          <w:p w14:paraId="4F843529"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WPI.1</w:t>
            </w:r>
          </w:p>
        </w:tc>
      </w:tr>
      <w:tr w:rsidR="00790AFC" w:rsidRPr="0098199F" w14:paraId="196AD6CA" w14:textId="77777777" w:rsidTr="004452F5">
        <w:tc>
          <w:tcPr>
            <w:tcW w:w="2353" w:type="dxa"/>
            <w:shd w:val="clear" w:color="auto" w:fill="auto"/>
          </w:tcPr>
          <w:p w14:paraId="58333B26"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 xml:space="preserve">Medical costs </w:t>
            </w:r>
          </w:p>
        </w:tc>
        <w:tc>
          <w:tcPr>
            <w:tcW w:w="5670" w:type="dxa"/>
            <w:shd w:val="clear" w:color="auto" w:fill="auto"/>
          </w:tcPr>
          <w:p w14:paraId="40710090"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Output of the Health care and social assistance industries, 851 Medical services</w:t>
            </w:r>
          </w:p>
        </w:tc>
        <w:tc>
          <w:tcPr>
            <w:tcW w:w="1077" w:type="dxa"/>
            <w:shd w:val="clear" w:color="auto" w:fill="auto"/>
          </w:tcPr>
          <w:p w14:paraId="4A2F7365"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PPI.8</w:t>
            </w:r>
          </w:p>
        </w:tc>
      </w:tr>
      <w:tr w:rsidR="002233EC" w:rsidRPr="0098199F" w14:paraId="71A1DE8F" w14:textId="77777777" w:rsidTr="007C516A">
        <w:tc>
          <w:tcPr>
            <w:tcW w:w="2353" w:type="dxa"/>
            <w:shd w:val="clear" w:color="auto" w:fill="DAE3F8" w:themeFill="accent1" w:themeFillTint="33"/>
          </w:tcPr>
          <w:p w14:paraId="32BEC8D8"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Supplementary costs</w:t>
            </w:r>
          </w:p>
        </w:tc>
        <w:tc>
          <w:tcPr>
            <w:tcW w:w="5670" w:type="dxa"/>
            <w:shd w:val="clear" w:color="auto" w:fill="DAE3F8" w:themeFill="accent1" w:themeFillTint="33"/>
          </w:tcPr>
          <w:p w14:paraId="5C2BC88E"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Output of the Professional, scientific and technical services industries; 6931 Legal services</w:t>
            </w:r>
          </w:p>
        </w:tc>
        <w:tc>
          <w:tcPr>
            <w:tcW w:w="1077" w:type="dxa"/>
            <w:shd w:val="clear" w:color="auto" w:fill="DAE3F8" w:themeFill="accent1" w:themeFillTint="33"/>
          </w:tcPr>
          <w:p w14:paraId="16B9D15F"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PPI.7</w:t>
            </w:r>
          </w:p>
        </w:tc>
      </w:tr>
      <w:tr w:rsidR="002233EC" w:rsidRPr="0098199F" w14:paraId="54FB9909" w14:textId="77777777" w:rsidTr="007C516A">
        <w:tc>
          <w:tcPr>
            <w:tcW w:w="2353" w:type="dxa"/>
            <w:shd w:val="clear" w:color="auto" w:fill="91ACEC" w:themeFill="accent1" w:themeFillTint="99"/>
          </w:tcPr>
          <w:p w14:paraId="69E404DD" w14:textId="77777777" w:rsidR="007C516A" w:rsidRPr="00211A07" w:rsidRDefault="007C516A" w:rsidP="00E06275">
            <w:pPr>
              <w:pStyle w:val="TableNText"/>
              <w:rPr>
                <w:rFonts w:asciiTheme="minorHAnsi" w:hAnsiTheme="minorHAnsi" w:cstheme="minorHAnsi"/>
                <w:b/>
                <w:sz w:val="18"/>
                <w:szCs w:val="18"/>
              </w:rPr>
            </w:pPr>
            <w:r w:rsidRPr="00211A07">
              <w:rPr>
                <w:rFonts w:asciiTheme="minorHAnsi" w:hAnsiTheme="minorHAnsi" w:cstheme="minorHAnsi"/>
                <w:b/>
                <w:sz w:val="18"/>
                <w:szCs w:val="18"/>
              </w:rPr>
              <w:t>Improve health outcomes</w:t>
            </w:r>
          </w:p>
        </w:tc>
        <w:tc>
          <w:tcPr>
            <w:tcW w:w="5670" w:type="dxa"/>
            <w:shd w:val="clear" w:color="auto" w:fill="91ACEC" w:themeFill="accent1" w:themeFillTint="99"/>
          </w:tcPr>
          <w:p w14:paraId="6B9B884B" w14:textId="77777777" w:rsidR="007C516A" w:rsidRPr="00211A07" w:rsidRDefault="007C516A" w:rsidP="00E06275">
            <w:pPr>
              <w:pStyle w:val="TableNText"/>
              <w:rPr>
                <w:rFonts w:asciiTheme="minorHAnsi" w:hAnsiTheme="minorHAnsi" w:cstheme="minorHAnsi"/>
                <w:b/>
                <w:sz w:val="18"/>
                <w:szCs w:val="18"/>
              </w:rPr>
            </w:pPr>
          </w:p>
        </w:tc>
        <w:tc>
          <w:tcPr>
            <w:tcW w:w="1077" w:type="dxa"/>
            <w:shd w:val="clear" w:color="auto" w:fill="91ACEC" w:themeFill="accent1" w:themeFillTint="99"/>
          </w:tcPr>
          <w:p w14:paraId="48C8A8AC" w14:textId="77777777" w:rsidR="007C516A" w:rsidRPr="00211A07" w:rsidRDefault="007C516A" w:rsidP="00E06275">
            <w:pPr>
              <w:pStyle w:val="TableNText"/>
              <w:rPr>
                <w:rFonts w:asciiTheme="minorHAnsi" w:hAnsiTheme="minorHAnsi" w:cstheme="minorHAnsi"/>
                <w:sz w:val="18"/>
                <w:szCs w:val="18"/>
              </w:rPr>
            </w:pPr>
          </w:p>
        </w:tc>
      </w:tr>
      <w:tr w:rsidR="00790AFC" w:rsidRPr="0098199F" w14:paraId="7636802E" w14:textId="77777777" w:rsidTr="004452F5">
        <w:tc>
          <w:tcPr>
            <w:tcW w:w="2353" w:type="dxa"/>
            <w:shd w:val="clear" w:color="auto" w:fill="auto"/>
          </w:tcPr>
          <w:p w14:paraId="532AE435"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Value of a statistical life</w:t>
            </w:r>
          </w:p>
        </w:tc>
        <w:tc>
          <w:tcPr>
            <w:tcW w:w="5670" w:type="dxa"/>
            <w:shd w:val="clear" w:color="auto" w:fill="auto"/>
          </w:tcPr>
          <w:p w14:paraId="2F819B59"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Total hourly rates of pay excluding bonuses; Australia; Private and Public; All industries</w:t>
            </w:r>
          </w:p>
        </w:tc>
        <w:tc>
          <w:tcPr>
            <w:tcW w:w="1077" w:type="dxa"/>
            <w:shd w:val="clear" w:color="auto" w:fill="auto"/>
          </w:tcPr>
          <w:p w14:paraId="1A3173DC"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WPI.1</w:t>
            </w:r>
          </w:p>
        </w:tc>
      </w:tr>
      <w:tr w:rsidR="002233EC" w:rsidRPr="0098199F" w14:paraId="3AB65DCC" w14:textId="77777777" w:rsidTr="007C516A">
        <w:tc>
          <w:tcPr>
            <w:tcW w:w="2353" w:type="dxa"/>
            <w:shd w:val="clear" w:color="auto" w:fill="DAE3F8" w:themeFill="accent1" w:themeFillTint="33"/>
          </w:tcPr>
          <w:p w14:paraId="23E06CEF"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Value of a statistical life year</w:t>
            </w:r>
          </w:p>
        </w:tc>
        <w:tc>
          <w:tcPr>
            <w:tcW w:w="5670" w:type="dxa"/>
            <w:shd w:val="clear" w:color="auto" w:fill="DAE3F8" w:themeFill="accent1" w:themeFillTint="33"/>
          </w:tcPr>
          <w:p w14:paraId="73BFC8FD"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 xml:space="preserve">Total hourly rates of pay excluding </w:t>
            </w:r>
            <w:r w:rsidRPr="00211A07" w:rsidDel="00192290">
              <w:rPr>
                <w:rFonts w:asciiTheme="minorHAnsi" w:hAnsiTheme="minorHAnsi" w:cstheme="minorHAnsi"/>
                <w:sz w:val="18"/>
                <w:szCs w:val="18"/>
              </w:rPr>
              <w:t xml:space="preserve">bonuses; </w:t>
            </w:r>
            <w:r w:rsidRPr="00211A07">
              <w:rPr>
                <w:rFonts w:asciiTheme="minorHAnsi" w:hAnsiTheme="minorHAnsi" w:cstheme="minorHAnsi"/>
                <w:sz w:val="18"/>
                <w:szCs w:val="18"/>
              </w:rPr>
              <w:t>Australia; Private and Public; All industries</w:t>
            </w:r>
          </w:p>
        </w:tc>
        <w:tc>
          <w:tcPr>
            <w:tcW w:w="1077" w:type="dxa"/>
            <w:shd w:val="clear" w:color="auto" w:fill="DAE3F8" w:themeFill="accent1" w:themeFillTint="33"/>
          </w:tcPr>
          <w:p w14:paraId="1F8E8CA5" w14:textId="77777777" w:rsidR="007C516A" w:rsidRPr="00211A07" w:rsidRDefault="007C516A" w:rsidP="00E06275">
            <w:pPr>
              <w:pStyle w:val="TableNText"/>
              <w:rPr>
                <w:rFonts w:asciiTheme="minorHAnsi" w:hAnsiTheme="minorHAnsi" w:cstheme="minorHAnsi"/>
                <w:sz w:val="18"/>
                <w:szCs w:val="18"/>
              </w:rPr>
            </w:pPr>
            <w:r w:rsidRPr="00211A07">
              <w:rPr>
                <w:rFonts w:asciiTheme="minorHAnsi" w:hAnsiTheme="minorHAnsi" w:cstheme="minorHAnsi"/>
                <w:sz w:val="18"/>
                <w:szCs w:val="18"/>
              </w:rPr>
              <w:t>WPI.1</w:t>
            </w:r>
          </w:p>
        </w:tc>
      </w:tr>
    </w:tbl>
    <w:p w14:paraId="1076B4D5" w14:textId="77777777" w:rsidR="007C516A" w:rsidRDefault="007C516A" w:rsidP="007C516A">
      <w:pPr>
        <w:pStyle w:val="Paragraph"/>
        <w:rPr>
          <w:lang w:eastAsia="en-US"/>
        </w:rPr>
      </w:pPr>
    </w:p>
    <w:p w14:paraId="0938259E" w14:textId="77777777" w:rsidR="004303DC" w:rsidRPr="00993B73" w:rsidRDefault="004303DC" w:rsidP="004303DC">
      <w:pPr>
        <w:pStyle w:val="SWAHeading2"/>
        <w:numPr>
          <w:ilvl w:val="0"/>
          <w:numId w:val="0"/>
        </w:numPr>
      </w:pPr>
      <w:bookmarkStart w:id="733" w:name="_Ref178084956"/>
      <w:bookmarkStart w:id="734" w:name="_Toc191647970"/>
      <w:bookmarkStart w:id="735" w:name="_Toc193867330"/>
      <w:bookmarkStart w:id="736" w:name="_Toc194003966"/>
      <w:bookmarkStart w:id="737" w:name="_Toc199184057"/>
      <w:bookmarkStart w:id="738" w:name="_Toc199361203"/>
      <w:bookmarkStart w:id="739" w:name="_Toc219216948"/>
      <w:r w:rsidRPr="00993B73">
        <w:t>Direct benefits inputs</w:t>
      </w:r>
      <w:bookmarkEnd w:id="733"/>
      <w:bookmarkEnd w:id="734"/>
      <w:bookmarkEnd w:id="735"/>
      <w:bookmarkEnd w:id="736"/>
      <w:bookmarkEnd w:id="737"/>
      <w:bookmarkEnd w:id="738"/>
      <w:bookmarkEnd w:id="739"/>
    </w:p>
    <w:p w14:paraId="7B429DF3" w14:textId="5D642CE3" w:rsidR="0058341D" w:rsidRDefault="004303DC" w:rsidP="00144BE5">
      <w:r w:rsidRPr="00993B73">
        <w:rPr>
          <w:lang w:eastAsia="en-AU"/>
        </w:rPr>
        <w:t>The cost item included in NDS compensation data are presented in</w:t>
      </w:r>
      <w:r w:rsidR="00267E10">
        <w:rPr>
          <w:lang w:eastAsia="en-AU"/>
        </w:rPr>
        <w:t xml:space="preserve"> </w:t>
      </w:r>
      <w:r w:rsidR="00267E10">
        <w:rPr>
          <w:lang w:eastAsia="en-AU"/>
        </w:rPr>
        <w:fldChar w:fldCharType="begin"/>
      </w:r>
      <w:r w:rsidR="00267E10">
        <w:rPr>
          <w:lang w:eastAsia="en-AU"/>
        </w:rPr>
        <w:instrText xml:space="preserve"> REF _Ref216794277 \h </w:instrText>
      </w:r>
      <w:r w:rsidR="00267E10">
        <w:rPr>
          <w:lang w:eastAsia="en-AU"/>
        </w:rPr>
      </w:r>
      <w:r w:rsidR="00267E10">
        <w:rPr>
          <w:lang w:eastAsia="en-AU"/>
        </w:rPr>
        <w:fldChar w:fldCharType="separate"/>
      </w:r>
      <w:r w:rsidR="00A002F4">
        <w:t xml:space="preserve">Table </w:t>
      </w:r>
      <w:r w:rsidR="00A002F4">
        <w:rPr>
          <w:noProof/>
        </w:rPr>
        <w:t>78</w:t>
      </w:r>
      <w:r w:rsidR="00267E10">
        <w:rPr>
          <w:lang w:eastAsia="en-AU"/>
        </w:rPr>
        <w:fldChar w:fldCharType="end"/>
      </w:r>
      <w:r w:rsidR="0058341D">
        <w:rPr>
          <w:lang w:eastAsia="en-AU"/>
        </w:rPr>
        <w:t>.</w:t>
      </w:r>
    </w:p>
    <w:p w14:paraId="3F2E3393" w14:textId="0BD53BD8" w:rsidR="00267E10" w:rsidRDefault="00267E10" w:rsidP="00144BE5">
      <w:pPr>
        <w:pStyle w:val="Caption"/>
      </w:pPr>
      <w:bookmarkStart w:id="740" w:name="_Ref216794277"/>
      <w:r>
        <w:t xml:space="preserve">Table </w:t>
      </w:r>
      <w:fldSimple w:instr=" SEQ Table \* ARABIC ">
        <w:r w:rsidR="00A002F4">
          <w:rPr>
            <w:noProof/>
          </w:rPr>
          <w:t>78</w:t>
        </w:r>
      </w:fldSimple>
      <w:bookmarkEnd w:id="740"/>
      <w:r>
        <w:t xml:space="preserve"> - </w:t>
      </w:r>
      <w:r w:rsidRPr="00B3056C">
        <w:t>Workers’ compensation cost groups and items</w:t>
      </w:r>
    </w:p>
    <w:tbl>
      <w:tblPr>
        <w:tblStyle w:val="NOUS"/>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9"/>
        <w:gridCol w:w="6677"/>
      </w:tblGrid>
      <w:tr w:rsidR="00AD09B3" w:rsidRPr="00993B73" w14:paraId="2728B946" w14:textId="77777777" w:rsidTr="002F3D55">
        <w:trPr>
          <w:cnfStyle w:val="100000000000" w:firstRow="1" w:lastRow="0" w:firstColumn="0" w:lastColumn="0" w:oddVBand="0" w:evenVBand="0" w:oddHBand="0" w:evenHBand="0" w:firstRowFirstColumn="0" w:firstRowLastColumn="0" w:lastRowFirstColumn="0" w:lastRowLastColumn="0"/>
          <w:tblHeader/>
        </w:trPr>
        <w:tc>
          <w:tcPr>
            <w:tcW w:w="2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076AD0D" w14:textId="77777777" w:rsidR="00AD09B3" w:rsidRPr="00AD09B3" w:rsidRDefault="00AD09B3" w:rsidP="00E06275">
            <w:pPr>
              <w:pStyle w:val="TableNheader"/>
              <w:rPr>
                <w:rFonts w:asciiTheme="minorHAnsi" w:hAnsiTheme="minorHAnsi" w:cstheme="minorHAnsi"/>
                <w:color w:val="FFFFFF" w:themeColor="background1"/>
              </w:rPr>
            </w:pPr>
            <w:r w:rsidRPr="00AD09B3">
              <w:rPr>
                <w:rFonts w:asciiTheme="minorHAnsi" w:hAnsiTheme="minorHAnsi" w:cstheme="minorHAnsi"/>
                <w:color w:val="FFFFFF" w:themeColor="background1"/>
              </w:rPr>
              <w:t>Cost group &amp; item</w:t>
            </w:r>
          </w:p>
        </w:tc>
        <w:tc>
          <w:tcPr>
            <w:tcW w:w="6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63D96C9D" w14:textId="77777777" w:rsidR="00AD09B3" w:rsidRPr="00AD09B3" w:rsidRDefault="00AD09B3" w:rsidP="00E06275">
            <w:pPr>
              <w:pStyle w:val="TableNheader"/>
              <w:rPr>
                <w:rFonts w:asciiTheme="minorHAnsi" w:hAnsiTheme="minorHAnsi" w:cstheme="minorHAnsi"/>
                <w:color w:val="FFFFFF" w:themeColor="background1"/>
              </w:rPr>
            </w:pPr>
            <w:r w:rsidRPr="00AD09B3">
              <w:rPr>
                <w:rFonts w:asciiTheme="minorHAnsi" w:hAnsiTheme="minorHAnsi" w:cstheme="minorHAnsi"/>
                <w:color w:val="FFFFFF" w:themeColor="background1"/>
              </w:rPr>
              <w:t>Definition</w:t>
            </w:r>
          </w:p>
        </w:tc>
      </w:tr>
      <w:tr w:rsidR="00AD09B3" w:rsidRPr="00993B73" w14:paraId="6B375218" w14:textId="77777777" w:rsidTr="0058341D">
        <w:tc>
          <w:tcPr>
            <w:tcW w:w="2339" w:type="dxa"/>
            <w:tcBorders>
              <w:top w:val="single" w:sz="4" w:space="0" w:color="BFBFBF" w:themeColor="background1" w:themeShade="BF"/>
            </w:tcBorders>
            <w:shd w:val="clear" w:color="auto" w:fill="91ACEC" w:themeFill="accent1" w:themeFillTint="99"/>
          </w:tcPr>
          <w:p w14:paraId="6058897F" w14:textId="77777777" w:rsidR="00AD09B3" w:rsidRPr="00AD09B3" w:rsidRDefault="00AD09B3" w:rsidP="00E06275">
            <w:pPr>
              <w:pStyle w:val="TableNText"/>
              <w:rPr>
                <w:rFonts w:asciiTheme="minorHAnsi" w:hAnsiTheme="minorHAnsi" w:cstheme="minorHAnsi"/>
                <w:b/>
              </w:rPr>
            </w:pPr>
            <w:r w:rsidRPr="00211A07">
              <w:rPr>
                <w:rFonts w:asciiTheme="minorHAnsi" w:hAnsiTheme="minorHAnsi" w:cstheme="minorHAnsi"/>
                <w:b/>
                <w:sz w:val="18"/>
                <w:szCs w:val="24"/>
              </w:rPr>
              <w:t>Compensation costs</w:t>
            </w:r>
          </w:p>
        </w:tc>
        <w:tc>
          <w:tcPr>
            <w:tcW w:w="6677" w:type="dxa"/>
            <w:tcBorders>
              <w:top w:val="single" w:sz="4" w:space="0" w:color="BFBFBF" w:themeColor="background1" w:themeShade="BF"/>
            </w:tcBorders>
            <w:shd w:val="clear" w:color="auto" w:fill="91ACEC" w:themeFill="accent1" w:themeFillTint="99"/>
          </w:tcPr>
          <w:p w14:paraId="3F9FA986" w14:textId="77777777" w:rsidR="00AD09B3" w:rsidRPr="00AD09B3" w:rsidRDefault="00AD09B3" w:rsidP="00E06275">
            <w:pPr>
              <w:pStyle w:val="TableNText"/>
              <w:rPr>
                <w:rFonts w:asciiTheme="minorHAnsi" w:hAnsiTheme="minorHAnsi" w:cstheme="minorHAnsi"/>
                <w:b/>
              </w:rPr>
            </w:pPr>
          </w:p>
        </w:tc>
      </w:tr>
      <w:tr w:rsidR="00AD09B3" w:rsidRPr="00993B73" w14:paraId="7B79B136" w14:textId="77777777" w:rsidTr="004452F5">
        <w:tc>
          <w:tcPr>
            <w:tcW w:w="2339" w:type="dxa"/>
            <w:shd w:val="clear" w:color="auto" w:fill="auto"/>
          </w:tcPr>
          <w:p w14:paraId="44554972" w14:textId="77777777" w:rsidR="00AD09B3" w:rsidRPr="00AD09B3" w:rsidRDefault="00AD09B3" w:rsidP="00E06275">
            <w:pPr>
              <w:pStyle w:val="TableNText"/>
              <w:rPr>
                <w:rFonts w:asciiTheme="minorHAnsi" w:hAnsiTheme="minorHAnsi" w:cstheme="minorHAnsi"/>
                <w:sz w:val="18"/>
                <w:szCs w:val="18"/>
              </w:rPr>
            </w:pPr>
            <w:r w:rsidRPr="00AD09B3">
              <w:rPr>
                <w:rFonts w:asciiTheme="minorHAnsi" w:hAnsiTheme="minorHAnsi" w:cstheme="minorHAnsi"/>
                <w:sz w:val="18"/>
                <w:szCs w:val="18"/>
              </w:rPr>
              <w:t>Death Benefits</w:t>
            </w:r>
          </w:p>
        </w:tc>
        <w:tc>
          <w:tcPr>
            <w:tcW w:w="6677" w:type="dxa"/>
            <w:shd w:val="clear" w:color="auto" w:fill="auto"/>
          </w:tcPr>
          <w:p w14:paraId="16EF7574" w14:textId="77777777" w:rsidR="00AD09B3" w:rsidRPr="00AD09B3" w:rsidRDefault="00AD09B3" w:rsidP="00E06275">
            <w:pPr>
              <w:pStyle w:val="TableNText"/>
              <w:rPr>
                <w:rFonts w:asciiTheme="minorHAnsi" w:hAnsiTheme="minorHAnsi" w:cstheme="minorHAnsi"/>
                <w:sz w:val="18"/>
                <w:szCs w:val="18"/>
              </w:rPr>
            </w:pPr>
            <w:r w:rsidRPr="00AD09B3">
              <w:rPr>
                <w:rFonts w:asciiTheme="minorHAnsi" w:hAnsiTheme="minorHAnsi" w:cstheme="minorHAnsi"/>
                <w:sz w:val="18"/>
                <w:szCs w:val="18"/>
              </w:rPr>
              <w:t>The total paid to or in trust for a dependent spouse and other family members due to the death of a worker. Includes lump sums paid to dependents, pension benefits paid to dependents and funeral expenses.</w:t>
            </w:r>
          </w:p>
        </w:tc>
      </w:tr>
      <w:tr w:rsidR="0082163C" w:rsidRPr="00993B73" w14:paraId="5C48B48A" w14:textId="77777777" w:rsidTr="0082163C">
        <w:tc>
          <w:tcPr>
            <w:tcW w:w="2339" w:type="dxa"/>
            <w:shd w:val="clear" w:color="auto" w:fill="DAE3F8" w:themeFill="accent1" w:themeFillTint="33"/>
          </w:tcPr>
          <w:p w14:paraId="06906F2A" w14:textId="77777777" w:rsidR="00AD09B3" w:rsidRPr="00AD09B3" w:rsidRDefault="00AD09B3" w:rsidP="00E06275">
            <w:pPr>
              <w:pStyle w:val="TableNText"/>
              <w:rPr>
                <w:rFonts w:asciiTheme="minorHAnsi" w:hAnsiTheme="minorHAnsi" w:cstheme="minorHAnsi"/>
                <w:sz w:val="18"/>
                <w:szCs w:val="18"/>
              </w:rPr>
            </w:pPr>
            <w:r w:rsidRPr="00AD09B3">
              <w:rPr>
                <w:rFonts w:asciiTheme="minorHAnsi" w:hAnsiTheme="minorHAnsi" w:cstheme="minorHAnsi"/>
                <w:sz w:val="18"/>
                <w:szCs w:val="18"/>
              </w:rPr>
              <w:t>Impairments Sum</w:t>
            </w:r>
          </w:p>
        </w:tc>
        <w:tc>
          <w:tcPr>
            <w:tcW w:w="6677" w:type="dxa"/>
            <w:shd w:val="clear" w:color="auto" w:fill="DAE3F8" w:themeFill="accent1" w:themeFillTint="33"/>
          </w:tcPr>
          <w:p w14:paraId="6E054C30" w14:textId="77777777" w:rsidR="00AD09B3" w:rsidRPr="00AD09B3" w:rsidRDefault="00AD09B3" w:rsidP="00E06275">
            <w:pPr>
              <w:pStyle w:val="TableNText"/>
              <w:rPr>
                <w:rFonts w:asciiTheme="minorHAnsi" w:hAnsiTheme="minorHAnsi" w:cstheme="minorHAnsi"/>
                <w:sz w:val="18"/>
                <w:szCs w:val="18"/>
              </w:rPr>
            </w:pPr>
            <w:r w:rsidRPr="00AD09B3">
              <w:rPr>
                <w:rFonts w:asciiTheme="minorHAnsi" w:hAnsiTheme="minorHAnsi" w:cstheme="minorHAnsi"/>
                <w:sz w:val="18"/>
                <w:szCs w:val="18"/>
              </w:rPr>
              <w:t>The total lump sum paid to a worker on account of permanent injuries, pain and suffering, and/or other non-economic loss benefits as defined by the scheme. Includes any additional payments such as severe injury payments and gratuitous care.</w:t>
            </w:r>
          </w:p>
        </w:tc>
      </w:tr>
      <w:tr w:rsidR="00AD09B3" w:rsidRPr="00993B73" w14:paraId="61906C06" w14:textId="77777777" w:rsidTr="004452F5">
        <w:tc>
          <w:tcPr>
            <w:tcW w:w="2339" w:type="dxa"/>
            <w:shd w:val="clear" w:color="auto" w:fill="auto"/>
          </w:tcPr>
          <w:p w14:paraId="6C42E992"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Redemption Sum</w:t>
            </w:r>
          </w:p>
        </w:tc>
        <w:tc>
          <w:tcPr>
            <w:tcW w:w="6677" w:type="dxa"/>
            <w:shd w:val="clear" w:color="auto" w:fill="auto"/>
          </w:tcPr>
          <w:p w14:paraId="5E078544"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paid to a worker for the settlement of weekly benefits.</w:t>
            </w:r>
          </w:p>
        </w:tc>
      </w:tr>
      <w:tr w:rsidR="0082163C" w:rsidRPr="00993B73" w14:paraId="52A989FF" w14:textId="77777777" w:rsidTr="0082163C">
        <w:tc>
          <w:tcPr>
            <w:tcW w:w="2339" w:type="dxa"/>
            <w:shd w:val="clear" w:color="auto" w:fill="DAE3F8" w:themeFill="accent1" w:themeFillTint="33"/>
          </w:tcPr>
          <w:p w14:paraId="7C8D18B6"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Statutory Lump Sum</w:t>
            </w:r>
          </w:p>
        </w:tc>
        <w:tc>
          <w:tcPr>
            <w:tcW w:w="6677" w:type="dxa"/>
            <w:shd w:val="clear" w:color="auto" w:fill="DAE3F8" w:themeFill="accent1" w:themeFillTint="33"/>
          </w:tcPr>
          <w:p w14:paraId="4BFA0BF5"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statutory lump sum (excluding death lump sum) paid to a worker, including all benefits payable at items total redemption sum and total impairments sum. This item is only required if it is not possible to separately record the redemption/commutation and impairment/non-economic loss components of the lump sum.</w:t>
            </w:r>
          </w:p>
        </w:tc>
      </w:tr>
      <w:tr w:rsidR="00AD09B3" w:rsidRPr="00993B73" w14:paraId="19A55B01" w14:textId="77777777" w:rsidTr="004452F5">
        <w:tc>
          <w:tcPr>
            <w:tcW w:w="2339" w:type="dxa"/>
            <w:shd w:val="clear" w:color="auto" w:fill="auto"/>
          </w:tcPr>
          <w:p w14:paraId="4D1FED3A"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Weekly Benefits</w:t>
            </w:r>
          </w:p>
        </w:tc>
        <w:tc>
          <w:tcPr>
            <w:tcW w:w="6677" w:type="dxa"/>
            <w:shd w:val="clear" w:color="auto" w:fill="auto"/>
          </w:tcPr>
          <w:p w14:paraId="5CDCB1FF"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amount of weekly benefits (full and partial) paid.</w:t>
            </w:r>
          </w:p>
        </w:tc>
      </w:tr>
      <w:tr w:rsidR="00AD09B3" w:rsidRPr="00993B73" w14:paraId="5E27084A" w14:textId="77777777" w:rsidTr="0058341D">
        <w:tc>
          <w:tcPr>
            <w:tcW w:w="2339" w:type="dxa"/>
            <w:shd w:val="clear" w:color="auto" w:fill="91ACEC" w:themeFill="accent1" w:themeFillTint="99"/>
          </w:tcPr>
          <w:p w14:paraId="77A10742" w14:textId="77777777" w:rsidR="00AD09B3" w:rsidRPr="0058341D" w:rsidRDefault="00AD09B3" w:rsidP="00E06275">
            <w:pPr>
              <w:pStyle w:val="TableNText"/>
              <w:rPr>
                <w:rFonts w:asciiTheme="minorHAnsi" w:hAnsiTheme="minorHAnsi" w:cstheme="minorHAnsi"/>
                <w:b/>
                <w:color w:val="E7E6E6" w:themeColor="background2"/>
                <w:sz w:val="18"/>
                <w:szCs w:val="18"/>
              </w:rPr>
            </w:pPr>
            <w:r w:rsidRPr="0058341D">
              <w:rPr>
                <w:rFonts w:asciiTheme="minorHAnsi" w:hAnsiTheme="minorHAnsi" w:cstheme="minorHAnsi"/>
                <w:b/>
                <w:sz w:val="18"/>
                <w:szCs w:val="18"/>
              </w:rPr>
              <w:lastRenderedPageBreak/>
              <w:t>Common Law costs</w:t>
            </w:r>
          </w:p>
        </w:tc>
        <w:tc>
          <w:tcPr>
            <w:tcW w:w="6677" w:type="dxa"/>
            <w:shd w:val="clear" w:color="auto" w:fill="91ACEC" w:themeFill="accent1" w:themeFillTint="99"/>
          </w:tcPr>
          <w:p w14:paraId="77A05D45" w14:textId="77777777" w:rsidR="00AD09B3" w:rsidRPr="0058341D" w:rsidRDefault="00AD09B3" w:rsidP="00E06275">
            <w:pPr>
              <w:pStyle w:val="TableNText"/>
              <w:rPr>
                <w:rFonts w:asciiTheme="minorHAnsi" w:hAnsiTheme="minorHAnsi" w:cstheme="minorHAnsi"/>
                <w:color w:val="E7E6E6" w:themeColor="background2"/>
                <w:sz w:val="18"/>
                <w:szCs w:val="18"/>
              </w:rPr>
            </w:pPr>
          </w:p>
        </w:tc>
      </w:tr>
      <w:tr w:rsidR="00AD09B3" w:rsidRPr="00993B73" w14:paraId="19A08428" w14:textId="77777777" w:rsidTr="004452F5">
        <w:tc>
          <w:tcPr>
            <w:tcW w:w="2339" w:type="dxa"/>
            <w:shd w:val="clear" w:color="auto" w:fill="auto"/>
          </w:tcPr>
          <w:p w14:paraId="1A75F233"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Common Law Economic</w:t>
            </w:r>
          </w:p>
          <w:p w14:paraId="39D956E9" w14:textId="77777777" w:rsidR="00AD09B3" w:rsidRPr="0058341D" w:rsidRDefault="00AD09B3" w:rsidP="00E06275">
            <w:pPr>
              <w:pStyle w:val="TableNText"/>
              <w:rPr>
                <w:rFonts w:asciiTheme="minorHAnsi" w:hAnsiTheme="minorHAnsi" w:cstheme="minorHAnsi"/>
                <w:sz w:val="18"/>
                <w:szCs w:val="18"/>
              </w:rPr>
            </w:pPr>
          </w:p>
        </w:tc>
        <w:tc>
          <w:tcPr>
            <w:tcW w:w="6677" w:type="dxa"/>
            <w:shd w:val="clear" w:color="auto" w:fill="auto"/>
          </w:tcPr>
          <w:p w14:paraId="61E7EDF4"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lump sum paid to a worker on account of economic loss (income replacement) under common law arrangements.</w:t>
            </w:r>
          </w:p>
        </w:tc>
      </w:tr>
      <w:tr w:rsidR="0082163C" w:rsidRPr="00993B73" w14:paraId="7D17B6D3" w14:textId="77777777" w:rsidTr="0082163C">
        <w:tc>
          <w:tcPr>
            <w:tcW w:w="2339" w:type="dxa"/>
            <w:shd w:val="clear" w:color="auto" w:fill="DAE3F8" w:themeFill="accent1" w:themeFillTint="33"/>
          </w:tcPr>
          <w:p w14:paraId="3DFAB631"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Common Law Non-Economic</w:t>
            </w:r>
          </w:p>
        </w:tc>
        <w:tc>
          <w:tcPr>
            <w:tcW w:w="6677" w:type="dxa"/>
            <w:shd w:val="clear" w:color="auto" w:fill="DAE3F8" w:themeFill="accent1" w:themeFillTint="33"/>
          </w:tcPr>
          <w:p w14:paraId="562C5077"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lump sum paid to a worker on account of non-economic loss under common law arrangements (excludes insurer and worker legal costs).</w:t>
            </w:r>
          </w:p>
        </w:tc>
      </w:tr>
      <w:tr w:rsidR="0058341D" w:rsidRPr="00993B73" w14:paraId="3DF590A6" w14:textId="77777777" w:rsidTr="0058341D">
        <w:tc>
          <w:tcPr>
            <w:tcW w:w="2339" w:type="dxa"/>
            <w:shd w:val="clear" w:color="auto" w:fill="91ACEC" w:themeFill="accent1" w:themeFillTint="99"/>
          </w:tcPr>
          <w:p w14:paraId="11CDB571" w14:textId="77777777" w:rsidR="00AD09B3" w:rsidRPr="0058341D" w:rsidRDefault="00AD09B3" w:rsidP="00E06275">
            <w:pPr>
              <w:pStyle w:val="TableNText"/>
              <w:rPr>
                <w:rFonts w:asciiTheme="minorHAnsi" w:hAnsiTheme="minorHAnsi" w:cstheme="minorHAnsi"/>
                <w:b/>
                <w:sz w:val="18"/>
                <w:szCs w:val="18"/>
              </w:rPr>
            </w:pPr>
            <w:r w:rsidRPr="0058341D">
              <w:rPr>
                <w:rFonts w:asciiTheme="minorHAnsi" w:hAnsiTheme="minorHAnsi" w:cstheme="minorHAnsi"/>
                <w:b/>
                <w:sz w:val="18"/>
                <w:szCs w:val="18"/>
              </w:rPr>
              <w:t>Medical costs</w:t>
            </w:r>
          </w:p>
        </w:tc>
        <w:tc>
          <w:tcPr>
            <w:tcW w:w="6677" w:type="dxa"/>
            <w:shd w:val="clear" w:color="auto" w:fill="91ACEC" w:themeFill="accent1" w:themeFillTint="99"/>
          </w:tcPr>
          <w:p w14:paraId="1BB65C09" w14:textId="77777777" w:rsidR="00AD09B3" w:rsidRPr="0058341D" w:rsidRDefault="00AD09B3" w:rsidP="00E06275">
            <w:pPr>
              <w:pStyle w:val="TableNText"/>
              <w:rPr>
                <w:rFonts w:asciiTheme="minorHAnsi" w:hAnsiTheme="minorHAnsi" w:cstheme="minorHAnsi"/>
                <w:b/>
                <w:sz w:val="18"/>
                <w:szCs w:val="18"/>
              </w:rPr>
            </w:pPr>
          </w:p>
        </w:tc>
      </w:tr>
      <w:tr w:rsidR="00AD09B3" w:rsidRPr="00993B73" w14:paraId="1B1D1A6B" w14:textId="77777777" w:rsidTr="004452F5">
        <w:tc>
          <w:tcPr>
            <w:tcW w:w="2339" w:type="dxa"/>
            <w:shd w:val="clear" w:color="auto" w:fill="auto"/>
          </w:tcPr>
          <w:p w14:paraId="10BAFFCF"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Medical</w:t>
            </w:r>
          </w:p>
        </w:tc>
        <w:tc>
          <w:tcPr>
            <w:tcW w:w="6677" w:type="dxa"/>
            <w:shd w:val="clear" w:color="auto" w:fill="auto"/>
          </w:tcPr>
          <w:p w14:paraId="70F450F5"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total cost relating to medical services paid. This includes the costs of services (treatment and reports) rendered by registered medical practitioners, regardless of whether the services were rendered in a hospital or clinical environment, including outpatient charges for doctors. Registered medical practitioners are defined as general practitioners, psychiatrists, radiologists, surgeons, and dentists.</w:t>
            </w:r>
          </w:p>
          <w:p w14:paraId="67D2C003"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Costs incurred for the preparation of medical reports for the purposes of legal proceedings or administration are excluded and should be placed under non-compensation payments.</w:t>
            </w:r>
          </w:p>
        </w:tc>
      </w:tr>
      <w:tr w:rsidR="0082163C" w:rsidRPr="00993B73" w14:paraId="665550B3" w14:textId="77777777" w:rsidTr="0082163C">
        <w:tc>
          <w:tcPr>
            <w:tcW w:w="2339" w:type="dxa"/>
            <w:shd w:val="clear" w:color="auto" w:fill="DAE3F8" w:themeFill="accent1" w:themeFillTint="33"/>
          </w:tcPr>
          <w:p w14:paraId="468B40DB"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Allied Health</w:t>
            </w:r>
          </w:p>
        </w:tc>
        <w:tc>
          <w:tcPr>
            <w:tcW w:w="6677" w:type="dxa"/>
            <w:shd w:val="clear" w:color="auto" w:fill="DAE3F8" w:themeFill="accent1" w:themeFillTint="33"/>
          </w:tcPr>
          <w:p w14:paraId="6743DE0F"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Includes service costs related to the treatment of work-related injury/disease, other than:</w:t>
            </w:r>
          </w:p>
          <w:p w14:paraId="31AAD0BF" w14:textId="77777777" w:rsidR="00AD09B3" w:rsidRPr="0058341D" w:rsidRDefault="00AD09B3" w:rsidP="00A2768E">
            <w:pPr>
              <w:pStyle w:val="TableNBullet"/>
              <w:numPr>
                <w:ilvl w:val="0"/>
                <w:numId w:val="159"/>
              </w:numPr>
              <w:spacing w:line="240" w:lineRule="auto"/>
              <w:rPr>
                <w:rFonts w:asciiTheme="minorHAnsi" w:hAnsiTheme="minorHAnsi" w:cstheme="minorHAnsi"/>
                <w:sz w:val="18"/>
                <w:szCs w:val="18"/>
              </w:rPr>
            </w:pPr>
            <w:r w:rsidRPr="0058341D">
              <w:rPr>
                <w:rFonts w:asciiTheme="minorHAnsi" w:hAnsiTheme="minorHAnsi" w:cstheme="minorHAnsi"/>
                <w:sz w:val="18"/>
                <w:szCs w:val="18"/>
              </w:rPr>
              <w:t>treatments provided by registered medical practitioners; or</w:t>
            </w:r>
          </w:p>
          <w:p w14:paraId="01170D6D" w14:textId="77777777" w:rsidR="00AD09B3" w:rsidRPr="0058341D" w:rsidRDefault="00AD09B3" w:rsidP="00A2768E">
            <w:pPr>
              <w:pStyle w:val="TableNBullet"/>
              <w:numPr>
                <w:ilvl w:val="0"/>
                <w:numId w:val="158"/>
              </w:numPr>
              <w:spacing w:line="240" w:lineRule="auto"/>
              <w:rPr>
                <w:rFonts w:asciiTheme="minorHAnsi" w:hAnsiTheme="minorHAnsi" w:cstheme="minorHAnsi"/>
                <w:sz w:val="18"/>
                <w:szCs w:val="18"/>
              </w:rPr>
            </w:pPr>
            <w:r w:rsidRPr="0058341D">
              <w:rPr>
                <w:rFonts w:asciiTheme="minorHAnsi" w:hAnsiTheme="minorHAnsi" w:cstheme="minorHAnsi"/>
                <w:sz w:val="18"/>
                <w:szCs w:val="18"/>
              </w:rPr>
              <w:t>treatments provided as part of vocational rehabilitation.</w:t>
            </w:r>
          </w:p>
          <w:p w14:paraId="6C6AC07F"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Includes outpatient charges for allied health professionals.</w:t>
            </w:r>
          </w:p>
          <w:p w14:paraId="5667C74A"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types of service providers in this category include but are not limited to chiropractors, physiotherapists, psychologists, occupational therapists, masseurs/masseuses, aromatherapists, nurses, paramedics, ambulance, and acupuncturists.</w:t>
            </w:r>
          </w:p>
        </w:tc>
      </w:tr>
      <w:tr w:rsidR="00AD09B3" w:rsidRPr="00993B73" w14:paraId="6D72A70F" w14:textId="77777777" w:rsidTr="004452F5">
        <w:tc>
          <w:tcPr>
            <w:tcW w:w="2339" w:type="dxa"/>
            <w:shd w:val="clear" w:color="auto" w:fill="auto"/>
          </w:tcPr>
          <w:p w14:paraId="7205D5AA"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Hospital</w:t>
            </w:r>
          </w:p>
        </w:tc>
        <w:tc>
          <w:tcPr>
            <w:tcW w:w="6677" w:type="dxa"/>
            <w:shd w:val="clear" w:color="auto" w:fill="auto"/>
          </w:tcPr>
          <w:p w14:paraId="64E2D783"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sum of all costs related to public and private hospital visits, except those amounts which are identified on the hospital account but which belong to other categories of payment.</w:t>
            </w:r>
          </w:p>
        </w:tc>
      </w:tr>
      <w:tr w:rsidR="00216310" w:rsidRPr="00993B73" w14:paraId="0ED94CCD" w14:textId="77777777" w:rsidTr="00216310">
        <w:tc>
          <w:tcPr>
            <w:tcW w:w="2339" w:type="dxa"/>
            <w:shd w:val="clear" w:color="auto" w:fill="DAE3F8" w:themeFill="accent1" w:themeFillTint="33"/>
          </w:tcPr>
          <w:p w14:paraId="627FEEEC"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Other Goods</w:t>
            </w:r>
          </w:p>
        </w:tc>
        <w:tc>
          <w:tcPr>
            <w:tcW w:w="6677" w:type="dxa"/>
            <w:shd w:val="clear" w:color="auto" w:fill="DAE3F8" w:themeFill="accent1" w:themeFillTint="33"/>
          </w:tcPr>
          <w:p w14:paraId="60FDB2F7"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Any other benefits paid or goods provided to claimant not reported above, including:</w:t>
            </w:r>
          </w:p>
          <w:p w14:paraId="7FC7A8C2"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prescriptions, medical and surgical supplies;</w:t>
            </w:r>
          </w:p>
          <w:p w14:paraId="29A2246C"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provision, maintenance, repair, adjustment or replacement of aids and appliances;</w:t>
            </w:r>
          </w:p>
          <w:p w14:paraId="4C5C0625"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costs incurred on account of home help, for example cleaners;</w:t>
            </w:r>
          </w:p>
          <w:p w14:paraId="01649B27"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workplace, home and vehicle modifications;</w:t>
            </w:r>
          </w:p>
          <w:p w14:paraId="0BA0D541"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miscellaneous, repair or replacement of damaged clothing, road accident rescue services; and</w:t>
            </w:r>
          </w:p>
          <w:p w14:paraId="3421C6ED"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any other goods or service not already covered above.</w:t>
            </w:r>
          </w:p>
        </w:tc>
      </w:tr>
      <w:tr w:rsidR="0058341D" w:rsidRPr="00993B73" w14:paraId="207CD1A9" w14:textId="77777777" w:rsidTr="0058341D">
        <w:tc>
          <w:tcPr>
            <w:tcW w:w="2339" w:type="dxa"/>
            <w:shd w:val="clear" w:color="auto" w:fill="91ACEC" w:themeFill="accent1" w:themeFillTint="99"/>
          </w:tcPr>
          <w:p w14:paraId="4164165F" w14:textId="77777777" w:rsidR="00AD09B3" w:rsidRPr="0058341D" w:rsidRDefault="00AD09B3" w:rsidP="00E06275">
            <w:pPr>
              <w:pStyle w:val="TableNText"/>
              <w:rPr>
                <w:rFonts w:asciiTheme="minorHAnsi" w:hAnsiTheme="minorHAnsi" w:cstheme="minorHAnsi"/>
                <w:b/>
                <w:sz w:val="18"/>
                <w:szCs w:val="18"/>
              </w:rPr>
            </w:pPr>
            <w:r w:rsidRPr="0058341D">
              <w:rPr>
                <w:rFonts w:asciiTheme="minorHAnsi" w:hAnsiTheme="minorHAnsi" w:cstheme="minorHAnsi"/>
                <w:b/>
                <w:sz w:val="18"/>
                <w:szCs w:val="18"/>
              </w:rPr>
              <w:t>Supplementary costs</w:t>
            </w:r>
          </w:p>
        </w:tc>
        <w:tc>
          <w:tcPr>
            <w:tcW w:w="6677" w:type="dxa"/>
            <w:shd w:val="clear" w:color="auto" w:fill="91ACEC" w:themeFill="accent1" w:themeFillTint="99"/>
          </w:tcPr>
          <w:p w14:paraId="37BB1E0E" w14:textId="77777777" w:rsidR="00AD09B3" w:rsidRPr="0058341D" w:rsidRDefault="00AD09B3" w:rsidP="00E06275">
            <w:pPr>
              <w:pStyle w:val="TableNText"/>
              <w:rPr>
                <w:rFonts w:asciiTheme="minorHAnsi" w:hAnsiTheme="minorHAnsi" w:cstheme="minorHAnsi"/>
                <w:b/>
                <w:sz w:val="18"/>
                <w:szCs w:val="18"/>
              </w:rPr>
            </w:pPr>
          </w:p>
        </w:tc>
      </w:tr>
      <w:tr w:rsidR="00AD09B3" w:rsidRPr="00993B73" w14:paraId="2AB72865" w14:textId="77777777" w:rsidTr="004452F5">
        <w:tc>
          <w:tcPr>
            <w:tcW w:w="2339" w:type="dxa"/>
            <w:shd w:val="clear" w:color="auto" w:fill="auto"/>
          </w:tcPr>
          <w:p w14:paraId="6F83FA50"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Vocational</w:t>
            </w:r>
          </w:p>
        </w:tc>
        <w:tc>
          <w:tcPr>
            <w:tcW w:w="6677" w:type="dxa"/>
            <w:shd w:val="clear" w:color="auto" w:fill="auto"/>
          </w:tcPr>
          <w:p w14:paraId="3526B890"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Vocational costs represent the payments for vocational rehabilitation services. This includes service costs provided as part of vocational rehabilitation, other than those treatments provided by registered medical practitioners.</w:t>
            </w:r>
          </w:p>
          <w:p w14:paraId="29833C90"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 list of services includes but is not limited to retraining, job placement, and workplace assessment.</w:t>
            </w:r>
          </w:p>
        </w:tc>
      </w:tr>
      <w:tr w:rsidR="00216310" w:rsidRPr="00993B73" w14:paraId="3AE6E4D5" w14:textId="77777777" w:rsidTr="00216310">
        <w:tc>
          <w:tcPr>
            <w:tcW w:w="2339" w:type="dxa"/>
            <w:shd w:val="clear" w:color="auto" w:fill="DAE3F8" w:themeFill="accent1" w:themeFillTint="33"/>
          </w:tcPr>
          <w:p w14:paraId="4F957A7D"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Non-Compensation Legal</w:t>
            </w:r>
          </w:p>
        </w:tc>
        <w:tc>
          <w:tcPr>
            <w:tcW w:w="6677" w:type="dxa"/>
            <w:shd w:val="clear" w:color="auto" w:fill="DAE3F8" w:themeFill="accent1" w:themeFillTint="33"/>
          </w:tcPr>
          <w:p w14:paraId="3488F869"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Non-compensation legal costs represent all legal costs incurred as a result of the claim that are not paid to, or on behalf of, the worker.</w:t>
            </w:r>
          </w:p>
          <w:p w14:paraId="05AE964F"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These costs include:</w:t>
            </w:r>
          </w:p>
          <w:p w14:paraId="15C91717"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investigation expenses and medical reports for the purposes of legal proceedings;</w:t>
            </w:r>
          </w:p>
          <w:p w14:paraId="5E877E48"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worker’s legal costs paid by insurer; and</w:t>
            </w:r>
          </w:p>
          <w:p w14:paraId="0F048173"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insurer’s/employer’s legal costs attributable to the claim.</w:t>
            </w:r>
          </w:p>
        </w:tc>
      </w:tr>
      <w:tr w:rsidR="00AD09B3" w:rsidRPr="00993B73" w14:paraId="0BC2F68F" w14:textId="77777777" w:rsidTr="004452F5">
        <w:tc>
          <w:tcPr>
            <w:tcW w:w="2339" w:type="dxa"/>
            <w:shd w:val="clear" w:color="auto" w:fill="auto"/>
          </w:tcPr>
          <w:p w14:paraId="46E580DE"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lastRenderedPageBreak/>
              <w:t>Non-Compensation Other</w:t>
            </w:r>
          </w:p>
        </w:tc>
        <w:tc>
          <w:tcPr>
            <w:tcW w:w="6677" w:type="dxa"/>
            <w:shd w:val="clear" w:color="auto" w:fill="auto"/>
          </w:tcPr>
          <w:p w14:paraId="6D8D950B"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Non-compensation other costs represent all other non-compensation costs incurred as a result of the claim that are not paid to or on behalf of the worker.</w:t>
            </w:r>
          </w:p>
          <w:p w14:paraId="6B9BC360" w14:textId="77777777" w:rsidR="00AD09B3" w:rsidRPr="0058341D" w:rsidRDefault="00AD09B3" w:rsidP="00E06275">
            <w:pPr>
              <w:pStyle w:val="TableNText"/>
              <w:rPr>
                <w:rFonts w:asciiTheme="minorHAnsi" w:hAnsiTheme="minorHAnsi" w:cstheme="minorHAnsi"/>
                <w:sz w:val="18"/>
                <w:szCs w:val="18"/>
              </w:rPr>
            </w:pPr>
            <w:r w:rsidRPr="0058341D">
              <w:rPr>
                <w:rFonts w:asciiTheme="minorHAnsi" w:hAnsiTheme="minorHAnsi" w:cstheme="minorHAnsi"/>
                <w:sz w:val="18"/>
                <w:szCs w:val="18"/>
              </w:rPr>
              <w:t>These costs include:</w:t>
            </w:r>
          </w:p>
          <w:p w14:paraId="51A327CB"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investigation expenses and medical reports for administration;</w:t>
            </w:r>
          </w:p>
          <w:p w14:paraId="7B3A8291"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all transport (other than ambulance) and accommodation expenses; and</w:t>
            </w:r>
          </w:p>
          <w:p w14:paraId="0EAFDD21" w14:textId="77777777" w:rsidR="00AD09B3" w:rsidRPr="0058341D" w:rsidRDefault="00AD09B3" w:rsidP="00AD09B3">
            <w:pPr>
              <w:pStyle w:val="TableNBullet"/>
              <w:spacing w:line="240" w:lineRule="auto"/>
              <w:rPr>
                <w:rFonts w:asciiTheme="minorHAnsi" w:hAnsiTheme="minorHAnsi" w:cstheme="minorHAnsi"/>
                <w:sz w:val="18"/>
                <w:szCs w:val="18"/>
              </w:rPr>
            </w:pPr>
            <w:r w:rsidRPr="0058341D">
              <w:rPr>
                <w:rFonts w:asciiTheme="minorHAnsi" w:hAnsiTheme="minorHAnsi" w:cstheme="minorHAnsi"/>
                <w:sz w:val="18"/>
                <w:szCs w:val="18"/>
              </w:rPr>
              <w:t>interpreter services.</w:t>
            </w:r>
          </w:p>
        </w:tc>
      </w:tr>
    </w:tbl>
    <w:p w14:paraId="10960C1D" w14:textId="77777777" w:rsidR="004303DC" w:rsidRDefault="004303DC" w:rsidP="007C516A">
      <w:pPr>
        <w:pStyle w:val="Paragraph"/>
        <w:rPr>
          <w:lang w:eastAsia="en-US"/>
        </w:rPr>
      </w:pPr>
    </w:p>
    <w:p w14:paraId="69D239B0" w14:textId="4982AE37" w:rsidR="0062730D" w:rsidRDefault="0062730D" w:rsidP="0062730D">
      <w:pPr>
        <w:pStyle w:val="SWAHeading2"/>
        <w:numPr>
          <w:ilvl w:val="0"/>
          <w:numId w:val="0"/>
        </w:numPr>
      </w:pPr>
      <w:bookmarkStart w:id="741" w:name="_Toc219216949"/>
      <w:r>
        <w:t>Health benefits inputs</w:t>
      </w:r>
      <w:bookmarkEnd w:id="741"/>
    </w:p>
    <w:p w14:paraId="1DF3A1AA" w14:textId="25939A3D" w:rsidR="00267E10" w:rsidRDefault="00267E10" w:rsidP="00F22546">
      <w:pPr>
        <w:contextualSpacing w:val="0"/>
        <w:rPr>
          <w:lang w:eastAsia="en-AU"/>
        </w:rPr>
      </w:pPr>
      <w:r w:rsidRPr="00267E10">
        <w:rPr>
          <w:lang w:eastAsia="en-AU"/>
        </w:rPr>
        <w:fldChar w:fldCharType="begin"/>
      </w:r>
      <w:r w:rsidRPr="00267E10">
        <w:rPr>
          <w:lang w:eastAsia="en-AU"/>
        </w:rPr>
        <w:instrText xml:space="preserve"> REF _Ref216794326 \h </w:instrText>
      </w:r>
      <w:r w:rsidRPr="001A1939">
        <w:rPr>
          <w:lang w:eastAsia="en-AU"/>
        </w:rPr>
        <w:instrText xml:space="preserve"> \* MERGEFORMAT </w:instrText>
      </w:r>
      <w:r w:rsidRPr="00267E10">
        <w:rPr>
          <w:lang w:eastAsia="en-AU"/>
        </w:rPr>
      </w:r>
      <w:r w:rsidRPr="00267E10">
        <w:rPr>
          <w:lang w:eastAsia="en-AU"/>
        </w:rPr>
        <w:fldChar w:fldCharType="separate"/>
      </w:r>
      <w:r w:rsidR="00A002F4" w:rsidRPr="00A002F4">
        <w:t xml:space="preserve">Table </w:t>
      </w:r>
      <w:r w:rsidR="00A002F4" w:rsidRPr="00A002F4">
        <w:rPr>
          <w:noProof/>
        </w:rPr>
        <w:t>79</w:t>
      </w:r>
      <w:r w:rsidRPr="00267E10">
        <w:rPr>
          <w:lang w:eastAsia="en-AU"/>
        </w:rPr>
        <w:fldChar w:fldCharType="end"/>
      </w:r>
      <w:r w:rsidRPr="00267E10">
        <w:rPr>
          <w:lang w:eastAsia="en-AU"/>
        </w:rPr>
        <w:t xml:space="preserve"> </w:t>
      </w:r>
      <w:r w:rsidR="0062730D" w:rsidRPr="00993B73">
        <w:rPr>
          <w:lang w:eastAsia="en-AU"/>
        </w:rPr>
        <w:t xml:space="preserve">presents the CAGR for the fatal and non-fatal burden of disease by chemical. This CAGR has been calculated based on the IHME GBD data, using the change in historical burden of disease by chemical between 2016 and 2021. </w:t>
      </w:r>
    </w:p>
    <w:p w14:paraId="16FE6849" w14:textId="28CDACDF" w:rsidR="00267E10" w:rsidRDefault="00267E10" w:rsidP="001A1939">
      <w:pPr>
        <w:contextualSpacing w:val="0"/>
      </w:pPr>
      <w:bookmarkStart w:id="742" w:name="_Ref216794326"/>
      <w:r w:rsidRPr="001A1939">
        <w:rPr>
          <w:b/>
          <w:bCs/>
        </w:rPr>
        <w:t xml:space="preserve">Table </w:t>
      </w:r>
      <w:r w:rsidRPr="001A1939">
        <w:rPr>
          <w:b/>
          <w:bCs/>
        </w:rPr>
        <w:fldChar w:fldCharType="begin"/>
      </w:r>
      <w:r w:rsidRPr="001A1939">
        <w:rPr>
          <w:b/>
          <w:bCs/>
        </w:rPr>
        <w:instrText xml:space="preserve"> SEQ Table \* ARABIC </w:instrText>
      </w:r>
      <w:r w:rsidRPr="001A1939">
        <w:rPr>
          <w:b/>
          <w:bCs/>
        </w:rPr>
        <w:fldChar w:fldCharType="separate"/>
      </w:r>
      <w:r w:rsidR="00A002F4">
        <w:rPr>
          <w:b/>
          <w:bCs/>
          <w:noProof/>
        </w:rPr>
        <w:t>79</w:t>
      </w:r>
      <w:r w:rsidRPr="001A1939">
        <w:rPr>
          <w:b/>
          <w:bCs/>
        </w:rPr>
        <w:fldChar w:fldCharType="end"/>
      </w:r>
      <w:bookmarkEnd w:id="742"/>
      <w:r w:rsidRPr="001A1939">
        <w:rPr>
          <w:b/>
          <w:bCs/>
        </w:rPr>
        <w:t xml:space="preserve"> - CAGR for the burden of occupational disease by chemical, (2016 to 2021)</w:t>
      </w:r>
      <w:r w:rsidRPr="00267E10">
        <w:rPr>
          <w:b/>
          <w:bCs/>
        </w:rPr>
        <w:t xml:space="preserve"> </w:t>
      </w:r>
      <w:sdt>
        <w:sdtPr>
          <w:rPr>
            <w:b/>
            <w:bCs/>
          </w:rPr>
          <w:id w:val="-739173641"/>
          <w:citation/>
        </w:sdtPr>
        <w:sdtEndPr/>
        <w:sdtContent>
          <w:r w:rsidRPr="004452F5">
            <w:rPr>
              <w:b/>
              <w:bCs/>
            </w:rPr>
            <w:fldChar w:fldCharType="begin"/>
          </w:r>
          <w:r w:rsidRPr="004452F5">
            <w:rPr>
              <w:b/>
              <w:bCs/>
            </w:rPr>
            <w:instrText xml:space="preserve"> CITATION Ins24 \l 3081 </w:instrText>
          </w:r>
          <w:r w:rsidRPr="004452F5">
            <w:rPr>
              <w:b/>
              <w:bCs/>
            </w:rPr>
            <w:fldChar w:fldCharType="separate"/>
          </w:r>
          <w:r w:rsidR="00490B21">
            <w:rPr>
              <w:noProof/>
            </w:rPr>
            <w:t>(Institute For Health Metrics and Evaluation, 2024)</w:t>
          </w:r>
          <w:r w:rsidRPr="004452F5">
            <w:rPr>
              <w:b/>
              <w:bCs/>
            </w:rPr>
            <w:fldChar w:fldCharType="end"/>
          </w:r>
        </w:sdtContent>
      </w:sdt>
    </w:p>
    <w:tbl>
      <w:tblPr>
        <w:tblStyle w:val="NOUS"/>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88"/>
        <w:gridCol w:w="1255"/>
        <w:gridCol w:w="1255"/>
        <w:gridCol w:w="1257"/>
        <w:gridCol w:w="1255"/>
        <w:gridCol w:w="1255"/>
        <w:gridCol w:w="1251"/>
      </w:tblGrid>
      <w:tr w:rsidR="0062730D" w:rsidRPr="0098199F" w14:paraId="14524E80" w14:textId="77777777" w:rsidTr="00F22546">
        <w:trPr>
          <w:cnfStyle w:val="100000000000" w:firstRow="1" w:lastRow="0" w:firstColumn="0" w:lastColumn="0" w:oddVBand="0" w:evenVBand="0" w:oddHBand="0" w:evenHBand="0" w:firstRowFirstColumn="0" w:firstRowLastColumn="0" w:lastRowFirstColumn="0" w:lastRowLastColumn="0"/>
          <w:trHeight w:val="271"/>
        </w:trPr>
        <w:tc>
          <w:tcPr>
            <w:tcW w:w="82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41200EEF" w14:textId="7EF34008" w:rsidR="0062730D" w:rsidRPr="0062730D" w:rsidRDefault="0062730D" w:rsidP="00E06275">
            <w:pPr>
              <w:pStyle w:val="TableNText"/>
              <w:rPr>
                <w:rFonts w:asciiTheme="majorHAnsi" w:hAnsiTheme="majorHAnsi" w:cstheme="majorHAnsi"/>
                <w:color w:val="FFFFFF" w:themeColor="background1"/>
              </w:rPr>
            </w:pPr>
            <w:r w:rsidRPr="0062730D">
              <w:rPr>
                <w:rFonts w:asciiTheme="majorHAnsi" w:hAnsiTheme="majorHAnsi" w:cstheme="majorHAnsi"/>
                <w:color w:val="FFFFFF" w:themeColor="background1"/>
              </w:rPr>
              <w:t>Chemical</w:t>
            </w:r>
          </w:p>
        </w:tc>
        <w:tc>
          <w:tcPr>
            <w:tcW w:w="208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5E9CB88" w14:textId="77777777" w:rsidR="0062730D" w:rsidRPr="0062730D" w:rsidRDefault="0062730D" w:rsidP="00E06275">
            <w:pPr>
              <w:pStyle w:val="TableNText"/>
              <w:jc w:val="center"/>
              <w:rPr>
                <w:rFonts w:asciiTheme="majorHAnsi" w:hAnsiTheme="majorHAnsi" w:cstheme="majorHAnsi"/>
                <w:color w:val="FFFFFF" w:themeColor="background1"/>
              </w:rPr>
            </w:pPr>
            <w:r w:rsidRPr="0062730D">
              <w:rPr>
                <w:rFonts w:asciiTheme="majorHAnsi" w:hAnsiTheme="majorHAnsi" w:cstheme="majorHAnsi"/>
                <w:color w:val="FFFFFF" w:themeColor="background1"/>
              </w:rPr>
              <w:t>Fatal burden of disease CAGR</w:t>
            </w:r>
          </w:p>
        </w:tc>
        <w:tc>
          <w:tcPr>
            <w:tcW w:w="208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7531D8AD" w14:textId="77777777" w:rsidR="0062730D" w:rsidRPr="0062730D" w:rsidRDefault="0062730D" w:rsidP="00E06275">
            <w:pPr>
              <w:pStyle w:val="TableNText"/>
              <w:jc w:val="center"/>
              <w:rPr>
                <w:rFonts w:asciiTheme="majorHAnsi" w:hAnsiTheme="majorHAnsi" w:cstheme="majorHAnsi"/>
                <w:color w:val="FFFFFF" w:themeColor="background1"/>
              </w:rPr>
            </w:pPr>
            <w:r w:rsidRPr="0062730D">
              <w:rPr>
                <w:rFonts w:asciiTheme="majorHAnsi" w:hAnsiTheme="majorHAnsi" w:cstheme="majorHAnsi"/>
                <w:color w:val="FFFFFF" w:themeColor="background1"/>
              </w:rPr>
              <w:t>Non-fatal burden of disease CAGR</w:t>
            </w:r>
          </w:p>
        </w:tc>
      </w:tr>
      <w:tr w:rsidR="0062730D" w:rsidRPr="0098199F" w14:paraId="019DF47B" w14:textId="77777777" w:rsidTr="00F22546">
        <w:tc>
          <w:tcPr>
            <w:tcW w:w="825" w:type="pct"/>
            <w:vMerge/>
            <w:tcBorders>
              <w:top w:val="single" w:sz="4" w:space="0" w:color="BFBFBF" w:themeColor="background1" w:themeShade="BF"/>
            </w:tcBorders>
            <w:shd w:val="clear" w:color="auto" w:fill="E7E6E6" w:themeFill="background2"/>
          </w:tcPr>
          <w:p w14:paraId="349A3C79" w14:textId="77777777" w:rsidR="0062730D" w:rsidRPr="0098199F" w:rsidRDefault="0062730D" w:rsidP="00E06275">
            <w:pPr>
              <w:pStyle w:val="TableNText"/>
            </w:pPr>
          </w:p>
        </w:tc>
        <w:tc>
          <w:tcPr>
            <w:tcW w:w="696" w:type="pct"/>
            <w:tcBorders>
              <w:top w:val="single" w:sz="4" w:space="0" w:color="BFBFBF" w:themeColor="background1" w:themeShade="BF"/>
            </w:tcBorders>
            <w:shd w:val="clear" w:color="auto" w:fill="91ACEC" w:themeFill="accent1" w:themeFillTint="99"/>
          </w:tcPr>
          <w:p w14:paraId="1C0EBBBC"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Low</w:t>
            </w:r>
          </w:p>
        </w:tc>
        <w:tc>
          <w:tcPr>
            <w:tcW w:w="696" w:type="pct"/>
            <w:tcBorders>
              <w:top w:val="single" w:sz="4" w:space="0" w:color="BFBFBF" w:themeColor="background1" w:themeShade="BF"/>
            </w:tcBorders>
            <w:shd w:val="clear" w:color="auto" w:fill="91ACEC" w:themeFill="accent1" w:themeFillTint="99"/>
          </w:tcPr>
          <w:p w14:paraId="7C44E399"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Mean</w:t>
            </w:r>
          </w:p>
        </w:tc>
        <w:tc>
          <w:tcPr>
            <w:tcW w:w="696" w:type="pct"/>
            <w:tcBorders>
              <w:top w:val="single" w:sz="4" w:space="0" w:color="BFBFBF" w:themeColor="background1" w:themeShade="BF"/>
            </w:tcBorders>
            <w:shd w:val="clear" w:color="auto" w:fill="91ACEC" w:themeFill="accent1" w:themeFillTint="99"/>
          </w:tcPr>
          <w:p w14:paraId="79DC6FA5"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High</w:t>
            </w:r>
          </w:p>
        </w:tc>
        <w:tc>
          <w:tcPr>
            <w:tcW w:w="696" w:type="pct"/>
            <w:tcBorders>
              <w:top w:val="single" w:sz="4" w:space="0" w:color="BFBFBF" w:themeColor="background1" w:themeShade="BF"/>
            </w:tcBorders>
            <w:shd w:val="clear" w:color="auto" w:fill="91ACEC" w:themeFill="accent1" w:themeFillTint="99"/>
          </w:tcPr>
          <w:p w14:paraId="18B411F1"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Low</w:t>
            </w:r>
          </w:p>
        </w:tc>
        <w:tc>
          <w:tcPr>
            <w:tcW w:w="696" w:type="pct"/>
            <w:tcBorders>
              <w:top w:val="single" w:sz="4" w:space="0" w:color="BFBFBF" w:themeColor="background1" w:themeShade="BF"/>
            </w:tcBorders>
            <w:shd w:val="clear" w:color="auto" w:fill="91ACEC" w:themeFill="accent1" w:themeFillTint="99"/>
          </w:tcPr>
          <w:p w14:paraId="4F210DE9"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Mean</w:t>
            </w:r>
          </w:p>
        </w:tc>
        <w:tc>
          <w:tcPr>
            <w:tcW w:w="694" w:type="pct"/>
            <w:tcBorders>
              <w:top w:val="single" w:sz="4" w:space="0" w:color="BFBFBF" w:themeColor="background1" w:themeShade="BF"/>
            </w:tcBorders>
            <w:shd w:val="clear" w:color="auto" w:fill="91ACEC" w:themeFill="accent1" w:themeFillTint="99"/>
          </w:tcPr>
          <w:p w14:paraId="421F88CC" w14:textId="77777777" w:rsidR="0062730D" w:rsidRPr="0062730D" w:rsidRDefault="0062730D" w:rsidP="00E06275">
            <w:pPr>
              <w:pStyle w:val="TableNText"/>
              <w:jc w:val="center"/>
              <w:rPr>
                <w:rFonts w:asciiTheme="majorHAnsi" w:hAnsiTheme="majorHAnsi" w:cstheme="majorHAnsi"/>
                <w:b/>
              </w:rPr>
            </w:pPr>
            <w:r w:rsidRPr="0062730D">
              <w:rPr>
                <w:rFonts w:asciiTheme="majorHAnsi" w:hAnsiTheme="majorHAnsi" w:cstheme="majorHAnsi"/>
                <w:b/>
              </w:rPr>
              <w:t>High</w:t>
            </w:r>
          </w:p>
        </w:tc>
      </w:tr>
      <w:tr w:rsidR="0062730D" w:rsidRPr="0098199F" w14:paraId="3095A3E2" w14:textId="77777777" w:rsidTr="0062730D">
        <w:tc>
          <w:tcPr>
            <w:tcW w:w="825" w:type="pct"/>
            <w:shd w:val="clear" w:color="auto" w:fill="FFFFFF" w:themeFill="background1"/>
          </w:tcPr>
          <w:p w14:paraId="173F14BA" w14:textId="1DCA19CF" w:rsidR="0062730D" w:rsidRPr="00DA28CB" w:rsidRDefault="0062730D" w:rsidP="00E06275">
            <w:pPr>
              <w:pStyle w:val="TableNText"/>
              <w:rPr>
                <w:rFonts w:asciiTheme="majorHAnsi" w:hAnsiTheme="majorHAnsi" w:cstheme="majorHAnsi"/>
                <w:b/>
                <w:bCs/>
              </w:rPr>
            </w:pPr>
            <w:r w:rsidRPr="00DA28CB">
              <w:rPr>
                <w:rFonts w:asciiTheme="majorHAnsi" w:hAnsiTheme="majorHAnsi" w:cstheme="majorHAnsi"/>
                <w:b/>
                <w:bCs/>
              </w:rPr>
              <w:t>Benzene</w:t>
            </w:r>
          </w:p>
        </w:tc>
        <w:tc>
          <w:tcPr>
            <w:tcW w:w="696" w:type="pct"/>
            <w:shd w:val="clear" w:color="auto" w:fill="FFFFFF" w:themeFill="background1"/>
          </w:tcPr>
          <w:p w14:paraId="6A0ADDA3"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2.1%</w:t>
            </w:r>
          </w:p>
        </w:tc>
        <w:tc>
          <w:tcPr>
            <w:tcW w:w="696" w:type="pct"/>
            <w:shd w:val="clear" w:color="auto" w:fill="FFFFFF" w:themeFill="background1"/>
          </w:tcPr>
          <w:p w14:paraId="3DE5ADA7"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0.9%</w:t>
            </w:r>
          </w:p>
        </w:tc>
        <w:tc>
          <w:tcPr>
            <w:tcW w:w="696" w:type="pct"/>
            <w:shd w:val="clear" w:color="auto" w:fill="FFFFFF" w:themeFill="background1"/>
          </w:tcPr>
          <w:p w14:paraId="2F43A7AD"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0.6%</w:t>
            </w:r>
          </w:p>
        </w:tc>
        <w:tc>
          <w:tcPr>
            <w:tcW w:w="696" w:type="pct"/>
            <w:shd w:val="clear" w:color="auto" w:fill="FFFFFF" w:themeFill="background1"/>
          </w:tcPr>
          <w:p w14:paraId="518460AD"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1.1%</w:t>
            </w:r>
          </w:p>
        </w:tc>
        <w:tc>
          <w:tcPr>
            <w:tcW w:w="696" w:type="pct"/>
            <w:shd w:val="clear" w:color="auto" w:fill="FFFFFF" w:themeFill="background1"/>
          </w:tcPr>
          <w:p w14:paraId="5E7DBBF7"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0.2%</w:t>
            </w:r>
          </w:p>
        </w:tc>
        <w:tc>
          <w:tcPr>
            <w:tcW w:w="694" w:type="pct"/>
            <w:shd w:val="clear" w:color="auto" w:fill="FFFFFF" w:themeFill="background1"/>
          </w:tcPr>
          <w:p w14:paraId="18A0DAE2"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0.7%</w:t>
            </w:r>
          </w:p>
        </w:tc>
      </w:tr>
      <w:tr w:rsidR="0062730D" w:rsidRPr="0098199F" w14:paraId="405B6601" w14:textId="77777777" w:rsidTr="0062730D">
        <w:tc>
          <w:tcPr>
            <w:tcW w:w="825" w:type="pct"/>
            <w:shd w:val="clear" w:color="auto" w:fill="DAE3F8" w:themeFill="accent1" w:themeFillTint="33"/>
          </w:tcPr>
          <w:p w14:paraId="2493F6A0" w14:textId="695F1E2B" w:rsidR="0062730D" w:rsidRPr="00DA28CB" w:rsidRDefault="0062730D" w:rsidP="00E06275">
            <w:pPr>
              <w:pStyle w:val="TableNText"/>
              <w:rPr>
                <w:rFonts w:asciiTheme="majorHAnsi" w:hAnsiTheme="majorHAnsi" w:cstheme="majorHAnsi"/>
                <w:b/>
                <w:bCs/>
              </w:rPr>
            </w:pPr>
            <w:r w:rsidRPr="00DA28CB">
              <w:rPr>
                <w:rFonts w:asciiTheme="majorHAnsi" w:hAnsiTheme="majorHAnsi" w:cstheme="majorHAnsi"/>
                <w:b/>
                <w:bCs/>
              </w:rPr>
              <w:t>Formaldehyde</w:t>
            </w:r>
          </w:p>
        </w:tc>
        <w:tc>
          <w:tcPr>
            <w:tcW w:w="696" w:type="pct"/>
            <w:shd w:val="clear" w:color="auto" w:fill="DAE3F8" w:themeFill="accent1" w:themeFillTint="33"/>
          </w:tcPr>
          <w:p w14:paraId="5B69212E"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0.4%</w:t>
            </w:r>
          </w:p>
        </w:tc>
        <w:tc>
          <w:tcPr>
            <w:tcW w:w="696" w:type="pct"/>
            <w:shd w:val="clear" w:color="auto" w:fill="DAE3F8" w:themeFill="accent1" w:themeFillTint="33"/>
          </w:tcPr>
          <w:p w14:paraId="6B2ABF5E"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0.7%</w:t>
            </w:r>
          </w:p>
        </w:tc>
        <w:tc>
          <w:tcPr>
            <w:tcW w:w="696" w:type="pct"/>
            <w:shd w:val="clear" w:color="auto" w:fill="DAE3F8" w:themeFill="accent1" w:themeFillTint="33"/>
          </w:tcPr>
          <w:p w14:paraId="61FC7B4C"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0.9%</w:t>
            </w:r>
          </w:p>
        </w:tc>
        <w:tc>
          <w:tcPr>
            <w:tcW w:w="696" w:type="pct"/>
            <w:shd w:val="clear" w:color="auto" w:fill="DAE3F8" w:themeFill="accent1" w:themeFillTint="33"/>
          </w:tcPr>
          <w:p w14:paraId="2E130015"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0.0%</w:t>
            </w:r>
          </w:p>
        </w:tc>
        <w:tc>
          <w:tcPr>
            <w:tcW w:w="696" w:type="pct"/>
            <w:shd w:val="clear" w:color="auto" w:fill="DAE3F8" w:themeFill="accent1" w:themeFillTint="33"/>
          </w:tcPr>
          <w:p w14:paraId="29F6E791"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0.0%</w:t>
            </w:r>
          </w:p>
        </w:tc>
        <w:tc>
          <w:tcPr>
            <w:tcW w:w="694" w:type="pct"/>
            <w:shd w:val="clear" w:color="auto" w:fill="DAE3F8" w:themeFill="accent1" w:themeFillTint="33"/>
          </w:tcPr>
          <w:p w14:paraId="001E7986"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0.8%</w:t>
            </w:r>
          </w:p>
        </w:tc>
      </w:tr>
      <w:tr w:rsidR="0062730D" w:rsidRPr="0098199F" w14:paraId="0AAAA9CF" w14:textId="77777777" w:rsidTr="0062730D">
        <w:tc>
          <w:tcPr>
            <w:tcW w:w="825" w:type="pct"/>
            <w:shd w:val="clear" w:color="auto" w:fill="FFFFFF" w:themeFill="background1"/>
          </w:tcPr>
          <w:p w14:paraId="33660844" w14:textId="2D3859FB" w:rsidR="0062730D" w:rsidRPr="00DA28CB" w:rsidRDefault="0062730D" w:rsidP="00E06275">
            <w:pPr>
              <w:pStyle w:val="TableNText"/>
              <w:rPr>
                <w:rFonts w:asciiTheme="majorHAnsi" w:hAnsiTheme="majorHAnsi" w:cstheme="majorHAnsi"/>
                <w:b/>
                <w:bCs/>
              </w:rPr>
            </w:pPr>
            <w:r w:rsidRPr="00DA28CB">
              <w:rPr>
                <w:rFonts w:asciiTheme="majorHAnsi" w:hAnsiTheme="majorHAnsi" w:cstheme="majorHAnsi"/>
                <w:b/>
                <w:bCs/>
              </w:rPr>
              <w:t>RCS</w:t>
            </w:r>
          </w:p>
        </w:tc>
        <w:tc>
          <w:tcPr>
            <w:tcW w:w="696" w:type="pct"/>
            <w:shd w:val="clear" w:color="auto" w:fill="FFFFFF" w:themeFill="background1"/>
          </w:tcPr>
          <w:p w14:paraId="6C57D757"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1.8%</w:t>
            </w:r>
          </w:p>
        </w:tc>
        <w:tc>
          <w:tcPr>
            <w:tcW w:w="696" w:type="pct"/>
            <w:shd w:val="clear" w:color="auto" w:fill="FFFFFF" w:themeFill="background1"/>
          </w:tcPr>
          <w:p w14:paraId="00ED1F1E"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1.7%</w:t>
            </w:r>
          </w:p>
        </w:tc>
        <w:tc>
          <w:tcPr>
            <w:tcW w:w="696" w:type="pct"/>
            <w:shd w:val="clear" w:color="auto" w:fill="FFFFFF" w:themeFill="background1"/>
          </w:tcPr>
          <w:p w14:paraId="23CF74C7"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1.7%</w:t>
            </w:r>
          </w:p>
        </w:tc>
        <w:tc>
          <w:tcPr>
            <w:tcW w:w="696" w:type="pct"/>
            <w:shd w:val="clear" w:color="auto" w:fill="FFFFFF" w:themeFill="background1"/>
          </w:tcPr>
          <w:p w14:paraId="68BFB695"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-1.9%</w:t>
            </w:r>
          </w:p>
        </w:tc>
        <w:tc>
          <w:tcPr>
            <w:tcW w:w="696" w:type="pct"/>
            <w:shd w:val="clear" w:color="auto" w:fill="FFFFFF" w:themeFill="background1"/>
          </w:tcPr>
          <w:p w14:paraId="1DCC51A1"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1.1%</w:t>
            </w:r>
          </w:p>
        </w:tc>
        <w:tc>
          <w:tcPr>
            <w:tcW w:w="694" w:type="pct"/>
            <w:shd w:val="clear" w:color="auto" w:fill="FFFFFF" w:themeFill="background1"/>
          </w:tcPr>
          <w:p w14:paraId="4264410A" w14:textId="77777777" w:rsidR="0062730D" w:rsidRPr="0062730D" w:rsidRDefault="0062730D" w:rsidP="00E06275">
            <w:pPr>
              <w:pStyle w:val="TableNText"/>
              <w:jc w:val="center"/>
              <w:rPr>
                <w:rFonts w:asciiTheme="minorHAnsi" w:hAnsiTheme="minorHAnsi" w:cstheme="minorHAnsi"/>
              </w:rPr>
            </w:pPr>
            <w:r w:rsidRPr="0062730D">
              <w:rPr>
                <w:rFonts w:asciiTheme="minorHAnsi" w:hAnsiTheme="minorHAnsi" w:cstheme="minorHAnsi"/>
              </w:rPr>
              <w:t>1.7%</w:t>
            </w:r>
          </w:p>
        </w:tc>
      </w:tr>
    </w:tbl>
    <w:p w14:paraId="727EF47D" w14:textId="77777777" w:rsidR="00446582" w:rsidRPr="00993B73" w:rsidRDefault="00446582" w:rsidP="009748AE">
      <w:pPr>
        <w:pStyle w:val="SWAHeading2"/>
        <w:keepNext/>
        <w:numPr>
          <w:ilvl w:val="0"/>
          <w:numId w:val="0"/>
        </w:numPr>
      </w:pPr>
      <w:bookmarkStart w:id="743" w:name="_Ref178252905"/>
      <w:bookmarkStart w:id="744" w:name="_Toc191647972"/>
      <w:bookmarkStart w:id="745" w:name="_Toc193867332"/>
      <w:bookmarkStart w:id="746" w:name="_Toc194003968"/>
      <w:bookmarkStart w:id="747" w:name="_Toc199184059"/>
      <w:bookmarkStart w:id="748" w:name="_Toc199361205"/>
      <w:bookmarkStart w:id="749" w:name="_Toc219216950"/>
      <w:r w:rsidRPr="00993B73">
        <w:t>Indirect benefits inputs</w:t>
      </w:r>
      <w:bookmarkEnd w:id="743"/>
      <w:bookmarkEnd w:id="744"/>
      <w:bookmarkEnd w:id="745"/>
      <w:bookmarkEnd w:id="746"/>
      <w:bookmarkEnd w:id="747"/>
      <w:bookmarkEnd w:id="748"/>
      <w:bookmarkEnd w:id="749"/>
      <w:r w:rsidRPr="00993B73">
        <w:t xml:space="preserve"> </w:t>
      </w:r>
    </w:p>
    <w:p w14:paraId="0B764790" w14:textId="50BCA44F" w:rsidR="00446582" w:rsidRPr="00993B73" w:rsidRDefault="002256CB" w:rsidP="009748AE">
      <w:pPr>
        <w:keepNext/>
        <w:contextualSpacing w:val="0"/>
        <w:rPr>
          <w:lang w:eastAsia="en-AU"/>
        </w:rPr>
      </w:pPr>
      <w:r>
        <w:fldChar w:fldCharType="begin"/>
      </w:r>
      <w:r>
        <w:instrText xml:space="preserve"> REF _Ref216794371 \h </w:instrText>
      </w:r>
      <w:r>
        <w:fldChar w:fldCharType="separate"/>
      </w:r>
      <w:r w:rsidR="00A002F4">
        <w:t xml:space="preserve">Table </w:t>
      </w:r>
      <w:r w:rsidR="00A002F4">
        <w:rPr>
          <w:noProof/>
        </w:rPr>
        <w:t>80</w:t>
      </w:r>
      <w:r>
        <w:fldChar w:fldCharType="end"/>
      </w:r>
      <w:r>
        <w:t xml:space="preserve"> </w:t>
      </w:r>
      <w:r w:rsidR="00446582" w:rsidRPr="00993B73">
        <w:rPr>
          <w:lang w:eastAsia="en-AU"/>
        </w:rPr>
        <w:t xml:space="preserve">presents the estimated weighted-average weekly earnings (WAWE) per worker exposed to each chemical. These figures have been calculated based on the following inputs: </w:t>
      </w:r>
    </w:p>
    <w:p w14:paraId="53A4255F" w14:textId="77777777" w:rsidR="00446582" w:rsidRPr="00993B73" w:rsidRDefault="002A11AD" w:rsidP="00446582">
      <w:pPr>
        <w:rPr>
          <w:rFonts w:eastAsiaTheme="minorEastAsia"/>
          <w:lang w:eastAsia="en-AU"/>
        </w:rPr>
      </w:pPr>
      <m:oMath>
        <m:sSub>
          <m:sSubPr>
            <m:ctrlPr>
              <w:rPr>
                <w:rFonts w:ascii="Cambria Math" w:hAnsi="Cambria Math"/>
                <w:i/>
                <w:lang w:eastAsia="en-AU"/>
              </w:rPr>
            </m:ctrlPr>
          </m:sSubPr>
          <m:e>
            <m:r>
              <w:rPr>
                <w:rFonts w:ascii="Cambria Math" w:hAnsi="Cambria Math"/>
                <w:lang w:eastAsia="en-AU"/>
              </w:rPr>
              <m:t>WAWE</m:t>
            </m:r>
          </m:e>
          <m:sub>
            <m:r>
              <w:rPr>
                <w:rFonts w:ascii="Cambria Math" w:hAnsi="Cambria Math"/>
                <w:lang w:eastAsia="en-AU"/>
              </w:rPr>
              <m:t>C</m:t>
            </m:r>
          </m:sub>
        </m:sSub>
        <m:r>
          <w:rPr>
            <w:rFonts w:ascii="Cambria Math" w:hAnsi="Cambria Math"/>
            <w:lang w:eastAsia="en-AU"/>
          </w:rPr>
          <m:t>=</m:t>
        </m:r>
        <m:nary>
          <m:naryPr>
            <m:chr m:val="∑"/>
            <m:limLoc m:val="undOvr"/>
            <m:subHide m:val="1"/>
            <m:supHide m:val="1"/>
            <m:ctrlPr>
              <w:rPr>
                <w:rFonts w:ascii="Cambria Math" w:hAnsi="Cambria Math"/>
                <w:i/>
                <w:lang w:eastAsia="en-AU"/>
              </w:rPr>
            </m:ctrlPr>
          </m:naryPr>
          <m:sub/>
          <m:sup/>
          <m:e>
            <m:d>
              <m:dPr>
                <m:begChr m:val="["/>
                <m:endChr m:val="]"/>
                <m:ctrlPr>
                  <w:rPr>
                    <w:rFonts w:ascii="Cambria Math" w:hAnsi="Cambria Math"/>
                    <w:i/>
                    <w:lang w:eastAsia="en-AU"/>
                  </w:rPr>
                </m:ctrlPr>
              </m:dPr>
              <m:e>
                <m:sSub>
                  <m:sSubPr>
                    <m:ctrlPr>
                      <w:rPr>
                        <w:rFonts w:ascii="Cambria Math" w:hAnsi="Cambria Math"/>
                        <w:i/>
                        <w:lang w:eastAsia="en-AU"/>
                      </w:rPr>
                    </m:ctrlPr>
                  </m:sSubPr>
                  <m:e>
                    <m:r>
                      <w:rPr>
                        <w:rFonts w:ascii="Cambria Math" w:hAnsi="Cambria Math"/>
                        <w:lang w:eastAsia="en-AU"/>
                      </w:rPr>
                      <m:t>AWE</m:t>
                    </m:r>
                  </m:e>
                  <m:sub>
                    <m:r>
                      <w:rPr>
                        <w:rFonts w:ascii="Cambria Math" w:hAnsi="Cambria Math"/>
                        <w:lang w:eastAsia="en-AU"/>
                      </w:rPr>
                      <m:t>I</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SAB</m:t>
                    </m:r>
                  </m:e>
                  <m:sub>
                    <m:r>
                      <w:rPr>
                        <w:rFonts w:ascii="Cambria Math" w:hAnsi="Cambria Math"/>
                        <w:lang w:eastAsia="en-AU"/>
                      </w:rPr>
                      <m:t>I</m:t>
                    </m:r>
                  </m:sub>
                </m:sSub>
              </m:e>
            </m:d>
          </m:e>
        </m:nary>
      </m:oMath>
      <w:r w:rsidR="00446582" w:rsidRPr="00993B73">
        <w:rPr>
          <w:rFonts w:eastAsiaTheme="minorEastAsia"/>
          <w:lang w:eastAsia="en-AU"/>
        </w:rPr>
        <w:t>, where:</w:t>
      </w:r>
    </w:p>
    <w:p w14:paraId="5B3A80FB" w14:textId="147D5E17" w:rsidR="00446582" w:rsidRPr="00993B73" w:rsidRDefault="00446582" w:rsidP="00A2768E">
      <w:pPr>
        <w:pStyle w:val="ListParagraph"/>
        <w:numPr>
          <w:ilvl w:val="0"/>
          <w:numId w:val="158"/>
        </w:numPr>
        <w:suppressAutoHyphens/>
        <w:spacing w:line="259" w:lineRule="auto"/>
        <w:contextualSpacing w:val="0"/>
      </w:pPr>
      <w:r w:rsidRPr="00993B73">
        <w:t>AWE represents the average weekly earnings</w:t>
      </w:r>
      <w:r w:rsidR="00FB56BC">
        <w:t xml:space="preserve"> </w:t>
      </w:r>
      <w:sdt>
        <w:sdtPr>
          <w:id w:val="1039245428"/>
          <w:citation/>
        </w:sdtPr>
        <w:sdtEndPr/>
        <w:sdtContent>
          <w:r w:rsidR="00FB56BC">
            <w:fldChar w:fldCharType="begin"/>
          </w:r>
          <w:r w:rsidR="00FB56BC">
            <w:instrText xml:space="preserve"> CITATION ABSAWE246 \l 3081 </w:instrText>
          </w:r>
          <w:r w:rsidR="00FB56BC">
            <w:fldChar w:fldCharType="separate"/>
          </w:r>
          <w:r w:rsidR="00490B21">
            <w:rPr>
              <w:noProof/>
            </w:rPr>
            <w:t>(Australian Bureau of Statistics, 2024)</w:t>
          </w:r>
          <w:r w:rsidR="00FB56BC">
            <w:fldChar w:fldCharType="end"/>
          </w:r>
        </w:sdtContent>
      </w:sdt>
    </w:p>
    <w:p w14:paraId="6E73045B" w14:textId="01C23A11" w:rsidR="00446582" w:rsidRPr="00993B73" w:rsidRDefault="00446582" w:rsidP="00A2768E">
      <w:pPr>
        <w:pStyle w:val="ListParagraph"/>
        <w:numPr>
          <w:ilvl w:val="0"/>
          <w:numId w:val="158"/>
        </w:numPr>
        <w:suppressAutoHyphens/>
        <w:spacing w:line="259" w:lineRule="auto"/>
        <w:contextualSpacing w:val="0"/>
      </w:pPr>
      <w:r w:rsidRPr="00993B73">
        <w:t>SAB represents the proportion of affected businesses by industry</w:t>
      </w:r>
      <w:r w:rsidR="00974B3B">
        <w:t xml:space="preserve"> </w:t>
      </w:r>
      <w:sdt>
        <w:sdtPr>
          <w:id w:val="511651782"/>
          <w:citation/>
        </w:sdtPr>
        <w:sdtEndPr/>
        <w:sdtContent>
          <w:r w:rsidR="00974B3B">
            <w:fldChar w:fldCharType="begin"/>
          </w:r>
          <w:r w:rsidR="00974B3B">
            <w:instrText xml:space="preserve"> CITATION Aus246 \l 3081 </w:instrText>
          </w:r>
          <w:r w:rsidR="00974B3B">
            <w:fldChar w:fldCharType="separate"/>
          </w:r>
          <w:r w:rsidR="00490B21">
            <w:rPr>
              <w:noProof/>
            </w:rPr>
            <w:t>(Australian Bureau of Statistics, 2024)</w:t>
          </w:r>
          <w:r w:rsidR="00974B3B">
            <w:fldChar w:fldCharType="end"/>
          </w:r>
        </w:sdtContent>
      </w:sdt>
    </w:p>
    <w:p w14:paraId="4D7B1BD5" w14:textId="77777777" w:rsidR="00446582" w:rsidRPr="00993B73" w:rsidRDefault="00446582" w:rsidP="00A2768E">
      <w:pPr>
        <w:pStyle w:val="ListParagraph"/>
        <w:numPr>
          <w:ilvl w:val="0"/>
          <w:numId w:val="158"/>
        </w:numPr>
        <w:suppressAutoHyphens/>
        <w:spacing w:line="259" w:lineRule="auto"/>
        <w:contextualSpacing w:val="0"/>
      </w:pPr>
      <w:r w:rsidRPr="00993B73">
        <w:t>I represents the industry (ANZSIC Group).</w:t>
      </w:r>
    </w:p>
    <w:p w14:paraId="06E78F20" w14:textId="4567BEA4" w:rsidR="00446582" w:rsidRPr="00993B73" w:rsidRDefault="00446582" w:rsidP="00446582">
      <w:pPr>
        <w:rPr>
          <w:lang w:eastAsia="en-AU"/>
        </w:rPr>
      </w:pPr>
      <w:r w:rsidRPr="00993B73">
        <w:rPr>
          <w:lang w:eastAsia="en-AU"/>
        </w:rPr>
        <w:t xml:space="preserve">The last row of </w:t>
      </w:r>
      <w:r w:rsidR="002256CB">
        <w:rPr>
          <w:lang w:eastAsia="en-AU"/>
        </w:rPr>
        <w:fldChar w:fldCharType="begin"/>
      </w:r>
      <w:r w:rsidR="002256CB">
        <w:rPr>
          <w:lang w:eastAsia="en-AU"/>
        </w:rPr>
        <w:instrText xml:space="preserve"> REF _Ref216794371 \h </w:instrText>
      </w:r>
      <w:r w:rsidR="002256CB">
        <w:rPr>
          <w:lang w:eastAsia="en-AU"/>
        </w:rPr>
      </w:r>
      <w:r w:rsidR="002256CB">
        <w:rPr>
          <w:lang w:eastAsia="en-AU"/>
        </w:rPr>
        <w:fldChar w:fldCharType="separate"/>
      </w:r>
      <w:r w:rsidR="00A002F4">
        <w:t xml:space="preserve">Table </w:t>
      </w:r>
      <w:r w:rsidR="00A002F4">
        <w:rPr>
          <w:noProof/>
        </w:rPr>
        <w:t>80</w:t>
      </w:r>
      <w:r w:rsidR="002256CB">
        <w:rPr>
          <w:lang w:eastAsia="en-AU"/>
        </w:rPr>
        <w:fldChar w:fldCharType="end"/>
      </w:r>
      <w:r w:rsidR="002256CB">
        <w:rPr>
          <w:lang w:eastAsia="en-AU"/>
        </w:rPr>
        <w:t xml:space="preserve"> </w:t>
      </w:r>
      <w:r w:rsidRPr="00993B73">
        <w:rPr>
          <w:lang w:eastAsia="en-AU"/>
        </w:rPr>
        <w:t xml:space="preserve">represents the WAWE per affected worker for each chemical. </w:t>
      </w:r>
    </w:p>
    <w:p w14:paraId="7C6A82CE" w14:textId="59AC83B7" w:rsidR="00446582" w:rsidRDefault="00446582" w:rsidP="00446582">
      <w:r w:rsidRPr="00993B73">
        <w:rPr>
          <w:lang w:eastAsia="en-AU"/>
        </w:rPr>
        <w:t>The chemicals with the highest WAWE per exposed worker are h</w:t>
      </w:r>
      <w:r w:rsidRPr="00993B73">
        <w:t>ydrogen sul</w:t>
      </w:r>
      <w:r w:rsidR="009E2194">
        <w:t>f</w:t>
      </w:r>
      <w:r w:rsidRPr="00993B73">
        <w:t>ide ($2,</w:t>
      </w:r>
      <w:r>
        <w:t>710</w:t>
      </w:r>
      <w:r w:rsidRPr="00993B73">
        <w:t>) and hydrogen cyanide ($2,</w:t>
      </w:r>
      <w:r w:rsidRPr="0098199F">
        <w:t>564</w:t>
      </w:r>
      <w:r w:rsidRPr="00993B73">
        <w:t>). This reflects that hydrogen sul</w:t>
      </w:r>
      <w:r w:rsidR="00312B4B">
        <w:t>f</w:t>
      </w:r>
      <w:r w:rsidRPr="00993B73">
        <w:t>ide and hydrogen cyanide have relatively high proportions of workers in the mining industry (</w:t>
      </w:r>
      <w:r w:rsidRPr="0098199F">
        <w:t>6</w:t>
      </w:r>
      <w:r>
        <w:t>8</w:t>
      </w:r>
      <w:r w:rsidR="009E2194">
        <w:t>%</w:t>
      </w:r>
      <w:r w:rsidRPr="00993B73">
        <w:t xml:space="preserve">and </w:t>
      </w:r>
      <w:r w:rsidRPr="0098199F">
        <w:t>57</w:t>
      </w:r>
      <w:r w:rsidR="009E2194">
        <w:t>%</w:t>
      </w:r>
      <w:r w:rsidRPr="00993B73">
        <w:t>, respectively), which has the highest average weekly earnings (AWE) of all industry ($3,091).</w:t>
      </w:r>
    </w:p>
    <w:p w14:paraId="7DB1EBC4" w14:textId="77777777" w:rsidR="000F3FC5" w:rsidRDefault="000F3FC5" w:rsidP="000F3FC5">
      <w:pPr>
        <w:pageBreakBefore/>
        <w:sectPr w:rsidR="000F3FC5" w:rsidSect="00CA53E8">
          <w:headerReference w:type="even" r:id="rId68"/>
          <w:headerReference w:type="default" r:id="rId69"/>
          <w:footerReference w:type="even" r:id="rId70"/>
          <w:headerReference w:type="first" r:id="rId71"/>
          <w:footerReference w:type="first" r:id="rId72"/>
          <w:type w:val="continuous"/>
          <w:pgSz w:w="11906" w:h="16838" w:code="9"/>
          <w:pgMar w:top="1440" w:right="1440" w:bottom="1440" w:left="1440" w:header="709" w:footer="709" w:gutter="0"/>
          <w:cols w:space="708"/>
          <w:titlePg/>
          <w:docGrid w:linePitch="360"/>
        </w:sectPr>
      </w:pPr>
    </w:p>
    <w:p w14:paraId="2690194E" w14:textId="6B9B6B7D" w:rsidR="002256CB" w:rsidRDefault="002256CB" w:rsidP="00144BE5">
      <w:pPr>
        <w:pStyle w:val="Caption"/>
      </w:pPr>
      <w:bookmarkStart w:id="750" w:name="_Ref216794371"/>
      <w:r>
        <w:lastRenderedPageBreak/>
        <w:t xml:space="preserve">Table </w:t>
      </w:r>
      <w:fldSimple w:instr=" SEQ Table \* ARABIC ">
        <w:r w:rsidR="00A002F4">
          <w:rPr>
            <w:noProof/>
          </w:rPr>
          <w:t>80</w:t>
        </w:r>
      </w:fldSimple>
      <w:bookmarkEnd w:id="750"/>
      <w:r>
        <w:t xml:space="preserve"> - </w:t>
      </w:r>
      <w:r w:rsidRPr="00507C5D">
        <w:t>Weighted-average weekly earnings per affected worker for the nine chemicals considered in this Decision RIS</w:t>
      </w:r>
    </w:p>
    <w:tbl>
      <w:tblPr>
        <w:tblStyle w:val="NOUS"/>
        <w:tblW w:w="140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45"/>
        <w:gridCol w:w="1241"/>
        <w:gridCol w:w="1242"/>
        <w:gridCol w:w="1242"/>
        <w:gridCol w:w="1242"/>
        <w:gridCol w:w="1242"/>
        <w:gridCol w:w="1242"/>
        <w:gridCol w:w="1242"/>
        <w:gridCol w:w="1242"/>
        <w:gridCol w:w="1242"/>
        <w:gridCol w:w="1242"/>
      </w:tblGrid>
      <w:tr w:rsidR="005258FA" w:rsidRPr="00993B73" w14:paraId="56FB9C35" w14:textId="77777777" w:rsidTr="002F3D55">
        <w:trPr>
          <w:cnfStyle w:val="100000000000" w:firstRow="1" w:lastRow="0" w:firstColumn="0" w:lastColumn="0" w:oddVBand="0" w:evenVBand="0" w:oddHBand="0" w:evenHBand="0" w:firstRowFirstColumn="0" w:firstRowLastColumn="0" w:lastRowFirstColumn="0" w:lastRowLastColumn="0"/>
          <w:tblHeader/>
        </w:trPr>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3293119E"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Industry</w:t>
            </w:r>
          </w:p>
        </w:tc>
        <w:tc>
          <w:tcPr>
            <w:tcW w:w="12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4F17B9DB"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AWE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5C41F022"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Benzene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68A61F91"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Chlorine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4815E800"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Copper</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0B72182D"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Formal-dehyde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33163776"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Hydrogen cyanide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765A7DC9" w14:textId="361C6669"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Hydrogen sul</w:t>
            </w:r>
            <w:r w:rsidR="00C67363">
              <w:rPr>
                <w:rFonts w:asciiTheme="majorHAnsi" w:eastAsia="Times New Roman" w:hAnsiTheme="majorHAnsi" w:cstheme="majorHAnsi"/>
                <w:bCs/>
                <w:color w:val="FFFFFF" w:themeColor="background1"/>
                <w:szCs w:val="18"/>
                <w:lang w:eastAsia="en-AU"/>
              </w:rPr>
              <w:t>f</w:t>
            </w:r>
            <w:r w:rsidRPr="008E1B6D">
              <w:rPr>
                <w:rFonts w:asciiTheme="majorHAnsi" w:eastAsia="Times New Roman" w:hAnsiTheme="majorHAnsi" w:cstheme="majorHAnsi"/>
                <w:bCs/>
                <w:color w:val="FFFFFF" w:themeColor="background1"/>
                <w:szCs w:val="18"/>
                <w:lang w:eastAsia="en-AU"/>
              </w:rPr>
              <w:t>ide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089872A5"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Nitrogen dioxide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5B72E9B3"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RCS</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627C55FC" w14:textId="77777777" w:rsidR="000F3FC5" w:rsidRPr="008E1B6D" w:rsidRDefault="000F3FC5" w:rsidP="00E06275">
            <w:pPr>
              <w:spacing w:after="0"/>
              <w:rPr>
                <w:rFonts w:asciiTheme="majorHAnsi" w:hAnsiTheme="majorHAnsi" w:cstheme="majorHAnsi"/>
                <w:color w:val="FFFFFF" w:themeColor="background1"/>
                <w:lang w:eastAsia="en-AU"/>
              </w:rPr>
            </w:pPr>
            <w:r w:rsidRPr="008E1B6D">
              <w:rPr>
                <w:rFonts w:asciiTheme="majorHAnsi" w:eastAsia="Times New Roman" w:hAnsiTheme="majorHAnsi" w:cstheme="majorHAnsi"/>
                <w:bCs/>
                <w:color w:val="FFFFFF" w:themeColor="background1"/>
                <w:szCs w:val="18"/>
                <w:lang w:eastAsia="en-AU"/>
              </w:rPr>
              <w:t>Titanium Dioxide</w:t>
            </w:r>
          </w:p>
        </w:tc>
      </w:tr>
      <w:tr w:rsidR="009748AE" w:rsidRPr="006E4C82" w14:paraId="1F9B1059" w14:textId="77777777" w:rsidTr="004452F5">
        <w:tc>
          <w:tcPr>
            <w:tcW w:w="1645" w:type="dxa"/>
            <w:tcBorders>
              <w:top w:val="single" w:sz="4" w:space="0" w:color="BFBFBF" w:themeColor="background1" w:themeShade="BF"/>
            </w:tcBorders>
            <w:shd w:val="clear" w:color="auto" w:fill="FFFFFF" w:themeFill="background1"/>
            <w:vAlign w:val="center"/>
          </w:tcPr>
          <w:p w14:paraId="0DA47A2B"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A - Agriculture, Forestry and Fishing</w:t>
            </w:r>
          </w:p>
        </w:tc>
        <w:tc>
          <w:tcPr>
            <w:tcW w:w="1241" w:type="dxa"/>
            <w:tcBorders>
              <w:top w:val="single" w:sz="4" w:space="0" w:color="BFBFBF" w:themeColor="background1" w:themeShade="BF"/>
            </w:tcBorders>
            <w:shd w:val="clear" w:color="auto" w:fill="auto"/>
            <w:vAlign w:val="center"/>
          </w:tcPr>
          <w:p w14:paraId="79EF8016"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$1,499</w:t>
            </w:r>
          </w:p>
        </w:tc>
        <w:tc>
          <w:tcPr>
            <w:tcW w:w="1242" w:type="dxa"/>
            <w:tcBorders>
              <w:top w:val="single" w:sz="4" w:space="0" w:color="BFBFBF" w:themeColor="background1" w:themeShade="BF"/>
            </w:tcBorders>
            <w:shd w:val="clear" w:color="auto" w:fill="auto"/>
            <w:vAlign w:val="center"/>
          </w:tcPr>
          <w:p w14:paraId="7411BC3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676F278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2E4C6F3D"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4554410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0.1%</w:t>
            </w:r>
          </w:p>
        </w:tc>
        <w:tc>
          <w:tcPr>
            <w:tcW w:w="1242" w:type="dxa"/>
            <w:tcBorders>
              <w:top w:val="single" w:sz="4" w:space="0" w:color="BFBFBF" w:themeColor="background1" w:themeShade="BF"/>
            </w:tcBorders>
            <w:shd w:val="clear" w:color="auto" w:fill="auto"/>
            <w:vAlign w:val="center"/>
          </w:tcPr>
          <w:p w14:paraId="4C4FFA3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333F0B2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149C156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0.5%</w:t>
            </w:r>
          </w:p>
        </w:tc>
        <w:tc>
          <w:tcPr>
            <w:tcW w:w="1242" w:type="dxa"/>
            <w:tcBorders>
              <w:top w:val="single" w:sz="4" w:space="0" w:color="BFBFBF" w:themeColor="background1" w:themeShade="BF"/>
            </w:tcBorders>
            <w:shd w:val="clear" w:color="auto" w:fill="auto"/>
            <w:vAlign w:val="center"/>
          </w:tcPr>
          <w:p w14:paraId="42EE3E1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tcBorders>
              <w:top w:val="single" w:sz="4" w:space="0" w:color="BFBFBF" w:themeColor="background1" w:themeShade="BF"/>
            </w:tcBorders>
            <w:shd w:val="clear" w:color="auto" w:fill="auto"/>
            <w:vAlign w:val="center"/>
          </w:tcPr>
          <w:p w14:paraId="48D146E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5258FA" w:rsidRPr="006E4C82" w14:paraId="4CD160CB" w14:textId="77777777" w:rsidTr="004452F5">
        <w:tc>
          <w:tcPr>
            <w:tcW w:w="1645" w:type="dxa"/>
            <w:shd w:val="clear" w:color="auto" w:fill="DAE3F8" w:themeFill="accent1" w:themeFillTint="33"/>
            <w:vAlign w:val="center"/>
          </w:tcPr>
          <w:p w14:paraId="1ACEF1CA"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B - Mining</w:t>
            </w:r>
          </w:p>
        </w:tc>
        <w:tc>
          <w:tcPr>
            <w:tcW w:w="1241" w:type="dxa"/>
            <w:shd w:val="clear" w:color="auto" w:fill="DAE3F8" w:themeFill="accent1" w:themeFillTint="33"/>
            <w:vAlign w:val="center"/>
          </w:tcPr>
          <w:p w14:paraId="101E827D"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$3,091</w:t>
            </w:r>
          </w:p>
        </w:tc>
        <w:tc>
          <w:tcPr>
            <w:tcW w:w="1242" w:type="dxa"/>
            <w:shd w:val="clear" w:color="auto" w:fill="DAE3F8" w:themeFill="accent1" w:themeFillTint="33"/>
            <w:vAlign w:val="center"/>
          </w:tcPr>
          <w:p w14:paraId="7D80C06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19.8%</w:t>
            </w:r>
          </w:p>
        </w:tc>
        <w:tc>
          <w:tcPr>
            <w:tcW w:w="1242" w:type="dxa"/>
            <w:shd w:val="clear" w:color="auto" w:fill="DAE3F8" w:themeFill="accent1" w:themeFillTint="33"/>
            <w:vAlign w:val="center"/>
          </w:tcPr>
          <w:p w14:paraId="4F62758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F439FC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34.6%</w:t>
            </w:r>
          </w:p>
        </w:tc>
        <w:tc>
          <w:tcPr>
            <w:tcW w:w="1242" w:type="dxa"/>
            <w:shd w:val="clear" w:color="auto" w:fill="DAE3F8" w:themeFill="accent1" w:themeFillTint="33"/>
            <w:vAlign w:val="center"/>
          </w:tcPr>
          <w:p w14:paraId="30553FB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179AEE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57.2%</w:t>
            </w:r>
          </w:p>
        </w:tc>
        <w:tc>
          <w:tcPr>
            <w:tcW w:w="1242" w:type="dxa"/>
            <w:shd w:val="clear" w:color="auto" w:fill="DAE3F8" w:themeFill="accent1" w:themeFillTint="33"/>
            <w:vAlign w:val="center"/>
          </w:tcPr>
          <w:p w14:paraId="443713C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67.8%</w:t>
            </w:r>
          </w:p>
        </w:tc>
        <w:tc>
          <w:tcPr>
            <w:tcW w:w="1242" w:type="dxa"/>
            <w:shd w:val="clear" w:color="auto" w:fill="DAE3F8" w:themeFill="accent1" w:themeFillTint="33"/>
            <w:vAlign w:val="center"/>
          </w:tcPr>
          <w:p w14:paraId="0FFEA6E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12.4%</w:t>
            </w:r>
          </w:p>
        </w:tc>
        <w:tc>
          <w:tcPr>
            <w:tcW w:w="1242" w:type="dxa"/>
            <w:shd w:val="clear" w:color="auto" w:fill="DAE3F8" w:themeFill="accent1" w:themeFillTint="33"/>
            <w:vAlign w:val="center"/>
          </w:tcPr>
          <w:p w14:paraId="37562EE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21.4%</w:t>
            </w:r>
          </w:p>
        </w:tc>
        <w:tc>
          <w:tcPr>
            <w:tcW w:w="1242" w:type="dxa"/>
            <w:shd w:val="clear" w:color="auto" w:fill="DAE3F8" w:themeFill="accent1" w:themeFillTint="33"/>
            <w:vAlign w:val="center"/>
          </w:tcPr>
          <w:p w14:paraId="00515FB5"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3EBFC7EF" w14:textId="77777777" w:rsidTr="004452F5">
        <w:tc>
          <w:tcPr>
            <w:tcW w:w="1645" w:type="dxa"/>
            <w:shd w:val="clear" w:color="auto" w:fill="FFFFFF" w:themeFill="background1"/>
            <w:vAlign w:val="center"/>
          </w:tcPr>
          <w:p w14:paraId="177B34E0"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C - Manufacturing</w:t>
            </w:r>
          </w:p>
        </w:tc>
        <w:tc>
          <w:tcPr>
            <w:tcW w:w="1241" w:type="dxa"/>
            <w:shd w:val="clear" w:color="auto" w:fill="auto"/>
            <w:vAlign w:val="center"/>
          </w:tcPr>
          <w:p w14:paraId="6CA8312A"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$1,843</w:t>
            </w:r>
          </w:p>
        </w:tc>
        <w:tc>
          <w:tcPr>
            <w:tcW w:w="1242" w:type="dxa"/>
            <w:shd w:val="clear" w:color="auto" w:fill="auto"/>
            <w:vAlign w:val="center"/>
          </w:tcPr>
          <w:p w14:paraId="0B73168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65.3%</w:t>
            </w:r>
          </w:p>
        </w:tc>
        <w:tc>
          <w:tcPr>
            <w:tcW w:w="1242" w:type="dxa"/>
            <w:shd w:val="clear" w:color="auto" w:fill="auto"/>
            <w:vAlign w:val="center"/>
          </w:tcPr>
          <w:p w14:paraId="59337BF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40.1%</w:t>
            </w:r>
          </w:p>
        </w:tc>
        <w:tc>
          <w:tcPr>
            <w:tcW w:w="1242" w:type="dxa"/>
            <w:shd w:val="clear" w:color="auto" w:fill="auto"/>
            <w:vAlign w:val="center"/>
          </w:tcPr>
          <w:p w14:paraId="2727FE3D"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53.0%</w:t>
            </w:r>
          </w:p>
        </w:tc>
        <w:tc>
          <w:tcPr>
            <w:tcW w:w="1242" w:type="dxa"/>
            <w:shd w:val="clear" w:color="auto" w:fill="auto"/>
            <w:vAlign w:val="center"/>
          </w:tcPr>
          <w:p w14:paraId="44512A8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64.8%</w:t>
            </w:r>
          </w:p>
        </w:tc>
        <w:tc>
          <w:tcPr>
            <w:tcW w:w="1242" w:type="dxa"/>
            <w:shd w:val="clear" w:color="auto" w:fill="auto"/>
            <w:vAlign w:val="center"/>
          </w:tcPr>
          <w:p w14:paraId="78D931A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39.9%</w:t>
            </w:r>
          </w:p>
        </w:tc>
        <w:tc>
          <w:tcPr>
            <w:tcW w:w="1242" w:type="dxa"/>
            <w:shd w:val="clear" w:color="auto" w:fill="auto"/>
            <w:vAlign w:val="center"/>
          </w:tcPr>
          <w:p w14:paraId="3F524E0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20.4%</w:t>
            </w:r>
          </w:p>
        </w:tc>
        <w:tc>
          <w:tcPr>
            <w:tcW w:w="1242" w:type="dxa"/>
            <w:shd w:val="clear" w:color="auto" w:fill="auto"/>
            <w:vAlign w:val="center"/>
          </w:tcPr>
          <w:p w14:paraId="53890AB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34.4%</w:t>
            </w:r>
          </w:p>
        </w:tc>
        <w:tc>
          <w:tcPr>
            <w:tcW w:w="1242" w:type="dxa"/>
            <w:shd w:val="clear" w:color="auto" w:fill="auto"/>
            <w:vAlign w:val="center"/>
          </w:tcPr>
          <w:p w14:paraId="4B6DA91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2.3%</w:t>
            </w:r>
          </w:p>
        </w:tc>
        <w:tc>
          <w:tcPr>
            <w:tcW w:w="1242" w:type="dxa"/>
            <w:shd w:val="clear" w:color="auto" w:fill="auto"/>
            <w:vAlign w:val="center"/>
          </w:tcPr>
          <w:p w14:paraId="48FD76B5"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100.0%</w:t>
            </w:r>
          </w:p>
        </w:tc>
      </w:tr>
      <w:tr w:rsidR="005258FA" w:rsidRPr="006E4C82" w14:paraId="3C673C5E" w14:textId="77777777" w:rsidTr="004452F5">
        <w:tc>
          <w:tcPr>
            <w:tcW w:w="1645" w:type="dxa"/>
            <w:shd w:val="clear" w:color="auto" w:fill="DAE3F8" w:themeFill="accent1" w:themeFillTint="33"/>
            <w:vAlign w:val="center"/>
          </w:tcPr>
          <w:p w14:paraId="5E65EEEB"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D - Electricity, Gas, Water and Waste Services</w:t>
            </w:r>
          </w:p>
        </w:tc>
        <w:tc>
          <w:tcPr>
            <w:tcW w:w="1241" w:type="dxa"/>
            <w:shd w:val="clear" w:color="auto" w:fill="DAE3F8" w:themeFill="accent1" w:themeFillTint="33"/>
            <w:vAlign w:val="center"/>
          </w:tcPr>
          <w:p w14:paraId="078B9813"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$2,443</w:t>
            </w:r>
          </w:p>
        </w:tc>
        <w:tc>
          <w:tcPr>
            <w:tcW w:w="1242" w:type="dxa"/>
            <w:shd w:val="clear" w:color="auto" w:fill="DAE3F8" w:themeFill="accent1" w:themeFillTint="33"/>
            <w:vAlign w:val="center"/>
          </w:tcPr>
          <w:p w14:paraId="1155B73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11.4%</w:t>
            </w:r>
          </w:p>
        </w:tc>
        <w:tc>
          <w:tcPr>
            <w:tcW w:w="1242" w:type="dxa"/>
            <w:shd w:val="clear" w:color="auto" w:fill="DAE3F8" w:themeFill="accent1" w:themeFillTint="33"/>
            <w:vAlign w:val="center"/>
          </w:tcPr>
          <w:p w14:paraId="2061A5A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15.5%</w:t>
            </w:r>
          </w:p>
        </w:tc>
        <w:tc>
          <w:tcPr>
            <w:tcW w:w="1242" w:type="dxa"/>
            <w:shd w:val="clear" w:color="auto" w:fill="DAE3F8" w:themeFill="accent1" w:themeFillTint="33"/>
            <w:vAlign w:val="center"/>
          </w:tcPr>
          <w:p w14:paraId="5D1D8D4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12.4%</w:t>
            </w:r>
          </w:p>
        </w:tc>
        <w:tc>
          <w:tcPr>
            <w:tcW w:w="1242" w:type="dxa"/>
            <w:shd w:val="clear" w:color="auto" w:fill="DAE3F8" w:themeFill="accent1" w:themeFillTint="33"/>
            <w:vAlign w:val="center"/>
          </w:tcPr>
          <w:p w14:paraId="51C1B5C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F6897F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A99FF4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1.4%</w:t>
            </w:r>
          </w:p>
        </w:tc>
        <w:tc>
          <w:tcPr>
            <w:tcW w:w="1242" w:type="dxa"/>
            <w:shd w:val="clear" w:color="auto" w:fill="DAE3F8" w:themeFill="accent1" w:themeFillTint="33"/>
            <w:vAlign w:val="center"/>
          </w:tcPr>
          <w:p w14:paraId="40E2EA8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7.5%</w:t>
            </w:r>
          </w:p>
        </w:tc>
        <w:tc>
          <w:tcPr>
            <w:tcW w:w="1242" w:type="dxa"/>
            <w:shd w:val="clear" w:color="auto" w:fill="DAE3F8" w:themeFill="accent1" w:themeFillTint="33"/>
            <w:vAlign w:val="center"/>
          </w:tcPr>
          <w:p w14:paraId="5C4C55E5"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0.7%</w:t>
            </w:r>
          </w:p>
        </w:tc>
        <w:tc>
          <w:tcPr>
            <w:tcW w:w="1242" w:type="dxa"/>
            <w:shd w:val="clear" w:color="auto" w:fill="DAE3F8" w:themeFill="accent1" w:themeFillTint="33"/>
            <w:vAlign w:val="center"/>
          </w:tcPr>
          <w:p w14:paraId="7788210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54D745B8" w14:textId="77777777" w:rsidTr="004452F5">
        <w:tc>
          <w:tcPr>
            <w:tcW w:w="1645" w:type="dxa"/>
            <w:shd w:val="clear" w:color="auto" w:fill="FFFFFF" w:themeFill="background1"/>
            <w:vAlign w:val="center"/>
          </w:tcPr>
          <w:p w14:paraId="5F83B8B0"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E - Construction</w:t>
            </w:r>
          </w:p>
        </w:tc>
        <w:tc>
          <w:tcPr>
            <w:tcW w:w="1241" w:type="dxa"/>
            <w:shd w:val="clear" w:color="auto" w:fill="auto"/>
            <w:vAlign w:val="center"/>
          </w:tcPr>
          <w:p w14:paraId="5B513045"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$1,966</w:t>
            </w:r>
          </w:p>
        </w:tc>
        <w:tc>
          <w:tcPr>
            <w:tcW w:w="1242" w:type="dxa"/>
            <w:shd w:val="clear" w:color="auto" w:fill="auto"/>
            <w:vAlign w:val="center"/>
          </w:tcPr>
          <w:p w14:paraId="54B5BC5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B06C69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2DFE8F0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19C14A5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2.0%</w:t>
            </w:r>
          </w:p>
        </w:tc>
        <w:tc>
          <w:tcPr>
            <w:tcW w:w="1242" w:type="dxa"/>
            <w:shd w:val="clear" w:color="auto" w:fill="auto"/>
            <w:vAlign w:val="center"/>
          </w:tcPr>
          <w:p w14:paraId="274DED2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738FF38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10.4%</w:t>
            </w:r>
          </w:p>
        </w:tc>
        <w:tc>
          <w:tcPr>
            <w:tcW w:w="1242" w:type="dxa"/>
            <w:shd w:val="clear" w:color="auto" w:fill="auto"/>
            <w:vAlign w:val="center"/>
          </w:tcPr>
          <w:p w14:paraId="747EF76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45E7325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75.5%</w:t>
            </w:r>
          </w:p>
        </w:tc>
        <w:tc>
          <w:tcPr>
            <w:tcW w:w="1242" w:type="dxa"/>
            <w:shd w:val="clear" w:color="auto" w:fill="auto"/>
            <w:vAlign w:val="center"/>
          </w:tcPr>
          <w:p w14:paraId="5184204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5258FA" w:rsidRPr="006E4C82" w14:paraId="308093B1" w14:textId="77777777" w:rsidTr="004452F5">
        <w:tc>
          <w:tcPr>
            <w:tcW w:w="1645" w:type="dxa"/>
            <w:shd w:val="clear" w:color="auto" w:fill="DAE3F8" w:themeFill="accent1" w:themeFillTint="33"/>
            <w:vAlign w:val="center"/>
          </w:tcPr>
          <w:p w14:paraId="619A7C55"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F - Wholesale Trade</w:t>
            </w:r>
          </w:p>
        </w:tc>
        <w:tc>
          <w:tcPr>
            <w:tcW w:w="1241" w:type="dxa"/>
            <w:shd w:val="clear" w:color="auto" w:fill="DAE3F8" w:themeFill="accent1" w:themeFillTint="33"/>
            <w:vAlign w:val="center"/>
          </w:tcPr>
          <w:p w14:paraId="7EA0B692"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$1,829</w:t>
            </w:r>
          </w:p>
        </w:tc>
        <w:tc>
          <w:tcPr>
            <w:tcW w:w="1242" w:type="dxa"/>
            <w:shd w:val="clear" w:color="auto" w:fill="DAE3F8" w:themeFill="accent1" w:themeFillTint="33"/>
            <w:vAlign w:val="center"/>
          </w:tcPr>
          <w:p w14:paraId="7688FC3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041C47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61A0ED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0B9697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40FC40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BE063E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A64D46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935648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05FA66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7B05CDD9" w14:textId="77777777" w:rsidTr="004452F5">
        <w:tc>
          <w:tcPr>
            <w:tcW w:w="1645" w:type="dxa"/>
            <w:shd w:val="clear" w:color="auto" w:fill="FFFFFF" w:themeFill="background1"/>
            <w:vAlign w:val="center"/>
          </w:tcPr>
          <w:p w14:paraId="4FAEBCF3"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G - Retail Trade</w:t>
            </w:r>
          </w:p>
        </w:tc>
        <w:tc>
          <w:tcPr>
            <w:tcW w:w="1241" w:type="dxa"/>
            <w:shd w:val="clear" w:color="auto" w:fill="auto"/>
            <w:vAlign w:val="center"/>
          </w:tcPr>
          <w:p w14:paraId="7D939356"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$1,494</w:t>
            </w:r>
          </w:p>
        </w:tc>
        <w:tc>
          <w:tcPr>
            <w:tcW w:w="1242" w:type="dxa"/>
            <w:shd w:val="clear" w:color="auto" w:fill="auto"/>
            <w:vAlign w:val="center"/>
          </w:tcPr>
          <w:p w14:paraId="21883B0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024CA3C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134D4C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72D39FF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BAC0CF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27A118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0006CC6"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1B59A8E5"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9B11F2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5258FA" w:rsidRPr="006E4C82" w14:paraId="5B60CA6D" w14:textId="77777777" w:rsidTr="004452F5">
        <w:tc>
          <w:tcPr>
            <w:tcW w:w="1645" w:type="dxa"/>
            <w:shd w:val="clear" w:color="auto" w:fill="DAE3F8" w:themeFill="accent1" w:themeFillTint="33"/>
            <w:vAlign w:val="center"/>
          </w:tcPr>
          <w:p w14:paraId="28B6E922"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H - Accommodation and Food Services</w:t>
            </w:r>
          </w:p>
        </w:tc>
        <w:tc>
          <w:tcPr>
            <w:tcW w:w="1241" w:type="dxa"/>
            <w:shd w:val="clear" w:color="auto" w:fill="DAE3F8" w:themeFill="accent1" w:themeFillTint="33"/>
            <w:vAlign w:val="center"/>
          </w:tcPr>
          <w:p w14:paraId="0C1A7507"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$1,461</w:t>
            </w:r>
          </w:p>
        </w:tc>
        <w:tc>
          <w:tcPr>
            <w:tcW w:w="1242" w:type="dxa"/>
            <w:shd w:val="clear" w:color="auto" w:fill="DAE3F8" w:themeFill="accent1" w:themeFillTint="33"/>
            <w:vAlign w:val="center"/>
          </w:tcPr>
          <w:p w14:paraId="6E083F71"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D76D13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2449B2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D01B44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56F25E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40EA5E0"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0FE65B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A918B3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C97172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106DC76B" w14:textId="77777777" w:rsidTr="004452F5">
        <w:tc>
          <w:tcPr>
            <w:tcW w:w="1645" w:type="dxa"/>
            <w:shd w:val="clear" w:color="auto" w:fill="FFFFFF" w:themeFill="background1"/>
            <w:vAlign w:val="center"/>
          </w:tcPr>
          <w:p w14:paraId="2B429077"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I - Transport, Postal and Warehousing</w:t>
            </w:r>
          </w:p>
        </w:tc>
        <w:tc>
          <w:tcPr>
            <w:tcW w:w="1241" w:type="dxa"/>
            <w:shd w:val="clear" w:color="auto" w:fill="auto"/>
            <w:vAlign w:val="center"/>
          </w:tcPr>
          <w:p w14:paraId="33ACE90B"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$2,058</w:t>
            </w:r>
          </w:p>
        </w:tc>
        <w:tc>
          <w:tcPr>
            <w:tcW w:w="1242" w:type="dxa"/>
            <w:shd w:val="clear" w:color="auto" w:fill="auto"/>
            <w:vAlign w:val="center"/>
          </w:tcPr>
          <w:p w14:paraId="0B750D3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2489802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4A062B5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69B973E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0AA07A2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497BE39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0D7107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44.8%</w:t>
            </w:r>
          </w:p>
        </w:tc>
        <w:tc>
          <w:tcPr>
            <w:tcW w:w="1242" w:type="dxa"/>
            <w:shd w:val="clear" w:color="auto" w:fill="auto"/>
            <w:vAlign w:val="center"/>
          </w:tcPr>
          <w:p w14:paraId="45A0762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7E2BCB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5258FA" w:rsidRPr="006E4C82" w14:paraId="01374BEC" w14:textId="77777777" w:rsidTr="004452F5">
        <w:tc>
          <w:tcPr>
            <w:tcW w:w="1645" w:type="dxa"/>
            <w:shd w:val="clear" w:color="auto" w:fill="DAE3F8" w:themeFill="accent1" w:themeFillTint="33"/>
            <w:vAlign w:val="center"/>
          </w:tcPr>
          <w:p w14:paraId="5E8803AC"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J - Information Media and Telecommunications</w:t>
            </w:r>
          </w:p>
        </w:tc>
        <w:tc>
          <w:tcPr>
            <w:tcW w:w="1241" w:type="dxa"/>
            <w:shd w:val="clear" w:color="auto" w:fill="DAE3F8" w:themeFill="accent1" w:themeFillTint="33"/>
            <w:vAlign w:val="center"/>
          </w:tcPr>
          <w:p w14:paraId="2301D958"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$2,470</w:t>
            </w:r>
          </w:p>
        </w:tc>
        <w:tc>
          <w:tcPr>
            <w:tcW w:w="1242" w:type="dxa"/>
            <w:shd w:val="clear" w:color="auto" w:fill="DAE3F8" w:themeFill="accent1" w:themeFillTint="33"/>
            <w:vAlign w:val="center"/>
          </w:tcPr>
          <w:p w14:paraId="18FBC21D"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D528E6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32DE447"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29B4FFD"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B58485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4DD257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2F3964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5DA1822"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ADCBC7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4378AE5C" w14:textId="77777777" w:rsidTr="004452F5">
        <w:tc>
          <w:tcPr>
            <w:tcW w:w="1645" w:type="dxa"/>
            <w:shd w:val="clear" w:color="auto" w:fill="FFFFFF" w:themeFill="background1"/>
            <w:vAlign w:val="center"/>
          </w:tcPr>
          <w:p w14:paraId="416847D2"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K - Financial and Insurance Services</w:t>
            </w:r>
          </w:p>
        </w:tc>
        <w:tc>
          <w:tcPr>
            <w:tcW w:w="1241" w:type="dxa"/>
            <w:shd w:val="clear" w:color="auto" w:fill="auto"/>
            <w:vAlign w:val="center"/>
          </w:tcPr>
          <w:p w14:paraId="589807C6"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$2,299</w:t>
            </w:r>
          </w:p>
        </w:tc>
        <w:tc>
          <w:tcPr>
            <w:tcW w:w="1242" w:type="dxa"/>
            <w:shd w:val="clear" w:color="auto" w:fill="auto"/>
            <w:vAlign w:val="center"/>
          </w:tcPr>
          <w:p w14:paraId="5B6F1CF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0B7B22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23A94BB"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0C688881"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214963A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1781C12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67DB14A9"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AB4730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7ADD95D"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5258FA" w:rsidRPr="006E4C82" w14:paraId="00EA24EF" w14:textId="77777777" w:rsidTr="004452F5">
        <w:tc>
          <w:tcPr>
            <w:tcW w:w="1645" w:type="dxa"/>
            <w:shd w:val="clear" w:color="auto" w:fill="DAE3F8" w:themeFill="accent1" w:themeFillTint="33"/>
            <w:vAlign w:val="center"/>
          </w:tcPr>
          <w:p w14:paraId="07C5D6A4" w14:textId="77777777" w:rsidR="000F3FC5" w:rsidRPr="008E1B6D" w:rsidRDefault="000F3FC5" w:rsidP="00E06275">
            <w:pPr>
              <w:spacing w:after="0"/>
              <w:rPr>
                <w:rFonts w:asciiTheme="majorHAnsi" w:hAnsiTheme="majorHAnsi" w:cstheme="majorHAnsi"/>
                <w:sz w:val="18"/>
                <w:szCs w:val="18"/>
                <w:lang w:eastAsia="en-AU"/>
              </w:rPr>
            </w:pPr>
            <w:r w:rsidRPr="008E1B6D">
              <w:rPr>
                <w:rFonts w:asciiTheme="majorHAnsi" w:eastAsia="Times New Roman" w:hAnsiTheme="majorHAnsi" w:cstheme="majorHAnsi"/>
                <w:sz w:val="18"/>
                <w:szCs w:val="18"/>
                <w:lang w:eastAsia="en-AU"/>
              </w:rPr>
              <w:t>L - Rental, Hiring and Real Estate Services</w:t>
            </w:r>
          </w:p>
        </w:tc>
        <w:tc>
          <w:tcPr>
            <w:tcW w:w="1241" w:type="dxa"/>
            <w:shd w:val="clear" w:color="auto" w:fill="DAE3F8" w:themeFill="accent1" w:themeFillTint="33"/>
            <w:vAlign w:val="center"/>
          </w:tcPr>
          <w:p w14:paraId="4BC8158A" w14:textId="77777777" w:rsidR="000F3FC5" w:rsidRPr="008E1B6D" w:rsidRDefault="000F3FC5" w:rsidP="00E06275">
            <w:pPr>
              <w:spacing w:after="0"/>
              <w:jc w:val="right"/>
              <w:rPr>
                <w:sz w:val="18"/>
                <w:szCs w:val="18"/>
                <w:lang w:eastAsia="en-AU"/>
              </w:rPr>
            </w:pPr>
            <w:r w:rsidRPr="008E1B6D">
              <w:rPr>
                <w:rFonts w:eastAsia="Times New Roman" w:cs="Segoe UI"/>
                <w:color w:val="000000"/>
                <w:sz w:val="18"/>
                <w:szCs w:val="18"/>
                <w:lang w:eastAsia="en-AU"/>
              </w:rPr>
              <w:t>$1,827</w:t>
            </w:r>
          </w:p>
        </w:tc>
        <w:tc>
          <w:tcPr>
            <w:tcW w:w="1242" w:type="dxa"/>
            <w:shd w:val="clear" w:color="auto" w:fill="DAE3F8" w:themeFill="accent1" w:themeFillTint="33"/>
            <w:vAlign w:val="center"/>
          </w:tcPr>
          <w:p w14:paraId="55EF1F4E"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190DAD0"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D27317C"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3A2264F"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EA46A63"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4920898"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16084A4"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ECD3DC0"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2C6D51A" w14:textId="77777777" w:rsidR="000F3FC5" w:rsidRPr="008E1B6D" w:rsidRDefault="000F3FC5" w:rsidP="004452F5">
            <w:pPr>
              <w:spacing w:after="0"/>
              <w:jc w:val="right"/>
              <w:rPr>
                <w:rFonts w:asciiTheme="minorHAnsi" w:hAnsiTheme="minorHAnsi" w:cstheme="minorHAnsi"/>
                <w:sz w:val="18"/>
                <w:szCs w:val="18"/>
                <w:lang w:eastAsia="en-AU"/>
              </w:rPr>
            </w:pPr>
            <w:r w:rsidRPr="008E1B6D">
              <w:rPr>
                <w:rFonts w:asciiTheme="minorHAnsi" w:hAnsiTheme="minorHAnsi" w:cstheme="minorHAnsi"/>
                <w:sz w:val="18"/>
                <w:szCs w:val="18"/>
              </w:rPr>
              <w:t>-</w:t>
            </w:r>
          </w:p>
        </w:tc>
      </w:tr>
      <w:tr w:rsidR="009748AE" w:rsidRPr="006E4C82" w14:paraId="5764FE9F" w14:textId="77777777" w:rsidTr="004452F5">
        <w:tc>
          <w:tcPr>
            <w:tcW w:w="1645" w:type="dxa"/>
            <w:shd w:val="clear" w:color="auto" w:fill="FFFFFF" w:themeFill="background1"/>
            <w:vAlign w:val="center"/>
          </w:tcPr>
          <w:p w14:paraId="31979A2D"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M - Professional, Scientific and Technical Services</w:t>
            </w:r>
          </w:p>
        </w:tc>
        <w:tc>
          <w:tcPr>
            <w:tcW w:w="1241" w:type="dxa"/>
            <w:shd w:val="clear" w:color="auto" w:fill="auto"/>
            <w:vAlign w:val="center"/>
          </w:tcPr>
          <w:p w14:paraId="2002706A"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$2,268</w:t>
            </w:r>
          </w:p>
        </w:tc>
        <w:tc>
          <w:tcPr>
            <w:tcW w:w="1242" w:type="dxa"/>
            <w:shd w:val="clear" w:color="auto" w:fill="auto"/>
            <w:vAlign w:val="center"/>
          </w:tcPr>
          <w:p w14:paraId="189F5D1A"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4C36E5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486C2701"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7821201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2.5%</w:t>
            </w:r>
          </w:p>
        </w:tc>
        <w:tc>
          <w:tcPr>
            <w:tcW w:w="1242" w:type="dxa"/>
            <w:shd w:val="clear" w:color="auto" w:fill="auto"/>
            <w:vAlign w:val="center"/>
          </w:tcPr>
          <w:p w14:paraId="29D85EC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6CB9DFDF"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31CE6274"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55A3BA1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auto"/>
            <w:vAlign w:val="center"/>
          </w:tcPr>
          <w:p w14:paraId="05277FF8"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3E75D2F0" w14:textId="77777777" w:rsidTr="004452F5">
        <w:tc>
          <w:tcPr>
            <w:tcW w:w="1645" w:type="dxa"/>
            <w:shd w:val="clear" w:color="auto" w:fill="DAE3F8" w:themeFill="accent1" w:themeFillTint="33"/>
            <w:vAlign w:val="center"/>
          </w:tcPr>
          <w:p w14:paraId="5888F612"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lastRenderedPageBreak/>
              <w:t>N - Administrative and Support Services</w:t>
            </w:r>
          </w:p>
        </w:tc>
        <w:tc>
          <w:tcPr>
            <w:tcW w:w="1241" w:type="dxa"/>
            <w:shd w:val="clear" w:color="auto" w:fill="DAE3F8" w:themeFill="accent1" w:themeFillTint="33"/>
            <w:vAlign w:val="center"/>
          </w:tcPr>
          <w:p w14:paraId="1955085A"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$1,816</w:t>
            </w:r>
          </w:p>
        </w:tc>
        <w:tc>
          <w:tcPr>
            <w:tcW w:w="1242" w:type="dxa"/>
            <w:shd w:val="clear" w:color="auto" w:fill="DAE3F8" w:themeFill="accent1" w:themeFillTint="33"/>
            <w:vAlign w:val="center"/>
          </w:tcPr>
          <w:p w14:paraId="6E2E292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BEEA44C"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43.0%</w:t>
            </w:r>
          </w:p>
        </w:tc>
        <w:tc>
          <w:tcPr>
            <w:tcW w:w="1242" w:type="dxa"/>
            <w:shd w:val="clear" w:color="auto" w:fill="DAE3F8" w:themeFill="accent1" w:themeFillTint="33"/>
            <w:vAlign w:val="center"/>
          </w:tcPr>
          <w:p w14:paraId="0D21E8A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8E8126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A180125"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5F0B397"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E26AF2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D1B2CF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6999F02"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6C9500D5" w14:textId="77777777" w:rsidTr="004452F5">
        <w:tc>
          <w:tcPr>
            <w:tcW w:w="1645" w:type="dxa"/>
            <w:shd w:val="clear" w:color="auto" w:fill="FFFFFF" w:themeFill="background1"/>
            <w:vAlign w:val="center"/>
          </w:tcPr>
          <w:p w14:paraId="492A1867"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O - Public Administration and Safety</w:t>
            </w:r>
          </w:p>
        </w:tc>
        <w:tc>
          <w:tcPr>
            <w:tcW w:w="1241" w:type="dxa"/>
            <w:shd w:val="clear" w:color="auto" w:fill="FFFFFF" w:themeFill="background1"/>
            <w:vAlign w:val="center"/>
          </w:tcPr>
          <w:p w14:paraId="6EF711BD"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$2,103</w:t>
            </w:r>
          </w:p>
        </w:tc>
        <w:tc>
          <w:tcPr>
            <w:tcW w:w="1242" w:type="dxa"/>
            <w:shd w:val="clear" w:color="auto" w:fill="FFFFFF" w:themeFill="background1"/>
            <w:vAlign w:val="center"/>
          </w:tcPr>
          <w:p w14:paraId="1770763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3.5%</w:t>
            </w:r>
          </w:p>
        </w:tc>
        <w:tc>
          <w:tcPr>
            <w:tcW w:w="1242" w:type="dxa"/>
            <w:shd w:val="clear" w:color="auto" w:fill="FFFFFF" w:themeFill="background1"/>
            <w:vAlign w:val="center"/>
          </w:tcPr>
          <w:p w14:paraId="507343CA"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70FC7E3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2183CC8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2.4%</w:t>
            </w:r>
          </w:p>
        </w:tc>
        <w:tc>
          <w:tcPr>
            <w:tcW w:w="1242" w:type="dxa"/>
            <w:shd w:val="clear" w:color="auto" w:fill="FFFFFF" w:themeFill="background1"/>
            <w:vAlign w:val="center"/>
          </w:tcPr>
          <w:p w14:paraId="584AB701"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3.0%</w:t>
            </w:r>
          </w:p>
        </w:tc>
        <w:tc>
          <w:tcPr>
            <w:tcW w:w="1242" w:type="dxa"/>
            <w:shd w:val="clear" w:color="auto" w:fill="FFFFFF" w:themeFill="background1"/>
            <w:vAlign w:val="center"/>
          </w:tcPr>
          <w:p w14:paraId="455B7848"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6122309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0.4%</w:t>
            </w:r>
          </w:p>
        </w:tc>
        <w:tc>
          <w:tcPr>
            <w:tcW w:w="1242" w:type="dxa"/>
            <w:shd w:val="clear" w:color="auto" w:fill="FFFFFF" w:themeFill="background1"/>
            <w:vAlign w:val="center"/>
          </w:tcPr>
          <w:p w14:paraId="77AF8AF7"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24730BB6"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7B260C46" w14:textId="77777777" w:rsidTr="004452F5">
        <w:tc>
          <w:tcPr>
            <w:tcW w:w="1645" w:type="dxa"/>
            <w:shd w:val="clear" w:color="auto" w:fill="DAE3F8" w:themeFill="accent1" w:themeFillTint="33"/>
            <w:vAlign w:val="center"/>
          </w:tcPr>
          <w:p w14:paraId="2B4DE2AB"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P - Education and Training</w:t>
            </w:r>
          </w:p>
        </w:tc>
        <w:tc>
          <w:tcPr>
            <w:tcW w:w="1241" w:type="dxa"/>
            <w:shd w:val="clear" w:color="auto" w:fill="DAE3F8" w:themeFill="accent1" w:themeFillTint="33"/>
            <w:vAlign w:val="center"/>
          </w:tcPr>
          <w:p w14:paraId="65FD7430"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$2,036</w:t>
            </w:r>
          </w:p>
        </w:tc>
        <w:tc>
          <w:tcPr>
            <w:tcW w:w="1242" w:type="dxa"/>
            <w:shd w:val="clear" w:color="auto" w:fill="DAE3F8" w:themeFill="accent1" w:themeFillTint="33"/>
            <w:vAlign w:val="center"/>
          </w:tcPr>
          <w:p w14:paraId="475F4CE0"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E14F562"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516796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A3D6014"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F9BC77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640F9BA"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75B91CF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99881F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4ABE21D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79FB30A7" w14:textId="77777777" w:rsidTr="004452F5">
        <w:tc>
          <w:tcPr>
            <w:tcW w:w="1645" w:type="dxa"/>
            <w:shd w:val="clear" w:color="auto" w:fill="FFFFFF" w:themeFill="background1"/>
            <w:vAlign w:val="center"/>
          </w:tcPr>
          <w:p w14:paraId="7DB1D655"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Q - Health Care and Social Assistance</w:t>
            </w:r>
          </w:p>
        </w:tc>
        <w:tc>
          <w:tcPr>
            <w:tcW w:w="1241" w:type="dxa"/>
            <w:shd w:val="clear" w:color="auto" w:fill="FFFFFF" w:themeFill="background1"/>
            <w:vAlign w:val="center"/>
          </w:tcPr>
          <w:p w14:paraId="2A78734A"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$1,974</w:t>
            </w:r>
          </w:p>
        </w:tc>
        <w:tc>
          <w:tcPr>
            <w:tcW w:w="1242" w:type="dxa"/>
            <w:shd w:val="clear" w:color="auto" w:fill="FFFFFF" w:themeFill="background1"/>
            <w:vAlign w:val="center"/>
          </w:tcPr>
          <w:p w14:paraId="69EBB3D3"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125E8C9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5044DFD0"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7D4B0FA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26.8%</w:t>
            </w:r>
          </w:p>
        </w:tc>
        <w:tc>
          <w:tcPr>
            <w:tcW w:w="1242" w:type="dxa"/>
            <w:shd w:val="clear" w:color="auto" w:fill="FFFFFF" w:themeFill="background1"/>
            <w:vAlign w:val="center"/>
          </w:tcPr>
          <w:p w14:paraId="43A4FC8C"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2B795037"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68072126"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748FA078"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450C0A7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5658FB8C" w14:textId="77777777" w:rsidTr="004452F5">
        <w:tc>
          <w:tcPr>
            <w:tcW w:w="1645" w:type="dxa"/>
            <w:shd w:val="clear" w:color="auto" w:fill="DAE3F8" w:themeFill="accent1" w:themeFillTint="33"/>
            <w:vAlign w:val="center"/>
          </w:tcPr>
          <w:p w14:paraId="34866F4E"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R - Arts and Recreation Services</w:t>
            </w:r>
          </w:p>
        </w:tc>
        <w:tc>
          <w:tcPr>
            <w:tcW w:w="1241" w:type="dxa"/>
            <w:shd w:val="clear" w:color="auto" w:fill="DAE3F8" w:themeFill="accent1" w:themeFillTint="33"/>
            <w:vAlign w:val="center"/>
          </w:tcPr>
          <w:p w14:paraId="2468C7E6"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$1,818</w:t>
            </w:r>
          </w:p>
        </w:tc>
        <w:tc>
          <w:tcPr>
            <w:tcW w:w="1242" w:type="dxa"/>
            <w:shd w:val="clear" w:color="auto" w:fill="DAE3F8" w:themeFill="accent1" w:themeFillTint="33"/>
            <w:vAlign w:val="center"/>
          </w:tcPr>
          <w:p w14:paraId="62C97DBF"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66E9F541"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1.4%</w:t>
            </w:r>
          </w:p>
        </w:tc>
        <w:tc>
          <w:tcPr>
            <w:tcW w:w="1242" w:type="dxa"/>
            <w:shd w:val="clear" w:color="auto" w:fill="DAE3F8" w:themeFill="accent1" w:themeFillTint="33"/>
            <w:vAlign w:val="center"/>
          </w:tcPr>
          <w:p w14:paraId="3872BBE5"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49F0EA5"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05018A3D"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272105C7"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38E75EF0"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1F31E725"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DAE3F8" w:themeFill="accent1" w:themeFillTint="33"/>
            <w:vAlign w:val="center"/>
          </w:tcPr>
          <w:p w14:paraId="587D34A1"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6E4C82" w14:paraId="3B42AC11" w14:textId="77777777" w:rsidTr="004452F5">
        <w:tc>
          <w:tcPr>
            <w:tcW w:w="1645" w:type="dxa"/>
            <w:shd w:val="clear" w:color="auto" w:fill="FFFFFF" w:themeFill="background1"/>
            <w:vAlign w:val="center"/>
          </w:tcPr>
          <w:p w14:paraId="2EB71BC0" w14:textId="77777777" w:rsidR="000F3FC5" w:rsidRPr="008E1B6D" w:rsidRDefault="000F3FC5" w:rsidP="00E06275">
            <w:pPr>
              <w:spacing w:after="0"/>
              <w:rPr>
                <w:rFonts w:asciiTheme="majorHAnsi" w:eastAsia="Times New Roman" w:hAnsiTheme="majorHAnsi" w:cstheme="majorHAnsi"/>
                <w:sz w:val="18"/>
                <w:szCs w:val="18"/>
                <w:lang w:eastAsia="en-AU"/>
              </w:rPr>
            </w:pPr>
            <w:r w:rsidRPr="008E1B6D">
              <w:rPr>
                <w:rFonts w:asciiTheme="majorHAnsi" w:eastAsia="Times New Roman" w:hAnsiTheme="majorHAnsi" w:cstheme="majorHAnsi"/>
                <w:sz w:val="18"/>
                <w:szCs w:val="18"/>
                <w:lang w:eastAsia="en-AU"/>
              </w:rPr>
              <w:t>S - Other Services</w:t>
            </w:r>
          </w:p>
        </w:tc>
        <w:tc>
          <w:tcPr>
            <w:tcW w:w="1241" w:type="dxa"/>
            <w:shd w:val="clear" w:color="auto" w:fill="FFFFFF" w:themeFill="background1"/>
            <w:vAlign w:val="center"/>
          </w:tcPr>
          <w:p w14:paraId="41B07230" w14:textId="77777777" w:rsidR="000F3FC5" w:rsidRPr="008E1B6D" w:rsidRDefault="000F3FC5" w:rsidP="00E06275">
            <w:pPr>
              <w:spacing w:after="0"/>
              <w:jc w:val="right"/>
              <w:rPr>
                <w:rFonts w:eastAsia="Times New Roman" w:cs="Segoe UI"/>
                <w:color w:val="000000"/>
                <w:sz w:val="18"/>
                <w:szCs w:val="18"/>
                <w:lang w:eastAsia="en-AU"/>
              </w:rPr>
            </w:pPr>
            <w:r w:rsidRPr="008E1B6D">
              <w:rPr>
                <w:rFonts w:eastAsia="Times New Roman" w:cs="Segoe UI"/>
                <w:color w:val="000000"/>
                <w:sz w:val="18"/>
                <w:szCs w:val="18"/>
                <w:lang w:eastAsia="en-AU"/>
              </w:rPr>
              <w:t>$1,499</w:t>
            </w:r>
          </w:p>
        </w:tc>
        <w:tc>
          <w:tcPr>
            <w:tcW w:w="1242" w:type="dxa"/>
            <w:shd w:val="clear" w:color="auto" w:fill="FFFFFF" w:themeFill="background1"/>
            <w:vAlign w:val="center"/>
          </w:tcPr>
          <w:p w14:paraId="29196252"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4DDDB72F"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4DC96648"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4265BAB0"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1.4%</w:t>
            </w:r>
          </w:p>
        </w:tc>
        <w:tc>
          <w:tcPr>
            <w:tcW w:w="1242" w:type="dxa"/>
            <w:shd w:val="clear" w:color="auto" w:fill="FFFFFF" w:themeFill="background1"/>
            <w:vAlign w:val="center"/>
          </w:tcPr>
          <w:p w14:paraId="53B7C64E"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4C3F8C68"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3CFA451A"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6839CFAF"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c>
          <w:tcPr>
            <w:tcW w:w="1242" w:type="dxa"/>
            <w:shd w:val="clear" w:color="auto" w:fill="FFFFFF" w:themeFill="background1"/>
            <w:vAlign w:val="center"/>
          </w:tcPr>
          <w:p w14:paraId="0CE1533B" w14:textId="77777777" w:rsidR="000F3FC5" w:rsidRPr="008E1B6D" w:rsidRDefault="000F3FC5" w:rsidP="004452F5">
            <w:pPr>
              <w:spacing w:after="0"/>
              <w:jc w:val="right"/>
              <w:rPr>
                <w:rFonts w:asciiTheme="minorHAnsi" w:eastAsia="Times New Roman" w:hAnsiTheme="minorHAnsi" w:cstheme="minorHAnsi"/>
                <w:color w:val="000000"/>
                <w:sz w:val="18"/>
                <w:szCs w:val="18"/>
                <w:lang w:eastAsia="en-AU"/>
              </w:rPr>
            </w:pPr>
            <w:r w:rsidRPr="008E1B6D">
              <w:rPr>
                <w:rFonts w:asciiTheme="minorHAnsi" w:hAnsiTheme="minorHAnsi" w:cstheme="minorHAnsi"/>
                <w:sz w:val="18"/>
                <w:szCs w:val="18"/>
              </w:rPr>
              <w:t>-</w:t>
            </w:r>
          </w:p>
        </w:tc>
      </w:tr>
      <w:tr w:rsidR="005258FA" w:rsidRPr="00B72E2B" w14:paraId="122ED911" w14:textId="77777777" w:rsidTr="006F55BD">
        <w:tc>
          <w:tcPr>
            <w:tcW w:w="1645" w:type="dxa"/>
            <w:shd w:val="clear" w:color="auto" w:fill="91ACEC" w:themeFill="accent1" w:themeFillTint="99"/>
            <w:vAlign w:val="center"/>
          </w:tcPr>
          <w:p w14:paraId="07CFD368" w14:textId="77777777" w:rsidR="000F3FC5" w:rsidRPr="008E1B6D" w:rsidRDefault="000F3FC5" w:rsidP="00E06275">
            <w:pPr>
              <w:spacing w:after="0"/>
              <w:rPr>
                <w:rFonts w:eastAsia="Times New Roman" w:cs="Segoe UI"/>
                <w:b/>
                <w:sz w:val="18"/>
                <w:szCs w:val="18"/>
                <w:lang w:eastAsia="en-AU"/>
              </w:rPr>
            </w:pPr>
            <w:r w:rsidRPr="008E1B6D">
              <w:rPr>
                <w:rFonts w:asciiTheme="majorHAnsi" w:eastAsia="Times New Roman" w:hAnsiTheme="majorHAnsi" w:cstheme="majorHAnsi"/>
                <w:b/>
                <w:sz w:val="18"/>
                <w:szCs w:val="18"/>
                <w:lang w:eastAsia="en-AU"/>
              </w:rPr>
              <w:t>WAWE</w:t>
            </w:r>
          </w:p>
        </w:tc>
        <w:tc>
          <w:tcPr>
            <w:tcW w:w="1241" w:type="dxa"/>
            <w:shd w:val="clear" w:color="auto" w:fill="91ACEC" w:themeFill="accent1" w:themeFillTint="99"/>
            <w:vAlign w:val="center"/>
          </w:tcPr>
          <w:p w14:paraId="4AEDFE58" w14:textId="77777777" w:rsidR="000F3FC5" w:rsidRPr="008E1B6D" w:rsidRDefault="000F3FC5" w:rsidP="00E06275">
            <w:pPr>
              <w:spacing w:after="0"/>
              <w:jc w:val="right"/>
              <w:rPr>
                <w:rFonts w:eastAsia="Times New Roman" w:cs="Segoe UI"/>
                <w:b/>
                <w:sz w:val="18"/>
                <w:szCs w:val="18"/>
                <w:lang w:eastAsia="en-AU"/>
              </w:rPr>
            </w:pPr>
          </w:p>
        </w:tc>
        <w:tc>
          <w:tcPr>
            <w:tcW w:w="1242" w:type="dxa"/>
            <w:shd w:val="clear" w:color="auto" w:fill="91ACEC" w:themeFill="accent1" w:themeFillTint="99"/>
          </w:tcPr>
          <w:p w14:paraId="27434D56"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$2,168 </w:t>
            </w:r>
          </w:p>
        </w:tc>
        <w:tc>
          <w:tcPr>
            <w:tcW w:w="1242" w:type="dxa"/>
            <w:shd w:val="clear" w:color="auto" w:fill="91ACEC" w:themeFill="accent1" w:themeFillTint="99"/>
          </w:tcPr>
          <w:p w14:paraId="5BFAAE23"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$1,924 </w:t>
            </w:r>
          </w:p>
        </w:tc>
        <w:tc>
          <w:tcPr>
            <w:tcW w:w="1242" w:type="dxa"/>
            <w:shd w:val="clear" w:color="auto" w:fill="91ACEC" w:themeFill="accent1" w:themeFillTint="99"/>
          </w:tcPr>
          <w:p w14:paraId="3AF76303"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$2,349 </w:t>
            </w:r>
          </w:p>
        </w:tc>
        <w:tc>
          <w:tcPr>
            <w:tcW w:w="1242" w:type="dxa"/>
            <w:shd w:val="clear" w:color="auto" w:fill="91ACEC" w:themeFill="accent1" w:themeFillTint="99"/>
          </w:tcPr>
          <w:p w14:paraId="3F9E2BF4"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$1,893 </w:t>
            </w:r>
          </w:p>
        </w:tc>
        <w:tc>
          <w:tcPr>
            <w:tcW w:w="1242" w:type="dxa"/>
            <w:shd w:val="clear" w:color="auto" w:fill="91ACEC" w:themeFill="accent1" w:themeFillTint="99"/>
          </w:tcPr>
          <w:p w14:paraId="3208FC85"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$2,564 </w:t>
            </w:r>
          </w:p>
        </w:tc>
        <w:tc>
          <w:tcPr>
            <w:tcW w:w="1242" w:type="dxa"/>
            <w:shd w:val="clear" w:color="auto" w:fill="91ACEC" w:themeFill="accent1" w:themeFillTint="99"/>
          </w:tcPr>
          <w:p w14:paraId="1DCC3BBB"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$2,710 </w:t>
            </w:r>
          </w:p>
        </w:tc>
        <w:tc>
          <w:tcPr>
            <w:tcW w:w="1242" w:type="dxa"/>
            <w:shd w:val="clear" w:color="auto" w:fill="91ACEC" w:themeFill="accent1" w:themeFillTint="99"/>
          </w:tcPr>
          <w:p w14:paraId="3F1C3E5D"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$2,139 </w:t>
            </w:r>
          </w:p>
        </w:tc>
        <w:tc>
          <w:tcPr>
            <w:tcW w:w="1242" w:type="dxa"/>
            <w:shd w:val="clear" w:color="auto" w:fill="91ACEC" w:themeFill="accent1" w:themeFillTint="99"/>
          </w:tcPr>
          <w:p w14:paraId="39914FED"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 xml:space="preserve"> $2,208</w:t>
            </w:r>
          </w:p>
        </w:tc>
        <w:tc>
          <w:tcPr>
            <w:tcW w:w="1242" w:type="dxa"/>
            <w:shd w:val="clear" w:color="auto" w:fill="91ACEC" w:themeFill="accent1" w:themeFillTint="99"/>
          </w:tcPr>
          <w:p w14:paraId="16B3FE48" w14:textId="77777777" w:rsidR="000F3FC5" w:rsidRPr="008E1B6D" w:rsidRDefault="000F3FC5" w:rsidP="00E06275">
            <w:pPr>
              <w:spacing w:after="0"/>
              <w:jc w:val="right"/>
              <w:rPr>
                <w:rFonts w:asciiTheme="majorHAnsi" w:eastAsia="Times New Roman" w:hAnsiTheme="majorHAnsi" w:cstheme="majorHAnsi"/>
                <w:b/>
                <w:sz w:val="18"/>
                <w:szCs w:val="18"/>
                <w:lang w:eastAsia="en-AU"/>
              </w:rPr>
            </w:pPr>
            <w:r w:rsidRPr="008E1B6D">
              <w:rPr>
                <w:rFonts w:asciiTheme="majorHAnsi" w:hAnsiTheme="majorHAnsi" w:cstheme="majorHAnsi"/>
                <w:b/>
                <w:sz w:val="18"/>
                <w:szCs w:val="18"/>
              </w:rPr>
              <w:t>$1,843</w:t>
            </w:r>
          </w:p>
        </w:tc>
      </w:tr>
    </w:tbl>
    <w:p w14:paraId="614D08DD" w14:textId="77777777" w:rsidR="00197690" w:rsidRDefault="00197690" w:rsidP="0062730D">
      <w:pPr>
        <w:pStyle w:val="Paragraph"/>
        <w:rPr>
          <w:lang w:eastAsia="en-US"/>
        </w:rPr>
        <w:sectPr w:rsidR="00197690" w:rsidSect="000F3FC5">
          <w:footnotePr>
            <w:numRestart w:val="eachSect"/>
          </w:footnotePr>
          <w:pgSz w:w="16838" w:h="11906" w:orient="landscape" w:code="9"/>
          <w:pgMar w:top="1440" w:right="1440" w:bottom="1440" w:left="1440" w:header="709" w:footer="709" w:gutter="0"/>
          <w:cols w:space="708"/>
          <w:titlePg/>
          <w:docGrid w:linePitch="360"/>
        </w:sectPr>
      </w:pPr>
    </w:p>
    <w:p w14:paraId="4F6BCF86" w14:textId="6684A1CF" w:rsidR="00C67363" w:rsidRDefault="00C67363" w:rsidP="00C67363">
      <w:pPr>
        <w:pStyle w:val="SWAHeading1"/>
        <w:numPr>
          <w:ilvl w:val="0"/>
          <w:numId w:val="0"/>
        </w:numPr>
        <w:ind w:left="567" w:hanging="567"/>
      </w:pPr>
      <w:bookmarkStart w:id="751" w:name="AppendixI_StandardisedCostInputTables"/>
      <w:bookmarkStart w:id="752" w:name="_Toc193867333"/>
      <w:bookmarkStart w:id="753" w:name="_Toc199184060"/>
      <w:bookmarkStart w:id="754" w:name="_Toc199361206"/>
      <w:bookmarkStart w:id="755" w:name="_Toc219216951"/>
      <w:bookmarkStart w:id="756" w:name="_Toc194003969"/>
      <w:bookmarkEnd w:id="751"/>
      <w:r>
        <w:lastRenderedPageBreak/>
        <w:t xml:space="preserve">Appendix </w:t>
      </w:r>
      <w:r w:rsidR="00006136">
        <w:t>I</w:t>
      </w:r>
      <w:r w:rsidR="000B74A2">
        <w:t xml:space="preserve"> </w:t>
      </w:r>
      <w:r>
        <w:t>- Standardised cost input tables</w:t>
      </w:r>
      <w:bookmarkEnd w:id="752"/>
      <w:bookmarkEnd w:id="753"/>
      <w:bookmarkEnd w:id="754"/>
      <w:bookmarkEnd w:id="755"/>
      <w:r>
        <w:t xml:space="preserve"> </w:t>
      </w:r>
      <w:bookmarkEnd w:id="756"/>
    </w:p>
    <w:p w14:paraId="76051B4C" w14:textId="69FF5F9B" w:rsidR="00C67363" w:rsidRPr="00C67363" w:rsidRDefault="00352C12" w:rsidP="00C67363">
      <w:pPr>
        <w:pStyle w:val="TableNText"/>
        <w:rPr>
          <w:rStyle w:val="TableNTextChar"/>
          <w:rFonts w:asciiTheme="minorHAnsi" w:hAnsiTheme="minorHAnsi" w:cstheme="minorHAnsi"/>
          <w:sz w:val="22"/>
        </w:rPr>
      </w:pPr>
      <w:r w:rsidRPr="00352C12">
        <w:rPr>
          <w:rFonts w:asciiTheme="minorHAnsi" w:hAnsiTheme="minorHAnsi" w:cstheme="minorHAnsi"/>
          <w:sz w:val="22"/>
        </w:rPr>
        <w:fldChar w:fldCharType="begin"/>
      </w:r>
      <w:r w:rsidRPr="00352C12">
        <w:rPr>
          <w:rFonts w:asciiTheme="minorHAnsi" w:hAnsiTheme="minorHAnsi" w:cstheme="minorHAnsi"/>
          <w:sz w:val="22"/>
        </w:rPr>
        <w:instrText xml:space="preserve"> REF _Ref216794430 \h </w:instrText>
      </w:r>
      <w:r w:rsidRPr="00A14005">
        <w:rPr>
          <w:rFonts w:asciiTheme="minorHAnsi" w:hAnsiTheme="minorHAnsi" w:cstheme="minorHAnsi"/>
          <w:sz w:val="22"/>
        </w:rPr>
        <w:instrText xml:space="preserve"> \* MERGEFORMAT </w:instrText>
      </w:r>
      <w:r w:rsidRPr="00352C12">
        <w:rPr>
          <w:rFonts w:asciiTheme="minorHAnsi" w:hAnsiTheme="minorHAnsi" w:cstheme="minorHAnsi"/>
          <w:sz w:val="22"/>
        </w:rPr>
      </w:r>
      <w:r w:rsidRPr="00352C12">
        <w:rPr>
          <w:rFonts w:asciiTheme="minorHAnsi" w:hAnsiTheme="minorHAnsi" w:cstheme="minorHAnsi"/>
          <w:sz w:val="22"/>
        </w:rPr>
        <w:fldChar w:fldCharType="separate"/>
      </w:r>
      <w:r w:rsidR="00A002F4" w:rsidRPr="00A002F4">
        <w:rPr>
          <w:rFonts w:asciiTheme="minorHAnsi" w:hAnsiTheme="minorHAnsi" w:cstheme="minorHAnsi"/>
          <w:sz w:val="22"/>
        </w:rPr>
        <w:t xml:space="preserve">Table </w:t>
      </w:r>
      <w:r w:rsidR="00A002F4" w:rsidRPr="00A002F4">
        <w:rPr>
          <w:rFonts w:asciiTheme="minorHAnsi" w:hAnsiTheme="minorHAnsi" w:cstheme="minorHAnsi"/>
          <w:noProof/>
          <w:sz w:val="22"/>
        </w:rPr>
        <w:t>81</w:t>
      </w:r>
      <w:r w:rsidRPr="00352C12">
        <w:rPr>
          <w:rFonts w:asciiTheme="minorHAnsi" w:hAnsiTheme="minorHAnsi" w:cstheme="minorHAnsi"/>
          <w:sz w:val="22"/>
        </w:rPr>
        <w:fldChar w:fldCharType="end"/>
      </w:r>
      <w:r w:rsidRPr="00352C12">
        <w:rPr>
          <w:rFonts w:asciiTheme="minorHAnsi" w:hAnsiTheme="minorHAnsi" w:cstheme="minorHAnsi"/>
          <w:sz w:val="22"/>
        </w:rPr>
        <w:t xml:space="preserve"> </w:t>
      </w:r>
      <w:r w:rsidR="00C67363" w:rsidRPr="00C67363">
        <w:rPr>
          <w:rFonts w:asciiTheme="minorHAnsi" w:hAnsiTheme="minorHAnsi" w:cstheme="minorHAnsi"/>
          <w:sz w:val="22"/>
          <w:lang w:eastAsia="en-AU"/>
        </w:rPr>
        <w:t xml:space="preserve">presents the weightings applied to each ACCI standardised cost item and previous Decision RIS standardised cost item per business size. These weightings have been calculated </w:t>
      </w:r>
      <w:r w:rsidR="00C67363" w:rsidRPr="00C67363">
        <w:rPr>
          <w:rStyle w:val="TableNTextChar"/>
          <w:rFonts w:asciiTheme="minorHAnsi" w:hAnsiTheme="minorHAnsi" w:cstheme="minorHAnsi"/>
          <w:sz w:val="22"/>
        </w:rPr>
        <w:t>based on the count of survey responses provided by ACCI and the Decision RIS for each control measure or management practice, by business size. These figures have been calculated based on the following inputs:</w:t>
      </w:r>
    </w:p>
    <w:p w14:paraId="3CF527B9" w14:textId="77777777" w:rsidR="00C67363" w:rsidRPr="00EC4591" w:rsidRDefault="002A11AD" w:rsidP="00C67363">
      <w:pPr>
        <w:spacing w:before="240"/>
        <w:rPr>
          <w:rFonts w:eastAsiaTheme="minorEastAsia"/>
          <w:szCs w:val="19"/>
          <w:lang w:eastAsia="en-AU"/>
        </w:rPr>
      </w:pPr>
      <m:oMathPara>
        <m:oMathParaPr>
          <m:jc m:val="left"/>
        </m:oMathParaPr>
        <m:oMath>
          <m:sSub>
            <m:sSubPr>
              <m:ctrlPr>
                <w:rPr>
                  <w:rFonts w:ascii="Cambria Math" w:hAnsi="Cambria Math"/>
                  <w:i/>
                  <w:szCs w:val="19"/>
                  <w:lang w:eastAsia="en-AU"/>
                </w:rPr>
              </m:ctrlPr>
            </m:sSubPr>
            <m:e>
              <m:r>
                <w:rPr>
                  <w:rFonts w:ascii="Cambria Math" w:hAnsi="Cambria Math"/>
                  <w:szCs w:val="19"/>
                  <w:lang w:eastAsia="en-AU"/>
                </w:rPr>
                <m:t>Weig</m:t>
              </m:r>
              <m:r>
                <w:rPr>
                  <w:rFonts w:ascii="Cambria Math" w:hAnsi="Cambria Math"/>
                  <w:szCs w:val="19"/>
                  <w:lang w:eastAsia="en-AU"/>
                </w:rPr>
                <m:t>h</m:t>
              </m:r>
              <m:r>
                <w:rPr>
                  <w:rFonts w:ascii="Cambria Math" w:hAnsi="Cambria Math"/>
                  <w:szCs w:val="19"/>
                  <w:lang w:eastAsia="en-AU"/>
                </w:rPr>
                <m:t>ting</m:t>
              </m:r>
            </m:e>
            <m:sub>
              <m:r>
                <w:rPr>
                  <w:rFonts w:ascii="Cambria Math" w:hAnsi="Cambria Math"/>
                  <w:szCs w:val="19"/>
                  <w:lang w:eastAsia="en-AU"/>
                </w:rPr>
                <m:t>ACCI</m:t>
              </m:r>
            </m:sub>
          </m:sSub>
          <m:r>
            <w:rPr>
              <w:rFonts w:ascii="Cambria Math" w:hAnsi="Cambria Math"/>
              <w:szCs w:val="19"/>
              <w:lang w:eastAsia="en-AU"/>
            </w:rPr>
            <m:t>=</m:t>
          </m:r>
          <m:r>
            <w:rPr>
              <w:rFonts w:ascii="Cambria Math" w:eastAsiaTheme="minorEastAsia" w:hAnsi="Cambria Math"/>
              <w:szCs w:val="19"/>
              <w:lang w:eastAsia="en-AU"/>
            </w:rPr>
            <m:t xml:space="preserve"> </m:t>
          </m:r>
          <m:f>
            <m:fPr>
              <m:type m:val="lin"/>
              <m:ctrlPr>
                <w:rPr>
                  <w:rFonts w:ascii="Cambria Math" w:eastAsiaTheme="minorEastAsia" w:hAnsi="Cambria Math"/>
                  <w:i/>
                  <w:szCs w:val="19"/>
                  <w:lang w:eastAsia="en-AU"/>
                </w:rPr>
              </m:ctrlPr>
            </m:fPr>
            <m:num>
              <m:sSubSup>
                <m:sSubSupPr>
                  <m:ctrlPr>
                    <w:rPr>
                      <w:rFonts w:ascii="Cambria Math" w:eastAsiaTheme="minorEastAsia" w:hAnsi="Cambria Math"/>
                      <w:i/>
                      <w:szCs w:val="19"/>
                      <w:lang w:eastAsia="en-AU"/>
                    </w:rPr>
                  </m:ctrlPr>
                </m:sSubSupPr>
                <m:e>
                  <m:r>
                    <w:rPr>
                      <w:rFonts w:ascii="Cambria Math" w:eastAsiaTheme="minorEastAsia" w:hAnsi="Cambria Math"/>
                      <w:szCs w:val="19"/>
                      <w:lang w:eastAsia="en-AU"/>
                    </w:rPr>
                    <m:t>ACCI</m:t>
                  </m:r>
                  <m:r>
                    <w:rPr>
                      <w:rFonts w:ascii="Cambria Math" w:eastAsiaTheme="minorEastAsia" w:hAnsi="Cambria Math"/>
                      <w:szCs w:val="19"/>
                      <w:lang w:eastAsia="en-AU"/>
                    </w:rPr>
                    <m:t xml:space="preserve"> </m:t>
                  </m:r>
                  <m:r>
                    <w:rPr>
                      <w:rFonts w:ascii="Cambria Math" w:eastAsiaTheme="minorEastAsia" w:hAnsi="Cambria Math"/>
                      <w:szCs w:val="19"/>
                      <w:lang w:eastAsia="en-AU"/>
                    </w:rPr>
                    <m:t>Responses</m:t>
                  </m:r>
                </m:e>
                <m:sub>
                  <m:r>
                    <w:rPr>
                      <w:rFonts w:ascii="Cambria Math" w:eastAsiaTheme="minorEastAsia" w:hAnsi="Cambria Math"/>
                      <w:szCs w:val="19"/>
                      <w:lang w:eastAsia="en-AU"/>
                    </w:rPr>
                    <m:t>CI</m:t>
                  </m:r>
                </m:sub>
                <m:sup>
                  <m:r>
                    <w:rPr>
                      <w:rFonts w:ascii="Cambria Math" w:eastAsiaTheme="minorEastAsia" w:hAnsi="Cambria Math"/>
                      <w:szCs w:val="19"/>
                      <w:lang w:eastAsia="en-AU"/>
                    </w:rPr>
                    <m:t>S</m:t>
                  </m:r>
                </m:sup>
              </m:sSubSup>
            </m:num>
            <m:den>
              <m:r>
                <w:rPr>
                  <w:rFonts w:ascii="Cambria Math" w:eastAsiaTheme="minorEastAsia" w:hAnsi="Cambria Math"/>
                  <w:szCs w:val="19"/>
                  <w:lang w:eastAsia="en-AU"/>
                </w:rPr>
                <m:t>(</m:t>
              </m:r>
              <m:sSubSup>
                <m:sSubSupPr>
                  <m:ctrlPr>
                    <w:rPr>
                      <w:rFonts w:ascii="Cambria Math" w:eastAsiaTheme="minorEastAsia" w:hAnsi="Cambria Math"/>
                      <w:i/>
                      <w:szCs w:val="19"/>
                      <w:lang w:eastAsia="en-AU"/>
                    </w:rPr>
                  </m:ctrlPr>
                </m:sSubSupPr>
                <m:e>
                  <m:r>
                    <w:rPr>
                      <w:rFonts w:ascii="Cambria Math" w:eastAsiaTheme="minorEastAsia" w:hAnsi="Cambria Math"/>
                      <w:szCs w:val="19"/>
                      <w:lang w:eastAsia="en-AU"/>
                    </w:rPr>
                    <m:t>ACCI</m:t>
                  </m:r>
                  <m:r>
                    <w:rPr>
                      <w:rFonts w:ascii="Cambria Math" w:eastAsiaTheme="minorEastAsia" w:hAnsi="Cambria Math"/>
                      <w:szCs w:val="19"/>
                      <w:lang w:eastAsia="en-AU"/>
                    </w:rPr>
                    <m:t xml:space="preserve"> </m:t>
                  </m:r>
                  <m:r>
                    <w:rPr>
                      <w:rFonts w:ascii="Cambria Math" w:eastAsiaTheme="minorEastAsia" w:hAnsi="Cambria Math"/>
                      <w:szCs w:val="19"/>
                      <w:lang w:eastAsia="en-AU"/>
                    </w:rPr>
                    <m:t>Responses</m:t>
                  </m:r>
                </m:e>
                <m:sub>
                  <m:r>
                    <w:rPr>
                      <w:rFonts w:ascii="Cambria Math" w:eastAsiaTheme="minorEastAsia" w:hAnsi="Cambria Math"/>
                      <w:szCs w:val="19"/>
                      <w:lang w:eastAsia="en-AU"/>
                    </w:rPr>
                    <m:t>CI</m:t>
                  </m:r>
                </m:sub>
                <m:sup>
                  <m:r>
                    <w:rPr>
                      <w:rFonts w:ascii="Cambria Math" w:eastAsiaTheme="minorEastAsia" w:hAnsi="Cambria Math"/>
                      <w:szCs w:val="19"/>
                      <w:lang w:eastAsia="en-AU"/>
                    </w:rPr>
                    <m:t>S</m:t>
                  </m:r>
                </m:sup>
              </m:sSubSup>
              <m:r>
                <w:rPr>
                  <w:rFonts w:ascii="Cambria Math" w:eastAsiaTheme="minorEastAsia" w:hAnsi="Cambria Math"/>
                  <w:szCs w:val="19"/>
                  <w:lang w:eastAsia="en-AU"/>
                </w:rPr>
                <m:t>+</m:t>
              </m:r>
              <m:sSubSup>
                <m:sSubSupPr>
                  <m:ctrlPr>
                    <w:rPr>
                      <w:rFonts w:ascii="Cambria Math" w:eastAsiaTheme="minorEastAsia" w:hAnsi="Cambria Math"/>
                      <w:i/>
                      <w:szCs w:val="19"/>
                      <w:lang w:eastAsia="en-AU"/>
                    </w:rPr>
                  </m:ctrlPr>
                </m:sSubSupPr>
                <m:e>
                  <m:r>
                    <w:rPr>
                      <w:rFonts w:ascii="Cambria Math" w:eastAsiaTheme="minorEastAsia" w:hAnsi="Cambria Math"/>
                      <w:szCs w:val="19"/>
                      <w:lang w:eastAsia="en-AU"/>
                    </w:rPr>
                    <m:t>DRIS</m:t>
                  </m:r>
                  <m:r>
                    <w:rPr>
                      <w:rFonts w:ascii="Cambria Math" w:eastAsiaTheme="minorEastAsia" w:hAnsi="Cambria Math"/>
                      <w:szCs w:val="19"/>
                      <w:lang w:eastAsia="en-AU"/>
                    </w:rPr>
                    <m:t xml:space="preserve"> </m:t>
                  </m:r>
                  <m:r>
                    <w:rPr>
                      <w:rFonts w:ascii="Cambria Math" w:eastAsiaTheme="minorEastAsia" w:hAnsi="Cambria Math"/>
                      <w:szCs w:val="19"/>
                      <w:lang w:eastAsia="en-AU"/>
                    </w:rPr>
                    <m:t>Responses</m:t>
                  </m:r>
                </m:e>
                <m:sub>
                  <m:r>
                    <w:rPr>
                      <w:rFonts w:ascii="Cambria Math" w:eastAsiaTheme="minorEastAsia" w:hAnsi="Cambria Math"/>
                      <w:szCs w:val="19"/>
                      <w:lang w:eastAsia="en-AU"/>
                    </w:rPr>
                    <m:t>CI</m:t>
                  </m:r>
                </m:sub>
                <m:sup>
                  <m:r>
                    <w:rPr>
                      <w:rFonts w:ascii="Cambria Math" w:eastAsiaTheme="minorEastAsia" w:hAnsi="Cambria Math"/>
                      <w:szCs w:val="19"/>
                      <w:lang w:eastAsia="en-AU"/>
                    </w:rPr>
                    <m:t>S</m:t>
                  </m:r>
                </m:sup>
              </m:sSubSup>
            </m:den>
          </m:f>
          <m:r>
            <w:rPr>
              <w:rFonts w:ascii="Cambria Math" w:eastAsiaTheme="minorEastAsia" w:hAnsi="Cambria Math"/>
              <w:szCs w:val="19"/>
              <w:lang w:eastAsia="en-AU"/>
            </w:rPr>
            <m:t>),</m:t>
          </m:r>
        </m:oMath>
      </m:oMathPara>
    </w:p>
    <w:p w14:paraId="2401BA74" w14:textId="77777777" w:rsidR="00C67363" w:rsidRPr="00DF2C40" w:rsidRDefault="002A11AD" w:rsidP="00C67363">
      <w:pPr>
        <w:pStyle w:val="TableNText"/>
        <w:rPr>
          <w:rFonts w:eastAsiaTheme="minorEastAsia"/>
          <w:sz w:val="19"/>
          <w:szCs w:val="19"/>
          <w:lang w:eastAsia="en-AU"/>
        </w:rPr>
      </w:pPr>
      <m:oMath>
        <m:sSub>
          <m:sSubPr>
            <m:ctrlPr>
              <w:rPr>
                <w:rFonts w:ascii="Cambria Math" w:eastAsiaTheme="minorEastAsia" w:hAnsi="Cambria Math"/>
                <w:i/>
                <w:sz w:val="19"/>
                <w:szCs w:val="19"/>
                <w:lang w:eastAsia="en-AU"/>
              </w:rPr>
            </m:ctrlPr>
          </m:sSubPr>
          <m:e>
            <m:r>
              <w:rPr>
                <w:rFonts w:ascii="Cambria Math" w:eastAsiaTheme="minorEastAsia" w:hAnsi="Cambria Math"/>
                <w:sz w:val="19"/>
                <w:szCs w:val="19"/>
                <w:lang w:eastAsia="en-AU"/>
              </w:rPr>
              <m:t>Weig</m:t>
            </m:r>
            <m:r>
              <w:rPr>
                <w:rFonts w:ascii="Cambria Math" w:eastAsiaTheme="minorEastAsia" w:hAnsi="Cambria Math"/>
                <w:sz w:val="19"/>
                <w:szCs w:val="19"/>
                <w:lang w:eastAsia="en-AU"/>
              </w:rPr>
              <m:t>h</m:t>
            </m:r>
            <m:r>
              <w:rPr>
                <w:rFonts w:ascii="Cambria Math" w:eastAsiaTheme="minorEastAsia" w:hAnsi="Cambria Math"/>
                <w:sz w:val="19"/>
                <w:szCs w:val="19"/>
                <w:lang w:eastAsia="en-AU"/>
              </w:rPr>
              <m:t>ting</m:t>
            </m:r>
          </m:e>
          <m:sub>
            <m:r>
              <w:rPr>
                <w:rFonts w:ascii="Cambria Math" w:eastAsiaTheme="minorEastAsia" w:hAnsi="Cambria Math"/>
                <w:sz w:val="19"/>
                <w:szCs w:val="19"/>
                <w:lang w:eastAsia="en-AU"/>
              </w:rPr>
              <m:t>DRIS</m:t>
            </m:r>
          </m:sub>
        </m:sSub>
        <m:r>
          <w:rPr>
            <w:rFonts w:ascii="Cambria Math" w:eastAsiaTheme="minorEastAsia" w:hAnsi="Cambria Math"/>
            <w:sz w:val="19"/>
            <w:szCs w:val="19"/>
            <w:lang w:eastAsia="en-AU"/>
          </w:rPr>
          <m:t>=1-</m:t>
        </m:r>
        <m:sSub>
          <m:sSubPr>
            <m:ctrlPr>
              <w:rPr>
                <w:rFonts w:ascii="Cambria Math" w:hAnsi="Cambria Math"/>
                <w:i/>
                <w:sz w:val="19"/>
                <w:szCs w:val="19"/>
                <w:lang w:eastAsia="en-AU"/>
              </w:rPr>
            </m:ctrlPr>
          </m:sSubPr>
          <m:e>
            <m:r>
              <w:rPr>
                <w:rFonts w:ascii="Cambria Math" w:hAnsi="Cambria Math"/>
                <w:sz w:val="19"/>
                <w:szCs w:val="19"/>
                <w:lang w:eastAsia="en-AU"/>
              </w:rPr>
              <m:t>Weig</m:t>
            </m:r>
            <m:r>
              <w:rPr>
                <w:rFonts w:ascii="Cambria Math" w:hAnsi="Cambria Math"/>
                <w:sz w:val="19"/>
                <w:szCs w:val="19"/>
                <w:lang w:eastAsia="en-AU"/>
              </w:rPr>
              <m:t>h</m:t>
            </m:r>
            <m:r>
              <w:rPr>
                <w:rFonts w:ascii="Cambria Math" w:hAnsi="Cambria Math"/>
                <w:sz w:val="19"/>
                <w:szCs w:val="19"/>
                <w:lang w:eastAsia="en-AU"/>
              </w:rPr>
              <m:t>ting</m:t>
            </m:r>
          </m:e>
          <m:sub>
            <m:r>
              <w:rPr>
                <w:rFonts w:ascii="Cambria Math" w:hAnsi="Cambria Math"/>
                <w:sz w:val="19"/>
                <w:szCs w:val="19"/>
                <w:lang w:eastAsia="en-AU"/>
              </w:rPr>
              <m:t>ACCI</m:t>
            </m:r>
          </m:sub>
        </m:sSub>
        <m:r>
          <w:rPr>
            <w:rFonts w:ascii="Cambria Math" w:hAnsi="Cambria Math"/>
            <w:sz w:val="19"/>
            <w:szCs w:val="19"/>
            <w:lang w:eastAsia="en-AU"/>
          </w:rPr>
          <m:t>,</m:t>
        </m:r>
      </m:oMath>
      <w:r w:rsidR="00C67363" w:rsidRPr="00EC4591">
        <w:rPr>
          <w:rFonts w:eastAsiaTheme="minorEastAsia"/>
          <w:sz w:val="19"/>
          <w:szCs w:val="19"/>
          <w:lang w:eastAsia="en-AU"/>
        </w:rPr>
        <w:t xml:space="preserve"> where:</w:t>
      </w:r>
    </w:p>
    <w:p w14:paraId="715AAA3C" w14:textId="77777777" w:rsidR="00C67363" w:rsidRPr="00E2192A" w:rsidRDefault="00C67363" w:rsidP="00A2768E">
      <w:pPr>
        <w:pStyle w:val="ListParagraph"/>
        <w:numPr>
          <w:ilvl w:val="0"/>
          <w:numId w:val="160"/>
        </w:numPr>
        <w:suppressAutoHyphens/>
        <w:spacing w:after="80" w:line="259" w:lineRule="auto"/>
        <w:ind w:left="714" w:hanging="357"/>
        <w:contextualSpacing w:val="0"/>
      </w:pPr>
      <w:r w:rsidRPr="00E2192A">
        <w:t xml:space="preserve">DRIS represents data sourced from SWA’s </w:t>
      </w:r>
      <w:r>
        <w:t xml:space="preserve">2019 </w:t>
      </w:r>
      <w:r w:rsidRPr="00E2192A">
        <w:t>Decision RIS: Workplace Exposure Standards</w:t>
      </w:r>
    </w:p>
    <w:p w14:paraId="3E41C58B" w14:textId="77777777" w:rsidR="00C67363" w:rsidRPr="00E2192A" w:rsidRDefault="00C67363" w:rsidP="00A2768E">
      <w:pPr>
        <w:pStyle w:val="ListParagraph"/>
        <w:numPr>
          <w:ilvl w:val="0"/>
          <w:numId w:val="160"/>
        </w:numPr>
        <w:suppressAutoHyphens/>
        <w:spacing w:after="80" w:line="259" w:lineRule="auto"/>
        <w:ind w:left="714" w:hanging="357"/>
        <w:contextualSpacing w:val="0"/>
      </w:pPr>
      <w:r w:rsidRPr="00E2192A">
        <w:t>ACCI represents data sourced from the Australian Chamber of Commerce and Industry</w:t>
      </w:r>
    </w:p>
    <w:p w14:paraId="7C44482C" w14:textId="77777777" w:rsidR="00C67363" w:rsidRPr="00E2192A" w:rsidRDefault="00C67363" w:rsidP="00A2768E">
      <w:pPr>
        <w:pStyle w:val="ListParagraph"/>
        <w:numPr>
          <w:ilvl w:val="0"/>
          <w:numId w:val="160"/>
        </w:numPr>
        <w:suppressAutoHyphens/>
        <w:spacing w:after="80" w:line="259" w:lineRule="auto"/>
        <w:ind w:left="714" w:hanging="357"/>
        <w:contextualSpacing w:val="0"/>
      </w:pPr>
      <w:r w:rsidRPr="00E2192A">
        <w:t>CI represents each cost item</w:t>
      </w:r>
    </w:p>
    <w:p w14:paraId="19CD41CD" w14:textId="2DDF7E8A" w:rsidR="00AE4EA9" w:rsidRPr="00A14005" w:rsidRDefault="00C67363" w:rsidP="00144BE5">
      <w:pPr>
        <w:pStyle w:val="ListParagraph"/>
        <w:numPr>
          <w:ilvl w:val="0"/>
          <w:numId w:val="160"/>
        </w:numPr>
        <w:suppressAutoHyphens/>
        <w:spacing w:after="80" w:line="259" w:lineRule="auto"/>
        <w:ind w:left="714" w:hanging="357"/>
        <w:contextualSpacing w:val="0"/>
        <w:rPr>
          <w:rFonts w:eastAsiaTheme="minorEastAsia"/>
        </w:rPr>
      </w:pPr>
      <w:r w:rsidRPr="00E2192A">
        <w:t>S represents the business size categories</w:t>
      </w:r>
      <w:r>
        <w:t>.</w:t>
      </w:r>
    </w:p>
    <w:p w14:paraId="4766A893" w14:textId="45A4E70B" w:rsidR="00352C12" w:rsidRDefault="00352C12" w:rsidP="00144BE5">
      <w:pPr>
        <w:pStyle w:val="Caption"/>
      </w:pPr>
      <w:bookmarkStart w:id="757" w:name="_Ref216794430"/>
      <w:r>
        <w:t xml:space="preserve">Table </w:t>
      </w:r>
      <w:fldSimple w:instr=" SEQ Table \* ARABIC ">
        <w:r w:rsidR="00A002F4">
          <w:rPr>
            <w:noProof/>
          </w:rPr>
          <w:t>81</w:t>
        </w:r>
      </w:fldSimple>
      <w:bookmarkEnd w:id="757"/>
      <w:r>
        <w:t xml:space="preserve"> - </w:t>
      </w:r>
      <w:r w:rsidRPr="005D6A25">
        <w:t>Weightings applied to each ACCI and previous Decision RIS standardised cost item</w:t>
      </w:r>
    </w:p>
    <w:tbl>
      <w:tblPr>
        <w:tblStyle w:val="NousTableTopandsid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9"/>
        <w:gridCol w:w="1548"/>
        <w:gridCol w:w="2704"/>
        <w:gridCol w:w="2705"/>
      </w:tblGrid>
      <w:tr w:rsidR="0085684E" w:rsidRPr="00EC4591" w14:paraId="2C346B5E" w14:textId="77777777" w:rsidTr="005B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0A63F75A" w14:textId="77777777" w:rsidR="0085684E" w:rsidRPr="00222BE0" w:rsidRDefault="0085684E" w:rsidP="005B3F7E">
            <w:pPr>
              <w:pStyle w:val="Caption"/>
              <w:keepNext w:val="0"/>
              <w:spacing w:before="0"/>
              <w:rPr>
                <w:color w:val="FFFFFF" w:themeColor="background1"/>
                <w:sz w:val="20"/>
                <w:szCs w:val="20"/>
              </w:rPr>
            </w:pPr>
            <w:r w:rsidRPr="00222BE0">
              <w:rPr>
                <w:color w:val="FFFFFF" w:themeColor="background1"/>
                <w:sz w:val="20"/>
                <w:szCs w:val="20"/>
              </w:rPr>
              <w:t>Cost item</w:t>
            </w:r>
          </w:p>
        </w:tc>
        <w:tc>
          <w:tcPr>
            <w:tcW w:w="1548"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3814EE18" w14:textId="77777777" w:rsidR="0085684E" w:rsidRPr="00222BE0" w:rsidRDefault="0085684E" w:rsidP="005B3F7E">
            <w:pPr>
              <w:pStyle w:val="Caption"/>
              <w:keepNext w:val="0"/>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2BE0">
              <w:rPr>
                <w:color w:val="FFFFFF" w:themeColor="background1"/>
                <w:sz w:val="20"/>
                <w:szCs w:val="20"/>
              </w:rPr>
              <w:t>Business size</w:t>
            </w:r>
          </w:p>
        </w:tc>
        <w:tc>
          <w:tcPr>
            <w:tcW w:w="270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877E0" w:themeFill="accent1"/>
          </w:tcPr>
          <w:p w14:paraId="15FEE39E" w14:textId="77777777" w:rsidR="0085684E" w:rsidRPr="00222BE0" w:rsidRDefault="0085684E" w:rsidP="005B3F7E">
            <w:pPr>
              <w:pStyle w:val="Caption"/>
              <w:keepNext w:val="0"/>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2BE0">
              <w:rPr>
                <w:color w:val="FFFFFF" w:themeColor="background1"/>
                <w:sz w:val="20"/>
                <w:szCs w:val="20"/>
              </w:rPr>
              <w:t>ACCI cost weighting</w:t>
            </w:r>
          </w:p>
        </w:tc>
        <w:tc>
          <w:tcPr>
            <w:tcW w:w="2705" w:type="dxa"/>
            <w:tcBorders>
              <w:top w:val="single" w:sz="4" w:space="0" w:color="BFBFBF" w:themeColor="background1" w:themeShade="BF"/>
              <w:left w:val="single" w:sz="4" w:space="0" w:color="BFBFBF" w:themeColor="background1" w:themeShade="BF"/>
            </w:tcBorders>
            <w:shd w:val="clear" w:color="auto" w:fill="4877E0" w:themeFill="accent1"/>
          </w:tcPr>
          <w:p w14:paraId="6E6ED027" w14:textId="77777777" w:rsidR="0085684E" w:rsidRPr="00222BE0" w:rsidRDefault="0085684E" w:rsidP="005B3F7E">
            <w:pPr>
              <w:pStyle w:val="Caption"/>
              <w:keepNext w:val="0"/>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2BE0">
              <w:rPr>
                <w:color w:val="FFFFFF" w:themeColor="background1"/>
                <w:sz w:val="20"/>
                <w:szCs w:val="20"/>
              </w:rPr>
              <w:t>Decision RIS cost weighting</w:t>
            </w:r>
          </w:p>
        </w:tc>
      </w:tr>
      <w:tr w:rsidR="0085684E" w:rsidRPr="00EC4591" w14:paraId="0940785E" w14:textId="77777777" w:rsidTr="005B3F7E">
        <w:trPr>
          <w:trHeight w:val="204"/>
        </w:trPr>
        <w:tc>
          <w:tcPr>
            <w:cnfStyle w:val="001000000000" w:firstRow="0" w:lastRow="0" w:firstColumn="1" w:lastColumn="0" w:oddVBand="0" w:evenVBand="0" w:oddHBand="0" w:evenHBand="0" w:firstRowFirstColumn="0" w:firstRowLastColumn="0" w:lastRowFirstColumn="0" w:lastRowLastColumn="0"/>
            <w:tcW w:w="2059" w:type="dxa"/>
            <w:tcBorders>
              <w:left w:val="single" w:sz="4" w:space="0" w:color="BFBFBF" w:themeColor="background1" w:themeShade="BF"/>
            </w:tcBorders>
            <w:shd w:val="clear" w:color="auto" w:fill="91ACEC" w:themeFill="accent1" w:themeFillTint="99"/>
          </w:tcPr>
          <w:p w14:paraId="7207D115" w14:textId="77777777" w:rsidR="0085684E" w:rsidRPr="00611624" w:rsidRDefault="0085684E" w:rsidP="005B3F7E">
            <w:pPr>
              <w:pStyle w:val="Caption"/>
              <w:keepNext w:val="0"/>
              <w:spacing w:before="0"/>
              <w:contextualSpacing w:val="0"/>
              <w:rPr>
                <w:color w:val="auto"/>
                <w:sz w:val="20"/>
                <w:szCs w:val="20"/>
              </w:rPr>
            </w:pPr>
            <w:r w:rsidRPr="00611624">
              <w:rPr>
                <w:color w:val="auto"/>
                <w:sz w:val="20"/>
                <w:szCs w:val="20"/>
              </w:rPr>
              <w:t>Control measure</w:t>
            </w:r>
          </w:p>
        </w:tc>
        <w:tc>
          <w:tcPr>
            <w:tcW w:w="1548" w:type="dxa"/>
            <w:shd w:val="clear" w:color="auto" w:fill="91ACEC" w:themeFill="accent1" w:themeFillTint="99"/>
          </w:tcPr>
          <w:p w14:paraId="30ED0DF6"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04" w:type="dxa"/>
            <w:shd w:val="clear" w:color="auto" w:fill="91ACEC" w:themeFill="accent1" w:themeFillTint="99"/>
          </w:tcPr>
          <w:p w14:paraId="113D6F9C"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05" w:type="dxa"/>
            <w:shd w:val="clear" w:color="auto" w:fill="91ACEC" w:themeFill="accent1" w:themeFillTint="99"/>
          </w:tcPr>
          <w:p w14:paraId="7CEF73F5"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E4EA9" w:rsidRPr="00EC4591" w14:paraId="7F3E2CBC"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val="restart"/>
            <w:shd w:val="clear" w:color="auto" w:fill="FCFCFC" w:themeFill="background2" w:themeFillTint="1A"/>
          </w:tcPr>
          <w:p w14:paraId="09565317" w14:textId="77777777" w:rsidR="0085684E" w:rsidRPr="00611624" w:rsidRDefault="0085684E" w:rsidP="005B3F7E">
            <w:pPr>
              <w:pStyle w:val="Caption"/>
              <w:keepNext w:val="0"/>
              <w:spacing w:before="0"/>
              <w:rPr>
                <w:color w:val="auto"/>
                <w:sz w:val="20"/>
                <w:szCs w:val="20"/>
              </w:rPr>
            </w:pPr>
            <w:r w:rsidRPr="00611624">
              <w:rPr>
                <w:color w:val="auto"/>
                <w:sz w:val="20"/>
                <w:szCs w:val="20"/>
              </w:rPr>
              <w:t>Isolation controls</w:t>
            </w:r>
          </w:p>
        </w:tc>
        <w:tc>
          <w:tcPr>
            <w:tcW w:w="1548" w:type="dxa"/>
            <w:shd w:val="clear" w:color="auto" w:fill="auto"/>
          </w:tcPr>
          <w:p w14:paraId="4FBE61E3"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auto"/>
          </w:tcPr>
          <w:p w14:paraId="55BE14B6"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auto"/>
          </w:tcPr>
          <w:p w14:paraId="782D5C63"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AE4EA9" w:rsidRPr="00EC4591" w14:paraId="6E7F3324"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0F47225C"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36FDD2DA"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auto"/>
          </w:tcPr>
          <w:p w14:paraId="428ECE36"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1.7%</w:t>
            </w:r>
          </w:p>
        </w:tc>
        <w:tc>
          <w:tcPr>
            <w:tcW w:w="2705" w:type="dxa"/>
            <w:shd w:val="clear" w:color="auto" w:fill="auto"/>
          </w:tcPr>
          <w:p w14:paraId="7B89BF5C"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98%</w:t>
            </w:r>
          </w:p>
        </w:tc>
      </w:tr>
      <w:tr w:rsidR="00AE4EA9" w:rsidRPr="00EC4591" w14:paraId="2DEC80EF"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20D9DCB3"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60F472CD"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auto"/>
          </w:tcPr>
          <w:p w14:paraId="1CE51005"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1.6%</w:t>
            </w:r>
          </w:p>
        </w:tc>
        <w:tc>
          <w:tcPr>
            <w:tcW w:w="2705" w:type="dxa"/>
            <w:shd w:val="clear" w:color="auto" w:fill="auto"/>
          </w:tcPr>
          <w:p w14:paraId="1AA458B9"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98%</w:t>
            </w:r>
          </w:p>
        </w:tc>
      </w:tr>
      <w:tr w:rsidR="0085684E" w:rsidRPr="00EC4591" w14:paraId="77B036BE"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val="restart"/>
            <w:tcBorders>
              <w:left w:val="single" w:sz="4" w:space="0" w:color="BFBFBF" w:themeColor="background1" w:themeShade="BF"/>
            </w:tcBorders>
            <w:shd w:val="clear" w:color="auto" w:fill="DAE3F8" w:themeFill="accent1" w:themeFillTint="33"/>
          </w:tcPr>
          <w:p w14:paraId="651B0E7D" w14:textId="77777777" w:rsidR="0085684E" w:rsidRPr="00611624" w:rsidRDefault="0085684E" w:rsidP="005B3F7E">
            <w:pPr>
              <w:pStyle w:val="Caption"/>
              <w:keepNext w:val="0"/>
              <w:spacing w:before="0"/>
              <w:rPr>
                <w:color w:val="auto"/>
                <w:sz w:val="20"/>
                <w:szCs w:val="20"/>
              </w:rPr>
            </w:pPr>
            <w:r w:rsidRPr="00611624">
              <w:rPr>
                <w:color w:val="auto"/>
                <w:sz w:val="20"/>
                <w:szCs w:val="20"/>
              </w:rPr>
              <w:t>Engineering controls</w:t>
            </w:r>
          </w:p>
        </w:tc>
        <w:tc>
          <w:tcPr>
            <w:tcW w:w="1548" w:type="dxa"/>
            <w:shd w:val="clear" w:color="auto" w:fill="DAE3F8" w:themeFill="accent1" w:themeFillTint="33"/>
          </w:tcPr>
          <w:p w14:paraId="5A07BE0E"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DAE3F8" w:themeFill="accent1" w:themeFillTint="33"/>
          </w:tcPr>
          <w:p w14:paraId="76130775"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DAE3F8" w:themeFill="accent1" w:themeFillTint="33"/>
          </w:tcPr>
          <w:p w14:paraId="531214AE"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85684E" w:rsidRPr="00EC4591" w14:paraId="384F2714"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DAE3F8" w:themeFill="accent1" w:themeFillTint="33"/>
          </w:tcPr>
          <w:p w14:paraId="3E310791"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79FC18EB"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DAE3F8" w:themeFill="accent1" w:themeFillTint="33"/>
          </w:tcPr>
          <w:p w14:paraId="5754E80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DAE3F8" w:themeFill="accent1" w:themeFillTint="33"/>
          </w:tcPr>
          <w:p w14:paraId="6F555949"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85684E" w:rsidRPr="00EC4591" w14:paraId="74922746"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DAE3F8" w:themeFill="accent1" w:themeFillTint="33"/>
          </w:tcPr>
          <w:p w14:paraId="4F9AF0EC"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06197297"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DAE3F8" w:themeFill="accent1" w:themeFillTint="33"/>
          </w:tcPr>
          <w:p w14:paraId="194DD11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DAE3F8" w:themeFill="accent1" w:themeFillTint="33"/>
          </w:tcPr>
          <w:p w14:paraId="595A3438"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AE4EA9" w:rsidRPr="00EC4591" w14:paraId="067A444E"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val="restart"/>
            <w:shd w:val="clear" w:color="auto" w:fill="FCFCFC" w:themeFill="background2" w:themeFillTint="1A"/>
          </w:tcPr>
          <w:p w14:paraId="25F9ADF4" w14:textId="77777777" w:rsidR="0085684E" w:rsidRPr="00611624" w:rsidRDefault="0085684E" w:rsidP="005B3F7E">
            <w:pPr>
              <w:pStyle w:val="Caption"/>
              <w:keepNext w:val="0"/>
              <w:spacing w:before="0"/>
              <w:rPr>
                <w:color w:val="auto"/>
                <w:sz w:val="20"/>
                <w:szCs w:val="20"/>
              </w:rPr>
            </w:pPr>
            <w:r w:rsidRPr="00611624">
              <w:rPr>
                <w:color w:val="auto"/>
                <w:sz w:val="20"/>
                <w:szCs w:val="20"/>
              </w:rPr>
              <w:t>Administrative controls</w:t>
            </w:r>
          </w:p>
        </w:tc>
        <w:tc>
          <w:tcPr>
            <w:tcW w:w="1548" w:type="dxa"/>
            <w:shd w:val="clear" w:color="auto" w:fill="auto"/>
          </w:tcPr>
          <w:p w14:paraId="7693377D"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auto"/>
          </w:tcPr>
          <w:p w14:paraId="08C4AC0D"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11.8%</w:t>
            </w:r>
          </w:p>
        </w:tc>
        <w:tc>
          <w:tcPr>
            <w:tcW w:w="2705" w:type="dxa"/>
            <w:shd w:val="clear" w:color="auto" w:fill="auto"/>
          </w:tcPr>
          <w:p w14:paraId="7C092917"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88%</w:t>
            </w:r>
          </w:p>
        </w:tc>
      </w:tr>
      <w:tr w:rsidR="00AE4EA9" w:rsidRPr="00EC4591" w14:paraId="65B68C2C"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1B9B1C03"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288E50FE"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auto"/>
          </w:tcPr>
          <w:p w14:paraId="76C5F90F"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16.2%</w:t>
            </w:r>
          </w:p>
        </w:tc>
        <w:tc>
          <w:tcPr>
            <w:tcW w:w="2705" w:type="dxa"/>
            <w:shd w:val="clear" w:color="auto" w:fill="auto"/>
          </w:tcPr>
          <w:p w14:paraId="23F0BE05"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84%</w:t>
            </w:r>
          </w:p>
        </w:tc>
      </w:tr>
      <w:tr w:rsidR="00AE4EA9" w:rsidRPr="00EC4591" w14:paraId="49012FDC" w14:textId="77777777" w:rsidTr="004452F5">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272C6354"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6CEB6435"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auto"/>
          </w:tcPr>
          <w:p w14:paraId="1D70252A"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11.1%</w:t>
            </w:r>
          </w:p>
        </w:tc>
        <w:tc>
          <w:tcPr>
            <w:tcW w:w="2705" w:type="dxa"/>
            <w:shd w:val="clear" w:color="auto" w:fill="auto"/>
          </w:tcPr>
          <w:p w14:paraId="724E82EA"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89%</w:t>
            </w:r>
          </w:p>
        </w:tc>
      </w:tr>
      <w:tr w:rsidR="0085684E" w:rsidRPr="00EC4591" w14:paraId="0EF287E3"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val="restart"/>
            <w:tcBorders>
              <w:left w:val="single" w:sz="4" w:space="0" w:color="BFBFBF" w:themeColor="background1" w:themeShade="BF"/>
            </w:tcBorders>
            <w:shd w:val="clear" w:color="auto" w:fill="DAE3F8" w:themeFill="accent1" w:themeFillTint="33"/>
          </w:tcPr>
          <w:p w14:paraId="4D95F7A4" w14:textId="77777777" w:rsidR="0085684E" w:rsidRPr="00611624" w:rsidRDefault="0085684E" w:rsidP="005B3F7E">
            <w:pPr>
              <w:pStyle w:val="Caption"/>
              <w:keepNext w:val="0"/>
              <w:spacing w:before="0"/>
              <w:rPr>
                <w:color w:val="auto"/>
                <w:sz w:val="20"/>
                <w:szCs w:val="20"/>
              </w:rPr>
            </w:pPr>
            <w:r w:rsidRPr="00611624">
              <w:rPr>
                <w:color w:val="auto"/>
                <w:sz w:val="20"/>
                <w:szCs w:val="20"/>
              </w:rPr>
              <w:t>Personal Protective Equipment</w:t>
            </w:r>
          </w:p>
        </w:tc>
        <w:tc>
          <w:tcPr>
            <w:tcW w:w="1548" w:type="dxa"/>
            <w:shd w:val="clear" w:color="auto" w:fill="DAE3F8" w:themeFill="accent1" w:themeFillTint="33"/>
          </w:tcPr>
          <w:p w14:paraId="0D4A3DED"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DAE3F8" w:themeFill="accent1" w:themeFillTint="33"/>
          </w:tcPr>
          <w:p w14:paraId="74365D6C"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1.1%</w:t>
            </w:r>
          </w:p>
        </w:tc>
        <w:tc>
          <w:tcPr>
            <w:tcW w:w="2705" w:type="dxa"/>
            <w:shd w:val="clear" w:color="auto" w:fill="DAE3F8" w:themeFill="accent1" w:themeFillTint="33"/>
          </w:tcPr>
          <w:p w14:paraId="64AAFE8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99%</w:t>
            </w:r>
          </w:p>
        </w:tc>
      </w:tr>
      <w:tr w:rsidR="0085684E" w:rsidRPr="00EC4591" w14:paraId="2E2117C5"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DAE3F8" w:themeFill="accent1" w:themeFillTint="33"/>
          </w:tcPr>
          <w:p w14:paraId="0953CDF5"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6F10F636"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DAE3F8" w:themeFill="accent1" w:themeFillTint="33"/>
          </w:tcPr>
          <w:p w14:paraId="78C25705"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0.7%</w:t>
            </w:r>
          </w:p>
        </w:tc>
        <w:tc>
          <w:tcPr>
            <w:tcW w:w="2705" w:type="dxa"/>
            <w:shd w:val="clear" w:color="auto" w:fill="DAE3F8" w:themeFill="accent1" w:themeFillTint="33"/>
          </w:tcPr>
          <w:p w14:paraId="5291601D"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99%</w:t>
            </w:r>
          </w:p>
        </w:tc>
      </w:tr>
      <w:tr w:rsidR="0085684E" w:rsidRPr="00EC4591" w14:paraId="157B4925" w14:textId="77777777" w:rsidTr="005B3F7E">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FCFCFC" w:themeFill="background2" w:themeFillTint="1A"/>
          </w:tcPr>
          <w:p w14:paraId="4699B53C"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11CAA261"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DAE3F8" w:themeFill="accent1" w:themeFillTint="33"/>
          </w:tcPr>
          <w:p w14:paraId="25C42614"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0.2%</w:t>
            </w:r>
          </w:p>
        </w:tc>
        <w:tc>
          <w:tcPr>
            <w:tcW w:w="2705" w:type="dxa"/>
            <w:shd w:val="clear" w:color="auto" w:fill="DAE3F8" w:themeFill="accent1" w:themeFillTint="33"/>
          </w:tcPr>
          <w:p w14:paraId="70F581A3"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85684E" w:rsidRPr="00EC4591" w14:paraId="4957AB64" w14:textId="77777777" w:rsidTr="005B3F7E">
        <w:trPr>
          <w:trHeight w:val="183"/>
        </w:trPr>
        <w:tc>
          <w:tcPr>
            <w:cnfStyle w:val="001000000000" w:firstRow="0" w:lastRow="0" w:firstColumn="1" w:lastColumn="0" w:oddVBand="0" w:evenVBand="0" w:oddHBand="0" w:evenHBand="0" w:firstRowFirstColumn="0" w:firstRowLastColumn="0" w:lastRowFirstColumn="0" w:lastRowLastColumn="0"/>
            <w:tcW w:w="2059" w:type="dxa"/>
            <w:tcBorders>
              <w:left w:val="single" w:sz="4" w:space="0" w:color="BFBFBF" w:themeColor="background1" w:themeShade="BF"/>
            </w:tcBorders>
            <w:shd w:val="clear" w:color="auto" w:fill="91ACEC" w:themeFill="accent1" w:themeFillTint="99"/>
          </w:tcPr>
          <w:p w14:paraId="35B1DEE4" w14:textId="77777777" w:rsidR="0085684E" w:rsidRPr="00611624" w:rsidRDefault="0085684E" w:rsidP="005B3F7E">
            <w:pPr>
              <w:pStyle w:val="Caption"/>
              <w:keepNext w:val="0"/>
              <w:spacing w:before="0"/>
              <w:rPr>
                <w:color w:val="auto"/>
                <w:sz w:val="20"/>
                <w:szCs w:val="20"/>
              </w:rPr>
            </w:pPr>
            <w:r w:rsidRPr="00611624">
              <w:rPr>
                <w:color w:val="auto"/>
                <w:sz w:val="20"/>
                <w:szCs w:val="20"/>
              </w:rPr>
              <w:t>Management practice</w:t>
            </w:r>
          </w:p>
        </w:tc>
        <w:tc>
          <w:tcPr>
            <w:tcW w:w="1548" w:type="dxa"/>
            <w:shd w:val="clear" w:color="auto" w:fill="91ACEC" w:themeFill="accent1" w:themeFillTint="99"/>
          </w:tcPr>
          <w:p w14:paraId="03C0B17D"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04" w:type="dxa"/>
            <w:shd w:val="clear" w:color="auto" w:fill="91ACEC" w:themeFill="accent1" w:themeFillTint="99"/>
          </w:tcPr>
          <w:p w14:paraId="1265C807"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2705" w:type="dxa"/>
            <w:shd w:val="clear" w:color="auto" w:fill="91ACEC" w:themeFill="accent1" w:themeFillTint="99"/>
          </w:tcPr>
          <w:p w14:paraId="65B7702F"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b w:val="0"/>
                <w:bCs w:val="0"/>
                <w:sz w:val="20"/>
                <w:szCs w:val="20"/>
              </w:rPr>
            </w:pPr>
          </w:p>
        </w:tc>
      </w:tr>
      <w:tr w:rsidR="00AE4EA9" w:rsidRPr="00EC4591" w14:paraId="0DAF1193"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val="restart"/>
            <w:shd w:val="clear" w:color="auto" w:fill="FCFCFC" w:themeFill="background2" w:themeFillTint="1A"/>
          </w:tcPr>
          <w:p w14:paraId="4356FFE2" w14:textId="77777777" w:rsidR="0085684E" w:rsidRPr="00611624" w:rsidRDefault="0085684E" w:rsidP="005B3F7E">
            <w:pPr>
              <w:pStyle w:val="Caption"/>
              <w:keepNext w:val="0"/>
              <w:spacing w:before="0"/>
              <w:rPr>
                <w:color w:val="auto"/>
                <w:sz w:val="20"/>
                <w:szCs w:val="20"/>
              </w:rPr>
            </w:pPr>
            <w:r w:rsidRPr="00611624">
              <w:rPr>
                <w:color w:val="auto"/>
                <w:sz w:val="20"/>
                <w:szCs w:val="20"/>
              </w:rPr>
              <w:t>Air monitoring</w:t>
            </w:r>
          </w:p>
        </w:tc>
        <w:tc>
          <w:tcPr>
            <w:tcW w:w="1548" w:type="dxa"/>
            <w:shd w:val="clear" w:color="auto" w:fill="auto"/>
          </w:tcPr>
          <w:p w14:paraId="7BA351CC"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auto"/>
          </w:tcPr>
          <w:p w14:paraId="4385F100"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auto"/>
          </w:tcPr>
          <w:p w14:paraId="047B6A7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AE4EA9" w:rsidRPr="00EC4591" w14:paraId="3505CAA8"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1041E170"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4A723F88"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auto"/>
          </w:tcPr>
          <w:p w14:paraId="1BFC26F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8.0%</w:t>
            </w:r>
          </w:p>
        </w:tc>
        <w:tc>
          <w:tcPr>
            <w:tcW w:w="2705" w:type="dxa"/>
            <w:shd w:val="clear" w:color="auto" w:fill="auto"/>
          </w:tcPr>
          <w:p w14:paraId="336E998F"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92%</w:t>
            </w:r>
          </w:p>
        </w:tc>
      </w:tr>
      <w:tr w:rsidR="00AE4EA9" w:rsidRPr="00EC4591" w14:paraId="2C8E74A8"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3A3C625A" w14:textId="77777777" w:rsidR="0085684E" w:rsidRPr="00611624" w:rsidRDefault="0085684E" w:rsidP="005B3F7E">
            <w:pPr>
              <w:pStyle w:val="Caption"/>
              <w:keepNext w:val="0"/>
              <w:spacing w:before="0"/>
              <w:rPr>
                <w:color w:val="auto"/>
                <w:sz w:val="20"/>
                <w:szCs w:val="20"/>
              </w:rPr>
            </w:pPr>
          </w:p>
        </w:tc>
        <w:tc>
          <w:tcPr>
            <w:tcW w:w="1548" w:type="dxa"/>
            <w:shd w:val="clear" w:color="auto" w:fill="auto"/>
          </w:tcPr>
          <w:p w14:paraId="3995EFF0"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auto"/>
          </w:tcPr>
          <w:p w14:paraId="48228A7A"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10.6%</w:t>
            </w:r>
          </w:p>
        </w:tc>
        <w:tc>
          <w:tcPr>
            <w:tcW w:w="2705" w:type="dxa"/>
            <w:shd w:val="clear" w:color="auto" w:fill="auto"/>
          </w:tcPr>
          <w:p w14:paraId="70273E50"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89%</w:t>
            </w:r>
          </w:p>
        </w:tc>
      </w:tr>
      <w:tr w:rsidR="0085684E" w:rsidRPr="00EC4591" w14:paraId="789147FB" w14:textId="77777777" w:rsidTr="005B3F7E">
        <w:trPr>
          <w:trHeight w:val="18"/>
        </w:trPr>
        <w:tc>
          <w:tcPr>
            <w:cnfStyle w:val="001000000000" w:firstRow="0" w:lastRow="0" w:firstColumn="1" w:lastColumn="0" w:oddVBand="0" w:evenVBand="0" w:oddHBand="0" w:evenHBand="0" w:firstRowFirstColumn="0" w:firstRowLastColumn="0" w:lastRowFirstColumn="0" w:lastRowLastColumn="0"/>
            <w:tcW w:w="2059" w:type="dxa"/>
            <w:vMerge w:val="restart"/>
            <w:tcBorders>
              <w:left w:val="single" w:sz="4" w:space="0" w:color="BFBFBF" w:themeColor="background1" w:themeShade="BF"/>
            </w:tcBorders>
            <w:shd w:val="clear" w:color="auto" w:fill="DAE3F8" w:themeFill="accent1" w:themeFillTint="33"/>
          </w:tcPr>
          <w:p w14:paraId="701E1297" w14:textId="77777777" w:rsidR="0085684E" w:rsidRPr="00611624" w:rsidRDefault="0085684E" w:rsidP="005B3F7E">
            <w:pPr>
              <w:pStyle w:val="Caption"/>
              <w:keepNext w:val="0"/>
              <w:spacing w:before="0"/>
              <w:rPr>
                <w:color w:val="auto"/>
                <w:sz w:val="20"/>
                <w:szCs w:val="20"/>
              </w:rPr>
            </w:pPr>
            <w:r w:rsidRPr="00611624">
              <w:rPr>
                <w:color w:val="auto"/>
                <w:sz w:val="20"/>
                <w:szCs w:val="20"/>
              </w:rPr>
              <w:t>Occupational hygiene</w:t>
            </w:r>
          </w:p>
        </w:tc>
        <w:tc>
          <w:tcPr>
            <w:tcW w:w="1548" w:type="dxa"/>
            <w:shd w:val="clear" w:color="auto" w:fill="DAE3F8" w:themeFill="accent1" w:themeFillTint="33"/>
          </w:tcPr>
          <w:p w14:paraId="4CBC2896"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DAE3F8" w:themeFill="accent1" w:themeFillTint="33"/>
          </w:tcPr>
          <w:p w14:paraId="696DD489"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0.0%</w:t>
            </w:r>
          </w:p>
        </w:tc>
        <w:tc>
          <w:tcPr>
            <w:tcW w:w="2705" w:type="dxa"/>
            <w:shd w:val="clear" w:color="auto" w:fill="DAE3F8" w:themeFill="accent1" w:themeFillTint="33"/>
          </w:tcPr>
          <w:p w14:paraId="357F8800"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w:t>
            </w:r>
          </w:p>
        </w:tc>
      </w:tr>
      <w:tr w:rsidR="0085684E" w:rsidRPr="00EC4591" w14:paraId="1E59A545" w14:textId="77777777" w:rsidTr="005B3F7E">
        <w:trPr>
          <w:trHeight w:val="18"/>
        </w:trPr>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DAE3F8" w:themeFill="accent1" w:themeFillTint="33"/>
          </w:tcPr>
          <w:p w14:paraId="78835C2B"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6273E4B7"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DAE3F8" w:themeFill="accent1" w:themeFillTint="33"/>
          </w:tcPr>
          <w:p w14:paraId="131A2D81"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6.9%</w:t>
            </w:r>
          </w:p>
        </w:tc>
        <w:tc>
          <w:tcPr>
            <w:tcW w:w="2705" w:type="dxa"/>
            <w:shd w:val="clear" w:color="auto" w:fill="DAE3F8" w:themeFill="accent1" w:themeFillTint="33"/>
          </w:tcPr>
          <w:p w14:paraId="6E506C5A"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93%</w:t>
            </w:r>
          </w:p>
        </w:tc>
      </w:tr>
      <w:tr w:rsidR="0085684E" w:rsidRPr="00EC4591" w14:paraId="5A8447AF" w14:textId="77777777" w:rsidTr="005B3F7E">
        <w:trPr>
          <w:trHeight w:val="18"/>
        </w:trPr>
        <w:tc>
          <w:tcPr>
            <w:cnfStyle w:val="001000000000" w:firstRow="0" w:lastRow="0" w:firstColumn="1" w:lastColumn="0" w:oddVBand="0" w:evenVBand="0" w:oddHBand="0" w:evenHBand="0" w:firstRowFirstColumn="0" w:firstRowLastColumn="0" w:lastRowFirstColumn="0" w:lastRowLastColumn="0"/>
            <w:tcW w:w="2059" w:type="dxa"/>
            <w:vMerge/>
            <w:tcBorders>
              <w:left w:val="single" w:sz="4" w:space="0" w:color="BFBFBF" w:themeColor="background1" w:themeShade="BF"/>
            </w:tcBorders>
            <w:shd w:val="clear" w:color="auto" w:fill="DAE3F8" w:themeFill="accent1" w:themeFillTint="33"/>
          </w:tcPr>
          <w:p w14:paraId="7026032F" w14:textId="77777777" w:rsidR="0085684E" w:rsidRPr="00611624" w:rsidRDefault="0085684E" w:rsidP="005B3F7E">
            <w:pPr>
              <w:pStyle w:val="Caption"/>
              <w:keepNext w:val="0"/>
              <w:spacing w:before="0"/>
              <w:rPr>
                <w:color w:val="auto"/>
                <w:sz w:val="20"/>
                <w:szCs w:val="20"/>
              </w:rPr>
            </w:pPr>
          </w:p>
        </w:tc>
        <w:tc>
          <w:tcPr>
            <w:tcW w:w="1548" w:type="dxa"/>
            <w:shd w:val="clear" w:color="auto" w:fill="DAE3F8" w:themeFill="accent1" w:themeFillTint="33"/>
          </w:tcPr>
          <w:p w14:paraId="7D5507F9"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DAE3F8" w:themeFill="accent1" w:themeFillTint="33"/>
          </w:tcPr>
          <w:p w14:paraId="421FDCDC"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4.0%</w:t>
            </w:r>
          </w:p>
        </w:tc>
        <w:tc>
          <w:tcPr>
            <w:tcW w:w="2705" w:type="dxa"/>
            <w:shd w:val="clear" w:color="auto" w:fill="DAE3F8" w:themeFill="accent1" w:themeFillTint="33"/>
          </w:tcPr>
          <w:p w14:paraId="5B68B212"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96%</w:t>
            </w:r>
          </w:p>
        </w:tc>
      </w:tr>
      <w:tr w:rsidR="00AE4EA9" w:rsidRPr="00EC4591" w14:paraId="2CE8C811"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val="restart"/>
            <w:shd w:val="clear" w:color="auto" w:fill="FCFCFC" w:themeFill="background2" w:themeFillTint="1A"/>
          </w:tcPr>
          <w:p w14:paraId="1FBEFB0A" w14:textId="77777777" w:rsidR="0085684E" w:rsidRPr="00611624" w:rsidRDefault="0085684E" w:rsidP="005B3F7E">
            <w:pPr>
              <w:pStyle w:val="Caption"/>
              <w:keepNext w:val="0"/>
              <w:spacing w:before="0"/>
              <w:rPr>
                <w:color w:val="auto"/>
                <w:sz w:val="20"/>
                <w:szCs w:val="20"/>
              </w:rPr>
            </w:pPr>
            <w:r w:rsidRPr="00611624">
              <w:rPr>
                <w:color w:val="auto"/>
                <w:sz w:val="20"/>
                <w:szCs w:val="20"/>
              </w:rPr>
              <w:t>Health monitoring</w:t>
            </w:r>
          </w:p>
        </w:tc>
        <w:tc>
          <w:tcPr>
            <w:tcW w:w="1548" w:type="dxa"/>
            <w:shd w:val="clear" w:color="auto" w:fill="auto"/>
          </w:tcPr>
          <w:p w14:paraId="7CB168C6"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Small</w:t>
            </w:r>
          </w:p>
        </w:tc>
        <w:tc>
          <w:tcPr>
            <w:tcW w:w="2704" w:type="dxa"/>
            <w:shd w:val="clear" w:color="auto" w:fill="auto"/>
          </w:tcPr>
          <w:p w14:paraId="3D0D7256"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n/a</w:t>
            </w:r>
            <w:r w:rsidRPr="00B64384" w:rsidDel="009C76D8">
              <w:rPr>
                <w:rFonts w:asciiTheme="minorHAnsi" w:hAnsiTheme="minorHAnsi" w:cstheme="minorHAnsi"/>
                <w:b w:val="0"/>
                <w:bCs w:val="0"/>
                <w:color w:val="000000" w:themeColor="text1"/>
                <w:sz w:val="20"/>
                <w:szCs w:val="20"/>
              </w:rPr>
              <w:t xml:space="preserve"> </w:t>
            </w:r>
          </w:p>
        </w:tc>
        <w:tc>
          <w:tcPr>
            <w:tcW w:w="2705" w:type="dxa"/>
            <w:shd w:val="clear" w:color="auto" w:fill="auto"/>
          </w:tcPr>
          <w:p w14:paraId="47E81134"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n/a</w:t>
            </w:r>
          </w:p>
        </w:tc>
      </w:tr>
      <w:tr w:rsidR="00AE4EA9" w:rsidRPr="00EC4591" w14:paraId="777DBC31"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794FF549" w14:textId="77777777" w:rsidR="0085684E" w:rsidRPr="00B64384" w:rsidRDefault="0085684E" w:rsidP="005B3F7E">
            <w:pPr>
              <w:pStyle w:val="Caption"/>
              <w:keepNext w:val="0"/>
              <w:spacing w:before="0"/>
              <w:jc w:val="center"/>
              <w:rPr>
                <w:sz w:val="20"/>
                <w:szCs w:val="20"/>
              </w:rPr>
            </w:pPr>
          </w:p>
        </w:tc>
        <w:tc>
          <w:tcPr>
            <w:tcW w:w="1548" w:type="dxa"/>
            <w:shd w:val="clear" w:color="auto" w:fill="auto"/>
          </w:tcPr>
          <w:p w14:paraId="0B81EBCE"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Medium</w:t>
            </w:r>
          </w:p>
        </w:tc>
        <w:tc>
          <w:tcPr>
            <w:tcW w:w="2704" w:type="dxa"/>
            <w:shd w:val="clear" w:color="auto" w:fill="auto"/>
          </w:tcPr>
          <w:p w14:paraId="12400219"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100.0%</w:t>
            </w:r>
          </w:p>
        </w:tc>
        <w:tc>
          <w:tcPr>
            <w:tcW w:w="2705" w:type="dxa"/>
            <w:shd w:val="clear" w:color="auto" w:fill="auto"/>
          </w:tcPr>
          <w:p w14:paraId="3C9D3EC4"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w:t>
            </w:r>
          </w:p>
        </w:tc>
      </w:tr>
      <w:tr w:rsidR="00AE4EA9" w:rsidRPr="00EC4591" w14:paraId="3A5DF7BF" w14:textId="77777777" w:rsidTr="004452F5">
        <w:trPr>
          <w:trHeight w:val="18"/>
        </w:trPr>
        <w:tc>
          <w:tcPr>
            <w:cnfStyle w:val="001000000000" w:firstRow="0" w:lastRow="0" w:firstColumn="1" w:lastColumn="0" w:oddVBand="0" w:evenVBand="0" w:oddHBand="0" w:evenHBand="0" w:firstRowFirstColumn="0" w:firstRowLastColumn="0" w:lastRowFirstColumn="0" w:lastRowLastColumn="0"/>
            <w:tcW w:w="2059" w:type="dxa"/>
            <w:vMerge/>
            <w:shd w:val="clear" w:color="auto" w:fill="FCFCFC" w:themeFill="background2" w:themeFillTint="1A"/>
          </w:tcPr>
          <w:p w14:paraId="2DA99F95" w14:textId="77777777" w:rsidR="0085684E" w:rsidRPr="00B64384" w:rsidRDefault="0085684E" w:rsidP="005B3F7E">
            <w:pPr>
              <w:pStyle w:val="Caption"/>
              <w:keepNext w:val="0"/>
              <w:spacing w:before="0"/>
              <w:jc w:val="center"/>
              <w:rPr>
                <w:sz w:val="20"/>
                <w:szCs w:val="20"/>
              </w:rPr>
            </w:pPr>
          </w:p>
        </w:tc>
        <w:tc>
          <w:tcPr>
            <w:tcW w:w="1548" w:type="dxa"/>
            <w:shd w:val="clear" w:color="auto" w:fill="auto"/>
          </w:tcPr>
          <w:p w14:paraId="5F5BF3AA" w14:textId="77777777" w:rsidR="0085684E" w:rsidRPr="00B64384" w:rsidRDefault="0085684E" w:rsidP="005B3F7E">
            <w:pPr>
              <w:pStyle w:val="Caption"/>
              <w:keepNext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64384">
              <w:rPr>
                <w:sz w:val="20"/>
                <w:szCs w:val="20"/>
              </w:rPr>
              <w:t>Large</w:t>
            </w:r>
          </w:p>
        </w:tc>
        <w:tc>
          <w:tcPr>
            <w:tcW w:w="2704" w:type="dxa"/>
            <w:shd w:val="clear" w:color="auto" w:fill="auto"/>
          </w:tcPr>
          <w:p w14:paraId="659FA71C"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100.0%</w:t>
            </w:r>
          </w:p>
        </w:tc>
        <w:tc>
          <w:tcPr>
            <w:tcW w:w="2705" w:type="dxa"/>
            <w:shd w:val="clear" w:color="auto" w:fill="auto"/>
          </w:tcPr>
          <w:p w14:paraId="38DABBA8" w14:textId="77777777" w:rsidR="0085684E" w:rsidRPr="00B64384" w:rsidRDefault="0085684E" w:rsidP="005B3F7E">
            <w:pPr>
              <w:pStyle w:val="Caption"/>
              <w:keepNext w:val="0"/>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B64384">
              <w:rPr>
                <w:rFonts w:asciiTheme="minorHAnsi" w:hAnsiTheme="minorHAnsi" w:cstheme="minorHAnsi"/>
                <w:b w:val="0"/>
                <w:bCs w:val="0"/>
                <w:color w:val="000000" w:themeColor="text1"/>
                <w:sz w:val="20"/>
                <w:szCs w:val="20"/>
              </w:rPr>
              <w:t>0%</w:t>
            </w:r>
          </w:p>
        </w:tc>
      </w:tr>
    </w:tbl>
    <w:p w14:paraId="494D35C9" w14:textId="45B784B0" w:rsidR="00C67363" w:rsidRDefault="00BF3471" w:rsidP="00F377F0">
      <w:pPr>
        <w:pStyle w:val="SWAHeading1"/>
        <w:numPr>
          <w:ilvl w:val="0"/>
          <w:numId w:val="0"/>
        </w:numPr>
        <w:ind w:left="567" w:hanging="567"/>
      </w:pPr>
      <w:bookmarkStart w:id="758" w:name="_Toc219216952"/>
      <w:r>
        <w:lastRenderedPageBreak/>
        <w:t xml:space="preserve">Appendix </w:t>
      </w:r>
      <w:r w:rsidR="00006136">
        <w:t>J</w:t>
      </w:r>
      <w:r w:rsidR="000B74A2">
        <w:t xml:space="preserve"> </w:t>
      </w:r>
      <w:r>
        <w:t>– Cost escalation</w:t>
      </w:r>
      <w:bookmarkEnd w:id="758"/>
    </w:p>
    <w:p w14:paraId="78C69290" w14:textId="24B504C6" w:rsidR="006D60BC" w:rsidRDefault="006D60BC" w:rsidP="00144BE5">
      <w:pPr>
        <w:spacing w:after="160"/>
      </w:pPr>
      <w:r w:rsidRPr="00993B73">
        <w:rPr>
          <w:lang w:eastAsia="en-AU"/>
        </w:rPr>
        <w:t xml:space="preserve">The control measure and management practice cost inputs from </w:t>
      </w:r>
      <w:r>
        <w:rPr>
          <w:lang w:eastAsia="en-AU"/>
        </w:rPr>
        <w:t>SWA’s 2019</w:t>
      </w:r>
      <w:r w:rsidRPr="00993B73">
        <w:rPr>
          <w:lang w:eastAsia="en-AU"/>
        </w:rPr>
        <w:t xml:space="preserve"> Decision RIS: Workplace Exposure Standards have been escalated from June 2017 to June 2024 values using the escalation indexes presented in </w:t>
      </w:r>
      <w:r w:rsidR="00352C12">
        <w:rPr>
          <w:lang w:eastAsia="en-AU"/>
        </w:rPr>
        <w:fldChar w:fldCharType="begin"/>
      </w:r>
      <w:r w:rsidR="00352C12">
        <w:rPr>
          <w:lang w:eastAsia="en-AU"/>
        </w:rPr>
        <w:instrText xml:space="preserve"> REF _Ref216794473 \h </w:instrText>
      </w:r>
      <w:r w:rsidR="00352C12">
        <w:rPr>
          <w:lang w:eastAsia="en-AU"/>
        </w:rPr>
      </w:r>
      <w:r w:rsidR="00352C12">
        <w:rPr>
          <w:lang w:eastAsia="en-AU"/>
        </w:rPr>
        <w:fldChar w:fldCharType="separate"/>
      </w:r>
      <w:r w:rsidR="00A002F4">
        <w:t xml:space="preserve">Table </w:t>
      </w:r>
      <w:r w:rsidR="00A002F4">
        <w:rPr>
          <w:noProof/>
        </w:rPr>
        <w:t>82</w:t>
      </w:r>
      <w:r w:rsidR="00352C12">
        <w:rPr>
          <w:lang w:eastAsia="en-AU"/>
        </w:rPr>
        <w:fldChar w:fldCharType="end"/>
      </w:r>
      <w:r w:rsidR="00352C12">
        <w:rPr>
          <w:lang w:eastAsia="en-AU"/>
        </w:rPr>
        <w:t xml:space="preserve"> </w:t>
      </w:r>
      <w:r w:rsidRPr="00993B73">
        <w:rPr>
          <w:lang w:eastAsia="en-AU"/>
        </w:rPr>
        <w:t>and</w:t>
      </w:r>
      <w:r>
        <w:t xml:space="preserve"> </w:t>
      </w:r>
      <w:r w:rsidR="00352C12">
        <w:fldChar w:fldCharType="begin"/>
      </w:r>
      <w:r w:rsidR="00352C12">
        <w:instrText xml:space="preserve"> REF _Ref216794507 \h </w:instrText>
      </w:r>
      <w:r w:rsidR="00352C12">
        <w:fldChar w:fldCharType="separate"/>
      </w:r>
      <w:r w:rsidR="00A002F4">
        <w:t xml:space="preserve">Table </w:t>
      </w:r>
      <w:r w:rsidR="00A002F4">
        <w:rPr>
          <w:noProof/>
        </w:rPr>
        <w:t>83</w:t>
      </w:r>
      <w:r w:rsidR="00352C12">
        <w:fldChar w:fldCharType="end"/>
      </w:r>
      <w:r w:rsidRPr="00993B73">
        <w:rPr>
          <w:lang w:eastAsia="en-AU"/>
        </w:rPr>
        <w:t xml:space="preserve">, respectively. </w:t>
      </w:r>
    </w:p>
    <w:p w14:paraId="500119B9" w14:textId="21E802B0" w:rsidR="00352C12" w:rsidRDefault="00352C12" w:rsidP="00144BE5">
      <w:pPr>
        <w:pStyle w:val="Caption"/>
      </w:pPr>
      <w:bookmarkStart w:id="759" w:name="_Ref216794473"/>
      <w:r>
        <w:t xml:space="preserve">Table </w:t>
      </w:r>
      <w:fldSimple w:instr=" SEQ Table \* ARABIC ">
        <w:r w:rsidR="00A002F4">
          <w:rPr>
            <w:noProof/>
          </w:rPr>
          <w:t>82</w:t>
        </w:r>
      </w:fldSimple>
      <w:bookmarkEnd w:id="759"/>
      <w:r>
        <w:t xml:space="preserve"> - </w:t>
      </w:r>
      <w:r w:rsidRPr="00135941">
        <w:t xml:space="preserve"> Escalation indexes used for control measure costs</w:t>
      </w:r>
    </w:p>
    <w:tbl>
      <w:tblPr>
        <w:tblStyle w:val="NOUS"/>
        <w:tblW w:w="91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86"/>
        <w:gridCol w:w="2694"/>
        <w:gridCol w:w="991"/>
        <w:gridCol w:w="2694"/>
        <w:gridCol w:w="992"/>
      </w:tblGrid>
      <w:tr w:rsidR="006D60BC" w:rsidRPr="006D60BC" w14:paraId="1BB3AD42" w14:textId="77777777" w:rsidTr="002F3D55">
        <w:trPr>
          <w:cnfStyle w:val="100000000000" w:firstRow="1" w:lastRow="0" w:firstColumn="0" w:lastColumn="0" w:oddVBand="0" w:evenVBand="0" w:oddHBand="0" w:evenHBand="0" w:firstRowFirstColumn="0" w:firstRowLastColumn="0" w:lastRowFirstColumn="0" w:lastRowLastColumn="0"/>
          <w:tblHeader/>
        </w:trPr>
        <w:tc>
          <w:tcPr>
            <w:tcW w:w="178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vAlign w:val="center"/>
          </w:tcPr>
          <w:p w14:paraId="6E0091B2" w14:textId="77777777" w:rsidR="006D60BC" w:rsidRPr="006D60BC" w:rsidRDefault="006D60BC" w:rsidP="00E06275">
            <w:pPr>
              <w:pStyle w:val="TableNText"/>
              <w:rPr>
                <w:rFonts w:asciiTheme="majorHAnsi" w:hAnsiTheme="majorHAnsi" w:cstheme="majorHAnsi"/>
                <w:bCs/>
                <w:color w:val="FFFFFF" w:themeColor="background1"/>
              </w:rPr>
            </w:pPr>
            <w:r w:rsidRPr="006D60BC">
              <w:rPr>
                <w:rFonts w:asciiTheme="majorHAnsi" w:hAnsiTheme="majorHAnsi" w:cstheme="majorHAnsi"/>
                <w:bCs/>
                <w:color w:val="FFFFFF" w:themeColor="background1"/>
                <w:lang w:eastAsia="en-AU"/>
              </w:rPr>
              <w:t>Cost item</w:t>
            </w:r>
          </w:p>
        </w:tc>
        <w:tc>
          <w:tcPr>
            <w:tcW w:w="368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26E253A6" w14:textId="77777777" w:rsidR="006D60BC" w:rsidRPr="006D60BC" w:rsidRDefault="006D60BC" w:rsidP="00E06275">
            <w:pPr>
              <w:pStyle w:val="TableNText"/>
              <w:jc w:val="center"/>
              <w:rPr>
                <w:rFonts w:asciiTheme="majorHAnsi" w:hAnsiTheme="majorHAnsi" w:cstheme="majorHAnsi"/>
                <w:bCs/>
                <w:color w:val="FFFFFF" w:themeColor="background1"/>
              </w:rPr>
            </w:pPr>
            <w:r w:rsidRPr="006D60BC">
              <w:rPr>
                <w:rFonts w:asciiTheme="majorHAnsi" w:hAnsiTheme="majorHAnsi" w:cstheme="majorHAnsi"/>
                <w:bCs/>
                <w:color w:val="FFFFFF" w:themeColor="background1"/>
              </w:rPr>
              <w:t>Average Purchase Cost</w:t>
            </w:r>
          </w:p>
        </w:tc>
        <w:tc>
          <w:tcPr>
            <w:tcW w:w="36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53AFD60E" w14:textId="77777777" w:rsidR="006D60BC" w:rsidRPr="006D60BC" w:rsidRDefault="006D60BC" w:rsidP="00E06275">
            <w:pPr>
              <w:pStyle w:val="TableNText"/>
              <w:jc w:val="center"/>
              <w:rPr>
                <w:rFonts w:asciiTheme="majorHAnsi" w:hAnsiTheme="majorHAnsi" w:cstheme="majorHAnsi"/>
                <w:bCs/>
                <w:color w:val="FFFFFF" w:themeColor="background1"/>
              </w:rPr>
            </w:pPr>
            <w:r w:rsidRPr="006D60BC">
              <w:rPr>
                <w:rFonts w:asciiTheme="majorHAnsi" w:hAnsiTheme="majorHAnsi" w:cstheme="majorHAnsi"/>
                <w:bCs/>
                <w:color w:val="FFFFFF" w:themeColor="background1"/>
              </w:rPr>
              <w:t xml:space="preserve">Average Annual Operating Cost </w:t>
            </w:r>
          </w:p>
        </w:tc>
      </w:tr>
      <w:tr w:rsidR="006D60BC" w:rsidRPr="006D60BC" w14:paraId="184817D3" w14:textId="77777777" w:rsidTr="002F3D55">
        <w:trPr>
          <w:cnfStyle w:val="100000000000" w:firstRow="1" w:lastRow="0" w:firstColumn="0" w:lastColumn="0" w:oddVBand="0" w:evenVBand="0" w:oddHBand="0" w:evenHBand="0" w:firstRowFirstColumn="0" w:firstRowLastColumn="0" w:lastRowFirstColumn="0" w:lastRowLastColumn="0"/>
          <w:tblHeader/>
        </w:trPr>
        <w:tc>
          <w:tcPr>
            <w:tcW w:w="1786" w:type="dxa"/>
            <w:vMerge/>
            <w:tcBorders>
              <w:top w:val="single" w:sz="4" w:space="0" w:color="BFBFBF" w:themeColor="background1" w:themeShade="BF"/>
            </w:tcBorders>
            <w:shd w:val="clear" w:color="auto" w:fill="4877E0" w:themeFill="accent1"/>
          </w:tcPr>
          <w:p w14:paraId="570A6C1B" w14:textId="77777777" w:rsidR="006D60BC" w:rsidRPr="006D60BC" w:rsidRDefault="006D60BC" w:rsidP="00E06275">
            <w:pPr>
              <w:pStyle w:val="TableNText"/>
              <w:rPr>
                <w:rFonts w:asciiTheme="majorHAnsi" w:hAnsiTheme="majorHAnsi" w:cstheme="majorHAnsi"/>
                <w:b w:val="0"/>
                <w:color w:val="FFFFFF" w:themeColor="background1"/>
              </w:rPr>
            </w:pPr>
          </w:p>
        </w:tc>
        <w:tc>
          <w:tcPr>
            <w:tcW w:w="2694" w:type="dxa"/>
            <w:tcBorders>
              <w:top w:val="single" w:sz="4" w:space="0" w:color="BFBFBF" w:themeColor="background1" w:themeShade="BF"/>
            </w:tcBorders>
            <w:shd w:val="clear" w:color="auto" w:fill="4877E0" w:themeFill="accent1"/>
          </w:tcPr>
          <w:p w14:paraId="45E22B50" w14:textId="77777777" w:rsidR="006D60BC" w:rsidRPr="006D60BC" w:rsidRDefault="006D60BC" w:rsidP="00E06275">
            <w:pPr>
              <w:pStyle w:val="TableNText"/>
              <w:jc w:val="center"/>
              <w:rPr>
                <w:rFonts w:asciiTheme="majorHAnsi" w:hAnsiTheme="majorHAnsi" w:cstheme="majorHAnsi"/>
                <w:b w:val="0"/>
                <w:color w:val="FFFFFF" w:themeColor="background1"/>
              </w:rPr>
            </w:pPr>
            <w:r w:rsidRPr="006D60BC">
              <w:rPr>
                <w:rFonts w:asciiTheme="majorHAnsi" w:hAnsiTheme="majorHAnsi" w:cstheme="majorHAnsi"/>
                <w:color w:val="FFFFFF" w:themeColor="background1"/>
              </w:rPr>
              <w:t>Escalation index</w:t>
            </w:r>
          </w:p>
        </w:tc>
        <w:tc>
          <w:tcPr>
            <w:tcW w:w="991" w:type="dxa"/>
            <w:tcBorders>
              <w:top w:val="single" w:sz="4" w:space="0" w:color="BFBFBF" w:themeColor="background1" w:themeShade="BF"/>
            </w:tcBorders>
            <w:shd w:val="clear" w:color="auto" w:fill="4877E0" w:themeFill="accent1"/>
          </w:tcPr>
          <w:p w14:paraId="10A47E4C" w14:textId="77777777" w:rsidR="006D60BC" w:rsidRPr="006D60BC" w:rsidRDefault="006D60BC" w:rsidP="00E06275">
            <w:pPr>
              <w:pStyle w:val="TableNText"/>
              <w:jc w:val="center"/>
              <w:rPr>
                <w:rFonts w:asciiTheme="majorHAnsi" w:hAnsiTheme="majorHAnsi" w:cstheme="majorHAnsi"/>
                <w:b w:val="0"/>
                <w:color w:val="FFFFFF" w:themeColor="background1"/>
              </w:rPr>
            </w:pPr>
            <w:r w:rsidRPr="006D60BC">
              <w:rPr>
                <w:rFonts w:asciiTheme="majorHAnsi" w:hAnsiTheme="majorHAnsi" w:cstheme="majorHAnsi"/>
                <w:color w:val="FFFFFF" w:themeColor="background1"/>
              </w:rPr>
              <w:t>Ref. code</w:t>
            </w:r>
          </w:p>
        </w:tc>
        <w:tc>
          <w:tcPr>
            <w:tcW w:w="2694" w:type="dxa"/>
            <w:tcBorders>
              <w:top w:val="single" w:sz="4" w:space="0" w:color="BFBFBF" w:themeColor="background1" w:themeShade="BF"/>
            </w:tcBorders>
            <w:shd w:val="clear" w:color="auto" w:fill="4877E0" w:themeFill="accent1"/>
          </w:tcPr>
          <w:p w14:paraId="118DE21C" w14:textId="77777777" w:rsidR="006D60BC" w:rsidRPr="006D60BC" w:rsidRDefault="006D60BC" w:rsidP="00E06275">
            <w:pPr>
              <w:pStyle w:val="TableNText"/>
              <w:jc w:val="center"/>
              <w:rPr>
                <w:rFonts w:asciiTheme="majorHAnsi" w:hAnsiTheme="majorHAnsi" w:cstheme="majorHAnsi"/>
                <w:b w:val="0"/>
                <w:color w:val="FFFFFF" w:themeColor="background1"/>
              </w:rPr>
            </w:pPr>
            <w:r w:rsidRPr="006D60BC">
              <w:rPr>
                <w:rFonts w:asciiTheme="majorHAnsi" w:hAnsiTheme="majorHAnsi" w:cstheme="majorHAnsi"/>
                <w:color w:val="FFFFFF" w:themeColor="background1"/>
              </w:rPr>
              <w:t>Escalation index</w:t>
            </w:r>
          </w:p>
        </w:tc>
        <w:tc>
          <w:tcPr>
            <w:tcW w:w="992" w:type="dxa"/>
            <w:tcBorders>
              <w:top w:val="single" w:sz="4" w:space="0" w:color="BFBFBF" w:themeColor="background1" w:themeShade="BF"/>
            </w:tcBorders>
            <w:shd w:val="clear" w:color="auto" w:fill="4877E0" w:themeFill="accent1"/>
          </w:tcPr>
          <w:p w14:paraId="0B27FE01" w14:textId="77777777" w:rsidR="006D60BC" w:rsidRPr="006D60BC" w:rsidRDefault="006D60BC" w:rsidP="00E06275">
            <w:pPr>
              <w:pStyle w:val="TableNText"/>
              <w:jc w:val="center"/>
              <w:rPr>
                <w:rFonts w:asciiTheme="majorHAnsi" w:hAnsiTheme="majorHAnsi" w:cstheme="majorHAnsi"/>
                <w:b w:val="0"/>
                <w:color w:val="FFFFFF" w:themeColor="background1"/>
              </w:rPr>
            </w:pPr>
            <w:r w:rsidRPr="006D60BC">
              <w:rPr>
                <w:rFonts w:asciiTheme="majorHAnsi" w:hAnsiTheme="majorHAnsi" w:cstheme="majorHAnsi"/>
                <w:color w:val="FFFFFF" w:themeColor="background1"/>
              </w:rPr>
              <w:t>Ref. code</w:t>
            </w:r>
          </w:p>
        </w:tc>
      </w:tr>
      <w:tr w:rsidR="006D60BC" w:rsidRPr="006D60BC" w14:paraId="02F20563" w14:textId="77777777" w:rsidTr="006D60BC">
        <w:tc>
          <w:tcPr>
            <w:tcW w:w="9157" w:type="dxa"/>
            <w:gridSpan w:val="5"/>
            <w:shd w:val="clear" w:color="auto" w:fill="91ACEC" w:themeFill="accent1" w:themeFillTint="99"/>
          </w:tcPr>
          <w:p w14:paraId="20C6BA9E" w14:textId="77777777" w:rsidR="006D60BC" w:rsidRPr="006D60BC" w:rsidRDefault="006D60BC" w:rsidP="00E06275">
            <w:pPr>
              <w:pStyle w:val="TableNText"/>
              <w:rPr>
                <w:rFonts w:asciiTheme="majorHAnsi" w:hAnsiTheme="majorHAnsi" w:cstheme="majorHAnsi"/>
                <w:b/>
              </w:rPr>
            </w:pPr>
            <w:r w:rsidRPr="006D60BC">
              <w:rPr>
                <w:rFonts w:asciiTheme="majorHAnsi" w:hAnsiTheme="majorHAnsi" w:cstheme="majorHAnsi"/>
                <w:b/>
              </w:rPr>
              <w:t>Isolation controls</w:t>
            </w:r>
          </w:p>
        </w:tc>
      </w:tr>
      <w:tr w:rsidR="006D60BC" w:rsidRPr="006D60BC" w14:paraId="6EB35485" w14:textId="77777777" w:rsidTr="004452F5">
        <w:tc>
          <w:tcPr>
            <w:tcW w:w="1786" w:type="dxa"/>
            <w:shd w:val="clear" w:color="auto" w:fill="FCFCFC" w:themeFill="background2" w:themeFillTint="1A"/>
          </w:tcPr>
          <w:p w14:paraId="19C54D1B"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Enclosed Systems</w:t>
            </w:r>
          </w:p>
        </w:tc>
        <w:tc>
          <w:tcPr>
            <w:tcW w:w="2694" w:type="dxa"/>
            <w:shd w:val="clear" w:color="auto" w:fill="auto"/>
          </w:tcPr>
          <w:p w14:paraId="412BC9BF"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auto"/>
          </w:tcPr>
          <w:p w14:paraId="47E77310"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lang w:eastAsia="en-AU"/>
              </w:rPr>
              <w:t>PPI.1</w:t>
            </w:r>
          </w:p>
        </w:tc>
        <w:tc>
          <w:tcPr>
            <w:tcW w:w="2694" w:type="dxa"/>
            <w:shd w:val="clear" w:color="auto" w:fill="auto"/>
          </w:tcPr>
          <w:p w14:paraId="1535FC04"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auto"/>
          </w:tcPr>
          <w:p w14:paraId="5311D8B4"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70BD22D7" w14:textId="77777777" w:rsidTr="006D60BC">
        <w:tc>
          <w:tcPr>
            <w:tcW w:w="1786" w:type="dxa"/>
            <w:shd w:val="clear" w:color="auto" w:fill="DAE3F8" w:themeFill="accent1" w:themeFillTint="33"/>
          </w:tcPr>
          <w:p w14:paraId="70BE5811"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lang w:eastAsia="en-AU"/>
              </w:rPr>
              <w:t>Exhaust extraction</w:t>
            </w:r>
          </w:p>
        </w:tc>
        <w:tc>
          <w:tcPr>
            <w:tcW w:w="2694" w:type="dxa"/>
            <w:shd w:val="clear" w:color="auto" w:fill="DAE3F8" w:themeFill="accent1" w:themeFillTint="33"/>
          </w:tcPr>
          <w:p w14:paraId="514577CA"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DAE3F8" w:themeFill="accent1" w:themeFillTint="33"/>
          </w:tcPr>
          <w:p w14:paraId="711164B6"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lang w:eastAsia="en-AU"/>
              </w:rPr>
              <w:t>PPI.1</w:t>
            </w:r>
          </w:p>
        </w:tc>
        <w:tc>
          <w:tcPr>
            <w:tcW w:w="2694" w:type="dxa"/>
            <w:shd w:val="clear" w:color="auto" w:fill="DAE3F8" w:themeFill="accent1" w:themeFillTint="33"/>
          </w:tcPr>
          <w:p w14:paraId="43517C46"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DAE3F8" w:themeFill="accent1" w:themeFillTint="33"/>
          </w:tcPr>
          <w:p w14:paraId="28196179"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26531E27" w14:textId="77777777" w:rsidTr="004452F5">
        <w:tc>
          <w:tcPr>
            <w:tcW w:w="1786" w:type="dxa"/>
            <w:shd w:val="clear" w:color="auto" w:fill="FCFCFC" w:themeFill="background2" w:themeFillTint="1A"/>
          </w:tcPr>
          <w:p w14:paraId="22EE81AD"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Isolating processes</w:t>
            </w:r>
          </w:p>
        </w:tc>
        <w:tc>
          <w:tcPr>
            <w:tcW w:w="2694" w:type="dxa"/>
            <w:shd w:val="clear" w:color="auto" w:fill="auto"/>
          </w:tcPr>
          <w:p w14:paraId="32F18F2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auto"/>
          </w:tcPr>
          <w:p w14:paraId="780DCC0B"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lang w:eastAsia="en-AU"/>
              </w:rPr>
              <w:t>PPI.1</w:t>
            </w:r>
          </w:p>
        </w:tc>
        <w:tc>
          <w:tcPr>
            <w:tcW w:w="2694" w:type="dxa"/>
            <w:shd w:val="clear" w:color="auto" w:fill="auto"/>
          </w:tcPr>
          <w:p w14:paraId="4459AC05"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auto"/>
          </w:tcPr>
          <w:p w14:paraId="3F29168E"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76B9E743" w14:textId="77777777" w:rsidTr="006D60BC">
        <w:tc>
          <w:tcPr>
            <w:tcW w:w="1786" w:type="dxa"/>
            <w:shd w:val="clear" w:color="auto" w:fill="DAE3F8" w:themeFill="accent1" w:themeFillTint="33"/>
          </w:tcPr>
          <w:p w14:paraId="5DB88C77"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Other</w:t>
            </w:r>
          </w:p>
        </w:tc>
        <w:tc>
          <w:tcPr>
            <w:tcW w:w="2694" w:type="dxa"/>
            <w:shd w:val="clear" w:color="auto" w:fill="DAE3F8" w:themeFill="accent1" w:themeFillTint="33"/>
          </w:tcPr>
          <w:p w14:paraId="0BF1AA51"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DAE3F8" w:themeFill="accent1" w:themeFillTint="33"/>
          </w:tcPr>
          <w:p w14:paraId="511FAD4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lang w:eastAsia="en-AU"/>
              </w:rPr>
              <w:t>PPI.1</w:t>
            </w:r>
          </w:p>
        </w:tc>
        <w:tc>
          <w:tcPr>
            <w:tcW w:w="2694" w:type="dxa"/>
            <w:shd w:val="clear" w:color="auto" w:fill="DAE3F8" w:themeFill="accent1" w:themeFillTint="33"/>
          </w:tcPr>
          <w:p w14:paraId="4747846A"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DAE3F8" w:themeFill="accent1" w:themeFillTint="33"/>
          </w:tcPr>
          <w:p w14:paraId="1DAFA782"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2C8F3D7D" w14:textId="77777777" w:rsidTr="006D60BC">
        <w:tc>
          <w:tcPr>
            <w:tcW w:w="9157" w:type="dxa"/>
            <w:gridSpan w:val="5"/>
            <w:shd w:val="clear" w:color="auto" w:fill="91ACEC" w:themeFill="accent1" w:themeFillTint="99"/>
          </w:tcPr>
          <w:p w14:paraId="54E9E8A7" w14:textId="77777777" w:rsidR="006D60BC" w:rsidRPr="006D60BC" w:rsidRDefault="006D60BC" w:rsidP="00E06275">
            <w:pPr>
              <w:pStyle w:val="TableNText"/>
              <w:rPr>
                <w:rFonts w:asciiTheme="minorHAnsi" w:hAnsiTheme="minorHAnsi" w:cstheme="minorHAnsi"/>
                <w:b/>
              </w:rPr>
            </w:pPr>
            <w:r w:rsidRPr="006D60BC">
              <w:rPr>
                <w:rFonts w:asciiTheme="minorHAnsi" w:hAnsiTheme="minorHAnsi" w:cstheme="minorHAnsi"/>
                <w:b/>
                <w:lang w:eastAsia="en-AU"/>
              </w:rPr>
              <w:t>Engineering controls</w:t>
            </w:r>
          </w:p>
        </w:tc>
      </w:tr>
      <w:tr w:rsidR="006D60BC" w:rsidRPr="006D60BC" w14:paraId="18F3C831" w14:textId="77777777" w:rsidTr="004452F5">
        <w:tc>
          <w:tcPr>
            <w:tcW w:w="1786" w:type="dxa"/>
            <w:shd w:val="clear" w:color="auto" w:fill="FCFCFC" w:themeFill="background2" w:themeFillTint="1A"/>
            <w:vAlign w:val="center"/>
          </w:tcPr>
          <w:p w14:paraId="0E36B0B1" w14:textId="77777777" w:rsidR="006D60BC" w:rsidRPr="006D60BC" w:rsidRDefault="006D60BC" w:rsidP="00E06275">
            <w:pPr>
              <w:pStyle w:val="TableNText"/>
              <w:rPr>
                <w:rFonts w:asciiTheme="majorHAnsi" w:hAnsiTheme="majorHAnsi" w:cstheme="majorHAnsi"/>
              </w:rPr>
            </w:pPr>
            <w:r w:rsidRPr="006D60BC">
              <w:rPr>
                <w:rFonts w:asciiTheme="majorHAnsi" w:hAnsiTheme="majorHAnsi" w:cstheme="majorHAnsi"/>
                <w:lang w:eastAsia="en-AU"/>
              </w:rPr>
              <w:t>Fully-enclosed vent booth</w:t>
            </w:r>
          </w:p>
        </w:tc>
        <w:tc>
          <w:tcPr>
            <w:tcW w:w="2694" w:type="dxa"/>
            <w:shd w:val="clear" w:color="auto" w:fill="auto"/>
          </w:tcPr>
          <w:p w14:paraId="63252654"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auto"/>
          </w:tcPr>
          <w:p w14:paraId="233C4EEA"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PPI.1</w:t>
            </w:r>
          </w:p>
        </w:tc>
        <w:tc>
          <w:tcPr>
            <w:tcW w:w="2694" w:type="dxa"/>
            <w:shd w:val="clear" w:color="auto" w:fill="auto"/>
          </w:tcPr>
          <w:p w14:paraId="5BAC3E26"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auto"/>
          </w:tcPr>
          <w:p w14:paraId="79D91B2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19DD9716" w14:textId="77777777" w:rsidTr="006D60BC">
        <w:tc>
          <w:tcPr>
            <w:tcW w:w="1786" w:type="dxa"/>
            <w:shd w:val="clear" w:color="auto" w:fill="DAE3F8" w:themeFill="accent1" w:themeFillTint="33"/>
            <w:vAlign w:val="center"/>
          </w:tcPr>
          <w:p w14:paraId="5B53C09D" w14:textId="77777777" w:rsidR="006D60BC" w:rsidRPr="006D60BC" w:rsidRDefault="006D60BC" w:rsidP="00E06275">
            <w:pPr>
              <w:pStyle w:val="TableNText"/>
              <w:rPr>
                <w:rFonts w:asciiTheme="majorHAnsi" w:hAnsiTheme="majorHAnsi" w:cstheme="majorHAnsi"/>
              </w:rPr>
            </w:pPr>
            <w:r w:rsidRPr="006D60BC">
              <w:rPr>
                <w:rFonts w:asciiTheme="majorHAnsi" w:hAnsiTheme="majorHAnsi" w:cstheme="majorHAnsi"/>
                <w:lang w:eastAsia="en-AU"/>
              </w:rPr>
              <w:t>Partially-enclosed fume cupboard</w:t>
            </w:r>
          </w:p>
        </w:tc>
        <w:tc>
          <w:tcPr>
            <w:tcW w:w="2694" w:type="dxa"/>
            <w:shd w:val="clear" w:color="auto" w:fill="DAE3F8" w:themeFill="accent1" w:themeFillTint="33"/>
          </w:tcPr>
          <w:p w14:paraId="37112572"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DAE3F8" w:themeFill="accent1" w:themeFillTint="33"/>
          </w:tcPr>
          <w:p w14:paraId="27D65B29"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PPI.1</w:t>
            </w:r>
          </w:p>
        </w:tc>
        <w:tc>
          <w:tcPr>
            <w:tcW w:w="2694" w:type="dxa"/>
            <w:shd w:val="clear" w:color="auto" w:fill="DAE3F8" w:themeFill="accent1" w:themeFillTint="33"/>
          </w:tcPr>
          <w:p w14:paraId="6573F814"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DAE3F8" w:themeFill="accent1" w:themeFillTint="33"/>
          </w:tcPr>
          <w:p w14:paraId="2D00FC5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311A9C16" w14:textId="77777777" w:rsidTr="004452F5">
        <w:tc>
          <w:tcPr>
            <w:tcW w:w="1786" w:type="dxa"/>
            <w:shd w:val="clear" w:color="auto" w:fill="FCFCFC" w:themeFill="background2" w:themeFillTint="1A"/>
            <w:vAlign w:val="center"/>
          </w:tcPr>
          <w:p w14:paraId="64F9D5AC" w14:textId="77777777" w:rsidR="006D60BC" w:rsidRPr="006D60BC" w:rsidRDefault="006D60BC" w:rsidP="00E06275">
            <w:pPr>
              <w:pStyle w:val="TableNText"/>
              <w:rPr>
                <w:rFonts w:asciiTheme="majorHAnsi" w:hAnsiTheme="majorHAnsi" w:cstheme="majorHAnsi"/>
              </w:rPr>
            </w:pPr>
            <w:r w:rsidRPr="006D60BC">
              <w:rPr>
                <w:rFonts w:asciiTheme="majorHAnsi" w:hAnsiTheme="majorHAnsi" w:cstheme="majorHAnsi"/>
                <w:lang w:eastAsia="en-AU"/>
              </w:rPr>
              <w:t>Robotics</w:t>
            </w:r>
          </w:p>
        </w:tc>
        <w:tc>
          <w:tcPr>
            <w:tcW w:w="2694" w:type="dxa"/>
            <w:shd w:val="clear" w:color="auto" w:fill="auto"/>
          </w:tcPr>
          <w:p w14:paraId="5F87078A"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auto"/>
          </w:tcPr>
          <w:p w14:paraId="5A393417"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PPI.1</w:t>
            </w:r>
          </w:p>
        </w:tc>
        <w:tc>
          <w:tcPr>
            <w:tcW w:w="2694" w:type="dxa"/>
            <w:shd w:val="clear" w:color="auto" w:fill="auto"/>
          </w:tcPr>
          <w:p w14:paraId="5F9032F7"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auto"/>
          </w:tcPr>
          <w:p w14:paraId="3A001B0D"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7378E447" w14:textId="77777777" w:rsidTr="006D60BC">
        <w:tc>
          <w:tcPr>
            <w:tcW w:w="1786" w:type="dxa"/>
            <w:shd w:val="clear" w:color="auto" w:fill="DAE3F8" w:themeFill="accent1" w:themeFillTint="33"/>
            <w:vAlign w:val="center"/>
          </w:tcPr>
          <w:p w14:paraId="64E2D414" w14:textId="77777777" w:rsidR="006D60BC" w:rsidRPr="006D60BC" w:rsidRDefault="006D60BC" w:rsidP="00E06275">
            <w:pPr>
              <w:pStyle w:val="TableNText"/>
              <w:rPr>
                <w:rFonts w:asciiTheme="majorHAnsi" w:hAnsiTheme="majorHAnsi" w:cstheme="majorHAnsi"/>
                <w:lang w:eastAsia="en-AU"/>
              </w:rPr>
            </w:pPr>
            <w:r w:rsidRPr="006D60BC">
              <w:rPr>
                <w:rFonts w:asciiTheme="majorHAnsi" w:hAnsiTheme="majorHAnsi" w:cstheme="majorHAnsi"/>
                <w:lang w:eastAsia="en-AU"/>
              </w:rPr>
              <w:t>Local exhaust ventilation</w:t>
            </w:r>
          </w:p>
        </w:tc>
        <w:tc>
          <w:tcPr>
            <w:tcW w:w="2694" w:type="dxa"/>
            <w:shd w:val="clear" w:color="auto" w:fill="DAE3F8" w:themeFill="accent1" w:themeFillTint="33"/>
          </w:tcPr>
          <w:p w14:paraId="6CEEE62B"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DAE3F8" w:themeFill="accent1" w:themeFillTint="33"/>
          </w:tcPr>
          <w:p w14:paraId="2400F6D6"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PPI.1</w:t>
            </w:r>
          </w:p>
        </w:tc>
        <w:tc>
          <w:tcPr>
            <w:tcW w:w="2694" w:type="dxa"/>
            <w:shd w:val="clear" w:color="auto" w:fill="DAE3F8" w:themeFill="accent1" w:themeFillTint="33"/>
          </w:tcPr>
          <w:p w14:paraId="540A22EB"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DAE3F8" w:themeFill="accent1" w:themeFillTint="33"/>
          </w:tcPr>
          <w:p w14:paraId="23EA6D89"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6CB94D8B" w14:textId="77777777" w:rsidTr="004452F5">
        <w:tc>
          <w:tcPr>
            <w:tcW w:w="1786" w:type="dxa"/>
            <w:shd w:val="clear" w:color="auto" w:fill="FCFCFC" w:themeFill="background2" w:themeFillTint="1A"/>
            <w:vAlign w:val="center"/>
          </w:tcPr>
          <w:p w14:paraId="7FDA6AE1" w14:textId="77777777" w:rsidR="006D60BC" w:rsidRPr="006D60BC" w:rsidRDefault="006D60BC" w:rsidP="00E06275">
            <w:pPr>
              <w:pStyle w:val="TableNText"/>
              <w:rPr>
                <w:rFonts w:asciiTheme="majorHAnsi" w:hAnsiTheme="majorHAnsi" w:cstheme="majorHAnsi"/>
                <w:lang w:eastAsia="en-AU"/>
              </w:rPr>
            </w:pPr>
            <w:r w:rsidRPr="006D60BC">
              <w:rPr>
                <w:rFonts w:asciiTheme="majorHAnsi" w:hAnsiTheme="majorHAnsi" w:cstheme="majorHAnsi"/>
              </w:rPr>
              <w:t>Other</w:t>
            </w:r>
          </w:p>
        </w:tc>
        <w:tc>
          <w:tcPr>
            <w:tcW w:w="2694" w:type="dxa"/>
            <w:shd w:val="clear" w:color="auto" w:fill="auto"/>
          </w:tcPr>
          <w:p w14:paraId="794339F0"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 Professional and scientific equipment manufacturing</w:t>
            </w:r>
          </w:p>
        </w:tc>
        <w:tc>
          <w:tcPr>
            <w:tcW w:w="991" w:type="dxa"/>
            <w:shd w:val="clear" w:color="auto" w:fill="auto"/>
          </w:tcPr>
          <w:p w14:paraId="2312A44D"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PPI.1</w:t>
            </w:r>
          </w:p>
        </w:tc>
        <w:tc>
          <w:tcPr>
            <w:tcW w:w="2694" w:type="dxa"/>
            <w:shd w:val="clear" w:color="auto" w:fill="auto"/>
          </w:tcPr>
          <w:p w14:paraId="1D35D80B"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Professional, scientific and technical services</w:t>
            </w:r>
          </w:p>
        </w:tc>
        <w:tc>
          <w:tcPr>
            <w:tcW w:w="992" w:type="dxa"/>
            <w:shd w:val="clear" w:color="auto" w:fill="auto"/>
          </w:tcPr>
          <w:p w14:paraId="35ADEF12"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WPI.2</w:t>
            </w:r>
          </w:p>
        </w:tc>
      </w:tr>
      <w:tr w:rsidR="006D60BC" w:rsidRPr="006D60BC" w14:paraId="17B39B0F" w14:textId="77777777" w:rsidTr="006D60BC">
        <w:tc>
          <w:tcPr>
            <w:tcW w:w="9157" w:type="dxa"/>
            <w:gridSpan w:val="5"/>
            <w:shd w:val="clear" w:color="auto" w:fill="91ACEC" w:themeFill="accent1" w:themeFillTint="99"/>
            <w:vAlign w:val="center"/>
          </w:tcPr>
          <w:p w14:paraId="1BE0BCB1" w14:textId="77777777" w:rsidR="006D60BC" w:rsidRPr="006D60BC" w:rsidRDefault="006D60BC" w:rsidP="00E06275">
            <w:pPr>
              <w:pStyle w:val="TableNText"/>
              <w:rPr>
                <w:b/>
              </w:rPr>
            </w:pPr>
            <w:r w:rsidRPr="006D60BC">
              <w:rPr>
                <w:rFonts w:asciiTheme="majorHAnsi" w:hAnsiTheme="majorHAnsi" w:cstheme="majorHAnsi"/>
                <w:b/>
                <w:lang w:eastAsia="en-AU"/>
              </w:rPr>
              <w:t>Administrative controls</w:t>
            </w:r>
          </w:p>
        </w:tc>
      </w:tr>
      <w:tr w:rsidR="006D60BC" w:rsidRPr="006D60BC" w14:paraId="7874F48B" w14:textId="77777777" w:rsidTr="004452F5">
        <w:tc>
          <w:tcPr>
            <w:tcW w:w="1786" w:type="dxa"/>
            <w:shd w:val="clear" w:color="auto" w:fill="FCFCFC" w:themeFill="background2" w:themeFillTint="1A"/>
            <w:vAlign w:val="center"/>
          </w:tcPr>
          <w:p w14:paraId="6050503C"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Work policies</w:t>
            </w:r>
          </w:p>
        </w:tc>
        <w:tc>
          <w:tcPr>
            <w:tcW w:w="2694" w:type="dxa"/>
            <w:shd w:val="clear" w:color="auto" w:fill="auto"/>
          </w:tcPr>
          <w:p w14:paraId="0422FA12"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1" w:type="dxa"/>
            <w:shd w:val="clear" w:color="auto" w:fill="auto"/>
          </w:tcPr>
          <w:p w14:paraId="4CE04A12" w14:textId="77777777" w:rsidR="006D60BC" w:rsidRPr="006D60BC" w:rsidRDefault="006D60BC" w:rsidP="00E06275">
            <w:pPr>
              <w:pStyle w:val="TableNText"/>
              <w:rPr>
                <w:rFonts w:asciiTheme="minorHAnsi" w:hAnsiTheme="minorHAnsi" w:cstheme="minorHAnsi"/>
                <w:lang w:eastAsia="en-AU"/>
              </w:rPr>
            </w:pPr>
          </w:p>
        </w:tc>
        <w:tc>
          <w:tcPr>
            <w:tcW w:w="2694" w:type="dxa"/>
            <w:shd w:val="clear" w:color="auto" w:fill="auto"/>
          </w:tcPr>
          <w:p w14:paraId="538683F5"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Total hourly rates of pay excluding bonuses; Australia; Private and Public; Administrative and support services</w:t>
            </w:r>
          </w:p>
        </w:tc>
        <w:tc>
          <w:tcPr>
            <w:tcW w:w="992" w:type="dxa"/>
            <w:shd w:val="clear" w:color="auto" w:fill="auto"/>
          </w:tcPr>
          <w:p w14:paraId="6A812BA9"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WPI.3</w:t>
            </w:r>
          </w:p>
        </w:tc>
      </w:tr>
      <w:tr w:rsidR="006D60BC" w:rsidRPr="006D60BC" w14:paraId="710FBD28" w14:textId="77777777" w:rsidTr="006D60BC">
        <w:tc>
          <w:tcPr>
            <w:tcW w:w="9157" w:type="dxa"/>
            <w:gridSpan w:val="5"/>
            <w:shd w:val="clear" w:color="auto" w:fill="91ACEC" w:themeFill="accent1" w:themeFillTint="99"/>
            <w:vAlign w:val="center"/>
          </w:tcPr>
          <w:p w14:paraId="39D665E4" w14:textId="77777777" w:rsidR="006D60BC" w:rsidRPr="006D60BC" w:rsidRDefault="006D60BC" w:rsidP="00E06275">
            <w:pPr>
              <w:pStyle w:val="TableNText"/>
              <w:rPr>
                <w:rFonts w:asciiTheme="minorHAnsi" w:hAnsiTheme="minorHAnsi" w:cstheme="minorHAnsi"/>
                <w:b/>
              </w:rPr>
            </w:pPr>
            <w:r w:rsidRPr="006D60BC">
              <w:rPr>
                <w:rFonts w:asciiTheme="minorHAnsi" w:hAnsiTheme="minorHAnsi" w:cstheme="minorHAnsi"/>
                <w:b/>
              </w:rPr>
              <w:lastRenderedPageBreak/>
              <w:t>Personal Protective Equipment</w:t>
            </w:r>
          </w:p>
        </w:tc>
      </w:tr>
      <w:tr w:rsidR="006D60BC" w:rsidRPr="006D60BC" w14:paraId="412A7421" w14:textId="77777777" w:rsidTr="004452F5">
        <w:tc>
          <w:tcPr>
            <w:tcW w:w="1786" w:type="dxa"/>
            <w:shd w:val="clear" w:color="auto" w:fill="FCFCFC" w:themeFill="background2" w:themeFillTint="1A"/>
            <w:vAlign w:val="center"/>
          </w:tcPr>
          <w:p w14:paraId="03D8A5DD"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Chemical resistant glasses</w:t>
            </w:r>
          </w:p>
        </w:tc>
        <w:tc>
          <w:tcPr>
            <w:tcW w:w="2694" w:type="dxa"/>
            <w:shd w:val="clear" w:color="auto" w:fill="auto"/>
          </w:tcPr>
          <w:p w14:paraId="295FCC5A"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2411 Photographic, optical and ophthalmic equipment manufacturing</w:t>
            </w:r>
          </w:p>
        </w:tc>
        <w:tc>
          <w:tcPr>
            <w:tcW w:w="991" w:type="dxa"/>
            <w:shd w:val="clear" w:color="auto" w:fill="auto"/>
          </w:tcPr>
          <w:p w14:paraId="5B2F73F5"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PPI.2</w:t>
            </w:r>
          </w:p>
        </w:tc>
        <w:tc>
          <w:tcPr>
            <w:tcW w:w="2694" w:type="dxa"/>
            <w:shd w:val="clear" w:color="auto" w:fill="auto"/>
          </w:tcPr>
          <w:p w14:paraId="468060FC"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auto"/>
          </w:tcPr>
          <w:p w14:paraId="46157B5D" w14:textId="77777777" w:rsidR="006D60BC" w:rsidRPr="006D60BC" w:rsidRDefault="006D60BC" w:rsidP="00E06275">
            <w:pPr>
              <w:pStyle w:val="TableNText"/>
              <w:rPr>
                <w:rFonts w:asciiTheme="minorHAnsi" w:hAnsiTheme="minorHAnsi" w:cstheme="minorHAnsi"/>
              </w:rPr>
            </w:pPr>
          </w:p>
        </w:tc>
      </w:tr>
      <w:tr w:rsidR="006D60BC" w:rsidRPr="006D60BC" w14:paraId="5D40A679" w14:textId="77777777" w:rsidTr="006D60BC">
        <w:tc>
          <w:tcPr>
            <w:tcW w:w="1786" w:type="dxa"/>
            <w:shd w:val="clear" w:color="auto" w:fill="DAE3F8" w:themeFill="accent1" w:themeFillTint="33"/>
            <w:vAlign w:val="center"/>
          </w:tcPr>
          <w:p w14:paraId="14B5EB8F"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Face shield or goggles</w:t>
            </w:r>
          </w:p>
        </w:tc>
        <w:tc>
          <w:tcPr>
            <w:tcW w:w="2694" w:type="dxa"/>
            <w:shd w:val="clear" w:color="auto" w:fill="DAE3F8" w:themeFill="accent1" w:themeFillTint="33"/>
          </w:tcPr>
          <w:p w14:paraId="221A9110"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182 Basic polymer manufacturing</w:t>
            </w:r>
          </w:p>
        </w:tc>
        <w:tc>
          <w:tcPr>
            <w:tcW w:w="991" w:type="dxa"/>
            <w:shd w:val="clear" w:color="auto" w:fill="DAE3F8" w:themeFill="accent1" w:themeFillTint="33"/>
          </w:tcPr>
          <w:p w14:paraId="703BCA8E"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PPI.3</w:t>
            </w:r>
          </w:p>
        </w:tc>
        <w:tc>
          <w:tcPr>
            <w:tcW w:w="2694" w:type="dxa"/>
            <w:shd w:val="clear" w:color="auto" w:fill="DAE3F8" w:themeFill="accent1" w:themeFillTint="33"/>
          </w:tcPr>
          <w:p w14:paraId="40D6AF2F"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DAE3F8" w:themeFill="accent1" w:themeFillTint="33"/>
          </w:tcPr>
          <w:p w14:paraId="070B72D2" w14:textId="77777777" w:rsidR="006D60BC" w:rsidRPr="006D60BC" w:rsidRDefault="006D60BC" w:rsidP="00E06275">
            <w:pPr>
              <w:pStyle w:val="TableNText"/>
              <w:rPr>
                <w:rFonts w:asciiTheme="minorHAnsi" w:hAnsiTheme="minorHAnsi" w:cstheme="minorHAnsi"/>
              </w:rPr>
            </w:pPr>
          </w:p>
        </w:tc>
      </w:tr>
      <w:tr w:rsidR="006D60BC" w:rsidRPr="006D60BC" w14:paraId="76B84AE7" w14:textId="77777777" w:rsidTr="004452F5">
        <w:tc>
          <w:tcPr>
            <w:tcW w:w="1786" w:type="dxa"/>
            <w:shd w:val="clear" w:color="auto" w:fill="FCFCFC" w:themeFill="background2" w:themeFillTint="1A"/>
            <w:vAlign w:val="center"/>
          </w:tcPr>
          <w:p w14:paraId="143F550A"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Respirators</w:t>
            </w:r>
          </w:p>
        </w:tc>
        <w:tc>
          <w:tcPr>
            <w:tcW w:w="2694" w:type="dxa"/>
            <w:shd w:val="clear" w:color="auto" w:fill="auto"/>
          </w:tcPr>
          <w:p w14:paraId="5CAE1562"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2412 Medical and surgical equipment manufacturing</w:t>
            </w:r>
          </w:p>
        </w:tc>
        <w:tc>
          <w:tcPr>
            <w:tcW w:w="991" w:type="dxa"/>
            <w:shd w:val="clear" w:color="auto" w:fill="auto"/>
          </w:tcPr>
          <w:p w14:paraId="1D7725A6"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PPI.4</w:t>
            </w:r>
          </w:p>
        </w:tc>
        <w:tc>
          <w:tcPr>
            <w:tcW w:w="2694" w:type="dxa"/>
            <w:shd w:val="clear" w:color="auto" w:fill="auto"/>
          </w:tcPr>
          <w:p w14:paraId="7EEC0AFF"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auto"/>
          </w:tcPr>
          <w:p w14:paraId="406ED398" w14:textId="77777777" w:rsidR="006D60BC" w:rsidRPr="006D60BC" w:rsidRDefault="006D60BC" w:rsidP="00E06275">
            <w:pPr>
              <w:pStyle w:val="TableNText"/>
              <w:rPr>
                <w:rFonts w:asciiTheme="minorHAnsi" w:hAnsiTheme="minorHAnsi" w:cstheme="minorHAnsi"/>
              </w:rPr>
            </w:pPr>
          </w:p>
        </w:tc>
      </w:tr>
      <w:tr w:rsidR="006D60BC" w:rsidRPr="006D60BC" w14:paraId="273DC795" w14:textId="77777777" w:rsidTr="006D60BC">
        <w:tc>
          <w:tcPr>
            <w:tcW w:w="1786" w:type="dxa"/>
            <w:shd w:val="clear" w:color="auto" w:fill="DAE3F8" w:themeFill="accent1" w:themeFillTint="33"/>
            <w:vAlign w:val="center"/>
          </w:tcPr>
          <w:p w14:paraId="171E7436"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Gloves</w:t>
            </w:r>
          </w:p>
        </w:tc>
        <w:tc>
          <w:tcPr>
            <w:tcW w:w="2694" w:type="dxa"/>
            <w:shd w:val="clear" w:color="auto" w:fill="DAE3F8" w:themeFill="accent1" w:themeFillTint="33"/>
          </w:tcPr>
          <w:p w14:paraId="065CEB80"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Output of the Manufacturing industries; 192 Natural rubber product manufacturing</w:t>
            </w:r>
          </w:p>
        </w:tc>
        <w:tc>
          <w:tcPr>
            <w:tcW w:w="991" w:type="dxa"/>
            <w:shd w:val="clear" w:color="auto" w:fill="DAE3F8" w:themeFill="accent1" w:themeFillTint="33"/>
          </w:tcPr>
          <w:p w14:paraId="35C34399"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PPI.5</w:t>
            </w:r>
          </w:p>
        </w:tc>
        <w:tc>
          <w:tcPr>
            <w:tcW w:w="2694" w:type="dxa"/>
            <w:shd w:val="clear" w:color="auto" w:fill="DAE3F8" w:themeFill="accent1" w:themeFillTint="33"/>
          </w:tcPr>
          <w:p w14:paraId="1F0523F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DAE3F8" w:themeFill="accent1" w:themeFillTint="33"/>
          </w:tcPr>
          <w:p w14:paraId="23419D57" w14:textId="77777777" w:rsidR="006D60BC" w:rsidRPr="006D60BC" w:rsidRDefault="006D60BC" w:rsidP="00E06275">
            <w:pPr>
              <w:pStyle w:val="TableNText"/>
              <w:rPr>
                <w:rFonts w:asciiTheme="minorHAnsi" w:hAnsiTheme="minorHAnsi" w:cstheme="minorHAnsi"/>
              </w:rPr>
            </w:pPr>
          </w:p>
        </w:tc>
      </w:tr>
      <w:tr w:rsidR="006D60BC" w:rsidRPr="006D60BC" w14:paraId="74547362" w14:textId="77777777" w:rsidTr="004452F5">
        <w:tc>
          <w:tcPr>
            <w:tcW w:w="1786" w:type="dxa"/>
            <w:shd w:val="clear" w:color="auto" w:fill="FCFCFC" w:themeFill="background2" w:themeFillTint="1A"/>
            <w:vAlign w:val="center"/>
          </w:tcPr>
          <w:p w14:paraId="081E62B8"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Protective clothing</w:t>
            </w:r>
          </w:p>
        </w:tc>
        <w:tc>
          <w:tcPr>
            <w:tcW w:w="2694" w:type="dxa"/>
            <w:shd w:val="clear" w:color="auto" w:fill="auto"/>
          </w:tcPr>
          <w:p w14:paraId="10BDDA2E"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CPI; Clothing and footwear; Australia</w:t>
            </w:r>
          </w:p>
        </w:tc>
        <w:tc>
          <w:tcPr>
            <w:tcW w:w="991" w:type="dxa"/>
            <w:shd w:val="clear" w:color="auto" w:fill="auto"/>
          </w:tcPr>
          <w:p w14:paraId="5E67C610"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CPI.2</w:t>
            </w:r>
          </w:p>
        </w:tc>
        <w:tc>
          <w:tcPr>
            <w:tcW w:w="2694" w:type="dxa"/>
            <w:shd w:val="clear" w:color="auto" w:fill="auto"/>
          </w:tcPr>
          <w:p w14:paraId="4E264C39"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auto"/>
          </w:tcPr>
          <w:p w14:paraId="2E46FC94" w14:textId="77777777" w:rsidR="006D60BC" w:rsidRPr="006D60BC" w:rsidRDefault="006D60BC" w:rsidP="00E06275">
            <w:pPr>
              <w:pStyle w:val="TableNText"/>
              <w:rPr>
                <w:rFonts w:asciiTheme="minorHAnsi" w:hAnsiTheme="minorHAnsi" w:cstheme="minorHAnsi"/>
              </w:rPr>
            </w:pPr>
          </w:p>
        </w:tc>
      </w:tr>
      <w:tr w:rsidR="006D60BC" w:rsidRPr="006D60BC" w14:paraId="36AF9FF7" w14:textId="77777777" w:rsidTr="006D60BC">
        <w:tc>
          <w:tcPr>
            <w:tcW w:w="1786" w:type="dxa"/>
            <w:shd w:val="clear" w:color="auto" w:fill="DAE3F8" w:themeFill="accent1" w:themeFillTint="33"/>
            <w:vAlign w:val="center"/>
          </w:tcPr>
          <w:p w14:paraId="66DB6A97"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Other</w:t>
            </w:r>
          </w:p>
        </w:tc>
        <w:tc>
          <w:tcPr>
            <w:tcW w:w="2694" w:type="dxa"/>
            <w:shd w:val="clear" w:color="auto" w:fill="DAE3F8" w:themeFill="accent1" w:themeFillTint="33"/>
          </w:tcPr>
          <w:p w14:paraId="0A950397"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CPI; Medical products, appliances and equipment; Australia</w:t>
            </w:r>
          </w:p>
        </w:tc>
        <w:tc>
          <w:tcPr>
            <w:tcW w:w="991" w:type="dxa"/>
            <w:shd w:val="clear" w:color="auto" w:fill="DAE3F8" w:themeFill="accent1" w:themeFillTint="33"/>
          </w:tcPr>
          <w:p w14:paraId="11B77E71"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CPI.3</w:t>
            </w:r>
          </w:p>
        </w:tc>
        <w:tc>
          <w:tcPr>
            <w:tcW w:w="2694" w:type="dxa"/>
            <w:shd w:val="clear" w:color="auto" w:fill="DAE3F8" w:themeFill="accent1" w:themeFillTint="33"/>
          </w:tcPr>
          <w:p w14:paraId="477A6C93" w14:textId="77777777" w:rsidR="006D60BC" w:rsidRPr="006D60BC" w:rsidRDefault="006D60BC" w:rsidP="00E06275">
            <w:pPr>
              <w:pStyle w:val="TableNText"/>
              <w:rPr>
                <w:rFonts w:asciiTheme="minorHAnsi" w:hAnsiTheme="minorHAnsi" w:cstheme="minorHAnsi"/>
              </w:rPr>
            </w:pPr>
            <w:r w:rsidRPr="006D60BC">
              <w:rPr>
                <w:rFonts w:asciiTheme="minorHAnsi" w:hAnsiTheme="minorHAnsi" w:cstheme="minorHAnsi"/>
              </w:rPr>
              <w:t>Not applicable</w:t>
            </w:r>
          </w:p>
        </w:tc>
        <w:tc>
          <w:tcPr>
            <w:tcW w:w="992" w:type="dxa"/>
            <w:shd w:val="clear" w:color="auto" w:fill="DAE3F8" w:themeFill="accent1" w:themeFillTint="33"/>
          </w:tcPr>
          <w:p w14:paraId="3EA40DBB" w14:textId="77777777" w:rsidR="006D60BC" w:rsidRPr="006D60BC" w:rsidRDefault="006D60BC" w:rsidP="00E06275">
            <w:pPr>
              <w:pStyle w:val="TableNText"/>
              <w:rPr>
                <w:rFonts w:asciiTheme="minorHAnsi" w:hAnsiTheme="minorHAnsi" w:cstheme="minorHAnsi"/>
              </w:rPr>
            </w:pPr>
          </w:p>
        </w:tc>
      </w:tr>
    </w:tbl>
    <w:p w14:paraId="5C13C70A" w14:textId="4934C5FD" w:rsidR="00352C12" w:rsidRDefault="00352C12" w:rsidP="00144BE5">
      <w:pPr>
        <w:pStyle w:val="Caption"/>
      </w:pPr>
      <w:r>
        <w:br/>
      </w:r>
      <w:bookmarkStart w:id="760" w:name="_Ref216794507"/>
      <w:r>
        <w:t xml:space="preserve">Table </w:t>
      </w:r>
      <w:fldSimple w:instr=" SEQ Table \* ARABIC ">
        <w:r w:rsidR="00A002F4">
          <w:rPr>
            <w:noProof/>
          </w:rPr>
          <w:t>83</w:t>
        </w:r>
      </w:fldSimple>
      <w:bookmarkEnd w:id="760"/>
      <w:r>
        <w:t xml:space="preserve"> - </w:t>
      </w:r>
      <w:r w:rsidRPr="00D83D80">
        <w:t>Escalation indexes used for management practice costs</w:t>
      </w:r>
    </w:p>
    <w:tbl>
      <w:tblPr>
        <w:tblStyle w:val="NOUS"/>
        <w:tblW w:w="91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12"/>
        <w:gridCol w:w="5244"/>
        <w:gridCol w:w="1701"/>
      </w:tblGrid>
      <w:tr w:rsidR="006D60BC" w:rsidRPr="0098199F" w14:paraId="743875C4" w14:textId="77777777" w:rsidTr="00F22546">
        <w:trPr>
          <w:cnfStyle w:val="100000000000" w:firstRow="1" w:lastRow="0" w:firstColumn="0" w:lastColumn="0" w:oddVBand="0" w:evenVBand="0" w:oddHBand="0" w:evenHBand="0" w:firstRowFirstColumn="0" w:firstRowLastColumn="0" w:lastRowFirstColumn="0" w:lastRowLastColumn="0"/>
        </w:trPr>
        <w:tc>
          <w:tcPr>
            <w:tcW w:w="221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1D9F63D7" w14:textId="77777777" w:rsidR="006D60BC" w:rsidRPr="006D60BC" w:rsidRDefault="006D60BC" w:rsidP="006D60BC">
            <w:pPr>
              <w:pStyle w:val="TableNText"/>
              <w:spacing w:before="0" w:after="0"/>
              <w:rPr>
                <w:rFonts w:asciiTheme="majorHAnsi" w:hAnsiTheme="majorHAnsi" w:cstheme="majorHAnsi"/>
                <w:bCs/>
                <w:color w:val="FFFFFF" w:themeColor="background1"/>
                <w:lang w:eastAsia="en-AU"/>
              </w:rPr>
            </w:pPr>
            <w:r w:rsidRPr="006D60BC">
              <w:rPr>
                <w:rFonts w:asciiTheme="majorHAnsi" w:hAnsiTheme="majorHAnsi" w:cstheme="majorHAnsi"/>
                <w:bCs/>
                <w:color w:val="FFFFFF" w:themeColor="background1"/>
                <w:lang w:eastAsia="en-AU"/>
              </w:rPr>
              <w:t>Cost item</w:t>
            </w:r>
          </w:p>
        </w:tc>
        <w:tc>
          <w:tcPr>
            <w:tcW w:w="694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06C5FAF0" w14:textId="77777777" w:rsidR="006D60BC" w:rsidRPr="006D60BC" w:rsidRDefault="006D60BC" w:rsidP="006D60BC">
            <w:pPr>
              <w:pStyle w:val="TableNText"/>
              <w:spacing w:before="0" w:after="0"/>
              <w:jc w:val="center"/>
              <w:rPr>
                <w:rFonts w:asciiTheme="majorHAnsi" w:hAnsiTheme="majorHAnsi" w:cstheme="majorHAnsi"/>
                <w:bCs/>
                <w:color w:val="FFFFFF" w:themeColor="background1"/>
              </w:rPr>
            </w:pPr>
            <w:r w:rsidRPr="006D60BC">
              <w:rPr>
                <w:rFonts w:asciiTheme="majorHAnsi" w:hAnsiTheme="majorHAnsi" w:cstheme="majorHAnsi"/>
                <w:bCs/>
                <w:color w:val="FFFFFF" w:themeColor="background1"/>
              </w:rPr>
              <w:t>Average Annual Cost</w:t>
            </w:r>
          </w:p>
        </w:tc>
      </w:tr>
      <w:tr w:rsidR="006D60BC" w:rsidRPr="0098199F" w14:paraId="1199E979" w14:textId="77777777" w:rsidTr="00F22546">
        <w:tc>
          <w:tcPr>
            <w:tcW w:w="2212" w:type="dxa"/>
            <w:vMerge/>
            <w:tcBorders>
              <w:top w:val="single" w:sz="4" w:space="0" w:color="BFBFBF" w:themeColor="background1" w:themeShade="BF"/>
            </w:tcBorders>
            <w:shd w:val="clear" w:color="auto" w:fill="4877E0" w:themeFill="accent1"/>
          </w:tcPr>
          <w:p w14:paraId="350AE354" w14:textId="77777777" w:rsidR="006D60BC" w:rsidRPr="006D60BC" w:rsidRDefault="006D60BC" w:rsidP="006D60BC">
            <w:pPr>
              <w:pStyle w:val="TableNText"/>
              <w:spacing w:before="0" w:after="0"/>
              <w:rPr>
                <w:rFonts w:asciiTheme="majorHAnsi" w:hAnsiTheme="majorHAnsi" w:cstheme="majorHAnsi"/>
                <w:b/>
                <w:color w:val="FFFFFF" w:themeColor="background1"/>
                <w:lang w:eastAsia="en-AU"/>
              </w:rPr>
            </w:pPr>
          </w:p>
        </w:tc>
        <w:tc>
          <w:tcPr>
            <w:tcW w:w="5244" w:type="dxa"/>
            <w:tcBorders>
              <w:top w:val="single" w:sz="4" w:space="0" w:color="BFBFBF" w:themeColor="background1" w:themeShade="BF"/>
            </w:tcBorders>
            <w:shd w:val="clear" w:color="auto" w:fill="4877E0" w:themeFill="accent1"/>
          </w:tcPr>
          <w:p w14:paraId="7DBFE28E" w14:textId="77777777" w:rsidR="006D60BC" w:rsidRPr="006D60BC" w:rsidRDefault="006D60BC" w:rsidP="006D60BC">
            <w:pPr>
              <w:pStyle w:val="TableNText"/>
              <w:spacing w:before="0" w:after="0"/>
              <w:jc w:val="center"/>
              <w:rPr>
                <w:rFonts w:asciiTheme="majorHAnsi" w:hAnsiTheme="majorHAnsi" w:cstheme="majorHAnsi"/>
                <w:b/>
                <w:color w:val="FFFFFF" w:themeColor="background1"/>
              </w:rPr>
            </w:pPr>
            <w:r w:rsidRPr="006D60BC">
              <w:rPr>
                <w:rFonts w:asciiTheme="majorHAnsi" w:hAnsiTheme="majorHAnsi" w:cstheme="majorHAnsi"/>
                <w:b/>
                <w:color w:val="FFFFFF" w:themeColor="background1"/>
              </w:rPr>
              <w:t>Escalation index</w:t>
            </w:r>
          </w:p>
        </w:tc>
        <w:tc>
          <w:tcPr>
            <w:tcW w:w="1701" w:type="dxa"/>
            <w:tcBorders>
              <w:top w:val="single" w:sz="4" w:space="0" w:color="BFBFBF" w:themeColor="background1" w:themeShade="BF"/>
            </w:tcBorders>
            <w:shd w:val="clear" w:color="auto" w:fill="4877E0" w:themeFill="accent1"/>
          </w:tcPr>
          <w:p w14:paraId="45636802" w14:textId="77777777" w:rsidR="006D60BC" w:rsidRPr="006D60BC" w:rsidRDefault="006D60BC" w:rsidP="006D60BC">
            <w:pPr>
              <w:pStyle w:val="TableNText"/>
              <w:spacing w:before="0" w:after="0"/>
              <w:jc w:val="center"/>
              <w:rPr>
                <w:rFonts w:asciiTheme="majorHAnsi" w:hAnsiTheme="majorHAnsi" w:cstheme="majorHAnsi"/>
                <w:b/>
                <w:color w:val="FFFFFF" w:themeColor="background1"/>
              </w:rPr>
            </w:pPr>
            <w:r w:rsidRPr="006D60BC">
              <w:rPr>
                <w:rFonts w:asciiTheme="majorHAnsi" w:hAnsiTheme="majorHAnsi" w:cstheme="majorHAnsi"/>
                <w:b/>
                <w:color w:val="FFFFFF" w:themeColor="background1"/>
              </w:rPr>
              <w:t>Ref. code</w:t>
            </w:r>
          </w:p>
        </w:tc>
      </w:tr>
      <w:tr w:rsidR="006D60BC" w:rsidRPr="0098199F" w14:paraId="554CC928" w14:textId="77777777" w:rsidTr="006D60BC">
        <w:tc>
          <w:tcPr>
            <w:tcW w:w="9157" w:type="dxa"/>
            <w:gridSpan w:val="3"/>
            <w:shd w:val="clear" w:color="auto" w:fill="91ACEC" w:themeFill="accent1" w:themeFillTint="99"/>
          </w:tcPr>
          <w:p w14:paraId="589E8B24" w14:textId="77777777" w:rsidR="006D60BC" w:rsidRPr="006D60BC" w:rsidRDefault="006D60BC" w:rsidP="00E06275">
            <w:pPr>
              <w:pStyle w:val="TableNText"/>
              <w:rPr>
                <w:b/>
                <w:lang w:eastAsia="en-AU"/>
              </w:rPr>
            </w:pPr>
            <w:r w:rsidRPr="006D60BC">
              <w:rPr>
                <w:rFonts w:asciiTheme="majorHAnsi" w:hAnsiTheme="majorHAnsi" w:cstheme="majorHAnsi"/>
                <w:b/>
                <w:lang w:eastAsia="en-AU"/>
              </w:rPr>
              <w:t>Air monitoring</w:t>
            </w:r>
          </w:p>
        </w:tc>
      </w:tr>
      <w:tr w:rsidR="006D60BC" w:rsidRPr="0098199F" w14:paraId="4185F9C6" w14:textId="77777777" w:rsidTr="004452F5">
        <w:tc>
          <w:tcPr>
            <w:tcW w:w="2212" w:type="dxa"/>
            <w:shd w:val="clear" w:color="auto" w:fill="FCFCFC" w:themeFill="background2" w:themeFillTint="1A"/>
          </w:tcPr>
          <w:p w14:paraId="7DCDDEA4" w14:textId="77777777" w:rsidR="006D60BC" w:rsidRPr="006D60BC" w:rsidRDefault="006D60BC" w:rsidP="00E06275">
            <w:pPr>
              <w:pStyle w:val="TableNText"/>
              <w:rPr>
                <w:rFonts w:asciiTheme="majorHAnsi" w:hAnsiTheme="majorHAnsi" w:cstheme="majorHAnsi"/>
                <w:lang w:eastAsia="en-AU"/>
              </w:rPr>
            </w:pPr>
            <w:r w:rsidRPr="006D60BC">
              <w:rPr>
                <w:rFonts w:asciiTheme="majorHAnsi" w:hAnsiTheme="majorHAnsi" w:cstheme="majorHAnsi"/>
                <w:lang w:eastAsia="en-AU"/>
              </w:rPr>
              <w:t>Air monitoring activity</w:t>
            </w:r>
          </w:p>
        </w:tc>
        <w:tc>
          <w:tcPr>
            <w:tcW w:w="5244" w:type="dxa"/>
            <w:shd w:val="clear" w:color="auto" w:fill="auto"/>
          </w:tcPr>
          <w:p w14:paraId="5DE334FC"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Total hourly rates of pay excluding bonuses; Australia; Private and Public; Professional, scientific and technical services</w:t>
            </w:r>
          </w:p>
        </w:tc>
        <w:tc>
          <w:tcPr>
            <w:tcW w:w="1701" w:type="dxa"/>
            <w:shd w:val="clear" w:color="auto" w:fill="auto"/>
          </w:tcPr>
          <w:p w14:paraId="707487AD"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WPI.2</w:t>
            </w:r>
          </w:p>
        </w:tc>
      </w:tr>
      <w:tr w:rsidR="006D60BC" w:rsidRPr="0098199F" w14:paraId="6B322B4E" w14:textId="77777777" w:rsidTr="006D60BC">
        <w:tc>
          <w:tcPr>
            <w:tcW w:w="9157" w:type="dxa"/>
            <w:gridSpan w:val="3"/>
            <w:shd w:val="clear" w:color="auto" w:fill="91ACEC" w:themeFill="accent1" w:themeFillTint="99"/>
          </w:tcPr>
          <w:p w14:paraId="4BCBF992" w14:textId="022BF3AA" w:rsidR="006D60BC" w:rsidRPr="006D60BC" w:rsidRDefault="006D60BC" w:rsidP="00E06275">
            <w:pPr>
              <w:pStyle w:val="TableNText"/>
              <w:rPr>
                <w:rFonts w:asciiTheme="minorHAnsi" w:hAnsiTheme="minorHAnsi" w:cstheme="minorHAnsi"/>
                <w:b/>
                <w:lang w:eastAsia="en-AU"/>
              </w:rPr>
            </w:pPr>
            <w:r w:rsidRPr="006D60BC">
              <w:rPr>
                <w:rFonts w:asciiTheme="minorHAnsi" w:hAnsiTheme="minorHAnsi" w:cstheme="minorHAnsi"/>
                <w:b/>
                <w:lang w:eastAsia="en-AU"/>
              </w:rPr>
              <w:t>Occupational hygiene</w:t>
            </w:r>
          </w:p>
        </w:tc>
      </w:tr>
      <w:tr w:rsidR="006D60BC" w:rsidRPr="0098199F" w14:paraId="3426E4A5" w14:textId="77777777" w:rsidTr="004452F5">
        <w:tc>
          <w:tcPr>
            <w:tcW w:w="2212" w:type="dxa"/>
            <w:shd w:val="clear" w:color="auto" w:fill="FCFCFC" w:themeFill="background2" w:themeFillTint="1A"/>
          </w:tcPr>
          <w:p w14:paraId="7EB4444C" w14:textId="77777777" w:rsidR="006D60BC" w:rsidRPr="006D60BC" w:rsidRDefault="006D60BC" w:rsidP="00E06275">
            <w:pPr>
              <w:pStyle w:val="TableNText"/>
              <w:rPr>
                <w:lang w:eastAsia="en-AU"/>
              </w:rPr>
            </w:pPr>
            <w:r w:rsidRPr="006D60BC">
              <w:rPr>
                <w:rFonts w:asciiTheme="majorHAnsi" w:hAnsiTheme="majorHAnsi" w:cstheme="majorHAnsi"/>
                <w:lang w:eastAsia="en-AU"/>
              </w:rPr>
              <w:t>Occupational hygienist</w:t>
            </w:r>
          </w:p>
        </w:tc>
        <w:tc>
          <w:tcPr>
            <w:tcW w:w="5244" w:type="dxa"/>
            <w:shd w:val="clear" w:color="auto" w:fill="auto"/>
          </w:tcPr>
          <w:p w14:paraId="64AD0647"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rPr>
              <w:t>Total hourly rates of pay excluding bonuses; Australia; Private and Public; Professional, scientific and technical services</w:t>
            </w:r>
          </w:p>
        </w:tc>
        <w:tc>
          <w:tcPr>
            <w:tcW w:w="1701" w:type="dxa"/>
            <w:shd w:val="clear" w:color="auto" w:fill="auto"/>
          </w:tcPr>
          <w:p w14:paraId="5CD6B692" w14:textId="77777777" w:rsidR="006D60BC" w:rsidRPr="006D60BC" w:rsidRDefault="006D60BC" w:rsidP="00E06275">
            <w:pPr>
              <w:pStyle w:val="TableNText"/>
              <w:rPr>
                <w:rFonts w:asciiTheme="minorHAnsi" w:hAnsiTheme="minorHAnsi" w:cstheme="minorHAnsi"/>
                <w:lang w:eastAsia="en-AU"/>
              </w:rPr>
            </w:pPr>
            <w:r w:rsidRPr="006D60BC">
              <w:rPr>
                <w:rFonts w:asciiTheme="minorHAnsi" w:hAnsiTheme="minorHAnsi" w:cstheme="minorHAnsi"/>
                <w:lang w:eastAsia="en-AU"/>
              </w:rPr>
              <w:t>WPI.2</w:t>
            </w:r>
          </w:p>
        </w:tc>
      </w:tr>
    </w:tbl>
    <w:p w14:paraId="5228C10E" w14:textId="77777777" w:rsidR="006D60BC" w:rsidRDefault="006D60BC" w:rsidP="006D60BC">
      <w:pPr>
        <w:pStyle w:val="Paragraph"/>
        <w:rPr>
          <w:lang w:eastAsia="en-US"/>
        </w:rPr>
      </w:pPr>
    </w:p>
    <w:p w14:paraId="79AD45D6" w14:textId="44A067D7" w:rsidR="003D2679" w:rsidRDefault="003D2679" w:rsidP="003D2679">
      <w:pPr>
        <w:pStyle w:val="SWAHeading1"/>
        <w:numPr>
          <w:ilvl w:val="0"/>
          <w:numId w:val="0"/>
        </w:numPr>
      </w:pPr>
      <w:bookmarkStart w:id="761" w:name="AppendixK"/>
      <w:bookmarkStart w:id="762" w:name="_Toc219216953"/>
      <w:bookmarkEnd w:id="761"/>
      <w:r>
        <w:lastRenderedPageBreak/>
        <w:t xml:space="preserve">Appendix </w:t>
      </w:r>
      <w:r w:rsidR="00006136">
        <w:t xml:space="preserve">K </w:t>
      </w:r>
      <w:r>
        <w:t>– Degree of confidence assessment</w:t>
      </w:r>
      <w:bookmarkEnd w:id="762"/>
    </w:p>
    <w:p w14:paraId="31E89924" w14:textId="23960F36" w:rsidR="00F326A2" w:rsidRPr="00993B73" w:rsidRDefault="00CA267D" w:rsidP="00144BE5">
      <w:r>
        <w:rPr>
          <w:lang w:eastAsia="en-AU"/>
        </w:rPr>
        <w:fldChar w:fldCharType="begin"/>
      </w:r>
      <w:r>
        <w:rPr>
          <w:lang w:eastAsia="en-AU"/>
        </w:rPr>
        <w:instrText xml:space="preserve"> REF _Ref216794557 \h </w:instrText>
      </w:r>
      <w:r>
        <w:rPr>
          <w:lang w:eastAsia="en-AU"/>
        </w:rPr>
      </w:r>
      <w:r>
        <w:rPr>
          <w:lang w:eastAsia="en-AU"/>
        </w:rPr>
        <w:fldChar w:fldCharType="separate"/>
      </w:r>
      <w:r w:rsidR="00A002F4">
        <w:t xml:space="preserve">Table </w:t>
      </w:r>
      <w:r w:rsidR="00A002F4">
        <w:rPr>
          <w:noProof/>
        </w:rPr>
        <w:t>84</w:t>
      </w:r>
      <w:r>
        <w:rPr>
          <w:lang w:eastAsia="en-AU"/>
        </w:rPr>
        <w:fldChar w:fldCharType="end"/>
      </w:r>
      <w:r>
        <w:rPr>
          <w:lang w:eastAsia="en-AU"/>
        </w:rPr>
        <w:t xml:space="preserve"> </w:t>
      </w:r>
      <w:r w:rsidR="00F326A2" w:rsidRPr="00993B73">
        <w:rPr>
          <w:lang w:eastAsia="en-AU"/>
        </w:rPr>
        <w:t>presents the information sources used to estimate the impact measures for the analysis and provides a qualitative assessment of the degree of confidence in the outputs of the analysis.</w:t>
      </w:r>
    </w:p>
    <w:p w14:paraId="5893F822" w14:textId="016682D0" w:rsidR="00CA267D" w:rsidRDefault="00CA267D" w:rsidP="00144BE5">
      <w:pPr>
        <w:pStyle w:val="Caption"/>
      </w:pPr>
      <w:bookmarkStart w:id="763" w:name="_Ref216794557"/>
      <w:r>
        <w:t xml:space="preserve">Table </w:t>
      </w:r>
      <w:fldSimple w:instr=" SEQ Table \* ARABIC ">
        <w:r w:rsidR="00A002F4">
          <w:rPr>
            <w:noProof/>
          </w:rPr>
          <w:t>84</w:t>
        </w:r>
      </w:fldSimple>
      <w:bookmarkEnd w:id="763"/>
      <w:r>
        <w:t xml:space="preserve"> - </w:t>
      </w:r>
      <w:r w:rsidRPr="001A4D49">
        <w:t>Information sources and degree of confidence in impact analysis</w:t>
      </w:r>
    </w:p>
    <w:tbl>
      <w:tblPr>
        <w:tblStyle w:val="NOUS"/>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268"/>
        <w:gridCol w:w="4252"/>
      </w:tblGrid>
      <w:tr w:rsidR="002878C4" w:rsidRPr="0098199F" w14:paraId="6DD337ED" w14:textId="77777777" w:rsidTr="009576C3">
        <w:trPr>
          <w:cnfStyle w:val="100000000000" w:firstRow="1" w:lastRow="0" w:firstColumn="0" w:lastColumn="0" w:oddVBand="0" w:evenVBand="0" w:oddHBand="0" w:evenHBand="0" w:firstRowFirstColumn="0" w:firstRowLastColumn="0" w:lastRowFirstColumn="0" w:lastRowLastColumn="0"/>
          <w:tblHeader/>
        </w:trPr>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4347BC8A" w14:textId="77777777" w:rsidR="00F326A2" w:rsidRPr="00F326A2" w:rsidRDefault="00F326A2" w:rsidP="00E06275">
            <w:pPr>
              <w:pStyle w:val="TableNText"/>
              <w:rPr>
                <w:rFonts w:asciiTheme="majorHAnsi" w:hAnsiTheme="majorHAnsi" w:cstheme="majorHAnsi"/>
                <w:bCs/>
                <w:color w:val="FFFFFF" w:themeColor="background1"/>
                <w:lang w:eastAsia="en-AU"/>
              </w:rPr>
            </w:pPr>
            <w:r w:rsidRPr="00F326A2">
              <w:rPr>
                <w:rFonts w:asciiTheme="majorHAnsi" w:hAnsiTheme="majorHAnsi" w:cstheme="majorHAnsi"/>
                <w:bCs/>
                <w:color w:val="FFFFFF" w:themeColor="background1"/>
                <w:lang w:eastAsia="en-AU"/>
              </w:rPr>
              <w:t>Item</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3218D865" w14:textId="77777777" w:rsidR="00F326A2" w:rsidRPr="00F326A2" w:rsidRDefault="00F326A2" w:rsidP="00E06275">
            <w:pPr>
              <w:pStyle w:val="TableNText"/>
              <w:rPr>
                <w:rFonts w:asciiTheme="majorHAnsi" w:hAnsiTheme="majorHAnsi" w:cstheme="majorHAnsi"/>
                <w:bCs/>
                <w:color w:val="FFFFFF" w:themeColor="background1"/>
                <w:lang w:eastAsia="en-AU"/>
              </w:rPr>
            </w:pPr>
            <w:r w:rsidRPr="00F326A2">
              <w:rPr>
                <w:rFonts w:asciiTheme="majorHAnsi" w:hAnsiTheme="majorHAnsi" w:cstheme="majorHAnsi"/>
                <w:bCs/>
                <w:color w:val="FFFFFF" w:themeColor="background1"/>
                <w:lang w:eastAsia="en-AU"/>
              </w:rPr>
              <w:t>Information sources</w:t>
            </w: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877E0" w:themeFill="accent1"/>
          </w:tcPr>
          <w:p w14:paraId="7E32617F" w14:textId="77777777" w:rsidR="00F326A2" w:rsidRPr="00F326A2" w:rsidRDefault="00F326A2" w:rsidP="00E06275">
            <w:pPr>
              <w:pStyle w:val="TableNText"/>
              <w:rPr>
                <w:rFonts w:asciiTheme="majorHAnsi" w:hAnsiTheme="majorHAnsi" w:cstheme="majorHAnsi"/>
                <w:bCs/>
                <w:color w:val="FFFFFF" w:themeColor="background1"/>
                <w:lang w:eastAsia="en-AU"/>
              </w:rPr>
            </w:pPr>
            <w:r w:rsidRPr="00F326A2">
              <w:rPr>
                <w:rFonts w:asciiTheme="majorHAnsi" w:hAnsiTheme="majorHAnsi" w:cstheme="majorHAnsi"/>
                <w:bCs/>
                <w:color w:val="FFFFFF" w:themeColor="background1"/>
                <w:lang w:eastAsia="en-AU"/>
              </w:rPr>
              <w:t>Degree of confidence &amp; rationale</w:t>
            </w:r>
          </w:p>
        </w:tc>
      </w:tr>
      <w:tr w:rsidR="002878C4" w:rsidRPr="0098199F" w14:paraId="14E5BE92" w14:textId="77777777" w:rsidTr="003616E7">
        <w:tc>
          <w:tcPr>
            <w:tcW w:w="2547" w:type="dxa"/>
            <w:tcBorders>
              <w:top w:val="single" w:sz="4" w:space="0" w:color="BFBFBF" w:themeColor="background1" w:themeShade="BF"/>
            </w:tcBorders>
            <w:shd w:val="clear" w:color="auto" w:fill="91ACEC" w:themeFill="accent1" w:themeFillTint="99"/>
          </w:tcPr>
          <w:p w14:paraId="5B15636D" w14:textId="77777777" w:rsidR="00F326A2" w:rsidRPr="00F326A2" w:rsidRDefault="00F326A2" w:rsidP="00E06275">
            <w:pPr>
              <w:pStyle w:val="TableNText"/>
              <w:rPr>
                <w:rFonts w:asciiTheme="majorHAnsi" w:hAnsiTheme="majorHAnsi" w:cstheme="majorHAnsi"/>
                <w:b/>
                <w:lang w:eastAsia="en-AU"/>
              </w:rPr>
            </w:pPr>
            <w:r w:rsidRPr="00F326A2">
              <w:rPr>
                <w:rFonts w:asciiTheme="majorHAnsi" w:hAnsiTheme="majorHAnsi" w:cstheme="majorHAnsi"/>
                <w:b/>
                <w:lang w:eastAsia="en-AU"/>
              </w:rPr>
              <w:t>Businesses and workers</w:t>
            </w:r>
          </w:p>
        </w:tc>
        <w:tc>
          <w:tcPr>
            <w:tcW w:w="2268" w:type="dxa"/>
            <w:tcBorders>
              <w:top w:val="single" w:sz="4" w:space="0" w:color="BFBFBF" w:themeColor="background1" w:themeShade="BF"/>
            </w:tcBorders>
            <w:shd w:val="clear" w:color="auto" w:fill="91ACEC" w:themeFill="accent1" w:themeFillTint="99"/>
          </w:tcPr>
          <w:p w14:paraId="5E942ED4" w14:textId="77777777" w:rsidR="00F326A2" w:rsidRPr="00993B73" w:rsidRDefault="00F326A2" w:rsidP="00E06275">
            <w:pPr>
              <w:pStyle w:val="TableNText"/>
              <w:rPr>
                <w:color w:val="E7E6E6" w:themeColor="background2"/>
                <w:lang w:eastAsia="en-AU"/>
              </w:rPr>
            </w:pPr>
          </w:p>
        </w:tc>
        <w:tc>
          <w:tcPr>
            <w:tcW w:w="4252" w:type="dxa"/>
            <w:tcBorders>
              <w:top w:val="single" w:sz="4" w:space="0" w:color="BFBFBF" w:themeColor="background1" w:themeShade="BF"/>
            </w:tcBorders>
            <w:shd w:val="clear" w:color="auto" w:fill="91ACEC" w:themeFill="accent1" w:themeFillTint="99"/>
          </w:tcPr>
          <w:p w14:paraId="75D559DF" w14:textId="77777777" w:rsidR="00F326A2" w:rsidRPr="00993B73" w:rsidRDefault="00F326A2" w:rsidP="00E06275">
            <w:pPr>
              <w:pStyle w:val="TableNText"/>
              <w:rPr>
                <w:color w:val="E7E6E6" w:themeColor="background2"/>
                <w:lang w:eastAsia="en-AU"/>
              </w:rPr>
            </w:pPr>
          </w:p>
        </w:tc>
      </w:tr>
      <w:tr w:rsidR="003B72D7" w:rsidRPr="0098199F" w14:paraId="12E688CD" w14:textId="77777777" w:rsidTr="004452F5">
        <w:tc>
          <w:tcPr>
            <w:tcW w:w="2547" w:type="dxa"/>
            <w:shd w:val="clear" w:color="auto" w:fill="auto"/>
          </w:tcPr>
          <w:p w14:paraId="4CCC9292" w14:textId="77777777" w:rsidR="00F326A2" w:rsidRPr="000800CA" w:rsidRDefault="00F326A2" w:rsidP="00E06275">
            <w:pPr>
              <w:pStyle w:val="TableNText"/>
              <w:rPr>
                <w:rFonts w:asciiTheme="minorHAnsi" w:hAnsiTheme="minorHAnsi" w:cstheme="minorHAnsi"/>
                <w:b/>
                <w:lang w:eastAsia="en-AU"/>
              </w:rPr>
            </w:pPr>
            <w:r w:rsidRPr="000800CA">
              <w:rPr>
                <w:rFonts w:asciiTheme="minorHAnsi" w:hAnsiTheme="minorHAnsi" w:cstheme="minorHAnsi"/>
                <w:b/>
                <w:lang w:eastAsia="en-AU"/>
              </w:rPr>
              <w:t>Affected businesses</w:t>
            </w:r>
          </w:p>
        </w:tc>
        <w:tc>
          <w:tcPr>
            <w:tcW w:w="2268" w:type="dxa"/>
            <w:shd w:val="clear" w:color="auto" w:fill="auto"/>
          </w:tcPr>
          <w:p w14:paraId="5F1FD955" w14:textId="743002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ABS Counts of Australian Businesses</w:t>
            </w:r>
            <w:r w:rsidR="00D74877">
              <w:rPr>
                <w:rFonts w:asciiTheme="minorHAnsi" w:hAnsiTheme="minorHAnsi" w:cstheme="minorHAnsi"/>
              </w:rPr>
              <w:t xml:space="preserve"> </w:t>
            </w:r>
            <w:sdt>
              <w:sdtPr>
                <w:rPr>
                  <w:rFonts w:asciiTheme="minorHAnsi" w:hAnsiTheme="minorHAnsi" w:cstheme="minorHAnsi"/>
                </w:rPr>
                <w:id w:val="-1248262441"/>
                <w:citation/>
              </w:sdtPr>
              <w:sdtEndPr/>
              <w:sdtContent>
                <w:r w:rsidR="00D74877">
                  <w:rPr>
                    <w:rFonts w:asciiTheme="minorHAnsi" w:hAnsiTheme="minorHAnsi" w:cstheme="minorHAnsi"/>
                  </w:rPr>
                  <w:fldChar w:fldCharType="begin"/>
                </w:r>
                <w:r w:rsidR="00D74877">
                  <w:rPr>
                    <w:rFonts w:asciiTheme="minorHAnsi" w:hAnsiTheme="minorHAnsi" w:cstheme="minorHAnsi"/>
                  </w:rPr>
                  <w:instrText xml:space="preserve"> </w:instrText>
                </w:r>
                <w:r w:rsidR="00D74877">
                  <w:rPr>
                    <w:rFonts w:asciiTheme="minorHAnsi" w:hAnsiTheme="minorHAnsi" w:cstheme="minorHAnsi"/>
                    <w:lang w:val="en-AU"/>
                  </w:rPr>
                  <w:instrText xml:space="preserve">CITATION </w:instrText>
                </w:r>
                <w:r w:rsidR="00D74877">
                  <w:rPr>
                    <w:rFonts w:asciiTheme="minorHAnsi" w:hAnsiTheme="minorHAnsi" w:cstheme="minorHAnsi"/>
                  </w:rPr>
                  <w:instrText xml:space="preserve">Aus244 \l 3081 </w:instrText>
                </w:r>
                <w:r w:rsidR="00D74877">
                  <w:rPr>
                    <w:rFonts w:asciiTheme="minorHAnsi" w:hAnsiTheme="minorHAnsi" w:cstheme="minorHAnsi"/>
                  </w:rPr>
                  <w:fldChar w:fldCharType="separate"/>
                </w:r>
                <w:r w:rsidR="00490B21" w:rsidRPr="00490B21">
                  <w:rPr>
                    <w:rFonts w:asciiTheme="minorHAnsi" w:hAnsiTheme="minorHAnsi" w:cstheme="minorHAnsi"/>
                    <w:noProof/>
                    <w:lang w:val="en-AU"/>
                  </w:rPr>
                  <w:t>(Australian Bureau of Statistics, 2023)</w:t>
                </w:r>
                <w:r w:rsidR="00D74877">
                  <w:rPr>
                    <w:rFonts w:asciiTheme="minorHAnsi" w:hAnsiTheme="minorHAnsi" w:cstheme="minorHAnsi"/>
                  </w:rPr>
                  <w:fldChar w:fldCharType="end"/>
                </w:r>
              </w:sdtContent>
            </w:sdt>
          </w:p>
          <w:p w14:paraId="63E17A1A" w14:textId="69009554"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NPI data</w:t>
            </w:r>
            <w:r w:rsidR="00D74877">
              <w:rPr>
                <w:rFonts w:asciiTheme="minorHAnsi" w:hAnsiTheme="minorHAnsi" w:cstheme="minorHAnsi"/>
              </w:rPr>
              <w:t xml:space="preserve"> </w:t>
            </w:r>
            <w:sdt>
              <w:sdtPr>
                <w:rPr>
                  <w:rFonts w:asciiTheme="minorHAnsi" w:hAnsiTheme="minorHAnsi" w:cstheme="minorHAnsi"/>
                </w:rPr>
                <w:id w:val="727498643"/>
                <w:citation/>
              </w:sdtPr>
              <w:sdtEndPr/>
              <w:sdtContent>
                <w:r w:rsidR="00D74877">
                  <w:rPr>
                    <w:rFonts w:asciiTheme="minorHAnsi" w:hAnsiTheme="minorHAnsi" w:cstheme="minorHAnsi"/>
                  </w:rPr>
                  <w:fldChar w:fldCharType="begin"/>
                </w:r>
                <w:r w:rsidR="00D74877">
                  <w:rPr>
                    <w:rFonts w:asciiTheme="minorHAnsi" w:hAnsiTheme="minorHAnsi" w:cstheme="minorHAnsi"/>
                  </w:rPr>
                  <w:instrText xml:space="preserve"> </w:instrText>
                </w:r>
                <w:r w:rsidR="00D74877">
                  <w:rPr>
                    <w:rFonts w:asciiTheme="minorHAnsi" w:hAnsiTheme="minorHAnsi" w:cstheme="minorHAnsi"/>
                    <w:lang w:val="en-AU"/>
                  </w:rPr>
                  <w:instrText xml:space="preserve">CITATION </w:instrText>
                </w:r>
                <w:r w:rsidR="00D74877">
                  <w:rPr>
                    <w:rFonts w:asciiTheme="minorHAnsi" w:hAnsiTheme="minorHAnsi" w:cstheme="minorHAnsi"/>
                  </w:rPr>
                  <w:instrText xml:space="preserve">Aus \l 3081 </w:instrText>
                </w:r>
                <w:r w:rsidR="00D74877">
                  <w:rPr>
                    <w:rFonts w:asciiTheme="minorHAnsi" w:hAnsiTheme="minorHAnsi" w:cstheme="minorHAnsi"/>
                  </w:rPr>
                  <w:fldChar w:fldCharType="separate"/>
                </w:r>
                <w:r w:rsidR="00490B21" w:rsidRPr="00490B21">
                  <w:rPr>
                    <w:rFonts w:asciiTheme="minorHAnsi" w:hAnsiTheme="minorHAnsi" w:cstheme="minorHAnsi"/>
                    <w:noProof/>
                    <w:lang w:val="en-AU"/>
                  </w:rPr>
                  <w:t>(Australian Govenrment Department of Climate Change, Energy, the Environment and Water, 2024)</w:t>
                </w:r>
                <w:r w:rsidR="00D74877">
                  <w:rPr>
                    <w:rFonts w:asciiTheme="minorHAnsi" w:hAnsiTheme="minorHAnsi" w:cstheme="minorHAnsi"/>
                  </w:rPr>
                  <w:fldChar w:fldCharType="end"/>
                </w:r>
              </w:sdtContent>
            </w:sdt>
          </w:p>
          <w:p w14:paraId="5C162AAF"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Stakeholder engagement and public consultation feedback</w:t>
            </w:r>
          </w:p>
        </w:tc>
        <w:tc>
          <w:tcPr>
            <w:tcW w:w="4252" w:type="dxa"/>
            <w:shd w:val="clear" w:color="auto" w:fill="auto"/>
          </w:tcPr>
          <w:p w14:paraId="59706359" w14:textId="77777777" w:rsidR="00F326A2" w:rsidRPr="000800CA" w:rsidRDefault="00F326A2" w:rsidP="00E06275">
            <w:pPr>
              <w:pStyle w:val="TableNText"/>
              <w:rPr>
                <w:rFonts w:asciiTheme="minorHAnsi" w:hAnsiTheme="minorHAnsi" w:cstheme="minorHAnsi"/>
                <w:lang w:eastAsia="en-AU"/>
              </w:rPr>
            </w:pPr>
            <w:r w:rsidRPr="000800CA">
              <w:rPr>
                <w:rFonts w:asciiTheme="minorHAnsi" w:hAnsiTheme="minorHAnsi" w:cstheme="minorHAnsi"/>
                <w:b/>
                <w:lang w:eastAsia="en-AU"/>
              </w:rPr>
              <w:t>Degree of confidence:</w:t>
            </w:r>
            <w:r w:rsidRPr="000800CA">
              <w:rPr>
                <w:rFonts w:asciiTheme="minorHAnsi" w:hAnsiTheme="minorHAnsi" w:cstheme="minorHAnsi"/>
                <w:lang w:eastAsia="en-AU"/>
              </w:rPr>
              <w:t xml:space="preserve"> Medium-to-high</w:t>
            </w:r>
          </w:p>
          <w:p w14:paraId="47A03D20" w14:textId="77777777" w:rsidR="00F326A2" w:rsidRPr="000800CA" w:rsidRDefault="00F326A2" w:rsidP="00E06275">
            <w:pPr>
              <w:pStyle w:val="TableNText"/>
              <w:rPr>
                <w:rFonts w:asciiTheme="minorHAnsi" w:hAnsiTheme="minorHAnsi" w:cstheme="minorHAnsi"/>
                <w:b/>
                <w:lang w:eastAsia="en-AU"/>
              </w:rPr>
            </w:pPr>
            <w:r w:rsidRPr="000800CA">
              <w:rPr>
                <w:rFonts w:asciiTheme="minorHAnsi" w:hAnsiTheme="minorHAnsi" w:cstheme="minorHAnsi"/>
                <w:b/>
                <w:lang w:eastAsia="en-AU"/>
              </w:rPr>
              <w:t>Rationale:</w:t>
            </w:r>
          </w:p>
          <w:p w14:paraId="6955CEC3"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The number of businesses affected by the proposed WEL for each chemical have been estimated, as no data on the actual number of relevant businesses was available.</w:t>
            </w:r>
          </w:p>
          <w:p w14:paraId="1BE9FC63"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The industries (ANZSIC Classes) that are expected to be affected by the proposed WEL have been informed by NPI data and engagement with stakeholders including academic experts, occupational hygienists, jurisdictional WHS and workers’ compensation agencies, workers’ groups and industry groups. There is relatively high confidence that these information sources have captured the industries likely to be affected by the proposed WEL.</w:t>
            </w:r>
          </w:p>
          <w:p w14:paraId="7A842ADE"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 xml:space="preserve">The number of businesses operating in each ANZSIC Class (by business size classification) is based on the ABS </w:t>
            </w:r>
            <w:r w:rsidRPr="000800CA">
              <w:rPr>
                <w:rFonts w:asciiTheme="minorHAnsi" w:hAnsiTheme="minorHAnsi" w:cstheme="minorHAnsi"/>
                <w:i/>
                <w:iCs/>
              </w:rPr>
              <w:t>Counts of Australia Businesses, Including Entries and Exits</w:t>
            </w:r>
            <w:r w:rsidRPr="000800CA">
              <w:rPr>
                <w:rFonts w:asciiTheme="minorHAnsi" w:hAnsiTheme="minorHAnsi" w:cstheme="minorHAnsi"/>
              </w:rPr>
              <w:t>. There is high confidence in this data.</w:t>
            </w:r>
          </w:p>
          <w:p w14:paraId="3B6D7CBC"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The proportion of businesses in each industry affected by the proposed WEL has been partly informed by stakeholder engagement. Where proportions were not provided by stakeholders, the analysis assumes that 80 per cent of businesses in an affected industry would be impacted.</w:t>
            </w:r>
          </w:p>
          <w:p w14:paraId="72571C53" w14:textId="77777777" w:rsidR="00F326A2" w:rsidRPr="000800CA" w:rsidRDefault="00F326A2" w:rsidP="00E06275">
            <w:pPr>
              <w:pStyle w:val="TableNBullet"/>
              <w:spacing w:line="240" w:lineRule="auto"/>
              <w:rPr>
                <w:rFonts w:asciiTheme="minorHAnsi" w:hAnsiTheme="minorHAnsi" w:cstheme="minorHAnsi"/>
              </w:rPr>
            </w:pPr>
            <w:r w:rsidRPr="000800CA">
              <w:rPr>
                <w:rFonts w:asciiTheme="minorHAnsi" w:hAnsiTheme="minorHAnsi" w:cstheme="minorHAnsi"/>
              </w:rPr>
              <w:t xml:space="preserve">Through public consultations, further information was gathered to update estimates. </w:t>
            </w:r>
          </w:p>
        </w:tc>
      </w:tr>
      <w:tr w:rsidR="003B72D7" w:rsidRPr="0098199F" w14:paraId="723737DF" w14:textId="77777777" w:rsidTr="003616E7">
        <w:tc>
          <w:tcPr>
            <w:tcW w:w="2547" w:type="dxa"/>
            <w:shd w:val="clear" w:color="auto" w:fill="DAE3F8" w:themeFill="accent1" w:themeFillTint="33"/>
          </w:tcPr>
          <w:p w14:paraId="311AE2A3" w14:textId="77777777" w:rsidR="00F326A2" w:rsidRPr="003B72D7" w:rsidRDefault="00F326A2" w:rsidP="00E06275">
            <w:pPr>
              <w:pStyle w:val="TableNText"/>
              <w:rPr>
                <w:rFonts w:asciiTheme="majorHAnsi" w:hAnsiTheme="majorHAnsi" w:cstheme="majorHAnsi"/>
                <w:b/>
                <w:lang w:eastAsia="en-AU"/>
              </w:rPr>
            </w:pPr>
            <w:r w:rsidRPr="003B72D7">
              <w:rPr>
                <w:rFonts w:asciiTheme="majorHAnsi" w:hAnsiTheme="majorHAnsi" w:cstheme="majorHAnsi"/>
                <w:b/>
                <w:lang w:eastAsia="en-AU"/>
              </w:rPr>
              <w:t>Affected workers</w:t>
            </w:r>
          </w:p>
        </w:tc>
        <w:tc>
          <w:tcPr>
            <w:tcW w:w="2268" w:type="dxa"/>
            <w:shd w:val="clear" w:color="auto" w:fill="DAE3F8" w:themeFill="accent1" w:themeFillTint="33"/>
          </w:tcPr>
          <w:p w14:paraId="6F754999" w14:textId="69B9233D" w:rsidR="00F326A2" w:rsidRPr="00711DFC" w:rsidRDefault="00F326A2" w:rsidP="00E06275">
            <w:pPr>
              <w:pStyle w:val="TableNBullet"/>
              <w:spacing w:line="240" w:lineRule="auto"/>
              <w:rPr>
                <w:rFonts w:asciiTheme="minorHAnsi" w:hAnsiTheme="minorHAnsi" w:cstheme="minorHAnsi"/>
              </w:rPr>
            </w:pPr>
            <w:r w:rsidRPr="00711DFC">
              <w:rPr>
                <w:rFonts w:asciiTheme="minorHAnsi" w:hAnsiTheme="minorHAnsi" w:cstheme="minorHAnsi"/>
              </w:rPr>
              <w:t>ABS Labour Force Survey</w:t>
            </w:r>
            <w:r w:rsidR="00D74877">
              <w:rPr>
                <w:rFonts w:asciiTheme="minorHAnsi" w:hAnsiTheme="minorHAnsi" w:cstheme="minorHAnsi"/>
              </w:rPr>
              <w:t xml:space="preserve"> </w:t>
            </w:r>
            <w:sdt>
              <w:sdtPr>
                <w:rPr>
                  <w:rFonts w:asciiTheme="minorHAnsi" w:hAnsiTheme="minorHAnsi" w:cstheme="minorHAnsi"/>
                </w:rPr>
                <w:id w:val="1692105750"/>
                <w:citation/>
              </w:sdtPr>
              <w:sdtEndPr/>
              <w:sdtContent>
                <w:r w:rsidR="00D74877">
                  <w:rPr>
                    <w:rFonts w:asciiTheme="minorHAnsi" w:hAnsiTheme="minorHAnsi" w:cstheme="minorHAnsi"/>
                  </w:rPr>
                  <w:fldChar w:fldCharType="begin"/>
                </w:r>
                <w:r w:rsidR="00D74877">
                  <w:rPr>
                    <w:rFonts w:asciiTheme="minorHAnsi" w:hAnsiTheme="minorHAnsi" w:cstheme="minorHAnsi"/>
                  </w:rPr>
                  <w:instrText xml:space="preserve"> </w:instrText>
                </w:r>
                <w:r w:rsidR="00D74877">
                  <w:rPr>
                    <w:rFonts w:asciiTheme="minorHAnsi" w:hAnsiTheme="minorHAnsi" w:cstheme="minorHAnsi"/>
                    <w:lang w:val="en-AU"/>
                  </w:rPr>
                  <w:instrText xml:space="preserve">CITATION </w:instrText>
                </w:r>
                <w:r w:rsidR="00D74877">
                  <w:rPr>
                    <w:rFonts w:asciiTheme="minorHAnsi" w:hAnsiTheme="minorHAnsi" w:cstheme="minorHAnsi"/>
                  </w:rPr>
                  <w:instrText xml:space="preserve">Aus246 \l 3081 </w:instrText>
                </w:r>
                <w:r w:rsidR="00D74877">
                  <w:rPr>
                    <w:rFonts w:asciiTheme="minorHAnsi" w:hAnsiTheme="minorHAnsi" w:cstheme="minorHAnsi"/>
                  </w:rPr>
                  <w:fldChar w:fldCharType="separate"/>
                </w:r>
                <w:r w:rsidR="00490B21" w:rsidRPr="00490B21">
                  <w:rPr>
                    <w:rFonts w:asciiTheme="minorHAnsi" w:hAnsiTheme="minorHAnsi" w:cstheme="minorHAnsi"/>
                    <w:noProof/>
                    <w:lang w:val="en-AU"/>
                  </w:rPr>
                  <w:t>(Australian Bureau of Statistics, 2024)</w:t>
                </w:r>
                <w:r w:rsidR="00D74877">
                  <w:rPr>
                    <w:rFonts w:asciiTheme="minorHAnsi" w:hAnsiTheme="minorHAnsi" w:cstheme="minorHAnsi"/>
                  </w:rPr>
                  <w:fldChar w:fldCharType="end"/>
                </w:r>
              </w:sdtContent>
            </w:sdt>
          </w:p>
          <w:p w14:paraId="0195703E" w14:textId="2C223BDD" w:rsidR="00F326A2" w:rsidRPr="00711DFC" w:rsidRDefault="00F326A2" w:rsidP="00E06275">
            <w:pPr>
              <w:pStyle w:val="TableNBullet"/>
              <w:spacing w:line="240" w:lineRule="auto"/>
              <w:rPr>
                <w:rFonts w:asciiTheme="minorHAnsi" w:hAnsiTheme="minorHAnsi" w:cstheme="minorHAnsi"/>
              </w:rPr>
            </w:pPr>
            <w:r w:rsidRPr="00711DFC">
              <w:rPr>
                <w:rFonts w:asciiTheme="minorHAnsi" w:hAnsiTheme="minorHAnsi" w:cstheme="minorHAnsi"/>
              </w:rPr>
              <w:t>NPI data</w:t>
            </w:r>
            <w:r w:rsidR="00D74877">
              <w:rPr>
                <w:rFonts w:asciiTheme="minorHAnsi" w:hAnsiTheme="minorHAnsi" w:cstheme="minorHAnsi"/>
              </w:rPr>
              <w:t xml:space="preserve"> </w:t>
            </w:r>
            <w:sdt>
              <w:sdtPr>
                <w:rPr>
                  <w:rFonts w:asciiTheme="minorHAnsi" w:hAnsiTheme="minorHAnsi" w:cstheme="minorHAnsi"/>
                </w:rPr>
                <w:id w:val="-1993486623"/>
                <w:citation/>
              </w:sdtPr>
              <w:sdtEndPr/>
              <w:sdtContent>
                <w:r w:rsidR="00D74877">
                  <w:rPr>
                    <w:rFonts w:asciiTheme="minorHAnsi" w:hAnsiTheme="minorHAnsi" w:cstheme="minorHAnsi"/>
                  </w:rPr>
                  <w:fldChar w:fldCharType="begin"/>
                </w:r>
                <w:r w:rsidR="00D74877">
                  <w:rPr>
                    <w:rFonts w:asciiTheme="minorHAnsi" w:hAnsiTheme="minorHAnsi" w:cstheme="minorHAnsi"/>
                  </w:rPr>
                  <w:instrText xml:space="preserve"> </w:instrText>
                </w:r>
                <w:r w:rsidR="00D74877">
                  <w:rPr>
                    <w:rFonts w:asciiTheme="minorHAnsi" w:hAnsiTheme="minorHAnsi" w:cstheme="minorHAnsi"/>
                    <w:lang w:val="en-AU"/>
                  </w:rPr>
                  <w:instrText xml:space="preserve">CITATION </w:instrText>
                </w:r>
                <w:r w:rsidR="00D74877">
                  <w:rPr>
                    <w:rFonts w:asciiTheme="minorHAnsi" w:hAnsiTheme="minorHAnsi" w:cstheme="minorHAnsi"/>
                  </w:rPr>
                  <w:instrText xml:space="preserve">Aus \l 3081 </w:instrText>
                </w:r>
                <w:r w:rsidR="00D74877">
                  <w:rPr>
                    <w:rFonts w:asciiTheme="minorHAnsi" w:hAnsiTheme="minorHAnsi" w:cstheme="minorHAnsi"/>
                  </w:rPr>
                  <w:fldChar w:fldCharType="separate"/>
                </w:r>
                <w:r w:rsidR="00490B21" w:rsidRPr="00490B21">
                  <w:rPr>
                    <w:rFonts w:asciiTheme="minorHAnsi" w:hAnsiTheme="minorHAnsi" w:cstheme="minorHAnsi"/>
                    <w:noProof/>
                    <w:lang w:val="en-AU"/>
                  </w:rPr>
                  <w:t>(Australian Govenrment Department of Climate Change, Energy, the Environment and Water, 2024)</w:t>
                </w:r>
                <w:r w:rsidR="00D74877">
                  <w:rPr>
                    <w:rFonts w:asciiTheme="minorHAnsi" w:hAnsiTheme="minorHAnsi" w:cstheme="minorHAnsi"/>
                  </w:rPr>
                  <w:fldChar w:fldCharType="end"/>
                </w:r>
              </w:sdtContent>
            </w:sdt>
          </w:p>
          <w:p w14:paraId="5CFF9F29" w14:textId="78880C2A" w:rsidR="00F326A2" w:rsidRPr="00711DFC" w:rsidRDefault="00F326A2" w:rsidP="00E06275">
            <w:pPr>
              <w:pStyle w:val="TableNBullet"/>
              <w:spacing w:line="240" w:lineRule="auto"/>
              <w:rPr>
                <w:rFonts w:asciiTheme="minorHAnsi" w:hAnsiTheme="minorHAnsi" w:cstheme="minorHAnsi"/>
              </w:rPr>
            </w:pPr>
            <w:r w:rsidRPr="00711DFC">
              <w:rPr>
                <w:rFonts w:asciiTheme="minorHAnsi" w:hAnsiTheme="minorHAnsi" w:cstheme="minorHAnsi"/>
                <w:color w:val="000000" w:themeColor="text1"/>
              </w:rPr>
              <w:t>ABS TableBuilder</w:t>
            </w:r>
            <w:r w:rsidR="00D74877">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907875579"/>
                <w:citation/>
              </w:sdtPr>
              <w:sdtEndPr/>
              <w:sdtContent>
                <w:r w:rsidR="00D74877">
                  <w:rPr>
                    <w:rFonts w:asciiTheme="minorHAnsi" w:hAnsiTheme="minorHAnsi" w:cstheme="minorHAnsi"/>
                    <w:color w:val="000000" w:themeColor="text1"/>
                  </w:rPr>
                  <w:fldChar w:fldCharType="begin"/>
                </w:r>
                <w:r w:rsidR="00D74877">
                  <w:rPr>
                    <w:rFonts w:asciiTheme="minorHAnsi" w:hAnsiTheme="minorHAnsi" w:cstheme="minorHAnsi"/>
                    <w:color w:val="000000" w:themeColor="text1"/>
                  </w:rPr>
                  <w:instrText xml:space="preserve"> </w:instrText>
                </w:r>
                <w:r w:rsidR="00D74877">
                  <w:rPr>
                    <w:rFonts w:asciiTheme="minorHAnsi" w:hAnsiTheme="minorHAnsi" w:cstheme="minorHAnsi"/>
                    <w:color w:val="000000" w:themeColor="text1"/>
                    <w:lang w:val="en-AU"/>
                  </w:rPr>
                  <w:instrText xml:space="preserve">CITATION </w:instrText>
                </w:r>
                <w:r w:rsidR="00D74877">
                  <w:rPr>
                    <w:rFonts w:asciiTheme="minorHAnsi" w:hAnsiTheme="minorHAnsi" w:cstheme="minorHAnsi"/>
                    <w:color w:val="000000" w:themeColor="text1"/>
                  </w:rPr>
                  <w:instrText xml:space="preserve">Aus21 \l 3081 </w:instrText>
                </w:r>
                <w:r w:rsidR="00D74877">
                  <w:rPr>
                    <w:rFonts w:asciiTheme="minorHAnsi" w:hAnsiTheme="minorHAnsi" w:cstheme="minorHAnsi"/>
                    <w:color w:val="000000" w:themeColor="text1"/>
                  </w:rPr>
                  <w:fldChar w:fldCharType="separate"/>
                </w:r>
                <w:r w:rsidR="00490B21" w:rsidRPr="00490B21">
                  <w:rPr>
                    <w:rFonts w:asciiTheme="minorHAnsi" w:hAnsiTheme="minorHAnsi" w:cstheme="minorHAnsi"/>
                    <w:noProof/>
                    <w:color w:val="000000" w:themeColor="text1"/>
                    <w:lang w:val="en-AU"/>
                  </w:rPr>
                  <w:t>(Australian Bureau of Statistics, 2021)</w:t>
                </w:r>
                <w:r w:rsidR="00D74877">
                  <w:rPr>
                    <w:rFonts w:asciiTheme="minorHAnsi" w:hAnsiTheme="minorHAnsi" w:cstheme="minorHAnsi"/>
                    <w:color w:val="000000" w:themeColor="text1"/>
                  </w:rPr>
                  <w:fldChar w:fldCharType="end"/>
                </w:r>
              </w:sdtContent>
            </w:sdt>
          </w:p>
          <w:p w14:paraId="5589E147" w14:textId="77777777" w:rsidR="00F326A2" w:rsidRPr="00993B73" w:rsidRDefault="00F326A2" w:rsidP="00E06275">
            <w:pPr>
              <w:pStyle w:val="TableNBullet"/>
              <w:spacing w:line="240" w:lineRule="auto"/>
            </w:pPr>
            <w:r w:rsidRPr="00711DFC">
              <w:rPr>
                <w:rFonts w:asciiTheme="minorHAnsi" w:hAnsiTheme="minorHAnsi" w:cstheme="minorHAnsi"/>
              </w:rPr>
              <w:t>Stakeholder engagement and public consultation feedback</w:t>
            </w:r>
          </w:p>
        </w:tc>
        <w:tc>
          <w:tcPr>
            <w:tcW w:w="4252" w:type="dxa"/>
            <w:shd w:val="clear" w:color="auto" w:fill="DAE3F8" w:themeFill="accent1" w:themeFillTint="33"/>
          </w:tcPr>
          <w:p w14:paraId="25944FFD" w14:textId="77777777" w:rsidR="00F326A2" w:rsidRPr="00993B73" w:rsidRDefault="00F326A2" w:rsidP="00E06275">
            <w:pPr>
              <w:pStyle w:val="TableNText"/>
              <w:rPr>
                <w:lang w:eastAsia="en-AU"/>
              </w:rPr>
            </w:pPr>
            <w:r w:rsidRPr="003B72D7">
              <w:rPr>
                <w:rFonts w:asciiTheme="majorHAnsi" w:hAnsiTheme="majorHAnsi" w:cstheme="majorHAnsi"/>
                <w:b/>
                <w:lang w:eastAsia="en-AU"/>
              </w:rPr>
              <w:t>Degree of confidence:</w:t>
            </w:r>
            <w:r w:rsidRPr="00993B73">
              <w:rPr>
                <w:lang w:eastAsia="en-AU"/>
              </w:rPr>
              <w:t xml:space="preserve"> Medium</w:t>
            </w:r>
            <w:r w:rsidRPr="0098199F">
              <w:rPr>
                <w:lang w:eastAsia="en-AU"/>
              </w:rPr>
              <w:t>-to-high</w:t>
            </w:r>
          </w:p>
          <w:p w14:paraId="45CD65AA" w14:textId="77777777" w:rsidR="00F326A2" w:rsidRPr="003B72D7" w:rsidRDefault="00F326A2" w:rsidP="00E06275">
            <w:pPr>
              <w:pStyle w:val="TableNText"/>
              <w:rPr>
                <w:b/>
                <w:lang w:eastAsia="en-AU"/>
              </w:rPr>
            </w:pPr>
            <w:r w:rsidRPr="003B72D7">
              <w:rPr>
                <w:rFonts w:asciiTheme="majorHAnsi" w:hAnsiTheme="majorHAnsi" w:cstheme="majorHAnsi"/>
                <w:b/>
                <w:lang w:eastAsia="en-AU"/>
              </w:rPr>
              <w:t>Rationale:</w:t>
            </w:r>
          </w:p>
          <w:p w14:paraId="73C212E8" w14:textId="77777777" w:rsidR="00F326A2" w:rsidRPr="006E6333" w:rsidRDefault="00F326A2" w:rsidP="00E06275">
            <w:pPr>
              <w:pStyle w:val="TableNBullet"/>
              <w:spacing w:line="240" w:lineRule="auto"/>
              <w:rPr>
                <w:rFonts w:asciiTheme="minorHAnsi" w:hAnsiTheme="minorHAnsi" w:cstheme="minorHAnsi"/>
              </w:rPr>
            </w:pPr>
            <w:r w:rsidRPr="006E6333">
              <w:rPr>
                <w:rFonts w:asciiTheme="minorHAnsi" w:hAnsiTheme="minorHAnsi" w:cstheme="minorHAnsi"/>
              </w:rPr>
              <w:t>The number of workers affected by the proposed WEL for each chemical have been estimated as no data was available on the actual number of relevant workers.</w:t>
            </w:r>
          </w:p>
          <w:p w14:paraId="775C3A8D" w14:textId="77777777" w:rsidR="00F326A2" w:rsidRPr="006E6333" w:rsidRDefault="00F326A2" w:rsidP="00E06275">
            <w:pPr>
              <w:pStyle w:val="TableNBullet"/>
              <w:spacing w:line="240" w:lineRule="auto"/>
              <w:rPr>
                <w:rFonts w:asciiTheme="minorHAnsi" w:hAnsiTheme="minorHAnsi" w:cstheme="minorHAnsi"/>
              </w:rPr>
            </w:pPr>
            <w:r w:rsidRPr="006E6333">
              <w:rPr>
                <w:rFonts w:asciiTheme="minorHAnsi" w:hAnsiTheme="minorHAnsi" w:cstheme="minorHAnsi"/>
              </w:rPr>
              <w:t>The industries (ANZSIC Classes) that are expected to be affected by the proposed WEL have been informed by NPI data and engagement with stakeholders including academic experts, occupational hygienists, jurisdictional WHS and workers’ compensation agencies, workers’ groups and industry groups. There is relatively high confidence that these information sources have captured the industries likely to be affected by the proposed WEL.</w:t>
            </w:r>
          </w:p>
          <w:p w14:paraId="283F1F32" w14:textId="77777777" w:rsidR="00F326A2" w:rsidRPr="006E6333" w:rsidRDefault="00F326A2" w:rsidP="00E06275">
            <w:pPr>
              <w:pStyle w:val="TableNBullet"/>
              <w:spacing w:line="240" w:lineRule="auto"/>
              <w:rPr>
                <w:rFonts w:asciiTheme="minorHAnsi" w:hAnsiTheme="minorHAnsi" w:cstheme="minorHAnsi"/>
              </w:rPr>
            </w:pPr>
            <w:r w:rsidRPr="006E6333">
              <w:rPr>
                <w:rFonts w:asciiTheme="minorHAnsi" w:hAnsiTheme="minorHAnsi" w:cstheme="minorHAnsi"/>
              </w:rPr>
              <w:t xml:space="preserve">The number of workers employed in each industry affected by the proposed WEL is based </w:t>
            </w:r>
            <w:r w:rsidRPr="006E6333">
              <w:rPr>
                <w:rFonts w:asciiTheme="minorHAnsi" w:hAnsiTheme="minorHAnsi" w:cstheme="minorHAnsi"/>
              </w:rPr>
              <w:lastRenderedPageBreak/>
              <w:t>on the ABS Labour Force Survey. There is high confidence in this data.</w:t>
            </w:r>
          </w:p>
          <w:p w14:paraId="189C9144" w14:textId="77777777" w:rsidR="00F326A2" w:rsidRPr="006E6333" w:rsidRDefault="00F326A2" w:rsidP="00E06275">
            <w:pPr>
              <w:pStyle w:val="TableNBullet"/>
              <w:spacing w:line="240" w:lineRule="auto"/>
              <w:rPr>
                <w:rFonts w:asciiTheme="minorHAnsi" w:hAnsiTheme="minorHAnsi" w:cstheme="minorHAnsi"/>
              </w:rPr>
            </w:pPr>
            <w:r w:rsidRPr="006E6333">
              <w:rPr>
                <w:rFonts w:asciiTheme="minorHAnsi" w:hAnsiTheme="minorHAnsi" w:cstheme="minorHAnsi"/>
              </w:rPr>
              <w:t xml:space="preserve">The proportion of workers in each industry affected by the proposed WEL has been partly informed by stakeholder engagement. Where proportions were not provided by stakeholders, the analysis assumes the proportion of exposed workers is equal to the percentage of </w:t>
            </w:r>
            <w:r w:rsidRPr="006E6333">
              <w:rPr>
                <w:rFonts w:asciiTheme="minorHAnsi" w:hAnsiTheme="minorHAnsi" w:cstheme="minorHAnsi"/>
                <w:color w:val="000000" w:themeColor="text1"/>
              </w:rPr>
              <w:t>technicians and trades workers, machinery operators and drivers, and labourers, in line with the OSCA Major Groups.</w:t>
            </w:r>
          </w:p>
          <w:p w14:paraId="497D97D9" w14:textId="77777777" w:rsidR="00F326A2" w:rsidRPr="00993B73" w:rsidRDefault="00F326A2" w:rsidP="00E06275">
            <w:pPr>
              <w:pStyle w:val="TableNBullet"/>
              <w:spacing w:line="240" w:lineRule="auto"/>
            </w:pPr>
            <w:r w:rsidRPr="006E6333">
              <w:rPr>
                <w:rFonts w:asciiTheme="minorHAnsi" w:hAnsiTheme="minorHAnsi" w:cstheme="minorHAnsi"/>
              </w:rPr>
              <w:t>Through public consultations, further information was gathered to update estimates.</w:t>
            </w:r>
          </w:p>
        </w:tc>
      </w:tr>
      <w:tr w:rsidR="00A70E15" w:rsidRPr="0098199F" w14:paraId="00973B0D" w14:textId="77777777" w:rsidTr="003616E7">
        <w:tc>
          <w:tcPr>
            <w:tcW w:w="2547" w:type="dxa"/>
            <w:shd w:val="clear" w:color="auto" w:fill="91ACEC" w:themeFill="accent1" w:themeFillTint="99"/>
          </w:tcPr>
          <w:p w14:paraId="4B675042" w14:textId="77777777" w:rsidR="00F326A2" w:rsidRPr="003B72D7" w:rsidRDefault="00F326A2" w:rsidP="00E06275">
            <w:pPr>
              <w:pStyle w:val="TableNText"/>
              <w:rPr>
                <w:rFonts w:asciiTheme="majorHAnsi" w:hAnsiTheme="majorHAnsi" w:cstheme="majorHAnsi"/>
                <w:b/>
                <w:lang w:eastAsia="en-AU"/>
              </w:rPr>
            </w:pPr>
            <w:r w:rsidRPr="003B72D7">
              <w:rPr>
                <w:rFonts w:asciiTheme="majorHAnsi" w:hAnsiTheme="majorHAnsi" w:cstheme="majorHAnsi"/>
                <w:b/>
                <w:lang w:eastAsia="en-AU"/>
              </w:rPr>
              <w:lastRenderedPageBreak/>
              <w:t>Benefits</w:t>
            </w:r>
          </w:p>
        </w:tc>
        <w:tc>
          <w:tcPr>
            <w:tcW w:w="2268" w:type="dxa"/>
            <w:shd w:val="clear" w:color="auto" w:fill="91ACEC" w:themeFill="accent1" w:themeFillTint="99"/>
          </w:tcPr>
          <w:p w14:paraId="557EE3B2" w14:textId="77777777" w:rsidR="00F326A2" w:rsidRPr="003B72D7" w:rsidRDefault="00F326A2" w:rsidP="00E06275">
            <w:pPr>
              <w:pStyle w:val="TableNText"/>
              <w:rPr>
                <w:rFonts w:asciiTheme="majorHAnsi" w:hAnsiTheme="majorHAnsi" w:cstheme="majorHAnsi"/>
                <w:b/>
                <w:lang w:eastAsia="en-AU"/>
              </w:rPr>
            </w:pPr>
          </w:p>
        </w:tc>
        <w:tc>
          <w:tcPr>
            <w:tcW w:w="4252" w:type="dxa"/>
            <w:shd w:val="clear" w:color="auto" w:fill="91ACEC" w:themeFill="accent1" w:themeFillTint="99"/>
          </w:tcPr>
          <w:p w14:paraId="7FF1F6D5" w14:textId="77777777" w:rsidR="00F326A2" w:rsidRPr="003B72D7" w:rsidRDefault="00F326A2" w:rsidP="00E06275">
            <w:pPr>
              <w:pStyle w:val="TableNText"/>
              <w:rPr>
                <w:rFonts w:asciiTheme="majorHAnsi" w:hAnsiTheme="majorHAnsi" w:cstheme="majorHAnsi"/>
                <w:b/>
                <w:lang w:eastAsia="en-AU"/>
              </w:rPr>
            </w:pPr>
          </w:p>
        </w:tc>
      </w:tr>
      <w:tr w:rsidR="003B72D7" w:rsidRPr="0098199F" w14:paraId="4CE85DF9" w14:textId="77777777" w:rsidTr="004452F5">
        <w:tc>
          <w:tcPr>
            <w:tcW w:w="2547" w:type="dxa"/>
            <w:shd w:val="clear" w:color="auto" w:fill="auto"/>
          </w:tcPr>
          <w:p w14:paraId="44C103F7" w14:textId="77777777" w:rsidR="00F326A2" w:rsidRPr="00060C66" w:rsidRDefault="00F326A2" w:rsidP="00E06275">
            <w:pPr>
              <w:pStyle w:val="TableNText"/>
              <w:rPr>
                <w:rFonts w:asciiTheme="minorHAnsi" w:hAnsiTheme="minorHAnsi" w:cstheme="minorHAnsi"/>
                <w:b/>
                <w:lang w:eastAsia="en-AU"/>
              </w:rPr>
            </w:pPr>
            <w:r w:rsidRPr="00060C66">
              <w:rPr>
                <w:rFonts w:asciiTheme="minorHAnsi" w:hAnsiTheme="minorHAnsi" w:cstheme="minorHAnsi"/>
                <w:b/>
                <w:lang w:eastAsia="en-AU"/>
              </w:rPr>
              <w:t>Direct financial benefits</w:t>
            </w:r>
          </w:p>
        </w:tc>
        <w:tc>
          <w:tcPr>
            <w:tcW w:w="2268" w:type="dxa"/>
            <w:shd w:val="clear" w:color="auto" w:fill="auto"/>
          </w:tcPr>
          <w:p w14:paraId="3BC1F4F2" w14:textId="7D07B5CF" w:rsidR="00F326A2" w:rsidRPr="00060C66" w:rsidRDefault="00F326A2" w:rsidP="00E06275">
            <w:pPr>
              <w:pStyle w:val="TableNBullet"/>
              <w:spacing w:line="240" w:lineRule="auto"/>
              <w:rPr>
                <w:rFonts w:asciiTheme="minorHAnsi" w:hAnsiTheme="minorHAnsi" w:cstheme="minorHAnsi"/>
              </w:rPr>
            </w:pPr>
            <w:r w:rsidRPr="00060C66">
              <w:rPr>
                <w:rFonts w:asciiTheme="minorHAnsi" w:hAnsiTheme="minorHAnsi" w:cstheme="minorHAnsi"/>
              </w:rPr>
              <w:t>NDS data</w:t>
            </w:r>
            <w:r w:rsidR="002A093E">
              <w:rPr>
                <w:rFonts w:asciiTheme="minorHAnsi" w:hAnsiTheme="minorHAnsi" w:cstheme="minorHAnsi"/>
              </w:rPr>
              <w:t xml:space="preserve"> </w:t>
            </w:r>
            <w:sdt>
              <w:sdtPr>
                <w:rPr>
                  <w:rFonts w:asciiTheme="minorHAnsi" w:hAnsiTheme="minorHAnsi" w:cstheme="minorHAnsi"/>
                </w:rPr>
                <w:id w:val="656114202"/>
                <w:citation/>
              </w:sdtPr>
              <w:sdtEndPr/>
              <w:sdtContent>
                <w:r w:rsidR="002A093E">
                  <w:rPr>
                    <w:rFonts w:asciiTheme="minorHAnsi" w:hAnsiTheme="minorHAnsi" w:cstheme="minorHAnsi"/>
                  </w:rPr>
                  <w:fldChar w:fldCharType="begin"/>
                </w:r>
                <w:r w:rsidR="002A093E">
                  <w:rPr>
                    <w:rFonts w:asciiTheme="minorHAnsi" w:hAnsiTheme="minorHAnsi" w:cstheme="minorHAnsi"/>
                  </w:rPr>
                  <w:instrText xml:space="preserve"> </w:instrText>
                </w:r>
                <w:r w:rsidR="002A093E">
                  <w:rPr>
                    <w:rFonts w:asciiTheme="minorHAnsi" w:hAnsiTheme="minorHAnsi" w:cstheme="minorHAnsi"/>
                    <w:lang w:val="en-AU"/>
                  </w:rPr>
                  <w:instrText xml:space="preserve">CITATION </w:instrText>
                </w:r>
                <w:r w:rsidR="002A093E">
                  <w:rPr>
                    <w:rFonts w:asciiTheme="minorHAnsi" w:hAnsiTheme="minorHAnsi" w:cstheme="minorHAnsi"/>
                  </w:rPr>
                  <w:instrText xml:space="preserve">Saf204 \l 3081 </w:instrText>
                </w:r>
                <w:r w:rsidR="002A093E">
                  <w:rPr>
                    <w:rFonts w:asciiTheme="minorHAnsi" w:hAnsiTheme="minorHAnsi" w:cstheme="minorHAnsi"/>
                  </w:rPr>
                  <w:fldChar w:fldCharType="separate"/>
                </w:r>
                <w:r w:rsidR="00490B21" w:rsidRPr="00490B21">
                  <w:rPr>
                    <w:rFonts w:asciiTheme="minorHAnsi" w:hAnsiTheme="minorHAnsi" w:cstheme="minorHAnsi"/>
                    <w:noProof/>
                    <w:lang w:val="en-AU"/>
                  </w:rPr>
                  <w:t>(Safe Work Australia, 2020)</w:t>
                </w:r>
                <w:r w:rsidR="002A093E">
                  <w:rPr>
                    <w:rFonts w:asciiTheme="minorHAnsi" w:hAnsiTheme="minorHAnsi" w:cstheme="minorHAnsi"/>
                  </w:rPr>
                  <w:fldChar w:fldCharType="end"/>
                </w:r>
              </w:sdtContent>
            </w:sdt>
          </w:p>
        </w:tc>
        <w:tc>
          <w:tcPr>
            <w:tcW w:w="4252" w:type="dxa"/>
            <w:shd w:val="clear" w:color="auto" w:fill="auto"/>
          </w:tcPr>
          <w:p w14:paraId="1ADEC188" w14:textId="77777777" w:rsidR="00F326A2" w:rsidRPr="00060C66" w:rsidRDefault="00F326A2" w:rsidP="00E06275">
            <w:pPr>
              <w:pStyle w:val="TableNText"/>
              <w:rPr>
                <w:rFonts w:asciiTheme="minorHAnsi" w:hAnsiTheme="minorHAnsi" w:cstheme="minorHAnsi"/>
                <w:lang w:eastAsia="en-AU"/>
              </w:rPr>
            </w:pPr>
            <w:r w:rsidRPr="00060C66">
              <w:rPr>
                <w:rFonts w:asciiTheme="minorHAnsi" w:hAnsiTheme="minorHAnsi" w:cstheme="minorHAnsi"/>
                <w:b/>
                <w:lang w:eastAsia="en-AU"/>
              </w:rPr>
              <w:t>Degree of confidence:</w:t>
            </w:r>
            <w:r w:rsidRPr="00060C66">
              <w:rPr>
                <w:rFonts w:asciiTheme="minorHAnsi" w:hAnsiTheme="minorHAnsi" w:cstheme="minorHAnsi"/>
                <w:lang w:eastAsia="en-AU"/>
              </w:rPr>
              <w:t xml:space="preserve"> Low-medium</w:t>
            </w:r>
          </w:p>
          <w:p w14:paraId="6EB33B2C" w14:textId="77777777" w:rsidR="00F326A2" w:rsidRPr="00060C66" w:rsidRDefault="00F326A2" w:rsidP="00E06275">
            <w:pPr>
              <w:pStyle w:val="TableNText"/>
              <w:rPr>
                <w:rFonts w:asciiTheme="minorHAnsi" w:hAnsiTheme="minorHAnsi" w:cstheme="minorHAnsi"/>
                <w:b/>
                <w:lang w:eastAsia="en-AU"/>
              </w:rPr>
            </w:pPr>
            <w:r w:rsidRPr="00060C66">
              <w:rPr>
                <w:rFonts w:asciiTheme="minorHAnsi" w:hAnsiTheme="minorHAnsi" w:cstheme="minorHAnsi"/>
                <w:b/>
                <w:lang w:eastAsia="en-AU"/>
              </w:rPr>
              <w:t>Rationale:</w:t>
            </w:r>
          </w:p>
          <w:p w14:paraId="6CF1ECBC" w14:textId="381F1BCE" w:rsidR="00F326A2" w:rsidRPr="00060C66" w:rsidRDefault="00F326A2" w:rsidP="00E06275">
            <w:pPr>
              <w:pStyle w:val="TableNBullet"/>
              <w:spacing w:line="240" w:lineRule="auto"/>
              <w:rPr>
                <w:rFonts w:asciiTheme="minorHAnsi" w:hAnsiTheme="minorHAnsi" w:cstheme="minorHAnsi"/>
              </w:rPr>
            </w:pPr>
            <w:r w:rsidRPr="00060C66">
              <w:rPr>
                <w:rFonts w:asciiTheme="minorHAnsi" w:hAnsiTheme="minorHAnsi" w:cstheme="minorHAnsi"/>
              </w:rPr>
              <w:t xml:space="preserve">The NDS contains data on all workers’ compensation claims attributed to the </w:t>
            </w:r>
            <w:r w:rsidR="005559FD" w:rsidRPr="00060C66">
              <w:rPr>
                <w:rFonts w:asciiTheme="minorHAnsi" w:hAnsiTheme="minorHAnsi" w:cstheme="minorHAnsi"/>
              </w:rPr>
              <w:t>9</w:t>
            </w:r>
            <w:r w:rsidRPr="00060C66">
              <w:rPr>
                <w:rFonts w:asciiTheme="minorHAnsi" w:hAnsiTheme="minorHAnsi" w:cstheme="minorHAnsi"/>
              </w:rPr>
              <w:t xml:space="preserve"> chemicals in all states and territories. However, workers’ compensation data is subject to a number of limitations, which are detailed in </w:t>
            </w:r>
            <w:r w:rsidR="00C03F91">
              <w:rPr>
                <w:rFonts w:asciiTheme="minorHAnsi" w:hAnsiTheme="minorHAnsi" w:cstheme="minorHAnsi"/>
              </w:rPr>
              <w:t xml:space="preserve">the </w:t>
            </w:r>
            <w:hyperlink w:anchor="AppendixC_Methodology_Benefits_DFB" w:history="1">
              <w:r w:rsidR="00C03F91" w:rsidRPr="00096C2D">
                <w:rPr>
                  <w:rStyle w:val="Hyperlink"/>
                  <w:rFonts w:asciiTheme="minorHAnsi" w:hAnsiTheme="minorHAnsi" w:cstheme="minorHAnsi"/>
                  <w:lang w:val="en-AU"/>
                </w:rPr>
                <w:t>‘</w:t>
              </w:r>
              <w:r w:rsidR="003933E1" w:rsidRPr="00096C2D">
                <w:rPr>
                  <w:rStyle w:val="Hyperlink"/>
                </w:rPr>
                <w:t xml:space="preserve">Direct </w:t>
              </w:r>
              <w:r w:rsidR="003933E1" w:rsidRPr="00096C2D">
                <w:rPr>
                  <w:rStyle w:val="Hyperlink"/>
                  <w:rFonts w:asciiTheme="minorHAnsi" w:hAnsiTheme="minorHAnsi" w:cstheme="minorHAnsi"/>
                </w:rPr>
                <w:t>financial benefits’ sect</w:t>
              </w:r>
              <w:bookmarkStart w:id="764" w:name="_Hlt200441778"/>
              <w:r w:rsidR="003933E1" w:rsidRPr="00096C2D">
                <w:rPr>
                  <w:rStyle w:val="Hyperlink"/>
                  <w:rFonts w:asciiTheme="minorHAnsi" w:hAnsiTheme="minorHAnsi" w:cstheme="minorHAnsi"/>
                </w:rPr>
                <w:t>i</w:t>
              </w:r>
              <w:bookmarkEnd w:id="764"/>
              <w:r w:rsidR="003933E1" w:rsidRPr="00096C2D">
                <w:rPr>
                  <w:rStyle w:val="Hyperlink"/>
                  <w:rFonts w:asciiTheme="minorHAnsi" w:hAnsiTheme="minorHAnsi" w:cstheme="minorHAnsi"/>
                </w:rPr>
                <w:t>on</w:t>
              </w:r>
            </w:hyperlink>
            <w:r w:rsidR="00C03F91">
              <w:rPr>
                <w:rFonts w:asciiTheme="minorHAnsi" w:hAnsiTheme="minorHAnsi" w:cstheme="minorHAnsi"/>
              </w:rPr>
              <w:t xml:space="preserve"> in </w:t>
            </w:r>
            <w:hyperlink w:anchor="AppendixC_Methodology" w:history="1">
              <w:r w:rsidR="00C03F91" w:rsidRPr="003933E1">
                <w:rPr>
                  <w:rStyle w:val="Hyperlink"/>
                  <w:rFonts w:asciiTheme="minorHAnsi" w:hAnsiTheme="minorHAnsi" w:cstheme="minorHAnsi"/>
                  <w:lang w:val="en-AU"/>
                </w:rPr>
                <w:t xml:space="preserve">Appendix </w:t>
              </w:r>
            </w:hyperlink>
            <w:r w:rsidR="00F84732">
              <w:t>C</w:t>
            </w:r>
            <w:r w:rsidRPr="00060C66">
              <w:rPr>
                <w:rFonts w:asciiTheme="minorHAnsi" w:hAnsiTheme="minorHAnsi" w:cstheme="minorHAnsi"/>
              </w:rPr>
              <w:t>.</w:t>
            </w:r>
          </w:p>
          <w:p w14:paraId="1813DBEA" w14:textId="77777777" w:rsidR="00F326A2" w:rsidRPr="00060C66" w:rsidRDefault="00F326A2" w:rsidP="00E06275">
            <w:pPr>
              <w:pStyle w:val="TableNBullet"/>
              <w:spacing w:line="240" w:lineRule="auto"/>
              <w:rPr>
                <w:rFonts w:asciiTheme="minorHAnsi" w:hAnsiTheme="minorHAnsi" w:cstheme="minorHAnsi"/>
              </w:rPr>
            </w:pPr>
            <w:r w:rsidRPr="00060C66">
              <w:rPr>
                <w:rFonts w:asciiTheme="minorHAnsi" w:hAnsiTheme="minorHAnsi" w:cstheme="minorHAnsi"/>
              </w:rPr>
              <w:t>The effect of the proposed WEL on the number and severity of workers’ compensation claims is not known. In the absence of research which provides estimates of the reduction in the incidence of occupational disease attributable to the adoption of the proposed WEL for each chemical, this analysis assumes all occupational disease would be averted. The analysis also assumes that all workers compensation claims related to exposure levels within the current WES. There is no available information on actual exposure levels related to these claims. These assumptions are expected to result in an over-estimation of the ‘treatment effect’ for each chemical.</w:t>
            </w:r>
          </w:p>
        </w:tc>
      </w:tr>
      <w:tr w:rsidR="003B72D7" w:rsidRPr="0098199F" w14:paraId="06F1D48C" w14:textId="77777777" w:rsidTr="003616E7">
        <w:tc>
          <w:tcPr>
            <w:tcW w:w="2547" w:type="dxa"/>
            <w:shd w:val="clear" w:color="auto" w:fill="DAE3F8" w:themeFill="accent1" w:themeFillTint="33"/>
          </w:tcPr>
          <w:p w14:paraId="0969FB9E" w14:textId="77777777" w:rsidR="00F326A2" w:rsidRPr="00060C66" w:rsidRDefault="00F326A2" w:rsidP="00E06275">
            <w:pPr>
              <w:pStyle w:val="TableNText"/>
              <w:rPr>
                <w:rFonts w:asciiTheme="minorHAnsi" w:hAnsiTheme="minorHAnsi" w:cstheme="minorHAnsi"/>
                <w:b/>
                <w:sz w:val="18"/>
                <w:szCs w:val="18"/>
                <w:lang w:eastAsia="en-AU"/>
              </w:rPr>
            </w:pPr>
            <w:r w:rsidRPr="00060C66">
              <w:rPr>
                <w:rFonts w:asciiTheme="minorHAnsi" w:hAnsiTheme="minorHAnsi" w:cstheme="minorHAnsi"/>
                <w:b/>
                <w:sz w:val="18"/>
                <w:szCs w:val="18"/>
                <w:lang w:eastAsia="en-AU"/>
              </w:rPr>
              <w:t>Improved health outcomes</w:t>
            </w:r>
          </w:p>
        </w:tc>
        <w:tc>
          <w:tcPr>
            <w:tcW w:w="2268" w:type="dxa"/>
            <w:shd w:val="clear" w:color="auto" w:fill="DAE3F8" w:themeFill="accent1" w:themeFillTint="33"/>
          </w:tcPr>
          <w:p w14:paraId="41E68DED" w14:textId="328F0608" w:rsidR="00F326A2" w:rsidRPr="00711DFC" w:rsidRDefault="00F326A2" w:rsidP="00E06275">
            <w:pPr>
              <w:pStyle w:val="TableNBullet"/>
              <w:spacing w:line="240" w:lineRule="auto"/>
              <w:rPr>
                <w:rFonts w:asciiTheme="minorHAnsi" w:hAnsiTheme="minorHAnsi" w:cstheme="minorHAnsi"/>
                <w:szCs w:val="17"/>
              </w:rPr>
            </w:pPr>
            <w:r w:rsidRPr="00711DFC">
              <w:rPr>
                <w:rFonts w:asciiTheme="minorHAnsi" w:hAnsiTheme="minorHAnsi" w:cstheme="minorHAnsi"/>
                <w:szCs w:val="17"/>
              </w:rPr>
              <w:t>AIHW ABD Study</w:t>
            </w:r>
            <w:r w:rsidR="003628D0">
              <w:rPr>
                <w:rFonts w:asciiTheme="minorHAnsi" w:hAnsiTheme="minorHAnsi" w:cstheme="minorHAnsi"/>
                <w:szCs w:val="17"/>
              </w:rPr>
              <w:t xml:space="preserve"> </w:t>
            </w:r>
            <w:sdt>
              <w:sdtPr>
                <w:rPr>
                  <w:rFonts w:asciiTheme="minorHAnsi" w:hAnsiTheme="minorHAnsi" w:cstheme="minorHAnsi"/>
                  <w:szCs w:val="17"/>
                </w:rPr>
                <w:id w:val="232595872"/>
                <w:citation/>
              </w:sdtPr>
              <w:sdtEndPr/>
              <w:sdtContent>
                <w:r w:rsidR="00D648A8">
                  <w:rPr>
                    <w:rFonts w:asciiTheme="minorHAnsi" w:hAnsiTheme="minorHAnsi" w:cstheme="minorHAnsi"/>
                    <w:szCs w:val="17"/>
                  </w:rPr>
                  <w:fldChar w:fldCharType="begin"/>
                </w:r>
                <w:r w:rsidR="00D648A8">
                  <w:rPr>
                    <w:rFonts w:asciiTheme="minorHAnsi" w:hAnsiTheme="minorHAnsi" w:cstheme="minorHAnsi"/>
                    <w:szCs w:val="17"/>
                  </w:rPr>
                  <w:instrText xml:space="preserve"> </w:instrText>
                </w:r>
                <w:r w:rsidR="00D648A8">
                  <w:rPr>
                    <w:rFonts w:asciiTheme="minorHAnsi" w:hAnsiTheme="minorHAnsi" w:cstheme="minorHAnsi"/>
                    <w:szCs w:val="17"/>
                    <w:lang w:val="en-AU"/>
                  </w:rPr>
                  <w:instrText xml:space="preserve">CITATION </w:instrText>
                </w:r>
                <w:r w:rsidR="00D648A8">
                  <w:rPr>
                    <w:rFonts w:asciiTheme="minorHAnsi" w:hAnsiTheme="minorHAnsi" w:cstheme="minorHAnsi"/>
                    <w:szCs w:val="17"/>
                  </w:rPr>
                  <w:instrText xml:space="preserve">Aus232 \l 3081 </w:instrText>
                </w:r>
                <w:r w:rsidR="00D648A8">
                  <w:rPr>
                    <w:rFonts w:asciiTheme="minorHAnsi" w:hAnsiTheme="minorHAnsi" w:cstheme="minorHAnsi"/>
                    <w:szCs w:val="17"/>
                  </w:rPr>
                  <w:fldChar w:fldCharType="separate"/>
                </w:r>
                <w:r w:rsidR="00490B21" w:rsidRPr="00490B21">
                  <w:rPr>
                    <w:rFonts w:asciiTheme="minorHAnsi" w:hAnsiTheme="minorHAnsi" w:cstheme="minorHAnsi"/>
                    <w:noProof/>
                    <w:szCs w:val="17"/>
                    <w:lang w:val="en-AU"/>
                  </w:rPr>
                  <w:t>(Australian Institute of Health and Welfare, 2023)</w:t>
                </w:r>
                <w:r w:rsidR="00D648A8">
                  <w:rPr>
                    <w:rFonts w:asciiTheme="minorHAnsi" w:hAnsiTheme="minorHAnsi" w:cstheme="minorHAnsi"/>
                    <w:szCs w:val="17"/>
                  </w:rPr>
                  <w:fldChar w:fldCharType="end"/>
                </w:r>
              </w:sdtContent>
            </w:sdt>
          </w:p>
          <w:p w14:paraId="44DF9969" w14:textId="041AC005" w:rsidR="00F326A2" w:rsidRPr="00711DFC" w:rsidRDefault="00F326A2" w:rsidP="00E06275">
            <w:pPr>
              <w:pStyle w:val="TableNBullet"/>
              <w:spacing w:line="240" w:lineRule="auto"/>
              <w:rPr>
                <w:rFonts w:asciiTheme="minorHAnsi" w:hAnsiTheme="minorHAnsi" w:cstheme="minorHAnsi"/>
                <w:szCs w:val="17"/>
              </w:rPr>
            </w:pPr>
            <w:r w:rsidRPr="00711DFC">
              <w:rPr>
                <w:rFonts w:asciiTheme="minorHAnsi" w:hAnsiTheme="minorHAnsi" w:cstheme="minorHAnsi"/>
                <w:szCs w:val="17"/>
              </w:rPr>
              <w:t>IHME GBD Study data</w:t>
            </w:r>
            <w:r w:rsidR="00D648A8">
              <w:rPr>
                <w:rFonts w:asciiTheme="minorHAnsi" w:hAnsiTheme="minorHAnsi" w:cstheme="minorHAnsi"/>
                <w:szCs w:val="17"/>
              </w:rPr>
              <w:t xml:space="preserve"> </w:t>
            </w:r>
            <w:sdt>
              <w:sdtPr>
                <w:rPr>
                  <w:rFonts w:asciiTheme="minorHAnsi" w:hAnsiTheme="minorHAnsi" w:cstheme="minorHAnsi"/>
                  <w:szCs w:val="17"/>
                </w:rPr>
                <w:id w:val="-1401445955"/>
                <w:citation/>
              </w:sdtPr>
              <w:sdtEndPr/>
              <w:sdtContent>
                <w:r w:rsidR="00D648A8">
                  <w:rPr>
                    <w:rFonts w:asciiTheme="minorHAnsi" w:hAnsiTheme="minorHAnsi" w:cstheme="minorHAnsi"/>
                    <w:szCs w:val="17"/>
                  </w:rPr>
                  <w:fldChar w:fldCharType="begin"/>
                </w:r>
                <w:r w:rsidR="00D648A8">
                  <w:rPr>
                    <w:rFonts w:asciiTheme="minorHAnsi" w:hAnsiTheme="minorHAnsi" w:cstheme="minorHAnsi"/>
                    <w:szCs w:val="17"/>
                  </w:rPr>
                  <w:instrText xml:space="preserve"> </w:instrText>
                </w:r>
                <w:r w:rsidR="00D648A8">
                  <w:rPr>
                    <w:rFonts w:asciiTheme="minorHAnsi" w:hAnsiTheme="minorHAnsi" w:cstheme="minorHAnsi"/>
                    <w:szCs w:val="17"/>
                    <w:lang w:val="en-AU"/>
                  </w:rPr>
                  <w:instrText xml:space="preserve">CITATION </w:instrText>
                </w:r>
                <w:r w:rsidR="00D648A8">
                  <w:rPr>
                    <w:rFonts w:asciiTheme="minorHAnsi" w:hAnsiTheme="minorHAnsi" w:cstheme="minorHAnsi"/>
                    <w:szCs w:val="17"/>
                  </w:rPr>
                  <w:instrText xml:space="preserve">Ins24 \l 3081 </w:instrText>
                </w:r>
                <w:r w:rsidR="00D648A8">
                  <w:rPr>
                    <w:rFonts w:asciiTheme="minorHAnsi" w:hAnsiTheme="minorHAnsi" w:cstheme="minorHAnsi"/>
                    <w:szCs w:val="17"/>
                  </w:rPr>
                  <w:fldChar w:fldCharType="separate"/>
                </w:r>
                <w:r w:rsidR="00490B21" w:rsidRPr="00490B21">
                  <w:rPr>
                    <w:rFonts w:asciiTheme="minorHAnsi" w:hAnsiTheme="minorHAnsi" w:cstheme="minorHAnsi"/>
                    <w:noProof/>
                    <w:szCs w:val="17"/>
                    <w:lang w:val="en-AU"/>
                  </w:rPr>
                  <w:t>(Institute For Health Metrics and Evaluation, 2024)</w:t>
                </w:r>
                <w:r w:rsidR="00D648A8">
                  <w:rPr>
                    <w:rFonts w:asciiTheme="minorHAnsi" w:hAnsiTheme="minorHAnsi" w:cstheme="minorHAnsi"/>
                    <w:szCs w:val="17"/>
                  </w:rPr>
                  <w:fldChar w:fldCharType="end"/>
                </w:r>
              </w:sdtContent>
            </w:sdt>
          </w:p>
          <w:p w14:paraId="510D2297" w14:textId="3DFAB8A6" w:rsidR="00F326A2" w:rsidRPr="00060C66" w:rsidRDefault="00F326A2" w:rsidP="00E06275">
            <w:pPr>
              <w:pStyle w:val="TableNBullet"/>
              <w:spacing w:line="240" w:lineRule="auto"/>
              <w:rPr>
                <w:rFonts w:asciiTheme="minorHAnsi" w:hAnsiTheme="minorHAnsi" w:cstheme="minorHAnsi"/>
                <w:sz w:val="18"/>
                <w:szCs w:val="18"/>
              </w:rPr>
            </w:pPr>
            <w:r w:rsidRPr="00711DFC">
              <w:rPr>
                <w:rFonts w:asciiTheme="minorHAnsi" w:hAnsiTheme="minorHAnsi" w:cstheme="minorHAnsi"/>
                <w:szCs w:val="17"/>
              </w:rPr>
              <w:t>OIA Value of statistical life guidance note</w:t>
            </w:r>
            <w:r w:rsidR="00D648A8">
              <w:rPr>
                <w:rFonts w:asciiTheme="minorHAnsi" w:hAnsiTheme="minorHAnsi" w:cstheme="minorHAnsi"/>
                <w:szCs w:val="17"/>
              </w:rPr>
              <w:t xml:space="preserve"> </w:t>
            </w:r>
            <w:sdt>
              <w:sdtPr>
                <w:rPr>
                  <w:rFonts w:asciiTheme="minorHAnsi" w:hAnsiTheme="minorHAnsi" w:cstheme="minorHAnsi"/>
                  <w:szCs w:val="17"/>
                </w:rPr>
                <w:id w:val="-791897844"/>
                <w:citation/>
              </w:sdtPr>
              <w:sdtEndPr/>
              <w:sdtContent>
                <w:r w:rsidR="00D648A8">
                  <w:rPr>
                    <w:rFonts w:asciiTheme="minorHAnsi" w:hAnsiTheme="minorHAnsi" w:cstheme="minorHAnsi"/>
                    <w:szCs w:val="17"/>
                  </w:rPr>
                  <w:fldChar w:fldCharType="begin"/>
                </w:r>
                <w:r w:rsidR="00CC7C54">
                  <w:rPr>
                    <w:rFonts w:asciiTheme="minorHAnsi" w:hAnsiTheme="minorHAnsi" w:cstheme="minorHAnsi"/>
                    <w:szCs w:val="17"/>
                  </w:rPr>
                  <w:instrText xml:space="preserve">CITATION Off24 \l 3081 </w:instrText>
                </w:r>
                <w:r w:rsidR="00D648A8">
                  <w:rPr>
                    <w:rFonts w:asciiTheme="minorHAnsi" w:hAnsiTheme="minorHAnsi" w:cstheme="minorHAnsi"/>
                    <w:szCs w:val="17"/>
                  </w:rPr>
                  <w:fldChar w:fldCharType="separate"/>
                </w:r>
                <w:r w:rsidR="00490B21" w:rsidRPr="00490B21">
                  <w:rPr>
                    <w:rFonts w:asciiTheme="minorHAnsi" w:hAnsiTheme="minorHAnsi" w:cstheme="minorHAnsi"/>
                    <w:noProof/>
                    <w:szCs w:val="17"/>
                  </w:rPr>
                  <w:t>(Office of Impact Analysis, 2023)</w:t>
                </w:r>
                <w:r w:rsidR="00D648A8">
                  <w:rPr>
                    <w:rFonts w:asciiTheme="minorHAnsi" w:hAnsiTheme="minorHAnsi" w:cstheme="minorHAnsi"/>
                    <w:szCs w:val="17"/>
                  </w:rPr>
                  <w:fldChar w:fldCharType="end"/>
                </w:r>
              </w:sdtContent>
            </w:sdt>
          </w:p>
        </w:tc>
        <w:tc>
          <w:tcPr>
            <w:tcW w:w="4252" w:type="dxa"/>
            <w:shd w:val="clear" w:color="auto" w:fill="DAE3F8" w:themeFill="accent1" w:themeFillTint="33"/>
          </w:tcPr>
          <w:p w14:paraId="7FF4E5B3" w14:textId="77777777" w:rsidR="00F326A2" w:rsidRPr="00060C66" w:rsidRDefault="00F326A2" w:rsidP="00E06275">
            <w:pPr>
              <w:pStyle w:val="TableNText"/>
              <w:rPr>
                <w:rFonts w:asciiTheme="minorHAnsi" w:hAnsiTheme="minorHAnsi" w:cstheme="minorHAnsi"/>
                <w:sz w:val="18"/>
                <w:szCs w:val="18"/>
                <w:lang w:eastAsia="en-AU"/>
              </w:rPr>
            </w:pPr>
            <w:r w:rsidRPr="00060C66">
              <w:rPr>
                <w:rFonts w:asciiTheme="minorHAnsi" w:hAnsiTheme="minorHAnsi" w:cstheme="minorHAnsi"/>
                <w:b/>
                <w:sz w:val="18"/>
                <w:szCs w:val="18"/>
                <w:lang w:eastAsia="en-AU"/>
              </w:rPr>
              <w:t>Degree of confidence:</w:t>
            </w:r>
            <w:r w:rsidRPr="00060C66">
              <w:rPr>
                <w:rFonts w:asciiTheme="minorHAnsi" w:hAnsiTheme="minorHAnsi" w:cstheme="minorHAnsi"/>
                <w:sz w:val="18"/>
                <w:szCs w:val="18"/>
                <w:lang w:eastAsia="en-AU"/>
              </w:rPr>
              <w:t xml:space="preserve"> Medium</w:t>
            </w:r>
          </w:p>
          <w:p w14:paraId="711D04FA" w14:textId="77777777" w:rsidR="00F326A2" w:rsidRPr="00060C66" w:rsidRDefault="00F326A2" w:rsidP="00E06275">
            <w:pPr>
              <w:pStyle w:val="TableNText"/>
              <w:rPr>
                <w:rFonts w:asciiTheme="minorHAnsi" w:hAnsiTheme="minorHAnsi" w:cstheme="minorHAnsi"/>
                <w:b/>
                <w:sz w:val="18"/>
                <w:szCs w:val="18"/>
              </w:rPr>
            </w:pPr>
            <w:r w:rsidRPr="00060C66">
              <w:rPr>
                <w:rFonts w:asciiTheme="minorHAnsi" w:hAnsiTheme="minorHAnsi" w:cstheme="minorHAnsi"/>
                <w:b/>
                <w:sz w:val="18"/>
                <w:szCs w:val="18"/>
                <w:lang w:eastAsia="en-AU"/>
              </w:rPr>
              <w:t>Rationale:</w:t>
            </w:r>
          </w:p>
          <w:p w14:paraId="0154DBE4" w14:textId="77777777" w:rsidR="00F326A2" w:rsidRPr="00060C66" w:rsidRDefault="00F326A2" w:rsidP="00E06275">
            <w:pPr>
              <w:pStyle w:val="TableNBullet"/>
              <w:spacing w:line="240" w:lineRule="auto"/>
              <w:rPr>
                <w:rFonts w:asciiTheme="minorHAnsi" w:hAnsiTheme="minorHAnsi" w:cstheme="minorHAnsi"/>
                <w:sz w:val="18"/>
                <w:szCs w:val="18"/>
              </w:rPr>
            </w:pPr>
            <w:r w:rsidRPr="00060C66">
              <w:rPr>
                <w:rFonts w:asciiTheme="minorHAnsi" w:hAnsiTheme="minorHAnsi" w:cstheme="minorHAnsi"/>
                <w:sz w:val="18"/>
                <w:szCs w:val="18"/>
              </w:rPr>
              <w:t xml:space="preserve">The current burden of disease attributable to workplace exposure to each chemical is estimated based on the IHME GBD Study. The GBD Study is the most comprehensive worldwide observational epidemiological study undertaken to date.  </w:t>
            </w:r>
          </w:p>
          <w:p w14:paraId="2F84710D" w14:textId="77777777" w:rsidR="00F326A2" w:rsidRPr="00060C66" w:rsidRDefault="00F326A2" w:rsidP="00E06275">
            <w:pPr>
              <w:pStyle w:val="TableNBullet"/>
              <w:spacing w:line="240" w:lineRule="auto"/>
              <w:rPr>
                <w:rFonts w:asciiTheme="minorHAnsi" w:hAnsiTheme="minorHAnsi" w:cstheme="minorHAnsi"/>
                <w:sz w:val="18"/>
                <w:szCs w:val="18"/>
              </w:rPr>
            </w:pPr>
            <w:r w:rsidRPr="00060C66">
              <w:rPr>
                <w:rFonts w:asciiTheme="minorHAnsi" w:hAnsiTheme="minorHAnsi" w:cstheme="minorHAnsi"/>
                <w:sz w:val="18"/>
                <w:szCs w:val="18"/>
              </w:rPr>
              <w:t>The effect of the proposed WEL on the burden of disease for exposed workers is not known. In the absence of research which provides estimates of the reduction in the incidence of occupational disease attributable to the adoption of the proposed WEL for each chemical, this analysis assumes all occupational disease would be averted. This could result in an over-estimation of the ‘treatment effect’ for each chemical.</w:t>
            </w:r>
          </w:p>
        </w:tc>
      </w:tr>
      <w:tr w:rsidR="003B72D7" w:rsidRPr="0098199F" w14:paraId="0EB5FB21" w14:textId="77777777" w:rsidTr="004452F5">
        <w:tc>
          <w:tcPr>
            <w:tcW w:w="2547" w:type="dxa"/>
            <w:shd w:val="clear" w:color="auto" w:fill="auto"/>
          </w:tcPr>
          <w:p w14:paraId="0673AF28" w14:textId="77777777" w:rsidR="00F326A2" w:rsidRPr="003B72D7" w:rsidRDefault="00F326A2" w:rsidP="00E06275">
            <w:pPr>
              <w:pStyle w:val="TableNText"/>
              <w:rPr>
                <w:rFonts w:asciiTheme="majorHAnsi" w:hAnsiTheme="majorHAnsi" w:cstheme="majorHAnsi"/>
                <w:b/>
                <w:lang w:eastAsia="en-AU"/>
              </w:rPr>
            </w:pPr>
            <w:r w:rsidRPr="003B72D7">
              <w:rPr>
                <w:rFonts w:asciiTheme="majorHAnsi" w:hAnsiTheme="majorHAnsi" w:cstheme="majorHAnsi"/>
                <w:b/>
                <w:lang w:eastAsia="en-AU"/>
              </w:rPr>
              <w:t>Indirect benefits</w:t>
            </w:r>
          </w:p>
        </w:tc>
        <w:tc>
          <w:tcPr>
            <w:tcW w:w="2268" w:type="dxa"/>
            <w:shd w:val="clear" w:color="auto" w:fill="auto"/>
          </w:tcPr>
          <w:p w14:paraId="1F13346A" w14:textId="0268678D"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NDS data</w:t>
            </w:r>
            <w:r w:rsidR="00CC7C54">
              <w:rPr>
                <w:rFonts w:asciiTheme="minorHAnsi" w:hAnsiTheme="minorHAnsi" w:cstheme="minorHAnsi"/>
              </w:rPr>
              <w:t xml:space="preserve"> </w:t>
            </w:r>
            <w:sdt>
              <w:sdtPr>
                <w:rPr>
                  <w:rFonts w:asciiTheme="minorHAnsi" w:hAnsiTheme="minorHAnsi" w:cstheme="minorHAnsi"/>
                </w:rPr>
                <w:id w:val="1738516693"/>
                <w:citation/>
              </w:sdtPr>
              <w:sdtEndPr/>
              <w:sdtContent>
                <w:r w:rsidR="00CC7C54">
                  <w:rPr>
                    <w:rFonts w:asciiTheme="minorHAnsi" w:hAnsiTheme="minorHAnsi" w:cstheme="minorHAnsi"/>
                  </w:rPr>
                  <w:fldChar w:fldCharType="begin"/>
                </w:r>
                <w:r w:rsidR="00CC7C54">
                  <w:rPr>
                    <w:rFonts w:asciiTheme="minorHAnsi" w:hAnsiTheme="minorHAnsi" w:cstheme="minorHAnsi"/>
                  </w:rPr>
                  <w:instrText xml:space="preserve"> </w:instrText>
                </w:r>
                <w:r w:rsidR="00CC7C54">
                  <w:rPr>
                    <w:rFonts w:asciiTheme="minorHAnsi" w:hAnsiTheme="minorHAnsi" w:cstheme="minorHAnsi"/>
                    <w:lang w:val="en-AU"/>
                  </w:rPr>
                  <w:instrText xml:space="preserve">CITATION </w:instrText>
                </w:r>
                <w:r w:rsidR="00CC7C54">
                  <w:rPr>
                    <w:rFonts w:asciiTheme="minorHAnsi" w:hAnsiTheme="minorHAnsi" w:cstheme="minorHAnsi"/>
                  </w:rPr>
                  <w:instrText xml:space="preserve">Saf204 \l 3081 </w:instrText>
                </w:r>
                <w:r w:rsidR="00CC7C54">
                  <w:rPr>
                    <w:rFonts w:asciiTheme="minorHAnsi" w:hAnsiTheme="minorHAnsi" w:cstheme="minorHAnsi"/>
                  </w:rPr>
                  <w:fldChar w:fldCharType="separate"/>
                </w:r>
                <w:r w:rsidR="00490B21" w:rsidRPr="00490B21">
                  <w:rPr>
                    <w:rFonts w:asciiTheme="minorHAnsi" w:hAnsiTheme="minorHAnsi" w:cstheme="minorHAnsi"/>
                    <w:noProof/>
                    <w:lang w:val="en-AU"/>
                  </w:rPr>
                  <w:t>(Safe Work Australia, 2020)</w:t>
                </w:r>
                <w:r w:rsidR="00CC7C54">
                  <w:rPr>
                    <w:rFonts w:asciiTheme="minorHAnsi" w:hAnsiTheme="minorHAnsi" w:cstheme="minorHAnsi"/>
                  </w:rPr>
                  <w:fldChar w:fldCharType="end"/>
                </w:r>
              </w:sdtContent>
            </w:sdt>
          </w:p>
          <w:p w14:paraId="3ECE7C0B" w14:textId="272AEB89"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ABS Average Weekly Earnings</w:t>
            </w:r>
            <w:r w:rsidR="00054344">
              <w:rPr>
                <w:rFonts w:asciiTheme="minorHAnsi" w:hAnsiTheme="minorHAnsi" w:cstheme="minorHAnsi"/>
              </w:rPr>
              <w:t xml:space="preserve"> </w:t>
            </w:r>
            <w:sdt>
              <w:sdtPr>
                <w:rPr>
                  <w:rFonts w:asciiTheme="minorHAnsi" w:hAnsiTheme="minorHAnsi" w:cstheme="minorHAnsi"/>
                </w:rPr>
                <w:id w:val="-827667715"/>
                <w:citation/>
              </w:sdtPr>
              <w:sdtEndPr/>
              <w:sdtContent>
                <w:r w:rsidR="00054344">
                  <w:rPr>
                    <w:rFonts w:asciiTheme="minorHAnsi" w:hAnsiTheme="minorHAnsi" w:cstheme="minorHAnsi"/>
                  </w:rPr>
                  <w:fldChar w:fldCharType="begin"/>
                </w:r>
                <w:r w:rsidR="00054344">
                  <w:rPr>
                    <w:rFonts w:asciiTheme="minorHAnsi" w:hAnsiTheme="minorHAnsi" w:cstheme="minorHAnsi"/>
                  </w:rPr>
                  <w:instrText xml:space="preserve"> </w:instrText>
                </w:r>
                <w:r w:rsidR="00054344">
                  <w:rPr>
                    <w:rFonts w:asciiTheme="minorHAnsi" w:hAnsiTheme="minorHAnsi" w:cstheme="minorHAnsi"/>
                    <w:lang w:val="en-AU"/>
                  </w:rPr>
                  <w:instrText xml:space="preserve">CITATION </w:instrText>
                </w:r>
                <w:r w:rsidR="00054344">
                  <w:rPr>
                    <w:rFonts w:asciiTheme="minorHAnsi" w:hAnsiTheme="minorHAnsi" w:cstheme="minorHAnsi"/>
                  </w:rPr>
                  <w:instrText xml:space="preserve">ABSAWE246 \l 3081 </w:instrText>
                </w:r>
                <w:r w:rsidR="00054344">
                  <w:rPr>
                    <w:rFonts w:asciiTheme="minorHAnsi" w:hAnsiTheme="minorHAnsi" w:cstheme="minorHAnsi"/>
                  </w:rPr>
                  <w:fldChar w:fldCharType="separate"/>
                </w:r>
                <w:r w:rsidR="00490B21" w:rsidRPr="00490B21">
                  <w:rPr>
                    <w:rFonts w:asciiTheme="minorHAnsi" w:hAnsiTheme="minorHAnsi" w:cstheme="minorHAnsi"/>
                    <w:noProof/>
                    <w:lang w:val="en-AU"/>
                  </w:rPr>
                  <w:t>(Australian Bureau of Statistics, 2024)</w:t>
                </w:r>
                <w:r w:rsidR="00054344">
                  <w:rPr>
                    <w:rFonts w:asciiTheme="minorHAnsi" w:hAnsiTheme="minorHAnsi" w:cstheme="minorHAnsi"/>
                  </w:rPr>
                  <w:fldChar w:fldCharType="end"/>
                </w:r>
              </w:sdtContent>
            </w:sdt>
          </w:p>
        </w:tc>
        <w:tc>
          <w:tcPr>
            <w:tcW w:w="4252" w:type="dxa"/>
            <w:shd w:val="clear" w:color="auto" w:fill="auto"/>
          </w:tcPr>
          <w:p w14:paraId="127996AA" w14:textId="77777777" w:rsidR="00F326A2" w:rsidRPr="00DD6824" w:rsidRDefault="00F326A2" w:rsidP="00E06275">
            <w:pPr>
              <w:pStyle w:val="TableNText"/>
              <w:rPr>
                <w:rFonts w:asciiTheme="minorHAnsi" w:hAnsiTheme="minorHAnsi" w:cstheme="minorHAnsi"/>
                <w:lang w:eastAsia="en-AU"/>
              </w:rPr>
            </w:pPr>
            <w:r w:rsidRPr="00DD6824">
              <w:rPr>
                <w:rFonts w:asciiTheme="minorHAnsi" w:hAnsiTheme="minorHAnsi" w:cstheme="minorHAnsi"/>
                <w:b/>
                <w:lang w:eastAsia="en-AU"/>
              </w:rPr>
              <w:t>Degree of confidence:</w:t>
            </w:r>
            <w:r w:rsidRPr="00DD6824">
              <w:rPr>
                <w:rFonts w:asciiTheme="minorHAnsi" w:hAnsiTheme="minorHAnsi" w:cstheme="minorHAnsi"/>
                <w:lang w:eastAsia="en-AU"/>
              </w:rPr>
              <w:t xml:space="preserve"> Medium</w:t>
            </w:r>
          </w:p>
          <w:p w14:paraId="5D95BFB0" w14:textId="77777777" w:rsidR="00F326A2" w:rsidRPr="00DD6824" w:rsidRDefault="00F326A2" w:rsidP="00E06275">
            <w:pPr>
              <w:pStyle w:val="TableNText"/>
              <w:rPr>
                <w:rFonts w:asciiTheme="minorHAnsi" w:hAnsiTheme="minorHAnsi" w:cstheme="minorHAnsi"/>
                <w:b/>
                <w:lang w:eastAsia="en-AU"/>
              </w:rPr>
            </w:pPr>
            <w:r w:rsidRPr="00DD6824">
              <w:rPr>
                <w:rFonts w:asciiTheme="minorHAnsi" w:hAnsiTheme="minorHAnsi" w:cstheme="minorHAnsi"/>
                <w:b/>
                <w:lang w:eastAsia="en-AU"/>
              </w:rPr>
              <w:t>Rationale:</w:t>
            </w:r>
          </w:p>
          <w:p w14:paraId="54E7AB29" w14:textId="6B2ABC0F"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 xml:space="preserve">The NDS contains data on all workers’ compensation claims attributed to the in-scope chemicals in all states and territories. However, workers’ compensation data is subject to a </w:t>
            </w:r>
            <w:r w:rsidRPr="00DD6824">
              <w:rPr>
                <w:rFonts w:asciiTheme="minorHAnsi" w:hAnsiTheme="minorHAnsi" w:cstheme="minorHAnsi"/>
              </w:rPr>
              <w:lastRenderedPageBreak/>
              <w:t xml:space="preserve">number of limitations, which are detailed in </w:t>
            </w:r>
            <w:r w:rsidR="00215A2D" w:rsidRPr="00DD6824">
              <w:rPr>
                <w:rFonts w:asciiTheme="minorHAnsi" w:hAnsiTheme="minorHAnsi" w:cstheme="minorHAnsi"/>
              </w:rPr>
              <w:t xml:space="preserve">the </w:t>
            </w:r>
            <w:hyperlink w:anchor="AppendixC_Methodology_Benefits_DFB" w:history="1">
              <w:r w:rsidR="00215A2D" w:rsidRPr="00DD6824">
                <w:rPr>
                  <w:rStyle w:val="Hyperlink"/>
                  <w:rFonts w:asciiTheme="minorHAnsi" w:hAnsiTheme="minorHAnsi" w:cstheme="minorHAnsi"/>
                  <w:lang w:val="en-AU"/>
                </w:rPr>
                <w:t>‘</w:t>
              </w:r>
              <w:r w:rsidR="00215A2D" w:rsidRPr="00DD6824">
                <w:rPr>
                  <w:rStyle w:val="Hyperlink"/>
                  <w:rFonts w:asciiTheme="minorHAnsi" w:hAnsiTheme="minorHAnsi" w:cstheme="minorHAnsi"/>
                </w:rPr>
                <w:t>Direct financial ben</w:t>
              </w:r>
              <w:bookmarkStart w:id="765" w:name="_Hlt200441948"/>
              <w:r w:rsidR="00215A2D" w:rsidRPr="00DD6824">
                <w:rPr>
                  <w:rStyle w:val="Hyperlink"/>
                  <w:rFonts w:asciiTheme="minorHAnsi" w:hAnsiTheme="minorHAnsi" w:cstheme="minorHAnsi"/>
                </w:rPr>
                <w:t>e</w:t>
              </w:r>
              <w:bookmarkEnd w:id="765"/>
              <w:r w:rsidR="00215A2D" w:rsidRPr="00DD6824">
                <w:rPr>
                  <w:rStyle w:val="Hyperlink"/>
                  <w:rFonts w:asciiTheme="minorHAnsi" w:hAnsiTheme="minorHAnsi" w:cstheme="minorHAnsi"/>
                </w:rPr>
                <w:t>fits’ section</w:t>
              </w:r>
            </w:hyperlink>
            <w:r w:rsidR="00215A2D" w:rsidRPr="00DD6824">
              <w:rPr>
                <w:rFonts w:asciiTheme="minorHAnsi" w:hAnsiTheme="minorHAnsi" w:cstheme="minorHAnsi"/>
              </w:rPr>
              <w:t xml:space="preserve"> of </w:t>
            </w:r>
            <w:hyperlink w:anchor="AppendixC_Methodology" w:history="1">
              <w:r w:rsidR="00B9470C">
                <w:rPr>
                  <w:rStyle w:val="Hyperlink"/>
                  <w:rFonts w:asciiTheme="minorHAnsi" w:hAnsiTheme="minorHAnsi" w:cstheme="minorHAnsi"/>
                  <w:lang w:val="en-AU"/>
                </w:rPr>
                <w:t xml:space="preserve">Appendix </w:t>
              </w:r>
              <w:r w:rsidR="00D56722">
                <w:rPr>
                  <w:rStyle w:val="Hyperlink"/>
                  <w:rFonts w:asciiTheme="minorHAnsi" w:hAnsiTheme="minorHAnsi" w:cstheme="minorHAnsi"/>
                  <w:lang w:val="en-AU"/>
                </w:rPr>
                <w:t>C</w:t>
              </w:r>
            </w:hyperlink>
            <w:r w:rsidRPr="00DD6824">
              <w:rPr>
                <w:rFonts w:asciiTheme="minorHAnsi" w:hAnsiTheme="minorHAnsi" w:cstheme="minorHAnsi"/>
              </w:rPr>
              <w:t>.</w:t>
            </w:r>
          </w:p>
          <w:p w14:paraId="569E3722" w14:textId="77777777"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The effect of the proposed WEL on the number and severity of workers’ compensation claims is not known. In the absence of research which provides estimates of the reduction in the incidence of occupational disease attributable to the adoption of the proposed WEL for each chemical, this analysis assumes all occupational disease would be averted. This could result in an over-estimation of the ‘treatment effect’ for each chemical.</w:t>
            </w:r>
          </w:p>
        </w:tc>
      </w:tr>
      <w:tr w:rsidR="00A70E15" w:rsidRPr="0098199F" w14:paraId="7CC90534" w14:textId="77777777" w:rsidTr="003616E7">
        <w:tc>
          <w:tcPr>
            <w:tcW w:w="2547" w:type="dxa"/>
            <w:shd w:val="clear" w:color="auto" w:fill="91ACEC" w:themeFill="accent1" w:themeFillTint="99"/>
          </w:tcPr>
          <w:p w14:paraId="766FEA6A" w14:textId="77777777" w:rsidR="00F326A2" w:rsidRPr="00A70E15" w:rsidRDefault="00F326A2" w:rsidP="00E06275">
            <w:pPr>
              <w:pStyle w:val="TableNText"/>
              <w:rPr>
                <w:rFonts w:asciiTheme="majorHAnsi" w:hAnsiTheme="majorHAnsi" w:cstheme="majorHAnsi"/>
                <w:b/>
                <w:lang w:eastAsia="en-AU"/>
              </w:rPr>
            </w:pPr>
            <w:r w:rsidRPr="00A70E15">
              <w:rPr>
                <w:rFonts w:asciiTheme="majorHAnsi" w:hAnsiTheme="majorHAnsi" w:cstheme="majorHAnsi"/>
                <w:b/>
                <w:lang w:eastAsia="en-AU"/>
              </w:rPr>
              <w:lastRenderedPageBreak/>
              <w:t>Costs</w:t>
            </w:r>
          </w:p>
        </w:tc>
        <w:tc>
          <w:tcPr>
            <w:tcW w:w="2268" w:type="dxa"/>
            <w:shd w:val="clear" w:color="auto" w:fill="91ACEC" w:themeFill="accent1" w:themeFillTint="99"/>
          </w:tcPr>
          <w:p w14:paraId="3E80E503" w14:textId="77777777" w:rsidR="00F326A2" w:rsidRPr="00A70E15" w:rsidRDefault="00F326A2" w:rsidP="00E06275">
            <w:pPr>
              <w:pStyle w:val="TableNText"/>
              <w:rPr>
                <w:rFonts w:asciiTheme="majorHAnsi" w:hAnsiTheme="majorHAnsi" w:cstheme="majorHAnsi"/>
                <w:b/>
                <w:lang w:eastAsia="en-AU"/>
              </w:rPr>
            </w:pPr>
          </w:p>
        </w:tc>
        <w:tc>
          <w:tcPr>
            <w:tcW w:w="4252" w:type="dxa"/>
            <w:shd w:val="clear" w:color="auto" w:fill="91ACEC" w:themeFill="accent1" w:themeFillTint="99"/>
          </w:tcPr>
          <w:p w14:paraId="71DE6B58" w14:textId="77777777" w:rsidR="00F326A2" w:rsidRPr="00A70E15" w:rsidRDefault="00F326A2" w:rsidP="00E06275">
            <w:pPr>
              <w:pStyle w:val="TableNText"/>
              <w:rPr>
                <w:rFonts w:asciiTheme="majorHAnsi" w:hAnsiTheme="majorHAnsi" w:cstheme="majorHAnsi"/>
                <w:b/>
                <w:lang w:eastAsia="en-AU"/>
              </w:rPr>
            </w:pPr>
          </w:p>
        </w:tc>
      </w:tr>
      <w:tr w:rsidR="003B72D7" w:rsidRPr="0098199F" w14:paraId="1A0F8458" w14:textId="77777777" w:rsidTr="004452F5">
        <w:tc>
          <w:tcPr>
            <w:tcW w:w="2547" w:type="dxa"/>
            <w:shd w:val="clear" w:color="auto" w:fill="auto"/>
          </w:tcPr>
          <w:p w14:paraId="46D98E02" w14:textId="77777777" w:rsidR="00F326A2" w:rsidRPr="003B72D7" w:rsidRDefault="00F326A2" w:rsidP="00E06275">
            <w:pPr>
              <w:pStyle w:val="TableNText"/>
              <w:rPr>
                <w:rFonts w:asciiTheme="majorHAnsi" w:hAnsiTheme="majorHAnsi" w:cstheme="majorHAnsi"/>
                <w:b/>
                <w:lang w:eastAsia="en-AU"/>
              </w:rPr>
            </w:pPr>
            <w:r w:rsidRPr="003B72D7">
              <w:rPr>
                <w:rFonts w:asciiTheme="majorHAnsi" w:hAnsiTheme="majorHAnsi" w:cstheme="majorHAnsi"/>
                <w:b/>
                <w:lang w:eastAsia="en-AU"/>
              </w:rPr>
              <w:t>Standardised costs</w:t>
            </w:r>
          </w:p>
        </w:tc>
        <w:tc>
          <w:tcPr>
            <w:tcW w:w="2268" w:type="dxa"/>
            <w:shd w:val="clear" w:color="auto" w:fill="auto"/>
          </w:tcPr>
          <w:p w14:paraId="2329AEC8" w14:textId="234B2B14" w:rsidR="00F326A2" w:rsidRPr="00DD6824" w:rsidRDefault="00F326A2" w:rsidP="00E06275">
            <w:pPr>
              <w:pStyle w:val="TableNText"/>
              <w:rPr>
                <w:rFonts w:asciiTheme="minorHAnsi" w:hAnsiTheme="minorHAnsi" w:cstheme="minorHAnsi"/>
                <w:lang w:eastAsia="en-AU"/>
              </w:rPr>
            </w:pPr>
            <w:r w:rsidRPr="00DD6824">
              <w:rPr>
                <w:rFonts w:asciiTheme="minorHAnsi" w:hAnsiTheme="minorHAnsi" w:cstheme="minorHAnsi"/>
                <w:lang w:eastAsia="en-AU"/>
              </w:rPr>
              <w:t>SWA’s 2019 Decision RIS: Workplace Exposure Standards</w:t>
            </w:r>
            <w:r w:rsidR="00054344">
              <w:rPr>
                <w:rFonts w:asciiTheme="minorHAnsi" w:hAnsiTheme="minorHAnsi" w:cstheme="minorHAnsi"/>
                <w:lang w:eastAsia="en-AU"/>
              </w:rPr>
              <w:t xml:space="preserve"> </w:t>
            </w:r>
            <w:sdt>
              <w:sdtPr>
                <w:rPr>
                  <w:rFonts w:asciiTheme="minorHAnsi" w:hAnsiTheme="minorHAnsi" w:cstheme="minorHAnsi"/>
                  <w:lang w:eastAsia="en-AU"/>
                </w:rPr>
                <w:id w:val="336815493"/>
                <w:citation/>
              </w:sdtPr>
              <w:sdtEndPr/>
              <w:sdtContent>
                <w:r w:rsidR="00054344">
                  <w:rPr>
                    <w:rFonts w:asciiTheme="minorHAnsi" w:hAnsiTheme="minorHAnsi" w:cstheme="minorHAnsi"/>
                    <w:lang w:eastAsia="en-AU"/>
                  </w:rPr>
                  <w:fldChar w:fldCharType="begin"/>
                </w:r>
                <w:r w:rsidR="00054344">
                  <w:rPr>
                    <w:rFonts w:asciiTheme="minorHAnsi" w:hAnsiTheme="minorHAnsi" w:cstheme="minorHAnsi"/>
                    <w:lang w:eastAsia="en-AU"/>
                  </w:rPr>
                  <w:instrText xml:space="preserve"> </w:instrText>
                </w:r>
                <w:r w:rsidR="00054344">
                  <w:rPr>
                    <w:rFonts w:asciiTheme="minorHAnsi" w:hAnsiTheme="minorHAnsi" w:cstheme="minorHAnsi"/>
                    <w:lang w:val="en-AU" w:eastAsia="en-AU"/>
                  </w:rPr>
                  <w:instrText xml:space="preserve">CITATION </w:instrText>
                </w:r>
                <w:r w:rsidR="00054344">
                  <w:rPr>
                    <w:rFonts w:asciiTheme="minorHAnsi" w:hAnsiTheme="minorHAnsi" w:cstheme="minorHAnsi"/>
                    <w:lang w:eastAsia="en-AU"/>
                  </w:rPr>
                  <w:instrText xml:space="preserve">Saf19 \l 3081 </w:instrText>
                </w:r>
                <w:r w:rsidR="00054344">
                  <w:rPr>
                    <w:rFonts w:asciiTheme="minorHAnsi" w:hAnsiTheme="minorHAnsi" w:cstheme="minorHAnsi"/>
                    <w:lang w:eastAsia="en-AU"/>
                  </w:rPr>
                  <w:fldChar w:fldCharType="separate"/>
                </w:r>
                <w:r w:rsidR="00490B21" w:rsidRPr="00490B21">
                  <w:rPr>
                    <w:rFonts w:asciiTheme="minorHAnsi" w:hAnsiTheme="minorHAnsi" w:cstheme="minorHAnsi"/>
                    <w:noProof/>
                    <w:lang w:val="en-AU" w:eastAsia="en-AU"/>
                  </w:rPr>
                  <w:t>(Safe Work Australia, 2019)</w:t>
                </w:r>
                <w:r w:rsidR="00054344">
                  <w:rPr>
                    <w:rFonts w:asciiTheme="minorHAnsi" w:hAnsiTheme="minorHAnsi" w:cstheme="minorHAnsi"/>
                    <w:lang w:eastAsia="en-AU"/>
                  </w:rPr>
                  <w:fldChar w:fldCharType="end"/>
                </w:r>
              </w:sdtContent>
            </w:sdt>
          </w:p>
          <w:p w14:paraId="1122F026" w14:textId="0955CB98" w:rsidR="00F326A2" w:rsidRPr="00DD6824" w:rsidRDefault="00F326A2" w:rsidP="00E06275">
            <w:pPr>
              <w:pStyle w:val="TableNText"/>
              <w:rPr>
                <w:rFonts w:asciiTheme="minorHAnsi" w:hAnsiTheme="minorHAnsi" w:cstheme="minorHAnsi"/>
                <w:lang w:eastAsia="en-AU"/>
              </w:rPr>
            </w:pPr>
            <w:r w:rsidRPr="00DD6824">
              <w:rPr>
                <w:rFonts w:asciiTheme="minorHAnsi" w:hAnsiTheme="minorHAnsi" w:cstheme="minorHAnsi"/>
                <w:lang w:eastAsia="en-AU"/>
              </w:rPr>
              <w:t>ABS Price Indexes</w:t>
            </w:r>
            <w:r w:rsidR="00054344">
              <w:rPr>
                <w:rFonts w:asciiTheme="minorHAnsi" w:hAnsiTheme="minorHAnsi" w:cstheme="minorHAnsi"/>
                <w:lang w:eastAsia="en-AU"/>
              </w:rPr>
              <w:t xml:space="preserve"> </w:t>
            </w:r>
            <w:sdt>
              <w:sdtPr>
                <w:rPr>
                  <w:rFonts w:asciiTheme="minorHAnsi" w:hAnsiTheme="minorHAnsi" w:cstheme="minorHAnsi"/>
                  <w:lang w:eastAsia="en-AU"/>
                </w:rPr>
                <w:id w:val="1678462132"/>
                <w:citation/>
              </w:sdtPr>
              <w:sdtEndPr/>
              <w:sdtContent>
                <w:r w:rsidR="00054344">
                  <w:rPr>
                    <w:rFonts w:asciiTheme="minorHAnsi" w:hAnsiTheme="minorHAnsi" w:cstheme="minorHAnsi"/>
                    <w:lang w:eastAsia="en-AU"/>
                  </w:rPr>
                  <w:fldChar w:fldCharType="begin"/>
                </w:r>
                <w:r w:rsidR="00054344">
                  <w:rPr>
                    <w:rFonts w:asciiTheme="minorHAnsi" w:hAnsiTheme="minorHAnsi" w:cstheme="minorHAnsi"/>
                    <w:lang w:eastAsia="en-AU"/>
                  </w:rPr>
                  <w:instrText xml:space="preserve"> </w:instrText>
                </w:r>
                <w:r w:rsidR="00054344">
                  <w:rPr>
                    <w:rFonts w:asciiTheme="minorHAnsi" w:hAnsiTheme="minorHAnsi" w:cstheme="minorHAnsi"/>
                    <w:lang w:val="en-AU" w:eastAsia="en-AU"/>
                  </w:rPr>
                  <w:instrText xml:space="preserve">CITATION </w:instrText>
                </w:r>
                <w:r w:rsidR="00054344">
                  <w:rPr>
                    <w:rFonts w:asciiTheme="minorHAnsi" w:hAnsiTheme="minorHAnsi" w:cstheme="minorHAnsi"/>
                    <w:lang w:eastAsia="en-AU"/>
                  </w:rPr>
                  <w:instrText xml:space="preserve">Aus25 \l 3081 </w:instrText>
                </w:r>
                <w:r w:rsidR="00054344">
                  <w:rPr>
                    <w:rFonts w:asciiTheme="minorHAnsi" w:hAnsiTheme="minorHAnsi" w:cstheme="minorHAnsi"/>
                    <w:lang w:eastAsia="en-AU"/>
                  </w:rPr>
                  <w:fldChar w:fldCharType="separate"/>
                </w:r>
                <w:r w:rsidR="00490B21" w:rsidRPr="00490B21">
                  <w:rPr>
                    <w:rFonts w:asciiTheme="minorHAnsi" w:hAnsiTheme="minorHAnsi" w:cstheme="minorHAnsi"/>
                    <w:noProof/>
                    <w:lang w:val="en-AU" w:eastAsia="en-AU"/>
                  </w:rPr>
                  <w:t>(Australian Bureau of Statistics, 2024)</w:t>
                </w:r>
                <w:r w:rsidR="00054344">
                  <w:rPr>
                    <w:rFonts w:asciiTheme="minorHAnsi" w:hAnsiTheme="minorHAnsi" w:cstheme="minorHAnsi"/>
                    <w:lang w:eastAsia="en-AU"/>
                  </w:rPr>
                  <w:fldChar w:fldCharType="end"/>
                </w:r>
              </w:sdtContent>
            </w:sdt>
          </w:p>
          <w:p w14:paraId="04638BD8" w14:textId="77777777" w:rsidR="00F326A2" w:rsidRPr="00993B73" w:rsidRDefault="00F326A2" w:rsidP="00E06275">
            <w:pPr>
              <w:pStyle w:val="TableNText"/>
              <w:rPr>
                <w:lang w:eastAsia="en-AU"/>
              </w:rPr>
            </w:pPr>
            <w:r w:rsidRPr="00DD6824">
              <w:rPr>
                <w:rFonts w:asciiTheme="minorHAnsi" w:hAnsiTheme="minorHAnsi" w:cstheme="minorHAnsi"/>
                <w:lang w:eastAsia="en-AU"/>
              </w:rPr>
              <w:t>Public consultation feedback</w:t>
            </w:r>
          </w:p>
        </w:tc>
        <w:tc>
          <w:tcPr>
            <w:tcW w:w="4252" w:type="dxa"/>
            <w:shd w:val="clear" w:color="auto" w:fill="auto"/>
          </w:tcPr>
          <w:p w14:paraId="79F88D1F" w14:textId="77777777" w:rsidR="00F326A2" w:rsidRPr="0003037E" w:rsidRDefault="00F326A2" w:rsidP="00E06275">
            <w:pPr>
              <w:pStyle w:val="TableNText"/>
              <w:rPr>
                <w:rFonts w:asciiTheme="minorHAnsi" w:hAnsiTheme="minorHAnsi" w:cstheme="minorHAnsi"/>
                <w:lang w:eastAsia="en-AU"/>
              </w:rPr>
            </w:pPr>
            <w:r w:rsidRPr="0003037E">
              <w:rPr>
                <w:rFonts w:asciiTheme="minorHAnsi" w:hAnsiTheme="minorHAnsi" w:cstheme="minorHAnsi"/>
                <w:b/>
                <w:lang w:eastAsia="en-AU"/>
              </w:rPr>
              <w:t>Degree of confidence</w:t>
            </w:r>
            <w:r w:rsidRPr="0003037E">
              <w:rPr>
                <w:rFonts w:asciiTheme="minorHAnsi" w:hAnsiTheme="minorHAnsi" w:cstheme="minorHAnsi"/>
                <w:lang w:eastAsia="en-AU"/>
              </w:rPr>
              <w:t>: Medium</w:t>
            </w:r>
          </w:p>
          <w:p w14:paraId="4F4ACC2E" w14:textId="77777777" w:rsidR="00F326A2" w:rsidRPr="0003037E" w:rsidRDefault="00F326A2" w:rsidP="00E06275">
            <w:pPr>
              <w:pStyle w:val="TableNText"/>
              <w:rPr>
                <w:rFonts w:asciiTheme="minorHAnsi" w:hAnsiTheme="minorHAnsi" w:cstheme="minorHAnsi"/>
                <w:b/>
                <w:lang w:eastAsia="en-AU"/>
              </w:rPr>
            </w:pPr>
            <w:r w:rsidRPr="0003037E">
              <w:rPr>
                <w:rFonts w:asciiTheme="minorHAnsi" w:hAnsiTheme="minorHAnsi" w:cstheme="minorHAnsi"/>
                <w:b/>
                <w:lang w:eastAsia="en-AU"/>
              </w:rPr>
              <w:t xml:space="preserve">Rationale: </w:t>
            </w:r>
          </w:p>
          <w:p w14:paraId="0387EC89" w14:textId="77777777" w:rsidR="00F326A2" w:rsidRPr="0003037E" w:rsidRDefault="00F326A2" w:rsidP="00E06275">
            <w:pPr>
              <w:pStyle w:val="TableNBullet"/>
              <w:spacing w:line="240" w:lineRule="auto"/>
              <w:rPr>
                <w:rFonts w:asciiTheme="minorHAnsi" w:hAnsiTheme="minorHAnsi" w:cstheme="minorHAnsi"/>
              </w:rPr>
            </w:pPr>
            <w:r w:rsidRPr="0003037E">
              <w:rPr>
                <w:rFonts w:asciiTheme="minorHAnsi" w:hAnsiTheme="minorHAnsi" w:cstheme="minorHAnsi"/>
              </w:rPr>
              <w:t>The standardised cost per business (by business size category) have been estimated based on SWA’s 2019 Decision RIS: Workplace Exposure Standards and data provided via public consultations. The standardised cost assumptions are indicative only and do not reflect the actual costs for each business affected by the proposed WEL for each chemical.</w:t>
            </w:r>
          </w:p>
          <w:p w14:paraId="108A05DC" w14:textId="77777777" w:rsidR="00F326A2" w:rsidRPr="0003037E" w:rsidRDefault="00F326A2" w:rsidP="00E06275">
            <w:pPr>
              <w:pStyle w:val="TableNBullet"/>
              <w:spacing w:line="240" w:lineRule="auto"/>
              <w:rPr>
                <w:rFonts w:asciiTheme="minorHAnsi" w:hAnsiTheme="minorHAnsi" w:cstheme="minorHAnsi"/>
              </w:rPr>
            </w:pPr>
            <w:r w:rsidRPr="0003037E">
              <w:rPr>
                <w:rFonts w:asciiTheme="minorHAnsi" w:hAnsiTheme="minorHAnsi" w:cstheme="minorHAnsi"/>
              </w:rPr>
              <w:t>The Base Case scenario assumes that all businesses comply with the current WES, as well as recent regulatory changes relating to RCS. Anecdotal information provided through stakeholder engagement suggests that for some chemicals and industries, it is possible that a proportion of businesses may not comply with the current WES. Where businesses do not comply with the current WES, the costs they are likely to incur to meet the proposed WEL could be expected to exceed the costs estimated in this report, however it is important to note these additional costs are not directly related to the proposed WELs.</w:t>
            </w:r>
          </w:p>
        </w:tc>
      </w:tr>
      <w:tr w:rsidR="003B72D7" w:rsidRPr="0098199F" w14:paraId="6216759F" w14:textId="77777777" w:rsidTr="003616E7">
        <w:tc>
          <w:tcPr>
            <w:tcW w:w="2547" w:type="dxa"/>
            <w:shd w:val="clear" w:color="auto" w:fill="DAE3F8" w:themeFill="accent1" w:themeFillTint="33"/>
          </w:tcPr>
          <w:p w14:paraId="6054D904" w14:textId="77777777" w:rsidR="00F326A2" w:rsidRPr="00A70E15" w:rsidRDefault="00F326A2" w:rsidP="00E06275">
            <w:pPr>
              <w:pStyle w:val="TableNText"/>
              <w:rPr>
                <w:rFonts w:asciiTheme="majorHAnsi" w:hAnsiTheme="majorHAnsi" w:cstheme="majorHAnsi"/>
                <w:b/>
                <w:lang w:eastAsia="en-AU"/>
              </w:rPr>
            </w:pPr>
            <w:r w:rsidRPr="00A70E15">
              <w:rPr>
                <w:rFonts w:asciiTheme="majorHAnsi" w:hAnsiTheme="majorHAnsi" w:cstheme="majorHAnsi"/>
                <w:b/>
                <w:lang w:eastAsia="en-AU"/>
              </w:rPr>
              <w:t>Specific costs</w:t>
            </w:r>
          </w:p>
        </w:tc>
        <w:tc>
          <w:tcPr>
            <w:tcW w:w="2268" w:type="dxa"/>
            <w:shd w:val="clear" w:color="auto" w:fill="DAE3F8" w:themeFill="accent1" w:themeFillTint="33"/>
          </w:tcPr>
          <w:p w14:paraId="32165F5F" w14:textId="77777777" w:rsidR="00F326A2" w:rsidRPr="00DD6824" w:rsidRDefault="00F326A2" w:rsidP="00E06275">
            <w:pPr>
              <w:pStyle w:val="TableNText"/>
              <w:rPr>
                <w:rFonts w:asciiTheme="minorHAnsi" w:hAnsiTheme="minorHAnsi" w:cstheme="minorHAnsi"/>
                <w:lang w:eastAsia="en-AU"/>
              </w:rPr>
            </w:pPr>
            <w:r w:rsidRPr="00DD6824">
              <w:rPr>
                <w:rFonts w:asciiTheme="minorHAnsi" w:hAnsiTheme="minorHAnsi" w:cstheme="minorHAnsi"/>
                <w:lang w:eastAsia="en-AU"/>
              </w:rPr>
              <w:t>Stakeholder engagement</w:t>
            </w:r>
          </w:p>
        </w:tc>
        <w:tc>
          <w:tcPr>
            <w:tcW w:w="4252" w:type="dxa"/>
            <w:shd w:val="clear" w:color="auto" w:fill="DAE3F8" w:themeFill="accent1" w:themeFillTint="33"/>
          </w:tcPr>
          <w:p w14:paraId="1F558F16" w14:textId="77777777" w:rsidR="00F326A2" w:rsidRPr="00DD6824" w:rsidRDefault="00F326A2" w:rsidP="00E06275">
            <w:pPr>
              <w:pStyle w:val="TableNText"/>
              <w:rPr>
                <w:rFonts w:asciiTheme="minorHAnsi" w:hAnsiTheme="minorHAnsi" w:cstheme="minorHAnsi"/>
                <w:lang w:eastAsia="en-AU"/>
              </w:rPr>
            </w:pPr>
            <w:r w:rsidRPr="00DD6824">
              <w:rPr>
                <w:rFonts w:asciiTheme="minorHAnsi" w:hAnsiTheme="minorHAnsi" w:cstheme="minorHAnsi"/>
                <w:b/>
                <w:lang w:eastAsia="en-AU"/>
              </w:rPr>
              <w:t>Degree of confidence:</w:t>
            </w:r>
            <w:r w:rsidRPr="00DD6824">
              <w:rPr>
                <w:rFonts w:asciiTheme="minorHAnsi" w:hAnsiTheme="minorHAnsi" w:cstheme="minorHAnsi"/>
                <w:lang w:eastAsia="en-AU"/>
              </w:rPr>
              <w:t xml:space="preserve"> Low-medium</w:t>
            </w:r>
          </w:p>
          <w:p w14:paraId="305F1516" w14:textId="77777777" w:rsidR="00F326A2" w:rsidRPr="00DD6824" w:rsidRDefault="00F326A2" w:rsidP="00E06275">
            <w:pPr>
              <w:pStyle w:val="TableNText"/>
              <w:rPr>
                <w:rFonts w:asciiTheme="minorHAnsi" w:hAnsiTheme="minorHAnsi" w:cstheme="minorHAnsi"/>
                <w:b/>
                <w:lang w:eastAsia="en-AU"/>
              </w:rPr>
            </w:pPr>
            <w:r w:rsidRPr="00DD6824">
              <w:rPr>
                <w:rFonts w:asciiTheme="minorHAnsi" w:hAnsiTheme="minorHAnsi" w:cstheme="minorHAnsi"/>
                <w:b/>
                <w:lang w:eastAsia="en-AU"/>
              </w:rPr>
              <w:t xml:space="preserve">Rationale: </w:t>
            </w:r>
          </w:p>
          <w:p w14:paraId="4AB8BB84" w14:textId="77777777"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 xml:space="preserve">The specific costs have been estimated based on information provided through engagement with stakeholders. The cost items provided have been reviewed for their applicability and robustness for this impact analysis, including through engagement with occupational hygiene experts. However, they have not been reviewed or tested at a business-level. Also, the specific cost data provided by stakeholders covered a limited range of chemicals and industries. </w:t>
            </w:r>
          </w:p>
          <w:p w14:paraId="2BFE9E95" w14:textId="77777777" w:rsidR="00F326A2" w:rsidRPr="00DD6824" w:rsidRDefault="00F326A2" w:rsidP="00E06275">
            <w:pPr>
              <w:pStyle w:val="TableNBullet"/>
              <w:spacing w:line="240" w:lineRule="auto"/>
              <w:rPr>
                <w:rFonts w:asciiTheme="minorHAnsi" w:hAnsiTheme="minorHAnsi" w:cstheme="minorHAnsi"/>
              </w:rPr>
            </w:pPr>
            <w:r w:rsidRPr="00DD6824">
              <w:rPr>
                <w:rFonts w:asciiTheme="minorHAnsi" w:hAnsiTheme="minorHAnsi" w:cstheme="minorHAnsi"/>
              </w:rPr>
              <w:t xml:space="preserve">The Base Case scenario assumes that all businesses comply with the current WES, as well as recent regulatory changes relating to RCS. As discussed above, this may not be the case in practice. </w:t>
            </w:r>
          </w:p>
        </w:tc>
      </w:tr>
    </w:tbl>
    <w:p w14:paraId="34913A63" w14:textId="77777777" w:rsidR="003D2679" w:rsidRPr="003D2679" w:rsidRDefault="003D2679" w:rsidP="000B74A2">
      <w:pPr>
        <w:pStyle w:val="Paragraph"/>
        <w:rPr>
          <w:lang w:eastAsia="en-US"/>
        </w:rPr>
      </w:pPr>
    </w:p>
    <w:sectPr w:rsidR="003D2679" w:rsidRPr="003D2679" w:rsidSect="00197690">
      <w:footnotePr>
        <w:numRestart w:val="eachSect"/>
      </w:footnotePr>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E4D5" w14:textId="77777777" w:rsidR="002A11AD" w:rsidRDefault="002A11AD" w:rsidP="00FB5F0A">
      <w:pPr>
        <w:spacing w:after="0"/>
      </w:pPr>
      <w:r>
        <w:separator/>
      </w:r>
    </w:p>
    <w:p w14:paraId="58A79AA4" w14:textId="77777777" w:rsidR="002A11AD" w:rsidRDefault="002A11AD"/>
  </w:endnote>
  <w:endnote w:type="continuationSeparator" w:id="0">
    <w:p w14:paraId="458C0DC4" w14:textId="77777777" w:rsidR="002A11AD" w:rsidRDefault="002A11AD" w:rsidP="00FB5F0A">
      <w:pPr>
        <w:spacing w:after="0"/>
      </w:pPr>
      <w:r>
        <w:continuationSeparator/>
      </w:r>
    </w:p>
    <w:p w14:paraId="28F8ED8C" w14:textId="77777777" w:rsidR="002A11AD" w:rsidRDefault="002A11AD"/>
  </w:endnote>
  <w:endnote w:type="continuationNotice" w:id="1">
    <w:p w14:paraId="40B0E512" w14:textId="77777777" w:rsidR="002A11AD" w:rsidRDefault="002A1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3309" w14:textId="51720F6C" w:rsidR="000746F6" w:rsidRPr="00DE38BD" w:rsidRDefault="00E16DBC" w:rsidP="000746F6">
    <w:pPr>
      <w:pStyle w:val="Footer"/>
      <w:rPr>
        <w:b/>
      </w:rPr>
    </w:pPr>
    <w:bookmarkStart w:id="0" w:name="_Hlk157096869"/>
    <w:r>
      <w:rPr>
        <w:b/>
      </w:rPr>
      <w:t>Decision Regulatory Impact Statement</w:t>
    </w:r>
  </w:p>
  <w:p w14:paraId="02A98B6F" w14:textId="720B2986" w:rsidR="000746F6" w:rsidRPr="00E6439B" w:rsidRDefault="6D8350BD" w:rsidP="000746F6">
    <w:pPr>
      <w:pStyle w:val="Footer"/>
      <w:tabs>
        <w:tab w:val="clear" w:pos="4513"/>
      </w:tabs>
      <w:rPr>
        <w:b/>
        <w:bCs/>
      </w:rPr>
    </w:pPr>
    <w:r>
      <w:t>Proposed workplace exposure limits for 9 chemicals</w:t>
    </w:r>
    <w:bookmarkEnd w:id="0"/>
    <w:r w:rsidR="47FFC717">
      <w:tab/>
    </w:r>
    <w:r w:rsidR="0009050A">
      <w:rPr>
        <w:b/>
        <w:bCs/>
        <w:sz w:val="18"/>
        <w:szCs w:val="18"/>
      </w:rPr>
      <w:t>DECEMBER</w:t>
    </w:r>
    <w:r w:rsidR="0009050A" w:rsidRPr="6D8350BD">
      <w:rPr>
        <w:b/>
        <w:bCs/>
        <w:sz w:val="18"/>
        <w:szCs w:val="18"/>
      </w:rPr>
      <w:t xml:space="preserve"> </w:t>
    </w:r>
    <w:r w:rsidRPr="6D8350BD">
      <w:rPr>
        <w:b/>
        <w:bCs/>
        <w:sz w:val="18"/>
        <w:szCs w:val="18"/>
      </w:rPr>
      <w:t xml:space="preserve">2025 | Page </w:t>
    </w:r>
    <w:r w:rsidR="47FFC717" w:rsidRPr="6D8350BD">
      <w:rPr>
        <w:b/>
        <w:bCs/>
        <w:sz w:val="18"/>
        <w:szCs w:val="18"/>
      </w:rPr>
      <w:fldChar w:fldCharType="begin"/>
    </w:r>
    <w:r w:rsidR="47FFC717" w:rsidRPr="6D8350BD">
      <w:rPr>
        <w:b/>
        <w:bCs/>
        <w:sz w:val="18"/>
        <w:szCs w:val="18"/>
      </w:rPr>
      <w:instrText xml:space="preserve"> PAGE  \* Arabic  \* MERGEFORMAT </w:instrText>
    </w:r>
    <w:r w:rsidR="47FFC717" w:rsidRPr="6D8350BD">
      <w:rPr>
        <w:b/>
        <w:bCs/>
        <w:sz w:val="18"/>
        <w:szCs w:val="18"/>
      </w:rPr>
      <w:fldChar w:fldCharType="separate"/>
    </w:r>
    <w:r w:rsidRPr="6D8350BD">
      <w:rPr>
        <w:b/>
        <w:bCs/>
        <w:sz w:val="18"/>
        <w:szCs w:val="18"/>
      </w:rPr>
      <w:t>4</w:t>
    </w:r>
    <w:r w:rsidR="47FFC717" w:rsidRPr="6D8350BD">
      <w:rPr>
        <w:b/>
        <w:bCs/>
        <w:sz w:val="18"/>
        <w:szCs w:val="18"/>
      </w:rPr>
      <w:fldChar w:fldCharType="end"/>
    </w:r>
    <w:r w:rsidRPr="6D8350BD">
      <w:rPr>
        <w:b/>
        <w:bCs/>
        <w:sz w:val="18"/>
        <w:szCs w:val="18"/>
      </w:rPr>
      <w:t xml:space="preserve"> of </w:t>
    </w:r>
    <w:r w:rsidR="47FFC717" w:rsidRPr="6D8350BD">
      <w:rPr>
        <w:b/>
        <w:bCs/>
        <w:sz w:val="18"/>
        <w:szCs w:val="18"/>
      </w:rPr>
      <w:fldChar w:fldCharType="begin"/>
    </w:r>
    <w:r w:rsidR="47FFC717" w:rsidRPr="6D8350BD">
      <w:rPr>
        <w:b/>
        <w:bCs/>
        <w:sz w:val="18"/>
        <w:szCs w:val="18"/>
      </w:rPr>
      <w:instrText xml:space="preserve"> NUMPAGES  \* Arabic  \* MERGEFORMAT </w:instrText>
    </w:r>
    <w:r w:rsidR="47FFC717" w:rsidRPr="6D8350BD">
      <w:rPr>
        <w:b/>
        <w:bCs/>
        <w:sz w:val="18"/>
        <w:szCs w:val="18"/>
      </w:rPr>
      <w:fldChar w:fldCharType="separate"/>
    </w:r>
    <w:r w:rsidRPr="6D8350BD">
      <w:rPr>
        <w:b/>
        <w:bCs/>
        <w:sz w:val="18"/>
        <w:szCs w:val="18"/>
      </w:rPr>
      <w:t>7</w:t>
    </w:r>
    <w:r w:rsidR="47FFC717" w:rsidRPr="6D8350BD">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8301" w14:textId="77777777" w:rsidR="000746F6" w:rsidRDefault="000746F6">
    <w:pPr>
      <w:pStyle w:val="Footer"/>
    </w:pPr>
    <w:r>
      <w:rPr>
        <w:noProof/>
      </w:rPr>
      <w:drawing>
        <wp:anchor distT="0" distB="0" distL="114300" distR="114300" simplePos="0" relativeHeight="251658242" behindDoc="1" locked="0" layoutInCell="1" allowOverlap="1" wp14:anchorId="462E0B7C" wp14:editId="4900A4A8">
          <wp:simplePos x="0" y="0"/>
          <wp:positionH relativeFrom="page">
            <wp:posOffset>4095750</wp:posOffset>
          </wp:positionH>
          <wp:positionV relativeFrom="page">
            <wp:posOffset>8905875</wp:posOffset>
          </wp:positionV>
          <wp:extent cx="2516505" cy="720054"/>
          <wp:effectExtent l="0" t="0" r="0" b="0"/>
          <wp:wrapNone/>
          <wp:docPr id="2061179095" name="Graphic 206117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pic:cNvPicPr/>
                </pic:nvPicPr>
                <pic:blipFill rotWithShape="1">
                  <a:blip r:embed="rId1">
                    <a:extLst>
                      <a:ext uri="{96DAC541-7B7A-43D3-8B79-37D633B846F1}">
                        <asvg:svgBlip xmlns:asvg="http://schemas.microsoft.com/office/drawing/2016/SVG/main" r:embed="rId2"/>
                      </a:ext>
                    </a:extLst>
                  </a:blip>
                  <a:srcRect t="-54602" b="-54602"/>
                  <a:stretch/>
                </pic:blipFill>
                <pic:spPr bwMode="auto">
                  <a:xfrm>
                    <a:off x="0" y="0"/>
                    <a:ext cx="2516920"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08CC" w14:textId="08564662" w:rsidR="00241746" w:rsidRPr="00E16DBC" w:rsidRDefault="00E16DBC" w:rsidP="00241746">
    <w:pPr>
      <w:pStyle w:val="Footer"/>
      <w:rPr>
        <w:b/>
      </w:rPr>
    </w:pPr>
    <w:bookmarkStart w:id="2" w:name="_Hlk157076426"/>
    <w:r w:rsidRPr="00E16DBC">
      <w:rPr>
        <w:b/>
      </w:rPr>
      <w:t>Decision Regulatory Impact Statement</w:t>
    </w:r>
  </w:p>
  <w:p w14:paraId="2B8C4F3B" w14:textId="3AE8EAD1" w:rsidR="00241746" w:rsidRPr="00241746" w:rsidRDefault="00DD02A5" w:rsidP="001B1EDF">
    <w:pPr>
      <w:pStyle w:val="Footer"/>
      <w:tabs>
        <w:tab w:val="clear" w:pos="4513"/>
        <w:tab w:val="clear" w:pos="9026"/>
        <w:tab w:val="right" w:pos="13892"/>
      </w:tabs>
      <w:rPr>
        <w:b/>
        <w:bCs/>
      </w:rPr>
    </w:pPr>
    <w:r>
      <w:t>Proposed workplace exposure limits for 9 chemicals</w:t>
    </w:r>
    <w:bookmarkEnd w:id="2"/>
    <w:r w:rsidR="00241746">
      <w:tab/>
    </w:r>
    <w:r w:rsidR="0009050A">
      <w:rPr>
        <w:b/>
        <w:bCs/>
        <w:sz w:val="18"/>
        <w:szCs w:val="28"/>
      </w:rPr>
      <w:t xml:space="preserve">DECEMBER </w:t>
    </w:r>
    <w:r w:rsidR="00155FDD">
      <w:rPr>
        <w:b/>
        <w:bCs/>
        <w:sz w:val="18"/>
        <w:szCs w:val="28"/>
      </w:rPr>
      <w:t>2025</w:t>
    </w:r>
    <w:r w:rsidR="00241746" w:rsidRPr="009335F0">
      <w:rPr>
        <w:b/>
        <w:bCs/>
        <w:sz w:val="18"/>
        <w:szCs w:val="28"/>
      </w:rPr>
      <w:t xml:space="preserve"> | 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76A7" w14:textId="77777777" w:rsidR="007401D6" w:rsidRDefault="007401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B7F" w14:textId="77777777" w:rsidR="007401D6" w:rsidRDefault="0074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FCC35" w14:textId="77777777" w:rsidR="002A11AD" w:rsidRDefault="002A11AD" w:rsidP="00FB5F0A">
      <w:pPr>
        <w:spacing w:after="0"/>
      </w:pPr>
      <w:r>
        <w:separator/>
      </w:r>
    </w:p>
    <w:p w14:paraId="6429DBED" w14:textId="77777777" w:rsidR="002A11AD" w:rsidRDefault="002A11AD"/>
  </w:footnote>
  <w:footnote w:type="continuationSeparator" w:id="0">
    <w:p w14:paraId="1E441503" w14:textId="77777777" w:rsidR="002A11AD" w:rsidRDefault="002A11AD" w:rsidP="00FB5F0A">
      <w:pPr>
        <w:spacing w:after="0"/>
      </w:pPr>
      <w:r>
        <w:continuationSeparator/>
      </w:r>
    </w:p>
    <w:p w14:paraId="34E6D0DC" w14:textId="77777777" w:rsidR="002A11AD" w:rsidRDefault="002A11AD"/>
  </w:footnote>
  <w:footnote w:type="continuationNotice" w:id="1">
    <w:p w14:paraId="64A79529" w14:textId="77777777" w:rsidR="002A11AD" w:rsidRDefault="002A11AD">
      <w:pPr>
        <w:spacing w:after="0" w:line="240" w:lineRule="auto"/>
      </w:pPr>
    </w:p>
  </w:footnote>
  <w:footnote w:id="2">
    <w:p w14:paraId="1EE6FBA5" w14:textId="77777777" w:rsidR="00B375CC" w:rsidRDefault="00B375CC" w:rsidP="00B375CC">
      <w:pPr>
        <w:pStyle w:val="FootnoteText"/>
      </w:pPr>
      <w:r>
        <w:rPr>
          <w:rStyle w:val="FootnoteReference"/>
        </w:rPr>
        <w:footnoteRef/>
      </w:r>
      <w:r>
        <w:t xml:space="preserve"> </w:t>
      </w:r>
      <w:hyperlink r:id="rId1" w:history="1">
        <w:r w:rsidRPr="00EF7EA1">
          <w:rPr>
            <w:rStyle w:val="Hyperlink"/>
          </w:rPr>
          <w:t>WES Methodology - Recommending health-based workplace exposure standards and notations</w:t>
        </w:r>
      </w:hyperlink>
    </w:p>
  </w:footnote>
  <w:footnote w:id="3">
    <w:p w14:paraId="1E509CB8" w14:textId="77777777" w:rsidR="00B375CC" w:rsidRDefault="00B375CC" w:rsidP="00B375CC">
      <w:pPr>
        <w:pStyle w:val="FootnoteText"/>
      </w:pPr>
      <w:r>
        <w:rPr>
          <w:rStyle w:val="FootnoteReference"/>
        </w:rPr>
        <w:footnoteRef/>
      </w:r>
      <w:r>
        <w:t xml:space="preserve"> </w:t>
      </w:r>
      <w:hyperlink r:id="rId2" w:history="1">
        <w:r w:rsidRPr="00DF64D1">
          <w:rPr>
            <w:rStyle w:val="Hyperlink"/>
          </w:rPr>
          <w:t>Consultation on the workplace exposure limits for 9 chemicals - Safe Work</w:t>
        </w:r>
      </w:hyperlink>
    </w:p>
  </w:footnote>
  <w:footnote w:id="4">
    <w:p w14:paraId="379A11D6" w14:textId="787A8D18" w:rsidR="00602BCD" w:rsidRDefault="00602BCD">
      <w:pPr>
        <w:pStyle w:val="FootnoteText"/>
      </w:pPr>
      <w:r>
        <w:rPr>
          <w:rStyle w:val="FootnoteReference"/>
        </w:rPr>
        <w:footnoteRef/>
      </w:r>
      <w:r>
        <w:t xml:space="preserve"> </w:t>
      </w:r>
      <w:hyperlink r:id="rId3" w:history="1">
        <w:r w:rsidR="0091464F" w:rsidRPr="00B441E0">
          <w:rPr>
            <w:rStyle w:val="Hyperlink"/>
          </w:rPr>
          <w:t>Consultation on the workplace exposure limits for 9 chemicals - Safe Work</w:t>
        </w:r>
      </w:hyperlink>
    </w:p>
  </w:footnote>
  <w:footnote w:id="5">
    <w:p w14:paraId="06A11B3F" w14:textId="422F1D0A" w:rsidR="007479BE" w:rsidRDefault="007479BE">
      <w:pPr>
        <w:pStyle w:val="FootnoteText"/>
      </w:pPr>
      <w:r>
        <w:rPr>
          <w:rStyle w:val="FootnoteReference"/>
        </w:rPr>
        <w:footnoteRef/>
      </w:r>
      <w:r>
        <w:t xml:space="preserve"> </w:t>
      </w:r>
      <w:r w:rsidRPr="008215CF">
        <w:rPr>
          <w:lang w:eastAsia="en-AU"/>
        </w:rPr>
        <w:t xml:space="preserve">This industry list has been informed by </w:t>
      </w:r>
      <w:r w:rsidRPr="006E4C82">
        <w:rPr>
          <w:lang w:eastAsia="en-AU"/>
        </w:rPr>
        <w:t>the N</w:t>
      </w:r>
      <w:r>
        <w:rPr>
          <w:lang w:eastAsia="en-AU"/>
        </w:rPr>
        <w:t xml:space="preserve">ational </w:t>
      </w:r>
      <w:r w:rsidRPr="006E4C82">
        <w:rPr>
          <w:lang w:eastAsia="en-AU"/>
        </w:rPr>
        <w:t>P</w:t>
      </w:r>
      <w:r>
        <w:rPr>
          <w:lang w:eastAsia="en-AU"/>
        </w:rPr>
        <w:t xml:space="preserve">ollutant </w:t>
      </w:r>
      <w:r w:rsidRPr="006E4C82">
        <w:rPr>
          <w:lang w:eastAsia="en-AU"/>
        </w:rPr>
        <w:t>I</w:t>
      </w:r>
      <w:r w:rsidR="00C5031D">
        <w:rPr>
          <w:lang w:eastAsia="en-AU"/>
        </w:rPr>
        <w:t>nventory</w:t>
      </w:r>
      <w:r w:rsidR="00185AAD">
        <w:rPr>
          <w:lang w:eastAsia="en-AU"/>
        </w:rPr>
        <w:t xml:space="preserve"> (NPI)</w:t>
      </w:r>
      <w:r w:rsidRPr="006E4C82">
        <w:rPr>
          <w:lang w:eastAsia="en-AU"/>
        </w:rPr>
        <w:t xml:space="preserve"> and stakeholder engagement at the </w:t>
      </w:r>
      <w:r w:rsidR="006E10A7" w:rsidRPr="00993B73">
        <w:rPr>
          <w:lang w:eastAsia="en-AU"/>
        </w:rPr>
        <w:t>Australian and New Zealand Standard Industrial Classification (</w:t>
      </w:r>
      <w:r w:rsidR="006E10A7" w:rsidRPr="008215CF">
        <w:t>ANZSIC</w:t>
      </w:r>
      <w:r w:rsidR="006E10A7" w:rsidRPr="00993B73">
        <w:rPr>
          <w:lang w:eastAsia="en-AU"/>
        </w:rPr>
        <w:t>) industries</w:t>
      </w:r>
      <w:r w:rsidR="006E10A7">
        <w:rPr>
          <w:lang w:eastAsia="en-AU"/>
        </w:rPr>
        <w:t xml:space="preserve"> at</w:t>
      </w:r>
      <w:r w:rsidR="006E10A7" w:rsidRPr="008215CF">
        <w:t xml:space="preserve"> the ANZSIC </w:t>
      </w:r>
      <w:r w:rsidR="006E10A7">
        <w:rPr>
          <w:lang w:eastAsia="en-AU"/>
        </w:rPr>
        <w:t>Division level.</w:t>
      </w:r>
      <w:r w:rsidR="00185AAD">
        <w:rPr>
          <w:lang w:eastAsia="en-AU"/>
        </w:rPr>
        <w:t xml:space="preserve"> The NPI emissions data records pollutants released by Australian industrial facilities, with mandatory reporting required when chemical emissions exceed NPI-set thresholds, supporting environmental monitoring and regulation. </w:t>
      </w:r>
      <w:r w:rsidR="00185AAD" w:rsidRPr="006E4C82">
        <w:rPr>
          <w:lang w:eastAsia="en-AU"/>
        </w:rPr>
        <w:t xml:space="preserve">Industries not evident in the NPI were identified and informed by </w:t>
      </w:r>
      <w:r w:rsidR="00185AAD" w:rsidRPr="008215CF">
        <w:rPr>
          <w:lang w:eastAsia="en-AU"/>
        </w:rPr>
        <w:t xml:space="preserve">stakeholder engagements with </w:t>
      </w:r>
      <w:r w:rsidR="00185AAD" w:rsidRPr="008215CF">
        <w:t xml:space="preserve">academic experts, jurisdictional WHS and workers’ compensation agencies, occupational hygiene experts, </w:t>
      </w:r>
      <w:r w:rsidR="00807796">
        <w:t>unions</w:t>
      </w:r>
      <w:r w:rsidR="00185AAD" w:rsidRPr="008215CF">
        <w:t xml:space="preserve"> and industry associations.</w:t>
      </w:r>
      <w:r w:rsidR="006E10A7">
        <w:rPr>
          <w:lang w:eastAsia="en-AU"/>
        </w:rPr>
        <w:t xml:space="preserve"> </w:t>
      </w:r>
    </w:p>
  </w:footnote>
  <w:footnote w:id="6">
    <w:p w14:paraId="25F134E2" w14:textId="7B82FBFB" w:rsidR="00D000E7" w:rsidRDefault="00D000E7">
      <w:pPr>
        <w:pStyle w:val="FootnoteText"/>
      </w:pPr>
      <w:r>
        <w:rPr>
          <w:rStyle w:val="FootnoteReference"/>
        </w:rPr>
        <w:footnoteRef/>
      </w:r>
      <w:r>
        <w:t xml:space="preserve"> Unincorporated enterprises and independent contractors are generally not covered under workers’ compensation schemes. Approximately 12 per cent of Australian workers are employed in this way</w:t>
      </w:r>
    </w:p>
  </w:footnote>
  <w:footnote w:id="7">
    <w:p w14:paraId="401FDFAC" w14:textId="172DE550" w:rsidR="009E351A" w:rsidRDefault="009E351A">
      <w:pPr>
        <w:pStyle w:val="FootnoteText"/>
      </w:pPr>
      <w:r>
        <w:rPr>
          <w:rStyle w:val="FootnoteReference"/>
        </w:rPr>
        <w:footnoteRef/>
      </w:r>
      <w:r>
        <w:t xml:space="preserve"> </w:t>
      </w:r>
      <w:r w:rsidR="0018383B">
        <w:t xml:space="preserve">In agreeing the WEL list, where evidence suggested the </w:t>
      </w:r>
      <w:r w:rsidR="009C7977">
        <w:t>current WES</w:t>
      </w:r>
      <w:r w:rsidR="0018383B">
        <w:t xml:space="preserve"> w</w:t>
      </w:r>
      <w:r w:rsidR="009C7977">
        <w:t>as o</w:t>
      </w:r>
      <w:r w:rsidR="0018383B">
        <w:t>verprotective</w:t>
      </w:r>
      <w:r w:rsidR="009C7977">
        <w:t xml:space="preserve">, WHS ministers agreed to increase </w:t>
      </w:r>
      <w:r w:rsidR="006948A7">
        <w:t xml:space="preserve">the limits to reduce unnecessary burden. Ministers also agreed </w:t>
      </w:r>
      <w:r w:rsidR="00CA3D05">
        <w:t>to</w:t>
      </w:r>
      <w:r w:rsidR="006948A7">
        <w:t xml:space="preserve"> remov</w:t>
      </w:r>
      <w:r w:rsidR="00CA3D05">
        <w:t>e</w:t>
      </w:r>
      <w:r w:rsidR="006948A7">
        <w:t xml:space="preserve"> chemicals </w:t>
      </w:r>
      <w:r w:rsidR="00CA3D05">
        <w:t xml:space="preserve">from the WEL list </w:t>
      </w:r>
      <w:r w:rsidR="006948A7">
        <w:t xml:space="preserve">that were </w:t>
      </w:r>
      <w:r w:rsidR="00CA3D05">
        <w:t xml:space="preserve">prohibited </w:t>
      </w:r>
      <w:r w:rsidR="00CA3D05">
        <w:rPr>
          <w:rFonts w:eastAsia="Times New Roman" w:cs="Times New Roman"/>
          <w:lang w:eastAsia="en-AU"/>
        </w:rPr>
        <w:t>for import, manufacture or use in Australia</w:t>
      </w:r>
      <w:r w:rsidR="00421772">
        <w:rPr>
          <w:rFonts w:eastAsia="Times New Roman" w:cs="Times New Roman"/>
          <w:lang w:eastAsia="en-AU"/>
        </w:rPr>
        <w:t xml:space="preserve">. The full list of changes can be found </w:t>
      </w:r>
      <w:r w:rsidR="003D058E">
        <w:rPr>
          <w:rFonts w:eastAsia="Times New Roman" w:cs="Times New Roman"/>
          <w:lang w:eastAsia="en-AU"/>
        </w:rPr>
        <w:t xml:space="preserve">on the </w:t>
      </w:r>
      <w:hyperlink r:id="rId4" w:history="1">
        <w:r w:rsidR="003D058E" w:rsidRPr="003D058E">
          <w:rPr>
            <w:rStyle w:val="Hyperlink"/>
            <w:rFonts w:eastAsia="Times New Roman" w:cs="Times New Roman"/>
            <w:lang w:eastAsia="en-AU"/>
          </w:rPr>
          <w:t>Safe Work Australia website</w:t>
        </w:r>
      </w:hyperlink>
      <w:r w:rsidR="003D058E">
        <w:rPr>
          <w:rFonts w:eastAsia="Times New Roman" w:cs="Times New Roman"/>
          <w:lang w:eastAsia="en-AU"/>
        </w:rPr>
        <w:t>.</w:t>
      </w:r>
      <w:r w:rsidR="003E6C10">
        <w:t xml:space="preserve"> </w:t>
      </w:r>
    </w:p>
  </w:footnote>
  <w:footnote w:id="8">
    <w:p w14:paraId="423AF9F9" w14:textId="77777777" w:rsidR="0014308F" w:rsidRDefault="0014308F" w:rsidP="0014308F">
      <w:pPr>
        <w:pStyle w:val="FootnoteText"/>
      </w:pPr>
      <w:r>
        <w:rPr>
          <w:rStyle w:val="FootnoteReference"/>
        </w:rPr>
        <w:footnoteRef/>
      </w:r>
      <w:r>
        <w:t xml:space="preserve"> Respirable crystalline silica includes respirable cristobalite, quartz, tridymite and tripoli. </w:t>
      </w:r>
    </w:p>
  </w:footnote>
  <w:footnote w:id="9">
    <w:p w14:paraId="27B0C7B1" w14:textId="77777777" w:rsidR="00C03BDE" w:rsidRDefault="00C03BDE" w:rsidP="00C03BDE">
      <w:pPr>
        <w:pStyle w:val="FootnoteText"/>
      </w:pPr>
      <w:r>
        <w:rPr>
          <w:rStyle w:val="FootnoteReference"/>
        </w:rPr>
        <w:footnoteRef/>
      </w:r>
      <w:r>
        <w:t xml:space="preserve"> Direct financial benefits include reduced worker’s compensation claims and medical costs.</w:t>
      </w:r>
    </w:p>
  </w:footnote>
  <w:footnote w:id="10">
    <w:p w14:paraId="43E9AA9E" w14:textId="77777777" w:rsidR="00C03BDE" w:rsidRDefault="00C03BDE" w:rsidP="00C03BDE">
      <w:pPr>
        <w:pStyle w:val="FootnoteText"/>
      </w:pPr>
      <w:r>
        <w:rPr>
          <w:rStyle w:val="FootnoteReference"/>
        </w:rPr>
        <w:footnoteRef/>
      </w:r>
      <w:r>
        <w:t xml:space="preserve"> Improved health outcomes include reduced years of life lost to the occupational disease or illness and reduced years lived with disability. </w:t>
      </w:r>
    </w:p>
  </w:footnote>
  <w:footnote w:id="11">
    <w:p w14:paraId="764336A7" w14:textId="77777777" w:rsidR="00C03BDE" w:rsidRDefault="00C03BDE" w:rsidP="00C03BDE">
      <w:pPr>
        <w:pStyle w:val="FootnoteText"/>
      </w:pPr>
      <w:r>
        <w:rPr>
          <w:rStyle w:val="FootnoteReference"/>
        </w:rPr>
        <w:footnoteRef/>
      </w:r>
      <w:r>
        <w:t xml:space="preserve"> Indirect financial benefits include reduced loss of productivity. </w:t>
      </w:r>
    </w:p>
  </w:footnote>
  <w:footnote w:id="12">
    <w:p w14:paraId="6CC15E4D" w14:textId="77777777" w:rsidR="009911EB" w:rsidRPr="00236C5E" w:rsidRDefault="009911EB" w:rsidP="009911EB">
      <w:pPr>
        <w:pStyle w:val="FootnoteText"/>
        <w:rPr>
          <w:sz w:val="16"/>
          <w:szCs w:val="16"/>
        </w:rPr>
      </w:pPr>
      <w:r w:rsidRPr="00236C5E">
        <w:rPr>
          <w:rStyle w:val="FootnoteReference"/>
          <w:sz w:val="16"/>
          <w:szCs w:val="16"/>
        </w:rPr>
        <w:footnoteRef/>
      </w:r>
      <w:r w:rsidRPr="00236C5E">
        <w:rPr>
          <w:sz w:val="16"/>
          <w:szCs w:val="16"/>
        </w:rPr>
        <w:t xml:space="preserve"> </w:t>
      </w:r>
      <w:r w:rsidRPr="00A931D5">
        <w:t>Benefits have been attributed to the mining industry on a pro-rata basis, based on the relative share of workers affected by the proposed WEL for RCS. The mining industry comprises approximately 19% of affected workers, and therefore, 19% of total RCS benefits have been attributed to the mining industry.</w:t>
      </w:r>
    </w:p>
  </w:footnote>
  <w:footnote w:id="13">
    <w:p w14:paraId="3715A26F" w14:textId="77777777" w:rsidR="00FB720B" w:rsidRPr="00236C5E" w:rsidRDefault="00FB720B" w:rsidP="009911EB">
      <w:pPr>
        <w:pStyle w:val="FootnoteText"/>
        <w:rPr>
          <w:sz w:val="16"/>
          <w:szCs w:val="16"/>
        </w:rPr>
      </w:pPr>
      <w:r w:rsidRPr="00236C5E">
        <w:rPr>
          <w:rStyle w:val="FootnoteReference"/>
          <w:sz w:val="16"/>
          <w:szCs w:val="16"/>
        </w:rPr>
        <w:footnoteRef/>
      </w:r>
      <w:r w:rsidRPr="00236C5E">
        <w:rPr>
          <w:sz w:val="16"/>
          <w:szCs w:val="16"/>
        </w:rPr>
        <w:t xml:space="preserve"> Benefits have been attributed to the mining industry on a pro-rata basis, based on the relative share of workers affected by the proposed WEL for RCS. The mining industry comprises approximately 19% of affected workers, and therefore, 19% of total RCS benefits have been attributed to the mining industry.</w:t>
      </w:r>
    </w:p>
  </w:footnote>
  <w:footnote w:id="14">
    <w:p w14:paraId="5A93C762" w14:textId="77777777" w:rsidR="00FB720B" w:rsidRDefault="00FB720B" w:rsidP="009911EB">
      <w:pPr>
        <w:pStyle w:val="FootnoteText"/>
      </w:pPr>
      <w:r w:rsidRPr="00236C5E">
        <w:rPr>
          <w:rStyle w:val="FootnoteReference"/>
          <w:sz w:val="16"/>
          <w:szCs w:val="16"/>
        </w:rPr>
        <w:footnoteRef/>
      </w:r>
      <w:r w:rsidRPr="00236C5E">
        <w:rPr>
          <w:sz w:val="16"/>
          <w:szCs w:val="16"/>
        </w:rPr>
        <w:t xml:space="preserve"> This analysis applies the standardised costs for small businesses affected by RCS, given no industry-specific cost data was provided for small mining businesses.</w:t>
      </w:r>
    </w:p>
  </w:footnote>
  <w:footnote w:id="15">
    <w:p w14:paraId="565C090F" w14:textId="77777777" w:rsidR="00053BA5" w:rsidRPr="00236C5E" w:rsidRDefault="00053BA5" w:rsidP="00EA7A03">
      <w:pPr>
        <w:pStyle w:val="FootnoteText"/>
        <w:rPr>
          <w:sz w:val="16"/>
          <w:szCs w:val="16"/>
        </w:rPr>
      </w:pPr>
      <w:r w:rsidRPr="00236C5E">
        <w:rPr>
          <w:rStyle w:val="FootnoteReference"/>
          <w:sz w:val="16"/>
          <w:szCs w:val="16"/>
        </w:rPr>
        <w:footnoteRef/>
      </w:r>
      <w:r w:rsidRPr="00236C5E">
        <w:rPr>
          <w:sz w:val="16"/>
          <w:szCs w:val="16"/>
        </w:rPr>
        <w:t xml:space="preserve"> Benefits have been attributed to the mining industry on a pro-rata basis, based on the relative share of workers affected by the proposed WEL for RCS. The mining industry comprises approximately 19% of affected workers, and therefore, 19% of total RCS benefits have been attributed to the mining industry.</w:t>
      </w:r>
    </w:p>
  </w:footnote>
  <w:footnote w:id="16">
    <w:p w14:paraId="4BE3EE74" w14:textId="2484CC75" w:rsidR="006B2054" w:rsidRDefault="004364D9">
      <w:pPr>
        <w:pStyle w:val="FootnoteText"/>
      </w:pPr>
      <w:r>
        <w:rPr>
          <w:rStyle w:val="FootnoteReference"/>
        </w:rPr>
        <w:footnoteRef/>
      </w:r>
      <w:r>
        <w:t xml:space="preserve"> </w:t>
      </w:r>
      <w:hyperlink r:id="rId5" w:history="1">
        <w:r w:rsidR="006B2054" w:rsidRPr="002056BC">
          <w:rPr>
            <w:rStyle w:val="Hyperlink"/>
          </w:rPr>
          <w:t>Cancer Council Australia</w:t>
        </w:r>
      </w:hyperlink>
    </w:p>
  </w:footnote>
  <w:footnote w:id="17">
    <w:p w14:paraId="6E234297" w14:textId="63C1BA6B" w:rsidR="006B2054" w:rsidRDefault="006B2054">
      <w:pPr>
        <w:pStyle w:val="FootnoteText"/>
      </w:pPr>
      <w:r>
        <w:rPr>
          <w:rStyle w:val="FootnoteReference"/>
        </w:rPr>
        <w:footnoteRef/>
      </w:r>
      <w:r>
        <w:t xml:space="preserve"> </w:t>
      </w:r>
      <w:hyperlink r:id="rId6" w:history="1">
        <w:r w:rsidR="002C0F10" w:rsidRPr="002056BC">
          <w:rPr>
            <w:rStyle w:val="Hyperlink"/>
          </w:rPr>
          <w:t>Australian Council of Trade Unions</w:t>
        </w:r>
      </w:hyperlink>
    </w:p>
  </w:footnote>
  <w:footnote w:id="18">
    <w:p w14:paraId="74DAF942" w14:textId="60ADBEDF" w:rsidR="0004394D" w:rsidRDefault="0004394D">
      <w:pPr>
        <w:pStyle w:val="FootnoteText"/>
      </w:pPr>
      <w:r>
        <w:rPr>
          <w:rStyle w:val="FootnoteReference"/>
        </w:rPr>
        <w:footnoteRef/>
      </w:r>
      <w:r>
        <w:t xml:space="preserve"> </w:t>
      </w:r>
      <w:hyperlink r:id="rId7" w:history="1">
        <w:r w:rsidRPr="00A52E77">
          <w:rPr>
            <w:rStyle w:val="Hyperlink"/>
          </w:rPr>
          <w:t>Master Builders Australia</w:t>
        </w:r>
      </w:hyperlink>
    </w:p>
  </w:footnote>
  <w:footnote w:id="19">
    <w:p w14:paraId="29B936E8" w14:textId="35905495" w:rsidR="0046008F" w:rsidRDefault="0046008F">
      <w:pPr>
        <w:pStyle w:val="FootnoteText"/>
      </w:pPr>
      <w:r>
        <w:rPr>
          <w:rStyle w:val="FootnoteReference"/>
        </w:rPr>
        <w:footnoteRef/>
      </w:r>
      <w:r>
        <w:t xml:space="preserve"> </w:t>
      </w:r>
      <w:hyperlink r:id="rId8" w:history="1">
        <w:r w:rsidRPr="00782571">
          <w:rPr>
            <w:rStyle w:val="Hyperlink"/>
          </w:rPr>
          <w:t>Water Services Association of Australia</w:t>
        </w:r>
      </w:hyperlink>
    </w:p>
  </w:footnote>
  <w:footnote w:id="20">
    <w:p w14:paraId="2F39D5FB" w14:textId="77777777" w:rsidR="0050641D" w:rsidRDefault="0050641D" w:rsidP="0050641D">
      <w:pPr>
        <w:pStyle w:val="FootnoteText"/>
      </w:pPr>
      <w:r>
        <w:rPr>
          <w:rStyle w:val="FootnoteReference"/>
        </w:rPr>
        <w:footnoteRef/>
      </w:r>
      <w:r>
        <w:t xml:space="preserve"> The evaluation report for benzene can be accessed </w:t>
      </w:r>
      <w:hyperlink r:id="rId9" w:history="1">
        <w:r w:rsidRPr="00260925">
          <w:rPr>
            <w:rStyle w:val="Hyperlink"/>
          </w:rPr>
          <w:t>here</w:t>
        </w:r>
      </w:hyperlink>
      <w:r>
        <w:t>.</w:t>
      </w:r>
    </w:p>
  </w:footnote>
  <w:footnote w:id="21">
    <w:p w14:paraId="6CE98E51" w14:textId="39914F39" w:rsidR="00373C1C" w:rsidRDefault="00373C1C">
      <w:pPr>
        <w:pStyle w:val="FootnoteText"/>
      </w:pPr>
      <w:r>
        <w:rPr>
          <w:rStyle w:val="FootnoteReference"/>
        </w:rPr>
        <w:footnoteRef/>
      </w:r>
      <w:r>
        <w:t xml:space="preserve"> </w:t>
      </w:r>
      <w:hyperlink r:id="rId10" w:history="1">
        <w:r w:rsidR="00CA6FBA" w:rsidRPr="00371C38">
          <w:rPr>
            <w:rStyle w:val="Hyperlink"/>
          </w:rPr>
          <w:t xml:space="preserve">Cancer Council </w:t>
        </w:r>
        <w:r w:rsidR="00184252" w:rsidRPr="00371C38">
          <w:rPr>
            <w:rStyle w:val="Hyperlink"/>
          </w:rPr>
          <w:t>Australia</w:t>
        </w:r>
      </w:hyperlink>
    </w:p>
  </w:footnote>
  <w:footnote w:id="22">
    <w:p w14:paraId="21782570" w14:textId="77777777" w:rsidR="003D0A99" w:rsidRDefault="003D0A99" w:rsidP="003D0A99">
      <w:pPr>
        <w:pStyle w:val="FootnoteText"/>
      </w:pPr>
      <w:r w:rsidRPr="00D22E0E">
        <w:rPr>
          <w:rStyle w:val="FootnoteReference"/>
        </w:rPr>
        <w:footnoteRef/>
      </w:r>
      <w:r w:rsidRPr="00D22E0E">
        <w:t xml:space="preserve"> </w:t>
      </w:r>
      <w:hyperlink r:id="rId11" w:history="1">
        <w:r w:rsidRPr="00D22E0E">
          <w:rPr>
            <w:rStyle w:val="Hyperlink"/>
          </w:rPr>
          <w:t>Department of Defence</w:t>
        </w:r>
      </w:hyperlink>
    </w:p>
  </w:footnote>
  <w:footnote w:id="23">
    <w:p w14:paraId="6319D316" w14:textId="77777777" w:rsidR="00032A01" w:rsidRPr="0003479C" w:rsidRDefault="00032A01" w:rsidP="00032A01">
      <w:pPr>
        <w:pStyle w:val="FootnoteText"/>
        <w:rPr>
          <w:sz w:val="16"/>
          <w:szCs w:val="16"/>
        </w:rPr>
      </w:pPr>
      <w:r w:rsidRPr="00B64384">
        <w:rPr>
          <w:rStyle w:val="FootnoteReference"/>
        </w:rPr>
        <w:footnoteRef/>
      </w:r>
      <w:r w:rsidRPr="00B64384">
        <w:t xml:space="preserve"> Submissions from </w:t>
      </w:r>
      <w:hyperlink r:id="rId12" w:history="1">
        <w:r w:rsidRPr="00B64384">
          <w:rPr>
            <w:rStyle w:val="Hyperlink"/>
          </w:rPr>
          <w:t>Department of Defence</w:t>
        </w:r>
      </w:hyperlink>
      <w:r w:rsidRPr="00B64384">
        <w:t xml:space="preserve"> and </w:t>
      </w:r>
      <w:hyperlink r:id="rId13" w:history="1">
        <w:r w:rsidRPr="00B64384">
          <w:rPr>
            <w:rStyle w:val="Hyperlink"/>
          </w:rPr>
          <w:t>Robyn Schofield</w:t>
        </w:r>
      </w:hyperlink>
    </w:p>
  </w:footnote>
  <w:footnote w:id="24">
    <w:p w14:paraId="735C17CF" w14:textId="584C7C92" w:rsidR="00483830" w:rsidRPr="00D22E0E" w:rsidRDefault="00483830">
      <w:pPr>
        <w:pStyle w:val="FootnoteText"/>
      </w:pPr>
      <w:r w:rsidRPr="00D22E0E">
        <w:rPr>
          <w:rStyle w:val="FootnoteReference"/>
        </w:rPr>
        <w:footnoteRef/>
      </w:r>
      <w:r w:rsidRPr="00D22E0E">
        <w:t xml:space="preserve"> </w:t>
      </w:r>
      <w:hyperlink r:id="rId14" w:history="1">
        <w:r w:rsidRPr="00D22E0E">
          <w:rPr>
            <w:rStyle w:val="Hyperlink"/>
          </w:rPr>
          <w:t>Forbes McGain</w:t>
        </w:r>
      </w:hyperlink>
    </w:p>
  </w:footnote>
  <w:footnote w:id="25">
    <w:p w14:paraId="2C2153DE" w14:textId="2479EF49" w:rsidR="006F6848" w:rsidRDefault="006F6848" w:rsidP="006F6848">
      <w:pPr>
        <w:pStyle w:val="FootnoteText"/>
      </w:pPr>
      <w:r>
        <w:rPr>
          <w:rStyle w:val="FootnoteReference"/>
        </w:rPr>
        <w:footnoteRef/>
      </w:r>
      <w:r>
        <w:t xml:space="preserve"> Anonymous (</w:t>
      </w:r>
      <w:r w:rsidR="00B11701">
        <w:t>p</w:t>
      </w:r>
      <w:r>
        <w:t>ermission not granted for publication)</w:t>
      </w:r>
    </w:p>
  </w:footnote>
  <w:footnote w:id="26">
    <w:p w14:paraId="50906ECA" w14:textId="6AF4D5BA" w:rsidR="00453F10" w:rsidRDefault="00453F10">
      <w:pPr>
        <w:pStyle w:val="FootnoteText"/>
      </w:pPr>
      <w:r>
        <w:rPr>
          <w:rStyle w:val="FootnoteReference"/>
        </w:rPr>
        <w:footnoteRef/>
      </w:r>
      <w:r>
        <w:t xml:space="preserve"> </w:t>
      </w:r>
      <w:hyperlink r:id="rId15" w:history="1">
        <w:r w:rsidRPr="00453F10">
          <w:rPr>
            <w:rStyle w:val="Hyperlink"/>
          </w:rPr>
          <w:t>Department of Defence</w:t>
        </w:r>
      </w:hyperlink>
    </w:p>
  </w:footnote>
  <w:footnote w:id="27">
    <w:p w14:paraId="7E87AB17" w14:textId="74DD9783" w:rsidR="00F36D97" w:rsidRDefault="00F36D97">
      <w:pPr>
        <w:pStyle w:val="FootnoteText"/>
      </w:pPr>
      <w:r w:rsidRPr="00D22E0E">
        <w:rPr>
          <w:rStyle w:val="FootnoteReference"/>
        </w:rPr>
        <w:footnoteRef/>
      </w:r>
      <w:r w:rsidRPr="00D22E0E">
        <w:t xml:space="preserve"> </w:t>
      </w:r>
      <w:r w:rsidR="00AB7DFA">
        <w:t>Submissions from Anonymous (</w:t>
      </w:r>
      <w:r w:rsidR="000F1175">
        <w:t>p</w:t>
      </w:r>
      <w:r w:rsidR="00AB7DFA">
        <w:t xml:space="preserve">ermission not granted for publication) and </w:t>
      </w:r>
      <w:hyperlink r:id="rId16" w:history="1">
        <w:r w:rsidRPr="00D22E0E">
          <w:rPr>
            <w:rStyle w:val="Hyperlink"/>
          </w:rPr>
          <w:t>Anonymous</w:t>
        </w:r>
      </w:hyperlink>
    </w:p>
  </w:footnote>
  <w:footnote w:id="28">
    <w:p w14:paraId="63884E16" w14:textId="740A6E2E" w:rsidR="00464AAD" w:rsidRDefault="00464AAD" w:rsidP="00464AAD">
      <w:pPr>
        <w:pStyle w:val="FootnoteText"/>
      </w:pPr>
      <w:r>
        <w:rPr>
          <w:rStyle w:val="FootnoteReference"/>
        </w:rPr>
        <w:footnoteRef/>
      </w:r>
      <w:r>
        <w:t xml:space="preserve"> </w:t>
      </w:r>
      <w:r w:rsidR="00DC3EE9">
        <w:t xml:space="preserve">Submissions from </w:t>
      </w:r>
      <w:hyperlink r:id="rId17" w:history="1">
        <w:r w:rsidRPr="00433F33">
          <w:rPr>
            <w:rStyle w:val="Hyperlink"/>
          </w:rPr>
          <w:t>Anonymous</w:t>
        </w:r>
      </w:hyperlink>
      <w:r w:rsidR="00DC3EE9">
        <w:t xml:space="preserve">, </w:t>
      </w:r>
      <w:hyperlink r:id="rId18" w:history="1">
        <w:r w:rsidR="00DC3EE9" w:rsidRPr="00C47854">
          <w:rPr>
            <w:rStyle w:val="Hyperlink"/>
          </w:rPr>
          <w:t>Department of Energy, Mines, Industry Regulation and Safety - WorkSafe Group (Western Australia)</w:t>
        </w:r>
      </w:hyperlink>
      <w:r w:rsidR="006A5628">
        <w:t xml:space="preserve">, </w:t>
      </w:r>
      <w:hyperlink r:id="rId19" w:history="1">
        <w:r w:rsidR="006A5628" w:rsidRPr="00876EA8">
          <w:rPr>
            <w:rStyle w:val="Hyperlink"/>
          </w:rPr>
          <w:t>Australian Council of Trade Unions</w:t>
        </w:r>
      </w:hyperlink>
      <w:r w:rsidR="003C6804">
        <w:t>,</w:t>
      </w:r>
      <w:r w:rsidR="006A5628">
        <w:t xml:space="preserve"> </w:t>
      </w:r>
      <w:r w:rsidR="007223EF">
        <w:t>Anonymous (</w:t>
      </w:r>
      <w:r w:rsidR="002E7191">
        <w:t>p</w:t>
      </w:r>
      <w:r w:rsidR="007223EF">
        <w:t xml:space="preserve">ermission not granted for publication) </w:t>
      </w:r>
      <w:r w:rsidR="006A5628">
        <w:t xml:space="preserve">and </w:t>
      </w:r>
      <w:hyperlink r:id="rId20" w:history="1">
        <w:r w:rsidR="006A5628" w:rsidRPr="004D6E03">
          <w:rPr>
            <w:rStyle w:val="Hyperlink"/>
          </w:rPr>
          <w:t xml:space="preserve">Minerals Council </w:t>
        </w:r>
        <w:r w:rsidR="004D6E03" w:rsidRPr="004D6E03">
          <w:rPr>
            <w:rStyle w:val="Hyperlink"/>
          </w:rPr>
          <w:t xml:space="preserve">of </w:t>
        </w:r>
        <w:r w:rsidR="006A5628" w:rsidRPr="004D6E03">
          <w:rPr>
            <w:rStyle w:val="Hyperlink"/>
          </w:rPr>
          <w:t>Australia</w:t>
        </w:r>
      </w:hyperlink>
    </w:p>
  </w:footnote>
  <w:footnote w:id="29">
    <w:p w14:paraId="112758BB" w14:textId="5DC81433" w:rsidR="00464AAD" w:rsidRDefault="00464AAD">
      <w:pPr>
        <w:pStyle w:val="FootnoteText"/>
      </w:pPr>
      <w:r>
        <w:rPr>
          <w:rStyle w:val="FootnoteReference"/>
        </w:rPr>
        <w:footnoteRef/>
      </w:r>
      <w:r>
        <w:t xml:space="preserve"> </w:t>
      </w:r>
      <w:hyperlink r:id="rId21" w:history="1">
        <w:r w:rsidR="00646D3A" w:rsidRPr="00646D3A">
          <w:rPr>
            <w:rStyle w:val="Hyperlink"/>
          </w:rPr>
          <w:t>Department of Energy, Mines, Industry Regulation and Safety - WorkSafe Group (Western Australia)</w:t>
        </w:r>
      </w:hyperlink>
    </w:p>
  </w:footnote>
  <w:footnote w:id="30">
    <w:p w14:paraId="50AD38AB" w14:textId="1D7D21F1" w:rsidR="000A21BB" w:rsidRDefault="000A21BB">
      <w:pPr>
        <w:pStyle w:val="FootnoteText"/>
      </w:pPr>
      <w:r>
        <w:rPr>
          <w:rStyle w:val="FootnoteReference"/>
        </w:rPr>
        <w:footnoteRef/>
      </w:r>
      <w:r>
        <w:t xml:space="preserve"> </w:t>
      </w:r>
      <w:r w:rsidR="00A65EEF">
        <w:t xml:space="preserve">Submissions from </w:t>
      </w:r>
      <w:hyperlink r:id="rId22" w:history="1">
        <w:bookmarkStart w:id="95" w:name="_Hlt209520544"/>
        <w:bookmarkStart w:id="96" w:name="_Hlt209520543"/>
        <w:r w:rsidR="00646D3A" w:rsidRPr="009B4960">
          <w:rPr>
            <w:rStyle w:val="Hyperlink"/>
          </w:rPr>
          <w:t>Dep</w:t>
        </w:r>
        <w:r w:rsidR="006B0207">
          <w:rPr>
            <w:rStyle w:val="Hyperlink"/>
          </w:rPr>
          <w:t>artmen</w:t>
        </w:r>
        <w:r w:rsidR="00646D3A" w:rsidRPr="009B4960">
          <w:rPr>
            <w:rStyle w:val="Hyperlink"/>
          </w:rPr>
          <w:t>t of Defence</w:t>
        </w:r>
        <w:bookmarkEnd w:id="95"/>
        <w:bookmarkEnd w:id="96"/>
      </w:hyperlink>
      <w:r w:rsidR="00EE4027">
        <w:t>,</w:t>
      </w:r>
      <w:r w:rsidR="00EE4027" w:rsidRPr="00EE4027">
        <w:t xml:space="preserve"> </w:t>
      </w:r>
      <w:hyperlink r:id="rId23" w:history="1">
        <w:r w:rsidR="00EE4027" w:rsidRPr="00A025E4">
          <w:rPr>
            <w:rStyle w:val="Hyperlink"/>
          </w:rPr>
          <w:t>Robyn Schofield</w:t>
        </w:r>
      </w:hyperlink>
      <w:r w:rsidR="00CE7206">
        <w:t>,</w:t>
      </w:r>
      <w:r w:rsidR="00EE4027">
        <w:t xml:space="preserve"> and </w:t>
      </w:r>
      <w:hyperlink r:id="rId24" w:history="1">
        <w:r w:rsidR="00EC37D5" w:rsidRPr="00BD658C">
          <w:rPr>
            <w:rStyle w:val="Hyperlink"/>
          </w:rPr>
          <w:t xml:space="preserve">Victorian Trades </w:t>
        </w:r>
        <w:bookmarkStart w:id="97" w:name="_Hlt209512404"/>
        <w:bookmarkStart w:id="98" w:name="_Hlt209512405"/>
        <w:r w:rsidR="00EC37D5" w:rsidRPr="00BD658C">
          <w:rPr>
            <w:rStyle w:val="Hyperlink"/>
          </w:rPr>
          <w:t>H</w:t>
        </w:r>
        <w:bookmarkEnd w:id="97"/>
        <w:bookmarkEnd w:id="98"/>
        <w:r w:rsidR="00EC37D5" w:rsidRPr="00BD658C">
          <w:rPr>
            <w:rStyle w:val="Hyperlink"/>
          </w:rPr>
          <w:t>all Council</w:t>
        </w:r>
      </w:hyperlink>
    </w:p>
  </w:footnote>
  <w:footnote w:id="31">
    <w:p w14:paraId="46942CC2" w14:textId="4F31C2A3" w:rsidR="00D407FE" w:rsidRDefault="00D407FE">
      <w:pPr>
        <w:pStyle w:val="FootnoteText"/>
      </w:pPr>
      <w:r>
        <w:rPr>
          <w:rStyle w:val="FootnoteReference"/>
        </w:rPr>
        <w:footnoteRef/>
      </w:r>
      <w:r>
        <w:t xml:space="preserve"> </w:t>
      </w:r>
      <w:r w:rsidR="00AD2D1A">
        <w:t xml:space="preserve"> Submissions by Anonymous (</w:t>
      </w:r>
      <w:r w:rsidR="00F71A9D">
        <w:t>p</w:t>
      </w:r>
      <w:r w:rsidR="00AD2D1A">
        <w:t xml:space="preserve">ermission not granted for publication) and </w:t>
      </w:r>
      <w:hyperlink r:id="rId25" w:history="1">
        <w:r w:rsidR="007E2D10" w:rsidRPr="007E2D10">
          <w:rPr>
            <w:rStyle w:val="Hyperlink"/>
          </w:rPr>
          <w:t>Anonymous</w:t>
        </w:r>
      </w:hyperlink>
    </w:p>
  </w:footnote>
  <w:footnote w:id="32">
    <w:p w14:paraId="057D7D64" w14:textId="4B036B9C" w:rsidR="007E2D10" w:rsidRDefault="007E2D10">
      <w:pPr>
        <w:pStyle w:val="FootnoteText"/>
      </w:pPr>
      <w:r>
        <w:rPr>
          <w:rStyle w:val="FootnoteReference"/>
        </w:rPr>
        <w:footnoteRef/>
      </w:r>
      <w:r>
        <w:t xml:space="preserve"> </w:t>
      </w:r>
      <w:hyperlink r:id="rId26" w:history="1">
        <w:r w:rsidRPr="00626394">
          <w:rPr>
            <w:rStyle w:val="Hyperlink"/>
          </w:rPr>
          <w:t>Cancer Council Australia</w:t>
        </w:r>
      </w:hyperlink>
    </w:p>
  </w:footnote>
  <w:footnote w:id="33">
    <w:p w14:paraId="70A4C634" w14:textId="1172D3FF" w:rsidR="005C449F" w:rsidRDefault="005C449F">
      <w:pPr>
        <w:pStyle w:val="FootnoteText"/>
      </w:pPr>
      <w:r>
        <w:rPr>
          <w:rStyle w:val="FootnoteReference"/>
        </w:rPr>
        <w:footnoteRef/>
      </w:r>
      <w:r>
        <w:t xml:space="preserve"> Submissions from Anonymous (</w:t>
      </w:r>
      <w:r w:rsidR="00F71A9D">
        <w:t>p</w:t>
      </w:r>
      <w:r>
        <w:t>ermission not granted for publication) and Anonymous (</w:t>
      </w:r>
      <w:r w:rsidR="002D3FAA">
        <w:t>p</w:t>
      </w:r>
      <w:r>
        <w:t>ermission not granted for publication)</w:t>
      </w:r>
    </w:p>
  </w:footnote>
  <w:footnote w:id="34">
    <w:p w14:paraId="00F184CB" w14:textId="4A9F6E3B" w:rsidR="00A917F5" w:rsidRDefault="00A917F5">
      <w:pPr>
        <w:pStyle w:val="FootnoteText"/>
      </w:pPr>
      <w:r>
        <w:rPr>
          <w:rStyle w:val="FootnoteReference"/>
        </w:rPr>
        <w:footnoteRef/>
      </w:r>
      <w:r>
        <w:t xml:space="preserve"> </w:t>
      </w:r>
      <w:r w:rsidR="00EE4027">
        <w:t xml:space="preserve">Submissions from </w:t>
      </w:r>
      <w:hyperlink r:id="rId27" w:history="1">
        <w:r w:rsidR="00724B7C" w:rsidRPr="00724B7C">
          <w:rPr>
            <w:rStyle w:val="Hyperlink"/>
          </w:rPr>
          <w:t>Chemistry Australia</w:t>
        </w:r>
      </w:hyperlink>
      <w:r w:rsidR="00EE4027">
        <w:t xml:space="preserve">, </w:t>
      </w:r>
      <w:hyperlink r:id="rId28" w:history="1">
        <w:bookmarkStart w:id="99" w:name="_Hlt209514139"/>
        <w:bookmarkStart w:id="100" w:name="_Hlt209514138"/>
        <w:r w:rsidR="00EE4027" w:rsidRPr="00FD1C5E">
          <w:rPr>
            <w:rStyle w:val="Hyperlink"/>
          </w:rPr>
          <w:t>Australian Chamber of Commerce and Industry</w:t>
        </w:r>
        <w:bookmarkEnd w:id="99"/>
        <w:bookmarkEnd w:id="100"/>
      </w:hyperlink>
      <w:r w:rsidR="003C50B0">
        <w:t>,</w:t>
      </w:r>
      <w:r w:rsidR="00EE4027">
        <w:t xml:space="preserve"> and </w:t>
      </w:r>
      <w:hyperlink r:id="rId29" w:history="1">
        <w:r w:rsidR="00EE4027" w:rsidRPr="00FD1C5E">
          <w:rPr>
            <w:rStyle w:val="Hyperlink"/>
          </w:rPr>
          <w:t>Australian Industry Group</w:t>
        </w:r>
      </w:hyperlink>
    </w:p>
  </w:footnote>
  <w:footnote w:id="35">
    <w:p w14:paraId="2720FD8F" w14:textId="13EFA2BE" w:rsidR="00DB75C8" w:rsidRDefault="00DB75C8">
      <w:pPr>
        <w:pStyle w:val="FootnoteText"/>
      </w:pPr>
      <w:r>
        <w:rPr>
          <w:rStyle w:val="FootnoteReference"/>
        </w:rPr>
        <w:footnoteRef/>
      </w:r>
      <w:r>
        <w:t xml:space="preserve"> </w:t>
      </w:r>
      <w:r w:rsidR="00B96862">
        <w:t>Submissions from</w:t>
      </w:r>
      <w:r w:rsidR="00E3703D">
        <w:t xml:space="preserve"> Anonymous (</w:t>
      </w:r>
      <w:r w:rsidR="002D3FAA">
        <w:t>p</w:t>
      </w:r>
      <w:r w:rsidR="00E3703D">
        <w:t>ermission not granted for publication)</w:t>
      </w:r>
      <w:r w:rsidR="00B96862">
        <w:t xml:space="preserve"> </w:t>
      </w:r>
      <w:hyperlink r:id="rId30" w:history="1">
        <w:r w:rsidR="00EB1AFE" w:rsidRPr="00EB1AFE">
          <w:rPr>
            <w:rStyle w:val="Hyperlink"/>
          </w:rPr>
          <w:t>Australian Chamber of Commerce and Industry</w:t>
        </w:r>
      </w:hyperlink>
      <w:r w:rsidR="00CE7206">
        <w:t>,</w:t>
      </w:r>
      <w:r w:rsidR="00B96862">
        <w:t xml:space="preserve"> and </w:t>
      </w:r>
      <w:hyperlink r:id="rId31" w:history="1">
        <w:r w:rsidR="00B96862" w:rsidRPr="00140303">
          <w:rPr>
            <w:rStyle w:val="Hyperlink"/>
          </w:rPr>
          <w:t>Australian Industry Group</w:t>
        </w:r>
      </w:hyperlink>
    </w:p>
  </w:footnote>
  <w:footnote w:id="36">
    <w:p w14:paraId="7E3D69DA" w14:textId="5799206C" w:rsidR="00BB5A9F" w:rsidRDefault="00BB5A9F" w:rsidP="00BB5A9F">
      <w:pPr>
        <w:pStyle w:val="FootnoteText"/>
      </w:pPr>
      <w:r>
        <w:rPr>
          <w:rStyle w:val="FootnoteReference"/>
        </w:rPr>
        <w:footnoteRef/>
      </w:r>
      <w:r>
        <w:t xml:space="preserve"> </w:t>
      </w:r>
      <w:r w:rsidR="006B6908">
        <w:t xml:space="preserve">Submissions from </w:t>
      </w:r>
      <w:hyperlink r:id="rId32" w:history="1">
        <w:bookmarkStart w:id="101" w:name="_Hlt209514174"/>
        <w:bookmarkStart w:id="102" w:name="_Hlt209514173"/>
        <w:r w:rsidRPr="00EB1AFE">
          <w:rPr>
            <w:rStyle w:val="Hyperlink"/>
          </w:rPr>
          <w:t>Australian Chamber of Commerce and Industry</w:t>
        </w:r>
        <w:bookmarkEnd w:id="101"/>
        <w:bookmarkEnd w:id="102"/>
      </w:hyperlink>
      <w:r w:rsidR="00CE7206">
        <w:t>,</w:t>
      </w:r>
      <w:r w:rsidR="00B96862">
        <w:t xml:space="preserve"> and </w:t>
      </w:r>
      <w:hyperlink r:id="rId33" w:history="1">
        <w:r w:rsidR="00B96862" w:rsidRPr="00BD1023">
          <w:rPr>
            <w:rStyle w:val="Hyperlink"/>
          </w:rPr>
          <w:t>Australian Industry Group</w:t>
        </w:r>
      </w:hyperlink>
    </w:p>
  </w:footnote>
  <w:footnote w:id="37">
    <w:p w14:paraId="35C58752" w14:textId="571D47A5" w:rsidR="004F62EF" w:rsidRDefault="004F62EF">
      <w:pPr>
        <w:pStyle w:val="FootnoteText"/>
      </w:pPr>
      <w:r>
        <w:rPr>
          <w:rStyle w:val="FootnoteReference"/>
        </w:rPr>
        <w:footnoteRef/>
      </w:r>
      <w:r>
        <w:t xml:space="preserve"> Anonymous (</w:t>
      </w:r>
      <w:r w:rsidR="00BB3FAA">
        <w:t>p</w:t>
      </w:r>
      <w:r>
        <w:t>ermission not granted for publication)</w:t>
      </w:r>
    </w:p>
  </w:footnote>
  <w:footnote w:id="38">
    <w:p w14:paraId="088ED941" w14:textId="574BD1C4" w:rsidR="00D40925" w:rsidRDefault="00D40925">
      <w:pPr>
        <w:pStyle w:val="FootnoteText"/>
      </w:pPr>
      <w:r>
        <w:rPr>
          <w:rStyle w:val="FootnoteReference"/>
        </w:rPr>
        <w:footnoteRef/>
      </w:r>
      <w:r>
        <w:t xml:space="preserve"> Anonymous (</w:t>
      </w:r>
      <w:r w:rsidR="00E25B63">
        <w:t>p</w:t>
      </w:r>
      <w:r>
        <w:t>ermission not granted for publication)</w:t>
      </w:r>
    </w:p>
  </w:footnote>
  <w:footnote w:id="39">
    <w:p w14:paraId="5E154591" w14:textId="77FD908A" w:rsidR="00AA068B" w:rsidRDefault="00AA068B">
      <w:pPr>
        <w:pStyle w:val="FootnoteText"/>
      </w:pPr>
      <w:r>
        <w:rPr>
          <w:rStyle w:val="FootnoteReference"/>
        </w:rPr>
        <w:footnoteRef/>
      </w:r>
      <w:r>
        <w:t xml:space="preserve"> </w:t>
      </w:r>
      <w:hyperlink r:id="rId34" w:history="1">
        <w:r w:rsidRPr="00097C15">
          <w:rPr>
            <w:rStyle w:val="Hyperlink"/>
          </w:rPr>
          <w:t>Forbes McGain</w:t>
        </w:r>
      </w:hyperlink>
    </w:p>
  </w:footnote>
  <w:footnote w:id="40">
    <w:p w14:paraId="26C4AA73" w14:textId="6C0A0A96" w:rsidR="004B0408" w:rsidRDefault="004B0408">
      <w:pPr>
        <w:pStyle w:val="FootnoteText"/>
      </w:pPr>
      <w:r>
        <w:rPr>
          <w:rStyle w:val="FootnoteReference"/>
        </w:rPr>
        <w:footnoteRef/>
      </w:r>
      <w:r>
        <w:t xml:space="preserve"> </w:t>
      </w:r>
      <w:hyperlink r:id="rId35" w:history="1">
        <w:r w:rsidRPr="00A025E4">
          <w:rPr>
            <w:rStyle w:val="Hyperlink"/>
          </w:rPr>
          <w:t>Robyn Schofield</w:t>
        </w:r>
      </w:hyperlink>
    </w:p>
  </w:footnote>
  <w:footnote w:id="41">
    <w:p w14:paraId="5D283056" w14:textId="0CECDABD" w:rsidR="00865489" w:rsidRDefault="00865489">
      <w:pPr>
        <w:pStyle w:val="FootnoteText"/>
      </w:pPr>
      <w:r>
        <w:rPr>
          <w:rStyle w:val="FootnoteReference"/>
        </w:rPr>
        <w:footnoteRef/>
      </w:r>
      <w:r>
        <w:t xml:space="preserve"> </w:t>
      </w:r>
      <w:r w:rsidR="001872D6">
        <w:t xml:space="preserve">Submissions from </w:t>
      </w:r>
      <w:hyperlink r:id="rId36" w:history="1">
        <w:bookmarkStart w:id="104" w:name="_Hlt209514188"/>
        <w:bookmarkStart w:id="105" w:name="_Hlt209514187"/>
        <w:r w:rsidR="00A472BE" w:rsidRPr="00A472BE">
          <w:rPr>
            <w:rStyle w:val="Hyperlink"/>
          </w:rPr>
          <w:t>Australian Chamber of Commerce and Industry</w:t>
        </w:r>
        <w:bookmarkEnd w:id="104"/>
        <w:bookmarkEnd w:id="105"/>
      </w:hyperlink>
      <w:r w:rsidR="001872D6">
        <w:t xml:space="preserve"> and Anonymous (</w:t>
      </w:r>
      <w:r w:rsidR="00E25B63">
        <w:t>p</w:t>
      </w:r>
      <w:r w:rsidR="001872D6">
        <w:t>ermission not granted for publication)</w:t>
      </w:r>
    </w:p>
  </w:footnote>
  <w:footnote w:id="42">
    <w:p w14:paraId="48628675" w14:textId="1571FACA" w:rsidR="00A472BE" w:rsidRDefault="00A472BE">
      <w:pPr>
        <w:pStyle w:val="FootnoteText"/>
      </w:pPr>
      <w:r>
        <w:rPr>
          <w:rStyle w:val="FootnoteReference"/>
        </w:rPr>
        <w:footnoteRef/>
      </w:r>
      <w:r>
        <w:t xml:space="preserve"> </w:t>
      </w:r>
      <w:hyperlink r:id="rId37" w:history="1">
        <w:r w:rsidRPr="00A472BE">
          <w:rPr>
            <w:rStyle w:val="Hyperlink"/>
          </w:rPr>
          <w:t>Anonymous</w:t>
        </w:r>
      </w:hyperlink>
    </w:p>
  </w:footnote>
  <w:footnote w:id="43">
    <w:p w14:paraId="7D31D2AB" w14:textId="43CF26EB" w:rsidR="00993D18" w:rsidRDefault="00993D18">
      <w:pPr>
        <w:pStyle w:val="FootnoteText"/>
      </w:pPr>
      <w:r w:rsidRPr="00993D18">
        <w:rPr>
          <w:vertAlign w:val="superscript"/>
        </w:rPr>
        <w:footnoteRef/>
      </w:r>
      <w:r w:rsidRPr="00993D18">
        <w:t xml:space="preserve"> </w:t>
      </w:r>
      <w:hyperlink r:id="rId38" w:history="1">
        <w:r w:rsidRPr="00993D18">
          <w:rPr>
            <w:rStyle w:val="Hyperlink"/>
          </w:rPr>
          <w:t>Department of Energy, Mines, Industry Regulation and Safety - WorkSafe Group (Western Australia)</w:t>
        </w:r>
      </w:hyperlink>
    </w:p>
  </w:footnote>
  <w:footnote w:id="44">
    <w:p w14:paraId="521E7A6B" w14:textId="6C6F9988" w:rsidR="00E10FAA" w:rsidRDefault="00E10FAA">
      <w:pPr>
        <w:pStyle w:val="FootnoteText"/>
      </w:pPr>
      <w:r>
        <w:rPr>
          <w:rStyle w:val="FootnoteReference"/>
        </w:rPr>
        <w:footnoteRef/>
      </w:r>
      <w:r>
        <w:t xml:space="preserve"> </w:t>
      </w:r>
      <w:r w:rsidR="00854F87">
        <w:t>OSHA 1005, NIOSH 3700, EPA TO-17, DFG x 3</w:t>
      </w:r>
      <w:r w:rsidR="0015148A">
        <w:t>, IFA 6265</w:t>
      </w:r>
    </w:p>
  </w:footnote>
  <w:footnote w:id="45">
    <w:p w14:paraId="07BBCB05" w14:textId="4304BEA8" w:rsidR="002E7146" w:rsidRDefault="002E7146">
      <w:pPr>
        <w:pStyle w:val="FootnoteText"/>
      </w:pPr>
      <w:r>
        <w:rPr>
          <w:rStyle w:val="FootnoteReference"/>
        </w:rPr>
        <w:footnoteRef/>
      </w:r>
      <w:r>
        <w:t xml:space="preserve"> Anonymous (</w:t>
      </w:r>
      <w:r w:rsidR="0028032C">
        <w:t>p</w:t>
      </w:r>
      <w:r>
        <w:t>ermission not granted for publication)</w:t>
      </w:r>
    </w:p>
  </w:footnote>
  <w:footnote w:id="46">
    <w:p w14:paraId="1A3D6C77" w14:textId="28130BE6" w:rsidR="002E7146" w:rsidRDefault="002E7146">
      <w:pPr>
        <w:pStyle w:val="FootnoteText"/>
      </w:pPr>
      <w:r>
        <w:rPr>
          <w:rStyle w:val="FootnoteReference"/>
        </w:rPr>
        <w:footnoteRef/>
      </w:r>
      <w:r>
        <w:t xml:space="preserve"> Anonymous (</w:t>
      </w:r>
      <w:r w:rsidR="0028032C">
        <w:t>p</w:t>
      </w:r>
      <w:r>
        <w:t>ermission not granted for publication)</w:t>
      </w:r>
    </w:p>
  </w:footnote>
  <w:footnote w:id="47">
    <w:p w14:paraId="35DCE164" w14:textId="7DBC3A5D" w:rsidR="00096D1C" w:rsidRDefault="00096D1C">
      <w:pPr>
        <w:pStyle w:val="FootnoteText"/>
      </w:pPr>
      <w:r>
        <w:rPr>
          <w:rStyle w:val="FootnoteReference"/>
        </w:rPr>
        <w:footnoteRef/>
      </w:r>
      <w:r w:rsidR="008B771A">
        <w:t xml:space="preserve"> Submissions from</w:t>
      </w:r>
      <w:r>
        <w:t xml:space="preserve"> </w:t>
      </w:r>
      <w:hyperlink r:id="rId39" w:history="1">
        <w:r w:rsidR="001E3FBC" w:rsidRPr="001E3FBC">
          <w:rPr>
            <w:rStyle w:val="Hyperlink"/>
          </w:rPr>
          <w:t>Forbes McGain</w:t>
        </w:r>
      </w:hyperlink>
      <w:r w:rsidR="00474844">
        <w:t xml:space="preserve"> and Anonymous (</w:t>
      </w:r>
      <w:r w:rsidR="0028032C">
        <w:t>p</w:t>
      </w:r>
      <w:r w:rsidR="00474844">
        <w:t>ermission not granted for publication)</w:t>
      </w:r>
    </w:p>
  </w:footnote>
  <w:footnote w:id="48">
    <w:p w14:paraId="13C97907" w14:textId="5A4EB568" w:rsidR="001E259C" w:rsidRDefault="001E259C">
      <w:pPr>
        <w:pStyle w:val="FootnoteText"/>
      </w:pPr>
      <w:r>
        <w:rPr>
          <w:rStyle w:val="FootnoteReference"/>
        </w:rPr>
        <w:footnoteRef/>
      </w:r>
      <w:r>
        <w:t xml:space="preserve"> </w:t>
      </w:r>
      <w:hyperlink r:id="rId40" w:history="1">
        <w:r w:rsidRPr="009B4960">
          <w:rPr>
            <w:rStyle w:val="Hyperlink"/>
          </w:rPr>
          <w:t>Dep</w:t>
        </w:r>
        <w:r w:rsidR="006B0207">
          <w:rPr>
            <w:rStyle w:val="Hyperlink"/>
          </w:rPr>
          <w:t>artmen</w:t>
        </w:r>
        <w:r w:rsidRPr="009B4960">
          <w:rPr>
            <w:rStyle w:val="Hyperlink"/>
          </w:rPr>
          <w:t>t of Defence</w:t>
        </w:r>
      </w:hyperlink>
    </w:p>
  </w:footnote>
  <w:footnote w:id="49">
    <w:p w14:paraId="096BD8C3" w14:textId="14C937D6" w:rsidR="0053745B" w:rsidRDefault="0053745B">
      <w:pPr>
        <w:pStyle w:val="FootnoteText"/>
      </w:pPr>
      <w:r>
        <w:rPr>
          <w:rStyle w:val="FootnoteReference"/>
        </w:rPr>
        <w:footnoteRef/>
      </w:r>
      <w:r>
        <w:t xml:space="preserve"> </w:t>
      </w:r>
      <w:hyperlink r:id="rId41" w:history="1">
        <w:r w:rsidRPr="00541DAA">
          <w:rPr>
            <w:rStyle w:val="Hyperlink"/>
          </w:rPr>
          <w:t>Cancer Council Australia</w:t>
        </w:r>
      </w:hyperlink>
    </w:p>
  </w:footnote>
  <w:footnote w:id="50">
    <w:p w14:paraId="7F1F43D1" w14:textId="77777777" w:rsidR="00B20B18" w:rsidRDefault="00B20B18" w:rsidP="00B20B18">
      <w:pPr>
        <w:pStyle w:val="FootnoteText"/>
      </w:pPr>
      <w:r>
        <w:rPr>
          <w:rStyle w:val="FootnoteReference"/>
        </w:rPr>
        <w:footnoteRef/>
      </w:r>
      <w:r>
        <w:t xml:space="preserve"> </w:t>
      </w:r>
      <w:hyperlink r:id="rId42" w:history="1">
        <w:r w:rsidRPr="008268B9">
          <w:rPr>
            <w:rStyle w:val="Hyperlink"/>
          </w:rPr>
          <w:t>Anonymous</w:t>
        </w:r>
      </w:hyperlink>
    </w:p>
  </w:footnote>
  <w:footnote w:id="51">
    <w:p w14:paraId="1EA5389F" w14:textId="77777777" w:rsidR="009534AA" w:rsidRDefault="009534AA" w:rsidP="009534AA">
      <w:pPr>
        <w:pStyle w:val="FootnoteText"/>
      </w:pPr>
      <w:r>
        <w:rPr>
          <w:rStyle w:val="FootnoteReference"/>
        </w:rPr>
        <w:footnoteRef/>
      </w:r>
      <w:r>
        <w:t xml:space="preserve"> The evaluation report for chlorine can be accessed </w:t>
      </w:r>
      <w:hyperlink r:id="rId43" w:history="1">
        <w:r w:rsidRPr="00FA16E6">
          <w:rPr>
            <w:rStyle w:val="Hyperlink"/>
          </w:rPr>
          <w:t>here</w:t>
        </w:r>
      </w:hyperlink>
      <w:r>
        <w:t>.</w:t>
      </w:r>
    </w:p>
  </w:footnote>
  <w:footnote w:id="52">
    <w:p w14:paraId="1600C91D" w14:textId="77777777" w:rsidR="00537A1D" w:rsidRDefault="00537A1D" w:rsidP="00537A1D">
      <w:pPr>
        <w:pStyle w:val="FootnoteText"/>
      </w:pPr>
      <w:r>
        <w:rPr>
          <w:rStyle w:val="FootnoteReference"/>
        </w:rPr>
        <w:footnoteRef/>
      </w:r>
      <w:r>
        <w:t xml:space="preserve"> </w:t>
      </w:r>
      <w:r w:rsidRPr="00A51794">
        <w:t>Anonymous (</w:t>
      </w:r>
      <w:r>
        <w:t>p</w:t>
      </w:r>
      <w:r w:rsidRPr="00A51794">
        <w:t>ermission not granted for publication)</w:t>
      </w:r>
    </w:p>
  </w:footnote>
  <w:footnote w:id="53">
    <w:p w14:paraId="34C3AF41" w14:textId="22D4C4E1" w:rsidR="00364832" w:rsidRDefault="00364832">
      <w:pPr>
        <w:pStyle w:val="FootnoteText"/>
      </w:pPr>
      <w:r>
        <w:rPr>
          <w:rStyle w:val="FootnoteReference"/>
        </w:rPr>
        <w:footnoteRef/>
      </w:r>
      <w:r>
        <w:t xml:space="preserve"> </w:t>
      </w:r>
      <w:r w:rsidRPr="00364832">
        <w:t>Anonymous (permission not granted for publication)</w:t>
      </w:r>
    </w:p>
  </w:footnote>
  <w:footnote w:id="54">
    <w:p w14:paraId="68FDC902" w14:textId="5338D05B" w:rsidR="00BA2653" w:rsidRDefault="00BA2653" w:rsidP="00BA2653">
      <w:pPr>
        <w:pStyle w:val="FootnoteText"/>
      </w:pPr>
      <w:r>
        <w:rPr>
          <w:rStyle w:val="FootnoteReference"/>
        </w:rPr>
        <w:footnoteRef/>
      </w:r>
      <w:r>
        <w:t xml:space="preserve"> </w:t>
      </w:r>
      <w:r w:rsidRPr="00725A9E">
        <w:t>Anonymous (</w:t>
      </w:r>
      <w:r w:rsidR="004661EB">
        <w:t>p</w:t>
      </w:r>
      <w:r w:rsidRPr="00725A9E">
        <w:t>ermission not granted for publication)</w:t>
      </w:r>
    </w:p>
  </w:footnote>
  <w:footnote w:id="55">
    <w:p w14:paraId="1E7D6D93" w14:textId="7FB287ED" w:rsidR="00611B97" w:rsidRDefault="00611B97">
      <w:pPr>
        <w:pStyle w:val="FootnoteText"/>
      </w:pPr>
      <w:r>
        <w:rPr>
          <w:rStyle w:val="FootnoteReference"/>
        </w:rPr>
        <w:footnoteRef/>
      </w:r>
      <w:r>
        <w:t xml:space="preserve"> Submissions from </w:t>
      </w:r>
      <w:r w:rsidRPr="00327FFE">
        <w:t>Anonymous (</w:t>
      </w:r>
      <w:r w:rsidR="004661EB">
        <w:t>p</w:t>
      </w:r>
      <w:r w:rsidRPr="00327FFE">
        <w:t>ermission not granted for publication)</w:t>
      </w:r>
      <w:r>
        <w:t xml:space="preserve"> and </w:t>
      </w:r>
      <w:r w:rsidRPr="00327FFE">
        <w:t>Anonymous (</w:t>
      </w:r>
      <w:r w:rsidR="004661EB">
        <w:t>p</w:t>
      </w:r>
      <w:r w:rsidRPr="00327FFE">
        <w:t>ermission not granted for publication)</w:t>
      </w:r>
      <w:r>
        <w:t>.</w:t>
      </w:r>
    </w:p>
  </w:footnote>
  <w:footnote w:id="56">
    <w:p w14:paraId="3516EEA0" w14:textId="095D04A6" w:rsidR="00611B97" w:rsidRDefault="00611B97">
      <w:pPr>
        <w:pStyle w:val="FootnoteText"/>
      </w:pPr>
      <w:r>
        <w:rPr>
          <w:rStyle w:val="FootnoteReference"/>
        </w:rPr>
        <w:footnoteRef/>
      </w:r>
      <w:r>
        <w:t xml:space="preserve"> </w:t>
      </w:r>
      <w:r w:rsidRPr="00327FFE">
        <w:t>Anonymous (</w:t>
      </w:r>
      <w:r w:rsidR="006E0F3C">
        <w:t>p</w:t>
      </w:r>
      <w:r w:rsidRPr="00327FFE">
        <w:t>ermission not granted for publication)</w:t>
      </w:r>
    </w:p>
  </w:footnote>
  <w:footnote w:id="57">
    <w:p w14:paraId="239816EC" w14:textId="5D2EFDBF" w:rsidR="00F96FBE" w:rsidRDefault="00F96FBE">
      <w:pPr>
        <w:pStyle w:val="FootnoteText"/>
      </w:pPr>
      <w:r>
        <w:rPr>
          <w:rStyle w:val="FootnoteReference"/>
        </w:rPr>
        <w:footnoteRef/>
      </w:r>
      <w:r>
        <w:t xml:space="preserve"> </w:t>
      </w:r>
      <w:r w:rsidR="009661A1">
        <w:t xml:space="preserve">Submissions from </w:t>
      </w:r>
      <w:r w:rsidR="00630426" w:rsidRPr="00327FFE">
        <w:t>Anonymous (</w:t>
      </w:r>
      <w:r w:rsidR="00AA1220">
        <w:t>p</w:t>
      </w:r>
      <w:r w:rsidR="00630426" w:rsidRPr="00327FFE">
        <w:t>ermission not granted for publication)</w:t>
      </w:r>
      <w:r w:rsidR="00630426">
        <w:t xml:space="preserve">, </w:t>
      </w:r>
      <w:r w:rsidR="003F5B15" w:rsidRPr="00327FFE">
        <w:t>Anonymous (</w:t>
      </w:r>
      <w:r w:rsidR="00AA1220">
        <w:t>p</w:t>
      </w:r>
      <w:r w:rsidR="003F5B15" w:rsidRPr="00327FFE">
        <w:t>ermission not granted for publication)</w:t>
      </w:r>
      <w:r w:rsidR="003F5B15">
        <w:t xml:space="preserve">, </w:t>
      </w:r>
      <w:hyperlink r:id="rId44" w:history="1">
        <w:r w:rsidR="008F46B8" w:rsidRPr="00656104">
          <w:rPr>
            <w:rStyle w:val="Hyperlink"/>
          </w:rPr>
          <w:t>Queensland Nurses and Midwives</w:t>
        </w:r>
        <w:r w:rsidR="00656104" w:rsidRPr="00656104">
          <w:rPr>
            <w:rStyle w:val="Hyperlink"/>
          </w:rPr>
          <w:t>’</w:t>
        </w:r>
        <w:r w:rsidR="008F46B8" w:rsidRPr="00656104">
          <w:rPr>
            <w:rStyle w:val="Hyperlink"/>
          </w:rPr>
          <w:t xml:space="preserve"> Union</w:t>
        </w:r>
      </w:hyperlink>
      <w:r w:rsidR="001B6ECF">
        <w:t xml:space="preserve">, </w:t>
      </w:r>
      <w:hyperlink r:id="rId45" w:history="1">
        <w:r w:rsidR="001B6ECF" w:rsidRPr="00160F20">
          <w:rPr>
            <w:rStyle w:val="Hyperlink"/>
          </w:rPr>
          <w:t>Anonymous</w:t>
        </w:r>
      </w:hyperlink>
      <w:r w:rsidR="001B6ECF">
        <w:t xml:space="preserve">, </w:t>
      </w:r>
      <w:hyperlink r:id="rId46" w:history="1">
        <w:r w:rsidR="001B6ECF" w:rsidRPr="00160F20">
          <w:rPr>
            <w:rStyle w:val="Hyperlink"/>
          </w:rPr>
          <w:t>Australia Council of Trade Union</w:t>
        </w:r>
      </w:hyperlink>
      <w:r w:rsidR="001B6ECF">
        <w:t>s</w:t>
      </w:r>
      <w:r w:rsidR="00683D65">
        <w:t>,</w:t>
      </w:r>
      <w:r w:rsidR="00961102">
        <w:t xml:space="preserve"> and </w:t>
      </w:r>
      <w:hyperlink r:id="rId47" w:history="1">
        <w:r w:rsidR="002A54EC" w:rsidRPr="002A54EC">
          <w:rPr>
            <w:rStyle w:val="Hyperlink"/>
          </w:rPr>
          <w:t>Victorian Trades Hall Council</w:t>
        </w:r>
      </w:hyperlink>
    </w:p>
  </w:footnote>
  <w:footnote w:id="58">
    <w:p w14:paraId="10FF82FE" w14:textId="2D1A2DE2" w:rsidR="00F95BAF" w:rsidRDefault="00F95BAF">
      <w:pPr>
        <w:pStyle w:val="FootnoteText"/>
      </w:pPr>
      <w:r>
        <w:rPr>
          <w:rStyle w:val="FootnoteReference"/>
        </w:rPr>
        <w:footnoteRef/>
      </w:r>
      <w:r>
        <w:t xml:space="preserve"> </w:t>
      </w:r>
      <w:hyperlink r:id="rId48" w:history="1">
        <w:r w:rsidR="009020E5" w:rsidRPr="00F96FBE">
          <w:rPr>
            <w:rStyle w:val="Hyperlink"/>
          </w:rPr>
          <w:t>Robyn Sc</w:t>
        </w:r>
        <w:r w:rsidR="00945D0F">
          <w:rPr>
            <w:rStyle w:val="Hyperlink"/>
          </w:rPr>
          <w:t>h</w:t>
        </w:r>
        <w:r w:rsidR="009020E5" w:rsidRPr="00F96FBE">
          <w:rPr>
            <w:rStyle w:val="Hyperlink"/>
          </w:rPr>
          <w:t>ofield</w:t>
        </w:r>
      </w:hyperlink>
    </w:p>
  </w:footnote>
  <w:footnote w:id="59">
    <w:p w14:paraId="76CFE1B8" w14:textId="6ED147F2" w:rsidR="003F5B15" w:rsidRDefault="003F5B15">
      <w:pPr>
        <w:pStyle w:val="FootnoteText"/>
      </w:pPr>
      <w:r>
        <w:rPr>
          <w:rStyle w:val="FootnoteReference"/>
        </w:rPr>
        <w:footnoteRef/>
      </w:r>
      <w:r>
        <w:t xml:space="preserve"> </w:t>
      </w:r>
      <w:r w:rsidRPr="00327FFE">
        <w:t>Anonymous (</w:t>
      </w:r>
      <w:r w:rsidR="00AF273D">
        <w:t>p</w:t>
      </w:r>
      <w:r w:rsidRPr="00327FFE">
        <w:t>ermission not granted for publication)</w:t>
      </w:r>
    </w:p>
  </w:footnote>
  <w:footnote w:id="60">
    <w:p w14:paraId="3547E112" w14:textId="75CDB2D9" w:rsidR="005049B3" w:rsidRDefault="00FB56FB">
      <w:pPr>
        <w:pStyle w:val="FootnoteText"/>
      </w:pPr>
      <w:r>
        <w:rPr>
          <w:rStyle w:val="FootnoteReference"/>
        </w:rPr>
        <w:footnoteRef/>
      </w:r>
      <w:r>
        <w:t xml:space="preserve"> </w:t>
      </w:r>
      <w:r w:rsidR="005A7660">
        <w:t xml:space="preserve">Submissions from </w:t>
      </w:r>
      <w:hyperlink r:id="rId49" w:history="1">
        <w:r w:rsidRPr="00FB56FB">
          <w:rPr>
            <w:rStyle w:val="Hyperlink"/>
          </w:rPr>
          <w:t>Department of Energy, Mines, Industry Regulation and Safety - WorkSafe Group (Western Australia)</w:t>
        </w:r>
      </w:hyperlink>
      <w:r w:rsidR="005A7660">
        <w:t xml:space="preserve">, </w:t>
      </w:r>
      <w:hyperlink r:id="rId50" w:history="1">
        <w:r w:rsidR="005A7660" w:rsidRPr="00DF62CB">
          <w:rPr>
            <w:rStyle w:val="Hyperlink"/>
          </w:rPr>
          <w:t>Chemistry Australia</w:t>
        </w:r>
      </w:hyperlink>
      <w:r w:rsidR="005A7660">
        <w:t xml:space="preserve">, </w:t>
      </w:r>
      <w:hyperlink r:id="rId51" w:history="1">
        <w:r w:rsidR="005A7660" w:rsidRPr="008B1110">
          <w:rPr>
            <w:rStyle w:val="Hyperlink"/>
          </w:rPr>
          <w:t>Accord Australasia</w:t>
        </w:r>
      </w:hyperlink>
      <w:r w:rsidR="005A7660">
        <w:t>,</w:t>
      </w:r>
      <w:r w:rsidR="009A2BC4">
        <w:t xml:space="preserve"> </w:t>
      </w:r>
      <w:r w:rsidR="009A2BC4" w:rsidRPr="00327FFE">
        <w:t>Anonymous (</w:t>
      </w:r>
      <w:r w:rsidR="006E0F3C">
        <w:t>p</w:t>
      </w:r>
      <w:r w:rsidR="009A2BC4" w:rsidRPr="00327FFE">
        <w:t>ermission not granted for publication)</w:t>
      </w:r>
      <w:r w:rsidR="009A2BC4">
        <w:t>,</w:t>
      </w:r>
      <w:r w:rsidR="005A7660">
        <w:t xml:space="preserve"> </w:t>
      </w:r>
      <w:hyperlink r:id="rId52" w:history="1">
        <w:r w:rsidR="005A7660" w:rsidRPr="00E64A82">
          <w:rPr>
            <w:rStyle w:val="Hyperlink"/>
          </w:rPr>
          <w:t>The Queensland Water Directorate</w:t>
        </w:r>
      </w:hyperlink>
      <w:r w:rsidR="003A6EE2">
        <w:t xml:space="preserve"> (qldwater)</w:t>
      </w:r>
      <w:r w:rsidR="005A7660">
        <w:t xml:space="preserve">, </w:t>
      </w:r>
      <w:hyperlink r:id="rId53" w:history="1">
        <w:r w:rsidR="005A7660" w:rsidRPr="005465D3">
          <w:rPr>
            <w:rStyle w:val="Hyperlink"/>
          </w:rPr>
          <w:t>Water Services Association of Australia</w:t>
        </w:r>
      </w:hyperlink>
      <w:r w:rsidR="005A7660">
        <w:t xml:space="preserve">, </w:t>
      </w:r>
      <w:hyperlink r:id="rId54" w:history="1">
        <w:r w:rsidR="005A7660" w:rsidRPr="00AD7154">
          <w:rPr>
            <w:rStyle w:val="Hyperlink"/>
          </w:rPr>
          <w:t>Australian Chamber of Commerce and Industry</w:t>
        </w:r>
      </w:hyperlink>
      <w:r w:rsidR="005A7660">
        <w:t>, and</w:t>
      </w:r>
      <w:r w:rsidR="00524289">
        <w:t xml:space="preserve"> </w:t>
      </w:r>
      <w:hyperlink r:id="rId55" w:history="1">
        <w:r w:rsidR="00524289" w:rsidRPr="00AD7154">
          <w:rPr>
            <w:rStyle w:val="Hyperlink"/>
          </w:rPr>
          <w:t>Aus</w:t>
        </w:r>
        <w:bookmarkStart w:id="167" w:name="_Hlt209513335"/>
        <w:bookmarkStart w:id="168" w:name="_Hlt209513336"/>
        <w:r w:rsidR="00524289" w:rsidRPr="00AD7154">
          <w:rPr>
            <w:rStyle w:val="Hyperlink"/>
          </w:rPr>
          <w:t>t</w:t>
        </w:r>
        <w:bookmarkEnd w:id="167"/>
        <w:bookmarkEnd w:id="168"/>
        <w:r w:rsidR="00524289" w:rsidRPr="00AD7154">
          <w:rPr>
            <w:rStyle w:val="Hyperlink"/>
          </w:rPr>
          <w:t>ralian Industry Group</w:t>
        </w:r>
      </w:hyperlink>
    </w:p>
  </w:footnote>
  <w:footnote w:id="61">
    <w:p w14:paraId="3144C341" w14:textId="45DB3589" w:rsidR="00227285" w:rsidRDefault="00227285">
      <w:pPr>
        <w:pStyle w:val="FootnoteText"/>
      </w:pPr>
      <w:r>
        <w:rPr>
          <w:rStyle w:val="FootnoteReference"/>
        </w:rPr>
        <w:footnoteRef/>
      </w:r>
      <w:r>
        <w:t xml:space="preserve"> </w:t>
      </w:r>
      <w:r w:rsidR="00524289">
        <w:t xml:space="preserve">Submissions from </w:t>
      </w:r>
      <w:hyperlink r:id="rId56" w:history="1">
        <w:r w:rsidRPr="00227285">
          <w:rPr>
            <w:rStyle w:val="Hyperlink"/>
          </w:rPr>
          <w:t>Department of Energy, Mines, Industry Regulation and Safety - WorkSafe Group (Western Australia)</w:t>
        </w:r>
      </w:hyperlink>
      <w:r w:rsidR="00524289">
        <w:t xml:space="preserve">, </w:t>
      </w:r>
      <w:hyperlink r:id="rId57" w:history="1">
        <w:r w:rsidR="00C95B70" w:rsidRPr="00DF62CB">
          <w:rPr>
            <w:rStyle w:val="Hyperlink"/>
          </w:rPr>
          <w:t>Chemistry Australia</w:t>
        </w:r>
      </w:hyperlink>
      <w:r w:rsidR="00C95B70">
        <w:t xml:space="preserve">, </w:t>
      </w:r>
      <w:hyperlink r:id="rId58" w:history="1">
        <w:r w:rsidR="00C95B70" w:rsidRPr="008B1110">
          <w:rPr>
            <w:rStyle w:val="Hyperlink"/>
          </w:rPr>
          <w:t>Accord Australasia</w:t>
        </w:r>
      </w:hyperlink>
      <w:r w:rsidR="00C95B70">
        <w:t xml:space="preserve">, </w:t>
      </w:r>
      <w:hyperlink r:id="rId59" w:history="1">
        <w:r w:rsidR="00C95B70" w:rsidRPr="00E64A82">
          <w:rPr>
            <w:rStyle w:val="Hyperlink"/>
          </w:rPr>
          <w:t>The Queensland Water Directorate</w:t>
        </w:r>
      </w:hyperlink>
      <w:r w:rsidR="003A6EE2">
        <w:t xml:space="preserve"> (qldwater)</w:t>
      </w:r>
      <w:r w:rsidR="00C95B70">
        <w:t xml:space="preserve">, </w:t>
      </w:r>
      <w:hyperlink r:id="rId60" w:history="1">
        <w:r w:rsidR="00C95B70" w:rsidRPr="005465D3">
          <w:rPr>
            <w:rStyle w:val="Hyperlink"/>
          </w:rPr>
          <w:t>Water Services Association of Australia</w:t>
        </w:r>
      </w:hyperlink>
      <w:r w:rsidR="00C95B70">
        <w:t xml:space="preserve">, </w:t>
      </w:r>
      <w:hyperlink r:id="rId61" w:history="1">
        <w:r w:rsidR="00C95B70" w:rsidRPr="00AD7154">
          <w:rPr>
            <w:rStyle w:val="Hyperlink"/>
          </w:rPr>
          <w:t>Australian Chamber of Commerce and Industry</w:t>
        </w:r>
      </w:hyperlink>
      <w:r w:rsidR="00C95B70">
        <w:t xml:space="preserve">, and </w:t>
      </w:r>
      <w:hyperlink r:id="rId62" w:history="1">
        <w:r w:rsidR="00C95B70" w:rsidRPr="00AD7154">
          <w:rPr>
            <w:rStyle w:val="Hyperlink"/>
          </w:rPr>
          <w:t>Austr</w:t>
        </w:r>
        <w:bookmarkStart w:id="170" w:name="_Hlt209513348"/>
        <w:bookmarkStart w:id="171" w:name="_Hlt209513349"/>
        <w:r w:rsidR="00C95B70" w:rsidRPr="00AD7154">
          <w:rPr>
            <w:rStyle w:val="Hyperlink"/>
          </w:rPr>
          <w:t>a</w:t>
        </w:r>
        <w:bookmarkEnd w:id="170"/>
        <w:bookmarkEnd w:id="171"/>
        <w:r w:rsidR="00C95B70" w:rsidRPr="00AD7154">
          <w:rPr>
            <w:rStyle w:val="Hyperlink"/>
          </w:rPr>
          <w:t>lian Industry Group</w:t>
        </w:r>
      </w:hyperlink>
    </w:p>
  </w:footnote>
  <w:footnote w:id="62">
    <w:p w14:paraId="72437A91" w14:textId="189A2F3B" w:rsidR="0009766B" w:rsidRDefault="0009766B">
      <w:pPr>
        <w:pStyle w:val="FootnoteText"/>
      </w:pPr>
      <w:r>
        <w:rPr>
          <w:rStyle w:val="FootnoteReference"/>
        </w:rPr>
        <w:footnoteRef/>
      </w:r>
      <w:r>
        <w:t xml:space="preserve"> </w:t>
      </w:r>
      <w:r w:rsidR="00C95B70">
        <w:t xml:space="preserve">Submissions from </w:t>
      </w:r>
      <w:hyperlink r:id="rId63" w:history="1">
        <w:r w:rsidRPr="0009766B">
          <w:rPr>
            <w:rStyle w:val="Hyperlink"/>
          </w:rPr>
          <w:t>The Queensland Water Directorate</w:t>
        </w:r>
      </w:hyperlink>
      <w:r w:rsidR="00427F42">
        <w:t xml:space="preserve"> </w:t>
      </w:r>
      <w:r w:rsidR="003A6EE2">
        <w:t>(qldwater)</w:t>
      </w:r>
      <w:r w:rsidR="00683D65">
        <w:t>,</w:t>
      </w:r>
      <w:r w:rsidR="003A6EE2">
        <w:t xml:space="preserve"> </w:t>
      </w:r>
      <w:r w:rsidR="001D0555" w:rsidRPr="00327FFE">
        <w:t>Anonymous (</w:t>
      </w:r>
      <w:r w:rsidR="006E0F3C">
        <w:t>p</w:t>
      </w:r>
      <w:r w:rsidR="001D0555" w:rsidRPr="00327FFE">
        <w:t>ermission not granted for publication)</w:t>
      </w:r>
      <w:r w:rsidR="001D0555">
        <w:t xml:space="preserve">, </w:t>
      </w:r>
      <w:r w:rsidR="00427F42">
        <w:t xml:space="preserve">and </w:t>
      </w:r>
      <w:hyperlink r:id="rId64" w:history="1">
        <w:r w:rsidR="00427F42" w:rsidRPr="007870F8">
          <w:rPr>
            <w:rStyle w:val="Hyperlink"/>
          </w:rPr>
          <w:t>Water Services Association of Australia</w:t>
        </w:r>
      </w:hyperlink>
    </w:p>
  </w:footnote>
  <w:footnote w:id="63">
    <w:p w14:paraId="0FDA28F1" w14:textId="4F13879E" w:rsidR="0094774F" w:rsidRDefault="0094774F" w:rsidP="0094774F">
      <w:pPr>
        <w:pStyle w:val="FootnoteText"/>
      </w:pPr>
      <w:r>
        <w:rPr>
          <w:rStyle w:val="FootnoteReference"/>
        </w:rPr>
        <w:footnoteRef/>
      </w:r>
      <w:r>
        <w:t xml:space="preserve"> Submissions from </w:t>
      </w:r>
      <w:r w:rsidR="0080541B" w:rsidRPr="00327FFE">
        <w:t>Anonymous (</w:t>
      </w:r>
      <w:r w:rsidR="006E0F3C">
        <w:t>p</w:t>
      </w:r>
      <w:r w:rsidR="0080541B" w:rsidRPr="00327FFE">
        <w:t>ermission not granted for publication)</w:t>
      </w:r>
      <w:r w:rsidR="0080541B">
        <w:t xml:space="preserve">, </w:t>
      </w:r>
      <w:hyperlink r:id="rId65" w:history="1">
        <w:r w:rsidRPr="00782571">
          <w:rPr>
            <w:rStyle w:val="Hyperlink"/>
          </w:rPr>
          <w:t>The Queensland Water Directorate</w:t>
        </w:r>
      </w:hyperlink>
      <w:r>
        <w:t xml:space="preserve"> (qldwater), </w:t>
      </w:r>
      <w:hyperlink r:id="rId66" w:history="1">
        <w:r w:rsidRPr="00782571">
          <w:rPr>
            <w:rStyle w:val="Hyperlink"/>
          </w:rPr>
          <w:t>Water Services Association of Australia</w:t>
        </w:r>
      </w:hyperlink>
      <w:r>
        <w:t xml:space="preserve">, </w:t>
      </w:r>
      <w:hyperlink r:id="rId67" w:history="1">
        <w:r w:rsidRPr="00AD7154">
          <w:rPr>
            <w:rStyle w:val="Hyperlink"/>
          </w:rPr>
          <w:t>Australian Chamber of Commerce and Industry</w:t>
        </w:r>
      </w:hyperlink>
      <w:r>
        <w:t xml:space="preserve">, and </w:t>
      </w:r>
      <w:hyperlink r:id="rId68" w:history="1">
        <w:r w:rsidRPr="00AD7154">
          <w:rPr>
            <w:rStyle w:val="Hyperlink"/>
          </w:rPr>
          <w:t>Australian Industry Group</w:t>
        </w:r>
      </w:hyperlink>
    </w:p>
  </w:footnote>
  <w:footnote w:id="64">
    <w:p w14:paraId="22545875" w14:textId="429CB9D0" w:rsidR="00F25756" w:rsidRDefault="00F25756" w:rsidP="00F25756">
      <w:pPr>
        <w:pStyle w:val="FootnoteText"/>
      </w:pPr>
      <w:r>
        <w:rPr>
          <w:rStyle w:val="FootnoteReference"/>
        </w:rPr>
        <w:footnoteRef/>
      </w:r>
      <w:r>
        <w:t xml:space="preserve"> </w:t>
      </w:r>
      <w:r w:rsidR="00C80DF9">
        <w:t xml:space="preserve">Submissions from </w:t>
      </w:r>
      <w:hyperlink r:id="rId69" w:history="1">
        <w:r w:rsidRPr="00EB1AFE">
          <w:rPr>
            <w:rStyle w:val="Hyperlink"/>
          </w:rPr>
          <w:t>Australian Chamber of Commerce and Industry</w:t>
        </w:r>
      </w:hyperlink>
      <w:r>
        <w:t xml:space="preserve">, and </w:t>
      </w:r>
      <w:hyperlink r:id="rId70" w:history="1">
        <w:r w:rsidRPr="00BD1023">
          <w:rPr>
            <w:rStyle w:val="Hyperlink"/>
          </w:rPr>
          <w:t>Australian Industry Group</w:t>
        </w:r>
      </w:hyperlink>
    </w:p>
  </w:footnote>
  <w:footnote w:id="65">
    <w:p w14:paraId="0DA09029" w14:textId="76B310B1" w:rsidR="00D95AFB" w:rsidRDefault="00D95AFB">
      <w:pPr>
        <w:pStyle w:val="FootnoteText"/>
      </w:pPr>
      <w:r>
        <w:rPr>
          <w:rStyle w:val="FootnoteReference"/>
        </w:rPr>
        <w:footnoteRef/>
      </w:r>
      <w:r>
        <w:t xml:space="preserve"> </w:t>
      </w:r>
      <w:r w:rsidR="003C1379">
        <w:t xml:space="preserve">Submissions from </w:t>
      </w:r>
      <w:hyperlink r:id="rId71" w:history="1">
        <w:r w:rsidR="00C17EFF" w:rsidRPr="003848D9">
          <w:rPr>
            <w:rStyle w:val="Hyperlink"/>
          </w:rPr>
          <w:t>The Chamber of Minerals and Energy of Western Australia</w:t>
        </w:r>
      </w:hyperlink>
      <w:r w:rsidR="00086D36">
        <w:t>,</w:t>
      </w:r>
      <w:r w:rsidR="003C1379">
        <w:t xml:space="preserve"> and </w:t>
      </w:r>
      <w:hyperlink r:id="rId72" w:history="1">
        <w:r w:rsidR="004D6E03" w:rsidRPr="004D6E03">
          <w:rPr>
            <w:rStyle w:val="Hyperlink"/>
          </w:rPr>
          <w:t>Minerals Council of Australia</w:t>
        </w:r>
      </w:hyperlink>
    </w:p>
  </w:footnote>
  <w:footnote w:id="66">
    <w:p w14:paraId="6B699AE6" w14:textId="19CF19E9" w:rsidR="00B15542" w:rsidRDefault="00B15542">
      <w:pPr>
        <w:pStyle w:val="FootnoteText"/>
      </w:pPr>
      <w:r>
        <w:rPr>
          <w:rStyle w:val="FootnoteReference"/>
        </w:rPr>
        <w:footnoteRef/>
      </w:r>
      <w:r>
        <w:t xml:space="preserve"> </w:t>
      </w:r>
      <w:r w:rsidR="008B42C6" w:rsidRPr="008B42C6">
        <w:t xml:space="preserve">Submissions from </w:t>
      </w:r>
      <w:hyperlink r:id="rId73" w:history="1">
        <w:r w:rsidR="008B42C6" w:rsidRPr="008B42C6">
          <w:rPr>
            <w:rStyle w:val="Hyperlink"/>
          </w:rPr>
          <w:t>Australian Chamber of Commerce and Industry</w:t>
        </w:r>
      </w:hyperlink>
      <w:r w:rsidR="008B42C6" w:rsidRPr="008B42C6">
        <w:t xml:space="preserve">, and </w:t>
      </w:r>
      <w:hyperlink r:id="rId74" w:history="1">
        <w:r w:rsidR="008B42C6" w:rsidRPr="008B42C6">
          <w:rPr>
            <w:rStyle w:val="Hyperlink"/>
          </w:rPr>
          <w:t>Minerals Council of Australia</w:t>
        </w:r>
      </w:hyperlink>
    </w:p>
  </w:footnote>
  <w:footnote w:id="67">
    <w:p w14:paraId="1B7ED5C7" w14:textId="185F832D" w:rsidR="00E137C0" w:rsidRDefault="00E137C0">
      <w:pPr>
        <w:pStyle w:val="FootnoteText"/>
      </w:pPr>
      <w:r>
        <w:rPr>
          <w:rStyle w:val="FootnoteReference"/>
        </w:rPr>
        <w:footnoteRef/>
      </w:r>
      <w:r>
        <w:t xml:space="preserve"> </w:t>
      </w:r>
      <w:hyperlink r:id="rId75" w:history="1">
        <w:r w:rsidRPr="004D1C91">
          <w:rPr>
            <w:rStyle w:val="Hyperlink"/>
          </w:rPr>
          <w:t>The Chamber of Minerals and Energy of Western Australia</w:t>
        </w:r>
      </w:hyperlink>
    </w:p>
  </w:footnote>
  <w:footnote w:id="68">
    <w:p w14:paraId="10FBE631" w14:textId="7D32B4EA" w:rsidR="00B83E97" w:rsidRDefault="00B83E97">
      <w:pPr>
        <w:pStyle w:val="FootnoteText"/>
      </w:pPr>
      <w:r>
        <w:rPr>
          <w:rStyle w:val="FootnoteReference"/>
        </w:rPr>
        <w:footnoteRef/>
      </w:r>
      <w:r>
        <w:t xml:space="preserve"> </w:t>
      </w:r>
      <w:r w:rsidR="00411983">
        <w:t xml:space="preserve">Submissions from the </w:t>
      </w:r>
      <w:hyperlink r:id="rId76" w:history="1">
        <w:r w:rsidR="00411983" w:rsidRPr="00C12643">
          <w:rPr>
            <w:rStyle w:val="Hyperlink"/>
          </w:rPr>
          <w:t xml:space="preserve">Water </w:t>
        </w:r>
        <w:r w:rsidR="00C12643">
          <w:rPr>
            <w:rStyle w:val="Hyperlink"/>
          </w:rPr>
          <w:t xml:space="preserve">Services </w:t>
        </w:r>
        <w:r w:rsidR="00411983" w:rsidRPr="00C12643">
          <w:rPr>
            <w:rStyle w:val="Hyperlink"/>
          </w:rPr>
          <w:t>Association of Australia</w:t>
        </w:r>
      </w:hyperlink>
      <w:r w:rsidR="00684964">
        <w:t>,</w:t>
      </w:r>
      <w:r w:rsidR="00684964" w:rsidRPr="00684964">
        <w:t xml:space="preserve"> </w:t>
      </w:r>
      <w:hyperlink r:id="rId77" w:history="1">
        <w:r w:rsidR="00684964" w:rsidRPr="006A32A6">
          <w:rPr>
            <w:rStyle w:val="Hyperlink"/>
          </w:rPr>
          <w:t>The Chamber of Minerals and Energy of Western Australia</w:t>
        </w:r>
      </w:hyperlink>
      <w:r w:rsidR="00684964">
        <w:t xml:space="preserve"> </w:t>
      </w:r>
      <w:r w:rsidR="00411983">
        <w:t xml:space="preserve">and </w:t>
      </w:r>
      <w:hyperlink r:id="rId78" w:history="1">
        <w:r w:rsidR="006A32A6" w:rsidRPr="006A32A6">
          <w:rPr>
            <w:rStyle w:val="Hyperlink"/>
          </w:rPr>
          <w:t>Australian Industry Group</w:t>
        </w:r>
      </w:hyperlink>
      <w:r w:rsidR="00411983">
        <w:t xml:space="preserve"> </w:t>
      </w:r>
    </w:p>
  </w:footnote>
  <w:footnote w:id="69">
    <w:p w14:paraId="1D35B719" w14:textId="172D689C" w:rsidR="00E602D3" w:rsidRDefault="00E602D3">
      <w:pPr>
        <w:pStyle w:val="FootnoteText"/>
      </w:pPr>
      <w:r>
        <w:rPr>
          <w:rStyle w:val="FootnoteReference"/>
        </w:rPr>
        <w:footnoteRef/>
      </w:r>
      <w:r>
        <w:t xml:space="preserve"> </w:t>
      </w:r>
      <w:hyperlink r:id="rId79" w:history="1">
        <w:r w:rsidR="00B6004B" w:rsidRPr="00B6004B">
          <w:rPr>
            <w:rStyle w:val="Hyperlink"/>
          </w:rPr>
          <w:t>Chemistry Australia</w:t>
        </w:r>
      </w:hyperlink>
    </w:p>
  </w:footnote>
  <w:footnote w:id="70">
    <w:p w14:paraId="4FC86887" w14:textId="1059593C" w:rsidR="00C1579D" w:rsidRDefault="00C1579D">
      <w:pPr>
        <w:pStyle w:val="FootnoteText"/>
      </w:pPr>
      <w:r>
        <w:rPr>
          <w:rStyle w:val="FootnoteReference"/>
        </w:rPr>
        <w:footnoteRef/>
      </w:r>
      <w:r>
        <w:t xml:space="preserve"> </w:t>
      </w:r>
      <w:r w:rsidRPr="00327FFE">
        <w:t>Anonymous (</w:t>
      </w:r>
      <w:r w:rsidR="00BF3408">
        <w:t>p</w:t>
      </w:r>
      <w:r w:rsidRPr="00327FFE">
        <w:t>ermission not granted for publication)</w:t>
      </w:r>
    </w:p>
  </w:footnote>
  <w:footnote w:id="71">
    <w:p w14:paraId="73265DFB" w14:textId="12D98178" w:rsidR="00FE1924" w:rsidRDefault="00FE1924">
      <w:pPr>
        <w:pStyle w:val="FootnoteText"/>
      </w:pPr>
      <w:r>
        <w:rPr>
          <w:rStyle w:val="FootnoteReference"/>
        </w:rPr>
        <w:footnoteRef/>
      </w:r>
      <w:r>
        <w:t xml:space="preserve"> </w:t>
      </w:r>
      <w:r w:rsidR="00F14C6B">
        <w:t xml:space="preserve">Submissions from </w:t>
      </w:r>
      <w:hyperlink r:id="rId80" w:history="1">
        <w:r w:rsidRPr="00FE1924">
          <w:rPr>
            <w:rStyle w:val="Hyperlink"/>
          </w:rPr>
          <w:t>Department of Energy, Mines, Industry Regulation and Safety - WorkSafe Group (Western Australia)</w:t>
        </w:r>
      </w:hyperlink>
      <w:r w:rsidR="00F14C6B">
        <w:t xml:space="preserve">, and </w:t>
      </w:r>
      <w:hyperlink r:id="rId81" w:history="1">
        <w:r w:rsidR="00F14C6B" w:rsidRPr="00FE1924">
          <w:rPr>
            <w:rStyle w:val="Hyperlink"/>
          </w:rPr>
          <w:t>The Chamber of Minerals and Energy of Western Australia</w:t>
        </w:r>
      </w:hyperlink>
    </w:p>
  </w:footnote>
  <w:footnote w:id="72">
    <w:p w14:paraId="10B9A132" w14:textId="1ED16033" w:rsidR="00417D14" w:rsidRDefault="00417D14">
      <w:pPr>
        <w:pStyle w:val="FootnoteText"/>
      </w:pPr>
      <w:r>
        <w:rPr>
          <w:rStyle w:val="FootnoteReference"/>
        </w:rPr>
        <w:footnoteRef/>
      </w:r>
      <w:r>
        <w:t xml:space="preserve"> </w:t>
      </w:r>
      <w:r w:rsidR="00CC5664">
        <w:t xml:space="preserve">Submissions from </w:t>
      </w:r>
      <w:hyperlink r:id="rId82" w:history="1">
        <w:r w:rsidR="00B6004B" w:rsidRPr="00B6004B">
          <w:rPr>
            <w:rStyle w:val="Hyperlink"/>
          </w:rPr>
          <w:t>Department of Energy, Mines, Industry Regulation and Safety - WorkSafe Group (Western Australia)</w:t>
        </w:r>
      </w:hyperlink>
      <w:r w:rsidR="00654BCC">
        <w:t xml:space="preserve"> and </w:t>
      </w:r>
      <w:r w:rsidR="00654BCC" w:rsidRPr="00327FFE">
        <w:t>Anonymous (</w:t>
      </w:r>
      <w:r w:rsidR="00BF3408">
        <w:t>p</w:t>
      </w:r>
      <w:r w:rsidR="00654BCC" w:rsidRPr="00327FFE">
        <w:t>ermission not granted for publication)</w:t>
      </w:r>
    </w:p>
  </w:footnote>
  <w:footnote w:id="73">
    <w:p w14:paraId="64425B06" w14:textId="54C7A9EF" w:rsidR="0041195A" w:rsidRDefault="0041195A">
      <w:pPr>
        <w:pStyle w:val="FootnoteText"/>
      </w:pPr>
      <w:r>
        <w:rPr>
          <w:rStyle w:val="FootnoteReference"/>
        </w:rPr>
        <w:footnoteRef/>
      </w:r>
      <w:r>
        <w:t xml:space="preserve"> </w:t>
      </w:r>
      <w:r w:rsidR="00654BCC">
        <w:t xml:space="preserve">Submissions from </w:t>
      </w:r>
      <w:hyperlink r:id="rId83" w:history="1">
        <w:r w:rsidRPr="0041195A">
          <w:rPr>
            <w:rStyle w:val="Hyperlink"/>
          </w:rPr>
          <w:t>Department of Energy, Mines, Industry Regulation and Safety - WorkSafe Group (Western Australia)</w:t>
        </w:r>
      </w:hyperlink>
      <w:r w:rsidR="00654BCC">
        <w:t xml:space="preserve"> and </w:t>
      </w:r>
      <w:r w:rsidR="00654BCC" w:rsidRPr="00327FFE">
        <w:t>Anonymous (</w:t>
      </w:r>
      <w:r w:rsidR="00BF3408">
        <w:t>p</w:t>
      </w:r>
      <w:r w:rsidR="00654BCC" w:rsidRPr="00327FFE">
        <w:t>ermission not granted for publication)</w:t>
      </w:r>
    </w:p>
  </w:footnote>
  <w:footnote w:id="74">
    <w:p w14:paraId="708EA444" w14:textId="0C3AB70A" w:rsidR="005A6D77" w:rsidRDefault="005A6D77">
      <w:pPr>
        <w:pStyle w:val="FootnoteText"/>
      </w:pPr>
      <w:r>
        <w:rPr>
          <w:rStyle w:val="FootnoteReference"/>
        </w:rPr>
        <w:footnoteRef/>
      </w:r>
      <w:r>
        <w:t xml:space="preserve"> </w:t>
      </w:r>
      <w:r w:rsidR="002E2018">
        <w:t>NIOSH 6011, OSHA ID 101</w:t>
      </w:r>
    </w:p>
  </w:footnote>
  <w:footnote w:id="75">
    <w:p w14:paraId="0919E3E6" w14:textId="6EA3B048" w:rsidR="00C47980" w:rsidRDefault="00C47980">
      <w:pPr>
        <w:pStyle w:val="FootnoteText"/>
      </w:pPr>
      <w:r>
        <w:rPr>
          <w:rStyle w:val="FootnoteReference"/>
        </w:rPr>
        <w:footnoteRef/>
      </w:r>
      <w:r>
        <w:t xml:space="preserve"> </w:t>
      </w:r>
      <w:r w:rsidRPr="00327FFE">
        <w:t>Anonymous (</w:t>
      </w:r>
      <w:r w:rsidR="00BF3408">
        <w:t>p</w:t>
      </w:r>
      <w:r w:rsidRPr="00327FFE">
        <w:t>ermission not granted for publication)</w:t>
      </w:r>
    </w:p>
  </w:footnote>
  <w:footnote w:id="76">
    <w:p w14:paraId="40B2F4BC" w14:textId="46F9CB5B" w:rsidR="00C47980" w:rsidRDefault="00C47980">
      <w:pPr>
        <w:pStyle w:val="FootnoteText"/>
      </w:pPr>
      <w:r>
        <w:rPr>
          <w:rStyle w:val="FootnoteReference"/>
        </w:rPr>
        <w:footnoteRef/>
      </w:r>
      <w:r>
        <w:t xml:space="preserve"> </w:t>
      </w:r>
      <w:r w:rsidRPr="00327FFE">
        <w:t>Anonymous (</w:t>
      </w:r>
      <w:r w:rsidR="00776BAD">
        <w:t>p</w:t>
      </w:r>
      <w:r w:rsidRPr="00327FFE">
        <w:t>ermission not granted for publication)</w:t>
      </w:r>
    </w:p>
  </w:footnote>
  <w:footnote w:id="77">
    <w:p w14:paraId="7E7EA83C" w14:textId="71FEA38B" w:rsidR="00855972" w:rsidRDefault="00855972">
      <w:pPr>
        <w:pStyle w:val="FootnoteText"/>
      </w:pPr>
      <w:r>
        <w:rPr>
          <w:rStyle w:val="FootnoteReference"/>
        </w:rPr>
        <w:footnoteRef/>
      </w:r>
      <w:r>
        <w:t xml:space="preserve"> </w:t>
      </w:r>
      <w:hyperlink r:id="rId84" w:history="1">
        <w:r w:rsidRPr="00855972">
          <w:rPr>
            <w:rStyle w:val="Hyperlink"/>
          </w:rPr>
          <w:t>Department of Energy, Mines, Industry Regulation and Safety - WorkSafe Group (Western Australia)</w:t>
        </w:r>
      </w:hyperlink>
    </w:p>
  </w:footnote>
  <w:footnote w:id="78">
    <w:p w14:paraId="10DFEF3C" w14:textId="1633427B" w:rsidR="00411242" w:rsidRDefault="00411242">
      <w:pPr>
        <w:pStyle w:val="FootnoteText"/>
      </w:pPr>
      <w:r>
        <w:rPr>
          <w:rStyle w:val="FootnoteReference"/>
        </w:rPr>
        <w:footnoteRef/>
      </w:r>
      <w:r>
        <w:t xml:space="preserve"> </w:t>
      </w:r>
      <w:r w:rsidRPr="00327FFE">
        <w:t>Anonymous (</w:t>
      </w:r>
      <w:r w:rsidR="00776BAD">
        <w:t>p</w:t>
      </w:r>
      <w:r w:rsidRPr="00327FFE">
        <w:t>ermission not granted for publication)</w:t>
      </w:r>
    </w:p>
  </w:footnote>
  <w:footnote w:id="79">
    <w:p w14:paraId="347B9541" w14:textId="370B06B6" w:rsidR="00A03E76" w:rsidRDefault="00A03E76">
      <w:pPr>
        <w:pStyle w:val="FootnoteText"/>
      </w:pPr>
      <w:r>
        <w:rPr>
          <w:rStyle w:val="FootnoteReference"/>
        </w:rPr>
        <w:footnoteRef/>
      </w:r>
      <w:r>
        <w:t xml:space="preserve"> </w:t>
      </w:r>
      <w:hyperlink r:id="rId85" w:history="1">
        <w:r w:rsidRPr="00B42637">
          <w:rPr>
            <w:rStyle w:val="Hyperlink"/>
          </w:rPr>
          <w:t>Anonymous</w:t>
        </w:r>
      </w:hyperlink>
    </w:p>
  </w:footnote>
  <w:footnote w:id="80">
    <w:p w14:paraId="0360235E" w14:textId="3F3A3F9F" w:rsidR="00350DC9" w:rsidRDefault="00350DC9">
      <w:pPr>
        <w:pStyle w:val="FootnoteText"/>
      </w:pPr>
      <w:r>
        <w:rPr>
          <w:rStyle w:val="FootnoteReference"/>
        </w:rPr>
        <w:footnoteRef/>
      </w:r>
      <w:r>
        <w:t xml:space="preserve"> </w:t>
      </w:r>
      <w:r w:rsidRPr="00327FFE">
        <w:t>Anonymous (</w:t>
      </w:r>
      <w:r w:rsidR="00776BAD">
        <w:t>p</w:t>
      </w:r>
      <w:r w:rsidRPr="00327FFE">
        <w:t>ermission not granted for publication)</w:t>
      </w:r>
    </w:p>
  </w:footnote>
  <w:footnote w:id="81">
    <w:p w14:paraId="0AB410DE" w14:textId="450A7851" w:rsidR="00783004" w:rsidRDefault="00783004">
      <w:pPr>
        <w:pStyle w:val="FootnoteText"/>
      </w:pPr>
      <w:r>
        <w:rPr>
          <w:rStyle w:val="FootnoteReference"/>
        </w:rPr>
        <w:footnoteRef/>
      </w:r>
      <w:r>
        <w:t xml:space="preserve"> </w:t>
      </w:r>
      <w:hyperlink r:id="rId86" w:history="1">
        <w:r w:rsidRPr="00783004">
          <w:rPr>
            <w:rStyle w:val="Hyperlink"/>
          </w:rPr>
          <w:t>Anonymous</w:t>
        </w:r>
      </w:hyperlink>
    </w:p>
  </w:footnote>
  <w:footnote w:id="82">
    <w:p w14:paraId="0411334C" w14:textId="31ADBB80" w:rsidR="00E44123" w:rsidRDefault="00E44123">
      <w:pPr>
        <w:pStyle w:val="FootnoteText"/>
      </w:pPr>
      <w:r>
        <w:rPr>
          <w:rStyle w:val="FootnoteReference"/>
        </w:rPr>
        <w:footnoteRef/>
      </w:r>
      <w:r>
        <w:t xml:space="preserve"> </w:t>
      </w:r>
      <w:hyperlink r:id="rId87" w:history="1">
        <w:r w:rsidR="00A04CB3" w:rsidRPr="00D74D5F">
          <w:rPr>
            <w:rStyle w:val="Hyperlink"/>
          </w:rPr>
          <w:t>Water Services Association of Australia</w:t>
        </w:r>
      </w:hyperlink>
    </w:p>
  </w:footnote>
  <w:footnote w:id="83">
    <w:p w14:paraId="3BD2199F" w14:textId="77777777" w:rsidR="002D6FFC" w:rsidRDefault="002D6FFC" w:rsidP="002D6FFC">
      <w:pPr>
        <w:pStyle w:val="FootnoteText"/>
      </w:pPr>
      <w:r>
        <w:rPr>
          <w:rStyle w:val="FootnoteReference"/>
        </w:rPr>
        <w:footnoteRef/>
      </w:r>
      <w:r>
        <w:t xml:space="preserve">The evaluation report for copper can be accessed </w:t>
      </w:r>
      <w:hyperlink r:id="rId88" w:history="1">
        <w:r w:rsidRPr="00875476">
          <w:rPr>
            <w:rStyle w:val="Hyperlink"/>
          </w:rPr>
          <w:t>here</w:t>
        </w:r>
      </w:hyperlink>
      <w:r>
        <w:t>. In response to stakeholder feedback to inform this Decision RIS and following a review of evidence cited by the DFG and SCOEL, it was clarified that measurement is of the respirable fraction for the proposed TWA.</w:t>
      </w:r>
    </w:p>
  </w:footnote>
  <w:footnote w:id="84">
    <w:p w14:paraId="0EB064AF" w14:textId="45BBB8C9" w:rsidR="00DD44ED" w:rsidRDefault="00DD44ED">
      <w:pPr>
        <w:pStyle w:val="FootnoteText"/>
      </w:pPr>
      <w:r>
        <w:rPr>
          <w:rStyle w:val="FootnoteReference"/>
        </w:rPr>
        <w:footnoteRef/>
      </w:r>
      <w:r>
        <w:t xml:space="preserve"> </w:t>
      </w:r>
      <w:r w:rsidRPr="00DD44ED">
        <w:t>Submission from Anonymous (Permission not granted for publication)</w:t>
      </w:r>
    </w:p>
  </w:footnote>
  <w:footnote w:id="85">
    <w:p w14:paraId="58A68471" w14:textId="70F00238" w:rsidR="003D6B61" w:rsidRDefault="003D6B61">
      <w:pPr>
        <w:pStyle w:val="FootnoteText"/>
      </w:pPr>
      <w:r>
        <w:rPr>
          <w:rStyle w:val="FootnoteReference"/>
        </w:rPr>
        <w:footnoteRef/>
      </w:r>
      <w:r>
        <w:t xml:space="preserve"> While the </w:t>
      </w:r>
      <w:r w:rsidRPr="00625E6F">
        <w:rPr>
          <w:i/>
        </w:rPr>
        <w:t>Copper evaluation report</w:t>
      </w:r>
      <w:r>
        <w:t xml:space="preserve"> states the proposed WEL is intended to protect workers from irritation of the respiratory tract and </w:t>
      </w:r>
      <w:r w:rsidR="00247EA2">
        <w:t xml:space="preserve">adverse lung effects, information sourced </w:t>
      </w:r>
      <w:r w:rsidR="008000AE">
        <w:t xml:space="preserve">from the American Conference of Government Industrial </w:t>
      </w:r>
      <w:r w:rsidR="00F55643">
        <w:t>Hygienist</w:t>
      </w:r>
      <w:r w:rsidR="008000AE">
        <w:t xml:space="preserve"> (ACGIH)</w:t>
      </w:r>
      <w:r w:rsidR="00247EA2">
        <w:t xml:space="preserve"> stated </w:t>
      </w:r>
      <w:r w:rsidR="008000AE">
        <w:t xml:space="preserve">more specifically that </w:t>
      </w:r>
      <w:r w:rsidR="00247EA2">
        <w:t xml:space="preserve">the </w:t>
      </w:r>
      <w:r w:rsidR="008000AE">
        <w:t>irritation occurs in the upper respiratory tract</w:t>
      </w:r>
      <w:r w:rsidR="00F55643">
        <w:t xml:space="preserve"> </w:t>
      </w:r>
      <w:sdt>
        <w:sdtPr>
          <w:id w:val="1074481668"/>
          <w:citation/>
        </w:sdtPr>
        <w:sdtEndPr/>
        <w:sdtContent>
          <w:r w:rsidR="00F55643">
            <w:fldChar w:fldCharType="begin"/>
          </w:r>
          <w:r w:rsidR="00F55643">
            <w:instrText xml:space="preserve"> CITATION Saf194 \l 3081 </w:instrText>
          </w:r>
          <w:r w:rsidR="00F55643">
            <w:fldChar w:fldCharType="separate"/>
          </w:r>
          <w:r w:rsidR="00490B21">
            <w:rPr>
              <w:noProof/>
            </w:rPr>
            <w:t>(Safe Work Australia, 2019)</w:t>
          </w:r>
          <w:r w:rsidR="00F55643">
            <w:fldChar w:fldCharType="end"/>
          </w:r>
        </w:sdtContent>
      </w:sdt>
      <w:r w:rsidR="008000AE">
        <w:t>.</w:t>
      </w:r>
      <w:r w:rsidR="001E7842">
        <w:t xml:space="preserve"> </w:t>
      </w:r>
    </w:p>
  </w:footnote>
  <w:footnote w:id="86">
    <w:p w14:paraId="49766C4C" w14:textId="58354439" w:rsidR="00552638" w:rsidRDefault="00552638">
      <w:pPr>
        <w:pStyle w:val="FootnoteText"/>
      </w:pPr>
      <w:r>
        <w:rPr>
          <w:rStyle w:val="FootnoteReference"/>
        </w:rPr>
        <w:footnoteRef/>
      </w:r>
      <w:r>
        <w:t xml:space="preserve"> </w:t>
      </w:r>
      <w:r w:rsidR="005A072F">
        <w:t xml:space="preserve">Submissions from </w:t>
      </w:r>
      <w:hyperlink r:id="rId89" w:history="1">
        <w:r w:rsidR="00EA63D4" w:rsidRPr="00FB0C43">
          <w:rPr>
            <w:rStyle w:val="Hyperlink"/>
          </w:rPr>
          <w:t xml:space="preserve">Queensland </w:t>
        </w:r>
        <w:r w:rsidR="00B13993" w:rsidRPr="00FB0C43">
          <w:rPr>
            <w:rStyle w:val="Hyperlink"/>
          </w:rPr>
          <w:t>Nurses and Midwives’ Union</w:t>
        </w:r>
      </w:hyperlink>
      <w:r w:rsidR="00BF6C2D">
        <w:t xml:space="preserve">, </w:t>
      </w:r>
      <w:hyperlink r:id="rId90" w:history="1">
        <w:r w:rsidR="00BF6C2D" w:rsidRPr="006D4EEC">
          <w:rPr>
            <w:rStyle w:val="Hyperlink"/>
          </w:rPr>
          <w:t>Anonymous</w:t>
        </w:r>
      </w:hyperlink>
      <w:r w:rsidR="00BF6C2D">
        <w:t xml:space="preserve">, </w:t>
      </w:r>
      <w:hyperlink r:id="rId91" w:history="1">
        <w:r w:rsidR="00BF6C2D" w:rsidRPr="00D21BD7">
          <w:rPr>
            <w:rStyle w:val="Hyperlink"/>
          </w:rPr>
          <w:t>Australian Co</w:t>
        </w:r>
        <w:bookmarkStart w:id="223" w:name="_Hlt209514942"/>
        <w:bookmarkStart w:id="224" w:name="_Hlt209514943"/>
        <w:r w:rsidR="00BF6C2D" w:rsidRPr="00D21BD7">
          <w:rPr>
            <w:rStyle w:val="Hyperlink"/>
          </w:rPr>
          <w:t>u</w:t>
        </w:r>
        <w:bookmarkEnd w:id="223"/>
        <w:bookmarkEnd w:id="224"/>
        <w:r w:rsidR="00BF6C2D" w:rsidRPr="00D21BD7">
          <w:rPr>
            <w:rStyle w:val="Hyperlink"/>
          </w:rPr>
          <w:t>ncil of Trade Unions</w:t>
        </w:r>
      </w:hyperlink>
      <w:r w:rsidR="00BF6C2D">
        <w:t xml:space="preserve">, and </w:t>
      </w:r>
      <w:hyperlink r:id="rId92" w:history="1">
        <w:r w:rsidR="00BF6C2D" w:rsidRPr="002A54EC">
          <w:rPr>
            <w:rStyle w:val="Hyperlink"/>
          </w:rPr>
          <w:t>Victorian Trades Hall Council</w:t>
        </w:r>
      </w:hyperlink>
    </w:p>
  </w:footnote>
  <w:footnote w:id="87">
    <w:p w14:paraId="5D8F95A4" w14:textId="067E3EF4" w:rsidR="00714AC5" w:rsidRDefault="00714AC5">
      <w:pPr>
        <w:pStyle w:val="FootnoteText"/>
      </w:pPr>
      <w:r>
        <w:rPr>
          <w:rStyle w:val="FootnoteReference"/>
        </w:rPr>
        <w:footnoteRef/>
      </w:r>
      <w:r w:rsidR="0015257F">
        <w:t xml:space="preserve"> </w:t>
      </w:r>
      <w:hyperlink r:id="rId93" w:history="1">
        <w:r w:rsidR="0015257F" w:rsidRPr="00E36553">
          <w:rPr>
            <w:rStyle w:val="Hyperlink"/>
          </w:rPr>
          <w:t>Robyn Schofield</w:t>
        </w:r>
      </w:hyperlink>
    </w:p>
  </w:footnote>
  <w:footnote w:id="88">
    <w:p w14:paraId="0B682328" w14:textId="4E6F1E88" w:rsidR="00D27065" w:rsidRDefault="00D27065">
      <w:pPr>
        <w:pStyle w:val="FootnoteText"/>
      </w:pPr>
      <w:r>
        <w:rPr>
          <w:rStyle w:val="FootnoteReference"/>
        </w:rPr>
        <w:footnoteRef/>
      </w:r>
      <w:r>
        <w:t xml:space="preserve"> </w:t>
      </w:r>
      <w:r w:rsidR="00BF6C2D">
        <w:t xml:space="preserve">Submissions from </w:t>
      </w:r>
      <w:hyperlink r:id="rId94" w:history="1">
        <w:r w:rsidRPr="002300B5">
          <w:rPr>
            <w:rStyle w:val="Hyperlink"/>
          </w:rPr>
          <w:t>Dep</w:t>
        </w:r>
        <w:r w:rsidR="006B0207" w:rsidRPr="002300B5">
          <w:rPr>
            <w:rStyle w:val="Hyperlink"/>
          </w:rPr>
          <w:t>artmen</w:t>
        </w:r>
        <w:r w:rsidRPr="002300B5">
          <w:rPr>
            <w:rStyle w:val="Hyperlink"/>
          </w:rPr>
          <w:t>t of Defence</w:t>
        </w:r>
      </w:hyperlink>
      <w:r w:rsidR="00BF6C2D">
        <w:t xml:space="preserve">, </w:t>
      </w:r>
      <w:r w:rsidR="001107E9" w:rsidRPr="001107E9">
        <w:t>Anonymous (</w:t>
      </w:r>
      <w:r w:rsidR="00F964AF">
        <w:t>p</w:t>
      </w:r>
      <w:r w:rsidR="001107E9" w:rsidRPr="001107E9">
        <w:t>ermission not granted for publication</w:t>
      </w:r>
      <w:r w:rsidR="001107E9">
        <w:t xml:space="preserve">, </w:t>
      </w:r>
      <w:hyperlink r:id="rId95" w:history="1">
        <w:r w:rsidR="00BA41C3" w:rsidRPr="00A60F51">
          <w:rPr>
            <w:rStyle w:val="Hyperlink"/>
          </w:rPr>
          <w:t>International Copper Association</w:t>
        </w:r>
      </w:hyperlink>
      <w:r w:rsidR="00A23813">
        <w:t>,</w:t>
      </w:r>
      <w:r w:rsidR="00BA41C3">
        <w:t xml:space="preserve"> </w:t>
      </w:r>
      <w:hyperlink r:id="rId96" w:history="1">
        <w:r w:rsidR="00BA41C3" w:rsidRPr="00E95292">
          <w:rPr>
            <w:rStyle w:val="Hyperlink"/>
          </w:rPr>
          <w:t>Chemistry Australia</w:t>
        </w:r>
      </w:hyperlink>
      <w:r w:rsidR="00BA41C3">
        <w:t xml:space="preserve">, </w:t>
      </w:r>
      <w:r w:rsidR="00F34D0D" w:rsidRPr="00F34D0D">
        <w:t>Anonymous (</w:t>
      </w:r>
      <w:r w:rsidR="00F964AF">
        <w:t>p</w:t>
      </w:r>
      <w:r w:rsidR="00F34D0D" w:rsidRPr="00F34D0D">
        <w:t>ermission not granted for publication</w:t>
      </w:r>
      <w:r w:rsidR="00F34D0D">
        <w:t>)</w:t>
      </w:r>
      <w:r w:rsidR="00B94524">
        <w:t xml:space="preserve">, </w:t>
      </w:r>
      <w:r w:rsidR="00E269E2" w:rsidRPr="00E269E2">
        <w:t>Anonymous (</w:t>
      </w:r>
      <w:r w:rsidR="00F964AF">
        <w:t>p</w:t>
      </w:r>
      <w:r w:rsidR="00E269E2" w:rsidRPr="00E269E2">
        <w:t>ermission not granted for publication</w:t>
      </w:r>
      <w:r w:rsidR="00E269E2">
        <w:t xml:space="preserve">, </w:t>
      </w:r>
      <w:r w:rsidR="00E269E2" w:rsidRPr="00E269E2">
        <w:t>Anonymous (</w:t>
      </w:r>
      <w:r w:rsidR="00F964AF">
        <w:t>p</w:t>
      </w:r>
      <w:r w:rsidR="00E269E2" w:rsidRPr="00E269E2">
        <w:t>ermission not granted for publication</w:t>
      </w:r>
      <w:r w:rsidR="00E269E2">
        <w:t xml:space="preserve">), </w:t>
      </w:r>
      <w:hyperlink r:id="rId97" w:history="1">
        <w:r w:rsidR="00BA41C3" w:rsidRPr="006F7DB5">
          <w:rPr>
            <w:rStyle w:val="Hyperlink"/>
          </w:rPr>
          <w:t>Australian Chamber of Commerce</w:t>
        </w:r>
        <w:bookmarkStart w:id="225" w:name="_Hlt209514493"/>
        <w:bookmarkStart w:id="226" w:name="_Hlt209514494"/>
        <w:bookmarkEnd w:id="225"/>
        <w:bookmarkEnd w:id="226"/>
        <w:r w:rsidR="00BA41C3" w:rsidRPr="006F7DB5">
          <w:rPr>
            <w:rStyle w:val="Hyperlink"/>
          </w:rPr>
          <w:t xml:space="preserve"> and Industry</w:t>
        </w:r>
      </w:hyperlink>
      <w:r w:rsidR="00BA41C3">
        <w:t xml:space="preserve">, and </w:t>
      </w:r>
      <w:hyperlink r:id="rId98" w:history="1">
        <w:r w:rsidR="00BA41C3" w:rsidRPr="00467091">
          <w:rPr>
            <w:rStyle w:val="Hyperlink"/>
          </w:rPr>
          <w:t>Australian Industry Group</w:t>
        </w:r>
      </w:hyperlink>
    </w:p>
  </w:footnote>
  <w:footnote w:id="89">
    <w:p w14:paraId="7188F539" w14:textId="6033E309" w:rsidR="00F34D0D" w:rsidRDefault="00F34D0D">
      <w:pPr>
        <w:pStyle w:val="FootnoteText"/>
      </w:pPr>
      <w:r>
        <w:rPr>
          <w:rStyle w:val="FootnoteReference"/>
        </w:rPr>
        <w:footnoteRef/>
      </w:r>
      <w:r>
        <w:t xml:space="preserve"> </w:t>
      </w:r>
      <w:r w:rsidRPr="00F34D0D">
        <w:t>Anonymous (</w:t>
      </w:r>
      <w:r w:rsidR="00F964AF">
        <w:t>p</w:t>
      </w:r>
      <w:r w:rsidRPr="00F34D0D">
        <w:t>ermission not granted for publication</w:t>
      </w:r>
    </w:p>
  </w:footnote>
  <w:footnote w:id="90">
    <w:p w14:paraId="7E6E58E0" w14:textId="530184EE" w:rsidR="00485F22" w:rsidRDefault="00485F22">
      <w:pPr>
        <w:pStyle w:val="FootnoteText"/>
      </w:pPr>
      <w:r>
        <w:rPr>
          <w:rStyle w:val="FootnoteReference"/>
        </w:rPr>
        <w:footnoteRef/>
      </w:r>
      <w:r>
        <w:t xml:space="preserve"> </w:t>
      </w:r>
      <w:r w:rsidR="00E65D66">
        <w:t xml:space="preserve">Submissions from </w:t>
      </w:r>
      <w:hyperlink r:id="rId99" w:history="1">
        <w:r w:rsidRPr="002300B5">
          <w:rPr>
            <w:rStyle w:val="Hyperlink"/>
          </w:rPr>
          <w:t>Dep</w:t>
        </w:r>
        <w:r w:rsidR="006B0207" w:rsidRPr="002300B5">
          <w:rPr>
            <w:rStyle w:val="Hyperlink"/>
          </w:rPr>
          <w:t>artmen</w:t>
        </w:r>
        <w:r w:rsidRPr="002300B5">
          <w:rPr>
            <w:rStyle w:val="Hyperlink"/>
          </w:rPr>
          <w:t>t of Defence</w:t>
        </w:r>
      </w:hyperlink>
      <w:r w:rsidR="00AD5B32">
        <w:t xml:space="preserve">, </w:t>
      </w:r>
      <w:hyperlink r:id="rId100" w:history="1">
        <w:r w:rsidR="00AD5B32" w:rsidRPr="00C66BB0">
          <w:rPr>
            <w:rStyle w:val="Hyperlink"/>
          </w:rPr>
          <w:t xml:space="preserve">Australian </w:t>
        </w:r>
        <w:r w:rsidR="00CE0405" w:rsidRPr="00C66BB0">
          <w:rPr>
            <w:rStyle w:val="Hyperlink"/>
          </w:rPr>
          <w:t>Chamber of Commerce and Industry</w:t>
        </w:r>
      </w:hyperlink>
      <w:r w:rsidR="00CE0405">
        <w:t xml:space="preserve">, </w:t>
      </w:r>
      <w:hyperlink r:id="rId101" w:history="1">
        <w:r w:rsidR="00A76436" w:rsidRPr="00C66BB0">
          <w:rPr>
            <w:rStyle w:val="Hyperlink"/>
          </w:rPr>
          <w:t>The Chamber of Min</w:t>
        </w:r>
        <w:r w:rsidR="001F2E50" w:rsidRPr="00C66BB0">
          <w:rPr>
            <w:rStyle w:val="Hyperlink"/>
          </w:rPr>
          <w:t>ing and Energy of Western Australia</w:t>
        </w:r>
      </w:hyperlink>
      <w:r w:rsidR="00C66BB0">
        <w:t>,</w:t>
      </w:r>
      <w:r w:rsidR="00E65D66">
        <w:t xml:space="preserve"> </w:t>
      </w:r>
      <w:r w:rsidR="00DE41AC">
        <w:t xml:space="preserve">Australian Industry Group, </w:t>
      </w:r>
      <w:hyperlink r:id="rId102" w:history="1">
        <w:r w:rsidR="0001439E" w:rsidRPr="001508D3">
          <w:rPr>
            <w:rStyle w:val="Hyperlink"/>
          </w:rPr>
          <w:t>Australian Industry Group</w:t>
        </w:r>
      </w:hyperlink>
      <w:r w:rsidR="0001439E">
        <w:t xml:space="preserve"> </w:t>
      </w:r>
      <w:r w:rsidR="00E65D66">
        <w:t xml:space="preserve">and </w:t>
      </w:r>
      <w:hyperlink r:id="rId103" w:history="1">
        <w:r w:rsidR="00E65D66" w:rsidRPr="00C66BB0">
          <w:rPr>
            <w:rStyle w:val="Hyperlink"/>
          </w:rPr>
          <w:t>Minerals Council of Australia</w:t>
        </w:r>
      </w:hyperlink>
      <w:r w:rsidR="00E65D66">
        <w:t xml:space="preserve">. </w:t>
      </w:r>
    </w:p>
  </w:footnote>
  <w:footnote w:id="91">
    <w:p w14:paraId="3B5787AE" w14:textId="7DCF970A" w:rsidR="00547018" w:rsidRDefault="00547018">
      <w:pPr>
        <w:pStyle w:val="FootnoteText"/>
      </w:pPr>
      <w:r>
        <w:rPr>
          <w:rStyle w:val="FootnoteReference"/>
        </w:rPr>
        <w:footnoteRef/>
      </w:r>
      <w:r>
        <w:t xml:space="preserve"> </w:t>
      </w:r>
      <w:r w:rsidR="0023024D">
        <w:t xml:space="preserve">Submissions from </w:t>
      </w:r>
      <w:r w:rsidR="0022250F" w:rsidRPr="0022250F">
        <w:t>Anonymous (</w:t>
      </w:r>
      <w:r w:rsidR="00F964AF">
        <w:t>p</w:t>
      </w:r>
      <w:r w:rsidR="0022250F" w:rsidRPr="0022250F">
        <w:t>ermission not granted for publication)</w:t>
      </w:r>
      <w:r w:rsidR="0022250F">
        <w:t xml:space="preserve">, </w:t>
      </w:r>
      <w:hyperlink r:id="rId104" w:history="1">
        <w:r w:rsidRPr="00547018">
          <w:rPr>
            <w:rStyle w:val="Hyperlink"/>
          </w:rPr>
          <w:t>Department of Energy, Mines, Industry Regulation and Safety - WorkSafe Group (Western Australia)</w:t>
        </w:r>
      </w:hyperlink>
      <w:r w:rsidR="0023024D">
        <w:t xml:space="preserve">, </w:t>
      </w:r>
      <w:hyperlink r:id="rId105" w:history="1">
        <w:r w:rsidR="0023024D" w:rsidRPr="00D758C6">
          <w:rPr>
            <w:rStyle w:val="Hyperlink"/>
          </w:rPr>
          <w:t>Australian Chamber of Commerce and Industry</w:t>
        </w:r>
      </w:hyperlink>
      <w:r w:rsidR="0023024D">
        <w:t xml:space="preserve">, and </w:t>
      </w:r>
      <w:hyperlink r:id="rId106" w:history="1">
        <w:r w:rsidR="006D5358" w:rsidRPr="00467091">
          <w:rPr>
            <w:rStyle w:val="Hyperlink"/>
          </w:rPr>
          <w:t>Australian Industry Group</w:t>
        </w:r>
      </w:hyperlink>
    </w:p>
  </w:footnote>
  <w:footnote w:id="92">
    <w:p w14:paraId="78B1A312" w14:textId="73731433" w:rsidR="00E62A4D" w:rsidRDefault="00E62A4D">
      <w:pPr>
        <w:pStyle w:val="FootnoteText"/>
      </w:pPr>
      <w:r>
        <w:rPr>
          <w:rStyle w:val="FootnoteReference"/>
        </w:rPr>
        <w:footnoteRef/>
      </w:r>
      <w:r>
        <w:t xml:space="preserve"> </w:t>
      </w:r>
      <w:hyperlink r:id="rId107" w:history="1">
        <w:r w:rsidRPr="002300B5">
          <w:rPr>
            <w:rStyle w:val="Hyperlink"/>
          </w:rPr>
          <w:t>Dep</w:t>
        </w:r>
        <w:r w:rsidR="006B0207" w:rsidRPr="002300B5">
          <w:rPr>
            <w:rStyle w:val="Hyperlink"/>
          </w:rPr>
          <w:t>artmen</w:t>
        </w:r>
        <w:r w:rsidRPr="002300B5">
          <w:rPr>
            <w:rStyle w:val="Hyperlink"/>
          </w:rPr>
          <w:t>t of Defence</w:t>
        </w:r>
      </w:hyperlink>
    </w:p>
  </w:footnote>
  <w:footnote w:id="93">
    <w:p w14:paraId="0366AC9D" w14:textId="674DF903" w:rsidR="00D47240" w:rsidRDefault="00D47240">
      <w:pPr>
        <w:pStyle w:val="FootnoteText"/>
      </w:pPr>
      <w:r>
        <w:rPr>
          <w:rStyle w:val="FootnoteReference"/>
        </w:rPr>
        <w:footnoteRef/>
      </w:r>
      <w:r>
        <w:t xml:space="preserve"> </w:t>
      </w:r>
      <w:r w:rsidR="000F4A31">
        <w:t xml:space="preserve">Submissions from </w:t>
      </w:r>
      <w:hyperlink r:id="rId108" w:history="1">
        <w:r w:rsidR="003F049D" w:rsidRPr="00D758C6">
          <w:rPr>
            <w:rStyle w:val="Hyperlink"/>
          </w:rPr>
          <w:t>Australian Chamber of Commerce and Industry</w:t>
        </w:r>
      </w:hyperlink>
      <w:r w:rsidR="000F4A31">
        <w:t xml:space="preserve">, and </w:t>
      </w:r>
      <w:hyperlink r:id="rId109" w:history="1">
        <w:r w:rsidR="000F4A31" w:rsidRPr="00467091">
          <w:rPr>
            <w:rStyle w:val="Hyperlink"/>
          </w:rPr>
          <w:t>Australian Industry Group</w:t>
        </w:r>
      </w:hyperlink>
    </w:p>
  </w:footnote>
  <w:footnote w:id="94">
    <w:p w14:paraId="693EEE39" w14:textId="5834885E" w:rsidR="00AD7AE3" w:rsidRDefault="00AD7AE3">
      <w:pPr>
        <w:pStyle w:val="FootnoteText"/>
      </w:pPr>
      <w:r>
        <w:rPr>
          <w:rStyle w:val="FootnoteReference"/>
        </w:rPr>
        <w:footnoteRef/>
      </w:r>
      <w:r>
        <w:t xml:space="preserve"> </w:t>
      </w:r>
      <w:r w:rsidR="000F4A31">
        <w:t xml:space="preserve">Submissions from </w:t>
      </w:r>
      <w:hyperlink r:id="rId110" w:history="1">
        <w:bookmarkStart w:id="227" w:name="_Hlt209514522"/>
        <w:bookmarkStart w:id="228" w:name="_Hlt209514521"/>
        <w:bookmarkStart w:id="229" w:name="_Hlt209514261"/>
        <w:bookmarkStart w:id="230" w:name="_Hlt209514260"/>
        <w:r w:rsidRPr="006D79E3">
          <w:rPr>
            <w:rStyle w:val="Hyperlink"/>
          </w:rPr>
          <w:t>Australian Chamber of Commerce and Industry</w:t>
        </w:r>
        <w:bookmarkEnd w:id="227"/>
        <w:bookmarkEnd w:id="228"/>
        <w:bookmarkEnd w:id="229"/>
        <w:bookmarkEnd w:id="230"/>
      </w:hyperlink>
      <w:r w:rsidR="00AC38D7">
        <w:t xml:space="preserve">, and </w:t>
      </w:r>
      <w:hyperlink r:id="rId111" w:history="1">
        <w:bookmarkStart w:id="231" w:name="_Hlt209513409"/>
        <w:bookmarkStart w:id="232" w:name="_Hlt209513408"/>
        <w:r w:rsidR="00AC38D7" w:rsidRPr="006D79E3">
          <w:rPr>
            <w:rStyle w:val="Hyperlink"/>
          </w:rPr>
          <w:t>Australian Industry Group</w:t>
        </w:r>
        <w:bookmarkEnd w:id="231"/>
        <w:bookmarkEnd w:id="232"/>
      </w:hyperlink>
    </w:p>
  </w:footnote>
  <w:footnote w:id="95">
    <w:p w14:paraId="3854F303" w14:textId="5BF22799" w:rsidR="008614BB" w:rsidRDefault="008614BB">
      <w:pPr>
        <w:pStyle w:val="FootnoteText"/>
      </w:pPr>
      <w:r>
        <w:rPr>
          <w:rStyle w:val="FootnoteReference"/>
        </w:rPr>
        <w:footnoteRef/>
      </w:r>
      <w:r>
        <w:t xml:space="preserve"> Submissions from </w:t>
      </w:r>
      <w:r w:rsidR="00327FFE" w:rsidRPr="00327FFE">
        <w:t>Anonymous (</w:t>
      </w:r>
      <w:r w:rsidR="00FD4D6E">
        <w:t>p</w:t>
      </w:r>
      <w:r w:rsidR="00327FFE" w:rsidRPr="00327FFE">
        <w:t>ermission not granted for publication)</w:t>
      </w:r>
      <w:r w:rsidR="00327FFE">
        <w:t xml:space="preserve">, </w:t>
      </w:r>
      <w:r w:rsidR="00327FFE" w:rsidRPr="00327FFE">
        <w:t>Anonymous (</w:t>
      </w:r>
      <w:r w:rsidR="00FD4D6E">
        <w:t>p</w:t>
      </w:r>
      <w:r w:rsidR="00327FFE" w:rsidRPr="00327FFE">
        <w:t>ermission not granted for publication)</w:t>
      </w:r>
      <w:r w:rsidR="00327FFE">
        <w:t xml:space="preserve"> and </w:t>
      </w:r>
      <w:r w:rsidR="00327FFE" w:rsidRPr="00327FFE">
        <w:t>Anonymous (</w:t>
      </w:r>
      <w:r w:rsidR="00FD4D6E">
        <w:t>p</w:t>
      </w:r>
      <w:r w:rsidR="00327FFE" w:rsidRPr="00327FFE">
        <w:t>ermission not granted for publication)</w:t>
      </w:r>
      <w:r w:rsidR="00327FFE">
        <w:t>.</w:t>
      </w:r>
    </w:p>
  </w:footnote>
  <w:footnote w:id="96">
    <w:p w14:paraId="6DA71076" w14:textId="66BD5F96" w:rsidR="00A34BF0" w:rsidRDefault="00A34BF0">
      <w:pPr>
        <w:pStyle w:val="FootnoteText"/>
      </w:pPr>
      <w:r>
        <w:rPr>
          <w:rStyle w:val="FootnoteReference"/>
        </w:rPr>
        <w:footnoteRef/>
      </w:r>
      <w:r>
        <w:t xml:space="preserve"> </w:t>
      </w:r>
      <w:hyperlink r:id="rId112" w:history="1">
        <w:bookmarkStart w:id="233" w:name="_Hlt209520480"/>
        <w:bookmarkStart w:id="234" w:name="_Hlt209520479"/>
        <w:r w:rsidRPr="006E3E9B">
          <w:rPr>
            <w:rStyle w:val="Hyperlink"/>
          </w:rPr>
          <w:t xml:space="preserve">International Copper </w:t>
        </w:r>
        <w:r w:rsidR="00ED4FC8" w:rsidRPr="006E3E9B">
          <w:rPr>
            <w:rStyle w:val="Hyperlink"/>
          </w:rPr>
          <w:t>Association</w:t>
        </w:r>
        <w:bookmarkEnd w:id="233"/>
        <w:bookmarkEnd w:id="234"/>
      </w:hyperlink>
    </w:p>
  </w:footnote>
  <w:footnote w:id="97">
    <w:p w14:paraId="05129CB4" w14:textId="256BB03C" w:rsidR="00344317" w:rsidRDefault="00344317">
      <w:pPr>
        <w:pStyle w:val="FootnoteText"/>
      </w:pPr>
      <w:r>
        <w:rPr>
          <w:rStyle w:val="FootnoteReference"/>
        </w:rPr>
        <w:footnoteRef/>
      </w:r>
      <w:r>
        <w:t xml:space="preserve"> </w:t>
      </w:r>
      <w:r w:rsidRPr="00344317">
        <w:t>Anonymous (</w:t>
      </w:r>
      <w:r w:rsidR="00FD4D6E">
        <w:t>p</w:t>
      </w:r>
      <w:r w:rsidRPr="00344317">
        <w:t>ermission not granted for publication)</w:t>
      </w:r>
    </w:p>
  </w:footnote>
  <w:footnote w:id="98">
    <w:p w14:paraId="40926A9C" w14:textId="0C6BD530" w:rsidR="0094429C" w:rsidRDefault="0094429C" w:rsidP="0094429C">
      <w:pPr>
        <w:pStyle w:val="FootnoteText"/>
      </w:pPr>
      <w:r>
        <w:rPr>
          <w:rStyle w:val="FootnoteReference"/>
        </w:rPr>
        <w:footnoteRef/>
      </w:r>
      <w:r>
        <w:t xml:space="preserve"> </w:t>
      </w:r>
      <w:r w:rsidR="00AC38D7">
        <w:t xml:space="preserve">Submissions from </w:t>
      </w:r>
      <w:hyperlink r:id="rId113" w:history="1">
        <w:r w:rsidRPr="00A368BD">
          <w:rPr>
            <w:rStyle w:val="Hyperlink"/>
          </w:rPr>
          <w:t>Dep</w:t>
        </w:r>
        <w:r w:rsidR="00AC38D7" w:rsidRPr="00A368BD">
          <w:rPr>
            <w:rStyle w:val="Hyperlink"/>
          </w:rPr>
          <w:t>artmen</w:t>
        </w:r>
        <w:r w:rsidRPr="00A368BD">
          <w:rPr>
            <w:rStyle w:val="Hyperlink"/>
          </w:rPr>
          <w:t>t of Defence</w:t>
        </w:r>
      </w:hyperlink>
      <w:r w:rsidR="00AC38D7">
        <w:t xml:space="preserve">, </w:t>
      </w:r>
      <w:hyperlink r:id="rId114" w:history="1">
        <w:r w:rsidR="00CF36E0" w:rsidRPr="00B2391A">
          <w:rPr>
            <w:rStyle w:val="Hyperlink"/>
          </w:rPr>
          <w:t xml:space="preserve">The </w:t>
        </w:r>
        <w:r w:rsidR="00AC38D7" w:rsidRPr="00B2391A">
          <w:rPr>
            <w:rStyle w:val="Hyperlink"/>
          </w:rPr>
          <w:t xml:space="preserve">Chamber of </w:t>
        </w:r>
        <w:r w:rsidR="00536117" w:rsidRPr="00B2391A">
          <w:rPr>
            <w:rStyle w:val="Hyperlink"/>
          </w:rPr>
          <w:t>Minerals</w:t>
        </w:r>
        <w:r w:rsidR="00AC38D7" w:rsidRPr="00B2391A">
          <w:rPr>
            <w:rStyle w:val="Hyperlink"/>
          </w:rPr>
          <w:t xml:space="preserve"> and Energy of Western Australia</w:t>
        </w:r>
      </w:hyperlink>
      <w:r w:rsidR="00AC38D7">
        <w:t xml:space="preserve">, </w:t>
      </w:r>
      <w:hyperlink r:id="rId115" w:history="1">
        <w:r w:rsidR="00AC38D7" w:rsidRPr="008118A1">
          <w:rPr>
            <w:rStyle w:val="Hyperlink"/>
          </w:rPr>
          <w:t>Minerals Council of Australia</w:t>
        </w:r>
      </w:hyperlink>
      <w:r w:rsidR="00AC38D7">
        <w:t xml:space="preserve">, </w:t>
      </w:r>
      <w:hyperlink r:id="rId116" w:history="1">
        <w:bookmarkStart w:id="235" w:name="_Hlt209514534"/>
        <w:bookmarkStart w:id="236" w:name="_Hlt209514533"/>
        <w:r w:rsidR="00AC38D7" w:rsidRPr="0094429C">
          <w:rPr>
            <w:rStyle w:val="Hyperlink"/>
          </w:rPr>
          <w:t>Australian Chamber of Commerce and Industry</w:t>
        </w:r>
        <w:bookmarkEnd w:id="235"/>
        <w:bookmarkEnd w:id="236"/>
      </w:hyperlink>
      <w:r w:rsidR="00AC38D7">
        <w:t xml:space="preserve">, and </w:t>
      </w:r>
      <w:hyperlink r:id="rId117" w:history="1">
        <w:r w:rsidR="00AC38D7" w:rsidRPr="0094429C">
          <w:rPr>
            <w:rStyle w:val="Hyperlink"/>
          </w:rPr>
          <w:t>Australian Industry Group</w:t>
        </w:r>
      </w:hyperlink>
    </w:p>
  </w:footnote>
  <w:footnote w:id="99">
    <w:p w14:paraId="0A8E01D2" w14:textId="61149DCF" w:rsidR="003C6444" w:rsidRDefault="003C6444">
      <w:pPr>
        <w:pStyle w:val="FootnoteText"/>
      </w:pPr>
      <w:r>
        <w:rPr>
          <w:rStyle w:val="FootnoteReference"/>
        </w:rPr>
        <w:footnoteRef/>
      </w:r>
      <w:r>
        <w:t xml:space="preserve"> </w:t>
      </w:r>
      <w:hyperlink r:id="rId118" w:history="1">
        <w:r w:rsidR="00F74CDD" w:rsidRPr="00F74CDD">
          <w:rPr>
            <w:rStyle w:val="Hyperlink"/>
          </w:rPr>
          <w:t xml:space="preserve">The </w:t>
        </w:r>
        <w:r w:rsidR="00AF0D36" w:rsidRPr="00F74CDD">
          <w:rPr>
            <w:rStyle w:val="Hyperlink"/>
          </w:rPr>
          <w:t xml:space="preserve">Chamber of </w:t>
        </w:r>
        <w:r w:rsidR="00536117">
          <w:rPr>
            <w:rStyle w:val="Hyperlink"/>
          </w:rPr>
          <w:t>Minerals</w:t>
        </w:r>
        <w:r w:rsidR="00AF0D36" w:rsidRPr="00F74CDD">
          <w:rPr>
            <w:rStyle w:val="Hyperlink"/>
          </w:rPr>
          <w:t xml:space="preserve"> and Energy of Western Australia</w:t>
        </w:r>
      </w:hyperlink>
    </w:p>
  </w:footnote>
  <w:footnote w:id="100">
    <w:p w14:paraId="45697FF2" w14:textId="09C3A865" w:rsidR="00810DA0" w:rsidRDefault="00810DA0">
      <w:pPr>
        <w:pStyle w:val="FootnoteText"/>
      </w:pPr>
      <w:r>
        <w:rPr>
          <w:rStyle w:val="FootnoteReference"/>
        </w:rPr>
        <w:footnoteRef/>
      </w:r>
      <w:r>
        <w:t xml:space="preserve"> </w:t>
      </w:r>
      <w:r w:rsidR="00AC38D7">
        <w:t xml:space="preserve">Submissions from </w:t>
      </w:r>
      <w:hyperlink r:id="rId119" w:history="1">
        <w:r w:rsidR="006158B8" w:rsidRPr="006158B8">
          <w:rPr>
            <w:rStyle w:val="Hyperlink"/>
          </w:rPr>
          <w:t>Australian Chamber of Commerce and Industry</w:t>
        </w:r>
      </w:hyperlink>
      <w:r w:rsidR="009640A9">
        <w:t xml:space="preserve">, and </w:t>
      </w:r>
      <w:bookmarkStart w:id="237" w:name="_Hlt209513822"/>
      <w:bookmarkStart w:id="238" w:name="_Hlt209513823"/>
      <w:r w:rsidR="009640A9">
        <w:fldChar w:fldCharType="begin"/>
      </w:r>
      <w:r w:rsidR="009640A9">
        <w:instrText>HYPERLINK "https://app.converlens.com/safework/wel-consultation/ris-survey/view/85"</w:instrText>
      </w:r>
      <w:r w:rsidR="009640A9">
        <w:fldChar w:fldCharType="separate"/>
      </w:r>
      <w:r w:rsidR="009640A9" w:rsidRPr="00F74CDD">
        <w:rPr>
          <w:rStyle w:val="Hyperlink"/>
        </w:rPr>
        <w:t xml:space="preserve">The Chamber of </w:t>
      </w:r>
      <w:r w:rsidR="00536117">
        <w:rPr>
          <w:rStyle w:val="Hyperlink"/>
        </w:rPr>
        <w:t>Minerals</w:t>
      </w:r>
      <w:r w:rsidR="009640A9" w:rsidRPr="00F74CDD">
        <w:rPr>
          <w:rStyle w:val="Hyperlink"/>
        </w:rPr>
        <w:t xml:space="preserve"> and Energy of Western Australia</w:t>
      </w:r>
      <w:r w:rsidR="009640A9">
        <w:fldChar w:fldCharType="end"/>
      </w:r>
      <w:bookmarkEnd w:id="237"/>
      <w:bookmarkEnd w:id="238"/>
    </w:p>
  </w:footnote>
  <w:footnote w:id="101">
    <w:p w14:paraId="5E2D24BC" w14:textId="78439DEE" w:rsidR="00E04BD0" w:rsidRDefault="00E04BD0">
      <w:pPr>
        <w:pStyle w:val="FootnoteText"/>
      </w:pPr>
      <w:r>
        <w:rPr>
          <w:rStyle w:val="FootnoteReference"/>
        </w:rPr>
        <w:footnoteRef/>
      </w:r>
      <w:r>
        <w:t xml:space="preserve"> </w:t>
      </w:r>
      <w:r w:rsidRPr="00E04BD0">
        <w:t>Anonymous (</w:t>
      </w:r>
      <w:r w:rsidR="009D263F">
        <w:t>p</w:t>
      </w:r>
      <w:r w:rsidRPr="00E04BD0">
        <w:t>ermission not granted for publication)</w:t>
      </w:r>
    </w:p>
  </w:footnote>
  <w:footnote w:id="102">
    <w:p w14:paraId="08498E45" w14:textId="4706A833" w:rsidR="00E73BBD" w:rsidRDefault="00E73BBD">
      <w:pPr>
        <w:pStyle w:val="FootnoteText"/>
      </w:pPr>
      <w:r>
        <w:rPr>
          <w:rStyle w:val="FootnoteReference"/>
        </w:rPr>
        <w:footnoteRef/>
      </w:r>
      <w:r>
        <w:t xml:space="preserve"> </w:t>
      </w:r>
      <w:hyperlink r:id="rId120" w:history="1">
        <w:r w:rsidRPr="00E73BBD">
          <w:rPr>
            <w:rStyle w:val="Hyperlink"/>
          </w:rPr>
          <w:t>Department of Energy, Mines, Industry Regulation and Safety - WorkSafe Group (Western Australia)</w:t>
        </w:r>
      </w:hyperlink>
    </w:p>
  </w:footnote>
  <w:footnote w:id="103">
    <w:p w14:paraId="6BDFBFF1" w14:textId="75DB9B27" w:rsidR="005A79DB" w:rsidRDefault="005A79DB">
      <w:pPr>
        <w:pStyle w:val="FootnoteText"/>
      </w:pPr>
      <w:r>
        <w:rPr>
          <w:rStyle w:val="FootnoteReference"/>
        </w:rPr>
        <w:footnoteRef/>
      </w:r>
      <w:r>
        <w:t xml:space="preserve"> NIOSH 73</w:t>
      </w:r>
      <w:r w:rsidR="00070C8B">
        <w:t>03, OSHA ID 1006, IRSST Analytical Method 362</w:t>
      </w:r>
      <w:r w:rsidR="00187AE9">
        <w:t>, MTA/MA – 065/A16</w:t>
      </w:r>
    </w:p>
  </w:footnote>
  <w:footnote w:id="104">
    <w:p w14:paraId="20F87AE9" w14:textId="4AFFF2AE" w:rsidR="00A5393D" w:rsidRDefault="00A5393D">
      <w:pPr>
        <w:pStyle w:val="FootnoteText"/>
      </w:pPr>
      <w:r>
        <w:rPr>
          <w:rStyle w:val="FootnoteReference"/>
        </w:rPr>
        <w:footnoteRef/>
      </w:r>
      <w:r w:rsidR="00F86B84">
        <w:t xml:space="preserve"> Submissions from</w:t>
      </w:r>
      <w:r>
        <w:t xml:space="preserve"> </w:t>
      </w:r>
      <w:hyperlink r:id="rId121" w:history="1">
        <w:r w:rsidR="00536117" w:rsidRPr="00B2391A">
          <w:rPr>
            <w:rStyle w:val="Hyperlink"/>
          </w:rPr>
          <w:t>The Chamber of Minerals and Energy of Western Australia</w:t>
        </w:r>
      </w:hyperlink>
      <w:r w:rsidR="00BF3C57">
        <w:t xml:space="preserve"> and </w:t>
      </w:r>
      <w:r w:rsidR="00BF3C57" w:rsidRPr="00BF3C57">
        <w:t>Anonymous (</w:t>
      </w:r>
      <w:r w:rsidR="009D263F">
        <w:t>p</w:t>
      </w:r>
      <w:r w:rsidR="00BF3C57" w:rsidRPr="00BF3C57">
        <w:t>ermission not granted for publication)</w:t>
      </w:r>
    </w:p>
  </w:footnote>
  <w:footnote w:id="105">
    <w:p w14:paraId="1FCF831B" w14:textId="11001A3E" w:rsidR="009E1D1B" w:rsidRDefault="009E1D1B">
      <w:pPr>
        <w:pStyle w:val="FootnoteText"/>
      </w:pPr>
      <w:r>
        <w:rPr>
          <w:rStyle w:val="FootnoteReference"/>
        </w:rPr>
        <w:footnoteRef/>
      </w:r>
      <w:r>
        <w:t xml:space="preserve"> </w:t>
      </w:r>
      <w:hyperlink r:id="rId122" w:history="1">
        <w:r w:rsidR="0039724C" w:rsidRPr="00B2391A">
          <w:rPr>
            <w:rStyle w:val="Hyperlink"/>
          </w:rPr>
          <w:t>The Chamb</w:t>
        </w:r>
        <w:bookmarkStart w:id="239" w:name="_Hlt209513920"/>
        <w:bookmarkStart w:id="240" w:name="_Hlt209513921"/>
        <w:bookmarkEnd w:id="239"/>
        <w:bookmarkEnd w:id="240"/>
        <w:r w:rsidR="0039724C" w:rsidRPr="00B2391A">
          <w:rPr>
            <w:rStyle w:val="Hyperlink"/>
          </w:rPr>
          <w:t>er of Minerals and Energy of Western Australia</w:t>
        </w:r>
      </w:hyperlink>
    </w:p>
  </w:footnote>
  <w:footnote w:id="106">
    <w:p w14:paraId="28E1E070" w14:textId="51222AA5" w:rsidR="00DB0466" w:rsidRDefault="00DB0466">
      <w:pPr>
        <w:pStyle w:val="FootnoteText"/>
      </w:pPr>
      <w:r>
        <w:rPr>
          <w:rStyle w:val="FootnoteReference"/>
        </w:rPr>
        <w:footnoteRef/>
      </w:r>
      <w:r>
        <w:t xml:space="preserve"> </w:t>
      </w:r>
      <w:hyperlink r:id="rId123" w:history="1">
        <w:r w:rsidRPr="00A368BD">
          <w:rPr>
            <w:rStyle w:val="Hyperlink"/>
          </w:rPr>
          <w:t>Dep</w:t>
        </w:r>
        <w:r w:rsidR="006B0207" w:rsidRPr="00A368BD">
          <w:rPr>
            <w:rStyle w:val="Hyperlink"/>
          </w:rPr>
          <w:t>artmen</w:t>
        </w:r>
        <w:r w:rsidRPr="00A368BD">
          <w:rPr>
            <w:rStyle w:val="Hyperlink"/>
          </w:rPr>
          <w:t>t of Defence</w:t>
        </w:r>
      </w:hyperlink>
    </w:p>
  </w:footnote>
  <w:footnote w:id="107">
    <w:p w14:paraId="25867EDF" w14:textId="533A6544" w:rsidR="00122529" w:rsidRDefault="00122529">
      <w:pPr>
        <w:pStyle w:val="FootnoteText"/>
      </w:pPr>
      <w:r>
        <w:rPr>
          <w:rStyle w:val="FootnoteReference"/>
        </w:rPr>
        <w:footnoteRef/>
      </w:r>
      <w:r>
        <w:t xml:space="preserve"> </w:t>
      </w:r>
      <w:hyperlink r:id="rId124" w:history="1">
        <w:r w:rsidRPr="0076197A">
          <w:rPr>
            <w:rStyle w:val="Hyperlink"/>
          </w:rPr>
          <w:t>Australian Industry Group</w:t>
        </w:r>
      </w:hyperlink>
    </w:p>
  </w:footnote>
  <w:footnote w:id="108">
    <w:p w14:paraId="5C15FB5A" w14:textId="5019506C" w:rsidR="00792230" w:rsidRDefault="00792230">
      <w:pPr>
        <w:pStyle w:val="FootnoteText"/>
      </w:pPr>
      <w:r>
        <w:rPr>
          <w:rStyle w:val="FootnoteReference"/>
        </w:rPr>
        <w:footnoteRef/>
      </w:r>
      <w:r>
        <w:t xml:space="preserve"> </w:t>
      </w:r>
      <w:r w:rsidRPr="00792230">
        <w:t>Anonymous (</w:t>
      </w:r>
      <w:r w:rsidR="00CB3BEE">
        <w:t>p</w:t>
      </w:r>
      <w:r w:rsidRPr="00792230">
        <w:t>ermission not granted for publication)</w:t>
      </w:r>
    </w:p>
  </w:footnote>
  <w:footnote w:id="109">
    <w:p w14:paraId="2AEA7FEF" w14:textId="390CD7C9" w:rsidR="002C3A21" w:rsidRDefault="002C3A21">
      <w:pPr>
        <w:pStyle w:val="FootnoteText"/>
      </w:pPr>
      <w:r>
        <w:rPr>
          <w:rStyle w:val="FootnoteReference"/>
        </w:rPr>
        <w:footnoteRef/>
      </w:r>
      <w:r>
        <w:t xml:space="preserve"> </w:t>
      </w:r>
      <w:hyperlink r:id="rId125" w:history="1">
        <w:r w:rsidRPr="00B65E13">
          <w:rPr>
            <w:rStyle w:val="Hyperlink"/>
          </w:rPr>
          <w:t>Anonymous</w:t>
        </w:r>
      </w:hyperlink>
    </w:p>
  </w:footnote>
  <w:footnote w:id="110">
    <w:p w14:paraId="4E2A5502" w14:textId="4F64986A" w:rsidR="00341104" w:rsidRDefault="00341104" w:rsidP="00341104">
      <w:pPr>
        <w:pStyle w:val="FootnoteText"/>
      </w:pPr>
      <w:r>
        <w:rPr>
          <w:rStyle w:val="FootnoteReference"/>
        </w:rPr>
        <w:footnoteRef/>
      </w:r>
      <w:r>
        <w:t xml:space="preserve"> The evaluation report for formaldehyde can be accessed </w:t>
      </w:r>
      <w:hyperlink r:id="rId126" w:history="1">
        <w:r w:rsidRPr="00E21C00">
          <w:rPr>
            <w:rStyle w:val="Hyperlink"/>
          </w:rPr>
          <w:t>here</w:t>
        </w:r>
      </w:hyperlink>
      <w:r>
        <w:t xml:space="preserve">. Alternative health-based WELs recommended by </w:t>
      </w:r>
      <w:r w:rsidR="00F60F83">
        <w:t xml:space="preserve">DFG, </w:t>
      </w:r>
      <w:r>
        <w:t xml:space="preserve">SCOEL and NICNAS were considered and agreed </w:t>
      </w:r>
      <w:r w:rsidR="00E01E46">
        <w:t>by Safe Work Australia Members</w:t>
      </w:r>
      <w:r>
        <w:t xml:space="preserve">, which differ from the recommendation outlined in the evaluation report from the independent review. </w:t>
      </w:r>
    </w:p>
  </w:footnote>
  <w:footnote w:id="111">
    <w:p w14:paraId="55BBA879" w14:textId="6E30203D" w:rsidR="002B1C8B" w:rsidRDefault="002B1C8B">
      <w:pPr>
        <w:pStyle w:val="FootnoteText"/>
      </w:pPr>
      <w:r>
        <w:rPr>
          <w:rStyle w:val="FootnoteReference"/>
        </w:rPr>
        <w:footnoteRef/>
      </w:r>
      <w:r>
        <w:t xml:space="preserve"> </w:t>
      </w:r>
      <w:r w:rsidR="00F6342B">
        <w:t xml:space="preserve">Submissions from </w:t>
      </w:r>
      <w:hyperlink r:id="rId127" w:history="1">
        <w:r w:rsidRPr="00EB20FA">
          <w:rPr>
            <w:rStyle w:val="Hyperlink"/>
          </w:rPr>
          <w:t>The Royal College of Patholog</w:t>
        </w:r>
        <w:r w:rsidR="00231D72">
          <w:rPr>
            <w:rStyle w:val="Hyperlink"/>
          </w:rPr>
          <w:t>ists</w:t>
        </w:r>
        <w:r w:rsidRPr="00EB20FA">
          <w:rPr>
            <w:rStyle w:val="Hyperlink"/>
          </w:rPr>
          <w:t xml:space="preserve"> of Australasia</w:t>
        </w:r>
        <w:r w:rsidR="00EB20FA" w:rsidRPr="00EB20FA">
          <w:rPr>
            <w:rStyle w:val="Hyperlink"/>
          </w:rPr>
          <w:t xml:space="preserve"> (RCPA)</w:t>
        </w:r>
      </w:hyperlink>
      <w:r w:rsidR="00F6342B">
        <w:t xml:space="preserve">, </w:t>
      </w:r>
      <w:r w:rsidR="0029580B">
        <w:t xml:space="preserve">and </w:t>
      </w:r>
      <w:bookmarkStart w:id="259" w:name="_Hlk209445629"/>
      <w:r w:rsidR="00F6342B">
        <w:fldChar w:fldCharType="begin"/>
      </w:r>
      <w:r w:rsidR="00F6342B">
        <w:instrText>HYPERLINK "https://app.converlens.com/safework/wel-consultation/ris-survey/view/42"</w:instrText>
      </w:r>
      <w:r w:rsidR="00F6342B">
        <w:fldChar w:fldCharType="separate"/>
      </w:r>
      <w:r w:rsidR="00F6342B" w:rsidRPr="007425E6">
        <w:rPr>
          <w:rStyle w:val="Hyperlink"/>
        </w:rPr>
        <w:t>Australian Nursing and Midwifery Federation</w:t>
      </w:r>
      <w:r w:rsidR="00F6342B">
        <w:fldChar w:fldCharType="end"/>
      </w:r>
      <w:bookmarkEnd w:id="259"/>
      <w:r w:rsidR="00ED78BB">
        <w:t xml:space="preserve">, and </w:t>
      </w:r>
      <w:hyperlink r:id="rId128" w:history="1">
        <w:r w:rsidR="00ED78BB" w:rsidRPr="00197752">
          <w:rPr>
            <w:rStyle w:val="Hyperlink"/>
          </w:rPr>
          <w:t>ANMF</w:t>
        </w:r>
      </w:hyperlink>
    </w:p>
  </w:footnote>
  <w:footnote w:id="112">
    <w:p w14:paraId="51C1674B" w14:textId="3D0F9DF9" w:rsidR="006F412A" w:rsidRDefault="006F412A">
      <w:pPr>
        <w:pStyle w:val="FootnoteText"/>
      </w:pPr>
      <w:r>
        <w:rPr>
          <w:rStyle w:val="FootnoteReference"/>
        </w:rPr>
        <w:footnoteRef/>
      </w:r>
      <w:r>
        <w:t xml:space="preserve"> </w:t>
      </w:r>
      <w:hyperlink r:id="rId129" w:history="1">
        <w:r w:rsidRPr="00EB20FA">
          <w:rPr>
            <w:rStyle w:val="Hyperlink"/>
          </w:rPr>
          <w:t>The Royal College of Patholog</w:t>
        </w:r>
        <w:r w:rsidR="00DA6FEA">
          <w:rPr>
            <w:rStyle w:val="Hyperlink"/>
          </w:rPr>
          <w:t>ists</w:t>
        </w:r>
        <w:r w:rsidRPr="00EB20FA">
          <w:rPr>
            <w:rStyle w:val="Hyperlink"/>
          </w:rPr>
          <w:t xml:space="preserve"> of Australasia</w:t>
        </w:r>
        <w:r w:rsidR="00EB20FA" w:rsidRPr="00EB20FA">
          <w:rPr>
            <w:rStyle w:val="Hyperlink"/>
          </w:rPr>
          <w:t xml:space="preserve"> (RCPA)</w:t>
        </w:r>
      </w:hyperlink>
    </w:p>
  </w:footnote>
  <w:footnote w:id="113">
    <w:p w14:paraId="46FD160C" w14:textId="2E7677B5" w:rsidR="00003154" w:rsidRDefault="00003154" w:rsidP="00003154">
      <w:pPr>
        <w:pStyle w:val="FootnoteText"/>
      </w:pPr>
      <w:r>
        <w:rPr>
          <w:rStyle w:val="FootnoteReference"/>
        </w:rPr>
        <w:footnoteRef/>
      </w:r>
      <w:r>
        <w:t xml:space="preserve"> </w:t>
      </w:r>
      <w:r w:rsidR="00BC29D1">
        <w:t>Submissions from</w:t>
      </w:r>
      <w:r w:rsidR="00D70EED">
        <w:t xml:space="preserve"> Anonymous (Permission not granted for publication),</w:t>
      </w:r>
      <w:r w:rsidR="00BC29D1">
        <w:t xml:space="preserve"> </w:t>
      </w:r>
      <w:hyperlink r:id="rId130" w:history="1">
        <w:r w:rsidRPr="00DD1489">
          <w:rPr>
            <w:rStyle w:val="Hyperlink"/>
          </w:rPr>
          <w:t>Dep</w:t>
        </w:r>
        <w:r w:rsidR="006B0207">
          <w:rPr>
            <w:rStyle w:val="Hyperlink"/>
          </w:rPr>
          <w:t>artmen</w:t>
        </w:r>
        <w:r w:rsidRPr="00DD1489">
          <w:rPr>
            <w:rStyle w:val="Hyperlink"/>
          </w:rPr>
          <w:t>t of Defence</w:t>
        </w:r>
      </w:hyperlink>
      <w:r w:rsidR="00BC29D1">
        <w:t xml:space="preserve">, </w:t>
      </w:r>
      <w:hyperlink r:id="rId131" w:history="1">
        <w:r w:rsidR="00142957" w:rsidRPr="00B275AB">
          <w:rPr>
            <w:rStyle w:val="Hyperlink"/>
          </w:rPr>
          <w:t>The Royal College of Patholog</w:t>
        </w:r>
        <w:r w:rsidR="00142957">
          <w:rPr>
            <w:rStyle w:val="Hyperlink"/>
          </w:rPr>
          <w:t>ists</w:t>
        </w:r>
        <w:r w:rsidR="00142957" w:rsidRPr="00B275AB">
          <w:rPr>
            <w:rStyle w:val="Hyperlink"/>
          </w:rPr>
          <w:t xml:space="preserve"> of Australasia (RCPA)</w:t>
        </w:r>
      </w:hyperlink>
      <w:r w:rsidR="00142957">
        <w:t xml:space="preserve">, </w:t>
      </w:r>
      <w:hyperlink r:id="rId132" w:history="1">
        <w:r w:rsidR="00BC29D1" w:rsidRPr="00003154">
          <w:rPr>
            <w:rStyle w:val="Hyperlink"/>
          </w:rPr>
          <w:t>Forbes McGain</w:t>
        </w:r>
      </w:hyperlink>
      <w:r w:rsidR="00BC29D1">
        <w:t xml:space="preserve">, </w:t>
      </w:r>
      <w:hyperlink r:id="rId133" w:history="1">
        <w:r w:rsidR="00615FAE" w:rsidRPr="007425E6">
          <w:rPr>
            <w:rStyle w:val="Hyperlink"/>
          </w:rPr>
          <w:t>Australian Nursing and Midwifery Federation</w:t>
        </w:r>
      </w:hyperlink>
      <w:r w:rsidR="00197752">
        <w:t xml:space="preserve">, and </w:t>
      </w:r>
      <w:hyperlink r:id="rId134" w:history="1">
        <w:r w:rsidR="00C43B75" w:rsidRPr="00C43B75">
          <w:rPr>
            <w:rStyle w:val="Hyperlink"/>
          </w:rPr>
          <w:t>ANMF</w:t>
        </w:r>
      </w:hyperlink>
    </w:p>
  </w:footnote>
  <w:footnote w:id="114">
    <w:p w14:paraId="7EC9186C" w14:textId="402E59B1" w:rsidR="00F043FF" w:rsidRDefault="00F043FF">
      <w:pPr>
        <w:pStyle w:val="FootnoteText"/>
      </w:pPr>
      <w:r>
        <w:rPr>
          <w:rStyle w:val="FootnoteReference"/>
        </w:rPr>
        <w:footnoteRef/>
      </w:r>
      <w:r>
        <w:t xml:space="preserve"> </w:t>
      </w:r>
      <w:hyperlink r:id="rId135" w:history="1">
        <w:r w:rsidRPr="00F043FF">
          <w:rPr>
            <w:rStyle w:val="Hyperlink"/>
          </w:rPr>
          <w:t>Forbes McGain</w:t>
        </w:r>
      </w:hyperlink>
    </w:p>
  </w:footnote>
  <w:footnote w:id="115">
    <w:p w14:paraId="0A9B55B7" w14:textId="2881E990" w:rsidR="0022032C" w:rsidRDefault="0022032C">
      <w:pPr>
        <w:pStyle w:val="FootnoteText"/>
      </w:pPr>
      <w:r>
        <w:rPr>
          <w:rStyle w:val="FootnoteReference"/>
        </w:rPr>
        <w:footnoteRef/>
      </w:r>
      <w:r>
        <w:t xml:space="preserve"> </w:t>
      </w:r>
      <w:r w:rsidR="00F348C7">
        <w:t xml:space="preserve"> Submissions from </w:t>
      </w:r>
      <w:hyperlink r:id="rId136" w:history="1">
        <w:r w:rsidRPr="0022032C">
          <w:rPr>
            <w:rStyle w:val="Hyperlink"/>
          </w:rPr>
          <w:t>Dep</w:t>
        </w:r>
        <w:r w:rsidR="006B0207">
          <w:rPr>
            <w:rStyle w:val="Hyperlink"/>
          </w:rPr>
          <w:t>artmen</w:t>
        </w:r>
        <w:r w:rsidRPr="0022032C">
          <w:rPr>
            <w:rStyle w:val="Hyperlink"/>
          </w:rPr>
          <w:t>t of Defence</w:t>
        </w:r>
      </w:hyperlink>
      <w:r w:rsidR="00F348C7">
        <w:t xml:space="preserve">, </w:t>
      </w:r>
      <w:hyperlink r:id="rId137" w:history="1">
        <w:r w:rsidR="00F348C7" w:rsidRPr="00FB4F4D">
          <w:rPr>
            <w:rStyle w:val="Hyperlink"/>
          </w:rPr>
          <w:t>Australian Nursing and Midwifery Federation</w:t>
        </w:r>
      </w:hyperlink>
      <w:r w:rsidR="00F348C7">
        <w:t xml:space="preserve">, </w:t>
      </w:r>
      <w:hyperlink r:id="rId138" w:history="1">
        <w:r w:rsidR="00C43B75" w:rsidRPr="00C43B75">
          <w:rPr>
            <w:rStyle w:val="Hyperlink"/>
          </w:rPr>
          <w:t>ANMF</w:t>
        </w:r>
      </w:hyperlink>
      <w:r w:rsidR="00F348C7">
        <w:t xml:space="preserve">, </w:t>
      </w:r>
      <w:hyperlink r:id="rId139" w:history="1">
        <w:r w:rsidR="00EB0423" w:rsidRPr="000626D5">
          <w:rPr>
            <w:rStyle w:val="Hyperlink"/>
          </w:rPr>
          <w:t>Robyn Schofield</w:t>
        </w:r>
      </w:hyperlink>
      <w:r w:rsidR="00EB0423">
        <w:t xml:space="preserve">, </w:t>
      </w:r>
      <w:hyperlink r:id="rId140" w:history="1">
        <w:r w:rsidR="00EB0423" w:rsidRPr="000626D5">
          <w:rPr>
            <w:rStyle w:val="Hyperlink"/>
          </w:rPr>
          <w:t>Public Pathology Australia</w:t>
        </w:r>
      </w:hyperlink>
      <w:r w:rsidR="00EB0423">
        <w:t xml:space="preserve">, and </w:t>
      </w:r>
      <w:hyperlink r:id="rId141" w:history="1">
        <w:r w:rsidR="00EB0423" w:rsidRPr="00876040">
          <w:rPr>
            <w:rStyle w:val="Hyperlink"/>
          </w:rPr>
          <w:t>Anonymous</w:t>
        </w:r>
      </w:hyperlink>
    </w:p>
  </w:footnote>
  <w:footnote w:id="116">
    <w:p w14:paraId="04F98847" w14:textId="575D90C3" w:rsidR="00124089" w:rsidRDefault="00124089">
      <w:pPr>
        <w:pStyle w:val="FootnoteText"/>
      </w:pPr>
      <w:r>
        <w:rPr>
          <w:rStyle w:val="FootnoteReference"/>
        </w:rPr>
        <w:footnoteRef/>
      </w:r>
      <w:r>
        <w:t xml:space="preserve"> </w:t>
      </w:r>
      <w:r w:rsidR="00DC65BD">
        <w:t xml:space="preserve">Submissions from </w:t>
      </w:r>
      <w:r w:rsidR="00C453FD">
        <w:t>Anonymous (</w:t>
      </w:r>
      <w:r w:rsidR="00AA4470">
        <w:t>p</w:t>
      </w:r>
      <w:r w:rsidR="00C453FD">
        <w:t xml:space="preserve">ermission not granted for publication), </w:t>
      </w:r>
      <w:hyperlink r:id="rId142" w:history="1">
        <w:r w:rsidRPr="00124089">
          <w:rPr>
            <w:rStyle w:val="Hyperlink"/>
          </w:rPr>
          <w:t>Dep</w:t>
        </w:r>
        <w:r w:rsidR="006B0207">
          <w:rPr>
            <w:rStyle w:val="Hyperlink"/>
          </w:rPr>
          <w:t>artmen</w:t>
        </w:r>
        <w:r w:rsidRPr="00124089">
          <w:rPr>
            <w:rStyle w:val="Hyperlink"/>
          </w:rPr>
          <w:t>t of Defence</w:t>
        </w:r>
      </w:hyperlink>
      <w:r w:rsidR="00DC65BD">
        <w:t xml:space="preserve">, </w:t>
      </w:r>
      <w:bookmarkStart w:id="261" w:name="_Hlt209519533"/>
      <w:bookmarkStart w:id="262" w:name="_Hlt209519534"/>
      <w:r w:rsidR="00DC65BD" w:rsidRPr="00D16398">
        <w:fldChar w:fldCharType="begin"/>
      </w:r>
      <w:r w:rsidR="00DC65BD" w:rsidRPr="00D16398">
        <w:instrText>HYPERLINK "https://app.converlens.com/safework/wel-consultation/ris-survey/view/36"</w:instrText>
      </w:r>
      <w:r w:rsidR="00DC65BD" w:rsidRPr="00D16398">
        <w:fldChar w:fldCharType="separate"/>
      </w:r>
      <w:r w:rsidR="00DC65BD" w:rsidRPr="00D16398">
        <w:rPr>
          <w:rStyle w:val="Hyperlink"/>
        </w:rPr>
        <w:t>The Royal College of Patholog</w:t>
      </w:r>
      <w:r w:rsidR="000B73D2">
        <w:rPr>
          <w:rStyle w:val="Hyperlink"/>
        </w:rPr>
        <w:t>ists</w:t>
      </w:r>
      <w:r w:rsidR="00DC65BD" w:rsidRPr="00D16398">
        <w:rPr>
          <w:rStyle w:val="Hyperlink"/>
        </w:rPr>
        <w:t xml:space="preserve"> of Australasia (RCPA)</w:t>
      </w:r>
      <w:r w:rsidR="00DC65BD" w:rsidRPr="00D16398">
        <w:fldChar w:fldCharType="end"/>
      </w:r>
      <w:bookmarkEnd w:id="261"/>
      <w:bookmarkEnd w:id="262"/>
      <w:r w:rsidR="00DC65BD">
        <w:t xml:space="preserve">, </w:t>
      </w:r>
      <w:hyperlink r:id="rId143" w:history="1">
        <w:r w:rsidR="00DC65BD" w:rsidRPr="005518C5">
          <w:rPr>
            <w:rStyle w:val="Hyperlink"/>
          </w:rPr>
          <w:t>Australian Nursing and Midwifery Federation</w:t>
        </w:r>
      </w:hyperlink>
      <w:r w:rsidR="00DC65BD">
        <w:t xml:space="preserve">, </w:t>
      </w:r>
      <w:hyperlink r:id="rId144" w:history="1">
        <w:r w:rsidR="00D63F70" w:rsidRPr="00C43B75">
          <w:rPr>
            <w:rStyle w:val="Hyperlink"/>
          </w:rPr>
          <w:t>ANMF</w:t>
        </w:r>
      </w:hyperlink>
      <w:r w:rsidR="00D63F70">
        <w:t xml:space="preserve">, </w:t>
      </w:r>
      <w:r w:rsidR="00DC65BD">
        <w:t xml:space="preserve">and </w:t>
      </w:r>
      <w:hyperlink r:id="rId145" w:history="1">
        <w:r w:rsidR="00DC65BD" w:rsidRPr="0053129E">
          <w:rPr>
            <w:rStyle w:val="Hyperlink"/>
          </w:rPr>
          <w:t>Public Pathology Australia</w:t>
        </w:r>
      </w:hyperlink>
    </w:p>
  </w:footnote>
  <w:footnote w:id="117">
    <w:p w14:paraId="73C7A216" w14:textId="2D68407D" w:rsidR="00374ABD" w:rsidRDefault="00374ABD" w:rsidP="00374ABD">
      <w:pPr>
        <w:pStyle w:val="FootnoteText"/>
      </w:pPr>
      <w:r>
        <w:rPr>
          <w:rStyle w:val="FootnoteReference"/>
        </w:rPr>
        <w:footnoteRef/>
      </w:r>
      <w:r>
        <w:t xml:space="preserve"> Submissions from </w:t>
      </w:r>
      <w:hyperlink r:id="rId146" w:history="1">
        <w:r w:rsidRPr="006E1285">
          <w:rPr>
            <w:rStyle w:val="Hyperlink"/>
          </w:rPr>
          <w:t>The Royal College of Patholog</w:t>
        </w:r>
        <w:r>
          <w:rPr>
            <w:rStyle w:val="Hyperlink"/>
          </w:rPr>
          <w:t>ists</w:t>
        </w:r>
        <w:r w:rsidRPr="006E1285">
          <w:rPr>
            <w:rStyle w:val="Hyperlink"/>
          </w:rPr>
          <w:t xml:space="preserve"> of Australasia (RCPA)</w:t>
        </w:r>
      </w:hyperlink>
      <w:r w:rsidR="0061750C">
        <w:t xml:space="preserve"> and</w:t>
      </w:r>
      <w:r>
        <w:t xml:space="preserve"> </w:t>
      </w:r>
      <w:hyperlink r:id="rId147" w:history="1">
        <w:r w:rsidRPr="00CD6EF5">
          <w:rPr>
            <w:rStyle w:val="Hyperlink"/>
          </w:rPr>
          <w:t>Public Pathology Australia</w:t>
        </w:r>
      </w:hyperlink>
    </w:p>
  </w:footnote>
  <w:footnote w:id="118">
    <w:p w14:paraId="68F06AD5" w14:textId="201B706C" w:rsidR="000A5BB4" w:rsidRDefault="000A5BB4">
      <w:pPr>
        <w:pStyle w:val="FootnoteText"/>
      </w:pPr>
      <w:r>
        <w:rPr>
          <w:rStyle w:val="FootnoteReference"/>
        </w:rPr>
        <w:footnoteRef/>
      </w:r>
      <w:r>
        <w:t xml:space="preserve"> </w:t>
      </w:r>
      <w:hyperlink r:id="rId148" w:history="1">
        <w:r w:rsidRPr="000A5BB4">
          <w:rPr>
            <w:rStyle w:val="Hyperlink"/>
          </w:rPr>
          <w:t>Public Pathology Australia</w:t>
        </w:r>
      </w:hyperlink>
    </w:p>
  </w:footnote>
  <w:footnote w:id="119">
    <w:p w14:paraId="5C5C90AC" w14:textId="319D9EDB" w:rsidR="00A16287" w:rsidRDefault="00A16287">
      <w:pPr>
        <w:pStyle w:val="FootnoteText"/>
      </w:pPr>
      <w:r>
        <w:rPr>
          <w:rStyle w:val="FootnoteReference"/>
        </w:rPr>
        <w:footnoteRef/>
      </w:r>
      <w:r>
        <w:t xml:space="preserve"> </w:t>
      </w:r>
      <w:r w:rsidR="00DB4040">
        <w:t xml:space="preserve">Submissions from </w:t>
      </w:r>
      <w:hyperlink r:id="rId149" w:history="1">
        <w:r w:rsidR="00DB4040" w:rsidRPr="00DB4040">
          <w:rPr>
            <w:rStyle w:val="Hyperlink"/>
          </w:rPr>
          <w:t>The Royal College of Pathologists of Australasia (RCPA)</w:t>
        </w:r>
      </w:hyperlink>
      <w:r w:rsidR="00DB4040">
        <w:t xml:space="preserve"> and </w:t>
      </w:r>
      <w:hyperlink r:id="rId150" w:history="1">
        <w:r w:rsidR="00DB4040" w:rsidRPr="00DB4040">
          <w:rPr>
            <w:rStyle w:val="Hyperlink"/>
          </w:rPr>
          <w:t>Public Pathology Australia</w:t>
        </w:r>
      </w:hyperlink>
    </w:p>
  </w:footnote>
  <w:footnote w:id="120">
    <w:p w14:paraId="7AA60CB0" w14:textId="77777777" w:rsidR="007A68D6" w:rsidRDefault="007A68D6" w:rsidP="007A68D6">
      <w:pPr>
        <w:pStyle w:val="FootnoteText"/>
      </w:pPr>
      <w:r>
        <w:rPr>
          <w:rStyle w:val="FootnoteReference"/>
        </w:rPr>
        <w:footnoteRef/>
      </w:r>
      <w:r>
        <w:t xml:space="preserve"> </w:t>
      </w:r>
      <w:hyperlink r:id="rId151" w:history="1">
        <w:r w:rsidRPr="00F74CDD">
          <w:rPr>
            <w:rStyle w:val="Hyperlink"/>
          </w:rPr>
          <w:t>The Chamber of Minerals and Energy of Western Australia</w:t>
        </w:r>
      </w:hyperlink>
    </w:p>
  </w:footnote>
  <w:footnote w:id="121">
    <w:p w14:paraId="71A4F4A8" w14:textId="2060E50D" w:rsidR="00563DE9" w:rsidRDefault="00563DE9">
      <w:pPr>
        <w:pStyle w:val="FootnoteText"/>
      </w:pPr>
      <w:r>
        <w:rPr>
          <w:rStyle w:val="FootnoteReference"/>
        </w:rPr>
        <w:footnoteRef/>
      </w:r>
      <w:r>
        <w:t xml:space="preserve"> </w:t>
      </w:r>
      <w:r w:rsidR="00080E3C">
        <w:t xml:space="preserve">Submissions from </w:t>
      </w:r>
      <w:r w:rsidR="00473AFA">
        <w:t>Anonymous (</w:t>
      </w:r>
      <w:r w:rsidR="00AA4470">
        <w:t>p</w:t>
      </w:r>
      <w:r w:rsidR="008044F1">
        <w:t xml:space="preserve">ermission not granted for publication), </w:t>
      </w:r>
      <w:hyperlink r:id="rId152" w:history="1">
        <w:r w:rsidRPr="00563DE9">
          <w:rPr>
            <w:rStyle w:val="Hyperlink"/>
          </w:rPr>
          <w:t>Australian Nursing and Midwifery Federation</w:t>
        </w:r>
      </w:hyperlink>
      <w:r w:rsidR="00080E3C">
        <w:t xml:space="preserve">, </w:t>
      </w:r>
      <w:hyperlink r:id="rId153" w:history="1">
        <w:r w:rsidR="00D63F70" w:rsidRPr="00C43B75">
          <w:rPr>
            <w:rStyle w:val="Hyperlink"/>
          </w:rPr>
          <w:t>ANMF</w:t>
        </w:r>
      </w:hyperlink>
      <w:r w:rsidR="00D63F70">
        <w:t xml:space="preserve">, </w:t>
      </w:r>
      <w:hyperlink r:id="rId154" w:history="1">
        <w:r w:rsidR="00080E3C" w:rsidRPr="00D22CF3">
          <w:rPr>
            <w:rStyle w:val="Hyperlink"/>
          </w:rPr>
          <w:t>Public Pathology Australia</w:t>
        </w:r>
      </w:hyperlink>
      <w:r w:rsidR="00080E3C">
        <w:t xml:space="preserve">, and </w:t>
      </w:r>
      <w:hyperlink r:id="rId155" w:history="1">
        <w:r w:rsidR="00080E3C" w:rsidRPr="00E138F1">
          <w:rPr>
            <w:rStyle w:val="Hyperlink"/>
          </w:rPr>
          <w:t>Anonymous</w:t>
        </w:r>
      </w:hyperlink>
    </w:p>
  </w:footnote>
  <w:footnote w:id="122">
    <w:p w14:paraId="1242D710" w14:textId="08482D53" w:rsidR="002725BB" w:rsidRDefault="002725BB">
      <w:pPr>
        <w:pStyle w:val="FootnoteText"/>
      </w:pPr>
      <w:r>
        <w:rPr>
          <w:rStyle w:val="FootnoteReference"/>
        </w:rPr>
        <w:footnoteRef/>
      </w:r>
      <w:r>
        <w:t xml:space="preserve"> </w:t>
      </w:r>
      <w:r w:rsidR="004E667A">
        <w:t xml:space="preserve">Submissions from </w:t>
      </w:r>
      <w:hyperlink r:id="rId156" w:history="1">
        <w:r w:rsidRPr="00124089">
          <w:rPr>
            <w:rStyle w:val="Hyperlink"/>
          </w:rPr>
          <w:t>Dep</w:t>
        </w:r>
        <w:r w:rsidR="00F83629">
          <w:rPr>
            <w:rStyle w:val="Hyperlink"/>
          </w:rPr>
          <w:t>artmen</w:t>
        </w:r>
        <w:r w:rsidRPr="00124089">
          <w:rPr>
            <w:rStyle w:val="Hyperlink"/>
          </w:rPr>
          <w:t>t of Defence</w:t>
        </w:r>
      </w:hyperlink>
      <w:r w:rsidR="004E667A">
        <w:t xml:space="preserve">, </w:t>
      </w:r>
      <w:hyperlink r:id="rId157" w:history="1">
        <w:bookmarkStart w:id="297" w:name="_Hlt209519708"/>
        <w:bookmarkStart w:id="298" w:name="_Hlt209519707"/>
        <w:r w:rsidR="004E667A" w:rsidRPr="00164756">
          <w:rPr>
            <w:rStyle w:val="Hyperlink"/>
          </w:rPr>
          <w:t>Queensland Nurses and Midwives’ Union</w:t>
        </w:r>
        <w:bookmarkEnd w:id="297"/>
        <w:bookmarkEnd w:id="298"/>
      </w:hyperlink>
      <w:r w:rsidR="004E667A">
        <w:t xml:space="preserve">, </w:t>
      </w:r>
      <w:hyperlink r:id="rId158" w:history="1">
        <w:r w:rsidR="004E667A" w:rsidRPr="007425E6">
          <w:rPr>
            <w:rStyle w:val="Hyperlink"/>
          </w:rPr>
          <w:t>Australian Nursing and Midwifery Federation</w:t>
        </w:r>
      </w:hyperlink>
      <w:r w:rsidR="004E667A">
        <w:t xml:space="preserve">, </w:t>
      </w:r>
      <w:hyperlink r:id="rId159" w:history="1">
        <w:r w:rsidR="00D63F70" w:rsidRPr="00C43B75">
          <w:rPr>
            <w:rStyle w:val="Hyperlink"/>
          </w:rPr>
          <w:t>ANMF</w:t>
        </w:r>
      </w:hyperlink>
      <w:r w:rsidR="00D63F70">
        <w:t xml:space="preserve">, </w:t>
      </w:r>
      <w:hyperlink r:id="rId160" w:history="1">
        <w:r w:rsidR="004E667A" w:rsidRPr="00425FF9">
          <w:rPr>
            <w:rStyle w:val="Hyperlink"/>
          </w:rPr>
          <w:t>Public Pathology Australia</w:t>
        </w:r>
      </w:hyperlink>
      <w:r w:rsidR="004E667A">
        <w:t xml:space="preserve">, </w:t>
      </w:r>
      <w:hyperlink r:id="rId161" w:history="1">
        <w:r w:rsidR="004E667A" w:rsidRPr="00FE3330">
          <w:rPr>
            <w:rStyle w:val="Hyperlink"/>
          </w:rPr>
          <w:t>Cancer Council Australia</w:t>
        </w:r>
      </w:hyperlink>
      <w:r w:rsidR="004E667A">
        <w:t xml:space="preserve">, </w:t>
      </w:r>
      <w:hyperlink r:id="rId162" w:history="1">
        <w:r w:rsidR="004E667A" w:rsidRPr="00425FF9">
          <w:rPr>
            <w:rStyle w:val="Hyperlink"/>
          </w:rPr>
          <w:t>Anonymous</w:t>
        </w:r>
      </w:hyperlink>
      <w:r w:rsidR="004E667A">
        <w:t xml:space="preserve">, </w:t>
      </w:r>
      <w:hyperlink r:id="rId163" w:history="1">
        <w:r w:rsidR="004E667A" w:rsidRPr="009903C3">
          <w:rPr>
            <w:rStyle w:val="Hyperlink"/>
          </w:rPr>
          <w:t>Australian Council of Trade Unions</w:t>
        </w:r>
      </w:hyperlink>
      <w:r w:rsidR="004E667A">
        <w:t xml:space="preserve">, and </w:t>
      </w:r>
      <w:hyperlink r:id="rId164" w:history="1">
        <w:r w:rsidR="004E667A" w:rsidRPr="002A54EC">
          <w:rPr>
            <w:rStyle w:val="Hyperlink"/>
          </w:rPr>
          <w:t>Victorian Trades Hall Council</w:t>
        </w:r>
      </w:hyperlink>
      <w:r w:rsidR="00516A67">
        <w:t xml:space="preserve">. </w:t>
      </w:r>
    </w:p>
  </w:footnote>
  <w:footnote w:id="123">
    <w:p w14:paraId="0839EC1A" w14:textId="503552F8" w:rsidR="00241804" w:rsidRDefault="00241804">
      <w:pPr>
        <w:pStyle w:val="FootnoteText"/>
      </w:pPr>
      <w:r>
        <w:rPr>
          <w:rStyle w:val="FootnoteReference"/>
        </w:rPr>
        <w:footnoteRef/>
      </w:r>
      <w:r>
        <w:t xml:space="preserve"> </w:t>
      </w:r>
      <w:r w:rsidR="004E667A">
        <w:t xml:space="preserve">Submissions from </w:t>
      </w:r>
      <w:hyperlink r:id="rId165" w:history="1">
        <w:r w:rsidR="009F0D70" w:rsidRPr="009F0D70">
          <w:rPr>
            <w:rStyle w:val="Hyperlink"/>
          </w:rPr>
          <w:t>Australian Nursing and Midwifery Federation</w:t>
        </w:r>
      </w:hyperlink>
      <w:r w:rsidR="004E667A">
        <w:t xml:space="preserve">, </w:t>
      </w:r>
      <w:hyperlink r:id="rId166" w:history="1">
        <w:r w:rsidR="00D63F70" w:rsidRPr="00C43B75">
          <w:rPr>
            <w:rStyle w:val="Hyperlink"/>
          </w:rPr>
          <w:t>ANMF</w:t>
        </w:r>
      </w:hyperlink>
      <w:r w:rsidR="00D63F70">
        <w:t xml:space="preserve">, </w:t>
      </w:r>
      <w:hyperlink r:id="rId167" w:history="1">
        <w:r w:rsidR="004E667A" w:rsidRPr="00A6787D">
          <w:rPr>
            <w:rStyle w:val="Hyperlink"/>
          </w:rPr>
          <w:t>Robyn Schofield</w:t>
        </w:r>
      </w:hyperlink>
      <w:r w:rsidR="004E667A">
        <w:t xml:space="preserve">, </w:t>
      </w:r>
      <w:r w:rsidR="008E2101">
        <w:t>Anonymous (</w:t>
      </w:r>
      <w:r w:rsidR="007508B2">
        <w:t>p</w:t>
      </w:r>
      <w:r w:rsidR="008E2101">
        <w:t xml:space="preserve">ermission not granted for publication), </w:t>
      </w:r>
      <w:hyperlink r:id="rId168" w:history="1">
        <w:r w:rsidR="004E667A" w:rsidRPr="00FE3330">
          <w:rPr>
            <w:rStyle w:val="Hyperlink"/>
          </w:rPr>
          <w:t>Cancer Council Australia</w:t>
        </w:r>
      </w:hyperlink>
      <w:r w:rsidR="004E667A">
        <w:t xml:space="preserve">, </w:t>
      </w:r>
      <w:r w:rsidR="00747FB8">
        <w:t xml:space="preserve">and </w:t>
      </w:r>
      <w:hyperlink r:id="rId169" w:history="1">
        <w:r w:rsidR="00747FB8" w:rsidRPr="00425FF9">
          <w:rPr>
            <w:rStyle w:val="Hyperlink"/>
          </w:rPr>
          <w:t>Anonymous</w:t>
        </w:r>
      </w:hyperlink>
    </w:p>
  </w:footnote>
  <w:footnote w:id="124">
    <w:p w14:paraId="7A962D89" w14:textId="15DA3A22" w:rsidR="00864D7D" w:rsidRDefault="00864D7D">
      <w:pPr>
        <w:pStyle w:val="FootnoteText"/>
      </w:pPr>
      <w:r>
        <w:rPr>
          <w:rStyle w:val="FootnoteReference"/>
        </w:rPr>
        <w:footnoteRef/>
      </w:r>
      <w:r>
        <w:t xml:space="preserve"> Anonymous (</w:t>
      </w:r>
      <w:r w:rsidR="007508B2">
        <w:t>p</w:t>
      </w:r>
      <w:r>
        <w:t>ermission not granted for publication)</w:t>
      </w:r>
    </w:p>
  </w:footnote>
  <w:footnote w:id="125">
    <w:p w14:paraId="5C1802FC" w14:textId="2EC4CE50" w:rsidR="00783F21" w:rsidRDefault="00783F21">
      <w:pPr>
        <w:pStyle w:val="FootnoteText"/>
      </w:pPr>
      <w:r>
        <w:rPr>
          <w:rStyle w:val="FootnoteReference"/>
        </w:rPr>
        <w:footnoteRef/>
      </w:r>
      <w:r>
        <w:t xml:space="preserve"> </w:t>
      </w:r>
      <w:r w:rsidR="00747FB8">
        <w:t xml:space="preserve">Submissions from </w:t>
      </w:r>
      <w:hyperlink r:id="rId170" w:history="1">
        <w:r w:rsidR="000A013E" w:rsidRPr="000A013E">
          <w:rPr>
            <w:rStyle w:val="Hyperlink"/>
          </w:rPr>
          <w:t>The Royal Co</w:t>
        </w:r>
        <w:bookmarkStart w:id="302" w:name="_Hlt209519589"/>
        <w:bookmarkStart w:id="303" w:name="_Hlt209519590"/>
        <w:bookmarkEnd w:id="302"/>
        <w:bookmarkEnd w:id="303"/>
        <w:r w:rsidR="000A013E" w:rsidRPr="000A013E">
          <w:rPr>
            <w:rStyle w:val="Hyperlink"/>
          </w:rPr>
          <w:t>llege of Patholog</w:t>
        </w:r>
        <w:r w:rsidR="006A78E7">
          <w:rPr>
            <w:rStyle w:val="Hyperlink"/>
          </w:rPr>
          <w:t>ists</w:t>
        </w:r>
        <w:r w:rsidR="000A013E" w:rsidRPr="000A013E">
          <w:rPr>
            <w:rStyle w:val="Hyperlink"/>
          </w:rPr>
          <w:t xml:space="preserve"> of Australasia (RCPA)</w:t>
        </w:r>
      </w:hyperlink>
      <w:r w:rsidR="00747FB8">
        <w:t xml:space="preserve">, </w:t>
      </w:r>
      <w:hyperlink r:id="rId171" w:history="1">
        <w:r w:rsidR="00747FB8" w:rsidRPr="00632001">
          <w:rPr>
            <w:rStyle w:val="Hyperlink"/>
          </w:rPr>
          <w:t>Australian Nursing and Midwifery Federation</w:t>
        </w:r>
      </w:hyperlink>
      <w:r w:rsidR="00747FB8">
        <w:t xml:space="preserve">, </w:t>
      </w:r>
      <w:hyperlink r:id="rId172" w:history="1">
        <w:r w:rsidR="009D6791" w:rsidRPr="00C43B75">
          <w:rPr>
            <w:rStyle w:val="Hyperlink"/>
          </w:rPr>
          <w:t>ANMF</w:t>
        </w:r>
      </w:hyperlink>
      <w:r w:rsidR="009D6791">
        <w:t>,</w:t>
      </w:r>
      <w:r w:rsidR="00747FB8">
        <w:t xml:space="preserve"> </w:t>
      </w:r>
      <w:r w:rsidR="003921E5">
        <w:t>Anonymous (</w:t>
      </w:r>
      <w:r w:rsidR="007508B2">
        <w:t>p</w:t>
      </w:r>
      <w:r w:rsidR="003921E5">
        <w:t xml:space="preserve">ermission not granted for publication), </w:t>
      </w:r>
      <w:hyperlink r:id="rId173" w:history="1">
        <w:r w:rsidR="00747FB8" w:rsidRPr="00FE3330">
          <w:rPr>
            <w:rStyle w:val="Hyperlink"/>
          </w:rPr>
          <w:t>Cancer Council Australia</w:t>
        </w:r>
      </w:hyperlink>
      <w:r w:rsidR="00747FB8">
        <w:t xml:space="preserve">, and </w:t>
      </w:r>
      <w:hyperlink r:id="rId174" w:history="1">
        <w:r w:rsidR="00747FB8" w:rsidRPr="009903C3">
          <w:rPr>
            <w:rStyle w:val="Hyperlink"/>
          </w:rPr>
          <w:t>Australian Council of Trade Unions</w:t>
        </w:r>
      </w:hyperlink>
    </w:p>
  </w:footnote>
  <w:footnote w:id="126">
    <w:p w14:paraId="031B54A2" w14:textId="072CE7EA" w:rsidR="00A378DD" w:rsidRDefault="00A378DD">
      <w:pPr>
        <w:pStyle w:val="FootnoteText"/>
      </w:pPr>
      <w:r>
        <w:rPr>
          <w:rStyle w:val="FootnoteReference"/>
        </w:rPr>
        <w:footnoteRef/>
      </w:r>
      <w:r>
        <w:t xml:space="preserve"> </w:t>
      </w:r>
      <w:r w:rsidR="00D02DDA">
        <w:t xml:space="preserve">Submissions from </w:t>
      </w:r>
      <w:r w:rsidR="00A11B27">
        <w:t>Anonymous (</w:t>
      </w:r>
      <w:r w:rsidR="00537A40">
        <w:t>p</w:t>
      </w:r>
      <w:r w:rsidR="00A11B27">
        <w:t>ermission not granted for publication),</w:t>
      </w:r>
      <w:r w:rsidR="00F94171">
        <w:t xml:space="preserve"> </w:t>
      </w:r>
      <w:r w:rsidR="00F94171" w:rsidRPr="00F94171">
        <w:t>Anonymous (</w:t>
      </w:r>
      <w:r w:rsidR="00537A40">
        <w:t>p</w:t>
      </w:r>
      <w:r w:rsidR="00F94171" w:rsidRPr="00F94171">
        <w:t>ermission not granted for publication)</w:t>
      </w:r>
      <w:r w:rsidR="00F94171">
        <w:t xml:space="preserve">, </w:t>
      </w:r>
      <w:r w:rsidR="00F94171" w:rsidRPr="00F94171">
        <w:t>Anonymous (</w:t>
      </w:r>
      <w:r w:rsidR="00537A40">
        <w:t>p</w:t>
      </w:r>
      <w:r w:rsidR="00F94171" w:rsidRPr="00F94171">
        <w:t>ermission not granted for publication)</w:t>
      </w:r>
      <w:r w:rsidR="00F94171">
        <w:t xml:space="preserve">, </w:t>
      </w:r>
      <w:r w:rsidR="00F94171" w:rsidRPr="00F94171">
        <w:t>Anonymous (</w:t>
      </w:r>
      <w:r w:rsidR="00537A40">
        <w:t>p</w:t>
      </w:r>
      <w:r w:rsidR="00F94171" w:rsidRPr="00F94171">
        <w:t>ermission not granted for publication)</w:t>
      </w:r>
      <w:r w:rsidR="00F94171">
        <w:t xml:space="preserve">, </w:t>
      </w:r>
      <w:hyperlink r:id="rId175" w:history="1">
        <w:r w:rsidRPr="00E95292">
          <w:rPr>
            <w:rStyle w:val="Hyperlink"/>
          </w:rPr>
          <w:t>Chemistry Australia</w:t>
        </w:r>
      </w:hyperlink>
      <w:r w:rsidR="00D02DDA">
        <w:t>,</w:t>
      </w:r>
      <w:r w:rsidR="00557317">
        <w:t xml:space="preserve"> </w:t>
      </w:r>
      <w:r w:rsidR="00557317" w:rsidRPr="00557317">
        <w:t>Anonymous (</w:t>
      </w:r>
      <w:r w:rsidR="00537A40">
        <w:t>p</w:t>
      </w:r>
      <w:r w:rsidR="00557317" w:rsidRPr="00557317">
        <w:t>ermission not granted for publication)</w:t>
      </w:r>
      <w:r w:rsidR="00557317">
        <w:t xml:space="preserve">, </w:t>
      </w:r>
      <w:r w:rsidR="00D02DDA">
        <w:t xml:space="preserve"> </w:t>
      </w:r>
      <w:hyperlink r:id="rId176" w:history="1">
        <w:r w:rsidR="00EB63E3" w:rsidRPr="0031127D">
          <w:rPr>
            <w:rStyle w:val="Hyperlink"/>
          </w:rPr>
          <w:t>Australian Forest Products Association</w:t>
        </w:r>
      </w:hyperlink>
      <w:r w:rsidR="00EB63E3">
        <w:t xml:space="preserve">, </w:t>
      </w:r>
      <w:r w:rsidR="00392755" w:rsidRPr="00392755">
        <w:t>Anonymous (</w:t>
      </w:r>
      <w:r w:rsidR="00537A40">
        <w:t>p</w:t>
      </w:r>
      <w:r w:rsidR="00392755" w:rsidRPr="00392755">
        <w:t>ermission not granted for publication)</w:t>
      </w:r>
      <w:r w:rsidR="00392755">
        <w:t xml:space="preserve">, </w:t>
      </w:r>
      <w:r w:rsidR="00E8593F" w:rsidRPr="00E8593F">
        <w:t>Anonymous (</w:t>
      </w:r>
      <w:r w:rsidR="00537A40">
        <w:t>p</w:t>
      </w:r>
      <w:r w:rsidR="00E8593F" w:rsidRPr="00E8593F">
        <w:t>ermission not granted for publication)</w:t>
      </w:r>
      <w:r w:rsidR="00557317">
        <w:t xml:space="preserve">, </w:t>
      </w:r>
      <w:hyperlink r:id="rId177" w:history="1">
        <w:r w:rsidR="00EB63E3" w:rsidRPr="00D53E13">
          <w:rPr>
            <w:rStyle w:val="Hyperlink"/>
          </w:rPr>
          <w:t>Anonymous</w:t>
        </w:r>
      </w:hyperlink>
      <w:r w:rsidR="00EB63E3">
        <w:t xml:space="preserve">, </w:t>
      </w:r>
      <w:hyperlink r:id="rId178" w:history="1">
        <w:r w:rsidR="00E53F7A" w:rsidRPr="00714772">
          <w:rPr>
            <w:rStyle w:val="Hyperlink"/>
          </w:rPr>
          <w:t>Engineered Wood Products Association of Australia</w:t>
        </w:r>
      </w:hyperlink>
      <w:r w:rsidR="00EB63E3">
        <w:t xml:space="preserve">, </w:t>
      </w:r>
      <w:hyperlink r:id="rId179" w:history="1">
        <w:r w:rsidR="00EB63E3" w:rsidRPr="008F6A98">
          <w:rPr>
            <w:rStyle w:val="Hyperlink"/>
          </w:rPr>
          <w:t>Australian Chamber of Commerce and Industry</w:t>
        </w:r>
      </w:hyperlink>
      <w:r w:rsidR="00EB63E3">
        <w:t xml:space="preserve">, and </w:t>
      </w:r>
      <w:hyperlink r:id="rId180" w:history="1">
        <w:bookmarkStart w:id="304" w:name="_Hlt209513438"/>
        <w:bookmarkStart w:id="305" w:name="_Hlt209513437"/>
        <w:r w:rsidR="00EB63E3" w:rsidRPr="008F6203">
          <w:rPr>
            <w:rStyle w:val="Hyperlink"/>
          </w:rPr>
          <w:t>Australian Industry Group</w:t>
        </w:r>
        <w:bookmarkEnd w:id="304"/>
        <w:bookmarkEnd w:id="305"/>
      </w:hyperlink>
    </w:p>
  </w:footnote>
  <w:footnote w:id="127">
    <w:p w14:paraId="0C9B2602" w14:textId="1427173C" w:rsidR="00645A9B" w:rsidRDefault="00645A9B">
      <w:pPr>
        <w:pStyle w:val="FootnoteText"/>
      </w:pPr>
      <w:r>
        <w:rPr>
          <w:rStyle w:val="FootnoteReference"/>
        </w:rPr>
        <w:footnoteRef/>
      </w:r>
      <w:r>
        <w:t xml:space="preserve"> </w:t>
      </w:r>
      <w:r w:rsidR="00D646AA">
        <w:t>Submissions from Anonymous (</w:t>
      </w:r>
      <w:r w:rsidR="00537A40">
        <w:t>p</w:t>
      </w:r>
      <w:r w:rsidR="00D646AA">
        <w:t xml:space="preserve">ermission not granted for publication) and </w:t>
      </w:r>
      <w:hyperlink r:id="rId181" w:history="1">
        <w:r w:rsidR="00483DF7" w:rsidRPr="00EF29FD">
          <w:rPr>
            <w:rStyle w:val="Hyperlink"/>
          </w:rPr>
          <w:t>Accord Australasia</w:t>
        </w:r>
      </w:hyperlink>
    </w:p>
  </w:footnote>
  <w:footnote w:id="128">
    <w:p w14:paraId="42E204A1" w14:textId="707BCD67" w:rsidR="005410E3" w:rsidRDefault="005410E3">
      <w:pPr>
        <w:pStyle w:val="FootnoteText"/>
      </w:pPr>
      <w:r>
        <w:rPr>
          <w:rStyle w:val="FootnoteReference"/>
        </w:rPr>
        <w:footnoteRef/>
      </w:r>
      <w:r>
        <w:t xml:space="preserve"> </w:t>
      </w:r>
      <w:hyperlink r:id="rId182" w:history="1">
        <w:r w:rsidR="00F91D2B" w:rsidRPr="008D3D5D">
          <w:rPr>
            <w:rStyle w:val="Hyperlink"/>
          </w:rPr>
          <w:t>Australian Pathology</w:t>
        </w:r>
      </w:hyperlink>
    </w:p>
  </w:footnote>
  <w:footnote w:id="129">
    <w:p w14:paraId="3A0B6345" w14:textId="5E382A02" w:rsidR="00254143" w:rsidRDefault="00254143">
      <w:pPr>
        <w:pStyle w:val="FootnoteText"/>
      </w:pPr>
      <w:r>
        <w:rPr>
          <w:rStyle w:val="FootnoteReference"/>
        </w:rPr>
        <w:footnoteRef/>
      </w:r>
      <w:r>
        <w:t xml:space="preserve"> </w:t>
      </w:r>
      <w:r w:rsidR="00EB63E3">
        <w:t xml:space="preserve">Submissions from </w:t>
      </w:r>
      <w:r w:rsidR="00F32F07" w:rsidRPr="00F32F07">
        <w:t>Anonymous (</w:t>
      </w:r>
      <w:r w:rsidR="00537A40">
        <w:t>p</w:t>
      </w:r>
      <w:r w:rsidR="00F32F07" w:rsidRPr="00F32F07">
        <w:t>ermission not granted for publication)</w:t>
      </w:r>
      <w:r w:rsidR="00F32F07">
        <w:t xml:space="preserve">, </w:t>
      </w:r>
      <w:r w:rsidR="00F32F07" w:rsidRPr="00F32F07">
        <w:t>Anonymous (</w:t>
      </w:r>
      <w:r w:rsidR="00537A40">
        <w:t>p</w:t>
      </w:r>
      <w:r w:rsidR="00F32F07" w:rsidRPr="00F32F07">
        <w:t>ermission not granted for publication)</w:t>
      </w:r>
      <w:r w:rsidR="00A43D73">
        <w:t xml:space="preserve">, </w:t>
      </w:r>
      <w:r w:rsidR="00A43D73" w:rsidRPr="00A43D73">
        <w:t>Anonymous (</w:t>
      </w:r>
      <w:r w:rsidR="00537A40">
        <w:t>p</w:t>
      </w:r>
      <w:r w:rsidR="00A43D73" w:rsidRPr="00A43D73">
        <w:t>ermission not granted for publication)</w:t>
      </w:r>
      <w:r w:rsidR="00A43D73">
        <w:t xml:space="preserve">, </w:t>
      </w:r>
      <w:r w:rsidR="00A43D73" w:rsidRPr="00A43D73">
        <w:t>Anonymous (</w:t>
      </w:r>
      <w:r w:rsidR="00537A40">
        <w:t>p</w:t>
      </w:r>
      <w:r w:rsidR="00A43D73" w:rsidRPr="00A43D73">
        <w:t>ermission not granted for publication)</w:t>
      </w:r>
      <w:r w:rsidR="00A43D73">
        <w:t xml:space="preserve">, </w:t>
      </w:r>
      <w:hyperlink r:id="rId183" w:history="1">
        <w:r w:rsidR="00C46B28" w:rsidRPr="00C46B28">
          <w:rPr>
            <w:rStyle w:val="Hyperlink"/>
          </w:rPr>
          <w:t>Australian Forest Products Association</w:t>
        </w:r>
      </w:hyperlink>
      <w:r w:rsidR="00EB63E3">
        <w:t xml:space="preserve">, </w:t>
      </w:r>
      <w:r w:rsidR="00A43D73" w:rsidRPr="00A43D73">
        <w:t>Anonymous (</w:t>
      </w:r>
      <w:r w:rsidR="00537A40">
        <w:t>p</w:t>
      </w:r>
      <w:r w:rsidR="00A43D73" w:rsidRPr="00A43D73">
        <w:t>ermission not granted for publication)</w:t>
      </w:r>
      <w:r w:rsidR="00FB45FA">
        <w:t xml:space="preserve">, </w:t>
      </w:r>
      <w:hyperlink r:id="rId184" w:history="1">
        <w:r w:rsidR="006077D0" w:rsidRPr="00F57FFB">
          <w:rPr>
            <w:rStyle w:val="Hyperlink"/>
          </w:rPr>
          <w:t>Anonymous</w:t>
        </w:r>
      </w:hyperlink>
      <w:r w:rsidR="006077D0">
        <w:t xml:space="preserve">, </w:t>
      </w:r>
      <w:hyperlink r:id="rId185" w:history="1">
        <w:r w:rsidR="00E53F7A" w:rsidRPr="00714772">
          <w:rPr>
            <w:rStyle w:val="Hyperlink"/>
          </w:rPr>
          <w:t>Engineered Wood Products Association of Australia</w:t>
        </w:r>
      </w:hyperlink>
      <w:r w:rsidR="006077D0">
        <w:t xml:space="preserve">, </w:t>
      </w:r>
      <w:hyperlink r:id="rId186" w:history="1">
        <w:r w:rsidR="006077D0" w:rsidRPr="009B5913">
          <w:rPr>
            <w:rStyle w:val="Hyperlink"/>
          </w:rPr>
          <w:t>Australian Chamber of Commerce and Industry</w:t>
        </w:r>
      </w:hyperlink>
      <w:r w:rsidR="006077D0">
        <w:t xml:space="preserve">, and </w:t>
      </w:r>
      <w:hyperlink r:id="rId187" w:history="1">
        <w:r w:rsidR="006077D0" w:rsidRPr="009B5913">
          <w:rPr>
            <w:rStyle w:val="Hyperlink"/>
          </w:rPr>
          <w:t>Australian Industry Group</w:t>
        </w:r>
      </w:hyperlink>
    </w:p>
  </w:footnote>
  <w:footnote w:id="130">
    <w:p w14:paraId="3571C4B3" w14:textId="07C16AF9" w:rsidR="007009B3" w:rsidRDefault="007009B3">
      <w:pPr>
        <w:pStyle w:val="FootnoteText"/>
      </w:pPr>
      <w:r>
        <w:rPr>
          <w:rStyle w:val="FootnoteReference"/>
        </w:rPr>
        <w:footnoteRef/>
      </w:r>
      <w:r>
        <w:t xml:space="preserve"> </w:t>
      </w:r>
      <w:r w:rsidR="005475D3">
        <w:t xml:space="preserve">Submissions from </w:t>
      </w:r>
      <w:hyperlink r:id="rId188" w:history="1">
        <w:r w:rsidRPr="007009B3">
          <w:rPr>
            <w:rStyle w:val="Hyperlink"/>
          </w:rPr>
          <w:t>Australian Chamber of Commerce and Industry</w:t>
        </w:r>
      </w:hyperlink>
      <w:r w:rsidR="005475D3">
        <w:t xml:space="preserve">, and </w:t>
      </w:r>
      <w:hyperlink r:id="rId189" w:history="1">
        <w:r w:rsidR="005475D3" w:rsidRPr="007009B3">
          <w:rPr>
            <w:rStyle w:val="Hyperlink"/>
          </w:rPr>
          <w:t>Australian Industry Group</w:t>
        </w:r>
      </w:hyperlink>
    </w:p>
  </w:footnote>
  <w:footnote w:id="131">
    <w:p w14:paraId="1208B962" w14:textId="4FCB47C9" w:rsidR="00DB4C11" w:rsidRDefault="00DB4C11">
      <w:pPr>
        <w:pStyle w:val="FootnoteText"/>
      </w:pPr>
      <w:r>
        <w:rPr>
          <w:rStyle w:val="FootnoteReference"/>
        </w:rPr>
        <w:footnoteRef/>
      </w:r>
      <w:r>
        <w:t xml:space="preserve"> </w:t>
      </w:r>
      <w:hyperlink r:id="rId190" w:history="1">
        <w:r w:rsidRPr="008D3D5D">
          <w:rPr>
            <w:rStyle w:val="Hyperlink"/>
          </w:rPr>
          <w:t>Australian Pathology</w:t>
        </w:r>
      </w:hyperlink>
    </w:p>
  </w:footnote>
  <w:footnote w:id="132">
    <w:p w14:paraId="55DBE914" w14:textId="0F78F45B" w:rsidR="00E76295" w:rsidRDefault="00E76295">
      <w:pPr>
        <w:pStyle w:val="FootnoteText"/>
      </w:pPr>
      <w:r>
        <w:rPr>
          <w:rStyle w:val="FootnoteReference"/>
        </w:rPr>
        <w:footnoteRef/>
      </w:r>
      <w:r>
        <w:t xml:space="preserve"> </w:t>
      </w:r>
      <w:r w:rsidR="007B5CA4">
        <w:t xml:space="preserve">Submissions from </w:t>
      </w:r>
      <w:hyperlink r:id="rId191" w:history="1">
        <w:r w:rsidRPr="00E76295">
          <w:rPr>
            <w:rStyle w:val="Hyperlink"/>
          </w:rPr>
          <w:t>Department of Energy, Mines, Industry Regulation and Safety - WorkSafe Group (Western Australia)</w:t>
        </w:r>
      </w:hyperlink>
      <w:r w:rsidR="007B5CA4">
        <w:t xml:space="preserve">, </w:t>
      </w:r>
      <w:r w:rsidR="00B84575" w:rsidRPr="00B84575">
        <w:t>Anonymous (</w:t>
      </w:r>
      <w:r w:rsidR="00537A40">
        <w:t>p</w:t>
      </w:r>
      <w:r w:rsidR="00B84575" w:rsidRPr="00B84575">
        <w:t>ermission not granted for publication)</w:t>
      </w:r>
      <w:r w:rsidR="00B84575">
        <w:t xml:space="preserve">, </w:t>
      </w:r>
      <w:hyperlink r:id="rId192" w:history="1">
        <w:r w:rsidR="007B5CA4" w:rsidRPr="001D04AB">
          <w:rPr>
            <w:rStyle w:val="Hyperlink"/>
          </w:rPr>
          <w:t>Insulation Council of Australia and New Zealand</w:t>
        </w:r>
      </w:hyperlink>
      <w:r w:rsidR="007B5CA4">
        <w:t xml:space="preserve">, </w:t>
      </w:r>
      <w:r w:rsidR="00B84575" w:rsidRPr="00B84575">
        <w:t>Anonymous (</w:t>
      </w:r>
      <w:r w:rsidR="00810177">
        <w:t>p</w:t>
      </w:r>
      <w:r w:rsidR="00B84575" w:rsidRPr="00B84575">
        <w:t>ermission not granted for publication)</w:t>
      </w:r>
      <w:r w:rsidR="00B84575">
        <w:t xml:space="preserve">, </w:t>
      </w:r>
      <w:r w:rsidR="007B5CA4">
        <w:t xml:space="preserve">and </w:t>
      </w:r>
      <w:hyperlink r:id="rId193" w:history="1">
        <w:r w:rsidR="008053CB" w:rsidRPr="008053CB">
          <w:rPr>
            <w:rStyle w:val="Hyperlink"/>
          </w:rPr>
          <w:t>Minerals Council of Australia</w:t>
        </w:r>
      </w:hyperlink>
    </w:p>
  </w:footnote>
  <w:footnote w:id="133">
    <w:p w14:paraId="4006AB02" w14:textId="383C5275" w:rsidR="00241F4F" w:rsidRDefault="00241F4F">
      <w:pPr>
        <w:pStyle w:val="FootnoteText"/>
      </w:pPr>
      <w:r>
        <w:rPr>
          <w:rStyle w:val="FootnoteReference"/>
        </w:rPr>
        <w:footnoteRef/>
      </w:r>
      <w:r>
        <w:t xml:space="preserve"> </w:t>
      </w:r>
      <w:r w:rsidR="007B5CA4">
        <w:t xml:space="preserve">Submissions from </w:t>
      </w:r>
      <w:hyperlink r:id="rId194" w:history="1">
        <w:r w:rsidRPr="00097C15">
          <w:rPr>
            <w:rStyle w:val="Hyperlink"/>
          </w:rPr>
          <w:t>Forbes McGain</w:t>
        </w:r>
      </w:hyperlink>
      <w:r w:rsidR="007B5CA4">
        <w:t xml:space="preserve">, and </w:t>
      </w:r>
      <w:hyperlink r:id="rId195" w:history="1">
        <w:r w:rsidR="007B5CA4" w:rsidRPr="00E36553">
          <w:rPr>
            <w:rStyle w:val="Hyperlink"/>
          </w:rPr>
          <w:t>Robyn Schofield</w:t>
        </w:r>
      </w:hyperlink>
    </w:p>
  </w:footnote>
  <w:footnote w:id="134">
    <w:p w14:paraId="519B4A91" w14:textId="161AA58E" w:rsidR="009148FA" w:rsidRDefault="009148FA">
      <w:pPr>
        <w:pStyle w:val="FootnoteText"/>
      </w:pPr>
      <w:r>
        <w:rPr>
          <w:rStyle w:val="FootnoteReference"/>
        </w:rPr>
        <w:footnoteRef/>
      </w:r>
      <w:r>
        <w:t xml:space="preserve"> </w:t>
      </w:r>
      <w:r w:rsidR="0014078C">
        <w:t>Submissions from</w:t>
      </w:r>
      <w:r w:rsidR="004E290F">
        <w:t xml:space="preserve"> </w:t>
      </w:r>
      <w:r w:rsidR="004E290F" w:rsidRPr="004E290F">
        <w:t>Anonymous (</w:t>
      </w:r>
      <w:r w:rsidR="00F92B09">
        <w:t>p</w:t>
      </w:r>
      <w:r w:rsidR="004E290F" w:rsidRPr="004E290F">
        <w:t>ermission not granted for publication)</w:t>
      </w:r>
      <w:r w:rsidR="004E290F">
        <w:t xml:space="preserve">, </w:t>
      </w:r>
      <w:r w:rsidR="00FD334E" w:rsidRPr="00FD334E">
        <w:t>Anonymous (</w:t>
      </w:r>
      <w:r w:rsidR="00F92B09">
        <w:t>p</w:t>
      </w:r>
      <w:r w:rsidR="00FD334E" w:rsidRPr="00FD334E">
        <w:t>ermission not granted for publication)</w:t>
      </w:r>
      <w:r w:rsidR="00FD334E">
        <w:t xml:space="preserve">, </w:t>
      </w:r>
      <w:r w:rsidR="00FD334E" w:rsidRPr="00FD334E">
        <w:t>Anonymous (</w:t>
      </w:r>
      <w:r w:rsidR="00F92B09">
        <w:t>p</w:t>
      </w:r>
      <w:r w:rsidR="00FD334E" w:rsidRPr="00FD334E">
        <w:t>ermission not granted for publication)</w:t>
      </w:r>
      <w:r w:rsidR="00FD334E">
        <w:t xml:space="preserve">, </w:t>
      </w:r>
      <w:r w:rsidR="00FD334E" w:rsidRPr="00FD334E">
        <w:t>Anonymous (</w:t>
      </w:r>
      <w:r w:rsidR="00F92B09">
        <w:t>p</w:t>
      </w:r>
      <w:r w:rsidR="00FD334E" w:rsidRPr="00FD334E">
        <w:t>ermission not granted for publication)</w:t>
      </w:r>
      <w:r w:rsidR="00FD334E">
        <w:t>,</w:t>
      </w:r>
      <w:r w:rsidR="0014078C">
        <w:t xml:space="preserve"> </w:t>
      </w:r>
      <w:hyperlink r:id="rId196" w:history="1">
        <w:r w:rsidRPr="009148FA">
          <w:rPr>
            <w:rStyle w:val="Hyperlink"/>
          </w:rPr>
          <w:t>Australian Forest Products Association</w:t>
        </w:r>
      </w:hyperlink>
      <w:r w:rsidR="00F31632">
        <w:t xml:space="preserve">, </w:t>
      </w:r>
      <w:r w:rsidR="00FD334E" w:rsidRPr="00FD334E">
        <w:t>Anonymous (</w:t>
      </w:r>
      <w:r w:rsidR="00F92B09">
        <w:t>p</w:t>
      </w:r>
      <w:r w:rsidR="00FD334E" w:rsidRPr="00FD334E">
        <w:t>ermission not granted for publication)</w:t>
      </w:r>
      <w:r w:rsidR="00FD334E">
        <w:t xml:space="preserve">, </w:t>
      </w:r>
      <w:hyperlink r:id="rId197" w:history="1">
        <w:r w:rsidR="00F31632" w:rsidRPr="00AC319E">
          <w:rPr>
            <w:rStyle w:val="Hyperlink"/>
          </w:rPr>
          <w:t>Anonymous</w:t>
        </w:r>
      </w:hyperlink>
      <w:r w:rsidR="00F31632">
        <w:t xml:space="preserve">, </w:t>
      </w:r>
      <w:hyperlink r:id="rId198" w:history="1">
        <w:r w:rsidR="008F7434" w:rsidRPr="00714772">
          <w:rPr>
            <w:rStyle w:val="Hyperlink"/>
          </w:rPr>
          <w:t>Engineered Wood Products Association of Australia</w:t>
        </w:r>
      </w:hyperlink>
      <w:r w:rsidR="00F31632">
        <w:t xml:space="preserve">, </w:t>
      </w:r>
      <w:hyperlink r:id="rId199" w:history="1">
        <w:r w:rsidR="00F31632" w:rsidRPr="00813A66">
          <w:rPr>
            <w:rStyle w:val="Hyperlink"/>
          </w:rPr>
          <w:t>Australian Chamber of Commerce and Industry</w:t>
        </w:r>
      </w:hyperlink>
      <w:r w:rsidR="00F31632">
        <w:t xml:space="preserve">, and </w:t>
      </w:r>
      <w:hyperlink r:id="rId200" w:history="1">
        <w:r w:rsidR="00F31632" w:rsidRPr="00813A66">
          <w:rPr>
            <w:rStyle w:val="Hyperlink"/>
          </w:rPr>
          <w:t>Australian Industry Group</w:t>
        </w:r>
      </w:hyperlink>
    </w:p>
  </w:footnote>
  <w:footnote w:id="135">
    <w:p w14:paraId="75F9FF93" w14:textId="5883E7DF" w:rsidR="00524A62" w:rsidRDefault="00524A62">
      <w:pPr>
        <w:pStyle w:val="FootnoteText"/>
      </w:pPr>
      <w:r>
        <w:rPr>
          <w:rStyle w:val="FootnoteReference"/>
        </w:rPr>
        <w:footnoteRef/>
      </w:r>
      <w:r>
        <w:t xml:space="preserve"> </w:t>
      </w:r>
      <w:r w:rsidR="00F31632">
        <w:t xml:space="preserve">Submissions from </w:t>
      </w:r>
      <w:hyperlink r:id="rId201" w:history="1">
        <w:r w:rsidRPr="00524A62">
          <w:rPr>
            <w:rStyle w:val="Hyperlink"/>
          </w:rPr>
          <w:t>Cancer Council Australia</w:t>
        </w:r>
      </w:hyperlink>
      <w:r w:rsidR="00F31632">
        <w:t xml:space="preserve"> and </w:t>
      </w:r>
      <w:hyperlink r:id="rId202" w:history="1">
        <w:r w:rsidR="00F31632" w:rsidRPr="00896694">
          <w:rPr>
            <w:rStyle w:val="Hyperlink"/>
          </w:rPr>
          <w:t>Anonymous</w:t>
        </w:r>
      </w:hyperlink>
    </w:p>
  </w:footnote>
  <w:footnote w:id="136">
    <w:p w14:paraId="600EA24B" w14:textId="1DAF495E" w:rsidR="00F02B0C" w:rsidRDefault="00F02B0C">
      <w:pPr>
        <w:pStyle w:val="FootnoteText"/>
      </w:pPr>
      <w:r>
        <w:rPr>
          <w:rStyle w:val="FootnoteReference"/>
        </w:rPr>
        <w:footnoteRef/>
      </w:r>
      <w:r>
        <w:t xml:space="preserve"> </w:t>
      </w:r>
      <w:r w:rsidR="00D45047">
        <w:t xml:space="preserve">Submissions from </w:t>
      </w:r>
      <w:hyperlink r:id="rId203" w:history="1">
        <w:r w:rsidR="00832F29" w:rsidRPr="00832F29">
          <w:rPr>
            <w:rStyle w:val="Hyperlink"/>
          </w:rPr>
          <w:t>Australian Forest Products Association</w:t>
        </w:r>
      </w:hyperlink>
      <w:r w:rsidR="00D45047">
        <w:t xml:space="preserve">, </w:t>
      </w:r>
      <w:hyperlink r:id="rId204" w:history="1">
        <w:r w:rsidR="00D45047" w:rsidRPr="00896694">
          <w:rPr>
            <w:rStyle w:val="Hyperlink"/>
          </w:rPr>
          <w:t>Anonymous</w:t>
        </w:r>
      </w:hyperlink>
      <w:r w:rsidR="00D45047">
        <w:t xml:space="preserve">, and </w:t>
      </w:r>
      <w:hyperlink r:id="rId205" w:history="1">
        <w:r w:rsidR="008F7434" w:rsidRPr="00714772">
          <w:rPr>
            <w:rStyle w:val="Hyperlink"/>
          </w:rPr>
          <w:t>Engineered Wood Products Association of Australia</w:t>
        </w:r>
      </w:hyperlink>
    </w:p>
  </w:footnote>
  <w:footnote w:id="137">
    <w:p w14:paraId="2762CB49" w14:textId="30960CA9" w:rsidR="00D04F43" w:rsidRDefault="00D04F43">
      <w:pPr>
        <w:pStyle w:val="FootnoteText"/>
      </w:pPr>
      <w:r>
        <w:rPr>
          <w:rStyle w:val="FootnoteReference"/>
        </w:rPr>
        <w:footnoteRef/>
      </w:r>
      <w:r>
        <w:t xml:space="preserve"> </w:t>
      </w:r>
      <w:hyperlink r:id="rId206" w:history="1">
        <w:r w:rsidRPr="001F3489">
          <w:rPr>
            <w:rStyle w:val="Hyperlink"/>
          </w:rPr>
          <w:t>Accord Australasia</w:t>
        </w:r>
      </w:hyperlink>
    </w:p>
  </w:footnote>
  <w:footnote w:id="138">
    <w:p w14:paraId="55DD583E" w14:textId="57632ECD" w:rsidR="00E00CA3" w:rsidRDefault="00E00CA3">
      <w:pPr>
        <w:pStyle w:val="FootnoteText"/>
      </w:pPr>
      <w:r>
        <w:rPr>
          <w:rStyle w:val="FootnoteReference"/>
        </w:rPr>
        <w:footnoteRef/>
      </w:r>
      <w:r>
        <w:t xml:space="preserve"> </w:t>
      </w:r>
      <w:hyperlink r:id="rId207" w:history="1">
        <w:r w:rsidR="008F7434" w:rsidRPr="00714772">
          <w:rPr>
            <w:rStyle w:val="Hyperlink"/>
          </w:rPr>
          <w:t>Engineered Wood Products Association of Australia</w:t>
        </w:r>
      </w:hyperlink>
    </w:p>
  </w:footnote>
  <w:footnote w:id="139">
    <w:p w14:paraId="41C413AA" w14:textId="1A9E65E5" w:rsidR="009B5AA4" w:rsidRDefault="009B5AA4">
      <w:pPr>
        <w:pStyle w:val="FootnoteText"/>
      </w:pPr>
      <w:r>
        <w:rPr>
          <w:rStyle w:val="FootnoteReference"/>
        </w:rPr>
        <w:footnoteRef/>
      </w:r>
      <w:r>
        <w:t xml:space="preserve"> NIOSH 2016, OSHA 1007, MDHS 102, IFA 6045</w:t>
      </w:r>
    </w:p>
  </w:footnote>
  <w:footnote w:id="140">
    <w:p w14:paraId="43CC5245" w14:textId="54D82C59" w:rsidR="00FD4617" w:rsidRDefault="00FD4617">
      <w:pPr>
        <w:pStyle w:val="FootnoteText"/>
      </w:pPr>
      <w:r>
        <w:rPr>
          <w:rStyle w:val="FootnoteReference"/>
        </w:rPr>
        <w:footnoteRef/>
      </w:r>
      <w:r>
        <w:t xml:space="preserve"> Submissions from </w:t>
      </w:r>
      <w:r w:rsidRPr="00FD4617">
        <w:t>Anonymous (</w:t>
      </w:r>
      <w:r w:rsidR="00657F68">
        <w:t>p</w:t>
      </w:r>
      <w:r w:rsidRPr="00FD4617">
        <w:t>ermission not granted for publication)</w:t>
      </w:r>
      <w:r>
        <w:t xml:space="preserve">, </w:t>
      </w:r>
      <w:r w:rsidRPr="00FD4617">
        <w:t>Anonymous (</w:t>
      </w:r>
      <w:r w:rsidR="00657F68">
        <w:t>p</w:t>
      </w:r>
      <w:r w:rsidRPr="00FD4617">
        <w:t>ermission not granted for publication)</w:t>
      </w:r>
      <w:r>
        <w:t xml:space="preserve">, </w:t>
      </w:r>
      <w:r w:rsidRPr="00FD4617">
        <w:t>Anonymous (</w:t>
      </w:r>
      <w:r w:rsidR="00657F68">
        <w:t>p</w:t>
      </w:r>
      <w:r w:rsidRPr="00FD4617">
        <w:t>ermission not granted for publication)</w:t>
      </w:r>
    </w:p>
  </w:footnote>
  <w:footnote w:id="141">
    <w:p w14:paraId="09BFFB33" w14:textId="05E613B8" w:rsidR="00FD4617" w:rsidRDefault="00FD4617">
      <w:pPr>
        <w:pStyle w:val="FootnoteText"/>
      </w:pPr>
      <w:r>
        <w:rPr>
          <w:rStyle w:val="FootnoteReference"/>
        </w:rPr>
        <w:footnoteRef/>
      </w:r>
      <w:r>
        <w:t xml:space="preserve"> </w:t>
      </w:r>
      <w:r w:rsidRPr="00FD4617">
        <w:t>Anonymous (</w:t>
      </w:r>
      <w:r w:rsidR="00657F68">
        <w:t>p</w:t>
      </w:r>
      <w:r w:rsidRPr="00FD4617">
        <w:t>ermission not granted for publication)</w:t>
      </w:r>
    </w:p>
  </w:footnote>
  <w:footnote w:id="142">
    <w:p w14:paraId="4DA4C1EA" w14:textId="6924E54B" w:rsidR="00FD4617" w:rsidRDefault="00FD4617">
      <w:pPr>
        <w:pStyle w:val="FootnoteText"/>
      </w:pPr>
      <w:r>
        <w:rPr>
          <w:rStyle w:val="FootnoteReference"/>
        </w:rPr>
        <w:footnoteRef/>
      </w:r>
      <w:r>
        <w:t xml:space="preserve"> </w:t>
      </w:r>
      <w:r w:rsidRPr="00FD4617">
        <w:t>Anonymous (</w:t>
      </w:r>
      <w:r w:rsidR="00657F68">
        <w:t>p</w:t>
      </w:r>
      <w:r w:rsidRPr="00FD4617">
        <w:t>ermission not granted for publication)</w:t>
      </w:r>
    </w:p>
  </w:footnote>
  <w:footnote w:id="143">
    <w:p w14:paraId="6D604ED4" w14:textId="3186C1EA" w:rsidR="00604BFF" w:rsidRDefault="00604BFF">
      <w:pPr>
        <w:pStyle w:val="FootnoteText"/>
      </w:pPr>
      <w:r>
        <w:rPr>
          <w:rStyle w:val="FootnoteReference"/>
        </w:rPr>
        <w:footnoteRef/>
      </w:r>
      <w:r>
        <w:t xml:space="preserve"> </w:t>
      </w:r>
      <w:r w:rsidR="004A237F">
        <w:t xml:space="preserve">Submissions from </w:t>
      </w:r>
      <w:hyperlink r:id="rId208" w:history="1">
        <w:r w:rsidRPr="00604BFF">
          <w:rPr>
            <w:rStyle w:val="Hyperlink"/>
          </w:rPr>
          <w:t>Department of Energy, Mines, Industry Regulation and Safety - WorkSafe Group (Western Australia)</w:t>
        </w:r>
      </w:hyperlink>
      <w:r w:rsidR="001D4B64">
        <w:t xml:space="preserve">, </w:t>
      </w:r>
      <w:hyperlink r:id="rId209" w:history="1">
        <w:r w:rsidR="001D4B64" w:rsidRPr="001D4B64">
          <w:rPr>
            <w:rStyle w:val="Hyperlink"/>
          </w:rPr>
          <w:t>Australian Industry Group</w:t>
        </w:r>
      </w:hyperlink>
      <w:r w:rsidR="004A237F">
        <w:t xml:space="preserve"> and </w:t>
      </w:r>
      <w:hyperlink r:id="rId210" w:history="1">
        <w:r w:rsidR="00AA5345" w:rsidRPr="00AA5345">
          <w:rPr>
            <w:rStyle w:val="Hyperlink"/>
          </w:rPr>
          <w:t>Australian Pathology</w:t>
        </w:r>
      </w:hyperlink>
    </w:p>
  </w:footnote>
  <w:footnote w:id="144">
    <w:p w14:paraId="008E0521" w14:textId="4ED649D3" w:rsidR="00A613FA" w:rsidRDefault="00A613FA">
      <w:pPr>
        <w:pStyle w:val="FootnoteText"/>
      </w:pPr>
      <w:r>
        <w:rPr>
          <w:rStyle w:val="FootnoteReference"/>
        </w:rPr>
        <w:footnoteRef/>
      </w:r>
      <w:r>
        <w:t xml:space="preserve"> </w:t>
      </w:r>
      <w:hyperlink r:id="rId211" w:history="1">
        <w:r w:rsidRPr="00A613FA">
          <w:rPr>
            <w:rStyle w:val="Hyperlink"/>
          </w:rPr>
          <w:t>Department of Energy, Mines, Industry Regulation and Safety - WorkSafe Group (Western Australia)</w:t>
        </w:r>
      </w:hyperlink>
    </w:p>
  </w:footnote>
  <w:footnote w:id="145">
    <w:p w14:paraId="7BC357F4" w14:textId="77777777" w:rsidR="007C7405" w:rsidRDefault="007C7405" w:rsidP="007C7405">
      <w:pPr>
        <w:pStyle w:val="FootnoteText"/>
      </w:pPr>
      <w:r>
        <w:rPr>
          <w:rStyle w:val="FootnoteReference"/>
        </w:rPr>
        <w:footnoteRef/>
      </w:r>
      <w:r>
        <w:t xml:space="preserve"> </w:t>
      </w:r>
      <w:hyperlink r:id="rId212" w:history="1">
        <w:r w:rsidRPr="00E10090">
          <w:rPr>
            <w:rStyle w:val="Hyperlink"/>
          </w:rPr>
          <w:t>Australian Pathology</w:t>
        </w:r>
      </w:hyperlink>
    </w:p>
  </w:footnote>
  <w:footnote w:id="146">
    <w:p w14:paraId="703C263D" w14:textId="4AB1F3E8" w:rsidR="00E10090" w:rsidRDefault="00E10090">
      <w:pPr>
        <w:pStyle w:val="FootnoteText"/>
      </w:pPr>
      <w:r>
        <w:rPr>
          <w:rStyle w:val="FootnoteReference"/>
        </w:rPr>
        <w:footnoteRef/>
      </w:r>
      <w:r>
        <w:t xml:space="preserve"> </w:t>
      </w:r>
      <w:hyperlink r:id="rId213" w:history="1">
        <w:r w:rsidRPr="00E10090">
          <w:rPr>
            <w:rStyle w:val="Hyperlink"/>
          </w:rPr>
          <w:t>Australian Pathology</w:t>
        </w:r>
      </w:hyperlink>
    </w:p>
  </w:footnote>
  <w:footnote w:id="147">
    <w:p w14:paraId="3E2B544B" w14:textId="27BABE34" w:rsidR="00DD02CD" w:rsidRDefault="00DD02CD">
      <w:pPr>
        <w:pStyle w:val="FootnoteText"/>
      </w:pPr>
      <w:r>
        <w:rPr>
          <w:rStyle w:val="FootnoteReference"/>
        </w:rPr>
        <w:footnoteRef/>
      </w:r>
      <w:r>
        <w:t xml:space="preserve"> </w:t>
      </w:r>
      <w:r w:rsidRPr="00DD02CD">
        <w:t>Anonymous (</w:t>
      </w:r>
      <w:r w:rsidR="00657F68">
        <w:t>p</w:t>
      </w:r>
      <w:r w:rsidRPr="00DD02CD">
        <w:t>ermission not granted for publication)</w:t>
      </w:r>
    </w:p>
  </w:footnote>
  <w:footnote w:id="148">
    <w:p w14:paraId="4F9B7156" w14:textId="2C524507" w:rsidR="00A3605C" w:rsidRDefault="00A3605C">
      <w:pPr>
        <w:pStyle w:val="FootnoteText"/>
      </w:pPr>
      <w:r>
        <w:rPr>
          <w:rStyle w:val="FootnoteReference"/>
        </w:rPr>
        <w:footnoteRef/>
      </w:r>
      <w:r>
        <w:t xml:space="preserve"> </w:t>
      </w:r>
      <w:r w:rsidR="00167917">
        <w:t xml:space="preserve">Submissions from </w:t>
      </w:r>
      <w:r w:rsidR="00F56EA7" w:rsidRPr="00F56EA7">
        <w:t>Anonymous (</w:t>
      </w:r>
      <w:r w:rsidR="00657F68">
        <w:t>p</w:t>
      </w:r>
      <w:r w:rsidR="00F56EA7" w:rsidRPr="00F56EA7">
        <w:t>ermission not granted for publication)</w:t>
      </w:r>
      <w:r w:rsidR="00F56EA7">
        <w:t xml:space="preserve">, </w:t>
      </w:r>
      <w:r w:rsidR="00F56851" w:rsidRPr="00F56851">
        <w:t>Anonymous (</w:t>
      </w:r>
      <w:r w:rsidR="00657F68">
        <w:t>p</w:t>
      </w:r>
      <w:r w:rsidR="00F56851" w:rsidRPr="00F56851">
        <w:t>ermission not granted for publication)</w:t>
      </w:r>
      <w:r w:rsidR="00F56851">
        <w:t xml:space="preserve">, </w:t>
      </w:r>
      <w:r w:rsidR="00F56851" w:rsidRPr="00F56851">
        <w:t>Anonymous (</w:t>
      </w:r>
      <w:r w:rsidR="00657F68">
        <w:t>p</w:t>
      </w:r>
      <w:r w:rsidR="00F56851" w:rsidRPr="00F56851">
        <w:t>ermission not granted for publication)</w:t>
      </w:r>
      <w:r w:rsidR="00F56851">
        <w:t xml:space="preserve">, </w:t>
      </w:r>
      <w:r w:rsidR="00F56851" w:rsidRPr="00F56851">
        <w:t>Anonymous (</w:t>
      </w:r>
      <w:r w:rsidR="00657F68">
        <w:t>p</w:t>
      </w:r>
      <w:r w:rsidR="00F56851" w:rsidRPr="00F56851">
        <w:t>ermission not granted for publication)</w:t>
      </w:r>
      <w:r w:rsidR="00F56851">
        <w:t xml:space="preserve">, </w:t>
      </w:r>
      <w:hyperlink r:id="rId214" w:history="1">
        <w:r w:rsidR="00F82BD4" w:rsidRPr="00F82BD4">
          <w:rPr>
            <w:rStyle w:val="Hyperlink"/>
          </w:rPr>
          <w:t>Australian Forest Products Association</w:t>
        </w:r>
      </w:hyperlink>
      <w:r w:rsidR="00167917">
        <w:t xml:space="preserve">, </w:t>
      </w:r>
      <w:hyperlink r:id="rId215" w:history="1">
        <w:r w:rsidR="00581152" w:rsidRPr="008519E6">
          <w:rPr>
            <w:rStyle w:val="Hyperlink"/>
          </w:rPr>
          <w:t>Anonymous</w:t>
        </w:r>
      </w:hyperlink>
      <w:r w:rsidR="00581152">
        <w:t xml:space="preserve">, and </w:t>
      </w:r>
      <w:hyperlink r:id="rId216" w:history="1">
        <w:r w:rsidR="008F7434" w:rsidRPr="00714772">
          <w:rPr>
            <w:rStyle w:val="Hyperlink"/>
          </w:rPr>
          <w:t>Engineered Wood Products Association of Australia</w:t>
        </w:r>
      </w:hyperlink>
    </w:p>
  </w:footnote>
  <w:footnote w:id="149">
    <w:p w14:paraId="2A908E32" w14:textId="546915F0" w:rsidR="00E975E8" w:rsidRDefault="00E975E8">
      <w:pPr>
        <w:pStyle w:val="FootnoteText"/>
      </w:pPr>
      <w:r>
        <w:rPr>
          <w:rStyle w:val="FootnoteReference"/>
        </w:rPr>
        <w:footnoteRef/>
      </w:r>
      <w:r>
        <w:t xml:space="preserve"> </w:t>
      </w:r>
      <w:r w:rsidR="00F41C22">
        <w:t>Submissions from</w:t>
      </w:r>
      <w:r w:rsidR="004E2FF0">
        <w:t xml:space="preserve"> </w:t>
      </w:r>
      <w:r w:rsidR="001511C1" w:rsidRPr="001511C1">
        <w:t>Anonymous (</w:t>
      </w:r>
      <w:r w:rsidR="001A72F7">
        <w:t>p</w:t>
      </w:r>
      <w:r w:rsidR="001511C1" w:rsidRPr="001511C1">
        <w:t>ermission not granted for publication)</w:t>
      </w:r>
      <w:r w:rsidR="001511C1">
        <w:t xml:space="preserve">, </w:t>
      </w:r>
      <w:r w:rsidR="001511C1" w:rsidRPr="001511C1">
        <w:t>Anonymous (</w:t>
      </w:r>
      <w:r w:rsidR="001A72F7">
        <w:t>p</w:t>
      </w:r>
      <w:r w:rsidR="001511C1" w:rsidRPr="001511C1">
        <w:t>ermission not granted for publication)</w:t>
      </w:r>
      <w:r w:rsidR="001511C1">
        <w:t xml:space="preserve">, </w:t>
      </w:r>
      <w:r w:rsidR="001511C1" w:rsidRPr="001511C1">
        <w:t>Anonymous (</w:t>
      </w:r>
      <w:r w:rsidR="001A72F7">
        <w:t>p</w:t>
      </w:r>
      <w:r w:rsidR="001511C1" w:rsidRPr="001511C1">
        <w:t>ermission not granted for publication)</w:t>
      </w:r>
      <w:r w:rsidR="001511C1">
        <w:t xml:space="preserve">, </w:t>
      </w:r>
      <w:r w:rsidR="001511C1" w:rsidRPr="001511C1">
        <w:t>Anonymous (</w:t>
      </w:r>
      <w:r w:rsidR="001A72F7">
        <w:t>p</w:t>
      </w:r>
      <w:r w:rsidR="001511C1" w:rsidRPr="001511C1">
        <w:t>ermission not granted for publication)</w:t>
      </w:r>
      <w:r w:rsidR="001511C1">
        <w:t xml:space="preserve">, </w:t>
      </w:r>
      <w:hyperlink r:id="rId217" w:history="1">
        <w:r w:rsidR="004E2FF0" w:rsidRPr="004E2FF0">
          <w:rPr>
            <w:rStyle w:val="Hyperlink"/>
          </w:rPr>
          <w:t>Australian Forest Products Association</w:t>
        </w:r>
      </w:hyperlink>
      <w:r w:rsidR="004E2FF0">
        <w:t>,</w:t>
      </w:r>
      <w:r w:rsidR="00F41C22">
        <w:t xml:space="preserve"> </w:t>
      </w:r>
      <w:hyperlink r:id="rId218" w:history="1">
        <w:r w:rsidR="003C42A2" w:rsidRPr="003C42A2">
          <w:rPr>
            <w:rStyle w:val="Hyperlink"/>
          </w:rPr>
          <w:t>Anonymous</w:t>
        </w:r>
      </w:hyperlink>
      <w:r w:rsidR="003C42A2">
        <w:t xml:space="preserve">, </w:t>
      </w:r>
      <w:hyperlink r:id="rId219" w:history="1">
        <w:r w:rsidR="004E2FF0" w:rsidRPr="004E2FF0">
          <w:rPr>
            <w:rStyle w:val="Hyperlink"/>
          </w:rPr>
          <w:t>Engineered Wood Products Association of Australia</w:t>
        </w:r>
      </w:hyperlink>
      <w:r w:rsidR="004E2FF0">
        <w:t xml:space="preserve"> and </w:t>
      </w:r>
      <w:hyperlink r:id="rId220" w:history="1">
        <w:r w:rsidR="00912EF9" w:rsidRPr="00912EF9">
          <w:rPr>
            <w:rStyle w:val="Hyperlink"/>
          </w:rPr>
          <w:t>Australian Industry Group</w:t>
        </w:r>
      </w:hyperlink>
    </w:p>
  </w:footnote>
  <w:footnote w:id="150">
    <w:p w14:paraId="6D33AFB4" w14:textId="16105289" w:rsidR="00AF0238" w:rsidRDefault="00AF0238" w:rsidP="00AF0238">
      <w:pPr>
        <w:pStyle w:val="FootnoteText"/>
      </w:pPr>
      <w:r>
        <w:rPr>
          <w:rStyle w:val="FootnoteReference"/>
        </w:rPr>
        <w:footnoteRef/>
      </w:r>
      <w:r>
        <w:t xml:space="preserve"> Submissions from </w:t>
      </w:r>
      <w:r w:rsidRPr="00AF0238">
        <w:t>Anonymous (</w:t>
      </w:r>
      <w:r w:rsidR="001A72F7">
        <w:t>p</w:t>
      </w:r>
      <w:r w:rsidRPr="00AF0238">
        <w:t>ermission not granted for publication)</w:t>
      </w:r>
      <w:r>
        <w:t xml:space="preserve"> and </w:t>
      </w:r>
      <w:r w:rsidRPr="00AF0238">
        <w:t>Anonymous (</w:t>
      </w:r>
      <w:r w:rsidR="001A72F7">
        <w:t>p</w:t>
      </w:r>
      <w:r w:rsidRPr="00AF0238">
        <w:t>ermission not granted for publication)</w:t>
      </w:r>
      <w:r>
        <w:t xml:space="preserve">. </w:t>
      </w:r>
    </w:p>
  </w:footnote>
  <w:footnote w:id="151">
    <w:p w14:paraId="1DA86AAD" w14:textId="23C2A259" w:rsidR="003476B0" w:rsidRDefault="003476B0">
      <w:pPr>
        <w:pStyle w:val="FootnoteText"/>
      </w:pPr>
      <w:r>
        <w:rPr>
          <w:rStyle w:val="FootnoteReference"/>
        </w:rPr>
        <w:footnoteRef/>
      </w:r>
      <w:r>
        <w:t xml:space="preserve"> </w:t>
      </w:r>
      <w:r w:rsidR="009961E7">
        <w:t xml:space="preserve">Submissions from </w:t>
      </w:r>
      <w:hyperlink r:id="rId221" w:history="1">
        <w:r w:rsidR="00AC54B3" w:rsidRPr="00967ABD">
          <w:rPr>
            <w:rStyle w:val="Hyperlink"/>
          </w:rPr>
          <w:t>Dep</w:t>
        </w:r>
        <w:r w:rsidR="00F83629">
          <w:rPr>
            <w:rStyle w:val="Hyperlink"/>
          </w:rPr>
          <w:t>artmen</w:t>
        </w:r>
        <w:r w:rsidR="00AC54B3" w:rsidRPr="00967ABD">
          <w:rPr>
            <w:rStyle w:val="Hyperlink"/>
          </w:rPr>
          <w:t>t of Defence</w:t>
        </w:r>
      </w:hyperlink>
      <w:r w:rsidR="009961E7">
        <w:t xml:space="preserve">, </w:t>
      </w:r>
      <w:r w:rsidR="00971963">
        <w:t>Anonymous (</w:t>
      </w:r>
      <w:r w:rsidR="001A72F7">
        <w:t>p</w:t>
      </w:r>
      <w:r w:rsidR="00971963">
        <w:t>ermission not granted for publication), Anonymous (</w:t>
      </w:r>
      <w:r w:rsidR="001A72F7">
        <w:t>p</w:t>
      </w:r>
      <w:r w:rsidR="00971963">
        <w:t>ermission not granted for publication), Anonymous (</w:t>
      </w:r>
      <w:r w:rsidR="001A72F7">
        <w:t>p</w:t>
      </w:r>
      <w:r w:rsidR="00971963">
        <w:t>ermission not granted for publication), Anonymous (</w:t>
      </w:r>
      <w:r w:rsidR="001A72F7">
        <w:t>p</w:t>
      </w:r>
      <w:r w:rsidR="00971963">
        <w:t xml:space="preserve">ermission not granted for publication), </w:t>
      </w:r>
      <w:hyperlink r:id="rId222" w:history="1">
        <w:r w:rsidR="009961E7" w:rsidRPr="00C13929">
          <w:rPr>
            <w:rStyle w:val="Hyperlink"/>
          </w:rPr>
          <w:t>Australian Forest Products Association</w:t>
        </w:r>
      </w:hyperlink>
      <w:r w:rsidR="009961E7">
        <w:t>,</w:t>
      </w:r>
      <w:r w:rsidR="00A64B4D">
        <w:t xml:space="preserve"> Anonymous (</w:t>
      </w:r>
      <w:r w:rsidR="001A72F7">
        <w:t>p</w:t>
      </w:r>
      <w:r w:rsidR="00A64B4D">
        <w:t>ermission not granted for publication)</w:t>
      </w:r>
      <w:r w:rsidR="008F0E48">
        <w:t>,</w:t>
      </w:r>
      <w:r w:rsidR="009961E7">
        <w:t xml:space="preserve"> </w:t>
      </w:r>
      <w:hyperlink r:id="rId223" w:history="1">
        <w:r w:rsidR="009961E7" w:rsidRPr="00C61A3E">
          <w:rPr>
            <w:rStyle w:val="Hyperlink"/>
          </w:rPr>
          <w:t>Anonymous</w:t>
        </w:r>
      </w:hyperlink>
      <w:r w:rsidR="008519E6">
        <w:t xml:space="preserve">, </w:t>
      </w:r>
      <w:hyperlink r:id="rId224" w:history="1">
        <w:r w:rsidR="008519E6" w:rsidRPr="003E1B42">
          <w:rPr>
            <w:rStyle w:val="Hyperlink"/>
          </w:rPr>
          <w:t>Anonymous</w:t>
        </w:r>
      </w:hyperlink>
      <w:r w:rsidR="00362A21">
        <w:t>,</w:t>
      </w:r>
      <w:r w:rsidR="0023379E">
        <w:t xml:space="preserve"> </w:t>
      </w:r>
      <w:hyperlink r:id="rId225" w:history="1">
        <w:r w:rsidR="0023379E" w:rsidRPr="00397EA8">
          <w:rPr>
            <w:rStyle w:val="Hyperlink"/>
          </w:rPr>
          <w:t>Anonymous</w:t>
        </w:r>
      </w:hyperlink>
      <w:r w:rsidR="0023379E">
        <w:t>,</w:t>
      </w:r>
      <w:r w:rsidR="00362A21">
        <w:t xml:space="preserve"> </w:t>
      </w:r>
      <w:hyperlink r:id="rId226" w:history="1">
        <w:r w:rsidR="008F7434" w:rsidRPr="00714772">
          <w:rPr>
            <w:rStyle w:val="Hyperlink"/>
          </w:rPr>
          <w:t>Engineered Wood Products Association of Australia</w:t>
        </w:r>
      </w:hyperlink>
      <w:r w:rsidR="009119E7">
        <w:t xml:space="preserve">, and </w:t>
      </w:r>
      <w:r w:rsidR="009119E7" w:rsidRPr="009119E7">
        <w:t>Anonymous (</w:t>
      </w:r>
      <w:r w:rsidR="001A72F7">
        <w:t>p</w:t>
      </w:r>
      <w:r w:rsidR="009119E7" w:rsidRPr="009119E7">
        <w:t>ermission not granted for publication</w:t>
      </w:r>
      <w:r w:rsidR="009119E7">
        <w:t>.</w:t>
      </w:r>
    </w:p>
  </w:footnote>
  <w:footnote w:id="152">
    <w:p w14:paraId="05E05CC6" w14:textId="54DF0733" w:rsidR="002B33C4" w:rsidRDefault="002B33C4">
      <w:pPr>
        <w:pStyle w:val="FootnoteText"/>
      </w:pPr>
      <w:r>
        <w:rPr>
          <w:rStyle w:val="FootnoteReference"/>
        </w:rPr>
        <w:footnoteRef/>
      </w:r>
      <w:r>
        <w:t xml:space="preserve"> </w:t>
      </w:r>
      <w:r w:rsidR="000A60F2">
        <w:t>Anonymous (</w:t>
      </w:r>
      <w:r w:rsidR="001A72F7">
        <w:t>p</w:t>
      </w:r>
      <w:r w:rsidR="000A60F2">
        <w:t>ermission not granted for publication)</w:t>
      </w:r>
    </w:p>
  </w:footnote>
  <w:footnote w:id="153">
    <w:p w14:paraId="450AA696" w14:textId="130751AE" w:rsidR="001A1D5E" w:rsidRDefault="001A1D5E">
      <w:pPr>
        <w:pStyle w:val="FootnoteText"/>
      </w:pPr>
      <w:r>
        <w:rPr>
          <w:rStyle w:val="FootnoteReference"/>
        </w:rPr>
        <w:footnoteRef/>
      </w:r>
      <w:r>
        <w:t xml:space="preserve"> </w:t>
      </w:r>
      <w:r w:rsidR="00334555">
        <w:t xml:space="preserve">Submissions from </w:t>
      </w:r>
      <w:hyperlink r:id="rId227" w:history="1">
        <w:r w:rsidRPr="00967ABD">
          <w:rPr>
            <w:rStyle w:val="Hyperlink"/>
          </w:rPr>
          <w:t>Robyn Schofield</w:t>
        </w:r>
      </w:hyperlink>
      <w:r w:rsidR="00334555">
        <w:t xml:space="preserve"> and </w:t>
      </w:r>
      <w:r w:rsidR="00334555" w:rsidRPr="00334555">
        <w:t>Anonymous (</w:t>
      </w:r>
      <w:r w:rsidR="001A72F7">
        <w:t>p</w:t>
      </w:r>
      <w:r w:rsidR="00334555" w:rsidRPr="00334555">
        <w:t>ermission not granted for publication</w:t>
      </w:r>
    </w:p>
  </w:footnote>
  <w:footnote w:id="154">
    <w:p w14:paraId="78FD9B7D" w14:textId="05220FE4" w:rsidR="00E90ED5" w:rsidRDefault="00E90ED5">
      <w:pPr>
        <w:pStyle w:val="FootnoteText"/>
      </w:pPr>
      <w:r>
        <w:rPr>
          <w:rStyle w:val="FootnoteReference"/>
        </w:rPr>
        <w:footnoteRef/>
      </w:r>
      <w:r>
        <w:t xml:space="preserve"> </w:t>
      </w:r>
      <w:hyperlink r:id="rId228" w:history="1">
        <w:r w:rsidR="00E311E2" w:rsidRPr="00E311E2">
          <w:rPr>
            <w:rStyle w:val="Hyperlink"/>
          </w:rPr>
          <w:t>Forbes McGain</w:t>
        </w:r>
      </w:hyperlink>
    </w:p>
  </w:footnote>
  <w:footnote w:id="155">
    <w:p w14:paraId="7C9CE557" w14:textId="4DC9B91E" w:rsidR="000859EB" w:rsidRDefault="000859EB">
      <w:pPr>
        <w:pStyle w:val="FootnoteText"/>
      </w:pPr>
      <w:r>
        <w:rPr>
          <w:rStyle w:val="FootnoteReference"/>
        </w:rPr>
        <w:footnoteRef/>
      </w:r>
      <w:r>
        <w:t xml:space="preserve"> </w:t>
      </w:r>
      <w:hyperlink r:id="rId229" w:history="1">
        <w:r w:rsidR="00C47BED" w:rsidRPr="00C47BED">
          <w:rPr>
            <w:rStyle w:val="Hyperlink"/>
          </w:rPr>
          <w:t>Insulation Council of Australia and New Zealand</w:t>
        </w:r>
      </w:hyperlink>
    </w:p>
  </w:footnote>
  <w:footnote w:id="156">
    <w:p w14:paraId="01B9EC92" w14:textId="1AD54692" w:rsidR="009645C4" w:rsidRDefault="009645C4">
      <w:pPr>
        <w:pStyle w:val="FootnoteText"/>
      </w:pPr>
      <w:r>
        <w:rPr>
          <w:rStyle w:val="FootnoteReference"/>
        </w:rPr>
        <w:footnoteRef/>
      </w:r>
      <w:r>
        <w:t xml:space="preserve"> </w:t>
      </w:r>
      <w:r w:rsidR="00F85FCD">
        <w:t xml:space="preserve">Submissions from </w:t>
      </w:r>
      <w:hyperlink r:id="rId230" w:history="1">
        <w:r w:rsidR="0039091D" w:rsidRPr="0039091D">
          <w:rPr>
            <w:rStyle w:val="Hyperlink"/>
          </w:rPr>
          <w:t>The Royal College of Patholog</w:t>
        </w:r>
        <w:r w:rsidR="00E160BA">
          <w:rPr>
            <w:rStyle w:val="Hyperlink"/>
          </w:rPr>
          <w:t>ists</w:t>
        </w:r>
        <w:r w:rsidR="0039091D" w:rsidRPr="0039091D">
          <w:rPr>
            <w:rStyle w:val="Hyperlink"/>
          </w:rPr>
          <w:t xml:space="preserve"> of Australasia (RCPA)</w:t>
        </w:r>
      </w:hyperlink>
      <w:r w:rsidR="00F85FCD">
        <w:t xml:space="preserve">, </w:t>
      </w:r>
      <w:hyperlink r:id="rId231" w:history="1">
        <w:r w:rsidR="00F85FCD" w:rsidRPr="00C13929">
          <w:rPr>
            <w:rStyle w:val="Hyperlink"/>
          </w:rPr>
          <w:t>Public Pathology Australia</w:t>
        </w:r>
      </w:hyperlink>
      <w:r w:rsidR="0021746B">
        <w:t xml:space="preserve">, and </w:t>
      </w:r>
      <w:r w:rsidR="0021746B" w:rsidRPr="0021746B">
        <w:t>Anonymous (</w:t>
      </w:r>
      <w:r w:rsidR="002C3937">
        <w:t>p</w:t>
      </w:r>
      <w:r w:rsidR="0021746B" w:rsidRPr="0021746B">
        <w:t>ermission not granted for publication</w:t>
      </w:r>
    </w:p>
  </w:footnote>
  <w:footnote w:id="157">
    <w:p w14:paraId="3657DB07" w14:textId="7BBAE244" w:rsidR="00E6527C" w:rsidRDefault="00E6527C">
      <w:pPr>
        <w:pStyle w:val="FootnoteText"/>
      </w:pPr>
      <w:r>
        <w:rPr>
          <w:rStyle w:val="FootnoteReference"/>
        </w:rPr>
        <w:footnoteRef/>
      </w:r>
      <w:r>
        <w:t xml:space="preserve"> </w:t>
      </w:r>
      <w:r w:rsidRPr="00E6527C">
        <w:t>Anonymous (</w:t>
      </w:r>
      <w:r w:rsidR="002C3937">
        <w:t>p</w:t>
      </w:r>
      <w:r w:rsidRPr="00E6527C">
        <w:t>ermission not granted for publication</w:t>
      </w:r>
    </w:p>
  </w:footnote>
  <w:footnote w:id="158">
    <w:p w14:paraId="08397CD5" w14:textId="5C5B4EF1" w:rsidR="00717469" w:rsidRDefault="00717469">
      <w:pPr>
        <w:pStyle w:val="FootnoteText"/>
      </w:pPr>
      <w:r>
        <w:rPr>
          <w:rStyle w:val="FootnoteReference"/>
        </w:rPr>
        <w:footnoteRef/>
      </w:r>
      <w:r>
        <w:t xml:space="preserve"> </w:t>
      </w:r>
      <w:r w:rsidR="00F85FCD">
        <w:t xml:space="preserve">Submissions from </w:t>
      </w:r>
      <w:hyperlink r:id="rId232" w:history="1">
        <w:r w:rsidR="00423DCC" w:rsidRPr="00423DCC">
          <w:rPr>
            <w:rStyle w:val="Hyperlink"/>
          </w:rPr>
          <w:t>Australian Nursing and Midwifery Federation</w:t>
        </w:r>
      </w:hyperlink>
      <w:r w:rsidR="00DD3643">
        <w:t xml:space="preserve">, </w:t>
      </w:r>
      <w:hyperlink r:id="rId233" w:history="1">
        <w:r w:rsidR="009D6791" w:rsidRPr="00C43B75">
          <w:rPr>
            <w:rStyle w:val="Hyperlink"/>
          </w:rPr>
          <w:t>ANMF</w:t>
        </w:r>
      </w:hyperlink>
      <w:r w:rsidR="009D6791">
        <w:t xml:space="preserve">, </w:t>
      </w:r>
      <w:r w:rsidR="00005208">
        <w:t>Anonymous (</w:t>
      </w:r>
      <w:r w:rsidR="002C3937">
        <w:t>p</w:t>
      </w:r>
      <w:r w:rsidR="00005208">
        <w:t xml:space="preserve">ermission not granted for publication), </w:t>
      </w:r>
      <w:r w:rsidR="00DD3643">
        <w:t xml:space="preserve">and </w:t>
      </w:r>
      <w:hyperlink r:id="rId234" w:history="1">
        <w:r w:rsidR="006C1282" w:rsidRPr="00425FF9">
          <w:rPr>
            <w:rStyle w:val="Hyperlink"/>
          </w:rPr>
          <w:t>Anonym</w:t>
        </w:r>
        <w:bookmarkStart w:id="308" w:name="_Hlt209516660"/>
        <w:bookmarkStart w:id="309" w:name="_Hlt209516661"/>
        <w:bookmarkEnd w:id="308"/>
        <w:bookmarkEnd w:id="309"/>
        <w:r w:rsidR="006C1282" w:rsidRPr="00425FF9">
          <w:rPr>
            <w:rStyle w:val="Hyperlink"/>
          </w:rPr>
          <w:t>ous</w:t>
        </w:r>
      </w:hyperlink>
    </w:p>
  </w:footnote>
  <w:footnote w:id="159">
    <w:p w14:paraId="6CB9AA78" w14:textId="77777777" w:rsidR="00FF21B9" w:rsidRDefault="00FF21B9" w:rsidP="00FF21B9">
      <w:pPr>
        <w:pStyle w:val="FootnoteText"/>
      </w:pPr>
      <w:r>
        <w:rPr>
          <w:rStyle w:val="FootnoteReference"/>
        </w:rPr>
        <w:footnoteRef/>
      </w:r>
      <w:r>
        <w:t xml:space="preserve"> </w:t>
      </w:r>
      <w:hyperlink r:id="rId235" w:history="1">
        <w:r w:rsidRPr="00541DAA">
          <w:rPr>
            <w:rStyle w:val="Hyperlink"/>
          </w:rPr>
          <w:t>Cancer Council Australia</w:t>
        </w:r>
      </w:hyperlink>
    </w:p>
  </w:footnote>
  <w:footnote w:id="160">
    <w:p w14:paraId="4183231C" w14:textId="1C4486A2" w:rsidR="00365221" w:rsidRDefault="00365221" w:rsidP="00365221">
      <w:pPr>
        <w:pStyle w:val="FootnoteText"/>
      </w:pPr>
      <w:r>
        <w:rPr>
          <w:rStyle w:val="FootnoteReference"/>
        </w:rPr>
        <w:footnoteRef/>
      </w:r>
      <w:r>
        <w:t xml:space="preserve"> </w:t>
      </w:r>
      <w:r w:rsidRPr="0061211C">
        <w:t xml:space="preserve">The evaluation report for </w:t>
      </w:r>
      <w:r>
        <w:t>hydrogen cyanide</w:t>
      </w:r>
      <w:r w:rsidRPr="0061211C">
        <w:t xml:space="preserve"> can be accessed</w:t>
      </w:r>
      <w:r>
        <w:t xml:space="preserve"> </w:t>
      </w:r>
      <w:hyperlink r:id="rId236" w:history="1">
        <w:r w:rsidRPr="0061211C">
          <w:rPr>
            <w:rStyle w:val="Hyperlink"/>
          </w:rPr>
          <w:t>here</w:t>
        </w:r>
      </w:hyperlink>
      <w:r>
        <w:t xml:space="preserve">. The recommendation for a peak limitation in the evaluation report was changed to a STEL following </w:t>
      </w:r>
      <w:r>
        <w:rPr>
          <w:rFonts w:eastAsiaTheme="majorEastAsia"/>
        </w:rPr>
        <w:t xml:space="preserve">suggestions by some industry stakeholders as part of </w:t>
      </w:r>
      <w:r w:rsidR="0020237C">
        <w:rPr>
          <w:rFonts w:eastAsiaTheme="majorEastAsia"/>
        </w:rPr>
        <w:t>public consultation on</w:t>
      </w:r>
      <w:r>
        <w:rPr>
          <w:rFonts w:eastAsiaTheme="majorEastAsia"/>
        </w:rPr>
        <w:t xml:space="preserve"> the WES review and affirmation by the Australian Institute of Occupational Hygienists. </w:t>
      </w:r>
    </w:p>
  </w:footnote>
  <w:footnote w:id="161">
    <w:p w14:paraId="480E9696" w14:textId="16A0CC4F" w:rsidR="00B30B79" w:rsidRDefault="00B30B79">
      <w:pPr>
        <w:pStyle w:val="FootnoteText"/>
      </w:pPr>
      <w:r>
        <w:rPr>
          <w:rStyle w:val="FootnoteReference"/>
        </w:rPr>
        <w:footnoteRef/>
      </w:r>
      <w:r>
        <w:t xml:space="preserve"> </w:t>
      </w:r>
      <w:r w:rsidRPr="00327FFE">
        <w:t>Anonymous (</w:t>
      </w:r>
      <w:r w:rsidR="00B75D95">
        <w:t>p</w:t>
      </w:r>
      <w:r w:rsidRPr="00327FFE">
        <w:t>ermission not granted for publication)</w:t>
      </w:r>
    </w:p>
  </w:footnote>
  <w:footnote w:id="162">
    <w:p w14:paraId="21B984AC" w14:textId="03011806" w:rsidR="00B30B79" w:rsidRDefault="00B30B79">
      <w:pPr>
        <w:pStyle w:val="FootnoteText"/>
      </w:pPr>
      <w:r>
        <w:rPr>
          <w:rStyle w:val="FootnoteReference"/>
        </w:rPr>
        <w:footnoteRef/>
      </w:r>
      <w:r>
        <w:t xml:space="preserve"> </w:t>
      </w:r>
      <w:r w:rsidRPr="00327FFE">
        <w:t>Anonymous (</w:t>
      </w:r>
      <w:r w:rsidR="00B75D95">
        <w:t>p</w:t>
      </w:r>
      <w:r w:rsidRPr="00327FFE">
        <w:t>ermission not granted for publication)</w:t>
      </w:r>
    </w:p>
  </w:footnote>
  <w:footnote w:id="163">
    <w:p w14:paraId="61CC53B8" w14:textId="4E5C570C" w:rsidR="006F1048" w:rsidRDefault="006F1048">
      <w:pPr>
        <w:pStyle w:val="FootnoteText"/>
      </w:pPr>
      <w:r>
        <w:rPr>
          <w:rStyle w:val="FootnoteReference"/>
        </w:rPr>
        <w:footnoteRef/>
      </w:r>
      <w:r>
        <w:t xml:space="preserve"> </w:t>
      </w:r>
      <w:r w:rsidR="003F39FE">
        <w:t xml:space="preserve">Submissions from </w:t>
      </w:r>
      <w:hyperlink r:id="rId237" w:history="1">
        <w:r w:rsidR="00FA55B1" w:rsidRPr="00FA55B1">
          <w:rPr>
            <w:rStyle w:val="Hyperlink"/>
          </w:rPr>
          <w:t>Queensland Nurses and Midwives’ Union</w:t>
        </w:r>
      </w:hyperlink>
      <w:r w:rsidR="003F39FE">
        <w:t xml:space="preserve">, </w:t>
      </w:r>
      <w:hyperlink r:id="rId238" w:history="1">
        <w:bookmarkStart w:id="363" w:name="_Hlt209514970"/>
        <w:bookmarkStart w:id="364" w:name="_Hlt209514969"/>
        <w:r w:rsidR="003F39FE" w:rsidRPr="00831106">
          <w:rPr>
            <w:rStyle w:val="Hyperlink"/>
          </w:rPr>
          <w:t>Australian Council of Trade Unions</w:t>
        </w:r>
        <w:bookmarkEnd w:id="363"/>
        <w:bookmarkEnd w:id="364"/>
      </w:hyperlink>
      <w:r w:rsidR="003F39FE">
        <w:t xml:space="preserve">, and </w:t>
      </w:r>
      <w:hyperlink r:id="rId239" w:history="1">
        <w:r w:rsidR="002235C9" w:rsidRPr="002235C9">
          <w:rPr>
            <w:rStyle w:val="Hyperlink"/>
          </w:rPr>
          <w:t>Victorian Trades Hall Council</w:t>
        </w:r>
      </w:hyperlink>
    </w:p>
  </w:footnote>
  <w:footnote w:id="164">
    <w:p w14:paraId="056ED224" w14:textId="2748F440" w:rsidR="00E56608" w:rsidRDefault="00E56608">
      <w:pPr>
        <w:pStyle w:val="FootnoteText"/>
      </w:pPr>
      <w:r>
        <w:rPr>
          <w:rStyle w:val="FootnoteReference"/>
        </w:rPr>
        <w:footnoteRef/>
      </w:r>
      <w:r>
        <w:t xml:space="preserve"> </w:t>
      </w:r>
      <w:hyperlink r:id="rId240" w:history="1">
        <w:r w:rsidR="009C1F0E" w:rsidRPr="009C1F0E">
          <w:rPr>
            <w:rStyle w:val="Hyperlink"/>
          </w:rPr>
          <w:t>Robyn Schofield</w:t>
        </w:r>
      </w:hyperlink>
    </w:p>
  </w:footnote>
  <w:footnote w:id="165">
    <w:p w14:paraId="024CE54B" w14:textId="36F17B97" w:rsidR="005508F8" w:rsidRDefault="005508F8">
      <w:pPr>
        <w:pStyle w:val="FootnoteText"/>
      </w:pPr>
      <w:r>
        <w:rPr>
          <w:rStyle w:val="FootnoteReference"/>
        </w:rPr>
        <w:footnoteRef/>
      </w:r>
      <w:r>
        <w:t xml:space="preserve"> </w:t>
      </w:r>
      <w:hyperlink r:id="rId241" w:history="1">
        <w:bookmarkStart w:id="365" w:name="_Hlt209514978"/>
        <w:bookmarkStart w:id="366" w:name="_Hlt209514977"/>
        <w:r w:rsidRPr="005508F8">
          <w:rPr>
            <w:rStyle w:val="Hyperlink"/>
          </w:rPr>
          <w:t>Australian Council of Trade Unions</w:t>
        </w:r>
        <w:bookmarkEnd w:id="365"/>
        <w:bookmarkEnd w:id="366"/>
      </w:hyperlink>
    </w:p>
  </w:footnote>
  <w:footnote w:id="166">
    <w:p w14:paraId="5E2B35C1" w14:textId="44B9340C" w:rsidR="002B2AB4" w:rsidRPr="002B2AB4" w:rsidRDefault="002B2AB4">
      <w:pPr>
        <w:pStyle w:val="FootnoteText"/>
      </w:pPr>
      <w:r>
        <w:rPr>
          <w:rStyle w:val="FootnoteReference"/>
        </w:rPr>
        <w:footnoteRef/>
      </w:r>
      <w:r>
        <w:t xml:space="preserve"> Submissions </w:t>
      </w:r>
      <w:r w:rsidRPr="00327FFE">
        <w:t>Anonymous (</w:t>
      </w:r>
      <w:r w:rsidR="000D7DA2">
        <w:t>p</w:t>
      </w:r>
      <w:r w:rsidRPr="00327FFE">
        <w:t>ermission not granted for publication)</w:t>
      </w:r>
      <w:r>
        <w:t xml:space="preserve"> and </w:t>
      </w:r>
      <w:r w:rsidRPr="00327FFE">
        <w:t>Anonymous (</w:t>
      </w:r>
      <w:r w:rsidR="000D7DA2">
        <w:t>p</w:t>
      </w:r>
      <w:r w:rsidRPr="00327FFE">
        <w:t>ermission not granted for publication)</w:t>
      </w:r>
    </w:p>
  </w:footnote>
  <w:footnote w:id="167">
    <w:p w14:paraId="1BD201BB" w14:textId="3F8F1C63" w:rsidR="00C8093D" w:rsidRDefault="00C8093D">
      <w:pPr>
        <w:pStyle w:val="FootnoteText"/>
      </w:pPr>
      <w:r>
        <w:rPr>
          <w:rStyle w:val="FootnoteReference"/>
        </w:rPr>
        <w:footnoteRef/>
      </w:r>
      <w:r>
        <w:t xml:space="preserve"> </w:t>
      </w:r>
      <w:r w:rsidRPr="00327FFE">
        <w:t>Anonymous (</w:t>
      </w:r>
      <w:r w:rsidR="000D7DA2">
        <w:t>p</w:t>
      </w:r>
      <w:r w:rsidRPr="00327FFE">
        <w:t>ermission not granted for publication)</w:t>
      </w:r>
    </w:p>
  </w:footnote>
  <w:footnote w:id="168">
    <w:p w14:paraId="02653999" w14:textId="1AD607FD" w:rsidR="00442A11" w:rsidRDefault="00442A11">
      <w:pPr>
        <w:pStyle w:val="FootnoteText"/>
      </w:pPr>
      <w:r>
        <w:rPr>
          <w:rStyle w:val="FootnoteReference"/>
        </w:rPr>
        <w:footnoteRef/>
      </w:r>
      <w:r>
        <w:t xml:space="preserve"> </w:t>
      </w:r>
      <w:hyperlink r:id="rId242" w:history="1">
        <w:r w:rsidRPr="00B43977">
          <w:rPr>
            <w:rStyle w:val="Hyperlink"/>
          </w:rPr>
          <w:t>Anonymous</w:t>
        </w:r>
      </w:hyperlink>
    </w:p>
  </w:footnote>
  <w:footnote w:id="169">
    <w:p w14:paraId="305A5E47" w14:textId="425C72D2" w:rsidR="00397487" w:rsidRDefault="00397487">
      <w:pPr>
        <w:pStyle w:val="FootnoteText"/>
      </w:pPr>
      <w:r>
        <w:rPr>
          <w:rStyle w:val="FootnoteReference"/>
        </w:rPr>
        <w:footnoteRef/>
      </w:r>
      <w:r>
        <w:t xml:space="preserve"> </w:t>
      </w:r>
      <w:hyperlink r:id="rId243" w:history="1">
        <w:r w:rsidRPr="00397487">
          <w:rPr>
            <w:rStyle w:val="Hyperlink"/>
          </w:rPr>
          <w:t>Department of Energy, Mines, Industry Regulation and Safety - WorkSafe Group (Western Australia)</w:t>
        </w:r>
      </w:hyperlink>
    </w:p>
  </w:footnote>
  <w:footnote w:id="170">
    <w:p w14:paraId="3716CAA3" w14:textId="0709EBCA" w:rsidR="00AE0ED3" w:rsidRDefault="00AE0ED3">
      <w:pPr>
        <w:pStyle w:val="FootnoteText"/>
      </w:pPr>
      <w:r>
        <w:rPr>
          <w:rStyle w:val="FootnoteReference"/>
        </w:rPr>
        <w:footnoteRef/>
      </w:r>
      <w:r>
        <w:t xml:space="preserve"> </w:t>
      </w:r>
      <w:r w:rsidR="004D2DDE">
        <w:t xml:space="preserve">Submissions from </w:t>
      </w:r>
      <w:hyperlink r:id="rId244" w:history="1">
        <w:r w:rsidR="001D6A77" w:rsidRPr="00F46AB5">
          <w:rPr>
            <w:rStyle w:val="Hyperlink"/>
          </w:rPr>
          <w:t>Chemistry Australia</w:t>
        </w:r>
      </w:hyperlink>
      <w:r w:rsidR="004D2DDE">
        <w:t xml:space="preserve"> and </w:t>
      </w:r>
      <w:r w:rsidR="004D2DDE" w:rsidRPr="00327FFE">
        <w:t>Anonymous (</w:t>
      </w:r>
      <w:r w:rsidR="000D7DA2">
        <w:t>p</w:t>
      </w:r>
      <w:r w:rsidR="004D2DDE" w:rsidRPr="00327FFE">
        <w:t>ermission not granted for publication)</w:t>
      </w:r>
    </w:p>
  </w:footnote>
  <w:footnote w:id="171">
    <w:p w14:paraId="37678976" w14:textId="7BB3931C" w:rsidR="00654FFD" w:rsidRDefault="00654FFD">
      <w:pPr>
        <w:pStyle w:val="FootnoteText"/>
      </w:pPr>
      <w:r>
        <w:rPr>
          <w:rStyle w:val="FootnoteReference"/>
        </w:rPr>
        <w:footnoteRef/>
      </w:r>
      <w:r>
        <w:t xml:space="preserve"> </w:t>
      </w:r>
      <w:r w:rsidRPr="00327FFE">
        <w:t>Anonymous (</w:t>
      </w:r>
      <w:r w:rsidR="000D7DA2">
        <w:t>p</w:t>
      </w:r>
      <w:r w:rsidRPr="00327FFE">
        <w:t>ermission not granted for publication)</w:t>
      </w:r>
    </w:p>
  </w:footnote>
  <w:footnote w:id="172">
    <w:p w14:paraId="5C47ED8B" w14:textId="6C354356" w:rsidR="00E75B74" w:rsidRDefault="00E75B74">
      <w:pPr>
        <w:pStyle w:val="FootnoteText"/>
      </w:pPr>
      <w:r>
        <w:rPr>
          <w:rStyle w:val="FootnoteReference"/>
        </w:rPr>
        <w:footnoteRef/>
      </w:r>
      <w:r>
        <w:t xml:space="preserve"> </w:t>
      </w:r>
      <w:r w:rsidR="006A19EF">
        <w:t xml:space="preserve">Submissions from </w:t>
      </w:r>
      <w:hyperlink r:id="rId245" w:history="1">
        <w:r w:rsidRPr="00F46AB5">
          <w:rPr>
            <w:rStyle w:val="Hyperlink"/>
          </w:rPr>
          <w:t>Australian Chamber of Commerce and Industry</w:t>
        </w:r>
      </w:hyperlink>
      <w:r w:rsidR="006A19EF">
        <w:t xml:space="preserve">, and </w:t>
      </w:r>
      <w:hyperlink r:id="rId246" w:history="1">
        <w:r w:rsidR="006A19EF" w:rsidRPr="00D15558">
          <w:rPr>
            <w:rStyle w:val="Hyperlink"/>
          </w:rPr>
          <w:t>Australian Industry Group</w:t>
        </w:r>
      </w:hyperlink>
    </w:p>
  </w:footnote>
  <w:footnote w:id="173">
    <w:p w14:paraId="11B99D10" w14:textId="09DD5925" w:rsidR="00757C11" w:rsidRDefault="00757C11" w:rsidP="00757C11">
      <w:pPr>
        <w:pStyle w:val="FootnoteText"/>
      </w:pPr>
      <w:r>
        <w:rPr>
          <w:rStyle w:val="FootnoteReference"/>
        </w:rPr>
        <w:footnoteRef/>
      </w:r>
      <w:r>
        <w:t xml:space="preserve"> </w:t>
      </w:r>
      <w:r w:rsidR="00B8385A">
        <w:t xml:space="preserve">Submissions from </w:t>
      </w:r>
      <w:hyperlink r:id="rId247" w:history="1">
        <w:r w:rsidRPr="00F46AB5">
          <w:rPr>
            <w:rStyle w:val="Hyperlink"/>
          </w:rPr>
          <w:t>Australian Chamber of Commerce and Industry</w:t>
        </w:r>
      </w:hyperlink>
      <w:r w:rsidR="00B8385A">
        <w:t xml:space="preserve">, and </w:t>
      </w:r>
      <w:hyperlink r:id="rId248" w:history="1">
        <w:r w:rsidR="00B8385A" w:rsidRPr="00266CB7">
          <w:rPr>
            <w:rStyle w:val="Hyperlink"/>
          </w:rPr>
          <w:t>Australian Industry Group</w:t>
        </w:r>
      </w:hyperlink>
    </w:p>
  </w:footnote>
  <w:footnote w:id="174">
    <w:p w14:paraId="44A28E26" w14:textId="3F83566A" w:rsidR="004A0F01" w:rsidRDefault="004A0F01">
      <w:pPr>
        <w:pStyle w:val="FootnoteText"/>
      </w:pPr>
      <w:r>
        <w:rPr>
          <w:rStyle w:val="FootnoteReference"/>
        </w:rPr>
        <w:footnoteRef/>
      </w:r>
      <w:r>
        <w:t xml:space="preserve"> </w:t>
      </w:r>
      <w:r w:rsidR="00654FFD">
        <w:t xml:space="preserve">Submissions from </w:t>
      </w:r>
      <w:r w:rsidR="00654FFD" w:rsidRPr="00327FFE">
        <w:t>Anonymous (</w:t>
      </w:r>
      <w:r w:rsidR="000B0A6A">
        <w:t>p</w:t>
      </w:r>
      <w:r w:rsidR="00654FFD" w:rsidRPr="00327FFE">
        <w:t>ermission not granted for publication)</w:t>
      </w:r>
      <w:r w:rsidR="00654FFD">
        <w:t xml:space="preserve"> and </w:t>
      </w:r>
      <w:hyperlink r:id="rId249" w:history="1">
        <w:r w:rsidR="008053CB" w:rsidRPr="008053CB">
          <w:rPr>
            <w:rStyle w:val="Hyperlink"/>
          </w:rPr>
          <w:t>Minerals Council of Australia</w:t>
        </w:r>
      </w:hyperlink>
    </w:p>
  </w:footnote>
  <w:footnote w:id="175">
    <w:p w14:paraId="2B559EA2" w14:textId="5A2FE8F0" w:rsidR="00A92075" w:rsidRDefault="00A92075">
      <w:pPr>
        <w:pStyle w:val="FootnoteText"/>
      </w:pPr>
      <w:r>
        <w:rPr>
          <w:rStyle w:val="FootnoteReference"/>
        </w:rPr>
        <w:footnoteRef/>
      </w:r>
      <w:r>
        <w:t xml:space="preserve"> </w:t>
      </w:r>
      <w:hyperlink r:id="rId250" w:history="1">
        <w:r w:rsidR="00C66614" w:rsidRPr="00C66614">
          <w:rPr>
            <w:rStyle w:val="Hyperlink"/>
          </w:rPr>
          <w:t>The Chamber of Minerals and Energy of Western Australia</w:t>
        </w:r>
      </w:hyperlink>
    </w:p>
  </w:footnote>
  <w:footnote w:id="176">
    <w:p w14:paraId="6482342D" w14:textId="36416E4E" w:rsidR="009E15FB" w:rsidRDefault="009E15FB">
      <w:pPr>
        <w:pStyle w:val="FootnoteText"/>
      </w:pPr>
      <w:r>
        <w:rPr>
          <w:rStyle w:val="FootnoteReference"/>
        </w:rPr>
        <w:footnoteRef/>
      </w:r>
      <w:r>
        <w:t xml:space="preserve"> </w:t>
      </w:r>
      <w:hyperlink r:id="rId251" w:history="1">
        <w:r w:rsidRPr="009E15FB">
          <w:rPr>
            <w:rStyle w:val="Hyperlink"/>
          </w:rPr>
          <w:t>Department of Energy, Mines, Industry Regulation and Safety - WorkSafe Group (Western Australia)</w:t>
        </w:r>
      </w:hyperlink>
    </w:p>
  </w:footnote>
  <w:footnote w:id="177">
    <w:p w14:paraId="1D373C3F" w14:textId="6F7202F9" w:rsidR="00003CD7" w:rsidRDefault="00003CD7">
      <w:pPr>
        <w:pStyle w:val="FootnoteText"/>
      </w:pPr>
      <w:r>
        <w:rPr>
          <w:rStyle w:val="FootnoteReference"/>
        </w:rPr>
        <w:footnoteRef/>
      </w:r>
      <w:r>
        <w:t xml:space="preserve"> </w:t>
      </w:r>
      <w:r w:rsidRPr="00327FFE">
        <w:t>Anonymous (</w:t>
      </w:r>
      <w:r w:rsidR="000B0A6A">
        <w:t>p</w:t>
      </w:r>
      <w:r w:rsidRPr="00327FFE">
        <w:t>ermission not granted for publication)</w:t>
      </w:r>
    </w:p>
  </w:footnote>
  <w:footnote w:id="178">
    <w:p w14:paraId="7FDFD6DD" w14:textId="12608622" w:rsidR="00DA203A" w:rsidRDefault="00DA203A">
      <w:pPr>
        <w:pStyle w:val="FootnoteText"/>
      </w:pPr>
      <w:r>
        <w:rPr>
          <w:rStyle w:val="FootnoteReference"/>
        </w:rPr>
        <w:footnoteRef/>
      </w:r>
      <w:r>
        <w:t xml:space="preserve"> </w:t>
      </w:r>
      <w:hyperlink r:id="rId252" w:history="1">
        <w:bookmarkStart w:id="372" w:name="_Hlt209513513"/>
        <w:bookmarkStart w:id="373" w:name="_Hlt209513512"/>
        <w:r w:rsidR="00A92075" w:rsidRPr="00A92075">
          <w:rPr>
            <w:rStyle w:val="Hyperlink"/>
          </w:rPr>
          <w:t>Australian Industry Group</w:t>
        </w:r>
        <w:bookmarkEnd w:id="372"/>
        <w:bookmarkEnd w:id="373"/>
      </w:hyperlink>
    </w:p>
  </w:footnote>
  <w:footnote w:id="179">
    <w:p w14:paraId="3F7DB981" w14:textId="49CC60A2" w:rsidR="00E60F0A" w:rsidRDefault="00E60F0A">
      <w:pPr>
        <w:pStyle w:val="FootnoteText"/>
      </w:pPr>
      <w:r>
        <w:rPr>
          <w:rStyle w:val="FootnoteReference"/>
        </w:rPr>
        <w:footnoteRef/>
      </w:r>
      <w:r>
        <w:t xml:space="preserve"> NIOSH 2016, OSHA 1007, MDHS 102, IFA 6045</w:t>
      </w:r>
    </w:p>
  </w:footnote>
  <w:footnote w:id="180">
    <w:p w14:paraId="59E11FE2" w14:textId="33DD7D9D" w:rsidR="004D5C8B" w:rsidRDefault="004D5C8B">
      <w:pPr>
        <w:pStyle w:val="FootnoteText"/>
      </w:pPr>
      <w:r>
        <w:rPr>
          <w:rStyle w:val="FootnoteReference"/>
        </w:rPr>
        <w:footnoteRef/>
      </w:r>
      <w:r>
        <w:t xml:space="preserve"> </w:t>
      </w:r>
      <w:r w:rsidR="006F2DA4">
        <w:t xml:space="preserve">Submissions from </w:t>
      </w:r>
      <w:hyperlink r:id="rId253" w:history="1">
        <w:r w:rsidRPr="004B4C35">
          <w:rPr>
            <w:rStyle w:val="Hyperlink"/>
          </w:rPr>
          <w:t>Anonymous</w:t>
        </w:r>
      </w:hyperlink>
      <w:r w:rsidR="006F2DA4">
        <w:t xml:space="preserve"> and </w:t>
      </w:r>
      <w:r w:rsidR="006F2DA4" w:rsidRPr="00327FFE">
        <w:t>Anonymous (</w:t>
      </w:r>
      <w:r w:rsidR="00B65D2F">
        <w:t>p</w:t>
      </w:r>
      <w:r w:rsidR="006F2DA4" w:rsidRPr="00327FFE">
        <w:t>ermission not granted for publication)</w:t>
      </w:r>
    </w:p>
  </w:footnote>
  <w:footnote w:id="181">
    <w:p w14:paraId="63697092" w14:textId="0C7CFDDE" w:rsidR="00FF46AE" w:rsidRDefault="00FF46AE">
      <w:pPr>
        <w:pStyle w:val="FootnoteText"/>
      </w:pPr>
      <w:r>
        <w:rPr>
          <w:rStyle w:val="FootnoteReference"/>
        </w:rPr>
        <w:footnoteRef/>
      </w:r>
      <w:r>
        <w:t xml:space="preserve"> </w:t>
      </w:r>
      <w:r w:rsidRPr="00327FFE">
        <w:t>Anonymous (</w:t>
      </w:r>
      <w:r w:rsidR="00B65D2F">
        <w:t>p</w:t>
      </w:r>
      <w:r w:rsidRPr="00327FFE">
        <w:t>ermission not granted for publication)</w:t>
      </w:r>
    </w:p>
  </w:footnote>
  <w:footnote w:id="182">
    <w:p w14:paraId="296C9284" w14:textId="2712C831" w:rsidR="005B766B" w:rsidRDefault="005B766B">
      <w:pPr>
        <w:pStyle w:val="FootnoteText"/>
      </w:pPr>
      <w:r>
        <w:rPr>
          <w:rStyle w:val="FootnoteReference"/>
        </w:rPr>
        <w:footnoteRef/>
      </w:r>
      <w:r>
        <w:t xml:space="preserve"> </w:t>
      </w:r>
      <w:r w:rsidRPr="00327FFE">
        <w:t>Anonymous (</w:t>
      </w:r>
      <w:r w:rsidR="00B65D2F">
        <w:t>p</w:t>
      </w:r>
      <w:r w:rsidRPr="00327FFE">
        <w:t>ermission not granted for publication)</w:t>
      </w:r>
    </w:p>
  </w:footnote>
  <w:footnote w:id="183">
    <w:p w14:paraId="0AB899F6" w14:textId="77777777" w:rsidR="00E7486B" w:rsidRDefault="00E7486B" w:rsidP="00E7486B">
      <w:pPr>
        <w:pStyle w:val="FootnoteText"/>
      </w:pPr>
      <w:r>
        <w:rPr>
          <w:rStyle w:val="FootnoteReference"/>
        </w:rPr>
        <w:footnoteRef/>
      </w:r>
      <w:r>
        <w:t xml:space="preserve"> The evaluation report for hydrogen sulfide can be accessed </w:t>
      </w:r>
      <w:hyperlink r:id="rId254" w:history="1">
        <w:r w:rsidRPr="002817D5">
          <w:rPr>
            <w:rStyle w:val="Hyperlink"/>
          </w:rPr>
          <w:t>here</w:t>
        </w:r>
      </w:hyperlink>
      <w:r>
        <w:t xml:space="preserve">. </w:t>
      </w:r>
    </w:p>
  </w:footnote>
  <w:footnote w:id="184">
    <w:p w14:paraId="13C3A2D4" w14:textId="77777777" w:rsidR="00AA2A10" w:rsidRDefault="00AA2A10" w:rsidP="00AA2A10">
      <w:pPr>
        <w:pStyle w:val="FootnoteText"/>
      </w:pPr>
      <w:r>
        <w:rPr>
          <w:rStyle w:val="FootnoteReference"/>
        </w:rPr>
        <w:footnoteRef/>
      </w:r>
      <w:r>
        <w:t xml:space="preserve"> </w:t>
      </w:r>
      <w:r w:rsidRPr="00327FFE">
        <w:t>Anonymous (Permission not granted for publication)</w:t>
      </w:r>
    </w:p>
  </w:footnote>
  <w:footnote w:id="185">
    <w:p w14:paraId="672D8B78" w14:textId="086633AD" w:rsidR="008A54F8" w:rsidRDefault="008A54F8">
      <w:pPr>
        <w:pStyle w:val="FootnoteText"/>
      </w:pPr>
      <w:r>
        <w:rPr>
          <w:rStyle w:val="FootnoteReference"/>
        </w:rPr>
        <w:footnoteRef/>
      </w:r>
      <w:r>
        <w:t xml:space="preserve"> </w:t>
      </w:r>
      <w:r w:rsidR="00600F8F">
        <w:t xml:space="preserve">Submissions from </w:t>
      </w:r>
      <w:hyperlink r:id="rId255" w:history="1">
        <w:r w:rsidR="003022E5" w:rsidRPr="00494DF1">
          <w:rPr>
            <w:rStyle w:val="Hyperlink"/>
          </w:rPr>
          <w:t>Queensland Nurses and Midwives’ Union</w:t>
        </w:r>
      </w:hyperlink>
      <w:r w:rsidR="00600F8F">
        <w:t xml:space="preserve">, </w:t>
      </w:r>
      <w:hyperlink r:id="rId256" w:history="1">
        <w:r w:rsidR="00600F8F" w:rsidRPr="006F58D7">
          <w:rPr>
            <w:rStyle w:val="Hyperlink"/>
          </w:rPr>
          <w:t>Anonymous</w:t>
        </w:r>
      </w:hyperlink>
      <w:r w:rsidR="00600F8F">
        <w:t xml:space="preserve">, </w:t>
      </w:r>
      <w:hyperlink r:id="rId257" w:history="1">
        <w:r w:rsidR="00600F8F" w:rsidRPr="002830D0">
          <w:rPr>
            <w:rStyle w:val="Hyperlink"/>
          </w:rPr>
          <w:t>Australian Council of Trade Unions</w:t>
        </w:r>
      </w:hyperlink>
      <w:r w:rsidR="00600F8F">
        <w:t xml:space="preserve">, </w:t>
      </w:r>
      <w:r w:rsidR="007E30B7">
        <w:t xml:space="preserve">and </w:t>
      </w:r>
      <w:hyperlink r:id="rId258" w:history="1">
        <w:r w:rsidR="00600F8F" w:rsidRPr="002235C9">
          <w:rPr>
            <w:rStyle w:val="Hyperlink"/>
          </w:rPr>
          <w:t>Victorian Trades Hall Council</w:t>
        </w:r>
      </w:hyperlink>
    </w:p>
  </w:footnote>
  <w:footnote w:id="186">
    <w:p w14:paraId="70EC1E6B" w14:textId="56C00DE1" w:rsidR="00A7641B" w:rsidRDefault="00A7641B">
      <w:pPr>
        <w:pStyle w:val="FootnoteText"/>
      </w:pPr>
      <w:r>
        <w:rPr>
          <w:rStyle w:val="FootnoteReference"/>
        </w:rPr>
        <w:footnoteRef/>
      </w:r>
      <w:r>
        <w:t xml:space="preserve"> </w:t>
      </w:r>
      <w:r w:rsidRPr="00327FFE">
        <w:t>Anonymous (</w:t>
      </w:r>
      <w:r w:rsidR="00F06705">
        <w:t>p</w:t>
      </w:r>
      <w:r w:rsidRPr="00327FFE">
        <w:t>ermission not granted for publication)</w:t>
      </w:r>
    </w:p>
  </w:footnote>
  <w:footnote w:id="187">
    <w:p w14:paraId="1D3C3D2B" w14:textId="18D73A56" w:rsidR="00555CFA" w:rsidRDefault="00555CFA">
      <w:pPr>
        <w:pStyle w:val="FootnoteText"/>
      </w:pPr>
      <w:r>
        <w:rPr>
          <w:rStyle w:val="FootnoteReference"/>
        </w:rPr>
        <w:footnoteRef/>
      </w:r>
      <w:r w:rsidR="00591F26">
        <w:t xml:space="preserve"> </w:t>
      </w:r>
      <w:hyperlink r:id="rId259" w:history="1">
        <w:r w:rsidR="00591F26" w:rsidRPr="00E36553">
          <w:rPr>
            <w:rStyle w:val="Hyperlink"/>
          </w:rPr>
          <w:t>Robyn Schofield</w:t>
        </w:r>
      </w:hyperlink>
    </w:p>
  </w:footnote>
  <w:footnote w:id="188">
    <w:p w14:paraId="667AC07E" w14:textId="28A02C3E" w:rsidR="007D050A" w:rsidRDefault="007D050A">
      <w:pPr>
        <w:pStyle w:val="FootnoteText"/>
      </w:pPr>
      <w:r>
        <w:rPr>
          <w:rStyle w:val="FootnoteReference"/>
        </w:rPr>
        <w:footnoteRef/>
      </w:r>
      <w:r>
        <w:t xml:space="preserve"> </w:t>
      </w:r>
      <w:r w:rsidRPr="00327FFE">
        <w:t>Anonymous (</w:t>
      </w:r>
      <w:r w:rsidR="00F06705">
        <w:t>p</w:t>
      </w:r>
      <w:r w:rsidRPr="00327FFE">
        <w:t>ermission not granted for publication)</w:t>
      </w:r>
    </w:p>
  </w:footnote>
  <w:footnote w:id="189">
    <w:p w14:paraId="41248839" w14:textId="65B9736B" w:rsidR="00C27E10" w:rsidRDefault="00C27E10">
      <w:pPr>
        <w:pStyle w:val="FootnoteText"/>
      </w:pPr>
      <w:r>
        <w:rPr>
          <w:rStyle w:val="FootnoteReference"/>
        </w:rPr>
        <w:footnoteRef/>
      </w:r>
      <w:r>
        <w:t xml:space="preserve"> </w:t>
      </w:r>
      <w:r w:rsidR="007E30B7">
        <w:t xml:space="preserve">Submissions from </w:t>
      </w:r>
      <w:hyperlink r:id="rId260" w:history="1">
        <w:r w:rsidRPr="00993BD0">
          <w:rPr>
            <w:rStyle w:val="Hyperlink"/>
          </w:rPr>
          <w:t xml:space="preserve">Southern Oil </w:t>
        </w:r>
        <w:r w:rsidR="008B424A" w:rsidRPr="00993BD0">
          <w:rPr>
            <w:rStyle w:val="Hyperlink"/>
          </w:rPr>
          <w:t>Refining Wagga Wagga</w:t>
        </w:r>
      </w:hyperlink>
      <w:r w:rsidR="00577D92">
        <w:t>,</w:t>
      </w:r>
      <w:r w:rsidR="007F3C63" w:rsidRPr="007F3C63">
        <w:t xml:space="preserve"> </w:t>
      </w:r>
      <w:r w:rsidR="007F3C63" w:rsidRPr="00327FFE">
        <w:t>Anonymous (</w:t>
      </w:r>
      <w:r w:rsidR="003943CC">
        <w:t>p</w:t>
      </w:r>
      <w:r w:rsidR="007F3C63" w:rsidRPr="00327FFE">
        <w:t>ermission not granted for publication)</w:t>
      </w:r>
      <w:r w:rsidR="007E30B7">
        <w:t>,</w:t>
      </w:r>
      <w:r w:rsidR="00577D92">
        <w:t xml:space="preserve"> </w:t>
      </w:r>
      <w:r w:rsidR="00577D92" w:rsidRPr="00327FFE">
        <w:t>Anonymous (</w:t>
      </w:r>
      <w:r w:rsidR="003943CC">
        <w:t>p</w:t>
      </w:r>
      <w:r w:rsidR="00577D92" w:rsidRPr="00327FFE">
        <w:t>ermission not granted for publication)</w:t>
      </w:r>
      <w:r w:rsidR="00577D92">
        <w:t xml:space="preserve">, </w:t>
      </w:r>
      <w:r w:rsidR="00577D92" w:rsidRPr="00327FFE">
        <w:t>Anonymous (</w:t>
      </w:r>
      <w:r w:rsidR="003943CC">
        <w:t>p</w:t>
      </w:r>
      <w:r w:rsidR="00577D92" w:rsidRPr="00327FFE">
        <w:t>ermission not granted for publication)</w:t>
      </w:r>
      <w:r w:rsidR="00577D92">
        <w:t xml:space="preserve">, </w:t>
      </w:r>
      <w:r w:rsidR="00577D92" w:rsidRPr="00327FFE">
        <w:t>Anonymous (</w:t>
      </w:r>
      <w:r w:rsidR="003943CC">
        <w:t>p</w:t>
      </w:r>
      <w:r w:rsidR="00577D92" w:rsidRPr="00327FFE">
        <w:t>ermission not granted for publication)</w:t>
      </w:r>
      <w:r w:rsidR="00577D92">
        <w:t>,</w:t>
      </w:r>
      <w:r w:rsidR="007E30B7">
        <w:t xml:space="preserve"> </w:t>
      </w:r>
      <w:hyperlink r:id="rId261" w:history="1">
        <w:r w:rsidR="007E30B7" w:rsidRPr="00E95292">
          <w:rPr>
            <w:rStyle w:val="Hyperlink"/>
          </w:rPr>
          <w:t>Chemistry Australia</w:t>
        </w:r>
      </w:hyperlink>
      <w:r w:rsidR="007E30B7">
        <w:t xml:space="preserve">, </w:t>
      </w:r>
      <w:r w:rsidR="00577D92" w:rsidRPr="00327FFE">
        <w:t>Anonymous (</w:t>
      </w:r>
      <w:r w:rsidR="00F154A8">
        <w:t>p</w:t>
      </w:r>
      <w:r w:rsidR="00577D92" w:rsidRPr="00327FFE">
        <w:t>ermission not granted for publication)</w:t>
      </w:r>
      <w:r w:rsidR="00364C33">
        <w:t xml:space="preserve">, </w:t>
      </w:r>
      <w:hyperlink r:id="rId262" w:history="1">
        <w:r w:rsidR="007E30B7" w:rsidRPr="00F45FDF">
          <w:rPr>
            <w:rStyle w:val="Hyperlink"/>
          </w:rPr>
          <w:t>Water Services Association of Australia</w:t>
        </w:r>
      </w:hyperlink>
      <w:r w:rsidR="007E30B7">
        <w:t xml:space="preserve">, and </w:t>
      </w:r>
      <w:hyperlink r:id="rId263" w:history="1">
        <w:r w:rsidR="003F2965" w:rsidRPr="00746486">
          <w:rPr>
            <w:rStyle w:val="Hyperlink"/>
          </w:rPr>
          <w:t>Australian Chamber of Commerce and Industry</w:t>
        </w:r>
      </w:hyperlink>
    </w:p>
  </w:footnote>
  <w:footnote w:id="190">
    <w:p w14:paraId="0406E0F2" w14:textId="5C034E82" w:rsidR="00BB7A21" w:rsidRDefault="00BB7A21">
      <w:pPr>
        <w:pStyle w:val="FootnoteText"/>
      </w:pPr>
      <w:r>
        <w:rPr>
          <w:rStyle w:val="FootnoteReference"/>
        </w:rPr>
        <w:footnoteRef/>
      </w:r>
      <w:r>
        <w:t xml:space="preserve"> </w:t>
      </w:r>
      <w:r w:rsidR="002A1DFA">
        <w:t xml:space="preserve">Submissions from </w:t>
      </w:r>
      <w:r w:rsidR="00364C33" w:rsidRPr="00327FFE">
        <w:t>Anonymous (</w:t>
      </w:r>
      <w:r w:rsidR="006C2EA4">
        <w:t>p</w:t>
      </w:r>
      <w:r w:rsidR="00364C33" w:rsidRPr="00327FFE">
        <w:t>ermission not granted for publication)</w:t>
      </w:r>
      <w:r w:rsidR="0081215B">
        <w:t xml:space="preserve">, </w:t>
      </w:r>
      <w:hyperlink r:id="rId264" w:history="1">
        <w:r w:rsidR="002402A2" w:rsidRPr="00746486">
          <w:rPr>
            <w:rStyle w:val="Hyperlink"/>
          </w:rPr>
          <w:t>Australian Chamber of Commerce and Industry</w:t>
        </w:r>
      </w:hyperlink>
      <w:r w:rsidR="002402A2">
        <w:t xml:space="preserve">, and </w:t>
      </w:r>
      <w:hyperlink r:id="rId265" w:history="1">
        <w:r w:rsidR="002402A2" w:rsidRPr="00AE7167">
          <w:rPr>
            <w:rStyle w:val="Hyperlink"/>
          </w:rPr>
          <w:t>Australian Industry Group</w:t>
        </w:r>
      </w:hyperlink>
    </w:p>
  </w:footnote>
  <w:footnote w:id="191">
    <w:p w14:paraId="2C428187" w14:textId="363D80DF" w:rsidR="00BB7A21" w:rsidRDefault="00BB7A21">
      <w:pPr>
        <w:pStyle w:val="FootnoteText"/>
      </w:pPr>
      <w:r>
        <w:rPr>
          <w:rStyle w:val="FootnoteReference"/>
        </w:rPr>
        <w:footnoteRef/>
      </w:r>
      <w:r>
        <w:t xml:space="preserve"> </w:t>
      </w:r>
      <w:r w:rsidR="002402A2">
        <w:t xml:space="preserve">Submissions from </w:t>
      </w:r>
      <w:hyperlink r:id="rId266" w:history="1">
        <w:r w:rsidR="00B17B75" w:rsidRPr="00741E76">
          <w:rPr>
            <w:rStyle w:val="Hyperlink"/>
          </w:rPr>
          <w:t>The Queensland Water Directorate</w:t>
        </w:r>
      </w:hyperlink>
      <w:r w:rsidR="00B17B75">
        <w:t xml:space="preserve"> (qldwater)</w:t>
      </w:r>
      <w:r w:rsidR="002402A2">
        <w:t xml:space="preserve">, and </w:t>
      </w:r>
      <w:hyperlink r:id="rId267" w:history="1">
        <w:r w:rsidR="002402A2" w:rsidRPr="00F45FDF">
          <w:rPr>
            <w:rStyle w:val="Hyperlink"/>
          </w:rPr>
          <w:t>Water Services</w:t>
        </w:r>
        <w:bookmarkStart w:id="433" w:name="_Hlt209514847"/>
        <w:bookmarkStart w:id="434" w:name="_Hlt209514848"/>
        <w:r w:rsidR="002402A2" w:rsidRPr="00F45FDF">
          <w:rPr>
            <w:rStyle w:val="Hyperlink"/>
          </w:rPr>
          <w:t xml:space="preserve"> </w:t>
        </w:r>
        <w:bookmarkEnd w:id="433"/>
        <w:bookmarkEnd w:id="434"/>
        <w:r w:rsidR="002402A2" w:rsidRPr="00F45FDF">
          <w:rPr>
            <w:rStyle w:val="Hyperlink"/>
          </w:rPr>
          <w:t>Association of Australia</w:t>
        </w:r>
      </w:hyperlink>
    </w:p>
  </w:footnote>
  <w:footnote w:id="192">
    <w:p w14:paraId="39C36939" w14:textId="386CBDFB" w:rsidR="00E900AF" w:rsidRDefault="00E900AF" w:rsidP="00E900AF">
      <w:pPr>
        <w:pStyle w:val="FootnoteText"/>
      </w:pPr>
      <w:r>
        <w:rPr>
          <w:rStyle w:val="FootnoteReference"/>
        </w:rPr>
        <w:footnoteRef/>
      </w:r>
      <w:r>
        <w:t xml:space="preserve"> </w:t>
      </w:r>
      <w:r w:rsidR="00F147E5">
        <w:t xml:space="preserve">Submissions from </w:t>
      </w:r>
      <w:hyperlink r:id="rId268" w:history="1">
        <w:r w:rsidRPr="00741E76">
          <w:rPr>
            <w:rStyle w:val="Hyperlink"/>
          </w:rPr>
          <w:t>The Queensland Water Directorate</w:t>
        </w:r>
      </w:hyperlink>
      <w:r>
        <w:t xml:space="preserve"> (qldwater)</w:t>
      </w:r>
      <w:r w:rsidR="00F147E5">
        <w:t xml:space="preserve">, and </w:t>
      </w:r>
      <w:hyperlink r:id="rId269" w:history="1">
        <w:r w:rsidR="00F147E5" w:rsidRPr="00F45FDF">
          <w:rPr>
            <w:rStyle w:val="Hyperlink"/>
          </w:rPr>
          <w:t>Water Services Association of Australia</w:t>
        </w:r>
      </w:hyperlink>
    </w:p>
  </w:footnote>
  <w:footnote w:id="193">
    <w:p w14:paraId="30FB1A72" w14:textId="24836961" w:rsidR="00E900AF" w:rsidRDefault="00E900AF">
      <w:pPr>
        <w:pStyle w:val="FootnoteText"/>
      </w:pPr>
      <w:r>
        <w:rPr>
          <w:rStyle w:val="FootnoteReference"/>
        </w:rPr>
        <w:footnoteRef/>
      </w:r>
      <w:r>
        <w:t xml:space="preserve"> </w:t>
      </w:r>
      <w:r w:rsidR="0081215B">
        <w:t xml:space="preserve">Submissions from </w:t>
      </w:r>
      <w:hyperlink r:id="rId270" w:history="1">
        <w:r w:rsidRPr="00993BD0">
          <w:rPr>
            <w:rStyle w:val="Hyperlink"/>
          </w:rPr>
          <w:t>Southern Oil Refining Wagga Wagga</w:t>
        </w:r>
      </w:hyperlink>
      <w:r w:rsidR="0081215B">
        <w:t xml:space="preserve">, </w:t>
      </w:r>
      <w:r w:rsidR="0081215B" w:rsidRPr="00327FFE">
        <w:t>Anonymous (</w:t>
      </w:r>
      <w:r w:rsidR="006C2EA4">
        <w:t>p</w:t>
      </w:r>
      <w:r w:rsidR="0081215B" w:rsidRPr="00327FFE">
        <w:t>ermission not granted for publication)</w:t>
      </w:r>
      <w:r w:rsidR="0081215B">
        <w:t xml:space="preserve">, </w:t>
      </w:r>
      <w:r w:rsidR="0081215B" w:rsidRPr="00327FFE">
        <w:t>Anonymous (</w:t>
      </w:r>
      <w:r w:rsidR="006C2EA4">
        <w:t>p</w:t>
      </w:r>
      <w:r w:rsidR="0081215B" w:rsidRPr="00327FFE">
        <w:t>ermission not granted for publication)</w:t>
      </w:r>
      <w:r w:rsidR="0081215B">
        <w:t xml:space="preserve">, </w:t>
      </w:r>
      <w:r w:rsidR="0081215B" w:rsidRPr="00327FFE">
        <w:t>Anonymous (</w:t>
      </w:r>
      <w:r w:rsidR="006C2EA4">
        <w:t>p</w:t>
      </w:r>
      <w:r w:rsidR="0081215B" w:rsidRPr="00327FFE">
        <w:t>ermission not granted for publication)</w:t>
      </w:r>
      <w:r w:rsidR="004E303F">
        <w:t>,</w:t>
      </w:r>
      <w:r w:rsidR="0081215B">
        <w:t xml:space="preserve"> </w:t>
      </w:r>
      <w:r w:rsidR="0081215B" w:rsidRPr="00327FFE">
        <w:t>Anonymous (</w:t>
      </w:r>
      <w:r w:rsidR="006C2EA4">
        <w:t>p</w:t>
      </w:r>
      <w:r w:rsidR="0081215B" w:rsidRPr="00327FFE">
        <w:t>ermission not granted for publication)</w:t>
      </w:r>
      <w:r w:rsidR="00BA516F">
        <w:t xml:space="preserve"> and </w:t>
      </w:r>
      <w:hyperlink r:id="rId271" w:history="1">
        <w:r w:rsidR="00BA516F" w:rsidRPr="00BA516F">
          <w:rPr>
            <w:rStyle w:val="Hyperlink"/>
          </w:rPr>
          <w:t>Australian Industry Group</w:t>
        </w:r>
      </w:hyperlink>
      <w:r w:rsidR="004E303F">
        <w:t>.</w:t>
      </w:r>
    </w:p>
  </w:footnote>
  <w:footnote w:id="194">
    <w:p w14:paraId="3B2B885A" w14:textId="4C5B4909" w:rsidR="002762D9" w:rsidRDefault="002762D9">
      <w:pPr>
        <w:pStyle w:val="FootnoteText"/>
      </w:pPr>
      <w:r>
        <w:rPr>
          <w:rStyle w:val="FootnoteReference"/>
        </w:rPr>
        <w:footnoteRef/>
      </w:r>
      <w:r>
        <w:t xml:space="preserve"> </w:t>
      </w:r>
      <w:r w:rsidR="0081215B">
        <w:t xml:space="preserve">Submissions from </w:t>
      </w:r>
      <w:hyperlink r:id="rId272" w:history="1">
        <w:r w:rsidRPr="00993BD0">
          <w:rPr>
            <w:rStyle w:val="Hyperlink"/>
          </w:rPr>
          <w:t>Southern Oil Refining Wagga Wagga</w:t>
        </w:r>
      </w:hyperlink>
      <w:r w:rsidR="0081215B">
        <w:t xml:space="preserve">, </w:t>
      </w:r>
      <w:r w:rsidR="0081215B" w:rsidRPr="00327FFE">
        <w:t>Anonymous (</w:t>
      </w:r>
      <w:r w:rsidR="002D3397">
        <w:t>p</w:t>
      </w:r>
      <w:r w:rsidR="0081215B" w:rsidRPr="00327FFE">
        <w:t>ermission not granted for publication)</w:t>
      </w:r>
      <w:r w:rsidR="0081215B">
        <w:t xml:space="preserve">, </w:t>
      </w:r>
      <w:r w:rsidR="0081215B" w:rsidRPr="00327FFE">
        <w:t>Anonymous (</w:t>
      </w:r>
      <w:r w:rsidR="002D3397">
        <w:t>p</w:t>
      </w:r>
      <w:r w:rsidR="0081215B" w:rsidRPr="00327FFE">
        <w:t>ermission not granted for publication)</w:t>
      </w:r>
      <w:r w:rsidR="0081215B">
        <w:t xml:space="preserve">, </w:t>
      </w:r>
      <w:r w:rsidR="0081215B" w:rsidRPr="00327FFE">
        <w:t>Anonymous (</w:t>
      </w:r>
      <w:r w:rsidR="002D3397">
        <w:t>p</w:t>
      </w:r>
      <w:r w:rsidR="0081215B" w:rsidRPr="00327FFE">
        <w:t>ermission not granted for publication)</w:t>
      </w:r>
      <w:r w:rsidR="0081215B">
        <w:t xml:space="preserve"> and </w:t>
      </w:r>
      <w:r w:rsidR="0081215B" w:rsidRPr="00327FFE">
        <w:t>Anonymous (</w:t>
      </w:r>
      <w:r w:rsidR="002D3397">
        <w:t>p</w:t>
      </w:r>
      <w:r w:rsidR="0081215B" w:rsidRPr="00327FFE">
        <w:t>ermission not granted for publication)</w:t>
      </w:r>
    </w:p>
  </w:footnote>
  <w:footnote w:id="195">
    <w:p w14:paraId="6191CDBB" w14:textId="2CE2316A" w:rsidR="006F67DC" w:rsidRDefault="006F67DC">
      <w:pPr>
        <w:pStyle w:val="FootnoteText"/>
      </w:pPr>
      <w:r>
        <w:rPr>
          <w:rStyle w:val="FootnoteReference"/>
        </w:rPr>
        <w:footnoteRef/>
      </w:r>
      <w:r>
        <w:t xml:space="preserve"> </w:t>
      </w:r>
      <w:r w:rsidRPr="006F67DC">
        <w:t xml:space="preserve">Submissions from </w:t>
      </w:r>
      <w:hyperlink r:id="rId273" w:history="1">
        <w:r w:rsidRPr="006F67DC">
          <w:rPr>
            <w:rStyle w:val="Hyperlink"/>
          </w:rPr>
          <w:t>Australian Chamber of Commerce and Industry</w:t>
        </w:r>
      </w:hyperlink>
      <w:r w:rsidRPr="006F67DC">
        <w:t xml:space="preserve">, and </w:t>
      </w:r>
      <w:hyperlink r:id="rId274" w:history="1">
        <w:r w:rsidRPr="006F67DC">
          <w:rPr>
            <w:rStyle w:val="Hyperlink"/>
          </w:rPr>
          <w:t>Australian Industry Group</w:t>
        </w:r>
      </w:hyperlink>
    </w:p>
  </w:footnote>
  <w:footnote w:id="196">
    <w:p w14:paraId="44614A46" w14:textId="757CF1FD" w:rsidR="002762D9" w:rsidRDefault="002762D9" w:rsidP="002762D9">
      <w:pPr>
        <w:pStyle w:val="FootnoteText"/>
      </w:pPr>
      <w:r>
        <w:rPr>
          <w:rStyle w:val="FootnoteReference"/>
        </w:rPr>
        <w:footnoteRef/>
      </w:r>
      <w:r>
        <w:t xml:space="preserve"> </w:t>
      </w:r>
      <w:r w:rsidR="00F22ACE">
        <w:t xml:space="preserve">Submissions from </w:t>
      </w:r>
      <w:hyperlink r:id="rId275" w:history="1">
        <w:r w:rsidRPr="00746486">
          <w:rPr>
            <w:rStyle w:val="Hyperlink"/>
          </w:rPr>
          <w:t>Australian Chamber of Commerce and Industry</w:t>
        </w:r>
      </w:hyperlink>
      <w:r w:rsidR="00F22ACE">
        <w:t xml:space="preserve">, and </w:t>
      </w:r>
      <w:hyperlink r:id="rId276" w:history="1">
        <w:r w:rsidR="00F22ACE" w:rsidRPr="00AE7167">
          <w:rPr>
            <w:rStyle w:val="Hyperlink"/>
          </w:rPr>
          <w:t>Australian Industry Group</w:t>
        </w:r>
      </w:hyperlink>
    </w:p>
  </w:footnote>
  <w:footnote w:id="197">
    <w:p w14:paraId="2E2F8F49" w14:textId="29EC3A07" w:rsidR="002762D9" w:rsidRDefault="002762D9">
      <w:pPr>
        <w:pStyle w:val="FootnoteText"/>
      </w:pPr>
      <w:r>
        <w:rPr>
          <w:rStyle w:val="FootnoteReference"/>
        </w:rPr>
        <w:footnoteRef/>
      </w:r>
      <w:r>
        <w:t xml:space="preserve"> </w:t>
      </w:r>
      <w:r w:rsidR="00F22ACE">
        <w:t xml:space="preserve">Submissions from </w:t>
      </w:r>
      <w:hyperlink r:id="rId277" w:history="1">
        <w:r w:rsidR="00F94610" w:rsidRPr="00F94610">
          <w:rPr>
            <w:rStyle w:val="Hyperlink"/>
          </w:rPr>
          <w:t>Department of Energy, Mines, Industry Regulation and Safety - WorkSafe Group (Western Australia)</w:t>
        </w:r>
      </w:hyperlink>
      <w:r w:rsidR="00502B56">
        <w:t>,</w:t>
      </w:r>
      <w:r w:rsidR="00490A38">
        <w:t xml:space="preserve"> </w:t>
      </w:r>
      <w:r w:rsidR="00490A38" w:rsidRPr="00327FFE">
        <w:t>Anonymous (</w:t>
      </w:r>
      <w:r w:rsidR="002D3397">
        <w:t>p</w:t>
      </w:r>
      <w:r w:rsidR="00490A38" w:rsidRPr="00327FFE">
        <w:t>ermission not granted for publication)</w:t>
      </w:r>
      <w:r w:rsidR="00490A38">
        <w:t>,</w:t>
      </w:r>
      <w:r w:rsidR="00502B56">
        <w:t xml:space="preserve"> </w:t>
      </w:r>
      <w:hyperlink r:id="rId278" w:history="1">
        <w:r w:rsidR="00502B56" w:rsidRPr="0087644C">
          <w:rPr>
            <w:rStyle w:val="Hyperlink"/>
          </w:rPr>
          <w:t>Australian Constructors Association</w:t>
        </w:r>
      </w:hyperlink>
      <w:r w:rsidR="00502B56">
        <w:t xml:space="preserve">, and </w:t>
      </w:r>
      <w:hyperlink r:id="rId279" w:history="1">
        <w:r w:rsidR="00502B56" w:rsidRPr="00091742">
          <w:rPr>
            <w:rStyle w:val="Hyperlink"/>
          </w:rPr>
          <w:t>The Chamber of Minerals and Energy of Western Australia</w:t>
        </w:r>
      </w:hyperlink>
    </w:p>
  </w:footnote>
  <w:footnote w:id="198">
    <w:p w14:paraId="5C31FDB2" w14:textId="06641673" w:rsidR="00184D0A" w:rsidRDefault="00184D0A" w:rsidP="00184D0A">
      <w:pPr>
        <w:pStyle w:val="FootnoteText"/>
      </w:pPr>
      <w:r>
        <w:rPr>
          <w:rStyle w:val="FootnoteReference"/>
        </w:rPr>
        <w:footnoteRef/>
      </w:r>
      <w:r>
        <w:t xml:space="preserve"> Submissions from </w:t>
      </w:r>
      <w:hyperlink r:id="rId280" w:history="1">
        <w:r w:rsidRPr="00D74D5F">
          <w:rPr>
            <w:rStyle w:val="Hyperlink"/>
          </w:rPr>
          <w:t>Water Services Association of Australia</w:t>
        </w:r>
      </w:hyperlink>
      <w:r>
        <w:t xml:space="preserve"> and </w:t>
      </w:r>
      <w:hyperlink r:id="rId281" w:history="1">
        <w:r w:rsidRPr="001B4835">
          <w:rPr>
            <w:rStyle w:val="Hyperlink"/>
          </w:rPr>
          <w:t>The Chamber of Minerals and Energy of Western Australia</w:t>
        </w:r>
      </w:hyperlink>
    </w:p>
  </w:footnote>
  <w:footnote w:id="199">
    <w:p w14:paraId="7CAB4B58" w14:textId="15293542" w:rsidR="00D82D6C" w:rsidRDefault="00D82D6C">
      <w:pPr>
        <w:pStyle w:val="FootnoteText"/>
      </w:pPr>
      <w:r>
        <w:rPr>
          <w:rStyle w:val="FootnoteReference"/>
        </w:rPr>
        <w:footnoteRef/>
      </w:r>
      <w:r>
        <w:t xml:space="preserve"> </w:t>
      </w:r>
      <w:hyperlink r:id="rId282" w:history="1">
        <w:r w:rsidRPr="0087644C">
          <w:rPr>
            <w:rStyle w:val="Hyperlink"/>
          </w:rPr>
          <w:t>Australian Constructors Association</w:t>
        </w:r>
      </w:hyperlink>
    </w:p>
  </w:footnote>
  <w:footnote w:id="200">
    <w:p w14:paraId="1224687C" w14:textId="2DB5A06E" w:rsidR="00D82D6C" w:rsidRDefault="00D82D6C">
      <w:pPr>
        <w:pStyle w:val="FootnoteText"/>
      </w:pPr>
      <w:r>
        <w:rPr>
          <w:rStyle w:val="FootnoteReference"/>
        </w:rPr>
        <w:footnoteRef/>
      </w:r>
      <w:r>
        <w:t xml:space="preserve"> </w:t>
      </w:r>
      <w:r w:rsidR="00AD1614">
        <w:t xml:space="preserve">Submissions from </w:t>
      </w:r>
      <w:hyperlink r:id="rId283" w:history="1">
        <w:r w:rsidRPr="00B55F98">
          <w:rPr>
            <w:rStyle w:val="Hyperlink"/>
          </w:rPr>
          <w:t>Anonymous</w:t>
        </w:r>
      </w:hyperlink>
      <w:r w:rsidR="00AD1614">
        <w:t xml:space="preserve">, and </w:t>
      </w:r>
      <w:hyperlink r:id="rId284" w:history="1">
        <w:r w:rsidR="00AD1614" w:rsidRPr="00D74D5F">
          <w:rPr>
            <w:rStyle w:val="Hyperlink"/>
          </w:rPr>
          <w:t>Water Services Association of Australia</w:t>
        </w:r>
      </w:hyperlink>
    </w:p>
  </w:footnote>
  <w:footnote w:id="201">
    <w:p w14:paraId="1EF8B8DE" w14:textId="6528F00C" w:rsidR="00BE23BE" w:rsidRDefault="00BE23BE">
      <w:pPr>
        <w:pStyle w:val="FootnoteText"/>
      </w:pPr>
      <w:r>
        <w:rPr>
          <w:rStyle w:val="FootnoteReference"/>
        </w:rPr>
        <w:footnoteRef/>
      </w:r>
      <w:r w:rsidR="00B91239" w:rsidRPr="00B91239">
        <w:t xml:space="preserve"> </w:t>
      </w:r>
      <w:hyperlink r:id="rId285" w:history="1">
        <w:r w:rsidR="00B91239" w:rsidRPr="00D74D5F">
          <w:rPr>
            <w:rStyle w:val="Hyperlink"/>
          </w:rPr>
          <w:t>Water Services Association of Australia</w:t>
        </w:r>
      </w:hyperlink>
    </w:p>
  </w:footnote>
  <w:footnote w:id="202">
    <w:p w14:paraId="35B79E54" w14:textId="2D451FBC" w:rsidR="00330333" w:rsidRDefault="00330333">
      <w:pPr>
        <w:pStyle w:val="FootnoteText"/>
      </w:pPr>
      <w:r>
        <w:rPr>
          <w:rStyle w:val="FootnoteReference"/>
        </w:rPr>
        <w:footnoteRef/>
      </w:r>
      <w:r>
        <w:t xml:space="preserve"> </w:t>
      </w:r>
      <w:hyperlink r:id="rId286" w:history="1">
        <w:r w:rsidRPr="0087644C">
          <w:rPr>
            <w:rStyle w:val="Hyperlink"/>
          </w:rPr>
          <w:t>Australian Constructors Association</w:t>
        </w:r>
      </w:hyperlink>
    </w:p>
  </w:footnote>
  <w:footnote w:id="203">
    <w:p w14:paraId="7A012B44" w14:textId="52F29E57" w:rsidR="00330333" w:rsidRDefault="00330333">
      <w:pPr>
        <w:pStyle w:val="FootnoteText"/>
      </w:pPr>
      <w:r>
        <w:rPr>
          <w:rStyle w:val="FootnoteReference"/>
        </w:rPr>
        <w:footnoteRef/>
      </w:r>
      <w:r>
        <w:t xml:space="preserve"> </w:t>
      </w:r>
      <w:hyperlink r:id="rId287" w:history="1">
        <w:r w:rsidR="00547B32" w:rsidRPr="00D74D5F">
          <w:rPr>
            <w:rStyle w:val="Hyperlink"/>
          </w:rPr>
          <w:t>Water Services Association of Australia</w:t>
        </w:r>
      </w:hyperlink>
    </w:p>
  </w:footnote>
  <w:footnote w:id="204">
    <w:p w14:paraId="7A228ACA" w14:textId="1A5BC6B4" w:rsidR="00B75D56" w:rsidRDefault="00B75D56">
      <w:pPr>
        <w:pStyle w:val="FootnoteText"/>
      </w:pPr>
      <w:r>
        <w:rPr>
          <w:rStyle w:val="FootnoteReference"/>
        </w:rPr>
        <w:footnoteRef/>
      </w:r>
      <w:r>
        <w:t xml:space="preserve"> </w:t>
      </w:r>
      <w:r w:rsidR="00EA3703">
        <w:t>NIOSH 6013, OSHA 1008</w:t>
      </w:r>
    </w:p>
  </w:footnote>
  <w:footnote w:id="205">
    <w:p w14:paraId="416C022C" w14:textId="5A699797" w:rsidR="007226EC" w:rsidRDefault="007226EC">
      <w:pPr>
        <w:pStyle w:val="FootnoteText"/>
      </w:pPr>
      <w:r>
        <w:rPr>
          <w:rStyle w:val="FootnoteReference"/>
        </w:rPr>
        <w:footnoteRef/>
      </w:r>
      <w:r>
        <w:t xml:space="preserve"> </w:t>
      </w:r>
      <w:hyperlink r:id="rId288" w:history="1">
        <w:r w:rsidRPr="007226EC">
          <w:rPr>
            <w:rStyle w:val="Hyperlink"/>
          </w:rPr>
          <w:t>Department of Energy, Mines, Industry Regulation and Safety - WorkSafe Group (Western Australia)</w:t>
        </w:r>
      </w:hyperlink>
    </w:p>
  </w:footnote>
  <w:footnote w:id="206">
    <w:p w14:paraId="21D1FB9E" w14:textId="3EC050EF" w:rsidR="007B495C" w:rsidRDefault="007B495C">
      <w:pPr>
        <w:pStyle w:val="FootnoteText"/>
      </w:pPr>
      <w:r>
        <w:rPr>
          <w:rStyle w:val="FootnoteReference"/>
        </w:rPr>
        <w:footnoteRef/>
      </w:r>
      <w:r>
        <w:t xml:space="preserve"> </w:t>
      </w:r>
      <w:hyperlink r:id="rId289" w:history="1">
        <w:r w:rsidR="00E067AE" w:rsidRPr="007226EC">
          <w:rPr>
            <w:rStyle w:val="Hyperlink"/>
          </w:rPr>
          <w:t>Department of Energy, Mines, Industry Regulation and Safety - WorkSafe Group (Western Australia)</w:t>
        </w:r>
      </w:hyperlink>
    </w:p>
  </w:footnote>
  <w:footnote w:id="207">
    <w:p w14:paraId="0D2C8350" w14:textId="0C613D36" w:rsidR="000C5EF0" w:rsidRDefault="000C5EF0">
      <w:pPr>
        <w:pStyle w:val="FootnoteText"/>
      </w:pPr>
      <w:r>
        <w:rPr>
          <w:rStyle w:val="FootnoteReference"/>
        </w:rPr>
        <w:footnoteRef/>
      </w:r>
      <w:r>
        <w:t xml:space="preserve"> </w:t>
      </w:r>
      <w:hyperlink r:id="rId290" w:history="1">
        <w:r w:rsidRPr="00D74D5F">
          <w:rPr>
            <w:rStyle w:val="Hyperlink"/>
          </w:rPr>
          <w:t>Water Services Association of Australia</w:t>
        </w:r>
      </w:hyperlink>
    </w:p>
  </w:footnote>
  <w:footnote w:id="208">
    <w:p w14:paraId="2D0E287B" w14:textId="606E63A9" w:rsidR="006E26D4" w:rsidRDefault="006E26D4">
      <w:pPr>
        <w:pStyle w:val="FootnoteText"/>
      </w:pPr>
      <w:r>
        <w:rPr>
          <w:rStyle w:val="FootnoteReference"/>
        </w:rPr>
        <w:footnoteRef/>
      </w:r>
      <w:r>
        <w:t xml:space="preserve"> </w:t>
      </w:r>
      <w:r w:rsidR="00F27D85" w:rsidRPr="00F27D85">
        <w:t>Anonymous (</w:t>
      </w:r>
      <w:r w:rsidR="00692E63">
        <w:t>p</w:t>
      </w:r>
      <w:r w:rsidR="00F27D85" w:rsidRPr="00F27D85">
        <w:t>ermission not granted for publication)</w:t>
      </w:r>
    </w:p>
  </w:footnote>
  <w:footnote w:id="209">
    <w:p w14:paraId="58253FF0" w14:textId="05F237CB" w:rsidR="00B02739" w:rsidRDefault="00B02739">
      <w:pPr>
        <w:pStyle w:val="FootnoteText"/>
      </w:pPr>
      <w:r>
        <w:rPr>
          <w:rStyle w:val="FootnoteReference"/>
        </w:rPr>
        <w:footnoteRef/>
      </w:r>
      <w:r>
        <w:t xml:space="preserve"> </w:t>
      </w:r>
      <w:r w:rsidRPr="00B02739">
        <w:t>Anonymous (</w:t>
      </w:r>
      <w:r w:rsidR="00692E63">
        <w:t>p</w:t>
      </w:r>
      <w:r w:rsidRPr="00B02739">
        <w:t>ermission not granted for publication)</w:t>
      </w:r>
    </w:p>
  </w:footnote>
  <w:footnote w:id="210">
    <w:p w14:paraId="1C6D863D" w14:textId="5F329D8A" w:rsidR="00AF3AC4" w:rsidRDefault="00AF3AC4">
      <w:pPr>
        <w:pStyle w:val="FootnoteText"/>
      </w:pPr>
      <w:r>
        <w:rPr>
          <w:rStyle w:val="FootnoteReference"/>
        </w:rPr>
        <w:footnoteRef/>
      </w:r>
      <w:r>
        <w:t xml:space="preserve"> </w:t>
      </w:r>
      <w:hyperlink r:id="rId291" w:history="1">
        <w:r w:rsidR="005F1722" w:rsidRPr="00D74D5F">
          <w:rPr>
            <w:rStyle w:val="Hyperlink"/>
          </w:rPr>
          <w:t>Water Services Association of Australia</w:t>
        </w:r>
      </w:hyperlink>
    </w:p>
  </w:footnote>
  <w:footnote w:id="211">
    <w:p w14:paraId="1E09129F" w14:textId="64E2994A" w:rsidR="00AC0F1D" w:rsidRDefault="00AC0F1D">
      <w:pPr>
        <w:pStyle w:val="FootnoteText"/>
      </w:pPr>
      <w:r>
        <w:rPr>
          <w:rStyle w:val="FootnoteReference"/>
        </w:rPr>
        <w:footnoteRef/>
      </w:r>
      <w:r>
        <w:t xml:space="preserve"> </w:t>
      </w:r>
      <w:hyperlink r:id="rId292" w:history="1">
        <w:r w:rsidR="0093356E" w:rsidRPr="00AE7167">
          <w:rPr>
            <w:rStyle w:val="Hyperlink"/>
          </w:rPr>
          <w:t>Australian Industry Group</w:t>
        </w:r>
      </w:hyperlink>
    </w:p>
  </w:footnote>
  <w:footnote w:id="212">
    <w:p w14:paraId="78AB4446" w14:textId="6F139AFD" w:rsidR="007179E2" w:rsidRDefault="007179E2">
      <w:pPr>
        <w:pStyle w:val="FootnoteText"/>
      </w:pPr>
      <w:r>
        <w:rPr>
          <w:rStyle w:val="FootnoteReference"/>
        </w:rPr>
        <w:footnoteRef/>
      </w:r>
      <w:r>
        <w:t xml:space="preserve"> </w:t>
      </w:r>
      <w:r w:rsidR="004E303F">
        <w:t xml:space="preserve">Submissions from </w:t>
      </w:r>
      <w:hyperlink r:id="rId293" w:history="1">
        <w:r w:rsidRPr="00993BD0">
          <w:rPr>
            <w:rStyle w:val="Hyperlink"/>
          </w:rPr>
          <w:t>Southern Oil Refining Wagga Wagga</w:t>
        </w:r>
      </w:hyperlink>
      <w:r w:rsidR="004E303F">
        <w:t xml:space="preserve">, </w:t>
      </w:r>
      <w:r w:rsidR="004E303F" w:rsidRPr="004E303F">
        <w:t>Anonymous (</w:t>
      </w:r>
      <w:r w:rsidR="00692E63">
        <w:t>p</w:t>
      </w:r>
      <w:r w:rsidR="004E303F" w:rsidRPr="004E303F">
        <w:t>ermission not granted for publication)</w:t>
      </w:r>
      <w:r w:rsidR="004E303F">
        <w:t xml:space="preserve">, </w:t>
      </w:r>
      <w:r w:rsidR="004E303F" w:rsidRPr="004E303F">
        <w:t>Anonymous (</w:t>
      </w:r>
      <w:r w:rsidR="00692E63">
        <w:t>p</w:t>
      </w:r>
      <w:r w:rsidR="004E303F" w:rsidRPr="004E303F">
        <w:t>ermission not granted for publication)</w:t>
      </w:r>
      <w:r w:rsidR="004E303F">
        <w:t xml:space="preserve">, </w:t>
      </w:r>
      <w:r w:rsidR="004E303F" w:rsidRPr="004E303F">
        <w:t>Anonymous (</w:t>
      </w:r>
      <w:r w:rsidR="00692E63">
        <w:t>p</w:t>
      </w:r>
      <w:r w:rsidR="004E303F" w:rsidRPr="004E303F">
        <w:t>ermission not granted for publication)</w:t>
      </w:r>
      <w:r w:rsidR="004E303F">
        <w:t xml:space="preserve">, </w:t>
      </w:r>
      <w:r w:rsidR="004E303F" w:rsidRPr="004E303F">
        <w:t>Anonymous (</w:t>
      </w:r>
      <w:r w:rsidR="00692E63">
        <w:t>p</w:t>
      </w:r>
      <w:r w:rsidR="004E303F" w:rsidRPr="004E303F">
        <w:t>ermission not granted for publication)</w:t>
      </w:r>
    </w:p>
  </w:footnote>
  <w:footnote w:id="213">
    <w:p w14:paraId="0DD2B295" w14:textId="5E2DC722" w:rsidR="00E56DE2" w:rsidRDefault="00E56DE2">
      <w:pPr>
        <w:pStyle w:val="FootnoteText"/>
      </w:pPr>
      <w:r>
        <w:rPr>
          <w:rStyle w:val="FootnoteReference"/>
        </w:rPr>
        <w:footnoteRef/>
      </w:r>
      <w:r>
        <w:t xml:space="preserve"> </w:t>
      </w:r>
      <w:r w:rsidRPr="00E56DE2">
        <w:t>Anonymous (</w:t>
      </w:r>
      <w:r w:rsidR="00F11B0D">
        <w:t>p</w:t>
      </w:r>
      <w:r w:rsidRPr="00E56DE2">
        <w:t>ermission not granted for publication)</w:t>
      </w:r>
    </w:p>
  </w:footnote>
  <w:footnote w:id="214">
    <w:p w14:paraId="4128776E" w14:textId="1D3D3A7F" w:rsidR="00721989" w:rsidRDefault="00721989">
      <w:pPr>
        <w:pStyle w:val="FootnoteText"/>
      </w:pPr>
      <w:r>
        <w:rPr>
          <w:rStyle w:val="FootnoteReference"/>
        </w:rPr>
        <w:footnoteRef/>
      </w:r>
      <w:r>
        <w:t xml:space="preserve"> </w:t>
      </w:r>
      <w:r w:rsidRPr="00721989">
        <w:t>Anonymous (</w:t>
      </w:r>
      <w:r w:rsidR="00F11B0D">
        <w:t>p</w:t>
      </w:r>
      <w:r w:rsidRPr="00721989">
        <w:t>ermission not granted for publication)</w:t>
      </w:r>
    </w:p>
  </w:footnote>
  <w:footnote w:id="215">
    <w:p w14:paraId="2C3BCE3C" w14:textId="50F9D721" w:rsidR="002A63BB" w:rsidRDefault="002A63BB">
      <w:pPr>
        <w:pStyle w:val="FootnoteText"/>
      </w:pPr>
      <w:r>
        <w:rPr>
          <w:rStyle w:val="FootnoteReference"/>
        </w:rPr>
        <w:footnoteRef/>
      </w:r>
      <w:r>
        <w:t xml:space="preserve"> </w:t>
      </w:r>
      <w:r w:rsidRPr="002A63BB">
        <w:t>Anonymous (</w:t>
      </w:r>
      <w:r w:rsidR="00F11B0D">
        <w:t>p</w:t>
      </w:r>
      <w:r w:rsidRPr="002A63BB">
        <w:t>ermission not granted for publication)</w:t>
      </w:r>
    </w:p>
  </w:footnote>
  <w:footnote w:id="216">
    <w:p w14:paraId="7A56B036" w14:textId="098053D6" w:rsidR="00C85FFF" w:rsidRDefault="00C85FFF">
      <w:pPr>
        <w:pStyle w:val="FootnoteText"/>
      </w:pPr>
      <w:r>
        <w:rPr>
          <w:rStyle w:val="FootnoteReference"/>
        </w:rPr>
        <w:footnoteRef/>
      </w:r>
      <w:r>
        <w:t xml:space="preserve"> </w:t>
      </w:r>
      <w:hyperlink r:id="rId294" w:history="1">
        <w:r w:rsidRPr="000A1C30">
          <w:rPr>
            <w:rStyle w:val="Hyperlink"/>
          </w:rPr>
          <w:t>Anonymous</w:t>
        </w:r>
      </w:hyperlink>
    </w:p>
  </w:footnote>
  <w:footnote w:id="217">
    <w:p w14:paraId="4001F9CE" w14:textId="77777777" w:rsidR="00920B98" w:rsidRDefault="00920B98" w:rsidP="00920B98">
      <w:pPr>
        <w:pStyle w:val="FootnoteText"/>
      </w:pPr>
      <w:r>
        <w:rPr>
          <w:rStyle w:val="FootnoteReference"/>
        </w:rPr>
        <w:footnoteRef/>
      </w:r>
      <w:r>
        <w:t xml:space="preserve"> </w:t>
      </w:r>
      <w:hyperlink r:id="rId295" w:history="1">
        <w:r w:rsidRPr="00F369F4">
          <w:rPr>
            <w:rStyle w:val="Hyperlink"/>
          </w:rPr>
          <w:t>Anonymous</w:t>
        </w:r>
      </w:hyperlink>
    </w:p>
  </w:footnote>
  <w:footnote w:id="218">
    <w:p w14:paraId="7610CC6A" w14:textId="3D154E24" w:rsidR="00A066DD" w:rsidRDefault="00A066DD">
      <w:pPr>
        <w:pStyle w:val="FootnoteText"/>
      </w:pPr>
      <w:r>
        <w:rPr>
          <w:rStyle w:val="FootnoteReference"/>
        </w:rPr>
        <w:footnoteRef/>
      </w:r>
      <w:r>
        <w:t xml:space="preserve"> </w:t>
      </w:r>
      <w:hyperlink r:id="rId296" w:history="1">
        <w:r w:rsidRPr="00D74D5F">
          <w:rPr>
            <w:rStyle w:val="Hyperlink"/>
          </w:rPr>
          <w:t>Water Services Association of Australia</w:t>
        </w:r>
      </w:hyperlink>
    </w:p>
  </w:footnote>
  <w:footnote w:id="219">
    <w:p w14:paraId="23C0F260" w14:textId="77777777" w:rsidR="00277C6C" w:rsidRDefault="00277C6C" w:rsidP="00277C6C">
      <w:pPr>
        <w:pStyle w:val="FootnoteText"/>
      </w:pPr>
      <w:r>
        <w:rPr>
          <w:rStyle w:val="FootnoteReference"/>
        </w:rPr>
        <w:footnoteRef/>
      </w:r>
      <w:r>
        <w:t xml:space="preserve"> The evaluation report for nitrogen dioxide can be accessed </w:t>
      </w:r>
      <w:hyperlink r:id="rId297" w:history="1">
        <w:r w:rsidRPr="002817D5">
          <w:rPr>
            <w:rStyle w:val="Hyperlink"/>
          </w:rPr>
          <w:t>here</w:t>
        </w:r>
      </w:hyperlink>
      <w:r>
        <w:t xml:space="preserve">. </w:t>
      </w:r>
    </w:p>
  </w:footnote>
  <w:footnote w:id="220">
    <w:p w14:paraId="292B6D56" w14:textId="3A183345" w:rsidR="00A91505" w:rsidRDefault="00A91505">
      <w:pPr>
        <w:pStyle w:val="FootnoteText"/>
      </w:pPr>
      <w:r>
        <w:rPr>
          <w:rStyle w:val="FootnoteReference"/>
        </w:rPr>
        <w:footnoteRef/>
      </w:r>
      <w:r>
        <w:t xml:space="preserve"> The HCOTN also recommended a STEL </w:t>
      </w:r>
      <w:r w:rsidR="00486394">
        <w:t>of 0.5 ppm (1 mg/m</w:t>
      </w:r>
      <w:r w:rsidR="00486394" w:rsidRPr="00386562">
        <w:rPr>
          <w:vertAlign w:val="superscript"/>
        </w:rPr>
        <w:t>3</w:t>
      </w:r>
      <w:r w:rsidR="00486394">
        <w:t xml:space="preserve">) </w:t>
      </w:r>
      <w:r>
        <w:t>for nitrogen dioxide</w:t>
      </w:r>
      <w:r w:rsidR="00486394">
        <w:t xml:space="preserve">. This did </w:t>
      </w:r>
      <w:r>
        <w:t>not form part of the independent expert’s recommendation for nitrogen dioxide for the WES review</w:t>
      </w:r>
      <w:r w:rsidR="00772FF7">
        <w:t>,</w:t>
      </w:r>
      <w:r>
        <w:t xml:space="preserve"> as the proposed TWA is considered </w:t>
      </w:r>
      <w:r w:rsidR="00772FF7">
        <w:t>low enough</w:t>
      </w:r>
      <w:r>
        <w:t xml:space="preserve"> to</w:t>
      </w:r>
      <w:r w:rsidR="00486394">
        <w:t xml:space="preserve"> also</w:t>
      </w:r>
      <w:r>
        <w:t xml:space="preserve"> reduce risks of adverse health effects caused by </w:t>
      </w:r>
      <w:r w:rsidR="00772FF7">
        <w:t>short-term</w:t>
      </w:r>
      <w:r>
        <w:t xml:space="preserve"> exposures. </w:t>
      </w:r>
    </w:p>
  </w:footnote>
  <w:footnote w:id="221">
    <w:p w14:paraId="2159094D" w14:textId="1BBEE149" w:rsidR="002A09EF" w:rsidRDefault="002A09EF">
      <w:pPr>
        <w:pStyle w:val="FootnoteText"/>
      </w:pPr>
      <w:r>
        <w:rPr>
          <w:rStyle w:val="FootnoteReference"/>
        </w:rPr>
        <w:footnoteRef/>
      </w:r>
      <w:r>
        <w:t xml:space="preserve"> </w:t>
      </w:r>
      <w:r w:rsidRPr="002A09EF">
        <w:t>Anonymous (</w:t>
      </w:r>
      <w:r w:rsidR="0018359F">
        <w:t>p</w:t>
      </w:r>
      <w:r w:rsidRPr="002A09EF">
        <w:t>ermission not granted for publication)</w:t>
      </w:r>
    </w:p>
  </w:footnote>
  <w:footnote w:id="222">
    <w:p w14:paraId="3843DAED" w14:textId="66CC23FA" w:rsidR="00BC7060" w:rsidRDefault="00BC7060">
      <w:pPr>
        <w:pStyle w:val="FootnoteText"/>
      </w:pPr>
      <w:r>
        <w:rPr>
          <w:rStyle w:val="FootnoteReference"/>
        </w:rPr>
        <w:footnoteRef/>
      </w:r>
      <w:r>
        <w:t xml:space="preserve"> </w:t>
      </w:r>
      <w:r w:rsidRPr="00BC7060">
        <w:t>Anonymous (permission not granted for publication)</w:t>
      </w:r>
    </w:p>
  </w:footnote>
  <w:footnote w:id="223">
    <w:p w14:paraId="2738DAED" w14:textId="04D56E43" w:rsidR="00116459" w:rsidRDefault="00116459">
      <w:pPr>
        <w:pStyle w:val="FootnoteText"/>
      </w:pPr>
      <w:r>
        <w:rPr>
          <w:rStyle w:val="FootnoteReference"/>
        </w:rPr>
        <w:footnoteRef/>
      </w:r>
      <w:r>
        <w:t xml:space="preserve"> </w:t>
      </w:r>
      <w:r w:rsidR="00F521F9">
        <w:t xml:space="preserve">Submissions from </w:t>
      </w:r>
      <w:r w:rsidR="00F521F9" w:rsidRPr="00F521F9">
        <w:t>Anonymous (</w:t>
      </w:r>
      <w:r w:rsidR="0018359F">
        <w:t>p</w:t>
      </w:r>
      <w:r w:rsidR="00F521F9" w:rsidRPr="00F521F9">
        <w:t>ermission not granted for publication)</w:t>
      </w:r>
      <w:r w:rsidR="00F521F9">
        <w:t xml:space="preserve"> and </w:t>
      </w:r>
      <w:hyperlink r:id="rId298" w:history="1">
        <w:r w:rsidR="00F521F9" w:rsidRPr="00B20CDB">
          <w:rPr>
            <w:rStyle w:val="Hyperlink"/>
          </w:rPr>
          <w:t>Anonymous</w:t>
        </w:r>
      </w:hyperlink>
    </w:p>
  </w:footnote>
  <w:footnote w:id="224">
    <w:p w14:paraId="66BE07A9" w14:textId="0AF3B16C" w:rsidR="00B20CDB" w:rsidRDefault="00B20CDB">
      <w:pPr>
        <w:pStyle w:val="FootnoteText"/>
      </w:pPr>
      <w:r>
        <w:rPr>
          <w:rStyle w:val="FootnoteReference"/>
        </w:rPr>
        <w:footnoteRef/>
      </w:r>
      <w:r>
        <w:t xml:space="preserve"> </w:t>
      </w:r>
      <w:r w:rsidRPr="00B20CDB">
        <w:t>Anonymous (</w:t>
      </w:r>
      <w:r w:rsidR="0018359F">
        <w:t>p</w:t>
      </w:r>
      <w:r w:rsidRPr="00B20CDB">
        <w:t>ermission not granted for publication)</w:t>
      </w:r>
    </w:p>
  </w:footnote>
  <w:footnote w:id="225">
    <w:p w14:paraId="69DA1324" w14:textId="41EA2EBC" w:rsidR="00536181" w:rsidRDefault="00536181">
      <w:pPr>
        <w:pStyle w:val="FootnoteText"/>
      </w:pPr>
      <w:r>
        <w:rPr>
          <w:rStyle w:val="FootnoteReference"/>
        </w:rPr>
        <w:footnoteRef/>
      </w:r>
      <w:r>
        <w:t xml:space="preserve"> Submissions from </w:t>
      </w:r>
      <w:r w:rsidRPr="00536181">
        <w:t>Anonymous (</w:t>
      </w:r>
      <w:r w:rsidR="0018359F">
        <w:t>p</w:t>
      </w:r>
      <w:r w:rsidRPr="00536181">
        <w:t>ermission not granted for publication)</w:t>
      </w:r>
      <w:r>
        <w:t xml:space="preserve"> and </w:t>
      </w:r>
      <w:hyperlink r:id="rId299" w:history="1">
        <w:r w:rsidR="00271886">
          <w:rPr>
            <w:rStyle w:val="Hyperlink"/>
          </w:rPr>
          <w:t>t</w:t>
        </w:r>
        <w:r w:rsidR="005C2FD7" w:rsidRPr="005C2FD7">
          <w:rPr>
            <w:rStyle w:val="Hyperlink"/>
          </w:rPr>
          <w:t>he Chamber of Minerals and Energy of Western Australia</w:t>
        </w:r>
      </w:hyperlink>
    </w:p>
  </w:footnote>
  <w:footnote w:id="226">
    <w:p w14:paraId="51F58F33" w14:textId="38889422" w:rsidR="005A5647" w:rsidRDefault="005A5647">
      <w:pPr>
        <w:pStyle w:val="FootnoteText"/>
      </w:pPr>
      <w:r>
        <w:rPr>
          <w:rStyle w:val="FootnoteReference"/>
        </w:rPr>
        <w:footnoteRef/>
      </w:r>
      <w:r>
        <w:t xml:space="preserve"> </w:t>
      </w:r>
      <w:hyperlink r:id="rId300" w:history="1">
        <w:r w:rsidR="00880B4A" w:rsidRPr="00880B4A">
          <w:rPr>
            <w:rStyle w:val="Hyperlink"/>
          </w:rPr>
          <w:t>The Chamber of Minerals and Energy of Western Australia</w:t>
        </w:r>
      </w:hyperlink>
    </w:p>
  </w:footnote>
  <w:footnote w:id="227">
    <w:p w14:paraId="03FA0408" w14:textId="7C0D711A" w:rsidR="00C43E43" w:rsidRDefault="00C43E43">
      <w:pPr>
        <w:pStyle w:val="FootnoteText"/>
      </w:pPr>
      <w:r>
        <w:rPr>
          <w:rStyle w:val="FootnoteReference"/>
        </w:rPr>
        <w:footnoteRef/>
      </w:r>
      <w:r>
        <w:t xml:space="preserve"> </w:t>
      </w:r>
      <w:hyperlink r:id="rId301" w:history="1">
        <w:r w:rsidRPr="00C03AFC">
          <w:rPr>
            <w:rStyle w:val="Hyperlink"/>
          </w:rPr>
          <w:t>Minerals Council of Australia</w:t>
        </w:r>
      </w:hyperlink>
    </w:p>
  </w:footnote>
  <w:footnote w:id="228">
    <w:p w14:paraId="09302AA8" w14:textId="2E979E8F" w:rsidR="001B2BCD" w:rsidRDefault="001B2BCD">
      <w:pPr>
        <w:pStyle w:val="FootnoteText"/>
      </w:pPr>
      <w:r>
        <w:rPr>
          <w:rStyle w:val="FootnoteReference"/>
        </w:rPr>
        <w:footnoteRef/>
      </w:r>
      <w:r>
        <w:t xml:space="preserve"> </w:t>
      </w:r>
      <w:hyperlink r:id="rId302" w:history="1">
        <w:r w:rsidRPr="00C43E43">
          <w:rPr>
            <w:rStyle w:val="Hyperlink"/>
          </w:rPr>
          <w:t>Robyn Schofield</w:t>
        </w:r>
      </w:hyperlink>
    </w:p>
  </w:footnote>
  <w:footnote w:id="229">
    <w:p w14:paraId="06335772" w14:textId="43B8084B" w:rsidR="00737E31" w:rsidRDefault="00737E31">
      <w:pPr>
        <w:pStyle w:val="FootnoteText"/>
      </w:pPr>
      <w:r>
        <w:rPr>
          <w:rStyle w:val="FootnoteReference"/>
        </w:rPr>
        <w:footnoteRef/>
      </w:r>
      <w:r>
        <w:t xml:space="preserve"> </w:t>
      </w:r>
      <w:r w:rsidR="007815FC">
        <w:t xml:space="preserve">Submissions from </w:t>
      </w:r>
      <w:hyperlink r:id="rId303" w:history="1">
        <w:r w:rsidR="009D313E" w:rsidRPr="002235C9">
          <w:rPr>
            <w:rStyle w:val="Hyperlink"/>
          </w:rPr>
          <w:t>Victorian Trades Hall Council</w:t>
        </w:r>
      </w:hyperlink>
      <w:r w:rsidR="009D313E">
        <w:t xml:space="preserve">, </w:t>
      </w:r>
      <w:hyperlink r:id="rId304" w:history="1">
        <w:r w:rsidR="00EF2763" w:rsidRPr="002830D0">
          <w:rPr>
            <w:rStyle w:val="Hyperlink"/>
          </w:rPr>
          <w:t>Australian Council of Trade Unions</w:t>
        </w:r>
      </w:hyperlink>
      <w:r w:rsidR="00EF2763">
        <w:t xml:space="preserve">, </w:t>
      </w:r>
      <w:hyperlink r:id="rId305" w:history="1">
        <w:r w:rsidR="00EF2763" w:rsidRPr="002F7D70">
          <w:rPr>
            <w:rStyle w:val="Hyperlink"/>
          </w:rPr>
          <w:t>Anonymous</w:t>
        </w:r>
      </w:hyperlink>
      <w:r w:rsidR="00EF2763">
        <w:t xml:space="preserve">, </w:t>
      </w:r>
      <w:r w:rsidR="005F1722">
        <w:t xml:space="preserve">and </w:t>
      </w:r>
      <w:hyperlink r:id="rId306" w:history="1">
        <w:r w:rsidR="00EF2763" w:rsidRPr="00494DF1">
          <w:rPr>
            <w:rStyle w:val="Hyperlink"/>
          </w:rPr>
          <w:t>Queensland Nurses and Midwives’ Union</w:t>
        </w:r>
      </w:hyperlink>
    </w:p>
  </w:footnote>
  <w:footnote w:id="230">
    <w:p w14:paraId="37AB161A" w14:textId="4F4BAD88" w:rsidR="00AE5D74" w:rsidRDefault="00AE5D74">
      <w:pPr>
        <w:pStyle w:val="FootnoteText"/>
      </w:pPr>
      <w:r>
        <w:rPr>
          <w:rStyle w:val="FootnoteReference"/>
        </w:rPr>
        <w:footnoteRef/>
      </w:r>
      <w:r>
        <w:t xml:space="preserve"> </w:t>
      </w:r>
      <w:hyperlink r:id="rId307" w:history="1">
        <w:r w:rsidR="003F0C75" w:rsidRPr="00E36553">
          <w:rPr>
            <w:rStyle w:val="Hyperlink"/>
          </w:rPr>
          <w:t>Robyn Schofield</w:t>
        </w:r>
      </w:hyperlink>
    </w:p>
  </w:footnote>
  <w:footnote w:id="231">
    <w:p w14:paraId="07C9DB98" w14:textId="500FCC78" w:rsidR="001A03E0" w:rsidRDefault="001A03E0">
      <w:pPr>
        <w:pStyle w:val="FootnoteText"/>
      </w:pPr>
      <w:r>
        <w:rPr>
          <w:rStyle w:val="FootnoteReference"/>
        </w:rPr>
        <w:footnoteRef/>
      </w:r>
      <w:r>
        <w:t xml:space="preserve"> </w:t>
      </w:r>
      <w:r w:rsidR="00FE3AC1" w:rsidRPr="00FE3AC1">
        <w:t>Anonymous (</w:t>
      </w:r>
      <w:r w:rsidR="00177618">
        <w:t>p</w:t>
      </w:r>
      <w:r w:rsidR="00FE3AC1" w:rsidRPr="00FE3AC1">
        <w:t>ermission not granted for publication)</w:t>
      </w:r>
    </w:p>
  </w:footnote>
  <w:footnote w:id="232">
    <w:p w14:paraId="3D60CE10" w14:textId="71792542" w:rsidR="003E1B17" w:rsidRDefault="003E1B17">
      <w:pPr>
        <w:pStyle w:val="FootnoteText"/>
      </w:pPr>
      <w:r>
        <w:rPr>
          <w:rStyle w:val="FootnoteReference"/>
        </w:rPr>
        <w:footnoteRef/>
      </w:r>
      <w:r>
        <w:t xml:space="preserve"> </w:t>
      </w:r>
      <w:r w:rsidR="007815FC">
        <w:t xml:space="preserve">Submissions from </w:t>
      </w:r>
      <w:hyperlink r:id="rId308" w:history="1">
        <w:r w:rsidR="00D97E3D" w:rsidRPr="00746486">
          <w:rPr>
            <w:rStyle w:val="Hyperlink"/>
          </w:rPr>
          <w:t>Australian Chamber of Commerce and Industry</w:t>
        </w:r>
      </w:hyperlink>
      <w:r w:rsidR="00D97E3D">
        <w:t xml:space="preserve">, </w:t>
      </w:r>
      <w:hyperlink r:id="rId309" w:history="1">
        <w:r w:rsidR="00D20363" w:rsidRPr="00AE7167">
          <w:rPr>
            <w:rStyle w:val="Hyperlink"/>
          </w:rPr>
          <w:t>Australian Industry Group</w:t>
        </w:r>
      </w:hyperlink>
      <w:r w:rsidR="00D20363">
        <w:t xml:space="preserve">, </w:t>
      </w:r>
      <w:r w:rsidR="005F1722">
        <w:t xml:space="preserve">and </w:t>
      </w:r>
      <w:hyperlink r:id="rId310" w:history="1">
        <w:r w:rsidR="00461C82" w:rsidRPr="00F94610">
          <w:rPr>
            <w:rStyle w:val="Hyperlink"/>
          </w:rPr>
          <w:t>Department of Energy, Mines, Industry Regulation and Safety - WorkSafe Group (Western Australia)</w:t>
        </w:r>
      </w:hyperlink>
    </w:p>
  </w:footnote>
  <w:footnote w:id="233">
    <w:p w14:paraId="495763E3" w14:textId="09240033" w:rsidR="00C97077" w:rsidRDefault="00C97077">
      <w:pPr>
        <w:pStyle w:val="FootnoteText"/>
      </w:pPr>
      <w:r>
        <w:rPr>
          <w:rStyle w:val="FootnoteReference"/>
        </w:rPr>
        <w:footnoteRef/>
      </w:r>
      <w:r>
        <w:t xml:space="preserve"> </w:t>
      </w:r>
      <w:r w:rsidR="00A200AE" w:rsidRPr="00A200AE">
        <w:t>Anonymous (</w:t>
      </w:r>
      <w:r w:rsidR="00517381">
        <w:t>p</w:t>
      </w:r>
      <w:r w:rsidR="00A200AE" w:rsidRPr="00A200AE">
        <w:t>ermission not granted for publication)</w:t>
      </w:r>
    </w:p>
  </w:footnote>
  <w:footnote w:id="234">
    <w:p w14:paraId="17F4950A" w14:textId="45284785" w:rsidR="004F0075" w:rsidRDefault="004F0075" w:rsidP="004F0075">
      <w:pPr>
        <w:pStyle w:val="FootnoteText"/>
      </w:pPr>
      <w:r>
        <w:rPr>
          <w:rStyle w:val="FootnoteReference"/>
        </w:rPr>
        <w:footnoteRef/>
      </w:r>
      <w:r>
        <w:t xml:space="preserve"> </w:t>
      </w:r>
      <w:r w:rsidR="00106A84">
        <w:t xml:space="preserve">Submissions from </w:t>
      </w:r>
      <w:r w:rsidR="00106A84" w:rsidRPr="00536181">
        <w:t>Anonymous (</w:t>
      </w:r>
      <w:r w:rsidR="00517381">
        <w:t>p</w:t>
      </w:r>
      <w:r w:rsidR="00106A84" w:rsidRPr="00536181">
        <w:t>ermission not granted for publication)</w:t>
      </w:r>
      <w:r w:rsidR="00106A84">
        <w:t xml:space="preserve"> and </w:t>
      </w:r>
      <w:hyperlink r:id="rId311" w:history="1">
        <w:r w:rsidRPr="00AE7167">
          <w:rPr>
            <w:rStyle w:val="Hyperlink"/>
          </w:rPr>
          <w:t>Australian Industry Group</w:t>
        </w:r>
      </w:hyperlink>
      <w:r>
        <w:t xml:space="preserve">, </w:t>
      </w:r>
    </w:p>
  </w:footnote>
  <w:footnote w:id="235">
    <w:p w14:paraId="58DA57C3" w14:textId="5DEE00C8" w:rsidR="004F0075" w:rsidRDefault="004F0075">
      <w:pPr>
        <w:pStyle w:val="FootnoteText"/>
      </w:pPr>
      <w:r>
        <w:rPr>
          <w:rStyle w:val="FootnoteReference"/>
        </w:rPr>
        <w:footnoteRef/>
      </w:r>
      <w:r w:rsidR="00106A84" w:rsidRPr="00536181">
        <w:t>Anonymous (</w:t>
      </w:r>
      <w:r w:rsidR="00517381">
        <w:t>p</w:t>
      </w:r>
      <w:r w:rsidR="00106A84" w:rsidRPr="00536181">
        <w:t>ermission not granted for publication)</w:t>
      </w:r>
    </w:p>
  </w:footnote>
  <w:footnote w:id="236">
    <w:p w14:paraId="1358E6F7" w14:textId="54B662B6" w:rsidR="00F9779C" w:rsidRDefault="00F9779C">
      <w:pPr>
        <w:pStyle w:val="FootnoteText"/>
      </w:pPr>
      <w:r>
        <w:rPr>
          <w:rStyle w:val="FootnoteReference"/>
        </w:rPr>
        <w:footnoteRef/>
      </w:r>
      <w:r>
        <w:t xml:space="preserve"> </w:t>
      </w:r>
      <w:r w:rsidR="006A355A">
        <w:t>Submissions from</w:t>
      </w:r>
      <w:r w:rsidR="00451F71">
        <w:t xml:space="preserve"> </w:t>
      </w:r>
      <w:r w:rsidR="00451F71" w:rsidRPr="00451F71">
        <w:t>Anonymous (</w:t>
      </w:r>
      <w:r w:rsidR="00517381">
        <w:t>p</w:t>
      </w:r>
      <w:r w:rsidR="00451F71" w:rsidRPr="00451F71">
        <w:t>ermission not granted for publication)</w:t>
      </w:r>
      <w:r w:rsidR="00451F71">
        <w:t>,</w:t>
      </w:r>
      <w:r w:rsidR="006A355A">
        <w:t xml:space="preserve"> </w:t>
      </w:r>
      <w:hyperlink r:id="rId312" w:history="1">
        <w:r w:rsidRPr="00746486">
          <w:rPr>
            <w:rStyle w:val="Hyperlink"/>
          </w:rPr>
          <w:t>Australian Chamber of Commerce and Industry</w:t>
        </w:r>
      </w:hyperlink>
      <w:r>
        <w:t xml:space="preserve">, </w:t>
      </w:r>
      <w:r w:rsidR="006A355A">
        <w:t xml:space="preserve">and </w:t>
      </w:r>
      <w:hyperlink r:id="rId313" w:history="1">
        <w:r w:rsidRPr="00AE7167">
          <w:rPr>
            <w:rStyle w:val="Hyperlink"/>
          </w:rPr>
          <w:t>Australian Industry Group</w:t>
        </w:r>
      </w:hyperlink>
    </w:p>
  </w:footnote>
  <w:footnote w:id="237">
    <w:p w14:paraId="410D12E0" w14:textId="0EA0F2A5" w:rsidR="00A441E9" w:rsidRDefault="00A441E9">
      <w:pPr>
        <w:pStyle w:val="FootnoteText"/>
      </w:pPr>
      <w:r>
        <w:rPr>
          <w:rStyle w:val="FootnoteReference"/>
        </w:rPr>
        <w:footnoteRef/>
      </w:r>
      <w:r>
        <w:t xml:space="preserve"> </w:t>
      </w:r>
      <w:r w:rsidR="006A355A">
        <w:t>Submissions from</w:t>
      </w:r>
      <w:r w:rsidR="007B5050">
        <w:t xml:space="preserve"> </w:t>
      </w:r>
      <w:hyperlink r:id="rId314" w:history="1">
        <w:r w:rsidR="007B5050" w:rsidRPr="00F94610">
          <w:rPr>
            <w:rStyle w:val="Hyperlink"/>
          </w:rPr>
          <w:t>Department of Energy, Mines, Industry Regulation and Safety - WorkSafe Group (Western Australia)</w:t>
        </w:r>
      </w:hyperlink>
      <w:r w:rsidR="006A355A">
        <w:t xml:space="preserve"> </w:t>
      </w:r>
      <w:hyperlink r:id="rId315" w:history="1">
        <w:r w:rsidRPr="00746486">
          <w:rPr>
            <w:rStyle w:val="Hyperlink"/>
          </w:rPr>
          <w:t>Australian Chamber of Commerce and Industry</w:t>
        </w:r>
      </w:hyperlink>
      <w:r>
        <w:t xml:space="preserve">, </w:t>
      </w:r>
      <w:r w:rsidR="007B5050">
        <w:t xml:space="preserve">and </w:t>
      </w:r>
      <w:hyperlink r:id="rId316" w:history="1">
        <w:r w:rsidRPr="007424F4">
          <w:rPr>
            <w:rStyle w:val="Hyperlink"/>
          </w:rPr>
          <w:t>Australian Industry Group</w:t>
        </w:r>
      </w:hyperlink>
      <w:r w:rsidR="006A355A">
        <w:t xml:space="preserve"> </w:t>
      </w:r>
    </w:p>
  </w:footnote>
  <w:footnote w:id="238">
    <w:p w14:paraId="513A1713" w14:textId="72F72E3B" w:rsidR="0000143F" w:rsidRDefault="0000143F">
      <w:pPr>
        <w:pStyle w:val="FootnoteText"/>
      </w:pPr>
      <w:r>
        <w:rPr>
          <w:rStyle w:val="FootnoteReference"/>
        </w:rPr>
        <w:footnoteRef/>
      </w:r>
      <w:r>
        <w:t xml:space="preserve"> </w:t>
      </w:r>
      <w:r w:rsidR="00CC577E">
        <w:t>Submissions from</w:t>
      </w:r>
      <w:r w:rsidR="00D155C0">
        <w:t xml:space="preserve"> </w:t>
      </w:r>
      <w:r w:rsidR="00D155C0" w:rsidRPr="00D155C0">
        <w:t>Anonymous (</w:t>
      </w:r>
      <w:r w:rsidR="004726A4">
        <w:t>p</w:t>
      </w:r>
      <w:r w:rsidR="00D155C0" w:rsidRPr="00D155C0">
        <w:t>ermission not granted for publication)</w:t>
      </w:r>
      <w:r w:rsidR="00D155C0">
        <w:t>,</w:t>
      </w:r>
      <w:r w:rsidR="00CC577E">
        <w:t xml:space="preserve"> </w:t>
      </w:r>
      <w:hyperlink r:id="rId317" w:history="1">
        <w:r w:rsidRPr="0087644C">
          <w:rPr>
            <w:rStyle w:val="Hyperlink"/>
          </w:rPr>
          <w:t>Australian Constructors Association</w:t>
        </w:r>
      </w:hyperlink>
      <w:r w:rsidR="00CC577E">
        <w:t xml:space="preserve"> and</w:t>
      </w:r>
      <w:r>
        <w:t xml:space="preserve"> </w:t>
      </w:r>
      <w:hyperlink r:id="rId318" w:history="1">
        <w:r w:rsidR="00C718C1" w:rsidRPr="00C56C2C">
          <w:rPr>
            <w:rStyle w:val="Hyperlink"/>
          </w:rPr>
          <w:t xml:space="preserve">Minerals Council </w:t>
        </w:r>
        <w:r w:rsidR="00C56C2C" w:rsidRPr="00C56C2C">
          <w:rPr>
            <w:rStyle w:val="Hyperlink"/>
          </w:rPr>
          <w:t xml:space="preserve">of </w:t>
        </w:r>
        <w:r w:rsidR="00C718C1" w:rsidRPr="00C56C2C">
          <w:rPr>
            <w:rStyle w:val="Hyperlink"/>
          </w:rPr>
          <w:t>Australia</w:t>
        </w:r>
      </w:hyperlink>
    </w:p>
  </w:footnote>
  <w:footnote w:id="239">
    <w:p w14:paraId="49FCDF47" w14:textId="77B1A7E3" w:rsidR="00760A87" w:rsidRDefault="00760A87">
      <w:pPr>
        <w:pStyle w:val="FootnoteText"/>
      </w:pPr>
      <w:r>
        <w:rPr>
          <w:rStyle w:val="FootnoteReference"/>
        </w:rPr>
        <w:footnoteRef/>
      </w:r>
      <w:r>
        <w:t xml:space="preserve"> </w:t>
      </w:r>
      <w:r w:rsidR="000B2364">
        <w:t>Submissions</w:t>
      </w:r>
      <w:r w:rsidR="003C6691">
        <w:t xml:space="preserve"> from </w:t>
      </w:r>
      <w:hyperlink r:id="rId319" w:history="1">
        <w:r w:rsidR="000B2364" w:rsidRPr="00171F51">
          <w:rPr>
            <w:rStyle w:val="Hyperlink"/>
          </w:rPr>
          <w:t>Anonymous</w:t>
        </w:r>
      </w:hyperlink>
      <w:r w:rsidR="000B2364">
        <w:t xml:space="preserve"> and </w:t>
      </w:r>
      <w:hyperlink r:id="rId320" w:history="1">
        <w:r w:rsidRPr="00171F51">
          <w:rPr>
            <w:rStyle w:val="Hyperlink"/>
          </w:rPr>
          <w:t>Minerals Council of Australia</w:t>
        </w:r>
      </w:hyperlink>
    </w:p>
  </w:footnote>
  <w:footnote w:id="240">
    <w:p w14:paraId="1B28D9F2" w14:textId="4D718859" w:rsidR="004234CB" w:rsidRDefault="004234CB">
      <w:pPr>
        <w:pStyle w:val="FootnoteText"/>
      </w:pPr>
      <w:r>
        <w:rPr>
          <w:rStyle w:val="FootnoteReference"/>
        </w:rPr>
        <w:footnoteRef/>
      </w:r>
      <w:r>
        <w:t xml:space="preserve"> </w:t>
      </w:r>
      <w:r w:rsidR="00CC577E">
        <w:t xml:space="preserve">Submissions from </w:t>
      </w:r>
      <w:hyperlink r:id="rId321" w:history="1">
        <w:r w:rsidR="001C569D" w:rsidRPr="0087644C">
          <w:rPr>
            <w:rStyle w:val="Hyperlink"/>
          </w:rPr>
          <w:t>Australian Constructors Association</w:t>
        </w:r>
      </w:hyperlink>
      <w:r w:rsidR="001C569D">
        <w:t>,</w:t>
      </w:r>
      <w:r w:rsidR="00CC577E">
        <w:t xml:space="preserve"> and</w:t>
      </w:r>
      <w:r w:rsidR="001C569D">
        <w:t xml:space="preserve"> </w:t>
      </w:r>
      <w:hyperlink r:id="rId322" w:history="1">
        <w:r w:rsidR="009C480B" w:rsidRPr="00746486">
          <w:rPr>
            <w:rStyle w:val="Hyperlink"/>
          </w:rPr>
          <w:t>Australian Chamber of Commerce and Industry</w:t>
        </w:r>
      </w:hyperlink>
    </w:p>
  </w:footnote>
  <w:footnote w:id="241">
    <w:p w14:paraId="35BCB64B" w14:textId="0A74534A" w:rsidR="009C5A8E" w:rsidRDefault="009C5A8E">
      <w:pPr>
        <w:pStyle w:val="FootnoteText"/>
      </w:pPr>
      <w:r>
        <w:rPr>
          <w:rStyle w:val="FootnoteReference"/>
        </w:rPr>
        <w:footnoteRef/>
      </w:r>
      <w:r>
        <w:t xml:space="preserve"> </w:t>
      </w:r>
      <w:hyperlink r:id="rId323" w:history="1">
        <w:r w:rsidRPr="00C56C2C">
          <w:rPr>
            <w:rStyle w:val="Hyperlink"/>
          </w:rPr>
          <w:t>Minerals Council of Australia</w:t>
        </w:r>
      </w:hyperlink>
    </w:p>
  </w:footnote>
  <w:footnote w:id="242">
    <w:p w14:paraId="75C43FF8" w14:textId="77777777" w:rsidR="001511BB" w:rsidRDefault="001511BB" w:rsidP="001511BB">
      <w:pPr>
        <w:pStyle w:val="FootnoteText"/>
      </w:pPr>
      <w:r>
        <w:rPr>
          <w:rStyle w:val="FootnoteReference"/>
        </w:rPr>
        <w:footnoteRef/>
      </w:r>
      <w:r>
        <w:t xml:space="preserve"> </w:t>
      </w:r>
      <w:hyperlink r:id="rId324" w:history="1">
        <w:r w:rsidRPr="00C56C2C">
          <w:rPr>
            <w:rStyle w:val="Hyperlink"/>
          </w:rPr>
          <w:t>Minerals Council of Australia</w:t>
        </w:r>
      </w:hyperlink>
    </w:p>
  </w:footnote>
  <w:footnote w:id="243">
    <w:p w14:paraId="65977C7D" w14:textId="32D52DA5" w:rsidR="00C86239" w:rsidRDefault="00C86239">
      <w:pPr>
        <w:pStyle w:val="FootnoteText"/>
      </w:pPr>
      <w:r>
        <w:rPr>
          <w:rStyle w:val="FootnoteReference"/>
        </w:rPr>
        <w:footnoteRef/>
      </w:r>
      <w:r>
        <w:t xml:space="preserve"> </w:t>
      </w:r>
      <w:r w:rsidR="00D416F2">
        <w:t>NIOSH 6014, NIOSH 6700, OSHA ID 182</w:t>
      </w:r>
    </w:p>
  </w:footnote>
  <w:footnote w:id="244">
    <w:p w14:paraId="2C70B530" w14:textId="0FB5834D" w:rsidR="00641479" w:rsidRDefault="00641479">
      <w:pPr>
        <w:pStyle w:val="FootnoteText"/>
      </w:pPr>
      <w:r>
        <w:rPr>
          <w:rStyle w:val="FootnoteReference"/>
        </w:rPr>
        <w:footnoteRef/>
      </w:r>
      <w:r>
        <w:t xml:space="preserve"> Submissions from </w:t>
      </w:r>
      <w:r w:rsidRPr="00641479">
        <w:t>Anonymous (</w:t>
      </w:r>
      <w:r w:rsidR="007E619F">
        <w:t>p</w:t>
      </w:r>
      <w:r w:rsidRPr="00641479">
        <w:t>ermission not granted for publication)</w:t>
      </w:r>
      <w:r>
        <w:t xml:space="preserve"> and </w:t>
      </w:r>
      <w:hyperlink r:id="rId325" w:history="1">
        <w:r w:rsidRPr="00641479">
          <w:rPr>
            <w:rStyle w:val="Hyperlink"/>
          </w:rPr>
          <w:t>The Chamber of Minerals and Energy of Western Australia</w:t>
        </w:r>
      </w:hyperlink>
    </w:p>
  </w:footnote>
  <w:footnote w:id="245">
    <w:p w14:paraId="0189E834" w14:textId="3FCFEABB" w:rsidR="008241F2" w:rsidRDefault="008241F2">
      <w:pPr>
        <w:pStyle w:val="FootnoteText"/>
      </w:pPr>
      <w:r>
        <w:rPr>
          <w:rStyle w:val="FootnoteReference"/>
        </w:rPr>
        <w:footnoteRef/>
      </w:r>
      <w:r>
        <w:t xml:space="preserve"> </w:t>
      </w:r>
      <w:hyperlink r:id="rId326" w:history="1">
        <w:r w:rsidR="001E4BBD" w:rsidRPr="00976A97">
          <w:rPr>
            <w:rStyle w:val="Hyperlink"/>
          </w:rPr>
          <w:t>The Chamber of Minerals and Energy of Western Australia</w:t>
        </w:r>
      </w:hyperlink>
    </w:p>
  </w:footnote>
  <w:footnote w:id="246">
    <w:p w14:paraId="526EA4D2" w14:textId="6912676B" w:rsidR="004D2C5E" w:rsidRDefault="004D2C5E">
      <w:pPr>
        <w:pStyle w:val="FootnoteText"/>
      </w:pPr>
      <w:r>
        <w:rPr>
          <w:rStyle w:val="FootnoteReference"/>
        </w:rPr>
        <w:footnoteRef/>
      </w:r>
      <w:r>
        <w:t xml:space="preserve"> </w:t>
      </w:r>
      <w:hyperlink r:id="rId327" w:history="1">
        <w:r w:rsidRPr="007424F4">
          <w:rPr>
            <w:rStyle w:val="Hyperlink"/>
          </w:rPr>
          <w:t>Australian Industry Group</w:t>
        </w:r>
      </w:hyperlink>
    </w:p>
  </w:footnote>
  <w:footnote w:id="247">
    <w:p w14:paraId="1FC1FC3B" w14:textId="5835365F" w:rsidR="00301A59" w:rsidRDefault="00301A59">
      <w:pPr>
        <w:pStyle w:val="FootnoteText"/>
      </w:pPr>
      <w:r>
        <w:rPr>
          <w:rStyle w:val="FootnoteReference"/>
        </w:rPr>
        <w:footnoteRef/>
      </w:r>
      <w:r>
        <w:t xml:space="preserve"> </w:t>
      </w:r>
      <w:hyperlink r:id="rId328" w:history="1">
        <w:r w:rsidRPr="00976A97">
          <w:rPr>
            <w:rStyle w:val="Hyperlink"/>
          </w:rPr>
          <w:t>The Chamber of Minerals and Energy of Western Australia</w:t>
        </w:r>
      </w:hyperlink>
    </w:p>
  </w:footnote>
  <w:footnote w:id="248">
    <w:p w14:paraId="32AEFAB3" w14:textId="417AC9CF" w:rsidR="00A52818" w:rsidRDefault="00A52818">
      <w:pPr>
        <w:pStyle w:val="FootnoteText"/>
      </w:pPr>
      <w:r>
        <w:rPr>
          <w:rStyle w:val="FootnoteReference"/>
        </w:rPr>
        <w:footnoteRef/>
      </w:r>
      <w:r>
        <w:t xml:space="preserve"> </w:t>
      </w:r>
      <w:r w:rsidRPr="00A52818">
        <w:t>Anonymous (</w:t>
      </w:r>
      <w:r w:rsidR="006E64BA">
        <w:t>p</w:t>
      </w:r>
      <w:r w:rsidRPr="00A52818">
        <w:t>ermission not granted for publication)</w:t>
      </w:r>
    </w:p>
  </w:footnote>
  <w:footnote w:id="249">
    <w:p w14:paraId="506DDAF1" w14:textId="6E1D956A" w:rsidR="00402216" w:rsidRDefault="00402216">
      <w:pPr>
        <w:pStyle w:val="FootnoteText"/>
      </w:pPr>
      <w:r>
        <w:rPr>
          <w:rStyle w:val="FootnoteReference"/>
        </w:rPr>
        <w:footnoteRef/>
      </w:r>
      <w:r>
        <w:t xml:space="preserve"> </w:t>
      </w:r>
      <w:hyperlink r:id="rId329" w:history="1">
        <w:r w:rsidRPr="00C56C2C">
          <w:rPr>
            <w:rStyle w:val="Hyperlink"/>
          </w:rPr>
          <w:t>Minerals Council of Australia</w:t>
        </w:r>
      </w:hyperlink>
    </w:p>
  </w:footnote>
  <w:footnote w:id="250">
    <w:p w14:paraId="0E3EA7F3" w14:textId="3AE9E781" w:rsidR="00007418" w:rsidRDefault="00007418">
      <w:pPr>
        <w:pStyle w:val="FootnoteText"/>
      </w:pPr>
      <w:r>
        <w:rPr>
          <w:rStyle w:val="FootnoteReference"/>
        </w:rPr>
        <w:footnoteRef/>
      </w:r>
      <w:r>
        <w:t xml:space="preserve"> </w:t>
      </w:r>
      <w:hyperlink r:id="rId330" w:history="1">
        <w:r w:rsidRPr="007424F4">
          <w:rPr>
            <w:rStyle w:val="Hyperlink"/>
          </w:rPr>
          <w:t>Australian Industry Gr</w:t>
        </w:r>
        <w:bookmarkStart w:id="490" w:name="_Hlt209513584"/>
        <w:bookmarkStart w:id="491" w:name="_Hlt209513585"/>
        <w:r w:rsidRPr="007424F4">
          <w:rPr>
            <w:rStyle w:val="Hyperlink"/>
          </w:rPr>
          <w:t>o</w:t>
        </w:r>
        <w:bookmarkEnd w:id="490"/>
        <w:bookmarkEnd w:id="491"/>
        <w:r w:rsidRPr="007424F4">
          <w:rPr>
            <w:rStyle w:val="Hyperlink"/>
          </w:rPr>
          <w:t>up</w:t>
        </w:r>
      </w:hyperlink>
    </w:p>
  </w:footnote>
  <w:footnote w:id="251">
    <w:p w14:paraId="6DE15DF3" w14:textId="1E9CE3D1" w:rsidR="003925EE" w:rsidRDefault="003925EE">
      <w:pPr>
        <w:pStyle w:val="FootnoteText"/>
      </w:pPr>
      <w:r>
        <w:rPr>
          <w:rStyle w:val="FootnoteReference"/>
        </w:rPr>
        <w:footnoteRef/>
      </w:r>
      <w:r>
        <w:t xml:space="preserve"> </w:t>
      </w:r>
      <w:r w:rsidRPr="003925EE">
        <w:t>Anonymous (</w:t>
      </w:r>
      <w:r w:rsidR="006E64BA">
        <w:t>p</w:t>
      </w:r>
      <w:r w:rsidRPr="003925EE">
        <w:t>ermission not granted for publication)</w:t>
      </w:r>
    </w:p>
  </w:footnote>
  <w:footnote w:id="252">
    <w:p w14:paraId="37B9F426" w14:textId="01DFCBB8" w:rsidR="007A0CDE" w:rsidRDefault="007A0CDE">
      <w:pPr>
        <w:pStyle w:val="FootnoteText"/>
      </w:pPr>
      <w:r>
        <w:rPr>
          <w:rStyle w:val="FootnoteReference"/>
        </w:rPr>
        <w:footnoteRef/>
      </w:r>
      <w:r>
        <w:t xml:space="preserve"> </w:t>
      </w:r>
      <w:hyperlink r:id="rId331" w:history="1">
        <w:r w:rsidRPr="004E4C87">
          <w:rPr>
            <w:rStyle w:val="Hyperlink"/>
          </w:rPr>
          <w:t>Robyn Schofield</w:t>
        </w:r>
      </w:hyperlink>
    </w:p>
  </w:footnote>
  <w:footnote w:id="253">
    <w:p w14:paraId="02C09D69" w14:textId="77777777" w:rsidR="00143687" w:rsidRDefault="00143687" w:rsidP="00143687">
      <w:pPr>
        <w:pStyle w:val="FootnoteText"/>
      </w:pPr>
      <w:r>
        <w:rPr>
          <w:rStyle w:val="FootnoteReference"/>
        </w:rPr>
        <w:footnoteRef/>
      </w:r>
      <w:r>
        <w:t xml:space="preserve"> The evaluation report for RCS can be accessed </w:t>
      </w:r>
      <w:hyperlink r:id="rId332" w:history="1">
        <w:r w:rsidRPr="003B3345">
          <w:rPr>
            <w:rStyle w:val="Hyperlink"/>
          </w:rPr>
          <w:t>here</w:t>
        </w:r>
      </w:hyperlink>
      <w:r>
        <w:t>.</w:t>
      </w:r>
    </w:p>
  </w:footnote>
  <w:footnote w:id="254">
    <w:p w14:paraId="0577916C" w14:textId="290E92DF" w:rsidR="00F11C62" w:rsidRDefault="00F11C62">
      <w:pPr>
        <w:pStyle w:val="FootnoteText"/>
      </w:pPr>
      <w:r w:rsidRPr="009C413A">
        <w:rPr>
          <w:rStyle w:val="FootnoteReference"/>
          <w:sz w:val="20"/>
          <w:szCs w:val="20"/>
        </w:rPr>
        <w:footnoteRef/>
      </w:r>
      <w:r w:rsidRPr="009C413A">
        <w:rPr>
          <w:sz w:val="20"/>
          <w:szCs w:val="20"/>
        </w:rPr>
        <w:t xml:space="preserve"> </w:t>
      </w:r>
      <w:r w:rsidRPr="009C413A">
        <w:rPr>
          <w:szCs w:val="24"/>
        </w:rPr>
        <w:t>Benefits have been attributed to the mining industry on a pro-rata basis, based on the relative share of workers affected by the proposed WEL for RCS. The mining industry comprises approximately 19 per cent of affected workers, and therefore, 19 per cent of total RCS benefits have been attributed to the mining industry.</w:t>
      </w:r>
    </w:p>
  </w:footnote>
  <w:footnote w:id="255">
    <w:p w14:paraId="03CBC422" w14:textId="77777777" w:rsidR="00183D60" w:rsidRPr="0075259E" w:rsidRDefault="00183D60" w:rsidP="00183D60">
      <w:pPr>
        <w:pStyle w:val="FootnoteText"/>
        <w:rPr>
          <w:sz w:val="16"/>
          <w:szCs w:val="16"/>
        </w:rPr>
      </w:pPr>
      <w:r w:rsidRPr="000C7ED5">
        <w:rPr>
          <w:rStyle w:val="FootnoteReference"/>
        </w:rPr>
        <w:footnoteRef/>
      </w:r>
      <w:r w:rsidRPr="000C7ED5">
        <w:t xml:space="preserve"> </w:t>
      </w:r>
      <w:r>
        <w:t xml:space="preserve">Submissions from </w:t>
      </w:r>
      <w:r w:rsidRPr="000A426A">
        <w:t>Anonymous (</w:t>
      </w:r>
      <w:r>
        <w:t>p</w:t>
      </w:r>
      <w:r w:rsidRPr="000A426A">
        <w:t xml:space="preserve">ermission not granted for publication) </w:t>
      </w:r>
      <w:r>
        <w:t xml:space="preserve">and </w:t>
      </w:r>
      <w:hyperlink r:id="rId333" w:history="1">
        <w:r w:rsidRPr="000C7ED5">
          <w:rPr>
            <w:rStyle w:val="Hyperlink"/>
          </w:rPr>
          <w:t>Master Electricians Australia</w:t>
        </w:r>
      </w:hyperlink>
    </w:p>
  </w:footnote>
  <w:footnote w:id="256">
    <w:p w14:paraId="46CDA918" w14:textId="77777777" w:rsidR="000229E6" w:rsidRDefault="000229E6" w:rsidP="000229E6">
      <w:pPr>
        <w:pStyle w:val="FootnoteText"/>
      </w:pPr>
      <w:r>
        <w:rPr>
          <w:rStyle w:val="FootnoteReference"/>
        </w:rPr>
        <w:footnoteRef/>
      </w:r>
      <w:r>
        <w:t xml:space="preserve"> </w:t>
      </w:r>
      <w:hyperlink r:id="rId334" w:history="1">
        <w:r w:rsidRPr="00054B8E">
          <w:rPr>
            <w:rStyle w:val="Hyperlink"/>
          </w:rPr>
          <w:t>Master Electricians Australia</w:t>
        </w:r>
      </w:hyperlink>
    </w:p>
  </w:footnote>
  <w:footnote w:id="257">
    <w:p w14:paraId="433C891B" w14:textId="03DC85B2" w:rsidR="00691A9B" w:rsidRPr="000C7ED5" w:rsidRDefault="00691A9B">
      <w:pPr>
        <w:pStyle w:val="FootnoteText"/>
      </w:pPr>
      <w:r w:rsidRPr="000C7ED5">
        <w:rPr>
          <w:rStyle w:val="FootnoteReference"/>
        </w:rPr>
        <w:footnoteRef/>
      </w:r>
      <w:r w:rsidRPr="000C7ED5">
        <w:t xml:space="preserve"> </w:t>
      </w:r>
      <w:r w:rsidR="000736C5">
        <w:t xml:space="preserve">Submissions from </w:t>
      </w:r>
      <w:r w:rsidR="000736C5" w:rsidRPr="000736C5">
        <w:t>Anonymous (</w:t>
      </w:r>
      <w:r w:rsidR="00F63E36">
        <w:t>p</w:t>
      </w:r>
      <w:r w:rsidR="000736C5" w:rsidRPr="000736C5">
        <w:t xml:space="preserve">ermission not granted for publication) </w:t>
      </w:r>
      <w:r w:rsidR="000736C5">
        <w:t xml:space="preserve">and </w:t>
      </w:r>
      <w:hyperlink r:id="rId335" w:history="1">
        <w:r w:rsidRPr="000C7ED5">
          <w:rPr>
            <w:rStyle w:val="Hyperlink"/>
          </w:rPr>
          <w:t xml:space="preserve">Cancer Council </w:t>
        </w:r>
        <w:r w:rsidR="001E3D43" w:rsidRPr="000C7ED5">
          <w:rPr>
            <w:rStyle w:val="Hyperlink"/>
          </w:rPr>
          <w:t>Australia</w:t>
        </w:r>
      </w:hyperlink>
    </w:p>
  </w:footnote>
  <w:footnote w:id="258">
    <w:p w14:paraId="6E224820" w14:textId="63BE8F2F" w:rsidR="00900BF7" w:rsidRDefault="00900BF7">
      <w:pPr>
        <w:pStyle w:val="FootnoteText"/>
      </w:pPr>
      <w:r>
        <w:rPr>
          <w:rStyle w:val="FootnoteReference"/>
        </w:rPr>
        <w:footnoteRef/>
      </w:r>
      <w:r>
        <w:t xml:space="preserve"> </w:t>
      </w:r>
      <w:r w:rsidRPr="00900BF7">
        <w:t>Anonymous (</w:t>
      </w:r>
      <w:r w:rsidR="00A0441E">
        <w:t>p</w:t>
      </w:r>
      <w:r w:rsidRPr="00900BF7">
        <w:t>ermission not granted for publication)</w:t>
      </w:r>
    </w:p>
  </w:footnote>
  <w:footnote w:id="259">
    <w:p w14:paraId="42B268DD" w14:textId="733AAFDC" w:rsidR="0075259E" w:rsidRDefault="0075259E">
      <w:pPr>
        <w:pStyle w:val="FootnoteText"/>
      </w:pPr>
      <w:r w:rsidRPr="00265B18">
        <w:rPr>
          <w:rStyle w:val="FootnoteReference"/>
        </w:rPr>
        <w:footnoteRef/>
      </w:r>
      <w:r w:rsidRPr="00265B18">
        <w:t xml:space="preserve"> </w:t>
      </w:r>
      <w:hyperlink r:id="rId336" w:history="1">
        <w:r w:rsidR="00C001B1" w:rsidRPr="00265B18">
          <w:rPr>
            <w:rStyle w:val="Hyperlink"/>
          </w:rPr>
          <w:t>Master Electricians Australia</w:t>
        </w:r>
      </w:hyperlink>
    </w:p>
  </w:footnote>
  <w:footnote w:id="260">
    <w:p w14:paraId="37C58E7F" w14:textId="2087FAC2" w:rsidR="00425D55" w:rsidRDefault="00425D55">
      <w:pPr>
        <w:pStyle w:val="FootnoteText"/>
      </w:pPr>
      <w:r>
        <w:rPr>
          <w:rStyle w:val="FootnoteReference"/>
        </w:rPr>
        <w:footnoteRef/>
      </w:r>
      <w:r>
        <w:t xml:space="preserve"> </w:t>
      </w:r>
      <w:r w:rsidRPr="00425D55">
        <w:t>Anonymous (</w:t>
      </w:r>
      <w:r w:rsidR="00A0441E">
        <w:t>p</w:t>
      </w:r>
      <w:r w:rsidRPr="00425D55">
        <w:t>ermission not granted for publication)</w:t>
      </w:r>
    </w:p>
  </w:footnote>
  <w:footnote w:id="261">
    <w:p w14:paraId="068976CF" w14:textId="5EDE940C" w:rsidR="00216546" w:rsidRDefault="00216546">
      <w:pPr>
        <w:pStyle w:val="FootnoteText"/>
      </w:pPr>
      <w:r>
        <w:rPr>
          <w:rStyle w:val="FootnoteReference"/>
        </w:rPr>
        <w:footnoteRef/>
      </w:r>
      <w:r>
        <w:t xml:space="preserve"> </w:t>
      </w:r>
      <w:r w:rsidR="00FA5F07" w:rsidRPr="002D1BF0">
        <w:t>This analysis applies the standardised costs for small businesses affected by RCS, given limited industry-specific reliable cost data was provided for small mining businesses. Industry-specific costs apply only to medium and large businesses, while standardised costs apply only to small businesses. The average costs per business size will reflect these different sources of data.</w:t>
      </w:r>
    </w:p>
  </w:footnote>
  <w:footnote w:id="262">
    <w:p w14:paraId="1C0056D9" w14:textId="5A360E2B" w:rsidR="00456023" w:rsidRPr="00C0111E" w:rsidRDefault="00456023">
      <w:pPr>
        <w:pStyle w:val="FootnoteText"/>
      </w:pPr>
      <w:r w:rsidRPr="00C0111E">
        <w:rPr>
          <w:rStyle w:val="FootnoteReference"/>
        </w:rPr>
        <w:footnoteRef/>
      </w:r>
      <w:r w:rsidRPr="00C0111E">
        <w:t xml:space="preserve"> The estimated number of future RCS businesses assumes that recently regulatory changes for silica-containing products will not impact the number of businesses where workers are exposed to RCS.</w:t>
      </w:r>
    </w:p>
  </w:footnote>
  <w:footnote w:id="263">
    <w:p w14:paraId="4D939F47" w14:textId="77777777" w:rsidR="00147C0B" w:rsidRPr="00C0111E" w:rsidRDefault="00147C0B" w:rsidP="0079100C">
      <w:pPr>
        <w:pStyle w:val="FootnoteText"/>
        <w:rPr>
          <w:sz w:val="16"/>
          <w:szCs w:val="16"/>
        </w:rPr>
      </w:pPr>
      <w:r w:rsidRPr="00C0111E">
        <w:rPr>
          <w:rStyle w:val="FootnoteReference"/>
        </w:rPr>
        <w:footnoteRef/>
      </w:r>
      <w:r w:rsidRPr="00C0111E">
        <w:t xml:space="preserve"> This analysis applies the standardised costs for small businesses affected by RCS, given no industry-specific cost data was provided for small mining businesses.</w:t>
      </w:r>
    </w:p>
  </w:footnote>
  <w:footnote w:id="264">
    <w:p w14:paraId="00F55259" w14:textId="74B552F2" w:rsidR="00857C77" w:rsidRPr="00C0111E" w:rsidRDefault="00857C77">
      <w:pPr>
        <w:pStyle w:val="FootnoteText"/>
        <w:rPr>
          <w:sz w:val="16"/>
          <w:szCs w:val="16"/>
        </w:rPr>
      </w:pPr>
      <w:r w:rsidRPr="00C0111E">
        <w:rPr>
          <w:rStyle w:val="FootnoteReference"/>
        </w:rPr>
        <w:footnoteRef/>
      </w:r>
      <w:r w:rsidRPr="00C0111E">
        <w:t xml:space="preserve"> </w:t>
      </w:r>
      <w:r w:rsidR="00424F8F" w:rsidRPr="00C0111E">
        <w:t xml:space="preserve">Submissions </w:t>
      </w:r>
      <w:r w:rsidR="00787FA1" w:rsidRPr="00C0111E">
        <w:t>from</w:t>
      </w:r>
      <w:r w:rsidR="00424F8F" w:rsidRPr="00C0111E">
        <w:t xml:space="preserve"> </w:t>
      </w:r>
      <w:r w:rsidR="002A5894" w:rsidRPr="00C0111E">
        <w:t>Anonymous (</w:t>
      </w:r>
      <w:r w:rsidR="001F48A8">
        <w:t>p</w:t>
      </w:r>
      <w:r w:rsidR="002A5894" w:rsidRPr="00C0111E">
        <w:t xml:space="preserve">ermission not granted for publication), </w:t>
      </w:r>
      <w:hyperlink r:id="rId337" w:history="1">
        <w:r w:rsidR="00A41C44" w:rsidRPr="00C0111E">
          <w:rPr>
            <w:rStyle w:val="Hyperlink"/>
          </w:rPr>
          <w:t>Queens</w:t>
        </w:r>
        <w:r w:rsidR="0054734B" w:rsidRPr="00C0111E">
          <w:rPr>
            <w:rStyle w:val="Hyperlink"/>
          </w:rPr>
          <w:t>land Nurses and Midwives</w:t>
        </w:r>
        <w:r w:rsidR="00AE7F29" w:rsidRPr="00C0111E">
          <w:rPr>
            <w:rStyle w:val="Hyperlink"/>
          </w:rPr>
          <w:t>’</w:t>
        </w:r>
        <w:r w:rsidR="0054734B" w:rsidRPr="00C0111E">
          <w:rPr>
            <w:rStyle w:val="Hyperlink"/>
          </w:rPr>
          <w:t xml:space="preserve"> Union</w:t>
        </w:r>
      </w:hyperlink>
      <w:r w:rsidR="00587527" w:rsidRPr="00C0111E">
        <w:t>,</w:t>
      </w:r>
      <w:r w:rsidR="000228B2" w:rsidRPr="00C0111E">
        <w:t xml:space="preserve"> Anonymous (</w:t>
      </w:r>
      <w:r w:rsidR="001F48A8">
        <w:t>p</w:t>
      </w:r>
      <w:r w:rsidR="000228B2" w:rsidRPr="00C0111E">
        <w:t>ermission not granted for publication),</w:t>
      </w:r>
      <w:r w:rsidR="00587527" w:rsidRPr="00C0111E">
        <w:t xml:space="preserve"> </w:t>
      </w:r>
      <w:hyperlink r:id="rId338" w:history="1">
        <w:r w:rsidR="00587527" w:rsidRPr="00C0111E">
          <w:rPr>
            <w:rStyle w:val="Hyperlink"/>
          </w:rPr>
          <w:t>Master Electricians Australia</w:t>
        </w:r>
      </w:hyperlink>
      <w:r w:rsidR="00587527" w:rsidRPr="00C0111E">
        <w:t xml:space="preserve">, </w:t>
      </w:r>
      <w:hyperlink r:id="rId339" w:history="1">
        <w:r w:rsidR="00587527" w:rsidRPr="00C0111E">
          <w:rPr>
            <w:rStyle w:val="Hyperlink"/>
          </w:rPr>
          <w:t>Maurice Blackburn Lawyers</w:t>
        </w:r>
      </w:hyperlink>
      <w:r w:rsidR="00587527" w:rsidRPr="00C0111E">
        <w:t xml:space="preserve">, </w:t>
      </w:r>
      <w:hyperlink r:id="rId340" w:history="1">
        <w:r w:rsidR="00587527" w:rsidRPr="00C0111E">
          <w:rPr>
            <w:rStyle w:val="Hyperlink"/>
          </w:rPr>
          <w:t>Anonymous</w:t>
        </w:r>
      </w:hyperlink>
      <w:r w:rsidR="00587527" w:rsidRPr="00C0111E">
        <w:t xml:space="preserve">, </w:t>
      </w:r>
      <w:r w:rsidR="002622D5" w:rsidRPr="00C0111E">
        <w:t>Anonymous (</w:t>
      </w:r>
      <w:r w:rsidR="001F48A8">
        <w:t>p</w:t>
      </w:r>
      <w:r w:rsidR="002622D5" w:rsidRPr="00C0111E">
        <w:t xml:space="preserve">ermission not granted for publication), </w:t>
      </w:r>
      <w:r w:rsidR="00343299" w:rsidRPr="00C0111E">
        <w:t>Anonymous (</w:t>
      </w:r>
      <w:r w:rsidR="001F48A8">
        <w:t>p</w:t>
      </w:r>
      <w:r w:rsidR="00343299" w:rsidRPr="00C0111E">
        <w:t xml:space="preserve">ermission not granted for publication), </w:t>
      </w:r>
      <w:hyperlink r:id="rId341" w:history="1">
        <w:r w:rsidR="00587527" w:rsidRPr="00C0111E">
          <w:rPr>
            <w:rStyle w:val="Hyperlink"/>
          </w:rPr>
          <w:t xml:space="preserve">Cancer Council </w:t>
        </w:r>
        <w:r w:rsidR="00B53707" w:rsidRPr="00C0111E">
          <w:rPr>
            <w:rStyle w:val="Hyperlink"/>
          </w:rPr>
          <w:t>Australia</w:t>
        </w:r>
      </w:hyperlink>
      <w:r w:rsidR="00587527" w:rsidRPr="00C0111E">
        <w:t xml:space="preserve">, </w:t>
      </w:r>
      <w:hyperlink r:id="rId342" w:history="1">
        <w:r w:rsidR="00587527" w:rsidRPr="00C0111E">
          <w:rPr>
            <w:rStyle w:val="Hyperlink"/>
          </w:rPr>
          <w:t>Australian Council of Trade Unions</w:t>
        </w:r>
      </w:hyperlink>
      <w:r w:rsidR="00587527" w:rsidRPr="00C0111E">
        <w:t xml:space="preserve">, </w:t>
      </w:r>
      <w:r w:rsidR="00787FA1" w:rsidRPr="00C0111E">
        <w:t xml:space="preserve">and </w:t>
      </w:r>
      <w:hyperlink r:id="rId343" w:history="1">
        <w:r w:rsidR="002235C9" w:rsidRPr="00C0111E">
          <w:rPr>
            <w:rStyle w:val="Hyperlink"/>
          </w:rPr>
          <w:t>Victorian Trades Hall Council</w:t>
        </w:r>
      </w:hyperlink>
    </w:p>
  </w:footnote>
  <w:footnote w:id="265">
    <w:p w14:paraId="1BB1F1EA" w14:textId="783EB574" w:rsidR="00512524" w:rsidRPr="00C0111E" w:rsidRDefault="00512524">
      <w:pPr>
        <w:pStyle w:val="FootnoteText"/>
        <w:rPr>
          <w:sz w:val="16"/>
          <w:szCs w:val="16"/>
        </w:rPr>
      </w:pPr>
      <w:r w:rsidRPr="00C0111E">
        <w:rPr>
          <w:rStyle w:val="FootnoteReference"/>
        </w:rPr>
        <w:footnoteRef/>
      </w:r>
      <w:r w:rsidRPr="00C0111E">
        <w:t xml:space="preserve"> </w:t>
      </w:r>
      <w:r w:rsidR="00424F8F" w:rsidRPr="00C0111E">
        <w:t xml:space="preserve">Submissions </w:t>
      </w:r>
      <w:r w:rsidR="00787FA1" w:rsidRPr="00C0111E">
        <w:t>from</w:t>
      </w:r>
      <w:r w:rsidR="00424F8F" w:rsidRPr="00C0111E">
        <w:t xml:space="preserve"> </w:t>
      </w:r>
      <w:hyperlink r:id="rId344" w:history="1">
        <w:r w:rsidRPr="00C0111E">
          <w:rPr>
            <w:rStyle w:val="Hyperlink"/>
          </w:rPr>
          <w:t>Anonymous</w:t>
        </w:r>
      </w:hyperlink>
      <w:r w:rsidR="00733803" w:rsidRPr="00C0111E">
        <w:t>, Anonymous (</w:t>
      </w:r>
      <w:r w:rsidR="001F48A8">
        <w:t>p</w:t>
      </w:r>
      <w:r w:rsidR="00733803" w:rsidRPr="00C0111E">
        <w:t xml:space="preserve">ermission not granted for publication) </w:t>
      </w:r>
      <w:r w:rsidR="00424F8F" w:rsidRPr="00C0111E">
        <w:t xml:space="preserve">and </w:t>
      </w:r>
      <w:hyperlink r:id="rId345" w:history="1">
        <w:r w:rsidR="00424F8F" w:rsidRPr="00C0111E">
          <w:rPr>
            <w:rStyle w:val="Hyperlink"/>
          </w:rPr>
          <w:t xml:space="preserve">Cancer Council </w:t>
        </w:r>
        <w:r w:rsidR="00E249B9" w:rsidRPr="00C0111E">
          <w:rPr>
            <w:rStyle w:val="Hyperlink"/>
          </w:rPr>
          <w:t>Australia</w:t>
        </w:r>
      </w:hyperlink>
    </w:p>
  </w:footnote>
  <w:footnote w:id="266">
    <w:p w14:paraId="231B2E28" w14:textId="341CA9FD" w:rsidR="00136860" w:rsidRDefault="00136860">
      <w:pPr>
        <w:pStyle w:val="FootnoteText"/>
      </w:pPr>
      <w:r w:rsidRPr="00C0111E">
        <w:rPr>
          <w:rStyle w:val="FootnoteReference"/>
        </w:rPr>
        <w:footnoteRef/>
      </w:r>
      <w:r w:rsidRPr="00C0111E">
        <w:rPr>
          <w:vertAlign w:val="superscript"/>
        </w:rPr>
        <w:t xml:space="preserve"> </w:t>
      </w:r>
      <w:hyperlink r:id="rId346" w:history="1">
        <w:r w:rsidR="008172F0" w:rsidRPr="00C0111E">
          <w:rPr>
            <w:rStyle w:val="Hyperlink"/>
          </w:rPr>
          <w:t>Robyn Schofield</w:t>
        </w:r>
      </w:hyperlink>
    </w:p>
  </w:footnote>
  <w:footnote w:id="267">
    <w:p w14:paraId="58B084E4" w14:textId="755940AE" w:rsidR="00C0111E" w:rsidRDefault="00C0111E">
      <w:pPr>
        <w:pStyle w:val="FootnoteText"/>
      </w:pPr>
      <w:r>
        <w:rPr>
          <w:rStyle w:val="FootnoteReference"/>
        </w:rPr>
        <w:footnoteRef/>
      </w:r>
      <w:r>
        <w:t xml:space="preserve"> Submissions by </w:t>
      </w:r>
      <w:r w:rsidRPr="00C0111E">
        <w:t>Anonymous (</w:t>
      </w:r>
      <w:r w:rsidR="001F48A8">
        <w:t>p</w:t>
      </w:r>
      <w:r w:rsidRPr="00C0111E">
        <w:t>ermission not granted for publication)</w:t>
      </w:r>
      <w:r>
        <w:t xml:space="preserve"> and </w:t>
      </w:r>
      <w:r w:rsidRPr="00C0111E">
        <w:t>Anonymous (</w:t>
      </w:r>
      <w:r w:rsidR="001F48A8">
        <w:t>p</w:t>
      </w:r>
      <w:r w:rsidRPr="00C0111E">
        <w:t>ermission not granted for publication)</w:t>
      </w:r>
    </w:p>
  </w:footnote>
  <w:footnote w:id="268">
    <w:p w14:paraId="59F8390E" w14:textId="190FEF8B" w:rsidR="003B05A0" w:rsidRDefault="003B05A0">
      <w:pPr>
        <w:pStyle w:val="FootnoteText"/>
      </w:pPr>
      <w:r>
        <w:rPr>
          <w:rStyle w:val="FootnoteReference"/>
        </w:rPr>
        <w:footnoteRef/>
      </w:r>
      <w:r>
        <w:t xml:space="preserve"> </w:t>
      </w:r>
      <w:r w:rsidRPr="003B05A0">
        <w:t>Anonymous (</w:t>
      </w:r>
      <w:r w:rsidR="0080520F">
        <w:t>p</w:t>
      </w:r>
      <w:r w:rsidRPr="003B05A0">
        <w:t>ermission not granted for publication)</w:t>
      </w:r>
    </w:p>
  </w:footnote>
  <w:footnote w:id="269">
    <w:p w14:paraId="0E9A1691" w14:textId="7F754DE3" w:rsidR="00942672" w:rsidRPr="003B05A0" w:rsidRDefault="00942672">
      <w:pPr>
        <w:pStyle w:val="FootnoteText"/>
      </w:pPr>
      <w:r w:rsidRPr="003B05A0">
        <w:rPr>
          <w:rStyle w:val="FootnoteReference"/>
        </w:rPr>
        <w:footnoteRef/>
      </w:r>
      <w:r w:rsidRPr="003B05A0">
        <w:t xml:space="preserve"> </w:t>
      </w:r>
      <w:r w:rsidR="00384247" w:rsidRPr="003B05A0">
        <w:t xml:space="preserve">Submissions from </w:t>
      </w:r>
      <w:r w:rsidR="00866FAC" w:rsidRPr="00866FAC">
        <w:t>Anonymous (</w:t>
      </w:r>
      <w:r w:rsidR="0080520F">
        <w:t>p</w:t>
      </w:r>
      <w:r w:rsidR="00866FAC" w:rsidRPr="00866FAC">
        <w:t>ermission not granted for publication)</w:t>
      </w:r>
      <w:r w:rsidR="00866FAC">
        <w:t xml:space="preserve">, </w:t>
      </w:r>
      <w:hyperlink r:id="rId347" w:history="1">
        <w:r w:rsidRPr="003B05A0">
          <w:rPr>
            <w:rStyle w:val="Hyperlink"/>
          </w:rPr>
          <w:t>Accord Australasia</w:t>
        </w:r>
      </w:hyperlink>
      <w:r w:rsidR="00BD68F6" w:rsidRPr="003B05A0">
        <w:t xml:space="preserve">, </w:t>
      </w:r>
      <w:hyperlink r:id="rId348" w:history="1">
        <w:r w:rsidR="00BD68F6" w:rsidRPr="003B05A0">
          <w:rPr>
            <w:rStyle w:val="Hyperlink"/>
          </w:rPr>
          <w:t>Housing Industry Association</w:t>
        </w:r>
      </w:hyperlink>
      <w:r w:rsidR="00BD68F6" w:rsidRPr="003B05A0">
        <w:t xml:space="preserve">, </w:t>
      </w:r>
      <w:hyperlink r:id="rId349" w:history="1">
        <w:r w:rsidR="00BD68F6" w:rsidRPr="003B05A0">
          <w:rPr>
            <w:rStyle w:val="Hyperlink"/>
          </w:rPr>
          <w:t>Australian Chamber of Commerce and Industry</w:t>
        </w:r>
      </w:hyperlink>
      <w:r w:rsidR="00BD68F6" w:rsidRPr="003B05A0">
        <w:t xml:space="preserve">, </w:t>
      </w:r>
      <w:hyperlink r:id="rId350" w:history="1">
        <w:r w:rsidR="00976A97" w:rsidRPr="003B05A0">
          <w:rPr>
            <w:rStyle w:val="Hyperlink"/>
          </w:rPr>
          <w:t xml:space="preserve">The </w:t>
        </w:r>
        <w:r w:rsidR="00BD68F6" w:rsidRPr="003B05A0">
          <w:rPr>
            <w:rStyle w:val="Hyperlink"/>
          </w:rPr>
          <w:t>Chamber of Minerals and Energy of Western Australia</w:t>
        </w:r>
      </w:hyperlink>
      <w:r w:rsidR="004A4F17" w:rsidRPr="003B05A0">
        <w:t xml:space="preserve">, and </w:t>
      </w:r>
      <w:hyperlink r:id="rId351" w:history="1">
        <w:r w:rsidR="004A4F17" w:rsidRPr="003B05A0">
          <w:rPr>
            <w:rStyle w:val="Hyperlink"/>
          </w:rPr>
          <w:t>Australian Industry Group</w:t>
        </w:r>
      </w:hyperlink>
    </w:p>
  </w:footnote>
  <w:footnote w:id="270">
    <w:p w14:paraId="5D805C03" w14:textId="4AD87C7A" w:rsidR="00733E06" w:rsidRDefault="00733E06">
      <w:pPr>
        <w:pStyle w:val="FootnoteText"/>
      </w:pPr>
      <w:r>
        <w:rPr>
          <w:rStyle w:val="FootnoteReference"/>
        </w:rPr>
        <w:footnoteRef/>
      </w:r>
      <w:r>
        <w:t xml:space="preserve"> </w:t>
      </w:r>
      <w:r w:rsidR="008B5AC8" w:rsidRPr="008B5AC8">
        <w:t>Anonymous (</w:t>
      </w:r>
      <w:r w:rsidR="0080520F">
        <w:t>p</w:t>
      </w:r>
      <w:r w:rsidR="008B5AC8" w:rsidRPr="008B5AC8">
        <w:t>ermission not granted for publication</w:t>
      </w:r>
      <w:r w:rsidR="008B5AC8">
        <w:t>)</w:t>
      </w:r>
    </w:p>
  </w:footnote>
  <w:footnote w:id="271">
    <w:p w14:paraId="74C8AFD9" w14:textId="3BD8FBD1" w:rsidR="00C95632" w:rsidRPr="003B05A0" w:rsidRDefault="00C95632" w:rsidP="00C95632">
      <w:pPr>
        <w:pStyle w:val="FootnoteText"/>
      </w:pPr>
      <w:r w:rsidRPr="003B05A0">
        <w:rPr>
          <w:rStyle w:val="FootnoteReference"/>
        </w:rPr>
        <w:footnoteRef/>
      </w:r>
      <w:r w:rsidRPr="003B05A0">
        <w:t xml:space="preserve"> </w:t>
      </w:r>
      <w:r w:rsidR="00F40B45" w:rsidRPr="003B05A0">
        <w:t xml:space="preserve">Submissions from </w:t>
      </w:r>
      <w:r w:rsidR="008108E0" w:rsidRPr="008108E0">
        <w:t>Anonymous (</w:t>
      </w:r>
      <w:r w:rsidR="0080520F">
        <w:t>p</w:t>
      </w:r>
      <w:r w:rsidR="008108E0" w:rsidRPr="008108E0">
        <w:t>ermission not granted for publication</w:t>
      </w:r>
      <w:r w:rsidR="008108E0">
        <w:t xml:space="preserve">), </w:t>
      </w:r>
      <w:hyperlink r:id="rId352" w:history="1">
        <w:r w:rsidR="005D47FA" w:rsidRPr="003B05A0">
          <w:rPr>
            <w:rStyle w:val="Hyperlink"/>
          </w:rPr>
          <w:t xml:space="preserve">Department of Energy, Mines, Industry Regulation and Safety - </w:t>
        </w:r>
        <w:r w:rsidRPr="003B05A0">
          <w:rPr>
            <w:rStyle w:val="Hyperlink"/>
          </w:rPr>
          <w:t>WorkSafe Group (Western Australia)</w:t>
        </w:r>
      </w:hyperlink>
      <w:r w:rsidR="00F40B45" w:rsidRPr="003B05A0">
        <w:t xml:space="preserve">, and </w:t>
      </w:r>
      <w:hyperlink r:id="rId353" w:history="1">
        <w:r w:rsidR="00F40B45" w:rsidRPr="003B05A0">
          <w:rPr>
            <w:rStyle w:val="Hyperlink"/>
          </w:rPr>
          <w:t>Construction Material Processors Association</w:t>
        </w:r>
      </w:hyperlink>
    </w:p>
  </w:footnote>
  <w:footnote w:id="272">
    <w:p w14:paraId="47386243" w14:textId="4C26A96A" w:rsidR="00D13602" w:rsidRPr="003E755D" w:rsidRDefault="00D13602">
      <w:pPr>
        <w:pStyle w:val="FootnoteText"/>
      </w:pPr>
      <w:r w:rsidRPr="003E755D">
        <w:rPr>
          <w:rStyle w:val="FootnoteReference"/>
        </w:rPr>
        <w:footnoteRef/>
      </w:r>
      <w:r w:rsidRPr="003E755D">
        <w:t xml:space="preserve"> </w:t>
      </w:r>
      <w:r w:rsidR="00C7126B" w:rsidRPr="003E755D">
        <w:t xml:space="preserve">Submissions from </w:t>
      </w:r>
      <w:hyperlink r:id="rId354" w:history="1">
        <w:r w:rsidR="00267DE9" w:rsidRPr="003E755D">
          <w:rPr>
            <w:rStyle w:val="Hyperlink"/>
          </w:rPr>
          <w:t>Cement Concrete &amp; Aggregates Australia</w:t>
        </w:r>
      </w:hyperlink>
      <w:r w:rsidR="00C7126B" w:rsidRPr="003E755D">
        <w:t xml:space="preserve">, </w:t>
      </w:r>
      <w:hyperlink r:id="rId355" w:history="1">
        <w:r w:rsidR="00C7126B" w:rsidRPr="003E755D">
          <w:rPr>
            <w:rStyle w:val="Hyperlink"/>
          </w:rPr>
          <w:t>Metromix</w:t>
        </w:r>
      </w:hyperlink>
      <w:r w:rsidR="00C7126B" w:rsidRPr="003E755D">
        <w:t xml:space="preserve">, and </w:t>
      </w:r>
      <w:hyperlink r:id="rId356" w:history="1">
        <w:r w:rsidR="00C7126B" w:rsidRPr="003E755D">
          <w:rPr>
            <w:rStyle w:val="Hyperlink"/>
          </w:rPr>
          <w:t>Construction Material Processors Association</w:t>
        </w:r>
      </w:hyperlink>
    </w:p>
  </w:footnote>
  <w:footnote w:id="273">
    <w:p w14:paraId="3BEA1969" w14:textId="4EEEE77E" w:rsidR="00037BC1" w:rsidRDefault="00037BC1">
      <w:pPr>
        <w:pStyle w:val="FootnoteText"/>
      </w:pPr>
      <w:r>
        <w:rPr>
          <w:rStyle w:val="FootnoteReference"/>
        </w:rPr>
        <w:footnoteRef/>
      </w:r>
      <w:r>
        <w:t xml:space="preserve"> </w:t>
      </w:r>
      <w:r w:rsidR="003F2C42">
        <w:t xml:space="preserve">Submissions from </w:t>
      </w:r>
      <w:hyperlink r:id="rId357" w:history="1">
        <w:r w:rsidR="003F2C42" w:rsidRPr="00885854">
          <w:rPr>
            <w:rStyle w:val="Hyperlink"/>
          </w:rPr>
          <w:t>Anonymous</w:t>
        </w:r>
      </w:hyperlink>
      <w:r w:rsidR="003F2C42">
        <w:t xml:space="preserve">, </w:t>
      </w:r>
      <w:r w:rsidR="003F2C42" w:rsidRPr="003F2C42">
        <w:t>Anonymous (</w:t>
      </w:r>
      <w:r w:rsidR="0080520F">
        <w:t>p</w:t>
      </w:r>
      <w:r w:rsidR="003F2C42" w:rsidRPr="003F2C42">
        <w:t>ermission not granted for publication)</w:t>
      </w:r>
      <w:r w:rsidR="003F2C42">
        <w:t xml:space="preserve">, </w:t>
      </w:r>
      <w:hyperlink r:id="rId358" w:history="1">
        <w:r w:rsidR="008A65B1" w:rsidRPr="008A65B1">
          <w:rPr>
            <w:rStyle w:val="Hyperlink"/>
          </w:rPr>
          <w:t>Think Brick Australia, Concrete Masonry Association of Australia and Australian Roofing Tile Association</w:t>
        </w:r>
      </w:hyperlink>
      <w:r w:rsidR="008A65B1">
        <w:t xml:space="preserve">, and </w:t>
      </w:r>
      <w:r w:rsidR="008A65B1" w:rsidRPr="008A65B1">
        <w:t>Anonymous (</w:t>
      </w:r>
      <w:r w:rsidR="0080520F">
        <w:t>p</w:t>
      </w:r>
      <w:r w:rsidR="008A65B1" w:rsidRPr="008A65B1">
        <w:t>ermission not granted for publication)</w:t>
      </w:r>
    </w:p>
  </w:footnote>
  <w:footnote w:id="274">
    <w:p w14:paraId="4C20E3DD" w14:textId="144317A7" w:rsidR="00495ACB" w:rsidRPr="003E755D" w:rsidRDefault="00495ACB">
      <w:pPr>
        <w:pStyle w:val="FootnoteText"/>
      </w:pPr>
      <w:r w:rsidRPr="003E755D">
        <w:rPr>
          <w:rStyle w:val="FootnoteReference"/>
        </w:rPr>
        <w:footnoteRef/>
      </w:r>
      <w:r w:rsidRPr="003E755D">
        <w:t xml:space="preserve"> </w:t>
      </w:r>
      <w:r w:rsidR="00FB2E6F" w:rsidRPr="003E755D">
        <w:t xml:space="preserve">Submissions from </w:t>
      </w:r>
      <w:hyperlink r:id="rId359" w:history="1">
        <w:r w:rsidR="009013A1" w:rsidRPr="003E755D">
          <w:rPr>
            <w:rStyle w:val="Hyperlink"/>
          </w:rPr>
          <w:t>Department of Energy, Mines, Industr</w:t>
        </w:r>
        <w:r w:rsidR="00E067AE" w:rsidRPr="003E755D">
          <w:rPr>
            <w:rStyle w:val="Hyperlink"/>
          </w:rPr>
          <w:t>y</w:t>
        </w:r>
        <w:r w:rsidR="009013A1" w:rsidRPr="003E755D">
          <w:rPr>
            <w:rStyle w:val="Hyperlink"/>
          </w:rPr>
          <w:t xml:space="preserve"> Regulation and Safety – WorkSafe Group (Western Australia)</w:t>
        </w:r>
      </w:hyperlink>
      <w:r w:rsidR="00FB2E6F" w:rsidRPr="003E755D">
        <w:t xml:space="preserve">, </w:t>
      </w:r>
      <w:hyperlink r:id="rId360" w:history="1">
        <w:r w:rsidR="00FB2E6F" w:rsidRPr="003E755D">
          <w:rPr>
            <w:rStyle w:val="Hyperlink"/>
          </w:rPr>
          <w:t>Think Brick Australia, Concrete Masonry Association of Australia and Australian Roofing Tile Association</w:t>
        </w:r>
      </w:hyperlink>
      <w:r w:rsidR="00FB2E6F" w:rsidRPr="003E755D">
        <w:t xml:space="preserve">, </w:t>
      </w:r>
      <w:r w:rsidR="001002EF" w:rsidRPr="001002EF">
        <w:t>Anonymous (</w:t>
      </w:r>
      <w:r w:rsidR="00BC3EE8">
        <w:t>p</w:t>
      </w:r>
      <w:r w:rsidR="001002EF" w:rsidRPr="001002EF">
        <w:t>ermission not granted for publication)</w:t>
      </w:r>
      <w:r w:rsidR="008718EF">
        <w:t xml:space="preserve">, </w:t>
      </w:r>
      <w:r w:rsidR="008718EF" w:rsidRPr="008718EF">
        <w:t>Anonymous (</w:t>
      </w:r>
      <w:r w:rsidR="00BC3EE8">
        <w:t>p</w:t>
      </w:r>
      <w:r w:rsidR="008718EF" w:rsidRPr="008718EF">
        <w:t>ermission not granted for publication)</w:t>
      </w:r>
      <w:r w:rsidR="008718EF">
        <w:t xml:space="preserve">, </w:t>
      </w:r>
      <w:hyperlink r:id="rId361" w:history="1">
        <w:r w:rsidR="00FB2E6F" w:rsidRPr="003E755D">
          <w:rPr>
            <w:rStyle w:val="Hyperlink"/>
          </w:rPr>
          <w:t>Tetra Tech Coffey</w:t>
        </w:r>
      </w:hyperlink>
      <w:r w:rsidR="00FB2E6F" w:rsidRPr="003E755D">
        <w:t xml:space="preserve">, </w:t>
      </w:r>
      <w:hyperlink r:id="rId362" w:history="1">
        <w:r w:rsidR="00FB2E6F" w:rsidRPr="003E755D">
          <w:rPr>
            <w:rStyle w:val="Hyperlink"/>
          </w:rPr>
          <w:t>Housing Industry Association</w:t>
        </w:r>
      </w:hyperlink>
      <w:r w:rsidR="00484E66" w:rsidRPr="003E755D">
        <w:t xml:space="preserve">, </w:t>
      </w:r>
      <w:r w:rsidR="00847D9A" w:rsidRPr="00847D9A">
        <w:t>Anonymous (</w:t>
      </w:r>
      <w:r w:rsidR="00BC3EE8">
        <w:t>p</w:t>
      </w:r>
      <w:r w:rsidR="00847D9A" w:rsidRPr="00847D9A">
        <w:t>ermission not granted for publication)</w:t>
      </w:r>
      <w:r w:rsidR="00847D9A">
        <w:t xml:space="preserve">, </w:t>
      </w:r>
      <w:hyperlink r:id="rId363" w:history="1">
        <w:r w:rsidR="00B133D5" w:rsidRPr="003E755D">
          <w:rPr>
            <w:rStyle w:val="Hyperlink"/>
          </w:rPr>
          <w:t>Australian Chamber of Commerce and Industry</w:t>
        </w:r>
      </w:hyperlink>
      <w:r w:rsidR="008C6E46" w:rsidRPr="003E755D">
        <w:t xml:space="preserve">, </w:t>
      </w:r>
      <w:hyperlink r:id="rId364" w:history="1">
        <w:r w:rsidR="00976A97" w:rsidRPr="003E755D">
          <w:rPr>
            <w:rStyle w:val="Hyperlink"/>
          </w:rPr>
          <w:t xml:space="preserve">The </w:t>
        </w:r>
        <w:bookmarkStart w:id="569" w:name="_Hlt209514070"/>
        <w:bookmarkStart w:id="570" w:name="_Hlt209514071"/>
        <w:r w:rsidR="008C6E46" w:rsidRPr="003E755D">
          <w:rPr>
            <w:rStyle w:val="Hyperlink"/>
          </w:rPr>
          <w:t>Chamber of Minerals</w:t>
        </w:r>
        <w:bookmarkEnd w:id="569"/>
        <w:bookmarkEnd w:id="570"/>
        <w:r w:rsidR="008C6E46" w:rsidRPr="003E755D">
          <w:rPr>
            <w:rStyle w:val="Hyperlink"/>
          </w:rPr>
          <w:t xml:space="preserve"> and Energy of Western Australia</w:t>
        </w:r>
      </w:hyperlink>
      <w:r w:rsidR="008C6E46" w:rsidRPr="003E755D">
        <w:t xml:space="preserve">, </w:t>
      </w:r>
      <w:hyperlink r:id="rId365" w:history="1">
        <w:r w:rsidR="008C6E46" w:rsidRPr="003E755D">
          <w:rPr>
            <w:rStyle w:val="Hyperlink"/>
          </w:rPr>
          <w:t>Australian Industry Group</w:t>
        </w:r>
      </w:hyperlink>
      <w:r w:rsidR="008C6E46" w:rsidRPr="003E755D">
        <w:t xml:space="preserve">, </w:t>
      </w:r>
      <w:hyperlink r:id="rId366" w:history="1">
        <w:r w:rsidR="008C6E46" w:rsidRPr="003E755D">
          <w:rPr>
            <w:rStyle w:val="Hyperlink"/>
          </w:rPr>
          <w:t xml:space="preserve">Minerals Council </w:t>
        </w:r>
        <w:r w:rsidR="00C56C2C" w:rsidRPr="003E755D">
          <w:rPr>
            <w:rStyle w:val="Hyperlink"/>
          </w:rPr>
          <w:t xml:space="preserve">of </w:t>
        </w:r>
        <w:r w:rsidR="008C6E46" w:rsidRPr="003E755D">
          <w:rPr>
            <w:rStyle w:val="Hyperlink"/>
          </w:rPr>
          <w:t>Australia</w:t>
        </w:r>
      </w:hyperlink>
      <w:r w:rsidR="008C6E46" w:rsidRPr="003E755D">
        <w:t xml:space="preserve">, and </w:t>
      </w:r>
      <w:hyperlink r:id="rId367" w:history="1">
        <w:r w:rsidR="008C6E46" w:rsidRPr="003E755D">
          <w:rPr>
            <w:rStyle w:val="Hyperlink"/>
          </w:rPr>
          <w:t>Master Builders Australia</w:t>
        </w:r>
      </w:hyperlink>
    </w:p>
  </w:footnote>
  <w:footnote w:id="275">
    <w:p w14:paraId="60B8AADB" w14:textId="1BABA18C" w:rsidR="00530395" w:rsidRPr="007C6842" w:rsidRDefault="00530395">
      <w:pPr>
        <w:pStyle w:val="FootnoteText"/>
        <w:rPr>
          <w:sz w:val="16"/>
          <w:szCs w:val="16"/>
        </w:rPr>
      </w:pPr>
      <w:r w:rsidRPr="003E755D">
        <w:rPr>
          <w:rStyle w:val="FootnoteReference"/>
        </w:rPr>
        <w:footnoteRef/>
      </w:r>
      <w:r w:rsidRPr="003E755D">
        <w:t xml:space="preserve"> </w:t>
      </w:r>
      <w:r w:rsidR="00D72CED" w:rsidRPr="003E755D">
        <w:t xml:space="preserve">Submissions from </w:t>
      </w:r>
      <w:hyperlink r:id="rId368" w:history="1">
        <w:r w:rsidR="00DD72E1" w:rsidRPr="003E755D">
          <w:rPr>
            <w:rStyle w:val="Hyperlink"/>
          </w:rPr>
          <w:t>Department of Energy, Mines, Industry Regulation and Safety – WorkSafe Group (Western Australia)</w:t>
        </w:r>
      </w:hyperlink>
      <w:r w:rsidR="00D72CED" w:rsidRPr="003E755D">
        <w:t xml:space="preserve">, </w:t>
      </w:r>
      <w:r w:rsidR="00FC7D51" w:rsidRPr="00FC7D51">
        <w:t>Anonymous (</w:t>
      </w:r>
      <w:r w:rsidR="00DD4D60">
        <w:t>p</w:t>
      </w:r>
      <w:r w:rsidR="00FC7D51" w:rsidRPr="00FC7D51">
        <w:t>ermission not granted for publication</w:t>
      </w:r>
      <w:r w:rsidR="00BB7B0C">
        <w:t xml:space="preserve">), </w:t>
      </w:r>
      <w:hyperlink r:id="rId369" w:history="1">
        <w:r w:rsidR="00D72CED" w:rsidRPr="003E755D">
          <w:rPr>
            <w:rStyle w:val="Hyperlink"/>
          </w:rPr>
          <w:t>Housing Industry Association</w:t>
        </w:r>
      </w:hyperlink>
      <w:r w:rsidR="00D72CED" w:rsidRPr="003E755D">
        <w:t xml:space="preserve">, and </w:t>
      </w:r>
      <w:hyperlink r:id="rId370" w:history="1">
        <w:r w:rsidR="00B045E7" w:rsidRPr="003E755D">
          <w:rPr>
            <w:rStyle w:val="Hyperlink"/>
          </w:rPr>
          <w:t>Minerals Council</w:t>
        </w:r>
        <w:r w:rsidR="00C56C2C" w:rsidRPr="003E755D">
          <w:rPr>
            <w:rStyle w:val="Hyperlink"/>
          </w:rPr>
          <w:t xml:space="preserve"> of</w:t>
        </w:r>
        <w:r w:rsidR="00B045E7" w:rsidRPr="003E755D">
          <w:rPr>
            <w:rStyle w:val="Hyperlink"/>
          </w:rPr>
          <w:t xml:space="preserve"> Australia</w:t>
        </w:r>
      </w:hyperlink>
    </w:p>
  </w:footnote>
  <w:footnote w:id="276">
    <w:p w14:paraId="1548FBAE" w14:textId="22612CC3" w:rsidR="0066780C" w:rsidRPr="003E755D" w:rsidRDefault="0066780C">
      <w:pPr>
        <w:pStyle w:val="FootnoteText"/>
        <w:rPr>
          <w:sz w:val="16"/>
          <w:szCs w:val="16"/>
        </w:rPr>
      </w:pPr>
      <w:r w:rsidRPr="003E755D">
        <w:rPr>
          <w:rStyle w:val="FootnoteReference"/>
        </w:rPr>
        <w:footnoteRef/>
      </w:r>
      <w:r w:rsidRPr="003E755D">
        <w:t xml:space="preserve"> </w:t>
      </w:r>
      <w:r w:rsidR="0071249E">
        <w:t xml:space="preserve">Submissions from </w:t>
      </w:r>
      <w:hyperlink r:id="rId371" w:history="1">
        <w:r w:rsidR="003057C1" w:rsidRPr="003E755D">
          <w:rPr>
            <w:rStyle w:val="Hyperlink"/>
          </w:rPr>
          <w:t>Think Brick Australia, Concrete Masonry Association of Australia and Australian Roofing Tile Association</w:t>
        </w:r>
      </w:hyperlink>
      <w:r w:rsidR="0071249E">
        <w:rPr>
          <w:sz w:val="20"/>
          <w:szCs w:val="20"/>
        </w:rPr>
        <w:t xml:space="preserve"> </w:t>
      </w:r>
      <w:r w:rsidR="0071249E" w:rsidRPr="003E755D">
        <w:t>and Anonymous (</w:t>
      </w:r>
      <w:r w:rsidR="00DD4D60">
        <w:t>p</w:t>
      </w:r>
      <w:r w:rsidR="0071249E" w:rsidRPr="003E755D">
        <w:t>ermission not granted for publication)</w:t>
      </w:r>
    </w:p>
  </w:footnote>
  <w:footnote w:id="277">
    <w:p w14:paraId="02876590" w14:textId="6781284E" w:rsidR="002754E4" w:rsidRPr="00672426" w:rsidRDefault="002754E4">
      <w:pPr>
        <w:pStyle w:val="FootnoteText"/>
      </w:pPr>
      <w:r w:rsidRPr="00672426">
        <w:rPr>
          <w:rStyle w:val="FootnoteReference"/>
        </w:rPr>
        <w:footnoteRef/>
      </w:r>
      <w:r w:rsidRPr="00672426">
        <w:t xml:space="preserve"> </w:t>
      </w:r>
      <w:r w:rsidR="00B045E7" w:rsidRPr="00672426">
        <w:t xml:space="preserve">Submissions from </w:t>
      </w:r>
      <w:hyperlink r:id="rId372" w:history="1">
        <w:r w:rsidR="009B648A" w:rsidRPr="00672426">
          <w:rPr>
            <w:rStyle w:val="Hyperlink"/>
          </w:rPr>
          <w:t>Cement Concrete &amp; Aggregates Australia</w:t>
        </w:r>
      </w:hyperlink>
      <w:r w:rsidR="00B045E7" w:rsidRPr="00672426">
        <w:t xml:space="preserve">, </w:t>
      </w:r>
      <w:hyperlink r:id="rId373" w:history="1">
        <w:r w:rsidR="00B045E7" w:rsidRPr="00672426">
          <w:rPr>
            <w:rStyle w:val="Hyperlink"/>
          </w:rPr>
          <w:t>Metromix</w:t>
        </w:r>
      </w:hyperlink>
      <w:r w:rsidR="00B045E7" w:rsidRPr="00672426">
        <w:t xml:space="preserve">, </w:t>
      </w:r>
      <w:hyperlink r:id="rId374" w:history="1">
        <w:r w:rsidR="00B045E7" w:rsidRPr="00672426">
          <w:rPr>
            <w:rStyle w:val="Hyperlink"/>
          </w:rPr>
          <w:t>Australian Chamber of Commerce and Industry</w:t>
        </w:r>
      </w:hyperlink>
      <w:r w:rsidR="00875DA9" w:rsidRPr="00672426">
        <w:t xml:space="preserve">, </w:t>
      </w:r>
      <w:hyperlink r:id="rId375" w:history="1">
        <w:r w:rsidR="00875DA9" w:rsidRPr="00672426">
          <w:rPr>
            <w:rStyle w:val="Hyperlink"/>
          </w:rPr>
          <w:t>Australian Industry Group</w:t>
        </w:r>
      </w:hyperlink>
      <w:r w:rsidR="00875DA9" w:rsidRPr="00672426">
        <w:t xml:space="preserve">, and </w:t>
      </w:r>
      <w:hyperlink r:id="rId376" w:history="1">
        <w:r w:rsidR="00875DA9" w:rsidRPr="00672426">
          <w:rPr>
            <w:rStyle w:val="Hyperlink"/>
          </w:rPr>
          <w:t xml:space="preserve">Minerals Council </w:t>
        </w:r>
        <w:r w:rsidR="00C56C2C" w:rsidRPr="00672426">
          <w:rPr>
            <w:rStyle w:val="Hyperlink"/>
          </w:rPr>
          <w:t xml:space="preserve">of </w:t>
        </w:r>
        <w:r w:rsidR="00875DA9" w:rsidRPr="00672426">
          <w:rPr>
            <w:rStyle w:val="Hyperlink"/>
          </w:rPr>
          <w:t>Australia</w:t>
        </w:r>
      </w:hyperlink>
    </w:p>
  </w:footnote>
  <w:footnote w:id="278">
    <w:p w14:paraId="7796014D" w14:textId="4381ED52" w:rsidR="008A0A0D" w:rsidRPr="00672426" w:rsidRDefault="008A0A0D">
      <w:pPr>
        <w:pStyle w:val="FootnoteText"/>
        <w:rPr>
          <w:sz w:val="20"/>
          <w:szCs w:val="20"/>
        </w:rPr>
      </w:pPr>
      <w:r w:rsidRPr="00672426">
        <w:rPr>
          <w:rStyle w:val="FootnoteReference"/>
        </w:rPr>
        <w:footnoteRef/>
      </w:r>
      <w:r w:rsidRPr="00672426">
        <w:t xml:space="preserve"> </w:t>
      </w:r>
      <w:r w:rsidR="00C009BE" w:rsidRPr="00672426">
        <w:t>Submissions from</w:t>
      </w:r>
      <w:r w:rsidR="00854B6E">
        <w:t xml:space="preserve"> </w:t>
      </w:r>
      <w:r w:rsidR="00854B6E" w:rsidRPr="00854B6E">
        <w:t>Anonymous (</w:t>
      </w:r>
      <w:r w:rsidR="00DD4D60">
        <w:t>p</w:t>
      </w:r>
      <w:r w:rsidR="00854B6E" w:rsidRPr="00854B6E">
        <w:t>ermission not granted for publication</w:t>
      </w:r>
      <w:r w:rsidR="00854B6E">
        <w:t xml:space="preserve">), </w:t>
      </w:r>
      <w:r w:rsidR="00854B6E" w:rsidRPr="00854B6E">
        <w:t>Anonymous (</w:t>
      </w:r>
      <w:r w:rsidR="00DD4D60">
        <w:t>p</w:t>
      </w:r>
      <w:r w:rsidR="00854B6E" w:rsidRPr="00854B6E">
        <w:t>ermission not granted for publication</w:t>
      </w:r>
      <w:r w:rsidR="00854B6E">
        <w:t>),</w:t>
      </w:r>
      <w:r w:rsidR="00C009BE" w:rsidRPr="00672426">
        <w:t xml:space="preserve"> </w:t>
      </w:r>
      <w:hyperlink r:id="rId377" w:history="1">
        <w:r w:rsidR="0083627B" w:rsidRPr="00672426">
          <w:rPr>
            <w:rStyle w:val="Hyperlink"/>
          </w:rPr>
          <w:t>Tetra Tech Coffey</w:t>
        </w:r>
      </w:hyperlink>
      <w:r w:rsidR="00C009BE" w:rsidRPr="00672426">
        <w:t xml:space="preserve">, </w:t>
      </w:r>
      <w:hyperlink r:id="rId378" w:history="1">
        <w:r w:rsidR="00C009BE" w:rsidRPr="00672426">
          <w:rPr>
            <w:rStyle w:val="Hyperlink"/>
          </w:rPr>
          <w:t>Housing Industry Association</w:t>
        </w:r>
      </w:hyperlink>
      <w:r w:rsidR="00C009BE" w:rsidRPr="00672426">
        <w:t xml:space="preserve">, </w:t>
      </w:r>
      <w:hyperlink r:id="rId379" w:history="1">
        <w:r w:rsidR="00C009BE" w:rsidRPr="00672426">
          <w:rPr>
            <w:rStyle w:val="Hyperlink"/>
          </w:rPr>
          <w:t>Australian Chamber of Commerce and Industry</w:t>
        </w:r>
      </w:hyperlink>
      <w:r w:rsidR="00C009BE" w:rsidRPr="00672426">
        <w:t xml:space="preserve">, </w:t>
      </w:r>
      <w:hyperlink r:id="rId380" w:history="1">
        <w:r w:rsidR="00C009BE" w:rsidRPr="00672426">
          <w:rPr>
            <w:rStyle w:val="Hyperlink"/>
          </w:rPr>
          <w:t>Australian Industry Group</w:t>
        </w:r>
      </w:hyperlink>
      <w:r w:rsidR="00C009BE" w:rsidRPr="00672426">
        <w:t xml:space="preserve">, and </w:t>
      </w:r>
      <w:hyperlink r:id="rId381" w:history="1">
        <w:r w:rsidR="00C009BE" w:rsidRPr="00672426">
          <w:rPr>
            <w:rStyle w:val="Hyperlink"/>
          </w:rPr>
          <w:t>Master Builders Australia</w:t>
        </w:r>
      </w:hyperlink>
    </w:p>
  </w:footnote>
  <w:footnote w:id="279">
    <w:p w14:paraId="660E0951" w14:textId="4487137B" w:rsidR="00223887" w:rsidRPr="00672426" w:rsidRDefault="00223887">
      <w:pPr>
        <w:pStyle w:val="FootnoteText"/>
        <w:rPr>
          <w:sz w:val="20"/>
          <w:szCs w:val="20"/>
        </w:rPr>
      </w:pPr>
      <w:r w:rsidRPr="00672426">
        <w:rPr>
          <w:rStyle w:val="FootnoteReference"/>
        </w:rPr>
        <w:footnoteRef/>
      </w:r>
      <w:r w:rsidRPr="00672426">
        <w:rPr>
          <w:sz w:val="20"/>
          <w:szCs w:val="20"/>
        </w:rPr>
        <w:t xml:space="preserve"> </w:t>
      </w:r>
      <w:hyperlink r:id="rId382" w:history="1">
        <w:r w:rsidR="002A7159" w:rsidRPr="00672426">
          <w:rPr>
            <w:rStyle w:val="Hyperlink"/>
          </w:rPr>
          <w:t>Australian Constructors Association</w:t>
        </w:r>
      </w:hyperlink>
    </w:p>
  </w:footnote>
  <w:footnote w:id="280">
    <w:p w14:paraId="71E2FA3B" w14:textId="2AB2CBE9" w:rsidR="003057C1" w:rsidRPr="00672426" w:rsidRDefault="003057C1">
      <w:pPr>
        <w:pStyle w:val="FootnoteText"/>
        <w:rPr>
          <w:sz w:val="20"/>
          <w:szCs w:val="20"/>
        </w:rPr>
      </w:pPr>
      <w:r w:rsidRPr="00672426">
        <w:rPr>
          <w:rStyle w:val="FootnoteReference"/>
        </w:rPr>
        <w:footnoteRef/>
      </w:r>
      <w:r w:rsidRPr="00672426">
        <w:t xml:space="preserve"> </w:t>
      </w:r>
      <w:hyperlink r:id="rId383" w:history="1">
        <w:r w:rsidRPr="00672426">
          <w:rPr>
            <w:rStyle w:val="Hyperlink"/>
          </w:rPr>
          <w:t>Think Brick Australia, Concrete Masonry Association of Australia and Australian Roofing Tile Association</w:t>
        </w:r>
      </w:hyperlink>
    </w:p>
  </w:footnote>
  <w:footnote w:id="281">
    <w:p w14:paraId="72A0E789" w14:textId="1B08D8AF" w:rsidR="00056EEF" w:rsidRPr="00672426" w:rsidRDefault="00056EEF">
      <w:pPr>
        <w:pStyle w:val="FootnoteText"/>
      </w:pPr>
      <w:r w:rsidRPr="00672426">
        <w:rPr>
          <w:rStyle w:val="FootnoteReference"/>
        </w:rPr>
        <w:footnoteRef/>
      </w:r>
      <w:r w:rsidRPr="00672426">
        <w:t xml:space="preserve"> </w:t>
      </w:r>
      <w:r w:rsidR="00E87A08" w:rsidRPr="00672426">
        <w:t xml:space="preserve">Submissions from </w:t>
      </w:r>
      <w:hyperlink r:id="rId384" w:history="1">
        <w:r w:rsidR="00CB617C" w:rsidRPr="00672426">
          <w:rPr>
            <w:rStyle w:val="Hyperlink"/>
          </w:rPr>
          <w:t>Department of Energy, Mines, Industry Regulation and Safety – WorkSafe Group (Western Australia)</w:t>
        </w:r>
      </w:hyperlink>
      <w:r w:rsidR="00E87A08" w:rsidRPr="00672426">
        <w:t xml:space="preserve">, and </w:t>
      </w:r>
      <w:hyperlink r:id="rId385" w:history="1">
        <w:r w:rsidR="00E87A08" w:rsidRPr="00672426">
          <w:rPr>
            <w:rStyle w:val="Hyperlink"/>
          </w:rPr>
          <w:t>Housing Industry Association</w:t>
        </w:r>
      </w:hyperlink>
    </w:p>
  </w:footnote>
  <w:footnote w:id="282">
    <w:p w14:paraId="11484CA2" w14:textId="6A7A3821" w:rsidR="00185EAF" w:rsidRPr="000A3EC9" w:rsidRDefault="00185EAF">
      <w:pPr>
        <w:pStyle w:val="FootnoteText"/>
        <w:rPr>
          <w:sz w:val="16"/>
          <w:szCs w:val="16"/>
        </w:rPr>
      </w:pPr>
      <w:r w:rsidRPr="00672426">
        <w:rPr>
          <w:rStyle w:val="FootnoteReference"/>
        </w:rPr>
        <w:footnoteRef/>
      </w:r>
      <w:r w:rsidRPr="00672426">
        <w:t xml:space="preserve"> </w:t>
      </w:r>
      <w:r w:rsidR="00B2494A" w:rsidRPr="00672426">
        <w:t xml:space="preserve">Submissions from </w:t>
      </w:r>
      <w:hyperlink r:id="rId386" w:history="1">
        <w:r w:rsidRPr="00672426">
          <w:rPr>
            <w:rStyle w:val="Hyperlink"/>
          </w:rPr>
          <w:t>Tetra Tech Coffey</w:t>
        </w:r>
      </w:hyperlink>
      <w:r w:rsidR="00B2494A" w:rsidRPr="00672426">
        <w:t xml:space="preserve">, </w:t>
      </w:r>
      <w:r w:rsidR="005428AF">
        <w:t xml:space="preserve">Anonymous </w:t>
      </w:r>
      <w:r w:rsidR="00FA3BDE" w:rsidRPr="00FA3BDE">
        <w:t>(</w:t>
      </w:r>
      <w:r w:rsidR="00327202">
        <w:t>p</w:t>
      </w:r>
      <w:r w:rsidR="00FA3BDE" w:rsidRPr="00FA3BDE">
        <w:t xml:space="preserve">ermission not granted for publication), </w:t>
      </w:r>
      <w:hyperlink r:id="rId387" w:history="1">
        <w:r w:rsidR="00B2494A" w:rsidRPr="00672426">
          <w:rPr>
            <w:rStyle w:val="Hyperlink"/>
          </w:rPr>
          <w:t>Australian Constructors Association</w:t>
        </w:r>
      </w:hyperlink>
      <w:r w:rsidR="00B2494A" w:rsidRPr="00672426">
        <w:t xml:space="preserve">, and </w:t>
      </w:r>
      <w:hyperlink r:id="rId388" w:history="1">
        <w:r w:rsidR="00C56C2C" w:rsidRPr="00672426">
          <w:rPr>
            <w:rStyle w:val="Hyperlink"/>
          </w:rPr>
          <w:t>Minerals Council of Australia</w:t>
        </w:r>
      </w:hyperlink>
    </w:p>
  </w:footnote>
  <w:footnote w:id="283">
    <w:p w14:paraId="425FC2E9" w14:textId="7E1CA29C" w:rsidR="007C5EC2" w:rsidRPr="005428AF" w:rsidRDefault="007C5EC2">
      <w:pPr>
        <w:pStyle w:val="FootnoteText"/>
      </w:pPr>
      <w:r w:rsidRPr="005428AF">
        <w:rPr>
          <w:rStyle w:val="FootnoteReference"/>
        </w:rPr>
        <w:footnoteRef/>
      </w:r>
      <w:r w:rsidRPr="005428AF">
        <w:t xml:space="preserve"> </w:t>
      </w:r>
      <w:hyperlink r:id="rId389" w:history="1">
        <w:r w:rsidR="0062326C" w:rsidRPr="005428AF">
          <w:rPr>
            <w:rStyle w:val="Hyperlink"/>
          </w:rPr>
          <w:t>Tetra Tech Coffey</w:t>
        </w:r>
      </w:hyperlink>
    </w:p>
  </w:footnote>
  <w:footnote w:id="284">
    <w:p w14:paraId="309D92C6" w14:textId="28BE66A8" w:rsidR="0062326C" w:rsidRPr="005428AF" w:rsidRDefault="0062326C">
      <w:pPr>
        <w:pStyle w:val="FootnoteText"/>
      </w:pPr>
      <w:r w:rsidRPr="005428AF">
        <w:rPr>
          <w:rStyle w:val="FootnoteReference"/>
        </w:rPr>
        <w:footnoteRef/>
      </w:r>
      <w:r w:rsidRPr="005428AF">
        <w:t xml:space="preserve"> </w:t>
      </w:r>
      <w:r w:rsidR="0006359A" w:rsidRPr="005428AF">
        <w:t xml:space="preserve">Submissions from </w:t>
      </w:r>
      <w:hyperlink r:id="rId390" w:history="1">
        <w:r w:rsidR="00DE6C9B" w:rsidRPr="005428AF">
          <w:rPr>
            <w:rStyle w:val="Hyperlink"/>
          </w:rPr>
          <w:t>Construction Material Processors Association</w:t>
        </w:r>
      </w:hyperlink>
      <w:r w:rsidR="0006359A" w:rsidRPr="005428AF">
        <w:t>,</w:t>
      </w:r>
      <w:r w:rsidR="00EA1262">
        <w:t xml:space="preserve"> </w:t>
      </w:r>
      <w:r w:rsidR="0018241A" w:rsidRPr="0018241A">
        <w:t>Anonymous (</w:t>
      </w:r>
      <w:r w:rsidR="00327202">
        <w:t>p</w:t>
      </w:r>
      <w:r w:rsidR="0018241A" w:rsidRPr="0018241A">
        <w:t>ermission not granted for publication)</w:t>
      </w:r>
      <w:r w:rsidR="0018241A">
        <w:t xml:space="preserve">, </w:t>
      </w:r>
      <w:r w:rsidR="00EA1262" w:rsidRPr="00EA1262">
        <w:t>Anonymous (</w:t>
      </w:r>
      <w:r w:rsidR="00327202">
        <w:t>p</w:t>
      </w:r>
      <w:r w:rsidR="00EA1262" w:rsidRPr="00EA1262">
        <w:t>ermission not granted for publication)</w:t>
      </w:r>
      <w:r w:rsidR="00EA1262">
        <w:t xml:space="preserve">, </w:t>
      </w:r>
      <w:hyperlink r:id="rId391" w:history="1">
        <w:r w:rsidR="004A6DF0" w:rsidRPr="005428AF">
          <w:rPr>
            <w:rStyle w:val="Hyperlink"/>
          </w:rPr>
          <w:t>Housing Industry Association</w:t>
        </w:r>
      </w:hyperlink>
      <w:r w:rsidR="004A6DF0" w:rsidRPr="005428AF">
        <w:t xml:space="preserve">, </w:t>
      </w:r>
      <w:hyperlink r:id="rId392" w:history="1">
        <w:r w:rsidR="004A6DF0" w:rsidRPr="005428AF">
          <w:rPr>
            <w:rStyle w:val="Hyperlink"/>
          </w:rPr>
          <w:t>Australian Chamber of Commerce and Industry</w:t>
        </w:r>
      </w:hyperlink>
      <w:r w:rsidR="004A6DF0" w:rsidRPr="005428AF">
        <w:t xml:space="preserve">, </w:t>
      </w:r>
      <w:hyperlink r:id="rId393" w:history="1">
        <w:r w:rsidR="004A6DF0" w:rsidRPr="005428AF">
          <w:rPr>
            <w:rStyle w:val="Hyperlink"/>
          </w:rPr>
          <w:t>Australian Industry Group</w:t>
        </w:r>
      </w:hyperlink>
      <w:r w:rsidR="004A6DF0" w:rsidRPr="005428AF">
        <w:t xml:space="preserve">, and </w:t>
      </w:r>
      <w:hyperlink r:id="rId394" w:history="1">
        <w:r w:rsidR="00C56C2C" w:rsidRPr="005428AF">
          <w:rPr>
            <w:rStyle w:val="Hyperlink"/>
          </w:rPr>
          <w:t>Minerals Council of Australia</w:t>
        </w:r>
      </w:hyperlink>
    </w:p>
  </w:footnote>
  <w:footnote w:id="285">
    <w:p w14:paraId="3AEABDCC" w14:textId="2B74FADF" w:rsidR="00552D74" w:rsidRPr="005428AF" w:rsidRDefault="00552D74">
      <w:pPr>
        <w:pStyle w:val="FootnoteText"/>
      </w:pPr>
      <w:r w:rsidRPr="005428AF">
        <w:rPr>
          <w:rStyle w:val="FootnoteReference"/>
        </w:rPr>
        <w:footnoteRef/>
      </w:r>
      <w:r w:rsidRPr="005428AF">
        <w:t xml:space="preserve"> </w:t>
      </w:r>
      <w:r w:rsidR="00060067">
        <w:t xml:space="preserve">Submission from </w:t>
      </w:r>
      <w:hyperlink r:id="rId395" w:history="1">
        <w:r w:rsidR="001D1854" w:rsidRPr="005428AF">
          <w:rPr>
            <w:rStyle w:val="Hyperlink"/>
          </w:rPr>
          <w:t>Housing Industry Association</w:t>
        </w:r>
      </w:hyperlink>
      <w:r w:rsidR="00060067">
        <w:rPr>
          <w:sz w:val="20"/>
          <w:szCs w:val="20"/>
        </w:rPr>
        <w:t xml:space="preserve"> </w:t>
      </w:r>
      <w:r w:rsidR="00060067" w:rsidRPr="00060067">
        <w:t>and Anonymous (</w:t>
      </w:r>
      <w:r w:rsidR="00291035">
        <w:t>p</w:t>
      </w:r>
      <w:r w:rsidR="00060067" w:rsidRPr="00060067">
        <w:t>ermission not granted for publication)</w:t>
      </w:r>
    </w:p>
  </w:footnote>
  <w:footnote w:id="286">
    <w:p w14:paraId="18275733" w14:textId="14C9CF92" w:rsidR="00460669" w:rsidRPr="005428AF" w:rsidRDefault="00460669">
      <w:pPr>
        <w:pStyle w:val="FootnoteText"/>
      </w:pPr>
      <w:r w:rsidRPr="005428AF">
        <w:rPr>
          <w:rStyle w:val="FootnoteReference"/>
        </w:rPr>
        <w:footnoteRef/>
      </w:r>
      <w:r w:rsidRPr="005428AF">
        <w:t xml:space="preserve"> </w:t>
      </w:r>
      <w:hyperlink r:id="rId396" w:history="1">
        <w:r w:rsidRPr="005428AF">
          <w:rPr>
            <w:rStyle w:val="Hyperlink"/>
          </w:rPr>
          <w:t>Australian Constructors Association</w:t>
        </w:r>
      </w:hyperlink>
    </w:p>
  </w:footnote>
  <w:footnote w:id="287">
    <w:p w14:paraId="4CDED95E" w14:textId="34E297F2" w:rsidR="002A7159" w:rsidRDefault="002A7159">
      <w:pPr>
        <w:pStyle w:val="FootnoteText"/>
      </w:pPr>
      <w:r w:rsidRPr="005428AF">
        <w:rPr>
          <w:rStyle w:val="FootnoteReference"/>
        </w:rPr>
        <w:footnoteRef/>
      </w:r>
      <w:r w:rsidRPr="005428AF">
        <w:t xml:space="preserve"> </w:t>
      </w:r>
      <w:hyperlink r:id="rId397" w:history="1">
        <w:r w:rsidR="006877AB" w:rsidRPr="005428AF">
          <w:rPr>
            <w:rStyle w:val="Hyperlink"/>
          </w:rPr>
          <w:t>Department of Energy, Mines, Industry Regulation and Safety – WorkSafe Group (Western Australia)</w:t>
        </w:r>
      </w:hyperlink>
    </w:p>
  </w:footnote>
  <w:footnote w:id="288">
    <w:p w14:paraId="0B70B158" w14:textId="41C90D8F" w:rsidR="007B37F1" w:rsidRDefault="007B37F1">
      <w:pPr>
        <w:pStyle w:val="FootnoteText"/>
      </w:pPr>
      <w:r>
        <w:rPr>
          <w:rStyle w:val="FootnoteReference"/>
        </w:rPr>
        <w:footnoteRef/>
      </w:r>
      <w:r>
        <w:t xml:space="preserve"> </w:t>
      </w:r>
      <w:r w:rsidR="0055119C" w:rsidRPr="0055119C">
        <w:t>Anonymous (</w:t>
      </w:r>
      <w:r w:rsidR="00291035">
        <w:t>p</w:t>
      </w:r>
      <w:r w:rsidR="0055119C" w:rsidRPr="0055119C">
        <w:t>ermission not granted for publication)</w:t>
      </w:r>
    </w:p>
  </w:footnote>
  <w:footnote w:id="289">
    <w:p w14:paraId="1B9941E9" w14:textId="591A0AE7" w:rsidR="00833F37" w:rsidRDefault="00833F37">
      <w:pPr>
        <w:pStyle w:val="FootnoteText"/>
      </w:pPr>
      <w:r>
        <w:rPr>
          <w:rStyle w:val="FootnoteReference"/>
        </w:rPr>
        <w:footnoteRef/>
      </w:r>
      <w:r>
        <w:t xml:space="preserve"> </w:t>
      </w:r>
      <w:r w:rsidR="00C0299F" w:rsidRPr="00C0299F">
        <w:t>Anonymous (</w:t>
      </w:r>
      <w:r w:rsidR="00881063">
        <w:t>p</w:t>
      </w:r>
      <w:r w:rsidR="00C0299F" w:rsidRPr="00C0299F">
        <w:t>ermission not granted for publication)</w:t>
      </w:r>
    </w:p>
  </w:footnote>
  <w:footnote w:id="290">
    <w:p w14:paraId="66886FC9" w14:textId="34776769" w:rsidR="005F0AAE" w:rsidRDefault="005F0AAE">
      <w:pPr>
        <w:pStyle w:val="FootnoteText"/>
      </w:pPr>
      <w:r>
        <w:rPr>
          <w:rStyle w:val="FootnoteReference"/>
        </w:rPr>
        <w:footnoteRef/>
      </w:r>
      <w:r>
        <w:t xml:space="preserve"> </w:t>
      </w:r>
      <w:r w:rsidR="002F1DFD" w:rsidRPr="002F1DFD">
        <w:t>Ichikawa, A., Corke, E., Moubarak, A.M., Mazereeuw, M., Volpato, J., Weller, M. and Clemence, D., 2024. Lowering reporting limit values for respirable crystalline silica analysis by X-ray diffraction in preparation of the 0.025 mg/m3 occupational exposure limit. Annals of Work Exposures and Health, 68(8), pp.859-866.</w:t>
      </w:r>
    </w:p>
  </w:footnote>
  <w:footnote w:id="291">
    <w:p w14:paraId="57DEF276" w14:textId="57212598" w:rsidR="001A43F5" w:rsidRPr="00C0299F" w:rsidRDefault="001A43F5">
      <w:pPr>
        <w:pStyle w:val="FootnoteText"/>
        <w:rPr>
          <w:sz w:val="20"/>
          <w:szCs w:val="20"/>
        </w:rPr>
      </w:pPr>
      <w:r w:rsidRPr="00C0299F">
        <w:rPr>
          <w:rStyle w:val="FootnoteReference"/>
        </w:rPr>
        <w:footnoteRef/>
      </w:r>
      <w:r w:rsidRPr="00C0299F">
        <w:t xml:space="preserve"> </w:t>
      </w:r>
      <w:r w:rsidR="00EB43D7">
        <w:t xml:space="preserve">Submissions from </w:t>
      </w:r>
      <w:r w:rsidR="00EB43D7" w:rsidRPr="00EB43D7">
        <w:t>Anonymous (</w:t>
      </w:r>
      <w:r w:rsidR="00881063">
        <w:t>p</w:t>
      </w:r>
      <w:r w:rsidR="00EB43D7" w:rsidRPr="00EB43D7">
        <w:t>ermission not granted for publication)</w:t>
      </w:r>
      <w:r w:rsidR="00EB43D7">
        <w:t xml:space="preserve"> and </w:t>
      </w:r>
      <w:hyperlink r:id="rId398" w:history="1">
        <w:r w:rsidRPr="00C0299F">
          <w:rPr>
            <w:rStyle w:val="Hyperlink"/>
          </w:rPr>
          <w:t>Housing Industry Association</w:t>
        </w:r>
      </w:hyperlink>
    </w:p>
  </w:footnote>
  <w:footnote w:id="292">
    <w:p w14:paraId="3C5FEE97" w14:textId="1EC8DB67" w:rsidR="00381D7D" w:rsidRPr="00C0299F" w:rsidRDefault="00381D7D">
      <w:pPr>
        <w:pStyle w:val="FootnoteText"/>
        <w:rPr>
          <w:sz w:val="20"/>
          <w:szCs w:val="20"/>
        </w:rPr>
      </w:pPr>
      <w:r w:rsidRPr="00C0299F">
        <w:rPr>
          <w:rStyle w:val="FootnoteReference"/>
        </w:rPr>
        <w:footnoteRef/>
      </w:r>
      <w:r w:rsidRPr="00C0299F">
        <w:t xml:space="preserve"> </w:t>
      </w:r>
      <w:hyperlink r:id="rId399" w:history="1">
        <w:r w:rsidRPr="00C0299F">
          <w:rPr>
            <w:rStyle w:val="Hyperlink"/>
          </w:rPr>
          <w:t>Tetra Tech Coffey</w:t>
        </w:r>
      </w:hyperlink>
    </w:p>
  </w:footnote>
  <w:footnote w:id="293">
    <w:p w14:paraId="31F25BF2" w14:textId="2DAC24B7" w:rsidR="000C6078" w:rsidRDefault="000C6078">
      <w:pPr>
        <w:pStyle w:val="FootnoteText"/>
      </w:pPr>
      <w:r>
        <w:rPr>
          <w:rStyle w:val="FootnoteReference"/>
        </w:rPr>
        <w:footnoteRef/>
      </w:r>
      <w:r>
        <w:t xml:space="preserve"> </w:t>
      </w:r>
      <w:r w:rsidRPr="000C6078">
        <w:t>Anonymous (</w:t>
      </w:r>
      <w:r w:rsidR="00881063">
        <w:t>p</w:t>
      </w:r>
      <w:r w:rsidRPr="000C6078">
        <w:t>ermission not granted for publication)</w:t>
      </w:r>
    </w:p>
  </w:footnote>
  <w:footnote w:id="294">
    <w:p w14:paraId="6E2C8FB0" w14:textId="6F309832" w:rsidR="00707009" w:rsidRPr="00E54C58" w:rsidRDefault="00707009">
      <w:pPr>
        <w:pStyle w:val="FootnoteText"/>
      </w:pPr>
      <w:r w:rsidRPr="00E54C58">
        <w:rPr>
          <w:rStyle w:val="FootnoteReference"/>
        </w:rPr>
        <w:footnoteRef/>
      </w:r>
      <w:r w:rsidRPr="00E54C58">
        <w:t xml:space="preserve"> </w:t>
      </w:r>
      <w:hyperlink r:id="rId400" w:history="1">
        <w:r w:rsidRPr="00E54C58">
          <w:rPr>
            <w:rStyle w:val="Hyperlink"/>
          </w:rPr>
          <w:t xml:space="preserve">Minerals Council </w:t>
        </w:r>
        <w:r w:rsidR="00C56C2C" w:rsidRPr="00E54C58">
          <w:rPr>
            <w:rStyle w:val="Hyperlink"/>
          </w:rPr>
          <w:t xml:space="preserve">of </w:t>
        </w:r>
        <w:r w:rsidRPr="00E54C58">
          <w:rPr>
            <w:rStyle w:val="Hyperlink"/>
          </w:rPr>
          <w:t>Australia</w:t>
        </w:r>
      </w:hyperlink>
    </w:p>
  </w:footnote>
  <w:footnote w:id="295">
    <w:p w14:paraId="690CDAA3" w14:textId="7212AF0D" w:rsidR="00707009" w:rsidRPr="00E54C58" w:rsidRDefault="00707009">
      <w:pPr>
        <w:pStyle w:val="FootnoteText"/>
        <w:rPr>
          <w:sz w:val="20"/>
          <w:szCs w:val="20"/>
        </w:rPr>
      </w:pPr>
      <w:r w:rsidRPr="00E54C58">
        <w:rPr>
          <w:rStyle w:val="FootnoteReference"/>
        </w:rPr>
        <w:footnoteRef/>
      </w:r>
      <w:r w:rsidRPr="00E54C58">
        <w:t xml:space="preserve"> </w:t>
      </w:r>
      <w:hyperlink r:id="rId401" w:history="1">
        <w:r w:rsidR="006A1938" w:rsidRPr="00E54C58">
          <w:rPr>
            <w:rStyle w:val="Hyperlink"/>
          </w:rPr>
          <w:t>Department of Energy, Mines, Industry Regulation and Safety – WorkSafe Group (Western Australia)</w:t>
        </w:r>
      </w:hyperlink>
    </w:p>
  </w:footnote>
  <w:footnote w:id="296">
    <w:p w14:paraId="7C02C137" w14:textId="19B06C3A" w:rsidR="003D1387" w:rsidRPr="00E54C58" w:rsidRDefault="003D1387">
      <w:pPr>
        <w:pStyle w:val="FootnoteText"/>
        <w:rPr>
          <w:sz w:val="20"/>
          <w:szCs w:val="20"/>
        </w:rPr>
      </w:pPr>
      <w:r w:rsidRPr="00E54C58">
        <w:rPr>
          <w:rStyle w:val="FootnoteReference"/>
        </w:rPr>
        <w:footnoteRef/>
      </w:r>
      <w:r w:rsidRPr="00E54C58">
        <w:t xml:space="preserve"> </w:t>
      </w:r>
      <w:r w:rsidR="007C2901" w:rsidRPr="00E54C58">
        <w:t xml:space="preserve">Submissions from </w:t>
      </w:r>
      <w:hyperlink r:id="rId402" w:history="1">
        <w:r w:rsidRPr="00E54C58">
          <w:rPr>
            <w:rStyle w:val="Hyperlink"/>
          </w:rPr>
          <w:t>Tetra Tech Coffey</w:t>
        </w:r>
      </w:hyperlink>
      <w:r w:rsidR="007C2901" w:rsidRPr="00E54C58">
        <w:t xml:space="preserve">, and </w:t>
      </w:r>
      <w:hyperlink r:id="rId403" w:history="1">
        <w:r w:rsidR="007C2901" w:rsidRPr="00E54C58">
          <w:rPr>
            <w:rStyle w:val="Hyperlink"/>
          </w:rPr>
          <w:t xml:space="preserve">Minerals Council </w:t>
        </w:r>
        <w:r w:rsidR="00C56C2C" w:rsidRPr="00E54C58">
          <w:rPr>
            <w:rStyle w:val="Hyperlink"/>
          </w:rPr>
          <w:t xml:space="preserve">of </w:t>
        </w:r>
        <w:r w:rsidR="007C2901" w:rsidRPr="00E54C58">
          <w:rPr>
            <w:rStyle w:val="Hyperlink"/>
          </w:rPr>
          <w:t>Australia</w:t>
        </w:r>
      </w:hyperlink>
    </w:p>
  </w:footnote>
  <w:footnote w:id="297">
    <w:p w14:paraId="7951B82E" w14:textId="12D82A02" w:rsidR="00A602B9" w:rsidRDefault="00A602B9">
      <w:pPr>
        <w:pStyle w:val="FootnoteText"/>
      </w:pPr>
      <w:r w:rsidRPr="00E54C58">
        <w:rPr>
          <w:rStyle w:val="FootnoteReference"/>
        </w:rPr>
        <w:footnoteRef/>
      </w:r>
      <w:r w:rsidRPr="00E54C58">
        <w:t xml:space="preserve"> </w:t>
      </w:r>
      <w:hyperlink r:id="rId404" w:history="1">
        <w:r w:rsidR="00F85344" w:rsidRPr="00E54C58">
          <w:rPr>
            <w:rStyle w:val="Hyperlink"/>
          </w:rPr>
          <w:t>Housing Industry Association</w:t>
        </w:r>
      </w:hyperlink>
    </w:p>
  </w:footnote>
  <w:footnote w:id="298">
    <w:p w14:paraId="492DC33C" w14:textId="10917360" w:rsidR="00691654" w:rsidRPr="00B81959" w:rsidRDefault="00691654">
      <w:pPr>
        <w:pStyle w:val="FootnoteText"/>
      </w:pPr>
      <w:r w:rsidRPr="00B81959">
        <w:rPr>
          <w:rStyle w:val="FootnoteReference"/>
        </w:rPr>
        <w:footnoteRef/>
      </w:r>
      <w:r w:rsidRPr="00B81959">
        <w:t xml:space="preserve"> </w:t>
      </w:r>
      <w:hyperlink r:id="rId405" w:history="1">
        <w:r w:rsidR="0087458C" w:rsidRPr="00B81959">
          <w:rPr>
            <w:rStyle w:val="Hyperlink"/>
          </w:rPr>
          <w:t>Australian Constructors Association</w:t>
        </w:r>
      </w:hyperlink>
    </w:p>
  </w:footnote>
  <w:footnote w:id="299">
    <w:p w14:paraId="1E8D07DF" w14:textId="44D741EA" w:rsidR="005728BC" w:rsidRDefault="005728BC">
      <w:pPr>
        <w:pStyle w:val="FootnoteText"/>
      </w:pPr>
      <w:r w:rsidRPr="00B81959">
        <w:rPr>
          <w:rStyle w:val="FootnoteReference"/>
        </w:rPr>
        <w:footnoteRef/>
      </w:r>
      <w:r w:rsidRPr="00B81959">
        <w:t xml:space="preserve"> </w:t>
      </w:r>
      <w:hyperlink r:id="rId406" w:history="1">
        <w:r w:rsidR="007607A5" w:rsidRPr="00B81959">
          <w:rPr>
            <w:rStyle w:val="Hyperlink"/>
          </w:rPr>
          <w:t xml:space="preserve">The </w:t>
        </w:r>
        <w:r w:rsidR="00E63DD8" w:rsidRPr="00B81959">
          <w:rPr>
            <w:rStyle w:val="Hyperlink"/>
          </w:rPr>
          <w:t>Chamber of Min</w:t>
        </w:r>
        <w:r w:rsidR="007607A5" w:rsidRPr="00B81959">
          <w:rPr>
            <w:rStyle w:val="Hyperlink"/>
          </w:rPr>
          <w:t>erals</w:t>
        </w:r>
        <w:r w:rsidR="00E63DD8" w:rsidRPr="00B81959">
          <w:rPr>
            <w:rStyle w:val="Hyperlink"/>
          </w:rPr>
          <w:t xml:space="preserve"> and Energy of Western Australian</w:t>
        </w:r>
      </w:hyperlink>
    </w:p>
  </w:footnote>
  <w:footnote w:id="300">
    <w:p w14:paraId="5E725300" w14:textId="40095AEB" w:rsidR="005943F4" w:rsidRDefault="005943F4">
      <w:pPr>
        <w:pStyle w:val="FootnoteText"/>
      </w:pPr>
      <w:r>
        <w:rPr>
          <w:rStyle w:val="FootnoteReference"/>
        </w:rPr>
        <w:footnoteRef/>
      </w:r>
      <w:r>
        <w:t xml:space="preserve"> </w:t>
      </w:r>
      <w:r w:rsidRPr="005943F4">
        <w:t>Anonymous (</w:t>
      </w:r>
      <w:r w:rsidR="000B4382">
        <w:t>p</w:t>
      </w:r>
      <w:r w:rsidRPr="005943F4">
        <w:t>ermission not granted for publication)</w:t>
      </w:r>
    </w:p>
  </w:footnote>
  <w:footnote w:id="301">
    <w:p w14:paraId="7BEB0560" w14:textId="41F1CC6D" w:rsidR="005943F4" w:rsidRDefault="005943F4">
      <w:pPr>
        <w:pStyle w:val="FootnoteText"/>
      </w:pPr>
      <w:r>
        <w:rPr>
          <w:rStyle w:val="FootnoteReference"/>
        </w:rPr>
        <w:footnoteRef/>
      </w:r>
      <w:r>
        <w:t xml:space="preserve"> </w:t>
      </w:r>
      <w:r w:rsidR="00360D01" w:rsidRPr="00360D01">
        <w:t>Anonymous (</w:t>
      </w:r>
      <w:r w:rsidR="000B4382">
        <w:t>p</w:t>
      </w:r>
      <w:r w:rsidR="00360D01" w:rsidRPr="00360D01">
        <w:t>ermission not granted for publication)</w:t>
      </w:r>
    </w:p>
  </w:footnote>
  <w:footnote w:id="302">
    <w:p w14:paraId="3A63098F" w14:textId="743C5061" w:rsidR="002B202C" w:rsidRPr="004939AA" w:rsidRDefault="002B202C">
      <w:pPr>
        <w:pStyle w:val="FootnoteText"/>
        <w:rPr>
          <w:b/>
          <w:bCs/>
        </w:rPr>
      </w:pPr>
      <w:r>
        <w:rPr>
          <w:rStyle w:val="FootnoteReference"/>
        </w:rPr>
        <w:footnoteRef/>
      </w:r>
      <w:r>
        <w:t xml:space="preserve"> </w:t>
      </w:r>
      <w:r w:rsidR="004939AA">
        <w:t xml:space="preserve">Submissions from </w:t>
      </w:r>
      <w:r w:rsidR="004939AA" w:rsidRPr="004939AA">
        <w:t>Anonymous (Permission not granted for publication)</w:t>
      </w:r>
      <w:r w:rsidR="004939AA">
        <w:rPr>
          <w:b/>
          <w:bCs/>
        </w:rPr>
        <w:t xml:space="preserve"> </w:t>
      </w:r>
      <w:r w:rsidR="004939AA" w:rsidRPr="004939AA">
        <w:t>and Anonymous (</w:t>
      </w:r>
      <w:r w:rsidR="000B4382">
        <w:t>p</w:t>
      </w:r>
      <w:r w:rsidR="004939AA" w:rsidRPr="004939AA">
        <w:t>ermission not granted for publication)</w:t>
      </w:r>
    </w:p>
  </w:footnote>
  <w:footnote w:id="303">
    <w:p w14:paraId="69BE4AF3" w14:textId="2D64A5F6" w:rsidR="00760D4B" w:rsidRPr="004939AA" w:rsidRDefault="00760D4B">
      <w:pPr>
        <w:pStyle w:val="FootnoteText"/>
      </w:pPr>
      <w:r w:rsidRPr="004939AA">
        <w:rPr>
          <w:rStyle w:val="FootnoteReference"/>
        </w:rPr>
        <w:footnoteRef/>
      </w:r>
      <w:r w:rsidRPr="004939AA">
        <w:t xml:space="preserve"> </w:t>
      </w:r>
      <w:hyperlink r:id="rId407" w:history="1">
        <w:r w:rsidRPr="004939AA">
          <w:rPr>
            <w:rStyle w:val="Hyperlink"/>
          </w:rPr>
          <w:t>Anonymous</w:t>
        </w:r>
      </w:hyperlink>
    </w:p>
  </w:footnote>
  <w:footnote w:id="304">
    <w:p w14:paraId="429ED8D0" w14:textId="48E490D3" w:rsidR="00B056D2" w:rsidRPr="004939AA" w:rsidRDefault="00B056D2">
      <w:pPr>
        <w:pStyle w:val="FootnoteText"/>
        <w:rPr>
          <w:sz w:val="20"/>
          <w:szCs w:val="20"/>
        </w:rPr>
      </w:pPr>
      <w:r w:rsidRPr="004939AA">
        <w:rPr>
          <w:rStyle w:val="FootnoteReference"/>
        </w:rPr>
        <w:footnoteRef/>
      </w:r>
      <w:r w:rsidRPr="004939AA">
        <w:t xml:space="preserve"> </w:t>
      </w:r>
      <w:r w:rsidR="00445BAE">
        <w:t xml:space="preserve">Submissions from </w:t>
      </w:r>
      <w:hyperlink r:id="rId408" w:history="1">
        <w:r w:rsidRPr="004939AA">
          <w:rPr>
            <w:rStyle w:val="Hyperlink"/>
          </w:rPr>
          <w:t>Anonymous</w:t>
        </w:r>
      </w:hyperlink>
      <w:r w:rsidR="00445BAE">
        <w:rPr>
          <w:sz w:val="20"/>
          <w:szCs w:val="20"/>
        </w:rPr>
        <w:t xml:space="preserve"> </w:t>
      </w:r>
      <w:r w:rsidR="00445BAE" w:rsidRPr="00445BAE">
        <w:t>and Anonymous (</w:t>
      </w:r>
      <w:r w:rsidR="000B4382">
        <w:t>p</w:t>
      </w:r>
      <w:r w:rsidR="00445BAE" w:rsidRPr="00445BAE">
        <w:t>ermission not granted for publication)</w:t>
      </w:r>
    </w:p>
  </w:footnote>
  <w:footnote w:id="305">
    <w:p w14:paraId="3E030D1A" w14:textId="0394C499" w:rsidR="000D6707" w:rsidRDefault="000D6707">
      <w:pPr>
        <w:pStyle w:val="FootnoteText"/>
      </w:pPr>
      <w:r>
        <w:rPr>
          <w:rStyle w:val="FootnoteReference"/>
        </w:rPr>
        <w:footnoteRef/>
      </w:r>
      <w:r>
        <w:t xml:space="preserve"> Submissions from </w:t>
      </w:r>
      <w:r w:rsidRPr="000D6707">
        <w:t>Anonymous (</w:t>
      </w:r>
      <w:r w:rsidR="000B4382">
        <w:t>p</w:t>
      </w:r>
      <w:r w:rsidRPr="000D6707">
        <w:t>ermission not granted for publication)</w:t>
      </w:r>
    </w:p>
  </w:footnote>
  <w:footnote w:id="306">
    <w:p w14:paraId="2FCC680D" w14:textId="235F7B7E" w:rsidR="002D7B9A" w:rsidRPr="004939AA" w:rsidRDefault="002D7B9A">
      <w:pPr>
        <w:pStyle w:val="FootnoteText"/>
        <w:rPr>
          <w:sz w:val="20"/>
          <w:szCs w:val="20"/>
        </w:rPr>
      </w:pPr>
      <w:r w:rsidRPr="008C6C77">
        <w:rPr>
          <w:rStyle w:val="FootnoteReference"/>
        </w:rPr>
        <w:footnoteRef/>
      </w:r>
      <w:r w:rsidRPr="004939AA">
        <w:rPr>
          <w:sz w:val="20"/>
          <w:szCs w:val="20"/>
        </w:rPr>
        <w:t xml:space="preserve"> </w:t>
      </w:r>
      <w:r w:rsidRPr="004939AA">
        <w:t>Submissions from</w:t>
      </w:r>
      <w:r w:rsidR="00B44EE3">
        <w:t xml:space="preserve"> </w:t>
      </w:r>
      <w:r w:rsidR="00B44EE3" w:rsidRPr="00B44EE3">
        <w:t>Anonymous (</w:t>
      </w:r>
      <w:r w:rsidR="000B4382">
        <w:t>p</w:t>
      </w:r>
      <w:r w:rsidR="00B44EE3" w:rsidRPr="00B44EE3">
        <w:t>ermission not granted for publication)</w:t>
      </w:r>
      <w:r w:rsidR="00392A9D">
        <w:t xml:space="preserve">, </w:t>
      </w:r>
      <w:r w:rsidRPr="004939AA">
        <w:t xml:space="preserve"> </w:t>
      </w:r>
      <w:hyperlink r:id="rId409" w:history="1">
        <w:r w:rsidRPr="004939AA">
          <w:rPr>
            <w:rStyle w:val="Hyperlink"/>
          </w:rPr>
          <w:t>Masters Electricians Australia</w:t>
        </w:r>
      </w:hyperlink>
      <w:r w:rsidR="00444935" w:rsidRPr="004939AA">
        <w:t xml:space="preserve">, </w:t>
      </w:r>
      <w:hyperlink r:id="rId410" w:history="1">
        <w:r w:rsidR="00444935" w:rsidRPr="004939AA">
          <w:rPr>
            <w:rStyle w:val="Hyperlink"/>
          </w:rPr>
          <w:t>Maurice Blackburn Lawyers</w:t>
        </w:r>
      </w:hyperlink>
      <w:r w:rsidR="00392A9D">
        <w:rPr>
          <w:sz w:val="20"/>
          <w:szCs w:val="20"/>
        </w:rPr>
        <w:t xml:space="preserve">, </w:t>
      </w:r>
      <w:r w:rsidR="00392A9D" w:rsidRPr="00392A9D">
        <w:t>Anonymous (</w:t>
      </w:r>
      <w:r w:rsidR="000B4382">
        <w:t>p</w:t>
      </w:r>
      <w:r w:rsidR="00392A9D" w:rsidRPr="00392A9D">
        <w:t>ermission not granted for publication)</w:t>
      </w:r>
      <w:r w:rsidR="00444935" w:rsidRPr="00392A9D">
        <w:rPr>
          <w:sz w:val="16"/>
          <w:szCs w:val="16"/>
        </w:rPr>
        <w:t xml:space="preserve"> </w:t>
      </w:r>
      <w:r w:rsidR="00444935" w:rsidRPr="004939AA">
        <w:t xml:space="preserve">and </w:t>
      </w:r>
      <w:hyperlink r:id="rId411" w:history="1">
        <w:r w:rsidR="00444935" w:rsidRPr="004939AA">
          <w:rPr>
            <w:rStyle w:val="Hyperlink"/>
          </w:rPr>
          <w:t>Cancer Council Australia</w:t>
        </w:r>
      </w:hyperlink>
      <w:r w:rsidR="00444935" w:rsidRPr="004939AA">
        <w:t xml:space="preserve">. </w:t>
      </w:r>
    </w:p>
  </w:footnote>
  <w:footnote w:id="307">
    <w:p w14:paraId="5952D218" w14:textId="77777777" w:rsidR="00EC41CA" w:rsidRPr="00D347BF" w:rsidRDefault="00EC41CA" w:rsidP="00EC41CA">
      <w:pPr>
        <w:pStyle w:val="FootnoteText"/>
        <w:rPr>
          <w:sz w:val="16"/>
          <w:szCs w:val="16"/>
        </w:rPr>
      </w:pPr>
      <w:r w:rsidRPr="004939AA">
        <w:rPr>
          <w:rStyle w:val="FootnoteReference"/>
        </w:rPr>
        <w:footnoteRef/>
      </w:r>
      <w:r w:rsidRPr="004939AA">
        <w:t xml:space="preserve"> </w:t>
      </w:r>
      <w:hyperlink r:id="rId412" w:history="1">
        <w:r w:rsidRPr="004939AA">
          <w:rPr>
            <w:rStyle w:val="Hyperlink"/>
          </w:rPr>
          <w:t>Anonymous</w:t>
        </w:r>
      </w:hyperlink>
    </w:p>
  </w:footnote>
  <w:footnote w:id="308">
    <w:p w14:paraId="7F883009" w14:textId="389440DD" w:rsidR="00F31AE6" w:rsidRDefault="00F31AE6" w:rsidP="00F31AE6">
      <w:pPr>
        <w:pStyle w:val="FootnoteText"/>
      </w:pPr>
      <w:r>
        <w:rPr>
          <w:rStyle w:val="FootnoteReference"/>
        </w:rPr>
        <w:footnoteRef/>
      </w:r>
      <w:r>
        <w:t xml:space="preserve"> The evaluation report for titanium dioxide can be accessed </w:t>
      </w:r>
      <w:hyperlink r:id="rId413" w:history="1">
        <w:r w:rsidRPr="008F3913">
          <w:rPr>
            <w:rStyle w:val="Hyperlink"/>
          </w:rPr>
          <w:t>here</w:t>
        </w:r>
      </w:hyperlink>
      <w:r>
        <w:t xml:space="preserve">. </w:t>
      </w:r>
      <w:r w:rsidRPr="008F3913">
        <w:t>A</w:t>
      </w:r>
      <w:r w:rsidR="000705C0">
        <w:t>n a</w:t>
      </w:r>
      <w:r w:rsidRPr="008F3913">
        <w:t xml:space="preserve">lternative health-based WEL </w:t>
      </w:r>
      <w:r w:rsidR="004C5B9F">
        <w:t xml:space="preserve">based on the </w:t>
      </w:r>
      <w:r w:rsidR="000A4ECD">
        <w:t>2011</w:t>
      </w:r>
      <w:r w:rsidRPr="008F3913">
        <w:t xml:space="preserve"> </w:t>
      </w:r>
      <w:r>
        <w:t>NIOSH</w:t>
      </w:r>
      <w:r w:rsidRPr="008F3913">
        <w:t xml:space="preserve"> </w:t>
      </w:r>
      <w:r w:rsidR="004C5B9F">
        <w:t>recommenda</w:t>
      </w:r>
      <w:r w:rsidR="000A4ECD">
        <w:t xml:space="preserve">tion </w:t>
      </w:r>
      <w:r w:rsidR="000705C0">
        <w:t>was</w:t>
      </w:r>
      <w:r w:rsidRPr="008F3913">
        <w:t xml:space="preserve"> considered and agreed </w:t>
      </w:r>
      <w:r>
        <w:t xml:space="preserve">by Safe Work Australia </w:t>
      </w:r>
      <w:r w:rsidR="000A4ECD">
        <w:t>M</w:t>
      </w:r>
      <w:r>
        <w:t>embers, which differ</w:t>
      </w:r>
      <w:r w:rsidR="00E44CBF">
        <w:t>s</w:t>
      </w:r>
      <w:r>
        <w:t xml:space="preserve"> from the recommendation outlined in the evaluation report from the independent review</w:t>
      </w:r>
      <w:r w:rsidRPr="008F3913">
        <w:t>.</w:t>
      </w:r>
    </w:p>
  </w:footnote>
  <w:footnote w:id="309">
    <w:p w14:paraId="27BE0B68" w14:textId="6C4AFD61" w:rsidR="00DA3C54" w:rsidRDefault="00DA3C54">
      <w:pPr>
        <w:pStyle w:val="FootnoteText"/>
      </w:pPr>
      <w:r>
        <w:rPr>
          <w:rStyle w:val="FootnoteReference"/>
        </w:rPr>
        <w:footnoteRef/>
      </w:r>
      <w:r>
        <w:t xml:space="preserve"> </w:t>
      </w:r>
      <w:hyperlink r:id="rId414" w:history="1">
        <w:r w:rsidRPr="00DE2545">
          <w:rPr>
            <w:rStyle w:val="Hyperlink"/>
          </w:rPr>
          <w:t>Dep</w:t>
        </w:r>
        <w:r w:rsidR="00F83629" w:rsidRPr="00DE2545">
          <w:rPr>
            <w:rStyle w:val="Hyperlink"/>
          </w:rPr>
          <w:t>artmen</w:t>
        </w:r>
        <w:r w:rsidRPr="00DE2545">
          <w:rPr>
            <w:rStyle w:val="Hyperlink"/>
          </w:rPr>
          <w:t>t of Defence</w:t>
        </w:r>
      </w:hyperlink>
    </w:p>
  </w:footnote>
  <w:footnote w:id="310">
    <w:p w14:paraId="4101BE23" w14:textId="402BBDB4" w:rsidR="00DA3C54" w:rsidRDefault="00DA3C54">
      <w:pPr>
        <w:pStyle w:val="FootnoteText"/>
      </w:pPr>
      <w:r>
        <w:rPr>
          <w:rStyle w:val="FootnoteReference"/>
        </w:rPr>
        <w:footnoteRef/>
      </w:r>
      <w:r>
        <w:t xml:space="preserve"> </w:t>
      </w:r>
      <w:hyperlink r:id="rId415" w:history="1">
        <w:r w:rsidR="00F83629" w:rsidRPr="00DE2545">
          <w:rPr>
            <w:rStyle w:val="Hyperlink"/>
          </w:rPr>
          <w:t>Department of Defence</w:t>
        </w:r>
      </w:hyperlink>
    </w:p>
  </w:footnote>
  <w:footnote w:id="311">
    <w:p w14:paraId="0AAF5200" w14:textId="3FE3ADBD" w:rsidR="00DA3C54" w:rsidRDefault="00DA3C54">
      <w:pPr>
        <w:pStyle w:val="FootnoteText"/>
      </w:pPr>
      <w:r>
        <w:rPr>
          <w:rStyle w:val="FootnoteReference"/>
        </w:rPr>
        <w:footnoteRef/>
      </w:r>
      <w:r>
        <w:t xml:space="preserve"> </w:t>
      </w:r>
      <w:hyperlink r:id="rId416" w:history="1">
        <w:r w:rsidRPr="00DA3C54">
          <w:rPr>
            <w:rStyle w:val="Hyperlink"/>
          </w:rPr>
          <w:t>Department of Energy, Mines, Industry Regulation and Safety - WorkSafe Group (Western Australia)</w:t>
        </w:r>
      </w:hyperlink>
    </w:p>
  </w:footnote>
  <w:footnote w:id="312">
    <w:p w14:paraId="079586F4" w14:textId="21114B98" w:rsidR="003D4920" w:rsidRDefault="003D4920">
      <w:pPr>
        <w:pStyle w:val="FootnoteText"/>
      </w:pPr>
      <w:r>
        <w:rPr>
          <w:rStyle w:val="FootnoteReference"/>
        </w:rPr>
        <w:footnoteRef/>
      </w:r>
      <w:r>
        <w:t xml:space="preserve"> </w:t>
      </w:r>
      <w:r w:rsidR="00E03336" w:rsidRPr="00E03336">
        <w:t>Anonymous (</w:t>
      </w:r>
      <w:r w:rsidR="00ED06C5">
        <w:t>p</w:t>
      </w:r>
      <w:r w:rsidR="00E03336" w:rsidRPr="00E03336">
        <w:t>ermission not granted for publication)</w:t>
      </w:r>
    </w:p>
  </w:footnote>
  <w:footnote w:id="313">
    <w:p w14:paraId="42550255" w14:textId="77777777" w:rsidR="00131DF2" w:rsidRDefault="00131DF2" w:rsidP="00131DF2">
      <w:pPr>
        <w:pStyle w:val="FootnoteText"/>
      </w:pPr>
      <w:r>
        <w:rPr>
          <w:rStyle w:val="FootnoteReference"/>
        </w:rPr>
        <w:footnoteRef/>
      </w:r>
      <w:r>
        <w:t xml:space="preserve"> </w:t>
      </w:r>
      <w:hyperlink r:id="rId417" w:history="1">
        <w:r w:rsidRPr="00C7549B">
          <w:rPr>
            <w:rStyle w:val="Hyperlink"/>
          </w:rPr>
          <w:t>Anonymous</w:t>
        </w:r>
      </w:hyperlink>
    </w:p>
  </w:footnote>
  <w:footnote w:id="314">
    <w:p w14:paraId="708C83D7" w14:textId="2F8DD040" w:rsidR="00E03336" w:rsidRDefault="00E03336">
      <w:pPr>
        <w:pStyle w:val="FootnoteText"/>
      </w:pPr>
      <w:r>
        <w:rPr>
          <w:rStyle w:val="FootnoteReference"/>
        </w:rPr>
        <w:footnoteRef/>
      </w:r>
      <w:r>
        <w:t xml:space="preserve"> </w:t>
      </w:r>
      <w:r w:rsidRPr="00E03336">
        <w:t>Anonymous (</w:t>
      </w:r>
      <w:r w:rsidR="00ED06C5">
        <w:t>p</w:t>
      </w:r>
      <w:r w:rsidRPr="00E03336">
        <w:t>ermission not granted for publication)</w:t>
      </w:r>
    </w:p>
  </w:footnote>
  <w:footnote w:id="315">
    <w:p w14:paraId="7608DFE3" w14:textId="70ABCC59" w:rsidR="004647FF" w:rsidRDefault="004647FF">
      <w:pPr>
        <w:pStyle w:val="FootnoteText"/>
      </w:pPr>
      <w:r>
        <w:rPr>
          <w:rStyle w:val="FootnoteReference"/>
        </w:rPr>
        <w:footnoteRef/>
      </w:r>
      <w:r>
        <w:t xml:space="preserve"> </w:t>
      </w:r>
      <w:r w:rsidR="007C2C34">
        <w:t xml:space="preserve">Submissions from </w:t>
      </w:r>
      <w:hyperlink r:id="rId418" w:history="1">
        <w:r w:rsidRPr="00DE2545">
          <w:rPr>
            <w:rStyle w:val="Hyperlink"/>
          </w:rPr>
          <w:t>Dep</w:t>
        </w:r>
        <w:r w:rsidR="00F83629" w:rsidRPr="00DE2545">
          <w:rPr>
            <w:rStyle w:val="Hyperlink"/>
          </w:rPr>
          <w:t>artmen</w:t>
        </w:r>
        <w:r w:rsidRPr="00DE2545">
          <w:rPr>
            <w:rStyle w:val="Hyperlink"/>
          </w:rPr>
          <w:t>t of Defence</w:t>
        </w:r>
      </w:hyperlink>
      <w:r w:rsidR="007C2C34">
        <w:t xml:space="preserve">, </w:t>
      </w:r>
      <w:hyperlink r:id="rId419" w:history="1">
        <w:r w:rsidR="007C2C34" w:rsidRPr="00494DF1">
          <w:rPr>
            <w:rStyle w:val="Hyperlink"/>
          </w:rPr>
          <w:t>Queensland Nurses and Midwives’ Union</w:t>
        </w:r>
      </w:hyperlink>
      <w:r w:rsidR="007C2C34">
        <w:t xml:space="preserve">, </w:t>
      </w:r>
      <w:hyperlink r:id="rId420" w:history="1">
        <w:r w:rsidR="007C2C34" w:rsidRPr="002830D0">
          <w:rPr>
            <w:rStyle w:val="Hyperlink"/>
          </w:rPr>
          <w:t>Australian Council of Trade Unions</w:t>
        </w:r>
      </w:hyperlink>
      <w:r w:rsidR="007C2C34">
        <w:t xml:space="preserve">, and </w:t>
      </w:r>
      <w:hyperlink r:id="rId421" w:history="1">
        <w:r w:rsidR="007C2C34" w:rsidRPr="002235C9">
          <w:rPr>
            <w:rStyle w:val="Hyperlink"/>
          </w:rPr>
          <w:t>Victorian Trades Hall Council</w:t>
        </w:r>
      </w:hyperlink>
    </w:p>
  </w:footnote>
  <w:footnote w:id="316">
    <w:p w14:paraId="2138A350" w14:textId="3F9D8BC0" w:rsidR="00B45B20" w:rsidRDefault="00B45B20">
      <w:pPr>
        <w:pStyle w:val="FootnoteText"/>
      </w:pPr>
      <w:r>
        <w:rPr>
          <w:rStyle w:val="FootnoteReference"/>
        </w:rPr>
        <w:footnoteRef/>
      </w:r>
      <w:r>
        <w:t xml:space="preserve"> </w:t>
      </w:r>
      <w:hyperlink r:id="rId422" w:history="1">
        <w:r w:rsidRPr="00B45B20">
          <w:rPr>
            <w:rStyle w:val="Hyperlink"/>
          </w:rPr>
          <w:t>Anonymous</w:t>
        </w:r>
      </w:hyperlink>
    </w:p>
  </w:footnote>
  <w:footnote w:id="317">
    <w:p w14:paraId="3B16C792" w14:textId="61925587" w:rsidR="001C3DAE" w:rsidRDefault="001C3DAE">
      <w:pPr>
        <w:pStyle w:val="FootnoteText"/>
      </w:pPr>
      <w:r>
        <w:rPr>
          <w:rStyle w:val="FootnoteReference"/>
        </w:rPr>
        <w:footnoteRef/>
      </w:r>
      <w:r>
        <w:t xml:space="preserve"> </w:t>
      </w:r>
      <w:hyperlink r:id="rId423" w:history="1">
        <w:r w:rsidRPr="001C3DAE">
          <w:rPr>
            <w:rStyle w:val="Hyperlink"/>
          </w:rPr>
          <w:t>Department of Energy, Mines, Industry Regulation and Safety - WorkSafe Group (Western Australia)</w:t>
        </w:r>
      </w:hyperlink>
    </w:p>
  </w:footnote>
  <w:footnote w:id="318">
    <w:p w14:paraId="64CBBC9B" w14:textId="6E5D972D" w:rsidR="00526C30" w:rsidRDefault="00526C30">
      <w:pPr>
        <w:pStyle w:val="FootnoteText"/>
      </w:pPr>
      <w:r>
        <w:rPr>
          <w:rStyle w:val="FootnoteReference"/>
        </w:rPr>
        <w:footnoteRef/>
      </w:r>
      <w:r>
        <w:t xml:space="preserve"> </w:t>
      </w:r>
      <w:hyperlink r:id="rId424" w:history="1">
        <w:r w:rsidRPr="00E36553">
          <w:rPr>
            <w:rStyle w:val="Hyperlink"/>
          </w:rPr>
          <w:t>Robyn Schofield</w:t>
        </w:r>
      </w:hyperlink>
    </w:p>
  </w:footnote>
  <w:footnote w:id="319">
    <w:p w14:paraId="0D793312" w14:textId="6E7AEC68" w:rsidR="00B5266F" w:rsidRDefault="00B5266F">
      <w:pPr>
        <w:pStyle w:val="FootnoteText"/>
      </w:pPr>
      <w:r>
        <w:rPr>
          <w:rStyle w:val="FootnoteReference"/>
        </w:rPr>
        <w:footnoteRef/>
      </w:r>
      <w:r>
        <w:t xml:space="preserve"> </w:t>
      </w:r>
      <w:r w:rsidRPr="00B5266F">
        <w:t>Anonymous (</w:t>
      </w:r>
      <w:r w:rsidR="00900466">
        <w:t>p</w:t>
      </w:r>
      <w:r w:rsidRPr="00B5266F">
        <w:t>ermission not granted for publication)</w:t>
      </w:r>
    </w:p>
  </w:footnote>
  <w:footnote w:id="320">
    <w:p w14:paraId="41B50220" w14:textId="7CCC44B8" w:rsidR="00727827" w:rsidRDefault="00727827">
      <w:pPr>
        <w:pStyle w:val="FootnoteText"/>
      </w:pPr>
      <w:r>
        <w:rPr>
          <w:rStyle w:val="FootnoteReference"/>
        </w:rPr>
        <w:footnoteRef/>
      </w:r>
      <w:r>
        <w:t xml:space="preserve"> </w:t>
      </w:r>
      <w:r w:rsidRPr="00727827">
        <w:t>Anonymous (</w:t>
      </w:r>
      <w:r w:rsidR="00900466">
        <w:t>p</w:t>
      </w:r>
      <w:r w:rsidRPr="00727827">
        <w:t>ermission not granted for publication)</w:t>
      </w:r>
    </w:p>
  </w:footnote>
  <w:footnote w:id="321">
    <w:p w14:paraId="66F95679" w14:textId="7B9EF618" w:rsidR="00A9761E" w:rsidRDefault="00A9761E">
      <w:pPr>
        <w:pStyle w:val="FootnoteText"/>
      </w:pPr>
      <w:r>
        <w:rPr>
          <w:rStyle w:val="FootnoteReference"/>
        </w:rPr>
        <w:footnoteRef/>
      </w:r>
      <w:r>
        <w:t xml:space="preserve"> </w:t>
      </w:r>
      <w:r w:rsidR="008F2AD6">
        <w:t xml:space="preserve">Submission from </w:t>
      </w:r>
      <w:r w:rsidR="008F2AD6" w:rsidRPr="008F2AD6">
        <w:t>Anonymous (</w:t>
      </w:r>
      <w:r w:rsidR="00900466">
        <w:t>p</w:t>
      </w:r>
      <w:r w:rsidR="008F2AD6" w:rsidRPr="008F2AD6">
        <w:t>ermission not granted for publication)</w:t>
      </w:r>
      <w:r w:rsidR="008F2AD6">
        <w:t xml:space="preserve"> and </w:t>
      </w:r>
      <w:r w:rsidR="008F2AD6" w:rsidRPr="008F2AD6">
        <w:t>Anonymous (</w:t>
      </w:r>
      <w:r w:rsidR="00900466">
        <w:t>p</w:t>
      </w:r>
      <w:r w:rsidR="008F2AD6" w:rsidRPr="008F2AD6">
        <w:t>ermission not granted for publication)</w:t>
      </w:r>
    </w:p>
  </w:footnote>
  <w:footnote w:id="322">
    <w:p w14:paraId="38A8BAC7" w14:textId="604689FC" w:rsidR="00D82246" w:rsidRDefault="00D82246">
      <w:pPr>
        <w:pStyle w:val="FootnoteText"/>
      </w:pPr>
      <w:r>
        <w:rPr>
          <w:rStyle w:val="FootnoteReference"/>
        </w:rPr>
        <w:footnoteRef/>
      </w:r>
      <w:r>
        <w:t xml:space="preserve"> </w:t>
      </w:r>
      <w:r w:rsidRPr="00D82246">
        <w:t>Anonymous (</w:t>
      </w:r>
      <w:r w:rsidR="00900466">
        <w:t>p</w:t>
      </w:r>
      <w:r w:rsidRPr="00D82246">
        <w:t>ermission not granted for publication)</w:t>
      </w:r>
    </w:p>
  </w:footnote>
  <w:footnote w:id="323">
    <w:p w14:paraId="7C835D49" w14:textId="14C65725" w:rsidR="00B67D8D" w:rsidRDefault="00B67D8D">
      <w:pPr>
        <w:pStyle w:val="FootnoteText"/>
      </w:pPr>
      <w:r>
        <w:rPr>
          <w:rStyle w:val="FootnoteReference"/>
        </w:rPr>
        <w:footnoteRef/>
      </w:r>
      <w:r>
        <w:t xml:space="preserve"> </w:t>
      </w:r>
      <w:r w:rsidR="00804FB4">
        <w:t xml:space="preserve">Submissions from </w:t>
      </w:r>
      <w:hyperlink r:id="rId425" w:history="1">
        <w:r w:rsidRPr="003E2669">
          <w:rPr>
            <w:rStyle w:val="Hyperlink"/>
          </w:rPr>
          <w:t>Australian Chamber of Commerce and Industry</w:t>
        </w:r>
      </w:hyperlink>
      <w:r w:rsidR="00804FB4">
        <w:t xml:space="preserve">, and </w:t>
      </w:r>
      <w:hyperlink r:id="rId426" w:history="1">
        <w:r w:rsidR="00804FB4" w:rsidRPr="00703538">
          <w:rPr>
            <w:rStyle w:val="Hyperlink"/>
          </w:rPr>
          <w:t>Australian Industry Group</w:t>
        </w:r>
      </w:hyperlink>
    </w:p>
  </w:footnote>
  <w:footnote w:id="324">
    <w:p w14:paraId="39373BA4" w14:textId="7C17B586" w:rsidR="00B67D8D" w:rsidRDefault="00B67D8D" w:rsidP="00B67D8D">
      <w:pPr>
        <w:pStyle w:val="FootnoteText"/>
      </w:pPr>
      <w:r>
        <w:rPr>
          <w:rStyle w:val="FootnoteReference"/>
        </w:rPr>
        <w:footnoteRef/>
      </w:r>
      <w:r>
        <w:t xml:space="preserve"> </w:t>
      </w:r>
      <w:r w:rsidR="00804FB4">
        <w:t xml:space="preserve">Submissions from </w:t>
      </w:r>
      <w:hyperlink r:id="rId427" w:history="1">
        <w:r w:rsidRPr="003E2669">
          <w:rPr>
            <w:rStyle w:val="Hyperlink"/>
          </w:rPr>
          <w:t>Australian Chamber of Commerce and Industry</w:t>
        </w:r>
      </w:hyperlink>
      <w:r w:rsidR="00804FB4">
        <w:t xml:space="preserve">, and </w:t>
      </w:r>
      <w:hyperlink r:id="rId428" w:history="1">
        <w:r w:rsidR="00804FB4" w:rsidRPr="00703538">
          <w:rPr>
            <w:rStyle w:val="Hyperlink"/>
          </w:rPr>
          <w:t>Australian Industry Group</w:t>
        </w:r>
      </w:hyperlink>
    </w:p>
  </w:footnote>
  <w:footnote w:id="325">
    <w:p w14:paraId="27C0A8DB" w14:textId="0ABD864A" w:rsidR="00286A95" w:rsidRDefault="00286A95">
      <w:pPr>
        <w:pStyle w:val="FootnoteText"/>
      </w:pPr>
      <w:r>
        <w:rPr>
          <w:rStyle w:val="FootnoteReference"/>
        </w:rPr>
        <w:footnoteRef/>
      </w:r>
      <w:r>
        <w:t xml:space="preserve"> </w:t>
      </w:r>
      <w:r w:rsidR="00AF06A3" w:rsidRPr="00AF06A3">
        <w:t>Anonymous (</w:t>
      </w:r>
      <w:r w:rsidR="00900466">
        <w:t>p</w:t>
      </w:r>
      <w:r w:rsidR="00AF06A3" w:rsidRPr="00AF06A3">
        <w:t>ermission not granted for publication)</w:t>
      </w:r>
    </w:p>
  </w:footnote>
  <w:footnote w:id="326">
    <w:p w14:paraId="732951E9" w14:textId="76E59F6B" w:rsidR="0030421C" w:rsidRDefault="0030421C">
      <w:pPr>
        <w:pStyle w:val="FootnoteText"/>
      </w:pPr>
      <w:r>
        <w:rPr>
          <w:rStyle w:val="FootnoteReference"/>
        </w:rPr>
        <w:footnoteRef/>
      </w:r>
      <w:r>
        <w:t xml:space="preserve"> </w:t>
      </w:r>
      <w:r w:rsidR="005402AB">
        <w:t xml:space="preserve">Submissions from </w:t>
      </w:r>
      <w:hyperlink r:id="rId429" w:history="1">
        <w:r w:rsidRPr="0030421C">
          <w:rPr>
            <w:rStyle w:val="Hyperlink"/>
          </w:rPr>
          <w:t>Department of Energy, Mines, Industry Regulation and Safety - WorkSafe Group (Western Australia)</w:t>
        </w:r>
      </w:hyperlink>
      <w:r w:rsidR="00656A6A">
        <w:t xml:space="preserve">, </w:t>
      </w:r>
      <w:r w:rsidR="00656A6A" w:rsidRPr="00656A6A">
        <w:t>Anonymous (Permission not granted for publication)</w:t>
      </w:r>
      <w:r w:rsidR="00656A6A">
        <w:t>,</w:t>
      </w:r>
      <w:r w:rsidR="005402AB">
        <w:t xml:space="preserve"> and </w:t>
      </w:r>
      <w:hyperlink r:id="rId430" w:history="1">
        <w:r w:rsidR="005402AB" w:rsidRPr="005402AB">
          <w:rPr>
            <w:rStyle w:val="Hyperlink"/>
          </w:rPr>
          <w:t>Anonymous</w:t>
        </w:r>
      </w:hyperlink>
    </w:p>
  </w:footnote>
  <w:footnote w:id="327">
    <w:p w14:paraId="28871C06" w14:textId="40B04082" w:rsidR="003C6210" w:rsidRDefault="003C6210">
      <w:pPr>
        <w:pStyle w:val="FootnoteText"/>
      </w:pPr>
      <w:r>
        <w:rPr>
          <w:rStyle w:val="FootnoteReference"/>
        </w:rPr>
        <w:footnoteRef/>
      </w:r>
      <w:r>
        <w:t xml:space="preserve"> </w:t>
      </w:r>
      <w:hyperlink r:id="rId431" w:history="1">
        <w:r w:rsidRPr="00EF29FD">
          <w:rPr>
            <w:rStyle w:val="Hyperlink"/>
          </w:rPr>
          <w:t>Accord Australasia</w:t>
        </w:r>
      </w:hyperlink>
    </w:p>
  </w:footnote>
  <w:footnote w:id="328">
    <w:p w14:paraId="105B57C9" w14:textId="2DE97F41" w:rsidR="00BF2DD7" w:rsidRDefault="00BF2DD7">
      <w:pPr>
        <w:pStyle w:val="FootnoteText"/>
      </w:pPr>
      <w:r>
        <w:rPr>
          <w:rStyle w:val="FootnoteReference"/>
        </w:rPr>
        <w:footnoteRef/>
      </w:r>
      <w:r>
        <w:t xml:space="preserve"> </w:t>
      </w:r>
      <w:hyperlink r:id="rId432" w:history="1">
        <w:r w:rsidRPr="00703538">
          <w:rPr>
            <w:rStyle w:val="Hyperlink"/>
          </w:rPr>
          <w:t>Australian Industry Group</w:t>
        </w:r>
      </w:hyperlink>
    </w:p>
  </w:footnote>
  <w:footnote w:id="329">
    <w:p w14:paraId="076E4B6B" w14:textId="4F28309C" w:rsidR="009875BE" w:rsidRDefault="009875BE">
      <w:pPr>
        <w:pStyle w:val="FootnoteText"/>
      </w:pPr>
      <w:r>
        <w:rPr>
          <w:rStyle w:val="FootnoteReference"/>
        </w:rPr>
        <w:footnoteRef/>
      </w:r>
      <w:r>
        <w:t xml:space="preserve"> </w:t>
      </w:r>
      <w:r w:rsidR="00B36AFE">
        <w:t>NIOSH 7301, 7303</w:t>
      </w:r>
    </w:p>
  </w:footnote>
  <w:footnote w:id="330">
    <w:p w14:paraId="3CE31F5E" w14:textId="40E64D98" w:rsidR="004B7AA0" w:rsidRDefault="004B7AA0">
      <w:pPr>
        <w:pStyle w:val="FootnoteText"/>
      </w:pPr>
      <w:r>
        <w:rPr>
          <w:rStyle w:val="FootnoteReference"/>
        </w:rPr>
        <w:footnoteRef/>
      </w:r>
      <w:r>
        <w:t xml:space="preserve"> </w:t>
      </w:r>
      <w:hyperlink r:id="rId433" w:history="1">
        <w:r w:rsidRPr="004B7AA0">
          <w:rPr>
            <w:rStyle w:val="Hyperlink"/>
          </w:rPr>
          <w:t>Anonymous</w:t>
        </w:r>
      </w:hyperlink>
    </w:p>
  </w:footnote>
  <w:footnote w:id="331">
    <w:p w14:paraId="7C1C9671" w14:textId="29ACEF63" w:rsidR="00C72F9C" w:rsidRDefault="00C72F9C">
      <w:pPr>
        <w:pStyle w:val="FootnoteText"/>
      </w:pPr>
      <w:r>
        <w:rPr>
          <w:rStyle w:val="FootnoteReference"/>
        </w:rPr>
        <w:footnoteRef/>
      </w:r>
      <w:r>
        <w:t xml:space="preserve"> </w:t>
      </w:r>
      <w:hyperlink r:id="rId434" w:history="1">
        <w:r w:rsidRPr="00DE2545">
          <w:rPr>
            <w:rStyle w:val="Hyperlink"/>
          </w:rPr>
          <w:t>Dep</w:t>
        </w:r>
        <w:r w:rsidR="00F83629" w:rsidRPr="00DE2545">
          <w:rPr>
            <w:rStyle w:val="Hyperlink"/>
          </w:rPr>
          <w:t>artmen</w:t>
        </w:r>
        <w:r w:rsidRPr="00DE2545">
          <w:rPr>
            <w:rStyle w:val="Hyperlink"/>
          </w:rPr>
          <w:t>t of Defence</w:t>
        </w:r>
      </w:hyperlink>
    </w:p>
  </w:footnote>
  <w:footnote w:id="332">
    <w:p w14:paraId="4E1EA3C0" w14:textId="5C29392D" w:rsidR="00510851" w:rsidRDefault="00510851">
      <w:pPr>
        <w:pStyle w:val="FootnoteText"/>
      </w:pPr>
      <w:r>
        <w:rPr>
          <w:rStyle w:val="FootnoteReference"/>
        </w:rPr>
        <w:footnoteRef/>
      </w:r>
      <w:r>
        <w:t xml:space="preserve"> </w:t>
      </w:r>
      <w:r w:rsidRPr="00510851">
        <w:t>Anonymous (</w:t>
      </w:r>
      <w:r w:rsidR="0003048E">
        <w:t>p</w:t>
      </w:r>
      <w:r w:rsidRPr="00510851">
        <w:t>ermission not granted for publication)</w:t>
      </w:r>
    </w:p>
  </w:footnote>
  <w:footnote w:id="333">
    <w:p w14:paraId="16770178" w14:textId="77777777" w:rsidR="007159B2" w:rsidRPr="00D347BF" w:rsidRDefault="007159B2" w:rsidP="007159B2">
      <w:pPr>
        <w:pStyle w:val="FootnoteText"/>
        <w:rPr>
          <w:sz w:val="16"/>
          <w:szCs w:val="16"/>
        </w:rPr>
      </w:pPr>
      <w:r w:rsidRPr="00E974C5">
        <w:rPr>
          <w:rStyle w:val="FootnoteReference"/>
        </w:rPr>
        <w:footnoteRef/>
      </w:r>
      <w:r w:rsidRPr="00E974C5">
        <w:t xml:space="preserve"> </w:t>
      </w:r>
      <w:hyperlink r:id="rId435" w:history="1">
        <w:r w:rsidRPr="00E974C5">
          <w:rPr>
            <w:rStyle w:val="Hyperlink"/>
          </w:rPr>
          <w:t>Anonymous</w:t>
        </w:r>
      </w:hyperlink>
    </w:p>
  </w:footnote>
  <w:footnote w:id="334">
    <w:p w14:paraId="6DCD1B3A" w14:textId="5C7A5889" w:rsidR="00DA37BB" w:rsidRDefault="00DA37BB">
      <w:pPr>
        <w:pStyle w:val="FootnoteText"/>
      </w:pPr>
      <w:r>
        <w:rPr>
          <w:rStyle w:val="FootnoteReference"/>
        </w:rPr>
        <w:footnoteRef/>
      </w:r>
      <w:r>
        <w:t xml:space="preserve"> </w:t>
      </w:r>
      <w:hyperlink r:id="rId436" w:history="1">
        <w:r w:rsidR="00EC3301" w:rsidRPr="00EC3301">
          <w:rPr>
            <w:rStyle w:val="Hyperlink"/>
          </w:rPr>
          <w:t>WES Methodology - Recommending health-based workplace exposure standards and notations</w:t>
        </w:r>
      </w:hyperlink>
    </w:p>
  </w:footnote>
  <w:footnote w:id="335">
    <w:p w14:paraId="54BC56FE" w14:textId="77777777" w:rsidR="007B18D8" w:rsidRPr="004D0176" w:rsidRDefault="007B18D8" w:rsidP="005A4171">
      <w:pPr>
        <w:pStyle w:val="FootnoteText"/>
        <w:rPr>
          <w:sz w:val="16"/>
          <w:szCs w:val="16"/>
        </w:rPr>
      </w:pPr>
      <w:r w:rsidRPr="004D0176">
        <w:rPr>
          <w:rStyle w:val="FootnoteReference"/>
          <w:sz w:val="16"/>
          <w:szCs w:val="16"/>
        </w:rPr>
        <w:footnoteRef/>
      </w:r>
      <w:r w:rsidRPr="004D0176">
        <w:rPr>
          <w:sz w:val="16"/>
          <w:szCs w:val="16"/>
        </w:rPr>
        <w:t xml:space="preserve"> The </w:t>
      </w:r>
      <w:r>
        <w:rPr>
          <w:sz w:val="16"/>
          <w:szCs w:val="16"/>
        </w:rPr>
        <w:t>estimated number of future RCS businesses assumes that recent regulatory changes for silica-containing products will not impact the number of businesses where workers are at risk of exposure to RCS</w:t>
      </w:r>
      <w:r w:rsidRPr="004D0176">
        <w:rPr>
          <w:sz w:val="16"/>
          <w:szCs w:val="16"/>
        </w:rPr>
        <w:t>.</w:t>
      </w:r>
    </w:p>
  </w:footnote>
  <w:footnote w:id="336">
    <w:p w14:paraId="7D845686" w14:textId="77777777" w:rsidR="006D5BAD" w:rsidRPr="004D0176" w:rsidRDefault="006D5BAD" w:rsidP="000B2640">
      <w:pPr>
        <w:pStyle w:val="FootnoteText"/>
        <w:rPr>
          <w:sz w:val="16"/>
          <w:szCs w:val="16"/>
        </w:rPr>
      </w:pPr>
      <w:r w:rsidRPr="004D0176">
        <w:rPr>
          <w:rStyle w:val="FootnoteReference"/>
          <w:sz w:val="16"/>
          <w:szCs w:val="16"/>
        </w:rPr>
        <w:footnoteRef/>
      </w:r>
      <w:r w:rsidRPr="004D0176">
        <w:rPr>
          <w:sz w:val="16"/>
          <w:szCs w:val="16"/>
        </w:rPr>
        <w:t xml:space="preserve"> The </w:t>
      </w:r>
      <w:r>
        <w:rPr>
          <w:sz w:val="16"/>
          <w:szCs w:val="16"/>
        </w:rPr>
        <w:t>estimated number of future RCS businesses assumes that recent regulatory changes for silica-containing products will not impact the number of businesses where workers are at risk of exposure to RCS</w:t>
      </w:r>
      <w:r w:rsidRPr="004D0176">
        <w:rPr>
          <w:sz w:val="16"/>
          <w:szCs w:val="16"/>
        </w:rPr>
        <w:t>.</w:t>
      </w:r>
    </w:p>
  </w:footnote>
  <w:footnote w:id="337">
    <w:p w14:paraId="6F743F36" w14:textId="77777777" w:rsidR="003C50CE" w:rsidRPr="00F53A94" w:rsidRDefault="003C50CE" w:rsidP="003C50CE">
      <w:pPr>
        <w:pStyle w:val="FootnoteText"/>
        <w:rPr>
          <w:sz w:val="16"/>
          <w:szCs w:val="16"/>
        </w:rPr>
      </w:pPr>
      <w:r w:rsidRPr="00F53A94">
        <w:rPr>
          <w:rStyle w:val="FootnoteReference"/>
          <w:sz w:val="16"/>
          <w:szCs w:val="16"/>
        </w:rPr>
        <w:footnoteRef/>
      </w:r>
      <w:r w:rsidRPr="00F53A94">
        <w:rPr>
          <w:sz w:val="16"/>
          <w:szCs w:val="16"/>
        </w:rPr>
        <w:t xml:space="preserve"> The GBD study also estimated the burden of disease attributable to diesel engine exhaust, of which nitrogen dioxide is a constituent chemical. This burden has not been considered as part of this impact analysis.</w:t>
      </w:r>
    </w:p>
  </w:footnote>
  <w:footnote w:id="338">
    <w:p w14:paraId="245FEFDE" w14:textId="77777777" w:rsidR="00E31C95" w:rsidRDefault="00E31C95" w:rsidP="00E31C95">
      <w:pPr>
        <w:pStyle w:val="FootnoteText"/>
      </w:pPr>
      <w:r>
        <w:rPr>
          <w:rStyle w:val="FootnoteReference"/>
        </w:rPr>
        <w:footnoteRef/>
      </w:r>
      <w:r w:rsidRPr="00B873F9">
        <w:rPr>
          <w:sz w:val="16"/>
          <w:szCs w:val="16"/>
        </w:rPr>
        <w:t xml:space="preserve"> The</w:t>
      </w:r>
      <w:r>
        <w:rPr>
          <w:sz w:val="16"/>
          <w:szCs w:val="16"/>
        </w:rPr>
        <w:t xml:space="preserve"> annual costs for engineering controls have been calculated in line with the equation immediately above the call-out box.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43EC0DE" w14:paraId="26621FB4" w14:textId="77777777" w:rsidTr="00A52086">
      <w:trPr>
        <w:trHeight w:val="300"/>
      </w:trPr>
      <w:tc>
        <w:tcPr>
          <w:tcW w:w="3005" w:type="dxa"/>
        </w:tcPr>
        <w:p w14:paraId="1C2C364C" w14:textId="197F7647" w:rsidR="243EC0DE" w:rsidRDefault="243EC0DE" w:rsidP="00A52086">
          <w:pPr>
            <w:pStyle w:val="Header"/>
            <w:ind w:left="-115"/>
          </w:pPr>
        </w:p>
      </w:tc>
      <w:tc>
        <w:tcPr>
          <w:tcW w:w="3005" w:type="dxa"/>
        </w:tcPr>
        <w:p w14:paraId="784057F3" w14:textId="7C94E138" w:rsidR="243EC0DE" w:rsidRDefault="243EC0DE" w:rsidP="00A52086">
          <w:pPr>
            <w:pStyle w:val="Header"/>
            <w:jc w:val="center"/>
          </w:pPr>
        </w:p>
      </w:tc>
      <w:tc>
        <w:tcPr>
          <w:tcW w:w="3005" w:type="dxa"/>
        </w:tcPr>
        <w:p w14:paraId="25ED9572" w14:textId="069AEC86" w:rsidR="243EC0DE" w:rsidRDefault="243EC0DE" w:rsidP="00A52086">
          <w:pPr>
            <w:pStyle w:val="Header"/>
            <w:ind w:right="-115"/>
            <w:jc w:val="right"/>
          </w:pPr>
        </w:p>
      </w:tc>
    </w:tr>
  </w:tbl>
  <w:p w14:paraId="6BF910D1" w14:textId="5B9E037E" w:rsidR="243EC0DE" w:rsidRDefault="243EC0DE" w:rsidP="001E0F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25A0" w14:textId="1CE021F5" w:rsidR="243EC0DE" w:rsidRDefault="243EC0DE" w:rsidP="00FC49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3DB8" w14:textId="00E0A5B9" w:rsidR="007B748D" w:rsidRDefault="007B74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1441" w14:textId="19055EBE" w:rsidR="007401D6" w:rsidRDefault="007401D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7614" w14:textId="7E104FB9" w:rsidR="007401D6" w:rsidRDefault="007401D6">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E880" w14:textId="5D838154" w:rsidR="007401D6" w:rsidRDefault="00740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A6FA" w14:textId="4FBA5713" w:rsidR="000746F6" w:rsidRDefault="000746F6">
    <w:pPr>
      <w:pStyle w:val="Header"/>
    </w:pPr>
  </w:p>
  <w:p w14:paraId="2B40A6D4" w14:textId="77777777" w:rsidR="000746F6" w:rsidRDefault="000746F6">
    <w:pPr>
      <w:pStyle w:val="Header"/>
    </w:pPr>
  </w:p>
  <w:p w14:paraId="6A4CDCF8" w14:textId="77777777" w:rsidR="000746F6" w:rsidRDefault="008F3F28">
    <w:pPr>
      <w:pStyle w:val="Header"/>
    </w:pPr>
    <w:r>
      <w:rPr>
        <w:noProof/>
      </w:rPr>
      <mc:AlternateContent>
        <mc:Choice Requires="wps">
          <w:drawing>
            <wp:anchor distT="0" distB="0" distL="114300" distR="114300" simplePos="0" relativeHeight="251658241" behindDoc="0" locked="0" layoutInCell="1" allowOverlap="1" wp14:anchorId="25FF7F30" wp14:editId="00729CC8">
              <wp:simplePos x="0" y="0"/>
              <wp:positionH relativeFrom="column">
                <wp:posOffset>4443055</wp:posOffset>
              </wp:positionH>
              <wp:positionV relativeFrom="paragraph">
                <wp:posOffset>1672920</wp:posOffset>
              </wp:positionV>
              <wp:extent cx="5210997" cy="5591175"/>
              <wp:effectExtent l="38100" t="38100" r="46990" b="476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noFill/>
                      <a:ln w="76200" cap="rnd">
                        <a:solidFill>
                          <a:schemeClr val="tx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DCA4" id="Flowchart: Manual Input 1" o:spid="_x0000_s1026" style="position:absolute;margin-left:349.85pt;margin-top:131.75pt;width:410.3pt;height:440.2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" path="m3970,121176c-14935,49956,37098,,87959,l2570775,v50861,,92092,41231,92092,92092l2662867,2974958v,50861,-41231,92092,-92092,92092l910942,3076575v-75167,,-116397,-58681,-129901,-109542l3970,121176xe" filled="f" strokecolor="#987cf6 [1311]" strokeweight="6pt">
              <v:stroke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8240" behindDoc="0" locked="0" layoutInCell="1" allowOverlap="1" wp14:anchorId="1D154861" wp14:editId="6859B730">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26" style="position:absolute;margin-left:301.15pt;margin-top:131.75pt;width:410.5pt;height:4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B072" w14:textId="011632CE" w:rsidR="007B748D" w:rsidRDefault="007B74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43EC0DE" w14:paraId="53DE6D30" w14:textId="77777777" w:rsidTr="00A52086">
      <w:trPr>
        <w:trHeight w:val="300"/>
      </w:trPr>
      <w:tc>
        <w:tcPr>
          <w:tcW w:w="3005" w:type="dxa"/>
        </w:tcPr>
        <w:p w14:paraId="23B4B36C" w14:textId="0B97EAF8" w:rsidR="243EC0DE" w:rsidRDefault="243EC0DE" w:rsidP="00A52086">
          <w:pPr>
            <w:pStyle w:val="Header"/>
            <w:ind w:left="-115"/>
          </w:pPr>
        </w:p>
      </w:tc>
      <w:tc>
        <w:tcPr>
          <w:tcW w:w="3005" w:type="dxa"/>
        </w:tcPr>
        <w:p w14:paraId="18F2ECD3" w14:textId="75AFB52E" w:rsidR="243EC0DE" w:rsidRDefault="243EC0DE" w:rsidP="00A52086">
          <w:pPr>
            <w:pStyle w:val="Header"/>
            <w:jc w:val="center"/>
          </w:pPr>
        </w:p>
      </w:tc>
      <w:tc>
        <w:tcPr>
          <w:tcW w:w="3005" w:type="dxa"/>
        </w:tcPr>
        <w:p w14:paraId="3FB04A3C" w14:textId="2063CF98" w:rsidR="243EC0DE" w:rsidRDefault="243EC0DE" w:rsidP="00A52086">
          <w:pPr>
            <w:pStyle w:val="Header"/>
            <w:ind w:right="-115"/>
            <w:jc w:val="right"/>
          </w:pPr>
        </w:p>
      </w:tc>
    </w:tr>
  </w:tbl>
  <w:p w14:paraId="223FE4BF" w14:textId="4BA7B3B2" w:rsidR="243EC0DE" w:rsidRDefault="243EC0DE" w:rsidP="001E0F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7043" w14:textId="57F8DBD4"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648F" w14:textId="189CF1BA" w:rsidR="007B748D" w:rsidRDefault="007B74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43EC0DE" w14:paraId="25358360" w14:textId="77777777" w:rsidTr="00A52086">
      <w:trPr>
        <w:trHeight w:val="300"/>
      </w:trPr>
      <w:tc>
        <w:tcPr>
          <w:tcW w:w="3005" w:type="dxa"/>
        </w:tcPr>
        <w:p w14:paraId="7142A3AE" w14:textId="47F23E27" w:rsidR="243EC0DE" w:rsidRDefault="243EC0DE" w:rsidP="00A52086">
          <w:pPr>
            <w:pStyle w:val="Header"/>
            <w:ind w:left="-115"/>
          </w:pPr>
        </w:p>
      </w:tc>
      <w:tc>
        <w:tcPr>
          <w:tcW w:w="3005" w:type="dxa"/>
        </w:tcPr>
        <w:p w14:paraId="6613BA41" w14:textId="777B3720" w:rsidR="243EC0DE" w:rsidRDefault="243EC0DE" w:rsidP="00A52086">
          <w:pPr>
            <w:pStyle w:val="Header"/>
            <w:jc w:val="center"/>
          </w:pPr>
        </w:p>
      </w:tc>
      <w:tc>
        <w:tcPr>
          <w:tcW w:w="3005" w:type="dxa"/>
        </w:tcPr>
        <w:p w14:paraId="645339E6" w14:textId="3C3BC073" w:rsidR="243EC0DE" w:rsidRDefault="243EC0DE" w:rsidP="00A52086">
          <w:pPr>
            <w:pStyle w:val="Header"/>
            <w:ind w:right="-115"/>
            <w:jc w:val="right"/>
          </w:pPr>
        </w:p>
      </w:tc>
    </w:tr>
  </w:tbl>
  <w:p w14:paraId="66A8B819" w14:textId="57F22E22" w:rsidR="243EC0DE" w:rsidRDefault="243EC0DE" w:rsidP="001E0F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5CE8E" w14:textId="7BA5899B" w:rsidR="000746F6" w:rsidRDefault="000746F6">
    <w:pPr>
      <w:pStyle w:val="Header"/>
    </w:pPr>
  </w:p>
  <w:p w14:paraId="1701FA93" w14:textId="77777777" w:rsidR="000746F6" w:rsidRDefault="000746F6">
    <w:pPr>
      <w:pStyle w:val="Header"/>
    </w:pPr>
  </w:p>
  <w:p w14:paraId="41F69CD7" w14:textId="77777777" w:rsidR="000746F6" w:rsidRDefault="000746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A6D6" w14:textId="454255BE" w:rsidR="007B748D" w:rsidRDefault="007B7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60079D6"/>
    <w:lvl w:ilvl="0">
      <w:start w:val="1"/>
      <w:numFmt w:val="decimal"/>
      <w:pStyle w:val="ListNumber"/>
      <w:lvlText w:val="%1."/>
      <w:lvlJc w:val="left"/>
      <w:pPr>
        <w:tabs>
          <w:tab w:val="num" w:pos="360"/>
        </w:tabs>
        <w:ind w:left="360" w:hanging="360"/>
      </w:pPr>
    </w:lvl>
  </w:abstractNum>
  <w:abstractNum w:abstractNumId="1" w15:restartNumberingAfterBreak="0">
    <w:nsid w:val="01EF69B1"/>
    <w:multiLevelType w:val="hybridMultilevel"/>
    <w:tmpl w:val="EA0C8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5219F"/>
    <w:multiLevelType w:val="hybridMultilevel"/>
    <w:tmpl w:val="2864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90E25"/>
    <w:multiLevelType w:val="hybridMultilevel"/>
    <w:tmpl w:val="24E6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B388A"/>
    <w:multiLevelType w:val="hybridMultilevel"/>
    <w:tmpl w:val="9A4E0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27528"/>
    <w:multiLevelType w:val="multilevel"/>
    <w:tmpl w:val="4776DE1A"/>
    <w:lvl w:ilvl="0">
      <w:start w:val="1"/>
      <w:numFmt w:val="bullet"/>
      <w:lvlText w:val=""/>
      <w:lvlJc w:val="left"/>
      <w:pPr>
        <w:ind w:left="1020" w:hanging="340"/>
      </w:pPr>
      <w:rPr>
        <w:rFonts w:ascii="Symbol" w:hAnsi="Symbol" w:hint="default"/>
        <w:sz w:val="16"/>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6" w15:restartNumberingAfterBreak="0">
    <w:nsid w:val="04544CD5"/>
    <w:multiLevelType w:val="hybridMultilevel"/>
    <w:tmpl w:val="2AD0C580"/>
    <w:lvl w:ilvl="0" w:tplc="0C090001">
      <w:start w:val="1"/>
      <w:numFmt w:val="bullet"/>
      <w:lvlText w:val=""/>
      <w:lvlJc w:val="left"/>
      <w:pPr>
        <w:ind w:left="78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 w15:restartNumberingAfterBreak="0">
    <w:nsid w:val="04F60A71"/>
    <w:multiLevelType w:val="hybridMultilevel"/>
    <w:tmpl w:val="9C04F54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644"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A4220D"/>
    <w:multiLevelType w:val="hybridMultilevel"/>
    <w:tmpl w:val="306E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DF4210"/>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1" w15:restartNumberingAfterBreak="0">
    <w:nsid w:val="08F66733"/>
    <w:multiLevelType w:val="hybridMultilevel"/>
    <w:tmpl w:val="C7FA70E6"/>
    <w:lvl w:ilvl="0" w:tplc="0C090001">
      <w:start w:val="1"/>
      <w:numFmt w:val="bullet"/>
      <w:lvlText w:val=""/>
      <w:lvlJc w:val="left"/>
      <w:pPr>
        <w:ind w:left="846" w:hanging="360"/>
      </w:pPr>
      <w:rPr>
        <w:rFonts w:ascii="Symbol" w:hAnsi="Symbo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12" w15:restartNumberingAfterBreak="0">
    <w:nsid w:val="09C75427"/>
    <w:multiLevelType w:val="hybridMultilevel"/>
    <w:tmpl w:val="C60C365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0B34004B"/>
    <w:multiLevelType w:val="hybridMultilevel"/>
    <w:tmpl w:val="F2681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EE62A9"/>
    <w:multiLevelType w:val="hybridMultilevel"/>
    <w:tmpl w:val="7848C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E304BD"/>
    <w:multiLevelType w:val="hybridMultilevel"/>
    <w:tmpl w:val="EAF6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F073BB"/>
    <w:multiLevelType w:val="hybridMultilevel"/>
    <w:tmpl w:val="7D28F79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D0F22E3"/>
    <w:multiLevelType w:val="hybridMultilevel"/>
    <w:tmpl w:val="3004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EA5CB7"/>
    <w:multiLevelType w:val="hybridMultilevel"/>
    <w:tmpl w:val="267A6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07407F"/>
    <w:multiLevelType w:val="hybridMultilevel"/>
    <w:tmpl w:val="26DC0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D468E0"/>
    <w:multiLevelType w:val="hybridMultilevel"/>
    <w:tmpl w:val="6860A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2C7640"/>
    <w:multiLevelType w:val="hybridMultilevel"/>
    <w:tmpl w:val="FB48C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E45CBD"/>
    <w:multiLevelType w:val="hybridMultilevel"/>
    <w:tmpl w:val="0AE076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138E522A"/>
    <w:multiLevelType w:val="hybridMultilevel"/>
    <w:tmpl w:val="B14C4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8A1C2C"/>
    <w:multiLevelType w:val="hybridMultilevel"/>
    <w:tmpl w:val="AA7AA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CE5BF9"/>
    <w:multiLevelType w:val="hybridMultilevel"/>
    <w:tmpl w:val="6738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8F3BF5"/>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7" w15:restartNumberingAfterBreak="0">
    <w:nsid w:val="16641DF2"/>
    <w:multiLevelType w:val="hybridMultilevel"/>
    <w:tmpl w:val="CFD6E644"/>
    <w:lvl w:ilvl="0" w:tplc="C6BA8346">
      <w:start w:val="12"/>
      <w:numFmt w:val="decimal"/>
      <w:pStyle w:val="numberedpara"/>
      <w:lvlText w:val="%1."/>
      <w:lvlJc w:val="left"/>
      <w:pPr>
        <w:tabs>
          <w:tab w:val="num" w:pos="1134"/>
        </w:tabs>
        <w:ind w:left="567" w:hanging="567"/>
      </w:pPr>
      <w:rPr>
        <w:rFonts w:ascii="Arial" w:hAnsi="Arial" w:cs="Arial" w:hint="default"/>
        <w:b w:val="0"/>
        <w:i w:val="0"/>
        <w:color w:val="auto"/>
        <w:sz w:val="22"/>
      </w:rPr>
    </w:lvl>
    <w:lvl w:ilvl="1" w:tplc="0C090003">
      <w:start w:val="1"/>
      <w:numFmt w:val="bullet"/>
      <w:lvlText w:val="o"/>
      <w:lvlJc w:val="left"/>
      <w:pPr>
        <w:tabs>
          <w:tab w:val="num" w:pos="1440"/>
        </w:tabs>
        <w:ind w:left="1440" w:hanging="360"/>
      </w:pPr>
      <w:rPr>
        <w:rFonts w:ascii="Courier New" w:hAnsi="Courier New" w:cs="Courier New" w:hint="default"/>
        <w:b w:val="0"/>
        <w:i w:val="0"/>
        <w:color w:val="auto"/>
        <w:sz w:val="22"/>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rFonts w:hint="default"/>
        <w:b w:val="0"/>
        <w:i w:val="0"/>
        <w:color w:val="auto"/>
        <w:sz w:val="22"/>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16E760C8"/>
    <w:multiLevelType w:val="hybridMultilevel"/>
    <w:tmpl w:val="61B27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205323"/>
    <w:multiLevelType w:val="hybridMultilevel"/>
    <w:tmpl w:val="FFFC1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6647AF"/>
    <w:multiLevelType w:val="hybridMultilevel"/>
    <w:tmpl w:val="B5AAC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7681D86"/>
    <w:multiLevelType w:val="hybridMultilevel"/>
    <w:tmpl w:val="CAD8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CC1029"/>
    <w:multiLevelType w:val="hybridMultilevel"/>
    <w:tmpl w:val="73002C0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19451224"/>
    <w:multiLevelType w:val="hybridMultilevel"/>
    <w:tmpl w:val="4F6A0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9D5237C"/>
    <w:multiLevelType w:val="hybridMultilevel"/>
    <w:tmpl w:val="063EC58E"/>
    <w:lvl w:ilvl="0" w:tplc="8C8A3232">
      <w:start w:val="1"/>
      <w:numFmt w:val="decimal"/>
      <w:pStyle w:val="2018Review1stHeading"/>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B066326"/>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37" w15:restartNumberingAfterBreak="0">
    <w:nsid w:val="1BE84E5C"/>
    <w:multiLevelType w:val="hybridMultilevel"/>
    <w:tmpl w:val="D98E9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BE96EE0"/>
    <w:multiLevelType w:val="hybridMultilevel"/>
    <w:tmpl w:val="A1AE3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D770922"/>
    <w:multiLevelType w:val="hybridMultilevel"/>
    <w:tmpl w:val="2A08D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BE34F0"/>
    <w:multiLevelType w:val="hybridMultilevel"/>
    <w:tmpl w:val="0DEA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F87C18"/>
    <w:multiLevelType w:val="multilevel"/>
    <w:tmpl w:val="65E0B712"/>
    <w:lvl w:ilvl="0">
      <w:start w:val="1"/>
      <w:numFmt w:val="bullet"/>
      <w:lvlText w:val=""/>
      <w:lvlJc w:val="left"/>
      <w:pPr>
        <w:ind w:left="340" w:hanging="340"/>
      </w:pPr>
      <w:rPr>
        <w:rFonts w:ascii="Symbol" w:hAnsi="Symbol" w:hint="default"/>
        <w:sz w:val="22"/>
        <w:szCs w:val="3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DFD3208"/>
    <w:multiLevelType w:val="hybridMultilevel"/>
    <w:tmpl w:val="1BDC2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FC92505"/>
    <w:multiLevelType w:val="hybridMultilevel"/>
    <w:tmpl w:val="F0126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1893E9F"/>
    <w:multiLevelType w:val="hybridMultilevel"/>
    <w:tmpl w:val="5318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5A7FB2"/>
    <w:multiLevelType w:val="hybridMultilevel"/>
    <w:tmpl w:val="5AD05D2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6" w15:restartNumberingAfterBreak="0">
    <w:nsid w:val="22CF0F49"/>
    <w:multiLevelType w:val="hybridMultilevel"/>
    <w:tmpl w:val="080C0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2FC5735"/>
    <w:multiLevelType w:val="hybridMultilevel"/>
    <w:tmpl w:val="A7B8BD8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8" w15:restartNumberingAfterBreak="0">
    <w:nsid w:val="23D01D7F"/>
    <w:multiLevelType w:val="hybridMultilevel"/>
    <w:tmpl w:val="8892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8A4588"/>
    <w:multiLevelType w:val="hybridMultilevel"/>
    <w:tmpl w:val="6F7E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59D36FB"/>
    <w:multiLevelType w:val="hybridMultilevel"/>
    <w:tmpl w:val="D2AE0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3F02D8"/>
    <w:multiLevelType w:val="hybridMultilevel"/>
    <w:tmpl w:val="6B18E9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270052A0"/>
    <w:multiLevelType w:val="multilevel"/>
    <w:tmpl w:val="79E6CC50"/>
    <w:lvl w:ilvl="0">
      <w:start w:val="1"/>
      <w:numFmt w:val="bullet"/>
      <w:lvlText w:val="o"/>
      <w:lvlJc w:val="left"/>
      <w:pPr>
        <w:ind w:left="1020" w:hanging="340"/>
      </w:pPr>
      <w:rPr>
        <w:rFonts w:ascii="Courier New" w:hAnsi="Courier New" w:cs="Courier New" w:hint="default"/>
        <w:sz w:val="22"/>
        <w:szCs w:val="22"/>
      </w:rPr>
    </w:lvl>
    <w:lvl w:ilvl="1">
      <w:start w:val="1"/>
      <w:numFmt w:val="bullet"/>
      <w:lvlText w:val=""/>
      <w:lvlJc w:val="left"/>
      <w:pPr>
        <w:ind w:left="1360" w:hanging="340"/>
      </w:pPr>
      <w:rPr>
        <w:rFonts w:ascii="Symbol" w:hAnsi="Symbol" w:hint="default"/>
        <w:sz w:val="16"/>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53" w15:restartNumberingAfterBreak="0">
    <w:nsid w:val="27383F8B"/>
    <w:multiLevelType w:val="hybridMultilevel"/>
    <w:tmpl w:val="0BEEFD2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4" w15:restartNumberingAfterBreak="0">
    <w:nsid w:val="28534252"/>
    <w:multiLevelType w:val="hybridMultilevel"/>
    <w:tmpl w:val="22DA5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993B2A"/>
    <w:multiLevelType w:val="hybridMultilevel"/>
    <w:tmpl w:val="FEEEB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93D30D8"/>
    <w:multiLevelType w:val="hybridMultilevel"/>
    <w:tmpl w:val="18A01C7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7" w15:restartNumberingAfterBreak="0">
    <w:nsid w:val="2A594A19"/>
    <w:multiLevelType w:val="hybridMultilevel"/>
    <w:tmpl w:val="19E26B2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2BBC0DC5"/>
    <w:multiLevelType w:val="hybridMultilevel"/>
    <w:tmpl w:val="0544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2D803E3F"/>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61" w15:restartNumberingAfterBreak="0">
    <w:nsid w:val="2DF25E15"/>
    <w:multiLevelType w:val="hybridMultilevel"/>
    <w:tmpl w:val="1E365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E053CE7"/>
    <w:multiLevelType w:val="hybridMultilevel"/>
    <w:tmpl w:val="59462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F8D61C8"/>
    <w:multiLevelType w:val="hybridMultilevel"/>
    <w:tmpl w:val="D0829E40"/>
    <w:lvl w:ilvl="0" w:tplc="950ED40A">
      <w:start w:val="1"/>
      <w:numFmt w:val="bullet"/>
      <w:pStyle w:val="2018Review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F9E7501"/>
    <w:multiLevelType w:val="hybridMultilevel"/>
    <w:tmpl w:val="D430B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0EC035E"/>
    <w:multiLevelType w:val="hybridMultilevel"/>
    <w:tmpl w:val="B9E62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6D51D5"/>
    <w:multiLevelType w:val="hybridMultilevel"/>
    <w:tmpl w:val="4C2E134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67" w15:restartNumberingAfterBreak="0">
    <w:nsid w:val="31A54075"/>
    <w:multiLevelType w:val="hybridMultilevel"/>
    <w:tmpl w:val="38521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1AD7698"/>
    <w:multiLevelType w:val="hybridMultilevel"/>
    <w:tmpl w:val="9C340ECA"/>
    <w:lvl w:ilvl="0" w:tplc="0C09000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01">
      <w:start w:val="1"/>
      <w:numFmt w:val="bullet"/>
      <w:lvlText w:val=""/>
      <w:lvlJc w:val="left"/>
      <w:pPr>
        <w:ind w:left="72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3673575"/>
    <w:multiLevelType w:val="hybridMultilevel"/>
    <w:tmpl w:val="211C7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4DC0BF3"/>
    <w:multiLevelType w:val="hybridMultilevel"/>
    <w:tmpl w:val="1476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5500475"/>
    <w:multiLevelType w:val="hybridMultilevel"/>
    <w:tmpl w:val="33A6A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59E2EE5"/>
    <w:multiLevelType w:val="multilevel"/>
    <w:tmpl w:val="9D86A146"/>
    <w:lvl w:ilvl="0">
      <w:start w:val="1"/>
      <w:numFmt w:val="bullet"/>
      <w:lvlText w:val=""/>
      <w:lvlJc w:val="left"/>
      <w:pPr>
        <w:ind w:left="1020" w:hanging="340"/>
      </w:pPr>
      <w:rPr>
        <w:rFonts w:ascii="Symbol" w:hAnsi="Symbol" w:hint="default"/>
        <w:sz w:val="22"/>
        <w:szCs w:val="22"/>
      </w:rPr>
    </w:lvl>
    <w:lvl w:ilvl="1">
      <w:start w:val="1"/>
      <w:numFmt w:val="bullet"/>
      <w:lvlText w:val=""/>
      <w:lvlJc w:val="left"/>
      <w:pPr>
        <w:ind w:left="1360" w:hanging="340"/>
      </w:pPr>
      <w:rPr>
        <w:rFonts w:ascii="Symbol" w:hAnsi="Symbol" w:hint="default"/>
        <w:sz w:val="16"/>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73" w15:restartNumberingAfterBreak="0">
    <w:nsid w:val="360A5C3C"/>
    <w:multiLevelType w:val="hybridMultilevel"/>
    <w:tmpl w:val="5CC2D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61B5DD7"/>
    <w:multiLevelType w:val="hybridMultilevel"/>
    <w:tmpl w:val="7C16F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65B096C"/>
    <w:multiLevelType w:val="hybridMultilevel"/>
    <w:tmpl w:val="37926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68D0F9E"/>
    <w:multiLevelType w:val="hybridMultilevel"/>
    <w:tmpl w:val="B7E8E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6DB25E0"/>
    <w:multiLevelType w:val="hybridMultilevel"/>
    <w:tmpl w:val="591A9F58"/>
    <w:lvl w:ilvl="0" w:tplc="0C090001">
      <w:start w:val="1"/>
      <w:numFmt w:val="bullet"/>
      <w:lvlText w:val=""/>
      <w:lvlJc w:val="left"/>
      <w:pPr>
        <w:ind w:left="1173" w:hanging="360"/>
      </w:pPr>
      <w:rPr>
        <w:rFonts w:ascii="Symbol" w:hAnsi="Symbol" w:hint="default"/>
      </w:rPr>
    </w:lvl>
    <w:lvl w:ilvl="1" w:tplc="0C090003" w:tentative="1">
      <w:start w:val="1"/>
      <w:numFmt w:val="bullet"/>
      <w:lvlText w:val="o"/>
      <w:lvlJc w:val="left"/>
      <w:pPr>
        <w:ind w:left="1893" w:hanging="360"/>
      </w:pPr>
      <w:rPr>
        <w:rFonts w:ascii="Courier New" w:hAnsi="Courier New" w:cs="Courier New" w:hint="default"/>
      </w:rPr>
    </w:lvl>
    <w:lvl w:ilvl="2" w:tplc="0C090005" w:tentative="1">
      <w:start w:val="1"/>
      <w:numFmt w:val="bullet"/>
      <w:lvlText w:val=""/>
      <w:lvlJc w:val="left"/>
      <w:pPr>
        <w:ind w:left="2613" w:hanging="360"/>
      </w:pPr>
      <w:rPr>
        <w:rFonts w:ascii="Wingdings" w:hAnsi="Wingdings" w:hint="default"/>
      </w:rPr>
    </w:lvl>
    <w:lvl w:ilvl="3" w:tplc="0C090001" w:tentative="1">
      <w:start w:val="1"/>
      <w:numFmt w:val="bullet"/>
      <w:lvlText w:val=""/>
      <w:lvlJc w:val="left"/>
      <w:pPr>
        <w:ind w:left="3333" w:hanging="360"/>
      </w:pPr>
      <w:rPr>
        <w:rFonts w:ascii="Symbol" w:hAnsi="Symbol" w:hint="default"/>
      </w:rPr>
    </w:lvl>
    <w:lvl w:ilvl="4" w:tplc="0C090003" w:tentative="1">
      <w:start w:val="1"/>
      <w:numFmt w:val="bullet"/>
      <w:lvlText w:val="o"/>
      <w:lvlJc w:val="left"/>
      <w:pPr>
        <w:ind w:left="4053" w:hanging="360"/>
      </w:pPr>
      <w:rPr>
        <w:rFonts w:ascii="Courier New" w:hAnsi="Courier New" w:cs="Courier New" w:hint="default"/>
      </w:rPr>
    </w:lvl>
    <w:lvl w:ilvl="5" w:tplc="0C090005" w:tentative="1">
      <w:start w:val="1"/>
      <w:numFmt w:val="bullet"/>
      <w:lvlText w:val=""/>
      <w:lvlJc w:val="left"/>
      <w:pPr>
        <w:ind w:left="4773" w:hanging="360"/>
      </w:pPr>
      <w:rPr>
        <w:rFonts w:ascii="Wingdings" w:hAnsi="Wingdings" w:hint="default"/>
      </w:rPr>
    </w:lvl>
    <w:lvl w:ilvl="6" w:tplc="0C090001" w:tentative="1">
      <w:start w:val="1"/>
      <w:numFmt w:val="bullet"/>
      <w:lvlText w:val=""/>
      <w:lvlJc w:val="left"/>
      <w:pPr>
        <w:ind w:left="5493" w:hanging="360"/>
      </w:pPr>
      <w:rPr>
        <w:rFonts w:ascii="Symbol" w:hAnsi="Symbol" w:hint="default"/>
      </w:rPr>
    </w:lvl>
    <w:lvl w:ilvl="7" w:tplc="0C090003" w:tentative="1">
      <w:start w:val="1"/>
      <w:numFmt w:val="bullet"/>
      <w:lvlText w:val="o"/>
      <w:lvlJc w:val="left"/>
      <w:pPr>
        <w:ind w:left="6213" w:hanging="360"/>
      </w:pPr>
      <w:rPr>
        <w:rFonts w:ascii="Courier New" w:hAnsi="Courier New" w:cs="Courier New" w:hint="default"/>
      </w:rPr>
    </w:lvl>
    <w:lvl w:ilvl="8" w:tplc="0C090005" w:tentative="1">
      <w:start w:val="1"/>
      <w:numFmt w:val="bullet"/>
      <w:lvlText w:val=""/>
      <w:lvlJc w:val="left"/>
      <w:pPr>
        <w:ind w:left="6933" w:hanging="360"/>
      </w:pPr>
      <w:rPr>
        <w:rFonts w:ascii="Wingdings" w:hAnsi="Wingdings" w:hint="default"/>
      </w:rPr>
    </w:lvl>
  </w:abstractNum>
  <w:abstractNum w:abstractNumId="78" w15:restartNumberingAfterBreak="0">
    <w:nsid w:val="39070929"/>
    <w:multiLevelType w:val="hybridMultilevel"/>
    <w:tmpl w:val="1D86F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9D1413D"/>
    <w:multiLevelType w:val="multilevel"/>
    <w:tmpl w:val="86364022"/>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0" w15:restartNumberingAfterBreak="0">
    <w:nsid w:val="3A911183"/>
    <w:multiLevelType w:val="hybridMultilevel"/>
    <w:tmpl w:val="E2B82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C012F98"/>
    <w:multiLevelType w:val="hybridMultilevel"/>
    <w:tmpl w:val="3E7E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D580CCA"/>
    <w:multiLevelType w:val="hybridMultilevel"/>
    <w:tmpl w:val="B16C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D594DAA"/>
    <w:multiLevelType w:val="hybridMultilevel"/>
    <w:tmpl w:val="8FC4C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D73341B"/>
    <w:multiLevelType w:val="hybridMultilevel"/>
    <w:tmpl w:val="6A388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DA51683"/>
    <w:multiLevelType w:val="hybridMultilevel"/>
    <w:tmpl w:val="B650B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02F100E"/>
    <w:multiLevelType w:val="multilevel"/>
    <w:tmpl w:val="1BA86D04"/>
    <w:lvl w:ilvl="0">
      <w:start w:val="1"/>
      <w:numFmt w:val="bullet"/>
      <w:lvlText w:val=""/>
      <w:lvlJc w:val="left"/>
      <w:pPr>
        <w:ind w:left="680" w:hanging="340"/>
      </w:pPr>
      <w:rPr>
        <w:rFonts w:ascii="Symbol" w:hAnsi="Symbol" w:hint="default"/>
        <w:sz w:val="22"/>
        <w:szCs w:val="36"/>
      </w:rPr>
    </w:lvl>
    <w:lvl w:ilvl="1">
      <w:start w:val="1"/>
      <w:numFmt w:val="bullet"/>
      <w:lvlText w:val=""/>
      <w:lvlJc w:val="left"/>
      <w:pPr>
        <w:ind w:left="1020" w:hanging="340"/>
      </w:pPr>
      <w:rPr>
        <w:rFonts w:ascii="Symbol" w:hAnsi="Symbol" w:hint="default"/>
        <w:sz w:val="16"/>
      </w:rPr>
    </w:lvl>
    <w:lvl w:ilvl="2">
      <w:start w:val="1"/>
      <w:numFmt w:val="bullet"/>
      <w:lvlText w:val=""/>
      <w:lvlJc w:val="left"/>
      <w:pPr>
        <w:ind w:left="1361" w:hanging="341"/>
      </w:pPr>
      <w:rPr>
        <w:rFonts w:ascii="Symbol" w:hAnsi="Symbol" w:hint="default"/>
        <w:sz w:val="16"/>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87" w15:restartNumberingAfterBreak="0">
    <w:nsid w:val="40774406"/>
    <w:multiLevelType w:val="hybridMultilevel"/>
    <w:tmpl w:val="D2E8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2FE5F1E"/>
    <w:multiLevelType w:val="hybridMultilevel"/>
    <w:tmpl w:val="A09E72D8"/>
    <w:lvl w:ilvl="0" w:tplc="415E1A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3B1228A"/>
    <w:multiLevelType w:val="hybridMultilevel"/>
    <w:tmpl w:val="8D12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4245BB7"/>
    <w:multiLevelType w:val="hybridMultilevel"/>
    <w:tmpl w:val="A78C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4844541"/>
    <w:multiLevelType w:val="hybridMultilevel"/>
    <w:tmpl w:val="1356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4CC1B0E"/>
    <w:multiLevelType w:val="hybridMultilevel"/>
    <w:tmpl w:val="570AB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5A629FC"/>
    <w:multiLevelType w:val="hybridMultilevel"/>
    <w:tmpl w:val="15CED11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45D952BF"/>
    <w:multiLevelType w:val="hybridMultilevel"/>
    <w:tmpl w:val="73CA9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6002F54"/>
    <w:multiLevelType w:val="multilevel"/>
    <w:tmpl w:val="4A4C92C6"/>
    <w:lvl w:ilvl="0">
      <w:start w:val="1"/>
      <w:numFmt w:val="decimal"/>
      <w:pStyle w:val="NumberingSW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6737847"/>
    <w:multiLevelType w:val="hybridMultilevel"/>
    <w:tmpl w:val="B1AEC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77D591F"/>
    <w:multiLevelType w:val="multilevel"/>
    <w:tmpl w:val="9CE6AA80"/>
    <w:lvl w:ilvl="0">
      <w:start w:val="1"/>
      <w:numFmt w:val="bullet"/>
      <w:lvlText w:val=""/>
      <w:lvlJc w:val="left"/>
      <w:pPr>
        <w:ind w:left="340" w:hanging="34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8CE3F5C"/>
    <w:multiLevelType w:val="hybridMultilevel"/>
    <w:tmpl w:val="FC141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A7F2FDA"/>
    <w:multiLevelType w:val="hybridMultilevel"/>
    <w:tmpl w:val="EE862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AC06B76"/>
    <w:multiLevelType w:val="hybridMultilevel"/>
    <w:tmpl w:val="AC7482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4B996A9B"/>
    <w:multiLevelType w:val="hybridMultilevel"/>
    <w:tmpl w:val="FC6EA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C0639ED"/>
    <w:multiLevelType w:val="hybridMultilevel"/>
    <w:tmpl w:val="F54E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DC701E2"/>
    <w:multiLevelType w:val="hybridMultilevel"/>
    <w:tmpl w:val="D8502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DFC7748"/>
    <w:multiLevelType w:val="hybridMultilevel"/>
    <w:tmpl w:val="8FB48B2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EA900C2"/>
    <w:multiLevelType w:val="hybridMultilevel"/>
    <w:tmpl w:val="66AC3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F4849F1"/>
    <w:multiLevelType w:val="hybridMultilevel"/>
    <w:tmpl w:val="ECDEC17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7" w15:restartNumberingAfterBreak="0">
    <w:nsid w:val="504F1A89"/>
    <w:multiLevelType w:val="hybridMultilevel"/>
    <w:tmpl w:val="8356F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0AF123E"/>
    <w:multiLevelType w:val="hybridMultilevel"/>
    <w:tmpl w:val="2B687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1E03C2F"/>
    <w:multiLevelType w:val="hybridMultilevel"/>
    <w:tmpl w:val="D79E82EC"/>
    <w:lvl w:ilvl="0" w:tplc="415E1A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1F5792F"/>
    <w:multiLevelType w:val="hybridMultilevel"/>
    <w:tmpl w:val="AB1A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2640ADB"/>
    <w:multiLevelType w:val="hybridMultilevel"/>
    <w:tmpl w:val="28B2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3617A4C"/>
    <w:multiLevelType w:val="hybridMultilevel"/>
    <w:tmpl w:val="0FAC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3675496"/>
    <w:multiLevelType w:val="hybridMultilevel"/>
    <w:tmpl w:val="B0728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4465A01"/>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15" w15:restartNumberingAfterBreak="0">
    <w:nsid w:val="54D47F85"/>
    <w:multiLevelType w:val="hybridMultilevel"/>
    <w:tmpl w:val="DBDC2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54458A5"/>
    <w:multiLevelType w:val="multilevel"/>
    <w:tmpl w:val="EEA00B1E"/>
    <w:lvl w:ilvl="0">
      <w:start w:val="1"/>
      <w:numFmt w:val="decimal"/>
      <w:pStyle w:val="ListParagraphh1"/>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117" w15:restartNumberingAfterBreak="0">
    <w:nsid w:val="55C4076E"/>
    <w:multiLevelType w:val="hybridMultilevel"/>
    <w:tmpl w:val="79484D28"/>
    <w:lvl w:ilvl="0" w:tplc="DAB4B5D6">
      <w:start w:val="1"/>
      <w:numFmt w:val="decimal"/>
      <w:pStyle w:val="SWASectiontitle"/>
      <w:lvlText w:val="%1"/>
      <w:lvlJc w:val="left"/>
      <w:pPr>
        <w:ind w:left="360" w:hanging="360"/>
      </w:pPr>
      <w:rPr>
        <w:rFonts w:hint="default"/>
      </w:r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632745D"/>
    <w:multiLevelType w:val="hybridMultilevel"/>
    <w:tmpl w:val="DF5E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63A2F66"/>
    <w:multiLevelType w:val="hybridMultilevel"/>
    <w:tmpl w:val="B628B7AA"/>
    <w:lvl w:ilvl="0" w:tplc="826A7E7A">
      <w:start w:val="1"/>
      <w:numFmt w:val="bullet"/>
      <w:pStyle w:val="2018reviewquestionbulletpoin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667088B"/>
    <w:multiLevelType w:val="hybridMultilevel"/>
    <w:tmpl w:val="DBAAA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77916B2"/>
    <w:multiLevelType w:val="hybridMultilevel"/>
    <w:tmpl w:val="B2BEA57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C090003">
      <w:start w:val="1"/>
      <w:numFmt w:val="bullet"/>
      <w:lvlText w:val="o"/>
      <w:lvlJc w:val="left"/>
      <w:pPr>
        <w:ind w:left="108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58B25BC4"/>
    <w:multiLevelType w:val="multilevel"/>
    <w:tmpl w:val="9FD8B376"/>
    <w:lvl w:ilvl="0">
      <w:start w:val="1"/>
      <w:numFmt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A675845"/>
    <w:multiLevelType w:val="hybridMultilevel"/>
    <w:tmpl w:val="240A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AB761CC"/>
    <w:multiLevelType w:val="hybridMultilevel"/>
    <w:tmpl w:val="268AC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B371F39"/>
    <w:multiLevelType w:val="hybridMultilevel"/>
    <w:tmpl w:val="399C801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 w15:restartNumberingAfterBreak="0">
    <w:nsid w:val="5B9F3F31"/>
    <w:multiLevelType w:val="hybridMultilevel"/>
    <w:tmpl w:val="FCD2B1A2"/>
    <w:lvl w:ilvl="0" w:tplc="415E1A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8" w15:restartNumberingAfterBreak="0">
    <w:nsid w:val="5BE2463D"/>
    <w:multiLevelType w:val="hybridMultilevel"/>
    <w:tmpl w:val="C5D866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C1A192A"/>
    <w:multiLevelType w:val="hybridMultilevel"/>
    <w:tmpl w:val="376A5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D874661"/>
    <w:multiLevelType w:val="hybridMultilevel"/>
    <w:tmpl w:val="7FF8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EAD4C79"/>
    <w:multiLevelType w:val="hybridMultilevel"/>
    <w:tmpl w:val="EB386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F32455F"/>
    <w:multiLevelType w:val="hybridMultilevel"/>
    <w:tmpl w:val="059C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FD7146E"/>
    <w:multiLevelType w:val="hybridMultilevel"/>
    <w:tmpl w:val="E6C6BA68"/>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0352C45"/>
    <w:multiLevelType w:val="hybridMultilevel"/>
    <w:tmpl w:val="18EED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03F1E2B"/>
    <w:multiLevelType w:val="hybridMultilevel"/>
    <w:tmpl w:val="1F4C01F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36" w15:restartNumberingAfterBreak="0">
    <w:nsid w:val="617F7EC4"/>
    <w:multiLevelType w:val="hybridMultilevel"/>
    <w:tmpl w:val="14F8D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18A2829"/>
    <w:multiLevelType w:val="hybridMultilevel"/>
    <w:tmpl w:val="AFE0D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7364A64"/>
    <w:multiLevelType w:val="hybridMultilevel"/>
    <w:tmpl w:val="608C55F4"/>
    <w:lvl w:ilvl="0" w:tplc="BE6CC85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7382E50"/>
    <w:multiLevelType w:val="hybridMultilevel"/>
    <w:tmpl w:val="D4928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90D69F1"/>
    <w:multiLevelType w:val="hybridMultilevel"/>
    <w:tmpl w:val="03BC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A24462D"/>
    <w:multiLevelType w:val="hybridMultilevel"/>
    <w:tmpl w:val="DB4A3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B24D3F6"/>
    <w:multiLevelType w:val="hybridMultilevel"/>
    <w:tmpl w:val="0F06C1CA"/>
    <w:lvl w:ilvl="0" w:tplc="DB40ACFC">
      <w:start w:val="1"/>
      <w:numFmt w:val="bullet"/>
      <w:lvlText w:val=""/>
      <w:lvlJc w:val="left"/>
      <w:pPr>
        <w:ind w:left="720" w:hanging="360"/>
      </w:pPr>
      <w:rPr>
        <w:rFonts w:ascii="Symbol" w:hAnsi="Symbol" w:hint="default"/>
      </w:rPr>
    </w:lvl>
    <w:lvl w:ilvl="1" w:tplc="EDEE5286">
      <w:start w:val="1"/>
      <w:numFmt w:val="bullet"/>
      <w:lvlText w:val="o"/>
      <w:lvlJc w:val="left"/>
      <w:pPr>
        <w:ind w:left="1440" w:hanging="360"/>
      </w:pPr>
      <w:rPr>
        <w:rFonts w:ascii="Courier New" w:hAnsi="Courier New" w:hint="default"/>
      </w:rPr>
    </w:lvl>
    <w:lvl w:ilvl="2" w:tplc="5CB8584E">
      <w:start w:val="1"/>
      <w:numFmt w:val="bullet"/>
      <w:lvlText w:val=""/>
      <w:lvlJc w:val="left"/>
      <w:pPr>
        <w:ind w:left="2160" w:hanging="360"/>
      </w:pPr>
      <w:rPr>
        <w:rFonts w:ascii="Wingdings" w:hAnsi="Wingdings" w:hint="default"/>
      </w:rPr>
    </w:lvl>
    <w:lvl w:ilvl="3" w:tplc="F97A5536">
      <w:start w:val="1"/>
      <w:numFmt w:val="bullet"/>
      <w:lvlText w:val=""/>
      <w:lvlJc w:val="left"/>
      <w:pPr>
        <w:ind w:left="2880" w:hanging="360"/>
      </w:pPr>
      <w:rPr>
        <w:rFonts w:ascii="Symbol" w:hAnsi="Symbol" w:hint="default"/>
      </w:rPr>
    </w:lvl>
    <w:lvl w:ilvl="4" w:tplc="7AEABEBA">
      <w:start w:val="1"/>
      <w:numFmt w:val="bullet"/>
      <w:lvlText w:val="o"/>
      <w:lvlJc w:val="left"/>
      <w:pPr>
        <w:ind w:left="3600" w:hanging="360"/>
      </w:pPr>
      <w:rPr>
        <w:rFonts w:ascii="Courier New" w:hAnsi="Courier New" w:hint="default"/>
      </w:rPr>
    </w:lvl>
    <w:lvl w:ilvl="5" w:tplc="72B02F0E">
      <w:start w:val="1"/>
      <w:numFmt w:val="bullet"/>
      <w:lvlText w:val=""/>
      <w:lvlJc w:val="left"/>
      <w:pPr>
        <w:ind w:left="4320" w:hanging="360"/>
      </w:pPr>
      <w:rPr>
        <w:rFonts w:ascii="Wingdings" w:hAnsi="Wingdings" w:hint="default"/>
      </w:rPr>
    </w:lvl>
    <w:lvl w:ilvl="6" w:tplc="BBE49748">
      <w:start w:val="1"/>
      <w:numFmt w:val="bullet"/>
      <w:lvlText w:val=""/>
      <w:lvlJc w:val="left"/>
      <w:pPr>
        <w:ind w:left="5040" w:hanging="360"/>
      </w:pPr>
      <w:rPr>
        <w:rFonts w:ascii="Symbol" w:hAnsi="Symbol" w:hint="default"/>
      </w:rPr>
    </w:lvl>
    <w:lvl w:ilvl="7" w:tplc="0B8E8720">
      <w:start w:val="1"/>
      <w:numFmt w:val="bullet"/>
      <w:lvlText w:val="o"/>
      <w:lvlJc w:val="left"/>
      <w:pPr>
        <w:ind w:left="5760" w:hanging="360"/>
      </w:pPr>
      <w:rPr>
        <w:rFonts w:ascii="Courier New" w:hAnsi="Courier New" w:hint="default"/>
      </w:rPr>
    </w:lvl>
    <w:lvl w:ilvl="8" w:tplc="81B6A04A">
      <w:start w:val="1"/>
      <w:numFmt w:val="bullet"/>
      <w:lvlText w:val=""/>
      <w:lvlJc w:val="left"/>
      <w:pPr>
        <w:ind w:left="6480" w:hanging="360"/>
      </w:pPr>
      <w:rPr>
        <w:rFonts w:ascii="Wingdings" w:hAnsi="Wingdings" w:hint="default"/>
      </w:rPr>
    </w:lvl>
  </w:abstractNum>
  <w:abstractNum w:abstractNumId="143" w15:restartNumberingAfterBreak="0">
    <w:nsid w:val="6C595F82"/>
    <w:multiLevelType w:val="hybridMultilevel"/>
    <w:tmpl w:val="7F487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C6C3A89"/>
    <w:multiLevelType w:val="hybridMultilevel"/>
    <w:tmpl w:val="CC125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CC34421"/>
    <w:multiLevelType w:val="hybridMultilevel"/>
    <w:tmpl w:val="CBF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CD212F7"/>
    <w:multiLevelType w:val="multilevel"/>
    <w:tmpl w:val="B1AEF858"/>
    <w:lvl w:ilvl="0">
      <w:start w:val="1"/>
      <w:numFmt w:val="bullet"/>
      <w:lvlText w:val=""/>
      <w:lvlJc w:val="left"/>
      <w:pPr>
        <w:ind w:left="1020" w:hanging="340"/>
      </w:pPr>
      <w:rPr>
        <w:rFonts w:ascii="Symbol" w:hAnsi="Symbol" w:hint="default"/>
        <w:sz w:val="1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1701" w:hanging="341"/>
      </w:pPr>
      <w:rPr>
        <w:rFonts w:ascii="Symbol" w:hAnsi="Symbol" w:hint="default"/>
        <w:sz w:val="16"/>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47" w15:restartNumberingAfterBreak="0">
    <w:nsid w:val="6D6F7A05"/>
    <w:multiLevelType w:val="hybridMultilevel"/>
    <w:tmpl w:val="03E26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E0D2D5C"/>
    <w:multiLevelType w:val="hybridMultilevel"/>
    <w:tmpl w:val="4B488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E1E337E"/>
    <w:multiLevelType w:val="hybridMultilevel"/>
    <w:tmpl w:val="B7CC87F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0" w15:restartNumberingAfterBreak="0">
    <w:nsid w:val="6F96292B"/>
    <w:multiLevelType w:val="hybridMultilevel"/>
    <w:tmpl w:val="3842BBD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51" w15:restartNumberingAfterBreak="0">
    <w:nsid w:val="6FFB3DAC"/>
    <w:multiLevelType w:val="hybridMultilevel"/>
    <w:tmpl w:val="60E00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0055255"/>
    <w:multiLevelType w:val="hybridMultilevel"/>
    <w:tmpl w:val="760C4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0AA7E86"/>
    <w:multiLevelType w:val="multilevel"/>
    <w:tmpl w:val="D1BCC71C"/>
    <w:lvl w:ilvl="0">
      <w:start w:val="1"/>
      <w:numFmt w:val="bullet"/>
      <w:pStyle w:val="DashEm1"/>
      <w:lvlText w:val="—"/>
      <w:lvlJc w:val="left"/>
      <w:pPr>
        <w:tabs>
          <w:tab w:val="num" w:pos="425"/>
        </w:tabs>
        <w:ind w:left="425" w:hanging="425"/>
      </w:pPr>
      <w:rPr>
        <w:rFonts w:hint="default"/>
        <w:b/>
        <w:i w:val="0"/>
        <w:color w:val="auto"/>
      </w:rPr>
    </w:lvl>
    <w:lvl w:ilvl="1">
      <w:start w:val="1"/>
      <w:numFmt w:val="bullet"/>
      <w:pStyle w:val="DashEm"/>
      <w:lvlText w:val="—"/>
      <w:lvlJc w:val="left"/>
      <w:pPr>
        <w:tabs>
          <w:tab w:val="num" w:pos="425"/>
        </w:tabs>
        <w:ind w:left="425" w:hanging="425"/>
      </w:pPr>
      <w:rPr>
        <w:rFonts w:hint="default"/>
        <w:b/>
        <w:i w:val="0"/>
        <w:color w:val="auto"/>
      </w:rPr>
    </w:lvl>
    <w:lvl w:ilvl="2">
      <w:start w:val="1"/>
      <w:numFmt w:val="bullet"/>
      <w:pStyle w:val="DashEn1"/>
      <w:lvlText w:val="–"/>
      <w:lvlJc w:val="left"/>
      <w:pPr>
        <w:tabs>
          <w:tab w:val="num" w:pos="850"/>
        </w:tabs>
        <w:ind w:left="850" w:hanging="425"/>
      </w:pPr>
      <w:rPr>
        <w:rFonts w:hint="default"/>
        <w:b w:val="0"/>
        <w:i w:val="0"/>
      </w:rPr>
    </w:lvl>
    <w:lvl w:ilvl="3">
      <w:start w:val="1"/>
      <w:numFmt w:val="bullet"/>
      <w:pStyle w:val="DashEn2"/>
      <w:lvlText w:val="–"/>
      <w:lvlJc w:val="left"/>
      <w:pPr>
        <w:tabs>
          <w:tab w:val="num" w:pos="1276"/>
        </w:tabs>
        <w:ind w:left="1276" w:hanging="426"/>
      </w:pPr>
      <w:rPr>
        <w:rFonts w:hint="default"/>
        <w:b w:val="0"/>
        <w:i w:val="0"/>
      </w:rPr>
    </w:lvl>
    <w:lvl w:ilvl="4">
      <w:start w:val="1"/>
      <w:numFmt w:val="bullet"/>
      <w:pStyle w:val="DashEn3"/>
      <w:lvlText w:val="–"/>
      <w:lvlJc w:val="left"/>
      <w:pPr>
        <w:tabs>
          <w:tab w:val="num" w:pos="1701"/>
        </w:tabs>
        <w:ind w:left="1701" w:hanging="425"/>
      </w:pPr>
      <w:rPr>
        <w:rFonts w:hint="default"/>
        <w:b w:val="0"/>
        <w:i w:val="0"/>
      </w:rPr>
    </w:lvl>
    <w:lvl w:ilvl="5">
      <w:start w:val="1"/>
      <w:numFmt w:val="bullet"/>
      <w:pStyle w:val="DashEn4"/>
      <w:lvlText w:val="–"/>
      <w:lvlJc w:val="left"/>
      <w:pPr>
        <w:tabs>
          <w:tab w:val="num" w:pos="2126"/>
        </w:tabs>
        <w:ind w:left="2126" w:hanging="425"/>
      </w:pPr>
      <w:rPr>
        <w:rFonts w:hint="default"/>
        <w:b w:val="0"/>
        <w:i w:val="0"/>
      </w:rPr>
    </w:lvl>
    <w:lvl w:ilvl="6">
      <w:start w:val="1"/>
      <w:numFmt w:val="bullet"/>
      <w:pStyle w:val="DashEn5"/>
      <w:lvlText w:val="–"/>
      <w:lvlJc w:val="left"/>
      <w:pPr>
        <w:tabs>
          <w:tab w:val="num" w:pos="2551"/>
        </w:tabs>
        <w:ind w:left="2551" w:hanging="425"/>
      </w:pPr>
      <w:rPr>
        <w:rFonts w:hint="default"/>
        <w:b w:val="0"/>
        <w:i w:val="0"/>
      </w:rPr>
    </w:lvl>
    <w:lvl w:ilvl="7">
      <w:start w:val="1"/>
      <w:numFmt w:val="bullet"/>
      <w:pStyle w:val="DashEn6"/>
      <w:lvlText w:val="–"/>
      <w:lvlJc w:val="left"/>
      <w:pPr>
        <w:tabs>
          <w:tab w:val="num" w:pos="2976"/>
        </w:tabs>
        <w:ind w:left="2976" w:hanging="425"/>
      </w:pPr>
      <w:rPr>
        <w:rFonts w:hint="default"/>
        <w:b w:val="0"/>
        <w:i w:val="0"/>
      </w:rPr>
    </w:lvl>
    <w:lvl w:ilvl="8">
      <w:start w:val="1"/>
      <w:numFmt w:val="bullet"/>
      <w:pStyle w:val="DashEn7"/>
      <w:lvlText w:val="–"/>
      <w:lvlJc w:val="left"/>
      <w:pPr>
        <w:tabs>
          <w:tab w:val="num" w:pos="3402"/>
        </w:tabs>
        <w:ind w:left="3402" w:hanging="426"/>
      </w:pPr>
      <w:rPr>
        <w:rFonts w:hint="default"/>
        <w:b w:val="0"/>
        <w:i w:val="0"/>
      </w:rPr>
    </w:lvl>
  </w:abstractNum>
  <w:abstractNum w:abstractNumId="154" w15:restartNumberingAfterBreak="0">
    <w:nsid w:val="70CF05FB"/>
    <w:multiLevelType w:val="hybridMultilevel"/>
    <w:tmpl w:val="34982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710F15F4"/>
    <w:multiLevelType w:val="hybridMultilevel"/>
    <w:tmpl w:val="E3665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1604E4D"/>
    <w:multiLevelType w:val="hybridMultilevel"/>
    <w:tmpl w:val="5B3092F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7"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1EC31A0"/>
    <w:multiLevelType w:val="hybridMultilevel"/>
    <w:tmpl w:val="2C7AC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2DB0715"/>
    <w:multiLevelType w:val="hybridMultilevel"/>
    <w:tmpl w:val="D5384F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732A541A"/>
    <w:multiLevelType w:val="hybridMultilevel"/>
    <w:tmpl w:val="3FAE8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3321EBE"/>
    <w:multiLevelType w:val="hybridMultilevel"/>
    <w:tmpl w:val="87C29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73566E8E"/>
    <w:multiLevelType w:val="hybridMultilevel"/>
    <w:tmpl w:val="026A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497194A"/>
    <w:multiLevelType w:val="hybridMultilevel"/>
    <w:tmpl w:val="B5424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74C31AEA"/>
    <w:multiLevelType w:val="hybridMultilevel"/>
    <w:tmpl w:val="93C8D844"/>
    <w:lvl w:ilvl="0" w:tplc="0C090001">
      <w:start w:val="1"/>
      <w:numFmt w:val="bullet"/>
      <w:lvlText w:val=""/>
      <w:lvlJc w:val="left"/>
      <w:pPr>
        <w:ind w:left="781" w:hanging="360"/>
      </w:pPr>
      <w:rPr>
        <w:rFonts w:ascii="Symbol" w:hAnsi="Symbol" w:hint="default"/>
      </w:rPr>
    </w:lvl>
    <w:lvl w:ilvl="1" w:tplc="0C090003">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65" w15:restartNumberingAfterBreak="0">
    <w:nsid w:val="74D31029"/>
    <w:multiLevelType w:val="multilevel"/>
    <w:tmpl w:val="50F4FD0A"/>
    <w:lvl w:ilvl="0">
      <w:start w:val="1"/>
      <w:numFmt w:val="bullet"/>
      <w:pStyle w:val="Bullet1"/>
      <w:lvlText w:val="■"/>
      <w:lvlJc w:val="left"/>
      <w:pPr>
        <w:tabs>
          <w:tab w:val="num" w:pos="567"/>
        </w:tabs>
        <w:ind w:left="567" w:hanging="567"/>
      </w:pPr>
      <w:rPr>
        <w:rFonts w:ascii="Arial" w:hAnsi="Arial"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bullet"/>
      <w:pStyle w:val="Bullet3"/>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75E34DB0"/>
    <w:multiLevelType w:val="hybridMultilevel"/>
    <w:tmpl w:val="1EC00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6421DFB"/>
    <w:multiLevelType w:val="hybridMultilevel"/>
    <w:tmpl w:val="9AFC4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6FE2F9F"/>
    <w:multiLevelType w:val="hybridMultilevel"/>
    <w:tmpl w:val="3670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7107D30"/>
    <w:multiLevelType w:val="hybridMultilevel"/>
    <w:tmpl w:val="C874C1E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70" w15:restartNumberingAfterBreak="0">
    <w:nsid w:val="786054B1"/>
    <w:multiLevelType w:val="hybridMultilevel"/>
    <w:tmpl w:val="BA44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ABF37A8"/>
    <w:multiLevelType w:val="hybridMultilevel"/>
    <w:tmpl w:val="EDDE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B0B2B85"/>
    <w:multiLevelType w:val="hybridMultilevel"/>
    <w:tmpl w:val="7842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C726453"/>
    <w:multiLevelType w:val="hybridMultilevel"/>
    <w:tmpl w:val="FC2AA0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7C9E7D9B"/>
    <w:multiLevelType w:val="hybridMultilevel"/>
    <w:tmpl w:val="0DFA8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D15675E"/>
    <w:multiLevelType w:val="hybridMultilevel"/>
    <w:tmpl w:val="92924D4A"/>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6" w15:restartNumberingAfterBreak="0">
    <w:nsid w:val="7D7428FA"/>
    <w:multiLevelType w:val="multilevel"/>
    <w:tmpl w:val="87B6CF78"/>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cs="Times New Roman" w:hint="default"/>
        <w:b w:val="0"/>
        <w:sz w:val="20"/>
      </w:rPr>
    </w:lvl>
    <w:lvl w:ilvl="2">
      <w:start w:val="1"/>
      <w:numFmt w:val="decimal"/>
      <w:lvlRestart w:val="0"/>
      <w:pStyle w:val="SWAHeading1"/>
      <w:lvlText w:val="%3."/>
      <w:lvlJc w:val="left"/>
      <w:pPr>
        <w:ind w:left="567" w:hanging="567"/>
      </w:pPr>
      <w:rPr>
        <w:rFonts w:hint="default"/>
      </w:rPr>
    </w:lvl>
    <w:lvl w:ilvl="3">
      <w:start w:val="1"/>
      <w:numFmt w:val="decimal"/>
      <w:pStyle w:val="SWAHeading2"/>
      <w:isLgl/>
      <w:lvlText w:val="%3.%4"/>
      <w:lvlJc w:val="left"/>
      <w:pPr>
        <w:ind w:left="3131" w:hanging="720"/>
      </w:pPr>
      <w:rPr>
        <w:rFonts w:hint="default"/>
        <w:color w:val="2B0A99" w:themeColor="text2"/>
        <w:sz w:val="32"/>
        <w:szCs w:val="32"/>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177" w15:restartNumberingAfterBreak="0">
    <w:nsid w:val="7DA023E6"/>
    <w:multiLevelType w:val="hybridMultilevel"/>
    <w:tmpl w:val="868AD234"/>
    <w:lvl w:ilvl="0" w:tplc="C0921BAA">
      <w:start w:val="1"/>
      <w:numFmt w:val="bullet"/>
      <w:lvlText w:val=""/>
      <w:lvlJc w:val="left"/>
      <w:pPr>
        <w:ind w:left="720" w:hanging="360"/>
      </w:pPr>
      <w:rPr>
        <w:rFonts w:ascii="Symbol" w:hAnsi="Symbol" w:hint="default"/>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E4D3691"/>
    <w:multiLevelType w:val="hybridMultilevel"/>
    <w:tmpl w:val="372E661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79" w15:restartNumberingAfterBreak="0">
    <w:nsid w:val="7ECD56B4"/>
    <w:multiLevelType w:val="hybridMultilevel"/>
    <w:tmpl w:val="3418F38C"/>
    <w:lvl w:ilvl="0" w:tplc="D22EB83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7F1B77D2"/>
    <w:multiLevelType w:val="hybridMultilevel"/>
    <w:tmpl w:val="FB766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F32783F"/>
    <w:multiLevelType w:val="hybridMultilevel"/>
    <w:tmpl w:val="C8D4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850099">
    <w:abstractNumId w:val="142"/>
  </w:num>
  <w:num w:numId="2" w16cid:durableId="43915700">
    <w:abstractNumId w:val="179"/>
  </w:num>
  <w:num w:numId="3" w16cid:durableId="413086635">
    <w:abstractNumId w:val="0"/>
  </w:num>
  <w:num w:numId="4" w16cid:durableId="1062144588">
    <w:abstractNumId w:val="175"/>
  </w:num>
  <w:num w:numId="5" w16cid:durableId="1248659126">
    <w:abstractNumId w:val="127"/>
  </w:num>
  <w:num w:numId="6" w16cid:durableId="199436826">
    <w:abstractNumId w:val="59"/>
  </w:num>
  <w:num w:numId="7" w16cid:durableId="1748771899">
    <w:abstractNumId w:val="8"/>
  </w:num>
  <w:num w:numId="8" w16cid:durableId="1020936201">
    <w:abstractNumId w:val="35"/>
  </w:num>
  <w:num w:numId="9" w16cid:durableId="872621870">
    <w:abstractNumId w:val="116"/>
  </w:num>
  <w:num w:numId="10" w16cid:durableId="1191795628">
    <w:abstractNumId w:val="176"/>
  </w:num>
  <w:num w:numId="11" w16cid:durableId="1810318995">
    <w:abstractNumId w:val="63"/>
  </w:num>
  <w:num w:numId="12" w16cid:durableId="1417483124">
    <w:abstractNumId w:val="117"/>
  </w:num>
  <w:num w:numId="13" w16cid:durableId="1587884830">
    <w:abstractNumId w:val="165"/>
  </w:num>
  <w:num w:numId="14" w16cid:durableId="1740901846">
    <w:abstractNumId w:val="27"/>
  </w:num>
  <w:num w:numId="15" w16cid:durableId="275068258">
    <w:abstractNumId w:val="153"/>
  </w:num>
  <w:num w:numId="16" w16cid:durableId="1299143330">
    <w:abstractNumId w:val="34"/>
  </w:num>
  <w:num w:numId="17" w16cid:durableId="154499333">
    <w:abstractNumId w:val="119"/>
  </w:num>
  <w:num w:numId="18" w16cid:durableId="139277742">
    <w:abstractNumId w:val="95"/>
  </w:num>
  <w:num w:numId="19" w16cid:durableId="725176855">
    <w:abstractNumId w:val="3"/>
  </w:num>
  <w:num w:numId="20" w16cid:durableId="1462966558">
    <w:abstractNumId w:val="87"/>
  </w:num>
  <w:num w:numId="21" w16cid:durableId="1531410022">
    <w:abstractNumId w:val="158"/>
  </w:num>
  <w:num w:numId="22" w16cid:durableId="1006326670">
    <w:abstractNumId w:val="71"/>
  </w:num>
  <w:num w:numId="23" w16cid:durableId="1549368639">
    <w:abstractNumId w:val="41"/>
  </w:num>
  <w:num w:numId="24" w16cid:durableId="559753350">
    <w:abstractNumId w:val="12"/>
  </w:num>
  <w:num w:numId="25" w16cid:durableId="764809964">
    <w:abstractNumId w:val="66"/>
  </w:num>
  <w:num w:numId="26" w16cid:durableId="2049336720">
    <w:abstractNumId w:val="79"/>
  </w:num>
  <w:num w:numId="27" w16cid:durableId="529803178">
    <w:abstractNumId w:val="110"/>
  </w:num>
  <w:num w:numId="28" w16cid:durableId="862746054">
    <w:abstractNumId w:val="15"/>
  </w:num>
  <w:num w:numId="29" w16cid:durableId="612397355">
    <w:abstractNumId w:val="108"/>
  </w:num>
  <w:num w:numId="30" w16cid:durableId="1509907288">
    <w:abstractNumId w:val="170"/>
  </w:num>
  <w:num w:numId="31" w16cid:durableId="1450858158">
    <w:abstractNumId w:val="57"/>
  </w:num>
  <w:num w:numId="32" w16cid:durableId="1700550353">
    <w:abstractNumId w:val="104"/>
  </w:num>
  <w:num w:numId="33" w16cid:durableId="337736083">
    <w:abstractNumId w:val="120"/>
  </w:num>
  <w:num w:numId="34" w16cid:durableId="1882211357">
    <w:abstractNumId w:val="98"/>
  </w:num>
  <w:num w:numId="35" w16cid:durableId="1842544761">
    <w:abstractNumId w:val="134"/>
  </w:num>
  <w:num w:numId="36" w16cid:durableId="937056394">
    <w:abstractNumId w:val="133"/>
  </w:num>
  <w:num w:numId="37" w16cid:durableId="591818189">
    <w:abstractNumId w:val="61"/>
  </w:num>
  <w:num w:numId="38" w16cid:durableId="1944729731">
    <w:abstractNumId w:val="76"/>
  </w:num>
  <w:num w:numId="39" w16cid:durableId="1538273413">
    <w:abstractNumId w:val="43"/>
  </w:num>
  <w:num w:numId="40" w16cid:durableId="1273778874">
    <w:abstractNumId w:val="177"/>
  </w:num>
  <w:num w:numId="41" w16cid:durableId="1492717054">
    <w:abstractNumId w:val="1"/>
  </w:num>
  <w:num w:numId="42" w16cid:durableId="1731343236">
    <w:abstractNumId w:val="174"/>
  </w:num>
  <w:num w:numId="43" w16cid:durableId="1864781845">
    <w:abstractNumId w:val="4"/>
  </w:num>
  <w:num w:numId="44" w16cid:durableId="880824698">
    <w:abstractNumId w:val="18"/>
  </w:num>
  <w:num w:numId="45" w16cid:durableId="1761681356">
    <w:abstractNumId w:val="181"/>
  </w:num>
  <w:num w:numId="46" w16cid:durableId="2126775653">
    <w:abstractNumId w:val="45"/>
  </w:num>
  <w:num w:numId="47" w16cid:durableId="1926960947">
    <w:abstractNumId w:val="53"/>
  </w:num>
  <w:num w:numId="48" w16cid:durableId="1433357681">
    <w:abstractNumId w:val="49"/>
  </w:num>
  <w:num w:numId="49" w16cid:durableId="656886228">
    <w:abstractNumId w:val="31"/>
  </w:num>
  <w:num w:numId="50" w16cid:durableId="1325013375">
    <w:abstractNumId w:val="7"/>
  </w:num>
  <w:num w:numId="51" w16cid:durableId="550767565">
    <w:abstractNumId w:val="16"/>
  </w:num>
  <w:num w:numId="52" w16cid:durableId="722750190">
    <w:abstractNumId w:val="128"/>
  </w:num>
  <w:num w:numId="53" w16cid:durableId="639312637">
    <w:abstractNumId w:val="166"/>
  </w:num>
  <w:num w:numId="54" w16cid:durableId="117340397">
    <w:abstractNumId w:val="180"/>
  </w:num>
  <w:num w:numId="55" w16cid:durableId="1221481215">
    <w:abstractNumId w:val="89"/>
  </w:num>
  <w:num w:numId="56" w16cid:durableId="1978219524">
    <w:abstractNumId w:val="70"/>
  </w:num>
  <w:num w:numId="57" w16cid:durableId="1644627161">
    <w:abstractNumId w:val="80"/>
  </w:num>
  <w:num w:numId="58" w16cid:durableId="1761751666">
    <w:abstractNumId w:val="9"/>
  </w:num>
  <w:num w:numId="59" w16cid:durableId="930894998">
    <w:abstractNumId w:val="81"/>
  </w:num>
  <w:num w:numId="60" w16cid:durableId="956637594">
    <w:abstractNumId w:val="91"/>
  </w:num>
  <w:num w:numId="61" w16cid:durableId="1603344288">
    <w:abstractNumId w:val="33"/>
  </w:num>
  <w:num w:numId="62" w16cid:durableId="424880521">
    <w:abstractNumId w:val="44"/>
  </w:num>
  <w:num w:numId="63" w16cid:durableId="911619436">
    <w:abstractNumId w:val="54"/>
  </w:num>
  <w:num w:numId="64" w16cid:durableId="730471037">
    <w:abstractNumId w:val="145"/>
  </w:num>
  <w:num w:numId="65" w16cid:durableId="1666013904">
    <w:abstractNumId w:val="93"/>
  </w:num>
  <w:num w:numId="66" w16cid:durableId="763495932">
    <w:abstractNumId w:val="102"/>
  </w:num>
  <w:num w:numId="67" w16cid:durableId="296376412">
    <w:abstractNumId w:val="6"/>
  </w:num>
  <w:num w:numId="68" w16cid:durableId="1304505934">
    <w:abstractNumId w:val="62"/>
  </w:num>
  <w:num w:numId="69" w16cid:durableId="865293940">
    <w:abstractNumId w:val="169"/>
  </w:num>
  <w:num w:numId="70" w16cid:durableId="303238772">
    <w:abstractNumId w:val="47"/>
  </w:num>
  <w:num w:numId="71" w16cid:durableId="947008422">
    <w:abstractNumId w:val="37"/>
  </w:num>
  <w:num w:numId="72" w16cid:durableId="1431706227">
    <w:abstractNumId w:val="164"/>
  </w:num>
  <w:num w:numId="73" w16cid:durableId="26031835">
    <w:abstractNumId w:val="84"/>
  </w:num>
  <w:num w:numId="74" w16cid:durableId="1019814168">
    <w:abstractNumId w:val="138"/>
  </w:num>
  <w:num w:numId="75" w16cid:durableId="1191457250">
    <w:abstractNumId w:val="156"/>
  </w:num>
  <w:num w:numId="76" w16cid:durableId="882793218">
    <w:abstractNumId w:val="56"/>
  </w:num>
  <w:num w:numId="77" w16cid:durableId="2127919391">
    <w:abstractNumId w:val="171"/>
  </w:num>
  <w:num w:numId="78" w16cid:durableId="758872537">
    <w:abstractNumId w:val="99"/>
  </w:num>
  <w:num w:numId="79" w16cid:durableId="2119370640">
    <w:abstractNumId w:val="111"/>
  </w:num>
  <w:num w:numId="80" w16cid:durableId="71976920">
    <w:abstractNumId w:val="150"/>
  </w:num>
  <w:num w:numId="81" w16cid:durableId="1123038688">
    <w:abstractNumId w:val="178"/>
  </w:num>
  <w:num w:numId="82" w16cid:durableId="1697847850">
    <w:abstractNumId w:val="135"/>
  </w:num>
  <w:num w:numId="83" w16cid:durableId="84885960">
    <w:abstractNumId w:val="112"/>
  </w:num>
  <w:num w:numId="84" w16cid:durableId="1249147062">
    <w:abstractNumId w:val="50"/>
  </w:num>
  <w:num w:numId="85" w16cid:durableId="441724705">
    <w:abstractNumId w:val="73"/>
  </w:num>
  <w:num w:numId="86" w16cid:durableId="1250429205">
    <w:abstractNumId w:val="176"/>
    <w:lvlOverride w:ilvl="0"/>
    <w:lvlOverride w:ilvl="1">
      <w:startOverride w:val="3"/>
    </w:lvlOverride>
  </w:num>
  <w:num w:numId="87" w16cid:durableId="1659384803">
    <w:abstractNumId w:val="121"/>
  </w:num>
  <w:num w:numId="88" w16cid:durableId="105738881">
    <w:abstractNumId w:val="125"/>
  </w:num>
  <w:num w:numId="89" w16cid:durableId="628709414">
    <w:abstractNumId w:val="173"/>
  </w:num>
  <w:num w:numId="90" w16cid:durableId="1646859820">
    <w:abstractNumId w:val="100"/>
  </w:num>
  <w:num w:numId="91" w16cid:durableId="755789590">
    <w:abstractNumId w:val="159"/>
  </w:num>
  <w:num w:numId="92" w16cid:durableId="600378292">
    <w:abstractNumId w:val="30"/>
  </w:num>
  <w:num w:numId="93" w16cid:durableId="278345123">
    <w:abstractNumId w:val="154"/>
  </w:num>
  <w:num w:numId="94" w16cid:durableId="244649211">
    <w:abstractNumId w:val="74"/>
  </w:num>
  <w:num w:numId="95" w16cid:durableId="1602909290">
    <w:abstractNumId w:val="122"/>
  </w:num>
  <w:num w:numId="96" w16cid:durableId="1340737535">
    <w:abstractNumId w:val="168"/>
  </w:num>
  <w:num w:numId="97" w16cid:durableId="214701856">
    <w:abstractNumId w:val="107"/>
  </w:num>
  <w:num w:numId="98" w16cid:durableId="1061176299">
    <w:abstractNumId w:val="96"/>
  </w:num>
  <w:num w:numId="99" w16cid:durableId="1337266467">
    <w:abstractNumId w:val="42"/>
  </w:num>
  <w:num w:numId="100" w16cid:durableId="1174682114">
    <w:abstractNumId w:val="65"/>
  </w:num>
  <w:num w:numId="101" w16cid:durableId="434206783">
    <w:abstractNumId w:val="105"/>
  </w:num>
  <w:num w:numId="102" w16cid:durableId="84964425">
    <w:abstractNumId w:val="115"/>
  </w:num>
  <w:num w:numId="103" w16cid:durableId="774137031">
    <w:abstractNumId w:val="143"/>
  </w:num>
  <w:num w:numId="104" w16cid:durableId="1865706191">
    <w:abstractNumId w:val="90"/>
  </w:num>
  <w:num w:numId="105" w16cid:durableId="118690329">
    <w:abstractNumId w:val="162"/>
  </w:num>
  <w:num w:numId="106" w16cid:durableId="1941982752">
    <w:abstractNumId w:val="147"/>
  </w:num>
  <w:num w:numId="107" w16cid:durableId="1271814318">
    <w:abstractNumId w:val="97"/>
  </w:num>
  <w:num w:numId="108" w16cid:durableId="1334531525">
    <w:abstractNumId w:val="5"/>
  </w:num>
  <w:num w:numId="109" w16cid:durableId="1157528081">
    <w:abstractNumId w:val="60"/>
  </w:num>
  <w:num w:numId="110" w16cid:durableId="1429345998">
    <w:abstractNumId w:val="26"/>
  </w:num>
  <w:num w:numId="111" w16cid:durableId="1022126850">
    <w:abstractNumId w:val="10"/>
  </w:num>
  <w:num w:numId="112" w16cid:durableId="1256522767">
    <w:abstractNumId w:val="130"/>
  </w:num>
  <w:num w:numId="113" w16cid:durableId="1210535403">
    <w:abstractNumId w:val="161"/>
  </w:num>
  <w:num w:numId="114" w16cid:durableId="755054068">
    <w:abstractNumId w:val="23"/>
  </w:num>
  <w:num w:numId="115" w16cid:durableId="2031105842">
    <w:abstractNumId w:val="69"/>
  </w:num>
  <w:num w:numId="116" w16cid:durableId="225262801">
    <w:abstractNumId w:val="103"/>
  </w:num>
  <w:num w:numId="117" w16cid:durableId="646784858">
    <w:abstractNumId w:val="131"/>
  </w:num>
  <w:num w:numId="118" w16cid:durableId="957754863">
    <w:abstractNumId w:val="152"/>
  </w:num>
  <w:num w:numId="119" w16cid:durableId="815535564">
    <w:abstractNumId w:val="136"/>
  </w:num>
  <w:num w:numId="120" w16cid:durableId="650793360">
    <w:abstractNumId w:val="118"/>
  </w:num>
  <w:num w:numId="121" w16cid:durableId="1908802925">
    <w:abstractNumId w:val="113"/>
  </w:num>
  <w:num w:numId="122" w16cid:durableId="766463295">
    <w:abstractNumId w:val="67"/>
  </w:num>
  <w:num w:numId="123" w16cid:durableId="1953439572">
    <w:abstractNumId w:val="38"/>
  </w:num>
  <w:num w:numId="124" w16cid:durableId="1474517549">
    <w:abstractNumId w:val="64"/>
  </w:num>
  <w:num w:numId="125" w16cid:durableId="1251815165">
    <w:abstractNumId w:val="146"/>
  </w:num>
  <w:num w:numId="126" w16cid:durableId="432671830">
    <w:abstractNumId w:val="140"/>
  </w:num>
  <w:num w:numId="127" w16cid:durableId="352154056">
    <w:abstractNumId w:val="129"/>
  </w:num>
  <w:num w:numId="128" w16cid:durableId="217328058">
    <w:abstractNumId w:val="160"/>
  </w:num>
  <w:num w:numId="129" w16cid:durableId="1168211891">
    <w:abstractNumId w:val="114"/>
  </w:num>
  <w:num w:numId="130" w16cid:durableId="1796874692">
    <w:abstractNumId w:val="36"/>
  </w:num>
  <w:num w:numId="131" w16cid:durableId="737437324">
    <w:abstractNumId w:val="149"/>
  </w:num>
  <w:num w:numId="132" w16cid:durableId="219555605">
    <w:abstractNumId w:val="11"/>
  </w:num>
  <w:num w:numId="133" w16cid:durableId="1660117607">
    <w:abstractNumId w:val="101"/>
  </w:num>
  <w:num w:numId="134" w16cid:durableId="1115368821">
    <w:abstractNumId w:val="21"/>
  </w:num>
  <w:num w:numId="135" w16cid:durableId="139157495">
    <w:abstractNumId w:val="106"/>
  </w:num>
  <w:num w:numId="136" w16cid:durableId="1996494141">
    <w:abstractNumId w:val="163"/>
  </w:num>
  <w:num w:numId="137" w16cid:durableId="968241530">
    <w:abstractNumId w:val="86"/>
  </w:num>
  <w:num w:numId="138" w16cid:durableId="285160841">
    <w:abstractNumId w:val="52"/>
  </w:num>
  <w:num w:numId="139" w16cid:durableId="634412160">
    <w:abstractNumId w:val="68"/>
  </w:num>
  <w:num w:numId="140" w16cid:durableId="978923380">
    <w:abstractNumId w:val="51"/>
  </w:num>
  <w:num w:numId="141" w16cid:durableId="81027326">
    <w:abstractNumId w:val="77"/>
  </w:num>
  <w:num w:numId="142" w16cid:durableId="938560358">
    <w:abstractNumId w:val="72"/>
  </w:num>
  <w:num w:numId="143" w16cid:durableId="1789356192">
    <w:abstractNumId w:val="17"/>
  </w:num>
  <w:num w:numId="144" w16cid:durableId="648483594">
    <w:abstractNumId w:val="39"/>
  </w:num>
  <w:num w:numId="145" w16cid:durableId="1801000431">
    <w:abstractNumId w:val="25"/>
  </w:num>
  <w:num w:numId="146" w16cid:durableId="874386212">
    <w:abstractNumId w:val="151"/>
  </w:num>
  <w:num w:numId="147" w16cid:durableId="1937978467">
    <w:abstractNumId w:val="2"/>
  </w:num>
  <w:num w:numId="148" w16cid:durableId="1903442836">
    <w:abstractNumId w:val="144"/>
  </w:num>
  <w:num w:numId="149" w16cid:durableId="1020662825">
    <w:abstractNumId w:val="13"/>
  </w:num>
  <w:num w:numId="150" w16cid:durableId="1622303068">
    <w:abstractNumId w:val="132"/>
  </w:num>
  <w:num w:numId="151" w16cid:durableId="1552880817">
    <w:abstractNumId w:val="155"/>
  </w:num>
  <w:num w:numId="152" w16cid:durableId="1370182395">
    <w:abstractNumId w:val="82"/>
  </w:num>
  <w:num w:numId="153" w16cid:durableId="378166011">
    <w:abstractNumId w:val="19"/>
  </w:num>
  <w:num w:numId="154" w16cid:durableId="717127446">
    <w:abstractNumId w:val="109"/>
  </w:num>
  <w:num w:numId="155" w16cid:durableId="303046309">
    <w:abstractNumId w:val="126"/>
  </w:num>
  <w:num w:numId="156" w16cid:durableId="1618828702">
    <w:abstractNumId w:val="88"/>
  </w:num>
  <w:num w:numId="157" w16cid:durableId="1078133444">
    <w:abstractNumId w:val="157"/>
  </w:num>
  <w:num w:numId="158" w16cid:durableId="1970277972">
    <w:abstractNumId w:val="148"/>
  </w:num>
  <w:num w:numId="159" w16cid:durableId="380323458">
    <w:abstractNumId w:val="83"/>
  </w:num>
  <w:num w:numId="160" w16cid:durableId="1916429837">
    <w:abstractNumId w:val="94"/>
  </w:num>
  <w:num w:numId="161" w16cid:durableId="1521243337">
    <w:abstractNumId w:val="141"/>
  </w:num>
  <w:num w:numId="162" w16cid:durableId="603733113">
    <w:abstractNumId w:val="85"/>
  </w:num>
  <w:num w:numId="163" w16cid:durableId="693532403">
    <w:abstractNumId w:val="46"/>
  </w:num>
  <w:num w:numId="164" w16cid:durableId="322710316">
    <w:abstractNumId w:val="139"/>
  </w:num>
  <w:num w:numId="165" w16cid:durableId="973752935">
    <w:abstractNumId w:val="32"/>
  </w:num>
  <w:num w:numId="166" w16cid:durableId="1474061163">
    <w:abstractNumId w:val="124"/>
  </w:num>
  <w:num w:numId="167" w16cid:durableId="1214733481">
    <w:abstractNumId w:val="14"/>
  </w:num>
  <w:num w:numId="168" w16cid:durableId="81999889">
    <w:abstractNumId w:val="24"/>
  </w:num>
  <w:num w:numId="169" w16cid:durableId="1727296079">
    <w:abstractNumId w:val="20"/>
  </w:num>
  <w:num w:numId="170" w16cid:durableId="899824370">
    <w:abstractNumId w:val="22"/>
  </w:num>
  <w:num w:numId="171" w16cid:durableId="861432801">
    <w:abstractNumId w:val="167"/>
  </w:num>
  <w:num w:numId="172" w16cid:durableId="1180390242">
    <w:abstractNumId w:val="55"/>
  </w:num>
  <w:num w:numId="173" w16cid:durableId="569271183">
    <w:abstractNumId w:val="48"/>
  </w:num>
  <w:num w:numId="174" w16cid:durableId="1798142867">
    <w:abstractNumId w:val="172"/>
  </w:num>
  <w:num w:numId="175" w16cid:durableId="1006399773">
    <w:abstractNumId w:val="92"/>
  </w:num>
  <w:num w:numId="176" w16cid:durableId="220872931">
    <w:abstractNumId w:val="28"/>
  </w:num>
  <w:num w:numId="177" w16cid:durableId="24869259">
    <w:abstractNumId w:val="40"/>
  </w:num>
  <w:num w:numId="178" w16cid:durableId="1396316159">
    <w:abstractNumId w:val="78"/>
  </w:num>
  <w:num w:numId="179" w16cid:durableId="1948152256">
    <w:abstractNumId w:val="29"/>
  </w:num>
  <w:num w:numId="180" w16cid:durableId="463041622">
    <w:abstractNumId w:val="123"/>
  </w:num>
  <w:num w:numId="181" w16cid:durableId="1380787116">
    <w:abstractNumId w:val="75"/>
  </w:num>
  <w:num w:numId="182" w16cid:durableId="1810004335">
    <w:abstractNumId w:val="137"/>
  </w:num>
  <w:num w:numId="183" w16cid:durableId="45951342">
    <w:abstractNumId w:val="5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0077"/>
    <w:rsid w:val="000000BF"/>
    <w:rsid w:val="00000177"/>
    <w:rsid w:val="00000310"/>
    <w:rsid w:val="00000335"/>
    <w:rsid w:val="000003F9"/>
    <w:rsid w:val="0000041D"/>
    <w:rsid w:val="0000047C"/>
    <w:rsid w:val="000004EE"/>
    <w:rsid w:val="00000500"/>
    <w:rsid w:val="00000563"/>
    <w:rsid w:val="000005D0"/>
    <w:rsid w:val="000005D1"/>
    <w:rsid w:val="00000708"/>
    <w:rsid w:val="00000764"/>
    <w:rsid w:val="00000C00"/>
    <w:rsid w:val="00000CAB"/>
    <w:rsid w:val="00000D69"/>
    <w:rsid w:val="00000E3D"/>
    <w:rsid w:val="00000E4D"/>
    <w:rsid w:val="00000EAF"/>
    <w:rsid w:val="00001079"/>
    <w:rsid w:val="0000112B"/>
    <w:rsid w:val="000011A9"/>
    <w:rsid w:val="000011C0"/>
    <w:rsid w:val="0000120F"/>
    <w:rsid w:val="000012DB"/>
    <w:rsid w:val="0000137B"/>
    <w:rsid w:val="00001410"/>
    <w:rsid w:val="0000143F"/>
    <w:rsid w:val="000014E5"/>
    <w:rsid w:val="000015CC"/>
    <w:rsid w:val="000015D8"/>
    <w:rsid w:val="00001667"/>
    <w:rsid w:val="00001679"/>
    <w:rsid w:val="0000172E"/>
    <w:rsid w:val="0000176F"/>
    <w:rsid w:val="00001902"/>
    <w:rsid w:val="000019C6"/>
    <w:rsid w:val="00001A81"/>
    <w:rsid w:val="00001AEA"/>
    <w:rsid w:val="00001B15"/>
    <w:rsid w:val="00001C48"/>
    <w:rsid w:val="00001CA9"/>
    <w:rsid w:val="00001CB2"/>
    <w:rsid w:val="00001DF7"/>
    <w:rsid w:val="00001E06"/>
    <w:rsid w:val="00001E87"/>
    <w:rsid w:val="00001F27"/>
    <w:rsid w:val="00001F2D"/>
    <w:rsid w:val="00001FEB"/>
    <w:rsid w:val="00002029"/>
    <w:rsid w:val="000022DE"/>
    <w:rsid w:val="0000251F"/>
    <w:rsid w:val="00002535"/>
    <w:rsid w:val="00002576"/>
    <w:rsid w:val="000025E9"/>
    <w:rsid w:val="00002830"/>
    <w:rsid w:val="0000289A"/>
    <w:rsid w:val="000028C3"/>
    <w:rsid w:val="00002954"/>
    <w:rsid w:val="00002A7F"/>
    <w:rsid w:val="00002B5D"/>
    <w:rsid w:val="00002BD9"/>
    <w:rsid w:val="00002C07"/>
    <w:rsid w:val="00002C2D"/>
    <w:rsid w:val="00002CF1"/>
    <w:rsid w:val="00002D75"/>
    <w:rsid w:val="00002DA3"/>
    <w:rsid w:val="00002E46"/>
    <w:rsid w:val="00002ED5"/>
    <w:rsid w:val="00002F0D"/>
    <w:rsid w:val="00002F78"/>
    <w:rsid w:val="00002FCF"/>
    <w:rsid w:val="00002FF5"/>
    <w:rsid w:val="0000301B"/>
    <w:rsid w:val="00003154"/>
    <w:rsid w:val="000032C8"/>
    <w:rsid w:val="000032CF"/>
    <w:rsid w:val="000032F1"/>
    <w:rsid w:val="000033C8"/>
    <w:rsid w:val="0000347F"/>
    <w:rsid w:val="000034C2"/>
    <w:rsid w:val="00003502"/>
    <w:rsid w:val="00003548"/>
    <w:rsid w:val="0000363B"/>
    <w:rsid w:val="00003698"/>
    <w:rsid w:val="00003699"/>
    <w:rsid w:val="00003867"/>
    <w:rsid w:val="0000387B"/>
    <w:rsid w:val="000038B9"/>
    <w:rsid w:val="000039C8"/>
    <w:rsid w:val="000039F2"/>
    <w:rsid w:val="00003B2E"/>
    <w:rsid w:val="00003CD7"/>
    <w:rsid w:val="00003D28"/>
    <w:rsid w:val="00003DB9"/>
    <w:rsid w:val="00003F42"/>
    <w:rsid w:val="00003F76"/>
    <w:rsid w:val="00003FE6"/>
    <w:rsid w:val="00003FF3"/>
    <w:rsid w:val="0000411D"/>
    <w:rsid w:val="000041EE"/>
    <w:rsid w:val="00004217"/>
    <w:rsid w:val="000042B0"/>
    <w:rsid w:val="000042DB"/>
    <w:rsid w:val="00004488"/>
    <w:rsid w:val="00004533"/>
    <w:rsid w:val="0000453D"/>
    <w:rsid w:val="00004626"/>
    <w:rsid w:val="000046FC"/>
    <w:rsid w:val="00004789"/>
    <w:rsid w:val="000047D0"/>
    <w:rsid w:val="0000488D"/>
    <w:rsid w:val="00004944"/>
    <w:rsid w:val="000049DD"/>
    <w:rsid w:val="00004A53"/>
    <w:rsid w:val="00004BA8"/>
    <w:rsid w:val="00004BC2"/>
    <w:rsid w:val="00004D28"/>
    <w:rsid w:val="0000504D"/>
    <w:rsid w:val="00005208"/>
    <w:rsid w:val="00005288"/>
    <w:rsid w:val="00005295"/>
    <w:rsid w:val="000053BC"/>
    <w:rsid w:val="000054EC"/>
    <w:rsid w:val="000054FA"/>
    <w:rsid w:val="000056AD"/>
    <w:rsid w:val="00005A8E"/>
    <w:rsid w:val="00005AD0"/>
    <w:rsid w:val="00005AF4"/>
    <w:rsid w:val="00005B53"/>
    <w:rsid w:val="00005B7E"/>
    <w:rsid w:val="00005CA8"/>
    <w:rsid w:val="00005D6C"/>
    <w:rsid w:val="00005E53"/>
    <w:rsid w:val="00005F20"/>
    <w:rsid w:val="00006008"/>
    <w:rsid w:val="00006024"/>
    <w:rsid w:val="000060BB"/>
    <w:rsid w:val="000060F7"/>
    <w:rsid w:val="00006136"/>
    <w:rsid w:val="000061B8"/>
    <w:rsid w:val="000061F2"/>
    <w:rsid w:val="000062C4"/>
    <w:rsid w:val="000063A3"/>
    <w:rsid w:val="000063A7"/>
    <w:rsid w:val="000063AA"/>
    <w:rsid w:val="000063B6"/>
    <w:rsid w:val="00006516"/>
    <w:rsid w:val="0000653B"/>
    <w:rsid w:val="0000666D"/>
    <w:rsid w:val="000066A6"/>
    <w:rsid w:val="000066B1"/>
    <w:rsid w:val="0000680E"/>
    <w:rsid w:val="0000685A"/>
    <w:rsid w:val="00006A58"/>
    <w:rsid w:val="00006AC1"/>
    <w:rsid w:val="00006C25"/>
    <w:rsid w:val="00006C4A"/>
    <w:rsid w:val="00006CAB"/>
    <w:rsid w:val="00006CC5"/>
    <w:rsid w:val="00006D44"/>
    <w:rsid w:val="00006EC1"/>
    <w:rsid w:val="00006EF4"/>
    <w:rsid w:val="00006F09"/>
    <w:rsid w:val="00006F44"/>
    <w:rsid w:val="00006F5A"/>
    <w:rsid w:val="00006F9F"/>
    <w:rsid w:val="0000701C"/>
    <w:rsid w:val="00007038"/>
    <w:rsid w:val="00007063"/>
    <w:rsid w:val="000070B9"/>
    <w:rsid w:val="0000715D"/>
    <w:rsid w:val="00007201"/>
    <w:rsid w:val="00007418"/>
    <w:rsid w:val="0000748D"/>
    <w:rsid w:val="00007712"/>
    <w:rsid w:val="000079CC"/>
    <w:rsid w:val="00007A3A"/>
    <w:rsid w:val="00007A44"/>
    <w:rsid w:val="00007D1E"/>
    <w:rsid w:val="00007E66"/>
    <w:rsid w:val="00007EF3"/>
    <w:rsid w:val="00007FA7"/>
    <w:rsid w:val="00010113"/>
    <w:rsid w:val="000101ED"/>
    <w:rsid w:val="00010293"/>
    <w:rsid w:val="00010391"/>
    <w:rsid w:val="00010395"/>
    <w:rsid w:val="00010537"/>
    <w:rsid w:val="000105C9"/>
    <w:rsid w:val="00010627"/>
    <w:rsid w:val="000106EA"/>
    <w:rsid w:val="000107AB"/>
    <w:rsid w:val="000108F5"/>
    <w:rsid w:val="0001094A"/>
    <w:rsid w:val="00010996"/>
    <w:rsid w:val="000109AF"/>
    <w:rsid w:val="00010A31"/>
    <w:rsid w:val="00010A99"/>
    <w:rsid w:val="00010AB8"/>
    <w:rsid w:val="00010ABC"/>
    <w:rsid w:val="00010B4D"/>
    <w:rsid w:val="00010CDA"/>
    <w:rsid w:val="00010D02"/>
    <w:rsid w:val="00010DA3"/>
    <w:rsid w:val="00010DD8"/>
    <w:rsid w:val="00010E3F"/>
    <w:rsid w:val="00010EE6"/>
    <w:rsid w:val="00010F48"/>
    <w:rsid w:val="00010FA9"/>
    <w:rsid w:val="000112E6"/>
    <w:rsid w:val="00011546"/>
    <w:rsid w:val="0001154E"/>
    <w:rsid w:val="000115B2"/>
    <w:rsid w:val="000115CE"/>
    <w:rsid w:val="000115E2"/>
    <w:rsid w:val="000116C1"/>
    <w:rsid w:val="00011733"/>
    <w:rsid w:val="000117DD"/>
    <w:rsid w:val="00011855"/>
    <w:rsid w:val="000118CC"/>
    <w:rsid w:val="000119F5"/>
    <w:rsid w:val="00011B16"/>
    <w:rsid w:val="00011C73"/>
    <w:rsid w:val="00011DCF"/>
    <w:rsid w:val="00011E88"/>
    <w:rsid w:val="00011ED3"/>
    <w:rsid w:val="0001200B"/>
    <w:rsid w:val="000121C6"/>
    <w:rsid w:val="0001227F"/>
    <w:rsid w:val="000122DD"/>
    <w:rsid w:val="00012441"/>
    <w:rsid w:val="0001249A"/>
    <w:rsid w:val="0001257B"/>
    <w:rsid w:val="000125DB"/>
    <w:rsid w:val="0001262A"/>
    <w:rsid w:val="0001267A"/>
    <w:rsid w:val="00012766"/>
    <w:rsid w:val="00012909"/>
    <w:rsid w:val="00012947"/>
    <w:rsid w:val="00012A72"/>
    <w:rsid w:val="00012AA8"/>
    <w:rsid w:val="00012E77"/>
    <w:rsid w:val="00012EFA"/>
    <w:rsid w:val="00013012"/>
    <w:rsid w:val="00013024"/>
    <w:rsid w:val="00013050"/>
    <w:rsid w:val="000131A1"/>
    <w:rsid w:val="000131EC"/>
    <w:rsid w:val="000133FB"/>
    <w:rsid w:val="000134CF"/>
    <w:rsid w:val="0001362E"/>
    <w:rsid w:val="00013657"/>
    <w:rsid w:val="0001369B"/>
    <w:rsid w:val="000136EA"/>
    <w:rsid w:val="000137F3"/>
    <w:rsid w:val="00013950"/>
    <w:rsid w:val="00013A59"/>
    <w:rsid w:val="00013D16"/>
    <w:rsid w:val="00013E2A"/>
    <w:rsid w:val="00013E88"/>
    <w:rsid w:val="00013ED5"/>
    <w:rsid w:val="00013EDA"/>
    <w:rsid w:val="00014300"/>
    <w:rsid w:val="0001439E"/>
    <w:rsid w:val="000143F6"/>
    <w:rsid w:val="0001445B"/>
    <w:rsid w:val="00014553"/>
    <w:rsid w:val="000145D5"/>
    <w:rsid w:val="0001460D"/>
    <w:rsid w:val="0001473D"/>
    <w:rsid w:val="000148BD"/>
    <w:rsid w:val="000149A3"/>
    <w:rsid w:val="00014B50"/>
    <w:rsid w:val="00014B89"/>
    <w:rsid w:val="00014B91"/>
    <w:rsid w:val="00014C59"/>
    <w:rsid w:val="00014C64"/>
    <w:rsid w:val="00014CDC"/>
    <w:rsid w:val="00014D4C"/>
    <w:rsid w:val="00014DA4"/>
    <w:rsid w:val="00014E0C"/>
    <w:rsid w:val="00014EBA"/>
    <w:rsid w:val="00015122"/>
    <w:rsid w:val="00015173"/>
    <w:rsid w:val="000151CF"/>
    <w:rsid w:val="000151E8"/>
    <w:rsid w:val="00015230"/>
    <w:rsid w:val="0001529A"/>
    <w:rsid w:val="0001531B"/>
    <w:rsid w:val="00015519"/>
    <w:rsid w:val="000155E5"/>
    <w:rsid w:val="00015769"/>
    <w:rsid w:val="0001576E"/>
    <w:rsid w:val="000157C4"/>
    <w:rsid w:val="0001584E"/>
    <w:rsid w:val="00015886"/>
    <w:rsid w:val="0001593C"/>
    <w:rsid w:val="00015A6A"/>
    <w:rsid w:val="00015ABB"/>
    <w:rsid w:val="00015B89"/>
    <w:rsid w:val="00015CD4"/>
    <w:rsid w:val="00015E14"/>
    <w:rsid w:val="00015EE4"/>
    <w:rsid w:val="00015FBA"/>
    <w:rsid w:val="0001622A"/>
    <w:rsid w:val="0001624B"/>
    <w:rsid w:val="000162A9"/>
    <w:rsid w:val="000162E0"/>
    <w:rsid w:val="00016321"/>
    <w:rsid w:val="0001635E"/>
    <w:rsid w:val="000163EF"/>
    <w:rsid w:val="000164A2"/>
    <w:rsid w:val="000166A7"/>
    <w:rsid w:val="000166DA"/>
    <w:rsid w:val="000167AC"/>
    <w:rsid w:val="00016838"/>
    <w:rsid w:val="00016A82"/>
    <w:rsid w:val="00016B23"/>
    <w:rsid w:val="00016BE6"/>
    <w:rsid w:val="00016D05"/>
    <w:rsid w:val="00016E49"/>
    <w:rsid w:val="00016F71"/>
    <w:rsid w:val="00016F95"/>
    <w:rsid w:val="000170BF"/>
    <w:rsid w:val="0001710A"/>
    <w:rsid w:val="0001725B"/>
    <w:rsid w:val="00017316"/>
    <w:rsid w:val="000174B9"/>
    <w:rsid w:val="00017597"/>
    <w:rsid w:val="000175AF"/>
    <w:rsid w:val="00017621"/>
    <w:rsid w:val="0001785B"/>
    <w:rsid w:val="000178AE"/>
    <w:rsid w:val="000178BE"/>
    <w:rsid w:val="0001792A"/>
    <w:rsid w:val="00017A58"/>
    <w:rsid w:val="00017AAE"/>
    <w:rsid w:val="00017B95"/>
    <w:rsid w:val="00017D1B"/>
    <w:rsid w:val="00017D28"/>
    <w:rsid w:val="00017D32"/>
    <w:rsid w:val="00017D4C"/>
    <w:rsid w:val="00017D99"/>
    <w:rsid w:val="00017DEA"/>
    <w:rsid w:val="00017DF7"/>
    <w:rsid w:val="00017E00"/>
    <w:rsid w:val="00017E66"/>
    <w:rsid w:val="000201AB"/>
    <w:rsid w:val="000201BE"/>
    <w:rsid w:val="000201CC"/>
    <w:rsid w:val="0002030C"/>
    <w:rsid w:val="00020356"/>
    <w:rsid w:val="000203F7"/>
    <w:rsid w:val="00020428"/>
    <w:rsid w:val="0002042A"/>
    <w:rsid w:val="0002056D"/>
    <w:rsid w:val="00020916"/>
    <w:rsid w:val="00020BD2"/>
    <w:rsid w:val="00020C28"/>
    <w:rsid w:val="00020DEC"/>
    <w:rsid w:val="00020DF6"/>
    <w:rsid w:val="00020ECB"/>
    <w:rsid w:val="00020FEC"/>
    <w:rsid w:val="0002100F"/>
    <w:rsid w:val="00021308"/>
    <w:rsid w:val="0002139B"/>
    <w:rsid w:val="00021455"/>
    <w:rsid w:val="000214F9"/>
    <w:rsid w:val="000215AF"/>
    <w:rsid w:val="000215B5"/>
    <w:rsid w:val="000215DD"/>
    <w:rsid w:val="000217E6"/>
    <w:rsid w:val="00021919"/>
    <w:rsid w:val="00021AB6"/>
    <w:rsid w:val="00021B36"/>
    <w:rsid w:val="00021C8F"/>
    <w:rsid w:val="00021DB5"/>
    <w:rsid w:val="00021E2F"/>
    <w:rsid w:val="00021EC5"/>
    <w:rsid w:val="00021ED8"/>
    <w:rsid w:val="00021FC2"/>
    <w:rsid w:val="000220A4"/>
    <w:rsid w:val="00022147"/>
    <w:rsid w:val="000222AE"/>
    <w:rsid w:val="00022351"/>
    <w:rsid w:val="0002269B"/>
    <w:rsid w:val="000226A0"/>
    <w:rsid w:val="0002280E"/>
    <w:rsid w:val="000228B2"/>
    <w:rsid w:val="000229E6"/>
    <w:rsid w:val="000229EE"/>
    <w:rsid w:val="00022A1B"/>
    <w:rsid w:val="00022A24"/>
    <w:rsid w:val="00022A3E"/>
    <w:rsid w:val="00022AA6"/>
    <w:rsid w:val="00022B2D"/>
    <w:rsid w:val="00022CC9"/>
    <w:rsid w:val="00022D0A"/>
    <w:rsid w:val="00022E40"/>
    <w:rsid w:val="00022E87"/>
    <w:rsid w:val="00022EE5"/>
    <w:rsid w:val="00022FDF"/>
    <w:rsid w:val="000230CB"/>
    <w:rsid w:val="000231C3"/>
    <w:rsid w:val="00023208"/>
    <w:rsid w:val="000232B1"/>
    <w:rsid w:val="00023310"/>
    <w:rsid w:val="000233D7"/>
    <w:rsid w:val="00023597"/>
    <w:rsid w:val="000237B7"/>
    <w:rsid w:val="000237FE"/>
    <w:rsid w:val="0002394D"/>
    <w:rsid w:val="00023AD4"/>
    <w:rsid w:val="00023B66"/>
    <w:rsid w:val="00023C4A"/>
    <w:rsid w:val="00023E7A"/>
    <w:rsid w:val="00023E9F"/>
    <w:rsid w:val="00023F85"/>
    <w:rsid w:val="00023FDE"/>
    <w:rsid w:val="0002409A"/>
    <w:rsid w:val="000240AC"/>
    <w:rsid w:val="00024113"/>
    <w:rsid w:val="00024205"/>
    <w:rsid w:val="000242CC"/>
    <w:rsid w:val="0002445B"/>
    <w:rsid w:val="000244F6"/>
    <w:rsid w:val="00024678"/>
    <w:rsid w:val="000247B4"/>
    <w:rsid w:val="00024821"/>
    <w:rsid w:val="000248AD"/>
    <w:rsid w:val="00024961"/>
    <w:rsid w:val="00024989"/>
    <w:rsid w:val="00024A7A"/>
    <w:rsid w:val="00024B1C"/>
    <w:rsid w:val="00024B88"/>
    <w:rsid w:val="00024B98"/>
    <w:rsid w:val="00024C46"/>
    <w:rsid w:val="00024C8D"/>
    <w:rsid w:val="00024D6F"/>
    <w:rsid w:val="00024F38"/>
    <w:rsid w:val="00024F51"/>
    <w:rsid w:val="00025055"/>
    <w:rsid w:val="000250FF"/>
    <w:rsid w:val="00025140"/>
    <w:rsid w:val="000251A8"/>
    <w:rsid w:val="00025327"/>
    <w:rsid w:val="0002536E"/>
    <w:rsid w:val="00025597"/>
    <w:rsid w:val="00025788"/>
    <w:rsid w:val="00025848"/>
    <w:rsid w:val="0002589E"/>
    <w:rsid w:val="00025985"/>
    <w:rsid w:val="00025987"/>
    <w:rsid w:val="00025991"/>
    <w:rsid w:val="00025A52"/>
    <w:rsid w:val="00025B1B"/>
    <w:rsid w:val="00025BCF"/>
    <w:rsid w:val="00025C1F"/>
    <w:rsid w:val="00025CCC"/>
    <w:rsid w:val="00025E41"/>
    <w:rsid w:val="00025F14"/>
    <w:rsid w:val="00025F3F"/>
    <w:rsid w:val="00025F47"/>
    <w:rsid w:val="00025F97"/>
    <w:rsid w:val="00026006"/>
    <w:rsid w:val="000260E9"/>
    <w:rsid w:val="0002624B"/>
    <w:rsid w:val="0002639C"/>
    <w:rsid w:val="00026571"/>
    <w:rsid w:val="00026677"/>
    <w:rsid w:val="000267A2"/>
    <w:rsid w:val="000268BE"/>
    <w:rsid w:val="00026983"/>
    <w:rsid w:val="00026A23"/>
    <w:rsid w:val="00026BE2"/>
    <w:rsid w:val="00026C3A"/>
    <w:rsid w:val="00026CDC"/>
    <w:rsid w:val="00026CF4"/>
    <w:rsid w:val="00026D84"/>
    <w:rsid w:val="00026D8D"/>
    <w:rsid w:val="00026F09"/>
    <w:rsid w:val="00026F95"/>
    <w:rsid w:val="00026FE6"/>
    <w:rsid w:val="00027190"/>
    <w:rsid w:val="000271EC"/>
    <w:rsid w:val="0002723E"/>
    <w:rsid w:val="00027250"/>
    <w:rsid w:val="0002727A"/>
    <w:rsid w:val="000272BC"/>
    <w:rsid w:val="00027461"/>
    <w:rsid w:val="000274C3"/>
    <w:rsid w:val="000274CB"/>
    <w:rsid w:val="00027571"/>
    <w:rsid w:val="0002757F"/>
    <w:rsid w:val="000277C7"/>
    <w:rsid w:val="00027846"/>
    <w:rsid w:val="000278B3"/>
    <w:rsid w:val="000279A5"/>
    <w:rsid w:val="00027A7D"/>
    <w:rsid w:val="00027AAC"/>
    <w:rsid w:val="00027C62"/>
    <w:rsid w:val="00027C7C"/>
    <w:rsid w:val="00027CA3"/>
    <w:rsid w:val="00027CFB"/>
    <w:rsid w:val="00027D2D"/>
    <w:rsid w:val="00027E2E"/>
    <w:rsid w:val="00027E99"/>
    <w:rsid w:val="00027EED"/>
    <w:rsid w:val="00027F16"/>
    <w:rsid w:val="00027FAF"/>
    <w:rsid w:val="0003000B"/>
    <w:rsid w:val="0003019D"/>
    <w:rsid w:val="000301E9"/>
    <w:rsid w:val="00030273"/>
    <w:rsid w:val="00030275"/>
    <w:rsid w:val="00030331"/>
    <w:rsid w:val="0003037E"/>
    <w:rsid w:val="00030403"/>
    <w:rsid w:val="0003048E"/>
    <w:rsid w:val="000304E0"/>
    <w:rsid w:val="00030542"/>
    <w:rsid w:val="000305FD"/>
    <w:rsid w:val="000306AD"/>
    <w:rsid w:val="00030789"/>
    <w:rsid w:val="0003078E"/>
    <w:rsid w:val="000307E2"/>
    <w:rsid w:val="00030901"/>
    <w:rsid w:val="0003091B"/>
    <w:rsid w:val="00030AA8"/>
    <w:rsid w:val="00030BBA"/>
    <w:rsid w:val="00030D33"/>
    <w:rsid w:val="00030D52"/>
    <w:rsid w:val="00030D88"/>
    <w:rsid w:val="00030E75"/>
    <w:rsid w:val="00030E94"/>
    <w:rsid w:val="00030F6A"/>
    <w:rsid w:val="00030F98"/>
    <w:rsid w:val="00031025"/>
    <w:rsid w:val="00031051"/>
    <w:rsid w:val="00031135"/>
    <w:rsid w:val="000311B7"/>
    <w:rsid w:val="00031220"/>
    <w:rsid w:val="0003131A"/>
    <w:rsid w:val="000313A0"/>
    <w:rsid w:val="0003144A"/>
    <w:rsid w:val="000314CB"/>
    <w:rsid w:val="0003176D"/>
    <w:rsid w:val="0003180E"/>
    <w:rsid w:val="0003183F"/>
    <w:rsid w:val="00031881"/>
    <w:rsid w:val="00031929"/>
    <w:rsid w:val="000319A0"/>
    <w:rsid w:val="00031ACD"/>
    <w:rsid w:val="00031AD6"/>
    <w:rsid w:val="00031C0B"/>
    <w:rsid w:val="00031C4A"/>
    <w:rsid w:val="00031CA7"/>
    <w:rsid w:val="00031CF7"/>
    <w:rsid w:val="00031DD5"/>
    <w:rsid w:val="00031E8C"/>
    <w:rsid w:val="00031EDF"/>
    <w:rsid w:val="00031FE8"/>
    <w:rsid w:val="0003203B"/>
    <w:rsid w:val="0003215C"/>
    <w:rsid w:val="00032213"/>
    <w:rsid w:val="0003228C"/>
    <w:rsid w:val="000323F4"/>
    <w:rsid w:val="00032575"/>
    <w:rsid w:val="0003262A"/>
    <w:rsid w:val="00032678"/>
    <w:rsid w:val="000326A4"/>
    <w:rsid w:val="000326E0"/>
    <w:rsid w:val="00032703"/>
    <w:rsid w:val="00032725"/>
    <w:rsid w:val="0003272D"/>
    <w:rsid w:val="0003282B"/>
    <w:rsid w:val="000329F3"/>
    <w:rsid w:val="00032A01"/>
    <w:rsid w:val="00032B08"/>
    <w:rsid w:val="00032C4C"/>
    <w:rsid w:val="00032C54"/>
    <w:rsid w:val="00032F3C"/>
    <w:rsid w:val="000331A0"/>
    <w:rsid w:val="000331CA"/>
    <w:rsid w:val="0003332E"/>
    <w:rsid w:val="00033381"/>
    <w:rsid w:val="00033446"/>
    <w:rsid w:val="00033508"/>
    <w:rsid w:val="00033626"/>
    <w:rsid w:val="00033662"/>
    <w:rsid w:val="000337C7"/>
    <w:rsid w:val="00033863"/>
    <w:rsid w:val="000339A0"/>
    <w:rsid w:val="00033A58"/>
    <w:rsid w:val="00033AC3"/>
    <w:rsid w:val="00033BF2"/>
    <w:rsid w:val="00033CFC"/>
    <w:rsid w:val="00033D74"/>
    <w:rsid w:val="00033FC5"/>
    <w:rsid w:val="00034110"/>
    <w:rsid w:val="0003422D"/>
    <w:rsid w:val="00034339"/>
    <w:rsid w:val="00034415"/>
    <w:rsid w:val="0003444E"/>
    <w:rsid w:val="0003451A"/>
    <w:rsid w:val="0003457B"/>
    <w:rsid w:val="0003459B"/>
    <w:rsid w:val="0003459E"/>
    <w:rsid w:val="000345F3"/>
    <w:rsid w:val="00034654"/>
    <w:rsid w:val="0003479C"/>
    <w:rsid w:val="000347D9"/>
    <w:rsid w:val="00034919"/>
    <w:rsid w:val="00034A4F"/>
    <w:rsid w:val="00034AE0"/>
    <w:rsid w:val="00034BB6"/>
    <w:rsid w:val="00034CEC"/>
    <w:rsid w:val="00034D2F"/>
    <w:rsid w:val="00034F0B"/>
    <w:rsid w:val="00034F51"/>
    <w:rsid w:val="00034F62"/>
    <w:rsid w:val="00035118"/>
    <w:rsid w:val="00035138"/>
    <w:rsid w:val="0003524A"/>
    <w:rsid w:val="0003550B"/>
    <w:rsid w:val="00035535"/>
    <w:rsid w:val="000355B1"/>
    <w:rsid w:val="0003561A"/>
    <w:rsid w:val="0003569A"/>
    <w:rsid w:val="000356ED"/>
    <w:rsid w:val="0003572C"/>
    <w:rsid w:val="000357F5"/>
    <w:rsid w:val="000359CB"/>
    <w:rsid w:val="000359FB"/>
    <w:rsid w:val="00035A36"/>
    <w:rsid w:val="00035AAF"/>
    <w:rsid w:val="00035B12"/>
    <w:rsid w:val="00035B92"/>
    <w:rsid w:val="00035C09"/>
    <w:rsid w:val="00035CD2"/>
    <w:rsid w:val="00035E8D"/>
    <w:rsid w:val="00036018"/>
    <w:rsid w:val="000360CE"/>
    <w:rsid w:val="00036139"/>
    <w:rsid w:val="000362F1"/>
    <w:rsid w:val="00036547"/>
    <w:rsid w:val="00036623"/>
    <w:rsid w:val="000368A3"/>
    <w:rsid w:val="000368A8"/>
    <w:rsid w:val="000368FC"/>
    <w:rsid w:val="0003699B"/>
    <w:rsid w:val="00036A2E"/>
    <w:rsid w:val="00036B22"/>
    <w:rsid w:val="00036C01"/>
    <w:rsid w:val="00036C4D"/>
    <w:rsid w:val="00036C60"/>
    <w:rsid w:val="00036C76"/>
    <w:rsid w:val="00036DEC"/>
    <w:rsid w:val="00036DF0"/>
    <w:rsid w:val="00036EB2"/>
    <w:rsid w:val="00036FDC"/>
    <w:rsid w:val="00036FE5"/>
    <w:rsid w:val="00036FFB"/>
    <w:rsid w:val="0003700A"/>
    <w:rsid w:val="0003713C"/>
    <w:rsid w:val="000372C5"/>
    <w:rsid w:val="000372D8"/>
    <w:rsid w:val="00037354"/>
    <w:rsid w:val="0003739F"/>
    <w:rsid w:val="00037444"/>
    <w:rsid w:val="00037445"/>
    <w:rsid w:val="00037499"/>
    <w:rsid w:val="000374C4"/>
    <w:rsid w:val="000375D8"/>
    <w:rsid w:val="000376E6"/>
    <w:rsid w:val="0003774D"/>
    <w:rsid w:val="00037806"/>
    <w:rsid w:val="00037956"/>
    <w:rsid w:val="00037A2A"/>
    <w:rsid w:val="00037AD5"/>
    <w:rsid w:val="00037BB8"/>
    <w:rsid w:val="00037BC1"/>
    <w:rsid w:val="00037BC7"/>
    <w:rsid w:val="00037C0A"/>
    <w:rsid w:val="00037D1A"/>
    <w:rsid w:val="00037D3B"/>
    <w:rsid w:val="00037DFF"/>
    <w:rsid w:val="00037E52"/>
    <w:rsid w:val="00037EB7"/>
    <w:rsid w:val="00037FD4"/>
    <w:rsid w:val="000400B4"/>
    <w:rsid w:val="00040174"/>
    <w:rsid w:val="000402A4"/>
    <w:rsid w:val="0004037C"/>
    <w:rsid w:val="00040638"/>
    <w:rsid w:val="000407D8"/>
    <w:rsid w:val="00040AE7"/>
    <w:rsid w:val="00040AEC"/>
    <w:rsid w:val="00040BEB"/>
    <w:rsid w:val="00040C40"/>
    <w:rsid w:val="00040CDF"/>
    <w:rsid w:val="00040D0E"/>
    <w:rsid w:val="00040E84"/>
    <w:rsid w:val="000413DF"/>
    <w:rsid w:val="000414D5"/>
    <w:rsid w:val="00041502"/>
    <w:rsid w:val="000415BC"/>
    <w:rsid w:val="00041683"/>
    <w:rsid w:val="00041866"/>
    <w:rsid w:val="00041A7A"/>
    <w:rsid w:val="00041B06"/>
    <w:rsid w:val="00041C60"/>
    <w:rsid w:val="00041D00"/>
    <w:rsid w:val="00041E84"/>
    <w:rsid w:val="00041F11"/>
    <w:rsid w:val="000420FD"/>
    <w:rsid w:val="0004213D"/>
    <w:rsid w:val="00042158"/>
    <w:rsid w:val="0004215E"/>
    <w:rsid w:val="00042183"/>
    <w:rsid w:val="00042261"/>
    <w:rsid w:val="000422A8"/>
    <w:rsid w:val="000423C5"/>
    <w:rsid w:val="000424AC"/>
    <w:rsid w:val="0004254A"/>
    <w:rsid w:val="0004265C"/>
    <w:rsid w:val="000426C3"/>
    <w:rsid w:val="000426FD"/>
    <w:rsid w:val="00042709"/>
    <w:rsid w:val="000427AB"/>
    <w:rsid w:val="00042819"/>
    <w:rsid w:val="0004287D"/>
    <w:rsid w:val="000428BF"/>
    <w:rsid w:val="000428D0"/>
    <w:rsid w:val="00042901"/>
    <w:rsid w:val="00042928"/>
    <w:rsid w:val="00042DB4"/>
    <w:rsid w:val="00042E54"/>
    <w:rsid w:val="00042EF7"/>
    <w:rsid w:val="00042FEA"/>
    <w:rsid w:val="0004308E"/>
    <w:rsid w:val="000430DF"/>
    <w:rsid w:val="0004321A"/>
    <w:rsid w:val="0004321B"/>
    <w:rsid w:val="000432D6"/>
    <w:rsid w:val="000432E1"/>
    <w:rsid w:val="0004337B"/>
    <w:rsid w:val="000433EE"/>
    <w:rsid w:val="00043481"/>
    <w:rsid w:val="000434D4"/>
    <w:rsid w:val="000434E0"/>
    <w:rsid w:val="000435B9"/>
    <w:rsid w:val="0004363C"/>
    <w:rsid w:val="00043673"/>
    <w:rsid w:val="00043855"/>
    <w:rsid w:val="0004387C"/>
    <w:rsid w:val="0004394D"/>
    <w:rsid w:val="00043962"/>
    <w:rsid w:val="000439E9"/>
    <w:rsid w:val="00043AAE"/>
    <w:rsid w:val="00043B47"/>
    <w:rsid w:val="00043B5E"/>
    <w:rsid w:val="00043C93"/>
    <w:rsid w:val="00043D71"/>
    <w:rsid w:val="00043D7B"/>
    <w:rsid w:val="00043E6D"/>
    <w:rsid w:val="00044018"/>
    <w:rsid w:val="000440D6"/>
    <w:rsid w:val="000440EB"/>
    <w:rsid w:val="000441ED"/>
    <w:rsid w:val="00044396"/>
    <w:rsid w:val="0004442B"/>
    <w:rsid w:val="000444FE"/>
    <w:rsid w:val="00044523"/>
    <w:rsid w:val="000445E9"/>
    <w:rsid w:val="000446E6"/>
    <w:rsid w:val="00044749"/>
    <w:rsid w:val="00044853"/>
    <w:rsid w:val="00044B28"/>
    <w:rsid w:val="00044B3D"/>
    <w:rsid w:val="00044B64"/>
    <w:rsid w:val="00044C97"/>
    <w:rsid w:val="00044D02"/>
    <w:rsid w:val="00044E1A"/>
    <w:rsid w:val="00044EE9"/>
    <w:rsid w:val="00044F69"/>
    <w:rsid w:val="00045016"/>
    <w:rsid w:val="0004519D"/>
    <w:rsid w:val="000451F7"/>
    <w:rsid w:val="00045201"/>
    <w:rsid w:val="00045313"/>
    <w:rsid w:val="000453CA"/>
    <w:rsid w:val="000453DE"/>
    <w:rsid w:val="00045469"/>
    <w:rsid w:val="0004548F"/>
    <w:rsid w:val="000455D0"/>
    <w:rsid w:val="0004563B"/>
    <w:rsid w:val="000458E3"/>
    <w:rsid w:val="00045B4C"/>
    <w:rsid w:val="00045BBC"/>
    <w:rsid w:val="00045CFA"/>
    <w:rsid w:val="00045D00"/>
    <w:rsid w:val="00045D3B"/>
    <w:rsid w:val="00045E87"/>
    <w:rsid w:val="00046053"/>
    <w:rsid w:val="00046073"/>
    <w:rsid w:val="000461B5"/>
    <w:rsid w:val="000461F9"/>
    <w:rsid w:val="000462D3"/>
    <w:rsid w:val="00046370"/>
    <w:rsid w:val="000463BB"/>
    <w:rsid w:val="0004660A"/>
    <w:rsid w:val="000467CE"/>
    <w:rsid w:val="00046971"/>
    <w:rsid w:val="00046B59"/>
    <w:rsid w:val="00046C7A"/>
    <w:rsid w:val="00046DD4"/>
    <w:rsid w:val="00046F11"/>
    <w:rsid w:val="00047092"/>
    <w:rsid w:val="000470F7"/>
    <w:rsid w:val="0004717B"/>
    <w:rsid w:val="000471D7"/>
    <w:rsid w:val="000471E9"/>
    <w:rsid w:val="00047231"/>
    <w:rsid w:val="000472BB"/>
    <w:rsid w:val="000472EA"/>
    <w:rsid w:val="00047394"/>
    <w:rsid w:val="00047395"/>
    <w:rsid w:val="00047412"/>
    <w:rsid w:val="000474AB"/>
    <w:rsid w:val="0004756E"/>
    <w:rsid w:val="00047687"/>
    <w:rsid w:val="00047760"/>
    <w:rsid w:val="0004785D"/>
    <w:rsid w:val="000478F5"/>
    <w:rsid w:val="00047A5B"/>
    <w:rsid w:val="00047A7D"/>
    <w:rsid w:val="00047B63"/>
    <w:rsid w:val="00047B99"/>
    <w:rsid w:val="00047BDD"/>
    <w:rsid w:val="00047C0E"/>
    <w:rsid w:val="00047D8D"/>
    <w:rsid w:val="00047E04"/>
    <w:rsid w:val="00047E72"/>
    <w:rsid w:val="00047FB0"/>
    <w:rsid w:val="00047FC1"/>
    <w:rsid w:val="00050045"/>
    <w:rsid w:val="000500BC"/>
    <w:rsid w:val="00050123"/>
    <w:rsid w:val="0005018E"/>
    <w:rsid w:val="000501A7"/>
    <w:rsid w:val="000502BB"/>
    <w:rsid w:val="000502D6"/>
    <w:rsid w:val="0005052E"/>
    <w:rsid w:val="00050598"/>
    <w:rsid w:val="0005061C"/>
    <w:rsid w:val="0005069B"/>
    <w:rsid w:val="000506A6"/>
    <w:rsid w:val="00050856"/>
    <w:rsid w:val="00050956"/>
    <w:rsid w:val="00050B47"/>
    <w:rsid w:val="00050EB0"/>
    <w:rsid w:val="00050FB0"/>
    <w:rsid w:val="000510A7"/>
    <w:rsid w:val="000510B7"/>
    <w:rsid w:val="0005114A"/>
    <w:rsid w:val="0005119A"/>
    <w:rsid w:val="00051252"/>
    <w:rsid w:val="000514AD"/>
    <w:rsid w:val="00051500"/>
    <w:rsid w:val="000515D7"/>
    <w:rsid w:val="000515F4"/>
    <w:rsid w:val="0005173A"/>
    <w:rsid w:val="000517DA"/>
    <w:rsid w:val="00051A6E"/>
    <w:rsid w:val="00051B7C"/>
    <w:rsid w:val="00051BBF"/>
    <w:rsid w:val="00051C11"/>
    <w:rsid w:val="00051C2E"/>
    <w:rsid w:val="00051D5C"/>
    <w:rsid w:val="00051E85"/>
    <w:rsid w:val="00051ECC"/>
    <w:rsid w:val="00051F1B"/>
    <w:rsid w:val="00052101"/>
    <w:rsid w:val="000521F5"/>
    <w:rsid w:val="000521FB"/>
    <w:rsid w:val="00052324"/>
    <w:rsid w:val="000523E5"/>
    <w:rsid w:val="000523F6"/>
    <w:rsid w:val="00052421"/>
    <w:rsid w:val="00052554"/>
    <w:rsid w:val="000526D9"/>
    <w:rsid w:val="00052701"/>
    <w:rsid w:val="0005270B"/>
    <w:rsid w:val="00052716"/>
    <w:rsid w:val="000527F4"/>
    <w:rsid w:val="00052963"/>
    <w:rsid w:val="00052984"/>
    <w:rsid w:val="000529D4"/>
    <w:rsid w:val="00052C34"/>
    <w:rsid w:val="00052CDA"/>
    <w:rsid w:val="00052D53"/>
    <w:rsid w:val="00052D7C"/>
    <w:rsid w:val="00052F3A"/>
    <w:rsid w:val="00052FBF"/>
    <w:rsid w:val="0005304D"/>
    <w:rsid w:val="000530E8"/>
    <w:rsid w:val="000531E5"/>
    <w:rsid w:val="00053237"/>
    <w:rsid w:val="000532D2"/>
    <w:rsid w:val="0005331E"/>
    <w:rsid w:val="00053380"/>
    <w:rsid w:val="0005346B"/>
    <w:rsid w:val="000535DC"/>
    <w:rsid w:val="0005367C"/>
    <w:rsid w:val="00053893"/>
    <w:rsid w:val="00053938"/>
    <w:rsid w:val="000539C0"/>
    <w:rsid w:val="00053A0B"/>
    <w:rsid w:val="00053A27"/>
    <w:rsid w:val="00053A41"/>
    <w:rsid w:val="00053A67"/>
    <w:rsid w:val="00053B02"/>
    <w:rsid w:val="00053B8D"/>
    <w:rsid w:val="00053BA5"/>
    <w:rsid w:val="00053BB0"/>
    <w:rsid w:val="00053BB7"/>
    <w:rsid w:val="00053C69"/>
    <w:rsid w:val="00053CBB"/>
    <w:rsid w:val="00053CCB"/>
    <w:rsid w:val="00053DBB"/>
    <w:rsid w:val="00053F06"/>
    <w:rsid w:val="000541E2"/>
    <w:rsid w:val="00054344"/>
    <w:rsid w:val="0005435C"/>
    <w:rsid w:val="0005437F"/>
    <w:rsid w:val="000543EB"/>
    <w:rsid w:val="0005442D"/>
    <w:rsid w:val="0005455E"/>
    <w:rsid w:val="000546C6"/>
    <w:rsid w:val="000547B1"/>
    <w:rsid w:val="00054862"/>
    <w:rsid w:val="000548E8"/>
    <w:rsid w:val="00054A50"/>
    <w:rsid w:val="00054A8B"/>
    <w:rsid w:val="00054AC3"/>
    <w:rsid w:val="00054B8E"/>
    <w:rsid w:val="00054BD7"/>
    <w:rsid w:val="00054C34"/>
    <w:rsid w:val="00054C70"/>
    <w:rsid w:val="00054D76"/>
    <w:rsid w:val="00054F39"/>
    <w:rsid w:val="000550C9"/>
    <w:rsid w:val="000550DD"/>
    <w:rsid w:val="000551F5"/>
    <w:rsid w:val="000552D7"/>
    <w:rsid w:val="00055355"/>
    <w:rsid w:val="00055436"/>
    <w:rsid w:val="0005544D"/>
    <w:rsid w:val="00055529"/>
    <w:rsid w:val="00055654"/>
    <w:rsid w:val="0005567C"/>
    <w:rsid w:val="000556AA"/>
    <w:rsid w:val="000556C5"/>
    <w:rsid w:val="0005579B"/>
    <w:rsid w:val="00055A03"/>
    <w:rsid w:val="00055A21"/>
    <w:rsid w:val="00055AB1"/>
    <w:rsid w:val="00055ABE"/>
    <w:rsid w:val="00055B2E"/>
    <w:rsid w:val="00055B4C"/>
    <w:rsid w:val="00055B7E"/>
    <w:rsid w:val="00055BB8"/>
    <w:rsid w:val="00055C19"/>
    <w:rsid w:val="00055CDF"/>
    <w:rsid w:val="00055DA5"/>
    <w:rsid w:val="00055E94"/>
    <w:rsid w:val="00055F8B"/>
    <w:rsid w:val="00056045"/>
    <w:rsid w:val="00056287"/>
    <w:rsid w:val="000563A0"/>
    <w:rsid w:val="00056495"/>
    <w:rsid w:val="0005659E"/>
    <w:rsid w:val="000566A7"/>
    <w:rsid w:val="000566BB"/>
    <w:rsid w:val="00056744"/>
    <w:rsid w:val="00056776"/>
    <w:rsid w:val="00056783"/>
    <w:rsid w:val="00056837"/>
    <w:rsid w:val="00056996"/>
    <w:rsid w:val="00056999"/>
    <w:rsid w:val="000569D4"/>
    <w:rsid w:val="00056A88"/>
    <w:rsid w:val="00056AAE"/>
    <w:rsid w:val="00056BD2"/>
    <w:rsid w:val="00056CD1"/>
    <w:rsid w:val="00056D29"/>
    <w:rsid w:val="00056EEF"/>
    <w:rsid w:val="000571ED"/>
    <w:rsid w:val="00057232"/>
    <w:rsid w:val="00057306"/>
    <w:rsid w:val="000575B9"/>
    <w:rsid w:val="000575C5"/>
    <w:rsid w:val="0005761D"/>
    <w:rsid w:val="0005768C"/>
    <w:rsid w:val="0005774B"/>
    <w:rsid w:val="00057771"/>
    <w:rsid w:val="0005777C"/>
    <w:rsid w:val="000577B0"/>
    <w:rsid w:val="000577FD"/>
    <w:rsid w:val="0005786D"/>
    <w:rsid w:val="00057924"/>
    <w:rsid w:val="00057A10"/>
    <w:rsid w:val="00057AD0"/>
    <w:rsid w:val="00057C9D"/>
    <w:rsid w:val="00057CB0"/>
    <w:rsid w:val="00057D0B"/>
    <w:rsid w:val="00057D9F"/>
    <w:rsid w:val="00057E1E"/>
    <w:rsid w:val="00057F13"/>
    <w:rsid w:val="00057F3E"/>
    <w:rsid w:val="00057F80"/>
    <w:rsid w:val="00060003"/>
    <w:rsid w:val="0006001C"/>
    <w:rsid w:val="00060067"/>
    <w:rsid w:val="00060191"/>
    <w:rsid w:val="000601AB"/>
    <w:rsid w:val="000601FA"/>
    <w:rsid w:val="000602E3"/>
    <w:rsid w:val="00060306"/>
    <w:rsid w:val="00060359"/>
    <w:rsid w:val="00060477"/>
    <w:rsid w:val="000605AD"/>
    <w:rsid w:val="00060819"/>
    <w:rsid w:val="00060821"/>
    <w:rsid w:val="000608E2"/>
    <w:rsid w:val="00060914"/>
    <w:rsid w:val="00060A87"/>
    <w:rsid w:val="00060AE9"/>
    <w:rsid w:val="00060B0F"/>
    <w:rsid w:val="00060C31"/>
    <w:rsid w:val="00060C66"/>
    <w:rsid w:val="00060D2B"/>
    <w:rsid w:val="00060ED5"/>
    <w:rsid w:val="00061050"/>
    <w:rsid w:val="00061278"/>
    <w:rsid w:val="00061296"/>
    <w:rsid w:val="00061373"/>
    <w:rsid w:val="000613C5"/>
    <w:rsid w:val="00061485"/>
    <w:rsid w:val="00061597"/>
    <w:rsid w:val="000615AA"/>
    <w:rsid w:val="000616D2"/>
    <w:rsid w:val="000616E1"/>
    <w:rsid w:val="0006173F"/>
    <w:rsid w:val="000617C7"/>
    <w:rsid w:val="000617DC"/>
    <w:rsid w:val="000618AD"/>
    <w:rsid w:val="00061AEC"/>
    <w:rsid w:val="00061AFE"/>
    <w:rsid w:val="00061B88"/>
    <w:rsid w:val="00061BEA"/>
    <w:rsid w:val="00061BF0"/>
    <w:rsid w:val="00061EC2"/>
    <w:rsid w:val="00061FDC"/>
    <w:rsid w:val="00062010"/>
    <w:rsid w:val="0006205C"/>
    <w:rsid w:val="000620BA"/>
    <w:rsid w:val="000620DE"/>
    <w:rsid w:val="00062168"/>
    <w:rsid w:val="00062254"/>
    <w:rsid w:val="000622F8"/>
    <w:rsid w:val="00062340"/>
    <w:rsid w:val="0006239E"/>
    <w:rsid w:val="000623EF"/>
    <w:rsid w:val="0006243B"/>
    <w:rsid w:val="00062638"/>
    <w:rsid w:val="0006264F"/>
    <w:rsid w:val="000626D5"/>
    <w:rsid w:val="00062926"/>
    <w:rsid w:val="0006298E"/>
    <w:rsid w:val="000629BF"/>
    <w:rsid w:val="00062A28"/>
    <w:rsid w:val="00062BC4"/>
    <w:rsid w:val="00062D1D"/>
    <w:rsid w:val="00062E89"/>
    <w:rsid w:val="00063081"/>
    <w:rsid w:val="00063149"/>
    <w:rsid w:val="000631AE"/>
    <w:rsid w:val="000631CA"/>
    <w:rsid w:val="00063210"/>
    <w:rsid w:val="00063249"/>
    <w:rsid w:val="0006328B"/>
    <w:rsid w:val="000632F9"/>
    <w:rsid w:val="000633C5"/>
    <w:rsid w:val="0006344F"/>
    <w:rsid w:val="000634A6"/>
    <w:rsid w:val="000634D6"/>
    <w:rsid w:val="0006359A"/>
    <w:rsid w:val="000635AE"/>
    <w:rsid w:val="0006366A"/>
    <w:rsid w:val="000636AF"/>
    <w:rsid w:val="000636C8"/>
    <w:rsid w:val="000637A1"/>
    <w:rsid w:val="000637A8"/>
    <w:rsid w:val="000637F8"/>
    <w:rsid w:val="00063926"/>
    <w:rsid w:val="0006398C"/>
    <w:rsid w:val="000639C8"/>
    <w:rsid w:val="00063B0C"/>
    <w:rsid w:val="00063B37"/>
    <w:rsid w:val="00063BC9"/>
    <w:rsid w:val="00063BDB"/>
    <w:rsid w:val="00063C98"/>
    <w:rsid w:val="00063CFD"/>
    <w:rsid w:val="00063D81"/>
    <w:rsid w:val="00063DAA"/>
    <w:rsid w:val="00063E28"/>
    <w:rsid w:val="00063EEF"/>
    <w:rsid w:val="00063F4B"/>
    <w:rsid w:val="00063FCA"/>
    <w:rsid w:val="000640D7"/>
    <w:rsid w:val="00064104"/>
    <w:rsid w:val="00064163"/>
    <w:rsid w:val="00064166"/>
    <w:rsid w:val="00064244"/>
    <w:rsid w:val="000643E7"/>
    <w:rsid w:val="00064492"/>
    <w:rsid w:val="000644B3"/>
    <w:rsid w:val="000645FB"/>
    <w:rsid w:val="0006460D"/>
    <w:rsid w:val="00064639"/>
    <w:rsid w:val="000646FB"/>
    <w:rsid w:val="00064721"/>
    <w:rsid w:val="0006482D"/>
    <w:rsid w:val="00064B73"/>
    <w:rsid w:val="00064C29"/>
    <w:rsid w:val="00064C49"/>
    <w:rsid w:val="00064CAF"/>
    <w:rsid w:val="00064CDF"/>
    <w:rsid w:val="00064E3F"/>
    <w:rsid w:val="00064E55"/>
    <w:rsid w:val="00064E82"/>
    <w:rsid w:val="00064EDA"/>
    <w:rsid w:val="00064EDF"/>
    <w:rsid w:val="00064FE2"/>
    <w:rsid w:val="00064FFA"/>
    <w:rsid w:val="00065035"/>
    <w:rsid w:val="00065219"/>
    <w:rsid w:val="000652BB"/>
    <w:rsid w:val="0006563E"/>
    <w:rsid w:val="000657E6"/>
    <w:rsid w:val="00065979"/>
    <w:rsid w:val="00065A87"/>
    <w:rsid w:val="00065AD9"/>
    <w:rsid w:val="00065B48"/>
    <w:rsid w:val="00065E8C"/>
    <w:rsid w:val="00065F16"/>
    <w:rsid w:val="00065F34"/>
    <w:rsid w:val="00065F44"/>
    <w:rsid w:val="00065FA3"/>
    <w:rsid w:val="00065FB9"/>
    <w:rsid w:val="00065FD7"/>
    <w:rsid w:val="00066049"/>
    <w:rsid w:val="0006606D"/>
    <w:rsid w:val="000660FC"/>
    <w:rsid w:val="00066289"/>
    <w:rsid w:val="0006637A"/>
    <w:rsid w:val="000663EA"/>
    <w:rsid w:val="0006642F"/>
    <w:rsid w:val="000665CB"/>
    <w:rsid w:val="0006660A"/>
    <w:rsid w:val="000666D3"/>
    <w:rsid w:val="00066812"/>
    <w:rsid w:val="000668E2"/>
    <w:rsid w:val="0006690B"/>
    <w:rsid w:val="000669AD"/>
    <w:rsid w:val="00066C0F"/>
    <w:rsid w:val="00066C25"/>
    <w:rsid w:val="00066E79"/>
    <w:rsid w:val="00066E9D"/>
    <w:rsid w:val="0006714D"/>
    <w:rsid w:val="000671F0"/>
    <w:rsid w:val="0006720A"/>
    <w:rsid w:val="00067238"/>
    <w:rsid w:val="000672D8"/>
    <w:rsid w:val="0006730D"/>
    <w:rsid w:val="00067471"/>
    <w:rsid w:val="00067554"/>
    <w:rsid w:val="000675E1"/>
    <w:rsid w:val="00067673"/>
    <w:rsid w:val="00067682"/>
    <w:rsid w:val="00067687"/>
    <w:rsid w:val="000676C7"/>
    <w:rsid w:val="000676E1"/>
    <w:rsid w:val="000677B6"/>
    <w:rsid w:val="000677EA"/>
    <w:rsid w:val="000678BB"/>
    <w:rsid w:val="0006794B"/>
    <w:rsid w:val="0006794D"/>
    <w:rsid w:val="000679F5"/>
    <w:rsid w:val="00067ADF"/>
    <w:rsid w:val="00067CB0"/>
    <w:rsid w:val="00067EF5"/>
    <w:rsid w:val="00067EF8"/>
    <w:rsid w:val="00067F5A"/>
    <w:rsid w:val="00067F62"/>
    <w:rsid w:val="0006BF35"/>
    <w:rsid w:val="0007001C"/>
    <w:rsid w:val="000700C7"/>
    <w:rsid w:val="000702B1"/>
    <w:rsid w:val="00070393"/>
    <w:rsid w:val="00070546"/>
    <w:rsid w:val="000705C0"/>
    <w:rsid w:val="00070694"/>
    <w:rsid w:val="000706A5"/>
    <w:rsid w:val="0007073A"/>
    <w:rsid w:val="0007077F"/>
    <w:rsid w:val="000707F6"/>
    <w:rsid w:val="0007080D"/>
    <w:rsid w:val="0007081B"/>
    <w:rsid w:val="00070831"/>
    <w:rsid w:val="000709CA"/>
    <w:rsid w:val="00070BE9"/>
    <w:rsid w:val="00070C8B"/>
    <w:rsid w:val="00070D07"/>
    <w:rsid w:val="00070D29"/>
    <w:rsid w:val="00070E0F"/>
    <w:rsid w:val="00071029"/>
    <w:rsid w:val="0007103B"/>
    <w:rsid w:val="00071125"/>
    <w:rsid w:val="00071161"/>
    <w:rsid w:val="0007122E"/>
    <w:rsid w:val="0007124F"/>
    <w:rsid w:val="00071255"/>
    <w:rsid w:val="0007131A"/>
    <w:rsid w:val="00071388"/>
    <w:rsid w:val="000713FD"/>
    <w:rsid w:val="00071460"/>
    <w:rsid w:val="000715D5"/>
    <w:rsid w:val="000715F0"/>
    <w:rsid w:val="0007161D"/>
    <w:rsid w:val="0007170F"/>
    <w:rsid w:val="00071791"/>
    <w:rsid w:val="00071A07"/>
    <w:rsid w:val="00071B95"/>
    <w:rsid w:val="00071C7A"/>
    <w:rsid w:val="00071D18"/>
    <w:rsid w:val="00071D29"/>
    <w:rsid w:val="00071E08"/>
    <w:rsid w:val="00071F0A"/>
    <w:rsid w:val="00071F54"/>
    <w:rsid w:val="00071FEB"/>
    <w:rsid w:val="00072129"/>
    <w:rsid w:val="00072794"/>
    <w:rsid w:val="0007289C"/>
    <w:rsid w:val="0007291F"/>
    <w:rsid w:val="00072922"/>
    <w:rsid w:val="0007296F"/>
    <w:rsid w:val="00072A05"/>
    <w:rsid w:val="00072CC5"/>
    <w:rsid w:val="00072D16"/>
    <w:rsid w:val="00072E0C"/>
    <w:rsid w:val="00072F45"/>
    <w:rsid w:val="00073070"/>
    <w:rsid w:val="000730E9"/>
    <w:rsid w:val="00073158"/>
    <w:rsid w:val="000731EF"/>
    <w:rsid w:val="0007326A"/>
    <w:rsid w:val="0007340B"/>
    <w:rsid w:val="00073643"/>
    <w:rsid w:val="000736A6"/>
    <w:rsid w:val="000736C5"/>
    <w:rsid w:val="00073724"/>
    <w:rsid w:val="000737A9"/>
    <w:rsid w:val="000737BD"/>
    <w:rsid w:val="0007384C"/>
    <w:rsid w:val="000738B5"/>
    <w:rsid w:val="000738FF"/>
    <w:rsid w:val="00073946"/>
    <w:rsid w:val="00073C38"/>
    <w:rsid w:val="00073D7E"/>
    <w:rsid w:val="00073DE7"/>
    <w:rsid w:val="00073EA1"/>
    <w:rsid w:val="0007403F"/>
    <w:rsid w:val="00074060"/>
    <w:rsid w:val="00074065"/>
    <w:rsid w:val="0007407D"/>
    <w:rsid w:val="000740D6"/>
    <w:rsid w:val="000741B2"/>
    <w:rsid w:val="00074288"/>
    <w:rsid w:val="0007440D"/>
    <w:rsid w:val="00074516"/>
    <w:rsid w:val="00074558"/>
    <w:rsid w:val="000745E6"/>
    <w:rsid w:val="000745F5"/>
    <w:rsid w:val="000745FF"/>
    <w:rsid w:val="000746F6"/>
    <w:rsid w:val="00074705"/>
    <w:rsid w:val="00074745"/>
    <w:rsid w:val="00074789"/>
    <w:rsid w:val="000747F2"/>
    <w:rsid w:val="000748F9"/>
    <w:rsid w:val="00074922"/>
    <w:rsid w:val="0007495C"/>
    <w:rsid w:val="00074A20"/>
    <w:rsid w:val="00074ACA"/>
    <w:rsid w:val="00074AFE"/>
    <w:rsid w:val="00074BDD"/>
    <w:rsid w:val="00074C86"/>
    <w:rsid w:val="00074CB5"/>
    <w:rsid w:val="00074D44"/>
    <w:rsid w:val="00074D45"/>
    <w:rsid w:val="00074EAC"/>
    <w:rsid w:val="00074F26"/>
    <w:rsid w:val="00074FDF"/>
    <w:rsid w:val="00075063"/>
    <w:rsid w:val="000751E5"/>
    <w:rsid w:val="000751FF"/>
    <w:rsid w:val="000753B5"/>
    <w:rsid w:val="000753F2"/>
    <w:rsid w:val="0007541A"/>
    <w:rsid w:val="0007548C"/>
    <w:rsid w:val="000755CF"/>
    <w:rsid w:val="00075667"/>
    <w:rsid w:val="000756FB"/>
    <w:rsid w:val="000756FC"/>
    <w:rsid w:val="0007578E"/>
    <w:rsid w:val="0007582A"/>
    <w:rsid w:val="0007587C"/>
    <w:rsid w:val="00075939"/>
    <w:rsid w:val="00075B62"/>
    <w:rsid w:val="00075B6F"/>
    <w:rsid w:val="00075BDB"/>
    <w:rsid w:val="00075D2F"/>
    <w:rsid w:val="00075DBD"/>
    <w:rsid w:val="00075E03"/>
    <w:rsid w:val="00076155"/>
    <w:rsid w:val="00076230"/>
    <w:rsid w:val="000762A5"/>
    <w:rsid w:val="00076379"/>
    <w:rsid w:val="000763FC"/>
    <w:rsid w:val="0007645A"/>
    <w:rsid w:val="000764CD"/>
    <w:rsid w:val="000764D6"/>
    <w:rsid w:val="0007665F"/>
    <w:rsid w:val="00076690"/>
    <w:rsid w:val="00076768"/>
    <w:rsid w:val="00076AF0"/>
    <w:rsid w:val="00076B00"/>
    <w:rsid w:val="00076BB0"/>
    <w:rsid w:val="00076C34"/>
    <w:rsid w:val="00076C49"/>
    <w:rsid w:val="00076CAA"/>
    <w:rsid w:val="00076D68"/>
    <w:rsid w:val="00076EBC"/>
    <w:rsid w:val="00076EC2"/>
    <w:rsid w:val="000770CB"/>
    <w:rsid w:val="0007727D"/>
    <w:rsid w:val="00077341"/>
    <w:rsid w:val="00077378"/>
    <w:rsid w:val="00077492"/>
    <w:rsid w:val="0007769A"/>
    <w:rsid w:val="00077726"/>
    <w:rsid w:val="0007785F"/>
    <w:rsid w:val="00077975"/>
    <w:rsid w:val="000779A8"/>
    <w:rsid w:val="00077A9E"/>
    <w:rsid w:val="00077B3E"/>
    <w:rsid w:val="00077B64"/>
    <w:rsid w:val="00077B86"/>
    <w:rsid w:val="00077BDC"/>
    <w:rsid w:val="00077C35"/>
    <w:rsid w:val="00077C4C"/>
    <w:rsid w:val="00077D2E"/>
    <w:rsid w:val="00077D8B"/>
    <w:rsid w:val="00077D97"/>
    <w:rsid w:val="00077DF0"/>
    <w:rsid w:val="00077DFA"/>
    <w:rsid w:val="00077F03"/>
    <w:rsid w:val="000800CA"/>
    <w:rsid w:val="000800D1"/>
    <w:rsid w:val="000800EA"/>
    <w:rsid w:val="00080175"/>
    <w:rsid w:val="0008018D"/>
    <w:rsid w:val="000801B3"/>
    <w:rsid w:val="000802EF"/>
    <w:rsid w:val="0008051B"/>
    <w:rsid w:val="00080587"/>
    <w:rsid w:val="000806A1"/>
    <w:rsid w:val="000806BC"/>
    <w:rsid w:val="000806E3"/>
    <w:rsid w:val="00080751"/>
    <w:rsid w:val="00080754"/>
    <w:rsid w:val="000807A5"/>
    <w:rsid w:val="00080833"/>
    <w:rsid w:val="00080843"/>
    <w:rsid w:val="000808E2"/>
    <w:rsid w:val="000808F6"/>
    <w:rsid w:val="000809EB"/>
    <w:rsid w:val="00080A82"/>
    <w:rsid w:val="00080B74"/>
    <w:rsid w:val="00080BDC"/>
    <w:rsid w:val="00080C44"/>
    <w:rsid w:val="00080C4F"/>
    <w:rsid w:val="00080DDF"/>
    <w:rsid w:val="00080E3C"/>
    <w:rsid w:val="00080F5B"/>
    <w:rsid w:val="00080F8B"/>
    <w:rsid w:val="00080FC5"/>
    <w:rsid w:val="00080FE6"/>
    <w:rsid w:val="00080FF4"/>
    <w:rsid w:val="0008103B"/>
    <w:rsid w:val="000810B4"/>
    <w:rsid w:val="0008119B"/>
    <w:rsid w:val="0008124A"/>
    <w:rsid w:val="0008128E"/>
    <w:rsid w:val="000814E0"/>
    <w:rsid w:val="0008167C"/>
    <w:rsid w:val="00081983"/>
    <w:rsid w:val="00081A6B"/>
    <w:rsid w:val="00081AF4"/>
    <w:rsid w:val="00081B20"/>
    <w:rsid w:val="00081BA4"/>
    <w:rsid w:val="00081C4D"/>
    <w:rsid w:val="00081D1A"/>
    <w:rsid w:val="00081DCC"/>
    <w:rsid w:val="00081E77"/>
    <w:rsid w:val="00081F6A"/>
    <w:rsid w:val="00081F8E"/>
    <w:rsid w:val="00081F8F"/>
    <w:rsid w:val="00082020"/>
    <w:rsid w:val="000820BC"/>
    <w:rsid w:val="00082144"/>
    <w:rsid w:val="000823C0"/>
    <w:rsid w:val="000824A7"/>
    <w:rsid w:val="000824E7"/>
    <w:rsid w:val="00082663"/>
    <w:rsid w:val="0008266C"/>
    <w:rsid w:val="000826B4"/>
    <w:rsid w:val="00082712"/>
    <w:rsid w:val="000827C3"/>
    <w:rsid w:val="00082802"/>
    <w:rsid w:val="00082816"/>
    <w:rsid w:val="000828FC"/>
    <w:rsid w:val="00082903"/>
    <w:rsid w:val="00082906"/>
    <w:rsid w:val="0008290E"/>
    <w:rsid w:val="0008296B"/>
    <w:rsid w:val="000829BB"/>
    <w:rsid w:val="00082A6D"/>
    <w:rsid w:val="00082AE8"/>
    <w:rsid w:val="00082CC3"/>
    <w:rsid w:val="00082DA2"/>
    <w:rsid w:val="00082ED1"/>
    <w:rsid w:val="00082F9C"/>
    <w:rsid w:val="00082FE8"/>
    <w:rsid w:val="00083059"/>
    <w:rsid w:val="000831A6"/>
    <w:rsid w:val="000832D6"/>
    <w:rsid w:val="0008331D"/>
    <w:rsid w:val="00083358"/>
    <w:rsid w:val="00083361"/>
    <w:rsid w:val="00083384"/>
    <w:rsid w:val="00083440"/>
    <w:rsid w:val="0008347B"/>
    <w:rsid w:val="00083821"/>
    <w:rsid w:val="00083946"/>
    <w:rsid w:val="000839F3"/>
    <w:rsid w:val="000839FF"/>
    <w:rsid w:val="00083B72"/>
    <w:rsid w:val="00083B82"/>
    <w:rsid w:val="00083BA2"/>
    <w:rsid w:val="00083D43"/>
    <w:rsid w:val="00083D47"/>
    <w:rsid w:val="00083DCD"/>
    <w:rsid w:val="00083DE5"/>
    <w:rsid w:val="00083E8D"/>
    <w:rsid w:val="00083F27"/>
    <w:rsid w:val="000840C6"/>
    <w:rsid w:val="0008412E"/>
    <w:rsid w:val="00084183"/>
    <w:rsid w:val="000842AB"/>
    <w:rsid w:val="00084320"/>
    <w:rsid w:val="0008438C"/>
    <w:rsid w:val="000843D6"/>
    <w:rsid w:val="000843E3"/>
    <w:rsid w:val="000845D1"/>
    <w:rsid w:val="00084647"/>
    <w:rsid w:val="000846CA"/>
    <w:rsid w:val="000846F5"/>
    <w:rsid w:val="00084844"/>
    <w:rsid w:val="00084948"/>
    <w:rsid w:val="00084BFD"/>
    <w:rsid w:val="00084C7C"/>
    <w:rsid w:val="00084CA7"/>
    <w:rsid w:val="00084DB7"/>
    <w:rsid w:val="00084E52"/>
    <w:rsid w:val="00084F24"/>
    <w:rsid w:val="00084FD5"/>
    <w:rsid w:val="00084FD7"/>
    <w:rsid w:val="00085008"/>
    <w:rsid w:val="0008505D"/>
    <w:rsid w:val="000852AB"/>
    <w:rsid w:val="00085376"/>
    <w:rsid w:val="00085378"/>
    <w:rsid w:val="00085417"/>
    <w:rsid w:val="00085660"/>
    <w:rsid w:val="0008576D"/>
    <w:rsid w:val="00085777"/>
    <w:rsid w:val="00085788"/>
    <w:rsid w:val="00085789"/>
    <w:rsid w:val="000857D6"/>
    <w:rsid w:val="00085819"/>
    <w:rsid w:val="00085889"/>
    <w:rsid w:val="0008595B"/>
    <w:rsid w:val="000859EB"/>
    <w:rsid w:val="00085A18"/>
    <w:rsid w:val="00085C38"/>
    <w:rsid w:val="00085C4D"/>
    <w:rsid w:val="00085D3A"/>
    <w:rsid w:val="00085DAC"/>
    <w:rsid w:val="00085EFC"/>
    <w:rsid w:val="00086046"/>
    <w:rsid w:val="00086106"/>
    <w:rsid w:val="00086131"/>
    <w:rsid w:val="0008613D"/>
    <w:rsid w:val="00086165"/>
    <w:rsid w:val="00086187"/>
    <w:rsid w:val="000861AA"/>
    <w:rsid w:val="0008625A"/>
    <w:rsid w:val="000863D8"/>
    <w:rsid w:val="00086444"/>
    <w:rsid w:val="0008651C"/>
    <w:rsid w:val="000865D8"/>
    <w:rsid w:val="000865DE"/>
    <w:rsid w:val="00086685"/>
    <w:rsid w:val="0008671C"/>
    <w:rsid w:val="00086768"/>
    <w:rsid w:val="000867AE"/>
    <w:rsid w:val="0008683F"/>
    <w:rsid w:val="00086857"/>
    <w:rsid w:val="000868BF"/>
    <w:rsid w:val="000868EC"/>
    <w:rsid w:val="00086A09"/>
    <w:rsid w:val="00086A3A"/>
    <w:rsid w:val="00086A4F"/>
    <w:rsid w:val="00086BC5"/>
    <w:rsid w:val="00086BCC"/>
    <w:rsid w:val="00086C1F"/>
    <w:rsid w:val="00086C88"/>
    <w:rsid w:val="00086C9C"/>
    <w:rsid w:val="00086D36"/>
    <w:rsid w:val="00086E61"/>
    <w:rsid w:val="00086ED0"/>
    <w:rsid w:val="00086FD4"/>
    <w:rsid w:val="00086FE9"/>
    <w:rsid w:val="00086FEC"/>
    <w:rsid w:val="00087206"/>
    <w:rsid w:val="00087236"/>
    <w:rsid w:val="000875CE"/>
    <w:rsid w:val="00087743"/>
    <w:rsid w:val="000877C3"/>
    <w:rsid w:val="000877CC"/>
    <w:rsid w:val="00087844"/>
    <w:rsid w:val="0008796C"/>
    <w:rsid w:val="00087994"/>
    <w:rsid w:val="00087A5A"/>
    <w:rsid w:val="00087AFE"/>
    <w:rsid w:val="00087C4A"/>
    <w:rsid w:val="00087C91"/>
    <w:rsid w:val="00087DF1"/>
    <w:rsid w:val="00087F0B"/>
    <w:rsid w:val="00087F3B"/>
    <w:rsid w:val="00087FF7"/>
    <w:rsid w:val="00090024"/>
    <w:rsid w:val="00090061"/>
    <w:rsid w:val="000900F6"/>
    <w:rsid w:val="0009016B"/>
    <w:rsid w:val="000901FC"/>
    <w:rsid w:val="0009024E"/>
    <w:rsid w:val="000903CF"/>
    <w:rsid w:val="00090432"/>
    <w:rsid w:val="0009050A"/>
    <w:rsid w:val="0009054F"/>
    <w:rsid w:val="00090572"/>
    <w:rsid w:val="000906A6"/>
    <w:rsid w:val="000906B8"/>
    <w:rsid w:val="000906BA"/>
    <w:rsid w:val="00090795"/>
    <w:rsid w:val="00090A77"/>
    <w:rsid w:val="00090A99"/>
    <w:rsid w:val="00090AE0"/>
    <w:rsid w:val="00090BCC"/>
    <w:rsid w:val="00090DA5"/>
    <w:rsid w:val="00090EF6"/>
    <w:rsid w:val="00090F39"/>
    <w:rsid w:val="0009103B"/>
    <w:rsid w:val="0009130B"/>
    <w:rsid w:val="0009144D"/>
    <w:rsid w:val="00091675"/>
    <w:rsid w:val="00091742"/>
    <w:rsid w:val="00091745"/>
    <w:rsid w:val="000917D5"/>
    <w:rsid w:val="000917F1"/>
    <w:rsid w:val="000918A8"/>
    <w:rsid w:val="0009191B"/>
    <w:rsid w:val="000919B3"/>
    <w:rsid w:val="000919C5"/>
    <w:rsid w:val="00091A22"/>
    <w:rsid w:val="00091B32"/>
    <w:rsid w:val="00091C6A"/>
    <w:rsid w:val="00091CD9"/>
    <w:rsid w:val="0009207A"/>
    <w:rsid w:val="00092122"/>
    <w:rsid w:val="000921C0"/>
    <w:rsid w:val="000922DF"/>
    <w:rsid w:val="000923D6"/>
    <w:rsid w:val="0009251A"/>
    <w:rsid w:val="00092575"/>
    <w:rsid w:val="0009258E"/>
    <w:rsid w:val="00092670"/>
    <w:rsid w:val="000927AD"/>
    <w:rsid w:val="00092866"/>
    <w:rsid w:val="000928FB"/>
    <w:rsid w:val="000929AC"/>
    <w:rsid w:val="000929BA"/>
    <w:rsid w:val="000929F3"/>
    <w:rsid w:val="00092A9E"/>
    <w:rsid w:val="00092ABC"/>
    <w:rsid w:val="00092BE0"/>
    <w:rsid w:val="00092C42"/>
    <w:rsid w:val="00092E62"/>
    <w:rsid w:val="000930C2"/>
    <w:rsid w:val="000930EA"/>
    <w:rsid w:val="0009323C"/>
    <w:rsid w:val="00093247"/>
    <w:rsid w:val="000932DA"/>
    <w:rsid w:val="00093336"/>
    <w:rsid w:val="000933C9"/>
    <w:rsid w:val="0009341B"/>
    <w:rsid w:val="0009369A"/>
    <w:rsid w:val="00093728"/>
    <w:rsid w:val="0009399F"/>
    <w:rsid w:val="00093A64"/>
    <w:rsid w:val="00093AF4"/>
    <w:rsid w:val="00093BC5"/>
    <w:rsid w:val="00093DDF"/>
    <w:rsid w:val="00093DE0"/>
    <w:rsid w:val="00093E1E"/>
    <w:rsid w:val="000941C5"/>
    <w:rsid w:val="0009435A"/>
    <w:rsid w:val="000943AF"/>
    <w:rsid w:val="000944A1"/>
    <w:rsid w:val="000944D3"/>
    <w:rsid w:val="00094545"/>
    <w:rsid w:val="000947D4"/>
    <w:rsid w:val="00094917"/>
    <w:rsid w:val="000949B1"/>
    <w:rsid w:val="000949EE"/>
    <w:rsid w:val="00094A3B"/>
    <w:rsid w:val="00094AD9"/>
    <w:rsid w:val="00094AE0"/>
    <w:rsid w:val="00094B42"/>
    <w:rsid w:val="00094B7E"/>
    <w:rsid w:val="00094CA9"/>
    <w:rsid w:val="00094D29"/>
    <w:rsid w:val="00094D35"/>
    <w:rsid w:val="00094D4A"/>
    <w:rsid w:val="00094DA2"/>
    <w:rsid w:val="00094DB9"/>
    <w:rsid w:val="00094DD6"/>
    <w:rsid w:val="00094DF6"/>
    <w:rsid w:val="00094DFC"/>
    <w:rsid w:val="00094E1D"/>
    <w:rsid w:val="00094F9E"/>
    <w:rsid w:val="0009511A"/>
    <w:rsid w:val="00095172"/>
    <w:rsid w:val="00095260"/>
    <w:rsid w:val="000952E1"/>
    <w:rsid w:val="0009549A"/>
    <w:rsid w:val="00095597"/>
    <w:rsid w:val="000956C1"/>
    <w:rsid w:val="00095793"/>
    <w:rsid w:val="000957ED"/>
    <w:rsid w:val="000958A2"/>
    <w:rsid w:val="00095959"/>
    <w:rsid w:val="000959DB"/>
    <w:rsid w:val="00095AA7"/>
    <w:rsid w:val="00095AFD"/>
    <w:rsid w:val="00095B6A"/>
    <w:rsid w:val="00095BB0"/>
    <w:rsid w:val="00095BD3"/>
    <w:rsid w:val="00095C5D"/>
    <w:rsid w:val="00095C97"/>
    <w:rsid w:val="00095CA3"/>
    <w:rsid w:val="00095CB5"/>
    <w:rsid w:val="00095D8E"/>
    <w:rsid w:val="00095FB7"/>
    <w:rsid w:val="00096104"/>
    <w:rsid w:val="0009611F"/>
    <w:rsid w:val="00096165"/>
    <w:rsid w:val="00096411"/>
    <w:rsid w:val="000964AB"/>
    <w:rsid w:val="000964C0"/>
    <w:rsid w:val="000965B8"/>
    <w:rsid w:val="0009661D"/>
    <w:rsid w:val="000967AA"/>
    <w:rsid w:val="000967CB"/>
    <w:rsid w:val="000969C6"/>
    <w:rsid w:val="00096A2B"/>
    <w:rsid w:val="00096BDA"/>
    <w:rsid w:val="00096C25"/>
    <w:rsid w:val="00096C26"/>
    <w:rsid w:val="00096C2D"/>
    <w:rsid w:val="00096D1C"/>
    <w:rsid w:val="00096E15"/>
    <w:rsid w:val="00096F2B"/>
    <w:rsid w:val="00096F47"/>
    <w:rsid w:val="00097014"/>
    <w:rsid w:val="0009701F"/>
    <w:rsid w:val="00097104"/>
    <w:rsid w:val="00097299"/>
    <w:rsid w:val="0009733B"/>
    <w:rsid w:val="000973B3"/>
    <w:rsid w:val="0009741A"/>
    <w:rsid w:val="0009752D"/>
    <w:rsid w:val="00097639"/>
    <w:rsid w:val="0009766B"/>
    <w:rsid w:val="00097706"/>
    <w:rsid w:val="00097729"/>
    <w:rsid w:val="00097751"/>
    <w:rsid w:val="000977BF"/>
    <w:rsid w:val="00097923"/>
    <w:rsid w:val="0009797D"/>
    <w:rsid w:val="00097A0E"/>
    <w:rsid w:val="00097A3D"/>
    <w:rsid w:val="00097A48"/>
    <w:rsid w:val="00097AA5"/>
    <w:rsid w:val="00097B86"/>
    <w:rsid w:val="00097C15"/>
    <w:rsid w:val="00097F4E"/>
    <w:rsid w:val="00097FF2"/>
    <w:rsid w:val="000A013E"/>
    <w:rsid w:val="000A0164"/>
    <w:rsid w:val="000A01C3"/>
    <w:rsid w:val="000A0271"/>
    <w:rsid w:val="000A07BE"/>
    <w:rsid w:val="000A086D"/>
    <w:rsid w:val="000A0B06"/>
    <w:rsid w:val="000A0D61"/>
    <w:rsid w:val="000A0DA3"/>
    <w:rsid w:val="000A0E43"/>
    <w:rsid w:val="000A0E88"/>
    <w:rsid w:val="000A0F8F"/>
    <w:rsid w:val="000A10C7"/>
    <w:rsid w:val="000A1152"/>
    <w:rsid w:val="000A123D"/>
    <w:rsid w:val="000A1292"/>
    <w:rsid w:val="000A12C1"/>
    <w:rsid w:val="000A14EF"/>
    <w:rsid w:val="000A1531"/>
    <w:rsid w:val="000A1566"/>
    <w:rsid w:val="000A1598"/>
    <w:rsid w:val="000A1607"/>
    <w:rsid w:val="000A1724"/>
    <w:rsid w:val="000A17D8"/>
    <w:rsid w:val="000A17E6"/>
    <w:rsid w:val="000A1A1F"/>
    <w:rsid w:val="000A1B2F"/>
    <w:rsid w:val="000A1B9B"/>
    <w:rsid w:val="000A1BA2"/>
    <w:rsid w:val="000A1BA5"/>
    <w:rsid w:val="000A1BB0"/>
    <w:rsid w:val="000A1BB1"/>
    <w:rsid w:val="000A1C30"/>
    <w:rsid w:val="000A1ECA"/>
    <w:rsid w:val="000A2041"/>
    <w:rsid w:val="000A2066"/>
    <w:rsid w:val="000A2110"/>
    <w:rsid w:val="000A21BB"/>
    <w:rsid w:val="000A2206"/>
    <w:rsid w:val="000A22C5"/>
    <w:rsid w:val="000A236B"/>
    <w:rsid w:val="000A2444"/>
    <w:rsid w:val="000A2577"/>
    <w:rsid w:val="000A257E"/>
    <w:rsid w:val="000A2597"/>
    <w:rsid w:val="000A2632"/>
    <w:rsid w:val="000A26AE"/>
    <w:rsid w:val="000A2705"/>
    <w:rsid w:val="000A273F"/>
    <w:rsid w:val="000A2AF0"/>
    <w:rsid w:val="000A2BE1"/>
    <w:rsid w:val="000A2C77"/>
    <w:rsid w:val="000A2DF2"/>
    <w:rsid w:val="000A2E11"/>
    <w:rsid w:val="000A2E62"/>
    <w:rsid w:val="000A2E8A"/>
    <w:rsid w:val="000A2EB9"/>
    <w:rsid w:val="000A2F0D"/>
    <w:rsid w:val="000A2F69"/>
    <w:rsid w:val="000A2FCF"/>
    <w:rsid w:val="000A30E4"/>
    <w:rsid w:val="000A3149"/>
    <w:rsid w:val="000A3244"/>
    <w:rsid w:val="000A3392"/>
    <w:rsid w:val="000A3444"/>
    <w:rsid w:val="000A34CC"/>
    <w:rsid w:val="000A350A"/>
    <w:rsid w:val="000A3523"/>
    <w:rsid w:val="000A357C"/>
    <w:rsid w:val="000A365D"/>
    <w:rsid w:val="000A3697"/>
    <w:rsid w:val="000A373E"/>
    <w:rsid w:val="000A3793"/>
    <w:rsid w:val="000A37C6"/>
    <w:rsid w:val="000A3831"/>
    <w:rsid w:val="000A398A"/>
    <w:rsid w:val="000A3999"/>
    <w:rsid w:val="000A3A2C"/>
    <w:rsid w:val="000A3A71"/>
    <w:rsid w:val="000A3A8E"/>
    <w:rsid w:val="000A3AC1"/>
    <w:rsid w:val="000A3C7F"/>
    <w:rsid w:val="000A3CC9"/>
    <w:rsid w:val="000A3D18"/>
    <w:rsid w:val="000A3DF1"/>
    <w:rsid w:val="000A3E06"/>
    <w:rsid w:val="000A3EC9"/>
    <w:rsid w:val="000A3F1B"/>
    <w:rsid w:val="000A3F23"/>
    <w:rsid w:val="000A3FA5"/>
    <w:rsid w:val="000A3FD7"/>
    <w:rsid w:val="000A3FF3"/>
    <w:rsid w:val="000A3FFA"/>
    <w:rsid w:val="000A4026"/>
    <w:rsid w:val="000A4058"/>
    <w:rsid w:val="000A4061"/>
    <w:rsid w:val="000A417E"/>
    <w:rsid w:val="000A426A"/>
    <w:rsid w:val="000A4279"/>
    <w:rsid w:val="000A429B"/>
    <w:rsid w:val="000A42E9"/>
    <w:rsid w:val="000A4384"/>
    <w:rsid w:val="000A43A6"/>
    <w:rsid w:val="000A43B6"/>
    <w:rsid w:val="000A44A7"/>
    <w:rsid w:val="000A44B6"/>
    <w:rsid w:val="000A44B9"/>
    <w:rsid w:val="000A4598"/>
    <w:rsid w:val="000A4664"/>
    <w:rsid w:val="000A48A9"/>
    <w:rsid w:val="000A48D0"/>
    <w:rsid w:val="000A48E0"/>
    <w:rsid w:val="000A4901"/>
    <w:rsid w:val="000A49AA"/>
    <w:rsid w:val="000A4A36"/>
    <w:rsid w:val="000A4ACC"/>
    <w:rsid w:val="000A4BD3"/>
    <w:rsid w:val="000A4C0D"/>
    <w:rsid w:val="000A4C79"/>
    <w:rsid w:val="000A4C99"/>
    <w:rsid w:val="000A4D21"/>
    <w:rsid w:val="000A4D6D"/>
    <w:rsid w:val="000A4ECD"/>
    <w:rsid w:val="000A4EFB"/>
    <w:rsid w:val="000A4F65"/>
    <w:rsid w:val="000A5220"/>
    <w:rsid w:val="000A527A"/>
    <w:rsid w:val="000A528D"/>
    <w:rsid w:val="000A5342"/>
    <w:rsid w:val="000A5351"/>
    <w:rsid w:val="000A535A"/>
    <w:rsid w:val="000A5403"/>
    <w:rsid w:val="000A54E2"/>
    <w:rsid w:val="000A554B"/>
    <w:rsid w:val="000A55A0"/>
    <w:rsid w:val="000A562A"/>
    <w:rsid w:val="000A5695"/>
    <w:rsid w:val="000A5727"/>
    <w:rsid w:val="000A57EE"/>
    <w:rsid w:val="000A58CC"/>
    <w:rsid w:val="000A59C2"/>
    <w:rsid w:val="000A59DE"/>
    <w:rsid w:val="000A5A0C"/>
    <w:rsid w:val="000A5A4E"/>
    <w:rsid w:val="000A5AEE"/>
    <w:rsid w:val="000A5B10"/>
    <w:rsid w:val="000A5BB4"/>
    <w:rsid w:val="000A5C9B"/>
    <w:rsid w:val="000A5CE4"/>
    <w:rsid w:val="000A5D27"/>
    <w:rsid w:val="000A5D64"/>
    <w:rsid w:val="000A5E3A"/>
    <w:rsid w:val="000A5EB0"/>
    <w:rsid w:val="000A5EE8"/>
    <w:rsid w:val="000A5FA9"/>
    <w:rsid w:val="000A6011"/>
    <w:rsid w:val="000A60F2"/>
    <w:rsid w:val="000A6126"/>
    <w:rsid w:val="000A614C"/>
    <w:rsid w:val="000A62A5"/>
    <w:rsid w:val="000A6340"/>
    <w:rsid w:val="000A63CF"/>
    <w:rsid w:val="000A6422"/>
    <w:rsid w:val="000A64D0"/>
    <w:rsid w:val="000A64F4"/>
    <w:rsid w:val="000A6846"/>
    <w:rsid w:val="000A687A"/>
    <w:rsid w:val="000A694B"/>
    <w:rsid w:val="000A69C9"/>
    <w:rsid w:val="000A6AA0"/>
    <w:rsid w:val="000A6C42"/>
    <w:rsid w:val="000A6D9E"/>
    <w:rsid w:val="000A6DD1"/>
    <w:rsid w:val="000A6E95"/>
    <w:rsid w:val="000A6E9E"/>
    <w:rsid w:val="000A7034"/>
    <w:rsid w:val="000A7077"/>
    <w:rsid w:val="000A7099"/>
    <w:rsid w:val="000A7103"/>
    <w:rsid w:val="000A7190"/>
    <w:rsid w:val="000A726B"/>
    <w:rsid w:val="000A72DE"/>
    <w:rsid w:val="000A7517"/>
    <w:rsid w:val="000A7656"/>
    <w:rsid w:val="000A76B4"/>
    <w:rsid w:val="000A7890"/>
    <w:rsid w:val="000A7926"/>
    <w:rsid w:val="000A79DB"/>
    <w:rsid w:val="000A7A8B"/>
    <w:rsid w:val="000A7B52"/>
    <w:rsid w:val="000A7D04"/>
    <w:rsid w:val="000A7D34"/>
    <w:rsid w:val="000A7D6E"/>
    <w:rsid w:val="000A7FB3"/>
    <w:rsid w:val="000B0173"/>
    <w:rsid w:val="000B034C"/>
    <w:rsid w:val="000B0419"/>
    <w:rsid w:val="000B04B1"/>
    <w:rsid w:val="000B052D"/>
    <w:rsid w:val="000B0673"/>
    <w:rsid w:val="000B06F3"/>
    <w:rsid w:val="000B078E"/>
    <w:rsid w:val="000B08F6"/>
    <w:rsid w:val="000B0A6A"/>
    <w:rsid w:val="000B0B27"/>
    <w:rsid w:val="000B0B4A"/>
    <w:rsid w:val="000B0B5D"/>
    <w:rsid w:val="000B0C44"/>
    <w:rsid w:val="000B1000"/>
    <w:rsid w:val="000B10C0"/>
    <w:rsid w:val="000B11FC"/>
    <w:rsid w:val="000B1220"/>
    <w:rsid w:val="000B124B"/>
    <w:rsid w:val="000B129C"/>
    <w:rsid w:val="000B1363"/>
    <w:rsid w:val="000B13E8"/>
    <w:rsid w:val="000B14A7"/>
    <w:rsid w:val="000B1623"/>
    <w:rsid w:val="000B16AF"/>
    <w:rsid w:val="000B17D3"/>
    <w:rsid w:val="000B1828"/>
    <w:rsid w:val="000B1935"/>
    <w:rsid w:val="000B1986"/>
    <w:rsid w:val="000B1A67"/>
    <w:rsid w:val="000B1A76"/>
    <w:rsid w:val="000B1B3E"/>
    <w:rsid w:val="000B1DD4"/>
    <w:rsid w:val="000B1DD6"/>
    <w:rsid w:val="000B1FC4"/>
    <w:rsid w:val="000B1FEA"/>
    <w:rsid w:val="000B2068"/>
    <w:rsid w:val="000B2088"/>
    <w:rsid w:val="000B224E"/>
    <w:rsid w:val="000B226A"/>
    <w:rsid w:val="000B2275"/>
    <w:rsid w:val="000B22C4"/>
    <w:rsid w:val="000B22F2"/>
    <w:rsid w:val="000B232E"/>
    <w:rsid w:val="000B2364"/>
    <w:rsid w:val="000B2505"/>
    <w:rsid w:val="000B2519"/>
    <w:rsid w:val="000B253F"/>
    <w:rsid w:val="000B2620"/>
    <w:rsid w:val="000B2640"/>
    <w:rsid w:val="000B2849"/>
    <w:rsid w:val="000B294B"/>
    <w:rsid w:val="000B2A55"/>
    <w:rsid w:val="000B2A88"/>
    <w:rsid w:val="000B2B1A"/>
    <w:rsid w:val="000B2BAA"/>
    <w:rsid w:val="000B2BB1"/>
    <w:rsid w:val="000B2C0B"/>
    <w:rsid w:val="000B2C98"/>
    <w:rsid w:val="000B2CA1"/>
    <w:rsid w:val="000B2E79"/>
    <w:rsid w:val="000B2F33"/>
    <w:rsid w:val="000B3034"/>
    <w:rsid w:val="000B309D"/>
    <w:rsid w:val="000B3129"/>
    <w:rsid w:val="000B3227"/>
    <w:rsid w:val="000B3303"/>
    <w:rsid w:val="000B342A"/>
    <w:rsid w:val="000B3473"/>
    <w:rsid w:val="000B35AC"/>
    <w:rsid w:val="000B3603"/>
    <w:rsid w:val="000B3889"/>
    <w:rsid w:val="000B38A8"/>
    <w:rsid w:val="000B39C1"/>
    <w:rsid w:val="000B39CA"/>
    <w:rsid w:val="000B3AB2"/>
    <w:rsid w:val="000B3B67"/>
    <w:rsid w:val="000B3B7C"/>
    <w:rsid w:val="000B3D1E"/>
    <w:rsid w:val="000B3D5E"/>
    <w:rsid w:val="000B3D76"/>
    <w:rsid w:val="000B3DA1"/>
    <w:rsid w:val="000B3FC5"/>
    <w:rsid w:val="000B4064"/>
    <w:rsid w:val="000B40BB"/>
    <w:rsid w:val="000B40E2"/>
    <w:rsid w:val="000B411C"/>
    <w:rsid w:val="000B42C5"/>
    <w:rsid w:val="000B4377"/>
    <w:rsid w:val="000B4382"/>
    <w:rsid w:val="000B4529"/>
    <w:rsid w:val="000B463F"/>
    <w:rsid w:val="000B46E5"/>
    <w:rsid w:val="000B47F2"/>
    <w:rsid w:val="000B4AF1"/>
    <w:rsid w:val="000B4B66"/>
    <w:rsid w:val="000B4BBE"/>
    <w:rsid w:val="000B4C08"/>
    <w:rsid w:val="000B4C62"/>
    <w:rsid w:val="000B4C78"/>
    <w:rsid w:val="000B4D92"/>
    <w:rsid w:val="000B51DC"/>
    <w:rsid w:val="000B523D"/>
    <w:rsid w:val="000B5269"/>
    <w:rsid w:val="000B52A3"/>
    <w:rsid w:val="000B52AE"/>
    <w:rsid w:val="000B52C0"/>
    <w:rsid w:val="000B5356"/>
    <w:rsid w:val="000B53AE"/>
    <w:rsid w:val="000B5499"/>
    <w:rsid w:val="000B54FE"/>
    <w:rsid w:val="000B5567"/>
    <w:rsid w:val="000B55A0"/>
    <w:rsid w:val="000B55D9"/>
    <w:rsid w:val="000B561B"/>
    <w:rsid w:val="000B5816"/>
    <w:rsid w:val="000B593D"/>
    <w:rsid w:val="000B59A4"/>
    <w:rsid w:val="000B5A6C"/>
    <w:rsid w:val="000B5B00"/>
    <w:rsid w:val="000B5B09"/>
    <w:rsid w:val="000B5B1E"/>
    <w:rsid w:val="000B5BFB"/>
    <w:rsid w:val="000B5CE3"/>
    <w:rsid w:val="000B5CF5"/>
    <w:rsid w:val="000B5D1D"/>
    <w:rsid w:val="000B5D25"/>
    <w:rsid w:val="000B614D"/>
    <w:rsid w:val="000B61A1"/>
    <w:rsid w:val="000B61E2"/>
    <w:rsid w:val="000B61F4"/>
    <w:rsid w:val="000B62B8"/>
    <w:rsid w:val="000B62D2"/>
    <w:rsid w:val="000B6305"/>
    <w:rsid w:val="000B654D"/>
    <w:rsid w:val="000B6661"/>
    <w:rsid w:val="000B67AE"/>
    <w:rsid w:val="000B68C5"/>
    <w:rsid w:val="000B693E"/>
    <w:rsid w:val="000B6943"/>
    <w:rsid w:val="000B69A4"/>
    <w:rsid w:val="000B6AD1"/>
    <w:rsid w:val="000B6B88"/>
    <w:rsid w:val="000B6BC1"/>
    <w:rsid w:val="000B6C44"/>
    <w:rsid w:val="000B6CEC"/>
    <w:rsid w:val="000B6D3A"/>
    <w:rsid w:val="000B6DC9"/>
    <w:rsid w:val="000B6F05"/>
    <w:rsid w:val="000B6F22"/>
    <w:rsid w:val="000B6F40"/>
    <w:rsid w:val="000B6F4D"/>
    <w:rsid w:val="000B6FB1"/>
    <w:rsid w:val="000B6FD3"/>
    <w:rsid w:val="000B70BF"/>
    <w:rsid w:val="000B71B3"/>
    <w:rsid w:val="000B723B"/>
    <w:rsid w:val="000B7365"/>
    <w:rsid w:val="000B73D2"/>
    <w:rsid w:val="000B73F2"/>
    <w:rsid w:val="000B7450"/>
    <w:rsid w:val="000B7474"/>
    <w:rsid w:val="000B7497"/>
    <w:rsid w:val="000B74A2"/>
    <w:rsid w:val="000B7710"/>
    <w:rsid w:val="000B77F5"/>
    <w:rsid w:val="000B7808"/>
    <w:rsid w:val="000B7833"/>
    <w:rsid w:val="000B7968"/>
    <w:rsid w:val="000B7A70"/>
    <w:rsid w:val="000B7AA2"/>
    <w:rsid w:val="000B7AA6"/>
    <w:rsid w:val="000B7B62"/>
    <w:rsid w:val="000B7BBD"/>
    <w:rsid w:val="000B7C15"/>
    <w:rsid w:val="000B7D70"/>
    <w:rsid w:val="000B7EF0"/>
    <w:rsid w:val="000B7F53"/>
    <w:rsid w:val="000C0115"/>
    <w:rsid w:val="000C01FC"/>
    <w:rsid w:val="000C0298"/>
    <w:rsid w:val="000C02C6"/>
    <w:rsid w:val="000C035B"/>
    <w:rsid w:val="000C06C2"/>
    <w:rsid w:val="000C06F7"/>
    <w:rsid w:val="000C07AA"/>
    <w:rsid w:val="000C07C3"/>
    <w:rsid w:val="000C0818"/>
    <w:rsid w:val="000C091C"/>
    <w:rsid w:val="000C0979"/>
    <w:rsid w:val="000C0D22"/>
    <w:rsid w:val="000C0D53"/>
    <w:rsid w:val="000C0D69"/>
    <w:rsid w:val="000C0D84"/>
    <w:rsid w:val="000C0D8C"/>
    <w:rsid w:val="000C0DF5"/>
    <w:rsid w:val="000C102E"/>
    <w:rsid w:val="000C1247"/>
    <w:rsid w:val="000C1673"/>
    <w:rsid w:val="000C1818"/>
    <w:rsid w:val="000C1863"/>
    <w:rsid w:val="000C19C9"/>
    <w:rsid w:val="000C1C3C"/>
    <w:rsid w:val="000C1C5F"/>
    <w:rsid w:val="000C1D13"/>
    <w:rsid w:val="000C1DBC"/>
    <w:rsid w:val="000C1E06"/>
    <w:rsid w:val="000C1F86"/>
    <w:rsid w:val="000C1F9F"/>
    <w:rsid w:val="000C1FBB"/>
    <w:rsid w:val="000C210B"/>
    <w:rsid w:val="000C215A"/>
    <w:rsid w:val="000C2274"/>
    <w:rsid w:val="000C22C9"/>
    <w:rsid w:val="000C232D"/>
    <w:rsid w:val="000C23F6"/>
    <w:rsid w:val="000C247F"/>
    <w:rsid w:val="000C24C2"/>
    <w:rsid w:val="000C2585"/>
    <w:rsid w:val="000C2618"/>
    <w:rsid w:val="000C2698"/>
    <w:rsid w:val="000C27F2"/>
    <w:rsid w:val="000C282C"/>
    <w:rsid w:val="000C283E"/>
    <w:rsid w:val="000C2981"/>
    <w:rsid w:val="000C298C"/>
    <w:rsid w:val="000C29CD"/>
    <w:rsid w:val="000C2A31"/>
    <w:rsid w:val="000C2A44"/>
    <w:rsid w:val="000C2C64"/>
    <w:rsid w:val="000C2C81"/>
    <w:rsid w:val="000C2CD2"/>
    <w:rsid w:val="000C2E09"/>
    <w:rsid w:val="000C2E4D"/>
    <w:rsid w:val="000C2E8B"/>
    <w:rsid w:val="000C3082"/>
    <w:rsid w:val="000C30BE"/>
    <w:rsid w:val="000C3126"/>
    <w:rsid w:val="000C3135"/>
    <w:rsid w:val="000C3175"/>
    <w:rsid w:val="000C31CF"/>
    <w:rsid w:val="000C3306"/>
    <w:rsid w:val="000C333F"/>
    <w:rsid w:val="000C3354"/>
    <w:rsid w:val="000C347E"/>
    <w:rsid w:val="000C34D1"/>
    <w:rsid w:val="000C3550"/>
    <w:rsid w:val="000C3598"/>
    <w:rsid w:val="000C36EC"/>
    <w:rsid w:val="000C36F1"/>
    <w:rsid w:val="000C3702"/>
    <w:rsid w:val="000C37FF"/>
    <w:rsid w:val="000C388C"/>
    <w:rsid w:val="000C3914"/>
    <w:rsid w:val="000C396E"/>
    <w:rsid w:val="000C39F2"/>
    <w:rsid w:val="000C39FA"/>
    <w:rsid w:val="000C3A2C"/>
    <w:rsid w:val="000C3A71"/>
    <w:rsid w:val="000C3B98"/>
    <w:rsid w:val="000C3E50"/>
    <w:rsid w:val="000C3E7C"/>
    <w:rsid w:val="000C41C7"/>
    <w:rsid w:val="000C41EC"/>
    <w:rsid w:val="000C4207"/>
    <w:rsid w:val="000C4279"/>
    <w:rsid w:val="000C42B2"/>
    <w:rsid w:val="000C4366"/>
    <w:rsid w:val="000C43B9"/>
    <w:rsid w:val="000C43BC"/>
    <w:rsid w:val="000C43D0"/>
    <w:rsid w:val="000C456D"/>
    <w:rsid w:val="000C458A"/>
    <w:rsid w:val="000C4717"/>
    <w:rsid w:val="000C4769"/>
    <w:rsid w:val="000C47A4"/>
    <w:rsid w:val="000C4808"/>
    <w:rsid w:val="000C483C"/>
    <w:rsid w:val="000C494A"/>
    <w:rsid w:val="000C49C0"/>
    <w:rsid w:val="000C4B0B"/>
    <w:rsid w:val="000C4B1E"/>
    <w:rsid w:val="000C4CB1"/>
    <w:rsid w:val="000C4CEE"/>
    <w:rsid w:val="000C4D24"/>
    <w:rsid w:val="000C4E01"/>
    <w:rsid w:val="000C4E61"/>
    <w:rsid w:val="000C4EBB"/>
    <w:rsid w:val="000C4EEB"/>
    <w:rsid w:val="000C50DB"/>
    <w:rsid w:val="000C5258"/>
    <w:rsid w:val="000C5403"/>
    <w:rsid w:val="000C5558"/>
    <w:rsid w:val="000C56DC"/>
    <w:rsid w:val="000C56F2"/>
    <w:rsid w:val="000C5798"/>
    <w:rsid w:val="000C5806"/>
    <w:rsid w:val="000C5863"/>
    <w:rsid w:val="000C59BC"/>
    <w:rsid w:val="000C5A00"/>
    <w:rsid w:val="000C5B0A"/>
    <w:rsid w:val="000C5CBA"/>
    <w:rsid w:val="000C5D7C"/>
    <w:rsid w:val="000C5EF0"/>
    <w:rsid w:val="000C5F2C"/>
    <w:rsid w:val="000C5F47"/>
    <w:rsid w:val="000C605C"/>
    <w:rsid w:val="000C6078"/>
    <w:rsid w:val="000C6156"/>
    <w:rsid w:val="000C62A4"/>
    <w:rsid w:val="000C6319"/>
    <w:rsid w:val="000C6449"/>
    <w:rsid w:val="000C64BB"/>
    <w:rsid w:val="000C6641"/>
    <w:rsid w:val="000C6664"/>
    <w:rsid w:val="000C682B"/>
    <w:rsid w:val="000C68A6"/>
    <w:rsid w:val="000C6A91"/>
    <w:rsid w:val="000C6B29"/>
    <w:rsid w:val="000C6B4A"/>
    <w:rsid w:val="000C6BB4"/>
    <w:rsid w:val="000C6C9B"/>
    <w:rsid w:val="000C6CF1"/>
    <w:rsid w:val="000C6F2F"/>
    <w:rsid w:val="000C6FEC"/>
    <w:rsid w:val="000C701E"/>
    <w:rsid w:val="000C71EF"/>
    <w:rsid w:val="000C726D"/>
    <w:rsid w:val="000C72F1"/>
    <w:rsid w:val="000C7348"/>
    <w:rsid w:val="000C73D4"/>
    <w:rsid w:val="000C745D"/>
    <w:rsid w:val="000C7526"/>
    <w:rsid w:val="000C7595"/>
    <w:rsid w:val="000C75E5"/>
    <w:rsid w:val="000C76A8"/>
    <w:rsid w:val="000C7747"/>
    <w:rsid w:val="000C77B9"/>
    <w:rsid w:val="000C79A5"/>
    <w:rsid w:val="000C7B0A"/>
    <w:rsid w:val="000C7C38"/>
    <w:rsid w:val="000C7D19"/>
    <w:rsid w:val="000C7D7C"/>
    <w:rsid w:val="000C7ED5"/>
    <w:rsid w:val="000C7F4D"/>
    <w:rsid w:val="000C7F65"/>
    <w:rsid w:val="000D009F"/>
    <w:rsid w:val="000D0232"/>
    <w:rsid w:val="000D029B"/>
    <w:rsid w:val="000D02E3"/>
    <w:rsid w:val="000D030C"/>
    <w:rsid w:val="000D0402"/>
    <w:rsid w:val="000D0428"/>
    <w:rsid w:val="000D0485"/>
    <w:rsid w:val="000D04AC"/>
    <w:rsid w:val="000D04BB"/>
    <w:rsid w:val="000D0553"/>
    <w:rsid w:val="000D05A2"/>
    <w:rsid w:val="000D0682"/>
    <w:rsid w:val="000D06F1"/>
    <w:rsid w:val="000D07DD"/>
    <w:rsid w:val="000D07E3"/>
    <w:rsid w:val="000D07E4"/>
    <w:rsid w:val="000D0841"/>
    <w:rsid w:val="000D08E0"/>
    <w:rsid w:val="000D0900"/>
    <w:rsid w:val="000D0998"/>
    <w:rsid w:val="000D0AAD"/>
    <w:rsid w:val="000D0CC4"/>
    <w:rsid w:val="000D0DF5"/>
    <w:rsid w:val="000D0E30"/>
    <w:rsid w:val="000D0EB4"/>
    <w:rsid w:val="000D0F07"/>
    <w:rsid w:val="000D0FB4"/>
    <w:rsid w:val="000D10A7"/>
    <w:rsid w:val="000D11AF"/>
    <w:rsid w:val="000D131E"/>
    <w:rsid w:val="000D13A3"/>
    <w:rsid w:val="000D13C6"/>
    <w:rsid w:val="000D1405"/>
    <w:rsid w:val="000D1414"/>
    <w:rsid w:val="000D1464"/>
    <w:rsid w:val="000D15E3"/>
    <w:rsid w:val="000D1649"/>
    <w:rsid w:val="000D16BD"/>
    <w:rsid w:val="000D176C"/>
    <w:rsid w:val="000D183D"/>
    <w:rsid w:val="000D18B2"/>
    <w:rsid w:val="000D19A3"/>
    <w:rsid w:val="000D19E2"/>
    <w:rsid w:val="000D1C36"/>
    <w:rsid w:val="000D1DF3"/>
    <w:rsid w:val="000D1E10"/>
    <w:rsid w:val="000D1E3E"/>
    <w:rsid w:val="000D1E6E"/>
    <w:rsid w:val="000D200D"/>
    <w:rsid w:val="000D2050"/>
    <w:rsid w:val="000D20D3"/>
    <w:rsid w:val="000D21F2"/>
    <w:rsid w:val="000D220B"/>
    <w:rsid w:val="000D2254"/>
    <w:rsid w:val="000D23E3"/>
    <w:rsid w:val="000D24FF"/>
    <w:rsid w:val="000D2528"/>
    <w:rsid w:val="000D2671"/>
    <w:rsid w:val="000D269E"/>
    <w:rsid w:val="000D26F2"/>
    <w:rsid w:val="000D2760"/>
    <w:rsid w:val="000D2810"/>
    <w:rsid w:val="000D282F"/>
    <w:rsid w:val="000D284F"/>
    <w:rsid w:val="000D28BE"/>
    <w:rsid w:val="000D298E"/>
    <w:rsid w:val="000D2B96"/>
    <w:rsid w:val="000D2BC2"/>
    <w:rsid w:val="000D2D49"/>
    <w:rsid w:val="000D2DF8"/>
    <w:rsid w:val="000D2F16"/>
    <w:rsid w:val="000D2F80"/>
    <w:rsid w:val="000D2FFA"/>
    <w:rsid w:val="000D3003"/>
    <w:rsid w:val="000D3356"/>
    <w:rsid w:val="000D3491"/>
    <w:rsid w:val="000D34B0"/>
    <w:rsid w:val="000D3736"/>
    <w:rsid w:val="000D3783"/>
    <w:rsid w:val="000D37B1"/>
    <w:rsid w:val="000D37CB"/>
    <w:rsid w:val="000D37DD"/>
    <w:rsid w:val="000D37EE"/>
    <w:rsid w:val="000D3914"/>
    <w:rsid w:val="000D3957"/>
    <w:rsid w:val="000D3A34"/>
    <w:rsid w:val="000D3A43"/>
    <w:rsid w:val="000D3B51"/>
    <w:rsid w:val="000D3B8F"/>
    <w:rsid w:val="000D3B93"/>
    <w:rsid w:val="000D3E93"/>
    <w:rsid w:val="000D3F82"/>
    <w:rsid w:val="000D3FB9"/>
    <w:rsid w:val="000D3FE3"/>
    <w:rsid w:val="000D4090"/>
    <w:rsid w:val="000D43C2"/>
    <w:rsid w:val="000D43CE"/>
    <w:rsid w:val="000D45A6"/>
    <w:rsid w:val="000D4657"/>
    <w:rsid w:val="000D4671"/>
    <w:rsid w:val="000D47FA"/>
    <w:rsid w:val="000D4AFB"/>
    <w:rsid w:val="000D4C49"/>
    <w:rsid w:val="000D4CC7"/>
    <w:rsid w:val="000D4DE1"/>
    <w:rsid w:val="000D4F06"/>
    <w:rsid w:val="000D4FF2"/>
    <w:rsid w:val="000D5147"/>
    <w:rsid w:val="000D518D"/>
    <w:rsid w:val="000D51B5"/>
    <w:rsid w:val="000D528A"/>
    <w:rsid w:val="000D52A2"/>
    <w:rsid w:val="000D52CE"/>
    <w:rsid w:val="000D52E0"/>
    <w:rsid w:val="000D52F3"/>
    <w:rsid w:val="000D532E"/>
    <w:rsid w:val="000D53DF"/>
    <w:rsid w:val="000D544F"/>
    <w:rsid w:val="000D545C"/>
    <w:rsid w:val="000D54DB"/>
    <w:rsid w:val="000D55DD"/>
    <w:rsid w:val="000D5611"/>
    <w:rsid w:val="000D56F4"/>
    <w:rsid w:val="000D577A"/>
    <w:rsid w:val="000D5925"/>
    <w:rsid w:val="000D59E5"/>
    <w:rsid w:val="000D5AA5"/>
    <w:rsid w:val="000D5B06"/>
    <w:rsid w:val="000D5B42"/>
    <w:rsid w:val="000D5CDF"/>
    <w:rsid w:val="000D5D11"/>
    <w:rsid w:val="000D5E4E"/>
    <w:rsid w:val="000D5F1A"/>
    <w:rsid w:val="000D5FE4"/>
    <w:rsid w:val="000D5FED"/>
    <w:rsid w:val="000D6176"/>
    <w:rsid w:val="000D61B8"/>
    <w:rsid w:val="000D62A6"/>
    <w:rsid w:val="000D63CB"/>
    <w:rsid w:val="000D641D"/>
    <w:rsid w:val="000D6461"/>
    <w:rsid w:val="000D64DC"/>
    <w:rsid w:val="000D65A2"/>
    <w:rsid w:val="000D663B"/>
    <w:rsid w:val="000D669F"/>
    <w:rsid w:val="000D6707"/>
    <w:rsid w:val="000D685D"/>
    <w:rsid w:val="000D6894"/>
    <w:rsid w:val="000D68B7"/>
    <w:rsid w:val="000D68BA"/>
    <w:rsid w:val="000D6A7E"/>
    <w:rsid w:val="000D6AF5"/>
    <w:rsid w:val="000D6BE6"/>
    <w:rsid w:val="000D6C21"/>
    <w:rsid w:val="000D6D3B"/>
    <w:rsid w:val="000D6D50"/>
    <w:rsid w:val="000D6D91"/>
    <w:rsid w:val="000D6E27"/>
    <w:rsid w:val="000D6EA3"/>
    <w:rsid w:val="000D6EBD"/>
    <w:rsid w:val="000D7020"/>
    <w:rsid w:val="000D71F4"/>
    <w:rsid w:val="000D742F"/>
    <w:rsid w:val="000D747D"/>
    <w:rsid w:val="000D74FD"/>
    <w:rsid w:val="000D750A"/>
    <w:rsid w:val="000D763B"/>
    <w:rsid w:val="000D77C0"/>
    <w:rsid w:val="000D78E6"/>
    <w:rsid w:val="000D7940"/>
    <w:rsid w:val="000D7949"/>
    <w:rsid w:val="000D7A97"/>
    <w:rsid w:val="000D7B03"/>
    <w:rsid w:val="000D7B3F"/>
    <w:rsid w:val="000D7B59"/>
    <w:rsid w:val="000D7BC4"/>
    <w:rsid w:val="000D7CD8"/>
    <w:rsid w:val="000D7DA2"/>
    <w:rsid w:val="000D7EC3"/>
    <w:rsid w:val="000D7FB7"/>
    <w:rsid w:val="000D7FD5"/>
    <w:rsid w:val="000D7FF4"/>
    <w:rsid w:val="000E00EC"/>
    <w:rsid w:val="000E0185"/>
    <w:rsid w:val="000E0274"/>
    <w:rsid w:val="000E02C4"/>
    <w:rsid w:val="000E033A"/>
    <w:rsid w:val="000E03BF"/>
    <w:rsid w:val="000E05A9"/>
    <w:rsid w:val="000E067A"/>
    <w:rsid w:val="000E0715"/>
    <w:rsid w:val="000E0830"/>
    <w:rsid w:val="000E088E"/>
    <w:rsid w:val="000E0905"/>
    <w:rsid w:val="000E099A"/>
    <w:rsid w:val="000E09E8"/>
    <w:rsid w:val="000E0B25"/>
    <w:rsid w:val="000E0CB2"/>
    <w:rsid w:val="000E0CD8"/>
    <w:rsid w:val="000E0D0E"/>
    <w:rsid w:val="000E0E51"/>
    <w:rsid w:val="000E0EF1"/>
    <w:rsid w:val="000E0FA3"/>
    <w:rsid w:val="000E1033"/>
    <w:rsid w:val="000E124A"/>
    <w:rsid w:val="000E129C"/>
    <w:rsid w:val="000E12A0"/>
    <w:rsid w:val="000E12CE"/>
    <w:rsid w:val="000E1305"/>
    <w:rsid w:val="000E1312"/>
    <w:rsid w:val="000E1370"/>
    <w:rsid w:val="000E142C"/>
    <w:rsid w:val="000E147C"/>
    <w:rsid w:val="000E158A"/>
    <w:rsid w:val="000E15C3"/>
    <w:rsid w:val="000E1768"/>
    <w:rsid w:val="000E1A7A"/>
    <w:rsid w:val="000E1B45"/>
    <w:rsid w:val="000E1BBA"/>
    <w:rsid w:val="000E1C79"/>
    <w:rsid w:val="000E1DCA"/>
    <w:rsid w:val="000E1E19"/>
    <w:rsid w:val="000E1E75"/>
    <w:rsid w:val="000E1F9D"/>
    <w:rsid w:val="000E21EE"/>
    <w:rsid w:val="000E2253"/>
    <w:rsid w:val="000E227B"/>
    <w:rsid w:val="000E22C5"/>
    <w:rsid w:val="000E2358"/>
    <w:rsid w:val="000E25ED"/>
    <w:rsid w:val="000E2600"/>
    <w:rsid w:val="000E2620"/>
    <w:rsid w:val="000E263A"/>
    <w:rsid w:val="000E26B9"/>
    <w:rsid w:val="000E276E"/>
    <w:rsid w:val="000E27A2"/>
    <w:rsid w:val="000E28FE"/>
    <w:rsid w:val="000E29B2"/>
    <w:rsid w:val="000E29D8"/>
    <w:rsid w:val="000E2A0C"/>
    <w:rsid w:val="000E2A47"/>
    <w:rsid w:val="000E2A64"/>
    <w:rsid w:val="000E2B56"/>
    <w:rsid w:val="000E2C41"/>
    <w:rsid w:val="000E2E53"/>
    <w:rsid w:val="000E2F40"/>
    <w:rsid w:val="000E3322"/>
    <w:rsid w:val="000E35AB"/>
    <w:rsid w:val="000E3626"/>
    <w:rsid w:val="000E365E"/>
    <w:rsid w:val="000E36BC"/>
    <w:rsid w:val="000E376C"/>
    <w:rsid w:val="000E3946"/>
    <w:rsid w:val="000E3A2C"/>
    <w:rsid w:val="000E3B00"/>
    <w:rsid w:val="000E3C8B"/>
    <w:rsid w:val="000E3C8F"/>
    <w:rsid w:val="000E3CD5"/>
    <w:rsid w:val="000E3D88"/>
    <w:rsid w:val="000E3FC6"/>
    <w:rsid w:val="000E3FF5"/>
    <w:rsid w:val="000E441F"/>
    <w:rsid w:val="000E45F9"/>
    <w:rsid w:val="000E4726"/>
    <w:rsid w:val="000E47EE"/>
    <w:rsid w:val="000E48C8"/>
    <w:rsid w:val="000E4918"/>
    <w:rsid w:val="000E495B"/>
    <w:rsid w:val="000E49BC"/>
    <w:rsid w:val="000E4A09"/>
    <w:rsid w:val="000E4B1B"/>
    <w:rsid w:val="000E4BFA"/>
    <w:rsid w:val="000E4C77"/>
    <w:rsid w:val="000E4EEF"/>
    <w:rsid w:val="000E5070"/>
    <w:rsid w:val="000E52CA"/>
    <w:rsid w:val="000E5609"/>
    <w:rsid w:val="000E56D0"/>
    <w:rsid w:val="000E5944"/>
    <w:rsid w:val="000E5A1B"/>
    <w:rsid w:val="000E5AA4"/>
    <w:rsid w:val="000E5B9B"/>
    <w:rsid w:val="000E5C5C"/>
    <w:rsid w:val="000E5DB9"/>
    <w:rsid w:val="000E5EDC"/>
    <w:rsid w:val="000E5F2C"/>
    <w:rsid w:val="000E5FA0"/>
    <w:rsid w:val="000E60CB"/>
    <w:rsid w:val="000E6151"/>
    <w:rsid w:val="000E619D"/>
    <w:rsid w:val="000E624F"/>
    <w:rsid w:val="000E630F"/>
    <w:rsid w:val="000E6334"/>
    <w:rsid w:val="000E63C4"/>
    <w:rsid w:val="000E6457"/>
    <w:rsid w:val="000E6563"/>
    <w:rsid w:val="000E6586"/>
    <w:rsid w:val="000E6636"/>
    <w:rsid w:val="000E67C3"/>
    <w:rsid w:val="000E6849"/>
    <w:rsid w:val="000E6957"/>
    <w:rsid w:val="000E6B6D"/>
    <w:rsid w:val="000E6B91"/>
    <w:rsid w:val="000E6E60"/>
    <w:rsid w:val="000E6E62"/>
    <w:rsid w:val="000E6EAE"/>
    <w:rsid w:val="000E7074"/>
    <w:rsid w:val="000E7193"/>
    <w:rsid w:val="000E7304"/>
    <w:rsid w:val="000E735B"/>
    <w:rsid w:val="000E7429"/>
    <w:rsid w:val="000E75B5"/>
    <w:rsid w:val="000E777B"/>
    <w:rsid w:val="000E782D"/>
    <w:rsid w:val="000E79BC"/>
    <w:rsid w:val="000E7DB8"/>
    <w:rsid w:val="000E7DC9"/>
    <w:rsid w:val="000E7E85"/>
    <w:rsid w:val="000E7E96"/>
    <w:rsid w:val="000E7EB1"/>
    <w:rsid w:val="000E7F7D"/>
    <w:rsid w:val="000E7F8E"/>
    <w:rsid w:val="000E7FF9"/>
    <w:rsid w:val="000F0007"/>
    <w:rsid w:val="000F000D"/>
    <w:rsid w:val="000F0026"/>
    <w:rsid w:val="000F00CA"/>
    <w:rsid w:val="000F027D"/>
    <w:rsid w:val="000F029D"/>
    <w:rsid w:val="000F02F5"/>
    <w:rsid w:val="000F0300"/>
    <w:rsid w:val="000F041D"/>
    <w:rsid w:val="000F0482"/>
    <w:rsid w:val="000F04F3"/>
    <w:rsid w:val="000F063C"/>
    <w:rsid w:val="000F0649"/>
    <w:rsid w:val="000F06BB"/>
    <w:rsid w:val="000F0770"/>
    <w:rsid w:val="000F07D9"/>
    <w:rsid w:val="000F08C5"/>
    <w:rsid w:val="000F0912"/>
    <w:rsid w:val="000F099D"/>
    <w:rsid w:val="000F09A3"/>
    <w:rsid w:val="000F09D1"/>
    <w:rsid w:val="000F09FE"/>
    <w:rsid w:val="000F0AA5"/>
    <w:rsid w:val="000F0B5E"/>
    <w:rsid w:val="000F0BDB"/>
    <w:rsid w:val="000F0C83"/>
    <w:rsid w:val="000F0CFE"/>
    <w:rsid w:val="000F0D58"/>
    <w:rsid w:val="000F0DF1"/>
    <w:rsid w:val="000F0E18"/>
    <w:rsid w:val="000F10CA"/>
    <w:rsid w:val="000F1175"/>
    <w:rsid w:val="000F11A8"/>
    <w:rsid w:val="000F126B"/>
    <w:rsid w:val="000F12E3"/>
    <w:rsid w:val="000F1520"/>
    <w:rsid w:val="000F15F6"/>
    <w:rsid w:val="000F1701"/>
    <w:rsid w:val="000F1ADE"/>
    <w:rsid w:val="000F1C95"/>
    <w:rsid w:val="000F1D6E"/>
    <w:rsid w:val="000F1FEC"/>
    <w:rsid w:val="000F2038"/>
    <w:rsid w:val="000F2113"/>
    <w:rsid w:val="000F2237"/>
    <w:rsid w:val="000F2317"/>
    <w:rsid w:val="000F236F"/>
    <w:rsid w:val="000F2391"/>
    <w:rsid w:val="000F2477"/>
    <w:rsid w:val="000F24A1"/>
    <w:rsid w:val="000F2558"/>
    <w:rsid w:val="000F269F"/>
    <w:rsid w:val="000F26E6"/>
    <w:rsid w:val="000F2704"/>
    <w:rsid w:val="000F275F"/>
    <w:rsid w:val="000F2864"/>
    <w:rsid w:val="000F28ED"/>
    <w:rsid w:val="000F2AEA"/>
    <w:rsid w:val="000F2DC3"/>
    <w:rsid w:val="000F2DE5"/>
    <w:rsid w:val="000F2E71"/>
    <w:rsid w:val="000F2ED9"/>
    <w:rsid w:val="000F2F70"/>
    <w:rsid w:val="000F2FAD"/>
    <w:rsid w:val="000F3083"/>
    <w:rsid w:val="000F30EE"/>
    <w:rsid w:val="000F31F3"/>
    <w:rsid w:val="000F320F"/>
    <w:rsid w:val="000F32AC"/>
    <w:rsid w:val="000F3522"/>
    <w:rsid w:val="000F357D"/>
    <w:rsid w:val="000F35B2"/>
    <w:rsid w:val="000F35D5"/>
    <w:rsid w:val="000F35E5"/>
    <w:rsid w:val="000F3710"/>
    <w:rsid w:val="000F38E4"/>
    <w:rsid w:val="000F392F"/>
    <w:rsid w:val="000F3A4D"/>
    <w:rsid w:val="000F3AD0"/>
    <w:rsid w:val="000F3AE6"/>
    <w:rsid w:val="000F3B17"/>
    <w:rsid w:val="000F3B76"/>
    <w:rsid w:val="000F3C0F"/>
    <w:rsid w:val="000F3C84"/>
    <w:rsid w:val="000F3CBA"/>
    <w:rsid w:val="000F3D10"/>
    <w:rsid w:val="000F3EBA"/>
    <w:rsid w:val="000F3F4B"/>
    <w:rsid w:val="000F3FBB"/>
    <w:rsid w:val="000F3FC5"/>
    <w:rsid w:val="000F41E3"/>
    <w:rsid w:val="000F422D"/>
    <w:rsid w:val="000F42C5"/>
    <w:rsid w:val="000F430B"/>
    <w:rsid w:val="000F43FB"/>
    <w:rsid w:val="000F4418"/>
    <w:rsid w:val="000F4456"/>
    <w:rsid w:val="000F44E1"/>
    <w:rsid w:val="000F45C4"/>
    <w:rsid w:val="000F45C6"/>
    <w:rsid w:val="000F49AA"/>
    <w:rsid w:val="000F49CF"/>
    <w:rsid w:val="000F4A31"/>
    <w:rsid w:val="000F4B1B"/>
    <w:rsid w:val="000F4B1C"/>
    <w:rsid w:val="000F4D1C"/>
    <w:rsid w:val="000F4D66"/>
    <w:rsid w:val="000F4E11"/>
    <w:rsid w:val="000F4FBB"/>
    <w:rsid w:val="000F5211"/>
    <w:rsid w:val="000F53C2"/>
    <w:rsid w:val="000F56E2"/>
    <w:rsid w:val="000F571A"/>
    <w:rsid w:val="000F57B9"/>
    <w:rsid w:val="000F57D5"/>
    <w:rsid w:val="000F5800"/>
    <w:rsid w:val="000F5884"/>
    <w:rsid w:val="000F5A67"/>
    <w:rsid w:val="000F5ACF"/>
    <w:rsid w:val="000F5B42"/>
    <w:rsid w:val="000F5C18"/>
    <w:rsid w:val="000F5CC7"/>
    <w:rsid w:val="000F601E"/>
    <w:rsid w:val="000F6050"/>
    <w:rsid w:val="000F60B0"/>
    <w:rsid w:val="000F614C"/>
    <w:rsid w:val="000F61E0"/>
    <w:rsid w:val="000F6254"/>
    <w:rsid w:val="000F6420"/>
    <w:rsid w:val="000F64A5"/>
    <w:rsid w:val="000F6524"/>
    <w:rsid w:val="000F663B"/>
    <w:rsid w:val="000F6654"/>
    <w:rsid w:val="000F676E"/>
    <w:rsid w:val="000F68B5"/>
    <w:rsid w:val="000F68CC"/>
    <w:rsid w:val="000F691D"/>
    <w:rsid w:val="000F693F"/>
    <w:rsid w:val="000F6980"/>
    <w:rsid w:val="000F69A1"/>
    <w:rsid w:val="000F69D8"/>
    <w:rsid w:val="000F6A2F"/>
    <w:rsid w:val="000F6A85"/>
    <w:rsid w:val="000F6C09"/>
    <w:rsid w:val="000F6C7B"/>
    <w:rsid w:val="000F7040"/>
    <w:rsid w:val="000F706C"/>
    <w:rsid w:val="000F7130"/>
    <w:rsid w:val="000F7195"/>
    <w:rsid w:val="000F728B"/>
    <w:rsid w:val="000F7356"/>
    <w:rsid w:val="000F741C"/>
    <w:rsid w:val="000F745F"/>
    <w:rsid w:val="000F7479"/>
    <w:rsid w:val="000F7522"/>
    <w:rsid w:val="000F7622"/>
    <w:rsid w:val="000F76D1"/>
    <w:rsid w:val="000F77E5"/>
    <w:rsid w:val="000F7859"/>
    <w:rsid w:val="000F7860"/>
    <w:rsid w:val="000F7A42"/>
    <w:rsid w:val="000F7A5A"/>
    <w:rsid w:val="000F7A85"/>
    <w:rsid w:val="000F7AB1"/>
    <w:rsid w:val="000F7B6F"/>
    <w:rsid w:val="000F7D02"/>
    <w:rsid w:val="000F7E43"/>
    <w:rsid w:val="000F7E6A"/>
    <w:rsid w:val="00100083"/>
    <w:rsid w:val="001002DE"/>
    <w:rsid w:val="001002EF"/>
    <w:rsid w:val="001004A1"/>
    <w:rsid w:val="00100582"/>
    <w:rsid w:val="001006C8"/>
    <w:rsid w:val="001006E4"/>
    <w:rsid w:val="0010072F"/>
    <w:rsid w:val="001007D6"/>
    <w:rsid w:val="001007E1"/>
    <w:rsid w:val="00100818"/>
    <w:rsid w:val="00100884"/>
    <w:rsid w:val="001008ED"/>
    <w:rsid w:val="00100AF9"/>
    <w:rsid w:val="00100B57"/>
    <w:rsid w:val="00100B59"/>
    <w:rsid w:val="00100CF9"/>
    <w:rsid w:val="00100D4B"/>
    <w:rsid w:val="00100DFB"/>
    <w:rsid w:val="00100F6C"/>
    <w:rsid w:val="00101053"/>
    <w:rsid w:val="001010FE"/>
    <w:rsid w:val="001011D6"/>
    <w:rsid w:val="0010121A"/>
    <w:rsid w:val="001012F9"/>
    <w:rsid w:val="001014C2"/>
    <w:rsid w:val="00101509"/>
    <w:rsid w:val="0010163C"/>
    <w:rsid w:val="001018BA"/>
    <w:rsid w:val="001018ED"/>
    <w:rsid w:val="00101993"/>
    <w:rsid w:val="001019A8"/>
    <w:rsid w:val="001019A9"/>
    <w:rsid w:val="00101C6C"/>
    <w:rsid w:val="00101CBD"/>
    <w:rsid w:val="00101DCB"/>
    <w:rsid w:val="00101DDC"/>
    <w:rsid w:val="00101DE9"/>
    <w:rsid w:val="00101E21"/>
    <w:rsid w:val="00101F4A"/>
    <w:rsid w:val="0010206A"/>
    <w:rsid w:val="001020BF"/>
    <w:rsid w:val="00102184"/>
    <w:rsid w:val="0010219C"/>
    <w:rsid w:val="00102206"/>
    <w:rsid w:val="001022A4"/>
    <w:rsid w:val="001022BE"/>
    <w:rsid w:val="001022E7"/>
    <w:rsid w:val="0010237C"/>
    <w:rsid w:val="00102385"/>
    <w:rsid w:val="00102512"/>
    <w:rsid w:val="0010251A"/>
    <w:rsid w:val="001025A9"/>
    <w:rsid w:val="001025E6"/>
    <w:rsid w:val="00102656"/>
    <w:rsid w:val="00102738"/>
    <w:rsid w:val="001027A7"/>
    <w:rsid w:val="001027C2"/>
    <w:rsid w:val="001028E3"/>
    <w:rsid w:val="00102BA3"/>
    <w:rsid w:val="00102BEB"/>
    <w:rsid w:val="00102C04"/>
    <w:rsid w:val="00102C76"/>
    <w:rsid w:val="00102CC3"/>
    <w:rsid w:val="00102D52"/>
    <w:rsid w:val="00102D81"/>
    <w:rsid w:val="00102DB5"/>
    <w:rsid w:val="00102DC7"/>
    <w:rsid w:val="00102E47"/>
    <w:rsid w:val="00102E62"/>
    <w:rsid w:val="00102E79"/>
    <w:rsid w:val="00102EE4"/>
    <w:rsid w:val="00102F51"/>
    <w:rsid w:val="00102F87"/>
    <w:rsid w:val="00102FF7"/>
    <w:rsid w:val="00103082"/>
    <w:rsid w:val="00103407"/>
    <w:rsid w:val="00103441"/>
    <w:rsid w:val="00103487"/>
    <w:rsid w:val="00103637"/>
    <w:rsid w:val="001036FF"/>
    <w:rsid w:val="00103714"/>
    <w:rsid w:val="00103822"/>
    <w:rsid w:val="00103823"/>
    <w:rsid w:val="00103927"/>
    <w:rsid w:val="00103968"/>
    <w:rsid w:val="00103A8B"/>
    <w:rsid w:val="00103D2B"/>
    <w:rsid w:val="00103D7C"/>
    <w:rsid w:val="00103DA7"/>
    <w:rsid w:val="00103F35"/>
    <w:rsid w:val="00103F7A"/>
    <w:rsid w:val="00103F92"/>
    <w:rsid w:val="001040CC"/>
    <w:rsid w:val="001041F2"/>
    <w:rsid w:val="001043F0"/>
    <w:rsid w:val="001045A0"/>
    <w:rsid w:val="00104721"/>
    <w:rsid w:val="001047C5"/>
    <w:rsid w:val="00104A35"/>
    <w:rsid w:val="00104CDF"/>
    <w:rsid w:val="00104DCA"/>
    <w:rsid w:val="00104E0F"/>
    <w:rsid w:val="00104F49"/>
    <w:rsid w:val="001050F0"/>
    <w:rsid w:val="0010530F"/>
    <w:rsid w:val="00105384"/>
    <w:rsid w:val="001054B2"/>
    <w:rsid w:val="0010556E"/>
    <w:rsid w:val="0010558C"/>
    <w:rsid w:val="001055BF"/>
    <w:rsid w:val="00105616"/>
    <w:rsid w:val="001056BD"/>
    <w:rsid w:val="00105729"/>
    <w:rsid w:val="0010584C"/>
    <w:rsid w:val="0010596E"/>
    <w:rsid w:val="00105994"/>
    <w:rsid w:val="00105A1B"/>
    <w:rsid w:val="00105B80"/>
    <w:rsid w:val="00105FDC"/>
    <w:rsid w:val="0010622D"/>
    <w:rsid w:val="001063AC"/>
    <w:rsid w:val="00106448"/>
    <w:rsid w:val="00106487"/>
    <w:rsid w:val="0010655D"/>
    <w:rsid w:val="0010661A"/>
    <w:rsid w:val="0010673C"/>
    <w:rsid w:val="00106789"/>
    <w:rsid w:val="001067BA"/>
    <w:rsid w:val="001067BC"/>
    <w:rsid w:val="001067F2"/>
    <w:rsid w:val="0010690A"/>
    <w:rsid w:val="0010691F"/>
    <w:rsid w:val="0010692C"/>
    <w:rsid w:val="00106A84"/>
    <w:rsid w:val="00106B54"/>
    <w:rsid w:val="00106BB9"/>
    <w:rsid w:val="00106C68"/>
    <w:rsid w:val="00106CB1"/>
    <w:rsid w:val="00106D5A"/>
    <w:rsid w:val="00106E54"/>
    <w:rsid w:val="00106FA7"/>
    <w:rsid w:val="00106FF9"/>
    <w:rsid w:val="00107014"/>
    <w:rsid w:val="001070A0"/>
    <w:rsid w:val="00107113"/>
    <w:rsid w:val="00107190"/>
    <w:rsid w:val="001071BA"/>
    <w:rsid w:val="001072C4"/>
    <w:rsid w:val="0010737F"/>
    <w:rsid w:val="001073EB"/>
    <w:rsid w:val="0010754A"/>
    <w:rsid w:val="001075B3"/>
    <w:rsid w:val="001075CA"/>
    <w:rsid w:val="001075DD"/>
    <w:rsid w:val="00107642"/>
    <w:rsid w:val="00107666"/>
    <w:rsid w:val="00107682"/>
    <w:rsid w:val="0010769B"/>
    <w:rsid w:val="001076B3"/>
    <w:rsid w:val="001076D6"/>
    <w:rsid w:val="00107700"/>
    <w:rsid w:val="00107746"/>
    <w:rsid w:val="00107906"/>
    <w:rsid w:val="00107921"/>
    <w:rsid w:val="0010794C"/>
    <w:rsid w:val="00107964"/>
    <w:rsid w:val="00107B24"/>
    <w:rsid w:val="00107BEE"/>
    <w:rsid w:val="00107BF6"/>
    <w:rsid w:val="00107C28"/>
    <w:rsid w:val="00107C7A"/>
    <w:rsid w:val="00107C93"/>
    <w:rsid w:val="00107CAE"/>
    <w:rsid w:val="00107D7A"/>
    <w:rsid w:val="00107E0B"/>
    <w:rsid w:val="00107EA1"/>
    <w:rsid w:val="00107F68"/>
    <w:rsid w:val="00107FF2"/>
    <w:rsid w:val="0011009C"/>
    <w:rsid w:val="00110160"/>
    <w:rsid w:val="001101BB"/>
    <w:rsid w:val="001101E1"/>
    <w:rsid w:val="001104CA"/>
    <w:rsid w:val="001105D3"/>
    <w:rsid w:val="0011062A"/>
    <w:rsid w:val="00110678"/>
    <w:rsid w:val="00110683"/>
    <w:rsid w:val="001106B1"/>
    <w:rsid w:val="001107E9"/>
    <w:rsid w:val="00110851"/>
    <w:rsid w:val="00110927"/>
    <w:rsid w:val="0011094C"/>
    <w:rsid w:val="00110A5C"/>
    <w:rsid w:val="00110AC1"/>
    <w:rsid w:val="00110AFE"/>
    <w:rsid w:val="00110C42"/>
    <w:rsid w:val="00110D1E"/>
    <w:rsid w:val="00110D58"/>
    <w:rsid w:val="00110E46"/>
    <w:rsid w:val="00110ECF"/>
    <w:rsid w:val="00111062"/>
    <w:rsid w:val="001111ED"/>
    <w:rsid w:val="00111506"/>
    <w:rsid w:val="0011163F"/>
    <w:rsid w:val="001116BB"/>
    <w:rsid w:val="001117EF"/>
    <w:rsid w:val="00111844"/>
    <w:rsid w:val="0011191D"/>
    <w:rsid w:val="00111AEA"/>
    <w:rsid w:val="00111B32"/>
    <w:rsid w:val="00111B99"/>
    <w:rsid w:val="00111C9C"/>
    <w:rsid w:val="00111D6D"/>
    <w:rsid w:val="00111E1B"/>
    <w:rsid w:val="00111E86"/>
    <w:rsid w:val="00111FE4"/>
    <w:rsid w:val="0011213D"/>
    <w:rsid w:val="0011229E"/>
    <w:rsid w:val="001122E4"/>
    <w:rsid w:val="00112303"/>
    <w:rsid w:val="0011238F"/>
    <w:rsid w:val="00112499"/>
    <w:rsid w:val="00112502"/>
    <w:rsid w:val="001125B5"/>
    <w:rsid w:val="00112609"/>
    <w:rsid w:val="0011277C"/>
    <w:rsid w:val="001127C4"/>
    <w:rsid w:val="001127CA"/>
    <w:rsid w:val="001127E8"/>
    <w:rsid w:val="00112803"/>
    <w:rsid w:val="00112865"/>
    <w:rsid w:val="00112A5C"/>
    <w:rsid w:val="00112BEE"/>
    <w:rsid w:val="00112C8F"/>
    <w:rsid w:val="00112CE6"/>
    <w:rsid w:val="00112D48"/>
    <w:rsid w:val="00112EEA"/>
    <w:rsid w:val="00112EFA"/>
    <w:rsid w:val="00113010"/>
    <w:rsid w:val="00113096"/>
    <w:rsid w:val="001130C7"/>
    <w:rsid w:val="00113170"/>
    <w:rsid w:val="001131FB"/>
    <w:rsid w:val="0011325D"/>
    <w:rsid w:val="001133EA"/>
    <w:rsid w:val="0011345C"/>
    <w:rsid w:val="001134B7"/>
    <w:rsid w:val="00113504"/>
    <w:rsid w:val="0011355D"/>
    <w:rsid w:val="00113620"/>
    <w:rsid w:val="0011363B"/>
    <w:rsid w:val="0011367C"/>
    <w:rsid w:val="0011372B"/>
    <w:rsid w:val="00113737"/>
    <w:rsid w:val="001137FF"/>
    <w:rsid w:val="00113873"/>
    <w:rsid w:val="001138EC"/>
    <w:rsid w:val="00113906"/>
    <w:rsid w:val="0011393D"/>
    <w:rsid w:val="00113987"/>
    <w:rsid w:val="0011398A"/>
    <w:rsid w:val="00113998"/>
    <w:rsid w:val="00113ACC"/>
    <w:rsid w:val="00113D2C"/>
    <w:rsid w:val="00113E76"/>
    <w:rsid w:val="00113EF8"/>
    <w:rsid w:val="00114015"/>
    <w:rsid w:val="00114031"/>
    <w:rsid w:val="0011408F"/>
    <w:rsid w:val="001140DC"/>
    <w:rsid w:val="001140FB"/>
    <w:rsid w:val="001141B8"/>
    <w:rsid w:val="0011442E"/>
    <w:rsid w:val="00114431"/>
    <w:rsid w:val="0011451A"/>
    <w:rsid w:val="0011453A"/>
    <w:rsid w:val="00114592"/>
    <w:rsid w:val="0011466B"/>
    <w:rsid w:val="00114792"/>
    <w:rsid w:val="00114794"/>
    <w:rsid w:val="001147D1"/>
    <w:rsid w:val="00114997"/>
    <w:rsid w:val="00114A3B"/>
    <w:rsid w:val="00114A73"/>
    <w:rsid w:val="00114AC9"/>
    <w:rsid w:val="00114ACA"/>
    <w:rsid w:val="00114B55"/>
    <w:rsid w:val="00114D33"/>
    <w:rsid w:val="00114DCA"/>
    <w:rsid w:val="00114E3E"/>
    <w:rsid w:val="00114EEC"/>
    <w:rsid w:val="00114F25"/>
    <w:rsid w:val="00114F50"/>
    <w:rsid w:val="00114F70"/>
    <w:rsid w:val="00114F8A"/>
    <w:rsid w:val="0011503B"/>
    <w:rsid w:val="00115080"/>
    <w:rsid w:val="0011530D"/>
    <w:rsid w:val="00115420"/>
    <w:rsid w:val="0011544B"/>
    <w:rsid w:val="00115640"/>
    <w:rsid w:val="001156DA"/>
    <w:rsid w:val="0011580E"/>
    <w:rsid w:val="00115814"/>
    <w:rsid w:val="00115873"/>
    <w:rsid w:val="001158B6"/>
    <w:rsid w:val="001158C6"/>
    <w:rsid w:val="00115A44"/>
    <w:rsid w:val="00115A87"/>
    <w:rsid w:val="00115AA9"/>
    <w:rsid w:val="00115AC2"/>
    <w:rsid w:val="00115BE2"/>
    <w:rsid w:val="00115C07"/>
    <w:rsid w:val="00115C25"/>
    <w:rsid w:val="00115C47"/>
    <w:rsid w:val="00115EDF"/>
    <w:rsid w:val="00115F72"/>
    <w:rsid w:val="00116156"/>
    <w:rsid w:val="0011616D"/>
    <w:rsid w:val="0011626E"/>
    <w:rsid w:val="001163C2"/>
    <w:rsid w:val="00116459"/>
    <w:rsid w:val="0011657C"/>
    <w:rsid w:val="001165DB"/>
    <w:rsid w:val="001166A0"/>
    <w:rsid w:val="001166B6"/>
    <w:rsid w:val="001166D7"/>
    <w:rsid w:val="001166DD"/>
    <w:rsid w:val="00116723"/>
    <w:rsid w:val="00116869"/>
    <w:rsid w:val="00116A86"/>
    <w:rsid w:val="00116A88"/>
    <w:rsid w:val="00116B13"/>
    <w:rsid w:val="00116B40"/>
    <w:rsid w:val="00116C05"/>
    <w:rsid w:val="00116E0D"/>
    <w:rsid w:val="00116E3A"/>
    <w:rsid w:val="00117094"/>
    <w:rsid w:val="001171F1"/>
    <w:rsid w:val="00117202"/>
    <w:rsid w:val="001172D2"/>
    <w:rsid w:val="001172EA"/>
    <w:rsid w:val="001173BB"/>
    <w:rsid w:val="001174A2"/>
    <w:rsid w:val="001174EE"/>
    <w:rsid w:val="00117541"/>
    <w:rsid w:val="0011754E"/>
    <w:rsid w:val="001175CB"/>
    <w:rsid w:val="001175ED"/>
    <w:rsid w:val="001178DA"/>
    <w:rsid w:val="00117949"/>
    <w:rsid w:val="001179BF"/>
    <w:rsid w:val="001179FF"/>
    <w:rsid w:val="00117A44"/>
    <w:rsid w:val="00117AA0"/>
    <w:rsid w:val="00117B2C"/>
    <w:rsid w:val="00117C5E"/>
    <w:rsid w:val="00117CA8"/>
    <w:rsid w:val="00117CB1"/>
    <w:rsid w:val="00117D25"/>
    <w:rsid w:val="00117E19"/>
    <w:rsid w:val="00117EBB"/>
    <w:rsid w:val="00117ECB"/>
    <w:rsid w:val="00117F58"/>
    <w:rsid w:val="001200A3"/>
    <w:rsid w:val="001200AE"/>
    <w:rsid w:val="0012018C"/>
    <w:rsid w:val="0012019C"/>
    <w:rsid w:val="0012029C"/>
    <w:rsid w:val="001202A0"/>
    <w:rsid w:val="00120420"/>
    <w:rsid w:val="001206F3"/>
    <w:rsid w:val="00120765"/>
    <w:rsid w:val="0012087E"/>
    <w:rsid w:val="0012092A"/>
    <w:rsid w:val="001209F7"/>
    <w:rsid w:val="00120AD4"/>
    <w:rsid w:val="00120AD6"/>
    <w:rsid w:val="00120AE5"/>
    <w:rsid w:val="00120B22"/>
    <w:rsid w:val="00120B4F"/>
    <w:rsid w:val="00120C6A"/>
    <w:rsid w:val="00120D42"/>
    <w:rsid w:val="00120D98"/>
    <w:rsid w:val="00120EC1"/>
    <w:rsid w:val="00120F33"/>
    <w:rsid w:val="00120FED"/>
    <w:rsid w:val="0012100B"/>
    <w:rsid w:val="00121034"/>
    <w:rsid w:val="0012106B"/>
    <w:rsid w:val="0012109A"/>
    <w:rsid w:val="0012112B"/>
    <w:rsid w:val="00121164"/>
    <w:rsid w:val="0012119D"/>
    <w:rsid w:val="00121305"/>
    <w:rsid w:val="00121346"/>
    <w:rsid w:val="00121358"/>
    <w:rsid w:val="00121396"/>
    <w:rsid w:val="0012144A"/>
    <w:rsid w:val="001214E9"/>
    <w:rsid w:val="00121579"/>
    <w:rsid w:val="001215C9"/>
    <w:rsid w:val="001216D1"/>
    <w:rsid w:val="0012171F"/>
    <w:rsid w:val="00121745"/>
    <w:rsid w:val="001217BE"/>
    <w:rsid w:val="001219A1"/>
    <w:rsid w:val="001219C6"/>
    <w:rsid w:val="00121A52"/>
    <w:rsid w:val="00121CC0"/>
    <w:rsid w:val="00121CC8"/>
    <w:rsid w:val="00121E91"/>
    <w:rsid w:val="00121F7C"/>
    <w:rsid w:val="00122018"/>
    <w:rsid w:val="0012201A"/>
    <w:rsid w:val="00122041"/>
    <w:rsid w:val="00122097"/>
    <w:rsid w:val="001220BE"/>
    <w:rsid w:val="001220CD"/>
    <w:rsid w:val="001220FA"/>
    <w:rsid w:val="00122194"/>
    <w:rsid w:val="0012226C"/>
    <w:rsid w:val="001222C7"/>
    <w:rsid w:val="0012231B"/>
    <w:rsid w:val="00122529"/>
    <w:rsid w:val="00122653"/>
    <w:rsid w:val="0012265E"/>
    <w:rsid w:val="00122824"/>
    <w:rsid w:val="001228AC"/>
    <w:rsid w:val="001228AF"/>
    <w:rsid w:val="00122A90"/>
    <w:rsid w:val="00122AAB"/>
    <w:rsid w:val="00122CAA"/>
    <w:rsid w:val="00122DC5"/>
    <w:rsid w:val="00122DF5"/>
    <w:rsid w:val="001232D9"/>
    <w:rsid w:val="0012341E"/>
    <w:rsid w:val="001234E4"/>
    <w:rsid w:val="001235C4"/>
    <w:rsid w:val="001235E2"/>
    <w:rsid w:val="0012361E"/>
    <w:rsid w:val="001236C5"/>
    <w:rsid w:val="001236C9"/>
    <w:rsid w:val="001238AF"/>
    <w:rsid w:val="00123969"/>
    <w:rsid w:val="00123B36"/>
    <w:rsid w:val="00123C03"/>
    <w:rsid w:val="00123E81"/>
    <w:rsid w:val="00123F2E"/>
    <w:rsid w:val="00123F44"/>
    <w:rsid w:val="00123FFC"/>
    <w:rsid w:val="00124089"/>
    <w:rsid w:val="00124090"/>
    <w:rsid w:val="001240AE"/>
    <w:rsid w:val="00124254"/>
    <w:rsid w:val="001242C3"/>
    <w:rsid w:val="00124560"/>
    <w:rsid w:val="001245A5"/>
    <w:rsid w:val="001245EF"/>
    <w:rsid w:val="001247ED"/>
    <w:rsid w:val="0012484B"/>
    <w:rsid w:val="00124938"/>
    <w:rsid w:val="0012498E"/>
    <w:rsid w:val="00124B00"/>
    <w:rsid w:val="00124BE4"/>
    <w:rsid w:val="00124D10"/>
    <w:rsid w:val="00124D36"/>
    <w:rsid w:val="00124DC4"/>
    <w:rsid w:val="00124EB7"/>
    <w:rsid w:val="00124F15"/>
    <w:rsid w:val="00124F5B"/>
    <w:rsid w:val="00124FC0"/>
    <w:rsid w:val="0012515A"/>
    <w:rsid w:val="001251A9"/>
    <w:rsid w:val="001251D9"/>
    <w:rsid w:val="00125356"/>
    <w:rsid w:val="00125365"/>
    <w:rsid w:val="0012537C"/>
    <w:rsid w:val="001253D4"/>
    <w:rsid w:val="0012567A"/>
    <w:rsid w:val="00125819"/>
    <w:rsid w:val="0012596A"/>
    <w:rsid w:val="001259DF"/>
    <w:rsid w:val="00125A33"/>
    <w:rsid w:val="00125A6B"/>
    <w:rsid w:val="00125ABC"/>
    <w:rsid w:val="00125B04"/>
    <w:rsid w:val="00125B47"/>
    <w:rsid w:val="00126270"/>
    <w:rsid w:val="001263DB"/>
    <w:rsid w:val="00126443"/>
    <w:rsid w:val="00126583"/>
    <w:rsid w:val="00126585"/>
    <w:rsid w:val="0012675B"/>
    <w:rsid w:val="0012676A"/>
    <w:rsid w:val="001267C5"/>
    <w:rsid w:val="001267CA"/>
    <w:rsid w:val="001267ED"/>
    <w:rsid w:val="0012690D"/>
    <w:rsid w:val="00126988"/>
    <w:rsid w:val="001269B6"/>
    <w:rsid w:val="00126B78"/>
    <w:rsid w:val="00126BB4"/>
    <w:rsid w:val="00126BBC"/>
    <w:rsid w:val="00126CD5"/>
    <w:rsid w:val="00126D27"/>
    <w:rsid w:val="00126F5D"/>
    <w:rsid w:val="00126FC4"/>
    <w:rsid w:val="00126FD0"/>
    <w:rsid w:val="001270B1"/>
    <w:rsid w:val="001270D8"/>
    <w:rsid w:val="0012716A"/>
    <w:rsid w:val="001271B0"/>
    <w:rsid w:val="001271E1"/>
    <w:rsid w:val="001272B9"/>
    <w:rsid w:val="0012732B"/>
    <w:rsid w:val="001273D1"/>
    <w:rsid w:val="0012743C"/>
    <w:rsid w:val="001274DC"/>
    <w:rsid w:val="00127668"/>
    <w:rsid w:val="00127729"/>
    <w:rsid w:val="001277A9"/>
    <w:rsid w:val="001277B4"/>
    <w:rsid w:val="00127826"/>
    <w:rsid w:val="0012783E"/>
    <w:rsid w:val="001278F8"/>
    <w:rsid w:val="00127903"/>
    <w:rsid w:val="00127905"/>
    <w:rsid w:val="00127A6B"/>
    <w:rsid w:val="00127C6E"/>
    <w:rsid w:val="00127C9A"/>
    <w:rsid w:val="00127D07"/>
    <w:rsid w:val="00127DED"/>
    <w:rsid w:val="00127F31"/>
    <w:rsid w:val="00127FA9"/>
    <w:rsid w:val="00127FB7"/>
    <w:rsid w:val="00130001"/>
    <w:rsid w:val="00130039"/>
    <w:rsid w:val="00130217"/>
    <w:rsid w:val="001302A6"/>
    <w:rsid w:val="00130338"/>
    <w:rsid w:val="00130370"/>
    <w:rsid w:val="00130394"/>
    <w:rsid w:val="00130421"/>
    <w:rsid w:val="00130510"/>
    <w:rsid w:val="001305FB"/>
    <w:rsid w:val="00130773"/>
    <w:rsid w:val="00130936"/>
    <w:rsid w:val="00130A4A"/>
    <w:rsid w:val="00130B37"/>
    <w:rsid w:val="00130BA5"/>
    <w:rsid w:val="00130BB1"/>
    <w:rsid w:val="00130BBE"/>
    <w:rsid w:val="00130BC3"/>
    <w:rsid w:val="00130FB8"/>
    <w:rsid w:val="0013107D"/>
    <w:rsid w:val="00131227"/>
    <w:rsid w:val="00131327"/>
    <w:rsid w:val="0013137E"/>
    <w:rsid w:val="0013154B"/>
    <w:rsid w:val="00131618"/>
    <w:rsid w:val="00131844"/>
    <w:rsid w:val="00131914"/>
    <w:rsid w:val="00131934"/>
    <w:rsid w:val="00131A96"/>
    <w:rsid w:val="00131AB1"/>
    <w:rsid w:val="00131C02"/>
    <w:rsid w:val="00131DB3"/>
    <w:rsid w:val="00131DE7"/>
    <w:rsid w:val="00131DF2"/>
    <w:rsid w:val="00131E03"/>
    <w:rsid w:val="00131F07"/>
    <w:rsid w:val="00131FBA"/>
    <w:rsid w:val="0013209C"/>
    <w:rsid w:val="0013211D"/>
    <w:rsid w:val="0013232E"/>
    <w:rsid w:val="00132462"/>
    <w:rsid w:val="00132526"/>
    <w:rsid w:val="001325FF"/>
    <w:rsid w:val="0013260C"/>
    <w:rsid w:val="00132624"/>
    <w:rsid w:val="0013283E"/>
    <w:rsid w:val="001328FF"/>
    <w:rsid w:val="00132EB2"/>
    <w:rsid w:val="00132EC7"/>
    <w:rsid w:val="00132F2A"/>
    <w:rsid w:val="00132F46"/>
    <w:rsid w:val="00132FD6"/>
    <w:rsid w:val="00133146"/>
    <w:rsid w:val="00133319"/>
    <w:rsid w:val="0013340D"/>
    <w:rsid w:val="00133444"/>
    <w:rsid w:val="00133454"/>
    <w:rsid w:val="00133514"/>
    <w:rsid w:val="00133692"/>
    <w:rsid w:val="00133846"/>
    <w:rsid w:val="00133919"/>
    <w:rsid w:val="0013397C"/>
    <w:rsid w:val="00133982"/>
    <w:rsid w:val="001339BF"/>
    <w:rsid w:val="001339E3"/>
    <w:rsid w:val="00133AC2"/>
    <w:rsid w:val="00133AE3"/>
    <w:rsid w:val="00133B35"/>
    <w:rsid w:val="00133BE1"/>
    <w:rsid w:val="00133CB4"/>
    <w:rsid w:val="00133CCF"/>
    <w:rsid w:val="00133D0B"/>
    <w:rsid w:val="00133F87"/>
    <w:rsid w:val="00134051"/>
    <w:rsid w:val="001342CD"/>
    <w:rsid w:val="00134382"/>
    <w:rsid w:val="001344CF"/>
    <w:rsid w:val="00134563"/>
    <w:rsid w:val="0013458C"/>
    <w:rsid w:val="0013468A"/>
    <w:rsid w:val="0013474B"/>
    <w:rsid w:val="00134762"/>
    <w:rsid w:val="0013484A"/>
    <w:rsid w:val="00134897"/>
    <w:rsid w:val="0013498F"/>
    <w:rsid w:val="001349F1"/>
    <w:rsid w:val="00134A36"/>
    <w:rsid w:val="00134A47"/>
    <w:rsid w:val="00134B22"/>
    <w:rsid w:val="00134C2D"/>
    <w:rsid w:val="00134C91"/>
    <w:rsid w:val="00134D24"/>
    <w:rsid w:val="00134DA1"/>
    <w:rsid w:val="00134EF7"/>
    <w:rsid w:val="00134F68"/>
    <w:rsid w:val="00135036"/>
    <w:rsid w:val="001350F7"/>
    <w:rsid w:val="001353F9"/>
    <w:rsid w:val="001354C2"/>
    <w:rsid w:val="001356F1"/>
    <w:rsid w:val="001357E5"/>
    <w:rsid w:val="00135818"/>
    <w:rsid w:val="001359D9"/>
    <w:rsid w:val="00135B79"/>
    <w:rsid w:val="00135B96"/>
    <w:rsid w:val="00135C37"/>
    <w:rsid w:val="00135C47"/>
    <w:rsid w:val="00135D65"/>
    <w:rsid w:val="00135E05"/>
    <w:rsid w:val="00135E22"/>
    <w:rsid w:val="00135ED8"/>
    <w:rsid w:val="00135F8D"/>
    <w:rsid w:val="001361CD"/>
    <w:rsid w:val="00136205"/>
    <w:rsid w:val="00136347"/>
    <w:rsid w:val="001364B0"/>
    <w:rsid w:val="0013658C"/>
    <w:rsid w:val="00136860"/>
    <w:rsid w:val="00136867"/>
    <w:rsid w:val="00136938"/>
    <w:rsid w:val="0013698B"/>
    <w:rsid w:val="001369B6"/>
    <w:rsid w:val="00136A72"/>
    <w:rsid w:val="00136B2E"/>
    <w:rsid w:val="00136BC8"/>
    <w:rsid w:val="00136C51"/>
    <w:rsid w:val="00136D83"/>
    <w:rsid w:val="00136E16"/>
    <w:rsid w:val="00136EFF"/>
    <w:rsid w:val="00136F77"/>
    <w:rsid w:val="00137032"/>
    <w:rsid w:val="00137150"/>
    <w:rsid w:val="00137170"/>
    <w:rsid w:val="00137338"/>
    <w:rsid w:val="001376F3"/>
    <w:rsid w:val="00137880"/>
    <w:rsid w:val="00137892"/>
    <w:rsid w:val="001378ED"/>
    <w:rsid w:val="00137917"/>
    <w:rsid w:val="00137965"/>
    <w:rsid w:val="00137981"/>
    <w:rsid w:val="00137A5A"/>
    <w:rsid w:val="00137CBC"/>
    <w:rsid w:val="00137CCB"/>
    <w:rsid w:val="00137E05"/>
    <w:rsid w:val="00137FD1"/>
    <w:rsid w:val="0014010D"/>
    <w:rsid w:val="00140114"/>
    <w:rsid w:val="00140126"/>
    <w:rsid w:val="0014015F"/>
    <w:rsid w:val="0014016F"/>
    <w:rsid w:val="001401D9"/>
    <w:rsid w:val="0014028F"/>
    <w:rsid w:val="00140303"/>
    <w:rsid w:val="001403F1"/>
    <w:rsid w:val="00140406"/>
    <w:rsid w:val="001405A9"/>
    <w:rsid w:val="0014078C"/>
    <w:rsid w:val="00140818"/>
    <w:rsid w:val="001408D0"/>
    <w:rsid w:val="00140999"/>
    <w:rsid w:val="00140B3F"/>
    <w:rsid w:val="00140CB6"/>
    <w:rsid w:val="00140D29"/>
    <w:rsid w:val="00140DCB"/>
    <w:rsid w:val="00140DDD"/>
    <w:rsid w:val="00140E5D"/>
    <w:rsid w:val="00140EF0"/>
    <w:rsid w:val="00140FEF"/>
    <w:rsid w:val="00141008"/>
    <w:rsid w:val="00141268"/>
    <w:rsid w:val="00141417"/>
    <w:rsid w:val="0014144C"/>
    <w:rsid w:val="001414E3"/>
    <w:rsid w:val="00141519"/>
    <w:rsid w:val="001415FC"/>
    <w:rsid w:val="00141609"/>
    <w:rsid w:val="00141846"/>
    <w:rsid w:val="0014186D"/>
    <w:rsid w:val="001418C7"/>
    <w:rsid w:val="0014195E"/>
    <w:rsid w:val="00141A17"/>
    <w:rsid w:val="00141A4D"/>
    <w:rsid w:val="00141A65"/>
    <w:rsid w:val="00141AA9"/>
    <w:rsid w:val="00141AB4"/>
    <w:rsid w:val="00141C65"/>
    <w:rsid w:val="00141C8D"/>
    <w:rsid w:val="00141CCC"/>
    <w:rsid w:val="00141DE4"/>
    <w:rsid w:val="00141DEC"/>
    <w:rsid w:val="00141DFE"/>
    <w:rsid w:val="00141E4A"/>
    <w:rsid w:val="00141FA7"/>
    <w:rsid w:val="00141FB8"/>
    <w:rsid w:val="00142158"/>
    <w:rsid w:val="0014216F"/>
    <w:rsid w:val="001421AB"/>
    <w:rsid w:val="001421F2"/>
    <w:rsid w:val="00142249"/>
    <w:rsid w:val="00142297"/>
    <w:rsid w:val="0014238D"/>
    <w:rsid w:val="001423DC"/>
    <w:rsid w:val="001425B6"/>
    <w:rsid w:val="00142631"/>
    <w:rsid w:val="001426D3"/>
    <w:rsid w:val="0014277D"/>
    <w:rsid w:val="0014278E"/>
    <w:rsid w:val="001428AA"/>
    <w:rsid w:val="00142957"/>
    <w:rsid w:val="00142A55"/>
    <w:rsid w:val="00142A70"/>
    <w:rsid w:val="00142AB1"/>
    <w:rsid w:val="00142B10"/>
    <w:rsid w:val="00142D6D"/>
    <w:rsid w:val="00142D7B"/>
    <w:rsid w:val="00142E4D"/>
    <w:rsid w:val="00142F14"/>
    <w:rsid w:val="00142F28"/>
    <w:rsid w:val="00142F50"/>
    <w:rsid w:val="00142FED"/>
    <w:rsid w:val="0014308F"/>
    <w:rsid w:val="001431F6"/>
    <w:rsid w:val="00143287"/>
    <w:rsid w:val="00143490"/>
    <w:rsid w:val="00143548"/>
    <w:rsid w:val="001435EA"/>
    <w:rsid w:val="0014365E"/>
    <w:rsid w:val="00143687"/>
    <w:rsid w:val="0014376B"/>
    <w:rsid w:val="00143882"/>
    <w:rsid w:val="001438BD"/>
    <w:rsid w:val="00143929"/>
    <w:rsid w:val="00143956"/>
    <w:rsid w:val="001439F0"/>
    <w:rsid w:val="00143AA4"/>
    <w:rsid w:val="00143C49"/>
    <w:rsid w:val="00143CC0"/>
    <w:rsid w:val="00143D0A"/>
    <w:rsid w:val="00143D6A"/>
    <w:rsid w:val="00143DE0"/>
    <w:rsid w:val="00143ED2"/>
    <w:rsid w:val="00143F51"/>
    <w:rsid w:val="00143FC5"/>
    <w:rsid w:val="00144056"/>
    <w:rsid w:val="0014407E"/>
    <w:rsid w:val="00144270"/>
    <w:rsid w:val="00144323"/>
    <w:rsid w:val="00144326"/>
    <w:rsid w:val="00144340"/>
    <w:rsid w:val="0014437F"/>
    <w:rsid w:val="001443EE"/>
    <w:rsid w:val="001443F7"/>
    <w:rsid w:val="00144483"/>
    <w:rsid w:val="0014451D"/>
    <w:rsid w:val="001446CC"/>
    <w:rsid w:val="001447EF"/>
    <w:rsid w:val="00144956"/>
    <w:rsid w:val="001449A9"/>
    <w:rsid w:val="00144A99"/>
    <w:rsid w:val="00144BE5"/>
    <w:rsid w:val="00144C17"/>
    <w:rsid w:val="00144CB2"/>
    <w:rsid w:val="00144D0C"/>
    <w:rsid w:val="00144EC4"/>
    <w:rsid w:val="00144EF0"/>
    <w:rsid w:val="00144F80"/>
    <w:rsid w:val="00144FE6"/>
    <w:rsid w:val="001450D0"/>
    <w:rsid w:val="00145403"/>
    <w:rsid w:val="0014540B"/>
    <w:rsid w:val="00145685"/>
    <w:rsid w:val="001456B8"/>
    <w:rsid w:val="001457F5"/>
    <w:rsid w:val="001458AD"/>
    <w:rsid w:val="00145900"/>
    <w:rsid w:val="00145934"/>
    <w:rsid w:val="0014597A"/>
    <w:rsid w:val="001459B4"/>
    <w:rsid w:val="00145BBC"/>
    <w:rsid w:val="00145D8C"/>
    <w:rsid w:val="00145E4A"/>
    <w:rsid w:val="00146043"/>
    <w:rsid w:val="001461E1"/>
    <w:rsid w:val="001463F1"/>
    <w:rsid w:val="00146481"/>
    <w:rsid w:val="00146492"/>
    <w:rsid w:val="001464D1"/>
    <w:rsid w:val="00146509"/>
    <w:rsid w:val="001465C9"/>
    <w:rsid w:val="001465D0"/>
    <w:rsid w:val="0014676D"/>
    <w:rsid w:val="001467B9"/>
    <w:rsid w:val="00146805"/>
    <w:rsid w:val="0014680A"/>
    <w:rsid w:val="00146A1F"/>
    <w:rsid w:val="00146AA9"/>
    <w:rsid w:val="00146BA6"/>
    <w:rsid w:val="00146C5D"/>
    <w:rsid w:val="00146C62"/>
    <w:rsid w:val="00146C81"/>
    <w:rsid w:val="00146D2F"/>
    <w:rsid w:val="00146D79"/>
    <w:rsid w:val="00146EF4"/>
    <w:rsid w:val="00146F85"/>
    <w:rsid w:val="00147201"/>
    <w:rsid w:val="00147241"/>
    <w:rsid w:val="0014725E"/>
    <w:rsid w:val="0014729E"/>
    <w:rsid w:val="0014740A"/>
    <w:rsid w:val="001474DF"/>
    <w:rsid w:val="00147584"/>
    <w:rsid w:val="0014761E"/>
    <w:rsid w:val="00147652"/>
    <w:rsid w:val="0014798E"/>
    <w:rsid w:val="00147997"/>
    <w:rsid w:val="001479A1"/>
    <w:rsid w:val="001479CD"/>
    <w:rsid w:val="00147AFF"/>
    <w:rsid w:val="00147B79"/>
    <w:rsid w:val="00147C0B"/>
    <w:rsid w:val="00147CC6"/>
    <w:rsid w:val="00147D91"/>
    <w:rsid w:val="00147DA1"/>
    <w:rsid w:val="00147E36"/>
    <w:rsid w:val="00150046"/>
    <w:rsid w:val="0015016F"/>
    <w:rsid w:val="0015020A"/>
    <w:rsid w:val="001502B7"/>
    <w:rsid w:val="00150336"/>
    <w:rsid w:val="0015035B"/>
    <w:rsid w:val="00150428"/>
    <w:rsid w:val="0015058B"/>
    <w:rsid w:val="0015058F"/>
    <w:rsid w:val="001505B7"/>
    <w:rsid w:val="001505BE"/>
    <w:rsid w:val="0015070C"/>
    <w:rsid w:val="00150731"/>
    <w:rsid w:val="0015088B"/>
    <w:rsid w:val="001508D3"/>
    <w:rsid w:val="00150978"/>
    <w:rsid w:val="001509C3"/>
    <w:rsid w:val="00150B56"/>
    <w:rsid w:val="00150B96"/>
    <w:rsid w:val="00150BC3"/>
    <w:rsid w:val="00150CF3"/>
    <w:rsid w:val="00150CFE"/>
    <w:rsid w:val="00150D0E"/>
    <w:rsid w:val="00150DF6"/>
    <w:rsid w:val="00150E8A"/>
    <w:rsid w:val="00150F70"/>
    <w:rsid w:val="001511BB"/>
    <w:rsid w:val="001511C1"/>
    <w:rsid w:val="00151254"/>
    <w:rsid w:val="00151289"/>
    <w:rsid w:val="001513BB"/>
    <w:rsid w:val="0015148A"/>
    <w:rsid w:val="00151660"/>
    <w:rsid w:val="00151981"/>
    <w:rsid w:val="001519C5"/>
    <w:rsid w:val="00151A6C"/>
    <w:rsid w:val="00151AC8"/>
    <w:rsid w:val="00151B36"/>
    <w:rsid w:val="00151B70"/>
    <w:rsid w:val="00151CFD"/>
    <w:rsid w:val="00151E43"/>
    <w:rsid w:val="00151EC2"/>
    <w:rsid w:val="00151F28"/>
    <w:rsid w:val="0015200A"/>
    <w:rsid w:val="0015202E"/>
    <w:rsid w:val="0015219C"/>
    <w:rsid w:val="00152265"/>
    <w:rsid w:val="00152283"/>
    <w:rsid w:val="0015257F"/>
    <w:rsid w:val="001525ED"/>
    <w:rsid w:val="0015266D"/>
    <w:rsid w:val="00152730"/>
    <w:rsid w:val="0015283D"/>
    <w:rsid w:val="001528E0"/>
    <w:rsid w:val="001528ED"/>
    <w:rsid w:val="00152A44"/>
    <w:rsid w:val="00152B39"/>
    <w:rsid w:val="00152C0A"/>
    <w:rsid w:val="00152C91"/>
    <w:rsid w:val="00152D01"/>
    <w:rsid w:val="00152D3E"/>
    <w:rsid w:val="00152D95"/>
    <w:rsid w:val="00152EC4"/>
    <w:rsid w:val="00153227"/>
    <w:rsid w:val="0015322E"/>
    <w:rsid w:val="00153245"/>
    <w:rsid w:val="001532DA"/>
    <w:rsid w:val="0015333E"/>
    <w:rsid w:val="00153469"/>
    <w:rsid w:val="001534B5"/>
    <w:rsid w:val="001535F2"/>
    <w:rsid w:val="00153640"/>
    <w:rsid w:val="001536C8"/>
    <w:rsid w:val="00153756"/>
    <w:rsid w:val="001537E8"/>
    <w:rsid w:val="00153810"/>
    <w:rsid w:val="00153882"/>
    <w:rsid w:val="001538EF"/>
    <w:rsid w:val="00153AFE"/>
    <w:rsid w:val="00153BBD"/>
    <w:rsid w:val="00153C22"/>
    <w:rsid w:val="00153C5E"/>
    <w:rsid w:val="00153CD7"/>
    <w:rsid w:val="00153E5A"/>
    <w:rsid w:val="00153E9E"/>
    <w:rsid w:val="0015409C"/>
    <w:rsid w:val="00154126"/>
    <w:rsid w:val="00154371"/>
    <w:rsid w:val="0015438D"/>
    <w:rsid w:val="00154396"/>
    <w:rsid w:val="001543E5"/>
    <w:rsid w:val="00154411"/>
    <w:rsid w:val="00154424"/>
    <w:rsid w:val="00154480"/>
    <w:rsid w:val="00154487"/>
    <w:rsid w:val="00154597"/>
    <w:rsid w:val="001545E2"/>
    <w:rsid w:val="0015463C"/>
    <w:rsid w:val="0015464B"/>
    <w:rsid w:val="001546DD"/>
    <w:rsid w:val="00154761"/>
    <w:rsid w:val="00154795"/>
    <w:rsid w:val="00154856"/>
    <w:rsid w:val="00154918"/>
    <w:rsid w:val="00154930"/>
    <w:rsid w:val="00154A3A"/>
    <w:rsid w:val="00154A8B"/>
    <w:rsid w:val="00154AE5"/>
    <w:rsid w:val="00154C99"/>
    <w:rsid w:val="00154D0A"/>
    <w:rsid w:val="00154D1D"/>
    <w:rsid w:val="00154D50"/>
    <w:rsid w:val="00154D8D"/>
    <w:rsid w:val="00154DB8"/>
    <w:rsid w:val="00154E0F"/>
    <w:rsid w:val="00154E98"/>
    <w:rsid w:val="00154F55"/>
    <w:rsid w:val="00155026"/>
    <w:rsid w:val="00155244"/>
    <w:rsid w:val="00155269"/>
    <w:rsid w:val="001554C8"/>
    <w:rsid w:val="00155683"/>
    <w:rsid w:val="001557C3"/>
    <w:rsid w:val="00155805"/>
    <w:rsid w:val="00155975"/>
    <w:rsid w:val="00155A0D"/>
    <w:rsid w:val="00155A99"/>
    <w:rsid w:val="00155D9E"/>
    <w:rsid w:val="00155FBC"/>
    <w:rsid w:val="00155FDD"/>
    <w:rsid w:val="00155FEC"/>
    <w:rsid w:val="0015605B"/>
    <w:rsid w:val="001561C7"/>
    <w:rsid w:val="00156250"/>
    <w:rsid w:val="00156297"/>
    <w:rsid w:val="001562A2"/>
    <w:rsid w:val="00156459"/>
    <w:rsid w:val="0015649D"/>
    <w:rsid w:val="0015658D"/>
    <w:rsid w:val="001565E5"/>
    <w:rsid w:val="00156749"/>
    <w:rsid w:val="00156799"/>
    <w:rsid w:val="0015681D"/>
    <w:rsid w:val="00156873"/>
    <w:rsid w:val="001568D6"/>
    <w:rsid w:val="00156906"/>
    <w:rsid w:val="0015698C"/>
    <w:rsid w:val="00156B00"/>
    <w:rsid w:val="00156D1B"/>
    <w:rsid w:val="00156D26"/>
    <w:rsid w:val="00156F3E"/>
    <w:rsid w:val="00156F75"/>
    <w:rsid w:val="00157046"/>
    <w:rsid w:val="001570E3"/>
    <w:rsid w:val="001571A7"/>
    <w:rsid w:val="00157218"/>
    <w:rsid w:val="00157418"/>
    <w:rsid w:val="00157436"/>
    <w:rsid w:val="0015748A"/>
    <w:rsid w:val="00157500"/>
    <w:rsid w:val="00157539"/>
    <w:rsid w:val="0015754B"/>
    <w:rsid w:val="001575A2"/>
    <w:rsid w:val="00157751"/>
    <w:rsid w:val="00157755"/>
    <w:rsid w:val="00157793"/>
    <w:rsid w:val="001577D1"/>
    <w:rsid w:val="001578A4"/>
    <w:rsid w:val="00157965"/>
    <w:rsid w:val="00157BF2"/>
    <w:rsid w:val="00157CA5"/>
    <w:rsid w:val="00157CE4"/>
    <w:rsid w:val="00157D21"/>
    <w:rsid w:val="00157E2F"/>
    <w:rsid w:val="00157E3F"/>
    <w:rsid w:val="00157E92"/>
    <w:rsid w:val="00157EB2"/>
    <w:rsid w:val="00157EE5"/>
    <w:rsid w:val="00157F05"/>
    <w:rsid w:val="00157F67"/>
    <w:rsid w:val="00157FF1"/>
    <w:rsid w:val="0016004F"/>
    <w:rsid w:val="00160158"/>
    <w:rsid w:val="001601C2"/>
    <w:rsid w:val="001601ED"/>
    <w:rsid w:val="0016032F"/>
    <w:rsid w:val="00160348"/>
    <w:rsid w:val="001603E8"/>
    <w:rsid w:val="0016041D"/>
    <w:rsid w:val="001604A4"/>
    <w:rsid w:val="0016055A"/>
    <w:rsid w:val="00160661"/>
    <w:rsid w:val="001606C4"/>
    <w:rsid w:val="001606DE"/>
    <w:rsid w:val="001607D0"/>
    <w:rsid w:val="001608B8"/>
    <w:rsid w:val="001608D6"/>
    <w:rsid w:val="00160A51"/>
    <w:rsid w:val="00160A52"/>
    <w:rsid w:val="00160AEA"/>
    <w:rsid w:val="00160BF3"/>
    <w:rsid w:val="00160CCA"/>
    <w:rsid w:val="00160CFB"/>
    <w:rsid w:val="00160D44"/>
    <w:rsid w:val="00160DBB"/>
    <w:rsid w:val="00160E41"/>
    <w:rsid w:val="00160F20"/>
    <w:rsid w:val="00160FDE"/>
    <w:rsid w:val="0016101E"/>
    <w:rsid w:val="00161029"/>
    <w:rsid w:val="0016118E"/>
    <w:rsid w:val="00161237"/>
    <w:rsid w:val="001613E4"/>
    <w:rsid w:val="00161455"/>
    <w:rsid w:val="00161481"/>
    <w:rsid w:val="001615ED"/>
    <w:rsid w:val="001616C1"/>
    <w:rsid w:val="001617DD"/>
    <w:rsid w:val="0016181D"/>
    <w:rsid w:val="00161832"/>
    <w:rsid w:val="00161869"/>
    <w:rsid w:val="00161939"/>
    <w:rsid w:val="0016194E"/>
    <w:rsid w:val="00161991"/>
    <w:rsid w:val="00161AEA"/>
    <w:rsid w:val="00161BF4"/>
    <w:rsid w:val="00161C49"/>
    <w:rsid w:val="00161C69"/>
    <w:rsid w:val="00161C8E"/>
    <w:rsid w:val="00161DC8"/>
    <w:rsid w:val="00161DC9"/>
    <w:rsid w:val="00161EDF"/>
    <w:rsid w:val="00161F05"/>
    <w:rsid w:val="00162189"/>
    <w:rsid w:val="0016218F"/>
    <w:rsid w:val="0016223E"/>
    <w:rsid w:val="001622AE"/>
    <w:rsid w:val="001623A6"/>
    <w:rsid w:val="00162590"/>
    <w:rsid w:val="001625DA"/>
    <w:rsid w:val="001626C0"/>
    <w:rsid w:val="00162774"/>
    <w:rsid w:val="00162775"/>
    <w:rsid w:val="0016287D"/>
    <w:rsid w:val="001629CD"/>
    <w:rsid w:val="001629ED"/>
    <w:rsid w:val="00162A96"/>
    <w:rsid w:val="00162ADF"/>
    <w:rsid w:val="00162BD3"/>
    <w:rsid w:val="00162BD6"/>
    <w:rsid w:val="00162E69"/>
    <w:rsid w:val="00162E86"/>
    <w:rsid w:val="00162EA6"/>
    <w:rsid w:val="00162F2F"/>
    <w:rsid w:val="00162F8C"/>
    <w:rsid w:val="0016301C"/>
    <w:rsid w:val="00163044"/>
    <w:rsid w:val="001630DE"/>
    <w:rsid w:val="00163192"/>
    <w:rsid w:val="00163196"/>
    <w:rsid w:val="0016320C"/>
    <w:rsid w:val="00163258"/>
    <w:rsid w:val="001633DB"/>
    <w:rsid w:val="001634CA"/>
    <w:rsid w:val="001635D0"/>
    <w:rsid w:val="00163751"/>
    <w:rsid w:val="0016385E"/>
    <w:rsid w:val="0016395C"/>
    <w:rsid w:val="00163D01"/>
    <w:rsid w:val="00163D4C"/>
    <w:rsid w:val="00163F29"/>
    <w:rsid w:val="00163FE6"/>
    <w:rsid w:val="0016405F"/>
    <w:rsid w:val="0016406B"/>
    <w:rsid w:val="001640CA"/>
    <w:rsid w:val="001641D0"/>
    <w:rsid w:val="00164307"/>
    <w:rsid w:val="001643A0"/>
    <w:rsid w:val="00164469"/>
    <w:rsid w:val="001644A9"/>
    <w:rsid w:val="00164507"/>
    <w:rsid w:val="0016460D"/>
    <w:rsid w:val="00164756"/>
    <w:rsid w:val="00164772"/>
    <w:rsid w:val="001648D0"/>
    <w:rsid w:val="001649E4"/>
    <w:rsid w:val="001649F7"/>
    <w:rsid w:val="00164AC1"/>
    <w:rsid w:val="00164AF9"/>
    <w:rsid w:val="00164B1C"/>
    <w:rsid w:val="00164BED"/>
    <w:rsid w:val="00164C7A"/>
    <w:rsid w:val="00164D3B"/>
    <w:rsid w:val="00164E8A"/>
    <w:rsid w:val="00164F17"/>
    <w:rsid w:val="001650D2"/>
    <w:rsid w:val="0016513A"/>
    <w:rsid w:val="00165181"/>
    <w:rsid w:val="001652D1"/>
    <w:rsid w:val="00165446"/>
    <w:rsid w:val="00165504"/>
    <w:rsid w:val="001655DD"/>
    <w:rsid w:val="00165702"/>
    <w:rsid w:val="00165822"/>
    <w:rsid w:val="00165878"/>
    <w:rsid w:val="0016590E"/>
    <w:rsid w:val="0016591E"/>
    <w:rsid w:val="00165978"/>
    <w:rsid w:val="00165B5A"/>
    <w:rsid w:val="00165C23"/>
    <w:rsid w:val="00165DE3"/>
    <w:rsid w:val="00165EBB"/>
    <w:rsid w:val="00165F2D"/>
    <w:rsid w:val="00165FA3"/>
    <w:rsid w:val="00166095"/>
    <w:rsid w:val="001660A2"/>
    <w:rsid w:val="001661F3"/>
    <w:rsid w:val="0016653F"/>
    <w:rsid w:val="0016657B"/>
    <w:rsid w:val="001665B3"/>
    <w:rsid w:val="001666BC"/>
    <w:rsid w:val="001668C8"/>
    <w:rsid w:val="00166B44"/>
    <w:rsid w:val="00166D2B"/>
    <w:rsid w:val="00166D34"/>
    <w:rsid w:val="00166E88"/>
    <w:rsid w:val="00166E95"/>
    <w:rsid w:val="00166EA8"/>
    <w:rsid w:val="00166EBD"/>
    <w:rsid w:val="0016702C"/>
    <w:rsid w:val="001671E7"/>
    <w:rsid w:val="0016720A"/>
    <w:rsid w:val="001672B1"/>
    <w:rsid w:val="00167380"/>
    <w:rsid w:val="0016751E"/>
    <w:rsid w:val="00167544"/>
    <w:rsid w:val="00167559"/>
    <w:rsid w:val="0016765D"/>
    <w:rsid w:val="001676DE"/>
    <w:rsid w:val="0016773B"/>
    <w:rsid w:val="00167787"/>
    <w:rsid w:val="001677A5"/>
    <w:rsid w:val="00167917"/>
    <w:rsid w:val="00167936"/>
    <w:rsid w:val="001679DD"/>
    <w:rsid w:val="00167ABE"/>
    <w:rsid w:val="00167B34"/>
    <w:rsid w:val="00167C69"/>
    <w:rsid w:val="00167D4B"/>
    <w:rsid w:val="00167D79"/>
    <w:rsid w:val="00167DDD"/>
    <w:rsid w:val="00167EBD"/>
    <w:rsid w:val="00167FC0"/>
    <w:rsid w:val="0016DFE4"/>
    <w:rsid w:val="00170040"/>
    <w:rsid w:val="001700F3"/>
    <w:rsid w:val="001701CF"/>
    <w:rsid w:val="0017020C"/>
    <w:rsid w:val="00170281"/>
    <w:rsid w:val="001702D4"/>
    <w:rsid w:val="00170342"/>
    <w:rsid w:val="001704B1"/>
    <w:rsid w:val="00170529"/>
    <w:rsid w:val="001707E6"/>
    <w:rsid w:val="00170843"/>
    <w:rsid w:val="00170896"/>
    <w:rsid w:val="00170AA6"/>
    <w:rsid w:val="00170BAF"/>
    <w:rsid w:val="00170BB5"/>
    <w:rsid w:val="00170ECA"/>
    <w:rsid w:val="00170FA0"/>
    <w:rsid w:val="001710A2"/>
    <w:rsid w:val="001710E3"/>
    <w:rsid w:val="0017119C"/>
    <w:rsid w:val="00171242"/>
    <w:rsid w:val="00171263"/>
    <w:rsid w:val="0017143B"/>
    <w:rsid w:val="001714E8"/>
    <w:rsid w:val="00171555"/>
    <w:rsid w:val="001715B8"/>
    <w:rsid w:val="00171809"/>
    <w:rsid w:val="00171830"/>
    <w:rsid w:val="00171863"/>
    <w:rsid w:val="00171975"/>
    <w:rsid w:val="00171A1A"/>
    <w:rsid w:val="00171ABF"/>
    <w:rsid w:val="00171AD6"/>
    <w:rsid w:val="00171AD7"/>
    <w:rsid w:val="00171B85"/>
    <w:rsid w:val="00171C4A"/>
    <w:rsid w:val="00171E13"/>
    <w:rsid w:val="00171EE9"/>
    <w:rsid w:val="00171F51"/>
    <w:rsid w:val="00171FDC"/>
    <w:rsid w:val="0017222B"/>
    <w:rsid w:val="001723A1"/>
    <w:rsid w:val="00172458"/>
    <w:rsid w:val="001725B3"/>
    <w:rsid w:val="001725C3"/>
    <w:rsid w:val="00172607"/>
    <w:rsid w:val="001728A0"/>
    <w:rsid w:val="001729FB"/>
    <w:rsid w:val="00172C2A"/>
    <w:rsid w:val="00172C6A"/>
    <w:rsid w:val="00172CCB"/>
    <w:rsid w:val="00172DA4"/>
    <w:rsid w:val="00172DB1"/>
    <w:rsid w:val="00172DDA"/>
    <w:rsid w:val="00172F06"/>
    <w:rsid w:val="00172F25"/>
    <w:rsid w:val="00172F58"/>
    <w:rsid w:val="0017319A"/>
    <w:rsid w:val="001733A8"/>
    <w:rsid w:val="001733EC"/>
    <w:rsid w:val="00173709"/>
    <w:rsid w:val="00173896"/>
    <w:rsid w:val="001738CC"/>
    <w:rsid w:val="00173970"/>
    <w:rsid w:val="00173B55"/>
    <w:rsid w:val="00173CC9"/>
    <w:rsid w:val="00173D24"/>
    <w:rsid w:val="00173DC1"/>
    <w:rsid w:val="00173EDD"/>
    <w:rsid w:val="00173EF0"/>
    <w:rsid w:val="00173F68"/>
    <w:rsid w:val="0017419C"/>
    <w:rsid w:val="001742A3"/>
    <w:rsid w:val="001744E9"/>
    <w:rsid w:val="00174643"/>
    <w:rsid w:val="00174929"/>
    <w:rsid w:val="0017493C"/>
    <w:rsid w:val="00174A00"/>
    <w:rsid w:val="00174D8D"/>
    <w:rsid w:val="00174EDF"/>
    <w:rsid w:val="0017502E"/>
    <w:rsid w:val="0017524D"/>
    <w:rsid w:val="00175267"/>
    <w:rsid w:val="00175336"/>
    <w:rsid w:val="001753D8"/>
    <w:rsid w:val="0017547F"/>
    <w:rsid w:val="00175754"/>
    <w:rsid w:val="001757CE"/>
    <w:rsid w:val="001758C5"/>
    <w:rsid w:val="001759F1"/>
    <w:rsid w:val="00175A2D"/>
    <w:rsid w:val="00175D25"/>
    <w:rsid w:val="00175D79"/>
    <w:rsid w:val="00175D9B"/>
    <w:rsid w:val="00175DBC"/>
    <w:rsid w:val="00175E31"/>
    <w:rsid w:val="00175E8F"/>
    <w:rsid w:val="00175ED2"/>
    <w:rsid w:val="00175F37"/>
    <w:rsid w:val="00175FB6"/>
    <w:rsid w:val="0017615D"/>
    <w:rsid w:val="001761FA"/>
    <w:rsid w:val="0017624C"/>
    <w:rsid w:val="00176293"/>
    <w:rsid w:val="001762D7"/>
    <w:rsid w:val="00176401"/>
    <w:rsid w:val="00176694"/>
    <w:rsid w:val="0017679D"/>
    <w:rsid w:val="001767E4"/>
    <w:rsid w:val="00176800"/>
    <w:rsid w:val="00176821"/>
    <w:rsid w:val="0017694B"/>
    <w:rsid w:val="00176A3A"/>
    <w:rsid w:val="00176A68"/>
    <w:rsid w:val="00176ACC"/>
    <w:rsid w:val="00176B05"/>
    <w:rsid w:val="00176B80"/>
    <w:rsid w:val="00176C49"/>
    <w:rsid w:val="00176C6C"/>
    <w:rsid w:val="00176E02"/>
    <w:rsid w:val="00176E4A"/>
    <w:rsid w:val="00176E6A"/>
    <w:rsid w:val="00176F04"/>
    <w:rsid w:val="00176F6E"/>
    <w:rsid w:val="00177058"/>
    <w:rsid w:val="001770BE"/>
    <w:rsid w:val="0017715F"/>
    <w:rsid w:val="001771B8"/>
    <w:rsid w:val="001771E9"/>
    <w:rsid w:val="0017739D"/>
    <w:rsid w:val="00177561"/>
    <w:rsid w:val="0017756E"/>
    <w:rsid w:val="001775D6"/>
    <w:rsid w:val="001775EC"/>
    <w:rsid w:val="00177618"/>
    <w:rsid w:val="00177679"/>
    <w:rsid w:val="0017783C"/>
    <w:rsid w:val="00177840"/>
    <w:rsid w:val="001778A8"/>
    <w:rsid w:val="00177A11"/>
    <w:rsid w:val="00177AF5"/>
    <w:rsid w:val="00177B76"/>
    <w:rsid w:val="00177C72"/>
    <w:rsid w:val="00177CDC"/>
    <w:rsid w:val="00177DED"/>
    <w:rsid w:val="00180153"/>
    <w:rsid w:val="0018017F"/>
    <w:rsid w:val="0018034B"/>
    <w:rsid w:val="00180433"/>
    <w:rsid w:val="00180563"/>
    <w:rsid w:val="00180588"/>
    <w:rsid w:val="001805C2"/>
    <w:rsid w:val="001805C5"/>
    <w:rsid w:val="00180655"/>
    <w:rsid w:val="001807ED"/>
    <w:rsid w:val="00180833"/>
    <w:rsid w:val="001808C6"/>
    <w:rsid w:val="001809CB"/>
    <w:rsid w:val="00180AA7"/>
    <w:rsid w:val="00180BC8"/>
    <w:rsid w:val="00180C57"/>
    <w:rsid w:val="00180CC7"/>
    <w:rsid w:val="00180EAB"/>
    <w:rsid w:val="0018103D"/>
    <w:rsid w:val="0018118B"/>
    <w:rsid w:val="00181190"/>
    <w:rsid w:val="0018121E"/>
    <w:rsid w:val="00181319"/>
    <w:rsid w:val="00181348"/>
    <w:rsid w:val="0018135C"/>
    <w:rsid w:val="001813D3"/>
    <w:rsid w:val="00181642"/>
    <w:rsid w:val="001816A3"/>
    <w:rsid w:val="001816DC"/>
    <w:rsid w:val="001816DF"/>
    <w:rsid w:val="00181781"/>
    <w:rsid w:val="001817CD"/>
    <w:rsid w:val="001817E5"/>
    <w:rsid w:val="001818A3"/>
    <w:rsid w:val="00181A69"/>
    <w:rsid w:val="00181AD8"/>
    <w:rsid w:val="00181B2B"/>
    <w:rsid w:val="00181B72"/>
    <w:rsid w:val="00181D4A"/>
    <w:rsid w:val="00181E86"/>
    <w:rsid w:val="00181EFC"/>
    <w:rsid w:val="00181F56"/>
    <w:rsid w:val="00181FD9"/>
    <w:rsid w:val="00181FE4"/>
    <w:rsid w:val="0018207B"/>
    <w:rsid w:val="001820D8"/>
    <w:rsid w:val="00182132"/>
    <w:rsid w:val="00182147"/>
    <w:rsid w:val="00182345"/>
    <w:rsid w:val="0018241A"/>
    <w:rsid w:val="001824B0"/>
    <w:rsid w:val="001824DE"/>
    <w:rsid w:val="001824F0"/>
    <w:rsid w:val="001828FA"/>
    <w:rsid w:val="00182A66"/>
    <w:rsid w:val="00182AD3"/>
    <w:rsid w:val="00182BCA"/>
    <w:rsid w:val="001830C4"/>
    <w:rsid w:val="001832D8"/>
    <w:rsid w:val="0018344A"/>
    <w:rsid w:val="0018359F"/>
    <w:rsid w:val="001835AA"/>
    <w:rsid w:val="0018383B"/>
    <w:rsid w:val="00183949"/>
    <w:rsid w:val="00183A4A"/>
    <w:rsid w:val="00183C11"/>
    <w:rsid w:val="00183CB3"/>
    <w:rsid w:val="00183D60"/>
    <w:rsid w:val="00183E3E"/>
    <w:rsid w:val="00183EA2"/>
    <w:rsid w:val="00183F41"/>
    <w:rsid w:val="001841E5"/>
    <w:rsid w:val="00184252"/>
    <w:rsid w:val="00184348"/>
    <w:rsid w:val="00184528"/>
    <w:rsid w:val="0018452D"/>
    <w:rsid w:val="00184540"/>
    <w:rsid w:val="00184689"/>
    <w:rsid w:val="001846E8"/>
    <w:rsid w:val="001847A1"/>
    <w:rsid w:val="001847F4"/>
    <w:rsid w:val="0018482F"/>
    <w:rsid w:val="00184970"/>
    <w:rsid w:val="00184AE8"/>
    <w:rsid w:val="00184B26"/>
    <w:rsid w:val="00184B3F"/>
    <w:rsid w:val="00184B65"/>
    <w:rsid w:val="00184BC8"/>
    <w:rsid w:val="00184C39"/>
    <w:rsid w:val="00184CE8"/>
    <w:rsid w:val="00184D0A"/>
    <w:rsid w:val="00184DC2"/>
    <w:rsid w:val="00184E6C"/>
    <w:rsid w:val="00184EBF"/>
    <w:rsid w:val="00184ED1"/>
    <w:rsid w:val="00184F04"/>
    <w:rsid w:val="00184F81"/>
    <w:rsid w:val="00184F8E"/>
    <w:rsid w:val="0018506F"/>
    <w:rsid w:val="00185286"/>
    <w:rsid w:val="00185314"/>
    <w:rsid w:val="001853A0"/>
    <w:rsid w:val="001854C8"/>
    <w:rsid w:val="001854DD"/>
    <w:rsid w:val="001855C3"/>
    <w:rsid w:val="00185630"/>
    <w:rsid w:val="001856B0"/>
    <w:rsid w:val="00185A82"/>
    <w:rsid w:val="00185AAD"/>
    <w:rsid w:val="00185B0B"/>
    <w:rsid w:val="00185B4F"/>
    <w:rsid w:val="00185B52"/>
    <w:rsid w:val="00185B6A"/>
    <w:rsid w:val="00185C8E"/>
    <w:rsid w:val="00185D94"/>
    <w:rsid w:val="00185E03"/>
    <w:rsid w:val="00185E45"/>
    <w:rsid w:val="00185EAF"/>
    <w:rsid w:val="00185EB2"/>
    <w:rsid w:val="00185F37"/>
    <w:rsid w:val="00185FFB"/>
    <w:rsid w:val="0018600E"/>
    <w:rsid w:val="00186053"/>
    <w:rsid w:val="001860D9"/>
    <w:rsid w:val="0018617D"/>
    <w:rsid w:val="001861B0"/>
    <w:rsid w:val="0018625B"/>
    <w:rsid w:val="001862F8"/>
    <w:rsid w:val="00186459"/>
    <w:rsid w:val="001865C8"/>
    <w:rsid w:val="001865D4"/>
    <w:rsid w:val="00186629"/>
    <w:rsid w:val="0018663A"/>
    <w:rsid w:val="0018668B"/>
    <w:rsid w:val="00186699"/>
    <w:rsid w:val="001866CA"/>
    <w:rsid w:val="0018672E"/>
    <w:rsid w:val="00186791"/>
    <w:rsid w:val="001867DA"/>
    <w:rsid w:val="00186831"/>
    <w:rsid w:val="00186A6E"/>
    <w:rsid w:val="00186A9E"/>
    <w:rsid w:val="00186C11"/>
    <w:rsid w:val="00186CBD"/>
    <w:rsid w:val="00186D67"/>
    <w:rsid w:val="00187059"/>
    <w:rsid w:val="00187196"/>
    <w:rsid w:val="001871BA"/>
    <w:rsid w:val="00187291"/>
    <w:rsid w:val="001872D6"/>
    <w:rsid w:val="001874C7"/>
    <w:rsid w:val="001875CD"/>
    <w:rsid w:val="0018779C"/>
    <w:rsid w:val="00187880"/>
    <w:rsid w:val="001878F2"/>
    <w:rsid w:val="00187A92"/>
    <w:rsid w:val="00187AE9"/>
    <w:rsid w:val="00187C69"/>
    <w:rsid w:val="00187DA8"/>
    <w:rsid w:val="00187E02"/>
    <w:rsid w:val="00187E1E"/>
    <w:rsid w:val="00187E93"/>
    <w:rsid w:val="00187F53"/>
    <w:rsid w:val="00187FD4"/>
    <w:rsid w:val="00190025"/>
    <w:rsid w:val="001900C7"/>
    <w:rsid w:val="00190110"/>
    <w:rsid w:val="0019021A"/>
    <w:rsid w:val="00190348"/>
    <w:rsid w:val="001903CC"/>
    <w:rsid w:val="00190435"/>
    <w:rsid w:val="001905FE"/>
    <w:rsid w:val="00190626"/>
    <w:rsid w:val="0019073E"/>
    <w:rsid w:val="00190818"/>
    <w:rsid w:val="0019092D"/>
    <w:rsid w:val="001909EB"/>
    <w:rsid w:val="00190CAA"/>
    <w:rsid w:val="00190CFE"/>
    <w:rsid w:val="00190D8B"/>
    <w:rsid w:val="00190E72"/>
    <w:rsid w:val="00190EA7"/>
    <w:rsid w:val="00190FB4"/>
    <w:rsid w:val="001910A9"/>
    <w:rsid w:val="001910BF"/>
    <w:rsid w:val="001910D5"/>
    <w:rsid w:val="00191101"/>
    <w:rsid w:val="001911E2"/>
    <w:rsid w:val="001911FD"/>
    <w:rsid w:val="00191221"/>
    <w:rsid w:val="001912AE"/>
    <w:rsid w:val="001912CE"/>
    <w:rsid w:val="0019130E"/>
    <w:rsid w:val="00191344"/>
    <w:rsid w:val="001913DB"/>
    <w:rsid w:val="00191498"/>
    <w:rsid w:val="0019157A"/>
    <w:rsid w:val="0019162D"/>
    <w:rsid w:val="0019163A"/>
    <w:rsid w:val="00191641"/>
    <w:rsid w:val="00191759"/>
    <w:rsid w:val="00191962"/>
    <w:rsid w:val="00191BD8"/>
    <w:rsid w:val="00191BF0"/>
    <w:rsid w:val="00191BF8"/>
    <w:rsid w:val="00191C06"/>
    <w:rsid w:val="00191C4A"/>
    <w:rsid w:val="00191CEB"/>
    <w:rsid w:val="00191DE0"/>
    <w:rsid w:val="00191E67"/>
    <w:rsid w:val="00191EF6"/>
    <w:rsid w:val="00191FDE"/>
    <w:rsid w:val="0019201B"/>
    <w:rsid w:val="001921FC"/>
    <w:rsid w:val="001923BA"/>
    <w:rsid w:val="00192591"/>
    <w:rsid w:val="00192749"/>
    <w:rsid w:val="0019276E"/>
    <w:rsid w:val="001928B8"/>
    <w:rsid w:val="00192AF2"/>
    <w:rsid w:val="00192AF8"/>
    <w:rsid w:val="00192B0E"/>
    <w:rsid w:val="00192B27"/>
    <w:rsid w:val="00192BEF"/>
    <w:rsid w:val="00192BF1"/>
    <w:rsid w:val="00192EA7"/>
    <w:rsid w:val="00192EF2"/>
    <w:rsid w:val="00192F18"/>
    <w:rsid w:val="00192F81"/>
    <w:rsid w:val="0019307F"/>
    <w:rsid w:val="001930C6"/>
    <w:rsid w:val="001930DB"/>
    <w:rsid w:val="001931F6"/>
    <w:rsid w:val="001932A1"/>
    <w:rsid w:val="001933D3"/>
    <w:rsid w:val="00193406"/>
    <w:rsid w:val="0019355C"/>
    <w:rsid w:val="00193584"/>
    <w:rsid w:val="00193611"/>
    <w:rsid w:val="001936A4"/>
    <w:rsid w:val="001936BF"/>
    <w:rsid w:val="001938EE"/>
    <w:rsid w:val="0019399A"/>
    <w:rsid w:val="00193B05"/>
    <w:rsid w:val="00193BC1"/>
    <w:rsid w:val="00193C6C"/>
    <w:rsid w:val="00193EF2"/>
    <w:rsid w:val="001940F8"/>
    <w:rsid w:val="00194253"/>
    <w:rsid w:val="00194284"/>
    <w:rsid w:val="00194345"/>
    <w:rsid w:val="00194395"/>
    <w:rsid w:val="00194417"/>
    <w:rsid w:val="00194520"/>
    <w:rsid w:val="001945A4"/>
    <w:rsid w:val="001945AA"/>
    <w:rsid w:val="00194780"/>
    <w:rsid w:val="001948B6"/>
    <w:rsid w:val="001948FF"/>
    <w:rsid w:val="00194ADD"/>
    <w:rsid w:val="00194B98"/>
    <w:rsid w:val="00194BF3"/>
    <w:rsid w:val="00194D2D"/>
    <w:rsid w:val="00194F6D"/>
    <w:rsid w:val="00194FE5"/>
    <w:rsid w:val="00195018"/>
    <w:rsid w:val="00195042"/>
    <w:rsid w:val="00195058"/>
    <w:rsid w:val="00195108"/>
    <w:rsid w:val="0019526D"/>
    <w:rsid w:val="00195291"/>
    <w:rsid w:val="001953A2"/>
    <w:rsid w:val="00195453"/>
    <w:rsid w:val="0019560D"/>
    <w:rsid w:val="0019579C"/>
    <w:rsid w:val="001957AE"/>
    <w:rsid w:val="001957D1"/>
    <w:rsid w:val="00195815"/>
    <w:rsid w:val="001959C3"/>
    <w:rsid w:val="00195A38"/>
    <w:rsid w:val="00195AB4"/>
    <w:rsid w:val="00195AF2"/>
    <w:rsid w:val="00195B77"/>
    <w:rsid w:val="00195BBD"/>
    <w:rsid w:val="00195C26"/>
    <w:rsid w:val="00195C5A"/>
    <w:rsid w:val="00195CF8"/>
    <w:rsid w:val="00195DAE"/>
    <w:rsid w:val="00195DEF"/>
    <w:rsid w:val="00195E4E"/>
    <w:rsid w:val="00195EBB"/>
    <w:rsid w:val="00195F6B"/>
    <w:rsid w:val="00196172"/>
    <w:rsid w:val="001962D3"/>
    <w:rsid w:val="00196334"/>
    <w:rsid w:val="00196440"/>
    <w:rsid w:val="001964A7"/>
    <w:rsid w:val="00196763"/>
    <w:rsid w:val="00196782"/>
    <w:rsid w:val="001967CD"/>
    <w:rsid w:val="00196805"/>
    <w:rsid w:val="0019688A"/>
    <w:rsid w:val="001968E1"/>
    <w:rsid w:val="00196B18"/>
    <w:rsid w:val="00196BFE"/>
    <w:rsid w:val="00196CBC"/>
    <w:rsid w:val="00196CE9"/>
    <w:rsid w:val="00196CFD"/>
    <w:rsid w:val="00196E1A"/>
    <w:rsid w:val="00196E7B"/>
    <w:rsid w:val="00196E8A"/>
    <w:rsid w:val="00196F19"/>
    <w:rsid w:val="00196F24"/>
    <w:rsid w:val="0019703F"/>
    <w:rsid w:val="001970C2"/>
    <w:rsid w:val="00197188"/>
    <w:rsid w:val="00197214"/>
    <w:rsid w:val="00197247"/>
    <w:rsid w:val="00197301"/>
    <w:rsid w:val="00197334"/>
    <w:rsid w:val="00197442"/>
    <w:rsid w:val="00197690"/>
    <w:rsid w:val="0019770B"/>
    <w:rsid w:val="00197752"/>
    <w:rsid w:val="001977B1"/>
    <w:rsid w:val="001977F3"/>
    <w:rsid w:val="001978DC"/>
    <w:rsid w:val="00197A82"/>
    <w:rsid w:val="00197B34"/>
    <w:rsid w:val="00197B3A"/>
    <w:rsid w:val="00197BA4"/>
    <w:rsid w:val="00197BC3"/>
    <w:rsid w:val="00197CD7"/>
    <w:rsid w:val="00197DF3"/>
    <w:rsid w:val="00197FC3"/>
    <w:rsid w:val="00197FD5"/>
    <w:rsid w:val="001A009A"/>
    <w:rsid w:val="001A0265"/>
    <w:rsid w:val="001A02E6"/>
    <w:rsid w:val="001A03E0"/>
    <w:rsid w:val="001A0454"/>
    <w:rsid w:val="001A04E6"/>
    <w:rsid w:val="001A058A"/>
    <w:rsid w:val="001A062C"/>
    <w:rsid w:val="001A0A10"/>
    <w:rsid w:val="001A0AE4"/>
    <w:rsid w:val="001A0C5E"/>
    <w:rsid w:val="001A0C8B"/>
    <w:rsid w:val="001A0D94"/>
    <w:rsid w:val="001A0EA4"/>
    <w:rsid w:val="001A0F92"/>
    <w:rsid w:val="001A1001"/>
    <w:rsid w:val="001A1175"/>
    <w:rsid w:val="001A120E"/>
    <w:rsid w:val="001A1228"/>
    <w:rsid w:val="001A1395"/>
    <w:rsid w:val="001A144C"/>
    <w:rsid w:val="001A14BB"/>
    <w:rsid w:val="001A1587"/>
    <w:rsid w:val="001A15EF"/>
    <w:rsid w:val="001A1796"/>
    <w:rsid w:val="001A17A1"/>
    <w:rsid w:val="001A17B9"/>
    <w:rsid w:val="001A1836"/>
    <w:rsid w:val="001A18D9"/>
    <w:rsid w:val="001A1939"/>
    <w:rsid w:val="001A199C"/>
    <w:rsid w:val="001A19DF"/>
    <w:rsid w:val="001A1C23"/>
    <w:rsid w:val="001A1C2D"/>
    <w:rsid w:val="001A1CA0"/>
    <w:rsid w:val="001A1D5E"/>
    <w:rsid w:val="001A1D93"/>
    <w:rsid w:val="001A1ED1"/>
    <w:rsid w:val="001A2042"/>
    <w:rsid w:val="001A2082"/>
    <w:rsid w:val="001A214C"/>
    <w:rsid w:val="001A22AE"/>
    <w:rsid w:val="001A23D4"/>
    <w:rsid w:val="001A25FE"/>
    <w:rsid w:val="001A266B"/>
    <w:rsid w:val="001A266D"/>
    <w:rsid w:val="001A26B5"/>
    <w:rsid w:val="001A26E2"/>
    <w:rsid w:val="001A27BE"/>
    <w:rsid w:val="001A27E7"/>
    <w:rsid w:val="001A28EB"/>
    <w:rsid w:val="001A298A"/>
    <w:rsid w:val="001A29B2"/>
    <w:rsid w:val="001A2A28"/>
    <w:rsid w:val="001A2B1B"/>
    <w:rsid w:val="001A2B79"/>
    <w:rsid w:val="001A2C1B"/>
    <w:rsid w:val="001A2C6C"/>
    <w:rsid w:val="001A2CBA"/>
    <w:rsid w:val="001A2D53"/>
    <w:rsid w:val="001A2E04"/>
    <w:rsid w:val="001A2E79"/>
    <w:rsid w:val="001A2EED"/>
    <w:rsid w:val="001A2F2E"/>
    <w:rsid w:val="001A2F9E"/>
    <w:rsid w:val="001A2FFD"/>
    <w:rsid w:val="001A3002"/>
    <w:rsid w:val="001A3003"/>
    <w:rsid w:val="001A3045"/>
    <w:rsid w:val="001A3074"/>
    <w:rsid w:val="001A3292"/>
    <w:rsid w:val="001A32D6"/>
    <w:rsid w:val="001A331F"/>
    <w:rsid w:val="001A3481"/>
    <w:rsid w:val="001A3493"/>
    <w:rsid w:val="001A35DF"/>
    <w:rsid w:val="001A365F"/>
    <w:rsid w:val="001A3682"/>
    <w:rsid w:val="001A36B6"/>
    <w:rsid w:val="001A36C6"/>
    <w:rsid w:val="001A36F1"/>
    <w:rsid w:val="001A375E"/>
    <w:rsid w:val="001A3899"/>
    <w:rsid w:val="001A3993"/>
    <w:rsid w:val="001A3A37"/>
    <w:rsid w:val="001A3A50"/>
    <w:rsid w:val="001A3AA8"/>
    <w:rsid w:val="001A3B1C"/>
    <w:rsid w:val="001A3B36"/>
    <w:rsid w:val="001A3B9D"/>
    <w:rsid w:val="001A3C81"/>
    <w:rsid w:val="001A3CDC"/>
    <w:rsid w:val="001A3DA9"/>
    <w:rsid w:val="001A3E4B"/>
    <w:rsid w:val="001A3E4C"/>
    <w:rsid w:val="001A3F1B"/>
    <w:rsid w:val="001A3FE1"/>
    <w:rsid w:val="001A404A"/>
    <w:rsid w:val="001A42DF"/>
    <w:rsid w:val="001A431E"/>
    <w:rsid w:val="001A43F5"/>
    <w:rsid w:val="001A440A"/>
    <w:rsid w:val="001A4466"/>
    <w:rsid w:val="001A4550"/>
    <w:rsid w:val="001A4648"/>
    <w:rsid w:val="001A465A"/>
    <w:rsid w:val="001A4855"/>
    <w:rsid w:val="001A489A"/>
    <w:rsid w:val="001A4950"/>
    <w:rsid w:val="001A4989"/>
    <w:rsid w:val="001A49A6"/>
    <w:rsid w:val="001A49C0"/>
    <w:rsid w:val="001A4B79"/>
    <w:rsid w:val="001A4BDB"/>
    <w:rsid w:val="001A4C03"/>
    <w:rsid w:val="001A4DB6"/>
    <w:rsid w:val="001A4DCA"/>
    <w:rsid w:val="001A4E28"/>
    <w:rsid w:val="001A4E46"/>
    <w:rsid w:val="001A4EE0"/>
    <w:rsid w:val="001A4EF4"/>
    <w:rsid w:val="001A4F0A"/>
    <w:rsid w:val="001A4F35"/>
    <w:rsid w:val="001A4F47"/>
    <w:rsid w:val="001A5098"/>
    <w:rsid w:val="001A50C6"/>
    <w:rsid w:val="001A5172"/>
    <w:rsid w:val="001A517D"/>
    <w:rsid w:val="001A524F"/>
    <w:rsid w:val="001A526C"/>
    <w:rsid w:val="001A52E4"/>
    <w:rsid w:val="001A531C"/>
    <w:rsid w:val="001A5328"/>
    <w:rsid w:val="001A53F0"/>
    <w:rsid w:val="001A54C2"/>
    <w:rsid w:val="001A5531"/>
    <w:rsid w:val="001A5551"/>
    <w:rsid w:val="001A5552"/>
    <w:rsid w:val="001A5602"/>
    <w:rsid w:val="001A562F"/>
    <w:rsid w:val="001A565D"/>
    <w:rsid w:val="001A56AB"/>
    <w:rsid w:val="001A5744"/>
    <w:rsid w:val="001A578D"/>
    <w:rsid w:val="001A582F"/>
    <w:rsid w:val="001A597D"/>
    <w:rsid w:val="001A59BF"/>
    <w:rsid w:val="001A59E8"/>
    <w:rsid w:val="001A5B30"/>
    <w:rsid w:val="001A5B5F"/>
    <w:rsid w:val="001A5BCF"/>
    <w:rsid w:val="001A5C6A"/>
    <w:rsid w:val="001A5C6D"/>
    <w:rsid w:val="001A5C80"/>
    <w:rsid w:val="001A5CA4"/>
    <w:rsid w:val="001A5CB4"/>
    <w:rsid w:val="001A5D0F"/>
    <w:rsid w:val="001A5D95"/>
    <w:rsid w:val="001A5F58"/>
    <w:rsid w:val="001A61F0"/>
    <w:rsid w:val="001A6204"/>
    <w:rsid w:val="001A62FE"/>
    <w:rsid w:val="001A632B"/>
    <w:rsid w:val="001A6564"/>
    <w:rsid w:val="001A65A2"/>
    <w:rsid w:val="001A65E1"/>
    <w:rsid w:val="001A663D"/>
    <w:rsid w:val="001A678F"/>
    <w:rsid w:val="001A6819"/>
    <w:rsid w:val="001A6A56"/>
    <w:rsid w:val="001A6A5E"/>
    <w:rsid w:val="001A6B09"/>
    <w:rsid w:val="001A6C27"/>
    <w:rsid w:val="001A6CCA"/>
    <w:rsid w:val="001A6E34"/>
    <w:rsid w:val="001A6E6E"/>
    <w:rsid w:val="001A6E82"/>
    <w:rsid w:val="001A6EBB"/>
    <w:rsid w:val="001A6EC4"/>
    <w:rsid w:val="001A6EFA"/>
    <w:rsid w:val="001A7093"/>
    <w:rsid w:val="001A71C0"/>
    <w:rsid w:val="001A721E"/>
    <w:rsid w:val="001A72F7"/>
    <w:rsid w:val="001A7344"/>
    <w:rsid w:val="001A7361"/>
    <w:rsid w:val="001A7443"/>
    <w:rsid w:val="001A7509"/>
    <w:rsid w:val="001A75CF"/>
    <w:rsid w:val="001A7605"/>
    <w:rsid w:val="001A7612"/>
    <w:rsid w:val="001A7676"/>
    <w:rsid w:val="001A781C"/>
    <w:rsid w:val="001A7A32"/>
    <w:rsid w:val="001A7ABE"/>
    <w:rsid w:val="001A7AD4"/>
    <w:rsid w:val="001A7B0C"/>
    <w:rsid w:val="001A7BD7"/>
    <w:rsid w:val="001A7C70"/>
    <w:rsid w:val="001A7CCF"/>
    <w:rsid w:val="001A7DD3"/>
    <w:rsid w:val="001B00EA"/>
    <w:rsid w:val="001B00F4"/>
    <w:rsid w:val="001B01A6"/>
    <w:rsid w:val="001B01CE"/>
    <w:rsid w:val="001B0384"/>
    <w:rsid w:val="001B03D4"/>
    <w:rsid w:val="001B0559"/>
    <w:rsid w:val="001B0569"/>
    <w:rsid w:val="001B05E6"/>
    <w:rsid w:val="001B0626"/>
    <w:rsid w:val="001B0682"/>
    <w:rsid w:val="001B06BD"/>
    <w:rsid w:val="001B06D9"/>
    <w:rsid w:val="001B0750"/>
    <w:rsid w:val="001B0767"/>
    <w:rsid w:val="001B07E5"/>
    <w:rsid w:val="001B0858"/>
    <w:rsid w:val="001B088A"/>
    <w:rsid w:val="001B08B0"/>
    <w:rsid w:val="001B09A7"/>
    <w:rsid w:val="001B0A48"/>
    <w:rsid w:val="001B0A76"/>
    <w:rsid w:val="001B0AE0"/>
    <w:rsid w:val="001B0B96"/>
    <w:rsid w:val="001B0C94"/>
    <w:rsid w:val="001B0EB6"/>
    <w:rsid w:val="001B0F31"/>
    <w:rsid w:val="001B0F95"/>
    <w:rsid w:val="001B10F0"/>
    <w:rsid w:val="001B10F2"/>
    <w:rsid w:val="001B11A4"/>
    <w:rsid w:val="001B1314"/>
    <w:rsid w:val="001B1641"/>
    <w:rsid w:val="001B16FA"/>
    <w:rsid w:val="001B1897"/>
    <w:rsid w:val="001B1A3A"/>
    <w:rsid w:val="001B1A69"/>
    <w:rsid w:val="001B1ADB"/>
    <w:rsid w:val="001B1BD5"/>
    <w:rsid w:val="001B1C27"/>
    <w:rsid w:val="001B1D06"/>
    <w:rsid w:val="001B1D58"/>
    <w:rsid w:val="001B1EDF"/>
    <w:rsid w:val="001B1F38"/>
    <w:rsid w:val="001B202A"/>
    <w:rsid w:val="001B2054"/>
    <w:rsid w:val="001B21A3"/>
    <w:rsid w:val="001B21EF"/>
    <w:rsid w:val="001B21FD"/>
    <w:rsid w:val="001B2281"/>
    <w:rsid w:val="001B22A4"/>
    <w:rsid w:val="001B22B5"/>
    <w:rsid w:val="001B23AE"/>
    <w:rsid w:val="001B241C"/>
    <w:rsid w:val="001B24D8"/>
    <w:rsid w:val="001B250D"/>
    <w:rsid w:val="001B25FD"/>
    <w:rsid w:val="001B2691"/>
    <w:rsid w:val="001B26AF"/>
    <w:rsid w:val="001B26B6"/>
    <w:rsid w:val="001B2747"/>
    <w:rsid w:val="001B27DC"/>
    <w:rsid w:val="001B2810"/>
    <w:rsid w:val="001B295F"/>
    <w:rsid w:val="001B2A1F"/>
    <w:rsid w:val="001B2B2C"/>
    <w:rsid w:val="001B2B73"/>
    <w:rsid w:val="001B2BCD"/>
    <w:rsid w:val="001B2CC8"/>
    <w:rsid w:val="001B2E55"/>
    <w:rsid w:val="001B2F8D"/>
    <w:rsid w:val="001B3173"/>
    <w:rsid w:val="001B3267"/>
    <w:rsid w:val="001B328D"/>
    <w:rsid w:val="001B33D9"/>
    <w:rsid w:val="001B33EE"/>
    <w:rsid w:val="001B3402"/>
    <w:rsid w:val="001B342D"/>
    <w:rsid w:val="001B347A"/>
    <w:rsid w:val="001B34E3"/>
    <w:rsid w:val="001B356F"/>
    <w:rsid w:val="001B365D"/>
    <w:rsid w:val="001B3698"/>
    <w:rsid w:val="001B36AF"/>
    <w:rsid w:val="001B399A"/>
    <w:rsid w:val="001B3D05"/>
    <w:rsid w:val="001B3E20"/>
    <w:rsid w:val="001B3E2E"/>
    <w:rsid w:val="001B3EE7"/>
    <w:rsid w:val="001B3EE9"/>
    <w:rsid w:val="001B3F37"/>
    <w:rsid w:val="001B4099"/>
    <w:rsid w:val="001B424D"/>
    <w:rsid w:val="001B4293"/>
    <w:rsid w:val="001B4295"/>
    <w:rsid w:val="001B4371"/>
    <w:rsid w:val="001B4541"/>
    <w:rsid w:val="001B4594"/>
    <w:rsid w:val="001B4605"/>
    <w:rsid w:val="001B47AC"/>
    <w:rsid w:val="001B4835"/>
    <w:rsid w:val="001B484A"/>
    <w:rsid w:val="001B487E"/>
    <w:rsid w:val="001B48A3"/>
    <w:rsid w:val="001B48A9"/>
    <w:rsid w:val="001B4922"/>
    <w:rsid w:val="001B4939"/>
    <w:rsid w:val="001B4A30"/>
    <w:rsid w:val="001B4A94"/>
    <w:rsid w:val="001B4AD7"/>
    <w:rsid w:val="001B4CD9"/>
    <w:rsid w:val="001B4D07"/>
    <w:rsid w:val="001B4DBA"/>
    <w:rsid w:val="001B4E38"/>
    <w:rsid w:val="001B4EC4"/>
    <w:rsid w:val="001B4ECB"/>
    <w:rsid w:val="001B50B9"/>
    <w:rsid w:val="001B51EB"/>
    <w:rsid w:val="001B53D3"/>
    <w:rsid w:val="001B54DB"/>
    <w:rsid w:val="001B5590"/>
    <w:rsid w:val="001B55AB"/>
    <w:rsid w:val="001B56BA"/>
    <w:rsid w:val="001B572C"/>
    <w:rsid w:val="001B5886"/>
    <w:rsid w:val="001B58A7"/>
    <w:rsid w:val="001B5A6D"/>
    <w:rsid w:val="001B5A78"/>
    <w:rsid w:val="001B5A8A"/>
    <w:rsid w:val="001B5AC4"/>
    <w:rsid w:val="001B5B6C"/>
    <w:rsid w:val="001B5BA9"/>
    <w:rsid w:val="001B5D25"/>
    <w:rsid w:val="001B5D5A"/>
    <w:rsid w:val="001B5DAC"/>
    <w:rsid w:val="001B5DFF"/>
    <w:rsid w:val="001B5E0D"/>
    <w:rsid w:val="001B5F63"/>
    <w:rsid w:val="001B6211"/>
    <w:rsid w:val="001B6533"/>
    <w:rsid w:val="001B65B1"/>
    <w:rsid w:val="001B67B5"/>
    <w:rsid w:val="001B68E8"/>
    <w:rsid w:val="001B6947"/>
    <w:rsid w:val="001B694D"/>
    <w:rsid w:val="001B69CD"/>
    <w:rsid w:val="001B6A40"/>
    <w:rsid w:val="001B6A74"/>
    <w:rsid w:val="001B6ABD"/>
    <w:rsid w:val="001B6AF9"/>
    <w:rsid w:val="001B6B11"/>
    <w:rsid w:val="001B6B2F"/>
    <w:rsid w:val="001B6BDF"/>
    <w:rsid w:val="001B6CA5"/>
    <w:rsid w:val="001B6CB1"/>
    <w:rsid w:val="001B6D5E"/>
    <w:rsid w:val="001B6DDB"/>
    <w:rsid w:val="001B6E31"/>
    <w:rsid w:val="001B6ECF"/>
    <w:rsid w:val="001B6F82"/>
    <w:rsid w:val="001B6FF7"/>
    <w:rsid w:val="001B70D4"/>
    <w:rsid w:val="001B7148"/>
    <w:rsid w:val="001B71C0"/>
    <w:rsid w:val="001B7226"/>
    <w:rsid w:val="001B725E"/>
    <w:rsid w:val="001B7374"/>
    <w:rsid w:val="001B73B4"/>
    <w:rsid w:val="001B75AF"/>
    <w:rsid w:val="001B75DC"/>
    <w:rsid w:val="001B77C3"/>
    <w:rsid w:val="001B77FF"/>
    <w:rsid w:val="001B78CC"/>
    <w:rsid w:val="001B78ED"/>
    <w:rsid w:val="001B7930"/>
    <w:rsid w:val="001B796B"/>
    <w:rsid w:val="001B79D6"/>
    <w:rsid w:val="001B7B3A"/>
    <w:rsid w:val="001B7B71"/>
    <w:rsid w:val="001B7C59"/>
    <w:rsid w:val="001B7E61"/>
    <w:rsid w:val="001B7EEA"/>
    <w:rsid w:val="001B7FBD"/>
    <w:rsid w:val="001B7FCF"/>
    <w:rsid w:val="001C01A5"/>
    <w:rsid w:val="001C026F"/>
    <w:rsid w:val="001C02B2"/>
    <w:rsid w:val="001C056A"/>
    <w:rsid w:val="001C064A"/>
    <w:rsid w:val="001C0685"/>
    <w:rsid w:val="001C077F"/>
    <w:rsid w:val="001C083D"/>
    <w:rsid w:val="001C08C2"/>
    <w:rsid w:val="001C08E4"/>
    <w:rsid w:val="001C0931"/>
    <w:rsid w:val="001C09C0"/>
    <w:rsid w:val="001C0A01"/>
    <w:rsid w:val="001C0C1A"/>
    <w:rsid w:val="001C0D47"/>
    <w:rsid w:val="001C0DAE"/>
    <w:rsid w:val="001C0EDD"/>
    <w:rsid w:val="001C0F02"/>
    <w:rsid w:val="001C1122"/>
    <w:rsid w:val="001C11F9"/>
    <w:rsid w:val="001C125E"/>
    <w:rsid w:val="001C12D8"/>
    <w:rsid w:val="001C1343"/>
    <w:rsid w:val="001C135C"/>
    <w:rsid w:val="001C13AD"/>
    <w:rsid w:val="001C13CF"/>
    <w:rsid w:val="001C14B6"/>
    <w:rsid w:val="001C1510"/>
    <w:rsid w:val="001C176E"/>
    <w:rsid w:val="001C1828"/>
    <w:rsid w:val="001C18E4"/>
    <w:rsid w:val="001C19EF"/>
    <w:rsid w:val="001C1A92"/>
    <w:rsid w:val="001C1B10"/>
    <w:rsid w:val="001C1BCA"/>
    <w:rsid w:val="001C1BDD"/>
    <w:rsid w:val="001C1BFD"/>
    <w:rsid w:val="001C1C11"/>
    <w:rsid w:val="001C1E94"/>
    <w:rsid w:val="001C1F98"/>
    <w:rsid w:val="001C20B1"/>
    <w:rsid w:val="001C214C"/>
    <w:rsid w:val="001C2168"/>
    <w:rsid w:val="001C2171"/>
    <w:rsid w:val="001C2202"/>
    <w:rsid w:val="001C2409"/>
    <w:rsid w:val="001C2514"/>
    <w:rsid w:val="001C2518"/>
    <w:rsid w:val="001C25AC"/>
    <w:rsid w:val="001C25D2"/>
    <w:rsid w:val="001C2749"/>
    <w:rsid w:val="001C283A"/>
    <w:rsid w:val="001C289F"/>
    <w:rsid w:val="001C28E9"/>
    <w:rsid w:val="001C296E"/>
    <w:rsid w:val="001C29F3"/>
    <w:rsid w:val="001C2AEA"/>
    <w:rsid w:val="001C2B05"/>
    <w:rsid w:val="001C2BCC"/>
    <w:rsid w:val="001C2BE4"/>
    <w:rsid w:val="001C2D0D"/>
    <w:rsid w:val="001C2E95"/>
    <w:rsid w:val="001C30F1"/>
    <w:rsid w:val="001C3144"/>
    <w:rsid w:val="001C315A"/>
    <w:rsid w:val="001C316C"/>
    <w:rsid w:val="001C3333"/>
    <w:rsid w:val="001C33A7"/>
    <w:rsid w:val="001C347C"/>
    <w:rsid w:val="001C3507"/>
    <w:rsid w:val="001C3514"/>
    <w:rsid w:val="001C3526"/>
    <w:rsid w:val="001C352B"/>
    <w:rsid w:val="001C3538"/>
    <w:rsid w:val="001C3553"/>
    <w:rsid w:val="001C35C8"/>
    <w:rsid w:val="001C3629"/>
    <w:rsid w:val="001C366C"/>
    <w:rsid w:val="001C3752"/>
    <w:rsid w:val="001C38CE"/>
    <w:rsid w:val="001C3B97"/>
    <w:rsid w:val="001C3D81"/>
    <w:rsid w:val="001C3DAE"/>
    <w:rsid w:val="001C3DDE"/>
    <w:rsid w:val="001C3E0A"/>
    <w:rsid w:val="001C4330"/>
    <w:rsid w:val="001C442D"/>
    <w:rsid w:val="001C455D"/>
    <w:rsid w:val="001C46C6"/>
    <w:rsid w:val="001C475D"/>
    <w:rsid w:val="001C47FD"/>
    <w:rsid w:val="001C4887"/>
    <w:rsid w:val="001C492F"/>
    <w:rsid w:val="001C49E5"/>
    <w:rsid w:val="001C4AB5"/>
    <w:rsid w:val="001C4AD4"/>
    <w:rsid w:val="001C4B56"/>
    <w:rsid w:val="001C4B85"/>
    <w:rsid w:val="001C4BA8"/>
    <w:rsid w:val="001C4CFF"/>
    <w:rsid w:val="001C4D47"/>
    <w:rsid w:val="001C505F"/>
    <w:rsid w:val="001C5160"/>
    <w:rsid w:val="001C5200"/>
    <w:rsid w:val="001C5219"/>
    <w:rsid w:val="001C524C"/>
    <w:rsid w:val="001C5294"/>
    <w:rsid w:val="001C52A9"/>
    <w:rsid w:val="001C52D5"/>
    <w:rsid w:val="001C5372"/>
    <w:rsid w:val="001C53DB"/>
    <w:rsid w:val="001C5455"/>
    <w:rsid w:val="001C54EC"/>
    <w:rsid w:val="001C55E5"/>
    <w:rsid w:val="001C569D"/>
    <w:rsid w:val="001C56A3"/>
    <w:rsid w:val="001C573B"/>
    <w:rsid w:val="001C592E"/>
    <w:rsid w:val="001C5953"/>
    <w:rsid w:val="001C59B8"/>
    <w:rsid w:val="001C59BE"/>
    <w:rsid w:val="001C5A9E"/>
    <w:rsid w:val="001C5B54"/>
    <w:rsid w:val="001C5B68"/>
    <w:rsid w:val="001C5DB7"/>
    <w:rsid w:val="001C5DFA"/>
    <w:rsid w:val="001C60BF"/>
    <w:rsid w:val="001C6176"/>
    <w:rsid w:val="001C6182"/>
    <w:rsid w:val="001C640E"/>
    <w:rsid w:val="001C64AF"/>
    <w:rsid w:val="001C688A"/>
    <w:rsid w:val="001C68C1"/>
    <w:rsid w:val="001C68F4"/>
    <w:rsid w:val="001C6934"/>
    <w:rsid w:val="001C6990"/>
    <w:rsid w:val="001C6B61"/>
    <w:rsid w:val="001C6B94"/>
    <w:rsid w:val="001C6C74"/>
    <w:rsid w:val="001C6CBB"/>
    <w:rsid w:val="001C6CCB"/>
    <w:rsid w:val="001C6DC4"/>
    <w:rsid w:val="001C6F04"/>
    <w:rsid w:val="001C6FC8"/>
    <w:rsid w:val="001C7002"/>
    <w:rsid w:val="001C70D6"/>
    <w:rsid w:val="001C7134"/>
    <w:rsid w:val="001C7199"/>
    <w:rsid w:val="001C71DA"/>
    <w:rsid w:val="001C7239"/>
    <w:rsid w:val="001C7261"/>
    <w:rsid w:val="001C72E3"/>
    <w:rsid w:val="001C733E"/>
    <w:rsid w:val="001C7486"/>
    <w:rsid w:val="001C7522"/>
    <w:rsid w:val="001C7525"/>
    <w:rsid w:val="001C7657"/>
    <w:rsid w:val="001C76C9"/>
    <w:rsid w:val="001C776C"/>
    <w:rsid w:val="001C78A8"/>
    <w:rsid w:val="001C797E"/>
    <w:rsid w:val="001C7B51"/>
    <w:rsid w:val="001C7B86"/>
    <w:rsid w:val="001C7BD2"/>
    <w:rsid w:val="001C7C1D"/>
    <w:rsid w:val="001C7E1B"/>
    <w:rsid w:val="001C7E9A"/>
    <w:rsid w:val="001D024B"/>
    <w:rsid w:val="001D0273"/>
    <w:rsid w:val="001D03D2"/>
    <w:rsid w:val="001D04AB"/>
    <w:rsid w:val="001D04D1"/>
    <w:rsid w:val="001D0513"/>
    <w:rsid w:val="001D0555"/>
    <w:rsid w:val="001D063C"/>
    <w:rsid w:val="001D0732"/>
    <w:rsid w:val="001D0762"/>
    <w:rsid w:val="001D07E9"/>
    <w:rsid w:val="001D0844"/>
    <w:rsid w:val="001D086D"/>
    <w:rsid w:val="001D0A70"/>
    <w:rsid w:val="001D0B43"/>
    <w:rsid w:val="001D0B59"/>
    <w:rsid w:val="001D0BFB"/>
    <w:rsid w:val="001D0C85"/>
    <w:rsid w:val="001D0CB4"/>
    <w:rsid w:val="001D0FCE"/>
    <w:rsid w:val="001D10CC"/>
    <w:rsid w:val="001D1107"/>
    <w:rsid w:val="001D1115"/>
    <w:rsid w:val="001D1148"/>
    <w:rsid w:val="001D12C8"/>
    <w:rsid w:val="001D12DB"/>
    <w:rsid w:val="001D13E8"/>
    <w:rsid w:val="001D145E"/>
    <w:rsid w:val="001D160E"/>
    <w:rsid w:val="001D16AC"/>
    <w:rsid w:val="001D170A"/>
    <w:rsid w:val="001D1854"/>
    <w:rsid w:val="001D18A5"/>
    <w:rsid w:val="001D18CB"/>
    <w:rsid w:val="001D195A"/>
    <w:rsid w:val="001D196B"/>
    <w:rsid w:val="001D19C0"/>
    <w:rsid w:val="001D1B8E"/>
    <w:rsid w:val="001D1DFC"/>
    <w:rsid w:val="001D1E00"/>
    <w:rsid w:val="001D1FEE"/>
    <w:rsid w:val="001D215B"/>
    <w:rsid w:val="001D219B"/>
    <w:rsid w:val="001D21A5"/>
    <w:rsid w:val="001D2279"/>
    <w:rsid w:val="001D2339"/>
    <w:rsid w:val="001D23A1"/>
    <w:rsid w:val="001D2506"/>
    <w:rsid w:val="001D2511"/>
    <w:rsid w:val="001D2517"/>
    <w:rsid w:val="001D254E"/>
    <w:rsid w:val="001D254F"/>
    <w:rsid w:val="001D2597"/>
    <w:rsid w:val="001D265C"/>
    <w:rsid w:val="001D2798"/>
    <w:rsid w:val="001D280B"/>
    <w:rsid w:val="001D28A8"/>
    <w:rsid w:val="001D28C1"/>
    <w:rsid w:val="001D28FC"/>
    <w:rsid w:val="001D2906"/>
    <w:rsid w:val="001D2915"/>
    <w:rsid w:val="001D299E"/>
    <w:rsid w:val="001D29B9"/>
    <w:rsid w:val="001D2BB7"/>
    <w:rsid w:val="001D2BC4"/>
    <w:rsid w:val="001D2BDE"/>
    <w:rsid w:val="001D2C66"/>
    <w:rsid w:val="001D2CC9"/>
    <w:rsid w:val="001D2E4A"/>
    <w:rsid w:val="001D2E4C"/>
    <w:rsid w:val="001D2EB6"/>
    <w:rsid w:val="001D2EF1"/>
    <w:rsid w:val="001D2F31"/>
    <w:rsid w:val="001D2FA9"/>
    <w:rsid w:val="001D2FD9"/>
    <w:rsid w:val="001D30E0"/>
    <w:rsid w:val="001D30E4"/>
    <w:rsid w:val="001D310C"/>
    <w:rsid w:val="001D3155"/>
    <w:rsid w:val="001D3231"/>
    <w:rsid w:val="001D346A"/>
    <w:rsid w:val="001D3507"/>
    <w:rsid w:val="001D35B9"/>
    <w:rsid w:val="001D35BF"/>
    <w:rsid w:val="001D36C5"/>
    <w:rsid w:val="001D3744"/>
    <w:rsid w:val="001D375C"/>
    <w:rsid w:val="001D37BA"/>
    <w:rsid w:val="001D3885"/>
    <w:rsid w:val="001D38D6"/>
    <w:rsid w:val="001D39D9"/>
    <w:rsid w:val="001D39FD"/>
    <w:rsid w:val="001D3D3B"/>
    <w:rsid w:val="001D3D51"/>
    <w:rsid w:val="001D3E15"/>
    <w:rsid w:val="001D3E97"/>
    <w:rsid w:val="001D3FF7"/>
    <w:rsid w:val="001D3FFD"/>
    <w:rsid w:val="001D4030"/>
    <w:rsid w:val="001D404F"/>
    <w:rsid w:val="001D40B9"/>
    <w:rsid w:val="001D41F4"/>
    <w:rsid w:val="001D421C"/>
    <w:rsid w:val="001D42A7"/>
    <w:rsid w:val="001D4500"/>
    <w:rsid w:val="001D4540"/>
    <w:rsid w:val="001D456B"/>
    <w:rsid w:val="001D4609"/>
    <w:rsid w:val="001D4620"/>
    <w:rsid w:val="001D465E"/>
    <w:rsid w:val="001D46AB"/>
    <w:rsid w:val="001D47D5"/>
    <w:rsid w:val="001D4893"/>
    <w:rsid w:val="001D495C"/>
    <w:rsid w:val="001D4A54"/>
    <w:rsid w:val="001D4A77"/>
    <w:rsid w:val="001D4ACA"/>
    <w:rsid w:val="001D4B0A"/>
    <w:rsid w:val="001D4B62"/>
    <w:rsid w:val="001D4B64"/>
    <w:rsid w:val="001D4D8A"/>
    <w:rsid w:val="001D4DDD"/>
    <w:rsid w:val="001D4DFC"/>
    <w:rsid w:val="001D4E20"/>
    <w:rsid w:val="001D4E37"/>
    <w:rsid w:val="001D4E84"/>
    <w:rsid w:val="001D5032"/>
    <w:rsid w:val="001D503D"/>
    <w:rsid w:val="001D50B2"/>
    <w:rsid w:val="001D51A6"/>
    <w:rsid w:val="001D53B2"/>
    <w:rsid w:val="001D53FF"/>
    <w:rsid w:val="001D54A4"/>
    <w:rsid w:val="001D550A"/>
    <w:rsid w:val="001D5538"/>
    <w:rsid w:val="001D55EA"/>
    <w:rsid w:val="001D568A"/>
    <w:rsid w:val="001D587E"/>
    <w:rsid w:val="001D5AD9"/>
    <w:rsid w:val="001D5B3F"/>
    <w:rsid w:val="001D5B69"/>
    <w:rsid w:val="001D5C4B"/>
    <w:rsid w:val="001D5CD4"/>
    <w:rsid w:val="001D5CE4"/>
    <w:rsid w:val="001D5FB6"/>
    <w:rsid w:val="001D6086"/>
    <w:rsid w:val="001D611A"/>
    <w:rsid w:val="001D612E"/>
    <w:rsid w:val="001D61BE"/>
    <w:rsid w:val="001D61FD"/>
    <w:rsid w:val="001D6232"/>
    <w:rsid w:val="001D6309"/>
    <w:rsid w:val="001D6360"/>
    <w:rsid w:val="001D63CD"/>
    <w:rsid w:val="001D679B"/>
    <w:rsid w:val="001D67BD"/>
    <w:rsid w:val="001D69A0"/>
    <w:rsid w:val="001D69A6"/>
    <w:rsid w:val="001D6A12"/>
    <w:rsid w:val="001D6A77"/>
    <w:rsid w:val="001D6B14"/>
    <w:rsid w:val="001D70EA"/>
    <w:rsid w:val="001D716E"/>
    <w:rsid w:val="001D71CC"/>
    <w:rsid w:val="001D723D"/>
    <w:rsid w:val="001D72BD"/>
    <w:rsid w:val="001D72CD"/>
    <w:rsid w:val="001D731C"/>
    <w:rsid w:val="001D7434"/>
    <w:rsid w:val="001D74A1"/>
    <w:rsid w:val="001D7589"/>
    <w:rsid w:val="001D768D"/>
    <w:rsid w:val="001D7777"/>
    <w:rsid w:val="001D793C"/>
    <w:rsid w:val="001D79C3"/>
    <w:rsid w:val="001D7DA7"/>
    <w:rsid w:val="001D7DD6"/>
    <w:rsid w:val="001D7FA8"/>
    <w:rsid w:val="001E0000"/>
    <w:rsid w:val="001E0033"/>
    <w:rsid w:val="001E0124"/>
    <w:rsid w:val="001E01FD"/>
    <w:rsid w:val="001E0213"/>
    <w:rsid w:val="001E029A"/>
    <w:rsid w:val="001E02B6"/>
    <w:rsid w:val="001E047B"/>
    <w:rsid w:val="001E06C4"/>
    <w:rsid w:val="001E0778"/>
    <w:rsid w:val="001E0885"/>
    <w:rsid w:val="001E08A4"/>
    <w:rsid w:val="001E0AF3"/>
    <w:rsid w:val="001E0B91"/>
    <w:rsid w:val="001E0C12"/>
    <w:rsid w:val="001E0CC0"/>
    <w:rsid w:val="001E0F03"/>
    <w:rsid w:val="001E0F11"/>
    <w:rsid w:val="001E0FB3"/>
    <w:rsid w:val="001E10ED"/>
    <w:rsid w:val="001E1116"/>
    <w:rsid w:val="001E1121"/>
    <w:rsid w:val="001E1175"/>
    <w:rsid w:val="001E156A"/>
    <w:rsid w:val="001E1636"/>
    <w:rsid w:val="001E1664"/>
    <w:rsid w:val="001E16E6"/>
    <w:rsid w:val="001E16F5"/>
    <w:rsid w:val="001E1838"/>
    <w:rsid w:val="001E1858"/>
    <w:rsid w:val="001E1983"/>
    <w:rsid w:val="001E1A97"/>
    <w:rsid w:val="001E1AB1"/>
    <w:rsid w:val="001E1B7B"/>
    <w:rsid w:val="001E1C31"/>
    <w:rsid w:val="001E1E17"/>
    <w:rsid w:val="001E1F08"/>
    <w:rsid w:val="001E1F34"/>
    <w:rsid w:val="001E2047"/>
    <w:rsid w:val="001E2049"/>
    <w:rsid w:val="001E2208"/>
    <w:rsid w:val="001E227A"/>
    <w:rsid w:val="001E2346"/>
    <w:rsid w:val="001E23D2"/>
    <w:rsid w:val="001E242F"/>
    <w:rsid w:val="001E254D"/>
    <w:rsid w:val="001E256B"/>
    <w:rsid w:val="001E257A"/>
    <w:rsid w:val="001E259C"/>
    <w:rsid w:val="001E25F6"/>
    <w:rsid w:val="001E2611"/>
    <w:rsid w:val="001E2699"/>
    <w:rsid w:val="001E26D7"/>
    <w:rsid w:val="001E276F"/>
    <w:rsid w:val="001E27C4"/>
    <w:rsid w:val="001E27E0"/>
    <w:rsid w:val="001E287D"/>
    <w:rsid w:val="001E28CD"/>
    <w:rsid w:val="001E2A48"/>
    <w:rsid w:val="001E2B93"/>
    <w:rsid w:val="001E2C0C"/>
    <w:rsid w:val="001E2DDD"/>
    <w:rsid w:val="001E2E53"/>
    <w:rsid w:val="001E2E7D"/>
    <w:rsid w:val="001E2F4F"/>
    <w:rsid w:val="001E2FD8"/>
    <w:rsid w:val="001E3046"/>
    <w:rsid w:val="001E30E9"/>
    <w:rsid w:val="001E311D"/>
    <w:rsid w:val="001E32EE"/>
    <w:rsid w:val="001E3406"/>
    <w:rsid w:val="001E34A1"/>
    <w:rsid w:val="001E3609"/>
    <w:rsid w:val="001E37B2"/>
    <w:rsid w:val="001E388C"/>
    <w:rsid w:val="001E38DF"/>
    <w:rsid w:val="001E3994"/>
    <w:rsid w:val="001E3ABF"/>
    <w:rsid w:val="001E3B1C"/>
    <w:rsid w:val="001E3BFD"/>
    <w:rsid w:val="001E3D43"/>
    <w:rsid w:val="001E3D6C"/>
    <w:rsid w:val="001E3E48"/>
    <w:rsid w:val="001E3E92"/>
    <w:rsid w:val="001E3EFE"/>
    <w:rsid w:val="001E3FBC"/>
    <w:rsid w:val="001E4028"/>
    <w:rsid w:val="001E424B"/>
    <w:rsid w:val="001E425F"/>
    <w:rsid w:val="001E4350"/>
    <w:rsid w:val="001E44FC"/>
    <w:rsid w:val="001E46A3"/>
    <w:rsid w:val="001E46B5"/>
    <w:rsid w:val="001E4703"/>
    <w:rsid w:val="001E48C2"/>
    <w:rsid w:val="001E4B78"/>
    <w:rsid w:val="001E4BBD"/>
    <w:rsid w:val="001E4CF8"/>
    <w:rsid w:val="001E4CF9"/>
    <w:rsid w:val="001E4D12"/>
    <w:rsid w:val="001E4D34"/>
    <w:rsid w:val="001E4D9E"/>
    <w:rsid w:val="001E4E1A"/>
    <w:rsid w:val="001E4E5B"/>
    <w:rsid w:val="001E5044"/>
    <w:rsid w:val="001E50CC"/>
    <w:rsid w:val="001E516E"/>
    <w:rsid w:val="001E5240"/>
    <w:rsid w:val="001E528A"/>
    <w:rsid w:val="001E531E"/>
    <w:rsid w:val="001E53DF"/>
    <w:rsid w:val="001E53FE"/>
    <w:rsid w:val="001E543E"/>
    <w:rsid w:val="001E5561"/>
    <w:rsid w:val="001E55CA"/>
    <w:rsid w:val="001E55DE"/>
    <w:rsid w:val="001E561F"/>
    <w:rsid w:val="001E5638"/>
    <w:rsid w:val="001E565D"/>
    <w:rsid w:val="001E56E8"/>
    <w:rsid w:val="001E5750"/>
    <w:rsid w:val="001E57C2"/>
    <w:rsid w:val="001E58C7"/>
    <w:rsid w:val="001E5A36"/>
    <w:rsid w:val="001E5A65"/>
    <w:rsid w:val="001E5B00"/>
    <w:rsid w:val="001E5B1F"/>
    <w:rsid w:val="001E5B8D"/>
    <w:rsid w:val="001E5C78"/>
    <w:rsid w:val="001E5D04"/>
    <w:rsid w:val="001E5D18"/>
    <w:rsid w:val="001E5D46"/>
    <w:rsid w:val="001E5E06"/>
    <w:rsid w:val="001E5EF3"/>
    <w:rsid w:val="001E6061"/>
    <w:rsid w:val="001E60A9"/>
    <w:rsid w:val="001E613F"/>
    <w:rsid w:val="001E6143"/>
    <w:rsid w:val="001E61B4"/>
    <w:rsid w:val="001E6204"/>
    <w:rsid w:val="001E6337"/>
    <w:rsid w:val="001E6371"/>
    <w:rsid w:val="001E6449"/>
    <w:rsid w:val="001E64F4"/>
    <w:rsid w:val="001E6514"/>
    <w:rsid w:val="001E65C7"/>
    <w:rsid w:val="001E663A"/>
    <w:rsid w:val="001E6738"/>
    <w:rsid w:val="001E679C"/>
    <w:rsid w:val="001E67EB"/>
    <w:rsid w:val="001E6842"/>
    <w:rsid w:val="001E68AB"/>
    <w:rsid w:val="001E69FD"/>
    <w:rsid w:val="001E6B04"/>
    <w:rsid w:val="001E6BA5"/>
    <w:rsid w:val="001E6D62"/>
    <w:rsid w:val="001E6D69"/>
    <w:rsid w:val="001E6D90"/>
    <w:rsid w:val="001E6E0C"/>
    <w:rsid w:val="001E71C0"/>
    <w:rsid w:val="001E730E"/>
    <w:rsid w:val="001E7396"/>
    <w:rsid w:val="001E7477"/>
    <w:rsid w:val="001E7538"/>
    <w:rsid w:val="001E7584"/>
    <w:rsid w:val="001E7726"/>
    <w:rsid w:val="001E77F2"/>
    <w:rsid w:val="001E782F"/>
    <w:rsid w:val="001E7842"/>
    <w:rsid w:val="001E791C"/>
    <w:rsid w:val="001E7938"/>
    <w:rsid w:val="001E7A37"/>
    <w:rsid w:val="001E7B23"/>
    <w:rsid w:val="001E7BA4"/>
    <w:rsid w:val="001E7C04"/>
    <w:rsid w:val="001E7C63"/>
    <w:rsid w:val="001E7C87"/>
    <w:rsid w:val="001E7DCF"/>
    <w:rsid w:val="001E7DDF"/>
    <w:rsid w:val="001E7DF1"/>
    <w:rsid w:val="001E7F1D"/>
    <w:rsid w:val="001E7F9D"/>
    <w:rsid w:val="001E7FBE"/>
    <w:rsid w:val="001F0060"/>
    <w:rsid w:val="001F0230"/>
    <w:rsid w:val="001F02C7"/>
    <w:rsid w:val="001F039B"/>
    <w:rsid w:val="001F0405"/>
    <w:rsid w:val="001F0807"/>
    <w:rsid w:val="001F0A42"/>
    <w:rsid w:val="001F0A6C"/>
    <w:rsid w:val="001F0E85"/>
    <w:rsid w:val="001F0EB7"/>
    <w:rsid w:val="001F0EDE"/>
    <w:rsid w:val="001F0FCE"/>
    <w:rsid w:val="001F0FF7"/>
    <w:rsid w:val="001F1041"/>
    <w:rsid w:val="001F12B0"/>
    <w:rsid w:val="001F1316"/>
    <w:rsid w:val="001F1458"/>
    <w:rsid w:val="001F15D9"/>
    <w:rsid w:val="001F163D"/>
    <w:rsid w:val="001F16CF"/>
    <w:rsid w:val="001F1816"/>
    <w:rsid w:val="001F18B8"/>
    <w:rsid w:val="001F1AB7"/>
    <w:rsid w:val="001F1BF0"/>
    <w:rsid w:val="001F1DBA"/>
    <w:rsid w:val="001F1F28"/>
    <w:rsid w:val="001F1FC1"/>
    <w:rsid w:val="001F2088"/>
    <w:rsid w:val="001F20F9"/>
    <w:rsid w:val="001F21FD"/>
    <w:rsid w:val="001F22A3"/>
    <w:rsid w:val="001F2315"/>
    <w:rsid w:val="001F2453"/>
    <w:rsid w:val="001F250F"/>
    <w:rsid w:val="001F255E"/>
    <w:rsid w:val="001F27EB"/>
    <w:rsid w:val="001F282D"/>
    <w:rsid w:val="001F28B3"/>
    <w:rsid w:val="001F2A0E"/>
    <w:rsid w:val="001F2C80"/>
    <w:rsid w:val="001F2CC8"/>
    <w:rsid w:val="001F2CDA"/>
    <w:rsid w:val="001F2CF5"/>
    <w:rsid w:val="001F2D01"/>
    <w:rsid w:val="001F2E50"/>
    <w:rsid w:val="001F30E2"/>
    <w:rsid w:val="001F311B"/>
    <w:rsid w:val="001F312F"/>
    <w:rsid w:val="001F3177"/>
    <w:rsid w:val="001F3262"/>
    <w:rsid w:val="001F32BE"/>
    <w:rsid w:val="001F330A"/>
    <w:rsid w:val="001F3379"/>
    <w:rsid w:val="001F33A8"/>
    <w:rsid w:val="001F33DA"/>
    <w:rsid w:val="001F340C"/>
    <w:rsid w:val="001F3452"/>
    <w:rsid w:val="001F3489"/>
    <w:rsid w:val="001F35BD"/>
    <w:rsid w:val="001F35CA"/>
    <w:rsid w:val="001F3623"/>
    <w:rsid w:val="001F368F"/>
    <w:rsid w:val="001F3705"/>
    <w:rsid w:val="001F3765"/>
    <w:rsid w:val="001F3844"/>
    <w:rsid w:val="001F3958"/>
    <w:rsid w:val="001F3C0B"/>
    <w:rsid w:val="001F3C88"/>
    <w:rsid w:val="001F3D41"/>
    <w:rsid w:val="001F3DC3"/>
    <w:rsid w:val="001F3E7F"/>
    <w:rsid w:val="001F3F5F"/>
    <w:rsid w:val="001F4220"/>
    <w:rsid w:val="001F4320"/>
    <w:rsid w:val="001F43CB"/>
    <w:rsid w:val="001F44FB"/>
    <w:rsid w:val="001F4615"/>
    <w:rsid w:val="001F4648"/>
    <w:rsid w:val="001F4785"/>
    <w:rsid w:val="001F47C9"/>
    <w:rsid w:val="001F4822"/>
    <w:rsid w:val="001F486E"/>
    <w:rsid w:val="001F4895"/>
    <w:rsid w:val="001F4897"/>
    <w:rsid w:val="001F48A8"/>
    <w:rsid w:val="001F4980"/>
    <w:rsid w:val="001F49D3"/>
    <w:rsid w:val="001F4AB3"/>
    <w:rsid w:val="001F4AF3"/>
    <w:rsid w:val="001F4B79"/>
    <w:rsid w:val="001F508D"/>
    <w:rsid w:val="001F5125"/>
    <w:rsid w:val="001F514D"/>
    <w:rsid w:val="001F51F5"/>
    <w:rsid w:val="001F51F6"/>
    <w:rsid w:val="001F534D"/>
    <w:rsid w:val="001F537C"/>
    <w:rsid w:val="001F5472"/>
    <w:rsid w:val="001F5505"/>
    <w:rsid w:val="001F555D"/>
    <w:rsid w:val="001F556C"/>
    <w:rsid w:val="001F564E"/>
    <w:rsid w:val="001F567D"/>
    <w:rsid w:val="001F56D7"/>
    <w:rsid w:val="001F5731"/>
    <w:rsid w:val="001F57CF"/>
    <w:rsid w:val="001F5807"/>
    <w:rsid w:val="001F5A7A"/>
    <w:rsid w:val="001F5BB8"/>
    <w:rsid w:val="001F5D58"/>
    <w:rsid w:val="001F5D60"/>
    <w:rsid w:val="001F5D77"/>
    <w:rsid w:val="001F5EE7"/>
    <w:rsid w:val="001F5EF8"/>
    <w:rsid w:val="001F5F44"/>
    <w:rsid w:val="001F5F73"/>
    <w:rsid w:val="001F6225"/>
    <w:rsid w:val="001F625C"/>
    <w:rsid w:val="001F6272"/>
    <w:rsid w:val="001F6427"/>
    <w:rsid w:val="001F6502"/>
    <w:rsid w:val="001F656A"/>
    <w:rsid w:val="001F66E6"/>
    <w:rsid w:val="001F68BB"/>
    <w:rsid w:val="001F68BF"/>
    <w:rsid w:val="001F691C"/>
    <w:rsid w:val="001F695E"/>
    <w:rsid w:val="001F69B4"/>
    <w:rsid w:val="001F6A99"/>
    <w:rsid w:val="001F6AE7"/>
    <w:rsid w:val="001F6AF0"/>
    <w:rsid w:val="001F6BCE"/>
    <w:rsid w:val="001F6BE0"/>
    <w:rsid w:val="001F6C76"/>
    <w:rsid w:val="001F6CBB"/>
    <w:rsid w:val="001F6E03"/>
    <w:rsid w:val="001F6E66"/>
    <w:rsid w:val="001F6E92"/>
    <w:rsid w:val="001F714D"/>
    <w:rsid w:val="001F7170"/>
    <w:rsid w:val="001F718A"/>
    <w:rsid w:val="001F7269"/>
    <w:rsid w:val="001F7274"/>
    <w:rsid w:val="001F7384"/>
    <w:rsid w:val="001F7409"/>
    <w:rsid w:val="001F74D6"/>
    <w:rsid w:val="001F75B0"/>
    <w:rsid w:val="001F75CB"/>
    <w:rsid w:val="001F778E"/>
    <w:rsid w:val="001F789D"/>
    <w:rsid w:val="001F7903"/>
    <w:rsid w:val="001F7935"/>
    <w:rsid w:val="001F7B03"/>
    <w:rsid w:val="001F7BB2"/>
    <w:rsid w:val="001F7F4E"/>
    <w:rsid w:val="001F7F90"/>
    <w:rsid w:val="002002E7"/>
    <w:rsid w:val="002003CE"/>
    <w:rsid w:val="00200509"/>
    <w:rsid w:val="0020054C"/>
    <w:rsid w:val="00200843"/>
    <w:rsid w:val="00200A58"/>
    <w:rsid w:val="00200B82"/>
    <w:rsid w:val="00200C18"/>
    <w:rsid w:val="00200CF5"/>
    <w:rsid w:val="00200DC3"/>
    <w:rsid w:val="00200E63"/>
    <w:rsid w:val="00200FCE"/>
    <w:rsid w:val="0020108D"/>
    <w:rsid w:val="00201137"/>
    <w:rsid w:val="002013E5"/>
    <w:rsid w:val="0020143A"/>
    <w:rsid w:val="00201A4A"/>
    <w:rsid w:val="00201B99"/>
    <w:rsid w:val="00201C07"/>
    <w:rsid w:val="00201CAD"/>
    <w:rsid w:val="00201CEC"/>
    <w:rsid w:val="00201D57"/>
    <w:rsid w:val="00201D80"/>
    <w:rsid w:val="00201D8F"/>
    <w:rsid w:val="00201DA6"/>
    <w:rsid w:val="00201EC2"/>
    <w:rsid w:val="00201F62"/>
    <w:rsid w:val="00201F8A"/>
    <w:rsid w:val="00201FA5"/>
    <w:rsid w:val="00202165"/>
    <w:rsid w:val="0020237C"/>
    <w:rsid w:val="00202471"/>
    <w:rsid w:val="002024D2"/>
    <w:rsid w:val="00202580"/>
    <w:rsid w:val="002026CB"/>
    <w:rsid w:val="002026E9"/>
    <w:rsid w:val="00202709"/>
    <w:rsid w:val="002027DB"/>
    <w:rsid w:val="00202830"/>
    <w:rsid w:val="0020298C"/>
    <w:rsid w:val="00202AF3"/>
    <w:rsid w:val="00202B75"/>
    <w:rsid w:val="00202BE1"/>
    <w:rsid w:val="00202C36"/>
    <w:rsid w:val="00202C9D"/>
    <w:rsid w:val="00202CD0"/>
    <w:rsid w:val="00202EEA"/>
    <w:rsid w:val="00202FD6"/>
    <w:rsid w:val="002030F0"/>
    <w:rsid w:val="00203199"/>
    <w:rsid w:val="0020330F"/>
    <w:rsid w:val="0020335E"/>
    <w:rsid w:val="00203369"/>
    <w:rsid w:val="0020348B"/>
    <w:rsid w:val="00203727"/>
    <w:rsid w:val="0020373E"/>
    <w:rsid w:val="0020377B"/>
    <w:rsid w:val="00203887"/>
    <w:rsid w:val="0020391C"/>
    <w:rsid w:val="00203A80"/>
    <w:rsid w:val="00203AEE"/>
    <w:rsid w:val="00203D54"/>
    <w:rsid w:val="00203D6F"/>
    <w:rsid w:val="00203E9F"/>
    <w:rsid w:val="00203FB9"/>
    <w:rsid w:val="00203FEB"/>
    <w:rsid w:val="00203FFE"/>
    <w:rsid w:val="00204056"/>
    <w:rsid w:val="00204081"/>
    <w:rsid w:val="0020409D"/>
    <w:rsid w:val="0020412B"/>
    <w:rsid w:val="00204165"/>
    <w:rsid w:val="002041FD"/>
    <w:rsid w:val="0020430E"/>
    <w:rsid w:val="002043B5"/>
    <w:rsid w:val="002044BC"/>
    <w:rsid w:val="0020450B"/>
    <w:rsid w:val="00204535"/>
    <w:rsid w:val="0020474B"/>
    <w:rsid w:val="0020482C"/>
    <w:rsid w:val="002049A3"/>
    <w:rsid w:val="00204B5E"/>
    <w:rsid w:val="00204B97"/>
    <w:rsid w:val="00204B9E"/>
    <w:rsid w:val="00204F9E"/>
    <w:rsid w:val="00204FA4"/>
    <w:rsid w:val="0020506E"/>
    <w:rsid w:val="00205084"/>
    <w:rsid w:val="00205227"/>
    <w:rsid w:val="00205383"/>
    <w:rsid w:val="0020539B"/>
    <w:rsid w:val="002053A4"/>
    <w:rsid w:val="002054CF"/>
    <w:rsid w:val="002056BD"/>
    <w:rsid w:val="0020571E"/>
    <w:rsid w:val="0020572A"/>
    <w:rsid w:val="00205854"/>
    <w:rsid w:val="00205859"/>
    <w:rsid w:val="0020596C"/>
    <w:rsid w:val="00205AA9"/>
    <w:rsid w:val="00205B02"/>
    <w:rsid w:val="00205B1D"/>
    <w:rsid w:val="00205BFA"/>
    <w:rsid w:val="00205CC6"/>
    <w:rsid w:val="00205E95"/>
    <w:rsid w:val="00205F57"/>
    <w:rsid w:val="00205F91"/>
    <w:rsid w:val="00206057"/>
    <w:rsid w:val="00206093"/>
    <w:rsid w:val="002060A9"/>
    <w:rsid w:val="002064F6"/>
    <w:rsid w:val="00206686"/>
    <w:rsid w:val="00206694"/>
    <w:rsid w:val="0020677E"/>
    <w:rsid w:val="002067A6"/>
    <w:rsid w:val="002067D4"/>
    <w:rsid w:val="002067ED"/>
    <w:rsid w:val="002068C2"/>
    <w:rsid w:val="002068FD"/>
    <w:rsid w:val="00206995"/>
    <w:rsid w:val="00206A06"/>
    <w:rsid w:val="00206B29"/>
    <w:rsid w:val="00206BD7"/>
    <w:rsid w:val="00206C2F"/>
    <w:rsid w:val="00206D53"/>
    <w:rsid w:val="00206D85"/>
    <w:rsid w:val="00206E83"/>
    <w:rsid w:val="00207085"/>
    <w:rsid w:val="002070D8"/>
    <w:rsid w:val="0020718E"/>
    <w:rsid w:val="00207293"/>
    <w:rsid w:val="002072F0"/>
    <w:rsid w:val="00207323"/>
    <w:rsid w:val="0020738C"/>
    <w:rsid w:val="00207489"/>
    <w:rsid w:val="002074D3"/>
    <w:rsid w:val="00207550"/>
    <w:rsid w:val="002075F2"/>
    <w:rsid w:val="002076CC"/>
    <w:rsid w:val="002077D9"/>
    <w:rsid w:val="00207855"/>
    <w:rsid w:val="0020796F"/>
    <w:rsid w:val="0020798E"/>
    <w:rsid w:val="00207990"/>
    <w:rsid w:val="002079DA"/>
    <w:rsid w:val="00207A2A"/>
    <w:rsid w:val="00207A87"/>
    <w:rsid w:val="00207ABE"/>
    <w:rsid w:val="00207AD5"/>
    <w:rsid w:val="00207B8A"/>
    <w:rsid w:val="00207C2D"/>
    <w:rsid w:val="00207C3C"/>
    <w:rsid w:val="00207D0E"/>
    <w:rsid w:val="00207D34"/>
    <w:rsid w:val="00207E98"/>
    <w:rsid w:val="00207E9A"/>
    <w:rsid w:val="00207E9D"/>
    <w:rsid w:val="00207EF6"/>
    <w:rsid w:val="00207F17"/>
    <w:rsid w:val="00207F5F"/>
    <w:rsid w:val="002101B8"/>
    <w:rsid w:val="00210354"/>
    <w:rsid w:val="00210509"/>
    <w:rsid w:val="0021051C"/>
    <w:rsid w:val="0021056A"/>
    <w:rsid w:val="002105F7"/>
    <w:rsid w:val="00210754"/>
    <w:rsid w:val="0021086C"/>
    <w:rsid w:val="002108E9"/>
    <w:rsid w:val="00210A82"/>
    <w:rsid w:val="00210B6A"/>
    <w:rsid w:val="00210C85"/>
    <w:rsid w:val="00210CC7"/>
    <w:rsid w:val="00210D23"/>
    <w:rsid w:val="00210E92"/>
    <w:rsid w:val="00211030"/>
    <w:rsid w:val="002110FF"/>
    <w:rsid w:val="002111D4"/>
    <w:rsid w:val="002113F2"/>
    <w:rsid w:val="00211494"/>
    <w:rsid w:val="002114E6"/>
    <w:rsid w:val="00211661"/>
    <w:rsid w:val="0021169E"/>
    <w:rsid w:val="002117B1"/>
    <w:rsid w:val="00211802"/>
    <w:rsid w:val="0021183C"/>
    <w:rsid w:val="0021187F"/>
    <w:rsid w:val="00211A07"/>
    <w:rsid w:val="00211A62"/>
    <w:rsid w:val="00211B48"/>
    <w:rsid w:val="00211C90"/>
    <w:rsid w:val="00211D71"/>
    <w:rsid w:val="00211DF0"/>
    <w:rsid w:val="00211E0E"/>
    <w:rsid w:val="00211E8B"/>
    <w:rsid w:val="00211F10"/>
    <w:rsid w:val="00211F44"/>
    <w:rsid w:val="00211F8A"/>
    <w:rsid w:val="00211FEF"/>
    <w:rsid w:val="00212195"/>
    <w:rsid w:val="002121E2"/>
    <w:rsid w:val="002123BE"/>
    <w:rsid w:val="002125ED"/>
    <w:rsid w:val="0021260F"/>
    <w:rsid w:val="002126A3"/>
    <w:rsid w:val="00212773"/>
    <w:rsid w:val="00212891"/>
    <w:rsid w:val="00212903"/>
    <w:rsid w:val="00212908"/>
    <w:rsid w:val="0021299E"/>
    <w:rsid w:val="002129EF"/>
    <w:rsid w:val="00212B24"/>
    <w:rsid w:val="00212BC4"/>
    <w:rsid w:val="00212CDC"/>
    <w:rsid w:val="0021305A"/>
    <w:rsid w:val="0021311A"/>
    <w:rsid w:val="00213129"/>
    <w:rsid w:val="002131E5"/>
    <w:rsid w:val="002132B7"/>
    <w:rsid w:val="002134F7"/>
    <w:rsid w:val="002135A7"/>
    <w:rsid w:val="002135CC"/>
    <w:rsid w:val="002137CD"/>
    <w:rsid w:val="00213809"/>
    <w:rsid w:val="00213862"/>
    <w:rsid w:val="002138A9"/>
    <w:rsid w:val="002138BA"/>
    <w:rsid w:val="00213B0E"/>
    <w:rsid w:val="00213BBA"/>
    <w:rsid w:val="00213CDE"/>
    <w:rsid w:val="00213D1B"/>
    <w:rsid w:val="00213E04"/>
    <w:rsid w:val="00213E07"/>
    <w:rsid w:val="00213E81"/>
    <w:rsid w:val="00213EA9"/>
    <w:rsid w:val="00213ED8"/>
    <w:rsid w:val="00213EDF"/>
    <w:rsid w:val="00213EEE"/>
    <w:rsid w:val="002140A0"/>
    <w:rsid w:val="002140B3"/>
    <w:rsid w:val="00214114"/>
    <w:rsid w:val="00214395"/>
    <w:rsid w:val="00214665"/>
    <w:rsid w:val="002146C8"/>
    <w:rsid w:val="002146ED"/>
    <w:rsid w:val="002147FA"/>
    <w:rsid w:val="00214943"/>
    <w:rsid w:val="00214AB8"/>
    <w:rsid w:val="00214C25"/>
    <w:rsid w:val="00215082"/>
    <w:rsid w:val="002151C2"/>
    <w:rsid w:val="00215268"/>
    <w:rsid w:val="002152E2"/>
    <w:rsid w:val="0021543A"/>
    <w:rsid w:val="0021565E"/>
    <w:rsid w:val="00215668"/>
    <w:rsid w:val="00215693"/>
    <w:rsid w:val="0021570E"/>
    <w:rsid w:val="0021571F"/>
    <w:rsid w:val="00215797"/>
    <w:rsid w:val="0021584B"/>
    <w:rsid w:val="00215A2D"/>
    <w:rsid w:val="00215B05"/>
    <w:rsid w:val="00215B43"/>
    <w:rsid w:val="00215B8E"/>
    <w:rsid w:val="00215B92"/>
    <w:rsid w:val="00215C9B"/>
    <w:rsid w:val="00215CAE"/>
    <w:rsid w:val="00215D2D"/>
    <w:rsid w:val="00215D82"/>
    <w:rsid w:val="00215DF2"/>
    <w:rsid w:val="00215E32"/>
    <w:rsid w:val="00215E38"/>
    <w:rsid w:val="00215EB0"/>
    <w:rsid w:val="00215F57"/>
    <w:rsid w:val="002160DA"/>
    <w:rsid w:val="00216104"/>
    <w:rsid w:val="00216186"/>
    <w:rsid w:val="002161D5"/>
    <w:rsid w:val="0021621F"/>
    <w:rsid w:val="00216310"/>
    <w:rsid w:val="00216379"/>
    <w:rsid w:val="00216465"/>
    <w:rsid w:val="00216546"/>
    <w:rsid w:val="00216665"/>
    <w:rsid w:val="00216B5F"/>
    <w:rsid w:val="00216C50"/>
    <w:rsid w:val="00216D70"/>
    <w:rsid w:val="00216DB9"/>
    <w:rsid w:val="0021711F"/>
    <w:rsid w:val="00217194"/>
    <w:rsid w:val="002171F9"/>
    <w:rsid w:val="00217243"/>
    <w:rsid w:val="0021728D"/>
    <w:rsid w:val="00217301"/>
    <w:rsid w:val="0021746B"/>
    <w:rsid w:val="002176E2"/>
    <w:rsid w:val="00217754"/>
    <w:rsid w:val="002179FC"/>
    <w:rsid w:val="00217B7C"/>
    <w:rsid w:val="00217B8E"/>
    <w:rsid w:val="00217C85"/>
    <w:rsid w:val="00217C92"/>
    <w:rsid w:val="00217CAB"/>
    <w:rsid w:val="00217D62"/>
    <w:rsid w:val="002200BD"/>
    <w:rsid w:val="002200DF"/>
    <w:rsid w:val="00220154"/>
    <w:rsid w:val="0022019B"/>
    <w:rsid w:val="00220275"/>
    <w:rsid w:val="00220297"/>
    <w:rsid w:val="0022032C"/>
    <w:rsid w:val="00220469"/>
    <w:rsid w:val="002204D7"/>
    <w:rsid w:val="0022057F"/>
    <w:rsid w:val="00220593"/>
    <w:rsid w:val="002205E6"/>
    <w:rsid w:val="00220617"/>
    <w:rsid w:val="0022061A"/>
    <w:rsid w:val="0022079F"/>
    <w:rsid w:val="002207BE"/>
    <w:rsid w:val="00220800"/>
    <w:rsid w:val="00220A37"/>
    <w:rsid w:val="00220B27"/>
    <w:rsid w:val="00220C00"/>
    <w:rsid w:val="00220C03"/>
    <w:rsid w:val="00220C47"/>
    <w:rsid w:val="00220C84"/>
    <w:rsid w:val="00220CEA"/>
    <w:rsid w:val="00220F17"/>
    <w:rsid w:val="00220F2F"/>
    <w:rsid w:val="00220F90"/>
    <w:rsid w:val="00220FF3"/>
    <w:rsid w:val="00221025"/>
    <w:rsid w:val="00221088"/>
    <w:rsid w:val="00221112"/>
    <w:rsid w:val="0022117E"/>
    <w:rsid w:val="00221252"/>
    <w:rsid w:val="00221271"/>
    <w:rsid w:val="002212E2"/>
    <w:rsid w:val="002213FB"/>
    <w:rsid w:val="00221402"/>
    <w:rsid w:val="00221473"/>
    <w:rsid w:val="002215B5"/>
    <w:rsid w:val="002215FA"/>
    <w:rsid w:val="002216B5"/>
    <w:rsid w:val="00221832"/>
    <w:rsid w:val="002218CE"/>
    <w:rsid w:val="002218FB"/>
    <w:rsid w:val="00221988"/>
    <w:rsid w:val="00221AD2"/>
    <w:rsid w:val="00221B62"/>
    <w:rsid w:val="00221CE8"/>
    <w:rsid w:val="00221EA6"/>
    <w:rsid w:val="00221FF3"/>
    <w:rsid w:val="00222259"/>
    <w:rsid w:val="002222BC"/>
    <w:rsid w:val="002222E0"/>
    <w:rsid w:val="00222360"/>
    <w:rsid w:val="002223E0"/>
    <w:rsid w:val="0022250F"/>
    <w:rsid w:val="00222584"/>
    <w:rsid w:val="0022272D"/>
    <w:rsid w:val="0022276E"/>
    <w:rsid w:val="0022278F"/>
    <w:rsid w:val="00222AA9"/>
    <w:rsid w:val="00222AED"/>
    <w:rsid w:val="00222B4C"/>
    <w:rsid w:val="00222BC9"/>
    <w:rsid w:val="00222BE0"/>
    <w:rsid w:val="00222E17"/>
    <w:rsid w:val="00222E3F"/>
    <w:rsid w:val="00222F21"/>
    <w:rsid w:val="00222FD5"/>
    <w:rsid w:val="00222FD9"/>
    <w:rsid w:val="00223038"/>
    <w:rsid w:val="002230D6"/>
    <w:rsid w:val="00223295"/>
    <w:rsid w:val="002233AA"/>
    <w:rsid w:val="002233AF"/>
    <w:rsid w:val="002233EC"/>
    <w:rsid w:val="0022347E"/>
    <w:rsid w:val="002234D6"/>
    <w:rsid w:val="002235C9"/>
    <w:rsid w:val="00223655"/>
    <w:rsid w:val="0022367D"/>
    <w:rsid w:val="002236E4"/>
    <w:rsid w:val="0022377A"/>
    <w:rsid w:val="002237DA"/>
    <w:rsid w:val="002237E5"/>
    <w:rsid w:val="00223887"/>
    <w:rsid w:val="002238CE"/>
    <w:rsid w:val="002239EA"/>
    <w:rsid w:val="00223AEC"/>
    <w:rsid w:val="00223AF2"/>
    <w:rsid w:val="00223B95"/>
    <w:rsid w:val="00223B9D"/>
    <w:rsid w:val="00223BE9"/>
    <w:rsid w:val="00223ECA"/>
    <w:rsid w:val="00223EFD"/>
    <w:rsid w:val="00223FB2"/>
    <w:rsid w:val="00224074"/>
    <w:rsid w:val="0022407D"/>
    <w:rsid w:val="00224105"/>
    <w:rsid w:val="0022418D"/>
    <w:rsid w:val="00224403"/>
    <w:rsid w:val="00224460"/>
    <w:rsid w:val="002245C3"/>
    <w:rsid w:val="00224640"/>
    <w:rsid w:val="00224699"/>
    <w:rsid w:val="0022474B"/>
    <w:rsid w:val="00224A21"/>
    <w:rsid w:val="00224A7E"/>
    <w:rsid w:val="00224C36"/>
    <w:rsid w:val="00224DA0"/>
    <w:rsid w:val="00224E6D"/>
    <w:rsid w:val="00224E71"/>
    <w:rsid w:val="00224E78"/>
    <w:rsid w:val="00224E7F"/>
    <w:rsid w:val="00224EC7"/>
    <w:rsid w:val="00224F14"/>
    <w:rsid w:val="00224F15"/>
    <w:rsid w:val="00225034"/>
    <w:rsid w:val="002250A0"/>
    <w:rsid w:val="002251D3"/>
    <w:rsid w:val="0022525C"/>
    <w:rsid w:val="0022532C"/>
    <w:rsid w:val="002253D5"/>
    <w:rsid w:val="0022546E"/>
    <w:rsid w:val="00225529"/>
    <w:rsid w:val="002256CB"/>
    <w:rsid w:val="002257BD"/>
    <w:rsid w:val="0022583A"/>
    <w:rsid w:val="0022583B"/>
    <w:rsid w:val="00225856"/>
    <w:rsid w:val="00225889"/>
    <w:rsid w:val="002258A8"/>
    <w:rsid w:val="002259A5"/>
    <w:rsid w:val="00225AE9"/>
    <w:rsid w:val="00225B24"/>
    <w:rsid w:val="00225DF3"/>
    <w:rsid w:val="00225E2E"/>
    <w:rsid w:val="00225E86"/>
    <w:rsid w:val="00225ED1"/>
    <w:rsid w:val="00225F87"/>
    <w:rsid w:val="00225FF8"/>
    <w:rsid w:val="00226097"/>
    <w:rsid w:val="00226197"/>
    <w:rsid w:val="0022625C"/>
    <w:rsid w:val="002262E7"/>
    <w:rsid w:val="002263CF"/>
    <w:rsid w:val="002263E4"/>
    <w:rsid w:val="002263E7"/>
    <w:rsid w:val="0022650D"/>
    <w:rsid w:val="00226537"/>
    <w:rsid w:val="002265B2"/>
    <w:rsid w:val="00226740"/>
    <w:rsid w:val="002267D4"/>
    <w:rsid w:val="00226806"/>
    <w:rsid w:val="00226838"/>
    <w:rsid w:val="00226855"/>
    <w:rsid w:val="002268BF"/>
    <w:rsid w:val="00226910"/>
    <w:rsid w:val="00226936"/>
    <w:rsid w:val="002269FF"/>
    <w:rsid w:val="00226A6F"/>
    <w:rsid w:val="00226A9C"/>
    <w:rsid w:val="00226BDC"/>
    <w:rsid w:val="00226CB7"/>
    <w:rsid w:val="00226E81"/>
    <w:rsid w:val="00226EB0"/>
    <w:rsid w:val="00226FB6"/>
    <w:rsid w:val="00226FE3"/>
    <w:rsid w:val="00227016"/>
    <w:rsid w:val="002270E7"/>
    <w:rsid w:val="002270EF"/>
    <w:rsid w:val="00227138"/>
    <w:rsid w:val="002271BB"/>
    <w:rsid w:val="00227285"/>
    <w:rsid w:val="002272EF"/>
    <w:rsid w:val="00227356"/>
    <w:rsid w:val="00227370"/>
    <w:rsid w:val="002273D4"/>
    <w:rsid w:val="00227506"/>
    <w:rsid w:val="00227521"/>
    <w:rsid w:val="00227589"/>
    <w:rsid w:val="0022759C"/>
    <w:rsid w:val="002275FF"/>
    <w:rsid w:val="00227654"/>
    <w:rsid w:val="002276B1"/>
    <w:rsid w:val="002276BE"/>
    <w:rsid w:val="002276E9"/>
    <w:rsid w:val="00227712"/>
    <w:rsid w:val="0022775C"/>
    <w:rsid w:val="0022776F"/>
    <w:rsid w:val="002277F2"/>
    <w:rsid w:val="00227805"/>
    <w:rsid w:val="00227956"/>
    <w:rsid w:val="00227B88"/>
    <w:rsid w:val="00227CB1"/>
    <w:rsid w:val="00227CE2"/>
    <w:rsid w:val="00227EFB"/>
    <w:rsid w:val="00227F3F"/>
    <w:rsid w:val="00227F9D"/>
    <w:rsid w:val="002300B5"/>
    <w:rsid w:val="002300BB"/>
    <w:rsid w:val="0023011D"/>
    <w:rsid w:val="00230175"/>
    <w:rsid w:val="00230211"/>
    <w:rsid w:val="0023024D"/>
    <w:rsid w:val="00230276"/>
    <w:rsid w:val="00230304"/>
    <w:rsid w:val="00230348"/>
    <w:rsid w:val="0023037D"/>
    <w:rsid w:val="0023039A"/>
    <w:rsid w:val="002303E8"/>
    <w:rsid w:val="002305F7"/>
    <w:rsid w:val="002306FC"/>
    <w:rsid w:val="00230807"/>
    <w:rsid w:val="00230843"/>
    <w:rsid w:val="00230930"/>
    <w:rsid w:val="00230AF6"/>
    <w:rsid w:val="00230C91"/>
    <w:rsid w:val="00230D14"/>
    <w:rsid w:val="00230DAE"/>
    <w:rsid w:val="00230E5E"/>
    <w:rsid w:val="00230EA7"/>
    <w:rsid w:val="00230EB3"/>
    <w:rsid w:val="00230FA1"/>
    <w:rsid w:val="0023100E"/>
    <w:rsid w:val="0023102A"/>
    <w:rsid w:val="0023104B"/>
    <w:rsid w:val="002311B7"/>
    <w:rsid w:val="002311C2"/>
    <w:rsid w:val="00231213"/>
    <w:rsid w:val="00231261"/>
    <w:rsid w:val="0023144D"/>
    <w:rsid w:val="00231485"/>
    <w:rsid w:val="00231544"/>
    <w:rsid w:val="00231552"/>
    <w:rsid w:val="0023156F"/>
    <w:rsid w:val="00231687"/>
    <w:rsid w:val="00231778"/>
    <w:rsid w:val="0023187E"/>
    <w:rsid w:val="00231889"/>
    <w:rsid w:val="002319EC"/>
    <w:rsid w:val="00231C8C"/>
    <w:rsid w:val="00231D72"/>
    <w:rsid w:val="00231DD9"/>
    <w:rsid w:val="00231E2C"/>
    <w:rsid w:val="002320C2"/>
    <w:rsid w:val="00232111"/>
    <w:rsid w:val="00232157"/>
    <w:rsid w:val="00232181"/>
    <w:rsid w:val="002322CE"/>
    <w:rsid w:val="00232396"/>
    <w:rsid w:val="002323AF"/>
    <w:rsid w:val="00232445"/>
    <w:rsid w:val="002324E6"/>
    <w:rsid w:val="00232634"/>
    <w:rsid w:val="00232635"/>
    <w:rsid w:val="00232795"/>
    <w:rsid w:val="00232940"/>
    <w:rsid w:val="0023294A"/>
    <w:rsid w:val="002329A9"/>
    <w:rsid w:val="00232B0C"/>
    <w:rsid w:val="00232B0F"/>
    <w:rsid w:val="00232B5B"/>
    <w:rsid w:val="00232B8E"/>
    <w:rsid w:val="00232C17"/>
    <w:rsid w:val="00232C3B"/>
    <w:rsid w:val="00232DD0"/>
    <w:rsid w:val="00232DFB"/>
    <w:rsid w:val="00232E19"/>
    <w:rsid w:val="00232E1C"/>
    <w:rsid w:val="00232E54"/>
    <w:rsid w:val="00232EEF"/>
    <w:rsid w:val="00232EF4"/>
    <w:rsid w:val="00232F27"/>
    <w:rsid w:val="00232F56"/>
    <w:rsid w:val="00233091"/>
    <w:rsid w:val="002330F3"/>
    <w:rsid w:val="0023311E"/>
    <w:rsid w:val="002331AB"/>
    <w:rsid w:val="0023329B"/>
    <w:rsid w:val="002333DB"/>
    <w:rsid w:val="002333EE"/>
    <w:rsid w:val="00233417"/>
    <w:rsid w:val="0023345B"/>
    <w:rsid w:val="00233551"/>
    <w:rsid w:val="00233796"/>
    <w:rsid w:val="0023379E"/>
    <w:rsid w:val="0023384D"/>
    <w:rsid w:val="00233869"/>
    <w:rsid w:val="00233997"/>
    <w:rsid w:val="00233A2B"/>
    <w:rsid w:val="00233A6A"/>
    <w:rsid w:val="00233C44"/>
    <w:rsid w:val="00233CB9"/>
    <w:rsid w:val="00233DDA"/>
    <w:rsid w:val="00233E1A"/>
    <w:rsid w:val="00234084"/>
    <w:rsid w:val="0023418C"/>
    <w:rsid w:val="0023441B"/>
    <w:rsid w:val="002344D7"/>
    <w:rsid w:val="0023474D"/>
    <w:rsid w:val="00234762"/>
    <w:rsid w:val="002348A9"/>
    <w:rsid w:val="00234906"/>
    <w:rsid w:val="002349A2"/>
    <w:rsid w:val="00234A4B"/>
    <w:rsid w:val="00234AEE"/>
    <w:rsid w:val="00234B21"/>
    <w:rsid w:val="00234C68"/>
    <w:rsid w:val="00234DDE"/>
    <w:rsid w:val="00234E27"/>
    <w:rsid w:val="00234E2F"/>
    <w:rsid w:val="00234F13"/>
    <w:rsid w:val="00234F72"/>
    <w:rsid w:val="00234F96"/>
    <w:rsid w:val="00235163"/>
    <w:rsid w:val="0023518D"/>
    <w:rsid w:val="002352A3"/>
    <w:rsid w:val="0023534D"/>
    <w:rsid w:val="0023546F"/>
    <w:rsid w:val="0023552F"/>
    <w:rsid w:val="00235600"/>
    <w:rsid w:val="002356AA"/>
    <w:rsid w:val="00235718"/>
    <w:rsid w:val="00235730"/>
    <w:rsid w:val="002358C2"/>
    <w:rsid w:val="002358CE"/>
    <w:rsid w:val="00235AE7"/>
    <w:rsid w:val="00235C13"/>
    <w:rsid w:val="00235CFB"/>
    <w:rsid w:val="00235E4C"/>
    <w:rsid w:val="00235EA3"/>
    <w:rsid w:val="00235EA7"/>
    <w:rsid w:val="00236068"/>
    <w:rsid w:val="002360EE"/>
    <w:rsid w:val="00236287"/>
    <w:rsid w:val="00236315"/>
    <w:rsid w:val="002363E6"/>
    <w:rsid w:val="0023647D"/>
    <w:rsid w:val="00236593"/>
    <w:rsid w:val="00236682"/>
    <w:rsid w:val="002367D9"/>
    <w:rsid w:val="002367EC"/>
    <w:rsid w:val="0023685A"/>
    <w:rsid w:val="002368B4"/>
    <w:rsid w:val="00236960"/>
    <w:rsid w:val="00236A0B"/>
    <w:rsid w:val="00236B3A"/>
    <w:rsid w:val="00236D3C"/>
    <w:rsid w:val="00236E6E"/>
    <w:rsid w:val="00237126"/>
    <w:rsid w:val="0023713F"/>
    <w:rsid w:val="0023725C"/>
    <w:rsid w:val="002372BE"/>
    <w:rsid w:val="0023734F"/>
    <w:rsid w:val="002373BE"/>
    <w:rsid w:val="002374E3"/>
    <w:rsid w:val="002374E9"/>
    <w:rsid w:val="00237502"/>
    <w:rsid w:val="00237513"/>
    <w:rsid w:val="00237580"/>
    <w:rsid w:val="00237663"/>
    <w:rsid w:val="002376A2"/>
    <w:rsid w:val="002376FA"/>
    <w:rsid w:val="002377F2"/>
    <w:rsid w:val="0023780F"/>
    <w:rsid w:val="00237869"/>
    <w:rsid w:val="0023787C"/>
    <w:rsid w:val="00237A6A"/>
    <w:rsid w:val="00237B0A"/>
    <w:rsid w:val="00237B5A"/>
    <w:rsid w:val="00237BB5"/>
    <w:rsid w:val="00237C1D"/>
    <w:rsid w:val="00237CF0"/>
    <w:rsid w:val="00237E2B"/>
    <w:rsid w:val="00237E4B"/>
    <w:rsid w:val="00237F77"/>
    <w:rsid w:val="00237FC3"/>
    <w:rsid w:val="002401D9"/>
    <w:rsid w:val="00240212"/>
    <w:rsid w:val="0024025B"/>
    <w:rsid w:val="002402A2"/>
    <w:rsid w:val="002403A4"/>
    <w:rsid w:val="002403D4"/>
    <w:rsid w:val="002403E6"/>
    <w:rsid w:val="00240628"/>
    <w:rsid w:val="00240678"/>
    <w:rsid w:val="002406F0"/>
    <w:rsid w:val="00240747"/>
    <w:rsid w:val="002407B9"/>
    <w:rsid w:val="0024091F"/>
    <w:rsid w:val="002409AC"/>
    <w:rsid w:val="002409EF"/>
    <w:rsid w:val="00240A54"/>
    <w:rsid w:val="00240A64"/>
    <w:rsid w:val="00240B8D"/>
    <w:rsid w:val="00240BFE"/>
    <w:rsid w:val="00240C46"/>
    <w:rsid w:val="00240D07"/>
    <w:rsid w:val="00240EF6"/>
    <w:rsid w:val="00240F28"/>
    <w:rsid w:val="0024101F"/>
    <w:rsid w:val="002410E8"/>
    <w:rsid w:val="002412E3"/>
    <w:rsid w:val="00241324"/>
    <w:rsid w:val="00241379"/>
    <w:rsid w:val="002413D9"/>
    <w:rsid w:val="002415A5"/>
    <w:rsid w:val="002415C1"/>
    <w:rsid w:val="002415D7"/>
    <w:rsid w:val="002415E3"/>
    <w:rsid w:val="0024168C"/>
    <w:rsid w:val="002416F0"/>
    <w:rsid w:val="0024171F"/>
    <w:rsid w:val="00241746"/>
    <w:rsid w:val="00241804"/>
    <w:rsid w:val="002418CD"/>
    <w:rsid w:val="002418D0"/>
    <w:rsid w:val="00241927"/>
    <w:rsid w:val="002419E4"/>
    <w:rsid w:val="00241B0D"/>
    <w:rsid w:val="00241B6C"/>
    <w:rsid w:val="00241C31"/>
    <w:rsid w:val="00241CF8"/>
    <w:rsid w:val="00241DCD"/>
    <w:rsid w:val="00241E80"/>
    <w:rsid w:val="00241F4F"/>
    <w:rsid w:val="00241FBB"/>
    <w:rsid w:val="00242086"/>
    <w:rsid w:val="002420E4"/>
    <w:rsid w:val="00242124"/>
    <w:rsid w:val="00242238"/>
    <w:rsid w:val="0024231A"/>
    <w:rsid w:val="002424C7"/>
    <w:rsid w:val="0024251A"/>
    <w:rsid w:val="0024256B"/>
    <w:rsid w:val="0024258B"/>
    <w:rsid w:val="002426C3"/>
    <w:rsid w:val="002428FF"/>
    <w:rsid w:val="00242A4C"/>
    <w:rsid w:val="00242B72"/>
    <w:rsid w:val="00242C11"/>
    <w:rsid w:val="00242D3A"/>
    <w:rsid w:val="00242DFA"/>
    <w:rsid w:val="00242E2F"/>
    <w:rsid w:val="00242E66"/>
    <w:rsid w:val="00242FC8"/>
    <w:rsid w:val="00243057"/>
    <w:rsid w:val="00243136"/>
    <w:rsid w:val="00243204"/>
    <w:rsid w:val="0024329E"/>
    <w:rsid w:val="002432AC"/>
    <w:rsid w:val="00243314"/>
    <w:rsid w:val="002433E8"/>
    <w:rsid w:val="002433EE"/>
    <w:rsid w:val="002434F6"/>
    <w:rsid w:val="00243539"/>
    <w:rsid w:val="00243795"/>
    <w:rsid w:val="0024379F"/>
    <w:rsid w:val="002438B7"/>
    <w:rsid w:val="002438E9"/>
    <w:rsid w:val="002438FD"/>
    <w:rsid w:val="00243902"/>
    <w:rsid w:val="00243A0B"/>
    <w:rsid w:val="00243B5A"/>
    <w:rsid w:val="00243B64"/>
    <w:rsid w:val="00243C4F"/>
    <w:rsid w:val="00243D00"/>
    <w:rsid w:val="00243D28"/>
    <w:rsid w:val="00243D3B"/>
    <w:rsid w:val="00243D55"/>
    <w:rsid w:val="00243D9A"/>
    <w:rsid w:val="00243ED0"/>
    <w:rsid w:val="00243FC3"/>
    <w:rsid w:val="00244071"/>
    <w:rsid w:val="00244113"/>
    <w:rsid w:val="00244215"/>
    <w:rsid w:val="00244294"/>
    <w:rsid w:val="00244305"/>
    <w:rsid w:val="002444B0"/>
    <w:rsid w:val="002445E0"/>
    <w:rsid w:val="00244656"/>
    <w:rsid w:val="00244691"/>
    <w:rsid w:val="002446C1"/>
    <w:rsid w:val="00244AE5"/>
    <w:rsid w:val="00244BC3"/>
    <w:rsid w:val="00244BDA"/>
    <w:rsid w:val="00244DE4"/>
    <w:rsid w:val="00244F25"/>
    <w:rsid w:val="002451DE"/>
    <w:rsid w:val="002455D2"/>
    <w:rsid w:val="0024564C"/>
    <w:rsid w:val="002456DD"/>
    <w:rsid w:val="002456E0"/>
    <w:rsid w:val="0024579D"/>
    <w:rsid w:val="002457C5"/>
    <w:rsid w:val="00245859"/>
    <w:rsid w:val="002458D9"/>
    <w:rsid w:val="002458EC"/>
    <w:rsid w:val="0024595D"/>
    <w:rsid w:val="00245C0A"/>
    <w:rsid w:val="00245DC7"/>
    <w:rsid w:val="00245DCF"/>
    <w:rsid w:val="00245E92"/>
    <w:rsid w:val="00245E9D"/>
    <w:rsid w:val="00245ED4"/>
    <w:rsid w:val="00245F5A"/>
    <w:rsid w:val="00245F87"/>
    <w:rsid w:val="00246012"/>
    <w:rsid w:val="00246277"/>
    <w:rsid w:val="0024633E"/>
    <w:rsid w:val="002464AE"/>
    <w:rsid w:val="002466ED"/>
    <w:rsid w:val="00246783"/>
    <w:rsid w:val="0024687C"/>
    <w:rsid w:val="0024689E"/>
    <w:rsid w:val="002468E0"/>
    <w:rsid w:val="002469FE"/>
    <w:rsid w:val="00246B2F"/>
    <w:rsid w:val="00246C28"/>
    <w:rsid w:val="00246E0A"/>
    <w:rsid w:val="00246EA4"/>
    <w:rsid w:val="00247103"/>
    <w:rsid w:val="0024714C"/>
    <w:rsid w:val="0024715E"/>
    <w:rsid w:val="00247163"/>
    <w:rsid w:val="002471F6"/>
    <w:rsid w:val="00247259"/>
    <w:rsid w:val="00247300"/>
    <w:rsid w:val="0024733C"/>
    <w:rsid w:val="0024741C"/>
    <w:rsid w:val="00247444"/>
    <w:rsid w:val="00247468"/>
    <w:rsid w:val="0024753A"/>
    <w:rsid w:val="00247601"/>
    <w:rsid w:val="00247656"/>
    <w:rsid w:val="002477ED"/>
    <w:rsid w:val="0024785C"/>
    <w:rsid w:val="002478CD"/>
    <w:rsid w:val="0024793B"/>
    <w:rsid w:val="0024794D"/>
    <w:rsid w:val="0024799D"/>
    <w:rsid w:val="002479F7"/>
    <w:rsid w:val="00247A28"/>
    <w:rsid w:val="00247AA8"/>
    <w:rsid w:val="00247B1A"/>
    <w:rsid w:val="00247BE3"/>
    <w:rsid w:val="00247EA2"/>
    <w:rsid w:val="00247F82"/>
    <w:rsid w:val="00247FD2"/>
    <w:rsid w:val="00250118"/>
    <w:rsid w:val="002501AC"/>
    <w:rsid w:val="0025039C"/>
    <w:rsid w:val="002503FE"/>
    <w:rsid w:val="002504BF"/>
    <w:rsid w:val="0025059B"/>
    <w:rsid w:val="002505CA"/>
    <w:rsid w:val="00250666"/>
    <w:rsid w:val="0025072C"/>
    <w:rsid w:val="002507AF"/>
    <w:rsid w:val="002507D2"/>
    <w:rsid w:val="0025082E"/>
    <w:rsid w:val="00250853"/>
    <w:rsid w:val="0025087E"/>
    <w:rsid w:val="00250A35"/>
    <w:rsid w:val="00250A42"/>
    <w:rsid w:val="00250B04"/>
    <w:rsid w:val="00250BBC"/>
    <w:rsid w:val="00250C92"/>
    <w:rsid w:val="00250D3C"/>
    <w:rsid w:val="00250D6B"/>
    <w:rsid w:val="00250E50"/>
    <w:rsid w:val="00250E7A"/>
    <w:rsid w:val="00250E97"/>
    <w:rsid w:val="00250F4B"/>
    <w:rsid w:val="00250F74"/>
    <w:rsid w:val="00250FA9"/>
    <w:rsid w:val="00250FE7"/>
    <w:rsid w:val="0025112A"/>
    <w:rsid w:val="00251306"/>
    <w:rsid w:val="0025142A"/>
    <w:rsid w:val="0025143D"/>
    <w:rsid w:val="0025146F"/>
    <w:rsid w:val="002514A4"/>
    <w:rsid w:val="0025157F"/>
    <w:rsid w:val="002516BC"/>
    <w:rsid w:val="0025178F"/>
    <w:rsid w:val="00251895"/>
    <w:rsid w:val="002518DC"/>
    <w:rsid w:val="0025199E"/>
    <w:rsid w:val="00251AB2"/>
    <w:rsid w:val="00251ADD"/>
    <w:rsid w:val="00251E40"/>
    <w:rsid w:val="00251EC9"/>
    <w:rsid w:val="002520A0"/>
    <w:rsid w:val="00252126"/>
    <w:rsid w:val="0025212A"/>
    <w:rsid w:val="00252198"/>
    <w:rsid w:val="002523B9"/>
    <w:rsid w:val="0025247F"/>
    <w:rsid w:val="00252646"/>
    <w:rsid w:val="00252659"/>
    <w:rsid w:val="002528E7"/>
    <w:rsid w:val="002529AE"/>
    <w:rsid w:val="00252A6B"/>
    <w:rsid w:val="00252AB6"/>
    <w:rsid w:val="00252B11"/>
    <w:rsid w:val="00252E19"/>
    <w:rsid w:val="00252EC9"/>
    <w:rsid w:val="00252ED1"/>
    <w:rsid w:val="00252F0B"/>
    <w:rsid w:val="00252F5E"/>
    <w:rsid w:val="00252F6B"/>
    <w:rsid w:val="00253066"/>
    <w:rsid w:val="002531D5"/>
    <w:rsid w:val="00253230"/>
    <w:rsid w:val="00253266"/>
    <w:rsid w:val="00253293"/>
    <w:rsid w:val="0025339C"/>
    <w:rsid w:val="002533F6"/>
    <w:rsid w:val="002533F8"/>
    <w:rsid w:val="00253424"/>
    <w:rsid w:val="0025347A"/>
    <w:rsid w:val="0025354C"/>
    <w:rsid w:val="00253715"/>
    <w:rsid w:val="0025373D"/>
    <w:rsid w:val="0025377D"/>
    <w:rsid w:val="002537A1"/>
    <w:rsid w:val="002537CB"/>
    <w:rsid w:val="002537D2"/>
    <w:rsid w:val="00253971"/>
    <w:rsid w:val="00253A34"/>
    <w:rsid w:val="00253C09"/>
    <w:rsid w:val="00253CD4"/>
    <w:rsid w:val="00253D47"/>
    <w:rsid w:val="00253D88"/>
    <w:rsid w:val="00253E0A"/>
    <w:rsid w:val="00253E29"/>
    <w:rsid w:val="00253EA8"/>
    <w:rsid w:val="00254103"/>
    <w:rsid w:val="00254143"/>
    <w:rsid w:val="002541E9"/>
    <w:rsid w:val="002542BC"/>
    <w:rsid w:val="00254440"/>
    <w:rsid w:val="002544EC"/>
    <w:rsid w:val="002545CF"/>
    <w:rsid w:val="00254641"/>
    <w:rsid w:val="0025486C"/>
    <w:rsid w:val="00254977"/>
    <w:rsid w:val="002549A6"/>
    <w:rsid w:val="002549D5"/>
    <w:rsid w:val="00254A21"/>
    <w:rsid w:val="00254B0E"/>
    <w:rsid w:val="00254BB7"/>
    <w:rsid w:val="00254BF8"/>
    <w:rsid w:val="00254C98"/>
    <w:rsid w:val="00254F3D"/>
    <w:rsid w:val="00255230"/>
    <w:rsid w:val="002552B6"/>
    <w:rsid w:val="002552F7"/>
    <w:rsid w:val="0025531C"/>
    <w:rsid w:val="00255482"/>
    <w:rsid w:val="0025548F"/>
    <w:rsid w:val="0025582E"/>
    <w:rsid w:val="00255833"/>
    <w:rsid w:val="002558C8"/>
    <w:rsid w:val="002559C0"/>
    <w:rsid w:val="002559DF"/>
    <w:rsid w:val="00255A49"/>
    <w:rsid w:val="00255B3D"/>
    <w:rsid w:val="00255C1D"/>
    <w:rsid w:val="00255EC6"/>
    <w:rsid w:val="00255F21"/>
    <w:rsid w:val="00256017"/>
    <w:rsid w:val="0025613C"/>
    <w:rsid w:val="00256329"/>
    <w:rsid w:val="00256543"/>
    <w:rsid w:val="0025655E"/>
    <w:rsid w:val="002565F2"/>
    <w:rsid w:val="002568A7"/>
    <w:rsid w:val="00256970"/>
    <w:rsid w:val="002569B4"/>
    <w:rsid w:val="002569D0"/>
    <w:rsid w:val="00256A98"/>
    <w:rsid w:val="00256B36"/>
    <w:rsid w:val="00256C4A"/>
    <w:rsid w:val="00256C81"/>
    <w:rsid w:val="00256D0D"/>
    <w:rsid w:val="00256D4A"/>
    <w:rsid w:val="00256D5A"/>
    <w:rsid w:val="00256D6C"/>
    <w:rsid w:val="00256DFC"/>
    <w:rsid w:val="00256E0C"/>
    <w:rsid w:val="00256ECD"/>
    <w:rsid w:val="00256EE7"/>
    <w:rsid w:val="00256F75"/>
    <w:rsid w:val="00256F88"/>
    <w:rsid w:val="0025710F"/>
    <w:rsid w:val="00257136"/>
    <w:rsid w:val="0025719B"/>
    <w:rsid w:val="002571D4"/>
    <w:rsid w:val="002573C2"/>
    <w:rsid w:val="0025758D"/>
    <w:rsid w:val="0025759E"/>
    <w:rsid w:val="002575B5"/>
    <w:rsid w:val="0025768B"/>
    <w:rsid w:val="0025784E"/>
    <w:rsid w:val="0025787D"/>
    <w:rsid w:val="00257985"/>
    <w:rsid w:val="00257A05"/>
    <w:rsid w:val="00257AF8"/>
    <w:rsid w:val="00257B3F"/>
    <w:rsid w:val="00257B6E"/>
    <w:rsid w:val="00257B78"/>
    <w:rsid w:val="00257BD6"/>
    <w:rsid w:val="00257C17"/>
    <w:rsid w:val="00257C88"/>
    <w:rsid w:val="00260101"/>
    <w:rsid w:val="0026026D"/>
    <w:rsid w:val="0026038D"/>
    <w:rsid w:val="002603DA"/>
    <w:rsid w:val="00260651"/>
    <w:rsid w:val="00260666"/>
    <w:rsid w:val="00260679"/>
    <w:rsid w:val="002607BC"/>
    <w:rsid w:val="002608E8"/>
    <w:rsid w:val="00260925"/>
    <w:rsid w:val="0026093F"/>
    <w:rsid w:val="0026094A"/>
    <w:rsid w:val="002609BE"/>
    <w:rsid w:val="00260AB7"/>
    <w:rsid w:val="00260B5C"/>
    <w:rsid w:val="00260BA9"/>
    <w:rsid w:val="00260BC0"/>
    <w:rsid w:val="00260C7E"/>
    <w:rsid w:val="00260D78"/>
    <w:rsid w:val="00260DD3"/>
    <w:rsid w:val="00260F29"/>
    <w:rsid w:val="00260F66"/>
    <w:rsid w:val="00260FDD"/>
    <w:rsid w:val="0026119C"/>
    <w:rsid w:val="00261387"/>
    <w:rsid w:val="00261475"/>
    <w:rsid w:val="00261527"/>
    <w:rsid w:val="002615FF"/>
    <w:rsid w:val="00261957"/>
    <w:rsid w:val="002619FC"/>
    <w:rsid w:val="00261A69"/>
    <w:rsid w:val="00261A76"/>
    <w:rsid w:val="00261A84"/>
    <w:rsid w:val="00261B0D"/>
    <w:rsid w:val="00261CED"/>
    <w:rsid w:val="00261D0C"/>
    <w:rsid w:val="00261D72"/>
    <w:rsid w:val="00261DA2"/>
    <w:rsid w:val="00261E47"/>
    <w:rsid w:val="00261E54"/>
    <w:rsid w:val="00261ECF"/>
    <w:rsid w:val="00261F45"/>
    <w:rsid w:val="00261F6C"/>
    <w:rsid w:val="00261F7A"/>
    <w:rsid w:val="00261F9B"/>
    <w:rsid w:val="00261FC9"/>
    <w:rsid w:val="00262052"/>
    <w:rsid w:val="002621B8"/>
    <w:rsid w:val="002621C2"/>
    <w:rsid w:val="002621EF"/>
    <w:rsid w:val="00262213"/>
    <w:rsid w:val="0026228C"/>
    <w:rsid w:val="0026229D"/>
    <w:rsid w:val="002622D5"/>
    <w:rsid w:val="00262346"/>
    <w:rsid w:val="002625CD"/>
    <w:rsid w:val="00262752"/>
    <w:rsid w:val="002628D3"/>
    <w:rsid w:val="00262970"/>
    <w:rsid w:val="002629F1"/>
    <w:rsid w:val="00262A5C"/>
    <w:rsid w:val="00262B89"/>
    <w:rsid w:val="00262C92"/>
    <w:rsid w:val="00262C93"/>
    <w:rsid w:val="00262D02"/>
    <w:rsid w:val="00262E2F"/>
    <w:rsid w:val="0026302E"/>
    <w:rsid w:val="00263169"/>
    <w:rsid w:val="00263220"/>
    <w:rsid w:val="00263296"/>
    <w:rsid w:val="0026334A"/>
    <w:rsid w:val="0026347D"/>
    <w:rsid w:val="00263502"/>
    <w:rsid w:val="002635C0"/>
    <w:rsid w:val="002635E5"/>
    <w:rsid w:val="002635E9"/>
    <w:rsid w:val="0026380C"/>
    <w:rsid w:val="00263910"/>
    <w:rsid w:val="00263AB4"/>
    <w:rsid w:val="00263F2F"/>
    <w:rsid w:val="00263FCB"/>
    <w:rsid w:val="00263FFC"/>
    <w:rsid w:val="0026401A"/>
    <w:rsid w:val="0026416A"/>
    <w:rsid w:val="002641A3"/>
    <w:rsid w:val="00264241"/>
    <w:rsid w:val="002642F6"/>
    <w:rsid w:val="00264300"/>
    <w:rsid w:val="00264461"/>
    <w:rsid w:val="00264540"/>
    <w:rsid w:val="0026464D"/>
    <w:rsid w:val="00264766"/>
    <w:rsid w:val="002647D5"/>
    <w:rsid w:val="00264943"/>
    <w:rsid w:val="00264988"/>
    <w:rsid w:val="00264996"/>
    <w:rsid w:val="00264AB3"/>
    <w:rsid w:val="00264B47"/>
    <w:rsid w:val="00264B95"/>
    <w:rsid w:val="00264C46"/>
    <w:rsid w:val="00264D00"/>
    <w:rsid w:val="00264D15"/>
    <w:rsid w:val="00264DBE"/>
    <w:rsid w:val="00264E7D"/>
    <w:rsid w:val="00264EBD"/>
    <w:rsid w:val="00264F70"/>
    <w:rsid w:val="00264FB1"/>
    <w:rsid w:val="00265045"/>
    <w:rsid w:val="002651B6"/>
    <w:rsid w:val="002651DD"/>
    <w:rsid w:val="00265268"/>
    <w:rsid w:val="0026536E"/>
    <w:rsid w:val="002654C2"/>
    <w:rsid w:val="002654D2"/>
    <w:rsid w:val="002655FF"/>
    <w:rsid w:val="00265660"/>
    <w:rsid w:val="00265829"/>
    <w:rsid w:val="00265876"/>
    <w:rsid w:val="002659A2"/>
    <w:rsid w:val="002659D4"/>
    <w:rsid w:val="00265B18"/>
    <w:rsid w:val="00265BC8"/>
    <w:rsid w:val="00265DAD"/>
    <w:rsid w:val="00265DC7"/>
    <w:rsid w:val="00265DFB"/>
    <w:rsid w:val="00265F34"/>
    <w:rsid w:val="002660AE"/>
    <w:rsid w:val="002660E7"/>
    <w:rsid w:val="002662D5"/>
    <w:rsid w:val="00266429"/>
    <w:rsid w:val="0026658D"/>
    <w:rsid w:val="00266655"/>
    <w:rsid w:val="0026671C"/>
    <w:rsid w:val="00266811"/>
    <w:rsid w:val="00266821"/>
    <w:rsid w:val="00266C2A"/>
    <w:rsid w:val="00266C4C"/>
    <w:rsid w:val="00266CB7"/>
    <w:rsid w:val="00266D9C"/>
    <w:rsid w:val="00266E55"/>
    <w:rsid w:val="00266E77"/>
    <w:rsid w:val="00266F52"/>
    <w:rsid w:val="00266FEA"/>
    <w:rsid w:val="0026725E"/>
    <w:rsid w:val="002672A9"/>
    <w:rsid w:val="002674AB"/>
    <w:rsid w:val="00267540"/>
    <w:rsid w:val="002675CF"/>
    <w:rsid w:val="002676C0"/>
    <w:rsid w:val="0026770E"/>
    <w:rsid w:val="00267731"/>
    <w:rsid w:val="002677F6"/>
    <w:rsid w:val="0026798E"/>
    <w:rsid w:val="00267B13"/>
    <w:rsid w:val="00267C26"/>
    <w:rsid w:val="00267C8C"/>
    <w:rsid w:val="00267C92"/>
    <w:rsid w:val="00267D80"/>
    <w:rsid w:val="00267DE9"/>
    <w:rsid w:val="00267E10"/>
    <w:rsid w:val="00267E31"/>
    <w:rsid w:val="00267FCA"/>
    <w:rsid w:val="0026B787"/>
    <w:rsid w:val="00270101"/>
    <w:rsid w:val="0027010F"/>
    <w:rsid w:val="002701CE"/>
    <w:rsid w:val="002702A1"/>
    <w:rsid w:val="00270322"/>
    <w:rsid w:val="0027042E"/>
    <w:rsid w:val="002705E2"/>
    <w:rsid w:val="00270725"/>
    <w:rsid w:val="002708CF"/>
    <w:rsid w:val="00270A13"/>
    <w:rsid w:val="00270B1A"/>
    <w:rsid w:val="00270BC1"/>
    <w:rsid w:val="00270BCC"/>
    <w:rsid w:val="00270C0A"/>
    <w:rsid w:val="00270C8E"/>
    <w:rsid w:val="00270D17"/>
    <w:rsid w:val="00270DF6"/>
    <w:rsid w:val="00270EA8"/>
    <w:rsid w:val="00270EF3"/>
    <w:rsid w:val="00270F02"/>
    <w:rsid w:val="00270F19"/>
    <w:rsid w:val="00270F20"/>
    <w:rsid w:val="00270FC3"/>
    <w:rsid w:val="00271006"/>
    <w:rsid w:val="00271083"/>
    <w:rsid w:val="00271498"/>
    <w:rsid w:val="002715BC"/>
    <w:rsid w:val="0027161A"/>
    <w:rsid w:val="002716EC"/>
    <w:rsid w:val="00271886"/>
    <w:rsid w:val="0027199D"/>
    <w:rsid w:val="00271A37"/>
    <w:rsid w:val="00271A4A"/>
    <w:rsid w:val="00271AE3"/>
    <w:rsid w:val="00271B8B"/>
    <w:rsid w:val="00271BDA"/>
    <w:rsid w:val="00271BF7"/>
    <w:rsid w:val="00271CAD"/>
    <w:rsid w:val="00271DE4"/>
    <w:rsid w:val="00271E6F"/>
    <w:rsid w:val="00271E81"/>
    <w:rsid w:val="00271E99"/>
    <w:rsid w:val="00271EF7"/>
    <w:rsid w:val="00271F3C"/>
    <w:rsid w:val="002720C0"/>
    <w:rsid w:val="0027218A"/>
    <w:rsid w:val="002721DD"/>
    <w:rsid w:val="0027223B"/>
    <w:rsid w:val="002722A8"/>
    <w:rsid w:val="0027234A"/>
    <w:rsid w:val="0027248B"/>
    <w:rsid w:val="00272560"/>
    <w:rsid w:val="002725BB"/>
    <w:rsid w:val="002725DF"/>
    <w:rsid w:val="0027265C"/>
    <w:rsid w:val="002726E3"/>
    <w:rsid w:val="0027275C"/>
    <w:rsid w:val="002727BC"/>
    <w:rsid w:val="00272896"/>
    <w:rsid w:val="002728D0"/>
    <w:rsid w:val="0027290B"/>
    <w:rsid w:val="00272A32"/>
    <w:rsid w:val="00272BE3"/>
    <w:rsid w:val="00272C3B"/>
    <w:rsid w:val="00272CEA"/>
    <w:rsid w:val="00272D4F"/>
    <w:rsid w:val="00272DFD"/>
    <w:rsid w:val="00272E77"/>
    <w:rsid w:val="00272E95"/>
    <w:rsid w:val="00272ED9"/>
    <w:rsid w:val="002731B4"/>
    <w:rsid w:val="00273232"/>
    <w:rsid w:val="00273348"/>
    <w:rsid w:val="00273361"/>
    <w:rsid w:val="002733E1"/>
    <w:rsid w:val="00273667"/>
    <w:rsid w:val="002736EA"/>
    <w:rsid w:val="00273707"/>
    <w:rsid w:val="00273875"/>
    <w:rsid w:val="0027394D"/>
    <w:rsid w:val="0027398F"/>
    <w:rsid w:val="002739C0"/>
    <w:rsid w:val="002739EA"/>
    <w:rsid w:val="00273AB4"/>
    <w:rsid w:val="00273AF6"/>
    <w:rsid w:val="00273CD1"/>
    <w:rsid w:val="00273FB7"/>
    <w:rsid w:val="0027401B"/>
    <w:rsid w:val="002740E5"/>
    <w:rsid w:val="00274169"/>
    <w:rsid w:val="002743B1"/>
    <w:rsid w:val="0027441A"/>
    <w:rsid w:val="00274470"/>
    <w:rsid w:val="002744F6"/>
    <w:rsid w:val="0027461A"/>
    <w:rsid w:val="00274767"/>
    <w:rsid w:val="002747BF"/>
    <w:rsid w:val="002748E7"/>
    <w:rsid w:val="00274919"/>
    <w:rsid w:val="00274942"/>
    <w:rsid w:val="00274AF4"/>
    <w:rsid w:val="00274B0B"/>
    <w:rsid w:val="00274C58"/>
    <w:rsid w:val="00274CF1"/>
    <w:rsid w:val="00274D6D"/>
    <w:rsid w:val="00274E4B"/>
    <w:rsid w:val="00274EB2"/>
    <w:rsid w:val="00274EC7"/>
    <w:rsid w:val="00274EF1"/>
    <w:rsid w:val="00274F40"/>
    <w:rsid w:val="00274F4D"/>
    <w:rsid w:val="00274F7F"/>
    <w:rsid w:val="00274FA4"/>
    <w:rsid w:val="002750AC"/>
    <w:rsid w:val="002750C9"/>
    <w:rsid w:val="002751B5"/>
    <w:rsid w:val="0027524F"/>
    <w:rsid w:val="002752C2"/>
    <w:rsid w:val="00275495"/>
    <w:rsid w:val="002754E4"/>
    <w:rsid w:val="002756BB"/>
    <w:rsid w:val="00275706"/>
    <w:rsid w:val="00275708"/>
    <w:rsid w:val="002757AF"/>
    <w:rsid w:val="002758E1"/>
    <w:rsid w:val="00275AC5"/>
    <w:rsid w:val="00275D0E"/>
    <w:rsid w:val="00275E5C"/>
    <w:rsid w:val="00275EF6"/>
    <w:rsid w:val="0027606F"/>
    <w:rsid w:val="00276072"/>
    <w:rsid w:val="0027612F"/>
    <w:rsid w:val="00276263"/>
    <w:rsid w:val="002762D9"/>
    <w:rsid w:val="0027636B"/>
    <w:rsid w:val="002763F4"/>
    <w:rsid w:val="0027651C"/>
    <w:rsid w:val="00276570"/>
    <w:rsid w:val="0027667A"/>
    <w:rsid w:val="00276797"/>
    <w:rsid w:val="002767BE"/>
    <w:rsid w:val="002767F9"/>
    <w:rsid w:val="00276902"/>
    <w:rsid w:val="00276906"/>
    <w:rsid w:val="00276B23"/>
    <w:rsid w:val="00276B62"/>
    <w:rsid w:val="00276BEF"/>
    <w:rsid w:val="00276DFB"/>
    <w:rsid w:val="00276E79"/>
    <w:rsid w:val="00276EDA"/>
    <w:rsid w:val="00276FF4"/>
    <w:rsid w:val="002770D9"/>
    <w:rsid w:val="002770F4"/>
    <w:rsid w:val="00277291"/>
    <w:rsid w:val="00277357"/>
    <w:rsid w:val="00277369"/>
    <w:rsid w:val="00277409"/>
    <w:rsid w:val="00277543"/>
    <w:rsid w:val="00277608"/>
    <w:rsid w:val="00277950"/>
    <w:rsid w:val="00277A05"/>
    <w:rsid w:val="00277A49"/>
    <w:rsid w:val="00277A93"/>
    <w:rsid w:val="00277C41"/>
    <w:rsid w:val="00277C6C"/>
    <w:rsid w:val="00277CE1"/>
    <w:rsid w:val="00277D30"/>
    <w:rsid w:val="00277D47"/>
    <w:rsid w:val="00277D7A"/>
    <w:rsid w:val="00277E22"/>
    <w:rsid w:val="00277F12"/>
    <w:rsid w:val="002800BE"/>
    <w:rsid w:val="002801A2"/>
    <w:rsid w:val="00280226"/>
    <w:rsid w:val="00280237"/>
    <w:rsid w:val="0028032C"/>
    <w:rsid w:val="00280527"/>
    <w:rsid w:val="0028056F"/>
    <w:rsid w:val="002805C1"/>
    <w:rsid w:val="00280607"/>
    <w:rsid w:val="002806BB"/>
    <w:rsid w:val="00280824"/>
    <w:rsid w:val="00280866"/>
    <w:rsid w:val="00280955"/>
    <w:rsid w:val="002809A3"/>
    <w:rsid w:val="00280A33"/>
    <w:rsid w:val="00280A5C"/>
    <w:rsid w:val="00280B29"/>
    <w:rsid w:val="00280C0A"/>
    <w:rsid w:val="00280DB2"/>
    <w:rsid w:val="00280E26"/>
    <w:rsid w:val="00280EBC"/>
    <w:rsid w:val="00280EC8"/>
    <w:rsid w:val="0028107C"/>
    <w:rsid w:val="002810EF"/>
    <w:rsid w:val="0028114C"/>
    <w:rsid w:val="00281256"/>
    <w:rsid w:val="00281283"/>
    <w:rsid w:val="00281334"/>
    <w:rsid w:val="00281363"/>
    <w:rsid w:val="00281367"/>
    <w:rsid w:val="0028154F"/>
    <w:rsid w:val="0028155A"/>
    <w:rsid w:val="0028173F"/>
    <w:rsid w:val="002817D5"/>
    <w:rsid w:val="00281805"/>
    <w:rsid w:val="00281888"/>
    <w:rsid w:val="002818E2"/>
    <w:rsid w:val="002818EF"/>
    <w:rsid w:val="0028191A"/>
    <w:rsid w:val="0028198B"/>
    <w:rsid w:val="002819A2"/>
    <w:rsid w:val="00281ABA"/>
    <w:rsid w:val="00281ADF"/>
    <w:rsid w:val="00281BED"/>
    <w:rsid w:val="00281D29"/>
    <w:rsid w:val="00281E88"/>
    <w:rsid w:val="00281EAD"/>
    <w:rsid w:val="00282082"/>
    <w:rsid w:val="002820D2"/>
    <w:rsid w:val="00282152"/>
    <w:rsid w:val="002821A6"/>
    <w:rsid w:val="002823A8"/>
    <w:rsid w:val="002823EF"/>
    <w:rsid w:val="002823FE"/>
    <w:rsid w:val="002824D1"/>
    <w:rsid w:val="002824E4"/>
    <w:rsid w:val="00282677"/>
    <w:rsid w:val="00282705"/>
    <w:rsid w:val="0028277F"/>
    <w:rsid w:val="002827AE"/>
    <w:rsid w:val="00282861"/>
    <w:rsid w:val="00282879"/>
    <w:rsid w:val="002828B1"/>
    <w:rsid w:val="002828B5"/>
    <w:rsid w:val="00282A56"/>
    <w:rsid w:val="00282AC6"/>
    <w:rsid w:val="00282AF2"/>
    <w:rsid w:val="00282B65"/>
    <w:rsid w:val="00282C56"/>
    <w:rsid w:val="00282D49"/>
    <w:rsid w:val="00282D9B"/>
    <w:rsid w:val="00282DAA"/>
    <w:rsid w:val="00282E44"/>
    <w:rsid w:val="00282E4B"/>
    <w:rsid w:val="00282F3A"/>
    <w:rsid w:val="00282FA0"/>
    <w:rsid w:val="002830D0"/>
    <w:rsid w:val="00283176"/>
    <w:rsid w:val="002831C3"/>
    <w:rsid w:val="0028321F"/>
    <w:rsid w:val="0028327D"/>
    <w:rsid w:val="00283410"/>
    <w:rsid w:val="00283483"/>
    <w:rsid w:val="002836DC"/>
    <w:rsid w:val="002838EE"/>
    <w:rsid w:val="00283948"/>
    <w:rsid w:val="00283A61"/>
    <w:rsid w:val="00283A89"/>
    <w:rsid w:val="00283B1C"/>
    <w:rsid w:val="00283D00"/>
    <w:rsid w:val="00283E5A"/>
    <w:rsid w:val="00283ECD"/>
    <w:rsid w:val="00283FD4"/>
    <w:rsid w:val="00284006"/>
    <w:rsid w:val="002840B1"/>
    <w:rsid w:val="002841C7"/>
    <w:rsid w:val="00284276"/>
    <w:rsid w:val="0028438A"/>
    <w:rsid w:val="00284465"/>
    <w:rsid w:val="002844EF"/>
    <w:rsid w:val="0028453E"/>
    <w:rsid w:val="00284839"/>
    <w:rsid w:val="00284A5D"/>
    <w:rsid w:val="00284B11"/>
    <w:rsid w:val="00284B82"/>
    <w:rsid w:val="00284C87"/>
    <w:rsid w:val="00284DD6"/>
    <w:rsid w:val="00284E36"/>
    <w:rsid w:val="00284E3D"/>
    <w:rsid w:val="00284E4E"/>
    <w:rsid w:val="00284E72"/>
    <w:rsid w:val="00284E98"/>
    <w:rsid w:val="00284EDD"/>
    <w:rsid w:val="00284F0D"/>
    <w:rsid w:val="00284F6D"/>
    <w:rsid w:val="00284F81"/>
    <w:rsid w:val="00284FCB"/>
    <w:rsid w:val="00284FE2"/>
    <w:rsid w:val="002850CB"/>
    <w:rsid w:val="00285117"/>
    <w:rsid w:val="00285262"/>
    <w:rsid w:val="002852C8"/>
    <w:rsid w:val="00285355"/>
    <w:rsid w:val="00285434"/>
    <w:rsid w:val="002855B6"/>
    <w:rsid w:val="0028571E"/>
    <w:rsid w:val="00285815"/>
    <w:rsid w:val="00285A12"/>
    <w:rsid w:val="00285ABB"/>
    <w:rsid w:val="00285ADB"/>
    <w:rsid w:val="00285B31"/>
    <w:rsid w:val="00285BB4"/>
    <w:rsid w:val="00285CD2"/>
    <w:rsid w:val="00285CE2"/>
    <w:rsid w:val="00285D15"/>
    <w:rsid w:val="00285D7E"/>
    <w:rsid w:val="00285D92"/>
    <w:rsid w:val="00285F09"/>
    <w:rsid w:val="00285F5A"/>
    <w:rsid w:val="00285FB0"/>
    <w:rsid w:val="002861E7"/>
    <w:rsid w:val="00286221"/>
    <w:rsid w:val="002862CA"/>
    <w:rsid w:val="002862E8"/>
    <w:rsid w:val="00286324"/>
    <w:rsid w:val="00286363"/>
    <w:rsid w:val="002863A7"/>
    <w:rsid w:val="002863A9"/>
    <w:rsid w:val="0028651B"/>
    <w:rsid w:val="00286566"/>
    <w:rsid w:val="002865D4"/>
    <w:rsid w:val="002865D7"/>
    <w:rsid w:val="002865EF"/>
    <w:rsid w:val="00286646"/>
    <w:rsid w:val="0028669E"/>
    <w:rsid w:val="002866AB"/>
    <w:rsid w:val="002866EA"/>
    <w:rsid w:val="002867B9"/>
    <w:rsid w:val="00286807"/>
    <w:rsid w:val="002868A9"/>
    <w:rsid w:val="002868FA"/>
    <w:rsid w:val="0028694B"/>
    <w:rsid w:val="00286A67"/>
    <w:rsid w:val="00286A95"/>
    <w:rsid w:val="00286D92"/>
    <w:rsid w:val="00286EBC"/>
    <w:rsid w:val="00286F2B"/>
    <w:rsid w:val="00286F90"/>
    <w:rsid w:val="00286F9E"/>
    <w:rsid w:val="00286FF4"/>
    <w:rsid w:val="00287118"/>
    <w:rsid w:val="0028714B"/>
    <w:rsid w:val="0028727F"/>
    <w:rsid w:val="00287368"/>
    <w:rsid w:val="00287596"/>
    <w:rsid w:val="0028763F"/>
    <w:rsid w:val="002876CE"/>
    <w:rsid w:val="002876F0"/>
    <w:rsid w:val="002878C4"/>
    <w:rsid w:val="002878CC"/>
    <w:rsid w:val="00287930"/>
    <w:rsid w:val="002879B4"/>
    <w:rsid w:val="00287A1B"/>
    <w:rsid w:val="00287AF3"/>
    <w:rsid w:val="00287B8D"/>
    <w:rsid w:val="00287F82"/>
    <w:rsid w:val="00287F85"/>
    <w:rsid w:val="00287FD8"/>
    <w:rsid w:val="00287FE0"/>
    <w:rsid w:val="00290079"/>
    <w:rsid w:val="002900B2"/>
    <w:rsid w:val="00290194"/>
    <w:rsid w:val="00290360"/>
    <w:rsid w:val="0029039E"/>
    <w:rsid w:val="0029046C"/>
    <w:rsid w:val="00290481"/>
    <w:rsid w:val="002904A7"/>
    <w:rsid w:val="002904DD"/>
    <w:rsid w:val="0029054B"/>
    <w:rsid w:val="0029058D"/>
    <w:rsid w:val="00290620"/>
    <w:rsid w:val="0029071C"/>
    <w:rsid w:val="00290755"/>
    <w:rsid w:val="002908FC"/>
    <w:rsid w:val="00290926"/>
    <w:rsid w:val="00290B12"/>
    <w:rsid w:val="00290B5D"/>
    <w:rsid w:val="00290C07"/>
    <w:rsid w:val="00290DE7"/>
    <w:rsid w:val="00290ED3"/>
    <w:rsid w:val="00290EE8"/>
    <w:rsid w:val="00291035"/>
    <w:rsid w:val="002910E2"/>
    <w:rsid w:val="002912A2"/>
    <w:rsid w:val="002912DD"/>
    <w:rsid w:val="00291325"/>
    <w:rsid w:val="0029140A"/>
    <w:rsid w:val="00291453"/>
    <w:rsid w:val="0029145C"/>
    <w:rsid w:val="002914C0"/>
    <w:rsid w:val="0029150C"/>
    <w:rsid w:val="002915F9"/>
    <w:rsid w:val="00291647"/>
    <w:rsid w:val="00291691"/>
    <w:rsid w:val="00291844"/>
    <w:rsid w:val="002918B0"/>
    <w:rsid w:val="002918FE"/>
    <w:rsid w:val="00291988"/>
    <w:rsid w:val="00291AE0"/>
    <w:rsid w:val="00291C80"/>
    <w:rsid w:val="00291CB2"/>
    <w:rsid w:val="00291D82"/>
    <w:rsid w:val="00291D98"/>
    <w:rsid w:val="00291F7E"/>
    <w:rsid w:val="002920B0"/>
    <w:rsid w:val="00292293"/>
    <w:rsid w:val="00292414"/>
    <w:rsid w:val="00292422"/>
    <w:rsid w:val="00292519"/>
    <w:rsid w:val="00292677"/>
    <w:rsid w:val="002926D9"/>
    <w:rsid w:val="002927A4"/>
    <w:rsid w:val="002927F6"/>
    <w:rsid w:val="00292911"/>
    <w:rsid w:val="00292921"/>
    <w:rsid w:val="00292989"/>
    <w:rsid w:val="00292994"/>
    <w:rsid w:val="00292B9E"/>
    <w:rsid w:val="00292BB3"/>
    <w:rsid w:val="00292BD1"/>
    <w:rsid w:val="00292C15"/>
    <w:rsid w:val="00292CFF"/>
    <w:rsid w:val="00292FD3"/>
    <w:rsid w:val="00293163"/>
    <w:rsid w:val="00293200"/>
    <w:rsid w:val="002932C0"/>
    <w:rsid w:val="0029356C"/>
    <w:rsid w:val="00293621"/>
    <w:rsid w:val="00293642"/>
    <w:rsid w:val="002936CE"/>
    <w:rsid w:val="002938D3"/>
    <w:rsid w:val="00293A6F"/>
    <w:rsid w:val="00293A7B"/>
    <w:rsid w:val="00293A88"/>
    <w:rsid w:val="00293B00"/>
    <w:rsid w:val="00293C8A"/>
    <w:rsid w:val="00293C94"/>
    <w:rsid w:val="00293D98"/>
    <w:rsid w:val="00293E8A"/>
    <w:rsid w:val="00293F2B"/>
    <w:rsid w:val="00294024"/>
    <w:rsid w:val="00294193"/>
    <w:rsid w:val="002941A6"/>
    <w:rsid w:val="002942D8"/>
    <w:rsid w:val="002943F7"/>
    <w:rsid w:val="00294448"/>
    <w:rsid w:val="00294697"/>
    <w:rsid w:val="002946C7"/>
    <w:rsid w:val="002947D4"/>
    <w:rsid w:val="00294991"/>
    <w:rsid w:val="002949AA"/>
    <w:rsid w:val="00294B66"/>
    <w:rsid w:val="00294CF5"/>
    <w:rsid w:val="00294DB1"/>
    <w:rsid w:val="00294DCB"/>
    <w:rsid w:val="00294DF8"/>
    <w:rsid w:val="00294E52"/>
    <w:rsid w:val="00294EBE"/>
    <w:rsid w:val="00294F1F"/>
    <w:rsid w:val="00294F2A"/>
    <w:rsid w:val="00294FFD"/>
    <w:rsid w:val="00295104"/>
    <w:rsid w:val="0029523D"/>
    <w:rsid w:val="002952D7"/>
    <w:rsid w:val="0029544F"/>
    <w:rsid w:val="002954D4"/>
    <w:rsid w:val="002955BB"/>
    <w:rsid w:val="0029562D"/>
    <w:rsid w:val="0029569E"/>
    <w:rsid w:val="0029571B"/>
    <w:rsid w:val="0029580B"/>
    <w:rsid w:val="0029589C"/>
    <w:rsid w:val="002958E1"/>
    <w:rsid w:val="00295AD1"/>
    <w:rsid w:val="00295B92"/>
    <w:rsid w:val="00295CA4"/>
    <w:rsid w:val="00295CF4"/>
    <w:rsid w:val="00295CFC"/>
    <w:rsid w:val="00295DA3"/>
    <w:rsid w:val="00295E87"/>
    <w:rsid w:val="00295EAB"/>
    <w:rsid w:val="0029605B"/>
    <w:rsid w:val="0029606E"/>
    <w:rsid w:val="002960D8"/>
    <w:rsid w:val="002961E9"/>
    <w:rsid w:val="00296223"/>
    <w:rsid w:val="0029629C"/>
    <w:rsid w:val="002963F9"/>
    <w:rsid w:val="00296489"/>
    <w:rsid w:val="0029650E"/>
    <w:rsid w:val="002966BD"/>
    <w:rsid w:val="002966F1"/>
    <w:rsid w:val="00296724"/>
    <w:rsid w:val="002967C2"/>
    <w:rsid w:val="0029694C"/>
    <w:rsid w:val="002969D1"/>
    <w:rsid w:val="00296A42"/>
    <w:rsid w:val="00296B2A"/>
    <w:rsid w:val="00296C75"/>
    <w:rsid w:val="00296CDF"/>
    <w:rsid w:val="00296E94"/>
    <w:rsid w:val="00296FD6"/>
    <w:rsid w:val="0029723A"/>
    <w:rsid w:val="0029736B"/>
    <w:rsid w:val="00297396"/>
    <w:rsid w:val="002973D1"/>
    <w:rsid w:val="00297412"/>
    <w:rsid w:val="002975A2"/>
    <w:rsid w:val="002975CE"/>
    <w:rsid w:val="002976D3"/>
    <w:rsid w:val="002977AD"/>
    <w:rsid w:val="002978F1"/>
    <w:rsid w:val="0029796B"/>
    <w:rsid w:val="002979EB"/>
    <w:rsid w:val="00297ADC"/>
    <w:rsid w:val="00297AF5"/>
    <w:rsid w:val="00297BEE"/>
    <w:rsid w:val="00297C3E"/>
    <w:rsid w:val="00297C92"/>
    <w:rsid w:val="00297D7E"/>
    <w:rsid w:val="00297FBB"/>
    <w:rsid w:val="002A0007"/>
    <w:rsid w:val="002A01A1"/>
    <w:rsid w:val="002A01D0"/>
    <w:rsid w:val="002A02C0"/>
    <w:rsid w:val="002A06A9"/>
    <w:rsid w:val="002A07CD"/>
    <w:rsid w:val="002A07E4"/>
    <w:rsid w:val="002A0812"/>
    <w:rsid w:val="002A093E"/>
    <w:rsid w:val="002A0954"/>
    <w:rsid w:val="002A09EF"/>
    <w:rsid w:val="002A0A1F"/>
    <w:rsid w:val="002A0A81"/>
    <w:rsid w:val="002A0A87"/>
    <w:rsid w:val="002A0AB4"/>
    <w:rsid w:val="002A0B7A"/>
    <w:rsid w:val="002A0D2B"/>
    <w:rsid w:val="002A0DBB"/>
    <w:rsid w:val="002A0E5D"/>
    <w:rsid w:val="002A0E70"/>
    <w:rsid w:val="002A0F26"/>
    <w:rsid w:val="002A0FCF"/>
    <w:rsid w:val="002A10D8"/>
    <w:rsid w:val="002A1100"/>
    <w:rsid w:val="002A11AD"/>
    <w:rsid w:val="002A11D9"/>
    <w:rsid w:val="002A124C"/>
    <w:rsid w:val="002A141F"/>
    <w:rsid w:val="002A1475"/>
    <w:rsid w:val="002A155C"/>
    <w:rsid w:val="002A15D1"/>
    <w:rsid w:val="002A164B"/>
    <w:rsid w:val="002A16AB"/>
    <w:rsid w:val="002A188D"/>
    <w:rsid w:val="002A18D6"/>
    <w:rsid w:val="002A1982"/>
    <w:rsid w:val="002A199D"/>
    <w:rsid w:val="002A19B1"/>
    <w:rsid w:val="002A1A87"/>
    <w:rsid w:val="002A1BAA"/>
    <w:rsid w:val="002A1BE1"/>
    <w:rsid w:val="002A1C30"/>
    <w:rsid w:val="002A1DFA"/>
    <w:rsid w:val="002A1F2E"/>
    <w:rsid w:val="002A2031"/>
    <w:rsid w:val="002A20B0"/>
    <w:rsid w:val="002A2500"/>
    <w:rsid w:val="002A2533"/>
    <w:rsid w:val="002A25B7"/>
    <w:rsid w:val="002A2654"/>
    <w:rsid w:val="002A276F"/>
    <w:rsid w:val="002A27EF"/>
    <w:rsid w:val="002A2883"/>
    <w:rsid w:val="002A28E4"/>
    <w:rsid w:val="002A29F3"/>
    <w:rsid w:val="002A2A2C"/>
    <w:rsid w:val="002A2A30"/>
    <w:rsid w:val="002A2A55"/>
    <w:rsid w:val="002A2AE7"/>
    <w:rsid w:val="002A2B2D"/>
    <w:rsid w:val="002A2E6C"/>
    <w:rsid w:val="002A2EE4"/>
    <w:rsid w:val="002A301B"/>
    <w:rsid w:val="002A3069"/>
    <w:rsid w:val="002A30D6"/>
    <w:rsid w:val="002A31BC"/>
    <w:rsid w:val="002A3201"/>
    <w:rsid w:val="002A320F"/>
    <w:rsid w:val="002A3285"/>
    <w:rsid w:val="002A32C5"/>
    <w:rsid w:val="002A32D2"/>
    <w:rsid w:val="002A3376"/>
    <w:rsid w:val="002A36AF"/>
    <w:rsid w:val="002A37C0"/>
    <w:rsid w:val="002A3810"/>
    <w:rsid w:val="002A38D1"/>
    <w:rsid w:val="002A39E3"/>
    <w:rsid w:val="002A39E7"/>
    <w:rsid w:val="002A3A45"/>
    <w:rsid w:val="002A3B21"/>
    <w:rsid w:val="002A3B3C"/>
    <w:rsid w:val="002A3B7B"/>
    <w:rsid w:val="002A3D4F"/>
    <w:rsid w:val="002A3D91"/>
    <w:rsid w:val="002A3E15"/>
    <w:rsid w:val="002A3ECC"/>
    <w:rsid w:val="002A4008"/>
    <w:rsid w:val="002A40AD"/>
    <w:rsid w:val="002A426E"/>
    <w:rsid w:val="002A4360"/>
    <w:rsid w:val="002A43DE"/>
    <w:rsid w:val="002A4470"/>
    <w:rsid w:val="002A44EC"/>
    <w:rsid w:val="002A4626"/>
    <w:rsid w:val="002A4632"/>
    <w:rsid w:val="002A4645"/>
    <w:rsid w:val="002A47D5"/>
    <w:rsid w:val="002A47F2"/>
    <w:rsid w:val="002A484E"/>
    <w:rsid w:val="002A4A6C"/>
    <w:rsid w:val="002A4AD2"/>
    <w:rsid w:val="002A4AE3"/>
    <w:rsid w:val="002A4B04"/>
    <w:rsid w:val="002A4B5E"/>
    <w:rsid w:val="002A4BD3"/>
    <w:rsid w:val="002A4CE9"/>
    <w:rsid w:val="002A4EA0"/>
    <w:rsid w:val="002A4F76"/>
    <w:rsid w:val="002A4F7A"/>
    <w:rsid w:val="002A4FC9"/>
    <w:rsid w:val="002A5052"/>
    <w:rsid w:val="002A5140"/>
    <w:rsid w:val="002A5160"/>
    <w:rsid w:val="002A51F0"/>
    <w:rsid w:val="002A51F8"/>
    <w:rsid w:val="002A53AB"/>
    <w:rsid w:val="002A5497"/>
    <w:rsid w:val="002A54EC"/>
    <w:rsid w:val="002A5588"/>
    <w:rsid w:val="002A566F"/>
    <w:rsid w:val="002A56D5"/>
    <w:rsid w:val="002A57EF"/>
    <w:rsid w:val="002A586D"/>
    <w:rsid w:val="002A5883"/>
    <w:rsid w:val="002A5894"/>
    <w:rsid w:val="002A58F1"/>
    <w:rsid w:val="002A590F"/>
    <w:rsid w:val="002A5937"/>
    <w:rsid w:val="002A5ADE"/>
    <w:rsid w:val="002A5B48"/>
    <w:rsid w:val="002A5BB0"/>
    <w:rsid w:val="002A5D3C"/>
    <w:rsid w:val="002A5E24"/>
    <w:rsid w:val="002A5EE3"/>
    <w:rsid w:val="002A5F14"/>
    <w:rsid w:val="002A5FC7"/>
    <w:rsid w:val="002A5FCA"/>
    <w:rsid w:val="002A6040"/>
    <w:rsid w:val="002A6171"/>
    <w:rsid w:val="002A625F"/>
    <w:rsid w:val="002A63BB"/>
    <w:rsid w:val="002A644E"/>
    <w:rsid w:val="002A648B"/>
    <w:rsid w:val="002A6541"/>
    <w:rsid w:val="002A66C2"/>
    <w:rsid w:val="002A66C6"/>
    <w:rsid w:val="002A6789"/>
    <w:rsid w:val="002A687F"/>
    <w:rsid w:val="002A698A"/>
    <w:rsid w:val="002A69B2"/>
    <w:rsid w:val="002A69CF"/>
    <w:rsid w:val="002A69D4"/>
    <w:rsid w:val="002A6A9D"/>
    <w:rsid w:val="002A6AD6"/>
    <w:rsid w:val="002A6AEF"/>
    <w:rsid w:val="002A6B61"/>
    <w:rsid w:val="002A6C32"/>
    <w:rsid w:val="002A6D4B"/>
    <w:rsid w:val="002A6DB9"/>
    <w:rsid w:val="002A6E52"/>
    <w:rsid w:val="002A6EFC"/>
    <w:rsid w:val="002A6F7D"/>
    <w:rsid w:val="002A713A"/>
    <w:rsid w:val="002A7159"/>
    <w:rsid w:val="002A71B5"/>
    <w:rsid w:val="002A71ED"/>
    <w:rsid w:val="002A7260"/>
    <w:rsid w:val="002A7360"/>
    <w:rsid w:val="002A7597"/>
    <w:rsid w:val="002A7601"/>
    <w:rsid w:val="002A770D"/>
    <w:rsid w:val="002A7743"/>
    <w:rsid w:val="002A7C24"/>
    <w:rsid w:val="002A7C61"/>
    <w:rsid w:val="002A7C81"/>
    <w:rsid w:val="002A7E89"/>
    <w:rsid w:val="002A7F24"/>
    <w:rsid w:val="002A7FBC"/>
    <w:rsid w:val="002A7FD4"/>
    <w:rsid w:val="002B00E5"/>
    <w:rsid w:val="002B0169"/>
    <w:rsid w:val="002B018F"/>
    <w:rsid w:val="002B01A5"/>
    <w:rsid w:val="002B01DF"/>
    <w:rsid w:val="002B027B"/>
    <w:rsid w:val="002B02C1"/>
    <w:rsid w:val="002B02C5"/>
    <w:rsid w:val="002B02DD"/>
    <w:rsid w:val="002B0490"/>
    <w:rsid w:val="002B04A1"/>
    <w:rsid w:val="002B04DC"/>
    <w:rsid w:val="002B04E1"/>
    <w:rsid w:val="002B059C"/>
    <w:rsid w:val="002B0748"/>
    <w:rsid w:val="002B07A3"/>
    <w:rsid w:val="002B07D5"/>
    <w:rsid w:val="002B0805"/>
    <w:rsid w:val="002B09C0"/>
    <w:rsid w:val="002B09E2"/>
    <w:rsid w:val="002B0A17"/>
    <w:rsid w:val="002B0A62"/>
    <w:rsid w:val="002B0AC0"/>
    <w:rsid w:val="002B0B24"/>
    <w:rsid w:val="002B0C23"/>
    <w:rsid w:val="002B0D9B"/>
    <w:rsid w:val="002B0E5B"/>
    <w:rsid w:val="002B0E98"/>
    <w:rsid w:val="002B0F86"/>
    <w:rsid w:val="002B1003"/>
    <w:rsid w:val="002B1240"/>
    <w:rsid w:val="002B1277"/>
    <w:rsid w:val="002B1305"/>
    <w:rsid w:val="002B135E"/>
    <w:rsid w:val="002B13BD"/>
    <w:rsid w:val="002B141F"/>
    <w:rsid w:val="002B1455"/>
    <w:rsid w:val="002B1459"/>
    <w:rsid w:val="002B14E3"/>
    <w:rsid w:val="002B1565"/>
    <w:rsid w:val="002B1666"/>
    <w:rsid w:val="002B1687"/>
    <w:rsid w:val="002B175C"/>
    <w:rsid w:val="002B192B"/>
    <w:rsid w:val="002B19E9"/>
    <w:rsid w:val="002B1AF1"/>
    <w:rsid w:val="002B1B42"/>
    <w:rsid w:val="002B1B47"/>
    <w:rsid w:val="002B1B9A"/>
    <w:rsid w:val="002B1BBF"/>
    <w:rsid w:val="002B1C00"/>
    <w:rsid w:val="002B1C6B"/>
    <w:rsid w:val="002B1C8B"/>
    <w:rsid w:val="002B1DEA"/>
    <w:rsid w:val="002B1E43"/>
    <w:rsid w:val="002B1F15"/>
    <w:rsid w:val="002B1F8E"/>
    <w:rsid w:val="002B202C"/>
    <w:rsid w:val="002B2043"/>
    <w:rsid w:val="002B20DF"/>
    <w:rsid w:val="002B2347"/>
    <w:rsid w:val="002B2668"/>
    <w:rsid w:val="002B268C"/>
    <w:rsid w:val="002B2708"/>
    <w:rsid w:val="002B2757"/>
    <w:rsid w:val="002B2846"/>
    <w:rsid w:val="002B2888"/>
    <w:rsid w:val="002B28F1"/>
    <w:rsid w:val="002B28FD"/>
    <w:rsid w:val="002B29D6"/>
    <w:rsid w:val="002B2AB4"/>
    <w:rsid w:val="002B2C79"/>
    <w:rsid w:val="002B2C84"/>
    <w:rsid w:val="002B2DB4"/>
    <w:rsid w:val="002B2E5D"/>
    <w:rsid w:val="002B2F39"/>
    <w:rsid w:val="002B2F88"/>
    <w:rsid w:val="002B30FB"/>
    <w:rsid w:val="002B3285"/>
    <w:rsid w:val="002B33C4"/>
    <w:rsid w:val="002B3420"/>
    <w:rsid w:val="002B3543"/>
    <w:rsid w:val="002B373D"/>
    <w:rsid w:val="002B3776"/>
    <w:rsid w:val="002B3782"/>
    <w:rsid w:val="002B3874"/>
    <w:rsid w:val="002B38E3"/>
    <w:rsid w:val="002B3987"/>
    <w:rsid w:val="002B399F"/>
    <w:rsid w:val="002B3ADF"/>
    <w:rsid w:val="002B3B12"/>
    <w:rsid w:val="002B3C56"/>
    <w:rsid w:val="002B3FB5"/>
    <w:rsid w:val="002B4023"/>
    <w:rsid w:val="002B4059"/>
    <w:rsid w:val="002B4086"/>
    <w:rsid w:val="002B4098"/>
    <w:rsid w:val="002B4266"/>
    <w:rsid w:val="002B42B0"/>
    <w:rsid w:val="002B433F"/>
    <w:rsid w:val="002B4502"/>
    <w:rsid w:val="002B450A"/>
    <w:rsid w:val="002B46AA"/>
    <w:rsid w:val="002B4769"/>
    <w:rsid w:val="002B478B"/>
    <w:rsid w:val="002B47BD"/>
    <w:rsid w:val="002B47F5"/>
    <w:rsid w:val="002B4808"/>
    <w:rsid w:val="002B4814"/>
    <w:rsid w:val="002B4847"/>
    <w:rsid w:val="002B4944"/>
    <w:rsid w:val="002B4A95"/>
    <w:rsid w:val="002B4AAC"/>
    <w:rsid w:val="002B4BFB"/>
    <w:rsid w:val="002B4BFE"/>
    <w:rsid w:val="002B4C8C"/>
    <w:rsid w:val="002B4CB2"/>
    <w:rsid w:val="002B4CF4"/>
    <w:rsid w:val="002B4D93"/>
    <w:rsid w:val="002B4E85"/>
    <w:rsid w:val="002B4E9B"/>
    <w:rsid w:val="002B4F27"/>
    <w:rsid w:val="002B4F60"/>
    <w:rsid w:val="002B512D"/>
    <w:rsid w:val="002B5171"/>
    <w:rsid w:val="002B51A4"/>
    <w:rsid w:val="002B5221"/>
    <w:rsid w:val="002B531A"/>
    <w:rsid w:val="002B540B"/>
    <w:rsid w:val="002B5473"/>
    <w:rsid w:val="002B5481"/>
    <w:rsid w:val="002B54C7"/>
    <w:rsid w:val="002B5579"/>
    <w:rsid w:val="002B55A6"/>
    <w:rsid w:val="002B58E6"/>
    <w:rsid w:val="002B5909"/>
    <w:rsid w:val="002B5A1B"/>
    <w:rsid w:val="002B5A44"/>
    <w:rsid w:val="002B5A75"/>
    <w:rsid w:val="002B5A8A"/>
    <w:rsid w:val="002B5B9B"/>
    <w:rsid w:val="002B5BE4"/>
    <w:rsid w:val="002B5C6E"/>
    <w:rsid w:val="002B5DEC"/>
    <w:rsid w:val="002B5E0C"/>
    <w:rsid w:val="002B5E71"/>
    <w:rsid w:val="002B5EB4"/>
    <w:rsid w:val="002B5FC9"/>
    <w:rsid w:val="002B6051"/>
    <w:rsid w:val="002B6075"/>
    <w:rsid w:val="002B607E"/>
    <w:rsid w:val="002B62A8"/>
    <w:rsid w:val="002B635E"/>
    <w:rsid w:val="002B63EF"/>
    <w:rsid w:val="002B6400"/>
    <w:rsid w:val="002B6475"/>
    <w:rsid w:val="002B656A"/>
    <w:rsid w:val="002B664C"/>
    <w:rsid w:val="002B664D"/>
    <w:rsid w:val="002B6680"/>
    <w:rsid w:val="002B6782"/>
    <w:rsid w:val="002B6783"/>
    <w:rsid w:val="002B68D0"/>
    <w:rsid w:val="002B6A64"/>
    <w:rsid w:val="002B6ACF"/>
    <w:rsid w:val="002B6ADF"/>
    <w:rsid w:val="002B6C0C"/>
    <w:rsid w:val="002B6C77"/>
    <w:rsid w:val="002B6CA4"/>
    <w:rsid w:val="002B6CAE"/>
    <w:rsid w:val="002B6D9B"/>
    <w:rsid w:val="002B6DE6"/>
    <w:rsid w:val="002B6E03"/>
    <w:rsid w:val="002B6E59"/>
    <w:rsid w:val="002B6EAF"/>
    <w:rsid w:val="002B6FC1"/>
    <w:rsid w:val="002B71CC"/>
    <w:rsid w:val="002B7269"/>
    <w:rsid w:val="002B72B5"/>
    <w:rsid w:val="002B7391"/>
    <w:rsid w:val="002B7597"/>
    <w:rsid w:val="002B75C4"/>
    <w:rsid w:val="002B7613"/>
    <w:rsid w:val="002B7846"/>
    <w:rsid w:val="002B78C1"/>
    <w:rsid w:val="002B78F4"/>
    <w:rsid w:val="002B79A5"/>
    <w:rsid w:val="002B79F6"/>
    <w:rsid w:val="002B7A37"/>
    <w:rsid w:val="002B7A42"/>
    <w:rsid w:val="002B7A93"/>
    <w:rsid w:val="002B7BE3"/>
    <w:rsid w:val="002B7CA3"/>
    <w:rsid w:val="002B7D19"/>
    <w:rsid w:val="002B7DB1"/>
    <w:rsid w:val="002B7E51"/>
    <w:rsid w:val="002B7F60"/>
    <w:rsid w:val="002B7FCF"/>
    <w:rsid w:val="002C000C"/>
    <w:rsid w:val="002C0017"/>
    <w:rsid w:val="002C009F"/>
    <w:rsid w:val="002C00B5"/>
    <w:rsid w:val="002C010D"/>
    <w:rsid w:val="002C0129"/>
    <w:rsid w:val="002C0148"/>
    <w:rsid w:val="002C02DF"/>
    <w:rsid w:val="002C0483"/>
    <w:rsid w:val="002C053F"/>
    <w:rsid w:val="002C05C7"/>
    <w:rsid w:val="002C07A1"/>
    <w:rsid w:val="002C07B0"/>
    <w:rsid w:val="002C088E"/>
    <w:rsid w:val="002C0898"/>
    <w:rsid w:val="002C08C5"/>
    <w:rsid w:val="002C090F"/>
    <w:rsid w:val="002C0B71"/>
    <w:rsid w:val="002C0B7B"/>
    <w:rsid w:val="002C0CD6"/>
    <w:rsid w:val="002C0D09"/>
    <w:rsid w:val="002C0D12"/>
    <w:rsid w:val="002C0D25"/>
    <w:rsid w:val="002C0D76"/>
    <w:rsid w:val="002C0DBF"/>
    <w:rsid w:val="002C0F10"/>
    <w:rsid w:val="002C0FB3"/>
    <w:rsid w:val="002C1091"/>
    <w:rsid w:val="002C1170"/>
    <w:rsid w:val="002C1271"/>
    <w:rsid w:val="002C14F1"/>
    <w:rsid w:val="002C1684"/>
    <w:rsid w:val="002C174E"/>
    <w:rsid w:val="002C1760"/>
    <w:rsid w:val="002C1820"/>
    <w:rsid w:val="002C1A6F"/>
    <w:rsid w:val="002C1C3C"/>
    <w:rsid w:val="002C1C92"/>
    <w:rsid w:val="002C1D35"/>
    <w:rsid w:val="002C1DD5"/>
    <w:rsid w:val="002C1E0D"/>
    <w:rsid w:val="002C1E67"/>
    <w:rsid w:val="002C1F3C"/>
    <w:rsid w:val="002C1F45"/>
    <w:rsid w:val="002C1F83"/>
    <w:rsid w:val="002C1FCA"/>
    <w:rsid w:val="002C2158"/>
    <w:rsid w:val="002C2161"/>
    <w:rsid w:val="002C218B"/>
    <w:rsid w:val="002C21BC"/>
    <w:rsid w:val="002C21FA"/>
    <w:rsid w:val="002C2235"/>
    <w:rsid w:val="002C22A6"/>
    <w:rsid w:val="002C2348"/>
    <w:rsid w:val="002C2387"/>
    <w:rsid w:val="002C242E"/>
    <w:rsid w:val="002C253E"/>
    <w:rsid w:val="002C263D"/>
    <w:rsid w:val="002C26CC"/>
    <w:rsid w:val="002C2720"/>
    <w:rsid w:val="002C2755"/>
    <w:rsid w:val="002C2771"/>
    <w:rsid w:val="002C285D"/>
    <w:rsid w:val="002C2A31"/>
    <w:rsid w:val="002C2A4C"/>
    <w:rsid w:val="002C2A6E"/>
    <w:rsid w:val="002C2DD9"/>
    <w:rsid w:val="002C2EAE"/>
    <w:rsid w:val="002C2F6A"/>
    <w:rsid w:val="002C2FCE"/>
    <w:rsid w:val="002C3075"/>
    <w:rsid w:val="002C3162"/>
    <w:rsid w:val="002C31A8"/>
    <w:rsid w:val="002C31C0"/>
    <w:rsid w:val="002C32AF"/>
    <w:rsid w:val="002C338D"/>
    <w:rsid w:val="002C33C6"/>
    <w:rsid w:val="002C3402"/>
    <w:rsid w:val="002C3465"/>
    <w:rsid w:val="002C349A"/>
    <w:rsid w:val="002C373A"/>
    <w:rsid w:val="002C3746"/>
    <w:rsid w:val="002C378A"/>
    <w:rsid w:val="002C3937"/>
    <w:rsid w:val="002C39D4"/>
    <w:rsid w:val="002C3A0A"/>
    <w:rsid w:val="002C3A21"/>
    <w:rsid w:val="002C3A79"/>
    <w:rsid w:val="002C3A7F"/>
    <w:rsid w:val="002C3C07"/>
    <w:rsid w:val="002C3CB0"/>
    <w:rsid w:val="002C3CF2"/>
    <w:rsid w:val="002C3DA0"/>
    <w:rsid w:val="002C3F2F"/>
    <w:rsid w:val="002C429D"/>
    <w:rsid w:val="002C4346"/>
    <w:rsid w:val="002C436D"/>
    <w:rsid w:val="002C4398"/>
    <w:rsid w:val="002C43DC"/>
    <w:rsid w:val="002C44E3"/>
    <w:rsid w:val="002C45AE"/>
    <w:rsid w:val="002C465E"/>
    <w:rsid w:val="002C4674"/>
    <w:rsid w:val="002C473A"/>
    <w:rsid w:val="002C475C"/>
    <w:rsid w:val="002C4762"/>
    <w:rsid w:val="002C4767"/>
    <w:rsid w:val="002C47CF"/>
    <w:rsid w:val="002C49C5"/>
    <w:rsid w:val="002C4A86"/>
    <w:rsid w:val="002C4AAB"/>
    <w:rsid w:val="002C4B59"/>
    <w:rsid w:val="002C4EE0"/>
    <w:rsid w:val="002C4F00"/>
    <w:rsid w:val="002C4FDD"/>
    <w:rsid w:val="002C517C"/>
    <w:rsid w:val="002C5190"/>
    <w:rsid w:val="002C52FC"/>
    <w:rsid w:val="002C5363"/>
    <w:rsid w:val="002C53E9"/>
    <w:rsid w:val="002C556E"/>
    <w:rsid w:val="002C55B7"/>
    <w:rsid w:val="002C5650"/>
    <w:rsid w:val="002C56D5"/>
    <w:rsid w:val="002C5736"/>
    <w:rsid w:val="002C57D4"/>
    <w:rsid w:val="002C587C"/>
    <w:rsid w:val="002C5995"/>
    <w:rsid w:val="002C5A57"/>
    <w:rsid w:val="002C5BC4"/>
    <w:rsid w:val="002C5D67"/>
    <w:rsid w:val="002C5DE7"/>
    <w:rsid w:val="002C5F96"/>
    <w:rsid w:val="002C5FFE"/>
    <w:rsid w:val="002C6045"/>
    <w:rsid w:val="002C6104"/>
    <w:rsid w:val="002C6257"/>
    <w:rsid w:val="002C6261"/>
    <w:rsid w:val="002C6312"/>
    <w:rsid w:val="002C6317"/>
    <w:rsid w:val="002C634B"/>
    <w:rsid w:val="002C63F1"/>
    <w:rsid w:val="002C64FF"/>
    <w:rsid w:val="002C658D"/>
    <w:rsid w:val="002C65CE"/>
    <w:rsid w:val="002C6618"/>
    <w:rsid w:val="002C66D9"/>
    <w:rsid w:val="002C67F0"/>
    <w:rsid w:val="002C6844"/>
    <w:rsid w:val="002C69DF"/>
    <w:rsid w:val="002C69F4"/>
    <w:rsid w:val="002C6A2C"/>
    <w:rsid w:val="002C6AA7"/>
    <w:rsid w:val="002C6AED"/>
    <w:rsid w:val="002C6B81"/>
    <w:rsid w:val="002C6B99"/>
    <w:rsid w:val="002C6BFE"/>
    <w:rsid w:val="002C6C3C"/>
    <w:rsid w:val="002C6D9F"/>
    <w:rsid w:val="002C6EE6"/>
    <w:rsid w:val="002C6FCF"/>
    <w:rsid w:val="002C7064"/>
    <w:rsid w:val="002C70CC"/>
    <w:rsid w:val="002C70D1"/>
    <w:rsid w:val="002C7119"/>
    <w:rsid w:val="002C7146"/>
    <w:rsid w:val="002C72C7"/>
    <w:rsid w:val="002C73B1"/>
    <w:rsid w:val="002C748F"/>
    <w:rsid w:val="002C7595"/>
    <w:rsid w:val="002C75CC"/>
    <w:rsid w:val="002C7673"/>
    <w:rsid w:val="002C76F8"/>
    <w:rsid w:val="002C7723"/>
    <w:rsid w:val="002C7885"/>
    <w:rsid w:val="002C78B0"/>
    <w:rsid w:val="002C78CE"/>
    <w:rsid w:val="002C790E"/>
    <w:rsid w:val="002C79F6"/>
    <w:rsid w:val="002C7A31"/>
    <w:rsid w:val="002C7BAB"/>
    <w:rsid w:val="002C7BD6"/>
    <w:rsid w:val="002C7C02"/>
    <w:rsid w:val="002C7D2F"/>
    <w:rsid w:val="002C7D6E"/>
    <w:rsid w:val="002C7DE8"/>
    <w:rsid w:val="002C7F01"/>
    <w:rsid w:val="002C7F1C"/>
    <w:rsid w:val="002C7F41"/>
    <w:rsid w:val="002C7FC2"/>
    <w:rsid w:val="002C7FD0"/>
    <w:rsid w:val="002D013D"/>
    <w:rsid w:val="002D0184"/>
    <w:rsid w:val="002D03EC"/>
    <w:rsid w:val="002D051F"/>
    <w:rsid w:val="002D0617"/>
    <w:rsid w:val="002D075F"/>
    <w:rsid w:val="002D07B2"/>
    <w:rsid w:val="002D085D"/>
    <w:rsid w:val="002D0955"/>
    <w:rsid w:val="002D09EC"/>
    <w:rsid w:val="002D0A20"/>
    <w:rsid w:val="002D0A22"/>
    <w:rsid w:val="002D0A32"/>
    <w:rsid w:val="002D0AAF"/>
    <w:rsid w:val="002D0AE8"/>
    <w:rsid w:val="002D0B05"/>
    <w:rsid w:val="002D0B07"/>
    <w:rsid w:val="002D0B88"/>
    <w:rsid w:val="002D0BC0"/>
    <w:rsid w:val="002D0C15"/>
    <w:rsid w:val="002D0F46"/>
    <w:rsid w:val="002D106E"/>
    <w:rsid w:val="002D10CA"/>
    <w:rsid w:val="002D10D3"/>
    <w:rsid w:val="002D118B"/>
    <w:rsid w:val="002D123A"/>
    <w:rsid w:val="002D1292"/>
    <w:rsid w:val="002D12F2"/>
    <w:rsid w:val="002D134B"/>
    <w:rsid w:val="002D1376"/>
    <w:rsid w:val="002D1510"/>
    <w:rsid w:val="002D155D"/>
    <w:rsid w:val="002D15DF"/>
    <w:rsid w:val="002D16A3"/>
    <w:rsid w:val="002D1702"/>
    <w:rsid w:val="002D187B"/>
    <w:rsid w:val="002D1BF0"/>
    <w:rsid w:val="002D1D56"/>
    <w:rsid w:val="002D1E86"/>
    <w:rsid w:val="002D1F2F"/>
    <w:rsid w:val="002D1F44"/>
    <w:rsid w:val="002D201C"/>
    <w:rsid w:val="002D20D9"/>
    <w:rsid w:val="002D210A"/>
    <w:rsid w:val="002D2164"/>
    <w:rsid w:val="002D236A"/>
    <w:rsid w:val="002D2419"/>
    <w:rsid w:val="002D243A"/>
    <w:rsid w:val="002D2466"/>
    <w:rsid w:val="002D2572"/>
    <w:rsid w:val="002D273E"/>
    <w:rsid w:val="002D279C"/>
    <w:rsid w:val="002D27F5"/>
    <w:rsid w:val="002D27FF"/>
    <w:rsid w:val="002D29F1"/>
    <w:rsid w:val="002D2A2D"/>
    <w:rsid w:val="002D2AD9"/>
    <w:rsid w:val="002D2B1C"/>
    <w:rsid w:val="002D2D01"/>
    <w:rsid w:val="002D2D6F"/>
    <w:rsid w:val="002D2FA9"/>
    <w:rsid w:val="002D308B"/>
    <w:rsid w:val="002D3207"/>
    <w:rsid w:val="002D3236"/>
    <w:rsid w:val="002D3397"/>
    <w:rsid w:val="002D33D3"/>
    <w:rsid w:val="002D359F"/>
    <w:rsid w:val="002D3849"/>
    <w:rsid w:val="002D38B1"/>
    <w:rsid w:val="002D38EF"/>
    <w:rsid w:val="002D3998"/>
    <w:rsid w:val="002D3A46"/>
    <w:rsid w:val="002D3A83"/>
    <w:rsid w:val="002D3C60"/>
    <w:rsid w:val="002D3C69"/>
    <w:rsid w:val="002D3D66"/>
    <w:rsid w:val="002D3E18"/>
    <w:rsid w:val="002D3E4B"/>
    <w:rsid w:val="002D3F38"/>
    <w:rsid w:val="002D3FAA"/>
    <w:rsid w:val="002D40A9"/>
    <w:rsid w:val="002D41C5"/>
    <w:rsid w:val="002D421E"/>
    <w:rsid w:val="002D4274"/>
    <w:rsid w:val="002D4334"/>
    <w:rsid w:val="002D443A"/>
    <w:rsid w:val="002D44C0"/>
    <w:rsid w:val="002D44E8"/>
    <w:rsid w:val="002D455F"/>
    <w:rsid w:val="002D4591"/>
    <w:rsid w:val="002D459E"/>
    <w:rsid w:val="002D47B2"/>
    <w:rsid w:val="002D4959"/>
    <w:rsid w:val="002D49CF"/>
    <w:rsid w:val="002D4C7A"/>
    <w:rsid w:val="002D4CC6"/>
    <w:rsid w:val="002D4E02"/>
    <w:rsid w:val="002D5071"/>
    <w:rsid w:val="002D50A2"/>
    <w:rsid w:val="002D50FB"/>
    <w:rsid w:val="002D5128"/>
    <w:rsid w:val="002D51D9"/>
    <w:rsid w:val="002D522C"/>
    <w:rsid w:val="002D563E"/>
    <w:rsid w:val="002D5773"/>
    <w:rsid w:val="002D5A7F"/>
    <w:rsid w:val="002D5AC5"/>
    <w:rsid w:val="002D5B42"/>
    <w:rsid w:val="002D5B8B"/>
    <w:rsid w:val="002D5BB7"/>
    <w:rsid w:val="002D5BE1"/>
    <w:rsid w:val="002D5BEC"/>
    <w:rsid w:val="002D5C9D"/>
    <w:rsid w:val="002D5D99"/>
    <w:rsid w:val="002D5DCF"/>
    <w:rsid w:val="002D5E5A"/>
    <w:rsid w:val="002D5E68"/>
    <w:rsid w:val="002D604B"/>
    <w:rsid w:val="002D60A1"/>
    <w:rsid w:val="002D629A"/>
    <w:rsid w:val="002D6367"/>
    <w:rsid w:val="002D63AD"/>
    <w:rsid w:val="002D63CD"/>
    <w:rsid w:val="002D64C9"/>
    <w:rsid w:val="002D65D4"/>
    <w:rsid w:val="002D66B5"/>
    <w:rsid w:val="002D66CD"/>
    <w:rsid w:val="002D6760"/>
    <w:rsid w:val="002D6787"/>
    <w:rsid w:val="002D6851"/>
    <w:rsid w:val="002D6887"/>
    <w:rsid w:val="002D698E"/>
    <w:rsid w:val="002D69F2"/>
    <w:rsid w:val="002D6A1F"/>
    <w:rsid w:val="002D6A80"/>
    <w:rsid w:val="002D6D6C"/>
    <w:rsid w:val="002D6F04"/>
    <w:rsid w:val="002D6F25"/>
    <w:rsid w:val="002D6FFC"/>
    <w:rsid w:val="002D704A"/>
    <w:rsid w:val="002D711D"/>
    <w:rsid w:val="002D716C"/>
    <w:rsid w:val="002D7177"/>
    <w:rsid w:val="002D7263"/>
    <w:rsid w:val="002D7382"/>
    <w:rsid w:val="002D7384"/>
    <w:rsid w:val="002D7421"/>
    <w:rsid w:val="002D742C"/>
    <w:rsid w:val="002D751C"/>
    <w:rsid w:val="002D75B8"/>
    <w:rsid w:val="002D7644"/>
    <w:rsid w:val="002D7866"/>
    <w:rsid w:val="002D794D"/>
    <w:rsid w:val="002D79A6"/>
    <w:rsid w:val="002D79F8"/>
    <w:rsid w:val="002D7B1D"/>
    <w:rsid w:val="002D7B6A"/>
    <w:rsid w:val="002D7B7C"/>
    <w:rsid w:val="002D7B9A"/>
    <w:rsid w:val="002D7BAD"/>
    <w:rsid w:val="002D7C0A"/>
    <w:rsid w:val="002D7CEA"/>
    <w:rsid w:val="002D7E83"/>
    <w:rsid w:val="002D7F6E"/>
    <w:rsid w:val="002E0205"/>
    <w:rsid w:val="002E0212"/>
    <w:rsid w:val="002E0354"/>
    <w:rsid w:val="002E0455"/>
    <w:rsid w:val="002E04F5"/>
    <w:rsid w:val="002E0575"/>
    <w:rsid w:val="002E05C1"/>
    <w:rsid w:val="002E05C7"/>
    <w:rsid w:val="002E065A"/>
    <w:rsid w:val="002E0858"/>
    <w:rsid w:val="002E095B"/>
    <w:rsid w:val="002E0A6D"/>
    <w:rsid w:val="002E0B35"/>
    <w:rsid w:val="002E0C2E"/>
    <w:rsid w:val="002E0CFF"/>
    <w:rsid w:val="002E0D55"/>
    <w:rsid w:val="002E0FC9"/>
    <w:rsid w:val="002E0FDA"/>
    <w:rsid w:val="002E1192"/>
    <w:rsid w:val="002E11EB"/>
    <w:rsid w:val="002E128A"/>
    <w:rsid w:val="002E12EF"/>
    <w:rsid w:val="002E137B"/>
    <w:rsid w:val="002E14FF"/>
    <w:rsid w:val="002E1755"/>
    <w:rsid w:val="002E1A0B"/>
    <w:rsid w:val="002E1A0F"/>
    <w:rsid w:val="002E1AC4"/>
    <w:rsid w:val="002E1B35"/>
    <w:rsid w:val="002E1C10"/>
    <w:rsid w:val="002E1C76"/>
    <w:rsid w:val="002E1E2C"/>
    <w:rsid w:val="002E1EAA"/>
    <w:rsid w:val="002E1EBE"/>
    <w:rsid w:val="002E1F54"/>
    <w:rsid w:val="002E1F7A"/>
    <w:rsid w:val="002E2018"/>
    <w:rsid w:val="002E207E"/>
    <w:rsid w:val="002E20E0"/>
    <w:rsid w:val="002E20F2"/>
    <w:rsid w:val="002E2128"/>
    <w:rsid w:val="002E21CF"/>
    <w:rsid w:val="002E21E3"/>
    <w:rsid w:val="002E2245"/>
    <w:rsid w:val="002E22F7"/>
    <w:rsid w:val="002E2506"/>
    <w:rsid w:val="002E25B1"/>
    <w:rsid w:val="002E2620"/>
    <w:rsid w:val="002E268B"/>
    <w:rsid w:val="002E26FD"/>
    <w:rsid w:val="002E2816"/>
    <w:rsid w:val="002E284A"/>
    <w:rsid w:val="002E2A9F"/>
    <w:rsid w:val="002E2D42"/>
    <w:rsid w:val="002E2EE3"/>
    <w:rsid w:val="002E2F9F"/>
    <w:rsid w:val="002E2FC5"/>
    <w:rsid w:val="002E301C"/>
    <w:rsid w:val="002E304F"/>
    <w:rsid w:val="002E3104"/>
    <w:rsid w:val="002E3146"/>
    <w:rsid w:val="002E3392"/>
    <w:rsid w:val="002E33E7"/>
    <w:rsid w:val="002E34CC"/>
    <w:rsid w:val="002E3510"/>
    <w:rsid w:val="002E35E0"/>
    <w:rsid w:val="002E3759"/>
    <w:rsid w:val="002E3830"/>
    <w:rsid w:val="002E38F9"/>
    <w:rsid w:val="002E38FE"/>
    <w:rsid w:val="002E393A"/>
    <w:rsid w:val="002E39D7"/>
    <w:rsid w:val="002E39DA"/>
    <w:rsid w:val="002E3A48"/>
    <w:rsid w:val="002E3A8F"/>
    <w:rsid w:val="002E3AB6"/>
    <w:rsid w:val="002E3AE4"/>
    <w:rsid w:val="002E3B5E"/>
    <w:rsid w:val="002E3BA6"/>
    <w:rsid w:val="002E3BCA"/>
    <w:rsid w:val="002E3CB0"/>
    <w:rsid w:val="002E3D16"/>
    <w:rsid w:val="002E3D3E"/>
    <w:rsid w:val="002E3DE0"/>
    <w:rsid w:val="002E3E37"/>
    <w:rsid w:val="002E3F5C"/>
    <w:rsid w:val="002E42F3"/>
    <w:rsid w:val="002E4620"/>
    <w:rsid w:val="002E465B"/>
    <w:rsid w:val="002E473E"/>
    <w:rsid w:val="002E4761"/>
    <w:rsid w:val="002E48E6"/>
    <w:rsid w:val="002E4907"/>
    <w:rsid w:val="002E49BB"/>
    <w:rsid w:val="002E4A60"/>
    <w:rsid w:val="002E4C26"/>
    <w:rsid w:val="002E4C58"/>
    <w:rsid w:val="002E4CDA"/>
    <w:rsid w:val="002E4CEB"/>
    <w:rsid w:val="002E4D0A"/>
    <w:rsid w:val="002E4D0D"/>
    <w:rsid w:val="002E4D9A"/>
    <w:rsid w:val="002E4DAF"/>
    <w:rsid w:val="002E4DD7"/>
    <w:rsid w:val="002E51E3"/>
    <w:rsid w:val="002E54B0"/>
    <w:rsid w:val="002E54C7"/>
    <w:rsid w:val="002E5569"/>
    <w:rsid w:val="002E5618"/>
    <w:rsid w:val="002E5658"/>
    <w:rsid w:val="002E5688"/>
    <w:rsid w:val="002E56D0"/>
    <w:rsid w:val="002E5855"/>
    <w:rsid w:val="002E58BF"/>
    <w:rsid w:val="002E5928"/>
    <w:rsid w:val="002E59E4"/>
    <w:rsid w:val="002E59F5"/>
    <w:rsid w:val="002E59F6"/>
    <w:rsid w:val="002E5A50"/>
    <w:rsid w:val="002E5AEB"/>
    <w:rsid w:val="002E5B0E"/>
    <w:rsid w:val="002E5C16"/>
    <w:rsid w:val="002E5EE0"/>
    <w:rsid w:val="002E6051"/>
    <w:rsid w:val="002E6059"/>
    <w:rsid w:val="002E6080"/>
    <w:rsid w:val="002E6120"/>
    <w:rsid w:val="002E614C"/>
    <w:rsid w:val="002E61FE"/>
    <w:rsid w:val="002E668A"/>
    <w:rsid w:val="002E67AB"/>
    <w:rsid w:val="002E67AF"/>
    <w:rsid w:val="002E67EF"/>
    <w:rsid w:val="002E689A"/>
    <w:rsid w:val="002E68A7"/>
    <w:rsid w:val="002E6996"/>
    <w:rsid w:val="002E69AA"/>
    <w:rsid w:val="002E69DA"/>
    <w:rsid w:val="002E6A4D"/>
    <w:rsid w:val="002E6A62"/>
    <w:rsid w:val="002E6AAB"/>
    <w:rsid w:val="002E6ABF"/>
    <w:rsid w:val="002E6BCD"/>
    <w:rsid w:val="002E6CBD"/>
    <w:rsid w:val="002E6D51"/>
    <w:rsid w:val="002E6E56"/>
    <w:rsid w:val="002E7050"/>
    <w:rsid w:val="002E7146"/>
    <w:rsid w:val="002E7191"/>
    <w:rsid w:val="002E71C5"/>
    <w:rsid w:val="002E73DE"/>
    <w:rsid w:val="002E74ED"/>
    <w:rsid w:val="002E74EE"/>
    <w:rsid w:val="002E7511"/>
    <w:rsid w:val="002E7675"/>
    <w:rsid w:val="002E7717"/>
    <w:rsid w:val="002E7757"/>
    <w:rsid w:val="002E7890"/>
    <w:rsid w:val="002E78B2"/>
    <w:rsid w:val="002E79C9"/>
    <w:rsid w:val="002E7A55"/>
    <w:rsid w:val="002E7A9E"/>
    <w:rsid w:val="002E7D77"/>
    <w:rsid w:val="002E7DB4"/>
    <w:rsid w:val="002E7E43"/>
    <w:rsid w:val="002E7E84"/>
    <w:rsid w:val="002E7F11"/>
    <w:rsid w:val="002E7FE5"/>
    <w:rsid w:val="002F02E1"/>
    <w:rsid w:val="002F0325"/>
    <w:rsid w:val="002F03DD"/>
    <w:rsid w:val="002F03E9"/>
    <w:rsid w:val="002F050B"/>
    <w:rsid w:val="002F0571"/>
    <w:rsid w:val="002F060B"/>
    <w:rsid w:val="002F07BE"/>
    <w:rsid w:val="002F08A3"/>
    <w:rsid w:val="002F08A7"/>
    <w:rsid w:val="002F09CC"/>
    <w:rsid w:val="002F0BF8"/>
    <w:rsid w:val="002F0C5F"/>
    <w:rsid w:val="002F0C93"/>
    <w:rsid w:val="002F0CE7"/>
    <w:rsid w:val="002F0EBC"/>
    <w:rsid w:val="002F107C"/>
    <w:rsid w:val="002F1177"/>
    <w:rsid w:val="002F11C1"/>
    <w:rsid w:val="002F1262"/>
    <w:rsid w:val="002F12B1"/>
    <w:rsid w:val="002F12C3"/>
    <w:rsid w:val="002F13AF"/>
    <w:rsid w:val="002F1536"/>
    <w:rsid w:val="002F1543"/>
    <w:rsid w:val="002F15AB"/>
    <w:rsid w:val="002F15DA"/>
    <w:rsid w:val="002F1692"/>
    <w:rsid w:val="002F16C4"/>
    <w:rsid w:val="002F16E6"/>
    <w:rsid w:val="002F16F5"/>
    <w:rsid w:val="002F171D"/>
    <w:rsid w:val="002F1777"/>
    <w:rsid w:val="002F1867"/>
    <w:rsid w:val="002F1B80"/>
    <w:rsid w:val="002F1C04"/>
    <w:rsid w:val="002F1C15"/>
    <w:rsid w:val="002F1CE7"/>
    <w:rsid w:val="002F1D37"/>
    <w:rsid w:val="002F1D88"/>
    <w:rsid w:val="002F1DB3"/>
    <w:rsid w:val="002F1DFD"/>
    <w:rsid w:val="002F1DFF"/>
    <w:rsid w:val="002F1E10"/>
    <w:rsid w:val="002F1E86"/>
    <w:rsid w:val="002F1EF7"/>
    <w:rsid w:val="002F1FD6"/>
    <w:rsid w:val="002F2049"/>
    <w:rsid w:val="002F20F1"/>
    <w:rsid w:val="002F216F"/>
    <w:rsid w:val="002F23F9"/>
    <w:rsid w:val="002F249D"/>
    <w:rsid w:val="002F2639"/>
    <w:rsid w:val="002F279A"/>
    <w:rsid w:val="002F27D6"/>
    <w:rsid w:val="002F27FC"/>
    <w:rsid w:val="002F2838"/>
    <w:rsid w:val="002F283C"/>
    <w:rsid w:val="002F2957"/>
    <w:rsid w:val="002F2970"/>
    <w:rsid w:val="002F2A44"/>
    <w:rsid w:val="002F2AA1"/>
    <w:rsid w:val="002F2B85"/>
    <w:rsid w:val="002F2CB3"/>
    <w:rsid w:val="002F2D33"/>
    <w:rsid w:val="002F2EF9"/>
    <w:rsid w:val="002F2FFB"/>
    <w:rsid w:val="002F3074"/>
    <w:rsid w:val="002F30A9"/>
    <w:rsid w:val="002F3201"/>
    <w:rsid w:val="002F3284"/>
    <w:rsid w:val="002F32D6"/>
    <w:rsid w:val="002F33FF"/>
    <w:rsid w:val="002F342D"/>
    <w:rsid w:val="002F3450"/>
    <w:rsid w:val="002F3461"/>
    <w:rsid w:val="002F34B1"/>
    <w:rsid w:val="002F354A"/>
    <w:rsid w:val="002F3A8E"/>
    <w:rsid w:val="002F3BE6"/>
    <w:rsid w:val="002F3C0D"/>
    <w:rsid w:val="002F3C93"/>
    <w:rsid w:val="002F3CFA"/>
    <w:rsid w:val="002F3D55"/>
    <w:rsid w:val="002F3D5E"/>
    <w:rsid w:val="002F3DAD"/>
    <w:rsid w:val="002F3DDB"/>
    <w:rsid w:val="002F3DE3"/>
    <w:rsid w:val="002F3ED0"/>
    <w:rsid w:val="002F3EDE"/>
    <w:rsid w:val="002F40D3"/>
    <w:rsid w:val="002F40D9"/>
    <w:rsid w:val="002F4100"/>
    <w:rsid w:val="002F4152"/>
    <w:rsid w:val="002F4198"/>
    <w:rsid w:val="002F43B1"/>
    <w:rsid w:val="002F4413"/>
    <w:rsid w:val="002F45BE"/>
    <w:rsid w:val="002F460B"/>
    <w:rsid w:val="002F4738"/>
    <w:rsid w:val="002F479B"/>
    <w:rsid w:val="002F481F"/>
    <w:rsid w:val="002F4834"/>
    <w:rsid w:val="002F48E6"/>
    <w:rsid w:val="002F49B7"/>
    <w:rsid w:val="002F4A54"/>
    <w:rsid w:val="002F4D02"/>
    <w:rsid w:val="002F4DF0"/>
    <w:rsid w:val="002F4E90"/>
    <w:rsid w:val="002F4F1A"/>
    <w:rsid w:val="002F4F30"/>
    <w:rsid w:val="002F5030"/>
    <w:rsid w:val="002F5163"/>
    <w:rsid w:val="002F52B4"/>
    <w:rsid w:val="002F5302"/>
    <w:rsid w:val="002F54BF"/>
    <w:rsid w:val="002F55F5"/>
    <w:rsid w:val="002F5677"/>
    <w:rsid w:val="002F56A4"/>
    <w:rsid w:val="002F56CF"/>
    <w:rsid w:val="002F56D9"/>
    <w:rsid w:val="002F5785"/>
    <w:rsid w:val="002F57A2"/>
    <w:rsid w:val="002F57FE"/>
    <w:rsid w:val="002F5860"/>
    <w:rsid w:val="002F5991"/>
    <w:rsid w:val="002F5B36"/>
    <w:rsid w:val="002F5BEC"/>
    <w:rsid w:val="002F5BFF"/>
    <w:rsid w:val="002F5C94"/>
    <w:rsid w:val="002F5CBA"/>
    <w:rsid w:val="002F5D6D"/>
    <w:rsid w:val="002F5FA6"/>
    <w:rsid w:val="002F6021"/>
    <w:rsid w:val="002F605D"/>
    <w:rsid w:val="002F60BC"/>
    <w:rsid w:val="002F60DE"/>
    <w:rsid w:val="002F6128"/>
    <w:rsid w:val="002F617F"/>
    <w:rsid w:val="002F6244"/>
    <w:rsid w:val="002F626C"/>
    <w:rsid w:val="002F63F7"/>
    <w:rsid w:val="002F64AD"/>
    <w:rsid w:val="002F65F8"/>
    <w:rsid w:val="002F66EA"/>
    <w:rsid w:val="002F6934"/>
    <w:rsid w:val="002F6AC4"/>
    <w:rsid w:val="002F6B21"/>
    <w:rsid w:val="002F6C0E"/>
    <w:rsid w:val="002F6C71"/>
    <w:rsid w:val="002F6D29"/>
    <w:rsid w:val="002F6DBA"/>
    <w:rsid w:val="002F6EA2"/>
    <w:rsid w:val="002F6EE5"/>
    <w:rsid w:val="002F6F87"/>
    <w:rsid w:val="002F7028"/>
    <w:rsid w:val="002F7077"/>
    <w:rsid w:val="002F7101"/>
    <w:rsid w:val="002F71B8"/>
    <w:rsid w:val="002F72D5"/>
    <w:rsid w:val="002F75C9"/>
    <w:rsid w:val="002F75EC"/>
    <w:rsid w:val="002F75FF"/>
    <w:rsid w:val="002F7615"/>
    <w:rsid w:val="002F7712"/>
    <w:rsid w:val="002F778F"/>
    <w:rsid w:val="002F78E0"/>
    <w:rsid w:val="002F7C79"/>
    <w:rsid w:val="002F7D70"/>
    <w:rsid w:val="002F7E87"/>
    <w:rsid w:val="002F7F5D"/>
    <w:rsid w:val="003002AA"/>
    <w:rsid w:val="0030037C"/>
    <w:rsid w:val="00300736"/>
    <w:rsid w:val="00300761"/>
    <w:rsid w:val="0030078D"/>
    <w:rsid w:val="00300833"/>
    <w:rsid w:val="003009E0"/>
    <w:rsid w:val="003009FB"/>
    <w:rsid w:val="00300A88"/>
    <w:rsid w:val="00300ADB"/>
    <w:rsid w:val="00300BF3"/>
    <w:rsid w:val="00300C57"/>
    <w:rsid w:val="00300C8C"/>
    <w:rsid w:val="00300C93"/>
    <w:rsid w:val="00300CBF"/>
    <w:rsid w:val="00300F48"/>
    <w:rsid w:val="00300FCC"/>
    <w:rsid w:val="00301059"/>
    <w:rsid w:val="003010CC"/>
    <w:rsid w:val="00301133"/>
    <w:rsid w:val="003011BC"/>
    <w:rsid w:val="003011CF"/>
    <w:rsid w:val="00301395"/>
    <w:rsid w:val="0030140C"/>
    <w:rsid w:val="0030169B"/>
    <w:rsid w:val="003016F8"/>
    <w:rsid w:val="003017A7"/>
    <w:rsid w:val="0030187D"/>
    <w:rsid w:val="00301A2F"/>
    <w:rsid w:val="00301A59"/>
    <w:rsid w:val="00301DA9"/>
    <w:rsid w:val="00301DEB"/>
    <w:rsid w:val="0030205E"/>
    <w:rsid w:val="003020B7"/>
    <w:rsid w:val="003021E7"/>
    <w:rsid w:val="0030229E"/>
    <w:rsid w:val="003022CE"/>
    <w:rsid w:val="003022E5"/>
    <w:rsid w:val="003022F4"/>
    <w:rsid w:val="0030233D"/>
    <w:rsid w:val="0030234B"/>
    <w:rsid w:val="00302460"/>
    <w:rsid w:val="003024FC"/>
    <w:rsid w:val="00302590"/>
    <w:rsid w:val="00302791"/>
    <w:rsid w:val="0030283C"/>
    <w:rsid w:val="0030289C"/>
    <w:rsid w:val="003029B1"/>
    <w:rsid w:val="00302D31"/>
    <w:rsid w:val="00302D65"/>
    <w:rsid w:val="00302D84"/>
    <w:rsid w:val="00302E39"/>
    <w:rsid w:val="00302E5F"/>
    <w:rsid w:val="00302EA5"/>
    <w:rsid w:val="003030B0"/>
    <w:rsid w:val="00303170"/>
    <w:rsid w:val="003031CB"/>
    <w:rsid w:val="003033BF"/>
    <w:rsid w:val="003033F7"/>
    <w:rsid w:val="00303431"/>
    <w:rsid w:val="00303533"/>
    <w:rsid w:val="0030370B"/>
    <w:rsid w:val="0030371D"/>
    <w:rsid w:val="0030387F"/>
    <w:rsid w:val="003038BC"/>
    <w:rsid w:val="003038CF"/>
    <w:rsid w:val="003039AD"/>
    <w:rsid w:val="00303A0E"/>
    <w:rsid w:val="00303D58"/>
    <w:rsid w:val="00303DDE"/>
    <w:rsid w:val="00303EBD"/>
    <w:rsid w:val="00303F37"/>
    <w:rsid w:val="00303F6F"/>
    <w:rsid w:val="0030404D"/>
    <w:rsid w:val="003041D0"/>
    <w:rsid w:val="0030421C"/>
    <w:rsid w:val="00304291"/>
    <w:rsid w:val="003044BE"/>
    <w:rsid w:val="003045E8"/>
    <w:rsid w:val="00304609"/>
    <w:rsid w:val="00304773"/>
    <w:rsid w:val="00304889"/>
    <w:rsid w:val="0030499C"/>
    <w:rsid w:val="00304B16"/>
    <w:rsid w:val="00304BBF"/>
    <w:rsid w:val="00304BD8"/>
    <w:rsid w:val="00304C76"/>
    <w:rsid w:val="00304DC2"/>
    <w:rsid w:val="00304F7C"/>
    <w:rsid w:val="00304FCE"/>
    <w:rsid w:val="0030506D"/>
    <w:rsid w:val="00305080"/>
    <w:rsid w:val="00305220"/>
    <w:rsid w:val="0030526E"/>
    <w:rsid w:val="00305275"/>
    <w:rsid w:val="003052E2"/>
    <w:rsid w:val="00305599"/>
    <w:rsid w:val="003056A2"/>
    <w:rsid w:val="00305791"/>
    <w:rsid w:val="003057C1"/>
    <w:rsid w:val="0030588F"/>
    <w:rsid w:val="003059A0"/>
    <w:rsid w:val="00305AB3"/>
    <w:rsid w:val="00305BB2"/>
    <w:rsid w:val="00305C80"/>
    <w:rsid w:val="00305CFB"/>
    <w:rsid w:val="0030605F"/>
    <w:rsid w:val="00306463"/>
    <w:rsid w:val="003064E5"/>
    <w:rsid w:val="00306543"/>
    <w:rsid w:val="0030658C"/>
    <w:rsid w:val="003065EB"/>
    <w:rsid w:val="0030663D"/>
    <w:rsid w:val="00306702"/>
    <w:rsid w:val="00306711"/>
    <w:rsid w:val="00306845"/>
    <w:rsid w:val="0030693A"/>
    <w:rsid w:val="00306B5F"/>
    <w:rsid w:val="00306E00"/>
    <w:rsid w:val="00306E5A"/>
    <w:rsid w:val="00306E70"/>
    <w:rsid w:val="0030704D"/>
    <w:rsid w:val="00307057"/>
    <w:rsid w:val="003071F4"/>
    <w:rsid w:val="003071F7"/>
    <w:rsid w:val="0030725F"/>
    <w:rsid w:val="0030740F"/>
    <w:rsid w:val="003074A4"/>
    <w:rsid w:val="00307610"/>
    <w:rsid w:val="003076EB"/>
    <w:rsid w:val="00307746"/>
    <w:rsid w:val="0030774B"/>
    <w:rsid w:val="00307766"/>
    <w:rsid w:val="003077A7"/>
    <w:rsid w:val="003077E3"/>
    <w:rsid w:val="00307881"/>
    <w:rsid w:val="00307942"/>
    <w:rsid w:val="00307AB1"/>
    <w:rsid w:val="00307AE1"/>
    <w:rsid w:val="00307AEE"/>
    <w:rsid w:val="00307C47"/>
    <w:rsid w:val="00307C81"/>
    <w:rsid w:val="00307DEF"/>
    <w:rsid w:val="00307E3A"/>
    <w:rsid w:val="00307F20"/>
    <w:rsid w:val="00307F66"/>
    <w:rsid w:val="00307F75"/>
    <w:rsid w:val="00307FD9"/>
    <w:rsid w:val="00307FF0"/>
    <w:rsid w:val="0031000B"/>
    <w:rsid w:val="0031020D"/>
    <w:rsid w:val="0031038A"/>
    <w:rsid w:val="003103F1"/>
    <w:rsid w:val="003103F6"/>
    <w:rsid w:val="00310446"/>
    <w:rsid w:val="0031049A"/>
    <w:rsid w:val="003104BB"/>
    <w:rsid w:val="003107AE"/>
    <w:rsid w:val="003107F0"/>
    <w:rsid w:val="003108AA"/>
    <w:rsid w:val="003108DC"/>
    <w:rsid w:val="003109D7"/>
    <w:rsid w:val="00310AF0"/>
    <w:rsid w:val="00310DE6"/>
    <w:rsid w:val="00311018"/>
    <w:rsid w:val="003110FA"/>
    <w:rsid w:val="00311174"/>
    <w:rsid w:val="00311197"/>
    <w:rsid w:val="0031123D"/>
    <w:rsid w:val="0031125A"/>
    <w:rsid w:val="0031127D"/>
    <w:rsid w:val="003112A9"/>
    <w:rsid w:val="0031131A"/>
    <w:rsid w:val="00311339"/>
    <w:rsid w:val="00311351"/>
    <w:rsid w:val="003115C3"/>
    <w:rsid w:val="0031176A"/>
    <w:rsid w:val="003117E4"/>
    <w:rsid w:val="00311811"/>
    <w:rsid w:val="00311976"/>
    <w:rsid w:val="00311A80"/>
    <w:rsid w:val="00311BB1"/>
    <w:rsid w:val="00311C12"/>
    <w:rsid w:val="00311C65"/>
    <w:rsid w:val="00311DDD"/>
    <w:rsid w:val="00311DF2"/>
    <w:rsid w:val="00311E04"/>
    <w:rsid w:val="00311E09"/>
    <w:rsid w:val="00311FA9"/>
    <w:rsid w:val="00311FCD"/>
    <w:rsid w:val="00312283"/>
    <w:rsid w:val="00312312"/>
    <w:rsid w:val="00312313"/>
    <w:rsid w:val="00312376"/>
    <w:rsid w:val="003123B9"/>
    <w:rsid w:val="00312500"/>
    <w:rsid w:val="0031251B"/>
    <w:rsid w:val="00312812"/>
    <w:rsid w:val="00312907"/>
    <w:rsid w:val="00312997"/>
    <w:rsid w:val="003129D4"/>
    <w:rsid w:val="003129E5"/>
    <w:rsid w:val="00312B4B"/>
    <w:rsid w:val="00312BBE"/>
    <w:rsid w:val="00312CCE"/>
    <w:rsid w:val="00312CE5"/>
    <w:rsid w:val="00312FC1"/>
    <w:rsid w:val="00312FD6"/>
    <w:rsid w:val="00313251"/>
    <w:rsid w:val="00313366"/>
    <w:rsid w:val="003134FE"/>
    <w:rsid w:val="00313568"/>
    <w:rsid w:val="003136FB"/>
    <w:rsid w:val="003137F0"/>
    <w:rsid w:val="00313C52"/>
    <w:rsid w:val="00313C86"/>
    <w:rsid w:val="00313D33"/>
    <w:rsid w:val="00313D93"/>
    <w:rsid w:val="00313E20"/>
    <w:rsid w:val="00313E79"/>
    <w:rsid w:val="00313E7D"/>
    <w:rsid w:val="00313ECD"/>
    <w:rsid w:val="00313F03"/>
    <w:rsid w:val="00313F60"/>
    <w:rsid w:val="00313F6A"/>
    <w:rsid w:val="00314315"/>
    <w:rsid w:val="003143BC"/>
    <w:rsid w:val="0031440C"/>
    <w:rsid w:val="00314462"/>
    <w:rsid w:val="003144DC"/>
    <w:rsid w:val="00314639"/>
    <w:rsid w:val="00314683"/>
    <w:rsid w:val="003147F5"/>
    <w:rsid w:val="00314844"/>
    <w:rsid w:val="003148F2"/>
    <w:rsid w:val="00314968"/>
    <w:rsid w:val="00314A3D"/>
    <w:rsid w:val="00314A4D"/>
    <w:rsid w:val="00314B5B"/>
    <w:rsid w:val="00314BB6"/>
    <w:rsid w:val="00314BFD"/>
    <w:rsid w:val="00314BFE"/>
    <w:rsid w:val="00314E2D"/>
    <w:rsid w:val="00314EE9"/>
    <w:rsid w:val="00314F0D"/>
    <w:rsid w:val="00314FDD"/>
    <w:rsid w:val="00315165"/>
    <w:rsid w:val="00315277"/>
    <w:rsid w:val="00315301"/>
    <w:rsid w:val="00315346"/>
    <w:rsid w:val="00315458"/>
    <w:rsid w:val="00315608"/>
    <w:rsid w:val="00315643"/>
    <w:rsid w:val="00315787"/>
    <w:rsid w:val="0031585C"/>
    <w:rsid w:val="003158AE"/>
    <w:rsid w:val="003159C5"/>
    <w:rsid w:val="00315B19"/>
    <w:rsid w:val="00315CFD"/>
    <w:rsid w:val="00315D6C"/>
    <w:rsid w:val="00315ED8"/>
    <w:rsid w:val="0031603F"/>
    <w:rsid w:val="003160CE"/>
    <w:rsid w:val="003161AC"/>
    <w:rsid w:val="003162B5"/>
    <w:rsid w:val="003162C7"/>
    <w:rsid w:val="00316332"/>
    <w:rsid w:val="00316431"/>
    <w:rsid w:val="003164BE"/>
    <w:rsid w:val="0031655E"/>
    <w:rsid w:val="00316580"/>
    <w:rsid w:val="0031670B"/>
    <w:rsid w:val="0031686B"/>
    <w:rsid w:val="0031694A"/>
    <w:rsid w:val="0031697D"/>
    <w:rsid w:val="003169A8"/>
    <w:rsid w:val="00316A6A"/>
    <w:rsid w:val="00316B0B"/>
    <w:rsid w:val="00316B20"/>
    <w:rsid w:val="00316B85"/>
    <w:rsid w:val="00316D68"/>
    <w:rsid w:val="00316F06"/>
    <w:rsid w:val="00316F41"/>
    <w:rsid w:val="00317126"/>
    <w:rsid w:val="0031736B"/>
    <w:rsid w:val="003173A5"/>
    <w:rsid w:val="00317442"/>
    <w:rsid w:val="00317488"/>
    <w:rsid w:val="0031748C"/>
    <w:rsid w:val="003174DA"/>
    <w:rsid w:val="00317578"/>
    <w:rsid w:val="00317600"/>
    <w:rsid w:val="0031773E"/>
    <w:rsid w:val="00317B2E"/>
    <w:rsid w:val="00317B45"/>
    <w:rsid w:val="00317CFA"/>
    <w:rsid w:val="00317D4D"/>
    <w:rsid w:val="00317D6D"/>
    <w:rsid w:val="0032008E"/>
    <w:rsid w:val="003200D5"/>
    <w:rsid w:val="0032017D"/>
    <w:rsid w:val="00320233"/>
    <w:rsid w:val="0032027D"/>
    <w:rsid w:val="00320407"/>
    <w:rsid w:val="0032051C"/>
    <w:rsid w:val="00320578"/>
    <w:rsid w:val="0032067B"/>
    <w:rsid w:val="00320692"/>
    <w:rsid w:val="00320774"/>
    <w:rsid w:val="0032081B"/>
    <w:rsid w:val="0032092C"/>
    <w:rsid w:val="0032097F"/>
    <w:rsid w:val="003209E7"/>
    <w:rsid w:val="00320A31"/>
    <w:rsid w:val="00320B05"/>
    <w:rsid w:val="00320C02"/>
    <w:rsid w:val="00320C47"/>
    <w:rsid w:val="00320C7A"/>
    <w:rsid w:val="00320CE6"/>
    <w:rsid w:val="00320D0A"/>
    <w:rsid w:val="00320D7C"/>
    <w:rsid w:val="00320DFD"/>
    <w:rsid w:val="00320FE8"/>
    <w:rsid w:val="0032100E"/>
    <w:rsid w:val="00321230"/>
    <w:rsid w:val="00321325"/>
    <w:rsid w:val="003215B4"/>
    <w:rsid w:val="00321662"/>
    <w:rsid w:val="003216CA"/>
    <w:rsid w:val="00321862"/>
    <w:rsid w:val="0032188C"/>
    <w:rsid w:val="003218F8"/>
    <w:rsid w:val="00321930"/>
    <w:rsid w:val="003219E3"/>
    <w:rsid w:val="00321AD7"/>
    <w:rsid w:val="00321B9D"/>
    <w:rsid w:val="00321C85"/>
    <w:rsid w:val="00321D31"/>
    <w:rsid w:val="00321F2B"/>
    <w:rsid w:val="00321F7B"/>
    <w:rsid w:val="00321FA9"/>
    <w:rsid w:val="00321FE6"/>
    <w:rsid w:val="003221DB"/>
    <w:rsid w:val="0032222C"/>
    <w:rsid w:val="003223B6"/>
    <w:rsid w:val="0032245E"/>
    <w:rsid w:val="00322471"/>
    <w:rsid w:val="0032281D"/>
    <w:rsid w:val="00322B78"/>
    <w:rsid w:val="00322C75"/>
    <w:rsid w:val="00322D5C"/>
    <w:rsid w:val="00322DBB"/>
    <w:rsid w:val="00322E3C"/>
    <w:rsid w:val="00322EB4"/>
    <w:rsid w:val="003230F2"/>
    <w:rsid w:val="00323204"/>
    <w:rsid w:val="003232B0"/>
    <w:rsid w:val="003232CF"/>
    <w:rsid w:val="003232E8"/>
    <w:rsid w:val="003233A4"/>
    <w:rsid w:val="003233F1"/>
    <w:rsid w:val="0032348E"/>
    <w:rsid w:val="0032360C"/>
    <w:rsid w:val="00323704"/>
    <w:rsid w:val="00323848"/>
    <w:rsid w:val="0032386F"/>
    <w:rsid w:val="00323904"/>
    <w:rsid w:val="00323919"/>
    <w:rsid w:val="00323A46"/>
    <w:rsid w:val="00323A5F"/>
    <w:rsid w:val="00323AD2"/>
    <w:rsid w:val="00323ADE"/>
    <w:rsid w:val="00323E5F"/>
    <w:rsid w:val="00323EC7"/>
    <w:rsid w:val="00323F74"/>
    <w:rsid w:val="003241D3"/>
    <w:rsid w:val="003243CC"/>
    <w:rsid w:val="00324423"/>
    <w:rsid w:val="0032443F"/>
    <w:rsid w:val="0032459C"/>
    <w:rsid w:val="00324669"/>
    <w:rsid w:val="003249C5"/>
    <w:rsid w:val="00324B29"/>
    <w:rsid w:val="00324B41"/>
    <w:rsid w:val="00324B85"/>
    <w:rsid w:val="00324BE4"/>
    <w:rsid w:val="00324CA9"/>
    <w:rsid w:val="00324D20"/>
    <w:rsid w:val="00324DBE"/>
    <w:rsid w:val="00324E17"/>
    <w:rsid w:val="00324E37"/>
    <w:rsid w:val="00324EBA"/>
    <w:rsid w:val="00324F3B"/>
    <w:rsid w:val="00325007"/>
    <w:rsid w:val="0032500E"/>
    <w:rsid w:val="00325121"/>
    <w:rsid w:val="00325196"/>
    <w:rsid w:val="0032529B"/>
    <w:rsid w:val="00325421"/>
    <w:rsid w:val="0032546E"/>
    <w:rsid w:val="003254BF"/>
    <w:rsid w:val="0032551F"/>
    <w:rsid w:val="0032553E"/>
    <w:rsid w:val="003256A1"/>
    <w:rsid w:val="003256FE"/>
    <w:rsid w:val="0032577C"/>
    <w:rsid w:val="003257BB"/>
    <w:rsid w:val="0032580A"/>
    <w:rsid w:val="00325886"/>
    <w:rsid w:val="00325978"/>
    <w:rsid w:val="00325A4D"/>
    <w:rsid w:val="00325B52"/>
    <w:rsid w:val="00325C0B"/>
    <w:rsid w:val="00325DD0"/>
    <w:rsid w:val="00325DFF"/>
    <w:rsid w:val="00326181"/>
    <w:rsid w:val="003261D7"/>
    <w:rsid w:val="003262AC"/>
    <w:rsid w:val="0032632C"/>
    <w:rsid w:val="00326430"/>
    <w:rsid w:val="00326431"/>
    <w:rsid w:val="00326493"/>
    <w:rsid w:val="0032659C"/>
    <w:rsid w:val="003266FB"/>
    <w:rsid w:val="0032677D"/>
    <w:rsid w:val="00326B0F"/>
    <w:rsid w:val="00326BCB"/>
    <w:rsid w:val="00326BEF"/>
    <w:rsid w:val="00326C29"/>
    <w:rsid w:val="00326D6A"/>
    <w:rsid w:val="00326DE6"/>
    <w:rsid w:val="00326F38"/>
    <w:rsid w:val="003270FB"/>
    <w:rsid w:val="00327202"/>
    <w:rsid w:val="003272D1"/>
    <w:rsid w:val="003273A7"/>
    <w:rsid w:val="00327423"/>
    <w:rsid w:val="0032743B"/>
    <w:rsid w:val="00327673"/>
    <w:rsid w:val="00327737"/>
    <w:rsid w:val="00327812"/>
    <w:rsid w:val="0032782A"/>
    <w:rsid w:val="0032783D"/>
    <w:rsid w:val="003278B2"/>
    <w:rsid w:val="003278E1"/>
    <w:rsid w:val="00327901"/>
    <w:rsid w:val="00327956"/>
    <w:rsid w:val="0032796C"/>
    <w:rsid w:val="00327987"/>
    <w:rsid w:val="00327A31"/>
    <w:rsid w:val="00327AF3"/>
    <w:rsid w:val="00327B64"/>
    <w:rsid w:val="00327DAA"/>
    <w:rsid w:val="00327E30"/>
    <w:rsid w:val="00327F86"/>
    <w:rsid w:val="00327FFE"/>
    <w:rsid w:val="00330068"/>
    <w:rsid w:val="00330213"/>
    <w:rsid w:val="0033024C"/>
    <w:rsid w:val="00330297"/>
    <w:rsid w:val="003302C9"/>
    <w:rsid w:val="003302CD"/>
    <w:rsid w:val="00330333"/>
    <w:rsid w:val="0033074C"/>
    <w:rsid w:val="00330815"/>
    <w:rsid w:val="0033082E"/>
    <w:rsid w:val="0033083D"/>
    <w:rsid w:val="00330A2D"/>
    <w:rsid w:val="00330A47"/>
    <w:rsid w:val="00330A90"/>
    <w:rsid w:val="00330BD9"/>
    <w:rsid w:val="00330C76"/>
    <w:rsid w:val="00330CE4"/>
    <w:rsid w:val="00330D44"/>
    <w:rsid w:val="00330D8E"/>
    <w:rsid w:val="00330E19"/>
    <w:rsid w:val="00330F45"/>
    <w:rsid w:val="0033138D"/>
    <w:rsid w:val="0033144D"/>
    <w:rsid w:val="0033176C"/>
    <w:rsid w:val="003317A9"/>
    <w:rsid w:val="003317E6"/>
    <w:rsid w:val="003319B7"/>
    <w:rsid w:val="00331AD4"/>
    <w:rsid w:val="00331BB5"/>
    <w:rsid w:val="00331BF5"/>
    <w:rsid w:val="00331BFB"/>
    <w:rsid w:val="00331D62"/>
    <w:rsid w:val="00331DA5"/>
    <w:rsid w:val="00331DBC"/>
    <w:rsid w:val="00331E49"/>
    <w:rsid w:val="00331EE6"/>
    <w:rsid w:val="003320BD"/>
    <w:rsid w:val="003320F2"/>
    <w:rsid w:val="00332131"/>
    <w:rsid w:val="003323FC"/>
    <w:rsid w:val="00332431"/>
    <w:rsid w:val="00332517"/>
    <w:rsid w:val="003325C3"/>
    <w:rsid w:val="00332775"/>
    <w:rsid w:val="0033279F"/>
    <w:rsid w:val="003327A1"/>
    <w:rsid w:val="00332822"/>
    <w:rsid w:val="00332838"/>
    <w:rsid w:val="00332A2A"/>
    <w:rsid w:val="00332A43"/>
    <w:rsid w:val="00332B2C"/>
    <w:rsid w:val="00332BE5"/>
    <w:rsid w:val="00332BE7"/>
    <w:rsid w:val="00332CEC"/>
    <w:rsid w:val="00332E9D"/>
    <w:rsid w:val="00332E9E"/>
    <w:rsid w:val="00332E9F"/>
    <w:rsid w:val="00332ECE"/>
    <w:rsid w:val="00333194"/>
    <w:rsid w:val="003331B7"/>
    <w:rsid w:val="00333214"/>
    <w:rsid w:val="00333328"/>
    <w:rsid w:val="0033339D"/>
    <w:rsid w:val="00333473"/>
    <w:rsid w:val="00333715"/>
    <w:rsid w:val="0033371E"/>
    <w:rsid w:val="00333780"/>
    <w:rsid w:val="0033391A"/>
    <w:rsid w:val="00333926"/>
    <w:rsid w:val="003339EF"/>
    <w:rsid w:val="00333AE4"/>
    <w:rsid w:val="00333BB4"/>
    <w:rsid w:val="00333BB9"/>
    <w:rsid w:val="00333CAE"/>
    <w:rsid w:val="00333D52"/>
    <w:rsid w:val="00333DDC"/>
    <w:rsid w:val="00333EC6"/>
    <w:rsid w:val="00333F56"/>
    <w:rsid w:val="00333F6F"/>
    <w:rsid w:val="00333F9B"/>
    <w:rsid w:val="00334018"/>
    <w:rsid w:val="0033409C"/>
    <w:rsid w:val="003340B4"/>
    <w:rsid w:val="00334175"/>
    <w:rsid w:val="003341A8"/>
    <w:rsid w:val="003341B7"/>
    <w:rsid w:val="00334235"/>
    <w:rsid w:val="003342CA"/>
    <w:rsid w:val="0033435A"/>
    <w:rsid w:val="00334555"/>
    <w:rsid w:val="003347C4"/>
    <w:rsid w:val="003347E5"/>
    <w:rsid w:val="0033483B"/>
    <w:rsid w:val="00334843"/>
    <w:rsid w:val="0033489A"/>
    <w:rsid w:val="003349CC"/>
    <w:rsid w:val="003349FA"/>
    <w:rsid w:val="00334A3B"/>
    <w:rsid w:val="00334A5D"/>
    <w:rsid w:val="00334D9C"/>
    <w:rsid w:val="00334F3B"/>
    <w:rsid w:val="00335167"/>
    <w:rsid w:val="003351EB"/>
    <w:rsid w:val="00335448"/>
    <w:rsid w:val="0033552C"/>
    <w:rsid w:val="00335545"/>
    <w:rsid w:val="0033589F"/>
    <w:rsid w:val="00335979"/>
    <w:rsid w:val="00335A7D"/>
    <w:rsid w:val="00335B39"/>
    <w:rsid w:val="00335C2D"/>
    <w:rsid w:val="00335F08"/>
    <w:rsid w:val="00336016"/>
    <w:rsid w:val="00336094"/>
    <w:rsid w:val="003360E3"/>
    <w:rsid w:val="003360EB"/>
    <w:rsid w:val="003361B1"/>
    <w:rsid w:val="003361C3"/>
    <w:rsid w:val="00336275"/>
    <w:rsid w:val="00336288"/>
    <w:rsid w:val="003362C0"/>
    <w:rsid w:val="00336304"/>
    <w:rsid w:val="00336323"/>
    <w:rsid w:val="003363E1"/>
    <w:rsid w:val="003364B0"/>
    <w:rsid w:val="00336556"/>
    <w:rsid w:val="003365D3"/>
    <w:rsid w:val="0033672F"/>
    <w:rsid w:val="00336753"/>
    <w:rsid w:val="00336845"/>
    <w:rsid w:val="0033698B"/>
    <w:rsid w:val="0033699F"/>
    <w:rsid w:val="003369AC"/>
    <w:rsid w:val="003369BA"/>
    <w:rsid w:val="00336A3A"/>
    <w:rsid w:val="00336A71"/>
    <w:rsid w:val="00336A80"/>
    <w:rsid w:val="0033700A"/>
    <w:rsid w:val="003370C6"/>
    <w:rsid w:val="00337243"/>
    <w:rsid w:val="00337286"/>
    <w:rsid w:val="0033738D"/>
    <w:rsid w:val="0033741D"/>
    <w:rsid w:val="00337437"/>
    <w:rsid w:val="00337501"/>
    <w:rsid w:val="00337512"/>
    <w:rsid w:val="00337566"/>
    <w:rsid w:val="00337573"/>
    <w:rsid w:val="00337576"/>
    <w:rsid w:val="003375A1"/>
    <w:rsid w:val="00337810"/>
    <w:rsid w:val="003378FF"/>
    <w:rsid w:val="00337CCA"/>
    <w:rsid w:val="00337F3B"/>
    <w:rsid w:val="00337FB1"/>
    <w:rsid w:val="00337FCF"/>
    <w:rsid w:val="0034011A"/>
    <w:rsid w:val="00340447"/>
    <w:rsid w:val="00340463"/>
    <w:rsid w:val="003404B8"/>
    <w:rsid w:val="003404D2"/>
    <w:rsid w:val="003404D6"/>
    <w:rsid w:val="00340509"/>
    <w:rsid w:val="003406A9"/>
    <w:rsid w:val="0034084C"/>
    <w:rsid w:val="003408EF"/>
    <w:rsid w:val="00340937"/>
    <w:rsid w:val="00340A23"/>
    <w:rsid w:val="00340A35"/>
    <w:rsid w:val="00340A70"/>
    <w:rsid w:val="00340B5C"/>
    <w:rsid w:val="00340C35"/>
    <w:rsid w:val="00340E84"/>
    <w:rsid w:val="00341014"/>
    <w:rsid w:val="00341059"/>
    <w:rsid w:val="00341104"/>
    <w:rsid w:val="0034111F"/>
    <w:rsid w:val="0034118C"/>
    <w:rsid w:val="003411CE"/>
    <w:rsid w:val="00341277"/>
    <w:rsid w:val="00341365"/>
    <w:rsid w:val="003413C0"/>
    <w:rsid w:val="003413EB"/>
    <w:rsid w:val="003416D6"/>
    <w:rsid w:val="00341756"/>
    <w:rsid w:val="003418C9"/>
    <w:rsid w:val="003418D9"/>
    <w:rsid w:val="0034195B"/>
    <w:rsid w:val="00341A81"/>
    <w:rsid w:val="00341AFD"/>
    <w:rsid w:val="00341B97"/>
    <w:rsid w:val="00341C2F"/>
    <w:rsid w:val="00341D37"/>
    <w:rsid w:val="00341E67"/>
    <w:rsid w:val="00341E92"/>
    <w:rsid w:val="00341E97"/>
    <w:rsid w:val="00341ECE"/>
    <w:rsid w:val="00341FA9"/>
    <w:rsid w:val="00341FEA"/>
    <w:rsid w:val="003420D9"/>
    <w:rsid w:val="0034213A"/>
    <w:rsid w:val="00342228"/>
    <w:rsid w:val="0034235B"/>
    <w:rsid w:val="003423A9"/>
    <w:rsid w:val="003423C5"/>
    <w:rsid w:val="003424DD"/>
    <w:rsid w:val="003425E0"/>
    <w:rsid w:val="003426B4"/>
    <w:rsid w:val="0034274E"/>
    <w:rsid w:val="003427E0"/>
    <w:rsid w:val="0034282A"/>
    <w:rsid w:val="003429E1"/>
    <w:rsid w:val="00342ABF"/>
    <w:rsid w:val="00342BBE"/>
    <w:rsid w:val="003430E8"/>
    <w:rsid w:val="003431A8"/>
    <w:rsid w:val="00343299"/>
    <w:rsid w:val="003432B4"/>
    <w:rsid w:val="00343309"/>
    <w:rsid w:val="00343537"/>
    <w:rsid w:val="00343661"/>
    <w:rsid w:val="003436AA"/>
    <w:rsid w:val="00343712"/>
    <w:rsid w:val="003437AF"/>
    <w:rsid w:val="003437E6"/>
    <w:rsid w:val="00343838"/>
    <w:rsid w:val="00343921"/>
    <w:rsid w:val="00343A17"/>
    <w:rsid w:val="00343A9A"/>
    <w:rsid w:val="00343AAA"/>
    <w:rsid w:val="00343BD6"/>
    <w:rsid w:val="00343C4E"/>
    <w:rsid w:val="00343E52"/>
    <w:rsid w:val="00343F51"/>
    <w:rsid w:val="00344190"/>
    <w:rsid w:val="00344202"/>
    <w:rsid w:val="00344317"/>
    <w:rsid w:val="00344380"/>
    <w:rsid w:val="003443BC"/>
    <w:rsid w:val="0034452D"/>
    <w:rsid w:val="0034465D"/>
    <w:rsid w:val="00344685"/>
    <w:rsid w:val="00344708"/>
    <w:rsid w:val="0034476E"/>
    <w:rsid w:val="0034483B"/>
    <w:rsid w:val="0034486F"/>
    <w:rsid w:val="00344979"/>
    <w:rsid w:val="00344A5A"/>
    <w:rsid w:val="00344A79"/>
    <w:rsid w:val="00344AC2"/>
    <w:rsid w:val="00344CDF"/>
    <w:rsid w:val="00344E6D"/>
    <w:rsid w:val="00344E97"/>
    <w:rsid w:val="00344F42"/>
    <w:rsid w:val="00344F71"/>
    <w:rsid w:val="00344FED"/>
    <w:rsid w:val="00345006"/>
    <w:rsid w:val="0034505C"/>
    <w:rsid w:val="00345104"/>
    <w:rsid w:val="00345238"/>
    <w:rsid w:val="00345261"/>
    <w:rsid w:val="00345290"/>
    <w:rsid w:val="00345330"/>
    <w:rsid w:val="003454A6"/>
    <w:rsid w:val="0034558B"/>
    <w:rsid w:val="003455AC"/>
    <w:rsid w:val="00345646"/>
    <w:rsid w:val="00345674"/>
    <w:rsid w:val="003457B6"/>
    <w:rsid w:val="0034593C"/>
    <w:rsid w:val="0034599F"/>
    <w:rsid w:val="00345A0F"/>
    <w:rsid w:val="00345A48"/>
    <w:rsid w:val="00345BFE"/>
    <w:rsid w:val="00345D5C"/>
    <w:rsid w:val="00345D8D"/>
    <w:rsid w:val="00345E52"/>
    <w:rsid w:val="00345EA1"/>
    <w:rsid w:val="00345FA1"/>
    <w:rsid w:val="00345FB4"/>
    <w:rsid w:val="0034603E"/>
    <w:rsid w:val="0034604C"/>
    <w:rsid w:val="003460C8"/>
    <w:rsid w:val="00346208"/>
    <w:rsid w:val="0034632E"/>
    <w:rsid w:val="00346397"/>
    <w:rsid w:val="003463ED"/>
    <w:rsid w:val="00346487"/>
    <w:rsid w:val="0034653A"/>
    <w:rsid w:val="00346644"/>
    <w:rsid w:val="00346692"/>
    <w:rsid w:val="0034680F"/>
    <w:rsid w:val="00346835"/>
    <w:rsid w:val="003469C7"/>
    <w:rsid w:val="003469E6"/>
    <w:rsid w:val="00346A0D"/>
    <w:rsid w:val="00346ADC"/>
    <w:rsid w:val="00346B63"/>
    <w:rsid w:val="00346B77"/>
    <w:rsid w:val="00346BA4"/>
    <w:rsid w:val="00346C16"/>
    <w:rsid w:val="00346C25"/>
    <w:rsid w:val="00346C6C"/>
    <w:rsid w:val="00346C74"/>
    <w:rsid w:val="00346D11"/>
    <w:rsid w:val="00346D58"/>
    <w:rsid w:val="00346EC4"/>
    <w:rsid w:val="00346EEA"/>
    <w:rsid w:val="00346FF5"/>
    <w:rsid w:val="0034708E"/>
    <w:rsid w:val="0034711E"/>
    <w:rsid w:val="0034721F"/>
    <w:rsid w:val="00347241"/>
    <w:rsid w:val="0034724F"/>
    <w:rsid w:val="0034725D"/>
    <w:rsid w:val="003472B2"/>
    <w:rsid w:val="00347385"/>
    <w:rsid w:val="003473DA"/>
    <w:rsid w:val="003474B0"/>
    <w:rsid w:val="003475C0"/>
    <w:rsid w:val="003476B0"/>
    <w:rsid w:val="003477F2"/>
    <w:rsid w:val="00347908"/>
    <w:rsid w:val="003479B4"/>
    <w:rsid w:val="00347C6C"/>
    <w:rsid w:val="00347DBE"/>
    <w:rsid w:val="00347DFF"/>
    <w:rsid w:val="00347E4D"/>
    <w:rsid w:val="00347E6E"/>
    <w:rsid w:val="0035009D"/>
    <w:rsid w:val="003500BF"/>
    <w:rsid w:val="00350207"/>
    <w:rsid w:val="00350353"/>
    <w:rsid w:val="00350486"/>
    <w:rsid w:val="0035051F"/>
    <w:rsid w:val="0035054F"/>
    <w:rsid w:val="003505DC"/>
    <w:rsid w:val="00350651"/>
    <w:rsid w:val="003506FD"/>
    <w:rsid w:val="00350904"/>
    <w:rsid w:val="003509A7"/>
    <w:rsid w:val="00350ABD"/>
    <w:rsid w:val="00350B38"/>
    <w:rsid w:val="00350B80"/>
    <w:rsid w:val="00350C07"/>
    <w:rsid w:val="00350C9E"/>
    <w:rsid w:val="00350CFB"/>
    <w:rsid w:val="00350DC9"/>
    <w:rsid w:val="00350DF6"/>
    <w:rsid w:val="00350EC8"/>
    <w:rsid w:val="00350F0C"/>
    <w:rsid w:val="00350F66"/>
    <w:rsid w:val="00350F8A"/>
    <w:rsid w:val="0035101B"/>
    <w:rsid w:val="0035101D"/>
    <w:rsid w:val="00351173"/>
    <w:rsid w:val="0035129B"/>
    <w:rsid w:val="003512D1"/>
    <w:rsid w:val="00351361"/>
    <w:rsid w:val="003513B4"/>
    <w:rsid w:val="00351577"/>
    <w:rsid w:val="0035164F"/>
    <w:rsid w:val="0035179E"/>
    <w:rsid w:val="003517A4"/>
    <w:rsid w:val="003517D2"/>
    <w:rsid w:val="00351947"/>
    <w:rsid w:val="00351A48"/>
    <w:rsid w:val="00351ABF"/>
    <w:rsid w:val="00351BA9"/>
    <w:rsid w:val="00351CC8"/>
    <w:rsid w:val="00351CE2"/>
    <w:rsid w:val="00351D19"/>
    <w:rsid w:val="00351D92"/>
    <w:rsid w:val="00351FDA"/>
    <w:rsid w:val="003520CF"/>
    <w:rsid w:val="003520DA"/>
    <w:rsid w:val="003521A0"/>
    <w:rsid w:val="00352266"/>
    <w:rsid w:val="0035228A"/>
    <w:rsid w:val="00352541"/>
    <w:rsid w:val="003525EA"/>
    <w:rsid w:val="003527DD"/>
    <w:rsid w:val="00352883"/>
    <w:rsid w:val="00352AD2"/>
    <w:rsid w:val="00352B21"/>
    <w:rsid w:val="00352C12"/>
    <w:rsid w:val="00352CED"/>
    <w:rsid w:val="00352DCF"/>
    <w:rsid w:val="003530DF"/>
    <w:rsid w:val="0035318B"/>
    <w:rsid w:val="0035331A"/>
    <w:rsid w:val="00353474"/>
    <w:rsid w:val="00353520"/>
    <w:rsid w:val="0035355F"/>
    <w:rsid w:val="0035369C"/>
    <w:rsid w:val="003536D2"/>
    <w:rsid w:val="00353745"/>
    <w:rsid w:val="00353853"/>
    <w:rsid w:val="0035397B"/>
    <w:rsid w:val="003539D0"/>
    <w:rsid w:val="00353A01"/>
    <w:rsid w:val="00353A17"/>
    <w:rsid w:val="00353AC3"/>
    <w:rsid w:val="00353B64"/>
    <w:rsid w:val="00353C14"/>
    <w:rsid w:val="00353C30"/>
    <w:rsid w:val="00353F53"/>
    <w:rsid w:val="00353F64"/>
    <w:rsid w:val="00353F6B"/>
    <w:rsid w:val="0035408B"/>
    <w:rsid w:val="0035420C"/>
    <w:rsid w:val="0035423B"/>
    <w:rsid w:val="00354355"/>
    <w:rsid w:val="00354439"/>
    <w:rsid w:val="00354443"/>
    <w:rsid w:val="00354454"/>
    <w:rsid w:val="0035447B"/>
    <w:rsid w:val="00354570"/>
    <w:rsid w:val="0035457E"/>
    <w:rsid w:val="0035470D"/>
    <w:rsid w:val="003548AC"/>
    <w:rsid w:val="003548E9"/>
    <w:rsid w:val="00354921"/>
    <w:rsid w:val="00354974"/>
    <w:rsid w:val="003549A7"/>
    <w:rsid w:val="00354C3A"/>
    <w:rsid w:val="00354D05"/>
    <w:rsid w:val="00354E28"/>
    <w:rsid w:val="00354E76"/>
    <w:rsid w:val="00354F74"/>
    <w:rsid w:val="00354F8A"/>
    <w:rsid w:val="003552EE"/>
    <w:rsid w:val="00355416"/>
    <w:rsid w:val="0035546C"/>
    <w:rsid w:val="00355530"/>
    <w:rsid w:val="0035567A"/>
    <w:rsid w:val="0035589C"/>
    <w:rsid w:val="003559AC"/>
    <w:rsid w:val="003559DF"/>
    <w:rsid w:val="00355A98"/>
    <w:rsid w:val="00355B1C"/>
    <w:rsid w:val="00355B61"/>
    <w:rsid w:val="00355CA5"/>
    <w:rsid w:val="00355D49"/>
    <w:rsid w:val="00355F91"/>
    <w:rsid w:val="00355FC4"/>
    <w:rsid w:val="003561EA"/>
    <w:rsid w:val="00356358"/>
    <w:rsid w:val="00356370"/>
    <w:rsid w:val="0035638D"/>
    <w:rsid w:val="003563B9"/>
    <w:rsid w:val="00356409"/>
    <w:rsid w:val="00356470"/>
    <w:rsid w:val="00356487"/>
    <w:rsid w:val="003564D7"/>
    <w:rsid w:val="003564FB"/>
    <w:rsid w:val="0035665E"/>
    <w:rsid w:val="0035681A"/>
    <w:rsid w:val="00356852"/>
    <w:rsid w:val="003568B9"/>
    <w:rsid w:val="003568DC"/>
    <w:rsid w:val="00356933"/>
    <w:rsid w:val="00356AD0"/>
    <w:rsid w:val="00356AE2"/>
    <w:rsid w:val="00356B2F"/>
    <w:rsid w:val="00356B8B"/>
    <w:rsid w:val="00356B9F"/>
    <w:rsid w:val="00356D70"/>
    <w:rsid w:val="00356D82"/>
    <w:rsid w:val="00356E1E"/>
    <w:rsid w:val="00356E68"/>
    <w:rsid w:val="00356EA0"/>
    <w:rsid w:val="00356EC6"/>
    <w:rsid w:val="00356F29"/>
    <w:rsid w:val="00356F2D"/>
    <w:rsid w:val="00356FCA"/>
    <w:rsid w:val="00357178"/>
    <w:rsid w:val="003571CF"/>
    <w:rsid w:val="0035722C"/>
    <w:rsid w:val="0035724E"/>
    <w:rsid w:val="00357329"/>
    <w:rsid w:val="00357562"/>
    <w:rsid w:val="00357ADE"/>
    <w:rsid w:val="00357C2E"/>
    <w:rsid w:val="00357C6E"/>
    <w:rsid w:val="00357CDA"/>
    <w:rsid w:val="00357E25"/>
    <w:rsid w:val="00357F1C"/>
    <w:rsid w:val="0036017B"/>
    <w:rsid w:val="00360233"/>
    <w:rsid w:val="00360385"/>
    <w:rsid w:val="00360497"/>
    <w:rsid w:val="00360582"/>
    <w:rsid w:val="00360631"/>
    <w:rsid w:val="003607CF"/>
    <w:rsid w:val="00360901"/>
    <w:rsid w:val="00360BFD"/>
    <w:rsid w:val="00360D01"/>
    <w:rsid w:val="00360D5C"/>
    <w:rsid w:val="00360F88"/>
    <w:rsid w:val="00361037"/>
    <w:rsid w:val="003610D5"/>
    <w:rsid w:val="00361125"/>
    <w:rsid w:val="00361141"/>
    <w:rsid w:val="00361287"/>
    <w:rsid w:val="0036132A"/>
    <w:rsid w:val="003613B5"/>
    <w:rsid w:val="00361527"/>
    <w:rsid w:val="0036154D"/>
    <w:rsid w:val="0036158B"/>
    <w:rsid w:val="003615A9"/>
    <w:rsid w:val="0036160B"/>
    <w:rsid w:val="003616E7"/>
    <w:rsid w:val="003617B5"/>
    <w:rsid w:val="003617C1"/>
    <w:rsid w:val="0036182A"/>
    <w:rsid w:val="00361985"/>
    <w:rsid w:val="00361A8E"/>
    <w:rsid w:val="00361AAB"/>
    <w:rsid w:val="00361ABE"/>
    <w:rsid w:val="00361B72"/>
    <w:rsid w:val="00361C46"/>
    <w:rsid w:val="00361D00"/>
    <w:rsid w:val="00361D14"/>
    <w:rsid w:val="00361D32"/>
    <w:rsid w:val="00361D71"/>
    <w:rsid w:val="00361D72"/>
    <w:rsid w:val="00361F06"/>
    <w:rsid w:val="00361F5D"/>
    <w:rsid w:val="00361F8D"/>
    <w:rsid w:val="00361FAC"/>
    <w:rsid w:val="00361FFD"/>
    <w:rsid w:val="00362047"/>
    <w:rsid w:val="003623A7"/>
    <w:rsid w:val="003623E3"/>
    <w:rsid w:val="0036241D"/>
    <w:rsid w:val="00362511"/>
    <w:rsid w:val="00362514"/>
    <w:rsid w:val="0036259B"/>
    <w:rsid w:val="003626B2"/>
    <w:rsid w:val="003626D8"/>
    <w:rsid w:val="0036270E"/>
    <w:rsid w:val="00362767"/>
    <w:rsid w:val="00362780"/>
    <w:rsid w:val="003628D0"/>
    <w:rsid w:val="00362948"/>
    <w:rsid w:val="003629BF"/>
    <w:rsid w:val="00362A21"/>
    <w:rsid w:val="00362A6B"/>
    <w:rsid w:val="00362B0D"/>
    <w:rsid w:val="00362DF0"/>
    <w:rsid w:val="00363029"/>
    <w:rsid w:val="00363044"/>
    <w:rsid w:val="003630D4"/>
    <w:rsid w:val="00363262"/>
    <w:rsid w:val="003634CF"/>
    <w:rsid w:val="003636EA"/>
    <w:rsid w:val="0036378D"/>
    <w:rsid w:val="003637B8"/>
    <w:rsid w:val="00363A36"/>
    <w:rsid w:val="00363B0A"/>
    <w:rsid w:val="00363BC2"/>
    <w:rsid w:val="00363C8B"/>
    <w:rsid w:val="00363CB7"/>
    <w:rsid w:val="00363E00"/>
    <w:rsid w:val="00363E1E"/>
    <w:rsid w:val="00363E6E"/>
    <w:rsid w:val="00363E82"/>
    <w:rsid w:val="00363EFD"/>
    <w:rsid w:val="00363F29"/>
    <w:rsid w:val="003640C0"/>
    <w:rsid w:val="003641E9"/>
    <w:rsid w:val="003642B2"/>
    <w:rsid w:val="00364323"/>
    <w:rsid w:val="0036438D"/>
    <w:rsid w:val="003643B3"/>
    <w:rsid w:val="00364471"/>
    <w:rsid w:val="00364517"/>
    <w:rsid w:val="00364522"/>
    <w:rsid w:val="00364527"/>
    <w:rsid w:val="0036453A"/>
    <w:rsid w:val="0036478C"/>
    <w:rsid w:val="00364832"/>
    <w:rsid w:val="0036491E"/>
    <w:rsid w:val="00364952"/>
    <w:rsid w:val="00364A14"/>
    <w:rsid w:val="00364B74"/>
    <w:rsid w:val="00364BB3"/>
    <w:rsid w:val="00364C13"/>
    <w:rsid w:val="00364C33"/>
    <w:rsid w:val="00364D71"/>
    <w:rsid w:val="00364DC9"/>
    <w:rsid w:val="00364E8D"/>
    <w:rsid w:val="00364F0C"/>
    <w:rsid w:val="00364F27"/>
    <w:rsid w:val="00364F4F"/>
    <w:rsid w:val="00364FC7"/>
    <w:rsid w:val="00364FCF"/>
    <w:rsid w:val="0036514A"/>
    <w:rsid w:val="00365191"/>
    <w:rsid w:val="00365208"/>
    <w:rsid w:val="00365221"/>
    <w:rsid w:val="003652DE"/>
    <w:rsid w:val="00365311"/>
    <w:rsid w:val="00365331"/>
    <w:rsid w:val="0036541D"/>
    <w:rsid w:val="00365424"/>
    <w:rsid w:val="003654D5"/>
    <w:rsid w:val="00365632"/>
    <w:rsid w:val="00365636"/>
    <w:rsid w:val="00365666"/>
    <w:rsid w:val="00365684"/>
    <w:rsid w:val="00365753"/>
    <w:rsid w:val="0036584B"/>
    <w:rsid w:val="0036591A"/>
    <w:rsid w:val="00365A8E"/>
    <w:rsid w:val="00365AB9"/>
    <w:rsid w:val="00365C8E"/>
    <w:rsid w:val="00365D95"/>
    <w:rsid w:val="00365E36"/>
    <w:rsid w:val="00365F7F"/>
    <w:rsid w:val="00365F89"/>
    <w:rsid w:val="0036600C"/>
    <w:rsid w:val="0036615D"/>
    <w:rsid w:val="0036619D"/>
    <w:rsid w:val="00366327"/>
    <w:rsid w:val="00366438"/>
    <w:rsid w:val="0036644F"/>
    <w:rsid w:val="003664EA"/>
    <w:rsid w:val="00366699"/>
    <w:rsid w:val="00366725"/>
    <w:rsid w:val="003667E0"/>
    <w:rsid w:val="003667EC"/>
    <w:rsid w:val="003668AD"/>
    <w:rsid w:val="00366DFA"/>
    <w:rsid w:val="00366E0A"/>
    <w:rsid w:val="00366E77"/>
    <w:rsid w:val="00366F32"/>
    <w:rsid w:val="00366F77"/>
    <w:rsid w:val="00366FA4"/>
    <w:rsid w:val="00366FF3"/>
    <w:rsid w:val="003673C7"/>
    <w:rsid w:val="00367448"/>
    <w:rsid w:val="003674A0"/>
    <w:rsid w:val="003675CB"/>
    <w:rsid w:val="00367743"/>
    <w:rsid w:val="003678C8"/>
    <w:rsid w:val="00367B57"/>
    <w:rsid w:val="00367BEF"/>
    <w:rsid w:val="00367C11"/>
    <w:rsid w:val="00367CE2"/>
    <w:rsid w:val="00367E2A"/>
    <w:rsid w:val="00367E9B"/>
    <w:rsid w:val="00367F0E"/>
    <w:rsid w:val="0037020E"/>
    <w:rsid w:val="00370394"/>
    <w:rsid w:val="0037041C"/>
    <w:rsid w:val="00370424"/>
    <w:rsid w:val="00370425"/>
    <w:rsid w:val="00370459"/>
    <w:rsid w:val="00370579"/>
    <w:rsid w:val="0037078A"/>
    <w:rsid w:val="003707F9"/>
    <w:rsid w:val="003708CC"/>
    <w:rsid w:val="00370986"/>
    <w:rsid w:val="003709AB"/>
    <w:rsid w:val="003709C0"/>
    <w:rsid w:val="00370AC9"/>
    <w:rsid w:val="00370BDF"/>
    <w:rsid w:val="00370E54"/>
    <w:rsid w:val="00370E7E"/>
    <w:rsid w:val="00370EBD"/>
    <w:rsid w:val="00370EE7"/>
    <w:rsid w:val="00370F79"/>
    <w:rsid w:val="00371066"/>
    <w:rsid w:val="003710B8"/>
    <w:rsid w:val="00371135"/>
    <w:rsid w:val="0037118C"/>
    <w:rsid w:val="00371251"/>
    <w:rsid w:val="00371285"/>
    <w:rsid w:val="003713AA"/>
    <w:rsid w:val="003713ED"/>
    <w:rsid w:val="00371543"/>
    <w:rsid w:val="00371721"/>
    <w:rsid w:val="003719CF"/>
    <w:rsid w:val="00371A84"/>
    <w:rsid w:val="00371C38"/>
    <w:rsid w:val="00371C40"/>
    <w:rsid w:val="00371C7A"/>
    <w:rsid w:val="00371C83"/>
    <w:rsid w:val="00371E75"/>
    <w:rsid w:val="00371FB6"/>
    <w:rsid w:val="003721EF"/>
    <w:rsid w:val="00372261"/>
    <w:rsid w:val="003722B4"/>
    <w:rsid w:val="003722CF"/>
    <w:rsid w:val="003723DA"/>
    <w:rsid w:val="0037240A"/>
    <w:rsid w:val="00372529"/>
    <w:rsid w:val="003725BF"/>
    <w:rsid w:val="0037289D"/>
    <w:rsid w:val="00372995"/>
    <w:rsid w:val="003729CF"/>
    <w:rsid w:val="00372A25"/>
    <w:rsid w:val="00372AB3"/>
    <w:rsid w:val="00372AD4"/>
    <w:rsid w:val="00372B95"/>
    <w:rsid w:val="00372C0C"/>
    <w:rsid w:val="00372CBB"/>
    <w:rsid w:val="00372E31"/>
    <w:rsid w:val="00372E7B"/>
    <w:rsid w:val="00372EB0"/>
    <w:rsid w:val="00372EF3"/>
    <w:rsid w:val="00372F27"/>
    <w:rsid w:val="00372FFC"/>
    <w:rsid w:val="003730D9"/>
    <w:rsid w:val="00373126"/>
    <w:rsid w:val="00373167"/>
    <w:rsid w:val="003731BA"/>
    <w:rsid w:val="003732E8"/>
    <w:rsid w:val="0037339A"/>
    <w:rsid w:val="00373453"/>
    <w:rsid w:val="003734FC"/>
    <w:rsid w:val="003735E3"/>
    <w:rsid w:val="003736ED"/>
    <w:rsid w:val="00373777"/>
    <w:rsid w:val="0037384C"/>
    <w:rsid w:val="003738BB"/>
    <w:rsid w:val="0037397B"/>
    <w:rsid w:val="00373A8A"/>
    <w:rsid w:val="00373BB2"/>
    <w:rsid w:val="00373C1C"/>
    <w:rsid w:val="00373C29"/>
    <w:rsid w:val="00373C35"/>
    <w:rsid w:val="00373C45"/>
    <w:rsid w:val="00373CB5"/>
    <w:rsid w:val="00373FA2"/>
    <w:rsid w:val="003740C3"/>
    <w:rsid w:val="0037411C"/>
    <w:rsid w:val="003741A5"/>
    <w:rsid w:val="00374249"/>
    <w:rsid w:val="0037424C"/>
    <w:rsid w:val="003742FB"/>
    <w:rsid w:val="0037435D"/>
    <w:rsid w:val="0037436E"/>
    <w:rsid w:val="003745C8"/>
    <w:rsid w:val="00374616"/>
    <w:rsid w:val="00374787"/>
    <w:rsid w:val="00374821"/>
    <w:rsid w:val="00374883"/>
    <w:rsid w:val="00374ABD"/>
    <w:rsid w:val="00374BDC"/>
    <w:rsid w:val="00374BE6"/>
    <w:rsid w:val="00374CD4"/>
    <w:rsid w:val="00374CF7"/>
    <w:rsid w:val="00374D36"/>
    <w:rsid w:val="00374D5D"/>
    <w:rsid w:val="00374DCD"/>
    <w:rsid w:val="00374DCF"/>
    <w:rsid w:val="00374E0A"/>
    <w:rsid w:val="00374FC5"/>
    <w:rsid w:val="0037500A"/>
    <w:rsid w:val="003750FD"/>
    <w:rsid w:val="00375112"/>
    <w:rsid w:val="00375166"/>
    <w:rsid w:val="00375203"/>
    <w:rsid w:val="00375380"/>
    <w:rsid w:val="003753FF"/>
    <w:rsid w:val="00375466"/>
    <w:rsid w:val="003754C9"/>
    <w:rsid w:val="003755AE"/>
    <w:rsid w:val="00375699"/>
    <w:rsid w:val="003756B5"/>
    <w:rsid w:val="00375831"/>
    <w:rsid w:val="0037586B"/>
    <w:rsid w:val="0037590D"/>
    <w:rsid w:val="003759B3"/>
    <w:rsid w:val="00375A5F"/>
    <w:rsid w:val="00375B23"/>
    <w:rsid w:val="00375BB6"/>
    <w:rsid w:val="00375CDA"/>
    <w:rsid w:val="0037600F"/>
    <w:rsid w:val="00376111"/>
    <w:rsid w:val="00376331"/>
    <w:rsid w:val="00376357"/>
    <w:rsid w:val="003763C6"/>
    <w:rsid w:val="003764A3"/>
    <w:rsid w:val="00376509"/>
    <w:rsid w:val="003765C5"/>
    <w:rsid w:val="0037660A"/>
    <w:rsid w:val="00376653"/>
    <w:rsid w:val="003766F0"/>
    <w:rsid w:val="003767AD"/>
    <w:rsid w:val="003767C8"/>
    <w:rsid w:val="00376981"/>
    <w:rsid w:val="003769E6"/>
    <w:rsid w:val="00376ADF"/>
    <w:rsid w:val="00376B2F"/>
    <w:rsid w:val="00376B95"/>
    <w:rsid w:val="00376C59"/>
    <w:rsid w:val="00376E37"/>
    <w:rsid w:val="00376E61"/>
    <w:rsid w:val="00376E92"/>
    <w:rsid w:val="00376ED4"/>
    <w:rsid w:val="00376F40"/>
    <w:rsid w:val="00377181"/>
    <w:rsid w:val="003771DD"/>
    <w:rsid w:val="003773F2"/>
    <w:rsid w:val="00377466"/>
    <w:rsid w:val="003774DC"/>
    <w:rsid w:val="00377593"/>
    <w:rsid w:val="00377596"/>
    <w:rsid w:val="003775AA"/>
    <w:rsid w:val="0037763B"/>
    <w:rsid w:val="0037763C"/>
    <w:rsid w:val="0037770A"/>
    <w:rsid w:val="0037771E"/>
    <w:rsid w:val="003777CD"/>
    <w:rsid w:val="0037781B"/>
    <w:rsid w:val="003778A2"/>
    <w:rsid w:val="003778CD"/>
    <w:rsid w:val="00377AE9"/>
    <w:rsid w:val="00377AEE"/>
    <w:rsid w:val="00377B2B"/>
    <w:rsid w:val="00377D70"/>
    <w:rsid w:val="00377E71"/>
    <w:rsid w:val="00377E76"/>
    <w:rsid w:val="003802D2"/>
    <w:rsid w:val="003802D7"/>
    <w:rsid w:val="003804BF"/>
    <w:rsid w:val="003804F7"/>
    <w:rsid w:val="00380599"/>
    <w:rsid w:val="00380771"/>
    <w:rsid w:val="003807B6"/>
    <w:rsid w:val="00380889"/>
    <w:rsid w:val="003808EC"/>
    <w:rsid w:val="0038091B"/>
    <w:rsid w:val="00380988"/>
    <w:rsid w:val="00380A26"/>
    <w:rsid w:val="00380A2A"/>
    <w:rsid w:val="00380A37"/>
    <w:rsid w:val="00380AB0"/>
    <w:rsid w:val="00380DAE"/>
    <w:rsid w:val="00380DE1"/>
    <w:rsid w:val="00380E7E"/>
    <w:rsid w:val="00381203"/>
    <w:rsid w:val="0038124B"/>
    <w:rsid w:val="003812BB"/>
    <w:rsid w:val="0038155A"/>
    <w:rsid w:val="00381809"/>
    <w:rsid w:val="00381842"/>
    <w:rsid w:val="00381872"/>
    <w:rsid w:val="003818DB"/>
    <w:rsid w:val="003818FC"/>
    <w:rsid w:val="00381A25"/>
    <w:rsid w:val="00381B05"/>
    <w:rsid w:val="00381B0D"/>
    <w:rsid w:val="00381BC3"/>
    <w:rsid w:val="00381C23"/>
    <w:rsid w:val="00381D25"/>
    <w:rsid w:val="00381D7D"/>
    <w:rsid w:val="00381E0F"/>
    <w:rsid w:val="00381E5E"/>
    <w:rsid w:val="00381F8E"/>
    <w:rsid w:val="00381F8F"/>
    <w:rsid w:val="00382006"/>
    <w:rsid w:val="003820AA"/>
    <w:rsid w:val="003824F6"/>
    <w:rsid w:val="0038252D"/>
    <w:rsid w:val="00382619"/>
    <w:rsid w:val="00382658"/>
    <w:rsid w:val="00382869"/>
    <w:rsid w:val="0038289D"/>
    <w:rsid w:val="00382977"/>
    <w:rsid w:val="00382AA4"/>
    <w:rsid w:val="00382BFA"/>
    <w:rsid w:val="00382EA0"/>
    <w:rsid w:val="00382FED"/>
    <w:rsid w:val="0038306E"/>
    <w:rsid w:val="00383143"/>
    <w:rsid w:val="00383189"/>
    <w:rsid w:val="003833AB"/>
    <w:rsid w:val="003834A6"/>
    <w:rsid w:val="0038353A"/>
    <w:rsid w:val="0038356F"/>
    <w:rsid w:val="003835BD"/>
    <w:rsid w:val="003835C8"/>
    <w:rsid w:val="00383679"/>
    <w:rsid w:val="00383790"/>
    <w:rsid w:val="003837DD"/>
    <w:rsid w:val="003838A0"/>
    <w:rsid w:val="003838CE"/>
    <w:rsid w:val="003838DE"/>
    <w:rsid w:val="0038390C"/>
    <w:rsid w:val="00383946"/>
    <w:rsid w:val="0038398E"/>
    <w:rsid w:val="00383AAC"/>
    <w:rsid w:val="00383B47"/>
    <w:rsid w:val="00383BA5"/>
    <w:rsid w:val="00383C4E"/>
    <w:rsid w:val="00383CB2"/>
    <w:rsid w:val="00383D0E"/>
    <w:rsid w:val="00383DC3"/>
    <w:rsid w:val="00383E78"/>
    <w:rsid w:val="00383EC0"/>
    <w:rsid w:val="00384112"/>
    <w:rsid w:val="0038417A"/>
    <w:rsid w:val="00384180"/>
    <w:rsid w:val="003841E0"/>
    <w:rsid w:val="00384247"/>
    <w:rsid w:val="003844EC"/>
    <w:rsid w:val="00384566"/>
    <w:rsid w:val="003846D9"/>
    <w:rsid w:val="003846FF"/>
    <w:rsid w:val="00384725"/>
    <w:rsid w:val="00384730"/>
    <w:rsid w:val="00384740"/>
    <w:rsid w:val="00384742"/>
    <w:rsid w:val="00384744"/>
    <w:rsid w:val="0038484C"/>
    <w:rsid w:val="003848D9"/>
    <w:rsid w:val="003848DE"/>
    <w:rsid w:val="00384916"/>
    <w:rsid w:val="0038492F"/>
    <w:rsid w:val="003849B8"/>
    <w:rsid w:val="00384A20"/>
    <w:rsid w:val="00384B77"/>
    <w:rsid w:val="00384DD8"/>
    <w:rsid w:val="00384E42"/>
    <w:rsid w:val="00384EB0"/>
    <w:rsid w:val="00384F40"/>
    <w:rsid w:val="00384F66"/>
    <w:rsid w:val="00384FE1"/>
    <w:rsid w:val="0038505A"/>
    <w:rsid w:val="003850D5"/>
    <w:rsid w:val="003850E5"/>
    <w:rsid w:val="00385132"/>
    <w:rsid w:val="00385246"/>
    <w:rsid w:val="00385274"/>
    <w:rsid w:val="003852B1"/>
    <w:rsid w:val="00385345"/>
    <w:rsid w:val="00385359"/>
    <w:rsid w:val="003853E1"/>
    <w:rsid w:val="00385428"/>
    <w:rsid w:val="003855A5"/>
    <w:rsid w:val="00385ACC"/>
    <w:rsid w:val="00385BCF"/>
    <w:rsid w:val="00385C84"/>
    <w:rsid w:val="00385D23"/>
    <w:rsid w:val="00385DA3"/>
    <w:rsid w:val="00385F28"/>
    <w:rsid w:val="003860CA"/>
    <w:rsid w:val="00386197"/>
    <w:rsid w:val="0038623D"/>
    <w:rsid w:val="0038643B"/>
    <w:rsid w:val="00386471"/>
    <w:rsid w:val="00386562"/>
    <w:rsid w:val="00386580"/>
    <w:rsid w:val="003866B0"/>
    <w:rsid w:val="00386947"/>
    <w:rsid w:val="00386DB0"/>
    <w:rsid w:val="00386DCD"/>
    <w:rsid w:val="00386F93"/>
    <w:rsid w:val="00387095"/>
    <w:rsid w:val="003870FE"/>
    <w:rsid w:val="00387127"/>
    <w:rsid w:val="00387209"/>
    <w:rsid w:val="00387285"/>
    <w:rsid w:val="003872D7"/>
    <w:rsid w:val="00387317"/>
    <w:rsid w:val="003873D3"/>
    <w:rsid w:val="0038754C"/>
    <w:rsid w:val="00387593"/>
    <w:rsid w:val="00387737"/>
    <w:rsid w:val="003879B1"/>
    <w:rsid w:val="00387A3E"/>
    <w:rsid w:val="00387AED"/>
    <w:rsid w:val="00387B13"/>
    <w:rsid w:val="00387BA9"/>
    <w:rsid w:val="00387BF5"/>
    <w:rsid w:val="00387CE2"/>
    <w:rsid w:val="00387DE6"/>
    <w:rsid w:val="00387E6A"/>
    <w:rsid w:val="00387FC5"/>
    <w:rsid w:val="00390339"/>
    <w:rsid w:val="0039033C"/>
    <w:rsid w:val="00390367"/>
    <w:rsid w:val="0039042C"/>
    <w:rsid w:val="0039055C"/>
    <w:rsid w:val="00390613"/>
    <w:rsid w:val="003907CB"/>
    <w:rsid w:val="003907E2"/>
    <w:rsid w:val="003908E6"/>
    <w:rsid w:val="0039091D"/>
    <w:rsid w:val="00390CD1"/>
    <w:rsid w:val="00390D00"/>
    <w:rsid w:val="00390D7C"/>
    <w:rsid w:val="00390E02"/>
    <w:rsid w:val="00390F3F"/>
    <w:rsid w:val="00390F70"/>
    <w:rsid w:val="00391034"/>
    <w:rsid w:val="0039112F"/>
    <w:rsid w:val="0039120E"/>
    <w:rsid w:val="0039132E"/>
    <w:rsid w:val="00391344"/>
    <w:rsid w:val="00391370"/>
    <w:rsid w:val="003913A6"/>
    <w:rsid w:val="0039165A"/>
    <w:rsid w:val="00391711"/>
    <w:rsid w:val="00391839"/>
    <w:rsid w:val="003919EC"/>
    <w:rsid w:val="00391B61"/>
    <w:rsid w:val="00391BE0"/>
    <w:rsid w:val="00391CA9"/>
    <w:rsid w:val="00391DBB"/>
    <w:rsid w:val="00391E20"/>
    <w:rsid w:val="00391E36"/>
    <w:rsid w:val="00391EA6"/>
    <w:rsid w:val="00391F03"/>
    <w:rsid w:val="00391F20"/>
    <w:rsid w:val="00391F36"/>
    <w:rsid w:val="00391F87"/>
    <w:rsid w:val="003920D8"/>
    <w:rsid w:val="003920EE"/>
    <w:rsid w:val="00392109"/>
    <w:rsid w:val="0039215D"/>
    <w:rsid w:val="003921E5"/>
    <w:rsid w:val="003921E8"/>
    <w:rsid w:val="003922CF"/>
    <w:rsid w:val="00392340"/>
    <w:rsid w:val="0039239F"/>
    <w:rsid w:val="003923D9"/>
    <w:rsid w:val="003923E6"/>
    <w:rsid w:val="003925A2"/>
    <w:rsid w:val="003925EE"/>
    <w:rsid w:val="00392654"/>
    <w:rsid w:val="00392755"/>
    <w:rsid w:val="0039283D"/>
    <w:rsid w:val="0039292F"/>
    <w:rsid w:val="00392A10"/>
    <w:rsid w:val="00392A66"/>
    <w:rsid w:val="00392A9D"/>
    <w:rsid w:val="00392B39"/>
    <w:rsid w:val="00392CFD"/>
    <w:rsid w:val="00392DF2"/>
    <w:rsid w:val="00392ED8"/>
    <w:rsid w:val="00392EF4"/>
    <w:rsid w:val="00392FCE"/>
    <w:rsid w:val="00392FDD"/>
    <w:rsid w:val="0039338A"/>
    <w:rsid w:val="0039338F"/>
    <w:rsid w:val="003933E0"/>
    <w:rsid w:val="003933E1"/>
    <w:rsid w:val="00393562"/>
    <w:rsid w:val="0039375E"/>
    <w:rsid w:val="0039387D"/>
    <w:rsid w:val="0039399E"/>
    <w:rsid w:val="003939E9"/>
    <w:rsid w:val="00393A80"/>
    <w:rsid w:val="00393B65"/>
    <w:rsid w:val="00393C6B"/>
    <w:rsid w:val="00393CA1"/>
    <w:rsid w:val="00393CAE"/>
    <w:rsid w:val="00393D3F"/>
    <w:rsid w:val="00393DA9"/>
    <w:rsid w:val="00393DAE"/>
    <w:rsid w:val="00393EA5"/>
    <w:rsid w:val="00393F81"/>
    <w:rsid w:val="0039405F"/>
    <w:rsid w:val="003942A7"/>
    <w:rsid w:val="003942F6"/>
    <w:rsid w:val="00394318"/>
    <w:rsid w:val="003943CC"/>
    <w:rsid w:val="003943ED"/>
    <w:rsid w:val="0039442D"/>
    <w:rsid w:val="0039443E"/>
    <w:rsid w:val="0039448A"/>
    <w:rsid w:val="003944A3"/>
    <w:rsid w:val="003944DE"/>
    <w:rsid w:val="0039471C"/>
    <w:rsid w:val="0039475F"/>
    <w:rsid w:val="00394779"/>
    <w:rsid w:val="003949AF"/>
    <w:rsid w:val="00394B23"/>
    <w:rsid w:val="00394B6F"/>
    <w:rsid w:val="00394BEA"/>
    <w:rsid w:val="00394C23"/>
    <w:rsid w:val="00394C3D"/>
    <w:rsid w:val="00394D27"/>
    <w:rsid w:val="00394D67"/>
    <w:rsid w:val="00394DCF"/>
    <w:rsid w:val="00394EB6"/>
    <w:rsid w:val="00394F79"/>
    <w:rsid w:val="00394FD6"/>
    <w:rsid w:val="00395174"/>
    <w:rsid w:val="00395253"/>
    <w:rsid w:val="003952C2"/>
    <w:rsid w:val="00395320"/>
    <w:rsid w:val="003953E3"/>
    <w:rsid w:val="00395425"/>
    <w:rsid w:val="00395439"/>
    <w:rsid w:val="0039544D"/>
    <w:rsid w:val="00395493"/>
    <w:rsid w:val="00395756"/>
    <w:rsid w:val="00395794"/>
    <w:rsid w:val="003957BA"/>
    <w:rsid w:val="0039581D"/>
    <w:rsid w:val="00395B7A"/>
    <w:rsid w:val="00395BD5"/>
    <w:rsid w:val="00395C2F"/>
    <w:rsid w:val="00395D0F"/>
    <w:rsid w:val="00395E0A"/>
    <w:rsid w:val="00395E1D"/>
    <w:rsid w:val="00395E8E"/>
    <w:rsid w:val="00395F06"/>
    <w:rsid w:val="00395F22"/>
    <w:rsid w:val="00396248"/>
    <w:rsid w:val="00396274"/>
    <w:rsid w:val="00396367"/>
    <w:rsid w:val="003964D5"/>
    <w:rsid w:val="003967B9"/>
    <w:rsid w:val="003967C7"/>
    <w:rsid w:val="003968A4"/>
    <w:rsid w:val="00396A25"/>
    <w:rsid w:val="00396A66"/>
    <w:rsid w:val="00396D0E"/>
    <w:rsid w:val="00396E0B"/>
    <w:rsid w:val="00396E3E"/>
    <w:rsid w:val="0039709C"/>
    <w:rsid w:val="003970FC"/>
    <w:rsid w:val="00397127"/>
    <w:rsid w:val="0039715C"/>
    <w:rsid w:val="0039724C"/>
    <w:rsid w:val="00397370"/>
    <w:rsid w:val="0039740F"/>
    <w:rsid w:val="00397487"/>
    <w:rsid w:val="003974CD"/>
    <w:rsid w:val="00397668"/>
    <w:rsid w:val="00397698"/>
    <w:rsid w:val="003976DE"/>
    <w:rsid w:val="00397793"/>
    <w:rsid w:val="003977C3"/>
    <w:rsid w:val="0039786B"/>
    <w:rsid w:val="0039799B"/>
    <w:rsid w:val="0039799C"/>
    <w:rsid w:val="003979A3"/>
    <w:rsid w:val="00397A36"/>
    <w:rsid w:val="00397A43"/>
    <w:rsid w:val="00397BB2"/>
    <w:rsid w:val="00397CB9"/>
    <w:rsid w:val="00397E2F"/>
    <w:rsid w:val="00397EA8"/>
    <w:rsid w:val="0039852F"/>
    <w:rsid w:val="003A007C"/>
    <w:rsid w:val="003A0123"/>
    <w:rsid w:val="003A0167"/>
    <w:rsid w:val="003A01CB"/>
    <w:rsid w:val="003A02B1"/>
    <w:rsid w:val="003A03DE"/>
    <w:rsid w:val="003A046C"/>
    <w:rsid w:val="003A0487"/>
    <w:rsid w:val="003A0853"/>
    <w:rsid w:val="003A0867"/>
    <w:rsid w:val="003A093A"/>
    <w:rsid w:val="003A0A68"/>
    <w:rsid w:val="003A0D2B"/>
    <w:rsid w:val="003A0E1E"/>
    <w:rsid w:val="003A0EE0"/>
    <w:rsid w:val="003A10CD"/>
    <w:rsid w:val="003A10EF"/>
    <w:rsid w:val="003A11EA"/>
    <w:rsid w:val="003A121B"/>
    <w:rsid w:val="003A1252"/>
    <w:rsid w:val="003A129C"/>
    <w:rsid w:val="003A1338"/>
    <w:rsid w:val="003A1590"/>
    <w:rsid w:val="003A16BE"/>
    <w:rsid w:val="003A1851"/>
    <w:rsid w:val="003A192A"/>
    <w:rsid w:val="003A19B3"/>
    <w:rsid w:val="003A19B8"/>
    <w:rsid w:val="003A1A1D"/>
    <w:rsid w:val="003A1C4D"/>
    <w:rsid w:val="003A1CA5"/>
    <w:rsid w:val="003A1E0F"/>
    <w:rsid w:val="003A1E5D"/>
    <w:rsid w:val="003A1EF2"/>
    <w:rsid w:val="003A1F48"/>
    <w:rsid w:val="003A2095"/>
    <w:rsid w:val="003A210D"/>
    <w:rsid w:val="003A2124"/>
    <w:rsid w:val="003A22A8"/>
    <w:rsid w:val="003A24E8"/>
    <w:rsid w:val="003A254D"/>
    <w:rsid w:val="003A2569"/>
    <w:rsid w:val="003A2647"/>
    <w:rsid w:val="003A2709"/>
    <w:rsid w:val="003A2824"/>
    <w:rsid w:val="003A297C"/>
    <w:rsid w:val="003A2A9D"/>
    <w:rsid w:val="003A2C11"/>
    <w:rsid w:val="003A2C4A"/>
    <w:rsid w:val="003A2CD2"/>
    <w:rsid w:val="003A2CF8"/>
    <w:rsid w:val="003A2D36"/>
    <w:rsid w:val="003A2E53"/>
    <w:rsid w:val="003A2F41"/>
    <w:rsid w:val="003A2FA0"/>
    <w:rsid w:val="003A30DE"/>
    <w:rsid w:val="003A31B2"/>
    <w:rsid w:val="003A33BA"/>
    <w:rsid w:val="003A33FA"/>
    <w:rsid w:val="003A3485"/>
    <w:rsid w:val="003A34B3"/>
    <w:rsid w:val="003A3666"/>
    <w:rsid w:val="003A3693"/>
    <w:rsid w:val="003A3717"/>
    <w:rsid w:val="003A3778"/>
    <w:rsid w:val="003A378C"/>
    <w:rsid w:val="003A37D4"/>
    <w:rsid w:val="003A3871"/>
    <w:rsid w:val="003A3AA9"/>
    <w:rsid w:val="003A3AE1"/>
    <w:rsid w:val="003A3B1B"/>
    <w:rsid w:val="003A3C8E"/>
    <w:rsid w:val="003A3D00"/>
    <w:rsid w:val="003A3EEA"/>
    <w:rsid w:val="003A3FB3"/>
    <w:rsid w:val="003A3FCA"/>
    <w:rsid w:val="003A3FCE"/>
    <w:rsid w:val="003A4014"/>
    <w:rsid w:val="003A40E7"/>
    <w:rsid w:val="003A4311"/>
    <w:rsid w:val="003A4334"/>
    <w:rsid w:val="003A43D0"/>
    <w:rsid w:val="003A4455"/>
    <w:rsid w:val="003A44E4"/>
    <w:rsid w:val="003A455C"/>
    <w:rsid w:val="003A4566"/>
    <w:rsid w:val="003A4645"/>
    <w:rsid w:val="003A4654"/>
    <w:rsid w:val="003A4674"/>
    <w:rsid w:val="003A4971"/>
    <w:rsid w:val="003A4A2E"/>
    <w:rsid w:val="003A4A40"/>
    <w:rsid w:val="003A4B5E"/>
    <w:rsid w:val="003A4CAA"/>
    <w:rsid w:val="003A4D2D"/>
    <w:rsid w:val="003A4F0E"/>
    <w:rsid w:val="003A4FAE"/>
    <w:rsid w:val="003A50A5"/>
    <w:rsid w:val="003A50D1"/>
    <w:rsid w:val="003A5151"/>
    <w:rsid w:val="003A52CA"/>
    <w:rsid w:val="003A53E0"/>
    <w:rsid w:val="003A5410"/>
    <w:rsid w:val="003A5436"/>
    <w:rsid w:val="003A566D"/>
    <w:rsid w:val="003A5752"/>
    <w:rsid w:val="003A57C2"/>
    <w:rsid w:val="003A57ED"/>
    <w:rsid w:val="003A58AA"/>
    <w:rsid w:val="003A5970"/>
    <w:rsid w:val="003A5B99"/>
    <w:rsid w:val="003A5BEE"/>
    <w:rsid w:val="003A5BF6"/>
    <w:rsid w:val="003A5D87"/>
    <w:rsid w:val="003A5D8A"/>
    <w:rsid w:val="003A5DF2"/>
    <w:rsid w:val="003A5F34"/>
    <w:rsid w:val="003A5F43"/>
    <w:rsid w:val="003A60BD"/>
    <w:rsid w:val="003A6139"/>
    <w:rsid w:val="003A61A8"/>
    <w:rsid w:val="003A64C8"/>
    <w:rsid w:val="003A64D1"/>
    <w:rsid w:val="003A65F8"/>
    <w:rsid w:val="003A6676"/>
    <w:rsid w:val="003A66A5"/>
    <w:rsid w:val="003A66F2"/>
    <w:rsid w:val="003A6710"/>
    <w:rsid w:val="003A67CF"/>
    <w:rsid w:val="003A68C8"/>
    <w:rsid w:val="003A691B"/>
    <w:rsid w:val="003A6A94"/>
    <w:rsid w:val="003A6AE9"/>
    <w:rsid w:val="003A6B29"/>
    <w:rsid w:val="003A6B77"/>
    <w:rsid w:val="003A6C20"/>
    <w:rsid w:val="003A6D71"/>
    <w:rsid w:val="003A6DA6"/>
    <w:rsid w:val="003A6EDA"/>
    <w:rsid w:val="003A6EE2"/>
    <w:rsid w:val="003A6F8B"/>
    <w:rsid w:val="003A7300"/>
    <w:rsid w:val="003A7342"/>
    <w:rsid w:val="003A7464"/>
    <w:rsid w:val="003A746B"/>
    <w:rsid w:val="003A7532"/>
    <w:rsid w:val="003A754A"/>
    <w:rsid w:val="003A75BE"/>
    <w:rsid w:val="003A7602"/>
    <w:rsid w:val="003A76C0"/>
    <w:rsid w:val="003A76D8"/>
    <w:rsid w:val="003A7742"/>
    <w:rsid w:val="003A77CF"/>
    <w:rsid w:val="003A77D3"/>
    <w:rsid w:val="003A7812"/>
    <w:rsid w:val="003A78DE"/>
    <w:rsid w:val="003A79F6"/>
    <w:rsid w:val="003A79F9"/>
    <w:rsid w:val="003A7A9C"/>
    <w:rsid w:val="003A7BA1"/>
    <w:rsid w:val="003A7D7B"/>
    <w:rsid w:val="003A7EBB"/>
    <w:rsid w:val="003A7F3E"/>
    <w:rsid w:val="003A7FF1"/>
    <w:rsid w:val="003B010B"/>
    <w:rsid w:val="003B017E"/>
    <w:rsid w:val="003B019C"/>
    <w:rsid w:val="003B028C"/>
    <w:rsid w:val="003B02A9"/>
    <w:rsid w:val="003B02C6"/>
    <w:rsid w:val="003B032D"/>
    <w:rsid w:val="003B03E9"/>
    <w:rsid w:val="003B0528"/>
    <w:rsid w:val="003B055A"/>
    <w:rsid w:val="003B0562"/>
    <w:rsid w:val="003B05A0"/>
    <w:rsid w:val="003B05ED"/>
    <w:rsid w:val="003B05F4"/>
    <w:rsid w:val="003B0638"/>
    <w:rsid w:val="003B083C"/>
    <w:rsid w:val="003B09C9"/>
    <w:rsid w:val="003B09CD"/>
    <w:rsid w:val="003B0AD0"/>
    <w:rsid w:val="003B0C12"/>
    <w:rsid w:val="003B0CF6"/>
    <w:rsid w:val="003B0E51"/>
    <w:rsid w:val="003B102D"/>
    <w:rsid w:val="003B11FA"/>
    <w:rsid w:val="003B1309"/>
    <w:rsid w:val="003B136E"/>
    <w:rsid w:val="003B13D4"/>
    <w:rsid w:val="003B1420"/>
    <w:rsid w:val="003B1487"/>
    <w:rsid w:val="003B166A"/>
    <w:rsid w:val="003B169C"/>
    <w:rsid w:val="003B188A"/>
    <w:rsid w:val="003B1952"/>
    <w:rsid w:val="003B19DA"/>
    <w:rsid w:val="003B1ABA"/>
    <w:rsid w:val="003B1B01"/>
    <w:rsid w:val="003B1B25"/>
    <w:rsid w:val="003B1C6B"/>
    <w:rsid w:val="003B1DCF"/>
    <w:rsid w:val="003B1EC2"/>
    <w:rsid w:val="003B1EE8"/>
    <w:rsid w:val="003B1F64"/>
    <w:rsid w:val="003B1FF7"/>
    <w:rsid w:val="003B20DB"/>
    <w:rsid w:val="003B2227"/>
    <w:rsid w:val="003B231A"/>
    <w:rsid w:val="003B2325"/>
    <w:rsid w:val="003B24D2"/>
    <w:rsid w:val="003B2509"/>
    <w:rsid w:val="003B253C"/>
    <w:rsid w:val="003B2565"/>
    <w:rsid w:val="003B25A6"/>
    <w:rsid w:val="003B25B7"/>
    <w:rsid w:val="003B25E0"/>
    <w:rsid w:val="003B25F9"/>
    <w:rsid w:val="003B283F"/>
    <w:rsid w:val="003B287B"/>
    <w:rsid w:val="003B289C"/>
    <w:rsid w:val="003B28B4"/>
    <w:rsid w:val="003B2944"/>
    <w:rsid w:val="003B29BB"/>
    <w:rsid w:val="003B2A3A"/>
    <w:rsid w:val="003B2A74"/>
    <w:rsid w:val="003B2C73"/>
    <w:rsid w:val="003B2C7B"/>
    <w:rsid w:val="003B2D33"/>
    <w:rsid w:val="003B2DA5"/>
    <w:rsid w:val="003B2F1E"/>
    <w:rsid w:val="003B3081"/>
    <w:rsid w:val="003B311E"/>
    <w:rsid w:val="003B31C0"/>
    <w:rsid w:val="003B31D9"/>
    <w:rsid w:val="003B3345"/>
    <w:rsid w:val="003B3396"/>
    <w:rsid w:val="003B3403"/>
    <w:rsid w:val="003B363B"/>
    <w:rsid w:val="003B36FC"/>
    <w:rsid w:val="003B3723"/>
    <w:rsid w:val="003B37A3"/>
    <w:rsid w:val="003B37EC"/>
    <w:rsid w:val="003B388E"/>
    <w:rsid w:val="003B38C7"/>
    <w:rsid w:val="003B38E9"/>
    <w:rsid w:val="003B395D"/>
    <w:rsid w:val="003B3B4C"/>
    <w:rsid w:val="003B3B9B"/>
    <w:rsid w:val="003B3BA2"/>
    <w:rsid w:val="003B3BEE"/>
    <w:rsid w:val="003B3CEA"/>
    <w:rsid w:val="003B3DE7"/>
    <w:rsid w:val="003B400F"/>
    <w:rsid w:val="003B4027"/>
    <w:rsid w:val="003B40DA"/>
    <w:rsid w:val="003B40DE"/>
    <w:rsid w:val="003B40E9"/>
    <w:rsid w:val="003B4160"/>
    <w:rsid w:val="003B419D"/>
    <w:rsid w:val="003B44E4"/>
    <w:rsid w:val="003B46E1"/>
    <w:rsid w:val="003B46EE"/>
    <w:rsid w:val="003B4774"/>
    <w:rsid w:val="003B47AE"/>
    <w:rsid w:val="003B4CDC"/>
    <w:rsid w:val="003B4E4E"/>
    <w:rsid w:val="003B4FC7"/>
    <w:rsid w:val="003B514F"/>
    <w:rsid w:val="003B5297"/>
    <w:rsid w:val="003B54B0"/>
    <w:rsid w:val="003B54E0"/>
    <w:rsid w:val="003B54EE"/>
    <w:rsid w:val="003B55D8"/>
    <w:rsid w:val="003B57B9"/>
    <w:rsid w:val="003B57D4"/>
    <w:rsid w:val="003B5837"/>
    <w:rsid w:val="003B58FC"/>
    <w:rsid w:val="003B5923"/>
    <w:rsid w:val="003B5D57"/>
    <w:rsid w:val="003B5DC8"/>
    <w:rsid w:val="003B5FC9"/>
    <w:rsid w:val="003B6025"/>
    <w:rsid w:val="003B614D"/>
    <w:rsid w:val="003B617A"/>
    <w:rsid w:val="003B6185"/>
    <w:rsid w:val="003B6197"/>
    <w:rsid w:val="003B6439"/>
    <w:rsid w:val="003B648E"/>
    <w:rsid w:val="003B64C3"/>
    <w:rsid w:val="003B6546"/>
    <w:rsid w:val="003B67EF"/>
    <w:rsid w:val="003B692F"/>
    <w:rsid w:val="003B6943"/>
    <w:rsid w:val="003B69F7"/>
    <w:rsid w:val="003B6A11"/>
    <w:rsid w:val="003B6A22"/>
    <w:rsid w:val="003B6AD4"/>
    <w:rsid w:val="003B6B86"/>
    <w:rsid w:val="003B6C3D"/>
    <w:rsid w:val="003B6C69"/>
    <w:rsid w:val="003B6CC3"/>
    <w:rsid w:val="003B6D1C"/>
    <w:rsid w:val="003B6E4C"/>
    <w:rsid w:val="003B6EE1"/>
    <w:rsid w:val="003B6F0F"/>
    <w:rsid w:val="003B6FF0"/>
    <w:rsid w:val="003B71A3"/>
    <w:rsid w:val="003B72D5"/>
    <w:rsid w:val="003B72D7"/>
    <w:rsid w:val="003B7348"/>
    <w:rsid w:val="003B7405"/>
    <w:rsid w:val="003B74DA"/>
    <w:rsid w:val="003B7532"/>
    <w:rsid w:val="003B75A3"/>
    <w:rsid w:val="003B75FF"/>
    <w:rsid w:val="003B769B"/>
    <w:rsid w:val="003B7768"/>
    <w:rsid w:val="003B776B"/>
    <w:rsid w:val="003B77B7"/>
    <w:rsid w:val="003B77BA"/>
    <w:rsid w:val="003B7818"/>
    <w:rsid w:val="003B783D"/>
    <w:rsid w:val="003B7896"/>
    <w:rsid w:val="003B796A"/>
    <w:rsid w:val="003B79BE"/>
    <w:rsid w:val="003B7A46"/>
    <w:rsid w:val="003B7C26"/>
    <w:rsid w:val="003B7CAE"/>
    <w:rsid w:val="003B7FBA"/>
    <w:rsid w:val="003C01D8"/>
    <w:rsid w:val="003C01DD"/>
    <w:rsid w:val="003C0252"/>
    <w:rsid w:val="003C0318"/>
    <w:rsid w:val="003C0342"/>
    <w:rsid w:val="003C052A"/>
    <w:rsid w:val="003C052C"/>
    <w:rsid w:val="003C05FA"/>
    <w:rsid w:val="003C0668"/>
    <w:rsid w:val="003C06E4"/>
    <w:rsid w:val="003C076E"/>
    <w:rsid w:val="003C08E4"/>
    <w:rsid w:val="003C0907"/>
    <w:rsid w:val="003C097E"/>
    <w:rsid w:val="003C0B6C"/>
    <w:rsid w:val="003C0D7F"/>
    <w:rsid w:val="003C0F12"/>
    <w:rsid w:val="003C0F92"/>
    <w:rsid w:val="003C0FAF"/>
    <w:rsid w:val="003C1036"/>
    <w:rsid w:val="003C103F"/>
    <w:rsid w:val="003C11B1"/>
    <w:rsid w:val="003C120F"/>
    <w:rsid w:val="003C1379"/>
    <w:rsid w:val="003C13C1"/>
    <w:rsid w:val="003C16EB"/>
    <w:rsid w:val="003C1738"/>
    <w:rsid w:val="003C17E0"/>
    <w:rsid w:val="003C192E"/>
    <w:rsid w:val="003C1947"/>
    <w:rsid w:val="003C1949"/>
    <w:rsid w:val="003C1A1D"/>
    <w:rsid w:val="003C1B01"/>
    <w:rsid w:val="003C1B03"/>
    <w:rsid w:val="003C1B47"/>
    <w:rsid w:val="003C1B6D"/>
    <w:rsid w:val="003C1CF9"/>
    <w:rsid w:val="003C1E09"/>
    <w:rsid w:val="003C1E1D"/>
    <w:rsid w:val="003C1E72"/>
    <w:rsid w:val="003C1F43"/>
    <w:rsid w:val="003C2067"/>
    <w:rsid w:val="003C22B7"/>
    <w:rsid w:val="003C22CC"/>
    <w:rsid w:val="003C2336"/>
    <w:rsid w:val="003C24C0"/>
    <w:rsid w:val="003C2595"/>
    <w:rsid w:val="003C25BD"/>
    <w:rsid w:val="003C2680"/>
    <w:rsid w:val="003C26BC"/>
    <w:rsid w:val="003C270D"/>
    <w:rsid w:val="003C281E"/>
    <w:rsid w:val="003C2972"/>
    <w:rsid w:val="003C2986"/>
    <w:rsid w:val="003C29EC"/>
    <w:rsid w:val="003C2AAE"/>
    <w:rsid w:val="003C2B0F"/>
    <w:rsid w:val="003C2B8D"/>
    <w:rsid w:val="003C2B9D"/>
    <w:rsid w:val="003C2C25"/>
    <w:rsid w:val="003C2CEE"/>
    <w:rsid w:val="003C2EB8"/>
    <w:rsid w:val="003C3078"/>
    <w:rsid w:val="003C30F1"/>
    <w:rsid w:val="003C3220"/>
    <w:rsid w:val="003C333F"/>
    <w:rsid w:val="003C3374"/>
    <w:rsid w:val="003C3393"/>
    <w:rsid w:val="003C3437"/>
    <w:rsid w:val="003C36DD"/>
    <w:rsid w:val="003C3851"/>
    <w:rsid w:val="003C3866"/>
    <w:rsid w:val="003C3951"/>
    <w:rsid w:val="003C3972"/>
    <w:rsid w:val="003C3A02"/>
    <w:rsid w:val="003C3ADB"/>
    <w:rsid w:val="003C3AF7"/>
    <w:rsid w:val="003C3B5A"/>
    <w:rsid w:val="003C3B64"/>
    <w:rsid w:val="003C3B93"/>
    <w:rsid w:val="003C3BAD"/>
    <w:rsid w:val="003C3BE6"/>
    <w:rsid w:val="003C3CB1"/>
    <w:rsid w:val="003C3D17"/>
    <w:rsid w:val="003C3E98"/>
    <w:rsid w:val="003C3EB2"/>
    <w:rsid w:val="003C3EFC"/>
    <w:rsid w:val="003C3F06"/>
    <w:rsid w:val="003C3F7B"/>
    <w:rsid w:val="003C3FA8"/>
    <w:rsid w:val="003C4039"/>
    <w:rsid w:val="003C4058"/>
    <w:rsid w:val="003C407B"/>
    <w:rsid w:val="003C40EC"/>
    <w:rsid w:val="003C416D"/>
    <w:rsid w:val="003C416E"/>
    <w:rsid w:val="003C419B"/>
    <w:rsid w:val="003C41E6"/>
    <w:rsid w:val="003C421C"/>
    <w:rsid w:val="003C42A2"/>
    <w:rsid w:val="003C42FC"/>
    <w:rsid w:val="003C445F"/>
    <w:rsid w:val="003C4611"/>
    <w:rsid w:val="003C46E2"/>
    <w:rsid w:val="003C47A9"/>
    <w:rsid w:val="003C481E"/>
    <w:rsid w:val="003C4878"/>
    <w:rsid w:val="003C4A78"/>
    <w:rsid w:val="003C4AFB"/>
    <w:rsid w:val="003C4BB4"/>
    <w:rsid w:val="003C4C34"/>
    <w:rsid w:val="003C4D40"/>
    <w:rsid w:val="003C4E60"/>
    <w:rsid w:val="003C4ECC"/>
    <w:rsid w:val="003C5001"/>
    <w:rsid w:val="003C5017"/>
    <w:rsid w:val="003C5046"/>
    <w:rsid w:val="003C50B0"/>
    <w:rsid w:val="003C50CE"/>
    <w:rsid w:val="003C514A"/>
    <w:rsid w:val="003C5215"/>
    <w:rsid w:val="003C52D8"/>
    <w:rsid w:val="003C538D"/>
    <w:rsid w:val="003C53AC"/>
    <w:rsid w:val="003C544B"/>
    <w:rsid w:val="003C55C4"/>
    <w:rsid w:val="003C55F0"/>
    <w:rsid w:val="003C56C1"/>
    <w:rsid w:val="003C573A"/>
    <w:rsid w:val="003C5764"/>
    <w:rsid w:val="003C59F9"/>
    <w:rsid w:val="003C5B34"/>
    <w:rsid w:val="003C5DE2"/>
    <w:rsid w:val="003C5F76"/>
    <w:rsid w:val="003C5FCA"/>
    <w:rsid w:val="003C60B9"/>
    <w:rsid w:val="003C6210"/>
    <w:rsid w:val="003C6274"/>
    <w:rsid w:val="003C62CD"/>
    <w:rsid w:val="003C630D"/>
    <w:rsid w:val="003C63E2"/>
    <w:rsid w:val="003C641B"/>
    <w:rsid w:val="003C6444"/>
    <w:rsid w:val="003C654E"/>
    <w:rsid w:val="003C6593"/>
    <w:rsid w:val="003C65DC"/>
    <w:rsid w:val="003C6601"/>
    <w:rsid w:val="003C6691"/>
    <w:rsid w:val="003C6708"/>
    <w:rsid w:val="003C67B6"/>
    <w:rsid w:val="003C6804"/>
    <w:rsid w:val="003C697C"/>
    <w:rsid w:val="003C6ACF"/>
    <w:rsid w:val="003C6B90"/>
    <w:rsid w:val="003C6C9D"/>
    <w:rsid w:val="003C6CF4"/>
    <w:rsid w:val="003C6EE7"/>
    <w:rsid w:val="003C7010"/>
    <w:rsid w:val="003C7078"/>
    <w:rsid w:val="003C7200"/>
    <w:rsid w:val="003C7408"/>
    <w:rsid w:val="003C74BB"/>
    <w:rsid w:val="003C7560"/>
    <w:rsid w:val="003C75F3"/>
    <w:rsid w:val="003C7666"/>
    <w:rsid w:val="003C7743"/>
    <w:rsid w:val="003C78D4"/>
    <w:rsid w:val="003C7ADE"/>
    <w:rsid w:val="003C7BED"/>
    <w:rsid w:val="003C7CCF"/>
    <w:rsid w:val="003C7E58"/>
    <w:rsid w:val="003C7E98"/>
    <w:rsid w:val="003C7EC3"/>
    <w:rsid w:val="003C7EE7"/>
    <w:rsid w:val="003C7F06"/>
    <w:rsid w:val="003C7F0A"/>
    <w:rsid w:val="003C7F7B"/>
    <w:rsid w:val="003D0173"/>
    <w:rsid w:val="003D0222"/>
    <w:rsid w:val="003D0399"/>
    <w:rsid w:val="003D0499"/>
    <w:rsid w:val="003D058E"/>
    <w:rsid w:val="003D065A"/>
    <w:rsid w:val="003D06C8"/>
    <w:rsid w:val="003D0717"/>
    <w:rsid w:val="003D0851"/>
    <w:rsid w:val="003D0968"/>
    <w:rsid w:val="003D0A2A"/>
    <w:rsid w:val="003D0A99"/>
    <w:rsid w:val="003D0AB8"/>
    <w:rsid w:val="003D0AD0"/>
    <w:rsid w:val="003D0D7C"/>
    <w:rsid w:val="003D0DA2"/>
    <w:rsid w:val="003D0E9E"/>
    <w:rsid w:val="003D0E9F"/>
    <w:rsid w:val="003D0FAD"/>
    <w:rsid w:val="003D10F2"/>
    <w:rsid w:val="003D112D"/>
    <w:rsid w:val="003D123F"/>
    <w:rsid w:val="003D1328"/>
    <w:rsid w:val="003D1387"/>
    <w:rsid w:val="003D148A"/>
    <w:rsid w:val="003D172A"/>
    <w:rsid w:val="003D18E0"/>
    <w:rsid w:val="003D194E"/>
    <w:rsid w:val="003D1A03"/>
    <w:rsid w:val="003D1B31"/>
    <w:rsid w:val="003D1BCF"/>
    <w:rsid w:val="003D1D06"/>
    <w:rsid w:val="003D1D33"/>
    <w:rsid w:val="003D1DB7"/>
    <w:rsid w:val="003D1E81"/>
    <w:rsid w:val="003D1EA2"/>
    <w:rsid w:val="003D1EE7"/>
    <w:rsid w:val="003D1EFA"/>
    <w:rsid w:val="003D1F14"/>
    <w:rsid w:val="003D1F17"/>
    <w:rsid w:val="003D20C7"/>
    <w:rsid w:val="003D212B"/>
    <w:rsid w:val="003D216F"/>
    <w:rsid w:val="003D25B9"/>
    <w:rsid w:val="003D2679"/>
    <w:rsid w:val="003D2775"/>
    <w:rsid w:val="003D2886"/>
    <w:rsid w:val="003D28B0"/>
    <w:rsid w:val="003D28B6"/>
    <w:rsid w:val="003D28D2"/>
    <w:rsid w:val="003D2912"/>
    <w:rsid w:val="003D2A2C"/>
    <w:rsid w:val="003D2A92"/>
    <w:rsid w:val="003D2AA6"/>
    <w:rsid w:val="003D2B42"/>
    <w:rsid w:val="003D2B53"/>
    <w:rsid w:val="003D2CD5"/>
    <w:rsid w:val="003D2DC5"/>
    <w:rsid w:val="003D2DF5"/>
    <w:rsid w:val="003D2E4E"/>
    <w:rsid w:val="003D301B"/>
    <w:rsid w:val="003D30F3"/>
    <w:rsid w:val="003D322C"/>
    <w:rsid w:val="003D326F"/>
    <w:rsid w:val="003D327F"/>
    <w:rsid w:val="003D3393"/>
    <w:rsid w:val="003D3639"/>
    <w:rsid w:val="003D37B6"/>
    <w:rsid w:val="003D37EA"/>
    <w:rsid w:val="003D3834"/>
    <w:rsid w:val="003D392F"/>
    <w:rsid w:val="003D3966"/>
    <w:rsid w:val="003D39F7"/>
    <w:rsid w:val="003D3A13"/>
    <w:rsid w:val="003D3A60"/>
    <w:rsid w:val="003D3A61"/>
    <w:rsid w:val="003D3AAD"/>
    <w:rsid w:val="003D3BBB"/>
    <w:rsid w:val="003D3BBC"/>
    <w:rsid w:val="003D3D13"/>
    <w:rsid w:val="003D3E15"/>
    <w:rsid w:val="003D3E22"/>
    <w:rsid w:val="003D3E8D"/>
    <w:rsid w:val="003D3F63"/>
    <w:rsid w:val="003D3FC8"/>
    <w:rsid w:val="003D40EF"/>
    <w:rsid w:val="003D4231"/>
    <w:rsid w:val="003D42B5"/>
    <w:rsid w:val="003D42B6"/>
    <w:rsid w:val="003D43BD"/>
    <w:rsid w:val="003D4472"/>
    <w:rsid w:val="003D45C9"/>
    <w:rsid w:val="003D45FF"/>
    <w:rsid w:val="003D463A"/>
    <w:rsid w:val="003D46C6"/>
    <w:rsid w:val="003D46F5"/>
    <w:rsid w:val="003D4804"/>
    <w:rsid w:val="003D4813"/>
    <w:rsid w:val="003D4824"/>
    <w:rsid w:val="003D48B4"/>
    <w:rsid w:val="003D4920"/>
    <w:rsid w:val="003D4972"/>
    <w:rsid w:val="003D4A29"/>
    <w:rsid w:val="003D4A58"/>
    <w:rsid w:val="003D4B41"/>
    <w:rsid w:val="003D4B52"/>
    <w:rsid w:val="003D4B8A"/>
    <w:rsid w:val="003D4C94"/>
    <w:rsid w:val="003D5054"/>
    <w:rsid w:val="003D53BF"/>
    <w:rsid w:val="003D541B"/>
    <w:rsid w:val="003D5441"/>
    <w:rsid w:val="003D54F4"/>
    <w:rsid w:val="003D555F"/>
    <w:rsid w:val="003D55C5"/>
    <w:rsid w:val="003D5696"/>
    <w:rsid w:val="003D56CA"/>
    <w:rsid w:val="003D56FE"/>
    <w:rsid w:val="003D5824"/>
    <w:rsid w:val="003D5843"/>
    <w:rsid w:val="003D5875"/>
    <w:rsid w:val="003D5AB6"/>
    <w:rsid w:val="003D5B21"/>
    <w:rsid w:val="003D5B2A"/>
    <w:rsid w:val="003D5B86"/>
    <w:rsid w:val="003D5C28"/>
    <w:rsid w:val="003D6087"/>
    <w:rsid w:val="003D60EE"/>
    <w:rsid w:val="003D6304"/>
    <w:rsid w:val="003D63C6"/>
    <w:rsid w:val="003D662C"/>
    <w:rsid w:val="003D67A3"/>
    <w:rsid w:val="003D692E"/>
    <w:rsid w:val="003D6B59"/>
    <w:rsid w:val="003D6B61"/>
    <w:rsid w:val="003D6B85"/>
    <w:rsid w:val="003D6C79"/>
    <w:rsid w:val="003D6CAD"/>
    <w:rsid w:val="003D6F1B"/>
    <w:rsid w:val="003D6F2D"/>
    <w:rsid w:val="003D6FDD"/>
    <w:rsid w:val="003D708D"/>
    <w:rsid w:val="003D7126"/>
    <w:rsid w:val="003D72B5"/>
    <w:rsid w:val="003D731F"/>
    <w:rsid w:val="003D7321"/>
    <w:rsid w:val="003D735C"/>
    <w:rsid w:val="003D736A"/>
    <w:rsid w:val="003D73B9"/>
    <w:rsid w:val="003D75A7"/>
    <w:rsid w:val="003D75CD"/>
    <w:rsid w:val="003D768E"/>
    <w:rsid w:val="003D76D6"/>
    <w:rsid w:val="003D7765"/>
    <w:rsid w:val="003D78DD"/>
    <w:rsid w:val="003D79E6"/>
    <w:rsid w:val="003D7BEF"/>
    <w:rsid w:val="003D7C11"/>
    <w:rsid w:val="003D7C13"/>
    <w:rsid w:val="003D7C91"/>
    <w:rsid w:val="003D7CAA"/>
    <w:rsid w:val="003D7F98"/>
    <w:rsid w:val="003D7FBF"/>
    <w:rsid w:val="003E0018"/>
    <w:rsid w:val="003E003E"/>
    <w:rsid w:val="003E00A7"/>
    <w:rsid w:val="003E0190"/>
    <w:rsid w:val="003E024D"/>
    <w:rsid w:val="003E02E3"/>
    <w:rsid w:val="003E032C"/>
    <w:rsid w:val="003E0392"/>
    <w:rsid w:val="003E0406"/>
    <w:rsid w:val="003E04DB"/>
    <w:rsid w:val="003E05B9"/>
    <w:rsid w:val="003E06E7"/>
    <w:rsid w:val="003E0707"/>
    <w:rsid w:val="003E0798"/>
    <w:rsid w:val="003E07FE"/>
    <w:rsid w:val="003E0939"/>
    <w:rsid w:val="003E09CA"/>
    <w:rsid w:val="003E0B4D"/>
    <w:rsid w:val="003E0B9E"/>
    <w:rsid w:val="003E0D88"/>
    <w:rsid w:val="003E0E95"/>
    <w:rsid w:val="003E0F17"/>
    <w:rsid w:val="003E0FE8"/>
    <w:rsid w:val="003E1170"/>
    <w:rsid w:val="003E1335"/>
    <w:rsid w:val="003E1367"/>
    <w:rsid w:val="003E141A"/>
    <w:rsid w:val="003E144D"/>
    <w:rsid w:val="003E1681"/>
    <w:rsid w:val="003E18F9"/>
    <w:rsid w:val="003E1B17"/>
    <w:rsid w:val="003E1B42"/>
    <w:rsid w:val="003E1B46"/>
    <w:rsid w:val="003E1B6E"/>
    <w:rsid w:val="003E1B8B"/>
    <w:rsid w:val="003E1C99"/>
    <w:rsid w:val="003E1E68"/>
    <w:rsid w:val="003E1F2C"/>
    <w:rsid w:val="003E1F43"/>
    <w:rsid w:val="003E1F90"/>
    <w:rsid w:val="003E2101"/>
    <w:rsid w:val="003E2325"/>
    <w:rsid w:val="003E25DA"/>
    <w:rsid w:val="003E2669"/>
    <w:rsid w:val="003E2C6C"/>
    <w:rsid w:val="003E2C72"/>
    <w:rsid w:val="003E2D63"/>
    <w:rsid w:val="003E2D87"/>
    <w:rsid w:val="003E2D88"/>
    <w:rsid w:val="003E2D96"/>
    <w:rsid w:val="003E2EC4"/>
    <w:rsid w:val="003E2EE3"/>
    <w:rsid w:val="003E2F43"/>
    <w:rsid w:val="003E2FE1"/>
    <w:rsid w:val="003E3094"/>
    <w:rsid w:val="003E3107"/>
    <w:rsid w:val="003E314D"/>
    <w:rsid w:val="003E339E"/>
    <w:rsid w:val="003E341C"/>
    <w:rsid w:val="003E350D"/>
    <w:rsid w:val="003E359F"/>
    <w:rsid w:val="003E3662"/>
    <w:rsid w:val="003E368B"/>
    <w:rsid w:val="003E370A"/>
    <w:rsid w:val="003E37A2"/>
    <w:rsid w:val="003E390A"/>
    <w:rsid w:val="003E3916"/>
    <w:rsid w:val="003E39F9"/>
    <w:rsid w:val="003E3BB2"/>
    <w:rsid w:val="003E3BB5"/>
    <w:rsid w:val="003E3D16"/>
    <w:rsid w:val="003E3D68"/>
    <w:rsid w:val="003E3E33"/>
    <w:rsid w:val="003E3E7D"/>
    <w:rsid w:val="003E3F3C"/>
    <w:rsid w:val="003E3F97"/>
    <w:rsid w:val="003E3FA2"/>
    <w:rsid w:val="003E4016"/>
    <w:rsid w:val="003E4171"/>
    <w:rsid w:val="003E41CE"/>
    <w:rsid w:val="003E42B7"/>
    <w:rsid w:val="003E43E6"/>
    <w:rsid w:val="003E4429"/>
    <w:rsid w:val="003E4485"/>
    <w:rsid w:val="003E4675"/>
    <w:rsid w:val="003E4688"/>
    <w:rsid w:val="003E471F"/>
    <w:rsid w:val="003E4998"/>
    <w:rsid w:val="003E49DD"/>
    <w:rsid w:val="003E4AAB"/>
    <w:rsid w:val="003E4BAD"/>
    <w:rsid w:val="003E4BE1"/>
    <w:rsid w:val="003E4BED"/>
    <w:rsid w:val="003E4BF8"/>
    <w:rsid w:val="003E4E0D"/>
    <w:rsid w:val="003E4E94"/>
    <w:rsid w:val="003E4ED5"/>
    <w:rsid w:val="003E4EE0"/>
    <w:rsid w:val="003E5025"/>
    <w:rsid w:val="003E5044"/>
    <w:rsid w:val="003E51D1"/>
    <w:rsid w:val="003E5275"/>
    <w:rsid w:val="003E52C4"/>
    <w:rsid w:val="003E53DD"/>
    <w:rsid w:val="003E5494"/>
    <w:rsid w:val="003E5553"/>
    <w:rsid w:val="003E55BA"/>
    <w:rsid w:val="003E55C2"/>
    <w:rsid w:val="003E574E"/>
    <w:rsid w:val="003E57E9"/>
    <w:rsid w:val="003E5A5B"/>
    <w:rsid w:val="003E5B90"/>
    <w:rsid w:val="003E5BD0"/>
    <w:rsid w:val="003E5BE0"/>
    <w:rsid w:val="003E5C24"/>
    <w:rsid w:val="003E5D4C"/>
    <w:rsid w:val="003E5ECD"/>
    <w:rsid w:val="003E611E"/>
    <w:rsid w:val="003E61A6"/>
    <w:rsid w:val="003E622A"/>
    <w:rsid w:val="003E62B7"/>
    <w:rsid w:val="003E63CE"/>
    <w:rsid w:val="003E64D9"/>
    <w:rsid w:val="003E6612"/>
    <w:rsid w:val="003E66D5"/>
    <w:rsid w:val="003E6724"/>
    <w:rsid w:val="003E6792"/>
    <w:rsid w:val="003E6897"/>
    <w:rsid w:val="003E6BCE"/>
    <w:rsid w:val="003E6C10"/>
    <w:rsid w:val="003E6D52"/>
    <w:rsid w:val="003E6DF5"/>
    <w:rsid w:val="003E6ECD"/>
    <w:rsid w:val="003E6F9C"/>
    <w:rsid w:val="003E7037"/>
    <w:rsid w:val="003E7279"/>
    <w:rsid w:val="003E72E8"/>
    <w:rsid w:val="003E7361"/>
    <w:rsid w:val="003E7489"/>
    <w:rsid w:val="003E755D"/>
    <w:rsid w:val="003E7693"/>
    <w:rsid w:val="003E770D"/>
    <w:rsid w:val="003E7975"/>
    <w:rsid w:val="003E797F"/>
    <w:rsid w:val="003E7DBF"/>
    <w:rsid w:val="003E7E34"/>
    <w:rsid w:val="003E7EB7"/>
    <w:rsid w:val="003E7ECC"/>
    <w:rsid w:val="003E7EF9"/>
    <w:rsid w:val="003F007A"/>
    <w:rsid w:val="003F012C"/>
    <w:rsid w:val="003F021C"/>
    <w:rsid w:val="003F0261"/>
    <w:rsid w:val="003F02BB"/>
    <w:rsid w:val="003F030F"/>
    <w:rsid w:val="003F042E"/>
    <w:rsid w:val="003F049D"/>
    <w:rsid w:val="003F053E"/>
    <w:rsid w:val="003F06BB"/>
    <w:rsid w:val="003F06D3"/>
    <w:rsid w:val="003F094A"/>
    <w:rsid w:val="003F0963"/>
    <w:rsid w:val="003F09A0"/>
    <w:rsid w:val="003F09AD"/>
    <w:rsid w:val="003F0C61"/>
    <w:rsid w:val="003F0C75"/>
    <w:rsid w:val="003F0CF0"/>
    <w:rsid w:val="003F0D6F"/>
    <w:rsid w:val="003F0D87"/>
    <w:rsid w:val="003F0E17"/>
    <w:rsid w:val="003F0E94"/>
    <w:rsid w:val="003F0F39"/>
    <w:rsid w:val="003F0F53"/>
    <w:rsid w:val="003F0F65"/>
    <w:rsid w:val="003F0FE3"/>
    <w:rsid w:val="003F11E3"/>
    <w:rsid w:val="003F1279"/>
    <w:rsid w:val="003F13AB"/>
    <w:rsid w:val="003F14D2"/>
    <w:rsid w:val="003F14ED"/>
    <w:rsid w:val="003F150F"/>
    <w:rsid w:val="003F15B3"/>
    <w:rsid w:val="003F16C3"/>
    <w:rsid w:val="003F1942"/>
    <w:rsid w:val="003F198F"/>
    <w:rsid w:val="003F1A2A"/>
    <w:rsid w:val="003F1BED"/>
    <w:rsid w:val="003F1C68"/>
    <w:rsid w:val="003F1D0F"/>
    <w:rsid w:val="003F1DD3"/>
    <w:rsid w:val="003F1E68"/>
    <w:rsid w:val="003F1FF3"/>
    <w:rsid w:val="003F21C1"/>
    <w:rsid w:val="003F239F"/>
    <w:rsid w:val="003F2460"/>
    <w:rsid w:val="003F24CF"/>
    <w:rsid w:val="003F2565"/>
    <w:rsid w:val="003F256E"/>
    <w:rsid w:val="003F267A"/>
    <w:rsid w:val="003F293C"/>
    <w:rsid w:val="003F2965"/>
    <w:rsid w:val="003F2A12"/>
    <w:rsid w:val="003F2A80"/>
    <w:rsid w:val="003F2A9C"/>
    <w:rsid w:val="003F2B62"/>
    <w:rsid w:val="003F2C0A"/>
    <w:rsid w:val="003F2C42"/>
    <w:rsid w:val="003F2DFE"/>
    <w:rsid w:val="003F30AB"/>
    <w:rsid w:val="003F30E6"/>
    <w:rsid w:val="003F31D1"/>
    <w:rsid w:val="003F32E9"/>
    <w:rsid w:val="003F339E"/>
    <w:rsid w:val="003F3427"/>
    <w:rsid w:val="003F3508"/>
    <w:rsid w:val="003F351F"/>
    <w:rsid w:val="003F353A"/>
    <w:rsid w:val="003F3626"/>
    <w:rsid w:val="003F36CA"/>
    <w:rsid w:val="003F371C"/>
    <w:rsid w:val="003F3727"/>
    <w:rsid w:val="003F37E7"/>
    <w:rsid w:val="003F38F5"/>
    <w:rsid w:val="003F393B"/>
    <w:rsid w:val="003F39D8"/>
    <w:rsid w:val="003F39FE"/>
    <w:rsid w:val="003F3A6A"/>
    <w:rsid w:val="003F3B79"/>
    <w:rsid w:val="003F3C9E"/>
    <w:rsid w:val="003F3CAA"/>
    <w:rsid w:val="003F3D3B"/>
    <w:rsid w:val="003F3D3E"/>
    <w:rsid w:val="003F3E3D"/>
    <w:rsid w:val="003F3F6F"/>
    <w:rsid w:val="003F408A"/>
    <w:rsid w:val="003F43BE"/>
    <w:rsid w:val="003F4430"/>
    <w:rsid w:val="003F451E"/>
    <w:rsid w:val="003F4892"/>
    <w:rsid w:val="003F48FC"/>
    <w:rsid w:val="003F4AD6"/>
    <w:rsid w:val="003F4D34"/>
    <w:rsid w:val="003F4DE9"/>
    <w:rsid w:val="003F4EFC"/>
    <w:rsid w:val="003F4F82"/>
    <w:rsid w:val="003F4FD4"/>
    <w:rsid w:val="003F50EC"/>
    <w:rsid w:val="003F51CF"/>
    <w:rsid w:val="003F51D8"/>
    <w:rsid w:val="003F51F6"/>
    <w:rsid w:val="003F5252"/>
    <w:rsid w:val="003F5272"/>
    <w:rsid w:val="003F52AD"/>
    <w:rsid w:val="003F5328"/>
    <w:rsid w:val="003F533C"/>
    <w:rsid w:val="003F5592"/>
    <w:rsid w:val="003F56A0"/>
    <w:rsid w:val="003F5895"/>
    <w:rsid w:val="003F5998"/>
    <w:rsid w:val="003F5A50"/>
    <w:rsid w:val="003F5B15"/>
    <w:rsid w:val="003F5B74"/>
    <w:rsid w:val="003F5C11"/>
    <w:rsid w:val="003F5D51"/>
    <w:rsid w:val="003F5D80"/>
    <w:rsid w:val="003F5F56"/>
    <w:rsid w:val="003F629C"/>
    <w:rsid w:val="003F63CE"/>
    <w:rsid w:val="003F6442"/>
    <w:rsid w:val="003F653C"/>
    <w:rsid w:val="003F66ED"/>
    <w:rsid w:val="003F6720"/>
    <w:rsid w:val="003F68D9"/>
    <w:rsid w:val="003F695C"/>
    <w:rsid w:val="003F69F2"/>
    <w:rsid w:val="003F6ADF"/>
    <w:rsid w:val="003F6EAD"/>
    <w:rsid w:val="003F6F5E"/>
    <w:rsid w:val="003F6F67"/>
    <w:rsid w:val="003F6FA2"/>
    <w:rsid w:val="003F71BC"/>
    <w:rsid w:val="003F7362"/>
    <w:rsid w:val="003F745F"/>
    <w:rsid w:val="003F764E"/>
    <w:rsid w:val="003F7680"/>
    <w:rsid w:val="003F76BC"/>
    <w:rsid w:val="003F76FA"/>
    <w:rsid w:val="003F772E"/>
    <w:rsid w:val="003F77D0"/>
    <w:rsid w:val="003F782A"/>
    <w:rsid w:val="003F788C"/>
    <w:rsid w:val="003F7A9E"/>
    <w:rsid w:val="003F7B96"/>
    <w:rsid w:val="003F7C5E"/>
    <w:rsid w:val="003F7C70"/>
    <w:rsid w:val="003F7CE0"/>
    <w:rsid w:val="003F7D4A"/>
    <w:rsid w:val="003F7F40"/>
    <w:rsid w:val="004000C8"/>
    <w:rsid w:val="00400385"/>
    <w:rsid w:val="004003B4"/>
    <w:rsid w:val="0040043C"/>
    <w:rsid w:val="00400499"/>
    <w:rsid w:val="004004E6"/>
    <w:rsid w:val="00400520"/>
    <w:rsid w:val="004006D5"/>
    <w:rsid w:val="00400733"/>
    <w:rsid w:val="00400788"/>
    <w:rsid w:val="00400861"/>
    <w:rsid w:val="00400904"/>
    <w:rsid w:val="00400A9D"/>
    <w:rsid w:val="00400AB7"/>
    <w:rsid w:val="00400ADB"/>
    <w:rsid w:val="00400B3F"/>
    <w:rsid w:val="00400C61"/>
    <w:rsid w:val="00400CB0"/>
    <w:rsid w:val="00400DD6"/>
    <w:rsid w:val="00401001"/>
    <w:rsid w:val="004010AF"/>
    <w:rsid w:val="00401140"/>
    <w:rsid w:val="00401256"/>
    <w:rsid w:val="0040125E"/>
    <w:rsid w:val="0040128B"/>
    <w:rsid w:val="004013A8"/>
    <w:rsid w:val="004014A1"/>
    <w:rsid w:val="004014DD"/>
    <w:rsid w:val="004015FF"/>
    <w:rsid w:val="00401692"/>
    <w:rsid w:val="0040169F"/>
    <w:rsid w:val="004016C0"/>
    <w:rsid w:val="0040175A"/>
    <w:rsid w:val="00401822"/>
    <w:rsid w:val="004018B0"/>
    <w:rsid w:val="004019D2"/>
    <w:rsid w:val="00401A21"/>
    <w:rsid w:val="00401C41"/>
    <w:rsid w:val="00401C4E"/>
    <w:rsid w:val="00401D00"/>
    <w:rsid w:val="00401DA6"/>
    <w:rsid w:val="00401F28"/>
    <w:rsid w:val="00402216"/>
    <w:rsid w:val="0040222A"/>
    <w:rsid w:val="00402483"/>
    <w:rsid w:val="00402544"/>
    <w:rsid w:val="0040254F"/>
    <w:rsid w:val="0040262D"/>
    <w:rsid w:val="0040271A"/>
    <w:rsid w:val="0040280B"/>
    <w:rsid w:val="00402848"/>
    <w:rsid w:val="00402886"/>
    <w:rsid w:val="00402B43"/>
    <w:rsid w:val="00402D27"/>
    <w:rsid w:val="00402DAA"/>
    <w:rsid w:val="00402DBA"/>
    <w:rsid w:val="00402EB6"/>
    <w:rsid w:val="00402FE5"/>
    <w:rsid w:val="00403040"/>
    <w:rsid w:val="00403069"/>
    <w:rsid w:val="004030B6"/>
    <w:rsid w:val="004030E1"/>
    <w:rsid w:val="004031B8"/>
    <w:rsid w:val="004031E1"/>
    <w:rsid w:val="0040348E"/>
    <w:rsid w:val="00403589"/>
    <w:rsid w:val="00403664"/>
    <w:rsid w:val="004037D9"/>
    <w:rsid w:val="00403860"/>
    <w:rsid w:val="00403873"/>
    <w:rsid w:val="00403895"/>
    <w:rsid w:val="00403953"/>
    <w:rsid w:val="004039EA"/>
    <w:rsid w:val="00403B3A"/>
    <w:rsid w:val="00403B88"/>
    <w:rsid w:val="00403BCB"/>
    <w:rsid w:val="00403BDD"/>
    <w:rsid w:val="00403BE3"/>
    <w:rsid w:val="00403BFD"/>
    <w:rsid w:val="00403C54"/>
    <w:rsid w:val="00403D3B"/>
    <w:rsid w:val="00403FE3"/>
    <w:rsid w:val="00404118"/>
    <w:rsid w:val="00404137"/>
    <w:rsid w:val="00404214"/>
    <w:rsid w:val="004042BC"/>
    <w:rsid w:val="00404454"/>
    <w:rsid w:val="00404725"/>
    <w:rsid w:val="004047D0"/>
    <w:rsid w:val="00404800"/>
    <w:rsid w:val="0040484B"/>
    <w:rsid w:val="004048D7"/>
    <w:rsid w:val="0040494C"/>
    <w:rsid w:val="004049A1"/>
    <w:rsid w:val="004049B1"/>
    <w:rsid w:val="00404A64"/>
    <w:rsid w:val="00404B7B"/>
    <w:rsid w:val="00404C35"/>
    <w:rsid w:val="00404CF1"/>
    <w:rsid w:val="00404D2C"/>
    <w:rsid w:val="00404D38"/>
    <w:rsid w:val="00404DA8"/>
    <w:rsid w:val="00404DFB"/>
    <w:rsid w:val="00404E62"/>
    <w:rsid w:val="00404F07"/>
    <w:rsid w:val="004050B9"/>
    <w:rsid w:val="004053DC"/>
    <w:rsid w:val="0040545C"/>
    <w:rsid w:val="00405460"/>
    <w:rsid w:val="0040549A"/>
    <w:rsid w:val="004056E8"/>
    <w:rsid w:val="00405780"/>
    <w:rsid w:val="0040583D"/>
    <w:rsid w:val="00405854"/>
    <w:rsid w:val="00405A03"/>
    <w:rsid w:val="00405A12"/>
    <w:rsid w:val="00405A63"/>
    <w:rsid w:val="00405B7B"/>
    <w:rsid w:val="00405C50"/>
    <w:rsid w:val="00405CC0"/>
    <w:rsid w:val="00405D75"/>
    <w:rsid w:val="00405EAB"/>
    <w:rsid w:val="00405ECE"/>
    <w:rsid w:val="00405F16"/>
    <w:rsid w:val="00405F17"/>
    <w:rsid w:val="00405F54"/>
    <w:rsid w:val="00405F86"/>
    <w:rsid w:val="00406054"/>
    <w:rsid w:val="00406070"/>
    <w:rsid w:val="004062B5"/>
    <w:rsid w:val="004062D1"/>
    <w:rsid w:val="004062FE"/>
    <w:rsid w:val="0040647F"/>
    <w:rsid w:val="004064C8"/>
    <w:rsid w:val="004064DB"/>
    <w:rsid w:val="00406522"/>
    <w:rsid w:val="00406527"/>
    <w:rsid w:val="0040656C"/>
    <w:rsid w:val="00406602"/>
    <w:rsid w:val="00406670"/>
    <w:rsid w:val="00406960"/>
    <w:rsid w:val="00406ADF"/>
    <w:rsid w:val="00406B05"/>
    <w:rsid w:val="00406B1C"/>
    <w:rsid w:val="00406C36"/>
    <w:rsid w:val="00406CE9"/>
    <w:rsid w:val="00406D1A"/>
    <w:rsid w:val="00406E6D"/>
    <w:rsid w:val="00406F43"/>
    <w:rsid w:val="00407060"/>
    <w:rsid w:val="00407202"/>
    <w:rsid w:val="00407288"/>
    <w:rsid w:val="00407292"/>
    <w:rsid w:val="00407316"/>
    <w:rsid w:val="0040731A"/>
    <w:rsid w:val="00407490"/>
    <w:rsid w:val="00407653"/>
    <w:rsid w:val="0040765B"/>
    <w:rsid w:val="004076CF"/>
    <w:rsid w:val="004078E5"/>
    <w:rsid w:val="00407A27"/>
    <w:rsid w:val="00407BC7"/>
    <w:rsid w:val="00407C22"/>
    <w:rsid w:val="00407C37"/>
    <w:rsid w:val="00407EA4"/>
    <w:rsid w:val="00407F1A"/>
    <w:rsid w:val="00407F33"/>
    <w:rsid w:val="00407FBD"/>
    <w:rsid w:val="00407FFC"/>
    <w:rsid w:val="0041018E"/>
    <w:rsid w:val="004102A5"/>
    <w:rsid w:val="00410467"/>
    <w:rsid w:val="004104BF"/>
    <w:rsid w:val="00410604"/>
    <w:rsid w:val="0041071A"/>
    <w:rsid w:val="00410878"/>
    <w:rsid w:val="004108DC"/>
    <w:rsid w:val="004108E9"/>
    <w:rsid w:val="00410BCC"/>
    <w:rsid w:val="00410D3E"/>
    <w:rsid w:val="00410D4D"/>
    <w:rsid w:val="00410DBB"/>
    <w:rsid w:val="00410DC5"/>
    <w:rsid w:val="00410E15"/>
    <w:rsid w:val="00410E1F"/>
    <w:rsid w:val="00410E4E"/>
    <w:rsid w:val="00410EE9"/>
    <w:rsid w:val="00410F2D"/>
    <w:rsid w:val="0041102F"/>
    <w:rsid w:val="00411097"/>
    <w:rsid w:val="004111CC"/>
    <w:rsid w:val="00411242"/>
    <w:rsid w:val="004112D4"/>
    <w:rsid w:val="00411340"/>
    <w:rsid w:val="0041134A"/>
    <w:rsid w:val="0041145D"/>
    <w:rsid w:val="004114BE"/>
    <w:rsid w:val="00411530"/>
    <w:rsid w:val="0041158C"/>
    <w:rsid w:val="004115F8"/>
    <w:rsid w:val="00411639"/>
    <w:rsid w:val="00411671"/>
    <w:rsid w:val="0041171B"/>
    <w:rsid w:val="0041195A"/>
    <w:rsid w:val="00411983"/>
    <w:rsid w:val="00411AA1"/>
    <w:rsid w:val="00411B09"/>
    <w:rsid w:val="00411B9A"/>
    <w:rsid w:val="00411C8B"/>
    <w:rsid w:val="00411D27"/>
    <w:rsid w:val="00412131"/>
    <w:rsid w:val="0041217F"/>
    <w:rsid w:val="004121DF"/>
    <w:rsid w:val="004122F7"/>
    <w:rsid w:val="00412384"/>
    <w:rsid w:val="00412594"/>
    <w:rsid w:val="00412632"/>
    <w:rsid w:val="00412766"/>
    <w:rsid w:val="004127B9"/>
    <w:rsid w:val="004127DB"/>
    <w:rsid w:val="0041296B"/>
    <w:rsid w:val="00412977"/>
    <w:rsid w:val="00412A69"/>
    <w:rsid w:val="00412A81"/>
    <w:rsid w:val="00412B62"/>
    <w:rsid w:val="00412B65"/>
    <w:rsid w:val="00412BB2"/>
    <w:rsid w:val="00412CDE"/>
    <w:rsid w:val="00412D93"/>
    <w:rsid w:val="00412DA8"/>
    <w:rsid w:val="00412DB1"/>
    <w:rsid w:val="00412DE5"/>
    <w:rsid w:val="00412ED5"/>
    <w:rsid w:val="00412EE4"/>
    <w:rsid w:val="00412FDE"/>
    <w:rsid w:val="00413235"/>
    <w:rsid w:val="00413274"/>
    <w:rsid w:val="00413351"/>
    <w:rsid w:val="00413487"/>
    <w:rsid w:val="00413500"/>
    <w:rsid w:val="004135B9"/>
    <w:rsid w:val="004135C3"/>
    <w:rsid w:val="00413649"/>
    <w:rsid w:val="00413655"/>
    <w:rsid w:val="004136D7"/>
    <w:rsid w:val="0041370C"/>
    <w:rsid w:val="00413870"/>
    <w:rsid w:val="004138B6"/>
    <w:rsid w:val="004138D9"/>
    <w:rsid w:val="00413A37"/>
    <w:rsid w:val="00413A76"/>
    <w:rsid w:val="00413B02"/>
    <w:rsid w:val="00413B26"/>
    <w:rsid w:val="004140B9"/>
    <w:rsid w:val="0041410F"/>
    <w:rsid w:val="00414244"/>
    <w:rsid w:val="004142E0"/>
    <w:rsid w:val="004143DB"/>
    <w:rsid w:val="004144C2"/>
    <w:rsid w:val="00414583"/>
    <w:rsid w:val="00414613"/>
    <w:rsid w:val="00414A74"/>
    <w:rsid w:val="00414AE6"/>
    <w:rsid w:val="00414B68"/>
    <w:rsid w:val="00414BE5"/>
    <w:rsid w:val="00414BFE"/>
    <w:rsid w:val="00414C1C"/>
    <w:rsid w:val="00414CA0"/>
    <w:rsid w:val="00414D71"/>
    <w:rsid w:val="00414E82"/>
    <w:rsid w:val="00414F10"/>
    <w:rsid w:val="00414FC9"/>
    <w:rsid w:val="00415189"/>
    <w:rsid w:val="004151DD"/>
    <w:rsid w:val="004151F1"/>
    <w:rsid w:val="00415264"/>
    <w:rsid w:val="004152A1"/>
    <w:rsid w:val="0041530B"/>
    <w:rsid w:val="00415380"/>
    <w:rsid w:val="0041556E"/>
    <w:rsid w:val="0041559E"/>
    <w:rsid w:val="004155B1"/>
    <w:rsid w:val="00415795"/>
    <w:rsid w:val="0041586C"/>
    <w:rsid w:val="0041589F"/>
    <w:rsid w:val="00415A61"/>
    <w:rsid w:val="00415B35"/>
    <w:rsid w:val="00415C71"/>
    <w:rsid w:val="00415CD9"/>
    <w:rsid w:val="00415CF3"/>
    <w:rsid w:val="00415CF7"/>
    <w:rsid w:val="00415CFC"/>
    <w:rsid w:val="00415D51"/>
    <w:rsid w:val="00415DBF"/>
    <w:rsid w:val="00415E86"/>
    <w:rsid w:val="00415EFD"/>
    <w:rsid w:val="00415FA7"/>
    <w:rsid w:val="0041610A"/>
    <w:rsid w:val="0041617E"/>
    <w:rsid w:val="004161AC"/>
    <w:rsid w:val="00416274"/>
    <w:rsid w:val="004162F1"/>
    <w:rsid w:val="00416493"/>
    <w:rsid w:val="004164C6"/>
    <w:rsid w:val="004165EB"/>
    <w:rsid w:val="004167FF"/>
    <w:rsid w:val="004169D3"/>
    <w:rsid w:val="00416A91"/>
    <w:rsid w:val="00416AD9"/>
    <w:rsid w:val="00416B02"/>
    <w:rsid w:val="00416C0C"/>
    <w:rsid w:val="00416CCD"/>
    <w:rsid w:val="00416D94"/>
    <w:rsid w:val="00416F15"/>
    <w:rsid w:val="00416F18"/>
    <w:rsid w:val="00416F7B"/>
    <w:rsid w:val="00416FDF"/>
    <w:rsid w:val="00416FFB"/>
    <w:rsid w:val="004171B7"/>
    <w:rsid w:val="00417267"/>
    <w:rsid w:val="004172D0"/>
    <w:rsid w:val="004172F0"/>
    <w:rsid w:val="0041749A"/>
    <w:rsid w:val="0041758F"/>
    <w:rsid w:val="004175B8"/>
    <w:rsid w:val="004175DD"/>
    <w:rsid w:val="004176BD"/>
    <w:rsid w:val="00417705"/>
    <w:rsid w:val="0041778F"/>
    <w:rsid w:val="0041785C"/>
    <w:rsid w:val="00417869"/>
    <w:rsid w:val="00417876"/>
    <w:rsid w:val="004178DB"/>
    <w:rsid w:val="00417AA5"/>
    <w:rsid w:val="00417B37"/>
    <w:rsid w:val="00417B43"/>
    <w:rsid w:val="00417D14"/>
    <w:rsid w:val="00417D2B"/>
    <w:rsid w:val="00417D66"/>
    <w:rsid w:val="00417E39"/>
    <w:rsid w:val="00417E69"/>
    <w:rsid w:val="00417EF7"/>
    <w:rsid w:val="00417F81"/>
    <w:rsid w:val="00420133"/>
    <w:rsid w:val="00420305"/>
    <w:rsid w:val="004203A8"/>
    <w:rsid w:val="004203AC"/>
    <w:rsid w:val="004203C2"/>
    <w:rsid w:val="00420539"/>
    <w:rsid w:val="00420667"/>
    <w:rsid w:val="00420688"/>
    <w:rsid w:val="0042075C"/>
    <w:rsid w:val="00420855"/>
    <w:rsid w:val="0042098A"/>
    <w:rsid w:val="00420AF4"/>
    <w:rsid w:val="00420B2F"/>
    <w:rsid w:val="00420CC5"/>
    <w:rsid w:val="00421070"/>
    <w:rsid w:val="004210C5"/>
    <w:rsid w:val="00421313"/>
    <w:rsid w:val="0042136A"/>
    <w:rsid w:val="0042147E"/>
    <w:rsid w:val="004214A7"/>
    <w:rsid w:val="00421507"/>
    <w:rsid w:val="00421617"/>
    <w:rsid w:val="00421702"/>
    <w:rsid w:val="00421772"/>
    <w:rsid w:val="0042189D"/>
    <w:rsid w:val="004218AA"/>
    <w:rsid w:val="004218B7"/>
    <w:rsid w:val="00421961"/>
    <w:rsid w:val="004219F7"/>
    <w:rsid w:val="00421B0A"/>
    <w:rsid w:val="00421B91"/>
    <w:rsid w:val="00421B9A"/>
    <w:rsid w:val="00421D6C"/>
    <w:rsid w:val="00421DF8"/>
    <w:rsid w:val="00421E26"/>
    <w:rsid w:val="00421E79"/>
    <w:rsid w:val="00421FFB"/>
    <w:rsid w:val="0042212E"/>
    <w:rsid w:val="0042218D"/>
    <w:rsid w:val="00422259"/>
    <w:rsid w:val="00422275"/>
    <w:rsid w:val="00422299"/>
    <w:rsid w:val="00422312"/>
    <w:rsid w:val="00422383"/>
    <w:rsid w:val="004224DD"/>
    <w:rsid w:val="0042255D"/>
    <w:rsid w:val="00422635"/>
    <w:rsid w:val="004226C9"/>
    <w:rsid w:val="00422778"/>
    <w:rsid w:val="00422850"/>
    <w:rsid w:val="00422A2F"/>
    <w:rsid w:val="00422C06"/>
    <w:rsid w:val="00422C1A"/>
    <w:rsid w:val="00422C87"/>
    <w:rsid w:val="00422EEE"/>
    <w:rsid w:val="00422F02"/>
    <w:rsid w:val="00423067"/>
    <w:rsid w:val="004230AB"/>
    <w:rsid w:val="004230B7"/>
    <w:rsid w:val="00423112"/>
    <w:rsid w:val="0042317C"/>
    <w:rsid w:val="0042331E"/>
    <w:rsid w:val="0042340B"/>
    <w:rsid w:val="00423418"/>
    <w:rsid w:val="004234CB"/>
    <w:rsid w:val="00423540"/>
    <w:rsid w:val="0042357B"/>
    <w:rsid w:val="00423593"/>
    <w:rsid w:val="004235FB"/>
    <w:rsid w:val="00423620"/>
    <w:rsid w:val="00423645"/>
    <w:rsid w:val="00423668"/>
    <w:rsid w:val="00423685"/>
    <w:rsid w:val="004236C1"/>
    <w:rsid w:val="004236E4"/>
    <w:rsid w:val="00423716"/>
    <w:rsid w:val="00423792"/>
    <w:rsid w:val="00423825"/>
    <w:rsid w:val="00423877"/>
    <w:rsid w:val="004239F6"/>
    <w:rsid w:val="00423A7C"/>
    <w:rsid w:val="00423A93"/>
    <w:rsid w:val="00423AF6"/>
    <w:rsid w:val="00423BBE"/>
    <w:rsid w:val="00423DCC"/>
    <w:rsid w:val="00423DFE"/>
    <w:rsid w:val="00423E8D"/>
    <w:rsid w:val="00423EA0"/>
    <w:rsid w:val="00423EBF"/>
    <w:rsid w:val="00423F27"/>
    <w:rsid w:val="00423F7A"/>
    <w:rsid w:val="00424060"/>
    <w:rsid w:val="00424105"/>
    <w:rsid w:val="00424176"/>
    <w:rsid w:val="004241D5"/>
    <w:rsid w:val="00424272"/>
    <w:rsid w:val="004242AB"/>
    <w:rsid w:val="0042434C"/>
    <w:rsid w:val="004244F2"/>
    <w:rsid w:val="004245D9"/>
    <w:rsid w:val="004247CA"/>
    <w:rsid w:val="00424825"/>
    <w:rsid w:val="00424B08"/>
    <w:rsid w:val="00424B3A"/>
    <w:rsid w:val="00424B95"/>
    <w:rsid w:val="00424C9D"/>
    <w:rsid w:val="00424E2D"/>
    <w:rsid w:val="00424F7E"/>
    <w:rsid w:val="00424F8F"/>
    <w:rsid w:val="00425012"/>
    <w:rsid w:val="004251CE"/>
    <w:rsid w:val="00425231"/>
    <w:rsid w:val="0042525F"/>
    <w:rsid w:val="00425329"/>
    <w:rsid w:val="0042549A"/>
    <w:rsid w:val="0042553E"/>
    <w:rsid w:val="004255C0"/>
    <w:rsid w:val="004255C6"/>
    <w:rsid w:val="004256A7"/>
    <w:rsid w:val="004257F3"/>
    <w:rsid w:val="0042589A"/>
    <w:rsid w:val="004259D4"/>
    <w:rsid w:val="00425C5C"/>
    <w:rsid w:val="00425D55"/>
    <w:rsid w:val="00425FF9"/>
    <w:rsid w:val="00426088"/>
    <w:rsid w:val="0042609A"/>
    <w:rsid w:val="0042625A"/>
    <w:rsid w:val="00426283"/>
    <w:rsid w:val="004263EF"/>
    <w:rsid w:val="00426510"/>
    <w:rsid w:val="004265C6"/>
    <w:rsid w:val="00426635"/>
    <w:rsid w:val="0042681E"/>
    <w:rsid w:val="0042691B"/>
    <w:rsid w:val="00426956"/>
    <w:rsid w:val="00426968"/>
    <w:rsid w:val="004269D5"/>
    <w:rsid w:val="00426A26"/>
    <w:rsid w:val="00426ADC"/>
    <w:rsid w:val="00426C1C"/>
    <w:rsid w:val="00426CC8"/>
    <w:rsid w:val="00426D7E"/>
    <w:rsid w:val="00426DC9"/>
    <w:rsid w:val="00426E41"/>
    <w:rsid w:val="00426F25"/>
    <w:rsid w:val="00426F27"/>
    <w:rsid w:val="00426F2C"/>
    <w:rsid w:val="00426F31"/>
    <w:rsid w:val="00427048"/>
    <w:rsid w:val="004270DF"/>
    <w:rsid w:val="00427351"/>
    <w:rsid w:val="00427373"/>
    <w:rsid w:val="00427387"/>
    <w:rsid w:val="004274C0"/>
    <w:rsid w:val="004274C5"/>
    <w:rsid w:val="00427524"/>
    <w:rsid w:val="0042755F"/>
    <w:rsid w:val="004275C6"/>
    <w:rsid w:val="00427669"/>
    <w:rsid w:val="0042769B"/>
    <w:rsid w:val="004276D9"/>
    <w:rsid w:val="004276E0"/>
    <w:rsid w:val="0042784F"/>
    <w:rsid w:val="00427874"/>
    <w:rsid w:val="00427B81"/>
    <w:rsid w:val="00427B8C"/>
    <w:rsid w:val="00427C11"/>
    <w:rsid w:val="00427C85"/>
    <w:rsid w:val="00427CA0"/>
    <w:rsid w:val="00427D18"/>
    <w:rsid w:val="00427D4D"/>
    <w:rsid w:val="00427EFC"/>
    <w:rsid w:val="00427F42"/>
    <w:rsid w:val="004300B3"/>
    <w:rsid w:val="0043016C"/>
    <w:rsid w:val="0043017A"/>
    <w:rsid w:val="00430194"/>
    <w:rsid w:val="004301FA"/>
    <w:rsid w:val="0043028D"/>
    <w:rsid w:val="004303BC"/>
    <w:rsid w:val="004303DC"/>
    <w:rsid w:val="00430409"/>
    <w:rsid w:val="0043040B"/>
    <w:rsid w:val="0043043A"/>
    <w:rsid w:val="004304A7"/>
    <w:rsid w:val="004304BD"/>
    <w:rsid w:val="0043054B"/>
    <w:rsid w:val="0043059A"/>
    <w:rsid w:val="004305A2"/>
    <w:rsid w:val="004305B5"/>
    <w:rsid w:val="00430638"/>
    <w:rsid w:val="00430650"/>
    <w:rsid w:val="0043076A"/>
    <w:rsid w:val="004307B8"/>
    <w:rsid w:val="0043089D"/>
    <w:rsid w:val="0043096B"/>
    <w:rsid w:val="004309AA"/>
    <w:rsid w:val="00430A7F"/>
    <w:rsid w:val="00430B05"/>
    <w:rsid w:val="00430B4C"/>
    <w:rsid w:val="00430BFB"/>
    <w:rsid w:val="00430C0F"/>
    <w:rsid w:val="00430CA3"/>
    <w:rsid w:val="00430CBF"/>
    <w:rsid w:val="00430DC3"/>
    <w:rsid w:val="00430DFB"/>
    <w:rsid w:val="00430EB8"/>
    <w:rsid w:val="004310B9"/>
    <w:rsid w:val="004311B0"/>
    <w:rsid w:val="00431328"/>
    <w:rsid w:val="004315E4"/>
    <w:rsid w:val="004315F1"/>
    <w:rsid w:val="0043160B"/>
    <w:rsid w:val="0043162D"/>
    <w:rsid w:val="00431649"/>
    <w:rsid w:val="0043170A"/>
    <w:rsid w:val="00431763"/>
    <w:rsid w:val="004317D8"/>
    <w:rsid w:val="004318DB"/>
    <w:rsid w:val="00431928"/>
    <w:rsid w:val="0043198A"/>
    <w:rsid w:val="004319A5"/>
    <w:rsid w:val="00431AB2"/>
    <w:rsid w:val="00431ABA"/>
    <w:rsid w:val="00431CB2"/>
    <w:rsid w:val="00431CB5"/>
    <w:rsid w:val="00431CE5"/>
    <w:rsid w:val="00431D4E"/>
    <w:rsid w:val="00431E30"/>
    <w:rsid w:val="00431F7E"/>
    <w:rsid w:val="00432050"/>
    <w:rsid w:val="0043209C"/>
    <w:rsid w:val="00432137"/>
    <w:rsid w:val="00432196"/>
    <w:rsid w:val="004321CD"/>
    <w:rsid w:val="00432312"/>
    <w:rsid w:val="004325AC"/>
    <w:rsid w:val="0043262B"/>
    <w:rsid w:val="00432707"/>
    <w:rsid w:val="004327CB"/>
    <w:rsid w:val="004327D2"/>
    <w:rsid w:val="0043295E"/>
    <w:rsid w:val="00432997"/>
    <w:rsid w:val="00432B8A"/>
    <w:rsid w:val="00432BE2"/>
    <w:rsid w:val="00432C86"/>
    <w:rsid w:val="00432CB3"/>
    <w:rsid w:val="00432CE2"/>
    <w:rsid w:val="00432D1F"/>
    <w:rsid w:val="00432DE0"/>
    <w:rsid w:val="00432EAA"/>
    <w:rsid w:val="00432FC8"/>
    <w:rsid w:val="0043310F"/>
    <w:rsid w:val="0043316E"/>
    <w:rsid w:val="0043321F"/>
    <w:rsid w:val="00433221"/>
    <w:rsid w:val="004332C8"/>
    <w:rsid w:val="004334E1"/>
    <w:rsid w:val="004335C0"/>
    <w:rsid w:val="00433735"/>
    <w:rsid w:val="00433990"/>
    <w:rsid w:val="00433AFC"/>
    <w:rsid w:val="00433C0F"/>
    <w:rsid w:val="00433C4C"/>
    <w:rsid w:val="00433C9E"/>
    <w:rsid w:val="00433CC4"/>
    <w:rsid w:val="00433CEF"/>
    <w:rsid w:val="00433F33"/>
    <w:rsid w:val="00433F85"/>
    <w:rsid w:val="00434060"/>
    <w:rsid w:val="0043421F"/>
    <w:rsid w:val="004342E9"/>
    <w:rsid w:val="00434399"/>
    <w:rsid w:val="00434446"/>
    <w:rsid w:val="0043445C"/>
    <w:rsid w:val="00434642"/>
    <w:rsid w:val="00434814"/>
    <w:rsid w:val="00434BB0"/>
    <w:rsid w:val="00434D29"/>
    <w:rsid w:val="00434E0E"/>
    <w:rsid w:val="0043505F"/>
    <w:rsid w:val="004350E2"/>
    <w:rsid w:val="00435223"/>
    <w:rsid w:val="0043549E"/>
    <w:rsid w:val="0043561C"/>
    <w:rsid w:val="00435666"/>
    <w:rsid w:val="00435721"/>
    <w:rsid w:val="00435793"/>
    <w:rsid w:val="004357C6"/>
    <w:rsid w:val="00435810"/>
    <w:rsid w:val="004358FE"/>
    <w:rsid w:val="0043595B"/>
    <w:rsid w:val="00435A04"/>
    <w:rsid w:val="00435BD2"/>
    <w:rsid w:val="00435D7E"/>
    <w:rsid w:val="00435F40"/>
    <w:rsid w:val="00435FF6"/>
    <w:rsid w:val="0043639E"/>
    <w:rsid w:val="0043640B"/>
    <w:rsid w:val="004364D9"/>
    <w:rsid w:val="00436674"/>
    <w:rsid w:val="00436699"/>
    <w:rsid w:val="004366B6"/>
    <w:rsid w:val="00436705"/>
    <w:rsid w:val="0043670C"/>
    <w:rsid w:val="00436720"/>
    <w:rsid w:val="0043678B"/>
    <w:rsid w:val="00436804"/>
    <w:rsid w:val="0043682A"/>
    <w:rsid w:val="00436945"/>
    <w:rsid w:val="00436AAF"/>
    <w:rsid w:val="00436B48"/>
    <w:rsid w:val="00436E5F"/>
    <w:rsid w:val="00436FC0"/>
    <w:rsid w:val="00437071"/>
    <w:rsid w:val="004370EF"/>
    <w:rsid w:val="004371F1"/>
    <w:rsid w:val="00437215"/>
    <w:rsid w:val="0043722E"/>
    <w:rsid w:val="00437324"/>
    <w:rsid w:val="0043755A"/>
    <w:rsid w:val="004377D5"/>
    <w:rsid w:val="00437823"/>
    <w:rsid w:val="00437872"/>
    <w:rsid w:val="0043788C"/>
    <w:rsid w:val="004378FF"/>
    <w:rsid w:val="0043791E"/>
    <w:rsid w:val="00437ABC"/>
    <w:rsid w:val="00437B00"/>
    <w:rsid w:val="00437BDC"/>
    <w:rsid w:val="00437DA9"/>
    <w:rsid w:val="00437E86"/>
    <w:rsid w:val="00437EBD"/>
    <w:rsid w:val="00440037"/>
    <w:rsid w:val="0044016A"/>
    <w:rsid w:val="0044048A"/>
    <w:rsid w:val="00440502"/>
    <w:rsid w:val="00440559"/>
    <w:rsid w:val="004407D9"/>
    <w:rsid w:val="004409D2"/>
    <w:rsid w:val="00440A0A"/>
    <w:rsid w:val="00440A2A"/>
    <w:rsid w:val="00440A5A"/>
    <w:rsid w:val="00440AE5"/>
    <w:rsid w:val="00440CBE"/>
    <w:rsid w:val="00440CC4"/>
    <w:rsid w:val="00440E6E"/>
    <w:rsid w:val="00440EC1"/>
    <w:rsid w:val="00440FD7"/>
    <w:rsid w:val="00441029"/>
    <w:rsid w:val="00441049"/>
    <w:rsid w:val="004410CD"/>
    <w:rsid w:val="004410F5"/>
    <w:rsid w:val="004410F7"/>
    <w:rsid w:val="00441142"/>
    <w:rsid w:val="0044134D"/>
    <w:rsid w:val="00441396"/>
    <w:rsid w:val="00441426"/>
    <w:rsid w:val="00441540"/>
    <w:rsid w:val="004415B3"/>
    <w:rsid w:val="004416A1"/>
    <w:rsid w:val="00441728"/>
    <w:rsid w:val="00441761"/>
    <w:rsid w:val="00441789"/>
    <w:rsid w:val="00441834"/>
    <w:rsid w:val="00441871"/>
    <w:rsid w:val="004418A3"/>
    <w:rsid w:val="00441971"/>
    <w:rsid w:val="00441B2A"/>
    <w:rsid w:val="00441BB8"/>
    <w:rsid w:val="00441C02"/>
    <w:rsid w:val="00441D24"/>
    <w:rsid w:val="00441DBF"/>
    <w:rsid w:val="00441EA1"/>
    <w:rsid w:val="00441F8E"/>
    <w:rsid w:val="004420AB"/>
    <w:rsid w:val="004420AC"/>
    <w:rsid w:val="004421C4"/>
    <w:rsid w:val="004421F3"/>
    <w:rsid w:val="004421F6"/>
    <w:rsid w:val="00442237"/>
    <w:rsid w:val="004422C8"/>
    <w:rsid w:val="00442330"/>
    <w:rsid w:val="0044258C"/>
    <w:rsid w:val="004425DB"/>
    <w:rsid w:val="00442644"/>
    <w:rsid w:val="004426FD"/>
    <w:rsid w:val="00442713"/>
    <w:rsid w:val="004427A3"/>
    <w:rsid w:val="004427DC"/>
    <w:rsid w:val="004427E6"/>
    <w:rsid w:val="00442828"/>
    <w:rsid w:val="0044298B"/>
    <w:rsid w:val="004429AC"/>
    <w:rsid w:val="00442A11"/>
    <w:rsid w:val="00442ACE"/>
    <w:rsid w:val="00442B3C"/>
    <w:rsid w:val="00442C79"/>
    <w:rsid w:val="00442CA7"/>
    <w:rsid w:val="00442D22"/>
    <w:rsid w:val="00442DBE"/>
    <w:rsid w:val="00442E8F"/>
    <w:rsid w:val="00442F99"/>
    <w:rsid w:val="00442FDA"/>
    <w:rsid w:val="00443029"/>
    <w:rsid w:val="004430CC"/>
    <w:rsid w:val="00443122"/>
    <w:rsid w:val="0044322C"/>
    <w:rsid w:val="00443306"/>
    <w:rsid w:val="004433B4"/>
    <w:rsid w:val="00443542"/>
    <w:rsid w:val="0044363C"/>
    <w:rsid w:val="00443792"/>
    <w:rsid w:val="004438CF"/>
    <w:rsid w:val="004438FA"/>
    <w:rsid w:val="00443906"/>
    <w:rsid w:val="00443996"/>
    <w:rsid w:val="004439F5"/>
    <w:rsid w:val="00443B53"/>
    <w:rsid w:val="00443C2B"/>
    <w:rsid w:val="00443C68"/>
    <w:rsid w:val="00443CB9"/>
    <w:rsid w:val="00443D15"/>
    <w:rsid w:val="00443D70"/>
    <w:rsid w:val="00443D91"/>
    <w:rsid w:val="00443E70"/>
    <w:rsid w:val="00443F0C"/>
    <w:rsid w:val="00444056"/>
    <w:rsid w:val="00444077"/>
    <w:rsid w:val="004440B4"/>
    <w:rsid w:val="004441D5"/>
    <w:rsid w:val="004442A4"/>
    <w:rsid w:val="0044435C"/>
    <w:rsid w:val="004444FF"/>
    <w:rsid w:val="004445AB"/>
    <w:rsid w:val="00444655"/>
    <w:rsid w:val="004446D7"/>
    <w:rsid w:val="0044480B"/>
    <w:rsid w:val="00444850"/>
    <w:rsid w:val="00444918"/>
    <w:rsid w:val="00444935"/>
    <w:rsid w:val="00444997"/>
    <w:rsid w:val="004449F5"/>
    <w:rsid w:val="00444AA3"/>
    <w:rsid w:val="00444AC9"/>
    <w:rsid w:val="00444BE4"/>
    <w:rsid w:val="00444E5C"/>
    <w:rsid w:val="00444F9D"/>
    <w:rsid w:val="00444FEE"/>
    <w:rsid w:val="004452B9"/>
    <w:rsid w:val="004452F5"/>
    <w:rsid w:val="0044534B"/>
    <w:rsid w:val="00445359"/>
    <w:rsid w:val="004453CF"/>
    <w:rsid w:val="004454D0"/>
    <w:rsid w:val="0044560A"/>
    <w:rsid w:val="00445669"/>
    <w:rsid w:val="00445707"/>
    <w:rsid w:val="0044571B"/>
    <w:rsid w:val="004459AB"/>
    <w:rsid w:val="004459F6"/>
    <w:rsid w:val="00445BAE"/>
    <w:rsid w:val="00445C5F"/>
    <w:rsid w:val="00445C86"/>
    <w:rsid w:val="00445DF4"/>
    <w:rsid w:val="00445E1A"/>
    <w:rsid w:val="00445E40"/>
    <w:rsid w:val="00445E74"/>
    <w:rsid w:val="00446085"/>
    <w:rsid w:val="004461A5"/>
    <w:rsid w:val="00446239"/>
    <w:rsid w:val="0044630A"/>
    <w:rsid w:val="0044631F"/>
    <w:rsid w:val="00446582"/>
    <w:rsid w:val="0044659D"/>
    <w:rsid w:val="004465E9"/>
    <w:rsid w:val="004466B1"/>
    <w:rsid w:val="004466BC"/>
    <w:rsid w:val="004466CD"/>
    <w:rsid w:val="004466DC"/>
    <w:rsid w:val="00446760"/>
    <w:rsid w:val="004467D6"/>
    <w:rsid w:val="00446810"/>
    <w:rsid w:val="004468EB"/>
    <w:rsid w:val="004468F5"/>
    <w:rsid w:val="00446A20"/>
    <w:rsid w:val="00446A2A"/>
    <w:rsid w:val="00446BC3"/>
    <w:rsid w:val="00446C0A"/>
    <w:rsid w:val="00446C92"/>
    <w:rsid w:val="00446EFE"/>
    <w:rsid w:val="00447467"/>
    <w:rsid w:val="00447563"/>
    <w:rsid w:val="0044756E"/>
    <w:rsid w:val="0044760A"/>
    <w:rsid w:val="00447645"/>
    <w:rsid w:val="00447671"/>
    <w:rsid w:val="004476A2"/>
    <w:rsid w:val="00447748"/>
    <w:rsid w:val="00447799"/>
    <w:rsid w:val="004477D2"/>
    <w:rsid w:val="00447B04"/>
    <w:rsid w:val="00447B3F"/>
    <w:rsid w:val="00447C8B"/>
    <w:rsid w:val="00447CF3"/>
    <w:rsid w:val="00447D33"/>
    <w:rsid w:val="00447DCD"/>
    <w:rsid w:val="00447E22"/>
    <w:rsid w:val="00447E7C"/>
    <w:rsid w:val="00447EFC"/>
    <w:rsid w:val="0045003A"/>
    <w:rsid w:val="0045016B"/>
    <w:rsid w:val="004501FB"/>
    <w:rsid w:val="00450202"/>
    <w:rsid w:val="0045021A"/>
    <w:rsid w:val="00450477"/>
    <w:rsid w:val="004504CF"/>
    <w:rsid w:val="00450609"/>
    <w:rsid w:val="004507CC"/>
    <w:rsid w:val="004507D4"/>
    <w:rsid w:val="00450853"/>
    <w:rsid w:val="004508B1"/>
    <w:rsid w:val="0045091B"/>
    <w:rsid w:val="00450A04"/>
    <w:rsid w:val="00450A35"/>
    <w:rsid w:val="00450C97"/>
    <w:rsid w:val="00450D77"/>
    <w:rsid w:val="00450DCE"/>
    <w:rsid w:val="00450E08"/>
    <w:rsid w:val="00450EAD"/>
    <w:rsid w:val="00450EB7"/>
    <w:rsid w:val="00450EC9"/>
    <w:rsid w:val="00450FA2"/>
    <w:rsid w:val="00451081"/>
    <w:rsid w:val="00451084"/>
    <w:rsid w:val="004512E3"/>
    <w:rsid w:val="004513DF"/>
    <w:rsid w:val="0045147A"/>
    <w:rsid w:val="004514AE"/>
    <w:rsid w:val="004514CC"/>
    <w:rsid w:val="00451520"/>
    <w:rsid w:val="00451567"/>
    <w:rsid w:val="004516E8"/>
    <w:rsid w:val="00451800"/>
    <w:rsid w:val="004518CC"/>
    <w:rsid w:val="0045198B"/>
    <w:rsid w:val="00451B72"/>
    <w:rsid w:val="00451B99"/>
    <w:rsid w:val="00451BDA"/>
    <w:rsid w:val="00451C89"/>
    <w:rsid w:val="00451F08"/>
    <w:rsid w:val="00451F38"/>
    <w:rsid w:val="00451F71"/>
    <w:rsid w:val="004520DB"/>
    <w:rsid w:val="004521C4"/>
    <w:rsid w:val="004522C0"/>
    <w:rsid w:val="004523A4"/>
    <w:rsid w:val="00452417"/>
    <w:rsid w:val="00452498"/>
    <w:rsid w:val="0045254D"/>
    <w:rsid w:val="00452610"/>
    <w:rsid w:val="0045264D"/>
    <w:rsid w:val="0045269F"/>
    <w:rsid w:val="004526B2"/>
    <w:rsid w:val="004529C4"/>
    <w:rsid w:val="00452A5E"/>
    <w:rsid w:val="00452B89"/>
    <w:rsid w:val="00452C33"/>
    <w:rsid w:val="00452C82"/>
    <w:rsid w:val="00452D98"/>
    <w:rsid w:val="00452DDC"/>
    <w:rsid w:val="0045301C"/>
    <w:rsid w:val="004530E8"/>
    <w:rsid w:val="0045310A"/>
    <w:rsid w:val="00453177"/>
    <w:rsid w:val="004531F9"/>
    <w:rsid w:val="00453301"/>
    <w:rsid w:val="00453463"/>
    <w:rsid w:val="00453571"/>
    <w:rsid w:val="004536BF"/>
    <w:rsid w:val="00453726"/>
    <w:rsid w:val="004538B3"/>
    <w:rsid w:val="0045395F"/>
    <w:rsid w:val="004539D6"/>
    <w:rsid w:val="00453E21"/>
    <w:rsid w:val="00453E2A"/>
    <w:rsid w:val="00453F10"/>
    <w:rsid w:val="00453F60"/>
    <w:rsid w:val="00453F96"/>
    <w:rsid w:val="00454398"/>
    <w:rsid w:val="0045447F"/>
    <w:rsid w:val="004544D1"/>
    <w:rsid w:val="004545A3"/>
    <w:rsid w:val="00454623"/>
    <w:rsid w:val="00454629"/>
    <w:rsid w:val="00454708"/>
    <w:rsid w:val="0045470F"/>
    <w:rsid w:val="0045472F"/>
    <w:rsid w:val="00454734"/>
    <w:rsid w:val="004548FC"/>
    <w:rsid w:val="00454971"/>
    <w:rsid w:val="00454A6F"/>
    <w:rsid w:val="00454A8E"/>
    <w:rsid w:val="00454ACD"/>
    <w:rsid w:val="00454AFE"/>
    <w:rsid w:val="00454B89"/>
    <w:rsid w:val="00454BBE"/>
    <w:rsid w:val="00454BC3"/>
    <w:rsid w:val="00454C28"/>
    <w:rsid w:val="00454C38"/>
    <w:rsid w:val="00454CC5"/>
    <w:rsid w:val="00454CCE"/>
    <w:rsid w:val="00454D6C"/>
    <w:rsid w:val="00454E62"/>
    <w:rsid w:val="00454F0C"/>
    <w:rsid w:val="00455090"/>
    <w:rsid w:val="0045512C"/>
    <w:rsid w:val="004551B6"/>
    <w:rsid w:val="0045521E"/>
    <w:rsid w:val="0045547D"/>
    <w:rsid w:val="004554BC"/>
    <w:rsid w:val="004556C5"/>
    <w:rsid w:val="004556D0"/>
    <w:rsid w:val="0045597F"/>
    <w:rsid w:val="00455B73"/>
    <w:rsid w:val="00455D96"/>
    <w:rsid w:val="00455D99"/>
    <w:rsid w:val="00455DC6"/>
    <w:rsid w:val="00455E3A"/>
    <w:rsid w:val="00455F55"/>
    <w:rsid w:val="0045600B"/>
    <w:rsid w:val="00456023"/>
    <w:rsid w:val="0045622C"/>
    <w:rsid w:val="0045628B"/>
    <w:rsid w:val="004562DB"/>
    <w:rsid w:val="0045630E"/>
    <w:rsid w:val="004563C4"/>
    <w:rsid w:val="00456453"/>
    <w:rsid w:val="00456454"/>
    <w:rsid w:val="00456488"/>
    <w:rsid w:val="004565D1"/>
    <w:rsid w:val="0045663B"/>
    <w:rsid w:val="0045664A"/>
    <w:rsid w:val="004566E3"/>
    <w:rsid w:val="0045673E"/>
    <w:rsid w:val="0045679F"/>
    <w:rsid w:val="00456850"/>
    <w:rsid w:val="00456AE4"/>
    <w:rsid w:val="00456DAE"/>
    <w:rsid w:val="00456F24"/>
    <w:rsid w:val="00456FA4"/>
    <w:rsid w:val="00456FE0"/>
    <w:rsid w:val="0045707A"/>
    <w:rsid w:val="0045711F"/>
    <w:rsid w:val="0045716B"/>
    <w:rsid w:val="00457196"/>
    <w:rsid w:val="00457433"/>
    <w:rsid w:val="004574B3"/>
    <w:rsid w:val="004575CC"/>
    <w:rsid w:val="004575F1"/>
    <w:rsid w:val="00457616"/>
    <w:rsid w:val="00457662"/>
    <w:rsid w:val="004576CA"/>
    <w:rsid w:val="00457732"/>
    <w:rsid w:val="00457754"/>
    <w:rsid w:val="0045783D"/>
    <w:rsid w:val="004578E3"/>
    <w:rsid w:val="0045797E"/>
    <w:rsid w:val="00457ADA"/>
    <w:rsid w:val="00457B05"/>
    <w:rsid w:val="00457BD2"/>
    <w:rsid w:val="00457C0D"/>
    <w:rsid w:val="00457C77"/>
    <w:rsid w:val="00457C8B"/>
    <w:rsid w:val="00457D2F"/>
    <w:rsid w:val="00457DE0"/>
    <w:rsid w:val="00457DFC"/>
    <w:rsid w:val="00457E21"/>
    <w:rsid w:val="00457E28"/>
    <w:rsid w:val="00457E2A"/>
    <w:rsid w:val="00457EBF"/>
    <w:rsid w:val="00457F95"/>
    <w:rsid w:val="00460016"/>
    <w:rsid w:val="0046008F"/>
    <w:rsid w:val="0046018C"/>
    <w:rsid w:val="0046028B"/>
    <w:rsid w:val="00460346"/>
    <w:rsid w:val="00460381"/>
    <w:rsid w:val="004603B3"/>
    <w:rsid w:val="00460482"/>
    <w:rsid w:val="00460569"/>
    <w:rsid w:val="004605B9"/>
    <w:rsid w:val="004605D4"/>
    <w:rsid w:val="004605E3"/>
    <w:rsid w:val="00460669"/>
    <w:rsid w:val="004606A8"/>
    <w:rsid w:val="00460821"/>
    <w:rsid w:val="00460825"/>
    <w:rsid w:val="00460922"/>
    <w:rsid w:val="00460A2F"/>
    <w:rsid w:val="00460A8F"/>
    <w:rsid w:val="00460C2F"/>
    <w:rsid w:val="00460C7E"/>
    <w:rsid w:val="00460DE5"/>
    <w:rsid w:val="00460F14"/>
    <w:rsid w:val="00461033"/>
    <w:rsid w:val="0046106D"/>
    <w:rsid w:val="00461122"/>
    <w:rsid w:val="00461125"/>
    <w:rsid w:val="004611EC"/>
    <w:rsid w:val="00461346"/>
    <w:rsid w:val="0046140D"/>
    <w:rsid w:val="00461514"/>
    <w:rsid w:val="00461521"/>
    <w:rsid w:val="0046155F"/>
    <w:rsid w:val="004615CE"/>
    <w:rsid w:val="004616ED"/>
    <w:rsid w:val="0046172B"/>
    <w:rsid w:val="004617D0"/>
    <w:rsid w:val="004619CE"/>
    <w:rsid w:val="00461B0E"/>
    <w:rsid w:val="00461B12"/>
    <w:rsid w:val="00461BB2"/>
    <w:rsid w:val="00461BE3"/>
    <w:rsid w:val="00461BF6"/>
    <w:rsid w:val="00461C82"/>
    <w:rsid w:val="00461DE7"/>
    <w:rsid w:val="00461E96"/>
    <w:rsid w:val="00461EC6"/>
    <w:rsid w:val="00462183"/>
    <w:rsid w:val="004621B7"/>
    <w:rsid w:val="0046228D"/>
    <w:rsid w:val="004622F9"/>
    <w:rsid w:val="004623C5"/>
    <w:rsid w:val="00462455"/>
    <w:rsid w:val="00462498"/>
    <w:rsid w:val="004624CD"/>
    <w:rsid w:val="00462625"/>
    <w:rsid w:val="0046265B"/>
    <w:rsid w:val="004626B1"/>
    <w:rsid w:val="0046277C"/>
    <w:rsid w:val="004627A9"/>
    <w:rsid w:val="004628CA"/>
    <w:rsid w:val="00462913"/>
    <w:rsid w:val="0046296E"/>
    <w:rsid w:val="004629BF"/>
    <w:rsid w:val="00462AEA"/>
    <w:rsid w:val="00462B66"/>
    <w:rsid w:val="00462D56"/>
    <w:rsid w:val="00462E2C"/>
    <w:rsid w:val="00462F63"/>
    <w:rsid w:val="0046309B"/>
    <w:rsid w:val="004630C0"/>
    <w:rsid w:val="00463155"/>
    <w:rsid w:val="00463247"/>
    <w:rsid w:val="004632AC"/>
    <w:rsid w:val="004633C7"/>
    <w:rsid w:val="004634B1"/>
    <w:rsid w:val="004634FB"/>
    <w:rsid w:val="004635C4"/>
    <w:rsid w:val="004636EC"/>
    <w:rsid w:val="00463755"/>
    <w:rsid w:val="00463817"/>
    <w:rsid w:val="004638AF"/>
    <w:rsid w:val="00463949"/>
    <w:rsid w:val="00463952"/>
    <w:rsid w:val="00463988"/>
    <w:rsid w:val="00463A02"/>
    <w:rsid w:val="00463A33"/>
    <w:rsid w:val="00463A81"/>
    <w:rsid w:val="00463B65"/>
    <w:rsid w:val="00463B6D"/>
    <w:rsid w:val="00463B8C"/>
    <w:rsid w:val="00463CFD"/>
    <w:rsid w:val="00463D79"/>
    <w:rsid w:val="00463D7A"/>
    <w:rsid w:val="00463DD6"/>
    <w:rsid w:val="00463E12"/>
    <w:rsid w:val="004640BE"/>
    <w:rsid w:val="00464213"/>
    <w:rsid w:val="00464243"/>
    <w:rsid w:val="004644E5"/>
    <w:rsid w:val="00464734"/>
    <w:rsid w:val="0046473E"/>
    <w:rsid w:val="004647F8"/>
    <w:rsid w:val="004647FF"/>
    <w:rsid w:val="0046497A"/>
    <w:rsid w:val="00464A9E"/>
    <w:rsid w:val="00464AAD"/>
    <w:rsid w:val="00464B29"/>
    <w:rsid w:val="00464C20"/>
    <w:rsid w:val="00464D26"/>
    <w:rsid w:val="00464EF4"/>
    <w:rsid w:val="0046500A"/>
    <w:rsid w:val="004650A9"/>
    <w:rsid w:val="00465101"/>
    <w:rsid w:val="0046513C"/>
    <w:rsid w:val="00465146"/>
    <w:rsid w:val="00465162"/>
    <w:rsid w:val="0046517B"/>
    <w:rsid w:val="004653BD"/>
    <w:rsid w:val="00465409"/>
    <w:rsid w:val="0046545A"/>
    <w:rsid w:val="0046547B"/>
    <w:rsid w:val="004655C0"/>
    <w:rsid w:val="00465629"/>
    <w:rsid w:val="0046568F"/>
    <w:rsid w:val="004656A0"/>
    <w:rsid w:val="00465713"/>
    <w:rsid w:val="00465744"/>
    <w:rsid w:val="00465845"/>
    <w:rsid w:val="00465A8F"/>
    <w:rsid w:val="00465B12"/>
    <w:rsid w:val="00465B7D"/>
    <w:rsid w:val="00465C8B"/>
    <w:rsid w:val="00465D8C"/>
    <w:rsid w:val="00465EFD"/>
    <w:rsid w:val="00465F51"/>
    <w:rsid w:val="00465F5A"/>
    <w:rsid w:val="0046612A"/>
    <w:rsid w:val="0046615E"/>
    <w:rsid w:val="004661B8"/>
    <w:rsid w:val="004661EB"/>
    <w:rsid w:val="00466252"/>
    <w:rsid w:val="0046626C"/>
    <w:rsid w:val="0046643B"/>
    <w:rsid w:val="00466734"/>
    <w:rsid w:val="0046680A"/>
    <w:rsid w:val="00466AA2"/>
    <w:rsid w:val="00466B6D"/>
    <w:rsid w:val="00466BF3"/>
    <w:rsid w:val="00466C21"/>
    <w:rsid w:val="00466F49"/>
    <w:rsid w:val="00467091"/>
    <w:rsid w:val="004671EA"/>
    <w:rsid w:val="0046723D"/>
    <w:rsid w:val="00467303"/>
    <w:rsid w:val="00467419"/>
    <w:rsid w:val="004674E8"/>
    <w:rsid w:val="004676D6"/>
    <w:rsid w:val="004677C8"/>
    <w:rsid w:val="004677E9"/>
    <w:rsid w:val="00467B01"/>
    <w:rsid w:val="00467B2E"/>
    <w:rsid w:val="00467B8E"/>
    <w:rsid w:val="00467D11"/>
    <w:rsid w:val="00467D6A"/>
    <w:rsid w:val="00467D9F"/>
    <w:rsid w:val="00467E72"/>
    <w:rsid w:val="00467F5A"/>
    <w:rsid w:val="00467FE1"/>
    <w:rsid w:val="0046DBAE"/>
    <w:rsid w:val="00470059"/>
    <w:rsid w:val="0047009E"/>
    <w:rsid w:val="004700CE"/>
    <w:rsid w:val="004700D0"/>
    <w:rsid w:val="00470112"/>
    <w:rsid w:val="004702BA"/>
    <w:rsid w:val="00470328"/>
    <w:rsid w:val="004703DD"/>
    <w:rsid w:val="004703EB"/>
    <w:rsid w:val="004704E7"/>
    <w:rsid w:val="004705EA"/>
    <w:rsid w:val="00470602"/>
    <w:rsid w:val="0047069E"/>
    <w:rsid w:val="00470723"/>
    <w:rsid w:val="00470759"/>
    <w:rsid w:val="00470859"/>
    <w:rsid w:val="004708FE"/>
    <w:rsid w:val="00470C80"/>
    <w:rsid w:val="00470E0E"/>
    <w:rsid w:val="00470E1B"/>
    <w:rsid w:val="00470F31"/>
    <w:rsid w:val="00470F60"/>
    <w:rsid w:val="004710D8"/>
    <w:rsid w:val="0047113C"/>
    <w:rsid w:val="0047134E"/>
    <w:rsid w:val="0047139C"/>
    <w:rsid w:val="00471444"/>
    <w:rsid w:val="00471494"/>
    <w:rsid w:val="004714B2"/>
    <w:rsid w:val="004714BF"/>
    <w:rsid w:val="004716D2"/>
    <w:rsid w:val="004716DF"/>
    <w:rsid w:val="0047182B"/>
    <w:rsid w:val="00471854"/>
    <w:rsid w:val="00471897"/>
    <w:rsid w:val="00471C3E"/>
    <w:rsid w:val="00471DFC"/>
    <w:rsid w:val="00471FCF"/>
    <w:rsid w:val="00471FF9"/>
    <w:rsid w:val="004721E3"/>
    <w:rsid w:val="00472257"/>
    <w:rsid w:val="00472297"/>
    <w:rsid w:val="00472313"/>
    <w:rsid w:val="0047233E"/>
    <w:rsid w:val="00472351"/>
    <w:rsid w:val="00472483"/>
    <w:rsid w:val="004725A1"/>
    <w:rsid w:val="004725CE"/>
    <w:rsid w:val="0047266A"/>
    <w:rsid w:val="004726A4"/>
    <w:rsid w:val="004727AA"/>
    <w:rsid w:val="004727DD"/>
    <w:rsid w:val="0047284B"/>
    <w:rsid w:val="00472870"/>
    <w:rsid w:val="004729D5"/>
    <w:rsid w:val="00472BA9"/>
    <w:rsid w:val="00472CA0"/>
    <w:rsid w:val="00472CB0"/>
    <w:rsid w:val="00472E38"/>
    <w:rsid w:val="00472F0A"/>
    <w:rsid w:val="00472F56"/>
    <w:rsid w:val="00472F85"/>
    <w:rsid w:val="00473015"/>
    <w:rsid w:val="0047339C"/>
    <w:rsid w:val="00473470"/>
    <w:rsid w:val="004736CA"/>
    <w:rsid w:val="0047384D"/>
    <w:rsid w:val="00473879"/>
    <w:rsid w:val="004738D2"/>
    <w:rsid w:val="00473943"/>
    <w:rsid w:val="00473A25"/>
    <w:rsid w:val="00473A94"/>
    <w:rsid w:val="00473ADB"/>
    <w:rsid w:val="00473AEB"/>
    <w:rsid w:val="00473AFA"/>
    <w:rsid w:val="00473B96"/>
    <w:rsid w:val="00473BC5"/>
    <w:rsid w:val="00473C8E"/>
    <w:rsid w:val="00473D2E"/>
    <w:rsid w:val="0047404E"/>
    <w:rsid w:val="0047409B"/>
    <w:rsid w:val="0047414D"/>
    <w:rsid w:val="004741E7"/>
    <w:rsid w:val="00474202"/>
    <w:rsid w:val="00474373"/>
    <w:rsid w:val="00474476"/>
    <w:rsid w:val="00474482"/>
    <w:rsid w:val="00474529"/>
    <w:rsid w:val="004746DD"/>
    <w:rsid w:val="0047473C"/>
    <w:rsid w:val="00474844"/>
    <w:rsid w:val="0047484C"/>
    <w:rsid w:val="004748AB"/>
    <w:rsid w:val="00474970"/>
    <w:rsid w:val="004749B1"/>
    <w:rsid w:val="00474CC1"/>
    <w:rsid w:val="00474D79"/>
    <w:rsid w:val="00474E30"/>
    <w:rsid w:val="004752C2"/>
    <w:rsid w:val="00475359"/>
    <w:rsid w:val="004753E9"/>
    <w:rsid w:val="00475476"/>
    <w:rsid w:val="004754C1"/>
    <w:rsid w:val="004755A2"/>
    <w:rsid w:val="00475602"/>
    <w:rsid w:val="004757BD"/>
    <w:rsid w:val="00475814"/>
    <w:rsid w:val="00475894"/>
    <w:rsid w:val="004759CE"/>
    <w:rsid w:val="00475B73"/>
    <w:rsid w:val="00475BB7"/>
    <w:rsid w:val="00475C56"/>
    <w:rsid w:val="00475D42"/>
    <w:rsid w:val="00475D7F"/>
    <w:rsid w:val="00475D9C"/>
    <w:rsid w:val="00475D9F"/>
    <w:rsid w:val="00476030"/>
    <w:rsid w:val="004760BF"/>
    <w:rsid w:val="004763DB"/>
    <w:rsid w:val="00476455"/>
    <w:rsid w:val="004764AF"/>
    <w:rsid w:val="0047652E"/>
    <w:rsid w:val="0047664C"/>
    <w:rsid w:val="0047666D"/>
    <w:rsid w:val="00476799"/>
    <w:rsid w:val="004768E4"/>
    <w:rsid w:val="0047691C"/>
    <w:rsid w:val="00476973"/>
    <w:rsid w:val="004769B7"/>
    <w:rsid w:val="004769E6"/>
    <w:rsid w:val="00476AAA"/>
    <w:rsid w:val="00476B7F"/>
    <w:rsid w:val="00476C5D"/>
    <w:rsid w:val="00476DE0"/>
    <w:rsid w:val="00476E45"/>
    <w:rsid w:val="00476E9D"/>
    <w:rsid w:val="00476F65"/>
    <w:rsid w:val="00476FB0"/>
    <w:rsid w:val="0047706B"/>
    <w:rsid w:val="004771C4"/>
    <w:rsid w:val="00477403"/>
    <w:rsid w:val="00477476"/>
    <w:rsid w:val="004774E3"/>
    <w:rsid w:val="00477541"/>
    <w:rsid w:val="0047773E"/>
    <w:rsid w:val="004777A3"/>
    <w:rsid w:val="0047790B"/>
    <w:rsid w:val="00477A32"/>
    <w:rsid w:val="00477C47"/>
    <w:rsid w:val="00477C79"/>
    <w:rsid w:val="00477D12"/>
    <w:rsid w:val="00477D4D"/>
    <w:rsid w:val="00477D72"/>
    <w:rsid w:val="00477E44"/>
    <w:rsid w:val="00477F6B"/>
    <w:rsid w:val="00477F6D"/>
    <w:rsid w:val="004800F2"/>
    <w:rsid w:val="00480101"/>
    <w:rsid w:val="004801D9"/>
    <w:rsid w:val="00480387"/>
    <w:rsid w:val="00480473"/>
    <w:rsid w:val="004805C2"/>
    <w:rsid w:val="0048064B"/>
    <w:rsid w:val="00480750"/>
    <w:rsid w:val="004808A4"/>
    <w:rsid w:val="004809F8"/>
    <w:rsid w:val="00480AAD"/>
    <w:rsid w:val="00480AF2"/>
    <w:rsid w:val="00480B39"/>
    <w:rsid w:val="00480D20"/>
    <w:rsid w:val="00480DCC"/>
    <w:rsid w:val="00480EC3"/>
    <w:rsid w:val="00480F1E"/>
    <w:rsid w:val="00481169"/>
    <w:rsid w:val="004811DD"/>
    <w:rsid w:val="00481218"/>
    <w:rsid w:val="00481381"/>
    <w:rsid w:val="004814EE"/>
    <w:rsid w:val="0048152E"/>
    <w:rsid w:val="004815AE"/>
    <w:rsid w:val="0048162E"/>
    <w:rsid w:val="00481733"/>
    <w:rsid w:val="0048179C"/>
    <w:rsid w:val="004817F3"/>
    <w:rsid w:val="004818AC"/>
    <w:rsid w:val="004818AD"/>
    <w:rsid w:val="004818B4"/>
    <w:rsid w:val="004818DC"/>
    <w:rsid w:val="004818F6"/>
    <w:rsid w:val="00481903"/>
    <w:rsid w:val="0048193E"/>
    <w:rsid w:val="004819FC"/>
    <w:rsid w:val="00481A5E"/>
    <w:rsid w:val="00481A77"/>
    <w:rsid w:val="00481C02"/>
    <w:rsid w:val="00481DCA"/>
    <w:rsid w:val="00481E41"/>
    <w:rsid w:val="00481E43"/>
    <w:rsid w:val="00481E6E"/>
    <w:rsid w:val="00481EA9"/>
    <w:rsid w:val="00482058"/>
    <w:rsid w:val="0048207C"/>
    <w:rsid w:val="00482089"/>
    <w:rsid w:val="00482179"/>
    <w:rsid w:val="004821CB"/>
    <w:rsid w:val="004821EB"/>
    <w:rsid w:val="00482228"/>
    <w:rsid w:val="0048250F"/>
    <w:rsid w:val="00482526"/>
    <w:rsid w:val="0048287D"/>
    <w:rsid w:val="004829DE"/>
    <w:rsid w:val="004829E8"/>
    <w:rsid w:val="00482B0B"/>
    <w:rsid w:val="00482B86"/>
    <w:rsid w:val="00482BA0"/>
    <w:rsid w:val="00482BF4"/>
    <w:rsid w:val="00482CAA"/>
    <w:rsid w:val="00482D56"/>
    <w:rsid w:val="00482DAE"/>
    <w:rsid w:val="00482DC9"/>
    <w:rsid w:val="00482DD6"/>
    <w:rsid w:val="00482EA0"/>
    <w:rsid w:val="00482EDD"/>
    <w:rsid w:val="00482F8A"/>
    <w:rsid w:val="004830CA"/>
    <w:rsid w:val="004830E0"/>
    <w:rsid w:val="0048319D"/>
    <w:rsid w:val="004831BF"/>
    <w:rsid w:val="004831CE"/>
    <w:rsid w:val="0048326F"/>
    <w:rsid w:val="004832BC"/>
    <w:rsid w:val="00483321"/>
    <w:rsid w:val="0048337C"/>
    <w:rsid w:val="004833E4"/>
    <w:rsid w:val="004834F3"/>
    <w:rsid w:val="00483656"/>
    <w:rsid w:val="004836B6"/>
    <w:rsid w:val="0048370B"/>
    <w:rsid w:val="0048379F"/>
    <w:rsid w:val="00483830"/>
    <w:rsid w:val="00483831"/>
    <w:rsid w:val="0048387F"/>
    <w:rsid w:val="004838C8"/>
    <w:rsid w:val="00483944"/>
    <w:rsid w:val="0048399C"/>
    <w:rsid w:val="004839AC"/>
    <w:rsid w:val="00483A48"/>
    <w:rsid w:val="00483B89"/>
    <w:rsid w:val="00483DF7"/>
    <w:rsid w:val="00483E72"/>
    <w:rsid w:val="00483F70"/>
    <w:rsid w:val="00484092"/>
    <w:rsid w:val="00484203"/>
    <w:rsid w:val="0048426C"/>
    <w:rsid w:val="004842DC"/>
    <w:rsid w:val="00484375"/>
    <w:rsid w:val="0048444C"/>
    <w:rsid w:val="00484505"/>
    <w:rsid w:val="0048462B"/>
    <w:rsid w:val="00484761"/>
    <w:rsid w:val="00484978"/>
    <w:rsid w:val="00484BEB"/>
    <w:rsid w:val="00484BEF"/>
    <w:rsid w:val="00484BF6"/>
    <w:rsid w:val="00484CCD"/>
    <w:rsid w:val="00484D74"/>
    <w:rsid w:val="00484E66"/>
    <w:rsid w:val="00484F2D"/>
    <w:rsid w:val="00484F9C"/>
    <w:rsid w:val="00484FF9"/>
    <w:rsid w:val="004850EE"/>
    <w:rsid w:val="00485274"/>
    <w:rsid w:val="004855FE"/>
    <w:rsid w:val="0048568A"/>
    <w:rsid w:val="0048573B"/>
    <w:rsid w:val="00485904"/>
    <w:rsid w:val="00485936"/>
    <w:rsid w:val="00485958"/>
    <w:rsid w:val="004859FD"/>
    <w:rsid w:val="00485AA3"/>
    <w:rsid w:val="00485B3D"/>
    <w:rsid w:val="00485BC3"/>
    <w:rsid w:val="00485C76"/>
    <w:rsid w:val="00485D34"/>
    <w:rsid w:val="00485D6A"/>
    <w:rsid w:val="00485EB7"/>
    <w:rsid w:val="00485F22"/>
    <w:rsid w:val="00485FD1"/>
    <w:rsid w:val="00486321"/>
    <w:rsid w:val="00486322"/>
    <w:rsid w:val="00486391"/>
    <w:rsid w:val="00486394"/>
    <w:rsid w:val="00486472"/>
    <w:rsid w:val="004864C3"/>
    <w:rsid w:val="0048669B"/>
    <w:rsid w:val="004866C6"/>
    <w:rsid w:val="00486707"/>
    <w:rsid w:val="004867F9"/>
    <w:rsid w:val="0048681A"/>
    <w:rsid w:val="00486928"/>
    <w:rsid w:val="00486A7B"/>
    <w:rsid w:val="00486BF1"/>
    <w:rsid w:val="00486C39"/>
    <w:rsid w:val="00486C41"/>
    <w:rsid w:val="00486CDA"/>
    <w:rsid w:val="00486CF2"/>
    <w:rsid w:val="00486D3F"/>
    <w:rsid w:val="00486DF8"/>
    <w:rsid w:val="0048719C"/>
    <w:rsid w:val="0048727B"/>
    <w:rsid w:val="00487441"/>
    <w:rsid w:val="004874C2"/>
    <w:rsid w:val="004875B4"/>
    <w:rsid w:val="0048764D"/>
    <w:rsid w:val="00487680"/>
    <w:rsid w:val="0048771B"/>
    <w:rsid w:val="004877C0"/>
    <w:rsid w:val="004877C8"/>
    <w:rsid w:val="004878CC"/>
    <w:rsid w:val="00487BC9"/>
    <w:rsid w:val="00487D02"/>
    <w:rsid w:val="00487D5A"/>
    <w:rsid w:val="00487F28"/>
    <w:rsid w:val="0048FCBF"/>
    <w:rsid w:val="0049003E"/>
    <w:rsid w:val="004900DC"/>
    <w:rsid w:val="0049049D"/>
    <w:rsid w:val="004906DA"/>
    <w:rsid w:val="00490768"/>
    <w:rsid w:val="00490823"/>
    <w:rsid w:val="004908FE"/>
    <w:rsid w:val="0049099F"/>
    <w:rsid w:val="00490A38"/>
    <w:rsid w:val="00490A83"/>
    <w:rsid w:val="00490AD7"/>
    <w:rsid w:val="00490B09"/>
    <w:rsid w:val="00490B21"/>
    <w:rsid w:val="00490BC0"/>
    <w:rsid w:val="00490C17"/>
    <w:rsid w:val="00490C8B"/>
    <w:rsid w:val="00490D52"/>
    <w:rsid w:val="00490D97"/>
    <w:rsid w:val="00490DB2"/>
    <w:rsid w:val="00490DFA"/>
    <w:rsid w:val="00490EE2"/>
    <w:rsid w:val="00491010"/>
    <w:rsid w:val="004910DC"/>
    <w:rsid w:val="00491174"/>
    <w:rsid w:val="0049139E"/>
    <w:rsid w:val="004913BE"/>
    <w:rsid w:val="004913E6"/>
    <w:rsid w:val="00491495"/>
    <w:rsid w:val="00491519"/>
    <w:rsid w:val="0049155D"/>
    <w:rsid w:val="004915F0"/>
    <w:rsid w:val="00491847"/>
    <w:rsid w:val="0049197C"/>
    <w:rsid w:val="00491984"/>
    <w:rsid w:val="00491A1B"/>
    <w:rsid w:val="00491CE4"/>
    <w:rsid w:val="00491D02"/>
    <w:rsid w:val="00491D7D"/>
    <w:rsid w:val="00491FA6"/>
    <w:rsid w:val="004920EC"/>
    <w:rsid w:val="004921AB"/>
    <w:rsid w:val="004922EF"/>
    <w:rsid w:val="00492300"/>
    <w:rsid w:val="00492319"/>
    <w:rsid w:val="00492452"/>
    <w:rsid w:val="0049258D"/>
    <w:rsid w:val="0049263C"/>
    <w:rsid w:val="004926DE"/>
    <w:rsid w:val="004926FF"/>
    <w:rsid w:val="00492776"/>
    <w:rsid w:val="004927C8"/>
    <w:rsid w:val="0049288F"/>
    <w:rsid w:val="004928BF"/>
    <w:rsid w:val="004928EB"/>
    <w:rsid w:val="00492915"/>
    <w:rsid w:val="00492919"/>
    <w:rsid w:val="00492943"/>
    <w:rsid w:val="00492995"/>
    <w:rsid w:val="004929B5"/>
    <w:rsid w:val="004929CA"/>
    <w:rsid w:val="00492B95"/>
    <w:rsid w:val="00492BB8"/>
    <w:rsid w:val="00492CFB"/>
    <w:rsid w:val="00492ED0"/>
    <w:rsid w:val="00492F94"/>
    <w:rsid w:val="00492FAC"/>
    <w:rsid w:val="00492FDC"/>
    <w:rsid w:val="00493192"/>
    <w:rsid w:val="0049343A"/>
    <w:rsid w:val="004934DE"/>
    <w:rsid w:val="004935E4"/>
    <w:rsid w:val="004938E7"/>
    <w:rsid w:val="004939A1"/>
    <w:rsid w:val="004939AA"/>
    <w:rsid w:val="00493AFB"/>
    <w:rsid w:val="00493B3B"/>
    <w:rsid w:val="00493C21"/>
    <w:rsid w:val="00493CA0"/>
    <w:rsid w:val="00493CE2"/>
    <w:rsid w:val="00493DB6"/>
    <w:rsid w:val="00493E34"/>
    <w:rsid w:val="00493FD9"/>
    <w:rsid w:val="00494196"/>
    <w:rsid w:val="004941C3"/>
    <w:rsid w:val="0049428C"/>
    <w:rsid w:val="004942B2"/>
    <w:rsid w:val="0049448E"/>
    <w:rsid w:val="004944EB"/>
    <w:rsid w:val="0049465D"/>
    <w:rsid w:val="00494775"/>
    <w:rsid w:val="0049477D"/>
    <w:rsid w:val="0049482C"/>
    <w:rsid w:val="004949AF"/>
    <w:rsid w:val="004949CB"/>
    <w:rsid w:val="004949EB"/>
    <w:rsid w:val="00494A42"/>
    <w:rsid w:val="00494A51"/>
    <w:rsid w:val="00494AF4"/>
    <w:rsid w:val="00494D82"/>
    <w:rsid w:val="00494DF1"/>
    <w:rsid w:val="00494F09"/>
    <w:rsid w:val="00494FEF"/>
    <w:rsid w:val="004950B3"/>
    <w:rsid w:val="00495105"/>
    <w:rsid w:val="0049514F"/>
    <w:rsid w:val="00495200"/>
    <w:rsid w:val="0049527E"/>
    <w:rsid w:val="004952C7"/>
    <w:rsid w:val="004952CC"/>
    <w:rsid w:val="00495363"/>
    <w:rsid w:val="004954F6"/>
    <w:rsid w:val="004955F1"/>
    <w:rsid w:val="0049565B"/>
    <w:rsid w:val="0049569E"/>
    <w:rsid w:val="0049576A"/>
    <w:rsid w:val="004957D5"/>
    <w:rsid w:val="00495848"/>
    <w:rsid w:val="004958F2"/>
    <w:rsid w:val="00495ACB"/>
    <w:rsid w:val="00495AD5"/>
    <w:rsid w:val="00495BC5"/>
    <w:rsid w:val="00495C03"/>
    <w:rsid w:val="00495EB1"/>
    <w:rsid w:val="00495F8E"/>
    <w:rsid w:val="00495FF9"/>
    <w:rsid w:val="00496094"/>
    <w:rsid w:val="004960A7"/>
    <w:rsid w:val="00496132"/>
    <w:rsid w:val="00496218"/>
    <w:rsid w:val="00496263"/>
    <w:rsid w:val="004962E7"/>
    <w:rsid w:val="004963DC"/>
    <w:rsid w:val="004963F1"/>
    <w:rsid w:val="00496455"/>
    <w:rsid w:val="0049646F"/>
    <w:rsid w:val="0049664A"/>
    <w:rsid w:val="004966F8"/>
    <w:rsid w:val="00496743"/>
    <w:rsid w:val="004968CC"/>
    <w:rsid w:val="00496997"/>
    <w:rsid w:val="00496A18"/>
    <w:rsid w:val="00496B78"/>
    <w:rsid w:val="00496BD8"/>
    <w:rsid w:val="00496BE6"/>
    <w:rsid w:val="00496CEF"/>
    <w:rsid w:val="00496E09"/>
    <w:rsid w:val="00496E1E"/>
    <w:rsid w:val="00496E4C"/>
    <w:rsid w:val="00496EA0"/>
    <w:rsid w:val="00496F37"/>
    <w:rsid w:val="00496FE9"/>
    <w:rsid w:val="0049704E"/>
    <w:rsid w:val="0049709C"/>
    <w:rsid w:val="00497218"/>
    <w:rsid w:val="0049747E"/>
    <w:rsid w:val="004976CF"/>
    <w:rsid w:val="0049773D"/>
    <w:rsid w:val="00497893"/>
    <w:rsid w:val="0049791F"/>
    <w:rsid w:val="00497976"/>
    <w:rsid w:val="004979F4"/>
    <w:rsid w:val="00497A40"/>
    <w:rsid w:val="00497AE0"/>
    <w:rsid w:val="00497C08"/>
    <w:rsid w:val="00497C61"/>
    <w:rsid w:val="00497C76"/>
    <w:rsid w:val="00497CF7"/>
    <w:rsid w:val="00497D2C"/>
    <w:rsid w:val="00497E00"/>
    <w:rsid w:val="00497EF2"/>
    <w:rsid w:val="00497FDE"/>
    <w:rsid w:val="004A0066"/>
    <w:rsid w:val="004A00BC"/>
    <w:rsid w:val="004A00F4"/>
    <w:rsid w:val="004A010B"/>
    <w:rsid w:val="004A01ED"/>
    <w:rsid w:val="004A01EF"/>
    <w:rsid w:val="004A038C"/>
    <w:rsid w:val="004A039E"/>
    <w:rsid w:val="004A05C1"/>
    <w:rsid w:val="004A068A"/>
    <w:rsid w:val="004A06F3"/>
    <w:rsid w:val="004A077D"/>
    <w:rsid w:val="004A07DB"/>
    <w:rsid w:val="004A0915"/>
    <w:rsid w:val="004A0930"/>
    <w:rsid w:val="004A0945"/>
    <w:rsid w:val="004A098C"/>
    <w:rsid w:val="004A0A06"/>
    <w:rsid w:val="004A0A83"/>
    <w:rsid w:val="004A0C3F"/>
    <w:rsid w:val="004A0CCE"/>
    <w:rsid w:val="004A0DB8"/>
    <w:rsid w:val="004A0DC2"/>
    <w:rsid w:val="004A0DCB"/>
    <w:rsid w:val="004A0DD5"/>
    <w:rsid w:val="004A0E56"/>
    <w:rsid w:val="004A0E91"/>
    <w:rsid w:val="004A0F01"/>
    <w:rsid w:val="004A0F04"/>
    <w:rsid w:val="004A0F43"/>
    <w:rsid w:val="004A0FD5"/>
    <w:rsid w:val="004A101D"/>
    <w:rsid w:val="004A1091"/>
    <w:rsid w:val="004A1170"/>
    <w:rsid w:val="004A11B3"/>
    <w:rsid w:val="004A132E"/>
    <w:rsid w:val="004A1380"/>
    <w:rsid w:val="004A1490"/>
    <w:rsid w:val="004A14C4"/>
    <w:rsid w:val="004A150F"/>
    <w:rsid w:val="004A1675"/>
    <w:rsid w:val="004A16FD"/>
    <w:rsid w:val="004A17AD"/>
    <w:rsid w:val="004A1836"/>
    <w:rsid w:val="004A1A6E"/>
    <w:rsid w:val="004A1A84"/>
    <w:rsid w:val="004A1B52"/>
    <w:rsid w:val="004A1B54"/>
    <w:rsid w:val="004A1D05"/>
    <w:rsid w:val="004A1D1C"/>
    <w:rsid w:val="004A1DDE"/>
    <w:rsid w:val="004A1DE0"/>
    <w:rsid w:val="004A1F07"/>
    <w:rsid w:val="004A1FEE"/>
    <w:rsid w:val="004A1FF0"/>
    <w:rsid w:val="004A2087"/>
    <w:rsid w:val="004A21FF"/>
    <w:rsid w:val="004A232D"/>
    <w:rsid w:val="004A237F"/>
    <w:rsid w:val="004A23C1"/>
    <w:rsid w:val="004A23CA"/>
    <w:rsid w:val="004A23D9"/>
    <w:rsid w:val="004A2420"/>
    <w:rsid w:val="004A283D"/>
    <w:rsid w:val="004A2925"/>
    <w:rsid w:val="004A2A0C"/>
    <w:rsid w:val="004A2AD2"/>
    <w:rsid w:val="004A2B58"/>
    <w:rsid w:val="004A2BD0"/>
    <w:rsid w:val="004A2C07"/>
    <w:rsid w:val="004A2CBB"/>
    <w:rsid w:val="004A2CE2"/>
    <w:rsid w:val="004A2DD5"/>
    <w:rsid w:val="004A3202"/>
    <w:rsid w:val="004A3228"/>
    <w:rsid w:val="004A32A2"/>
    <w:rsid w:val="004A3357"/>
    <w:rsid w:val="004A3366"/>
    <w:rsid w:val="004A3492"/>
    <w:rsid w:val="004A34C9"/>
    <w:rsid w:val="004A3573"/>
    <w:rsid w:val="004A35CC"/>
    <w:rsid w:val="004A35E0"/>
    <w:rsid w:val="004A35E4"/>
    <w:rsid w:val="004A3626"/>
    <w:rsid w:val="004A3643"/>
    <w:rsid w:val="004A3664"/>
    <w:rsid w:val="004A36A5"/>
    <w:rsid w:val="004A36B2"/>
    <w:rsid w:val="004A37B0"/>
    <w:rsid w:val="004A37C1"/>
    <w:rsid w:val="004A38FB"/>
    <w:rsid w:val="004A39D1"/>
    <w:rsid w:val="004A3A54"/>
    <w:rsid w:val="004A3ACF"/>
    <w:rsid w:val="004A3EE0"/>
    <w:rsid w:val="004A3EED"/>
    <w:rsid w:val="004A3F54"/>
    <w:rsid w:val="004A4051"/>
    <w:rsid w:val="004A40DB"/>
    <w:rsid w:val="004A4106"/>
    <w:rsid w:val="004A413C"/>
    <w:rsid w:val="004A4175"/>
    <w:rsid w:val="004A41B7"/>
    <w:rsid w:val="004A41DF"/>
    <w:rsid w:val="004A41F0"/>
    <w:rsid w:val="004A4254"/>
    <w:rsid w:val="004A42B8"/>
    <w:rsid w:val="004A42E0"/>
    <w:rsid w:val="004A437B"/>
    <w:rsid w:val="004A4409"/>
    <w:rsid w:val="004A4418"/>
    <w:rsid w:val="004A47A0"/>
    <w:rsid w:val="004A48D7"/>
    <w:rsid w:val="004A497F"/>
    <w:rsid w:val="004A4A23"/>
    <w:rsid w:val="004A4A77"/>
    <w:rsid w:val="004A4AA7"/>
    <w:rsid w:val="004A4AB4"/>
    <w:rsid w:val="004A4C9D"/>
    <w:rsid w:val="004A4CAA"/>
    <w:rsid w:val="004A4D2D"/>
    <w:rsid w:val="004A4D5F"/>
    <w:rsid w:val="004A4F17"/>
    <w:rsid w:val="004A4FE8"/>
    <w:rsid w:val="004A5146"/>
    <w:rsid w:val="004A5191"/>
    <w:rsid w:val="004A52CD"/>
    <w:rsid w:val="004A53A1"/>
    <w:rsid w:val="004A53A5"/>
    <w:rsid w:val="004A552C"/>
    <w:rsid w:val="004A5643"/>
    <w:rsid w:val="004A58A0"/>
    <w:rsid w:val="004A5953"/>
    <w:rsid w:val="004A5A76"/>
    <w:rsid w:val="004A5AA5"/>
    <w:rsid w:val="004A5B1F"/>
    <w:rsid w:val="004A5C17"/>
    <w:rsid w:val="004A5D3D"/>
    <w:rsid w:val="004A5ED4"/>
    <w:rsid w:val="004A6097"/>
    <w:rsid w:val="004A60C0"/>
    <w:rsid w:val="004A6199"/>
    <w:rsid w:val="004A61F8"/>
    <w:rsid w:val="004A6272"/>
    <w:rsid w:val="004A631B"/>
    <w:rsid w:val="004A63A7"/>
    <w:rsid w:val="004A6449"/>
    <w:rsid w:val="004A6482"/>
    <w:rsid w:val="004A64BA"/>
    <w:rsid w:val="004A68AF"/>
    <w:rsid w:val="004A68CE"/>
    <w:rsid w:val="004A6B6D"/>
    <w:rsid w:val="004A6BEC"/>
    <w:rsid w:val="004A6CEC"/>
    <w:rsid w:val="004A6DA0"/>
    <w:rsid w:val="004A6DF0"/>
    <w:rsid w:val="004A6E30"/>
    <w:rsid w:val="004A6EA8"/>
    <w:rsid w:val="004A6F95"/>
    <w:rsid w:val="004A7050"/>
    <w:rsid w:val="004A70E0"/>
    <w:rsid w:val="004A716B"/>
    <w:rsid w:val="004A71C3"/>
    <w:rsid w:val="004A735C"/>
    <w:rsid w:val="004A7586"/>
    <w:rsid w:val="004A75D1"/>
    <w:rsid w:val="004A75F3"/>
    <w:rsid w:val="004A7656"/>
    <w:rsid w:val="004A7676"/>
    <w:rsid w:val="004A773F"/>
    <w:rsid w:val="004A785B"/>
    <w:rsid w:val="004A787E"/>
    <w:rsid w:val="004A788D"/>
    <w:rsid w:val="004A7A0B"/>
    <w:rsid w:val="004A7A9C"/>
    <w:rsid w:val="004A7B08"/>
    <w:rsid w:val="004A7CFB"/>
    <w:rsid w:val="004A7DDF"/>
    <w:rsid w:val="004A7E7F"/>
    <w:rsid w:val="004B0047"/>
    <w:rsid w:val="004B00F6"/>
    <w:rsid w:val="004B01E3"/>
    <w:rsid w:val="004B01E8"/>
    <w:rsid w:val="004B0284"/>
    <w:rsid w:val="004B0408"/>
    <w:rsid w:val="004B0702"/>
    <w:rsid w:val="004B070F"/>
    <w:rsid w:val="004B077E"/>
    <w:rsid w:val="004B07A4"/>
    <w:rsid w:val="004B07BE"/>
    <w:rsid w:val="004B080B"/>
    <w:rsid w:val="004B0AA0"/>
    <w:rsid w:val="004B0ABA"/>
    <w:rsid w:val="004B0B0E"/>
    <w:rsid w:val="004B0B76"/>
    <w:rsid w:val="004B0C33"/>
    <w:rsid w:val="004B0D05"/>
    <w:rsid w:val="004B0D6B"/>
    <w:rsid w:val="004B0D89"/>
    <w:rsid w:val="004B0DFC"/>
    <w:rsid w:val="004B0F76"/>
    <w:rsid w:val="004B0F8E"/>
    <w:rsid w:val="004B0FAF"/>
    <w:rsid w:val="004B118B"/>
    <w:rsid w:val="004B11B0"/>
    <w:rsid w:val="004B11FF"/>
    <w:rsid w:val="004B14E4"/>
    <w:rsid w:val="004B1601"/>
    <w:rsid w:val="004B173A"/>
    <w:rsid w:val="004B1749"/>
    <w:rsid w:val="004B1772"/>
    <w:rsid w:val="004B177C"/>
    <w:rsid w:val="004B1790"/>
    <w:rsid w:val="004B17A9"/>
    <w:rsid w:val="004B1816"/>
    <w:rsid w:val="004B18F5"/>
    <w:rsid w:val="004B1A46"/>
    <w:rsid w:val="004B1A66"/>
    <w:rsid w:val="004B1B0B"/>
    <w:rsid w:val="004B1B44"/>
    <w:rsid w:val="004B1B5E"/>
    <w:rsid w:val="004B1BD7"/>
    <w:rsid w:val="004B1C4C"/>
    <w:rsid w:val="004B1D47"/>
    <w:rsid w:val="004B1D78"/>
    <w:rsid w:val="004B1E03"/>
    <w:rsid w:val="004B1F83"/>
    <w:rsid w:val="004B1F99"/>
    <w:rsid w:val="004B2042"/>
    <w:rsid w:val="004B2067"/>
    <w:rsid w:val="004B216B"/>
    <w:rsid w:val="004B23AF"/>
    <w:rsid w:val="004B24E6"/>
    <w:rsid w:val="004B24F4"/>
    <w:rsid w:val="004B2572"/>
    <w:rsid w:val="004B280F"/>
    <w:rsid w:val="004B294A"/>
    <w:rsid w:val="004B2A1A"/>
    <w:rsid w:val="004B2ADC"/>
    <w:rsid w:val="004B2B3A"/>
    <w:rsid w:val="004B2C25"/>
    <w:rsid w:val="004B2D6D"/>
    <w:rsid w:val="004B2D91"/>
    <w:rsid w:val="004B2E36"/>
    <w:rsid w:val="004B2EA0"/>
    <w:rsid w:val="004B2F47"/>
    <w:rsid w:val="004B2FBF"/>
    <w:rsid w:val="004B30F4"/>
    <w:rsid w:val="004B317A"/>
    <w:rsid w:val="004B31F8"/>
    <w:rsid w:val="004B31FD"/>
    <w:rsid w:val="004B3202"/>
    <w:rsid w:val="004B3234"/>
    <w:rsid w:val="004B3384"/>
    <w:rsid w:val="004B34DA"/>
    <w:rsid w:val="004B3546"/>
    <w:rsid w:val="004B35B0"/>
    <w:rsid w:val="004B35F1"/>
    <w:rsid w:val="004B367C"/>
    <w:rsid w:val="004B387D"/>
    <w:rsid w:val="004B38D6"/>
    <w:rsid w:val="004B39BA"/>
    <w:rsid w:val="004B3A4C"/>
    <w:rsid w:val="004B3A9D"/>
    <w:rsid w:val="004B3CD5"/>
    <w:rsid w:val="004B3D42"/>
    <w:rsid w:val="004B3E65"/>
    <w:rsid w:val="004B4178"/>
    <w:rsid w:val="004B430A"/>
    <w:rsid w:val="004B430B"/>
    <w:rsid w:val="004B4391"/>
    <w:rsid w:val="004B45C5"/>
    <w:rsid w:val="004B46E6"/>
    <w:rsid w:val="004B4724"/>
    <w:rsid w:val="004B4804"/>
    <w:rsid w:val="004B496E"/>
    <w:rsid w:val="004B4994"/>
    <w:rsid w:val="004B4AB0"/>
    <w:rsid w:val="004B4ABD"/>
    <w:rsid w:val="004B4C35"/>
    <w:rsid w:val="004B4DA0"/>
    <w:rsid w:val="004B4E7E"/>
    <w:rsid w:val="004B4EDB"/>
    <w:rsid w:val="004B5037"/>
    <w:rsid w:val="004B515F"/>
    <w:rsid w:val="004B51C5"/>
    <w:rsid w:val="004B51CD"/>
    <w:rsid w:val="004B52E8"/>
    <w:rsid w:val="004B53FD"/>
    <w:rsid w:val="004B5448"/>
    <w:rsid w:val="004B5449"/>
    <w:rsid w:val="004B54A2"/>
    <w:rsid w:val="004B5598"/>
    <w:rsid w:val="004B55F8"/>
    <w:rsid w:val="004B566B"/>
    <w:rsid w:val="004B56CB"/>
    <w:rsid w:val="004B56F9"/>
    <w:rsid w:val="004B5715"/>
    <w:rsid w:val="004B5739"/>
    <w:rsid w:val="004B5743"/>
    <w:rsid w:val="004B5A6F"/>
    <w:rsid w:val="004B5B15"/>
    <w:rsid w:val="004B5B50"/>
    <w:rsid w:val="004B5BD3"/>
    <w:rsid w:val="004B5C81"/>
    <w:rsid w:val="004B5D18"/>
    <w:rsid w:val="004B5EC5"/>
    <w:rsid w:val="004B5F4A"/>
    <w:rsid w:val="004B60A1"/>
    <w:rsid w:val="004B60A2"/>
    <w:rsid w:val="004B6112"/>
    <w:rsid w:val="004B621A"/>
    <w:rsid w:val="004B621F"/>
    <w:rsid w:val="004B62E6"/>
    <w:rsid w:val="004B6429"/>
    <w:rsid w:val="004B646F"/>
    <w:rsid w:val="004B64D1"/>
    <w:rsid w:val="004B668F"/>
    <w:rsid w:val="004B6728"/>
    <w:rsid w:val="004B6773"/>
    <w:rsid w:val="004B67D3"/>
    <w:rsid w:val="004B6A46"/>
    <w:rsid w:val="004B6A72"/>
    <w:rsid w:val="004B6AF0"/>
    <w:rsid w:val="004B6BB9"/>
    <w:rsid w:val="004B6BE2"/>
    <w:rsid w:val="004B6C8F"/>
    <w:rsid w:val="004B6CB4"/>
    <w:rsid w:val="004B6DE5"/>
    <w:rsid w:val="004B6F77"/>
    <w:rsid w:val="004B6FFE"/>
    <w:rsid w:val="004B7081"/>
    <w:rsid w:val="004B70B9"/>
    <w:rsid w:val="004B711B"/>
    <w:rsid w:val="004B713E"/>
    <w:rsid w:val="004B713F"/>
    <w:rsid w:val="004B7146"/>
    <w:rsid w:val="004B7171"/>
    <w:rsid w:val="004B72B6"/>
    <w:rsid w:val="004B73A0"/>
    <w:rsid w:val="004B7537"/>
    <w:rsid w:val="004B755E"/>
    <w:rsid w:val="004B75DF"/>
    <w:rsid w:val="004B762C"/>
    <w:rsid w:val="004B7648"/>
    <w:rsid w:val="004B78C7"/>
    <w:rsid w:val="004B79FF"/>
    <w:rsid w:val="004B7AA0"/>
    <w:rsid w:val="004B7B47"/>
    <w:rsid w:val="004B7BD3"/>
    <w:rsid w:val="004B7C05"/>
    <w:rsid w:val="004B7C6D"/>
    <w:rsid w:val="004B7CD2"/>
    <w:rsid w:val="004B7E09"/>
    <w:rsid w:val="004B7E77"/>
    <w:rsid w:val="004B7E7A"/>
    <w:rsid w:val="004B7E9E"/>
    <w:rsid w:val="004BAF88"/>
    <w:rsid w:val="004C01EC"/>
    <w:rsid w:val="004C01FB"/>
    <w:rsid w:val="004C025B"/>
    <w:rsid w:val="004C02E9"/>
    <w:rsid w:val="004C0330"/>
    <w:rsid w:val="004C03A1"/>
    <w:rsid w:val="004C0499"/>
    <w:rsid w:val="004C05AD"/>
    <w:rsid w:val="004C0697"/>
    <w:rsid w:val="004C06E3"/>
    <w:rsid w:val="004C07B2"/>
    <w:rsid w:val="004C0A0C"/>
    <w:rsid w:val="004C0A14"/>
    <w:rsid w:val="004C0A44"/>
    <w:rsid w:val="004C0B24"/>
    <w:rsid w:val="004C0B70"/>
    <w:rsid w:val="004C0BB9"/>
    <w:rsid w:val="004C0BC6"/>
    <w:rsid w:val="004C0CC5"/>
    <w:rsid w:val="004C0D06"/>
    <w:rsid w:val="004C0D75"/>
    <w:rsid w:val="004C0DB9"/>
    <w:rsid w:val="004C0E6B"/>
    <w:rsid w:val="004C0E7B"/>
    <w:rsid w:val="004C0FBE"/>
    <w:rsid w:val="004C1073"/>
    <w:rsid w:val="004C10C9"/>
    <w:rsid w:val="004C117E"/>
    <w:rsid w:val="004C12B4"/>
    <w:rsid w:val="004C14BB"/>
    <w:rsid w:val="004C1580"/>
    <w:rsid w:val="004C16BA"/>
    <w:rsid w:val="004C1942"/>
    <w:rsid w:val="004C1A17"/>
    <w:rsid w:val="004C1A7E"/>
    <w:rsid w:val="004C1B2D"/>
    <w:rsid w:val="004C1BF6"/>
    <w:rsid w:val="004C1C02"/>
    <w:rsid w:val="004C1C78"/>
    <w:rsid w:val="004C1C96"/>
    <w:rsid w:val="004C20D5"/>
    <w:rsid w:val="004C21EF"/>
    <w:rsid w:val="004C2257"/>
    <w:rsid w:val="004C2271"/>
    <w:rsid w:val="004C2288"/>
    <w:rsid w:val="004C22D1"/>
    <w:rsid w:val="004C22EE"/>
    <w:rsid w:val="004C2314"/>
    <w:rsid w:val="004C23C8"/>
    <w:rsid w:val="004C2545"/>
    <w:rsid w:val="004C2569"/>
    <w:rsid w:val="004C261D"/>
    <w:rsid w:val="004C2681"/>
    <w:rsid w:val="004C2696"/>
    <w:rsid w:val="004C289A"/>
    <w:rsid w:val="004C2961"/>
    <w:rsid w:val="004C2A7E"/>
    <w:rsid w:val="004C2AA4"/>
    <w:rsid w:val="004C2B56"/>
    <w:rsid w:val="004C2BE8"/>
    <w:rsid w:val="004C2C47"/>
    <w:rsid w:val="004C2C54"/>
    <w:rsid w:val="004C2CE6"/>
    <w:rsid w:val="004C2CF6"/>
    <w:rsid w:val="004C2D0A"/>
    <w:rsid w:val="004C2D8E"/>
    <w:rsid w:val="004C2E0B"/>
    <w:rsid w:val="004C3095"/>
    <w:rsid w:val="004C3197"/>
    <w:rsid w:val="004C31E5"/>
    <w:rsid w:val="004C3342"/>
    <w:rsid w:val="004C3376"/>
    <w:rsid w:val="004C33D0"/>
    <w:rsid w:val="004C35A9"/>
    <w:rsid w:val="004C376E"/>
    <w:rsid w:val="004C37A2"/>
    <w:rsid w:val="004C37F7"/>
    <w:rsid w:val="004C3941"/>
    <w:rsid w:val="004C3DB9"/>
    <w:rsid w:val="004C3DBE"/>
    <w:rsid w:val="004C3E57"/>
    <w:rsid w:val="004C3FE0"/>
    <w:rsid w:val="004C4012"/>
    <w:rsid w:val="004C4027"/>
    <w:rsid w:val="004C4046"/>
    <w:rsid w:val="004C4195"/>
    <w:rsid w:val="004C4259"/>
    <w:rsid w:val="004C4288"/>
    <w:rsid w:val="004C4425"/>
    <w:rsid w:val="004C4597"/>
    <w:rsid w:val="004C45B5"/>
    <w:rsid w:val="004C4625"/>
    <w:rsid w:val="004C47CD"/>
    <w:rsid w:val="004C492F"/>
    <w:rsid w:val="004C4934"/>
    <w:rsid w:val="004C49E6"/>
    <w:rsid w:val="004C4A90"/>
    <w:rsid w:val="004C4B79"/>
    <w:rsid w:val="004C4B87"/>
    <w:rsid w:val="004C4BAB"/>
    <w:rsid w:val="004C4C3B"/>
    <w:rsid w:val="004C4CE2"/>
    <w:rsid w:val="004C4D78"/>
    <w:rsid w:val="004C4F0B"/>
    <w:rsid w:val="004C4FB2"/>
    <w:rsid w:val="004C50E7"/>
    <w:rsid w:val="004C52AC"/>
    <w:rsid w:val="004C52D3"/>
    <w:rsid w:val="004C533F"/>
    <w:rsid w:val="004C537F"/>
    <w:rsid w:val="004C5449"/>
    <w:rsid w:val="004C56B2"/>
    <w:rsid w:val="004C5755"/>
    <w:rsid w:val="004C57A6"/>
    <w:rsid w:val="004C5912"/>
    <w:rsid w:val="004C5942"/>
    <w:rsid w:val="004C59D2"/>
    <w:rsid w:val="004C5B9F"/>
    <w:rsid w:val="004C5CA5"/>
    <w:rsid w:val="004C5CBA"/>
    <w:rsid w:val="004C5CF5"/>
    <w:rsid w:val="004C5D1B"/>
    <w:rsid w:val="004C5DF8"/>
    <w:rsid w:val="004C5EC3"/>
    <w:rsid w:val="004C5F03"/>
    <w:rsid w:val="004C5FCC"/>
    <w:rsid w:val="004C6037"/>
    <w:rsid w:val="004C60BF"/>
    <w:rsid w:val="004C647A"/>
    <w:rsid w:val="004C6534"/>
    <w:rsid w:val="004C6543"/>
    <w:rsid w:val="004C657C"/>
    <w:rsid w:val="004C6591"/>
    <w:rsid w:val="004C6617"/>
    <w:rsid w:val="004C663F"/>
    <w:rsid w:val="004C666A"/>
    <w:rsid w:val="004C67C2"/>
    <w:rsid w:val="004C6851"/>
    <w:rsid w:val="004C686A"/>
    <w:rsid w:val="004C68ED"/>
    <w:rsid w:val="004C6BF8"/>
    <w:rsid w:val="004C6CF2"/>
    <w:rsid w:val="004C6DC4"/>
    <w:rsid w:val="004C6F30"/>
    <w:rsid w:val="004C702E"/>
    <w:rsid w:val="004C7198"/>
    <w:rsid w:val="004C7311"/>
    <w:rsid w:val="004C736D"/>
    <w:rsid w:val="004C73C5"/>
    <w:rsid w:val="004C73D3"/>
    <w:rsid w:val="004C7410"/>
    <w:rsid w:val="004C7562"/>
    <w:rsid w:val="004C7590"/>
    <w:rsid w:val="004C7653"/>
    <w:rsid w:val="004C7781"/>
    <w:rsid w:val="004C77BE"/>
    <w:rsid w:val="004C7812"/>
    <w:rsid w:val="004C7878"/>
    <w:rsid w:val="004C79A4"/>
    <w:rsid w:val="004C79AF"/>
    <w:rsid w:val="004C79EB"/>
    <w:rsid w:val="004C7A4F"/>
    <w:rsid w:val="004C7BC2"/>
    <w:rsid w:val="004C7BE7"/>
    <w:rsid w:val="004C7C32"/>
    <w:rsid w:val="004C7C53"/>
    <w:rsid w:val="004C7C65"/>
    <w:rsid w:val="004C7D1B"/>
    <w:rsid w:val="004C7DD9"/>
    <w:rsid w:val="004C7F58"/>
    <w:rsid w:val="004D0067"/>
    <w:rsid w:val="004D00F6"/>
    <w:rsid w:val="004D0237"/>
    <w:rsid w:val="004D0328"/>
    <w:rsid w:val="004D0359"/>
    <w:rsid w:val="004D0386"/>
    <w:rsid w:val="004D0456"/>
    <w:rsid w:val="004D04A8"/>
    <w:rsid w:val="004D05B1"/>
    <w:rsid w:val="004D0674"/>
    <w:rsid w:val="004D0792"/>
    <w:rsid w:val="004D0829"/>
    <w:rsid w:val="004D085E"/>
    <w:rsid w:val="004D0940"/>
    <w:rsid w:val="004D0A07"/>
    <w:rsid w:val="004D0A0C"/>
    <w:rsid w:val="004D0A88"/>
    <w:rsid w:val="004D0C42"/>
    <w:rsid w:val="004D0D64"/>
    <w:rsid w:val="004D0E94"/>
    <w:rsid w:val="004D0E9E"/>
    <w:rsid w:val="004D1026"/>
    <w:rsid w:val="004D126E"/>
    <w:rsid w:val="004D1283"/>
    <w:rsid w:val="004D1416"/>
    <w:rsid w:val="004D14BB"/>
    <w:rsid w:val="004D14EF"/>
    <w:rsid w:val="004D1610"/>
    <w:rsid w:val="004D1645"/>
    <w:rsid w:val="004D16C7"/>
    <w:rsid w:val="004D1849"/>
    <w:rsid w:val="004D19C4"/>
    <w:rsid w:val="004D1A5F"/>
    <w:rsid w:val="004D1ACD"/>
    <w:rsid w:val="004D1C81"/>
    <w:rsid w:val="004D1C91"/>
    <w:rsid w:val="004D1CE1"/>
    <w:rsid w:val="004D1E0F"/>
    <w:rsid w:val="004D1E79"/>
    <w:rsid w:val="004D1F6D"/>
    <w:rsid w:val="004D1FBF"/>
    <w:rsid w:val="004D1FD3"/>
    <w:rsid w:val="004D1FDA"/>
    <w:rsid w:val="004D2182"/>
    <w:rsid w:val="004D229D"/>
    <w:rsid w:val="004D2315"/>
    <w:rsid w:val="004D2373"/>
    <w:rsid w:val="004D2429"/>
    <w:rsid w:val="004D27BB"/>
    <w:rsid w:val="004D27DC"/>
    <w:rsid w:val="004D2812"/>
    <w:rsid w:val="004D283A"/>
    <w:rsid w:val="004D284E"/>
    <w:rsid w:val="004D2909"/>
    <w:rsid w:val="004D294B"/>
    <w:rsid w:val="004D29F5"/>
    <w:rsid w:val="004D2AC2"/>
    <w:rsid w:val="004D2ACE"/>
    <w:rsid w:val="004D2C5E"/>
    <w:rsid w:val="004D2C8B"/>
    <w:rsid w:val="004D2DBB"/>
    <w:rsid w:val="004D2DCA"/>
    <w:rsid w:val="004D2DDD"/>
    <w:rsid w:val="004D2DDE"/>
    <w:rsid w:val="004D2E5F"/>
    <w:rsid w:val="004D2EFA"/>
    <w:rsid w:val="004D2F52"/>
    <w:rsid w:val="004D2F62"/>
    <w:rsid w:val="004D2FA7"/>
    <w:rsid w:val="004D32DB"/>
    <w:rsid w:val="004D332B"/>
    <w:rsid w:val="004D3369"/>
    <w:rsid w:val="004D33E5"/>
    <w:rsid w:val="004D3485"/>
    <w:rsid w:val="004D3489"/>
    <w:rsid w:val="004D353A"/>
    <w:rsid w:val="004D35C1"/>
    <w:rsid w:val="004D3663"/>
    <w:rsid w:val="004D366E"/>
    <w:rsid w:val="004D368E"/>
    <w:rsid w:val="004D3709"/>
    <w:rsid w:val="004D37C8"/>
    <w:rsid w:val="004D38BC"/>
    <w:rsid w:val="004D39D1"/>
    <w:rsid w:val="004D39D7"/>
    <w:rsid w:val="004D39E3"/>
    <w:rsid w:val="004D3A7B"/>
    <w:rsid w:val="004D3B35"/>
    <w:rsid w:val="004D3BC4"/>
    <w:rsid w:val="004D3C57"/>
    <w:rsid w:val="004D3E53"/>
    <w:rsid w:val="004D410B"/>
    <w:rsid w:val="004D413E"/>
    <w:rsid w:val="004D414D"/>
    <w:rsid w:val="004D415C"/>
    <w:rsid w:val="004D41A3"/>
    <w:rsid w:val="004D435D"/>
    <w:rsid w:val="004D4411"/>
    <w:rsid w:val="004D44A4"/>
    <w:rsid w:val="004D4560"/>
    <w:rsid w:val="004D45F1"/>
    <w:rsid w:val="004D46B0"/>
    <w:rsid w:val="004D46B4"/>
    <w:rsid w:val="004D46CA"/>
    <w:rsid w:val="004D4719"/>
    <w:rsid w:val="004D47A9"/>
    <w:rsid w:val="004D48BA"/>
    <w:rsid w:val="004D48C1"/>
    <w:rsid w:val="004D49F3"/>
    <w:rsid w:val="004D4A48"/>
    <w:rsid w:val="004D4BEC"/>
    <w:rsid w:val="004D4BF1"/>
    <w:rsid w:val="004D4D27"/>
    <w:rsid w:val="004D4D6A"/>
    <w:rsid w:val="004D4E0E"/>
    <w:rsid w:val="004D4E50"/>
    <w:rsid w:val="004D5040"/>
    <w:rsid w:val="004D50ED"/>
    <w:rsid w:val="004D535E"/>
    <w:rsid w:val="004D53F8"/>
    <w:rsid w:val="004D577D"/>
    <w:rsid w:val="004D593D"/>
    <w:rsid w:val="004D5A16"/>
    <w:rsid w:val="004D5C88"/>
    <w:rsid w:val="004D5C8B"/>
    <w:rsid w:val="004D5CD2"/>
    <w:rsid w:val="004D5DA9"/>
    <w:rsid w:val="004D5E21"/>
    <w:rsid w:val="004D5EDA"/>
    <w:rsid w:val="004D5F30"/>
    <w:rsid w:val="004D61DB"/>
    <w:rsid w:val="004D61FD"/>
    <w:rsid w:val="004D6275"/>
    <w:rsid w:val="004D63B5"/>
    <w:rsid w:val="004D63C0"/>
    <w:rsid w:val="004D66BF"/>
    <w:rsid w:val="004D67EE"/>
    <w:rsid w:val="004D687D"/>
    <w:rsid w:val="004D68FD"/>
    <w:rsid w:val="004D6C27"/>
    <w:rsid w:val="004D6DE1"/>
    <w:rsid w:val="004D6E03"/>
    <w:rsid w:val="004D6E88"/>
    <w:rsid w:val="004D70AD"/>
    <w:rsid w:val="004D7155"/>
    <w:rsid w:val="004D723A"/>
    <w:rsid w:val="004D73CD"/>
    <w:rsid w:val="004D7515"/>
    <w:rsid w:val="004D7768"/>
    <w:rsid w:val="004D7781"/>
    <w:rsid w:val="004D7A08"/>
    <w:rsid w:val="004D7ACC"/>
    <w:rsid w:val="004D7BEE"/>
    <w:rsid w:val="004D7CA9"/>
    <w:rsid w:val="004D7CB5"/>
    <w:rsid w:val="004D7D2E"/>
    <w:rsid w:val="004D7D3A"/>
    <w:rsid w:val="004D7EF3"/>
    <w:rsid w:val="004D7F2A"/>
    <w:rsid w:val="004DDAB1"/>
    <w:rsid w:val="004E001F"/>
    <w:rsid w:val="004E02ED"/>
    <w:rsid w:val="004E0375"/>
    <w:rsid w:val="004E03EA"/>
    <w:rsid w:val="004E040E"/>
    <w:rsid w:val="004E0414"/>
    <w:rsid w:val="004E04A2"/>
    <w:rsid w:val="004E04EA"/>
    <w:rsid w:val="004E0549"/>
    <w:rsid w:val="004E0563"/>
    <w:rsid w:val="004E0667"/>
    <w:rsid w:val="004E06E2"/>
    <w:rsid w:val="004E06FF"/>
    <w:rsid w:val="004E0747"/>
    <w:rsid w:val="004E080E"/>
    <w:rsid w:val="004E0945"/>
    <w:rsid w:val="004E09DE"/>
    <w:rsid w:val="004E0A16"/>
    <w:rsid w:val="004E0B5C"/>
    <w:rsid w:val="004E0D5A"/>
    <w:rsid w:val="004E0E10"/>
    <w:rsid w:val="004E0E78"/>
    <w:rsid w:val="004E0E84"/>
    <w:rsid w:val="004E0EFE"/>
    <w:rsid w:val="004E0F16"/>
    <w:rsid w:val="004E0F4B"/>
    <w:rsid w:val="004E114E"/>
    <w:rsid w:val="004E1269"/>
    <w:rsid w:val="004E12CE"/>
    <w:rsid w:val="004E132F"/>
    <w:rsid w:val="004E1364"/>
    <w:rsid w:val="004E164A"/>
    <w:rsid w:val="004E16FA"/>
    <w:rsid w:val="004E1749"/>
    <w:rsid w:val="004E175D"/>
    <w:rsid w:val="004E1803"/>
    <w:rsid w:val="004E183B"/>
    <w:rsid w:val="004E1870"/>
    <w:rsid w:val="004E1945"/>
    <w:rsid w:val="004E19E5"/>
    <w:rsid w:val="004E19F1"/>
    <w:rsid w:val="004E1A64"/>
    <w:rsid w:val="004E1AA2"/>
    <w:rsid w:val="004E1AD2"/>
    <w:rsid w:val="004E1AEB"/>
    <w:rsid w:val="004E1B3C"/>
    <w:rsid w:val="004E1BCC"/>
    <w:rsid w:val="004E1BD8"/>
    <w:rsid w:val="004E1C64"/>
    <w:rsid w:val="004E1CA0"/>
    <w:rsid w:val="004E1D60"/>
    <w:rsid w:val="004E1DEA"/>
    <w:rsid w:val="004E1E0D"/>
    <w:rsid w:val="004E1E67"/>
    <w:rsid w:val="004E205D"/>
    <w:rsid w:val="004E2097"/>
    <w:rsid w:val="004E2105"/>
    <w:rsid w:val="004E2171"/>
    <w:rsid w:val="004E224D"/>
    <w:rsid w:val="004E2395"/>
    <w:rsid w:val="004E2439"/>
    <w:rsid w:val="004E262C"/>
    <w:rsid w:val="004E2655"/>
    <w:rsid w:val="004E27C6"/>
    <w:rsid w:val="004E27C7"/>
    <w:rsid w:val="004E28A0"/>
    <w:rsid w:val="004E290F"/>
    <w:rsid w:val="004E2A42"/>
    <w:rsid w:val="004E2A4C"/>
    <w:rsid w:val="004E2C35"/>
    <w:rsid w:val="004E2D3D"/>
    <w:rsid w:val="004E2E57"/>
    <w:rsid w:val="004E2EAC"/>
    <w:rsid w:val="004E2F1A"/>
    <w:rsid w:val="004E2FF0"/>
    <w:rsid w:val="004E303F"/>
    <w:rsid w:val="004E33D7"/>
    <w:rsid w:val="004E3459"/>
    <w:rsid w:val="004E346F"/>
    <w:rsid w:val="004E3499"/>
    <w:rsid w:val="004E37FB"/>
    <w:rsid w:val="004E3833"/>
    <w:rsid w:val="004E3942"/>
    <w:rsid w:val="004E3968"/>
    <w:rsid w:val="004E3BDC"/>
    <w:rsid w:val="004E3C86"/>
    <w:rsid w:val="004E3D14"/>
    <w:rsid w:val="004E3D97"/>
    <w:rsid w:val="004E3DEF"/>
    <w:rsid w:val="004E3EB5"/>
    <w:rsid w:val="004E4006"/>
    <w:rsid w:val="004E40A1"/>
    <w:rsid w:val="004E41B1"/>
    <w:rsid w:val="004E4349"/>
    <w:rsid w:val="004E4438"/>
    <w:rsid w:val="004E448B"/>
    <w:rsid w:val="004E4503"/>
    <w:rsid w:val="004E46BA"/>
    <w:rsid w:val="004E4709"/>
    <w:rsid w:val="004E4800"/>
    <w:rsid w:val="004E4AF7"/>
    <w:rsid w:val="004E4B0A"/>
    <w:rsid w:val="004E4C87"/>
    <w:rsid w:val="004E4CE9"/>
    <w:rsid w:val="004E4D31"/>
    <w:rsid w:val="004E4E01"/>
    <w:rsid w:val="004E4E4A"/>
    <w:rsid w:val="004E4EA3"/>
    <w:rsid w:val="004E4F6E"/>
    <w:rsid w:val="004E4F9E"/>
    <w:rsid w:val="004E4FE1"/>
    <w:rsid w:val="004E5085"/>
    <w:rsid w:val="004E50F6"/>
    <w:rsid w:val="004E50FB"/>
    <w:rsid w:val="004E513E"/>
    <w:rsid w:val="004E528E"/>
    <w:rsid w:val="004E5290"/>
    <w:rsid w:val="004E54C3"/>
    <w:rsid w:val="004E55A0"/>
    <w:rsid w:val="004E5880"/>
    <w:rsid w:val="004E5A16"/>
    <w:rsid w:val="004E5A50"/>
    <w:rsid w:val="004E5AC2"/>
    <w:rsid w:val="004E5B23"/>
    <w:rsid w:val="004E5BA7"/>
    <w:rsid w:val="004E5BCC"/>
    <w:rsid w:val="004E5DB9"/>
    <w:rsid w:val="004E611B"/>
    <w:rsid w:val="004E6160"/>
    <w:rsid w:val="004E616D"/>
    <w:rsid w:val="004E6196"/>
    <w:rsid w:val="004E6347"/>
    <w:rsid w:val="004E6507"/>
    <w:rsid w:val="004E653F"/>
    <w:rsid w:val="004E6542"/>
    <w:rsid w:val="004E6555"/>
    <w:rsid w:val="004E658A"/>
    <w:rsid w:val="004E667A"/>
    <w:rsid w:val="004E671F"/>
    <w:rsid w:val="004E67D2"/>
    <w:rsid w:val="004E6846"/>
    <w:rsid w:val="004E6900"/>
    <w:rsid w:val="004E6A8E"/>
    <w:rsid w:val="004E6A95"/>
    <w:rsid w:val="004E6AFC"/>
    <w:rsid w:val="004E6B0D"/>
    <w:rsid w:val="004E6D1D"/>
    <w:rsid w:val="004E6D87"/>
    <w:rsid w:val="004E6EC3"/>
    <w:rsid w:val="004E6F6D"/>
    <w:rsid w:val="004E7061"/>
    <w:rsid w:val="004E71CF"/>
    <w:rsid w:val="004E7404"/>
    <w:rsid w:val="004E7462"/>
    <w:rsid w:val="004E749F"/>
    <w:rsid w:val="004E7573"/>
    <w:rsid w:val="004E7666"/>
    <w:rsid w:val="004E76C0"/>
    <w:rsid w:val="004E7742"/>
    <w:rsid w:val="004E77DB"/>
    <w:rsid w:val="004E78AB"/>
    <w:rsid w:val="004E7A22"/>
    <w:rsid w:val="004E7A68"/>
    <w:rsid w:val="004E7ADC"/>
    <w:rsid w:val="004E7B8F"/>
    <w:rsid w:val="004E7BCA"/>
    <w:rsid w:val="004E7C8B"/>
    <w:rsid w:val="004E7CD8"/>
    <w:rsid w:val="004E7D69"/>
    <w:rsid w:val="004E7D90"/>
    <w:rsid w:val="004E7F0A"/>
    <w:rsid w:val="004E7F6D"/>
    <w:rsid w:val="004F000D"/>
    <w:rsid w:val="004F0075"/>
    <w:rsid w:val="004F024A"/>
    <w:rsid w:val="004F026D"/>
    <w:rsid w:val="004F02DC"/>
    <w:rsid w:val="004F02DE"/>
    <w:rsid w:val="004F031C"/>
    <w:rsid w:val="004F0360"/>
    <w:rsid w:val="004F0380"/>
    <w:rsid w:val="004F039E"/>
    <w:rsid w:val="004F04EA"/>
    <w:rsid w:val="004F0510"/>
    <w:rsid w:val="004F05E4"/>
    <w:rsid w:val="004F0615"/>
    <w:rsid w:val="004F068A"/>
    <w:rsid w:val="004F0728"/>
    <w:rsid w:val="004F085B"/>
    <w:rsid w:val="004F0860"/>
    <w:rsid w:val="004F09F7"/>
    <w:rsid w:val="004F0AC2"/>
    <w:rsid w:val="004F0B42"/>
    <w:rsid w:val="004F0C3F"/>
    <w:rsid w:val="004F0CB3"/>
    <w:rsid w:val="004F0D75"/>
    <w:rsid w:val="004F0D93"/>
    <w:rsid w:val="004F0DCD"/>
    <w:rsid w:val="004F0E53"/>
    <w:rsid w:val="004F0F14"/>
    <w:rsid w:val="004F0F1D"/>
    <w:rsid w:val="004F117D"/>
    <w:rsid w:val="004F11A6"/>
    <w:rsid w:val="004F11F6"/>
    <w:rsid w:val="004F126A"/>
    <w:rsid w:val="004F1390"/>
    <w:rsid w:val="004F1460"/>
    <w:rsid w:val="004F161D"/>
    <w:rsid w:val="004F1691"/>
    <w:rsid w:val="004F17AD"/>
    <w:rsid w:val="004F1822"/>
    <w:rsid w:val="004F1871"/>
    <w:rsid w:val="004F187A"/>
    <w:rsid w:val="004F1930"/>
    <w:rsid w:val="004F196D"/>
    <w:rsid w:val="004F19FD"/>
    <w:rsid w:val="004F1A27"/>
    <w:rsid w:val="004F1A91"/>
    <w:rsid w:val="004F1CCF"/>
    <w:rsid w:val="004F1D22"/>
    <w:rsid w:val="004F1D3C"/>
    <w:rsid w:val="004F1D3F"/>
    <w:rsid w:val="004F1D66"/>
    <w:rsid w:val="004F1E05"/>
    <w:rsid w:val="004F1E3D"/>
    <w:rsid w:val="004F1F1D"/>
    <w:rsid w:val="004F1FAC"/>
    <w:rsid w:val="004F1FB2"/>
    <w:rsid w:val="004F2063"/>
    <w:rsid w:val="004F2174"/>
    <w:rsid w:val="004F2228"/>
    <w:rsid w:val="004F231B"/>
    <w:rsid w:val="004F23C2"/>
    <w:rsid w:val="004F240E"/>
    <w:rsid w:val="004F257A"/>
    <w:rsid w:val="004F2660"/>
    <w:rsid w:val="004F2691"/>
    <w:rsid w:val="004F2788"/>
    <w:rsid w:val="004F280A"/>
    <w:rsid w:val="004F28EC"/>
    <w:rsid w:val="004F290D"/>
    <w:rsid w:val="004F2932"/>
    <w:rsid w:val="004F2960"/>
    <w:rsid w:val="004F2988"/>
    <w:rsid w:val="004F29A6"/>
    <w:rsid w:val="004F29EA"/>
    <w:rsid w:val="004F2ABE"/>
    <w:rsid w:val="004F2ABF"/>
    <w:rsid w:val="004F2B3E"/>
    <w:rsid w:val="004F2B4A"/>
    <w:rsid w:val="004F2B87"/>
    <w:rsid w:val="004F2BBE"/>
    <w:rsid w:val="004F2BE0"/>
    <w:rsid w:val="004F2BE6"/>
    <w:rsid w:val="004F2CDE"/>
    <w:rsid w:val="004F2CFB"/>
    <w:rsid w:val="004F2D66"/>
    <w:rsid w:val="004F3057"/>
    <w:rsid w:val="004F30FD"/>
    <w:rsid w:val="004F3146"/>
    <w:rsid w:val="004F32A8"/>
    <w:rsid w:val="004F33AF"/>
    <w:rsid w:val="004F33E5"/>
    <w:rsid w:val="004F382B"/>
    <w:rsid w:val="004F3845"/>
    <w:rsid w:val="004F39AD"/>
    <w:rsid w:val="004F3B00"/>
    <w:rsid w:val="004F3C8D"/>
    <w:rsid w:val="004F3CF2"/>
    <w:rsid w:val="004F3D11"/>
    <w:rsid w:val="004F3DA7"/>
    <w:rsid w:val="004F3E17"/>
    <w:rsid w:val="004F3E63"/>
    <w:rsid w:val="004F3FD9"/>
    <w:rsid w:val="004F3FF4"/>
    <w:rsid w:val="004F40F4"/>
    <w:rsid w:val="004F418B"/>
    <w:rsid w:val="004F419F"/>
    <w:rsid w:val="004F431A"/>
    <w:rsid w:val="004F4363"/>
    <w:rsid w:val="004F4401"/>
    <w:rsid w:val="004F4437"/>
    <w:rsid w:val="004F44CF"/>
    <w:rsid w:val="004F456D"/>
    <w:rsid w:val="004F4625"/>
    <w:rsid w:val="004F46E7"/>
    <w:rsid w:val="004F4841"/>
    <w:rsid w:val="004F4980"/>
    <w:rsid w:val="004F4CB8"/>
    <w:rsid w:val="004F4D20"/>
    <w:rsid w:val="004F4D96"/>
    <w:rsid w:val="004F4E58"/>
    <w:rsid w:val="004F4E72"/>
    <w:rsid w:val="004F502D"/>
    <w:rsid w:val="004F50B1"/>
    <w:rsid w:val="004F5201"/>
    <w:rsid w:val="004F5465"/>
    <w:rsid w:val="004F550C"/>
    <w:rsid w:val="004F5515"/>
    <w:rsid w:val="004F5563"/>
    <w:rsid w:val="004F5758"/>
    <w:rsid w:val="004F58F8"/>
    <w:rsid w:val="004F5A27"/>
    <w:rsid w:val="004F5B80"/>
    <w:rsid w:val="004F5B9E"/>
    <w:rsid w:val="004F5C12"/>
    <w:rsid w:val="004F5D5C"/>
    <w:rsid w:val="004F5EB0"/>
    <w:rsid w:val="004F5ECD"/>
    <w:rsid w:val="004F5ED7"/>
    <w:rsid w:val="004F5F32"/>
    <w:rsid w:val="004F5FEF"/>
    <w:rsid w:val="004F616B"/>
    <w:rsid w:val="004F6218"/>
    <w:rsid w:val="004F62EF"/>
    <w:rsid w:val="004F62F3"/>
    <w:rsid w:val="004F6357"/>
    <w:rsid w:val="004F6494"/>
    <w:rsid w:val="004F656A"/>
    <w:rsid w:val="004F6808"/>
    <w:rsid w:val="004F68CB"/>
    <w:rsid w:val="004F68DD"/>
    <w:rsid w:val="004F6900"/>
    <w:rsid w:val="004F69C8"/>
    <w:rsid w:val="004F6A74"/>
    <w:rsid w:val="004F6CCC"/>
    <w:rsid w:val="004F6D20"/>
    <w:rsid w:val="004F6D7F"/>
    <w:rsid w:val="004F6DAF"/>
    <w:rsid w:val="004F6E79"/>
    <w:rsid w:val="004F6E7E"/>
    <w:rsid w:val="004F702C"/>
    <w:rsid w:val="004F7316"/>
    <w:rsid w:val="004F7383"/>
    <w:rsid w:val="004F7648"/>
    <w:rsid w:val="004F764D"/>
    <w:rsid w:val="004F7754"/>
    <w:rsid w:val="004F7902"/>
    <w:rsid w:val="004F791A"/>
    <w:rsid w:val="004F791E"/>
    <w:rsid w:val="004F79E1"/>
    <w:rsid w:val="004F7B36"/>
    <w:rsid w:val="004F7B5A"/>
    <w:rsid w:val="004F7BCA"/>
    <w:rsid w:val="004F7C6C"/>
    <w:rsid w:val="004F7CAE"/>
    <w:rsid w:val="004F7D04"/>
    <w:rsid w:val="004F7D97"/>
    <w:rsid w:val="004F7DE7"/>
    <w:rsid w:val="004F7E2E"/>
    <w:rsid w:val="004F7FAB"/>
    <w:rsid w:val="004FEA30"/>
    <w:rsid w:val="0050012D"/>
    <w:rsid w:val="00500137"/>
    <w:rsid w:val="00500357"/>
    <w:rsid w:val="0050041D"/>
    <w:rsid w:val="00500556"/>
    <w:rsid w:val="00500897"/>
    <w:rsid w:val="00500A2D"/>
    <w:rsid w:val="00500A44"/>
    <w:rsid w:val="00500A7B"/>
    <w:rsid w:val="00500A97"/>
    <w:rsid w:val="00500A9C"/>
    <w:rsid w:val="00500CE4"/>
    <w:rsid w:val="00500E70"/>
    <w:rsid w:val="00500ED2"/>
    <w:rsid w:val="00501009"/>
    <w:rsid w:val="0050108D"/>
    <w:rsid w:val="005011B0"/>
    <w:rsid w:val="00501259"/>
    <w:rsid w:val="005012C9"/>
    <w:rsid w:val="00501359"/>
    <w:rsid w:val="00501409"/>
    <w:rsid w:val="00501451"/>
    <w:rsid w:val="005015D9"/>
    <w:rsid w:val="00501678"/>
    <w:rsid w:val="00501924"/>
    <w:rsid w:val="0050195A"/>
    <w:rsid w:val="00501982"/>
    <w:rsid w:val="00501AD3"/>
    <w:rsid w:val="00501BA2"/>
    <w:rsid w:val="00501F48"/>
    <w:rsid w:val="0050202A"/>
    <w:rsid w:val="0050202C"/>
    <w:rsid w:val="0050224B"/>
    <w:rsid w:val="005023B7"/>
    <w:rsid w:val="005023D6"/>
    <w:rsid w:val="0050240A"/>
    <w:rsid w:val="005024FB"/>
    <w:rsid w:val="0050250B"/>
    <w:rsid w:val="005025FA"/>
    <w:rsid w:val="0050279D"/>
    <w:rsid w:val="00502A49"/>
    <w:rsid w:val="00502A9F"/>
    <w:rsid w:val="00502B56"/>
    <w:rsid w:val="00502C11"/>
    <w:rsid w:val="00502CCD"/>
    <w:rsid w:val="00502E49"/>
    <w:rsid w:val="00503128"/>
    <w:rsid w:val="005031EB"/>
    <w:rsid w:val="00503231"/>
    <w:rsid w:val="0050346B"/>
    <w:rsid w:val="00503476"/>
    <w:rsid w:val="00503498"/>
    <w:rsid w:val="00503596"/>
    <w:rsid w:val="00503732"/>
    <w:rsid w:val="0050373D"/>
    <w:rsid w:val="00503779"/>
    <w:rsid w:val="00503830"/>
    <w:rsid w:val="005038A7"/>
    <w:rsid w:val="00503911"/>
    <w:rsid w:val="00503A04"/>
    <w:rsid w:val="00503A1D"/>
    <w:rsid w:val="00503A3E"/>
    <w:rsid w:val="00503AD1"/>
    <w:rsid w:val="00503B18"/>
    <w:rsid w:val="00503E2C"/>
    <w:rsid w:val="00503ED6"/>
    <w:rsid w:val="00503F02"/>
    <w:rsid w:val="00504003"/>
    <w:rsid w:val="0050400B"/>
    <w:rsid w:val="005040C4"/>
    <w:rsid w:val="005041C0"/>
    <w:rsid w:val="00504236"/>
    <w:rsid w:val="005042CD"/>
    <w:rsid w:val="0050431C"/>
    <w:rsid w:val="00504510"/>
    <w:rsid w:val="00504524"/>
    <w:rsid w:val="0050471F"/>
    <w:rsid w:val="0050493D"/>
    <w:rsid w:val="00504953"/>
    <w:rsid w:val="0050499A"/>
    <w:rsid w:val="005049B3"/>
    <w:rsid w:val="00504B20"/>
    <w:rsid w:val="00504B38"/>
    <w:rsid w:val="00504B4D"/>
    <w:rsid w:val="00504BE3"/>
    <w:rsid w:val="00504C87"/>
    <w:rsid w:val="00504CDB"/>
    <w:rsid w:val="00504D22"/>
    <w:rsid w:val="00504DD3"/>
    <w:rsid w:val="00504E6E"/>
    <w:rsid w:val="00504EA4"/>
    <w:rsid w:val="00504EB4"/>
    <w:rsid w:val="00505023"/>
    <w:rsid w:val="005050BB"/>
    <w:rsid w:val="00505134"/>
    <w:rsid w:val="00505217"/>
    <w:rsid w:val="00505251"/>
    <w:rsid w:val="00505273"/>
    <w:rsid w:val="0050529A"/>
    <w:rsid w:val="0050536C"/>
    <w:rsid w:val="005054CE"/>
    <w:rsid w:val="00505809"/>
    <w:rsid w:val="0050580C"/>
    <w:rsid w:val="0050585B"/>
    <w:rsid w:val="005058AF"/>
    <w:rsid w:val="00505A11"/>
    <w:rsid w:val="00505A2D"/>
    <w:rsid w:val="00505A9B"/>
    <w:rsid w:val="00505AA1"/>
    <w:rsid w:val="00505B04"/>
    <w:rsid w:val="00505B5D"/>
    <w:rsid w:val="00505C18"/>
    <w:rsid w:val="00505C76"/>
    <w:rsid w:val="00505CD7"/>
    <w:rsid w:val="00505D56"/>
    <w:rsid w:val="00505D5C"/>
    <w:rsid w:val="00505E9D"/>
    <w:rsid w:val="00505F00"/>
    <w:rsid w:val="00505FBC"/>
    <w:rsid w:val="00506013"/>
    <w:rsid w:val="0050601C"/>
    <w:rsid w:val="00506075"/>
    <w:rsid w:val="0050609F"/>
    <w:rsid w:val="00506154"/>
    <w:rsid w:val="0050617D"/>
    <w:rsid w:val="00506266"/>
    <w:rsid w:val="005062D1"/>
    <w:rsid w:val="005062E8"/>
    <w:rsid w:val="0050631C"/>
    <w:rsid w:val="00506342"/>
    <w:rsid w:val="005063E2"/>
    <w:rsid w:val="0050641D"/>
    <w:rsid w:val="00506459"/>
    <w:rsid w:val="00506507"/>
    <w:rsid w:val="0050663D"/>
    <w:rsid w:val="005066B0"/>
    <w:rsid w:val="005067F6"/>
    <w:rsid w:val="00506A06"/>
    <w:rsid w:val="00506A4E"/>
    <w:rsid w:val="00506B47"/>
    <w:rsid w:val="00506B87"/>
    <w:rsid w:val="00506CF4"/>
    <w:rsid w:val="00506DE4"/>
    <w:rsid w:val="00506E40"/>
    <w:rsid w:val="00506EA7"/>
    <w:rsid w:val="00506FE5"/>
    <w:rsid w:val="00507010"/>
    <w:rsid w:val="00507015"/>
    <w:rsid w:val="00507073"/>
    <w:rsid w:val="0050708F"/>
    <w:rsid w:val="0050709D"/>
    <w:rsid w:val="00507139"/>
    <w:rsid w:val="005072C2"/>
    <w:rsid w:val="005073DC"/>
    <w:rsid w:val="005075E3"/>
    <w:rsid w:val="0050777C"/>
    <w:rsid w:val="00507787"/>
    <w:rsid w:val="005078B2"/>
    <w:rsid w:val="005078CC"/>
    <w:rsid w:val="00507B71"/>
    <w:rsid w:val="00507BCB"/>
    <w:rsid w:val="00507C67"/>
    <w:rsid w:val="00507D1C"/>
    <w:rsid w:val="00507E5D"/>
    <w:rsid w:val="00510042"/>
    <w:rsid w:val="0051013E"/>
    <w:rsid w:val="0051029D"/>
    <w:rsid w:val="005102DF"/>
    <w:rsid w:val="00510378"/>
    <w:rsid w:val="0051048B"/>
    <w:rsid w:val="0051055C"/>
    <w:rsid w:val="00510660"/>
    <w:rsid w:val="005106C5"/>
    <w:rsid w:val="005106E2"/>
    <w:rsid w:val="00510768"/>
    <w:rsid w:val="00510851"/>
    <w:rsid w:val="00510876"/>
    <w:rsid w:val="0051096B"/>
    <w:rsid w:val="00510AE8"/>
    <w:rsid w:val="00510B07"/>
    <w:rsid w:val="00510B74"/>
    <w:rsid w:val="00510C71"/>
    <w:rsid w:val="00510D34"/>
    <w:rsid w:val="00510D58"/>
    <w:rsid w:val="00510D76"/>
    <w:rsid w:val="00510DC6"/>
    <w:rsid w:val="00510F27"/>
    <w:rsid w:val="00510FC2"/>
    <w:rsid w:val="00511009"/>
    <w:rsid w:val="005110AD"/>
    <w:rsid w:val="00511131"/>
    <w:rsid w:val="00511259"/>
    <w:rsid w:val="00511260"/>
    <w:rsid w:val="0051129E"/>
    <w:rsid w:val="005112EF"/>
    <w:rsid w:val="0051133D"/>
    <w:rsid w:val="00511444"/>
    <w:rsid w:val="00511693"/>
    <w:rsid w:val="005116BD"/>
    <w:rsid w:val="005116C1"/>
    <w:rsid w:val="00511752"/>
    <w:rsid w:val="005117BA"/>
    <w:rsid w:val="005118A3"/>
    <w:rsid w:val="00511953"/>
    <w:rsid w:val="00511958"/>
    <w:rsid w:val="00511990"/>
    <w:rsid w:val="00511A81"/>
    <w:rsid w:val="00511F2F"/>
    <w:rsid w:val="00511F85"/>
    <w:rsid w:val="00512073"/>
    <w:rsid w:val="00512151"/>
    <w:rsid w:val="005121BC"/>
    <w:rsid w:val="00512524"/>
    <w:rsid w:val="0051256C"/>
    <w:rsid w:val="00512614"/>
    <w:rsid w:val="0051264B"/>
    <w:rsid w:val="0051264E"/>
    <w:rsid w:val="005126B6"/>
    <w:rsid w:val="005129E0"/>
    <w:rsid w:val="00512AE4"/>
    <w:rsid w:val="00512AF3"/>
    <w:rsid w:val="00512AF7"/>
    <w:rsid w:val="00512C42"/>
    <w:rsid w:val="00512DAF"/>
    <w:rsid w:val="00512EE0"/>
    <w:rsid w:val="00512F01"/>
    <w:rsid w:val="005131C4"/>
    <w:rsid w:val="00513229"/>
    <w:rsid w:val="0051323C"/>
    <w:rsid w:val="00513260"/>
    <w:rsid w:val="005133DD"/>
    <w:rsid w:val="005133E1"/>
    <w:rsid w:val="005134BD"/>
    <w:rsid w:val="0051364D"/>
    <w:rsid w:val="0051369D"/>
    <w:rsid w:val="005137CC"/>
    <w:rsid w:val="005137EB"/>
    <w:rsid w:val="00513810"/>
    <w:rsid w:val="00513914"/>
    <w:rsid w:val="005139F5"/>
    <w:rsid w:val="00513B32"/>
    <w:rsid w:val="00513B59"/>
    <w:rsid w:val="00513CFF"/>
    <w:rsid w:val="00513E3A"/>
    <w:rsid w:val="00513F28"/>
    <w:rsid w:val="00513F6B"/>
    <w:rsid w:val="0051400C"/>
    <w:rsid w:val="0051411E"/>
    <w:rsid w:val="00514143"/>
    <w:rsid w:val="005141E3"/>
    <w:rsid w:val="00514276"/>
    <w:rsid w:val="005142FF"/>
    <w:rsid w:val="005143D8"/>
    <w:rsid w:val="00514478"/>
    <w:rsid w:val="0051456C"/>
    <w:rsid w:val="005145F9"/>
    <w:rsid w:val="00514672"/>
    <w:rsid w:val="005148F1"/>
    <w:rsid w:val="00514969"/>
    <w:rsid w:val="00514AE4"/>
    <w:rsid w:val="00514BAB"/>
    <w:rsid w:val="00514CA5"/>
    <w:rsid w:val="00514D02"/>
    <w:rsid w:val="00514D90"/>
    <w:rsid w:val="00514E21"/>
    <w:rsid w:val="00514E64"/>
    <w:rsid w:val="00514EAD"/>
    <w:rsid w:val="00514FD8"/>
    <w:rsid w:val="0051505C"/>
    <w:rsid w:val="005151D1"/>
    <w:rsid w:val="00515221"/>
    <w:rsid w:val="00515242"/>
    <w:rsid w:val="00515285"/>
    <w:rsid w:val="0051537C"/>
    <w:rsid w:val="005153F8"/>
    <w:rsid w:val="00515436"/>
    <w:rsid w:val="00515498"/>
    <w:rsid w:val="005154CF"/>
    <w:rsid w:val="005154DC"/>
    <w:rsid w:val="0051552D"/>
    <w:rsid w:val="00515533"/>
    <w:rsid w:val="00515697"/>
    <w:rsid w:val="0051575D"/>
    <w:rsid w:val="00515785"/>
    <w:rsid w:val="005157DA"/>
    <w:rsid w:val="00515819"/>
    <w:rsid w:val="00515842"/>
    <w:rsid w:val="005158EB"/>
    <w:rsid w:val="00515B30"/>
    <w:rsid w:val="00515B6B"/>
    <w:rsid w:val="00515C7D"/>
    <w:rsid w:val="00515C9F"/>
    <w:rsid w:val="00515D02"/>
    <w:rsid w:val="00515D6B"/>
    <w:rsid w:val="00515DAF"/>
    <w:rsid w:val="00515E95"/>
    <w:rsid w:val="00515FA8"/>
    <w:rsid w:val="00515FC5"/>
    <w:rsid w:val="00516054"/>
    <w:rsid w:val="0051606E"/>
    <w:rsid w:val="005160EF"/>
    <w:rsid w:val="005161A6"/>
    <w:rsid w:val="005161EB"/>
    <w:rsid w:val="00516230"/>
    <w:rsid w:val="005163A8"/>
    <w:rsid w:val="0051641A"/>
    <w:rsid w:val="0051646B"/>
    <w:rsid w:val="005164E4"/>
    <w:rsid w:val="00516508"/>
    <w:rsid w:val="0051650E"/>
    <w:rsid w:val="0051656A"/>
    <w:rsid w:val="005166E3"/>
    <w:rsid w:val="0051676A"/>
    <w:rsid w:val="00516838"/>
    <w:rsid w:val="00516984"/>
    <w:rsid w:val="005169DA"/>
    <w:rsid w:val="00516A66"/>
    <w:rsid w:val="00516A67"/>
    <w:rsid w:val="00516BAF"/>
    <w:rsid w:val="00516C88"/>
    <w:rsid w:val="00516DE5"/>
    <w:rsid w:val="00516E92"/>
    <w:rsid w:val="00516F8C"/>
    <w:rsid w:val="00516FB7"/>
    <w:rsid w:val="00516FF3"/>
    <w:rsid w:val="00517304"/>
    <w:rsid w:val="0051733B"/>
    <w:rsid w:val="00517381"/>
    <w:rsid w:val="00517496"/>
    <w:rsid w:val="00517510"/>
    <w:rsid w:val="0051753A"/>
    <w:rsid w:val="00517760"/>
    <w:rsid w:val="0051782E"/>
    <w:rsid w:val="0051785E"/>
    <w:rsid w:val="00517891"/>
    <w:rsid w:val="00517918"/>
    <w:rsid w:val="00517952"/>
    <w:rsid w:val="005179F8"/>
    <w:rsid w:val="00517A50"/>
    <w:rsid w:val="00517AAE"/>
    <w:rsid w:val="00517B20"/>
    <w:rsid w:val="00517BA5"/>
    <w:rsid w:val="00517C39"/>
    <w:rsid w:val="00517D0F"/>
    <w:rsid w:val="00517DC9"/>
    <w:rsid w:val="00517EE4"/>
    <w:rsid w:val="00517FAC"/>
    <w:rsid w:val="0052001A"/>
    <w:rsid w:val="0052039A"/>
    <w:rsid w:val="00520687"/>
    <w:rsid w:val="005206CB"/>
    <w:rsid w:val="00520723"/>
    <w:rsid w:val="00520736"/>
    <w:rsid w:val="0052095D"/>
    <w:rsid w:val="00520B6A"/>
    <w:rsid w:val="00520C5D"/>
    <w:rsid w:val="00520D15"/>
    <w:rsid w:val="00520E13"/>
    <w:rsid w:val="00520EA9"/>
    <w:rsid w:val="00520EDD"/>
    <w:rsid w:val="00520F90"/>
    <w:rsid w:val="0052103A"/>
    <w:rsid w:val="00521148"/>
    <w:rsid w:val="00521189"/>
    <w:rsid w:val="005211FB"/>
    <w:rsid w:val="00521281"/>
    <w:rsid w:val="005212A4"/>
    <w:rsid w:val="005212AD"/>
    <w:rsid w:val="00521376"/>
    <w:rsid w:val="005214A9"/>
    <w:rsid w:val="005214D9"/>
    <w:rsid w:val="00521501"/>
    <w:rsid w:val="005216FF"/>
    <w:rsid w:val="00521877"/>
    <w:rsid w:val="0052194F"/>
    <w:rsid w:val="00521A43"/>
    <w:rsid w:val="00521B0C"/>
    <w:rsid w:val="00521CB1"/>
    <w:rsid w:val="00521D3D"/>
    <w:rsid w:val="00521E74"/>
    <w:rsid w:val="00521FF5"/>
    <w:rsid w:val="0052205E"/>
    <w:rsid w:val="0052210A"/>
    <w:rsid w:val="00522402"/>
    <w:rsid w:val="00522514"/>
    <w:rsid w:val="005225BD"/>
    <w:rsid w:val="005225F2"/>
    <w:rsid w:val="0052275D"/>
    <w:rsid w:val="00522775"/>
    <w:rsid w:val="005228DB"/>
    <w:rsid w:val="00522C8A"/>
    <w:rsid w:val="00522C9B"/>
    <w:rsid w:val="00522D04"/>
    <w:rsid w:val="00522E86"/>
    <w:rsid w:val="00522FE9"/>
    <w:rsid w:val="0052303C"/>
    <w:rsid w:val="0052311E"/>
    <w:rsid w:val="005231D9"/>
    <w:rsid w:val="00523218"/>
    <w:rsid w:val="00523441"/>
    <w:rsid w:val="0052349C"/>
    <w:rsid w:val="00523527"/>
    <w:rsid w:val="0052364E"/>
    <w:rsid w:val="00523A6D"/>
    <w:rsid w:val="00523A6F"/>
    <w:rsid w:val="00523ADC"/>
    <w:rsid w:val="00523AE3"/>
    <w:rsid w:val="00523B2F"/>
    <w:rsid w:val="00523C92"/>
    <w:rsid w:val="00523CC8"/>
    <w:rsid w:val="00523CE2"/>
    <w:rsid w:val="00523D08"/>
    <w:rsid w:val="00523D3C"/>
    <w:rsid w:val="00523F57"/>
    <w:rsid w:val="0052400B"/>
    <w:rsid w:val="005240A0"/>
    <w:rsid w:val="005240ED"/>
    <w:rsid w:val="00524178"/>
    <w:rsid w:val="005241B4"/>
    <w:rsid w:val="00524203"/>
    <w:rsid w:val="00524244"/>
    <w:rsid w:val="00524289"/>
    <w:rsid w:val="005242E9"/>
    <w:rsid w:val="0052434D"/>
    <w:rsid w:val="00524394"/>
    <w:rsid w:val="005243C9"/>
    <w:rsid w:val="00524489"/>
    <w:rsid w:val="005244CC"/>
    <w:rsid w:val="00524519"/>
    <w:rsid w:val="0052470D"/>
    <w:rsid w:val="00524767"/>
    <w:rsid w:val="005247C0"/>
    <w:rsid w:val="00524841"/>
    <w:rsid w:val="005248AE"/>
    <w:rsid w:val="005248CB"/>
    <w:rsid w:val="00524922"/>
    <w:rsid w:val="0052493D"/>
    <w:rsid w:val="00524A1F"/>
    <w:rsid w:val="00524A44"/>
    <w:rsid w:val="00524A62"/>
    <w:rsid w:val="00524C90"/>
    <w:rsid w:val="00524CA9"/>
    <w:rsid w:val="00524D0F"/>
    <w:rsid w:val="00524D3C"/>
    <w:rsid w:val="00524E33"/>
    <w:rsid w:val="00524EEA"/>
    <w:rsid w:val="00524F02"/>
    <w:rsid w:val="00524F1B"/>
    <w:rsid w:val="00524F74"/>
    <w:rsid w:val="00524F8A"/>
    <w:rsid w:val="00524FA8"/>
    <w:rsid w:val="00525200"/>
    <w:rsid w:val="005253EE"/>
    <w:rsid w:val="005254B1"/>
    <w:rsid w:val="005254D1"/>
    <w:rsid w:val="0052566F"/>
    <w:rsid w:val="005257D4"/>
    <w:rsid w:val="00525802"/>
    <w:rsid w:val="005258FA"/>
    <w:rsid w:val="00525909"/>
    <w:rsid w:val="00525972"/>
    <w:rsid w:val="00525B6D"/>
    <w:rsid w:val="00525BA8"/>
    <w:rsid w:val="00525BCE"/>
    <w:rsid w:val="00525BD7"/>
    <w:rsid w:val="00525C1F"/>
    <w:rsid w:val="00525CE4"/>
    <w:rsid w:val="00525D26"/>
    <w:rsid w:val="00525E16"/>
    <w:rsid w:val="00525EBD"/>
    <w:rsid w:val="00525EFD"/>
    <w:rsid w:val="00525F76"/>
    <w:rsid w:val="00526148"/>
    <w:rsid w:val="00526331"/>
    <w:rsid w:val="005263B7"/>
    <w:rsid w:val="00526553"/>
    <w:rsid w:val="005266AE"/>
    <w:rsid w:val="00526753"/>
    <w:rsid w:val="005267CD"/>
    <w:rsid w:val="005267E7"/>
    <w:rsid w:val="00526895"/>
    <w:rsid w:val="005268B1"/>
    <w:rsid w:val="005268DD"/>
    <w:rsid w:val="00526A50"/>
    <w:rsid w:val="00526AEA"/>
    <w:rsid w:val="00526BA3"/>
    <w:rsid w:val="00526BC8"/>
    <w:rsid w:val="00526C30"/>
    <w:rsid w:val="00526D94"/>
    <w:rsid w:val="00526DAF"/>
    <w:rsid w:val="00526DDB"/>
    <w:rsid w:val="00526DF2"/>
    <w:rsid w:val="00526E56"/>
    <w:rsid w:val="00526EA8"/>
    <w:rsid w:val="00526EC3"/>
    <w:rsid w:val="00526F86"/>
    <w:rsid w:val="00527036"/>
    <w:rsid w:val="00527039"/>
    <w:rsid w:val="0052711E"/>
    <w:rsid w:val="00527164"/>
    <w:rsid w:val="00527185"/>
    <w:rsid w:val="005271AB"/>
    <w:rsid w:val="005272B6"/>
    <w:rsid w:val="0052744E"/>
    <w:rsid w:val="005276FF"/>
    <w:rsid w:val="00527835"/>
    <w:rsid w:val="00527938"/>
    <w:rsid w:val="005279EE"/>
    <w:rsid w:val="00527DFA"/>
    <w:rsid w:val="00527F47"/>
    <w:rsid w:val="00527F9E"/>
    <w:rsid w:val="00530000"/>
    <w:rsid w:val="005301A3"/>
    <w:rsid w:val="005301B5"/>
    <w:rsid w:val="0053035F"/>
    <w:rsid w:val="00530395"/>
    <w:rsid w:val="005303C0"/>
    <w:rsid w:val="00530545"/>
    <w:rsid w:val="00530643"/>
    <w:rsid w:val="00530681"/>
    <w:rsid w:val="005306E8"/>
    <w:rsid w:val="0053077C"/>
    <w:rsid w:val="005307EB"/>
    <w:rsid w:val="00530831"/>
    <w:rsid w:val="0053087E"/>
    <w:rsid w:val="005308DF"/>
    <w:rsid w:val="00530BC4"/>
    <w:rsid w:val="00530F1B"/>
    <w:rsid w:val="0053100B"/>
    <w:rsid w:val="00531049"/>
    <w:rsid w:val="005311FA"/>
    <w:rsid w:val="0053129E"/>
    <w:rsid w:val="005312F2"/>
    <w:rsid w:val="00531335"/>
    <w:rsid w:val="005315A5"/>
    <w:rsid w:val="00531674"/>
    <w:rsid w:val="00531720"/>
    <w:rsid w:val="0053179A"/>
    <w:rsid w:val="00531A07"/>
    <w:rsid w:val="00531A77"/>
    <w:rsid w:val="00531A78"/>
    <w:rsid w:val="00531BBD"/>
    <w:rsid w:val="00531BF7"/>
    <w:rsid w:val="00532033"/>
    <w:rsid w:val="005320B0"/>
    <w:rsid w:val="005321B6"/>
    <w:rsid w:val="0053220B"/>
    <w:rsid w:val="0053224B"/>
    <w:rsid w:val="00532342"/>
    <w:rsid w:val="0053271D"/>
    <w:rsid w:val="005327CF"/>
    <w:rsid w:val="0053287B"/>
    <w:rsid w:val="00532890"/>
    <w:rsid w:val="005329CA"/>
    <w:rsid w:val="00532A29"/>
    <w:rsid w:val="00532A72"/>
    <w:rsid w:val="00532CE2"/>
    <w:rsid w:val="00532E63"/>
    <w:rsid w:val="00532E8B"/>
    <w:rsid w:val="00532F1C"/>
    <w:rsid w:val="0053315E"/>
    <w:rsid w:val="00533180"/>
    <w:rsid w:val="0053319E"/>
    <w:rsid w:val="00533223"/>
    <w:rsid w:val="0053331C"/>
    <w:rsid w:val="0053331D"/>
    <w:rsid w:val="0053340B"/>
    <w:rsid w:val="005334F2"/>
    <w:rsid w:val="00533A0B"/>
    <w:rsid w:val="00533A1B"/>
    <w:rsid w:val="00533A2C"/>
    <w:rsid w:val="00533A3F"/>
    <w:rsid w:val="00533A4A"/>
    <w:rsid w:val="00533AAF"/>
    <w:rsid w:val="00533AC6"/>
    <w:rsid w:val="00533C4C"/>
    <w:rsid w:val="00533C4E"/>
    <w:rsid w:val="00533C7D"/>
    <w:rsid w:val="00533D9B"/>
    <w:rsid w:val="00533E60"/>
    <w:rsid w:val="00533ED7"/>
    <w:rsid w:val="00533F30"/>
    <w:rsid w:val="00533FCA"/>
    <w:rsid w:val="0053408B"/>
    <w:rsid w:val="0053409B"/>
    <w:rsid w:val="0053424A"/>
    <w:rsid w:val="00534311"/>
    <w:rsid w:val="00534425"/>
    <w:rsid w:val="005344C6"/>
    <w:rsid w:val="0053463A"/>
    <w:rsid w:val="0053463D"/>
    <w:rsid w:val="0053476A"/>
    <w:rsid w:val="005348F5"/>
    <w:rsid w:val="0053491D"/>
    <w:rsid w:val="00534B1F"/>
    <w:rsid w:val="00534C74"/>
    <w:rsid w:val="00534FD3"/>
    <w:rsid w:val="005350FC"/>
    <w:rsid w:val="005353BE"/>
    <w:rsid w:val="005353FE"/>
    <w:rsid w:val="00535417"/>
    <w:rsid w:val="005354A5"/>
    <w:rsid w:val="00535606"/>
    <w:rsid w:val="00535658"/>
    <w:rsid w:val="005356DD"/>
    <w:rsid w:val="00535702"/>
    <w:rsid w:val="00535703"/>
    <w:rsid w:val="00535846"/>
    <w:rsid w:val="00535A1D"/>
    <w:rsid w:val="00535A43"/>
    <w:rsid w:val="00535AC9"/>
    <w:rsid w:val="00535ADE"/>
    <w:rsid w:val="00535B93"/>
    <w:rsid w:val="00535DA1"/>
    <w:rsid w:val="00535EEF"/>
    <w:rsid w:val="00535F8B"/>
    <w:rsid w:val="00536057"/>
    <w:rsid w:val="005360C8"/>
    <w:rsid w:val="00536117"/>
    <w:rsid w:val="00536181"/>
    <w:rsid w:val="00536201"/>
    <w:rsid w:val="0053625A"/>
    <w:rsid w:val="005362C2"/>
    <w:rsid w:val="005362E3"/>
    <w:rsid w:val="00536307"/>
    <w:rsid w:val="005363BD"/>
    <w:rsid w:val="00536490"/>
    <w:rsid w:val="0053650F"/>
    <w:rsid w:val="0053651A"/>
    <w:rsid w:val="005365BC"/>
    <w:rsid w:val="005365DD"/>
    <w:rsid w:val="0053667D"/>
    <w:rsid w:val="00536772"/>
    <w:rsid w:val="005368F2"/>
    <w:rsid w:val="00536918"/>
    <w:rsid w:val="0053696D"/>
    <w:rsid w:val="00536974"/>
    <w:rsid w:val="00536978"/>
    <w:rsid w:val="00536A6F"/>
    <w:rsid w:val="00536AAD"/>
    <w:rsid w:val="00536AC1"/>
    <w:rsid w:val="00536AD1"/>
    <w:rsid w:val="00536B9B"/>
    <w:rsid w:val="00536BFF"/>
    <w:rsid w:val="00536C74"/>
    <w:rsid w:val="00536FC8"/>
    <w:rsid w:val="00537040"/>
    <w:rsid w:val="00537045"/>
    <w:rsid w:val="0053712A"/>
    <w:rsid w:val="00537274"/>
    <w:rsid w:val="005372C0"/>
    <w:rsid w:val="0053745A"/>
    <w:rsid w:val="0053745B"/>
    <w:rsid w:val="005374BA"/>
    <w:rsid w:val="005375CD"/>
    <w:rsid w:val="005375E5"/>
    <w:rsid w:val="005376B7"/>
    <w:rsid w:val="0053778E"/>
    <w:rsid w:val="00537825"/>
    <w:rsid w:val="005378E7"/>
    <w:rsid w:val="00537A1D"/>
    <w:rsid w:val="00537A29"/>
    <w:rsid w:val="00537A40"/>
    <w:rsid w:val="00537AE4"/>
    <w:rsid w:val="00537CD0"/>
    <w:rsid w:val="00537CDC"/>
    <w:rsid w:val="00537F50"/>
    <w:rsid w:val="00537FA8"/>
    <w:rsid w:val="00540102"/>
    <w:rsid w:val="00540188"/>
    <w:rsid w:val="005401F1"/>
    <w:rsid w:val="00540289"/>
    <w:rsid w:val="005402AB"/>
    <w:rsid w:val="005402C4"/>
    <w:rsid w:val="005402E0"/>
    <w:rsid w:val="00540310"/>
    <w:rsid w:val="00540487"/>
    <w:rsid w:val="005405EC"/>
    <w:rsid w:val="0054060F"/>
    <w:rsid w:val="0054063F"/>
    <w:rsid w:val="005406BE"/>
    <w:rsid w:val="005406E5"/>
    <w:rsid w:val="00540778"/>
    <w:rsid w:val="00540792"/>
    <w:rsid w:val="0054093F"/>
    <w:rsid w:val="005409E2"/>
    <w:rsid w:val="00540CCB"/>
    <w:rsid w:val="00540D06"/>
    <w:rsid w:val="00540D25"/>
    <w:rsid w:val="00540D65"/>
    <w:rsid w:val="00540DBD"/>
    <w:rsid w:val="00540F3B"/>
    <w:rsid w:val="005410E3"/>
    <w:rsid w:val="005410EF"/>
    <w:rsid w:val="005413FF"/>
    <w:rsid w:val="005414AB"/>
    <w:rsid w:val="005414F3"/>
    <w:rsid w:val="0054154D"/>
    <w:rsid w:val="005416D3"/>
    <w:rsid w:val="00541738"/>
    <w:rsid w:val="005417FB"/>
    <w:rsid w:val="005419CD"/>
    <w:rsid w:val="00541A5C"/>
    <w:rsid w:val="00541A89"/>
    <w:rsid w:val="00541AB3"/>
    <w:rsid w:val="00541ADA"/>
    <w:rsid w:val="00541BCC"/>
    <w:rsid w:val="00541C40"/>
    <w:rsid w:val="00541CAC"/>
    <w:rsid w:val="00541D23"/>
    <w:rsid w:val="00541D95"/>
    <w:rsid w:val="00541DAA"/>
    <w:rsid w:val="00541F4A"/>
    <w:rsid w:val="00541F51"/>
    <w:rsid w:val="005420B0"/>
    <w:rsid w:val="00542120"/>
    <w:rsid w:val="0054230A"/>
    <w:rsid w:val="0054232E"/>
    <w:rsid w:val="00542452"/>
    <w:rsid w:val="005424C0"/>
    <w:rsid w:val="00542607"/>
    <w:rsid w:val="00542659"/>
    <w:rsid w:val="005426E6"/>
    <w:rsid w:val="00542761"/>
    <w:rsid w:val="0054279F"/>
    <w:rsid w:val="005428AF"/>
    <w:rsid w:val="00542AF5"/>
    <w:rsid w:val="00542C2C"/>
    <w:rsid w:val="00542CBC"/>
    <w:rsid w:val="00542D33"/>
    <w:rsid w:val="00542E61"/>
    <w:rsid w:val="00542EA0"/>
    <w:rsid w:val="00542EE2"/>
    <w:rsid w:val="00542F54"/>
    <w:rsid w:val="0054306B"/>
    <w:rsid w:val="0054309A"/>
    <w:rsid w:val="005435DD"/>
    <w:rsid w:val="005436AD"/>
    <w:rsid w:val="005436E6"/>
    <w:rsid w:val="00543783"/>
    <w:rsid w:val="00543825"/>
    <w:rsid w:val="0054383F"/>
    <w:rsid w:val="00543935"/>
    <w:rsid w:val="00543A6B"/>
    <w:rsid w:val="00543B17"/>
    <w:rsid w:val="00543C1F"/>
    <w:rsid w:val="00543CE7"/>
    <w:rsid w:val="00543D0A"/>
    <w:rsid w:val="00543E29"/>
    <w:rsid w:val="00543EF0"/>
    <w:rsid w:val="005441E6"/>
    <w:rsid w:val="005442D7"/>
    <w:rsid w:val="0054449B"/>
    <w:rsid w:val="005444AC"/>
    <w:rsid w:val="00544567"/>
    <w:rsid w:val="005445D3"/>
    <w:rsid w:val="005445F6"/>
    <w:rsid w:val="005445F9"/>
    <w:rsid w:val="0054460F"/>
    <w:rsid w:val="005448D8"/>
    <w:rsid w:val="005449CF"/>
    <w:rsid w:val="005449D2"/>
    <w:rsid w:val="00544A55"/>
    <w:rsid w:val="00544B8D"/>
    <w:rsid w:val="00544BBD"/>
    <w:rsid w:val="00544C26"/>
    <w:rsid w:val="00544D22"/>
    <w:rsid w:val="00544E35"/>
    <w:rsid w:val="0054506E"/>
    <w:rsid w:val="005450EB"/>
    <w:rsid w:val="00545116"/>
    <w:rsid w:val="005452B4"/>
    <w:rsid w:val="00545302"/>
    <w:rsid w:val="00545328"/>
    <w:rsid w:val="005453E7"/>
    <w:rsid w:val="0054554B"/>
    <w:rsid w:val="005458C5"/>
    <w:rsid w:val="00545934"/>
    <w:rsid w:val="005459E2"/>
    <w:rsid w:val="005459FB"/>
    <w:rsid w:val="005459FE"/>
    <w:rsid w:val="00545B03"/>
    <w:rsid w:val="00545B50"/>
    <w:rsid w:val="00545B85"/>
    <w:rsid w:val="00545C91"/>
    <w:rsid w:val="00545CBE"/>
    <w:rsid w:val="00545D82"/>
    <w:rsid w:val="00545FB8"/>
    <w:rsid w:val="00546045"/>
    <w:rsid w:val="0054606D"/>
    <w:rsid w:val="00546085"/>
    <w:rsid w:val="005460D3"/>
    <w:rsid w:val="005461B4"/>
    <w:rsid w:val="00546295"/>
    <w:rsid w:val="0054631A"/>
    <w:rsid w:val="00546352"/>
    <w:rsid w:val="00546373"/>
    <w:rsid w:val="00546477"/>
    <w:rsid w:val="005464FE"/>
    <w:rsid w:val="00546597"/>
    <w:rsid w:val="005465D3"/>
    <w:rsid w:val="00546652"/>
    <w:rsid w:val="00546688"/>
    <w:rsid w:val="005467F0"/>
    <w:rsid w:val="00546824"/>
    <w:rsid w:val="00546984"/>
    <w:rsid w:val="00546F7B"/>
    <w:rsid w:val="00546FF6"/>
    <w:rsid w:val="00547018"/>
    <w:rsid w:val="00547068"/>
    <w:rsid w:val="005470AB"/>
    <w:rsid w:val="005470F5"/>
    <w:rsid w:val="0054712B"/>
    <w:rsid w:val="0054721E"/>
    <w:rsid w:val="00547256"/>
    <w:rsid w:val="0054734B"/>
    <w:rsid w:val="005473A6"/>
    <w:rsid w:val="00547439"/>
    <w:rsid w:val="00547487"/>
    <w:rsid w:val="005475D3"/>
    <w:rsid w:val="00547608"/>
    <w:rsid w:val="00547671"/>
    <w:rsid w:val="005476D6"/>
    <w:rsid w:val="005477D8"/>
    <w:rsid w:val="0054783F"/>
    <w:rsid w:val="00547874"/>
    <w:rsid w:val="005478A3"/>
    <w:rsid w:val="00547B32"/>
    <w:rsid w:val="00547D17"/>
    <w:rsid w:val="00547EE1"/>
    <w:rsid w:val="00547FD2"/>
    <w:rsid w:val="00547FFB"/>
    <w:rsid w:val="005500A2"/>
    <w:rsid w:val="00550384"/>
    <w:rsid w:val="00550578"/>
    <w:rsid w:val="00550604"/>
    <w:rsid w:val="0055065F"/>
    <w:rsid w:val="0055079C"/>
    <w:rsid w:val="005508F8"/>
    <w:rsid w:val="00550950"/>
    <w:rsid w:val="00550967"/>
    <w:rsid w:val="00550A18"/>
    <w:rsid w:val="00550A33"/>
    <w:rsid w:val="00550A88"/>
    <w:rsid w:val="00550A89"/>
    <w:rsid w:val="00550A8A"/>
    <w:rsid w:val="00550B88"/>
    <w:rsid w:val="00550D64"/>
    <w:rsid w:val="00550E21"/>
    <w:rsid w:val="00550EF9"/>
    <w:rsid w:val="00550F8D"/>
    <w:rsid w:val="0055106C"/>
    <w:rsid w:val="0055111F"/>
    <w:rsid w:val="0055119C"/>
    <w:rsid w:val="00551232"/>
    <w:rsid w:val="00551245"/>
    <w:rsid w:val="0055132D"/>
    <w:rsid w:val="0055139F"/>
    <w:rsid w:val="0055162E"/>
    <w:rsid w:val="00551710"/>
    <w:rsid w:val="0055188D"/>
    <w:rsid w:val="005518C5"/>
    <w:rsid w:val="005519B0"/>
    <w:rsid w:val="005519B5"/>
    <w:rsid w:val="00551B03"/>
    <w:rsid w:val="00551B54"/>
    <w:rsid w:val="00551B5B"/>
    <w:rsid w:val="00551B71"/>
    <w:rsid w:val="00551D36"/>
    <w:rsid w:val="00551D4E"/>
    <w:rsid w:val="00551DED"/>
    <w:rsid w:val="00551FFE"/>
    <w:rsid w:val="00552001"/>
    <w:rsid w:val="00552198"/>
    <w:rsid w:val="005521F6"/>
    <w:rsid w:val="0055232D"/>
    <w:rsid w:val="00552333"/>
    <w:rsid w:val="00552471"/>
    <w:rsid w:val="0055250D"/>
    <w:rsid w:val="00552638"/>
    <w:rsid w:val="00552665"/>
    <w:rsid w:val="00552739"/>
    <w:rsid w:val="00552789"/>
    <w:rsid w:val="005527C0"/>
    <w:rsid w:val="005527D9"/>
    <w:rsid w:val="00552820"/>
    <w:rsid w:val="005528BF"/>
    <w:rsid w:val="005528C3"/>
    <w:rsid w:val="00552973"/>
    <w:rsid w:val="00552A10"/>
    <w:rsid w:val="00552B06"/>
    <w:rsid w:val="00552BDE"/>
    <w:rsid w:val="00552CDB"/>
    <w:rsid w:val="00552D74"/>
    <w:rsid w:val="00552D85"/>
    <w:rsid w:val="00552DCC"/>
    <w:rsid w:val="00552E05"/>
    <w:rsid w:val="00552EA4"/>
    <w:rsid w:val="00552ED1"/>
    <w:rsid w:val="005530E3"/>
    <w:rsid w:val="00553195"/>
    <w:rsid w:val="005531A6"/>
    <w:rsid w:val="0055322F"/>
    <w:rsid w:val="00553309"/>
    <w:rsid w:val="0055331E"/>
    <w:rsid w:val="00553461"/>
    <w:rsid w:val="0055361F"/>
    <w:rsid w:val="005536F3"/>
    <w:rsid w:val="00553779"/>
    <w:rsid w:val="00553941"/>
    <w:rsid w:val="0055394D"/>
    <w:rsid w:val="005539B9"/>
    <w:rsid w:val="00553A10"/>
    <w:rsid w:val="00553A67"/>
    <w:rsid w:val="00553C67"/>
    <w:rsid w:val="00553C7B"/>
    <w:rsid w:val="00553CC7"/>
    <w:rsid w:val="00553D95"/>
    <w:rsid w:val="00553DC8"/>
    <w:rsid w:val="00553E8C"/>
    <w:rsid w:val="00553EB1"/>
    <w:rsid w:val="00553F88"/>
    <w:rsid w:val="00553FB3"/>
    <w:rsid w:val="00554009"/>
    <w:rsid w:val="0055406D"/>
    <w:rsid w:val="00554074"/>
    <w:rsid w:val="005540AA"/>
    <w:rsid w:val="005540ED"/>
    <w:rsid w:val="00554470"/>
    <w:rsid w:val="00554499"/>
    <w:rsid w:val="00554516"/>
    <w:rsid w:val="005546AC"/>
    <w:rsid w:val="00554778"/>
    <w:rsid w:val="005548D0"/>
    <w:rsid w:val="00554A13"/>
    <w:rsid w:val="00554B8F"/>
    <w:rsid w:val="00554C05"/>
    <w:rsid w:val="00554D91"/>
    <w:rsid w:val="00554E8D"/>
    <w:rsid w:val="00554F3C"/>
    <w:rsid w:val="00554FF1"/>
    <w:rsid w:val="00555146"/>
    <w:rsid w:val="005551A0"/>
    <w:rsid w:val="00555259"/>
    <w:rsid w:val="0055532D"/>
    <w:rsid w:val="005553AE"/>
    <w:rsid w:val="0055540D"/>
    <w:rsid w:val="005554F0"/>
    <w:rsid w:val="005555C0"/>
    <w:rsid w:val="00555602"/>
    <w:rsid w:val="00555651"/>
    <w:rsid w:val="0055570E"/>
    <w:rsid w:val="0055577F"/>
    <w:rsid w:val="005558A6"/>
    <w:rsid w:val="0055597C"/>
    <w:rsid w:val="0055599F"/>
    <w:rsid w:val="005559F8"/>
    <w:rsid w:val="005559FD"/>
    <w:rsid w:val="00555A7A"/>
    <w:rsid w:val="00555AFF"/>
    <w:rsid w:val="00555B32"/>
    <w:rsid w:val="00555C06"/>
    <w:rsid w:val="00555CA5"/>
    <w:rsid w:val="00555CFA"/>
    <w:rsid w:val="00555D54"/>
    <w:rsid w:val="00555EE9"/>
    <w:rsid w:val="00556093"/>
    <w:rsid w:val="005560B1"/>
    <w:rsid w:val="005560D1"/>
    <w:rsid w:val="0055623B"/>
    <w:rsid w:val="0055623D"/>
    <w:rsid w:val="005564CB"/>
    <w:rsid w:val="00556556"/>
    <w:rsid w:val="0055668B"/>
    <w:rsid w:val="00556700"/>
    <w:rsid w:val="00556787"/>
    <w:rsid w:val="00556826"/>
    <w:rsid w:val="005569DA"/>
    <w:rsid w:val="00556A59"/>
    <w:rsid w:val="00556A5A"/>
    <w:rsid w:val="00556A92"/>
    <w:rsid w:val="00556A99"/>
    <w:rsid w:val="00556A9E"/>
    <w:rsid w:val="00556B50"/>
    <w:rsid w:val="00556BFA"/>
    <w:rsid w:val="00556C98"/>
    <w:rsid w:val="00556CFA"/>
    <w:rsid w:val="00556E4C"/>
    <w:rsid w:val="00556F8C"/>
    <w:rsid w:val="00557005"/>
    <w:rsid w:val="00557093"/>
    <w:rsid w:val="0055713E"/>
    <w:rsid w:val="005571C0"/>
    <w:rsid w:val="005571C3"/>
    <w:rsid w:val="005571CB"/>
    <w:rsid w:val="005571CC"/>
    <w:rsid w:val="0055726E"/>
    <w:rsid w:val="00557317"/>
    <w:rsid w:val="00557434"/>
    <w:rsid w:val="0055743C"/>
    <w:rsid w:val="00557575"/>
    <w:rsid w:val="00557649"/>
    <w:rsid w:val="005576B9"/>
    <w:rsid w:val="005576FF"/>
    <w:rsid w:val="005577B0"/>
    <w:rsid w:val="00557887"/>
    <w:rsid w:val="005578E4"/>
    <w:rsid w:val="005579A2"/>
    <w:rsid w:val="005579AA"/>
    <w:rsid w:val="00557A06"/>
    <w:rsid w:val="00557A62"/>
    <w:rsid w:val="00557BF7"/>
    <w:rsid w:val="00557C77"/>
    <w:rsid w:val="00557CDC"/>
    <w:rsid w:val="00557E23"/>
    <w:rsid w:val="00557ECB"/>
    <w:rsid w:val="00557ED9"/>
    <w:rsid w:val="00557EFF"/>
    <w:rsid w:val="0056010A"/>
    <w:rsid w:val="0056025A"/>
    <w:rsid w:val="005602D7"/>
    <w:rsid w:val="00560612"/>
    <w:rsid w:val="005606BF"/>
    <w:rsid w:val="0056072C"/>
    <w:rsid w:val="00560790"/>
    <w:rsid w:val="0056082A"/>
    <w:rsid w:val="0056087A"/>
    <w:rsid w:val="005608FF"/>
    <w:rsid w:val="00560A21"/>
    <w:rsid w:val="00560AE8"/>
    <w:rsid w:val="00560AF8"/>
    <w:rsid w:val="00560AFD"/>
    <w:rsid w:val="00560B42"/>
    <w:rsid w:val="00560C1A"/>
    <w:rsid w:val="00560C56"/>
    <w:rsid w:val="00560CAE"/>
    <w:rsid w:val="00560D45"/>
    <w:rsid w:val="00560E0D"/>
    <w:rsid w:val="00560FA8"/>
    <w:rsid w:val="00561004"/>
    <w:rsid w:val="0056101D"/>
    <w:rsid w:val="0056112B"/>
    <w:rsid w:val="0056121F"/>
    <w:rsid w:val="0056137B"/>
    <w:rsid w:val="005613CC"/>
    <w:rsid w:val="00561425"/>
    <w:rsid w:val="00561488"/>
    <w:rsid w:val="005614E2"/>
    <w:rsid w:val="005615C3"/>
    <w:rsid w:val="00561609"/>
    <w:rsid w:val="005616DB"/>
    <w:rsid w:val="005617DB"/>
    <w:rsid w:val="005618FE"/>
    <w:rsid w:val="00561905"/>
    <w:rsid w:val="00561928"/>
    <w:rsid w:val="00561A75"/>
    <w:rsid w:val="00561B37"/>
    <w:rsid w:val="00561B87"/>
    <w:rsid w:val="00561D05"/>
    <w:rsid w:val="00561DB2"/>
    <w:rsid w:val="00561DDB"/>
    <w:rsid w:val="00561E1E"/>
    <w:rsid w:val="00561EDD"/>
    <w:rsid w:val="00561F7F"/>
    <w:rsid w:val="00562076"/>
    <w:rsid w:val="005620A7"/>
    <w:rsid w:val="005620C1"/>
    <w:rsid w:val="005620CB"/>
    <w:rsid w:val="005620D7"/>
    <w:rsid w:val="00562135"/>
    <w:rsid w:val="005621F0"/>
    <w:rsid w:val="005622A3"/>
    <w:rsid w:val="00562418"/>
    <w:rsid w:val="00562528"/>
    <w:rsid w:val="00562BE5"/>
    <w:rsid w:val="00562BFA"/>
    <w:rsid w:val="00562C06"/>
    <w:rsid w:val="00562CA6"/>
    <w:rsid w:val="00562E72"/>
    <w:rsid w:val="00562EB5"/>
    <w:rsid w:val="00562EB6"/>
    <w:rsid w:val="00562F1D"/>
    <w:rsid w:val="00562F2F"/>
    <w:rsid w:val="00562F92"/>
    <w:rsid w:val="005630AB"/>
    <w:rsid w:val="005633D5"/>
    <w:rsid w:val="0056346B"/>
    <w:rsid w:val="0056357E"/>
    <w:rsid w:val="005637D5"/>
    <w:rsid w:val="0056387A"/>
    <w:rsid w:val="00563891"/>
    <w:rsid w:val="00563957"/>
    <w:rsid w:val="00563AF1"/>
    <w:rsid w:val="00563D0F"/>
    <w:rsid w:val="00563D5A"/>
    <w:rsid w:val="00563DA7"/>
    <w:rsid w:val="00563DE9"/>
    <w:rsid w:val="00563F26"/>
    <w:rsid w:val="0056406B"/>
    <w:rsid w:val="00564109"/>
    <w:rsid w:val="0056431A"/>
    <w:rsid w:val="005643AF"/>
    <w:rsid w:val="005643C4"/>
    <w:rsid w:val="0056447E"/>
    <w:rsid w:val="0056448C"/>
    <w:rsid w:val="005644B9"/>
    <w:rsid w:val="005646F1"/>
    <w:rsid w:val="00564793"/>
    <w:rsid w:val="005647E0"/>
    <w:rsid w:val="005647E5"/>
    <w:rsid w:val="00564811"/>
    <w:rsid w:val="00564882"/>
    <w:rsid w:val="005649A9"/>
    <w:rsid w:val="00564BF2"/>
    <w:rsid w:val="00564C0F"/>
    <w:rsid w:val="00564C6C"/>
    <w:rsid w:val="00564E40"/>
    <w:rsid w:val="00564E74"/>
    <w:rsid w:val="00564EA6"/>
    <w:rsid w:val="00564EB0"/>
    <w:rsid w:val="00564F3A"/>
    <w:rsid w:val="00564FC6"/>
    <w:rsid w:val="0056531E"/>
    <w:rsid w:val="0056552E"/>
    <w:rsid w:val="0056553E"/>
    <w:rsid w:val="0056554A"/>
    <w:rsid w:val="0056557C"/>
    <w:rsid w:val="0056564B"/>
    <w:rsid w:val="005656AA"/>
    <w:rsid w:val="00565900"/>
    <w:rsid w:val="00565A00"/>
    <w:rsid w:val="00565B0C"/>
    <w:rsid w:val="00565E68"/>
    <w:rsid w:val="00565EA8"/>
    <w:rsid w:val="00565EBA"/>
    <w:rsid w:val="005661E7"/>
    <w:rsid w:val="00566209"/>
    <w:rsid w:val="0056621C"/>
    <w:rsid w:val="005662F5"/>
    <w:rsid w:val="005665CA"/>
    <w:rsid w:val="005666EA"/>
    <w:rsid w:val="00566757"/>
    <w:rsid w:val="005667E5"/>
    <w:rsid w:val="00566877"/>
    <w:rsid w:val="00566886"/>
    <w:rsid w:val="00566A54"/>
    <w:rsid w:val="00566AE7"/>
    <w:rsid w:val="00566B0F"/>
    <w:rsid w:val="00566B1F"/>
    <w:rsid w:val="00566C38"/>
    <w:rsid w:val="00566CFB"/>
    <w:rsid w:val="00566CFF"/>
    <w:rsid w:val="00566D5C"/>
    <w:rsid w:val="00566DD9"/>
    <w:rsid w:val="00566E43"/>
    <w:rsid w:val="005670F8"/>
    <w:rsid w:val="0056713C"/>
    <w:rsid w:val="005672A5"/>
    <w:rsid w:val="0056747A"/>
    <w:rsid w:val="005674FE"/>
    <w:rsid w:val="005675B1"/>
    <w:rsid w:val="005677AD"/>
    <w:rsid w:val="00567805"/>
    <w:rsid w:val="00567864"/>
    <w:rsid w:val="00567948"/>
    <w:rsid w:val="00567959"/>
    <w:rsid w:val="00567985"/>
    <w:rsid w:val="00567A66"/>
    <w:rsid w:val="00567B67"/>
    <w:rsid w:val="00567B6A"/>
    <w:rsid w:val="00567C6D"/>
    <w:rsid w:val="00567D52"/>
    <w:rsid w:val="00567D8C"/>
    <w:rsid w:val="00567E06"/>
    <w:rsid w:val="00567E6E"/>
    <w:rsid w:val="00567F07"/>
    <w:rsid w:val="00567F60"/>
    <w:rsid w:val="00567F8A"/>
    <w:rsid w:val="005700AF"/>
    <w:rsid w:val="00570179"/>
    <w:rsid w:val="0057023F"/>
    <w:rsid w:val="00570257"/>
    <w:rsid w:val="00570276"/>
    <w:rsid w:val="005702B3"/>
    <w:rsid w:val="0057030E"/>
    <w:rsid w:val="00570403"/>
    <w:rsid w:val="0057042E"/>
    <w:rsid w:val="0057055C"/>
    <w:rsid w:val="00570588"/>
    <w:rsid w:val="0057072F"/>
    <w:rsid w:val="0057083B"/>
    <w:rsid w:val="00570961"/>
    <w:rsid w:val="00570B89"/>
    <w:rsid w:val="00570C4E"/>
    <w:rsid w:val="00570C75"/>
    <w:rsid w:val="00570CFA"/>
    <w:rsid w:val="00570CFD"/>
    <w:rsid w:val="00570D2C"/>
    <w:rsid w:val="00570D2F"/>
    <w:rsid w:val="00570D7C"/>
    <w:rsid w:val="00570DEF"/>
    <w:rsid w:val="00570E2A"/>
    <w:rsid w:val="00570E81"/>
    <w:rsid w:val="00570EA3"/>
    <w:rsid w:val="00570F2F"/>
    <w:rsid w:val="00571100"/>
    <w:rsid w:val="0057119F"/>
    <w:rsid w:val="00571216"/>
    <w:rsid w:val="00571355"/>
    <w:rsid w:val="00571379"/>
    <w:rsid w:val="0057146F"/>
    <w:rsid w:val="005714D2"/>
    <w:rsid w:val="00571506"/>
    <w:rsid w:val="00571535"/>
    <w:rsid w:val="00571631"/>
    <w:rsid w:val="00571774"/>
    <w:rsid w:val="005718CF"/>
    <w:rsid w:val="005718EA"/>
    <w:rsid w:val="00571913"/>
    <w:rsid w:val="00571A7A"/>
    <w:rsid w:val="00571B32"/>
    <w:rsid w:val="00571B77"/>
    <w:rsid w:val="00571C3B"/>
    <w:rsid w:val="00571CE9"/>
    <w:rsid w:val="00571DF6"/>
    <w:rsid w:val="00571EE4"/>
    <w:rsid w:val="00571FBA"/>
    <w:rsid w:val="00572257"/>
    <w:rsid w:val="00572279"/>
    <w:rsid w:val="005722B3"/>
    <w:rsid w:val="005723BA"/>
    <w:rsid w:val="005723FB"/>
    <w:rsid w:val="00572410"/>
    <w:rsid w:val="0057245B"/>
    <w:rsid w:val="005724B2"/>
    <w:rsid w:val="005724DE"/>
    <w:rsid w:val="00572517"/>
    <w:rsid w:val="00572885"/>
    <w:rsid w:val="005728A2"/>
    <w:rsid w:val="005728BC"/>
    <w:rsid w:val="005729BB"/>
    <w:rsid w:val="00572B2B"/>
    <w:rsid w:val="00572B60"/>
    <w:rsid w:val="00572B7F"/>
    <w:rsid w:val="00572BE8"/>
    <w:rsid w:val="00572D4F"/>
    <w:rsid w:val="00572D94"/>
    <w:rsid w:val="00572E7D"/>
    <w:rsid w:val="00572ECE"/>
    <w:rsid w:val="0057311E"/>
    <w:rsid w:val="0057312E"/>
    <w:rsid w:val="00573144"/>
    <w:rsid w:val="005732AF"/>
    <w:rsid w:val="0057336B"/>
    <w:rsid w:val="00573389"/>
    <w:rsid w:val="005734D7"/>
    <w:rsid w:val="005734E9"/>
    <w:rsid w:val="0057355B"/>
    <w:rsid w:val="00573576"/>
    <w:rsid w:val="00573677"/>
    <w:rsid w:val="0057367D"/>
    <w:rsid w:val="00573684"/>
    <w:rsid w:val="00573686"/>
    <w:rsid w:val="0057372E"/>
    <w:rsid w:val="005737BE"/>
    <w:rsid w:val="00573939"/>
    <w:rsid w:val="00573B03"/>
    <w:rsid w:val="00573BA2"/>
    <w:rsid w:val="00573C2B"/>
    <w:rsid w:val="00573CF2"/>
    <w:rsid w:val="00573E1A"/>
    <w:rsid w:val="00573E95"/>
    <w:rsid w:val="00573EB3"/>
    <w:rsid w:val="00573F56"/>
    <w:rsid w:val="0057404B"/>
    <w:rsid w:val="0057404C"/>
    <w:rsid w:val="0057406F"/>
    <w:rsid w:val="00574095"/>
    <w:rsid w:val="005741F9"/>
    <w:rsid w:val="005742C7"/>
    <w:rsid w:val="0057441A"/>
    <w:rsid w:val="00574422"/>
    <w:rsid w:val="00574439"/>
    <w:rsid w:val="005744CA"/>
    <w:rsid w:val="0057476E"/>
    <w:rsid w:val="0057477C"/>
    <w:rsid w:val="0057478A"/>
    <w:rsid w:val="005749A5"/>
    <w:rsid w:val="00574BCA"/>
    <w:rsid w:val="00574C47"/>
    <w:rsid w:val="00574C76"/>
    <w:rsid w:val="00574C8D"/>
    <w:rsid w:val="00574CD4"/>
    <w:rsid w:val="00574ECA"/>
    <w:rsid w:val="00574EDF"/>
    <w:rsid w:val="00574EFE"/>
    <w:rsid w:val="00574F15"/>
    <w:rsid w:val="00574FB0"/>
    <w:rsid w:val="005750D5"/>
    <w:rsid w:val="00575354"/>
    <w:rsid w:val="0057535E"/>
    <w:rsid w:val="005753C3"/>
    <w:rsid w:val="0057545E"/>
    <w:rsid w:val="00575462"/>
    <w:rsid w:val="00575503"/>
    <w:rsid w:val="00575577"/>
    <w:rsid w:val="00575798"/>
    <w:rsid w:val="005757E6"/>
    <w:rsid w:val="00575986"/>
    <w:rsid w:val="005759EC"/>
    <w:rsid w:val="00575A46"/>
    <w:rsid w:val="00575CFF"/>
    <w:rsid w:val="00575D00"/>
    <w:rsid w:val="00575D80"/>
    <w:rsid w:val="00575E8C"/>
    <w:rsid w:val="00575EC1"/>
    <w:rsid w:val="00575F63"/>
    <w:rsid w:val="00575F82"/>
    <w:rsid w:val="00576029"/>
    <w:rsid w:val="005760C3"/>
    <w:rsid w:val="0057613C"/>
    <w:rsid w:val="005761BA"/>
    <w:rsid w:val="00576426"/>
    <w:rsid w:val="00576441"/>
    <w:rsid w:val="005765E6"/>
    <w:rsid w:val="0057674B"/>
    <w:rsid w:val="0057689E"/>
    <w:rsid w:val="00576A29"/>
    <w:rsid w:val="00576A58"/>
    <w:rsid w:val="00576B17"/>
    <w:rsid w:val="00576B51"/>
    <w:rsid w:val="00576CA7"/>
    <w:rsid w:val="00576CB2"/>
    <w:rsid w:val="00576E21"/>
    <w:rsid w:val="00576E80"/>
    <w:rsid w:val="00576EC0"/>
    <w:rsid w:val="00576FB3"/>
    <w:rsid w:val="0057713A"/>
    <w:rsid w:val="00577141"/>
    <w:rsid w:val="00577286"/>
    <w:rsid w:val="00577311"/>
    <w:rsid w:val="00577458"/>
    <w:rsid w:val="0057761B"/>
    <w:rsid w:val="0057771A"/>
    <w:rsid w:val="0057775E"/>
    <w:rsid w:val="0057778C"/>
    <w:rsid w:val="00577830"/>
    <w:rsid w:val="00577841"/>
    <w:rsid w:val="00577892"/>
    <w:rsid w:val="005778D5"/>
    <w:rsid w:val="005779BF"/>
    <w:rsid w:val="00577A4A"/>
    <w:rsid w:val="00577AB4"/>
    <w:rsid w:val="00577B53"/>
    <w:rsid w:val="00577B9D"/>
    <w:rsid w:val="00577C90"/>
    <w:rsid w:val="00577D92"/>
    <w:rsid w:val="00577DA3"/>
    <w:rsid w:val="00577DE6"/>
    <w:rsid w:val="00577E16"/>
    <w:rsid w:val="00577E25"/>
    <w:rsid w:val="00580074"/>
    <w:rsid w:val="00580107"/>
    <w:rsid w:val="00580155"/>
    <w:rsid w:val="005801B6"/>
    <w:rsid w:val="005802A7"/>
    <w:rsid w:val="005805F3"/>
    <w:rsid w:val="00580607"/>
    <w:rsid w:val="005806D9"/>
    <w:rsid w:val="00580745"/>
    <w:rsid w:val="005807A4"/>
    <w:rsid w:val="005807EE"/>
    <w:rsid w:val="0058089C"/>
    <w:rsid w:val="005808B4"/>
    <w:rsid w:val="00580A07"/>
    <w:rsid w:val="00580AF1"/>
    <w:rsid w:val="00580C51"/>
    <w:rsid w:val="00580D4A"/>
    <w:rsid w:val="00580FC1"/>
    <w:rsid w:val="00581016"/>
    <w:rsid w:val="00581152"/>
    <w:rsid w:val="005811EE"/>
    <w:rsid w:val="0058120F"/>
    <w:rsid w:val="00581229"/>
    <w:rsid w:val="00581272"/>
    <w:rsid w:val="00581295"/>
    <w:rsid w:val="005812A6"/>
    <w:rsid w:val="00581338"/>
    <w:rsid w:val="005815C3"/>
    <w:rsid w:val="005817BC"/>
    <w:rsid w:val="00581837"/>
    <w:rsid w:val="0058185B"/>
    <w:rsid w:val="00581A4E"/>
    <w:rsid w:val="00581A84"/>
    <w:rsid w:val="00581B1D"/>
    <w:rsid w:val="00581C11"/>
    <w:rsid w:val="00581C20"/>
    <w:rsid w:val="00581D00"/>
    <w:rsid w:val="00581D35"/>
    <w:rsid w:val="00581D51"/>
    <w:rsid w:val="00581DB7"/>
    <w:rsid w:val="00581E1D"/>
    <w:rsid w:val="00581E8C"/>
    <w:rsid w:val="00581EF4"/>
    <w:rsid w:val="005820B3"/>
    <w:rsid w:val="005821F4"/>
    <w:rsid w:val="00582331"/>
    <w:rsid w:val="00582387"/>
    <w:rsid w:val="0058241D"/>
    <w:rsid w:val="00582706"/>
    <w:rsid w:val="00582751"/>
    <w:rsid w:val="0058283E"/>
    <w:rsid w:val="00582863"/>
    <w:rsid w:val="0058286F"/>
    <w:rsid w:val="005828CA"/>
    <w:rsid w:val="005829CE"/>
    <w:rsid w:val="00582B57"/>
    <w:rsid w:val="00582C04"/>
    <w:rsid w:val="00582C99"/>
    <w:rsid w:val="00582CD6"/>
    <w:rsid w:val="00582D7B"/>
    <w:rsid w:val="00582E73"/>
    <w:rsid w:val="00582F7D"/>
    <w:rsid w:val="00582FEE"/>
    <w:rsid w:val="00583003"/>
    <w:rsid w:val="00583046"/>
    <w:rsid w:val="0058306D"/>
    <w:rsid w:val="00583158"/>
    <w:rsid w:val="005832C5"/>
    <w:rsid w:val="005832C9"/>
    <w:rsid w:val="0058341D"/>
    <w:rsid w:val="0058346B"/>
    <w:rsid w:val="00583619"/>
    <w:rsid w:val="0058386D"/>
    <w:rsid w:val="00583889"/>
    <w:rsid w:val="00583910"/>
    <w:rsid w:val="005839BE"/>
    <w:rsid w:val="005839C4"/>
    <w:rsid w:val="00583A23"/>
    <w:rsid w:val="00583AD4"/>
    <w:rsid w:val="00583B77"/>
    <w:rsid w:val="00583D4C"/>
    <w:rsid w:val="00583D77"/>
    <w:rsid w:val="00583FE1"/>
    <w:rsid w:val="00583FF7"/>
    <w:rsid w:val="00584004"/>
    <w:rsid w:val="00584028"/>
    <w:rsid w:val="00584097"/>
    <w:rsid w:val="0058419D"/>
    <w:rsid w:val="0058438D"/>
    <w:rsid w:val="005843EA"/>
    <w:rsid w:val="005844B0"/>
    <w:rsid w:val="005845B8"/>
    <w:rsid w:val="00584669"/>
    <w:rsid w:val="00584686"/>
    <w:rsid w:val="0058483A"/>
    <w:rsid w:val="005848F1"/>
    <w:rsid w:val="005849EA"/>
    <w:rsid w:val="005849F5"/>
    <w:rsid w:val="00584AE6"/>
    <w:rsid w:val="00584C85"/>
    <w:rsid w:val="00584C99"/>
    <w:rsid w:val="00584E87"/>
    <w:rsid w:val="00584F4B"/>
    <w:rsid w:val="00584FDD"/>
    <w:rsid w:val="00584FF5"/>
    <w:rsid w:val="0058510D"/>
    <w:rsid w:val="00585143"/>
    <w:rsid w:val="0058536E"/>
    <w:rsid w:val="0058556A"/>
    <w:rsid w:val="0058557B"/>
    <w:rsid w:val="005855F6"/>
    <w:rsid w:val="00585657"/>
    <w:rsid w:val="0058566A"/>
    <w:rsid w:val="005856EB"/>
    <w:rsid w:val="0058573B"/>
    <w:rsid w:val="005857BF"/>
    <w:rsid w:val="005858C2"/>
    <w:rsid w:val="00585957"/>
    <w:rsid w:val="00585984"/>
    <w:rsid w:val="00585B57"/>
    <w:rsid w:val="00585CB2"/>
    <w:rsid w:val="00585CBF"/>
    <w:rsid w:val="00585E96"/>
    <w:rsid w:val="00585F79"/>
    <w:rsid w:val="00586193"/>
    <w:rsid w:val="00586226"/>
    <w:rsid w:val="0058636C"/>
    <w:rsid w:val="005864DA"/>
    <w:rsid w:val="0058656A"/>
    <w:rsid w:val="00586664"/>
    <w:rsid w:val="005866BA"/>
    <w:rsid w:val="0058674D"/>
    <w:rsid w:val="00586805"/>
    <w:rsid w:val="005868EC"/>
    <w:rsid w:val="005869B5"/>
    <w:rsid w:val="005869EC"/>
    <w:rsid w:val="00586B96"/>
    <w:rsid w:val="00586C26"/>
    <w:rsid w:val="00586D04"/>
    <w:rsid w:val="00586D83"/>
    <w:rsid w:val="00586DE3"/>
    <w:rsid w:val="00586E2C"/>
    <w:rsid w:val="00586E5E"/>
    <w:rsid w:val="0058702E"/>
    <w:rsid w:val="00587113"/>
    <w:rsid w:val="0058712C"/>
    <w:rsid w:val="00587159"/>
    <w:rsid w:val="0058716A"/>
    <w:rsid w:val="00587233"/>
    <w:rsid w:val="00587273"/>
    <w:rsid w:val="00587285"/>
    <w:rsid w:val="00587297"/>
    <w:rsid w:val="00587355"/>
    <w:rsid w:val="00587367"/>
    <w:rsid w:val="005874AC"/>
    <w:rsid w:val="00587527"/>
    <w:rsid w:val="00587732"/>
    <w:rsid w:val="00587772"/>
    <w:rsid w:val="005878BE"/>
    <w:rsid w:val="00587933"/>
    <w:rsid w:val="00587939"/>
    <w:rsid w:val="00587A05"/>
    <w:rsid w:val="00587B9E"/>
    <w:rsid w:val="00587C27"/>
    <w:rsid w:val="00587C5C"/>
    <w:rsid w:val="00587C74"/>
    <w:rsid w:val="00587C7E"/>
    <w:rsid w:val="00587D80"/>
    <w:rsid w:val="00587EBE"/>
    <w:rsid w:val="00587F29"/>
    <w:rsid w:val="00590148"/>
    <w:rsid w:val="00590157"/>
    <w:rsid w:val="0059017D"/>
    <w:rsid w:val="005904ED"/>
    <w:rsid w:val="005906E5"/>
    <w:rsid w:val="00590855"/>
    <w:rsid w:val="00590A46"/>
    <w:rsid w:val="00590BA7"/>
    <w:rsid w:val="00590C41"/>
    <w:rsid w:val="00590C6B"/>
    <w:rsid w:val="00590C90"/>
    <w:rsid w:val="00590D58"/>
    <w:rsid w:val="00590DAF"/>
    <w:rsid w:val="00590DFB"/>
    <w:rsid w:val="00590F21"/>
    <w:rsid w:val="0059118F"/>
    <w:rsid w:val="005911AE"/>
    <w:rsid w:val="00591248"/>
    <w:rsid w:val="00591255"/>
    <w:rsid w:val="00591266"/>
    <w:rsid w:val="0059128F"/>
    <w:rsid w:val="005912FF"/>
    <w:rsid w:val="0059148E"/>
    <w:rsid w:val="005916E2"/>
    <w:rsid w:val="00591938"/>
    <w:rsid w:val="00591A10"/>
    <w:rsid w:val="00591AAE"/>
    <w:rsid w:val="00591AFF"/>
    <w:rsid w:val="00591BC3"/>
    <w:rsid w:val="00591C81"/>
    <w:rsid w:val="00591DCE"/>
    <w:rsid w:val="00591E1E"/>
    <w:rsid w:val="00591EE0"/>
    <w:rsid w:val="00591F26"/>
    <w:rsid w:val="00592038"/>
    <w:rsid w:val="00592271"/>
    <w:rsid w:val="005922D5"/>
    <w:rsid w:val="005923CD"/>
    <w:rsid w:val="0059244E"/>
    <w:rsid w:val="00592499"/>
    <w:rsid w:val="0059269D"/>
    <w:rsid w:val="005926FD"/>
    <w:rsid w:val="005927DB"/>
    <w:rsid w:val="0059284B"/>
    <w:rsid w:val="00592933"/>
    <w:rsid w:val="00592A86"/>
    <w:rsid w:val="00592AE3"/>
    <w:rsid w:val="00592AFD"/>
    <w:rsid w:val="00592B20"/>
    <w:rsid w:val="00592C5C"/>
    <w:rsid w:val="00592D5D"/>
    <w:rsid w:val="00592EAE"/>
    <w:rsid w:val="00592EE9"/>
    <w:rsid w:val="00592EF5"/>
    <w:rsid w:val="00593019"/>
    <w:rsid w:val="005930EE"/>
    <w:rsid w:val="005932CD"/>
    <w:rsid w:val="005932E1"/>
    <w:rsid w:val="00593386"/>
    <w:rsid w:val="005933CA"/>
    <w:rsid w:val="00593547"/>
    <w:rsid w:val="005935BB"/>
    <w:rsid w:val="0059365E"/>
    <w:rsid w:val="005936E0"/>
    <w:rsid w:val="0059374D"/>
    <w:rsid w:val="00593762"/>
    <w:rsid w:val="00593997"/>
    <w:rsid w:val="00593B40"/>
    <w:rsid w:val="00593C2F"/>
    <w:rsid w:val="00593C8B"/>
    <w:rsid w:val="00593C96"/>
    <w:rsid w:val="00593DB1"/>
    <w:rsid w:val="00593DE3"/>
    <w:rsid w:val="00593E39"/>
    <w:rsid w:val="00593EDB"/>
    <w:rsid w:val="0059407C"/>
    <w:rsid w:val="005940AE"/>
    <w:rsid w:val="005940F7"/>
    <w:rsid w:val="005941A5"/>
    <w:rsid w:val="005941EF"/>
    <w:rsid w:val="0059427C"/>
    <w:rsid w:val="0059437F"/>
    <w:rsid w:val="005943F4"/>
    <w:rsid w:val="00594472"/>
    <w:rsid w:val="005944AD"/>
    <w:rsid w:val="005944C7"/>
    <w:rsid w:val="0059454D"/>
    <w:rsid w:val="0059465E"/>
    <w:rsid w:val="0059467F"/>
    <w:rsid w:val="005946CC"/>
    <w:rsid w:val="0059481B"/>
    <w:rsid w:val="00594A05"/>
    <w:rsid w:val="00594A09"/>
    <w:rsid w:val="00594AC9"/>
    <w:rsid w:val="00594BBF"/>
    <w:rsid w:val="00594DF0"/>
    <w:rsid w:val="00594E7D"/>
    <w:rsid w:val="00594E7E"/>
    <w:rsid w:val="00594F1C"/>
    <w:rsid w:val="00594FE1"/>
    <w:rsid w:val="005950ED"/>
    <w:rsid w:val="00595237"/>
    <w:rsid w:val="0059524F"/>
    <w:rsid w:val="005952B4"/>
    <w:rsid w:val="00595330"/>
    <w:rsid w:val="005954B6"/>
    <w:rsid w:val="005954CE"/>
    <w:rsid w:val="005954F7"/>
    <w:rsid w:val="00595592"/>
    <w:rsid w:val="0059574F"/>
    <w:rsid w:val="005959B5"/>
    <w:rsid w:val="00595A21"/>
    <w:rsid w:val="00595B9F"/>
    <w:rsid w:val="00595BC0"/>
    <w:rsid w:val="00595C32"/>
    <w:rsid w:val="00595C45"/>
    <w:rsid w:val="00595C9C"/>
    <w:rsid w:val="00595E22"/>
    <w:rsid w:val="00595E9A"/>
    <w:rsid w:val="00595F02"/>
    <w:rsid w:val="00595F7B"/>
    <w:rsid w:val="00595FF2"/>
    <w:rsid w:val="00596106"/>
    <w:rsid w:val="00596189"/>
    <w:rsid w:val="0059625D"/>
    <w:rsid w:val="005962DC"/>
    <w:rsid w:val="005963FC"/>
    <w:rsid w:val="0059644F"/>
    <w:rsid w:val="0059662C"/>
    <w:rsid w:val="00596692"/>
    <w:rsid w:val="00596762"/>
    <w:rsid w:val="005967EE"/>
    <w:rsid w:val="00596890"/>
    <w:rsid w:val="00596A73"/>
    <w:rsid w:val="00596AF5"/>
    <w:rsid w:val="0059703C"/>
    <w:rsid w:val="0059707E"/>
    <w:rsid w:val="005970B7"/>
    <w:rsid w:val="00597134"/>
    <w:rsid w:val="005971FD"/>
    <w:rsid w:val="0059726A"/>
    <w:rsid w:val="005972D6"/>
    <w:rsid w:val="00597376"/>
    <w:rsid w:val="0059739C"/>
    <w:rsid w:val="00597459"/>
    <w:rsid w:val="005974FF"/>
    <w:rsid w:val="00597530"/>
    <w:rsid w:val="0059757B"/>
    <w:rsid w:val="00597758"/>
    <w:rsid w:val="005977C4"/>
    <w:rsid w:val="00597807"/>
    <w:rsid w:val="00597811"/>
    <w:rsid w:val="0059797B"/>
    <w:rsid w:val="00597AA3"/>
    <w:rsid w:val="00597C16"/>
    <w:rsid w:val="00597C92"/>
    <w:rsid w:val="00597CA3"/>
    <w:rsid w:val="00597D35"/>
    <w:rsid w:val="00597D55"/>
    <w:rsid w:val="00597D58"/>
    <w:rsid w:val="00597D98"/>
    <w:rsid w:val="00597DA9"/>
    <w:rsid w:val="00597E56"/>
    <w:rsid w:val="00597ED8"/>
    <w:rsid w:val="005A00CC"/>
    <w:rsid w:val="005A01C9"/>
    <w:rsid w:val="005A023F"/>
    <w:rsid w:val="005A0287"/>
    <w:rsid w:val="005A02BE"/>
    <w:rsid w:val="005A034F"/>
    <w:rsid w:val="005A0420"/>
    <w:rsid w:val="005A0436"/>
    <w:rsid w:val="005A072F"/>
    <w:rsid w:val="005A081C"/>
    <w:rsid w:val="005A08E6"/>
    <w:rsid w:val="005A0A27"/>
    <w:rsid w:val="005A0AF0"/>
    <w:rsid w:val="005A0B46"/>
    <w:rsid w:val="005A0BA5"/>
    <w:rsid w:val="005A0D26"/>
    <w:rsid w:val="005A0F6B"/>
    <w:rsid w:val="005A0FA7"/>
    <w:rsid w:val="005A1264"/>
    <w:rsid w:val="005A146F"/>
    <w:rsid w:val="005A148A"/>
    <w:rsid w:val="005A1683"/>
    <w:rsid w:val="005A177D"/>
    <w:rsid w:val="005A17C3"/>
    <w:rsid w:val="005A1807"/>
    <w:rsid w:val="005A186F"/>
    <w:rsid w:val="005A1924"/>
    <w:rsid w:val="005A1B25"/>
    <w:rsid w:val="005A1B44"/>
    <w:rsid w:val="005A1C46"/>
    <w:rsid w:val="005A1C81"/>
    <w:rsid w:val="005A1CCF"/>
    <w:rsid w:val="005A1D25"/>
    <w:rsid w:val="005A1E63"/>
    <w:rsid w:val="005A1FA2"/>
    <w:rsid w:val="005A2123"/>
    <w:rsid w:val="005A2224"/>
    <w:rsid w:val="005A236E"/>
    <w:rsid w:val="005A23AD"/>
    <w:rsid w:val="005A2622"/>
    <w:rsid w:val="005A2682"/>
    <w:rsid w:val="005A26BF"/>
    <w:rsid w:val="005A26EC"/>
    <w:rsid w:val="005A2751"/>
    <w:rsid w:val="005A276E"/>
    <w:rsid w:val="005A289E"/>
    <w:rsid w:val="005A2939"/>
    <w:rsid w:val="005A2AFF"/>
    <w:rsid w:val="005A2CD8"/>
    <w:rsid w:val="005A2DDF"/>
    <w:rsid w:val="005A2E02"/>
    <w:rsid w:val="005A2E0E"/>
    <w:rsid w:val="005A2FD9"/>
    <w:rsid w:val="005A3006"/>
    <w:rsid w:val="005A300D"/>
    <w:rsid w:val="005A3065"/>
    <w:rsid w:val="005A31B9"/>
    <w:rsid w:val="005A3236"/>
    <w:rsid w:val="005A335F"/>
    <w:rsid w:val="005A33C0"/>
    <w:rsid w:val="005A33D9"/>
    <w:rsid w:val="005A344C"/>
    <w:rsid w:val="005A346D"/>
    <w:rsid w:val="005A349A"/>
    <w:rsid w:val="005A3655"/>
    <w:rsid w:val="005A369D"/>
    <w:rsid w:val="005A37EC"/>
    <w:rsid w:val="005A390B"/>
    <w:rsid w:val="005A391D"/>
    <w:rsid w:val="005A392C"/>
    <w:rsid w:val="005A3A23"/>
    <w:rsid w:val="005A3CB9"/>
    <w:rsid w:val="005A3D84"/>
    <w:rsid w:val="005A3DD1"/>
    <w:rsid w:val="005A3EE1"/>
    <w:rsid w:val="005A3EEF"/>
    <w:rsid w:val="005A3EFB"/>
    <w:rsid w:val="005A3F3B"/>
    <w:rsid w:val="005A3FC1"/>
    <w:rsid w:val="005A4002"/>
    <w:rsid w:val="005A40A3"/>
    <w:rsid w:val="005A4154"/>
    <w:rsid w:val="005A4171"/>
    <w:rsid w:val="005A4254"/>
    <w:rsid w:val="005A427C"/>
    <w:rsid w:val="005A4330"/>
    <w:rsid w:val="005A444A"/>
    <w:rsid w:val="005A45A4"/>
    <w:rsid w:val="005A4642"/>
    <w:rsid w:val="005A464A"/>
    <w:rsid w:val="005A4661"/>
    <w:rsid w:val="005A46DD"/>
    <w:rsid w:val="005A4856"/>
    <w:rsid w:val="005A48EA"/>
    <w:rsid w:val="005A4995"/>
    <w:rsid w:val="005A4AA6"/>
    <w:rsid w:val="005A4C74"/>
    <w:rsid w:val="005A4DA7"/>
    <w:rsid w:val="005A4E30"/>
    <w:rsid w:val="005A4F64"/>
    <w:rsid w:val="005A5096"/>
    <w:rsid w:val="005A5172"/>
    <w:rsid w:val="005A527B"/>
    <w:rsid w:val="005A52E3"/>
    <w:rsid w:val="005A54AB"/>
    <w:rsid w:val="005A557C"/>
    <w:rsid w:val="005A5634"/>
    <w:rsid w:val="005A5647"/>
    <w:rsid w:val="005A5690"/>
    <w:rsid w:val="005A5984"/>
    <w:rsid w:val="005A5A00"/>
    <w:rsid w:val="005A5A9F"/>
    <w:rsid w:val="005A5B4B"/>
    <w:rsid w:val="005A5BC7"/>
    <w:rsid w:val="005A5C52"/>
    <w:rsid w:val="005A5C59"/>
    <w:rsid w:val="005A5CDD"/>
    <w:rsid w:val="005A5D19"/>
    <w:rsid w:val="005A5DE2"/>
    <w:rsid w:val="005A5DF0"/>
    <w:rsid w:val="005A5FDB"/>
    <w:rsid w:val="005A610C"/>
    <w:rsid w:val="005A6215"/>
    <w:rsid w:val="005A62FB"/>
    <w:rsid w:val="005A630D"/>
    <w:rsid w:val="005A683E"/>
    <w:rsid w:val="005A6990"/>
    <w:rsid w:val="005A6A6B"/>
    <w:rsid w:val="005A6AF6"/>
    <w:rsid w:val="005A6B33"/>
    <w:rsid w:val="005A6B52"/>
    <w:rsid w:val="005A6BAE"/>
    <w:rsid w:val="005A6CA9"/>
    <w:rsid w:val="005A6D77"/>
    <w:rsid w:val="005A6E29"/>
    <w:rsid w:val="005A6EF0"/>
    <w:rsid w:val="005A6F5F"/>
    <w:rsid w:val="005A70A2"/>
    <w:rsid w:val="005A71B1"/>
    <w:rsid w:val="005A7243"/>
    <w:rsid w:val="005A7375"/>
    <w:rsid w:val="005A758F"/>
    <w:rsid w:val="005A7660"/>
    <w:rsid w:val="005A76B2"/>
    <w:rsid w:val="005A76DC"/>
    <w:rsid w:val="005A791D"/>
    <w:rsid w:val="005A7987"/>
    <w:rsid w:val="005A79DB"/>
    <w:rsid w:val="005A7AD6"/>
    <w:rsid w:val="005A7AF1"/>
    <w:rsid w:val="005A7B02"/>
    <w:rsid w:val="005A7B23"/>
    <w:rsid w:val="005A7CDF"/>
    <w:rsid w:val="005A7CE3"/>
    <w:rsid w:val="005A7CE8"/>
    <w:rsid w:val="005A7D01"/>
    <w:rsid w:val="005A7DD6"/>
    <w:rsid w:val="005A7DF5"/>
    <w:rsid w:val="005A7E12"/>
    <w:rsid w:val="005A7E61"/>
    <w:rsid w:val="005A7FC6"/>
    <w:rsid w:val="005B0182"/>
    <w:rsid w:val="005B01BE"/>
    <w:rsid w:val="005B0498"/>
    <w:rsid w:val="005B05DE"/>
    <w:rsid w:val="005B067F"/>
    <w:rsid w:val="005B0740"/>
    <w:rsid w:val="005B07E6"/>
    <w:rsid w:val="005B0805"/>
    <w:rsid w:val="005B0807"/>
    <w:rsid w:val="005B0880"/>
    <w:rsid w:val="005B088D"/>
    <w:rsid w:val="005B08CF"/>
    <w:rsid w:val="005B0950"/>
    <w:rsid w:val="005B098C"/>
    <w:rsid w:val="005B09EC"/>
    <w:rsid w:val="005B0ACE"/>
    <w:rsid w:val="005B0CE4"/>
    <w:rsid w:val="005B0E37"/>
    <w:rsid w:val="005B0E96"/>
    <w:rsid w:val="005B0FAA"/>
    <w:rsid w:val="005B122C"/>
    <w:rsid w:val="005B1271"/>
    <w:rsid w:val="005B1273"/>
    <w:rsid w:val="005B12A8"/>
    <w:rsid w:val="005B1330"/>
    <w:rsid w:val="005B13DE"/>
    <w:rsid w:val="005B14E1"/>
    <w:rsid w:val="005B1539"/>
    <w:rsid w:val="005B15DB"/>
    <w:rsid w:val="005B1648"/>
    <w:rsid w:val="005B167C"/>
    <w:rsid w:val="005B16DE"/>
    <w:rsid w:val="005B16E8"/>
    <w:rsid w:val="005B16EF"/>
    <w:rsid w:val="005B171A"/>
    <w:rsid w:val="005B174F"/>
    <w:rsid w:val="005B17D5"/>
    <w:rsid w:val="005B17E4"/>
    <w:rsid w:val="005B1951"/>
    <w:rsid w:val="005B195E"/>
    <w:rsid w:val="005B1991"/>
    <w:rsid w:val="005B1A0C"/>
    <w:rsid w:val="005B1B46"/>
    <w:rsid w:val="005B1C40"/>
    <w:rsid w:val="005B1C44"/>
    <w:rsid w:val="005B1CC2"/>
    <w:rsid w:val="005B1CDB"/>
    <w:rsid w:val="005B1D2D"/>
    <w:rsid w:val="005B1E67"/>
    <w:rsid w:val="005B1E80"/>
    <w:rsid w:val="005B1FDB"/>
    <w:rsid w:val="005B1FDF"/>
    <w:rsid w:val="005B2022"/>
    <w:rsid w:val="005B21AC"/>
    <w:rsid w:val="005B21B9"/>
    <w:rsid w:val="005B2213"/>
    <w:rsid w:val="005B2231"/>
    <w:rsid w:val="005B2376"/>
    <w:rsid w:val="005B248F"/>
    <w:rsid w:val="005B2551"/>
    <w:rsid w:val="005B2618"/>
    <w:rsid w:val="005B26AD"/>
    <w:rsid w:val="005B26BD"/>
    <w:rsid w:val="005B283F"/>
    <w:rsid w:val="005B286E"/>
    <w:rsid w:val="005B28A7"/>
    <w:rsid w:val="005B28D5"/>
    <w:rsid w:val="005B2939"/>
    <w:rsid w:val="005B2964"/>
    <w:rsid w:val="005B2B10"/>
    <w:rsid w:val="005B2B72"/>
    <w:rsid w:val="005B2C77"/>
    <w:rsid w:val="005B2D03"/>
    <w:rsid w:val="005B2DC0"/>
    <w:rsid w:val="005B2DD5"/>
    <w:rsid w:val="005B2DF8"/>
    <w:rsid w:val="005B2F0A"/>
    <w:rsid w:val="005B2F3E"/>
    <w:rsid w:val="005B3000"/>
    <w:rsid w:val="005B3093"/>
    <w:rsid w:val="005B30BD"/>
    <w:rsid w:val="005B3222"/>
    <w:rsid w:val="005B323C"/>
    <w:rsid w:val="005B32EE"/>
    <w:rsid w:val="005B3345"/>
    <w:rsid w:val="005B3346"/>
    <w:rsid w:val="005B3405"/>
    <w:rsid w:val="005B347E"/>
    <w:rsid w:val="005B34CC"/>
    <w:rsid w:val="005B366F"/>
    <w:rsid w:val="005B3701"/>
    <w:rsid w:val="005B3745"/>
    <w:rsid w:val="005B37B2"/>
    <w:rsid w:val="005B3AF3"/>
    <w:rsid w:val="005B3B18"/>
    <w:rsid w:val="005B3B90"/>
    <w:rsid w:val="005B3C97"/>
    <w:rsid w:val="005B3D11"/>
    <w:rsid w:val="005B3F42"/>
    <w:rsid w:val="005B3F46"/>
    <w:rsid w:val="005B3F7E"/>
    <w:rsid w:val="005B3F80"/>
    <w:rsid w:val="005B4052"/>
    <w:rsid w:val="005B4106"/>
    <w:rsid w:val="005B4108"/>
    <w:rsid w:val="005B4419"/>
    <w:rsid w:val="005B4597"/>
    <w:rsid w:val="005B4978"/>
    <w:rsid w:val="005B4988"/>
    <w:rsid w:val="005B49C3"/>
    <w:rsid w:val="005B4AA3"/>
    <w:rsid w:val="005B4D22"/>
    <w:rsid w:val="005B4D85"/>
    <w:rsid w:val="005B4D9C"/>
    <w:rsid w:val="005B4E0F"/>
    <w:rsid w:val="005B4E38"/>
    <w:rsid w:val="005B4EAD"/>
    <w:rsid w:val="005B4EDA"/>
    <w:rsid w:val="005B503A"/>
    <w:rsid w:val="005B50E6"/>
    <w:rsid w:val="005B51B0"/>
    <w:rsid w:val="005B52A8"/>
    <w:rsid w:val="005B52AD"/>
    <w:rsid w:val="005B52BA"/>
    <w:rsid w:val="005B52F5"/>
    <w:rsid w:val="005B56CB"/>
    <w:rsid w:val="005B5877"/>
    <w:rsid w:val="005B5A6C"/>
    <w:rsid w:val="005B5C0E"/>
    <w:rsid w:val="005B5D07"/>
    <w:rsid w:val="005B5D37"/>
    <w:rsid w:val="005B5D9A"/>
    <w:rsid w:val="005B5F91"/>
    <w:rsid w:val="005B600F"/>
    <w:rsid w:val="005B601F"/>
    <w:rsid w:val="005B6141"/>
    <w:rsid w:val="005B61D3"/>
    <w:rsid w:val="005B63F4"/>
    <w:rsid w:val="005B640B"/>
    <w:rsid w:val="005B650D"/>
    <w:rsid w:val="005B6594"/>
    <w:rsid w:val="005B65D6"/>
    <w:rsid w:val="005B6639"/>
    <w:rsid w:val="005B6651"/>
    <w:rsid w:val="005B6689"/>
    <w:rsid w:val="005B688E"/>
    <w:rsid w:val="005B6895"/>
    <w:rsid w:val="005B68FB"/>
    <w:rsid w:val="005B6A0B"/>
    <w:rsid w:val="005B6AEB"/>
    <w:rsid w:val="005B6B37"/>
    <w:rsid w:val="005B6BD8"/>
    <w:rsid w:val="005B6C83"/>
    <w:rsid w:val="005B703A"/>
    <w:rsid w:val="005B7129"/>
    <w:rsid w:val="005B714A"/>
    <w:rsid w:val="005B71C3"/>
    <w:rsid w:val="005B7212"/>
    <w:rsid w:val="005B7228"/>
    <w:rsid w:val="005B726B"/>
    <w:rsid w:val="005B766B"/>
    <w:rsid w:val="005B7676"/>
    <w:rsid w:val="005B773F"/>
    <w:rsid w:val="005B793B"/>
    <w:rsid w:val="005B7A64"/>
    <w:rsid w:val="005B7B32"/>
    <w:rsid w:val="005B7B5E"/>
    <w:rsid w:val="005B7BE2"/>
    <w:rsid w:val="005B7BF1"/>
    <w:rsid w:val="005B7D3A"/>
    <w:rsid w:val="005B7DE1"/>
    <w:rsid w:val="005B7E33"/>
    <w:rsid w:val="005B7F24"/>
    <w:rsid w:val="005B7FB1"/>
    <w:rsid w:val="005C005F"/>
    <w:rsid w:val="005C0330"/>
    <w:rsid w:val="005C036C"/>
    <w:rsid w:val="005C03FA"/>
    <w:rsid w:val="005C04AB"/>
    <w:rsid w:val="005C04CF"/>
    <w:rsid w:val="005C0521"/>
    <w:rsid w:val="005C068D"/>
    <w:rsid w:val="005C0691"/>
    <w:rsid w:val="005C071C"/>
    <w:rsid w:val="005C079B"/>
    <w:rsid w:val="005C0BBE"/>
    <w:rsid w:val="005C0C20"/>
    <w:rsid w:val="005C0C88"/>
    <w:rsid w:val="005C0E35"/>
    <w:rsid w:val="005C0E62"/>
    <w:rsid w:val="005C10C7"/>
    <w:rsid w:val="005C1113"/>
    <w:rsid w:val="005C12B9"/>
    <w:rsid w:val="005C12CB"/>
    <w:rsid w:val="005C13EE"/>
    <w:rsid w:val="005C14E7"/>
    <w:rsid w:val="005C1513"/>
    <w:rsid w:val="005C152A"/>
    <w:rsid w:val="005C1593"/>
    <w:rsid w:val="005C17EC"/>
    <w:rsid w:val="005C1848"/>
    <w:rsid w:val="005C1948"/>
    <w:rsid w:val="005C1AA8"/>
    <w:rsid w:val="005C1BDA"/>
    <w:rsid w:val="005C1E20"/>
    <w:rsid w:val="005C1FFF"/>
    <w:rsid w:val="005C203F"/>
    <w:rsid w:val="005C209B"/>
    <w:rsid w:val="005C20EF"/>
    <w:rsid w:val="005C21E8"/>
    <w:rsid w:val="005C223E"/>
    <w:rsid w:val="005C22BC"/>
    <w:rsid w:val="005C22FB"/>
    <w:rsid w:val="005C2307"/>
    <w:rsid w:val="005C238F"/>
    <w:rsid w:val="005C23A1"/>
    <w:rsid w:val="005C2402"/>
    <w:rsid w:val="005C24B3"/>
    <w:rsid w:val="005C25BF"/>
    <w:rsid w:val="005C2788"/>
    <w:rsid w:val="005C2AAA"/>
    <w:rsid w:val="005C2B83"/>
    <w:rsid w:val="005C2B89"/>
    <w:rsid w:val="005C2C88"/>
    <w:rsid w:val="005C2DE1"/>
    <w:rsid w:val="005C2F06"/>
    <w:rsid w:val="005C2FD7"/>
    <w:rsid w:val="005C30FF"/>
    <w:rsid w:val="005C3115"/>
    <w:rsid w:val="005C316E"/>
    <w:rsid w:val="005C34FD"/>
    <w:rsid w:val="005C35AB"/>
    <w:rsid w:val="005C360B"/>
    <w:rsid w:val="005C36AD"/>
    <w:rsid w:val="005C37E2"/>
    <w:rsid w:val="005C3874"/>
    <w:rsid w:val="005C396A"/>
    <w:rsid w:val="005C3A8F"/>
    <w:rsid w:val="005C3CA5"/>
    <w:rsid w:val="005C3F3B"/>
    <w:rsid w:val="005C407B"/>
    <w:rsid w:val="005C410A"/>
    <w:rsid w:val="005C4112"/>
    <w:rsid w:val="005C425B"/>
    <w:rsid w:val="005C4270"/>
    <w:rsid w:val="005C42C7"/>
    <w:rsid w:val="005C42DC"/>
    <w:rsid w:val="005C433C"/>
    <w:rsid w:val="005C4349"/>
    <w:rsid w:val="005C4367"/>
    <w:rsid w:val="005C449F"/>
    <w:rsid w:val="005C45F6"/>
    <w:rsid w:val="005C4689"/>
    <w:rsid w:val="005C469B"/>
    <w:rsid w:val="005C46BC"/>
    <w:rsid w:val="005C4727"/>
    <w:rsid w:val="005C4743"/>
    <w:rsid w:val="005C4873"/>
    <w:rsid w:val="005C4990"/>
    <w:rsid w:val="005C4A9D"/>
    <w:rsid w:val="005C4B1A"/>
    <w:rsid w:val="005C4B96"/>
    <w:rsid w:val="005C4BAB"/>
    <w:rsid w:val="005C4C0D"/>
    <w:rsid w:val="005C4D0F"/>
    <w:rsid w:val="005C4DC9"/>
    <w:rsid w:val="005C4E5B"/>
    <w:rsid w:val="005C4EC0"/>
    <w:rsid w:val="005C4F5F"/>
    <w:rsid w:val="005C4F79"/>
    <w:rsid w:val="005C4FA8"/>
    <w:rsid w:val="005C500D"/>
    <w:rsid w:val="005C50B1"/>
    <w:rsid w:val="005C511C"/>
    <w:rsid w:val="005C5166"/>
    <w:rsid w:val="005C52E6"/>
    <w:rsid w:val="005C5350"/>
    <w:rsid w:val="005C5455"/>
    <w:rsid w:val="005C5475"/>
    <w:rsid w:val="005C547D"/>
    <w:rsid w:val="005C54C5"/>
    <w:rsid w:val="005C5505"/>
    <w:rsid w:val="005C57F4"/>
    <w:rsid w:val="005C5870"/>
    <w:rsid w:val="005C5AAB"/>
    <w:rsid w:val="005C5B54"/>
    <w:rsid w:val="005C5B59"/>
    <w:rsid w:val="005C5B60"/>
    <w:rsid w:val="005C5C5D"/>
    <w:rsid w:val="005C5CA4"/>
    <w:rsid w:val="005C5CEB"/>
    <w:rsid w:val="005C5D40"/>
    <w:rsid w:val="005C5FAA"/>
    <w:rsid w:val="005C5FC3"/>
    <w:rsid w:val="005C615D"/>
    <w:rsid w:val="005C627D"/>
    <w:rsid w:val="005C62C3"/>
    <w:rsid w:val="005C640B"/>
    <w:rsid w:val="005C662B"/>
    <w:rsid w:val="005C6769"/>
    <w:rsid w:val="005C677A"/>
    <w:rsid w:val="005C677D"/>
    <w:rsid w:val="005C67FC"/>
    <w:rsid w:val="005C68A2"/>
    <w:rsid w:val="005C6922"/>
    <w:rsid w:val="005C6B4B"/>
    <w:rsid w:val="005C6C61"/>
    <w:rsid w:val="005C6CB1"/>
    <w:rsid w:val="005C6E4F"/>
    <w:rsid w:val="005C6E9A"/>
    <w:rsid w:val="005C6F56"/>
    <w:rsid w:val="005C6F75"/>
    <w:rsid w:val="005C7034"/>
    <w:rsid w:val="005C71DC"/>
    <w:rsid w:val="005C7353"/>
    <w:rsid w:val="005C73CA"/>
    <w:rsid w:val="005C74E1"/>
    <w:rsid w:val="005C7526"/>
    <w:rsid w:val="005C75E1"/>
    <w:rsid w:val="005C7670"/>
    <w:rsid w:val="005C767C"/>
    <w:rsid w:val="005C76FB"/>
    <w:rsid w:val="005C7707"/>
    <w:rsid w:val="005C775B"/>
    <w:rsid w:val="005C794B"/>
    <w:rsid w:val="005C7A34"/>
    <w:rsid w:val="005C7BC3"/>
    <w:rsid w:val="005C7BE1"/>
    <w:rsid w:val="005C7E81"/>
    <w:rsid w:val="005C7EF5"/>
    <w:rsid w:val="005D014A"/>
    <w:rsid w:val="005D015F"/>
    <w:rsid w:val="005D01AD"/>
    <w:rsid w:val="005D02A5"/>
    <w:rsid w:val="005D03DA"/>
    <w:rsid w:val="005D041B"/>
    <w:rsid w:val="005D0571"/>
    <w:rsid w:val="005D06E5"/>
    <w:rsid w:val="005D078B"/>
    <w:rsid w:val="005D07A2"/>
    <w:rsid w:val="005D07DA"/>
    <w:rsid w:val="005D0841"/>
    <w:rsid w:val="005D086F"/>
    <w:rsid w:val="005D08B2"/>
    <w:rsid w:val="005D08F8"/>
    <w:rsid w:val="005D09EC"/>
    <w:rsid w:val="005D0A40"/>
    <w:rsid w:val="005D0A91"/>
    <w:rsid w:val="005D0AE5"/>
    <w:rsid w:val="005D0AF4"/>
    <w:rsid w:val="005D0B0F"/>
    <w:rsid w:val="005D0BD0"/>
    <w:rsid w:val="005D0CDE"/>
    <w:rsid w:val="005D0D3B"/>
    <w:rsid w:val="005D0FB7"/>
    <w:rsid w:val="005D1059"/>
    <w:rsid w:val="005D1125"/>
    <w:rsid w:val="005D12EA"/>
    <w:rsid w:val="005D1332"/>
    <w:rsid w:val="005D13FD"/>
    <w:rsid w:val="005D143E"/>
    <w:rsid w:val="005D1461"/>
    <w:rsid w:val="005D162D"/>
    <w:rsid w:val="005D1857"/>
    <w:rsid w:val="005D186D"/>
    <w:rsid w:val="005D1886"/>
    <w:rsid w:val="005D18EB"/>
    <w:rsid w:val="005D19CB"/>
    <w:rsid w:val="005D1A4D"/>
    <w:rsid w:val="005D1CDC"/>
    <w:rsid w:val="005D1E05"/>
    <w:rsid w:val="005D1E6F"/>
    <w:rsid w:val="005D1ED0"/>
    <w:rsid w:val="005D1FA9"/>
    <w:rsid w:val="005D20BE"/>
    <w:rsid w:val="005D212F"/>
    <w:rsid w:val="005D2274"/>
    <w:rsid w:val="005D2281"/>
    <w:rsid w:val="005D2304"/>
    <w:rsid w:val="005D237B"/>
    <w:rsid w:val="005D2449"/>
    <w:rsid w:val="005D2456"/>
    <w:rsid w:val="005D25EA"/>
    <w:rsid w:val="005D263C"/>
    <w:rsid w:val="005D2766"/>
    <w:rsid w:val="005D280A"/>
    <w:rsid w:val="005D2850"/>
    <w:rsid w:val="005D2851"/>
    <w:rsid w:val="005D29BF"/>
    <w:rsid w:val="005D29F8"/>
    <w:rsid w:val="005D2BE6"/>
    <w:rsid w:val="005D2CCA"/>
    <w:rsid w:val="005D2D93"/>
    <w:rsid w:val="005D2E32"/>
    <w:rsid w:val="005D2EAD"/>
    <w:rsid w:val="005D3095"/>
    <w:rsid w:val="005D3147"/>
    <w:rsid w:val="005D321C"/>
    <w:rsid w:val="005D33B4"/>
    <w:rsid w:val="005D34CD"/>
    <w:rsid w:val="005D36F4"/>
    <w:rsid w:val="005D3719"/>
    <w:rsid w:val="005D388E"/>
    <w:rsid w:val="005D3923"/>
    <w:rsid w:val="005D39FA"/>
    <w:rsid w:val="005D3B0B"/>
    <w:rsid w:val="005D3CB1"/>
    <w:rsid w:val="005D3CC8"/>
    <w:rsid w:val="005D3CE8"/>
    <w:rsid w:val="005D3D03"/>
    <w:rsid w:val="005D3DED"/>
    <w:rsid w:val="005D3EF0"/>
    <w:rsid w:val="005D419C"/>
    <w:rsid w:val="005D420D"/>
    <w:rsid w:val="005D4434"/>
    <w:rsid w:val="005D45A7"/>
    <w:rsid w:val="005D46E6"/>
    <w:rsid w:val="005D47FA"/>
    <w:rsid w:val="005D4804"/>
    <w:rsid w:val="005D497D"/>
    <w:rsid w:val="005D49CC"/>
    <w:rsid w:val="005D49FD"/>
    <w:rsid w:val="005D4B9A"/>
    <w:rsid w:val="005D4C7C"/>
    <w:rsid w:val="005D4C8E"/>
    <w:rsid w:val="005D4CD8"/>
    <w:rsid w:val="005D5013"/>
    <w:rsid w:val="005D5157"/>
    <w:rsid w:val="005D5382"/>
    <w:rsid w:val="005D5384"/>
    <w:rsid w:val="005D5603"/>
    <w:rsid w:val="005D567E"/>
    <w:rsid w:val="005D56D5"/>
    <w:rsid w:val="005D57C8"/>
    <w:rsid w:val="005D5836"/>
    <w:rsid w:val="005D58B6"/>
    <w:rsid w:val="005D59BE"/>
    <w:rsid w:val="005D59EB"/>
    <w:rsid w:val="005D5A27"/>
    <w:rsid w:val="005D5A4B"/>
    <w:rsid w:val="005D5B7E"/>
    <w:rsid w:val="005D5CD5"/>
    <w:rsid w:val="005D5DDE"/>
    <w:rsid w:val="005D5DE4"/>
    <w:rsid w:val="005D5E12"/>
    <w:rsid w:val="005D5FEB"/>
    <w:rsid w:val="005D5FF6"/>
    <w:rsid w:val="005D5FF7"/>
    <w:rsid w:val="005D6017"/>
    <w:rsid w:val="005D6098"/>
    <w:rsid w:val="005D6170"/>
    <w:rsid w:val="005D6275"/>
    <w:rsid w:val="005D6488"/>
    <w:rsid w:val="005D65CB"/>
    <w:rsid w:val="005D65EB"/>
    <w:rsid w:val="005D65FE"/>
    <w:rsid w:val="005D65FF"/>
    <w:rsid w:val="005D674C"/>
    <w:rsid w:val="005D67AC"/>
    <w:rsid w:val="005D689E"/>
    <w:rsid w:val="005D6960"/>
    <w:rsid w:val="005D69B3"/>
    <w:rsid w:val="005D6AB7"/>
    <w:rsid w:val="005D6B54"/>
    <w:rsid w:val="005D6B91"/>
    <w:rsid w:val="005D6CD3"/>
    <w:rsid w:val="005D6F70"/>
    <w:rsid w:val="005D7138"/>
    <w:rsid w:val="005D7299"/>
    <w:rsid w:val="005D72B5"/>
    <w:rsid w:val="005D73F6"/>
    <w:rsid w:val="005D7483"/>
    <w:rsid w:val="005D74BA"/>
    <w:rsid w:val="005D7553"/>
    <w:rsid w:val="005D76CF"/>
    <w:rsid w:val="005D76F7"/>
    <w:rsid w:val="005D770D"/>
    <w:rsid w:val="005D7775"/>
    <w:rsid w:val="005D7857"/>
    <w:rsid w:val="005D78A7"/>
    <w:rsid w:val="005D7A55"/>
    <w:rsid w:val="005D7B12"/>
    <w:rsid w:val="005D7B3D"/>
    <w:rsid w:val="005D7BE0"/>
    <w:rsid w:val="005D7C44"/>
    <w:rsid w:val="005D7C84"/>
    <w:rsid w:val="005D7E06"/>
    <w:rsid w:val="005D7F26"/>
    <w:rsid w:val="005D7F65"/>
    <w:rsid w:val="005D7FDE"/>
    <w:rsid w:val="005E0065"/>
    <w:rsid w:val="005E00A9"/>
    <w:rsid w:val="005E00ED"/>
    <w:rsid w:val="005E0237"/>
    <w:rsid w:val="005E02A4"/>
    <w:rsid w:val="005E02D2"/>
    <w:rsid w:val="005E038A"/>
    <w:rsid w:val="005E0451"/>
    <w:rsid w:val="005E0497"/>
    <w:rsid w:val="005E04AA"/>
    <w:rsid w:val="005E04CD"/>
    <w:rsid w:val="005E04E4"/>
    <w:rsid w:val="005E06A4"/>
    <w:rsid w:val="005E0729"/>
    <w:rsid w:val="005E0738"/>
    <w:rsid w:val="005E0825"/>
    <w:rsid w:val="005E0899"/>
    <w:rsid w:val="005E08AF"/>
    <w:rsid w:val="005E08D3"/>
    <w:rsid w:val="005E09BF"/>
    <w:rsid w:val="005E09EA"/>
    <w:rsid w:val="005E0A01"/>
    <w:rsid w:val="005E0B20"/>
    <w:rsid w:val="005E0B31"/>
    <w:rsid w:val="005E0BDD"/>
    <w:rsid w:val="005E0C7F"/>
    <w:rsid w:val="005E0D14"/>
    <w:rsid w:val="005E0D22"/>
    <w:rsid w:val="005E0DDF"/>
    <w:rsid w:val="005E0E21"/>
    <w:rsid w:val="005E0E5E"/>
    <w:rsid w:val="005E0F76"/>
    <w:rsid w:val="005E0F8B"/>
    <w:rsid w:val="005E119F"/>
    <w:rsid w:val="005E1205"/>
    <w:rsid w:val="005E1481"/>
    <w:rsid w:val="005E14A7"/>
    <w:rsid w:val="005E1510"/>
    <w:rsid w:val="005E16A5"/>
    <w:rsid w:val="005E1734"/>
    <w:rsid w:val="005E17E0"/>
    <w:rsid w:val="005E18B0"/>
    <w:rsid w:val="005E1974"/>
    <w:rsid w:val="005E19D3"/>
    <w:rsid w:val="005E1ACA"/>
    <w:rsid w:val="005E1B0D"/>
    <w:rsid w:val="005E1B92"/>
    <w:rsid w:val="005E1C3D"/>
    <w:rsid w:val="005E1D84"/>
    <w:rsid w:val="005E1D90"/>
    <w:rsid w:val="005E1DB2"/>
    <w:rsid w:val="005E1DD8"/>
    <w:rsid w:val="005E1F70"/>
    <w:rsid w:val="005E2133"/>
    <w:rsid w:val="005E21B5"/>
    <w:rsid w:val="005E2277"/>
    <w:rsid w:val="005E22EA"/>
    <w:rsid w:val="005E23AE"/>
    <w:rsid w:val="005E2558"/>
    <w:rsid w:val="005E262B"/>
    <w:rsid w:val="005E26D1"/>
    <w:rsid w:val="005E270F"/>
    <w:rsid w:val="005E275E"/>
    <w:rsid w:val="005E289C"/>
    <w:rsid w:val="005E28C9"/>
    <w:rsid w:val="005E28E8"/>
    <w:rsid w:val="005E28EF"/>
    <w:rsid w:val="005E2943"/>
    <w:rsid w:val="005E29E8"/>
    <w:rsid w:val="005E2A89"/>
    <w:rsid w:val="005E2C68"/>
    <w:rsid w:val="005E2D0E"/>
    <w:rsid w:val="005E2E22"/>
    <w:rsid w:val="005E2E2E"/>
    <w:rsid w:val="005E2EC6"/>
    <w:rsid w:val="005E2FBC"/>
    <w:rsid w:val="005E302A"/>
    <w:rsid w:val="005E30AF"/>
    <w:rsid w:val="005E31FB"/>
    <w:rsid w:val="005E3265"/>
    <w:rsid w:val="005E34A2"/>
    <w:rsid w:val="005E34E7"/>
    <w:rsid w:val="005E365B"/>
    <w:rsid w:val="005E3769"/>
    <w:rsid w:val="005E38D1"/>
    <w:rsid w:val="005E3AD4"/>
    <w:rsid w:val="005E3B8C"/>
    <w:rsid w:val="005E3B9D"/>
    <w:rsid w:val="005E3BFA"/>
    <w:rsid w:val="005E3CBD"/>
    <w:rsid w:val="005E3D05"/>
    <w:rsid w:val="005E3FAF"/>
    <w:rsid w:val="005E3FB3"/>
    <w:rsid w:val="005E40EE"/>
    <w:rsid w:val="005E4312"/>
    <w:rsid w:val="005E4442"/>
    <w:rsid w:val="005E44B3"/>
    <w:rsid w:val="005E4584"/>
    <w:rsid w:val="005E479B"/>
    <w:rsid w:val="005E48FC"/>
    <w:rsid w:val="005E4A1A"/>
    <w:rsid w:val="005E4AB0"/>
    <w:rsid w:val="005E4BBB"/>
    <w:rsid w:val="005E4D04"/>
    <w:rsid w:val="005E4D82"/>
    <w:rsid w:val="005E4E8D"/>
    <w:rsid w:val="005E4F06"/>
    <w:rsid w:val="005E5036"/>
    <w:rsid w:val="005E50F2"/>
    <w:rsid w:val="005E5108"/>
    <w:rsid w:val="005E5179"/>
    <w:rsid w:val="005E53EE"/>
    <w:rsid w:val="005E5436"/>
    <w:rsid w:val="005E54EF"/>
    <w:rsid w:val="005E553B"/>
    <w:rsid w:val="005E5595"/>
    <w:rsid w:val="005E55C5"/>
    <w:rsid w:val="005E56CD"/>
    <w:rsid w:val="005E57BC"/>
    <w:rsid w:val="005E57EA"/>
    <w:rsid w:val="005E5812"/>
    <w:rsid w:val="005E58E3"/>
    <w:rsid w:val="005E5AB8"/>
    <w:rsid w:val="005E5B46"/>
    <w:rsid w:val="005E5CDD"/>
    <w:rsid w:val="005E602F"/>
    <w:rsid w:val="005E60B1"/>
    <w:rsid w:val="005E6298"/>
    <w:rsid w:val="005E62B9"/>
    <w:rsid w:val="005E62ED"/>
    <w:rsid w:val="005E6335"/>
    <w:rsid w:val="005E6686"/>
    <w:rsid w:val="005E66CE"/>
    <w:rsid w:val="005E672B"/>
    <w:rsid w:val="005E6735"/>
    <w:rsid w:val="005E67B1"/>
    <w:rsid w:val="005E67B7"/>
    <w:rsid w:val="005E686B"/>
    <w:rsid w:val="005E696C"/>
    <w:rsid w:val="005E6BF2"/>
    <w:rsid w:val="005E6C80"/>
    <w:rsid w:val="005E6DAC"/>
    <w:rsid w:val="005E6DC6"/>
    <w:rsid w:val="005E6FE9"/>
    <w:rsid w:val="005E71B4"/>
    <w:rsid w:val="005E733A"/>
    <w:rsid w:val="005E7491"/>
    <w:rsid w:val="005E7516"/>
    <w:rsid w:val="005E7669"/>
    <w:rsid w:val="005E7724"/>
    <w:rsid w:val="005E7779"/>
    <w:rsid w:val="005E77C9"/>
    <w:rsid w:val="005E790B"/>
    <w:rsid w:val="005E791C"/>
    <w:rsid w:val="005E79E8"/>
    <w:rsid w:val="005E7A49"/>
    <w:rsid w:val="005E7A56"/>
    <w:rsid w:val="005E7A5E"/>
    <w:rsid w:val="005E7B19"/>
    <w:rsid w:val="005E7B2E"/>
    <w:rsid w:val="005E7B95"/>
    <w:rsid w:val="005E7BAC"/>
    <w:rsid w:val="005E7D8A"/>
    <w:rsid w:val="005E7DF0"/>
    <w:rsid w:val="005E7E31"/>
    <w:rsid w:val="005E7F35"/>
    <w:rsid w:val="005E7F68"/>
    <w:rsid w:val="005F0045"/>
    <w:rsid w:val="005F008D"/>
    <w:rsid w:val="005F00B8"/>
    <w:rsid w:val="005F0515"/>
    <w:rsid w:val="005F055A"/>
    <w:rsid w:val="005F05B3"/>
    <w:rsid w:val="005F065D"/>
    <w:rsid w:val="005F0697"/>
    <w:rsid w:val="005F0713"/>
    <w:rsid w:val="005F07CD"/>
    <w:rsid w:val="005F082C"/>
    <w:rsid w:val="005F0AAE"/>
    <w:rsid w:val="005F0AD4"/>
    <w:rsid w:val="005F0B5E"/>
    <w:rsid w:val="005F0C8F"/>
    <w:rsid w:val="005F0C98"/>
    <w:rsid w:val="005F0CF2"/>
    <w:rsid w:val="005F0DEF"/>
    <w:rsid w:val="005F0ED6"/>
    <w:rsid w:val="005F0F02"/>
    <w:rsid w:val="005F0FE8"/>
    <w:rsid w:val="005F1047"/>
    <w:rsid w:val="005F10B2"/>
    <w:rsid w:val="005F114B"/>
    <w:rsid w:val="005F1202"/>
    <w:rsid w:val="005F1356"/>
    <w:rsid w:val="005F1372"/>
    <w:rsid w:val="005F13D1"/>
    <w:rsid w:val="005F13DB"/>
    <w:rsid w:val="005F1502"/>
    <w:rsid w:val="005F161D"/>
    <w:rsid w:val="005F1664"/>
    <w:rsid w:val="005F1722"/>
    <w:rsid w:val="005F172F"/>
    <w:rsid w:val="005F18D9"/>
    <w:rsid w:val="005F190F"/>
    <w:rsid w:val="005F1A9E"/>
    <w:rsid w:val="005F1B92"/>
    <w:rsid w:val="005F1BFB"/>
    <w:rsid w:val="005F1CB2"/>
    <w:rsid w:val="005F1E0D"/>
    <w:rsid w:val="005F1E3A"/>
    <w:rsid w:val="005F21C9"/>
    <w:rsid w:val="005F229A"/>
    <w:rsid w:val="005F22E2"/>
    <w:rsid w:val="005F22F9"/>
    <w:rsid w:val="005F23D9"/>
    <w:rsid w:val="005F24FE"/>
    <w:rsid w:val="005F262C"/>
    <w:rsid w:val="005F2736"/>
    <w:rsid w:val="005F276F"/>
    <w:rsid w:val="005F2840"/>
    <w:rsid w:val="005F287F"/>
    <w:rsid w:val="005F29A2"/>
    <w:rsid w:val="005F2D09"/>
    <w:rsid w:val="005F2EF8"/>
    <w:rsid w:val="005F2F63"/>
    <w:rsid w:val="005F2F76"/>
    <w:rsid w:val="005F303B"/>
    <w:rsid w:val="005F30C6"/>
    <w:rsid w:val="005F3178"/>
    <w:rsid w:val="005F31FE"/>
    <w:rsid w:val="005F3292"/>
    <w:rsid w:val="005F332C"/>
    <w:rsid w:val="005F34B8"/>
    <w:rsid w:val="005F34D0"/>
    <w:rsid w:val="005F3644"/>
    <w:rsid w:val="005F364D"/>
    <w:rsid w:val="005F3688"/>
    <w:rsid w:val="005F3862"/>
    <w:rsid w:val="005F38D6"/>
    <w:rsid w:val="005F38DA"/>
    <w:rsid w:val="005F3BC6"/>
    <w:rsid w:val="005F3CBE"/>
    <w:rsid w:val="005F3E19"/>
    <w:rsid w:val="005F3F79"/>
    <w:rsid w:val="005F4011"/>
    <w:rsid w:val="005F4097"/>
    <w:rsid w:val="005F412B"/>
    <w:rsid w:val="005F41CA"/>
    <w:rsid w:val="005F43A9"/>
    <w:rsid w:val="005F442E"/>
    <w:rsid w:val="005F447D"/>
    <w:rsid w:val="005F44AD"/>
    <w:rsid w:val="005F44CC"/>
    <w:rsid w:val="005F46BF"/>
    <w:rsid w:val="005F46FA"/>
    <w:rsid w:val="005F4711"/>
    <w:rsid w:val="005F4820"/>
    <w:rsid w:val="005F4850"/>
    <w:rsid w:val="005F49C9"/>
    <w:rsid w:val="005F4BE7"/>
    <w:rsid w:val="005F4CC8"/>
    <w:rsid w:val="005F4CE7"/>
    <w:rsid w:val="005F4DAD"/>
    <w:rsid w:val="005F4F59"/>
    <w:rsid w:val="005F5034"/>
    <w:rsid w:val="005F50BB"/>
    <w:rsid w:val="005F50EF"/>
    <w:rsid w:val="005F5184"/>
    <w:rsid w:val="005F54E0"/>
    <w:rsid w:val="005F56BF"/>
    <w:rsid w:val="005F57CB"/>
    <w:rsid w:val="005F5876"/>
    <w:rsid w:val="005F5A1F"/>
    <w:rsid w:val="005F5A3D"/>
    <w:rsid w:val="005F5AB8"/>
    <w:rsid w:val="005F5B54"/>
    <w:rsid w:val="005F5CAB"/>
    <w:rsid w:val="005F5D00"/>
    <w:rsid w:val="005F5D0D"/>
    <w:rsid w:val="005F5DB3"/>
    <w:rsid w:val="005F5DD4"/>
    <w:rsid w:val="005F5EBC"/>
    <w:rsid w:val="005F5EFC"/>
    <w:rsid w:val="005F5FBC"/>
    <w:rsid w:val="005F600C"/>
    <w:rsid w:val="005F618A"/>
    <w:rsid w:val="005F6240"/>
    <w:rsid w:val="005F6597"/>
    <w:rsid w:val="005F6632"/>
    <w:rsid w:val="005F66CA"/>
    <w:rsid w:val="005F671A"/>
    <w:rsid w:val="005F68A5"/>
    <w:rsid w:val="005F6BA1"/>
    <w:rsid w:val="005F6BE7"/>
    <w:rsid w:val="005F6C03"/>
    <w:rsid w:val="005F6C4D"/>
    <w:rsid w:val="005F6D8D"/>
    <w:rsid w:val="005F6E4D"/>
    <w:rsid w:val="005F724A"/>
    <w:rsid w:val="005F7304"/>
    <w:rsid w:val="005F73EB"/>
    <w:rsid w:val="005F7422"/>
    <w:rsid w:val="005F7464"/>
    <w:rsid w:val="005F74A1"/>
    <w:rsid w:val="005F74B7"/>
    <w:rsid w:val="005F7545"/>
    <w:rsid w:val="005F75A5"/>
    <w:rsid w:val="005F76D5"/>
    <w:rsid w:val="005F7744"/>
    <w:rsid w:val="005F77B3"/>
    <w:rsid w:val="005F781A"/>
    <w:rsid w:val="005F7821"/>
    <w:rsid w:val="005F78A6"/>
    <w:rsid w:val="005F7927"/>
    <w:rsid w:val="005F7AF7"/>
    <w:rsid w:val="005F7B82"/>
    <w:rsid w:val="005F7E5E"/>
    <w:rsid w:val="005F7ED6"/>
    <w:rsid w:val="00600063"/>
    <w:rsid w:val="006001E4"/>
    <w:rsid w:val="00600238"/>
    <w:rsid w:val="0060047F"/>
    <w:rsid w:val="00600607"/>
    <w:rsid w:val="00600660"/>
    <w:rsid w:val="00600808"/>
    <w:rsid w:val="006008E8"/>
    <w:rsid w:val="00600961"/>
    <w:rsid w:val="00600987"/>
    <w:rsid w:val="00600A50"/>
    <w:rsid w:val="00600A8D"/>
    <w:rsid w:val="00600A95"/>
    <w:rsid w:val="00600C87"/>
    <w:rsid w:val="00600D6B"/>
    <w:rsid w:val="00600ED6"/>
    <w:rsid w:val="00600F48"/>
    <w:rsid w:val="00600F8F"/>
    <w:rsid w:val="00600FC5"/>
    <w:rsid w:val="00601154"/>
    <w:rsid w:val="006011EC"/>
    <w:rsid w:val="0060128F"/>
    <w:rsid w:val="0060130B"/>
    <w:rsid w:val="00601382"/>
    <w:rsid w:val="00601426"/>
    <w:rsid w:val="006014C7"/>
    <w:rsid w:val="0060152D"/>
    <w:rsid w:val="006015A5"/>
    <w:rsid w:val="0060160A"/>
    <w:rsid w:val="006017A0"/>
    <w:rsid w:val="00601868"/>
    <w:rsid w:val="006018A5"/>
    <w:rsid w:val="00601910"/>
    <w:rsid w:val="00601AE7"/>
    <w:rsid w:val="00601AE9"/>
    <w:rsid w:val="00601B7F"/>
    <w:rsid w:val="00601E80"/>
    <w:rsid w:val="00601FB8"/>
    <w:rsid w:val="00601FD3"/>
    <w:rsid w:val="0060219B"/>
    <w:rsid w:val="006021F1"/>
    <w:rsid w:val="00602257"/>
    <w:rsid w:val="0060230F"/>
    <w:rsid w:val="006023FE"/>
    <w:rsid w:val="0060241E"/>
    <w:rsid w:val="00602435"/>
    <w:rsid w:val="00602508"/>
    <w:rsid w:val="0060264E"/>
    <w:rsid w:val="00602846"/>
    <w:rsid w:val="006028F7"/>
    <w:rsid w:val="00602982"/>
    <w:rsid w:val="00602B0B"/>
    <w:rsid w:val="00602BCD"/>
    <w:rsid w:val="00602BE2"/>
    <w:rsid w:val="00602C37"/>
    <w:rsid w:val="00602CAB"/>
    <w:rsid w:val="00602D68"/>
    <w:rsid w:val="00602DF9"/>
    <w:rsid w:val="00602FC2"/>
    <w:rsid w:val="00602FF9"/>
    <w:rsid w:val="006030C5"/>
    <w:rsid w:val="006032B6"/>
    <w:rsid w:val="006032BE"/>
    <w:rsid w:val="006033DD"/>
    <w:rsid w:val="00603577"/>
    <w:rsid w:val="006035A8"/>
    <w:rsid w:val="00603752"/>
    <w:rsid w:val="00603757"/>
    <w:rsid w:val="0060377D"/>
    <w:rsid w:val="00603876"/>
    <w:rsid w:val="006038AA"/>
    <w:rsid w:val="006038B8"/>
    <w:rsid w:val="0060392F"/>
    <w:rsid w:val="00603B3D"/>
    <w:rsid w:val="00603B51"/>
    <w:rsid w:val="00603E6A"/>
    <w:rsid w:val="00603F3C"/>
    <w:rsid w:val="00603F72"/>
    <w:rsid w:val="00604018"/>
    <w:rsid w:val="00604171"/>
    <w:rsid w:val="00604189"/>
    <w:rsid w:val="0060425A"/>
    <w:rsid w:val="00604289"/>
    <w:rsid w:val="00604321"/>
    <w:rsid w:val="00604336"/>
    <w:rsid w:val="00604434"/>
    <w:rsid w:val="0060446F"/>
    <w:rsid w:val="006044DD"/>
    <w:rsid w:val="00604812"/>
    <w:rsid w:val="0060487E"/>
    <w:rsid w:val="006048BA"/>
    <w:rsid w:val="006049E7"/>
    <w:rsid w:val="006049F0"/>
    <w:rsid w:val="00604B61"/>
    <w:rsid w:val="00604BFF"/>
    <w:rsid w:val="00604C0A"/>
    <w:rsid w:val="00604C1F"/>
    <w:rsid w:val="00604CEC"/>
    <w:rsid w:val="00604D73"/>
    <w:rsid w:val="00604E18"/>
    <w:rsid w:val="00604EF5"/>
    <w:rsid w:val="00605074"/>
    <w:rsid w:val="00605097"/>
    <w:rsid w:val="006050EE"/>
    <w:rsid w:val="00605154"/>
    <w:rsid w:val="0060515B"/>
    <w:rsid w:val="006051DF"/>
    <w:rsid w:val="0060523F"/>
    <w:rsid w:val="0060531E"/>
    <w:rsid w:val="006053D4"/>
    <w:rsid w:val="006053E7"/>
    <w:rsid w:val="00605573"/>
    <w:rsid w:val="00605856"/>
    <w:rsid w:val="0060589E"/>
    <w:rsid w:val="00605908"/>
    <w:rsid w:val="00605B23"/>
    <w:rsid w:val="00605B38"/>
    <w:rsid w:val="00605BE1"/>
    <w:rsid w:val="00605C7B"/>
    <w:rsid w:val="00605DFD"/>
    <w:rsid w:val="00605E39"/>
    <w:rsid w:val="00605FCB"/>
    <w:rsid w:val="0060602F"/>
    <w:rsid w:val="00606039"/>
    <w:rsid w:val="006062E9"/>
    <w:rsid w:val="0060632E"/>
    <w:rsid w:val="006063D6"/>
    <w:rsid w:val="006063F7"/>
    <w:rsid w:val="00606418"/>
    <w:rsid w:val="0060641D"/>
    <w:rsid w:val="00606567"/>
    <w:rsid w:val="006066B3"/>
    <w:rsid w:val="006069F6"/>
    <w:rsid w:val="00606A65"/>
    <w:rsid w:val="00606A73"/>
    <w:rsid w:val="00606C89"/>
    <w:rsid w:val="00606CAB"/>
    <w:rsid w:val="00606D88"/>
    <w:rsid w:val="00606F7C"/>
    <w:rsid w:val="006070E6"/>
    <w:rsid w:val="006070FB"/>
    <w:rsid w:val="00607303"/>
    <w:rsid w:val="00607371"/>
    <w:rsid w:val="006073A8"/>
    <w:rsid w:val="00607462"/>
    <w:rsid w:val="00607653"/>
    <w:rsid w:val="0060772C"/>
    <w:rsid w:val="00607773"/>
    <w:rsid w:val="00607792"/>
    <w:rsid w:val="006077D0"/>
    <w:rsid w:val="0060788A"/>
    <w:rsid w:val="006078EE"/>
    <w:rsid w:val="0060797B"/>
    <w:rsid w:val="00607A8E"/>
    <w:rsid w:val="00607B8D"/>
    <w:rsid w:val="00607CAB"/>
    <w:rsid w:val="00607E2A"/>
    <w:rsid w:val="00607E58"/>
    <w:rsid w:val="00607F06"/>
    <w:rsid w:val="00607F54"/>
    <w:rsid w:val="00607F85"/>
    <w:rsid w:val="00607FBD"/>
    <w:rsid w:val="00610038"/>
    <w:rsid w:val="006100F7"/>
    <w:rsid w:val="0061014A"/>
    <w:rsid w:val="006103BF"/>
    <w:rsid w:val="0061058B"/>
    <w:rsid w:val="00610676"/>
    <w:rsid w:val="006106A6"/>
    <w:rsid w:val="006106BD"/>
    <w:rsid w:val="00610701"/>
    <w:rsid w:val="00610721"/>
    <w:rsid w:val="0061075E"/>
    <w:rsid w:val="006107CB"/>
    <w:rsid w:val="00610AEC"/>
    <w:rsid w:val="00610BDC"/>
    <w:rsid w:val="00610C18"/>
    <w:rsid w:val="00610D0E"/>
    <w:rsid w:val="00610D40"/>
    <w:rsid w:val="00610D51"/>
    <w:rsid w:val="00610DEE"/>
    <w:rsid w:val="00610E19"/>
    <w:rsid w:val="00610E8A"/>
    <w:rsid w:val="00610FA1"/>
    <w:rsid w:val="00610FCC"/>
    <w:rsid w:val="006111CC"/>
    <w:rsid w:val="00611296"/>
    <w:rsid w:val="00611299"/>
    <w:rsid w:val="006112C0"/>
    <w:rsid w:val="006114B4"/>
    <w:rsid w:val="006114E6"/>
    <w:rsid w:val="006114EE"/>
    <w:rsid w:val="00611547"/>
    <w:rsid w:val="006115F5"/>
    <w:rsid w:val="00611600"/>
    <w:rsid w:val="0061160D"/>
    <w:rsid w:val="00611624"/>
    <w:rsid w:val="00611861"/>
    <w:rsid w:val="00611A7E"/>
    <w:rsid w:val="00611A82"/>
    <w:rsid w:val="00611A9C"/>
    <w:rsid w:val="00611AEC"/>
    <w:rsid w:val="00611B1E"/>
    <w:rsid w:val="00611B87"/>
    <w:rsid w:val="00611B97"/>
    <w:rsid w:val="00611C39"/>
    <w:rsid w:val="00611CCB"/>
    <w:rsid w:val="00611DC9"/>
    <w:rsid w:val="00611DF2"/>
    <w:rsid w:val="00611E66"/>
    <w:rsid w:val="0061209A"/>
    <w:rsid w:val="006120C0"/>
    <w:rsid w:val="0061211C"/>
    <w:rsid w:val="006121D9"/>
    <w:rsid w:val="006122E1"/>
    <w:rsid w:val="006122E8"/>
    <w:rsid w:val="006123D0"/>
    <w:rsid w:val="00612639"/>
    <w:rsid w:val="00612699"/>
    <w:rsid w:val="0061277B"/>
    <w:rsid w:val="0061280C"/>
    <w:rsid w:val="006128B4"/>
    <w:rsid w:val="00612934"/>
    <w:rsid w:val="00612A20"/>
    <w:rsid w:val="00612D39"/>
    <w:rsid w:val="00612EEC"/>
    <w:rsid w:val="0061311B"/>
    <w:rsid w:val="006132AE"/>
    <w:rsid w:val="00613338"/>
    <w:rsid w:val="006133FC"/>
    <w:rsid w:val="00613513"/>
    <w:rsid w:val="0061367E"/>
    <w:rsid w:val="006136C4"/>
    <w:rsid w:val="0061371D"/>
    <w:rsid w:val="00613738"/>
    <w:rsid w:val="006137A0"/>
    <w:rsid w:val="00613AC1"/>
    <w:rsid w:val="00613B1E"/>
    <w:rsid w:val="00613C84"/>
    <w:rsid w:val="00613D13"/>
    <w:rsid w:val="00613D1B"/>
    <w:rsid w:val="00613EEB"/>
    <w:rsid w:val="00614038"/>
    <w:rsid w:val="00614065"/>
    <w:rsid w:val="0061406A"/>
    <w:rsid w:val="00614071"/>
    <w:rsid w:val="006140A8"/>
    <w:rsid w:val="00614345"/>
    <w:rsid w:val="00614387"/>
    <w:rsid w:val="006143CA"/>
    <w:rsid w:val="00614524"/>
    <w:rsid w:val="00614581"/>
    <w:rsid w:val="006145CE"/>
    <w:rsid w:val="00614621"/>
    <w:rsid w:val="006146C5"/>
    <w:rsid w:val="006146D1"/>
    <w:rsid w:val="006148E3"/>
    <w:rsid w:val="006148F8"/>
    <w:rsid w:val="0061496B"/>
    <w:rsid w:val="00614972"/>
    <w:rsid w:val="00614A17"/>
    <w:rsid w:val="00614A1D"/>
    <w:rsid w:val="00614A9F"/>
    <w:rsid w:val="00614B11"/>
    <w:rsid w:val="00614B6D"/>
    <w:rsid w:val="00614BA9"/>
    <w:rsid w:val="00614BFF"/>
    <w:rsid w:val="00614C5C"/>
    <w:rsid w:val="00614DC4"/>
    <w:rsid w:val="00614DF4"/>
    <w:rsid w:val="00614ED5"/>
    <w:rsid w:val="00614EE6"/>
    <w:rsid w:val="00614F26"/>
    <w:rsid w:val="00614F4F"/>
    <w:rsid w:val="00614F5A"/>
    <w:rsid w:val="0061509E"/>
    <w:rsid w:val="00615435"/>
    <w:rsid w:val="0061543A"/>
    <w:rsid w:val="00615453"/>
    <w:rsid w:val="00615592"/>
    <w:rsid w:val="00615661"/>
    <w:rsid w:val="006156AB"/>
    <w:rsid w:val="00615760"/>
    <w:rsid w:val="006158B8"/>
    <w:rsid w:val="00615900"/>
    <w:rsid w:val="00615983"/>
    <w:rsid w:val="006159C0"/>
    <w:rsid w:val="00615AE7"/>
    <w:rsid w:val="00615D25"/>
    <w:rsid w:val="00615D71"/>
    <w:rsid w:val="00615FAE"/>
    <w:rsid w:val="00615FEF"/>
    <w:rsid w:val="006160C2"/>
    <w:rsid w:val="006161A2"/>
    <w:rsid w:val="006161EE"/>
    <w:rsid w:val="00616202"/>
    <w:rsid w:val="006162F6"/>
    <w:rsid w:val="006166A0"/>
    <w:rsid w:val="006166B2"/>
    <w:rsid w:val="006166D0"/>
    <w:rsid w:val="0061675D"/>
    <w:rsid w:val="0061687C"/>
    <w:rsid w:val="006168A9"/>
    <w:rsid w:val="00616B90"/>
    <w:rsid w:val="00616D9E"/>
    <w:rsid w:val="00616E4C"/>
    <w:rsid w:val="00616EFE"/>
    <w:rsid w:val="0061702B"/>
    <w:rsid w:val="0061702E"/>
    <w:rsid w:val="006170D6"/>
    <w:rsid w:val="00617123"/>
    <w:rsid w:val="006171D1"/>
    <w:rsid w:val="0061722F"/>
    <w:rsid w:val="006173F5"/>
    <w:rsid w:val="006174FC"/>
    <w:rsid w:val="0061750C"/>
    <w:rsid w:val="006175C4"/>
    <w:rsid w:val="006175FE"/>
    <w:rsid w:val="00617624"/>
    <w:rsid w:val="00617637"/>
    <w:rsid w:val="00617782"/>
    <w:rsid w:val="006177F7"/>
    <w:rsid w:val="00617849"/>
    <w:rsid w:val="00617895"/>
    <w:rsid w:val="00617957"/>
    <w:rsid w:val="00617992"/>
    <w:rsid w:val="00617CBF"/>
    <w:rsid w:val="00617D0D"/>
    <w:rsid w:val="00617D94"/>
    <w:rsid w:val="00617E35"/>
    <w:rsid w:val="00617EC3"/>
    <w:rsid w:val="00617F54"/>
    <w:rsid w:val="00617F97"/>
    <w:rsid w:val="00620048"/>
    <w:rsid w:val="006200B3"/>
    <w:rsid w:val="006200F5"/>
    <w:rsid w:val="0062015B"/>
    <w:rsid w:val="0062016D"/>
    <w:rsid w:val="0062018C"/>
    <w:rsid w:val="006201A1"/>
    <w:rsid w:val="006201B3"/>
    <w:rsid w:val="00620211"/>
    <w:rsid w:val="00620276"/>
    <w:rsid w:val="006202AB"/>
    <w:rsid w:val="006202B8"/>
    <w:rsid w:val="006202D3"/>
    <w:rsid w:val="006203B4"/>
    <w:rsid w:val="0062057D"/>
    <w:rsid w:val="006205A0"/>
    <w:rsid w:val="006205C9"/>
    <w:rsid w:val="006205E6"/>
    <w:rsid w:val="0062084E"/>
    <w:rsid w:val="00620858"/>
    <w:rsid w:val="0062086A"/>
    <w:rsid w:val="006209D2"/>
    <w:rsid w:val="00620A94"/>
    <w:rsid w:val="00620AAE"/>
    <w:rsid w:val="00620BC0"/>
    <w:rsid w:val="00620CEA"/>
    <w:rsid w:val="00620D69"/>
    <w:rsid w:val="00620D71"/>
    <w:rsid w:val="00620E0E"/>
    <w:rsid w:val="00620E17"/>
    <w:rsid w:val="00620E6F"/>
    <w:rsid w:val="00620EA1"/>
    <w:rsid w:val="00620FD9"/>
    <w:rsid w:val="0062119F"/>
    <w:rsid w:val="0062125F"/>
    <w:rsid w:val="0062152D"/>
    <w:rsid w:val="00621722"/>
    <w:rsid w:val="00621A7B"/>
    <w:rsid w:val="00621AF7"/>
    <w:rsid w:val="00621C4E"/>
    <w:rsid w:val="00621C90"/>
    <w:rsid w:val="00621CC1"/>
    <w:rsid w:val="00621DE6"/>
    <w:rsid w:val="00621E95"/>
    <w:rsid w:val="00621E97"/>
    <w:rsid w:val="00621F8E"/>
    <w:rsid w:val="0062210D"/>
    <w:rsid w:val="0062220A"/>
    <w:rsid w:val="0062220C"/>
    <w:rsid w:val="006222AE"/>
    <w:rsid w:val="00622333"/>
    <w:rsid w:val="006223A6"/>
    <w:rsid w:val="0062240A"/>
    <w:rsid w:val="00622418"/>
    <w:rsid w:val="0062248D"/>
    <w:rsid w:val="00622545"/>
    <w:rsid w:val="00622547"/>
    <w:rsid w:val="00622816"/>
    <w:rsid w:val="0062282F"/>
    <w:rsid w:val="006228BB"/>
    <w:rsid w:val="00622A03"/>
    <w:rsid w:val="00622A79"/>
    <w:rsid w:val="00622B06"/>
    <w:rsid w:val="00622BA4"/>
    <w:rsid w:val="00622BFE"/>
    <w:rsid w:val="00622C0D"/>
    <w:rsid w:val="00622C7F"/>
    <w:rsid w:val="00622C81"/>
    <w:rsid w:val="00622C95"/>
    <w:rsid w:val="00622CBA"/>
    <w:rsid w:val="00622CBC"/>
    <w:rsid w:val="00622CFA"/>
    <w:rsid w:val="00622EDB"/>
    <w:rsid w:val="00623188"/>
    <w:rsid w:val="006231D7"/>
    <w:rsid w:val="0062326C"/>
    <w:rsid w:val="006232F5"/>
    <w:rsid w:val="006233DF"/>
    <w:rsid w:val="006233F6"/>
    <w:rsid w:val="00623447"/>
    <w:rsid w:val="0062348E"/>
    <w:rsid w:val="006235BD"/>
    <w:rsid w:val="006236ED"/>
    <w:rsid w:val="0062375B"/>
    <w:rsid w:val="00623763"/>
    <w:rsid w:val="006237B9"/>
    <w:rsid w:val="00623947"/>
    <w:rsid w:val="00623981"/>
    <w:rsid w:val="006239F6"/>
    <w:rsid w:val="00623A67"/>
    <w:rsid w:val="00623BA3"/>
    <w:rsid w:val="00623C30"/>
    <w:rsid w:val="00623C40"/>
    <w:rsid w:val="00623C54"/>
    <w:rsid w:val="00623C7C"/>
    <w:rsid w:val="00623CAF"/>
    <w:rsid w:val="00623CF0"/>
    <w:rsid w:val="00623DC5"/>
    <w:rsid w:val="00623E2E"/>
    <w:rsid w:val="00623E7B"/>
    <w:rsid w:val="00623F1A"/>
    <w:rsid w:val="00623F28"/>
    <w:rsid w:val="00623FB3"/>
    <w:rsid w:val="00624047"/>
    <w:rsid w:val="006240CE"/>
    <w:rsid w:val="006240DB"/>
    <w:rsid w:val="006241B3"/>
    <w:rsid w:val="00624209"/>
    <w:rsid w:val="00624241"/>
    <w:rsid w:val="00624299"/>
    <w:rsid w:val="006242D8"/>
    <w:rsid w:val="00624362"/>
    <w:rsid w:val="00624380"/>
    <w:rsid w:val="006244FE"/>
    <w:rsid w:val="00624604"/>
    <w:rsid w:val="00624686"/>
    <w:rsid w:val="006246B5"/>
    <w:rsid w:val="0062484C"/>
    <w:rsid w:val="00624963"/>
    <w:rsid w:val="00624B0D"/>
    <w:rsid w:val="00624B1D"/>
    <w:rsid w:val="00624B8D"/>
    <w:rsid w:val="00624BFA"/>
    <w:rsid w:val="00624C62"/>
    <w:rsid w:val="00624CE7"/>
    <w:rsid w:val="00624E7C"/>
    <w:rsid w:val="00624EAD"/>
    <w:rsid w:val="00624ED4"/>
    <w:rsid w:val="00624EF4"/>
    <w:rsid w:val="00624F13"/>
    <w:rsid w:val="00625010"/>
    <w:rsid w:val="00625031"/>
    <w:rsid w:val="0062505E"/>
    <w:rsid w:val="006250C0"/>
    <w:rsid w:val="006251CD"/>
    <w:rsid w:val="0062521B"/>
    <w:rsid w:val="006255E4"/>
    <w:rsid w:val="00625610"/>
    <w:rsid w:val="00625720"/>
    <w:rsid w:val="006257A5"/>
    <w:rsid w:val="006257BE"/>
    <w:rsid w:val="006259A7"/>
    <w:rsid w:val="006259D1"/>
    <w:rsid w:val="00625A59"/>
    <w:rsid w:val="00625C98"/>
    <w:rsid w:val="00625E1C"/>
    <w:rsid w:val="00625E6F"/>
    <w:rsid w:val="00625FFB"/>
    <w:rsid w:val="0062602D"/>
    <w:rsid w:val="00626046"/>
    <w:rsid w:val="00626155"/>
    <w:rsid w:val="00626240"/>
    <w:rsid w:val="00626251"/>
    <w:rsid w:val="00626394"/>
    <w:rsid w:val="006263D3"/>
    <w:rsid w:val="00626429"/>
    <w:rsid w:val="006265D5"/>
    <w:rsid w:val="006267D6"/>
    <w:rsid w:val="00626806"/>
    <w:rsid w:val="006268A1"/>
    <w:rsid w:val="0062692A"/>
    <w:rsid w:val="00626B75"/>
    <w:rsid w:val="00626BD7"/>
    <w:rsid w:val="00626BDD"/>
    <w:rsid w:val="00626C3D"/>
    <w:rsid w:val="00626C65"/>
    <w:rsid w:val="00626CA8"/>
    <w:rsid w:val="00626CCF"/>
    <w:rsid w:val="00626D14"/>
    <w:rsid w:val="00626D29"/>
    <w:rsid w:val="00626D4D"/>
    <w:rsid w:val="00626D9A"/>
    <w:rsid w:val="00626DC6"/>
    <w:rsid w:val="00626DF3"/>
    <w:rsid w:val="0062709B"/>
    <w:rsid w:val="0062713A"/>
    <w:rsid w:val="006271D5"/>
    <w:rsid w:val="00627216"/>
    <w:rsid w:val="006272DE"/>
    <w:rsid w:val="0062730D"/>
    <w:rsid w:val="00627527"/>
    <w:rsid w:val="00627580"/>
    <w:rsid w:val="006278DE"/>
    <w:rsid w:val="006278F7"/>
    <w:rsid w:val="00627A81"/>
    <w:rsid w:val="00627B84"/>
    <w:rsid w:val="00627BDE"/>
    <w:rsid w:val="00627DF5"/>
    <w:rsid w:val="00627E00"/>
    <w:rsid w:val="00627E3F"/>
    <w:rsid w:val="00627E40"/>
    <w:rsid w:val="00627E7C"/>
    <w:rsid w:val="00627EA1"/>
    <w:rsid w:val="00627F01"/>
    <w:rsid w:val="00627FE1"/>
    <w:rsid w:val="006300EE"/>
    <w:rsid w:val="0063027B"/>
    <w:rsid w:val="00630426"/>
    <w:rsid w:val="006304A0"/>
    <w:rsid w:val="006304A2"/>
    <w:rsid w:val="00630651"/>
    <w:rsid w:val="0063066D"/>
    <w:rsid w:val="00630AB5"/>
    <w:rsid w:val="00630B37"/>
    <w:rsid w:val="00630C0C"/>
    <w:rsid w:val="00630CA9"/>
    <w:rsid w:val="00630D6A"/>
    <w:rsid w:val="00630EFA"/>
    <w:rsid w:val="00630F1B"/>
    <w:rsid w:val="00631028"/>
    <w:rsid w:val="00631073"/>
    <w:rsid w:val="0063114E"/>
    <w:rsid w:val="006311F3"/>
    <w:rsid w:val="006312CC"/>
    <w:rsid w:val="006312E8"/>
    <w:rsid w:val="00631308"/>
    <w:rsid w:val="00631423"/>
    <w:rsid w:val="006314A1"/>
    <w:rsid w:val="0063151E"/>
    <w:rsid w:val="0063152D"/>
    <w:rsid w:val="00631579"/>
    <w:rsid w:val="00631590"/>
    <w:rsid w:val="00631657"/>
    <w:rsid w:val="0063168D"/>
    <w:rsid w:val="006316D2"/>
    <w:rsid w:val="00631714"/>
    <w:rsid w:val="00631771"/>
    <w:rsid w:val="006317FF"/>
    <w:rsid w:val="00631A37"/>
    <w:rsid w:val="00631B9C"/>
    <w:rsid w:val="00631C77"/>
    <w:rsid w:val="00631CA6"/>
    <w:rsid w:val="00631D3F"/>
    <w:rsid w:val="00631DF8"/>
    <w:rsid w:val="00631EC3"/>
    <w:rsid w:val="00631ECD"/>
    <w:rsid w:val="00631F01"/>
    <w:rsid w:val="00631F92"/>
    <w:rsid w:val="00631F9E"/>
    <w:rsid w:val="00632001"/>
    <w:rsid w:val="0063203D"/>
    <w:rsid w:val="006320AC"/>
    <w:rsid w:val="006320EE"/>
    <w:rsid w:val="00632136"/>
    <w:rsid w:val="0063213A"/>
    <w:rsid w:val="00632245"/>
    <w:rsid w:val="006323EC"/>
    <w:rsid w:val="006327B9"/>
    <w:rsid w:val="006329FF"/>
    <w:rsid w:val="00632A98"/>
    <w:rsid w:val="00632AE9"/>
    <w:rsid w:val="00632AEF"/>
    <w:rsid w:val="00632BB0"/>
    <w:rsid w:val="00632CB3"/>
    <w:rsid w:val="00632D81"/>
    <w:rsid w:val="00632DA5"/>
    <w:rsid w:val="00632ECB"/>
    <w:rsid w:val="00632EF1"/>
    <w:rsid w:val="00632F99"/>
    <w:rsid w:val="006330EC"/>
    <w:rsid w:val="006330ED"/>
    <w:rsid w:val="00633102"/>
    <w:rsid w:val="00633263"/>
    <w:rsid w:val="0063334D"/>
    <w:rsid w:val="00633414"/>
    <w:rsid w:val="006336E3"/>
    <w:rsid w:val="00633729"/>
    <w:rsid w:val="00633780"/>
    <w:rsid w:val="006337B0"/>
    <w:rsid w:val="006338B0"/>
    <w:rsid w:val="006338D6"/>
    <w:rsid w:val="0063390D"/>
    <w:rsid w:val="00633932"/>
    <w:rsid w:val="006339BE"/>
    <w:rsid w:val="00633A58"/>
    <w:rsid w:val="00633A97"/>
    <w:rsid w:val="00633AA6"/>
    <w:rsid w:val="00633B80"/>
    <w:rsid w:val="00633C04"/>
    <w:rsid w:val="00633E2C"/>
    <w:rsid w:val="00633E9E"/>
    <w:rsid w:val="00633EB4"/>
    <w:rsid w:val="00633FEE"/>
    <w:rsid w:val="0063404D"/>
    <w:rsid w:val="006340B3"/>
    <w:rsid w:val="006342CD"/>
    <w:rsid w:val="006343AB"/>
    <w:rsid w:val="0063441A"/>
    <w:rsid w:val="00634465"/>
    <w:rsid w:val="00634487"/>
    <w:rsid w:val="006344E2"/>
    <w:rsid w:val="006344F0"/>
    <w:rsid w:val="0063451F"/>
    <w:rsid w:val="0063454A"/>
    <w:rsid w:val="006345F8"/>
    <w:rsid w:val="006347EB"/>
    <w:rsid w:val="00634836"/>
    <w:rsid w:val="00634848"/>
    <w:rsid w:val="00634931"/>
    <w:rsid w:val="00634C11"/>
    <w:rsid w:val="00634D06"/>
    <w:rsid w:val="00634D64"/>
    <w:rsid w:val="00634D97"/>
    <w:rsid w:val="00634DE3"/>
    <w:rsid w:val="00634F69"/>
    <w:rsid w:val="0063521B"/>
    <w:rsid w:val="0063522B"/>
    <w:rsid w:val="00635543"/>
    <w:rsid w:val="0063561F"/>
    <w:rsid w:val="006356C2"/>
    <w:rsid w:val="00635795"/>
    <w:rsid w:val="006357D0"/>
    <w:rsid w:val="00635AFD"/>
    <w:rsid w:val="00635B85"/>
    <w:rsid w:val="00635B90"/>
    <w:rsid w:val="00635C43"/>
    <w:rsid w:val="00635D7C"/>
    <w:rsid w:val="00635E17"/>
    <w:rsid w:val="00635E2B"/>
    <w:rsid w:val="00635EA4"/>
    <w:rsid w:val="0063605C"/>
    <w:rsid w:val="00636121"/>
    <w:rsid w:val="00636183"/>
    <w:rsid w:val="006362BB"/>
    <w:rsid w:val="006363B8"/>
    <w:rsid w:val="006363CC"/>
    <w:rsid w:val="0063645E"/>
    <w:rsid w:val="006364E6"/>
    <w:rsid w:val="006364FE"/>
    <w:rsid w:val="006365FB"/>
    <w:rsid w:val="00636851"/>
    <w:rsid w:val="00636856"/>
    <w:rsid w:val="00636A87"/>
    <w:rsid w:val="00636AED"/>
    <w:rsid w:val="00636B15"/>
    <w:rsid w:val="00636C39"/>
    <w:rsid w:val="00636D2B"/>
    <w:rsid w:val="00636D8D"/>
    <w:rsid w:val="00636F95"/>
    <w:rsid w:val="006370E8"/>
    <w:rsid w:val="006371E2"/>
    <w:rsid w:val="00637343"/>
    <w:rsid w:val="00637376"/>
    <w:rsid w:val="0063744D"/>
    <w:rsid w:val="00637483"/>
    <w:rsid w:val="006375BF"/>
    <w:rsid w:val="0063773A"/>
    <w:rsid w:val="00637825"/>
    <w:rsid w:val="00637946"/>
    <w:rsid w:val="00637A51"/>
    <w:rsid w:val="00637B38"/>
    <w:rsid w:val="00637B3B"/>
    <w:rsid w:val="00637B66"/>
    <w:rsid w:val="00637BA7"/>
    <w:rsid w:val="00637C55"/>
    <w:rsid w:val="00637CBF"/>
    <w:rsid w:val="00637E3E"/>
    <w:rsid w:val="00637EE2"/>
    <w:rsid w:val="00637F52"/>
    <w:rsid w:val="00637FCE"/>
    <w:rsid w:val="0064005E"/>
    <w:rsid w:val="00640264"/>
    <w:rsid w:val="00640341"/>
    <w:rsid w:val="00640599"/>
    <w:rsid w:val="006405F4"/>
    <w:rsid w:val="00640676"/>
    <w:rsid w:val="006406AF"/>
    <w:rsid w:val="006406B3"/>
    <w:rsid w:val="006406E3"/>
    <w:rsid w:val="00640877"/>
    <w:rsid w:val="0064087F"/>
    <w:rsid w:val="00640946"/>
    <w:rsid w:val="0064096F"/>
    <w:rsid w:val="00640B08"/>
    <w:rsid w:val="00640B7E"/>
    <w:rsid w:val="00640C25"/>
    <w:rsid w:val="00640D64"/>
    <w:rsid w:val="00640D9D"/>
    <w:rsid w:val="00640E75"/>
    <w:rsid w:val="00640FB3"/>
    <w:rsid w:val="00641064"/>
    <w:rsid w:val="00641065"/>
    <w:rsid w:val="0064109E"/>
    <w:rsid w:val="0064118E"/>
    <w:rsid w:val="006411A7"/>
    <w:rsid w:val="00641248"/>
    <w:rsid w:val="00641363"/>
    <w:rsid w:val="0064141E"/>
    <w:rsid w:val="00641479"/>
    <w:rsid w:val="00641623"/>
    <w:rsid w:val="0064163B"/>
    <w:rsid w:val="006416CB"/>
    <w:rsid w:val="00641752"/>
    <w:rsid w:val="0064182B"/>
    <w:rsid w:val="0064189A"/>
    <w:rsid w:val="00641AC1"/>
    <w:rsid w:val="00641ADA"/>
    <w:rsid w:val="00641B73"/>
    <w:rsid w:val="00641C9F"/>
    <w:rsid w:val="00641D2B"/>
    <w:rsid w:val="00641F0F"/>
    <w:rsid w:val="00641FD2"/>
    <w:rsid w:val="006420F0"/>
    <w:rsid w:val="006420FA"/>
    <w:rsid w:val="0064217C"/>
    <w:rsid w:val="006421C0"/>
    <w:rsid w:val="006421EE"/>
    <w:rsid w:val="0064220E"/>
    <w:rsid w:val="006422F2"/>
    <w:rsid w:val="00642358"/>
    <w:rsid w:val="00642425"/>
    <w:rsid w:val="006424F8"/>
    <w:rsid w:val="006426A7"/>
    <w:rsid w:val="00642760"/>
    <w:rsid w:val="00642913"/>
    <w:rsid w:val="006429B9"/>
    <w:rsid w:val="00642A64"/>
    <w:rsid w:val="00642C52"/>
    <w:rsid w:val="00642E97"/>
    <w:rsid w:val="0064300C"/>
    <w:rsid w:val="0064302D"/>
    <w:rsid w:val="00643037"/>
    <w:rsid w:val="006430E1"/>
    <w:rsid w:val="0064311E"/>
    <w:rsid w:val="006432AC"/>
    <w:rsid w:val="006432E9"/>
    <w:rsid w:val="006433C5"/>
    <w:rsid w:val="006435FE"/>
    <w:rsid w:val="00643620"/>
    <w:rsid w:val="00643695"/>
    <w:rsid w:val="006436FD"/>
    <w:rsid w:val="00643AA1"/>
    <w:rsid w:val="00643C3D"/>
    <w:rsid w:val="00643D2E"/>
    <w:rsid w:val="00643E32"/>
    <w:rsid w:val="00643E33"/>
    <w:rsid w:val="0064412F"/>
    <w:rsid w:val="0064419B"/>
    <w:rsid w:val="006444DE"/>
    <w:rsid w:val="006444E2"/>
    <w:rsid w:val="006445B0"/>
    <w:rsid w:val="00644642"/>
    <w:rsid w:val="006446D8"/>
    <w:rsid w:val="0064479C"/>
    <w:rsid w:val="006447A7"/>
    <w:rsid w:val="006447B2"/>
    <w:rsid w:val="006447BF"/>
    <w:rsid w:val="006447D9"/>
    <w:rsid w:val="006448CD"/>
    <w:rsid w:val="006448F8"/>
    <w:rsid w:val="00644B40"/>
    <w:rsid w:val="00644CED"/>
    <w:rsid w:val="00644D15"/>
    <w:rsid w:val="00644DE9"/>
    <w:rsid w:val="00645010"/>
    <w:rsid w:val="006450C2"/>
    <w:rsid w:val="00645209"/>
    <w:rsid w:val="00645332"/>
    <w:rsid w:val="00645480"/>
    <w:rsid w:val="006454BD"/>
    <w:rsid w:val="00645559"/>
    <w:rsid w:val="0064558B"/>
    <w:rsid w:val="0064559B"/>
    <w:rsid w:val="006455F1"/>
    <w:rsid w:val="00645731"/>
    <w:rsid w:val="0064586B"/>
    <w:rsid w:val="0064589C"/>
    <w:rsid w:val="006458AA"/>
    <w:rsid w:val="006459CC"/>
    <w:rsid w:val="00645A9B"/>
    <w:rsid w:val="00645BDF"/>
    <w:rsid w:val="00645C97"/>
    <w:rsid w:val="00645E65"/>
    <w:rsid w:val="00646069"/>
    <w:rsid w:val="006462DE"/>
    <w:rsid w:val="006462E0"/>
    <w:rsid w:val="00646357"/>
    <w:rsid w:val="00646631"/>
    <w:rsid w:val="00646657"/>
    <w:rsid w:val="006466DA"/>
    <w:rsid w:val="00646731"/>
    <w:rsid w:val="00646786"/>
    <w:rsid w:val="00646A33"/>
    <w:rsid w:val="00646A40"/>
    <w:rsid w:val="00646A73"/>
    <w:rsid w:val="00646A85"/>
    <w:rsid w:val="00646AD2"/>
    <w:rsid w:val="00646BB0"/>
    <w:rsid w:val="00646C42"/>
    <w:rsid w:val="00646C60"/>
    <w:rsid w:val="00646C7B"/>
    <w:rsid w:val="00646C7C"/>
    <w:rsid w:val="00646C92"/>
    <w:rsid w:val="00646D3A"/>
    <w:rsid w:val="00646D9C"/>
    <w:rsid w:val="00646F95"/>
    <w:rsid w:val="00646FCC"/>
    <w:rsid w:val="0064703C"/>
    <w:rsid w:val="0064703D"/>
    <w:rsid w:val="0064704E"/>
    <w:rsid w:val="00647097"/>
    <w:rsid w:val="00647113"/>
    <w:rsid w:val="006471F5"/>
    <w:rsid w:val="00647239"/>
    <w:rsid w:val="0064739E"/>
    <w:rsid w:val="00647632"/>
    <w:rsid w:val="00647640"/>
    <w:rsid w:val="006476DA"/>
    <w:rsid w:val="006477F4"/>
    <w:rsid w:val="0064782B"/>
    <w:rsid w:val="006478B8"/>
    <w:rsid w:val="00647919"/>
    <w:rsid w:val="00647936"/>
    <w:rsid w:val="00647990"/>
    <w:rsid w:val="006479E8"/>
    <w:rsid w:val="00647A16"/>
    <w:rsid w:val="00647C0D"/>
    <w:rsid w:val="00647DBC"/>
    <w:rsid w:val="00647DFE"/>
    <w:rsid w:val="00647F91"/>
    <w:rsid w:val="00647FB6"/>
    <w:rsid w:val="00650121"/>
    <w:rsid w:val="0065018D"/>
    <w:rsid w:val="006501C9"/>
    <w:rsid w:val="006503AE"/>
    <w:rsid w:val="006503BA"/>
    <w:rsid w:val="006503E3"/>
    <w:rsid w:val="00650499"/>
    <w:rsid w:val="00650506"/>
    <w:rsid w:val="00650548"/>
    <w:rsid w:val="006505D6"/>
    <w:rsid w:val="00650601"/>
    <w:rsid w:val="006507D2"/>
    <w:rsid w:val="006509DC"/>
    <w:rsid w:val="00650AD7"/>
    <w:rsid w:val="00650CA5"/>
    <w:rsid w:val="00650CC7"/>
    <w:rsid w:val="00650D4A"/>
    <w:rsid w:val="00650D6A"/>
    <w:rsid w:val="00650D94"/>
    <w:rsid w:val="00650E0B"/>
    <w:rsid w:val="00650E29"/>
    <w:rsid w:val="00650FCF"/>
    <w:rsid w:val="00650FFE"/>
    <w:rsid w:val="006510ED"/>
    <w:rsid w:val="006510F2"/>
    <w:rsid w:val="006511A4"/>
    <w:rsid w:val="0065129E"/>
    <w:rsid w:val="006512C3"/>
    <w:rsid w:val="00651301"/>
    <w:rsid w:val="00651306"/>
    <w:rsid w:val="00651323"/>
    <w:rsid w:val="0065135F"/>
    <w:rsid w:val="00651400"/>
    <w:rsid w:val="0065140B"/>
    <w:rsid w:val="0065143C"/>
    <w:rsid w:val="00651651"/>
    <w:rsid w:val="0065166C"/>
    <w:rsid w:val="006516D7"/>
    <w:rsid w:val="0065171F"/>
    <w:rsid w:val="0065174A"/>
    <w:rsid w:val="006518C3"/>
    <w:rsid w:val="00651A16"/>
    <w:rsid w:val="00651BA5"/>
    <w:rsid w:val="00651BB5"/>
    <w:rsid w:val="00651C18"/>
    <w:rsid w:val="00651C96"/>
    <w:rsid w:val="00651D93"/>
    <w:rsid w:val="00651F68"/>
    <w:rsid w:val="006520F5"/>
    <w:rsid w:val="0065214E"/>
    <w:rsid w:val="006521CD"/>
    <w:rsid w:val="0065267C"/>
    <w:rsid w:val="00652682"/>
    <w:rsid w:val="006526D0"/>
    <w:rsid w:val="0065278B"/>
    <w:rsid w:val="006529E5"/>
    <w:rsid w:val="00652AD8"/>
    <w:rsid w:val="00652B0C"/>
    <w:rsid w:val="00652B5E"/>
    <w:rsid w:val="00652B91"/>
    <w:rsid w:val="00652C23"/>
    <w:rsid w:val="00652C2D"/>
    <w:rsid w:val="00652CBA"/>
    <w:rsid w:val="00652CDA"/>
    <w:rsid w:val="00652DF1"/>
    <w:rsid w:val="00652EFE"/>
    <w:rsid w:val="00652F17"/>
    <w:rsid w:val="00652F50"/>
    <w:rsid w:val="00652FF5"/>
    <w:rsid w:val="006530A8"/>
    <w:rsid w:val="0065314D"/>
    <w:rsid w:val="00653195"/>
    <w:rsid w:val="006531F5"/>
    <w:rsid w:val="006533C2"/>
    <w:rsid w:val="006533C3"/>
    <w:rsid w:val="006534C3"/>
    <w:rsid w:val="0065350A"/>
    <w:rsid w:val="0065359E"/>
    <w:rsid w:val="006535BB"/>
    <w:rsid w:val="0065370A"/>
    <w:rsid w:val="0065381A"/>
    <w:rsid w:val="00653858"/>
    <w:rsid w:val="0065386F"/>
    <w:rsid w:val="006538A2"/>
    <w:rsid w:val="006538BD"/>
    <w:rsid w:val="006539C6"/>
    <w:rsid w:val="006539F2"/>
    <w:rsid w:val="00653CB0"/>
    <w:rsid w:val="00653CD7"/>
    <w:rsid w:val="00653DCA"/>
    <w:rsid w:val="00653FD6"/>
    <w:rsid w:val="006540CA"/>
    <w:rsid w:val="006540F9"/>
    <w:rsid w:val="00654147"/>
    <w:rsid w:val="006541B3"/>
    <w:rsid w:val="006541E0"/>
    <w:rsid w:val="0065421F"/>
    <w:rsid w:val="00654234"/>
    <w:rsid w:val="0065426C"/>
    <w:rsid w:val="0065426E"/>
    <w:rsid w:val="00654298"/>
    <w:rsid w:val="006542A6"/>
    <w:rsid w:val="006542C7"/>
    <w:rsid w:val="00654452"/>
    <w:rsid w:val="00654567"/>
    <w:rsid w:val="006546BC"/>
    <w:rsid w:val="0065471D"/>
    <w:rsid w:val="00654754"/>
    <w:rsid w:val="0065475F"/>
    <w:rsid w:val="0065484D"/>
    <w:rsid w:val="00654915"/>
    <w:rsid w:val="006549B5"/>
    <w:rsid w:val="00654AAA"/>
    <w:rsid w:val="00654AB1"/>
    <w:rsid w:val="00654B04"/>
    <w:rsid w:val="00654BB2"/>
    <w:rsid w:val="00654BCC"/>
    <w:rsid w:val="00654EB7"/>
    <w:rsid w:val="00654ED7"/>
    <w:rsid w:val="00654FF0"/>
    <w:rsid w:val="00654FFD"/>
    <w:rsid w:val="00655005"/>
    <w:rsid w:val="00655062"/>
    <w:rsid w:val="006550EE"/>
    <w:rsid w:val="006553DC"/>
    <w:rsid w:val="00655403"/>
    <w:rsid w:val="006555B2"/>
    <w:rsid w:val="0065561B"/>
    <w:rsid w:val="00655661"/>
    <w:rsid w:val="006556F1"/>
    <w:rsid w:val="0065572C"/>
    <w:rsid w:val="006557CD"/>
    <w:rsid w:val="00655928"/>
    <w:rsid w:val="00655A05"/>
    <w:rsid w:val="00655C28"/>
    <w:rsid w:val="00655C3E"/>
    <w:rsid w:val="00655C50"/>
    <w:rsid w:val="00655CAD"/>
    <w:rsid w:val="00655CB8"/>
    <w:rsid w:val="00655D29"/>
    <w:rsid w:val="00655D33"/>
    <w:rsid w:val="00655DAD"/>
    <w:rsid w:val="00655DE1"/>
    <w:rsid w:val="00655E2E"/>
    <w:rsid w:val="00655E9E"/>
    <w:rsid w:val="00655FE4"/>
    <w:rsid w:val="00656036"/>
    <w:rsid w:val="006560B6"/>
    <w:rsid w:val="006560BF"/>
    <w:rsid w:val="006560DF"/>
    <w:rsid w:val="00656104"/>
    <w:rsid w:val="006562FE"/>
    <w:rsid w:val="006563FE"/>
    <w:rsid w:val="0065640C"/>
    <w:rsid w:val="00656460"/>
    <w:rsid w:val="0065656B"/>
    <w:rsid w:val="006565C6"/>
    <w:rsid w:val="00656695"/>
    <w:rsid w:val="00656828"/>
    <w:rsid w:val="0065687A"/>
    <w:rsid w:val="00656957"/>
    <w:rsid w:val="006569B3"/>
    <w:rsid w:val="00656A01"/>
    <w:rsid w:val="00656A6A"/>
    <w:rsid w:val="00656BD0"/>
    <w:rsid w:val="00656C20"/>
    <w:rsid w:val="00656C95"/>
    <w:rsid w:val="00656CAA"/>
    <w:rsid w:val="00656D53"/>
    <w:rsid w:val="00656E01"/>
    <w:rsid w:val="00657026"/>
    <w:rsid w:val="0065704D"/>
    <w:rsid w:val="00657062"/>
    <w:rsid w:val="006573FA"/>
    <w:rsid w:val="00657421"/>
    <w:rsid w:val="00657424"/>
    <w:rsid w:val="006575D3"/>
    <w:rsid w:val="00657619"/>
    <w:rsid w:val="006576B4"/>
    <w:rsid w:val="00657719"/>
    <w:rsid w:val="006577FA"/>
    <w:rsid w:val="00657862"/>
    <w:rsid w:val="00657931"/>
    <w:rsid w:val="006579E8"/>
    <w:rsid w:val="00657A64"/>
    <w:rsid w:val="00657B5B"/>
    <w:rsid w:val="00657B9F"/>
    <w:rsid w:val="00657C57"/>
    <w:rsid w:val="00657C5B"/>
    <w:rsid w:val="00657E2D"/>
    <w:rsid w:val="00657E35"/>
    <w:rsid w:val="00657F35"/>
    <w:rsid w:val="00657F68"/>
    <w:rsid w:val="00657F79"/>
    <w:rsid w:val="00657FBC"/>
    <w:rsid w:val="00660117"/>
    <w:rsid w:val="0066018B"/>
    <w:rsid w:val="00660221"/>
    <w:rsid w:val="0066028D"/>
    <w:rsid w:val="006602B9"/>
    <w:rsid w:val="006605AA"/>
    <w:rsid w:val="0066060E"/>
    <w:rsid w:val="00660724"/>
    <w:rsid w:val="0066079B"/>
    <w:rsid w:val="006607AE"/>
    <w:rsid w:val="0066084C"/>
    <w:rsid w:val="006608CF"/>
    <w:rsid w:val="00660955"/>
    <w:rsid w:val="0066099C"/>
    <w:rsid w:val="006609BD"/>
    <w:rsid w:val="006609DE"/>
    <w:rsid w:val="00660AA1"/>
    <w:rsid w:val="00660BE2"/>
    <w:rsid w:val="00660D18"/>
    <w:rsid w:val="00660D71"/>
    <w:rsid w:val="00660DCB"/>
    <w:rsid w:val="00660DE2"/>
    <w:rsid w:val="00660E24"/>
    <w:rsid w:val="00660F86"/>
    <w:rsid w:val="00661061"/>
    <w:rsid w:val="006614FA"/>
    <w:rsid w:val="00661530"/>
    <w:rsid w:val="0066162B"/>
    <w:rsid w:val="0066191C"/>
    <w:rsid w:val="006619AB"/>
    <w:rsid w:val="00661A45"/>
    <w:rsid w:val="00661A98"/>
    <w:rsid w:val="00661AEC"/>
    <w:rsid w:val="00661B99"/>
    <w:rsid w:val="00661C49"/>
    <w:rsid w:val="00661CA9"/>
    <w:rsid w:val="00661D89"/>
    <w:rsid w:val="00661E58"/>
    <w:rsid w:val="006621F1"/>
    <w:rsid w:val="00662295"/>
    <w:rsid w:val="006622E4"/>
    <w:rsid w:val="00662301"/>
    <w:rsid w:val="006624DF"/>
    <w:rsid w:val="0066250D"/>
    <w:rsid w:val="0066254F"/>
    <w:rsid w:val="006628B4"/>
    <w:rsid w:val="0066294A"/>
    <w:rsid w:val="006629E0"/>
    <w:rsid w:val="006629F5"/>
    <w:rsid w:val="00662A2F"/>
    <w:rsid w:val="00662A60"/>
    <w:rsid w:val="00662A90"/>
    <w:rsid w:val="00662BFB"/>
    <w:rsid w:val="00662C4E"/>
    <w:rsid w:val="00662D19"/>
    <w:rsid w:val="00662DBC"/>
    <w:rsid w:val="00662DE2"/>
    <w:rsid w:val="00662E36"/>
    <w:rsid w:val="0066311A"/>
    <w:rsid w:val="006631DB"/>
    <w:rsid w:val="0066334A"/>
    <w:rsid w:val="00663364"/>
    <w:rsid w:val="00663380"/>
    <w:rsid w:val="006635E4"/>
    <w:rsid w:val="006635E8"/>
    <w:rsid w:val="00663758"/>
    <w:rsid w:val="0066376A"/>
    <w:rsid w:val="00663840"/>
    <w:rsid w:val="006638A1"/>
    <w:rsid w:val="00663978"/>
    <w:rsid w:val="00663A7C"/>
    <w:rsid w:val="00663A7E"/>
    <w:rsid w:val="00663DA1"/>
    <w:rsid w:val="00663DAD"/>
    <w:rsid w:val="0066407E"/>
    <w:rsid w:val="006640A5"/>
    <w:rsid w:val="006643A3"/>
    <w:rsid w:val="006643A9"/>
    <w:rsid w:val="0066478C"/>
    <w:rsid w:val="006647AE"/>
    <w:rsid w:val="00664830"/>
    <w:rsid w:val="006648A3"/>
    <w:rsid w:val="006649DC"/>
    <w:rsid w:val="006649EA"/>
    <w:rsid w:val="00664A18"/>
    <w:rsid w:val="00664A7A"/>
    <w:rsid w:val="00664C28"/>
    <w:rsid w:val="00664C7B"/>
    <w:rsid w:val="00664E95"/>
    <w:rsid w:val="00664EFD"/>
    <w:rsid w:val="0066500F"/>
    <w:rsid w:val="00665263"/>
    <w:rsid w:val="0066531F"/>
    <w:rsid w:val="006655C4"/>
    <w:rsid w:val="006657FF"/>
    <w:rsid w:val="00665830"/>
    <w:rsid w:val="00665920"/>
    <w:rsid w:val="00665925"/>
    <w:rsid w:val="00665A0A"/>
    <w:rsid w:val="00665AD1"/>
    <w:rsid w:val="00665BB8"/>
    <w:rsid w:val="00665C7E"/>
    <w:rsid w:val="00665E87"/>
    <w:rsid w:val="00665EEA"/>
    <w:rsid w:val="00665EF3"/>
    <w:rsid w:val="00666080"/>
    <w:rsid w:val="00666103"/>
    <w:rsid w:val="00666130"/>
    <w:rsid w:val="00666230"/>
    <w:rsid w:val="006663D0"/>
    <w:rsid w:val="00666407"/>
    <w:rsid w:val="0066651B"/>
    <w:rsid w:val="00666698"/>
    <w:rsid w:val="006666AF"/>
    <w:rsid w:val="00666BC8"/>
    <w:rsid w:val="00666C67"/>
    <w:rsid w:val="00666C95"/>
    <w:rsid w:val="00666CA0"/>
    <w:rsid w:val="00666CF6"/>
    <w:rsid w:val="00666D03"/>
    <w:rsid w:val="00666D77"/>
    <w:rsid w:val="00666E7F"/>
    <w:rsid w:val="00666EAA"/>
    <w:rsid w:val="00667139"/>
    <w:rsid w:val="0066714A"/>
    <w:rsid w:val="006673ED"/>
    <w:rsid w:val="006673F7"/>
    <w:rsid w:val="0066741A"/>
    <w:rsid w:val="006674B6"/>
    <w:rsid w:val="00667503"/>
    <w:rsid w:val="00667572"/>
    <w:rsid w:val="006675E8"/>
    <w:rsid w:val="0066764F"/>
    <w:rsid w:val="006676BB"/>
    <w:rsid w:val="00667762"/>
    <w:rsid w:val="0066779D"/>
    <w:rsid w:val="0066780C"/>
    <w:rsid w:val="0066789B"/>
    <w:rsid w:val="006679AA"/>
    <w:rsid w:val="00667A3F"/>
    <w:rsid w:val="00667AB9"/>
    <w:rsid w:val="00667B36"/>
    <w:rsid w:val="00667C98"/>
    <w:rsid w:val="00667CED"/>
    <w:rsid w:val="00667D02"/>
    <w:rsid w:val="00667F1B"/>
    <w:rsid w:val="00667F76"/>
    <w:rsid w:val="00667FD6"/>
    <w:rsid w:val="00667FE3"/>
    <w:rsid w:val="00670036"/>
    <w:rsid w:val="0067011B"/>
    <w:rsid w:val="006702F7"/>
    <w:rsid w:val="006707A6"/>
    <w:rsid w:val="006707CE"/>
    <w:rsid w:val="006707F3"/>
    <w:rsid w:val="006708D8"/>
    <w:rsid w:val="006709B6"/>
    <w:rsid w:val="006709FB"/>
    <w:rsid w:val="00670A3B"/>
    <w:rsid w:val="00670A66"/>
    <w:rsid w:val="00670BBD"/>
    <w:rsid w:val="00670D96"/>
    <w:rsid w:val="00670EC5"/>
    <w:rsid w:val="006710B2"/>
    <w:rsid w:val="006711AC"/>
    <w:rsid w:val="006711BC"/>
    <w:rsid w:val="006711DA"/>
    <w:rsid w:val="0067132A"/>
    <w:rsid w:val="00671343"/>
    <w:rsid w:val="00671535"/>
    <w:rsid w:val="006715BC"/>
    <w:rsid w:val="00671799"/>
    <w:rsid w:val="006717DC"/>
    <w:rsid w:val="006717FC"/>
    <w:rsid w:val="006718A1"/>
    <w:rsid w:val="006718C0"/>
    <w:rsid w:val="00671955"/>
    <w:rsid w:val="00671983"/>
    <w:rsid w:val="00671A85"/>
    <w:rsid w:val="00671AA7"/>
    <w:rsid w:val="00671AD0"/>
    <w:rsid w:val="00671AE4"/>
    <w:rsid w:val="00671B58"/>
    <w:rsid w:val="00671BB6"/>
    <w:rsid w:val="00671C04"/>
    <w:rsid w:val="00671C17"/>
    <w:rsid w:val="00671D1B"/>
    <w:rsid w:val="00671DBB"/>
    <w:rsid w:val="00671DBE"/>
    <w:rsid w:val="00671E43"/>
    <w:rsid w:val="00671E9C"/>
    <w:rsid w:val="00671EB2"/>
    <w:rsid w:val="00671EFB"/>
    <w:rsid w:val="00671F96"/>
    <w:rsid w:val="006721CF"/>
    <w:rsid w:val="00672221"/>
    <w:rsid w:val="00672278"/>
    <w:rsid w:val="0067235D"/>
    <w:rsid w:val="006723AC"/>
    <w:rsid w:val="00672426"/>
    <w:rsid w:val="00672445"/>
    <w:rsid w:val="0067249B"/>
    <w:rsid w:val="00672528"/>
    <w:rsid w:val="006726A4"/>
    <w:rsid w:val="006727E4"/>
    <w:rsid w:val="0067283C"/>
    <w:rsid w:val="00672BB8"/>
    <w:rsid w:val="0067300B"/>
    <w:rsid w:val="00673047"/>
    <w:rsid w:val="0067314D"/>
    <w:rsid w:val="0067316B"/>
    <w:rsid w:val="006732D0"/>
    <w:rsid w:val="006734B4"/>
    <w:rsid w:val="00673732"/>
    <w:rsid w:val="006737E0"/>
    <w:rsid w:val="006737F7"/>
    <w:rsid w:val="00673866"/>
    <w:rsid w:val="00673B3B"/>
    <w:rsid w:val="00673B56"/>
    <w:rsid w:val="00673B5B"/>
    <w:rsid w:val="00673B60"/>
    <w:rsid w:val="00673D3D"/>
    <w:rsid w:val="00673D5A"/>
    <w:rsid w:val="00673E51"/>
    <w:rsid w:val="00673E56"/>
    <w:rsid w:val="00674034"/>
    <w:rsid w:val="0067424E"/>
    <w:rsid w:val="00674313"/>
    <w:rsid w:val="00674370"/>
    <w:rsid w:val="006744F4"/>
    <w:rsid w:val="00674663"/>
    <w:rsid w:val="00674766"/>
    <w:rsid w:val="006747B3"/>
    <w:rsid w:val="00674959"/>
    <w:rsid w:val="006749E8"/>
    <w:rsid w:val="00674BF5"/>
    <w:rsid w:val="00674C47"/>
    <w:rsid w:val="00674D6A"/>
    <w:rsid w:val="00674ECF"/>
    <w:rsid w:val="00674FD2"/>
    <w:rsid w:val="00675012"/>
    <w:rsid w:val="00675076"/>
    <w:rsid w:val="0067509A"/>
    <w:rsid w:val="00675114"/>
    <w:rsid w:val="00675128"/>
    <w:rsid w:val="006751AA"/>
    <w:rsid w:val="006751DC"/>
    <w:rsid w:val="0067525C"/>
    <w:rsid w:val="006752DC"/>
    <w:rsid w:val="006753DA"/>
    <w:rsid w:val="006753ED"/>
    <w:rsid w:val="006754A8"/>
    <w:rsid w:val="006754C6"/>
    <w:rsid w:val="0067565D"/>
    <w:rsid w:val="00675773"/>
    <w:rsid w:val="00675830"/>
    <w:rsid w:val="006759EA"/>
    <w:rsid w:val="00675A30"/>
    <w:rsid w:val="00675A5D"/>
    <w:rsid w:val="00675AD0"/>
    <w:rsid w:val="00675B23"/>
    <w:rsid w:val="00675CD7"/>
    <w:rsid w:val="00675DD9"/>
    <w:rsid w:val="00675E17"/>
    <w:rsid w:val="006760FF"/>
    <w:rsid w:val="00676114"/>
    <w:rsid w:val="006761BD"/>
    <w:rsid w:val="00676217"/>
    <w:rsid w:val="006763C5"/>
    <w:rsid w:val="0067641B"/>
    <w:rsid w:val="00676492"/>
    <w:rsid w:val="0067668A"/>
    <w:rsid w:val="006766ED"/>
    <w:rsid w:val="00676909"/>
    <w:rsid w:val="00676910"/>
    <w:rsid w:val="0067693A"/>
    <w:rsid w:val="006769A6"/>
    <w:rsid w:val="00676ADC"/>
    <w:rsid w:val="00676AEC"/>
    <w:rsid w:val="00676B14"/>
    <w:rsid w:val="00676B61"/>
    <w:rsid w:val="00676CB1"/>
    <w:rsid w:val="00676D0A"/>
    <w:rsid w:val="00676F1A"/>
    <w:rsid w:val="00676F3E"/>
    <w:rsid w:val="00676F7E"/>
    <w:rsid w:val="00676FF8"/>
    <w:rsid w:val="0067701C"/>
    <w:rsid w:val="006770C1"/>
    <w:rsid w:val="0067716F"/>
    <w:rsid w:val="00677252"/>
    <w:rsid w:val="006772CB"/>
    <w:rsid w:val="006772F4"/>
    <w:rsid w:val="00677330"/>
    <w:rsid w:val="0067733D"/>
    <w:rsid w:val="006774ED"/>
    <w:rsid w:val="006776E4"/>
    <w:rsid w:val="006777D3"/>
    <w:rsid w:val="00677858"/>
    <w:rsid w:val="006778AD"/>
    <w:rsid w:val="0067790E"/>
    <w:rsid w:val="00677922"/>
    <w:rsid w:val="006779B0"/>
    <w:rsid w:val="00677B13"/>
    <w:rsid w:val="00677B27"/>
    <w:rsid w:val="00677B4E"/>
    <w:rsid w:val="00677B5D"/>
    <w:rsid w:val="00677BFD"/>
    <w:rsid w:val="00677C07"/>
    <w:rsid w:val="00677DC7"/>
    <w:rsid w:val="00677F8F"/>
    <w:rsid w:val="00677FDF"/>
    <w:rsid w:val="0068000A"/>
    <w:rsid w:val="0068017E"/>
    <w:rsid w:val="00680394"/>
    <w:rsid w:val="0068064C"/>
    <w:rsid w:val="00680652"/>
    <w:rsid w:val="0068065E"/>
    <w:rsid w:val="00680756"/>
    <w:rsid w:val="006807A4"/>
    <w:rsid w:val="00680800"/>
    <w:rsid w:val="0068080F"/>
    <w:rsid w:val="00680835"/>
    <w:rsid w:val="00680A5D"/>
    <w:rsid w:val="00680B16"/>
    <w:rsid w:val="00680BBB"/>
    <w:rsid w:val="00680C0A"/>
    <w:rsid w:val="00680CBE"/>
    <w:rsid w:val="00680CF2"/>
    <w:rsid w:val="00680D32"/>
    <w:rsid w:val="00680D85"/>
    <w:rsid w:val="00680D8D"/>
    <w:rsid w:val="00680DEA"/>
    <w:rsid w:val="00680E5C"/>
    <w:rsid w:val="00680EF6"/>
    <w:rsid w:val="006810E0"/>
    <w:rsid w:val="006811A2"/>
    <w:rsid w:val="0068130E"/>
    <w:rsid w:val="006813C3"/>
    <w:rsid w:val="00681444"/>
    <w:rsid w:val="006815BA"/>
    <w:rsid w:val="006815BC"/>
    <w:rsid w:val="00681681"/>
    <w:rsid w:val="006816D0"/>
    <w:rsid w:val="006816E4"/>
    <w:rsid w:val="0068189E"/>
    <w:rsid w:val="00681968"/>
    <w:rsid w:val="00681ACD"/>
    <w:rsid w:val="00681AD5"/>
    <w:rsid w:val="00681B78"/>
    <w:rsid w:val="00681B9E"/>
    <w:rsid w:val="00681BEF"/>
    <w:rsid w:val="00681C9D"/>
    <w:rsid w:val="00681DB5"/>
    <w:rsid w:val="00681EAC"/>
    <w:rsid w:val="00681F1B"/>
    <w:rsid w:val="00681F5C"/>
    <w:rsid w:val="00681FC7"/>
    <w:rsid w:val="006820A1"/>
    <w:rsid w:val="006822AB"/>
    <w:rsid w:val="006822E4"/>
    <w:rsid w:val="00682348"/>
    <w:rsid w:val="00682352"/>
    <w:rsid w:val="006823E6"/>
    <w:rsid w:val="006824C3"/>
    <w:rsid w:val="006825D3"/>
    <w:rsid w:val="00682605"/>
    <w:rsid w:val="006826BA"/>
    <w:rsid w:val="00682759"/>
    <w:rsid w:val="006827B1"/>
    <w:rsid w:val="006827D3"/>
    <w:rsid w:val="006828C0"/>
    <w:rsid w:val="00682984"/>
    <w:rsid w:val="00682B3A"/>
    <w:rsid w:val="00682C14"/>
    <w:rsid w:val="00682C64"/>
    <w:rsid w:val="00682CB5"/>
    <w:rsid w:val="00682E49"/>
    <w:rsid w:val="00682E91"/>
    <w:rsid w:val="00682F2B"/>
    <w:rsid w:val="00682FCE"/>
    <w:rsid w:val="00683100"/>
    <w:rsid w:val="00683130"/>
    <w:rsid w:val="006831FF"/>
    <w:rsid w:val="0068321D"/>
    <w:rsid w:val="00683220"/>
    <w:rsid w:val="0068336C"/>
    <w:rsid w:val="006833C8"/>
    <w:rsid w:val="006833E9"/>
    <w:rsid w:val="0068345D"/>
    <w:rsid w:val="0068353A"/>
    <w:rsid w:val="00683911"/>
    <w:rsid w:val="006839E3"/>
    <w:rsid w:val="00683A97"/>
    <w:rsid w:val="00683D65"/>
    <w:rsid w:val="00683E67"/>
    <w:rsid w:val="00683EED"/>
    <w:rsid w:val="0068411C"/>
    <w:rsid w:val="00684191"/>
    <w:rsid w:val="0068429A"/>
    <w:rsid w:val="0068432C"/>
    <w:rsid w:val="00684792"/>
    <w:rsid w:val="00684964"/>
    <w:rsid w:val="00684AB6"/>
    <w:rsid w:val="00684C24"/>
    <w:rsid w:val="00684C74"/>
    <w:rsid w:val="00684D06"/>
    <w:rsid w:val="00684D0B"/>
    <w:rsid w:val="00684DCC"/>
    <w:rsid w:val="00684E2F"/>
    <w:rsid w:val="00684E5E"/>
    <w:rsid w:val="00684F61"/>
    <w:rsid w:val="00684F76"/>
    <w:rsid w:val="00684FB5"/>
    <w:rsid w:val="0068500E"/>
    <w:rsid w:val="00685077"/>
    <w:rsid w:val="0068508C"/>
    <w:rsid w:val="006850C0"/>
    <w:rsid w:val="0068512A"/>
    <w:rsid w:val="0068531C"/>
    <w:rsid w:val="00685351"/>
    <w:rsid w:val="00685387"/>
    <w:rsid w:val="0068566D"/>
    <w:rsid w:val="006856F0"/>
    <w:rsid w:val="00685898"/>
    <w:rsid w:val="006858F5"/>
    <w:rsid w:val="00685A4B"/>
    <w:rsid w:val="00685A4E"/>
    <w:rsid w:val="00685AC7"/>
    <w:rsid w:val="00685C65"/>
    <w:rsid w:val="00685C95"/>
    <w:rsid w:val="00685CB1"/>
    <w:rsid w:val="00685E58"/>
    <w:rsid w:val="00685EEC"/>
    <w:rsid w:val="00685F8F"/>
    <w:rsid w:val="0068631D"/>
    <w:rsid w:val="0068649B"/>
    <w:rsid w:val="0068667D"/>
    <w:rsid w:val="006866D3"/>
    <w:rsid w:val="0068670D"/>
    <w:rsid w:val="006867FF"/>
    <w:rsid w:val="0068682B"/>
    <w:rsid w:val="0068696B"/>
    <w:rsid w:val="00686D96"/>
    <w:rsid w:val="00686E39"/>
    <w:rsid w:val="00686E80"/>
    <w:rsid w:val="00686ED1"/>
    <w:rsid w:val="00686F4B"/>
    <w:rsid w:val="0068702E"/>
    <w:rsid w:val="00687080"/>
    <w:rsid w:val="00687169"/>
    <w:rsid w:val="006872AF"/>
    <w:rsid w:val="006872D1"/>
    <w:rsid w:val="0068743A"/>
    <w:rsid w:val="00687453"/>
    <w:rsid w:val="0068746C"/>
    <w:rsid w:val="006875D0"/>
    <w:rsid w:val="006876C9"/>
    <w:rsid w:val="006876F5"/>
    <w:rsid w:val="00687747"/>
    <w:rsid w:val="00687797"/>
    <w:rsid w:val="006877AB"/>
    <w:rsid w:val="006879E6"/>
    <w:rsid w:val="006879F3"/>
    <w:rsid w:val="00687A27"/>
    <w:rsid w:val="00687B31"/>
    <w:rsid w:val="00687B43"/>
    <w:rsid w:val="00687B75"/>
    <w:rsid w:val="00687C9C"/>
    <w:rsid w:val="00687CE7"/>
    <w:rsid w:val="00687E65"/>
    <w:rsid w:val="00687F38"/>
    <w:rsid w:val="00687F98"/>
    <w:rsid w:val="00687FE1"/>
    <w:rsid w:val="006900F7"/>
    <w:rsid w:val="006902B1"/>
    <w:rsid w:val="0069057C"/>
    <w:rsid w:val="0069071C"/>
    <w:rsid w:val="0069081E"/>
    <w:rsid w:val="006908DF"/>
    <w:rsid w:val="00690984"/>
    <w:rsid w:val="00690A23"/>
    <w:rsid w:val="00690A69"/>
    <w:rsid w:val="00690C89"/>
    <w:rsid w:val="00690D94"/>
    <w:rsid w:val="00690F8E"/>
    <w:rsid w:val="006910B3"/>
    <w:rsid w:val="006910D4"/>
    <w:rsid w:val="006910DE"/>
    <w:rsid w:val="00691357"/>
    <w:rsid w:val="006914B1"/>
    <w:rsid w:val="006914B3"/>
    <w:rsid w:val="0069161B"/>
    <w:rsid w:val="00691637"/>
    <w:rsid w:val="0069163D"/>
    <w:rsid w:val="00691654"/>
    <w:rsid w:val="006916BD"/>
    <w:rsid w:val="006917DA"/>
    <w:rsid w:val="006918BC"/>
    <w:rsid w:val="0069198F"/>
    <w:rsid w:val="00691A7B"/>
    <w:rsid w:val="00691A9B"/>
    <w:rsid w:val="00691BAD"/>
    <w:rsid w:val="00691D15"/>
    <w:rsid w:val="00691DF3"/>
    <w:rsid w:val="00691E66"/>
    <w:rsid w:val="00691F2D"/>
    <w:rsid w:val="00692027"/>
    <w:rsid w:val="00692128"/>
    <w:rsid w:val="0069219D"/>
    <w:rsid w:val="00692220"/>
    <w:rsid w:val="00692225"/>
    <w:rsid w:val="0069223C"/>
    <w:rsid w:val="0069231E"/>
    <w:rsid w:val="00692410"/>
    <w:rsid w:val="00692611"/>
    <w:rsid w:val="0069271B"/>
    <w:rsid w:val="0069289B"/>
    <w:rsid w:val="00692AF7"/>
    <w:rsid w:val="00692B5C"/>
    <w:rsid w:val="00692D0F"/>
    <w:rsid w:val="00692D13"/>
    <w:rsid w:val="00692E63"/>
    <w:rsid w:val="00693009"/>
    <w:rsid w:val="00693040"/>
    <w:rsid w:val="0069307B"/>
    <w:rsid w:val="00693140"/>
    <w:rsid w:val="006931EE"/>
    <w:rsid w:val="0069342D"/>
    <w:rsid w:val="0069374E"/>
    <w:rsid w:val="00693B87"/>
    <w:rsid w:val="00693BF0"/>
    <w:rsid w:val="00693CA3"/>
    <w:rsid w:val="00693D5C"/>
    <w:rsid w:val="00693E23"/>
    <w:rsid w:val="00693F93"/>
    <w:rsid w:val="00694017"/>
    <w:rsid w:val="00694033"/>
    <w:rsid w:val="00694044"/>
    <w:rsid w:val="006940A1"/>
    <w:rsid w:val="006940B0"/>
    <w:rsid w:val="00694151"/>
    <w:rsid w:val="006941D0"/>
    <w:rsid w:val="006941F1"/>
    <w:rsid w:val="0069428B"/>
    <w:rsid w:val="006942D5"/>
    <w:rsid w:val="006943BF"/>
    <w:rsid w:val="00694422"/>
    <w:rsid w:val="006946AB"/>
    <w:rsid w:val="006946BE"/>
    <w:rsid w:val="0069481E"/>
    <w:rsid w:val="006948A7"/>
    <w:rsid w:val="00694965"/>
    <w:rsid w:val="00694AE6"/>
    <w:rsid w:val="00694B98"/>
    <w:rsid w:val="00694BB7"/>
    <w:rsid w:val="00694C2C"/>
    <w:rsid w:val="00694C9B"/>
    <w:rsid w:val="00694C9E"/>
    <w:rsid w:val="00694D0C"/>
    <w:rsid w:val="00694DBB"/>
    <w:rsid w:val="00694EED"/>
    <w:rsid w:val="00694EF6"/>
    <w:rsid w:val="00694F4C"/>
    <w:rsid w:val="00694FDE"/>
    <w:rsid w:val="0069516A"/>
    <w:rsid w:val="00695182"/>
    <w:rsid w:val="006952D1"/>
    <w:rsid w:val="00695384"/>
    <w:rsid w:val="006953A9"/>
    <w:rsid w:val="00695452"/>
    <w:rsid w:val="006954A2"/>
    <w:rsid w:val="006954AE"/>
    <w:rsid w:val="006954FD"/>
    <w:rsid w:val="00695545"/>
    <w:rsid w:val="006955FB"/>
    <w:rsid w:val="00695617"/>
    <w:rsid w:val="0069565E"/>
    <w:rsid w:val="006956AB"/>
    <w:rsid w:val="006956E1"/>
    <w:rsid w:val="00695705"/>
    <w:rsid w:val="00695710"/>
    <w:rsid w:val="00695966"/>
    <w:rsid w:val="006959E6"/>
    <w:rsid w:val="006959FD"/>
    <w:rsid w:val="00695A03"/>
    <w:rsid w:val="00695B16"/>
    <w:rsid w:val="00695DAA"/>
    <w:rsid w:val="00695E01"/>
    <w:rsid w:val="00695F47"/>
    <w:rsid w:val="00695F59"/>
    <w:rsid w:val="00695F92"/>
    <w:rsid w:val="00696029"/>
    <w:rsid w:val="0069602C"/>
    <w:rsid w:val="006961D3"/>
    <w:rsid w:val="0069630D"/>
    <w:rsid w:val="00696343"/>
    <w:rsid w:val="006963EF"/>
    <w:rsid w:val="0069646C"/>
    <w:rsid w:val="0069648F"/>
    <w:rsid w:val="006964AB"/>
    <w:rsid w:val="006964BE"/>
    <w:rsid w:val="006964D5"/>
    <w:rsid w:val="00696573"/>
    <w:rsid w:val="00696580"/>
    <w:rsid w:val="00696663"/>
    <w:rsid w:val="00696735"/>
    <w:rsid w:val="006967AB"/>
    <w:rsid w:val="006967C6"/>
    <w:rsid w:val="006969CE"/>
    <w:rsid w:val="00696AAB"/>
    <w:rsid w:val="00696AB9"/>
    <w:rsid w:val="00696ADD"/>
    <w:rsid w:val="00696C18"/>
    <w:rsid w:val="00696C3C"/>
    <w:rsid w:val="00696CE1"/>
    <w:rsid w:val="00696CE2"/>
    <w:rsid w:val="00696E29"/>
    <w:rsid w:val="00696F79"/>
    <w:rsid w:val="00696F81"/>
    <w:rsid w:val="00696FCD"/>
    <w:rsid w:val="0069701B"/>
    <w:rsid w:val="00697027"/>
    <w:rsid w:val="00697077"/>
    <w:rsid w:val="006970F5"/>
    <w:rsid w:val="006972D5"/>
    <w:rsid w:val="0069736F"/>
    <w:rsid w:val="00697424"/>
    <w:rsid w:val="006974DD"/>
    <w:rsid w:val="006975B3"/>
    <w:rsid w:val="006975F3"/>
    <w:rsid w:val="0069765C"/>
    <w:rsid w:val="006976D5"/>
    <w:rsid w:val="006977BD"/>
    <w:rsid w:val="00697898"/>
    <w:rsid w:val="00697928"/>
    <w:rsid w:val="00697974"/>
    <w:rsid w:val="006979FA"/>
    <w:rsid w:val="00697CBF"/>
    <w:rsid w:val="00697D56"/>
    <w:rsid w:val="00697F86"/>
    <w:rsid w:val="006A0046"/>
    <w:rsid w:val="006A0158"/>
    <w:rsid w:val="006A024B"/>
    <w:rsid w:val="006A02A5"/>
    <w:rsid w:val="006A02C8"/>
    <w:rsid w:val="006A0308"/>
    <w:rsid w:val="006A0317"/>
    <w:rsid w:val="006A04FD"/>
    <w:rsid w:val="006A0521"/>
    <w:rsid w:val="006A070A"/>
    <w:rsid w:val="006A0741"/>
    <w:rsid w:val="006A0884"/>
    <w:rsid w:val="006A0A39"/>
    <w:rsid w:val="006A0A9D"/>
    <w:rsid w:val="006A0B04"/>
    <w:rsid w:val="006A0C8B"/>
    <w:rsid w:val="006A0D3B"/>
    <w:rsid w:val="006A0D66"/>
    <w:rsid w:val="006A0D6D"/>
    <w:rsid w:val="006A0E0B"/>
    <w:rsid w:val="006A0E56"/>
    <w:rsid w:val="006A0F4E"/>
    <w:rsid w:val="006A0F70"/>
    <w:rsid w:val="006A0F86"/>
    <w:rsid w:val="006A1092"/>
    <w:rsid w:val="006A1168"/>
    <w:rsid w:val="006A1185"/>
    <w:rsid w:val="006A1294"/>
    <w:rsid w:val="006A13FD"/>
    <w:rsid w:val="006A1628"/>
    <w:rsid w:val="006A1730"/>
    <w:rsid w:val="006A179B"/>
    <w:rsid w:val="006A1938"/>
    <w:rsid w:val="006A196B"/>
    <w:rsid w:val="006A19CE"/>
    <w:rsid w:val="006A19EB"/>
    <w:rsid w:val="006A19EF"/>
    <w:rsid w:val="006A1C35"/>
    <w:rsid w:val="006A1C89"/>
    <w:rsid w:val="006A1CB3"/>
    <w:rsid w:val="006A1D00"/>
    <w:rsid w:val="006A1FB7"/>
    <w:rsid w:val="006A1FDA"/>
    <w:rsid w:val="006A2002"/>
    <w:rsid w:val="006A20A8"/>
    <w:rsid w:val="006A20B0"/>
    <w:rsid w:val="006A220F"/>
    <w:rsid w:val="006A2247"/>
    <w:rsid w:val="006A2250"/>
    <w:rsid w:val="006A2323"/>
    <w:rsid w:val="006A239E"/>
    <w:rsid w:val="006A23AA"/>
    <w:rsid w:val="006A23F8"/>
    <w:rsid w:val="006A244C"/>
    <w:rsid w:val="006A266C"/>
    <w:rsid w:val="006A275A"/>
    <w:rsid w:val="006A2AC2"/>
    <w:rsid w:val="006A2B2A"/>
    <w:rsid w:val="006A2B4F"/>
    <w:rsid w:val="006A2B61"/>
    <w:rsid w:val="006A2B72"/>
    <w:rsid w:val="006A2CB2"/>
    <w:rsid w:val="006A2D4D"/>
    <w:rsid w:val="006A2DA4"/>
    <w:rsid w:val="006A2DE1"/>
    <w:rsid w:val="006A2E80"/>
    <w:rsid w:val="006A2EA7"/>
    <w:rsid w:val="006A2EDA"/>
    <w:rsid w:val="006A2F53"/>
    <w:rsid w:val="006A3011"/>
    <w:rsid w:val="006A3054"/>
    <w:rsid w:val="006A318B"/>
    <w:rsid w:val="006A3198"/>
    <w:rsid w:val="006A3208"/>
    <w:rsid w:val="006A329C"/>
    <w:rsid w:val="006A32A6"/>
    <w:rsid w:val="006A32DB"/>
    <w:rsid w:val="006A3328"/>
    <w:rsid w:val="006A3517"/>
    <w:rsid w:val="006A355A"/>
    <w:rsid w:val="006A3683"/>
    <w:rsid w:val="006A369B"/>
    <w:rsid w:val="006A36C0"/>
    <w:rsid w:val="006A36D0"/>
    <w:rsid w:val="006A383F"/>
    <w:rsid w:val="006A39CE"/>
    <w:rsid w:val="006A3ACA"/>
    <w:rsid w:val="006A3ACC"/>
    <w:rsid w:val="006A3B37"/>
    <w:rsid w:val="006A3BE8"/>
    <w:rsid w:val="006A3C05"/>
    <w:rsid w:val="006A3C6F"/>
    <w:rsid w:val="006A3E2F"/>
    <w:rsid w:val="006A4170"/>
    <w:rsid w:val="006A4199"/>
    <w:rsid w:val="006A4294"/>
    <w:rsid w:val="006A4385"/>
    <w:rsid w:val="006A43B3"/>
    <w:rsid w:val="006A4505"/>
    <w:rsid w:val="006A4529"/>
    <w:rsid w:val="006A46A7"/>
    <w:rsid w:val="006A46E0"/>
    <w:rsid w:val="006A48A5"/>
    <w:rsid w:val="006A4989"/>
    <w:rsid w:val="006A4AC5"/>
    <w:rsid w:val="006A4BDB"/>
    <w:rsid w:val="006A4BDC"/>
    <w:rsid w:val="006A4BF1"/>
    <w:rsid w:val="006A4CB9"/>
    <w:rsid w:val="006A4DC0"/>
    <w:rsid w:val="006A4E59"/>
    <w:rsid w:val="006A4F7E"/>
    <w:rsid w:val="006A506A"/>
    <w:rsid w:val="006A5091"/>
    <w:rsid w:val="006A51CB"/>
    <w:rsid w:val="006A51E5"/>
    <w:rsid w:val="006A51F6"/>
    <w:rsid w:val="006A52BE"/>
    <w:rsid w:val="006A52EC"/>
    <w:rsid w:val="006A53E4"/>
    <w:rsid w:val="006A53F8"/>
    <w:rsid w:val="006A555A"/>
    <w:rsid w:val="006A5619"/>
    <w:rsid w:val="006A5628"/>
    <w:rsid w:val="006A57E9"/>
    <w:rsid w:val="006A57EB"/>
    <w:rsid w:val="006A58A0"/>
    <w:rsid w:val="006A58D1"/>
    <w:rsid w:val="006A590E"/>
    <w:rsid w:val="006A5919"/>
    <w:rsid w:val="006A5A69"/>
    <w:rsid w:val="006A5C51"/>
    <w:rsid w:val="006A5C5E"/>
    <w:rsid w:val="006A5E0C"/>
    <w:rsid w:val="006A5E6C"/>
    <w:rsid w:val="006A5E6D"/>
    <w:rsid w:val="006A5EC4"/>
    <w:rsid w:val="006A5F38"/>
    <w:rsid w:val="006A60AB"/>
    <w:rsid w:val="006A60AD"/>
    <w:rsid w:val="006A60D5"/>
    <w:rsid w:val="006A613F"/>
    <w:rsid w:val="006A6255"/>
    <w:rsid w:val="006A62B1"/>
    <w:rsid w:val="006A6325"/>
    <w:rsid w:val="006A63E0"/>
    <w:rsid w:val="006A6552"/>
    <w:rsid w:val="006A65B3"/>
    <w:rsid w:val="006A6621"/>
    <w:rsid w:val="006A6819"/>
    <w:rsid w:val="006A6896"/>
    <w:rsid w:val="006A6944"/>
    <w:rsid w:val="006A6950"/>
    <w:rsid w:val="006A6A55"/>
    <w:rsid w:val="006A6A65"/>
    <w:rsid w:val="006A6A76"/>
    <w:rsid w:val="006A6AB1"/>
    <w:rsid w:val="006A6ADD"/>
    <w:rsid w:val="006A6C61"/>
    <w:rsid w:val="006A6E45"/>
    <w:rsid w:val="006A6F6D"/>
    <w:rsid w:val="006A702A"/>
    <w:rsid w:val="006A7052"/>
    <w:rsid w:val="006A7065"/>
    <w:rsid w:val="006A7091"/>
    <w:rsid w:val="006A72D2"/>
    <w:rsid w:val="006A72D5"/>
    <w:rsid w:val="006A731A"/>
    <w:rsid w:val="006A7329"/>
    <w:rsid w:val="006A7474"/>
    <w:rsid w:val="006A755F"/>
    <w:rsid w:val="006A7661"/>
    <w:rsid w:val="006A76FE"/>
    <w:rsid w:val="006A777F"/>
    <w:rsid w:val="006A7786"/>
    <w:rsid w:val="006A787B"/>
    <w:rsid w:val="006A7894"/>
    <w:rsid w:val="006A78E7"/>
    <w:rsid w:val="006A78FC"/>
    <w:rsid w:val="006A7A61"/>
    <w:rsid w:val="006A7AA2"/>
    <w:rsid w:val="006A7AE4"/>
    <w:rsid w:val="006A7B80"/>
    <w:rsid w:val="006A7C76"/>
    <w:rsid w:val="006A7D26"/>
    <w:rsid w:val="006A7D3D"/>
    <w:rsid w:val="006A7D60"/>
    <w:rsid w:val="006A7DBA"/>
    <w:rsid w:val="006A7DFE"/>
    <w:rsid w:val="006A7E33"/>
    <w:rsid w:val="006A7E3B"/>
    <w:rsid w:val="006A7E55"/>
    <w:rsid w:val="006A7FDA"/>
    <w:rsid w:val="006B00A4"/>
    <w:rsid w:val="006B013F"/>
    <w:rsid w:val="006B0207"/>
    <w:rsid w:val="006B0344"/>
    <w:rsid w:val="006B0490"/>
    <w:rsid w:val="006B0838"/>
    <w:rsid w:val="006B08A1"/>
    <w:rsid w:val="006B08B0"/>
    <w:rsid w:val="006B08D5"/>
    <w:rsid w:val="006B08F1"/>
    <w:rsid w:val="006B0910"/>
    <w:rsid w:val="006B0A29"/>
    <w:rsid w:val="006B0AC1"/>
    <w:rsid w:val="006B0AD8"/>
    <w:rsid w:val="006B0C82"/>
    <w:rsid w:val="006B0CE6"/>
    <w:rsid w:val="006B0D5D"/>
    <w:rsid w:val="006B0DA2"/>
    <w:rsid w:val="006B0EA6"/>
    <w:rsid w:val="006B0F1C"/>
    <w:rsid w:val="006B0F4C"/>
    <w:rsid w:val="006B0F83"/>
    <w:rsid w:val="006B103A"/>
    <w:rsid w:val="006B1094"/>
    <w:rsid w:val="006B1117"/>
    <w:rsid w:val="006B1120"/>
    <w:rsid w:val="006B12BC"/>
    <w:rsid w:val="006B12E7"/>
    <w:rsid w:val="006B143F"/>
    <w:rsid w:val="006B1499"/>
    <w:rsid w:val="006B14F9"/>
    <w:rsid w:val="006B16D4"/>
    <w:rsid w:val="006B17E8"/>
    <w:rsid w:val="006B1853"/>
    <w:rsid w:val="006B19B3"/>
    <w:rsid w:val="006B1A3C"/>
    <w:rsid w:val="006B1A4E"/>
    <w:rsid w:val="006B1BE4"/>
    <w:rsid w:val="006B1E44"/>
    <w:rsid w:val="006B1F72"/>
    <w:rsid w:val="006B1FE7"/>
    <w:rsid w:val="006B2054"/>
    <w:rsid w:val="006B2219"/>
    <w:rsid w:val="006B232F"/>
    <w:rsid w:val="006B2580"/>
    <w:rsid w:val="006B258D"/>
    <w:rsid w:val="006B2616"/>
    <w:rsid w:val="006B27D5"/>
    <w:rsid w:val="006B2981"/>
    <w:rsid w:val="006B2A0F"/>
    <w:rsid w:val="006B2AE0"/>
    <w:rsid w:val="006B2B91"/>
    <w:rsid w:val="006B2C83"/>
    <w:rsid w:val="006B2D5C"/>
    <w:rsid w:val="006B3002"/>
    <w:rsid w:val="006B308D"/>
    <w:rsid w:val="006B30DA"/>
    <w:rsid w:val="006B31BE"/>
    <w:rsid w:val="006B32EE"/>
    <w:rsid w:val="006B3352"/>
    <w:rsid w:val="006B3431"/>
    <w:rsid w:val="006B34C3"/>
    <w:rsid w:val="006B34FF"/>
    <w:rsid w:val="006B3589"/>
    <w:rsid w:val="006B3B38"/>
    <w:rsid w:val="006B3BF1"/>
    <w:rsid w:val="006B3D05"/>
    <w:rsid w:val="006B3D18"/>
    <w:rsid w:val="006B3D92"/>
    <w:rsid w:val="006B3DA3"/>
    <w:rsid w:val="006B3DB6"/>
    <w:rsid w:val="006B4091"/>
    <w:rsid w:val="006B4341"/>
    <w:rsid w:val="006B4360"/>
    <w:rsid w:val="006B4474"/>
    <w:rsid w:val="006B4539"/>
    <w:rsid w:val="006B470E"/>
    <w:rsid w:val="006B48EE"/>
    <w:rsid w:val="006B4ADC"/>
    <w:rsid w:val="006B4BD6"/>
    <w:rsid w:val="006B4BDB"/>
    <w:rsid w:val="006B4C20"/>
    <w:rsid w:val="006B4C60"/>
    <w:rsid w:val="006B4C67"/>
    <w:rsid w:val="006B4C9C"/>
    <w:rsid w:val="006B4E99"/>
    <w:rsid w:val="006B4F31"/>
    <w:rsid w:val="006B4FBA"/>
    <w:rsid w:val="006B50B6"/>
    <w:rsid w:val="006B51E7"/>
    <w:rsid w:val="006B51EB"/>
    <w:rsid w:val="006B51ED"/>
    <w:rsid w:val="006B5207"/>
    <w:rsid w:val="006B52DA"/>
    <w:rsid w:val="006B53CA"/>
    <w:rsid w:val="006B53FB"/>
    <w:rsid w:val="006B540E"/>
    <w:rsid w:val="006B57B4"/>
    <w:rsid w:val="006B58EA"/>
    <w:rsid w:val="006B5AB6"/>
    <w:rsid w:val="006B5AE3"/>
    <w:rsid w:val="006B5BA9"/>
    <w:rsid w:val="006B5F09"/>
    <w:rsid w:val="006B6034"/>
    <w:rsid w:val="006B6067"/>
    <w:rsid w:val="006B6197"/>
    <w:rsid w:val="006B61AA"/>
    <w:rsid w:val="006B6429"/>
    <w:rsid w:val="006B663F"/>
    <w:rsid w:val="006B67A7"/>
    <w:rsid w:val="006B6839"/>
    <w:rsid w:val="006B6893"/>
    <w:rsid w:val="006B68C8"/>
    <w:rsid w:val="006B6908"/>
    <w:rsid w:val="006B6AF6"/>
    <w:rsid w:val="006B6CA1"/>
    <w:rsid w:val="006B6EDD"/>
    <w:rsid w:val="006B6FA2"/>
    <w:rsid w:val="006B6FB8"/>
    <w:rsid w:val="006B6FBB"/>
    <w:rsid w:val="006B711B"/>
    <w:rsid w:val="006B725A"/>
    <w:rsid w:val="006B750A"/>
    <w:rsid w:val="006B7537"/>
    <w:rsid w:val="006B7643"/>
    <w:rsid w:val="006B7A3B"/>
    <w:rsid w:val="006B7A3C"/>
    <w:rsid w:val="006B7AC6"/>
    <w:rsid w:val="006B7BA6"/>
    <w:rsid w:val="006B7C36"/>
    <w:rsid w:val="006B7DF4"/>
    <w:rsid w:val="006C00C1"/>
    <w:rsid w:val="006C0115"/>
    <w:rsid w:val="006C013B"/>
    <w:rsid w:val="006C0212"/>
    <w:rsid w:val="006C021B"/>
    <w:rsid w:val="006C046E"/>
    <w:rsid w:val="006C0472"/>
    <w:rsid w:val="006C051C"/>
    <w:rsid w:val="006C059F"/>
    <w:rsid w:val="006C05BD"/>
    <w:rsid w:val="006C0733"/>
    <w:rsid w:val="006C0792"/>
    <w:rsid w:val="006C0976"/>
    <w:rsid w:val="006C098A"/>
    <w:rsid w:val="006C0A26"/>
    <w:rsid w:val="006C0CE1"/>
    <w:rsid w:val="006C0D99"/>
    <w:rsid w:val="006C0E12"/>
    <w:rsid w:val="006C0E4C"/>
    <w:rsid w:val="006C0E69"/>
    <w:rsid w:val="006C0F62"/>
    <w:rsid w:val="006C0FA5"/>
    <w:rsid w:val="006C1037"/>
    <w:rsid w:val="006C105B"/>
    <w:rsid w:val="006C1093"/>
    <w:rsid w:val="006C10D4"/>
    <w:rsid w:val="006C1109"/>
    <w:rsid w:val="006C1282"/>
    <w:rsid w:val="006C12AA"/>
    <w:rsid w:val="006C1437"/>
    <w:rsid w:val="006C149F"/>
    <w:rsid w:val="006C151F"/>
    <w:rsid w:val="006C152A"/>
    <w:rsid w:val="006C1546"/>
    <w:rsid w:val="006C1578"/>
    <w:rsid w:val="006C161D"/>
    <w:rsid w:val="006C1700"/>
    <w:rsid w:val="006C1826"/>
    <w:rsid w:val="006C1A2F"/>
    <w:rsid w:val="006C1A40"/>
    <w:rsid w:val="006C1B41"/>
    <w:rsid w:val="006C1B75"/>
    <w:rsid w:val="006C1B8E"/>
    <w:rsid w:val="006C1BA4"/>
    <w:rsid w:val="006C1D0F"/>
    <w:rsid w:val="006C1D40"/>
    <w:rsid w:val="006C1DCC"/>
    <w:rsid w:val="006C1DFE"/>
    <w:rsid w:val="006C1E30"/>
    <w:rsid w:val="006C2038"/>
    <w:rsid w:val="006C20F4"/>
    <w:rsid w:val="006C22AE"/>
    <w:rsid w:val="006C23E9"/>
    <w:rsid w:val="006C243C"/>
    <w:rsid w:val="006C2477"/>
    <w:rsid w:val="006C24B4"/>
    <w:rsid w:val="006C26DD"/>
    <w:rsid w:val="006C28EE"/>
    <w:rsid w:val="006C2BCC"/>
    <w:rsid w:val="006C2C88"/>
    <w:rsid w:val="006C2E35"/>
    <w:rsid w:val="006C2E6E"/>
    <w:rsid w:val="006C2EA4"/>
    <w:rsid w:val="006C2F39"/>
    <w:rsid w:val="006C2F76"/>
    <w:rsid w:val="006C3011"/>
    <w:rsid w:val="006C3097"/>
    <w:rsid w:val="006C30AE"/>
    <w:rsid w:val="006C30CA"/>
    <w:rsid w:val="006C30DF"/>
    <w:rsid w:val="006C329F"/>
    <w:rsid w:val="006C340F"/>
    <w:rsid w:val="006C34D6"/>
    <w:rsid w:val="006C352E"/>
    <w:rsid w:val="006C3586"/>
    <w:rsid w:val="006C35D9"/>
    <w:rsid w:val="006C372D"/>
    <w:rsid w:val="006C3828"/>
    <w:rsid w:val="006C3907"/>
    <w:rsid w:val="006C3AB0"/>
    <w:rsid w:val="006C3ABA"/>
    <w:rsid w:val="006C3B78"/>
    <w:rsid w:val="006C3C4B"/>
    <w:rsid w:val="006C3CCF"/>
    <w:rsid w:val="006C3CD9"/>
    <w:rsid w:val="006C3D9D"/>
    <w:rsid w:val="006C3E90"/>
    <w:rsid w:val="006C3F24"/>
    <w:rsid w:val="006C418C"/>
    <w:rsid w:val="006C4200"/>
    <w:rsid w:val="006C42DF"/>
    <w:rsid w:val="006C4317"/>
    <w:rsid w:val="006C450A"/>
    <w:rsid w:val="006C453B"/>
    <w:rsid w:val="006C4609"/>
    <w:rsid w:val="006C46F5"/>
    <w:rsid w:val="006C47E0"/>
    <w:rsid w:val="006C4872"/>
    <w:rsid w:val="006C4896"/>
    <w:rsid w:val="006C48A2"/>
    <w:rsid w:val="006C4A72"/>
    <w:rsid w:val="006C4CA4"/>
    <w:rsid w:val="006C4DCE"/>
    <w:rsid w:val="006C4F10"/>
    <w:rsid w:val="006C4F89"/>
    <w:rsid w:val="006C4F98"/>
    <w:rsid w:val="006C4FC6"/>
    <w:rsid w:val="006C5241"/>
    <w:rsid w:val="006C529C"/>
    <w:rsid w:val="006C52C8"/>
    <w:rsid w:val="006C52FB"/>
    <w:rsid w:val="006C5413"/>
    <w:rsid w:val="006C5454"/>
    <w:rsid w:val="006C548A"/>
    <w:rsid w:val="006C54C7"/>
    <w:rsid w:val="006C556A"/>
    <w:rsid w:val="006C55CD"/>
    <w:rsid w:val="006C55D0"/>
    <w:rsid w:val="006C5650"/>
    <w:rsid w:val="006C5847"/>
    <w:rsid w:val="006C5887"/>
    <w:rsid w:val="006C58AA"/>
    <w:rsid w:val="006C58BC"/>
    <w:rsid w:val="006C59A4"/>
    <w:rsid w:val="006C59A6"/>
    <w:rsid w:val="006C59CB"/>
    <w:rsid w:val="006C5AF4"/>
    <w:rsid w:val="006C5C20"/>
    <w:rsid w:val="006C5C7F"/>
    <w:rsid w:val="006C5D7A"/>
    <w:rsid w:val="006C5DC9"/>
    <w:rsid w:val="006C5EA4"/>
    <w:rsid w:val="006C5EBE"/>
    <w:rsid w:val="006C5FC6"/>
    <w:rsid w:val="006C6239"/>
    <w:rsid w:val="006C625D"/>
    <w:rsid w:val="006C64B6"/>
    <w:rsid w:val="006C6524"/>
    <w:rsid w:val="006C666A"/>
    <w:rsid w:val="006C66CB"/>
    <w:rsid w:val="006C6710"/>
    <w:rsid w:val="006C6807"/>
    <w:rsid w:val="006C6825"/>
    <w:rsid w:val="006C6969"/>
    <w:rsid w:val="006C6A1C"/>
    <w:rsid w:val="006C6A75"/>
    <w:rsid w:val="006C6AC1"/>
    <w:rsid w:val="006C6B90"/>
    <w:rsid w:val="006C6C9F"/>
    <w:rsid w:val="006C6E28"/>
    <w:rsid w:val="006C6E5F"/>
    <w:rsid w:val="006C6EA4"/>
    <w:rsid w:val="006C6FF7"/>
    <w:rsid w:val="006C7007"/>
    <w:rsid w:val="006C7055"/>
    <w:rsid w:val="006C7060"/>
    <w:rsid w:val="006C70DA"/>
    <w:rsid w:val="006C7238"/>
    <w:rsid w:val="006C7258"/>
    <w:rsid w:val="006C7451"/>
    <w:rsid w:val="006C753A"/>
    <w:rsid w:val="006C7652"/>
    <w:rsid w:val="006C787C"/>
    <w:rsid w:val="006C78D7"/>
    <w:rsid w:val="006C793E"/>
    <w:rsid w:val="006C796E"/>
    <w:rsid w:val="006C79E8"/>
    <w:rsid w:val="006C79EA"/>
    <w:rsid w:val="006C7A5F"/>
    <w:rsid w:val="006C7A9F"/>
    <w:rsid w:val="006C7B28"/>
    <w:rsid w:val="006C7B57"/>
    <w:rsid w:val="006C7C0D"/>
    <w:rsid w:val="006C7C9C"/>
    <w:rsid w:val="006C7D10"/>
    <w:rsid w:val="006C7D39"/>
    <w:rsid w:val="006C7DC4"/>
    <w:rsid w:val="006C7EFD"/>
    <w:rsid w:val="006C7F18"/>
    <w:rsid w:val="006C7F2D"/>
    <w:rsid w:val="006C7FC0"/>
    <w:rsid w:val="006D0297"/>
    <w:rsid w:val="006D02EA"/>
    <w:rsid w:val="006D0392"/>
    <w:rsid w:val="006D03CA"/>
    <w:rsid w:val="006D03D6"/>
    <w:rsid w:val="006D04B8"/>
    <w:rsid w:val="006D0546"/>
    <w:rsid w:val="006D06DD"/>
    <w:rsid w:val="006D090D"/>
    <w:rsid w:val="006D0A13"/>
    <w:rsid w:val="006D0ADB"/>
    <w:rsid w:val="006D0B69"/>
    <w:rsid w:val="006D0C47"/>
    <w:rsid w:val="006D0C55"/>
    <w:rsid w:val="006D0E67"/>
    <w:rsid w:val="006D0E77"/>
    <w:rsid w:val="006D0E98"/>
    <w:rsid w:val="006D0E9A"/>
    <w:rsid w:val="006D0EB3"/>
    <w:rsid w:val="006D0F30"/>
    <w:rsid w:val="006D0F37"/>
    <w:rsid w:val="006D114B"/>
    <w:rsid w:val="006D1173"/>
    <w:rsid w:val="006D1378"/>
    <w:rsid w:val="006D13C8"/>
    <w:rsid w:val="006D1454"/>
    <w:rsid w:val="006D14B3"/>
    <w:rsid w:val="006D1535"/>
    <w:rsid w:val="006D15CC"/>
    <w:rsid w:val="006D1675"/>
    <w:rsid w:val="006D177E"/>
    <w:rsid w:val="006D17AF"/>
    <w:rsid w:val="006D17B7"/>
    <w:rsid w:val="006D17CE"/>
    <w:rsid w:val="006D17E1"/>
    <w:rsid w:val="006D1A7F"/>
    <w:rsid w:val="006D1AD1"/>
    <w:rsid w:val="006D1B92"/>
    <w:rsid w:val="006D1C59"/>
    <w:rsid w:val="006D1C8D"/>
    <w:rsid w:val="006D1D56"/>
    <w:rsid w:val="006D1DB1"/>
    <w:rsid w:val="006D1E25"/>
    <w:rsid w:val="006D1F20"/>
    <w:rsid w:val="006D1F87"/>
    <w:rsid w:val="006D1FAF"/>
    <w:rsid w:val="006D20D1"/>
    <w:rsid w:val="006D20DD"/>
    <w:rsid w:val="006D20E8"/>
    <w:rsid w:val="006D226A"/>
    <w:rsid w:val="006D22DD"/>
    <w:rsid w:val="006D2330"/>
    <w:rsid w:val="006D24CD"/>
    <w:rsid w:val="006D2547"/>
    <w:rsid w:val="006D266E"/>
    <w:rsid w:val="006D2675"/>
    <w:rsid w:val="006D26D9"/>
    <w:rsid w:val="006D27E8"/>
    <w:rsid w:val="006D2824"/>
    <w:rsid w:val="006D28EB"/>
    <w:rsid w:val="006D29B9"/>
    <w:rsid w:val="006D2A2B"/>
    <w:rsid w:val="006D2B6E"/>
    <w:rsid w:val="006D2C3E"/>
    <w:rsid w:val="006D2E2C"/>
    <w:rsid w:val="006D2FA9"/>
    <w:rsid w:val="006D2FC4"/>
    <w:rsid w:val="006D30D2"/>
    <w:rsid w:val="006D3182"/>
    <w:rsid w:val="006D34FC"/>
    <w:rsid w:val="006D368C"/>
    <w:rsid w:val="006D3750"/>
    <w:rsid w:val="006D375F"/>
    <w:rsid w:val="006D3941"/>
    <w:rsid w:val="006D3951"/>
    <w:rsid w:val="006D3987"/>
    <w:rsid w:val="006D3A1D"/>
    <w:rsid w:val="006D3A99"/>
    <w:rsid w:val="006D3F56"/>
    <w:rsid w:val="006D4128"/>
    <w:rsid w:val="006D42A9"/>
    <w:rsid w:val="006D4359"/>
    <w:rsid w:val="006D439C"/>
    <w:rsid w:val="006D446D"/>
    <w:rsid w:val="006D44C4"/>
    <w:rsid w:val="006D4598"/>
    <w:rsid w:val="006D4618"/>
    <w:rsid w:val="006D4943"/>
    <w:rsid w:val="006D4987"/>
    <w:rsid w:val="006D4990"/>
    <w:rsid w:val="006D49D3"/>
    <w:rsid w:val="006D4A60"/>
    <w:rsid w:val="006D4A6B"/>
    <w:rsid w:val="006D4A6C"/>
    <w:rsid w:val="006D4AFA"/>
    <w:rsid w:val="006D4B3C"/>
    <w:rsid w:val="006D4BBA"/>
    <w:rsid w:val="006D4BE4"/>
    <w:rsid w:val="006D4BFD"/>
    <w:rsid w:val="006D4CD9"/>
    <w:rsid w:val="006D4EEC"/>
    <w:rsid w:val="006D4F09"/>
    <w:rsid w:val="006D4FEF"/>
    <w:rsid w:val="006D50EE"/>
    <w:rsid w:val="006D5246"/>
    <w:rsid w:val="006D525E"/>
    <w:rsid w:val="006D52D2"/>
    <w:rsid w:val="006D5326"/>
    <w:rsid w:val="006D533B"/>
    <w:rsid w:val="006D5358"/>
    <w:rsid w:val="006D54FA"/>
    <w:rsid w:val="006D5542"/>
    <w:rsid w:val="006D55FC"/>
    <w:rsid w:val="006D572E"/>
    <w:rsid w:val="006D57A5"/>
    <w:rsid w:val="006D582F"/>
    <w:rsid w:val="006D5859"/>
    <w:rsid w:val="006D58F6"/>
    <w:rsid w:val="006D5910"/>
    <w:rsid w:val="006D5A61"/>
    <w:rsid w:val="006D5B31"/>
    <w:rsid w:val="006D5BAD"/>
    <w:rsid w:val="006D5BC8"/>
    <w:rsid w:val="006D5C34"/>
    <w:rsid w:val="006D5C52"/>
    <w:rsid w:val="006D5D8F"/>
    <w:rsid w:val="006D5DCE"/>
    <w:rsid w:val="006D5DE2"/>
    <w:rsid w:val="006D5EA2"/>
    <w:rsid w:val="006D5EF7"/>
    <w:rsid w:val="006D5F4D"/>
    <w:rsid w:val="006D5FE8"/>
    <w:rsid w:val="006D607E"/>
    <w:rsid w:val="006D60BC"/>
    <w:rsid w:val="006D6169"/>
    <w:rsid w:val="006D6188"/>
    <w:rsid w:val="006D6199"/>
    <w:rsid w:val="006D61C8"/>
    <w:rsid w:val="006D6317"/>
    <w:rsid w:val="006D6406"/>
    <w:rsid w:val="006D6420"/>
    <w:rsid w:val="006D6442"/>
    <w:rsid w:val="006D6447"/>
    <w:rsid w:val="006D672F"/>
    <w:rsid w:val="006D6756"/>
    <w:rsid w:val="006D6813"/>
    <w:rsid w:val="006D6899"/>
    <w:rsid w:val="006D692B"/>
    <w:rsid w:val="006D6973"/>
    <w:rsid w:val="006D69D1"/>
    <w:rsid w:val="006D6B0B"/>
    <w:rsid w:val="006D6BD8"/>
    <w:rsid w:val="006D6C54"/>
    <w:rsid w:val="006D6C94"/>
    <w:rsid w:val="006D6C9F"/>
    <w:rsid w:val="006D6E6A"/>
    <w:rsid w:val="006D6EC5"/>
    <w:rsid w:val="006D6F14"/>
    <w:rsid w:val="006D6F3F"/>
    <w:rsid w:val="006D70F1"/>
    <w:rsid w:val="006D7194"/>
    <w:rsid w:val="006D729C"/>
    <w:rsid w:val="006D7315"/>
    <w:rsid w:val="006D7341"/>
    <w:rsid w:val="006D73A1"/>
    <w:rsid w:val="006D7476"/>
    <w:rsid w:val="006D748A"/>
    <w:rsid w:val="006D751F"/>
    <w:rsid w:val="006D761D"/>
    <w:rsid w:val="006D7792"/>
    <w:rsid w:val="006D79E3"/>
    <w:rsid w:val="006D7A21"/>
    <w:rsid w:val="006D7A8B"/>
    <w:rsid w:val="006D7ACA"/>
    <w:rsid w:val="006D7B3A"/>
    <w:rsid w:val="006D7B5B"/>
    <w:rsid w:val="006D7C2D"/>
    <w:rsid w:val="006D7DBA"/>
    <w:rsid w:val="006D7E94"/>
    <w:rsid w:val="006D7F2A"/>
    <w:rsid w:val="006E002A"/>
    <w:rsid w:val="006E00BA"/>
    <w:rsid w:val="006E00D8"/>
    <w:rsid w:val="006E047F"/>
    <w:rsid w:val="006E04BE"/>
    <w:rsid w:val="006E054E"/>
    <w:rsid w:val="006E058C"/>
    <w:rsid w:val="006E0682"/>
    <w:rsid w:val="006E07E4"/>
    <w:rsid w:val="006E0825"/>
    <w:rsid w:val="006E08D2"/>
    <w:rsid w:val="006E095B"/>
    <w:rsid w:val="006E0B4F"/>
    <w:rsid w:val="006E0BB2"/>
    <w:rsid w:val="006E0D76"/>
    <w:rsid w:val="006E0E64"/>
    <w:rsid w:val="006E0F3C"/>
    <w:rsid w:val="006E1063"/>
    <w:rsid w:val="006E10A7"/>
    <w:rsid w:val="006E10A9"/>
    <w:rsid w:val="006E10FB"/>
    <w:rsid w:val="006E1285"/>
    <w:rsid w:val="006E1291"/>
    <w:rsid w:val="006E12D2"/>
    <w:rsid w:val="006E12EA"/>
    <w:rsid w:val="006E12FC"/>
    <w:rsid w:val="006E12FE"/>
    <w:rsid w:val="006E13D0"/>
    <w:rsid w:val="006E13E2"/>
    <w:rsid w:val="006E14A1"/>
    <w:rsid w:val="006E14BA"/>
    <w:rsid w:val="006E14CA"/>
    <w:rsid w:val="006E19A8"/>
    <w:rsid w:val="006E1A82"/>
    <w:rsid w:val="006E1BE8"/>
    <w:rsid w:val="006E1BEC"/>
    <w:rsid w:val="006E1CE3"/>
    <w:rsid w:val="006E1DB6"/>
    <w:rsid w:val="006E1DEA"/>
    <w:rsid w:val="006E1ECF"/>
    <w:rsid w:val="006E2031"/>
    <w:rsid w:val="006E20E9"/>
    <w:rsid w:val="006E2351"/>
    <w:rsid w:val="006E241F"/>
    <w:rsid w:val="006E2420"/>
    <w:rsid w:val="006E2443"/>
    <w:rsid w:val="006E247A"/>
    <w:rsid w:val="006E24F5"/>
    <w:rsid w:val="006E262B"/>
    <w:rsid w:val="006E26D4"/>
    <w:rsid w:val="006E2773"/>
    <w:rsid w:val="006E279E"/>
    <w:rsid w:val="006E2843"/>
    <w:rsid w:val="006E2911"/>
    <w:rsid w:val="006E29FD"/>
    <w:rsid w:val="006E2A87"/>
    <w:rsid w:val="006E2B9A"/>
    <w:rsid w:val="006E2DFC"/>
    <w:rsid w:val="006E2F1E"/>
    <w:rsid w:val="006E3005"/>
    <w:rsid w:val="006E31D8"/>
    <w:rsid w:val="006E31FA"/>
    <w:rsid w:val="006E3293"/>
    <w:rsid w:val="006E32CA"/>
    <w:rsid w:val="006E336A"/>
    <w:rsid w:val="006E34D7"/>
    <w:rsid w:val="006E3506"/>
    <w:rsid w:val="006E3520"/>
    <w:rsid w:val="006E353B"/>
    <w:rsid w:val="006E3679"/>
    <w:rsid w:val="006E3719"/>
    <w:rsid w:val="006E383D"/>
    <w:rsid w:val="006E3969"/>
    <w:rsid w:val="006E398B"/>
    <w:rsid w:val="006E3A0F"/>
    <w:rsid w:val="006E3A1A"/>
    <w:rsid w:val="006E3A78"/>
    <w:rsid w:val="006E3D4A"/>
    <w:rsid w:val="006E3D66"/>
    <w:rsid w:val="006E3D6E"/>
    <w:rsid w:val="006E3DBC"/>
    <w:rsid w:val="006E3E1A"/>
    <w:rsid w:val="006E3E5D"/>
    <w:rsid w:val="006E3E9B"/>
    <w:rsid w:val="006E3F6F"/>
    <w:rsid w:val="006E3F81"/>
    <w:rsid w:val="006E4124"/>
    <w:rsid w:val="006E416F"/>
    <w:rsid w:val="006E4314"/>
    <w:rsid w:val="006E431C"/>
    <w:rsid w:val="006E436F"/>
    <w:rsid w:val="006E43AA"/>
    <w:rsid w:val="006E43AE"/>
    <w:rsid w:val="006E43CB"/>
    <w:rsid w:val="006E4407"/>
    <w:rsid w:val="006E449C"/>
    <w:rsid w:val="006E459B"/>
    <w:rsid w:val="006E459C"/>
    <w:rsid w:val="006E45AB"/>
    <w:rsid w:val="006E45B3"/>
    <w:rsid w:val="006E45DA"/>
    <w:rsid w:val="006E4677"/>
    <w:rsid w:val="006E467A"/>
    <w:rsid w:val="006E4934"/>
    <w:rsid w:val="006E4A33"/>
    <w:rsid w:val="006E4A74"/>
    <w:rsid w:val="006E4AC3"/>
    <w:rsid w:val="006E4B18"/>
    <w:rsid w:val="006E4BCD"/>
    <w:rsid w:val="006E4E7E"/>
    <w:rsid w:val="006E4EF2"/>
    <w:rsid w:val="006E512C"/>
    <w:rsid w:val="006E52E7"/>
    <w:rsid w:val="006E53CC"/>
    <w:rsid w:val="006E541D"/>
    <w:rsid w:val="006E5475"/>
    <w:rsid w:val="006E54C7"/>
    <w:rsid w:val="006E551C"/>
    <w:rsid w:val="006E5524"/>
    <w:rsid w:val="006E5544"/>
    <w:rsid w:val="006E55DA"/>
    <w:rsid w:val="006E5695"/>
    <w:rsid w:val="006E56B5"/>
    <w:rsid w:val="006E5790"/>
    <w:rsid w:val="006E5957"/>
    <w:rsid w:val="006E59AE"/>
    <w:rsid w:val="006E5BBE"/>
    <w:rsid w:val="006E5C9F"/>
    <w:rsid w:val="006E5E26"/>
    <w:rsid w:val="006E5E34"/>
    <w:rsid w:val="006E6155"/>
    <w:rsid w:val="006E61CD"/>
    <w:rsid w:val="006E62B6"/>
    <w:rsid w:val="006E6306"/>
    <w:rsid w:val="006E630C"/>
    <w:rsid w:val="006E6333"/>
    <w:rsid w:val="006E64BA"/>
    <w:rsid w:val="006E6611"/>
    <w:rsid w:val="006E669E"/>
    <w:rsid w:val="006E66AC"/>
    <w:rsid w:val="006E684E"/>
    <w:rsid w:val="006E68DE"/>
    <w:rsid w:val="006E6957"/>
    <w:rsid w:val="006E6AC1"/>
    <w:rsid w:val="006E6B57"/>
    <w:rsid w:val="006E6BE5"/>
    <w:rsid w:val="006E6F0D"/>
    <w:rsid w:val="006E6FF7"/>
    <w:rsid w:val="006E71ED"/>
    <w:rsid w:val="006E724F"/>
    <w:rsid w:val="006E73BC"/>
    <w:rsid w:val="006E74EA"/>
    <w:rsid w:val="006E76A8"/>
    <w:rsid w:val="006E788D"/>
    <w:rsid w:val="006E7A20"/>
    <w:rsid w:val="006E7B63"/>
    <w:rsid w:val="006E7C2C"/>
    <w:rsid w:val="006E7C42"/>
    <w:rsid w:val="006E7CEA"/>
    <w:rsid w:val="006E7D4E"/>
    <w:rsid w:val="006E7DA9"/>
    <w:rsid w:val="006E7DDF"/>
    <w:rsid w:val="006E7E5D"/>
    <w:rsid w:val="006E7EA0"/>
    <w:rsid w:val="006F0110"/>
    <w:rsid w:val="006F0210"/>
    <w:rsid w:val="006F0237"/>
    <w:rsid w:val="006F02D8"/>
    <w:rsid w:val="006F02EA"/>
    <w:rsid w:val="006F02FE"/>
    <w:rsid w:val="006F0357"/>
    <w:rsid w:val="006F03C4"/>
    <w:rsid w:val="006F03CB"/>
    <w:rsid w:val="006F040E"/>
    <w:rsid w:val="006F049D"/>
    <w:rsid w:val="006F05E5"/>
    <w:rsid w:val="006F06BC"/>
    <w:rsid w:val="006F0842"/>
    <w:rsid w:val="006F08F6"/>
    <w:rsid w:val="006F0927"/>
    <w:rsid w:val="006F0957"/>
    <w:rsid w:val="006F09CE"/>
    <w:rsid w:val="006F0AFE"/>
    <w:rsid w:val="006F0CC2"/>
    <w:rsid w:val="006F0DA4"/>
    <w:rsid w:val="006F0DC7"/>
    <w:rsid w:val="006F0DE5"/>
    <w:rsid w:val="006F0EA4"/>
    <w:rsid w:val="006F0EF1"/>
    <w:rsid w:val="006F0F73"/>
    <w:rsid w:val="006F1048"/>
    <w:rsid w:val="006F104D"/>
    <w:rsid w:val="006F106A"/>
    <w:rsid w:val="006F115F"/>
    <w:rsid w:val="006F1199"/>
    <w:rsid w:val="006F1270"/>
    <w:rsid w:val="006F1478"/>
    <w:rsid w:val="006F14E2"/>
    <w:rsid w:val="006F15D7"/>
    <w:rsid w:val="006F16AF"/>
    <w:rsid w:val="006F16F9"/>
    <w:rsid w:val="006F17CC"/>
    <w:rsid w:val="006F1A5E"/>
    <w:rsid w:val="006F1AA0"/>
    <w:rsid w:val="006F1BC1"/>
    <w:rsid w:val="006F1C12"/>
    <w:rsid w:val="006F1C59"/>
    <w:rsid w:val="006F1D03"/>
    <w:rsid w:val="006F1E21"/>
    <w:rsid w:val="006F1E6A"/>
    <w:rsid w:val="006F1E97"/>
    <w:rsid w:val="006F1F0C"/>
    <w:rsid w:val="006F219E"/>
    <w:rsid w:val="006F21E9"/>
    <w:rsid w:val="006F21EB"/>
    <w:rsid w:val="006F22DC"/>
    <w:rsid w:val="006F2453"/>
    <w:rsid w:val="006F254C"/>
    <w:rsid w:val="006F2559"/>
    <w:rsid w:val="006F2777"/>
    <w:rsid w:val="006F27B2"/>
    <w:rsid w:val="006F27B8"/>
    <w:rsid w:val="006F27BF"/>
    <w:rsid w:val="006F284B"/>
    <w:rsid w:val="006F2852"/>
    <w:rsid w:val="006F2869"/>
    <w:rsid w:val="006F28B8"/>
    <w:rsid w:val="006F29F8"/>
    <w:rsid w:val="006F2A00"/>
    <w:rsid w:val="006F2A04"/>
    <w:rsid w:val="006F2A5C"/>
    <w:rsid w:val="006F2CA7"/>
    <w:rsid w:val="006F2D24"/>
    <w:rsid w:val="006F2DA4"/>
    <w:rsid w:val="006F2EA5"/>
    <w:rsid w:val="006F2F8B"/>
    <w:rsid w:val="006F3185"/>
    <w:rsid w:val="006F3279"/>
    <w:rsid w:val="006F3361"/>
    <w:rsid w:val="006F3378"/>
    <w:rsid w:val="006F33EA"/>
    <w:rsid w:val="006F355F"/>
    <w:rsid w:val="006F3560"/>
    <w:rsid w:val="006F35F3"/>
    <w:rsid w:val="006F3615"/>
    <w:rsid w:val="006F3666"/>
    <w:rsid w:val="006F3866"/>
    <w:rsid w:val="006F39CD"/>
    <w:rsid w:val="006F39FF"/>
    <w:rsid w:val="006F3A4D"/>
    <w:rsid w:val="006F3A5E"/>
    <w:rsid w:val="006F3A69"/>
    <w:rsid w:val="006F3A7F"/>
    <w:rsid w:val="006F3C7E"/>
    <w:rsid w:val="006F3DD2"/>
    <w:rsid w:val="006F3E3D"/>
    <w:rsid w:val="006F3EC6"/>
    <w:rsid w:val="006F3F00"/>
    <w:rsid w:val="006F408C"/>
    <w:rsid w:val="006F40F3"/>
    <w:rsid w:val="006F412A"/>
    <w:rsid w:val="006F41D7"/>
    <w:rsid w:val="006F4283"/>
    <w:rsid w:val="006F436B"/>
    <w:rsid w:val="006F43DB"/>
    <w:rsid w:val="006F44A7"/>
    <w:rsid w:val="006F45AD"/>
    <w:rsid w:val="006F45E8"/>
    <w:rsid w:val="006F4698"/>
    <w:rsid w:val="006F4747"/>
    <w:rsid w:val="006F475C"/>
    <w:rsid w:val="006F4770"/>
    <w:rsid w:val="006F4787"/>
    <w:rsid w:val="006F489D"/>
    <w:rsid w:val="006F4AB7"/>
    <w:rsid w:val="006F4AF9"/>
    <w:rsid w:val="006F4E37"/>
    <w:rsid w:val="006F4F8D"/>
    <w:rsid w:val="006F5022"/>
    <w:rsid w:val="006F5057"/>
    <w:rsid w:val="006F5064"/>
    <w:rsid w:val="006F5068"/>
    <w:rsid w:val="006F5076"/>
    <w:rsid w:val="006F5089"/>
    <w:rsid w:val="006F50FF"/>
    <w:rsid w:val="006F5185"/>
    <w:rsid w:val="006F523F"/>
    <w:rsid w:val="006F55BD"/>
    <w:rsid w:val="006F55C3"/>
    <w:rsid w:val="006F5644"/>
    <w:rsid w:val="006F56AE"/>
    <w:rsid w:val="006F56B0"/>
    <w:rsid w:val="006F570B"/>
    <w:rsid w:val="006F578B"/>
    <w:rsid w:val="006F589C"/>
    <w:rsid w:val="006F58D1"/>
    <w:rsid w:val="006F58D7"/>
    <w:rsid w:val="006F5C27"/>
    <w:rsid w:val="006F5DF2"/>
    <w:rsid w:val="006F5E08"/>
    <w:rsid w:val="006F5E85"/>
    <w:rsid w:val="006F5ED0"/>
    <w:rsid w:val="006F5EDE"/>
    <w:rsid w:val="006F5F71"/>
    <w:rsid w:val="006F5F7B"/>
    <w:rsid w:val="006F601F"/>
    <w:rsid w:val="006F612A"/>
    <w:rsid w:val="006F6151"/>
    <w:rsid w:val="006F61B4"/>
    <w:rsid w:val="006F623C"/>
    <w:rsid w:val="006F63C9"/>
    <w:rsid w:val="006F64DB"/>
    <w:rsid w:val="006F65AE"/>
    <w:rsid w:val="006F65FE"/>
    <w:rsid w:val="006F66F0"/>
    <w:rsid w:val="006F67DC"/>
    <w:rsid w:val="006F6848"/>
    <w:rsid w:val="006F6875"/>
    <w:rsid w:val="006F6929"/>
    <w:rsid w:val="006F6ACF"/>
    <w:rsid w:val="006F6C0E"/>
    <w:rsid w:val="006F6F6D"/>
    <w:rsid w:val="006F6FD6"/>
    <w:rsid w:val="006F701E"/>
    <w:rsid w:val="006F7048"/>
    <w:rsid w:val="006F70B8"/>
    <w:rsid w:val="006F7382"/>
    <w:rsid w:val="006F7529"/>
    <w:rsid w:val="006F7640"/>
    <w:rsid w:val="006F7752"/>
    <w:rsid w:val="006F7841"/>
    <w:rsid w:val="006F78CA"/>
    <w:rsid w:val="006F7AB4"/>
    <w:rsid w:val="006F7BDC"/>
    <w:rsid w:val="006F7C13"/>
    <w:rsid w:val="006F7CB6"/>
    <w:rsid w:val="006F7D5B"/>
    <w:rsid w:val="006F7DB5"/>
    <w:rsid w:val="006F7E43"/>
    <w:rsid w:val="006F7E77"/>
    <w:rsid w:val="006F7ECA"/>
    <w:rsid w:val="006F7F9F"/>
    <w:rsid w:val="00700092"/>
    <w:rsid w:val="007000D8"/>
    <w:rsid w:val="0070014C"/>
    <w:rsid w:val="00700175"/>
    <w:rsid w:val="007003C0"/>
    <w:rsid w:val="007003C9"/>
    <w:rsid w:val="0070042D"/>
    <w:rsid w:val="007004F1"/>
    <w:rsid w:val="00700569"/>
    <w:rsid w:val="007005C4"/>
    <w:rsid w:val="00700618"/>
    <w:rsid w:val="00700692"/>
    <w:rsid w:val="00700743"/>
    <w:rsid w:val="0070079A"/>
    <w:rsid w:val="00700805"/>
    <w:rsid w:val="00700821"/>
    <w:rsid w:val="007008BF"/>
    <w:rsid w:val="007009B3"/>
    <w:rsid w:val="00700A5F"/>
    <w:rsid w:val="00700A97"/>
    <w:rsid w:val="00700B35"/>
    <w:rsid w:val="00700C06"/>
    <w:rsid w:val="00700CC5"/>
    <w:rsid w:val="00700DAF"/>
    <w:rsid w:val="00700E17"/>
    <w:rsid w:val="00700EEA"/>
    <w:rsid w:val="00701063"/>
    <w:rsid w:val="00701159"/>
    <w:rsid w:val="00701168"/>
    <w:rsid w:val="007011E2"/>
    <w:rsid w:val="007012D8"/>
    <w:rsid w:val="007012DC"/>
    <w:rsid w:val="007013E8"/>
    <w:rsid w:val="007014DE"/>
    <w:rsid w:val="00701575"/>
    <w:rsid w:val="0070157F"/>
    <w:rsid w:val="0070162F"/>
    <w:rsid w:val="0070167C"/>
    <w:rsid w:val="00701896"/>
    <w:rsid w:val="0070189C"/>
    <w:rsid w:val="00701B77"/>
    <w:rsid w:val="00701B87"/>
    <w:rsid w:val="00701CDE"/>
    <w:rsid w:val="00701D2C"/>
    <w:rsid w:val="00701DFA"/>
    <w:rsid w:val="00701EBB"/>
    <w:rsid w:val="0070204D"/>
    <w:rsid w:val="0070219A"/>
    <w:rsid w:val="007021FA"/>
    <w:rsid w:val="0070226D"/>
    <w:rsid w:val="007022EB"/>
    <w:rsid w:val="00702369"/>
    <w:rsid w:val="00702459"/>
    <w:rsid w:val="007025B3"/>
    <w:rsid w:val="007025ED"/>
    <w:rsid w:val="0070264D"/>
    <w:rsid w:val="007026D2"/>
    <w:rsid w:val="0070277A"/>
    <w:rsid w:val="007027DF"/>
    <w:rsid w:val="00702881"/>
    <w:rsid w:val="007029E4"/>
    <w:rsid w:val="00702B1C"/>
    <w:rsid w:val="00702BB3"/>
    <w:rsid w:val="00702D49"/>
    <w:rsid w:val="00702E54"/>
    <w:rsid w:val="00702F64"/>
    <w:rsid w:val="00702F6E"/>
    <w:rsid w:val="00702FF6"/>
    <w:rsid w:val="0070314C"/>
    <w:rsid w:val="00703208"/>
    <w:rsid w:val="00703253"/>
    <w:rsid w:val="007032A8"/>
    <w:rsid w:val="007033B6"/>
    <w:rsid w:val="007034C9"/>
    <w:rsid w:val="00703538"/>
    <w:rsid w:val="00703561"/>
    <w:rsid w:val="007035EE"/>
    <w:rsid w:val="007035FF"/>
    <w:rsid w:val="0070362A"/>
    <w:rsid w:val="00703635"/>
    <w:rsid w:val="00703649"/>
    <w:rsid w:val="007036E8"/>
    <w:rsid w:val="007036F8"/>
    <w:rsid w:val="0070376E"/>
    <w:rsid w:val="007037F2"/>
    <w:rsid w:val="00703A40"/>
    <w:rsid w:val="00703A67"/>
    <w:rsid w:val="00703AE8"/>
    <w:rsid w:val="00703C79"/>
    <w:rsid w:val="00703D65"/>
    <w:rsid w:val="00703DA4"/>
    <w:rsid w:val="00704108"/>
    <w:rsid w:val="00704130"/>
    <w:rsid w:val="00704145"/>
    <w:rsid w:val="0070421C"/>
    <w:rsid w:val="00704370"/>
    <w:rsid w:val="00704441"/>
    <w:rsid w:val="00704484"/>
    <w:rsid w:val="0070454C"/>
    <w:rsid w:val="0070458B"/>
    <w:rsid w:val="007045AB"/>
    <w:rsid w:val="007045F8"/>
    <w:rsid w:val="0070466A"/>
    <w:rsid w:val="00704722"/>
    <w:rsid w:val="00704756"/>
    <w:rsid w:val="00704832"/>
    <w:rsid w:val="00704850"/>
    <w:rsid w:val="00704873"/>
    <w:rsid w:val="0070496E"/>
    <w:rsid w:val="007049EB"/>
    <w:rsid w:val="00704A85"/>
    <w:rsid w:val="00704A96"/>
    <w:rsid w:val="00704AF1"/>
    <w:rsid w:val="00704B3A"/>
    <w:rsid w:val="00704B81"/>
    <w:rsid w:val="00704CAF"/>
    <w:rsid w:val="00704D38"/>
    <w:rsid w:val="00704DBA"/>
    <w:rsid w:val="00704E16"/>
    <w:rsid w:val="00704F36"/>
    <w:rsid w:val="00705025"/>
    <w:rsid w:val="007050AB"/>
    <w:rsid w:val="007050DA"/>
    <w:rsid w:val="007050F4"/>
    <w:rsid w:val="007051C3"/>
    <w:rsid w:val="007052A9"/>
    <w:rsid w:val="007053C1"/>
    <w:rsid w:val="00705452"/>
    <w:rsid w:val="007054C0"/>
    <w:rsid w:val="0070555F"/>
    <w:rsid w:val="007055A5"/>
    <w:rsid w:val="00705634"/>
    <w:rsid w:val="00705638"/>
    <w:rsid w:val="00705759"/>
    <w:rsid w:val="007057DB"/>
    <w:rsid w:val="00705806"/>
    <w:rsid w:val="00705908"/>
    <w:rsid w:val="00705969"/>
    <w:rsid w:val="00705A10"/>
    <w:rsid w:val="00705B0E"/>
    <w:rsid w:val="00705B47"/>
    <w:rsid w:val="00705BC6"/>
    <w:rsid w:val="00705BEB"/>
    <w:rsid w:val="00705BEF"/>
    <w:rsid w:val="00705BF0"/>
    <w:rsid w:val="00705C41"/>
    <w:rsid w:val="00705CBA"/>
    <w:rsid w:val="00705D18"/>
    <w:rsid w:val="00705E3D"/>
    <w:rsid w:val="00705EC5"/>
    <w:rsid w:val="00706078"/>
    <w:rsid w:val="00706120"/>
    <w:rsid w:val="007062EB"/>
    <w:rsid w:val="00706422"/>
    <w:rsid w:val="00706438"/>
    <w:rsid w:val="0070643D"/>
    <w:rsid w:val="00706507"/>
    <w:rsid w:val="00706535"/>
    <w:rsid w:val="0070656F"/>
    <w:rsid w:val="007066A8"/>
    <w:rsid w:val="007067FB"/>
    <w:rsid w:val="00706845"/>
    <w:rsid w:val="0070685D"/>
    <w:rsid w:val="0070696F"/>
    <w:rsid w:val="00706B6B"/>
    <w:rsid w:val="00706D06"/>
    <w:rsid w:val="00706D27"/>
    <w:rsid w:val="00706D83"/>
    <w:rsid w:val="00706E12"/>
    <w:rsid w:val="00706EF2"/>
    <w:rsid w:val="00707009"/>
    <w:rsid w:val="0070703E"/>
    <w:rsid w:val="00707065"/>
    <w:rsid w:val="0070730D"/>
    <w:rsid w:val="007073FF"/>
    <w:rsid w:val="00707554"/>
    <w:rsid w:val="00707576"/>
    <w:rsid w:val="00707599"/>
    <w:rsid w:val="00707641"/>
    <w:rsid w:val="00707758"/>
    <w:rsid w:val="007078C4"/>
    <w:rsid w:val="00707974"/>
    <w:rsid w:val="00707ADD"/>
    <w:rsid w:val="00707BD3"/>
    <w:rsid w:val="00707BD5"/>
    <w:rsid w:val="00707C87"/>
    <w:rsid w:val="00707CBF"/>
    <w:rsid w:val="00707F78"/>
    <w:rsid w:val="00707FF5"/>
    <w:rsid w:val="0071014D"/>
    <w:rsid w:val="00710193"/>
    <w:rsid w:val="007101BD"/>
    <w:rsid w:val="00710243"/>
    <w:rsid w:val="0071026C"/>
    <w:rsid w:val="0071030F"/>
    <w:rsid w:val="00710401"/>
    <w:rsid w:val="00710423"/>
    <w:rsid w:val="0071042B"/>
    <w:rsid w:val="0071042D"/>
    <w:rsid w:val="00710443"/>
    <w:rsid w:val="007104AB"/>
    <w:rsid w:val="00710588"/>
    <w:rsid w:val="007105A8"/>
    <w:rsid w:val="00710661"/>
    <w:rsid w:val="007106FD"/>
    <w:rsid w:val="007107BD"/>
    <w:rsid w:val="00710FB4"/>
    <w:rsid w:val="007112CD"/>
    <w:rsid w:val="0071131E"/>
    <w:rsid w:val="00711328"/>
    <w:rsid w:val="007113F7"/>
    <w:rsid w:val="00711649"/>
    <w:rsid w:val="007116BF"/>
    <w:rsid w:val="0071170E"/>
    <w:rsid w:val="00711987"/>
    <w:rsid w:val="00711A96"/>
    <w:rsid w:val="00711AA5"/>
    <w:rsid w:val="00711BCC"/>
    <w:rsid w:val="00711C61"/>
    <w:rsid w:val="00711D2B"/>
    <w:rsid w:val="00711DFC"/>
    <w:rsid w:val="00711EBF"/>
    <w:rsid w:val="00711EC0"/>
    <w:rsid w:val="00711F08"/>
    <w:rsid w:val="00711F77"/>
    <w:rsid w:val="00711F83"/>
    <w:rsid w:val="007120C8"/>
    <w:rsid w:val="007120E3"/>
    <w:rsid w:val="007121D1"/>
    <w:rsid w:val="0071223D"/>
    <w:rsid w:val="00712252"/>
    <w:rsid w:val="00712264"/>
    <w:rsid w:val="00712288"/>
    <w:rsid w:val="007122E2"/>
    <w:rsid w:val="00712305"/>
    <w:rsid w:val="00712457"/>
    <w:rsid w:val="0071249E"/>
    <w:rsid w:val="00712530"/>
    <w:rsid w:val="007125D6"/>
    <w:rsid w:val="0071260E"/>
    <w:rsid w:val="0071266F"/>
    <w:rsid w:val="00712728"/>
    <w:rsid w:val="007128FA"/>
    <w:rsid w:val="00712BA8"/>
    <w:rsid w:val="00712C6D"/>
    <w:rsid w:val="00712CFC"/>
    <w:rsid w:val="00712D92"/>
    <w:rsid w:val="00712E2B"/>
    <w:rsid w:val="00712F0D"/>
    <w:rsid w:val="00712F2F"/>
    <w:rsid w:val="00713029"/>
    <w:rsid w:val="0071305A"/>
    <w:rsid w:val="007131B6"/>
    <w:rsid w:val="007131C1"/>
    <w:rsid w:val="0071321E"/>
    <w:rsid w:val="0071331F"/>
    <w:rsid w:val="00713387"/>
    <w:rsid w:val="007133B5"/>
    <w:rsid w:val="007133C9"/>
    <w:rsid w:val="00713401"/>
    <w:rsid w:val="0071366F"/>
    <w:rsid w:val="0071387C"/>
    <w:rsid w:val="0071397E"/>
    <w:rsid w:val="00713B3D"/>
    <w:rsid w:val="00713B8F"/>
    <w:rsid w:val="00713C83"/>
    <w:rsid w:val="00713D12"/>
    <w:rsid w:val="00713D60"/>
    <w:rsid w:val="00713E6A"/>
    <w:rsid w:val="00713FD7"/>
    <w:rsid w:val="00714207"/>
    <w:rsid w:val="00714276"/>
    <w:rsid w:val="0071449F"/>
    <w:rsid w:val="0071452C"/>
    <w:rsid w:val="0071473F"/>
    <w:rsid w:val="00714751"/>
    <w:rsid w:val="00714772"/>
    <w:rsid w:val="00714774"/>
    <w:rsid w:val="007147DA"/>
    <w:rsid w:val="0071482C"/>
    <w:rsid w:val="007148AA"/>
    <w:rsid w:val="00714A91"/>
    <w:rsid w:val="00714AC5"/>
    <w:rsid w:val="00714B98"/>
    <w:rsid w:val="00714C31"/>
    <w:rsid w:val="00714CAE"/>
    <w:rsid w:val="00714E47"/>
    <w:rsid w:val="00714E60"/>
    <w:rsid w:val="00714E69"/>
    <w:rsid w:val="00714EA4"/>
    <w:rsid w:val="00714EB3"/>
    <w:rsid w:val="00714ECC"/>
    <w:rsid w:val="00714F89"/>
    <w:rsid w:val="00714FDF"/>
    <w:rsid w:val="007150DB"/>
    <w:rsid w:val="007150E4"/>
    <w:rsid w:val="0071515A"/>
    <w:rsid w:val="00715269"/>
    <w:rsid w:val="0071531F"/>
    <w:rsid w:val="0071542D"/>
    <w:rsid w:val="0071553F"/>
    <w:rsid w:val="00715563"/>
    <w:rsid w:val="007157E6"/>
    <w:rsid w:val="00715819"/>
    <w:rsid w:val="007159B2"/>
    <w:rsid w:val="007159F1"/>
    <w:rsid w:val="00715B21"/>
    <w:rsid w:val="00715B63"/>
    <w:rsid w:val="00715BBB"/>
    <w:rsid w:val="00715C4B"/>
    <w:rsid w:val="00716132"/>
    <w:rsid w:val="00716252"/>
    <w:rsid w:val="00716344"/>
    <w:rsid w:val="0071635A"/>
    <w:rsid w:val="007163A2"/>
    <w:rsid w:val="00716486"/>
    <w:rsid w:val="007164F5"/>
    <w:rsid w:val="0071679A"/>
    <w:rsid w:val="007167E1"/>
    <w:rsid w:val="0071693B"/>
    <w:rsid w:val="0071695F"/>
    <w:rsid w:val="00716A3C"/>
    <w:rsid w:val="00716B68"/>
    <w:rsid w:val="00716CB5"/>
    <w:rsid w:val="00716CBA"/>
    <w:rsid w:val="00716CE3"/>
    <w:rsid w:val="00716F34"/>
    <w:rsid w:val="0071701D"/>
    <w:rsid w:val="00717253"/>
    <w:rsid w:val="00717397"/>
    <w:rsid w:val="00717469"/>
    <w:rsid w:val="007174E4"/>
    <w:rsid w:val="00717650"/>
    <w:rsid w:val="00717723"/>
    <w:rsid w:val="007177EC"/>
    <w:rsid w:val="0071780D"/>
    <w:rsid w:val="007179C6"/>
    <w:rsid w:val="007179E2"/>
    <w:rsid w:val="00717A12"/>
    <w:rsid w:val="00717A15"/>
    <w:rsid w:val="00717A84"/>
    <w:rsid w:val="00717ADF"/>
    <w:rsid w:val="00717B44"/>
    <w:rsid w:val="00717C1F"/>
    <w:rsid w:val="00717D00"/>
    <w:rsid w:val="00717DD3"/>
    <w:rsid w:val="00717E48"/>
    <w:rsid w:val="00717FA8"/>
    <w:rsid w:val="00720050"/>
    <w:rsid w:val="0072028E"/>
    <w:rsid w:val="007202C9"/>
    <w:rsid w:val="007202E3"/>
    <w:rsid w:val="0072044B"/>
    <w:rsid w:val="007205B7"/>
    <w:rsid w:val="007205E9"/>
    <w:rsid w:val="00720618"/>
    <w:rsid w:val="00720656"/>
    <w:rsid w:val="007206B5"/>
    <w:rsid w:val="007209CC"/>
    <w:rsid w:val="00720A67"/>
    <w:rsid w:val="00720AF5"/>
    <w:rsid w:val="00720B02"/>
    <w:rsid w:val="00720E3E"/>
    <w:rsid w:val="00720F09"/>
    <w:rsid w:val="00720FA6"/>
    <w:rsid w:val="00720FBC"/>
    <w:rsid w:val="00720FCA"/>
    <w:rsid w:val="007210A9"/>
    <w:rsid w:val="007210B0"/>
    <w:rsid w:val="00721166"/>
    <w:rsid w:val="007211AA"/>
    <w:rsid w:val="007211C5"/>
    <w:rsid w:val="007211D5"/>
    <w:rsid w:val="00721237"/>
    <w:rsid w:val="00721319"/>
    <w:rsid w:val="0072131C"/>
    <w:rsid w:val="00721361"/>
    <w:rsid w:val="00721397"/>
    <w:rsid w:val="0072143A"/>
    <w:rsid w:val="007214AF"/>
    <w:rsid w:val="007215A2"/>
    <w:rsid w:val="0072163A"/>
    <w:rsid w:val="0072179B"/>
    <w:rsid w:val="0072184E"/>
    <w:rsid w:val="00721916"/>
    <w:rsid w:val="00721944"/>
    <w:rsid w:val="00721989"/>
    <w:rsid w:val="00721A27"/>
    <w:rsid w:val="00721B19"/>
    <w:rsid w:val="00721C1F"/>
    <w:rsid w:val="00721D8D"/>
    <w:rsid w:val="00721DF1"/>
    <w:rsid w:val="00721E1C"/>
    <w:rsid w:val="00721E65"/>
    <w:rsid w:val="00721EEB"/>
    <w:rsid w:val="00721F68"/>
    <w:rsid w:val="007220DB"/>
    <w:rsid w:val="0072220F"/>
    <w:rsid w:val="00722211"/>
    <w:rsid w:val="00722248"/>
    <w:rsid w:val="007222E8"/>
    <w:rsid w:val="007223EF"/>
    <w:rsid w:val="0072240A"/>
    <w:rsid w:val="0072254F"/>
    <w:rsid w:val="00722568"/>
    <w:rsid w:val="007225E9"/>
    <w:rsid w:val="007226EC"/>
    <w:rsid w:val="00722741"/>
    <w:rsid w:val="007227F9"/>
    <w:rsid w:val="007228B6"/>
    <w:rsid w:val="00722A24"/>
    <w:rsid w:val="00722B21"/>
    <w:rsid w:val="00722C1F"/>
    <w:rsid w:val="00722F85"/>
    <w:rsid w:val="00723190"/>
    <w:rsid w:val="007231B2"/>
    <w:rsid w:val="007231EF"/>
    <w:rsid w:val="007231FB"/>
    <w:rsid w:val="00723306"/>
    <w:rsid w:val="0072346C"/>
    <w:rsid w:val="007235C1"/>
    <w:rsid w:val="007235FE"/>
    <w:rsid w:val="00723600"/>
    <w:rsid w:val="007236D6"/>
    <w:rsid w:val="0072370A"/>
    <w:rsid w:val="00723770"/>
    <w:rsid w:val="00723858"/>
    <w:rsid w:val="007238A7"/>
    <w:rsid w:val="007238C2"/>
    <w:rsid w:val="00723A2B"/>
    <w:rsid w:val="00723B4F"/>
    <w:rsid w:val="00723F20"/>
    <w:rsid w:val="0072401F"/>
    <w:rsid w:val="00724148"/>
    <w:rsid w:val="00724229"/>
    <w:rsid w:val="00724238"/>
    <w:rsid w:val="00724299"/>
    <w:rsid w:val="0072435F"/>
    <w:rsid w:val="007244D4"/>
    <w:rsid w:val="00724514"/>
    <w:rsid w:val="007245F4"/>
    <w:rsid w:val="0072462D"/>
    <w:rsid w:val="0072477B"/>
    <w:rsid w:val="007248A7"/>
    <w:rsid w:val="00724ADD"/>
    <w:rsid w:val="00724B66"/>
    <w:rsid w:val="00724B7C"/>
    <w:rsid w:val="00724C7D"/>
    <w:rsid w:val="00724D9F"/>
    <w:rsid w:val="00724DAE"/>
    <w:rsid w:val="00724EBB"/>
    <w:rsid w:val="00724EBC"/>
    <w:rsid w:val="00725030"/>
    <w:rsid w:val="00725068"/>
    <w:rsid w:val="007253D5"/>
    <w:rsid w:val="007254D6"/>
    <w:rsid w:val="0072557D"/>
    <w:rsid w:val="007255DC"/>
    <w:rsid w:val="00725872"/>
    <w:rsid w:val="007258ED"/>
    <w:rsid w:val="0072593A"/>
    <w:rsid w:val="0072595A"/>
    <w:rsid w:val="007259E0"/>
    <w:rsid w:val="00725A9E"/>
    <w:rsid w:val="00725AD7"/>
    <w:rsid w:val="00725E09"/>
    <w:rsid w:val="00725E3D"/>
    <w:rsid w:val="00725E99"/>
    <w:rsid w:val="00725ED1"/>
    <w:rsid w:val="00725F1C"/>
    <w:rsid w:val="00725FA8"/>
    <w:rsid w:val="00726100"/>
    <w:rsid w:val="007261CD"/>
    <w:rsid w:val="00726488"/>
    <w:rsid w:val="00726540"/>
    <w:rsid w:val="00726597"/>
    <w:rsid w:val="00726609"/>
    <w:rsid w:val="00726707"/>
    <w:rsid w:val="0072675A"/>
    <w:rsid w:val="0072678C"/>
    <w:rsid w:val="0072683F"/>
    <w:rsid w:val="00726CC0"/>
    <w:rsid w:val="00726D81"/>
    <w:rsid w:val="00726DC1"/>
    <w:rsid w:val="00726EA2"/>
    <w:rsid w:val="0072718A"/>
    <w:rsid w:val="007272BD"/>
    <w:rsid w:val="00727358"/>
    <w:rsid w:val="007274AA"/>
    <w:rsid w:val="007274F6"/>
    <w:rsid w:val="007274FD"/>
    <w:rsid w:val="00727522"/>
    <w:rsid w:val="00727624"/>
    <w:rsid w:val="0072767F"/>
    <w:rsid w:val="00727827"/>
    <w:rsid w:val="00727896"/>
    <w:rsid w:val="0072795E"/>
    <w:rsid w:val="00727A38"/>
    <w:rsid w:val="00727A4C"/>
    <w:rsid w:val="00727B77"/>
    <w:rsid w:val="00727BD5"/>
    <w:rsid w:val="00727C39"/>
    <w:rsid w:val="00727D7C"/>
    <w:rsid w:val="00727E85"/>
    <w:rsid w:val="00727E8A"/>
    <w:rsid w:val="00727E93"/>
    <w:rsid w:val="00730031"/>
    <w:rsid w:val="00730034"/>
    <w:rsid w:val="0073010C"/>
    <w:rsid w:val="00730238"/>
    <w:rsid w:val="00730334"/>
    <w:rsid w:val="007303EF"/>
    <w:rsid w:val="007306C5"/>
    <w:rsid w:val="00730757"/>
    <w:rsid w:val="007307AD"/>
    <w:rsid w:val="007307B5"/>
    <w:rsid w:val="007307E8"/>
    <w:rsid w:val="00730822"/>
    <w:rsid w:val="007308A3"/>
    <w:rsid w:val="007308B1"/>
    <w:rsid w:val="007308CA"/>
    <w:rsid w:val="0073096F"/>
    <w:rsid w:val="00730B7C"/>
    <w:rsid w:val="00730BF1"/>
    <w:rsid w:val="00730BFF"/>
    <w:rsid w:val="00730C1C"/>
    <w:rsid w:val="00730CA5"/>
    <w:rsid w:val="00730DDC"/>
    <w:rsid w:val="00730F8D"/>
    <w:rsid w:val="00730FE5"/>
    <w:rsid w:val="00730FE9"/>
    <w:rsid w:val="0073101F"/>
    <w:rsid w:val="0073107E"/>
    <w:rsid w:val="0073111C"/>
    <w:rsid w:val="00731214"/>
    <w:rsid w:val="00731257"/>
    <w:rsid w:val="007312AE"/>
    <w:rsid w:val="00731375"/>
    <w:rsid w:val="00731409"/>
    <w:rsid w:val="0073145E"/>
    <w:rsid w:val="007314BF"/>
    <w:rsid w:val="00731514"/>
    <w:rsid w:val="0073171A"/>
    <w:rsid w:val="00731746"/>
    <w:rsid w:val="0073188F"/>
    <w:rsid w:val="007318AB"/>
    <w:rsid w:val="007318EA"/>
    <w:rsid w:val="00731AEC"/>
    <w:rsid w:val="00731BB1"/>
    <w:rsid w:val="00731CA9"/>
    <w:rsid w:val="00731CE8"/>
    <w:rsid w:val="00731E69"/>
    <w:rsid w:val="00731EF8"/>
    <w:rsid w:val="00731F75"/>
    <w:rsid w:val="00731F7F"/>
    <w:rsid w:val="00732042"/>
    <w:rsid w:val="00732079"/>
    <w:rsid w:val="007320E7"/>
    <w:rsid w:val="00732282"/>
    <w:rsid w:val="00732327"/>
    <w:rsid w:val="0073242D"/>
    <w:rsid w:val="007326DB"/>
    <w:rsid w:val="00732761"/>
    <w:rsid w:val="00732797"/>
    <w:rsid w:val="00732988"/>
    <w:rsid w:val="00732BC2"/>
    <w:rsid w:val="00732E36"/>
    <w:rsid w:val="00732EC5"/>
    <w:rsid w:val="00732EDC"/>
    <w:rsid w:val="00732F2A"/>
    <w:rsid w:val="00732FA6"/>
    <w:rsid w:val="00732FC8"/>
    <w:rsid w:val="0073316F"/>
    <w:rsid w:val="007331C1"/>
    <w:rsid w:val="0073323F"/>
    <w:rsid w:val="0073330E"/>
    <w:rsid w:val="007333AC"/>
    <w:rsid w:val="007334A5"/>
    <w:rsid w:val="007334AD"/>
    <w:rsid w:val="007334C1"/>
    <w:rsid w:val="00733592"/>
    <w:rsid w:val="00733733"/>
    <w:rsid w:val="0073377F"/>
    <w:rsid w:val="007337B0"/>
    <w:rsid w:val="00733803"/>
    <w:rsid w:val="007338D1"/>
    <w:rsid w:val="0073398B"/>
    <w:rsid w:val="007339B0"/>
    <w:rsid w:val="007339CA"/>
    <w:rsid w:val="00733A73"/>
    <w:rsid w:val="00733B85"/>
    <w:rsid w:val="00733C35"/>
    <w:rsid w:val="00733E06"/>
    <w:rsid w:val="00733F6A"/>
    <w:rsid w:val="00733FE6"/>
    <w:rsid w:val="00734063"/>
    <w:rsid w:val="00734077"/>
    <w:rsid w:val="0073409B"/>
    <w:rsid w:val="0073426C"/>
    <w:rsid w:val="0073446B"/>
    <w:rsid w:val="0073471A"/>
    <w:rsid w:val="007349C5"/>
    <w:rsid w:val="007349E8"/>
    <w:rsid w:val="00734A47"/>
    <w:rsid w:val="00734C25"/>
    <w:rsid w:val="00734D7B"/>
    <w:rsid w:val="00734DBF"/>
    <w:rsid w:val="00734E25"/>
    <w:rsid w:val="00734E2D"/>
    <w:rsid w:val="00734E70"/>
    <w:rsid w:val="00734F0D"/>
    <w:rsid w:val="00734F39"/>
    <w:rsid w:val="00734FEC"/>
    <w:rsid w:val="007350A6"/>
    <w:rsid w:val="0073514E"/>
    <w:rsid w:val="00735187"/>
    <w:rsid w:val="007351EC"/>
    <w:rsid w:val="00735708"/>
    <w:rsid w:val="0073570E"/>
    <w:rsid w:val="0073574D"/>
    <w:rsid w:val="007357E2"/>
    <w:rsid w:val="007357F5"/>
    <w:rsid w:val="00735887"/>
    <w:rsid w:val="00735A37"/>
    <w:rsid w:val="00735A97"/>
    <w:rsid w:val="00735C4D"/>
    <w:rsid w:val="00735C89"/>
    <w:rsid w:val="00735D78"/>
    <w:rsid w:val="00735E79"/>
    <w:rsid w:val="00735E85"/>
    <w:rsid w:val="00735F41"/>
    <w:rsid w:val="00735FEC"/>
    <w:rsid w:val="007360E4"/>
    <w:rsid w:val="00736352"/>
    <w:rsid w:val="00736419"/>
    <w:rsid w:val="00736577"/>
    <w:rsid w:val="00736789"/>
    <w:rsid w:val="007367B7"/>
    <w:rsid w:val="00736873"/>
    <w:rsid w:val="00736999"/>
    <w:rsid w:val="007369AA"/>
    <w:rsid w:val="00736A81"/>
    <w:rsid w:val="00736AB1"/>
    <w:rsid w:val="00736AD0"/>
    <w:rsid w:val="00736B00"/>
    <w:rsid w:val="00736BCF"/>
    <w:rsid w:val="00736CBB"/>
    <w:rsid w:val="00736CC4"/>
    <w:rsid w:val="00736D5D"/>
    <w:rsid w:val="00736DE8"/>
    <w:rsid w:val="00736F0F"/>
    <w:rsid w:val="00737155"/>
    <w:rsid w:val="0073716E"/>
    <w:rsid w:val="00737202"/>
    <w:rsid w:val="0073739B"/>
    <w:rsid w:val="0073740A"/>
    <w:rsid w:val="00737444"/>
    <w:rsid w:val="0073757D"/>
    <w:rsid w:val="00737598"/>
    <w:rsid w:val="0073759C"/>
    <w:rsid w:val="0073795B"/>
    <w:rsid w:val="007379F1"/>
    <w:rsid w:val="00737A99"/>
    <w:rsid w:val="00737DAB"/>
    <w:rsid w:val="00737E31"/>
    <w:rsid w:val="00737FEA"/>
    <w:rsid w:val="00737FF6"/>
    <w:rsid w:val="00740113"/>
    <w:rsid w:val="00740158"/>
    <w:rsid w:val="007401D6"/>
    <w:rsid w:val="007402D1"/>
    <w:rsid w:val="00740347"/>
    <w:rsid w:val="007403FD"/>
    <w:rsid w:val="007405F1"/>
    <w:rsid w:val="0074071C"/>
    <w:rsid w:val="00740745"/>
    <w:rsid w:val="007407BE"/>
    <w:rsid w:val="0074090B"/>
    <w:rsid w:val="00740984"/>
    <w:rsid w:val="007409DD"/>
    <w:rsid w:val="00740AEC"/>
    <w:rsid w:val="00740B55"/>
    <w:rsid w:val="00740BF0"/>
    <w:rsid w:val="00740C00"/>
    <w:rsid w:val="00740C92"/>
    <w:rsid w:val="00740CA2"/>
    <w:rsid w:val="00740CA5"/>
    <w:rsid w:val="00740CD0"/>
    <w:rsid w:val="00740CD2"/>
    <w:rsid w:val="00740CFA"/>
    <w:rsid w:val="00740D53"/>
    <w:rsid w:val="00740DDC"/>
    <w:rsid w:val="00740E2C"/>
    <w:rsid w:val="00740EE6"/>
    <w:rsid w:val="00740F68"/>
    <w:rsid w:val="00741091"/>
    <w:rsid w:val="007410B7"/>
    <w:rsid w:val="007411BD"/>
    <w:rsid w:val="00741274"/>
    <w:rsid w:val="00741362"/>
    <w:rsid w:val="007413C2"/>
    <w:rsid w:val="00741488"/>
    <w:rsid w:val="0074154C"/>
    <w:rsid w:val="00741597"/>
    <w:rsid w:val="0074167C"/>
    <w:rsid w:val="0074167E"/>
    <w:rsid w:val="00741751"/>
    <w:rsid w:val="00741912"/>
    <w:rsid w:val="007419A2"/>
    <w:rsid w:val="00741A98"/>
    <w:rsid w:val="00741B71"/>
    <w:rsid w:val="00741C15"/>
    <w:rsid w:val="00741CDF"/>
    <w:rsid w:val="00741CE0"/>
    <w:rsid w:val="00741D1A"/>
    <w:rsid w:val="00741D73"/>
    <w:rsid w:val="00741E76"/>
    <w:rsid w:val="00741EDB"/>
    <w:rsid w:val="00741F27"/>
    <w:rsid w:val="007420C8"/>
    <w:rsid w:val="007421E1"/>
    <w:rsid w:val="00742275"/>
    <w:rsid w:val="00742286"/>
    <w:rsid w:val="007422D2"/>
    <w:rsid w:val="00742434"/>
    <w:rsid w:val="00742473"/>
    <w:rsid w:val="007424F4"/>
    <w:rsid w:val="007425A0"/>
    <w:rsid w:val="007425E6"/>
    <w:rsid w:val="00742664"/>
    <w:rsid w:val="007426AD"/>
    <w:rsid w:val="0074270A"/>
    <w:rsid w:val="0074273F"/>
    <w:rsid w:val="007429CF"/>
    <w:rsid w:val="00742A07"/>
    <w:rsid w:val="00742D9D"/>
    <w:rsid w:val="00742E66"/>
    <w:rsid w:val="00742FFE"/>
    <w:rsid w:val="00743044"/>
    <w:rsid w:val="007430BB"/>
    <w:rsid w:val="00743168"/>
    <w:rsid w:val="00743204"/>
    <w:rsid w:val="00743359"/>
    <w:rsid w:val="00743585"/>
    <w:rsid w:val="00743591"/>
    <w:rsid w:val="007435BC"/>
    <w:rsid w:val="007435BF"/>
    <w:rsid w:val="007436EB"/>
    <w:rsid w:val="007437CF"/>
    <w:rsid w:val="0074380C"/>
    <w:rsid w:val="007438A5"/>
    <w:rsid w:val="007438BE"/>
    <w:rsid w:val="00743A12"/>
    <w:rsid w:val="00743A85"/>
    <w:rsid w:val="00743B6A"/>
    <w:rsid w:val="00743BA6"/>
    <w:rsid w:val="00743CB9"/>
    <w:rsid w:val="00743DF3"/>
    <w:rsid w:val="00743E63"/>
    <w:rsid w:val="00743F22"/>
    <w:rsid w:val="00743F23"/>
    <w:rsid w:val="00744057"/>
    <w:rsid w:val="00744172"/>
    <w:rsid w:val="00744256"/>
    <w:rsid w:val="007443E2"/>
    <w:rsid w:val="007443FC"/>
    <w:rsid w:val="0074444B"/>
    <w:rsid w:val="007445BE"/>
    <w:rsid w:val="007445CE"/>
    <w:rsid w:val="00744622"/>
    <w:rsid w:val="007446C3"/>
    <w:rsid w:val="007446F7"/>
    <w:rsid w:val="00744772"/>
    <w:rsid w:val="007448C3"/>
    <w:rsid w:val="007448F1"/>
    <w:rsid w:val="00744921"/>
    <w:rsid w:val="00744971"/>
    <w:rsid w:val="007449ED"/>
    <w:rsid w:val="00744AE7"/>
    <w:rsid w:val="00744BD6"/>
    <w:rsid w:val="00744BE4"/>
    <w:rsid w:val="00744C50"/>
    <w:rsid w:val="00744CF9"/>
    <w:rsid w:val="00744F68"/>
    <w:rsid w:val="00744F94"/>
    <w:rsid w:val="007450FF"/>
    <w:rsid w:val="00745137"/>
    <w:rsid w:val="007455A0"/>
    <w:rsid w:val="0074575D"/>
    <w:rsid w:val="007457A1"/>
    <w:rsid w:val="00745885"/>
    <w:rsid w:val="00745926"/>
    <w:rsid w:val="0074594D"/>
    <w:rsid w:val="00745A3E"/>
    <w:rsid w:val="00745ADB"/>
    <w:rsid w:val="00745AE3"/>
    <w:rsid w:val="00745AF8"/>
    <w:rsid w:val="00745AFD"/>
    <w:rsid w:val="00745B4A"/>
    <w:rsid w:val="00745B4E"/>
    <w:rsid w:val="00745B59"/>
    <w:rsid w:val="00745C58"/>
    <w:rsid w:val="00745DCF"/>
    <w:rsid w:val="00745E71"/>
    <w:rsid w:val="007462DB"/>
    <w:rsid w:val="0074642E"/>
    <w:rsid w:val="00746486"/>
    <w:rsid w:val="00746537"/>
    <w:rsid w:val="00746575"/>
    <w:rsid w:val="00746655"/>
    <w:rsid w:val="00746701"/>
    <w:rsid w:val="00746712"/>
    <w:rsid w:val="00746A92"/>
    <w:rsid w:val="00746C62"/>
    <w:rsid w:val="00746CB6"/>
    <w:rsid w:val="00746CBA"/>
    <w:rsid w:val="00746EAC"/>
    <w:rsid w:val="00746F46"/>
    <w:rsid w:val="00746FD6"/>
    <w:rsid w:val="00746FDD"/>
    <w:rsid w:val="00747042"/>
    <w:rsid w:val="00747342"/>
    <w:rsid w:val="007473E0"/>
    <w:rsid w:val="00747533"/>
    <w:rsid w:val="0074761C"/>
    <w:rsid w:val="007479B0"/>
    <w:rsid w:val="007479BE"/>
    <w:rsid w:val="00747A2C"/>
    <w:rsid w:val="00747BAA"/>
    <w:rsid w:val="00747C06"/>
    <w:rsid w:val="00747C83"/>
    <w:rsid w:val="00747D0E"/>
    <w:rsid w:val="00747D23"/>
    <w:rsid w:val="00747EE1"/>
    <w:rsid w:val="00747FB8"/>
    <w:rsid w:val="007502DB"/>
    <w:rsid w:val="007503A5"/>
    <w:rsid w:val="0075045D"/>
    <w:rsid w:val="00750489"/>
    <w:rsid w:val="007504F7"/>
    <w:rsid w:val="00750581"/>
    <w:rsid w:val="007505DB"/>
    <w:rsid w:val="007507BC"/>
    <w:rsid w:val="007507BF"/>
    <w:rsid w:val="0075088F"/>
    <w:rsid w:val="007508B2"/>
    <w:rsid w:val="0075097E"/>
    <w:rsid w:val="00750BAB"/>
    <w:rsid w:val="00750BDB"/>
    <w:rsid w:val="00750D93"/>
    <w:rsid w:val="00750E88"/>
    <w:rsid w:val="00750ED6"/>
    <w:rsid w:val="00750F08"/>
    <w:rsid w:val="00750F2A"/>
    <w:rsid w:val="00750F37"/>
    <w:rsid w:val="00750FB0"/>
    <w:rsid w:val="00750FBF"/>
    <w:rsid w:val="00750FD7"/>
    <w:rsid w:val="00751099"/>
    <w:rsid w:val="00751108"/>
    <w:rsid w:val="00751142"/>
    <w:rsid w:val="007512E8"/>
    <w:rsid w:val="00751474"/>
    <w:rsid w:val="00751487"/>
    <w:rsid w:val="0075148D"/>
    <w:rsid w:val="007514F2"/>
    <w:rsid w:val="00751611"/>
    <w:rsid w:val="0075161D"/>
    <w:rsid w:val="0075163D"/>
    <w:rsid w:val="00751646"/>
    <w:rsid w:val="00751655"/>
    <w:rsid w:val="00751791"/>
    <w:rsid w:val="007518BA"/>
    <w:rsid w:val="00751B40"/>
    <w:rsid w:val="00751BB6"/>
    <w:rsid w:val="00751C0F"/>
    <w:rsid w:val="00751C75"/>
    <w:rsid w:val="00751DD9"/>
    <w:rsid w:val="00751E39"/>
    <w:rsid w:val="00751E78"/>
    <w:rsid w:val="00751F23"/>
    <w:rsid w:val="00751F33"/>
    <w:rsid w:val="00751F72"/>
    <w:rsid w:val="00751FFA"/>
    <w:rsid w:val="00752043"/>
    <w:rsid w:val="00752056"/>
    <w:rsid w:val="00752320"/>
    <w:rsid w:val="0075232D"/>
    <w:rsid w:val="00752359"/>
    <w:rsid w:val="00752381"/>
    <w:rsid w:val="007524B7"/>
    <w:rsid w:val="007524ED"/>
    <w:rsid w:val="0075259E"/>
    <w:rsid w:val="007525B2"/>
    <w:rsid w:val="007527A5"/>
    <w:rsid w:val="00752849"/>
    <w:rsid w:val="007529A9"/>
    <w:rsid w:val="00752A28"/>
    <w:rsid w:val="00752AD5"/>
    <w:rsid w:val="00752B85"/>
    <w:rsid w:val="00752CA3"/>
    <w:rsid w:val="00752CF1"/>
    <w:rsid w:val="00752D14"/>
    <w:rsid w:val="00752E42"/>
    <w:rsid w:val="00752E4A"/>
    <w:rsid w:val="00752E58"/>
    <w:rsid w:val="00752F8A"/>
    <w:rsid w:val="00752FAE"/>
    <w:rsid w:val="0075318F"/>
    <w:rsid w:val="007531C5"/>
    <w:rsid w:val="00753207"/>
    <w:rsid w:val="007532AB"/>
    <w:rsid w:val="007532AC"/>
    <w:rsid w:val="0075338D"/>
    <w:rsid w:val="007534D8"/>
    <w:rsid w:val="00753559"/>
    <w:rsid w:val="007535E0"/>
    <w:rsid w:val="0075362E"/>
    <w:rsid w:val="0075364E"/>
    <w:rsid w:val="00753662"/>
    <w:rsid w:val="007536AC"/>
    <w:rsid w:val="00753890"/>
    <w:rsid w:val="007538AD"/>
    <w:rsid w:val="007539F6"/>
    <w:rsid w:val="00753B3E"/>
    <w:rsid w:val="00753B9D"/>
    <w:rsid w:val="00753BDB"/>
    <w:rsid w:val="00753C14"/>
    <w:rsid w:val="00753CB7"/>
    <w:rsid w:val="00753DB2"/>
    <w:rsid w:val="00753DC4"/>
    <w:rsid w:val="00753DFD"/>
    <w:rsid w:val="00753E84"/>
    <w:rsid w:val="00753E8C"/>
    <w:rsid w:val="00753F97"/>
    <w:rsid w:val="00754063"/>
    <w:rsid w:val="007540B1"/>
    <w:rsid w:val="0075418F"/>
    <w:rsid w:val="0075440C"/>
    <w:rsid w:val="0075443F"/>
    <w:rsid w:val="007544A5"/>
    <w:rsid w:val="007544C7"/>
    <w:rsid w:val="00754505"/>
    <w:rsid w:val="00754510"/>
    <w:rsid w:val="0075452D"/>
    <w:rsid w:val="007545F8"/>
    <w:rsid w:val="00754634"/>
    <w:rsid w:val="00754754"/>
    <w:rsid w:val="00754896"/>
    <w:rsid w:val="007548CF"/>
    <w:rsid w:val="00754DB8"/>
    <w:rsid w:val="00754DF5"/>
    <w:rsid w:val="00755073"/>
    <w:rsid w:val="00755141"/>
    <w:rsid w:val="00755298"/>
    <w:rsid w:val="007552B6"/>
    <w:rsid w:val="007553B4"/>
    <w:rsid w:val="00755452"/>
    <w:rsid w:val="007554A6"/>
    <w:rsid w:val="00755514"/>
    <w:rsid w:val="0075563D"/>
    <w:rsid w:val="0075580E"/>
    <w:rsid w:val="0075582B"/>
    <w:rsid w:val="0075599B"/>
    <w:rsid w:val="007559F7"/>
    <w:rsid w:val="00755C1F"/>
    <w:rsid w:val="00755C2E"/>
    <w:rsid w:val="00755D45"/>
    <w:rsid w:val="00755E45"/>
    <w:rsid w:val="00755EB9"/>
    <w:rsid w:val="0075614E"/>
    <w:rsid w:val="00756308"/>
    <w:rsid w:val="00756335"/>
    <w:rsid w:val="007563B0"/>
    <w:rsid w:val="0075647F"/>
    <w:rsid w:val="0075648B"/>
    <w:rsid w:val="007564CE"/>
    <w:rsid w:val="007565ED"/>
    <w:rsid w:val="00756657"/>
    <w:rsid w:val="00756714"/>
    <w:rsid w:val="00756762"/>
    <w:rsid w:val="007568B2"/>
    <w:rsid w:val="0075692A"/>
    <w:rsid w:val="00756A3C"/>
    <w:rsid w:val="00756AAA"/>
    <w:rsid w:val="00756B1C"/>
    <w:rsid w:val="00756B25"/>
    <w:rsid w:val="00756B5F"/>
    <w:rsid w:val="00756C5A"/>
    <w:rsid w:val="00756CA9"/>
    <w:rsid w:val="00756CD7"/>
    <w:rsid w:val="00756E55"/>
    <w:rsid w:val="00756F0C"/>
    <w:rsid w:val="00756FAB"/>
    <w:rsid w:val="00756FAD"/>
    <w:rsid w:val="00757132"/>
    <w:rsid w:val="00757165"/>
    <w:rsid w:val="00757194"/>
    <w:rsid w:val="00757263"/>
    <w:rsid w:val="0075726D"/>
    <w:rsid w:val="00757556"/>
    <w:rsid w:val="00757656"/>
    <w:rsid w:val="0075767E"/>
    <w:rsid w:val="007576AC"/>
    <w:rsid w:val="00757870"/>
    <w:rsid w:val="00757A81"/>
    <w:rsid w:val="00757B54"/>
    <w:rsid w:val="00757B84"/>
    <w:rsid w:val="00757BF3"/>
    <w:rsid w:val="00757C11"/>
    <w:rsid w:val="00757C53"/>
    <w:rsid w:val="00757CBA"/>
    <w:rsid w:val="00757CC2"/>
    <w:rsid w:val="00757DD5"/>
    <w:rsid w:val="00757F2A"/>
    <w:rsid w:val="00757F40"/>
    <w:rsid w:val="00757F47"/>
    <w:rsid w:val="007600D2"/>
    <w:rsid w:val="00760131"/>
    <w:rsid w:val="0076027B"/>
    <w:rsid w:val="0076027D"/>
    <w:rsid w:val="00760324"/>
    <w:rsid w:val="00760343"/>
    <w:rsid w:val="0076043C"/>
    <w:rsid w:val="007606CD"/>
    <w:rsid w:val="007607A5"/>
    <w:rsid w:val="007607C5"/>
    <w:rsid w:val="00760823"/>
    <w:rsid w:val="007608DE"/>
    <w:rsid w:val="00760A29"/>
    <w:rsid w:val="00760A87"/>
    <w:rsid w:val="00760AF7"/>
    <w:rsid w:val="00760D4B"/>
    <w:rsid w:val="00760DE2"/>
    <w:rsid w:val="00760E36"/>
    <w:rsid w:val="00760E4D"/>
    <w:rsid w:val="0076104C"/>
    <w:rsid w:val="0076105B"/>
    <w:rsid w:val="0076113C"/>
    <w:rsid w:val="007611AD"/>
    <w:rsid w:val="00761246"/>
    <w:rsid w:val="0076124D"/>
    <w:rsid w:val="00761270"/>
    <w:rsid w:val="007612F7"/>
    <w:rsid w:val="0076151D"/>
    <w:rsid w:val="00761628"/>
    <w:rsid w:val="0076169F"/>
    <w:rsid w:val="007616A7"/>
    <w:rsid w:val="0076197A"/>
    <w:rsid w:val="00761998"/>
    <w:rsid w:val="007619D7"/>
    <w:rsid w:val="00761B3B"/>
    <w:rsid w:val="00761B8C"/>
    <w:rsid w:val="00761BDA"/>
    <w:rsid w:val="00761C94"/>
    <w:rsid w:val="00761E01"/>
    <w:rsid w:val="00761E02"/>
    <w:rsid w:val="00761E0D"/>
    <w:rsid w:val="00761E63"/>
    <w:rsid w:val="00761E7C"/>
    <w:rsid w:val="0076207F"/>
    <w:rsid w:val="0076211E"/>
    <w:rsid w:val="007622FE"/>
    <w:rsid w:val="007624B6"/>
    <w:rsid w:val="007624BD"/>
    <w:rsid w:val="007625C1"/>
    <w:rsid w:val="007625F9"/>
    <w:rsid w:val="007626F6"/>
    <w:rsid w:val="00762820"/>
    <w:rsid w:val="00762880"/>
    <w:rsid w:val="00762966"/>
    <w:rsid w:val="00762973"/>
    <w:rsid w:val="00762A05"/>
    <w:rsid w:val="00762CA9"/>
    <w:rsid w:val="00762D0B"/>
    <w:rsid w:val="00762D36"/>
    <w:rsid w:val="00762D44"/>
    <w:rsid w:val="00762D80"/>
    <w:rsid w:val="00762E15"/>
    <w:rsid w:val="00762EBC"/>
    <w:rsid w:val="00762F15"/>
    <w:rsid w:val="00762FC0"/>
    <w:rsid w:val="0076320F"/>
    <w:rsid w:val="00763308"/>
    <w:rsid w:val="00763364"/>
    <w:rsid w:val="00763402"/>
    <w:rsid w:val="0076355C"/>
    <w:rsid w:val="0076364E"/>
    <w:rsid w:val="0076372B"/>
    <w:rsid w:val="00763767"/>
    <w:rsid w:val="007637EE"/>
    <w:rsid w:val="00763828"/>
    <w:rsid w:val="007638D5"/>
    <w:rsid w:val="00763931"/>
    <w:rsid w:val="007639E3"/>
    <w:rsid w:val="00763B0A"/>
    <w:rsid w:val="00763C70"/>
    <w:rsid w:val="00763CCC"/>
    <w:rsid w:val="00763D05"/>
    <w:rsid w:val="00763D1F"/>
    <w:rsid w:val="00763D7A"/>
    <w:rsid w:val="00763EB0"/>
    <w:rsid w:val="00763EDB"/>
    <w:rsid w:val="00763FDA"/>
    <w:rsid w:val="00764048"/>
    <w:rsid w:val="00764124"/>
    <w:rsid w:val="0076414B"/>
    <w:rsid w:val="00764161"/>
    <w:rsid w:val="0076420A"/>
    <w:rsid w:val="00764246"/>
    <w:rsid w:val="0076427F"/>
    <w:rsid w:val="007642D6"/>
    <w:rsid w:val="007642F1"/>
    <w:rsid w:val="007643F3"/>
    <w:rsid w:val="0076440D"/>
    <w:rsid w:val="00764459"/>
    <w:rsid w:val="007644C2"/>
    <w:rsid w:val="00764601"/>
    <w:rsid w:val="00764820"/>
    <w:rsid w:val="00764832"/>
    <w:rsid w:val="007648D6"/>
    <w:rsid w:val="007648FE"/>
    <w:rsid w:val="00764A37"/>
    <w:rsid w:val="00764AF5"/>
    <w:rsid w:val="00764B5E"/>
    <w:rsid w:val="00764BCE"/>
    <w:rsid w:val="00764CAB"/>
    <w:rsid w:val="00764DAC"/>
    <w:rsid w:val="00764DEA"/>
    <w:rsid w:val="00764F6B"/>
    <w:rsid w:val="00765042"/>
    <w:rsid w:val="007650E4"/>
    <w:rsid w:val="007650EA"/>
    <w:rsid w:val="007651FC"/>
    <w:rsid w:val="0076537F"/>
    <w:rsid w:val="007654ED"/>
    <w:rsid w:val="00765646"/>
    <w:rsid w:val="007656E4"/>
    <w:rsid w:val="00765703"/>
    <w:rsid w:val="00765771"/>
    <w:rsid w:val="00765B53"/>
    <w:rsid w:val="00765B6A"/>
    <w:rsid w:val="00765CFD"/>
    <w:rsid w:val="00765D2E"/>
    <w:rsid w:val="00765D4F"/>
    <w:rsid w:val="00765DC5"/>
    <w:rsid w:val="00765DDB"/>
    <w:rsid w:val="00765E0F"/>
    <w:rsid w:val="00765EB7"/>
    <w:rsid w:val="00765F69"/>
    <w:rsid w:val="00765F76"/>
    <w:rsid w:val="0076609B"/>
    <w:rsid w:val="007660A1"/>
    <w:rsid w:val="007660F2"/>
    <w:rsid w:val="0076618C"/>
    <w:rsid w:val="00766215"/>
    <w:rsid w:val="007662C8"/>
    <w:rsid w:val="0076649B"/>
    <w:rsid w:val="00766505"/>
    <w:rsid w:val="00766628"/>
    <w:rsid w:val="00766699"/>
    <w:rsid w:val="0076673E"/>
    <w:rsid w:val="0076675C"/>
    <w:rsid w:val="007667AC"/>
    <w:rsid w:val="007668C1"/>
    <w:rsid w:val="00766A41"/>
    <w:rsid w:val="00766A43"/>
    <w:rsid w:val="00766B49"/>
    <w:rsid w:val="00766CF0"/>
    <w:rsid w:val="00766DFF"/>
    <w:rsid w:val="00766E3E"/>
    <w:rsid w:val="007670A6"/>
    <w:rsid w:val="0076723C"/>
    <w:rsid w:val="007672F3"/>
    <w:rsid w:val="007672F8"/>
    <w:rsid w:val="00767307"/>
    <w:rsid w:val="00767515"/>
    <w:rsid w:val="007675C1"/>
    <w:rsid w:val="0076761B"/>
    <w:rsid w:val="007676B0"/>
    <w:rsid w:val="007676DD"/>
    <w:rsid w:val="007676E7"/>
    <w:rsid w:val="007677CC"/>
    <w:rsid w:val="00767848"/>
    <w:rsid w:val="0076799A"/>
    <w:rsid w:val="0076799E"/>
    <w:rsid w:val="00767A7E"/>
    <w:rsid w:val="00767AD2"/>
    <w:rsid w:val="00767B2D"/>
    <w:rsid w:val="00767C47"/>
    <w:rsid w:val="00767CCF"/>
    <w:rsid w:val="00767E41"/>
    <w:rsid w:val="00767F6E"/>
    <w:rsid w:val="00767FBA"/>
    <w:rsid w:val="00770088"/>
    <w:rsid w:val="00770172"/>
    <w:rsid w:val="00770181"/>
    <w:rsid w:val="00770251"/>
    <w:rsid w:val="0077057E"/>
    <w:rsid w:val="007705AD"/>
    <w:rsid w:val="0077069F"/>
    <w:rsid w:val="007707CD"/>
    <w:rsid w:val="007709A5"/>
    <w:rsid w:val="007709EC"/>
    <w:rsid w:val="00770A1B"/>
    <w:rsid w:val="00770AB3"/>
    <w:rsid w:val="00770B67"/>
    <w:rsid w:val="00770C15"/>
    <w:rsid w:val="00770C8F"/>
    <w:rsid w:val="00770CB6"/>
    <w:rsid w:val="00770D13"/>
    <w:rsid w:val="00770F0D"/>
    <w:rsid w:val="00770F45"/>
    <w:rsid w:val="00770FD1"/>
    <w:rsid w:val="00771027"/>
    <w:rsid w:val="00771065"/>
    <w:rsid w:val="00771131"/>
    <w:rsid w:val="007712BD"/>
    <w:rsid w:val="007715DA"/>
    <w:rsid w:val="007715FB"/>
    <w:rsid w:val="00771A5B"/>
    <w:rsid w:val="00771C3E"/>
    <w:rsid w:val="00771CD4"/>
    <w:rsid w:val="00771D96"/>
    <w:rsid w:val="00771DA6"/>
    <w:rsid w:val="00772203"/>
    <w:rsid w:val="00772320"/>
    <w:rsid w:val="0077234A"/>
    <w:rsid w:val="007723AB"/>
    <w:rsid w:val="00772497"/>
    <w:rsid w:val="007724CC"/>
    <w:rsid w:val="00772566"/>
    <w:rsid w:val="007725C8"/>
    <w:rsid w:val="00772781"/>
    <w:rsid w:val="007727AD"/>
    <w:rsid w:val="00772999"/>
    <w:rsid w:val="007729E0"/>
    <w:rsid w:val="00772A80"/>
    <w:rsid w:val="00772AB5"/>
    <w:rsid w:val="00772AE4"/>
    <w:rsid w:val="00772B86"/>
    <w:rsid w:val="00772B8E"/>
    <w:rsid w:val="00772D40"/>
    <w:rsid w:val="00772D96"/>
    <w:rsid w:val="00772FF7"/>
    <w:rsid w:val="00773092"/>
    <w:rsid w:val="00773113"/>
    <w:rsid w:val="007731DC"/>
    <w:rsid w:val="00773263"/>
    <w:rsid w:val="00773548"/>
    <w:rsid w:val="007735A2"/>
    <w:rsid w:val="007735AE"/>
    <w:rsid w:val="0077363F"/>
    <w:rsid w:val="0077394A"/>
    <w:rsid w:val="00773977"/>
    <w:rsid w:val="007739DE"/>
    <w:rsid w:val="00773BB0"/>
    <w:rsid w:val="00773BD8"/>
    <w:rsid w:val="00773C88"/>
    <w:rsid w:val="00773D08"/>
    <w:rsid w:val="00773D67"/>
    <w:rsid w:val="00773D80"/>
    <w:rsid w:val="00773E48"/>
    <w:rsid w:val="00773F0C"/>
    <w:rsid w:val="00773F4A"/>
    <w:rsid w:val="00773F51"/>
    <w:rsid w:val="00773FEE"/>
    <w:rsid w:val="0077405E"/>
    <w:rsid w:val="00774214"/>
    <w:rsid w:val="00774229"/>
    <w:rsid w:val="00774248"/>
    <w:rsid w:val="00774374"/>
    <w:rsid w:val="007743BB"/>
    <w:rsid w:val="00774418"/>
    <w:rsid w:val="007744F0"/>
    <w:rsid w:val="00774512"/>
    <w:rsid w:val="007745E8"/>
    <w:rsid w:val="007746B7"/>
    <w:rsid w:val="0077472D"/>
    <w:rsid w:val="00774735"/>
    <w:rsid w:val="007747A3"/>
    <w:rsid w:val="00774881"/>
    <w:rsid w:val="007749EB"/>
    <w:rsid w:val="00774BB7"/>
    <w:rsid w:val="00774E59"/>
    <w:rsid w:val="00774EF1"/>
    <w:rsid w:val="00774F6C"/>
    <w:rsid w:val="00774FD7"/>
    <w:rsid w:val="00774FF7"/>
    <w:rsid w:val="00775029"/>
    <w:rsid w:val="00775068"/>
    <w:rsid w:val="007750A4"/>
    <w:rsid w:val="00775210"/>
    <w:rsid w:val="00775285"/>
    <w:rsid w:val="00775293"/>
    <w:rsid w:val="0077531C"/>
    <w:rsid w:val="0077543D"/>
    <w:rsid w:val="00775453"/>
    <w:rsid w:val="00775492"/>
    <w:rsid w:val="007754E0"/>
    <w:rsid w:val="0077551F"/>
    <w:rsid w:val="0077553F"/>
    <w:rsid w:val="007755D7"/>
    <w:rsid w:val="0077568F"/>
    <w:rsid w:val="00775761"/>
    <w:rsid w:val="007757F1"/>
    <w:rsid w:val="00775858"/>
    <w:rsid w:val="00775ABF"/>
    <w:rsid w:val="00775B03"/>
    <w:rsid w:val="00775B2E"/>
    <w:rsid w:val="00775C5F"/>
    <w:rsid w:val="00775C8E"/>
    <w:rsid w:val="00775D24"/>
    <w:rsid w:val="00775D4E"/>
    <w:rsid w:val="00775E97"/>
    <w:rsid w:val="00775EFF"/>
    <w:rsid w:val="007760A2"/>
    <w:rsid w:val="0077624E"/>
    <w:rsid w:val="007762E9"/>
    <w:rsid w:val="00776379"/>
    <w:rsid w:val="007763DA"/>
    <w:rsid w:val="0077643F"/>
    <w:rsid w:val="007764AE"/>
    <w:rsid w:val="007764F4"/>
    <w:rsid w:val="007764F9"/>
    <w:rsid w:val="0077651E"/>
    <w:rsid w:val="00776678"/>
    <w:rsid w:val="007766CD"/>
    <w:rsid w:val="007767C2"/>
    <w:rsid w:val="007767C9"/>
    <w:rsid w:val="007767DC"/>
    <w:rsid w:val="007767E9"/>
    <w:rsid w:val="00776885"/>
    <w:rsid w:val="00776A20"/>
    <w:rsid w:val="00776B55"/>
    <w:rsid w:val="00776B77"/>
    <w:rsid w:val="00776B8F"/>
    <w:rsid w:val="00776BAD"/>
    <w:rsid w:val="00776E32"/>
    <w:rsid w:val="00776E8C"/>
    <w:rsid w:val="00776FEB"/>
    <w:rsid w:val="00777141"/>
    <w:rsid w:val="0077719F"/>
    <w:rsid w:val="00777300"/>
    <w:rsid w:val="0077738B"/>
    <w:rsid w:val="007774F5"/>
    <w:rsid w:val="0077755C"/>
    <w:rsid w:val="007775A5"/>
    <w:rsid w:val="007775C9"/>
    <w:rsid w:val="007779A8"/>
    <w:rsid w:val="00777ADC"/>
    <w:rsid w:val="00777CA2"/>
    <w:rsid w:val="00777E2D"/>
    <w:rsid w:val="00777E49"/>
    <w:rsid w:val="00777FD9"/>
    <w:rsid w:val="007800C8"/>
    <w:rsid w:val="007801B3"/>
    <w:rsid w:val="007801F0"/>
    <w:rsid w:val="0078028A"/>
    <w:rsid w:val="007802C5"/>
    <w:rsid w:val="007802EE"/>
    <w:rsid w:val="007803FE"/>
    <w:rsid w:val="00780414"/>
    <w:rsid w:val="00780485"/>
    <w:rsid w:val="007804B8"/>
    <w:rsid w:val="00780609"/>
    <w:rsid w:val="007806C2"/>
    <w:rsid w:val="00780988"/>
    <w:rsid w:val="0078099E"/>
    <w:rsid w:val="00780AB5"/>
    <w:rsid w:val="00780AC2"/>
    <w:rsid w:val="00780AE2"/>
    <w:rsid w:val="00780B98"/>
    <w:rsid w:val="00780C23"/>
    <w:rsid w:val="00780DA4"/>
    <w:rsid w:val="00780DD4"/>
    <w:rsid w:val="00780E3D"/>
    <w:rsid w:val="00780EDB"/>
    <w:rsid w:val="00780F20"/>
    <w:rsid w:val="00780F23"/>
    <w:rsid w:val="00781074"/>
    <w:rsid w:val="007810CC"/>
    <w:rsid w:val="007810D3"/>
    <w:rsid w:val="007811AA"/>
    <w:rsid w:val="00781472"/>
    <w:rsid w:val="0078148F"/>
    <w:rsid w:val="00781534"/>
    <w:rsid w:val="00781563"/>
    <w:rsid w:val="007815FC"/>
    <w:rsid w:val="0078161C"/>
    <w:rsid w:val="0078161D"/>
    <w:rsid w:val="0078166B"/>
    <w:rsid w:val="00781686"/>
    <w:rsid w:val="007817B2"/>
    <w:rsid w:val="007817C0"/>
    <w:rsid w:val="007817D1"/>
    <w:rsid w:val="007817D9"/>
    <w:rsid w:val="00781B3F"/>
    <w:rsid w:val="00781C2A"/>
    <w:rsid w:val="00781C39"/>
    <w:rsid w:val="00781E15"/>
    <w:rsid w:val="00781F44"/>
    <w:rsid w:val="0078200B"/>
    <w:rsid w:val="00782041"/>
    <w:rsid w:val="00782140"/>
    <w:rsid w:val="007821F2"/>
    <w:rsid w:val="007821FC"/>
    <w:rsid w:val="00782223"/>
    <w:rsid w:val="007822E9"/>
    <w:rsid w:val="007822FA"/>
    <w:rsid w:val="00782335"/>
    <w:rsid w:val="00782571"/>
    <w:rsid w:val="00782594"/>
    <w:rsid w:val="0078268E"/>
    <w:rsid w:val="00782691"/>
    <w:rsid w:val="00782776"/>
    <w:rsid w:val="00782876"/>
    <w:rsid w:val="007828FE"/>
    <w:rsid w:val="0078295A"/>
    <w:rsid w:val="007829B7"/>
    <w:rsid w:val="00782B2A"/>
    <w:rsid w:val="00782B2F"/>
    <w:rsid w:val="00782BFC"/>
    <w:rsid w:val="00782C04"/>
    <w:rsid w:val="00782D92"/>
    <w:rsid w:val="00782DBB"/>
    <w:rsid w:val="00782ECB"/>
    <w:rsid w:val="00782FFA"/>
    <w:rsid w:val="00783004"/>
    <w:rsid w:val="0078318D"/>
    <w:rsid w:val="00783191"/>
    <w:rsid w:val="007831AE"/>
    <w:rsid w:val="00783312"/>
    <w:rsid w:val="007835B7"/>
    <w:rsid w:val="007835E1"/>
    <w:rsid w:val="00783765"/>
    <w:rsid w:val="007837F1"/>
    <w:rsid w:val="007838A9"/>
    <w:rsid w:val="007838D8"/>
    <w:rsid w:val="00783942"/>
    <w:rsid w:val="007839B1"/>
    <w:rsid w:val="007839BA"/>
    <w:rsid w:val="00783A52"/>
    <w:rsid w:val="00783B3E"/>
    <w:rsid w:val="00783B4C"/>
    <w:rsid w:val="00783BEA"/>
    <w:rsid w:val="00783C39"/>
    <w:rsid w:val="00783D14"/>
    <w:rsid w:val="00783D95"/>
    <w:rsid w:val="00783E4D"/>
    <w:rsid w:val="00783F21"/>
    <w:rsid w:val="0078415F"/>
    <w:rsid w:val="00784337"/>
    <w:rsid w:val="0078433C"/>
    <w:rsid w:val="00784410"/>
    <w:rsid w:val="00784509"/>
    <w:rsid w:val="00784712"/>
    <w:rsid w:val="00784846"/>
    <w:rsid w:val="00784862"/>
    <w:rsid w:val="00784893"/>
    <w:rsid w:val="00784976"/>
    <w:rsid w:val="00784979"/>
    <w:rsid w:val="00784989"/>
    <w:rsid w:val="007849C7"/>
    <w:rsid w:val="007849D8"/>
    <w:rsid w:val="00784A1D"/>
    <w:rsid w:val="00784A68"/>
    <w:rsid w:val="00784AEE"/>
    <w:rsid w:val="00784B37"/>
    <w:rsid w:val="00784C55"/>
    <w:rsid w:val="00784E8F"/>
    <w:rsid w:val="00784E9C"/>
    <w:rsid w:val="00784F13"/>
    <w:rsid w:val="007850A0"/>
    <w:rsid w:val="00785160"/>
    <w:rsid w:val="00785171"/>
    <w:rsid w:val="00785186"/>
    <w:rsid w:val="007852ED"/>
    <w:rsid w:val="00785337"/>
    <w:rsid w:val="0078544F"/>
    <w:rsid w:val="00785456"/>
    <w:rsid w:val="0078549F"/>
    <w:rsid w:val="00785502"/>
    <w:rsid w:val="00785739"/>
    <w:rsid w:val="007857F6"/>
    <w:rsid w:val="0078585A"/>
    <w:rsid w:val="0078587B"/>
    <w:rsid w:val="00785896"/>
    <w:rsid w:val="007858CA"/>
    <w:rsid w:val="0078595A"/>
    <w:rsid w:val="00785AA4"/>
    <w:rsid w:val="00785B5C"/>
    <w:rsid w:val="00785E23"/>
    <w:rsid w:val="00785E48"/>
    <w:rsid w:val="00785EC0"/>
    <w:rsid w:val="00785F67"/>
    <w:rsid w:val="007861E6"/>
    <w:rsid w:val="00786270"/>
    <w:rsid w:val="007862F0"/>
    <w:rsid w:val="0078631A"/>
    <w:rsid w:val="00786344"/>
    <w:rsid w:val="0078634C"/>
    <w:rsid w:val="00786419"/>
    <w:rsid w:val="0078656F"/>
    <w:rsid w:val="0078658C"/>
    <w:rsid w:val="00786626"/>
    <w:rsid w:val="00786694"/>
    <w:rsid w:val="0078672D"/>
    <w:rsid w:val="007868F3"/>
    <w:rsid w:val="00786985"/>
    <w:rsid w:val="007869CB"/>
    <w:rsid w:val="007869D6"/>
    <w:rsid w:val="00786A56"/>
    <w:rsid w:val="00786B04"/>
    <w:rsid w:val="00786B92"/>
    <w:rsid w:val="00786DA2"/>
    <w:rsid w:val="007870F7"/>
    <w:rsid w:val="007870F8"/>
    <w:rsid w:val="0078720A"/>
    <w:rsid w:val="007874E2"/>
    <w:rsid w:val="007874E7"/>
    <w:rsid w:val="00787541"/>
    <w:rsid w:val="007875F6"/>
    <w:rsid w:val="00787618"/>
    <w:rsid w:val="0078765C"/>
    <w:rsid w:val="00787769"/>
    <w:rsid w:val="00787848"/>
    <w:rsid w:val="00787852"/>
    <w:rsid w:val="007878ED"/>
    <w:rsid w:val="007879DD"/>
    <w:rsid w:val="00787C29"/>
    <w:rsid w:val="00787D4E"/>
    <w:rsid w:val="00787DD2"/>
    <w:rsid w:val="00787E1C"/>
    <w:rsid w:val="00787E78"/>
    <w:rsid w:val="00787F1E"/>
    <w:rsid w:val="00787FA1"/>
    <w:rsid w:val="00787FF8"/>
    <w:rsid w:val="00790010"/>
    <w:rsid w:val="00790062"/>
    <w:rsid w:val="007900B4"/>
    <w:rsid w:val="00790117"/>
    <w:rsid w:val="007903CD"/>
    <w:rsid w:val="007903EF"/>
    <w:rsid w:val="00790455"/>
    <w:rsid w:val="007905FF"/>
    <w:rsid w:val="007907F9"/>
    <w:rsid w:val="007909A7"/>
    <w:rsid w:val="00790AD3"/>
    <w:rsid w:val="00790AFC"/>
    <w:rsid w:val="00790B19"/>
    <w:rsid w:val="00790CF9"/>
    <w:rsid w:val="00790E63"/>
    <w:rsid w:val="00790EA7"/>
    <w:rsid w:val="0079100C"/>
    <w:rsid w:val="007910B5"/>
    <w:rsid w:val="007912B5"/>
    <w:rsid w:val="0079132D"/>
    <w:rsid w:val="007913E8"/>
    <w:rsid w:val="007913FA"/>
    <w:rsid w:val="00791437"/>
    <w:rsid w:val="00791483"/>
    <w:rsid w:val="007915B9"/>
    <w:rsid w:val="00791681"/>
    <w:rsid w:val="00791713"/>
    <w:rsid w:val="00791766"/>
    <w:rsid w:val="0079178E"/>
    <w:rsid w:val="00791A64"/>
    <w:rsid w:val="00791C30"/>
    <w:rsid w:val="00791CFB"/>
    <w:rsid w:val="00791D02"/>
    <w:rsid w:val="00791D32"/>
    <w:rsid w:val="00791E6E"/>
    <w:rsid w:val="00791E80"/>
    <w:rsid w:val="00791FF5"/>
    <w:rsid w:val="00792044"/>
    <w:rsid w:val="00792049"/>
    <w:rsid w:val="00792075"/>
    <w:rsid w:val="0079216F"/>
    <w:rsid w:val="007921BF"/>
    <w:rsid w:val="00792230"/>
    <w:rsid w:val="0079228D"/>
    <w:rsid w:val="007922A2"/>
    <w:rsid w:val="0079232D"/>
    <w:rsid w:val="0079252F"/>
    <w:rsid w:val="00792576"/>
    <w:rsid w:val="00792626"/>
    <w:rsid w:val="007926D2"/>
    <w:rsid w:val="007926D4"/>
    <w:rsid w:val="007926EB"/>
    <w:rsid w:val="00792721"/>
    <w:rsid w:val="007927AD"/>
    <w:rsid w:val="00792805"/>
    <w:rsid w:val="00792813"/>
    <w:rsid w:val="00792876"/>
    <w:rsid w:val="00792A8F"/>
    <w:rsid w:val="00792B11"/>
    <w:rsid w:val="00792B73"/>
    <w:rsid w:val="00792C7D"/>
    <w:rsid w:val="00792E7C"/>
    <w:rsid w:val="00792E93"/>
    <w:rsid w:val="00792ED3"/>
    <w:rsid w:val="00792FD5"/>
    <w:rsid w:val="00792FDD"/>
    <w:rsid w:val="00793092"/>
    <w:rsid w:val="00793268"/>
    <w:rsid w:val="00793335"/>
    <w:rsid w:val="00793342"/>
    <w:rsid w:val="00793482"/>
    <w:rsid w:val="0079353B"/>
    <w:rsid w:val="0079372B"/>
    <w:rsid w:val="0079382E"/>
    <w:rsid w:val="00793839"/>
    <w:rsid w:val="007938D3"/>
    <w:rsid w:val="007939CB"/>
    <w:rsid w:val="00793A1E"/>
    <w:rsid w:val="00793CBD"/>
    <w:rsid w:val="00793DB3"/>
    <w:rsid w:val="00793F1B"/>
    <w:rsid w:val="00793F82"/>
    <w:rsid w:val="00794007"/>
    <w:rsid w:val="0079412C"/>
    <w:rsid w:val="00794167"/>
    <w:rsid w:val="0079446C"/>
    <w:rsid w:val="00794507"/>
    <w:rsid w:val="007946CD"/>
    <w:rsid w:val="0079474B"/>
    <w:rsid w:val="00794775"/>
    <w:rsid w:val="0079477E"/>
    <w:rsid w:val="00794813"/>
    <w:rsid w:val="00794A5B"/>
    <w:rsid w:val="00794A79"/>
    <w:rsid w:val="00794B33"/>
    <w:rsid w:val="00794B8B"/>
    <w:rsid w:val="00794BC1"/>
    <w:rsid w:val="00794DAE"/>
    <w:rsid w:val="00794E31"/>
    <w:rsid w:val="00794FCE"/>
    <w:rsid w:val="00795025"/>
    <w:rsid w:val="0079522D"/>
    <w:rsid w:val="00795525"/>
    <w:rsid w:val="0079584B"/>
    <w:rsid w:val="007958DA"/>
    <w:rsid w:val="00795933"/>
    <w:rsid w:val="00795934"/>
    <w:rsid w:val="00795997"/>
    <w:rsid w:val="00795A88"/>
    <w:rsid w:val="00795ABF"/>
    <w:rsid w:val="00795B6D"/>
    <w:rsid w:val="00795BA6"/>
    <w:rsid w:val="00795BF0"/>
    <w:rsid w:val="00795C2E"/>
    <w:rsid w:val="00795C3F"/>
    <w:rsid w:val="00795C8A"/>
    <w:rsid w:val="00795D0E"/>
    <w:rsid w:val="00796104"/>
    <w:rsid w:val="007961E2"/>
    <w:rsid w:val="00796218"/>
    <w:rsid w:val="007962C0"/>
    <w:rsid w:val="007963CC"/>
    <w:rsid w:val="007965E6"/>
    <w:rsid w:val="0079663B"/>
    <w:rsid w:val="0079666F"/>
    <w:rsid w:val="007966C0"/>
    <w:rsid w:val="007966F7"/>
    <w:rsid w:val="00796761"/>
    <w:rsid w:val="007967E1"/>
    <w:rsid w:val="0079680A"/>
    <w:rsid w:val="00796840"/>
    <w:rsid w:val="0079696B"/>
    <w:rsid w:val="00796AA6"/>
    <w:rsid w:val="00796C5A"/>
    <w:rsid w:val="00796C9F"/>
    <w:rsid w:val="00796CC3"/>
    <w:rsid w:val="00796E89"/>
    <w:rsid w:val="00797038"/>
    <w:rsid w:val="00797056"/>
    <w:rsid w:val="00797079"/>
    <w:rsid w:val="007970FD"/>
    <w:rsid w:val="0079730B"/>
    <w:rsid w:val="00797320"/>
    <w:rsid w:val="0079748D"/>
    <w:rsid w:val="007975CC"/>
    <w:rsid w:val="007975D1"/>
    <w:rsid w:val="007976FD"/>
    <w:rsid w:val="0079785F"/>
    <w:rsid w:val="007978AF"/>
    <w:rsid w:val="00797A97"/>
    <w:rsid w:val="00797BB7"/>
    <w:rsid w:val="00797BD5"/>
    <w:rsid w:val="00797DFB"/>
    <w:rsid w:val="00797EE0"/>
    <w:rsid w:val="00797EEE"/>
    <w:rsid w:val="007A00BF"/>
    <w:rsid w:val="007A0132"/>
    <w:rsid w:val="007A0205"/>
    <w:rsid w:val="007A02AE"/>
    <w:rsid w:val="007A02B9"/>
    <w:rsid w:val="007A0309"/>
    <w:rsid w:val="007A034E"/>
    <w:rsid w:val="007A036E"/>
    <w:rsid w:val="007A03E4"/>
    <w:rsid w:val="007A0506"/>
    <w:rsid w:val="007A05C9"/>
    <w:rsid w:val="007A0698"/>
    <w:rsid w:val="007A069E"/>
    <w:rsid w:val="007A0791"/>
    <w:rsid w:val="007A0882"/>
    <w:rsid w:val="007A08A3"/>
    <w:rsid w:val="007A0A3C"/>
    <w:rsid w:val="007A0A8C"/>
    <w:rsid w:val="007A0BF5"/>
    <w:rsid w:val="007A0CDE"/>
    <w:rsid w:val="007A0DBC"/>
    <w:rsid w:val="007A0DBF"/>
    <w:rsid w:val="007A0E35"/>
    <w:rsid w:val="007A0ED8"/>
    <w:rsid w:val="007A0F73"/>
    <w:rsid w:val="007A1091"/>
    <w:rsid w:val="007A1093"/>
    <w:rsid w:val="007A10B7"/>
    <w:rsid w:val="007A11F1"/>
    <w:rsid w:val="007A1239"/>
    <w:rsid w:val="007A1289"/>
    <w:rsid w:val="007A1307"/>
    <w:rsid w:val="007A13C1"/>
    <w:rsid w:val="007A13E7"/>
    <w:rsid w:val="007A1420"/>
    <w:rsid w:val="007A1595"/>
    <w:rsid w:val="007A1597"/>
    <w:rsid w:val="007A165A"/>
    <w:rsid w:val="007A1671"/>
    <w:rsid w:val="007A16E6"/>
    <w:rsid w:val="007A1759"/>
    <w:rsid w:val="007A17FC"/>
    <w:rsid w:val="007A184C"/>
    <w:rsid w:val="007A1977"/>
    <w:rsid w:val="007A19F7"/>
    <w:rsid w:val="007A1A27"/>
    <w:rsid w:val="007A1A29"/>
    <w:rsid w:val="007A1B0C"/>
    <w:rsid w:val="007A1BFD"/>
    <w:rsid w:val="007A1CEE"/>
    <w:rsid w:val="007A1DCF"/>
    <w:rsid w:val="007A1E25"/>
    <w:rsid w:val="007A1F13"/>
    <w:rsid w:val="007A2068"/>
    <w:rsid w:val="007A2253"/>
    <w:rsid w:val="007A2288"/>
    <w:rsid w:val="007A2357"/>
    <w:rsid w:val="007A2575"/>
    <w:rsid w:val="007A25C5"/>
    <w:rsid w:val="007A2736"/>
    <w:rsid w:val="007A27BD"/>
    <w:rsid w:val="007A2817"/>
    <w:rsid w:val="007A2880"/>
    <w:rsid w:val="007A2891"/>
    <w:rsid w:val="007A28BD"/>
    <w:rsid w:val="007A28E7"/>
    <w:rsid w:val="007A2980"/>
    <w:rsid w:val="007A2D50"/>
    <w:rsid w:val="007A2E32"/>
    <w:rsid w:val="007A2E79"/>
    <w:rsid w:val="007A3072"/>
    <w:rsid w:val="007A3122"/>
    <w:rsid w:val="007A3166"/>
    <w:rsid w:val="007A31DF"/>
    <w:rsid w:val="007A356F"/>
    <w:rsid w:val="007A366E"/>
    <w:rsid w:val="007A3927"/>
    <w:rsid w:val="007A3AC9"/>
    <w:rsid w:val="007A3C34"/>
    <w:rsid w:val="007A3C38"/>
    <w:rsid w:val="007A3CD0"/>
    <w:rsid w:val="007A3DB9"/>
    <w:rsid w:val="007A41BB"/>
    <w:rsid w:val="007A429F"/>
    <w:rsid w:val="007A4339"/>
    <w:rsid w:val="007A4461"/>
    <w:rsid w:val="007A4545"/>
    <w:rsid w:val="007A45F1"/>
    <w:rsid w:val="007A4814"/>
    <w:rsid w:val="007A482F"/>
    <w:rsid w:val="007A48F2"/>
    <w:rsid w:val="007A497B"/>
    <w:rsid w:val="007A49A2"/>
    <w:rsid w:val="007A4B70"/>
    <w:rsid w:val="007A4D02"/>
    <w:rsid w:val="007A4DB7"/>
    <w:rsid w:val="007A4E76"/>
    <w:rsid w:val="007A4EDC"/>
    <w:rsid w:val="007A5031"/>
    <w:rsid w:val="007A504D"/>
    <w:rsid w:val="007A5102"/>
    <w:rsid w:val="007A510C"/>
    <w:rsid w:val="007A5203"/>
    <w:rsid w:val="007A5263"/>
    <w:rsid w:val="007A5369"/>
    <w:rsid w:val="007A5476"/>
    <w:rsid w:val="007A5501"/>
    <w:rsid w:val="007A55E4"/>
    <w:rsid w:val="007A56DB"/>
    <w:rsid w:val="007A57E1"/>
    <w:rsid w:val="007A5945"/>
    <w:rsid w:val="007A5A7A"/>
    <w:rsid w:val="007A5B2C"/>
    <w:rsid w:val="007A5D67"/>
    <w:rsid w:val="007A5D7F"/>
    <w:rsid w:val="007A62D2"/>
    <w:rsid w:val="007A63D0"/>
    <w:rsid w:val="007A64E6"/>
    <w:rsid w:val="007A64FF"/>
    <w:rsid w:val="007A669B"/>
    <w:rsid w:val="007A66B7"/>
    <w:rsid w:val="007A66EA"/>
    <w:rsid w:val="007A6715"/>
    <w:rsid w:val="007A67FF"/>
    <w:rsid w:val="007A68A4"/>
    <w:rsid w:val="007A68D6"/>
    <w:rsid w:val="007A6B34"/>
    <w:rsid w:val="007A6B89"/>
    <w:rsid w:val="007A6C0E"/>
    <w:rsid w:val="007A6C73"/>
    <w:rsid w:val="007A6C92"/>
    <w:rsid w:val="007A6CDA"/>
    <w:rsid w:val="007A6D24"/>
    <w:rsid w:val="007A6D73"/>
    <w:rsid w:val="007A6DAD"/>
    <w:rsid w:val="007A6E39"/>
    <w:rsid w:val="007A6F1D"/>
    <w:rsid w:val="007A6FA0"/>
    <w:rsid w:val="007A71D9"/>
    <w:rsid w:val="007A71E1"/>
    <w:rsid w:val="007A75C2"/>
    <w:rsid w:val="007A75FF"/>
    <w:rsid w:val="007A76C5"/>
    <w:rsid w:val="007A76D4"/>
    <w:rsid w:val="007A773D"/>
    <w:rsid w:val="007A775D"/>
    <w:rsid w:val="007A792A"/>
    <w:rsid w:val="007A7938"/>
    <w:rsid w:val="007A794A"/>
    <w:rsid w:val="007A7A41"/>
    <w:rsid w:val="007A7A49"/>
    <w:rsid w:val="007A7AC7"/>
    <w:rsid w:val="007A7B4B"/>
    <w:rsid w:val="007A7B63"/>
    <w:rsid w:val="007A7D13"/>
    <w:rsid w:val="007A7E41"/>
    <w:rsid w:val="007A7F3A"/>
    <w:rsid w:val="007A7F60"/>
    <w:rsid w:val="007A7FC6"/>
    <w:rsid w:val="007B009B"/>
    <w:rsid w:val="007B0217"/>
    <w:rsid w:val="007B04FF"/>
    <w:rsid w:val="007B05F9"/>
    <w:rsid w:val="007B060D"/>
    <w:rsid w:val="007B0829"/>
    <w:rsid w:val="007B0946"/>
    <w:rsid w:val="007B09D2"/>
    <w:rsid w:val="007B0A23"/>
    <w:rsid w:val="007B0B2C"/>
    <w:rsid w:val="007B0BFB"/>
    <w:rsid w:val="007B0C5C"/>
    <w:rsid w:val="007B0C86"/>
    <w:rsid w:val="007B0C9B"/>
    <w:rsid w:val="007B0D4D"/>
    <w:rsid w:val="007B0F1C"/>
    <w:rsid w:val="007B0F56"/>
    <w:rsid w:val="007B114E"/>
    <w:rsid w:val="007B11A0"/>
    <w:rsid w:val="007B11E4"/>
    <w:rsid w:val="007B11EA"/>
    <w:rsid w:val="007B1276"/>
    <w:rsid w:val="007B12ED"/>
    <w:rsid w:val="007B13FD"/>
    <w:rsid w:val="007B1433"/>
    <w:rsid w:val="007B1470"/>
    <w:rsid w:val="007B1482"/>
    <w:rsid w:val="007B150D"/>
    <w:rsid w:val="007B1519"/>
    <w:rsid w:val="007B166E"/>
    <w:rsid w:val="007B16F1"/>
    <w:rsid w:val="007B173A"/>
    <w:rsid w:val="007B18D8"/>
    <w:rsid w:val="007B19CD"/>
    <w:rsid w:val="007B1AD2"/>
    <w:rsid w:val="007B1B5B"/>
    <w:rsid w:val="007B1B74"/>
    <w:rsid w:val="007B1BEB"/>
    <w:rsid w:val="007B1CDF"/>
    <w:rsid w:val="007B1D34"/>
    <w:rsid w:val="007B1D4B"/>
    <w:rsid w:val="007B1F14"/>
    <w:rsid w:val="007B1F2B"/>
    <w:rsid w:val="007B1FD2"/>
    <w:rsid w:val="007B1FEF"/>
    <w:rsid w:val="007B2006"/>
    <w:rsid w:val="007B215D"/>
    <w:rsid w:val="007B21AB"/>
    <w:rsid w:val="007B2255"/>
    <w:rsid w:val="007B22BD"/>
    <w:rsid w:val="007B2310"/>
    <w:rsid w:val="007B24B5"/>
    <w:rsid w:val="007B24E1"/>
    <w:rsid w:val="007B2521"/>
    <w:rsid w:val="007B253F"/>
    <w:rsid w:val="007B2683"/>
    <w:rsid w:val="007B26F3"/>
    <w:rsid w:val="007B2961"/>
    <w:rsid w:val="007B2A31"/>
    <w:rsid w:val="007B2A68"/>
    <w:rsid w:val="007B2C7C"/>
    <w:rsid w:val="007B2CF4"/>
    <w:rsid w:val="007B2DF0"/>
    <w:rsid w:val="007B2E0E"/>
    <w:rsid w:val="007B2EA3"/>
    <w:rsid w:val="007B2F17"/>
    <w:rsid w:val="007B2F62"/>
    <w:rsid w:val="007B2FAC"/>
    <w:rsid w:val="007B2FFD"/>
    <w:rsid w:val="007B30C7"/>
    <w:rsid w:val="007B310A"/>
    <w:rsid w:val="007B321C"/>
    <w:rsid w:val="007B32CD"/>
    <w:rsid w:val="007B3413"/>
    <w:rsid w:val="007B34AB"/>
    <w:rsid w:val="007B35F8"/>
    <w:rsid w:val="007B37AC"/>
    <w:rsid w:val="007B37B0"/>
    <w:rsid w:val="007B37F1"/>
    <w:rsid w:val="007B3856"/>
    <w:rsid w:val="007B38C2"/>
    <w:rsid w:val="007B3940"/>
    <w:rsid w:val="007B39EB"/>
    <w:rsid w:val="007B3A59"/>
    <w:rsid w:val="007B3A6A"/>
    <w:rsid w:val="007B3B11"/>
    <w:rsid w:val="007B3B37"/>
    <w:rsid w:val="007B3C0C"/>
    <w:rsid w:val="007B3C9D"/>
    <w:rsid w:val="007B3F12"/>
    <w:rsid w:val="007B3FD2"/>
    <w:rsid w:val="007B4000"/>
    <w:rsid w:val="007B4159"/>
    <w:rsid w:val="007B431E"/>
    <w:rsid w:val="007B4381"/>
    <w:rsid w:val="007B43A2"/>
    <w:rsid w:val="007B454A"/>
    <w:rsid w:val="007B47EB"/>
    <w:rsid w:val="007B495C"/>
    <w:rsid w:val="007B4E9A"/>
    <w:rsid w:val="007B4EEF"/>
    <w:rsid w:val="007B4F2A"/>
    <w:rsid w:val="007B4F80"/>
    <w:rsid w:val="007B5050"/>
    <w:rsid w:val="007B50AE"/>
    <w:rsid w:val="007B50D2"/>
    <w:rsid w:val="007B51D4"/>
    <w:rsid w:val="007B52D4"/>
    <w:rsid w:val="007B5449"/>
    <w:rsid w:val="007B5484"/>
    <w:rsid w:val="007B5601"/>
    <w:rsid w:val="007B562B"/>
    <w:rsid w:val="007B5649"/>
    <w:rsid w:val="007B57E3"/>
    <w:rsid w:val="007B5828"/>
    <w:rsid w:val="007B5862"/>
    <w:rsid w:val="007B58C6"/>
    <w:rsid w:val="007B58CD"/>
    <w:rsid w:val="007B58F4"/>
    <w:rsid w:val="007B5AAB"/>
    <w:rsid w:val="007B5ADE"/>
    <w:rsid w:val="007B5B0A"/>
    <w:rsid w:val="007B5B5D"/>
    <w:rsid w:val="007B5C54"/>
    <w:rsid w:val="007B5C68"/>
    <w:rsid w:val="007B5CA4"/>
    <w:rsid w:val="007B5D1A"/>
    <w:rsid w:val="007B5D2D"/>
    <w:rsid w:val="007B5F67"/>
    <w:rsid w:val="007B5FAC"/>
    <w:rsid w:val="007B5FF0"/>
    <w:rsid w:val="007B6068"/>
    <w:rsid w:val="007B60E9"/>
    <w:rsid w:val="007B6432"/>
    <w:rsid w:val="007B66EA"/>
    <w:rsid w:val="007B67C5"/>
    <w:rsid w:val="007B686F"/>
    <w:rsid w:val="007B69AA"/>
    <w:rsid w:val="007B69AC"/>
    <w:rsid w:val="007B6A8F"/>
    <w:rsid w:val="007B6B9D"/>
    <w:rsid w:val="007B6C49"/>
    <w:rsid w:val="007B6CDB"/>
    <w:rsid w:val="007B6DFB"/>
    <w:rsid w:val="007B6E74"/>
    <w:rsid w:val="007B6E8F"/>
    <w:rsid w:val="007B6EDA"/>
    <w:rsid w:val="007B6FD4"/>
    <w:rsid w:val="007B7216"/>
    <w:rsid w:val="007B72CC"/>
    <w:rsid w:val="007B730E"/>
    <w:rsid w:val="007B7322"/>
    <w:rsid w:val="007B7460"/>
    <w:rsid w:val="007B748D"/>
    <w:rsid w:val="007B74EE"/>
    <w:rsid w:val="007B750D"/>
    <w:rsid w:val="007B7741"/>
    <w:rsid w:val="007B7759"/>
    <w:rsid w:val="007B781D"/>
    <w:rsid w:val="007B78B2"/>
    <w:rsid w:val="007B7944"/>
    <w:rsid w:val="007B7953"/>
    <w:rsid w:val="007B7A99"/>
    <w:rsid w:val="007B7D0F"/>
    <w:rsid w:val="007B7DA7"/>
    <w:rsid w:val="007B7DB3"/>
    <w:rsid w:val="007B7E69"/>
    <w:rsid w:val="007B7E6C"/>
    <w:rsid w:val="007B7E91"/>
    <w:rsid w:val="007B7E9D"/>
    <w:rsid w:val="007B7EE3"/>
    <w:rsid w:val="007B7F15"/>
    <w:rsid w:val="007B7F95"/>
    <w:rsid w:val="007C0024"/>
    <w:rsid w:val="007C0152"/>
    <w:rsid w:val="007C0230"/>
    <w:rsid w:val="007C0240"/>
    <w:rsid w:val="007C028A"/>
    <w:rsid w:val="007C0551"/>
    <w:rsid w:val="007C084F"/>
    <w:rsid w:val="007C088C"/>
    <w:rsid w:val="007C08E7"/>
    <w:rsid w:val="007C08FA"/>
    <w:rsid w:val="007C09AF"/>
    <w:rsid w:val="007C09BD"/>
    <w:rsid w:val="007C0A2D"/>
    <w:rsid w:val="007C0A35"/>
    <w:rsid w:val="007C0B04"/>
    <w:rsid w:val="007C0BC3"/>
    <w:rsid w:val="007C0BEE"/>
    <w:rsid w:val="007C0C23"/>
    <w:rsid w:val="007C0C67"/>
    <w:rsid w:val="007C0CB0"/>
    <w:rsid w:val="007C0CD9"/>
    <w:rsid w:val="007C0DBC"/>
    <w:rsid w:val="007C0EA9"/>
    <w:rsid w:val="007C0FC8"/>
    <w:rsid w:val="007C117C"/>
    <w:rsid w:val="007C143B"/>
    <w:rsid w:val="007C14E2"/>
    <w:rsid w:val="007C157B"/>
    <w:rsid w:val="007C15AE"/>
    <w:rsid w:val="007C15D2"/>
    <w:rsid w:val="007C161C"/>
    <w:rsid w:val="007C16EB"/>
    <w:rsid w:val="007C1810"/>
    <w:rsid w:val="007C1857"/>
    <w:rsid w:val="007C18F9"/>
    <w:rsid w:val="007C192A"/>
    <w:rsid w:val="007C1A40"/>
    <w:rsid w:val="007C1A48"/>
    <w:rsid w:val="007C1B0A"/>
    <w:rsid w:val="007C1B61"/>
    <w:rsid w:val="007C1BAB"/>
    <w:rsid w:val="007C1DBC"/>
    <w:rsid w:val="007C1E4E"/>
    <w:rsid w:val="007C1E79"/>
    <w:rsid w:val="007C20C0"/>
    <w:rsid w:val="007C20FF"/>
    <w:rsid w:val="007C2229"/>
    <w:rsid w:val="007C2736"/>
    <w:rsid w:val="007C278C"/>
    <w:rsid w:val="007C280C"/>
    <w:rsid w:val="007C2901"/>
    <w:rsid w:val="007C2919"/>
    <w:rsid w:val="007C2A97"/>
    <w:rsid w:val="007C2C34"/>
    <w:rsid w:val="007C2D5D"/>
    <w:rsid w:val="007C2EFD"/>
    <w:rsid w:val="007C2F6D"/>
    <w:rsid w:val="007C317D"/>
    <w:rsid w:val="007C3249"/>
    <w:rsid w:val="007C3334"/>
    <w:rsid w:val="007C34BC"/>
    <w:rsid w:val="007C3585"/>
    <w:rsid w:val="007C3612"/>
    <w:rsid w:val="007C36B9"/>
    <w:rsid w:val="007C3821"/>
    <w:rsid w:val="007C399E"/>
    <w:rsid w:val="007C39D3"/>
    <w:rsid w:val="007C3A11"/>
    <w:rsid w:val="007C3B5F"/>
    <w:rsid w:val="007C3C03"/>
    <w:rsid w:val="007C3C27"/>
    <w:rsid w:val="007C3C2D"/>
    <w:rsid w:val="007C3CBC"/>
    <w:rsid w:val="007C3D8E"/>
    <w:rsid w:val="007C3ECD"/>
    <w:rsid w:val="007C4165"/>
    <w:rsid w:val="007C418B"/>
    <w:rsid w:val="007C438D"/>
    <w:rsid w:val="007C442C"/>
    <w:rsid w:val="007C4491"/>
    <w:rsid w:val="007C45B1"/>
    <w:rsid w:val="007C482B"/>
    <w:rsid w:val="007C4B0A"/>
    <w:rsid w:val="007C4B2A"/>
    <w:rsid w:val="007C4B78"/>
    <w:rsid w:val="007C4D11"/>
    <w:rsid w:val="007C4D62"/>
    <w:rsid w:val="007C4D82"/>
    <w:rsid w:val="007C4E03"/>
    <w:rsid w:val="007C506B"/>
    <w:rsid w:val="007C516A"/>
    <w:rsid w:val="007C51E6"/>
    <w:rsid w:val="007C5244"/>
    <w:rsid w:val="007C5351"/>
    <w:rsid w:val="007C53CC"/>
    <w:rsid w:val="007C555B"/>
    <w:rsid w:val="007C55B8"/>
    <w:rsid w:val="007C5619"/>
    <w:rsid w:val="007C57E5"/>
    <w:rsid w:val="007C591F"/>
    <w:rsid w:val="007C59B3"/>
    <w:rsid w:val="007C5A06"/>
    <w:rsid w:val="007C5AE6"/>
    <w:rsid w:val="007C5B3C"/>
    <w:rsid w:val="007C5B65"/>
    <w:rsid w:val="007C5BEA"/>
    <w:rsid w:val="007C5CE0"/>
    <w:rsid w:val="007C5EC2"/>
    <w:rsid w:val="007C5FBC"/>
    <w:rsid w:val="007C5FC4"/>
    <w:rsid w:val="007C6061"/>
    <w:rsid w:val="007C6069"/>
    <w:rsid w:val="007C616B"/>
    <w:rsid w:val="007C61DE"/>
    <w:rsid w:val="007C62A8"/>
    <w:rsid w:val="007C6331"/>
    <w:rsid w:val="007C6544"/>
    <w:rsid w:val="007C655E"/>
    <w:rsid w:val="007C6562"/>
    <w:rsid w:val="007C664A"/>
    <w:rsid w:val="007C6669"/>
    <w:rsid w:val="007C6731"/>
    <w:rsid w:val="007C676E"/>
    <w:rsid w:val="007C6842"/>
    <w:rsid w:val="007C6845"/>
    <w:rsid w:val="007C6872"/>
    <w:rsid w:val="007C69EE"/>
    <w:rsid w:val="007C6A65"/>
    <w:rsid w:val="007C6AB5"/>
    <w:rsid w:val="007C6AFC"/>
    <w:rsid w:val="007C6BC4"/>
    <w:rsid w:val="007C6BF2"/>
    <w:rsid w:val="007C6C41"/>
    <w:rsid w:val="007C6D2A"/>
    <w:rsid w:val="007C6DA4"/>
    <w:rsid w:val="007C6E57"/>
    <w:rsid w:val="007C6FA7"/>
    <w:rsid w:val="007C6FCB"/>
    <w:rsid w:val="007C7097"/>
    <w:rsid w:val="007C70B6"/>
    <w:rsid w:val="007C70BE"/>
    <w:rsid w:val="007C73BE"/>
    <w:rsid w:val="007C7405"/>
    <w:rsid w:val="007C75A9"/>
    <w:rsid w:val="007C77F1"/>
    <w:rsid w:val="007C78EF"/>
    <w:rsid w:val="007C790D"/>
    <w:rsid w:val="007C79EC"/>
    <w:rsid w:val="007C7A37"/>
    <w:rsid w:val="007C7A70"/>
    <w:rsid w:val="007C7B9F"/>
    <w:rsid w:val="007C7C1F"/>
    <w:rsid w:val="007C7C3C"/>
    <w:rsid w:val="007C7D2F"/>
    <w:rsid w:val="007C7DC1"/>
    <w:rsid w:val="007C7EE6"/>
    <w:rsid w:val="007D000A"/>
    <w:rsid w:val="007D0147"/>
    <w:rsid w:val="007D01A5"/>
    <w:rsid w:val="007D0262"/>
    <w:rsid w:val="007D02C7"/>
    <w:rsid w:val="007D0347"/>
    <w:rsid w:val="007D03A7"/>
    <w:rsid w:val="007D0410"/>
    <w:rsid w:val="007D048C"/>
    <w:rsid w:val="007D04B4"/>
    <w:rsid w:val="007D050A"/>
    <w:rsid w:val="007D054F"/>
    <w:rsid w:val="007D05EA"/>
    <w:rsid w:val="007D0705"/>
    <w:rsid w:val="007D0764"/>
    <w:rsid w:val="007D078C"/>
    <w:rsid w:val="007D07CE"/>
    <w:rsid w:val="007D0823"/>
    <w:rsid w:val="007D08FC"/>
    <w:rsid w:val="007D098E"/>
    <w:rsid w:val="007D0A1D"/>
    <w:rsid w:val="007D0A9C"/>
    <w:rsid w:val="007D0AD0"/>
    <w:rsid w:val="007D0CD2"/>
    <w:rsid w:val="007D0D4C"/>
    <w:rsid w:val="007D0D57"/>
    <w:rsid w:val="007D0D87"/>
    <w:rsid w:val="007D0DE6"/>
    <w:rsid w:val="007D0E01"/>
    <w:rsid w:val="007D0E84"/>
    <w:rsid w:val="007D0ED2"/>
    <w:rsid w:val="007D0EE8"/>
    <w:rsid w:val="007D0FBD"/>
    <w:rsid w:val="007D10C3"/>
    <w:rsid w:val="007D10FC"/>
    <w:rsid w:val="007D110D"/>
    <w:rsid w:val="007D117A"/>
    <w:rsid w:val="007D11FB"/>
    <w:rsid w:val="007D130E"/>
    <w:rsid w:val="007D1375"/>
    <w:rsid w:val="007D1377"/>
    <w:rsid w:val="007D13B8"/>
    <w:rsid w:val="007D1492"/>
    <w:rsid w:val="007D15C5"/>
    <w:rsid w:val="007D15D1"/>
    <w:rsid w:val="007D16C5"/>
    <w:rsid w:val="007D1A47"/>
    <w:rsid w:val="007D1A90"/>
    <w:rsid w:val="007D1ABD"/>
    <w:rsid w:val="007D1CAC"/>
    <w:rsid w:val="007D1CC5"/>
    <w:rsid w:val="007D1D13"/>
    <w:rsid w:val="007D1D4F"/>
    <w:rsid w:val="007D1D57"/>
    <w:rsid w:val="007D1D64"/>
    <w:rsid w:val="007D1D94"/>
    <w:rsid w:val="007D1E7D"/>
    <w:rsid w:val="007D1F38"/>
    <w:rsid w:val="007D1F39"/>
    <w:rsid w:val="007D209E"/>
    <w:rsid w:val="007D2167"/>
    <w:rsid w:val="007D21AB"/>
    <w:rsid w:val="007D23B6"/>
    <w:rsid w:val="007D23C4"/>
    <w:rsid w:val="007D23F8"/>
    <w:rsid w:val="007D2412"/>
    <w:rsid w:val="007D245B"/>
    <w:rsid w:val="007D250A"/>
    <w:rsid w:val="007D26B4"/>
    <w:rsid w:val="007D26D3"/>
    <w:rsid w:val="007D2749"/>
    <w:rsid w:val="007D275A"/>
    <w:rsid w:val="007D288E"/>
    <w:rsid w:val="007D2B20"/>
    <w:rsid w:val="007D2B33"/>
    <w:rsid w:val="007D2B9D"/>
    <w:rsid w:val="007D2BE0"/>
    <w:rsid w:val="007D2C5C"/>
    <w:rsid w:val="007D2D2C"/>
    <w:rsid w:val="007D2D9F"/>
    <w:rsid w:val="007D2DCE"/>
    <w:rsid w:val="007D2DF9"/>
    <w:rsid w:val="007D2E5B"/>
    <w:rsid w:val="007D2EF7"/>
    <w:rsid w:val="007D2FCF"/>
    <w:rsid w:val="007D3001"/>
    <w:rsid w:val="007D3031"/>
    <w:rsid w:val="007D31B5"/>
    <w:rsid w:val="007D32F0"/>
    <w:rsid w:val="007D33A6"/>
    <w:rsid w:val="007D3465"/>
    <w:rsid w:val="007D3476"/>
    <w:rsid w:val="007D359C"/>
    <w:rsid w:val="007D3681"/>
    <w:rsid w:val="007D3892"/>
    <w:rsid w:val="007D395B"/>
    <w:rsid w:val="007D3A5F"/>
    <w:rsid w:val="007D3AC9"/>
    <w:rsid w:val="007D3ADF"/>
    <w:rsid w:val="007D3BCC"/>
    <w:rsid w:val="007D3CB5"/>
    <w:rsid w:val="007D3E7A"/>
    <w:rsid w:val="007D3E8B"/>
    <w:rsid w:val="007D3EB6"/>
    <w:rsid w:val="007D4276"/>
    <w:rsid w:val="007D42C2"/>
    <w:rsid w:val="007D42E5"/>
    <w:rsid w:val="007D44BA"/>
    <w:rsid w:val="007D4608"/>
    <w:rsid w:val="007D460F"/>
    <w:rsid w:val="007D4639"/>
    <w:rsid w:val="007D46A2"/>
    <w:rsid w:val="007D46A5"/>
    <w:rsid w:val="007D47E3"/>
    <w:rsid w:val="007D480D"/>
    <w:rsid w:val="007D4CA1"/>
    <w:rsid w:val="007D4D66"/>
    <w:rsid w:val="007D4D79"/>
    <w:rsid w:val="007D4E21"/>
    <w:rsid w:val="007D4F0C"/>
    <w:rsid w:val="007D4FE0"/>
    <w:rsid w:val="007D515F"/>
    <w:rsid w:val="007D51F9"/>
    <w:rsid w:val="007D528F"/>
    <w:rsid w:val="007D5296"/>
    <w:rsid w:val="007D53DF"/>
    <w:rsid w:val="007D53E8"/>
    <w:rsid w:val="007D53EE"/>
    <w:rsid w:val="007D5463"/>
    <w:rsid w:val="007D55FB"/>
    <w:rsid w:val="007D5771"/>
    <w:rsid w:val="007D57BA"/>
    <w:rsid w:val="007D589A"/>
    <w:rsid w:val="007D5903"/>
    <w:rsid w:val="007D590C"/>
    <w:rsid w:val="007D59AE"/>
    <w:rsid w:val="007D5A54"/>
    <w:rsid w:val="007D5B02"/>
    <w:rsid w:val="007D5B72"/>
    <w:rsid w:val="007D5C07"/>
    <w:rsid w:val="007D5CA1"/>
    <w:rsid w:val="007D5D19"/>
    <w:rsid w:val="007D5D1A"/>
    <w:rsid w:val="007D5EB6"/>
    <w:rsid w:val="007D5FA2"/>
    <w:rsid w:val="007D60B2"/>
    <w:rsid w:val="007D60FD"/>
    <w:rsid w:val="007D611C"/>
    <w:rsid w:val="007D616C"/>
    <w:rsid w:val="007D61E4"/>
    <w:rsid w:val="007D6281"/>
    <w:rsid w:val="007D631B"/>
    <w:rsid w:val="007D6356"/>
    <w:rsid w:val="007D663F"/>
    <w:rsid w:val="007D6699"/>
    <w:rsid w:val="007D67E2"/>
    <w:rsid w:val="007D686C"/>
    <w:rsid w:val="007D688E"/>
    <w:rsid w:val="007D68EF"/>
    <w:rsid w:val="007D69B9"/>
    <w:rsid w:val="007D6A62"/>
    <w:rsid w:val="007D6B3C"/>
    <w:rsid w:val="007D6D43"/>
    <w:rsid w:val="007D6FA1"/>
    <w:rsid w:val="007D6FAC"/>
    <w:rsid w:val="007D710A"/>
    <w:rsid w:val="007D7204"/>
    <w:rsid w:val="007D7302"/>
    <w:rsid w:val="007D737D"/>
    <w:rsid w:val="007D75DA"/>
    <w:rsid w:val="007D75F8"/>
    <w:rsid w:val="007D771F"/>
    <w:rsid w:val="007D7729"/>
    <w:rsid w:val="007D79DE"/>
    <w:rsid w:val="007D7A35"/>
    <w:rsid w:val="007D7AA9"/>
    <w:rsid w:val="007D7B9F"/>
    <w:rsid w:val="007D7C2A"/>
    <w:rsid w:val="007D7E05"/>
    <w:rsid w:val="007D7E1F"/>
    <w:rsid w:val="007D7EA8"/>
    <w:rsid w:val="007D7EF8"/>
    <w:rsid w:val="007D7FE5"/>
    <w:rsid w:val="007E0078"/>
    <w:rsid w:val="007E00B0"/>
    <w:rsid w:val="007E0129"/>
    <w:rsid w:val="007E015A"/>
    <w:rsid w:val="007E019F"/>
    <w:rsid w:val="007E01DA"/>
    <w:rsid w:val="007E01EF"/>
    <w:rsid w:val="007E028B"/>
    <w:rsid w:val="007E03FF"/>
    <w:rsid w:val="007E04CF"/>
    <w:rsid w:val="007E0535"/>
    <w:rsid w:val="007E0590"/>
    <w:rsid w:val="007E05AB"/>
    <w:rsid w:val="007E0739"/>
    <w:rsid w:val="007E07B7"/>
    <w:rsid w:val="007E0837"/>
    <w:rsid w:val="007E0844"/>
    <w:rsid w:val="007E0993"/>
    <w:rsid w:val="007E09B8"/>
    <w:rsid w:val="007E09DF"/>
    <w:rsid w:val="007E0B81"/>
    <w:rsid w:val="007E0BF0"/>
    <w:rsid w:val="007E0C7B"/>
    <w:rsid w:val="007E0D89"/>
    <w:rsid w:val="007E0DA6"/>
    <w:rsid w:val="007E0E31"/>
    <w:rsid w:val="007E0F28"/>
    <w:rsid w:val="007E101A"/>
    <w:rsid w:val="007E101D"/>
    <w:rsid w:val="007E10F0"/>
    <w:rsid w:val="007E1104"/>
    <w:rsid w:val="007E13F7"/>
    <w:rsid w:val="007E149A"/>
    <w:rsid w:val="007E14CD"/>
    <w:rsid w:val="007E1583"/>
    <w:rsid w:val="007E15C8"/>
    <w:rsid w:val="007E1698"/>
    <w:rsid w:val="007E16A7"/>
    <w:rsid w:val="007E16F1"/>
    <w:rsid w:val="007E192D"/>
    <w:rsid w:val="007E1A27"/>
    <w:rsid w:val="007E1A3F"/>
    <w:rsid w:val="007E1AB4"/>
    <w:rsid w:val="007E1D4E"/>
    <w:rsid w:val="007E1D65"/>
    <w:rsid w:val="007E1DB8"/>
    <w:rsid w:val="007E20F0"/>
    <w:rsid w:val="007E232C"/>
    <w:rsid w:val="007E237B"/>
    <w:rsid w:val="007E23FC"/>
    <w:rsid w:val="007E2495"/>
    <w:rsid w:val="007E24B8"/>
    <w:rsid w:val="007E24F3"/>
    <w:rsid w:val="007E25A5"/>
    <w:rsid w:val="007E26B9"/>
    <w:rsid w:val="007E2700"/>
    <w:rsid w:val="007E2796"/>
    <w:rsid w:val="007E2A5A"/>
    <w:rsid w:val="007E2AA0"/>
    <w:rsid w:val="007E2C16"/>
    <w:rsid w:val="007E2CC5"/>
    <w:rsid w:val="007E2D10"/>
    <w:rsid w:val="007E2D70"/>
    <w:rsid w:val="007E2EBE"/>
    <w:rsid w:val="007E2EC4"/>
    <w:rsid w:val="007E3056"/>
    <w:rsid w:val="007E30B7"/>
    <w:rsid w:val="007E30BA"/>
    <w:rsid w:val="007E32EA"/>
    <w:rsid w:val="007E3354"/>
    <w:rsid w:val="007E3371"/>
    <w:rsid w:val="007E3416"/>
    <w:rsid w:val="007E34CC"/>
    <w:rsid w:val="007E3575"/>
    <w:rsid w:val="007E35C1"/>
    <w:rsid w:val="007E35FD"/>
    <w:rsid w:val="007E3630"/>
    <w:rsid w:val="007E363A"/>
    <w:rsid w:val="007E3659"/>
    <w:rsid w:val="007E3691"/>
    <w:rsid w:val="007E3731"/>
    <w:rsid w:val="007E3791"/>
    <w:rsid w:val="007E3863"/>
    <w:rsid w:val="007E3876"/>
    <w:rsid w:val="007E3905"/>
    <w:rsid w:val="007E3950"/>
    <w:rsid w:val="007E397B"/>
    <w:rsid w:val="007E3988"/>
    <w:rsid w:val="007E39A7"/>
    <w:rsid w:val="007E3A4C"/>
    <w:rsid w:val="007E3A69"/>
    <w:rsid w:val="007E3A6D"/>
    <w:rsid w:val="007E3B0D"/>
    <w:rsid w:val="007E3B28"/>
    <w:rsid w:val="007E3C55"/>
    <w:rsid w:val="007E3D75"/>
    <w:rsid w:val="007E3E84"/>
    <w:rsid w:val="007E3F59"/>
    <w:rsid w:val="007E4084"/>
    <w:rsid w:val="007E427D"/>
    <w:rsid w:val="007E4350"/>
    <w:rsid w:val="007E4356"/>
    <w:rsid w:val="007E446C"/>
    <w:rsid w:val="007E4540"/>
    <w:rsid w:val="007E458A"/>
    <w:rsid w:val="007E4613"/>
    <w:rsid w:val="007E4623"/>
    <w:rsid w:val="007E47AA"/>
    <w:rsid w:val="007E49C2"/>
    <w:rsid w:val="007E4AC1"/>
    <w:rsid w:val="007E4B18"/>
    <w:rsid w:val="007E4DD3"/>
    <w:rsid w:val="007E4DEB"/>
    <w:rsid w:val="007E4E06"/>
    <w:rsid w:val="007E4E72"/>
    <w:rsid w:val="007E4EAE"/>
    <w:rsid w:val="007E4F3B"/>
    <w:rsid w:val="007E4F47"/>
    <w:rsid w:val="007E4FDD"/>
    <w:rsid w:val="007E5061"/>
    <w:rsid w:val="007E5088"/>
    <w:rsid w:val="007E50F2"/>
    <w:rsid w:val="007E5211"/>
    <w:rsid w:val="007E527D"/>
    <w:rsid w:val="007E52A9"/>
    <w:rsid w:val="007E52E0"/>
    <w:rsid w:val="007E53A2"/>
    <w:rsid w:val="007E5456"/>
    <w:rsid w:val="007E554E"/>
    <w:rsid w:val="007E570D"/>
    <w:rsid w:val="007E58A4"/>
    <w:rsid w:val="007E5AE6"/>
    <w:rsid w:val="007E5B94"/>
    <w:rsid w:val="007E5C6D"/>
    <w:rsid w:val="007E5D21"/>
    <w:rsid w:val="007E5D51"/>
    <w:rsid w:val="007E5D62"/>
    <w:rsid w:val="007E5DF7"/>
    <w:rsid w:val="007E5F5D"/>
    <w:rsid w:val="007E6120"/>
    <w:rsid w:val="007E6122"/>
    <w:rsid w:val="007E619F"/>
    <w:rsid w:val="007E61F2"/>
    <w:rsid w:val="007E63BA"/>
    <w:rsid w:val="007E6583"/>
    <w:rsid w:val="007E6626"/>
    <w:rsid w:val="007E6676"/>
    <w:rsid w:val="007E6775"/>
    <w:rsid w:val="007E6816"/>
    <w:rsid w:val="007E6837"/>
    <w:rsid w:val="007E68DB"/>
    <w:rsid w:val="007E694D"/>
    <w:rsid w:val="007E6980"/>
    <w:rsid w:val="007E6A4E"/>
    <w:rsid w:val="007E6C71"/>
    <w:rsid w:val="007E6D10"/>
    <w:rsid w:val="007E6EB8"/>
    <w:rsid w:val="007E6ED7"/>
    <w:rsid w:val="007E6F6C"/>
    <w:rsid w:val="007E6F84"/>
    <w:rsid w:val="007E6FC5"/>
    <w:rsid w:val="007E7040"/>
    <w:rsid w:val="007E707A"/>
    <w:rsid w:val="007E70DB"/>
    <w:rsid w:val="007E7117"/>
    <w:rsid w:val="007E7118"/>
    <w:rsid w:val="007E7342"/>
    <w:rsid w:val="007E73EC"/>
    <w:rsid w:val="007E7471"/>
    <w:rsid w:val="007E74E2"/>
    <w:rsid w:val="007E767D"/>
    <w:rsid w:val="007E77A7"/>
    <w:rsid w:val="007E77B0"/>
    <w:rsid w:val="007E77EB"/>
    <w:rsid w:val="007E79D0"/>
    <w:rsid w:val="007E7A22"/>
    <w:rsid w:val="007E7D1C"/>
    <w:rsid w:val="007E7D35"/>
    <w:rsid w:val="007E7DB0"/>
    <w:rsid w:val="007E7DE7"/>
    <w:rsid w:val="007E7DF3"/>
    <w:rsid w:val="007E7E18"/>
    <w:rsid w:val="007E7E41"/>
    <w:rsid w:val="007E7EAE"/>
    <w:rsid w:val="007E7EB9"/>
    <w:rsid w:val="007E7F43"/>
    <w:rsid w:val="007E7F4A"/>
    <w:rsid w:val="007E7FD6"/>
    <w:rsid w:val="007E7FE1"/>
    <w:rsid w:val="007F0151"/>
    <w:rsid w:val="007F0160"/>
    <w:rsid w:val="007F01FD"/>
    <w:rsid w:val="007F0208"/>
    <w:rsid w:val="007F0261"/>
    <w:rsid w:val="007F03D2"/>
    <w:rsid w:val="007F045F"/>
    <w:rsid w:val="007F0488"/>
    <w:rsid w:val="007F0500"/>
    <w:rsid w:val="007F068E"/>
    <w:rsid w:val="007F0697"/>
    <w:rsid w:val="007F0773"/>
    <w:rsid w:val="007F07EB"/>
    <w:rsid w:val="007F0814"/>
    <w:rsid w:val="007F0985"/>
    <w:rsid w:val="007F0B51"/>
    <w:rsid w:val="007F0BCE"/>
    <w:rsid w:val="007F0BF0"/>
    <w:rsid w:val="007F0DEA"/>
    <w:rsid w:val="007F0E94"/>
    <w:rsid w:val="007F0F1C"/>
    <w:rsid w:val="007F1092"/>
    <w:rsid w:val="007F10A5"/>
    <w:rsid w:val="007F11B1"/>
    <w:rsid w:val="007F12C8"/>
    <w:rsid w:val="007F1306"/>
    <w:rsid w:val="007F1375"/>
    <w:rsid w:val="007F14E9"/>
    <w:rsid w:val="007F1502"/>
    <w:rsid w:val="007F1503"/>
    <w:rsid w:val="007F165C"/>
    <w:rsid w:val="007F1783"/>
    <w:rsid w:val="007F1863"/>
    <w:rsid w:val="007F18B8"/>
    <w:rsid w:val="007F18D4"/>
    <w:rsid w:val="007F198C"/>
    <w:rsid w:val="007F1A68"/>
    <w:rsid w:val="007F1A73"/>
    <w:rsid w:val="007F1AFB"/>
    <w:rsid w:val="007F1C40"/>
    <w:rsid w:val="007F1CB1"/>
    <w:rsid w:val="007F1CBA"/>
    <w:rsid w:val="007F1CE6"/>
    <w:rsid w:val="007F1CF1"/>
    <w:rsid w:val="007F1D39"/>
    <w:rsid w:val="007F1D6F"/>
    <w:rsid w:val="007F1ED7"/>
    <w:rsid w:val="007F20BE"/>
    <w:rsid w:val="007F21A1"/>
    <w:rsid w:val="007F21E4"/>
    <w:rsid w:val="007F21F9"/>
    <w:rsid w:val="007F2222"/>
    <w:rsid w:val="007F2274"/>
    <w:rsid w:val="007F2297"/>
    <w:rsid w:val="007F22E7"/>
    <w:rsid w:val="007F2321"/>
    <w:rsid w:val="007F24CE"/>
    <w:rsid w:val="007F255B"/>
    <w:rsid w:val="007F25FC"/>
    <w:rsid w:val="007F27AA"/>
    <w:rsid w:val="007F27DA"/>
    <w:rsid w:val="007F285D"/>
    <w:rsid w:val="007F2945"/>
    <w:rsid w:val="007F296F"/>
    <w:rsid w:val="007F2972"/>
    <w:rsid w:val="007F2B9D"/>
    <w:rsid w:val="007F2CB2"/>
    <w:rsid w:val="007F2EB0"/>
    <w:rsid w:val="007F2EBC"/>
    <w:rsid w:val="007F2F18"/>
    <w:rsid w:val="007F2FC2"/>
    <w:rsid w:val="007F2FF2"/>
    <w:rsid w:val="007F303D"/>
    <w:rsid w:val="007F31CB"/>
    <w:rsid w:val="007F31F7"/>
    <w:rsid w:val="007F336F"/>
    <w:rsid w:val="007F3377"/>
    <w:rsid w:val="007F338F"/>
    <w:rsid w:val="007F33E7"/>
    <w:rsid w:val="007F342F"/>
    <w:rsid w:val="007F3454"/>
    <w:rsid w:val="007F34DD"/>
    <w:rsid w:val="007F3504"/>
    <w:rsid w:val="007F35DB"/>
    <w:rsid w:val="007F369C"/>
    <w:rsid w:val="007F38C7"/>
    <w:rsid w:val="007F3999"/>
    <w:rsid w:val="007F3AE0"/>
    <w:rsid w:val="007F3BDE"/>
    <w:rsid w:val="007F3C63"/>
    <w:rsid w:val="007F3D40"/>
    <w:rsid w:val="007F3E0A"/>
    <w:rsid w:val="007F3E72"/>
    <w:rsid w:val="007F3EC2"/>
    <w:rsid w:val="007F3ED7"/>
    <w:rsid w:val="007F4037"/>
    <w:rsid w:val="007F4160"/>
    <w:rsid w:val="007F417B"/>
    <w:rsid w:val="007F41E4"/>
    <w:rsid w:val="007F427D"/>
    <w:rsid w:val="007F42C8"/>
    <w:rsid w:val="007F437E"/>
    <w:rsid w:val="007F4413"/>
    <w:rsid w:val="007F45D6"/>
    <w:rsid w:val="007F4800"/>
    <w:rsid w:val="007F4935"/>
    <w:rsid w:val="007F4974"/>
    <w:rsid w:val="007F4ADB"/>
    <w:rsid w:val="007F4B28"/>
    <w:rsid w:val="007F4BAF"/>
    <w:rsid w:val="007F4CDC"/>
    <w:rsid w:val="007F4D36"/>
    <w:rsid w:val="007F4D9C"/>
    <w:rsid w:val="007F4DEC"/>
    <w:rsid w:val="007F4E6D"/>
    <w:rsid w:val="007F4EDC"/>
    <w:rsid w:val="007F4EE5"/>
    <w:rsid w:val="007F4F00"/>
    <w:rsid w:val="007F508E"/>
    <w:rsid w:val="007F5108"/>
    <w:rsid w:val="007F519E"/>
    <w:rsid w:val="007F51FF"/>
    <w:rsid w:val="007F52DA"/>
    <w:rsid w:val="007F536D"/>
    <w:rsid w:val="007F556E"/>
    <w:rsid w:val="007F56CD"/>
    <w:rsid w:val="007F5743"/>
    <w:rsid w:val="007F575B"/>
    <w:rsid w:val="007F5837"/>
    <w:rsid w:val="007F5853"/>
    <w:rsid w:val="007F58C6"/>
    <w:rsid w:val="007F59CB"/>
    <w:rsid w:val="007F5A64"/>
    <w:rsid w:val="007F5A75"/>
    <w:rsid w:val="007F5ABF"/>
    <w:rsid w:val="007F5AE2"/>
    <w:rsid w:val="007F5D3A"/>
    <w:rsid w:val="007F5DC9"/>
    <w:rsid w:val="007F5DF6"/>
    <w:rsid w:val="007F5E3E"/>
    <w:rsid w:val="007F5E51"/>
    <w:rsid w:val="007F5E9F"/>
    <w:rsid w:val="007F5F46"/>
    <w:rsid w:val="007F5F69"/>
    <w:rsid w:val="007F6161"/>
    <w:rsid w:val="007F6351"/>
    <w:rsid w:val="007F6408"/>
    <w:rsid w:val="007F643E"/>
    <w:rsid w:val="007F6468"/>
    <w:rsid w:val="007F66D2"/>
    <w:rsid w:val="007F6795"/>
    <w:rsid w:val="007F67B0"/>
    <w:rsid w:val="007F68AD"/>
    <w:rsid w:val="007F691B"/>
    <w:rsid w:val="007F6953"/>
    <w:rsid w:val="007F69B0"/>
    <w:rsid w:val="007F69BB"/>
    <w:rsid w:val="007F6ADD"/>
    <w:rsid w:val="007F6AF6"/>
    <w:rsid w:val="007F6B9A"/>
    <w:rsid w:val="007F6BA6"/>
    <w:rsid w:val="007F6C31"/>
    <w:rsid w:val="007F6CC8"/>
    <w:rsid w:val="007F6D4A"/>
    <w:rsid w:val="007F6DE6"/>
    <w:rsid w:val="007F6E7C"/>
    <w:rsid w:val="007F6EA5"/>
    <w:rsid w:val="007F6FA7"/>
    <w:rsid w:val="007F7115"/>
    <w:rsid w:val="007F718D"/>
    <w:rsid w:val="007F71DF"/>
    <w:rsid w:val="007F73A7"/>
    <w:rsid w:val="007F73AC"/>
    <w:rsid w:val="007F744F"/>
    <w:rsid w:val="007F74AC"/>
    <w:rsid w:val="007F7613"/>
    <w:rsid w:val="007F762B"/>
    <w:rsid w:val="007F768A"/>
    <w:rsid w:val="007F771D"/>
    <w:rsid w:val="007F773C"/>
    <w:rsid w:val="007F77EC"/>
    <w:rsid w:val="007F7808"/>
    <w:rsid w:val="007F78EF"/>
    <w:rsid w:val="007F79FB"/>
    <w:rsid w:val="007F7A27"/>
    <w:rsid w:val="007F7A95"/>
    <w:rsid w:val="007F7AE0"/>
    <w:rsid w:val="007F7BBB"/>
    <w:rsid w:val="007F7C16"/>
    <w:rsid w:val="007F7C2E"/>
    <w:rsid w:val="007F7CC9"/>
    <w:rsid w:val="007F7EA0"/>
    <w:rsid w:val="007F7ED8"/>
    <w:rsid w:val="007F7F20"/>
    <w:rsid w:val="00800032"/>
    <w:rsid w:val="008000AD"/>
    <w:rsid w:val="008000AE"/>
    <w:rsid w:val="00800142"/>
    <w:rsid w:val="008001B5"/>
    <w:rsid w:val="008001FA"/>
    <w:rsid w:val="00800392"/>
    <w:rsid w:val="0080049E"/>
    <w:rsid w:val="0080053A"/>
    <w:rsid w:val="0080058B"/>
    <w:rsid w:val="0080071B"/>
    <w:rsid w:val="008008B3"/>
    <w:rsid w:val="008009D1"/>
    <w:rsid w:val="00800A00"/>
    <w:rsid w:val="00800BC4"/>
    <w:rsid w:val="00800CD7"/>
    <w:rsid w:val="00800CE8"/>
    <w:rsid w:val="00800E19"/>
    <w:rsid w:val="00800E9D"/>
    <w:rsid w:val="00800F1A"/>
    <w:rsid w:val="00800F47"/>
    <w:rsid w:val="00800F66"/>
    <w:rsid w:val="00800F7B"/>
    <w:rsid w:val="0080103B"/>
    <w:rsid w:val="008013F4"/>
    <w:rsid w:val="00801434"/>
    <w:rsid w:val="0080154D"/>
    <w:rsid w:val="0080161B"/>
    <w:rsid w:val="00801763"/>
    <w:rsid w:val="008017AA"/>
    <w:rsid w:val="008017C4"/>
    <w:rsid w:val="0080188C"/>
    <w:rsid w:val="008019B2"/>
    <w:rsid w:val="00801B3C"/>
    <w:rsid w:val="00801BB7"/>
    <w:rsid w:val="00801E57"/>
    <w:rsid w:val="00801ECA"/>
    <w:rsid w:val="00801F8A"/>
    <w:rsid w:val="0080201B"/>
    <w:rsid w:val="00802065"/>
    <w:rsid w:val="00802298"/>
    <w:rsid w:val="00802405"/>
    <w:rsid w:val="008024C5"/>
    <w:rsid w:val="008024FB"/>
    <w:rsid w:val="00802589"/>
    <w:rsid w:val="00802679"/>
    <w:rsid w:val="008026BD"/>
    <w:rsid w:val="008026D3"/>
    <w:rsid w:val="008026DB"/>
    <w:rsid w:val="00802741"/>
    <w:rsid w:val="00802838"/>
    <w:rsid w:val="00802855"/>
    <w:rsid w:val="008028CC"/>
    <w:rsid w:val="00802A6A"/>
    <w:rsid w:val="00802BE6"/>
    <w:rsid w:val="00802C6D"/>
    <w:rsid w:val="00802CC1"/>
    <w:rsid w:val="00802E07"/>
    <w:rsid w:val="00802E1F"/>
    <w:rsid w:val="00802E6C"/>
    <w:rsid w:val="00802FF6"/>
    <w:rsid w:val="008030D7"/>
    <w:rsid w:val="008030D8"/>
    <w:rsid w:val="0080316B"/>
    <w:rsid w:val="008031F4"/>
    <w:rsid w:val="00803214"/>
    <w:rsid w:val="0080330B"/>
    <w:rsid w:val="0080338B"/>
    <w:rsid w:val="008033B5"/>
    <w:rsid w:val="00803407"/>
    <w:rsid w:val="00803630"/>
    <w:rsid w:val="008037B7"/>
    <w:rsid w:val="0080381F"/>
    <w:rsid w:val="00803896"/>
    <w:rsid w:val="00803ABE"/>
    <w:rsid w:val="00803AD2"/>
    <w:rsid w:val="00803BCD"/>
    <w:rsid w:val="00803EB3"/>
    <w:rsid w:val="00803F39"/>
    <w:rsid w:val="008040AD"/>
    <w:rsid w:val="008040E9"/>
    <w:rsid w:val="00804112"/>
    <w:rsid w:val="00804346"/>
    <w:rsid w:val="00804370"/>
    <w:rsid w:val="0080439D"/>
    <w:rsid w:val="008043E0"/>
    <w:rsid w:val="00804464"/>
    <w:rsid w:val="008044F1"/>
    <w:rsid w:val="0080456D"/>
    <w:rsid w:val="0080466A"/>
    <w:rsid w:val="008046C5"/>
    <w:rsid w:val="00804720"/>
    <w:rsid w:val="00804731"/>
    <w:rsid w:val="00804848"/>
    <w:rsid w:val="008048C4"/>
    <w:rsid w:val="0080495A"/>
    <w:rsid w:val="00804972"/>
    <w:rsid w:val="008049C7"/>
    <w:rsid w:val="00804B7F"/>
    <w:rsid w:val="00804BC4"/>
    <w:rsid w:val="00804CE3"/>
    <w:rsid w:val="00804E03"/>
    <w:rsid w:val="00804E70"/>
    <w:rsid w:val="00804E7E"/>
    <w:rsid w:val="00804E8E"/>
    <w:rsid w:val="00804F5E"/>
    <w:rsid w:val="00804FB4"/>
    <w:rsid w:val="0080500C"/>
    <w:rsid w:val="008050B2"/>
    <w:rsid w:val="00805173"/>
    <w:rsid w:val="008051A2"/>
    <w:rsid w:val="0080520F"/>
    <w:rsid w:val="00805238"/>
    <w:rsid w:val="00805244"/>
    <w:rsid w:val="00805275"/>
    <w:rsid w:val="008052C1"/>
    <w:rsid w:val="008052DE"/>
    <w:rsid w:val="00805319"/>
    <w:rsid w:val="008053CB"/>
    <w:rsid w:val="008053D5"/>
    <w:rsid w:val="0080541B"/>
    <w:rsid w:val="00805491"/>
    <w:rsid w:val="008054EB"/>
    <w:rsid w:val="00805657"/>
    <w:rsid w:val="008056ED"/>
    <w:rsid w:val="00805713"/>
    <w:rsid w:val="0080580E"/>
    <w:rsid w:val="008058F6"/>
    <w:rsid w:val="008059D0"/>
    <w:rsid w:val="00805AF7"/>
    <w:rsid w:val="00805B23"/>
    <w:rsid w:val="00805C86"/>
    <w:rsid w:val="00805D2A"/>
    <w:rsid w:val="00805E48"/>
    <w:rsid w:val="00805E5E"/>
    <w:rsid w:val="00805E73"/>
    <w:rsid w:val="00805F54"/>
    <w:rsid w:val="00805FDC"/>
    <w:rsid w:val="00806003"/>
    <w:rsid w:val="008060AD"/>
    <w:rsid w:val="008060EC"/>
    <w:rsid w:val="008061DC"/>
    <w:rsid w:val="0080628B"/>
    <w:rsid w:val="00806335"/>
    <w:rsid w:val="00806390"/>
    <w:rsid w:val="008063B3"/>
    <w:rsid w:val="008063B5"/>
    <w:rsid w:val="00806541"/>
    <w:rsid w:val="00806562"/>
    <w:rsid w:val="0080658C"/>
    <w:rsid w:val="0080664C"/>
    <w:rsid w:val="008066F0"/>
    <w:rsid w:val="00806710"/>
    <w:rsid w:val="00806F86"/>
    <w:rsid w:val="00806FDD"/>
    <w:rsid w:val="00807108"/>
    <w:rsid w:val="008071DC"/>
    <w:rsid w:val="008071E8"/>
    <w:rsid w:val="008071FA"/>
    <w:rsid w:val="008073B0"/>
    <w:rsid w:val="00807599"/>
    <w:rsid w:val="0080771C"/>
    <w:rsid w:val="0080778D"/>
    <w:rsid w:val="00807796"/>
    <w:rsid w:val="008077A6"/>
    <w:rsid w:val="008077C3"/>
    <w:rsid w:val="0080783E"/>
    <w:rsid w:val="008078C1"/>
    <w:rsid w:val="008078C2"/>
    <w:rsid w:val="00807900"/>
    <w:rsid w:val="008079A8"/>
    <w:rsid w:val="00807B47"/>
    <w:rsid w:val="00807B97"/>
    <w:rsid w:val="00807D4D"/>
    <w:rsid w:val="00807D7A"/>
    <w:rsid w:val="00807F2A"/>
    <w:rsid w:val="00807F80"/>
    <w:rsid w:val="00810019"/>
    <w:rsid w:val="008100B2"/>
    <w:rsid w:val="008100CB"/>
    <w:rsid w:val="00810159"/>
    <w:rsid w:val="00810177"/>
    <w:rsid w:val="0081018D"/>
    <w:rsid w:val="00810221"/>
    <w:rsid w:val="008102E4"/>
    <w:rsid w:val="008102EA"/>
    <w:rsid w:val="0081030A"/>
    <w:rsid w:val="00810384"/>
    <w:rsid w:val="008103BD"/>
    <w:rsid w:val="00810431"/>
    <w:rsid w:val="00810478"/>
    <w:rsid w:val="008104B5"/>
    <w:rsid w:val="008104D4"/>
    <w:rsid w:val="008104F4"/>
    <w:rsid w:val="00810509"/>
    <w:rsid w:val="0081057B"/>
    <w:rsid w:val="008105AE"/>
    <w:rsid w:val="00810832"/>
    <w:rsid w:val="00810844"/>
    <w:rsid w:val="0081087F"/>
    <w:rsid w:val="008108E0"/>
    <w:rsid w:val="0081093A"/>
    <w:rsid w:val="008109FD"/>
    <w:rsid w:val="00810A45"/>
    <w:rsid w:val="00810A84"/>
    <w:rsid w:val="00810AF7"/>
    <w:rsid w:val="00810B57"/>
    <w:rsid w:val="00810BAA"/>
    <w:rsid w:val="00810C3E"/>
    <w:rsid w:val="00810DA0"/>
    <w:rsid w:val="00810F80"/>
    <w:rsid w:val="0081103B"/>
    <w:rsid w:val="008110D9"/>
    <w:rsid w:val="0081113E"/>
    <w:rsid w:val="008111D9"/>
    <w:rsid w:val="00811216"/>
    <w:rsid w:val="0081125E"/>
    <w:rsid w:val="00811351"/>
    <w:rsid w:val="0081136A"/>
    <w:rsid w:val="00811382"/>
    <w:rsid w:val="0081153B"/>
    <w:rsid w:val="008115B9"/>
    <w:rsid w:val="008115DA"/>
    <w:rsid w:val="008115E7"/>
    <w:rsid w:val="00811723"/>
    <w:rsid w:val="008117BB"/>
    <w:rsid w:val="0081186E"/>
    <w:rsid w:val="008118A1"/>
    <w:rsid w:val="008118B4"/>
    <w:rsid w:val="008118BF"/>
    <w:rsid w:val="00811989"/>
    <w:rsid w:val="00811A8B"/>
    <w:rsid w:val="00811B38"/>
    <w:rsid w:val="00811BA2"/>
    <w:rsid w:val="00811C5B"/>
    <w:rsid w:val="00811D74"/>
    <w:rsid w:val="00811DAF"/>
    <w:rsid w:val="00811EA1"/>
    <w:rsid w:val="00812083"/>
    <w:rsid w:val="008120E6"/>
    <w:rsid w:val="0081215B"/>
    <w:rsid w:val="0081239D"/>
    <w:rsid w:val="008123A3"/>
    <w:rsid w:val="008124F0"/>
    <w:rsid w:val="00812553"/>
    <w:rsid w:val="00812597"/>
    <w:rsid w:val="00812618"/>
    <w:rsid w:val="008126DC"/>
    <w:rsid w:val="00812839"/>
    <w:rsid w:val="008128E1"/>
    <w:rsid w:val="00812A11"/>
    <w:rsid w:val="00812A60"/>
    <w:rsid w:val="00812A7F"/>
    <w:rsid w:val="00812D1F"/>
    <w:rsid w:val="00812D95"/>
    <w:rsid w:val="00812DCC"/>
    <w:rsid w:val="00812E45"/>
    <w:rsid w:val="00812F64"/>
    <w:rsid w:val="00812FFB"/>
    <w:rsid w:val="0081300C"/>
    <w:rsid w:val="0081304F"/>
    <w:rsid w:val="0081308D"/>
    <w:rsid w:val="0081310E"/>
    <w:rsid w:val="0081319C"/>
    <w:rsid w:val="00813372"/>
    <w:rsid w:val="008133E1"/>
    <w:rsid w:val="00813435"/>
    <w:rsid w:val="0081349A"/>
    <w:rsid w:val="008135B9"/>
    <w:rsid w:val="00813646"/>
    <w:rsid w:val="008136E4"/>
    <w:rsid w:val="0081377B"/>
    <w:rsid w:val="00813804"/>
    <w:rsid w:val="00813842"/>
    <w:rsid w:val="00813A66"/>
    <w:rsid w:val="00813A98"/>
    <w:rsid w:val="00813A9D"/>
    <w:rsid w:val="00813AC7"/>
    <w:rsid w:val="00813B5C"/>
    <w:rsid w:val="00813C12"/>
    <w:rsid w:val="00813E10"/>
    <w:rsid w:val="00813E1E"/>
    <w:rsid w:val="00813EFA"/>
    <w:rsid w:val="00813F76"/>
    <w:rsid w:val="00814140"/>
    <w:rsid w:val="00814143"/>
    <w:rsid w:val="00814179"/>
    <w:rsid w:val="008141F1"/>
    <w:rsid w:val="00814268"/>
    <w:rsid w:val="00814296"/>
    <w:rsid w:val="008142E2"/>
    <w:rsid w:val="00814340"/>
    <w:rsid w:val="00814549"/>
    <w:rsid w:val="008145C7"/>
    <w:rsid w:val="00814761"/>
    <w:rsid w:val="00814788"/>
    <w:rsid w:val="0081494A"/>
    <w:rsid w:val="008149BB"/>
    <w:rsid w:val="00814B48"/>
    <w:rsid w:val="00814C5D"/>
    <w:rsid w:val="00814CE8"/>
    <w:rsid w:val="00814E8E"/>
    <w:rsid w:val="00815218"/>
    <w:rsid w:val="00815280"/>
    <w:rsid w:val="0081529F"/>
    <w:rsid w:val="008152BB"/>
    <w:rsid w:val="008152C9"/>
    <w:rsid w:val="008152F9"/>
    <w:rsid w:val="008152FC"/>
    <w:rsid w:val="00815345"/>
    <w:rsid w:val="0081535E"/>
    <w:rsid w:val="0081537D"/>
    <w:rsid w:val="008153DA"/>
    <w:rsid w:val="00815416"/>
    <w:rsid w:val="00815450"/>
    <w:rsid w:val="0081547C"/>
    <w:rsid w:val="0081561D"/>
    <w:rsid w:val="0081579E"/>
    <w:rsid w:val="008158E9"/>
    <w:rsid w:val="00815940"/>
    <w:rsid w:val="00815998"/>
    <w:rsid w:val="00815A0A"/>
    <w:rsid w:val="00815AD4"/>
    <w:rsid w:val="00815B2B"/>
    <w:rsid w:val="00815D55"/>
    <w:rsid w:val="00815D77"/>
    <w:rsid w:val="00815DFF"/>
    <w:rsid w:val="00815EA4"/>
    <w:rsid w:val="008162EC"/>
    <w:rsid w:val="008163C3"/>
    <w:rsid w:val="008163FE"/>
    <w:rsid w:val="00816531"/>
    <w:rsid w:val="00816597"/>
    <w:rsid w:val="0081679E"/>
    <w:rsid w:val="008167B0"/>
    <w:rsid w:val="0081681B"/>
    <w:rsid w:val="008168CD"/>
    <w:rsid w:val="00816959"/>
    <w:rsid w:val="00816A5E"/>
    <w:rsid w:val="00816AC7"/>
    <w:rsid w:val="00816B91"/>
    <w:rsid w:val="00816BC1"/>
    <w:rsid w:val="00816BCE"/>
    <w:rsid w:val="00816E0B"/>
    <w:rsid w:val="00816E83"/>
    <w:rsid w:val="00816E97"/>
    <w:rsid w:val="00816F95"/>
    <w:rsid w:val="00816FF2"/>
    <w:rsid w:val="0081701D"/>
    <w:rsid w:val="00817070"/>
    <w:rsid w:val="0081713D"/>
    <w:rsid w:val="008171A8"/>
    <w:rsid w:val="00817220"/>
    <w:rsid w:val="008172C3"/>
    <w:rsid w:val="008172F0"/>
    <w:rsid w:val="0081751C"/>
    <w:rsid w:val="0081758E"/>
    <w:rsid w:val="00817698"/>
    <w:rsid w:val="00817756"/>
    <w:rsid w:val="0081775F"/>
    <w:rsid w:val="008177A6"/>
    <w:rsid w:val="00817836"/>
    <w:rsid w:val="00817976"/>
    <w:rsid w:val="00817A5A"/>
    <w:rsid w:val="00817B43"/>
    <w:rsid w:val="00817C3D"/>
    <w:rsid w:val="00817CDC"/>
    <w:rsid w:val="00817DDE"/>
    <w:rsid w:val="00817E1E"/>
    <w:rsid w:val="00817E3B"/>
    <w:rsid w:val="00817FC6"/>
    <w:rsid w:val="00817FE4"/>
    <w:rsid w:val="00820074"/>
    <w:rsid w:val="00820088"/>
    <w:rsid w:val="00820170"/>
    <w:rsid w:val="00820197"/>
    <w:rsid w:val="008201BB"/>
    <w:rsid w:val="008202FE"/>
    <w:rsid w:val="008203A9"/>
    <w:rsid w:val="00820541"/>
    <w:rsid w:val="00820679"/>
    <w:rsid w:val="00820734"/>
    <w:rsid w:val="00820764"/>
    <w:rsid w:val="00820799"/>
    <w:rsid w:val="008207AC"/>
    <w:rsid w:val="008207F5"/>
    <w:rsid w:val="00820974"/>
    <w:rsid w:val="00820ABF"/>
    <w:rsid w:val="00820B08"/>
    <w:rsid w:val="00820B9D"/>
    <w:rsid w:val="00820C43"/>
    <w:rsid w:val="00820CE2"/>
    <w:rsid w:val="00820D3C"/>
    <w:rsid w:val="00820EEA"/>
    <w:rsid w:val="00820FBE"/>
    <w:rsid w:val="00820FD9"/>
    <w:rsid w:val="00820FED"/>
    <w:rsid w:val="0082107D"/>
    <w:rsid w:val="0082112A"/>
    <w:rsid w:val="008211DC"/>
    <w:rsid w:val="00821330"/>
    <w:rsid w:val="00821344"/>
    <w:rsid w:val="00821449"/>
    <w:rsid w:val="00821477"/>
    <w:rsid w:val="0082147F"/>
    <w:rsid w:val="00821566"/>
    <w:rsid w:val="0082163C"/>
    <w:rsid w:val="008218AD"/>
    <w:rsid w:val="0082192F"/>
    <w:rsid w:val="00821A4E"/>
    <w:rsid w:val="00821B70"/>
    <w:rsid w:val="00821C38"/>
    <w:rsid w:val="00821C45"/>
    <w:rsid w:val="00821C4D"/>
    <w:rsid w:val="00821D40"/>
    <w:rsid w:val="00821D9D"/>
    <w:rsid w:val="00821DEC"/>
    <w:rsid w:val="00822089"/>
    <w:rsid w:val="00822099"/>
    <w:rsid w:val="008220E7"/>
    <w:rsid w:val="0082210D"/>
    <w:rsid w:val="00822159"/>
    <w:rsid w:val="008221F7"/>
    <w:rsid w:val="008222A2"/>
    <w:rsid w:val="00822366"/>
    <w:rsid w:val="008223B5"/>
    <w:rsid w:val="00822457"/>
    <w:rsid w:val="008224B2"/>
    <w:rsid w:val="008224DE"/>
    <w:rsid w:val="008224F6"/>
    <w:rsid w:val="00822559"/>
    <w:rsid w:val="0082258F"/>
    <w:rsid w:val="0082267B"/>
    <w:rsid w:val="0082271A"/>
    <w:rsid w:val="008227AD"/>
    <w:rsid w:val="00822805"/>
    <w:rsid w:val="0082284F"/>
    <w:rsid w:val="008228AC"/>
    <w:rsid w:val="008228CA"/>
    <w:rsid w:val="00822997"/>
    <w:rsid w:val="008229BF"/>
    <w:rsid w:val="00822BB8"/>
    <w:rsid w:val="00822DAA"/>
    <w:rsid w:val="00822E18"/>
    <w:rsid w:val="00822F30"/>
    <w:rsid w:val="0082320F"/>
    <w:rsid w:val="00823242"/>
    <w:rsid w:val="00823255"/>
    <w:rsid w:val="008233AA"/>
    <w:rsid w:val="00823490"/>
    <w:rsid w:val="0082351C"/>
    <w:rsid w:val="008236EE"/>
    <w:rsid w:val="008238FC"/>
    <w:rsid w:val="00823A72"/>
    <w:rsid w:val="00823C40"/>
    <w:rsid w:val="00823CB9"/>
    <w:rsid w:val="00823CC1"/>
    <w:rsid w:val="00823D09"/>
    <w:rsid w:val="00823DB7"/>
    <w:rsid w:val="00823E5D"/>
    <w:rsid w:val="00823E70"/>
    <w:rsid w:val="0082400B"/>
    <w:rsid w:val="00824014"/>
    <w:rsid w:val="0082403E"/>
    <w:rsid w:val="00824097"/>
    <w:rsid w:val="008241F2"/>
    <w:rsid w:val="00824260"/>
    <w:rsid w:val="00824297"/>
    <w:rsid w:val="0082429E"/>
    <w:rsid w:val="008242EC"/>
    <w:rsid w:val="008243C0"/>
    <w:rsid w:val="00824493"/>
    <w:rsid w:val="008244F5"/>
    <w:rsid w:val="0082455E"/>
    <w:rsid w:val="00824567"/>
    <w:rsid w:val="00824722"/>
    <w:rsid w:val="00824731"/>
    <w:rsid w:val="00824803"/>
    <w:rsid w:val="00824863"/>
    <w:rsid w:val="00824888"/>
    <w:rsid w:val="008248C7"/>
    <w:rsid w:val="008248E7"/>
    <w:rsid w:val="00824A3F"/>
    <w:rsid w:val="00824A9C"/>
    <w:rsid w:val="00824AE7"/>
    <w:rsid w:val="00824C6C"/>
    <w:rsid w:val="00824D06"/>
    <w:rsid w:val="00824D65"/>
    <w:rsid w:val="00824E2B"/>
    <w:rsid w:val="00824E34"/>
    <w:rsid w:val="00824E49"/>
    <w:rsid w:val="00825134"/>
    <w:rsid w:val="008251CF"/>
    <w:rsid w:val="0082520D"/>
    <w:rsid w:val="008252AA"/>
    <w:rsid w:val="0082535E"/>
    <w:rsid w:val="008253B6"/>
    <w:rsid w:val="00825506"/>
    <w:rsid w:val="00825649"/>
    <w:rsid w:val="00825664"/>
    <w:rsid w:val="00825677"/>
    <w:rsid w:val="0082578B"/>
    <w:rsid w:val="0082591C"/>
    <w:rsid w:val="00825A49"/>
    <w:rsid w:val="00825A8C"/>
    <w:rsid w:val="00825B03"/>
    <w:rsid w:val="00825C01"/>
    <w:rsid w:val="00825C19"/>
    <w:rsid w:val="00825D4D"/>
    <w:rsid w:val="00825E6B"/>
    <w:rsid w:val="00825E71"/>
    <w:rsid w:val="00825F21"/>
    <w:rsid w:val="0082600F"/>
    <w:rsid w:val="00826018"/>
    <w:rsid w:val="0082605A"/>
    <w:rsid w:val="008261E7"/>
    <w:rsid w:val="008261E8"/>
    <w:rsid w:val="008262F0"/>
    <w:rsid w:val="0082632A"/>
    <w:rsid w:val="00826359"/>
    <w:rsid w:val="0082639C"/>
    <w:rsid w:val="008263D4"/>
    <w:rsid w:val="00826424"/>
    <w:rsid w:val="0082645D"/>
    <w:rsid w:val="00826558"/>
    <w:rsid w:val="008265B9"/>
    <w:rsid w:val="008268B9"/>
    <w:rsid w:val="008268C3"/>
    <w:rsid w:val="008268FB"/>
    <w:rsid w:val="00826905"/>
    <w:rsid w:val="00826B26"/>
    <w:rsid w:val="00826B77"/>
    <w:rsid w:val="00826B94"/>
    <w:rsid w:val="00826C1A"/>
    <w:rsid w:val="00826C69"/>
    <w:rsid w:val="00826E2A"/>
    <w:rsid w:val="00826E86"/>
    <w:rsid w:val="00826FAB"/>
    <w:rsid w:val="00827028"/>
    <w:rsid w:val="00827125"/>
    <w:rsid w:val="00827285"/>
    <w:rsid w:val="00827306"/>
    <w:rsid w:val="00827323"/>
    <w:rsid w:val="00827514"/>
    <w:rsid w:val="00827578"/>
    <w:rsid w:val="00827597"/>
    <w:rsid w:val="008275FA"/>
    <w:rsid w:val="008276DD"/>
    <w:rsid w:val="00827865"/>
    <w:rsid w:val="0082792B"/>
    <w:rsid w:val="00827A6C"/>
    <w:rsid w:val="00827A99"/>
    <w:rsid w:val="00827C26"/>
    <w:rsid w:val="00827C49"/>
    <w:rsid w:val="00827C66"/>
    <w:rsid w:val="00827C8C"/>
    <w:rsid w:val="00827CBD"/>
    <w:rsid w:val="00827D4A"/>
    <w:rsid w:val="00827D9F"/>
    <w:rsid w:val="00827DF5"/>
    <w:rsid w:val="00827E38"/>
    <w:rsid w:val="00827FAE"/>
    <w:rsid w:val="00830039"/>
    <w:rsid w:val="00830072"/>
    <w:rsid w:val="008301A6"/>
    <w:rsid w:val="008301F6"/>
    <w:rsid w:val="00830232"/>
    <w:rsid w:val="00830310"/>
    <w:rsid w:val="00830425"/>
    <w:rsid w:val="008304C5"/>
    <w:rsid w:val="0083059D"/>
    <w:rsid w:val="0083059F"/>
    <w:rsid w:val="008305D0"/>
    <w:rsid w:val="008305DC"/>
    <w:rsid w:val="00830602"/>
    <w:rsid w:val="0083072B"/>
    <w:rsid w:val="0083077B"/>
    <w:rsid w:val="008307EE"/>
    <w:rsid w:val="00830864"/>
    <w:rsid w:val="008308E7"/>
    <w:rsid w:val="00830B94"/>
    <w:rsid w:val="00830CAC"/>
    <w:rsid w:val="00830CEC"/>
    <w:rsid w:val="00830D22"/>
    <w:rsid w:val="00830E2D"/>
    <w:rsid w:val="00830FE9"/>
    <w:rsid w:val="008310FF"/>
    <w:rsid w:val="00831106"/>
    <w:rsid w:val="00831108"/>
    <w:rsid w:val="008311D2"/>
    <w:rsid w:val="00831436"/>
    <w:rsid w:val="008314A7"/>
    <w:rsid w:val="008314E1"/>
    <w:rsid w:val="00831676"/>
    <w:rsid w:val="008316A3"/>
    <w:rsid w:val="008316B8"/>
    <w:rsid w:val="008316CA"/>
    <w:rsid w:val="008316D2"/>
    <w:rsid w:val="008316FE"/>
    <w:rsid w:val="00831932"/>
    <w:rsid w:val="008319DD"/>
    <w:rsid w:val="00831A2B"/>
    <w:rsid w:val="00831B34"/>
    <w:rsid w:val="00831BC9"/>
    <w:rsid w:val="00831BE3"/>
    <w:rsid w:val="00831C48"/>
    <w:rsid w:val="00831D69"/>
    <w:rsid w:val="00831DE4"/>
    <w:rsid w:val="00831FAF"/>
    <w:rsid w:val="0083203D"/>
    <w:rsid w:val="00832140"/>
    <w:rsid w:val="0083216C"/>
    <w:rsid w:val="00832345"/>
    <w:rsid w:val="008325AA"/>
    <w:rsid w:val="00832661"/>
    <w:rsid w:val="0083266E"/>
    <w:rsid w:val="0083271E"/>
    <w:rsid w:val="008328A0"/>
    <w:rsid w:val="008328A3"/>
    <w:rsid w:val="0083298A"/>
    <w:rsid w:val="008329E6"/>
    <w:rsid w:val="00832A03"/>
    <w:rsid w:val="00832AC4"/>
    <w:rsid w:val="00832B54"/>
    <w:rsid w:val="00832B63"/>
    <w:rsid w:val="00832C12"/>
    <w:rsid w:val="00832C5E"/>
    <w:rsid w:val="00832E39"/>
    <w:rsid w:val="00832F29"/>
    <w:rsid w:val="00832F37"/>
    <w:rsid w:val="00832FC6"/>
    <w:rsid w:val="00832FDA"/>
    <w:rsid w:val="0083300F"/>
    <w:rsid w:val="00833048"/>
    <w:rsid w:val="0083309C"/>
    <w:rsid w:val="0083309F"/>
    <w:rsid w:val="00833126"/>
    <w:rsid w:val="008331DF"/>
    <w:rsid w:val="00833336"/>
    <w:rsid w:val="00833423"/>
    <w:rsid w:val="0083349D"/>
    <w:rsid w:val="00833535"/>
    <w:rsid w:val="008336FD"/>
    <w:rsid w:val="00833733"/>
    <w:rsid w:val="0083375B"/>
    <w:rsid w:val="008337AD"/>
    <w:rsid w:val="008337C1"/>
    <w:rsid w:val="008337DE"/>
    <w:rsid w:val="008338D8"/>
    <w:rsid w:val="0083397E"/>
    <w:rsid w:val="008339EC"/>
    <w:rsid w:val="00833AF1"/>
    <w:rsid w:val="00833C30"/>
    <w:rsid w:val="00833C47"/>
    <w:rsid w:val="00833CA4"/>
    <w:rsid w:val="00833DC8"/>
    <w:rsid w:val="00833F1F"/>
    <w:rsid w:val="00833F37"/>
    <w:rsid w:val="00833FA3"/>
    <w:rsid w:val="0083403F"/>
    <w:rsid w:val="0083404D"/>
    <w:rsid w:val="008341CE"/>
    <w:rsid w:val="00834242"/>
    <w:rsid w:val="00834290"/>
    <w:rsid w:val="00834616"/>
    <w:rsid w:val="00834690"/>
    <w:rsid w:val="008346CA"/>
    <w:rsid w:val="0083473E"/>
    <w:rsid w:val="008347BC"/>
    <w:rsid w:val="008347EF"/>
    <w:rsid w:val="00834832"/>
    <w:rsid w:val="00834900"/>
    <w:rsid w:val="00834A1C"/>
    <w:rsid w:val="00834A36"/>
    <w:rsid w:val="00834B6E"/>
    <w:rsid w:val="00834B8D"/>
    <w:rsid w:val="00834D3E"/>
    <w:rsid w:val="00834EAB"/>
    <w:rsid w:val="008352B7"/>
    <w:rsid w:val="008352BF"/>
    <w:rsid w:val="008352C9"/>
    <w:rsid w:val="0083561F"/>
    <w:rsid w:val="008356AC"/>
    <w:rsid w:val="008357CA"/>
    <w:rsid w:val="00835974"/>
    <w:rsid w:val="008359A5"/>
    <w:rsid w:val="008359BE"/>
    <w:rsid w:val="008359D9"/>
    <w:rsid w:val="00835A37"/>
    <w:rsid w:val="00835A79"/>
    <w:rsid w:val="00835B4E"/>
    <w:rsid w:val="00835C4E"/>
    <w:rsid w:val="00835E0C"/>
    <w:rsid w:val="00835ECD"/>
    <w:rsid w:val="00835FD9"/>
    <w:rsid w:val="00836021"/>
    <w:rsid w:val="008360BB"/>
    <w:rsid w:val="008360C3"/>
    <w:rsid w:val="0083613E"/>
    <w:rsid w:val="008361D6"/>
    <w:rsid w:val="0083620C"/>
    <w:rsid w:val="00836265"/>
    <w:rsid w:val="0083627B"/>
    <w:rsid w:val="008362EF"/>
    <w:rsid w:val="00836311"/>
    <w:rsid w:val="0083634E"/>
    <w:rsid w:val="00836362"/>
    <w:rsid w:val="008363A4"/>
    <w:rsid w:val="008363D3"/>
    <w:rsid w:val="008364E3"/>
    <w:rsid w:val="00836694"/>
    <w:rsid w:val="008367B1"/>
    <w:rsid w:val="008369C0"/>
    <w:rsid w:val="00836B41"/>
    <w:rsid w:val="00836B43"/>
    <w:rsid w:val="00836E7C"/>
    <w:rsid w:val="00837058"/>
    <w:rsid w:val="00837060"/>
    <w:rsid w:val="008370DE"/>
    <w:rsid w:val="008372D9"/>
    <w:rsid w:val="0083740B"/>
    <w:rsid w:val="008374FB"/>
    <w:rsid w:val="00837565"/>
    <w:rsid w:val="00837872"/>
    <w:rsid w:val="0083788B"/>
    <w:rsid w:val="008378FE"/>
    <w:rsid w:val="00837982"/>
    <w:rsid w:val="00837AF4"/>
    <w:rsid w:val="00837B0B"/>
    <w:rsid w:val="00837BA7"/>
    <w:rsid w:val="00837BBC"/>
    <w:rsid w:val="00837E90"/>
    <w:rsid w:val="0084006A"/>
    <w:rsid w:val="0084024F"/>
    <w:rsid w:val="00840267"/>
    <w:rsid w:val="0084040E"/>
    <w:rsid w:val="008404B1"/>
    <w:rsid w:val="008404F9"/>
    <w:rsid w:val="008406AA"/>
    <w:rsid w:val="0084075F"/>
    <w:rsid w:val="008409A5"/>
    <w:rsid w:val="00840C32"/>
    <w:rsid w:val="00840C70"/>
    <w:rsid w:val="00840D19"/>
    <w:rsid w:val="00840D2B"/>
    <w:rsid w:val="00840E6F"/>
    <w:rsid w:val="0084104A"/>
    <w:rsid w:val="00841142"/>
    <w:rsid w:val="00841173"/>
    <w:rsid w:val="00841182"/>
    <w:rsid w:val="0084139A"/>
    <w:rsid w:val="00841401"/>
    <w:rsid w:val="00841436"/>
    <w:rsid w:val="00841462"/>
    <w:rsid w:val="00841651"/>
    <w:rsid w:val="008416B1"/>
    <w:rsid w:val="008416D3"/>
    <w:rsid w:val="00841715"/>
    <w:rsid w:val="0084189C"/>
    <w:rsid w:val="008418B0"/>
    <w:rsid w:val="0084192F"/>
    <w:rsid w:val="00841990"/>
    <w:rsid w:val="008419EB"/>
    <w:rsid w:val="00841B3E"/>
    <w:rsid w:val="00841C78"/>
    <w:rsid w:val="00841D13"/>
    <w:rsid w:val="00841D2E"/>
    <w:rsid w:val="00841DAB"/>
    <w:rsid w:val="00841EFD"/>
    <w:rsid w:val="00841F13"/>
    <w:rsid w:val="00841F98"/>
    <w:rsid w:val="00842000"/>
    <w:rsid w:val="00842126"/>
    <w:rsid w:val="008421BE"/>
    <w:rsid w:val="00842281"/>
    <w:rsid w:val="0084236D"/>
    <w:rsid w:val="008423EF"/>
    <w:rsid w:val="008424B1"/>
    <w:rsid w:val="008425E5"/>
    <w:rsid w:val="00842927"/>
    <w:rsid w:val="00842A8F"/>
    <w:rsid w:val="00842AEB"/>
    <w:rsid w:val="00842AFB"/>
    <w:rsid w:val="00842B57"/>
    <w:rsid w:val="00842C0B"/>
    <w:rsid w:val="00842CAD"/>
    <w:rsid w:val="00842CB8"/>
    <w:rsid w:val="00842D87"/>
    <w:rsid w:val="0084318B"/>
    <w:rsid w:val="0084322F"/>
    <w:rsid w:val="008433D7"/>
    <w:rsid w:val="008435C1"/>
    <w:rsid w:val="0084360D"/>
    <w:rsid w:val="008436BE"/>
    <w:rsid w:val="008436C5"/>
    <w:rsid w:val="0084394D"/>
    <w:rsid w:val="00843A3E"/>
    <w:rsid w:val="00843AA7"/>
    <w:rsid w:val="00843B09"/>
    <w:rsid w:val="00843B3D"/>
    <w:rsid w:val="00843B47"/>
    <w:rsid w:val="00843BDB"/>
    <w:rsid w:val="00843DAC"/>
    <w:rsid w:val="00843DE1"/>
    <w:rsid w:val="00843FDC"/>
    <w:rsid w:val="008440F9"/>
    <w:rsid w:val="00844194"/>
    <w:rsid w:val="008442C2"/>
    <w:rsid w:val="008443E2"/>
    <w:rsid w:val="00844402"/>
    <w:rsid w:val="00844460"/>
    <w:rsid w:val="0084447B"/>
    <w:rsid w:val="008444B4"/>
    <w:rsid w:val="008444E6"/>
    <w:rsid w:val="0084450D"/>
    <w:rsid w:val="008446AA"/>
    <w:rsid w:val="0084474A"/>
    <w:rsid w:val="0084481F"/>
    <w:rsid w:val="008448AF"/>
    <w:rsid w:val="00844A07"/>
    <w:rsid w:val="00844BC0"/>
    <w:rsid w:val="00844BD7"/>
    <w:rsid w:val="00844D0A"/>
    <w:rsid w:val="00844D1E"/>
    <w:rsid w:val="00844DCF"/>
    <w:rsid w:val="00844FA8"/>
    <w:rsid w:val="0084502B"/>
    <w:rsid w:val="00845052"/>
    <w:rsid w:val="008452E8"/>
    <w:rsid w:val="008454A7"/>
    <w:rsid w:val="008455CC"/>
    <w:rsid w:val="00845615"/>
    <w:rsid w:val="00845660"/>
    <w:rsid w:val="008456D5"/>
    <w:rsid w:val="0084576C"/>
    <w:rsid w:val="008457EB"/>
    <w:rsid w:val="00845859"/>
    <w:rsid w:val="00845A88"/>
    <w:rsid w:val="00845AA3"/>
    <w:rsid w:val="00845AC9"/>
    <w:rsid w:val="00845C85"/>
    <w:rsid w:val="00845CA0"/>
    <w:rsid w:val="00845D06"/>
    <w:rsid w:val="00845D1A"/>
    <w:rsid w:val="00845E84"/>
    <w:rsid w:val="00845F09"/>
    <w:rsid w:val="00845F66"/>
    <w:rsid w:val="00845F6E"/>
    <w:rsid w:val="00846010"/>
    <w:rsid w:val="008460DB"/>
    <w:rsid w:val="00846155"/>
    <w:rsid w:val="0084649F"/>
    <w:rsid w:val="00846558"/>
    <w:rsid w:val="008465CD"/>
    <w:rsid w:val="0084662D"/>
    <w:rsid w:val="0084664F"/>
    <w:rsid w:val="00846666"/>
    <w:rsid w:val="00846706"/>
    <w:rsid w:val="00846732"/>
    <w:rsid w:val="008467EC"/>
    <w:rsid w:val="00846929"/>
    <w:rsid w:val="0084699F"/>
    <w:rsid w:val="008469E7"/>
    <w:rsid w:val="008469F3"/>
    <w:rsid w:val="00846A44"/>
    <w:rsid w:val="00846A83"/>
    <w:rsid w:val="00846B19"/>
    <w:rsid w:val="00846B69"/>
    <w:rsid w:val="00846E13"/>
    <w:rsid w:val="00846E9D"/>
    <w:rsid w:val="00846F81"/>
    <w:rsid w:val="00846FFC"/>
    <w:rsid w:val="00847113"/>
    <w:rsid w:val="0084719F"/>
    <w:rsid w:val="008471A2"/>
    <w:rsid w:val="008473BA"/>
    <w:rsid w:val="00847445"/>
    <w:rsid w:val="008475F6"/>
    <w:rsid w:val="0084776F"/>
    <w:rsid w:val="00847791"/>
    <w:rsid w:val="00847AE0"/>
    <w:rsid w:val="00847AE3"/>
    <w:rsid w:val="00847BC8"/>
    <w:rsid w:val="00847C04"/>
    <w:rsid w:val="00847CCE"/>
    <w:rsid w:val="00847CFD"/>
    <w:rsid w:val="00847D92"/>
    <w:rsid w:val="00847D9A"/>
    <w:rsid w:val="00847E2D"/>
    <w:rsid w:val="00847EF1"/>
    <w:rsid w:val="00847F34"/>
    <w:rsid w:val="00847F71"/>
    <w:rsid w:val="00850086"/>
    <w:rsid w:val="0085009A"/>
    <w:rsid w:val="00850109"/>
    <w:rsid w:val="00850202"/>
    <w:rsid w:val="00850266"/>
    <w:rsid w:val="00850572"/>
    <w:rsid w:val="008505EB"/>
    <w:rsid w:val="00850667"/>
    <w:rsid w:val="00850709"/>
    <w:rsid w:val="00850753"/>
    <w:rsid w:val="0085086A"/>
    <w:rsid w:val="0085092F"/>
    <w:rsid w:val="00850A60"/>
    <w:rsid w:val="00850AB4"/>
    <w:rsid w:val="00850AFE"/>
    <w:rsid w:val="00850B44"/>
    <w:rsid w:val="00850BDA"/>
    <w:rsid w:val="00850C22"/>
    <w:rsid w:val="00850C88"/>
    <w:rsid w:val="00850D49"/>
    <w:rsid w:val="00850D5C"/>
    <w:rsid w:val="00850E94"/>
    <w:rsid w:val="00850EDF"/>
    <w:rsid w:val="00850EED"/>
    <w:rsid w:val="0085100B"/>
    <w:rsid w:val="0085109D"/>
    <w:rsid w:val="008510F1"/>
    <w:rsid w:val="008514BD"/>
    <w:rsid w:val="0085171A"/>
    <w:rsid w:val="00851754"/>
    <w:rsid w:val="00851892"/>
    <w:rsid w:val="008518DF"/>
    <w:rsid w:val="008519E6"/>
    <w:rsid w:val="00851A4C"/>
    <w:rsid w:val="00851A68"/>
    <w:rsid w:val="00851A9B"/>
    <w:rsid w:val="00851C2C"/>
    <w:rsid w:val="00851CA1"/>
    <w:rsid w:val="00851D38"/>
    <w:rsid w:val="00851D6E"/>
    <w:rsid w:val="00851DAF"/>
    <w:rsid w:val="00851F13"/>
    <w:rsid w:val="00852029"/>
    <w:rsid w:val="008520F1"/>
    <w:rsid w:val="0085210E"/>
    <w:rsid w:val="00852128"/>
    <w:rsid w:val="008521A1"/>
    <w:rsid w:val="008521F8"/>
    <w:rsid w:val="0085225D"/>
    <w:rsid w:val="00852269"/>
    <w:rsid w:val="0085227C"/>
    <w:rsid w:val="008522BD"/>
    <w:rsid w:val="0085249C"/>
    <w:rsid w:val="008525A7"/>
    <w:rsid w:val="00852609"/>
    <w:rsid w:val="008526BD"/>
    <w:rsid w:val="008526C0"/>
    <w:rsid w:val="0085284F"/>
    <w:rsid w:val="008528AD"/>
    <w:rsid w:val="00852BBE"/>
    <w:rsid w:val="00852C84"/>
    <w:rsid w:val="00852CED"/>
    <w:rsid w:val="00852DB7"/>
    <w:rsid w:val="00852E9D"/>
    <w:rsid w:val="00852EC3"/>
    <w:rsid w:val="00852EDC"/>
    <w:rsid w:val="00852F4A"/>
    <w:rsid w:val="00853059"/>
    <w:rsid w:val="008530FF"/>
    <w:rsid w:val="00853153"/>
    <w:rsid w:val="0085319A"/>
    <w:rsid w:val="008533E3"/>
    <w:rsid w:val="0085343C"/>
    <w:rsid w:val="0085375D"/>
    <w:rsid w:val="00853795"/>
    <w:rsid w:val="00853907"/>
    <w:rsid w:val="0085390D"/>
    <w:rsid w:val="00853958"/>
    <w:rsid w:val="00853A73"/>
    <w:rsid w:val="00853A75"/>
    <w:rsid w:val="00853AD9"/>
    <w:rsid w:val="00853C1D"/>
    <w:rsid w:val="00853C2D"/>
    <w:rsid w:val="00853C4F"/>
    <w:rsid w:val="00853C5E"/>
    <w:rsid w:val="00853FA4"/>
    <w:rsid w:val="00853FCE"/>
    <w:rsid w:val="00854018"/>
    <w:rsid w:val="00854052"/>
    <w:rsid w:val="00854103"/>
    <w:rsid w:val="00854135"/>
    <w:rsid w:val="00854263"/>
    <w:rsid w:val="00854294"/>
    <w:rsid w:val="00854403"/>
    <w:rsid w:val="00854561"/>
    <w:rsid w:val="008545E9"/>
    <w:rsid w:val="008546FF"/>
    <w:rsid w:val="00854772"/>
    <w:rsid w:val="008547B3"/>
    <w:rsid w:val="008547BB"/>
    <w:rsid w:val="00854808"/>
    <w:rsid w:val="008549BF"/>
    <w:rsid w:val="00854AF1"/>
    <w:rsid w:val="00854B6E"/>
    <w:rsid w:val="00854B97"/>
    <w:rsid w:val="00854C96"/>
    <w:rsid w:val="00854CBB"/>
    <w:rsid w:val="00854D4E"/>
    <w:rsid w:val="00854D78"/>
    <w:rsid w:val="00854E6D"/>
    <w:rsid w:val="00854E75"/>
    <w:rsid w:val="00854F87"/>
    <w:rsid w:val="008551BC"/>
    <w:rsid w:val="00855211"/>
    <w:rsid w:val="00855212"/>
    <w:rsid w:val="00855383"/>
    <w:rsid w:val="008553F9"/>
    <w:rsid w:val="0085541E"/>
    <w:rsid w:val="0085541F"/>
    <w:rsid w:val="00855436"/>
    <w:rsid w:val="008554FC"/>
    <w:rsid w:val="00855501"/>
    <w:rsid w:val="0085568C"/>
    <w:rsid w:val="00855728"/>
    <w:rsid w:val="0085588E"/>
    <w:rsid w:val="008558C4"/>
    <w:rsid w:val="00855972"/>
    <w:rsid w:val="00855A21"/>
    <w:rsid w:val="00855BF3"/>
    <w:rsid w:val="00855C1D"/>
    <w:rsid w:val="00855C5F"/>
    <w:rsid w:val="00855C74"/>
    <w:rsid w:val="00855C7E"/>
    <w:rsid w:val="00855CCF"/>
    <w:rsid w:val="00855CE7"/>
    <w:rsid w:val="00855DE7"/>
    <w:rsid w:val="00856010"/>
    <w:rsid w:val="0085618B"/>
    <w:rsid w:val="00856196"/>
    <w:rsid w:val="008561FC"/>
    <w:rsid w:val="0085624A"/>
    <w:rsid w:val="00856318"/>
    <w:rsid w:val="00856324"/>
    <w:rsid w:val="0085643C"/>
    <w:rsid w:val="008564E9"/>
    <w:rsid w:val="0085652B"/>
    <w:rsid w:val="008565EC"/>
    <w:rsid w:val="00856753"/>
    <w:rsid w:val="0085684E"/>
    <w:rsid w:val="0085692C"/>
    <w:rsid w:val="00856A04"/>
    <w:rsid w:val="00856BF1"/>
    <w:rsid w:val="00856C67"/>
    <w:rsid w:val="00856C96"/>
    <w:rsid w:val="00856E25"/>
    <w:rsid w:val="00856F9D"/>
    <w:rsid w:val="0085717A"/>
    <w:rsid w:val="0085734F"/>
    <w:rsid w:val="00857580"/>
    <w:rsid w:val="00857748"/>
    <w:rsid w:val="0085795F"/>
    <w:rsid w:val="008579AD"/>
    <w:rsid w:val="00857A0B"/>
    <w:rsid w:val="00857ADB"/>
    <w:rsid w:val="00857B99"/>
    <w:rsid w:val="00857C77"/>
    <w:rsid w:val="00857E72"/>
    <w:rsid w:val="00857ECB"/>
    <w:rsid w:val="00857F16"/>
    <w:rsid w:val="008600CA"/>
    <w:rsid w:val="00860119"/>
    <w:rsid w:val="008601A7"/>
    <w:rsid w:val="008602F6"/>
    <w:rsid w:val="008602FF"/>
    <w:rsid w:val="0086039A"/>
    <w:rsid w:val="008604A0"/>
    <w:rsid w:val="0086052A"/>
    <w:rsid w:val="008605C7"/>
    <w:rsid w:val="00860704"/>
    <w:rsid w:val="0086077A"/>
    <w:rsid w:val="00860788"/>
    <w:rsid w:val="008607A2"/>
    <w:rsid w:val="008607FB"/>
    <w:rsid w:val="00860881"/>
    <w:rsid w:val="00860918"/>
    <w:rsid w:val="00860A1F"/>
    <w:rsid w:val="00860A47"/>
    <w:rsid w:val="00860B1C"/>
    <w:rsid w:val="00860FD4"/>
    <w:rsid w:val="008610E4"/>
    <w:rsid w:val="0086115F"/>
    <w:rsid w:val="0086117D"/>
    <w:rsid w:val="008611F4"/>
    <w:rsid w:val="0086135B"/>
    <w:rsid w:val="00861372"/>
    <w:rsid w:val="00861373"/>
    <w:rsid w:val="00861376"/>
    <w:rsid w:val="00861447"/>
    <w:rsid w:val="00861489"/>
    <w:rsid w:val="008614BB"/>
    <w:rsid w:val="0086155C"/>
    <w:rsid w:val="0086161A"/>
    <w:rsid w:val="008616DC"/>
    <w:rsid w:val="00861A82"/>
    <w:rsid w:val="00861C6B"/>
    <w:rsid w:val="00861E7E"/>
    <w:rsid w:val="00861ECA"/>
    <w:rsid w:val="008621CC"/>
    <w:rsid w:val="008621D8"/>
    <w:rsid w:val="00862503"/>
    <w:rsid w:val="0086259C"/>
    <w:rsid w:val="008626F1"/>
    <w:rsid w:val="00862773"/>
    <w:rsid w:val="0086289B"/>
    <w:rsid w:val="008629C5"/>
    <w:rsid w:val="00862A94"/>
    <w:rsid w:val="00862BC2"/>
    <w:rsid w:val="00862C74"/>
    <w:rsid w:val="00862CC4"/>
    <w:rsid w:val="00862DD4"/>
    <w:rsid w:val="0086318A"/>
    <w:rsid w:val="00863228"/>
    <w:rsid w:val="0086322D"/>
    <w:rsid w:val="0086338B"/>
    <w:rsid w:val="00863416"/>
    <w:rsid w:val="00863419"/>
    <w:rsid w:val="00863487"/>
    <w:rsid w:val="00863575"/>
    <w:rsid w:val="008638C8"/>
    <w:rsid w:val="008639A3"/>
    <w:rsid w:val="00863A07"/>
    <w:rsid w:val="00863CF2"/>
    <w:rsid w:val="00863D3C"/>
    <w:rsid w:val="00863D8D"/>
    <w:rsid w:val="00863E52"/>
    <w:rsid w:val="0086411F"/>
    <w:rsid w:val="00864187"/>
    <w:rsid w:val="008641BF"/>
    <w:rsid w:val="00864440"/>
    <w:rsid w:val="00864484"/>
    <w:rsid w:val="0086448B"/>
    <w:rsid w:val="008644DA"/>
    <w:rsid w:val="008644E2"/>
    <w:rsid w:val="008646A2"/>
    <w:rsid w:val="00864A2E"/>
    <w:rsid w:val="00864AE7"/>
    <w:rsid w:val="00864B13"/>
    <w:rsid w:val="00864B2D"/>
    <w:rsid w:val="00864B52"/>
    <w:rsid w:val="00864B62"/>
    <w:rsid w:val="00864C10"/>
    <w:rsid w:val="00864C68"/>
    <w:rsid w:val="00864C8D"/>
    <w:rsid w:val="00864C97"/>
    <w:rsid w:val="00864CB2"/>
    <w:rsid w:val="00864CB3"/>
    <w:rsid w:val="00864CB7"/>
    <w:rsid w:val="00864CCA"/>
    <w:rsid w:val="00864D7D"/>
    <w:rsid w:val="00864DD5"/>
    <w:rsid w:val="00864DFA"/>
    <w:rsid w:val="00864E30"/>
    <w:rsid w:val="00864F13"/>
    <w:rsid w:val="00864F48"/>
    <w:rsid w:val="00864F99"/>
    <w:rsid w:val="008650A5"/>
    <w:rsid w:val="008651BC"/>
    <w:rsid w:val="00865234"/>
    <w:rsid w:val="008652C6"/>
    <w:rsid w:val="00865349"/>
    <w:rsid w:val="00865364"/>
    <w:rsid w:val="008653A3"/>
    <w:rsid w:val="00865489"/>
    <w:rsid w:val="0086557A"/>
    <w:rsid w:val="008655AB"/>
    <w:rsid w:val="008657CF"/>
    <w:rsid w:val="00865834"/>
    <w:rsid w:val="00865894"/>
    <w:rsid w:val="00865938"/>
    <w:rsid w:val="0086594D"/>
    <w:rsid w:val="00865950"/>
    <w:rsid w:val="008659B0"/>
    <w:rsid w:val="00865AB8"/>
    <w:rsid w:val="00865BC7"/>
    <w:rsid w:val="00865D1B"/>
    <w:rsid w:val="00865DC2"/>
    <w:rsid w:val="00865DCD"/>
    <w:rsid w:val="00865DE5"/>
    <w:rsid w:val="0086601B"/>
    <w:rsid w:val="00866084"/>
    <w:rsid w:val="008660E0"/>
    <w:rsid w:val="008661F6"/>
    <w:rsid w:val="00866286"/>
    <w:rsid w:val="008665AA"/>
    <w:rsid w:val="008665AC"/>
    <w:rsid w:val="00866705"/>
    <w:rsid w:val="008667B0"/>
    <w:rsid w:val="008668BF"/>
    <w:rsid w:val="008669DA"/>
    <w:rsid w:val="00866AE5"/>
    <w:rsid w:val="00866BC6"/>
    <w:rsid w:val="00866C7B"/>
    <w:rsid w:val="00866CDC"/>
    <w:rsid w:val="00866CEA"/>
    <w:rsid w:val="00866DC1"/>
    <w:rsid w:val="00866EBF"/>
    <w:rsid w:val="00866F59"/>
    <w:rsid w:val="00866FAC"/>
    <w:rsid w:val="0086721A"/>
    <w:rsid w:val="00867291"/>
    <w:rsid w:val="00867476"/>
    <w:rsid w:val="008677B6"/>
    <w:rsid w:val="008677DA"/>
    <w:rsid w:val="0086783E"/>
    <w:rsid w:val="00867A0B"/>
    <w:rsid w:val="00867AEC"/>
    <w:rsid w:val="00867B38"/>
    <w:rsid w:val="00867CBA"/>
    <w:rsid w:val="00867D42"/>
    <w:rsid w:val="00867D7F"/>
    <w:rsid w:val="00867E1D"/>
    <w:rsid w:val="00867F07"/>
    <w:rsid w:val="00867F81"/>
    <w:rsid w:val="0087004A"/>
    <w:rsid w:val="0087012E"/>
    <w:rsid w:val="008701BF"/>
    <w:rsid w:val="00870349"/>
    <w:rsid w:val="008703B9"/>
    <w:rsid w:val="008703C4"/>
    <w:rsid w:val="0087055B"/>
    <w:rsid w:val="00870585"/>
    <w:rsid w:val="0087072B"/>
    <w:rsid w:val="00870A54"/>
    <w:rsid w:val="00870A9C"/>
    <w:rsid w:val="00870CAD"/>
    <w:rsid w:val="00870CC0"/>
    <w:rsid w:val="00870E95"/>
    <w:rsid w:val="00870E9E"/>
    <w:rsid w:val="00870F09"/>
    <w:rsid w:val="0087110D"/>
    <w:rsid w:val="00871232"/>
    <w:rsid w:val="008712CB"/>
    <w:rsid w:val="008713D1"/>
    <w:rsid w:val="00871422"/>
    <w:rsid w:val="008714E8"/>
    <w:rsid w:val="00871635"/>
    <w:rsid w:val="00871764"/>
    <w:rsid w:val="008718EF"/>
    <w:rsid w:val="00871955"/>
    <w:rsid w:val="0087199F"/>
    <w:rsid w:val="00871AF7"/>
    <w:rsid w:val="00871B83"/>
    <w:rsid w:val="00871C80"/>
    <w:rsid w:val="00871E22"/>
    <w:rsid w:val="00871E7F"/>
    <w:rsid w:val="00871F7B"/>
    <w:rsid w:val="0087203A"/>
    <w:rsid w:val="008721AB"/>
    <w:rsid w:val="008721AD"/>
    <w:rsid w:val="008721BF"/>
    <w:rsid w:val="0087220F"/>
    <w:rsid w:val="008723D3"/>
    <w:rsid w:val="0087244B"/>
    <w:rsid w:val="008724BB"/>
    <w:rsid w:val="00872512"/>
    <w:rsid w:val="008726F0"/>
    <w:rsid w:val="008727C3"/>
    <w:rsid w:val="0087286C"/>
    <w:rsid w:val="00872893"/>
    <w:rsid w:val="008729F5"/>
    <w:rsid w:val="00872BDA"/>
    <w:rsid w:val="00872C86"/>
    <w:rsid w:val="00872D44"/>
    <w:rsid w:val="00872EA4"/>
    <w:rsid w:val="00872EBB"/>
    <w:rsid w:val="00872F12"/>
    <w:rsid w:val="00872F81"/>
    <w:rsid w:val="00872F98"/>
    <w:rsid w:val="0087318C"/>
    <w:rsid w:val="0087319C"/>
    <w:rsid w:val="0087332D"/>
    <w:rsid w:val="00873341"/>
    <w:rsid w:val="0087340D"/>
    <w:rsid w:val="00873493"/>
    <w:rsid w:val="008735F3"/>
    <w:rsid w:val="00873636"/>
    <w:rsid w:val="00873686"/>
    <w:rsid w:val="008736EA"/>
    <w:rsid w:val="008737F2"/>
    <w:rsid w:val="0087384C"/>
    <w:rsid w:val="00873854"/>
    <w:rsid w:val="00873876"/>
    <w:rsid w:val="00873883"/>
    <w:rsid w:val="00873897"/>
    <w:rsid w:val="00873A78"/>
    <w:rsid w:val="00873A8C"/>
    <w:rsid w:val="00873A9E"/>
    <w:rsid w:val="00873AC4"/>
    <w:rsid w:val="00873B05"/>
    <w:rsid w:val="00873B96"/>
    <w:rsid w:val="00873BA1"/>
    <w:rsid w:val="00873C2B"/>
    <w:rsid w:val="00873CDB"/>
    <w:rsid w:val="00873CE7"/>
    <w:rsid w:val="00873D11"/>
    <w:rsid w:val="00873EC6"/>
    <w:rsid w:val="00873F37"/>
    <w:rsid w:val="00873F4D"/>
    <w:rsid w:val="0087401C"/>
    <w:rsid w:val="00874087"/>
    <w:rsid w:val="0087409E"/>
    <w:rsid w:val="008740F7"/>
    <w:rsid w:val="00874191"/>
    <w:rsid w:val="00874226"/>
    <w:rsid w:val="00874266"/>
    <w:rsid w:val="0087439A"/>
    <w:rsid w:val="0087458C"/>
    <w:rsid w:val="00874613"/>
    <w:rsid w:val="00874798"/>
    <w:rsid w:val="0087497F"/>
    <w:rsid w:val="00874A56"/>
    <w:rsid w:val="00874A94"/>
    <w:rsid w:val="00874D72"/>
    <w:rsid w:val="00874F67"/>
    <w:rsid w:val="0087511D"/>
    <w:rsid w:val="00875152"/>
    <w:rsid w:val="0087517E"/>
    <w:rsid w:val="008751E1"/>
    <w:rsid w:val="0087521E"/>
    <w:rsid w:val="008752BB"/>
    <w:rsid w:val="008753CC"/>
    <w:rsid w:val="00875476"/>
    <w:rsid w:val="0087564E"/>
    <w:rsid w:val="008757A1"/>
    <w:rsid w:val="00875809"/>
    <w:rsid w:val="0087581D"/>
    <w:rsid w:val="0087591C"/>
    <w:rsid w:val="00875B58"/>
    <w:rsid w:val="00875B5C"/>
    <w:rsid w:val="00875DA9"/>
    <w:rsid w:val="00875E64"/>
    <w:rsid w:val="00875EF6"/>
    <w:rsid w:val="00875FA7"/>
    <w:rsid w:val="00876040"/>
    <w:rsid w:val="0087612C"/>
    <w:rsid w:val="008762AC"/>
    <w:rsid w:val="00876338"/>
    <w:rsid w:val="008763CA"/>
    <w:rsid w:val="0087644C"/>
    <w:rsid w:val="008764CD"/>
    <w:rsid w:val="008764E4"/>
    <w:rsid w:val="0087655D"/>
    <w:rsid w:val="00876634"/>
    <w:rsid w:val="00876678"/>
    <w:rsid w:val="00876683"/>
    <w:rsid w:val="00876689"/>
    <w:rsid w:val="008766B5"/>
    <w:rsid w:val="008766FA"/>
    <w:rsid w:val="0087671E"/>
    <w:rsid w:val="00876BDA"/>
    <w:rsid w:val="00876C05"/>
    <w:rsid w:val="00876C42"/>
    <w:rsid w:val="00876E76"/>
    <w:rsid w:val="00876EA8"/>
    <w:rsid w:val="00876FB3"/>
    <w:rsid w:val="00876FFC"/>
    <w:rsid w:val="008770A8"/>
    <w:rsid w:val="0087710F"/>
    <w:rsid w:val="0087716E"/>
    <w:rsid w:val="00877302"/>
    <w:rsid w:val="008773DC"/>
    <w:rsid w:val="008773E1"/>
    <w:rsid w:val="00877484"/>
    <w:rsid w:val="008774CE"/>
    <w:rsid w:val="008774F2"/>
    <w:rsid w:val="0087758E"/>
    <w:rsid w:val="008775D1"/>
    <w:rsid w:val="008775E5"/>
    <w:rsid w:val="00877644"/>
    <w:rsid w:val="008776AB"/>
    <w:rsid w:val="008776BC"/>
    <w:rsid w:val="008777DE"/>
    <w:rsid w:val="008778C9"/>
    <w:rsid w:val="008779D1"/>
    <w:rsid w:val="00877A69"/>
    <w:rsid w:val="00877CBC"/>
    <w:rsid w:val="00877D59"/>
    <w:rsid w:val="00877EC5"/>
    <w:rsid w:val="00877EE0"/>
    <w:rsid w:val="00877FB0"/>
    <w:rsid w:val="00880032"/>
    <w:rsid w:val="008800B1"/>
    <w:rsid w:val="00880195"/>
    <w:rsid w:val="008801B3"/>
    <w:rsid w:val="00880244"/>
    <w:rsid w:val="00880259"/>
    <w:rsid w:val="008802EE"/>
    <w:rsid w:val="00880320"/>
    <w:rsid w:val="0088036D"/>
    <w:rsid w:val="00880387"/>
    <w:rsid w:val="0088039C"/>
    <w:rsid w:val="008803D8"/>
    <w:rsid w:val="008805A2"/>
    <w:rsid w:val="008805CA"/>
    <w:rsid w:val="00880759"/>
    <w:rsid w:val="00880856"/>
    <w:rsid w:val="0088088F"/>
    <w:rsid w:val="00880B4A"/>
    <w:rsid w:val="00880C8D"/>
    <w:rsid w:val="00880CC7"/>
    <w:rsid w:val="00880D87"/>
    <w:rsid w:val="00880D8D"/>
    <w:rsid w:val="00880DA8"/>
    <w:rsid w:val="00880ED7"/>
    <w:rsid w:val="00880EE1"/>
    <w:rsid w:val="00880F09"/>
    <w:rsid w:val="00881063"/>
    <w:rsid w:val="00881070"/>
    <w:rsid w:val="008812A2"/>
    <w:rsid w:val="00881373"/>
    <w:rsid w:val="008814AE"/>
    <w:rsid w:val="008814BE"/>
    <w:rsid w:val="00881548"/>
    <w:rsid w:val="0088160A"/>
    <w:rsid w:val="00881752"/>
    <w:rsid w:val="00881926"/>
    <w:rsid w:val="00881984"/>
    <w:rsid w:val="00881A27"/>
    <w:rsid w:val="00881A41"/>
    <w:rsid w:val="00881AB8"/>
    <w:rsid w:val="00881C8E"/>
    <w:rsid w:val="00881CA7"/>
    <w:rsid w:val="00881CDC"/>
    <w:rsid w:val="00881D1B"/>
    <w:rsid w:val="00882069"/>
    <w:rsid w:val="008820C1"/>
    <w:rsid w:val="00882150"/>
    <w:rsid w:val="008821B5"/>
    <w:rsid w:val="008821BB"/>
    <w:rsid w:val="0088222E"/>
    <w:rsid w:val="00882264"/>
    <w:rsid w:val="00882745"/>
    <w:rsid w:val="00882BF2"/>
    <w:rsid w:val="00882BF5"/>
    <w:rsid w:val="00882C3A"/>
    <w:rsid w:val="00882C4D"/>
    <w:rsid w:val="00882DBE"/>
    <w:rsid w:val="00882DD9"/>
    <w:rsid w:val="00882E1B"/>
    <w:rsid w:val="00882E92"/>
    <w:rsid w:val="00882F62"/>
    <w:rsid w:val="0088315B"/>
    <w:rsid w:val="0088320A"/>
    <w:rsid w:val="0088340E"/>
    <w:rsid w:val="008835CC"/>
    <w:rsid w:val="0088363A"/>
    <w:rsid w:val="00883650"/>
    <w:rsid w:val="008836D2"/>
    <w:rsid w:val="0088370D"/>
    <w:rsid w:val="00883792"/>
    <w:rsid w:val="00883833"/>
    <w:rsid w:val="00883852"/>
    <w:rsid w:val="00883861"/>
    <w:rsid w:val="00883923"/>
    <w:rsid w:val="00883AF4"/>
    <w:rsid w:val="00883B5D"/>
    <w:rsid w:val="00883BAD"/>
    <w:rsid w:val="00883C9C"/>
    <w:rsid w:val="00883DE1"/>
    <w:rsid w:val="00883E5B"/>
    <w:rsid w:val="00883E8B"/>
    <w:rsid w:val="00883FEF"/>
    <w:rsid w:val="008840AF"/>
    <w:rsid w:val="008840E6"/>
    <w:rsid w:val="00884179"/>
    <w:rsid w:val="0088420F"/>
    <w:rsid w:val="0088424E"/>
    <w:rsid w:val="008843D4"/>
    <w:rsid w:val="00884472"/>
    <w:rsid w:val="008844C4"/>
    <w:rsid w:val="00884503"/>
    <w:rsid w:val="0088452B"/>
    <w:rsid w:val="00884613"/>
    <w:rsid w:val="008846F5"/>
    <w:rsid w:val="00884794"/>
    <w:rsid w:val="008847FA"/>
    <w:rsid w:val="00884862"/>
    <w:rsid w:val="00884BC2"/>
    <w:rsid w:val="00884C60"/>
    <w:rsid w:val="00884D27"/>
    <w:rsid w:val="00884F08"/>
    <w:rsid w:val="00884FD9"/>
    <w:rsid w:val="00885094"/>
    <w:rsid w:val="008851AD"/>
    <w:rsid w:val="00885375"/>
    <w:rsid w:val="0088548D"/>
    <w:rsid w:val="008855AF"/>
    <w:rsid w:val="008855D6"/>
    <w:rsid w:val="00885651"/>
    <w:rsid w:val="008857DB"/>
    <w:rsid w:val="00885841"/>
    <w:rsid w:val="00885854"/>
    <w:rsid w:val="00885873"/>
    <w:rsid w:val="00885AC5"/>
    <w:rsid w:val="00885BE1"/>
    <w:rsid w:val="00885C54"/>
    <w:rsid w:val="00885D87"/>
    <w:rsid w:val="00885E28"/>
    <w:rsid w:val="00885E43"/>
    <w:rsid w:val="00885F24"/>
    <w:rsid w:val="00886102"/>
    <w:rsid w:val="008861AD"/>
    <w:rsid w:val="008861D7"/>
    <w:rsid w:val="0088621B"/>
    <w:rsid w:val="0088638B"/>
    <w:rsid w:val="008863F6"/>
    <w:rsid w:val="0088643C"/>
    <w:rsid w:val="0088657A"/>
    <w:rsid w:val="00886797"/>
    <w:rsid w:val="008868D7"/>
    <w:rsid w:val="008869BF"/>
    <w:rsid w:val="00886A04"/>
    <w:rsid w:val="00886A91"/>
    <w:rsid w:val="00886AFE"/>
    <w:rsid w:val="00886B57"/>
    <w:rsid w:val="00886BCB"/>
    <w:rsid w:val="00886BFB"/>
    <w:rsid w:val="00886C93"/>
    <w:rsid w:val="00886CCF"/>
    <w:rsid w:val="00886D51"/>
    <w:rsid w:val="00886E4B"/>
    <w:rsid w:val="00887041"/>
    <w:rsid w:val="008870D9"/>
    <w:rsid w:val="00887140"/>
    <w:rsid w:val="00887301"/>
    <w:rsid w:val="0088736D"/>
    <w:rsid w:val="008874B1"/>
    <w:rsid w:val="00887544"/>
    <w:rsid w:val="008875AD"/>
    <w:rsid w:val="00887630"/>
    <w:rsid w:val="0088767D"/>
    <w:rsid w:val="00887795"/>
    <w:rsid w:val="008878B4"/>
    <w:rsid w:val="00887AF1"/>
    <w:rsid w:val="00887B23"/>
    <w:rsid w:val="00887E03"/>
    <w:rsid w:val="00887E3B"/>
    <w:rsid w:val="00887EEE"/>
    <w:rsid w:val="00887F24"/>
    <w:rsid w:val="00887F30"/>
    <w:rsid w:val="00887FDB"/>
    <w:rsid w:val="00887FED"/>
    <w:rsid w:val="008900A2"/>
    <w:rsid w:val="008900C6"/>
    <w:rsid w:val="00890136"/>
    <w:rsid w:val="00890300"/>
    <w:rsid w:val="008904B4"/>
    <w:rsid w:val="008906C0"/>
    <w:rsid w:val="0089074C"/>
    <w:rsid w:val="008907BE"/>
    <w:rsid w:val="008907DE"/>
    <w:rsid w:val="00890868"/>
    <w:rsid w:val="008908BA"/>
    <w:rsid w:val="00890938"/>
    <w:rsid w:val="00890A71"/>
    <w:rsid w:val="00890B9E"/>
    <w:rsid w:val="00890E9C"/>
    <w:rsid w:val="0089104C"/>
    <w:rsid w:val="008910B9"/>
    <w:rsid w:val="008911CD"/>
    <w:rsid w:val="008911FD"/>
    <w:rsid w:val="00891221"/>
    <w:rsid w:val="0089133D"/>
    <w:rsid w:val="008914D8"/>
    <w:rsid w:val="00891665"/>
    <w:rsid w:val="00891670"/>
    <w:rsid w:val="0089167C"/>
    <w:rsid w:val="008918A0"/>
    <w:rsid w:val="008919A9"/>
    <w:rsid w:val="008919AA"/>
    <w:rsid w:val="008919F1"/>
    <w:rsid w:val="00891A79"/>
    <w:rsid w:val="00891AC4"/>
    <w:rsid w:val="00891B87"/>
    <w:rsid w:val="00891BB5"/>
    <w:rsid w:val="00891C6E"/>
    <w:rsid w:val="00891D1F"/>
    <w:rsid w:val="00891D35"/>
    <w:rsid w:val="00891D6D"/>
    <w:rsid w:val="0089208E"/>
    <w:rsid w:val="00892264"/>
    <w:rsid w:val="00892365"/>
    <w:rsid w:val="0089240E"/>
    <w:rsid w:val="00892507"/>
    <w:rsid w:val="00892646"/>
    <w:rsid w:val="008926A3"/>
    <w:rsid w:val="00892881"/>
    <w:rsid w:val="008929AA"/>
    <w:rsid w:val="00892A80"/>
    <w:rsid w:val="00892D65"/>
    <w:rsid w:val="00892E51"/>
    <w:rsid w:val="00892EB1"/>
    <w:rsid w:val="00892F20"/>
    <w:rsid w:val="00892FDE"/>
    <w:rsid w:val="00893104"/>
    <w:rsid w:val="0089312D"/>
    <w:rsid w:val="008934FF"/>
    <w:rsid w:val="00893577"/>
    <w:rsid w:val="0089358E"/>
    <w:rsid w:val="0089359A"/>
    <w:rsid w:val="0089388F"/>
    <w:rsid w:val="00893901"/>
    <w:rsid w:val="00893921"/>
    <w:rsid w:val="0089397D"/>
    <w:rsid w:val="00893A6D"/>
    <w:rsid w:val="00893AFE"/>
    <w:rsid w:val="00893B3E"/>
    <w:rsid w:val="00893DEC"/>
    <w:rsid w:val="00893E8C"/>
    <w:rsid w:val="00893F14"/>
    <w:rsid w:val="00894009"/>
    <w:rsid w:val="00894069"/>
    <w:rsid w:val="00894124"/>
    <w:rsid w:val="00894259"/>
    <w:rsid w:val="008942D9"/>
    <w:rsid w:val="00894403"/>
    <w:rsid w:val="0089461C"/>
    <w:rsid w:val="00894620"/>
    <w:rsid w:val="008946A8"/>
    <w:rsid w:val="008947A1"/>
    <w:rsid w:val="008949B9"/>
    <w:rsid w:val="00894A27"/>
    <w:rsid w:val="00894A95"/>
    <w:rsid w:val="00894CB2"/>
    <w:rsid w:val="00894CB5"/>
    <w:rsid w:val="00894CF3"/>
    <w:rsid w:val="00894D2A"/>
    <w:rsid w:val="00894D69"/>
    <w:rsid w:val="00894EAB"/>
    <w:rsid w:val="00894EDA"/>
    <w:rsid w:val="00894F4A"/>
    <w:rsid w:val="0089500D"/>
    <w:rsid w:val="00895105"/>
    <w:rsid w:val="0089514E"/>
    <w:rsid w:val="00895310"/>
    <w:rsid w:val="0089532E"/>
    <w:rsid w:val="00895371"/>
    <w:rsid w:val="008953C9"/>
    <w:rsid w:val="008955F6"/>
    <w:rsid w:val="008956E0"/>
    <w:rsid w:val="0089578F"/>
    <w:rsid w:val="008957B3"/>
    <w:rsid w:val="008957F1"/>
    <w:rsid w:val="008958FE"/>
    <w:rsid w:val="00895A2C"/>
    <w:rsid w:val="00895A7B"/>
    <w:rsid w:val="00895A94"/>
    <w:rsid w:val="00895B02"/>
    <w:rsid w:val="00895B13"/>
    <w:rsid w:val="00895B4F"/>
    <w:rsid w:val="00895C45"/>
    <w:rsid w:val="00895D24"/>
    <w:rsid w:val="00895DAA"/>
    <w:rsid w:val="00895DC8"/>
    <w:rsid w:val="00895E7C"/>
    <w:rsid w:val="00895F42"/>
    <w:rsid w:val="00895F45"/>
    <w:rsid w:val="00895F6F"/>
    <w:rsid w:val="008961AB"/>
    <w:rsid w:val="008962D2"/>
    <w:rsid w:val="00896355"/>
    <w:rsid w:val="008963C9"/>
    <w:rsid w:val="008963D3"/>
    <w:rsid w:val="00896538"/>
    <w:rsid w:val="00896694"/>
    <w:rsid w:val="008966A8"/>
    <w:rsid w:val="00896747"/>
    <w:rsid w:val="00896798"/>
    <w:rsid w:val="008967CE"/>
    <w:rsid w:val="00896902"/>
    <w:rsid w:val="008969C6"/>
    <w:rsid w:val="008969F1"/>
    <w:rsid w:val="00896A94"/>
    <w:rsid w:val="00896AD5"/>
    <w:rsid w:val="00896C8B"/>
    <w:rsid w:val="00896DAB"/>
    <w:rsid w:val="00896F42"/>
    <w:rsid w:val="00896FF1"/>
    <w:rsid w:val="008970E8"/>
    <w:rsid w:val="00897388"/>
    <w:rsid w:val="008974FB"/>
    <w:rsid w:val="0089757A"/>
    <w:rsid w:val="008978B9"/>
    <w:rsid w:val="008978FC"/>
    <w:rsid w:val="008979FF"/>
    <w:rsid w:val="00897A1D"/>
    <w:rsid w:val="00897AE8"/>
    <w:rsid w:val="00897B45"/>
    <w:rsid w:val="00897D04"/>
    <w:rsid w:val="00897EAA"/>
    <w:rsid w:val="00897F35"/>
    <w:rsid w:val="00897F7A"/>
    <w:rsid w:val="00897FF6"/>
    <w:rsid w:val="008A0175"/>
    <w:rsid w:val="008A043F"/>
    <w:rsid w:val="008A050E"/>
    <w:rsid w:val="008A053B"/>
    <w:rsid w:val="008A057A"/>
    <w:rsid w:val="008A07F3"/>
    <w:rsid w:val="008A0837"/>
    <w:rsid w:val="008A0973"/>
    <w:rsid w:val="008A0A0D"/>
    <w:rsid w:val="008A0AEC"/>
    <w:rsid w:val="008A0B09"/>
    <w:rsid w:val="008A0B87"/>
    <w:rsid w:val="008A0D10"/>
    <w:rsid w:val="008A0EAE"/>
    <w:rsid w:val="008A0EF4"/>
    <w:rsid w:val="008A0EFB"/>
    <w:rsid w:val="008A1238"/>
    <w:rsid w:val="008A1272"/>
    <w:rsid w:val="008A1296"/>
    <w:rsid w:val="008A1381"/>
    <w:rsid w:val="008A13B6"/>
    <w:rsid w:val="008A13F6"/>
    <w:rsid w:val="008A15A0"/>
    <w:rsid w:val="008A1671"/>
    <w:rsid w:val="008A16A4"/>
    <w:rsid w:val="008A16E1"/>
    <w:rsid w:val="008A176F"/>
    <w:rsid w:val="008A17B5"/>
    <w:rsid w:val="008A17B6"/>
    <w:rsid w:val="008A17CD"/>
    <w:rsid w:val="008A17DC"/>
    <w:rsid w:val="008A19D4"/>
    <w:rsid w:val="008A1AFA"/>
    <w:rsid w:val="008A1B5F"/>
    <w:rsid w:val="008A1BA2"/>
    <w:rsid w:val="008A1BF1"/>
    <w:rsid w:val="008A1D30"/>
    <w:rsid w:val="008A1D4A"/>
    <w:rsid w:val="008A1DD0"/>
    <w:rsid w:val="008A1E5D"/>
    <w:rsid w:val="008A1E6F"/>
    <w:rsid w:val="008A1E76"/>
    <w:rsid w:val="008A1E86"/>
    <w:rsid w:val="008A1EBE"/>
    <w:rsid w:val="008A1F6A"/>
    <w:rsid w:val="008A2012"/>
    <w:rsid w:val="008A210F"/>
    <w:rsid w:val="008A213B"/>
    <w:rsid w:val="008A214A"/>
    <w:rsid w:val="008A218F"/>
    <w:rsid w:val="008A21B4"/>
    <w:rsid w:val="008A21E1"/>
    <w:rsid w:val="008A22C4"/>
    <w:rsid w:val="008A23A2"/>
    <w:rsid w:val="008A24AF"/>
    <w:rsid w:val="008A2526"/>
    <w:rsid w:val="008A25DF"/>
    <w:rsid w:val="008A2846"/>
    <w:rsid w:val="008A287F"/>
    <w:rsid w:val="008A28F6"/>
    <w:rsid w:val="008A299A"/>
    <w:rsid w:val="008A2A69"/>
    <w:rsid w:val="008A2A70"/>
    <w:rsid w:val="008A2C80"/>
    <w:rsid w:val="008A2CD7"/>
    <w:rsid w:val="008A2D4C"/>
    <w:rsid w:val="008A2DDC"/>
    <w:rsid w:val="008A2DF2"/>
    <w:rsid w:val="008A2F5D"/>
    <w:rsid w:val="008A300D"/>
    <w:rsid w:val="008A301D"/>
    <w:rsid w:val="008A304E"/>
    <w:rsid w:val="008A30CD"/>
    <w:rsid w:val="008A31A3"/>
    <w:rsid w:val="008A327E"/>
    <w:rsid w:val="008A32D2"/>
    <w:rsid w:val="008A3369"/>
    <w:rsid w:val="008A340B"/>
    <w:rsid w:val="008A3453"/>
    <w:rsid w:val="008A3608"/>
    <w:rsid w:val="008A3651"/>
    <w:rsid w:val="008A368C"/>
    <w:rsid w:val="008A36B6"/>
    <w:rsid w:val="008A3753"/>
    <w:rsid w:val="008A3816"/>
    <w:rsid w:val="008A3875"/>
    <w:rsid w:val="008A3905"/>
    <w:rsid w:val="008A39D2"/>
    <w:rsid w:val="008A3A28"/>
    <w:rsid w:val="008A3CE2"/>
    <w:rsid w:val="008A3D16"/>
    <w:rsid w:val="008A3E27"/>
    <w:rsid w:val="008A3ED4"/>
    <w:rsid w:val="008A3F4E"/>
    <w:rsid w:val="008A3F7D"/>
    <w:rsid w:val="008A4006"/>
    <w:rsid w:val="008A4050"/>
    <w:rsid w:val="008A40DE"/>
    <w:rsid w:val="008A4106"/>
    <w:rsid w:val="008A419F"/>
    <w:rsid w:val="008A4227"/>
    <w:rsid w:val="008A446C"/>
    <w:rsid w:val="008A4589"/>
    <w:rsid w:val="008A4750"/>
    <w:rsid w:val="008A4891"/>
    <w:rsid w:val="008A48D8"/>
    <w:rsid w:val="008A49EA"/>
    <w:rsid w:val="008A4A80"/>
    <w:rsid w:val="008A4ABA"/>
    <w:rsid w:val="008A4CAC"/>
    <w:rsid w:val="008A4D3F"/>
    <w:rsid w:val="008A4E45"/>
    <w:rsid w:val="008A4F61"/>
    <w:rsid w:val="008A5441"/>
    <w:rsid w:val="008A5468"/>
    <w:rsid w:val="008A54F8"/>
    <w:rsid w:val="008A56FD"/>
    <w:rsid w:val="008A5728"/>
    <w:rsid w:val="008A5772"/>
    <w:rsid w:val="008A578C"/>
    <w:rsid w:val="008A57D9"/>
    <w:rsid w:val="008A57FF"/>
    <w:rsid w:val="008A5819"/>
    <w:rsid w:val="008A586E"/>
    <w:rsid w:val="008A58ED"/>
    <w:rsid w:val="008A5A8D"/>
    <w:rsid w:val="008A5B98"/>
    <w:rsid w:val="008A5BD1"/>
    <w:rsid w:val="008A5EA1"/>
    <w:rsid w:val="008A5EDF"/>
    <w:rsid w:val="008A5F54"/>
    <w:rsid w:val="008A5FAB"/>
    <w:rsid w:val="008A607C"/>
    <w:rsid w:val="008A614A"/>
    <w:rsid w:val="008A618A"/>
    <w:rsid w:val="008A62C6"/>
    <w:rsid w:val="008A6315"/>
    <w:rsid w:val="008A6328"/>
    <w:rsid w:val="008A6448"/>
    <w:rsid w:val="008A65B1"/>
    <w:rsid w:val="008A65DB"/>
    <w:rsid w:val="008A6666"/>
    <w:rsid w:val="008A66F0"/>
    <w:rsid w:val="008A66F1"/>
    <w:rsid w:val="008A67C1"/>
    <w:rsid w:val="008A68F7"/>
    <w:rsid w:val="008A6A1E"/>
    <w:rsid w:val="008A6A27"/>
    <w:rsid w:val="008A6C20"/>
    <w:rsid w:val="008A6C5A"/>
    <w:rsid w:val="008A6CB0"/>
    <w:rsid w:val="008A6CDB"/>
    <w:rsid w:val="008A6D60"/>
    <w:rsid w:val="008A6DBE"/>
    <w:rsid w:val="008A6DF0"/>
    <w:rsid w:val="008A6E22"/>
    <w:rsid w:val="008A6E3A"/>
    <w:rsid w:val="008A6EB7"/>
    <w:rsid w:val="008A701A"/>
    <w:rsid w:val="008A7067"/>
    <w:rsid w:val="008A70A8"/>
    <w:rsid w:val="008A70DC"/>
    <w:rsid w:val="008A722D"/>
    <w:rsid w:val="008A7303"/>
    <w:rsid w:val="008A7428"/>
    <w:rsid w:val="008A7437"/>
    <w:rsid w:val="008A75AB"/>
    <w:rsid w:val="008A75AF"/>
    <w:rsid w:val="008A7719"/>
    <w:rsid w:val="008A7796"/>
    <w:rsid w:val="008A78CF"/>
    <w:rsid w:val="008A798F"/>
    <w:rsid w:val="008A7A1D"/>
    <w:rsid w:val="008A7AE8"/>
    <w:rsid w:val="008A7B01"/>
    <w:rsid w:val="008A7B42"/>
    <w:rsid w:val="008A7B5E"/>
    <w:rsid w:val="008A7C88"/>
    <w:rsid w:val="008A7CB3"/>
    <w:rsid w:val="008A7D64"/>
    <w:rsid w:val="008B0136"/>
    <w:rsid w:val="008B014A"/>
    <w:rsid w:val="008B0156"/>
    <w:rsid w:val="008B021A"/>
    <w:rsid w:val="008B03CE"/>
    <w:rsid w:val="008B05DE"/>
    <w:rsid w:val="008B060C"/>
    <w:rsid w:val="008B0654"/>
    <w:rsid w:val="008B0C86"/>
    <w:rsid w:val="008B0CCA"/>
    <w:rsid w:val="008B107F"/>
    <w:rsid w:val="008B10D2"/>
    <w:rsid w:val="008B1110"/>
    <w:rsid w:val="008B114A"/>
    <w:rsid w:val="008B1255"/>
    <w:rsid w:val="008B1268"/>
    <w:rsid w:val="008B12F4"/>
    <w:rsid w:val="008B1401"/>
    <w:rsid w:val="008B158C"/>
    <w:rsid w:val="008B1793"/>
    <w:rsid w:val="008B188D"/>
    <w:rsid w:val="008B19C9"/>
    <w:rsid w:val="008B1B3F"/>
    <w:rsid w:val="008B1B78"/>
    <w:rsid w:val="008B1BAE"/>
    <w:rsid w:val="008B1C6E"/>
    <w:rsid w:val="008B1C71"/>
    <w:rsid w:val="008B1DDD"/>
    <w:rsid w:val="008B1E34"/>
    <w:rsid w:val="008B1EB3"/>
    <w:rsid w:val="008B2059"/>
    <w:rsid w:val="008B2073"/>
    <w:rsid w:val="008B20C9"/>
    <w:rsid w:val="008B2104"/>
    <w:rsid w:val="008B21A4"/>
    <w:rsid w:val="008B23D1"/>
    <w:rsid w:val="008B241A"/>
    <w:rsid w:val="008B2425"/>
    <w:rsid w:val="008B27F0"/>
    <w:rsid w:val="008B2841"/>
    <w:rsid w:val="008B28EA"/>
    <w:rsid w:val="008B29C7"/>
    <w:rsid w:val="008B2AAF"/>
    <w:rsid w:val="008B2B86"/>
    <w:rsid w:val="008B2BD1"/>
    <w:rsid w:val="008B2C2E"/>
    <w:rsid w:val="008B2CB3"/>
    <w:rsid w:val="008B2D29"/>
    <w:rsid w:val="008B2E0A"/>
    <w:rsid w:val="008B2EEA"/>
    <w:rsid w:val="008B3106"/>
    <w:rsid w:val="008B3128"/>
    <w:rsid w:val="008B3179"/>
    <w:rsid w:val="008B31BC"/>
    <w:rsid w:val="008B331C"/>
    <w:rsid w:val="008B3523"/>
    <w:rsid w:val="008B3527"/>
    <w:rsid w:val="008B36A3"/>
    <w:rsid w:val="008B373E"/>
    <w:rsid w:val="008B3799"/>
    <w:rsid w:val="008B38AF"/>
    <w:rsid w:val="008B39C2"/>
    <w:rsid w:val="008B3A2F"/>
    <w:rsid w:val="008B3B8E"/>
    <w:rsid w:val="008B3D29"/>
    <w:rsid w:val="008B3E51"/>
    <w:rsid w:val="008B3EEB"/>
    <w:rsid w:val="008B3FF0"/>
    <w:rsid w:val="008B409E"/>
    <w:rsid w:val="008B410A"/>
    <w:rsid w:val="008B420C"/>
    <w:rsid w:val="008B421A"/>
    <w:rsid w:val="008B421D"/>
    <w:rsid w:val="008B424A"/>
    <w:rsid w:val="008B42C6"/>
    <w:rsid w:val="008B4343"/>
    <w:rsid w:val="008B436B"/>
    <w:rsid w:val="008B43C8"/>
    <w:rsid w:val="008B4446"/>
    <w:rsid w:val="008B44D9"/>
    <w:rsid w:val="008B4654"/>
    <w:rsid w:val="008B46AF"/>
    <w:rsid w:val="008B492A"/>
    <w:rsid w:val="008B4AEF"/>
    <w:rsid w:val="008B4B7F"/>
    <w:rsid w:val="008B4C29"/>
    <w:rsid w:val="008B4C5A"/>
    <w:rsid w:val="008B4C6D"/>
    <w:rsid w:val="008B4D36"/>
    <w:rsid w:val="008B4D5A"/>
    <w:rsid w:val="008B4DF2"/>
    <w:rsid w:val="008B4E13"/>
    <w:rsid w:val="008B508E"/>
    <w:rsid w:val="008B510D"/>
    <w:rsid w:val="008B5342"/>
    <w:rsid w:val="008B5438"/>
    <w:rsid w:val="008B54B3"/>
    <w:rsid w:val="008B551E"/>
    <w:rsid w:val="008B5680"/>
    <w:rsid w:val="008B5807"/>
    <w:rsid w:val="008B5816"/>
    <w:rsid w:val="008B5A0C"/>
    <w:rsid w:val="008B5A5A"/>
    <w:rsid w:val="008B5A77"/>
    <w:rsid w:val="008B5AC8"/>
    <w:rsid w:val="008B5DA7"/>
    <w:rsid w:val="008B5DFB"/>
    <w:rsid w:val="008B5E89"/>
    <w:rsid w:val="008B5EC0"/>
    <w:rsid w:val="008B5F06"/>
    <w:rsid w:val="008B5F16"/>
    <w:rsid w:val="008B5F47"/>
    <w:rsid w:val="008B60D8"/>
    <w:rsid w:val="008B6101"/>
    <w:rsid w:val="008B61F5"/>
    <w:rsid w:val="008B6249"/>
    <w:rsid w:val="008B638F"/>
    <w:rsid w:val="008B63CB"/>
    <w:rsid w:val="008B63D3"/>
    <w:rsid w:val="008B6405"/>
    <w:rsid w:val="008B64A3"/>
    <w:rsid w:val="008B6621"/>
    <w:rsid w:val="008B6999"/>
    <w:rsid w:val="008B69A7"/>
    <w:rsid w:val="008B69BB"/>
    <w:rsid w:val="008B6A07"/>
    <w:rsid w:val="008B6B69"/>
    <w:rsid w:val="008B6B87"/>
    <w:rsid w:val="008B6BB8"/>
    <w:rsid w:val="008B6BD7"/>
    <w:rsid w:val="008B6C6E"/>
    <w:rsid w:val="008B6E02"/>
    <w:rsid w:val="008B6E5A"/>
    <w:rsid w:val="008B6F2E"/>
    <w:rsid w:val="008B6F41"/>
    <w:rsid w:val="008B6FAE"/>
    <w:rsid w:val="008B6FDE"/>
    <w:rsid w:val="008B6FF8"/>
    <w:rsid w:val="008B70F8"/>
    <w:rsid w:val="008B717D"/>
    <w:rsid w:val="008B72DA"/>
    <w:rsid w:val="008B7301"/>
    <w:rsid w:val="008B7365"/>
    <w:rsid w:val="008B736B"/>
    <w:rsid w:val="008B7397"/>
    <w:rsid w:val="008B752C"/>
    <w:rsid w:val="008B757D"/>
    <w:rsid w:val="008B7586"/>
    <w:rsid w:val="008B75C1"/>
    <w:rsid w:val="008B75F6"/>
    <w:rsid w:val="008B771A"/>
    <w:rsid w:val="008B7723"/>
    <w:rsid w:val="008B7772"/>
    <w:rsid w:val="008B793E"/>
    <w:rsid w:val="008B7ABB"/>
    <w:rsid w:val="008B7ADF"/>
    <w:rsid w:val="008B7BC4"/>
    <w:rsid w:val="008B7C08"/>
    <w:rsid w:val="008B7D17"/>
    <w:rsid w:val="008B7E03"/>
    <w:rsid w:val="008B7ECE"/>
    <w:rsid w:val="008B7EE9"/>
    <w:rsid w:val="008B7F22"/>
    <w:rsid w:val="008B7F61"/>
    <w:rsid w:val="008C00B6"/>
    <w:rsid w:val="008C055A"/>
    <w:rsid w:val="008C0654"/>
    <w:rsid w:val="008C06A9"/>
    <w:rsid w:val="008C0886"/>
    <w:rsid w:val="008C08C2"/>
    <w:rsid w:val="008C0A79"/>
    <w:rsid w:val="008C0B42"/>
    <w:rsid w:val="008C0BB3"/>
    <w:rsid w:val="008C0D06"/>
    <w:rsid w:val="008C0D0D"/>
    <w:rsid w:val="008C0DEC"/>
    <w:rsid w:val="008C0E32"/>
    <w:rsid w:val="008C0E7B"/>
    <w:rsid w:val="008C0F6D"/>
    <w:rsid w:val="008C0FD3"/>
    <w:rsid w:val="008C0FF9"/>
    <w:rsid w:val="008C10B0"/>
    <w:rsid w:val="008C113C"/>
    <w:rsid w:val="008C149E"/>
    <w:rsid w:val="008C14A9"/>
    <w:rsid w:val="008C15D4"/>
    <w:rsid w:val="008C16A0"/>
    <w:rsid w:val="008C16EC"/>
    <w:rsid w:val="008C172A"/>
    <w:rsid w:val="008C17D6"/>
    <w:rsid w:val="008C18CC"/>
    <w:rsid w:val="008C1933"/>
    <w:rsid w:val="008C1961"/>
    <w:rsid w:val="008C1B1B"/>
    <w:rsid w:val="008C1B45"/>
    <w:rsid w:val="008C1D4E"/>
    <w:rsid w:val="008C1D70"/>
    <w:rsid w:val="008C1DE4"/>
    <w:rsid w:val="008C1E0D"/>
    <w:rsid w:val="008C1FAF"/>
    <w:rsid w:val="008C2060"/>
    <w:rsid w:val="008C2677"/>
    <w:rsid w:val="008C2687"/>
    <w:rsid w:val="008C272E"/>
    <w:rsid w:val="008C2780"/>
    <w:rsid w:val="008C2781"/>
    <w:rsid w:val="008C2B64"/>
    <w:rsid w:val="008C2B99"/>
    <w:rsid w:val="008C2BBB"/>
    <w:rsid w:val="008C2CD9"/>
    <w:rsid w:val="008C2EDB"/>
    <w:rsid w:val="008C2F05"/>
    <w:rsid w:val="008C2F20"/>
    <w:rsid w:val="008C2F62"/>
    <w:rsid w:val="008C310E"/>
    <w:rsid w:val="008C3164"/>
    <w:rsid w:val="008C321C"/>
    <w:rsid w:val="008C3302"/>
    <w:rsid w:val="008C331A"/>
    <w:rsid w:val="008C339A"/>
    <w:rsid w:val="008C35B6"/>
    <w:rsid w:val="008C3631"/>
    <w:rsid w:val="008C3646"/>
    <w:rsid w:val="008C3714"/>
    <w:rsid w:val="008C3729"/>
    <w:rsid w:val="008C3875"/>
    <w:rsid w:val="008C38D9"/>
    <w:rsid w:val="008C38F0"/>
    <w:rsid w:val="008C3913"/>
    <w:rsid w:val="008C3BA0"/>
    <w:rsid w:val="008C3C37"/>
    <w:rsid w:val="008C3E2C"/>
    <w:rsid w:val="008C3F09"/>
    <w:rsid w:val="008C3F35"/>
    <w:rsid w:val="008C41E1"/>
    <w:rsid w:val="008C42BE"/>
    <w:rsid w:val="008C42F0"/>
    <w:rsid w:val="008C42F8"/>
    <w:rsid w:val="008C432C"/>
    <w:rsid w:val="008C433A"/>
    <w:rsid w:val="008C4585"/>
    <w:rsid w:val="008C45E3"/>
    <w:rsid w:val="008C46DD"/>
    <w:rsid w:val="008C474F"/>
    <w:rsid w:val="008C475C"/>
    <w:rsid w:val="008C479E"/>
    <w:rsid w:val="008C480C"/>
    <w:rsid w:val="008C48B1"/>
    <w:rsid w:val="008C48CF"/>
    <w:rsid w:val="008C494E"/>
    <w:rsid w:val="008C49C7"/>
    <w:rsid w:val="008C4A16"/>
    <w:rsid w:val="008C4A7D"/>
    <w:rsid w:val="008C4B50"/>
    <w:rsid w:val="008C4BE8"/>
    <w:rsid w:val="008C4C79"/>
    <w:rsid w:val="008C4CF1"/>
    <w:rsid w:val="008C50B2"/>
    <w:rsid w:val="008C5155"/>
    <w:rsid w:val="008C51B8"/>
    <w:rsid w:val="008C522C"/>
    <w:rsid w:val="008C5372"/>
    <w:rsid w:val="008C53F2"/>
    <w:rsid w:val="008C54B9"/>
    <w:rsid w:val="008C579D"/>
    <w:rsid w:val="008C5928"/>
    <w:rsid w:val="008C594E"/>
    <w:rsid w:val="008C5BBD"/>
    <w:rsid w:val="008C5D60"/>
    <w:rsid w:val="008C5DBD"/>
    <w:rsid w:val="008C5DDE"/>
    <w:rsid w:val="008C5E83"/>
    <w:rsid w:val="008C6126"/>
    <w:rsid w:val="008C6162"/>
    <w:rsid w:val="008C6468"/>
    <w:rsid w:val="008C676B"/>
    <w:rsid w:val="008C67B3"/>
    <w:rsid w:val="008C696B"/>
    <w:rsid w:val="008C6A3D"/>
    <w:rsid w:val="008C6BB1"/>
    <w:rsid w:val="008C6BCD"/>
    <w:rsid w:val="008C6BDB"/>
    <w:rsid w:val="008C6C77"/>
    <w:rsid w:val="008C6DF6"/>
    <w:rsid w:val="008C6E46"/>
    <w:rsid w:val="008C6E81"/>
    <w:rsid w:val="008C6E8F"/>
    <w:rsid w:val="008C6FDA"/>
    <w:rsid w:val="008C7172"/>
    <w:rsid w:val="008C7202"/>
    <w:rsid w:val="008C736E"/>
    <w:rsid w:val="008C7430"/>
    <w:rsid w:val="008C74F9"/>
    <w:rsid w:val="008C7647"/>
    <w:rsid w:val="008C7698"/>
    <w:rsid w:val="008C79C6"/>
    <w:rsid w:val="008C7AC3"/>
    <w:rsid w:val="008C7B1B"/>
    <w:rsid w:val="008C7C1E"/>
    <w:rsid w:val="008C7C8B"/>
    <w:rsid w:val="008C7E8D"/>
    <w:rsid w:val="008C7EF8"/>
    <w:rsid w:val="008C7F1F"/>
    <w:rsid w:val="008C7F35"/>
    <w:rsid w:val="008C7FD9"/>
    <w:rsid w:val="008D01A0"/>
    <w:rsid w:val="008D0246"/>
    <w:rsid w:val="008D0285"/>
    <w:rsid w:val="008D0286"/>
    <w:rsid w:val="008D02AC"/>
    <w:rsid w:val="008D044A"/>
    <w:rsid w:val="008D04F7"/>
    <w:rsid w:val="008D057D"/>
    <w:rsid w:val="008D058A"/>
    <w:rsid w:val="008D073E"/>
    <w:rsid w:val="008D073F"/>
    <w:rsid w:val="008D086A"/>
    <w:rsid w:val="008D0877"/>
    <w:rsid w:val="008D08BA"/>
    <w:rsid w:val="008D08CD"/>
    <w:rsid w:val="008D08D2"/>
    <w:rsid w:val="008D08F9"/>
    <w:rsid w:val="008D0A07"/>
    <w:rsid w:val="008D0A26"/>
    <w:rsid w:val="008D0A50"/>
    <w:rsid w:val="008D0A87"/>
    <w:rsid w:val="008D0A94"/>
    <w:rsid w:val="008D0AEC"/>
    <w:rsid w:val="008D0C7A"/>
    <w:rsid w:val="008D0D14"/>
    <w:rsid w:val="008D0E44"/>
    <w:rsid w:val="008D0E55"/>
    <w:rsid w:val="008D0E91"/>
    <w:rsid w:val="008D0E9A"/>
    <w:rsid w:val="008D0EAE"/>
    <w:rsid w:val="008D0EB8"/>
    <w:rsid w:val="008D0F93"/>
    <w:rsid w:val="008D0FEB"/>
    <w:rsid w:val="008D1181"/>
    <w:rsid w:val="008D1237"/>
    <w:rsid w:val="008D12DA"/>
    <w:rsid w:val="008D1357"/>
    <w:rsid w:val="008D1389"/>
    <w:rsid w:val="008D13BD"/>
    <w:rsid w:val="008D1637"/>
    <w:rsid w:val="008D1795"/>
    <w:rsid w:val="008D18D6"/>
    <w:rsid w:val="008D1D42"/>
    <w:rsid w:val="008D1E5B"/>
    <w:rsid w:val="008D1EBF"/>
    <w:rsid w:val="008D1ECB"/>
    <w:rsid w:val="008D1EED"/>
    <w:rsid w:val="008D1F41"/>
    <w:rsid w:val="008D2036"/>
    <w:rsid w:val="008D207D"/>
    <w:rsid w:val="008D2085"/>
    <w:rsid w:val="008D20E6"/>
    <w:rsid w:val="008D21DC"/>
    <w:rsid w:val="008D2217"/>
    <w:rsid w:val="008D23AF"/>
    <w:rsid w:val="008D2480"/>
    <w:rsid w:val="008D259F"/>
    <w:rsid w:val="008D2604"/>
    <w:rsid w:val="008D2609"/>
    <w:rsid w:val="008D26FE"/>
    <w:rsid w:val="008D274A"/>
    <w:rsid w:val="008D2846"/>
    <w:rsid w:val="008D2868"/>
    <w:rsid w:val="008D289A"/>
    <w:rsid w:val="008D28EB"/>
    <w:rsid w:val="008D290A"/>
    <w:rsid w:val="008D293F"/>
    <w:rsid w:val="008D294A"/>
    <w:rsid w:val="008D2958"/>
    <w:rsid w:val="008D29EB"/>
    <w:rsid w:val="008D2A15"/>
    <w:rsid w:val="008D2BF4"/>
    <w:rsid w:val="008D2BFA"/>
    <w:rsid w:val="008D2D3B"/>
    <w:rsid w:val="008D2F1A"/>
    <w:rsid w:val="008D2FC6"/>
    <w:rsid w:val="008D2FD5"/>
    <w:rsid w:val="008D30BA"/>
    <w:rsid w:val="008D30E2"/>
    <w:rsid w:val="008D311F"/>
    <w:rsid w:val="008D3247"/>
    <w:rsid w:val="008D32CA"/>
    <w:rsid w:val="008D3329"/>
    <w:rsid w:val="008D3378"/>
    <w:rsid w:val="008D33B5"/>
    <w:rsid w:val="008D3521"/>
    <w:rsid w:val="008D3524"/>
    <w:rsid w:val="008D3658"/>
    <w:rsid w:val="008D3750"/>
    <w:rsid w:val="008D3758"/>
    <w:rsid w:val="008D3863"/>
    <w:rsid w:val="008D3910"/>
    <w:rsid w:val="008D3A64"/>
    <w:rsid w:val="008D3A8A"/>
    <w:rsid w:val="008D3C8E"/>
    <w:rsid w:val="008D3CA3"/>
    <w:rsid w:val="008D3CAE"/>
    <w:rsid w:val="008D3CF3"/>
    <w:rsid w:val="008D3D1B"/>
    <w:rsid w:val="008D3D5D"/>
    <w:rsid w:val="008D3E0A"/>
    <w:rsid w:val="008D3F76"/>
    <w:rsid w:val="008D3F91"/>
    <w:rsid w:val="008D3FAC"/>
    <w:rsid w:val="008D4062"/>
    <w:rsid w:val="008D4176"/>
    <w:rsid w:val="008D41C3"/>
    <w:rsid w:val="008D4206"/>
    <w:rsid w:val="008D43FB"/>
    <w:rsid w:val="008D4464"/>
    <w:rsid w:val="008D44D0"/>
    <w:rsid w:val="008D44FD"/>
    <w:rsid w:val="008D4526"/>
    <w:rsid w:val="008D4651"/>
    <w:rsid w:val="008D46F4"/>
    <w:rsid w:val="008D4759"/>
    <w:rsid w:val="008D47E4"/>
    <w:rsid w:val="008D48BD"/>
    <w:rsid w:val="008D48E9"/>
    <w:rsid w:val="008D4919"/>
    <w:rsid w:val="008D4944"/>
    <w:rsid w:val="008D4B17"/>
    <w:rsid w:val="008D4BD4"/>
    <w:rsid w:val="008D4CF4"/>
    <w:rsid w:val="008D4D33"/>
    <w:rsid w:val="008D4D3E"/>
    <w:rsid w:val="008D4D4B"/>
    <w:rsid w:val="008D4D75"/>
    <w:rsid w:val="008D4DDD"/>
    <w:rsid w:val="008D4E8F"/>
    <w:rsid w:val="008D4E9B"/>
    <w:rsid w:val="008D519D"/>
    <w:rsid w:val="008D5328"/>
    <w:rsid w:val="008D53AA"/>
    <w:rsid w:val="008D53D4"/>
    <w:rsid w:val="008D5435"/>
    <w:rsid w:val="008D5551"/>
    <w:rsid w:val="008D55FD"/>
    <w:rsid w:val="008D5606"/>
    <w:rsid w:val="008D56C7"/>
    <w:rsid w:val="008D56F2"/>
    <w:rsid w:val="008D571D"/>
    <w:rsid w:val="008D5754"/>
    <w:rsid w:val="008D595D"/>
    <w:rsid w:val="008D5A17"/>
    <w:rsid w:val="008D5BDB"/>
    <w:rsid w:val="008D5CD0"/>
    <w:rsid w:val="008D5CFE"/>
    <w:rsid w:val="008D5E05"/>
    <w:rsid w:val="008D5E1B"/>
    <w:rsid w:val="008D5EE7"/>
    <w:rsid w:val="008D5F1D"/>
    <w:rsid w:val="008D5F52"/>
    <w:rsid w:val="008D605D"/>
    <w:rsid w:val="008D606D"/>
    <w:rsid w:val="008D6088"/>
    <w:rsid w:val="008D6150"/>
    <w:rsid w:val="008D616E"/>
    <w:rsid w:val="008D61E8"/>
    <w:rsid w:val="008D6276"/>
    <w:rsid w:val="008D62C7"/>
    <w:rsid w:val="008D63FE"/>
    <w:rsid w:val="008D642C"/>
    <w:rsid w:val="008D647C"/>
    <w:rsid w:val="008D64BA"/>
    <w:rsid w:val="008D64CC"/>
    <w:rsid w:val="008D64F6"/>
    <w:rsid w:val="008D6668"/>
    <w:rsid w:val="008D6766"/>
    <w:rsid w:val="008D67E2"/>
    <w:rsid w:val="008D68BA"/>
    <w:rsid w:val="008D68CA"/>
    <w:rsid w:val="008D6A02"/>
    <w:rsid w:val="008D6A1B"/>
    <w:rsid w:val="008D6AE7"/>
    <w:rsid w:val="008D6C70"/>
    <w:rsid w:val="008D6E2D"/>
    <w:rsid w:val="008D6E2E"/>
    <w:rsid w:val="008D7318"/>
    <w:rsid w:val="008D731F"/>
    <w:rsid w:val="008D7361"/>
    <w:rsid w:val="008D74FD"/>
    <w:rsid w:val="008D7550"/>
    <w:rsid w:val="008D756F"/>
    <w:rsid w:val="008D7633"/>
    <w:rsid w:val="008D7705"/>
    <w:rsid w:val="008D7772"/>
    <w:rsid w:val="008D7793"/>
    <w:rsid w:val="008D78DC"/>
    <w:rsid w:val="008D7913"/>
    <w:rsid w:val="008D79A0"/>
    <w:rsid w:val="008D79ED"/>
    <w:rsid w:val="008D7C8A"/>
    <w:rsid w:val="008D7CC7"/>
    <w:rsid w:val="008D7CFF"/>
    <w:rsid w:val="008D7D3C"/>
    <w:rsid w:val="008D7DAD"/>
    <w:rsid w:val="008D7FE4"/>
    <w:rsid w:val="008E01CB"/>
    <w:rsid w:val="008E0218"/>
    <w:rsid w:val="008E031A"/>
    <w:rsid w:val="008E034C"/>
    <w:rsid w:val="008E03A2"/>
    <w:rsid w:val="008E03BF"/>
    <w:rsid w:val="008E053C"/>
    <w:rsid w:val="008E0644"/>
    <w:rsid w:val="008E076F"/>
    <w:rsid w:val="008E07BB"/>
    <w:rsid w:val="008E081F"/>
    <w:rsid w:val="008E087E"/>
    <w:rsid w:val="008E08A1"/>
    <w:rsid w:val="008E08DE"/>
    <w:rsid w:val="008E0929"/>
    <w:rsid w:val="008E093C"/>
    <w:rsid w:val="008E0A10"/>
    <w:rsid w:val="008E0A79"/>
    <w:rsid w:val="008E0B39"/>
    <w:rsid w:val="008E0BF7"/>
    <w:rsid w:val="008E0C92"/>
    <w:rsid w:val="008E0DFC"/>
    <w:rsid w:val="008E0E3F"/>
    <w:rsid w:val="008E0EA6"/>
    <w:rsid w:val="008E0FF1"/>
    <w:rsid w:val="008E107F"/>
    <w:rsid w:val="008E1090"/>
    <w:rsid w:val="008E1147"/>
    <w:rsid w:val="008E1189"/>
    <w:rsid w:val="008E124F"/>
    <w:rsid w:val="008E12C4"/>
    <w:rsid w:val="008E1350"/>
    <w:rsid w:val="008E1388"/>
    <w:rsid w:val="008E144F"/>
    <w:rsid w:val="008E14B4"/>
    <w:rsid w:val="008E14D2"/>
    <w:rsid w:val="008E1713"/>
    <w:rsid w:val="008E177B"/>
    <w:rsid w:val="008E180F"/>
    <w:rsid w:val="008E1918"/>
    <w:rsid w:val="008E1B6D"/>
    <w:rsid w:val="008E1C05"/>
    <w:rsid w:val="008E1DC1"/>
    <w:rsid w:val="008E1E52"/>
    <w:rsid w:val="008E1E7B"/>
    <w:rsid w:val="008E1E89"/>
    <w:rsid w:val="008E1F02"/>
    <w:rsid w:val="008E1F0E"/>
    <w:rsid w:val="008E1F8A"/>
    <w:rsid w:val="008E201F"/>
    <w:rsid w:val="008E2101"/>
    <w:rsid w:val="008E21BD"/>
    <w:rsid w:val="008E226D"/>
    <w:rsid w:val="008E2271"/>
    <w:rsid w:val="008E22D3"/>
    <w:rsid w:val="008E230C"/>
    <w:rsid w:val="008E235E"/>
    <w:rsid w:val="008E2564"/>
    <w:rsid w:val="008E2582"/>
    <w:rsid w:val="008E2596"/>
    <w:rsid w:val="008E25B0"/>
    <w:rsid w:val="008E26C2"/>
    <w:rsid w:val="008E2746"/>
    <w:rsid w:val="008E27B3"/>
    <w:rsid w:val="008E2934"/>
    <w:rsid w:val="008E2A39"/>
    <w:rsid w:val="008E2A74"/>
    <w:rsid w:val="008E2AD3"/>
    <w:rsid w:val="008E2C6E"/>
    <w:rsid w:val="008E2D02"/>
    <w:rsid w:val="008E2D59"/>
    <w:rsid w:val="008E2E1D"/>
    <w:rsid w:val="008E2F0B"/>
    <w:rsid w:val="008E2F58"/>
    <w:rsid w:val="008E2FB6"/>
    <w:rsid w:val="008E2FB8"/>
    <w:rsid w:val="008E3103"/>
    <w:rsid w:val="008E32D0"/>
    <w:rsid w:val="008E35D4"/>
    <w:rsid w:val="008E3769"/>
    <w:rsid w:val="008E38A1"/>
    <w:rsid w:val="008E38E6"/>
    <w:rsid w:val="008E397C"/>
    <w:rsid w:val="008E3A25"/>
    <w:rsid w:val="008E3B04"/>
    <w:rsid w:val="008E3C33"/>
    <w:rsid w:val="008E3C64"/>
    <w:rsid w:val="008E3DD2"/>
    <w:rsid w:val="008E3DDB"/>
    <w:rsid w:val="008E3E80"/>
    <w:rsid w:val="008E3EA0"/>
    <w:rsid w:val="008E4051"/>
    <w:rsid w:val="008E4095"/>
    <w:rsid w:val="008E4113"/>
    <w:rsid w:val="008E4176"/>
    <w:rsid w:val="008E4286"/>
    <w:rsid w:val="008E4339"/>
    <w:rsid w:val="008E4574"/>
    <w:rsid w:val="008E4679"/>
    <w:rsid w:val="008E467B"/>
    <w:rsid w:val="008E470F"/>
    <w:rsid w:val="008E4721"/>
    <w:rsid w:val="008E473A"/>
    <w:rsid w:val="008E4788"/>
    <w:rsid w:val="008E47D5"/>
    <w:rsid w:val="008E4964"/>
    <w:rsid w:val="008E4A35"/>
    <w:rsid w:val="008E4A38"/>
    <w:rsid w:val="008E4A56"/>
    <w:rsid w:val="008E4BEF"/>
    <w:rsid w:val="008E4C93"/>
    <w:rsid w:val="008E4CB4"/>
    <w:rsid w:val="008E4CEF"/>
    <w:rsid w:val="008E4E73"/>
    <w:rsid w:val="008E4E85"/>
    <w:rsid w:val="008E4F08"/>
    <w:rsid w:val="008E4F33"/>
    <w:rsid w:val="008E4FB3"/>
    <w:rsid w:val="008E5144"/>
    <w:rsid w:val="008E51FA"/>
    <w:rsid w:val="008E520B"/>
    <w:rsid w:val="008E52DA"/>
    <w:rsid w:val="008E5322"/>
    <w:rsid w:val="008E5389"/>
    <w:rsid w:val="008E5927"/>
    <w:rsid w:val="008E5967"/>
    <w:rsid w:val="008E5ADE"/>
    <w:rsid w:val="008E5C25"/>
    <w:rsid w:val="008E5C44"/>
    <w:rsid w:val="008E5C5D"/>
    <w:rsid w:val="008E5C89"/>
    <w:rsid w:val="008E5C9B"/>
    <w:rsid w:val="008E5D78"/>
    <w:rsid w:val="008E5DC6"/>
    <w:rsid w:val="008E5DD2"/>
    <w:rsid w:val="008E5DE1"/>
    <w:rsid w:val="008E5E9D"/>
    <w:rsid w:val="008E5F05"/>
    <w:rsid w:val="008E655D"/>
    <w:rsid w:val="008E65B1"/>
    <w:rsid w:val="008E6617"/>
    <w:rsid w:val="008E66DE"/>
    <w:rsid w:val="008E69FD"/>
    <w:rsid w:val="008E6AC9"/>
    <w:rsid w:val="008E6AF0"/>
    <w:rsid w:val="008E6B4B"/>
    <w:rsid w:val="008E6C49"/>
    <w:rsid w:val="008E6C56"/>
    <w:rsid w:val="008E6C59"/>
    <w:rsid w:val="008E6C69"/>
    <w:rsid w:val="008E6C6A"/>
    <w:rsid w:val="008E6D1D"/>
    <w:rsid w:val="008E6D30"/>
    <w:rsid w:val="008E6DED"/>
    <w:rsid w:val="008E6E14"/>
    <w:rsid w:val="008E6E95"/>
    <w:rsid w:val="008E6EFE"/>
    <w:rsid w:val="008E6F56"/>
    <w:rsid w:val="008E70DD"/>
    <w:rsid w:val="008E71F8"/>
    <w:rsid w:val="008E72C5"/>
    <w:rsid w:val="008E7439"/>
    <w:rsid w:val="008E746D"/>
    <w:rsid w:val="008E7516"/>
    <w:rsid w:val="008E761A"/>
    <w:rsid w:val="008E761E"/>
    <w:rsid w:val="008E7730"/>
    <w:rsid w:val="008E797D"/>
    <w:rsid w:val="008E7F8D"/>
    <w:rsid w:val="008F01C9"/>
    <w:rsid w:val="008F0331"/>
    <w:rsid w:val="008F0365"/>
    <w:rsid w:val="008F0551"/>
    <w:rsid w:val="008F06B3"/>
    <w:rsid w:val="008F09F0"/>
    <w:rsid w:val="008F0B6A"/>
    <w:rsid w:val="008F0B9E"/>
    <w:rsid w:val="008F0C18"/>
    <w:rsid w:val="008F0CEB"/>
    <w:rsid w:val="008F0D54"/>
    <w:rsid w:val="008F0E48"/>
    <w:rsid w:val="008F0E67"/>
    <w:rsid w:val="008F0F6E"/>
    <w:rsid w:val="008F100F"/>
    <w:rsid w:val="008F1084"/>
    <w:rsid w:val="008F113D"/>
    <w:rsid w:val="008F1221"/>
    <w:rsid w:val="008F14AC"/>
    <w:rsid w:val="008F1642"/>
    <w:rsid w:val="008F16D3"/>
    <w:rsid w:val="008F187F"/>
    <w:rsid w:val="008F18A7"/>
    <w:rsid w:val="008F18C5"/>
    <w:rsid w:val="008F18F9"/>
    <w:rsid w:val="008F1C76"/>
    <w:rsid w:val="008F1CA2"/>
    <w:rsid w:val="008F1D3F"/>
    <w:rsid w:val="008F1DF3"/>
    <w:rsid w:val="008F1E57"/>
    <w:rsid w:val="008F1E97"/>
    <w:rsid w:val="008F1EA2"/>
    <w:rsid w:val="008F1EB0"/>
    <w:rsid w:val="008F1ED8"/>
    <w:rsid w:val="008F1EF5"/>
    <w:rsid w:val="008F1FBA"/>
    <w:rsid w:val="008F2078"/>
    <w:rsid w:val="008F20FA"/>
    <w:rsid w:val="008F224B"/>
    <w:rsid w:val="008F22F4"/>
    <w:rsid w:val="008F23E1"/>
    <w:rsid w:val="008F241F"/>
    <w:rsid w:val="008F24A1"/>
    <w:rsid w:val="008F24C6"/>
    <w:rsid w:val="008F2549"/>
    <w:rsid w:val="008F27BA"/>
    <w:rsid w:val="008F28BF"/>
    <w:rsid w:val="008F291E"/>
    <w:rsid w:val="008F292A"/>
    <w:rsid w:val="008F2A71"/>
    <w:rsid w:val="008F2A8D"/>
    <w:rsid w:val="008F2AD6"/>
    <w:rsid w:val="008F2B7B"/>
    <w:rsid w:val="008F2DD5"/>
    <w:rsid w:val="008F2DE0"/>
    <w:rsid w:val="008F2E4B"/>
    <w:rsid w:val="008F2EE8"/>
    <w:rsid w:val="008F2FD6"/>
    <w:rsid w:val="008F31D0"/>
    <w:rsid w:val="008F3201"/>
    <w:rsid w:val="008F326A"/>
    <w:rsid w:val="008F32EC"/>
    <w:rsid w:val="008F3559"/>
    <w:rsid w:val="008F35F2"/>
    <w:rsid w:val="008F36F7"/>
    <w:rsid w:val="008F3913"/>
    <w:rsid w:val="008F3AAB"/>
    <w:rsid w:val="008F3BAA"/>
    <w:rsid w:val="008F3BF6"/>
    <w:rsid w:val="008F3F15"/>
    <w:rsid w:val="008F3F28"/>
    <w:rsid w:val="008F3FA9"/>
    <w:rsid w:val="008F3FE6"/>
    <w:rsid w:val="008F404F"/>
    <w:rsid w:val="008F42B3"/>
    <w:rsid w:val="008F43BC"/>
    <w:rsid w:val="008F43CE"/>
    <w:rsid w:val="008F4428"/>
    <w:rsid w:val="008F4558"/>
    <w:rsid w:val="008F458E"/>
    <w:rsid w:val="008F4615"/>
    <w:rsid w:val="008F46B8"/>
    <w:rsid w:val="008F4785"/>
    <w:rsid w:val="008F4892"/>
    <w:rsid w:val="008F4935"/>
    <w:rsid w:val="008F4A1A"/>
    <w:rsid w:val="008F4A84"/>
    <w:rsid w:val="008F4B62"/>
    <w:rsid w:val="008F4C5A"/>
    <w:rsid w:val="008F4CD3"/>
    <w:rsid w:val="008F4D6D"/>
    <w:rsid w:val="008F4D79"/>
    <w:rsid w:val="008F4DE6"/>
    <w:rsid w:val="008F4DF4"/>
    <w:rsid w:val="008F4E39"/>
    <w:rsid w:val="008F4E68"/>
    <w:rsid w:val="008F4ED5"/>
    <w:rsid w:val="008F4F39"/>
    <w:rsid w:val="008F4FA3"/>
    <w:rsid w:val="008F5080"/>
    <w:rsid w:val="008F5090"/>
    <w:rsid w:val="008F5193"/>
    <w:rsid w:val="008F51A6"/>
    <w:rsid w:val="008F51B3"/>
    <w:rsid w:val="008F5309"/>
    <w:rsid w:val="008F5472"/>
    <w:rsid w:val="008F549B"/>
    <w:rsid w:val="008F54A3"/>
    <w:rsid w:val="008F565D"/>
    <w:rsid w:val="008F565F"/>
    <w:rsid w:val="008F572C"/>
    <w:rsid w:val="008F5731"/>
    <w:rsid w:val="008F5898"/>
    <w:rsid w:val="008F58F6"/>
    <w:rsid w:val="008F5905"/>
    <w:rsid w:val="008F5946"/>
    <w:rsid w:val="008F59A6"/>
    <w:rsid w:val="008F59BE"/>
    <w:rsid w:val="008F5A26"/>
    <w:rsid w:val="008F5B09"/>
    <w:rsid w:val="008F5B20"/>
    <w:rsid w:val="008F5B82"/>
    <w:rsid w:val="008F5BE4"/>
    <w:rsid w:val="008F5C47"/>
    <w:rsid w:val="008F5D41"/>
    <w:rsid w:val="008F5D95"/>
    <w:rsid w:val="008F5DEF"/>
    <w:rsid w:val="008F5EE3"/>
    <w:rsid w:val="008F5FB2"/>
    <w:rsid w:val="008F604D"/>
    <w:rsid w:val="008F6093"/>
    <w:rsid w:val="008F60DC"/>
    <w:rsid w:val="008F60FE"/>
    <w:rsid w:val="008F6103"/>
    <w:rsid w:val="008F61FC"/>
    <w:rsid w:val="008F6203"/>
    <w:rsid w:val="008F621A"/>
    <w:rsid w:val="008F6360"/>
    <w:rsid w:val="008F6436"/>
    <w:rsid w:val="008F645B"/>
    <w:rsid w:val="008F64D2"/>
    <w:rsid w:val="008F6528"/>
    <w:rsid w:val="008F662F"/>
    <w:rsid w:val="008F6663"/>
    <w:rsid w:val="008F666C"/>
    <w:rsid w:val="008F66C7"/>
    <w:rsid w:val="008F6852"/>
    <w:rsid w:val="008F68CA"/>
    <w:rsid w:val="008F691C"/>
    <w:rsid w:val="008F691D"/>
    <w:rsid w:val="008F6971"/>
    <w:rsid w:val="008F6A98"/>
    <w:rsid w:val="008F6B83"/>
    <w:rsid w:val="008F6BB4"/>
    <w:rsid w:val="008F6ED9"/>
    <w:rsid w:val="008F6F90"/>
    <w:rsid w:val="008F708A"/>
    <w:rsid w:val="008F713F"/>
    <w:rsid w:val="008F7221"/>
    <w:rsid w:val="008F7249"/>
    <w:rsid w:val="008F7423"/>
    <w:rsid w:val="008F7434"/>
    <w:rsid w:val="008F75CD"/>
    <w:rsid w:val="008F76D9"/>
    <w:rsid w:val="008F76FE"/>
    <w:rsid w:val="008F778F"/>
    <w:rsid w:val="008F7814"/>
    <w:rsid w:val="008F783E"/>
    <w:rsid w:val="008F78F0"/>
    <w:rsid w:val="008F79F7"/>
    <w:rsid w:val="008F7BBE"/>
    <w:rsid w:val="008F7BF9"/>
    <w:rsid w:val="008F7D9F"/>
    <w:rsid w:val="008F7F4E"/>
    <w:rsid w:val="008F7F59"/>
    <w:rsid w:val="0090003A"/>
    <w:rsid w:val="009001A4"/>
    <w:rsid w:val="009002B3"/>
    <w:rsid w:val="00900314"/>
    <w:rsid w:val="00900386"/>
    <w:rsid w:val="009003EA"/>
    <w:rsid w:val="0090040F"/>
    <w:rsid w:val="00900466"/>
    <w:rsid w:val="0090048E"/>
    <w:rsid w:val="009004E6"/>
    <w:rsid w:val="00900560"/>
    <w:rsid w:val="00900622"/>
    <w:rsid w:val="009006B9"/>
    <w:rsid w:val="00900750"/>
    <w:rsid w:val="009007B1"/>
    <w:rsid w:val="00900884"/>
    <w:rsid w:val="009008E1"/>
    <w:rsid w:val="009009C1"/>
    <w:rsid w:val="009009E3"/>
    <w:rsid w:val="00900B02"/>
    <w:rsid w:val="00900B7A"/>
    <w:rsid w:val="00900B82"/>
    <w:rsid w:val="00900BB7"/>
    <w:rsid w:val="00900BBD"/>
    <w:rsid w:val="00900BF7"/>
    <w:rsid w:val="00900D88"/>
    <w:rsid w:val="00900EA3"/>
    <w:rsid w:val="00900F43"/>
    <w:rsid w:val="009010D5"/>
    <w:rsid w:val="009010E8"/>
    <w:rsid w:val="009011AB"/>
    <w:rsid w:val="009011C9"/>
    <w:rsid w:val="0090129D"/>
    <w:rsid w:val="009012A6"/>
    <w:rsid w:val="009012BB"/>
    <w:rsid w:val="009013A1"/>
    <w:rsid w:val="00901544"/>
    <w:rsid w:val="009015EF"/>
    <w:rsid w:val="009016EE"/>
    <w:rsid w:val="009017E8"/>
    <w:rsid w:val="00901836"/>
    <w:rsid w:val="00901863"/>
    <w:rsid w:val="00901A2E"/>
    <w:rsid w:val="00901B15"/>
    <w:rsid w:val="00901CD8"/>
    <w:rsid w:val="00901CF1"/>
    <w:rsid w:val="00901DE3"/>
    <w:rsid w:val="00901E71"/>
    <w:rsid w:val="00901E89"/>
    <w:rsid w:val="00901F88"/>
    <w:rsid w:val="00902007"/>
    <w:rsid w:val="009020E5"/>
    <w:rsid w:val="00902179"/>
    <w:rsid w:val="00902339"/>
    <w:rsid w:val="0090238D"/>
    <w:rsid w:val="009025B4"/>
    <w:rsid w:val="00902638"/>
    <w:rsid w:val="009026B7"/>
    <w:rsid w:val="009026C2"/>
    <w:rsid w:val="00902751"/>
    <w:rsid w:val="00902798"/>
    <w:rsid w:val="009027A5"/>
    <w:rsid w:val="0090281D"/>
    <w:rsid w:val="009028EC"/>
    <w:rsid w:val="00902AA1"/>
    <w:rsid w:val="00902B96"/>
    <w:rsid w:val="00902C83"/>
    <w:rsid w:val="00902C8B"/>
    <w:rsid w:val="00902CC5"/>
    <w:rsid w:val="00902DB1"/>
    <w:rsid w:val="00902EFA"/>
    <w:rsid w:val="00902FDC"/>
    <w:rsid w:val="00903096"/>
    <w:rsid w:val="0090312E"/>
    <w:rsid w:val="0090321D"/>
    <w:rsid w:val="00903259"/>
    <w:rsid w:val="0090327E"/>
    <w:rsid w:val="00903433"/>
    <w:rsid w:val="00903455"/>
    <w:rsid w:val="009034F9"/>
    <w:rsid w:val="00903610"/>
    <w:rsid w:val="00903651"/>
    <w:rsid w:val="0090365D"/>
    <w:rsid w:val="009036E2"/>
    <w:rsid w:val="0090386F"/>
    <w:rsid w:val="0090388A"/>
    <w:rsid w:val="0090398A"/>
    <w:rsid w:val="00903997"/>
    <w:rsid w:val="009039DC"/>
    <w:rsid w:val="009039E3"/>
    <w:rsid w:val="00903A2C"/>
    <w:rsid w:val="00903B9C"/>
    <w:rsid w:val="00903C59"/>
    <w:rsid w:val="00903D01"/>
    <w:rsid w:val="00903DA2"/>
    <w:rsid w:val="00903F16"/>
    <w:rsid w:val="00903F82"/>
    <w:rsid w:val="00904010"/>
    <w:rsid w:val="0090424C"/>
    <w:rsid w:val="00904379"/>
    <w:rsid w:val="009044CB"/>
    <w:rsid w:val="00904526"/>
    <w:rsid w:val="0090461E"/>
    <w:rsid w:val="009046E1"/>
    <w:rsid w:val="009047A0"/>
    <w:rsid w:val="00904891"/>
    <w:rsid w:val="009048E4"/>
    <w:rsid w:val="00904921"/>
    <w:rsid w:val="00904C3C"/>
    <w:rsid w:val="00904C62"/>
    <w:rsid w:val="00904E0E"/>
    <w:rsid w:val="00904EB7"/>
    <w:rsid w:val="00904FD6"/>
    <w:rsid w:val="0090512E"/>
    <w:rsid w:val="00905135"/>
    <w:rsid w:val="00905173"/>
    <w:rsid w:val="0090527B"/>
    <w:rsid w:val="009052C2"/>
    <w:rsid w:val="009052CE"/>
    <w:rsid w:val="009053A1"/>
    <w:rsid w:val="0090549B"/>
    <w:rsid w:val="00905579"/>
    <w:rsid w:val="0090582C"/>
    <w:rsid w:val="00905896"/>
    <w:rsid w:val="009058A7"/>
    <w:rsid w:val="009058D0"/>
    <w:rsid w:val="009058FF"/>
    <w:rsid w:val="00905A67"/>
    <w:rsid w:val="00905A74"/>
    <w:rsid w:val="00905AC6"/>
    <w:rsid w:val="00905C4A"/>
    <w:rsid w:val="00905C81"/>
    <w:rsid w:val="00905EC9"/>
    <w:rsid w:val="00906017"/>
    <w:rsid w:val="0090608F"/>
    <w:rsid w:val="009061C0"/>
    <w:rsid w:val="009062AC"/>
    <w:rsid w:val="0090632A"/>
    <w:rsid w:val="009064B7"/>
    <w:rsid w:val="009064C8"/>
    <w:rsid w:val="009066DD"/>
    <w:rsid w:val="0090693A"/>
    <w:rsid w:val="00906A0E"/>
    <w:rsid w:val="00906A40"/>
    <w:rsid w:val="00906A91"/>
    <w:rsid w:val="00906A98"/>
    <w:rsid w:val="00906AAE"/>
    <w:rsid w:val="00906D20"/>
    <w:rsid w:val="00906DB0"/>
    <w:rsid w:val="00906DBC"/>
    <w:rsid w:val="00906DEA"/>
    <w:rsid w:val="00906FAD"/>
    <w:rsid w:val="00907079"/>
    <w:rsid w:val="00907240"/>
    <w:rsid w:val="00907264"/>
    <w:rsid w:val="00907267"/>
    <w:rsid w:val="009072AD"/>
    <w:rsid w:val="0090731D"/>
    <w:rsid w:val="009074CB"/>
    <w:rsid w:val="0090753F"/>
    <w:rsid w:val="0090767B"/>
    <w:rsid w:val="00907722"/>
    <w:rsid w:val="00907765"/>
    <w:rsid w:val="009078E0"/>
    <w:rsid w:val="009079F3"/>
    <w:rsid w:val="00907ADD"/>
    <w:rsid w:val="00907AEB"/>
    <w:rsid w:val="00907AF7"/>
    <w:rsid w:val="00907BF4"/>
    <w:rsid w:val="00907C51"/>
    <w:rsid w:val="00907C83"/>
    <w:rsid w:val="00907CD5"/>
    <w:rsid w:val="00907D03"/>
    <w:rsid w:val="00907E0F"/>
    <w:rsid w:val="00907FE0"/>
    <w:rsid w:val="00910100"/>
    <w:rsid w:val="0091030E"/>
    <w:rsid w:val="00910364"/>
    <w:rsid w:val="009103AD"/>
    <w:rsid w:val="00910439"/>
    <w:rsid w:val="009104C8"/>
    <w:rsid w:val="0091052D"/>
    <w:rsid w:val="00910546"/>
    <w:rsid w:val="009105C0"/>
    <w:rsid w:val="009105DC"/>
    <w:rsid w:val="00910634"/>
    <w:rsid w:val="00910684"/>
    <w:rsid w:val="009106E9"/>
    <w:rsid w:val="00910790"/>
    <w:rsid w:val="0091081D"/>
    <w:rsid w:val="009108E6"/>
    <w:rsid w:val="00910907"/>
    <w:rsid w:val="00910929"/>
    <w:rsid w:val="00910B4B"/>
    <w:rsid w:val="00910CC8"/>
    <w:rsid w:val="00910D11"/>
    <w:rsid w:val="009111BD"/>
    <w:rsid w:val="00911242"/>
    <w:rsid w:val="00911305"/>
    <w:rsid w:val="0091137D"/>
    <w:rsid w:val="00911605"/>
    <w:rsid w:val="009116FC"/>
    <w:rsid w:val="00911717"/>
    <w:rsid w:val="0091184E"/>
    <w:rsid w:val="0091196C"/>
    <w:rsid w:val="009119E7"/>
    <w:rsid w:val="00911B2F"/>
    <w:rsid w:val="00911BA0"/>
    <w:rsid w:val="00911BCD"/>
    <w:rsid w:val="00912030"/>
    <w:rsid w:val="00912252"/>
    <w:rsid w:val="009122A2"/>
    <w:rsid w:val="009122C4"/>
    <w:rsid w:val="00912430"/>
    <w:rsid w:val="00912544"/>
    <w:rsid w:val="00912589"/>
    <w:rsid w:val="00912603"/>
    <w:rsid w:val="009126C4"/>
    <w:rsid w:val="009126D9"/>
    <w:rsid w:val="009126FA"/>
    <w:rsid w:val="00912740"/>
    <w:rsid w:val="0091275A"/>
    <w:rsid w:val="0091275D"/>
    <w:rsid w:val="0091277E"/>
    <w:rsid w:val="0091280F"/>
    <w:rsid w:val="0091285A"/>
    <w:rsid w:val="00912BBA"/>
    <w:rsid w:val="00912D8B"/>
    <w:rsid w:val="00912E50"/>
    <w:rsid w:val="00912EC8"/>
    <w:rsid w:val="00912EF9"/>
    <w:rsid w:val="00913015"/>
    <w:rsid w:val="00913020"/>
    <w:rsid w:val="00913035"/>
    <w:rsid w:val="00913037"/>
    <w:rsid w:val="00913062"/>
    <w:rsid w:val="00913096"/>
    <w:rsid w:val="009130A1"/>
    <w:rsid w:val="009130A2"/>
    <w:rsid w:val="009131FB"/>
    <w:rsid w:val="00913258"/>
    <w:rsid w:val="00913580"/>
    <w:rsid w:val="009136F5"/>
    <w:rsid w:val="0091373B"/>
    <w:rsid w:val="00913745"/>
    <w:rsid w:val="0091375C"/>
    <w:rsid w:val="00913821"/>
    <w:rsid w:val="00913862"/>
    <w:rsid w:val="0091387E"/>
    <w:rsid w:val="009139E1"/>
    <w:rsid w:val="00913BB7"/>
    <w:rsid w:val="00913BCD"/>
    <w:rsid w:val="00913BDA"/>
    <w:rsid w:val="00913CBA"/>
    <w:rsid w:val="00913D90"/>
    <w:rsid w:val="00913E10"/>
    <w:rsid w:val="00913E7C"/>
    <w:rsid w:val="00913ED3"/>
    <w:rsid w:val="00913FEF"/>
    <w:rsid w:val="00913FFC"/>
    <w:rsid w:val="0091403E"/>
    <w:rsid w:val="00914055"/>
    <w:rsid w:val="009140FA"/>
    <w:rsid w:val="00914123"/>
    <w:rsid w:val="0091419A"/>
    <w:rsid w:val="00914208"/>
    <w:rsid w:val="00914235"/>
    <w:rsid w:val="0091425D"/>
    <w:rsid w:val="009144DB"/>
    <w:rsid w:val="0091456A"/>
    <w:rsid w:val="009145BC"/>
    <w:rsid w:val="0091464E"/>
    <w:rsid w:val="0091464F"/>
    <w:rsid w:val="00914674"/>
    <w:rsid w:val="009146DB"/>
    <w:rsid w:val="009147C4"/>
    <w:rsid w:val="00914861"/>
    <w:rsid w:val="009148FA"/>
    <w:rsid w:val="0091490F"/>
    <w:rsid w:val="00914973"/>
    <w:rsid w:val="00914B42"/>
    <w:rsid w:val="00914BE7"/>
    <w:rsid w:val="00914D3C"/>
    <w:rsid w:val="00914D59"/>
    <w:rsid w:val="00914D7A"/>
    <w:rsid w:val="00914E3C"/>
    <w:rsid w:val="00914FF7"/>
    <w:rsid w:val="00915100"/>
    <w:rsid w:val="009152B9"/>
    <w:rsid w:val="009152C2"/>
    <w:rsid w:val="009152D1"/>
    <w:rsid w:val="009152E1"/>
    <w:rsid w:val="00915350"/>
    <w:rsid w:val="0091535C"/>
    <w:rsid w:val="00915544"/>
    <w:rsid w:val="00915638"/>
    <w:rsid w:val="009156F3"/>
    <w:rsid w:val="00915769"/>
    <w:rsid w:val="00915844"/>
    <w:rsid w:val="009158F1"/>
    <w:rsid w:val="00915C4D"/>
    <w:rsid w:val="00915F1F"/>
    <w:rsid w:val="00915F29"/>
    <w:rsid w:val="00915FE9"/>
    <w:rsid w:val="00916033"/>
    <w:rsid w:val="009160A3"/>
    <w:rsid w:val="00916259"/>
    <w:rsid w:val="0091631C"/>
    <w:rsid w:val="009163A0"/>
    <w:rsid w:val="009163D6"/>
    <w:rsid w:val="00916406"/>
    <w:rsid w:val="00916429"/>
    <w:rsid w:val="00916458"/>
    <w:rsid w:val="009165BD"/>
    <w:rsid w:val="009165F5"/>
    <w:rsid w:val="0091660F"/>
    <w:rsid w:val="00916629"/>
    <w:rsid w:val="00916668"/>
    <w:rsid w:val="009166AD"/>
    <w:rsid w:val="009166CC"/>
    <w:rsid w:val="009166E9"/>
    <w:rsid w:val="00916791"/>
    <w:rsid w:val="0091692C"/>
    <w:rsid w:val="009169B7"/>
    <w:rsid w:val="009169DF"/>
    <w:rsid w:val="00916B81"/>
    <w:rsid w:val="00916BB2"/>
    <w:rsid w:val="00916C01"/>
    <w:rsid w:val="00916DC8"/>
    <w:rsid w:val="00916ECA"/>
    <w:rsid w:val="00917005"/>
    <w:rsid w:val="009170EC"/>
    <w:rsid w:val="009171CD"/>
    <w:rsid w:val="0091723B"/>
    <w:rsid w:val="009172A8"/>
    <w:rsid w:val="009172F7"/>
    <w:rsid w:val="00917304"/>
    <w:rsid w:val="0091732A"/>
    <w:rsid w:val="009173A4"/>
    <w:rsid w:val="00917481"/>
    <w:rsid w:val="0091753F"/>
    <w:rsid w:val="00917579"/>
    <w:rsid w:val="00917747"/>
    <w:rsid w:val="00917803"/>
    <w:rsid w:val="0091785E"/>
    <w:rsid w:val="00917874"/>
    <w:rsid w:val="00917ABF"/>
    <w:rsid w:val="00917CE8"/>
    <w:rsid w:val="00917CF1"/>
    <w:rsid w:val="00917D65"/>
    <w:rsid w:val="00917DC8"/>
    <w:rsid w:val="00917E7C"/>
    <w:rsid w:val="00917F5F"/>
    <w:rsid w:val="00917F73"/>
    <w:rsid w:val="00917FC8"/>
    <w:rsid w:val="009200CA"/>
    <w:rsid w:val="009200F0"/>
    <w:rsid w:val="00920359"/>
    <w:rsid w:val="0092046B"/>
    <w:rsid w:val="0092050E"/>
    <w:rsid w:val="00920667"/>
    <w:rsid w:val="009206D8"/>
    <w:rsid w:val="009208BA"/>
    <w:rsid w:val="00920A3A"/>
    <w:rsid w:val="00920A81"/>
    <w:rsid w:val="00920B27"/>
    <w:rsid w:val="00920B86"/>
    <w:rsid w:val="00920B98"/>
    <w:rsid w:val="00920BCC"/>
    <w:rsid w:val="00920BD7"/>
    <w:rsid w:val="00920C19"/>
    <w:rsid w:val="00920E27"/>
    <w:rsid w:val="00920F72"/>
    <w:rsid w:val="00921051"/>
    <w:rsid w:val="009210EE"/>
    <w:rsid w:val="00921192"/>
    <w:rsid w:val="00921211"/>
    <w:rsid w:val="009212A7"/>
    <w:rsid w:val="00921328"/>
    <w:rsid w:val="009214CF"/>
    <w:rsid w:val="009215CE"/>
    <w:rsid w:val="009215CF"/>
    <w:rsid w:val="00921707"/>
    <w:rsid w:val="0092172E"/>
    <w:rsid w:val="009217C9"/>
    <w:rsid w:val="0092183E"/>
    <w:rsid w:val="009218DC"/>
    <w:rsid w:val="00921CCD"/>
    <w:rsid w:val="00921D47"/>
    <w:rsid w:val="00921D85"/>
    <w:rsid w:val="00921F7E"/>
    <w:rsid w:val="00922021"/>
    <w:rsid w:val="009222CA"/>
    <w:rsid w:val="00922497"/>
    <w:rsid w:val="009226EB"/>
    <w:rsid w:val="0092277C"/>
    <w:rsid w:val="00922917"/>
    <w:rsid w:val="00922AE5"/>
    <w:rsid w:val="00922C11"/>
    <w:rsid w:val="00922D14"/>
    <w:rsid w:val="00922EA9"/>
    <w:rsid w:val="00922F26"/>
    <w:rsid w:val="00922F71"/>
    <w:rsid w:val="00922FB5"/>
    <w:rsid w:val="00923047"/>
    <w:rsid w:val="0092307F"/>
    <w:rsid w:val="009230AB"/>
    <w:rsid w:val="009231C0"/>
    <w:rsid w:val="009231FF"/>
    <w:rsid w:val="00923216"/>
    <w:rsid w:val="009233E5"/>
    <w:rsid w:val="00923452"/>
    <w:rsid w:val="0092361E"/>
    <w:rsid w:val="009238A8"/>
    <w:rsid w:val="00923A37"/>
    <w:rsid w:val="00923B13"/>
    <w:rsid w:val="00923B62"/>
    <w:rsid w:val="00923BBE"/>
    <w:rsid w:val="00923D6B"/>
    <w:rsid w:val="00923E39"/>
    <w:rsid w:val="00923F16"/>
    <w:rsid w:val="0092400A"/>
    <w:rsid w:val="0092402B"/>
    <w:rsid w:val="00924144"/>
    <w:rsid w:val="00924343"/>
    <w:rsid w:val="009243DE"/>
    <w:rsid w:val="00924580"/>
    <w:rsid w:val="00924678"/>
    <w:rsid w:val="00924712"/>
    <w:rsid w:val="0092477D"/>
    <w:rsid w:val="009248B5"/>
    <w:rsid w:val="00924925"/>
    <w:rsid w:val="00924C74"/>
    <w:rsid w:val="00924CC0"/>
    <w:rsid w:val="00924D1C"/>
    <w:rsid w:val="00924E3C"/>
    <w:rsid w:val="00924E84"/>
    <w:rsid w:val="00924E90"/>
    <w:rsid w:val="00924FBC"/>
    <w:rsid w:val="00925147"/>
    <w:rsid w:val="009251CD"/>
    <w:rsid w:val="00925335"/>
    <w:rsid w:val="0092533E"/>
    <w:rsid w:val="00925355"/>
    <w:rsid w:val="0092553C"/>
    <w:rsid w:val="00925565"/>
    <w:rsid w:val="0092556E"/>
    <w:rsid w:val="009255D8"/>
    <w:rsid w:val="009257A0"/>
    <w:rsid w:val="00925854"/>
    <w:rsid w:val="009258BB"/>
    <w:rsid w:val="00925933"/>
    <w:rsid w:val="00925A2A"/>
    <w:rsid w:val="00925AC6"/>
    <w:rsid w:val="00925AFB"/>
    <w:rsid w:val="00925D97"/>
    <w:rsid w:val="00925F77"/>
    <w:rsid w:val="00925FAA"/>
    <w:rsid w:val="00925FD7"/>
    <w:rsid w:val="00926021"/>
    <w:rsid w:val="009261E2"/>
    <w:rsid w:val="009261F3"/>
    <w:rsid w:val="00926235"/>
    <w:rsid w:val="00926335"/>
    <w:rsid w:val="009263F6"/>
    <w:rsid w:val="00926446"/>
    <w:rsid w:val="00926555"/>
    <w:rsid w:val="009267E9"/>
    <w:rsid w:val="00926BBE"/>
    <w:rsid w:val="00926DD2"/>
    <w:rsid w:val="00926EE8"/>
    <w:rsid w:val="00927097"/>
    <w:rsid w:val="00927157"/>
    <w:rsid w:val="00927207"/>
    <w:rsid w:val="00927494"/>
    <w:rsid w:val="009274FC"/>
    <w:rsid w:val="00927668"/>
    <w:rsid w:val="00927801"/>
    <w:rsid w:val="00927B34"/>
    <w:rsid w:val="00927C05"/>
    <w:rsid w:val="00927CD4"/>
    <w:rsid w:val="00927CE7"/>
    <w:rsid w:val="00927D1E"/>
    <w:rsid w:val="00927D62"/>
    <w:rsid w:val="00927D80"/>
    <w:rsid w:val="00927DA0"/>
    <w:rsid w:val="00927DB6"/>
    <w:rsid w:val="00927E0F"/>
    <w:rsid w:val="00927E4B"/>
    <w:rsid w:val="00927EC2"/>
    <w:rsid w:val="00927F82"/>
    <w:rsid w:val="00927F83"/>
    <w:rsid w:val="00927FCA"/>
    <w:rsid w:val="0093004E"/>
    <w:rsid w:val="00930143"/>
    <w:rsid w:val="009301EA"/>
    <w:rsid w:val="0093023B"/>
    <w:rsid w:val="009302D8"/>
    <w:rsid w:val="00930320"/>
    <w:rsid w:val="009304CE"/>
    <w:rsid w:val="0093070F"/>
    <w:rsid w:val="0093087C"/>
    <w:rsid w:val="00930964"/>
    <w:rsid w:val="00930972"/>
    <w:rsid w:val="00930BED"/>
    <w:rsid w:val="00930CA8"/>
    <w:rsid w:val="00930D36"/>
    <w:rsid w:val="00930D45"/>
    <w:rsid w:val="00930D7C"/>
    <w:rsid w:val="00930E22"/>
    <w:rsid w:val="00930EB1"/>
    <w:rsid w:val="00930EB9"/>
    <w:rsid w:val="00930EFD"/>
    <w:rsid w:val="00930F6C"/>
    <w:rsid w:val="00930FD4"/>
    <w:rsid w:val="00931024"/>
    <w:rsid w:val="009310F8"/>
    <w:rsid w:val="009311A3"/>
    <w:rsid w:val="00931232"/>
    <w:rsid w:val="00931251"/>
    <w:rsid w:val="00931268"/>
    <w:rsid w:val="00931323"/>
    <w:rsid w:val="00931347"/>
    <w:rsid w:val="0093136F"/>
    <w:rsid w:val="0093138D"/>
    <w:rsid w:val="0093141E"/>
    <w:rsid w:val="009314C1"/>
    <w:rsid w:val="0093155E"/>
    <w:rsid w:val="00931579"/>
    <w:rsid w:val="0093169B"/>
    <w:rsid w:val="0093173D"/>
    <w:rsid w:val="009317AF"/>
    <w:rsid w:val="009317C5"/>
    <w:rsid w:val="009317E4"/>
    <w:rsid w:val="00931852"/>
    <w:rsid w:val="00931947"/>
    <w:rsid w:val="0093199B"/>
    <w:rsid w:val="00931A4D"/>
    <w:rsid w:val="00931BA4"/>
    <w:rsid w:val="00931D11"/>
    <w:rsid w:val="00931D22"/>
    <w:rsid w:val="00931E08"/>
    <w:rsid w:val="00931E78"/>
    <w:rsid w:val="00931ECD"/>
    <w:rsid w:val="00931F2C"/>
    <w:rsid w:val="00932041"/>
    <w:rsid w:val="0093208C"/>
    <w:rsid w:val="00932117"/>
    <w:rsid w:val="00932161"/>
    <w:rsid w:val="009321DE"/>
    <w:rsid w:val="0093229B"/>
    <w:rsid w:val="00932340"/>
    <w:rsid w:val="0093244E"/>
    <w:rsid w:val="0093249D"/>
    <w:rsid w:val="00932582"/>
    <w:rsid w:val="009325B8"/>
    <w:rsid w:val="00932661"/>
    <w:rsid w:val="0093274A"/>
    <w:rsid w:val="009327AE"/>
    <w:rsid w:val="009327B4"/>
    <w:rsid w:val="00932975"/>
    <w:rsid w:val="009329B0"/>
    <w:rsid w:val="009329BC"/>
    <w:rsid w:val="00932A8B"/>
    <w:rsid w:val="00932C23"/>
    <w:rsid w:val="00932D79"/>
    <w:rsid w:val="00932E25"/>
    <w:rsid w:val="00932E5B"/>
    <w:rsid w:val="00932FAF"/>
    <w:rsid w:val="0093313E"/>
    <w:rsid w:val="009331AA"/>
    <w:rsid w:val="009332B9"/>
    <w:rsid w:val="00933409"/>
    <w:rsid w:val="0093356E"/>
    <w:rsid w:val="009335F8"/>
    <w:rsid w:val="0093362D"/>
    <w:rsid w:val="009336F0"/>
    <w:rsid w:val="00933833"/>
    <w:rsid w:val="00933838"/>
    <w:rsid w:val="00933888"/>
    <w:rsid w:val="00933933"/>
    <w:rsid w:val="00933A01"/>
    <w:rsid w:val="00933A46"/>
    <w:rsid w:val="00933CB3"/>
    <w:rsid w:val="00933D9E"/>
    <w:rsid w:val="0093402F"/>
    <w:rsid w:val="009342CD"/>
    <w:rsid w:val="009342E9"/>
    <w:rsid w:val="00934489"/>
    <w:rsid w:val="00934582"/>
    <w:rsid w:val="0093469F"/>
    <w:rsid w:val="009347C2"/>
    <w:rsid w:val="00934854"/>
    <w:rsid w:val="009348EF"/>
    <w:rsid w:val="009349DB"/>
    <w:rsid w:val="00934B20"/>
    <w:rsid w:val="00934B41"/>
    <w:rsid w:val="00934B57"/>
    <w:rsid w:val="00934C3B"/>
    <w:rsid w:val="00934D6C"/>
    <w:rsid w:val="00934DC9"/>
    <w:rsid w:val="00934DCD"/>
    <w:rsid w:val="00934E56"/>
    <w:rsid w:val="00934F3F"/>
    <w:rsid w:val="00934F7C"/>
    <w:rsid w:val="009351BD"/>
    <w:rsid w:val="009351CE"/>
    <w:rsid w:val="009351F3"/>
    <w:rsid w:val="00935359"/>
    <w:rsid w:val="00935384"/>
    <w:rsid w:val="00935387"/>
    <w:rsid w:val="009353D8"/>
    <w:rsid w:val="009355E0"/>
    <w:rsid w:val="0093581D"/>
    <w:rsid w:val="00935891"/>
    <w:rsid w:val="00935943"/>
    <w:rsid w:val="00935AAF"/>
    <w:rsid w:val="00935AFE"/>
    <w:rsid w:val="00935B52"/>
    <w:rsid w:val="00935BCF"/>
    <w:rsid w:val="00935D92"/>
    <w:rsid w:val="00935DA6"/>
    <w:rsid w:val="00935F1B"/>
    <w:rsid w:val="00935FBE"/>
    <w:rsid w:val="00935FCA"/>
    <w:rsid w:val="00935FEE"/>
    <w:rsid w:val="00936040"/>
    <w:rsid w:val="009360CF"/>
    <w:rsid w:val="0093612C"/>
    <w:rsid w:val="0093613F"/>
    <w:rsid w:val="00936149"/>
    <w:rsid w:val="00936194"/>
    <w:rsid w:val="009361AD"/>
    <w:rsid w:val="0093639D"/>
    <w:rsid w:val="0093639E"/>
    <w:rsid w:val="009366D4"/>
    <w:rsid w:val="0093683D"/>
    <w:rsid w:val="009368B6"/>
    <w:rsid w:val="0093697C"/>
    <w:rsid w:val="00936A1C"/>
    <w:rsid w:val="00936A37"/>
    <w:rsid w:val="00936AE0"/>
    <w:rsid w:val="00936B42"/>
    <w:rsid w:val="00936C0F"/>
    <w:rsid w:val="00936C49"/>
    <w:rsid w:val="00936D54"/>
    <w:rsid w:val="00936D85"/>
    <w:rsid w:val="00936DE5"/>
    <w:rsid w:val="00936E09"/>
    <w:rsid w:val="00936E25"/>
    <w:rsid w:val="00936F35"/>
    <w:rsid w:val="00936F6A"/>
    <w:rsid w:val="00936F99"/>
    <w:rsid w:val="00937012"/>
    <w:rsid w:val="0093714F"/>
    <w:rsid w:val="00937167"/>
    <w:rsid w:val="00937180"/>
    <w:rsid w:val="00937192"/>
    <w:rsid w:val="009373FE"/>
    <w:rsid w:val="0093741C"/>
    <w:rsid w:val="00937468"/>
    <w:rsid w:val="009375A4"/>
    <w:rsid w:val="009375EF"/>
    <w:rsid w:val="009376A6"/>
    <w:rsid w:val="00937799"/>
    <w:rsid w:val="0093784E"/>
    <w:rsid w:val="00937A66"/>
    <w:rsid w:val="00937B72"/>
    <w:rsid w:val="00937C35"/>
    <w:rsid w:val="00937C5F"/>
    <w:rsid w:val="00937D4B"/>
    <w:rsid w:val="00937E8D"/>
    <w:rsid w:val="00937FFB"/>
    <w:rsid w:val="009400DB"/>
    <w:rsid w:val="00940265"/>
    <w:rsid w:val="009402DB"/>
    <w:rsid w:val="00940325"/>
    <w:rsid w:val="00940400"/>
    <w:rsid w:val="0094050D"/>
    <w:rsid w:val="00940511"/>
    <w:rsid w:val="0094057A"/>
    <w:rsid w:val="009405C6"/>
    <w:rsid w:val="009405CE"/>
    <w:rsid w:val="00940654"/>
    <w:rsid w:val="009406A4"/>
    <w:rsid w:val="00940839"/>
    <w:rsid w:val="00940852"/>
    <w:rsid w:val="009408E0"/>
    <w:rsid w:val="00940981"/>
    <w:rsid w:val="00940A91"/>
    <w:rsid w:val="00940AF3"/>
    <w:rsid w:val="00940BBC"/>
    <w:rsid w:val="00940C26"/>
    <w:rsid w:val="00940DD5"/>
    <w:rsid w:val="00940E48"/>
    <w:rsid w:val="00941010"/>
    <w:rsid w:val="00941186"/>
    <w:rsid w:val="0094118E"/>
    <w:rsid w:val="0094119E"/>
    <w:rsid w:val="009411EB"/>
    <w:rsid w:val="0094132D"/>
    <w:rsid w:val="009413C8"/>
    <w:rsid w:val="0094142B"/>
    <w:rsid w:val="009415C4"/>
    <w:rsid w:val="00941773"/>
    <w:rsid w:val="00941A05"/>
    <w:rsid w:val="00941C35"/>
    <w:rsid w:val="00941E49"/>
    <w:rsid w:val="00941EEE"/>
    <w:rsid w:val="00942096"/>
    <w:rsid w:val="00942129"/>
    <w:rsid w:val="00942211"/>
    <w:rsid w:val="009422BD"/>
    <w:rsid w:val="009422E6"/>
    <w:rsid w:val="00942301"/>
    <w:rsid w:val="0094232B"/>
    <w:rsid w:val="00942338"/>
    <w:rsid w:val="009423C4"/>
    <w:rsid w:val="00942450"/>
    <w:rsid w:val="0094248A"/>
    <w:rsid w:val="00942672"/>
    <w:rsid w:val="009426CD"/>
    <w:rsid w:val="009426E7"/>
    <w:rsid w:val="0094270F"/>
    <w:rsid w:val="0094286D"/>
    <w:rsid w:val="009428D6"/>
    <w:rsid w:val="00942980"/>
    <w:rsid w:val="00942B2A"/>
    <w:rsid w:val="00942BCB"/>
    <w:rsid w:val="00942D11"/>
    <w:rsid w:val="00942D1A"/>
    <w:rsid w:val="00942EC5"/>
    <w:rsid w:val="00943036"/>
    <w:rsid w:val="0094303B"/>
    <w:rsid w:val="00943096"/>
    <w:rsid w:val="00943116"/>
    <w:rsid w:val="0094313B"/>
    <w:rsid w:val="0094318F"/>
    <w:rsid w:val="009431CF"/>
    <w:rsid w:val="0094320F"/>
    <w:rsid w:val="00943313"/>
    <w:rsid w:val="00943390"/>
    <w:rsid w:val="0094350E"/>
    <w:rsid w:val="00943554"/>
    <w:rsid w:val="00943790"/>
    <w:rsid w:val="00943808"/>
    <w:rsid w:val="009438B1"/>
    <w:rsid w:val="009438D4"/>
    <w:rsid w:val="00943AE1"/>
    <w:rsid w:val="00943B27"/>
    <w:rsid w:val="00943B4A"/>
    <w:rsid w:val="00943B97"/>
    <w:rsid w:val="00943BF2"/>
    <w:rsid w:val="00943D43"/>
    <w:rsid w:val="00943DF1"/>
    <w:rsid w:val="00943DFC"/>
    <w:rsid w:val="00943E29"/>
    <w:rsid w:val="00943E77"/>
    <w:rsid w:val="009440DB"/>
    <w:rsid w:val="00944275"/>
    <w:rsid w:val="0094429C"/>
    <w:rsid w:val="009443D7"/>
    <w:rsid w:val="009443DF"/>
    <w:rsid w:val="00944420"/>
    <w:rsid w:val="00944461"/>
    <w:rsid w:val="0094455A"/>
    <w:rsid w:val="00944653"/>
    <w:rsid w:val="0094466A"/>
    <w:rsid w:val="00944691"/>
    <w:rsid w:val="009446B7"/>
    <w:rsid w:val="0094473F"/>
    <w:rsid w:val="009447A7"/>
    <w:rsid w:val="0094492B"/>
    <w:rsid w:val="009449D6"/>
    <w:rsid w:val="00944A9D"/>
    <w:rsid w:val="00944CEF"/>
    <w:rsid w:val="00944D54"/>
    <w:rsid w:val="00944D7F"/>
    <w:rsid w:val="00944E17"/>
    <w:rsid w:val="00944E3A"/>
    <w:rsid w:val="00944E6F"/>
    <w:rsid w:val="00944F19"/>
    <w:rsid w:val="00944FA5"/>
    <w:rsid w:val="009450AE"/>
    <w:rsid w:val="009450BF"/>
    <w:rsid w:val="00945145"/>
    <w:rsid w:val="0094519C"/>
    <w:rsid w:val="009451DD"/>
    <w:rsid w:val="0094523A"/>
    <w:rsid w:val="00945308"/>
    <w:rsid w:val="00945425"/>
    <w:rsid w:val="00945436"/>
    <w:rsid w:val="0094543A"/>
    <w:rsid w:val="00945479"/>
    <w:rsid w:val="0094548A"/>
    <w:rsid w:val="009456A5"/>
    <w:rsid w:val="00945711"/>
    <w:rsid w:val="0094571A"/>
    <w:rsid w:val="00945941"/>
    <w:rsid w:val="009459B7"/>
    <w:rsid w:val="009459C3"/>
    <w:rsid w:val="00945A1D"/>
    <w:rsid w:val="00945A77"/>
    <w:rsid w:val="00945A99"/>
    <w:rsid w:val="00945A9F"/>
    <w:rsid w:val="00945B9D"/>
    <w:rsid w:val="00945CD8"/>
    <w:rsid w:val="00945D0F"/>
    <w:rsid w:val="00945D83"/>
    <w:rsid w:val="00945DE7"/>
    <w:rsid w:val="00945DEE"/>
    <w:rsid w:val="00945FE9"/>
    <w:rsid w:val="00945FF7"/>
    <w:rsid w:val="00946025"/>
    <w:rsid w:val="00946083"/>
    <w:rsid w:val="0094611C"/>
    <w:rsid w:val="00946138"/>
    <w:rsid w:val="00946405"/>
    <w:rsid w:val="00946576"/>
    <w:rsid w:val="00946608"/>
    <w:rsid w:val="009466C8"/>
    <w:rsid w:val="009466DA"/>
    <w:rsid w:val="009467D0"/>
    <w:rsid w:val="0094680E"/>
    <w:rsid w:val="0094695B"/>
    <w:rsid w:val="009469FA"/>
    <w:rsid w:val="00946A75"/>
    <w:rsid w:val="00946C34"/>
    <w:rsid w:val="00946C5E"/>
    <w:rsid w:val="00946CE6"/>
    <w:rsid w:val="00946D76"/>
    <w:rsid w:val="00946F90"/>
    <w:rsid w:val="00946FC5"/>
    <w:rsid w:val="00946FFE"/>
    <w:rsid w:val="00947122"/>
    <w:rsid w:val="00947133"/>
    <w:rsid w:val="0094718C"/>
    <w:rsid w:val="0094731A"/>
    <w:rsid w:val="009473A2"/>
    <w:rsid w:val="00947674"/>
    <w:rsid w:val="009476A5"/>
    <w:rsid w:val="0094774F"/>
    <w:rsid w:val="0094782E"/>
    <w:rsid w:val="00947845"/>
    <w:rsid w:val="0094789C"/>
    <w:rsid w:val="009478AD"/>
    <w:rsid w:val="009478DA"/>
    <w:rsid w:val="00947949"/>
    <w:rsid w:val="00947996"/>
    <w:rsid w:val="009479AF"/>
    <w:rsid w:val="00947A02"/>
    <w:rsid w:val="00947A08"/>
    <w:rsid w:val="00947BBD"/>
    <w:rsid w:val="00947CB9"/>
    <w:rsid w:val="00947CE2"/>
    <w:rsid w:val="00947E2C"/>
    <w:rsid w:val="00947F03"/>
    <w:rsid w:val="00947F2A"/>
    <w:rsid w:val="00947FD1"/>
    <w:rsid w:val="00950058"/>
    <w:rsid w:val="009502F5"/>
    <w:rsid w:val="009503BE"/>
    <w:rsid w:val="00950416"/>
    <w:rsid w:val="0095047A"/>
    <w:rsid w:val="009504CF"/>
    <w:rsid w:val="00950541"/>
    <w:rsid w:val="00950631"/>
    <w:rsid w:val="0095076B"/>
    <w:rsid w:val="009507CE"/>
    <w:rsid w:val="00950843"/>
    <w:rsid w:val="00950922"/>
    <w:rsid w:val="009509CF"/>
    <w:rsid w:val="00950A29"/>
    <w:rsid w:val="00950A97"/>
    <w:rsid w:val="00950ADF"/>
    <w:rsid w:val="00950B38"/>
    <w:rsid w:val="00950BE5"/>
    <w:rsid w:val="00950C5D"/>
    <w:rsid w:val="00950D0E"/>
    <w:rsid w:val="00950F48"/>
    <w:rsid w:val="00950F93"/>
    <w:rsid w:val="00951026"/>
    <w:rsid w:val="00951092"/>
    <w:rsid w:val="009510FA"/>
    <w:rsid w:val="0095113C"/>
    <w:rsid w:val="00951310"/>
    <w:rsid w:val="00951676"/>
    <w:rsid w:val="0095172D"/>
    <w:rsid w:val="009517AC"/>
    <w:rsid w:val="0095186E"/>
    <w:rsid w:val="00951A82"/>
    <w:rsid w:val="00951A85"/>
    <w:rsid w:val="00951AF5"/>
    <w:rsid w:val="00951CDD"/>
    <w:rsid w:val="00951D51"/>
    <w:rsid w:val="00951D5C"/>
    <w:rsid w:val="00951E22"/>
    <w:rsid w:val="00951E49"/>
    <w:rsid w:val="00951FDC"/>
    <w:rsid w:val="00951FFB"/>
    <w:rsid w:val="00952007"/>
    <w:rsid w:val="00952097"/>
    <w:rsid w:val="00952124"/>
    <w:rsid w:val="009521A3"/>
    <w:rsid w:val="009521D0"/>
    <w:rsid w:val="0095230F"/>
    <w:rsid w:val="00952324"/>
    <w:rsid w:val="00952327"/>
    <w:rsid w:val="00952372"/>
    <w:rsid w:val="009524F4"/>
    <w:rsid w:val="009525C3"/>
    <w:rsid w:val="00952771"/>
    <w:rsid w:val="009529F9"/>
    <w:rsid w:val="00952A8B"/>
    <w:rsid w:val="00952D14"/>
    <w:rsid w:val="00952D83"/>
    <w:rsid w:val="00952FE9"/>
    <w:rsid w:val="00952FF2"/>
    <w:rsid w:val="00953214"/>
    <w:rsid w:val="00953233"/>
    <w:rsid w:val="0095342F"/>
    <w:rsid w:val="0095343C"/>
    <w:rsid w:val="009534AA"/>
    <w:rsid w:val="009534C0"/>
    <w:rsid w:val="009534EC"/>
    <w:rsid w:val="0095366A"/>
    <w:rsid w:val="0095373A"/>
    <w:rsid w:val="0095377C"/>
    <w:rsid w:val="009537A0"/>
    <w:rsid w:val="00953891"/>
    <w:rsid w:val="00953B27"/>
    <w:rsid w:val="00953E48"/>
    <w:rsid w:val="00953E5D"/>
    <w:rsid w:val="00953E75"/>
    <w:rsid w:val="00953EDD"/>
    <w:rsid w:val="00953EFB"/>
    <w:rsid w:val="00953F1C"/>
    <w:rsid w:val="0095400C"/>
    <w:rsid w:val="009541EE"/>
    <w:rsid w:val="009542AB"/>
    <w:rsid w:val="009542D7"/>
    <w:rsid w:val="00954388"/>
    <w:rsid w:val="009543F7"/>
    <w:rsid w:val="009545D4"/>
    <w:rsid w:val="009545F9"/>
    <w:rsid w:val="009546E4"/>
    <w:rsid w:val="00954718"/>
    <w:rsid w:val="00954723"/>
    <w:rsid w:val="0095479D"/>
    <w:rsid w:val="009549C2"/>
    <w:rsid w:val="00954A9F"/>
    <w:rsid w:val="00954CB1"/>
    <w:rsid w:val="00954D40"/>
    <w:rsid w:val="00954D41"/>
    <w:rsid w:val="00954DA9"/>
    <w:rsid w:val="00954DD7"/>
    <w:rsid w:val="00954DF7"/>
    <w:rsid w:val="00954EA0"/>
    <w:rsid w:val="00954FF4"/>
    <w:rsid w:val="009550E5"/>
    <w:rsid w:val="009552C6"/>
    <w:rsid w:val="009552FC"/>
    <w:rsid w:val="00955574"/>
    <w:rsid w:val="009555AA"/>
    <w:rsid w:val="00955666"/>
    <w:rsid w:val="00955738"/>
    <w:rsid w:val="00955797"/>
    <w:rsid w:val="009557EC"/>
    <w:rsid w:val="0095581D"/>
    <w:rsid w:val="00955863"/>
    <w:rsid w:val="009558A0"/>
    <w:rsid w:val="009559B3"/>
    <w:rsid w:val="00955A08"/>
    <w:rsid w:val="00955A79"/>
    <w:rsid w:val="00955B3D"/>
    <w:rsid w:val="00955CBC"/>
    <w:rsid w:val="00955CE3"/>
    <w:rsid w:val="00955D87"/>
    <w:rsid w:val="00955F20"/>
    <w:rsid w:val="00956015"/>
    <w:rsid w:val="009560D3"/>
    <w:rsid w:val="009560E0"/>
    <w:rsid w:val="009562E7"/>
    <w:rsid w:val="0095630C"/>
    <w:rsid w:val="00956421"/>
    <w:rsid w:val="009564CA"/>
    <w:rsid w:val="0095662E"/>
    <w:rsid w:val="0095663B"/>
    <w:rsid w:val="0095680E"/>
    <w:rsid w:val="00956818"/>
    <w:rsid w:val="00956E12"/>
    <w:rsid w:val="00956EB7"/>
    <w:rsid w:val="00956FBA"/>
    <w:rsid w:val="00957068"/>
    <w:rsid w:val="00957126"/>
    <w:rsid w:val="0095729A"/>
    <w:rsid w:val="0095736F"/>
    <w:rsid w:val="009573EB"/>
    <w:rsid w:val="0095750E"/>
    <w:rsid w:val="009575B1"/>
    <w:rsid w:val="0095765F"/>
    <w:rsid w:val="009576C3"/>
    <w:rsid w:val="00957728"/>
    <w:rsid w:val="00957779"/>
    <w:rsid w:val="0095793A"/>
    <w:rsid w:val="00957B49"/>
    <w:rsid w:val="00957C40"/>
    <w:rsid w:val="00957D4E"/>
    <w:rsid w:val="00957E76"/>
    <w:rsid w:val="00957FDA"/>
    <w:rsid w:val="00960014"/>
    <w:rsid w:val="0096007A"/>
    <w:rsid w:val="00960130"/>
    <w:rsid w:val="0096020B"/>
    <w:rsid w:val="009602E3"/>
    <w:rsid w:val="009603E2"/>
    <w:rsid w:val="009604B6"/>
    <w:rsid w:val="00960514"/>
    <w:rsid w:val="00960A2A"/>
    <w:rsid w:val="00960AC5"/>
    <w:rsid w:val="00960B32"/>
    <w:rsid w:val="00960C09"/>
    <w:rsid w:val="00960D8B"/>
    <w:rsid w:val="00960DBF"/>
    <w:rsid w:val="00960E3C"/>
    <w:rsid w:val="00960EDB"/>
    <w:rsid w:val="00960F14"/>
    <w:rsid w:val="00961006"/>
    <w:rsid w:val="00961042"/>
    <w:rsid w:val="0096109A"/>
    <w:rsid w:val="00961102"/>
    <w:rsid w:val="0096115D"/>
    <w:rsid w:val="0096118F"/>
    <w:rsid w:val="00961262"/>
    <w:rsid w:val="009612A4"/>
    <w:rsid w:val="0096137F"/>
    <w:rsid w:val="009613D7"/>
    <w:rsid w:val="009614E5"/>
    <w:rsid w:val="009615D5"/>
    <w:rsid w:val="00961607"/>
    <w:rsid w:val="0096165D"/>
    <w:rsid w:val="0096179B"/>
    <w:rsid w:val="0096194C"/>
    <w:rsid w:val="00961959"/>
    <w:rsid w:val="00961A82"/>
    <w:rsid w:val="00961B76"/>
    <w:rsid w:val="00961BA8"/>
    <w:rsid w:val="00961BDF"/>
    <w:rsid w:val="00961CC3"/>
    <w:rsid w:val="00961D05"/>
    <w:rsid w:val="00961F95"/>
    <w:rsid w:val="00962075"/>
    <w:rsid w:val="00962260"/>
    <w:rsid w:val="00962521"/>
    <w:rsid w:val="00962580"/>
    <w:rsid w:val="009626ED"/>
    <w:rsid w:val="009628CC"/>
    <w:rsid w:val="00962A0C"/>
    <w:rsid w:val="00962A72"/>
    <w:rsid w:val="00962A74"/>
    <w:rsid w:val="00962A8B"/>
    <w:rsid w:val="00962C91"/>
    <w:rsid w:val="00962DC0"/>
    <w:rsid w:val="00962F04"/>
    <w:rsid w:val="00962F8F"/>
    <w:rsid w:val="009631A2"/>
    <w:rsid w:val="009631B3"/>
    <w:rsid w:val="009632D8"/>
    <w:rsid w:val="00963359"/>
    <w:rsid w:val="0096338B"/>
    <w:rsid w:val="009633BD"/>
    <w:rsid w:val="00963434"/>
    <w:rsid w:val="0096354D"/>
    <w:rsid w:val="00963639"/>
    <w:rsid w:val="0096365D"/>
    <w:rsid w:val="00963688"/>
    <w:rsid w:val="009637D1"/>
    <w:rsid w:val="009637FA"/>
    <w:rsid w:val="00963A45"/>
    <w:rsid w:val="00963AE7"/>
    <w:rsid w:val="00963B34"/>
    <w:rsid w:val="00963BC5"/>
    <w:rsid w:val="00963DD7"/>
    <w:rsid w:val="00963DE8"/>
    <w:rsid w:val="00963E77"/>
    <w:rsid w:val="00963E87"/>
    <w:rsid w:val="009640A9"/>
    <w:rsid w:val="00964107"/>
    <w:rsid w:val="009641C4"/>
    <w:rsid w:val="0096425B"/>
    <w:rsid w:val="0096428A"/>
    <w:rsid w:val="009642DA"/>
    <w:rsid w:val="00964361"/>
    <w:rsid w:val="009645C4"/>
    <w:rsid w:val="009645E0"/>
    <w:rsid w:val="009646C7"/>
    <w:rsid w:val="009647AA"/>
    <w:rsid w:val="00964895"/>
    <w:rsid w:val="009648CB"/>
    <w:rsid w:val="00964917"/>
    <w:rsid w:val="0096497D"/>
    <w:rsid w:val="00964A28"/>
    <w:rsid w:val="00964A51"/>
    <w:rsid w:val="00964B8E"/>
    <w:rsid w:val="00964BAA"/>
    <w:rsid w:val="00964BD7"/>
    <w:rsid w:val="00964C9E"/>
    <w:rsid w:val="00964D49"/>
    <w:rsid w:val="00964E6B"/>
    <w:rsid w:val="00964FB9"/>
    <w:rsid w:val="00965064"/>
    <w:rsid w:val="00965067"/>
    <w:rsid w:val="009650A5"/>
    <w:rsid w:val="009652FD"/>
    <w:rsid w:val="00965350"/>
    <w:rsid w:val="00965373"/>
    <w:rsid w:val="009654D5"/>
    <w:rsid w:val="00965534"/>
    <w:rsid w:val="0096556C"/>
    <w:rsid w:val="00965598"/>
    <w:rsid w:val="00965884"/>
    <w:rsid w:val="00965A52"/>
    <w:rsid w:val="00965C49"/>
    <w:rsid w:val="00965D61"/>
    <w:rsid w:val="00965FBD"/>
    <w:rsid w:val="00966188"/>
    <w:rsid w:val="009661A1"/>
    <w:rsid w:val="00966207"/>
    <w:rsid w:val="0096625D"/>
    <w:rsid w:val="0096633F"/>
    <w:rsid w:val="00966443"/>
    <w:rsid w:val="009664BE"/>
    <w:rsid w:val="00966515"/>
    <w:rsid w:val="00966556"/>
    <w:rsid w:val="009665A0"/>
    <w:rsid w:val="009667A6"/>
    <w:rsid w:val="0096690F"/>
    <w:rsid w:val="0096692A"/>
    <w:rsid w:val="009669B8"/>
    <w:rsid w:val="009669F8"/>
    <w:rsid w:val="00966A41"/>
    <w:rsid w:val="00966A57"/>
    <w:rsid w:val="00966A78"/>
    <w:rsid w:val="00966AB8"/>
    <w:rsid w:val="00966AFC"/>
    <w:rsid w:val="00966BB3"/>
    <w:rsid w:val="00966CB0"/>
    <w:rsid w:val="00966D25"/>
    <w:rsid w:val="00966D6F"/>
    <w:rsid w:val="00966E86"/>
    <w:rsid w:val="00966ED1"/>
    <w:rsid w:val="00966EDC"/>
    <w:rsid w:val="0096702F"/>
    <w:rsid w:val="009670E1"/>
    <w:rsid w:val="0096724E"/>
    <w:rsid w:val="00967300"/>
    <w:rsid w:val="00967399"/>
    <w:rsid w:val="009673F1"/>
    <w:rsid w:val="009675BA"/>
    <w:rsid w:val="00967615"/>
    <w:rsid w:val="0096777D"/>
    <w:rsid w:val="00967985"/>
    <w:rsid w:val="00967A05"/>
    <w:rsid w:val="00967A4F"/>
    <w:rsid w:val="00967A69"/>
    <w:rsid w:val="00967ABD"/>
    <w:rsid w:val="00967BA7"/>
    <w:rsid w:val="00967D11"/>
    <w:rsid w:val="00967DF7"/>
    <w:rsid w:val="00967E2C"/>
    <w:rsid w:val="00967E31"/>
    <w:rsid w:val="00967E6A"/>
    <w:rsid w:val="00967E79"/>
    <w:rsid w:val="00967F48"/>
    <w:rsid w:val="00967F8A"/>
    <w:rsid w:val="00967FC9"/>
    <w:rsid w:val="00970073"/>
    <w:rsid w:val="0097013D"/>
    <w:rsid w:val="0097016C"/>
    <w:rsid w:val="00970195"/>
    <w:rsid w:val="009702E7"/>
    <w:rsid w:val="00970338"/>
    <w:rsid w:val="00970684"/>
    <w:rsid w:val="00970875"/>
    <w:rsid w:val="00970908"/>
    <w:rsid w:val="009709DD"/>
    <w:rsid w:val="00970BBC"/>
    <w:rsid w:val="00970C1F"/>
    <w:rsid w:val="00970D14"/>
    <w:rsid w:val="00970D63"/>
    <w:rsid w:val="00970E5F"/>
    <w:rsid w:val="00970E9D"/>
    <w:rsid w:val="009710CF"/>
    <w:rsid w:val="00971190"/>
    <w:rsid w:val="00971327"/>
    <w:rsid w:val="00971330"/>
    <w:rsid w:val="00971391"/>
    <w:rsid w:val="009713D7"/>
    <w:rsid w:val="0097141D"/>
    <w:rsid w:val="0097149F"/>
    <w:rsid w:val="009714BF"/>
    <w:rsid w:val="009714E0"/>
    <w:rsid w:val="009715F5"/>
    <w:rsid w:val="00971750"/>
    <w:rsid w:val="0097191F"/>
    <w:rsid w:val="00971963"/>
    <w:rsid w:val="009719CC"/>
    <w:rsid w:val="00971A36"/>
    <w:rsid w:val="00971A5E"/>
    <w:rsid w:val="00971AB4"/>
    <w:rsid w:val="00971ACB"/>
    <w:rsid w:val="00971BDA"/>
    <w:rsid w:val="00971C2A"/>
    <w:rsid w:val="00971D7B"/>
    <w:rsid w:val="00971E6D"/>
    <w:rsid w:val="00971EA7"/>
    <w:rsid w:val="00972076"/>
    <w:rsid w:val="0097209B"/>
    <w:rsid w:val="009720C6"/>
    <w:rsid w:val="00972129"/>
    <w:rsid w:val="00972378"/>
    <w:rsid w:val="00972473"/>
    <w:rsid w:val="00972504"/>
    <w:rsid w:val="0097251B"/>
    <w:rsid w:val="00972594"/>
    <w:rsid w:val="00972646"/>
    <w:rsid w:val="0097264D"/>
    <w:rsid w:val="00972768"/>
    <w:rsid w:val="009727C3"/>
    <w:rsid w:val="009727CF"/>
    <w:rsid w:val="009729A5"/>
    <w:rsid w:val="00972A9D"/>
    <w:rsid w:val="00972B0D"/>
    <w:rsid w:val="00972B55"/>
    <w:rsid w:val="00972BF6"/>
    <w:rsid w:val="00972C54"/>
    <w:rsid w:val="00972CCC"/>
    <w:rsid w:val="00972DAD"/>
    <w:rsid w:val="00972DB8"/>
    <w:rsid w:val="00972EC6"/>
    <w:rsid w:val="009731F7"/>
    <w:rsid w:val="0097326C"/>
    <w:rsid w:val="009732DC"/>
    <w:rsid w:val="00973358"/>
    <w:rsid w:val="00973480"/>
    <w:rsid w:val="00973592"/>
    <w:rsid w:val="00973628"/>
    <w:rsid w:val="0097368E"/>
    <w:rsid w:val="009736F0"/>
    <w:rsid w:val="0097373B"/>
    <w:rsid w:val="009737EE"/>
    <w:rsid w:val="00973899"/>
    <w:rsid w:val="009738AA"/>
    <w:rsid w:val="00973AA6"/>
    <w:rsid w:val="00973B77"/>
    <w:rsid w:val="00973C5E"/>
    <w:rsid w:val="00973D9A"/>
    <w:rsid w:val="00973E8C"/>
    <w:rsid w:val="00973EF8"/>
    <w:rsid w:val="00973F07"/>
    <w:rsid w:val="00973FCC"/>
    <w:rsid w:val="0097410C"/>
    <w:rsid w:val="00974250"/>
    <w:rsid w:val="009742C3"/>
    <w:rsid w:val="009743A8"/>
    <w:rsid w:val="009743B0"/>
    <w:rsid w:val="009743E7"/>
    <w:rsid w:val="0097449B"/>
    <w:rsid w:val="00974508"/>
    <w:rsid w:val="0097464B"/>
    <w:rsid w:val="00974689"/>
    <w:rsid w:val="009746E3"/>
    <w:rsid w:val="00974750"/>
    <w:rsid w:val="009747D7"/>
    <w:rsid w:val="009748AE"/>
    <w:rsid w:val="00974AC1"/>
    <w:rsid w:val="00974B17"/>
    <w:rsid w:val="00974B3B"/>
    <w:rsid w:val="00974CE2"/>
    <w:rsid w:val="00974ED4"/>
    <w:rsid w:val="00974F66"/>
    <w:rsid w:val="00974F79"/>
    <w:rsid w:val="00974F98"/>
    <w:rsid w:val="00974FE2"/>
    <w:rsid w:val="009750A9"/>
    <w:rsid w:val="0097511C"/>
    <w:rsid w:val="00975190"/>
    <w:rsid w:val="009751AF"/>
    <w:rsid w:val="0097521A"/>
    <w:rsid w:val="009752F0"/>
    <w:rsid w:val="009753FC"/>
    <w:rsid w:val="009754C5"/>
    <w:rsid w:val="009754F4"/>
    <w:rsid w:val="00975534"/>
    <w:rsid w:val="00975752"/>
    <w:rsid w:val="009757CE"/>
    <w:rsid w:val="009757ED"/>
    <w:rsid w:val="00975816"/>
    <w:rsid w:val="00975894"/>
    <w:rsid w:val="00975AD6"/>
    <w:rsid w:val="00975C6C"/>
    <w:rsid w:val="00975ECE"/>
    <w:rsid w:val="00975F82"/>
    <w:rsid w:val="00975FDB"/>
    <w:rsid w:val="00976017"/>
    <w:rsid w:val="009760A6"/>
    <w:rsid w:val="009760F8"/>
    <w:rsid w:val="00976141"/>
    <w:rsid w:val="0097618F"/>
    <w:rsid w:val="0097619A"/>
    <w:rsid w:val="00976329"/>
    <w:rsid w:val="0097656A"/>
    <w:rsid w:val="00976573"/>
    <w:rsid w:val="0097665A"/>
    <w:rsid w:val="0097669C"/>
    <w:rsid w:val="00976823"/>
    <w:rsid w:val="009768F3"/>
    <w:rsid w:val="0097691F"/>
    <w:rsid w:val="0097694E"/>
    <w:rsid w:val="0097697C"/>
    <w:rsid w:val="009769C4"/>
    <w:rsid w:val="00976A97"/>
    <w:rsid w:val="00976BB5"/>
    <w:rsid w:val="00976C36"/>
    <w:rsid w:val="00976CD2"/>
    <w:rsid w:val="00976CF8"/>
    <w:rsid w:val="00976D0F"/>
    <w:rsid w:val="00976D13"/>
    <w:rsid w:val="00976DDE"/>
    <w:rsid w:val="00976E80"/>
    <w:rsid w:val="00976F94"/>
    <w:rsid w:val="00976FE4"/>
    <w:rsid w:val="009770D5"/>
    <w:rsid w:val="00977102"/>
    <w:rsid w:val="00977158"/>
    <w:rsid w:val="00977294"/>
    <w:rsid w:val="0097736D"/>
    <w:rsid w:val="00977406"/>
    <w:rsid w:val="0097750F"/>
    <w:rsid w:val="00977810"/>
    <w:rsid w:val="009778FD"/>
    <w:rsid w:val="00977972"/>
    <w:rsid w:val="009779D1"/>
    <w:rsid w:val="009779E2"/>
    <w:rsid w:val="009779EA"/>
    <w:rsid w:val="00977A0C"/>
    <w:rsid w:val="00977AF9"/>
    <w:rsid w:val="00977C99"/>
    <w:rsid w:val="00977CF9"/>
    <w:rsid w:val="00977D47"/>
    <w:rsid w:val="00977E67"/>
    <w:rsid w:val="00977E85"/>
    <w:rsid w:val="00977ED8"/>
    <w:rsid w:val="00977F48"/>
    <w:rsid w:val="00979A3D"/>
    <w:rsid w:val="009800F5"/>
    <w:rsid w:val="009803C1"/>
    <w:rsid w:val="0098042E"/>
    <w:rsid w:val="0098056F"/>
    <w:rsid w:val="0098057F"/>
    <w:rsid w:val="00980601"/>
    <w:rsid w:val="009806A2"/>
    <w:rsid w:val="009806CA"/>
    <w:rsid w:val="00980755"/>
    <w:rsid w:val="009807AC"/>
    <w:rsid w:val="00980821"/>
    <w:rsid w:val="009808CB"/>
    <w:rsid w:val="00980918"/>
    <w:rsid w:val="009809F7"/>
    <w:rsid w:val="00980CF7"/>
    <w:rsid w:val="00980DAB"/>
    <w:rsid w:val="00980E67"/>
    <w:rsid w:val="00981061"/>
    <w:rsid w:val="00981226"/>
    <w:rsid w:val="00981275"/>
    <w:rsid w:val="009812FD"/>
    <w:rsid w:val="00981310"/>
    <w:rsid w:val="009813FC"/>
    <w:rsid w:val="0098143E"/>
    <w:rsid w:val="009814C7"/>
    <w:rsid w:val="009815D9"/>
    <w:rsid w:val="00981652"/>
    <w:rsid w:val="00981668"/>
    <w:rsid w:val="009816BD"/>
    <w:rsid w:val="009816E1"/>
    <w:rsid w:val="009817C2"/>
    <w:rsid w:val="0098185D"/>
    <w:rsid w:val="009818B0"/>
    <w:rsid w:val="009818B5"/>
    <w:rsid w:val="0098192E"/>
    <w:rsid w:val="00981935"/>
    <w:rsid w:val="00981975"/>
    <w:rsid w:val="009819A5"/>
    <w:rsid w:val="009819ED"/>
    <w:rsid w:val="00981A62"/>
    <w:rsid w:val="00981B37"/>
    <w:rsid w:val="00981B53"/>
    <w:rsid w:val="00981B90"/>
    <w:rsid w:val="00981BA7"/>
    <w:rsid w:val="00981CB3"/>
    <w:rsid w:val="00981CBE"/>
    <w:rsid w:val="00981D3A"/>
    <w:rsid w:val="00981DD1"/>
    <w:rsid w:val="00981DD9"/>
    <w:rsid w:val="00981E6E"/>
    <w:rsid w:val="00981ED4"/>
    <w:rsid w:val="00981ED5"/>
    <w:rsid w:val="00981F02"/>
    <w:rsid w:val="00981F47"/>
    <w:rsid w:val="00981F51"/>
    <w:rsid w:val="00982016"/>
    <w:rsid w:val="009821DF"/>
    <w:rsid w:val="00982205"/>
    <w:rsid w:val="009822F5"/>
    <w:rsid w:val="0098237B"/>
    <w:rsid w:val="009824E5"/>
    <w:rsid w:val="00982637"/>
    <w:rsid w:val="0098275A"/>
    <w:rsid w:val="00982895"/>
    <w:rsid w:val="0098298D"/>
    <w:rsid w:val="009829D5"/>
    <w:rsid w:val="00982A94"/>
    <w:rsid w:val="00982CBF"/>
    <w:rsid w:val="00982CCA"/>
    <w:rsid w:val="00982D3F"/>
    <w:rsid w:val="00982EB5"/>
    <w:rsid w:val="00982F2F"/>
    <w:rsid w:val="00982FB6"/>
    <w:rsid w:val="00983009"/>
    <w:rsid w:val="0098300F"/>
    <w:rsid w:val="00983156"/>
    <w:rsid w:val="009831FA"/>
    <w:rsid w:val="009832A7"/>
    <w:rsid w:val="009832E9"/>
    <w:rsid w:val="0098338F"/>
    <w:rsid w:val="00983429"/>
    <w:rsid w:val="00983464"/>
    <w:rsid w:val="0098346A"/>
    <w:rsid w:val="009834C0"/>
    <w:rsid w:val="00983584"/>
    <w:rsid w:val="009835BD"/>
    <w:rsid w:val="00983609"/>
    <w:rsid w:val="009836C4"/>
    <w:rsid w:val="00983721"/>
    <w:rsid w:val="00983741"/>
    <w:rsid w:val="009837F8"/>
    <w:rsid w:val="0098381E"/>
    <w:rsid w:val="0098389B"/>
    <w:rsid w:val="009838A8"/>
    <w:rsid w:val="009838D7"/>
    <w:rsid w:val="009838F5"/>
    <w:rsid w:val="00983962"/>
    <w:rsid w:val="00983B2C"/>
    <w:rsid w:val="00983D3C"/>
    <w:rsid w:val="00983ED0"/>
    <w:rsid w:val="00983ED5"/>
    <w:rsid w:val="00983EF8"/>
    <w:rsid w:val="00984000"/>
    <w:rsid w:val="009840A7"/>
    <w:rsid w:val="00984285"/>
    <w:rsid w:val="00984286"/>
    <w:rsid w:val="009842A1"/>
    <w:rsid w:val="009842CD"/>
    <w:rsid w:val="009842F0"/>
    <w:rsid w:val="009844FC"/>
    <w:rsid w:val="00984602"/>
    <w:rsid w:val="0098460F"/>
    <w:rsid w:val="0098462D"/>
    <w:rsid w:val="009846F8"/>
    <w:rsid w:val="009847FD"/>
    <w:rsid w:val="00984837"/>
    <w:rsid w:val="009848E5"/>
    <w:rsid w:val="00984995"/>
    <w:rsid w:val="00984B78"/>
    <w:rsid w:val="00984C2F"/>
    <w:rsid w:val="00984DD9"/>
    <w:rsid w:val="00984E23"/>
    <w:rsid w:val="00984E48"/>
    <w:rsid w:val="00984E6E"/>
    <w:rsid w:val="00984EC3"/>
    <w:rsid w:val="00985113"/>
    <w:rsid w:val="009851A9"/>
    <w:rsid w:val="0098532C"/>
    <w:rsid w:val="00985442"/>
    <w:rsid w:val="00985506"/>
    <w:rsid w:val="00985520"/>
    <w:rsid w:val="00985563"/>
    <w:rsid w:val="00985581"/>
    <w:rsid w:val="00985657"/>
    <w:rsid w:val="0098571E"/>
    <w:rsid w:val="009857D3"/>
    <w:rsid w:val="00985928"/>
    <w:rsid w:val="00985AB1"/>
    <w:rsid w:val="00985B04"/>
    <w:rsid w:val="00985B59"/>
    <w:rsid w:val="00985C31"/>
    <w:rsid w:val="00985CDE"/>
    <w:rsid w:val="00985D4D"/>
    <w:rsid w:val="00985E46"/>
    <w:rsid w:val="00985E6E"/>
    <w:rsid w:val="00985FCC"/>
    <w:rsid w:val="00986110"/>
    <w:rsid w:val="00986193"/>
    <w:rsid w:val="0098619E"/>
    <w:rsid w:val="00986206"/>
    <w:rsid w:val="0098620C"/>
    <w:rsid w:val="0098621F"/>
    <w:rsid w:val="00986286"/>
    <w:rsid w:val="00986367"/>
    <w:rsid w:val="0098660A"/>
    <w:rsid w:val="00986742"/>
    <w:rsid w:val="00986864"/>
    <w:rsid w:val="0098690E"/>
    <w:rsid w:val="00986960"/>
    <w:rsid w:val="00986995"/>
    <w:rsid w:val="00986A82"/>
    <w:rsid w:val="00986AC0"/>
    <w:rsid w:val="00986B96"/>
    <w:rsid w:val="00986CC2"/>
    <w:rsid w:val="00986ED9"/>
    <w:rsid w:val="00986FF1"/>
    <w:rsid w:val="0098724B"/>
    <w:rsid w:val="009873EC"/>
    <w:rsid w:val="009873F2"/>
    <w:rsid w:val="009874ED"/>
    <w:rsid w:val="0098752E"/>
    <w:rsid w:val="0098757B"/>
    <w:rsid w:val="009875BE"/>
    <w:rsid w:val="00987613"/>
    <w:rsid w:val="00987775"/>
    <w:rsid w:val="00987791"/>
    <w:rsid w:val="0098793A"/>
    <w:rsid w:val="009879A9"/>
    <w:rsid w:val="009879F8"/>
    <w:rsid w:val="00987AB1"/>
    <w:rsid w:val="00987AE0"/>
    <w:rsid w:val="00987B05"/>
    <w:rsid w:val="00987BCF"/>
    <w:rsid w:val="00987C30"/>
    <w:rsid w:val="00987D5B"/>
    <w:rsid w:val="00987DFC"/>
    <w:rsid w:val="00987E37"/>
    <w:rsid w:val="00987E8D"/>
    <w:rsid w:val="00990003"/>
    <w:rsid w:val="009900D6"/>
    <w:rsid w:val="0099017D"/>
    <w:rsid w:val="009901BC"/>
    <w:rsid w:val="009901CF"/>
    <w:rsid w:val="00990249"/>
    <w:rsid w:val="0099027F"/>
    <w:rsid w:val="009903C3"/>
    <w:rsid w:val="009903D1"/>
    <w:rsid w:val="0099045B"/>
    <w:rsid w:val="00990567"/>
    <w:rsid w:val="0099056A"/>
    <w:rsid w:val="0099065C"/>
    <w:rsid w:val="00990719"/>
    <w:rsid w:val="00990806"/>
    <w:rsid w:val="00990854"/>
    <w:rsid w:val="009908A2"/>
    <w:rsid w:val="009909EE"/>
    <w:rsid w:val="00990B04"/>
    <w:rsid w:val="00990B22"/>
    <w:rsid w:val="00990B6E"/>
    <w:rsid w:val="00990D20"/>
    <w:rsid w:val="00990D33"/>
    <w:rsid w:val="00990EB1"/>
    <w:rsid w:val="00990ECC"/>
    <w:rsid w:val="00990ED2"/>
    <w:rsid w:val="00990EFC"/>
    <w:rsid w:val="009910A0"/>
    <w:rsid w:val="009910A7"/>
    <w:rsid w:val="00991105"/>
    <w:rsid w:val="009911B0"/>
    <w:rsid w:val="009911EB"/>
    <w:rsid w:val="009912D9"/>
    <w:rsid w:val="009913C1"/>
    <w:rsid w:val="00991409"/>
    <w:rsid w:val="0099148E"/>
    <w:rsid w:val="009915A0"/>
    <w:rsid w:val="00991651"/>
    <w:rsid w:val="00991705"/>
    <w:rsid w:val="0099187D"/>
    <w:rsid w:val="00991983"/>
    <w:rsid w:val="00991A54"/>
    <w:rsid w:val="00991AA7"/>
    <w:rsid w:val="00991B22"/>
    <w:rsid w:val="00991B2D"/>
    <w:rsid w:val="00991B4F"/>
    <w:rsid w:val="00991CE4"/>
    <w:rsid w:val="00991D3F"/>
    <w:rsid w:val="00991EF6"/>
    <w:rsid w:val="00991F41"/>
    <w:rsid w:val="00992247"/>
    <w:rsid w:val="0099225E"/>
    <w:rsid w:val="0099231B"/>
    <w:rsid w:val="00992395"/>
    <w:rsid w:val="00992487"/>
    <w:rsid w:val="009924B9"/>
    <w:rsid w:val="009924D1"/>
    <w:rsid w:val="00992506"/>
    <w:rsid w:val="0099253E"/>
    <w:rsid w:val="00992551"/>
    <w:rsid w:val="00992608"/>
    <w:rsid w:val="00992618"/>
    <w:rsid w:val="0099281A"/>
    <w:rsid w:val="00992982"/>
    <w:rsid w:val="00992DB3"/>
    <w:rsid w:val="00992F10"/>
    <w:rsid w:val="00992FC3"/>
    <w:rsid w:val="00992FC7"/>
    <w:rsid w:val="00993013"/>
    <w:rsid w:val="00993032"/>
    <w:rsid w:val="00993054"/>
    <w:rsid w:val="009931A6"/>
    <w:rsid w:val="00993362"/>
    <w:rsid w:val="009933E9"/>
    <w:rsid w:val="00993434"/>
    <w:rsid w:val="009934C1"/>
    <w:rsid w:val="009934E3"/>
    <w:rsid w:val="009935A0"/>
    <w:rsid w:val="00993680"/>
    <w:rsid w:val="00993697"/>
    <w:rsid w:val="0099374C"/>
    <w:rsid w:val="0099376A"/>
    <w:rsid w:val="0099379B"/>
    <w:rsid w:val="0099392A"/>
    <w:rsid w:val="0099395E"/>
    <w:rsid w:val="00993BD0"/>
    <w:rsid w:val="00993C0D"/>
    <w:rsid w:val="00993D18"/>
    <w:rsid w:val="00993DB7"/>
    <w:rsid w:val="00993F07"/>
    <w:rsid w:val="00993FD5"/>
    <w:rsid w:val="00994031"/>
    <w:rsid w:val="009940B9"/>
    <w:rsid w:val="009941F9"/>
    <w:rsid w:val="0099424A"/>
    <w:rsid w:val="009943D1"/>
    <w:rsid w:val="0099444E"/>
    <w:rsid w:val="009946C5"/>
    <w:rsid w:val="00994702"/>
    <w:rsid w:val="0099483F"/>
    <w:rsid w:val="009949CF"/>
    <w:rsid w:val="00994AF4"/>
    <w:rsid w:val="00994BDF"/>
    <w:rsid w:val="00994CDB"/>
    <w:rsid w:val="00994CDC"/>
    <w:rsid w:val="00994D74"/>
    <w:rsid w:val="00994F2E"/>
    <w:rsid w:val="00994F95"/>
    <w:rsid w:val="00994FA7"/>
    <w:rsid w:val="00994FAA"/>
    <w:rsid w:val="009950D3"/>
    <w:rsid w:val="00995153"/>
    <w:rsid w:val="009952E8"/>
    <w:rsid w:val="0099534C"/>
    <w:rsid w:val="00995377"/>
    <w:rsid w:val="00995382"/>
    <w:rsid w:val="009953E6"/>
    <w:rsid w:val="00995406"/>
    <w:rsid w:val="009954B2"/>
    <w:rsid w:val="009955D3"/>
    <w:rsid w:val="00995657"/>
    <w:rsid w:val="00995679"/>
    <w:rsid w:val="00995823"/>
    <w:rsid w:val="009958E3"/>
    <w:rsid w:val="00995953"/>
    <w:rsid w:val="00995A55"/>
    <w:rsid w:val="00995B27"/>
    <w:rsid w:val="00995B64"/>
    <w:rsid w:val="00995C63"/>
    <w:rsid w:val="00995C6C"/>
    <w:rsid w:val="00995E7C"/>
    <w:rsid w:val="00995F41"/>
    <w:rsid w:val="00996026"/>
    <w:rsid w:val="0099619C"/>
    <w:rsid w:val="009961E7"/>
    <w:rsid w:val="0099634E"/>
    <w:rsid w:val="0099650B"/>
    <w:rsid w:val="00996607"/>
    <w:rsid w:val="0099662E"/>
    <w:rsid w:val="00996652"/>
    <w:rsid w:val="009966B8"/>
    <w:rsid w:val="009967A4"/>
    <w:rsid w:val="009967D9"/>
    <w:rsid w:val="00996821"/>
    <w:rsid w:val="00996859"/>
    <w:rsid w:val="0099689A"/>
    <w:rsid w:val="0099694E"/>
    <w:rsid w:val="00996986"/>
    <w:rsid w:val="00996A24"/>
    <w:rsid w:val="00996CAA"/>
    <w:rsid w:val="009970A1"/>
    <w:rsid w:val="00997191"/>
    <w:rsid w:val="0099725B"/>
    <w:rsid w:val="009974C8"/>
    <w:rsid w:val="00997519"/>
    <w:rsid w:val="00997584"/>
    <w:rsid w:val="009976B0"/>
    <w:rsid w:val="00997754"/>
    <w:rsid w:val="00997775"/>
    <w:rsid w:val="009977F7"/>
    <w:rsid w:val="0099784D"/>
    <w:rsid w:val="00997892"/>
    <w:rsid w:val="009978CA"/>
    <w:rsid w:val="009978DE"/>
    <w:rsid w:val="00997935"/>
    <w:rsid w:val="00997A2F"/>
    <w:rsid w:val="00997AFB"/>
    <w:rsid w:val="00997C10"/>
    <w:rsid w:val="00997D5D"/>
    <w:rsid w:val="00997F84"/>
    <w:rsid w:val="009A0013"/>
    <w:rsid w:val="009A0182"/>
    <w:rsid w:val="009A01AB"/>
    <w:rsid w:val="009A03C0"/>
    <w:rsid w:val="009A058B"/>
    <w:rsid w:val="009A05BE"/>
    <w:rsid w:val="009A0679"/>
    <w:rsid w:val="009A06EC"/>
    <w:rsid w:val="009A07BD"/>
    <w:rsid w:val="009A083C"/>
    <w:rsid w:val="009A08FB"/>
    <w:rsid w:val="009A09AF"/>
    <w:rsid w:val="009A0A1B"/>
    <w:rsid w:val="009A0AE1"/>
    <w:rsid w:val="009A0BB1"/>
    <w:rsid w:val="009A0BE6"/>
    <w:rsid w:val="009A0C9A"/>
    <w:rsid w:val="009A0E07"/>
    <w:rsid w:val="009A0E59"/>
    <w:rsid w:val="009A0E9E"/>
    <w:rsid w:val="009A0F1F"/>
    <w:rsid w:val="009A0F9B"/>
    <w:rsid w:val="009A110C"/>
    <w:rsid w:val="009A1255"/>
    <w:rsid w:val="009A12C4"/>
    <w:rsid w:val="009A1371"/>
    <w:rsid w:val="009A13BC"/>
    <w:rsid w:val="009A13F6"/>
    <w:rsid w:val="009A1405"/>
    <w:rsid w:val="009A1480"/>
    <w:rsid w:val="009A1508"/>
    <w:rsid w:val="009A152F"/>
    <w:rsid w:val="009A159B"/>
    <w:rsid w:val="009A163F"/>
    <w:rsid w:val="009A1879"/>
    <w:rsid w:val="009A19AC"/>
    <w:rsid w:val="009A1BAC"/>
    <w:rsid w:val="009A1BAF"/>
    <w:rsid w:val="009A1CF9"/>
    <w:rsid w:val="009A1D99"/>
    <w:rsid w:val="009A1D9F"/>
    <w:rsid w:val="009A1DA8"/>
    <w:rsid w:val="009A1E82"/>
    <w:rsid w:val="009A1EF1"/>
    <w:rsid w:val="009A1F3F"/>
    <w:rsid w:val="009A2020"/>
    <w:rsid w:val="009A206F"/>
    <w:rsid w:val="009A2087"/>
    <w:rsid w:val="009A217B"/>
    <w:rsid w:val="009A220A"/>
    <w:rsid w:val="009A22CA"/>
    <w:rsid w:val="009A23A0"/>
    <w:rsid w:val="009A23C1"/>
    <w:rsid w:val="009A23C6"/>
    <w:rsid w:val="009A24FC"/>
    <w:rsid w:val="009A258E"/>
    <w:rsid w:val="009A278F"/>
    <w:rsid w:val="009A27E3"/>
    <w:rsid w:val="009A2AF0"/>
    <w:rsid w:val="009A2B22"/>
    <w:rsid w:val="009A2BC4"/>
    <w:rsid w:val="009A2D37"/>
    <w:rsid w:val="009A2D7C"/>
    <w:rsid w:val="009A2DAE"/>
    <w:rsid w:val="009A2E06"/>
    <w:rsid w:val="009A2E35"/>
    <w:rsid w:val="009A2E38"/>
    <w:rsid w:val="009A2EBA"/>
    <w:rsid w:val="009A3063"/>
    <w:rsid w:val="009A31BB"/>
    <w:rsid w:val="009A3272"/>
    <w:rsid w:val="009A3350"/>
    <w:rsid w:val="009A337D"/>
    <w:rsid w:val="009A339A"/>
    <w:rsid w:val="009A33B0"/>
    <w:rsid w:val="009A3448"/>
    <w:rsid w:val="009A34B9"/>
    <w:rsid w:val="009A34E9"/>
    <w:rsid w:val="009A358C"/>
    <w:rsid w:val="009A3622"/>
    <w:rsid w:val="009A3652"/>
    <w:rsid w:val="009A3691"/>
    <w:rsid w:val="009A3728"/>
    <w:rsid w:val="009A392D"/>
    <w:rsid w:val="009A3950"/>
    <w:rsid w:val="009A3AB0"/>
    <w:rsid w:val="009A3BC4"/>
    <w:rsid w:val="009A3BD1"/>
    <w:rsid w:val="009A3C5A"/>
    <w:rsid w:val="009A3DBD"/>
    <w:rsid w:val="009A3F1F"/>
    <w:rsid w:val="009A3F6B"/>
    <w:rsid w:val="009A3FD9"/>
    <w:rsid w:val="009A4031"/>
    <w:rsid w:val="009A4183"/>
    <w:rsid w:val="009A438E"/>
    <w:rsid w:val="009A439F"/>
    <w:rsid w:val="009A43BD"/>
    <w:rsid w:val="009A441D"/>
    <w:rsid w:val="009A458D"/>
    <w:rsid w:val="009A465C"/>
    <w:rsid w:val="009A4743"/>
    <w:rsid w:val="009A486E"/>
    <w:rsid w:val="009A48B2"/>
    <w:rsid w:val="009A4A5E"/>
    <w:rsid w:val="009A4A86"/>
    <w:rsid w:val="009A4CF8"/>
    <w:rsid w:val="009A4DA8"/>
    <w:rsid w:val="009A4E29"/>
    <w:rsid w:val="009A4E40"/>
    <w:rsid w:val="009A4EAF"/>
    <w:rsid w:val="009A4F84"/>
    <w:rsid w:val="009A4FB6"/>
    <w:rsid w:val="009A4FD4"/>
    <w:rsid w:val="009A508F"/>
    <w:rsid w:val="009A5352"/>
    <w:rsid w:val="009A5365"/>
    <w:rsid w:val="009A5450"/>
    <w:rsid w:val="009A5518"/>
    <w:rsid w:val="009A55DF"/>
    <w:rsid w:val="009A57FB"/>
    <w:rsid w:val="009A589C"/>
    <w:rsid w:val="009A5965"/>
    <w:rsid w:val="009A5989"/>
    <w:rsid w:val="009A5A73"/>
    <w:rsid w:val="009A5AC2"/>
    <w:rsid w:val="009A5B51"/>
    <w:rsid w:val="009A5C66"/>
    <w:rsid w:val="009A5E40"/>
    <w:rsid w:val="009A5E6F"/>
    <w:rsid w:val="009A5FFD"/>
    <w:rsid w:val="009A602C"/>
    <w:rsid w:val="009A6096"/>
    <w:rsid w:val="009A60F1"/>
    <w:rsid w:val="009A613E"/>
    <w:rsid w:val="009A615E"/>
    <w:rsid w:val="009A6162"/>
    <w:rsid w:val="009A61E5"/>
    <w:rsid w:val="009A6309"/>
    <w:rsid w:val="009A64AC"/>
    <w:rsid w:val="009A64C7"/>
    <w:rsid w:val="009A6518"/>
    <w:rsid w:val="009A65CE"/>
    <w:rsid w:val="009A6642"/>
    <w:rsid w:val="009A66E4"/>
    <w:rsid w:val="009A67B8"/>
    <w:rsid w:val="009A6854"/>
    <w:rsid w:val="009A6875"/>
    <w:rsid w:val="009A68E8"/>
    <w:rsid w:val="009A68EA"/>
    <w:rsid w:val="009A692B"/>
    <w:rsid w:val="009A6AB5"/>
    <w:rsid w:val="009A6AE4"/>
    <w:rsid w:val="009A6AEA"/>
    <w:rsid w:val="009A6C13"/>
    <w:rsid w:val="009A6C2F"/>
    <w:rsid w:val="009A6C3B"/>
    <w:rsid w:val="009A6D85"/>
    <w:rsid w:val="009A6DA5"/>
    <w:rsid w:val="009A6E89"/>
    <w:rsid w:val="009A6EA2"/>
    <w:rsid w:val="009A6F29"/>
    <w:rsid w:val="009A6F6B"/>
    <w:rsid w:val="009A6FBC"/>
    <w:rsid w:val="009A71F1"/>
    <w:rsid w:val="009A7228"/>
    <w:rsid w:val="009A72BD"/>
    <w:rsid w:val="009A7330"/>
    <w:rsid w:val="009A73F5"/>
    <w:rsid w:val="009A756A"/>
    <w:rsid w:val="009A761D"/>
    <w:rsid w:val="009A774C"/>
    <w:rsid w:val="009A777C"/>
    <w:rsid w:val="009A77B3"/>
    <w:rsid w:val="009A795A"/>
    <w:rsid w:val="009A79A3"/>
    <w:rsid w:val="009A7E8C"/>
    <w:rsid w:val="009B0040"/>
    <w:rsid w:val="009B0154"/>
    <w:rsid w:val="009B0253"/>
    <w:rsid w:val="009B02ED"/>
    <w:rsid w:val="009B04AC"/>
    <w:rsid w:val="009B04CF"/>
    <w:rsid w:val="009B06F0"/>
    <w:rsid w:val="009B071B"/>
    <w:rsid w:val="009B08E7"/>
    <w:rsid w:val="009B0A47"/>
    <w:rsid w:val="009B0B5A"/>
    <w:rsid w:val="009B0BAC"/>
    <w:rsid w:val="009B0BC7"/>
    <w:rsid w:val="009B0C8D"/>
    <w:rsid w:val="009B0CCB"/>
    <w:rsid w:val="009B0F20"/>
    <w:rsid w:val="009B0F7C"/>
    <w:rsid w:val="009B0FC1"/>
    <w:rsid w:val="009B1030"/>
    <w:rsid w:val="009B1303"/>
    <w:rsid w:val="009B1375"/>
    <w:rsid w:val="009B1386"/>
    <w:rsid w:val="009B13C6"/>
    <w:rsid w:val="009B1456"/>
    <w:rsid w:val="009B1479"/>
    <w:rsid w:val="009B14E4"/>
    <w:rsid w:val="009B152B"/>
    <w:rsid w:val="009B158F"/>
    <w:rsid w:val="009B1709"/>
    <w:rsid w:val="009B1811"/>
    <w:rsid w:val="009B18AC"/>
    <w:rsid w:val="009B1A6F"/>
    <w:rsid w:val="009B1A9B"/>
    <w:rsid w:val="009B1C04"/>
    <w:rsid w:val="009B1C06"/>
    <w:rsid w:val="009B1D9D"/>
    <w:rsid w:val="009B1DF7"/>
    <w:rsid w:val="009B1EE3"/>
    <w:rsid w:val="009B2019"/>
    <w:rsid w:val="009B2087"/>
    <w:rsid w:val="009B20E6"/>
    <w:rsid w:val="009B2218"/>
    <w:rsid w:val="009B2269"/>
    <w:rsid w:val="009B24CF"/>
    <w:rsid w:val="009B25F7"/>
    <w:rsid w:val="009B2686"/>
    <w:rsid w:val="009B27D7"/>
    <w:rsid w:val="009B285C"/>
    <w:rsid w:val="009B28F8"/>
    <w:rsid w:val="009B2B9A"/>
    <w:rsid w:val="009B2CFB"/>
    <w:rsid w:val="009B2DEB"/>
    <w:rsid w:val="009B2EA9"/>
    <w:rsid w:val="009B2F42"/>
    <w:rsid w:val="009B2F85"/>
    <w:rsid w:val="009B2F9B"/>
    <w:rsid w:val="009B3171"/>
    <w:rsid w:val="009B32E7"/>
    <w:rsid w:val="009B33A2"/>
    <w:rsid w:val="009B347F"/>
    <w:rsid w:val="009B3556"/>
    <w:rsid w:val="009B35AB"/>
    <w:rsid w:val="009B378A"/>
    <w:rsid w:val="009B3790"/>
    <w:rsid w:val="009B391B"/>
    <w:rsid w:val="009B3958"/>
    <w:rsid w:val="009B3987"/>
    <w:rsid w:val="009B39BF"/>
    <w:rsid w:val="009B39F8"/>
    <w:rsid w:val="009B3A0D"/>
    <w:rsid w:val="009B3B25"/>
    <w:rsid w:val="009B3B31"/>
    <w:rsid w:val="009B3E1D"/>
    <w:rsid w:val="009B3E25"/>
    <w:rsid w:val="009B3FA9"/>
    <w:rsid w:val="009B409F"/>
    <w:rsid w:val="009B416C"/>
    <w:rsid w:val="009B4232"/>
    <w:rsid w:val="009B4286"/>
    <w:rsid w:val="009B4311"/>
    <w:rsid w:val="009B438C"/>
    <w:rsid w:val="009B4471"/>
    <w:rsid w:val="009B4619"/>
    <w:rsid w:val="009B4666"/>
    <w:rsid w:val="009B4669"/>
    <w:rsid w:val="009B4685"/>
    <w:rsid w:val="009B46B1"/>
    <w:rsid w:val="009B4753"/>
    <w:rsid w:val="009B47AB"/>
    <w:rsid w:val="009B47AD"/>
    <w:rsid w:val="009B48A7"/>
    <w:rsid w:val="009B4930"/>
    <w:rsid w:val="009B4936"/>
    <w:rsid w:val="009B4960"/>
    <w:rsid w:val="009B4978"/>
    <w:rsid w:val="009B49C5"/>
    <w:rsid w:val="009B4A8F"/>
    <w:rsid w:val="009B4C9E"/>
    <w:rsid w:val="009B4CEA"/>
    <w:rsid w:val="009B4D0A"/>
    <w:rsid w:val="009B4D1C"/>
    <w:rsid w:val="009B4D5B"/>
    <w:rsid w:val="009B4F57"/>
    <w:rsid w:val="009B4FD2"/>
    <w:rsid w:val="009B5027"/>
    <w:rsid w:val="009B5150"/>
    <w:rsid w:val="009B51AF"/>
    <w:rsid w:val="009B5200"/>
    <w:rsid w:val="009B536D"/>
    <w:rsid w:val="009B53BF"/>
    <w:rsid w:val="009B5561"/>
    <w:rsid w:val="009B55E0"/>
    <w:rsid w:val="009B5609"/>
    <w:rsid w:val="009B58CC"/>
    <w:rsid w:val="009B5913"/>
    <w:rsid w:val="009B595F"/>
    <w:rsid w:val="009B5A73"/>
    <w:rsid w:val="009B5AA4"/>
    <w:rsid w:val="009B5B53"/>
    <w:rsid w:val="009B5CDF"/>
    <w:rsid w:val="009B5DC0"/>
    <w:rsid w:val="009B5EDC"/>
    <w:rsid w:val="009B5EE2"/>
    <w:rsid w:val="009B6101"/>
    <w:rsid w:val="009B63BE"/>
    <w:rsid w:val="009B648A"/>
    <w:rsid w:val="009B648B"/>
    <w:rsid w:val="009B652F"/>
    <w:rsid w:val="009B6552"/>
    <w:rsid w:val="009B65DD"/>
    <w:rsid w:val="009B6618"/>
    <w:rsid w:val="009B67F8"/>
    <w:rsid w:val="009B683C"/>
    <w:rsid w:val="009B6875"/>
    <w:rsid w:val="009B6A3A"/>
    <w:rsid w:val="009B6BB0"/>
    <w:rsid w:val="009B6BC6"/>
    <w:rsid w:val="009B6C18"/>
    <w:rsid w:val="009B6C51"/>
    <w:rsid w:val="009B6C76"/>
    <w:rsid w:val="009B6FED"/>
    <w:rsid w:val="009B7034"/>
    <w:rsid w:val="009B7082"/>
    <w:rsid w:val="009B70B3"/>
    <w:rsid w:val="009B7132"/>
    <w:rsid w:val="009B71C8"/>
    <w:rsid w:val="009B7272"/>
    <w:rsid w:val="009B728C"/>
    <w:rsid w:val="009B7355"/>
    <w:rsid w:val="009B745C"/>
    <w:rsid w:val="009B747C"/>
    <w:rsid w:val="009B749C"/>
    <w:rsid w:val="009B7514"/>
    <w:rsid w:val="009B756D"/>
    <w:rsid w:val="009B75EE"/>
    <w:rsid w:val="009B772D"/>
    <w:rsid w:val="009B783D"/>
    <w:rsid w:val="009B78E2"/>
    <w:rsid w:val="009B7A98"/>
    <w:rsid w:val="009B7BA6"/>
    <w:rsid w:val="009B7C80"/>
    <w:rsid w:val="009B7C8C"/>
    <w:rsid w:val="009B7CCA"/>
    <w:rsid w:val="009B7DA4"/>
    <w:rsid w:val="009B7DA9"/>
    <w:rsid w:val="009B7DC5"/>
    <w:rsid w:val="009B7E62"/>
    <w:rsid w:val="009B7E93"/>
    <w:rsid w:val="009B7F2F"/>
    <w:rsid w:val="009B7FED"/>
    <w:rsid w:val="009C000E"/>
    <w:rsid w:val="009C0183"/>
    <w:rsid w:val="009C02A7"/>
    <w:rsid w:val="009C0320"/>
    <w:rsid w:val="009C04AD"/>
    <w:rsid w:val="009C0549"/>
    <w:rsid w:val="009C069C"/>
    <w:rsid w:val="009C07C5"/>
    <w:rsid w:val="009C0B03"/>
    <w:rsid w:val="009C0C51"/>
    <w:rsid w:val="009C0D39"/>
    <w:rsid w:val="009C0E73"/>
    <w:rsid w:val="009C0F13"/>
    <w:rsid w:val="009C0F90"/>
    <w:rsid w:val="009C1078"/>
    <w:rsid w:val="009C1155"/>
    <w:rsid w:val="009C11F3"/>
    <w:rsid w:val="009C1250"/>
    <w:rsid w:val="009C130F"/>
    <w:rsid w:val="009C1322"/>
    <w:rsid w:val="009C1341"/>
    <w:rsid w:val="009C14F3"/>
    <w:rsid w:val="009C1669"/>
    <w:rsid w:val="009C185E"/>
    <w:rsid w:val="009C18D1"/>
    <w:rsid w:val="009C197F"/>
    <w:rsid w:val="009C19AD"/>
    <w:rsid w:val="009C19CE"/>
    <w:rsid w:val="009C1A8F"/>
    <w:rsid w:val="009C1B49"/>
    <w:rsid w:val="009C1B61"/>
    <w:rsid w:val="009C1BC8"/>
    <w:rsid w:val="009C1BFB"/>
    <w:rsid w:val="009C1C41"/>
    <w:rsid w:val="009C1C4F"/>
    <w:rsid w:val="009C1C5D"/>
    <w:rsid w:val="009C1D8B"/>
    <w:rsid w:val="009C1DDF"/>
    <w:rsid w:val="009C1E71"/>
    <w:rsid w:val="009C1F0E"/>
    <w:rsid w:val="009C2079"/>
    <w:rsid w:val="009C20E8"/>
    <w:rsid w:val="009C2114"/>
    <w:rsid w:val="009C214E"/>
    <w:rsid w:val="009C23D9"/>
    <w:rsid w:val="009C25E2"/>
    <w:rsid w:val="009C2703"/>
    <w:rsid w:val="009C2893"/>
    <w:rsid w:val="009C28E4"/>
    <w:rsid w:val="009C2ABD"/>
    <w:rsid w:val="009C2AC6"/>
    <w:rsid w:val="009C2AF4"/>
    <w:rsid w:val="009C2B1F"/>
    <w:rsid w:val="009C2D1A"/>
    <w:rsid w:val="009C2D3C"/>
    <w:rsid w:val="009C2D55"/>
    <w:rsid w:val="009C2D9B"/>
    <w:rsid w:val="009C2EEC"/>
    <w:rsid w:val="009C30E8"/>
    <w:rsid w:val="009C30FB"/>
    <w:rsid w:val="009C3176"/>
    <w:rsid w:val="009C31C4"/>
    <w:rsid w:val="009C32BB"/>
    <w:rsid w:val="009C335A"/>
    <w:rsid w:val="009C33C9"/>
    <w:rsid w:val="009C354C"/>
    <w:rsid w:val="009C3616"/>
    <w:rsid w:val="009C3695"/>
    <w:rsid w:val="009C37D6"/>
    <w:rsid w:val="009C3926"/>
    <w:rsid w:val="009C394E"/>
    <w:rsid w:val="009C3972"/>
    <w:rsid w:val="009C39D6"/>
    <w:rsid w:val="009C3B69"/>
    <w:rsid w:val="009C3C88"/>
    <w:rsid w:val="009C3D03"/>
    <w:rsid w:val="009C4014"/>
    <w:rsid w:val="009C406C"/>
    <w:rsid w:val="009C40B3"/>
    <w:rsid w:val="009C411A"/>
    <w:rsid w:val="009C413A"/>
    <w:rsid w:val="009C430A"/>
    <w:rsid w:val="009C43DA"/>
    <w:rsid w:val="009C4576"/>
    <w:rsid w:val="009C45BF"/>
    <w:rsid w:val="009C4608"/>
    <w:rsid w:val="009C47B4"/>
    <w:rsid w:val="009C47BE"/>
    <w:rsid w:val="009C480B"/>
    <w:rsid w:val="009C490E"/>
    <w:rsid w:val="009C4954"/>
    <w:rsid w:val="009C4958"/>
    <w:rsid w:val="009C4B04"/>
    <w:rsid w:val="009C4E87"/>
    <w:rsid w:val="009C4FDD"/>
    <w:rsid w:val="009C516F"/>
    <w:rsid w:val="009C5189"/>
    <w:rsid w:val="009C51D7"/>
    <w:rsid w:val="009C51E7"/>
    <w:rsid w:val="009C5233"/>
    <w:rsid w:val="009C52DF"/>
    <w:rsid w:val="009C5306"/>
    <w:rsid w:val="009C5541"/>
    <w:rsid w:val="009C5651"/>
    <w:rsid w:val="009C5725"/>
    <w:rsid w:val="009C574C"/>
    <w:rsid w:val="009C5887"/>
    <w:rsid w:val="009C5958"/>
    <w:rsid w:val="009C599F"/>
    <w:rsid w:val="009C5A03"/>
    <w:rsid w:val="009C5A8E"/>
    <w:rsid w:val="009C5A9F"/>
    <w:rsid w:val="009C5C0A"/>
    <w:rsid w:val="009C5CB1"/>
    <w:rsid w:val="009C5D24"/>
    <w:rsid w:val="009C5D3E"/>
    <w:rsid w:val="009C5DE3"/>
    <w:rsid w:val="009C5F03"/>
    <w:rsid w:val="009C5F1B"/>
    <w:rsid w:val="009C5F22"/>
    <w:rsid w:val="009C5FDD"/>
    <w:rsid w:val="009C6187"/>
    <w:rsid w:val="009C623F"/>
    <w:rsid w:val="009C6352"/>
    <w:rsid w:val="009C65DA"/>
    <w:rsid w:val="009C662F"/>
    <w:rsid w:val="009C665A"/>
    <w:rsid w:val="009C66FA"/>
    <w:rsid w:val="009C6748"/>
    <w:rsid w:val="009C683A"/>
    <w:rsid w:val="009C6AB3"/>
    <w:rsid w:val="009C6AC6"/>
    <w:rsid w:val="009C6B94"/>
    <w:rsid w:val="009C6BCB"/>
    <w:rsid w:val="009C6BE0"/>
    <w:rsid w:val="009C6C31"/>
    <w:rsid w:val="009C6D35"/>
    <w:rsid w:val="009C6DD0"/>
    <w:rsid w:val="009C6E62"/>
    <w:rsid w:val="009C6E95"/>
    <w:rsid w:val="009C7039"/>
    <w:rsid w:val="009C716B"/>
    <w:rsid w:val="009C73B5"/>
    <w:rsid w:val="009C73FF"/>
    <w:rsid w:val="009C7442"/>
    <w:rsid w:val="009C755D"/>
    <w:rsid w:val="009C75B2"/>
    <w:rsid w:val="009C75C1"/>
    <w:rsid w:val="009C75D0"/>
    <w:rsid w:val="009C7699"/>
    <w:rsid w:val="009C778A"/>
    <w:rsid w:val="009C778C"/>
    <w:rsid w:val="009C77B6"/>
    <w:rsid w:val="009C77F9"/>
    <w:rsid w:val="009C781A"/>
    <w:rsid w:val="009C7956"/>
    <w:rsid w:val="009C7977"/>
    <w:rsid w:val="009C7DC1"/>
    <w:rsid w:val="009C7E3F"/>
    <w:rsid w:val="009C7F08"/>
    <w:rsid w:val="009C7F1D"/>
    <w:rsid w:val="009D0042"/>
    <w:rsid w:val="009D00B7"/>
    <w:rsid w:val="009D014D"/>
    <w:rsid w:val="009D030D"/>
    <w:rsid w:val="009D034D"/>
    <w:rsid w:val="009D04CA"/>
    <w:rsid w:val="009D0621"/>
    <w:rsid w:val="009D06A3"/>
    <w:rsid w:val="009D06C3"/>
    <w:rsid w:val="009D071D"/>
    <w:rsid w:val="009D0726"/>
    <w:rsid w:val="009D07C0"/>
    <w:rsid w:val="009D0B19"/>
    <w:rsid w:val="009D0B90"/>
    <w:rsid w:val="009D0C4D"/>
    <w:rsid w:val="009D0C8D"/>
    <w:rsid w:val="009D0DD9"/>
    <w:rsid w:val="009D0E41"/>
    <w:rsid w:val="009D0F35"/>
    <w:rsid w:val="009D0F76"/>
    <w:rsid w:val="009D1069"/>
    <w:rsid w:val="009D10B5"/>
    <w:rsid w:val="009D11B6"/>
    <w:rsid w:val="009D1218"/>
    <w:rsid w:val="009D1283"/>
    <w:rsid w:val="009D1416"/>
    <w:rsid w:val="009D1439"/>
    <w:rsid w:val="009D1459"/>
    <w:rsid w:val="009D14FB"/>
    <w:rsid w:val="009D16EA"/>
    <w:rsid w:val="009D17D5"/>
    <w:rsid w:val="009D17EE"/>
    <w:rsid w:val="009D189D"/>
    <w:rsid w:val="009D19AB"/>
    <w:rsid w:val="009D19FF"/>
    <w:rsid w:val="009D1C2F"/>
    <w:rsid w:val="009D1C72"/>
    <w:rsid w:val="009D1CA5"/>
    <w:rsid w:val="009D1CA8"/>
    <w:rsid w:val="009D1CDC"/>
    <w:rsid w:val="009D1CF6"/>
    <w:rsid w:val="009D1D1A"/>
    <w:rsid w:val="009D1D40"/>
    <w:rsid w:val="009D1E5B"/>
    <w:rsid w:val="009D1EEB"/>
    <w:rsid w:val="009D1FFE"/>
    <w:rsid w:val="009D201A"/>
    <w:rsid w:val="009D208C"/>
    <w:rsid w:val="009D20B1"/>
    <w:rsid w:val="009D2178"/>
    <w:rsid w:val="009D2286"/>
    <w:rsid w:val="009D231A"/>
    <w:rsid w:val="009D23CC"/>
    <w:rsid w:val="009D23E1"/>
    <w:rsid w:val="009D2470"/>
    <w:rsid w:val="009D25CD"/>
    <w:rsid w:val="009D263F"/>
    <w:rsid w:val="009D268F"/>
    <w:rsid w:val="009D26C5"/>
    <w:rsid w:val="009D27A4"/>
    <w:rsid w:val="009D27EE"/>
    <w:rsid w:val="009D282D"/>
    <w:rsid w:val="009D2A24"/>
    <w:rsid w:val="009D2A2D"/>
    <w:rsid w:val="009D2B39"/>
    <w:rsid w:val="009D2BCB"/>
    <w:rsid w:val="009D2C5C"/>
    <w:rsid w:val="009D2CB0"/>
    <w:rsid w:val="009D2E73"/>
    <w:rsid w:val="009D2F82"/>
    <w:rsid w:val="009D313E"/>
    <w:rsid w:val="009D33CB"/>
    <w:rsid w:val="009D344C"/>
    <w:rsid w:val="009D3450"/>
    <w:rsid w:val="009D3484"/>
    <w:rsid w:val="009D34CB"/>
    <w:rsid w:val="009D3569"/>
    <w:rsid w:val="009D365A"/>
    <w:rsid w:val="009D37DA"/>
    <w:rsid w:val="009D3830"/>
    <w:rsid w:val="009D3852"/>
    <w:rsid w:val="009D38A7"/>
    <w:rsid w:val="009D38BC"/>
    <w:rsid w:val="009D3928"/>
    <w:rsid w:val="009D3B8C"/>
    <w:rsid w:val="009D3D54"/>
    <w:rsid w:val="009D3DB1"/>
    <w:rsid w:val="009D3DCE"/>
    <w:rsid w:val="009D403B"/>
    <w:rsid w:val="009D40FE"/>
    <w:rsid w:val="009D41B6"/>
    <w:rsid w:val="009D420A"/>
    <w:rsid w:val="009D421B"/>
    <w:rsid w:val="009D42F8"/>
    <w:rsid w:val="009D434A"/>
    <w:rsid w:val="009D4482"/>
    <w:rsid w:val="009D4542"/>
    <w:rsid w:val="009D4590"/>
    <w:rsid w:val="009D459A"/>
    <w:rsid w:val="009D466E"/>
    <w:rsid w:val="009D4689"/>
    <w:rsid w:val="009D46FD"/>
    <w:rsid w:val="009D4716"/>
    <w:rsid w:val="009D47E8"/>
    <w:rsid w:val="009D4880"/>
    <w:rsid w:val="009D48BB"/>
    <w:rsid w:val="009D4A62"/>
    <w:rsid w:val="009D4B91"/>
    <w:rsid w:val="009D4D3B"/>
    <w:rsid w:val="009D4EB6"/>
    <w:rsid w:val="009D4EC7"/>
    <w:rsid w:val="009D4F25"/>
    <w:rsid w:val="009D4FF5"/>
    <w:rsid w:val="009D5004"/>
    <w:rsid w:val="009D5121"/>
    <w:rsid w:val="009D5169"/>
    <w:rsid w:val="009D5213"/>
    <w:rsid w:val="009D523D"/>
    <w:rsid w:val="009D53A9"/>
    <w:rsid w:val="009D53D6"/>
    <w:rsid w:val="009D552A"/>
    <w:rsid w:val="009D5720"/>
    <w:rsid w:val="009D5725"/>
    <w:rsid w:val="009D5772"/>
    <w:rsid w:val="009D57B5"/>
    <w:rsid w:val="009D5829"/>
    <w:rsid w:val="009D5858"/>
    <w:rsid w:val="009D5877"/>
    <w:rsid w:val="009D5A6B"/>
    <w:rsid w:val="009D5ABD"/>
    <w:rsid w:val="009D5ADB"/>
    <w:rsid w:val="009D5B83"/>
    <w:rsid w:val="009D5BCA"/>
    <w:rsid w:val="009D5C6D"/>
    <w:rsid w:val="009D5DBD"/>
    <w:rsid w:val="009D5EAE"/>
    <w:rsid w:val="009D5EC7"/>
    <w:rsid w:val="009D607C"/>
    <w:rsid w:val="009D6293"/>
    <w:rsid w:val="009D6395"/>
    <w:rsid w:val="009D645B"/>
    <w:rsid w:val="009D655A"/>
    <w:rsid w:val="009D65B1"/>
    <w:rsid w:val="009D6791"/>
    <w:rsid w:val="009D680B"/>
    <w:rsid w:val="009D6839"/>
    <w:rsid w:val="009D69E5"/>
    <w:rsid w:val="009D6B0A"/>
    <w:rsid w:val="009D6B7B"/>
    <w:rsid w:val="009D6BCF"/>
    <w:rsid w:val="009D6C03"/>
    <w:rsid w:val="009D6E3E"/>
    <w:rsid w:val="009D6E68"/>
    <w:rsid w:val="009D6EA3"/>
    <w:rsid w:val="009D6F0C"/>
    <w:rsid w:val="009D7007"/>
    <w:rsid w:val="009D7170"/>
    <w:rsid w:val="009D7296"/>
    <w:rsid w:val="009D73D0"/>
    <w:rsid w:val="009D76D2"/>
    <w:rsid w:val="009D784D"/>
    <w:rsid w:val="009D785E"/>
    <w:rsid w:val="009D793B"/>
    <w:rsid w:val="009D79BE"/>
    <w:rsid w:val="009D7B87"/>
    <w:rsid w:val="009D7C98"/>
    <w:rsid w:val="009D7E74"/>
    <w:rsid w:val="009D7E75"/>
    <w:rsid w:val="009D7FA5"/>
    <w:rsid w:val="009D7FCE"/>
    <w:rsid w:val="009E00B8"/>
    <w:rsid w:val="009E016A"/>
    <w:rsid w:val="009E01FD"/>
    <w:rsid w:val="009E033E"/>
    <w:rsid w:val="009E03CC"/>
    <w:rsid w:val="009E03E8"/>
    <w:rsid w:val="009E03EF"/>
    <w:rsid w:val="009E0475"/>
    <w:rsid w:val="009E079D"/>
    <w:rsid w:val="009E0926"/>
    <w:rsid w:val="009E09FC"/>
    <w:rsid w:val="009E0A10"/>
    <w:rsid w:val="009E0A45"/>
    <w:rsid w:val="009E0A99"/>
    <w:rsid w:val="009E0B07"/>
    <w:rsid w:val="009E0B37"/>
    <w:rsid w:val="009E0D9F"/>
    <w:rsid w:val="009E0DAD"/>
    <w:rsid w:val="009E0E9F"/>
    <w:rsid w:val="009E0FE3"/>
    <w:rsid w:val="009E0FE7"/>
    <w:rsid w:val="009E101E"/>
    <w:rsid w:val="009E1031"/>
    <w:rsid w:val="009E10ED"/>
    <w:rsid w:val="009E1121"/>
    <w:rsid w:val="009E118B"/>
    <w:rsid w:val="009E1236"/>
    <w:rsid w:val="009E12CD"/>
    <w:rsid w:val="009E137F"/>
    <w:rsid w:val="009E1466"/>
    <w:rsid w:val="009E147A"/>
    <w:rsid w:val="009E14EE"/>
    <w:rsid w:val="009E1525"/>
    <w:rsid w:val="009E1544"/>
    <w:rsid w:val="009E15FB"/>
    <w:rsid w:val="009E1651"/>
    <w:rsid w:val="009E1AC8"/>
    <w:rsid w:val="009E1BC0"/>
    <w:rsid w:val="009E1C85"/>
    <w:rsid w:val="009E1D1B"/>
    <w:rsid w:val="009E1EF6"/>
    <w:rsid w:val="009E1F69"/>
    <w:rsid w:val="009E1FD6"/>
    <w:rsid w:val="009E214A"/>
    <w:rsid w:val="009E2194"/>
    <w:rsid w:val="009E2239"/>
    <w:rsid w:val="009E2259"/>
    <w:rsid w:val="009E22F0"/>
    <w:rsid w:val="009E293B"/>
    <w:rsid w:val="009E2A0E"/>
    <w:rsid w:val="009E2AFB"/>
    <w:rsid w:val="009E2B3C"/>
    <w:rsid w:val="009E3076"/>
    <w:rsid w:val="009E3308"/>
    <w:rsid w:val="009E3343"/>
    <w:rsid w:val="009E339A"/>
    <w:rsid w:val="009E347C"/>
    <w:rsid w:val="009E351A"/>
    <w:rsid w:val="009E355D"/>
    <w:rsid w:val="009E361B"/>
    <w:rsid w:val="009E361C"/>
    <w:rsid w:val="009E3775"/>
    <w:rsid w:val="009E3779"/>
    <w:rsid w:val="009E381A"/>
    <w:rsid w:val="009E3997"/>
    <w:rsid w:val="009E3B37"/>
    <w:rsid w:val="009E3B52"/>
    <w:rsid w:val="009E3CAC"/>
    <w:rsid w:val="009E3CC2"/>
    <w:rsid w:val="009E3E0B"/>
    <w:rsid w:val="009E3EB4"/>
    <w:rsid w:val="009E3F5A"/>
    <w:rsid w:val="009E4101"/>
    <w:rsid w:val="009E425D"/>
    <w:rsid w:val="009E4266"/>
    <w:rsid w:val="009E4309"/>
    <w:rsid w:val="009E4340"/>
    <w:rsid w:val="009E4528"/>
    <w:rsid w:val="009E45BA"/>
    <w:rsid w:val="009E46EE"/>
    <w:rsid w:val="009E4851"/>
    <w:rsid w:val="009E48B2"/>
    <w:rsid w:val="009E48E0"/>
    <w:rsid w:val="009E4A95"/>
    <w:rsid w:val="009E4CCB"/>
    <w:rsid w:val="009E4D2F"/>
    <w:rsid w:val="009E4D8A"/>
    <w:rsid w:val="009E4F7D"/>
    <w:rsid w:val="009E4FB1"/>
    <w:rsid w:val="009E4FB3"/>
    <w:rsid w:val="009E5014"/>
    <w:rsid w:val="009E50C2"/>
    <w:rsid w:val="009E51C9"/>
    <w:rsid w:val="009E52DF"/>
    <w:rsid w:val="009E532B"/>
    <w:rsid w:val="009E540D"/>
    <w:rsid w:val="009E5493"/>
    <w:rsid w:val="009E555D"/>
    <w:rsid w:val="009E577A"/>
    <w:rsid w:val="009E5844"/>
    <w:rsid w:val="009E58B9"/>
    <w:rsid w:val="009E58F6"/>
    <w:rsid w:val="009E5A0E"/>
    <w:rsid w:val="009E5A18"/>
    <w:rsid w:val="009E5B4E"/>
    <w:rsid w:val="009E5BF3"/>
    <w:rsid w:val="009E5CA1"/>
    <w:rsid w:val="009E5CA2"/>
    <w:rsid w:val="009E5E7A"/>
    <w:rsid w:val="009E608D"/>
    <w:rsid w:val="009E60CF"/>
    <w:rsid w:val="009E6155"/>
    <w:rsid w:val="009E6350"/>
    <w:rsid w:val="009E639B"/>
    <w:rsid w:val="009E640C"/>
    <w:rsid w:val="009E64C0"/>
    <w:rsid w:val="009E64CD"/>
    <w:rsid w:val="009E64E7"/>
    <w:rsid w:val="009E6611"/>
    <w:rsid w:val="009E66D2"/>
    <w:rsid w:val="009E6703"/>
    <w:rsid w:val="009E690D"/>
    <w:rsid w:val="009E6BD9"/>
    <w:rsid w:val="009E6D07"/>
    <w:rsid w:val="009E6D33"/>
    <w:rsid w:val="009E6E20"/>
    <w:rsid w:val="009E6E6F"/>
    <w:rsid w:val="009E6EB4"/>
    <w:rsid w:val="009E6F67"/>
    <w:rsid w:val="009E70DC"/>
    <w:rsid w:val="009E7228"/>
    <w:rsid w:val="009E7262"/>
    <w:rsid w:val="009E74BB"/>
    <w:rsid w:val="009E7566"/>
    <w:rsid w:val="009E7663"/>
    <w:rsid w:val="009E779A"/>
    <w:rsid w:val="009E7857"/>
    <w:rsid w:val="009E790C"/>
    <w:rsid w:val="009E7A25"/>
    <w:rsid w:val="009E7BDB"/>
    <w:rsid w:val="009E7E35"/>
    <w:rsid w:val="009F0016"/>
    <w:rsid w:val="009F001E"/>
    <w:rsid w:val="009F0075"/>
    <w:rsid w:val="009F00D5"/>
    <w:rsid w:val="009F00E3"/>
    <w:rsid w:val="009F0148"/>
    <w:rsid w:val="009F0293"/>
    <w:rsid w:val="009F04FD"/>
    <w:rsid w:val="009F0535"/>
    <w:rsid w:val="009F059C"/>
    <w:rsid w:val="009F0630"/>
    <w:rsid w:val="009F0723"/>
    <w:rsid w:val="009F089A"/>
    <w:rsid w:val="009F08C8"/>
    <w:rsid w:val="009F08D6"/>
    <w:rsid w:val="009F08FB"/>
    <w:rsid w:val="009F09AC"/>
    <w:rsid w:val="009F0A2C"/>
    <w:rsid w:val="009F0B5B"/>
    <w:rsid w:val="009F0B5F"/>
    <w:rsid w:val="009F0C5B"/>
    <w:rsid w:val="009F0CDD"/>
    <w:rsid w:val="009F0D70"/>
    <w:rsid w:val="009F0F07"/>
    <w:rsid w:val="009F0F5C"/>
    <w:rsid w:val="009F1447"/>
    <w:rsid w:val="009F1495"/>
    <w:rsid w:val="009F1647"/>
    <w:rsid w:val="009F175A"/>
    <w:rsid w:val="009F17D6"/>
    <w:rsid w:val="009F1886"/>
    <w:rsid w:val="009F18EB"/>
    <w:rsid w:val="009F19EB"/>
    <w:rsid w:val="009F19F5"/>
    <w:rsid w:val="009F1A07"/>
    <w:rsid w:val="009F1A42"/>
    <w:rsid w:val="009F1C54"/>
    <w:rsid w:val="009F1C72"/>
    <w:rsid w:val="009F1CA7"/>
    <w:rsid w:val="009F1CE2"/>
    <w:rsid w:val="009F1CF2"/>
    <w:rsid w:val="009F1D69"/>
    <w:rsid w:val="009F1E81"/>
    <w:rsid w:val="009F1EF6"/>
    <w:rsid w:val="009F1FDE"/>
    <w:rsid w:val="009F1FE1"/>
    <w:rsid w:val="009F201B"/>
    <w:rsid w:val="009F2151"/>
    <w:rsid w:val="009F2167"/>
    <w:rsid w:val="009F21EC"/>
    <w:rsid w:val="009F2334"/>
    <w:rsid w:val="009F24AD"/>
    <w:rsid w:val="009F24BF"/>
    <w:rsid w:val="009F26A9"/>
    <w:rsid w:val="009F26C3"/>
    <w:rsid w:val="009F26DF"/>
    <w:rsid w:val="009F2856"/>
    <w:rsid w:val="009F29B6"/>
    <w:rsid w:val="009F2A2C"/>
    <w:rsid w:val="009F2B67"/>
    <w:rsid w:val="009F2BC7"/>
    <w:rsid w:val="009F2C32"/>
    <w:rsid w:val="009F2D29"/>
    <w:rsid w:val="009F2D83"/>
    <w:rsid w:val="009F2E81"/>
    <w:rsid w:val="009F2FCB"/>
    <w:rsid w:val="009F2FF3"/>
    <w:rsid w:val="009F3041"/>
    <w:rsid w:val="009F3183"/>
    <w:rsid w:val="009F329E"/>
    <w:rsid w:val="009F331E"/>
    <w:rsid w:val="009F3381"/>
    <w:rsid w:val="009F33C6"/>
    <w:rsid w:val="009F3421"/>
    <w:rsid w:val="009F347F"/>
    <w:rsid w:val="009F34D9"/>
    <w:rsid w:val="009F355D"/>
    <w:rsid w:val="009F356B"/>
    <w:rsid w:val="009F35B6"/>
    <w:rsid w:val="009F3720"/>
    <w:rsid w:val="009F3A2A"/>
    <w:rsid w:val="009F3A53"/>
    <w:rsid w:val="009F3A91"/>
    <w:rsid w:val="009F3C16"/>
    <w:rsid w:val="009F3C80"/>
    <w:rsid w:val="009F3D27"/>
    <w:rsid w:val="009F3E17"/>
    <w:rsid w:val="009F3E18"/>
    <w:rsid w:val="009F3E7D"/>
    <w:rsid w:val="009F3E90"/>
    <w:rsid w:val="009F3F21"/>
    <w:rsid w:val="009F3FCB"/>
    <w:rsid w:val="009F401D"/>
    <w:rsid w:val="009F41DA"/>
    <w:rsid w:val="009F430D"/>
    <w:rsid w:val="009F4325"/>
    <w:rsid w:val="009F4404"/>
    <w:rsid w:val="009F4490"/>
    <w:rsid w:val="009F45EA"/>
    <w:rsid w:val="009F4601"/>
    <w:rsid w:val="009F4662"/>
    <w:rsid w:val="009F46E2"/>
    <w:rsid w:val="009F4871"/>
    <w:rsid w:val="009F48B3"/>
    <w:rsid w:val="009F4908"/>
    <w:rsid w:val="009F490C"/>
    <w:rsid w:val="009F4942"/>
    <w:rsid w:val="009F494F"/>
    <w:rsid w:val="009F49B9"/>
    <w:rsid w:val="009F4A88"/>
    <w:rsid w:val="009F4AB8"/>
    <w:rsid w:val="009F4AEE"/>
    <w:rsid w:val="009F4C4C"/>
    <w:rsid w:val="009F4D2F"/>
    <w:rsid w:val="009F5008"/>
    <w:rsid w:val="009F5285"/>
    <w:rsid w:val="009F5325"/>
    <w:rsid w:val="009F5362"/>
    <w:rsid w:val="009F543C"/>
    <w:rsid w:val="009F5478"/>
    <w:rsid w:val="009F5509"/>
    <w:rsid w:val="009F5532"/>
    <w:rsid w:val="009F5557"/>
    <w:rsid w:val="009F565D"/>
    <w:rsid w:val="009F567A"/>
    <w:rsid w:val="009F5694"/>
    <w:rsid w:val="009F56F9"/>
    <w:rsid w:val="009F57DF"/>
    <w:rsid w:val="009F587C"/>
    <w:rsid w:val="009F5945"/>
    <w:rsid w:val="009F5949"/>
    <w:rsid w:val="009F59C0"/>
    <w:rsid w:val="009F59F9"/>
    <w:rsid w:val="009F5A91"/>
    <w:rsid w:val="009F5B88"/>
    <w:rsid w:val="009F5BC6"/>
    <w:rsid w:val="009F5C0D"/>
    <w:rsid w:val="009F5C6A"/>
    <w:rsid w:val="009F5C9A"/>
    <w:rsid w:val="009F5E1D"/>
    <w:rsid w:val="009F5E2F"/>
    <w:rsid w:val="009F5F76"/>
    <w:rsid w:val="009F5F7E"/>
    <w:rsid w:val="009F5FFA"/>
    <w:rsid w:val="009F6013"/>
    <w:rsid w:val="009F6136"/>
    <w:rsid w:val="009F64E6"/>
    <w:rsid w:val="009F65AA"/>
    <w:rsid w:val="009F65AF"/>
    <w:rsid w:val="009F6642"/>
    <w:rsid w:val="009F68F9"/>
    <w:rsid w:val="009F6BB3"/>
    <w:rsid w:val="009F6C1B"/>
    <w:rsid w:val="009F6D1F"/>
    <w:rsid w:val="009F6D5D"/>
    <w:rsid w:val="009F6D78"/>
    <w:rsid w:val="009F6E32"/>
    <w:rsid w:val="009F6F29"/>
    <w:rsid w:val="009F6FC0"/>
    <w:rsid w:val="009F707E"/>
    <w:rsid w:val="009F7086"/>
    <w:rsid w:val="009F7128"/>
    <w:rsid w:val="009F723D"/>
    <w:rsid w:val="009F7305"/>
    <w:rsid w:val="009F736B"/>
    <w:rsid w:val="009F7386"/>
    <w:rsid w:val="009F7406"/>
    <w:rsid w:val="009F7435"/>
    <w:rsid w:val="009F757E"/>
    <w:rsid w:val="009F75B8"/>
    <w:rsid w:val="009F77DC"/>
    <w:rsid w:val="009F785D"/>
    <w:rsid w:val="009F7878"/>
    <w:rsid w:val="009F78EE"/>
    <w:rsid w:val="009F7921"/>
    <w:rsid w:val="009F7C7C"/>
    <w:rsid w:val="009F7CFB"/>
    <w:rsid w:val="009F7D8B"/>
    <w:rsid w:val="00A0020E"/>
    <w:rsid w:val="00A00251"/>
    <w:rsid w:val="00A002F4"/>
    <w:rsid w:val="00A003CA"/>
    <w:rsid w:val="00A004D4"/>
    <w:rsid w:val="00A0057C"/>
    <w:rsid w:val="00A005CF"/>
    <w:rsid w:val="00A00643"/>
    <w:rsid w:val="00A00818"/>
    <w:rsid w:val="00A00907"/>
    <w:rsid w:val="00A0097B"/>
    <w:rsid w:val="00A00A3F"/>
    <w:rsid w:val="00A00A92"/>
    <w:rsid w:val="00A00AA9"/>
    <w:rsid w:val="00A00AC5"/>
    <w:rsid w:val="00A00ACA"/>
    <w:rsid w:val="00A00B2B"/>
    <w:rsid w:val="00A00C44"/>
    <w:rsid w:val="00A00C6B"/>
    <w:rsid w:val="00A00D98"/>
    <w:rsid w:val="00A00E5B"/>
    <w:rsid w:val="00A00EA9"/>
    <w:rsid w:val="00A0103A"/>
    <w:rsid w:val="00A010CD"/>
    <w:rsid w:val="00A0125B"/>
    <w:rsid w:val="00A01408"/>
    <w:rsid w:val="00A01474"/>
    <w:rsid w:val="00A014D4"/>
    <w:rsid w:val="00A01549"/>
    <w:rsid w:val="00A015A8"/>
    <w:rsid w:val="00A01613"/>
    <w:rsid w:val="00A0166A"/>
    <w:rsid w:val="00A01672"/>
    <w:rsid w:val="00A01A2A"/>
    <w:rsid w:val="00A01AC2"/>
    <w:rsid w:val="00A01AD4"/>
    <w:rsid w:val="00A01B67"/>
    <w:rsid w:val="00A01CD8"/>
    <w:rsid w:val="00A01DE8"/>
    <w:rsid w:val="00A01EA4"/>
    <w:rsid w:val="00A01F9D"/>
    <w:rsid w:val="00A02037"/>
    <w:rsid w:val="00A02075"/>
    <w:rsid w:val="00A02179"/>
    <w:rsid w:val="00A02254"/>
    <w:rsid w:val="00A022B4"/>
    <w:rsid w:val="00A02453"/>
    <w:rsid w:val="00A02525"/>
    <w:rsid w:val="00A025CF"/>
    <w:rsid w:val="00A025DC"/>
    <w:rsid w:val="00A025E4"/>
    <w:rsid w:val="00A0264F"/>
    <w:rsid w:val="00A026D1"/>
    <w:rsid w:val="00A02728"/>
    <w:rsid w:val="00A028B9"/>
    <w:rsid w:val="00A028F3"/>
    <w:rsid w:val="00A0298D"/>
    <w:rsid w:val="00A02A93"/>
    <w:rsid w:val="00A02AAF"/>
    <w:rsid w:val="00A02B0C"/>
    <w:rsid w:val="00A02B0E"/>
    <w:rsid w:val="00A02B5A"/>
    <w:rsid w:val="00A02B5F"/>
    <w:rsid w:val="00A02CC9"/>
    <w:rsid w:val="00A02DAB"/>
    <w:rsid w:val="00A02DE3"/>
    <w:rsid w:val="00A02E82"/>
    <w:rsid w:val="00A02F02"/>
    <w:rsid w:val="00A02FC9"/>
    <w:rsid w:val="00A03054"/>
    <w:rsid w:val="00A03075"/>
    <w:rsid w:val="00A0313E"/>
    <w:rsid w:val="00A0320D"/>
    <w:rsid w:val="00A0322E"/>
    <w:rsid w:val="00A03241"/>
    <w:rsid w:val="00A032BB"/>
    <w:rsid w:val="00A035AE"/>
    <w:rsid w:val="00A0366D"/>
    <w:rsid w:val="00A036AE"/>
    <w:rsid w:val="00A03730"/>
    <w:rsid w:val="00A037DC"/>
    <w:rsid w:val="00A037E0"/>
    <w:rsid w:val="00A03808"/>
    <w:rsid w:val="00A03844"/>
    <w:rsid w:val="00A0390B"/>
    <w:rsid w:val="00A03998"/>
    <w:rsid w:val="00A03A97"/>
    <w:rsid w:val="00A03B7B"/>
    <w:rsid w:val="00A03D13"/>
    <w:rsid w:val="00A03DBE"/>
    <w:rsid w:val="00A03E76"/>
    <w:rsid w:val="00A03F6E"/>
    <w:rsid w:val="00A041B0"/>
    <w:rsid w:val="00A041E1"/>
    <w:rsid w:val="00A04349"/>
    <w:rsid w:val="00A0437C"/>
    <w:rsid w:val="00A04419"/>
    <w:rsid w:val="00A0441E"/>
    <w:rsid w:val="00A044EF"/>
    <w:rsid w:val="00A04659"/>
    <w:rsid w:val="00A04667"/>
    <w:rsid w:val="00A04728"/>
    <w:rsid w:val="00A048C8"/>
    <w:rsid w:val="00A04BB4"/>
    <w:rsid w:val="00A04CB3"/>
    <w:rsid w:val="00A0503B"/>
    <w:rsid w:val="00A0510F"/>
    <w:rsid w:val="00A052E4"/>
    <w:rsid w:val="00A05340"/>
    <w:rsid w:val="00A053D2"/>
    <w:rsid w:val="00A0544E"/>
    <w:rsid w:val="00A05457"/>
    <w:rsid w:val="00A0547D"/>
    <w:rsid w:val="00A05484"/>
    <w:rsid w:val="00A05591"/>
    <w:rsid w:val="00A056DB"/>
    <w:rsid w:val="00A057CB"/>
    <w:rsid w:val="00A058F7"/>
    <w:rsid w:val="00A0591B"/>
    <w:rsid w:val="00A059E2"/>
    <w:rsid w:val="00A05B50"/>
    <w:rsid w:val="00A05C91"/>
    <w:rsid w:val="00A05E5F"/>
    <w:rsid w:val="00A05E6B"/>
    <w:rsid w:val="00A05E9D"/>
    <w:rsid w:val="00A05EAF"/>
    <w:rsid w:val="00A05ED1"/>
    <w:rsid w:val="00A060B7"/>
    <w:rsid w:val="00A060F5"/>
    <w:rsid w:val="00A062C8"/>
    <w:rsid w:val="00A0634F"/>
    <w:rsid w:val="00A06471"/>
    <w:rsid w:val="00A064D3"/>
    <w:rsid w:val="00A064DD"/>
    <w:rsid w:val="00A066DD"/>
    <w:rsid w:val="00A0670E"/>
    <w:rsid w:val="00A0674D"/>
    <w:rsid w:val="00A06784"/>
    <w:rsid w:val="00A067C2"/>
    <w:rsid w:val="00A0685F"/>
    <w:rsid w:val="00A068EB"/>
    <w:rsid w:val="00A06997"/>
    <w:rsid w:val="00A06A0E"/>
    <w:rsid w:val="00A06A7B"/>
    <w:rsid w:val="00A06AE8"/>
    <w:rsid w:val="00A06B12"/>
    <w:rsid w:val="00A06B3E"/>
    <w:rsid w:val="00A06BB9"/>
    <w:rsid w:val="00A06BCD"/>
    <w:rsid w:val="00A06CA6"/>
    <w:rsid w:val="00A06D7F"/>
    <w:rsid w:val="00A06E56"/>
    <w:rsid w:val="00A06F5C"/>
    <w:rsid w:val="00A06F85"/>
    <w:rsid w:val="00A071BE"/>
    <w:rsid w:val="00A07225"/>
    <w:rsid w:val="00A072ED"/>
    <w:rsid w:val="00A07544"/>
    <w:rsid w:val="00A07546"/>
    <w:rsid w:val="00A0755F"/>
    <w:rsid w:val="00A075EA"/>
    <w:rsid w:val="00A076D8"/>
    <w:rsid w:val="00A07717"/>
    <w:rsid w:val="00A07766"/>
    <w:rsid w:val="00A078DE"/>
    <w:rsid w:val="00A07908"/>
    <w:rsid w:val="00A07B16"/>
    <w:rsid w:val="00A07BD2"/>
    <w:rsid w:val="00A07CB1"/>
    <w:rsid w:val="00A07CB7"/>
    <w:rsid w:val="00A07D08"/>
    <w:rsid w:val="00A07DF3"/>
    <w:rsid w:val="00A100EF"/>
    <w:rsid w:val="00A10232"/>
    <w:rsid w:val="00A102B9"/>
    <w:rsid w:val="00A102F4"/>
    <w:rsid w:val="00A1032F"/>
    <w:rsid w:val="00A103BF"/>
    <w:rsid w:val="00A10452"/>
    <w:rsid w:val="00A105E6"/>
    <w:rsid w:val="00A1073C"/>
    <w:rsid w:val="00A1078B"/>
    <w:rsid w:val="00A10A58"/>
    <w:rsid w:val="00A10A6B"/>
    <w:rsid w:val="00A10AF3"/>
    <w:rsid w:val="00A10BA5"/>
    <w:rsid w:val="00A10C86"/>
    <w:rsid w:val="00A10CA3"/>
    <w:rsid w:val="00A10D00"/>
    <w:rsid w:val="00A10E2D"/>
    <w:rsid w:val="00A10F71"/>
    <w:rsid w:val="00A10F7C"/>
    <w:rsid w:val="00A10FD1"/>
    <w:rsid w:val="00A1104D"/>
    <w:rsid w:val="00A11069"/>
    <w:rsid w:val="00A11078"/>
    <w:rsid w:val="00A1107F"/>
    <w:rsid w:val="00A11203"/>
    <w:rsid w:val="00A11208"/>
    <w:rsid w:val="00A112EA"/>
    <w:rsid w:val="00A11426"/>
    <w:rsid w:val="00A1142C"/>
    <w:rsid w:val="00A11532"/>
    <w:rsid w:val="00A1153F"/>
    <w:rsid w:val="00A1161D"/>
    <w:rsid w:val="00A11736"/>
    <w:rsid w:val="00A117CA"/>
    <w:rsid w:val="00A11887"/>
    <w:rsid w:val="00A11915"/>
    <w:rsid w:val="00A11A78"/>
    <w:rsid w:val="00A11B22"/>
    <w:rsid w:val="00A11B27"/>
    <w:rsid w:val="00A11B6C"/>
    <w:rsid w:val="00A11D2D"/>
    <w:rsid w:val="00A11DE4"/>
    <w:rsid w:val="00A11FC5"/>
    <w:rsid w:val="00A12059"/>
    <w:rsid w:val="00A1210B"/>
    <w:rsid w:val="00A1228C"/>
    <w:rsid w:val="00A122D6"/>
    <w:rsid w:val="00A122F7"/>
    <w:rsid w:val="00A123EF"/>
    <w:rsid w:val="00A124F1"/>
    <w:rsid w:val="00A125DC"/>
    <w:rsid w:val="00A12660"/>
    <w:rsid w:val="00A126F9"/>
    <w:rsid w:val="00A126FD"/>
    <w:rsid w:val="00A127F4"/>
    <w:rsid w:val="00A12930"/>
    <w:rsid w:val="00A12974"/>
    <w:rsid w:val="00A129BF"/>
    <w:rsid w:val="00A129EA"/>
    <w:rsid w:val="00A129EE"/>
    <w:rsid w:val="00A12B58"/>
    <w:rsid w:val="00A12BD0"/>
    <w:rsid w:val="00A12C00"/>
    <w:rsid w:val="00A12DE8"/>
    <w:rsid w:val="00A12F8E"/>
    <w:rsid w:val="00A12FE4"/>
    <w:rsid w:val="00A12FFD"/>
    <w:rsid w:val="00A13241"/>
    <w:rsid w:val="00A132E6"/>
    <w:rsid w:val="00A1332C"/>
    <w:rsid w:val="00A1344E"/>
    <w:rsid w:val="00A1346A"/>
    <w:rsid w:val="00A13490"/>
    <w:rsid w:val="00A13513"/>
    <w:rsid w:val="00A13577"/>
    <w:rsid w:val="00A13655"/>
    <w:rsid w:val="00A1368B"/>
    <w:rsid w:val="00A136BB"/>
    <w:rsid w:val="00A137EA"/>
    <w:rsid w:val="00A13922"/>
    <w:rsid w:val="00A1394F"/>
    <w:rsid w:val="00A13993"/>
    <w:rsid w:val="00A13998"/>
    <w:rsid w:val="00A139FC"/>
    <w:rsid w:val="00A13A74"/>
    <w:rsid w:val="00A13C8B"/>
    <w:rsid w:val="00A13D01"/>
    <w:rsid w:val="00A13D74"/>
    <w:rsid w:val="00A13F0D"/>
    <w:rsid w:val="00A13FDB"/>
    <w:rsid w:val="00A14005"/>
    <w:rsid w:val="00A14106"/>
    <w:rsid w:val="00A14116"/>
    <w:rsid w:val="00A14346"/>
    <w:rsid w:val="00A1436B"/>
    <w:rsid w:val="00A14403"/>
    <w:rsid w:val="00A1445B"/>
    <w:rsid w:val="00A144C6"/>
    <w:rsid w:val="00A144E1"/>
    <w:rsid w:val="00A145DF"/>
    <w:rsid w:val="00A14615"/>
    <w:rsid w:val="00A147DD"/>
    <w:rsid w:val="00A147E8"/>
    <w:rsid w:val="00A147ED"/>
    <w:rsid w:val="00A1480B"/>
    <w:rsid w:val="00A1482E"/>
    <w:rsid w:val="00A14890"/>
    <w:rsid w:val="00A148A0"/>
    <w:rsid w:val="00A148B9"/>
    <w:rsid w:val="00A1496D"/>
    <w:rsid w:val="00A14AFD"/>
    <w:rsid w:val="00A14B0F"/>
    <w:rsid w:val="00A14B6B"/>
    <w:rsid w:val="00A14C5F"/>
    <w:rsid w:val="00A14CE0"/>
    <w:rsid w:val="00A14DA3"/>
    <w:rsid w:val="00A14E1B"/>
    <w:rsid w:val="00A15017"/>
    <w:rsid w:val="00A151A1"/>
    <w:rsid w:val="00A153D7"/>
    <w:rsid w:val="00A15400"/>
    <w:rsid w:val="00A155FB"/>
    <w:rsid w:val="00A155FD"/>
    <w:rsid w:val="00A1562E"/>
    <w:rsid w:val="00A15653"/>
    <w:rsid w:val="00A15695"/>
    <w:rsid w:val="00A15711"/>
    <w:rsid w:val="00A157A7"/>
    <w:rsid w:val="00A1582D"/>
    <w:rsid w:val="00A1587D"/>
    <w:rsid w:val="00A1590E"/>
    <w:rsid w:val="00A159AD"/>
    <w:rsid w:val="00A15A7C"/>
    <w:rsid w:val="00A15AD6"/>
    <w:rsid w:val="00A15BB0"/>
    <w:rsid w:val="00A15BB9"/>
    <w:rsid w:val="00A15DF7"/>
    <w:rsid w:val="00A160A1"/>
    <w:rsid w:val="00A161A5"/>
    <w:rsid w:val="00A16287"/>
    <w:rsid w:val="00A162CD"/>
    <w:rsid w:val="00A16317"/>
    <w:rsid w:val="00A16368"/>
    <w:rsid w:val="00A16418"/>
    <w:rsid w:val="00A164C5"/>
    <w:rsid w:val="00A165F0"/>
    <w:rsid w:val="00A16708"/>
    <w:rsid w:val="00A16805"/>
    <w:rsid w:val="00A16808"/>
    <w:rsid w:val="00A168AC"/>
    <w:rsid w:val="00A1690B"/>
    <w:rsid w:val="00A16988"/>
    <w:rsid w:val="00A16A1F"/>
    <w:rsid w:val="00A16A2B"/>
    <w:rsid w:val="00A16AA7"/>
    <w:rsid w:val="00A16BA9"/>
    <w:rsid w:val="00A16CD8"/>
    <w:rsid w:val="00A16D2B"/>
    <w:rsid w:val="00A16D40"/>
    <w:rsid w:val="00A16D86"/>
    <w:rsid w:val="00A16D9A"/>
    <w:rsid w:val="00A1700C"/>
    <w:rsid w:val="00A1713A"/>
    <w:rsid w:val="00A172BC"/>
    <w:rsid w:val="00A1740B"/>
    <w:rsid w:val="00A17431"/>
    <w:rsid w:val="00A174D4"/>
    <w:rsid w:val="00A17595"/>
    <w:rsid w:val="00A175FD"/>
    <w:rsid w:val="00A17773"/>
    <w:rsid w:val="00A1778E"/>
    <w:rsid w:val="00A177E9"/>
    <w:rsid w:val="00A17886"/>
    <w:rsid w:val="00A1789C"/>
    <w:rsid w:val="00A1797F"/>
    <w:rsid w:val="00A17A06"/>
    <w:rsid w:val="00A17AED"/>
    <w:rsid w:val="00A17B05"/>
    <w:rsid w:val="00A17D6F"/>
    <w:rsid w:val="00A17E8C"/>
    <w:rsid w:val="00A17EEC"/>
    <w:rsid w:val="00A200AE"/>
    <w:rsid w:val="00A200B7"/>
    <w:rsid w:val="00A201A6"/>
    <w:rsid w:val="00A201E1"/>
    <w:rsid w:val="00A202AD"/>
    <w:rsid w:val="00A2040F"/>
    <w:rsid w:val="00A20430"/>
    <w:rsid w:val="00A20548"/>
    <w:rsid w:val="00A20590"/>
    <w:rsid w:val="00A205A5"/>
    <w:rsid w:val="00A20642"/>
    <w:rsid w:val="00A20658"/>
    <w:rsid w:val="00A20679"/>
    <w:rsid w:val="00A206BA"/>
    <w:rsid w:val="00A20704"/>
    <w:rsid w:val="00A207B7"/>
    <w:rsid w:val="00A20836"/>
    <w:rsid w:val="00A20838"/>
    <w:rsid w:val="00A20857"/>
    <w:rsid w:val="00A208EE"/>
    <w:rsid w:val="00A20929"/>
    <w:rsid w:val="00A2096B"/>
    <w:rsid w:val="00A20B4B"/>
    <w:rsid w:val="00A20C1B"/>
    <w:rsid w:val="00A20C30"/>
    <w:rsid w:val="00A20CCB"/>
    <w:rsid w:val="00A20D52"/>
    <w:rsid w:val="00A20D68"/>
    <w:rsid w:val="00A20DE5"/>
    <w:rsid w:val="00A20E3A"/>
    <w:rsid w:val="00A20E46"/>
    <w:rsid w:val="00A20F08"/>
    <w:rsid w:val="00A20F1A"/>
    <w:rsid w:val="00A21084"/>
    <w:rsid w:val="00A21290"/>
    <w:rsid w:val="00A212F0"/>
    <w:rsid w:val="00A21333"/>
    <w:rsid w:val="00A21344"/>
    <w:rsid w:val="00A213DA"/>
    <w:rsid w:val="00A21403"/>
    <w:rsid w:val="00A21455"/>
    <w:rsid w:val="00A2150B"/>
    <w:rsid w:val="00A21581"/>
    <w:rsid w:val="00A215C4"/>
    <w:rsid w:val="00A215CC"/>
    <w:rsid w:val="00A2166C"/>
    <w:rsid w:val="00A217D8"/>
    <w:rsid w:val="00A21892"/>
    <w:rsid w:val="00A218C5"/>
    <w:rsid w:val="00A21944"/>
    <w:rsid w:val="00A21978"/>
    <w:rsid w:val="00A21A82"/>
    <w:rsid w:val="00A21AE5"/>
    <w:rsid w:val="00A21C63"/>
    <w:rsid w:val="00A21CFB"/>
    <w:rsid w:val="00A21D1E"/>
    <w:rsid w:val="00A21D82"/>
    <w:rsid w:val="00A22039"/>
    <w:rsid w:val="00A2212F"/>
    <w:rsid w:val="00A221DB"/>
    <w:rsid w:val="00A221E0"/>
    <w:rsid w:val="00A22208"/>
    <w:rsid w:val="00A22328"/>
    <w:rsid w:val="00A22522"/>
    <w:rsid w:val="00A22526"/>
    <w:rsid w:val="00A22576"/>
    <w:rsid w:val="00A226B9"/>
    <w:rsid w:val="00A226FC"/>
    <w:rsid w:val="00A2271D"/>
    <w:rsid w:val="00A22768"/>
    <w:rsid w:val="00A2279A"/>
    <w:rsid w:val="00A22866"/>
    <w:rsid w:val="00A228EA"/>
    <w:rsid w:val="00A229E7"/>
    <w:rsid w:val="00A22A06"/>
    <w:rsid w:val="00A22A56"/>
    <w:rsid w:val="00A22AA0"/>
    <w:rsid w:val="00A22B70"/>
    <w:rsid w:val="00A22BFE"/>
    <w:rsid w:val="00A22C0C"/>
    <w:rsid w:val="00A22CC8"/>
    <w:rsid w:val="00A22D42"/>
    <w:rsid w:val="00A22E21"/>
    <w:rsid w:val="00A22F36"/>
    <w:rsid w:val="00A22F61"/>
    <w:rsid w:val="00A22F7C"/>
    <w:rsid w:val="00A2314E"/>
    <w:rsid w:val="00A232D1"/>
    <w:rsid w:val="00A2338A"/>
    <w:rsid w:val="00A233AD"/>
    <w:rsid w:val="00A233E9"/>
    <w:rsid w:val="00A2349A"/>
    <w:rsid w:val="00A2349E"/>
    <w:rsid w:val="00A23596"/>
    <w:rsid w:val="00A2367B"/>
    <w:rsid w:val="00A23813"/>
    <w:rsid w:val="00A239B4"/>
    <w:rsid w:val="00A23ADD"/>
    <w:rsid w:val="00A23CE6"/>
    <w:rsid w:val="00A23D0D"/>
    <w:rsid w:val="00A23D5B"/>
    <w:rsid w:val="00A23D88"/>
    <w:rsid w:val="00A23E1C"/>
    <w:rsid w:val="00A23E86"/>
    <w:rsid w:val="00A23F5C"/>
    <w:rsid w:val="00A240F3"/>
    <w:rsid w:val="00A2411A"/>
    <w:rsid w:val="00A2428E"/>
    <w:rsid w:val="00A24301"/>
    <w:rsid w:val="00A24391"/>
    <w:rsid w:val="00A243F0"/>
    <w:rsid w:val="00A24596"/>
    <w:rsid w:val="00A2460C"/>
    <w:rsid w:val="00A2470E"/>
    <w:rsid w:val="00A24761"/>
    <w:rsid w:val="00A24943"/>
    <w:rsid w:val="00A2499C"/>
    <w:rsid w:val="00A24A46"/>
    <w:rsid w:val="00A24AF1"/>
    <w:rsid w:val="00A24B8E"/>
    <w:rsid w:val="00A24C49"/>
    <w:rsid w:val="00A24D3D"/>
    <w:rsid w:val="00A24DB2"/>
    <w:rsid w:val="00A24DC7"/>
    <w:rsid w:val="00A24E88"/>
    <w:rsid w:val="00A24F0F"/>
    <w:rsid w:val="00A24F1B"/>
    <w:rsid w:val="00A24F26"/>
    <w:rsid w:val="00A25079"/>
    <w:rsid w:val="00A250C6"/>
    <w:rsid w:val="00A25235"/>
    <w:rsid w:val="00A25343"/>
    <w:rsid w:val="00A25348"/>
    <w:rsid w:val="00A253A9"/>
    <w:rsid w:val="00A254D6"/>
    <w:rsid w:val="00A254EB"/>
    <w:rsid w:val="00A25649"/>
    <w:rsid w:val="00A2568C"/>
    <w:rsid w:val="00A25696"/>
    <w:rsid w:val="00A256E4"/>
    <w:rsid w:val="00A2585F"/>
    <w:rsid w:val="00A25A24"/>
    <w:rsid w:val="00A25BFB"/>
    <w:rsid w:val="00A25D9C"/>
    <w:rsid w:val="00A25EAE"/>
    <w:rsid w:val="00A25EB0"/>
    <w:rsid w:val="00A25F15"/>
    <w:rsid w:val="00A260B6"/>
    <w:rsid w:val="00A260E7"/>
    <w:rsid w:val="00A260FA"/>
    <w:rsid w:val="00A26102"/>
    <w:rsid w:val="00A262D5"/>
    <w:rsid w:val="00A263B1"/>
    <w:rsid w:val="00A264FA"/>
    <w:rsid w:val="00A26517"/>
    <w:rsid w:val="00A267F0"/>
    <w:rsid w:val="00A26899"/>
    <w:rsid w:val="00A268C9"/>
    <w:rsid w:val="00A268CE"/>
    <w:rsid w:val="00A26B05"/>
    <w:rsid w:val="00A26C0C"/>
    <w:rsid w:val="00A26D1B"/>
    <w:rsid w:val="00A26D7E"/>
    <w:rsid w:val="00A26D92"/>
    <w:rsid w:val="00A26DA9"/>
    <w:rsid w:val="00A26E42"/>
    <w:rsid w:val="00A26E69"/>
    <w:rsid w:val="00A26E74"/>
    <w:rsid w:val="00A26F04"/>
    <w:rsid w:val="00A2708A"/>
    <w:rsid w:val="00A27192"/>
    <w:rsid w:val="00A27273"/>
    <w:rsid w:val="00A272CC"/>
    <w:rsid w:val="00A27381"/>
    <w:rsid w:val="00A273D4"/>
    <w:rsid w:val="00A274A2"/>
    <w:rsid w:val="00A275F7"/>
    <w:rsid w:val="00A2768E"/>
    <w:rsid w:val="00A278CD"/>
    <w:rsid w:val="00A27A76"/>
    <w:rsid w:val="00A27B20"/>
    <w:rsid w:val="00A27BD6"/>
    <w:rsid w:val="00A27C37"/>
    <w:rsid w:val="00A27D5A"/>
    <w:rsid w:val="00A27FD8"/>
    <w:rsid w:val="00A30292"/>
    <w:rsid w:val="00A302A3"/>
    <w:rsid w:val="00A302ED"/>
    <w:rsid w:val="00A30321"/>
    <w:rsid w:val="00A30380"/>
    <w:rsid w:val="00A303DB"/>
    <w:rsid w:val="00A30531"/>
    <w:rsid w:val="00A3088A"/>
    <w:rsid w:val="00A30A3A"/>
    <w:rsid w:val="00A30A53"/>
    <w:rsid w:val="00A30A54"/>
    <w:rsid w:val="00A30D49"/>
    <w:rsid w:val="00A30D65"/>
    <w:rsid w:val="00A30E79"/>
    <w:rsid w:val="00A3101D"/>
    <w:rsid w:val="00A31107"/>
    <w:rsid w:val="00A3114C"/>
    <w:rsid w:val="00A312F1"/>
    <w:rsid w:val="00A313E4"/>
    <w:rsid w:val="00A31485"/>
    <w:rsid w:val="00A31593"/>
    <w:rsid w:val="00A31604"/>
    <w:rsid w:val="00A316E1"/>
    <w:rsid w:val="00A3178A"/>
    <w:rsid w:val="00A3180B"/>
    <w:rsid w:val="00A31836"/>
    <w:rsid w:val="00A3194E"/>
    <w:rsid w:val="00A319BC"/>
    <w:rsid w:val="00A319C9"/>
    <w:rsid w:val="00A319D2"/>
    <w:rsid w:val="00A31A21"/>
    <w:rsid w:val="00A31A91"/>
    <w:rsid w:val="00A31BB5"/>
    <w:rsid w:val="00A31DE4"/>
    <w:rsid w:val="00A31E25"/>
    <w:rsid w:val="00A31ED9"/>
    <w:rsid w:val="00A3212D"/>
    <w:rsid w:val="00A32288"/>
    <w:rsid w:val="00A322B1"/>
    <w:rsid w:val="00A32308"/>
    <w:rsid w:val="00A32382"/>
    <w:rsid w:val="00A32411"/>
    <w:rsid w:val="00A324DF"/>
    <w:rsid w:val="00A32512"/>
    <w:rsid w:val="00A32574"/>
    <w:rsid w:val="00A32655"/>
    <w:rsid w:val="00A326AD"/>
    <w:rsid w:val="00A326CF"/>
    <w:rsid w:val="00A32813"/>
    <w:rsid w:val="00A32997"/>
    <w:rsid w:val="00A32A23"/>
    <w:rsid w:val="00A32B23"/>
    <w:rsid w:val="00A32BF4"/>
    <w:rsid w:val="00A32BF5"/>
    <w:rsid w:val="00A32C37"/>
    <w:rsid w:val="00A32C3B"/>
    <w:rsid w:val="00A32E2B"/>
    <w:rsid w:val="00A331F9"/>
    <w:rsid w:val="00A33232"/>
    <w:rsid w:val="00A332BA"/>
    <w:rsid w:val="00A33488"/>
    <w:rsid w:val="00A3352A"/>
    <w:rsid w:val="00A335DC"/>
    <w:rsid w:val="00A33612"/>
    <w:rsid w:val="00A3364C"/>
    <w:rsid w:val="00A3374F"/>
    <w:rsid w:val="00A33759"/>
    <w:rsid w:val="00A337DC"/>
    <w:rsid w:val="00A3386A"/>
    <w:rsid w:val="00A33994"/>
    <w:rsid w:val="00A339C2"/>
    <w:rsid w:val="00A33AB9"/>
    <w:rsid w:val="00A33AEA"/>
    <w:rsid w:val="00A33B44"/>
    <w:rsid w:val="00A33B65"/>
    <w:rsid w:val="00A33B8B"/>
    <w:rsid w:val="00A33FEF"/>
    <w:rsid w:val="00A3400D"/>
    <w:rsid w:val="00A341A2"/>
    <w:rsid w:val="00A34216"/>
    <w:rsid w:val="00A3427A"/>
    <w:rsid w:val="00A342A5"/>
    <w:rsid w:val="00A342E4"/>
    <w:rsid w:val="00A342F1"/>
    <w:rsid w:val="00A34306"/>
    <w:rsid w:val="00A344A9"/>
    <w:rsid w:val="00A34642"/>
    <w:rsid w:val="00A34690"/>
    <w:rsid w:val="00A346E5"/>
    <w:rsid w:val="00A348DD"/>
    <w:rsid w:val="00A3498B"/>
    <w:rsid w:val="00A34A1B"/>
    <w:rsid w:val="00A34A1D"/>
    <w:rsid w:val="00A34AC8"/>
    <w:rsid w:val="00A34ACE"/>
    <w:rsid w:val="00A34B63"/>
    <w:rsid w:val="00A34BF0"/>
    <w:rsid w:val="00A34D03"/>
    <w:rsid w:val="00A34D2C"/>
    <w:rsid w:val="00A34F4A"/>
    <w:rsid w:val="00A34FB3"/>
    <w:rsid w:val="00A34FE0"/>
    <w:rsid w:val="00A3509B"/>
    <w:rsid w:val="00A3510B"/>
    <w:rsid w:val="00A35272"/>
    <w:rsid w:val="00A35436"/>
    <w:rsid w:val="00A3563F"/>
    <w:rsid w:val="00A35696"/>
    <w:rsid w:val="00A35794"/>
    <w:rsid w:val="00A357C2"/>
    <w:rsid w:val="00A35810"/>
    <w:rsid w:val="00A35B2D"/>
    <w:rsid w:val="00A35B97"/>
    <w:rsid w:val="00A35C20"/>
    <w:rsid w:val="00A35CAE"/>
    <w:rsid w:val="00A35CC9"/>
    <w:rsid w:val="00A35D4A"/>
    <w:rsid w:val="00A35DFC"/>
    <w:rsid w:val="00A35E88"/>
    <w:rsid w:val="00A35F12"/>
    <w:rsid w:val="00A35F9E"/>
    <w:rsid w:val="00A3602C"/>
    <w:rsid w:val="00A3605C"/>
    <w:rsid w:val="00A36082"/>
    <w:rsid w:val="00A360D7"/>
    <w:rsid w:val="00A361AD"/>
    <w:rsid w:val="00A36233"/>
    <w:rsid w:val="00A362BA"/>
    <w:rsid w:val="00A362F8"/>
    <w:rsid w:val="00A363E4"/>
    <w:rsid w:val="00A364DF"/>
    <w:rsid w:val="00A368BD"/>
    <w:rsid w:val="00A36913"/>
    <w:rsid w:val="00A36C16"/>
    <w:rsid w:val="00A36C78"/>
    <w:rsid w:val="00A36C8B"/>
    <w:rsid w:val="00A36D33"/>
    <w:rsid w:val="00A36FC2"/>
    <w:rsid w:val="00A36FF6"/>
    <w:rsid w:val="00A37007"/>
    <w:rsid w:val="00A37185"/>
    <w:rsid w:val="00A372CA"/>
    <w:rsid w:val="00A3731D"/>
    <w:rsid w:val="00A373B9"/>
    <w:rsid w:val="00A37705"/>
    <w:rsid w:val="00A378DD"/>
    <w:rsid w:val="00A378F9"/>
    <w:rsid w:val="00A37AF1"/>
    <w:rsid w:val="00A37BB7"/>
    <w:rsid w:val="00A37C6C"/>
    <w:rsid w:val="00A37E18"/>
    <w:rsid w:val="00A37F63"/>
    <w:rsid w:val="00A400E1"/>
    <w:rsid w:val="00A40108"/>
    <w:rsid w:val="00A401CB"/>
    <w:rsid w:val="00A402AE"/>
    <w:rsid w:val="00A40301"/>
    <w:rsid w:val="00A40324"/>
    <w:rsid w:val="00A4037F"/>
    <w:rsid w:val="00A40425"/>
    <w:rsid w:val="00A40518"/>
    <w:rsid w:val="00A4061C"/>
    <w:rsid w:val="00A4078E"/>
    <w:rsid w:val="00A407F1"/>
    <w:rsid w:val="00A40831"/>
    <w:rsid w:val="00A408D6"/>
    <w:rsid w:val="00A409B5"/>
    <w:rsid w:val="00A40A1C"/>
    <w:rsid w:val="00A40A28"/>
    <w:rsid w:val="00A40A76"/>
    <w:rsid w:val="00A40A99"/>
    <w:rsid w:val="00A40B54"/>
    <w:rsid w:val="00A40BBD"/>
    <w:rsid w:val="00A40DE9"/>
    <w:rsid w:val="00A40DFB"/>
    <w:rsid w:val="00A40E08"/>
    <w:rsid w:val="00A411B6"/>
    <w:rsid w:val="00A41249"/>
    <w:rsid w:val="00A412A3"/>
    <w:rsid w:val="00A412AE"/>
    <w:rsid w:val="00A4134B"/>
    <w:rsid w:val="00A4146B"/>
    <w:rsid w:val="00A415CD"/>
    <w:rsid w:val="00A4165E"/>
    <w:rsid w:val="00A41923"/>
    <w:rsid w:val="00A41974"/>
    <w:rsid w:val="00A419F4"/>
    <w:rsid w:val="00A41A2B"/>
    <w:rsid w:val="00A41B0B"/>
    <w:rsid w:val="00A41B73"/>
    <w:rsid w:val="00A41C44"/>
    <w:rsid w:val="00A41C91"/>
    <w:rsid w:val="00A41CEE"/>
    <w:rsid w:val="00A41E38"/>
    <w:rsid w:val="00A41EC4"/>
    <w:rsid w:val="00A41EE0"/>
    <w:rsid w:val="00A41EE3"/>
    <w:rsid w:val="00A41EF2"/>
    <w:rsid w:val="00A41F14"/>
    <w:rsid w:val="00A41F9A"/>
    <w:rsid w:val="00A41FC9"/>
    <w:rsid w:val="00A42051"/>
    <w:rsid w:val="00A420F2"/>
    <w:rsid w:val="00A4217F"/>
    <w:rsid w:val="00A421E5"/>
    <w:rsid w:val="00A421FE"/>
    <w:rsid w:val="00A42220"/>
    <w:rsid w:val="00A4234F"/>
    <w:rsid w:val="00A42368"/>
    <w:rsid w:val="00A4239F"/>
    <w:rsid w:val="00A423CE"/>
    <w:rsid w:val="00A42444"/>
    <w:rsid w:val="00A4248B"/>
    <w:rsid w:val="00A424E3"/>
    <w:rsid w:val="00A427B9"/>
    <w:rsid w:val="00A428C7"/>
    <w:rsid w:val="00A42970"/>
    <w:rsid w:val="00A429A3"/>
    <w:rsid w:val="00A429B1"/>
    <w:rsid w:val="00A429C5"/>
    <w:rsid w:val="00A42B46"/>
    <w:rsid w:val="00A42BA7"/>
    <w:rsid w:val="00A42CF9"/>
    <w:rsid w:val="00A42E1A"/>
    <w:rsid w:val="00A42EC3"/>
    <w:rsid w:val="00A43110"/>
    <w:rsid w:val="00A43125"/>
    <w:rsid w:val="00A4334F"/>
    <w:rsid w:val="00A433A9"/>
    <w:rsid w:val="00A433C5"/>
    <w:rsid w:val="00A43442"/>
    <w:rsid w:val="00A43489"/>
    <w:rsid w:val="00A434DF"/>
    <w:rsid w:val="00A436AB"/>
    <w:rsid w:val="00A43860"/>
    <w:rsid w:val="00A438E0"/>
    <w:rsid w:val="00A438EB"/>
    <w:rsid w:val="00A43927"/>
    <w:rsid w:val="00A43A89"/>
    <w:rsid w:val="00A43B13"/>
    <w:rsid w:val="00A43B40"/>
    <w:rsid w:val="00A43B81"/>
    <w:rsid w:val="00A43C0F"/>
    <w:rsid w:val="00A43D73"/>
    <w:rsid w:val="00A43DD7"/>
    <w:rsid w:val="00A43E66"/>
    <w:rsid w:val="00A43F02"/>
    <w:rsid w:val="00A43FAB"/>
    <w:rsid w:val="00A44062"/>
    <w:rsid w:val="00A44123"/>
    <w:rsid w:val="00A441DC"/>
    <w:rsid w:val="00A441E9"/>
    <w:rsid w:val="00A4420E"/>
    <w:rsid w:val="00A4424B"/>
    <w:rsid w:val="00A444F8"/>
    <w:rsid w:val="00A4450E"/>
    <w:rsid w:val="00A44798"/>
    <w:rsid w:val="00A44828"/>
    <w:rsid w:val="00A448FB"/>
    <w:rsid w:val="00A44993"/>
    <w:rsid w:val="00A44AA9"/>
    <w:rsid w:val="00A44BBD"/>
    <w:rsid w:val="00A44E6E"/>
    <w:rsid w:val="00A4508A"/>
    <w:rsid w:val="00A4513E"/>
    <w:rsid w:val="00A45213"/>
    <w:rsid w:val="00A453A5"/>
    <w:rsid w:val="00A453BC"/>
    <w:rsid w:val="00A453C0"/>
    <w:rsid w:val="00A45435"/>
    <w:rsid w:val="00A45499"/>
    <w:rsid w:val="00A454D1"/>
    <w:rsid w:val="00A45577"/>
    <w:rsid w:val="00A457D7"/>
    <w:rsid w:val="00A457E7"/>
    <w:rsid w:val="00A45932"/>
    <w:rsid w:val="00A459A6"/>
    <w:rsid w:val="00A45A86"/>
    <w:rsid w:val="00A45D18"/>
    <w:rsid w:val="00A45D44"/>
    <w:rsid w:val="00A45EE2"/>
    <w:rsid w:val="00A45F55"/>
    <w:rsid w:val="00A4610C"/>
    <w:rsid w:val="00A46375"/>
    <w:rsid w:val="00A46556"/>
    <w:rsid w:val="00A465E4"/>
    <w:rsid w:val="00A465FB"/>
    <w:rsid w:val="00A4662E"/>
    <w:rsid w:val="00A46673"/>
    <w:rsid w:val="00A4668F"/>
    <w:rsid w:val="00A46A0D"/>
    <w:rsid w:val="00A46C7A"/>
    <w:rsid w:val="00A46C7F"/>
    <w:rsid w:val="00A46F5F"/>
    <w:rsid w:val="00A46F93"/>
    <w:rsid w:val="00A470A0"/>
    <w:rsid w:val="00A471B8"/>
    <w:rsid w:val="00A4729D"/>
    <w:rsid w:val="00A472BE"/>
    <w:rsid w:val="00A472F8"/>
    <w:rsid w:val="00A4737E"/>
    <w:rsid w:val="00A4740E"/>
    <w:rsid w:val="00A476F2"/>
    <w:rsid w:val="00A476F5"/>
    <w:rsid w:val="00A4777B"/>
    <w:rsid w:val="00A478A7"/>
    <w:rsid w:val="00A4798B"/>
    <w:rsid w:val="00A47AC5"/>
    <w:rsid w:val="00A47AFA"/>
    <w:rsid w:val="00A47BF8"/>
    <w:rsid w:val="00A47D07"/>
    <w:rsid w:val="00A47EC7"/>
    <w:rsid w:val="00A47F40"/>
    <w:rsid w:val="00A47F47"/>
    <w:rsid w:val="00A47F9A"/>
    <w:rsid w:val="00A50223"/>
    <w:rsid w:val="00A50287"/>
    <w:rsid w:val="00A503BE"/>
    <w:rsid w:val="00A5045F"/>
    <w:rsid w:val="00A504CC"/>
    <w:rsid w:val="00A504F2"/>
    <w:rsid w:val="00A5055C"/>
    <w:rsid w:val="00A505F1"/>
    <w:rsid w:val="00A507B5"/>
    <w:rsid w:val="00A507D2"/>
    <w:rsid w:val="00A5080D"/>
    <w:rsid w:val="00A509A3"/>
    <w:rsid w:val="00A509BC"/>
    <w:rsid w:val="00A50A4F"/>
    <w:rsid w:val="00A50AD3"/>
    <w:rsid w:val="00A50BAD"/>
    <w:rsid w:val="00A50BE8"/>
    <w:rsid w:val="00A50BFB"/>
    <w:rsid w:val="00A50C97"/>
    <w:rsid w:val="00A50DCE"/>
    <w:rsid w:val="00A50ED1"/>
    <w:rsid w:val="00A50F2C"/>
    <w:rsid w:val="00A50FEA"/>
    <w:rsid w:val="00A512F6"/>
    <w:rsid w:val="00A5134F"/>
    <w:rsid w:val="00A513A3"/>
    <w:rsid w:val="00A5141E"/>
    <w:rsid w:val="00A515A9"/>
    <w:rsid w:val="00A51606"/>
    <w:rsid w:val="00A516F0"/>
    <w:rsid w:val="00A516FA"/>
    <w:rsid w:val="00A51794"/>
    <w:rsid w:val="00A517B0"/>
    <w:rsid w:val="00A519BE"/>
    <w:rsid w:val="00A519F0"/>
    <w:rsid w:val="00A51AF2"/>
    <w:rsid w:val="00A51E5C"/>
    <w:rsid w:val="00A51E76"/>
    <w:rsid w:val="00A51F5D"/>
    <w:rsid w:val="00A52086"/>
    <w:rsid w:val="00A521B9"/>
    <w:rsid w:val="00A52245"/>
    <w:rsid w:val="00A52261"/>
    <w:rsid w:val="00A52290"/>
    <w:rsid w:val="00A522F6"/>
    <w:rsid w:val="00A52354"/>
    <w:rsid w:val="00A523B4"/>
    <w:rsid w:val="00A5241F"/>
    <w:rsid w:val="00A527EE"/>
    <w:rsid w:val="00A52818"/>
    <w:rsid w:val="00A5287C"/>
    <w:rsid w:val="00A528B6"/>
    <w:rsid w:val="00A5290B"/>
    <w:rsid w:val="00A529F5"/>
    <w:rsid w:val="00A52B7B"/>
    <w:rsid w:val="00A52C3C"/>
    <w:rsid w:val="00A52DAF"/>
    <w:rsid w:val="00A53280"/>
    <w:rsid w:val="00A53389"/>
    <w:rsid w:val="00A53432"/>
    <w:rsid w:val="00A5347B"/>
    <w:rsid w:val="00A534F0"/>
    <w:rsid w:val="00A535CD"/>
    <w:rsid w:val="00A535E3"/>
    <w:rsid w:val="00A5385A"/>
    <w:rsid w:val="00A538B1"/>
    <w:rsid w:val="00A538F0"/>
    <w:rsid w:val="00A5393D"/>
    <w:rsid w:val="00A539A5"/>
    <w:rsid w:val="00A53A1C"/>
    <w:rsid w:val="00A53A58"/>
    <w:rsid w:val="00A53A86"/>
    <w:rsid w:val="00A53C66"/>
    <w:rsid w:val="00A53D72"/>
    <w:rsid w:val="00A53DFB"/>
    <w:rsid w:val="00A53DFF"/>
    <w:rsid w:val="00A53E53"/>
    <w:rsid w:val="00A53ED1"/>
    <w:rsid w:val="00A53FAB"/>
    <w:rsid w:val="00A53FF2"/>
    <w:rsid w:val="00A540A6"/>
    <w:rsid w:val="00A5423B"/>
    <w:rsid w:val="00A54268"/>
    <w:rsid w:val="00A542FA"/>
    <w:rsid w:val="00A5439E"/>
    <w:rsid w:val="00A5452E"/>
    <w:rsid w:val="00A5456E"/>
    <w:rsid w:val="00A5462A"/>
    <w:rsid w:val="00A54634"/>
    <w:rsid w:val="00A5467E"/>
    <w:rsid w:val="00A548A0"/>
    <w:rsid w:val="00A54961"/>
    <w:rsid w:val="00A549A9"/>
    <w:rsid w:val="00A54B64"/>
    <w:rsid w:val="00A54C2B"/>
    <w:rsid w:val="00A54C77"/>
    <w:rsid w:val="00A54CC0"/>
    <w:rsid w:val="00A54D12"/>
    <w:rsid w:val="00A54D47"/>
    <w:rsid w:val="00A54D7A"/>
    <w:rsid w:val="00A54E4E"/>
    <w:rsid w:val="00A54F97"/>
    <w:rsid w:val="00A5504F"/>
    <w:rsid w:val="00A5515B"/>
    <w:rsid w:val="00A55163"/>
    <w:rsid w:val="00A55193"/>
    <w:rsid w:val="00A552A3"/>
    <w:rsid w:val="00A5536D"/>
    <w:rsid w:val="00A55373"/>
    <w:rsid w:val="00A553E0"/>
    <w:rsid w:val="00A55454"/>
    <w:rsid w:val="00A5549A"/>
    <w:rsid w:val="00A5555D"/>
    <w:rsid w:val="00A5559D"/>
    <w:rsid w:val="00A555BD"/>
    <w:rsid w:val="00A555F0"/>
    <w:rsid w:val="00A55837"/>
    <w:rsid w:val="00A55847"/>
    <w:rsid w:val="00A5591C"/>
    <w:rsid w:val="00A55A57"/>
    <w:rsid w:val="00A55ADA"/>
    <w:rsid w:val="00A55BCA"/>
    <w:rsid w:val="00A55C3D"/>
    <w:rsid w:val="00A55D07"/>
    <w:rsid w:val="00A55D36"/>
    <w:rsid w:val="00A55ECC"/>
    <w:rsid w:val="00A55F19"/>
    <w:rsid w:val="00A55F6E"/>
    <w:rsid w:val="00A5609A"/>
    <w:rsid w:val="00A5610C"/>
    <w:rsid w:val="00A5615B"/>
    <w:rsid w:val="00A56261"/>
    <w:rsid w:val="00A56312"/>
    <w:rsid w:val="00A5636C"/>
    <w:rsid w:val="00A56437"/>
    <w:rsid w:val="00A5665B"/>
    <w:rsid w:val="00A56745"/>
    <w:rsid w:val="00A567F1"/>
    <w:rsid w:val="00A567F2"/>
    <w:rsid w:val="00A56811"/>
    <w:rsid w:val="00A56834"/>
    <w:rsid w:val="00A56A1C"/>
    <w:rsid w:val="00A56C14"/>
    <w:rsid w:val="00A56D1E"/>
    <w:rsid w:val="00A56D88"/>
    <w:rsid w:val="00A56E18"/>
    <w:rsid w:val="00A56E21"/>
    <w:rsid w:val="00A56EA3"/>
    <w:rsid w:val="00A570AA"/>
    <w:rsid w:val="00A57153"/>
    <w:rsid w:val="00A574BF"/>
    <w:rsid w:val="00A575A7"/>
    <w:rsid w:val="00A57645"/>
    <w:rsid w:val="00A57660"/>
    <w:rsid w:val="00A5778F"/>
    <w:rsid w:val="00A577D3"/>
    <w:rsid w:val="00A578DB"/>
    <w:rsid w:val="00A57912"/>
    <w:rsid w:val="00A57A03"/>
    <w:rsid w:val="00A57BDF"/>
    <w:rsid w:val="00A57BF9"/>
    <w:rsid w:val="00A57C9A"/>
    <w:rsid w:val="00A57D44"/>
    <w:rsid w:val="00A57DB8"/>
    <w:rsid w:val="00A57F4C"/>
    <w:rsid w:val="00A57F6B"/>
    <w:rsid w:val="00A60123"/>
    <w:rsid w:val="00A60141"/>
    <w:rsid w:val="00A602B9"/>
    <w:rsid w:val="00A6049D"/>
    <w:rsid w:val="00A60591"/>
    <w:rsid w:val="00A6072F"/>
    <w:rsid w:val="00A60810"/>
    <w:rsid w:val="00A6092A"/>
    <w:rsid w:val="00A60A01"/>
    <w:rsid w:val="00A60BEF"/>
    <w:rsid w:val="00A60CB8"/>
    <w:rsid w:val="00A60E6A"/>
    <w:rsid w:val="00A60EA6"/>
    <w:rsid w:val="00A60F51"/>
    <w:rsid w:val="00A610A5"/>
    <w:rsid w:val="00A61167"/>
    <w:rsid w:val="00A61179"/>
    <w:rsid w:val="00A61282"/>
    <w:rsid w:val="00A612BE"/>
    <w:rsid w:val="00A61399"/>
    <w:rsid w:val="00A613FA"/>
    <w:rsid w:val="00A6153A"/>
    <w:rsid w:val="00A6158D"/>
    <w:rsid w:val="00A615A0"/>
    <w:rsid w:val="00A615A3"/>
    <w:rsid w:val="00A615BF"/>
    <w:rsid w:val="00A61689"/>
    <w:rsid w:val="00A61B1F"/>
    <w:rsid w:val="00A61EED"/>
    <w:rsid w:val="00A61EFC"/>
    <w:rsid w:val="00A6216E"/>
    <w:rsid w:val="00A62223"/>
    <w:rsid w:val="00A62470"/>
    <w:rsid w:val="00A6280A"/>
    <w:rsid w:val="00A62983"/>
    <w:rsid w:val="00A629A7"/>
    <w:rsid w:val="00A629EB"/>
    <w:rsid w:val="00A62A20"/>
    <w:rsid w:val="00A62ACB"/>
    <w:rsid w:val="00A62AD3"/>
    <w:rsid w:val="00A62B73"/>
    <w:rsid w:val="00A62C3C"/>
    <w:rsid w:val="00A62C77"/>
    <w:rsid w:val="00A62CA8"/>
    <w:rsid w:val="00A62D21"/>
    <w:rsid w:val="00A62D3C"/>
    <w:rsid w:val="00A62D52"/>
    <w:rsid w:val="00A62E0C"/>
    <w:rsid w:val="00A62E4C"/>
    <w:rsid w:val="00A62E84"/>
    <w:rsid w:val="00A62EA2"/>
    <w:rsid w:val="00A62EDA"/>
    <w:rsid w:val="00A62EE0"/>
    <w:rsid w:val="00A62EF6"/>
    <w:rsid w:val="00A62F93"/>
    <w:rsid w:val="00A63019"/>
    <w:rsid w:val="00A630E6"/>
    <w:rsid w:val="00A630EB"/>
    <w:rsid w:val="00A63221"/>
    <w:rsid w:val="00A632F6"/>
    <w:rsid w:val="00A63468"/>
    <w:rsid w:val="00A63501"/>
    <w:rsid w:val="00A63567"/>
    <w:rsid w:val="00A636CB"/>
    <w:rsid w:val="00A63748"/>
    <w:rsid w:val="00A637E6"/>
    <w:rsid w:val="00A6382A"/>
    <w:rsid w:val="00A6389F"/>
    <w:rsid w:val="00A638E4"/>
    <w:rsid w:val="00A63A08"/>
    <w:rsid w:val="00A63A3C"/>
    <w:rsid w:val="00A63B32"/>
    <w:rsid w:val="00A63B33"/>
    <w:rsid w:val="00A63C1B"/>
    <w:rsid w:val="00A63DA3"/>
    <w:rsid w:val="00A63DEE"/>
    <w:rsid w:val="00A63EEA"/>
    <w:rsid w:val="00A63F7C"/>
    <w:rsid w:val="00A64009"/>
    <w:rsid w:val="00A6412B"/>
    <w:rsid w:val="00A6414D"/>
    <w:rsid w:val="00A641EF"/>
    <w:rsid w:val="00A6442E"/>
    <w:rsid w:val="00A647B4"/>
    <w:rsid w:val="00A64857"/>
    <w:rsid w:val="00A648CB"/>
    <w:rsid w:val="00A64903"/>
    <w:rsid w:val="00A64A81"/>
    <w:rsid w:val="00A64ABE"/>
    <w:rsid w:val="00A64ACD"/>
    <w:rsid w:val="00A64B01"/>
    <w:rsid w:val="00A64B4D"/>
    <w:rsid w:val="00A64B71"/>
    <w:rsid w:val="00A64C75"/>
    <w:rsid w:val="00A64CC2"/>
    <w:rsid w:val="00A64D4A"/>
    <w:rsid w:val="00A64EA2"/>
    <w:rsid w:val="00A64EBA"/>
    <w:rsid w:val="00A64F73"/>
    <w:rsid w:val="00A65030"/>
    <w:rsid w:val="00A6507E"/>
    <w:rsid w:val="00A65188"/>
    <w:rsid w:val="00A65442"/>
    <w:rsid w:val="00A654E5"/>
    <w:rsid w:val="00A65556"/>
    <w:rsid w:val="00A6558D"/>
    <w:rsid w:val="00A655C0"/>
    <w:rsid w:val="00A6569A"/>
    <w:rsid w:val="00A656E7"/>
    <w:rsid w:val="00A6575B"/>
    <w:rsid w:val="00A657CF"/>
    <w:rsid w:val="00A657FD"/>
    <w:rsid w:val="00A65876"/>
    <w:rsid w:val="00A65A00"/>
    <w:rsid w:val="00A65A27"/>
    <w:rsid w:val="00A65AAF"/>
    <w:rsid w:val="00A65AFE"/>
    <w:rsid w:val="00A65BC2"/>
    <w:rsid w:val="00A65BE2"/>
    <w:rsid w:val="00A65E13"/>
    <w:rsid w:val="00A65EEF"/>
    <w:rsid w:val="00A65F0A"/>
    <w:rsid w:val="00A65F61"/>
    <w:rsid w:val="00A65F92"/>
    <w:rsid w:val="00A65FA1"/>
    <w:rsid w:val="00A6602D"/>
    <w:rsid w:val="00A66051"/>
    <w:rsid w:val="00A661C5"/>
    <w:rsid w:val="00A66226"/>
    <w:rsid w:val="00A6623E"/>
    <w:rsid w:val="00A66243"/>
    <w:rsid w:val="00A6628E"/>
    <w:rsid w:val="00A6636A"/>
    <w:rsid w:val="00A66422"/>
    <w:rsid w:val="00A667BD"/>
    <w:rsid w:val="00A667E9"/>
    <w:rsid w:val="00A66824"/>
    <w:rsid w:val="00A669A5"/>
    <w:rsid w:val="00A669DD"/>
    <w:rsid w:val="00A669F3"/>
    <w:rsid w:val="00A66ADD"/>
    <w:rsid w:val="00A66B6A"/>
    <w:rsid w:val="00A66CD1"/>
    <w:rsid w:val="00A66DAB"/>
    <w:rsid w:val="00A66DC2"/>
    <w:rsid w:val="00A66E84"/>
    <w:rsid w:val="00A66E99"/>
    <w:rsid w:val="00A66F67"/>
    <w:rsid w:val="00A67027"/>
    <w:rsid w:val="00A67040"/>
    <w:rsid w:val="00A671D0"/>
    <w:rsid w:val="00A671D2"/>
    <w:rsid w:val="00A6724B"/>
    <w:rsid w:val="00A673B8"/>
    <w:rsid w:val="00A6752A"/>
    <w:rsid w:val="00A675C5"/>
    <w:rsid w:val="00A6761D"/>
    <w:rsid w:val="00A677D0"/>
    <w:rsid w:val="00A677DF"/>
    <w:rsid w:val="00A677EA"/>
    <w:rsid w:val="00A6787D"/>
    <w:rsid w:val="00A678B9"/>
    <w:rsid w:val="00A67AB7"/>
    <w:rsid w:val="00A67B0B"/>
    <w:rsid w:val="00A67B89"/>
    <w:rsid w:val="00A67CFA"/>
    <w:rsid w:val="00A67E25"/>
    <w:rsid w:val="00A67E2C"/>
    <w:rsid w:val="00A67E44"/>
    <w:rsid w:val="00A67E4D"/>
    <w:rsid w:val="00A67EE9"/>
    <w:rsid w:val="00A67F0B"/>
    <w:rsid w:val="00A67FDC"/>
    <w:rsid w:val="00A67FE9"/>
    <w:rsid w:val="00A702AE"/>
    <w:rsid w:val="00A703EE"/>
    <w:rsid w:val="00A70415"/>
    <w:rsid w:val="00A704CC"/>
    <w:rsid w:val="00A705E3"/>
    <w:rsid w:val="00A706E0"/>
    <w:rsid w:val="00A7077C"/>
    <w:rsid w:val="00A709EB"/>
    <w:rsid w:val="00A70A42"/>
    <w:rsid w:val="00A70A4E"/>
    <w:rsid w:val="00A70A79"/>
    <w:rsid w:val="00A70D2B"/>
    <w:rsid w:val="00A70E15"/>
    <w:rsid w:val="00A70E5C"/>
    <w:rsid w:val="00A70FCE"/>
    <w:rsid w:val="00A70FE3"/>
    <w:rsid w:val="00A7103B"/>
    <w:rsid w:val="00A7105F"/>
    <w:rsid w:val="00A71197"/>
    <w:rsid w:val="00A7130D"/>
    <w:rsid w:val="00A7131F"/>
    <w:rsid w:val="00A7145B"/>
    <w:rsid w:val="00A71499"/>
    <w:rsid w:val="00A71643"/>
    <w:rsid w:val="00A71742"/>
    <w:rsid w:val="00A7181A"/>
    <w:rsid w:val="00A71921"/>
    <w:rsid w:val="00A719A3"/>
    <w:rsid w:val="00A719DB"/>
    <w:rsid w:val="00A71AC5"/>
    <w:rsid w:val="00A71ADB"/>
    <w:rsid w:val="00A71B0D"/>
    <w:rsid w:val="00A71B44"/>
    <w:rsid w:val="00A71D59"/>
    <w:rsid w:val="00A71D60"/>
    <w:rsid w:val="00A71DB5"/>
    <w:rsid w:val="00A71F95"/>
    <w:rsid w:val="00A71FFC"/>
    <w:rsid w:val="00A72067"/>
    <w:rsid w:val="00A721B6"/>
    <w:rsid w:val="00A72246"/>
    <w:rsid w:val="00A724A0"/>
    <w:rsid w:val="00A7258E"/>
    <w:rsid w:val="00A725FF"/>
    <w:rsid w:val="00A727BE"/>
    <w:rsid w:val="00A728CE"/>
    <w:rsid w:val="00A72913"/>
    <w:rsid w:val="00A7295F"/>
    <w:rsid w:val="00A72BF9"/>
    <w:rsid w:val="00A72C19"/>
    <w:rsid w:val="00A72CC9"/>
    <w:rsid w:val="00A72D71"/>
    <w:rsid w:val="00A72DB8"/>
    <w:rsid w:val="00A72ECC"/>
    <w:rsid w:val="00A72EFE"/>
    <w:rsid w:val="00A72FB1"/>
    <w:rsid w:val="00A73009"/>
    <w:rsid w:val="00A7306A"/>
    <w:rsid w:val="00A730F3"/>
    <w:rsid w:val="00A7310A"/>
    <w:rsid w:val="00A731AB"/>
    <w:rsid w:val="00A732AC"/>
    <w:rsid w:val="00A73379"/>
    <w:rsid w:val="00A733B7"/>
    <w:rsid w:val="00A733E6"/>
    <w:rsid w:val="00A73492"/>
    <w:rsid w:val="00A73517"/>
    <w:rsid w:val="00A73623"/>
    <w:rsid w:val="00A73742"/>
    <w:rsid w:val="00A7377E"/>
    <w:rsid w:val="00A7379E"/>
    <w:rsid w:val="00A737E9"/>
    <w:rsid w:val="00A73827"/>
    <w:rsid w:val="00A7390C"/>
    <w:rsid w:val="00A73A4D"/>
    <w:rsid w:val="00A73B38"/>
    <w:rsid w:val="00A73B6C"/>
    <w:rsid w:val="00A73C0A"/>
    <w:rsid w:val="00A73CBB"/>
    <w:rsid w:val="00A73CE9"/>
    <w:rsid w:val="00A73CF5"/>
    <w:rsid w:val="00A73DA6"/>
    <w:rsid w:val="00A73E22"/>
    <w:rsid w:val="00A73E6B"/>
    <w:rsid w:val="00A73EA8"/>
    <w:rsid w:val="00A73ED1"/>
    <w:rsid w:val="00A74051"/>
    <w:rsid w:val="00A74199"/>
    <w:rsid w:val="00A741FB"/>
    <w:rsid w:val="00A742DC"/>
    <w:rsid w:val="00A74319"/>
    <w:rsid w:val="00A7438E"/>
    <w:rsid w:val="00A74421"/>
    <w:rsid w:val="00A7442E"/>
    <w:rsid w:val="00A7452A"/>
    <w:rsid w:val="00A74556"/>
    <w:rsid w:val="00A74567"/>
    <w:rsid w:val="00A745DD"/>
    <w:rsid w:val="00A746B8"/>
    <w:rsid w:val="00A747AD"/>
    <w:rsid w:val="00A74801"/>
    <w:rsid w:val="00A749AE"/>
    <w:rsid w:val="00A74D3C"/>
    <w:rsid w:val="00A74D69"/>
    <w:rsid w:val="00A74DC6"/>
    <w:rsid w:val="00A74E3A"/>
    <w:rsid w:val="00A74E70"/>
    <w:rsid w:val="00A74EC1"/>
    <w:rsid w:val="00A74EED"/>
    <w:rsid w:val="00A74F3D"/>
    <w:rsid w:val="00A74FDA"/>
    <w:rsid w:val="00A75172"/>
    <w:rsid w:val="00A751A0"/>
    <w:rsid w:val="00A751D4"/>
    <w:rsid w:val="00A75295"/>
    <w:rsid w:val="00A7529E"/>
    <w:rsid w:val="00A753C7"/>
    <w:rsid w:val="00A7558E"/>
    <w:rsid w:val="00A75671"/>
    <w:rsid w:val="00A757E5"/>
    <w:rsid w:val="00A7584B"/>
    <w:rsid w:val="00A7584F"/>
    <w:rsid w:val="00A75894"/>
    <w:rsid w:val="00A75959"/>
    <w:rsid w:val="00A759E7"/>
    <w:rsid w:val="00A75A65"/>
    <w:rsid w:val="00A75BCA"/>
    <w:rsid w:val="00A75BCC"/>
    <w:rsid w:val="00A75CBB"/>
    <w:rsid w:val="00A75D8D"/>
    <w:rsid w:val="00A75EBB"/>
    <w:rsid w:val="00A75EC6"/>
    <w:rsid w:val="00A75EF2"/>
    <w:rsid w:val="00A75F9C"/>
    <w:rsid w:val="00A75FDE"/>
    <w:rsid w:val="00A76127"/>
    <w:rsid w:val="00A76220"/>
    <w:rsid w:val="00A762B4"/>
    <w:rsid w:val="00A7641B"/>
    <w:rsid w:val="00A76436"/>
    <w:rsid w:val="00A76760"/>
    <w:rsid w:val="00A767E6"/>
    <w:rsid w:val="00A76888"/>
    <w:rsid w:val="00A768A1"/>
    <w:rsid w:val="00A76959"/>
    <w:rsid w:val="00A76962"/>
    <w:rsid w:val="00A76B5C"/>
    <w:rsid w:val="00A76C16"/>
    <w:rsid w:val="00A76D2B"/>
    <w:rsid w:val="00A76D50"/>
    <w:rsid w:val="00A7708A"/>
    <w:rsid w:val="00A77131"/>
    <w:rsid w:val="00A771C0"/>
    <w:rsid w:val="00A77259"/>
    <w:rsid w:val="00A77321"/>
    <w:rsid w:val="00A773BB"/>
    <w:rsid w:val="00A774C0"/>
    <w:rsid w:val="00A77534"/>
    <w:rsid w:val="00A77644"/>
    <w:rsid w:val="00A77650"/>
    <w:rsid w:val="00A776D5"/>
    <w:rsid w:val="00A77896"/>
    <w:rsid w:val="00A778B9"/>
    <w:rsid w:val="00A778FA"/>
    <w:rsid w:val="00A77A66"/>
    <w:rsid w:val="00A77B4C"/>
    <w:rsid w:val="00A77B51"/>
    <w:rsid w:val="00A77CF6"/>
    <w:rsid w:val="00A77DD6"/>
    <w:rsid w:val="00A77E5E"/>
    <w:rsid w:val="00A800D1"/>
    <w:rsid w:val="00A800E3"/>
    <w:rsid w:val="00A80189"/>
    <w:rsid w:val="00A801AE"/>
    <w:rsid w:val="00A8021E"/>
    <w:rsid w:val="00A8024B"/>
    <w:rsid w:val="00A803F5"/>
    <w:rsid w:val="00A80405"/>
    <w:rsid w:val="00A80418"/>
    <w:rsid w:val="00A80680"/>
    <w:rsid w:val="00A8072F"/>
    <w:rsid w:val="00A8076F"/>
    <w:rsid w:val="00A80913"/>
    <w:rsid w:val="00A80D4C"/>
    <w:rsid w:val="00A80E1F"/>
    <w:rsid w:val="00A80E8B"/>
    <w:rsid w:val="00A80F05"/>
    <w:rsid w:val="00A80F35"/>
    <w:rsid w:val="00A80F43"/>
    <w:rsid w:val="00A8106A"/>
    <w:rsid w:val="00A810C3"/>
    <w:rsid w:val="00A81107"/>
    <w:rsid w:val="00A811A5"/>
    <w:rsid w:val="00A811C8"/>
    <w:rsid w:val="00A811F8"/>
    <w:rsid w:val="00A815E6"/>
    <w:rsid w:val="00A815FE"/>
    <w:rsid w:val="00A81791"/>
    <w:rsid w:val="00A818C2"/>
    <w:rsid w:val="00A81946"/>
    <w:rsid w:val="00A819B3"/>
    <w:rsid w:val="00A81AF1"/>
    <w:rsid w:val="00A81B65"/>
    <w:rsid w:val="00A81C0A"/>
    <w:rsid w:val="00A81D3A"/>
    <w:rsid w:val="00A81DB5"/>
    <w:rsid w:val="00A81E81"/>
    <w:rsid w:val="00A81F50"/>
    <w:rsid w:val="00A81F85"/>
    <w:rsid w:val="00A82284"/>
    <w:rsid w:val="00A82489"/>
    <w:rsid w:val="00A824A2"/>
    <w:rsid w:val="00A8257E"/>
    <w:rsid w:val="00A825D7"/>
    <w:rsid w:val="00A8264E"/>
    <w:rsid w:val="00A826A2"/>
    <w:rsid w:val="00A827B6"/>
    <w:rsid w:val="00A82989"/>
    <w:rsid w:val="00A829B4"/>
    <w:rsid w:val="00A829EB"/>
    <w:rsid w:val="00A82CC9"/>
    <w:rsid w:val="00A82EAA"/>
    <w:rsid w:val="00A82ED4"/>
    <w:rsid w:val="00A82FAA"/>
    <w:rsid w:val="00A83100"/>
    <w:rsid w:val="00A831C3"/>
    <w:rsid w:val="00A83233"/>
    <w:rsid w:val="00A83236"/>
    <w:rsid w:val="00A83289"/>
    <w:rsid w:val="00A832BC"/>
    <w:rsid w:val="00A83336"/>
    <w:rsid w:val="00A8338D"/>
    <w:rsid w:val="00A83488"/>
    <w:rsid w:val="00A835F9"/>
    <w:rsid w:val="00A83676"/>
    <w:rsid w:val="00A83797"/>
    <w:rsid w:val="00A837E6"/>
    <w:rsid w:val="00A83BED"/>
    <w:rsid w:val="00A83C97"/>
    <w:rsid w:val="00A83CAA"/>
    <w:rsid w:val="00A83D09"/>
    <w:rsid w:val="00A83E46"/>
    <w:rsid w:val="00A83E68"/>
    <w:rsid w:val="00A83F26"/>
    <w:rsid w:val="00A83F3D"/>
    <w:rsid w:val="00A83F85"/>
    <w:rsid w:val="00A83FD0"/>
    <w:rsid w:val="00A83FDE"/>
    <w:rsid w:val="00A84033"/>
    <w:rsid w:val="00A840C3"/>
    <w:rsid w:val="00A8429A"/>
    <w:rsid w:val="00A8430D"/>
    <w:rsid w:val="00A84387"/>
    <w:rsid w:val="00A843F8"/>
    <w:rsid w:val="00A8453C"/>
    <w:rsid w:val="00A84A92"/>
    <w:rsid w:val="00A84AC1"/>
    <w:rsid w:val="00A84AF9"/>
    <w:rsid w:val="00A84B1E"/>
    <w:rsid w:val="00A84B4E"/>
    <w:rsid w:val="00A84BD3"/>
    <w:rsid w:val="00A84EBC"/>
    <w:rsid w:val="00A84EDA"/>
    <w:rsid w:val="00A84F47"/>
    <w:rsid w:val="00A8525D"/>
    <w:rsid w:val="00A8545B"/>
    <w:rsid w:val="00A854C0"/>
    <w:rsid w:val="00A855AE"/>
    <w:rsid w:val="00A85777"/>
    <w:rsid w:val="00A8580B"/>
    <w:rsid w:val="00A858AC"/>
    <w:rsid w:val="00A85986"/>
    <w:rsid w:val="00A859C5"/>
    <w:rsid w:val="00A85A5B"/>
    <w:rsid w:val="00A85A74"/>
    <w:rsid w:val="00A85AB4"/>
    <w:rsid w:val="00A85AD4"/>
    <w:rsid w:val="00A85ADA"/>
    <w:rsid w:val="00A85B01"/>
    <w:rsid w:val="00A85C39"/>
    <w:rsid w:val="00A85CDB"/>
    <w:rsid w:val="00A85D86"/>
    <w:rsid w:val="00A85E24"/>
    <w:rsid w:val="00A85F52"/>
    <w:rsid w:val="00A8607B"/>
    <w:rsid w:val="00A860B4"/>
    <w:rsid w:val="00A8626D"/>
    <w:rsid w:val="00A86278"/>
    <w:rsid w:val="00A863D8"/>
    <w:rsid w:val="00A86592"/>
    <w:rsid w:val="00A866C9"/>
    <w:rsid w:val="00A866E9"/>
    <w:rsid w:val="00A86776"/>
    <w:rsid w:val="00A869C2"/>
    <w:rsid w:val="00A86A16"/>
    <w:rsid w:val="00A86A5B"/>
    <w:rsid w:val="00A86CDA"/>
    <w:rsid w:val="00A86D08"/>
    <w:rsid w:val="00A86D4A"/>
    <w:rsid w:val="00A86E86"/>
    <w:rsid w:val="00A86ED9"/>
    <w:rsid w:val="00A86F6D"/>
    <w:rsid w:val="00A8707F"/>
    <w:rsid w:val="00A870ED"/>
    <w:rsid w:val="00A872B3"/>
    <w:rsid w:val="00A873D5"/>
    <w:rsid w:val="00A87631"/>
    <w:rsid w:val="00A87635"/>
    <w:rsid w:val="00A87693"/>
    <w:rsid w:val="00A877E9"/>
    <w:rsid w:val="00A87A36"/>
    <w:rsid w:val="00A87ACE"/>
    <w:rsid w:val="00A87BC3"/>
    <w:rsid w:val="00A87C20"/>
    <w:rsid w:val="00A87E99"/>
    <w:rsid w:val="00A87EC9"/>
    <w:rsid w:val="00A90035"/>
    <w:rsid w:val="00A900AC"/>
    <w:rsid w:val="00A900E6"/>
    <w:rsid w:val="00A901FA"/>
    <w:rsid w:val="00A9020E"/>
    <w:rsid w:val="00A90355"/>
    <w:rsid w:val="00A90472"/>
    <w:rsid w:val="00A90498"/>
    <w:rsid w:val="00A904E8"/>
    <w:rsid w:val="00A9058C"/>
    <w:rsid w:val="00A90753"/>
    <w:rsid w:val="00A9080C"/>
    <w:rsid w:val="00A9095A"/>
    <w:rsid w:val="00A909AC"/>
    <w:rsid w:val="00A90A1B"/>
    <w:rsid w:val="00A90B5C"/>
    <w:rsid w:val="00A90BBB"/>
    <w:rsid w:val="00A90C28"/>
    <w:rsid w:val="00A90C91"/>
    <w:rsid w:val="00A90C9F"/>
    <w:rsid w:val="00A90D40"/>
    <w:rsid w:val="00A90EF1"/>
    <w:rsid w:val="00A90FA1"/>
    <w:rsid w:val="00A91137"/>
    <w:rsid w:val="00A9119B"/>
    <w:rsid w:val="00A9119D"/>
    <w:rsid w:val="00A913B2"/>
    <w:rsid w:val="00A91406"/>
    <w:rsid w:val="00A91505"/>
    <w:rsid w:val="00A91551"/>
    <w:rsid w:val="00A9156C"/>
    <w:rsid w:val="00A91661"/>
    <w:rsid w:val="00A917F5"/>
    <w:rsid w:val="00A918C6"/>
    <w:rsid w:val="00A919B7"/>
    <w:rsid w:val="00A91AC4"/>
    <w:rsid w:val="00A91BF6"/>
    <w:rsid w:val="00A91C65"/>
    <w:rsid w:val="00A91C77"/>
    <w:rsid w:val="00A91EA5"/>
    <w:rsid w:val="00A91F5A"/>
    <w:rsid w:val="00A91FC8"/>
    <w:rsid w:val="00A9204B"/>
    <w:rsid w:val="00A92063"/>
    <w:rsid w:val="00A92075"/>
    <w:rsid w:val="00A920BE"/>
    <w:rsid w:val="00A9217F"/>
    <w:rsid w:val="00A921B5"/>
    <w:rsid w:val="00A9222D"/>
    <w:rsid w:val="00A924F0"/>
    <w:rsid w:val="00A9251E"/>
    <w:rsid w:val="00A9265D"/>
    <w:rsid w:val="00A92816"/>
    <w:rsid w:val="00A92ABD"/>
    <w:rsid w:val="00A92B21"/>
    <w:rsid w:val="00A92B6E"/>
    <w:rsid w:val="00A92BC1"/>
    <w:rsid w:val="00A92CCA"/>
    <w:rsid w:val="00A92DBB"/>
    <w:rsid w:val="00A92DE6"/>
    <w:rsid w:val="00A92E70"/>
    <w:rsid w:val="00A92F67"/>
    <w:rsid w:val="00A93051"/>
    <w:rsid w:val="00A93156"/>
    <w:rsid w:val="00A931C0"/>
    <w:rsid w:val="00A931D5"/>
    <w:rsid w:val="00A93304"/>
    <w:rsid w:val="00A9332D"/>
    <w:rsid w:val="00A933A2"/>
    <w:rsid w:val="00A933EA"/>
    <w:rsid w:val="00A93455"/>
    <w:rsid w:val="00A935F3"/>
    <w:rsid w:val="00A93623"/>
    <w:rsid w:val="00A936CB"/>
    <w:rsid w:val="00A936F3"/>
    <w:rsid w:val="00A93952"/>
    <w:rsid w:val="00A93A52"/>
    <w:rsid w:val="00A93AB6"/>
    <w:rsid w:val="00A93AEB"/>
    <w:rsid w:val="00A93B8D"/>
    <w:rsid w:val="00A93BF9"/>
    <w:rsid w:val="00A93CF5"/>
    <w:rsid w:val="00A93D14"/>
    <w:rsid w:val="00A93DF3"/>
    <w:rsid w:val="00A93E16"/>
    <w:rsid w:val="00A93EC2"/>
    <w:rsid w:val="00A93FF8"/>
    <w:rsid w:val="00A9414A"/>
    <w:rsid w:val="00A9416F"/>
    <w:rsid w:val="00A941E3"/>
    <w:rsid w:val="00A9448C"/>
    <w:rsid w:val="00A944CA"/>
    <w:rsid w:val="00A944FA"/>
    <w:rsid w:val="00A9453A"/>
    <w:rsid w:val="00A9458D"/>
    <w:rsid w:val="00A946B3"/>
    <w:rsid w:val="00A9472F"/>
    <w:rsid w:val="00A94783"/>
    <w:rsid w:val="00A94836"/>
    <w:rsid w:val="00A948C9"/>
    <w:rsid w:val="00A948DE"/>
    <w:rsid w:val="00A94912"/>
    <w:rsid w:val="00A949C1"/>
    <w:rsid w:val="00A949E4"/>
    <w:rsid w:val="00A94A25"/>
    <w:rsid w:val="00A94AEB"/>
    <w:rsid w:val="00A94AF4"/>
    <w:rsid w:val="00A94C70"/>
    <w:rsid w:val="00A94CB5"/>
    <w:rsid w:val="00A94D0C"/>
    <w:rsid w:val="00A94D33"/>
    <w:rsid w:val="00A94E9E"/>
    <w:rsid w:val="00A94EFC"/>
    <w:rsid w:val="00A94F42"/>
    <w:rsid w:val="00A95009"/>
    <w:rsid w:val="00A950DA"/>
    <w:rsid w:val="00A95228"/>
    <w:rsid w:val="00A95260"/>
    <w:rsid w:val="00A953CB"/>
    <w:rsid w:val="00A953F1"/>
    <w:rsid w:val="00A95419"/>
    <w:rsid w:val="00A954F6"/>
    <w:rsid w:val="00A956FF"/>
    <w:rsid w:val="00A95744"/>
    <w:rsid w:val="00A95765"/>
    <w:rsid w:val="00A95A03"/>
    <w:rsid w:val="00A95A91"/>
    <w:rsid w:val="00A95B1E"/>
    <w:rsid w:val="00A95BD3"/>
    <w:rsid w:val="00A95CC5"/>
    <w:rsid w:val="00A95D18"/>
    <w:rsid w:val="00A95E12"/>
    <w:rsid w:val="00A96025"/>
    <w:rsid w:val="00A96093"/>
    <w:rsid w:val="00A96133"/>
    <w:rsid w:val="00A963AA"/>
    <w:rsid w:val="00A963D7"/>
    <w:rsid w:val="00A963ED"/>
    <w:rsid w:val="00A9640B"/>
    <w:rsid w:val="00A96479"/>
    <w:rsid w:val="00A965D8"/>
    <w:rsid w:val="00A96704"/>
    <w:rsid w:val="00A96815"/>
    <w:rsid w:val="00A969CF"/>
    <w:rsid w:val="00A96A07"/>
    <w:rsid w:val="00A96A2C"/>
    <w:rsid w:val="00A96B41"/>
    <w:rsid w:val="00A96C40"/>
    <w:rsid w:val="00A96D40"/>
    <w:rsid w:val="00A96D87"/>
    <w:rsid w:val="00A96E7A"/>
    <w:rsid w:val="00A96E86"/>
    <w:rsid w:val="00A96F35"/>
    <w:rsid w:val="00A970D9"/>
    <w:rsid w:val="00A97120"/>
    <w:rsid w:val="00A9715B"/>
    <w:rsid w:val="00A97186"/>
    <w:rsid w:val="00A971E1"/>
    <w:rsid w:val="00A972C0"/>
    <w:rsid w:val="00A972C6"/>
    <w:rsid w:val="00A973D0"/>
    <w:rsid w:val="00A97417"/>
    <w:rsid w:val="00A97451"/>
    <w:rsid w:val="00A97555"/>
    <w:rsid w:val="00A97575"/>
    <w:rsid w:val="00A9761E"/>
    <w:rsid w:val="00A97624"/>
    <w:rsid w:val="00A9769E"/>
    <w:rsid w:val="00A97746"/>
    <w:rsid w:val="00A97769"/>
    <w:rsid w:val="00A977DA"/>
    <w:rsid w:val="00A97881"/>
    <w:rsid w:val="00A978AF"/>
    <w:rsid w:val="00A9790E"/>
    <w:rsid w:val="00A979C4"/>
    <w:rsid w:val="00A97A28"/>
    <w:rsid w:val="00A97AD8"/>
    <w:rsid w:val="00A97B1B"/>
    <w:rsid w:val="00A97BB1"/>
    <w:rsid w:val="00A97CF0"/>
    <w:rsid w:val="00A97E61"/>
    <w:rsid w:val="00A97ED3"/>
    <w:rsid w:val="00A97F51"/>
    <w:rsid w:val="00AA00DC"/>
    <w:rsid w:val="00AA01C3"/>
    <w:rsid w:val="00AA0361"/>
    <w:rsid w:val="00AA037C"/>
    <w:rsid w:val="00AA03A6"/>
    <w:rsid w:val="00AA0405"/>
    <w:rsid w:val="00AA0583"/>
    <w:rsid w:val="00AA0621"/>
    <w:rsid w:val="00AA068B"/>
    <w:rsid w:val="00AA074C"/>
    <w:rsid w:val="00AA0802"/>
    <w:rsid w:val="00AA0AA9"/>
    <w:rsid w:val="00AA0BC5"/>
    <w:rsid w:val="00AA0C38"/>
    <w:rsid w:val="00AA0D35"/>
    <w:rsid w:val="00AA0E41"/>
    <w:rsid w:val="00AA0F49"/>
    <w:rsid w:val="00AA1122"/>
    <w:rsid w:val="00AA1140"/>
    <w:rsid w:val="00AA1220"/>
    <w:rsid w:val="00AA13DF"/>
    <w:rsid w:val="00AA1410"/>
    <w:rsid w:val="00AA142A"/>
    <w:rsid w:val="00AA1593"/>
    <w:rsid w:val="00AA1601"/>
    <w:rsid w:val="00AA1718"/>
    <w:rsid w:val="00AA1805"/>
    <w:rsid w:val="00AA18F6"/>
    <w:rsid w:val="00AA1A6C"/>
    <w:rsid w:val="00AA1B96"/>
    <w:rsid w:val="00AA1C3C"/>
    <w:rsid w:val="00AA1C63"/>
    <w:rsid w:val="00AA1D90"/>
    <w:rsid w:val="00AA1EAB"/>
    <w:rsid w:val="00AA1F2E"/>
    <w:rsid w:val="00AA1F4C"/>
    <w:rsid w:val="00AA1F90"/>
    <w:rsid w:val="00AA1FF7"/>
    <w:rsid w:val="00AA2087"/>
    <w:rsid w:val="00AA20C3"/>
    <w:rsid w:val="00AA20C9"/>
    <w:rsid w:val="00AA219C"/>
    <w:rsid w:val="00AA21BF"/>
    <w:rsid w:val="00AA2236"/>
    <w:rsid w:val="00AA22B4"/>
    <w:rsid w:val="00AA23A3"/>
    <w:rsid w:val="00AA23C7"/>
    <w:rsid w:val="00AA2413"/>
    <w:rsid w:val="00AA247F"/>
    <w:rsid w:val="00AA24D9"/>
    <w:rsid w:val="00AA2513"/>
    <w:rsid w:val="00AA2674"/>
    <w:rsid w:val="00AA268B"/>
    <w:rsid w:val="00AA27A5"/>
    <w:rsid w:val="00AA27FE"/>
    <w:rsid w:val="00AA27FF"/>
    <w:rsid w:val="00AA283D"/>
    <w:rsid w:val="00AA294A"/>
    <w:rsid w:val="00AA2A10"/>
    <w:rsid w:val="00AA2C06"/>
    <w:rsid w:val="00AA2C9D"/>
    <w:rsid w:val="00AA2CC7"/>
    <w:rsid w:val="00AA2CCC"/>
    <w:rsid w:val="00AA2D03"/>
    <w:rsid w:val="00AA2D5C"/>
    <w:rsid w:val="00AA2F75"/>
    <w:rsid w:val="00AA2F7C"/>
    <w:rsid w:val="00AA2F90"/>
    <w:rsid w:val="00AA3060"/>
    <w:rsid w:val="00AA3076"/>
    <w:rsid w:val="00AA30B9"/>
    <w:rsid w:val="00AA3243"/>
    <w:rsid w:val="00AA35DD"/>
    <w:rsid w:val="00AA35F5"/>
    <w:rsid w:val="00AA37F9"/>
    <w:rsid w:val="00AA3871"/>
    <w:rsid w:val="00AA3A97"/>
    <w:rsid w:val="00AA3ADB"/>
    <w:rsid w:val="00AA3AFC"/>
    <w:rsid w:val="00AA3B04"/>
    <w:rsid w:val="00AA3B15"/>
    <w:rsid w:val="00AA3BDA"/>
    <w:rsid w:val="00AA3C63"/>
    <w:rsid w:val="00AA3CC9"/>
    <w:rsid w:val="00AA3D6A"/>
    <w:rsid w:val="00AA3D8D"/>
    <w:rsid w:val="00AA3DDC"/>
    <w:rsid w:val="00AA3DEE"/>
    <w:rsid w:val="00AA4331"/>
    <w:rsid w:val="00AA434E"/>
    <w:rsid w:val="00AA4470"/>
    <w:rsid w:val="00AA463F"/>
    <w:rsid w:val="00AA4644"/>
    <w:rsid w:val="00AA474D"/>
    <w:rsid w:val="00AA47B4"/>
    <w:rsid w:val="00AA4948"/>
    <w:rsid w:val="00AA4B16"/>
    <w:rsid w:val="00AA4BD3"/>
    <w:rsid w:val="00AA4D33"/>
    <w:rsid w:val="00AA4DF7"/>
    <w:rsid w:val="00AA4E34"/>
    <w:rsid w:val="00AA4E8D"/>
    <w:rsid w:val="00AA517D"/>
    <w:rsid w:val="00AA5185"/>
    <w:rsid w:val="00AA51B8"/>
    <w:rsid w:val="00AA5272"/>
    <w:rsid w:val="00AA5345"/>
    <w:rsid w:val="00AA53E2"/>
    <w:rsid w:val="00AA53FF"/>
    <w:rsid w:val="00AA555D"/>
    <w:rsid w:val="00AA55DD"/>
    <w:rsid w:val="00AA566F"/>
    <w:rsid w:val="00AA569B"/>
    <w:rsid w:val="00AA57D2"/>
    <w:rsid w:val="00AA57EE"/>
    <w:rsid w:val="00AA5C3D"/>
    <w:rsid w:val="00AA5C71"/>
    <w:rsid w:val="00AA5EA0"/>
    <w:rsid w:val="00AA5F22"/>
    <w:rsid w:val="00AA5F9F"/>
    <w:rsid w:val="00AA60E4"/>
    <w:rsid w:val="00AA6131"/>
    <w:rsid w:val="00AA6196"/>
    <w:rsid w:val="00AA61F8"/>
    <w:rsid w:val="00AA6249"/>
    <w:rsid w:val="00AA624B"/>
    <w:rsid w:val="00AA62C0"/>
    <w:rsid w:val="00AA6321"/>
    <w:rsid w:val="00AA6487"/>
    <w:rsid w:val="00AA659A"/>
    <w:rsid w:val="00AA65BD"/>
    <w:rsid w:val="00AA65D2"/>
    <w:rsid w:val="00AA6623"/>
    <w:rsid w:val="00AA67B3"/>
    <w:rsid w:val="00AA67C3"/>
    <w:rsid w:val="00AA67E1"/>
    <w:rsid w:val="00AA68CF"/>
    <w:rsid w:val="00AA6933"/>
    <w:rsid w:val="00AA695C"/>
    <w:rsid w:val="00AA6A01"/>
    <w:rsid w:val="00AA6A4B"/>
    <w:rsid w:val="00AA6A56"/>
    <w:rsid w:val="00AA6C9D"/>
    <w:rsid w:val="00AA6F05"/>
    <w:rsid w:val="00AA6FA5"/>
    <w:rsid w:val="00AA7145"/>
    <w:rsid w:val="00AA7148"/>
    <w:rsid w:val="00AA7174"/>
    <w:rsid w:val="00AA718C"/>
    <w:rsid w:val="00AA71C0"/>
    <w:rsid w:val="00AA71F7"/>
    <w:rsid w:val="00AA7233"/>
    <w:rsid w:val="00AA72AE"/>
    <w:rsid w:val="00AA72C3"/>
    <w:rsid w:val="00AA738E"/>
    <w:rsid w:val="00AA73B4"/>
    <w:rsid w:val="00AA73F4"/>
    <w:rsid w:val="00AA7462"/>
    <w:rsid w:val="00AA748F"/>
    <w:rsid w:val="00AA74DB"/>
    <w:rsid w:val="00AA74F6"/>
    <w:rsid w:val="00AA75C5"/>
    <w:rsid w:val="00AA7618"/>
    <w:rsid w:val="00AA7656"/>
    <w:rsid w:val="00AA7698"/>
    <w:rsid w:val="00AA7703"/>
    <w:rsid w:val="00AA78BD"/>
    <w:rsid w:val="00AA79A3"/>
    <w:rsid w:val="00AA7A08"/>
    <w:rsid w:val="00AA7A1B"/>
    <w:rsid w:val="00AA7A7A"/>
    <w:rsid w:val="00AA7ACB"/>
    <w:rsid w:val="00AA7B44"/>
    <w:rsid w:val="00AA7C08"/>
    <w:rsid w:val="00AA7C0E"/>
    <w:rsid w:val="00AA7C6D"/>
    <w:rsid w:val="00AA7CFF"/>
    <w:rsid w:val="00AA7D40"/>
    <w:rsid w:val="00AA7EAB"/>
    <w:rsid w:val="00AA7F1B"/>
    <w:rsid w:val="00AA7F59"/>
    <w:rsid w:val="00AA7FCD"/>
    <w:rsid w:val="00AA7FD7"/>
    <w:rsid w:val="00AB010A"/>
    <w:rsid w:val="00AB010C"/>
    <w:rsid w:val="00AB038C"/>
    <w:rsid w:val="00AB0401"/>
    <w:rsid w:val="00AB0402"/>
    <w:rsid w:val="00AB044C"/>
    <w:rsid w:val="00AB04EF"/>
    <w:rsid w:val="00AB05B2"/>
    <w:rsid w:val="00AB06F5"/>
    <w:rsid w:val="00AB070B"/>
    <w:rsid w:val="00AB0723"/>
    <w:rsid w:val="00AB0734"/>
    <w:rsid w:val="00AB07E5"/>
    <w:rsid w:val="00AB085D"/>
    <w:rsid w:val="00AB0881"/>
    <w:rsid w:val="00AB0965"/>
    <w:rsid w:val="00AB09D1"/>
    <w:rsid w:val="00AB0AA2"/>
    <w:rsid w:val="00AB0AD6"/>
    <w:rsid w:val="00AB0B18"/>
    <w:rsid w:val="00AB0B70"/>
    <w:rsid w:val="00AB0BD9"/>
    <w:rsid w:val="00AB0C79"/>
    <w:rsid w:val="00AB0CB3"/>
    <w:rsid w:val="00AB0D04"/>
    <w:rsid w:val="00AB0DC6"/>
    <w:rsid w:val="00AB0EC0"/>
    <w:rsid w:val="00AB0EC4"/>
    <w:rsid w:val="00AB0F7C"/>
    <w:rsid w:val="00AB1129"/>
    <w:rsid w:val="00AB11FD"/>
    <w:rsid w:val="00AB13F7"/>
    <w:rsid w:val="00AB1444"/>
    <w:rsid w:val="00AB1668"/>
    <w:rsid w:val="00AB184C"/>
    <w:rsid w:val="00AB189A"/>
    <w:rsid w:val="00AB18B4"/>
    <w:rsid w:val="00AB1956"/>
    <w:rsid w:val="00AB1B87"/>
    <w:rsid w:val="00AB1C90"/>
    <w:rsid w:val="00AB1CA2"/>
    <w:rsid w:val="00AB1DB7"/>
    <w:rsid w:val="00AB1E41"/>
    <w:rsid w:val="00AB1EA3"/>
    <w:rsid w:val="00AB207F"/>
    <w:rsid w:val="00AB21EA"/>
    <w:rsid w:val="00AB220A"/>
    <w:rsid w:val="00AB2275"/>
    <w:rsid w:val="00AB2399"/>
    <w:rsid w:val="00AB23F2"/>
    <w:rsid w:val="00AB2487"/>
    <w:rsid w:val="00AB24AD"/>
    <w:rsid w:val="00AB25A4"/>
    <w:rsid w:val="00AB25D2"/>
    <w:rsid w:val="00AB260A"/>
    <w:rsid w:val="00AB2645"/>
    <w:rsid w:val="00AB274D"/>
    <w:rsid w:val="00AB2766"/>
    <w:rsid w:val="00AB298C"/>
    <w:rsid w:val="00AB2ABE"/>
    <w:rsid w:val="00AB2B2F"/>
    <w:rsid w:val="00AB2B55"/>
    <w:rsid w:val="00AB2D46"/>
    <w:rsid w:val="00AB302B"/>
    <w:rsid w:val="00AB30C7"/>
    <w:rsid w:val="00AB30DA"/>
    <w:rsid w:val="00AB31EF"/>
    <w:rsid w:val="00AB3344"/>
    <w:rsid w:val="00AB33BA"/>
    <w:rsid w:val="00AB3478"/>
    <w:rsid w:val="00AB347C"/>
    <w:rsid w:val="00AB34DD"/>
    <w:rsid w:val="00AB358D"/>
    <w:rsid w:val="00AB35AA"/>
    <w:rsid w:val="00AB364F"/>
    <w:rsid w:val="00AB3696"/>
    <w:rsid w:val="00AB38DF"/>
    <w:rsid w:val="00AB3B26"/>
    <w:rsid w:val="00AB3BDA"/>
    <w:rsid w:val="00AB3D12"/>
    <w:rsid w:val="00AB3DB4"/>
    <w:rsid w:val="00AB3ED4"/>
    <w:rsid w:val="00AB3F13"/>
    <w:rsid w:val="00AB402A"/>
    <w:rsid w:val="00AB40A4"/>
    <w:rsid w:val="00AB411A"/>
    <w:rsid w:val="00AB41FE"/>
    <w:rsid w:val="00AB42BF"/>
    <w:rsid w:val="00AB4313"/>
    <w:rsid w:val="00AB443F"/>
    <w:rsid w:val="00AB44CF"/>
    <w:rsid w:val="00AB45F7"/>
    <w:rsid w:val="00AB4757"/>
    <w:rsid w:val="00AB49DC"/>
    <w:rsid w:val="00AB49E8"/>
    <w:rsid w:val="00AB4A55"/>
    <w:rsid w:val="00AB4A5D"/>
    <w:rsid w:val="00AB4AF8"/>
    <w:rsid w:val="00AB4BB5"/>
    <w:rsid w:val="00AB4BD0"/>
    <w:rsid w:val="00AB4BEA"/>
    <w:rsid w:val="00AB4C33"/>
    <w:rsid w:val="00AB4CA4"/>
    <w:rsid w:val="00AB4EF0"/>
    <w:rsid w:val="00AB5092"/>
    <w:rsid w:val="00AB50AF"/>
    <w:rsid w:val="00AB50EE"/>
    <w:rsid w:val="00AB52E1"/>
    <w:rsid w:val="00AB5368"/>
    <w:rsid w:val="00AB559B"/>
    <w:rsid w:val="00AB567B"/>
    <w:rsid w:val="00AB56B7"/>
    <w:rsid w:val="00AB5709"/>
    <w:rsid w:val="00AB574D"/>
    <w:rsid w:val="00AB57C6"/>
    <w:rsid w:val="00AB5A0F"/>
    <w:rsid w:val="00AB5A50"/>
    <w:rsid w:val="00AB5B69"/>
    <w:rsid w:val="00AB5B6F"/>
    <w:rsid w:val="00AB5BF7"/>
    <w:rsid w:val="00AB5C61"/>
    <w:rsid w:val="00AB5CEF"/>
    <w:rsid w:val="00AB5CFE"/>
    <w:rsid w:val="00AB5D57"/>
    <w:rsid w:val="00AB5E0B"/>
    <w:rsid w:val="00AB5EC6"/>
    <w:rsid w:val="00AB5EF1"/>
    <w:rsid w:val="00AB5EFC"/>
    <w:rsid w:val="00AB5F94"/>
    <w:rsid w:val="00AB5FA9"/>
    <w:rsid w:val="00AB604B"/>
    <w:rsid w:val="00AB6163"/>
    <w:rsid w:val="00AB63D4"/>
    <w:rsid w:val="00AB6423"/>
    <w:rsid w:val="00AB6480"/>
    <w:rsid w:val="00AB65C0"/>
    <w:rsid w:val="00AB66C4"/>
    <w:rsid w:val="00AB67D2"/>
    <w:rsid w:val="00AB683D"/>
    <w:rsid w:val="00AB69F4"/>
    <w:rsid w:val="00AB6A3F"/>
    <w:rsid w:val="00AB6B6D"/>
    <w:rsid w:val="00AB6C07"/>
    <w:rsid w:val="00AB6DFA"/>
    <w:rsid w:val="00AB6E00"/>
    <w:rsid w:val="00AB6E1F"/>
    <w:rsid w:val="00AB6ED6"/>
    <w:rsid w:val="00AB6F37"/>
    <w:rsid w:val="00AB6F69"/>
    <w:rsid w:val="00AB7024"/>
    <w:rsid w:val="00AB70D5"/>
    <w:rsid w:val="00AB7283"/>
    <w:rsid w:val="00AB73B5"/>
    <w:rsid w:val="00AB73EF"/>
    <w:rsid w:val="00AB748F"/>
    <w:rsid w:val="00AB752B"/>
    <w:rsid w:val="00AB7674"/>
    <w:rsid w:val="00AB7897"/>
    <w:rsid w:val="00AB78F0"/>
    <w:rsid w:val="00AB79AC"/>
    <w:rsid w:val="00AB7A40"/>
    <w:rsid w:val="00AB7A9D"/>
    <w:rsid w:val="00AB7B08"/>
    <w:rsid w:val="00AB7CE2"/>
    <w:rsid w:val="00AB7DFA"/>
    <w:rsid w:val="00AB7E2B"/>
    <w:rsid w:val="00AB7E32"/>
    <w:rsid w:val="00AC000B"/>
    <w:rsid w:val="00AC022D"/>
    <w:rsid w:val="00AC023B"/>
    <w:rsid w:val="00AC0401"/>
    <w:rsid w:val="00AC0495"/>
    <w:rsid w:val="00AC050B"/>
    <w:rsid w:val="00AC06C0"/>
    <w:rsid w:val="00AC07CD"/>
    <w:rsid w:val="00AC080C"/>
    <w:rsid w:val="00AC08A6"/>
    <w:rsid w:val="00AC08C9"/>
    <w:rsid w:val="00AC097A"/>
    <w:rsid w:val="00AC0A2B"/>
    <w:rsid w:val="00AC0AB1"/>
    <w:rsid w:val="00AC0B5B"/>
    <w:rsid w:val="00AC0B92"/>
    <w:rsid w:val="00AC0BFA"/>
    <w:rsid w:val="00AC0C88"/>
    <w:rsid w:val="00AC0EF4"/>
    <w:rsid w:val="00AC0EFE"/>
    <w:rsid w:val="00AC0F1D"/>
    <w:rsid w:val="00AC104D"/>
    <w:rsid w:val="00AC1087"/>
    <w:rsid w:val="00AC136B"/>
    <w:rsid w:val="00AC14B4"/>
    <w:rsid w:val="00AC15C2"/>
    <w:rsid w:val="00AC15CB"/>
    <w:rsid w:val="00AC1625"/>
    <w:rsid w:val="00AC1643"/>
    <w:rsid w:val="00AC1713"/>
    <w:rsid w:val="00AC1724"/>
    <w:rsid w:val="00AC181C"/>
    <w:rsid w:val="00AC1A44"/>
    <w:rsid w:val="00AC1A4B"/>
    <w:rsid w:val="00AC1B31"/>
    <w:rsid w:val="00AC1BA9"/>
    <w:rsid w:val="00AC1CCE"/>
    <w:rsid w:val="00AC1FA4"/>
    <w:rsid w:val="00AC2054"/>
    <w:rsid w:val="00AC2134"/>
    <w:rsid w:val="00AC2135"/>
    <w:rsid w:val="00AC2168"/>
    <w:rsid w:val="00AC221B"/>
    <w:rsid w:val="00AC2223"/>
    <w:rsid w:val="00AC249E"/>
    <w:rsid w:val="00AC2528"/>
    <w:rsid w:val="00AC257C"/>
    <w:rsid w:val="00AC2707"/>
    <w:rsid w:val="00AC278B"/>
    <w:rsid w:val="00AC2862"/>
    <w:rsid w:val="00AC2A84"/>
    <w:rsid w:val="00AC2B31"/>
    <w:rsid w:val="00AC2C2F"/>
    <w:rsid w:val="00AC2D21"/>
    <w:rsid w:val="00AC2E79"/>
    <w:rsid w:val="00AC30AF"/>
    <w:rsid w:val="00AC312F"/>
    <w:rsid w:val="00AC314A"/>
    <w:rsid w:val="00AC319E"/>
    <w:rsid w:val="00AC33FD"/>
    <w:rsid w:val="00AC34C9"/>
    <w:rsid w:val="00AC358E"/>
    <w:rsid w:val="00AC35D0"/>
    <w:rsid w:val="00AC363D"/>
    <w:rsid w:val="00AC36A7"/>
    <w:rsid w:val="00AC37D4"/>
    <w:rsid w:val="00AC383E"/>
    <w:rsid w:val="00AC38B5"/>
    <w:rsid w:val="00AC38B7"/>
    <w:rsid w:val="00AC38D7"/>
    <w:rsid w:val="00AC3906"/>
    <w:rsid w:val="00AC39EA"/>
    <w:rsid w:val="00AC3A30"/>
    <w:rsid w:val="00AC3B40"/>
    <w:rsid w:val="00AC3B4C"/>
    <w:rsid w:val="00AC3B8D"/>
    <w:rsid w:val="00AC3BA8"/>
    <w:rsid w:val="00AC3C9D"/>
    <w:rsid w:val="00AC3DB1"/>
    <w:rsid w:val="00AC3E0A"/>
    <w:rsid w:val="00AC3E0F"/>
    <w:rsid w:val="00AC3EB7"/>
    <w:rsid w:val="00AC3EF0"/>
    <w:rsid w:val="00AC3F2F"/>
    <w:rsid w:val="00AC40C1"/>
    <w:rsid w:val="00AC44BE"/>
    <w:rsid w:val="00AC452E"/>
    <w:rsid w:val="00AC4566"/>
    <w:rsid w:val="00AC4606"/>
    <w:rsid w:val="00AC460C"/>
    <w:rsid w:val="00AC465F"/>
    <w:rsid w:val="00AC4687"/>
    <w:rsid w:val="00AC469F"/>
    <w:rsid w:val="00AC4751"/>
    <w:rsid w:val="00AC4889"/>
    <w:rsid w:val="00AC4938"/>
    <w:rsid w:val="00AC49C6"/>
    <w:rsid w:val="00AC49F6"/>
    <w:rsid w:val="00AC4A44"/>
    <w:rsid w:val="00AC4B16"/>
    <w:rsid w:val="00AC4B23"/>
    <w:rsid w:val="00AC4BBF"/>
    <w:rsid w:val="00AC4DFD"/>
    <w:rsid w:val="00AC4E09"/>
    <w:rsid w:val="00AC4F18"/>
    <w:rsid w:val="00AC4F74"/>
    <w:rsid w:val="00AC4F98"/>
    <w:rsid w:val="00AC4FAE"/>
    <w:rsid w:val="00AC5009"/>
    <w:rsid w:val="00AC506F"/>
    <w:rsid w:val="00AC50F8"/>
    <w:rsid w:val="00AC52A4"/>
    <w:rsid w:val="00AC53C5"/>
    <w:rsid w:val="00AC54B3"/>
    <w:rsid w:val="00AC5571"/>
    <w:rsid w:val="00AC565C"/>
    <w:rsid w:val="00AC5729"/>
    <w:rsid w:val="00AC573A"/>
    <w:rsid w:val="00AC574F"/>
    <w:rsid w:val="00AC57F2"/>
    <w:rsid w:val="00AC5AD4"/>
    <w:rsid w:val="00AC5BC5"/>
    <w:rsid w:val="00AC5D71"/>
    <w:rsid w:val="00AC5E60"/>
    <w:rsid w:val="00AC5E80"/>
    <w:rsid w:val="00AC5F9F"/>
    <w:rsid w:val="00AC5FB7"/>
    <w:rsid w:val="00AC5FFD"/>
    <w:rsid w:val="00AC6053"/>
    <w:rsid w:val="00AC609B"/>
    <w:rsid w:val="00AC60F2"/>
    <w:rsid w:val="00AC6562"/>
    <w:rsid w:val="00AC6661"/>
    <w:rsid w:val="00AC6721"/>
    <w:rsid w:val="00AC6733"/>
    <w:rsid w:val="00AC6799"/>
    <w:rsid w:val="00AC67B3"/>
    <w:rsid w:val="00AC6A36"/>
    <w:rsid w:val="00AC6ACF"/>
    <w:rsid w:val="00AC6B9C"/>
    <w:rsid w:val="00AC6BAD"/>
    <w:rsid w:val="00AC6C79"/>
    <w:rsid w:val="00AC6D86"/>
    <w:rsid w:val="00AC6DC3"/>
    <w:rsid w:val="00AC71F8"/>
    <w:rsid w:val="00AC73B5"/>
    <w:rsid w:val="00AC7488"/>
    <w:rsid w:val="00AC75D2"/>
    <w:rsid w:val="00AC75F2"/>
    <w:rsid w:val="00AC768E"/>
    <w:rsid w:val="00AC76DE"/>
    <w:rsid w:val="00AC770E"/>
    <w:rsid w:val="00AC7821"/>
    <w:rsid w:val="00AC7838"/>
    <w:rsid w:val="00AC78D8"/>
    <w:rsid w:val="00AC7B89"/>
    <w:rsid w:val="00AC7B93"/>
    <w:rsid w:val="00AC7D95"/>
    <w:rsid w:val="00AC7DA5"/>
    <w:rsid w:val="00AC7E1B"/>
    <w:rsid w:val="00AC7E79"/>
    <w:rsid w:val="00AC7F28"/>
    <w:rsid w:val="00AC7F64"/>
    <w:rsid w:val="00AC7FEF"/>
    <w:rsid w:val="00AD0001"/>
    <w:rsid w:val="00AD0069"/>
    <w:rsid w:val="00AD00F2"/>
    <w:rsid w:val="00AD01FD"/>
    <w:rsid w:val="00AD0243"/>
    <w:rsid w:val="00AD02F5"/>
    <w:rsid w:val="00AD0457"/>
    <w:rsid w:val="00AD04AA"/>
    <w:rsid w:val="00AD058E"/>
    <w:rsid w:val="00AD06C5"/>
    <w:rsid w:val="00AD082A"/>
    <w:rsid w:val="00AD0999"/>
    <w:rsid w:val="00AD09B3"/>
    <w:rsid w:val="00AD0AC5"/>
    <w:rsid w:val="00AD0B37"/>
    <w:rsid w:val="00AD0E1F"/>
    <w:rsid w:val="00AD0E45"/>
    <w:rsid w:val="00AD0E61"/>
    <w:rsid w:val="00AD0E71"/>
    <w:rsid w:val="00AD0E83"/>
    <w:rsid w:val="00AD0F2D"/>
    <w:rsid w:val="00AD0FA9"/>
    <w:rsid w:val="00AD106A"/>
    <w:rsid w:val="00AD1096"/>
    <w:rsid w:val="00AD12FD"/>
    <w:rsid w:val="00AD135B"/>
    <w:rsid w:val="00AD147F"/>
    <w:rsid w:val="00AD1614"/>
    <w:rsid w:val="00AD1681"/>
    <w:rsid w:val="00AD189E"/>
    <w:rsid w:val="00AD1B32"/>
    <w:rsid w:val="00AD1B5C"/>
    <w:rsid w:val="00AD1C16"/>
    <w:rsid w:val="00AD1C3D"/>
    <w:rsid w:val="00AD1CE6"/>
    <w:rsid w:val="00AD1D08"/>
    <w:rsid w:val="00AD1F19"/>
    <w:rsid w:val="00AD1F9F"/>
    <w:rsid w:val="00AD1FBF"/>
    <w:rsid w:val="00AD1FE4"/>
    <w:rsid w:val="00AD256D"/>
    <w:rsid w:val="00AD25A8"/>
    <w:rsid w:val="00AD2646"/>
    <w:rsid w:val="00AD27BC"/>
    <w:rsid w:val="00AD2837"/>
    <w:rsid w:val="00AD285E"/>
    <w:rsid w:val="00AD286F"/>
    <w:rsid w:val="00AD28C1"/>
    <w:rsid w:val="00AD29FE"/>
    <w:rsid w:val="00AD2A4B"/>
    <w:rsid w:val="00AD2A6B"/>
    <w:rsid w:val="00AD2AF3"/>
    <w:rsid w:val="00AD2B4F"/>
    <w:rsid w:val="00AD2B85"/>
    <w:rsid w:val="00AD2BA6"/>
    <w:rsid w:val="00AD2C36"/>
    <w:rsid w:val="00AD2C5B"/>
    <w:rsid w:val="00AD2CED"/>
    <w:rsid w:val="00AD2CF9"/>
    <w:rsid w:val="00AD2D1A"/>
    <w:rsid w:val="00AD2E1D"/>
    <w:rsid w:val="00AD2E3B"/>
    <w:rsid w:val="00AD2FAA"/>
    <w:rsid w:val="00AD305E"/>
    <w:rsid w:val="00AD3169"/>
    <w:rsid w:val="00AD31D5"/>
    <w:rsid w:val="00AD3382"/>
    <w:rsid w:val="00AD34D8"/>
    <w:rsid w:val="00AD361A"/>
    <w:rsid w:val="00AD379E"/>
    <w:rsid w:val="00AD37ED"/>
    <w:rsid w:val="00AD3A1D"/>
    <w:rsid w:val="00AD3B27"/>
    <w:rsid w:val="00AD3B45"/>
    <w:rsid w:val="00AD3BB4"/>
    <w:rsid w:val="00AD3C07"/>
    <w:rsid w:val="00AD3CEB"/>
    <w:rsid w:val="00AD3D24"/>
    <w:rsid w:val="00AD3D80"/>
    <w:rsid w:val="00AD3DAB"/>
    <w:rsid w:val="00AD3FDC"/>
    <w:rsid w:val="00AD40D1"/>
    <w:rsid w:val="00AD41F5"/>
    <w:rsid w:val="00AD423A"/>
    <w:rsid w:val="00AD4318"/>
    <w:rsid w:val="00AD438D"/>
    <w:rsid w:val="00AD457F"/>
    <w:rsid w:val="00AD46C9"/>
    <w:rsid w:val="00AD48D9"/>
    <w:rsid w:val="00AD4A79"/>
    <w:rsid w:val="00AD4AF4"/>
    <w:rsid w:val="00AD4C8E"/>
    <w:rsid w:val="00AD4D72"/>
    <w:rsid w:val="00AD4D92"/>
    <w:rsid w:val="00AD4E25"/>
    <w:rsid w:val="00AD4F77"/>
    <w:rsid w:val="00AD5088"/>
    <w:rsid w:val="00AD5141"/>
    <w:rsid w:val="00AD5163"/>
    <w:rsid w:val="00AD5297"/>
    <w:rsid w:val="00AD5354"/>
    <w:rsid w:val="00AD53DE"/>
    <w:rsid w:val="00AD5511"/>
    <w:rsid w:val="00AD5515"/>
    <w:rsid w:val="00AD5569"/>
    <w:rsid w:val="00AD5619"/>
    <w:rsid w:val="00AD566B"/>
    <w:rsid w:val="00AD56F6"/>
    <w:rsid w:val="00AD5712"/>
    <w:rsid w:val="00AD571F"/>
    <w:rsid w:val="00AD572A"/>
    <w:rsid w:val="00AD5769"/>
    <w:rsid w:val="00AD5867"/>
    <w:rsid w:val="00AD5938"/>
    <w:rsid w:val="00AD595E"/>
    <w:rsid w:val="00AD59F0"/>
    <w:rsid w:val="00AD5A4C"/>
    <w:rsid w:val="00AD5B32"/>
    <w:rsid w:val="00AD5BD7"/>
    <w:rsid w:val="00AD5BEE"/>
    <w:rsid w:val="00AD5C94"/>
    <w:rsid w:val="00AD5D7D"/>
    <w:rsid w:val="00AD5E5C"/>
    <w:rsid w:val="00AD5EC6"/>
    <w:rsid w:val="00AD5FDE"/>
    <w:rsid w:val="00AD6149"/>
    <w:rsid w:val="00AD6205"/>
    <w:rsid w:val="00AD629D"/>
    <w:rsid w:val="00AD62A1"/>
    <w:rsid w:val="00AD62F5"/>
    <w:rsid w:val="00AD63DC"/>
    <w:rsid w:val="00AD64DF"/>
    <w:rsid w:val="00AD64F7"/>
    <w:rsid w:val="00AD663F"/>
    <w:rsid w:val="00AD6678"/>
    <w:rsid w:val="00AD67A7"/>
    <w:rsid w:val="00AD67DF"/>
    <w:rsid w:val="00AD6979"/>
    <w:rsid w:val="00AD6A6E"/>
    <w:rsid w:val="00AD6C10"/>
    <w:rsid w:val="00AD6C5C"/>
    <w:rsid w:val="00AD6E44"/>
    <w:rsid w:val="00AD6FA0"/>
    <w:rsid w:val="00AD6FB5"/>
    <w:rsid w:val="00AD703D"/>
    <w:rsid w:val="00AD7132"/>
    <w:rsid w:val="00AD7154"/>
    <w:rsid w:val="00AD728E"/>
    <w:rsid w:val="00AD7356"/>
    <w:rsid w:val="00AD73C4"/>
    <w:rsid w:val="00AD74E0"/>
    <w:rsid w:val="00AD7668"/>
    <w:rsid w:val="00AD76D8"/>
    <w:rsid w:val="00AD7716"/>
    <w:rsid w:val="00AD7748"/>
    <w:rsid w:val="00AD7891"/>
    <w:rsid w:val="00AD7915"/>
    <w:rsid w:val="00AD792C"/>
    <w:rsid w:val="00AD79E0"/>
    <w:rsid w:val="00AD7AE3"/>
    <w:rsid w:val="00AD7B70"/>
    <w:rsid w:val="00AD7DBC"/>
    <w:rsid w:val="00AD7DDE"/>
    <w:rsid w:val="00AD7EB5"/>
    <w:rsid w:val="00AD7F29"/>
    <w:rsid w:val="00AD7F2A"/>
    <w:rsid w:val="00AE0024"/>
    <w:rsid w:val="00AE0051"/>
    <w:rsid w:val="00AE010C"/>
    <w:rsid w:val="00AE0129"/>
    <w:rsid w:val="00AE0297"/>
    <w:rsid w:val="00AE02C3"/>
    <w:rsid w:val="00AE0369"/>
    <w:rsid w:val="00AE0439"/>
    <w:rsid w:val="00AE043A"/>
    <w:rsid w:val="00AE0466"/>
    <w:rsid w:val="00AE0517"/>
    <w:rsid w:val="00AE054A"/>
    <w:rsid w:val="00AE069C"/>
    <w:rsid w:val="00AE06C8"/>
    <w:rsid w:val="00AE09E5"/>
    <w:rsid w:val="00AE0AC9"/>
    <w:rsid w:val="00AE0C3C"/>
    <w:rsid w:val="00AE0C76"/>
    <w:rsid w:val="00AE0DEF"/>
    <w:rsid w:val="00AE0E28"/>
    <w:rsid w:val="00AE0E60"/>
    <w:rsid w:val="00AE0ED3"/>
    <w:rsid w:val="00AE0F01"/>
    <w:rsid w:val="00AE0F18"/>
    <w:rsid w:val="00AE0FF8"/>
    <w:rsid w:val="00AE1095"/>
    <w:rsid w:val="00AE1245"/>
    <w:rsid w:val="00AE1358"/>
    <w:rsid w:val="00AE1568"/>
    <w:rsid w:val="00AE15C2"/>
    <w:rsid w:val="00AE15F1"/>
    <w:rsid w:val="00AE1637"/>
    <w:rsid w:val="00AE163B"/>
    <w:rsid w:val="00AE1825"/>
    <w:rsid w:val="00AE18E5"/>
    <w:rsid w:val="00AE1A27"/>
    <w:rsid w:val="00AE1B08"/>
    <w:rsid w:val="00AE1B55"/>
    <w:rsid w:val="00AE1B80"/>
    <w:rsid w:val="00AE1C46"/>
    <w:rsid w:val="00AE1F7B"/>
    <w:rsid w:val="00AE2014"/>
    <w:rsid w:val="00AE214D"/>
    <w:rsid w:val="00AE21DB"/>
    <w:rsid w:val="00AE2360"/>
    <w:rsid w:val="00AE24C9"/>
    <w:rsid w:val="00AE2738"/>
    <w:rsid w:val="00AE278C"/>
    <w:rsid w:val="00AE27B9"/>
    <w:rsid w:val="00AE29EE"/>
    <w:rsid w:val="00AE29F9"/>
    <w:rsid w:val="00AE2A29"/>
    <w:rsid w:val="00AE2A4F"/>
    <w:rsid w:val="00AE2A8A"/>
    <w:rsid w:val="00AE2AB3"/>
    <w:rsid w:val="00AE2AD6"/>
    <w:rsid w:val="00AE2B99"/>
    <w:rsid w:val="00AE2CC4"/>
    <w:rsid w:val="00AE2D82"/>
    <w:rsid w:val="00AE2F45"/>
    <w:rsid w:val="00AE318D"/>
    <w:rsid w:val="00AE324E"/>
    <w:rsid w:val="00AE339E"/>
    <w:rsid w:val="00AE3446"/>
    <w:rsid w:val="00AE344A"/>
    <w:rsid w:val="00AE35A6"/>
    <w:rsid w:val="00AE35C5"/>
    <w:rsid w:val="00AE35C9"/>
    <w:rsid w:val="00AE369D"/>
    <w:rsid w:val="00AE37A0"/>
    <w:rsid w:val="00AE3A48"/>
    <w:rsid w:val="00AE3AA6"/>
    <w:rsid w:val="00AE3B8E"/>
    <w:rsid w:val="00AE3CD3"/>
    <w:rsid w:val="00AE3CE2"/>
    <w:rsid w:val="00AE3D7F"/>
    <w:rsid w:val="00AE3E2F"/>
    <w:rsid w:val="00AE3E49"/>
    <w:rsid w:val="00AE3E71"/>
    <w:rsid w:val="00AE3F00"/>
    <w:rsid w:val="00AE3F76"/>
    <w:rsid w:val="00AE427E"/>
    <w:rsid w:val="00AE42A8"/>
    <w:rsid w:val="00AE441E"/>
    <w:rsid w:val="00AE4678"/>
    <w:rsid w:val="00AE4763"/>
    <w:rsid w:val="00AE48D3"/>
    <w:rsid w:val="00AE48EE"/>
    <w:rsid w:val="00AE49D2"/>
    <w:rsid w:val="00AE49FB"/>
    <w:rsid w:val="00AE4A1A"/>
    <w:rsid w:val="00AE4BA6"/>
    <w:rsid w:val="00AE4CE6"/>
    <w:rsid w:val="00AE4CFE"/>
    <w:rsid w:val="00AE4D02"/>
    <w:rsid w:val="00AE4D50"/>
    <w:rsid w:val="00AE4D96"/>
    <w:rsid w:val="00AE4DD6"/>
    <w:rsid w:val="00AE4EA9"/>
    <w:rsid w:val="00AE4EBD"/>
    <w:rsid w:val="00AE4EE4"/>
    <w:rsid w:val="00AE5093"/>
    <w:rsid w:val="00AE5207"/>
    <w:rsid w:val="00AE523C"/>
    <w:rsid w:val="00AE5277"/>
    <w:rsid w:val="00AE52D2"/>
    <w:rsid w:val="00AE5504"/>
    <w:rsid w:val="00AE556E"/>
    <w:rsid w:val="00AE5860"/>
    <w:rsid w:val="00AE59A2"/>
    <w:rsid w:val="00AE59D9"/>
    <w:rsid w:val="00AE5B2A"/>
    <w:rsid w:val="00AE5B68"/>
    <w:rsid w:val="00AE5D38"/>
    <w:rsid w:val="00AE5D4B"/>
    <w:rsid w:val="00AE5D74"/>
    <w:rsid w:val="00AE5D9C"/>
    <w:rsid w:val="00AE5E45"/>
    <w:rsid w:val="00AE5ECE"/>
    <w:rsid w:val="00AE5F04"/>
    <w:rsid w:val="00AE5F2F"/>
    <w:rsid w:val="00AE5F9F"/>
    <w:rsid w:val="00AE61AE"/>
    <w:rsid w:val="00AE62AE"/>
    <w:rsid w:val="00AE633E"/>
    <w:rsid w:val="00AE6412"/>
    <w:rsid w:val="00AE649B"/>
    <w:rsid w:val="00AE65FA"/>
    <w:rsid w:val="00AE6AFB"/>
    <w:rsid w:val="00AE6B1A"/>
    <w:rsid w:val="00AE6BAB"/>
    <w:rsid w:val="00AE6BD6"/>
    <w:rsid w:val="00AE6C93"/>
    <w:rsid w:val="00AE6CEF"/>
    <w:rsid w:val="00AE6D14"/>
    <w:rsid w:val="00AE6F49"/>
    <w:rsid w:val="00AE6FC0"/>
    <w:rsid w:val="00AE701C"/>
    <w:rsid w:val="00AE70AA"/>
    <w:rsid w:val="00AE7167"/>
    <w:rsid w:val="00AE716D"/>
    <w:rsid w:val="00AE73B7"/>
    <w:rsid w:val="00AE7473"/>
    <w:rsid w:val="00AE7691"/>
    <w:rsid w:val="00AE76D1"/>
    <w:rsid w:val="00AE7A10"/>
    <w:rsid w:val="00AE7BB7"/>
    <w:rsid w:val="00AE7C9E"/>
    <w:rsid w:val="00AE7CF8"/>
    <w:rsid w:val="00AE7E61"/>
    <w:rsid w:val="00AE7E71"/>
    <w:rsid w:val="00AE7EDE"/>
    <w:rsid w:val="00AE7F29"/>
    <w:rsid w:val="00AE7FDF"/>
    <w:rsid w:val="00AF0156"/>
    <w:rsid w:val="00AF01AC"/>
    <w:rsid w:val="00AF01F3"/>
    <w:rsid w:val="00AF0238"/>
    <w:rsid w:val="00AF034A"/>
    <w:rsid w:val="00AF03C2"/>
    <w:rsid w:val="00AF0409"/>
    <w:rsid w:val="00AF0494"/>
    <w:rsid w:val="00AF04AA"/>
    <w:rsid w:val="00AF04C6"/>
    <w:rsid w:val="00AF0502"/>
    <w:rsid w:val="00AF0529"/>
    <w:rsid w:val="00AF06A3"/>
    <w:rsid w:val="00AF07D5"/>
    <w:rsid w:val="00AF08B8"/>
    <w:rsid w:val="00AF0A47"/>
    <w:rsid w:val="00AF0AFC"/>
    <w:rsid w:val="00AF0CF0"/>
    <w:rsid w:val="00AF0D36"/>
    <w:rsid w:val="00AF0DED"/>
    <w:rsid w:val="00AF0EEC"/>
    <w:rsid w:val="00AF0FF1"/>
    <w:rsid w:val="00AF100B"/>
    <w:rsid w:val="00AF109D"/>
    <w:rsid w:val="00AF1131"/>
    <w:rsid w:val="00AF1319"/>
    <w:rsid w:val="00AF132A"/>
    <w:rsid w:val="00AF138E"/>
    <w:rsid w:val="00AF144B"/>
    <w:rsid w:val="00AF171F"/>
    <w:rsid w:val="00AF1724"/>
    <w:rsid w:val="00AF1744"/>
    <w:rsid w:val="00AF1747"/>
    <w:rsid w:val="00AF1789"/>
    <w:rsid w:val="00AF17FC"/>
    <w:rsid w:val="00AF1858"/>
    <w:rsid w:val="00AF186F"/>
    <w:rsid w:val="00AF18D8"/>
    <w:rsid w:val="00AF1916"/>
    <w:rsid w:val="00AF1952"/>
    <w:rsid w:val="00AF1A17"/>
    <w:rsid w:val="00AF1B8A"/>
    <w:rsid w:val="00AF1C13"/>
    <w:rsid w:val="00AF1C73"/>
    <w:rsid w:val="00AF1D1D"/>
    <w:rsid w:val="00AF1D2A"/>
    <w:rsid w:val="00AF1D71"/>
    <w:rsid w:val="00AF1D82"/>
    <w:rsid w:val="00AF1E93"/>
    <w:rsid w:val="00AF212D"/>
    <w:rsid w:val="00AF219D"/>
    <w:rsid w:val="00AF2322"/>
    <w:rsid w:val="00AF2366"/>
    <w:rsid w:val="00AF23B8"/>
    <w:rsid w:val="00AF24F5"/>
    <w:rsid w:val="00AF273D"/>
    <w:rsid w:val="00AF2765"/>
    <w:rsid w:val="00AF2809"/>
    <w:rsid w:val="00AF28E1"/>
    <w:rsid w:val="00AF2920"/>
    <w:rsid w:val="00AF2A9D"/>
    <w:rsid w:val="00AF2B52"/>
    <w:rsid w:val="00AF2BBA"/>
    <w:rsid w:val="00AF2C31"/>
    <w:rsid w:val="00AF2E1C"/>
    <w:rsid w:val="00AF2E31"/>
    <w:rsid w:val="00AF2E9B"/>
    <w:rsid w:val="00AF2FB8"/>
    <w:rsid w:val="00AF3054"/>
    <w:rsid w:val="00AF3169"/>
    <w:rsid w:val="00AF35DA"/>
    <w:rsid w:val="00AF37DC"/>
    <w:rsid w:val="00AF37FA"/>
    <w:rsid w:val="00AF38D7"/>
    <w:rsid w:val="00AF3A13"/>
    <w:rsid w:val="00AF3A45"/>
    <w:rsid w:val="00AF3AC4"/>
    <w:rsid w:val="00AF3B79"/>
    <w:rsid w:val="00AF3BE5"/>
    <w:rsid w:val="00AF3C35"/>
    <w:rsid w:val="00AF3C5D"/>
    <w:rsid w:val="00AF3CB3"/>
    <w:rsid w:val="00AF3E46"/>
    <w:rsid w:val="00AF3FFE"/>
    <w:rsid w:val="00AF40A8"/>
    <w:rsid w:val="00AF40F8"/>
    <w:rsid w:val="00AF42DE"/>
    <w:rsid w:val="00AF4438"/>
    <w:rsid w:val="00AF4476"/>
    <w:rsid w:val="00AF4673"/>
    <w:rsid w:val="00AF481B"/>
    <w:rsid w:val="00AF4A9C"/>
    <w:rsid w:val="00AF4B91"/>
    <w:rsid w:val="00AF4C57"/>
    <w:rsid w:val="00AF4D4E"/>
    <w:rsid w:val="00AF4D61"/>
    <w:rsid w:val="00AF4E51"/>
    <w:rsid w:val="00AF4E8A"/>
    <w:rsid w:val="00AF502E"/>
    <w:rsid w:val="00AF514E"/>
    <w:rsid w:val="00AF5151"/>
    <w:rsid w:val="00AF5219"/>
    <w:rsid w:val="00AF528A"/>
    <w:rsid w:val="00AF5419"/>
    <w:rsid w:val="00AF554F"/>
    <w:rsid w:val="00AF5574"/>
    <w:rsid w:val="00AF557B"/>
    <w:rsid w:val="00AF569A"/>
    <w:rsid w:val="00AF56F7"/>
    <w:rsid w:val="00AF5763"/>
    <w:rsid w:val="00AF594B"/>
    <w:rsid w:val="00AF59D6"/>
    <w:rsid w:val="00AF5A6E"/>
    <w:rsid w:val="00AF5A93"/>
    <w:rsid w:val="00AF5B08"/>
    <w:rsid w:val="00AF5B20"/>
    <w:rsid w:val="00AF5C52"/>
    <w:rsid w:val="00AF5DA2"/>
    <w:rsid w:val="00AF5E8E"/>
    <w:rsid w:val="00AF5E90"/>
    <w:rsid w:val="00AF5F12"/>
    <w:rsid w:val="00AF5F3B"/>
    <w:rsid w:val="00AF5FF0"/>
    <w:rsid w:val="00AF601D"/>
    <w:rsid w:val="00AF608B"/>
    <w:rsid w:val="00AF613A"/>
    <w:rsid w:val="00AF630D"/>
    <w:rsid w:val="00AF632C"/>
    <w:rsid w:val="00AF6366"/>
    <w:rsid w:val="00AF644C"/>
    <w:rsid w:val="00AF64F6"/>
    <w:rsid w:val="00AF650B"/>
    <w:rsid w:val="00AF666A"/>
    <w:rsid w:val="00AF66C4"/>
    <w:rsid w:val="00AF6790"/>
    <w:rsid w:val="00AF67C0"/>
    <w:rsid w:val="00AF67F5"/>
    <w:rsid w:val="00AF6912"/>
    <w:rsid w:val="00AF6BEF"/>
    <w:rsid w:val="00AF6C3C"/>
    <w:rsid w:val="00AF6E0F"/>
    <w:rsid w:val="00AF6F35"/>
    <w:rsid w:val="00AF6F44"/>
    <w:rsid w:val="00AF7003"/>
    <w:rsid w:val="00AF7177"/>
    <w:rsid w:val="00AF717B"/>
    <w:rsid w:val="00AF71A2"/>
    <w:rsid w:val="00AF7236"/>
    <w:rsid w:val="00AF7294"/>
    <w:rsid w:val="00AF740C"/>
    <w:rsid w:val="00AF7446"/>
    <w:rsid w:val="00AF7490"/>
    <w:rsid w:val="00AF75AC"/>
    <w:rsid w:val="00AF77F0"/>
    <w:rsid w:val="00AF78F2"/>
    <w:rsid w:val="00AF7900"/>
    <w:rsid w:val="00AF791E"/>
    <w:rsid w:val="00AF791F"/>
    <w:rsid w:val="00AF7A9F"/>
    <w:rsid w:val="00AF7B45"/>
    <w:rsid w:val="00AF7B84"/>
    <w:rsid w:val="00AF7B95"/>
    <w:rsid w:val="00AF7C42"/>
    <w:rsid w:val="00AF7C85"/>
    <w:rsid w:val="00AF7D0D"/>
    <w:rsid w:val="00AF7DDB"/>
    <w:rsid w:val="00AF7E61"/>
    <w:rsid w:val="00AF7EBE"/>
    <w:rsid w:val="00AF7EF5"/>
    <w:rsid w:val="00AF7F38"/>
    <w:rsid w:val="00B00028"/>
    <w:rsid w:val="00B000EC"/>
    <w:rsid w:val="00B00199"/>
    <w:rsid w:val="00B00354"/>
    <w:rsid w:val="00B0035E"/>
    <w:rsid w:val="00B0038A"/>
    <w:rsid w:val="00B00395"/>
    <w:rsid w:val="00B004CC"/>
    <w:rsid w:val="00B0056F"/>
    <w:rsid w:val="00B006BB"/>
    <w:rsid w:val="00B006DE"/>
    <w:rsid w:val="00B007FC"/>
    <w:rsid w:val="00B00806"/>
    <w:rsid w:val="00B009AC"/>
    <w:rsid w:val="00B00A4F"/>
    <w:rsid w:val="00B00ABD"/>
    <w:rsid w:val="00B00C03"/>
    <w:rsid w:val="00B00C0F"/>
    <w:rsid w:val="00B00CD7"/>
    <w:rsid w:val="00B00D15"/>
    <w:rsid w:val="00B00DA3"/>
    <w:rsid w:val="00B00EE3"/>
    <w:rsid w:val="00B0108F"/>
    <w:rsid w:val="00B010CD"/>
    <w:rsid w:val="00B010DE"/>
    <w:rsid w:val="00B011C9"/>
    <w:rsid w:val="00B0149C"/>
    <w:rsid w:val="00B01578"/>
    <w:rsid w:val="00B0163C"/>
    <w:rsid w:val="00B0169A"/>
    <w:rsid w:val="00B01714"/>
    <w:rsid w:val="00B0173C"/>
    <w:rsid w:val="00B0181B"/>
    <w:rsid w:val="00B01920"/>
    <w:rsid w:val="00B019B3"/>
    <w:rsid w:val="00B019F8"/>
    <w:rsid w:val="00B01AB2"/>
    <w:rsid w:val="00B01B23"/>
    <w:rsid w:val="00B01C0E"/>
    <w:rsid w:val="00B01D7C"/>
    <w:rsid w:val="00B01DD0"/>
    <w:rsid w:val="00B01DFC"/>
    <w:rsid w:val="00B01E18"/>
    <w:rsid w:val="00B020B8"/>
    <w:rsid w:val="00B023A9"/>
    <w:rsid w:val="00B023B7"/>
    <w:rsid w:val="00B023E2"/>
    <w:rsid w:val="00B02478"/>
    <w:rsid w:val="00B0248D"/>
    <w:rsid w:val="00B024E5"/>
    <w:rsid w:val="00B02561"/>
    <w:rsid w:val="00B02569"/>
    <w:rsid w:val="00B02571"/>
    <w:rsid w:val="00B025C9"/>
    <w:rsid w:val="00B0272F"/>
    <w:rsid w:val="00B02739"/>
    <w:rsid w:val="00B0276A"/>
    <w:rsid w:val="00B02796"/>
    <w:rsid w:val="00B0280C"/>
    <w:rsid w:val="00B02A2C"/>
    <w:rsid w:val="00B02BBC"/>
    <w:rsid w:val="00B02BCB"/>
    <w:rsid w:val="00B02CDE"/>
    <w:rsid w:val="00B02DD0"/>
    <w:rsid w:val="00B02E20"/>
    <w:rsid w:val="00B02EF1"/>
    <w:rsid w:val="00B02F29"/>
    <w:rsid w:val="00B0305C"/>
    <w:rsid w:val="00B0308B"/>
    <w:rsid w:val="00B030B7"/>
    <w:rsid w:val="00B030D1"/>
    <w:rsid w:val="00B033AB"/>
    <w:rsid w:val="00B0352C"/>
    <w:rsid w:val="00B03581"/>
    <w:rsid w:val="00B0365F"/>
    <w:rsid w:val="00B03669"/>
    <w:rsid w:val="00B036BB"/>
    <w:rsid w:val="00B03772"/>
    <w:rsid w:val="00B03797"/>
    <w:rsid w:val="00B037E5"/>
    <w:rsid w:val="00B03A96"/>
    <w:rsid w:val="00B03AF8"/>
    <w:rsid w:val="00B03D9C"/>
    <w:rsid w:val="00B03E18"/>
    <w:rsid w:val="00B03E3C"/>
    <w:rsid w:val="00B03E56"/>
    <w:rsid w:val="00B03E95"/>
    <w:rsid w:val="00B03FA9"/>
    <w:rsid w:val="00B04386"/>
    <w:rsid w:val="00B045E7"/>
    <w:rsid w:val="00B04656"/>
    <w:rsid w:val="00B0489A"/>
    <w:rsid w:val="00B049B9"/>
    <w:rsid w:val="00B049FF"/>
    <w:rsid w:val="00B04A14"/>
    <w:rsid w:val="00B04A6B"/>
    <w:rsid w:val="00B04A82"/>
    <w:rsid w:val="00B04F71"/>
    <w:rsid w:val="00B05018"/>
    <w:rsid w:val="00B050D2"/>
    <w:rsid w:val="00B0514E"/>
    <w:rsid w:val="00B051C0"/>
    <w:rsid w:val="00B052BB"/>
    <w:rsid w:val="00B05403"/>
    <w:rsid w:val="00B05581"/>
    <w:rsid w:val="00B055A8"/>
    <w:rsid w:val="00B055E4"/>
    <w:rsid w:val="00B056BD"/>
    <w:rsid w:val="00B056D2"/>
    <w:rsid w:val="00B0580D"/>
    <w:rsid w:val="00B059CD"/>
    <w:rsid w:val="00B05A0D"/>
    <w:rsid w:val="00B05CC6"/>
    <w:rsid w:val="00B05CE9"/>
    <w:rsid w:val="00B05E72"/>
    <w:rsid w:val="00B0605D"/>
    <w:rsid w:val="00B06060"/>
    <w:rsid w:val="00B061D7"/>
    <w:rsid w:val="00B06208"/>
    <w:rsid w:val="00B06318"/>
    <w:rsid w:val="00B06326"/>
    <w:rsid w:val="00B063A2"/>
    <w:rsid w:val="00B0642F"/>
    <w:rsid w:val="00B0647C"/>
    <w:rsid w:val="00B06537"/>
    <w:rsid w:val="00B06587"/>
    <w:rsid w:val="00B0659A"/>
    <w:rsid w:val="00B0669B"/>
    <w:rsid w:val="00B06796"/>
    <w:rsid w:val="00B06814"/>
    <w:rsid w:val="00B06820"/>
    <w:rsid w:val="00B068AC"/>
    <w:rsid w:val="00B069F1"/>
    <w:rsid w:val="00B06A9A"/>
    <w:rsid w:val="00B06A9E"/>
    <w:rsid w:val="00B06AC2"/>
    <w:rsid w:val="00B06C95"/>
    <w:rsid w:val="00B06E31"/>
    <w:rsid w:val="00B06E68"/>
    <w:rsid w:val="00B06E8A"/>
    <w:rsid w:val="00B07066"/>
    <w:rsid w:val="00B070B7"/>
    <w:rsid w:val="00B071FB"/>
    <w:rsid w:val="00B0728D"/>
    <w:rsid w:val="00B072FA"/>
    <w:rsid w:val="00B072FF"/>
    <w:rsid w:val="00B07391"/>
    <w:rsid w:val="00B073FF"/>
    <w:rsid w:val="00B07417"/>
    <w:rsid w:val="00B0742F"/>
    <w:rsid w:val="00B074B0"/>
    <w:rsid w:val="00B074BC"/>
    <w:rsid w:val="00B074D4"/>
    <w:rsid w:val="00B074D6"/>
    <w:rsid w:val="00B07547"/>
    <w:rsid w:val="00B07639"/>
    <w:rsid w:val="00B076DC"/>
    <w:rsid w:val="00B07721"/>
    <w:rsid w:val="00B07743"/>
    <w:rsid w:val="00B0774E"/>
    <w:rsid w:val="00B07771"/>
    <w:rsid w:val="00B07868"/>
    <w:rsid w:val="00B078E9"/>
    <w:rsid w:val="00B0799D"/>
    <w:rsid w:val="00B07A4F"/>
    <w:rsid w:val="00B07ADA"/>
    <w:rsid w:val="00B07BDF"/>
    <w:rsid w:val="00B07C47"/>
    <w:rsid w:val="00B07C54"/>
    <w:rsid w:val="00B07C71"/>
    <w:rsid w:val="00B07CFB"/>
    <w:rsid w:val="00B07D60"/>
    <w:rsid w:val="00B07E77"/>
    <w:rsid w:val="00B10002"/>
    <w:rsid w:val="00B100E2"/>
    <w:rsid w:val="00B101DE"/>
    <w:rsid w:val="00B10258"/>
    <w:rsid w:val="00B1025D"/>
    <w:rsid w:val="00B10307"/>
    <w:rsid w:val="00B103B8"/>
    <w:rsid w:val="00B104E0"/>
    <w:rsid w:val="00B105EA"/>
    <w:rsid w:val="00B10689"/>
    <w:rsid w:val="00B106D4"/>
    <w:rsid w:val="00B106FC"/>
    <w:rsid w:val="00B108AE"/>
    <w:rsid w:val="00B10920"/>
    <w:rsid w:val="00B109CF"/>
    <w:rsid w:val="00B109EF"/>
    <w:rsid w:val="00B10AE1"/>
    <w:rsid w:val="00B10CAC"/>
    <w:rsid w:val="00B10CB2"/>
    <w:rsid w:val="00B10CD0"/>
    <w:rsid w:val="00B10DA8"/>
    <w:rsid w:val="00B10EA8"/>
    <w:rsid w:val="00B10ED8"/>
    <w:rsid w:val="00B10F31"/>
    <w:rsid w:val="00B110D8"/>
    <w:rsid w:val="00B112FF"/>
    <w:rsid w:val="00B1137B"/>
    <w:rsid w:val="00B113BC"/>
    <w:rsid w:val="00B11402"/>
    <w:rsid w:val="00B11701"/>
    <w:rsid w:val="00B11804"/>
    <w:rsid w:val="00B118CC"/>
    <w:rsid w:val="00B118F6"/>
    <w:rsid w:val="00B11912"/>
    <w:rsid w:val="00B1194C"/>
    <w:rsid w:val="00B11A8D"/>
    <w:rsid w:val="00B11B79"/>
    <w:rsid w:val="00B11B8E"/>
    <w:rsid w:val="00B11DE7"/>
    <w:rsid w:val="00B11F82"/>
    <w:rsid w:val="00B1217A"/>
    <w:rsid w:val="00B12196"/>
    <w:rsid w:val="00B1222B"/>
    <w:rsid w:val="00B12299"/>
    <w:rsid w:val="00B122F9"/>
    <w:rsid w:val="00B1236A"/>
    <w:rsid w:val="00B123D7"/>
    <w:rsid w:val="00B1247F"/>
    <w:rsid w:val="00B124E7"/>
    <w:rsid w:val="00B12536"/>
    <w:rsid w:val="00B125A5"/>
    <w:rsid w:val="00B125F3"/>
    <w:rsid w:val="00B12631"/>
    <w:rsid w:val="00B12678"/>
    <w:rsid w:val="00B12790"/>
    <w:rsid w:val="00B127D1"/>
    <w:rsid w:val="00B1281F"/>
    <w:rsid w:val="00B12872"/>
    <w:rsid w:val="00B12887"/>
    <w:rsid w:val="00B12949"/>
    <w:rsid w:val="00B12A17"/>
    <w:rsid w:val="00B12A1D"/>
    <w:rsid w:val="00B12B55"/>
    <w:rsid w:val="00B12EC1"/>
    <w:rsid w:val="00B12F12"/>
    <w:rsid w:val="00B12F67"/>
    <w:rsid w:val="00B12FF0"/>
    <w:rsid w:val="00B1300B"/>
    <w:rsid w:val="00B130B0"/>
    <w:rsid w:val="00B1310B"/>
    <w:rsid w:val="00B1321E"/>
    <w:rsid w:val="00B13229"/>
    <w:rsid w:val="00B1322F"/>
    <w:rsid w:val="00B132D6"/>
    <w:rsid w:val="00B132F5"/>
    <w:rsid w:val="00B13338"/>
    <w:rsid w:val="00B133D5"/>
    <w:rsid w:val="00B133EC"/>
    <w:rsid w:val="00B13466"/>
    <w:rsid w:val="00B134E2"/>
    <w:rsid w:val="00B135A7"/>
    <w:rsid w:val="00B13635"/>
    <w:rsid w:val="00B1372B"/>
    <w:rsid w:val="00B13993"/>
    <w:rsid w:val="00B139E4"/>
    <w:rsid w:val="00B13A92"/>
    <w:rsid w:val="00B13BCC"/>
    <w:rsid w:val="00B13D66"/>
    <w:rsid w:val="00B13F0C"/>
    <w:rsid w:val="00B13FF3"/>
    <w:rsid w:val="00B1406B"/>
    <w:rsid w:val="00B14114"/>
    <w:rsid w:val="00B141CF"/>
    <w:rsid w:val="00B141F5"/>
    <w:rsid w:val="00B14246"/>
    <w:rsid w:val="00B14281"/>
    <w:rsid w:val="00B14436"/>
    <w:rsid w:val="00B1449D"/>
    <w:rsid w:val="00B1452D"/>
    <w:rsid w:val="00B1456C"/>
    <w:rsid w:val="00B1460F"/>
    <w:rsid w:val="00B1467A"/>
    <w:rsid w:val="00B147CF"/>
    <w:rsid w:val="00B14835"/>
    <w:rsid w:val="00B1492B"/>
    <w:rsid w:val="00B149A9"/>
    <w:rsid w:val="00B14AAF"/>
    <w:rsid w:val="00B14AC6"/>
    <w:rsid w:val="00B14BE4"/>
    <w:rsid w:val="00B14CA0"/>
    <w:rsid w:val="00B14CEC"/>
    <w:rsid w:val="00B14DE8"/>
    <w:rsid w:val="00B14E16"/>
    <w:rsid w:val="00B14E4C"/>
    <w:rsid w:val="00B14EE4"/>
    <w:rsid w:val="00B14F2F"/>
    <w:rsid w:val="00B1523D"/>
    <w:rsid w:val="00B15283"/>
    <w:rsid w:val="00B152B7"/>
    <w:rsid w:val="00B153CD"/>
    <w:rsid w:val="00B15478"/>
    <w:rsid w:val="00B15542"/>
    <w:rsid w:val="00B15588"/>
    <w:rsid w:val="00B15632"/>
    <w:rsid w:val="00B156F3"/>
    <w:rsid w:val="00B1571F"/>
    <w:rsid w:val="00B15773"/>
    <w:rsid w:val="00B15807"/>
    <w:rsid w:val="00B158F3"/>
    <w:rsid w:val="00B15988"/>
    <w:rsid w:val="00B15989"/>
    <w:rsid w:val="00B15AAF"/>
    <w:rsid w:val="00B15AD3"/>
    <w:rsid w:val="00B15B49"/>
    <w:rsid w:val="00B15C66"/>
    <w:rsid w:val="00B15CF7"/>
    <w:rsid w:val="00B15E4A"/>
    <w:rsid w:val="00B1613F"/>
    <w:rsid w:val="00B16182"/>
    <w:rsid w:val="00B161BD"/>
    <w:rsid w:val="00B161DE"/>
    <w:rsid w:val="00B16203"/>
    <w:rsid w:val="00B1620D"/>
    <w:rsid w:val="00B163B0"/>
    <w:rsid w:val="00B163C6"/>
    <w:rsid w:val="00B163CF"/>
    <w:rsid w:val="00B163F7"/>
    <w:rsid w:val="00B1659A"/>
    <w:rsid w:val="00B16616"/>
    <w:rsid w:val="00B1687D"/>
    <w:rsid w:val="00B1699E"/>
    <w:rsid w:val="00B16AFA"/>
    <w:rsid w:val="00B16B70"/>
    <w:rsid w:val="00B16C51"/>
    <w:rsid w:val="00B16C5F"/>
    <w:rsid w:val="00B16DE8"/>
    <w:rsid w:val="00B17032"/>
    <w:rsid w:val="00B17041"/>
    <w:rsid w:val="00B17064"/>
    <w:rsid w:val="00B1709C"/>
    <w:rsid w:val="00B170C5"/>
    <w:rsid w:val="00B170D6"/>
    <w:rsid w:val="00B17150"/>
    <w:rsid w:val="00B171AA"/>
    <w:rsid w:val="00B171E0"/>
    <w:rsid w:val="00B171EF"/>
    <w:rsid w:val="00B17322"/>
    <w:rsid w:val="00B1746E"/>
    <w:rsid w:val="00B17471"/>
    <w:rsid w:val="00B176F3"/>
    <w:rsid w:val="00B17759"/>
    <w:rsid w:val="00B1779A"/>
    <w:rsid w:val="00B17860"/>
    <w:rsid w:val="00B17912"/>
    <w:rsid w:val="00B17965"/>
    <w:rsid w:val="00B1799F"/>
    <w:rsid w:val="00B179A3"/>
    <w:rsid w:val="00B17A4A"/>
    <w:rsid w:val="00B17B13"/>
    <w:rsid w:val="00B17B75"/>
    <w:rsid w:val="00B17B8C"/>
    <w:rsid w:val="00B17BB6"/>
    <w:rsid w:val="00B17BFF"/>
    <w:rsid w:val="00B17C32"/>
    <w:rsid w:val="00B17C62"/>
    <w:rsid w:val="00B17D7C"/>
    <w:rsid w:val="00B17DAA"/>
    <w:rsid w:val="00B17EBA"/>
    <w:rsid w:val="00B17EDD"/>
    <w:rsid w:val="00B17EE7"/>
    <w:rsid w:val="00B17FF6"/>
    <w:rsid w:val="00B20132"/>
    <w:rsid w:val="00B20210"/>
    <w:rsid w:val="00B2026D"/>
    <w:rsid w:val="00B20457"/>
    <w:rsid w:val="00B20631"/>
    <w:rsid w:val="00B20665"/>
    <w:rsid w:val="00B20965"/>
    <w:rsid w:val="00B2096A"/>
    <w:rsid w:val="00B209C1"/>
    <w:rsid w:val="00B20A44"/>
    <w:rsid w:val="00B20A68"/>
    <w:rsid w:val="00B20A87"/>
    <w:rsid w:val="00B20AA4"/>
    <w:rsid w:val="00B20B18"/>
    <w:rsid w:val="00B20CDB"/>
    <w:rsid w:val="00B20D06"/>
    <w:rsid w:val="00B20FEC"/>
    <w:rsid w:val="00B21013"/>
    <w:rsid w:val="00B2114A"/>
    <w:rsid w:val="00B211CF"/>
    <w:rsid w:val="00B212F0"/>
    <w:rsid w:val="00B21405"/>
    <w:rsid w:val="00B21422"/>
    <w:rsid w:val="00B2142E"/>
    <w:rsid w:val="00B214A7"/>
    <w:rsid w:val="00B214E3"/>
    <w:rsid w:val="00B2156E"/>
    <w:rsid w:val="00B21597"/>
    <w:rsid w:val="00B215C1"/>
    <w:rsid w:val="00B216A3"/>
    <w:rsid w:val="00B21A5B"/>
    <w:rsid w:val="00B21AAB"/>
    <w:rsid w:val="00B21AFD"/>
    <w:rsid w:val="00B21BF5"/>
    <w:rsid w:val="00B21C0D"/>
    <w:rsid w:val="00B21C37"/>
    <w:rsid w:val="00B21D53"/>
    <w:rsid w:val="00B21D72"/>
    <w:rsid w:val="00B21D7A"/>
    <w:rsid w:val="00B21D97"/>
    <w:rsid w:val="00B21DA2"/>
    <w:rsid w:val="00B21FDC"/>
    <w:rsid w:val="00B21FE9"/>
    <w:rsid w:val="00B22033"/>
    <w:rsid w:val="00B2214D"/>
    <w:rsid w:val="00B221B6"/>
    <w:rsid w:val="00B221D2"/>
    <w:rsid w:val="00B221DA"/>
    <w:rsid w:val="00B2225F"/>
    <w:rsid w:val="00B222C7"/>
    <w:rsid w:val="00B224E2"/>
    <w:rsid w:val="00B22563"/>
    <w:rsid w:val="00B225F5"/>
    <w:rsid w:val="00B22691"/>
    <w:rsid w:val="00B22709"/>
    <w:rsid w:val="00B22774"/>
    <w:rsid w:val="00B227B6"/>
    <w:rsid w:val="00B227C7"/>
    <w:rsid w:val="00B22848"/>
    <w:rsid w:val="00B2289B"/>
    <w:rsid w:val="00B22A7E"/>
    <w:rsid w:val="00B22BB3"/>
    <w:rsid w:val="00B22CD5"/>
    <w:rsid w:val="00B22D9C"/>
    <w:rsid w:val="00B22DA3"/>
    <w:rsid w:val="00B22DBE"/>
    <w:rsid w:val="00B22E4C"/>
    <w:rsid w:val="00B22F67"/>
    <w:rsid w:val="00B23049"/>
    <w:rsid w:val="00B23050"/>
    <w:rsid w:val="00B230AE"/>
    <w:rsid w:val="00B230BD"/>
    <w:rsid w:val="00B231FB"/>
    <w:rsid w:val="00B2324C"/>
    <w:rsid w:val="00B23534"/>
    <w:rsid w:val="00B23598"/>
    <w:rsid w:val="00B236DA"/>
    <w:rsid w:val="00B237DA"/>
    <w:rsid w:val="00B237E2"/>
    <w:rsid w:val="00B238BC"/>
    <w:rsid w:val="00B2391A"/>
    <w:rsid w:val="00B23929"/>
    <w:rsid w:val="00B23935"/>
    <w:rsid w:val="00B23AAD"/>
    <w:rsid w:val="00B23ACD"/>
    <w:rsid w:val="00B23B3B"/>
    <w:rsid w:val="00B23B55"/>
    <w:rsid w:val="00B23E74"/>
    <w:rsid w:val="00B23E9D"/>
    <w:rsid w:val="00B23F1D"/>
    <w:rsid w:val="00B23F43"/>
    <w:rsid w:val="00B23F80"/>
    <w:rsid w:val="00B23FB0"/>
    <w:rsid w:val="00B23FB7"/>
    <w:rsid w:val="00B24154"/>
    <w:rsid w:val="00B24294"/>
    <w:rsid w:val="00B242ED"/>
    <w:rsid w:val="00B24362"/>
    <w:rsid w:val="00B244CF"/>
    <w:rsid w:val="00B245A7"/>
    <w:rsid w:val="00B247AB"/>
    <w:rsid w:val="00B2494A"/>
    <w:rsid w:val="00B249B7"/>
    <w:rsid w:val="00B24C33"/>
    <w:rsid w:val="00B24C4E"/>
    <w:rsid w:val="00B24E20"/>
    <w:rsid w:val="00B24EB1"/>
    <w:rsid w:val="00B24EF4"/>
    <w:rsid w:val="00B24F2A"/>
    <w:rsid w:val="00B25059"/>
    <w:rsid w:val="00B2506B"/>
    <w:rsid w:val="00B25156"/>
    <w:rsid w:val="00B252B5"/>
    <w:rsid w:val="00B25318"/>
    <w:rsid w:val="00B25400"/>
    <w:rsid w:val="00B2555C"/>
    <w:rsid w:val="00B2558B"/>
    <w:rsid w:val="00B2571E"/>
    <w:rsid w:val="00B25725"/>
    <w:rsid w:val="00B25882"/>
    <w:rsid w:val="00B258A7"/>
    <w:rsid w:val="00B258A9"/>
    <w:rsid w:val="00B25923"/>
    <w:rsid w:val="00B25938"/>
    <w:rsid w:val="00B25A76"/>
    <w:rsid w:val="00B25B02"/>
    <w:rsid w:val="00B25B09"/>
    <w:rsid w:val="00B25C99"/>
    <w:rsid w:val="00B25D0D"/>
    <w:rsid w:val="00B25EFD"/>
    <w:rsid w:val="00B25FB9"/>
    <w:rsid w:val="00B25FEF"/>
    <w:rsid w:val="00B26033"/>
    <w:rsid w:val="00B260D3"/>
    <w:rsid w:val="00B26218"/>
    <w:rsid w:val="00B26283"/>
    <w:rsid w:val="00B262B8"/>
    <w:rsid w:val="00B26406"/>
    <w:rsid w:val="00B26786"/>
    <w:rsid w:val="00B26A04"/>
    <w:rsid w:val="00B26B72"/>
    <w:rsid w:val="00B26C27"/>
    <w:rsid w:val="00B26C5F"/>
    <w:rsid w:val="00B26CE2"/>
    <w:rsid w:val="00B26E03"/>
    <w:rsid w:val="00B26E19"/>
    <w:rsid w:val="00B26F95"/>
    <w:rsid w:val="00B27052"/>
    <w:rsid w:val="00B270A2"/>
    <w:rsid w:val="00B270CB"/>
    <w:rsid w:val="00B270D1"/>
    <w:rsid w:val="00B270D2"/>
    <w:rsid w:val="00B27259"/>
    <w:rsid w:val="00B272F7"/>
    <w:rsid w:val="00B27410"/>
    <w:rsid w:val="00B274D3"/>
    <w:rsid w:val="00B275AB"/>
    <w:rsid w:val="00B27820"/>
    <w:rsid w:val="00B27AC3"/>
    <w:rsid w:val="00B27B1B"/>
    <w:rsid w:val="00B27B4D"/>
    <w:rsid w:val="00B27B52"/>
    <w:rsid w:val="00B27B58"/>
    <w:rsid w:val="00B27BA1"/>
    <w:rsid w:val="00B27D13"/>
    <w:rsid w:val="00B27DA7"/>
    <w:rsid w:val="00B27E06"/>
    <w:rsid w:val="00B27E47"/>
    <w:rsid w:val="00B27FBF"/>
    <w:rsid w:val="00B30036"/>
    <w:rsid w:val="00B30061"/>
    <w:rsid w:val="00B3009F"/>
    <w:rsid w:val="00B30363"/>
    <w:rsid w:val="00B30434"/>
    <w:rsid w:val="00B3046D"/>
    <w:rsid w:val="00B304A3"/>
    <w:rsid w:val="00B3060C"/>
    <w:rsid w:val="00B30667"/>
    <w:rsid w:val="00B307BF"/>
    <w:rsid w:val="00B307D0"/>
    <w:rsid w:val="00B307D3"/>
    <w:rsid w:val="00B3085C"/>
    <w:rsid w:val="00B30884"/>
    <w:rsid w:val="00B30891"/>
    <w:rsid w:val="00B308CF"/>
    <w:rsid w:val="00B309A5"/>
    <w:rsid w:val="00B309BC"/>
    <w:rsid w:val="00B30ADE"/>
    <w:rsid w:val="00B30B40"/>
    <w:rsid w:val="00B30B79"/>
    <w:rsid w:val="00B30DBD"/>
    <w:rsid w:val="00B30ECE"/>
    <w:rsid w:val="00B30F23"/>
    <w:rsid w:val="00B312C1"/>
    <w:rsid w:val="00B312FB"/>
    <w:rsid w:val="00B3153F"/>
    <w:rsid w:val="00B315B2"/>
    <w:rsid w:val="00B315D9"/>
    <w:rsid w:val="00B316D3"/>
    <w:rsid w:val="00B31727"/>
    <w:rsid w:val="00B3172D"/>
    <w:rsid w:val="00B31790"/>
    <w:rsid w:val="00B31795"/>
    <w:rsid w:val="00B31817"/>
    <w:rsid w:val="00B31962"/>
    <w:rsid w:val="00B3197C"/>
    <w:rsid w:val="00B319E1"/>
    <w:rsid w:val="00B31A9D"/>
    <w:rsid w:val="00B31B89"/>
    <w:rsid w:val="00B31BD2"/>
    <w:rsid w:val="00B31D4A"/>
    <w:rsid w:val="00B31D7F"/>
    <w:rsid w:val="00B31DC3"/>
    <w:rsid w:val="00B31E89"/>
    <w:rsid w:val="00B31F34"/>
    <w:rsid w:val="00B31F4E"/>
    <w:rsid w:val="00B31FF4"/>
    <w:rsid w:val="00B32037"/>
    <w:rsid w:val="00B320F3"/>
    <w:rsid w:val="00B32105"/>
    <w:rsid w:val="00B3224A"/>
    <w:rsid w:val="00B322E0"/>
    <w:rsid w:val="00B3231C"/>
    <w:rsid w:val="00B323C4"/>
    <w:rsid w:val="00B3246A"/>
    <w:rsid w:val="00B32474"/>
    <w:rsid w:val="00B3250F"/>
    <w:rsid w:val="00B326EC"/>
    <w:rsid w:val="00B3275D"/>
    <w:rsid w:val="00B32812"/>
    <w:rsid w:val="00B3282D"/>
    <w:rsid w:val="00B328D2"/>
    <w:rsid w:val="00B32A3D"/>
    <w:rsid w:val="00B32AC8"/>
    <w:rsid w:val="00B32DD6"/>
    <w:rsid w:val="00B32FAD"/>
    <w:rsid w:val="00B33022"/>
    <w:rsid w:val="00B331CC"/>
    <w:rsid w:val="00B331EE"/>
    <w:rsid w:val="00B33240"/>
    <w:rsid w:val="00B33332"/>
    <w:rsid w:val="00B334D0"/>
    <w:rsid w:val="00B33547"/>
    <w:rsid w:val="00B337B7"/>
    <w:rsid w:val="00B337CF"/>
    <w:rsid w:val="00B337E8"/>
    <w:rsid w:val="00B33847"/>
    <w:rsid w:val="00B33880"/>
    <w:rsid w:val="00B33889"/>
    <w:rsid w:val="00B339E7"/>
    <w:rsid w:val="00B33A8F"/>
    <w:rsid w:val="00B33BE8"/>
    <w:rsid w:val="00B33C32"/>
    <w:rsid w:val="00B33DBE"/>
    <w:rsid w:val="00B33DC2"/>
    <w:rsid w:val="00B33ED5"/>
    <w:rsid w:val="00B34080"/>
    <w:rsid w:val="00B341C0"/>
    <w:rsid w:val="00B34245"/>
    <w:rsid w:val="00B342B1"/>
    <w:rsid w:val="00B34323"/>
    <w:rsid w:val="00B34328"/>
    <w:rsid w:val="00B3436C"/>
    <w:rsid w:val="00B343EC"/>
    <w:rsid w:val="00B344D2"/>
    <w:rsid w:val="00B344F3"/>
    <w:rsid w:val="00B3472D"/>
    <w:rsid w:val="00B347D9"/>
    <w:rsid w:val="00B348B0"/>
    <w:rsid w:val="00B34912"/>
    <w:rsid w:val="00B34A3D"/>
    <w:rsid w:val="00B34A53"/>
    <w:rsid w:val="00B34AA0"/>
    <w:rsid w:val="00B34ADA"/>
    <w:rsid w:val="00B34B2B"/>
    <w:rsid w:val="00B34BD2"/>
    <w:rsid w:val="00B34BD3"/>
    <w:rsid w:val="00B34C3A"/>
    <w:rsid w:val="00B34CA8"/>
    <w:rsid w:val="00B34CED"/>
    <w:rsid w:val="00B34D23"/>
    <w:rsid w:val="00B34D98"/>
    <w:rsid w:val="00B34E17"/>
    <w:rsid w:val="00B34E48"/>
    <w:rsid w:val="00B34E7E"/>
    <w:rsid w:val="00B34F01"/>
    <w:rsid w:val="00B34F18"/>
    <w:rsid w:val="00B34F2C"/>
    <w:rsid w:val="00B34FA0"/>
    <w:rsid w:val="00B35029"/>
    <w:rsid w:val="00B3503E"/>
    <w:rsid w:val="00B35052"/>
    <w:rsid w:val="00B35112"/>
    <w:rsid w:val="00B35120"/>
    <w:rsid w:val="00B351B2"/>
    <w:rsid w:val="00B352DA"/>
    <w:rsid w:val="00B352EE"/>
    <w:rsid w:val="00B3532F"/>
    <w:rsid w:val="00B35401"/>
    <w:rsid w:val="00B3548E"/>
    <w:rsid w:val="00B35555"/>
    <w:rsid w:val="00B355B1"/>
    <w:rsid w:val="00B35653"/>
    <w:rsid w:val="00B356A8"/>
    <w:rsid w:val="00B357E8"/>
    <w:rsid w:val="00B35A04"/>
    <w:rsid w:val="00B35A69"/>
    <w:rsid w:val="00B35A77"/>
    <w:rsid w:val="00B35AC9"/>
    <w:rsid w:val="00B35B47"/>
    <w:rsid w:val="00B35BE4"/>
    <w:rsid w:val="00B35C04"/>
    <w:rsid w:val="00B35D0A"/>
    <w:rsid w:val="00B35D0C"/>
    <w:rsid w:val="00B35DB1"/>
    <w:rsid w:val="00B35DBB"/>
    <w:rsid w:val="00B35DC4"/>
    <w:rsid w:val="00B35DC6"/>
    <w:rsid w:val="00B35F43"/>
    <w:rsid w:val="00B35F4D"/>
    <w:rsid w:val="00B360D1"/>
    <w:rsid w:val="00B36195"/>
    <w:rsid w:val="00B36222"/>
    <w:rsid w:val="00B362DA"/>
    <w:rsid w:val="00B364CA"/>
    <w:rsid w:val="00B36588"/>
    <w:rsid w:val="00B365E6"/>
    <w:rsid w:val="00B36621"/>
    <w:rsid w:val="00B366ED"/>
    <w:rsid w:val="00B36847"/>
    <w:rsid w:val="00B36896"/>
    <w:rsid w:val="00B36966"/>
    <w:rsid w:val="00B369EB"/>
    <w:rsid w:val="00B36A18"/>
    <w:rsid w:val="00B36A2A"/>
    <w:rsid w:val="00B36AFE"/>
    <w:rsid w:val="00B36B3E"/>
    <w:rsid w:val="00B36BC0"/>
    <w:rsid w:val="00B36CD2"/>
    <w:rsid w:val="00B36E09"/>
    <w:rsid w:val="00B36E6E"/>
    <w:rsid w:val="00B36EDB"/>
    <w:rsid w:val="00B37003"/>
    <w:rsid w:val="00B37066"/>
    <w:rsid w:val="00B370CD"/>
    <w:rsid w:val="00B3711D"/>
    <w:rsid w:val="00B371C4"/>
    <w:rsid w:val="00B372AA"/>
    <w:rsid w:val="00B372D6"/>
    <w:rsid w:val="00B372F7"/>
    <w:rsid w:val="00B37323"/>
    <w:rsid w:val="00B3746A"/>
    <w:rsid w:val="00B3746B"/>
    <w:rsid w:val="00B3748E"/>
    <w:rsid w:val="00B374BF"/>
    <w:rsid w:val="00B375CC"/>
    <w:rsid w:val="00B37671"/>
    <w:rsid w:val="00B376D0"/>
    <w:rsid w:val="00B377A8"/>
    <w:rsid w:val="00B377A9"/>
    <w:rsid w:val="00B378F9"/>
    <w:rsid w:val="00B37A38"/>
    <w:rsid w:val="00B37B18"/>
    <w:rsid w:val="00B37B2D"/>
    <w:rsid w:val="00B37C02"/>
    <w:rsid w:val="00B37C2F"/>
    <w:rsid w:val="00B37C3A"/>
    <w:rsid w:val="00B37DB7"/>
    <w:rsid w:val="00B37DEB"/>
    <w:rsid w:val="00B37EB4"/>
    <w:rsid w:val="00B37F3F"/>
    <w:rsid w:val="00B40003"/>
    <w:rsid w:val="00B4013D"/>
    <w:rsid w:val="00B4015F"/>
    <w:rsid w:val="00B401ED"/>
    <w:rsid w:val="00B402AE"/>
    <w:rsid w:val="00B402BA"/>
    <w:rsid w:val="00B402F7"/>
    <w:rsid w:val="00B4040D"/>
    <w:rsid w:val="00B40466"/>
    <w:rsid w:val="00B40497"/>
    <w:rsid w:val="00B404E4"/>
    <w:rsid w:val="00B40515"/>
    <w:rsid w:val="00B40706"/>
    <w:rsid w:val="00B4082E"/>
    <w:rsid w:val="00B4087D"/>
    <w:rsid w:val="00B4089A"/>
    <w:rsid w:val="00B4092A"/>
    <w:rsid w:val="00B40971"/>
    <w:rsid w:val="00B409BF"/>
    <w:rsid w:val="00B40A9F"/>
    <w:rsid w:val="00B40D01"/>
    <w:rsid w:val="00B40D0E"/>
    <w:rsid w:val="00B40DBF"/>
    <w:rsid w:val="00B40DDC"/>
    <w:rsid w:val="00B40F25"/>
    <w:rsid w:val="00B40FD9"/>
    <w:rsid w:val="00B41018"/>
    <w:rsid w:val="00B412CF"/>
    <w:rsid w:val="00B41398"/>
    <w:rsid w:val="00B413CC"/>
    <w:rsid w:val="00B4142C"/>
    <w:rsid w:val="00B41488"/>
    <w:rsid w:val="00B41501"/>
    <w:rsid w:val="00B4160C"/>
    <w:rsid w:val="00B416BC"/>
    <w:rsid w:val="00B41732"/>
    <w:rsid w:val="00B41874"/>
    <w:rsid w:val="00B4192A"/>
    <w:rsid w:val="00B41B0D"/>
    <w:rsid w:val="00B41BCF"/>
    <w:rsid w:val="00B41C33"/>
    <w:rsid w:val="00B41C7F"/>
    <w:rsid w:val="00B41C81"/>
    <w:rsid w:val="00B41E19"/>
    <w:rsid w:val="00B41EBF"/>
    <w:rsid w:val="00B41F15"/>
    <w:rsid w:val="00B41FFB"/>
    <w:rsid w:val="00B4200F"/>
    <w:rsid w:val="00B42027"/>
    <w:rsid w:val="00B4221F"/>
    <w:rsid w:val="00B4232B"/>
    <w:rsid w:val="00B42340"/>
    <w:rsid w:val="00B423E7"/>
    <w:rsid w:val="00B42402"/>
    <w:rsid w:val="00B42451"/>
    <w:rsid w:val="00B424C7"/>
    <w:rsid w:val="00B42591"/>
    <w:rsid w:val="00B425BD"/>
    <w:rsid w:val="00B425DE"/>
    <w:rsid w:val="00B42637"/>
    <w:rsid w:val="00B426A6"/>
    <w:rsid w:val="00B4275A"/>
    <w:rsid w:val="00B42839"/>
    <w:rsid w:val="00B42889"/>
    <w:rsid w:val="00B428A7"/>
    <w:rsid w:val="00B428F3"/>
    <w:rsid w:val="00B42A13"/>
    <w:rsid w:val="00B42AA5"/>
    <w:rsid w:val="00B42BB1"/>
    <w:rsid w:val="00B42BD0"/>
    <w:rsid w:val="00B42CE4"/>
    <w:rsid w:val="00B42D21"/>
    <w:rsid w:val="00B42F13"/>
    <w:rsid w:val="00B42FF6"/>
    <w:rsid w:val="00B4301B"/>
    <w:rsid w:val="00B43184"/>
    <w:rsid w:val="00B4319D"/>
    <w:rsid w:val="00B433BB"/>
    <w:rsid w:val="00B4354D"/>
    <w:rsid w:val="00B438C5"/>
    <w:rsid w:val="00B43977"/>
    <w:rsid w:val="00B439BB"/>
    <w:rsid w:val="00B43A08"/>
    <w:rsid w:val="00B43A1C"/>
    <w:rsid w:val="00B43AA1"/>
    <w:rsid w:val="00B43AB1"/>
    <w:rsid w:val="00B43B38"/>
    <w:rsid w:val="00B43BB4"/>
    <w:rsid w:val="00B43BCA"/>
    <w:rsid w:val="00B43BCC"/>
    <w:rsid w:val="00B43E2A"/>
    <w:rsid w:val="00B43E88"/>
    <w:rsid w:val="00B43F04"/>
    <w:rsid w:val="00B4410C"/>
    <w:rsid w:val="00B441E0"/>
    <w:rsid w:val="00B44263"/>
    <w:rsid w:val="00B4435E"/>
    <w:rsid w:val="00B44453"/>
    <w:rsid w:val="00B444C6"/>
    <w:rsid w:val="00B445D5"/>
    <w:rsid w:val="00B4462A"/>
    <w:rsid w:val="00B4466C"/>
    <w:rsid w:val="00B446C8"/>
    <w:rsid w:val="00B44797"/>
    <w:rsid w:val="00B44956"/>
    <w:rsid w:val="00B44A67"/>
    <w:rsid w:val="00B44AF6"/>
    <w:rsid w:val="00B44BB1"/>
    <w:rsid w:val="00B44C13"/>
    <w:rsid w:val="00B44C7F"/>
    <w:rsid w:val="00B44EE3"/>
    <w:rsid w:val="00B44EEA"/>
    <w:rsid w:val="00B45070"/>
    <w:rsid w:val="00B4508D"/>
    <w:rsid w:val="00B450C0"/>
    <w:rsid w:val="00B45114"/>
    <w:rsid w:val="00B451DD"/>
    <w:rsid w:val="00B4534E"/>
    <w:rsid w:val="00B45447"/>
    <w:rsid w:val="00B455ED"/>
    <w:rsid w:val="00B45613"/>
    <w:rsid w:val="00B456C9"/>
    <w:rsid w:val="00B456CE"/>
    <w:rsid w:val="00B4574E"/>
    <w:rsid w:val="00B458CF"/>
    <w:rsid w:val="00B45935"/>
    <w:rsid w:val="00B45945"/>
    <w:rsid w:val="00B459D9"/>
    <w:rsid w:val="00B459F6"/>
    <w:rsid w:val="00B45A92"/>
    <w:rsid w:val="00B45B20"/>
    <w:rsid w:val="00B45BDF"/>
    <w:rsid w:val="00B45C86"/>
    <w:rsid w:val="00B45CBD"/>
    <w:rsid w:val="00B45D23"/>
    <w:rsid w:val="00B45D45"/>
    <w:rsid w:val="00B45D98"/>
    <w:rsid w:val="00B45EE7"/>
    <w:rsid w:val="00B45EEB"/>
    <w:rsid w:val="00B4602F"/>
    <w:rsid w:val="00B460A2"/>
    <w:rsid w:val="00B46171"/>
    <w:rsid w:val="00B46228"/>
    <w:rsid w:val="00B46372"/>
    <w:rsid w:val="00B464AC"/>
    <w:rsid w:val="00B468BD"/>
    <w:rsid w:val="00B46C2C"/>
    <w:rsid w:val="00B46E55"/>
    <w:rsid w:val="00B46F27"/>
    <w:rsid w:val="00B470E9"/>
    <w:rsid w:val="00B47256"/>
    <w:rsid w:val="00B472A3"/>
    <w:rsid w:val="00B47374"/>
    <w:rsid w:val="00B473DD"/>
    <w:rsid w:val="00B4752E"/>
    <w:rsid w:val="00B4757F"/>
    <w:rsid w:val="00B47672"/>
    <w:rsid w:val="00B4779E"/>
    <w:rsid w:val="00B477AE"/>
    <w:rsid w:val="00B477BA"/>
    <w:rsid w:val="00B477FE"/>
    <w:rsid w:val="00B4782A"/>
    <w:rsid w:val="00B478A0"/>
    <w:rsid w:val="00B47A12"/>
    <w:rsid w:val="00B47A62"/>
    <w:rsid w:val="00B47BA1"/>
    <w:rsid w:val="00B47CA5"/>
    <w:rsid w:val="00B47DAC"/>
    <w:rsid w:val="00B47DFA"/>
    <w:rsid w:val="00B47E1E"/>
    <w:rsid w:val="00B47E6D"/>
    <w:rsid w:val="00B47EAC"/>
    <w:rsid w:val="00B47F5B"/>
    <w:rsid w:val="00B5014C"/>
    <w:rsid w:val="00B50162"/>
    <w:rsid w:val="00B50276"/>
    <w:rsid w:val="00B50369"/>
    <w:rsid w:val="00B503A3"/>
    <w:rsid w:val="00B50482"/>
    <w:rsid w:val="00B50527"/>
    <w:rsid w:val="00B50856"/>
    <w:rsid w:val="00B50868"/>
    <w:rsid w:val="00B5099B"/>
    <w:rsid w:val="00B509F7"/>
    <w:rsid w:val="00B50A33"/>
    <w:rsid w:val="00B50A77"/>
    <w:rsid w:val="00B50CC2"/>
    <w:rsid w:val="00B50CD3"/>
    <w:rsid w:val="00B50E5C"/>
    <w:rsid w:val="00B50EBD"/>
    <w:rsid w:val="00B50F62"/>
    <w:rsid w:val="00B5105A"/>
    <w:rsid w:val="00B51064"/>
    <w:rsid w:val="00B51223"/>
    <w:rsid w:val="00B5127A"/>
    <w:rsid w:val="00B5142B"/>
    <w:rsid w:val="00B5144C"/>
    <w:rsid w:val="00B514FB"/>
    <w:rsid w:val="00B51511"/>
    <w:rsid w:val="00B5159C"/>
    <w:rsid w:val="00B51714"/>
    <w:rsid w:val="00B5175A"/>
    <w:rsid w:val="00B517DB"/>
    <w:rsid w:val="00B518BE"/>
    <w:rsid w:val="00B519E7"/>
    <w:rsid w:val="00B51AB5"/>
    <w:rsid w:val="00B51AD0"/>
    <w:rsid w:val="00B51B12"/>
    <w:rsid w:val="00B51C56"/>
    <w:rsid w:val="00B51C66"/>
    <w:rsid w:val="00B51D62"/>
    <w:rsid w:val="00B51DA6"/>
    <w:rsid w:val="00B51FD5"/>
    <w:rsid w:val="00B522C3"/>
    <w:rsid w:val="00B52413"/>
    <w:rsid w:val="00B52548"/>
    <w:rsid w:val="00B5264A"/>
    <w:rsid w:val="00B5265F"/>
    <w:rsid w:val="00B5266F"/>
    <w:rsid w:val="00B528D6"/>
    <w:rsid w:val="00B528DC"/>
    <w:rsid w:val="00B529C0"/>
    <w:rsid w:val="00B529C6"/>
    <w:rsid w:val="00B52A70"/>
    <w:rsid w:val="00B52AD1"/>
    <w:rsid w:val="00B52C8C"/>
    <w:rsid w:val="00B52D96"/>
    <w:rsid w:val="00B52DA9"/>
    <w:rsid w:val="00B52F5A"/>
    <w:rsid w:val="00B52FD2"/>
    <w:rsid w:val="00B52FD6"/>
    <w:rsid w:val="00B53013"/>
    <w:rsid w:val="00B530BB"/>
    <w:rsid w:val="00B530E5"/>
    <w:rsid w:val="00B530E8"/>
    <w:rsid w:val="00B53295"/>
    <w:rsid w:val="00B533A2"/>
    <w:rsid w:val="00B53540"/>
    <w:rsid w:val="00B53707"/>
    <w:rsid w:val="00B53A09"/>
    <w:rsid w:val="00B53A34"/>
    <w:rsid w:val="00B53B58"/>
    <w:rsid w:val="00B53C04"/>
    <w:rsid w:val="00B53C49"/>
    <w:rsid w:val="00B53FCD"/>
    <w:rsid w:val="00B54067"/>
    <w:rsid w:val="00B540BA"/>
    <w:rsid w:val="00B54135"/>
    <w:rsid w:val="00B54141"/>
    <w:rsid w:val="00B541D1"/>
    <w:rsid w:val="00B54290"/>
    <w:rsid w:val="00B543BF"/>
    <w:rsid w:val="00B543C1"/>
    <w:rsid w:val="00B543F6"/>
    <w:rsid w:val="00B54582"/>
    <w:rsid w:val="00B545FD"/>
    <w:rsid w:val="00B54773"/>
    <w:rsid w:val="00B54882"/>
    <w:rsid w:val="00B548F6"/>
    <w:rsid w:val="00B5499C"/>
    <w:rsid w:val="00B54B57"/>
    <w:rsid w:val="00B54BBE"/>
    <w:rsid w:val="00B54CED"/>
    <w:rsid w:val="00B54CF0"/>
    <w:rsid w:val="00B54D7B"/>
    <w:rsid w:val="00B54DF9"/>
    <w:rsid w:val="00B54E66"/>
    <w:rsid w:val="00B54EDF"/>
    <w:rsid w:val="00B54F41"/>
    <w:rsid w:val="00B55004"/>
    <w:rsid w:val="00B55143"/>
    <w:rsid w:val="00B552FB"/>
    <w:rsid w:val="00B55328"/>
    <w:rsid w:val="00B5535A"/>
    <w:rsid w:val="00B553E9"/>
    <w:rsid w:val="00B55418"/>
    <w:rsid w:val="00B5554B"/>
    <w:rsid w:val="00B555C4"/>
    <w:rsid w:val="00B555C8"/>
    <w:rsid w:val="00B555E1"/>
    <w:rsid w:val="00B55821"/>
    <w:rsid w:val="00B55874"/>
    <w:rsid w:val="00B558DF"/>
    <w:rsid w:val="00B55BD2"/>
    <w:rsid w:val="00B55CB5"/>
    <w:rsid w:val="00B55CD1"/>
    <w:rsid w:val="00B55D24"/>
    <w:rsid w:val="00B55D65"/>
    <w:rsid w:val="00B55D73"/>
    <w:rsid w:val="00B55D9E"/>
    <w:rsid w:val="00B55E40"/>
    <w:rsid w:val="00B55E62"/>
    <w:rsid w:val="00B55E8A"/>
    <w:rsid w:val="00B55F98"/>
    <w:rsid w:val="00B55FC7"/>
    <w:rsid w:val="00B55FDB"/>
    <w:rsid w:val="00B56118"/>
    <w:rsid w:val="00B56352"/>
    <w:rsid w:val="00B564C9"/>
    <w:rsid w:val="00B564E1"/>
    <w:rsid w:val="00B56585"/>
    <w:rsid w:val="00B5662B"/>
    <w:rsid w:val="00B566A4"/>
    <w:rsid w:val="00B566F9"/>
    <w:rsid w:val="00B568AE"/>
    <w:rsid w:val="00B569D6"/>
    <w:rsid w:val="00B56AD7"/>
    <w:rsid w:val="00B56B6B"/>
    <w:rsid w:val="00B56B83"/>
    <w:rsid w:val="00B56BC6"/>
    <w:rsid w:val="00B56C60"/>
    <w:rsid w:val="00B56E9E"/>
    <w:rsid w:val="00B56EA2"/>
    <w:rsid w:val="00B56F97"/>
    <w:rsid w:val="00B57088"/>
    <w:rsid w:val="00B570F3"/>
    <w:rsid w:val="00B5716D"/>
    <w:rsid w:val="00B571BA"/>
    <w:rsid w:val="00B57306"/>
    <w:rsid w:val="00B57322"/>
    <w:rsid w:val="00B5745F"/>
    <w:rsid w:val="00B5763E"/>
    <w:rsid w:val="00B576A6"/>
    <w:rsid w:val="00B577BB"/>
    <w:rsid w:val="00B57826"/>
    <w:rsid w:val="00B57879"/>
    <w:rsid w:val="00B57A16"/>
    <w:rsid w:val="00B57A6D"/>
    <w:rsid w:val="00B57A87"/>
    <w:rsid w:val="00B57C2F"/>
    <w:rsid w:val="00B57C53"/>
    <w:rsid w:val="00B57D08"/>
    <w:rsid w:val="00B57D1B"/>
    <w:rsid w:val="00B57D5E"/>
    <w:rsid w:val="00B57D8B"/>
    <w:rsid w:val="00B57DBF"/>
    <w:rsid w:val="00B57DDD"/>
    <w:rsid w:val="00B57E16"/>
    <w:rsid w:val="00B57E6C"/>
    <w:rsid w:val="00B57F44"/>
    <w:rsid w:val="00B57F5D"/>
    <w:rsid w:val="00B6001D"/>
    <w:rsid w:val="00B60041"/>
    <w:rsid w:val="00B6004B"/>
    <w:rsid w:val="00B60053"/>
    <w:rsid w:val="00B60108"/>
    <w:rsid w:val="00B60115"/>
    <w:rsid w:val="00B60408"/>
    <w:rsid w:val="00B60441"/>
    <w:rsid w:val="00B60542"/>
    <w:rsid w:val="00B60546"/>
    <w:rsid w:val="00B60611"/>
    <w:rsid w:val="00B606C5"/>
    <w:rsid w:val="00B607CC"/>
    <w:rsid w:val="00B6080A"/>
    <w:rsid w:val="00B60A4D"/>
    <w:rsid w:val="00B60BFF"/>
    <w:rsid w:val="00B60C19"/>
    <w:rsid w:val="00B60C83"/>
    <w:rsid w:val="00B60CB5"/>
    <w:rsid w:val="00B60DEF"/>
    <w:rsid w:val="00B60E37"/>
    <w:rsid w:val="00B60E91"/>
    <w:rsid w:val="00B60EAE"/>
    <w:rsid w:val="00B60F08"/>
    <w:rsid w:val="00B60FC2"/>
    <w:rsid w:val="00B6108C"/>
    <w:rsid w:val="00B610E3"/>
    <w:rsid w:val="00B611BF"/>
    <w:rsid w:val="00B611FA"/>
    <w:rsid w:val="00B612B2"/>
    <w:rsid w:val="00B612FD"/>
    <w:rsid w:val="00B6166B"/>
    <w:rsid w:val="00B616DA"/>
    <w:rsid w:val="00B617F9"/>
    <w:rsid w:val="00B61806"/>
    <w:rsid w:val="00B61AB9"/>
    <w:rsid w:val="00B61BBD"/>
    <w:rsid w:val="00B61BBF"/>
    <w:rsid w:val="00B61BDD"/>
    <w:rsid w:val="00B61C1B"/>
    <w:rsid w:val="00B61CAD"/>
    <w:rsid w:val="00B61E6D"/>
    <w:rsid w:val="00B61E88"/>
    <w:rsid w:val="00B61EAE"/>
    <w:rsid w:val="00B62059"/>
    <w:rsid w:val="00B6209E"/>
    <w:rsid w:val="00B620A4"/>
    <w:rsid w:val="00B62234"/>
    <w:rsid w:val="00B62247"/>
    <w:rsid w:val="00B622A4"/>
    <w:rsid w:val="00B622A9"/>
    <w:rsid w:val="00B623F3"/>
    <w:rsid w:val="00B624B6"/>
    <w:rsid w:val="00B624CA"/>
    <w:rsid w:val="00B62568"/>
    <w:rsid w:val="00B62596"/>
    <w:rsid w:val="00B625AB"/>
    <w:rsid w:val="00B62652"/>
    <w:rsid w:val="00B626ED"/>
    <w:rsid w:val="00B62814"/>
    <w:rsid w:val="00B6297C"/>
    <w:rsid w:val="00B629E5"/>
    <w:rsid w:val="00B62AD1"/>
    <w:rsid w:val="00B62B09"/>
    <w:rsid w:val="00B62C53"/>
    <w:rsid w:val="00B62CB2"/>
    <w:rsid w:val="00B6309D"/>
    <w:rsid w:val="00B630EC"/>
    <w:rsid w:val="00B6314F"/>
    <w:rsid w:val="00B631AD"/>
    <w:rsid w:val="00B63201"/>
    <w:rsid w:val="00B6325C"/>
    <w:rsid w:val="00B63284"/>
    <w:rsid w:val="00B633BA"/>
    <w:rsid w:val="00B6346A"/>
    <w:rsid w:val="00B6352E"/>
    <w:rsid w:val="00B63698"/>
    <w:rsid w:val="00B637E3"/>
    <w:rsid w:val="00B638BC"/>
    <w:rsid w:val="00B638FF"/>
    <w:rsid w:val="00B6391B"/>
    <w:rsid w:val="00B6397F"/>
    <w:rsid w:val="00B63A78"/>
    <w:rsid w:val="00B63E25"/>
    <w:rsid w:val="00B63E57"/>
    <w:rsid w:val="00B63FF9"/>
    <w:rsid w:val="00B64010"/>
    <w:rsid w:val="00B640BC"/>
    <w:rsid w:val="00B64240"/>
    <w:rsid w:val="00B6430B"/>
    <w:rsid w:val="00B6431C"/>
    <w:rsid w:val="00B6431E"/>
    <w:rsid w:val="00B64384"/>
    <w:rsid w:val="00B64518"/>
    <w:rsid w:val="00B6454F"/>
    <w:rsid w:val="00B6462F"/>
    <w:rsid w:val="00B64665"/>
    <w:rsid w:val="00B64871"/>
    <w:rsid w:val="00B648CB"/>
    <w:rsid w:val="00B64A10"/>
    <w:rsid w:val="00B64AAC"/>
    <w:rsid w:val="00B64C5C"/>
    <w:rsid w:val="00B64CCF"/>
    <w:rsid w:val="00B64CEA"/>
    <w:rsid w:val="00B64E2D"/>
    <w:rsid w:val="00B64F9C"/>
    <w:rsid w:val="00B64FF2"/>
    <w:rsid w:val="00B65028"/>
    <w:rsid w:val="00B65122"/>
    <w:rsid w:val="00B651B9"/>
    <w:rsid w:val="00B651C6"/>
    <w:rsid w:val="00B652A6"/>
    <w:rsid w:val="00B65396"/>
    <w:rsid w:val="00B653F5"/>
    <w:rsid w:val="00B65428"/>
    <w:rsid w:val="00B65459"/>
    <w:rsid w:val="00B65643"/>
    <w:rsid w:val="00B6565B"/>
    <w:rsid w:val="00B657C3"/>
    <w:rsid w:val="00B659CA"/>
    <w:rsid w:val="00B659DC"/>
    <w:rsid w:val="00B65C35"/>
    <w:rsid w:val="00B65C76"/>
    <w:rsid w:val="00B65CC2"/>
    <w:rsid w:val="00B65D2F"/>
    <w:rsid w:val="00B65D3A"/>
    <w:rsid w:val="00B65DFF"/>
    <w:rsid w:val="00B65E13"/>
    <w:rsid w:val="00B65F0F"/>
    <w:rsid w:val="00B66005"/>
    <w:rsid w:val="00B660A7"/>
    <w:rsid w:val="00B66222"/>
    <w:rsid w:val="00B66227"/>
    <w:rsid w:val="00B6625D"/>
    <w:rsid w:val="00B662DE"/>
    <w:rsid w:val="00B66399"/>
    <w:rsid w:val="00B663E4"/>
    <w:rsid w:val="00B663FE"/>
    <w:rsid w:val="00B665F8"/>
    <w:rsid w:val="00B66629"/>
    <w:rsid w:val="00B667C8"/>
    <w:rsid w:val="00B66830"/>
    <w:rsid w:val="00B66933"/>
    <w:rsid w:val="00B669CE"/>
    <w:rsid w:val="00B66A23"/>
    <w:rsid w:val="00B66A34"/>
    <w:rsid w:val="00B66B16"/>
    <w:rsid w:val="00B66BF6"/>
    <w:rsid w:val="00B66C0B"/>
    <w:rsid w:val="00B66C2E"/>
    <w:rsid w:val="00B66D69"/>
    <w:rsid w:val="00B66F98"/>
    <w:rsid w:val="00B67066"/>
    <w:rsid w:val="00B670D2"/>
    <w:rsid w:val="00B67111"/>
    <w:rsid w:val="00B671DC"/>
    <w:rsid w:val="00B672F1"/>
    <w:rsid w:val="00B67369"/>
    <w:rsid w:val="00B675A4"/>
    <w:rsid w:val="00B676B9"/>
    <w:rsid w:val="00B67763"/>
    <w:rsid w:val="00B67787"/>
    <w:rsid w:val="00B6779B"/>
    <w:rsid w:val="00B6786B"/>
    <w:rsid w:val="00B67901"/>
    <w:rsid w:val="00B67AA6"/>
    <w:rsid w:val="00B67BD6"/>
    <w:rsid w:val="00B67C10"/>
    <w:rsid w:val="00B67D8D"/>
    <w:rsid w:val="00B67DB5"/>
    <w:rsid w:val="00B67E62"/>
    <w:rsid w:val="00B67EB0"/>
    <w:rsid w:val="00B67F22"/>
    <w:rsid w:val="00B67F61"/>
    <w:rsid w:val="00B6976C"/>
    <w:rsid w:val="00B70002"/>
    <w:rsid w:val="00B70027"/>
    <w:rsid w:val="00B7012D"/>
    <w:rsid w:val="00B70149"/>
    <w:rsid w:val="00B7017A"/>
    <w:rsid w:val="00B70190"/>
    <w:rsid w:val="00B701A0"/>
    <w:rsid w:val="00B7044A"/>
    <w:rsid w:val="00B70486"/>
    <w:rsid w:val="00B704A7"/>
    <w:rsid w:val="00B705A6"/>
    <w:rsid w:val="00B7085B"/>
    <w:rsid w:val="00B7086A"/>
    <w:rsid w:val="00B7089E"/>
    <w:rsid w:val="00B709FE"/>
    <w:rsid w:val="00B70A79"/>
    <w:rsid w:val="00B70AF7"/>
    <w:rsid w:val="00B70B0D"/>
    <w:rsid w:val="00B70C40"/>
    <w:rsid w:val="00B70DB4"/>
    <w:rsid w:val="00B70DB9"/>
    <w:rsid w:val="00B70E3F"/>
    <w:rsid w:val="00B70E81"/>
    <w:rsid w:val="00B71073"/>
    <w:rsid w:val="00B7120D"/>
    <w:rsid w:val="00B7126E"/>
    <w:rsid w:val="00B7128C"/>
    <w:rsid w:val="00B712E4"/>
    <w:rsid w:val="00B7137A"/>
    <w:rsid w:val="00B714A5"/>
    <w:rsid w:val="00B71586"/>
    <w:rsid w:val="00B7159C"/>
    <w:rsid w:val="00B715E5"/>
    <w:rsid w:val="00B716A0"/>
    <w:rsid w:val="00B716A9"/>
    <w:rsid w:val="00B716C6"/>
    <w:rsid w:val="00B716E3"/>
    <w:rsid w:val="00B717D3"/>
    <w:rsid w:val="00B71955"/>
    <w:rsid w:val="00B71C56"/>
    <w:rsid w:val="00B71D0F"/>
    <w:rsid w:val="00B71E0D"/>
    <w:rsid w:val="00B71EDF"/>
    <w:rsid w:val="00B720F1"/>
    <w:rsid w:val="00B72191"/>
    <w:rsid w:val="00B72195"/>
    <w:rsid w:val="00B721A7"/>
    <w:rsid w:val="00B721BE"/>
    <w:rsid w:val="00B7222E"/>
    <w:rsid w:val="00B722FF"/>
    <w:rsid w:val="00B72362"/>
    <w:rsid w:val="00B72434"/>
    <w:rsid w:val="00B724F7"/>
    <w:rsid w:val="00B72510"/>
    <w:rsid w:val="00B72617"/>
    <w:rsid w:val="00B726D1"/>
    <w:rsid w:val="00B726DB"/>
    <w:rsid w:val="00B7272C"/>
    <w:rsid w:val="00B727E5"/>
    <w:rsid w:val="00B72BA2"/>
    <w:rsid w:val="00B72BC9"/>
    <w:rsid w:val="00B72EC4"/>
    <w:rsid w:val="00B73054"/>
    <w:rsid w:val="00B7305C"/>
    <w:rsid w:val="00B730A2"/>
    <w:rsid w:val="00B73197"/>
    <w:rsid w:val="00B73235"/>
    <w:rsid w:val="00B7326A"/>
    <w:rsid w:val="00B73363"/>
    <w:rsid w:val="00B735AE"/>
    <w:rsid w:val="00B7376A"/>
    <w:rsid w:val="00B73795"/>
    <w:rsid w:val="00B7382C"/>
    <w:rsid w:val="00B73A78"/>
    <w:rsid w:val="00B73D89"/>
    <w:rsid w:val="00B73D91"/>
    <w:rsid w:val="00B73E91"/>
    <w:rsid w:val="00B73F68"/>
    <w:rsid w:val="00B73FAD"/>
    <w:rsid w:val="00B74183"/>
    <w:rsid w:val="00B74229"/>
    <w:rsid w:val="00B742EA"/>
    <w:rsid w:val="00B74508"/>
    <w:rsid w:val="00B74523"/>
    <w:rsid w:val="00B74635"/>
    <w:rsid w:val="00B746AC"/>
    <w:rsid w:val="00B74746"/>
    <w:rsid w:val="00B74864"/>
    <w:rsid w:val="00B748E4"/>
    <w:rsid w:val="00B749C0"/>
    <w:rsid w:val="00B74A30"/>
    <w:rsid w:val="00B74C26"/>
    <w:rsid w:val="00B74C71"/>
    <w:rsid w:val="00B74D17"/>
    <w:rsid w:val="00B74D5E"/>
    <w:rsid w:val="00B74E63"/>
    <w:rsid w:val="00B74F58"/>
    <w:rsid w:val="00B75133"/>
    <w:rsid w:val="00B7517E"/>
    <w:rsid w:val="00B751C8"/>
    <w:rsid w:val="00B752CC"/>
    <w:rsid w:val="00B7539B"/>
    <w:rsid w:val="00B753BD"/>
    <w:rsid w:val="00B754FA"/>
    <w:rsid w:val="00B75708"/>
    <w:rsid w:val="00B7588C"/>
    <w:rsid w:val="00B759A0"/>
    <w:rsid w:val="00B759A8"/>
    <w:rsid w:val="00B75B8C"/>
    <w:rsid w:val="00B75BFB"/>
    <w:rsid w:val="00B75C64"/>
    <w:rsid w:val="00B75D56"/>
    <w:rsid w:val="00B75D95"/>
    <w:rsid w:val="00B75E45"/>
    <w:rsid w:val="00B75EDC"/>
    <w:rsid w:val="00B75EE1"/>
    <w:rsid w:val="00B75F49"/>
    <w:rsid w:val="00B7602D"/>
    <w:rsid w:val="00B7602F"/>
    <w:rsid w:val="00B760BE"/>
    <w:rsid w:val="00B76204"/>
    <w:rsid w:val="00B7627D"/>
    <w:rsid w:val="00B7631C"/>
    <w:rsid w:val="00B76424"/>
    <w:rsid w:val="00B764C3"/>
    <w:rsid w:val="00B765E1"/>
    <w:rsid w:val="00B765EB"/>
    <w:rsid w:val="00B766A3"/>
    <w:rsid w:val="00B76762"/>
    <w:rsid w:val="00B767B8"/>
    <w:rsid w:val="00B767E1"/>
    <w:rsid w:val="00B769CD"/>
    <w:rsid w:val="00B769ED"/>
    <w:rsid w:val="00B76AC8"/>
    <w:rsid w:val="00B76B17"/>
    <w:rsid w:val="00B76B83"/>
    <w:rsid w:val="00B76C62"/>
    <w:rsid w:val="00B76DD8"/>
    <w:rsid w:val="00B76DE4"/>
    <w:rsid w:val="00B770B1"/>
    <w:rsid w:val="00B771B3"/>
    <w:rsid w:val="00B771DA"/>
    <w:rsid w:val="00B771EA"/>
    <w:rsid w:val="00B7730E"/>
    <w:rsid w:val="00B77486"/>
    <w:rsid w:val="00B7756D"/>
    <w:rsid w:val="00B77590"/>
    <w:rsid w:val="00B7763F"/>
    <w:rsid w:val="00B77A8C"/>
    <w:rsid w:val="00B77D2C"/>
    <w:rsid w:val="00B77DA4"/>
    <w:rsid w:val="00B77E68"/>
    <w:rsid w:val="00B77FE6"/>
    <w:rsid w:val="00B80005"/>
    <w:rsid w:val="00B8002D"/>
    <w:rsid w:val="00B800AA"/>
    <w:rsid w:val="00B800F0"/>
    <w:rsid w:val="00B80299"/>
    <w:rsid w:val="00B803CA"/>
    <w:rsid w:val="00B80413"/>
    <w:rsid w:val="00B8047D"/>
    <w:rsid w:val="00B806A9"/>
    <w:rsid w:val="00B806D9"/>
    <w:rsid w:val="00B8087C"/>
    <w:rsid w:val="00B809B2"/>
    <w:rsid w:val="00B80A7A"/>
    <w:rsid w:val="00B80AE9"/>
    <w:rsid w:val="00B80B43"/>
    <w:rsid w:val="00B80B5C"/>
    <w:rsid w:val="00B80B8B"/>
    <w:rsid w:val="00B80C40"/>
    <w:rsid w:val="00B80CB1"/>
    <w:rsid w:val="00B80CDE"/>
    <w:rsid w:val="00B80EF6"/>
    <w:rsid w:val="00B80FDA"/>
    <w:rsid w:val="00B81065"/>
    <w:rsid w:val="00B810D8"/>
    <w:rsid w:val="00B81189"/>
    <w:rsid w:val="00B81314"/>
    <w:rsid w:val="00B8133C"/>
    <w:rsid w:val="00B81373"/>
    <w:rsid w:val="00B8142A"/>
    <w:rsid w:val="00B8156C"/>
    <w:rsid w:val="00B81580"/>
    <w:rsid w:val="00B816CF"/>
    <w:rsid w:val="00B817BE"/>
    <w:rsid w:val="00B81824"/>
    <w:rsid w:val="00B818C8"/>
    <w:rsid w:val="00B81959"/>
    <w:rsid w:val="00B819E8"/>
    <w:rsid w:val="00B81A0A"/>
    <w:rsid w:val="00B81B3B"/>
    <w:rsid w:val="00B81D68"/>
    <w:rsid w:val="00B81E22"/>
    <w:rsid w:val="00B81EF6"/>
    <w:rsid w:val="00B8209E"/>
    <w:rsid w:val="00B82286"/>
    <w:rsid w:val="00B824AA"/>
    <w:rsid w:val="00B824AF"/>
    <w:rsid w:val="00B824F2"/>
    <w:rsid w:val="00B8264F"/>
    <w:rsid w:val="00B82660"/>
    <w:rsid w:val="00B8277A"/>
    <w:rsid w:val="00B8277B"/>
    <w:rsid w:val="00B827DA"/>
    <w:rsid w:val="00B82864"/>
    <w:rsid w:val="00B829B0"/>
    <w:rsid w:val="00B82AB6"/>
    <w:rsid w:val="00B82B4B"/>
    <w:rsid w:val="00B82B4C"/>
    <w:rsid w:val="00B82BCB"/>
    <w:rsid w:val="00B82BE3"/>
    <w:rsid w:val="00B82C2C"/>
    <w:rsid w:val="00B82C40"/>
    <w:rsid w:val="00B82D22"/>
    <w:rsid w:val="00B82D65"/>
    <w:rsid w:val="00B82E5B"/>
    <w:rsid w:val="00B82F33"/>
    <w:rsid w:val="00B83003"/>
    <w:rsid w:val="00B8300B"/>
    <w:rsid w:val="00B8305B"/>
    <w:rsid w:val="00B830B6"/>
    <w:rsid w:val="00B832D8"/>
    <w:rsid w:val="00B8331C"/>
    <w:rsid w:val="00B8348E"/>
    <w:rsid w:val="00B834C9"/>
    <w:rsid w:val="00B8354B"/>
    <w:rsid w:val="00B8358A"/>
    <w:rsid w:val="00B83647"/>
    <w:rsid w:val="00B83734"/>
    <w:rsid w:val="00B83766"/>
    <w:rsid w:val="00B8385A"/>
    <w:rsid w:val="00B83873"/>
    <w:rsid w:val="00B8387C"/>
    <w:rsid w:val="00B83898"/>
    <w:rsid w:val="00B839A8"/>
    <w:rsid w:val="00B83AC3"/>
    <w:rsid w:val="00B83B35"/>
    <w:rsid w:val="00B83B6A"/>
    <w:rsid w:val="00B83BC6"/>
    <w:rsid w:val="00B83CAB"/>
    <w:rsid w:val="00B83CFB"/>
    <w:rsid w:val="00B83D1C"/>
    <w:rsid w:val="00B83D3B"/>
    <w:rsid w:val="00B83D8A"/>
    <w:rsid w:val="00B83E84"/>
    <w:rsid w:val="00B83E97"/>
    <w:rsid w:val="00B83F25"/>
    <w:rsid w:val="00B83F46"/>
    <w:rsid w:val="00B83FF5"/>
    <w:rsid w:val="00B8402B"/>
    <w:rsid w:val="00B8402C"/>
    <w:rsid w:val="00B84100"/>
    <w:rsid w:val="00B84286"/>
    <w:rsid w:val="00B84305"/>
    <w:rsid w:val="00B8430B"/>
    <w:rsid w:val="00B8431E"/>
    <w:rsid w:val="00B84508"/>
    <w:rsid w:val="00B84575"/>
    <w:rsid w:val="00B845A3"/>
    <w:rsid w:val="00B84651"/>
    <w:rsid w:val="00B847E6"/>
    <w:rsid w:val="00B848DD"/>
    <w:rsid w:val="00B849B5"/>
    <w:rsid w:val="00B849FA"/>
    <w:rsid w:val="00B84B5E"/>
    <w:rsid w:val="00B84BA0"/>
    <w:rsid w:val="00B84BC2"/>
    <w:rsid w:val="00B84C56"/>
    <w:rsid w:val="00B84C59"/>
    <w:rsid w:val="00B84D46"/>
    <w:rsid w:val="00B84DFD"/>
    <w:rsid w:val="00B84ED5"/>
    <w:rsid w:val="00B84F9F"/>
    <w:rsid w:val="00B84FBD"/>
    <w:rsid w:val="00B85060"/>
    <w:rsid w:val="00B8507D"/>
    <w:rsid w:val="00B85134"/>
    <w:rsid w:val="00B8524A"/>
    <w:rsid w:val="00B852CA"/>
    <w:rsid w:val="00B853F9"/>
    <w:rsid w:val="00B8587F"/>
    <w:rsid w:val="00B8591D"/>
    <w:rsid w:val="00B85987"/>
    <w:rsid w:val="00B85A48"/>
    <w:rsid w:val="00B85AFD"/>
    <w:rsid w:val="00B85B4B"/>
    <w:rsid w:val="00B85CC6"/>
    <w:rsid w:val="00B85F28"/>
    <w:rsid w:val="00B8613D"/>
    <w:rsid w:val="00B86242"/>
    <w:rsid w:val="00B8624F"/>
    <w:rsid w:val="00B862AB"/>
    <w:rsid w:val="00B8632E"/>
    <w:rsid w:val="00B8636B"/>
    <w:rsid w:val="00B863DF"/>
    <w:rsid w:val="00B86571"/>
    <w:rsid w:val="00B865EC"/>
    <w:rsid w:val="00B86699"/>
    <w:rsid w:val="00B86703"/>
    <w:rsid w:val="00B8672B"/>
    <w:rsid w:val="00B86AA1"/>
    <w:rsid w:val="00B86ABA"/>
    <w:rsid w:val="00B87098"/>
    <w:rsid w:val="00B870E8"/>
    <w:rsid w:val="00B8715D"/>
    <w:rsid w:val="00B87167"/>
    <w:rsid w:val="00B87260"/>
    <w:rsid w:val="00B8738D"/>
    <w:rsid w:val="00B87396"/>
    <w:rsid w:val="00B873BD"/>
    <w:rsid w:val="00B873C7"/>
    <w:rsid w:val="00B87727"/>
    <w:rsid w:val="00B878A3"/>
    <w:rsid w:val="00B878FA"/>
    <w:rsid w:val="00B87976"/>
    <w:rsid w:val="00B8797B"/>
    <w:rsid w:val="00B87AFC"/>
    <w:rsid w:val="00B87B3C"/>
    <w:rsid w:val="00B87B55"/>
    <w:rsid w:val="00B87BAA"/>
    <w:rsid w:val="00B87BF9"/>
    <w:rsid w:val="00B87D5C"/>
    <w:rsid w:val="00B87DD3"/>
    <w:rsid w:val="00B87E25"/>
    <w:rsid w:val="00B87EC6"/>
    <w:rsid w:val="00B87F1C"/>
    <w:rsid w:val="00B9002E"/>
    <w:rsid w:val="00B90106"/>
    <w:rsid w:val="00B90160"/>
    <w:rsid w:val="00B9037E"/>
    <w:rsid w:val="00B9038F"/>
    <w:rsid w:val="00B90398"/>
    <w:rsid w:val="00B905E8"/>
    <w:rsid w:val="00B905EB"/>
    <w:rsid w:val="00B906A8"/>
    <w:rsid w:val="00B9083D"/>
    <w:rsid w:val="00B908D2"/>
    <w:rsid w:val="00B9092A"/>
    <w:rsid w:val="00B90967"/>
    <w:rsid w:val="00B90B57"/>
    <w:rsid w:val="00B90C02"/>
    <w:rsid w:val="00B90C0E"/>
    <w:rsid w:val="00B90C2D"/>
    <w:rsid w:val="00B90D28"/>
    <w:rsid w:val="00B90DC3"/>
    <w:rsid w:val="00B90F4C"/>
    <w:rsid w:val="00B90FAE"/>
    <w:rsid w:val="00B910A2"/>
    <w:rsid w:val="00B910FF"/>
    <w:rsid w:val="00B91148"/>
    <w:rsid w:val="00B91166"/>
    <w:rsid w:val="00B91188"/>
    <w:rsid w:val="00B91239"/>
    <w:rsid w:val="00B9124B"/>
    <w:rsid w:val="00B91307"/>
    <w:rsid w:val="00B91311"/>
    <w:rsid w:val="00B91455"/>
    <w:rsid w:val="00B914E1"/>
    <w:rsid w:val="00B9154A"/>
    <w:rsid w:val="00B915BF"/>
    <w:rsid w:val="00B9160D"/>
    <w:rsid w:val="00B91711"/>
    <w:rsid w:val="00B9176F"/>
    <w:rsid w:val="00B91811"/>
    <w:rsid w:val="00B91821"/>
    <w:rsid w:val="00B9185A"/>
    <w:rsid w:val="00B918FB"/>
    <w:rsid w:val="00B919A5"/>
    <w:rsid w:val="00B91C09"/>
    <w:rsid w:val="00B91C1A"/>
    <w:rsid w:val="00B91C6F"/>
    <w:rsid w:val="00B91CFE"/>
    <w:rsid w:val="00B91D8B"/>
    <w:rsid w:val="00B91E91"/>
    <w:rsid w:val="00B91F26"/>
    <w:rsid w:val="00B92029"/>
    <w:rsid w:val="00B9202C"/>
    <w:rsid w:val="00B920FF"/>
    <w:rsid w:val="00B921AC"/>
    <w:rsid w:val="00B921C3"/>
    <w:rsid w:val="00B921FD"/>
    <w:rsid w:val="00B922DF"/>
    <w:rsid w:val="00B925AB"/>
    <w:rsid w:val="00B92837"/>
    <w:rsid w:val="00B92B04"/>
    <w:rsid w:val="00B92B2B"/>
    <w:rsid w:val="00B92B45"/>
    <w:rsid w:val="00B92B68"/>
    <w:rsid w:val="00B92B6E"/>
    <w:rsid w:val="00B92BE5"/>
    <w:rsid w:val="00B92E1E"/>
    <w:rsid w:val="00B92E7D"/>
    <w:rsid w:val="00B92E98"/>
    <w:rsid w:val="00B92ED5"/>
    <w:rsid w:val="00B92ED7"/>
    <w:rsid w:val="00B92F01"/>
    <w:rsid w:val="00B92F15"/>
    <w:rsid w:val="00B92FAC"/>
    <w:rsid w:val="00B9302D"/>
    <w:rsid w:val="00B9306C"/>
    <w:rsid w:val="00B93131"/>
    <w:rsid w:val="00B931AA"/>
    <w:rsid w:val="00B931E2"/>
    <w:rsid w:val="00B9323B"/>
    <w:rsid w:val="00B93266"/>
    <w:rsid w:val="00B93269"/>
    <w:rsid w:val="00B9335E"/>
    <w:rsid w:val="00B9344C"/>
    <w:rsid w:val="00B934BB"/>
    <w:rsid w:val="00B934CA"/>
    <w:rsid w:val="00B935DC"/>
    <w:rsid w:val="00B936A1"/>
    <w:rsid w:val="00B936AC"/>
    <w:rsid w:val="00B93735"/>
    <w:rsid w:val="00B9393C"/>
    <w:rsid w:val="00B93BE7"/>
    <w:rsid w:val="00B93C84"/>
    <w:rsid w:val="00B93CC7"/>
    <w:rsid w:val="00B93CF9"/>
    <w:rsid w:val="00B93E16"/>
    <w:rsid w:val="00B93E72"/>
    <w:rsid w:val="00B93EF1"/>
    <w:rsid w:val="00B93F38"/>
    <w:rsid w:val="00B940A3"/>
    <w:rsid w:val="00B94319"/>
    <w:rsid w:val="00B943DB"/>
    <w:rsid w:val="00B944DF"/>
    <w:rsid w:val="00B944EB"/>
    <w:rsid w:val="00B94524"/>
    <w:rsid w:val="00B9457D"/>
    <w:rsid w:val="00B945E3"/>
    <w:rsid w:val="00B9466C"/>
    <w:rsid w:val="00B946B9"/>
    <w:rsid w:val="00B9470C"/>
    <w:rsid w:val="00B94770"/>
    <w:rsid w:val="00B9495A"/>
    <w:rsid w:val="00B949E6"/>
    <w:rsid w:val="00B94A88"/>
    <w:rsid w:val="00B94AF4"/>
    <w:rsid w:val="00B94CDF"/>
    <w:rsid w:val="00B94CE4"/>
    <w:rsid w:val="00B94E3A"/>
    <w:rsid w:val="00B94EE6"/>
    <w:rsid w:val="00B95169"/>
    <w:rsid w:val="00B951E8"/>
    <w:rsid w:val="00B95378"/>
    <w:rsid w:val="00B953A6"/>
    <w:rsid w:val="00B954BF"/>
    <w:rsid w:val="00B95704"/>
    <w:rsid w:val="00B95738"/>
    <w:rsid w:val="00B95775"/>
    <w:rsid w:val="00B95822"/>
    <w:rsid w:val="00B9593E"/>
    <w:rsid w:val="00B95952"/>
    <w:rsid w:val="00B9598F"/>
    <w:rsid w:val="00B95B45"/>
    <w:rsid w:val="00B95BDA"/>
    <w:rsid w:val="00B95BE8"/>
    <w:rsid w:val="00B95C83"/>
    <w:rsid w:val="00B95DE9"/>
    <w:rsid w:val="00B95ECE"/>
    <w:rsid w:val="00B95FA3"/>
    <w:rsid w:val="00B95FF8"/>
    <w:rsid w:val="00B96064"/>
    <w:rsid w:val="00B9606A"/>
    <w:rsid w:val="00B96074"/>
    <w:rsid w:val="00B96090"/>
    <w:rsid w:val="00B96154"/>
    <w:rsid w:val="00B96193"/>
    <w:rsid w:val="00B9621C"/>
    <w:rsid w:val="00B96379"/>
    <w:rsid w:val="00B964F3"/>
    <w:rsid w:val="00B967A5"/>
    <w:rsid w:val="00B9681A"/>
    <w:rsid w:val="00B96862"/>
    <w:rsid w:val="00B96922"/>
    <w:rsid w:val="00B96B36"/>
    <w:rsid w:val="00B96B3B"/>
    <w:rsid w:val="00B96C06"/>
    <w:rsid w:val="00B96D15"/>
    <w:rsid w:val="00B96D95"/>
    <w:rsid w:val="00B96EB0"/>
    <w:rsid w:val="00B96F15"/>
    <w:rsid w:val="00B96FA1"/>
    <w:rsid w:val="00B96FBD"/>
    <w:rsid w:val="00B97155"/>
    <w:rsid w:val="00B9720A"/>
    <w:rsid w:val="00B9720B"/>
    <w:rsid w:val="00B97412"/>
    <w:rsid w:val="00B97444"/>
    <w:rsid w:val="00B97629"/>
    <w:rsid w:val="00B97698"/>
    <w:rsid w:val="00B97779"/>
    <w:rsid w:val="00B97789"/>
    <w:rsid w:val="00B977C9"/>
    <w:rsid w:val="00B97828"/>
    <w:rsid w:val="00B9782F"/>
    <w:rsid w:val="00B9786D"/>
    <w:rsid w:val="00B97884"/>
    <w:rsid w:val="00B978C0"/>
    <w:rsid w:val="00B978E3"/>
    <w:rsid w:val="00B9791E"/>
    <w:rsid w:val="00B97B25"/>
    <w:rsid w:val="00B97C24"/>
    <w:rsid w:val="00B97CF2"/>
    <w:rsid w:val="00B97D72"/>
    <w:rsid w:val="00B97E14"/>
    <w:rsid w:val="00BA0094"/>
    <w:rsid w:val="00BA00AD"/>
    <w:rsid w:val="00BA0246"/>
    <w:rsid w:val="00BA0352"/>
    <w:rsid w:val="00BA03E8"/>
    <w:rsid w:val="00BA03EA"/>
    <w:rsid w:val="00BA0611"/>
    <w:rsid w:val="00BA0735"/>
    <w:rsid w:val="00BA07A7"/>
    <w:rsid w:val="00BA0825"/>
    <w:rsid w:val="00BA09C8"/>
    <w:rsid w:val="00BA0AEC"/>
    <w:rsid w:val="00BA0B20"/>
    <w:rsid w:val="00BA0BD9"/>
    <w:rsid w:val="00BA0E56"/>
    <w:rsid w:val="00BA106D"/>
    <w:rsid w:val="00BA10BD"/>
    <w:rsid w:val="00BA10EA"/>
    <w:rsid w:val="00BA120C"/>
    <w:rsid w:val="00BA12EA"/>
    <w:rsid w:val="00BA1543"/>
    <w:rsid w:val="00BA1574"/>
    <w:rsid w:val="00BA16D2"/>
    <w:rsid w:val="00BA16F1"/>
    <w:rsid w:val="00BA1750"/>
    <w:rsid w:val="00BA1873"/>
    <w:rsid w:val="00BA1B3C"/>
    <w:rsid w:val="00BA1D58"/>
    <w:rsid w:val="00BA1DFD"/>
    <w:rsid w:val="00BA1F2F"/>
    <w:rsid w:val="00BA217F"/>
    <w:rsid w:val="00BA2187"/>
    <w:rsid w:val="00BA21B6"/>
    <w:rsid w:val="00BA21CE"/>
    <w:rsid w:val="00BA21FD"/>
    <w:rsid w:val="00BA231D"/>
    <w:rsid w:val="00BA232E"/>
    <w:rsid w:val="00BA23A6"/>
    <w:rsid w:val="00BA24E4"/>
    <w:rsid w:val="00BA25A6"/>
    <w:rsid w:val="00BA2653"/>
    <w:rsid w:val="00BA269F"/>
    <w:rsid w:val="00BA26AF"/>
    <w:rsid w:val="00BA273F"/>
    <w:rsid w:val="00BA27F3"/>
    <w:rsid w:val="00BA2B40"/>
    <w:rsid w:val="00BA2B86"/>
    <w:rsid w:val="00BA2BAD"/>
    <w:rsid w:val="00BA2CAA"/>
    <w:rsid w:val="00BA2DF4"/>
    <w:rsid w:val="00BA2E1A"/>
    <w:rsid w:val="00BA2F26"/>
    <w:rsid w:val="00BA2FC3"/>
    <w:rsid w:val="00BA30D0"/>
    <w:rsid w:val="00BA3107"/>
    <w:rsid w:val="00BA3228"/>
    <w:rsid w:val="00BA3292"/>
    <w:rsid w:val="00BA3298"/>
    <w:rsid w:val="00BA32C6"/>
    <w:rsid w:val="00BA339E"/>
    <w:rsid w:val="00BA3434"/>
    <w:rsid w:val="00BA3666"/>
    <w:rsid w:val="00BA36C4"/>
    <w:rsid w:val="00BA3770"/>
    <w:rsid w:val="00BA38A8"/>
    <w:rsid w:val="00BA3909"/>
    <w:rsid w:val="00BA3A0F"/>
    <w:rsid w:val="00BA3ABF"/>
    <w:rsid w:val="00BA3AF0"/>
    <w:rsid w:val="00BA3AF6"/>
    <w:rsid w:val="00BA3B46"/>
    <w:rsid w:val="00BA3C60"/>
    <w:rsid w:val="00BA3CA7"/>
    <w:rsid w:val="00BA3CE9"/>
    <w:rsid w:val="00BA3DBE"/>
    <w:rsid w:val="00BA3E08"/>
    <w:rsid w:val="00BA3F3D"/>
    <w:rsid w:val="00BA3FC7"/>
    <w:rsid w:val="00BA4017"/>
    <w:rsid w:val="00BA40E9"/>
    <w:rsid w:val="00BA41C3"/>
    <w:rsid w:val="00BA41CA"/>
    <w:rsid w:val="00BA4283"/>
    <w:rsid w:val="00BA42A2"/>
    <w:rsid w:val="00BA42C8"/>
    <w:rsid w:val="00BA43FA"/>
    <w:rsid w:val="00BA4747"/>
    <w:rsid w:val="00BA475A"/>
    <w:rsid w:val="00BA48DD"/>
    <w:rsid w:val="00BA491C"/>
    <w:rsid w:val="00BA4ADD"/>
    <w:rsid w:val="00BA4C7E"/>
    <w:rsid w:val="00BA4D4D"/>
    <w:rsid w:val="00BA500A"/>
    <w:rsid w:val="00BA516F"/>
    <w:rsid w:val="00BA51F7"/>
    <w:rsid w:val="00BA5274"/>
    <w:rsid w:val="00BA528C"/>
    <w:rsid w:val="00BA53E7"/>
    <w:rsid w:val="00BA5687"/>
    <w:rsid w:val="00BA56F3"/>
    <w:rsid w:val="00BA56FF"/>
    <w:rsid w:val="00BA57D8"/>
    <w:rsid w:val="00BA5863"/>
    <w:rsid w:val="00BA58F0"/>
    <w:rsid w:val="00BA5924"/>
    <w:rsid w:val="00BA5A5A"/>
    <w:rsid w:val="00BA5AE9"/>
    <w:rsid w:val="00BA5C14"/>
    <w:rsid w:val="00BA5C43"/>
    <w:rsid w:val="00BA5CBB"/>
    <w:rsid w:val="00BA5EC4"/>
    <w:rsid w:val="00BA5FD7"/>
    <w:rsid w:val="00BA601D"/>
    <w:rsid w:val="00BA608F"/>
    <w:rsid w:val="00BA6330"/>
    <w:rsid w:val="00BA633E"/>
    <w:rsid w:val="00BA6345"/>
    <w:rsid w:val="00BA635F"/>
    <w:rsid w:val="00BA6382"/>
    <w:rsid w:val="00BA64EB"/>
    <w:rsid w:val="00BA654F"/>
    <w:rsid w:val="00BA657E"/>
    <w:rsid w:val="00BA65D8"/>
    <w:rsid w:val="00BA65EA"/>
    <w:rsid w:val="00BA668F"/>
    <w:rsid w:val="00BA66A2"/>
    <w:rsid w:val="00BA6787"/>
    <w:rsid w:val="00BA693B"/>
    <w:rsid w:val="00BA6950"/>
    <w:rsid w:val="00BA69E4"/>
    <w:rsid w:val="00BA6A20"/>
    <w:rsid w:val="00BA6A9A"/>
    <w:rsid w:val="00BA6B38"/>
    <w:rsid w:val="00BA6D71"/>
    <w:rsid w:val="00BA6E5A"/>
    <w:rsid w:val="00BA6E7C"/>
    <w:rsid w:val="00BA6F4D"/>
    <w:rsid w:val="00BA706F"/>
    <w:rsid w:val="00BA70CB"/>
    <w:rsid w:val="00BA7346"/>
    <w:rsid w:val="00BA739B"/>
    <w:rsid w:val="00BA7526"/>
    <w:rsid w:val="00BA752C"/>
    <w:rsid w:val="00BA7542"/>
    <w:rsid w:val="00BA75CF"/>
    <w:rsid w:val="00BA7725"/>
    <w:rsid w:val="00BA7743"/>
    <w:rsid w:val="00BA7854"/>
    <w:rsid w:val="00BA7863"/>
    <w:rsid w:val="00BA7923"/>
    <w:rsid w:val="00BA792F"/>
    <w:rsid w:val="00BA7941"/>
    <w:rsid w:val="00BA79A2"/>
    <w:rsid w:val="00BA7AED"/>
    <w:rsid w:val="00BA7BC2"/>
    <w:rsid w:val="00BA7BCF"/>
    <w:rsid w:val="00BA7E76"/>
    <w:rsid w:val="00BA7EE5"/>
    <w:rsid w:val="00BB00AE"/>
    <w:rsid w:val="00BB00EE"/>
    <w:rsid w:val="00BB01E4"/>
    <w:rsid w:val="00BB0317"/>
    <w:rsid w:val="00BB0427"/>
    <w:rsid w:val="00BB0435"/>
    <w:rsid w:val="00BB0513"/>
    <w:rsid w:val="00BB05FD"/>
    <w:rsid w:val="00BB0625"/>
    <w:rsid w:val="00BB07BF"/>
    <w:rsid w:val="00BB08BA"/>
    <w:rsid w:val="00BB09BA"/>
    <w:rsid w:val="00BB0C50"/>
    <w:rsid w:val="00BB0D8A"/>
    <w:rsid w:val="00BB0EE8"/>
    <w:rsid w:val="00BB0EFF"/>
    <w:rsid w:val="00BB0F08"/>
    <w:rsid w:val="00BB0F8B"/>
    <w:rsid w:val="00BB1028"/>
    <w:rsid w:val="00BB11AC"/>
    <w:rsid w:val="00BB120A"/>
    <w:rsid w:val="00BB1213"/>
    <w:rsid w:val="00BB125B"/>
    <w:rsid w:val="00BB12FD"/>
    <w:rsid w:val="00BB1389"/>
    <w:rsid w:val="00BB1741"/>
    <w:rsid w:val="00BB1768"/>
    <w:rsid w:val="00BB17E0"/>
    <w:rsid w:val="00BB18D8"/>
    <w:rsid w:val="00BB194A"/>
    <w:rsid w:val="00BB1A66"/>
    <w:rsid w:val="00BB1B7D"/>
    <w:rsid w:val="00BB1E3D"/>
    <w:rsid w:val="00BB1F54"/>
    <w:rsid w:val="00BB1F88"/>
    <w:rsid w:val="00BB1FE4"/>
    <w:rsid w:val="00BB204B"/>
    <w:rsid w:val="00BB2116"/>
    <w:rsid w:val="00BB2127"/>
    <w:rsid w:val="00BB21BB"/>
    <w:rsid w:val="00BB2204"/>
    <w:rsid w:val="00BB221B"/>
    <w:rsid w:val="00BB22D2"/>
    <w:rsid w:val="00BB22E8"/>
    <w:rsid w:val="00BB232C"/>
    <w:rsid w:val="00BB237F"/>
    <w:rsid w:val="00BB2392"/>
    <w:rsid w:val="00BB2402"/>
    <w:rsid w:val="00BB2454"/>
    <w:rsid w:val="00BB24E5"/>
    <w:rsid w:val="00BB25A4"/>
    <w:rsid w:val="00BB25E2"/>
    <w:rsid w:val="00BB261F"/>
    <w:rsid w:val="00BB26C0"/>
    <w:rsid w:val="00BB28C7"/>
    <w:rsid w:val="00BB2AFC"/>
    <w:rsid w:val="00BB2B29"/>
    <w:rsid w:val="00BB2B32"/>
    <w:rsid w:val="00BB2B6F"/>
    <w:rsid w:val="00BB2BFC"/>
    <w:rsid w:val="00BB2C55"/>
    <w:rsid w:val="00BB2D7D"/>
    <w:rsid w:val="00BB2E3C"/>
    <w:rsid w:val="00BB2EA8"/>
    <w:rsid w:val="00BB2F17"/>
    <w:rsid w:val="00BB2FE9"/>
    <w:rsid w:val="00BB309C"/>
    <w:rsid w:val="00BB310B"/>
    <w:rsid w:val="00BB31A9"/>
    <w:rsid w:val="00BB31B9"/>
    <w:rsid w:val="00BB3232"/>
    <w:rsid w:val="00BB32EA"/>
    <w:rsid w:val="00BB33D2"/>
    <w:rsid w:val="00BB35A7"/>
    <w:rsid w:val="00BB363A"/>
    <w:rsid w:val="00BB3649"/>
    <w:rsid w:val="00BB3696"/>
    <w:rsid w:val="00BB37DD"/>
    <w:rsid w:val="00BB3851"/>
    <w:rsid w:val="00BB3945"/>
    <w:rsid w:val="00BB3954"/>
    <w:rsid w:val="00BB39AA"/>
    <w:rsid w:val="00BB39D6"/>
    <w:rsid w:val="00BB39DA"/>
    <w:rsid w:val="00BB3AFF"/>
    <w:rsid w:val="00BB3C40"/>
    <w:rsid w:val="00BB3CAB"/>
    <w:rsid w:val="00BB3FAA"/>
    <w:rsid w:val="00BB4098"/>
    <w:rsid w:val="00BB40A1"/>
    <w:rsid w:val="00BB40AB"/>
    <w:rsid w:val="00BB40B2"/>
    <w:rsid w:val="00BB412C"/>
    <w:rsid w:val="00BB4197"/>
    <w:rsid w:val="00BB41CC"/>
    <w:rsid w:val="00BB4270"/>
    <w:rsid w:val="00BB42C5"/>
    <w:rsid w:val="00BB4339"/>
    <w:rsid w:val="00BB446D"/>
    <w:rsid w:val="00BB45FD"/>
    <w:rsid w:val="00BB4606"/>
    <w:rsid w:val="00BB461A"/>
    <w:rsid w:val="00BB4628"/>
    <w:rsid w:val="00BB46CF"/>
    <w:rsid w:val="00BB47CD"/>
    <w:rsid w:val="00BB496F"/>
    <w:rsid w:val="00BB49AD"/>
    <w:rsid w:val="00BB4AAF"/>
    <w:rsid w:val="00BB4ACA"/>
    <w:rsid w:val="00BB4B30"/>
    <w:rsid w:val="00BB4BF0"/>
    <w:rsid w:val="00BB4D6E"/>
    <w:rsid w:val="00BB4D7A"/>
    <w:rsid w:val="00BB4E5C"/>
    <w:rsid w:val="00BB4EB1"/>
    <w:rsid w:val="00BB4F83"/>
    <w:rsid w:val="00BB5168"/>
    <w:rsid w:val="00BB5209"/>
    <w:rsid w:val="00BB5332"/>
    <w:rsid w:val="00BB53B4"/>
    <w:rsid w:val="00BB557C"/>
    <w:rsid w:val="00BB56A9"/>
    <w:rsid w:val="00BB57A6"/>
    <w:rsid w:val="00BB58B9"/>
    <w:rsid w:val="00BB59E4"/>
    <w:rsid w:val="00BB5A8E"/>
    <w:rsid w:val="00BB5A9F"/>
    <w:rsid w:val="00BB5AB7"/>
    <w:rsid w:val="00BB5AC0"/>
    <w:rsid w:val="00BB5B08"/>
    <w:rsid w:val="00BB5C11"/>
    <w:rsid w:val="00BB5C4A"/>
    <w:rsid w:val="00BB5CF2"/>
    <w:rsid w:val="00BB5DBF"/>
    <w:rsid w:val="00BB5E1F"/>
    <w:rsid w:val="00BB5F79"/>
    <w:rsid w:val="00BB6091"/>
    <w:rsid w:val="00BB60C7"/>
    <w:rsid w:val="00BB61C3"/>
    <w:rsid w:val="00BB6230"/>
    <w:rsid w:val="00BB6563"/>
    <w:rsid w:val="00BB66B2"/>
    <w:rsid w:val="00BB6702"/>
    <w:rsid w:val="00BB67AC"/>
    <w:rsid w:val="00BB6879"/>
    <w:rsid w:val="00BB68D2"/>
    <w:rsid w:val="00BB6B11"/>
    <w:rsid w:val="00BB6B25"/>
    <w:rsid w:val="00BB6CBE"/>
    <w:rsid w:val="00BB712D"/>
    <w:rsid w:val="00BB7145"/>
    <w:rsid w:val="00BB72A0"/>
    <w:rsid w:val="00BB734E"/>
    <w:rsid w:val="00BB740A"/>
    <w:rsid w:val="00BB778C"/>
    <w:rsid w:val="00BB77E4"/>
    <w:rsid w:val="00BB7A21"/>
    <w:rsid w:val="00BB7B0C"/>
    <w:rsid w:val="00BB7B1B"/>
    <w:rsid w:val="00BB7C49"/>
    <w:rsid w:val="00BB7C8C"/>
    <w:rsid w:val="00BB7CA4"/>
    <w:rsid w:val="00BB7D25"/>
    <w:rsid w:val="00BB7E36"/>
    <w:rsid w:val="00BB7F14"/>
    <w:rsid w:val="00BB7F6E"/>
    <w:rsid w:val="00BB7FDC"/>
    <w:rsid w:val="00BB7FE0"/>
    <w:rsid w:val="00BC0121"/>
    <w:rsid w:val="00BC0155"/>
    <w:rsid w:val="00BC01C4"/>
    <w:rsid w:val="00BC034A"/>
    <w:rsid w:val="00BC039C"/>
    <w:rsid w:val="00BC042E"/>
    <w:rsid w:val="00BC0502"/>
    <w:rsid w:val="00BC0547"/>
    <w:rsid w:val="00BC0648"/>
    <w:rsid w:val="00BC076D"/>
    <w:rsid w:val="00BC081B"/>
    <w:rsid w:val="00BC08C4"/>
    <w:rsid w:val="00BC0929"/>
    <w:rsid w:val="00BC09A4"/>
    <w:rsid w:val="00BC09F4"/>
    <w:rsid w:val="00BC0AEE"/>
    <w:rsid w:val="00BC0CE5"/>
    <w:rsid w:val="00BC0CEA"/>
    <w:rsid w:val="00BC0F21"/>
    <w:rsid w:val="00BC0F3F"/>
    <w:rsid w:val="00BC0FB1"/>
    <w:rsid w:val="00BC1086"/>
    <w:rsid w:val="00BC114E"/>
    <w:rsid w:val="00BC1159"/>
    <w:rsid w:val="00BC1188"/>
    <w:rsid w:val="00BC11FA"/>
    <w:rsid w:val="00BC1283"/>
    <w:rsid w:val="00BC144F"/>
    <w:rsid w:val="00BC14BB"/>
    <w:rsid w:val="00BC16B1"/>
    <w:rsid w:val="00BC17AA"/>
    <w:rsid w:val="00BC18E4"/>
    <w:rsid w:val="00BC192E"/>
    <w:rsid w:val="00BC1A65"/>
    <w:rsid w:val="00BC1A80"/>
    <w:rsid w:val="00BC1CCD"/>
    <w:rsid w:val="00BC1CD4"/>
    <w:rsid w:val="00BC1CF8"/>
    <w:rsid w:val="00BC1D2A"/>
    <w:rsid w:val="00BC1EA6"/>
    <w:rsid w:val="00BC1EB8"/>
    <w:rsid w:val="00BC1EEB"/>
    <w:rsid w:val="00BC2090"/>
    <w:rsid w:val="00BC20B2"/>
    <w:rsid w:val="00BC213F"/>
    <w:rsid w:val="00BC2293"/>
    <w:rsid w:val="00BC253F"/>
    <w:rsid w:val="00BC2572"/>
    <w:rsid w:val="00BC2706"/>
    <w:rsid w:val="00BC277C"/>
    <w:rsid w:val="00BC27F4"/>
    <w:rsid w:val="00BC27F7"/>
    <w:rsid w:val="00BC28EB"/>
    <w:rsid w:val="00BC297D"/>
    <w:rsid w:val="00BC2983"/>
    <w:rsid w:val="00BC29D1"/>
    <w:rsid w:val="00BC2AD1"/>
    <w:rsid w:val="00BC2AFF"/>
    <w:rsid w:val="00BC2C49"/>
    <w:rsid w:val="00BC2C6A"/>
    <w:rsid w:val="00BC2CF9"/>
    <w:rsid w:val="00BC2D8C"/>
    <w:rsid w:val="00BC2DF4"/>
    <w:rsid w:val="00BC2E25"/>
    <w:rsid w:val="00BC2EE9"/>
    <w:rsid w:val="00BC2F09"/>
    <w:rsid w:val="00BC2FAF"/>
    <w:rsid w:val="00BC2FCB"/>
    <w:rsid w:val="00BC2FDE"/>
    <w:rsid w:val="00BC2FFD"/>
    <w:rsid w:val="00BC3030"/>
    <w:rsid w:val="00BC313C"/>
    <w:rsid w:val="00BC3404"/>
    <w:rsid w:val="00BC3442"/>
    <w:rsid w:val="00BC3471"/>
    <w:rsid w:val="00BC3522"/>
    <w:rsid w:val="00BC35FE"/>
    <w:rsid w:val="00BC36DE"/>
    <w:rsid w:val="00BC3916"/>
    <w:rsid w:val="00BC39E0"/>
    <w:rsid w:val="00BC3A80"/>
    <w:rsid w:val="00BC3A86"/>
    <w:rsid w:val="00BC3B61"/>
    <w:rsid w:val="00BC3B76"/>
    <w:rsid w:val="00BC3C2E"/>
    <w:rsid w:val="00BC3D2A"/>
    <w:rsid w:val="00BC3DBD"/>
    <w:rsid w:val="00BC3E47"/>
    <w:rsid w:val="00BC3EE8"/>
    <w:rsid w:val="00BC41C5"/>
    <w:rsid w:val="00BC4214"/>
    <w:rsid w:val="00BC42A3"/>
    <w:rsid w:val="00BC42C7"/>
    <w:rsid w:val="00BC4447"/>
    <w:rsid w:val="00BC4471"/>
    <w:rsid w:val="00BC4493"/>
    <w:rsid w:val="00BC449E"/>
    <w:rsid w:val="00BC44B3"/>
    <w:rsid w:val="00BC44C8"/>
    <w:rsid w:val="00BC45D1"/>
    <w:rsid w:val="00BC476B"/>
    <w:rsid w:val="00BC47F3"/>
    <w:rsid w:val="00BC48D5"/>
    <w:rsid w:val="00BC49AF"/>
    <w:rsid w:val="00BC4A04"/>
    <w:rsid w:val="00BC4A7B"/>
    <w:rsid w:val="00BC4A7F"/>
    <w:rsid w:val="00BC4AF7"/>
    <w:rsid w:val="00BC4B21"/>
    <w:rsid w:val="00BC4B56"/>
    <w:rsid w:val="00BC4F23"/>
    <w:rsid w:val="00BC4F4F"/>
    <w:rsid w:val="00BC50EB"/>
    <w:rsid w:val="00BC517F"/>
    <w:rsid w:val="00BC5224"/>
    <w:rsid w:val="00BC5291"/>
    <w:rsid w:val="00BC52CE"/>
    <w:rsid w:val="00BC53D4"/>
    <w:rsid w:val="00BC55BF"/>
    <w:rsid w:val="00BC5635"/>
    <w:rsid w:val="00BC5738"/>
    <w:rsid w:val="00BC5760"/>
    <w:rsid w:val="00BC5777"/>
    <w:rsid w:val="00BC5786"/>
    <w:rsid w:val="00BC58BD"/>
    <w:rsid w:val="00BC5905"/>
    <w:rsid w:val="00BC5977"/>
    <w:rsid w:val="00BC5AB6"/>
    <w:rsid w:val="00BC5AE3"/>
    <w:rsid w:val="00BC5B80"/>
    <w:rsid w:val="00BC5BF9"/>
    <w:rsid w:val="00BC5C8A"/>
    <w:rsid w:val="00BC5CAF"/>
    <w:rsid w:val="00BC5D38"/>
    <w:rsid w:val="00BC5DD0"/>
    <w:rsid w:val="00BC5E15"/>
    <w:rsid w:val="00BC604D"/>
    <w:rsid w:val="00BC6116"/>
    <w:rsid w:val="00BC611E"/>
    <w:rsid w:val="00BC614D"/>
    <w:rsid w:val="00BC61D0"/>
    <w:rsid w:val="00BC62C8"/>
    <w:rsid w:val="00BC6329"/>
    <w:rsid w:val="00BC6364"/>
    <w:rsid w:val="00BC6452"/>
    <w:rsid w:val="00BC6479"/>
    <w:rsid w:val="00BC64FC"/>
    <w:rsid w:val="00BC6501"/>
    <w:rsid w:val="00BC6553"/>
    <w:rsid w:val="00BC656F"/>
    <w:rsid w:val="00BC65C2"/>
    <w:rsid w:val="00BC65CB"/>
    <w:rsid w:val="00BC667D"/>
    <w:rsid w:val="00BC66D3"/>
    <w:rsid w:val="00BC680A"/>
    <w:rsid w:val="00BC6847"/>
    <w:rsid w:val="00BC694A"/>
    <w:rsid w:val="00BC6964"/>
    <w:rsid w:val="00BC6A33"/>
    <w:rsid w:val="00BC6CCF"/>
    <w:rsid w:val="00BC6E35"/>
    <w:rsid w:val="00BC6E4A"/>
    <w:rsid w:val="00BC6E7D"/>
    <w:rsid w:val="00BC6EE5"/>
    <w:rsid w:val="00BC6F2C"/>
    <w:rsid w:val="00BC6FE4"/>
    <w:rsid w:val="00BC7011"/>
    <w:rsid w:val="00BC705C"/>
    <w:rsid w:val="00BC7060"/>
    <w:rsid w:val="00BC723D"/>
    <w:rsid w:val="00BC726D"/>
    <w:rsid w:val="00BC7352"/>
    <w:rsid w:val="00BC7362"/>
    <w:rsid w:val="00BC7392"/>
    <w:rsid w:val="00BC74DA"/>
    <w:rsid w:val="00BC74EA"/>
    <w:rsid w:val="00BC7514"/>
    <w:rsid w:val="00BC7574"/>
    <w:rsid w:val="00BC75BF"/>
    <w:rsid w:val="00BC7874"/>
    <w:rsid w:val="00BC78A7"/>
    <w:rsid w:val="00BC7AF6"/>
    <w:rsid w:val="00BC7BEC"/>
    <w:rsid w:val="00BC7C2E"/>
    <w:rsid w:val="00BC7CE9"/>
    <w:rsid w:val="00BC7F45"/>
    <w:rsid w:val="00BC7FA0"/>
    <w:rsid w:val="00BD0001"/>
    <w:rsid w:val="00BD0161"/>
    <w:rsid w:val="00BD01B0"/>
    <w:rsid w:val="00BD01C5"/>
    <w:rsid w:val="00BD01DE"/>
    <w:rsid w:val="00BD022B"/>
    <w:rsid w:val="00BD02F4"/>
    <w:rsid w:val="00BD03A8"/>
    <w:rsid w:val="00BD03BE"/>
    <w:rsid w:val="00BD04F4"/>
    <w:rsid w:val="00BD05E9"/>
    <w:rsid w:val="00BD05EC"/>
    <w:rsid w:val="00BD060F"/>
    <w:rsid w:val="00BD06E8"/>
    <w:rsid w:val="00BD073C"/>
    <w:rsid w:val="00BD092A"/>
    <w:rsid w:val="00BD098E"/>
    <w:rsid w:val="00BD09CA"/>
    <w:rsid w:val="00BD09DA"/>
    <w:rsid w:val="00BD0D53"/>
    <w:rsid w:val="00BD0D68"/>
    <w:rsid w:val="00BD0D69"/>
    <w:rsid w:val="00BD0F69"/>
    <w:rsid w:val="00BD0FDA"/>
    <w:rsid w:val="00BD1023"/>
    <w:rsid w:val="00BD11CD"/>
    <w:rsid w:val="00BD1203"/>
    <w:rsid w:val="00BD1320"/>
    <w:rsid w:val="00BD14D9"/>
    <w:rsid w:val="00BD1562"/>
    <w:rsid w:val="00BD1766"/>
    <w:rsid w:val="00BD1880"/>
    <w:rsid w:val="00BD1985"/>
    <w:rsid w:val="00BD19A4"/>
    <w:rsid w:val="00BD19A6"/>
    <w:rsid w:val="00BD1A65"/>
    <w:rsid w:val="00BD1CCE"/>
    <w:rsid w:val="00BD1EB6"/>
    <w:rsid w:val="00BD1F99"/>
    <w:rsid w:val="00BD201A"/>
    <w:rsid w:val="00BD2111"/>
    <w:rsid w:val="00BD2148"/>
    <w:rsid w:val="00BD2238"/>
    <w:rsid w:val="00BD2296"/>
    <w:rsid w:val="00BD2344"/>
    <w:rsid w:val="00BD2439"/>
    <w:rsid w:val="00BD24A8"/>
    <w:rsid w:val="00BD24BE"/>
    <w:rsid w:val="00BD285C"/>
    <w:rsid w:val="00BD29A9"/>
    <w:rsid w:val="00BD2A76"/>
    <w:rsid w:val="00BD2B80"/>
    <w:rsid w:val="00BD2BEE"/>
    <w:rsid w:val="00BD2C4D"/>
    <w:rsid w:val="00BD2CAF"/>
    <w:rsid w:val="00BD2CB4"/>
    <w:rsid w:val="00BD2CF5"/>
    <w:rsid w:val="00BD2E13"/>
    <w:rsid w:val="00BD2EBC"/>
    <w:rsid w:val="00BD2EE1"/>
    <w:rsid w:val="00BD2F11"/>
    <w:rsid w:val="00BD316F"/>
    <w:rsid w:val="00BD32E9"/>
    <w:rsid w:val="00BD3304"/>
    <w:rsid w:val="00BD33AC"/>
    <w:rsid w:val="00BD3483"/>
    <w:rsid w:val="00BD3489"/>
    <w:rsid w:val="00BD364A"/>
    <w:rsid w:val="00BD37C4"/>
    <w:rsid w:val="00BD381A"/>
    <w:rsid w:val="00BD391E"/>
    <w:rsid w:val="00BD394E"/>
    <w:rsid w:val="00BD3A25"/>
    <w:rsid w:val="00BD3AB2"/>
    <w:rsid w:val="00BD3B17"/>
    <w:rsid w:val="00BD3BD2"/>
    <w:rsid w:val="00BD3BFE"/>
    <w:rsid w:val="00BD3CA8"/>
    <w:rsid w:val="00BD3D4B"/>
    <w:rsid w:val="00BD3E0C"/>
    <w:rsid w:val="00BD3E68"/>
    <w:rsid w:val="00BD3EF2"/>
    <w:rsid w:val="00BD3F39"/>
    <w:rsid w:val="00BD408F"/>
    <w:rsid w:val="00BD40B9"/>
    <w:rsid w:val="00BD4145"/>
    <w:rsid w:val="00BD44E8"/>
    <w:rsid w:val="00BD4523"/>
    <w:rsid w:val="00BD4727"/>
    <w:rsid w:val="00BD479E"/>
    <w:rsid w:val="00BD4827"/>
    <w:rsid w:val="00BD4B21"/>
    <w:rsid w:val="00BD4E41"/>
    <w:rsid w:val="00BD4F40"/>
    <w:rsid w:val="00BD5193"/>
    <w:rsid w:val="00BD51D7"/>
    <w:rsid w:val="00BD533A"/>
    <w:rsid w:val="00BD54C4"/>
    <w:rsid w:val="00BD5573"/>
    <w:rsid w:val="00BD5611"/>
    <w:rsid w:val="00BD56F1"/>
    <w:rsid w:val="00BD56FD"/>
    <w:rsid w:val="00BD57B9"/>
    <w:rsid w:val="00BD57FA"/>
    <w:rsid w:val="00BD58D4"/>
    <w:rsid w:val="00BD5C61"/>
    <w:rsid w:val="00BD5D80"/>
    <w:rsid w:val="00BD5E89"/>
    <w:rsid w:val="00BD5F41"/>
    <w:rsid w:val="00BD6167"/>
    <w:rsid w:val="00BD61ED"/>
    <w:rsid w:val="00BD6234"/>
    <w:rsid w:val="00BD630C"/>
    <w:rsid w:val="00BD63B8"/>
    <w:rsid w:val="00BD6457"/>
    <w:rsid w:val="00BD6481"/>
    <w:rsid w:val="00BD653E"/>
    <w:rsid w:val="00BD658C"/>
    <w:rsid w:val="00BD678E"/>
    <w:rsid w:val="00BD68F6"/>
    <w:rsid w:val="00BD6931"/>
    <w:rsid w:val="00BD6A3D"/>
    <w:rsid w:val="00BD6BB6"/>
    <w:rsid w:val="00BD6CA6"/>
    <w:rsid w:val="00BD6CFE"/>
    <w:rsid w:val="00BD6D13"/>
    <w:rsid w:val="00BD6D39"/>
    <w:rsid w:val="00BD6E19"/>
    <w:rsid w:val="00BD708B"/>
    <w:rsid w:val="00BD711A"/>
    <w:rsid w:val="00BD7271"/>
    <w:rsid w:val="00BD736C"/>
    <w:rsid w:val="00BD7450"/>
    <w:rsid w:val="00BD7454"/>
    <w:rsid w:val="00BD746B"/>
    <w:rsid w:val="00BD7478"/>
    <w:rsid w:val="00BD75E2"/>
    <w:rsid w:val="00BD77DA"/>
    <w:rsid w:val="00BD78D2"/>
    <w:rsid w:val="00BD78F9"/>
    <w:rsid w:val="00BD78FB"/>
    <w:rsid w:val="00BD79FF"/>
    <w:rsid w:val="00BD7AE2"/>
    <w:rsid w:val="00BD7AF0"/>
    <w:rsid w:val="00BD7B52"/>
    <w:rsid w:val="00BD7B69"/>
    <w:rsid w:val="00BD7BF7"/>
    <w:rsid w:val="00BD7C09"/>
    <w:rsid w:val="00BD7C47"/>
    <w:rsid w:val="00BD7CB7"/>
    <w:rsid w:val="00BD7D4A"/>
    <w:rsid w:val="00BD7EED"/>
    <w:rsid w:val="00BE0028"/>
    <w:rsid w:val="00BE00AC"/>
    <w:rsid w:val="00BE00BB"/>
    <w:rsid w:val="00BE00DB"/>
    <w:rsid w:val="00BE0169"/>
    <w:rsid w:val="00BE01D3"/>
    <w:rsid w:val="00BE0309"/>
    <w:rsid w:val="00BE03E7"/>
    <w:rsid w:val="00BE03ED"/>
    <w:rsid w:val="00BE04CD"/>
    <w:rsid w:val="00BE0657"/>
    <w:rsid w:val="00BE06C5"/>
    <w:rsid w:val="00BE094A"/>
    <w:rsid w:val="00BE0974"/>
    <w:rsid w:val="00BE09E8"/>
    <w:rsid w:val="00BE0A0C"/>
    <w:rsid w:val="00BE0ABF"/>
    <w:rsid w:val="00BE0BC5"/>
    <w:rsid w:val="00BE0C7A"/>
    <w:rsid w:val="00BE0DF0"/>
    <w:rsid w:val="00BE0EFD"/>
    <w:rsid w:val="00BE0F48"/>
    <w:rsid w:val="00BE0F4F"/>
    <w:rsid w:val="00BE0F56"/>
    <w:rsid w:val="00BE0F85"/>
    <w:rsid w:val="00BE1051"/>
    <w:rsid w:val="00BE10C1"/>
    <w:rsid w:val="00BE10E0"/>
    <w:rsid w:val="00BE13E4"/>
    <w:rsid w:val="00BE1714"/>
    <w:rsid w:val="00BE176A"/>
    <w:rsid w:val="00BE17AB"/>
    <w:rsid w:val="00BE17D6"/>
    <w:rsid w:val="00BE18AB"/>
    <w:rsid w:val="00BE18EF"/>
    <w:rsid w:val="00BE1A1C"/>
    <w:rsid w:val="00BE1A25"/>
    <w:rsid w:val="00BE1AB6"/>
    <w:rsid w:val="00BE1B2D"/>
    <w:rsid w:val="00BE1C1B"/>
    <w:rsid w:val="00BE1D7B"/>
    <w:rsid w:val="00BE1E3C"/>
    <w:rsid w:val="00BE1F27"/>
    <w:rsid w:val="00BE1F69"/>
    <w:rsid w:val="00BE2112"/>
    <w:rsid w:val="00BE2117"/>
    <w:rsid w:val="00BE21A0"/>
    <w:rsid w:val="00BE21E8"/>
    <w:rsid w:val="00BE226A"/>
    <w:rsid w:val="00BE2282"/>
    <w:rsid w:val="00BE2296"/>
    <w:rsid w:val="00BE22CD"/>
    <w:rsid w:val="00BE2344"/>
    <w:rsid w:val="00BE2395"/>
    <w:rsid w:val="00BE23BE"/>
    <w:rsid w:val="00BE2402"/>
    <w:rsid w:val="00BE2424"/>
    <w:rsid w:val="00BE248E"/>
    <w:rsid w:val="00BE2505"/>
    <w:rsid w:val="00BE2594"/>
    <w:rsid w:val="00BE25E4"/>
    <w:rsid w:val="00BE2611"/>
    <w:rsid w:val="00BE276B"/>
    <w:rsid w:val="00BE2AC2"/>
    <w:rsid w:val="00BE2AE3"/>
    <w:rsid w:val="00BE2BCF"/>
    <w:rsid w:val="00BE2C1B"/>
    <w:rsid w:val="00BE2E9C"/>
    <w:rsid w:val="00BE2F50"/>
    <w:rsid w:val="00BE2F53"/>
    <w:rsid w:val="00BE3008"/>
    <w:rsid w:val="00BE3015"/>
    <w:rsid w:val="00BE337E"/>
    <w:rsid w:val="00BE33D6"/>
    <w:rsid w:val="00BE3466"/>
    <w:rsid w:val="00BE3472"/>
    <w:rsid w:val="00BE34B4"/>
    <w:rsid w:val="00BE35C1"/>
    <w:rsid w:val="00BE35E6"/>
    <w:rsid w:val="00BE3C32"/>
    <w:rsid w:val="00BE3C91"/>
    <w:rsid w:val="00BE3FFF"/>
    <w:rsid w:val="00BE4055"/>
    <w:rsid w:val="00BE4059"/>
    <w:rsid w:val="00BE40DF"/>
    <w:rsid w:val="00BE414B"/>
    <w:rsid w:val="00BE41F2"/>
    <w:rsid w:val="00BE423B"/>
    <w:rsid w:val="00BE4353"/>
    <w:rsid w:val="00BE4388"/>
    <w:rsid w:val="00BE43F0"/>
    <w:rsid w:val="00BE44BA"/>
    <w:rsid w:val="00BE455B"/>
    <w:rsid w:val="00BE463F"/>
    <w:rsid w:val="00BE46F5"/>
    <w:rsid w:val="00BE4735"/>
    <w:rsid w:val="00BE479E"/>
    <w:rsid w:val="00BE480A"/>
    <w:rsid w:val="00BE4830"/>
    <w:rsid w:val="00BE48D4"/>
    <w:rsid w:val="00BE4908"/>
    <w:rsid w:val="00BE496E"/>
    <w:rsid w:val="00BE49E8"/>
    <w:rsid w:val="00BE49EB"/>
    <w:rsid w:val="00BE4C55"/>
    <w:rsid w:val="00BE4CC1"/>
    <w:rsid w:val="00BE4CFB"/>
    <w:rsid w:val="00BE4DA6"/>
    <w:rsid w:val="00BE4EA8"/>
    <w:rsid w:val="00BE4FA5"/>
    <w:rsid w:val="00BE4FB0"/>
    <w:rsid w:val="00BE51A3"/>
    <w:rsid w:val="00BE51F5"/>
    <w:rsid w:val="00BE524D"/>
    <w:rsid w:val="00BE5480"/>
    <w:rsid w:val="00BE54AA"/>
    <w:rsid w:val="00BE5774"/>
    <w:rsid w:val="00BE58B4"/>
    <w:rsid w:val="00BE5A3F"/>
    <w:rsid w:val="00BE5A5E"/>
    <w:rsid w:val="00BE5B02"/>
    <w:rsid w:val="00BE5B8E"/>
    <w:rsid w:val="00BE5BAB"/>
    <w:rsid w:val="00BE5C12"/>
    <w:rsid w:val="00BE5CDF"/>
    <w:rsid w:val="00BE5D53"/>
    <w:rsid w:val="00BE5D9F"/>
    <w:rsid w:val="00BE5F55"/>
    <w:rsid w:val="00BE5FEB"/>
    <w:rsid w:val="00BE6254"/>
    <w:rsid w:val="00BE62E7"/>
    <w:rsid w:val="00BE632B"/>
    <w:rsid w:val="00BE6447"/>
    <w:rsid w:val="00BE647F"/>
    <w:rsid w:val="00BE66FA"/>
    <w:rsid w:val="00BE6728"/>
    <w:rsid w:val="00BE67D4"/>
    <w:rsid w:val="00BE67E9"/>
    <w:rsid w:val="00BE6808"/>
    <w:rsid w:val="00BE6A0B"/>
    <w:rsid w:val="00BE6AA2"/>
    <w:rsid w:val="00BE6ABD"/>
    <w:rsid w:val="00BE6AF7"/>
    <w:rsid w:val="00BE6D7B"/>
    <w:rsid w:val="00BE6DAB"/>
    <w:rsid w:val="00BE6F42"/>
    <w:rsid w:val="00BE6F62"/>
    <w:rsid w:val="00BE6F8E"/>
    <w:rsid w:val="00BE703B"/>
    <w:rsid w:val="00BE7296"/>
    <w:rsid w:val="00BE73B9"/>
    <w:rsid w:val="00BE73C0"/>
    <w:rsid w:val="00BE7452"/>
    <w:rsid w:val="00BE7646"/>
    <w:rsid w:val="00BE76CD"/>
    <w:rsid w:val="00BE7886"/>
    <w:rsid w:val="00BE78DE"/>
    <w:rsid w:val="00BE794C"/>
    <w:rsid w:val="00BE79B1"/>
    <w:rsid w:val="00BE7A1E"/>
    <w:rsid w:val="00BE7A31"/>
    <w:rsid w:val="00BE7B1E"/>
    <w:rsid w:val="00BE7B90"/>
    <w:rsid w:val="00BE7BEF"/>
    <w:rsid w:val="00BE7C5C"/>
    <w:rsid w:val="00BE7D30"/>
    <w:rsid w:val="00BE7DCE"/>
    <w:rsid w:val="00BE7EB0"/>
    <w:rsid w:val="00BE7EE0"/>
    <w:rsid w:val="00BE7F26"/>
    <w:rsid w:val="00BF0105"/>
    <w:rsid w:val="00BF0148"/>
    <w:rsid w:val="00BF0157"/>
    <w:rsid w:val="00BF02C3"/>
    <w:rsid w:val="00BF03B1"/>
    <w:rsid w:val="00BF0450"/>
    <w:rsid w:val="00BF048A"/>
    <w:rsid w:val="00BF0677"/>
    <w:rsid w:val="00BF06C8"/>
    <w:rsid w:val="00BF075E"/>
    <w:rsid w:val="00BF0779"/>
    <w:rsid w:val="00BF078B"/>
    <w:rsid w:val="00BF07AA"/>
    <w:rsid w:val="00BF0842"/>
    <w:rsid w:val="00BF084E"/>
    <w:rsid w:val="00BF095C"/>
    <w:rsid w:val="00BF0A7A"/>
    <w:rsid w:val="00BF0B3C"/>
    <w:rsid w:val="00BF0C79"/>
    <w:rsid w:val="00BF0CCE"/>
    <w:rsid w:val="00BF0E00"/>
    <w:rsid w:val="00BF0F76"/>
    <w:rsid w:val="00BF11F4"/>
    <w:rsid w:val="00BF1357"/>
    <w:rsid w:val="00BF1368"/>
    <w:rsid w:val="00BF13A0"/>
    <w:rsid w:val="00BF13FA"/>
    <w:rsid w:val="00BF1460"/>
    <w:rsid w:val="00BF14B0"/>
    <w:rsid w:val="00BF14B9"/>
    <w:rsid w:val="00BF14D3"/>
    <w:rsid w:val="00BF1529"/>
    <w:rsid w:val="00BF161C"/>
    <w:rsid w:val="00BF1775"/>
    <w:rsid w:val="00BF17E0"/>
    <w:rsid w:val="00BF17F4"/>
    <w:rsid w:val="00BF18BF"/>
    <w:rsid w:val="00BF1972"/>
    <w:rsid w:val="00BF19E0"/>
    <w:rsid w:val="00BF1AC8"/>
    <w:rsid w:val="00BF1EF2"/>
    <w:rsid w:val="00BF1F66"/>
    <w:rsid w:val="00BF1F71"/>
    <w:rsid w:val="00BF1FB4"/>
    <w:rsid w:val="00BF1FFA"/>
    <w:rsid w:val="00BF202D"/>
    <w:rsid w:val="00BF2174"/>
    <w:rsid w:val="00BF2218"/>
    <w:rsid w:val="00BF222B"/>
    <w:rsid w:val="00BF23DB"/>
    <w:rsid w:val="00BF23E4"/>
    <w:rsid w:val="00BF2553"/>
    <w:rsid w:val="00BF26A1"/>
    <w:rsid w:val="00BF279E"/>
    <w:rsid w:val="00BF2C11"/>
    <w:rsid w:val="00BF2CF9"/>
    <w:rsid w:val="00BF2D46"/>
    <w:rsid w:val="00BF2DD7"/>
    <w:rsid w:val="00BF2E9D"/>
    <w:rsid w:val="00BF2EAF"/>
    <w:rsid w:val="00BF2EE7"/>
    <w:rsid w:val="00BF2F75"/>
    <w:rsid w:val="00BF31F2"/>
    <w:rsid w:val="00BF3210"/>
    <w:rsid w:val="00BF323D"/>
    <w:rsid w:val="00BF32C2"/>
    <w:rsid w:val="00BF3408"/>
    <w:rsid w:val="00BF3471"/>
    <w:rsid w:val="00BF3651"/>
    <w:rsid w:val="00BF3786"/>
    <w:rsid w:val="00BF38AC"/>
    <w:rsid w:val="00BF3BBC"/>
    <w:rsid w:val="00BF3C2D"/>
    <w:rsid w:val="00BF3C57"/>
    <w:rsid w:val="00BF3C67"/>
    <w:rsid w:val="00BF3C7E"/>
    <w:rsid w:val="00BF3C9B"/>
    <w:rsid w:val="00BF3D0E"/>
    <w:rsid w:val="00BF3D29"/>
    <w:rsid w:val="00BF4000"/>
    <w:rsid w:val="00BF4042"/>
    <w:rsid w:val="00BF4054"/>
    <w:rsid w:val="00BF4057"/>
    <w:rsid w:val="00BF411C"/>
    <w:rsid w:val="00BF4243"/>
    <w:rsid w:val="00BF42EC"/>
    <w:rsid w:val="00BF4458"/>
    <w:rsid w:val="00BF44B5"/>
    <w:rsid w:val="00BF4509"/>
    <w:rsid w:val="00BF45F1"/>
    <w:rsid w:val="00BF4605"/>
    <w:rsid w:val="00BF47C5"/>
    <w:rsid w:val="00BF47C8"/>
    <w:rsid w:val="00BF486F"/>
    <w:rsid w:val="00BF4BEA"/>
    <w:rsid w:val="00BF4BED"/>
    <w:rsid w:val="00BF4CD4"/>
    <w:rsid w:val="00BF4CF6"/>
    <w:rsid w:val="00BF4D56"/>
    <w:rsid w:val="00BF4E0A"/>
    <w:rsid w:val="00BF4EE4"/>
    <w:rsid w:val="00BF4FDB"/>
    <w:rsid w:val="00BF518A"/>
    <w:rsid w:val="00BF5242"/>
    <w:rsid w:val="00BF52D7"/>
    <w:rsid w:val="00BF5312"/>
    <w:rsid w:val="00BF541D"/>
    <w:rsid w:val="00BF552C"/>
    <w:rsid w:val="00BF5642"/>
    <w:rsid w:val="00BF5673"/>
    <w:rsid w:val="00BF56BB"/>
    <w:rsid w:val="00BF57BD"/>
    <w:rsid w:val="00BF5818"/>
    <w:rsid w:val="00BF5902"/>
    <w:rsid w:val="00BF5963"/>
    <w:rsid w:val="00BF59BC"/>
    <w:rsid w:val="00BF5C92"/>
    <w:rsid w:val="00BF5D05"/>
    <w:rsid w:val="00BF5D0E"/>
    <w:rsid w:val="00BF5D50"/>
    <w:rsid w:val="00BF5D8A"/>
    <w:rsid w:val="00BF5E57"/>
    <w:rsid w:val="00BF5E5B"/>
    <w:rsid w:val="00BF5ECA"/>
    <w:rsid w:val="00BF5F53"/>
    <w:rsid w:val="00BF5F59"/>
    <w:rsid w:val="00BF5FC0"/>
    <w:rsid w:val="00BF6049"/>
    <w:rsid w:val="00BF6057"/>
    <w:rsid w:val="00BF6119"/>
    <w:rsid w:val="00BF6408"/>
    <w:rsid w:val="00BF66F4"/>
    <w:rsid w:val="00BF681C"/>
    <w:rsid w:val="00BF696D"/>
    <w:rsid w:val="00BF69B9"/>
    <w:rsid w:val="00BF69C0"/>
    <w:rsid w:val="00BF6A0B"/>
    <w:rsid w:val="00BF6A79"/>
    <w:rsid w:val="00BF6B97"/>
    <w:rsid w:val="00BF6BA9"/>
    <w:rsid w:val="00BF6BC5"/>
    <w:rsid w:val="00BF6BC6"/>
    <w:rsid w:val="00BF6C16"/>
    <w:rsid w:val="00BF6C2D"/>
    <w:rsid w:val="00BF6C58"/>
    <w:rsid w:val="00BF6E28"/>
    <w:rsid w:val="00BF6EDA"/>
    <w:rsid w:val="00BF6F6D"/>
    <w:rsid w:val="00BF6FAD"/>
    <w:rsid w:val="00BF6FD9"/>
    <w:rsid w:val="00BF7027"/>
    <w:rsid w:val="00BF7107"/>
    <w:rsid w:val="00BF722F"/>
    <w:rsid w:val="00BF732A"/>
    <w:rsid w:val="00BF7490"/>
    <w:rsid w:val="00BF76FF"/>
    <w:rsid w:val="00BF775B"/>
    <w:rsid w:val="00BF77B0"/>
    <w:rsid w:val="00BF7873"/>
    <w:rsid w:val="00BF797A"/>
    <w:rsid w:val="00BF79A7"/>
    <w:rsid w:val="00BF79AC"/>
    <w:rsid w:val="00BF7AFB"/>
    <w:rsid w:val="00BF7B93"/>
    <w:rsid w:val="00BF7D81"/>
    <w:rsid w:val="00BF7E33"/>
    <w:rsid w:val="00BF7E53"/>
    <w:rsid w:val="00BF7E9E"/>
    <w:rsid w:val="00C00050"/>
    <w:rsid w:val="00C00064"/>
    <w:rsid w:val="00C0007C"/>
    <w:rsid w:val="00C000ED"/>
    <w:rsid w:val="00C0012F"/>
    <w:rsid w:val="00C001B1"/>
    <w:rsid w:val="00C004A8"/>
    <w:rsid w:val="00C009BE"/>
    <w:rsid w:val="00C00AA5"/>
    <w:rsid w:val="00C00C50"/>
    <w:rsid w:val="00C00D18"/>
    <w:rsid w:val="00C00F28"/>
    <w:rsid w:val="00C010AD"/>
    <w:rsid w:val="00C01115"/>
    <w:rsid w:val="00C0111E"/>
    <w:rsid w:val="00C0124E"/>
    <w:rsid w:val="00C01297"/>
    <w:rsid w:val="00C01459"/>
    <w:rsid w:val="00C0150A"/>
    <w:rsid w:val="00C0154B"/>
    <w:rsid w:val="00C0159B"/>
    <w:rsid w:val="00C01608"/>
    <w:rsid w:val="00C016ED"/>
    <w:rsid w:val="00C01884"/>
    <w:rsid w:val="00C018C8"/>
    <w:rsid w:val="00C018D9"/>
    <w:rsid w:val="00C01950"/>
    <w:rsid w:val="00C01B20"/>
    <w:rsid w:val="00C01B35"/>
    <w:rsid w:val="00C01C38"/>
    <w:rsid w:val="00C01C9B"/>
    <w:rsid w:val="00C01CC5"/>
    <w:rsid w:val="00C01CF9"/>
    <w:rsid w:val="00C01DA1"/>
    <w:rsid w:val="00C01E1A"/>
    <w:rsid w:val="00C01E1D"/>
    <w:rsid w:val="00C01EED"/>
    <w:rsid w:val="00C02052"/>
    <w:rsid w:val="00C02105"/>
    <w:rsid w:val="00C021B3"/>
    <w:rsid w:val="00C02474"/>
    <w:rsid w:val="00C02513"/>
    <w:rsid w:val="00C026C2"/>
    <w:rsid w:val="00C027E3"/>
    <w:rsid w:val="00C02855"/>
    <w:rsid w:val="00C02979"/>
    <w:rsid w:val="00C02993"/>
    <w:rsid w:val="00C0299F"/>
    <w:rsid w:val="00C02AD4"/>
    <w:rsid w:val="00C02AE8"/>
    <w:rsid w:val="00C02C4A"/>
    <w:rsid w:val="00C02D00"/>
    <w:rsid w:val="00C02D82"/>
    <w:rsid w:val="00C02DA5"/>
    <w:rsid w:val="00C02E12"/>
    <w:rsid w:val="00C02EB2"/>
    <w:rsid w:val="00C0312A"/>
    <w:rsid w:val="00C03144"/>
    <w:rsid w:val="00C03155"/>
    <w:rsid w:val="00C03379"/>
    <w:rsid w:val="00C03609"/>
    <w:rsid w:val="00C03677"/>
    <w:rsid w:val="00C0369F"/>
    <w:rsid w:val="00C036D9"/>
    <w:rsid w:val="00C036DF"/>
    <w:rsid w:val="00C03770"/>
    <w:rsid w:val="00C03794"/>
    <w:rsid w:val="00C037C0"/>
    <w:rsid w:val="00C037EF"/>
    <w:rsid w:val="00C03887"/>
    <w:rsid w:val="00C038B5"/>
    <w:rsid w:val="00C03AFC"/>
    <w:rsid w:val="00C03BDE"/>
    <w:rsid w:val="00C03C06"/>
    <w:rsid w:val="00C03D49"/>
    <w:rsid w:val="00C03F0C"/>
    <w:rsid w:val="00C03F91"/>
    <w:rsid w:val="00C0408E"/>
    <w:rsid w:val="00C04180"/>
    <w:rsid w:val="00C04187"/>
    <w:rsid w:val="00C04212"/>
    <w:rsid w:val="00C0421E"/>
    <w:rsid w:val="00C04285"/>
    <w:rsid w:val="00C0432F"/>
    <w:rsid w:val="00C043AD"/>
    <w:rsid w:val="00C04433"/>
    <w:rsid w:val="00C04550"/>
    <w:rsid w:val="00C04762"/>
    <w:rsid w:val="00C04955"/>
    <w:rsid w:val="00C049D7"/>
    <w:rsid w:val="00C04D93"/>
    <w:rsid w:val="00C04DCD"/>
    <w:rsid w:val="00C04F38"/>
    <w:rsid w:val="00C04F81"/>
    <w:rsid w:val="00C04FCE"/>
    <w:rsid w:val="00C04FF4"/>
    <w:rsid w:val="00C04FFE"/>
    <w:rsid w:val="00C05126"/>
    <w:rsid w:val="00C051C0"/>
    <w:rsid w:val="00C052BE"/>
    <w:rsid w:val="00C052FA"/>
    <w:rsid w:val="00C05344"/>
    <w:rsid w:val="00C053F3"/>
    <w:rsid w:val="00C054FA"/>
    <w:rsid w:val="00C05510"/>
    <w:rsid w:val="00C0554E"/>
    <w:rsid w:val="00C05571"/>
    <w:rsid w:val="00C0587B"/>
    <w:rsid w:val="00C058CD"/>
    <w:rsid w:val="00C0592D"/>
    <w:rsid w:val="00C059A8"/>
    <w:rsid w:val="00C05AEB"/>
    <w:rsid w:val="00C05E04"/>
    <w:rsid w:val="00C05E73"/>
    <w:rsid w:val="00C05E80"/>
    <w:rsid w:val="00C05E98"/>
    <w:rsid w:val="00C05F2E"/>
    <w:rsid w:val="00C0600B"/>
    <w:rsid w:val="00C0600E"/>
    <w:rsid w:val="00C0609E"/>
    <w:rsid w:val="00C060DC"/>
    <w:rsid w:val="00C0626C"/>
    <w:rsid w:val="00C06294"/>
    <w:rsid w:val="00C06313"/>
    <w:rsid w:val="00C06358"/>
    <w:rsid w:val="00C0637F"/>
    <w:rsid w:val="00C06441"/>
    <w:rsid w:val="00C064BB"/>
    <w:rsid w:val="00C06555"/>
    <w:rsid w:val="00C0662E"/>
    <w:rsid w:val="00C066CF"/>
    <w:rsid w:val="00C0670A"/>
    <w:rsid w:val="00C067CF"/>
    <w:rsid w:val="00C067E3"/>
    <w:rsid w:val="00C068DA"/>
    <w:rsid w:val="00C0696F"/>
    <w:rsid w:val="00C06A6D"/>
    <w:rsid w:val="00C06CEC"/>
    <w:rsid w:val="00C06D12"/>
    <w:rsid w:val="00C06D80"/>
    <w:rsid w:val="00C06DBB"/>
    <w:rsid w:val="00C06E62"/>
    <w:rsid w:val="00C06EA0"/>
    <w:rsid w:val="00C07003"/>
    <w:rsid w:val="00C07087"/>
    <w:rsid w:val="00C072C2"/>
    <w:rsid w:val="00C073F1"/>
    <w:rsid w:val="00C07480"/>
    <w:rsid w:val="00C07549"/>
    <w:rsid w:val="00C076E1"/>
    <w:rsid w:val="00C077CA"/>
    <w:rsid w:val="00C07A2F"/>
    <w:rsid w:val="00C07AB0"/>
    <w:rsid w:val="00C07AED"/>
    <w:rsid w:val="00C07AF2"/>
    <w:rsid w:val="00C07B8F"/>
    <w:rsid w:val="00C07CBA"/>
    <w:rsid w:val="00C07DA8"/>
    <w:rsid w:val="00C07E14"/>
    <w:rsid w:val="00C07EF1"/>
    <w:rsid w:val="00C07EF5"/>
    <w:rsid w:val="00C07F30"/>
    <w:rsid w:val="00C1015C"/>
    <w:rsid w:val="00C10193"/>
    <w:rsid w:val="00C101AA"/>
    <w:rsid w:val="00C1024C"/>
    <w:rsid w:val="00C10361"/>
    <w:rsid w:val="00C103D9"/>
    <w:rsid w:val="00C106EF"/>
    <w:rsid w:val="00C107BD"/>
    <w:rsid w:val="00C10800"/>
    <w:rsid w:val="00C108E7"/>
    <w:rsid w:val="00C1097B"/>
    <w:rsid w:val="00C10B0F"/>
    <w:rsid w:val="00C10B3A"/>
    <w:rsid w:val="00C10D89"/>
    <w:rsid w:val="00C10DDF"/>
    <w:rsid w:val="00C10EC9"/>
    <w:rsid w:val="00C1108B"/>
    <w:rsid w:val="00C1116C"/>
    <w:rsid w:val="00C1122D"/>
    <w:rsid w:val="00C112EF"/>
    <w:rsid w:val="00C11386"/>
    <w:rsid w:val="00C1139D"/>
    <w:rsid w:val="00C114CA"/>
    <w:rsid w:val="00C1153A"/>
    <w:rsid w:val="00C1184B"/>
    <w:rsid w:val="00C1193C"/>
    <w:rsid w:val="00C11A58"/>
    <w:rsid w:val="00C11A66"/>
    <w:rsid w:val="00C11B52"/>
    <w:rsid w:val="00C11C16"/>
    <w:rsid w:val="00C11CC0"/>
    <w:rsid w:val="00C11CD0"/>
    <w:rsid w:val="00C11D33"/>
    <w:rsid w:val="00C11E06"/>
    <w:rsid w:val="00C11E98"/>
    <w:rsid w:val="00C11F85"/>
    <w:rsid w:val="00C12105"/>
    <w:rsid w:val="00C1215E"/>
    <w:rsid w:val="00C12193"/>
    <w:rsid w:val="00C121D5"/>
    <w:rsid w:val="00C122E4"/>
    <w:rsid w:val="00C1234A"/>
    <w:rsid w:val="00C123B2"/>
    <w:rsid w:val="00C12495"/>
    <w:rsid w:val="00C12581"/>
    <w:rsid w:val="00C12643"/>
    <w:rsid w:val="00C1285C"/>
    <w:rsid w:val="00C1294D"/>
    <w:rsid w:val="00C12AE6"/>
    <w:rsid w:val="00C12AE9"/>
    <w:rsid w:val="00C12C22"/>
    <w:rsid w:val="00C12D02"/>
    <w:rsid w:val="00C12D65"/>
    <w:rsid w:val="00C12F8E"/>
    <w:rsid w:val="00C1309B"/>
    <w:rsid w:val="00C132E5"/>
    <w:rsid w:val="00C13330"/>
    <w:rsid w:val="00C13332"/>
    <w:rsid w:val="00C13335"/>
    <w:rsid w:val="00C13390"/>
    <w:rsid w:val="00C133BF"/>
    <w:rsid w:val="00C13415"/>
    <w:rsid w:val="00C13445"/>
    <w:rsid w:val="00C13447"/>
    <w:rsid w:val="00C13483"/>
    <w:rsid w:val="00C134AD"/>
    <w:rsid w:val="00C13587"/>
    <w:rsid w:val="00C1369B"/>
    <w:rsid w:val="00C13849"/>
    <w:rsid w:val="00C13866"/>
    <w:rsid w:val="00C1391D"/>
    <w:rsid w:val="00C13929"/>
    <w:rsid w:val="00C13965"/>
    <w:rsid w:val="00C139FD"/>
    <w:rsid w:val="00C13A3D"/>
    <w:rsid w:val="00C13A47"/>
    <w:rsid w:val="00C13BBF"/>
    <w:rsid w:val="00C13D6E"/>
    <w:rsid w:val="00C13F8C"/>
    <w:rsid w:val="00C13F97"/>
    <w:rsid w:val="00C13FFB"/>
    <w:rsid w:val="00C14015"/>
    <w:rsid w:val="00C14162"/>
    <w:rsid w:val="00C1420C"/>
    <w:rsid w:val="00C142C6"/>
    <w:rsid w:val="00C143BF"/>
    <w:rsid w:val="00C1441D"/>
    <w:rsid w:val="00C14711"/>
    <w:rsid w:val="00C147E2"/>
    <w:rsid w:val="00C148CA"/>
    <w:rsid w:val="00C14907"/>
    <w:rsid w:val="00C14A6B"/>
    <w:rsid w:val="00C14C00"/>
    <w:rsid w:val="00C14C86"/>
    <w:rsid w:val="00C14C93"/>
    <w:rsid w:val="00C14CCA"/>
    <w:rsid w:val="00C14DBE"/>
    <w:rsid w:val="00C14E6F"/>
    <w:rsid w:val="00C14F92"/>
    <w:rsid w:val="00C15015"/>
    <w:rsid w:val="00C150AA"/>
    <w:rsid w:val="00C150D9"/>
    <w:rsid w:val="00C1513E"/>
    <w:rsid w:val="00C15254"/>
    <w:rsid w:val="00C15256"/>
    <w:rsid w:val="00C153DF"/>
    <w:rsid w:val="00C15475"/>
    <w:rsid w:val="00C154AB"/>
    <w:rsid w:val="00C155A0"/>
    <w:rsid w:val="00C1578B"/>
    <w:rsid w:val="00C15799"/>
    <w:rsid w:val="00C1579D"/>
    <w:rsid w:val="00C157C8"/>
    <w:rsid w:val="00C157E9"/>
    <w:rsid w:val="00C1583C"/>
    <w:rsid w:val="00C1587A"/>
    <w:rsid w:val="00C15B18"/>
    <w:rsid w:val="00C15B77"/>
    <w:rsid w:val="00C15B82"/>
    <w:rsid w:val="00C15BB9"/>
    <w:rsid w:val="00C15CC1"/>
    <w:rsid w:val="00C15CD4"/>
    <w:rsid w:val="00C15CF6"/>
    <w:rsid w:val="00C15D4B"/>
    <w:rsid w:val="00C15F05"/>
    <w:rsid w:val="00C15F35"/>
    <w:rsid w:val="00C16014"/>
    <w:rsid w:val="00C1603C"/>
    <w:rsid w:val="00C160E0"/>
    <w:rsid w:val="00C16172"/>
    <w:rsid w:val="00C16205"/>
    <w:rsid w:val="00C16294"/>
    <w:rsid w:val="00C16362"/>
    <w:rsid w:val="00C163D5"/>
    <w:rsid w:val="00C163F6"/>
    <w:rsid w:val="00C16433"/>
    <w:rsid w:val="00C16862"/>
    <w:rsid w:val="00C1691A"/>
    <w:rsid w:val="00C169C3"/>
    <w:rsid w:val="00C16A0B"/>
    <w:rsid w:val="00C16AF6"/>
    <w:rsid w:val="00C16DFD"/>
    <w:rsid w:val="00C1723D"/>
    <w:rsid w:val="00C1726C"/>
    <w:rsid w:val="00C172CD"/>
    <w:rsid w:val="00C17382"/>
    <w:rsid w:val="00C17416"/>
    <w:rsid w:val="00C17468"/>
    <w:rsid w:val="00C174AF"/>
    <w:rsid w:val="00C1753B"/>
    <w:rsid w:val="00C1765B"/>
    <w:rsid w:val="00C1766B"/>
    <w:rsid w:val="00C17670"/>
    <w:rsid w:val="00C176F8"/>
    <w:rsid w:val="00C17737"/>
    <w:rsid w:val="00C17751"/>
    <w:rsid w:val="00C1781C"/>
    <w:rsid w:val="00C17983"/>
    <w:rsid w:val="00C179EB"/>
    <w:rsid w:val="00C17A82"/>
    <w:rsid w:val="00C17AE3"/>
    <w:rsid w:val="00C17D26"/>
    <w:rsid w:val="00C17E0F"/>
    <w:rsid w:val="00C17EFF"/>
    <w:rsid w:val="00C17F8E"/>
    <w:rsid w:val="00C20002"/>
    <w:rsid w:val="00C2003F"/>
    <w:rsid w:val="00C2009B"/>
    <w:rsid w:val="00C2012C"/>
    <w:rsid w:val="00C2037B"/>
    <w:rsid w:val="00C203A6"/>
    <w:rsid w:val="00C203DB"/>
    <w:rsid w:val="00C20481"/>
    <w:rsid w:val="00C206B4"/>
    <w:rsid w:val="00C206CD"/>
    <w:rsid w:val="00C2073B"/>
    <w:rsid w:val="00C20764"/>
    <w:rsid w:val="00C20890"/>
    <w:rsid w:val="00C2089C"/>
    <w:rsid w:val="00C20987"/>
    <w:rsid w:val="00C2098A"/>
    <w:rsid w:val="00C20CD4"/>
    <w:rsid w:val="00C20D32"/>
    <w:rsid w:val="00C20DB1"/>
    <w:rsid w:val="00C20EA3"/>
    <w:rsid w:val="00C211BF"/>
    <w:rsid w:val="00C212C8"/>
    <w:rsid w:val="00C212FD"/>
    <w:rsid w:val="00C21537"/>
    <w:rsid w:val="00C215CC"/>
    <w:rsid w:val="00C21613"/>
    <w:rsid w:val="00C21619"/>
    <w:rsid w:val="00C2173E"/>
    <w:rsid w:val="00C2175A"/>
    <w:rsid w:val="00C2177F"/>
    <w:rsid w:val="00C21942"/>
    <w:rsid w:val="00C21969"/>
    <w:rsid w:val="00C21975"/>
    <w:rsid w:val="00C21B3B"/>
    <w:rsid w:val="00C21BA0"/>
    <w:rsid w:val="00C21BED"/>
    <w:rsid w:val="00C21DB8"/>
    <w:rsid w:val="00C21E79"/>
    <w:rsid w:val="00C21F5E"/>
    <w:rsid w:val="00C220E7"/>
    <w:rsid w:val="00C22127"/>
    <w:rsid w:val="00C221E6"/>
    <w:rsid w:val="00C22203"/>
    <w:rsid w:val="00C2223D"/>
    <w:rsid w:val="00C224E1"/>
    <w:rsid w:val="00C2265D"/>
    <w:rsid w:val="00C2275B"/>
    <w:rsid w:val="00C2277D"/>
    <w:rsid w:val="00C2286E"/>
    <w:rsid w:val="00C228FF"/>
    <w:rsid w:val="00C2293F"/>
    <w:rsid w:val="00C22A6D"/>
    <w:rsid w:val="00C22A74"/>
    <w:rsid w:val="00C22AA4"/>
    <w:rsid w:val="00C22B5E"/>
    <w:rsid w:val="00C22BF1"/>
    <w:rsid w:val="00C22DE2"/>
    <w:rsid w:val="00C22F81"/>
    <w:rsid w:val="00C230A1"/>
    <w:rsid w:val="00C230F2"/>
    <w:rsid w:val="00C23123"/>
    <w:rsid w:val="00C2319F"/>
    <w:rsid w:val="00C231AF"/>
    <w:rsid w:val="00C231EC"/>
    <w:rsid w:val="00C23205"/>
    <w:rsid w:val="00C2330E"/>
    <w:rsid w:val="00C234E3"/>
    <w:rsid w:val="00C23540"/>
    <w:rsid w:val="00C23628"/>
    <w:rsid w:val="00C237B1"/>
    <w:rsid w:val="00C23801"/>
    <w:rsid w:val="00C238AD"/>
    <w:rsid w:val="00C238B6"/>
    <w:rsid w:val="00C2390C"/>
    <w:rsid w:val="00C23949"/>
    <w:rsid w:val="00C2394B"/>
    <w:rsid w:val="00C23955"/>
    <w:rsid w:val="00C23A97"/>
    <w:rsid w:val="00C23AD7"/>
    <w:rsid w:val="00C23ADB"/>
    <w:rsid w:val="00C23B11"/>
    <w:rsid w:val="00C23C07"/>
    <w:rsid w:val="00C23C49"/>
    <w:rsid w:val="00C23E84"/>
    <w:rsid w:val="00C23EAE"/>
    <w:rsid w:val="00C23F4B"/>
    <w:rsid w:val="00C23FEB"/>
    <w:rsid w:val="00C241C4"/>
    <w:rsid w:val="00C24222"/>
    <w:rsid w:val="00C24393"/>
    <w:rsid w:val="00C24578"/>
    <w:rsid w:val="00C2460A"/>
    <w:rsid w:val="00C2466D"/>
    <w:rsid w:val="00C24684"/>
    <w:rsid w:val="00C24813"/>
    <w:rsid w:val="00C248CF"/>
    <w:rsid w:val="00C24C95"/>
    <w:rsid w:val="00C24CA5"/>
    <w:rsid w:val="00C24CCB"/>
    <w:rsid w:val="00C24DBB"/>
    <w:rsid w:val="00C24E58"/>
    <w:rsid w:val="00C24E5A"/>
    <w:rsid w:val="00C24F88"/>
    <w:rsid w:val="00C24FA5"/>
    <w:rsid w:val="00C250CB"/>
    <w:rsid w:val="00C2514F"/>
    <w:rsid w:val="00C2519C"/>
    <w:rsid w:val="00C25218"/>
    <w:rsid w:val="00C25244"/>
    <w:rsid w:val="00C25278"/>
    <w:rsid w:val="00C25542"/>
    <w:rsid w:val="00C25806"/>
    <w:rsid w:val="00C258D3"/>
    <w:rsid w:val="00C25967"/>
    <w:rsid w:val="00C25969"/>
    <w:rsid w:val="00C259FB"/>
    <w:rsid w:val="00C25B65"/>
    <w:rsid w:val="00C25B8B"/>
    <w:rsid w:val="00C25BE2"/>
    <w:rsid w:val="00C25EB2"/>
    <w:rsid w:val="00C26045"/>
    <w:rsid w:val="00C26055"/>
    <w:rsid w:val="00C261D1"/>
    <w:rsid w:val="00C2625D"/>
    <w:rsid w:val="00C26419"/>
    <w:rsid w:val="00C26505"/>
    <w:rsid w:val="00C26770"/>
    <w:rsid w:val="00C26AAC"/>
    <w:rsid w:val="00C26CE3"/>
    <w:rsid w:val="00C26D41"/>
    <w:rsid w:val="00C26D6D"/>
    <w:rsid w:val="00C26DC1"/>
    <w:rsid w:val="00C26E77"/>
    <w:rsid w:val="00C26ED0"/>
    <w:rsid w:val="00C26F95"/>
    <w:rsid w:val="00C2711F"/>
    <w:rsid w:val="00C271AD"/>
    <w:rsid w:val="00C272F3"/>
    <w:rsid w:val="00C2747D"/>
    <w:rsid w:val="00C274E2"/>
    <w:rsid w:val="00C2756F"/>
    <w:rsid w:val="00C276A2"/>
    <w:rsid w:val="00C2771C"/>
    <w:rsid w:val="00C2782B"/>
    <w:rsid w:val="00C27957"/>
    <w:rsid w:val="00C27970"/>
    <w:rsid w:val="00C2798B"/>
    <w:rsid w:val="00C27A0D"/>
    <w:rsid w:val="00C27A71"/>
    <w:rsid w:val="00C27B4B"/>
    <w:rsid w:val="00C27BD3"/>
    <w:rsid w:val="00C27E10"/>
    <w:rsid w:val="00C27E64"/>
    <w:rsid w:val="00C27E8A"/>
    <w:rsid w:val="00C27F22"/>
    <w:rsid w:val="00C30056"/>
    <w:rsid w:val="00C30061"/>
    <w:rsid w:val="00C30135"/>
    <w:rsid w:val="00C30156"/>
    <w:rsid w:val="00C301CA"/>
    <w:rsid w:val="00C3024D"/>
    <w:rsid w:val="00C30254"/>
    <w:rsid w:val="00C305D2"/>
    <w:rsid w:val="00C30661"/>
    <w:rsid w:val="00C307F2"/>
    <w:rsid w:val="00C308AA"/>
    <w:rsid w:val="00C3093D"/>
    <w:rsid w:val="00C30A2F"/>
    <w:rsid w:val="00C30B34"/>
    <w:rsid w:val="00C30BF9"/>
    <w:rsid w:val="00C30C92"/>
    <w:rsid w:val="00C30D15"/>
    <w:rsid w:val="00C30E75"/>
    <w:rsid w:val="00C30F73"/>
    <w:rsid w:val="00C30FCE"/>
    <w:rsid w:val="00C31121"/>
    <w:rsid w:val="00C31169"/>
    <w:rsid w:val="00C31201"/>
    <w:rsid w:val="00C31216"/>
    <w:rsid w:val="00C31239"/>
    <w:rsid w:val="00C3123F"/>
    <w:rsid w:val="00C31322"/>
    <w:rsid w:val="00C313AE"/>
    <w:rsid w:val="00C31460"/>
    <w:rsid w:val="00C31484"/>
    <w:rsid w:val="00C3159C"/>
    <w:rsid w:val="00C316A9"/>
    <w:rsid w:val="00C317BD"/>
    <w:rsid w:val="00C31992"/>
    <w:rsid w:val="00C31CBE"/>
    <w:rsid w:val="00C31DD1"/>
    <w:rsid w:val="00C31F44"/>
    <w:rsid w:val="00C31F62"/>
    <w:rsid w:val="00C31FF1"/>
    <w:rsid w:val="00C321D8"/>
    <w:rsid w:val="00C3232B"/>
    <w:rsid w:val="00C3236C"/>
    <w:rsid w:val="00C3241A"/>
    <w:rsid w:val="00C32492"/>
    <w:rsid w:val="00C325AF"/>
    <w:rsid w:val="00C32630"/>
    <w:rsid w:val="00C3279C"/>
    <w:rsid w:val="00C32803"/>
    <w:rsid w:val="00C32865"/>
    <w:rsid w:val="00C328C9"/>
    <w:rsid w:val="00C328D2"/>
    <w:rsid w:val="00C328FA"/>
    <w:rsid w:val="00C32963"/>
    <w:rsid w:val="00C329ED"/>
    <w:rsid w:val="00C32CAA"/>
    <w:rsid w:val="00C32CBB"/>
    <w:rsid w:val="00C32E94"/>
    <w:rsid w:val="00C32FC2"/>
    <w:rsid w:val="00C32FFC"/>
    <w:rsid w:val="00C331A9"/>
    <w:rsid w:val="00C331DB"/>
    <w:rsid w:val="00C332EC"/>
    <w:rsid w:val="00C33713"/>
    <w:rsid w:val="00C3375C"/>
    <w:rsid w:val="00C33812"/>
    <w:rsid w:val="00C3381E"/>
    <w:rsid w:val="00C33882"/>
    <w:rsid w:val="00C33916"/>
    <w:rsid w:val="00C33949"/>
    <w:rsid w:val="00C339AC"/>
    <w:rsid w:val="00C339F4"/>
    <w:rsid w:val="00C33A20"/>
    <w:rsid w:val="00C33B35"/>
    <w:rsid w:val="00C33C71"/>
    <w:rsid w:val="00C33C96"/>
    <w:rsid w:val="00C33CD1"/>
    <w:rsid w:val="00C33D02"/>
    <w:rsid w:val="00C33DBC"/>
    <w:rsid w:val="00C33E1D"/>
    <w:rsid w:val="00C3403C"/>
    <w:rsid w:val="00C3406A"/>
    <w:rsid w:val="00C34214"/>
    <w:rsid w:val="00C34231"/>
    <w:rsid w:val="00C34284"/>
    <w:rsid w:val="00C342B2"/>
    <w:rsid w:val="00C3435A"/>
    <w:rsid w:val="00C343A5"/>
    <w:rsid w:val="00C34410"/>
    <w:rsid w:val="00C344F6"/>
    <w:rsid w:val="00C345AC"/>
    <w:rsid w:val="00C347EE"/>
    <w:rsid w:val="00C347FE"/>
    <w:rsid w:val="00C34B52"/>
    <w:rsid w:val="00C34C7A"/>
    <w:rsid w:val="00C34DB5"/>
    <w:rsid w:val="00C34EAD"/>
    <w:rsid w:val="00C3501D"/>
    <w:rsid w:val="00C3503C"/>
    <w:rsid w:val="00C350CD"/>
    <w:rsid w:val="00C35155"/>
    <w:rsid w:val="00C351EA"/>
    <w:rsid w:val="00C352EF"/>
    <w:rsid w:val="00C35455"/>
    <w:rsid w:val="00C3547F"/>
    <w:rsid w:val="00C3554E"/>
    <w:rsid w:val="00C35612"/>
    <w:rsid w:val="00C35652"/>
    <w:rsid w:val="00C3567B"/>
    <w:rsid w:val="00C35750"/>
    <w:rsid w:val="00C35766"/>
    <w:rsid w:val="00C35928"/>
    <w:rsid w:val="00C35974"/>
    <w:rsid w:val="00C359B7"/>
    <w:rsid w:val="00C35A11"/>
    <w:rsid w:val="00C35B23"/>
    <w:rsid w:val="00C35BEB"/>
    <w:rsid w:val="00C35C54"/>
    <w:rsid w:val="00C35DE3"/>
    <w:rsid w:val="00C35DF3"/>
    <w:rsid w:val="00C35FC4"/>
    <w:rsid w:val="00C3603D"/>
    <w:rsid w:val="00C3611E"/>
    <w:rsid w:val="00C36164"/>
    <w:rsid w:val="00C36236"/>
    <w:rsid w:val="00C36316"/>
    <w:rsid w:val="00C3638E"/>
    <w:rsid w:val="00C363C4"/>
    <w:rsid w:val="00C3640D"/>
    <w:rsid w:val="00C36424"/>
    <w:rsid w:val="00C36598"/>
    <w:rsid w:val="00C365E1"/>
    <w:rsid w:val="00C366CB"/>
    <w:rsid w:val="00C368AA"/>
    <w:rsid w:val="00C369C3"/>
    <w:rsid w:val="00C36A7F"/>
    <w:rsid w:val="00C36C76"/>
    <w:rsid w:val="00C36D2D"/>
    <w:rsid w:val="00C36DA2"/>
    <w:rsid w:val="00C36DFD"/>
    <w:rsid w:val="00C36E3C"/>
    <w:rsid w:val="00C36E54"/>
    <w:rsid w:val="00C36F19"/>
    <w:rsid w:val="00C370F8"/>
    <w:rsid w:val="00C37236"/>
    <w:rsid w:val="00C37290"/>
    <w:rsid w:val="00C3734A"/>
    <w:rsid w:val="00C37352"/>
    <w:rsid w:val="00C37422"/>
    <w:rsid w:val="00C37462"/>
    <w:rsid w:val="00C37506"/>
    <w:rsid w:val="00C37573"/>
    <w:rsid w:val="00C375A0"/>
    <w:rsid w:val="00C375F9"/>
    <w:rsid w:val="00C37717"/>
    <w:rsid w:val="00C37921"/>
    <w:rsid w:val="00C3798F"/>
    <w:rsid w:val="00C37AAA"/>
    <w:rsid w:val="00C37C12"/>
    <w:rsid w:val="00C37C61"/>
    <w:rsid w:val="00C37C70"/>
    <w:rsid w:val="00C37CE2"/>
    <w:rsid w:val="00C37E04"/>
    <w:rsid w:val="00C37E52"/>
    <w:rsid w:val="00C37E5C"/>
    <w:rsid w:val="00C37EC9"/>
    <w:rsid w:val="00C37F50"/>
    <w:rsid w:val="00C37F70"/>
    <w:rsid w:val="00C40111"/>
    <w:rsid w:val="00C40132"/>
    <w:rsid w:val="00C4035B"/>
    <w:rsid w:val="00C4045F"/>
    <w:rsid w:val="00C40527"/>
    <w:rsid w:val="00C406E4"/>
    <w:rsid w:val="00C40799"/>
    <w:rsid w:val="00C408A6"/>
    <w:rsid w:val="00C40982"/>
    <w:rsid w:val="00C4099D"/>
    <w:rsid w:val="00C40B15"/>
    <w:rsid w:val="00C40BC6"/>
    <w:rsid w:val="00C40CC3"/>
    <w:rsid w:val="00C40D3A"/>
    <w:rsid w:val="00C40D63"/>
    <w:rsid w:val="00C40D6C"/>
    <w:rsid w:val="00C40DA0"/>
    <w:rsid w:val="00C40DD5"/>
    <w:rsid w:val="00C40EAE"/>
    <w:rsid w:val="00C411E2"/>
    <w:rsid w:val="00C41286"/>
    <w:rsid w:val="00C412C4"/>
    <w:rsid w:val="00C413B0"/>
    <w:rsid w:val="00C413E4"/>
    <w:rsid w:val="00C413E9"/>
    <w:rsid w:val="00C41463"/>
    <w:rsid w:val="00C4164A"/>
    <w:rsid w:val="00C416D9"/>
    <w:rsid w:val="00C41793"/>
    <w:rsid w:val="00C417A7"/>
    <w:rsid w:val="00C418FD"/>
    <w:rsid w:val="00C41A38"/>
    <w:rsid w:val="00C41A9A"/>
    <w:rsid w:val="00C41C3C"/>
    <w:rsid w:val="00C41C95"/>
    <w:rsid w:val="00C41CE0"/>
    <w:rsid w:val="00C41D6C"/>
    <w:rsid w:val="00C41D94"/>
    <w:rsid w:val="00C41DB3"/>
    <w:rsid w:val="00C41DC7"/>
    <w:rsid w:val="00C41E37"/>
    <w:rsid w:val="00C41E73"/>
    <w:rsid w:val="00C41FE0"/>
    <w:rsid w:val="00C4212D"/>
    <w:rsid w:val="00C4221F"/>
    <w:rsid w:val="00C42259"/>
    <w:rsid w:val="00C422FD"/>
    <w:rsid w:val="00C423E2"/>
    <w:rsid w:val="00C424A8"/>
    <w:rsid w:val="00C42658"/>
    <w:rsid w:val="00C42672"/>
    <w:rsid w:val="00C42695"/>
    <w:rsid w:val="00C427F1"/>
    <w:rsid w:val="00C429CA"/>
    <w:rsid w:val="00C42A37"/>
    <w:rsid w:val="00C42B12"/>
    <w:rsid w:val="00C42C25"/>
    <w:rsid w:val="00C42C56"/>
    <w:rsid w:val="00C42C69"/>
    <w:rsid w:val="00C43014"/>
    <w:rsid w:val="00C430F5"/>
    <w:rsid w:val="00C43193"/>
    <w:rsid w:val="00C431D2"/>
    <w:rsid w:val="00C4321F"/>
    <w:rsid w:val="00C432A0"/>
    <w:rsid w:val="00C432F0"/>
    <w:rsid w:val="00C43312"/>
    <w:rsid w:val="00C4339B"/>
    <w:rsid w:val="00C43477"/>
    <w:rsid w:val="00C43543"/>
    <w:rsid w:val="00C43750"/>
    <w:rsid w:val="00C43983"/>
    <w:rsid w:val="00C43A07"/>
    <w:rsid w:val="00C43A35"/>
    <w:rsid w:val="00C43B75"/>
    <w:rsid w:val="00C43D0B"/>
    <w:rsid w:val="00C43D9A"/>
    <w:rsid w:val="00C43E43"/>
    <w:rsid w:val="00C43E5A"/>
    <w:rsid w:val="00C43FB9"/>
    <w:rsid w:val="00C43FEF"/>
    <w:rsid w:val="00C44071"/>
    <w:rsid w:val="00C441C1"/>
    <w:rsid w:val="00C4423B"/>
    <w:rsid w:val="00C4425C"/>
    <w:rsid w:val="00C4426B"/>
    <w:rsid w:val="00C442C2"/>
    <w:rsid w:val="00C442D6"/>
    <w:rsid w:val="00C44344"/>
    <w:rsid w:val="00C44400"/>
    <w:rsid w:val="00C4446A"/>
    <w:rsid w:val="00C445ED"/>
    <w:rsid w:val="00C4491D"/>
    <w:rsid w:val="00C4495D"/>
    <w:rsid w:val="00C449E8"/>
    <w:rsid w:val="00C44AE8"/>
    <w:rsid w:val="00C44B4F"/>
    <w:rsid w:val="00C44BF6"/>
    <w:rsid w:val="00C44D53"/>
    <w:rsid w:val="00C44E4C"/>
    <w:rsid w:val="00C44E7B"/>
    <w:rsid w:val="00C44F3C"/>
    <w:rsid w:val="00C45083"/>
    <w:rsid w:val="00C450EF"/>
    <w:rsid w:val="00C451CE"/>
    <w:rsid w:val="00C451DB"/>
    <w:rsid w:val="00C45201"/>
    <w:rsid w:val="00C4520C"/>
    <w:rsid w:val="00C4538B"/>
    <w:rsid w:val="00C453FD"/>
    <w:rsid w:val="00C454F1"/>
    <w:rsid w:val="00C45747"/>
    <w:rsid w:val="00C4581E"/>
    <w:rsid w:val="00C458FD"/>
    <w:rsid w:val="00C45951"/>
    <w:rsid w:val="00C45986"/>
    <w:rsid w:val="00C459E1"/>
    <w:rsid w:val="00C45AF3"/>
    <w:rsid w:val="00C45B1F"/>
    <w:rsid w:val="00C45B70"/>
    <w:rsid w:val="00C45B82"/>
    <w:rsid w:val="00C45CC7"/>
    <w:rsid w:val="00C45D6F"/>
    <w:rsid w:val="00C45E75"/>
    <w:rsid w:val="00C45F3B"/>
    <w:rsid w:val="00C46074"/>
    <w:rsid w:val="00C460C4"/>
    <w:rsid w:val="00C461BF"/>
    <w:rsid w:val="00C461E3"/>
    <w:rsid w:val="00C46217"/>
    <w:rsid w:val="00C462C3"/>
    <w:rsid w:val="00C46330"/>
    <w:rsid w:val="00C463BD"/>
    <w:rsid w:val="00C46495"/>
    <w:rsid w:val="00C464D9"/>
    <w:rsid w:val="00C46645"/>
    <w:rsid w:val="00C4668B"/>
    <w:rsid w:val="00C466C3"/>
    <w:rsid w:val="00C467C1"/>
    <w:rsid w:val="00C467DF"/>
    <w:rsid w:val="00C468E0"/>
    <w:rsid w:val="00C46A06"/>
    <w:rsid w:val="00C46B28"/>
    <w:rsid w:val="00C46C3D"/>
    <w:rsid w:val="00C46C5E"/>
    <w:rsid w:val="00C46C9E"/>
    <w:rsid w:val="00C46DFE"/>
    <w:rsid w:val="00C46E95"/>
    <w:rsid w:val="00C46FCA"/>
    <w:rsid w:val="00C473D7"/>
    <w:rsid w:val="00C4742D"/>
    <w:rsid w:val="00C475C0"/>
    <w:rsid w:val="00C47797"/>
    <w:rsid w:val="00C47849"/>
    <w:rsid w:val="00C47854"/>
    <w:rsid w:val="00C47970"/>
    <w:rsid w:val="00C47980"/>
    <w:rsid w:val="00C479AB"/>
    <w:rsid w:val="00C479DD"/>
    <w:rsid w:val="00C47A5E"/>
    <w:rsid w:val="00C47B19"/>
    <w:rsid w:val="00C47B83"/>
    <w:rsid w:val="00C47BED"/>
    <w:rsid w:val="00C47C07"/>
    <w:rsid w:val="00C47C1B"/>
    <w:rsid w:val="00C47CDF"/>
    <w:rsid w:val="00C47DEE"/>
    <w:rsid w:val="00C47E33"/>
    <w:rsid w:val="00C47EB4"/>
    <w:rsid w:val="00C5007F"/>
    <w:rsid w:val="00C501CF"/>
    <w:rsid w:val="00C50298"/>
    <w:rsid w:val="00C502AB"/>
    <w:rsid w:val="00C502E4"/>
    <w:rsid w:val="00C5031D"/>
    <w:rsid w:val="00C503E8"/>
    <w:rsid w:val="00C50457"/>
    <w:rsid w:val="00C504A3"/>
    <w:rsid w:val="00C504AD"/>
    <w:rsid w:val="00C50503"/>
    <w:rsid w:val="00C506F9"/>
    <w:rsid w:val="00C507B6"/>
    <w:rsid w:val="00C507CE"/>
    <w:rsid w:val="00C50AB1"/>
    <w:rsid w:val="00C50B92"/>
    <w:rsid w:val="00C50C00"/>
    <w:rsid w:val="00C50C92"/>
    <w:rsid w:val="00C50D0B"/>
    <w:rsid w:val="00C50D21"/>
    <w:rsid w:val="00C50E1C"/>
    <w:rsid w:val="00C50E95"/>
    <w:rsid w:val="00C50ED0"/>
    <w:rsid w:val="00C51057"/>
    <w:rsid w:val="00C51116"/>
    <w:rsid w:val="00C5119C"/>
    <w:rsid w:val="00C5125E"/>
    <w:rsid w:val="00C512AE"/>
    <w:rsid w:val="00C512DA"/>
    <w:rsid w:val="00C51358"/>
    <w:rsid w:val="00C51388"/>
    <w:rsid w:val="00C513B2"/>
    <w:rsid w:val="00C513B8"/>
    <w:rsid w:val="00C5144B"/>
    <w:rsid w:val="00C51523"/>
    <w:rsid w:val="00C5152E"/>
    <w:rsid w:val="00C5155C"/>
    <w:rsid w:val="00C51594"/>
    <w:rsid w:val="00C51617"/>
    <w:rsid w:val="00C51799"/>
    <w:rsid w:val="00C51801"/>
    <w:rsid w:val="00C518CA"/>
    <w:rsid w:val="00C518D5"/>
    <w:rsid w:val="00C519C0"/>
    <w:rsid w:val="00C519D7"/>
    <w:rsid w:val="00C519DD"/>
    <w:rsid w:val="00C51A5A"/>
    <w:rsid w:val="00C51A72"/>
    <w:rsid w:val="00C51B4E"/>
    <w:rsid w:val="00C51B69"/>
    <w:rsid w:val="00C51B86"/>
    <w:rsid w:val="00C51BDD"/>
    <w:rsid w:val="00C51C16"/>
    <w:rsid w:val="00C51C89"/>
    <w:rsid w:val="00C51CAC"/>
    <w:rsid w:val="00C51D9D"/>
    <w:rsid w:val="00C51DDB"/>
    <w:rsid w:val="00C51E54"/>
    <w:rsid w:val="00C51EA7"/>
    <w:rsid w:val="00C51FD1"/>
    <w:rsid w:val="00C52022"/>
    <w:rsid w:val="00C5202D"/>
    <w:rsid w:val="00C5217B"/>
    <w:rsid w:val="00C52188"/>
    <w:rsid w:val="00C521A4"/>
    <w:rsid w:val="00C52244"/>
    <w:rsid w:val="00C52378"/>
    <w:rsid w:val="00C523F7"/>
    <w:rsid w:val="00C524B3"/>
    <w:rsid w:val="00C52534"/>
    <w:rsid w:val="00C525E7"/>
    <w:rsid w:val="00C526A5"/>
    <w:rsid w:val="00C526E8"/>
    <w:rsid w:val="00C526ED"/>
    <w:rsid w:val="00C52707"/>
    <w:rsid w:val="00C52739"/>
    <w:rsid w:val="00C52743"/>
    <w:rsid w:val="00C5274E"/>
    <w:rsid w:val="00C527E2"/>
    <w:rsid w:val="00C528BA"/>
    <w:rsid w:val="00C528D6"/>
    <w:rsid w:val="00C52956"/>
    <w:rsid w:val="00C52AD4"/>
    <w:rsid w:val="00C52BC2"/>
    <w:rsid w:val="00C52C99"/>
    <w:rsid w:val="00C52CAC"/>
    <w:rsid w:val="00C52CE7"/>
    <w:rsid w:val="00C52D49"/>
    <w:rsid w:val="00C52D8A"/>
    <w:rsid w:val="00C52E20"/>
    <w:rsid w:val="00C530D8"/>
    <w:rsid w:val="00C532EC"/>
    <w:rsid w:val="00C53330"/>
    <w:rsid w:val="00C533FA"/>
    <w:rsid w:val="00C534F5"/>
    <w:rsid w:val="00C53525"/>
    <w:rsid w:val="00C53578"/>
    <w:rsid w:val="00C53599"/>
    <w:rsid w:val="00C53686"/>
    <w:rsid w:val="00C5382E"/>
    <w:rsid w:val="00C538AE"/>
    <w:rsid w:val="00C53A49"/>
    <w:rsid w:val="00C53ADB"/>
    <w:rsid w:val="00C53B03"/>
    <w:rsid w:val="00C53C9F"/>
    <w:rsid w:val="00C53DCB"/>
    <w:rsid w:val="00C53E25"/>
    <w:rsid w:val="00C53ED3"/>
    <w:rsid w:val="00C53F2C"/>
    <w:rsid w:val="00C53F57"/>
    <w:rsid w:val="00C53F86"/>
    <w:rsid w:val="00C5401D"/>
    <w:rsid w:val="00C54309"/>
    <w:rsid w:val="00C5430F"/>
    <w:rsid w:val="00C5434E"/>
    <w:rsid w:val="00C543C3"/>
    <w:rsid w:val="00C543EB"/>
    <w:rsid w:val="00C54418"/>
    <w:rsid w:val="00C54443"/>
    <w:rsid w:val="00C544E7"/>
    <w:rsid w:val="00C545CC"/>
    <w:rsid w:val="00C547FC"/>
    <w:rsid w:val="00C548C4"/>
    <w:rsid w:val="00C549C5"/>
    <w:rsid w:val="00C549F8"/>
    <w:rsid w:val="00C54BEA"/>
    <w:rsid w:val="00C55110"/>
    <w:rsid w:val="00C55192"/>
    <w:rsid w:val="00C55509"/>
    <w:rsid w:val="00C5550A"/>
    <w:rsid w:val="00C5558D"/>
    <w:rsid w:val="00C556F1"/>
    <w:rsid w:val="00C556F8"/>
    <w:rsid w:val="00C55731"/>
    <w:rsid w:val="00C557F9"/>
    <w:rsid w:val="00C55850"/>
    <w:rsid w:val="00C558C3"/>
    <w:rsid w:val="00C55B97"/>
    <w:rsid w:val="00C55BA1"/>
    <w:rsid w:val="00C55CEB"/>
    <w:rsid w:val="00C55D91"/>
    <w:rsid w:val="00C55F0B"/>
    <w:rsid w:val="00C55F18"/>
    <w:rsid w:val="00C55F51"/>
    <w:rsid w:val="00C55F8A"/>
    <w:rsid w:val="00C56062"/>
    <w:rsid w:val="00C560F1"/>
    <w:rsid w:val="00C56140"/>
    <w:rsid w:val="00C562CA"/>
    <w:rsid w:val="00C5633D"/>
    <w:rsid w:val="00C563BF"/>
    <w:rsid w:val="00C563D2"/>
    <w:rsid w:val="00C56410"/>
    <w:rsid w:val="00C56477"/>
    <w:rsid w:val="00C564DC"/>
    <w:rsid w:val="00C5654A"/>
    <w:rsid w:val="00C565D7"/>
    <w:rsid w:val="00C56795"/>
    <w:rsid w:val="00C567E6"/>
    <w:rsid w:val="00C56845"/>
    <w:rsid w:val="00C56870"/>
    <w:rsid w:val="00C569A8"/>
    <w:rsid w:val="00C56A0E"/>
    <w:rsid w:val="00C56A34"/>
    <w:rsid w:val="00C56B3C"/>
    <w:rsid w:val="00C56C21"/>
    <w:rsid w:val="00C56C2C"/>
    <w:rsid w:val="00C56D42"/>
    <w:rsid w:val="00C56D87"/>
    <w:rsid w:val="00C57028"/>
    <w:rsid w:val="00C572F3"/>
    <w:rsid w:val="00C5730D"/>
    <w:rsid w:val="00C574CB"/>
    <w:rsid w:val="00C57542"/>
    <w:rsid w:val="00C576E8"/>
    <w:rsid w:val="00C57749"/>
    <w:rsid w:val="00C578A1"/>
    <w:rsid w:val="00C578E1"/>
    <w:rsid w:val="00C57973"/>
    <w:rsid w:val="00C5797F"/>
    <w:rsid w:val="00C57ABA"/>
    <w:rsid w:val="00C57B9B"/>
    <w:rsid w:val="00C57CB4"/>
    <w:rsid w:val="00C57E22"/>
    <w:rsid w:val="00C57EAA"/>
    <w:rsid w:val="00C57F62"/>
    <w:rsid w:val="00C60038"/>
    <w:rsid w:val="00C6009D"/>
    <w:rsid w:val="00C600B5"/>
    <w:rsid w:val="00C601FC"/>
    <w:rsid w:val="00C60214"/>
    <w:rsid w:val="00C60290"/>
    <w:rsid w:val="00C6057C"/>
    <w:rsid w:val="00C60616"/>
    <w:rsid w:val="00C6082A"/>
    <w:rsid w:val="00C6085C"/>
    <w:rsid w:val="00C608C5"/>
    <w:rsid w:val="00C60A0A"/>
    <w:rsid w:val="00C60A96"/>
    <w:rsid w:val="00C60BF7"/>
    <w:rsid w:val="00C60E28"/>
    <w:rsid w:val="00C60EA5"/>
    <w:rsid w:val="00C60EA7"/>
    <w:rsid w:val="00C60F97"/>
    <w:rsid w:val="00C610EF"/>
    <w:rsid w:val="00C6122F"/>
    <w:rsid w:val="00C614B4"/>
    <w:rsid w:val="00C61548"/>
    <w:rsid w:val="00C61580"/>
    <w:rsid w:val="00C61616"/>
    <w:rsid w:val="00C61643"/>
    <w:rsid w:val="00C61652"/>
    <w:rsid w:val="00C616F6"/>
    <w:rsid w:val="00C61843"/>
    <w:rsid w:val="00C61897"/>
    <w:rsid w:val="00C61A2A"/>
    <w:rsid w:val="00C61A3E"/>
    <w:rsid w:val="00C61B8E"/>
    <w:rsid w:val="00C61B98"/>
    <w:rsid w:val="00C61C9A"/>
    <w:rsid w:val="00C61DC7"/>
    <w:rsid w:val="00C61E47"/>
    <w:rsid w:val="00C62064"/>
    <w:rsid w:val="00C620AB"/>
    <w:rsid w:val="00C62176"/>
    <w:rsid w:val="00C621B0"/>
    <w:rsid w:val="00C623D2"/>
    <w:rsid w:val="00C623F8"/>
    <w:rsid w:val="00C62611"/>
    <w:rsid w:val="00C62709"/>
    <w:rsid w:val="00C62799"/>
    <w:rsid w:val="00C62871"/>
    <w:rsid w:val="00C62996"/>
    <w:rsid w:val="00C629F7"/>
    <w:rsid w:val="00C62ABF"/>
    <w:rsid w:val="00C62AE2"/>
    <w:rsid w:val="00C62C8B"/>
    <w:rsid w:val="00C62E60"/>
    <w:rsid w:val="00C62EF9"/>
    <w:rsid w:val="00C62FD4"/>
    <w:rsid w:val="00C63184"/>
    <w:rsid w:val="00C631CA"/>
    <w:rsid w:val="00C63209"/>
    <w:rsid w:val="00C63306"/>
    <w:rsid w:val="00C636C3"/>
    <w:rsid w:val="00C636F6"/>
    <w:rsid w:val="00C63746"/>
    <w:rsid w:val="00C637E2"/>
    <w:rsid w:val="00C63809"/>
    <w:rsid w:val="00C63881"/>
    <w:rsid w:val="00C6393B"/>
    <w:rsid w:val="00C63987"/>
    <w:rsid w:val="00C639A8"/>
    <w:rsid w:val="00C63B30"/>
    <w:rsid w:val="00C63B46"/>
    <w:rsid w:val="00C63B4F"/>
    <w:rsid w:val="00C63BB6"/>
    <w:rsid w:val="00C63C3C"/>
    <w:rsid w:val="00C63C64"/>
    <w:rsid w:val="00C63F58"/>
    <w:rsid w:val="00C641C2"/>
    <w:rsid w:val="00C641F1"/>
    <w:rsid w:val="00C64296"/>
    <w:rsid w:val="00C643D1"/>
    <w:rsid w:val="00C643DE"/>
    <w:rsid w:val="00C644F9"/>
    <w:rsid w:val="00C6465B"/>
    <w:rsid w:val="00C64728"/>
    <w:rsid w:val="00C64739"/>
    <w:rsid w:val="00C6474F"/>
    <w:rsid w:val="00C6478D"/>
    <w:rsid w:val="00C64805"/>
    <w:rsid w:val="00C6480F"/>
    <w:rsid w:val="00C6485D"/>
    <w:rsid w:val="00C64863"/>
    <w:rsid w:val="00C648DE"/>
    <w:rsid w:val="00C648E3"/>
    <w:rsid w:val="00C64931"/>
    <w:rsid w:val="00C64979"/>
    <w:rsid w:val="00C649D0"/>
    <w:rsid w:val="00C64A0C"/>
    <w:rsid w:val="00C64A8E"/>
    <w:rsid w:val="00C64B50"/>
    <w:rsid w:val="00C64C67"/>
    <w:rsid w:val="00C64D53"/>
    <w:rsid w:val="00C64DCC"/>
    <w:rsid w:val="00C64EB1"/>
    <w:rsid w:val="00C64F0F"/>
    <w:rsid w:val="00C6501B"/>
    <w:rsid w:val="00C650B6"/>
    <w:rsid w:val="00C650D7"/>
    <w:rsid w:val="00C6520C"/>
    <w:rsid w:val="00C652E1"/>
    <w:rsid w:val="00C65373"/>
    <w:rsid w:val="00C6542A"/>
    <w:rsid w:val="00C65554"/>
    <w:rsid w:val="00C656B3"/>
    <w:rsid w:val="00C657D4"/>
    <w:rsid w:val="00C6589E"/>
    <w:rsid w:val="00C658EF"/>
    <w:rsid w:val="00C659A5"/>
    <w:rsid w:val="00C65A45"/>
    <w:rsid w:val="00C65ACB"/>
    <w:rsid w:val="00C65BB2"/>
    <w:rsid w:val="00C65BF3"/>
    <w:rsid w:val="00C65C7B"/>
    <w:rsid w:val="00C65DD8"/>
    <w:rsid w:val="00C65EBB"/>
    <w:rsid w:val="00C65EDB"/>
    <w:rsid w:val="00C65EFA"/>
    <w:rsid w:val="00C65F98"/>
    <w:rsid w:val="00C6608B"/>
    <w:rsid w:val="00C661BF"/>
    <w:rsid w:val="00C662A7"/>
    <w:rsid w:val="00C66326"/>
    <w:rsid w:val="00C663C1"/>
    <w:rsid w:val="00C663F3"/>
    <w:rsid w:val="00C664E6"/>
    <w:rsid w:val="00C66589"/>
    <w:rsid w:val="00C66614"/>
    <w:rsid w:val="00C666B7"/>
    <w:rsid w:val="00C66842"/>
    <w:rsid w:val="00C669D0"/>
    <w:rsid w:val="00C66A21"/>
    <w:rsid w:val="00C66A44"/>
    <w:rsid w:val="00C66AC9"/>
    <w:rsid w:val="00C66BB0"/>
    <w:rsid w:val="00C66E66"/>
    <w:rsid w:val="00C67021"/>
    <w:rsid w:val="00C67086"/>
    <w:rsid w:val="00C67089"/>
    <w:rsid w:val="00C67106"/>
    <w:rsid w:val="00C6716D"/>
    <w:rsid w:val="00C671C4"/>
    <w:rsid w:val="00C671FE"/>
    <w:rsid w:val="00C67363"/>
    <w:rsid w:val="00C6738C"/>
    <w:rsid w:val="00C674A7"/>
    <w:rsid w:val="00C674B1"/>
    <w:rsid w:val="00C6752D"/>
    <w:rsid w:val="00C67650"/>
    <w:rsid w:val="00C67747"/>
    <w:rsid w:val="00C67842"/>
    <w:rsid w:val="00C67875"/>
    <w:rsid w:val="00C67889"/>
    <w:rsid w:val="00C6794F"/>
    <w:rsid w:val="00C679B5"/>
    <w:rsid w:val="00C67AF1"/>
    <w:rsid w:val="00C67C0A"/>
    <w:rsid w:val="00C67EE1"/>
    <w:rsid w:val="00C67F9E"/>
    <w:rsid w:val="00C703E1"/>
    <w:rsid w:val="00C70474"/>
    <w:rsid w:val="00C704FD"/>
    <w:rsid w:val="00C70654"/>
    <w:rsid w:val="00C706FD"/>
    <w:rsid w:val="00C7090A"/>
    <w:rsid w:val="00C70931"/>
    <w:rsid w:val="00C70965"/>
    <w:rsid w:val="00C7099B"/>
    <w:rsid w:val="00C709E4"/>
    <w:rsid w:val="00C70A41"/>
    <w:rsid w:val="00C70AED"/>
    <w:rsid w:val="00C70BD4"/>
    <w:rsid w:val="00C70C71"/>
    <w:rsid w:val="00C70FD1"/>
    <w:rsid w:val="00C7126B"/>
    <w:rsid w:val="00C712B1"/>
    <w:rsid w:val="00C7141C"/>
    <w:rsid w:val="00C71488"/>
    <w:rsid w:val="00C714ED"/>
    <w:rsid w:val="00C71511"/>
    <w:rsid w:val="00C71655"/>
    <w:rsid w:val="00C71660"/>
    <w:rsid w:val="00C71699"/>
    <w:rsid w:val="00C71892"/>
    <w:rsid w:val="00C718C1"/>
    <w:rsid w:val="00C71967"/>
    <w:rsid w:val="00C71A04"/>
    <w:rsid w:val="00C71A43"/>
    <w:rsid w:val="00C71D67"/>
    <w:rsid w:val="00C71EE6"/>
    <w:rsid w:val="00C71F02"/>
    <w:rsid w:val="00C71F49"/>
    <w:rsid w:val="00C71F51"/>
    <w:rsid w:val="00C7213C"/>
    <w:rsid w:val="00C72223"/>
    <w:rsid w:val="00C72291"/>
    <w:rsid w:val="00C722A8"/>
    <w:rsid w:val="00C7230D"/>
    <w:rsid w:val="00C72341"/>
    <w:rsid w:val="00C72540"/>
    <w:rsid w:val="00C7254C"/>
    <w:rsid w:val="00C725AC"/>
    <w:rsid w:val="00C725E3"/>
    <w:rsid w:val="00C72973"/>
    <w:rsid w:val="00C72B94"/>
    <w:rsid w:val="00C72B9E"/>
    <w:rsid w:val="00C72BE4"/>
    <w:rsid w:val="00C72C35"/>
    <w:rsid w:val="00C72CDA"/>
    <w:rsid w:val="00C72CE1"/>
    <w:rsid w:val="00C72D21"/>
    <w:rsid w:val="00C72E01"/>
    <w:rsid w:val="00C72E29"/>
    <w:rsid w:val="00C72F54"/>
    <w:rsid w:val="00C72F9C"/>
    <w:rsid w:val="00C73014"/>
    <w:rsid w:val="00C730D6"/>
    <w:rsid w:val="00C731DE"/>
    <w:rsid w:val="00C731EF"/>
    <w:rsid w:val="00C732D6"/>
    <w:rsid w:val="00C73313"/>
    <w:rsid w:val="00C733B9"/>
    <w:rsid w:val="00C73425"/>
    <w:rsid w:val="00C734AB"/>
    <w:rsid w:val="00C7359A"/>
    <w:rsid w:val="00C735A5"/>
    <w:rsid w:val="00C736C1"/>
    <w:rsid w:val="00C73710"/>
    <w:rsid w:val="00C73769"/>
    <w:rsid w:val="00C7384A"/>
    <w:rsid w:val="00C73892"/>
    <w:rsid w:val="00C739BD"/>
    <w:rsid w:val="00C73A1A"/>
    <w:rsid w:val="00C73B91"/>
    <w:rsid w:val="00C73CFE"/>
    <w:rsid w:val="00C73D6B"/>
    <w:rsid w:val="00C73D6E"/>
    <w:rsid w:val="00C73E60"/>
    <w:rsid w:val="00C73EDB"/>
    <w:rsid w:val="00C73FE2"/>
    <w:rsid w:val="00C740C5"/>
    <w:rsid w:val="00C7410A"/>
    <w:rsid w:val="00C7411D"/>
    <w:rsid w:val="00C7415F"/>
    <w:rsid w:val="00C741DA"/>
    <w:rsid w:val="00C741E8"/>
    <w:rsid w:val="00C74219"/>
    <w:rsid w:val="00C7429F"/>
    <w:rsid w:val="00C7430F"/>
    <w:rsid w:val="00C74362"/>
    <w:rsid w:val="00C743B9"/>
    <w:rsid w:val="00C743F2"/>
    <w:rsid w:val="00C74443"/>
    <w:rsid w:val="00C744EF"/>
    <w:rsid w:val="00C746F5"/>
    <w:rsid w:val="00C7481E"/>
    <w:rsid w:val="00C748E5"/>
    <w:rsid w:val="00C748F8"/>
    <w:rsid w:val="00C74942"/>
    <w:rsid w:val="00C7494A"/>
    <w:rsid w:val="00C749BE"/>
    <w:rsid w:val="00C74A2B"/>
    <w:rsid w:val="00C74A31"/>
    <w:rsid w:val="00C74A41"/>
    <w:rsid w:val="00C74A5C"/>
    <w:rsid w:val="00C74A6B"/>
    <w:rsid w:val="00C74A7E"/>
    <w:rsid w:val="00C74B10"/>
    <w:rsid w:val="00C74B8C"/>
    <w:rsid w:val="00C74BBE"/>
    <w:rsid w:val="00C74C4B"/>
    <w:rsid w:val="00C74C4E"/>
    <w:rsid w:val="00C74CF6"/>
    <w:rsid w:val="00C74FC5"/>
    <w:rsid w:val="00C74FD5"/>
    <w:rsid w:val="00C75044"/>
    <w:rsid w:val="00C75095"/>
    <w:rsid w:val="00C75119"/>
    <w:rsid w:val="00C7526D"/>
    <w:rsid w:val="00C7538D"/>
    <w:rsid w:val="00C7549B"/>
    <w:rsid w:val="00C754F5"/>
    <w:rsid w:val="00C757BD"/>
    <w:rsid w:val="00C757D0"/>
    <w:rsid w:val="00C75838"/>
    <w:rsid w:val="00C75ADF"/>
    <w:rsid w:val="00C75B21"/>
    <w:rsid w:val="00C75B4F"/>
    <w:rsid w:val="00C75BCD"/>
    <w:rsid w:val="00C75C11"/>
    <w:rsid w:val="00C75C5D"/>
    <w:rsid w:val="00C75C93"/>
    <w:rsid w:val="00C75D16"/>
    <w:rsid w:val="00C75D4F"/>
    <w:rsid w:val="00C75DD9"/>
    <w:rsid w:val="00C75DF8"/>
    <w:rsid w:val="00C75E6C"/>
    <w:rsid w:val="00C75F60"/>
    <w:rsid w:val="00C75FBA"/>
    <w:rsid w:val="00C76125"/>
    <w:rsid w:val="00C761FF"/>
    <w:rsid w:val="00C7646D"/>
    <w:rsid w:val="00C764C1"/>
    <w:rsid w:val="00C7653D"/>
    <w:rsid w:val="00C7673C"/>
    <w:rsid w:val="00C767D2"/>
    <w:rsid w:val="00C767FF"/>
    <w:rsid w:val="00C7683A"/>
    <w:rsid w:val="00C76866"/>
    <w:rsid w:val="00C768BA"/>
    <w:rsid w:val="00C768CF"/>
    <w:rsid w:val="00C768DE"/>
    <w:rsid w:val="00C76A38"/>
    <w:rsid w:val="00C76B47"/>
    <w:rsid w:val="00C76D0A"/>
    <w:rsid w:val="00C76DAB"/>
    <w:rsid w:val="00C76DD2"/>
    <w:rsid w:val="00C76EDC"/>
    <w:rsid w:val="00C77114"/>
    <w:rsid w:val="00C772D7"/>
    <w:rsid w:val="00C77548"/>
    <w:rsid w:val="00C775D9"/>
    <w:rsid w:val="00C775DB"/>
    <w:rsid w:val="00C775FF"/>
    <w:rsid w:val="00C77629"/>
    <w:rsid w:val="00C7763F"/>
    <w:rsid w:val="00C77729"/>
    <w:rsid w:val="00C777D7"/>
    <w:rsid w:val="00C7790E"/>
    <w:rsid w:val="00C77BFA"/>
    <w:rsid w:val="00C77C18"/>
    <w:rsid w:val="00C77CD1"/>
    <w:rsid w:val="00C77CE1"/>
    <w:rsid w:val="00C77E22"/>
    <w:rsid w:val="00C77E64"/>
    <w:rsid w:val="00C77F28"/>
    <w:rsid w:val="00C80244"/>
    <w:rsid w:val="00C80253"/>
    <w:rsid w:val="00C802A0"/>
    <w:rsid w:val="00C80326"/>
    <w:rsid w:val="00C8044D"/>
    <w:rsid w:val="00C8059F"/>
    <w:rsid w:val="00C805F1"/>
    <w:rsid w:val="00C805FC"/>
    <w:rsid w:val="00C80666"/>
    <w:rsid w:val="00C808BE"/>
    <w:rsid w:val="00C808F2"/>
    <w:rsid w:val="00C8093D"/>
    <w:rsid w:val="00C80951"/>
    <w:rsid w:val="00C80973"/>
    <w:rsid w:val="00C809B6"/>
    <w:rsid w:val="00C80A94"/>
    <w:rsid w:val="00C80AF2"/>
    <w:rsid w:val="00C80BD1"/>
    <w:rsid w:val="00C80C5C"/>
    <w:rsid w:val="00C80D6D"/>
    <w:rsid w:val="00C80DF9"/>
    <w:rsid w:val="00C80E2A"/>
    <w:rsid w:val="00C80EA5"/>
    <w:rsid w:val="00C80F1E"/>
    <w:rsid w:val="00C80F68"/>
    <w:rsid w:val="00C81000"/>
    <w:rsid w:val="00C810A7"/>
    <w:rsid w:val="00C8118B"/>
    <w:rsid w:val="00C811A2"/>
    <w:rsid w:val="00C8120F"/>
    <w:rsid w:val="00C812AD"/>
    <w:rsid w:val="00C812BE"/>
    <w:rsid w:val="00C81429"/>
    <w:rsid w:val="00C81493"/>
    <w:rsid w:val="00C81565"/>
    <w:rsid w:val="00C81703"/>
    <w:rsid w:val="00C8176B"/>
    <w:rsid w:val="00C8179B"/>
    <w:rsid w:val="00C81AF6"/>
    <w:rsid w:val="00C81C0A"/>
    <w:rsid w:val="00C81CB0"/>
    <w:rsid w:val="00C81CDC"/>
    <w:rsid w:val="00C81D88"/>
    <w:rsid w:val="00C81DF2"/>
    <w:rsid w:val="00C81E8A"/>
    <w:rsid w:val="00C81EC4"/>
    <w:rsid w:val="00C81ED5"/>
    <w:rsid w:val="00C81F93"/>
    <w:rsid w:val="00C81FE9"/>
    <w:rsid w:val="00C820B5"/>
    <w:rsid w:val="00C820CB"/>
    <w:rsid w:val="00C821E8"/>
    <w:rsid w:val="00C82221"/>
    <w:rsid w:val="00C82361"/>
    <w:rsid w:val="00C823AF"/>
    <w:rsid w:val="00C826E3"/>
    <w:rsid w:val="00C82799"/>
    <w:rsid w:val="00C82907"/>
    <w:rsid w:val="00C829E0"/>
    <w:rsid w:val="00C829E2"/>
    <w:rsid w:val="00C82D1A"/>
    <w:rsid w:val="00C82D8C"/>
    <w:rsid w:val="00C82DF2"/>
    <w:rsid w:val="00C82F4C"/>
    <w:rsid w:val="00C83099"/>
    <w:rsid w:val="00C8313F"/>
    <w:rsid w:val="00C8322A"/>
    <w:rsid w:val="00C83256"/>
    <w:rsid w:val="00C832DC"/>
    <w:rsid w:val="00C83308"/>
    <w:rsid w:val="00C8346C"/>
    <w:rsid w:val="00C834AA"/>
    <w:rsid w:val="00C83535"/>
    <w:rsid w:val="00C8360D"/>
    <w:rsid w:val="00C83641"/>
    <w:rsid w:val="00C8365C"/>
    <w:rsid w:val="00C83837"/>
    <w:rsid w:val="00C838AE"/>
    <w:rsid w:val="00C838BC"/>
    <w:rsid w:val="00C83A0C"/>
    <w:rsid w:val="00C83AEF"/>
    <w:rsid w:val="00C83B84"/>
    <w:rsid w:val="00C83C9D"/>
    <w:rsid w:val="00C83CB3"/>
    <w:rsid w:val="00C83E61"/>
    <w:rsid w:val="00C83F79"/>
    <w:rsid w:val="00C83F83"/>
    <w:rsid w:val="00C84212"/>
    <w:rsid w:val="00C842AC"/>
    <w:rsid w:val="00C842B6"/>
    <w:rsid w:val="00C84352"/>
    <w:rsid w:val="00C8435E"/>
    <w:rsid w:val="00C84425"/>
    <w:rsid w:val="00C844CB"/>
    <w:rsid w:val="00C84501"/>
    <w:rsid w:val="00C84516"/>
    <w:rsid w:val="00C84532"/>
    <w:rsid w:val="00C845B1"/>
    <w:rsid w:val="00C8478C"/>
    <w:rsid w:val="00C847D1"/>
    <w:rsid w:val="00C848C4"/>
    <w:rsid w:val="00C848FE"/>
    <w:rsid w:val="00C849BD"/>
    <w:rsid w:val="00C84A41"/>
    <w:rsid w:val="00C84BF9"/>
    <w:rsid w:val="00C84C1D"/>
    <w:rsid w:val="00C84C24"/>
    <w:rsid w:val="00C84C3A"/>
    <w:rsid w:val="00C84C7B"/>
    <w:rsid w:val="00C84D8A"/>
    <w:rsid w:val="00C84E36"/>
    <w:rsid w:val="00C84EA0"/>
    <w:rsid w:val="00C84F70"/>
    <w:rsid w:val="00C850EB"/>
    <w:rsid w:val="00C8512B"/>
    <w:rsid w:val="00C8513F"/>
    <w:rsid w:val="00C85225"/>
    <w:rsid w:val="00C852B3"/>
    <w:rsid w:val="00C8548D"/>
    <w:rsid w:val="00C85504"/>
    <w:rsid w:val="00C8558B"/>
    <w:rsid w:val="00C8566D"/>
    <w:rsid w:val="00C856B2"/>
    <w:rsid w:val="00C856E5"/>
    <w:rsid w:val="00C85776"/>
    <w:rsid w:val="00C858C5"/>
    <w:rsid w:val="00C8594C"/>
    <w:rsid w:val="00C85B17"/>
    <w:rsid w:val="00C85B59"/>
    <w:rsid w:val="00C85BCF"/>
    <w:rsid w:val="00C85BD4"/>
    <w:rsid w:val="00C85BD6"/>
    <w:rsid w:val="00C85BFC"/>
    <w:rsid w:val="00C85C37"/>
    <w:rsid w:val="00C85C74"/>
    <w:rsid w:val="00C85CE3"/>
    <w:rsid w:val="00C85DA9"/>
    <w:rsid w:val="00C85F9D"/>
    <w:rsid w:val="00C85FF1"/>
    <w:rsid w:val="00C85FFF"/>
    <w:rsid w:val="00C8600D"/>
    <w:rsid w:val="00C860E0"/>
    <w:rsid w:val="00C860EF"/>
    <w:rsid w:val="00C86161"/>
    <w:rsid w:val="00C86239"/>
    <w:rsid w:val="00C862E3"/>
    <w:rsid w:val="00C86371"/>
    <w:rsid w:val="00C8647D"/>
    <w:rsid w:val="00C864B6"/>
    <w:rsid w:val="00C864DC"/>
    <w:rsid w:val="00C8663A"/>
    <w:rsid w:val="00C8664D"/>
    <w:rsid w:val="00C866BB"/>
    <w:rsid w:val="00C8674D"/>
    <w:rsid w:val="00C867AE"/>
    <w:rsid w:val="00C867E2"/>
    <w:rsid w:val="00C867F5"/>
    <w:rsid w:val="00C868FD"/>
    <w:rsid w:val="00C86A94"/>
    <w:rsid w:val="00C86B08"/>
    <w:rsid w:val="00C86B44"/>
    <w:rsid w:val="00C86B6D"/>
    <w:rsid w:val="00C86C06"/>
    <w:rsid w:val="00C86CDB"/>
    <w:rsid w:val="00C86DC1"/>
    <w:rsid w:val="00C8714E"/>
    <w:rsid w:val="00C871F2"/>
    <w:rsid w:val="00C872EC"/>
    <w:rsid w:val="00C87350"/>
    <w:rsid w:val="00C874B0"/>
    <w:rsid w:val="00C8759C"/>
    <w:rsid w:val="00C876FC"/>
    <w:rsid w:val="00C87763"/>
    <w:rsid w:val="00C8780F"/>
    <w:rsid w:val="00C878A5"/>
    <w:rsid w:val="00C878A6"/>
    <w:rsid w:val="00C87990"/>
    <w:rsid w:val="00C879F4"/>
    <w:rsid w:val="00C87BB3"/>
    <w:rsid w:val="00C87D95"/>
    <w:rsid w:val="00C87E42"/>
    <w:rsid w:val="00C90040"/>
    <w:rsid w:val="00C901D3"/>
    <w:rsid w:val="00C902A0"/>
    <w:rsid w:val="00C903FF"/>
    <w:rsid w:val="00C90411"/>
    <w:rsid w:val="00C90446"/>
    <w:rsid w:val="00C90571"/>
    <w:rsid w:val="00C90609"/>
    <w:rsid w:val="00C90668"/>
    <w:rsid w:val="00C90688"/>
    <w:rsid w:val="00C9076F"/>
    <w:rsid w:val="00C908CD"/>
    <w:rsid w:val="00C90D00"/>
    <w:rsid w:val="00C90DC9"/>
    <w:rsid w:val="00C90ED4"/>
    <w:rsid w:val="00C90F12"/>
    <w:rsid w:val="00C90F25"/>
    <w:rsid w:val="00C90F2C"/>
    <w:rsid w:val="00C9109A"/>
    <w:rsid w:val="00C91157"/>
    <w:rsid w:val="00C912DB"/>
    <w:rsid w:val="00C91301"/>
    <w:rsid w:val="00C9159F"/>
    <w:rsid w:val="00C91826"/>
    <w:rsid w:val="00C91BE3"/>
    <w:rsid w:val="00C91C1A"/>
    <w:rsid w:val="00C91C5E"/>
    <w:rsid w:val="00C91C65"/>
    <w:rsid w:val="00C91C73"/>
    <w:rsid w:val="00C91DCC"/>
    <w:rsid w:val="00C91E15"/>
    <w:rsid w:val="00C91EFD"/>
    <w:rsid w:val="00C91F55"/>
    <w:rsid w:val="00C91FA1"/>
    <w:rsid w:val="00C91FE2"/>
    <w:rsid w:val="00C92019"/>
    <w:rsid w:val="00C92077"/>
    <w:rsid w:val="00C921BB"/>
    <w:rsid w:val="00C92298"/>
    <w:rsid w:val="00C92331"/>
    <w:rsid w:val="00C9237E"/>
    <w:rsid w:val="00C9237F"/>
    <w:rsid w:val="00C924CF"/>
    <w:rsid w:val="00C92605"/>
    <w:rsid w:val="00C9275F"/>
    <w:rsid w:val="00C92942"/>
    <w:rsid w:val="00C9298E"/>
    <w:rsid w:val="00C92A34"/>
    <w:rsid w:val="00C92A46"/>
    <w:rsid w:val="00C92BA3"/>
    <w:rsid w:val="00C92C65"/>
    <w:rsid w:val="00C92C7B"/>
    <w:rsid w:val="00C92C83"/>
    <w:rsid w:val="00C92D3A"/>
    <w:rsid w:val="00C92E44"/>
    <w:rsid w:val="00C92EC2"/>
    <w:rsid w:val="00C93009"/>
    <w:rsid w:val="00C930A5"/>
    <w:rsid w:val="00C931C4"/>
    <w:rsid w:val="00C931D9"/>
    <w:rsid w:val="00C93396"/>
    <w:rsid w:val="00C934B5"/>
    <w:rsid w:val="00C93528"/>
    <w:rsid w:val="00C93838"/>
    <w:rsid w:val="00C93938"/>
    <w:rsid w:val="00C9393A"/>
    <w:rsid w:val="00C9396F"/>
    <w:rsid w:val="00C939EC"/>
    <w:rsid w:val="00C93A04"/>
    <w:rsid w:val="00C93A86"/>
    <w:rsid w:val="00C93A9A"/>
    <w:rsid w:val="00C93BC1"/>
    <w:rsid w:val="00C93C98"/>
    <w:rsid w:val="00C93E85"/>
    <w:rsid w:val="00C93F1E"/>
    <w:rsid w:val="00C93F82"/>
    <w:rsid w:val="00C93FD0"/>
    <w:rsid w:val="00C93FDC"/>
    <w:rsid w:val="00C9419E"/>
    <w:rsid w:val="00C94228"/>
    <w:rsid w:val="00C94261"/>
    <w:rsid w:val="00C9458A"/>
    <w:rsid w:val="00C945B2"/>
    <w:rsid w:val="00C94623"/>
    <w:rsid w:val="00C9464B"/>
    <w:rsid w:val="00C94860"/>
    <w:rsid w:val="00C94B30"/>
    <w:rsid w:val="00C94B9A"/>
    <w:rsid w:val="00C94BAD"/>
    <w:rsid w:val="00C94C2D"/>
    <w:rsid w:val="00C94C62"/>
    <w:rsid w:val="00C94C9C"/>
    <w:rsid w:val="00C94D51"/>
    <w:rsid w:val="00C94DDD"/>
    <w:rsid w:val="00C94F1C"/>
    <w:rsid w:val="00C9502A"/>
    <w:rsid w:val="00C950FD"/>
    <w:rsid w:val="00C95207"/>
    <w:rsid w:val="00C95257"/>
    <w:rsid w:val="00C95323"/>
    <w:rsid w:val="00C953AD"/>
    <w:rsid w:val="00C953C0"/>
    <w:rsid w:val="00C953E6"/>
    <w:rsid w:val="00C9552F"/>
    <w:rsid w:val="00C955B0"/>
    <w:rsid w:val="00C95632"/>
    <w:rsid w:val="00C9566E"/>
    <w:rsid w:val="00C95827"/>
    <w:rsid w:val="00C958BD"/>
    <w:rsid w:val="00C958BF"/>
    <w:rsid w:val="00C959C0"/>
    <w:rsid w:val="00C95A39"/>
    <w:rsid w:val="00C95AC2"/>
    <w:rsid w:val="00C95B70"/>
    <w:rsid w:val="00C95C48"/>
    <w:rsid w:val="00C95DCF"/>
    <w:rsid w:val="00C95E16"/>
    <w:rsid w:val="00C95EF1"/>
    <w:rsid w:val="00C95F88"/>
    <w:rsid w:val="00C9616A"/>
    <w:rsid w:val="00C96306"/>
    <w:rsid w:val="00C964EE"/>
    <w:rsid w:val="00C9659A"/>
    <w:rsid w:val="00C965CF"/>
    <w:rsid w:val="00C9671D"/>
    <w:rsid w:val="00C96949"/>
    <w:rsid w:val="00C96952"/>
    <w:rsid w:val="00C96A2F"/>
    <w:rsid w:val="00C96C39"/>
    <w:rsid w:val="00C96CB6"/>
    <w:rsid w:val="00C96CED"/>
    <w:rsid w:val="00C96ED5"/>
    <w:rsid w:val="00C96ED6"/>
    <w:rsid w:val="00C96F7D"/>
    <w:rsid w:val="00C97077"/>
    <w:rsid w:val="00C970AA"/>
    <w:rsid w:val="00C97124"/>
    <w:rsid w:val="00C971FA"/>
    <w:rsid w:val="00C973BD"/>
    <w:rsid w:val="00C9751E"/>
    <w:rsid w:val="00C9756F"/>
    <w:rsid w:val="00C975D3"/>
    <w:rsid w:val="00C97667"/>
    <w:rsid w:val="00C97687"/>
    <w:rsid w:val="00C976A1"/>
    <w:rsid w:val="00C977FB"/>
    <w:rsid w:val="00C97846"/>
    <w:rsid w:val="00C979E4"/>
    <w:rsid w:val="00C97A06"/>
    <w:rsid w:val="00C97AE0"/>
    <w:rsid w:val="00C97B5C"/>
    <w:rsid w:val="00C97BBE"/>
    <w:rsid w:val="00C97DB0"/>
    <w:rsid w:val="00C97EFA"/>
    <w:rsid w:val="00C97F39"/>
    <w:rsid w:val="00CA00B3"/>
    <w:rsid w:val="00CA00BB"/>
    <w:rsid w:val="00CA040A"/>
    <w:rsid w:val="00CA040D"/>
    <w:rsid w:val="00CA04BC"/>
    <w:rsid w:val="00CA0527"/>
    <w:rsid w:val="00CA0579"/>
    <w:rsid w:val="00CA05AA"/>
    <w:rsid w:val="00CA05DA"/>
    <w:rsid w:val="00CA06A9"/>
    <w:rsid w:val="00CA073C"/>
    <w:rsid w:val="00CA075B"/>
    <w:rsid w:val="00CA0773"/>
    <w:rsid w:val="00CA07EF"/>
    <w:rsid w:val="00CA08E9"/>
    <w:rsid w:val="00CA08ED"/>
    <w:rsid w:val="00CA0939"/>
    <w:rsid w:val="00CA0A86"/>
    <w:rsid w:val="00CA0AF9"/>
    <w:rsid w:val="00CA0BE2"/>
    <w:rsid w:val="00CA0CA7"/>
    <w:rsid w:val="00CA0CB1"/>
    <w:rsid w:val="00CA0CDA"/>
    <w:rsid w:val="00CA0D16"/>
    <w:rsid w:val="00CA0D47"/>
    <w:rsid w:val="00CA0DBB"/>
    <w:rsid w:val="00CA0E99"/>
    <w:rsid w:val="00CA0F27"/>
    <w:rsid w:val="00CA0F4C"/>
    <w:rsid w:val="00CA1141"/>
    <w:rsid w:val="00CA118A"/>
    <w:rsid w:val="00CA1218"/>
    <w:rsid w:val="00CA122D"/>
    <w:rsid w:val="00CA12C3"/>
    <w:rsid w:val="00CA12F4"/>
    <w:rsid w:val="00CA137F"/>
    <w:rsid w:val="00CA1403"/>
    <w:rsid w:val="00CA1414"/>
    <w:rsid w:val="00CA1470"/>
    <w:rsid w:val="00CA154D"/>
    <w:rsid w:val="00CA1582"/>
    <w:rsid w:val="00CA15AB"/>
    <w:rsid w:val="00CA16E7"/>
    <w:rsid w:val="00CA18E8"/>
    <w:rsid w:val="00CA1901"/>
    <w:rsid w:val="00CA1AA8"/>
    <w:rsid w:val="00CA1B0D"/>
    <w:rsid w:val="00CA1B64"/>
    <w:rsid w:val="00CA1CC4"/>
    <w:rsid w:val="00CA1D08"/>
    <w:rsid w:val="00CA1D14"/>
    <w:rsid w:val="00CA1D50"/>
    <w:rsid w:val="00CA1E0D"/>
    <w:rsid w:val="00CA1F1B"/>
    <w:rsid w:val="00CA1F52"/>
    <w:rsid w:val="00CA1F6E"/>
    <w:rsid w:val="00CA2030"/>
    <w:rsid w:val="00CA20D6"/>
    <w:rsid w:val="00CA2127"/>
    <w:rsid w:val="00CA2282"/>
    <w:rsid w:val="00CA246D"/>
    <w:rsid w:val="00CA24DD"/>
    <w:rsid w:val="00CA2588"/>
    <w:rsid w:val="00CA25CB"/>
    <w:rsid w:val="00CA267D"/>
    <w:rsid w:val="00CA2736"/>
    <w:rsid w:val="00CA28BE"/>
    <w:rsid w:val="00CA29FF"/>
    <w:rsid w:val="00CA2B78"/>
    <w:rsid w:val="00CA2C73"/>
    <w:rsid w:val="00CA2F2A"/>
    <w:rsid w:val="00CA3065"/>
    <w:rsid w:val="00CA30B3"/>
    <w:rsid w:val="00CA3303"/>
    <w:rsid w:val="00CA3327"/>
    <w:rsid w:val="00CA3388"/>
    <w:rsid w:val="00CA3424"/>
    <w:rsid w:val="00CA35CB"/>
    <w:rsid w:val="00CA360A"/>
    <w:rsid w:val="00CA3644"/>
    <w:rsid w:val="00CA3A59"/>
    <w:rsid w:val="00CA3AE8"/>
    <w:rsid w:val="00CA3B21"/>
    <w:rsid w:val="00CA3B71"/>
    <w:rsid w:val="00CA3CF5"/>
    <w:rsid w:val="00CA3D05"/>
    <w:rsid w:val="00CA3F2D"/>
    <w:rsid w:val="00CA3FA6"/>
    <w:rsid w:val="00CA4020"/>
    <w:rsid w:val="00CA4093"/>
    <w:rsid w:val="00CA4117"/>
    <w:rsid w:val="00CA415F"/>
    <w:rsid w:val="00CA4256"/>
    <w:rsid w:val="00CA4268"/>
    <w:rsid w:val="00CA4305"/>
    <w:rsid w:val="00CA4329"/>
    <w:rsid w:val="00CA4413"/>
    <w:rsid w:val="00CA44E4"/>
    <w:rsid w:val="00CA4504"/>
    <w:rsid w:val="00CA451B"/>
    <w:rsid w:val="00CA452A"/>
    <w:rsid w:val="00CA4558"/>
    <w:rsid w:val="00CA47CA"/>
    <w:rsid w:val="00CA47EB"/>
    <w:rsid w:val="00CA4952"/>
    <w:rsid w:val="00CA4AF0"/>
    <w:rsid w:val="00CA4C2A"/>
    <w:rsid w:val="00CA4D44"/>
    <w:rsid w:val="00CA4F02"/>
    <w:rsid w:val="00CA53B9"/>
    <w:rsid w:val="00CA53BC"/>
    <w:rsid w:val="00CA53E8"/>
    <w:rsid w:val="00CA5485"/>
    <w:rsid w:val="00CA54D5"/>
    <w:rsid w:val="00CA54DA"/>
    <w:rsid w:val="00CA55CC"/>
    <w:rsid w:val="00CA5686"/>
    <w:rsid w:val="00CA56FA"/>
    <w:rsid w:val="00CA575E"/>
    <w:rsid w:val="00CA57BB"/>
    <w:rsid w:val="00CA57EB"/>
    <w:rsid w:val="00CA590A"/>
    <w:rsid w:val="00CA591A"/>
    <w:rsid w:val="00CA59BB"/>
    <w:rsid w:val="00CA59F0"/>
    <w:rsid w:val="00CA5AC9"/>
    <w:rsid w:val="00CA5C56"/>
    <w:rsid w:val="00CA5C6A"/>
    <w:rsid w:val="00CA5CAC"/>
    <w:rsid w:val="00CA5D1C"/>
    <w:rsid w:val="00CA5DAE"/>
    <w:rsid w:val="00CA5DE2"/>
    <w:rsid w:val="00CA5E8F"/>
    <w:rsid w:val="00CA5F08"/>
    <w:rsid w:val="00CA5FE6"/>
    <w:rsid w:val="00CA61AE"/>
    <w:rsid w:val="00CA627A"/>
    <w:rsid w:val="00CA62A1"/>
    <w:rsid w:val="00CA62B4"/>
    <w:rsid w:val="00CA62C7"/>
    <w:rsid w:val="00CA640E"/>
    <w:rsid w:val="00CA6422"/>
    <w:rsid w:val="00CA65A2"/>
    <w:rsid w:val="00CA65EB"/>
    <w:rsid w:val="00CA67F5"/>
    <w:rsid w:val="00CA687B"/>
    <w:rsid w:val="00CA6941"/>
    <w:rsid w:val="00CA6972"/>
    <w:rsid w:val="00CA6A55"/>
    <w:rsid w:val="00CA6B22"/>
    <w:rsid w:val="00CA6B6E"/>
    <w:rsid w:val="00CA6BDD"/>
    <w:rsid w:val="00CA6D61"/>
    <w:rsid w:val="00CA6DFC"/>
    <w:rsid w:val="00CA6F0D"/>
    <w:rsid w:val="00CA6F85"/>
    <w:rsid w:val="00CA6FA9"/>
    <w:rsid w:val="00CA6FBA"/>
    <w:rsid w:val="00CA70BB"/>
    <w:rsid w:val="00CA70D6"/>
    <w:rsid w:val="00CA73A2"/>
    <w:rsid w:val="00CA73AA"/>
    <w:rsid w:val="00CA7508"/>
    <w:rsid w:val="00CA7645"/>
    <w:rsid w:val="00CA7789"/>
    <w:rsid w:val="00CA79B2"/>
    <w:rsid w:val="00CA7A4D"/>
    <w:rsid w:val="00CA7A99"/>
    <w:rsid w:val="00CA7B80"/>
    <w:rsid w:val="00CA7B92"/>
    <w:rsid w:val="00CA7C1A"/>
    <w:rsid w:val="00CA7EA3"/>
    <w:rsid w:val="00CA7EFB"/>
    <w:rsid w:val="00CA7F03"/>
    <w:rsid w:val="00CB00CD"/>
    <w:rsid w:val="00CB0234"/>
    <w:rsid w:val="00CB030E"/>
    <w:rsid w:val="00CB0329"/>
    <w:rsid w:val="00CB03D1"/>
    <w:rsid w:val="00CB0441"/>
    <w:rsid w:val="00CB05E2"/>
    <w:rsid w:val="00CB06F3"/>
    <w:rsid w:val="00CB07A3"/>
    <w:rsid w:val="00CB07F6"/>
    <w:rsid w:val="00CB098B"/>
    <w:rsid w:val="00CB09CD"/>
    <w:rsid w:val="00CB09DC"/>
    <w:rsid w:val="00CB09E8"/>
    <w:rsid w:val="00CB0A86"/>
    <w:rsid w:val="00CB0AC8"/>
    <w:rsid w:val="00CB0B9A"/>
    <w:rsid w:val="00CB0CA8"/>
    <w:rsid w:val="00CB0D24"/>
    <w:rsid w:val="00CB0EA5"/>
    <w:rsid w:val="00CB0ECC"/>
    <w:rsid w:val="00CB0F14"/>
    <w:rsid w:val="00CB0FB4"/>
    <w:rsid w:val="00CB0FE1"/>
    <w:rsid w:val="00CB0FF1"/>
    <w:rsid w:val="00CB1056"/>
    <w:rsid w:val="00CB1278"/>
    <w:rsid w:val="00CB1416"/>
    <w:rsid w:val="00CB1429"/>
    <w:rsid w:val="00CB1475"/>
    <w:rsid w:val="00CB14EA"/>
    <w:rsid w:val="00CB1598"/>
    <w:rsid w:val="00CB15C6"/>
    <w:rsid w:val="00CB162B"/>
    <w:rsid w:val="00CB16DD"/>
    <w:rsid w:val="00CB16E6"/>
    <w:rsid w:val="00CB16FD"/>
    <w:rsid w:val="00CB18B7"/>
    <w:rsid w:val="00CB18CC"/>
    <w:rsid w:val="00CB191C"/>
    <w:rsid w:val="00CB193B"/>
    <w:rsid w:val="00CB1AFF"/>
    <w:rsid w:val="00CB1BB7"/>
    <w:rsid w:val="00CB1BFD"/>
    <w:rsid w:val="00CB1C2D"/>
    <w:rsid w:val="00CB1C3E"/>
    <w:rsid w:val="00CB1C78"/>
    <w:rsid w:val="00CB1D62"/>
    <w:rsid w:val="00CB1D8E"/>
    <w:rsid w:val="00CB1E00"/>
    <w:rsid w:val="00CB206D"/>
    <w:rsid w:val="00CB212C"/>
    <w:rsid w:val="00CB2359"/>
    <w:rsid w:val="00CB24B9"/>
    <w:rsid w:val="00CB24BB"/>
    <w:rsid w:val="00CB24CF"/>
    <w:rsid w:val="00CB2552"/>
    <w:rsid w:val="00CB2660"/>
    <w:rsid w:val="00CB267D"/>
    <w:rsid w:val="00CB268C"/>
    <w:rsid w:val="00CB2756"/>
    <w:rsid w:val="00CB276D"/>
    <w:rsid w:val="00CB2779"/>
    <w:rsid w:val="00CB2788"/>
    <w:rsid w:val="00CB27D5"/>
    <w:rsid w:val="00CB28CD"/>
    <w:rsid w:val="00CB2A28"/>
    <w:rsid w:val="00CB2A35"/>
    <w:rsid w:val="00CB2AB0"/>
    <w:rsid w:val="00CB2AF8"/>
    <w:rsid w:val="00CB2B20"/>
    <w:rsid w:val="00CB2B37"/>
    <w:rsid w:val="00CB2CD1"/>
    <w:rsid w:val="00CB2D17"/>
    <w:rsid w:val="00CB2DA9"/>
    <w:rsid w:val="00CB2E41"/>
    <w:rsid w:val="00CB2F20"/>
    <w:rsid w:val="00CB2F43"/>
    <w:rsid w:val="00CB3044"/>
    <w:rsid w:val="00CB30EC"/>
    <w:rsid w:val="00CB3153"/>
    <w:rsid w:val="00CB3157"/>
    <w:rsid w:val="00CB3246"/>
    <w:rsid w:val="00CB33FD"/>
    <w:rsid w:val="00CB3413"/>
    <w:rsid w:val="00CB343D"/>
    <w:rsid w:val="00CB348D"/>
    <w:rsid w:val="00CB34E1"/>
    <w:rsid w:val="00CB3553"/>
    <w:rsid w:val="00CB3651"/>
    <w:rsid w:val="00CB366A"/>
    <w:rsid w:val="00CB390F"/>
    <w:rsid w:val="00CB3993"/>
    <w:rsid w:val="00CB3BCA"/>
    <w:rsid w:val="00CB3BEE"/>
    <w:rsid w:val="00CB3C46"/>
    <w:rsid w:val="00CB3D92"/>
    <w:rsid w:val="00CB3DEC"/>
    <w:rsid w:val="00CB3F20"/>
    <w:rsid w:val="00CB3F7B"/>
    <w:rsid w:val="00CB3FD8"/>
    <w:rsid w:val="00CB40F0"/>
    <w:rsid w:val="00CB41D6"/>
    <w:rsid w:val="00CB41F1"/>
    <w:rsid w:val="00CB422F"/>
    <w:rsid w:val="00CB44E7"/>
    <w:rsid w:val="00CB467F"/>
    <w:rsid w:val="00CB46EE"/>
    <w:rsid w:val="00CB4733"/>
    <w:rsid w:val="00CB4741"/>
    <w:rsid w:val="00CB47CA"/>
    <w:rsid w:val="00CB47F0"/>
    <w:rsid w:val="00CB498C"/>
    <w:rsid w:val="00CB4BAB"/>
    <w:rsid w:val="00CB4BCB"/>
    <w:rsid w:val="00CB4C64"/>
    <w:rsid w:val="00CB4D04"/>
    <w:rsid w:val="00CB4DE2"/>
    <w:rsid w:val="00CB4F02"/>
    <w:rsid w:val="00CB5112"/>
    <w:rsid w:val="00CB5203"/>
    <w:rsid w:val="00CB5246"/>
    <w:rsid w:val="00CB52E2"/>
    <w:rsid w:val="00CB52EA"/>
    <w:rsid w:val="00CB53EA"/>
    <w:rsid w:val="00CB54DD"/>
    <w:rsid w:val="00CB55F6"/>
    <w:rsid w:val="00CB5628"/>
    <w:rsid w:val="00CB5761"/>
    <w:rsid w:val="00CB58D3"/>
    <w:rsid w:val="00CB5903"/>
    <w:rsid w:val="00CB597A"/>
    <w:rsid w:val="00CB5A6C"/>
    <w:rsid w:val="00CB5AC9"/>
    <w:rsid w:val="00CB5AF2"/>
    <w:rsid w:val="00CB5B1E"/>
    <w:rsid w:val="00CB5EA8"/>
    <w:rsid w:val="00CB602A"/>
    <w:rsid w:val="00CB6131"/>
    <w:rsid w:val="00CB616B"/>
    <w:rsid w:val="00CB617C"/>
    <w:rsid w:val="00CB61DA"/>
    <w:rsid w:val="00CB651D"/>
    <w:rsid w:val="00CB65D6"/>
    <w:rsid w:val="00CB6699"/>
    <w:rsid w:val="00CB6751"/>
    <w:rsid w:val="00CB685E"/>
    <w:rsid w:val="00CB688D"/>
    <w:rsid w:val="00CB692E"/>
    <w:rsid w:val="00CB69AB"/>
    <w:rsid w:val="00CB6A29"/>
    <w:rsid w:val="00CB6CA8"/>
    <w:rsid w:val="00CB6D79"/>
    <w:rsid w:val="00CB6F31"/>
    <w:rsid w:val="00CB7028"/>
    <w:rsid w:val="00CB7319"/>
    <w:rsid w:val="00CB73E2"/>
    <w:rsid w:val="00CB73ED"/>
    <w:rsid w:val="00CB7489"/>
    <w:rsid w:val="00CB74E3"/>
    <w:rsid w:val="00CB7537"/>
    <w:rsid w:val="00CB75FE"/>
    <w:rsid w:val="00CB7632"/>
    <w:rsid w:val="00CB76A1"/>
    <w:rsid w:val="00CB7865"/>
    <w:rsid w:val="00CB7872"/>
    <w:rsid w:val="00CB78FF"/>
    <w:rsid w:val="00CB7B52"/>
    <w:rsid w:val="00CB7DDF"/>
    <w:rsid w:val="00CB7E9F"/>
    <w:rsid w:val="00CB7F81"/>
    <w:rsid w:val="00CC00FA"/>
    <w:rsid w:val="00CC01F8"/>
    <w:rsid w:val="00CC01FA"/>
    <w:rsid w:val="00CC0207"/>
    <w:rsid w:val="00CC025D"/>
    <w:rsid w:val="00CC0269"/>
    <w:rsid w:val="00CC0360"/>
    <w:rsid w:val="00CC04FD"/>
    <w:rsid w:val="00CC059F"/>
    <w:rsid w:val="00CC05BC"/>
    <w:rsid w:val="00CC07DE"/>
    <w:rsid w:val="00CC0873"/>
    <w:rsid w:val="00CC08E0"/>
    <w:rsid w:val="00CC095A"/>
    <w:rsid w:val="00CC0AB4"/>
    <w:rsid w:val="00CC0AB8"/>
    <w:rsid w:val="00CC0BED"/>
    <w:rsid w:val="00CC0CA7"/>
    <w:rsid w:val="00CC0CC0"/>
    <w:rsid w:val="00CC0D4B"/>
    <w:rsid w:val="00CC0E54"/>
    <w:rsid w:val="00CC0EAF"/>
    <w:rsid w:val="00CC10D3"/>
    <w:rsid w:val="00CC10F0"/>
    <w:rsid w:val="00CC112F"/>
    <w:rsid w:val="00CC120B"/>
    <w:rsid w:val="00CC125D"/>
    <w:rsid w:val="00CC13CF"/>
    <w:rsid w:val="00CC142A"/>
    <w:rsid w:val="00CC143A"/>
    <w:rsid w:val="00CC14A9"/>
    <w:rsid w:val="00CC14DA"/>
    <w:rsid w:val="00CC16B0"/>
    <w:rsid w:val="00CC1710"/>
    <w:rsid w:val="00CC17D9"/>
    <w:rsid w:val="00CC1839"/>
    <w:rsid w:val="00CC183C"/>
    <w:rsid w:val="00CC1861"/>
    <w:rsid w:val="00CC1874"/>
    <w:rsid w:val="00CC1A2A"/>
    <w:rsid w:val="00CC1A5C"/>
    <w:rsid w:val="00CC1B08"/>
    <w:rsid w:val="00CC1BDC"/>
    <w:rsid w:val="00CC1C79"/>
    <w:rsid w:val="00CC1E05"/>
    <w:rsid w:val="00CC1EC8"/>
    <w:rsid w:val="00CC1FFB"/>
    <w:rsid w:val="00CC2003"/>
    <w:rsid w:val="00CC201B"/>
    <w:rsid w:val="00CC2082"/>
    <w:rsid w:val="00CC20F6"/>
    <w:rsid w:val="00CC2155"/>
    <w:rsid w:val="00CC216F"/>
    <w:rsid w:val="00CC21B2"/>
    <w:rsid w:val="00CC230E"/>
    <w:rsid w:val="00CC2344"/>
    <w:rsid w:val="00CC23DC"/>
    <w:rsid w:val="00CC2478"/>
    <w:rsid w:val="00CC24CE"/>
    <w:rsid w:val="00CC25F4"/>
    <w:rsid w:val="00CC265D"/>
    <w:rsid w:val="00CC26A3"/>
    <w:rsid w:val="00CC2700"/>
    <w:rsid w:val="00CC276A"/>
    <w:rsid w:val="00CC28B5"/>
    <w:rsid w:val="00CC28DA"/>
    <w:rsid w:val="00CC299F"/>
    <w:rsid w:val="00CC29C7"/>
    <w:rsid w:val="00CC2ACA"/>
    <w:rsid w:val="00CC2B0E"/>
    <w:rsid w:val="00CC2B56"/>
    <w:rsid w:val="00CC2C32"/>
    <w:rsid w:val="00CC2D1B"/>
    <w:rsid w:val="00CC2EA5"/>
    <w:rsid w:val="00CC2F27"/>
    <w:rsid w:val="00CC2F2F"/>
    <w:rsid w:val="00CC317F"/>
    <w:rsid w:val="00CC323E"/>
    <w:rsid w:val="00CC329D"/>
    <w:rsid w:val="00CC32BE"/>
    <w:rsid w:val="00CC34EE"/>
    <w:rsid w:val="00CC35DD"/>
    <w:rsid w:val="00CC3779"/>
    <w:rsid w:val="00CC380E"/>
    <w:rsid w:val="00CC3A05"/>
    <w:rsid w:val="00CC3A7E"/>
    <w:rsid w:val="00CC3B7F"/>
    <w:rsid w:val="00CC3D1E"/>
    <w:rsid w:val="00CC3D42"/>
    <w:rsid w:val="00CC3D49"/>
    <w:rsid w:val="00CC3ECB"/>
    <w:rsid w:val="00CC3F20"/>
    <w:rsid w:val="00CC3FD6"/>
    <w:rsid w:val="00CC3FDD"/>
    <w:rsid w:val="00CC4009"/>
    <w:rsid w:val="00CC406A"/>
    <w:rsid w:val="00CC407B"/>
    <w:rsid w:val="00CC4268"/>
    <w:rsid w:val="00CC430D"/>
    <w:rsid w:val="00CC4479"/>
    <w:rsid w:val="00CC44A3"/>
    <w:rsid w:val="00CC44DB"/>
    <w:rsid w:val="00CC4650"/>
    <w:rsid w:val="00CC46E3"/>
    <w:rsid w:val="00CC4730"/>
    <w:rsid w:val="00CC48D1"/>
    <w:rsid w:val="00CC4AF8"/>
    <w:rsid w:val="00CC4C08"/>
    <w:rsid w:val="00CC4C25"/>
    <w:rsid w:val="00CC5215"/>
    <w:rsid w:val="00CC5230"/>
    <w:rsid w:val="00CC52CF"/>
    <w:rsid w:val="00CC5310"/>
    <w:rsid w:val="00CC5329"/>
    <w:rsid w:val="00CC5507"/>
    <w:rsid w:val="00CC5592"/>
    <w:rsid w:val="00CC55E9"/>
    <w:rsid w:val="00CC5664"/>
    <w:rsid w:val="00CC577E"/>
    <w:rsid w:val="00CC5872"/>
    <w:rsid w:val="00CC59DA"/>
    <w:rsid w:val="00CC5AB0"/>
    <w:rsid w:val="00CC5AB1"/>
    <w:rsid w:val="00CC5C27"/>
    <w:rsid w:val="00CC5C2E"/>
    <w:rsid w:val="00CC5D1B"/>
    <w:rsid w:val="00CC5E6B"/>
    <w:rsid w:val="00CC5F52"/>
    <w:rsid w:val="00CC5F81"/>
    <w:rsid w:val="00CC609C"/>
    <w:rsid w:val="00CC60A7"/>
    <w:rsid w:val="00CC60F6"/>
    <w:rsid w:val="00CC625A"/>
    <w:rsid w:val="00CC628F"/>
    <w:rsid w:val="00CC62FC"/>
    <w:rsid w:val="00CC63A4"/>
    <w:rsid w:val="00CC63BE"/>
    <w:rsid w:val="00CC644A"/>
    <w:rsid w:val="00CC65E6"/>
    <w:rsid w:val="00CC65E9"/>
    <w:rsid w:val="00CC6606"/>
    <w:rsid w:val="00CC668A"/>
    <w:rsid w:val="00CC66F1"/>
    <w:rsid w:val="00CC673D"/>
    <w:rsid w:val="00CC681A"/>
    <w:rsid w:val="00CC68D4"/>
    <w:rsid w:val="00CC69DA"/>
    <w:rsid w:val="00CC6AFF"/>
    <w:rsid w:val="00CC6B08"/>
    <w:rsid w:val="00CC6B7E"/>
    <w:rsid w:val="00CC6BAE"/>
    <w:rsid w:val="00CC6BEE"/>
    <w:rsid w:val="00CC6E32"/>
    <w:rsid w:val="00CC7034"/>
    <w:rsid w:val="00CC7044"/>
    <w:rsid w:val="00CC71CA"/>
    <w:rsid w:val="00CC738D"/>
    <w:rsid w:val="00CC73E5"/>
    <w:rsid w:val="00CC7729"/>
    <w:rsid w:val="00CC7802"/>
    <w:rsid w:val="00CC784B"/>
    <w:rsid w:val="00CC786B"/>
    <w:rsid w:val="00CC7988"/>
    <w:rsid w:val="00CC79AF"/>
    <w:rsid w:val="00CC7A84"/>
    <w:rsid w:val="00CC7AF3"/>
    <w:rsid w:val="00CC7C4A"/>
    <w:rsid w:val="00CC7C54"/>
    <w:rsid w:val="00CC7DE8"/>
    <w:rsid w:val="00CD002E"/>
    <w:rsid w:val="00CD00DB"/>
    <w:rsid w:val="00CD01AF"/>
    <w:rsid w:val="00CD01C6"/>
    <w:rsid w:val="00CD03D4"/>
    <w:rsid w:val="00CD0412"/>
    <w:rsid w:val="00CD053E"/>
    <w:rsid w:val="00CD0599"/>
    <w:rsid w:val="00CD0910"/>
    <w:rsid w:val="00CD0A2B"/>
    <w:rsid w:val="00CD0A5C"/>
    <w:rsid w:val="00CD0C0B"/>
    <w:rsid w:val="00CD0D45"/>
    <w:rsid w:val="00CD0EFC"/>
    <w:rsid w:val="00CD0F58"/>
    <w:rsid w:val="00CD0FBC"/>
    <w:rsid w:val="00CD0FF6"/>
    <w:rsid w:val="00CD1161"/>
    <w:rsid w:val="00CD124E"/>
    <w:rsid w:val="00CD12CA"/>
    <w:rsid w:val="00CD13B6"/>
    <w:rsid w:val="00CD160C"/>
    <w:rsid w:val="00CD1628"/>
    <w:rsid w:val="00CD16D0"/>
    <w:rsid w:val="00CD16EB"/>
    <w:rsid w:val="00CD1760"/>
    <w:rsid w:val="00CD17C2"/>
    <w:rsid w:val="00CD19AE"/>
    <w:rsid w:val="00CD19B0"/>
    <w:rsid w:val="00CD1AEA"/>
    <w:rsid w:val="00CD1C19"/>
    <w:rsid w:val="00CD1CF3"/>
    <w:rsid w:val="00CD1CFE"/>
    <w:rsid w:val="00CD1D4B"/>
    <w:rsid w:val="00CD1EF4"/>
    <w:rsid w:val="00CD1F47"/>
    <w:rsid w:val="00CD1FE2"/>
    <w:rsid w:val="00CD2151"/>
    <w:rsid w:val="00CD21BE"/>
    <w:rsid w:val="00CD2271"/>
    <w:rsid w:val="00CD2279"/>
    <w:rsid w:val="00CD238C"/>
    <w:rsid w:val="00CD2480"/>
    <w:rsid w:val="00CD2496"/>
    <w:rsid w:val="00CD24EB"/>
    <w:rsid w:val="00CD2550"/>
    <w:rsid w:val="00CD2555"/>
    <w:rsid w:val="00CD2739"/>
    <w:rsid w:val="00CD2757"/>
    <w:rsid w:val="00CD2862"/>
    <w:rsid w:val="00CD28F1"/>
    <w:rsid w:val="00CD2900"/>
    <w:rsid w:val="00CD297D"/>
    <w:rsid w:val="00CD2A92"/>
    <w:rsid w:val="00CD2AA0"/>
    <w:rsid w:val="00CD2B06"/>
    <w:rsid w:val="00CD2B47"/>
    <w:rsid w:val="00CD2B71"/>
    <w:rsid w:val="00CD2B95"/>
    <w:rsid w:val="00CD2C05"/>
    <w:rsid w:val="00CD2CC8"/>
    <w:rsid w:val="00CD2D8F"/>
    <w:rsid w:val="00CD2DDE"/>
    <w:rsid w:val="00CD2F38"/>
    <w:rsid w:val="00CD2FA2"/>
    <w:rsid w:val="00CD30F8"/>
    <w:rsid w:val="00CD31EA"/>
    <w:rsid w:val="00CD321D"/>
    <w:rsid w:val="00CD35DF"/>
    <w:rsid w:val="00CD35E2"/>
    <w:rsid w:val="00CD3600"/>
    <w:rsid w:val="00CD363A"/>
    <w:rsid w:val="00CD3641"/>
    <w:rsid w:val="00CD377A"/>
    <w:rsid w:val="00CD37B2"/>
    <w:rsid w:val="00CD38D0"/>
    <w:rsid w:val="00CD392C"/>
    <w:rsid w:val="00CD39C1"/>
    <w:rsid w:val="00CD3AE9"/>
    <w:rsid w:val="00CD3AF0"/>
    <w:rsid w:val="00CD3B46"/>
    <w:rsid w:val="00CD3C3A"/>
    <w:rsid w:val="00CD3CB6"/>
    <w:rsid w:val="00CD3D91"/>
    <w:rsid w:val="00CD3E2F"/>
    <w:rsid w:val="00CD40A8"/>
    <w:rsid w:val="00CD40B7"/>
    <w:rsid w:val="00CD413C"/>
    <w:rsid w:val="00CD459E"/>
    <w:rsid w:val="00CD46E8"/>
    <w:rsid w:val="00CD4892"/>
    <w:rsid w:val="00CD49B1"/>
    <w:rsid w:val="00CD4BE1"/>
    <w:rsid w:val="00CD4C58"/>
    <w:rsid w:val="00CD4D16"/>
    <w:rsid w:val="00CD4D3F"/>
    <w:rsid w:val="00CD4D90"/>
    <w:rsid w:val="00CD4E9C"/>
    <w:rsid w:val="00CD516F"/>
    <w:rsid w:val="00CD5178"/>
    <w:rsid w:val="00CD5194"/>
    <w:rsid w:val="00CD523C"/>
    <w:rsid w:val="00CD53FE"/>
    <w:rsid w:val="00CD55A6"/>
    <w:rsid w:val="00CD5684"/>
    <w:rsid w:val="00CD5725"/>
    <w:rsid w:val="00CD57C8"/>
    <w:rsid w:val="00CD5979"/>
    <w:rsid w:val="00CD5AA0"/>
    <w:rsid w:val="00CD5AAD"/>
    <w:rsid w:val="00CD5AAE"/>
    <w:rsid w:val="00CD5B2A"/>
    <w:rsid w:val="00CD5B89"/>
    <w:rsid w:val="00CD5D6F"/>
    <w:rsid w:val="00CD5DAF"/>
    <w:rsid w:val="00CD5DD5"/>
    <w:rsid w:val="00CD5E21"/>
    <w:rsid w:val="00CD5E37"/>
    <w:rsid w:val="00CD5E8B"/>
    <w:rsid w:val="00CD5EEC"/>
    <w:rsid w:val="00CD5FC2"/>
    <w:rsid w:val="00CD5FCC"/>
    <w:rsid w:val="00CD5FD0"/>
    <w:rsid w:val="00CD60AC"/>
    <w:rsid w:val="00CD60C0"/>
    <w:rsid w:val="00CD61A0"/>
    <w:rsid w:val="00CD6376"/>
    <w:rsid w:val="00CD63C9"/>
    <w:rsid w:val="00CD64B7"/>
    <w:rsid w:val="00CD6562"/>
    <w:rsid w:val="00CD65D9"/>
    <w:rsid w:val="00CD663B"/>
    <w:rsid w:val="00CD6642"/>
    <w:rsid w:val="00CD681D"/>
    <w:rsid w:val="00CD6898"/>
    <w:rsid w:val="00CD6919"/>
    <w:rsid w:val="00CD693D"/>
    <w:rsid w:val="00CD6A4B"/>
    <w:rsid w:val="00CD6BBE"/>
    <w:rsid w:val="00CD6C9B"/>
    <w:rsid w:val="00CD6E77"/>
    <w:rsid w:val="00CD6EF5"/>
    <w:rsid w:val="00CD6F60"/>
    <w:rsid w:val="00CD70EE"/>
    <w:rsid w:val="00CD7251"/>
    <w:rsid w:val="00CD7268"/>
    <w:rsid w:val="00CD7469"/>
    <w:rsid w:val="00CD769C"/>
    <w:rsid w:val="00CD775D"/>
    <w:rsid w:val="00CD7947"/>
    <w:rsid w:val="00CD7989"/>
    <w:rsid w:val="00CD79C0"/>
    <w:rsid w:val="00CD7BD4"/>
    <w:rsid w:val="00CD7BD8"/>
    <w:rsid w:val="00CD7C55"/>
    <w:rsid w:val="00CD7C6F"/>
    <w:rsid w:val="00CD7C87"/>
    <w:rsid w:val="00CD7D1C"/>
    <w:rsid w:val="00CD7D79"/>
    <w:rsid w:val="00CD7E38"/>
    <w:rsid w:val="00CE00BF"/>
    <w:rsid w:val="00CE00E1"/>
    <w:rsid w:val="00CE0189"/>
    <w:rsid w:val="00CE01A9"/>
    <w:rsid w:val="00CE01F1"/>
    <w:rsid w:val="00CE0277"/>
    <w:rsid w:val="00CE0292"/>
    <w:rsid w:val="00CE0399"/>
    <w:rsid w:val="00CE03BA"/>
    <w:rsid w:val="00CE0405"/>
    <w:rsid w:val="00CE04E0"/>
    <w:rsid w:val="00CE0663"/>
    <w:rsid w:val="00CE081B"/>
    <w:rsid w:val="00CE0932"/>
    <w:rsid w:val="00CE0933"/>
    <w:rsid w:val="00CE094D"/>
    <w:rsid w:val="00CE0983"/>
    <w:rsid w:val="00CE09CA"/>
    <w:rsid w:val="00CE0A3F"/>
    <w:rsid w:val="00CE0A85"/>
    <w:rsid w:val="00CE0BFD"/>
    <w:rsid w:val="00CE0CE0"/>
    <w:rsid w:val="00CE0EC4"/>
    <w:rsid w:val="00CE110A"/>
    <w:rsid w:val="00CE116F"/>
    <w:rsid w:val="00CE12BD"/>
    <w:rsid w:val="00CE1315"/>
    <w:rsid w:val="00CE1395"/>
    <w:rsid w:val="00CE13E8"/>
    <w:rsid w:val="00CE146D"/>
    <w:rsid w:val="00CE14BA"/>
    <w:rsid w:val="00CE1528"/>
    <w:rsid w:val="00CE1538"/>
    <w:rsid w:val="00CE153B"/>
    <w:rsid w:val="00CE15E5"/>
    <w:rsid w:val="00CE16E0"/>
    <w:rsid w:val="00CE194C"/>
    <w:rsid w:val="00CE1990"/>
    <w:rsid w:val="00CE199E"/>
    <w:rsid w:val="00CE1A95"/>
    <w:rsid w:val="00CE1B2C"/>
    <w:rsid w:val="00CE1D35"/>
    <w:rsid w:val="00CE1D6C"/>
    <w:rsid w:val="00CE1D79"/>
    <w:rsid w:val="00CE2109"/>
    <w:rsid w:val="00CE2174"/>
    <w:rsid w:val="00CE21B4"/>
    <w:rsid w:val="00CE229E"/>
    <w:rsid w:val="00CE22AF"/>
    <w:rsid w:val="00CE2403"/>
    <w:rsid w:val="00CE2493"/>
    <w:rsid w:val="00CE26BB"/>
    <w:rsid w:val="00CE2728"/>
    <w:rsid w:val="00CE2779"/>
    <w:rsid w:val="00CE29A6"/>
    <w:rsid w:val="00CE2A55"/>
    <w:rsid w:val="00CE2AB6"/>
    <w:rsid w:val="00CE2BED"/>
    <w:rsid w:val="00CE2CD5"/>
    <w:rsid w:val="00CE2D53"/>
    <w:rsid w:val="00CE2ED2"/>
    <w:rsid w:val="00CE2FF1"/>
    <w:rsid w:val="00CE3027"/>
    <w:rsid w:val="00CE33E6"/>
    <w:rsid w:val="00CE353F"/>
    <w:rsid w:val="00CE3592"/>
    <w:rsid w:val="00CE365A"/>
    <w:rsid w:val="00CE36E4"/>
    <w:rsid w:val="00CE3726"/>
    <w:rsid w:val="00CE385C"/>
    <w:rsid w:val="00CE386C"/>
    <w:rsid w:val="00CE3878"/>
    <w:rsid w:val="00CE38B8"/>
    <w:rsid w:val="00CE38C3"/>
    <w:rsid w:val="00CE39FF"/>
    <w:rsid w:val="00CE3A8D"/>
    <w:rsid w:val="00CE3B59"/>
    <w:rsid w:val="00CE3BC0"/>
    <w:rsid w:val="00CE3BFA"/>
    <w:rsid w:val="00CE3C17"/>
    <w:rsid w:val="00CE3DD7"/>
    <w:rsid w:val="00CE3F4E"/>
    <w:rsid w:val="00CE408E"/>
    <w:rsid w:val="00CE4136"/>
    <w:rsid w:val="00CE41D2"/>
    <w:rsid w:val="00CE424C"/>
    <w:rsid w:val="00CE433C"/>
    <w:rsid w:val="00CE4340"/>
    <w:rsid w:val="00CE4360"/>
    <w:rsid w:val="00CE4385"/>
    <w:rsid w:val="00CE4410"/>
    <w:rsid w:val="00CE445A"/>
    <w:rsid w:val="00CE4651"/>
    <w:rsid w:val="00CE4702"/>
    <w:rsid w:val="00CE4754"/>
    <w:rsid w:val="00CE4808"/>
    <w:rsid w:val="00CE4820"/>
    <w:rsid w:val="00CE486E"/>
    <w:rsid w:val="00CE487C"/>
    <w:rsid w:val="00CE488E"/>
    <w:rsid w:val="00CE48DD"/>
    <w:rsid w:val="00CE4986"/>
    <w:rsid w:val="00CE4A6C"/>
    <w:rsid w:val="00CE4ACA"/>
    <w:rsid w:val="00CE4B9F"/>
    <w:rsid w:val="00CE4C29"/>
    <w:rsid w:val="00CE4E61"/>
    <w:rsid w:val="00CE50A6"/>
    <w:rsid w:val="00CE50B1"/>
    <w:rsid w:val="00CE50B4"/>
    <w:rsid w:val="00CE512C"/>
    <w:rsid w:val="00CE5157"/>
    <w:rsid w:val="00CE5353"/>
    <w:rsid w:val="00CE539D"/>
    <w:rsid w:val="00CE5729"/>
    <w:rsid w:val="00CE574F"/>
    <w:rsid w:val="00CE57D0"/>
    <w:rsid w:val="00CE5922"/>
    <w:rsid w:val="00CE595B"/>
    <w:rsid w:val="00CE5984"/>
    <w:rsid w:val="00CE5B02"/>
    <w:rsid w:val="00CE5B09"/>
    <w:rsid w:val="00CE5B9A"/>
    <w:rsid w:val="00CE5BB9"/>
    <w:rsid w:val="00CE5DC0"/>
    <w:rsid w:val="00CE5E51"/>
    <w:rsid w:val="00CE5EC9"/>
    <w:rsid w:val="00CE6068"/>
    <w:rsid w:val="00CE61EE"/>
    <w:rsid w:val="00CE6200"/>
    <w:rsid w:val="00CE6218"/>
    <w:rsid w:val="00CE624F"/>
    <w:rsid w:val="00CE635F"/>
    <w:rsid w:val="00CE63BB"/>
    <w:rsid w:val="00CE65F7"/>
    <w:rsid w:val="00CE6612"/>
    <w:rsid w:val="00CE6632"/>
    <w:rsid w:val="00CE674B"/>
    <w:rsid w:val="00CE675E"/>
    <w:rsid w:val="00CE6876"/>
    <w:rsid w:val="00CE68FD"/>
    <w:rsid w:val="00CE6A1E"/>
    <w:rsid w:val="00CE6A89"/>
    <w:rsid w:val="00CE6A94"/>
    <w:rsid w:val="00CE6B18"/>
    <w:rsid w:val="00CE6B40"/>
    <w:rsid w:val="00CE6D9D"/>
    <w:rsid w:val="00CE6DDF"/>
    <w:rsid w:val="00CE6F3D"/>
    <w:rsid w:val="00CE6F5E"/>
    <w:rsid w:val="00CE70FB"/>
    <w:rsid w:val="00CE71AA"/>
    <w:rsid w:val="00CE7206"/>
    <w:rsid w:val="00CE73B1"/>
    <w:rsid w:val="00CE742F"/>
    <w:rsid w:val="00CE75C0"/>
    <w:rsid w:val="00CE75EC"/>
    <w:rsid w:val="00CE76F1"/>
    <w:rsid w:val="00CE77DB"/>
    <w:rsid w:val="00CE79AD"/>
    <w:rsid w:val="00CE79C4"/>
    <w:rsid w:val="00CE7AC6"/>
    <w:rsid w:val="00CE7B6A"/>
    <w:rsid w:val="00CE7B7F"/>
    <w:rsid w:val="00CE7D5E"/>
    <w:rsid w:val="00CE7D8F"/>
    <w:rsid w:val="00CE7DB9"/>
    <w:rsid w:val="00CE7DCC"/>
    <w:rsid w:val="00CE7E76"/>
    <w:rsid w:val="00CE7F54"/>
    <w:rsid w:val="00CE7F59"/>
    <w:rsid w:val="00CE7FB1"/>
    <w:rsid w:val="00CF0001"/>
    <w:rsid w:val="00CF0084"/>
    <w:rsid w:val="00CF0101"/>
    <w:rsid w:val="00CF0127"/>
    <w:rsid w:val="00CF013C"/>
    <w:rsid w:val="00CF0191"/>
    <w:rsid w:val="00CF019D"/>
    <w:rsid w:val="00CF01A5"/>
    <w:rsid w:val="00CF021C"/>
    <w:rsid w:val="00CF0245"/>
    <w:rsid w:val="00CF0375"/>
    <w:rsid w:val="00CF0396"/>
    <w:rsid w:val="00CF03A0"/>
    <w:rsid w:val="00CF03BD"/>
    <w:rsid w:val="00CF0457"/>
    <w:rsid w:val="00CF04A2"/>
    <w:rsid w:val="00CF062E"/>
    <w:rsid w:val="00CF0837"/>
    <w:rsid w:val="00CF0853"/>
    <w:rsid w:val="00CF0863"/>
    <w:rsid w:val="00CF094F"/>
    <w:rsid w:val="00CF0954"/>
    <w:rsid w:val="00CF0991"/>
    <w:rsid w:val="00CF09CE"/>
    <w:rsid w:val="00CF0C29"/>
    <w:rsid w:val="00CF0C72"/>
    <w:rsid w:val="00CF0D31"/>
    <w:rsid w:val="00CF0E18"/>
    <w:rsid w:val="00CF0E36"/>
    <w:rsid w:val="00CF0E3A"/>
    <w:rsid w:val="00CF0F84"/>
    <w:rsid w:val="00CF0FF9"/>
    <w:rsid w:val="00CF113C"/>
    <w:rsid w:val="00CF12A4"/>
    <w:rsid w:val="00CF12E7"/>
    <w:rsid w:val="00CF132A"/>
    <w:rsid w:val="00CF1335"/>
    <w:rsid w:val="00CF13B2"/>
    <w:rsid w:val="00CF13CC"/>
    <w:rsid w:val="00CF14A8"/>
    <w:rsid w:val="00CF1634"/>
    <w:rsid w:val="00CF18AE"/>
    <w:rsid w:val="00CF18FB"/>
    <w:rsid w:val="00CF19E3"/>
    <w:rsid w:val="00CF19F8"/>
    <w:rsid w:val="00CF1A92"/>
    <w:rsid w:val="00CF1A93"/>
    <w:rsid w:val="00CF1AEC"/>
    <w:rsid w:val="00CF1C20"/>
    <w:rsid w:val="00CF1C23"/>
    <w:rsid w:val="00CF1E12"/>
    <w:rsid w:val="00CF1E2E"/>
    <w:rsid w:val="00CF1E3B"/>
    <w:rsid w:val="00CF1EC4"/>
    <w:rsid w:val="00CF1F23"/>
    <w:rsid w:val="00CF1FBB"/>
    <w:rsid w:val="00CF222C"/>
    <w:rsid w:val="00CF22DE"/>
    <w:rsid w:val="00CF22F3"/>
    <w:rsid w:val="00CF23E0"/>
    <w:rsid w:val="00CF24F6"/>
    <w:rsid w:val="00CF25BA"/>
    <w:rsid w:val="00CF25F3"/>
    <w:rsid w:val="00CF2610"/>
    <w:rsid w:val="00CF261D"/>
    <w:rsid w:val="00CF2694"/>
    <w:rsid w:val="00CF2750"/>
    <w:rsid w:val="00CF2769"/>
    <w:rsid w:val="00CF285E"/>
    <w:rsid w:val="00CF2930"/>
    <w:rsid w:val="00CF2A4B"/>
    <w:rsid w:val="00CF2A97"/>
    <w:rsid w:val="00CF2A9B"/>
    <w:rsid w:val="00CF2AEB"/>
    <w:rsid w:val="00CF2B60"/>
    <w:rsid w:val="00CF2B6B"/>
    <w:rsid w:val="00CF2BA5"/>
    <w:rsid w:val="00CF2BF4"/>
    <w:rsid w:val="00CF2C3A"/>
    <w:rsid w:val="00CF2CD0"/>
    <w:rsid w:val="00CF2DB9"/>
    <w:rsid w:val="00CF2E7E"/>
    <w:rsid w:val="00CF2FC9"/>
    <w:rsid w:val="00CF3084"/>
    <w:rsid w:val="00CF3196"/>
    <w:rsid w:val="00CF31A3"/>
    <w:rsid w:val="00CF3229"/>
    <w:rsid w:val="00CF333F"/>
    <w:rsid w:val="00CF337E"/>
    <w:rsid w:val="00CF33F7"/>
    <w:rsid w:val="00CF3533"/>
    <w:rsid w:val="00CF36D1"/>
    <w:rsid w:val="00CF36E0"/>
    <w:rsid w:val="00CF376F"/>
    <w:rsid w:val="00CF38DF"/>
    <w:rsid w:val="00CF3957"/>
    <w:rsid w:val="00CF3968"/>
    <w:rsid w:val="00CF3BAC"/>
    <w:rsid w:val="00CF3BD4"/>
    <w:rsid w:val="00CF3D1A"/>
    <w:rsid w:val="00CF3E17"/>
    <w:rsid w:val="00CF3E26"/>
    <w:rsid w:val="00CF3F07"/>
    <w:rsid w:val="00CF3F12"/>
    <w:rsid w:val="00CF3FDC"/>
    <w:rsid w:val="00CF40B6"/>
    <w:rsid w:val="00CF41BF"/>
    <w:rsid w:val="00CF42D5"/>
    <w:rsid w:val="00CF42EC"/>
    <w:rsid w:val="00CF4326"/>
    <w:rsid w:val="00CF4333"/>
    <w:rsid w:val="00CF4355"/>
    <w:rsid w:val="00CF4490"/>
    <w:rsid w:val="00CF451A"/>
    <w:rsid w:val="00CF45C5"/>
    <w:rsid w:val="00CF45C7"/>
    <w:rsid w:val="00CF46AB"/>
    <w:rsid w:val="00CF4875"/>
    <w:rsid w:val="00CF48A0"/>
    <w:rsid w:val="00CF4998"/>
    <w:rsid w:val="00CF4A59"/>
    <w:rsid w:val="00CF4A64"/>
    <w:rsid w:val="00CF4A7A"/>
    <w:rsid w:val="00CF4AA1"/>
    <w:rsid w:val="00CF4B82"/>
    <w:rsid w:val="00CF4C07"/>
    <w:rsid w:val="00CF4C15"/>
    <w:rsid w:val="00CF4D29"/>
    <w:rsid w:val="00CF4D4C"/>
    <w:rsid w:val="00CF4DB8"/>
    <w:rsid w:val="00CF4E90"/>
    <w:rsid w:val="00CF4FCA"/>
    <w:rsid w:val="00CF4FE2"/>
    <w:rsid w:val="00CF50D8"/>
    <w:rsid w:val="00CF51A1"/>
    <w:rsid w:val="00CF51E8"/>
    <w:rsid w:val="00CF5235"/>
    <w:rsid w:val="00CF5357"/>
    <w:rsid w:val="00CF55B0"/>
    <w:rsid w:val="00CF55C6"/>
    <w:rsid w:val="00CF571D"/>
    <w:rsid w:val="00CF574C"/>
    <w:rsid w:val="00CF57C6"/>
    <w:rsid w:val="00CF584E"/>
    <w:rsid w:val="00CF58B3"/>
    <w:rsid w:val="00CF592C"/>
    <w:rsid w:val="00CF5AEE"/>
    <w:rsid w:val="00CF5C10"/>
    <w:rsid w:val="00CF5C2D"/>
    <w:rsid w:val="00CF5C32"/>
    <w:rsid w:val="00CF5C81"/>
    <w:rsid w:val="00CF5D73"/>
    <w:rsid w:val="00CF5E14"/>
    <w:rsid w:val="00CF5EEE"/>
    <w:rsid w:val="00CF5FC3"/>
    <w:rsid w:val="00CF6077"/>
    <w:rsid w:val="00CF60A3"/>
    <w:rsid w:val="00CF60CF"/>
    <w:rsid w:val="00CF6118"/>
    <w:rsid w:val="00CF6200"/>
    <w:rsid w:val="00CF6241"/>
    <w:rsid w:val="00CF6255"/>
    <w:rsid w:val="00CF6547"/>
    <w:rsid w:val="00CF66CB"/>
    <w:rsid w:val="00CF66E3"/>
    <w:rsid w:val="00CF66F4"/>
    <w:rsid w:val="00CF68BA"/>
    <w:rsid w:val="00CF68D5"/>
    <w:rsid w:val="00CF6A69"/>
    <w:rsid w:val="00CF6AF9"/>
    <w:rsid w:val="00CF6CA2"/>
    <w:rsid w:val="00CF6D14"/>
    <w:rsid w:val="00CF6D80"/>
    <w:rsid w:val="00CF6D9C"/>
    <w:rsid w:val="00CF6EDF"/>
    <w:rsid w:val="00CF6EE2"/>
    <w:rsid w:val="00CF6F09"/>
    <w:rsid w:val="00CF71C5"/>
    <w:rsid w:val="00CF7490"/>
    <w:rsid w:val="00CF7495"/>
    <w:rsid w:val="00CF74D5"/>
    <w:rsid w:val="00CF75A5"/>
    <w:rsid w:val="00CF763A"/>
    <w:rsid w:val="00CF7670"/>
    <w:rsid w:val="00CF7693"/>
    <w:rsid w:val="00CF79D1"/>
    <w:rsid w:val="00CF7B9F"/>
    <w:rsid w:val="00CF7D69"/>
    <w:rsid w:val="00CF7E76"/>
    <w:rsid w:val="00CF7FB0"/>
    <w:rsid w:val="00CF7FBD"/>
    <w:rsid w:val="00D0000D"/>
    <w:rsid w:val="00D0007B"/>
    <w:rsid w:val="00D000E7"/>
    <w:rsid w:val="00D0045D"/>
    <w:rsid w:val="00D00489"/>
    <w:rsid w:val="00D00716"/>
    <w:rsid w:val="00D0076B"/>
    <w:rsid w:val="00D0078D"/>
    <w:rsid w:val="00D008D7"/>
    <w:rsid w:val="00D00A13"/>
    <w:rsid w:val="00D00A23"/>
    <w:rsid w:val="00D00A72"/>
    <w:rsid w:val="00D00A7D"/>
    <w:rsid w:val="00D00AB9"/>
    <w:rsid w:val="00D00B36"/>
    <w:rsid w:val="00D00BB2"/>
    <w:rsid w:val="00D00C78"/>
    <w:rsid w:val="00D00CA7"/>
    <w:rsid w:val="00D00F1A"/>
    <w:rsid w:val="00D00FEC"/>
    <w:rsid w:val="00D01086"/>
    <w:rsid w:val="00D0113D"/>
    <w:rsid w:val="00D0116B"/>
    <w:rsid w:val="00D011C9"/>
    <w:rsid w:val="00D01317"/>
    <w:rsid w:val="00D0132F"/>
    <w:rsid w:val="00D01569"/>
    <w:rsid w:val="00D015D8"/>
    <w:rsid w:val="00D0161C"/>
    <w:rsid w:val="00D0173F"/>
    <w:rsid w:val="00D01915"/>
    <w:rsid w:val="00D01A86"/>
    <w:rsid w:val="00D01A8A"/>
    <w:rsid w:val="00D01B46"/>
    <w:rsid w:val="00D01B50"/>
    <w:rsid w:val="00D01B92"/>
    <w:rsid w:val="00D01C64"/>
    <w:rsid w:val="00D01DEE"/>
    <w:rsid w:val="00D0203C"/>
    <w:rsid w:val="00D0216E"/>
    <w:rsid w:val="00D025D4"/>
    <w:rsid w:val="00D02606"/>
    <w:rsid w:val="00D026DF"/>
    <w:rsid w:val="00D02769"/>
    <w:rsid w:val="00D028E3"/>
    <w:rsid w:val="00D02900"/>
    <w:rsid w:val="00D02923"/>
    <w:rsid w:val="00D02949"/>
    <w:rsid w:val="00D02984"/>
    <w:rsid w:val="00D029D6"/>
    <w:rsid w:val="00D02A72"/>
    <w:rsid w:val="00D02A7F"/>
    <w:rsid w:val="00D02ADC"/>
    <w:rsid w:val="00D02ADE"/>
    <w:rsid w:val="00D02D21"/>
    <w:rsid w:val="00D02DDA"/>
    <w:rsid w:val="00D02E59"/>
    <w:rsid w:val="00D02FC3"/>
    <w:rsid w:val="00D03021"/>
    <w:rsid w:val="00D030E9"/>
    <w:rsid w:val="00D031B1"/>
    <w:rsid w:val="00D0325E"/>
    <w:rsid w:val="00D032BF"/>
    <w:rsid w:val="00D032F0"/>
    <w:rsid w:val="00D03302"/>
    <w:rsid w:val="00D03315"/>
    <w:rsid w:val="00D03348"/>
    <w:rsid w:val="00D0341D"/>
    <w:rsid w:val="00D0347E"/>
    <w:rsid w:val="00D034C4"/>
    <w:rsid w:val="00D034FF"/>
    <w:rsid w:val="00D0355D"/>
    <w:rsid w:val="00D03561"/>
    <w:rsid w:val="00D036FB"/>
    <w:rsid w:val="00D03898"/>
    <w:rsid w:val="00D03919"/>
    <w:rsid w:val="00D03A40"/>
    <w:rsid w:val="00D03C46"/>
    <w:rsid w:val="00D03E0D"/>
    <w:rsid w:val="00D03E80"/>
    <w:rsid w:val="00D03F67"/>
    <w:rsid w:val="00D03F78"/>
    <w:rsid w:val="00D03F8C"/>
    <w:rsid w:val="00D03FA2"/>
    <w:rsid w:val="00D04067"/>
    <w:rsid w:val="00D040B5"/>
    <w:rsid w:val="00D04157"/>
    <w:rsid w:val="00D04204"/>
    <w:rsid w:val="00D0428F"/>
    <w:rsid w:val="00D042D5"/>
    <w:rsid w:val="00D043C9"/>
    <w:rsid w:val="00D04420"/>
    <w:rsid w:val="00D0452E"/>
    <w:rsid w:val="00D04534"/>
    <w:rsid w:val="00D0457B"/>
    <w:rsid w:val="00D0464F"/>
    <w:rsid w:val="00D047ED"/>
    <w:rsid w:val="00D04853"/>
    <w:rsid w:val="00D04A94"/>
    <w:rsid w:val="00D04B79"/>
    <w:rsid w:val="00D04C07"/>
    <w:rsid w:val="00D04C25"/>
    <w:rsid w:val="00D04C48"/>
    <w:rsid w:val="00D04CB7"/>
    <w:rsid w:val="00D04DA1"/>
    <w:rsid w:val="00D04DE6"/>
    <w:rsid w:val="00D04F43"/>
    <w:rsid w:val="00D0508D"/>
    <w:rsid w:val="00D05224"/>
    <w:rsid w:val="00D05450"/>
    <w:rsid w:val="00D055A3"/>
    <w:rsid w:val="00D0572C"/>
    <w:rsid w:val="00D05890"/>
    <w:rsid w:val="00D05A23"/>
    <w:rsid w:val="00D05AC0"/>
    <w:rsid w:val="00D05ACC"/>
    <w:rsid w:val="00D05C2C"/>
    <w:rsid w:val="00D05DD6"/>
    <w:rsid w:val="00D05F40"/>
    <w:rsid w:val="00D060ED"/>
    <w:rsid w:val="00D06184"/>
    <w:rsid w:val="00D0620A"/>
    <w:rsid w:val="00D062A0"/>
    <w:rsid w:val="00D063A9"/>
    <w:rsid w:val="00D06417"/>
    <w:rsid w:val="00D06481"/>
    <w:rsid w:val="00D06610"/>
    <w:rsid w:val="00D068E3"/>
    <w:rsid w:val="00D0690B"/>
    <w:rsid w:val="00D06A03"/>
    <w:rsid w:val="00D06A28"/>
    <w:rsid w:val="00D06AB9"/>
    <w:rsid w:val="00D06AD8"/>
    <w:rsid w:val="00D06B02"/>
    <w:rsid w:val="00D06B0B"/>
    <w:rsid w:val="00D06BAA"/>
    <w:rsid w:val="00D06BFA"/>
    <w:rsid w:val="00D06CC4"/>
    <w:rsid w:val="00D06D04"/>
    <w:rsid w:val="00D06D16"/>
    <w:rsid w:val="00D06D9D"/>
    <w:rsid w:val="00D06FEA"/>
    <w:rsid w:val="00D07074"/>
    <w:rsid w:val="00D07176"/>
    <w:rsid w:val="00D07205"/>
    <w:rsid w:val="00D072E9"/>
    <w:rsid w:val="00D0733C"/>
    <w:rsid w:val="00D078D7"/>
    <w:rsid w:val="00D0792D"/>
    <w:rsid w:val="00D079AC"/>
    <w:rsid w:val="00D079EE"/>
    <w:rsid w:val="00D07A2B"/>
    <w:rsid w:val="00D07A53"/>
    <w:rsid w:val="00D07BB4"/>
    <w:rsid w:val="00D07D75"/>
    <w:rsid w:val="00D07F01"/>
    <w:rsid w:val="00D07F25"/>
    <w:rsid w:val="00D07F83"/>
    <w:rsid w:val="00D07F8B"/>
    <w:rsid w:val="00D07FF3"/>
    <w:rsid w:val="00D100E7"/>
    <w:rsid w:val="00D100FE"/>
    <w:rsid w:val="00D1015D"/>
    <w:rsid w:val="00D101A6"/>
    <w:rsid w:val="00D101E9"/>
    <w:rsid w:val="00D10256"/>
    <w:rsid w:val="00D1042D"/>
    <w:rsid w:val="00D10470"/>
    <w:rsid w:val="00D10625"/>
    <w:rsid w:val="00D10935"/>
    <w:rsid w:val="00D10966"/>
    <w:rsid w:val="00D10967"/>
    <w:rsid w:val="00D10AC2"/>
    <w:rsid w:val="00D10BD0"/>
    <w:rsid w:val="00D10ED0"/>
    <w:rsid w:val="00D10F4A"/>
    <w:rsid w:val="00D10FFE"/>
    <w:rsid w:val="00D1102B"/>
    <w:rsid w:val="00D110E1"/>
    <w:rsid w:val="00D111E8"/>
    <w:rsid w:val="00D1125F"/>
    <w:rsid w:val="00D114D8"/>
    <w:rsid w:val="00D11527"/>
    <w:rsid w:val="00D115EE"/>
    <w:rsid w:val="00D11615"/>
    <w:rsid w:val="00D116BD"/>
    <w:rsid w:val="00D117C6"/>
    <w:rsid w:val="00D117CA"/>
    <w:rsid w:val="00D11A86"/>
    <w:rsid w:val="00D11B4B"/>
    <w:rsid w:val="00D11BE5"/>
    <w:rsid w:val="00D11BF0"/>
    <w:rsid w:val="00D11BF5"/>
    <w:rsid w:val="00D11C44"/>
    <w:rsid w:val="00D11D75"/>
    <w:rsid w:val="00D11E10"/>
    <w:rsid w:val="00D11FA5"/>
    <w:rsid w:val="00D12061"/>
    <w:rsid w:val="00D120D5"/>
    <w:rsid w:val="00D1219D"/>
    <w:rsid w:val="00D12278"/>
    <w:rsid w:val="00D122B1"/>
    <w:rsid w:val="00D12392"/>
    <w:rsid w:val="00D1239D"/>
    <w:rsid w:val="00D1243D"/>
    <w:rsid w:val="00D1275B"/>
    <w:rsid w:val="00D127E1"/>
    <w:rsid w:val="00D128A4"/>
    <w:rsid w:val="00D1296E"/>
    <w:rsid w:val="00D12B77"/>
    <w:rsid w:val="00D12BD4"/>
    <w:rsid w:val="00D12C4E"/>
    <w:rsid w:val="00D12C59"/>
    <w:rsid w:val="00D12E17"/>
    <w:rsid w:val="00D12E6A"/>
    <w:rsid w:val="00D12E84"/>
    <w:rsid w:val="00D12EA2"/>
    <w:rsid w:val="00D12EBC"/>
    <w:rsid w:val="00D131C8"/>
    <w:rsid w:val="00D131CD"/>
    <w:rsid w:val="00D132DF"/>
    <w:rsid w:val="00D1340D"/>
    <w:rsid w:val="00D134F1"/>
    <w:rsid w:val="00D13556"/>
    <w:rsid w:val="00D13576"/>
    <w:rsid w:val="00D13602"/>
    <w:rsid w:val="00D1363F"/>
    <w:rsid w:val="00D136B7"/>
    <w:rsid w:val="00D136D5"/>
    <w:rsid w:val="00D13755"/>
    <w:rsid w:val="00D1386D"/>
    <w:rsid w:val="00D13913"/>
    <w:rsid w:val="00D13B1F"/>
    <w:rsid w:val="00D13EAE"/>
    <w:rsid w:val="00D13F7F"/>
    <w:rsid w:val="00D13F9D"/>
    <w:rsid w:val="00D14187"/>
    <w:rsid w:val="00D14273"/>
    <w:rsid w:val="00D142A7"/>
    <w:rsid w:val="00D14462"/>
    <w:rsid w:val="00D1447F"/>
    <w:rsid w:val="00D14646"/>
    <w:rsid w:val="00D1466E"/>
    <w:rsid w:val="00D14683"/>
    <w:rsid w:val="00D14761"/>
    <w:rsid w:val="00D14763"/>
    <w:rsid w:val="00D14842"/>
    <w:rsid w:val="00D14872"/>
    <w:rsid w:val="00D149D1"/>
    <w:rsid w:val="00D14A31"/>
    <w:rsid w:val="00D14A55"/>
    <w:rsid w:val="00D14A73"/>
    <w:rsid w:val="00D14B59"/>
    <w:rsid w:val="00D14BF3"/>
    <w:rsid w:val="00D14C37"/>
    <w:rsid w:val="00D14CD5"/>
    <w:rsid w:val="00D14DC3"/>
    <w:rsid w:val="00D14EFB"/>
    <w:rsid w:val="00D14F08"/>
    <w:rsid w:val="00D14F66"/>
    <w:rsid w:val="00D15060"/>
    <w:rsid w:val="00D15075"/>
    <w:rsid w:val="00D15195"/>
    <w:rsid w:val="00D15211"/>
    <w:rsid w:val="00D1532E"/>
    <w:rsid w:val="00D15352"/>
    <w:rsid w:val="00D15558"/>
    <w:rsid w:val="00D1556D"/>
    <w:rsid w:val="00D155C0"/>
    <w:rsid w:val="00D155DD"/>
    <w:rsid w:val="00D155E2"/>
    <w:rsid w:val="00D156C1"/>
    <w:rsid w:val="00D157B6"/>
    <w:rsid w:val="00D157DF"/>
    <w:rsid w:val="00D15863"/>
    <w:rsid w:val="00D158BD"/>
    <w:rsid w:val="00D158C2"/>
    <w:rsid w:val="00D158C8"/>
    <w:rsid w:val="00D158DF"/>
    <w:rsid w:val="00D15963"/>
    <w:rsid w:val="00D15984"/>
    <w:rsid w:val="00D159D3"/>
    <w:rsid w:val="00D159D7"/>
    <w:rsid w:val="00D15ACA"/>
    <w:rsid w:val="00D15B3D"/>
    <w:rsid w:val="00D15BEC"/>
    <w:rsid w:val="00D15C0F"/>
    <w:rsid w:val="00D15CC9"/>
    <w:rsid w:val="00D15CEC"/>
    <w:rsid w:val="00D15D47"/>
    <w:rsid w:val="00D15EAE"/>
    <w:rsid w:val="00D1609C"/>
    <w:rsid w:val="00D160A6"/>
    <w:rsid w:val="00D162FF"/>
    <w:rsid w:val="00D16327"/>
    <w:rsid w:val="00D1638D"/>
    <w:rsid w:val="00D16398"/>
    <w:rsid w:val="00D16453"/>
    <w:rsid w:val="00D166F6"/>
    <w:rsid w:val="00D167E7"/>
    <w:rsid w:val="00D1686A"/>
    <w:rsid w:val="00D16954"/>
    <w:rsid w:val="00D16B1F"/>
    <w:rsid w:val="00D16B49"/>
    <w:rsid w:val="00D16C27"/>
    <w:rsid w:val="00D16C69"/>
    <w:rsid w:val="00D16C75"/>
    <w:rsid w:val="00D16D3E"/>
    <w:rsid w:val="00D16D5A"/>
    <w:rsid w:val="00D16E97"/>
    <w:rsid w:val="00D16FBB"/>
    <w:rsid w:val="00D17051"/>
    <w:rsid w:val="00D17061"/>
    <w:rsid w:val="00D1712F"/>
    <w:rsid w:val="00D1715E"/>
    <w:rsid w:val="00D17259"/>
    <w:rsid w:val="00D173A6"/>
    <w:rsid w:val="00D17420"/>
    <w:rsid w:val="00D17440"/>
    <w:rsid w:val="00D1765D"/>
    <w:rsid w:val="00D1768D"/>
    <w:rsid w:val="00D176D0"/>
    <w:rsid w:val="00D177C6"/>
    <w:rsid w:val="00D17834"/>
    <w:rsid w:val="00D178F5"/>
    <w:rsid w:val="00D179D0"/>
    <w:rsid w:val="00D17BC6"/>
    <w:rsid w:val="00D17D3A"/>
    <w:rsid w:val="00D17D42"/>
    <w:rsid w:val="00D17E4D"/>
    <w:rsid w:val="00D17E85"/>
    <w:rsid w:val="00D17F64"/>
    <w:rsid w:val="00D17FD6"/>
    <w:rsid w:val="00D2006D"/>
    <w:rsid w:val="00D200E2"/>
    <w:rsid w:val="00D20363"/>
    <w:rsid w:val="00D20389"/>
    <w:rsid w:val="00D203C3"/>
    <w:rsid w:val="00D20488"/>
    <w:rsid w:val="00D2048F"/>
    <w:rsid w:val="00D2054F"/>
    <w:rsid w:val="00D2063D"/>
    <w:rsid w:val="00D206AC"/>
    <w:rsid w:val="00D206BE"/>
    <w:rsid w:val="00D20715"/>
    <w:rsid w:val="00D20931"/>
    <w:rsid w:val="00D20999"/>
    <w:rsid w:val="00D20AE8"/>
    <w:rsid w:val="00D20BB0"/>
    <w:rsid w:val="00D20C63"/>
    <w:rsid w:val="00D20D8A"/>
    <w:rsid w:val="00D20E68"/>
    <w:rsid w:val="00D20EEB"/>
    <w:rsid w:val="00D20FC2"/>
    <w:rsid w:val="00D210B4"/>
    <w:rsid w:val="00D210C3"/>
    <w:rsid w:val="00D211F7"/>
    <w:rsid w:val="00D21427"/>
    <w:rsid w:val="00D2147B"/>
    <w:rsid w:val="00D2162E"/>
    <w:rsid w:val="00D2174B"/>
    <w:rsid w:val="00D217ED"/>
    <w:rsid w:val="00D21872"/>
    <w:rsid w:val="00D21998"/>
    <w:rsid w:val="00D219BF"/>
    <w:rsid w:val="00D21A4C"/>
    <w:rsid w:val="00D21A7E"/>
    <w:rsid w:val="00D21AA9"/>
    <w:rsid w:val="00D21AB8"/>
    <w:rsid w:val="00D21B93"/>
    <w:rsid w:val="00D21BD7"/>
    <w:rsid w:val="00D21C45"/>
    <w:rsid w:val="00D21D80"/>
    <w:rsid w:val="00D21F33"/>
    <w:rsid w:val="00D2224C"/>
    <w:rsid w:val="00D22258"/>
    <w:rsid w:val="00D22282"/>
    <w:rsid w:val="00D2239A"/>
    <w:rsid w:val="00D223BA"/>
    <w:rsid w:val="00D2241F"/>
    <w:rsid w:val="00D228B0"/>
    <w:rsid w:val="00D228E4"/>
    <w:rsid w:val="00D22A06"/>
    <w:rsid w:val="00D22A08"/>
    <w:rsid w:val="00D22A65"/>
    <w:rsid w:val="00D22A98"/>
    <w:rsid w:val="00D22AC7"/>
    <w:rsid w:val="00D22ACA"/>
    <w:rsid w:val="00D22C42"/>
    <w:rsid w:val="00D22CF3"/>
    <w:rsid w:val="00D22E0E"/>
    <w:rsid w:val="00D22F16"/>
    <w:rsid w:val="00D22F51"/>
    <w:rsid w:val="00D22F6F"/>
    <w:rsid w:val="00D230F4"/>
    <w:rsid w:val="00D231CB"/>
    <w:rsid w:val="00D23217"/>
    <w:rsid w:val="00D2327E"/>
    <w:rsid w:val="00D23545"/>
    <w:rsid w:val="00D2362E"/>
    <w:rsid w:val="00D23674"/>
    <w:rsid w:val="00D236CC"/>
    <w:rsid w:val="00D236E0"/>
    <w:rsid w:val="00D236E2"/>
    <w:rsid w:val="00D2372A"/>
    <w:rsid w:val="00D2372C"/>
    <w:rsid w:val="00D237EF"/>
    <w:rsid w:val="00D23B87"/>
    <w:rsid w:val="00D23CF2"/>
    <w:rsid w:val="00D23FA1"/>
    <w:rsid w:val="00D2401C"/>
    <w:rsid w:val="00D240BC"/>
    <w:rsid w:val="00D2420A"/>
    <w:rsid w:val="00D2432D"/>
    <w:rsid w:val="00D24475"/>
    <w:rsid w:val="00D2455A"/>
    <w:rsid w:val="00D2459F"/>
    <w:rsid w:val="00D2468E"/>
    <w:rsid w:val="00D247B0"/>
    <w:rsid w:val="00D2482A"/>
    <w:rsid w:val="00D24B82"/>
    <w:rsid w:val="00D24C10"/>
    <w:rsid w:val="00D24C2F"/>
    <w:rsid w:val="00D250B3"/>
    <w:rsid w:val="00D250F4"/>
    <w:rsid w:val="00D25127"/>
    <w:rsid w:val="00D251B7"/>
    <w:rsid w:val="00D252BF"/>
    <w:rsid w:val="00D25369"/>
    <w:rsid w:val="00D253AC"/>
    <w:rsid w:val="00D2542D"/>
    <w:rsid w:val="00D254B0"/>
    <w:rsid w:val="00D25580"/>
    <w:rsid w:val="00D255A2"/>
    <w:rsid w:val="00D257E1"/>
    <w:rsid w:val="00D257E3"/>
    <w:rsid w:val="00D25883"/>
    <w:rsid w:val="00D2588B"/>
    <w:rsid w:val="00D2588F"/>
    <w:rsid w:val="00D25AFE"/>
    <w:rsid w:val="00D25B89"/>
    <w:rsid w:val="00D25C28"/>
    <w:rsid w:val="00D25ECB"/>
    <w:rsid w:val="00D25F2D"/>
    <w:rsid w:val="00D25F87"/>
    <w:rsid w:val="00D25FDE"/>
    <w:rsid w:val="00D26040"/>
    <w:rsid w:val="00D2609D"/>
    <w:rsid w:val="00D261E7"/>
    <w:rsid w:val="00D262CA"/>
    <w:rsid w:val="00D26471"/>
    <w:rsid w:val="00D2650B"/>
    <w:rsid w:val="00D26698"/>
    <w:rsid w:val="00D26847"/>
    <w:rsid w:val="00D2685E"/>
    <w:rsid w:val="00D26891"/>
    <w:rsid w:val="00D268DD"/>
    <w:rsid w:val="00D2690B"/>
    <w:rsid w:val="00D26929"/>
    <w:rsid w:val="00D26A7C"/>
    <w:rsid w:val="00D26AEE"/>
    <w:rsid w:val="00D26BFC"/>
    <w:rsid w:val="00D26C85"/>
    <w:rsid w:val="00D26D30"/>
    <w:rsid w:val="00D27065"/>
    <w:rsid w:val="00D27146"/>
    <w:rsid w:val="00D271F4"/>
    <w:rsid w:val="00D27345"/>
    <w:rsid w:val="00D274BB"/>
    <w:rsid w:val="00D274D2"/>
    <w:rsid w:val="00D275CC"/>
    <w:rsid w:val="00D276F0"/>
    <w:rsid w:val="00D276F2"/>
    <w:rsid w:val="00D27727"/>
    <w:rsid w:val="00D277F0"/>
    <w:rsid w:val="00D27826"/>
    <w:rsid w:val="00D27845"/>
    <w:rsid w:val="00D27854"/>
    <w:rsid w:val="00D27868"/>
    <w:rsid w:val="00D27986"/>
    <w:rsid w:val="00D279C8"/>
    <w:rsid w:val="00D27ACE"/>
    <w:rsid w:val="00D27ADE"/>
    <w:rsid w:val="00D27BED"/>
    <w:rsid w:val="00D30114"/>
    <w:rsid w:val="00D3017A"/>
    <w:rsid w:val="00D301A2"/>
    <w:rsid w:val="00D301D2"/>
    <w:rsid w:val="00D30336"/>
    <w:rsid w:val="00D30443"/>
    <w:rsid w:val="00D30479"/>
    <w:rsid w:val="00D3051F"/>
    <w:rsid w:val="00D30586"/>
    <w:rsid w:val="00D305EC"/>
    <w:rsid w:val="00D30662"/>
    <w:rsid w:val="00D306F6"/>
    <w:rsid w:val="00D30709"/>
    <w:rsid w:val="00D30755"/>
    <w:rsid w:val="00D30801"/>
    <w:rsid w:val="00D308A9"/>
    <w:rsid w:val="00D309E5"/>
    <w:rsid w:val="00D30A52"/>
    <w:rsid w:val="00D30AB4"/>
    <w:rsid w:val="00D30AD7"/>
    <w:rsid w:val="00D30B72"/>
    <w:rsid w:val="00D30B7D"/>
    <w:rsid w:val="00D30BE1"/>
    <w:rsid w:val="00D30CF4"/>
    <w:rsid w:val="00D30D98"/>
    <w:rsid w:val="00D30EBD"/>
    <w:rsid w:val="00D30EED"/>
    <w:rsid w:val="00D30F01"/>
    <w:rsid w:val="00D310AA"/>
    <w:rsid w:val="00D3124A"/>
    <w:rsid w:val="00D31255"/>
    <w:rsid w:val="00D3125E"/>
    <w:rsid w:val="00D312AF"/>
    <w:rsid w:val="00D312BF"/>
    <w:rsid w:val="00D31335"/>
    <w:rsid w:val="00D31426"/>
    <w:rsid w:val="00D314BC"/>
    <w:rsid w:val="00D31624"/>
    <w:rsid w:val="00D31733"/>
    <w:rsid w:val="00D31737"/>
    <w:rsid w:val="00D318CC"/>
    <w:rsid w:val="00D3192B"/>
    <w:rsid w:val="00D3198F"/>
    <w:rsid w:val="00D31A17"/>
    <w:rsid w:val="00D31A7F"/>
    <w:rsid w:val="00D31CFE"/>
    <w:rsid w:val="00D31D6B"/>
    <w:rsid w:val="00D31E97"/>
    <w:rsid w:val="00D31EE5"/>
    <w:rsid w:val="00D31F6A"/>
    <w:rsid w:val="00D31F7D"/>
    <w:rsid w:val="00D3218D"/>
    <w:rsid w:val="00D321AD"/>
    <w:rsid w:val="00D32217"/>
    <w:rsid w:val="00D3229C"/>
    <w:rsid w:val="00D3251A"/>
    <w:rsid w:val="00D32596"/>
    <w:rsid w:val="00D3262D"/>
    <w:rsid w:val="00D3263C"/>
    <w:rsid w:val="00D32774"/>
    <w:rsid w:val="00D327FE"/>
    <w:rsid w:val="00D32823"/>
    <w:rsid w:val="00D3296C"/>
    <w:rsid w:val="00D32A2A"/>
    <w:rsid w:val="00D32BA7"/>
    <w:rsid w:val="00D32C5E"/>
    <w:rsid w:val="00D32C7F"/>
    <w:rsid w:val="00D32D1C"/>
    <w:rsid w:val="00D32D54"/>
    <w:rsid w:val="00D32DC0"/>
    <w:rsid w:val="00D32F45"/>
    <w:rsid w:val="00D32F61"/>
    <w:rsid w:val="00D32F76"/>
    <w:rsid w:val="00D33137"/>
    <w:rsid w:val="00D33231"/>
    <w:rsid w:val="00D33291"/>
    <w:rsid w:val="00D332E1"/>
    <w:rsid w:val="00D3342F"/>
    <w:rsid w:val="00D3344C"/>
    <w:rsid w:val="00D3346A"/>
    <w:rsid w:val="00D3355B"/>
    <w:rsid w:val="00D335DA"/>
    <w:rsid w:val="00D3364C"/>
    <w:rsid w:val="00D33864"/>
    <w:rsid w:val="00D338B4"/>
    <w:rsid w:val="00D33A3A"/>
    <w:rsid w:val="00D33AD8"/>
    <w:rsid w:val="00D33C9A"/>
    <w:rsid w:val="00D33D55"/>
    <w:rsid w:val="00D33DF8"/>
    <w:rsid w:val="00D33DF9"/>
    <w:rsid w:val="00D34007"/>
    <w:rsid w:val="00D34072"/>
    <w:rsid w:val="00D340F0"/>
    <w:rsid w:val="00D341DC"/>
    <w:rsid w:val="00D34227"/>
    <w:rsid w:val="00D34354"/>
    <w:rsid w:val="00D3447D"/>
    <w:rsid w:val="00D345D9"/>
    <w:rsid w:val="00D34739"/>
    <w:rsid w:val="00D347BF"/>
    <w:rsid w:val="00D3481C"/>
    <w:rsid w:val="00D34858"/>
    <w:rsid w:val="00D34883"/>
    <w:rsid w:val="00D3495A"/>
    <w:rsid w:val="00D34972"/>
    <w:rsid w:val="00D34A9C"/>
    <w:rsid w:val="00D34AA1"/>
    <w:rsid w:val="00D34AC6"/>
    <w:rsid w:val="00D34C28"/>
    <w:rsid w:val="00D34CDC"/>
    <w:rsid w:val="00D34E04"/>
    <w:rsid w:val="00D350B4"/>
    <w:rsid w:val="00D351EA"/>
    <w:rsid w:val="00D35482"/>
    <w:rsid w:val="00D354A3"/>
    <w:rsid w:val="00D355B8"/>
    <w:rsid w:val="00D355D2"/>
    <w:rsid w:val="00D355FB"/>
    <w:rsid w:val="00D356CF"/>
    <w:rsid w:val="00D3586C"/>
    <w:rsid w:val="00D35A30"/>
    <w:rsid w:val="00D35B4D"/>
    <w:rsid w:val="00D35BB8"/>
    <w:rsid w:val="00D35EEE"/>
    <w:rsid w:val="00D35F34"/>
    <w:rsid w:val="00D35F80"/>
    <w:rsid w:val="00D360A2"/>
    <w:rsid w:val="00D360C3"/>
    <w:rsid w:val="00D360ED"/>
    <w:rsid w:val="00D3630E"/>
    <w:rsid w:val="00D3636B"/>
    <w:rsid w:val="00D363CC"/>
    <w:rsid w:val="00D3645B"/>
    <w:rsid w:val="00D3646A"/>
    <w:rsid w:val="00D364CA"/>
    <w:rsid w:val="00D3660D"/>
    <w:rsid w:val="00D366E2"/>
    <w:rsid w:val="00D36773"/>
    <w:rsid w:val="00D367F9"/>
    <w:rsid w:val="00D36899"/>
    <w:rsid w:val="00D368A3"/>
    <w:rsid w:val="00D36993"/>
    <w:rsid w:val="00D369C3"/>
    <w:rsid w:val="00D36A38"/>
    <w:rsid w:val="00D36BD5"/>
    <w:rsid w:val="00D36C80"/>
    <w:rsid w:val="00D36CE5"/>
    <w:rsid w:val="00D36ED3"/>
    <w:rsid w:val="00D36F8B"/>
    <w:rsid w:val="00D37006"/>
    <w:rsid w:val="00D3703F"/>
    <w:rsid w:val="00D372F9"/>
    <w:rsid w:val="00D373FB"/>
    <w:rsid w:val="00D37565"/>
    <w:rsid w:val="00D3757A"/>
    <w:rsid w:val="00D376B3"/>
    <w:rsid w:val="00D376DA"/>
    <w:rsid w:val="00D37894"/>
    <w:rsid w:val="00D37926"/>
    <w:rsid w:val="00D37A0B"/>
    <w:rsid w:val="00D37AAF"/>
    <w:rsid w:val="00D37DCF"/>
    <w:rsid w:val="00D40067"/>
    <w:rsid w:val="00D400A2"/>
    <w:rsid w:val="00D401E6"/>
    <w:rsid w:val="00D402E4"/>
    <w:rsid w:val="00D4036D"/>
    <w:rsid w:val="00D403D8"/>
    <w:rsid w:val="00D40547"/>
    <w:rsid w:val="00D405B4"/>
    <w:rsid w:val="00D405B6"/>
    <w:rsid w:val="00D405D6"/>
    <w:rsid w:val="00D405EA"/>
    <w:rsid w:val="00D40620"/>
    <w:rsid w:val="00D406A0"/>
    <w:rsid w:val="00D40711"/>
    <w:rsid w:val="00D407F6"/>
    <w:rsid w:val="00D407FE"/>
    <w:rsid w:val="00D40847"/>
    <w:rsid w:val="00D40910"/>
    <w:rsid w:val="00D40925"/>
    <w:rsid w:val="00D409E8"/>
    <w:rsid w:val="00D40A85"/>
    <w:rsid w:val="00D40AFB"/>
    <w:rsid w:val="00D40B19"/>
    <w:rsid w:val="00D40BD7"/>
    <w:rsid w:val="00D40CB8"/>
    <w:rsid w:val="00D40CD3"/>
    <w:rsid w:val="00D40D40"/>
    <w:rsid w:val="00D40F39"/>
    <w:rsid w:val="00D40FDE"/>
    <w:rsid w:val="00D41076"/>
    <w:rsid w:val="00D412FE"/>
    <w:rsid w:val="00D413EA"/>
    <w:rsid w:val="00D414D8"/>
    <w:rsid w:val="00D416BC"/>
    <w:rsid w:val="00D416F1"/>
    <w:rsid w:val="00D416F2"/>
    <w:rsid w:val="00D41719"/>
    <w:rsid w:val="00D4173B"/>
    <w:rsid w:val="00D417FA"/>
    <w:rsid w:val="00D4181C"/>
    <w:rsid w:val="00D418D5"/>
    <w:rsid w:val="00D41A8D"/>
    <w:rsid w:val="00D41ADA"/>
    <w:rsid w:val="00D41B60"/>
    <w:rsid w:val="00D41C46"/>
    <w:rsid w:val="00D41C9E"/>
    <w:rsid w:val="00D41E5E"/>
    <w:rsid w:val="00D41EB1"/>
    <w:rsid w:val="00D41F5E"/>
    <w:rsid w:val="00D42048"/>
    <w:rsid w:val="00D420A2"/>
    <w:rsid w:val="00D42253"/>
    <w:rsid w:val="00D4226D"/>
    <w:rsid w:val="00D422BB"/>
    <w:rsid w:val="00D42358"/>
    <w:rsid w:val="00D42375"/>
    <w:rsid w:val="00D4245F"/>
    <w:rsid w:val="00D425FF"/>
    <w:rsid w:val="00D42679"/>
    <w:rsid w:val="00D4276E"/>
    <w:rsid w:val="00D427B8"/>
    <w:rsid w:val="00D42845"/>
    <w:rsid w:val="00D42866"/>
    <w:rsid w:val="00D429EF"/>
    <w:rsid w:val="00D42A63"/>
    <w:rsid w:val="00D42A6B"/>
    <w:rsid w:val="00D42DE8"/>
    <w:rsid w:val="00D42E8F"/>
    <w:rsid w:val="00D42F49"/>
    <w:rsid w:val="00D43003"/>
    <w:rsid w:val="00D43079"/>
    <w:rsid w:val="00D430B8"/>
    <w:rsid w:val="00D43151"/>
    <w:rsid w:val="00D431A9"/>
    <w:rsid w:val="00D431BA"/>
    <w:rsid w:val="00D432F9"/>
    <w:rsid w:val="00D4330C"/>
    <w:rsid w:val="00D43310"/>
    <w:rsid w:val="00D4332A"/>
    <w:rsid w:val="00D4340B"/>
    <w:rsid w:val="00D43531"/>
    <w:rsid w:val="00D43584"/>
    <w:rsid w:val="00D435E6"/>
    <w:rsid w:val="00D43629"/>
    <w:rsid w:val="00D436C8"/>
    <w:rsid w:val="00D4382E"/>
    <w:rsid w:val="00D4384E"/>
    <w:rsid w:val="00D438B3"/>
    <w:rsid w:val="00D4395B"/>
    <w:rsid w:val="00D439D5"/>
    <w:rsid w:val="00D43A75"/>
    <w:rsid w:val="00D43A89"/>
    <w:rsid w:val="00D43BB1"/>
    <w:rsid w:val="00D43C27"/>
    <w:rsid w:val="00D43DBD"/>
    <w:rsid w:val="00D43F40"/>
    <w:rsid w:val="00D44099"/>
    <w:rsid w:val="00D440C8"/>
    <w:rsid w:val="00D44253"/>
    <w:rsid w:val="00D44256"/>
    <w:rsid w:val="00D44498"/>
    <w:rsid w:val="00D444E6"/>
    <w:rsid w:val="00D44521"/>
    <w:rsid w:val="00D445AF"/>
    <w:rsid w:val="00D44743"/>
    <w:rsid w:val="00D4478A"/>
    <w:rsid w:val="00D44826"/>
    <w:rsid w:val="00D4497C"/>
    <w:rsid w:val="00D449FB"/>
    <w:rsid w:val="00D44A33"/>
    <w:rsid w:val="00D44AEE"/>
    <w:rsid w:val="00D44B55"/>
    <w:rsid w:val="00D44B7D"/>
    <w:rsid w:val="00D44C26"/>
    <w:rsid w:val="00D44C9D"/>
    <w:rsid w:val="00D44CE5"/>
    <w:rsid w:val="00D44CFB"/>
    <w:rsid w:val="00D44E0A"/>
    <w:rsid w:val="00D44E88"/>
    <w:rsid w:val="00D45018"/>
    <w:rsid w:val="00D45047"/>
    <w:rsid w:val="00D450BF"/>
    <w:rsid w:val="00D45131"/>
    <w:rsid w:val="00D4523E"/>
    <w:rsid w:val="00D4538E"/>
    <w:rsid w:val="00D453E9"/>
    <w:rsid w:val="00D453EC"/>
    <w:rsid w:val="00D454F9"/>
    <w:rsid w:val="00D45620"/>
    <w:rsid w:val="00D4564F"/>
    <w:rsid w:val="00D456EB"/>
    <w:rsid w:val="00D4571E"/>
    <w:rsid w:val="00D4592F"/>
    <w:rsid w:val="00D45952"/>
    <w:rsid w:val="00D45A60"/>
    <w:rsid w:val="00D45AAC"/>
    <w:rsid w:val="00D45C2F"/>
    <w:rsid w:val="00D45CA0"/>
    <w:rsid w:val="00D45CF9"/>
    <w:rsid w:val="00D45D5A"/>
    <w:rsid w:val="00D45FD2"/>
    <w:rsid w:val="00D45FF0"/>
    <w:rsid w:val="00D4604A"/>
    <w:rsid w:val="00D4608A"/>
    <w:rsid w:val="00D4613A"/>
    <w:rsid w:val="00D461A3"/>
    <w:rsid w:val="00D461B5"/>
    <w:rsid w:val="00D461E3"/>
    <w:rsid w:val="00D46204"/>
    <w:rsid w:val="00D46249"/>
    <w:rsid w:val="00D46333"/>
    <w:rsid w:val="00D46374"/>
    <w:rsid w:val="00D463A4"/>
    <w:rsid w:val="00D4649D"/>
    <w:rsid w:val="00D464C1"/>
    <w:rsid w:val="00D46579"/>
    <w:rsid w:val="00D4665A"/>
    <w:rsid w:val="00D466CB"/>
    <w:rsid w:val="00D46712"/>
    <w:rsid w:val="00D467BA"/>
    <w:rsid w:val="00D467D4"/>
    <w:rsid w:val="00D46879"/>
    <w:rsid w:val="00D469A8"/>
    <w:rsid w:val="00D469D4"/>
    <w:rsid w:val="00D46A2A"/>
    <w:rsid w:val="00D46B4B"/>
    <w:rsid w:val="00D46D3D"/>
    <w:rsid w:val="00D46D97"/>
    <w:rsid w:val="00D46E52"/>
    <w:rsid w:val="00D46E6E"/>
    <w:rsid w:val="00D47066"/>
    <w:rsid w:val="00D47134"/>
    <w:rsid w:val="00D47171"/>
    <w:rsid w:val="00D47240"/>
    <w:rsid w:val="00D472E2"/>
    <w:rsid w:val="00D47319"/>
    <w:rsid w:val="00D473C5"/>
    <w:rsid w:val="00D47592"/>
    <w:rsid w:val="00D476CD"/>
    <w:rsid w:val="00D47745"/>
    <w:rsid w:val="00D477D2"/>
    <w:rsid w:val="00D477E8"/>
    <w:rsid w:val="00D4783F"/>
    <w:rsid w:val="00D47913"/>
    <w:rsid w:val="00D47982"/>
    <w:rsid w:val="00D47A9C"/>
    <w:rsid w:val="00D47B20"/>
    <w:rsid w:val="00D47C3A"/>
    <w:rsid w:val="00D47D2E"/>
    <w:rsid w:val="00D47D63"/>
    <w:rsid w:val="00D47D8B"/>
    <w:rsid w:val="00D47E0B"/>
    <w:rsid w:val="00D47F22"/>
    <w:rsid w:val="00D47F3F"/>
    <w:rsid w:val="00D5008F"/>
    <w:rsid w:val="00D50119"/>
    <w:rsid w:val="00D501F3"/>
    <w:rsid w:val="00D50250"/>
    <w:rsid w:val="00D50465"/>
    <w:rsid w:val="00D505B0"/>
    <w:rsid w:val="00D505C9"/>
    <w:rsid w:val="00D508A3"/>
    <w:rsid w:val="00D508BA"/>
    <w:rsid w:val="00D50976"/>
    <w:rsid w:val="00D509F8"/>
    <w:rsid w:val="00D50A72"/>
    <w:rsid w:val="00D50A96"/>
    <w:rsid w:val="00D50B1A"/>
    <w:rsid w:val="00D50C87"/>
    <w:rsid w:val="00D50D20"/>
    <w:rsid w:val="00D50D3A"/>
    <w:rsid w:val="00D50E1D"/>
    <w:rsid w:val="00D50E90"/>
    <w:rsid w:val="00D50EA4"/>
    <w:rsid w:val="00D50FED"/>
    <w:rsid w:val="00D510F6"/>
    <w:rsid w:val="00D511E0"/>
    <w:rsid w:val="00D51258"/>
    <w:rsid w:val="00D512B5"/>
    <w:rsid w:val="00D5141A"/>
    <w:rsid w:val="00D514AD"/>
    <w:rsid w:val="00D514C7"/>
    <w:rsid w:val="00D514DA"/>
    <w:rsid w:val="00D515BB"/>
    <w:rsid w:val="00D517E9"/>
    <w:rsid w:val="00D5183F"/>
    <w:rsid w:val="00D5193E"/>
    <w:rsid w:val="00D51968"/>
    <w:rsid w:val="00D519AE"/>
    <w:rsid w:val="00D519C0"/>
    <w:rsid w:val="00D519FB"/>
    <w:rsid w:val="00D51A19"/>
    <w:rsid w:val="00D51AF0"/>
    <w:rsid w:val="00D51B02"/>
    <w:rsid w:val="00D51B33"/>
    <w:rsid w:val="00D51B53"/>
    <w:rsid w:val="00D51BF7"/>
    <w:rsid w:val="00D51C43"/>
    <w:rsid w:val="00D51CD8"/>
    <w:rsid w:val="00D51E12"/>
    <w:rsid w:val="00D51E4A"/>
    <w:rsid w:val="00D51F0E"/>
    <w:rsid w:val="00D5203A"/>
    <w:rsid w:val="00D5204F"/>
    <w:rsid w:val="00D520F3"/>
    <w:rsid w:val="00D52213"/>
    <w:rsid w:val="00D52293"/>
    <w:rsid w:val="00D522D6"/>
    <w:rsid w:val="00D5237B"/>
    <w:rsid w:val="00D52457"/>
    <w:rsid w:val="00D52470"/>
    <w:rsid w:val="00D524FC"/>
    <w:rsid w:val="00D52677"/>
    <w:rsid w:val="00D52765"/>
    <w:rsid w:val="00D52829"/>
    <w:rsid w:val="00D52994"/>
    <w:rsid w:val="00D52A2C"/>
    <w:rsid w:val="00D52ACA"/>
    <w:rsid w:val="00D52AEC"/>
    <w:rsid w:val="00D52C30"/>
    <w:rsid w:val="00D52CEC"/>
    <w:rsid w:val="00D52CF7"/>
    <w:rsid w:val="00D52D1E"/>
    <w:rsid w:val="00D52E3A"/>
    <w:rsid w:val="00D52E4F"/>
    <w:rsid w:val="00D52EC1"/>
    <w:rsid w:val="00D53017"/>
    <w:rsid w:val="00D5302C"/>
    <w:rsid w:val="00D5318E"/>
    <w:rsid w:val="00D531E9"/>
    <w:rsid w:val="00D53208"/>
    <w:rsid w:val="00D53256"/>
    <w:rsid w:val="00D53282"/>
    <w:rsid w:val="00D5337A"/>
    <w:rsid w:val="00D533E8"/>
    <w:rsid w:val="00D53406"/>
    <w:rsid w:val="00D53528"/>
    <w:rsid w:val="00D53533"/>
    <w:rsid w:val="00D53585"/>
    <w:rsid w:val="00D53648"/>
    <w:rsid w:val="00D53740"/>
    <w:rsid w:val="00D537CB"/>
    <w:rsid w:val="00D5380E"/>
    <w:rsid w:val="00D53937"/>
    <w:rsid w:val="00D53A35"/>
    <w:rsid w:val="00D53BFC"/>
    <w:rsid w:val="00D53CB9"/>
    <w:rsid w:val="00D53DD8"/>
    <w:rsid w:val="00D53E13"/>
    <w:rsid w:val="00D53FD2"/>
    <w:rsid w:val="00D54000"/>
    <w:rsid w:val="00D5417D"/>
    <w:rsid w:val="00D542B0"/>
    <w:rsid w:val="00D542D5"/>
    <w:rsid w:val="00D543E2"/>
    <w:rsid w:val="00D543EF"/>
    <w:rsid w:val="00D544DF"/>
    <w:rsid w:val="00D5469F"/>
    <w:rsid w:val="00D547EA"/>
    <w:rsid w:val="00D5487C"/>
    <w:rsid w:val="00D54899"/>
    <w:rsid w:val="00D548F3"/>
    <w:rsid w:val="00D54916"/>
    <w:rsid w:val="00D54917"/>
    <w:rsid w:val="00D54B01"/>
    <w:rsid w:val="00D54B9D"/>
    <w:rsid w:val="00D54BCA"/>
    <w:rsid w:val="00D54C9B"/>
    <w:rsid w:val="00D54CDF"/>
    <w:rsid w:val="00D54DCB"/>
    <w:rsid w:val="00D54EED"/>
    <w:rsid w:val="00D54FFB"/>
    <w:rsid w:val="00D5503A"/>
    <w:rsid w:val="00D550BD"/>
    <w:rsid w:val="00D5512D"/>
    <w:rsid w:val="00D55141"/>
    <w:rsid w:val="00D55170"/>
    <w:rsid w:val="00D552CB"/>
    <w:rsid w:val="00D552DB"/>
    <w:rsid w:val="00D55374"/>
    <w:rsid w:val="00D553C9"/>
    <w:rsid w:val="00D55411"/>
    <w:rsid w:val="00D55440"/>
    <w:rsid w:val="00D556C0"/>
    <w:rsid w:val="00D55740"/>
    <w:rsid w:val="00D55761"/>
    <w:rsid w:val="00D55820"/>
    <w:rsid w:val="00D558C1"/>
    <w:rsid w:val="00D558EB"/>
    <w:rsid w:val="00D558F7"/>
    <w:rsid w:val="00D55957"/>
    <w:rsid w:val="00D559B9"/>
    <w:rsid w:val="00D55AB0"/>
    <w:rsid w:val="00D55B43"/>
    <w:rsid w:val="00D55C82"/>
    <w:rsid w:val="00D55D7E"/>
    <w:rsid w:val="00D55F62"/>
    <w:rsid w:val="00D56184"/>
    <w:rsid w:val="00D561EB"/>
    <w:rsid w:val="00D561FA"/>
    <w:rsid w:val="00D56298"/>
    <w:rsid w:val="00D56303"/>
    <w:rsid w:val="00D56360"/>
    <w:rsid w:val="00D56369"/>
    <w:rsid w:val="00D5637C"/>
    <w:rsid w:val="00D563A3"/>
    <w:rsid w:val="00D5648B"/>
    <w:rsid w:val="00D564B7"/>
    <w:rsid w:val="00D56505"/>
    <w:rsid w:val="00D565A5"/>
    <w:rsid w:val="00D565C7"/>
    <w:rsid w:val="00D565D7"/>
    <w:rsid w:val="00D5669F"/>
    <w:rsid w:val="00D56722"/>
    <w:rsid w:val="00D56791"/>
    <w:rsid w:val="00D567A1"/>
    <w:rsid w:val="00D568A8"/>
    <w:rsid w:val="00D568DE"/>
    <w:rsid w:val="00D56921"/>
    <w:rsid w:val="00D56B0A"/>
    <w:rsid w:val="00D56B87"/>
    <w:rsid w:val="00D56C23"/>
    <w:rsid w:val="00D56C9D"/>
    <w:rsid w:val="00D56DE4"/>
    <w:rsid w:val="00D57099"/>
    <w:rsid w:val="00D571CB"/>
    <w:rsid w:val="00D57211"/>
    <w:rsid w:val="00D57256"/>
    <w:rsid w:val="00D57377"/>
    <w:rsid w:val="00D57443"/>
    <w:rsid w:val="00D5754C"/>
    <w:rsid w:val="00D57572"/>
    <w:rsid w:val="00D576D8"/>
    <w:rsid w:val="00D576FC"/>
    <w:rsid w:val="00D57791"/>
    <w:rsid w:val="00D57814"/>
    <w:rsid w:val="00D57922"/>
    <w:rsid w:val="00D57AD9"/>
    <w:rsid w:val="00D57B93"/>
    <w:rsid w:val="00D57CF6"/>
    <w:rsid w:val="00D57E0E"/>
    <w:rsid w:val="00D580A5"/>
    <w:rsid w:val="00D600E3"/>
    <w:rsid w:val="00D602C2"/>
    <w:rsid w:val="00D603A2"/>
    <w:rsid w:val="00D6043B"/>
    <w:rsid w:val="00D60467"/>
    <w:rsid w:val="00D6065E"/>
    <w:rsid w:val="00D60671"/>
    <w:rsid w:val="00D60B93"/>
    <w:rsid w:val="00D60BCD"/>
    <w:rsid w:val="00D60ED3"/>
    <w:rsid w:val="00D60F0F"/>
    <w:rsid w:val="00D61012"/>
    <w:rsid w:val="00D61017"/>
    <w:rsid w:val="00D6138C"/>
    <w:rsid w:val="00D61396"/>
    <w:rsid w:val="00D6141A"/>
    <w:rsid w:val="00D61508"/>
    <w:rsid w:val="00D61519"/>
    <w:rsid w:val="00D61630"/>
    <w:rsid w:val="00D6166D"/>
    <w:rsid w:val="00D61822"/>
    <w:rsid w:val="00D61927"/>
    <w:rsid w:val="00D619BF"/>
    <w:rsid w:val="00D61A16"/>
    <w:rsid w:val="00D61A61"/>
    <w:rsid w:val="00D61A65"/>
    <w:rsid w:val="00D61B71"/>
    <w:rsid w:val="00D61BDB"/>
    <w:rsid w:val="00D61C47"/>
    <w:rsid w:val="00D61C8C"/>
    <w:rsid w:val="00D61CBE"/>
    <w:rsid w:val="00D61E86"/>
    <w:rsid w:val="00D61FD2"/>
    <w:rsid w:val="00D62130"/>
    <w:rsid w:val="00D62298"/>
    <w:rsid w:val="00D622AE"/>
    <w:rsid w:val="00D62438"/>
    <w:rsid w:val="00D62510"/>
    <w:rsid w:val="00D62656"/>
    <w:rsid w:val="00D62685"/>
    <w:rsid w:val="00D6270C"/>
    <w:rsid w:val="00D62711"/>
    <w:rsid w:val="00D627C4"/>
    <w:rsid w:val="00D62A10"/>
    <w:rsid w:val="00D62C18"/>
    <w:rsid w:val="00D62C19"/>
    <w:rsid w:val="00D62C24"/>
    <w:rsid w:val="00D62D39"/>
    <w:rsid w:val="00D62D9F"/>
    <w:rsid w:val="00D62E8C"/>
    <w:rsid w:val="00D62FE2"/>
    <w:rsid w:val="00D630E0"/>
    <w:rsid w:val="00D63107"/>
    <w:rsid w:val="00D6314A"/>
    <w:rsid w:val="00D6320B"/>
    <w:rsid w:val="00D63291"/>
    <w:rsid w:val="00D632BF"/>
    <w:rsid w:val="00D633EF"/>
    <w:rsid w:val="00D6347E"/>
    <w:rsid w:val="00D634FB"/>
    <w:rsid w:val="00D6366A"/>
    <w:rsid w:val="00D63707"/>
    <w:rsid w:val="00D63823"/>
    <w:rsid w:val="00D63874"/>
    <w:rsid w:val="00D63A1D"/>
    <w:rsid w:val="00D63B2B"/>
    <w:rsid w:val="00D63B44"/>
    <w:rsid w:val="00D63DC9"/>
    <w:rsid w:val="00D63DD8"/>
    <w:rsid w:val="00D63DEC"/>
    <w:rsid w:val="00D63E69"/>
    <w:rsid w:val="00D63F70"/>
    <w:rsid w:val="00D63F73"/>
    <w:rsid w:val="00D63F80"/>
    <w:rsid w:val="00D63FA7"/>
    <w:rsid w:val="00D63FAF"/>
    <w:rsid w:val="00D6400B"/>
    <w:rsid w:val="00D640F1"/>
    <w:rsid w:val="00D641D2"/>
    <w:rsid w:val="00D645C3"/>
    <w:rsid w:val="00D64698"/>
    <w:rsid w:val="00D646AA"/>
    <w:rsid w:val="00D646E0"/>
    <w:rsid w:val="00D6470A"/>
    <w:rsid w:val="00D64710"/>
    <w:rsid w:val="00D6473D"/>
    <w:rsid w:val="00D647A6"/>
    <w:rsid w:val="00D647FE"/>
    <w:rsid w:val="00D6487D"/>
    <w:rsid w:val="00D648A8"/>
    <w:rsid w:val="00D648FB"/>
    <w:rsid w:val="00D649AA"/>
    <w:rsid w:val="00D64A00"/>
    <w:rsid w:val="00D64B35"/>
    <w:rsid w:val="00D64B67"/>
    <w:rsid w:val="00D64B7B"/>
    <w:rsid w:val="00D64E89"/>
    <w:rsid w:val="00D64F14"/>
    <w:rsid w:val="00D64F5B"/>
    <w:rsid w:val="00D64F98"/>
    <w:rsid w:val="00D65021"/>
    <w:rsid w:val="00D650D2"/>
    <w:rsid w:val="00D65119"/>
    <w:rsid w:val="00D65195"/>
    <w:rsid w:val="00D653CF"/>
    <w:rsid w:val="00D6545C"/>
    <w:rsid w:val="00D6555D"/>
    <w:rsid w:val="00D65601"/>
    <w:rsid w:val="00D65789"/>
    <w:rsid w:val="00D65AD7"/>
    <w:rsid w:val="00D65B7B"/>
    <w:rsid w:val="00D65DB8"/>
    <w:rsid w:val="00D6605B"/>
    <w:rsid w:val="00D66125"/>
    <w:rsid w:val="00D66130"/>
    <w:rsid w:val="00D66147"/>
    <w:rsid w:val="00D66390"/>
    <w:rsid w:val="00D663A3"/>
    <w:rsid w:val="00D66443"/>
    <w:rsid w:val="00D6644C"/>
    <w:rsid w:val="00D6650F"/>
    <w:rsid w:val="00D6669C"/>
    <w:rsid w:val="00D6676E"/>
    <w:rsid w:val="00D667EF"/>
    <w:rsid w:val="00D6695F"/>
    <w:rsid w:val="00D66A8E"/>
    <w:rsid w:val="00D66C70"/>
    <w:rsid w:val="00D66E51"/>
    <w:rsid w:val="00D66E61"/>
    <w:rsid w:val="00D66E81"/>
    <w:rsid w:val="00D66F9A"/>
    <w:rsid w:val="00D670F6"/>
    <w:rsid w:val="00D6712F"/>
    <w:rsid w:val="00D672A5"/>
    <w:rsid w:val="00D673A5"/>
    <w:rsid w:val="00D673DE"/>
    <w:rsid w:val="00D67439"/>
    <w:rsid w:val="00D6748F"/>
    <w:rsid w:val="00D674E8"/>
    <w:rsid w:val="00D674F8"/>
    <w:rsid w:val="00D676AE"/>
    <w:rsid w:val="00D6774E"/>
    <w:rsid w:val="00D67774"/>
    <w:rsid w:val="00D67874"/>
    <w:rsid w:val="00D67924"/>
    <w:rsid w:val="00D67934"/>
    <w:rsid w:val="00D67986"/>
    <w:rsid w:val="00D67B71"/>
    <w:rsid w:val="00D67BC4"/>
    <w:rsid w:val="00D67C19"/>
    <w:rsid w:val="00D67EB8"/>
    <w:rsid w:val="00D67F05"/>
    <w:rsid w:val="00D67F76"/>
    <w:rsid w:val="00D70051"/>
    <w:rsid w:val="00D70079"/>
    <w:rsid w:val="00D701C3"/>
    <w:rsid w:val="00D70225"/>
    <w:rsid w:val="00D70228"/>
    <w:rsid w:val="00D70264"/>
    <w:rsid w:val="00D70371"/>
    <w:rsid w:val="00D7037D"/>
    <w:rsid w:val="00D7047C"/>
    <w:rsid w:val="00D70598"/>
    <w:rsid w:val="00D7076A"/>
    <w:rsid w:val="00D707B3"/>
    <w:rsid w:val="00D7081F"/>
    <w:rsid w:val="00D708A6"/>
    <w:rsid w:val="00D708D5"/>
    <w:rsid w:val="00D70910"/>
    <w:rsid w:val="00D70920"/>
    <w:rsid w:val="00D70966"/>
    <w:rsid w:val="00D70A3C"/>
    <w:rsid w:val="00D70B65"/>
    <w:rsid w:val="00D70C1E"/>
    <w:rsid w:val="00D70C2F"/>
    <w:rsid w:val="00D70E52"/>
    <w:rsid w:val="00D70EED"/>
    <w:rsid w:val="00D70FB2"/>
    <w:rsid w:val="00D70FD4"/>
    <w:rsid w:val="00D71021"/>
    <w:rsid w:val="00D71062"/>
    <w:rsid w:val="00D71126"/>
    <w:rsid w:val="00D71159"/>
    <w:rsid w:val="00D71182"/>
    <w:rsid w:val="00D71208"/>
    <w:rsid w:val="00D71310"/>
    <w:rsid w:val="00D71389"/>
    <w:rsid w:val="00D71397"/>
    <w:rsid w:val="00D71527"/>
    <w:rsid w:val="00D71717"/>
    <w:rsid w:val="00D71740"/>
    <w:rsid w:val="00D7194A"/>
    <w:rsid w:val="00D719BC"/>
    <w:rsid w:val="00D71C06"/>
    <w:rsid w:val="00D71C3C"/>
    <w:rsid w:val="00D71C81"/>
    <w:rsid w:val="00D71D4A"/>
    <w:rsid w:val="00D71D9B"/>
    <w:rsid w:val="00D71E21"/>
    <w:rsid w:val="00D71F16"/>
    <w:rsid w:val="00D71F41"/>
    <w:rsid w:val="00D71FD5"/>
    <w:rsid w:val="00D720EB"/>
    <w:rsid w:val="00D722C5"/>
    <w:rsid w:val="00D7232E"/>
    <w:rsid w:val="00D72354"/>
    <w:rsid w:val="00D7235E"/>
    <w:rsid w:val="00D7235F"/>
    <w:rsid w:val="00D724E9"/>
    <w:rsid w:val="00D72565"/>
    <w:rsid w:val="00D725A8"/>
    <w:rsid w:val="00D7265B"/>
    <w:rsid w:val="00D7270D"/>
    <w:rsid w:val="00D728D9"/>
    <w:rsid w:val="00D7296F"/>
    <w:rsid w:val="00D7298F"/>
    <w:rsid w:val="00D72A1A"/>
    <w:rsid w:val="00D72A62"/>
    <w:rsid w:val="00D72A6F"/>
    <w:rsid w:val="00D72BE4"/>
    <w:rsid w:val="00D72C7B"/>
    <w:rsid w:val="00D72CA1"/>
    <w:rsid w:val="00D72CED"/>
    <w:rsid w:val="00D72E1C"/>
    <w:rsid w:val="00D72EC3"/>
    <w:rsid w:val="00D72FDB"/>
    <w:rsid w:val="00D7300E"/>
    <w:rsid w:val="00D73302"/>
    <w:rsid w:val="00D73307"/>
    <w:rsid w:val="00D733B5"/>
    <w:rsid w:val="00D7356B"/>
    <w:rsid w:val="00D735A0"/>
    <w:rsid w:val="00D736EE"/>
    <w:rsid w:val="00D73C23"/>
    <w:rsid w:val="00D73CB0"/>
    <w:rsid w:val="00D73DE2"/>
    <w:rsid w:val="00D73E69"/>
    <w:rsid w:val="00D73EA4"/>
    <w:rsid w:val="00D73F51"/>
    <w:rsid w:val="00D73F6A"/>
    <w:rsid w:val="00D73F72"/>
    <w:rsid w:val="00D7409E"/>
    <w:rsid w:val="00D7427D"/>
    <w:rsid w:val="00D743A5"/>
    <w:rsid w:val="00D7447E"/>
    <w:rsid w:val="00D744D2"/>
    <w:rsid w:val="00D74517"/>
    <w:rsid w:val="00D7460A"/>
    <w:rsid w:val="00D74623"/>
    <w:rsid w:val="00D74739"/>
    <w:rsid w:val="00D74877"/>
    <w:rsid w:val="00D74894"/>
    <w:rsid w:val="00D74929"/>
    <w:rsid w:val="00D7498F"/>
    <w:rsid w:val="00D74B60"/>
    <w:rsid w:val="00D74C75"/>
    <w:rsid w:val="00D74CBB"/>
    <w:rsid w:val="00D74CBD"/>
    <w:rsid w:val="00D74CDE"/>
    <w:rsid w:val="00D74D5F"/>
    <w:rsid w:val="00D74D6D"/>
    <w:rsid w:val="00D74D79"/>
    <w:rsid w:val="00D74D83"/>
    <w:rsid w:val="00D74E15"/>
    <w:rsid w:val="00D75040"/>
    <w:rsid w:val="00D750FB"/>
    <w:rsid w:val="00D751E0"/>
    <w:rsid w:val="00D7522F"/>
    <w:rsid w:val="00D75529"/>
    <w:rsid w:val="00D75592"/>
    <w:rsid w:val="00D75610"/>
    <w:rsid w:val="00D756CD"/>
    <w:rsid w:val="00D756DB"/>
    <w:rsid w:val="00D756E7"/>
    <w:rsid w:val="00D75722"/>
    <w:rsid w:val="00D7573C"/>
    <w:rsid w:val="00D7576F"/>
    <w:rsid w:val="00D75778"/>
    <w:rsid w:val="00D7579F"/>
    <w:rsid w:val="00D75821"/>
    <w:rsid w:val="00D758C6"/>
    <w:rsid w:val="00D759F7"/>
    <w:rsid w:val="00D75A04"/>
    <w:rsid w:val="00D75A3F"/>
    <w:rsid w:val="00D75D52"/>
    <w:rsid w:val="00D75DDC"/>
    <w:rsid w:val="00D75DE3"/>
    <w:rsid w:val="00D763F7"/>
    <w:rsid w:val="00D7641A"/>
    <w:rsid w:val="00D76431"/>
    <w:rsid w:val="00D7655D"/>
    <w:rsid w:val="00D766BF"/>
    <w:rsid w:val="00D76713"/>
    <w:rsid w:val="00D76754"/>
    <w:rsid w:val="00D7679A"/>
    <w:rsid w:val="00D768FB"/>
    <w:rsid w:val="00D769AF"/>
    <w:rsid w:val="00D76A51"/>
    <w:rsid w:val="00D76A72"/>
    <w:rsid w:val="00D76A8A"/>
    <w:rsid w:val="00D76BED"/>
    <w:rsid w:val="00D76CC5"/>
    <w:rsid w:val="00D76D79"/>
    <w:rsid w:val="00D76DD5"/>
    <w:rsid w:val="00D76EBF"/>
    <w:rsid w:val="00D7700A"/>
    <w:rsid w:val="00D770FE"/>
    <w:rsid w:val="00D77197"/>
    <w:rsid w:val="00D7727E"/>
    <w:rsid w:val="00D772B9"/>
    <w:rsid w:val="00D77312"/>
    <w:rsid w:val="00D77402"/>
    <w:rsid w:val="00D774D3"/>
    <w:rsid w:val="00D77547"/>
    <w:rsid w:val="00D7756D"/>
    <w:rsid w:val="00D775C8"/>
    <w:rsid w:val="00D77645"/>
    <w:rsid w:val="00D7765A"/>
    <w:rsid w:val="00D77705"/>
    <w:rsid w:val="00D7779A"/>
    <w:rsid w:val="00D777AD"/>
    <w:rsid w:val="00D777DC"/>
    <w:rsid w:val="00D77828"/>
    <w:rsid w:val="00D778D0"/>
    <w:rsid w:val="00D7799A"/>
    <w:rsid w:val="00D779C2"/>
    <w:rsid w:val="00D77A7B"/>
    <w:rsid w:val="00D77AE3"/>
    <w:rsid w:val="00D77B4F"/>
    <w:rsid w:val="00D77C14"/>
    <w:rsid w:val="00D77C60"/>
    <w:rsid w:val="00D77D04"/>
    <w:rsid w:val="00D77D82"/>
    <w:rsid w:val="00D80037"/>
    <w:rsid w:val="00D80192"/>
    <w:rsid w:val="00D8023D"/>
    <w:rsid w:val="00D80263"/>
    <w:rsid w:val="00D80322"/>
    <w:rsid w:val="00D8044E"/>
    <w:rsid w:val="00D8045E"/>
    <w:rsid w:val="00D80636"/>
    <w:rsid w:val="00D807C6"/>
    <w:rsid w:val="00D807D3"/>
    <w:rsid w:val="00D808A6"/>
    <w:rsid w:val="00D80A4F"/>
    <w:rsid w:val="00D80AD6"/>
    <w:rsid w:val="00D80BCE"/>
    <w:rsid w:val="00D80CC7"/>
    <w:rsid w:val="00D80CDD"/>
    <w:rsid w:val="00D80D8F"/>
    <w:rsid w:val="00D80DED"/>
    <w:rsid w:val="00D80E31"/>
    <w:rsid w:val="00D80EF9"/>
    <w:rsid w:val="00D80F4E"/>
    <w:rsid w:val="00D81052"/>
    <w:rsid w:val="00D8106F"/>
    <w:rsid w:val="00D811C4"/>
    <w:rsid w:val="00D81251"/>
    <w:rsid w:val="00D81266"/>
    <w:rsid w:val="00D81318"/>
    <w:rsid w:val="00D8132C"/>
    <w:rsid w:val="00D81367"/>
    <w:rsid w:val="00D813DE"/>
    <w:rsid w:val="00D813F3"/>
    <w:rsid w:val="00D814EE"/>
    <w:rsid w:val="00D81532"/>
    <w:rsid w:val="00D81648"/>
    <w:rsid w:val="00D81A34"/>
    <w:rsid w:val="00D81B40"/>
    <w:rsid w:val="00D81B7E"/>
    <w:rsid w:val="00D81E17"/>
    <w:rsid w:val="00D81F3A"/>
    <w:rsid w:val="00D82169"/>
    <w:rsid w:val="00D821AD"/>
    <w:rsid w:val="00D82246"/>
    <w:rsid w:val="00D82249"/>
    <w:rsid w:val="00D8239B"/>
    <w:rsid w:val="00D82449"/>
    <w:rsid w:val="00D8253C"/>
    <w:rsid w:val="00D825D4"/>
    <w:rsid w:val="00D82696"/>
    <w:rsid w:val="00D82857"/>
    <w:rsid w:val="00D82A81"/>
    <w:rsid w:val="00D82AE5"/>
    <w:rsid w:val="00D82B44"/>
    <w:rsid w:val="00D82BB8"/>
    <w:rsid w:val="00D82C5B"/>
    <w:rsid w:val="00D82CA4"/>
    <w:rsid w:val="00D82D69"/>
    <w:rsid w:val="00D82D6C"/>
    <w:rsid w:val="00D82DF4"/>
    <w:rsid w:val="00D82E08"/>
    <w:rsid w:val="00D83004"/>
    <w:rsid w:val="00D83023"/>
    <w:rsid w:val="00D83030"/>
    <w:rsid w:val="00D83075"/>
    <w:rsid w:val="00D830BF"/>
    <w:rsid w:val="00D832CC"/>
    <w:rsid w:val="00D832DF"/>
    <w:rsid w:val="00D8357A"/>
    <w:rsid w:val="00D835AD"/>
    <w:rsid w:val="00D836F3"/>
    <w:rsid w:val="00D837EF"/>
    <w:rsid w:val="00D8394A"/>
    <w:rsid w:val="00D839EA"/>
    <w:rsid w:val="00D83A9B"/>
    <w:rsid w:val="00D83B50"/>
    <w:rsid w:val="00D83CB2"/>
    <w:rsid w:val="00D83CDF"/>
    <w:rsid w:val="00D83D32"/>
    <w:rsid w:val="00D83D4D"/>
    <w:rsid w:val="00D83E73"/>
    <w:rsid w:val="00D83F14"/>
    <w:rsid w:val="00D842AB"/>
    <w:rsid w:val="00D84336"/>
    <w:rsid w:val="00D84338"/>
    <w:rsid w:val="00D8435E"/>
    <w:rsid w:val="00D8437D"/>
    <w:rsid w:val="00D8438E"/>
    <w:rsid w:val="00D843A0"/>
    <w:rsid w:val="00D844B3"/>
    <w:rsid w:val="00D844FF"/>
    <w:rsid w:val="00D84504"/>
    <w:rsid w:val="00D84529"/>
    <w:rsid w:val="00D84810"/>
    <w:rsid w:val="00D8481D"/>
    <w:rsid w:val="00D84A33"/>
    <w:rsid w:val="00D84D79"/>
    <w:rsid w:val="00D84EBF"/>
    <w:rsid w:val="00D84F12"/>
    <w:rsid w:val="00D84F21"/>
    <w:rsid w:val="00D84F58"/>
    <w:rsid w:val="00D84FC0"/>
    <w:rsid w:val="00D8506C"/>
    <w:rsid w:val="00D850E6"/>
    <w:rsid w:val="00D851DD"/>
    <w:rsid w:val="00D851E5"/>
    <w:rsid w:val="00D851EF"/>
    <w:rsid w:val="00D85432"/>
    <w:rsid w:val="00D85438"/>
    <w:rsid w:val="00D8553C"/>
    <w:rsid w:val="00D8557C"/>
    <w:rsid w:val="00D857CB"/>
    <w:rsid w:val="00D85838"/>
    <w:rsid w:val="00D859CE"/>
    <w:rsid w:val="00D85A97"/>
    <w:rsid w:val="00D85ABD"/>
    <w:rsid w:val="00D85B7B"/>
    <w:rsid w:val="00D85BB7"/>
    <w:rsid w:val="00D85BD8"/>
    <w:rsid w:val="00D85C1F"/>
    <w:rsid w:val="00D85EC8"/>
    <w:rsid w:val="00D85EF0"/>
    <w:rsid w:val="00D85F1C"/>
    <w:rsid w:val="00D86025"/>
    <w:rsid w:val="00D86056"/>
    <w:rsid w:val="00D8608C"/>
    <w:rsid w:val="00D860F8"/>
    <w:rsid w:val="00D86165"/>
    <w:rsid w:val="00D86289"/>
    <w:rsid w:val="00D86583"/>
    <w:rsid w:val="00D866EB"/>
    <w:rsid w:val="00D86706"/>
    <w:rsid w:val="00D86792"/>
    <w:rsid w:val="00D867DB"/>
    <w:rsid w:val="00D8683E"/>
    <w:rsid w:val="00D86846"/>
    <w:rsid w:val="00D86858"/>
    <w:rsid w:val="00D86B65"/>
    <w:rsid w:val="00D86C1C"/>
    <w:rsid w:val="00D86D1C"/>
    <w:rsid w:val="00D86DC5"/>
    <w:rsid w:val="00D86DF9"/>
    <w:rsid w:val="00D86F03"/>
    <w:rsid w:val="00D86F1E"/>
    <w:rsid w:val="00D86FD0"/>
    <w:rsid w:val="00D8705E"/>
    <w:rsid w:val="00D87069"/>
    <w:rsid w:val="00D870D0"/>
    <w:rsid w:val="00D87242"/>
    <w:rsid w:val="00D872D7"/>
    <w:rsid w:val="00D873C2"/>
    <w:rsid w:val="00D87504"/>
    <w:rsid w:val="00D8750D"/>
    <w:rsid w:val="00D8751E"/>
    <w:rsid w:val="00D875D8"/>
    <w:rsid w:val="00D875FD"/>
    <w:rsid w:val="00D876B7"/>
    <w:rsid w:val="00D8781F"/>
    <w:rsid w:val="00D8783C"/>
    <w:rsid w:val="00D87BBF"/>
    <w:rsid w:val="00D87C47"/>
    <w:rsid w:val="00D87D17"/>
    <w:rsid w:val="00D87E9F"/>
    <w:rsid w:val="00D9017D"/>
    <w:rsid w:val="00D901DE"/>
    <w:rsid w:val="00D90214"/>
    <w:rsid w:val="00D9024E"/>
    <w:rsid w:val="00D90375"/>
    <w:rsid w:val="00D90498"/>
    <w:rsid w:val="00D90594"/>
    <w:rsid w:val="00D9059C"/>
    <w:rsid w:val="00D905D9"/>
    <w:rsid w:val="00D90682"/>
    <w:rsid w:val="00D9075D"/>
    <w:rsid w:val="00D907E6"/>
    <w:rsid w:val="00D907F2"/>
    <w:rsid w:val="00D9095A"/>
    <w:rsid w:val="00D90986"/>
    <w:rsid w:val="00D90A37"/>
    <w:rsid w:val="00D90D17"/>
    <w:rsid w:val="00D90DA5"/>
    <w:rsid w:val="00D90DD2"/>
    <w:rsid w:val="00D90E03"/>
    <w:rsid w:val="00D90E3B"/>
    <w:rsid w:val="00D90E5D"/>
    <w:rsid w:val="00D91028"/>
    <w:rsid w:val="00D91193"/>
    <w:rsid w:val="00D911AA"/>
    <w:rsid w:val="00D91242"/>
    <w:rsid w:val="00D9132F"/>
    <w:rsid w:val="00D913E4"/>
    <w:rsid w:val="00D91549"/>
    <w:rsid w:val="00D91552"/>
    <w:rsid w:val="00D91649"/>
    <w:rsid w:val="00D91743"/>
    <w:rsid w:val="00D917E6"/>
    <w:rsid w:val="00D91916"/>
    <w:rsid w:val="00D91B37"/>
    <w:rsid w:val="00D91B6F"/>
    <w:rsid w:val="00D91D97"/>
    <w:rsid w:val="00D91FA5"/>
    <w:rsid w:val="00D92071"/>
    <w:rsid w:val="00D921A1"/>
    <w:rsid w:val="00D923BB"/>
    <w:rsid w:val="00D92456"/>
    <w:rsid w:val="00D926BF"/>
    <w:rsid w:val="00D928B3"/>
    <w:rsid w:val="00D928FD"/>
    <w:rsid w:val="00D929AB"/>
    <w:rsid w:val="00D92A15"/>
    <w:rsid w:val="00D92B13"/>
    <w:rsid w:val="00D92BE5"/>
    <w:rsid w:val="00D92CD8"/>
    <w:rsid w:val="00D92E01"/>
    <w:rsid w:val="00D92E05"/>
    <w:rsid w:val="00D92E2D"/>
    <w:rsid w:val="00D93022"/>
    <w:rsid w:val="00D9304C"/>
    <w:rsid w:val="00D93117"/>
    <w:rsid w:val="00D93303"/>
    <w:rsid w:val="00D93421"/>
    <w:rsid w:val="00D93430"/>
    <w:rsid w:val="00D93452"/>
    <w:rsid w:val="00D934B5"/>
    <w:rsid w:val="00D934C2"/>
    <w:rsid w:val="00D934F9"/>
    <w:rsid w:val="00D9352E"/>
    <w:rsid w:val="00D935D3"/>
    <w:rsid w:val="00D935F1"/>
    <w:rsid w:val="00D9360A"/>
    <w:rsid w:val="00D9361A"/>
    <w:rsid w:val="00D93820"/>
    <w:rsid w:val="00D938B8"/>
    <w:rsid w:val="00D93BB8"/>
    <w:rsid w:val="00D93C1B"/>
    <w:rsid w:val="00D93F8F"/>
    <w:rsid w:val="00D94061"/>
    <w:rsid w:val="00D9411E"/>
    <w:rsid w:val="00D9419C"/>
    <w:rsid w:val="00D9426C"/>
    <w:rsid w:val="00D9433D"/>
    <w:rsid w:val="00D9442D"/>
    <w:rsid w:val="00D94454"/>
    <w:rsid w:val="00D9455B"/>
    <w:rsid w:val="00D94848"/>
    <w:rsid w:val="00D948F7"/>
    <w:rsid w:val="00D94A46"/>
    <w:rsid w:val="00D94B9E"/>
    <w:rsid w:val="00D94C4B"/>
    <w:rsid w:val="00D94E03"/>
    <w:rsid w:val="00D94E43"/>
    <w:rsid w:val="00D94F53"/>
    <w:rsid w:val="00D94FA6"/>
    <w:rsid w:val="00D94FE8"/>
    <w:rsid w:val="00D94FE9"/>
    <w:rsid w:val="00D95156"/>
    <w:rsid w:val="00D95162"/>
    <w:rsid w:val="00D95223"/>
    <w:rsid w:val="00D95326"/>
    <w:rsid w:val="00D954AA"/>
    <w:rsid w:val="00D95508"/>
    <w:rsid w:val="00D955D6"/>
    <w:rsid w:val="00D956C5"/>
    <w:rsid w:val="00D9578E"/>
    <w:rsid w:val="00D9579D"/>
    <w:rsid w:val="00D958AB"/>
    <w:rsid w:val="00D958F0"/>
    <w:rsid w:val="00D9596C"/>
    <w:rsid w:val="00D95A76"/>
    <w:rsid w:val="00D95A93"/>
    <w:rsid w:val="00D95AFB"/>
    <w:rsid w:val="00D95B7C"/>
    <w:rsid w:val="00D95B9D"/>
    <w:rsid w:val="00D95DCF"/>
    <w:rsid w:val="00D95E13"/>
    <w:rsid w:val="00D95FA8"/>
    <w:rsid w:val="00D9602C"/>
    <w:rsid w:val="00D96227"/>
    <w:rsid w:val="00D9623C"/>
    <w:rsid w:val="00D96267"/>
    <w:rsid w:val="00D9627D"/>
    <w:rsid w:val="00D9633A"/>
    <w:rsid w:val="00D96476"/>
    <w:rsid w:val="00D96698"/>
    <w:rsid w:val="00D968CF"/>
    <w:rsid w:val="00D96997"/>
    <w:rsid w:val="00D96A10"/>
    <w:rsid w:val="00D96B21"/>
    <w:rsid w:val="00D96B25"/>
    <w:rsid w:val="00D96B64"/>
    <w:rsid w:val="00D96BA4"/>
    <w:rsid w:val="00D96D88"/>
    <w:rsid w:val="00D96DBA"/>
    <w:rsid w:val="00D96DC6"/>
    <w:rsid w:val="00D96E79"/>
    <w:rsid w:val="00D96F44"/>
    <w:rsid w:val="00D96F47"/>
    <w:rsid w:val="00D96F4A"/>
    <w:rsid w:val="00D96F55"/>
    <w:rsid w:val="00D9703D"/>
    <w:rsid w:val="00D97089"/>
    <w:rsid w:val="00D970A9"/>
    <w:rsid w:val="00D970DD"/>
    <w:rsid w:val="00D97292"/>
    <w:rsid w:val="00D972CE"/>
    <w:rsid w:val="00D97433"/>
    <w:rsid w:val="00D97521"/>
    <w:rsid w:val="00D97747"/>
    <w:rsid w:val="00D97888"/>
    <w:rsid w:val="00D978E6"/>
    <w:rsid w:val="00D97A03"/>
    <w:rsid w:val="00D97AF5"/>
    <w:rsid w:val="00D97B11"/>
    <w:rsid w:val="00D97D8B"/>
    <w:rsid w:val="00D97DD2"/>
    <w:rsid w:val="00D97E3D"/>
    <w:rsid w:val="00D97F2E"/>
    <w:rsid w:val="00DA010E"/>
    <w:rsid w:val="00DA0160"/>
    <w:rsid w:val="00DA01AE"/>
    <w:rsid w:val="00DA0344"/>
    <w:rsid w:val="00DA0385"/>
    <w:rsid w:val="00DA044B"/>
    <w:rsid w:val="00DA0661"/>
    <w:rsid w:val="00DA06AE"/>
    <w:rsid w:val="00DA07D9"/>
    <w:rsid w:val="00DA082C"/>
    <w:rsid w:val="00DA0895"/>
    <w:rsid w:val="00DA0946"/>
    <w:rsid w:val="00DA09A5"/>
    <w:rsid w:val="00DA0A1D"/>
    <w:rsid w:val="00DA0A2D"/>
    <w:rsid w:val="00DA0AFC"/>
    <w:rsid w:val="00DA0BD4"/>
    <w:rsid w:val="00DA0C17"/>
    <w:rsid w:val="00DA0E18"/>
    <w:rsid w:val="00DA1010"/>
    <w:rsid w:val="00DA1095"/>
    <w:rsid w:val="00DA1103"/>
    <w:rsid w:val="00DA11BB"/>
    <w:rsid w:val="00DA11DC"/>
    <w:rsid w:val="00DA135F"/>
    <w:rsid w:val="00DA1399"/>
    <w:rsid w:val="00DA14E6"/>
    <w:rsid w:val="00DA1545"/>
    <w:rsid w:val="00DA1675"/>
    <w:rsid w:val="00DA16CE"/>
    <w:rsid w:val="00DA17E4"/>
    <w:rsid w:val="00DA181E"/>
    <w:rsid w:val="00DA1880"/>
    <w:rsid w:val="00DA18E2"/>
    <w:rsid w:val="00DA1925"/>
    <w:rsid w:val="00DA194B"/>
    <w:rsid w:val="00DA19CF"/>
    <w:rsid w:val="00DA19FD"/>
    <w:rsid w:val="00DA1A67"/>
    <w:rsid w:val="00DA1AA0"/>
    <w:rsid w:val="00DA1C0F"/>
    <w:rsid w:val="00DA1D3F"/>
    <w:rsid w:val="00DA1E21"/>
    <w:rsid w:val="00DA1EDC"/>
    <w:rsid w:val="00DA1F8F"/>
    <w:rsid w:val="00DA2031"/>
    <w:rsid w:val="00DA203A"/>
    <w:rsid w:val="00DA2233"/>
    <w:rsid w:val="00DA2320"/>
    <w:rsid w:val="00DA2836"/>
    <w:rsid w:val="00DA28CB"/>
    <w:rsid w:val="00DA2907"/>
    <w:rsid w:val="00DA2940"/>
    <w:rsid w:val="00DA29F3"/>
    <w:rsid w:val="00DA2BA9"/>
    <w:rsid w:val="00DA2BE0"/>
    <w:rsid w:val="00DA2D6E"/>
    <w:rsid w:val="00DA2DF5"/>
    <w:rsid w:val="00DA2DFF"/>
    <w:rsid w:val="00DA2E46"/>
    <w:rsid w:val="00DA2E54"/>
    <w:rsid w:val="00DA2EBF"/>
    <w:rsid w:val="00DA2FD4"/>
    <w:rsid w:val="00DA3076"/>
    <w:rsid w:val="00DA30AD"/>
    <w:rsid w:val="00DA31C3"/>
    <w:rsid w:val="00DA31EC"/>
    <w:rsid w:val="00DA3201"/>
    <w:rsid w:val="00DA3262"/>
    <w:rsid w:val="00DA3311"/>
    <w:rsid w:val="00DA3344"/>
    <w:rsid w:val="00DA3415"/>
    <w:rsid w:val="00DA3491"/>
    <w:rsid w:val="00DA3492"/>
    <w:rsid w:val="00DA3523"/>
    <w:rsid w:val="00DA3708"/>
    <w:rsid w:val="00DA37BB"/>
    <w:rsid w:val="00DA37C0"/>
    <w:rsid w:val="00DA3844"/>
    <w:rsid w:val="00DA3850"/>
    <w:rsid w:val="00DA388A"/>
    <w:rsid w:val="00DA391A"/>
    <w:rsid w:val="00DA3A28"/>
    <w:rsid w:val="00DA3BAE"/>
    <w:rsid w:val="00DA3BEE"/>
    <w:rsid w:val="00DA3C54"/>
    <w:rsid w:val="00DA3DB3"/>
    <w:rsid w:val="00DA3DCE"/>
    <w:rsid w:val="00DA3DF5"/>
    <w:rsid w:val="00DA3E1F"/>
    <w:rsid w:val="00DA3F04"/>
    <w:rsid w:val="00DA402C"/>
    <w:rsid w:val="00DA404E"/>
    <w:rsid w:val="00DA4241"/>
    <w:rsid w:val="00DA4255"/>
    <w:rsid w:val="00DA436F"/>
    <w:rsid w:val="00DA43F0"/>
    <w:rsid w:val="00DA443B"/>
    <w:rsid w:val="00DA4466"/>
    <w:rsid w:val="00DA4503"/>
    <w:rsid w:val="00DA4530"/>
    <w:rsid w:val="00DA47EB"/>
    <w:rsid w:val="00DA4875"/>
    <w:rsid w:val="00DA48AA"/>
    <w:rsid w:val="00DA48B1"/>
    <w:rsid w:val="00DA48E5"/>
    <w:rsid w:val="00DA4969"/>
    <w:rsid w:val="00DA4B01"/>
    <w:rsid w:val="00DA4E7F"/>
    <w:rsid w:val="00DA4F04"/>
    <w:rsid w:val="00DA4FE1"/>
    <w:rsid w:val="00DA5128"/>
    <w:rsid w:val="00DA5275"/>
    <w:rsid w:val="00DA5287"/>
    <w:rsid w:val="00DA52B3"/>
    <w:rsid w:val="00DA52C6"/>
    <w:rsid w:val="00DA541A"/>
    <w:rsid w:val="00DA54FC"/>
    <w:rsid w:val="00DA5574"/>
    <w:rsid w:val="00DA56AE"/>
    <w:rsid w:val="00DA5723"/>
    <w:rsid w:val="00DA5867"/>
    <w:rsid w:val="00DA5899"/>
    <w:rsid w:val="00DA590B"/>
    <w:rsid w:val="00DA59B9"/>
    <w:rsid w:val="00DA5AA1"/>
    <w:rsid w:val="00DA5B45"/>
    <w:rsid w:val="00DA5C6E"/>
    <w:rsid w:val="00DA5D69"/>
    <w:rsid w:val="00DA5D83"/>
    <w:rsid w:val="00DA5DC7"/>
    <w:rsid w:val="00DA5E36"/>
    <w:rsid w:val="00DA5E6E"/>
    <w:rsid w:val="00DA5ED1"/>
    <w:rsid w:val="00DA5F11"/>
    <w:rsid w:val="00DA61B1"/>
    <w:rsid w:val="00DA61B7"/>
    <w:rsid w:val="00DA62E2"/>
    <w:rsid w:val="00DA6336"/>
    <w:rsid w:val="00DA6344"/>
    <w:rsid w:val="00DA6473"/>
    <w:rsid w:val="00DA654D"/>
    <w:rsid w:val="00DA65E1"/>
    <w:rsid w:val="00DA668E"/>
    <w:rsid w:val="00DA66AE"/>
    <w:rsid w:val="00DA67A7"/>
    <w:rsid w:val="00DA67BA"/>
    <w:rsid w:val="00DA6924"/>
    <w:rsid w:val="00DA69E7"/>
    <w:rsid w:val="00DA6DEA"/>
    <w:rsid w:val="00DA6FEA"/>
    <w:rsid w:val="00DA6FF6"/>
    <w:rsid w:val="00DA702F"/>
    <w:rsid w:val="00DA7051"/>
    <w:rsid w:val="00DA724A"/>
    <w:rsid w:val="00DA750F"/>
    <w:rsid w:val="00DA7515"/>
    <w:rsid w:val="00DA7521"/>
    <w:rsid w:val="00DA76F0"/>
    <w:rsid w:val="00DA778F"/>
    <w:rsid w:val="00DA7946"/>
    <w:rsid w:val="00DA7963"/>
    <w:rsid w:val="00DA7A3A"/>
    <w:rsid w:val="00DA7A5F"/>
    <w:rsid w:val="00DA7A9D"/>
    <w:rsid w:val="00DA7AA5"/>
    <w:rsid w:val="00DA7B30"/>
    <w:rsid w:val="00DA7BD7"/>
    <w:rsid w:val="00DA7D9A"/>
    <w:rsid w:val="00DA7E05"/>
    <w:rsid w:val="00DA7E2D"/>
    <w:rsid w:val="00DA7E62"/>
    <w:rsid w:val="00DA7FEB"/>
    <w:rsid w:val="00DB0211"/>
    <w:rsid w:val="00DB0466"/>
    <w:rsid w:val="00DB05D1"/>
    <w:rsid w:val="00DB064D"/>
    <w:rsid w:val="00DB07DE"/>
    <w:rsid w:val="00DB0862"/>
    <w:rsid w:val="00DB095B"/>
    <w:rsid w:val="00DB098E"/>
    <w:rsid w:val="00DB09B3"/>
    <w:rsid w:val="00DB09F6"/>
    <w:rsid w:val="00DB0A82"/>
    <w:rsid w:val="00DB0AD7"/>
    <w:rsid w:val="00DB0B35"/>
    <w:rsid w:val="00DB0B87"/>
    <w:rsid w:val="00DB0BA4"/>
    <w:rsid w:val="00DB0BAC"/>
    <w:rsid w:val="00DB0D60"/>
    <w:rsid w:val="00DB0E15"/>
    <w:rsid w:val="00DB0F17"/>
    <w:rsid w:val="00DB0F3B"/>
    <w:rsid w:val="00DB0F95"/>
    <w:rsid w:val="00DB1098"/>
    <w:rsid w:val="00DB1158"/>
    <w:rsid w:val="00DB11E6"/>
    <w:rsid w:val="00DB12B7"/>
    <w:rsid w:val="00DB1310"/>
    <w:rsid w:val="00DB134B"/>
    <w:rsid w:val="00DB13E1"/>
    <w:rsid w:val="00DB1455"/>
    <w:rsid w:val="00DB1540"/>
    <w:rsid w:val="00DB15B7"/>
    <w:rsid w:val="00DB1644"/>
    <w:rsid w:val="00DB17E6"/>
    <w:rsid w:val="00DB17F1"/>
    <w:rsid w:val="00DB183A"/>
    <w:rsid w:val="00DB190D"/>
    <w:rsid w:val="00DB1A57"/>
    <w:rsid w:val="00DB1A6F"/>
    <w:rsid w:val="00DB1AC9"/>
    <w:rsid w:val="00DB1ADF"/>
    <w:rsid w:val="00DB1BD3"/>
    <w:rsid w:val="00DB1CDD"/>
    <w:rsid w:val="00DB1DA9"/>
    <w:rsid w:val="00DB1EB0"/>
    <w:rsid w:val="00DB1ECE"/>
    <w:rsid w:val="00DB1F84"/>
    <w:rsid w:val="00DB1FEC"/>
    <w:rsid w:val="00DB20E7"/>
    <w:rsid w:val="00DB20F8"/>
    <w:rsid w:val="00DB2178"/>
    <w:rsid w:val="00DB2183"/>
    <w:rsid w:val="00DB21C4"/>
    <w:rsid w:val="00DB23D8"/>
    <w:rsid w:val="00DB2461"/>
    <w:rsid w:val="00DB2471"/>
    <w:rsid w:val="00DB2891"/>
    <w:rsid w:val="00DB2899"/>
    <w:rsid w:val="00DB28B4"/>
    <w:rsid w:val="00DB29B0"/>
    <w:rsid w:val="00DB2AC0"/>
    <w:rsid w:val="00DB2CCD"/>
    <w:rsid w:val="00DB2D01"/>
    <w:rsid w:val="00DB2DD0"/>
    <w:rsid w:val="00DB2EEF"/>
    <w:rsid w:val="00DB2F2F"/>
    <w:rsid w:val="00DB2F69"/>
    <w:rsid w:val="00DB30DA"/>
    <w:rsid w:val="00DB31F8"/>
    <w:rsid w:val="00DB31FE"/>
    <w:rsid w:val="00DB328B"/>
    <w:rsid w:val="00DB3319"/>
    <w:rsid w:val="00DB357F"/>
    <w:rsid w:val="00DB360E"/>
    <w:rsid w:val="00DB3617"/>
    <w:rsid w:val="00DB364C"/>
    <w:rsid w:val="00DB378B"/>
    <w:rsid w:val="00DB3A5F"/>
    <w:rsid w:val="00DB3AB3"/>
    <w:rsid w:val="00DB3B61"/>
    <w:rsid w:val="00DB3BEE"/>
    <w:rsid w:val="00DB3C1B"/>
    <w:rsid w:val="00DB3CF6"/>
    <w:rsid w:val="00DB3CFE"/>
    <w:rsid w:val="00DB3DF0"/>
    <w:rsid w:val="00DB4040"/>
    <w:rsid w:val="00DB406D"/>
    <w:rsid w:val="00DB417D"/>
    <w:rsid w:val="00DB44D1"/>
    <w:rsid w:val="00DB4541"/>
    <w:rsid w:val="00DB46FE"/>
    <w:rsid w:val="00DB47FD"/>
    <w:rsid w:val="00DB480D"/>
    <w:rsid w:val="00DB491C"/>
    <w:rsid w:val="00DB4AFF"/>
    <w:rsid w:val="00DB4B19"/>
    <w:rsid w:val="00DB4B1E"/>
    <w:rsid w:val="00DB4B60"/>
    <w:rsid w:val="00DB4BB2"/>
    <w:rsid w:val="00DB4C11"/>
    <w:rsid w:val="00DB4D4D"/>
    <w:rsid w:val="00DB4D82"/>
    <w:rsid w:val="00DB4E2A"/>
    <w:rsid w:val="00DB4F88"/>
    <w:rsid w:val="00DB5188"/>
    <w:rsid w:val="00DB5275"/>
    <w:rsid w:val="00DB539C"/>
    <w:rsid w:val="00DB540F"/>
    <w:rsid w:val="00DB5473"/>
    <w:rsid w:val="00DB54DD"/>
    <w:rsid w:val="00DB5592"/>
    <w:rsid w:val="00DB5631"/>
    <w:rsid w:val="00DB5828"/>
    <w:rsid w:val="00DB5863"/>
    <w:rsid w:val="00DB5A1C"/>
    <w:rsid w:val="00DB5A7F"/>
    <w:rsid w:val="00DB5A87"/>
    <w:rsid w:val="00DB5AC1"/>
    <w:rsid w:val="00DB5AF5"/>
    <w:rsid w:val="00DB5B13"/>
    <w:rsid w:val="00DB5C6B"/>
    <w:rsid w:val="00DB5CE0"/>
    <w:rsid w:val="00DB5DBD"/>
    <w:rsid w:val="00DB5DFF"/>
    <w:rsid w:val="00DB5E59"/>
    <w:rsid w:val="00DB5EAB"/>
    <w:rsid w:val="00DB5F37"/>
    <w:rsid w:val="00DB5F39"/>
    <w:rsid w:val="00DB5FB7"/>
    <w:rsid w:val="00DB6288"/>
    <w:rsid w:val="00DB6314"/>
    <w:rsid w:val="00DB633E"/>
    <w:rsid w:val="00DB6377"/>
    <w:rsid w:val="00DB644E"/>
    <w:rsid w:val="00DB6518"/>
    <w:rsid w:val="00DB6577"/>
    <w:rsid w:val="00DB65FF"/>
    <w:rsid w:val="00DB6999"/>
    <w:rsid w:val="00DB69E4"/>
    <w:rsid w:val="00DB69F1"/>
    <w:rsid w:val="00DB6A50"/>
    <w:rsid w:val="00DB6C69"/>
    <w:rsid w:val="00DB6E4C"/>
    <w:rsid w:val="00DB6E68"/>
    <w:rsid w:val="00DB6EF5"/>
    <w:rsid w:val="00DB6F5A"/>
    <w:rsid w:val="00DB6FB2"/>
    <w:rsid w:val="00DB7065"/>
    <w:rsid w:val="00DB70C9"/>
    <w:rsid w:val="00DB7110"/>
    <w:rsid w:val="00DB7226"/>
    <w:rsid w:val="00DB7447"/>
    <w:rsid w:val="00DB7473"/>
    <w:rsid w:val="00DB74A3"/>
    <w:rsid w:val="00DB75C8"/>
    <w:rsid w:val="00DB75CA"/>
    <w:rsid w:val="00DB7711"/>
    <w:rsid w:val="00DB78D4"/>
    <w:rsid w:val="00DB7932"/>
    <w:rsid w:val="00DB7987"/>
    <w:rsid w:val="00DB7A77"/>
    <w:rsid w:val="00DB7B01"/>
    <w:rsid w:val="00DB7B39"/>
    <w:rsid w:val="00DB7BE0"/>
    <w:rsid w:val="00DB7D6A"/>
    <w:rsid w:val="00DB7D84"/>
    <w:rsid w:val="00DB7DC7"/>
    <w:rsid w:val="00DB7F10"/>
    <w:rsid w:val="00DB7FA5"/>
    <w:rsid w:val="00DB7FC3"/>
    <w:rsid w:val="00DC0106"/>
    <w:rsid w:val="00DC024A"/>
    <w:rsid w:val="00DC0365"/>
    <w:rsid w:val="00DC0485"/>
    <w:rsid w:val="00DC058F"/>
    <w:rsid w:val="00DC075F"/>
    <w:rsid w:val="00DC07C2"/>
    <w:rsid w:val="00DC07D3"/>
    <w:rsid w:val="00DC086E"/>
    <w:rsid w:val="00DC0959"/>
    <w:rsid w:val="00DC099D"/>
    <w:rsid w:val="00DC09B3"/>
    <w:rsid w:val="00DC09BF"/>
    <w:rsid w:val="00DC09E3"/>
    <w:rsid w:val="00DC0A01"/>
    <w:rsid w:val="00DC0B06"/>
    <w:rsid w:val="00DC0C10"/>
    <w:rsid w:val="00DC0E2C"/>
    <w:rsid w:val="00DC0E49"/>
    <w:rsid w:val="00DC0EBA"/>
    <w:rsid w:val="00DC1122"/>
    <w:rsid w:val="00DC146F"/>
    <w:rsid w:val="00DC1546"/>
    <w:rsid w:val="00DC156F"/>
    <w:rsid w:val="00DC1820"/>
    <w:rsid w:val="00DC1837"/>
    <w:rsid w:val="00DC18C9"/>
    <w:rsid w:val="00DC1A0D"/>
    <w:rsid w:val="00DC1A3D"/>
    <w:rsid w:val="00DC1B2B"/>
    <w:rsid w:val="00DC1BC2"/>
    <w:rsid w:val="00DC1CB7"/>
    <w:rsid w:val="00DC1E52"/>
    <w:rsid w:val="00DC20B6"/>
    <w:rsid w:val="00DC2126"/>
    <w:rsid w:val="00DC212F"/>
    <w:rsid w:val="00DC2130"/>
    <w:rsid w:val="00DC216C"/>
    <w:rsid w:val="00DC22B5"/>
    <w:rsid w:val="00DC232C"/>
    <w:rsid w:val="00DC237B"/>
    <w:rsid w:val="00DC23C4"/>
    <w:rsid w:val="00DC23D8"/>
    <w:rsid w:val="00DC241B"/>
    <w:rsid w:val="00DC25E1"/>
    <w:rsid w:val="00DC2640"/>
    <w:rsid w:val="00DC2681"/>
    <w:rsid w:val="00DC2718"/>
    <w:rsid w:val="00DC2727"/>
    <w:rsid w:val="00DC2939"/>
    <w:rsid w:val="00DC29A7"/>
    <w:rsid w:val="00DC2C19"/>
    <w:rsid w:val="00DC2CF0"/>
    <w:rsid w:val="00DC2D1D"/>
    <w:rsid w:val="00DC2D48"/>
    <w:rsid w:val="00DC2DC2"/>
    <w:rsid w:val="00DC2EF9"/>
    <w:rsid w:val="00DC2F19"/>
    <w:rsid w:val="00DC2FA0"/>
    <w:rsid w:val="00DC304E"/>
    <w:rsid w:val="00DC3076"/>
    <w:rsid w:val="00DC30BA"/>
    <w:rsid w:val="00DC310A"/>
    <w:rsid w:val="00DC3115"/>
    <w:rsid w:val="00DC3155"/>
    <w:rsid w:val="00DC31B4"/>
    <w:rsid w:val="00DC32BA"/>
    <w:rsid w:val="00DC32F9"/>
    <w:rsid w:val="00DC33E6"/>
    <w:rsid w:val="00DC35CC"/>
    <w:rsid w:val="00DC364E"/>
    <w:rsid w:val="00DC3720"/>
    <w:rsid w:val="00DC379A"/>
    <w:rsid w:val="00DC379C"/>
    <w:rsid w:val="00DC379D"/>
    <w:rsid w:val="00DC38B5"/>
    <w:rsid w:val="00DC393D"/>
    <w:rsid w:val="00DC3A71"/>
    <w:rsid w:val="00DC3AC0"/>
    <w:rsid w:val="00DC3C36"/>
    <w:rsid w:val="00DC3C49"/>
    <w:rsid w:val="00DC3D0A"/>
    <w:rsid w:val="00DC3EE9"/>
    <w:rsid w:val="00DC3F99"/>
    <w:rsid w:val="00DC40D5"/>
    <w:rsid w:val="00DC42A0"/>
    <w:rsid w:val="00DC4396"/>
    <w:rsid w:val="00DC43AB"/>
    <w:rsid w:val="00DC44B2"/>
    <w:rsid w:val="00DC4567"/>
    <w:rsid w:val="00DC460F"/>
    <w:rsid w:val="00DC461B"/>
    <w:rsid w:val="00DC4658"/>
    <w:rsid w:val="00DC4688"/>
    <w:rsid w:val="00DC4760"/>
    <w:rsid w:val="00DC4837"/>
    <w:rsid w:val="00DC4888"/>
    <w:rsid w:val="00DC48E9"/>
    <w:rsid w:val="00DC49AA"/>
    <w:rsid w:val="00DC4A1E"/>
    <w:rsid w:val="00DC4C28"/>
    <w:rsid w:val="00DC4D2B"/>
    <w:rsid w:val="00DC4D4D"/>
    <w:rsid w:val="00DC4EBA"/>
    <w:rsid w:val="00DC5029"/>
    <w:rsid w:val="00DC51ED"/>
    <w:rsid w:val="00DC522B"/>
    <w:rsid w:val="00DC52C0"/>
    <w:rsid w:val="00DC5375"/>
    <w:rsid w:val="00DC54EB"/>
    <w:rsid w:val="00DC5547"/>
    <w:rsid w:val="00DC5571"/>
    <w:rsid w:val="00DC5611"/>
    <w:rsid w:val="00DC564D"/>
    <w:rsid w:val="00DC5663"/>
    <w:rsid w:val="00DC56AC"/>
    <w:rsid w:val="00DC5721"/>
    <w:rsid w:val="00DC57BB"/>
    <w:rsid w:val="00DC586A"/>
    <w:rsid w:val="00DC5947"/>
    <w:rsid w:val="00DC598A"/>
    <w:rsid w:val="00DC598B"/>
    <w:rsid w:val="00DC5AD2"/>
    <w:rsid w:val="00DC5BC2"/>
    <w:rsid w:val="00DC5C66"/>
    <w:rsid w:val="00DC5D72"/>
    <w:rsid w:val="00DC5E04"/>
    <w:rsid w:val="00DC5F84"/>
    <w:rsid w:val="00DC5FAB"/>
    <w:rsid w:val="00DC606A"/>
    <w:rsid w:val="00DC60F2"/>
    <w:rsid w:val="00DC616B"/>
    <w:rsid w:val="00DC6250"/>
    <w:rsid w:val="00DC6426"/>
    <w:rsid w:val="00DC645D"/>
    <w:rsid w:val="00DC64E4"/>
    <w:rsid w:val="00DC65BD"/>
    <w:rsid w:val="00DC65D5"/>
    <w:rsid w:val="00DC6743"/>
    <w:rsid w:val="00DC6796"/>
    <w:rsid w:val="00DC68BD"/>
    <w:rsid w:val="00DC6913"/>
    <w:rsid w:val="00DC6A48"/>
    <w:rsid w:val="00DC6B5E"/>
    <w:rsid w:val="00DC6BC5"/>
    <w:rsid w:val="00DC6BD9"/>
    <w:rsid w:val="00DC6E4E"/>
    <w:rsid w:val="00DC6F13"/>
    <w:rsid w:val="00DC6FB7"/>
    <w:rsid w:val="00DC6FD6"/>
    <w:rsid w:val="00DC708B"/>
    <w:rsid w:val="00DC70A8"/>
    <w:rsid w:val="00DC70DB"/>
    <w:rsid w:val="00DC70ED"/>
    <w:rsid w:val="00DC7101"/>
    <w:rsid w:val="00DC713C"/>
    <w:rsid w:val="00DC715B"/>
    <w:rsid w:val="00DC722B"/>
    <w:rsid w:val="00DC7411"/>
    <w:rsid w:val="00DC752C"/>
    <w:rsid w:val="00DC75BB"/>
    <w:rsid w:val="00DC76F5"/>
    <w:rsid w:val="00DC778C"/>
    <w:rsid w:val="00DC77D2"/>
    <w:rsid w:val="00DC77F6"/>
    <w:rsid w:val="00DC7810"/>
    <w:rsid w:val="00DC78A3"/>
    <w:rsid w:val="00DC78A8"/>
    <w:rsid w:val="00DC78C3"/>
    <w:rsid w:val="00DC7901"/>
    <w:rsid w:val="00DC7D8A"/>
    <w:rsid w:val="00DC7E1E"/>
    <w:rsid w:val="00DC7E59"/>
    <w:rsid w:val="00DC7F8A"/>
    <w:rsid w:val="00DC7FC7"/>
    <w:rsid w:val="00DD00F7"/>
    <w:rsid w:val="00DD0104"/>
    <w:rsid w:val="00DD02A5"/>
    <w:rsid w:val="00DD02CD"/>
    <w:rsid w:val="00DD0341"/>
    <w:rsid w:val="00DD0511"/>
    <w:rsid w:val="00DD05E4"/>
    <w:rsid w:val="00DD05FA"/>
    <w:rsid w:val="00DD060F"/>
    <w:rsid w:val="00DD0736"/>
    <w:rsid w:val="00DD0780"/>
    <w:rsid w:val="00DD078F"/>
    <w:rsid w:val="00DD08A3"/>
    <w:rsid w:val="00DD0ADA"/>
    <w:rsid w:val="00DD0E10"/>
    <w:rsid w:val="00DD116F"/>
    <w:rsid w:val="00DD11F4"/>
    <w:rsid w:val="00DD12DD"/>
    <w:rsid w:val="00DD1356"/>
    <w:rsid w:val="00DD13BE"/>
    <w:rsid w:val="00DD1489"/>
    <w:rsid w:val="00DD14A0"/>
    <w:rsid w:val="00DD152F"/>
    <w:rsid w:val="00DD1789"/>
    <w:rsid w:val="00DD183F"/>
    <w:rsid w:val="00DD1921"/>
    <w:rsid w:val="00DD1AD8"/>
    <w:rsid w:val="00DD1B84"/>
    <w:rsid w:val="00DD1E63"/>
    <w:rsid w:val="00DD1EF8"/>
    <w:rsid w:val="00DD1F66"/>
    <w:rsid w:val="00DD1F7E"/>
    <w:rsid w:val="00DD1FDA"/>
    <w:rsid w:val="00DD1FE9"/>
    <w:rsid w:val="00DD202D"/>
    <w:rsid w:val="00DD20B1"/>
    <w:rsid w:val="00DD219A"/>
    <w:rsid w:val="00DD237F"/>
    <w:rsid w:val="00DD2477"/>
    <w:rsid w:val="00DD2536"/>
    <w:rsid w:val="00DD26BB"/>
    <w:rsid w:val="00DD26F3"/>
    <w:rsid w:val="00DD27E3"/>
    <w:rsid w:val="00DD27EB"/>
    <w:rsid w:val="00DD284E"/>
    <w:rsid w:val="00DD293D"/>
    <w:rsid w:val="00DD297E"/>
    <w:rsid w:val="00DD2982"/>
    <w:rsid w:val="00DD2A96"/>
    <w:rsid w:val="00DD2B4B"/>
    <w:rsid w:val="00DD2B5E"/>
    <w:rsid w:val="00DD2C12"/>
    <w:rsid w:val="00DD2D26"/>
    <w:rsid w:val="00DD2D2E"/>
    <w:rsid w:val="00DD2D4B"/>
    <w:rsid w:val="00DD2D9C"/>
    <w:rsid w:val="00DD2DC2"/>
    <w:rsid w:val="00DD2F65"/>
    <w:rsid w:val="00DD2F9C"/>
    <w:rsid w:val="00DD2FDB"/>
    <w:rsid w:val="00DD3178"/>
    <w:rsid w:val="00DD3250"/>
    <w:rsid w:val="00DD32A7"/>
    <w:rsid w:val="00DD32C0"/>
    <w:rsid w:val="00DD3350"/>
    <w:rsid w:val="00DD3355"/>
    <w:rsid w:val="00DD33E2"/>
    <w:rsid w:val="00DD34F0"/>
    <w:rsid w:val="00DD352F"/>
    <w:rsid w:val="00DD3553"/>
    <w:rsid w:val="00DD3593"/>
    <w:rsid w:val="00DD35C6"/>
    <w:rsid w:val="00DD3643"/>
    <w:rsid w:val="00DD37EA"/>
    <w:rsid w:val="00DD37F2"/>
    <w:rsid w:val="00DD3863"/>
    <w:rsid w:val="00DD38CF"/>
    <w:rsid w:val="00DD3B66"/>
    <w:rsid w:val="00DD3C04"/>
    <w:rsid w:val="00DD3C0B"/>
    <w:rsid w:val="00DD3E57"/>
    <w:rsid w:val="00DD3E69"/>
    <w:rsid w:val="00DD3EED"/>
    <w:rsid w:val="00DD4130"/>
    <w:rsid w:val="00DD4148"/>
    <w:rsid w:val="00DD4190"/>
    <w:rsid w:val="00DD4215"/>
    <w:rsid w:val="00DD4299"/>
    <w:rsid w:val="00DD4370"/>
    <w:rsid w:val="00DD4383"/>
    <w:rsid w:val="00DD44E1"/>
    <w:rsid w:val="00DD44ED"/>
    <w:rsid w:val="00DD450E"/>
    <w:rsid w:val="00DD4527"/>
    <w:rsid w:val="00DD462B"/>
    <w:rsid w:val="00DD4713"/>
    <w:rsid w:val="00DD4748"/>
    <w:rsid w:val="00DD491D"/>
    <w:rsid w:val="00DD4B28"/>
    <w:rsid w:val="00DD4B7D"/>
    <w:rsid w:val="00DD4B87"/>
    <w:rsid w:val="00DD4BC3"/>
    <w:rsid w:val="00DD4BED"/>
    <w:rsid w:val="00DD4C4C"/>
    <w:rsid w:val="00DD4D60"/>
    <w:rsid w:val="00DD4D6A"/>
    <w:rsid w:val="00DD4EB4"/>
    <w:rsid w:val="00DD4F38"/>
    <w:rsid w:val="00DD512A"/>
    <w:rsid w:val="00DD51E3"/>
    <w:rsid w:val="00DD51F1"/>
    <w:rsid w:val="00DD51F4"/>
    <w:rsid w:val="00DD53E1"/>
    <w:rsid w:val="00DD542B"/>
    <w:rsid w:val="00DD5551"/>
    <w:rsid w:val="00DD55B7"/>
    <w:rsid w:val="00DD576C"/>
    <w:rsid w:val="00DD577C"/>
    <w:rsid w:val="00DD59B1"/>
    <w:rsid w:val="00DD5AB7"/>
    <w:rsid w:val="00DD5AF5"/>
    <w:rsid w:val="00DD5B3D"/>
    <w:rsid w:val="00DD5BA5"/>
    <w:rsid w:val="00DD5D32"/>
    <w:rsid w:val="00DD5D3D"/>
    <w:rsid w:val="00DD5D53"/>
    <w:rsid w:val="00DD5DD4"/>
    <w:rsid w:val="00DD5F4D"/>
    <w:rsid w:val="00DD601C"/>
    <w:rsid w:val="00DD602F"/>
    <w:rsid w:val="00DD6049"/>
    <w:rsid w:val="00DD604C"/>
    <w:rsid w:val="00DD613F"/>
    <w:rsid w:val="00DD623E"/>
    <w:rsid w:val="00DD624B"/>
    <w:rsid w:val="00DD6282"/>
    <w:rsid w:val="00DD6359"/>
    <w:rsid w:val="00DD638F"/>
    <w:rsid w:val="00DD6443"/>
    <w:rsid w:val="00DD6538"/>
    <w:rsid w:val="00DD6557"/>
    <w:rsid w:val="00DD659E"/>
    <w:rsid w:val="00DD6610"/>
    <w:rsid w:val="00DD6641"/>
    <w:rsid w:val="00DD668B"/>
    <w:rsid w:val="00DD66CC"/>
    <w:rsid w:val="00DD6824"/>
    <w:rsid w:val="00DD6829"/>
    <w:rsid w:val="00DD6830"/>
    <w:rsid w:val="00DD686F"/>
    <w:rsid w:val="00DD68A8"/>
    <w:rsid w:val="00DD68E9"/>
    <w:rsid w:val="00DD6A41"/>
    <w:rsid w:val="00DD6A81"/>
    <w:rsid w:val="00DD6BF6"/>
    <w:rsid w:val="00DD6D91"/>
    <w:rsid w:val="00DD6E08"/>
    <w:rsid w:val="00DD6E26"/>
    <w:rsid w:val="00DD6F8E"/>
    <w:rsid w:val="00DD6F95"/>
    <w:rsid w:val="00DD6FFF"/>
    <w:rsid w:val="00DD7073"/>
    <w:rsid w:val="00DD709C"/>
    <w:rsid w:val="00DD71D0"/>
    <w:rsid w:val="00DD720F"/>
    <w:rsid w:val="00DD7219"/>
    <w:rsid w:val="00DD7249"/>
    <w:rsid w:val="00DD72A4"/>
    <w:rsid w:val="00DD72C0"/>
    <w:rsid w:val="00DD72E1"/>
    <w:rsid w:val="00DD7416"/>
    <w:rsid w:val="00DD7422"/>
    <w:rsid w:val="00DD744D"/>
    <w:rsid w:val="00DD751E"/>
    <w:rsid w:val="00DD757D"/>
    <w:rsid w:val="00DD7640"/>
    <w:rsid w:val="00DD76F4"/>
    <w:rsid w:val="00DD77F2"/>
    <w:rsid w:val="00DD786F"/>
    <w:rsid w:val="00DD78E1"/>
    <w:rsid w:val="00DD79A9"/>
    <w:rsid w:val="00DD79E9"/>
    <w:rsid w:val="00DD7B13"/>
    <w:rsid w:val="00DD7BD5"/>
    <w:rsid w:val="00DD7C0E"/>
    <w:rsid w:val="00DD7C5D"/>
    <w:rsid w:val="00DD7E0E"/>
    <w:rsid w:val="00DD7E9B"/>
    <w:rsid w:val="00DE018B"/>
    <w:rsid w:val="00DE020B"/>
    <w:rsid w:val="00DE0231"/>
    <w:rsid w:val="00DE028C"/>
    <w:rsid w:val="00DE02D4"/>
    <w:rsid w:val="00DE034A"/>
    <w:rsid w:val="00DE062E"/>
    <w:rsid w:val="00DE078F"/>
    <w:rsid w:val="00DE0797"/>
    <w:rsid w:val="00DE082C"/>
    <w:rsid w:val="00DE0A80"/>
    <w:rsid w:val="00DE0AF1"/>
    <w:rsid w:val="00DE0C42"/>
    <w:rsid w:val="00DE0F0D"/>
    <w:rsid w:val="00DE0F6E"/>
    <w:rsid w:val="00DE110F"/>
    <w:rsid w:val="00DE124B"/>
    <w:rsid w:val="00DE124E"/>
    <w:rsid w:val="00DE1262"/>
    <w:rsid w:val="00DE1390"/>
    <w:rsid w:val="00DE140A"/>
    <w:rsid w:val="00DE15C7"/>
    <w:rsid w:val="00DE16D1"/>
    <w:rsid w:val="00DE1725"/>
    <w:rsid w:val="00DE1885"/>
    <w:rsid w:val="00DE1AF9"/>
    <w:rsid w:val="00DE1BE1"/>
    <w:rsid w:val="00DE1C73"/>
    <w:rsid w:val="00DE1D41"/>
    <w:rsid w:val="00DE1E0C"/>
    <w:rsid w:val="00DE1E49"/>
    <w:rsid w:val="00DE1E4B"/>
    <w:rsid w:val="00DE1F90"/>
    <w:rsid w:val="00DE1FDE"/>
    <w:rsid w:val="00DE203C"/>
    <w:rsid w:val="00DE2081"/>
    <w:rsid w:val="00DE22A0"/>
    <w:rsid w:val="00DE24D2"/>
    <w:rsid w:val="00DE24E9"/>
    <w:rsid w:val="00DE2545"/>
    <w:rsid w:val="00DE257A"/>
    <w:rsid w:val="00DE262E"/>
    <w:rsid w:val="00DE2742"/>
    <w:rsid w:val="00DE27B3"/>
    <w:rsid w:val="00DE2818"/>
    <w:rsid w:val="00DE28EF"/>
    <w:rsid w:val="00DE299A"/>
    <w:rsid w:val="00DE29F6"/>
    <w:rsid w:val="00DE2A4C"/>
    <w:rsid w:val="00DE2A52"/>
    <w:rsid w:val="00DE2A7D"/>
    <w:rsid w:val="00DE2A7F"/>
    <w:rsid w:val="00DE2C4D"/>
    <w:rsid w:val="00DE2CA0"/>
    <w:rsid w:val="00DE2DCB"/>
    <w:rsid w:val="00DE2DFF"/>
    <w:rsid w:val="00DE2EDA"/>
    <w:rsid w:val="00DE2F1D"/>
    <w:rsid w:val="00DE2FBC"/>
    <w:rsid w:val="00DE3193"/>
    <w:rsid w:val="00DE3194"/>
    <w:rsid w:val="00DE32FD"/>
    <w:rsid w:val="00DE337E"/>
    <w:rsid w:val="00DE33F9"/>
    <w:rsid w:val="00DE3441"/>
    <w:rsid w:val="00DE349D"/>
    <w:rsid w:val="00DE34A4"/>
    <w:rsid w:val="00DE37DE"/>
    <w:rsid w:val="00DE3848"/>
    <w:rsid w:val="00DE388E"/>
    <w:rsid w:val="00DE38AD"/>
    <w:rsid w:val="00DE38D1"/>
    <w:rsid w:val="00DE3966"/>
    <w:rsid w:val="00DE3A46"/>
    <w:rsid w:val="00DE3DE1"/>
    <w:rsid w:val="00DE408C"/>
    <w:rsid w:val="00DE40C0"/>
    <w:rsid w:val="00DE41AC"/>
    <w:rsid w:val="00DE41EC"/>
    <w:rsid w:val="00DE4239"/>
    <w:rsid w:val="00DE424D"/>
    <w:rsid w:val="00DE42BD"/>
    <w:rsid w:val="00DE4325"/>
    <w:rsid w:val="00DE4492"/>
    <w:rsid w:val="00DE44B6"/>
    <w:rsid w:val="00DE4739"/>
    <w:rsid w:val="00DE483E"/>
    <w:rsid w:val="00DE4AB3"/>
    <w:rsid w:val="00DE4C59"/>
    <w:rsid w:val="00DE4EB4"/>
    <w:rsid w:val="00DE4FD8"/>
    <w:rsid w:val="00DE506C"/>
    <w:rsid w:val="00DE50AC"/>
    <w:rsid w:val="00DE50AF"/>
    <w:rsid w:val="00DE50BA"/>
    <w:rsid w:val="00DE51E8"/>
    <w:rsid w:val="00DE5347"/>
    <w:rsid w:val="00DE5355"/>
    <w:rsid w:val="00DE53AD"/>
    <w:rsid w:val="00DE5418"/>
    <w:rsid w:val="00DE55DB"/>
    <w:rsid w:val="00DE55F0"/>
    <w:rsid w:val="00DE5878"/>
    <w:rsid w:val="00DE58A4"/>
    <w:rsid w:val="00DE5945"/>
    <w:rsid w:val="00DE5A89"/>
    <w:rsid w:val="00DE5C7E"/>
    <w:rsid w:val="00DE5CB5"/>
    <w:rsid w:val="00DE5E25"/>
    <w:rsid w:val="00DE5ECD"/>
    <w:rsid w:val="00DE5F00"/>
    <w:rsid w:val="00DE5F82"/>
    <w:rsid w:val="00DE6058"/>
    <w:rsid w:val="00DE6248"/>
    <w:rsid w:val="00DE643C"/>
    <w:rsid w:val="00DE64BF"/>
    <w:rsid w:val="00DE658D"/>
    <w:rsid w:val="00DE674A"/>
    <w:rsid w:val="00DE67DD"/>
    <w:rsid w:val="00DE67E3"/>
    <w:rsid w:val="00DE67FC"/>
    <w:rsid w:val="00DE6822"/>
    <w:rsid w:val="00DE697F"/>
    <w:rsid w:val="00DE69DC"/>
    <w:rsid w:val="00DE6A4F"/>
    <w:rsid w:val="00DE6AB3"/>
    <w:rsid w:val="00DE6BD6"/>
    <w:rsid w:val="00DE6C9B"/>
    <w:rsid w:val="00DE6E4B"/>
    <w:rsid w:val="00DE6E8C"/>
    <w:rsid w:val="00DE6EE8"/>
    <w:rsid w:val="00DE6FDA"/>
    <w:rsid w:val="00DE70C5"/>
    <w:rsid w:val="00DE7178"/>
    <w:rsid w:val="00DE7186"/>
    <w:rsid w:val="00DE72EE"/>
    <w:rsid w:val="00DE761C"/>
    <w:rsid w:val="00DE7892"/>
    <w:rsid w:val="00DE78E1"/>
    <w:rsid w:val="00DE7974"/>
    <w:rsid w:val="00DE7A1C"/>
    <w:rsid w:val="00DE7AFB"/>
    <w:rsid w:val="00DE7B02"/>
    <w:rsid w:val="00DE7B9C"/>
    <w:rsid w:val="00DE7BAC"/>
    <w:rsid w:val="00DE7CB1"/>
    <w:rsid w:val="00DE7CDF"/>
    <w:rsid w:val="00DE7D52"/>
    <w:rsid w:val="00DE7D9F"/>
    <w:rsid w:val="00DE7E49"/>
    <w:rsid w:val="00DE7ED4"/>
    <w:rsid w:val="00DE7EEA"/>
    <w:rsid w:val="00DE7F33"/>
    <w:rsid w:val="00DE7F76"/>
    <w:rsid w:val="00DF005F"/>
    <w:rsid w:val="00DF025C"/>
    <w:rsid w:val="00DF044B"/>
    <w:rsid w:val="00DF06D6"/>
    <w:rsid w:val="00DF073F"/>
    <w:rsid w:val="00DF0866"/>
    <w:rsid w:val="00DF0867"/>
    <w:rsid w:val="00DF0870"/>
    <w:rsid w:val="00DF08C4"/>
    <w:rsid w:val="00DF093D"/>
    <w:rsid w:val="00DF094B"/>
    <w:rsid w:val="00DF09D8"/>
    <w:rsid w:val="00DF0A9D"/>
    <w:rsid w:val="00DF0B14"/>
    <w:rsid w:val="00DF0B7A"/>
    <w:rsid w:val="00DF0B86"/>
    <w:rsid w:val="00DF0BE3"/>
    <w:rsid w:val="00DF0BF1"/>
    <w:rsid w:val="00DF0CF7"/>
    <w:rsid w:val="00DF0D6C"/>
    <w:rsid w:val="00DF0EA3"/>
    <w:rsid w:val="00DF0F71"/>
    <w:rsid w:val="00DF10DD"/>
    <w:rsid w:val="00DF1140"/>
    <w:rsid w:val="00DF1174"/>
    <w:rsid w:val="00DF11EC"/>
    <w:rsid w:val="00DF1247"/>
    <w:rsid w:val="00DF12C2"/>
    <w:rsid w:val="00DF13D2"/>
    <w:rsid w:val="00DF143E"/>
    <w:rsid w:val="00DF144A"/>
    <w:rsid w:val="00DF155E"/>
    <w:rsid w:val="00DF1569"/>
    <w:rsid w:val="00DF16F5"/>
    <w:rsid w:val="00DF172A"/>
    <w:rsid w:val="00DF1879"/>
    <w:rsid w:val="00DF188F"/>
    <w:rsid w:val="00DF18D2"/>
    <w:rsid w:val="00DF1984"/>
    <w:rsid w:val="00DF19EE"/>
    <w:rsid w:val="00DF1A3C"/>
    <w:rsid w:val="00DF1A70"/>
    <w:rsid w:val="00DF1B50"/>
    <w:rsid w:val="00DF1BBF"/>
    <w:rsid w:val="00DF1C05"/>
    <w:rsid w:val="00DF1C84"/>
    <w:rsid w:val="00DF1D05"/>
    <w:rsid w:val="00DF1D48"/>
    <w:rsid w:val="00DF1DCC"/>
    <w:rsid w:val="00DF1FDF"/>
    <w:rsid w:val="00DF21CC"/>
    <w:rsid w:val="00DF2353"/>
    <w:rsid w:val="00DF2439"/>
    <w:rsid w:val="00DF2701"/>
    <w:rsid w:val="00DF272B"/>
    <w:rsid w:val="00DF28A1"/>
    <w:rsid w:val="00DF290B"/>
    <w:rsid w:val="00DF2A49"/>
    <w:rsid w:val="00DF2D01"/>
    <w:rsid w:val="00DF2D7C"/>
    <w:rsid w:val="00DF2EEE"/>
    <w:rsid w:val="00DF2EFB"/>
    <w:rsid w:val="00DF3021"/>
    <w:rsid w:val="00DF3064"/>
    <w:rsid w:val="00DF30A5"/>
    <w:rsid w:val="00DF3160"/>
    <w:rsid w:val="00DF31B4"/>
    <w:rsid w:val="00DF31CE"/>
    <w:rsid w:val="00DF31F0"/>
    <w:rsid w:val="00DF3311"/>
    <w:rsid w:val="00DF3456"/>
    <w:rsid w:val="00DF34B0"/>
    <w:rsid w:val="00DF3533"/>
    <w:rsid w:val="00DF3683"/>
    <w:rsid w:val="00DF36E0"/>
    <w:rsid w:val="00DF370A"/>
    <w:rsid w:val="00DF3791"/>
    <w:rsid w:val="00DF37AC"/>
    <w:rsid w:val="00DF37AD"/>
    <w:rsid w:val="00DF3875"/>
    <w:rsid w:val="00DF399D"/>
    <w:rsid w:val="00DF39BC"/>
    <w:rsid w:val="00DF3B9B"/>
    <w:rsid w:val="00DF3CDC"/>
    <w:rsid w:val="00DF3E51"/>
    <w:rsid w:val="00DF3F28"/>
    <w:rsid w:val="00DF3F89"/>
    <w:rsid w:val="00DF3FD4"/>
    <w:rsid w:val="00DF41BA"/>
    <w:rsid w:val="00DF42D1"/>
    <w:rsid w:val="00DF42D2"/>
    <w:rsid w:val="00DF432E"/>
    <w:rsid w:val="00DF4353"/>
    <w:rsid w:val="00DF43DD"/>
    <w:rsid w:val="00DF4683"/>
    <w:rsid w:val="00DF46FB"/>
    <w:rsid w:val="00DF4757"/>
    <w:rsid w:val="00DF477B"/>
    <w:rsid w:val="00DF47AB"/>
    <w:rsid w:val="00DF49CF"/>
    <w:rsid w:val="00DF4A2F"/>
    <w:rsid w:val="00DF4BCA"/>
    <w:rsid w:val="00DF4BE0"/>
    <w:rsid w:val="00DF4D40"/>
    <w:rsid w:val="00DF4DDD"/>
    <w:rsid w:val="00DF4EB7"/>
    <w:rsid w:val="00DF4EF3"/>
    <w:rsid w:val="00DF4F97"/>
    <w:rsid w:val="00DF51D0"/>
    <w:rsid w:val="00DF53A4"/>
    <w:rsid w:val="00DF5482"/>
    <w:rsid w:val="00DF5591"/>
    <w:rsid w:val="00DF5651"/>
    <w:rsid w:val="00DF56C6"/>
    <w:rsid w:val="00DF56DC"/>
    <w:rsid w:val="00DF580E"/>
    <w:rsid w:val="00DF589C"/>
    <w:rsid w:val="00DF595C"/>
    <w:rsid w:val="00DF59D4"/>
    <w:rsid w:val="00DF5B04"/>
    <w:rsid w:val="00DF5B27"/>
    <w:rsid w:val="00DF5C8B"/>
    <w:rsid w:val="00DF5C98"/>
    <w:rsid w:val="00DF5D30"/>
    <w:rsid w:val="00DF5E13"/>
    <w:rsid w:val="00DF5E65"/>
    <w:rsid w:val="00DF5E69"/>
    <w:rsid w:val="00DF5E78"/>
    <w:rsid w:val="00DF606C"/>
    <w:rsid w:val="00DF61C1"/>
    <w:rsid w:val="00DF61CC"/>
    <w:rsid w:val="00DF61E8"/>
    <w:rsid w:val="00DF62CB"/>
    <w:rsid w:val="00DF6474"/>
    <w:rsid w:val="00DF64D1"/>
    <w:rsid w:val="00DF6529"/>
    <w:rsid w:val="00DF6535"/>
    <w:rsid w:val="00DF6574"/>
    <w:rsid w:val="00DF65BA"/>
    <w:rsid w:val="00DF666C"/>
    <w:rsid w:val="00DF6712"/>
    <w:rsid w:val="00DF6821"/>
    <w:rsid w:val="00DF68F3"/>
    <w:rsid w:val="00DF6A6D"/>
    <w:rsid w:val="00DF6AB9"/>
    <w:rsid w:val="00DF6B61"/>
    <w:rsid w:val="00DF6BCD"/>
    <w:rsid w:val="00DF6D2A"/>
    <w:rsid w:val="00DF6DB0"/>
    <w:rsid w:val="00DF6DDC"/>
    <w:rsid w:val="00DF6E1D"/>
    <w:rsid w:val="00DF7029"/>
    <w:rsid w:val="00DF7035"/>
    <w:rsid w:val="00DF7043"/>
    <w:rsid w:val="00DF71B1"/>
    <w:rsid w:val="00DF733F"/>
    <w:rsid w:val="00DF7354"/>
    <w:rsid w:val="00DF73E4"/>
    <w:rsid w:val="00DF7450"/>
    <w:rsid w:val="00DF75AE"/>
    <w:rsid w:val="00DF769B"/>
    <w:rsid w:val="00DF7759"/>
    <w:rsid w:val="00DF77A5"/>
    <w:rsid w:val="00DF77FC"/>
    <w:rsid w:val="00DF78BB"/>
    <w:rsid w:val="00DF78C7"/>
    <w:rsid w:val="00DF78FE"/>
    <w:rsid w:val="00DF79DD"/>
    <w:rsid w:val="00DF79E9"/>
    <w:rsid w:val="00DF7A4C"/>
    <w:rsid w:val="00DF7BA5"/>
    <w:rsid w:val="00DF7C85"/>
    <w:rsid w:val="00DF7D47"/>
    <w:rsid w:val="00DF7D5D"/>
    <w:rsid w:val="00DF7E73"/>
    <w:rsid w:val="00DF7EF7"/>
    <w:rsid w:val="00E0009E"/>
    <w:rsid w:val="00E001F3"/>
    <w:rsid w:val="00E0022B"/>
    <w:rsid w:val="00E002F9"/>
    <w:rsid w:val="00E004F8"/>
    <w:rsid w:val="00E00595"/>
    <w:rsid w:val="00E005E9"/>
    <w:rsid w:val="00E0061F"/>
    <w:rsid w:val="00E0064A"/>
    <w:rsid w:val="00E0064C"/>
    <w:rsid w:val="00E0068E"/>
    <w:rsid w:val="00E006C3"/>
    <w:rsid w:val="00E007B6"/>
    <w:rsid w:val="00E0080F"/>
    <w:rsid w:val="00E008CD"/>
    <w:rsid w:val="00E0093C"/>
    <w:rsid w:val="00E009E2"/>
    <w:rsid w:val="00E00A76"/>
    <w:rsid w:val="00E00BF6"/>
    <w:rsid w:val="00E00CA3"/>
    <w:rsid w:val="00E00E08"/>
    <w:rsid w:val="00E00E55"/>
    <w:rsid w:val="00E00E66"/>
    <w:rsid w:val="00E0107E"/>
    <w:rsid w:val="00E010B7"/>
    <w:rsid w:val="00E0129E"/>
    <w:rsid w:val="00E01355"/>
    <w:rsid w:val="00E0136D"/>
    <w:rsid w:val="00E01409"/>
    <w:rsid w:val="00E01485"/>
    <w:rsid w:val="00E0158C"/>
    <w:rsid w:val="00E015B4"/>
    <w:rsid w:val="00E015F8"/>
    <w:rsid w:val="00E01603"/>
    <w:rsid w:val="00E017D8"/>
    <w:rsid w:val="00E019C5"/>
    <w:rsid w:val="00E01AF3"/>
    <w:rsid w:val="00E01BD9"/>
    <w:rsid w:val="00E01D27"/>
    <w:rsid w:val="00E01DD0"/>
    <w:rsid w:val="00E01DD3"/>
    <w:rsid w:val="00E01E46"/>
    <w:rsid w:val="00E01E75"/>
    <w:rsid w:val="00E01EAC"/>
    <w:rsid w:val="00E01F08"/>
    <w:rsid w:val="00E022DC"/>
    <w:rsid w:val="00E0235F"/>
    <w:rsid w:val="00E0238A"/>
    <w:rsid w:val="00E02423"/>
    <w:rsid w:val="00E024DB"/>
    <w:rsid w:val="00E024FC"/>
    <w:rsid w:val="00E02503"/>
    <w:rsid w:val="00E02535"/>
    <w:rsid w:val="00E0273F"/>
    <w:rsid w:val="00E02751"/>
    <w:rsid w:val="00E02959"/>
    <w:rsid w:val="00E029B7"/>
    <w:rsid w:val="00E02C99"/>
    <w:rsid w:val="00E02CA8"/>
    <w:rsid w:val="00E02D07"/>
    <w:rsid w:val="00E02DB5"/>
    <w:rsid w:val="00E02DDE"/>
    <w:rsid w:val="00E02F8C"/>
    <w:rsid w:val="00E03074"/>
    <w:rsid w:val="00E03136"/>
    <w:rsid w:val="00E03225"/>
    <w:rsid w:val="00E03336"/>
    <w:rsid w:val="00E03392"/>
    <w:rsid w:val="00E03445"/>
    <w:rsid w:val="00E037F2"/>
    <w:rsid w:val="00E03AF4"/>
    <w:rsid w:val="00E03B72"/>
    <w:rsid w:val="00E03CEB"/>
    <w:rsid w:val="00E03DD3"/>
    <w:rsid w:val="00E03DE1"/>
    <w:rsid w:val="00E03E45"/>
    <w:rsid w:val="00E03F4E"/>
    <w:rsid w:val="00E03F8D"/>
    <w:rsid w:val="00E04134"/>
    <w:rsid w:val="00E042CD"/>
    <w:rsid w:val="00E04563"/>
    <w:rsid w:val="00E04615"/>
    <w:rsid w:val="00E046B1"/>
    <w:rsid w:val="00E0477B"/>
    <w:rsid w:val="00E047D4"/>
    <w:rsid w:val="00E04938"/>
    <w:rsid w:val="00E04BD0"/>
    <w:rsid w:val="00E04BF9"/>
    <w:rsid w:val="00E04D07"/>
    <w:rsid w:val="00E04D56"/>
    <w:rsid w:val="00E04DF1"/>
    <w:rsid w:val="00E0507B"/>
    <w:rsid w:val="00E050F6"/>
    <w:rsid w:val="00E053E0"/>
    <w:rsid w:val="00E05454"/>
    <w:rsid w:val="00E05763"/>
    <w:rsid w:val="00E057A7"/>
    <w:rsid w:val="00E057A9"/>
    <w:rsid w:val="00E05896"/>
    <w:rsid w:val="00E058CF"/>
    <w:rsid w:val="00E058D9"/>
    <w:rsid w:val="00E05A51"/>
    <w:rsid w:val="00E05B5B"/>
    <w:rsid w:val="00E05C0C"/>
    <w:rsid w:val="00E05C5D"/>
    <w:rsid w:val="00E05CA4"/>
    <w:rsid w:val="00E05D37"/>
    <w:rsid w:val="00E05DF6"/>
    <w:rsid w:val="00E05E62"/>
    <w:rsid w:val="00E05EB4"/>
    <w:rsid w:val="00E05F42"/>
    <w:rsid w:val="00E061D8"/>
    <w:rsid w:val="00E06275"/>
    <w:rsid w:val="00E062A7"/>
    <w:rsid w:val="00E06393"/>
    <w:rsid w:val="00E06700"/>
    <w:rsid w:val="00E067AE"/>
    <w:rsid w:val="00E068B5"/>
    <w:rsid w:val="00E068B7"/>
    <w:rsid w:val="00E06940"/>
    <w:rsid w:val="00E069A7"/>
    <w:rsid w:val="00E06D30"/>
    <w:rsid w:val="00E06E0B"/>
    <w:rsid w:val="00E06E22"/>
    <w:rsid w:val="00E06F82"/>
    <w:rsid w:val="00E0709A"/>
    <w:rsid w:val="00E070CB"/>
    <w:rsid w:val="00E07188"/>
    <w:rsid w:val="00E0721F"/>
    <w:rsid w:val="00E0732B"/>
    <w:rsid w:val="00E07337"/>
    <w:rsid w:val="00E07389"/>
    <w:rsid w:val="00E073DC"/>
    <w:rsid w:val="00E0749E"/>
    <w:rsid w:val="00E075B1"/>
    <w:rsid w:val="00E076EE"/>
    <w:rsid w:val="00E07730"/>
    <w:rsid w:val="00E077A5"/>
    <w:rsid w:val="00E07800"/>
    <w:rsid w:val="00E07919"/>
    <w:rsid w:val="00E07A90"/>
    <w:rsid w:val="00E07C82"/>
    <w:rsid w:val="00E07F68"/>
    <w:rsid w:val="00E07F9E"/>
    <w:rsid w:val="00E07FB3"/>
    <w:rsid w:val="00E1000F"/>
    <w:rsid w:val="00E1005B"/>
    <w:rsid w:val="00E10090"/>
    <w:rsid w:val="00E100FD"/>
    <w:rsid w:val="00E10187"/>
    <w:rsid w:val="00E101BF"/>
    <w:rsid w:val="00E1022D"/>
    <w:rsid w:val="00E10285"/>
    <w:rsid w:val="00E102D1"/>
    <w:rsid w:val="00E10556"/>
    <w:rsid w:val="00E105C2"/>
    <w:rsid w:val="00E105E7"/>
    <w:rsid w:val="00E106E6"/>
    <w:rsid w:val="00E106FD"/>
    <w:rsid w:val="00E10775"/>
    <w:rsid w:val="00E107D9"/>
    <w:rsid w:val="00E107DB"/>
    <w:rsid w:val="00E10812"/>
    <w:rsid w:val="00E10825"/>
    <w:rsid w:val="00E10863"/>
    <w:rsid w:val="00E108CD"/>
    <w:rsid w:val="00E10964"/>
    <w:rsid w:val="00E1096A"/>
    <w:rsid w:val="00E10ACA"/>
    <w:rsid w:val="00E10B2E"/>
    <w:rsid w:val="00E10C79"/>
    <w:rsid w:val="00E10CCA"/>
    <w:rsid w:val="00E10D49"/>
    <w:rsid w:val="00E10D8D"/>
    <w:rsid w:val="00E10DF6"/>
    <w:rsid w:val="00E10E87"/>
    <w:rsid w:val="00E10EE2"/>
    <w:rsid w:val="00E10F62"/>
    <w:rsid w:val="00E10FAA"/>
    <w:rsid w:val="00E11006"/>
    <w:rsid w:val="00E1122C"/>
    <w:rsid w:val="00E1129F"/>
    <w:rsid w:val="00E1134C"/>
    <w:rsid w:val="00E114AB"/>
    <w:rsid w:val="00E11604"/>
    <w:rsid w:val="00E116E2"/>
    <w:rsid w:val="00E116F3"/>
    <w:rsid w:val="00E1175F"/>
    <w:rsid w:val="00E1193D"/>
    <w:rsid w:val="00E11ABB"/>
    <w:rsid w:val="00E11B5E"/>
    <w:rsid w:val="00E11BAB"/>
    <w:rsid w:val="00E11BFB"/>
    <w:rsid w:val="00E11CA8"/>
    <w:rsid w:val="00E11CC4"/>
    <w:rsid w:val="00E11CD7"/>
    <w:rsid w:val="00E11D38"/>
    <w:rsid w:val="00E11DF9"/>
    <w:rsid w:val="00E11E05"/>
    <w:rsid w:val="00E12097"/>
    <w:rsid w:val="00E1214F"/>
    <w:rsid w:val="00E1219C"/>
    <w:rsid w:val="00E12408"/>
    <w:rsid w:val="00E12451"/>
    <w:rsid w:val="00E12469"/>
    <w:rsid w:val="00E1247E"/>
    <w:rsid w:val="00E12523"/>
    <w:rsid w:val="00E125E2"/>
    <w:rsid w:val="00E125ED"/>
    <w:rsid w:val="00E12617"/>
    <w:rsid w:val="00E126AD"/>
    <w:rsid w:val="00E127F8"/>
    <w:rsid w:val="00E128FA"/>
    <w:rsid w:val="00E12C55"/>
    <w:rsid w:val="00E12D28"/>
    <w:rsid w:val="00E12D39"/>
    <w:rsid w:val="00E12DE0"/>
    <w:rsid w:val="00E12DFC"/>
    <w:rsid w:val="00E12E07"/>
    <w:rsid w:val="00E12EB2"/>
    <w:rsid w:val="00E12F53"/>
    <w:rsid w:val="00E1305A"/>
    <w:rsid w:val="00E130A6"/>
    <w:rsid w:val="00E13143"/>
    <w:rsid w:val="00E131CE"/>
    <w:rsid w:val="00E13253"/>
    <w:rsid w:val="00E133D1"/>
    <w:rsid w:val="00E13429"/>
    <w:rsid w:val="00E13542"/>
    <w:rsid w:val="00E1355F"/>
    <w:rsid w:val="00E13653"/>
    <w:rsid w:val="00E137C0"/>
    <w:rsid w:val="00E137ED"/>
    <w:rsid w:val="00E138F1"/>
    <w:rsid w:val="00E13BCD"/>
    <w:rsid w:val="00E13C39"/>
    <w:rsid w:val="00E13CCF"/>
    <w:rsid w:val="00E13D9D"/>
    <w:rsid w:val="00E13DA7"/>
    <w:rsid w:val="00E13DE3"/>
    <w:rsid w:val="00E13E76"/>
    <w:rsid w:val="00E13F3D"/>
    <w:rsid w:val="00E13F9A"/>
    <w:rsid w:val="00E14013"/>
    <w:rsid w:val="00E14089"/>
    <w:rsid w:val="00E14097"/>
    <w:rsid w:val="00E140F4"/>
    <w:rsid w:val="00E1414B"/>
    <w:rsid w:val="00E1418D"/>
    <w:rsid w:val="00E14234"/>
    <w:rsid w:val="00E142C3"/>
    <w:rsid w:val="00E14316"/>
    <w:rsid w:val="00E1444B"/>
    <w:rsid w:val="00E144EF"/>
    <w:rsid w:val="00E145B8"/>
    <w:rsid w:val="00E145CE"/>
    <w:rsid w:val="00E146FC"/>
    <w:rsid w:val="00E14709"/>
    <w:rsid w:val="00E147A1"/>
    <w:rsid w:val="00E14833"/>
    <w:rsid w:val="00E14860"/>
    <w:rsid w:val="00E14864"/>
    <w:rsid w:val="00E14956"/>
    <w:rsid w:val="00E149D1"/>
    <w:rsid w:val="00E149E1"/>
    <w:rsid w:val="00E14A1F"/>
    <w:rsid w:val="00E14BB7"/>
    <w:rsid w:val="00E14BDF"/>
    <w:rsid w:val="00E14CBE"/>
    <w:rsid w:val="00E14D28"/>
    <w:rsid w:val="00E15005"/>
    <w:rsid w:val="00E15050"/>
    <w:rsid w:val="00E15051"/>
    <w:rsid w:val="00E1506D"/>
    <w:rsid w:val="00E15072"/>
    <w:rsid w:val="00E150EA"/>
    <w:rsid w:val="00E151DA"/>
    <w:rsid w:val="00E15333"/>
    <w:rsid w:val="00E15348"/>
    <w:rsid w:val="00E153A6"/>
    <w:rsid w:val="00E15593"/>
    <w:rsid w:val="00E155F0"/>
    <w:rsid w:val="00E155FC"/>
    <w:rsid w:val="00E15781"/>
    <w:rsid w:val="00E15865"/>
    <w:rsid w:val="00E158B6"/>
    <w:rsid w:val="00E15917"/>
    <w:rsid w:val="00E1597D"/>
    <w:rsid w:val="00E15A26"/>
    <w:rsid w:val="00E15ACC"/>
    <w:rsid w:val="00E15F32"/>
    <w:rsid w:val="00E15F81"/>
    <w:rsid w:val="00E160BA"/>
    <w:rsid w:val="00E161AA"/>
    <w:rsid w:val="00E16272"/>
    <w:rsid w:val="00E16310"/>
    <w:rsid w:val="00E16398"/>
    <w:rsid w:val="00E164C5"/>
    <w:rsid w:val="00E165DC"/>
    <w:rsid w:val="00E1667E"/>
    <w:rsid w:val="00E166FA"/>
    <w:rsid w:val="00E16709"/>
    <w:rsid w:val="00E1675E"/>
    <w:rsid w:val="00E1679B"/>
    <w:rsid w:val="00E1686C"/>
    <w:rsid w:val="00E169DD"/>
    <w:rsid w:val="00E16A50"/>
    <w:rsid w:val="00E16A81"/>
    <w:rsid w:val="00E16B43"/>
    <w:rsid w:val="00E16C16"/>
    <w:rsid w:val="00E16DBC"/>
    <w:rsid w:val="00E16DEB"/>
    <w:rsid w:val="00E16E81"/>
    <w:rsid w:val="00E16EE3"/>
    <w:rsid w:val="00E16F69"/>
    <w:rsid w:val="00E16FC7"/>
    <w:rsid w:val="00E1710D"/>
    <w:rsid w:val="00E171A3"/>
    <w:rsid w:val="00E171CC"/>
    <w:rsid w:val="00E171F4"/>
    <w:rsid w:val="00E172AD"/>
    <w:rsid w:val="00E172E9"/>
    <w:rsid w:val="00E173CC"/>
    <w:rsid w:val="00E17439"/>
    <w:rsid w:val="00E17712"/>
    <w:rsid w:val="00E17746"/>
    <w:rsid w:val="00E1782A"/>
    <w:rsid w:val="00E178D2"/>
    <w:rsid w:val="00E17953"/>
    <w:rsid w:val="00E17961"/>
    <w:rsid w:val="00E17B0E"/>
    <w:rsid w:val="00E17B92"/>
    <w:rsid w:val="00E17B9C"/>
    <w:rsid w:val="00E17BB5"/>
    <w:rsid w:val="00E17BDE"/>
    <w:rsid w:val="00E17DCF"/>
    <w:rsid w:val="00E17FAB"/>
    <w:rsid w:val="00E17FE2"/>
    <w:rsid w:val="00E1EA8B"/>
    <w:rsid w:val="00E20010"/>
    <w:rsid w:val="00E20206"/>
    <w:rsid w:val="00E20346"/>
    <w:rsid w:val="00E2044E"/>
    <w:rsid w:val="00E204AA"/>
    <w:rsid w:val="00E2058F"/>
    <w:rsid w:val="00E20601"/>
    <w:rsid w:val="00E206EA"/>
    <w:rsid w:val="00E20816"/>
    <w:rsid w:val="00E20870"/>
    <w:rsid w:val="00E209C3"/>
    <w:rsid w:val="00E209D4"/>
    <w:rsid w:val="00E209F7"/>
    <w:rsid w:val="00E20A01"/>
    <w:rsid w:val="00E20A99"/>
    <w:rsid w:val="00E20B79"/>
    <w:rsid w:val="00E20B92"/>
    <w:rsid w:val="00E20C4D"/>
    <w:rsid w:val="00E20C80"/>
    <w:rsid w:val="00E20D98"/>
    <w:rsid w:val="00E20E0D"/>
    <w:rsid w:val="00E20E16"/>
    <w:rsid w:val="00E20E79"/>
    <w:rsid w:val="00E2104B"/>
    <w:rsid w:val="00E2107E"/>
    <w:rsid w:val="00E210C0"/>
    <w:rsid w:val="00E2113E"/>
    <w:rsid w:val="00E211AA"/>
    <w:rsid w:val="00E211CC"/>
    <w:rsid w:val="00E21614"/>
    <w:rsid w:val="00E21696"/>
    <w:rsid w:val="00E2176B"/>
    <w:rsid w:val="00E218B8"/>
    <w:rsid w:val="00E21945"/>
    <w:rsid w:val="00E21A38"/>
    <w:rsid w:val="00E21A9F"/>
    <w:rsid w:val="00E21AA9"/>
    <w:rsid w:val="00E21C00"/>
    <w:rsid w:val="00E21D2A"/>
    <w:rsid w:val="00E21D56"/>
    <w:rsid w:val="00E21D6F"/>
    <w:rsid w:val="00E21DF7"/>
    <w:rsid w:val="00E21E97"/>
    <w:rsid w:val="00E21F86"/>
    <w:rsid w:val="00E2210B"/>
    <w:rsid w:val="00E22131"/>
    <w:rsid w:val="00E2215B"/>
    <w:rsid w:val="00E221A8"/>
    <w:rsid w:val="00E22265"/>
    <w:rsid w:val="00E222C1"/>
    <w:rsid w:val="00E22325"/>
    <w:rsid w:val="00E22375"/>
    <w:rsid w:val="00E224F4"/>
    <w:rsid w:val="00E2250F"/>
    <w:rsid w:val="00E228D5"/>
    <w:rsid w:val="00E2290E"/>
    <w:rsid w:val="00E22B41"/>
    <w:rsid w:val="00E22BBC"/>
    <w:rsid w:val="00E22DBA"/>
    <w:rsid w:val="00E22E9B"/>
    <w:rsid w:val="00E22F54"/>
    <w:rsid w:val="00E22FF0"/>
    <w:rsid w:val="00E2303B"/>
    <w:rsid w:val="00E230BA"/>
    <w:rsid w:val="00E23119"/>
    <w:rsid w:val="00E2314C"/>
    <w:rsid w:val="00E23195"/>
    <w:rsid w:val="00E2333B"/>
    <w:rsid w:val="00E2337E"/>
    <w:rsid w:val="00E2339B"/>
    <w:rsid w:val="00E2343F"/>
    <w:rsid w:val="00E23476"/>
    <w:rsid w:val="00E23485"/>
    <w:rsid w:val="00E234C1"/>
    <w:rsid w:val="00E235D5"/>
    <w:rsid w:val="00E23675"/>
    <w:rsid w:val="00E236A4"/>
    <w:rsid w:val="00E236F2"/>
    <w:rsid w:val="00E2379B"/>
    <w:rsid w:val="00E23837"/>
    <w:rsid w:val="00E23864"/>
    <w:rsid w:val="00E2393E"/>
    <w:rsid w:val="00E23D9F"/>
    <w:rsid w:val="00E2401B"/>
    <w:rsid w:val="00E24060"/>
    <w:rsid w:val="00E240D7"/>
    <w:rsid w:val="00E2412F"/>
    <w:rsid w:val="00E24139"/>
    <w:rsid w:val="00E2423D"/>
    <w:rsid w:val="00E244D1"/>
    <w:rsid w:val="00E244DA"/>
    <w:rsid w:val="00E24533"/>
    <w:rsid w:val="00E24535"/>
    <w:rsid w:val="00E2459A"/>
    <w:rsid w:val="00E245B3"/>
    <w:rsid w:val="00E2476D"/>
    <w:rsid w:val="00E24841"/>
    <w:rsid w:val="00E248EB"/>
    <w:rsid w:val="00E248ED"/>
    <w:rsid w:val="00E249B9"/>
    <w:rsid w:val="00E24A58"/>
    <w:rsid w:val="00E24AA4"/>
    <w:rsid w:val="00E24B16"/>
    <w:rsid w:val="00E24BCB"/>
    <w:rsid w:val="00E24BE6"/>
    <w:rsid w:val="00E24C92"/>
    <w:rsid w:val="00E24D96"/>
    <w:rsid w:val="00E24E8E"/>
    <w:rsid w:val="00E24F1E"/>
    <w:rsid w:val="00E24F3A"/>
    <w:rsid w:val="00E2502E"/>
    <w:rsid w:val="00E25117"/>
    <w:rsid w:val="00E251BA"/>
    <w:rsid w:val="00E252E0"/>
    <w:rsid w:val="00E254F0"/>
    <w:rsid w:val="00E25668"/>
    <w:rsid w:val="00E25840"/>
    <w:rsid w:val="00E25880"/>
    <w:rsid w:val="00E25979"/>
    <w:rsid w:val="00E2599F"/>
    <w:rsid w:val="00E259B9"/>
    <w:rsid w:val="00E25B63"/>
    <w:rsid w:val="00E25BEC"/>
    <w:rsid w:val="00E25C1C"/>
    <w:rsid w:val="00E25CDD"/>
    <w:rsid w:val="00E25F81"/>
    <w:rsid w:val="00E26138"/>
    <w:rsid w:val="00E261AE"/>
    <w:rsid w:val="00E26226"/>
    <w:rsid w:val="00E26232"/>
    <w:rsid w:val="00E263AE"/>
    <w:rsid w:val="00E2651D"/>
    <w:rsid w:val="00E267BE"/>
    <w:rsid w:val="00E267C6"/>
    <w:rsid w:val="00E267D4"/>
    <w:rsid w:val="00E26921"/>
    <w:rsid w:val="00E269E2"/>
    <w:rsid w:val="00E26A08"/>
    <w:rsid w:val="00E26A41"/>
    <w:rsid w:val="00E26AA8"/>
    <w:rsid w:val="00E26B11"/>
    <w:rsid w:val="00E26E40"/>
    <w:rsid w:val="00E27087"/>
    <w:rsid w:val="00E270A6"/>
    <w:rsid w:val="00E270C9"/>
    <w:rsid w:val="00E27159"/>
    <w:rsid w:val="00E2717B"/>
    <w:rsid w:val="00E271DF"/>
    <w:rsid w:val="00E271ED"/>
    <w:rsid w:val="00E27433"/>
    <w:rsid w:val="00E2750E"/>
    <w:rsid w:val="00E275CC"/>
    <w:rsid w:val="00E27649"/>
    <w:rsid w:val="00E276A5"/>
    <w:rsid w:val="00E276FE"/>
    <w:rsid w:val="00E27745"/>
    <w:rsid w:val="00E278DB"/>
    <w:rsid w:val="00E27AF2"/>
    <w:rsid w:val="00E27B79"/>
    <w:rsid w:val="00E27BA8"/>
    <w:rsid w:val="00E27C2C"/>
    <w:rsid w:val="00E27CC5"/>
    <w:rsid w:val="00E27CD3"/>
    <w:rsid w:val="00E27DBE"/>
    <w:rsid w:val="00E27DCC"/>
    <w:rsid w:val="00E27E11"/>
    <w:rsid w:val="00E27EFA"/>
    <w:rsid w:val="00E3004D"/>
    <w:rsid w:val="00E300A0"/>
    <w:rsid w:val="00E301CF"/>
    <w:rsid w:val="00E30284"/>
    <w:rsid w:val="00E3045C"/>
    <w:rsid w:val="00E30468"/>
    <w:rsid w:val="00E3056F"/>
    <w:rsid w:val="00E3078E"/>
    <w:rsid w:val="00E308E7"/>
    <w:rsid w:val="00E309D1"/>
    <w:rsid w:val="00E30A15"/>
    <w:rsid w:val="00E30AF3"/>
    <w:rsid w:val="00E30D9F"/>
    <w:rsid w:val="00E30DCF"/>
    <w:rsid w:val="00E30EF8"/>
    <w:rsid w:val="00E30F11"/>
    <w:rsid w:val="00E30F13"/>
    <w:rsid w:val="00E31081"/>
    <w:rsid w:val="00E311E2"/>
    <w:rsid w:val="00E3121A"/>
    <w:rsid w:val="00E312F2"/>
    <w:rsid w:val="00E313E7"/>
    <w:rsid w:val="00E31412"/>
    <w:rsid w:val="00E3142D"/>
    <w:rsid w:val="00E315C7"/>
    <w:rsid w:val="00E316AC"/>
    <w:rsid w:val="00E316CC"/>
    <w:rsid w:val="00E31905"/>
    <w:rsid w:val="00E3192B"/>
    <w:rsid w:val="00E319F3"/>
    <w:rsid w:val="00E31B71"/>
    <w:rsid w:val="00E31C26"/>
    <w:rsid w:val="00E31C2B"/>
    <w:rsid w:val="00E31C31"/>
    <w:rsid w:val="00E31C3B"/>
    <w:rsid w:val="00E31C95"/>
    <w:rsid w:val="00E31D4B"/>
    <w:rsid w:val="00E31E42"/>
    <w:rsid w:val="00E31E59"/>
    <w:rsid w:val="00E320B1"/>
    <w:rsid w:val="00E3213A"/>
    <w:rsid w:val="00E323AA"/>
    <w:rsid w:val="00E324AA"/>
    <w:rsid w:val="00E324F2"/>
    <w:rsid w:val="00E32504"/>
    <w:rsid w:val="00E32550"/>
    <w:rsid w:val="00E32779"/>
    <w:rsid w:val="00E327FE"/>
    <w:rsid w:val="00E3283C"/>
    <w:rsid w:val="00E328B1"/>
    <w:rsid w:val="00E328F5"/>
    <w:rsid w:val="00E32CB9"/>
    <w:rsid w:val="00E32DEE"/>
    <w:rsid w:val="00E32F69"/>
    <w:rsid w:val="00E33069"/>
    <w:rsid w:val="00E33174"/>
    <w:rsid w:val="00E3324C"/>
    <w:rsid w:val="00E332F8"/>
    <w:rsid w:val="00E33300"/>
    <w:rsid w:val="00E33348"/>
    <w:rsid w:val="00E33434"/>
    <w:rsid w:val="00E33568"/>
    <w:rsid w:val="00E33637"/>
    <w:rsid w:val="00E3364D"/>
    <w:rsid w:val="00E33744"/>
    <w:rsid w:val="00E33765"/>
    <w:rsid w:val="00E33816"/>
    <w:rsid w:val="00E33842"/>
    <w:rsid w:val="00E338A9"/>
    <w:rsid w:val="00E33970"/>
    <w:rsid w:val="00E339BA"/>
    <w:rsid w:val="00E33BE1"/>
    <w:rsid w:val="00E33C80"/>
    <w:rsid w:val="00E33CE2"/>
    <w:rsid w:val="00E33D02"/>
    <w:rsid w:val="00E33E06"/>
    <w:rsid w:val="00E33F0E"/>
    <w:rsid w:val="00E33FC5"/>
    <w:rsid w:val="00E34079"/>
    <w:rsid w:val="00E34142"/>
    <w:rsid w:val="00E34180"/>
    <w:rsid w:val="00E341A8"/>
    <w:rsid w:val="00E3450A"/>
    <w:rsid w:val="00E34580"/>
    <w:rsid w:val="00E345F5"/>
    <w:rsid w:val="00E3462A"/>
    <w:rsid w:val="00E34766"/>
    <w:rsid w:val="00E34869"/>
    <w:rsid w:val="00E34A21"/>
    <w:rsid w:val="00E34A31"/>
    <w:rsid w:val="00E34A3F"/>
    <w:rsid w:val="00E34B0A"/>
    <w:rsid w:val="00E34BAA"/>
    <w:rsid w:val="00E34C1E"/>
    <w:rsid w:val="00E34D28"/>
    <w:rsid w:val="00E34D6E"/>
    <w:rsid w:val="00E34D73"/>
    <w:rsid w:val="00E34E4F"/>
    <w:rsid w:val="00E3501D"/>
    <w:rsid w:val="00E35092"/>
    <w:rsid w:val="00E35172"/>
    <w:rsid w:val="00E3522F"/>
    <w:rsid w:val="00E35255"/>
    <w:rsid w:val="00E35267"/>
    <w:rsid w:val="00E354F5"/>
    <w:rsid w:val="00E357A7"/>
    <w:rsid w:val="00E35AC4"/>
    <w:rsid w:val="00E35B06"/>
    <w:rsid w:val="00E35B8C"/>
    <w:rsid w:val="00E35C5F"/>
    <w:rsid w:val="00E35DBB"/>
    <w:rsid w:val="00E35E52"/>
    <w:rsid w:val="00E35E78"/>
    <w:rsid w:val="00E36081"/>
    <w:rsid w:val="00E3611D"/>
    <w:rsid w:val="00E3613E"/>
    <w:rsid w:val="00E36147"/>
    <w:rsid w:val="00E361A3"/>
    <w:rsid w:val="00E36211"/>
    <w:rsid w:val="00E362AE"/>
    <w:rsid w:val="00E36381"/>
    <w:rsid w:val="00E363DF"/>
    <w:rsid w:val="00E364B5"/>
    <w:rsid w:val="00E36553"/>
    <w:rsid w:val="00E367F6"/>
    <w:rsid w:val="00E36899"/>
    <w:rsid w:val="00E368A2"/>
    <w:rsid w:val="00E36958"/>
    <w:rsid w:val="00E36A31"/>
    <w:rsid w:val="00E36A93"/>
    <w:rsid w:val="00E36B90"/>
    <w:rsid w:val="00E36BA0"/>
    <w:rsid w:val="00E36BDB"/>
    <w:rsid w:val="00E36F55"/>
    <w:rsid w:val="00E36FD3"/>
    <w:rsid w:val="00E3703D"/>
    <w:rsid w:val="00E3722A"/>
    <w:rsid w:val="00E372C2"/>
    <w:rsid w:val="00E372F8"/>
    <w:rsid w:val="00E372FF"/>
    <w:rsid w:val="00E37331"/>
    <w:rsid w:val="00E37347"/>
    <w:rsid w:val="00E3736A"/>
    <w:rsid w:val="00E3736E"/>
    <w:rsid w:val="00E3739B"/>
    <w:rsid w:val="00E37480"/>
    <w:rsid w:val="00E375BC"/>
    <w:rsid w:val="00E375EE"/>
    <w:rsid w:val="00E37635"/>
    <w:rsid w:val="00E3768E"/>
    <w:rsid w:val="00E376ED"/>
    <w:rsid w:val="00E3771C"/>
    <w:rsid w:val="00E3779E"/>
    <w:rsid w:val="00E37861"/>
    <w:rsid w:val="00E3786C"/>
    <w:rsid w:val="00E378D4"/>
    <w:rsid w:val="00E37905"/>
    <w:rsid w:val="00E37946"/>
    <w:rsid w:val="00E379DE"/>
    <w:rsid w:val="00E37B73"/>
    <w:rsid w:val="00E37BD6"/>
    <w:rsid w:val="00E37D28"/>
    <w:rsid w:val="00E37D29"/>
    <w:rsid w:val="00E37FBB"/>
    <w:rsid w:val="00E37FC7"/>
    <w:rsid w:val="00E40108"/>
    <w:rsid w:val="00E4012C"/>
    <w:rsid w:val="00E40210"/>
    <w:rsid w:val="00E40247"/>
    <w:rsid w:val="00E403BB"/>
    <w:rsid w:val="00E4040E"/>
    <w:rsid w:val="00E404BA"/>
    <w:rsid w:val="00E404C4"/>
    <w:rsid w:val="00E404F9"/>
    <w:rsid w:val="00E40537"/>
    <w:rsid w:val="00E40552"/>
    <w:rsid w:val="00E405C3"/>
    <w:rsid w:val="00E405FB"/>
    <w:rsid w:val="00E4062F"/>
    <w:rsid w:val="00E40663"/>
    <w:rsid w:val="00E40675"/>
    <w:rsid w:val="00E407D5"/>
    <w:rsid w:val="00E40852"/>
    <w:rsid w:val="00E4090A"/>
    <w:rsid w:val="00E40A6A"/>
    <w:rsid w:val="00E40B07"/>
    <w:rsid w:val="00E40B12"/>
    <w:rsid w:val="00E40C1C"/>
    <w:rsid w:val="00E40CDE"/>
    <w:rsid w:val="00E40DA2"/>
    <w:rsid w:val="00E40DD0"/>
    <w:rsid w:val="00E40DFB"/>
    <w:rsid w:val="00E40E10"/>
    <w:rsid w:val="00E40E2E"/>
    <w:rsid w:val="00E40ED1"/>
    <w:rsid w:val="00E4109A"/>
    <w:rsid w:val="00E410EB"/>
    <w:rsid w:val="00E4117E"/>
    <w:rsid w:val="00E411CB"/>
    <w:rsid w:val="00E41241"/>
    <w:rsid w:val="00E4128C"/>
    <w:rsid w:val="00E412D6"/>
    <w:rsid w:val="00E412F6"/>
    <w:rsid w:val="00E4132D"/>
    <w:rsid w:val="00E41345"/>
    <w:rsid w:val="00E41429"/>
    <w:rsid w:val="00E41446"/>
    <w:rsid w:val="00E41482"/>
    <w:rsid w:val="00E41674"/>
    <w:rsid w:val="00E41697"/>
    <w:rsid w:val="00E416C1"/>
    <w:rsid w:val="00E416F1"/>
    <w:rsid w:val="00E41734"/>
    <w:rsid w:val="00E41792"/>
    <w:rsid w:val="00E419CE"/>
    <w:rsid w:val="00E41A33"/>
    <w:rsid w:val="00E41A68"/>
    <w:rsid w:val="00E41AF1"/>
    <w:rsid w:val="00E41BB2"/>
    <w:rsid w:val="00E41BCE"/>
    <w:rsid w:val="00E41C69"/>
    <w:rsid w:val="00E41D83"/>
    <w:rsid w:val="00E41D86"/>
    <w:rsid w:val="00E41D92"/>
    <w:rsid w:val="00E41DD6"/>
    <w:rsid w:val="00E41FB8"/>
    <w:rsid w:val="00E4207C"/>
    <w:rsid w:val="00E42105"/>
    <w:rsid w:val="00E42192"/>
    <w:rsid w:val="00E4228E"/>
    <w:rsid w:val="00E42365"/>
    <w:rsid w:val="00E423FC"/>
    <w:rsid w:val="00E42AFE"/>
    <w:rsid w:val="00E42C5E"/>
    <w:rsid w:val="00E42DD6"/>
    <w:rsid w:val="00E42EE2"/>
    <w:rsid w:val="00E43003"/>
    <w:rsid w:val="00E431CF"/>
    <w:rsid w:val="00E43210"/>
    <w:rsid w:val="00E43315"/>
    <w:rsid w:val="00E43352"/>
    <w:rsid w:val="00E43413"/>
    <w:rsid w:val="00E4344D"/>
    <w:rsid w:val="00E435AB"/>
    <w:rsid w:val="00E4363E"/>
    <w:rsid w:val="00E43723"/>
    <w:rsid w:val="00E437FF"/>
    <w:rsid w:val="00E438E1"/>
    <w:rsid w:val="00E4394E"/>
    <w:rsid w:val="00E43B9A"/>
    <w:rsid w:val="00E43C5A"/>
    <w:rsid w:val="00E43CB3"/>
    <w:rsid w:val="00E43D29"/>
    <w:rsid w:val="00E43E46"/>
    <w:rsid w:val="00E44123"/>
    <w:rsid w:val="00E4413B"/>
    <w:rsid w:val="00E4426D"/>
    <w:rsid w:val="00E4430B"/>
    <w:rsid w:val="00E44465"/>
    <w:rsid w:val="00E444CB"/>
    <w:rsid w:val="00E44568"/>
    <w:rsid w:val="00E445AF"/>
    <w:rsid w:val="00E44712"/>
    <w:rsid w:val="00E447DA"/>
    <w:rsid w:val="00E44849"/>
    <w:rsid w:val="00E448CB"/>
    <w:rsid w:val="00E44993"/>
    <w:rsid w:val="00E449F6"/>
    <w:rsid w:val="00E44A1A"/>
    <w:rsid w:val="00E44A41"/>
    <w:rsid w:val="00E44BE6"/>
    <w:rsid w:val="00E44CBF"/>
    <w:rsid w:val="00E44D68"/>
    <w:rsid w:val="00E44F5F"/>
    <w:rsid w:val="00E453D7"/>
    <w:rsid w:val="00E4548C"/>
    <w:rsid w:val="00E455E5"/>
    <w:rsid w:val="00E45702"/>
    <w:rsid w:val="00E45770"/>
    <w:rsid w:val="00E45842"/>
    <w:rsid w:val="00E4596F"/>
    <w:rsid w:val="00E45A43"/>
    <w:rsid w:val="00E45B6F"/>
    <w:rsid w:val="00E45B95"/>
    <w:rsid w:val="00E45C17"/>
    <w:rsid w:val="00E45C2F"/>
    <w:rsid w:val="00E45C87"/>
    <w:rsid w:val="00E45FA3"/>
    <w:rsid w:val="00E46026"/>
    <w:rsid w:val="00E460DE"/>
    <w:rsid w:val="00E46184"/>
    <w:rsid w:val="00E46326"/>
    <w:rsid w:val="00E4641E"/>
    <w:rsid w:val="00E4645F"/>
    <w:rsid w:val="00E46546"/>
    <w:rsid w:val="00E46626"/>
    <w:rsid w:val="00E46641"/>
    <w:rsid w:val="00E468F9"/>
    <w:rsid w:val="00E4691E"/>
    <w:rsid w:val="00E46949"/>
    <w:rsid w:val="00E469E4"/>
    <w:rsid w:val="00E46A38"/>
    <w:rsid w:val="00E46BEA"/>
    <w:rsid w:val="00E4708D"/>
    <w:rsid w:val="00E47138"/>
    <w:rsid w:val="00E47282"/>
    <w:rsid w:val="00E474C7"/>
    <w:rsid w:val="00E475C3"/>
    <w:rsid w:val="00E475F9"/>
    <w:rsid w:val="00E4762B"/>
    <w:rsid w:val="00E476B8"/>
    <w:rsid w:val="00E476D1"/>
    <w:rsid w:val="00E476E0"/>
    <w:rsid w:val="00E47710"/>
    <w:rsid w:val="00E47759"/>
    <w:rsid w:val="00E477D1"/>
    <w:rsid w:val="00E479F4"/>
    <w:rsid w:val="00E47A44"/>
    <w:rsid w:val="00E47D15"/>
    <w:rsid w:val="00E47D28"/>
    <w:rsid w:val="00E47DF1"/>
    <w:rsid w:val="00E47EA7"/>
    <w:rsid w:val="00E47EC3"/>
    <w:rsid w:val="00E47F55"/>
    <w:rsid w:val="00E47FE9"/>
    <w:rsid w:val="00E5015B"/>
    <w:rsid w:val="00E50371"/>
    <w:rsid w:val="00E503ED"/>
    <w:rsid w:val="00E5042F"/>
    <w:rsid w:val="00E5059A"/>
    <w:rsid w:val="00E507E5"/>
    <w:rsid w:val="00E508F4"/>
    <w:rsid w:val="00E5093A"/>
    <w:rsid w:val="00E50A21"/>
    <w:rsid w:val="00E50A92"/>
    <w:rsid w:val="00E50B0C"/>
    <w:rsid w:val="00E50B13"/>
    <w:rsid w:val="00E50B1B"/>
    <w:rsid w:val="00E50B7B"/>
    <w:rsid w:val="00E50C0D"/>
    <w:rsid w:val="00E50CCD"/>
    <w:rsid w:val="00E5102E"/>
    <w:rsid w:val="00E5112F"/>
    <w:rsid w:val="00E5121C"/>
    <w:rsid w:val="00E512B0"/>
    <w:rsid w:val="00E51326"/>
    <w:rsid w:val="00E514C2"/>
    <w:rsid w:val="00E515BB"/>
    <w:rsid w:val="00E51608"/>
    <w:rsid w:val="00E516A7"/>
    <w:rsid w:val="00E5182E"/>
    <w:rsid w:val="00E519F7"/>
    <w:rsid w:val="00E51A10"/>
    <w:rsid w:val="00E51A1E"/>
    <w:rsid w:val="00E51A3E"/>
    <w:rsid w:val="00E51AC9"/>
    <w:rsid w:val="00E51B9E"/>
    <w:rsid w:val="00E51C1B"/>
    <w:rsid w:val="00E51C98"/>
    <w:rsid w:val="00E51F2E"/>
    <w:rsid w:val="00E51FB5"/>
    <w:rsid w:val="00E51FBB"/>
    <w:rsid w:val="00E52061"/>
    <w:rsid w:val="00E52078"/>
    <w:rsid w:val="00E5209A"/>
    <w:rsid w:val="00E520F5"/>
    <w:rsid w:val="00E5222D"/>
    <w:rsid w:val="00E522BD"/>
    <w:rsid w:val="00E523CC"/>
    <w:rsid w:val="00E523F5"/>
    <w:rsid w:val="00E52572"/>
    <w:rsid w:val="00E52625"/>
    <w:rsid w:val="00E5267E"/>
    <w:rsid w:val="00E526A6"/>
    <w:rsid w:val="00E52776"/>
    <w:rsid w:val="00E52784"/>
    <w:rsid w:val="00E52865"/>
    <w:rsid w:val="00E5293A"/>
    <w:rsid w:val="00E52969"/>
    <w:rsid w:val="00E52983"/>
    <w:rsid w:val="00E52A56"/>
    <w:rsid w:val="00E52A87"/>
    <w:rsid w:val="00E52B8D"/>
    <w:rsid w:val="00E52C27"/>
    <w:rsid w:val="00E52C64"/>
    <w:rsid w:val="00E52F04"/>
    <w:rsid w:val="00E531CD"/>
    <w:rsid w:val="00E531EE"/>
    <w:rsid w:val="00E5325F"/>
    <w:rsid w:val="00E532CC"/>
    <w:rsid w:val="00E5335B"/>
    <w:rsid w:val="00E5335D"/>
    <w:rsid w:val="00E533AF"/>
    <w:rsid w:val="00E533D1"/>
    <w:rsid w:val="00E5361C"/>
    <w:rsid w:val="00E53676"/>
    <w:rsid w:val="00E539C9"/>
    <w:rsid w:val="00E53A17"/>
    <w:rsid w:val="00E53B27"/>
    <w:rsid w:val="00E53BAA"/>
    <w:rsid w:val="00E53BDB"/>
    <w:rsid w:val="00E53C2F"/>
    <w:rsid w:val="00E53F7A"/>
    <w:rsid w:val="00E53FA3"/>
    <w:rsid w:val="00E53FB6"/>
    <w:rsid w:val="00E53FB8"/>
    <w:rsid w:val="00E54011"/>
    <w:rsid w:val="00E5407A"/>
    <w:rsid w:val="00E54092"/>
    <w:rsid w:val="00E540B7"/>
    <w:rsid w:val="00E54181"/>
    <w:rsid w:val="00E54294"/>
    <w:rsid w:val="00E542EF"/>
    <w:rsid w:val="00E543B7"/>
    <w:rsid w:val="00E54480"/>
    <w:rsid w:val="00E5462C"/>
    <w:rsid w:val="00E546ED"/>
    <w:rsid w:val="00E54789"/>
    <w:rsid w:val="00E547CB"/>
    <w:rsid w:val="00E548CF"/>
    <w:rsid w:val="00E548DF"/>
    <w:rsid w:val="00E54948"/>
    <w:rsid w:val="00E54B12"/>
    <w:rsid w:val="00E54C58"/>
    <w:rsid w:val="00E54CA0"/>
    <w:rsid w:val="00E54CB7"/>
    <w:rsid w:val="00E54DD1"/>
    <w:rsid w:val="00E54E1D"/>
    <w:rsid w:val="00E54E74"/>
    <w:rsid w:val="00E54F67"/>
    <w:rsid w:val="00E54FC5"/>
    <w:rsid w:val="00E550D0"/>
    <w:rsid w:val="00E553BB"/>
    <w:rsid w:val="00E553D6"/>
    <w:rsid w:val="00E5543B"/>
    <w:rsid w:val="00E55442"/>
    <w:rsid w:val="00E5546E"/>
    <w:rsid w:val="00E5549E"/>
    <w:rsid w:val="00E554BD"/>
    <w:rsid w:val="00E554D8"/>
    <w:rsid w:val="00E554E4"/>
    <w:rsid w:val="00E554EF"/>
    <w:rsid w:val="00E55623"/>
    <w:rsid w:val="00E55681"/>
    <w:rsid w:val="00E556FD"/>
    <w:rsid w:val="00E55792"/>
    <w:rsid w:val="00E55869"/>
    <w:rsid w:val="00E558FB"/>
    <w:rsid w:val="00E5591E"/>
    <w:rsid w:val="00E55993"/>
    <w:rsid w:val="00E55A65"/>
    <w:rsid w:val="00E55CE7"/>
    <w:rsid w:val="00E55E01"/>
    <w:rsid w:val="00E55E27"/>
    <w:rsid w:val="00E55F10"/>
    <w:rsid w:val="00E55F1E"/>
    <w:rsid w:val="00E55F99"/>
    <w:rsid w:val="00E560CE"/>
    <w:rsid w:val="00E561F1"/>
    <w:rsid w:val="00E5622F"/>
    <w:rsid w:val="00E562F9"/>
    <w:rsid w:val="00E56345"/>
    <w:rsid w:val="00E5652E"/>
    <w:rsid w:val="00E565B3"/>
    <w:rsid w:val="00E565EF"/>
    <w:rsid w:val="00E56608"/>
    <w:rsid w:val="00E5663F"/>
    <w:rsid w:val="00E56662"/>
    <w:rsid w:val="00E56713"/>
    <w:rsid w:val="00E56717"/>
    <w:rsid w:val="00E567D8"/>
    <w:rsid w:val="00E568FD"/>
    <w:rsid w:val="00E5691D"/>
    <w:rsid w:val="00E56A3F"/>
    <w:rsid w:val="00E56A99"/>
    <w:rsid w:val="00E56D67"/>
    <w:rsid w:val="00E56DB4"/>
    <w:rsid w:val="00E56DE2"/>
    <w:rsid w:val="00E56DE4"/>
    <w:rsid w:val="00E56E39"/>
    <w:rsid w:val="00E56EDD"/>
    <w:rsid w:val="00E5706C"/>
    <w:rsid w:val="00E57090"/>
    <w:rsid w:val="00E570DE"/>
    <w:rsid w:val="00E57189"/>
    <w:rsid w:val="00E5723E"/>
    <w:rsid w:val="00E57302"/>
    <w:rsid w:val="00E5755E"/>
    <w:rsid w:val="00E575B6"/>
    <w:rsid w:val="00E575C9"/>
    <w:rsid w:val="00E576A1"/>
    <w:rsid w:val="00E576B8"/>
    <w:rsid w:val="00E57710"/>
    <w:rsid w:val="00E57759"/>
    <w:rsid w:val="00E57A8D"/>
    <w:rsid w:val="00E57F58"/>
    <w:rsid w:val="00E600E2"/>
    <w:rsid w:val="00E60137"/>
    <w:rsid w:val="00E60199"/>
    <w:rsid w:val="00E602AD"/>
    <w:rsid w:val="00E602D3"/>
    <w:rsid w:val="00E603B3"/>
    <w:rsid w:val="00E604C6"/>
    <w:rsid w:val="00E6053F"/>
    <w:rsid w:val="00E6061B"/>
    <w:rsid w:val="00E606E8"/>
    <w:rsid w:val="00E60942"/>
    <w:rsid w:val="00E6095E"/>
    <w:rsid w:val="00E609DD"/>
    <w:rsid w:val="00E60A52"/>
    <w:rsid w:val="00E60AC7"/>
    <w:rsid w:val="00E60C3D"/>
    <w:rsid w:val="00E60C44"/>
    <w:rsid w:val="00E60C85"/>
    <w:rsid w:val="00E60D28"/>
    <w:rsid w:val="00E60D2D"/>
    <w:rsid w:val="00E60D81"/>
    <w:rsid w:val="00E60F0A"/>
    <w:rsid w:val="00E60F37"/>
    <w:rsid w:val="00E61099"/>
    <w:rsid w:val="00E6109F"/>
    <w:rsid w:val="00E612B3"/>
    <w:rsid w:val="00E61338"/>
    <w:rsid w:val="00E61433"/>
    <w:rsid w:val="00E61472"/>
    <w:rsid w:val="00E614F2"/>
    <w:rsid w:val="00E615BC"/>
    <w:rsid w:val="00E615D7"/>
    <w:rsid w:val="00E61746"/>
    <w:rsid w:val="00E6174C"/>
    <w:rsid w:val="00E61858"/>
    <w:rsid w:val="00E619A5"/>
    <w:rsid w:val="00E619F8"/>
    <w:rsid w:val="00E61A62"/>
    <w:rsid w:val="00E61BEC"/>
    <w:rsid w:val="00E61D07"/>
    <w:rsid w:val="00E61D50"/>
    <w:rsid w:val="00E61D73"/>
    <w:rsid w:val="00E61F36"/>
    <w:rsid w:val="00E61F70"/>
    <w:rsid w:val="00E6203B"/>
    <w:rsid w:val="00E620CB"/>
    <w:rsid w:val="00E621AA"/>
    <w:rsid w:val="00E6223E"/>
    <w:rsid w:val="00E6227D"/>
    <w:rsid w:val="00E62287"/>
    <w:rsid w:val="00E6230A"/>
    <w:rsid w:val="00E62360"/>
    <w:rsid w:val="00E62522"/>
    <w:rsid w:val="00E6264E"/>
    <w:rsid w:val="00E62730"/>
    <w:rsid w:val="00E6277E"/>
    <w:rsid w:val="00E62932"/>
    <w:rsid w:val="00E6293F"/>
    <w:rsid w:val="00E6295C"/>
    <w:rsid w:val="00E62978"/>
    <w:rsid w:val="00E62A4D"/>
    <w:rsid w:val="00E62AAC"/>
    <w:rsid w:val="00E62B95"/>
    <w:rsid w:val="00E62BCC"/>
    <w:rsid w:val="00E62CBA"/>
    <w:rsid w:val="00E62EAC"/>
    <w:rsid w:val="00E62EFA"/>
    <w:rsid w:val="00E62F25"/>
    <w:rsid w:val="00E6310B"/>
    <w:rsid w:val="00E63127"/>
    <w:rsid w:val="00E631E9"/>
    <w:rsid w:val="00E631EB"/>
    <w:rsid w:val="00E63260"/>
    <w:rsid w:val="00E63297"/>
    <w:rsid w:val="00E632DA"/>
    <w:rsid w:val="00E63304"/>
    <w:rsid w:val="00E63338"/>
    <w:rsid w:val="00E63690"/>
    <w:rsid w:val="00E63698"/>
    <w:rsid w:val="00E636FF"/>
    <w:rsid w:val="00E6372B"/>
    <w:rsid w:val="00E6377B"/>
    <w:rsid w:val="00E6378E"/>
    <w:rsid w:val="00E63794"/>
    <w:rsid w:val="00E63806"/>
    <w:rsid w:val="00E63898"/>
    <w:rsid w:val="00E6393D"/>
    <w:rsid w:val="00E63B0B"/>
    <w:rsid w:val="00E63C91"/>
    <w:rsid w:val="00E63DD8"/>
    <w:rsid w:val="00E63E0A"/>
    <w:rsid w:val="00E63EA2"/>
    <w:rsid w:val="00E63EB8"/>
    <w:rsid w:val="00E63FD6"/>
    <w:rsid w:val="00E6403D"/>
    <w:rsid w:val="00E64074"/>
    <w:rsid w:val="00E6426E"/>
    <w:rsid w:val="00E64326"/>
    <w:rsid w:val="00E6439B"/>
    <w:rsid w:val="00E64420"/>
    <w:rsid w:val="00E64515"/>
    <w:rsid w:val="00E64522"/>
    <w:rsid w:val="00E6459F"/>
    <w:rsid w:val="00E64755"/>
    <w:rsid w:val="00E6483E"/>
    <w:rsid w:val="00E649FD"/>
    <w:rsid w:val="00E64A82"/>
    <w:rsid w:val="00E64C0B"/>
    <w:rsid w:val="00E64D56"/>
    <w:rsid w:val="00E64E20"/>
    <w:rsid w:val="00E64F49"/>
    <w:rsid w:val="00E65180"/>
    <w:rsid w:val="00E651D7"/>
    <w:rsid w:val="00E65274"/>
    <w:rsid w:val="00E6527C"/>
    <w:rsid w:val="00E6529C"/>
    <w:rsid w:val="00E652F5"/>
    <w:rsid w:val="00E65326"/>
    <w:rsid w:val="00E6539F"/>
    <w:rsid w:val="00E654ED"/>
    <w:rsid w:val="00E6557B"/>
    <w:rsid w:val="00E65582"/>
    <w:rsid w:val="00E655A3"/>
    <w:rsid w:val="00E65772"/>
    <w:rsid w:val="00E657E1"/>
    <w:rsid w:val="00E658E6"/>
    <w:rsid w:val="00E659BB"/>
    <w:rsid w:val="00E65B1B"/>
    <w:rsid w:val="00E65B5E"/>
    <w:rsid w:val="00E65CA0"/>
    <w:rsid w:val="00E65CA6"/>
    <w:rsid w:val="00E65D3D"/>
    <w:rsid w:val="00E65D66"/>
    <w:rsid w:val="00E66002"/>
    <w:rsid w:val="00E66026"/>
    <w:rsid w:val="00E6611B"/>
    <w:rsid w:val="00E66156"/>
    <w:rsid w:val="00E661B9"/>
    <w:rsid w:val="00E662D6"/>
    <w:rsid w:val="00E66339"/>
    <w:rsid w:val="00E66426"/>
    <w:rsid w:val="00E66434"/>
    <w:rsid w:val="00E664DF"/>
    <w:rsid w:val="00E664F4"/>
    <w:rsid w:val="00E66568"/>
    <w:rsid w:val="00E6659D"/>
    <w:rsid w:val="00E665B2"/>
    <w:rsid w:val="00E665E0"/>
    <w:rsid w:val="00E66691"/>
    <w:rsid w:val="00E66697"/>
    <w:rsid w:val="00E666FF"/>
    <w:rsid w:val="00E66888"/>
    <w:rsid w:val="00E66935"/>
    <w:rsid w:val="00E6696A"/>
    <w:rsid w:val="00E66AC7"/>
    <w:rsid w:val="00E66C82"/>
    <w:rsid w:val="00E66D82"/>
    <w:rsid w:val="00E66F0F"/>
    <w:rsid w:val="00E67142"/>
    <w:rsid w:val="00E67174"/>
    <w:rsid w:val="00E67210"/>
    <w:rsid w:val="00E67226"/>
    <w:rsid w:val="00E67268"/>
    <w:rsid w:val="00E674D4"/>
    <w:rsid w:val="00E676C1"/>
    <w:rsid w:val="00E67846"/>
    <w:rsid w:val="00E679F2"/>
    <w:rsid w:val="00E67A12"/>
    <w:rsid w:val="00E67A19"/>
    <w:rsid w:val="00E67A65"/>
    <w:rsid w:val="00E67AE9"/>
    <w:rsid w:val="00E67AF2"/>
    <w:rsid w:val="00E67B03"/>
    <w:rsid w:val="00E67B59"/>
    <w:rsid w:val="00E67BB6"/>
    <w:rsid w:val="00E67BC8"/>
    <w:rsid w:val="00E67BCA"/>
    <w:rsid w:val="00E67BDC"/>
    <w:rsid w:val="00E67CC0"/>
    <w:rsid w:val="00E67CDD"/>
    <w:rsid w:val="00E67D3B"/>
    <w:rsid w:val="00E67DC7"/>
    <w:rsid w:val="00E67DFE"/>
    <w:rsid w:val="00E6C643"/>
    <w:rsid w:val="00E7004D"/>
    <w:rsid w:val="00E7035E"/>
    <w:rsid w:val="00E70376"/>
    <w:rsid w:val="00E703D3"/>
    <w:rsid w:val="00E7047D"/>
    <w:rsid w:val="00E70552"/>
    <w:rsid w:val="00E70650"/>
    <w:rsid w:val="00E706AF"/>
    <w:rsid w:val="00E706BA"/>
    <w:rsid w:val="00E706FE"/>
    <w:rsid w:val="00E707AE"/>
    <w:rsid w:val="00E7081F"/>
    <w:rsid w:val="00E708DF"/>
    <w:rsid w:val="00E70920"/>
    <w:rsid w:val="00E7097F"/>
    <w:rsid w:val="00E70B60"/>
    <w:rsid w:val="00E70EFF"/>
    <w:rsid w:val="00E71012"/>
    <w:rsid w:val="00E7105E"/>
    <w:rsid w:val="00E710AA"/>
    <w:rsid w:val="00E7116D"/>
    <w:rsid w:val="00E71170"/>
    <w:rsid w:val="00E711D9"/>
    <w:rsid w:val="00E711E2"/>
    <w:rsid w:val="00E7123F"/>
    <w:rsid w:val="00E71242"/>
    <w:rsid w:val="00E712BF"/>
    <w:rsid w:val="00E712EE"/>
    <w:rsid w:val="00E713B5"/>
    <w:rsid w:val="00E71434"/>
    <w:rsid w:val="00E71478"/>
    <w:rsid w:val="00E714FE"/>
    <w:rsid w:val="00E7160B"/>
    <w:rsid w:val="00E7162D"/>
    <w:rsid w:val="00E716B3"/>
    <w:rsid w:val="00E717DA"/>
    <w:rsid w:val="00E7182E"/>
    <w:rsid w:val="00E718EA"/>
    <w:rsid w:val="00E7196E"/>
    <w:rsid w:val="00E7197F"/>
    <w:rsid w:val="00E719A3"/>
    <w:rsid w:val="00E71A23"/>
    <w:rsid w:val="00E71BD1"/>
    <w:rsid w:val="00E71C5E"/>
    <w:rsid w:val="00E71C75"/>
    <w:rsid w:val="00E71E60"/>
    <w:rsid w:val="00E71EA6"/>
    <w:rsid w:val="00E71FFF"/>
    <w:rsid w:val="00E721C4"/>
    <w:rsid w:val="00E7224E"/>
    <w:rsid w:val="00E72268"/>
    <w:rsid w:val="00E7230F"/>
    <w:rsid w:val="00E723D4"/>
    <w:rsid w:val="00E723D8"/>
    <w:rsid w:val="00E72454"/>
    <w:rsid w:val="00E72501"/>
    <w:rsid w:val="00E7250E"/>
    <w:rsid w:val="00E7252F"/>
    <w:rsid w:val="00E72710"/>
    <w:rsid w:val="00E72772"/>
    <w:rsid w:val="00E7279B"/>
    <w:rsid w:val="00E727F1"/>
    <w:rsid w:val="00E7280A"/>
    <w:rsid w:val="00E728B3"/>
    <w:rsid w:val="00E72932"/>
    <w:rsid w:val="00E72B93"/>
    <w:rsid w:val="00E72BDC"/>
    <w:rsid w:val="00E72C51"/>
    <w:rsid w:val="00E72C8D"/>
    <w:rsid w:val="00E72E6D"/>
    <w:rsid w:val="00E72EC4"/>
    <w:rsid w:val="00E72EE9"/>
    <w:rsid w:val="00E72F6D"/>
    <w:rsid w:val="00E72F8E"/>
    <w:rsid w:val="00E73026"/>
    <w:rsid w:val="00E73095"/>
    <w:rsid w:val="00E730C0"/>
    <w:rsid w:val="00E73192"/>
    <w:rsid w:val="00E73257"/>
    <w:rsid w:val="00E73358"/>
    <w:rsid w:val="00E73372"/>
    <w:rsid w:val="00E7339E"/>
    <w:rsid w:val="00E734C0"/>
    <w:rsid w:val="00E73508"/>
    <w:rsid w:val="00E73546"/>
    <w:rsid w:val="00E735DE"/>
    <w:rsid w:val="00E736E5"/>
    <w:rsid w:val="00E73740"/>
    <w:rsid w:val="00E7379D"/>
    <w:rsid w:val="00E737CD"/>
    <w:rsid w:val="00E73A58"/>
    <w:rsid w:val="00E73A60"/>
    <w:rsid w:val="00E73BBD"/>
    <w:rsid w:val="00E73CDA"/>
    <w:rsid w:val="00E73D8E"/>
    <w:rsid w:val="00E73E00"/>
    <w:rsid w:val="00E73E95"/>
    <w:rsid w:val="00E73EC5"/>
    <w:rsid w:val="00E73F6F"/>
    <w:rsid w:val="00E73FEB"/>
    <w:rsid w:val="00E7412E"/>
    <w:rsid w:val="00E74182"/>
    <w:rsid w:val="00E741C2"/>
    <w:rsid w:val="00E7425F"/>
    <w:rsid w:val="00E74272"/>
    <w:rsid w:val="00E7431A"/>
    <w:rsid w:val="00E743B4"/>
    <w:rsid w:val="00E744CD"/>
    <w:rsid w:val="00E744E2"/>
    <w:rsid w:val="00E745C0"/>
    <w:rsid w:val="00E747B4"/>
    <w:rsid w:val="00E7486B"/>
    <w:rsid w:val="00E749F6"/>
    <w:rsid w:val="00E74ACC"/>
    <w:rsid w:val="00E74C32"/>
    <w:rsid w:val="00E74F41"/>
    <w:rsid w:val="00E7517A"/>
    <w:rsid w:val="00E75198"/>
    <w:rsid w:val="00E7534A"/>
    <w:rsid w:val="00E7534F"/>
    <w:rsid w:val="00E753F6"/>
    <w:rsid w:val="00E755F9"/>
    <w:rsid w:val="00E757C0"/>
    <w:rsid w:val="00E75808"/>
    <w:rsid w:val="00E75927"/>
    <w:rsid w:val="00E75A00"/>
    <w:rsid w:val="00E75A1C"/>
    <w:rsid w:val="00E75AEB"/>
    <w:rsid w:val="00E75B46"/>
    <w:rsid w:val="00E75B4D"/>
    <w:rsid w:val="00E75B74"/>
    <w:rsid w:val="00E75B7B"/>
    <w:rsid w:val="00E75BC2"/>
    <w:rsid w:val="00E75BF9"/>
    <w:rsid w:val="00E75C72"/>
    <w:rsid w:val="00E75C91"/>
    <w:rsid w:val="00E75D5F"/>
    <w:rsid w:val="00E75FF3"/>
    <w:rsid w:val="00E76064"/>
    <w:rsid w:val="00E7617F"/>
    <w:rsid w:val="00E76295"/>
    <w:rsid w:val="00E7630E"/>
    <w:rsid w:val="00E7637E"/>
    <w:rsid w:val="00E764D9"/>
    <w:rsid w:val="00E7658F"/>
    <w:rsid w:val="00E76599"/>
    <w:rsid w:val="00E7664A"/>
    <w:rsid w:val="00E76684"/>
    <w:rsid w:val="00E766FB"/>
    <w:rsid w:val="00E76710"/>
    <w:rsid w:val="00E76751"/>
    <w:rsid w:val="00E767D6"/>
    <w:rsid w:val="00E7696F"/>
    <w:rsid w:val="00E769F1"/>
    <w:rsid w:val="00E76A17"/>
    <w:rsid w:val="00E76B6E"/>
    <w:rsid w:val="00E76C70"/>
    <w:rsid w:val="00E76C72"/>
    <w:rsid w:val="00E76C97"/>
    <w:rsid w:val="00E76D4A"/>
    <w:rsid w:val="00E76D84"/>
    <w:rsid w:val="00E76DEE"/>
    <w:rsid w:val="00E76E43"/>
    <w:rsid w:val="00E76E54"/>
    <w:rsid w:val="00E76ED4"/>
    <w:rsid w:val="00E770B4"/>
    <w:rsid w:val="00E770ED"/>
    <w:rsid w:val="00E771C6"/>
    <w:rsid w:val="00E772B8"/>
    <w:rsid w:val="00E772C6"/>
    <w:rsid w:val="00E77445"/>
    <w:rsid w:val="00E7754E"/>
    <w:rsid w:val="00E7757C"/>
    <w:rsid w:val="00E77597"/>
    <w:rsid w:val="00E775E7"/>
    <w:rsid w:val="00E77812"/>
    <w:rsid w:val="00E77C9F"/>
    <w:rsid w:val="00E77DDF"/>
    <w:rsid w:val="00E77E61"/>
    <w:rsid w:val="00E80044"/>
    <w:rsid w:val="00E80172"/>
    <w:rsid w:val="00E80183"/>
    <w:rsid w:val="00E8032E"/>
    <w:rsid w:val="00E8036E"/>
    <w:rsid w:val="00E80492"/>
    <w:rsid w:val="00E804CD"/>
    <w:rsid w:val="00E804FF"/>
    <w:rsid w:val="00E80582"/>
    <w:rsid w:val="00E805B6"/>
    <w:rsid w:val="00E806EA"/>
    <w:rsid w:val="00E8070B"/>
    <w:rsid w:val="00E8076B"/>
    <w:rsid w:val="00E808C3"/>
    <w:rsid w:val="00E80943"/>
    <w:rsid w:val="00E80957"/>
    <w:rsid w:val="00E8097A"/>
    <w:rsid w:val="00E8097D"/>
    <w:rsid w:val="00E80A2C"/>
    <w:rsid w:val="00E80AF6"/>
    <w:rsid w:val="00E80B30"/>
    <w:rsid w:val="00E80B4F"/>
    <w:rsid w:val="00E80C2F"/>
    <w:rsid w:val="00E80D01"/>
    <w:rsid w:val="00E80D36"/>
    <w:rsid w:val="00E80D95"/>
    <w:rsid w:val="00E80DEF"/>
    <w:rsid w:val="00E8100B"/>
    <w:rsid w:val="00E81147"/>
    <w:rsid w:val="00E81176"/>
    <w:rsid w:val="00E81199"/>
    <w:rsid w:val="00E811D1"/>
    <w:rsid w:val="00E8144E"/>
    <w:rsid w:val="00E8149A"/>
    <w:rsid w:val="00E8156F"/>
    <w:rsid w:val="00E81626"/>
    <w:rsid w:val="00E81A69"/>
    <w:rsid w:val="00E81A9D"/>
    <w:rsid w:val="00E81B6A"/>
    <w:rsid w:val="00E81BC7"/>
    <w:rsid w:val="00E81C0E"/>
    <w:rsid w:val="00E81EB4"/>
    <w:rsid w:val="00E81FB9"/>
    <w:rsid w:val="00E82072"/>
    <w:rsid w:val="00E820FA"/>
    <w:rsid w:val="00E8210B"/>
    <w:rsid w:val="00E822F1"/>
    <w:rsid w:val="00E82441"/>
    <w:rsid w:val="00E82476"/>
    <w:rsid w:val="00E826AA"/>
    <w:rsid w:val="00E82996"/>
    <w:rsid w:val="00E829CF"/>
    <w:rsid w:val="00E82BE8"/>
    <w:rsid w:val="00E82D8D"/>
    <w:rsid w:val="00E82DBA"/>
    <w:rsid w:val="00E82EA5"/>
    <w:rsid w:val="00E83037"/>
    <w:rsid w:val="00E83106"/>
    <w:rsid w:val="00E831B0"/>
    <w:rsid w:val="00E83499"/>
    <w:rsid w:val="00E834A4"/>
    <w:rsid w:val="00E835B4"/>
    <w:rsid w:val="00E83767"/>
    <w:rsid w:val="00E837AC"/>
    <w:rsid w:val="00E83833"/>
    <w:rsid w:val="00E838FB"/>
    <w:rsid w:val="00E838FD"/>
    <w:rsid w:val="00E8396D"/>
    <w:rsid w:val="00E839C7"/>
    <w:rsid w:val="00E83A09"/>
    <w:rsid w:val="00E83AA3"/>
    <w:rsid w:val="00E83AD6"/>
    <w:rsid w:val="00E83B92"/>
    <w:rsid w:val="00E83BA7"/>
    <w:rsid w:val="00E83BF8"/>
    <w:rsid w:val="00E83F13"/>
    <w:rsid w:val="00E83FDF"/>
    <w:rsid w:val="00E8401C"/>
    <w:rsid w:val="00E840CA"/>
    <w:rsid w:val="00E8410F"/>
    <w:rsid w:val="00E84311"/>
    <w:rsid w:val="00E84313"/>
    <w:rsid w:val="00E84390"/>
    <w:rsid w:val="00E843CB"/>
    <w:rsid w:val="00E84409"/>
    <w:rsid w:val="00E844C4"/>
    <w:rsid w:val="00E845C5"/>
    <w:rsid w:val="00E846D0"/>
    <w:rsid w:val="00E84916"/>
    <w:rsid w:val="00E84986"/>
    <w:rsid w:val="00E84B14"/>
    <w:rsid w:val="00E84BE2"/>
    <w:rsid w:val="00E84EFB"/>
    <w:rsid w:val="00E85029"/>
    <w:rsid w:val="00E850BF"/>
    <w:rsid w:val="00E85184"/>
    <w:rsid w:val="00E851F3"/>
    <w:rsid w:val="00E8533E"/>
    <w:rsid w:val="00E853D4"/>
    <w:rsid w:val="00E853D6"/>
    <w:rsid w:val="00E853E2"/>
    <w:rsid w:val="00E855C6"/>
    <w:rsid w:val="00E8569A"/>
    <w:rsid w:val="00E856F7"/>
    <w:rsid w:val="00E857C5"/>
    <w:rsid w:val="00E8589E"/>
    <w:rsid w:val="00E8593F"/>
    <w:rsid w:val="00E85A20"/>
    <w:rsid w:val="00E85A49"/>
    <w:rsid w:val="00E85BA4"/>
    <w:rsid w:val="00E85BA8"/>
    <w:rsid w:val="00E85CA0"/>
    <w:rsid w:val="00E85CA5"/>
    <w:rsid w:val="00E85EB6"/>
    <w:rsid w:val="00E85EC5"/>
    <w:rsid w:val="00E85F16"/>
    <w:rsid w:val="00E85F8A"/>
    <w:rsid w:val="00E85FA3"/>
    <w:rsid w:val="00E86032"/>
    <w:rsid w:val="00E86059"/>
    <w:rsid w:val="00E860EB"/>
    <w:rsid w:val="00E8615D"/>
    <w:rsid w:val="00E8618D"/>
    <w:rsid w:val="00E861FE"/>
    <w:rsid w:val="00E862F2"/>
    <w:rsid w:val="00E86363"/>
    <w:rsid w:val="00E86432"/>
    <w:rsid w:val="00E86512"/>
    <w:rsid w:val="00E866BC"/>
    <w:rsid w:val="00E866EF"/>
    <w:rsid w:val="00E86906"/>
    <w:rsid w:val="00E86A3C"/>
    <w:rsid w:val="00E86A7C"/>
    <w:rsid w:val="00E86B01"/>
    <w:rsid w:val="00E86B4A"/>
    <w:rsid w:val="00E86C13"/>
    <w:rsid w:val="00E86C8B"/>
    <w:rsid w:val="00E86DBE"/>
    <w:rsid w:val="00E86E29"/>
    <w:rsid w:val="00E8702B"/>
    <w:rsid w:val="00E87198"/>
    <w:rsid w:val="00E871DC"/>
    <w:rsid w:val="00E8736C"/>
    <w:rsid w:val="00E87384"/>
    <w:rsid w:val="00E8739F"/>
    <w:rsid w:val="00E876C5"/>
    <w:rsid w:val="00E87712"/>
    <w:rsid w:val="00E8772D"/>
    <w:rsid w:val="00E8775B"/>
    <w:rsid w:val="00E879B4"/>
    <w:rsid w:val="00E87A08"/>
    <w:rsid w:val="00E87A81"/>
    <w:rsid w:val="00E87D5F"/>
    <w:rsid w:val="00E87D82"/>
    <w:rsid w:val="00E87DEE"/>
    <w:rsid w:val="00E87E71"/>
    <w:rsid w:val="00E87F69"/>
    <w:rsid w:val="00E87F93"/>
    <w:rsid w:val="00E90091"/>
    <w:rsid w:val="00E9009D"/>
    <w:rsid w:val="00E900AF"/>
    <w:rsid w:val="00E90107"/>
    <w:rsid w:val="00E90122"/>
    <w:rsid w:val="00E90195"/>
    <w:rsid w:val="00E901CE"/>
    <w:rsid w:val="00E901F3"/>
    <w:rsid w:val="00E9026A"/>
    <w:rsid w:val="00E90549"/>
    <w:rsid w:val="00E90592"/>
    <w:rsid w:val="00E905C9"/>
    <w:rsid w:val="00E90979"/>
    <w:rsid w:val="00E90A5B"/>
    <w:rsid w:val="00E90DC5"/>
    <w:rsid w:val="00E90DC9"/>
    <w:rsid w:val="00E90DCA"/>
    <w:rsid w:val="00E90E25"/>
    <w:rsid w:val="00E90E89"/>
    <w:rsid w:val="00E90ED5"/>
    <w:rsid w:val="00E91105"/>
    <w:rsid w:val="00E9114D"/>
    <w:rsid w:val="00E912F2"/>
    <w:rsid w:val="00E9134D"/>
    <w:rsid w:val="00E913C2"/>
    <w:rsid w:val="00E9151A"/>
    <w:rsid w:val="00E91607"/>
    <w:rsid w:val="00E9170B"/>
    <w:rsid w:val="00E9179F"/>
    <w:rsid w:val="00E9184D"/>
    <w:rsid w:val="00E918D0"/>
    <w:rsid w:val="00E91999"/>
    <w:rsid w:val="00E91A04"/>
    <w:rsid w:val="00E91A59"/>
    <w:rsid w:val="00E91B19"/>
    <w:rsid w:val="00E91CDE"/>
    <w:rsid w:val="00E91D1E"/>
    <w:rsid w:val="00E91D7D"/>
    <w:rsid w:val="00E91DCA"/>
    <w:rsid w:val="00E91DDF"/>
    <w:rsid w:val="00E91DF3"/>
    <w:rsid w:val="00E91E6B"/>
    <w:rsid w:val="00E91F2F"/>
    <w:rsid w:val="00E91F48"/>
    <w:rsid w:val="00E91F7B"/>
    <w:rsid w:val="00E92095"/>
    <w:rsid w:val="00E920DE"/>
    <w:rsid w:val="00E922CE"/>
    <w:rsid w:val="00E923A6"/>
    <w:rsid w:val="00E923EA"/>
    <w:rsid w:val="00E92623"/>
    <w:rsid w:val="00E9268E"/>
    <w:rsid w:val="00E926C1"/>
    <w:rsid w:val="00E92740"/>
    <w:rsid w:val="00E92A5E"/>
    <w:rsid w:val="00E92ABB"/>
    <w:rsid w:val="00E92BB4"/>
    <w:rsid w:val="00E92BFB"/>
    <w:rsid w:val="00E92EA6"/>
    <w:rsid w:val="00E93034"/>
    <w:rsid w:val="00E9308D"/>
    <w:rsid w:val="00E93146"/>
    <w:rsid w:val="00E9328B"/>
    <w:rsid w:val="00E933DC"/>
    <w:rsid w:val="00E93416"/>
    <w:rsid w:val="00E9344B"/>
    <w:rsid w:val="00E93470"/>
    <w:rsid w:val="00E934B9"/>
    <w:rsid w:val="00E935CA"/>
    <w:rsid w:val="00E938BA"/>
    <w:rsid w:val="00E93903"/>
    <w:rsid w:val="00E939E2"/>
    <w:rsid w:val="00E939E4"/>
    <w:rsid w:val="00E93AAF"/>
    <w:rsid w:val="00E93ACB"/>
    <w:rsid w:val="00E93B21"/>
    <w:rsid w:val="00E93B75"/>
    <w:rsid w:val="00E93D0E"/>
    <w:rsid w:val="00E93F29"/>
    <w:rsid w:val="00E93F4F"/>
    <w:rsid w:val="00E94258"/>
    <w:rsid w:val="00E9439C"/>
    <w:rsid w:val="00E943B5"/>
    <w:rsid w:val="00E944EE"/>
    <w:rsid w:val="00E94622"/>
    <w:rsid w:val="00E946DB"/>
    <w:rsid w:val="00E94789"/>
    <w:rsid w:val="00E94807"/>
    <w:rsid w:val="00E9495A"/>
    <w:rsid w:val="00E94A48"/>
    <w:rsid w:val="00E94AAB"/>
    <w:rsid w:val="00E94C6E"/>
    <w:rsid w:val="00E94F17"/>
    <w:rsid w:val="00E94FE1"/>
    <w:rsid w:val="00E95175"/>
    <w:rsid w:val="00E951EA"/>
    <w:rsid w:val="00E951F2"/>
    <w:rsid w:val="00E95239"/>
    <w:rsid w:val="00E95292"/>
    <w:rsid w:val="00E95369"/>
    <w:rsid w:val="00E95383"/>
    <w:rsid w:val="00E953FC"/>
    <w:rsid w:val="00E95506"/>
    <w:rsid w:val="00E9550B"/>
    <w:rsid w:val="00E95650"/>
    <w:rsid w:val="00E9565A"/>
    <w:rsid w:val="00E956EB"/>
    <w:rsid w:val="00E957E5"/>
    <w:rsid w:val="00E958ED"/>
    <w:rsid w:val="00E959C8"/>
    <w:rsid w:val="00E95E3D"/>
    <w:rsid w:val="00E95EA4"/>
    <w:rsid w:val="00E95FC9"/>
    <w:rsid w:val="00E96191"/>
    <w:rsid w:val="00E961DD"/>
    <w:rsid w:val="00E961F5"/>
    <w:rsid w:val="00E962F9"/>
    <w:rsid w:val="00E963ED"/>
    <w:rsid w:val="00E96424"/>
    <w:rsid w:val="00E96524"/>
    <w:rsid w:val="00E96584"/>
    <w:rsid w:val="00E9670C"/>
    <w:rsid w:val="00E9677E"/>
    <w:rsid w:val="00E96797"/>
    <w:rsid w:val="00E969C4"/>
    <w:rsid w:val="00E96AD5"/>
    <w:rsid w:val="00E96B07"/>
    <w:rsid w:val="00E96CED"/>
    <w:rsid w:val="00E96DA5"/>
    <w:rsid w:val="00E96E99"/>
    <w:rsid w:val="00E96FE5"/>
    <w:rsid w:val="00E96FF5"/>
    <w:rsid w:val="00E970A6"/>
    <w:rsid w:val="00E97117"/>
    <w:rsid w:val="00E972DD"/>
    <w:rsid w:val="00E972EE"/>
    <w:rsid w:val="00E97472"/>
    <w:rsid w:val="00E974C5"/>
    <w:rsid w:val="00E974FD"/>
    <w:rsid w:val="00E975C7"/>
    <w:rsid w:val="00E975E8"/>
    <w:rsid w:val="00E97614"/>
    <w:rsid w:val="00E9787C"/>
    <w:rsid w:val="00E97A3F"/>
    <w:rsid w:val="00E97C53"/>
    <w:rsid w:val="00E97D36"/>
    <w:rsid w:val="00E97D88"/>
    <w:rsid w:val="00E97E14"/>
    <w:rsid w:val="00E97ED7"/>
    <w:rsid w:val="00E97EF8"/>
    <w:rsid w:val="00E97F2B"/>
    <w:rsid w:val="00EA0160"/>
    <w:rsid w:val="00EA01A9"/>
    <w:rsid w:val="00EA01AC"/>
    <w:rsid w:val="00EA01DD"/>
    <w:rsid w:val="00EA02B5"/>
    <w:rsid w:val="00EA0301"/>
    <w:rsid w:val="00EA03A4"/>
    <w:rsid w:val="00EA03B9"/>
    <w:rsid w:val="00EA040D"/>
    <w:rsid w:val="00EA05AA"/>
    <w:rsid w:val="00EA06B5"/>
    <w:rsid w:val="00EA07D8"/>
    <w:rsid w:val="00EA07F1"/>
    <w:rsid w:val="00EA0806"/>
    <w:rsid w:val="00EA0908"/>
    <w:rsid w:val="00EA093B"/>
    <w:rsid w:val="00EA0979"/>
    <w:rsid w:val="00EA097F"/>
    <w:rsid w:val="00EA0A82"/>
    <w:rsid w:val="00EA0AF5"/>
    <w:rsid w:val="00EA0B50"/>
    <w:rsid w:val="00EA0CDB"/>
    <w:rsid w:val="00EA0EEB"/>
    <w:rsid w:val="00EA1040"/>
    <w:rsid w:val="00EA1107"/>
    <w:rsid w:val="00EA1165"/>
    <w:rsid w:val="00EA11A4"/>
    <w:rsid w:val="00EA1262"/>
    <w:rsid w:val="00EA1293"/>
    <w:rsid w:val="00EA1300"/>
    <w:rsid w:val="00EA1394"/>
    <w:rsid w:val="00EA1400"/>
    <w:rsid w:val="00EA1551"/>
    <w:rsid w:val="00EA15C8"/>
    <w:rsid w:val="00EA1626"/>
    <w:rsid w:val="00EA1763"/>
    <w:rsid w:val="00EA1783"/>
    <w:rsid w:val="00EA18C2"/>
    <w:rsid w:val="00EA19DF"/>
    <w:rsid w:val="00EA1A51"/>
    <w:rsid w:val="00EA1AD4"/>
    <w:rsid w:val="00EA1B1B"/>
    <w:rsid w:val="00EA1B5B"/>
    <w:rsid w:val="00EA1D3C"/>
    <w:rsid w:val="00EA1E90"/>
    <w:rsid w:val="00EA1F66"/>
    <w:rsid w:val="00EA2011"/>
    <w:rsid w:val="00EA2070"/>
    <w:rsid w:val="00EA20BE"/>
    <w:rsid w:val="00EA21E3"/>
    <w:rsid w:val="00EA21F2"/>
    <w:rsid w:val="00EA229B"/>
    <w:rsid w:val="00EA241B"/>
    <w:rsid w:val="00EA2490"/>
    <w:rsid w:val="00EA24FE"/>
    <w:rsid w:val="00EA2538"/>
    <w:rsid w:val="00EA2589"/>
    <w:rsid w:val="00EA25AC"/>
    <w:rsid w:val="00EA2647"/>
    <w:rsid w:val="00EA26D8"/>
    <w:rsid w:val="00EA274C"/>
    <w:rsid w:val="00EA2797"/>
    <w:rsid w:val="00EA2855"/>
    <w:rsid w:val="00EA295B"/>
    <w:rsid w:val="00EA2989"/>
    <w:rsid w:val="00EA2991"/>
    <w:rsid w:val="00EA29B1"/>
    <w:rsid w:val="00EA2A0A"/>
    <w:rsid w:val="00EA2D8F"/>
    <w:rsid w:val="00EA2E0D"/>
    <w:rsid w:val="00EA2E0F"/>
    <w:rsid w:val="00EA2E14"/>
    <w:rsid w:val="00EA2E5B"/>
    <w:rsid w:val="00EA2FCE"/>
    <w:rsid w:val="00EA312B"/>
    <w:rsid w:val="00EA3217"/>
    <w:rsid w:val="00EA3244"/>
    <w:rsid w:val="00EA32D1"/>
    <w:rsid w:val="00EA34E5"/>
    <w:rsid w:val="00EA3703"/>
    <w:rsid w:val="00EA3764"/>
    <w:rsid w:val="00EA37A4"/>
    <w:rsid w:val="00EA37C8"/>
    <w:rsid w:val="00EA37F4"/>
    <w:rsid w:val="00EA3871"/>
    <w:rsid w:val="00EA38AC"/>
    <w:rsid w:val="00EA399A"/>
    <w:rsid w:val="00EA39DA"/>
    <w:rsid w:val="00EA3AAB"/>
    <w:rsid w:val="00EA3C82"/>
    <w:rsid w:val="00EA3DCB"/>
    <w:rsid w:val="00EA4017"/>
    <w:rsid w:val="00EA41CF"/>
    <w:rsid w:val="00EA41F5"/>
    <w:rsid w:val="00EA4215"/>
    <w:rsid w:val="00EA423A"/>
    <w:rsid w:val="00EA432B"/>
    <w:rsid w:val="00EA466E"/>
    <w:rsid w:val="00EA4694"/>
    <w:rsid w:val="00EA46C5"/>
    <w:rsid w:val="00EA4745"/>
    <w:rsid w:val="00EA47FE"/>
    <w:rsid w:val="00EA48E3"/>
    <w:rsid w:val="00EA4B41"/>
    <w:rsid w:val="00EA4BA0"/>
    <w:rsid w:val="00EA4C11"/>
    <w:rsid w:val="00EA4C26"/>
    <w:rsid w:val="00EA4DAC"/>
    <w:rsid w:val="00EA4DD5"/>
    <w:rsid w:val="00EA4DD7"/>
    <w:rsid w:val="00EA4DEE"/>
    <w:rsid w:val="00EA4F0D"/>
    <w:rsid w:val="00EA4F0F"/>
    <w:rsid w:val="00EA5144"/>
    <w:rsid w:val="00EA5189"/>
    <w:rsid w:val="00EA521B"/>
    <w:rsid w:val="00EA527C"/>
    <w:rsid w:val="00EA52A8"/>
    <w:rsid w:val="00EA52F0"/>
    <w:rsid w:val="00EA53DC"/>
    <w:rsid w:val="00EA55B5"/>
    <w:rsid w:val="00EA56D7"/>
    <w:rsid w:val="00EA5736"/>
    <w:rsid w:val="00EA5790"/>
    <w:rsid w:val="00EA57D3"/>
    <w:rsid w:val="00EA58A8"/>
    <w:rsid w:val="00EA5ADA"/>
    <w:rsid w:val="00EA5AE3"/>
    <w:rsid w:val="00EA5E99"/>
    <w:rsid w:val="00EA5FAD"/>
    <w:rsid w:val="00EA60B5"/>
    <w:rsid w:val="00EA6118"/>
    <w:rsid w:val="00EA6316"/>
    <w:rsid w:val="00EA6322"/>
    <w:rsid w:val="00EA63D4"/>
    <w:rsid w:val="00EA659A"/>
    <w:rsid w:val="00EA66A8"/>
    <w:rsid w:val="00EA6814"/>
    <w:rsid w:val="00EA686C"/>
    <w:rsid w:val="00EA6907"/>
    <w:rsid w:val="00EA6A5D"/>
    <w:rsid w:val="00EA6A67"/>
    <w:rsid w:val="00EA6B14"/>
    <w:rsid w:val="00EA6B27"/>
    <w:rsid w:val="00EA6BCB"/>
    <w:rsid w:val="00EA6CF5"/>
    <w:rsid w:val="00EA6D39"/>
    <w:rsid w:val="00EA6DA3"/>
    <w:rsid w:val="00EA6E69"/>
    <w:rsid w:val="00EA7022"/>
    <w:rsid w:val="00EA7173"/>
    <w:rsid w:val="00EA71C4"/>
    <w:rsid w:val="00EA71ED"/>
    <w:rsid w:val="00EA7544"/>
    <w:rsid w:val="00EA7556"/>
    <w:rsid w:val="00EA7561"/>
    <w:rsid w:val="00EA7719"/>
    <w:rsid w:val="00EA773E"/>
    <w:rsid w:val="00EA77CC"/>
    <w:rsid w:val="00EA7A03"/>
    <w:rsid w:val="00EA7A66"/>
    <w:rsid w:val="00EA7A7B"/>
    <w:rsid w:val="00EA7AEE"/>
    <w:rsid w:val="00EA7B2C"/>
    <w:rsid w:val="00EA7B5F"/>
    <w:rsid w:val="00EA7C1B"/>
    <w:rsid w:val="00EA7C3A"/>
    <w:rsid w:val="00EA7C79"/>
    <w:rsid w:val="00EA7D35"/>
    <w:rsid w:val="00EA7EEE"/>
    <w:rsid w:val="00EA7F19"/>
    <w:rsid w:val="00EA7F6F"/>
    <w:rsid w:val="00EB01C1"/>
    <w:rsid w:val="00EB02F9"/>
    <w:rsid w:val="00EB031D"/>
    <w:rsid w:val="00EB03AD"/>
    <w:rsid w:val="00EB0409"/>
    <w:rsid w:val="00EB0423"/>
    <w:rsid w:val="00EB04E2"/>
    <w:rsid w:val="00EB04F6"/>
    <w:rsid w:val="00EB052D"/>
    <w:rsid w:val="00EB055F"/>
    <w:rsid w:val="00EB05D1"/>
    <w:rsid w:val="00EB0603"/>
    <w:rsid w:val="00EB0799"/>
    <w:rsid w:val="00EB0A0C"/>
    <w:rsid w:val="00EB0A39"/>
    <w:rsid w:val="00EB0A9D"/>
    <w:rsid w:val="00EB0B1E"/>
    <w:rsid w:val="00EB0B38"/>
    <w:rsid w:val="00EB0CB6"/>
    <w:rsid w:val="00EB0D3B"/>
    <w:rsid w:val="00EB0E2E"/>
    <w:rsid w:val="00EB0E36"/>
    <w:rsid w:val="00EB0EDD"/>
    <w:rsid w:val="00EB1214"/>
    <w:rsid w:val="00EB1315"/>
    <w:rsid w:val="00EB131D"/>
    <w:rsid w:val="00EB135F"/>
    <w:rsid w:val="00EB13A6"/>
    <w:rsid w:val="00EB13C6"/>
    <w:rsid w:val="00EB13DF"/>
    <w:rsid w:val="00EB1458"/>
    <w:rsid w:val="00EB15AD"/>
    <w:rsid w:val="00EB1617"/>
    <w:rsid w:val="00EB163A"/>
    <w:rsid w:val="00EB17CA"/>
    <w:rsid w:val="00EB17CF"/>
    <w:rsid w:val="00EB1887"/>
    <w:rsid w:val="00EB1A29"/>
    <w:rsid w:val="00EB1AFE"/>
    <w:rsid w:val="00EB1B68"/>
    <w:rsid w:val="00EB1C46"/>
    <w:rsid w:val="00EB1C6E"/>
    <w:rsid w:val="00EB1CED"/>
    <w:rsid w:val="00EB1D48"/>
    <w:rsid w:val="00EB1E5C"/>
    <w:rsid w:val="00EB1EFA"/>
    <w:rsid w:val="00EB1FD3"/>
    <w:rsid w:val="00EB1FD8"/>
    <w:rsid w:val="00EB20FA"/>
    <w:rsid w:val="00EB2214"/>
    <w:rsid w:val="00EB2233"/>
    <w:rsid w:val="00EB2298"/>
    <w:rsid w:val="00EB22BD"/>
    <w:rsid w:val="00EB2309"/>
    <w:rsid w:val="00EB2334"/>
    <w:rsid w:val="00EB2407"/>
    <w:rsid w:val="00EB2439"/>
    <w:rsid w:val="00EB26EB"/>
    <w:rsid w:val="00EB27D0"/>
    <w:rsid w:val="00EB2832"/>
    <w:rsid w:val="00EB28D1"/>
    <w:rsid w:val="00EB28FF"/>
    <w:rsid w:val="00EB2912"/>
    <w:rsid w:val="00EB294B"/>
    <w:rsid w:val="00EB2A2E"/>
    <w:rsid w:val="00EB2A37"/>
    <w:rsid w:val="00EB2CAA"/>
    <w:rsid w:val="00EB2D85"/>
    <w:rsid w:val="00EB2D8F"/>
    <w:rsid w:val="00EB2E77"/>
    <w:rsid w:val="00EB2F45"/>
    <w:rsid w:val="00EB3097"/>
    <w:rsid w:val="00EB30A9"/>
    <w:rsid w:val="00EB3263"/>
    <w:rsid w:val="00EB3363"/>
    <w:rsid w:val="00EB33A3"/>
    <w:rsid w:val="00EB33E8"/>
    <w:rsid w:val="00EB3459"/>
    <w:rsid w:val="00EB3583"/>
    <w:rsid w:val="00EB35C1"/>
    <w:rsid w:val="00EB35E7"/>
    <w:rsid w:val="00EB3983"/>
    <w:rsid w:val="00EB39A3"/>
    <w:rsid w:val="00EB3A00"/>
    <w:rsid w:val="00EB3AAF"/>
    <w:rsid w:val="00EB3AC2"/>
    <w:rsid w:val="00EB3B49"/>
    <w:rsid w:val="00EB3BEB"/>
    <w:rsid w:val="00EB3CFA"/>
    <w:rsid w:val="00EB3DC7"/>
    <w:rsid w:val="00EB3E3A"/>
    <w:rsid w:val="00EB3F7D"/>
    <w:rsid w:val="00EB3FC0"/>
    <w:rsid w:val="00EB3FEE"/>
    <w:rsid w:val="00EB4042"/>
    <w:rsid w:val="00EB4147"/>
    <w:rsid w:val="00EB418E"/>
    <w:rsid w:val="00EB4242"/>
    <w:rsid w:val="00EB4279"/>
    <w:rsid w:val="00EB43A0"/>
    <w:rsid w:val="00EB43C1"/>
    <w:rsid w:val="00EB43D7"/>
    <w:rsid w:val="00EB4412"/>
    <w:rsid w:val="00EB4552"/>
    <w:rsid w:val="00EB45C0"/>
    <w:rsid w:val="00EB45CE"/>
    <w:rsid w:val="00EB45EA"/>
    <w:rsid w:val="00EB46BF"/>
    <w:rsid w:val="00EB4722"/>
    <w:rsid w:val="00EB478E"/>
    <w:rsid w:val="00EB49AB"/>
    <w:rsid w:val="00EB49CB"/>
    <w:rsid w:val="00EB49FF"/>
    <w:rsid w:val="00EB4A74"/>
    <w:rsid w:val="00EB4AA5"/>
    <w:rsid w:val="00EB4B4E"/>
    <w:rsid w:val="00EB4B5E"/>
    <w:rsid w:val="00EB4C06"/>
    <w:rsid w:val="00EB4C2E"/>
    <w:rsid w:val="00EB4C76"/>
    <w:rsid w:val="00EB4CF2"/>
    <w:rsid w:val="00EB4D07"/>
    <w:rsid w:val="00EB4D19"/>
    <w:rsid w:val="00EB4E07"/>
    <w:rsid w:val="00EB4F40"/>
    <w:rsid w:val="00EB4F5D"/>
    <w:rsid w:val="00EB4F79"/>
    <w:rsid w:val="00EB4F96"/>
    <w:rsid w:val="00EB4FFB"/>
    <w:rsid w:val="00EB500D"/>
    <w:rsid w:val="00EB504D"/>
    <w:rsid w:val="00EB5097"/>
    <w:rsid w:val="00EB509A"/>
    <w:rsid w:val="00EB5152"/>
    <w:rsid w:val="00EB5156"/>
    <w:rsid w:val="00EB538D"/>
    <w:rsid w:val="00EB53F9"/>
    <w:rsid w:val="00EB5533"/>
    <w:rsid w:val="00EB5595"/>
    <w:rsid w:val="00EB5642"/>
    <w:rsid w:val="00EB566F"/>
    <w:rsid w:val="00EB5726"/>
    <w:rsid w:val="00EB5765"/>
    <w:rsid w:val="00EB5871"/>
    <w:rsid w:val="00EB58D8"/>
    <w:rsid w:val="00EB5AC7"/>
    <w:rsid w:val="00EB5BF6"/>
    <w:rsid w:val="00EB5C2F"/>
    <w:rsid w:val="00EB5C34"/>
    <w:rsid w:val="00EB5CF0"/>
    <w:rsid w:val="00EB5D1F"/>
    <w:rsid w:val="00EB5D3F"/>
    <w:rsid w:val="00EB5F4B"/>
    <w:rsid w:val="00EB5F52"/>
    <w:rsid w:val="00EB5F77"/>
    <w:rsid w:val="00EB6054"/>
    <w:rsid w:val="00EB6110"/>
    <w:rsid w:val="00EB6141"/>
    <w:rsid w:val="00EB6236"/>
    <w:rsid w:val="00EB62C9"/>
    <w:rsid w:val="00EB63AA"/>
    <w:rsid w:val="00EB63E3"/>
    <w:rsid w:val="00EB64FE"/>
    <w:rsid w:val="00EB6520"/>
    <w:rsid w:val="00EB652B"/>
    <w:rsid w:val="00EB665B"/>
    <w:rsid w:val="00EB66BA"/>
    <w:rsid w:val="00EB66C6"/>
    <w:rsid w:val="00EB6719"/>
    <w:rsid w:val="00EB6775"/>
    <w:rsid w:val="00EB68A8"/>
    <w:rsid w:val="00EB6905"/>
    <w:rsid w:val="00EB696F"/>
    <w:rsid w:val="00EB6B2E"/>
    <w:rsid w:val="00EB6BE4"/>
    <w:rsid w:val="00EB6C9B"/>
    <w:rsid w:val="00EB6CD7"/>
    <w:rsid w:val="00EB6D03"/>
    <w:rsid w:val="00EB6D5B"/>
    <w:rsid w:val="00EB6D79"/>
    <w:rsid w:val="00EB6E07"/>
    <w:rsid w:val="00EB6E58"/>
    <w:rsid w:val="00EB7069"/>
    <w:rsid w:val="00EB72BA"/>
    <w:rsid w:val="00EB7372"/>
    <w:rsid w:val="00EB745E"/>
    <w:rsid w:val="00EB74A6"/>
    <w:rsid w:val="00EB74EA"/>
    <w:rsid w:val="00EB74EB"/>
    <w:rsid w:val="00EB75F6"/>
    <w:rsid w:val="00EB7890"/>
    <w:rsid w:val="00EB795A"/>
    <w:rsid w:val="00EB7AC7"/>
    <w:rsid w:val="00EB7C64"/>
    <w:rsid w:val="00EB7F31"/>
    <w:rsid w:val="00EB7F48"/>
    <w:rsid w:val="00EC0138"/>
    <w:rsid w:val="00EC0239"/>
    <w:rsid w:val="00EC028A"/>
    <w:rsid w:val="00EC02B3"/>
    <w:rsid w:val="00EC0371"/>
    <w:rsid w:val="00EC03F8"/>
    <w:rsid w:val="00EC0450"/>
    <w:rsid w:val="00EC0526"/>
    <w:rsid w:val="00EC060A"/>
    <w:rsid w:val="00EC06BE"/>
    <w:rsid w:val="00EC06D5"/>
    <w:rsid w:val="00EC0744"/>
    <w:rsid w:val="00EC08D8"/>
    <w:rsid w:val="00EC09DB"/>
    <w:rsid w:val="00EC0A05"/>
    <w:rsid w:val="00EC0A64"/>
    <w:rsid w:val="00EC0B61"/>
    <w:rsid w:val="00EC0E0C"/>
    <w:rsid w:val="00EC10D1"/>
    <w:rsid w:val="00EC1138"/>
    <w:rsid w:val="00EC114D"/>
    <w:rsid w:val="00EC114F"/>
    <w:rsid w:val="00EC11A6"/>
    <w:rsid w:val="00EC11E6"/>
    <w:rsid w:val="00EC121D"/>
    <w:rsid w:val="00EC1243"/>
    <w:rsid w:val="00EC1292"/>
    <w:rsid w:val="00EC12CB"/>
    <w:rsid w:val="00EC130C"/>
    <w:rsid w:val="00EC16B9"/>
    <w:rsid w:val="00EC16C8"/>
    <w:rsid w:val="00EC16F3"/>
    <w:rsid w:val="00EC17D0"/>
    <w:rsid w:val="00EC192A"/>
    <w:rsid w:val="00EC19DF"/>
    <w:rsid w:val="00EC1B46"/>
    <w:rsid w:val="00EC1BF7"/>
    <w:rsid w:val="00EC1E9E"/>
    <w:rsid w:val="00EC1EDC"/>
    <w:rsid w:val="00EC1FA8"/>
    <w:rsid w:val="00EC209A"/>
    <w:rsid w:val="00EC228F"/>
    <w:rsid w:val="00EC2335"/>
    <w:rsid w:val="00EC238D"/>
    <w:rsid w:val="00EC2455"/>
    <w:rsid w:val="00EC2469"/>
    <w:rsid w:val="00EC2495"/>
    <w:rsid w:val="00EC24E7"/>
    <w:rsid w:val="00EC2614"/>
    <w:rsid w:val="00EC267D"/>
    <w:rsid w:val="00EC274C"/>
    <w:rsid w:val="00EC275E"/>
    <w:rsid w:val="00EC285B"/>
    <w:rsid w:val="00EC2887"/>
    <w:rsid w:val="00EC2B4A"/>
    <w:rsid w:val="00EC2C91"/>
    <w:rsid w:val="00EC2D81"/>
    <w:rsid w:val="00EC2E09"/>
    <w:rsid w:val="00EC2E95"/>
    <w:rsid w:val="00EC2EA6"/>
    <w:rsid w:val="00EC2EE8"/>
    <w:rsid w:val="00EC2EF6"/>
    <w:rsid w:val="00EC2FFC"/>
    <w:rsid w:val="00EC3109"/>
    <w:rsid w:val="00EC3192"/>
    <w:rsid w:val="00EC324C"/>
    <w:rsid w:val="00EC3301"/>
    <w:rsid w:val="00EC33B3"/>
    <w:rsid w:val="00EC33CB"/>
    <w:rsid w:val="00EC3522"/>
    <w:rsid w:val="00EC3583"/>
    <w:rsid w:val="00EC37B4"/>
    <w:rsid w:val="00EC37D5"/>
    <w:rsid w:val="00EC388E"/>
    <w:rsid w:val="00EC391D"/>
    <w:rsid w:val="00EC39A7"/>
    <w:rsid w:val="00EC3ABE"/>
    <w:rsid w:val="00EC3BE7"/>
    <w:rsid w:val="00EC3C2F"/>
    <w:rsid w:val="00EC3D71"/>
    <w:rsid w:val="00EC3E51"/>
    <w:rsid w:val="00EC3F3B"/>
    <w:rsid w:val="00EC3F70"/>
    <w:rsid w:val="00EC4021"/>
    <w:rsid w:val="00EC41CA"/>
    <w:rsid w:val="00EC42ED"/>
    <w:rsid w:val="00EC4323"/>
    <w:rsid w:val="00EC45E3"/>
    <w:rsid w:val="00EC4753"/>
    <w:rsid w:val="00EC4772"/>
    <w:rsid w:val="00EC47B5"/>
    <w:rsid w:val="00EC49B3"/>
    <w:rsid w:val="00EC4A6E"/>
    <w:rsid w:val="00EC4AE8"/>
    <w:rsid w:val="00EC4B6C"/>
    <w:rsid w:val="00EC4BF1"/>
    <w:rsid w:val="00EC4C4D"/>
    <w:rsid w:val="00EC4D79"/>
    <w:rsid w:val="00EC4F05"/>
    <w:rsid w:val="00EC4F96"/>
    <w:rsid w:val="00EC4FC7"/>
    <w:rsid w:val="00EC501D"/>
    <w:rsid w:val="00EC5025"/>
    <w:rsid w:val="00EC50CB"/>
    <w:rsid w:val="00EC50EC"/>
    <w:rsid w:val="00EC5199"/>
    <w:rsid w:val="00EC52D5"/>
    <w:rsid w:val="00EC535B"/>
    <w:rsid w:val="00EC53BE"/>
    <w:rsid w:val="00EC53C3"/>
    <w:rsid w:val="00EC53C4"/>
    <w:rsid w:val="00EC5435"/>
    <w:rsid w:val="00EC5514"/>
    <w:rsid w:val="00EC5619"/>
    <w:rsid w:val="00EC5732"/>
    <w:rsid w:val="00EC5771"/>
    <w:rsid w:val="00EC57B4"/>
    <w:rsid w:val="00EC5832"/>
    <w:rsid w:val="00EC5881"/>
    <w:rsid w:val="00EC58DB"/>
    <w:rsid w:val="00EC59FF"/>
    <w:rsid w:val="00EC5A38"/>
    <w:rsid w:val="00EC5A85"/>
    <w:rsid w:val="00EC5AF3"/>
    <w:rsid w:val="00EC5C73"/>
    <w:rsid w:val="00EC5D16"/>
    <w:rsid w:val="00EC5D1A"/>
    <w:rsid w:val="00EC5F6E"/>
    <w:rsid w:val="00EC5FE8"/>
    <w:rsid w:val="00EC6015"/>
    <w:rsid w:val="00EC628D"/>
    <w:rsid w:val="00EC6344"/>
    <w:rsid w:val="00EC6350"/>
    <w:rsid w:val="00EC6377"/>
    <w:rsid w:val="00EC639B"/>
    <w:rsid w:val="00EC6480"/>
    <w:rsid w:val="00EC64BA"/>
    <w:rsid w:val="00EC64D7"/>
    <w:rsid w:val="00EC64DA"/>
    <w:rsid w:val="00EC664C"/>
    <w:rsid w:val="00EC6738"/>
    <w:rsid w:val="00EC6764"/>
    <w:rsid w:val="00EC676E"/>
    <w:rsid w:val="00EC68F5"/>
    <w:rsid w:val="00EC692F"/>
    <w:rsid w:val="00EC6945"/>
    <w:rsid w:val="00EC694C"/>
    <w:rsid w:val="00EC69B3"/>
    <w:rsid w:val="00EC6AA3"/>
    <w:rsid w:val="00EC6AA7"/>
    <w:rsid w:val="00EC6B4E"/>
    <w:rsid w:val="00EC6B9C"/>
    <w:rsid w:val="00EC6C2C"/>
    <w:rsid w:val="00EC6C73"/>
    <w:rsid w:val="00EC6E6D"/>
    <w:rsid w:val="00EC6F9B"/>
    <w:rsid w:val="00EC6FB2"/>
    <w:rsid w:val="00EC7015"/>
    <w:rsid w:val="00EC73BB"/>
    <w:rsid w:val="00EC7455"/>
    <w:rsid w:val="00EC74A2"/>
    <w:rsid w:val="00EC7527"/>
    <w:rsid w:val="00EC7584"/>
    <w:rsid w:val="00EC76C6"/>
    <w:rsid w:val="00EC76E4"/>
    <w:rsid w:val="00EC7787"/>
    <w:rsid w:val="00EC79B4"/>
    <w:rsid w:val="00EC79ED"/>
    <w:rsid w:val="00EC7A11"/>
    <w:rsid w:val="00EC7A7E"/>
    <w:rsid w:val="00EC7AFE"/>
    <w:rsid w:val="00EC7BB5"/>
    <w:rsid w:val="00EC7CC5"/>
    <w:rsid w:val="00EC7CEE"/>
    <w:rsid w:val="00EC7D39"/>
    <w:rsid w:val="00EC7F7F"/>
    <w:rsid w:val="00ED0115"/>
    <w:rsid w:val="00ED0195"/>
    <w:rsid w:val="00ED0280"/>
    <w:rsid w:val="00ED029E"/>
    <w:rsid w:val="00ED02C3"/>
    <w:rsid w:val="00ED030E"/>
    <w:rsid w:val="00ED0345"/>
    <w:rsid w:val="00ED0361"/>
    <w:rsid w:val="00ED047E"/>
    <w:rsid w:val="00ED069E"/>
    <w:rsid w:val="00ED06C5"/>
    <w:rsid w:val="00ED06C8"/>
    <w:rsid w:val="00ED07DF"/>
    <w:rsid w:val="00ED0829"/>
    <w:rsid w:val="00ED0866"/>
    <w:rsid w:val="00ED0868"/>
    <w:rsid w:val="00ED08FF"/>
    <w:rsid w:val="00ED0A83"/>
    <w:rsid w:val="00ED0AF2"/>
    <w:rsid w:val="00ED0C10"/>
    <w:rsid w:val="00ED0CA1"/>
    <w:rsid w:val="00ED0CE5"/>
    <w:rsid w:val="00ED0DAE"/>
    <w:rsid w:val="00ED0EEC"/>
    <w:rsid w:val="00ED0F08"/>
    <w:rsid w:val="00ED0F53"/>
    <w:rsid w:val="00ED0FD5"/>
    <w:rsid w:val="00ED1051"/>
    <w:rsid w:val="00ED10FD"/>
    <w:rsid w:val="00ED1207"/>
    <w:rsid w:val="00ED169E"/>
    <w:rsid w:val="00ED18E7"/>
    <w:rsid w:val="00ED1B13"/>
    <w:rsid w:val="00ED1C60"/>
    <w:rsid w:val="00ED1D01"/>
    <w:rsid w:val="00ED1D2D"/>
    <w:rsid w:val="00ED1D72"/>
    <w:rsid w:val="00ED210B"/>
    <w:rsid w:val="00ED2119"/>
    <w:rsid w:val="00ED223C"/>
    <w:rsid w:val="00ED227A"/>
    <w:rsid w:val="00ED2309"/>
    <w:rsid w:val="00ED23A8"/>
    <w:rsid w:val="00ED2454"/>
    <w:rsid w:val="00ED24B2"/>
    <w:rsid w:val="00ED25CF"/>
    <w:rsid w:val="00ED26DD"/>
    <w:rsid w:val="00ED29E5"/>
    <w:rsid w:val="00ED2B87"/>
    <w:rsid w:val="00ED2BDB"/>
    <w:rsid w:val="00ED2C1C"/>
    <w:rsid w:val="00ED2C51"/>
    <w:rsid w:val="00ED2C71"/>
    <w:rsid w:val="00ED2CFC"/>
    <w:rsid w:val="00ED2D99"/>
    <w:rsid w:val="00ED2D9F"/>
    <w:rsid w:val="00ED2DC5"/>
    <w:rsid w:val="00ED2E4C"/>
    <w:rsid w:val="00ED2EE6"/>
    <w:rsid w:val="00ED2F0E"/>
    <w:rsid w:val="00ED2FEF"/>
    <w:rsid w:val="00ED300D"/>
    <w:rsid w:val="00ED3045"/>
    <w:rsid w:val="00ED315E"/>
    <w:rsid w:val="00ED3196"/>
    <w:rsid w:val="00ED31CF"/>
    <w:rsid w:val="00ED3295"/>
    <w:rsid w:val="00ED32B5"/>
    <w:rsid w:val="00ED34E3"/>
    <w:rsid w:val="00ED3731"/>
    <w:rsid w:val="00ED373B"/>
    <w:rsid w:val="00ED374F"/>
    <w:rsid w:val="00ED395C"/>
    <w:rsid w:val="00ED3B00"/>
    <w:rsid w:val="00ED3BF7"/>
    <w:rsid w:val="00ED3C79"/>
    <w:rsid w:val="00ED3D14"/>
    <w:rsid w:val="00ED3D30"/>
    <w:rsid w:val="00ED3DA3"/>
    <w:rsid w:val="00ED3DBC"/>
    <w:rsid w:val="00ED3EAB"/>
    <w:rsid w:val="00ED3FC7"/>
    <w:rsid w:val="00ED3FE8"/>
    <w:rsid w:val="00ED401A"/>
    <w:rsid w:val="00ED4096"/>
    <w:rsid w:val="00ED411B"/>
    <w:rsid w:val="00ED425D"/>
    <w:rsid w:val="00ED4269"/>
    <w:rsid w:val="00ED43B1"/>
    <w:rsid w:val="00ED43D3"/>
    <w:rsid w:val="00ED44E3"/>
    <w:rsid w:val="00ED4546"/>
    <w:rsid w:val="00ED460B"/>
    <w:rsid w:val="00ED4610"/>
    <w:rsid w:val="00ED4678"/>
    <w:rsid w:val="00ED4780"/>
    <w:rsid w:val="00ED481E"/>
    <w:rsid w:val="00ED48EC"/>
    <w:rsid w:val="00ED4912"/>
    <w:rsid w:val="00ED495A"/>
    <w:rsid w:val="00ED4AD1"/>
    <w:rsid w:val="00ED4B99"/>
    <w:rsid w:val="00ED4C2A"/>
    <w:rsid w:val="00ED4E20"/>
    <w:rsid w:val="00ED4F7C"/>
    <w:rsid w:val="00ED4F80"/>
    <w:rsid w:val="00ED4F8F"/>
    <w:rsid w:val="00ED4FC8"/>
    <w:rsid w:val="00ED5002"/>
    <w:rsid w:val="00ED5088"/>
    <w:rsid w:val="00ED50FA"/>
    <w:rsid w:val="00ED5104"/>
    <w:rsid w:val="00ED520D"/>
    <w:rsid w:val="00ED574B"/>
    <w:rsid w:val="00ED58AD"/>
    <w:rsid w:val="00ED5C69"/>
    <w:rsid w:val="00ED5F28"/>
    <w:rsid w:val="00ED5F62"/>
    <w:rsid w:val="00ED62FF"/>
    <w:rsid w:val="00ED632C"/>
    <w:rsid w:val="00ED645E"/>
    <w:rsid w:val="00ED6474"/>
    <w:rsid w:val="00ED6628"/>
    <w:rsid w:val="00ED6A44"/>
    <w:rsid w:val="00ED6A6E"/>
    <w:rsid w:val="00ED6BC9"/>
    <w:rsid w:val="00ED6D06"/>
    <w:rsid w:val="00ED6D27"/>
    <w:rsid w:val="00ED6D39"/>
    <w:rsid w:val="00ED6F1C"/>
    <w:rsid w:val="00ED6F75"/>
    <w:rsid w:val="00ED6FAB"/>
    <w:rsid w:val="00ED706D"/>
    <w:rsid w:val="00ED70B0"/>
    <w:rsid w:val="00ED72E4"/>
    <w:rsid w:val="00ED72E6"/>
    <w:rsid w:val="00ED7581"/>
    <w:rsid w:val="00ED7644"/>
    <w:rsid w:val="00ED7716"/>
    <w:rsid w:val="00ED7758"/>
    <w:rsid w:val="00ED7787"/>
    <w:rsid w:val="00ED789E"/>
    <w:rsid w:val="00ED78BB"/>
    <w:rsid w:val="00ED792F"/>
    <w:rsid w:val="00ED79F2"/>
    <w:rsid w:val="00ED7A99"/>
    <w:rsid w:val="00ED7CD7"/>
    <w:rsid w:val="00ED7E6E"/>
    <w:rsid w:val="00ED7F85"/>
    <w:rsid w:val="00ED7FA9"/>
    <w:rsid w:val="00ED7FAB"/>
    <w:rsid w:val="00EE0204"/>
    <w:rsid w:val="00EE027D"/>
    <w:rsid w:val="00EE0552"/>
    <w:rsid w:val="00EE05BB"/>
    <w:rsid w:val="00EE0693"/>
    <w:rsid w:val="00EE06E0"/>
    <w:rsid w:val="00EE06FE"/>
    <w:rsid w:val="00EE084F"/>
    <w:rsid w:val="00EE0890"/>
    <w:rsid w:val="00EE08A1"/>
    <w:rsid w:val="00EE0A46"/>
    <w:rsid w:val="00EE0AE3"/>
    <w:rsid w:val="00EE0AEB"/>
    <w:rsid w:val="00EE0B72"/>
    <w:rsid w:val="00EE0BD3"/>
    <w:rsid w:val="00EE0C45"/>
    <w:rsid w:val="00EE0C6B"/>
    <w:rsid w:val="00EE0F40"/>
    <w:rsid w:val="00EE0F8C"/>
    <w:rsid w:val="00EE105C"/>
    <w:rsid w:val="00EE111B"/>
    <w:rsid w:val="00EE123E"/>
    <w:rsid w:val="00EE141C"/>
    <w:rsid w:val="00EE1456"/>
    <w:rsid w:val="00EE1495"/>
    <w:rsid w:val="00EE14AC"/>
    <w:rsid w:val="00EE14B7"/>
    <w:rsid w:val="00EE1513"/>
    <w:rsid w:val="00EE153C"/>
    <w:rsid w:val="00EE1574"/>
    <w:rsid w:val="00EE15A9"/>
    <w:rsid w:val="00EE15AA"/>
    <w:rsid w:val="00EE1812"/>
    <w:rsid w:val="00EE18C8"/>
    <w:rsid w:val="00EE18F2"/>
    <w:rsid w:val="00EE1999"/>
    <w:rsid w:val="00EE19F3"/>
    <w:rsid w:val="00EE1B07"/>
    <w:rsid w:val="00EE1B80"/>
    <w:rsid w:val="00EE1B9C"/>
    <w:rsid w:val="00EE1BA8"/>
    <w:rsid w:val="00EE1C06"/>
    <w:rsid w:val="00EE1C34"/>
    <w:rsid w:val="00EE1D35"/>
    <w:rsid w:val="00EE1D5D"/>
    <w:rsid w:val="00EE2156"/>
    <w:rsid w:val="00EE2185"/>
    <w:rsid w:val="00EE220E"/>
    <w:rsid w:val="00EE2283"/>
    <w:rsid w:val="00EE237B"/>
    <w:rsid w:val="00EE2440"/>
    <w:rsid w:val="00EE2472"/>
    <w:rsid w:val="00EE2473"/>
    <w:rsid w:val="00EE2492"/>
    <w:rsid w:val="00EE24B9"/>
    <w:rsid w:val="00EE2610"/>
    <w:rsid w:val="00EE2674"/>
    <w:rsid w:val="00EE2737"/>
    <w:rsid w:val="00EE27BC"/>
    <w:rsid w:val="00EE280D"/>
    <w:rsid w:val="00EE283B"/>
    <w:rsid w:val="00EE295F"/>
    <w:rsid w:val="00EE2A28"/>
    <w:rsid w:val="00EE2B6F"/>
    <w:rsid w:val="00EE2D41"/>
    <w:rsid w:val="00EE2D5C"/>
    <w:rsid w:val="00EE2ED2"/>
    <w:rsid w:val="00EE304C"/>
    <w:rsid w:val="00EE3310"/>
    <w:rsid w:val="00EE3478"/>
    <w:rsid w:val="00EE3540"/>
    <w:rsid w:val="00EE35EA"/>
    <w:rsid w:val="00EE36D5"/>
    <w:rsid w:val="00EE3707"/>
    <w:rsid w:val="00EE37C3"/>
    <w:rsid w:val="00EE3945"/>
    <w:rsid w:val="00EE39C8"/>
    <w:rsid w:val="00EE39F8"/>
    <w:rsid w:val="00EE3A4C"/>
    <w:rsid w:val="00EE3BE8"/>
    <w:rsid w:val="00EE3C02"/>
    <w:rsid w:val="00EE3CA0"/>
    <w:rsid w:val="00EE3CF0"/>
    <w:rsid w:val="00EE3EE6"/>
    <w:rsid w:val="00EE3EF9"/>
    <w:rsid w:val="00EE3F52"/>
    <w:rsid w:val="00EE3F58"/>
    <w:rsid w:val="00EE4027"/>
    <w:rsid w:val="00EE405D"/>
    <w:rsid w:val="00EE40E1"/>
    <w:rsid w:val="00EE421D"/>
    <w:rsid w:val="00EE4478"/>
    <w:rsid w:val="00EE453A"/>
    <w:rsid w:val="00EE4622"/>
    <w:rsid w:val="00EE4684"/>
    <w:rsid w:val="00EE4719"/>
    <w:rsid w:val="00EE47B1"/>
    <w:rsid w:val="00EE482A"/>
    <w:rsid w:val="00EE4835"/>
    <w:rsid w:val="00EE486E"/>
    <w:rsid w:val="00EE495F"/>
    <w:rsid w:val="00EE49B4"/>
    <w:rsid w:val="00EE4C03"/>
    <w:rsid w:val="00EE4C0A"/>
    <w:rsid w:val="00EE4C13"/>
    <w:rsid w:val="00EE4D46"/>
    <w:rsid w:val="00EE4D66"/>
    <w:rsid w:val="00EE4E03"/>
    <w:rsid w:val="00EE4E3A"/>
    <w:rsid w:val="00EE4F04"/>
    <w:rsid w:val="00EE4F6F"/>
    <w:rsid w:val="00EE504C"/>
    <w:rsid w:val="00EE50BA"/>
    <w:rsid w:val="00EE5264"/>
    <w:rsid w:val="00EE528E"/>
    <w:rsid w:val="00EE5314"/>
    <w:rsid w:val="00EE535E"/>
    <w:rsid w:val="00EE53A3"/>
    <w:rsid w:val="00EE53C0"/>
    <w:rsid w:val="00EE551D"/>
    <w:rsid w:val="00EE552D"/>
    <w:rsid w:val="00EE5812"/>
    <w:rsid w:val="00EE5833"/>
    <w:rsid w:val="00EE5844"/>
    <w:rsid w:val="00EE5849"/>
    <w:rsid w:val="00EE58E8"/>
    <w:rsid w:val="00EE5987"/>
    <w:rsid w:val="00EE5997"/>
    <w:rsid w:val="00EE59E6"/>
    <w:rsid w:val="00EE5AF9"/>
    <w:rsid w:val="00EE5B24"/>
    <w:rsid w:val="00EE5E8F"/>
    <w:rsid w:val="00EE5EBC"/>
    <w:rsid w:val="00EE5ED8"/>
    <w:rsid w:val="00EE5F0A"/>
    <w:rsid w:val="00EE5F94"/>
    <w:rsid w:val="00EE610D"/>
    <w:rsid w:val="00EE6122"/>
    <w:rsid w:val="00EE614C"/>
    <w:rsid w:val="00EE6185"/>
    <w:rsid w:val="00EE61B4"/>
    <w:rsid w:val="00EE6282"/>
    <w:rsid w:val="00EE6622"/>
    <w:rsid w:val="00EE6721"/>
    <w:rsid w:val="00EE67D9"/>
    <w:rsid w:val="00EE68BD"/>
    <w:rsid w:val="00EE6A33"/>
    <w:rsid w:val="00EE6B18"/>
    <w:rsid w:val="00EE6B3F"/>
    <w:rsid w:val="00EE6B5C"/>
    <w:rsid w:val="00EE6CBC"/>
    <w:rsid w:val="00EE6D4C"/>
    <w:rsid w:val="00EE6D62"/>
    <w:rsid w:val="00EE6E9F"/>
    <w:rsid w:val="00EE6F71"/>
    <w:rsid w:val="00EE6FF4"/>
    <w:rsid w:val="00EE74D8"/>
    <w:rsid w:val="00EE74EF"/>
    <w:rsid w:val="00EE757D"/>
    <w:rsid w:val="00EE772E"/>
    <w:rsid w:val="00EE774B"/>
    <w:rsid w:val="00EE775F"/>
    <w:rsid w:val="00EE7832"/>
    <w:rsid w:val="00EE78C7"/>
    <w:rsid w:val="00EE7AB1"/>
    <w:rsid w:val="00EE7C13"/>
    <w:rsid w:val="00EE7C24"/>
    <w:rsid w:val="00EE7D55"/>
    <w:rsid w:val="00EE7E4F"/>
    <w:rsid w:val="00EE7EC6"/>
    <w:rsid w:val="00EE7EF6"/>
    <w:rsid w:val="00EF0029"/>
    <w:rsid w:val="00EF00E0"/>
    <w:rsid w:val="00EF00F0"/>
    <w:rsid w:val="00EF0128"/>
    <w:rsid w:val="00EF0302"/>
    <w:rsid w:val="00EF034A"/>
    <w:rsid w:val="00EF036B"/>
    <w:rsid w:val="00EF0500"/>
    <w:rsid w:val="00EF053C"/>
    <w:rsid w:val="00EF0596"/>
    <w:rsid w:val="00EF0635"/>
    <w:rsid w:val="00EF073D"/>
    <w:rsid w:val="00EF084E"/>
    <w:rsid w:val="00EF08BF"/>
    <w:rsid w:val="00EF090A"/>
    <w:rsid w:val="00EF0A2E"/>
    <w:rsid w:val="00EF0A97"/>
    <w:rsid w:val="00EF0AD2"/>
    <w:rsid w:val="00EF0BD5"/>
    <w:rsid w:val="00EF0C33"/>
    <w:rsid w:val="00EF0D48"/>
    <w:rsid w:val="00EF0DEC"/>
    <w:rsid w:val="00EF0E6E"/>
    <w:rsid w:val="00EF104E"/>
    <w:rsid w:val="00EF1180"/>
    <w:rsid w:val="00EF1258"/>
    <w:rsid w:val="00EF12C1"/>
    <w:rsid w:val="00EF1301"/>
    <w:rsid w:val="00EF13B3"/>
    <w:rsid w:val="00EF13D4"/>
    <w:rsid w:val="00EF15E2"/>
    <w:rsid w:val="00EF1766"/>
    <w:rsid w:val="00EF17B5"/>
    <w:rsid w:val="00EF17C7"/>
    <w:rsid w:val="00EF183D"/>
    <w:rsid w:val="00EF186B"/>
    <w:rsid w:val="00EF18AE"/>
    <w:rsid w:val="00EF18BF"/>
    <w:rsid w:val="00EF18DB"/>
    <w:rsid w:val="00EF196D"/>
    <w:rsid w:val="00EF19F4"/>
    <w:rsid w:val="00EF1A59"/>
    <w:rsid w:val="00EF1C74"/>
    <w:rsid w:val="00EF1CAA"/>
    <w:rsid w:val="00EF1D1B"/>
    <w:rsid w:val="00EF1DDB"/>
    <w:rsid w:val="00EF1E32"/>
    <w:rsid w:val="00EF1EB9"/>
    <w:rsid w:val="00EF1EFF"/>
    <w:rsid w:val="00EF23B3"/>
    <w:rsid w:val="00EF2471"/>
    <w:rsid w:val="00EF24B7"/>
    <w:rsid w:val="00EF26F7"/>
    <w:rsid w:val="00EF2763"/>
    <w:rsid w:val="00EF2786"/>
    <w:rsid w:val="00EF27BA"/>
    <w:rsid w:val="00EF294C"/>
    <w:rsid w:val="00EF29FD"/>
    <w:rsid w:val="00EF2A07"/>
    <w:rsid w:val="00EF2A3D"/>
    <w:rsid w:val="00EF2A8A"/>
    <w:rsid w:val="00EF2AEA"/>
    <w:rsid w:val="00EF2CD6"/>
    <w:rsid w:val="00EF2DE9"/>
    <w:rsid w:val="00EF2E75"/>
    <w:rsid w:val="00EF2E82"/>
    <w:rsid w:val="00EF2EB4"/>
    <w:rsid w:val="00EF2ED8"/>
    <w:rsid w:val="00EF2F69"/>
    <w:rsid w:val="00EF2F85"/>
    <w:rsid w:val="00EF2FAC"/>
    <w:rsid w:val="00EF2FF2"/>
    <w:rsid w:val="00EF3137"/>
    <w:rsid w:val="00EF316E"/>
    <w:rsid w:val="00EF32CB"/>
    <w:rsid w:val="00EF3391"/>
    <w:rsid w:val="00EF339B"/>
    <w:rsid w:val="00EF33DF"/>
    <w:rsid w:val="00EF3621"/>
    <w:rsid w:val="00EF36DE"/>
    <w:rsid w:val="00EF3719"/>
    <w:rsid w:val="00EF38D3"/>
    <w:rsid w:val="00EF3919"/>
    <w:rsid w:val="00EF3939"/>
    <w:rsid w:val="00EF39D2"/>
    <w:rsid w:val="00EF39F3"/>
    <w:rsid w:val="00EF3A09"/>
    <w:rsid w:val="00EF3C31"/>
    <w:rsid w:val="00EF4064"/>
    <w:rsid w:val="00EF41C9"/>
    <w:rsid w:val="00EF421E"/>
    <w:rsid w:val="00EF4468"/>
    <w:rsid w:val="00EF449B"/>
    <w:rsid w:val="00EF4551"/>
    <w:rsid w:val="00EF48B8"/>
    <w:rsid w:val="00EF48F2"/>
    <w:rsid w:val="00EF490E"/>
    <w:rsid w:val="00EF49B8"/>
    <w:rsid w:val="00EF4A16"/>
    <w:rsid w:val="00EF4AFE"/>
    <w:rsid w:val="00EF4B65"/>
    <w:rsid w:val="00EF4CCA"/>
    <w:rsid w:val="00EF4DD4"/>
    <w:rsid w:val="00EF4ED7"/>
    <w:rsid w:val="00EF4EF7"/>
    <w:rsid w:val="00EF5091"/>
    <w:rsid w:val="00EF5121"/>
    <w:rsid w:val="00EF5169"/>
    <w:rsid w:val="00EF5422"/>
    <w:rsid w:val="00EF54CF"/>
    <w:rsid w:val="00EF5558"/>
    <w:rsid w:val="00EF55C7"/>
    <w:rsid w:val="00EF5627"/>
    <w:rsid w:val="00EF562E"/>
    <w:rsid w:val="00EF5633"/>
    <w:rsid w:val="00EF5785"/>
    <w:rsid w:val="00EF5899"/>
    <w:rsid w:val="00EF58B0"/>
    <w:rsid w:val="00EF5934"/>
    <w:rsid w:val="00EF5991"/>
    <w:rsid w:val="00EF59B1"/>
    <w:rsid w:val="00EF5B60"/>
    <w:rsid w:val="00EF5C6B"/>
    <w:rsid w:val="00EF5E0D"/>
    <w:rsid w:val="00EF5E5F"/>
    <w:rsid w:val="00EF5EB0"/>
    <w:rsid w:val="00EF5FBD"/>
    <w:rsid w:val="00EF5FDF"/>
    <w:rsid w:val="00EF60BE"/>
    <w:rsid w:val="00EF60C3"/>
    <w:rsid w:val="00EF6101"/>
    <w:rsid w:val="00EF6142"/>
    <w:rsid w:val="00EF6255"/>
    <w:rsid w:val="00EF62F7"/>
    <w:rsid w:val="00EF6350"/>
    <w:rsid w:val="00EF64CA"/>
    <w:rsid w:val="00EF65A4"/>
    <w:rsid w:val="00EF6647"/>
    <w:rsid w:val="00EF66D0"/>
    <w:rsid w:val="00EF66F9"/>
    <w:rsid w:val="00EF674F"/>
    <w:rsid w:val="00EF6751"/>
    <w:rsid w:val="00EF6826"/>
    <w:rsid w:val="00EF68C8"/>
    <w:rsid w:val="00EF68F9"/>
    <w:rsid w:val="00EF6A9A"/>
    <w:rsid w:val="00EF6B18"/>
    <w:rsid w:val="00EF6B41"/>
    <w:rsid w:val="00EF6C49"/>
    <w:rsid w:val="00EF6CBB"/>
    <w:rsid w:val="00EF6DAC"/>
    <w:rsid w:val="00EF6E24"/>
    <w:rsid w:val="00EF6E33"/>
    <w:rsid w:val="00EF6FB8"/>
    <w:rsid w:val="00EF70C6"/>
    <w:rsid w:val="00EF7109"/>
    <w:rsid w:val="00EF7200"/>
    <w:rsid w:val="00EF72C4"/>
    <w:rsid w:val="00EF7438"/>
    <w:rsid w:val="00EF7578"/>
    <w:rsid w:val="00EF75D0"/>
    <w:rsid w:val="00EF75EA"/>
    <w:rsid w:val="00EF7698"/>
    <w:rsid w:val="00EF77EE"/>
    <w:rsid w:val="00EF7A4A"/>
    <w:rsid w:val="00EF7AD2"/>
    <w:rsid w:val="00EF7BA6"/>
    <w:rsid w:val="00EF7BD5"/>
    <w:rsid w:val="00EF7C13"/>
    <w:rsid w:val="00EF7C8F"/>
    <w:rsid w:val="00EF7E0B"/>
    <w:rsid w:val="00EF7E6C"/>
    <w:rsid w:val="00EF7EA1"/>
    <w:rsid w:val="00F00004"/>
    <w:rsid w:val="00F00023"/>
    <w:rsid w:val="00F000E9"/>
    <w:rsid w:val="00F0020A"/>
    <w:rsid w:val="00F0035D"/>
    <w:rsid w:val="00F003B7"/>
    <w:rsid w:val="00F00571"/>
    <w:rsid w:val="00F00702"/>
    <w:rsid w:val="00F007EE"/>
    <w:rsid w:val="00F00851"/>
    <w:rsid w:val="00F00926"/>
    <w:rsid w:val="00F0094C"/>
    <w:rsid w:val="00F009C0"/>
    <w:rsid w:val="00F00A02"/>
    <w:rsid w:val="00F00B6C"/>
    <w:rsid w:val="00F00C8A"/>
    <w:rsid w:val="00F00D31"/>
    <w:rsid w:val="00F00D3D"/>
    <w:rsid w:val="00F00D89"/>
    <w:rsid w:val="00F00E14"/>
    <w:rsid w:val="00F00E3F"/>
    <w:rsid w:val="00F00E46"/>
    <w:rsid w:val="00F00F60"/>
    <w:rsid w:val="00F01044"/>
    <w:rsid w:val="00F011B0"/>
    <w:rsid w:val="00F011CC"/>
    <w:rsid w:val="00F012EC"/>
    <w:rsid w:val="00F0151A"/>
    <w:rsid w:val="00F01690"/>
    <w:rsid w:val="00F017E5"/>
    <w:rsid w:val="00F017FC"/>
    <w:rsid w:val="00F01909"/>
    <w:rsid w:val="00F0196B"/>
    <w:rsid w:val="00F01A8D"/>
    <w:rsid w:val="00F01AD4"/>
    <w:rsid w:val="00F01B47"/>
    <w:rsid w:val="00F01BA3"/>
    <w:rsid w:val="00F01BA9"/>
    <w:rsid w:val="00F01BD4"/>
    <w:rsid w:val="00F01CCB"/>
    <w:rsid w:val="00F01CDC"/>
    <w:rsid w:val="00F020D8"/>
    <w:rsid w:val="00F02180"/>
    <w:rsid w:val="00F0219A"/>
    <w:rsid w:val="00F021C5"/>
    <w:rsid w:val="00F0248F"/>
    <w:rsid w:val="00F02560"/>
    <w:rsid w:val="00F025A2"/>
    <w:rsid w:val="00F025BA"/>
    <w:rsid w:val="00F025F5"/>
    <w:rsid w:val="00F02630"/>
    <w:rsid w:val="00F026ED"/>
    <w:rsid w:val="00F0270C"/>
    <w:rsid w:val="00F0285C"/>
    <w:rsid w:val="00F02951"/>
    <w:rsid w:val="00F02B0C"/>
    <w:rsid w:val="00F02B8A"/>
    <w:rsid w:val="00F02C15"/>
    <w:rsid w:val="00F02C70"/>
    <w:rsid w:val="00F02CF6"/>
    <w:rsid w:val="00F02D05"/>
    <w:rsid w:val="00F02DBA"/>
    <w:rsid w:val="00F03035"/>
    <w:rsid w:val="00F0303C"/>
    <w:rsid w:val="00F03090"/>
    <w:rsid w:val="00F03112"/>
    <w:rsid w:val="00F031EB"/>
    <w:rsid w:val="00F032D6"/>
    <w:rsid w:val="00F03300"/>
    <w:rsid w:val="00F034C8"/>
    <w:rsid w:val="00F03552"/>
    <w:rsid w:val="00F03562"/>
    <w:rsid w:val="00F036C6"/>
    <w:rsid w:val="00F03726"/>
    <w:rsid w:val="00F03803"/>
    <w:rsid w:val="00F0389D"/>
    <w:rsid w:val="00F038B6"/>
    <w:rsid w:val="00F03904"/>
    <w:rsid w:val="00F0392E"/>
    <w:rsid w:val="00F03939"/>
    <w:rsid w:val="00F03953"/>
    <w:rsid w:val="00F0397A"/>
    <w:rsid w:val="00F039A5"/>
    <w:rsid w:val="00F039F7"/>
    <w:rsid w:val="00F03B6E"/>
    <w:rsid w:val="00F03BA0"/>
    <w:rsid w:val="00F03BC8"/>
    <w:rsid w:val="00F03C72"/>
    <w:rsid w:val="00F03CEF"/>
    <w:rsid w:val="00F03CF6"/>
    <w:rsid w:val="00F03E50"/>
    <w:rsid w:val="00F03E71"/>
    <w:rsid w:val="00F03FA5"/>
    <w:rsid w:val="00F0406B"/>
    <w:rsid w:val="00F04197"/>
    <w:rsid w:val="00F042B7"/>
    <w:rsid w:val="00F042DC"/>
    <w:rsid w:val="00F0433C"/>
    <w:rsid w:val="00F04376"/>
    <w:rsid w:val="00F043FF"/>
    <w:rsid w:val="00F044AC"/>
    <w:rsid w:val="00F044D1"/>
    <w:rsid w:val="00F0452F"/>
    <w:rsid w:val="00F04563"/>
    <w:rsid w:val="00F045A7"/>
    <w:rsid w:val="00F04691"/>
    <w:rsid w:val="00F046D9"/>
    <w:rsid w:val="00F0493A"/>
    <w:rsid w:val="00F0498A"/>
    <w:rsid w:val="00F04A8D"/>
    <w:rsid w:val="00F04ABC"/>
    <w:rsid w:val="00F04B14"/>
    <w:rsid w:val="00F04C39"/>
    <w:rsid w:val="00F04C72"/>
    <w:rsid w:val="00F04D86"/>
    <w:rsid w:val="00F04D96"/>
    <w:rsid w:val="00F04DB9"/>
    <w:rsid w:val="00F04E67"/>
    <w:rsid w:val="00F04ED5"/>
    <w:rsid w:val="00F0519A"/>
    <w:rsid w:val="00F05416"/>
    <w:rsid w:val="00F054DF"/>
    <w:rsid w:val="00F0552C"/>
    <w:rsid w:val="00F05538"/>
    <w:rsid w:val="00F0575E"/>
    <w:rsid w:val="00F05785"/>
    <w:rsid w:val="00F057ED"/>
    <w:rsid w:val="00F058A7"/>
    <w:rsid w:val="00F05AAA"/>
    <w:rsid w:val="00F05B39"/>
    <w:rsid w:val="00F05C45"/>
    <w:rsid w:val="00F05C93"/>
    <w:rsid w:val="00F05CA2"/>
    <w:rsid w:val="00F05CD0"/>
    <w:rsid w:val="00F05D4A"/>
    <w:rsid w:val="00F05DE5"/>
    <w:rsid w:val="00F05E10"/>
    <w:rsid w:val="00F05E25"/>
    <w:rsid w:val="00F0600E"/>
    <w:rsid w:val="00F06175"/>
    <w:rsid w:val="00F06186"/>
    <w:rsid w:val="00F06267"/>
    <w:rsid w:val="00F06292"/>
    <w:rsid w:val="00F0638D"/>
    <w:rsid w:val="00F06499"/>
    <w:rsid w:val="00F064C9"/>
    <w:rsid w:val="00F0655B"/>
    <w:rsid w:val="00F06699"/>
    <w:rsid w:val="00F06705"/>
    <w:rsid w:val="00F0672C"/>
    <w:rsid w:val="00F06823"/>
    <w:rsid w:val="00F06860"/>
    <w:rsid w:val="00F06885"/>
    <w:rsid w:val="00F0693C"/>
    <w:rsid w:val="00F06A00"/>
    <w:rsid w:val="00F06A33"/>
    <w:rsid w:val="00F06A66"/>
    <w:rsid w:val="00F06A82"/>
    <w:rsid w:val="00F06A89"/>
    <w:rsid w:val="00F06BFE"/>
    <w:rsid w:val="00F06C74"/>
    <w:rsid w:val="00F06D4D"/>
    <w:rsid w:val="00F06D8E"/>
    <w:rsid w:val="00F06DB4"/>
    <w:rsid w:val="00F06E7D"/>
    <w:rsid w:val="00F06EB9"/>
    <w:rsid w:val="00F06ED7"/>
    <w:rsid w:val="00F06EF9"/>
    <w:rsid w:val="00F06F1B"/>
    <w:rsid w:val="00F06F8E"/>
    <w:rsid w:val="00F06FE6"/>
    <w:rsid w:val="00F0703B"/>
    <w:rsid w:val="00F0706F"/>
    <w:rsid w:val="00F070D0"/>
    <w:rsid w:val="00F0711A"/>
    <w:rsid w:val="00F07126"/>
    <w:rsid w:val="00F07260"/>
    <w:rsid w:val="00F07354"/>
    <w:rsid w:val="00F0747D"/>
    <w:rsid w:val="00F07513"/>
    <w:rsid w:val="00F075FB"/>
    <w:rsid w:val="00F0767D"/>
    <w:rsid w:val="00F07782"/>
    <w:rsid w:val="00F07800"/>
    <w:rsid w:val="00F0784C"/>
    <w:rsid w:val="00F07917"/>
    <w:rsid w:val="00F07A23"/>
    <w:rsid w:val="00F07A77"/>
    <w:rsid w:val="00F07AE0"/>
    <w:rsid w:val="00F07B70"/>
    <w:rsid w:val="00F07BF7"/>
    <w:rsid w:val="00F07CE9"/>
    <w:rsid w:val="00F07D80"/>
    <w:rsid w:val="00F07E10"/>
    <w:rsid w:val="00F07E7E"/>
    <w:rsid w:val="00F07FEE"/>
    <w:rsid w:val="00F100EE"/>
    <w:rsid w:val="00F101C0"/>
    <w:rsid w:val="00F101C4"/>
    <w:rsid w:val="00F102AD"/>
    <w:rsid w:val="00F102CC"/>
    <w:rsid w:val="00F102E0"/>
    <w:rsid w:val="00F10348"/>
    <w:rsid w:val="00F1057A"/>
    <w:rsid w:val="00F10622"/>
    <w:rsid w:val="00F1067C"/>
    <w:rsid w:val="00F1087E"/>
    <w:rsid w:val="00F10976"/>
    <w:rsid w:val="00F10A72"/>
    <w:rsid w:val="00F10B45"/>
    <w:rsid w:val="00F10B84"/>
    <w:rsid w:val="00F10BCA"/>
    <w:rsid w:val="00F10BEF"/>
    <w:rsid w:val="00F10CBF"/>
    <w:rsid w:val="00F10D42"/>
    <w:rsid w:val="00F10D88"/>
    <w:rsid w:val="00F10D90"/>
    <w:rsid w:val="00F10E02"/>
    <w:rsid w:val="00F10F08"/>
    <w:rsid w:val="00F10F67"/>
    <w:rsid w:val="00F1113A"/>
    <w:rsid w:val="00F11157"/>
    <w:rsid w:val="00F11199"/>
    <w:rsid w:val="00F112A7"/>
    <w:rsid w:val="00F11349"/>
    <w:rsid w:val="00F11355"/>
    <w:rsid w:val="00F1140D"/>
    <w:rsid w:val="00F1163B"/>
    <w:rsid w:val="00F1163C"/>
    <w:rsid w:val="00F11645"/>
    <w:rsid w:val="00F11663"/>
    <w:rsid w:val="00F117D2"/>
    <w:rsid w:val="00F119F9"/>
    <w:rsid w:val="00F11A87"/>
    <w:rsid w:val="00F11A8E"/>
    <w:rsid w:val="00F11B06"/>
    <w:rsid w:val="00F11B0D"/>
    <w:rsid w:val="00F11BC5"/>
    <w:rsid w:val="00F11BF8"/>
    <w:rsid w:val="00F11C62"/>
    <w:rsid w:val="00F11CA8"/>
    <w:rsid w:val="00F11D19"/>
    <w:rsid w:val="00F11D1B"/>
    <w:rsid w:val="00F11D3D"/>
    <w:rsid w:val="00F11E3D"/>
    <w:rsid w:val="00F11E62"/>
    <w:rsid w:val="00F11EAB"/>
    <w:rsid w:val="00F11FA8"/>
    <w:rsid w:val="00F120CD"/>
    <w:rsid w:val="00F1213D"/>
    <w:rsid w:val="00F121C6"/>
    <w:rsid w:val="00F127A3"/>
    <w:rsid w:val="00F127B0"/>
    <w:rsid w:val="00F127D0"/>
    <w:rsid w:val="00F12A47"/>
    <w:rsid w:val="00F12AA6"/>
    <w:rsid w:val="00F12B52"/>
    <w:rsid w:val="00F12B84"/>
    <w:rsid w:val="00F12BBA"/>
    <w:rsid w:val="00F12D92"/>
    <w:rsid w:val="00F12DF5"/>
    <w:rsid w:val="00F12F91"/>
    <w:rsid w:val="00F1305C"/>
    <w:rsid w:val="00F13185"/>
    <w:rsid w:val="00F132C7"/>
    <w:rsid w:val="00F132E7"/>
    <w:rsid w:val="00F13403"/>
    <w:rsid w:val="00F13423"/>
    <w:rsid w:val="00F13528"/>
    <w:rsid w:val="00F1353D"/>
    <w:rsid w:val="00F135A3"/>
    <w:rsid w:val="00F1362E"/>
    <w:rsid w:val="00F136CC"/>
    <w:rsid w:val="00F13881"/>
    <w:rsid w:val="00F1389B"/>
    <w:rsid w:val="00F1393B"/>
    <w:rsid w:val="00F13947"/>
    <w:rsid w:val="00F13AB8"/>
    <w:rsid w:val="00F13C9C"/>
    <w:rsid w:val="00F13D55"/>
    <w:rsid w:val="00F13E77"/>
    <w:rsid w:val="00F13E83"/>
    <w:rsid w:val="00F14176"/>
    <w:rsid w:val="00F14202"/>
    <w:rsid w:val="00F1427D"/>
    <w:rsid w:val="00F142B1"/>
    <w:rsid w:val="00F142C5"/>
    <w:rsid w:val="00F1438C"/>
    <w:rsid w:val="00F143C3"/>
    <w:rsid w:val="00F144D3"/>
    <w:rsid w:val="00F14533"/>
    <w:rsid w:val="00F1453F"/>
    <w:rsid w:val="00F14542"/>
    <w:rsid w:val="00F1459E"/>
    <w:rsid w:val="00F145C2"/>
    <w:rsid w:val="00F14649"/>
    <w:rsid w:val="00F1476F"/>
    <w:rsid w:val="00F147E5"/>
    <w:rsid w:val="00F14840"/>
    <w:rsid w:val="00F1485D"/>
    <w:rsid w:val="00F1492E"/>
    <w:rsid w:val="00F149F2"/>
    <w:rsid w:val="00F14A21"/>
    <w:rsid w:val="00F14A2E"/>
    <w:rsid w:val="00F14A73"/>
    <w:rsid w:val="00F14BC5"/>
    <w:rsid w:val="00F14BFC"/>
    <w:rsid w:val="00F14C2D"/>
    <w:rsid w:val="00F14C47"/>
    <w:rsid w:val="00F14C6B"/>
    <w:rsid w:val="00F14C73"/>
    <w:rsid w:val="00F14C98"/>
    <w:rsid w:val="00F14CA3"/>
    <w:rsid w:val="00F14D58"/>
    <w:rsid w:val="00F14E57"/>
    <w:rsid w:val="00F15021"/>
    <w:rsid w:val="00F1503D"/>
    <w:rsid w:val="00F15180"/>
    <w:rsid w:val="00F151B1"/>
    <w:rsid w:val="00F151F2"/>
    <w:rsid w:val="00F1522D"/>
    <w:rsid w:val="00F152C2"/>
    <w:rsid w:val="00F15301"/>
    <w:rsid w:val="00F1542C"/>
    <w:rsid w:val="00F154A8"/>
    <w:rsid w:val="00F15579"/>
    <w:rsid w:val="00F156EF"/>
    <w:rsid w:val="00F1573C"/>
    <w:rsid w:val="00F15BC8"/>
    <w:rsid w:val="00F15BDA"/>
    <w:rsid w:val="00F15C19"/>
    <w:rsid w:val="00F15C3A"/>
    <w:rsid w:val="00F15D08"/>
    <w:rsid w:val="00F15F07"/>
    <w:rsid w:val="00F15F09"/>
    <w:rsid w:val="00F1618D"/>
    <w:rsid w:val="00F162DA"/>
    <w:rsid w:val="00F16382"/>
    <w:rsid w:val="00F16473"/>
    <w:rsid w:val="00F1673D"/>
    <w:rsid w:val="00F16741"/>
    <w:rsid w:val="00F16942"/>
    <w:rsid w:val="00F16ABB"/>
    <w:rsid w:val="00F16C3A"/>
    <w:rsid w:val="00F16CC1"/>
    <w:rsid w:val="00F16D3F"/>
    <w:rsid w:val="00F16FE2"/>
    <w:rsid w:val="00F1707B"/>
    <w:rsid w:val="00F172BE"/>
    <w:rsid w:val="00F17313"/>
    <w:rsid w:val="00F17425"/>
    <w:rsid w:val="00F174DE"/>
    <w:rsid w:val="00F17521"/>
    <w:rsid w:val="00F1758C"/>
    <w:rsid w:val="00F17784"/>
    <w:rsid w:val="00F17873"/>
    <w:rsid w:val="00F1799B"/>
    <w:rsid w:val="00F17C6C"/>
    <w:rsid w:val="00F17C6F"/>
    <w:rsid w:val="00F17D14"/>
    <w:rsid w:val="00F17E4C"/>
    <w:rsid w:val="00F17E58"/>
    <w:rsid w:val="00F17E6B"/>
    <w:rsid w:val="00F17FD3"/>
    <w:rsid w:val="00F2007D"/>
    <w:rsid w:val="00F200CD"/>
    <w:rsid w:val="00F2015E"/>
    <w:rsid w:val="00F201D3"/>
    <w:rsid w:val="00F20217"/>
    <w:rsid w:val="00F2027D"/>
    <w:rsid w:val="00F20281"/>
    <w:rsid w:val="00F202EA"/>
    <w:rsid w:val="00F20362"/>
    <w:rsid w:val="00F20459"/>
    <w:rsid w:val="00F20483"/>
    <w:rsid w:val="00F2055C"/>
    <w:rsid w:val="00F20765"/>
    <w:rsid w:val="00F20870"/>
    <w:rsid w:val="00F208AA"/>
    <w:rsid w:val="00F208E5"/>
    <w:rsid w:val="00F20D45"/>
    <w:rsid w:val="00F20ED2"/>
    <w:rsid w:val="00F20F6D"/>
    <w:rsid w:val="00F20FDB"/>
    <w:rsid w:val="00F212C9"/>
    <w:rsid w:val="00F212CE"/>
    <w:rsid w:val="00F212E3"/>
    <w:rsid w:val="00F212F9"/>
    <w:rsid w:val="00F2130F"/>
    <w:rsid w:val="00F213D4"/>
    <w:rsid w:val="00F2154C"/>
    <w:rsid w:val="00F2155E"/>
    <w:rsid w:val="00F21646"/>
    <w:rsid w:val="00F216AE"/>
    <w:rsid w:val="00F216FD"/>
    <w:rsid w:val="00F21728"/>
    <w:rsid w:val="00F217A6"/>
    <w:rsid w:val="00F217EC"/>
    <w:rsid w:val="00F2185A"/>
    <w:rsid w:val="00F2193C"/>
    <w:rsid w:val="00F21A01"/>
    <w:rsid w:val="00F21A2A"/>
    <w:rsid w:val="00F21A2B"/>
    <w:rsid w:val="00F21A65"/>
    <w:rsid w:val="00F21A7A"/>
    <w:rsid w:val="00F21AA8"/>
    <w:rsid w:val="00F21B02"/>
    <w:rsid w:val="00F21BCF"/>
    <w:rsid w:val="00F21C52"/>
    <w:rsid w:val="00F21CBD"/>
    <w:rsid w:val="00F21D1F"/>
    <w:rsid w:val="00F21D95"/>
    <w:rsid w:val="00F21DA1"/>
    <w:rsid w:val="00F21DED"/>
    <w:rsid w:val="00F220C2"/>
    <w:rsid w:val="00F2232F"/>
    <w:rsid w:val="00F223B3"/>
    <w:rsid w:val="00F2247E"/>
    <w:rsid w:val="00F224C8"/>
    <w:rsid w:val="00F224FF"/>
    <w:rsid w:val="00F22516"/>
    <w:rsid w:val="00F22546"/>
    <w:rsid w:val="00F225B5"/>
    <w:rsid w:val="00F22747"/>
    <w:rsid w:val="00F22827"/>
    <w:rsid w:val="00F22919"/>
    <w:rsid w:val="00F229CE"/>
    <w:rsid w:val="00F229E1"/>
    <w:rsid w:val="00F22ACE"/>
    <w:rsid w:val="00F22FC2"/>
    <w:rsid w:val="00F23044"/>
    <w:rsid w:val="00F23147"/>
    <w:rsid w:val="00F2322C"/>
    <w:rsid w:val="00F233B9"/>
    <w:rsid w:val="00F233C3"/>
    <w:rsid w:val="00F234F0"/>
    <w:rsid w:val="00F2357C"/>
    <w:rsid w:val="00F23590"/>
    <w:rsid w:val="00F2370F"/>
    <w:rsid w:val="00F238F0"/>
    <w:rsid w:val="00F2391F"/>
    <w:rsid w:val="00F2396A"/>
    <w:rsid w:val="00F239A5"/>
    <w:rsid w:val="00F23A34"/>
    <w:rsid w:val="00F23BBB"/>
    <w:rsid w:val="00F23BCD"/>
    <w:rsid w:val="00F23CAA"/>
    <w:rsid w:val="00F23D8B"/>
    <w:rsid w:val="00F23D95"/>
    <w:rsid w:val="00F23E4A"/>
    <w:rsid w:val="00F23F85"/>
    <w:rsid w:val="00F2411C"/>
    <w:rsid w:val="00F24157"/>
    <w:rsid w:val="00F241F0"/>
    <w:rsid w:val="00F242ED"/>
    <w:rsid w:val="00F24352"/>
    <w:rsid w:val="00F243BA"/>
    <w:rsid w:val="00F2440E"/>
    <w:rsid w:val="00F2442E"/>
    <w:rsid w:val="00F244E8"/>
    <w:rsid w:val="00F2451D"/>
    <w:rsid w:val="00F245B3"/>
    <w:rsid w:val="00F245DC"/>
    <w:rsid w:val="00F24634"/>
    <w:rsid w:val="00F246E9"/>
    <w:rsid w:val="00F2495F"/>
    <w:rsid w:val="00F24ACF"/>
    <w:rsid w:val="00F24B9A"/>
    <w:rsid w:val="00F24BE1"/>
    <w:rsid w:val="00F24E60"/>
    <w:rsid w:val="00F24F56"/>
    <w:rsid w:val="00F24FCE"/>
    <w:rsid w:val="00F24FF9"/>
    <w:rsid w:val="00F2540B"/>
    <w:rsid w:val="00F25492"/>
    <w:rsid w:val="00F25550"/>
    <w:rsid w:val="00F2563A"/>
    <w:rsid w:val="00F256AF"/>
    <w:rsid w:val="00F25744"/>
    <w:rsid w:val="00F25756"/>
    <w:rsid w:val="00F257F8"/>
    <w:rsid w:val="00F2580E"/>
    <w:rsid w:val="00F258BF"/>
    <w:rsid w:val="00F259A7"/>
    <w:rsid w:val="00F25AD0"/>
    <w:rsid w:val="00F25AE3"/>
    <w:rsid w:val="00F25B2D"/>
    <w:rsid w:val="00F25B8F"/>
    <w:rsid w:val="00F25C4C"/>
    <w:rsid w:val="00F25D26"/>
    <w:rsid w:val="00F25D6F"/>
    <w:rsid w:val="00F25E3C"/>
    <w:rsid w:val="00F26005"/>
    <w:rsid w:val="00F2600C"/>
    <w:rsid w:val="00F2615C"/>
    <w:rsid w:val="00F26247"/>
    <w:rsid w:val="00F2635B"/>
    <w:rsid w:val="00F2635F"/>
    <w:rsid w:val="00F2637D"/>
    <w:rsid w:val="00F2640F"/>
    <w:rsid w:val="00F264EA"/>
    <w:rsid w:val="00F265B6"/>
    <w:rsid w:val="00F265D5"/>
    <w:rsid w:val="00F26721"/>
    <w:rsid w:val="00F267E6"/>
    <w:rsid w:val="00F26864"/>
    <w:rsid w:val="00F268CD"/>
    <w:rsid w:val="00F26975"/>
    <w:rsid w:val="00F269E0"/>
    <w:rsid w:val="00F26C54"/>
    <w:rsid w:val="00F26CE2"/>
    <w:rsid w:val="00F26E7F"/>
    <w:rsid w:val="00F26E83"/>
    <w:rsid w:val="00F26EB2"/>
    <w:rsid w:val="00F26EC3"/>
    <w:rsid w:val="00F2709A"/>
    <w:rsid w:val="00F270E4"/>
    <w:rsid w:val="00F27201"/>
    <w:rsid w:val="00F273C6"/>
    <w:rsid w:val="00F274A1"/>
    <w:rsid w:val="00F274DA"/>
    <w:rsid w:val="00F2760B"/>
    <w:rsid w:val="00F2767B"/>
    <w:rsid w:val="00F276E5"/>
    <w:rsid w:val="00F276E9"/>
    <w:rsid w:val="00F2770D"/>
    <w:rsid w:val="00F27780"/>
    <w:rsid w:val="00F27868"/>
    <w:rsid w:val="00F27AF1"/>
    <w:rsid w:val="00F27B89"/>
    <w:rsid w:val="00F27BA1"/>
    <w:rsid w:val="00F27C4C"/>
    <w:rsid w:val="00F27CEE"/>
    <w:rsid w:val="00F27D85"/>
    <w:rsid w:val="00F27DDF"/>
    <w:rsid w:val="00F27E96"/>
    <w:rsid w:val="00F27EB0"/>
    <w:rsid w:val="00F27F3E"/>
    <w:rsid w:val="00F27F70"/>
    <w:rsid w:val="00F27FAE"/>
    <w:rsid w:val="00F30172"/>
    <w:rsid w:val="00F30281"/>
    <w:rsid w:val="00F30295"/>
    <w:rsid w:val="00F30413"/>
    <w:rsid w:val="00F30417"/>
    <w:rsid w:val="00F30497"/>
    <w:rsid w:val="00F30591"/>
    <w:rsid w:val="00F30893"/>
    <w:rsid w:val="00F3090C"/>
    <w:rsid w:val="00F3096C"/>
    <w:rsid w:val="00F309AD"/>
    <w:rsid w:val="00F30A15"/>
    <w:rsid w:val="00F30A57"/>
    <w:rsid w:val="00F30A88"/>
    <w:rsid w:val="00F30B37"/>
    <w:rsid w:val="00F30E04"/>
    <w:rsid w:val="00F30E95"/>
    <w:rsid w:val="00F30F41"/>
    <w:rsid w:val="00F31012"/>
    <w:rsid w:val="00F310FC"/>
    <w:rsid w:val="00F3116E"/>
    <w:rsid w:val="00F3126F"/>
    <w:rsid w:val="00F31340"/>
    <w:rsid w:val="00F31421"/>
    <w:rsid w:val="00F314DB"/>
    <w:rsid w:val="00F315D4"/>
    <w:rsid w:val="00F31632"/>
    <w:rsid w:val="00F316C7"/>
    <w:rsid w:val="00F31823"/>
    <w:rsid w:val="00F319D3"/>
    <w:rsid w:val="00F31AE6"/>
    <w:rsid w:val="00F31B7D"/>
    <w:rsid w:val="00F31D42"/>
    <w:rsid w:val="00F31DD5"/>
    <w:rsid w:val="00F31DFF"/>
    <w:rsid w:val="00F31E85"/>
    <w:rsid w:val="00F31FE5"/>
    <w:rsid w:val="00F31FF2"/>
    <w:rsid w:val="00F32003"/>
    <w:rsid w:val="00F320EE"/>
    <w:rsid w:val="00F32555"/>
    <w:rsid w:val="00F3257A"/>
    <w:rsid w:val="00F326A2"/>
    <w:rsid w:val="00F326F8"/>
    <w:rsid w:val="00F32786"/>
    <w:rsid w:val="00F327C4"/>
    <w:rsid w:val="00F32968"/>
    <w:rsid w:val="00F329ED"/>
    <w:rsid w:val="00F32AC3"/>
    <w:rsid w:val="00F32B50"/>
    <w:rsid w:val="00F32BD5"/>
    <w:rsid w:val="00F32CF1"/>
    <w:rsid w:val="00F32D04"/>
    <w:rsid w:val="00F32E7C"/>
    <w:rsid w:val="00F32EB1"/>
    <w:rsid w:val="00F32F07"/>
    <w:rsid w:val="00F32F90"/>
    <w:rsid w:val="00F33041"/>
    <w:rsid w:val="00F3313A"/>
    <w:rsid w:val="00F33212"/>
    <w:rsid w:val="00F332C0"/>
    <w:rsid w:val="00F33332"/>
    <w:rsid w:val="00F3352D"/>
    <w:rsid w:val="00F335CA"/>
    <w:rsid w:val="00F33607"/>
    <w:rsid w:val="00F33813"/>
    <w:rsid w:val="00F338C7"/>
    <w:rsid w:val="00F338C9"/>
    <w:rsid w:val="00F33AC4"/>
    <w:rsid w:val="00F33B34"/>
    <w:rsid w:val="00F33BB4"/>
    <w:rsid w:val="00F33C15"/>
    <w:rsid w:val="00F33C35"/>
    <w:rsid w:val="00F33C98"/>
    <w:rsid w:val="00F33D31"/>
    <w:rsid w:val="00F33D89"/>
    <w:rsid w:val="00F33E22"/>
    <w:rsid w:val="00F33E38"/>
    <w:rsid w:val="00F33E3A"/>
    <w:rsid w:val="00F33EFB"/>
    <w:rsid w:val="00F33F1A"/>
    <w:rsid w:val="00F33F77"/>
    <w:rsid w:val="00F34195"/>
    <w:rsid w:val="00F341C1"/>
    <w:rsid w:val="00F34379"/>
    <w:rsid w:val="00F343A8"/>
    <w:rsid w:val="00F34448"/>
    <w:rsid w:val="00F34476"/>
    <w:rsid w:val="00F344BF"/>
    <w:rsid w:val="00F344D5"/>
    <w:rsid w:val="00F3454E"/>
    <w:rsid w:val="00F347A9"/>
    <w:rsid w:val="00F34842"/>
    <w:rsid w:val="00F34887"/>
    <w:rsid w:val="00F348B4"/>
    <w:rsid w:val="00F348C7"/>
    <w:rsid w:val="00F348F3"/>
    <w:rsid w:val="00F34B48"/>
    <w:rsid w:val="00F34C0E"/>
    <w:rsid w:val="00F34CF5"/>
    <w:rsid w:val="00F34D0D"/>
    <w:rsid w:val="00F34E98"/>
    <w:rsid w:val="00F34EFD"/>
    <w:rsid w:val="00F35012"/>
    <w:rsid w:val="00F350C2"/>
    <w:rsid w:val="00F35110"/>
    <w:rsid w:val="00F35133"/>
    <w:rsid w:val="00F3513F"/>
    <w:rsid w:val="00F3528D"/>
    <w:rsid w:val="00F353E1"/>
    <w:rsid w:val="00F35535"/>
    <w:rsid w:val="00F35667"/>
    <w:rsid w:val="00F356A8"/>
    <w:rsid w:val="00F35749"/>
    <w:rsid w:val="00F357F2"/>
    <w:rsid w:val="00F35839"/>
    <w:rsid w:val="00F35870"/>
    <w:rsid w:val="00F358F7"/>
    <w:rsid w:val="00F35933"/>
    <w:rsid w:val="00F35B51"/>
    <w:rsid w:val="00F35BD0"/>
    <w:rsid w:val="00F35C8F"/>
    <w:rsid w:val="00F35D77"/>
    <w:rsid w:val="00F35E91"/>
    <w:rsid w:val="00F35F30"/>
    <w:rsid w:val="00F35F7E"/>
    <w:rsid w:val="00F360EA"/>
    <w:rsid w:val="00F36105"/>
    <w:rsid w:val="00F36180"/>
    <w:rsid w:val="00F3624F"/>
    <w:rsid w:val="00F3626D"/>
    <w:rsid w:val="00F36270"/>
    <w:rsid w:val="00F36333"/>
    <w:rsid w:val="00F3633F"/>
    <w:rsid w:val="00F36469"/>
    <w:rsid w:val="00F3647F"/>
    <w:rsid w:val="00F364E0"/>
    <w:rsid w:val="00F366DF"/>
    <w:rsid w:val="00F36787"/>
    <w:rsid w:val="00F367CD"/>
    <w:rsid w:val="00F367E9"/>
    <w:rsid w:val="00F369F4"/>
    <w:rsid w:val="00F36AE3"/>
    <w:rsid w:val="00F36B6D"/>
    <w:rsid w:val="00F36D07"/>
    <w:rsid w:val="00F36D97"/>
    <w:rsid w:val="00F36E2D"/>
    <w:rsid w:val="00F36EED"/>
    <w:rsid w:val="00F36F6C"/>
    <w:rsid w:val="00F36F73"/>
    <w:rsid w:val="00F36FDA"/>
    <w:rsid w:val="00F37077"/>
    <w:rsid w:val="00F37125"/>
    <w:rsid w:val="00F371FD"/>
    <w:rsid w:val="00F37205"/>
    <w:rsid w:val="00F3724D"/>
    <w:rsid w:val="00F3732A"/>
    <w:rsid w:val="00F37399"/>
    <w:rsid w:val="00F3743A"/>
    <w:rsid w:val="00F374D4"/>
    <w:rsid w:val="00F37558"/>
    <w:rsid w:val="00F377F0"/>
    <w:rsid w:val="00F37848"/>
    <w:rsid w:val="00F37918"/>
    <w:rsid w:val="00F37A39"/>
    <w:rsid w:val="00F37A56"/>
    <w:rsid w:val="00F37A8E"/>
    <w:rsid w:val="00F37AB4"/>
    <w:rsid w:val="00F37C3B"/>
    <w:rsid w:val="00F37C56"/>
    <w:rsid w:val="00F37D1E"/>
    <w:rsid w:val="00F37D2B"/>
    <w:rsid w:val="00F37D7B"/>
    <w:rsid w:val="00F37DD4"/>
    <w:rsid w:val="00F37E4D"/>
    <w:rsid w:val="00F37F45"/>
    <w:rsid w:val="00F4003A"/>
    <w:rsid w:val="00F401F5"/>
    <w:rsid w:val="00F4029C"/>
    <w:rsid w:val="00F402F8"/>
    <w:rsid w:val="00F4030B"/>
    <w:rsid w:val="00F40531"/>
    <w:rsid w:val="00F40547"/>
    <w:rsid w:val="00F40552"/>
    <w:rsid w:val="00F40754"/>
    <w:rsid w:val="00F408B7"/>
    <w:rsid w:val="00F40941"/>
    <w:rsid w:val="00F409B2"/>
    <w:rsid w:val="00F409BD"/>
    <w:rsid w:val="00F40AC2"/>
    <w:rsid w:val="00F40AF3"/>
    <w:rsid w:val="00F40B23"/>
    <w:rsid w:val="00F40B45"/>
    <w:rsid w:val="00F40C1D"/>
    <w:rsid w:val="00F40D50"/>
    <w:rsid w:val="00F40DA6"/>
    <w:rsid w:val="00F40DF0"/>
    <w:rsid w:val="00F40E50"/>
    <w:rsid w:val="00F40EC5"/>
    <w:rsid w:val="00F4112F"/>
    <w:rsid w:val="00F41210"/>
    <w:rsid w:val="00F41303"/>
    <w:rsid w:val="00F413BB"/>
    <w:rsid w:val="00F415C8"/>
    <w:rsid w:val="00F41785"/>
    <w:rsid w:val="00F417B6"/>
    <w:rsid w:val="00F417D5"/>
    <w:rsid w:val="00F41930"/>
    <w:rsid w:val="00F41A20"/>
    <w:rsid w:val="00F41B92"/>
    <w:rsid w:val="00F41BEF"/>
    <w:rsid w:val="00F41C22"/>
    <w:rsid w:val="00F41C72"/>
    <w:rsid w:val="00F41D37"/>
    <w:rsid w:val="00F41D68"/>
    <w:rsid w:val="00F41E70"/>
    <w:rsid w:val="00F42072"/>
    <w:rsid w:val="00F42111"/>
    <w:rsid w:val="00F42220"/>
    <w:rsid w:val="00F422CE"/>
    <w:rsid w:val="00F423FB"/>
    <w:rsid w:val="00F42435"/>
    <w:rsid w:val="00F42484"/>
    <w:rsid w:val="00F424A6"/>
    <w:rsid w:val="00F4251A"/>
    <w:rsid w:val="00F4256F"/>
    <w:rsid w:val="00F425C9"/>
    <w:rsid w:val="00F426E5"/>
    <w:rsid w:val="00F4272B"/>
    <w:rsid w:val="00F4277D"/>
    <w:rsid w:val="00F427B1"/>
    <w:rsid w:val="00F427EC"/>
    <w:rsid w:val="00F42922"/>
    <w:rsid w:val="00F42A01"/>
    <w:rsid w:val="00F42A31"/>
    <w:rsid w:val="00F42AAA"/>
    <w:rsid w:val="00F42B20"/>
    <w:rsid w:val="00F42B90"/>
    <w:rsid w:val="00F42C59"/>
    <w:rsid w:val="00F42DBB"/>
    <w:rsid w:val="00F42DE3"/>
    <w:rsid w:val="00F42DFA"/>
    <w:rsid w:val="00F42E3B"/>
    <w:rsid w:val="00F42F95"/>
    <w:rsid w:val="00F4300A"/>
    <w:rsid w:val="00F430EB"/>
    <w:rsid w:val="00F4321B"/>
    <w:rsid w:val="00F43297"/>
    <w:rsid w:val="00F432FA"/>
    <w:rsid w:val="00F43325"/>
    <w:rsid w:val="00F43328"/>
    <w:rsid w:val="00F43351"/>
    <w:rsid w:val="00F4340B"/>
    <w:rsid w:val="00F4349C"/>
    <w:rsid w:val="00F434B6"/>
    <w:rsid w:val="00F4352E"/>
    <w:rsid w:val="00F4369D"/>
    <w:rsid w:val="00F43708"/>
    <w:rsid w:val="00F437B7"/>
    <w:rsid w:val="00F43B22"/>
    <w:rsid w:val="00F43B44"/>
    <w:rsid w:val="00F43C99"/>
    <w:rsid w:val="00F43D7A"/>
    <w:rsid w:val="00F43E81"/>
    <w:rsid w:val="00F43EA8"/>
    <w:rsid w:val="00F44029"/>
    <w:rsid w:val="00F4402A"/>
    <w:rsid w:val="00F4408E"/>
    <w:rsid w:val="00F441B8"/>
    <w:rsid w:val="00F4425D"/>
    <w:rsid w:val="00F442AB"/>
    <w:rsid w:val="00F4432F"/>
    <w:rsid w:val="00F44345"/>
    <w:rsid w:val="00F443D6"/>
    <w:rsid w:val="00F443E3"/>
    <w:rsid w:val="00F4444D"/>
    <w:rsid w:val="00F444A2"/>
    <w:rsid w:val="00F445BB"/>
    <w:rsid w:val="00F4462F"/>
    <w:rsid w:val="00F44736"/>
    <w:rsid w:val="00F4474B"/>
    <w:rsid w:val="00F4484F"/>
    <w:rsid w:val="00F44884"/>
    <w:rsid w:val="00F44A4A"/>
    <w:rsid w:val="00F44B6C"/>
    <w:rsid w:val="00F44B7D"/>
    <w:rsid w:val="00F44BEB"/>
    <w:rsid w:val="00F44DA8"/>
    <w:rsid w:val="00F44F17"/>
    <w:rsid w:val="00F44F6D"/>
    <w:rsid w:val="00F4513D"/>
    <w:rsid w:val="00F45154"/>
    <w:rsid w:val="00F4525D"/>
    <w:rsid w:val="00F4527E"/>
    <w:rsid w:val="00F4538C"/>
    <w:rsid w:val="00F4547D"/>
    <w:rsid w:val="00F454AC"/>
    <w:rsid w:val="00F45529"/>
    <w:rsid w:val="00F45722"/>
    <w:rsid w:val="00F4574C"/>
    <w:rsid w:val="00F457AC"/>
    <w:rsid w:val="00F45818"/>
    <w:rsid w:val="00F458BC"/>
    <w:rsid w:val="00F459F1"/>
    <w:rsid w:val="00F45DD3"/>
    <w:rsid w:val="00F45E0D"/>
    <w:rsid w:val="00F45E96"/>
    <w:rsid w:val="00F45EC2"/>
    <w:rsid w:val="00F45F17"/>
    <w:rsid w:val="00F45F4B"/>
    <w:rsid w:val="00F45F98"/>
    <w:rsid w:val="00F45FA5"/>
    <w:rsid w:val="00F45FDF"/>
    <w:rsid w:val="00F4606D"/>
    <w:rsid w:val="00F46337"/>
    <w:rsid w:val="00F46381"/>
    <w:rsid w:val="00F4639A"/>
    <w:rsid w:val="00F46470"/>
    <w:rsid w:val="00F46539"/>
    <w:rsid w:val="00F4655F"/>
    <w:rsid w:val="00F4661C"/>
    <w:rsid w:val="00F466E2"/>
    <w:rsid w:val="00F46713"/>
    <w:rsid w:val="00F467B6"/>
    <w:rsid w:val="00F46817"/>
    <w:rsid w:val="00F468FD"/>
    <w:rsid w:val="00F46950"/>
    <w:rsid w:val="00F46959"/>
    <w:rsid w:val="00F46A98"/>
    <w:rsid w:val="00F46AB5"/>
    <w:rsid w:val="00F46C8C"/>
    <w:rsid w:val="00F46CC0"/>
    <w:rsid w:val="00F46D47"/>
    <w:rsid w:val="00F46FD4"/>
    <w:rsid w:val="00F4703B"/>
    <w:rsid w:val="00F471B1"/>
    <w:rsid w:val="00F471BD"/>
    <w:rsid w:val="00F47272"/>
    <w:rsid w:val="00F4728E"/>
    <w:rsid w:val="00F4737E"/>
    <w:rsid w:val="00F474D5"/>
    <w:rsid w:val="00F475BB"/>
    <w:rsid w:val="00F47727"/>
    <w:rsid w:val="00F477A8"/>
    <w:rsid w:val="00F47802"/>
    <w:rsid w:val="00F4787F"/>
    <w:rsid w:val="00F479F2"/>
    <w:rsid w:val="00F47C37"/>
    <w:rsid w:val="00F47D58"/>
    <w:rsid w:val="00F47D8A"/>
    <w:rsid w:val="00F47EF7"/>
    <w:rsid w:val="00F5000C"/>
    <w:rsid w:val="00F502AD"/>
    <w:rsid w:val="00F502DC"/>
    <w:rsid w:val="00F5031D"/>
    <w:rsid w:val="00F50334"/>
    <w:rsid w:val="00F5033D"/>
    <w:rsid w:val="00F50376"/>
    <w:rsid w:val="00F504AB"/>
    <w:rsid w:val="00F504FD"/>
    <w:rsid w:val="00F50726"/>
    <w:rsid w:val="00F507B1"/>
    <w:rsid w:val="00F507E7"/>
    <w:rsid w:val="00F50830"/>
    <w:rsid w:val="00F509BB"/>
    <w:rsid w:val="00F509D2"/>
    <w:rsid w:val="00F509DC"/>
    <w:rsid w:val="00F50A6A"/>
    <w:rsid w:val="00F50AF6"/>
    <w:rsid w:val="00F50C0C"/>
    <w:rsid w:val="00F50C2B"/>
    <w:rsid w:val="00F50CCC"/>
    <w:rsid w:val="00F50CEE"/>
    <w:rsid w:val="00F50D13"/>
    <w:rsid w:val="00F50D6E"/>
    <w:rsid w:val="00F5120B"/>
    <w:rsid w:val="00F51263"/>
    <w:rsid w:val="00F514CA"/>
    <w:rsid w:val="00F516CA"/>
    <w:rsid w:val="00F51721"/>
    <w:rsid w:val="00F517C5"/>
    <w:rsid w:val="00F51946"/>
    <w:rsid w:val="00F51952"/>
    <w:rsid w:val="00F519EB"/>
    <w:rsid w:val="00F51A01"/>
    <w:rsid w:val="00F51A89"/>
    <w:rsid w:val="00F51AFF"/>
    <w:rsid w:val="00F51B37"/>
    <w:rsid w:val="00F51B58"/>
    <w:rsid w:val="00F51B81"/>
    <w:rsid w:val="00F51BA8"/>
    <w:rsid w:val="00F51C3A"/>
    <w:rsid w:val="00F51CA7"/>
    <w:rsid w:val="00F51FF7"/>
    <w:rsid w:val="00F52112"/>
    <w:rsid w:val="00F52147"/>
    <w:rsid w:val="00F52161"/>
    <w:rsid w:val="00F521F9"/>
    <w:rsid w:val="00F52242"/>
    <w:rsid w:val="00F52336"/>
    <w:rsid w:val="00F524FB"/>
    <w:rsid w:val="00F525AF"/>
    <w:rsid w:val="00F526C1"/>
    <w:rsid w:val="00F52729"/>
    <w:rsid w:val="00F52783"/>
    <w:rsid w:val="00F52925"/>
    <w:rsid w:val="00F529AF"/>
    <w:rsid w:val="00F52A99"/>
    <w:rsid w:val="00F52ABB"/>
    <w:rsid w:val="00F52B51"/>
    <w:rsid w:val="00F52BC2"/>
    <w:rsid w:val="00F52C7A"/>
    <w:rsid w:val="00F52DA6"/>
    <w:rsid w:val="00F52EC5"/>
    <w:rsid w:val="00F52FC2"/>
    <w:rsid w:val="00F53014"/>
    <w:rsid w:val="00F5314E"/>
    <w:rsid w:val="00F53227"/>
    <w:rsid w:val="00F53248"/>
    <w:rsid w:val="00F534A6"/>
    <w:rsid w:val="00F5350D"/>
    <w:rsid w:val="00F5352F"/>
    <w:rsid w:val="00F535A4"/>
    <w:rsid w:val="00F53679"/>
    <w:rsid w:val="00F536AB"/>
    <w:rsid w:val="00F536C9"/>
    <w:rsid w:val="00F536DD"/>
    <w:rsid w:val="00F53766"/>
    <w:rsid w:val="00F537E2"/>
    <w:rsid w:val="00F53845"/>
    <w:rsid w:val="00F538A5"/>
    <w:rsid w:val="00F5396A"/>
    <w:rsid w:val="00F5396D"/>
    <w:rsid w:val="00F53AB9"/>
    <w:rsid w:val="00F53B16"/>
    <w:rsid w:val="00F53BB0"/>
    <w:rsid w:val="00F53BFA"/>
    <w:rsid w:val="00F53CAA"/>
    <w:rsid w:val="00F53E67"/>
    <w:rsid w:val="00F53E6E"/>
    <w:rsid w:val="00F53F3F"/>
    <w:rsid w:val="00F53F7B"/>
    <w:rsid w:val="00F54041"/>
    <w:rsid w:val="00F54102"/>
    <w:rsid w:val="00F5411B"/>
    <w:rsid w:val="00F541FE"/>
    <w:rsid w:val="00F542E7"/>
    <w:rsid w:val="00F54421"/>
    <w:rsid w:val="00F5447D"/>
    <w:rsid w:val="00F5449B"/>
    <w:rsid w:val="00F5451B"/>
    <w:rsid w:val="00F545E1"/>
    <w:rsid w:val="00F54696"/>
    <w:rsid w:val="00F547E4"/>
    <w:rsid w:val="00F5497B"/>
    <w:rsid w:val="00F54A32"/>
    <w:rsid w:val="00F54AF1"/>
    <w:rsid w:val="00F54BB4"/>
    <w:rsid w:val="00F54CBA"/>
    <w:rsid w:val="00F54E9A"/>
    <w:rsid w:val="00F54F38"/>
    <w:rsid w:val="00F54FF4"/>
    <w:rsid w:val="00F55051"/>
    <w:rsid w:val="00F551E1"/>
    <w:rsid w:val="00F5523D"/>
    <w:rsid w:val="00F5524D"/>
    <w:rsid w:val="00F552E1"/>
    <w:rsid w:val="00F55387"/>
    <w:rsid w:val="00F55393"/>
    <w:rsid w:val="00F55446"/>
    <w:rsid w:val="00F554C1"/>
    <w:rsid w:val="00F554CF"/>
    <w:rsid w:val="00F555FF"/>
    <w:rsid w:val="00F55643"/>
    <w:rsid w:val="00F556CA"/>
    <w:rsid w:val="00F5583F"/>
    <w:rsid w:val="00F55A5D"/>
    <w:rsid w:val="00F55C85"/>
    <w:rsid w:val="00F55CB2"/>
    <w:rsid w:val="00F55CB5"/>
    <w:rsid w:val="00F55CEA"/>
    <w:rsid w:val="00F55F39"/>
    <w:rsid w:val="00F55F97"/>
    <w:rsid w:val="00F56081"/>
    <w:rsid w:val="00F560C2"/>
    <w:rsid w:val="00F5617D"/>
    <w:rsid w:val="00F56254"/>
    <w:rsid w:val="00F563FB"/>
    <w:rsid w:val="00F564EA"/>
    <w:rsid w:val="00F565C2"/>
    <w:rsid w:val="00F56602"/>
    <w:rsid w:val="00F56745"/>
    <w:rsid w:val="00F567ED"/>
    <w:rsid w:val="00F5682E"/>
    <w:rsid w:val="00F56851"/>
    <w:rsid w:val="00F56955"/>
    <w:rsid w:val="00F56960"/>
    <w:rsid w:val="00F569C4"/>
    <w:rsid w:val="00F56A4A"/>
    <w:rsid w:val="00F56A88"/>
    <w:rsid w:val="00F56B01"/>
    <w:rsid w:val="00F56BEF"/>
    <w:rsid w:val="00F56CFF"/>
    <w:rsid w:val="00F56D1E"/>
    <w:rsid w:val="00F56D3E"/>
    <w:rsid w:val="00F56DCD"/>
    <w:rsid w:val="00F56E3F"/>
    <w:rsid w:val="00F56E7D"/>
    <w:rsid w:val="00F56E98"/>
    <w:rsid w:val="00F56EA7"/>
    <w:rsid w:val="00F56F3B"/>
    <w:rsid w:val="00F5700A"/>
    <w:rsid w:val="00F5706D"/>
    <w:rsid w:val="00F57089"/>
    <w:rsid w:val="00F57368"/>
    <w:rsid w:val="00F57396"/>
    <w:rsid w:val="00F574DC"/>
    <w:rsid w:val="00F57522"/>
    <w:rsid w:val="00F575B2"/>
    <w:rsid w:val="00F5774D"/>
    <w:rsid w:val="00F578D4"/>
    <w:rsid w:val="00F57BA1"/>
    <w:rsid w:val="00F57C5B"/>
    <w:rsid w:val="00F57D24"/>
    <w:rsid w:val="00F57D62"/>
    <w:rsid w:val="00F57D7C"/>
    <w:rsid w:val="00F57EC9"/>
    <w:rsid w:val="00F57F66"/>
    <w:rsid w:val="00F57FD5"/>
    <w:rsid w:val="00F57FFB"/>
    <w:rsid w:val="00F5C8F7"/>
    <w:rsid w:val="00F5ED19"/>
    <w:rsid w:val="00F60042"/>
    <w:rsid w:val="00F6013B"/>
    <w:rsid w:val="00F60143"/>
    <w:rsid w:val="00F60258"/>
    <w:rsid w:val="00F60262"/>
    <w:rsid w:val="00F60299"/>
    <w:rsid w:val="00F602E2"/>
    <w:rsid w:val="00F60458"/>
    <w:rsid w:val="00F60473"/>
    <w:rsid w:val="00F604BB"/>
    <w:rsid w:val="00F60520"/>
    <w:rsid w:val="00F605FE"/>
    <w:rsid w:val="00F6071E"/>
    <w:rsid w:val="00F60A16"/>
    <w:rsid w:val="00F60AD6"/>
    <w:rsid w:val="00F60B97"/>
    <w:rsid w:val="00F60C4D"/>
    <w:rsid w:val="00F60E16"/>
    <w:rsid w:val="00F60F64"/>
    <w:rsid w:val="00F60F83"/>
    <w:rsid w:val="00F60F86"/>
    <w:rsid w:val="00F61040"/>
    <w:rsid w:val="00F61172"/>
    <w:rsid w:val="00F61206"/>
    <w:rsid w:val="00F61557"/>
    <w:rsid w:val="00F615C7"/>
    <w:rsid w:val="00F6161B"/>
    <w:rsid w:val="00F6163D"/>
    <w:rsid w:val="00F61681"/>
    <w:rsid w:val="00F616FF"/>
    <w:rsid w:val="00F61738"/>
    <w:rsid w:val="00F61786"/>
    <w:rsid w:val="00F6180A"/>
    <w:rsid w:val="00F61947"/>
    <w:rsid w:val="00F61983"/>
    <w:rsid w:val="00F619EC"/>
    <w:rsid w:val="00F61A26"/>
    <w:rsid w:val="00F61A77"/>
    <w:rsid w:val="00F61ABD"/>
    <w:rsid w:val="00F61B2A"/>
    <w:rsid w:val="00F61B80"/>
    <w:rsid w:val="00F61BB4"/>
    <w:rsid w:val="00F61CBF"/>
    <w:rsid w:val="00F61D0B"/>
    <w:rsid w:val="00F61D3A"/>
    <w:rsid w:val="00F61D9D"/>
    <w:rsid w:val="00F61DD4"/>
    <w:rsid w:val="00F61E23"/>
    <w:rsid w:val="00F61E87"/>
    <w:rsid w:val="00F61F25"/>
    <w:rsid w:val="00F61F70"/>
    <w:rsid w:val="00F62233"/>
    <w:rsid w:val="00F622C8"/>
    <w:rsid w:val="00F62395"/>
    <w:rsid w:val="00F623B5"/>
    <w:rsid w:val="00F62419"/>
    <w:rsid w:val="00F624C2"/>
    <w:rsid w:val="00F62595"/>
    <w:rsid w:val="00F625FD"/>
    <w:rsid w:val="00F62639"/>
    <w:rsid w:val="00F6263A"/>
    <w:rsid w:val="00F6273D"/>
    <w:rsid w:val="00F62792"/>
    <w:rsid w:val="00F62837"/>
    <w:rsid w:val="00F62848"/>
    <w:rsid w:val="00F62869"/>
    <w:rsid w:val="00F6289B"/>
    <w:rsid w:val="00F629B0"/>
    <w:rsid w:val="00F62EE0"/>
    <w:rsid w:val="00F62EEF"/>
    <w:rsid w:val="00F62F36"/>
    <w:rsid w:val="00F62F4C"/>
    <w:rsid w:val="00F63029"/>
    <w:rsid w:val="00F63031"/>
    <w:rsid w:val="00F630A0"/>
    <w:rsid w:val="00F630CD"/>
    <w:rsid w:val="00F63138"/>
    <w:rsid w:val="00F6342B"/>
    <w:rsid w:val="00F63520"/>
    <w:rsid w:val="00F6359C"/>
    <w:rsid w:val="00F6363B"/>
    <w:rsid w:val="00F63698"/>
    <w:rsid w:val="00F63889"/>
    <w:rsid w:val="00F639F9"/>
    <w:rsid w:val="00F63A16"/>
    <w:rsid w:val="00F63A34"/>
    <w:rsid w:val="00F63BDB"/>
    <w:rsid w:val="00F63BE3"/>
    <w:rsid w:val="00F63D9C"/>
    <w:rsid w:val="00F63DD4"/>
    <w:rsid w:val="00F63E36"/>
    <w:rsid w:val="00F63E37"/>
    <w:rsid w:val="00F63F8D"/>
    <w:rsid w:val="00F6400C"/>
    <w:rsid w:val="00F640D3"/>
    <w:rsid w:val="00F64117"/>
    <w:rsid w:val="00F64138"/>
    <w:rsid w:val="00F6424F"/>
    <w:rsid w:val="00F64444"/>
    <w:rsid w:val="00F645C2"/>
    <w:rsid w:val="00F645DB"/>
    <w:rsid w:val="00F645F4"/>
    <w:rsid w:val="00F6463A"/>
    <w:rsid w:val="00F6463B"/>
    <w:rsid w:val="00F6491E"/>
    <w:rsid w:val="00F64A4B"/>
    <w:rsid w:val="00F64AE0"/>
    <w:rsid w:val="00F64C7D"/>
    <w:rsid w:val="00F64D1B"/>
    <w:rsid w:val="00F64D59"/>
    <w:rsid w:val="00F64DA3"/>
    <w:rsid w:val="00F64DF5"/>
    <w:rsid w:val="00F64EDA"/>
    <w:rsid w:val="00F6513C"/>
    <w:rsid w:val="00F651BE"/>
    <w:rsid w:val="00F65277"/>
    <w:rsid w:val="00F652A7"/>
    <w:rsid w:val="00F65304"/>
    <w:rsid w:val="00F6547C"/>
    <w:rsid w:val="00F654AB"/>
    <w:rsid w:val="00F657F8"/>
    <w:rsid w:val="00F6581A"/>
    <w:rsid w:val="00F65972"/>
    <w:rsid w:val="00F659B0"/>
    <w:rsid w:val="00F65B68"/>
    <w:rsid w:val="00F65BDD"/>
    <w:rsid w:val="00F65CA5"/>
    <w:rsid w:val="00F65D51"/>
    <w:rsid w:val="00F66098"/>
    <w:rsid w:val="00F66285"/>
    <w:rsid w:val="00F66287"/>
    <w:rsid w:val="00F66546"/>
    <w:rsid w:val="00F665C7"/>
    <w:rsid w:val="00F66621"/>
    <w:rsid w:val="00F66637"/>
    <w:rsid w:val="00F6668F"/>
    <w:rsid w:val="00F66726"/>
    <w:rsid w:val="00F66794"/>
    <w:rsid w:val="00F667ED"/>
    <w:rsid w:val="00F668A8"/>
    <w:rsid w:val="00F66903"/>
    <w:rsid w:val="00F66954"/>
    <w:rsid w:val="00F669C8"/>
    <w:rsid w:val="00F66B5C"/>
    <w:rsid w:val="00F66C12"/>
    <w:rsid w:val="00F66C88"/>
    <w:rsid w:val="00F66E75"/>
    <w:rsid w:val="00F66F8A"/>
    <w:rsid w:val="00F66FF6"/>
    <w:rsid w:val="00F67060"/>
    <w:rsid w:val="00F670B1"/>
    <w:rsid w:val="00F671A0"/>
    <w:rsid w:val="00F672A0"/>
    <w:rsid w:val="00F673C5"/>
    <w:rsid w:val="00F67556"/>
    <w:rsid w:val="00F67581"/>
    <w:rsid w:val="00F67584"/>
    <w:rsid w:val="00F6765F"/>
    <w:rsid w:val="00F67720"/>
    <w:rsid w:val="00F67726"/>
    <w:rsid w:val="00F67770"/>
    <w:rsid w:val="00F677E0"/>
    <w:rsid w:val="00F67823"/>
    <w:rsid w:val="00F6787A"/>
    <w:rsid w:val="00F67892"/>
    <w:rsid w:val="00F67A66"/>
    <w:rsid w:val="00F67AB8"/>
    <w:rsid w:val="00F67C62"/>
    <w:rsid w:val="00F67DD3"/>
    <w:rsid w:val="00F67E12"/>
    <w:rsid w:val="00F67E22"/>
    <w:rsid w:val="00F67E96"/>
    <w:rsid w:val="00F67EE9"/>
    <w:rsid w:val="00F70081"/>
    <w:rsid w:val="00F700B0"/>
    <w:rsid w:val="00F7020E"/>
    <w:rsid w:val="00F7027A"/>
    <w:rsid w:val="00F703B8"/>
    <w:rsid w:val="00F7044F"/>
    <w:rsid w:val="00F7046B"/>
    <w:rsid w:val="00F70573"/>
    <w:rsid w:val="00F70702"/>
    <w:rsid w:val="00F70777"/>
    <w:rsid w:val="00F707B1"/>
    <w:rsid w:val="00F708A7"/>
    <w:rsid w:val="00F708C9"/>
    <w:rsid w:val="00F70926"/>
    <w:rsid w:val="00F70972"/>
    <w:rsid w:val="00F709C4"/>
    <w:rsid w:val="00F70BF4"/>
    <w:rsid w:val="00F70C88"/>
    <w:rsid w:val="00F70CAA"/>
    <w:rsid w:val="00F70CCC"/>
    <w:rsid w:val="00F70D64"/>
    <w:rsid w:val="00F70E30"/>
    <w:rsid w:val="00F70E46"/>
    <w:rsid w:val="00F70E5C"/>
    <w:rsid w:val="00F70F5A"/>
    <w:rsid w:val="00F712A8"/>
    <w:rsid w:val="00F71504"/>
    <w:rsid w:val="00F715BC"/>
    <w:rsid w:val="00F715DB"/>
    <w:rsid w:val="00F718D8"/>
    <w:rsid w:val="00F71A24"/>
    <w:rsid w:val="00F71A52"/>
    <w:rsid w:val="00F71A94"/>
    <w:rsid w:val="00F71A9D"/>
    <w:rsid w:val="00F71ABA"/>
    <w:rsid w:val="00F71ACD"/>
    <w:rsid w:val="00F71B5B"/>
    <w:rsid w:val="00F71BB7"/>
    <w:rsid w:val="00F71CDA"/>
    <w:rsid w:val="00F71D8A"/>
    <w:rsid w:val="00F71F5A"/>
    <w:rsid w:val="00F7201D"/>
    <w:rsid w:val="00F72055"/>
    <w:rsid w:val="00F720FB"/>
    <w:rsid w:val="00F72280"/>
    <w:rsid w:val="00F723D0"/>
    <w:rsid w:val="00F7268B"/>
    <w:rsid w:val="00F727AC"/>
    <w:rsid w:val="00F728D8"/>
    <w:rsid w:val="00F7297F"/>
    <w:rsid w:val="00F729DD"/>
    <w:rsid w:val="00F72A19"/>
    <w:rsid w:val="00F72BDA"/>
    <w:rsid w:val="00F72DCE"/>
    <w:rsid w:val="00F72EF2"/>
    <w:rsid w:val="00F72F46"/>
    <w:rsid w:val="00F72FF3"/>
    <w:rsid w:val="00F73036"/>
    <w:rsid w:val="00F7316D"/>
    <w:rsid w:val="00F73199"/>
    <w:rsid w:val="00F731E0"/>
    <w:rsid w:val="00F732B0"/>
    <w:rsid w:val="00F733E1"/>
    <w:rsid w:val="00F73512"/>
    <w:rsid w:val="00F73565"/>
    <w:rsid w:val="00F736F5"/>
    <w:rsid w:val="00F737E3"/>
    <w:rsid w:val="00F737F6"/>
    <w:rsid w:val="00F73904"/>
    <w:rsid w:val="00F73A00"/>
    <w:rsid w:val="00F73A1C"/>
    <w:rsid w:val="00F73ABD"/>
    <w:rsid w:val="00F73BF2"/>
    <w:rsid w:val="00F73C03"/>
    <w:rsid w:val="00F73D1D"/>
    <w:rsid w:val="00F73E34"/>
    <w:rsid w:val="00F73E52"/>
    <w:rsid w:val="00F73E5A"/>
    <w:rsid w:val="00F73F09"/>
    <w:rsid w:val="00F73F6A"/>
    <w:rsid w:val="00F74052"/>
    <w:rsid w:val="00F7415C"/>
    <w:rsid w:val="00F7416E"/>
    <w:rsid w:val="00F74170"/>
    <w:rsid w:val="00F7418C"/>
    <w:rsid w:val="00F74324"/>
    <w:rsid w:val="00F74343"/>
    <w:rsid w:val="00F7435D"/>
    <w:rsid w:val="00F74471"/>
    <w:rsid w:val="00F7465F"/>
    <w:rsid w:val="00F746F0"/>
    <w:rsid w:val="00F747A5"/>
    <w:rsid w:val="00F748A6"/>
    <w:rsid w:val="00F748F1"/>
    <w:rsid w:val="00F74969"/>
    <w:rsid w:val="00F749AB"/>
    <w:rsid w:val="00F74A8A"/>
    <w:rsid w:val="00F74BCD"/>
    <w:rsid w:val="00F74C4B"/>
    <w:rsid w:val="00F74CDD"/>
    <w:rsid w:val="00F74D9E"/>
    <w:rsid w:val="00F74DBC"/>
    <w:rsid w:val="00F74E72"/>
    <w:rsid w:val="00F751B3"/>
    <w:rsid w:val="00F75381"/>
    <w:rsid w:val="00F753E9"/>
    <w:rsid w:val="00F754AE"/>
    <w:rsid w:val="00F754F1"/>
    <w:rsid w:val="00F754F3"/>
    <w:rsid w:val="00F75507"/>
    <w:rsid w:val="00F7561A"/>
    <w:rsid w:val="00F7570D"/>
    <w:rsid w:val="00F758D2"/>
    <w:rsid w:val="00F75979"/>
    <w:rsid w:val="00F75C6F"/>
    <w:rsid w:val="00F75D4C"/>
    <w:rsid w:val="00F75D55"/>
    <w:rsid w:val="00F75D82"/>
    <w:rsid w:val="00F75E9F"/>
    <w:rsid w:val="00F760C4"/>
    <w:rsid w:val="00F762B5"/>
    <w:rsid w:val="00F7640D"/>
    <w:rsid w:val="00F76457"/>
    <w:rsid w:val="00F764F0"/>
    <w:rsid w:val="00F7656A"/>
    <w:rsid w:val="00F76640"/>
    <w:rsid w:val="00F767AD"/>
    <w:rsid w:val="00F769F4"/>
    <w:rsid w:val="00F76A8F"/>
    <w:rsid w:val="00F76ACA"/>
    <w:rsid w:val="00F76AF1"/>
    <w:rsid w:val="00F76B7D"/>
    <w:rsid w:val="00F76CC2"/>
    <w:rsid w:val="00F76CD6"/>
    <w:rsid w:val="00F76F6F"/>
    <w:rsid w:val="00F7710C"/>
    <w:rsid w:val="00F77119"/>
    <w:rsid w:val="00F7725D"/>
    <w:rsid w:val="00F77294"/>
    <w:rsid w:val="00F7739B"/>
    <w:rsid w:val="00F77409"/>
    <w:rsid w:val="00F77911"/>
    <w:rsid w:val="00F77992"/>
    <w:rsid w:val="00F779B3"/>
    <w:rsid w:val="00F779F9"/>
    <w:rsid w:val="00F77A49"/>
    <w:rsid w:val="00F77B8F"/>
    <w:rsid w:val="00F77B98"/>
    <w:rsid w:val="00F77E1E"/>
    <w:rsid w:val="00F77E23"/>
    <w:rsid w:val="00F77E4D"/>
    <w:rsid w:val="00F77EF4"/>
    <w:rsid w:val="00F77FD2"/>
    <w:rsid w:val="00F80144"/>
    <w:rsid w:val="00F80173"/>
    <w:rsid w:val="00F8017B"/>
    <w:rsid w:val="00F801AB"/>
    <w:rsid w:val="00F8023C"/>
    <w:rsid w:val="00F8038E"/>
    <w:rsid w:val="00F80411"/>
    <w:rsid w:val="00F8064E"/>
    <w:rsid w:val="00F80760"/>
    <w:rsid w:val="00F807A2"/>
    <w:rsid w:val="00F808C4"/>
    <w:rsid w:val="00F809CD"/>
    <w:rsid w:val="00F80A50"/>
    <w:rsid w:val="00F80B3C"/>
    <w:rsid w:val="00F80BC1"/>
    <w:rsid w:val="00F80BEF"/>
    <w:rsid w:val="00F80C3D"/>
    <w:rsid w:val="00F80C55"/>
    <w:rsid w:val="00F80CF0"/>
    <w:rsid w:val="00F80D66"/>
    <w:rsid w:val="00F80EE8"/>
    <w:rsid w:val="00F80F96"/>
    <w:rsid w:val="00F810F6"/>
    <w:rsid w:val="00F8112A"/>
    <w:rsid w:val="00F8117A"/>
    <w:rsid w:val="00F811AE"/>
    <w:rsid w:val="00F811F9"/>
    <w:rsid w:val="00F812D8"/>
    <w:rsid w:val="00F81303"/>
    <w:rsid w:val="00F815F8"/>
    <w:rsid w:val="00F816DD"/>
    <w:rsid w:val="00F81A81"/>
    <w:rsid w:val="00F81BA8"/>
    <w:rsid w:val="00F81C8F"/>
    <w:rsid w:val="00F81CD9"/>
    <w:rsid w:val="00F81D6B"/>
    <w:rsid w:val="00F81E8B"/>
    <w:rsid w:val="00F81EA2"/>
    <w:rsid w:val="00F81F7A"/>
    <w:rsid w:val="00F82004"/>
    <w:rsid w:val="00F820E9"/>
    <w:rsid w:val="00F8212B"/>
    <w:rsid w:val="00F82317"/>
    <w:rsid w:val="00F82433"/>
    <w:rsid w:val="00F82436"/>
    <w:rsid w:val="00F82481"/>
    <w:rsid w:val="00F82486"/>
    <w:rsid w:val="00F824CE"/>
    <w:rsid w:val="00F82657"/>
    <w:rsid w:val="00F82739"/>
    <w:rsid w:val="00F82833"/>
    <w:rsid w:val="00F82847"/>
    <w:rsid w:val="00F829D7"/>
    <w:rsid w:val="00F82AA7"/>
    <w:rsid w:val="00F82ABE"/>
    <w:rsid w:val="00F82BD4"/>
    <w:rsid w:val="00F82C05"/>
    <w:rsid w:val="00F82D1D"/>
    <w:rsid w:val="00F83217"/>
    <w:rsid w:val="00F8333C"/>
    <w:rsid w:val="00F83343"/>
    <w:rsid w:val="00F834A0"/>
    <w:rsid w:val="00F835E6"/>
    <w:rsid w:val="00F8361F"/>
    <w:rsid w:val="00F83629"/>
    <w:rsid w:val="00F8369C"/>
    <w:rsid w:val="00F836FD"/>
    <w:rsid w:val="00F83772"/>
    <w:rsid w:val="00F8383D"/>
    <w:rsid w:val="00F83897"/>
    <w:rsid w:val="00F838F6"/>
    <w:rsid w:val="00F83A5F"/>
    <w:rsid w:val="00F83AAC"/>
    <w:rsid w:val="00F83B01"/>
    <w:rsid w:val="00F83BC9"/>
    <w:rsid w:val="00F83D02"/>
    <w:rsid w:val="00F83D82"/>
    <w:rsid w:val="00F83EE0"/>
    <w:rsid w:val="00F84027"/>
    <w:rsid w:val="00F84039"/>
    <w:rsid w:val="00F84047"/>
    <w:rsid w:val="00F84165"/>
    <w:rsid w:val="00F8417E"/>
    <w:rsid w:val="00F842C1"/>
    <w:rsid w:val="00F842EC"/>
    <w:rsid w:val="00F84361"/>
    <w:rsid w:val="00F84512"/>
    <w:rsid w:val="00F8452C"/>
    <w:rsid w:val="00F84630"/>
    <w:rsid w:val="00F8464A"/>
    <w:rsid w:val="00F8469D"/>
    <w:rsid w:val="00F846E7"/>
    <w:rsid w:val="00F846E8"/>
    <w:rsid w:val="00F84732"/>
    <w:rsid w:val="00F84759"/>
    <w:rsid w:val="00F847A1"/>
    <w:rsid w:val="00F84833"/>
    <w:rsid w:val="00F848BD"/>
    <w:rsid w:val="00F848EA"/>
    <w:rsid w:val="00F84A7F"/>
    <w:rsid w:val="00F84D86"/>
    <w:rsid w:val="00F84E25"/>
    <w:rsid w:val="00F84F60"/>
    <w:rsid w:val="00F851BF"/>
    <w:rsid w:val="00F85262"/>
    <w:rsid w:val="00F85344"/>
    <w:rsid w:val="00F8541D"/>
    <w:rsid w:val="00F854E0"/>
    <w:rsid w:val="00F85521"/>
    <w:rsid w:val="00F8555B"/>
    <w:rsid w:val="00F8559E"/>
    <w:rsid w:val="00F85758"/>
    <w:rsid w:val="00F85781"/>
    <w:rsid w:val="00F857E0"/>
    <w:rsid w:val="00F8582A"/>
    <w:rsid w:val="00F858F0"/>
    <w:rsid w:val="00F85941"/>
    <w:rsid w:val="00F85A46"/>
    <w:rsid w:val="00F85AE4"/>
    <w:rsid w:val="00F85AE8"/>
    <w:rsid w:val="00F85B6D"/>
    <w:rsid w:val="00F85B74"/>
    <w:rsid w:val="00F85BCC"/>
    <w:rsid w:val="00F85C92"/>
    <w:rsid w:val="00F85D99"/>
    <w:rsid w:val="00F85DC4"/>
    <w:rsid w:val="00F85E9E"/>
    <w:rsid w:val="00F85FCD"/>
    <w:rsid w:val="00F860FD"/>
    <w:rsid w:val="00F8610B"/>
    <w:rsid w:val="00F86248"/>
    <w:rsid w:val="00F86298"/>
    <w:rsid w:val="00F862C2"/>
    <w:rsid w:val="00F862DA"/>
    <w:rsid w:val="00F86331"/>
    <w:rsid w:val="00F86335"/>
    <w:rsid w:val="00F86351"/>
    <w:rsid w:val="00F86430"/>
    <w:rsid w:val="00F866A4"/>
    <w:rsid w:val="00F86776"/>
    <w:rsid w:val="00F86897"/>
    <w:rsid w:val="00F868C5"/>
    <w:rsid w:val="00F869B8"/>
    <w:rsid w:val="00F86B84"/>
    <w:rsid w:val="00F86D45"/>
    <w:rsid w:val="00F86E79"/>
    <w:rsid w:val="00F86F29"/>
    <w:rsid w:val="00F86F5C"/>
    <w:rsid w:val="00F87038"/>
    <w:rsid w:val="00F870EE"/>
    <w:rsid w:val="00F8710A"/>
    <w:rsid w:val="00F87244"/>
    <w:rsid w:val="00F872A9"/>
    <w:rsid w:val="00F872BC"/>
    <w:rsid w:val="00F87339"/>
    <w:rsid w:val="00F8744C"/>
    <w:rsid w:val="00F8748C"/>
    <w:rsid w:val="00F875B5"/>
    <w:rsid w:val="00F8764E"/>
    <w:rsid w:val="00F87674"/>
    <w:rsid w:val="00F877A9"/>
    <w:rsid w:val="00F87AA8"/>
    <w:rsid w:val="00F87B14"/>
    <w:rsid w:val="00F87BA2"/>
    <w:rsid w:val="00F87D26"/>
    <w:rsid w:val="00F87DDE"/>
    <w:rsid w:val="00F9002E"/>
    <w:rsid w:val="00F90037"/>
    <w:rsid w:val="00F9008A"/>
    <w:rsid w:val="00F900F0"/>
    <w:rsid w:val="00F90363"/>
    <w:rsid w:val="00F90372"/>
    <w:rsid w:val="00F903D2"/>
    <w:rsid w:val="00F90496"/>
    <w:rsid w:val="00F9074A"/>
    <w:rsid w:val="00F90862"/>
    <w:rsid w:val="00F908A3"/>
    <w:rsid w:val="00F909BE"/>
    <w:rsid w:val="00F90C15"/>
    <w:rsid w:val="00F90C75"/>
    <w:rsid w:val="00F90CC2"/>
    <w:rsid w:val="00F90DA4"/>
    <w:rsid w:val="00F90DAB"/>
    <w:rsid w:val="00F90DD0"/>
    <w:rsid w:val="00F90EB3"/>
    <w:rsid w:val="00F90EDF"/>
    <w:rsid w:val="00F90F14"/>
    <w:rsid w:val="00F910DC"/>
    <w:rsid w:val="00F910F6"/>
    <w:rsid w:val="00F9120D"/>
    <w:rsid w:val="00F9125B"/>
    <w:rsid w:val="00F91449"/>
    <w:rsid w:val="00F9150B"/>
    <w:rsid w:val="00F915CB"/>
    <w:rsid w:val="00F9160C"/>
    <w:rsid w:val="00F916E7"/>
    <w:rsid w:val="00F916E8"/>
    <w:rsid w:val="00F9179C"/>
    <w:rsid w:val="00F917FF"/>
    <w:rsid w:val="00F91847"/>
    <w:rsid w:val="00F9188A"/>
    <w:rsid w:val="00F918C1"/>
    <w:rsid w:val="00F918E8"/>
    <w:rsid w:val="00F919EC"/>
    <w:rsid w:val="00F91B28"/>
    <w:rsid w:val="00F91BF6"/>
    <w:rsid w:val="00F91C90"/>
    <w:rsid w:val="00F91D2B"/>
    <w:rsid w:val="00F91D9D"/>
    <w:rsid w:val="00F91FAD"/>
    <w:rsid w:val="00F91FBC"/>
    <w:rsid w:val="00F92048"/>
    <w:rsid w:val="00F920CC"/>
    <w:rsid w:val="00F92566"/>
    <w:rsid w:val="00F925AF"/>
    <w:rsid w:val="00F927AE"/>
    <w:rsid w:val="00F927C1"/>
    <w:rsid w:val="00F927C8"/>
    <w:rsid w:val="00F9287D"/>
    <w:rsid w:val="00F92A32"/>
    <w:rsid w:val="00F92A6C"/>
    <w:rsid w:val="00F92AF1"/>
    <w:rsid w:val="00F92B09"/>
    <w:rsid w:val="00F92B3B"/>
    <w:rsid w:val="00F92E2D"/>
    <w:rsid w:val="00F93092"/>
    <w:rsid w:val="00F930C2"/>
    <w:rsid w:val="00F93111"/>
    <w:rsid w:val="00F93209"/>
    <w:rsid w:val="00F9336B"/>
    <w:rsid w:val="00F93382"/>
    <w:rsid w:val="00F93424"/>
    <w:rsid w:val="00F934BD"/>
    <w:rsid w:val="00F9358F"/>
    <w:rsid w:val="00F935E3"/>
    <w:rsid w:val="00F93627"/>
    <w:rsid w:val="00F93667"/>
    <w:rsid w:val="00F936B7"/>
    <w:rsid w:val="00F936BD"/>
    <w:rsid w:val="00F9371A"/>
    <w:rsid w:val="00F93767"/>
    <w:rsid w:val="00F93803"/>
    <w:rsid w:val="00F9386F"/>
    <w:rsid w:val="00F93A00"/>
    <w:rsid w:val="00F93A4F"/>
    <w:rsid w:val="00F93AB1"/>
    <w:rsid w:val="00F93C3B"/>
    <w:rsid w:val="00F93C65"/>
    <w:rsid w:val="00F93D0B"/>
    <w:rsid w:val="00F93DA9"/>
    <w:rsid w:val="00F93E5A"/>
    <w:rsid w:val="00F94123"/>
    <w:rsid w:val="00F94171"/>
    <w:rsid w:val="00F94221"/>
    <w:rsid w:val="00F94339"/>
    <w:rsid w:val="00F943AC"/>
    <w:rsid w:val="00F943D4"/>
    <w:rsid w:val="00F94610"/>
    <w:rsid w:val="00F946CA"/>
    <w:rsid w:val="00F94757"/>
    <w:rsid w:val="00F94942"/>
    <w:rsid w:val="00F94954"/>
    <w:rsid w:val="00F94A80"/>
    <w:rsid w:val="00F94A84"/>
    <w:rsid w:val="00F94AD7"/>
    <w:rsid w:val="00F94B60"/>
    <w:rsid w:val="00F94C13"/>
    <w:rsid w:val="00F94C4F"/>
    <w:rsid w:val="00F94C93"/>
    <w:rsid w:val="00F94CEF"/>
    <w:rsid w:val="00F94D27"/>
    <w:rsid w:val="00F94E20"/>
    <w:rsid w:val="00F94EF1"/>
    <w:rsid w:val="00F94F66"/>
    <w:rsid w:val="00F94FCA"/>
    <w:rsid w:val="00F95069"/>
    <w:rsid w:val="00F95102"/>
    <w:rsid w:val="00F9532A"/>
    <w:rsid w:val="00F9536B"/>
    <w:rsid w:val="00F95427"/>
    <w:rsid w:val="00F9547E"/>
    <w:rsid w:val="00F95492"/>
    <w:rsid w:val="00F95660"/>
    <w:rsid w:val="00F956AB"/>
    <w:rsid w:val="00F9572A"/>
    <w:rsid w:val="00F95804"/>
    <w:rsid w:val="00F9597B"/>
    <w:rsid w:val="00F959E2"/>
    <w:rsid w:val="00F95A04"/>
    <w:rsid w:val="00F95A3B"/>
    <w:rsid w:val="00F95B6C"/>
    <w:rsid w:val="00F95BAF"/>
    <w:rsid w:val="00F95E7A"/>
    <w:rsid w:val="00F95EE8"/>
    <w:rsid w:val="00F95FDE"/>
    <w:rsid w:val="00F960AE"/>
    <w:rsid w:val="00F961CC"/>
    <w:rsid w:val="00F9620F"/>
    <w:rsid w:val="00F9623E"/>
    <w:rsid w:val="00F96429"/>
    <w:rsid w:val="00F964AF"/>
    <w:rsid w:val="00F964DB"/>
    <w:rsid w:val="00F9651A"/>
    <w:rsid w:val="00F967C0"/>
    <w:rsid w:val="00F967FF"/>
    <w:rsid w:val="00F96AF3"/>
    <w:rsid w:val="00F96C25"/>
    <w:rsid w:val="00F96E87"/>
    <w:rsid w:val="00F96FBE"/>
    <w:rsid w:val="00F9713C"/>
    <w:rsid w:val="00F97150"/>
    <w:rsid w:val="00F971AA"/>
    <w:rsid w:val="00F9728E"/>
    <w:rsid w:val="00F97353"/>
    <w:rsid w:val="00F9738C"/>
    <w:rsid w:val="00F9739D"/>
    <w:rsid w:val="00F9759E"/>
    <w:rsid w:val="00F97656"/>
    <w:rsid w:val="00F976E3"/>
    <w:rsid w:val="00F97740"/>
    <w:rsid w:val="00F9779C"/>
    <w:rsid w:val="00F97830"/>
    <w:rsid w:val="00F97831"/>
    <w:rsid w:val="00F97839"/>
    <w:rsid w:val="00F97856"/>
    <w:rsid w:val="00F97877"/>
    <w:rsid w:val="00F978C1"/>
    <w:rsid w:val="00F978F9"/>
    <w:rsid w:val="00F979A5"/>
    <w:rsid w:val="00F97BBA"/>
    <w:rsid w:val="00F97E68"/>
    <w:rsid w:val="00F97FB7"/>
    <w:rsid w:val="00F97FC5"/>
    <w:rsid w:val="00FA0119"/>
    <w:rsid w:val="00FA04BC"/>
    <w:rsid w:val="00FA0551"/>
    <w:rsid w:val="00FA0906"/>
    <w:rsid w:val="00FA0913"/>
    <w:rsid w:val="00FA0991"/>
    <w:rsid w:val="00FA0B56"/>
    <w:rsid w:val="00FA0BC4"/>
    <w:rsid w:val="00FA0C0D"/>
    <w:rsid w:val="00FA0CD0"/>
    <w:rsid w:val="00FA0E2F"/>
    <w:rsid w:val="00FA0E61"/>
    <w:rsid w:val="00FA0F42"/>
    <w:rsid w:val="00FA12CC"/>
    <w:rsid w:val="00FA1351"/>
    <w:rsid w:val="00FA137C"/>
    <w:rsid w:val="00FA1467"/>
    <w:rsid w:val="00FA156E"/>
    <w:rsid w:val="00FA15D5"/>
    <w:rsid w:val="00FA15FE"/>
    <w:rsid w:val="00FA15FF"/>
    <w:rsid w:val="00FA1617"/>
    <w:rsid w:val="00FA164D"/>
    <w:rsid w:val="00FA16E6"/>
    <w:rsid w:val="00FA177F"/>
    <w:rsid w:val="00FA17EB"/>
    <w:rsid w:val="00FA1AD6"/>
    <w:rsid w:val="00FA1B0A"/>
    <w:rsid w:val="00FA1C5E"/>
    <w:rsid w:val="00FA1C6F"/>
    <w:rsid w:val="00FA1CC8"/>
    <w:rsid w:val="00FA1D3D"/>
    <w:rsid w:val="00FA1DA0"/>
    <w:rsid w:val="00FA20A8"/>
    <w:rsid w:val="00FA210F"/>
    <w:rsid w:val="00FA2155"/>
    <w:rsid w:val="00FA2181"/>
    <w:rsid w:val="00FA22D4"/>
    <w:rsid w:val="00FA2430"/>
    <w:rsid w:val="00FA2615"/>
    <w:rsid w:val="00FA2702"/>
    <w:rsid w:val="00FA2727"/>
    <w:rsid w:val="00FA2782"/>
    <w:rsid w:val="00FA2863"/>
    <w:rsid w:val="00FA2980"/>
    <w:rsid w:val="00FA2A34"/>
    <w:rsid w:val="00FA2A69"/>
    <w:rsid w:val="00FA2A9B"/>
    <w:rsid w:val="00FA2AEF"/>
    <w:rsid w:val="00FA2B37"/>
    <w:rsid w:val="00FA2B78"/>
    <w:rsid w:val="00FA2CDF"/>
    <w:rsid w:val="00FA2DAB"/>
    <w:rsid w:val="00FA2ECB"/>
    <w:rsid w:val="00FA2ED1"/>
    <w:rsid w:val="00FA2EDD"/>
    <w:rsid w:val="00FA2EF4"/>
    <w:rsid w:val="00FA2F23"/>
    <w:rsid w:val="00FA2FB7"/>
    <w:rsid w:val="00FA3040"/>
    <w:rsid w:val="00FA30BF"/>
    <w:rsid w:val="00FA3224"/>
    <w:rsid w:val="00FA325B"/>
    <w:rsid w:val="00FA32A3"/>
    <w:rsid w:val="00FA32B4"/>
    <w:rsid w:val="00FA32D2"/>
    <w:rsid w:val="00FA3312"/>
    <w:rsid w:val="00FA332B"/>
    <w:rsid w:val="00FA3684"/>
    <w:rsid w:val="00FA3748"/>
    <w:rsid w:val="00FA3762"/>
    <w:rsid w:val="00FA37AB"/>
    <w:rsid w:val="00FA37FB"/>
    <w:rsid w:val="00FA38A1"/>
    <w:rsid w:val="00FA3907"/>
    <w:rsid w:val="00FA3A18"/>
    <w:rsid w:val="00FA3BA2"/>
    <w:rsid w:val="00FA3BDE"/>
    <w:rsid w:val="00FA3C32"/>
    <w:rsid w:val="00FA3CA7"/>
    <w:rsid w:val="00FA3DDA"/>
    <w:rsid w:val="00FA3E06"/>
    <w:rsid w:val="00FA3E31"/>
    <w:rsid w:val="00FA3FBB"/>
    <w:rsid w:val="00FA3FDF"/>
    <w:rsid w:val="00FA4010"/>
    <w:rsid w:val="00FA4191"/>
    <w:rsid w:val="00FA4255"/>
    <w:rsid w:val="00FA43DA"/>
    <w:rsid w:val="00FA4421"/>
    <w:rsid w:val="00FA4553"/>
    <w:rsid w:val="00FA45E8"/>
    <w:rsid w:val="00FA4658"/>
    <w:rsid w:val="00FA4666"/>
    <w:rsid w:val="00FA4691"/>
    <w:rsid w:val="00FA46A4"/>
    <w:rsid w:val="00FA4704"/>
    <w:rsid w:val="00FA4A6E"/>
    <w:rsid w:val="00FA4CD5"/>
    <w:rsid w:val="00FA4D3F"/>
    <w:rsid w:val="00FA4E53"/>
    <w:rsid w:val="00FA4F12"/>
    <w:rsid w:val="00FA4F20"/>
    <w:rsid w:val="00FA5258"/>
    <w:rsid w:val="00FA532D"/>
    <w:rsid w:val="00FA55B1"/>
    <w:rsid w:val="00FA55C9"/>
    <w:rsid w:val="00FA5642"/>
    <w:rsid w:val="00FA5645"/>
    <w:rsid w:val="00FA5688"/>
    <w:rsid w:val="00FA5733"/>
    <w:rsid w:val="00FA5765"/>
    <w:rsid w:val="00FA5766"/>
    <w:rsid w:val="00FA581E"/>
    <w:rsid w:val="00FA5893"/>
    <w:rsid w:val="00FA589C"/>
    <w:rsid w:val="00FA5939"/>
    <w:rsid w:val="00FA59C6"/>
    <w:rsid w:val="00FA5AD6"/>
    <w:rsid w:val="00FA5B0F"/>
    <w:rsid w:val="00FA5B73"/>
    <w:rsid w:val="00FA5BD0"/>
    <w:rsid w:val="00FA5D16"/>
    <w:rsid w:val="00FA5D3D"/>
    <w:rsid w:val="00FA5D84"/>
    <w:rsid w:val="00FA5DB2"/>
    <w:rsid w:val="00FA5DBD"/>
    <w:rsid w:val="00FA5E04"/>
    <w:rsid w:val="00FA5E14"/>
    <w:rsid w:val="00FA5F07"/>
    <w:rsid w:val="00FA5F49"/>
    <w:rsid w:val="00FA5F67"/>
    <w:rsid w:val="00FA5F85"/>
    <w:rsid w:val="00FA5F9E"/>
    <w:rsid w:val="00FA604F"/>
    <w:rsid w:val="00FA610F"/>
    <w:rsid w:val="00FA61A2"/>
    <w:rsid w:val="00FA61A4"/>
    <w:rsid w:val="00FA62DC"/>
    <w:rsid w:val="00FA62EA"/>
    <w:rsid w:val="00FA62FC"/>
    <w:rsid w:val="00FA6387"/>
    <w:rsid w:val="00FA63B2"/>
    <w:rsid w:val="00FA63C9"/>
    <w:rsid w:val="00FA6491"/>
    <w:rsid w:val="00FA65E7"/>
    <w:rsid w:val="00FA662B"/>
    <w:rsid w:val="00FA66C5"/>
    <w:rsid w:val="00FA6770"/>
    <w:rsid w:val="00FA685C"/>
    <w:rsid w:val="00FA6878"/>
    <w:rsid w:val="00FA69DE"/>
    <w:rsid w:val="00FA6A65"/>
    <w:rsid w:val="00FA6B9F"/>
    <w:rsid w:val="00FA6CCC"/>
    <w:rsid w:val="00FA6D2D"/>
    <w:rsid w:val="00FA709A"/>
    <w:rsid w:val="00FA70A5"/>
    <w:rsid w:val="00FA711B"/>
    <w:rsid w:val="00FA717C"/>
    <w:rsid w:val="00FA7200"/>
    <w:rsid w:val="00FA7413"/>
    <w:rsid w:val="00FA749B"/>
    <w:rsid w:val="00FA74AF"/>
    <w:rsid w:val="00FA74EA"/>
    <w:rsid w:val="00FA750C"/>
    <w:rsid w:val="00FA757D"/>
    <w:rsid w:val="00FA75F1"/>
    <w:rsid w:val="00FA760B"/>
    <w:rsid w:val="00FA765A"/>
    <w:rsid w:val="00FA765C"/>
    <w:rsid w:val="00FA77E8"/>
    <w:rsid w:val="00FA77EC"/>
    <w:rsid w:val="00FA781C"/>
    <w:rsid w:val="00FA7871"/>
    <w:rsid w:val="00FA7A4B"/>
    <w:rsid w:val="00FA7A8E"/>
    <w:rsid w:val="00FA7AB2"/>
    <w:rsid w:val="00FA7B0C"/>
    <w:rsid w:val="00FA7B8F"/>
    <w:rsid w:val="00FA7BB8"/>
    <w:rsid w:val="00FA7BED"/>
    <w:rsid w:val="00FA7C49"/>
    <w:rsid w:val="00FA7C4C"/>
    <w:rsid w:val="00FA7D0D"/>
    <w:rsid w:val="00FA7E9C"/>
    <w:rsid w:val="00FB0201"/>
    <w:rsid w:val="00FB0218"/>
    <w:rsid w:val="00FB023C"/>
    <w:rsid w:val="00FB0351"/>
    <w:rsid w:val="00FB03D5"/>
    <w:rsid w:val="00FB04C3"/>
    <w:rsid w:val="00FB051D"/>
    <w:rsid w:val="00FB058B"/>
    <w:rsid w:val="00FB0660"/>
    <w:rsid w:val="00FB072F"/>
    <w:rsid w:val="00FB0784"/>
    <w:rsid w:val="00FB07F2"/>
    <w:rsid w:val="00FB080F"/>
    <w:rsid w:val="00FB086C"/>
    <w:rsid w:val="00FB09CC"/>
    <w:rsid w:val="00FB0B0E"/>
    <w:rsid w:val="00FB0B5D"/>
    <w:rsid w:val="00FB0B9C"/>
    <w:rsid w:val="00FB0C3C"/>
    <w:rsid w:val="00FB0C43"/>
    <w:rsid w:val="00FB0D01"/>
    <w:rsid w:val="00FB0D82"/>
    <w:rsid w:val="00FB0DB6"/>
    <w:rsid w:val="00FB0E2D"/>
    <w:rsid w:val="00FB0F21"/>
    <w:rsid w:val="00FB0F25"/>
    <w:rsid w:val="00FB0F74"/>
    <w:rsid w:val="00FB100A"/>
    <w:rsid w:val="00FB1235"/>
    <w:rsid w:val="00FB1346"/>
    <w:rsid w:val="00FB135A"/>
    <w:rsid w:val="00FB1361"/>
    <w:rsid w:val="00FB13A0"/>
    <w:rsid w:val="00FB143C"/>
    <w:rsid w:val="00FB143D"/>
    <w:rsid w:val="00FB14C4"/>
    <w:rsid w:val="00FB1558"/>
    <w:rsid w:val="00FB15D6"/>
    <w:rsid w:val="00FB15D9"/>
    <w:rsid w:val="00FB1797"/>
    <w:rsid w:val="00FB17D7"/>
    <w:rsid w:val="00FB1814"/>
    <w:rsid w:val="00FB1876"/>
    <w:rsid w:val="00FB18E4"/>
    <w:rsid w:val="00FB1AC2"/>
    <w:rsid w:val="00FB1E41"/>
    <w:rsid w:val="00FB204A"/>
    <w:rsid w:val="00FB2108"/>
    <w:rsid w:val="00FB25A5"/>
    <w:rsid w:val="00FB2627"/>
    <w:rsid w:val="00FB267D"/>
    <w:rsid w:val="00FB28EF"/>
    <w:rsid w:val="00FB2A10"/>
    <w:rsid w:val="00FB2A7A"/>
    <w:rsid w:val="00FB2AF6"/>
    <w:rsid w:val="00FB2D0C"/>
    <w:rsid w:val="00FB2DC6"/>
    <w:rsid w:val="00FB2DE8"/>
    <w:rsid w:val="00FB2E6F"/>
    <w:rsid w:val="00FB2E9A"/>
    <w:rsid w:val="00FB2F20"/>
    <w:rsid w:val="00FB2F3D"/>
    <w:rsid w:val="00FB2FBE"/>
    <w:rsid w:val="00FB2FD0"/>
    <w:rsid w:val="00FB2FF9"/>
    <w:rsid w:val="00FB30DC"/>
    <w:rsid w:val="00FB30DE"/>
    <w:rsid w:val="00FB3142"/>
    <w:rsid w:val="00FB348E"/>
    <w:rsid w:val="00FB35B7"/>
    <w:rsid w:val="00FB3615"/>
    <w:rsid w:val="00FB370C"/>
    <w:rsid w:val="00FB3878"/>
    <w:rsid w:val="00FB39AC"/>
    <w:rsid w:val="00FB3A0E"/>
    <w:rsid w:val="00FB3B43"/>
    <w:rsid w:val="00FB3B61"/>
    <w:rsid w:val="00FB3B88"/>
    <w:rsid w:val="00FB3BC7"/>
    <w:rsid w:val="00FB3D52"/>
    <w:rsid w:val="00FB3D7B"/>
    <w:rsid w:val="00FB3DEA"/>
    <w:rsid w:val="00FB3EBE"/>
    <w:rsid w:val="00FB4091"/>
    <w:rsid w:val="00FB4289"/>
    <w:rsid w:val="00FB4294"/>
    <w:rsid w:val="00FB437A"/>
    <w:rsid w:val="00FB43AC"/>
    <w:rsid w:val="00FB43AE"/>
    <w:rsid w:val="00FB449C"/>
    <w:rsid w:val="00FB450F"/>
    <w:rsid w:val="00FB45FA"/>
    <w:rsid w:val="00FB465D"/>
    <w:rsid w:val="00FB490C"/>
    <w:rsid w:val="00FB4B09"/>
    <w:rsid w:val="00FB4B4C"/>
    <w:rsid w:val="00FB4B4F"/>
    <w:rsid w:val="00FB4B52"/>
    <w:rsid w:val="00FB4BFA"/>
    <w:rsid w:val="00FB4C70"/>
    <w:rsid w:val="00FB4CB3"/>
    <w:rsid w:val="00FB4EEE"/>
    <w:rsid w:val="00FB4F4D"/>
    <w:rsid w:val="00FB4FCF"/>
    <w:rsid w:val="00FB51F2"/>
    <w:rsid w:val="00FB5247"/>
    <w:rsid w:val="00FB52CB"/>
    <w:rsid w:val="00FB539E"/>
    <w:rsid w:val="00FB53EE"/>
    <w:rsid w:val="00FB5408"/>
    <w:rsid w:val="00FB5409"/>
    <w:rsid w:val="00FB5436"/>
    <w:rsid w:val="00FB543F"/>
    <w:rsid w:val="00FB553E"/>
    <w:rsid w:val="00FB55BB"/>
    <w:rsid w:val="00FB56BC"/>
    <w:rsid w:val="00FB56FB"/>
    <w:rsid w:val="00FB5744"/>
    <w:rsid w:val="00FB58D3"/>
    <w:rsid w:val="00FB5A0D"/>
    <w:rsid w:val="00FB5A23"/>
    <w:rsid w:val="00FB5B2B"/>
    <w:rsid w:val="00FB5C27"/>
    <w:rsid w:val="00FB5E8B"/>
    <w:rsid w:val="00FB5EF0"/>
    <w:rsid w:val="00FB5F0A"/>
    <w:rsid w:val="00FB5F53"/>
    <w:rsid w:val="00FB609F"/>
    <w:rsid w:val="00FB60D0"/>
    <w:rsid w:val="00FB6218"/>
    <w:rsid w:val="00FB6344"/>
    <w:rsid w:val="00FB646A"/>
    <w:rsid w:val="00FB655D"/>
    <w:rsid w:val="00FB6611"/>
    <w:rsid w:val="00FB677E"/>
    <w:rsid w:val="00FB6C6A"/>
    <w:rsid w:val="00FB6CD8"/>
    <w:rsid w:val="00FB6EC6"/>
    <w:rsid w:val="00FB6F00"/>
    <w:rsid w:val="00FB711E"/>
    <w:rsid w:val="00FB720B"/>
    <w:rsid w:val="00FB7332"/>
    <w:rsid w:val="00FB7369"/>
    <w:rsid w:val="00FB7389"/>
    <w:rsid w:val="00FB7546"/>
    <w:rsid w:val="00FB7566"/>
    <w:rsid w:val="00FB7615"/>
    <w:rsid w:val="00FB7628"/>
    <w:rsid w:val="00FB773F"/>
    <w:rsid w:val="00FB77C7"/>
    <w:rsid w:val="00FB78BD"/>
    <w:rsid w:val="00FB7935"/>
    <w:rsid w:val="00FB7967"/>
    <w:rsid w:val="00FB7C73"/>
    <w:rsid w:val="00FB7D0A"/>
    <w:rsid w:val="00FB7D27"/>
    <w:rsid w:val="00FB7D94"/>
    <w:rsid w:val="00FB7E34"/>
    <w:rsid w:val="00FB7E61"/>
    <w:rsid w:val="00FB7EA5"/>
    <w:rsid w:val="00FC0004"/>
    <w:rsid w:val="00FC000A"/>
    <w:rsid w:val="00FC010C"/>
    <w:rsid w:val="00FC0156"/>
    <w:rsid w:val="00FC01E6"/>
    <w:rsid w:val="00FC0320"/>
    <w:rsid w:val="00FC03DB"/>
    <w:rsid w:val="00FC046C"/>
    <w:rsid w:val="00FC04AC"/>
    <w:rsid w:val="00FC0571"/>
    <w:rsid w:val="00FC05FE"/>
    <w:rsid w:val="00FC0604"/>
    <w:rsid w:val="00FC07D9"/>
    <w:rsid w:val="00FC08F4"/>
    <w:rsid w:val="00FC0A99"/>
    <w:rsid w:val="00FC0AD2"/>
    <w:rsid w:val="00FC0BBD"/>
    <w:rsid w:val="00FC0D76"/>
    <w:rsid w:val="00FC0E95"/>
    <w:rsid w:val="00FC0F86"/>
    <w:rsid w:val="00FC1141"/>
    <w:rsid w:val="00FC11E5"/>
    <w:rsid w:val="00FC11EF"/>
    <w:rsid w:val="00FC11FB"/>
    <w:rsid w:val="00FC120E"/>
    <w:rsid w:val="00FC12A2"/>
    <w:rsid w:val="00FC1355"/>
    <w:rsid w:val="00FC1461"/>
    <w:rsid w:val="00FC148B"/>
    <w:rsid w:val="00FC1699"/>
    <w:rsid w:val="00FC1869"/>
    <w:rsid w:val="00FC193C"/>
    <w:rsid w:val="00FC1942"/>
    <w:rsid w:val="00FC19F3"/>
    <w:rsid w:val="00FC1A93"/>
    <w:rsid w:val="00FC1B68"/>
    <w:rsid w:val="00FC1CC3"/>
    <w:rsid w:val="00FC1D20"/>
    <w:rsid w:val="00FC1D69"/>
    <w:rsid w:val="00FC1E45"/>
    <w:rsid w:val="00FC1F3A"/>
    <w:rsid w:val="00FC1FB4"/>
    <w:rsid w:val="00FC206A"/>
    <w:rsid w:val="00FC2108"/>
    <w:rsid w:val="00FC23F3"/>
    <w:rsid w:val="00FC245D"/>
    <w:rsid w:val="00FC249C"/>
    <w:rsid w:val="00FC2551"/>
    <w:rsid w:val="00FC25BB"/>
    <w:rsid w:val="00FC25D4"/>
    <w:rsid w:val="00FC25EA"/>
    <w:rsid w:val="00FC265A"/>
    <w:rsid w:val="00FC2675"/>
    <w:rsid w:val="00FC277D"/>
    <w:rsid w:val="00FC280B"/>
    <w:rsid w:val="00FC281D"/>
    <w:rsid w:val="00FC2820"/>
    <w:rsid w:val="00FC2896"/>
    <w:rsid w:val="00FC2B89"/>
    <w:rsid w:val="00FC2C28"/>
    <w:rsid w:val="00FC2EB9"/>
    <w:rsid w:val="00FC2EFD"/>
    <w:rsid w:val="00FC2F72"/>
    <w:rsid w:val="00FC315E"/>
    <w:rsid w:val="00FC3165"/>
    <w:rsid w:val="00FC32DE"/>
    <w:rsid w:val="00FC3492"/>
    <w:rsid w:val="00FC34AF"/>
    <w:rsid w:val="00FC3520"/>
    <w:rsid w:val="00FC35F4"/>
    <w:rsid w:val="00FC378C"/>
    <w:rsid w:val="00FC3865"/>
    <w:rsid w:val="00FC38CD"/>
    <w:rsid w:val="00FC38E0"/>
    <w:rsid w:val="00FC38FE"/>
    <w:rsid w:val="00FC3A3F"/>
    <w:rsid w:val="00FC3B4B"/>
    <w:rsid w:val="00FC3C34"/>
    <w:rsid w:val="00FC3D21"/>
    <w:rsid w:val="00FC3D4F"/>
    <w:rsid w:val="00FC3F30"/>
    <w:rsid w:val="00FC3FBF"/>
    <w:rsid w:val="00FC4042"/>
    <w:rsid w:val="00FC4244"/>
    <w:rsid w:val="00FC448C"/>
    <w:rsid w:val="00FC4541"/>
    <w:rsid w:val="00FC456E"/>
    <w:rsid w:val="00FC468C"/>
    <w:rsid w:val="00FC4700"/>
    <w:rsid w:val="00FC4865"/>
    <w:rsid w:val="00FC4875"/>
    <w:rsid w:val="00FC4882"/>
    <w:rsid w:val="00FC488E"/>
    <w:rsid w:val="00FC498C"/>
    <w:rsid w:val="00FC4997"/>
    <w:rsid w:val="00FC49CF"/>
    <w:rsid w:val="00FC49ED"/>
    <w:rsid w:val="00FC4B35"/>
    <w:rsid w:val="00FC4B42"/>
    <w:rsid w:val="00FC4BA4"/>
    <w:rsid w:val="00FC4BBB"/>
    <w:rsid w:val="00FC4D28"/>
    <w:rsid w:val="00FC4D36"/>
    <w:rsid w:val="00FC4EC7"/>
    <w:rsid w:val="00FC4EDB"/>
    <w:rsid w:val="00FC4EE1"/>
    <w:rsid w:val="00FC4FF4"/>
    <w:rsid w:val="00FC500E"/>
    <w:rsid w:val="00FC5032"/>
    <w:rsid w:val="00FC504D"/>
    <w:rsid w:val="00FC5101"/>
    <w:rsid w:val="00FC5124"/>
    <w:rsid w:val="00FC51BF"/>
    <w:rsid w:val="00FC5238"/>
    <w:rsid w:val="00FC53D0"/>
    <w:rsid w:val="00FC5474"/>
    <w:rsid w:val="00FC55C8"/>
    <w:rsid w:val="00FC55E0"/>
    <w:rsid w:val="00FC577D"/>
    <w:rsid w:val="00FC57B8"/>
    <w:rsid w:val="00FC58C2"/>
    <w:rsid w:val="00FC58E0"/>
    <w:rsid w:val="00FC5924"/>
    <w:rsid w:val="00FC5981"/>
    <w:rsid w:val="00FC5A50"/>
    <w:rsid w:val="00FC5B68"/>
    <w:rsid w:val="00FC5BA6"/>
    <w:rsid w:val="00FC5C6D"/>
    <w:rsid w:val="00FC5C8D"/>
    <w:rsid w:val="00FC5D7A"/>
    <w:rsid w:val="00FC5E0D"/>
    <w:rsid w:val="00FC5EE4"/>
    <w:rsid w:val="00FC5F80"/>
    <w:rsid w:val="00FC5F9F"/>
    <w:rsid w:val="00FC63C2"/>
    <w:rsid w:val="00FC63D5"/>
    <w:rsid w:val="00FC64A7"/>
    <w:rsid w:val="00FC64C7"/>
    <w:rsid w:val="00FC67D3"/>
    <w:rsid w:val="00FC68DB"/>
    <w:rsid w:val="00FC6974"/>
    <w:rsid w:val="00FC6ACA"/>
    <w:rsid w:val="00FC6B4D"/>
    <w:rsid w:val="00FC6C6B"/>
    <w:rsid w:val="00FC6CDE"/>
    <w:rsid w:val="00FC6E18"/>
    <w:rsid w:val="00FC6E5E"/>
    <w:rsid w:val="00FC6EE0"/>
    <w:rsid w:val="00FC6F8F"/>
    <w:rsid w:val="00FC7057"/>
    <w:rsid w:val="00FC71B5"/>
    <w:rsid w:val="00FC7296"/>
    <w:rsid w:val="00FC7417"/>
    <w:rsid w:val="00FC75FD"/>
    <w:rsid w:val="00FC76C6"/>
    <w:rsid w:val="00FC7743"/>
    <w:rsid w:val="00FC77DA"/>
    <w:rsid w:val="00FC78FA"/>
    <w:rsid w:val="00FC7974"/>
    <w:rsid w:val="00FC797D"/>
    <w:rsid w:val="00FC7A89"/>
    <w:rsid w:val="00FC7AA1"/>
    <w:rsid w:val="00FC7AC6"/>
    <w:rsid w:val="00FC7D51"/>
    <w:rsid w:val="00FC7DA9"/>
    <w:rsid w:val="00FC7DBB"/>
    <w:rsid w:val="00FC7E7C"/>
    <w:rsid w:val="00FC7EBB"/>
    <w:rsid w:val="00FD0232"/>
    <w:rsid w:val="00FD0309"/>
    <w:rsid w:val="00FD03C0"/>
    <w:rsid w:val="00FD049D"/>
    <w:rsid w:val="00FD04F7"/>
    <w:rsid w:val="00FD05FD"/>
    <w:rsid w:val="00FD0752"/>
    <w:rsid w:val="00FD07D9"/>
    <w:rsid w:val="00FD095D"/>
    <w:rsid w:val="00FD09DA"/>
    <w:rsid w:val="00FD0AEA"/>
    <w:rsid w:val="00FD0C22"/>
    <w:rsid w:val="00FD0CDB"/>
    <w:rsid w:val="00FD0CDE"/>
    <w:rsid w:val="00FD0D97"/>
    <w:rsid w:val="00FD0DBF"/>
    <w:rsid w:val="00FD0E57"/>
    <w:rsid w:val="00FD0ECA"/>
    <w:rsid w:val="00FD0FD4"/>
    <w:rsid w:val="00FD1274"/>
    <w:rsid w:val="00FD12B4"/>
    <w:rsid w:val="00FD14EC"/>
    <w:rsid w:val="00FD1547"/>
    <w:rsid w:val="00FD1568"/>
    <w:rsid w:val="00FD15A8"/>
    <w:rsid w:val="00FD15EF"/>
    <w:rsid w:val="00FD1612"/>
    <w:rsid w:val="00FD16F6"/>
    <w:rsid w:val="00FD1803"/>
    <w:rsid w:val="00FD1836"/>
    <w:rsid w:val="00FD18AE"/>
    <w:rsid w:val="00FD1A20"/>
    <w:rsid w:val="00FD1A76"/>
    <w:rsid w:val="00FD1B76"/>
    <w:rsid w:val="00FD1C5E"/>
    <w:rsid w:val="00FD1CA9"/>
    <w:rsid w:val="00FD1CF8"/>
    <w:rsid w:val="00FD1E5B"/>
    <w:rsid w:val="00FD1E89"/>
    <w:rsid w:val="00FD1EAD"/>
    <w:rsid w:val="00FD1F3F"/>
    <w:rsid w:val="00FD202A"/>
    <w:rsid w:val="00FD2080"/>
    <w:rsid w:val="00FD20E7"/>
    <w:rsid w:val="00FD21B4"/>
    <w:rsid w:val="00FD227C"/>
    <w:rsid w:val="00FD2361"/>
    <w:rsid w:val="00FD249B"/>
    <w:rsid w:val="00FD2640"/>
    <w:rsid w:val="00FD2665"/>
    <w:rsid w:val="00FD2756"/>
    <w:rsid w:val="00FD2759"/>
    <w:rsid w:val="00FD27B6"/>
    <w:rsid w:val="00FD2852"/>
    <w:rsid w:val="00FD2936"/>
    <w:rsid w:val="00FD2B53"/>
    <w:rsid w:val="00FD2D30"/>
    <w:rsid w:val="00FD2E1E"/>
    <w:rsid w:val="00FD2EB1"/>
    <w:rsid w:val="00FD2F2F"/>
    <w:rsid w:val="00FD30D3"/>
    <w:rsid w:val="00FD3192"/>
    <w:rsid w:val="00FD32CA"/>
    <w:rsid w:val="00FD331C"/>
    <w:rsid w:val="00FD334E"/>
    <w:rsid w:val="00FD34F7"/>
    <w:rsid w:val="00FD3500"/>
    <w:rsid w:val="00FD35AA"/>
    <w:rsid w:val="00FD37AD"/>
    <w:rsid w:val="00FD385A"/>
    <w:rsid w:val="00FD3931"/>
    <w:rsid w:val="00FD39BB"/>
    <w:rsid w:val="00FD3B33"/>
    <w:rsid w:val="00FD3C8B"/>
    <w:rsid w:val="00FD3E76"/>
    <w:rsid w:val="00FD3EB7"/>
    <w:rsid w:val="00FD3FBD"/>
    <w:rsid w:val="00FD3FDC"/>
    <w:rsid w:val="00FD4093"/>
    <w:rsid w:val="00FD428D"/>
    <w:rsid w:val="00FD43CA"/>
    <w:rsid w:val="00FD4586"/>
    <w:rsid w:val="00FD4589"/>
    <w:rsid w:val="00FD4617"/>
    <w:rsid w:val="00FD4681"/>
    <w:rsid w:val="00FD47E3"/>
    <w:rsid w:val="00FD4940"/>
    <w:rsid w:val="00FD49F1"/>
    <w:rsid w:val="00FD4A40"/>
    <w:rsid w:val="00FD4B69"/>
    <w:rsid w:val="00FD4BA3"/>
    <w:rsid w:val="00FD4C19"/>
    <w:rsid w:val="00FD4D5B"/>
    <w:rsid w:val="00FD4D6E"/>
    <w:rsid w:val="00FD4D8F"/>
    <w:rsid w:val="00FD4ECA"/>
    <w:rsid w:val="00FD4EF4"/>
    <w:rsid w:val="00FD4F0C"/>
    <w:rsid w:val="00FD4F67"/>
    <w:rsid w:val="00FD4FA7"/>
    <w:rsid w:val="00FD523D"/>
    <w:rsid w:val="00FD53F9"/>
    <w:rsid w:val="00FD5473"/>
    <w:rsid w:val="00FD562A"/>
    <w:rsid w:val="00FD5661"/>
    <w:rsid w:val="00FD5679"/>
    <w:rsid w:val="00FD5717"/>
    <w:rsid w:val="00FD57C1"/>
    <w:rsid w:val="00FD5830"/>
    <w:rsid w:val="00FD58C0"/>
    <w:rsid w:val="00FD597C"/>
    <w:rsid w:val="00FD59BF"/>
    <w:rsid w:val="00FD5BA8"/>
    <w:rsid w:val="00FD5DCA"/>
    <w:rsid w:val="00FD5DCB"/>
    <w:rsid w:val="00FD5ED4"/>
    <w:rsid w:val="00FD5EF1"/>
    <w:rsid w:val="00FD5F45"/>
    <w:rsid w:val="00FD6047"/>
    <w:rsid w:val="00FD610A"/>
    <w:rsid w:val="00FD62F2"/>
    <w:rsid w:val="00FD65C1"/>
    <w:rsid w:val="00FD66C6"/>
    <w:rsid w:val="00FD6714"/>
    <w:rsid w:val="00FD69A9"/>
    <w:rsid w:val="00FD69B7"/>
    <w:rsid w:val="00FD69BD"/>
    <w:rsid w:val="00FD69DA"/>
    <w:rsid w:val="00FD6D94"/>
    <w:rsid w:val="00FD6DB7"/>
    <w:rsid w:val="00FD6FE1"/>
    <w:rsid w:val="00FD701F"/>
    <w:rsid w:val="00FD719C"/>
    <w:rsid w:val="00FD731A"/>
    <w:rsid w:val="00FD7331"/>
    <w:rsid w:val="00FD7384"/>
    <w:rsid w:val="00FD7436"/>
    <w:rsid w:val="00FD7442"/>
    <w:rsid w:val="00FD74C7"/>
    <w:rsid w:val="00FD75B0"/>
    <w:rsid w:val="00FD77E8"/>
    <w:rsid w:val="00FD783C"/>
    <w:rsid w:val="00FD7913"/>
    <w:rsid w:val="00FD7AE3"/>
    <w:rsid w:val="00FD7B19"/>
    <w:rsid w:val="00FD7B5C"/>
    <w:rsid w:val="00FD7CE5"/>
    <w:rsid w:val="00FD7E47"/>
    <w:rsid w:val="00FD7EBF"/>
    <w:rsid w:val="00FD7FD6"/>
    <w:rsid w:val="00FE0166"/>
    <w:rsid w:val="00FE0294"/>
    <w:rsid w:val="00FE0300"/>
    <w:rsid w:val="00FE0321"/>
    <w:rsid w:val="00FE035D"/>
    <w:rsid w:val="00FE0362"/>
    <w:rsid w:val="00FE03DA"/>
    <w:rsid w:val="00FE0431"/>
    <w:rsid w:val="00FE04FA"/>
    <w:rsid w:val="00FE0547"/>
    <w:rsid w:val="00FE054D"/>
    <w:rsid w:val="00FE06F8"/>
    <w:rsid w:val="00FE0846"/>
    <w:rsid w:val="00FE087D"/>
    <w:rsid w:val="00FE08B6"/>
    <w:rsid w:val="00FE0986"/>
    <w:rsid w:val="00FE0A56"/>
    <w:rsid w:val="00FE0B10"/>
    <w:rsid w:val="00FE0B2E"/>
    <w:rsid w:val="00FE0C37"/>
    <w:rsid w:val="00FE0C80"/>
    <w:rsid w:val="00FE0DFF"/>
    <w:rsid w:val="00FE0E41"/>
    <w:rsid w:val="00FE0E9B"/>
    <w:rsid w:val="00FE0F13"/>
    <w:rsid w:val="00FE0FF1"/>
    <w:rsid w:val="00FE1042"/>
    <w:rsid w:val="00FE118E"/>
    <w:rsid w:val="00FE1294"/>
    <w:rsid w:val="00FE1495"/>
    <w:rsid w:val="00FE150A"/>
    <w:rsid w:val="00FE1527"/>
    <w:rsid w:val="00FE163A"/>
    <w:rsid w:val="00FE172C"/>
    <w:rsid w:val="00FE180D"/>
    <w:rsid w:val="00FE1810"/>
    <w:rsid w:val="00FE181D"/>
    <w:rsid w:val="00FE1865"/>
    <w:rsid w:val="00FE1924"/>
    <w:rsid w:val="00FE1A51"/>
    <w:rsid w:val="00FE1A68"/>
    <w:rsid w:val="00FE1AE3"/>
    <w:rsid w:val="00FE1B8F"/>
    <w:rsid w:val="00FE1BAE"/>
    <w:rsid w:val="00FE1CDB"/>
    <w:rsid w:val="00FE1E34"/>
    <w:rsid w:val="00FE1E68"/>
    <w:rsid w:val="00FE20D1"/>
    <w:rsid w:val="00FE21BF"/>
    <w:rsid w:val="00FE21E7"/>
    <w:rsid w:val="00FE2295"/>
    <w:rsid w:val="00FE22D6"/>
    <w:rsid w:val="00FE2331"/>
    <w:rsid w:val="00FE239A"/>
    <w:rsid w:val="00FE24DF"/>
    <w:rsid w:val="00FE24E8"/>
    <w:rsid w:val="00FE2543"/>
    <w:rsid w:val="00FE25D5"/>
    <w:rsid w:val="00FE25E5"/>
    <w:rsid w:val="00FE26E5"/>
    <w:rsid w:val="00FE2824"/>
    <w:rsid w:val="00FE284A"/>
    <w:rsid w:val="00FE2891"/>
    <w:rsid w:val="00FE2A7E"/>
    <w:rsid w:val="00FE2AAC"/>
    <w:rsid w:val="00FE2BF7"/>
    <w:rsid w:val="00FE2CF6"/>
    <w:rsid w:val="00FE2D84"/>
    <w:rsid w:val="00FE2E1A"/>
    <w:rsid w:val="00FE2E74"/>
    <w:rsid w:val="00FE2E8F"/>
    <w:rsid w:val="00FE2F18"/>
    <w:rsid w:val="00FE311D"/>
    <w:rsid w:val="00FE31FE"/>
    <w:rsid w:val="00FE31FF"/>
    <w:rsid w:val="00FE3237"/>
    <w:rsid w:val="00FE3290"/>
    <w:rsid w:val="00FE3330"/>
    <w:rsid w:val="00FE3674"/>
    <w:rsid w:val="00FE3834"/>
    <w:rsid w:val="00FE389A"/>
    <w:rsid w:val="00FE3909"/>
    <w:rsid w:val="00FE39A6"/>
    <w:rsid w:val="00FE3AC1"/>
    <w:rsid w:val="00FE3B84"/>
    <w:rsid w:val="00FE3C9E"/>
    <w:rsid w:val="00FE3D51"/>
    <w:rsid w:val="00FE3DD0"/>
    <w:rsid w:val="00FE3E6C"/>
    <w:rsid w:val="00FE3FE9"/>
    <w:rsid w:val="00FE407E"/>
    <w:rsid w:val="00FE40C3"/>
    <w:rsid w:val="00FE430B"/>
    <w:rsid w:val="00FE43AD"/>
    <w:rsid w:val="00FE44D4"/>
    <w:rsid w:val="00FE46D4"/>
    <w:rsid w:val="00FE47DE"/>
    <w:rsid w:val="00FE487E"/>
    <w:rsid w:val="00FE4884"/>
    <w:rsid w:val="00FE4910"/>
    <w:rsid w:val="00FE4B07"/>
    <w:rsid w:val="00FE4BC9"/>
    <w:rsid w:val="00FE4CEA"/>
    <w:rsid w:val="00FE4D54"/>
    <w:rsid w:val="00FE4DE4"/>
    <w:rsid w:val="00FE4F47"/>
    <w:rsid w:val="00FE4FA4"/>
    <w:rsid w:val="00FE5037"/>
    <w:rsid w:val="00FE509D"/>
    <w:rsid w:val="00FE5256"/>
    <w:rsid w:val="00FE52B2"/>
    <w:rsid w:val="00FE532D"/>
    <w:rsid w:val="00FE53A8"/>
    <w:rsid w:val="00FE53C2"/>
    <w:rsid w:val="00FE53DE"/>
    <w:rsid w:val="00FE5467"/>
    <w:rsid w:val="00FE5771"/>
    <w:rsid w:val="00FE5865"/>
    <w:rsid w:val="00FE5870"/>
    <w:rsid w:val="00FE5956"/>
    <w:rsid w:val="00FE599D"/>
    <w:rsid w:val="00FE5ADE"/>
    <w:rsid w:val="00FE5C80"/>
    <w:rsid w:val="00FE5D9D"/>
    <w:rsid w:val="00FE5DCC"/>
    <w:rsid w:val="00FE5E2E"/>
    <w:rsid w:val="00FE5EDB"/>
    <w:rsid w:val="00FE5F56"/>
    <w:rsid w:val="00FE6040"/>
    <w:rsid w:val="00FE6076"/>
    <w:rsid w:val="00FE6085"/>
    <w:rsid w:val="00FE60B8"/>
    <w:rsid w:val="00FE6286"/>
    <w:rsid w:val="00FE62DA"/>
    <w:rsid w:val="00FE6313"/>
    <w:rsid w:val="00FE6314"/>
    <w:rsid w:val="00FE6319"/>
    <w:rsid w:val="00FE64A0"/>
    <w:rsid w:val="00FE662B"/>
    <w:rsid w:val="00FE663D"/>
    <w:rsid w:val="00FE676B"/>
    <w:rsid w:val="00FE682A"/>
    <w:rsid w:val="00FE6863"/>
    <w:rsid w:val="00FE694A"/>
    <w:rsid w:val="00FE69D0"/>
    <w:rsid w:val="00FE69F9"/>
    <w:rsid w:val="00FE6A39"/>
    <w:rsid w:val="00FE6A54"/>
    <w:rsid w:val="00FE6B8B"/>
    <w:rsid w:val="00FE6C35"/>
    <w:rsid w:val="00FE6C38"/>
    <w:rsid w:val="00FE6C89"/>
    <w:rsid w:val="00FE6DE7"/>
    <w:rsid w:val="00FE6E0A"/>
    <w:rsid w:val="00FE6EAA"/>
    <w:rsid w:val="00FE6F99"/>
    <w:rsid w:val="00FE7062"/>
    <w:rsid w:val="00FE7126"/>
    <w:rsid w:val="00FE7173"/>
    <w:rsid w:val="00FE71BE"/>
    <w:rsid w:val="00FE71C3"/>
    <w:rsid w:val="00FE730E"/>
    <w:rsid w:val="00FE743A"/>
    <w:rsid w:val="00FE7520"/>
    <w:rsid w:val="00FE76A8"/>
    <w:rsid w:val="00FE7815"/>
    <w:rsid w:val="00FE79AD"/>
    <w:rsid w:val="00FE7ADD"/>
    <w:rsid w:val="00FE7AEB"/>
    <w:rsid w:val="00FE7B10"/>
    <w:rsid w:val="00FE7C92"/>
    <w:rsid w:val="00FE7CC8"/>
    <w:rsid w:val="00FE7CE1"/>
    <w:rsid w:val="00FE7CE7"/>
    <w:rsid w:val="00FE7F22"/>
    <w:rsid w:val="00FE7FB0"/>
    <w:rsid w:val="00FE7FCA"/>
    <w:rsid w:val="00FF0042"/>
    <w:rsid w:val="00FF016D"/>
    <w:rsid w:val="00FF01C7"/>
    <w:rsid w:val="00FF021F"/>
    <w:rsid w:val="00FF0401"/>
    <w:rsid w:val="00FF0644"/>
    <w:rsid w:val="00FF064E"/>
    <w:rsid w:val="00FF074B"/>
    <w:rsid w:val="00FF085E"/>
    <w:rsid w:val="00FF09B3"/>
    <w:rsid w:val="00FF0A47"/>
    <w:rsid w:val="00FF0A8B"/>
    <w:rsid w:val="00FF0C02"/>
    <w:rsid w:val="00FF0D63"/>
    <w:rsid w:val="00FF0D7E"/>
    <w:rsid w:val="00FF0E0C"/>
    <w:rsid w:val="00FF0E89"/>
    <w:rsid w:val="00FF0F35"/>
    <w:rsid w:val="00FF1168"/>
    <w:rsid w:val="00FF12C2"/>
    <w:rsid w:val="00FF14EE"/>
    <w:rsid w:val="00FF1598"/>
    <w:rsid w:val="00FF159F"/>
    <w:rsid w:val="00FF15D5"/>
    <w:rsid w:val="00FF15F1"/>
    <w:rsid w:val="00FF17E4"/>
    <w:rsid w:val="00FF18DE"/>
    <w:rsid w:val="00FF18FF"/>
    <w:rsid w:val="00FF1A61"/>
    <w:rsid w:val="00FF1B91"/>
    <w:rsid w:val="00FF1C22"/>
    <w:rsid w:val="00FF1CE8"/>
    <w:rsid w:val="00FF1E35"/>
    <w:rsid w:val="00FF2019"/>
    <w:rsid w:val="00FF2092"/>
    <w:rsid w:val="00FF20B4"/>
    <w:rsid w:val="00FF20D6"/>
    <w:rsid w:val="00FF2126"/>
    <w:rsid w:val="00FF21B9"/>
    <w:rsid w:val="00FF2203"/>
    <w:rsid w:val="00FF23A8"/>
    <w:rsid w:val="00FF2668"/>
    <w:rsid w:val="00FF2A50"/>
    <w:rsid w:val="00FF2A90"/>
    <w:rsid w:val="00FF2B52"/>
    <w:rsid w:val="00FF2C69"/>
    <w:rsid w:val="00FF2D3D"/>
    <w:rsid w:val="00FF3025"/>
    <w:rsid w:val="00FF30A5"/>
    <w:rsid w:val="00FF319C"/>
    <w:rsid w:val="00FF31A9"/>
    <w:rsid w:val="00FF3256"/>
    <w:rsid w:val="00FF3276"/>
    <w:rsid w:val="00FF3286"/>
    <w:rsid w:val="00FF32B7"/>
    <w:rsid w:val="00FF357D"/>
    <w:rsid w:val="00FF3605"/>
    <w:rsid w:val="00FF361D"/>
    <w:rsid w:val="00FF36BE"/>
    <w:rsid w:val="00FF3732"/>
    <w:rsid w:val="00FF373B"/>
    <w:rsid w:val="00FF37D7"/>
    <w:rsid w:val="00FF3914"/>
    <w:rsid w:val="00FF3931"/>
    <w:rsid w:val="00FF39E2"/>
    <w:rsid w:val="00FF3BCA"/>
    <w:rsid w:val="00FF3D2D"/>
    <w:rsid w:val="00FF3D94"/>
    <w:rsid w:val="00FF3DC9"/>
    <w:rsid w:val="00FF3E23"/>
    <w:rsid w:val="00FF404A"/>
    <w:rsid w:val="00FF43BF"/>
    <w:rsid w:val="00FF456C"/>
    <w:rsid w:val="00FF45CF"/>
    <w:rsid w:val="00FF45DB"/>
    <w:rsid w:val="00FF45EA"/>
    <w:rsid w:val="00FF4654"/>
    <w:rsid w:val="00FF46AE"/>
    <w:rsid w:val="00FF470E"/>
    <w:rsid w:val="00FF4752"/>
    <w:rsid w:val="00FF4761"/>
    <w:rsid w:val="00FF47FE"/>
    <w:rsid w:val="00FF483A"/>
    <w:rsid w:val="00FF491D"/>
    <w:rsid w:val="00FF494E"/>
    <w:rsid w:val="00FF49F2"/>
    <w:rsid w:val="00FF4B99"/>
    <w:rsid w:val="00FF4BAE"/>
    <w:rsid w:val="00FF4BC6"/>
    <w:rsid w:val="00FF4CC8"/>
    <w:rsid w:val="00FF4D1A"/>
    <w:rsid w:val="00FF4E1B"/>
    <w:rsid w:val="00FF4E57"/>
    <w:rsid w:val="00FF4F23"/>
    <w:rsid w:val="00FF4F65"/>
    <w:rsid w:val="00FF53CE"/>
    <w:rsid w:val="00FF55C0"/>
    <w:rsid w:val="00FF55D5"/>
    <w:rsid w:val="00FF5695"/>
    <w:rsid w:val="00FF56CB"/>
    <w:rsid w:val="00FF56DE"/>
    <w:rsid w:val="00FF5753"/>
    <w:rsid w:val="00FF5A3D"/>
    <w:rsid w:val="00FF5C17"/>
    <w:rsid w:val="00FF5D2B"/>
    <w:rsid w:val="00FF5E63"/>
    <w:rsid w:val="00FF5E68"/>
    <w:rsid w:val="00FF5E9E"/>
    <w:rsid w:val="00FF5EA6"/>
    <w:rsid w:val="00FF5F51"/>
    <w:rsid w:val="00FF5F6F"/>
    <w:rsid w:val="00FF6040"/>
    <w:rsid w:val="00FF605F"/>
    <w:rsid w:val="00FF6123"/>
    <w:rsid w:val="00FF617E"/>
    <w:rsid w:val="00FF61EC"/>
    <w:rsid w:val="00FF62B0"/>
    <w:rsid w:val="00FF62DD"/>
    <w:rsid w:val="00FF639A"/>
    <w:rsid w:val="00FF6442"/>
    <w:rsid w:val="00FF6605"/>
    <w:rsid w:val="00FF6747"/>
    <w:rsid w:val="00FF68E2"/>
    <w:rsid w:val="00FF6969"/>
    <w:rsid w:val="00FF6BE2"/>
    <w:rsid w:val="00FF6BF7"/>
    <w:rsid w:val="00FF6C2A"/>
    <w:rsid w:val="00FF6C33"/>
    <w:rsid w:val="00FF6C5F"/>
    <w:rsid w:val="00FF6E17"/>
    <w:rsid w:val="00FF6E3D"/>
    <w:rsid w:val="00FF6E5B"/>
    <w:rsid w:val="00FF6E8D"/>
    <w:rsid w:val="00FF6ED7"/>
    <w:rsid w:val="00FF6EDF"/>
    <w:rsid w:val="00FF7064"/>
    <w:rsid w:val="00FF7091"/>
    <w:rsid w:val="00FF70C2"/>
    <w:rsid w:val="00FF710C"/>
    <w:rsid w:val="00FF71B0"/>
    <w:rsid w:val="00FF7202"/>
    <w:rsid w:val="00FF72A8"/>
    <w:rsid w:val="00FF73AD"/>
    <w:rsid w:val="00FF74B4"/>
    <w:rsid w:val="00FF756C"/>
    <w:rsid w:val="00FF7570"/>
    <w:rsid w:val="00FF759E"/>
    <w:rsid w:val="00FF7669"/>
    <w:rsid w:val="00FF769E"/>
    <w:rsid w:val="00FF7713"/>
    <w:rsid w:val="00FF776E"/>
    <w:rsid w:val="00FF77C5"/>
    <w:rsid w:val="00FF7855"/>
    <w:rsid w:val="00FF7912"/>
    <w:rsid w:val="00FF79E8"/>
    <w:rsid w:val="00FF7A19"/>
    <w:rsid w:val="00FF7AC2"/>
    <w:rsid w:val="00FF7AC5"/>
    <w:rsid w:val="00FF7B68"/>
    <w:rsid w:val="00FF7CE9"/>
    <w:rsid w:val="00FF7D9D"/>
    <w:rsid w:val="00FF7DA1"/>
    <w:rsid w:val="00FF7DDE"/>
    <w:rsid w:val="0107A9DB"/>
    <w:rsid w:val="0108A7EE"/>
    <w:rsid w:val="01141A40"/>
    <w:rsid w:val="011E186A"/>
    <w:rsid w:val="013B2285"/>
    <w:rsid w:val="013E8EBA"/>
    <w:rsid w:val="01561B99"/>
    <w:rsid w:val="016622D6"/>
    <w:rsid w:val="0168D573"/>
    <w:rsid w:val="016DF749"/>
    <w:rsid w:val="017E4596"/>
    <w:rsid w:val="017EE2F3"/>
    <w:rsid w:val="01A9B667"/>
    <w:rsid w:val="01C756DA"/>
    <w:rsid w:val="01D0B8FE"/>
    <w:rsid w:val="01F23E5C"/>
    <w:rsid w:val="01FCACAF"/>
    <w:rsid w:val="02009986"/>
    <w:rsid w:val="0225011E"/>
    <w:rsid w:val="02343ECD"/>
    <w:rsid w:val="025C8843"/>
    <w:rsid w:val="025F89B7"/>
    <w:rsid w:val="02674FDB"/>
    <w:rsid w:val="0268BAEE"/>
    <w:rsid w:val="0292D20A"/>
    <w:rsid w:val="030454CA"/>
    <w:rsid w:val="03105ACB"/>
    <w:rsid w:val="031BD09F"/>
    <w:rsid w:val="0338ECCC"/>
    <w:rsid w:val="0370E799"/>
    <w:rsid w:val="0376D509"/>
    <w:rsid w:val="03859965"/>
    <w:rsid w:val="03969A13"/>
    <w:rsid w:val="03A5DEB2"/>
    <w:rsid w:val="03A83111"/>
    <w:rsid w:val="03C75197"/>
    <w:rsid w:val="03DED763"/>
    <w:rsid w:val="0434EFDC"/>
    <w:rsid w:val="04592658"/>
    <w:rsid w:val="045B89AE"/>
    <w:rsid w:val="045C83D6"/>
    <w:rsid w:val="0466BAF7"/>
    <w:rsid w:val="04866CB1"/>
    <w:rsid w:val="0495298D"/>
    <w:rsid w:val="04D67DDD"/>
    <w:rsid w:val="04D89BAF"/>
    <w:rsid w:val="0514A4C0"/>
    <w:rsid w:val="05152E78"/>
    <w:rsid w:val="05267C11"/>
    <w:rsid w:val="0536491E"/>
    <w:rsid w:val="05431B1C"/>
    <w:rsid w:val="055F673C"/>
    <w:rsid w:val="0562EE9F"/>
    <w:rsid w:val="05815AE1"/>
    <w:rsid w:val="05917EFA"/>
    <w:rsid w:val="05ACBFC6"/>
    <w:rsid w:val="05BFA7BB"/>
    <w:rsid w:val="05C28EF1"/>
    <w:rsid w:val="05CE7B22"/>
    <w:rsid w:val="05CFF743"/>
    <w:rsid w:val="05D135CF"/>
    <w:rsid w:val="05D197BF"/>
    <w:rsid w:val="05E83060"/>
    <w:rsid w:val="061680D1"/>
    <w:rsid w:val="062B4A28"/>
    <w:rsid w:val="0646B086"/>
    <w:rsid w:val="065EA3A0"/>
    <w:rsid w:val="0662614B"/>
    <w:rsid w:val="0668D106"/>
    <w:rsid w:val="066AEC51"/>
    <w:rsid w:val="067C6206"/>
    <w:rsid w:val="068B5280"/>
    <w:rsid w:val="069224B8"/>
    <w:rsid w:val="06C9A195"/>
    <w:rsid w:val="06DBE06B"/>
    <w:rsid w:val="06F716A4"/>
    <w:rsid w:val="07187E79"/>
    <w:rsid w:val="072C9692"/>
    <w:rsid w:val="074E8963"/>
    <w:rsid w:val="074F0E17"/>
    <w:rsid w:val="075422B1"/>
    <w:rsid w:val="075FD20F"/>
    <w:rsid w:val="077B6393"/>
    <w:rsid w:val="079818E9"/>
    <w:rsid w:val="079B9543"/>
    <w:rsid w:val="079CDFD4"/>
    <w:rsid w:val="07CE4E53"/>
    <w:rsid w:val="07D26101"/>
    <w:rsid w:val="07E7EF17"/>
    <w:rsid w:val="07F87B03"/>
    <w:rsid w:val="07FBFA46"/>
    <w:rsid w:val="07FF9094"/>
    <w:rsid w:val="080142C7"/>
    <w:rsid w:val="083BECE2"/>
    <w:rsid w:val="084C2F81"/>
    <w:rsid w:val="085B4F59"/>
    <w:rsid w:val="08663E65"/>
    <w:rsid w:val="087CA244"/>
    <w:rsid w:val="08959E9A"/>
    <w:rsid w:val="089CD0C9"/>
    <w:rsid w:val="08CFD712"/>
    <w:rsid w:val="08DB835E"/>
    <w:rsid w:val="08FDD440"/>
    <w:rsid w:val="091219C8"/>
    <w:rsid w:val="0928B6A9"/>
    <w:rsid w:val="092ADB5B"/>
    <w:rsid w:val="092E66AE"/>
    <w:rsid w:val="09442052"/>
    <w:rsid w:val="0946001F"/>
    <w:rsid w:val="0956EEB7"/>
    <w:rsid w:val="09582C07"/>
    <w:rsid w:val="095B832A"/>
    <w:rsid w:val="0965CF2D"/>
    <w:rsid w:val="096C5596"/>
    <w:rsid w:val="097426B5"/>
    <w:rsid w:val="09798443"/>
    <w:rsid w:val="0989C7B5"/>
    <w:rsid w:val="09B65654"/>
    <w:rsid w:val="09C05DFB"/>
    <w:rsid w:val="09D3EF75"/>
    <w:rsid w:val="09D6D39F"/>
    <w:rsid w:val="09DA0F55"/>
    <w:rsid w:val="09F33D16"/>
    <w:rsid w:val="0A067B13"/>
    <w:rsid w:val="0A188EB1"/>
    <w:rsid w:val="0A2A6554"/>
    <w:rsid w:val="0A2C1B32"/>
    <w:rsid w:val="0A4B3CB2"/>
    <w:rsid w:val="0A4BC553"/>
    <w:rsid w:val="0A4D1FF8"/>
    <w:rsid w:val="0AA1632C"/>
    <w:rsid w:val="0AB4906E"/>
    <w:rsid w:val="0ABC1FC5"/>
    <w:rsid w:val="0AD1AB6B"/>
    <w:rsid w:val="0AF31AC2"/>
    <w:rsid w:val="0B0CE10D"/>
    <w:rsid w:val="0B32B8DD"/>
    <w:rsid w:val="0B47BDCD"/>
    <w:rsid w:val="0B59D4FB"/>
    <w:rsid w:val="0B65C0A7"/>
    <w:rsid w:val="0B734937"/>
    <w:rsid w:val="0B7C8EC9"/>
    <w:rsid w:val="0B9123A0"/>
    <w:rsid w:val="0B91B7D6"/>
    <w:rsid w:val="0B998C75"/>
    <w:rsid w:val="0B9F2611"/>
    <w:rsid w:val="0BC9E3C1"/>
    <w:rsid w:val="0BF3D2CD"/>
    <w:rsid w:val="0C1665CD"/>
    <w:rsid w:val="0C1F660C"/>
    <w:rsid w:val="0C5FC9C9"/>
    <w:rsid w:val="0C71A7B7"/>
    <w:rsid w:val="0C82786E"/>
    <w:rsid w:val="0CD02EE7"/>
    <w:rsid w:val="0CD6C4EA"/>
    <w:rsid w:val="0CE5FE5E"/>
    <w:rsid w:val="0D0ED45F"/>
    <w:rsid w:val="0D1751BD"/>
    <w:rsid w:val="0D18C3AD"/>
    <w:rsid w:val="0D229604"/>
    <w:rsid w:val="0D30BBA8"/>
    <w:rsid w:val="0D5BA833"/>
    <w:rsid w:val="0D9EB269"/>
    <w:rsid w:val="0DA724E0"/>
    <w:rsid w:val="0DAC9E32"/>
    <w:rsid w:val="0DB14CAB"/>
    <w:rsid w:val="0DD310EE"/>
    <w:rsid w:val="0DE342D0"/>
    <w:rsid w:val="0DEDA6B5"/>
    <w:rsid w:val="0E03C4F9"/>
    <w:rsid w:val="0E2D20C8"/>
    <w:rsid w:val="0E50448D"/>
    <w:rsid w:val="0E517423"/>
    <w:rsid w:val="0E5705CE"/>
    <w:rsid w:val="0E633FE2"/>
    <w:rsid w:val="0E7A84C0"/>
    <w:rsid w:val="0E7AF62D"/>
    <w:rsid w:val="0E8E1CD1"/>
    <w:rsid w:val="0EA0FFA7"/>
    <w:rsid w:val="0EA82C98"/>
    <w:rsid w:val="0EE6BF8F"/>
    <w:rsid w:val="0EE6F9C0"/>
    <w:rsid w:val="0EF42C95"/>
    <w:rsid w:val="0F01B5C1"/>
    <w:rsid w:val="0F195E5E"/>
    <w:rsid w:val="0F390219"/>
    <w:rsid w:val="0F58B1F8"/>
    <w:rsid w:val="0F837F80"/>
    <w:rsid w:val="0F85DA32"/>
    <w:rsid w:val="0FB9AB44"/>
    <w:rsid w:val="1013DD15"/>
    <w:rsid w:val="1031C6C2"/>
    <w:rsid w:val="104FCD41"/>
    <w:rsid w:val="10512945"/>
    <w:rsid w:val="1064BB73"/>
    <w:rsid w:val="10673338"/>
    <w:rsid w:val="108DB4E2"/>
    <w:rsid w:val="109050CA"/>
    <w:rsid w:val="1091A6CD"/>
    <w:rsid w:val="10964B6E"/>
    <w:rsid w:val="10A2E977"/>
    <w:rsid w:val="10C23616"/>
    <w:rsid w:val="10F39BFB"/>
    <w:rsid w:val="1122BB1A"/>
    <w:rsid w:val="11312FEA"/>
    <w:rsid w:val="11446642"/>
    <w:rsid w:val="1151D8B9"/>
    <w:rsid w:val="117CDEE4"/>
    <w:rsid w:val="118A711D"/>
    <w:rsid w:val="11AB85B3"/>
    <w:rsid w:val="11B1944E"/>
    <w:rsid w:val="11D701E2"/>
    <w:rsid w:val="11D7A45C"/>
    <w:rsid w:val="11E4478B"/>
    <w:rsid w:val="11ECC1C5"/>
    <w:rsid w:val="11ECCDDA"/>
    <w:rsid w:val="11FC909F"/>
    <w:rsid w:val="12245E11"/>
    <w:rsid w:val="12568E97"/>
    <w:rsid w:val="12710E77"/>
    <w:rsid w:val="128AEEB0"/>
    <w:rsid w:val="12B65072"/>
    <w:rsid w:val="12BC5E9F"/>
    <w:rsid w:val="12D10F61"/>
    <w:rsid w:val="12E5AEF1"/>
    <w:rsid w:val="12FCB258"/>
    <w:rsid w:val="12FEA27E"/>
    <w:rsid w:val="1324E1E0"/>
    <w:rsid w:val="13288B42"/>
    <w:rsid w:val="135A7FBC"/>
    <w:rsid w:val="135ED9D8"/>
    <w:rsid w:val="13A10142"/>
    <w:rsid w:val="13A6A8A2"/>
    <w:rsid w:val="13B0077E"/>
    <w:rsid w:val="13B7FF53"/>
    <w:rsid w:val="13BB40A1"/>
    <w:rsid w:val="13D83D89"/>
    <w:rsid w:val="13FE3FD4"/>
    <w:rsid w:val="1405D1AF"/>
    <w:rsid w:val="1426A874"/>
    <w:rsid w:val="144BB8CF"/>
    <w:rsid w:val="1460DEE4"/>
    <w:rsid w:val="14974D30"/>
    <w:rsid w:val="14A96D8B"/>
    <w:rsid w:val="14B0E503"/>
    <w:rsid w:val="150523FD"/>
    <w:rsid w:val="151E4473"/>
    <w:rsid w:val="1540FCAD"/>
    <w:rsid w:val="1546EEAC"/>
    <w:rsid w:val="154AA381"/>
    <w:rsid w:val="156A065B"/>
    <w:rsid w:val="1577B2D4"/>
    <w:rsid w:val="158462D1"/>
    <w:rsid w:val="15B0D6EE"/>
    <w:rsid w:val="15BE80F3"/>
    <w:rsid w:val="15BF0CFD"/>
    <w:rsid w:val="15C7B34D"/>
    <w:rsid w:val="15CA1659"/>
    <w:rsid w:val="15F97525"/>
    <w:rsid w:val="163D478D"/>
    <w:rsid w:val="1650B315"/>
    <w:rsid w:val="1676BCE5"/>
    <w:rsid w:val="16834EE1"/>
    <w:rsid w:val="1684C036"/>
    <w:rsid w:val="16969CA6"/>
    <w:rsid w:val="16990C54"/>
    <w:rsid w:val="16C9A774"/>
    <w:rsid w:val="16E0944E"/>
    <w:rsid w:val="16F73725"/>
    <w:rsid w:val="170AA4EC"/>
    <w:rsid w:val="17298DE3"/>
    <w:rsid w:val="1731E9F5"/>
    <w:rsid w:val="1735F3F7"/>
    <w:rsid w:val="1752BD2F"/>
    <w:rsid w:val="175D73A8"/>
    <w:rsid w:val="178E04C9"/>
    <w:rsid w:val="178E07FA"/>
    <w:rsid w:val="1790DA84"/>
    <w:rsid w:val="17ABFF53"/>
    <w:rsid w:val="17B5666C"/>
    <w:rsid w:val="17DB83CA"/>
    <w:rsid w:val="17DC0D75"/>
    <w:rsid w:val="17FBC4F2"/>
    <w:rsid w:val="17FE789F"/>
    <w:rsid w:val="18052C1E"/>
    <w:rsid w:val="18237C43"/>
    <w:rsid w:val="182F7C8B"/>
    <w:rsid w:val="18323426"/>
    <w:rsid w:val="185F7C75"/>
    <w:rsid w:val="1890A73E"/>
    <w:rsid w:val="18B78134"/>
    <w:rsid w:val="18E072AB"/>
    <w:rsid w:val="191699C3"/>
    <w:rsid w:val="197C1D4E"/>
    <w:rsid w:val="198F3B2C"/>
    <w:rsid w:val="19A2B4B2"/>
    <w:rsid w:val="19A6D291"/>
    <w:rsid w:val="19AED455"/>
    <w:rsid w:val="19B02F31"/>
    <w:rsid w:val="19CA160A"/>
    <w:rsid w:val="19D43BD0"/>
    <w:rsid w:val="19DE408D"/>
    <w:rsid w:val="19EA6DEE"/>
    <w:rsid w:val="1A111F0F"/>
    <w:rsid w:val="1A2085C2"/>
    <w:rsid w:val="1A4EF489"/>
    <w:rsid w:val="1A6FE763"/>
    <w:rsid w:val="1A998FA0"/>
    <w:rsid w:val="1AA2E5D5"/>
    <w:rsid w:val="1AA86B2F"/>
    <w:rsid w:val="1AB436BA"/>
    <w:rsid w:val="1AC9A054"/>
    <w:rsid w:val="1ACB6B8C"/>
    <w:rsid w:val="1AE0A013"/>
    <w:rsid w:val="1AE2BDFE"/>
    <w:rsid w:val="1B02D2D9"/>
    <w:rsid w:val="1B139250"/>
    <w:rsid w:val="1B20BA10"/>
    <w:rsid w:val="1B23B9C0"/>
    <w:rsid w:val="1B3ABE9E"/>
    <w:rsid w:val="1B53981F"/>
    <w:rsid w:val="1B687A50"/>
    <w:rsid w:val="1B6BABB5"/>
    <w:rsid w:val="1B86C88A"/>
    <w:rsid w:val="1B967C15"/>
    <w:rsid w:val="1BAF6847"/>
    <w:rsid w:val="1BD72EAE"/>
    <w:rsid w:val="1BE0CC47"/>
    <w:rsid w:val="1BE581D2"/>
    <w:rsid w:val="1BE97FD9"/>
    <w:rsid w:val="1BE98869"/>
    <w:rsid w:val="1BEECE07"/>
    <w:rsid w:val="1C6504A4"/>
    <w:rsid w:val="1C7AA59E"/>
    <w:rsid w:val="1C920EF5"/>
    <w:rsid w:val="1C9396B1"/>
    <w:rsid w:val="1CCD73C1"/>
    <w:rsid w:val="1CCE0E28"/>
    <w:rsid w:val="1CE07CA9"/>
    <w:rsid w:val="1CE9AE9E"/>
    <w:rsid w:val="1D15821B"/>
    <w:rsid w:val="1D167300"/>
    <w:rsid w:val="1D19D3F6"/>
    <w:rsid w:val="1D27284F"/>
    <w:rsid w:val="1D2C54C6"/>
    <w:rsid w:val="1D397EB2"/>
    <w:rsid w:val="1D4BB077"/>
    <w:rsid w:val="1D866AA5"/>
    <w:rsid w:val="1D9E7BE9"/>
    <w:rsid w:val="1DBC6AA0"/>
    <w:rsid w:val="1DC6B2A0"/>
    <w:rsid w:val="1DCB4B6D"/>
    <w:rsid w:val="1DCDEB97"/>
    <w:rsid w:val="1DD681EC"/>
    <w:rsid w:val="1DDA4DC9"/>
    <w:rsid w:val="1DDD8933"/>
    <w:rsid w:val="1DEC9C6B"/>
    <w:rsid w:val="1E24FDDB"/>
    <w:rsid w:val="1E2C9FB7"/>
    <w:rsid w:val="1E37CA20"/>
    <w:rsid w:val="1E4B4338"/>
    <w:rsid w:val="1E7A9E57"/>
    <w:rsid w:val="1E8F728C"/>
    <w:rsid w:val="1E908706"/>
    <w:rsid w:val="1EAA7840"/>
    <w:rsid w:val="1EB6464A"/>
    <w:rsid w:val="1F3F9F99"/>
    <w:rsid w:val="1F516FAE"/>
    <w:rsid w:val="1F535D54"/>
    <w:rsid w:val="1F5C7564"/>
    <w:rsid w:val="1F5FE2DE"/>
    <w:rsid w:val="1F8EC782"/>
    <w:rsid w:val="1F9F9918"/>
    <w:rsid w:val="1FC34AB7"/>
    <w:rsid w:val="1FCAC679"/>
    <w:rsid w:val="2014C3FB"/>
    <w:rsid w:val="202AC9BD"/>
    <w:rsid w:val="20543251"/>
    <w:rsid w:val="206F1B25"/>
    <w:rsid w:val="207EA44B"/>
    <w:rsid w:val="208B8B6F"/>
    <w:rsid w:val="209279B6"/>
    <w:rsid w:val="20BA8CBF"/>
    <w:rsid w:val="20C8EFE2"/>
    <w:rsid w:val="20EF4AC2"/>
    <w:rsid w:val="21196042"/>
    <w:rsid w:val="214F1E3A"/>
    <w:rsid w:val="21697E47"/>
    <w:rsid w:val="216C91C8"/>
    <w:rsid w:val="21752EF8"/>
    <w:rsid w:val="21814ACC"/>
    <w:rsid w:val="2187ACE8"/>
    <w:rsid w:val="218D47F2"/>
    <w:rsid w:val="21C829BD"/>
    <w:rsid w:val="21C9B30E"/>
    <w:rsid w:val="21D2F205"/>
    <w:rsid w:val="21DF116C"/>
    <w:rsid w:val="21E2E4D4"/>
    <w:rsid w:val="2236C41F"/>
    <w:rsid w:val="223BAF6A"/>
    <w:rsid w:val="22541436"/>
    <w:rsid w:val="225E6ECD"/>
    <w:rsid w:val="2283B0DE"/>
    <w:rsid w:val="2293EA0A"/>
    <w:rsid w:val="2299D661"/>
    <w:rsid w:val="22AE21D8"/>
    <w:rsid w:val="22BC704C"/>
    <w:rsid w:val="22BE4B57"/>
    <w:rsid w:val="22C25C84"/>
    <w:rsid w:val="22DE0695"/>
    <w:rsid w:val="22FA400A"/>
    <w:rsid w:val="231C39DF"/>
    <w:rsid w:val="2324EE19"/>
    <w:rsid w:val="232CDF13"/>
    <w:rsid w:val="236C682B"/>
    <w:rsid w:val="236FEA5B"/>
    <w:rsid w:val="237C14E5"/>
    <w:rsid w:val="2385E49B"/>
    <w:rsid w:val="23B0745B"/>
    <w:rsid w:val="23D5AEE2"/>
    <w:rsid w:val="243EC0DE"/>
    <w:rsid w:val="244C9F61"/>
    <w:rsid w:val="24543611"/>
    <w:rsid w:val="246EE807"/>
    <w:rsid w:val="247BD69B"/>
    <w:rsid w:val="2480A127"/>
    <w:rsid w:val="248D367D"/>
    <w:rsid w:val="24914EC4"/>
    <w:rsid w:val="24A3B009"/>
    <w:rsid w:val="24B3CC90"/>
    <w:rsid w:val="24C0B4F2"/>
    <w:rsid w:val="24C5B26D"/>
    <w:rsid w:val="24D428DF"/>
    <w:rsid w:val="24D736E6"/>
    <w:rsid w:val="24E36393"/>
    <w:rsid w:val="24FB818D"/>
    <w:rsid w:val="2505E86F"/>
    <w:rsid w:val="2518BE60"/>
    <w:rsid w:val="25209B07"/>
    <w:rsid w:val="253066F9"/>
    <w:rsid w:val="255012DF"/>
    <w:rsid w:val="25501DA3"/>
    <w:rsid w:val="255813D9"/>
    <w:rsid w:val="255B80DE"/>
    <w:rsid w:val="256D5E95"/>
    <w:rsid w:val="258BE19B"/>
    <w:rsid w:val="258DAD32"/>
    <w:rsid w:val="258F10BF"/>
    <w:rsid w:val="2596E741"/>
    <w:rsid w:val="25A22E14"/>
    <w:rsid w:val="25DB2C82"/>
    <w:rsid w:val="262A1FF7"/>
    <w:rsid w:val="264EA159"/>
    <w:rsid w:val="264F9946"/>
    <w:rsid w:val="268F1514"/>
    <w:rsid w:val="26BA9E96"/>
    <w:rsid w:val="26C0F3C6"/>
    <w:rsid w:val="26CCBFB8"/>
    <w:rsid w:val="26EAF4DC"/>
    <w:rsid w:val="26F8E981"/>
    <w:rsid w:val="26F92259"/>
    <w:rsid w:val="2700BAAD"/>
    <w:rsid w:val="270664F7"/>
    <w:rsid w:val="270EC629"/>
    <w:rsid w:val="27170435"/>
    <w:rsid w:val="27381FD6"/>
    <w:rsid w:val="274E4F66"/>
    <w:rsid w:val="276296F8"/>
    <w:rsid w:val="277A295F"/>
    <w:rsid w:val="277D9CA5"/>
    <w:rsid w:val="277E893C"/>
    <w:rsid w:val="27AC8792"/>
    <w:rsid w:val="27B1BCB2"/>
    <w:rsid w:val="27C10DE3"/>
    <w:rsid w:val="27C76B66"/>
    <w:rsid w:val="27CD800A"/>
    <w:rsid w:val="27D4C9BB"/>
    <w:rsid w:val="27E14D2E"/>
    <w:rsid w:val="27F845C1"/>
    <w:rsid w:val="27FABE46"/>
    <w:rsid w:val="27FBCD94"/>
    <w:rsid w:val="280016B7"/>
    <w:rsid w:val="282796A9"/>
    <w:rsid w:val="28346B28"/>
    <w:rsid w:val="28532F94"/>
    <w:rsid w:val="289967A0"/>
    <w:rsid w:val="28A903AB"/>
    <w:rsid w:val="28B3EA54"/>
    <w:rsid w:val="28D4808B"/>
    <w:rsid w:val="28E09D48"/>
    <w:rsid w:val="28E203B4"/>
    <w:rsid w:val="28ED5E5B"/>
    <w:rsid w:val="28EE5728"/>
    <w:rsid w:val="28F6DE59"/>
    <w:rsid w:val="2909C62B"/>
    <w:rsid w:val="293E9EE0"/>
    <w:rsid w:val="29429C4A"/>
    <w:rsid w:val="299225F0"/>
    <w:rsid w:val="299F69D5"/>
    <w:rsid w:val="29BE60C6"/>
    <w:rsid w:val="29C456C1"/>
    <w:rsid w:val="29F3D56C"/>
    <w:rsid w:val="29F7B871"/>
    <w:rsid w:val="2A269FD5"/>
    <w:rsid w:val="2A39CC40"/>
    <w:rsid w:val="2A3E1ED2"/>
    <w:rsid w:val="2A3E5340"/>
    <w:rsid w:val="2A4A0991"/>
    <w:rsid w:val="2A7A70B9"/>
    <w:rsid w:val="2A956112"/>
    <w:rsid w:val="2A96C238"/>
    <w:rsid w:val="2AB19D8C"/>
    <w:rsid w:val="2ABF9B0F"/>
    <w:rsid w:val="2AD5B4F4"/>
    <w:rsid w:val="2AEA9D2E"/>
    <w:rsid w:val="2AFA55F6"/>
    <w:rsid w:val="2AFFA128"/>
    <w:rsid w:val="2B28DC0F"/>
    <w:rsid w:val="2B2A992C"/>
    <w:rsid w:val="2B4C42CB"/>
    <w:rsid w:val="2B806EEA"/>
    <w:rsid w:val="2B9F3516"/>
    <w:rsid w:val="2BAC6737"/>
    <w:rsid w:val="2BB65755"/>
    <w:rsid w:val="2BC29B7B"/>
    <w:rsid w:val="2C017908"/>
    <w:rsid w:val="2C04D9CF"/>
    <w:rsid w:val="2C0B306A"/>
    <w:rsid w:val="2C132E6B"/>
    <w:rsid w:val="2C17C8B7"/>
    <w:rsid w:val="2C211374"/>
    <w:rsid w:val="2C337049"/>
    <w:rsid w:val="2C342D6C"/>
    <w:rsid w:val="2C3A4D43"/>
    <w:rsid w:val="2C3B1CE3"/>
    <w:rsid w:val="2C48D795"/>
    <w:rsid w:val="2C660F9A"/>
    <w:rsid w:val="2C8B282B"/>
    <w:rsid w:val="2C9123A1"/>
    <w:rsid w:val="2C9B6861"/>
    <w:rsid w:val="2CCA4A14"/>
    <w:rsid w:val="2CCC3205"/>
    <w:rsid w:val="2CDD1EA0"/>
    <w:rsid w:val="2CF8E66E"/>
    <w:rsid w:val="2D790C8B"/>
    <w:rsid w:val="2D7C76B8"/>
    <w:rsid w:val="2D7C9783"/>
    <w:rsid w:val="2D89C7C5"/>
    <w:rsid w:val="2D8D3668"/>
    <w:rsid w:val="2DA612A5"/>
    <w:rsid w:val="2DAC95A1"/>
    <w:rsid w:val="2DB50698"/>
    <w:rsid w:val="2DB58AF1"/>
    <w:rsid w:val="2DF94B68"/>
    <w:rsid w:val="2DFB7205"/>
    <w:rsid w:val="2E0133C8"/>
    <w:rsid w:val="2E0B0863"/>
    <w:rsid w:val="2E1083FE"/>
    <w:rsid w:val="2E2457E4"/>
    <w:rsid w:val="2E27F958"/>
    <w:rsid w:val="2E7EC520"/>
    <w:rsid w:val="2EADCABB"/>
    <w:rsid w:val="2ECF7A84"/>
    <w:rsid w:val="2ED69DD1"/>
    <w:rsid w:val="2EDB5457"/>
    <w:rsid w:val="2F158A4C"/>
    <w:rsid w:val="2F2981F0"/>
    <w:rsid w:val="2F3A9CE7"/>
    <w:rsid w:val="2F5BEF56"/>
    <w:rsid w:val="2F64EC69"/>
    <w:rsid w:val="2F6F1FF7"/>
    <w:rsid w:val="2F95E776"/>
    <w:rsid w:val="2FD1C566"/>
    <w:rsid w:val="2FEBC401"/>
    <w:rsid w:val="300252F4"/>
    <w:rsid w:val="3008E670"/>
    <w:rsid w:val="302FF6BB"/>
    <w:rsid w:val="303C7068"/>
    <w:rsid w:val="3049B55B"/>
    <w:rsid w:val="30505A85"/>
    <w:rsid w:val="306D46AD"/>
    <w:rsid w:val="30918B86"/>
    <w:rsid w:val="30DF68E1"/>
    <w:rsid w:val="30F597F8"/>
    <w:rsid w:val="3109E8D7"/>
    <w:rsid w:val="310BD91C"/>
    <w:rsid w:val="3120A90A"/>
    <w:rsid w:val="31341A80"/>
    <w:rsid w:val="313B16D5"/>
    <w:rsid w:val="3179454B"/>
    <w:rsid w:val="31918AF9"/>
    <w:rsid w:val="31D9A2DE"/>
    <w:rsid w:val="31F7F2D4"/>
    <w:rsid w:val="320F588A"/>
    <w:rsid w:val="328F7B0E"/>
    <w:rsid w:val="32A1F9EB"/>
    <w:rsid w:val="32A96518"/>
    <w:rsid w:val="32B52692"/>
    <w:rsid w:val="32C4CBCE"/>
    <w:rsid w:val="32D11AFB"/>
    <w:rsid w:val="33099B00"/>
    <w:rsid w:val="3309C52B"/>
    <w:rsid w:val="330A3D0B"/>
    <w:rsid w:val="3316B16E"/>
    <w:rsid w:val="3317616B"/>
    <w:rsid w:val="331E99AE"/>
    <w:rsid w:val="332BB3A8"/>
    <w:rsid w:val="332DBD67"/>
    <w:rsid w:val="3330ABC1"/>
    <w:rsid w:val="3333C46C"/>
    <w:rsid w:val="334C5AA0"/>
    <w:rsid w:val="3363DF81"/>
    <w:rsid w:val="33832173"/>
    <w:rsid w:val="339E7ED4"/>
    <w:rsid w:val="33C8D62F"/>
    <w:rsid w:val="33F4597F"/>
    <w:rsid w:val="33F6CD08"/>
    <w:rsid w:val="34113374"/>
    <w:rsid w:val="343FE6E7"/>
    <w:rsid w:val="3453289F"/>
    <w:rsid w:val="34560426"/>
    <w:rsid w:val="34587FF5"/>
    <w:rsid w:val="346A8C6F"/>
    <w:rsid w:val="3483DAC3"/>
    <w:rsid w:val="34A2E3F5"/>
    <w:rsid w:val="34AFD7DB"/>
    <w:rsid w:val="34C902A7"/>
    <w:rsid w:val="34CA200E"/>
    <w:rsid w:val="34F0F331"/>
    <w:rsid w:val="351D1FF6"/>
    <w:rsid w:val="353A871D"/>
    <w:rsid w:val="35429E93"/>
    <w:rsid w:val="354E4C26"/>
    <w:rsid w:val="355835B5"/>
    <w:rsid w:val="357C75E4"/>
    <w:rsid w:val="357CD55F"/>
    <w:rsid w:val="35CC1939"/>
    <w:rsid w:val="35D50BF0"/>
    <w:rsid w:val="35F86911"/>
    <w:rsid w:val="35FD04C1"/>
    <w:rsid w:val="3622E262"/>
    <w:rsid w:val="36428C7C"/>
    <w:rsid w:val="36B465CE"/>
    <w:rsid w:val="36B83858"/>
    <w:rsid w:val="36E0799F"/>
    <w:rsid w:val="37079807"/>
    <w:rsid w:val="370C05C4"/>
    <w:rsid w:val="370C8720"/>
    <w:rsid w:val="370CAA4B"/>
    <w:rsid w:val="370DC61C"/>
    <w:rsid w:val="3710D374"/>
    <w:rsid w:val="3719141D"/>
    <w:rsid w:val="371CAA0D"/>
    <w:rsid w:val="371F5B12"/>
    <w:rsid w:val="37219514"/>
    <w:rsid w:val="374B4F36"/>
    <w:rsid w:val="37560922"/>
    <w:rsid w:val="3782C54C"/>
    <w:rsid w:val="379E6ABD"/>
    <w:rsid w:val="37AD7119"/>
    <w:rsid w:val="37C7F347"/>
    <w:rsid w:val="37D0F1F4"/>
    <w:rsid w:val="37D10ACE"/>
    <w:rsid w:val="37D39194"/>
    <w:rsid w:val="37DA1C0F"/>
    <w:rsid w:val="37FB5EF6"/>
    <w:rsid w:val="380D842D"/>
    <w:rsid w:val="3823BD99"/>
    <w:rsid w:val="3880D642"/>
    <w:rsid w:val="3890C077"/>
    <w:rsid w:val="38A49B51"/>
    <w:rsid w:val="38BC45CC"/>
    <w:rsid w:val="38C8878A"/>
    <w:rsid w:val="38CCDC1F"/>
    <w:rsid w:val="38F2FDE2"/>
    <w:rsid w:val="3910382B"/>
    <w:rsid w:val="392D0608"/>
    <w:rsid w:val="392ED1F7"/>
    <w:rsid w:val="3936BF5A"/>
    <w:rsid w:val="39505B27"/>
    <w:rsid w:val="397594AA"/>
    <w:rsid w:val="3976D381"/>
    <w:rsid w:val="397CAFB4"/>
    <w:rsid w:val="3989EF4D"/>
    <w:rsid w:val="39CDD9A4"/>
    <w:rsid w:val="39DE366A"/>
    <w:rsid w:val="39EAE307"/>
    <w:rsid w:val="39FFB88F"/>
    <w:rsid w:val="3A10E7C8"/>
    <w:rsid w:val="3A35595A"/>
    <w:rsid w:val="3A42DF18"/>
    <w:rsid w:val="3A4FE38F"/>
    <w:rsid w:val="3A668F5E"/>
    <w:rsid w:val="3A6A3694"/>
    <w:rsid w:val="3A6EF07C"/>
    <w:rsid w:val="3A765169"/>
    <w:rsid w:val="3A8673DB"/>
    <w:rsid w:val="3AB48242"/>
    <w:rsid w:val="3AD0EA06"/>
    <w:rsid w:val="3AE5DAC0"/>
    <w:rsid w:val="3AF7B710"/>
    <w:rsid w:val="3AFF2DF5"/>
    <w:rsid w:val="3B053208"/>
    <w:rsid w:val="3B37C83C"/>
    <w:rsid w:val="3B50EF16"/>
    <w:rsid w:val="3B7AA826"/>
    <w:rsid w:val="3B7C333A"/>
    <w:rsid w:val="3B9127F6"/>
    <w:rsid w:val="3B924FD5"/>
    <w:rsid w:val="3BAFD051"/>
    <w:rsid w:val="3BB36C52"/>
    <w:rsid w:val="3BC6D08C"/>
    <w:rsid w:val="3BD6D4F4"/>
    <w:rsid w:val="3BDC70F8"/>
    <w:rsid w:val="3BDD0CCE"/>
    <w:rsid w:val="3BEE4648"/>
    <w:rsid w:val="3C180907"/>
    <w:rsid w:val="3C185A41"/>
    <w:rsid w:val="3C1BC7DA"/>
    <w:rsid w:val="3C27783E"/>
    <w:rsid w:val="3C3531AD"/>
    <w:rsid w:val="3C4DB0C9"/>
    <w:rsid w:val="3C98CB5E"/>
    <w:rsid w:val="3CD20BFB"/>
    <w:rsid w:val="3CE4E119"/>
    <w:rsid w:val="3D09280D"/>
    <w:rsid w:val="3D212F9E"/>
    <w:rsid w:val="3D229E5D"/>
    <w:rsid w:val="3D284121"/>
    <w:rsid w:val="3D2D7C5D"/>
    <w:rsid w:val="3D34AA03"/>
    <w:rsid w:val="3D4C1A68"/>
    <w:rsid w:val="3D4C7512"/>
    <w:rsid w:val="3D61FC59"/>
    <w:rsid w:val="3D7CE5B8"/>
    <w:rsid w:val="3D9BB605"/>
    <w:rsid w:val="3DA2AB98"/>
    <w:rsid w:val="3DE1710C"/>
    <w:rsid w:val="3E04736E"/>
    <w:rsid w:val="3E0998A9"/>
    <w:rsid w:val="3E1681C4"/>
    <w:rsid w:val="3E296A4A"/>
    <w:rsid w:val="3E315104"/>
    <w:rsid w:val="3E62904E"/>
    <w:rsid w:val="3E94C7AC"/>
    <w:rsid w:val="3E9924C2"/>
    <w:rsid w:val="3E9C44BE"/>
    <w:rsid w:val="3ECC127F"/>
    <w:rsid w:val="3EDF0171"/>
    <w:rsid w:val="3F0F925B"/>
    <w:rsid w:val="3F36FDA9"/>
    <w:rsid w:val="3F704023"/>
    <w:rsid w:val="3F74CBD9"/>
    <w:rsid w:val="3F775EDC"/>
    <w:rsid w:val="3F7D7620"/>
    <w:rsid w:val="3F875778"/>
    <w:rsid w:val="3F96B027"/>
    <w:rsid w:val="3FCCA1E9"/>
    <w:rsid w:val="3FD1BA61"/>
    <w:rsid w:val="3FEF6BDE"/>
    <w:rsid w:val="3FF0D2AE"/>
    <w:rsid w:val="3FF8E276"/>
    <w:rsid w:val="401E7CCF"/>
    <w:rsid w:val="402A9962"/>
    <w:rsid w:val="402B3BF8"/>
    <w:rsid w:val="406E17BA"/>
    <w:rsid w:val="40761FC4"/>
    <w:rsid w:val="408375B8"/>
    <w:rsid w:val="40A5E993"/>
    <w:rsid w:val="40A5FC7C"/>
    <w:rsid w:val="40B9792B"/>
    <w:rsid w:val="40BE22C9"/>
    <w:rsid w:val="40C43E98"/>
    <w:rsid w:val="40D91189"/>
    <w:rsid w:val="40FBDF0E"/>
    <w:rsid w:val="410961F7"/>
    <w:rsid w:val="410C0AB9"/>
    <w:rsid w:val="413ADAEE"/>
    <w:rsid w:val="413FD15F"/>
    <w:rsid w:val="41453AF2"/>
    <w:rsid w:val="41464039"/>
    <w:rsid w:val="416475B0"/>
    <w:rsid w:val="41839ACB"/>
    <w:rsid w:val="4190E556"/>
    <w:rsid w:val="41AD49B1"/>
    <w:rsid w:val="41CD55EE"/>
    <w:rsid w:val="41D55B1C"/>
    <w:rsid w:val="41D9BF9D"/>
    <w:rsid w:val="41E1367C"/>
    <w:rsid w:val="41E28517"/>
    <w:rsid w:val="41F0EF21"/>
    <w:rsid w:val="4204E3EF"/>
    <w:rsid w:val="42454F87"/>
    <w:rsid w:val="4247ECE8"/>
    <w:rsid w:val="42CB27C3"/>
    <w:rsid w:val="42DB2EE3"/>
    <w:rsid w:val="42FB6101"/>
    <w:rsid w:val="431D6A1A"/>
    <w:rsid w:val="432BD378"/>
    <w:rsid w:val="432C647E"/>
    <w:rsid w:val="432CAF19"/>
    <w:rsid w:val="438F1D68"/>
    <w:rsid w:val="43990082"/>
    <w:rsid w:val="43A778B0"/>
    <w:rsid w:val="43DC6569"/>
    <w:rsid w:val="44104CD6"/>
    <w:rsid w:val="44244B2A"/>
    <w:rsid w:val="444017D1"/>
    <w:rsid w:val="44592A55"/>
    <w:rsid w:val="4478265A"/>
    <w:rsid w:val="447E0501"/>
    <w:rsid w:val="449E5F2D"/>
    <w:rsid w:val="44B1DC61"/>
    <w:rsid w:val="44BFBC7A"/>
    <w:rsid w:val="44CDFF65"/>
    <w:rsid w:val="44CF2A3B"/>
    <w:rsid w:val="44E64C27"/>
    <w:rsid w:val="44FF9AA6"/>
    <w:rsid w:val="450B9731"/>
    <w:rsid w:val="451EE640"/>
    <w:rsid w:val="454EDC13"/>
    <w:rsid w:val="456E8B41"/>
    <w:rsid w:val="4575B1CF"/>
    <w:rsid w:val="458BB71D"/>
    <w:rsid w:val="459BFB4F"/>
    <w:rsid w:val="45ACCD90"/>
    <w:rsid w:val="45E66720"/>
    <w:rsid w:val="4600876D"/>
    <w:rsid w:val="463DF287"/>
    <w:rsid w:val="46602808"/>
    <w:rsid w:val="46606218"/>
    <w:rsid w:val="46A71418"/>
    <w:rsid w:val="46DCA5A0"/>
    <w:rsid w:val="46E28F27"/>
    <w:rsid w:val="47502C70"/>
    <w:rsid w:val="4773D060"/>
    <w:rsid w:val="479FF07C"/>
    <w:rsid w:val="47A22B7D"/>
    <w:rsid w:val="47A5B689"/>
    <w:rsid w:val="47A7A95F"/>
    <w:rsid w:val="47ABE56F"/>
    <w:rsid w:val="47B9E2EB"/>
    <w:rsid w:val="47BD265B"/>
    <w:rsid w:val="47CCC8A9"/>
    <w:rsid w:val="47F462B3"/>
    <w:rsid w:val="47FFC717"/>
    <w:rsid w:val="48007573"/>
    <w:rsid w:val="4802D3D3"/>
    <w:rsid w:val="48119ACE"/>
    <w:rsid w:val="484CDC6B"/>
    <w:rsid w:val="4860EA5D"/>
    <w:rsid w:val="4862BE94"/>
    <w:rsid w:val="487845C6"/>
    <w:rsid w:val="48800D55"/>
    <w:rsid w:val="4893639A"/>
    <w:rsid w:val="48993029"/>
    <w:rsid w:val="48C8A4D0"/>
    <w:rsid w:val="48E012C7"/>
    <w:rsid w:val="48F9775C"/>
    <w:rsid w:val="490C33F0"/>
    <w:rsid w:val="49357B5B"/>
    <w:rsid w:val="495D9AF3"/>
    <w:rsid w:val="496009FB"/>
    <w:rsid w:val="496D94DF"/>
    <w:rsid w:val="4977B52F"/>
    <w:rsid w:val="4979065C"/>
    <w:rsid w:val="498C97BC"/>
    <w:rsid w:val="49A15BB9"/>
    <w:rsid w:val="49A24EBE"/>
    <w:rsid w:val="49C0BD87"/>
    <w:rsid w:val="49CA0EBB"/>
    <w:rsid w:val="49E04293"/>
    <w:rsid w:val="49EAF01F"/>
    <w:rsid w:val="4A305F9F"/>
    <w:rsid w:val="4A3989ED"/>
    <w:rsid w:val="4A5AD2A7"/>
    <w:rsid w:val="4A739770"/>
    <w:rsid w:val="4AC5896B"/>
    <w:rsid w:val="4AEE0A6C"/>
    <w:rsid w:val="4AF0F9A8"/>
    <w:rsid w:val="4B012C99"/>
    <w:rsid w:val="4B09B184"/>
    <w:rsid w:val="4B1A6770"/>
    <w:rsid w:val="4B2945F2"/>
    <w:rsid w:val="4B297F30"/>
    <w:rsid w:val="4B337D1A"/>
    <w:rsid w:val="4B54583D"/>
    <w:rsid w:val="4B5978CB"/>
    <w:rsid w:val="4B5C13B0"/>
    <w:rsid w:val="4B5F9A76"/>
    <w:rsid w:val="4B7025A4"/>
    <w:rsid w:val="4B812A27"/>
    <w:rsid w:val="4B885C00"/>
    <w:rsid w:val="4B925505"/>
    <w:rsid w:val="4B9DF30A"/>
    <w:rsid w:val="4BBB357D"/>
    <w:rsid w:val="4BC0ECCF"/>
    <w:rsid w:val="4BD9709C"/>
    <w:rsid w:val="4BEEC49D"/>
    <w:rsid w:val="4BF04BC0"/>
    <w:rsid w:val="4BFF9B5A"/>
    <w:rsid w:val="4C05041E"/>
    <w:rsid w:val="4C1CB8F3"/>
    <w:rsid w:val="4C242158"/>
    <w:rsid w:val="4C2A7838"/>
    <w:rsid w:val="4C403ABE"/>
    <w:rsid w:val="4C6E82F8"/>
    <w:rsid w:val="4C70BE68"/>
    <w:rsid w:val="4C930466"/>
    <w:rsid w:val="4C95DEE3"/>
    <w:rsid w:val="4CB84F66"/>
    <w:rsid w:val="4CBADD09"/>
    <w:rsid w:val="4D1426E5"/>
    <w:rsid w:val="4D18A599"/>
    <w:rsid w:val="4D3F77FB"/>
    <w:rsid w:val="4D422038"/>
    <w:rsid w:val="4D48E6C6"/>
    <w:rsid w:val="4D88E978"/>
    <w:rsid w:val="4D954D92"/>
    <w:rsid w:val="4D9C3E3F"/>
    <w:rsid w:val="4DB8A9E1"/>
    <w:rsid w:val="4DCCBCAA"/>
    <w:rsid w:val="4E1C9376"/>
    <w:rsid w:val="4E42E7AC"/>
    <w:rsid w:val="4E5F498A"/>
    <w:rsid w:val="4E7EFA9D"/>
    <w:rsid w:val="4E8297C8"/>
    <w:rsid w:val="4EC75E03"/>
    <w:rsid w:val="4F117116"/>
    <w:rsid w:val="4F126C83"/>
    <w:rsid w:val="4F15B73D"/>
    <w:rsid w:val="4F19BFBB"/>
    <w:rsid w:val="4F2E80DF"/>
    <w:rsid w:val="4F32F6E7"/>
    <w:rsid w:val="4F520C34"/>
    <w:rsid w:val="4F76DFDE"/>
    <w:rsid w:val="4F8E42CA"/>
    <w:rsid w:val="4FAAA0AD"/>
    <w:rsid w:val="4FC65592"/>
    <w:rsid w:val="4FD7F311"/>
    <w:rsid w:val="50102AAD"/>
    <w:rsid w:val="5039883C"/>
    <w:rsid w:val="504F7E13"/>
    <w:rsid w:val="5051CFAD"/>
    <w:rsid w:val="506B8ABB"/>
    <w:rsid w:val="50A00A1A"/>
    <w:rsid w:val="50A8A0FB"/>
    <w:rsid w:val="50FEA237"/>
    <w:rsid w:val="5114265F"/>
    <w:rsid w:val="511C83AC"/>
    <w:rsid w:val="511DB515"/>
    <w:rsid w:val="51279D83"/>
    <w:rsid w:val="512CF30D"/>
    <w:rsid w:val="51873A7D"/>
    <w:rsid w:val="518FC542"/>
    <w:rsid w:val="5190F8D0"/>
    <w:rsid w:val="519142DD"/>
    <w:rsid w:val="51A47F8A"/>
    <w:rsid w:val="51D66F44"/>
    <w:rsid w:val="51D8A087"/>
    <w:rsid w:val="51E9EB30"/>
    <w:rsid w:val="51EEDF73"/>
    <w:rsid w:val="5211EC24"/>
    <w:rsid w:val="52193513"/>
    <w:rsid w:val="5219C164"/>
    <w:rsid w:val="522C8135"/>
    <w:rsid w:val="523FB923"/>
    <w:rsid w:val="52ACCBDD"/>
    <w:rsid w:val="52B71623"/>
    <w:rsid w:val="52EFFE96"/>
    <w:rsid w:val="53099510"/>
    <w:rsid w:val="530C4266"/>
    <w:rsid w:val="531370FF"/>
    <w:rsid w:val="531897C2"/>
    <w:rsid w:val="53262B9A"/>
    <w:rsid w:val="5329AA73"/>
    <w:rsid w:val="532B7748"/>
    <w:rsid w:val="53668369"/>
    <w:rsid w:val="536C97EA"/>
    <w:rsid w:val="536F047D"/>
    <w:rsid w:val="53798642"/>
    <w:rsid w:val="537C757E"/>
    <w:rsid w:val="537EA440"/>
    <w:rsid w:val="5393150E"/>
    <w:rsid w:val="539B2B14"/>
    <w:rsid w:val="53AA1C24"/>
    <w:rsid w:val="53C20927"/>
    <w:rsid w:val="53C559F8"/>
    <w:rsid w:val="540CD27F"/>
    <w:rsid w:val="541052BD"/>
    <w:rsid w:val="541EB08C"/>
    <w:rsid w:val="542C2278"/>
    <w:rsid w:val="545D0B17"/>
    <w:rsid w:val="5483CFE2"/>
    <w:rsid w:val="5489A860"/>
    <w:rsid w:val="549BFD7B"/>
    <w:rsid w:val="54A8B099"/>
    <w:rsid w:val="54AE0988"/>
    <w:rsid w:val="54CBD871"/>
    <w:rsid w:val="54E55EF3"/>
    <w:rsid w:val="54F8441F"/>
    <w:rsid w:val="55190B3E"/>
    <w:rsid w:val="5525BC19"/>
    <w:rsid w:val="552AD57F"/>
    <w:rsid w:val="55388B1F"/>
    <w:rsid w:val="5539AD9B"/>
    <w:rsid w:val="55596D1D"/>
    <w:rsid w:val="55651F00"/>
    <w:rsid w:val="556AD3C1"/>
    <w:rsid w:val="557EB0C1"/>
    <w:rsid w:val="55F87ABA"/>
    <w:rsid w:val="55FED9E3"/>
    <w:rsid w:val="55FFD016"/>
    <w:rsid w:val="56077A49"/>
    <w:rsid w:val="5641C1A5"/>
    <w:rsid w:val="56699717"/>
    <w:rsid w:val="5671B745"/>
    <w:rsid w:val="5693B142"/>
    <w:rsid w:val="56A6EC3D"/>
    <w:rsid w:val="56C63A78"/>
    <w:rsid w:val="56C8416A"/>
    <w:rsid w:val="56DF66D2"/>
    <w:rsid w:val="56E3DC26"/>
    <w:rsid w:val="5712FED1"/>
    <w:rsid w:val="571D50F9"/>
    <w:rsid w:val="57333905"/>
    <w:rsid w:val="57444BE7"/>
    <w:rsid w:val="576B9C08"/>
    <w:rsid w:val="577D3CF2"/>
    <w:rsid w:val="57836614"/>
    <w:rsid w:val="57A06189"/>
    <w:rsid w:val="57B614B5"/>
    <w:rsid w:val="57E5E611"/>
    <w:rsid w:val="58128E72"/>
    <w:rsid w:val="5815711B"/>
    <w:rsid w:val="5848F225"/>
    <w:rsid w:val="58544080"/>
    <w:rsid w:val="58649E9B"/>
    <w:rsid w:val="5883038B"/>
    <w:rsid w:val="58DFF127"/>
    <w:rsid w:val="58E8C53C"/>
    <w:rsid w:val="59240812"/>
    <w:rsid w:val="592453FA"/>
    <w:rsid w:val="593239DD"/>
    <w:rsid w:val="593B9934"/>
    <w:rsid w:val="594A5D6F"/>
    <w:rsid w:val="59547589"/>
    <w:rsid w:val="595CAB82"/>
    <w:rsid w:val="59683EB5"/>
    <w:rsid w:val="598EB95B"/>
    <w:rsid w:val="598F94DA"/>
    <w:rsid w:val="5994AEFB"/>
    <w:rsid w:val="59ACE828"/>
    <w:rsid w:val="59D77055"/>
    <w:rsid w:val="59E27EE3"/>
    <w:rsid w:val="59F33865"/>
    <w:rsid w:val="59F3D6C4"/>
    <w:rsid w:val="59F992BD"/>
    <w:rsid w:val="5A18B76A"/>
    <w:rsid w:val="5A2A23AF"/>
    <w:rsid w:val="5A306BE6"/>
    <w:rsid w:val="5A4C1E8C"/>
    <w:rsid w:val="5A4D86E7"/>
    <w:rsid w:val="5A527B09"/>
    <w:rsid w:val="5A52ADF7"/>
    <w:rsid w:val="5A62070A"/>
    <w:rsid w:val="5A6558B9"/>
    <w:rsid w:val="5A6703C0"/>
    <w:rsid w:val="5A885E0C"/>
    <w:rsid w:val="5A9ABE1F"/>
    <w:rsid w:val="5A9DD63A"/>
    <w:rsid w:val="5AA1FF35"/>
    <w:rsid w:val="5ABF4B11"/>
    <w:rsid w:val="5AEBEA4F"/>
    <w:rsid w:val="5B039A0A"/>
    <w:rsid w:val="5B13B215"/>
    <w:rsid w:val="5B165507"/>
    <w:rsid w:val="5B1AB100"/>
    <w:rsid w:val="5B316870"/>
    <w:rsid w:val="5B3DBA32"/>
    <w:rsid w:val="5B456DAA"/>
    <w:rsid w:val="5B461710"/>
    <w:rsid w:val="5B66B414"/>
    <w:rsid w:val="5B759975"/>
    <w:rsid w:val="5B79A891"/>
    <w:rsid w:val="5B86D4C9"/>
    <w:rsid w:val="5B9259A1"/>
    <w:rsid w:val="5BACC65D"/>
    <w:rsid w:val="5BC1FBE0"/>
    <w:rsid w:val="5BC2EBB8"/>
    <w:rsid w:val="5BF660C3"/>
    <w:rsid w:val="5BFCE682"/>
    <w:rsid w:val="5C1DB4B6"/>
    <w:rsid w:val="5C2B68C9"/>
    <w:rsid w:val="5C5F49EF"/>
    <w:rsid w:val="5C710557"/>
    <w:rsid w:val="5C775683"/>
    <w:rsid w:val="5C861A8D"/>
    <w:rsid w:val="5CA925C1"/>
    <w:rsid w:val="5CB55896"/>
    <w:rsid w:val="5CBF13F4"/>
    <w:rsid w:val="5CC1AAB0"/>
    <w:rsid w:val="5CD44FE1"/>
    <w:rsid w:val="5CE89000"/>
    <w:rsid w:val="5D16976B"/>
    <w:rsid w:val="5D199CDB"/>
    <w:rsid w:val="5D1F4A73"/>
    <w:rsid w:val="5D3BAF14"/>
    <w:rsid w:val="5D5DD28B"/>
    <w:rsid w:val="5D8B168D"/>
    <w:rsid w:val="5D8D532D"/>
    <w:rsid w:val="5D94DB06"/>
    <w:rsid w:val="5DB8535C"/>
    <w:rsid w:val="5DB8E1E2"/>
    <w:rsid w:val="5DC03327"/>
    <w:rsid w:val="5DD6657F"/>
    <w:rsid w:val="5DE8984B"/>
    <w:rsid w:val="5E0C971E"/>
    <w:rsid w:val="5E12712A"/>
    <w:rsid w:val="5E3DCC19"/>
    <w:rsid w:val="5EA0BD62"/>
    <w:rsid w:val="5EC8E529"/>
    <w:rsid w:val="5EDB2CB9"/>
    <w:rsid w:val="5EE2CCCF"/>
    <w:rsid w:val="5EE7F60E"/>
    <w:rsid w:val="5EF61A9D"/>
    <w:rsid w:val="5EF97269"/>
    <w:rsid w:val="5F0BCC01"/>
    <w:rsid w:val="5F1FAD4C"/>
    <w:rsid w:val="5F25E3EA"/>
    <w:rsid w:val="5F5A09B7"/>
    <w:rsid w:val="5F69CA01"/>
    <w:rsid w:val="5F70A72D"/>
    <w:rsid w:val="5F845C1E"/>
    <w:rsid w:val="5F88D28F"/>
    <w:rsid w:val="5F8C650E"/>
    <w:rsid w:val="5F9BDF03"/>
    <w:rsid w:val="5FA8609D"/>
    <w:rsid w:val="5FD7E7F6"/>
    <w:rsid w:val="5FFE9407"/>
    <w:rsid w:val="601F5B10"/>
    <w:rsid w:val="602D5F11"/>
    <w:rsid w:val="60441D7C"/>
    <w:rsid w:val="60730AF4"/>
    <w:rsid w:val="60740C87"/>
    <w:rsid w:val="609D6D69"/>
    <w:rsid w:val="60C3E7B6"/>
    <w:rsid w:val="60E5BB84"/>
    <w:rsid w:val="60FA0FEB"/>
    <w:rsid w:val="6109D0CA"/>
    <w:rsid w:val="611C9793"/>
    <w:rsid w:val="612AEF5E"/>
    <w:rsid w:val="61372DF1"/>
    <w:rsid w:val="6137E826"/>
    <w:rsid w:val="613BEB48"/>
    <w:rsid w:val="6149285E"/>
    <w:rsid w:val="61781760"/>
    <w:rsid w:val="6194D99B"/>
    <w:rsid w:val="61AB4832"/>
    <w:rsid w:val="61AB805F"/>
    <w:rsid w:val="61AC831B"/>
    <w:rsid w:val="61ECD9D0"/>
    <w:rsid w:val="61EEBE0E"/>
    <w:rsid w:val="621EA7F2"/>
    <w:rsid w:val="6224AF17"/>
    <w:rsid w:val="6227AC93"/>
    <w:rsid w:val="62940B2B"/>
    <w:rsid w:val="629560B5"/>
    <w:rsid w:val="62A1920B"/>
    <w:rsid w:val="62A86F40"/>
    <w:rsid w:val="62B6E2D9"/>
    <w:rsid w:val="62C8838D"/>
    <w:rsid w:val="62D5AB54"/>
    <w:rsid w:val="62EE9505"/>
    <w:rsid w:val="62F73091"/>
    <w:rsid w:val="62F8598F"/>
    <w:rsid w:val="62FA3E40"/>
    <w:rsid w:val="63013A17"/>
    <w:rsid w:val="630ACE00"/>
    <w:rsid w:val="631CD0EE"/>
    <w:rsid w:val="632673CB"/>
    <w:rsid w:val="632C7010"/>
    <w:rsid w:val="632F92A7"/>
    <w:rsid w:val="6332F1E9"/>
    <w:rsid w:val="63436AC0"/>
    <w:rsid w:val="636FB28F"/>
    <w:rsid w:val="63849D3D"/>
    <w:rsid w:val="63A364C1"/>
    <w:rsid w:val="63AAC618"/>
    <w:rsid w:val="63C82111"/>
    <w:rsid w:val="63D2149A"/>
    <w:rsid w:val="63D36A02"/>
    <w:rsid w:val="63D9B869"/>
    <w:rsid w:val="643F3976"/>
    <w:rsid w:val="64605D19"/>
    <w:rsid w:val="646EA926"/>
    <w:rsid w:val="64D17FDA"/>
    <w:rsid w:val="64D6E6AB"/>
    <w:rsid w:val="64F13FFB"/>
    <w:rsid w:val="64F5492D"/>
    <w:rsid w:val="64F71614"/>
    <w:rsid w:val="65014F69"/>
    <w:rsid w:val="65027374"/>
    <w:rsid w:val="6531B8EE"/>
    <w:rsid w:val="6534A09F"/>
    <w:rsid w:val="6542C70B"/>
    <w:rsid w:val="659E4B65"/>
    <w:rsid w:val="65A94E99"/>
    <w:rsid w:val="65B0AB6C"/>
    <w:rsid w:val="65B86D29"/>
    <w:rsid w:val="65ED834D"/>
    <w:rsid w:val="66004F70"/>
    <w:rsid w:val="661476F0"/>
    <w:rsid w:val="6631A196"/>
    <w:rsid w:val="6637FDD5"/>
    <w:rsid w:val="664CA45F"/>
    <w:rsid w:val="665F6CB5"/>
    <w:rsid w:val="666D074F"/>
    <w:rsid w:val="6679AC39"/>
    <w:rsid w:val="667E2DB6"/>
    <w:rsid w:val="66B77EC4"/>
    <w:rsid w:val="66D412FE"/>
    <w:rsid w:val="66D806DE"/>
    <w:rsid w:val="67393B83"/>
    <w:rsid w:val="6740940F"/>
    <w:rsid w:val="675102F9"/>
    <w:rsid w:val="6752F659"/>
    <w:rsid w:val="675FBA85"/>
    <w:rsid w:val="67653381"/>
    <w:rsid w:val="676A8F68"/>
    <w:rsid w:val="676BD619"/>
    <w:rsid w:val="676FDA17"/>
    <w:rsid w:val="67740F01"/>
    <w:rsid w:val="677EA5A0"/>
    <w:rsid w:val="6783147F"/>
    <w:rsid w:val="678FF574"/>
    <w:rsid w:val="67C28873"/>
    <w:rsid w:val="67C896DB"/>
    <w:rsid w:val="67D68240"/>
    <w:rsid w:val="6847853E"/>
    <w:rsid w:val="68670668"/>
    <w:rsid w:val="687E5603"/>
    <w:rsid w:val="68815CEA"/>
    <w:rsid w:val="6887B8BF"/>
    <w:rsid w:val="6897C548"/>
    <w:rsid w:val="68BC5802"/>
    <w:rsid w:val="690572F8"/>
    <w:rsid w:val="6913DA4C"/>
    <w:rsid w:val="693F32EB"/>
    <w:rsid w:val="6942F504"/>
    <w:rsid w:val="6965F9CB"/>
    <w:rsid w:val="696ECD05"/>
    <w:rsid w:val="69834BF8"/>
    <w:rsid w:val="69AEEF5B"/>
    <w:rsid w:val="69B2C894"/>
    <w:rsid w:val="69BC7647"/>
    <w:rsid w:val="69CC3BC9"/>
    <w:rsid w:val="69CEFA61"/>
    <w:rsid w:val="69DD8844"/>
    <w:rsid w:val="69FD9C90"/>
    <w:rsid w:val="6A521354"/>
    <w:rsid w:val="6A553995"/>
    <w:rsid w:val="6A58EE69"/>
    <w:rsid w:val="6A5CED9B"/>
    <w:rsid w:val="6A96151C"/>
    <w:rsid w:val="6A9CC587"/>
    <w:rsid w:val="6AB6A4DB"/>
    <w:rsid w:val="6AC11DCB"/>
    <w:rsid w:val="6ADA1722"/>
    <w:rsid w:val="6B1BC40D"/>
    <w:rsid w:val="6B36FCD0"/>
    <w:rsid w:val="6B627834"/>
    <w:rsid w:val="6B84D0AD"/>
    <w:rsid w:val="6B8FD5E6"/>
    <w:rsid w:val="6BBF60DA"/>
    <w:rsid w:val="6BE3DF60"/>
    <w:rsid w:val="6BE51093"/>
    <w:rsid w:val="6BEFEFC4"/>
    <w:rsid w:val="6C1B0C75"/>
    <w:rsid w:val="6C32B9F9"/>
    <w:rsid w:val="6C3F3EEF"/>
    <w:rsid w:val="6C58BC14"/>
    <w:rsid w:val="6C8090E2"/>
    <w:rsid w:val="6C816686"/>
    <w:rsid w:val="6CACDD9D"/>
    <w:rsid w:val="6CC407FA"/>
    <w:rsid w:val="6CD20C03"/>
    <w:rsid w:val="6CD53285"/>
    <w:rsid w:val="6CE7983C"/>
    <w:rsid w:val="6CEA0760"/>
    <w:rsid w:val="6CEAB75D"/>
    <w:rsid w:val="6D089B9F"/>
    <w:rsid w:val="6D2E3BEF"/>
    <w:rsid w:val="6D559D30"/>
    <w:rsid w:val="6D8308EA"/>
    <w:rsid w:val="6D8350BD"/>
    <w:rsid w:val="6D836B58"/>
    <w:rsid w:val="6D865AA6"/>
    <w:rsid w:val="6DB0ED51"/>
    <w:rsid w:val="6DC65169"/>
    <w:rsid w:val="6DCCCEB7"/>
    <w:rsid w:val="6E0BE331"/>
    <w:rsid w:val="6E18580C"/>
    <w:rsid w:val="6E1A4D31"/>
    <w:rsid w:val="6E1B1732"/>
    <w:rsid w:val="6E3A7125"/>
    <w:rsid w:val="6E5B58D0"/>
    <w:rsid w:val="6E5F7033"/>
    <w:rsid w:val="6E6EFF41"/>
    <w:rsid w:val="6E79AD39"/>
    <w:rsid w:val="6E98764D"/>
    <w:rsid w:val="6F0129D0"/>
    <w:rsid w:val="6F2015B5"/>
    <w:rsid w:val="6F3EDD48"/>
    <w:rsid w:val="6F47FA87"/>
    <w:rsid w:val="6F6177D4"/>
    <w:rsid w:val="6F65AE9B"/>
    <w:rsid w:val="6F676E24"/>
    <w:rsid w:val="6F7B2AC0"/>
    <w:rsid w:val="6F99E8B3"/>
    <w:rsid w:val="6FA45079"/>
    <w:rsid w:val="6FB4D60E"/>
    <w:rsid w:val="6FBFB966"/>
    <w:rsid w:val="6FDB124C"/>
    <w:rsid w:val="6FF5AAD9"/>
    <w:rsid w:val="701596B9"/>
    <w:rsid w:val="7033F4B7"/>
    <w:rsid w:val="70442D8F"/>
    <w:rsid w:val="70460D04"/>
    <w:rsid w:val="706827E0"/>
    <w:rsid w:val="70C01E43"/>
    <w:rsid w:val="70C416F7"/>
    <w:rsid w:val="70D878C8"/>
    <w:rsid w:val="70E97D66"/>
    <w:rsid w:val="70F40EC5"/>
    <w:rsid w:val="710BA086"/>
    <w:rsid w:val="710E98E0"/>
    <w:rsid w:val="71265F30"/>
    <w:rsid w:val="713E8FE2"/>
    <w:rsid w:val="7140796B"/>
    <w:rsid w:val="7140B1DD"/>
    <w:rsid w:val="71AE33BD"/>
    <w:rsid w:val="71C0B946"/>
    <w:rsid w:val="71D90B06"/>
    <w:rsid w:val="71FC1664"/>
    <w:rsid w:val="72130041"/>
    <w:rsid w:val="7214FE54"/>
    <w:rsid w:val="721A7833"/>
    <w:rsid w:val="72531E0D"/>
    <w:rsid w:val="7268B9F2"/>
    <w:rsid w:val="729B86B3"/>
    <w:rsid w:val="72A23BEF"/>
    <w:rsid w:val="72A60810"/>
    <w:rsid w:val="72B0C462"/>
    <w:rsid w:val="72F0CBBD"/>
    <w:rsid w:val="731377C6"/>
    <w:rsid w:val="73230894"/>
    <w:rsid w:val="73248909"/>
    <w:rsid w:val="7331B4CB"/>
    <w:rsid w:val="734B6C1A"/>
    <w:rsid w:val="734D4F36"/>
    <w:rsid w:val="734DE380"/>
    <w:rsid w:val="737C8181"/>
    <w:rsid w:val="73959E2F"/>
    <w:rsid w:val="739F432E"/>
    <w:rsid w:val="73A34D5F"/>
    <w:rsid w:val="73A6782A"/>
    <w:rsid w:val="73ACB55D"/>
    <w:rsid w:val="73BC787E"/>
    <w:rsid w:val="73CDE7B4"/>
    <w:rsid w:val="73E0826C"/>
    <w:rsid w:val="73FC8958"/>
    <w:rsid w:val="740C0EA2"/>
    <w:rsid w:val="7423B1BE"/>
    <w:rsid w:val="7425987A"/>
    <w:rsid w:val="74322AD4"/>
    <w:rsid w:val="7441723A"/>
    <w:rsid w:val="74538E2C"/>
    <w:rsid w:val="7465ED63"/>
    <w:rsid w:val="7466DA34"/>
    <w:rsid w:val="746CC201"/>
    <w:rsid w:val="7482F3C3"/>
    <w:rsid w:val="7483DF2A"/>
    <w:rsid w:val="749107E8"/>
    <w:rsid w:val="74981623"/>
    <w:rsid w:val="74A6A17C"/>
    <w:rsid w:val="74B5D201"/>
    <w:rsid w:val="74E7FEFE"/>
    <w:rsid w:val="750AFDE0"/>
    <w:rsid w:val="75133063"/>
    <w:rsid w:val="7515C7DB"/>
    <w:rsid w:val="75225292"/>
    <w:rsid w:val="7554ADAB"/>
    <w:rsid w:val="75A3080A"/>
    <w:rsid w:val="75AAEE30"/>
    <w:rsid w:val="75ADC092"/>
    <w:rsid w:val="75DEF492"/>
    <w:rsid w:val="7605DCCB"/>
    <w:rsid w:val="76149CD1"/>
    <w:rsid w:val="7636B108"/>
    <w:rsid w:val="763A09E0"/>
    <w:rsid w:val="7650885F"/>
    <w:rsid w:val="7665EACF"/>
    <w:rsid w:val="767243B5"/>
    <w:rsid w:val="768628FD"/>
    <w:rsid w:val="76906AD4"/>
    <w:rsid w:val="76AEF025"/>
    <w:rsid w:val="76B268D3"/>
    <w:rsid w:val="76B54E0C"/>
    <w:rsid w:val="76C895FE"/>
    <w:rsid w:val="76CB4E78"/>
    <w:rsid w:val="76DEFF1F"/>
    <w:rsid w:val="770DBBD8"/>
    <w:rsid w:val="77187D2B"/>
    <w:rsid w:val="7728C49D"/>
    <w:rsid w:val="774F5D6F"/>
    <w:rsid w:val="77614884"/>
    <w:rsid w:val="7774E252"/>
    <w:rsid w:val="777C3EFD"/>
    <w:rsid w:val="777C67B1"/>
    <w:rsid w:val="77F72CE2"/>
    <w:rsid w:val="77FFF501"/>
    <w:rsid w:val="78038C62"/>
    <w:rsid w:val="780DB76C"/>
    <w:rsid w:val="78132650"/>
    <w:rsid w:val="7832E4C0"/>
    <w:rsid w:val="78428AE1"/>
    <w:rsid w:val="784440A1"/>
    <w:rsid w:val="78487D34"/>
    <w:rsid w:val="7886F1D4"/>
    <w:rsid w:val="78A8DC55"/>
    <w:rsid w:val="78AA9EB3"/>
    <w:rsid w:val="78AFDFBA"/>
    <w:rsid w:val="78C32DA9"/>
    <w:rsid w:val="78E28754"/>
    <w:rsid w:val="78FCE215"/>
    <w:rsid w:val="791FC836"/>
    <w:rsid w:val="7954C2B9"/>
    <w:rsid w:val="7998A47D"/>
    <w:rsid w:val="79B87862"/>
    <w:rsid w:val="79E386F1"/>
    <w:rsid w:val="7A2D3F8B"/>
    <w:rsid w:val="7A3AF218"/>
    <w:rsid w:val="7A40B3A0"/>
    <w:rsid w:val="7A95748F"/>
    <w:rsid w:val="7AA3DAB0"/>
    <w:rsid w:val="7AA9FCE7"/>
    <w:rsid w:val="7ABAE29B"/>
    <w:rsid w:val="7AD09AD1"/>
    <w:rsid w:val="7AD84E8C"/>
    <w:rsid w:val="7AE42DEF"/>
    <w:rsid w:val="7B509B99"/>
    <w:rsid w:val="7B5DAB10"/>
    <w:rsid w:val="7B8A9782"/>
    <w:rsid w:val="7B8C7793"/>
    <w:rsid w:val="7B8E178E"/>
    <w:rsid w:val="7B9A7E25"/>
    <w:rsid w:val="7BA7E9A4"/>
    <w:rsid w:val="7BB84E38"/>
    <w:rsid w:val="7BC3761F"/>
    <w:rsid w:val="7BE50134"/>
    <w:rsid w:val="7BE5DC1D"/>
    <w:rsid w:val="7BE82C68"/>
    <w:rsid w:val="7BED9F32"/>
    <w:rsid w:val="7BF40E65"/>
    <w:rsid w:val="7C0A132F"/>
    <w:rsid w:val="7C0EF171"/>
    <w:rsid w:val="7C203DB3"/>
    <w:rsid w:val="7C31829E"/>
    <w:rsid w:val="7C46527B"/>
    <w:rsid w:val="7C4CBB1D"/>
    <w:rsid w:val="7C6DC085"/>
    <w:rsid w:val="7C76B91F"/>
    <w:rsid w:val="7C835C2E"/>
    <w:rsid w:val="7CBB7751"/>
    <w:rsid w:val="7CC7385E"/>
    <w:rsid w:val="7CD0C692"/>
    <w:rsid w:val="7CE78DDB"/>
    <w:rsid w:val="7CE7A702"/>
    <w:rsid w:val="7D1CF2DA"/>
    <w:rsid w:val="7D30A496"/>
    <w:rsid w:val="7D4069E0"/>
    <w:rsid w:val="7D46BB85"/>
    <w:rsid w:val="7D6AA9D2"/>
    <w:rsid w:val="7D6F2632"/>
    <w:rsid w:val="7D8574AD"/>
    <w:rsid w:val="7D86ABB9"/>
    <w:rsid w:val="7D8B43FA"/>
    <w:rsid w:val="7DA729EB"/>
    <w:rsid w:val="7DBDDF45"/>
    <w:rsid w:val="7DC3A914"/>
    <w:rsid w:val="7DE199B6"/>
    <w:rsid w:val="7E0547B1"/>
    <w:rsid w:val="7E112D69"/>
    <w:rsid w:val="7E3F6715"/>
    <w:rsid w:val="7E4B4032"/>
    <w:rsid w:val="7E503A92"/>
    <w:rsid w:val="7E51C450"/>
    <w:rsid w:val="7E7BDE67"/>
    <w:rsid w:val="7E7D134C"/>
    <w:rsid w:val="7E8A3DD2"/>
    <w:rsid w:val="7EB03826"/>
    <w:rsid w:val="7EB83688"/>
    <w:rsid w:val="7EBD11F7"/>
    <w:rsid w:val="7EE07B0B"/>
    <w:rsid w:val="7EF3D048"/>
    <w:rsid w:val="7EF9970A"/>
    <w:rsid w:val="7F087A7A"/>
    <w:rsid w:val="7F165094"/>
    <w:rsid w:val="7F20FE81"/>
    <w:rsid w:val="7F3067E4"/>
    <w:rsid w:val="7F42BCC9"/>
    <w:rsid w:val="7F471D6B"/>
    <w:rsid w:val="7F529116"/>
    <w:rsid w:val="7F63E19E"/>
    <w:rsid w:val="7F88CF4D"/>
    <w:rsid w:val="7F8B0723"/>
    <w:rsid w:val="7F8E28B3"/>
    <w:rsid w:val="7FC07CCC"/>
    <w:rsid w:val="7FC9EED1"/>
    <w:rsid w:val="7FEE1DE0"/>
    <w:rsid w:val="7FFD0E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9" w:unhideWhenUsed="1" w:qFormat="1"/>
    <w:lsdException w:name="heading 5" w:semiHidden="1" w:uiPriority="19" w:unhideWhenUsed="1" w:qFormat="1"/>
    <w:lsdException w:name="heading 6" w:semiHidden="1" w:uiPriority="1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B3"/>
    <w:pPr>
      <w:spacing w:after="120" w:line="264" w:lineRule="auto"/>
      <w:contextualSpacing/>
    </w:pPr>
    <w:rPr>
      <w:rFonts w:ascii="Arial" w:hAnsi="Arial"/>
      <w:szCs w:val="24"/>
    </w:rPr>
  </w:style>
  <w:style w:type="paragraph" w:styleId="Heading1">
    <w:name w:val="heading 1"/>
    <w:aliases w:val="Numbered Heading 1,2018 Review Heading 1"/>
    <w:basedOn w:val="Title"/>
    <w:next w:val="Normal"/>
    <w:link w:val="Heading1Char"/>
    <w:uiPriority w:val="19"/>
    <w:qFormat/>
    <w:rsid w:val="00F820E9"/>
    <w:pPr>
      <w:numPr>
        <w:numId w:val="8"/>
      </w:numPr>
      <w:spacing w:after="240"/>
      <w:ind w:right="2977"/>
      <w:outlineLvl w:val="0"/>
    </w:pPr>
    <w:rPr>
      <w:rFonts w:cs="Arial"/>
      <w:sz w:val="36"/>
      <w:szCs w:val="36"/>
    </w:rPr>
  </w:style>
  <w:style w:type="paragraph" w:styleId="Heading2">
    <w:name w:val="heading 2"/>
    <w:aliases w:val="Numbered Heading 2,2018 Review Heading 2"/>
    <w:basedOn w:val="Normal"/>
    <w:next w:val="Normal"/>
    <w:link w:val="Heading2Char"/>
    <w:uiPriority w:val="19"/>
    <w:unhideWhenUsed/>
    <w:qFormat/>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aliases w:val="2018 Review Heading 3"/>
    <w:basedOn w:val="Normal"/>
    <w:next w:val="Normal"/>
    <w:link w:val="Heading3Char"/>
    <w:uiPriority w:val="19"/>
    <w:unhideWhenUsed/>
    <w:qFormat/>
    <w:rsid w:val="007C438D"/>
    <w:pPr>
      <w:spacing w:before="240"/>
      <w:outlineLvl w:val="2"/>
    </w:pPr>
    <w:rPr>
      <w:rFonts w:ascii="Arial Bold" w:hAnsi="Arial Bold"/>
      <w:b/>
      <w:bCs/>
      <w:color w:val="4877E0" w:themeColor="accent1"/>
      <w:sz w:val="24"/>
    </w:rPr>
  </w:style>
  <w:style w:type="paragraph" w:styleId="Heading4">
    <w:name w:val="heading 4"/>
    <w:aliases w:val="2018 Review Heading 4"/>
    <w:basedOn w:val="Normal"/>
    <w:next w:val="Normal"/>
    <w:link w:val="Heading4Char"/>
    <w:uiPriority w:val="9"/>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1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19"/>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qFormat/>
    <w:rsid w:val="00E6439B"/>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6"/>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E14BDF"/>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FB5F0A"/>
    <w:rPr>
      <w:sz w:val="3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numPr>
        <w:numId w:val="0"/>
      </w:numPr>
      <w:spacing w:line="240" w:lineRule="atLeast"/>
      <w:ind w:left="295" w:hanging="360"/>
    </w:pPr>
    <w:rPr>
      <w:lang w:eastAsia="en-AU"/>
    </w:rPr>
  </w:style>
  <w:style w:type="paragraph" w:styleId="ListBullet">
    <w:name w:val="List Bullet"/>
    <w:basedOn w:val="Normal"/>
    <w:qFormat/>
    <w:rsid w:val="001649F7"/>
    <w:pPr>
      <w:numPr>
        <w:numId w:val="2"/>
      </w:numPr>
      <w:spacing w:after="80"/>
      <w:ind w:left="641" w:hanging="357"/>
      <w:contextualSpacing w:val="0"/>
    </w:pPr>
    <w:rPr>
      <w:rFonts w:eastAsia="Arial"/>
    </w:rPr>
  </w:style>
  <w:style w:type="paragraph" w:customStyle="1" w:styleId="Paragraph">
    <w:name w:val="Paragraph"/>
    <w:basedOn w:val="Normal"/>
    <w:qFormat/>
    <w:rsid w:val="001649F7"/>
    <w:pPr>
      <w:keepNext/>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7"/>
      </w:numPr>
      <w:spacing w:line="240" w:lineRule="atLeast"/>
    </w:pPr>
    <w:rPr>
      <w:rFonts w:eastAsia="Times New Roman"/>
      <w:lang w:eastAsia="en-AU"/>
    </w:rPr>
  </w:style>
  <w:style w:type="paragraph" w:styleId="ListBullet2">
    <w:name w:val="List Bullet 2"/>
    <w:basedOn w:val="Normal"/>
    <w:qFormat/>
    <w:rsid w:val="001649F7"/>
    <w:pPr>
      <w:numPr>
        <w:numId w:val="4"/>
      </w:numPr>
      <w:spacing w:after="80"/>
      <w:ind w:left="641" w:hanging="357"/>
      <w:contextualSpacing w:val="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8F3F28"/>
    <w:pPr>
      <w:numPr>
        <w:ilvl w:val="3"/>
        <w:numId w:val="86"/>
      </w:numPr>
      <w:spacing w:before="200" w:after="120"/>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8F3F28"/>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2018 Review Heading 2 Char"/>
    <w:basedOn w:val="DefaultParagraphFont"/>
    <w:link w:val="Heading2"/>
    <w:uiPriority w:val="19"/>
    <w:rsid w:val="00FB5F0A"/>
    <w:rPr>
      <w:rFonts w:ascii="Arial" w:eastAsiaTheme="majorEastAsia" w:hAnsi="Arial" w:cstheme="majorBidi"/>
      <w:iCs/>
      <w:sz w:val="28"/>
      <w:szCs w:val="28"/>
    </w:rPr>
  </w:style>
  <w:style w:type="character" w:customStyle="1" w:styleId="Heading1Char">
    <w:name w:val="Heading 1 Char"/>
    <w:aliases w:val="Numbered Heading 1 Char,2018 Review Heading 1 Char"/>
    <w:basedOn w:val="DefaultParagraphFont"/>
    <w:link w:val="Heading1"/>
    <w:uiPriority w:val="19"/>
    <w:rsid w:val="00F820E9"/>
    <w:rPr>
      <w:rFonts w:ascii="Arial" w:hAnsi="Arial" w:cs="Arial"/>
      <w:b/>
      <w:bCs/>
      <w:sz w:val="36"/>
      <w:szCs w:val="36"/>
    </w:rPr>
  </w:style>
  <w:style w:type="paragraph" w:styleId="Title">
    <w:name w:val="Title"/>
    <w:aliases w:val="2018 Review 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aliases w:val="2018 Review Title Char"/>
    <w:basedOn w:val="DefaultParagraphFont"/>
    <w:link w:val="Title"/>
    <w:uiPriority w:val="1"/>
    <w:rsid w:val="00FB5F0A"/>
    <w:rPr>
      <w:rFonts w:ascii="Arial" w:hAnsi="Arial" w:cs="Arial"/>
      <w:b/>
      <w:bCs/>
      <w:sz w:val="56"/>
      <w:szCs w:val="56"/>
    </w:rPr>
  </w:style>
  <w:style w:type="character" w:customStyle="1" w:styleId="Heading3Char">
    <w:name w:val="Heading 3 Char"/>
    <w:aliases w:val="2018 Review Heading 3 Char"/>
    <w:basedOn w:val="DefaultParagraphFont"/>
    <w:link w:val="Heading3"/>
    <w:uiPriority w:val="19"/>
    <w:rsid w:val="007C438D"/>
    <w:rPr>
      <w:rFonts w:ascii="Arial Bold" w:hAnsi="Arial Bold"/>
      <w:b/>
      <w:bCs/>
      <w:color w:val="4877E0" w:themeColor="accent1"/>
      <w:sz w:val="24"/>
      <w:szCs w:val="24"/>
    </w:rPr>
  </w:style>
  <w:style w:type="character" w:customStyle="1" w:styleId="Heading4Char">
    <w:name w:val="Heading 4 Char"/>
    <w:aliases w:val="2018 Review Heading 4 Char"/>
    <w:basedOn w:val="DefaultParagraphFont"/>
    <w:link w:val="Heading4"/>
    <w:uiPriority w:val="9"/>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1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19"/>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uiPriority w:val="35"/>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3"/>
      </w:numPr>
      <w:spacing w:after="80"/>
      <w:ind w:left="641" w:hanging="357"/>
      <w:contextualSpacing w:val="0"/>
    </w:pPr>
    <w:rPr>
      <w:rFonts w:eastAsia="Times New Roman" w:cs="Times New Roman"/>
    </w:rPr>
  </w:style>
  <w:style w:type="paragraph" w:styleId="ListNumber2">
    <w:name w:val="List Number 2"/>
    <w:aliases w:val="alpha"/>
    <w:basedOn w:val="Normal"/>
    <w:qFormat/>
    <w:rsid w:val="001649F7"/>
    <w:pPr>
      <w:numPr>
        <w:numId w:val="5"/>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aliases w:val="2018 Review Strong"/>
    <w:uiPriority w:val="22"/>
    <w:qFormat/>
    <w:rsid w:val="00FB5F0A"/>
    <w:rPr>
      <w:b/>
      <w:bCs/>
    </w:rPr>
  </w:style>
  <w:style w:type="character" w:styleId="Emphasis">
    <w:name w:val="Emphasis"/>
    <w:aliases w:val="2018 Review Emphasis"/>
    <w:uiPriority w:val="20"/>
    <w:qFormat/>
    <w:rsid w:val="00FB5F0A"/>
    <w:rPr>
      <w:bCs/>
      <w:i/>
    </w:rPr>
  </w:style>
  <w:style w:type="paragraph" w:styleId="ListParagraph">
    <w:name w:val="List Paragraph"/>
    <w:aliases w:val="SWA List Paragraph,Indent,Bullet,Recommendation,List Paragraph1,standard lewis,List Paragraph11,List Paragraph2,Bulit List -  Paragraph,Main numbered paragraph,Numbered List Paragraph,Heading2,Use Case List Paragraph,Heading3,L"/>
    <w:basedOn w:val="Normal"/>
    <w:link w:val="ListParagraphChar"/>
    <w:uiPriority w:val="2"/>
    <w:qFormat/>
    <w:rsid w:val="00FB5F0A"/>
    <w:pPr>
      <w:tabs>
        <w:tab w:val="num" w:pos="720"/>
      </w:tabs>
      <w:ind w:left="1440" w:hanging="360"/>
    </w:pPr>
  </w:style>
  <w:style w:type="character" w:customStyle="1" w:styleId="ListParagraphChar">
    <w:name w:val="List Paragraph Char"/>
    <w:aliases w:val="SWA List Paragraph Char,Indent Char,Bullet Char,Recommendation Char,List Paragraph1 Char,standard lewis Char,List Paragraph11 Char,List Paragraph2 Char,Bulit List -  Paragraph Char,Main numbered paragraph Char,Heading2 Char,L Char"/>
    <w:basedOn w:val="DefaultParagraphFont"/>
    <w:link w:val="ListParagraph"/>
    <w:uiPriority w:val="2"/>
    <w:rsid w:val="00FB5F0A"/>
    <w:rPr>
      <w:rFonts w:ascii="Arial" w:hAnsi="Arial" w:cs="Arial"/>
      <w:sz w:val="20"/>
      <w:szCs w:val="20"/>
    </w:rPr>
  </w:style>
  <w:style w:type="paragraph" w:styleId="Quote">
    <w:name w:val="Quote"/>
    <w:aliases w:val="Summary,2018 Review Quote"/>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2018 Review Quote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3B5923"/>
    <w:pPr>
      <w:tabs>
        <w:tab w:val="left" w:pos="993"/>
        <w:tab w:val="right" w:leader="dot" w:pos="9016"/>
      </w:tabs>
      <w:spacing w:after="100" w:line="240" w:lineRule="auto"/>
      <w:ind w:left="993" w:hanging="568"/>
      <w:contextualSpacing w:val="0"/>
    </w:pPr>
  </w:style>
  <w:style w:type="paragraph" w:customStyle="1" w:styleId="Boxed">
    <w:name w:val="Boxed"/>
    <w:basedOn w:val="Normal"/>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uiPriority w:val="99"/>
    <w:rsid w:val="00FB5F0A"/>
    <w:pPr>
      <w:tabs>
        <w:tab w:val="center" w:pos="4513"/>
        <w:tab w:val="right" w:pos="9026"/>
      </w:tabs>
      <w:spacing w:after="0"/>
    </w:pPr>
  </w:style>
  <w:style w:type="character" w:customStyle="1" w:styleId="HeaderChar">
    <w:name w:val="Header Char"/>
    <w:basedOn w:val="DefaultParagraphFont"/>
    <w:link w:val="Header"/>
    <w:uiPriority w:val="99"/>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StylePr>
    <w:tblStylePr w:type="lastRow">
      <w:pPr>
        <w:wordWrap/>
        <w:spacing w:beforeLines="0" w:before="80" w:beforeAutospacing="0" w:afterLines="0" w:after="80" w:afterAutospacing="0" w:line="240" w:lineRule="auto"/>
      </w:pPr>
      <w:rPr>
        <w:rFonts w:ascii="Wingdings 2" w:hAnsi="Wingdings 2"/>
        <w:b/>
        <w:bCs/>
        <w:color w:val="F8F8F8"/>
        <w:sz w:val="20"/>
      </w:rPr>
    </w:tblStylePr>
    <w:tblStylePr w:type="firstCol">
      <w:rPr>
        <w:rFonts w:ascii="Arial" w:hAnsi="Arial"/>
        <w:b/>
        <w:bCs/>
        <w:sz w:val="20"/>
      </w:rPr>
    </w:tblStylePr>
    <w:tblStylePr w:type="lastCol">
      <w:rPr>
        <w:rFonts w:ascii="Arial" w:hAnsi="Arial"/>
        <w:b/>
        <w:bCs/>
        <w:sz w:val="20"/>
      </w:rPr>
    </w:tblStylePr>
    <w:tblStylePr w:type="band1Horz">
      <w:pPr>
        <w:wordWrap/>
        <w:spacing w:beforeLines="0" w:before="80" w:beforeAutospacing="0" w:afterLines="0" w:after="80" w:afterAutospacing="0"/>
      </w:pPr>
    </w:tblStylePr>
    <w:tblStylePr w:type="band2Horz">
      <w:pPr>
        <w:wordWrap/>
        <w:spacing w:beforeLines="0" w:before="80" w:beforeAutospacing="0" w:afterLines="0" w:after="80" w:afterAutospacing="0"/>
      </w:pPr>
    </w:tblStylePr>
  </w:style>
  <w:style w:type="paragraph" w:customStyle="1" w:styleId="SWAHeading1">
    <w:name w:val="SWA Heading 1"/>
    <w:next w:val="Paragraph"/>
    <w:qFormat/>
    <w:rsid w:val="00B112FF"/>
    <w:pPr>
      <w:pageBreakBefore/>
      <w:numPr>
        <w:ilvl w:val="2"/>
        <w:numId w:val="86"/>
      </w:numPr>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style>
  <w:style w:type="paragraph" w:customStyle="1" w:styleId="paragraph0">
    <w:name w:val="paragraph"/>
    <w:aliases w:val="a"/>
    <w:basedOn w:val="Normal"/>
    <w:link w:val="paragraphChar"/>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ilvl w:val="0"/>
        <w:numId w:val="9"/>
      </w:numPr>
    </w:pPr>
  </w:style>
  <w:style w:type="paragraph" w:customStyle="1" w:styleId="ListParagraphbodycopy">
    <w:name w:val="List Paragraph body copy"/>
    <w:basedOn w:val="SWA1stHeading"/>
    <w:link w:val="ListParagraphbodycopyChar"/>
    <w:qFormat/>
    <w:rsid w:val="001649F7"/>
    <w:pPr>
      <w:numPr>
        <w:ilvl w:val="1"/>
        <w:numId w:val="9"/>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8F3F28"/>
    <w:pPr>
      <w:spacing w:before="240" w:after="120"/>
    </w:pPr>
    <w:rPr>
      <w:rFonts w:ascii="Arial" w:hAnsi="Arial" w:cs="Arial"/>
      <w:color w:val="2B0A99" w:themeColor="text2"/>
      <w:sz w:val="28"/>
      <w:szCs w:val="32"/>
    </w:rPr>
  </w:style>
  <w:style w:type="paragraph" w:customStyle="1" w:styleId="SWAHeading4">
    <w:name w:val="SWA Heading 4"/>
    <w:qFormat/>
    <w:rsid w:val="00645C97"/>
    <w:pPr>
      <w:spacing w:before="120" w:after="120" w:line="240" w:lineRule="atLeast"/>
    </w:pPr>
    <w:rPr>
      <w:rFonts w:ascii="Arial" w:eastAsiaTheme="majorEastAsia" w:hAnsi="Arial" w:cs="Arial"/>
      <w:b/>
      <w:bCs/>
      <w:i/>
      <w:iCs/>
      <w:sz w:val="24"/>
      <w:szCs w:val="28"/>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style>
  <w:style w:type="table" w:customStyle="1" w:styleId="Style2">
    <w:name w:val="Style2"/>
    <w:basedOn w:val="TableNormal"/>
    <w:uiPriority w:val="99"/>
    <w:rsid w:val="00711F77"/>
    <w:pPr>
      <w:spacing w:after="0" w:line="240" w:lineRule="auto"/>
    </w:pPr>
    <w:tblPr/>
  </w:style>
  <w:style w:type="paragraph" w:styleId="NoSpacing">
    <w:name w:val="No Spacing"/>
    <w:aliases w:val="SWA No Spacing"/>
    <w:uiPriority w:val="1"/>
    <w:qFormat/>
    <w:rsid w:val="00DD02A5"/>
    <w:pPr>
      <w:spacing w:after="0" w:line="240" w:lineRule="auto"/>
    </w:pPr>
    <w:rPr>
      <w:rFonts w:ascii="Arial" w:eastAsia="Times New Roman" w:hAnsi="Arial" w:cs="Times New Roman"/>
      <w:sz w:val="20"/>
      <w:szCs w:val="24"/>
      <w:lang w:eastAsia="en-AU"/>
    </w:rPr>
  </w:style>
  <w:style w:type="paragraph" w:styleId="FootnoteText">
    <w:name w:val="footnote text"/>
    <w:aliases w:val="Footnotes Text,FSFootnotes Text,FSFootnote Text,FN,Footnote Text Char1 Char,Footnote Text Char1,Footnote Text Char Char1,Footnote Text Char1 Char Char Char,Footnote Text Char1 Char Char1,Footnote Text Char Char Char,Char Char,fn,FT,ft"/>
    <w:basedOn w:val="Normal"/>
    <w:link w:val="FootnoteTextChar"/>
    <w:uiPriority w:val="99"/>
    <w:unhideWhenUsed/>
    <w:qFormat/>
    <w:rsid w:val="00DD02A5"/>
    <w:pPr>
      <w:spacing w:after="0"/>
    </w:pPr>
    <w:rPr>
      <w:sz w:val="18"/>
      <w:szCs w:val="18"/>
    </w:rPr>
  </w:style>
  <w:style w:type="character" w:customStyle="1" w:styleId="FootnoteTextChar">
    <w:name w:val="Footnote Text Char"/>
    <w:aliases w:val="Footnotes Text Char,FSFootnotes Text Char,FSFootnote Text Char,FN Char,Footnote Text Char1 Char Char,Footnote Text Char1 Char1,Footnote Text Char Char1 Char,Footnote Text Char1 Char Char Char Char,Footnote Text Char1 Char Char1 Char"/>
    <w:basedOn w:val="DefaultParagraphFont"/>
    <w:link w:val="FootnoteText"/>
    <w:uiPriority w:val="99"/>
    <w:rsid w:val="00DD02A5"/>
    <w:rPr>
      <w:rFonts w:ascii="Arial" w:hAnsi="Arial"/>
      <w:sz w:val="18"/>
      <w:szCs w:val="18"/>
    </w:rPr>
  </w:style>
  <w:style w:type="character" w:styleId="FootnoteReference">
    <w:name w:val="footnote reference"/>
    <w:aliases w:val="NO,fr,(NECG) Footnote Reference,Ref,de nota al pie"/>
    <w:basedOn w:val="DefaultParagraphFont"/>
    <w:uiPriority w:val="99"/>
    <w:unhideWhenUsed/>
    <w:rsid w:val="00DD02A5"/>
    <w:rPr>
      <w:vertAlign w:val="superscript"/>
    </w:rPr>
  </w:style>
  <w:style w:type="paragraph" w:styleId="Revision">
    <w:name w:val="Revision"/>
    <w:hidden/>
    <w:uiPriority w:val="99"/>
    <w:semiHidden/>
    <w:rsid w:val="001E6449"/>
    <w:pPr>
      <w:spacing w:after="0" w:line="240" w:lineRule="auto"/>
    </w:pPr>
    <w:rPr>
      <w:rFonts w:ascii="Arial" w:hAnsi="Arial"/>
      <w:szCs w:val="24"/>
    </w:rPr>
  </w:style>
  <w:style w:type="paragraph" w:customStyle="1" w:styleId="SWALink">
    <w:name w:val="SWA Link"/>
    <w:basedOn w:val="Normal"/>
    <w:link w:val="SWALinkChar"/>
    <w:qFormat/>
    <w:rsid w:val="000B51DC"/>
    <w:rPr>
      <w:u w:val="single"/>
    </w:rPr>
  </w:style>
  <w:style w:type="character" w:customStyle="1" w:styleId="SWALinkChar">
    <w:name w:val="SWA Link Char"/>
    <w:basedOn w:val="DefaultParagraphFont"/>
    <w:link w:val="SWALink"/>
    <w:rsid w:val="000B51DC"/>
    <w:rPr>
      <w:rFonts w:ascii="Arial" w:hAnsi="Arial"/>
      <w:szCs w:val="24"/>
      <w:u w:val="single"/>
    </w:rPr>
  </w:style>
  <w:style w:type="character" w:styleId="SubtleEmphasis">
    <w:name w:val="Subtle Emphasis"/>
    <w:aliases w:val="2018 Review Subtle Emphasis"/>
    <w:basedOn w:val="DefaultParagraphFont"/>
    <w:uiPriority w:val="19"/>
    <w:qFormat/>
    <w:rsid w:val="000B51DC"/>
    <w:rPr>
      <w:rFonts w:ascii="Arial" w:hAnsi="Arial"/>
      <w:i/>
      <w:iCs/>
      <w:color w:val="808080" w:themeColor="text1" w:themeTint="7F"/>
    </w:rPr>
  </w:style>
  <w:style w:type="paragraph" w:styleId="BalloonText">
    <w:name w:val="Balloon Text"/>
    <w:basedOn w:val="Normal"/>
    <w:link w:val="BalloonTextChar"/>
    <w:uiPriority w:val="99"/>
    <w:semiHidden/>
    <w:unhideWhenUsed/>
    <w:rsid w:val="000B51DC"/>
    <w:rPr>
      <w:rFonts w:ascii="Tahoma" w:hAnsi="Tahoma" w:cs="Tahoma"/>
      <w:sz w:val="16"/>
      <w:szCs w:val="16"/>
    </w:rPr>
  </w:style>
  <w:style w:type="character" w:customStyle="1" w:styleId="BalloonTextChar">
    <w:name w:val="Balloon Text Char"/>
    <w:basedOn w:val="DefaultParagraphFont"/>
    <w:link w:val="BalloonText"/>
    <w:uiPriority w:val="99"/>
    <w:semiHidden/>
    <w:rsid w:val="000B51DC"/>
    <w:rPr>
      <w:rFonts w:ascii="Tahoma" w:hAnsi="Tahoma" w:cs="Tahoma"/>
      <w:sz w:val="16"/>
      <w:szCs w:val="16"/>
    </w:rPr>
  </w:style>
  <w:style w:type="paragraph" w:customStyle="1" w:styleId="BasicParagraph">
    <w:name w:val="[Basic Paragraph]"/>
    <w:basedOn w:val="Normal"/>
    <w:link w:val="BasicParagraphChar"/>
    <w:uiPriority w:val="99"/>
    <w:rsid w:val="000B51DC"/>
    <w:pPr>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customStyle="1" w:styleId="2018ReviewCoverHeader">
    <w:name w:val="2018 Review Cover Header"/>
    <w:basedOn w:val="Title"/>
    <w:link w:val="2018ReviewCoverHeaderChar"/>
    <w:qFormat/>
    <w:rsid w:val="000B51DC"/>
    <w:pPr>
      <w:spacing w:before="3000" w:after="480"/>
    </w:pPr>
    <w:rPr>
      <w:rFonts w:cs="Arial"/>
      <w:color w:val="2B0A99" w:themeColor="text2"/>
      <w:sz w:val="96"/>
      <w:szCs w:val="96"/>
    </w:rPr>
  </w:style>
  <w:style w:type="character" w:customStyle="1" w:styleId="2018ReviewCoverHeaderChar">
    <w:name w:val="2018 Review Cover Header Char"/>
    <w:basedOn w:val="TitleChar"/>
    <w:link w:val="2018ReviewCoverHeader"/>
    <w:rsid w:val="000B51DC"/>
    <w:rPr>
      <w:rFonts w:ascii="Arial" w:hAnsi="Arial" w:cs="Arial"/>
      <w:b/>
      <w:bCs/>
      <w:color w:val="2B0A99" w:themeColor="text2"/>
      <w:sz w:val="96"/>
      <w:szCs w:val="96"/>
    </w:rPr>
  </w:style>
  <w:style w:type="paragraph" w:customStyle="1" w:styleId="Normaltwocolumn">
    <w:name w:val="Normal two column"/>
    <w:basedOn w:val="Normal"/>
    <w:link w:val="NormaltwocolumnChar"/>
    <w:rsid w:val="000B51DC"/>
  </w:style>
  <w:style w:type="paragraph" w:customStyle="1" w:styleId="2018ReviewCoverSubhead1">
    <w:name w:val="2018 Review Cover Sub head 1"/>
    <w:basedOn w:val="BasicParagraph"/>
    <w:link w:val="2018ReviewCoverSubhead1Char"/>
    <w:qFormat/>
    <w:rsid w:val="000B51DC"/>
    <w:rPr>
      <w:rFonts w:ascii="Arial" w:hAnsi="Arial" w:cs="Arial"/>
      <w:b/>
      <w:bCs/>
      <w:i/>
      <w:iCs/>
      <w:color w:val="FFFFFF" w:themeColor="background1"/>
      <w:spacing w:val="9"/>
      <w:sz w:val="40"/>
      <w:szCs w:val="43"/>
    </w:rPr>
  </w:style>
  <w:style w:type="character" w:customStyle="1" w:styleId="NormaltwocolumnChar">
    <w:name w:val="Normal two column Char"/>
    <w:basedOn w:val="DefaultParagraphFont"/>
    <w:link w:val="Normaltwocolumn"/>
    <w:rsid w:val="000B51DC"/>
    <w:rPr>
      <w:rFonts w:ascii="Arial" w:hAnsi="Arial"/>
      <w:szCs w:val="24"/>
    </w:rPr>
  </w:style>
  <w:style w:type="paragraph" w:customStyle="1" w:styleId="2018ReviewCovernames">
    <w:name w:val="2018 Review Cover names"/>
    <w:basedOn w:val="BasicParagraph"/>
    <w:link w:val="2018ReviewCovernamesChar"/>
    <w:qFormat/>
    <w:rsid w:val="000B51DC"/>
    <w:pPr>
      <w:spacing w:before="1200"/>
    </w:pPr>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0B51DC"/>
    <w:rPr>
      <w:rFonts w:ascii="MinionPro-Regular" w:hAnsi="MinionPro-Regular" w:cs="MinionPro-Regular"/>
      <w:color w:val="000000"/>
      <w:sz w:val="24"/>
      <w:szCs w:val="24"/>
      <w:lang w:val="en-GB"/>
    </w:rPr>
  </w:style>
  <w:style w:type="character" w:customStyle="1" w:styleId="2018ReviewCoverSubhead1Char">
    <w:name w:val="2018 Review Cover Sub head 1 Char"/>
    <w:basedOn w:val="BasicParagraphChar"/>
    <w:link w:val="2018ReviewCoverSubhead1"/>
    <w:rsid w:val="000B51DC"/>
    <w:rPr>
      <w:rFonts w:ascii="Arial" w:hAnsi="Arial" w:cs="Arial"/>
      <w:b/>
      <w:bCs/>
      <w:i/>
      <w:iCs/>
      <w:color w:val="FFFFFF" w:themeColor="background1"/>
      <w:spacing w:val="9"/>
      <w:sz w:val="40"/>
      <w:szCs w:val="43"/>
      <w:lang w:val="en-GB"/>
    </w:rPr>
  </w:style>
  <w:style w:type="paragraph" w:customStyle="1" w:styleId="2018ReviewCoverintroparagraph">
    <w:name w:val="2018 Review Cover intro paragraph"/>
    <w:basedOn w:val="BasicParagraph"/>
    <w:link w:val="2018ReviewCoverintroparagraphChar"/>
    <w:qFormat/>
    <w:rsid w:val="000B51DC"/>
    <w:pPr>
      <w:suppressAutoHyphens/>
    </w:pPr>
    <w:rPr>
      <w:rFonts w:ascii="Arial" w:hAnsi="Arial" w:cs="Arial"/>
      <w:color w:val="145B85"/>
      <w:sz w:val="30"/>
      <w:szCs w:val="30"/>
    </w:rPr>
  </w:style>
  <w:style w:type="character" w:customStyle="1" w:styleId="2018ReviewCovernamesChar">
    <w:name w:val="2018 Review Cover names Char"/>
    <w:basedOn w:val="BasicParagraphChar"/>
    <w:link w:val="2018ReviewCovernames"/>
    <w:rsid w:val="000B51DC"/>
    <w:rPr>
      <w:rFonts w:ascii="Arial" w:hAnsi="Arial" w:cs="Arial"/>
      <w:i/>
      <w:iCs/>
      <w:color w:val="5E5E5D"/>
      <w:spacing w:val="9"/>
      <w:sz w:val="43"/>
      <w:szCs w:val="43"/>
      <w:lang w:val="en-GB"/>
    </w:rPr>
  </w:style>
  <w:style w:type="character" w:customStyle="1" w:styleId="2018ReviewCoverintroparagraphChar">
    <w:name w:val="2018 Review Cover intro paragraph Char"/>
    <w:basedOn w:val="BasicParagraphChar"/>
    <w:link w:val="2018ReviewCoverintroparagraph"/>
    <w:rsid w:val="000B51DC"/>
    <w:rPr>
      <w:rFonts w:ascii="Arial" w:hAnsi="Arial" w:cs="Arial"/>
      <w:color w:val="145B85"/>
      <w:sz w:val="30"/>
      <w:szCs w:val="30"/>
      <w:lang w:val="en-GB"/>
    </w:rPr>
  </w:style>
  <w:style w:type="table" w:styleId="LightList">
    <w:name w:val="Light List"/>
    <w:basedOn w:val="TableNormal"/>
    <w:uiPriority w:val="61"/>
    <w:rsid w:val="000B51DC"/>
    <w:pPr>
      <w:spacing w:after="0" w:line="240" w:lineRule="auto"/>
    </w:pPr>
    <w:rPr>
      <w:rFonts w:eastAsiaTheme="minorEastAsia"/>
      <w:lang w:val="en-US" w:eastAsia="ja-JP"/>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0B51DC"/>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2018ReviewFeaturetext">
    <w:name w:val="2018 Review Feature text"/>
    <w:basedOn w:val="Normal"/>
    <w:link w:val="2018ReviewFeaturetextChar"/>
    <w:qFormat/>
    <w:rsid w:val="000B51D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0B51DC"/>
    <w:pPr>
      <w:shd w:val="clear" w:color="auto" w:fill="F2F2F2" w:themeFill="background1" w:themeFillShade="F2"/>
    </w:pPr>
  </w:style>
  <w:style w:type="character" w:customStyle="1" w:styleId="2018ReviewFeaturetextChar">
    <w:name w:val="2018 Review Feature text Char"/>
    <w:basedOn w:val="DefaultParagraphFont"/>
    <w:link w:val="2018ReviewFeaturetext"/>
    <w:rsid w:val="000B51DC"/>
    <w:rPr>
      <w:rFonts w:ascii="Arial" w:hAnsi="Arial"/>
      <w:szCs w:val="24"/>
      <w:shd w:val="clear" w:color="auto" w:fill="F2F2F2" w:themeFill="background1" w:themeFillShade="F2"/>
    </w:rPr>
  </w:style>
  <w:style w:type="paragraph" w:customStyle="1" w:styleId="FeatureHeading">
    <w:name w:val="Feature Heading"/>
    <w:basedOn w:val="2018ReviewFeaturetext"/>
    <w:link w:val="FeatureHeadingChar"/>
    <w:rsid w:val="000B51DC"/>
    <w:rPr>
      <w:b/>
      <w:color w:val="145B85"/>
      <w:sz w:val="28"/>
      <w:szCs w:val="28"/>
    </w:rPr>
  </w:style>
  <w:style w:type="character" w:customStyle="1" w:styleId="FeaturePageHeadingChar">
    <w:name w:val="Feature Page Heading Char"/>
    <w:basedOn w:val="Heading1Char"/>
    <w:link w:val="FeaturePageHeading"/>
    <w:rsid w:val="000B51DC"/>
    <w:rPr>
      <w:rFonts w:ascii="Arial" w:hAnsi="Arial" w:cs="Arial"/>
      <w:b/>
      <w:bCs/>
      <w:sz w:val="36"/>
      <w:szCs w:val="36"/>
      <w:shd w:val="clear" w:color="auto" w:fill="F2F2F2" w:themeFill="background1" w:themeFillShade="F2"/>
    </w:rPr>
  </w:style>
  <w:style w:type="character" w:customStyle="1" w:styleId="FeatureHeadingChar">
    <w:name w:val="Feature Heading Char"/>
    <w:basedOn w:val="2018ReviewFeaturetextChar"/>
    <w:link w:val="FeatureHeading"/>
    <w:rsid w:val="000B51DC"/>
    <w:rPr>
      <w:rFonts w:ascii="Arial" w:hAnsi="Arial"/>
      <w:b/>
      <w:color w:val="145B85"/>
      <w:sz w:val="28"/>
      <w:szCs w:val="28"/>
      <w:shd w:val="clear" w:color="auto" w:fill="F2F2F2" w:themeFill="background1" w:themeFillShade="F2"/>
    </w:rPr>
  </w:style>
  <w:style w:type="paragraph" w:customStyle="1" w:styleId="2018ReviewFeaturepagetitle">
    <w:name w:val="2018 Review Feature page title"/>
    <w:basedOn w:val="Heading1"/>
    <w:link w:val="2018ReviewFeaturepagetitleChar"/>
    <w:qFormat/>
    <w:rsid w:val="000B51D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145B85"/>
    </w:rPr>
  </w:style>
  <w:style w:type="character" w:customStyle="1" w:styleId="2018ReviewFeaturepagetitleChar">
    <w:name w:val="2018 Review Feature page title Char"/>
    <w:basedOn w:val="Heading1Char"/>
    <w:link w:val="2018ReviewFeaturepagetitle"/>
    <w:rsid w:val="000B51DC"/>
    <w:rPr>
      <w:rFonts w:ascii="Arial" w:hAnsi="Arial" w:cs="Arial"/>
      <w:b/>
      <w:bCs/>
      <w:color w:val="145B85"/>
      <w:sz w:val="36"/>
      <w:szCs w:val="36"/>
      <w:shd w:val="clear" w:color="auto" w:fill="F2F2F2" w:themeFill="background1" w:themeFillShade="F2"/>
    </w:rPr>
  </w:style>
  <w:style w:type="paragraph" w:customStyle="1" w:styleId="2018Review1stHeading">
    <w:name w:val="2018 Review 1st Heading"/>
    <w:basedOn w:val="Heading1"/>
    <w:next w:val="Normal"/>
    <w:link w:val="2018Review1stHeadingChar"/>
    <w:qFormat/>
    <w:rsid w:val="000B51DC"/>
    <w:pPr>
      <w:keepLines/>
      <w:numPr>
        <w:numId w:val="16"/>
      </w:numPr>
      <w:ind w:left="567" w:hanging="567"/>
    </w:pPr>
    <w:rPr>
      <w:color w:val="145B85"/>
    </w:rPr>
  </w:style>
  <w:style w:type="paragraph" w:customStyle="1" w:styleId="2018ReviewWhiteHeading">
    <w:name w:val="2018 Review White Heading"/>
    <w:basedOn w:val="Normal"/>
    <w:next w:val="Normal"/>
    <w:rsid w:val="000B51DC"/>
    <w:pPr>
      <w:keepNext/>
      <w:pBdr>
        <w:top w:val="single" w:sz="4" w:space="31" w:color="767171" w:themeColor="background2" w:themeShade="80"/>
        <w:left w:val="single" w:sz="4" w:space="31" w:color="767171" w:themeColor="background2" w:themeShade="80"/>
        <w:bottom w:val="single" w:sz="4" w:space="31" w:color="767171" w:themeColor="background2" w:themeShade="80"/>
        <w:right w:val="single" w:sz="4" w:space="31" w:color="767171"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2018ReviewCaptionstyle">
    <w:name w:val="2018 Review Caption style"/>
    <w:basedOn w:val="Normal"/>
    <w:link w:val="2018ReviewCaptionstyleChar"/>
    <w:qFormat/>
    <w:rsid w:val="000B51DC"/>
    <w:rPr>
      <w:sz w:val="18"/>
      <w:szCs w:val="18"/>
    </w:rPr>
  </w:style>
  <w:style w:type="paragraph" w:customStyle="1" w:styleId="2018ReviewBullets">
    <w:name w:val="2018 Review Bullets"/>
    <w:basedOn w:val="ListParagraph"/>
    <w:link w:val="2018ReviewBulletsChar"/>
    <w:qFormat/>
    <w:rsid w:val="000B51DC"/>
    <w:pPr>
      <w:numPr>
        <w:numId w:val="11"/>
      </w:numPr>
    </w:pPr>
    <w:rPr>
      <w:rFonts w:cs="Arial"/>
      <w:sz w:val="20"/>
    </w:rPr>
  </w:style>
  <w:style w:type="character" w:customStyle="1" w:styleId="2018ReviewCaptionstyleChar">
    <w:name w:val="2018 Review Caption style Char"/>
    <w:basedOn w:val="DefaultParagraphFont"/>
    <w:link w:val="2018ReviewCaptionstyle"/>
    <w:rsid w:val="000B51DC"/>
    <w:rPr>
      <w:rFonts w:ascii="Arial" w:hAnsi="Arial"/>
      <w:sz w:val="18"/>
      <w:szCs w:val="18"/>
    </w:rPr>
  </w:style>
  <w:style w:type="character" w:customStyle="1" w:styleId="2018ReviewBulletsChar">
    <w:name w:val="2018 Review Bullets Char"/>
    <w:basedOn w:val="ListParagraphChar"/>
    <w:link w:val="2018ReviewBullets"/>
    <w:rsid w:val="000B51DC"/>
    <w:rPr>
      <w:rFonts w:ascii="Arial" w:hAnsi="Arial" w:cs="Arial"/>
      <w:sz w:val="20"/>
      <w:szCs w:val="24"/>
    </w:rPr>
  </w:style>
  <w:style w:type="paragraph" w:customStyle="1" w:styleId="2018ReviewTableheader">
    <w:name w:val="2018 Review Table header"/>
    <w:link w:val="2018ReviewTableheaderChar"/>
    <w:qFormat/>
    <w:rsid w:val="000B51DC"/>
    <w:pPr>
      <w:spacing w:before="120" w:after="120"/>
    </w:pPr>
    <w:rPr>
      <w:rFonts w:ascii="Arial" w:eastAsiaTheme="majorEastAsia" w:hAnsi="Arial" w:cstheme="majorBidi"/>
      <w:b/>
      <w:color w:val="145B85"/>
      <w:spacing w:val="-3"/>
      <w:sz w:val="20"/>
    </w:rPr>
  </w:style>
  <w:style w:type="character" w:customStyle="1" w:styleId="2018ReviewTableheaderChar">
    <w:name w:val="2018 Review Table header Char"/>
    <w:basedOn w:val="Heading4Char"/>
    <w:link w:val="2018ReviewTableheader"/>
    <w:rsid w:val="000B51DC"/>
    <w:rPr>
      <w:rFonts w:ascii="Arial" w:eastAsiaTheme="majorEastAsia" w:hAnsi="Arial" w:cstheme="majorBidi"/>
      <w:b/>
      <w:bCs w:val="0"/>
      <w:i w:val="0"/>
      <w:iCs w:val="0"/>
      <w:color w:val="145B85"/>
      <w:spacing w:val="-3"/>
      <w:sz w:val="20"/>
    </w:rPr>
  </w:style>
  <w:style w:type="paragraph" w:customStyle="1" w:styleId="2018ReviewSectionnumberingheading">
    <w:name w:val="2018 Review Section numbering heading"/>
    <w:basedOn w:val="Heading1"/>
    <w:next w:val="Normal"/>
    <w:qFormat/>
    <w:rsid w:val="000B51DC"/>
    <w:pPr>
      <w:keepLines/>
    </w:pPr>
    <w:rPr>
      <w:color w:val="145B85"/>
    </w:rPr>
  </w:style>
  <w:style w:type="character" w:styleId="FollowedHyperlink">
    <w:name w:val="FollowedHyperlink"/>
    <w:basedOn w:val="DefaultParagraphFont"/>
    <w:uiPriority w:val="99"/>
    <w:semiHidden/>
    <w:unhideWhenUsed/>
    <w:rsid w:val="000B51DC"/>
    <w:rPr>
      <w:color w:val="E80C30" w:themeColor="followedHyperlink"/>
      <w:u w:val="single"/>
    </w:rPr>
  </w:style>
  <w:style w:type="paragraph" w:styleId="TOC8">
    <w:name w:val="toc 8"/>
    <w:basedOn w:val="Normal"/>
    <w:next w:val="Normal"/>
    <w:autoRedefine/>
    <w:uiPriority w:val="39"/>
    <w:unhideWhenUsed/>
    <w:rsid w:val="000B51DC"/>
    <w:pPr>
      <w:spacing w:after="100"/>
      <w:ind w:left="1400"/>
    </w:pPr>
  </w:style>
  <w:style w:type="paragraph" w:customStyle="1" w:styleId="2018ReviewDisclaimerheading">
    <w:name w:val="2018 Review Disclaimer heading"/>
    <w:basedOn w:val="2018ReviewTableheader"/>
    <w:link w:val="2018ReviewDisclaimerheadingChar"/>
    <w:qFormat/>
    <w:rsid w:val="000B51DC"/>
    <w:rPr>
      <w:sz w:val="14"/>
      <w:szCs w:val="14"/>
    </w:rPr>
  </w:style>
  <w:style w:type="paragraph" w:customStyle="1" w:styleId="2018ReviewDisclaimerbodytext">
    <w:name w:val="2018 Review Disclaimer body text"/>
    <w:basedOn w:val="Normal"/>
    <w:link w:val="2018ReviewDisclaimerbodytextChar"/>
    <w:qFormat/>
    <w:rsid w:val="000B51DC"/>
    <w:pPr>
      <w:spacing w:line="276" w:lineRule="auto"/>
    </w:pPr>
    <w:rPr>
      <w:sz w:val="14"/>
      <w:szCs w:val="14"/>
    </w:rPr>
  </w:style>
  <w:style w:type="character" w:customStyle="1" w:styleId="2018ReviewDisclaimerheadingChar">
    <w:name w:val="2018 Review Disclaimer heading Char"/>
    <w:basedOn w:val="2018ReviewTableheaderChar"/>
    <w:link w:val="2018ReviewDisclaimerheading"/>
    <w:rsid w:val="000B51DC"/>
    <w:rPr>
      <w:rFonts w:ascii="Arial" w:eastAsiaTheme="majorEastAsia" w:hAnsi="Arial" w:cstheme="majorBidi"/>
      <w:b/>
      <w:bCs w:val="0"/>
      <w:i w:val="0"/>
      <w:iCs w:val="0"/>
      <w:color w:val="145B85"/>
      <w:spacing w:val="-3"/>
      <w:sz w:val="14"/>
      <w:szCs w:val="14"/>
    </w:rPr>
  </w:style>
  <w:style w:type="paragraph" w:customStyle="1" w:styleId="SWASectiontitle">
    <w:name w:val="SWA Section title"/>
    <w:basedOn w:val="2018ReviewCoverHeader"/>
    <w:link w:val="SWASectiontitleChar"/>
    <w:qFormat/>
    <w:rsid w:val="000B51DC"/>
    <w:pPr>
      <w:numPr>
        <w:numId w:val="12"/>
      </w:numPr>
      <w:spacing w:before="0"/>
    </w:pPr>
    <w:rPr>
      <w:caps/>
      <w:color w:val="145B85"/>
      <w:sz w:val="36"/>
    </w:rPr>
  </w:style>
  <w:style w:type="character" w:customStyle="1" w:styleId="2018ReviewDisclaimerbodytextChar">
    <w:name w:val="2018 Review Disclaimer body text Char"/>
    <w:basedOn w:val="DefaultParagraphFont"/>
    <w:link w:val="2018ReviewDisclaimerbodytext"/>
    <w:rsid w:val="000B51DC"/>
    <w:rPr>
      <w:rFonts w:ascii="Arial" w:hAnsi="Arial"/>
      <w:sz w:val="14"/>
      <w:szCs w:val="14"/>
    </w:rPr>
  </w:style>
  <w:style w:type="character" w:customStyle="1" w:styleId="SWASectiontitleChar">
    <w:name w:val="SWA Section title Char"/>
    <w:basedOn w:val="TitleChar"/>
    <w:link w:val="SWASectiontitle"/>
    <w:rsid w:val="000B51DC"/>
    <w:rPr>
      <w:rFonts w:ascii="Arial" w:hAnsi="Arial" w:cs="Arial"/>
      <w:b/>
      <w:bCs/>
      <w:caps/>
      <w:color w:val="145B85"/>
      <w:sz w:val="36"/>
      <w:szCs w:val="96"/>
    </w:rPr>
  </w:style>
  <w:style w:type="paragraph" w:customStyle="1" w:styleId="2018ReviewHeading1featurepage">
    <w:name w:val="2018 Review Heading 1 feature page"/>
    <w:basedOn w:val="2018ReviewFeaturepagetitle"/>
    <w:link w:val="2018ReviewHeading1featurepageChar"/>
    <w:qFormat/>
    <w:rsid w:val="000B51DC"/>
    <w:rPr>
      <w:color w:val="2B0A99" w:themeColor="text2"/>
    </w:rPr>
  </w:style>
  <w:style w:type="paragraph" w:customStyle="1" w:styleId="2018ReviewHeading2Featurepage">
    <w:name w:val="2018 ReviewHeading 2 Feature page"/>
    <w:basedOn w:val="2018ReviewHeading1featurepage"/>
    <w:link w:val="2018ReviewHeading2FeaturepageChar"/>
    <w:qFormat/>
    <w:rsid w:val="000B51DC"/>
  </w:style>
  <w:style w:type="character" w:customStyle="1" w:styleId="2018ReviewHeading1featurepageChar">
    <w:name w:val="2018 Review Heading 1 feature page Char"/>
    <w:basedOn w:val="2018ReviewFeaturepagetitleChar"/>
    <w:link w:val="2018ReviewHeading1featurepage"/>
    <w:rsid w:val="000B51DC"/>
    <w:rPr>
      <w:rFonts w:ascii="Arial" w:hAnsi="Arial" w:cs="Arial"/>
      <w:b/>
      <w:bCs/>
      <w:color w:val="2B0A99" w:themeColor="text2"/>
      <w:sz w:val="36"/>
      <w:szCs w:val="36"/>
      <w:shd w:val="clear" w:color="auto" w:fill="F2F2F2" w:themeFill="background1" w:themeFillShade="F2"/>
    </w:rPr>
  </w:style>
  <w:style w:type="character" w:customStyle="1" w:styleId="2018ReviewHeading2FeaturepageChar">
    <w:name w:val="2018 ReviewHeading 2 Feature page Char"/>
    <w:basedOn w:val="2018ReviewHeading1featurepageChar"/>
    <w:link w:val="2018ReviewHeading2Featurepage"/>
    <w:rsid w:val="000B51DC"/>
    <w:rPr>
      <w:rFonts w:ascii="Arial" w:hAnsi="Arial" w:cs="Arial"/>
      <w:b/>
      <w:bCs/>
      <w:color w:val="2B0A99" w:themeColor="text2"/>
      <w:sz w:val="36"/>
      <w:szCs w:val="36"/>
      <w:shd w:val="clear" w:color="auto" w:fill="F2F2F2" w:themeFill="background1" w:themeFillShade="F2"/>
    </w:rPr>
  </w:style>
  <w:style w:type="paragraph" w:customStyle="1" w:styleId="2018ReviewTitlePageHeader">
    <w:name w:val="2018 Review Title Page Header"/>
    <w:basedOn w:val="2018ReviewCoverHeader"/>
    <w:link w:val="2018ReviewTitlePageHeaderChar"/>
    <w:qFormat/>
    <w:rsid w:val="000B51DC"/>
    <w:pPr>
      <w:spacing w:before="240" w:after="120"/>
    </w:pPr>
    <w:rPr>
      <w:b w:val="0"/>
      <w:color w:val="145B85"/>
    </w:rPr>
  </w:style>
  <w:style w:type="character" w:customStyle="1" w:styleId="2018ReviewTitlePageHeaderChar">
    <w:name w:val="2018 Review Title Page Header Char"/>
    <w:basedOn w:val="SWASectiontitleChar"/>
    <w:link w:val="2018ReviewTitlePageHeader"/>
    <w:rsid w:val="000B51DC"/>
    <w:rPr>
      <w:rFonts w:ascii="Arial" w:hAnsi="Arial" w:cs="Arial"/>
      <w:b w:val="0"/>
      <w:bCs/>
      <w:caps w:val="0"/>
      <w:color w:val="145B85"/>
      <w:sz w:val="96"/>
      <w:szCs w:val="96"/>
    </w:rPr>
  </w:style>
  <w:style w:type="numbering" w:customStyle="1" w:styleId="NoList1">
    <w:name w:val="No List1"/>
    <w:next w:val="NoList"/>
    <w:uiPriority w:val="99"/>
    <w:semiHidden/>
    <w:unhideWhenUsed/>
    <w:rsid w:val="000B51DC"/>
  </w:style>
  <w:style w:type="character" w:styleId="CommentReference">
    <w:name w:val="annotation reference"/>
    <w:basedOn w:val="DefaultParagraphFont"/>
    <w:uiPriority w:val="99"/>
    <w:unhideWhenUsed/>
    <w:rsid w:val="000B51DC"/>
    <w:rPr>
      <w:sz w:val="16"/>
      <w:szCs w:val="16"/>
    </w:rPr>
  </w:style>
  <w:style w:type="paragraph" w:styleId="CommentText">
    <w:name w:val="annotation text"/>
    <w:basedOn w:val="Normal"/>
    <w:link w:val="CommentTextChar"/>
    <w:uiPriority w:val="99"/>
    <w:unhideWhenUsed/>
    <w:rsid w:val="000B51DC"/>
    <w:pPr>
      <w:spacing w:after="160"/>
    </w:pPr>
    <w:rPr>
      <w:rFonts w:asciiTheme="minorHAnsi" w:hAnsiTheme="minorHAnsi"/>
      <w:szCs w:val="20"/>
    </w:rPr>
  </w:style>
  <w:style w:type="character" w:customStyle="1" w:styleId="CommentTextChar">
    <w:name w:val="Comment Text Char"/>
    <w:basedOn w:val="DefaultParagraphFont"/>
    <w:link w:val="CommentText"/>
    <w:uiPriority w:val="99"/>
    <w:rsid w:val="000B51DC"/>
    <w:rPr>
      <w:szCs w:val="20"/>
    </w:rPr>
  </w:style>
  <w:style w:type="paragraph" w:styleId="CommentSubject">
    <w:name w:val="annotation subject"/>
    <w:basedOn w:val="CommentText"/>
    <w:next w:val="CommentText"/>
    <w:link w:val="CommentSubjectChar"/>
    <w:uiPriority w:val="99"/>
    <w:semiHidden/>
    <w:unhideWhenUsed/>
    <w:rsid w:val="000B51DC"/>
    <w:rPr>
      <w:b/>
      <w:bCs/>
    </w:rPr>
  </w:style>
  <w:style w:type="character" w:customStyle="1" w:styleId="CommentSubjectChar">
    <w:name w:val="Comment Subject Char"/>
    <w:basedOn w:val="CommentTextChar"/>
    <w:link w:val="CommentSubject"/>
    <w:uiPriority w:val="99"/>
    <w:semiHidden/>
    <w:rsid w:val="000B51DC"/>
    <w:rPr>
      <w:b/>
      <w:bCs/>
      <w:szCs w:val="20"/>
    </w:rPr>
  </w:style>
  <w:style w:type="table" w:customStyle="1" w:styleId="TableGrid1">
    <w:name w:val="Table Grid1"/>
    <w:basedOn w:val="TableNormal"/>
    <w:next w:val="TableGrid"/>
    <w:uiPriority w:val="39"/>
    <w:rsid w:val="000B51DC"/>
    <w:pPr>
      <w:spacing w:after="0" w:line="240" w:lineRule="auto"/>
    </w:pPr>
    <w:tblPr/>
  </w:style>
  <w:style w:type="character" w:customStyle="1" w:styleId="BulletsChar">
    <w:name w:val="Bullets Char"/>
    <w:basedOn w:val="DefaultParagraphFont"/>
    <w:link w:val="Bullets"/>
    <w:uiPriority w:val="2"/>
    <w:locked/>
    <w:rsid w:val="000B51DC"/>
    <w:rPr>
      <w:rFonts w:ascii="Arial" w:eastAsia="Times New Roman" w:hAnsi="Arial" w:cs="Times New Roman"/>
      <w:sz w:val="20"/>
      <w:szCs w:val="20"/>
      <w:lang w:eastAsia="en-AU"/>
    </w:rPr>
  </w:style>
  <w:style w:type="paragraph" w:customStyle="1" w:styleId="Bullets">
    <w:name w:val="Bullets"/>
    <w:basedOn w:val="ListParagraph"/>
    <w:link w:val="BulletsChar"/>
    <w:uiPriority w:val="2"/>
    <w:qFormat/>
    <w:rsid w:val="000B51DC"/>
    <w:pPr>
      <w:spacing w:after="80" w:line="360" w:lineRule="auto"/>
      <w:ind w:left="360"/>
    </w:pPr>
    <w:rPr>
      <w:rFonts w:eastAsia="Times New Roman" w:cs="Times New Roman"/>
      <w:sz w:val="20"/>
      <w:szCs w:val="20"/>
      <w:lang w:eastAsia="en-AU"/>
    </w:rPr>
  </w:style>
  <w:style w:type="character" w:customStyle="1" w:styleId="HeadingRecommendationChar">
    <w:name w:val="Heading Recommendation Char"/>
    <w:basedOn w:val="DefaultParagraphFont"/>
    <w:link w:val="HeadingRecommendation"/>
    <w:locked/>
    <w:rsid w:val="000B51DC"/>
    <w:rPr>
      <w:rFonts w:ascii="Arial" w:eastAsiaTheme="majorEastAsia" w:hAnsi="Arial" w:cstheme="majorBidi"/>
      <w:b/>
      <w:color w:val="145B85"/>
      <w:spacing w:val="-3"/>
      <w:sz w:val="24"/>
    </w:rPr>
  </w:style>
  <w:style w:type="paragraph" w:customStyle="1" w:styleId="HeadingRecommendation">
    <w:name w:val="Heading Recommendation"/>
    <w:link w:val="HeadingRecommendationChar"/>
    <w:qFormat/>
    <w:rsid w:val="000B51DC"/>
    <w:pPr>
      <w:spacing w:after="80"/>
    </w:pPr>
    <w:rPr>
      <w:rFonts w:ascii="Arial" w:eastAsiaTheme="majorEastAsia" w:hAnsi="Arial" w:cstheme="majorBidi"/>
      <w:b/>
      <w:color w:val="145B85"/>
      <w:spacing w:val="-3"/>
      <w:sz w:val="24"/>
    </w:rPr>
  </w:style>
  <w:style w:type="character" w:styleId="IntenseEmphasis">
    <w:name w:val="Intense Emphasis"/>
    <w:basedOn w:val="DefaultParagraphFont"/>
    <w:uiPriority w:val="21"/>
    <w:qFormat/>
    <w:rsid w:val="000B51DC"/>
    <w:rPr>
      <w:i/>
      <w:iCs/>
      <w:color w:val="4877E0" w:themeColor="accent1"/>
    </w:rPr>
  </w:style>
  <w:style w:type="paragraph" w:customStyle="1" w:styleId="Default">
    <w:name w:val="Default"/>
    <w:rsid w:val="000B51DC"/>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B51DC"/>
    <w:pPr>
      <w:spacing w:before="100" w:beforeAutospacing="1" w:after="100" w:afterAutospacing="1"/>
    </w:pPr>
    <w:rPr>
      <w:rFonts w:ascii="Times New Roman" w:hAnsi="Times New Roman"/>
      <w:sz w:val="24"/>
    </w:rPr>
  </w:style>
  <w:style w:type="numbering" w:customStyle="1" w:styleId="NoList11">
    <w:name w:val="No List11"/>
    <w:next w:val="NoList"/>
    <w:uiPriority w:val="99"/>
    <w:semiHidden/>
    <w:unhideWhenUsed/>
    <w:rsid w:val="000B51DC"/>
  </w:style>
  <w:style w:type="table" w:customStyle="1" w:styleId="TableGrid2">
    <w:name w:val="Table Grid2"/>
    <w:basedOn w:val="TableNormal"/>
    <w:next w:val="TableGrid"/>
    <w:uiPriority w:val="39"/>
    <w:rsid w:val="000B51DC"/>
    <w:pPr>
      <w:spacing w:after="0" w:line="240" w:lineRule="auto"/>
    </w:pPr>
    <w:tblPr/>
  </w:style>
  <w:style w:type="table" w:customStyle="1" w:styleId="TableGrid11">
    <w:name w:val="Table Grid11"/>
    <w:basedOn w:val="TableNormal"/>
    <w:next w:val="TableGrid"/>
    <w:uiPriority w:val="39"/>
    <w:rsid w:val="000B51DC"/>
    <w:pPr>
      <w:spacing w:after="0" w:line="240" w:lineRule="auto"/>
    </w:pPr>
    <w:tblPr/>
  </w:style>
  <w:style w:type="paragraph" w:styleId="BodyText">
    <w:name w:val="Body Text"/>
    <w:basedOn w:val="Normal"/>
    <w:link w:val="BodyTextChar"/>
    <w:uiPriority w:val="99"/>
    <w:semiHidden/>
    <w:unhideWhenUsed/>
    <w:rsid w:val="000B51DC"/>
    <w:pPr>
      <w:spacing w:line="259" w:lineRule="auto"/>
    </w:pPr>
    <w:rPr>
      <w:rFonts w:asciiTheme="minorHAnsi" w:hAnsiTheme="minorHAnsi"/>
      <w:szCs w:val="22"/>
    </w:rPr>
  </w:style>
  <w:style w:type="character" w:customStyle="1" w:styleId="BodyTextChar">
    <w:name w:val="Body Text Char"/>
    <w:basedOn w:val="DefaultParagraphFont"/>
    <w:link w:val="BodyText"/>
    <w:uiPriority w:val="99"/>
    <w:semiHidden/>
    <w:rsid w:val="000B51DC"/>
  </w:style>
  <w:style w:type="paragraph" w:customStyle="1" w:styleId="Bullet1">
    <w:name w:val="Bullet 1"/>
    <w:basedOn w:val="Normal"/>
    <w:rsid w:val="000B51DC"/>
    <w:pPr>
      <w:numPr>
        <w:numId w:val="13"/>
      </w:numPr>
      <w:spacing w:before="60" w:after="0"/>
      <w:jc w:val="both"/>
    </w:pPr>
    <w:rPr>
      <w:rFonts w:ascii="Calibri" w:hAnsi="Calibri" w:cs="Arial"/>
      <w:szCs w:val="20"/>
    </w:rPr>
  </w:style>
  <w:style w:type="paragraph" w:customStyle="1" w:styleId="Bullet2">
    <w:name w:val="Bullet 2"/>
    <w:basedOn w:val="Normal"/>
    <w:qFormat/>
    <w:rsid w:val="000B51DC"/>
    <w:pPr>
      <w:numPr>
        <w:ilvl w:val="1"/>
        <w:numId w:val="13"/>
      </w:numPr>
      <w:tabs>
        <w:tab w:val="clear" w:pos="1134"/>
        <w:tab w:val="num" w:pos="1440"/>
      </w:tabs>
      <w:spacing w:before="60" w:after="0"/>
      <w:ind w:left="1440" w:hanging="360"/>
      <w:jc w:val="both"/>
    </w:pPr>
    <w:rPr>
      <w:rFonts w:ascii="Calibri" w:hAnsi="Calibri"/>
      <w:szCs w:val="20"/>
    </w:rPr>
  </w:style>
  <w:style w:type="paragraph" w:customStyle="1" w:styleId="Bullet3">
    <w:name w:val="Bullet 3"/>
    <w:basedOn w:val="Normal"/>
    <w:qFormat/>
    <w:rsid w:val="000B51DC"/>
    <w:pPr>
      <w:numPr>
        <w:ilvl w:val="2"/>
        <w:numId w:val="13"/>
      </w:numPr>
      <w:tabs>
        <w:tab w:val="clear" w:pos="1701"/>
        <w:tab w:val="num" w:pos="2160"/>
      </w:tabs>
      <w:spacing w:before="60" w:after="0"/>
      <w:ind w:left="2160" w:hanging="180"/>
      <w:jc w:val="both"/>
    </w:pPr>
    <w:rPr>
      <w:rFonts w:ascii="Calibri" w:hAnsi="Calibri"/>
      <w:szCs w:val="20"/>
    </w:rPr>
  </w:style>
  <w:style w:type="paragraph" w:customStyle="1" w:styleId="numberedpara">
    <w:name w:val="numbered para"/>
    <w:basedOn w:val="Normal"/>
    <w:rsid w:val="000B51DC"/>
    <w:pPr>
      <w:keepLines/>
      <w:numPr>
        <w:numId w:val="14"/>
      </w:numPr>
    </w:pPr>
    <w:rPr>
      <w:rFonts w:ascii="Calibri" w:hAnsi="Calibri" w:cs="Arial"/>
      <w:szCs w:val="16"/>
    </w:rPr>
  </w:style>
  <w:style w:type="character" w:styleId="HTMLDefinition">
    <w:name w:val="HTML Definition"/>
    <w:basedOn w:val="DefaultParagraphFont"/>
    <w:uiPriority w:val="99"/>
    <w:semiHidden/>
    <w:unhideWhenUsed/>
    <w:rsid w:val="000B51DC"/>
    <w:rPr>
      <w:i w:val="0"/>
      <w:iCs w:val="0"/>
    </w:rPr>
  </w:style>
  <w:style w:type="paragraph" w:customStyle="1" w:styleId="DashEm">
    <w:name w:val="Dash: Em"/>
    <w:basedOn w:val="Normal"/>
    <w:uiPriority w:val="3"/>
    <w:semiHidden/>
    <w:rsid w:val="000B51DC"/>
    <w:pPr>
      <w:numPr>
        <w:ilvl w:val="1"/>
        <w:numId w:val="15"/>
      </w:numPr>
      <w:tabs>
        <w:tab w:val="clear" w:pos="425"/>
      </w:tabs>
      <w:spacing w:after="140" w:line="280" w:lineRule="atLeast"/>
      <w:ind w:left="1440" w:hanging="360"/>
    </w:pPr>
    <w:rPr>
      <w:rFonts w:cs="Arial"/>
      <w:szCs w:val="22"/>
    </w:rPr>
  </w:style>
  <w:style w:type="paragraph" w:customStyle="1" w:styleId="DashEm1">
    <w:name w:val="Dash: Em 1"/>
    <w:aliases w:val="-EM"/>
    <w:basedOn w:val="Normal"/>
    <w:link w:val="DashEm1Char"/>
    <w:uiPriority w:val="3"/>
    <w:semiHidden/>
    <w:rsid w:val="000B51DC"/>
    <w:pPr>
      <w:numPr>
        <w:numId w:val="15"/>
      </w:numPr>
      <w:spacing w:after="140" w:line="280" w:lineRule="atLeast"/>
    </w:pPr>
    <w:rPr>
      <w:rFonts w:cs="Arial"/>
      <w:szCs w:val="22"/>
    </w:rPr>
  </w:style>
  <w:style w:type="paragraph" w:customStyle="1" w:styleId="DashEn1">
    <w:name w:val="Dash: En 1"/>
    <w:aliases w:val="-EN"/>
    <w:basedOn w:val="DashEm"/>
    <w:uiPriority w:val="3"/>
    <w:qFormat/>
    <w:rsid w:val="000B51DC"/>
    <w:pPr>
      <w:numPr>
        <w:ilvl w:val="2"/>
      </w:numPr>
    </w:pPr>
  </w:style>
  <w:style w:type="paragraph" w:customStyle="1" w:styleId="DashEn2">
    <w:name w:val="Dash: En 2"/>
    <w:basedOn w:val="DashEn1"/>
    <w:uiPriority w:val="3"/>
    <w:semiHidden/>
    <w:rsid w:val="000B51DC"/>
    <w:pPr>
      <w:numPr>
        <w:ilvl w:val="3"/>
      </w:numPr>
    </w:pPr>
  </w:style>
  <w:style w:type="paragraph" w:customStyle="1" w:styleId="DashEn3">
    <w:name w:val="Dash: En 3"/>
    <w:basedOn w:val="DashEn2"/>
    <w:uiPriority w:val="3"/>
    <w:semiHidden/>
    <w:rsid w:val="000B51DC"/>
    <w:pPr>
      <w:numPr>
        <w:ilvl w:val="4"/>
      </w:numPr>
    </w:pPr>
  </w:style>
  <w:style w:type="paragraph" w:customStyle="1" w:styleId="DashEn4">
    <w:name w:val="Dash: En 4"/>
    <w:basedOn w:val="DashEn3"/>
    <w:uiPriority w:val="3"/>
    <w:semiHidden/>
    <w:rsid w:val="000B51DC"/>
    <w:pPr>
      <w:numPr>
        <w:ilvl w:val="5"/>
      </w:numPr>
    </w:pPr>
  </w:style>
  <w:style w:type="paragraph" w:customStyle="1" w:styleId="DashEn5">
    <w:name w:val="Dash: En 5"/>
    <w:basedOn w:val="DashEn4"/>
    <w:uiPriority w:val="3"/>
    <w:semiHidden/>
    <w:rsid w:val="000B51DC"/>
    <w:pPr>
      <w:numPr>
        <w:ilvl w:val="6"/>
      </w:numPr>
    </w:pPr>
  </w:style>
  <w:style w:type="paragraph" w:customStyle="1" w:styleId="DashEn6">
    <w:name w:val="Dash: En 6"/>
    <w:basedOn w:val="DashEn5"/>
    <w:uiPriority w:val="3"/>
    <w:semiHidden/>
    <w:rsid w:val="000B51DC"/>
    <w:pPr>
      <w:numPr>
        <w:ilvl w:val="7"/>
      </w:numPr>
    </w:pPr>
  </w:style>
  <w:style w:type="paragraph" w:customStyle="1" w:styleId="DashEn7">
    <w:name w:val="Dash: En 7"/>
    <w:basedOn w:val="DashEn6"/>
    <w:uiPriority w:val="3"/>
    <w:semiHidden/>
    <w:rsid w:val="000B51DC"/>
    <w:pPr>
      <w:numPr>
        <w:ilvl w:val="8"/>
      </w:numPr>
    </w:pPr>
  </w:style>
  <w:style w:type="character" w:customStyle="1" w:styleId="DashEm1Char">
    <w:name w:val="Dash: Em 1 Char"/>
    <w:aliases w:val="-EM Char"/>
    <w:basedOn w:val="DefaultParagraphFont"/>
    <w:link w:val="DashEm1"/>
    <w:uiPriority w:val="3"/>
    <w:semiHidden/>
    <w:rsid w:val="000B51DC"/>
    <w:rPr>
      <w:rFonts w:ascii="Arial" w:hAnsi="Arial" w:cs="Arial"/>
    </w:rPr>
  </w:style>
  <w:style w:type="paragraph" w:customStyle="1" w:styleId="2018reviewquestionbulletpoints">
    <w:name w:val="2018 review question bullet points"/>
    <w:basedOn w:val="2018ReviewBullets"/>
    <w:link w:val="2018reviewquestionbulletpointsChar"/>
    <w:qFormat/>
    <w:rsid w:val="000B51DC"/>
    <w:pPr>
      <w:numPr>
        <w:numId w:val="17"/>
      </w:numPr>
    </w:pPr>
  </w:style>
  <w:style w:type="character" w:customStyle="1" w:styleId="2018reviewquestionbulletpointsChar">
    <w:name w:val="2018 review question bullet points Char"/>
    <w:basedOn w:val="2018ReviewBulletsChar"/>
    <w:link w:val="2018reviewquestionbulletpoints"/>
    <w:rsid w:val="000B51DC"/>
    <w:rPr>
      <w:rFonts w:ascii="Arial" w:hAnsi="Arial" w:cs="Arial"/>
      <w:sz w:val="20"/>
      <w:szCs w:val="24"/>
    </w:rPr>
  </w:style>
  <w:style w:type="character" w:customStyle="1" w:styleId="2018Review1stHeadingChar">
    <w:name w:val="2018 Review 1st Heading Char"/>
    <w:basedOn w:val="Heading1Char"/>
    <w:link w:val="2018Review1stHeading"/>
    <w:rsid w:val="000B51DC"/>
    <w:rPr>
      <w:rFonts w:ascii="Arial" w:hAnsi="Arial" w:cs="Arial"/>
      <w:b/>
      <w:bCs/>
      <w:color w:val="145B85"/>
      <w:sz w:val="36"/>
      <w:szCs w:val="36"/>
    </w:rPr>
  </w:style>
  <w:style w:type="paragraph" w:customStyle="1" w:styleId="DraftHeading1">
    <w:name w:val="Draft Heading 1"/>
    <w:basedOn w:val="Normal"/>
    <w:next w:val="Normal"/>
    <w:rsid w:val="000B51DC"/>
    <w:pPr>
      <w:overflowPunct w:val="0"/>
      <w:autoSpaceDE w:val="0"/>
      <w:autoSpaceDN w:val="0"/>
      <w:adjustRightInd w:val="0"/>
      <w:spacing w:before="120" w:after="0"/>
      <w:textAlignment w:val="baseline"/>
      <w:outlineLvl w:val="2"/>
    </w:pPr>
    <w:rPr>
      <w:rFonts w:ascii="Times New Roman" w:hAnsi="Times New Roman"/>
      <w:b/>
      <w:sz w:val="24"/>
    </w:rPr>
  </w:style>
  <w:style w:type="paragraph" w:customStyle="1" w:styleId="DraftHeading2">
    <w:name w:val="Draft Heading 2"/>
    <w:basedOn w:val="Normal"/>
    <w:next w:val="Normal"/>
    <w:rsid w:val="000B51DC"/>
    <w:pPr>
      <w:overflowPunct w:val="0"/>
      <w:autoSpaceDE w:val="0"/>
      <w:autoSpaceDN w:val="0"/>
      <w:adjustRightInd w:val="0"/>
      <w:spacing w:before="120" w:after="0"/>
      <w:textAlignment w:val="baseline"/>
    </w:pPr>
    <w:rPr>
      <w:rFonts w:ascii="Times New Roman" w:hAnsi="Times New Roman"/>
      <w:sz w:val="24"/>
      <w:szCs w:val="20"/>
    </w:rPr>
  </w:style>
  <w:style w:type="paragraph" w:customStyle="1" w:styleId="DraftHeading3">
    <w:name w:val="Draft Heading 3"/>
    <w:basedOn w:val="Normal"/>
    <w:next w:val="Normal"/>
    <w:rsid w:val="000B51DC"/>
    <w:pPr>
      <w:overflowPunct w:val="0"/>
      <w:autoSpaceDE w:val="0"/>
      <w:autoSpaceDN w:val="0"/>
      <w:adjustRightInd w:val="0"/>
      <w:spacing w:before="120" w:after="0"/>
      <w:textAlignment w:val="baseline"/>
    </w:pPr>
    <w:rPr>
      <w:rFonts w:ascii="Times New Roman" w:hAnsi="Times New Roman"/>
      <w:sz w:val="24"/>
      <w:szCs w:val="20"/>
    </w:rPr>
  </w:style>
  <w:style w:type="paragraph" w:customStyle="1" w:styleId="ValueStyle">
    <w:name w:val="Value Style"/>
    <w:basedOn w:val="Normal"/>
    <w:qFormat/>
    <w:rsid w:val="000B51DC"/>
    <w:pPr>
      <w:tabs>
        <w:tab w:val="left" w:pos="924"/>
        <w:tab w:val="left" w:pos="1848"/>
        <w:tab w:val="left" w:pos="2773"/>
        <w:tab w:val="left" w:pos="3697"/>
        <w:tab w:val="left" w:pos="4621"/>
        <w:tab w:val="left" w:pos="5545"/>
        <w:tab w:val="left" w:pos="6469"/>
        <w:tab w:val="left" w:pos="7394"/>
        <w:tab w:val="left" w:pos="8318"/>
        <w:tab w:val="right" w:pos="8930"/>
      </w:tabs>
      <w:spacing w:before="120" w:line="276" w:lineRule="auto"/>
      <w:ind w:left="149" w:right="84"/>
    </w:pPr>
    <w:rPr>
      <w:rFonts w:cs="Arial"/>
      <w:color w:val="000000"/>
      <w:sz w:val="18"/>
      <w:szCs w:val="20"/>
    </w:rPr>
  </w:style>
  <w:style w:type="table" w:styleId="PlainTable4">
    <w:name w:val="Plain Table 4"/>
    <w:basedOn w:val="TableNormal"/>
    <w:uiPriority w:val="44"/>
    <w:rsid w:val="000B51DC"/>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WADisclaimerbodytextChar">
    <w:name w:val="SWA Disclaimer body text Char"/>
    <w:basedOn w:val="DefaultParagraphFont"/>
    <w:link w:val="SWADisclaimerbodytext"/>
    <w:locked/>
    <w:rsid w:val="000B51DC"/>
    <w:rPr>
      <w:rFonts w:ascii="Arial" w:eastAsia="Times New Roman" w:hAnsi="Arial" w:cs="Times New Roman"/>
      <w:sz w:val="14"/>
      <w:szCs w:val="14"/>
      <w:lang w:eastAsia="en-AU"/>
    </w:rPr>
  </w:style>
  <w:style w:type="paragraph" w:customStyle="1" w:styleId="SWADisclaimerbodytext">
    <w:name w:val="SWA Disclaimer body text"/>
    <w:basedOn w:val="Normal"/>
    <w:link w:val="SWADisclaimerbodytextChar"/>
    <w:qFormat/>
    <w:rsid w:val="000B51DC"/>
    <w:pPr>
      <w:spacing w:line="276" w:lineRule="auto"/>
    </w:pPr>
    <w:rPr>
      <w:rFonts w:eastAsia="Times New Roman" w:cs="Times New Roman"/>
      <w:sz w:val="14"/>
      <w:szCs w:val="14"/>
      <w:lang w:eastAsia="en-AU"/>
    </w:rPr>
  </w:style>
  <w:style w:type="character" w:styleId="UnresolvedMention">
    <w:name w:val="Unresolved Mention"/>
    <w:basedOn w:val="DefaultParagraphFont"/>
    <w:uiPriority w:val="99"/>
    <w:semiHidden/>
    <w:unhideWhenUsed/>
    <w:rsid w:val="000B51DC"/>
    <w:rPr>
      <w:color w:val="605E5C"/>
      <w:shd w:val="clear" w:color="auto" w:fill="E1DFDD"/>
    </w:rPr>
  </w:style>
  <w:style w:type="paragraph" w:customStyle="1" w:styleId="BulletsSWA">
    <w:name w:val="Bullets SWA"/>
    <w:basedOn w:val="Normal"/>
    <w:qFormat/>
    <w:rsid w:val="000B51DC"/>
    <w:pPr>
      <w:spacing w:after="180" w:line="360" w:lineRule="auto"/>
    </w:pPr>
    <w:rPr>
      <w:rFonts w:cs="Arial"/>
      <w:color w:val="4877E0" w:themeColor="accent1"/>
      <w:sz w:val="28"/>
      <w:szCs w:val="28"/>
    </w:rPr>
  </w:style>
  <w:style w:type="paragraph" w:customStyle="1" w:styleId="BodyText1">
    <w:name w:val="Body Text1"/>
    <w:basedOn w:val="Normal"/>
    <w:qFormat/>
    <w:rsid w:val="000B51DC"/>
    <w:pPr>
      <w:spacing w:after="200" w:line="260" w:lineRule="exact"/>
    </w:pPr>
  </w:style>
  <w:style w:type="paragraph" w:customStyle="1" w:styleId="BulletsSensitivities11pt">
    <w:name w:val="Bullets Sensitivities 11pt"/>
    <w:basedOn w:val="BulletsSWA"/>
    <w:qFormat/>
    <w:rsid w:val="000B51DC"/>
    <w:pPr>
      <w:spacing w:after="120" w:line="260" w:lineRule="exact"/>
      <w:ind w:left="720" w:hanging="360"/>
    </w:pPr>
    <w:rPr>
      <w:color w:val="404040" w:themeColor="text1" w:themeTint="BF"/>
      <w:sz w:val="22"/>
      <w:szCs w:val="20"/>
    </w:rPr>
  </w:style>
  <w:style w:type="paragraph" w:customStyle="1" w:styleId="subsection">
    <w:name w:val="subsection"/>
    <w:aliases w:val="ss"/>
    <w:basedOn w:val="Normal"/>
    <w:link w:val="subsectionChar"/>
    <w:rsid w:val="000B51DC"/>
    <w:pPr>
      <w:spacing w:before="100" w:beforeAutospacing="1" w:after="100" w:afterAutospacing="1"/>
    </w:pPr>
    <w:rPr>
      <w:rFonts w:ascii="Calibri" w:hAnsi="Calibri" w:cs="Calibri"/>
      <w:szCs w:val="22"/>
    </w:rPr>
  </w:style>
  <w:style w:type="character" w:customStyle="1" w:styleId="subsectionChar">
    <w:name w:val="subsection Char"/>
    <w:aliases w:val="ss Char"/>
    <w:basedOn w:val="DefaultParagraphFont"/>
    <w:link w:val="subsection"/>
    <w:rsid w:val="000B51DC"/>
    <w:rPr>
      <w:rFonts w:ascii="Calibri" w:hAnsi="Calibri" w:cs="Calibri"/>
    </w:rPr>
  </w:style>
  <w:style w:type="character" w:customStyle="1" w:styleId="paragraphChar">
    <w:name w:val="paragraph Char"/>
    <w:aliases w:val="a Char"/>
    <w:basedOn w:val="DefaultParagraphFont"/>
    <w:link w:val="paragraph0"/>
    <w:rsid w:val="000B51DC"/>
    <w:rPr>
      <w:rFonts w:ascii="Times New Roman" w:eastAsia="Times New Roman" w:hAnsi="Times New Roman" w:cs="Times New Roman"/>
      <w:sz w:val="24"/>
      <w:szCs w:val="24"/>
      <w:lang w:eastAsia="en-AU"/>
    </w:rPr>
  </w:style>
  <w:style w:type="paragraph" w:customStyle="1" w:styleId="NumberingSWA">
    <w:name w:val="Numbering SWA"/>
    <w:basedOn w:val="Normal"/>
    <w:qFormat/>
    <w:rsid w:val="000B51DC"/>
    <w:pPr>
      <w:numPr>
        <w:numId w:val="18"/>
      </w:numPr>
      <w:spacing w:line="240" w:lineRule="exact"/>
    </w:pPr>
    <w:rPr>
      <w:rFonts w:cs="Arial"/>
      <w:color w:val="404040" w:themeColor="text1" w:themeTint="BF"/>
      <w:szCs w:val="20"/>
    </w:rPr>
  </w:style>
  <w:style w:type="character" w:customStyle="1" w:styleId="cf01">
    <w:name w:val="cf01"/>
    <w:basedOn w:val="DefaultParagraphFont"/>
    <w:rsid w:val="000B51DC"/>
    <w:rPr>
      <w:rFonts w:ascii="Segoe UI" w:hAnsi="Segoe UI" w:cs="Segoe UI" w:hint="default"/>
      <w:color w:val="44546A"/>
      <w:sz w:val="18"/>
      <w:szCs w:val="18"/>
    </w:rPr>
  </w:style>
  <w:style w:type="character" w:customStyle="1" w:styleId="cf11">
    <w:name w:val="cf11"/>
    <w:basedOn w:val="DefaultParagraphFont"/>
    <w:rsid w:val="000B51DC"/>
    <w:rPr>
      <w:rFonts w:ascii="Segoe UI" w:hAnsi="Segoe UI" w:cs="Segoe UI" w:hint="default"/>
      <w:sz w:val="18"/>
      <w:szCs w:val="18"/>
    </w:rPr>
  </w:style>
  <w:style w:type="character" w:customStyle="1" w:styleId="cf31">
    <w:name w:val="cf31"/>
    <w:basedOn w:val="DefaultParagraphFont"/>
    <w:rsid w:val="000B51DC"/>
    <w:rPr>
      <w:rFonts w:ascii="Segoe UI" w:hAnsi="Segoe UI" w:cs="Segoe UI" w:hint="default"/>
      <w:color w:val="0563C1"/>
      <w:sz w:val="18"/>
      <w:szCs w:val="18"/>
      <w:u w:val="single"/>
    </w:rPr>
  </w:style>
  <w:style w:type="paragraph" w:customStyle="1" w:styleId="pf0">
    <w:name w:val="pf0"/>
    <w:basedOn w:val="Normal"/>
    <w:rsid w:val="000B51DC"/>
    <w:pPr>
      <w:spacing w:before="100" w:beforeAutospacing="1" w:after="100" w:afterAutospacing="1"/>
      <w:ind w:left="720"/>
    </w:pPr>
    <w:rPr>
      <w:rFonts w:ascii="Times New Roman" w:hAnsi="Times New Roman"/>
      <w:sz w:val="24"/>
    </w:rPr>
  </w:style>
  <w:style w:type="paragraph" w:customStyle="1" w:styleId="pf1">
    <w:name w:val="pf1"/>
    <w:basedOn w:val="Normal"/>
    <w:rsid w:val="000B51DC"/>
    <w:pPr>
      <w:spacing w:before="100" w:beforeAutospacing="1" w:after="100" w:afterAutospacing="1"/>
      <w:ind w:left="1040"/>
    </w:pPr>
    <w:rPr>
      <w:rFonts w:ascii="Times New Roman" w:hAnsi="Times New Roman"/>
      <w:sz w:val="24"/>
    </w:rPr>
  </w:style>
  <w:style w:type="paragraph" w:customStyle="1" w:styleId="pf2">
    <w:name w:val="pf2"/>
    <w:basedOn w:val="Normal"/>
    <w:rsid w:val="000B51DC"/>
    <w:pPr>
      <w:spacing w:before="100" w:beforeAutospacing="1" w:after="100" w:afterAutospacing="1"/>
      <w:ind w:left="320"/>
    </w:pPr>
    <w:rPr>
      <w:rFonts w:ascii="Times New Roman" w:hAnsi="Times New Roman"/>
      <w:sz w:val="24"/>
    </w:rPr>
  </w:style>
  <w:style w:type="character" w:customStyle="1" w:styleId="ui-provider">
    <w:name w:val="ui-provider"/>
    <w:basedOn w:val="DefaultParagraphFont"/>
    <w:rsid w:val="000B51DC"/>
  </w:style>
  <w:style w:type="character" w:styleId="Mention">
    <w:name w:val="Mention"/>
    <w:basedOn w:val="DefaultParagraphFont"/>
    <w:uiPriority w:val="99"/>
    <w:unhideWhenUsed/>
    <w:rsid w:val="000B51DC"/>
    <w:rPr>
      <w:color w:val="2B579A"/>
      <w:shd w:val="clear" w:color="auto" w:fill="E1DFDD"/>
    </w:rPr>
  </w:style>
  <w:style w:type="character" w:customStyle="1" w:styleId="cf21">
    <w:name w:val="cf21"/>
    <w:basedOn w:val="DefaultParagraphFont"/>
    <w:rsid w:val="000B51DC"/>
    <w:rPr>
      <w:rFonts w:ascii="Segoe UI" w:hAnsi="Segoe UI" w:cs="Segoe UI" w:hint="default"/>
      <w:color w:val="0000FF"/>
      <w:sz w:val="18"/>
      <w:szCs w:val="18"/>
    </w:rPr>
  </w:style>
  <w:style w:type="paragraph" w:customStyle="1" w:styleId="Sectionintroduction">
    <w:name w:val="Section introduction"/>
    <w:uiPriority w:val="21"/>
    <w:qFormat/>
    <w:rsid w:val="000B51DC"/>
    <w:pPr>
      <w:spacing w:before="120" w:after="120" w:line="259" w:lineRule="auto"/>
    </w:pPr>
    <w:rPr>
      <w:rFonts w:ascii="Segoe UI Semilight" w:hAnsi="Segoe UI Semilight"/>
      <w:color w:val="E7E6E6" w:themeColor="background2"/>
      <w:sz w:val="21"/>
      <w:szCs w:val="21"/>
    </w:rPr>
  </w:style>
  <w:style w:type="table" w:customStyle="1" w:styleId="Sectionintroductiontable">
    <w:name w:val="Section introduction table"/>
    <w:basedOn w:val="TableNormal"/>
    <w:uiPriority w:val="99"/>
    <w:rsid w:val="000B51DC"/>
    <w:pPr>
      <w:spacing w:after="0" w:line="240" w:lineRule="auto"/>
    </w:pPr>
    <w:rPr>
      <w:lang w:val="en-US"/>
    </w:rPr>
    <w:tblPr/>
    <w:tcPr>
      <w:tcBorders>
        <w:top w:val="single" w:sz="8" w:space="0" w:color="E7E6E6" w:themeColor="background2"/>
        <w:left w:val="nil"/>
        <w:bottom w:val="single" w:sz="8" w:space="0" w:color="E7E6E6" w:themeColor="background2"/>
        <w:right w:val="nil"/>
      </w:tcBorders>
    </w:tcPr>
    <w:tblStylePr w:type="firstRow">
      <w:pPr>
        <w:wordWrap/>
        <w:spacing w:beforeLines="0" w:before="0" w:beforeAutospacing="0" w:afterLines="0" w:after="0" w:afterAutospacing="0"/>
      </w:pPr>
      <w:rPr>
        <w:rFonts w:ascii="Wingdings 2" w:hAnsi="Wingdings 2"/>
        <w:color w:val="E7E6E6" w:themeColor="background2"/>
        <w:sz w:val="21"/>
      </w:rPr>
    </w:tblStylePr>
  </w:style>
  <w:style w:type="paragraph" w:customStyle="1" w:styleId="TableNText">
    <w:name w:val="Table N Text"/>
    <w:basedOn w:val="Normal"/>
    <w:link w:val="TableNTextChar"/>
    <w:uiPriority w:val="2"/>
    <w:qFormat/>
    <w:rsid w:val="000B51DC"/>
    <w:pPr>
      <w:spacing w:before="60" w:after="60" w:line="259" w:lineRule="auto"/>
      <w:contextualSpacing w:val="0"/>
    </w:pPr>
    <w:rPr>
      <w:rFonts w:ascii="Segoe UI" w:hAnsi="Segoe UI"/>
      <w:sz w:val="17"/>
      <w:szCs w:val="22"/>
    </w:rPr>
  </w:style>
  <w:style w:type="character" w:customStyle="1" w:styleId="TableNTextChar">
    <w:name w:val="Table N Text Char"/>
    <w:basedOn w:val="DefaultParagraphFont"/>
    <w:link w:val="TableNText"/>
    <w:uiPriority w:val="2"/>
    <w:rsid w:val="000B51DC"/>
    <w:rPr>
      <w:rFonts w:ascii="Segoe UI" w:hAnsi="Segoe UI"/>
      <w:sz w:val="17"/>
    </w:rPr>
  </w:style>
  <w:style w:type="paragraph" w:customStyle="1" w:styleId="TableNBullet">
    <w:name w:val="Table N Bullet"/>
    <w:basedOn w:val="ListParagraph"/>
    <w:link w:val="TableNBulletChar"/>
    <w:uiPriority w:val="2"/>
    <w:qFormat/>
    <w:rsid w:val="000B51DC"/>
    <w:pPr>
      <w:numPr>
        <w:numId w:val="26"/>
      </w:numPr>
      <w:suppressAutoHyphens/>
      <w:spacing w:before="60" w:after="60" w:line="259" w:lineRule="auto"/>
      <w:contextualSpacing w:val="0"/>
    </w:pPr>
    <w:rPr>
      <w:rFonts w:ascii="Segoe UI" w:eastAsia="Times New Roman" w:hAnsi="Segoe UI" w:cs="Times New Roman"/>
      <w:sz w:val="17"/>
      <w:szCs w:val="19"/>
      <w:lang w:eastAsia="en-AU"/>
    </w:rPr>
  </w:style>
  <w:style w:type="character" w:customStyle="1" w:styleId="TableNBulletChar">
    <w:name w:val="Table N Bullet Char"/>
    <w:basedOn w:val="DefaultParagraphFont"/>
    <w:link w:val="TableNBullet"/>
    <w:uiPriority w:val="2"/>
    <w:rsid w:val="000B51DC"/>
    <w:rPr>
      <w:rFonts w:ascii="Segoe UI" w:eastAsia="Times New Roman" w:hAnsi="Segoe UI" w:cs="Times New Roman"/>
      <w:sz w:val="17"/>
      <w:szCs w:val="19"/>
      <w:lang w:eastAsia="en-AU"/>
    </w:rPr>
  </w:style>
  <w:style w:type="paragraph" w:customStyle="1" w:styleId="TableNbiophoto">
    <w:name w:val="Table N bio photo"/>
    <w:basedOn w:val="TableNText"/>
    <w:qFormat/>
    <w:rsid w:val="000B51DC"/>
    <w:pPr>
      <w:spacing w:after="0" w:line="257" w:lineRule="auto"/>
    </w:pPr>
  </w:style>
  <w:style w:type="table" w:customStyle="1" w:styleId="NousTableStyletopandsideheading">
    <w:name w:val="Nous Table Style top and side heading"/>
    <w:basedOn w:val="TableNormal"/>
    <w:uiPriority w:val="99"/>
    <w:rsid w:val="000B51DC"/>
    <w:pPr>
      <w:spacing w:after="0" w:line="240" w:lineRule="auto"/>
    </w:pPr>
    <w:rPr>
      <w:lang w:val="en-US"/>
    </w:rPr>
    <w:tblPr/>
    <w:tcPr>
      <w:tcBorders>
        <w:top w:val="single" w:sz="24" w:space="0" w:color="E80C30" w:themeColor="accent3"/>
        <w:left w:val="nil"/>
      </w:tcBorders>
      <w:shd w:val="clear" w:color="auto" w:fill="7F7F7F" w:themeFill="accent5"/>
    </w:tcPr>
    <w:tblStylePr w:type="firstRow">
      <w:pPr>
        <w:jc w:val="left"/>
      </w:pPr>
      <w:rPr>
        <w:rFonts w:ascii="Wingdings 2" w:hAnsi="Wingdings 2"/>
        <w:b/>
        <w:color w:val="E7E6E6" w:themeColor="background2"/>
        <w:sz w:val="18"/>
      </w:rPr>
    </w:tblStylePr>
    <w:tblStylePr w:type="firstCol">
      <w:pPr>
        <w:jc w:val="center"/>
      </w:pPr>
      <w:rPr>
        <w:rFonts w:ascii="Wingdings 2" w:hAnsi="Wingdings 2"/>
        <w:b/>
        <w:color w:val="E7E6E6" w:themeColor="background2"/>
        <w:sz w:val="18"/>
      </w:rPr>
    </w:tblStylePr>
  </w:style>
  <w:style w:type="paragraph" w:styleId="EndnoteText">
    <w:name w:val="endnote text"/>
    <w:basedOn w:val="Normal"/>
    <w:link w:val="EndnoteTextChar"/>
    <w:uiPriority w:val="99"/>
    <w:semiHidden/>
    <w:unhideWhenUsed/>
    <w:rsid w:val="000B51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1DC"/>
    <w:rPr>
      <w:rFonts w:ascii="Arial" w:hAnsi="Arial"/>
      <w:sz w:val="20"/>
      <w:szCs w:val="20"/>
    </w:rPr>
  </w:style>
  <w:style w:type="character" w:styleId="EndnoteReference">
    <w:name w:val="endnote reference"/>
    <w:basedOn w:val="DefaultParagraphFont"/>
    <w:uiPriority w:val="99"/>
    <w:semiHidden/>
    <w:unhideWhenUsed/>
    <w:rsid w:val="000B51DC"/>
    <w:rPr>
      <w:vertAlign w:val="superscript"/>
    </w:rPr>
  </w:style>
  <w:style w:type="paragraph" w:styleId="TOC4">
    <w:name w:val="toc 4"/>
    <w:basedOn w:val="Normal"/>
    <w:next w:val="Normal"/>
    <w:autoRedefine/>
    <w:uiPriority w:val="39"/>
    <w:unhideWhenUsed/>
    <w:rsid w:val="001E65C7"/>
    <w:pPr>
      <w:spacing w:after="100" w:line="278" w:lineRule="auto"/>
      <w:ind w:left="720"/>
      <w:contextualSpacing w:val="0"/>
    </w:pPr>
    <w:rPr>
      <w:rFonts w:asciiTheme="minorHAnsi" w:eastAsiaTheme="minorEastAsia" w:hAnsiTheme="minorHAnsi"/>
      <w:kern w:val="2"/>
      <w:sz w:val="24"/>
      <w:lang w:eastAsia="en-AU"/>
      <w14:ligatures w14:val="standardContextual"/>
    </w:rPr>
  </w:style>
  <w:style w:type="paragraph" w:styleId="TOC5">
    <w:name w:val="toc 5"/>
    <w:basedOn w:val="Normal"/>
    <w:next w:val="Normal"/>
    <w:autoRedefine/>
    <w:uiPriority w:val="39"/>
    <w:unhideWhenUsed/>
    <w:rsid w:val="001E65C7"/>
    <w:pPr>
      <w:spacing w:after="100" w:line="278" w:lineRule="auto"/>
      <w:ind w:left="960"/>
      <w:contextualSpacing w:val="0"/>
    </w:pPr>
    <w:rPr>
      <w:rFonts w:asciiTheme="minorHAnsi" w:eastAsiaTheme="minorEastAsia" w:hAnsiTheme="minorHAnsi"/>
      <w:kern w:val="2"/>
      <w:sz w:val="24"/>
      <w:lang w:eastAsia="en-AU"/>
      <w14:ligatures w14:val="standardContextual"/>
    </w:rPr>
  </w:style>
  <w:style w:type="paragraph" w:styleId="TOC6">
    <w:name w:val="toc 6"/>
    <w:basedOn w:val="Normal"/>
    <w:next w:val="Normal"/>
    <w:autoRedefine/>
    <w:uiPriority w:val="39"/>
    <w:unhideWhenUsed/>
    <w:rsid w:val="001E65C7"/>
    <w:pPr>
      <w:spacing w:after="100" w:line="278" w:lineRule="auto"/>
      <w:ind w:left="1200"/>
      <w:contextualSpacing w:val="0"/>
    </w:pPr>
    <w:rPr>
      <w:rFonts w:asciiTheme="minorHAnsi" w:eastAsiaTheme="minorEastAsia" w:hAnsiTheme="minorHAnsi"/>
      <w:kern w:val="2"/>
      <w:sz w:val="24"/>
      <w:lang w:eastAsia="en-AU"/>
      <w14:ligatures w14:val="standardContextual"/>
    </w:rPr>
  </w:style>
  <w:style w:type="paragraph" w:styleId="TOC7">
    <w:name w:val="toc 7"/>
    <w:basedOn w:val="Normal"/>
    <w:next w:val="Normal"/>
    <w:autoRedefine/>
    <w:uiPriority w:val="39"/>
    <w:unhideWhenUsed/>
    <w:rsid w:val="001E65C7"/>
    <w:pPr>
      <w:spacing w:after="100" w:line="278" w:lineRule="auto"/>
      <w:ind w:left="1440"/>
      <w:contextualSpacing w:val="0"/>
    </w:pPr>
    <w:rPr>
      <w:rFonts w:asciiTheme="minorHAnsi" w:eastAsiaTheme="minorEastAsia" w:hAnsiTheme="minorHAnsi"/>
      <w:kern w:val="2"/>
      <w:sz w:val="24"/>
      <w:lang w:eastAsia="en-AU"/>
      <w14:ligatures w14:val="standardContextual"/>
    </w:rPr>
  </w:style>
  <w:style w:type="paragraph" w:styleId="TOC9">
    <w:name w:val="toc 9"/>
    <w:basedOn w:val="Normal"/>
    <w:next w:val="Normal"/>
    <w:autoRedefine/>
    <w:uiPriority w:val="39"/>
    <w:unhideWhenUsed/>
    <w:rsid w:val="001E65C7"/>
    <w:pPr>
      <w:spacing w:after="100" w:line="278" w:lineRule="auto"/>
      <w:ind w:left="1920"/>
      <w:contextualSpacing w:val="0"/>
    </w:pPr>
    <w:rPr>
      <w:rFonts w:asciiTheme="minorHAnsi" w:eastAsiaTheme="minorEastAsia" w:hAnsiTheme="minorHAnsi"/>
      <w:kern w:val="2"/>
      <w:sz w:val="24"/>
      <w:lang w:eastAsia="en-AU"/>
      <w14:ligatures w14:val="standardContextual"/>
    </w:rPr>
  </w:style>
  <w:style w:type="character" w:customStyle="1" w:styleId="checkbox">
    <w:name w:val="checkbox"/>
    <w:basedOn w:val="DefaultParagraphFont"/>
    <w:uiPriority w:val="1"/>
    <w:rsid w:val="001C0DAE"/>
    <w:rPr>
      <w:rFonts w:ascii="Wingdings" w:hAnsi="Wingdings"/>
    </w:rPr>
  </w:style>
  <w:style w:type="table" w:customStyle="1" w:styleId="SWATableStyle1">
    <w:name w:val="SWA Table Style1"/>
    <w:basedOn w:val="TableNormal"/>
    <w:next w:val="LightShading-Accent2"/>
    <w:uiPriority w:val="60"/>
    <w:rsid w:val="009911EB"/>
    <w:pPr>
      <w:spacing w:before="80" w:after="80" w:line="240" w:lineRule="auto"/>
    </w:pPr>
    <w:rPr>
      <w:rFonts w:ascii="Arial" w:hAnsi="Arial"/>
      <w:sz w:val="20"/>
    </w:rPr>
    <w:tblPr>
      <w:tblStyleRowBandSize w:val="1"/>
      <w:tblStyleColBandSize w:val="1"/>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nil"/>
        <w:insideV w:val="nil"/>
        <w:tl2br w:val="nil"/>
        <w:tr2bl w:val="nil"/>
      </w:tcBorders>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Wingdings 2" w:hAnsi="Wingdings 2"/>
        <w:b/>
        <w:bCs/>
        <w:color w:val="F8F8F8"/>
        <w:sz w:val="20"/>
      </w:rPr>
    </w:tblStylePr>
    <w:tblStylePr w:type="firstCol">
      <w:rPr>
        <w:rFonts w:ascii="Arial" w:hAnsi="Arial"/>
        <w:b/>
        <w:bCs/>
        <w:sz w:val="20"/>
      </w:rPr>
    </w:tblStylePr>
    <w:tblStylePr w:type="lastCol">
      <w:rPr>
        <w:rFonts w:ascii="Arial" w:hAnsi="Arial"/>
        <w:b/>
        <w:bCs/>
        <w:sz w:val="20"/>
      </w:rPr>
    </w:tblStylePr>
    <w:tblStylePr w:type="band1Horz">
      <w:pPr>
        <w:wordWrap/>
        <w:spacing w:beforeLines="0" w:before="80" w:beforeAutospacing="0" w:afterLines="0" w:after="80" w:afterAutospacing="0"/>
      </w:pPr>
    </w:tblStylePr>
    <w:tblStylePr w:type="band2Horz">
      <w:pPr>
        <w:wordWrap/>
        <w:spacing w:beforeLines="0" w:before="80" w:beforeAutospacing="0" w:afterLines="0" w:after="80" w:afterAutospacing="0"/>
      </w:pPr>
    </w:tblStylePr>
  </w:style>
  <w:style w:type="table" w:customStyle="1" w:styleId="Sectionintroductiontable1">
    <w:name w:val="Section introduction table1"/>
    <w:basedOn w:val="TableNormal"/>
    <w:uiPriority w:val="99"/>
    <w:rsid w:val="009911EB"/>
    <w:pPr>
      <w:spacing w:after="0" w:line="240" w:lineRule="auto"/>
    </w:pPr>
    <w:rPr>
      <w:lang w:val="en-US"/>
    </w:rPr>
    <w:tblPr/>
    <w:tcPr>
      <w:tcBorders>
        <w:top w:val="single" w:sz="8" w:space="0" w:color="E7E6E6" w:themeColor="background2"/>
        <w:left w:val="nil"/>
        <w:bottom w:val="single" w:sz="8" w:space="0" w:color="E7E6E6" w:themeColor="background2"/>
        <w:right w:val="nil"/>
      </w:tcBorders>
    </w:tcPr>
    <w:tblStylePr w:type="firstRow">
      <w:pPr>
        <w:wordWrap/>
        <w:spacing w:beforeLines="0" w:before="0" w:beforeAutospacing="0" w:afterLines="0" w:after="0" w:afterAutospacing="0"/>
      </w:pPr>
      <w:rPr>
        <w:rFonts w:ascii="Wingdings 2" w:hAnsi="Wingdings 2"/>
        <w:color w:val="E7E6E6" w:themeColor="background2"/>
        <w:sz w:val="21"/>
      </w:rPr>
    </w:tblStylePr>
  </w:style>
  <w:style w:type="table" w:customStyle="1" w:styleId="NousTableStyletopandsideheading1">
    <w:name w:val="Nous Table Style top and side heading1"/>
    <w:basedOn w:val="TableNormal"/>
    <w:uiPriority w:val="99"/>
    <w:rsid w:val="009911EB"/>
    <w:pPr>
      <w:spacing w:after="0" w:line="240" w:lineRule="auto"/>
    </w:pPr>
    <w:rPr>
      <w:lang w:val="en-US"/>
    </w:rPr>
    <w:tblPr/>
    <w:tcPr>
      <w:tcBorders>
        <w:top w:val="single" w:sz="24" w:space="0" w:color="E80C30" w:themeColor="accent3"/>
        <w:left w:val="nil"/>
      </w:tcBorders>
      <w:shd w:val="clear" w:color="auto" w:fill="7F7F7F" w:themeFill="accent5"/>
    </w:tcPr>
    <w:tblStylePr w:type="firstRow">
      <w:pPr>
        <w:jc w:val="left"/>
      </w:pPr>
      <w:rPr>
        <w:rFonts w:ascii="Wingdings 2" w:hAnsi="Wingdings 2"/>
        <w:b/>
        <w:color w:val="E7E6E6" w:themeColor="background2"/>
        <w:sz w:val="18"/>
      </w:rPr>
    </w:tblStylePr>
    <w:tblStylePr w:type="firstCol">
      <w:pPr>
        <w:jc w:val="center"/>
      </w:pPr>
      <w:rPr>
        <w:rFonts w:ascii="Wingdings 2" w:hAnsi="Wingdings 2"/>
        <w:b/>
        <w:color w:val="E7E6E6" w:themeColor="background2"/>
        <w:sz w:val="18"/>
      </w:rPr>
    </w:tblStylePr>
  </w:style>
  <w:style w:type="character" w:styleId="IntenseReference">
    <w:name w:val="Intense Reference"/>
    <w:basedOn w:val="DefaultParagraphFont"/>
    <w:uiPriority w:val="32"/>
    <w:qFormat/>
    <w:rsid w:val="009911EB"/>
    <w:rPr>
      <w:b/>
      <w:bCs/>
      <w:smallCaps/>
      <w:color w:val="2050BD" w:themeColor="accent1" w:themeShade="BF"/>
      <w:spacing w:val="5"/>
    </w:rPr>
  </w:style>
  <w:style w:type="paragraph" w:styleId="Bibliography">
    <w:name w:val="Bibliography"/>
    <w:basedOn w:val="Normal"/>
    <w:next w:val="Normal"/>
    <w:uiPriority w:val="37"/>
    <w:unhideWhenUsed/>
    <w:rsid w:val="007F03D2"/>
  </w:style>
  <w:style w:type="table" w:customStyle="1" w:styleId="NOUS">
    <w:name w:val="NOUS"/>
    <w:basedOn w:val="TableNormal"/>
    <w:uiPriority w:val="99"/>
    <w:rsid w:val="00B55BD2"/>
    <w:pPr>
      <w:spacing w:after="0" w:line="240" w:lineRule="auto"/>
    </w:pPr>
    <w:rPr>
      <w:rFonts w:ascii="Segoe UI" w:hAnsi="Segoe UI"/>
      <w:sz w:val="17"/>
      <w:lang w:val="en-US"/>
    </w:rPr>
    <w:tblPr/>
    <w:tcPr>
      <w:tcBorders>
        <w:top w:val="single" w:sz="24" w:space="0" w:color="F8981D"/>
        <w:left w:val="nil"/>
        <w:bottom w:val="nil"/>
        <w:right w:val="nil"/>
        <w:insideH w:val="nil"/>
        <w:insideV w:val="nil"/>
        <w:tl2br w:val="nil"/>
        <w:tr2bl w:val="nil"/>
      </w:tcBorders>
      <w:shd w:val="clear" w:color="auto" w:fill="E6E6E1"/>
    </w:tcPr>
    <w:tblStylePr w:type="firstRow">
      <w:rPr>
        <w:rFonts w:ascii="Wingdings 2" w:hAnsi="Wingdings 2"/>
        <w:b/>
        <w:color w:val="00264D"/>
        <w:sz w:val="18"/>
      </w:rPr>
    </w:tblStylePr>
  </w:style>
  <w:style w:type="table" w:styleId="GridTable4-Accent1">
    <w:name w:val="Grid Table 4 Accent 1"/>
    <w:basedOn w:val="TableNormal"/>
    <w:uiPriority w:val="49"/>
    <w:rsid w:val="00BA6F4D"/>
    <w:pPr>
      <w:spacing w:after="0" w:line="240" w:lineRule="auto"/>
    </w:pPr>
    <w:tblPr>
      <w:tblStyleRowBandSize w:val="1"/>
      <w:tblStyleColBandSize w:val="1"/>
    </w:tblPr>
    <w:tcPr>
      <w:shd w:val="clear" w:color="auto" w:fill="DAE3F8" w:themeFill="accent1" w:themeFillTint="33"/>
    </w:tcPr>
    <w:tblStylePr w:type="firstRow">
      <w:rPr>
        <w:b/>
        <w:bCs/>
        <w:color w:val="FFFFFF" w:themeColor="background1"/>
      </w:rPr>
      <w:tblPr/>
      <w:tcPr>
        <w:tcBorders>
          <w:top w:val="single" w:sz="4" w:space="0" w:color="4877E0" w:themeColor="accent1"/>
          <w:left w:val="single" w:sz="4" w:space="0" w:color="4877E0" w:themeColor="accent1"/>
          <w:bottom w:val="single" w:sz="4" w:space="0" w:color="4877E0" w:themeColor="accent1"/>
          <w:right w:val="single" w:sz="4" w:space="0" w:color="4877E0" w:themeColor="accent1"/>
          <w:insideH w:val="nil"/>
          <w:insideV w:val="nil"/>
        </w:tcBorders>
        <w:shd w:val="clear" w:color="auto" w:fill="4877E0" w:themeFill="accent1"/>
      </w:tcPr>
    </w:tblStylePr>
    <w:tblStylePr w:type="lastRow">
      <w:rPr>
        <w:b/>
        <w:bCs/>
      </w:rPr>
      <w:tblPr/>
      <w:tcPr>
        <w:tcBorders>
          <w:top w:val="double" w:sz="4" w:space="0" w:color="4877E0" w:themeColor="accent1"/>
        </w:tcBorders>
      </w:tcPr>
    </w:tblStylePr>
    <w:tblStylePr w:type="firstCol">
      <w:rPr>
        <w:b/>
        <w:bCs/>
      </w:rPr>
    </w:tblStylePr>
    <w:tblStylePr w:type="lastCol">
      <w:rPr>
        <w:b/>
        <w:bCs/>
      </w:rPr>
    </w:tblStylePr>
    <w:tblStylePr w:type="band1Vert">
      <w:tblPr/>
      <w:tcPr>
        <w:shd w:val="clear" w:color="auto" w:fill="DAE3F8" w:themeFill="accent1" w:themeFillTint="33"/>
      </w:tcPr>
    </w:tblStylePr>
  </w:style>
  <w:style w:type="paragraph" w:customStyle="1" w:styleId="TableNheader">
    <w:name w:val="Table N header"/>
    <w:basedOn w:val="Normal"/>
    <w:uiPriority w:val="2"/>
    <w:qFormat/>
    <w:rsid w:val="00E843CB"/>
    <w:pPr>
      <w:spacing w:before="40" w:after="40" w:line="240" w:lineRule="auto"/>
      <w:contextualSpacing w:val="0"/>
    </w:pPr>
    <w:rPr>
      <w:rFonts w:ascii="Segoe UI Semibold" w:hAnsi="Segoe UI Semibold"/>
      <w:color w:val="E7E6E6" w:themeColor="background2"/>
      <w:sz w:val="18"/>
      <w:szCs w:val="22"/>
    </w:rPr>
  </w:style>
  <w:style w:type="table" w:customStyle="1" w:styleId="NOUSSideHeader">
    <w:name w:val="NOUS Side Header"/>
    <w:basedOn w:val="TableNormal"/>
    <w:uiPriority w:val="99"/>
    <w:rsid w:val="002E304F"/>
    <w:pPr>
      <w:spacing w:after="0" w:line="240" w:lineRule="auto"/>
      <w:ind w:left="57"/>
    </w:pPr>
    <w:rPr>
      <w:rFonts w:ascii="Segoe UI" w:hAnsi="Segoe UI"/>
      <w:sz w:val="17"/>
      <w:lang w:val="en-US"/>
    </w:rPr>
    <w:tblPr/>
    <w:tcPr>
      <w:tcBorders>
        <w:top w:val="nil"/>
        <w:left w:val="single" w:sz="24" w:space="0" w:color="E80C30" w:themeColor="accent3"/>
        <w:bottom w:val="nil"/>
        <w:right w:val="nil"/>
        <w:insideH w:val="nil"/>
        <w:insideV w:val="nil"/>
        <w:tl2br w:val="nil"/>
        <w:tr2bl w:val="nil"/>
      </w:tcBorders>
      <w:shd w:val="clear" w:color="auto" w:fill="7F7F7F" w:themeFill="accent5"/>
    </w:tcPr>
    <w:tblStylePr w:type="firstCol">
      <w:pPr>
        <w:wordWrap/>
        <w:jc w:val="center"/>
      </w:pPr>
      <w:rPr>
        <w:rFonts w:ascii="Wingdings 2" w:hAnsi="Wingdings 2"/>
        <w:b/>
        <w:color w:val="E7E6E6" w:themeColor="background2"/>
        <w:sz w:val="18"/>
      </w:rPr>
    </w:tblStylePr>
  </w:style>
  <w:style w:type="paragraph" w:customStyle="1" w:styleId="xAppendixLevel1">
    <w:name w:val="xAppendix Level 1"/>
    <w:basedOn w:val="Heading1"/>
    <w:next w:val="Normal"/>
    <w:uiPriority w:val="98"/>
    <w:qFormat/>
    <w:rsid w:val="004303DC"/>
    <w:pPr>
      <w:keepNext/>
      <w:pageBreakBefore/>
      <w:numPr>
        <w:numId w:val="157"/>
      </w:numPr>
      <w:tabs>
        <w:tab w:val="clear" w:pos="425"/>
        <w:tab w:val="num" w:pos="360"/>
      </w:tabs>
      <w:spacing w:before="0" w:after="480" w:line="240" w:lineRule="auto"/>
      <w:ind w:left="0" w:right="0" w:firstLine="0"/>
      <w:contextualSpacing w:val="0"/>
    </w:pPr>
    <w:rPr>
      <w:rFonts w:ascii="Segoe UI" w:eastAsia="Times New Roman" w:hAnsi="Segoe UI" w:cs="Times New Roman"/>
      <w:color w:val="00264D"/>
      <w:szCs w:val="19"/>
      <w:lang w:eastAsia="en-AU"/>
    </w:rPr>
  </w:style>
  <w:style w:type="paragraph" w:customStyle="1" w:styleId="xAppendixLevel2">
    <w:name w:val="xAppendix Level 2"/>
    <w:basedOn w:val="Heading2"/>
    <w:next w:val="Normal"/>
    <w:uiPriority w:val="98"/>
    <w:qFormat/>
    <w:rsid w:val="004303DC"/>
    <w:pPr>
      <w:numPr>
        <w:ilvl w:val="1"/>
        <w:numId w:val="157"/>
      </w:numPr>
      <w:tabs>
        <w:tab w:val="clear" w:pos="425"/>
        <w:tab w:val="num" w:pos="360"/>
      </w:tabs>
      <w:spacing w:before="300" w:after="180" w:line="240" w:lineRule="auto"/>
      <w:ind w:left="0" w:firstLine="0"/>
      <w:contextualSpacing w:val="0"/>
    </w:pPr>
    <w:rPr>
      <w:rFonts w:ascii="Segoe UI Semibold" w:eastAsia="Times New Roman" w:hAnsi="Segoe UI Semibold" w:cs="Times New Roman"/>
      <w:bCs/>
      <w:iCs w:val="0"/>
      <w:color w:val="00264D"/>
      <w:sz w:val="34"/>
      <w:szCs w:val="19"/>
      <w:lang w:eastAsia="en-AU"/>
    </w:rPr>
  </w:style>
  <w:style w:type="paragraph" w:customStyle="1" w:styleId="xAppendixLevel3">
    <w:name w:val="xAppendix Level 3"/>
    <w:basedOn w:val="Heading3"/>
    <w:next w:val="Normal"/>
    <w:uiPriority w:val="98"/>
    <w:qFormat/>
    <w:rsid w:val="004303DC"/>
    <w:pPr>
      <w:keepNext/>
      <w:numPr>
        <w:ilvl w:val="2"/>
        <w:numId w:val="157"/>
      </w:numPr>
      <w:tabs>
        <w:tab w:val="num" w:pos="360"/>
      </w:tabs>
      <w:spacing w:line="259" w:lineRule="auto"/>
      <w:ind w:left="0" w:firstLine="0"/>
      <w:contextualSpacing w:val="0"/>
    </w:pPr>
    <w:rPr>
      <w:rFonts w:ascii="Segoe UI Semibold" w:eastAsia="Times New Roman" w:hAnsi="Segoe UI Semibold" w:cs="Times New Roman"/>
      <w:b w:val="0"/>
      <w:color w:val="00264D"/>
      <w:sz w:val="26"/>
      <w:szCs w:val="19"/>
      <w:lang w:eastAsia="en-AU"/>
    </w:rPr>
  </w:style>
  <w:style w:type="table" w:customStyle="1" w:styleId="NousTableTopandside">
    <w:name w:val="Nous Table_Top and side"/>
    <w:basedOn w:val="TableNormal"/>
    <w:uiPriority w:val="99"/>
    <w:rsid w:val="0085684E"/>
    <w:pPr>
      <w:spacing w:after="0" w:line="240" w:lineRule="auto"/>
    </w:pPr>
    <w:rPr>
      <w:lang w:val="en-US"/>
    </w:rPr>
    <w:tblPr/>
    <w:tcPr>
      <w:tcBorders>
        <w:top w:val="single" w:sz="24" w:space="0" w:color="E80C30" w:themeColor="accent3"/>
        <w:left w:val="nil"/>
      </w:tcBorders>
      <w:shd w:val="clear" w:color="auto" w:fill="7F7F7F" w:themeFill="accent5"/>
      <w:vAlign w:val="center"/>
    </w:tcPr>
    <w:tblStylePr w:type="firstRow">
      <w:pPr>
        <w:jc w:val="left"/>
      </w:pPr>
      <w:rPr>
        <w:rFonts w:ascii="Wingdings 2" w:hAnsi="Wingdings 2"/>
        <w:b w:val="0"/>
        <w:color w:val="E7E6E6" w:themeColor="background2"/>
        <w:sz w:val="18"/>
      </w:rPr>
    </w:tblStylePr>
    <w:tblStylePr w:type="firstCol">
      <w:pPr>
        <w:jc w:val="left"/>
      </w:pPr>
      <w:rPr>
        <w:rFonts w:ascii="Wingdings 2" w:hAnsi="Wingdings 2"/>
        <w:b w:val="0"/>
        <w:color w:val="E7E6E6" w:themeColor="background2"/>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8">
      <w:bodyDiv w:val="1"/>
      <w:marLeft w:val="0"/>
      <w:marRight w:val="0"/>
      <w:marTop w:val="0"/>
      <w:marBottom w:val="0"/>
      <w:divBdr>
        <w:top w:val="none" w:sz="0" w:space="0" w:color="auto"/>
        <w:left w:val="none" w:sz="0" w:space="0" w:color="auto"/>
        <w:bottom w:val="none" w:sz="0" w:space="0" w:color="auto"/>
        <w:right w:val="none" w:sz="0" w:space="0" w:color="auto"/>
      </w:divBdr>
    </w:div>
    <w:div w:id="160794">
      <w:bodyDiv w:val="1"/>
      <w:marLeft w:val="0"/>
      <w:marRight w:val="0"/>
      <w:marTop w:val="0"/>
      <w:marBottom w:val="0"/>
      <w:divBdr>
        <w:top w:val="none" w:sz="0" w:space="0" w:color="auto"/>
        <w:left w:val="none" w:sz="0" w:space="0" w:color="auto"/>
        <w:bottom w:val="none" w:sz="0" w:space="0" w:color="auto"/>
        <w:right w:val="none" w:sz="0" w:space="0" w:color="auto"/>
      </w:divBdr>
    </w:div>
    <w:div w:id="163235">
      <w:bodyDiv w:val="1"/>
      <w:marLeft w:val="0"/>
      <w:marRight w:val="0"/>
      <w:marTop w:val="0"/>
      <w:marBottom w:val="0"/>
      <w:divBdr>
        <w:top w:val="none" w:sz="0" w:space="0" w:color="auto"/>
        <w:left w:val="none" w:sz="0" w:space="0" w:color="auto"/>
        <w:bottom w:val="none" w:sz="0" w:space="0" w:color="auto"/>
        <w:right w:val="none" w:sz="0" w:space="0" w:color="auto"/>
      </w:divBdr>
    </w:div>
    <w:div w:id="358510">
      <w:bodyDiv w:val="1"/>
      <w:marLeft w:val="0"/>
      <w:marRight w:val="0"/>
      <w:marTop w:val="0"/>
      <w:marBottom w:val="0"/>
      <w:divBdr>
        <w:top w:val="none" w:sz="0" w:space="0" w:color="auto"/>
        <w:left w:val="none" w:sz="0" w:space="0" w:color="auto"/>
        <w:bottom w:val="none" w:sz="0" w:space="0" w:color="auto"/>
        <w:right w:val="none" w:sz="0" w:space="0" w:color="auto"/>
      </w:divBdr>
    </w:div>
    <w:div w:id="470840">
      <w:bodyDiv w:val="1"/>
      <w:marLeft w:val="0"/>
      <w:marRight w:val="0"/>
      <w:marTop w:val="0"/>
      <w:marBottom w:val="0"/>
      <w:divBdr>
        <w:top w:val="none" w:sz="0" w:space="0" w:color="auto"/>
        <w:left w:val="none" w:sz="0" w:space="0" w:color="auto"/>
        <w:bottom w:val="none" w:sz="0" w:space="0" w:color="auto"/>
        <w:right w:val="none" w:sz="0" w:space="0" w:color="auto"/>
      </w:divBdr>
    </w:div>
    <w:div w:id="743340">
      <w:bodyDiv w:val="1"/>
      <w:marLeft w:val="0"/>
      <w:marRight w:val="0"/>
      <w:marTop w:val="0"/>
      <w:marBottom w:val="0"/>
      <w:divBdr>
        <w:top w:val="none" w:sz="0" w:space="0" w:color="auto"/>
        <w:left w:val="none" w:sz="0" w:space="0" w:color="auto"/>
        <w:bottom w:val="none" w:sz="0" w:space="0" w:color="auto"/>
        <w:right w:val="none" w:sz="0" w:space="0" w:color="auto"/>
      </w:divBdr>
    </w:div>
    <w:div w:id="745534">
      <w:bodyDiv w:val="1"/>
      <w:marLeft w:val="0"/>
      <w:marRight w:val="0"/>
      <w:marTop w:val="0"/>
      <w:marBottom w:val="0"/>
      <w:divBdr>
        <w:top w:val="none" w:sz="0" w:space="0" w:color="auto"/>
        <w:left w:val="none" w:sz="0" w:space="0" w:color="auto"/>
        <w:bottom w:val="none" w:sz="0" w:space="0" w:color="auto"/>
        <w:right w:val="none" w:sz="0" w:space="0" w:color="auto"/>
      </w:divBdr>
    </w:div>
    <w:div w:id="814408">
      <w:bodyDiv w:val="1"/>
      <w:marLeft w:val="0"/>
      <w:marRight w:val="0"/>
      <w:marTop w:val="0"/>
      <w:marBottom w:val="0"/>
      <w:divBdr>
        <w:top w:val="none" w:sz="0" w:space="0" w:color="auto"/>
        <w:left w:val="none" w:sz="0" w:space="0" w:color="auto"/>
        <w:bottom w:val="none" w:sz="0" w:space="0" w:color="auto"/>
        <w:right w:val="none" w:sz="0" w:space="0" w:color="auto"/>
      </w:divBdr>
    </w:div>
    <w:div w:id="1202098">
      <w:bodyDiv w:val="1"/>
      <w:marLeft w:val="0"/>
      <w:marRight w:val="0"/>
      <w:marTop w:val="0"/>
      <w:marBottom w:val="0"/>
      <w:divBdr>
        <w:top w:val="none" w:sz="0" w:space="0" w:color="auto"/>
        <w:left w:val="none" w:sz="0" w:space="0" w:color="auto"/>
        <w:bottom w:val="none" w:sz="0" w:space="0" w:color="auto"/>
        <w:right w:val="none" w:sz="0" w:space="0" w:color="auto"/>
      </w:divBdr>
    </w:div>
    <w:div w:id="1251632">
      <w:bodyDiv w:val="1"/>
      <w:marLeft w:val="0"/>
      <w:marRight w:val="0"/>
      <w:marTop w:val="0"/>
      <w:marBottom w:val="0"/>
      <w:divBdr>
        <w:top w:val="none" w:sz="0" w:space="0" w:color="auto"/>
        <w:left w:val="none" w:sz="0" w:space="0" w:color="auto"/>
        <w:bottom w:val="none" w:sz="0" w:space="0" w:color="auto"/>
        <w:right w:val="none" w:sz="0" w:space="0" w:color="auto"/>
      </w:divBdr>
    </w:div>
    <w:div w:id="1395717">
      <w:bodyDiv w:val="1"/>
      <w:marLeft w:val="0"/>
      <w:marRight w:val="0"/>
      <w:marTop w:val="0"/>
      <w:marBottom w:val="0"/>
      <w:divBdr>
        <w:top w:val="none" w:sz="0" w:space="0" w:color="auto"/>
        <w:left w:val="none" w:sz="0" w:space="0" w:color="auto"/>
        <w:bottom w:val="none" w:sz="0" w:space="0" w:color="auto"/>
        <w:right w:val="none" w:sz="0" w:space="0" w:color="auto"/>
      </w:divBdr>
    </w:div>
    <w:div w:id="1591231">
      <w:bodyDiv w:val="1"/>
      <w:marLeft w:val="0"/>
      <w:marRight w:val="0"/>
      <w:marTop w:val="0"/>
      <w:marBottom w:val="0"/>
      <w:divBdr>
        <w:top w:val="none" w:sz="0" w:space="0" w:color="auto"/>
        <w:left w:val="none" w:sz="0" w:space="0" w:color="auto"/>
        <w:bottom w:val="none" w:sz="0" w:space="0" w:color="auto"/>
        <w:right w:val="none" w:sz="0" w:space="0" w:color="auto"/>
      </w:divBdr>
    </w:div>
    <w:div w:id="1781306">
      <w:bodyDiv w:val="1"/>
      <w:marLeft w:val="0"/>
      <w:marRight w:val="0"/>
      <w:marTop w:val="0"/>
      <w:marBottom w:val="0"/>
      <w:divBdr>
        <w:top w:val="none" w:sz="0" w:space="0" w:color="auto"/>
        <w:left w:val="none" w:sz="0" w:space="0" w:color="auto"/>
        <w:bottom w:val="none" w:sz="0" w:space="0" w:color="auto"/>
        <w:right w:val="none" w:sz="0" w:space="0" w:color="auto"/>
      </w:divBdr>
    </w:div>
    <w:div w:id="1862702">
      <w:bodyDiv w:val="1"/>
      <w:marLeft w:val="0"/>
      <w:marRight w:val="0"/>
      <w:marTop w:val="0"/>
      <w:marBottom w:val="0"/>
      <w:divBdr>
        <w:top w:val="none" w:sz="0" w:space="0" w:color="auto"/>
        <w:left w:val="none" w:sz="0" w:space="0" w:color="auto"/>
        <w:bottom w:val="none" w:sz="0" w:space="0" w:color="auto"/>
        <w:right w:val="none" w:sz="0" w:space="0" w:color="auto"/>
      </w:divBdr>
    </w:div>
    <w:div w:id="1932365">
      <w:bodyDiv w:val="1"/>
      <w:marLeft w:val="0"/>
      <w:marRight w:val="0"/>
      <w:marTop w:val="0"/>
      <w:marBottom w:val="0"/>
      <w:divBdr>
        <w:top w:val="none" w:sz="0" w:space="0" w:color="auto"/>
        <w:left w:val="none" w:sz="0" w:space="0" w:color="auto"/>
        <w:bottom w:val="none" w:sz="0" w:space="0" w:color="auto"/>
        <w:right w:val="none" w:sz="0" w:space="0" w:color="auto"/>
      </w:divBdr>
    </w:div>
    <w:div w:id="2172579">
      <w:bodyDiv w:val="1"/>
      <w:marLeft w:val="0"/>
      <w:marRight w:val="0"/>
      <w:marTop w:val="0"/>
      <w:marBottom w:val="0"/>
      <w:divBdr>
        <w:top w:val="none" w:sz="0" w:space="0" w:color="auto"/>
        <w:left w:val="none" w:sz="0" w:space="0" w:color="auto"/>
        <w:bottom w:val="none" w:sz="0" w:space="0" w:color="auto"/>
        <w:right w:val="none" w:sz="0" w:space="0" w:color="auto"/>
      </w:divBdr>
    </w:div>
    <w:div w:id="2443217">
      <w:bodyDiv w:val="1"/>
      <w:marLeft w:val="0"/>
      <w:marRight w:val="0"/>
      <w:marTop w:val="0"/>
      <w:marBottom w:val="0"/>
      <w:divBdr>
        <w:top w:val="none" w:sz="0" w:space="0" w:color="auto"/>
        <w:left w:val="none" w:sz="0" w:space="0" w:color="auto"/>
        <w:bottom w:val="none" w:sz="0" w:space="0" w:color="auto"/>
        <w:right w:val="none" w:sz="0" w:space="0" w:color="auto"/>
      </w:divBdr>
    </w:div>
    <w:div w:id="2976623">
      <w:bodyDiv w:val="1"/>
      <w:marLeft w:val="0"/>
      <w:marRight w:val="0"/>
      <w:marTop w:val="0"/>
      <w:marBottom w:val="0"/>
      <w:divBdr>
        <w:top w:val="none" w:sz="0" w:space="0" w:color="auto"/>
        <w:left w:val="none" w:sz="0" w:space="0" w:color="auto"/>
        <w:bottom w:val="none" w:sz="0" w:space="0" w:color="auto"/>
        <w:right w:val="none" w:sz="0" w:space="0" w:color="auto"/>
      </w:divBdr>
    </w:div>
    <w:div w:id="2977160">
      <w:bodyDiv w:val="1"/>
      <w:marLeft w:val="0"/>
      <w:marRight w:val="0"/>
      <w:marTop w:val="0"/>
      <w:marBottom w:val="0"/>
      <w:divBdr>
        <w:top w:val="none" w:sz="0" w:space="0" w:color="auto"/>
        <w:left w:val="none" w:sz="0" w:space="0" w:color="auto"/>
        <w:bottom w:val="none" w:sz="0" w:space="0" w:color="auto"/>
        <w:right w:val="none" w:sz="0" w:space="0" w:color="auto"/>
      </w:divBdr>
    </w:div>
    <w:div w:id="3016550">
      <w:bodyDiv w:val="1"/>
      <w:marLeft w:val="0"/>
      <w:marRight w:val="0"/>
      <w:marTop w:val="0"/>
      <w:marBottom w:val="0"/>
      <w:divBdr>
        <w:top w:val="none" w:sz="0" w:space="0" w:color="auto"/>
        <w:left w:val="none" w:sz="0" w:space="0" w:color="auto"/>
        <w:bottom w:val="none" w:sz="0" w:space="0" w:color="auto"/>
        <w:right w:val="none" w:sz="0" w:space="0" w:color="auto"/>
      </w:divBdr>
    </w:div>
    <w:div w:id="3023607">
      <w:bodyDiv w:val="1"/>
      <w:marLeft w:val="0"/>
      <w:marRight w:val="0"/>
      <w:marTop w:val="0"/>
      <w:marBottom w:val="0"/>
      <w:divBdr>
        <w:top w:val="none" w:sz="0" w:space="0" w:color="auto"/>
        <w:left w:val="none" w:sz="0" w:space="0" w:color="auto"/>
        <w:bottom w:val="none" w:sz="0" w:space="0" w:color="auto"/>
        <w:right w:val="none" w:sz="0" w:space="0" w:color="auto"/>
      </w:divBdr>
    </w:div>
    <w:div w:id="3174897">
      <w:bodyDiv w:val="1"/>
      <w:marLeft w:val="0"/>
      <w:marRight w:val="0"/>
      <w:marTop w:val="0"/>
      <w:marBottom w:val="0"/>
      <w:divBdr>
        <w:top w:val="none" w:sz="0" w:space="0" w:color="auto"/>
        <w:left w:val="none" w:sz="0" w:space="0" w:color="auto"/>
        <w:bottom w:val="none" w:sz="0" w:space="0" w:color="auto"/>
        <w:right w:val="none" w:sz="0" w:space="0" w:color="auto"/>
      </w:divBdr>
    </w:div>
    <w:div w:id="3408804">
      <w:bodyDiv w:val="1"/>
      <w:marLeft w:val="0"/>
      <w:marRight w:val="0"/>
      <w:marTop w:val="0"/>
      <w:marBottom w:val="0"/>
      <w:divBdr>
        <w:top w:val="none" w:sz="0" w:space="0" w:color="auto"/>
        <w:left w:val="none" w:sz="0" w:space="0" w:color="auto"/>
        <w:bottom w:val="none" w:sz="0" w:space="0" w:color="auto"/>
        <w:right w:val="none" w:sz="0" w:space="0" w:color="auto"/>
      </w:divBdr>
    </w:div>
    <w:div w:id="3633529">
      <w:bodyDiv w:val="1"/>
      <w:marLeft w:val="0"/>
      <w:marRight w:val="0"/>
      <w:marTop w:val="0"/>
      <w:marBottom w:val="0"/>
      <w:divBdr>
        <w:top w:val="none" w:sz="0" w:space="0" w:color="auto"/>
        <w:left w:val="none" w:sz="0" w:space="0" w:color="auto"/>
        <w:bottom w:val="none" w:sz="0" w:space="0" w:color="auto"/>
        <w:right w:val="none" w:sz="0" w:space="0" w:color="auto"/>
      </w:divBdr>
    </w:div>
    <w:div w:id="3673148">
      <w:bodyDiv w:val="1"/>
      <w:marLeft w:val="0"/>
      <w:marRight w:val="0"/>
      <w:marTop w:val="0"/>
      <w:marBottom w:val="0"/>
      <w:divBdr>
        <w:top w:val="none" w:sz="0" w:space="0" w:color="auto"/>
        <w:left w:val="none" w:sz="0" w:space="0" w:color="auto"/>
        <w:bottom w:val="none" w:sz="0" w:space="0" w:color="auto"/>
        <w:right w:val="none" w:sz="0" w:space="0" w:color="auto"/>
      </w:divBdr>
    </w:div>
    <w:div w:id="3749798">
      <w:bodyDiv w:val="1"/>
      <w:marLeft w:val="0"/>
      <w:marRight w:val="0"/>
      <w:marTop w:val="0"/>
      <w:marBottom w:val="0"/>
      <w:divBdr>
        <w:top w:val="none" w:sz="0" w:space="0" w:color="auto"/>
        <w:left w:val="none" w:sz="0" w:space="0" w:color="auto"/>
        <w:bottom w:val="none" w:sz="0" w:space="0" w:color="auto"/>
        <w:right w:val="none" w:sz="0" w:space="0" w:color="auto"/>
      </w:divBdr>
    </w:div>
    <w:div w:id="3829711">
      <w:bodyDiv w:val="1"/>
      <w:marLeft w:val="0"/>
      <w:marRight w:val="0"/>
      <w:marTop w:val="0"/>
      <w:marBottom w:val="0"/>
      <w:divBdr>
        <w:top w:val="none" w:sz="0" w:space="0" w:color="auto"/>
        <w:left w:val="none" w:sz="0" w:space="0" w:color="auto"/>
        <w:bottom w:val="none" w:sz="0" w:space="0" w:color="auto"/>
        <w:right w:val="none" w:sz="0" w:space="0" w:color="auto"/>
      </w:divBdr>
    </w:div>
    <w:div w:id="3896135">
      <w:bodyDiv w:val="1"/>
      <w:marLeft w:val="0"/>
      <w:marRight w:val="0"/>
      <w:marTop w:val="0"/>
      <w:marBottom w:val="0"/>
      <w:divBdr>
        <w:top w:val="none" w:sz="0" w:space="0" w:color="auto"/>
        <w:left w:val="none" w:sz="0" w:space="0" w:color="auto"/>
        <w:bottom w:val="none" w:sz="0" w:space="0" w:color="auto"/>
        <w:right w:val="none" w:sz="0" w:space="0" w:color="auto"/>
      </w:divBdr>
    </w:div>
    <w:div w:id="3940979">
      <w:bodyDiv w:val="1"/>
      <w:marLeft w:val="0"/>
      <w:marRight w:val="0"/>
      <w:marTop w:val="0"/>
      <w:marBottom w:val="0"/>
      <w:divBdr>
        <w:top w:val="none" w:sz="0" w:space="0" w:color="auto"/>
        <w:left w:val="none" w:sz="0" w:space="0" w:color="auto"/>
        <w:bottom w:val="none" w:sz="0" w:space="0" w:color="auto"/>
        <w:right w:val="none" w:sz="0" w:space="0" w:color="auto"/>
      </w:divBdr>
    </w:div>
    <w:div w:id="4288270">
      <w:bodyDiv w:val="1"/>
      <w:marLeft w:val="0"/>
      <w:marRight w:val="0"/>
      <w:marTop w:val="0"/>
      <w:marBottom w:val="0"/>
      <w:divBdr>
        <w:top w:val="none" w:sz="0" w:space="0" w:color="auto"/>
        <w:left w:val="none" w:sz="0" w:space="0" w:color="auto"/>
        <w:bottom w:val="none" w:sz="0" w:space="0" w:color="auto"/>
        <w:right w:val="none" w:sz="0" w:space="0" w:color="auto"/>
      </w:divBdr>
    </w:div>
    <w:div w:id="4334661">
      <w:bodyDiv w:val="1"/>
      <w:marLeft w:val="0"/>
      <w:marRight w:val="0"/>
      <w:marTop w:val="0"/>
      <w:marBottom w:val="0"/>
      <w:divBdr>
        <w:top w:val="none" w:sz="0" w:space="0" w:color="auto"/>
        <w:left w:val="none" w:sz="0" w:space="0" w:color="auto"/>
        <w:bottom w:val="none" w:sz="0" w:space="0" w:color="auto"/>
        <w:right w:val="none" w:sz="0" w:space="0" w:color="auto"/>
      </w:divBdr>
    </w:div>
    <w:div w:id="4523227">
      <w:bodyDiv w:val="1"/>
      <w:marLeft w:val="0"/>
      <w:marRight w:val="0"/>
      <w:marTop w:val="0"/>
      <w:marBottom w:val="0"/>
      <w:divBdr>
        <w:top w:val="none" w:sz="0" w:space="0" w:color="auto"/>
        <w:left w:val="none" w:sz="0" w:space="0" w:color="auto"/>
        <w:bottom w:val="none" w:sz="0" w:space="0" w:color="auto"/>
        <w:right w:val="none" w:sz="0" w:space="0" w:color="auto"/>
      </w:divBdr>
    </w:div>
    <w:div w:id="4523341">
      <w:bodyDiv w:val="1"/>
      <w:marLeft w:val="0"/>
      <w:marRight w:val="0"/>
      <w:marTop w:val="0"/>
      <w:marBottom w:val="0"/>
      <w:divBdr>
        <w:top w:val="none" w:sz="0" w:space="0" w:color="auto"/>
        <w:left w:val="none" w:sz="0" w:space="0" w:color="auto"/>
        <w:bottom w:val="none" w:sz="0" w:space="0" w:color="auto"/>
        <w:right w:val="none" w:sz="0" w:space="0" w:color="auto"/>
      </w:divBdr>
    </w:div>
    <w:div w:id="5056102">
      <w:bodyDiv w:val="1"/>
      <w:marLeft w:val="0"/>
      <w:marRight w:val="0"/>
      <w:marTop w:val="0"/>
      <w:marBottom w:val="0"/>
      <w:divBdr>
        <w:top w:val="none" w:sz="0" w:space="0" w:color="auto"/>
        <w:left w:val="none" w:sz="0" w:space="0" w:color="auto"/>
        <w:bottom w:val="none" w:sz="0" w:space="0" w:color="auto"/>
        <w:right w:val="none" w:sz="0" w:space="0" w:color="auto"/>
      </w:divBdr>
    </w:div>
    <w:div w:id="5056967">
      <w:bodyDiv w:val="1"/>
      <w:marLeft w:val="0"/>
      <w:marRight w:val="0"/>
      <w:marTop w:val="0"/>
      <w:marBottom w:val="0"/>
      <w:divBdr>
        <w:top w:val="none" w:sz="0" w:space="0" w:color="auto"/>
        <w:left w:val="none" w:sz="0" w:space="0" w:color="auto"/>
        <w:bottom w:val="none" w:sz="0" w:space="0" w:color="auto"/>
        <w:right w:val="none" w:sz="0" w:space="0" w:color="auto"/>
      </w:divBdr>
    </w:div>
    <w:div w:id="5138757">
      <w:bodyDiv w:val="1"/>
      <w:marLeft w:val="0"/>
      <w:marRight w:val="0"/>
      <w:marTop w:val="0"/>
      <w:marBottom w:val="0"/>
      <w:divBdr>
        <w:top w:val="none" w:sz="0" w:space="0" w:color="auto"/>
        <w:left w:val="none" w:sz="0" w:space="0" w:color="auto"/>
        <w:bottom w:val="none" w:sz="0" w:space="0" w:color="auto"/>
        <w:right w:val="none" w:sz="0" w:space="0" w:color="auto"/>
      </w:divBdr>
    </w:div>
    <w:div w:id="5253585">
      <w:bodyDiv w:val="1"/>
      <w:marLeft w:val="0"/>
      <w:marRight w:val="0"/>
      <w:marTop w:val="0"/>
      <w:marBottom w:val="0"/>
      <w:divBdr>
        <w:top w:val="none" w:sz="0" w:space="0" w:color="auto"/>
        <w:left w:val="none" w:sz="0" w:space="0" w:color="auto"/>
        <w:bottom w:val="none" w:sz="0" w:space="0" w:color="auto"/>
        <w:right w:val="none" w:sz="0" w:space="0" w:color="auto"/>
      </w:divBdr>
    </w:div>
    <w:div w:id="5253906">
      <w:bodyDiv w:val="1"/>
      <w:marLeft w:val="0"/>
      <w:marRight w:val="0"/>
      <w:marTop w:val="0"/>
      <w:marBottom w:val="0"/>
      <w:divBdr>
        <w:top w:val="none" w:sz="0" w:space="0" w:color="auto"/>
        <w:left w:val="none" w:sz="0" w:space="0" w:color="auto"/>
        <w:bottom w:val="none" w:sz="0" w:space="0" w:color="auto"/>
        <w:right w:val="none" w:sz="0" w:space="0" w:color="auto"/>
      </w:divBdr>
    </w:div>
    <w:div w:id="5254357">
      <w:bodyDiv w:val="1"/>
      <w:marLeft w:val="0"/>
      <w:marRight w:val="0"/>
      <w:marTop w:val="0"/>
      <w:marBottom w:val="0"/>
      <w:divBdr>
        <w:top w:val="none" w:sz="0" w:space="0" w:color="auto"/>
        <w:left w:val="none" w:sz="0" w:space="0" w:color="auto"/>
        <w:bottom w:val="none" w:sz="0" w:space="0" w:color="auto"/>
        <w:right w:val="none" w:sz="0" w:space="0" w:color="auto"/>
      </w:divBdr>
    </w:div>
    <w:div w:id="6058077">
      <w:bodyDiv w:val="1"/>
      <w:marLeft w:val="0"/>
      <w:marRight w:val="0"/>
      <w:marTop w:val="0"/>
      <w:marBottom w:val="0"/>
      <w:divBdr>
        <w:top w:val="none" w:sz="0" w:space="0" w:color="auto"/>
        <w:left w:val="none" w:sz="0" w:space="0" w:color="auto"/>
        <w:bottom w:val="none" w:sz="0" w:space="0" w:color="auto"/>
        <w:right w:val="none" w:sz="0" w:space="0" w:color="auto"/>
      </w:divBdr>
    </w:div>
    <w:div w:id="6369064">
      <w:bodyDiv w:val="1"/>
      <w:marLeft w:val="0"/>
      <w:marRight w:val="0"/>
      <w:marTop w:val="0"/>
      <w:marBottom w:val="0"/>
      <w:divBdr>
        <w:top w:val="none" w:sz="0" w:space="0" w:color="auto"/>
        <w:left w:val="none" w:sz="0" w:space="0" w:color="auto"/>
        <w:bottom w:val="none" w:sz="0" w:space="0" w:color="auto"/>
        <w:right w:val="none" w:sz="0" w:space="0" w:color="auto"/>
      </w:divBdr>
    </w:div>
    <w:div w:id="6947989">
      <w:bodyDiv w:val="1"/>
      <w:marLeft w:val="0"/>
      <w:marRight w:val="0"/>
      <w:marTop w:val="0"/>
      <w:marBottom w:val="0"/>
      <w:divBdr>
        <w:top w:val="none" w:sz="0" w:space="0" w:color="auto"/>
        <w:left w:val="none" w:sz="0" w:space="0" w:color="auto"/>
        <w:bottom w:val="none" w:sz="0" w:space="0" w:color="auto"/>
        <w:right w:val="none" w:sz="0" w:space="0" w:color="auto"/>
      </w:divBdr>
    </w:div>
    <w:div w:id="7342504">
      <w:bodyDiv w:val="1"/>
      <w:marLeft w:val="0"/>
      <w:marRight w:val="0"/>
      <w:marTop w:val="0"/>
      <w:marBottom w:val="0"/>
      <w:divBdr>
        <w:top w:val="none" w:sz="0" w:space="0" w:color="auto"/>
        <w:left w:val="none" w:sz="0" w:space="0" w:color="auto"/>
        <w:bottom w:val="none" w:sz="0" w:space="0" w:color="auto"/>
        <w:right w:val="none" w:sz="0" w:space="0" w:color="auto"/>
      </w:divBdr>
    </w:div>
    <w:div w:id="7412724">
      <w:bodyDiv w:val="1"/>
      <w:marLeft w:val="0"/>
      <w:marRight w:val="0"/>
      <w:marTop w:val="0"/>
      <w:marBottom w:val="0"/>
      <w:divBdr>
        <w:top w:val="none" w:sz="0" w:space="0" w:color="auto"/>
        <w:left w:val="none" w:sz="0" w:space="0" w:color="auto"/>
        <w:bottom w:val="none" w:sz="0" w:space="0" w:color="auto"/>
        <w:right w:val="none" w:sz="0" w:space="0" w:color="auto"/>
      </w:divBdr>
    </w:div>
    <w:div w:id="7608239">
      <w:bodyDiv w:val="1"/>
      <w:marLeft w:val="0"/>
      <w:marRight w:val="0"/>
      <w:marTop w:val="0"/>
      <w:marBottom w:val="0"/>
      <w:divBdr>
        <w:top w:val="none" w:sz="0" w:space="0" w:color="auto"/>
        <w:left w:val="none" w:sz="0" w:space="0" w:color="auto"/>
        <w:bottom w:val="none" w:sz="0" w:space="0" w:color="auto"/>
        <w:right w:val="none" w:sz="0" w:space="0" w:color="auto"/>
      </w:divBdr>
    </w:div>
    <w:div w:id="7757120">
      <w:bodyDiv w:val="1"/>
      <w:marLeft w:val="0"/>
      <w:marRight w:val="0"/>
      <w:marTop w:val="0"/>
      <w:marBottom w:val="0"/>
      <w:divBdr>
        <w:top w:val="none" w:sz="0" w:space="0" w:color="auto"/>
        <w:left w:val="none" w:sz="0" w:space="0" w:color="auto"/>
        <w:bottom w:val="none" w:sz="0" w:space="0" w:color="auto"/>
        <w:right w:val="none" w:sz="0" w:space="0" w:color="auto"/>
      </w:divBdr>
    </w:div>
    <w:div w:id="7802922">
      <w:bodyDiv w:val="1"/>
      <w:marLeft w:val="0"/>
      <w:marRight w:val="0"/>
      <w:marTop w:val="0"/>
      <w:marBottom w:val="0"/>
      <w:divBdr>
        <w:top w:val="none" w:sz="0" w:space="0" w:color="auto"/>
        <w:left w:val="none" w:sz="0" w:space="0" w:color="auto"/>
        <w:bottom w:val="none" w:sz="0" w:space="0" w:color="auto"/>
        <w:right w:val="none" w:sz="0" w:space="0" w:color="auto"/>
      </w:divBdr>
    </w:div>
    <w:div w:id="8026272">
      <w:bodyDiv w:val="1"/>
      <w:marLeft w:val="0"/>
      <w:marRight w:val="0"/>
      <w:marTop w:val="0"/>
      <w:marBottom w:val="0"/>
      <w:divBdr>
        <w:top w:val="none" w:sz="0" w:space="0" w:color="auto"/>
        <w:left w:val="none" w:sz="0" w:space="0" w:color="auto"/>
        <w:bottom w:val="none" w:sz="0" w:space="0" w:color="auto"/>
        <w:right w:val="none" w:sz="0" w:space="0" w:color="auto"/>
      </w:divBdr>
    </w:div>
    <w:div w:id="8139391">
      <w:bodyDiv w:val="1"/>
      <w:marLeft w:val="0"/>
      <w:marRight w:val="0"/>
      <w:marTop w:val="0"/>
      <w:marBottom w:val="0"/>
      <w:divBdr>
        <w:top w:val="none" w:sz="0" w:space="0" w:color="auto"/>
        <w:left w:val="none" w:sz="0" w:space="0" w:color="auto"/>
        <w:bottom w:val="none" w:sz="0" w:space="0" w:color="auto"/>
        <w:right w:val="none" w:sz="0" w:space="0" w:color="auto"/>
      </w:divBdr>
    </w:div>
    <w:div w:id="8602238">
      <w:bodyDiv w:val="1"/>
      <w:marLeft w:val="0"/>
      <w:marRight w:val="0"/>
      <w:marTop w:val="0"/>
      <w:marBottom w:val="0"/>
      <w:divBdr>
        <w:top w:val="none" w:sz="0" w:space="0" w:color="auto"/>
        <w:left w:val="none" w:sz="0" w:space="0" w:color="auto"/>
        <w:bottom w:val="none" w:sz="0" w:space="0" w:color="auto"/>
        <w:right w:val="none" w:sz="0" w:space="0" w:color="auto"/>
      </w:divBdr>
    </w:div>
    <w:div w:id="8608763">
      <w:bodyDiv w:val="1"/>
      <w:marLeft w:val="0"/>
      <w:marRight w:val="0"/>
      <w:marTop w:val="0"/>
      <w:marBottom w:val="0"/>
      <w:divBdr>
        <w:top w:val="none" w:sz="0" w:space="0" w:color="auto"/>
        <w:left w:val="none" w:sz="0" w:space="0" w:color="auto"/>
        <w:bottom w:val="none" w:sz="0" w:space="0" w:color="auto"/>
        <w:right w:val="none" w:sz="0" w:space="0" w:color="auto"/>
      </w:divBdr>
    </w:div>
    <w:div w:id="8726574">
      <w:bodyDiv w:val="1"/>
      <w:marLeft w:val="0"/>
      <w:marRight w:val="0"/>
      <w:marTop w:val="0"/>
      <w:marBottom w:val="0"/>
      <w:divBdr>
        <w:top w:val="none" w:sz="0" w:space="0" w:color="auto"/>
        <w:left w:val="none" w:sz="0" w:space="0" w:color="auto"/>
        <w:bottom w:val="none" w:sz="0" w:space="0" w:color="auto"/>
        <w:right w:val="none" w:sz="0" w:space="0" w:color="auto"/>
      </w:divBdr>
    </w:div>
    <w:div w:id="8796976">
      <w:bodyDiv w:val="1"/>
      <w:marLeft w:val="0"/>
      <w:marRight w:val="0"/>
      <w:marTop w:val="0"/>
      <w:marBottom w:val="0"/>
      <w:divBdr>
        <w:top w:val="none" w:sz="0" w:space="0" w:color="auto"/>
        <w:left w:val="none" w:sz="0" w:space="0" w:color="auto"/>
        <w:bottom w:val="none" w:sz="0" w:space="0" w:color="auto"/>
        <w:right w:val="none" w:sz="0" w:space="0" w:color="auto"/>
      </w:divBdr>
    </w:div>
    <w:div w:id="8801636">
      <w:bodyDiv w:val="1"/>
      <w:marLeft w:val="0"/>
      <w:marRight w:val="0"/>
      <w:marTop w:val="0"/>
      <w:marBottom w:val="0"/>
      <w:divBdr>
        <w:top w:val="none" w:sz="0" w:space="0" w:color="auto"/>
        <w:left w:val="none" w:sz="0" w:space="0" w:color="auto"/>
        <w:bottom w:val="none" w:sz="0" w:space="0" w:color="auto"/>
        <w:right w:val="none" w:sz="0" w:space="0" w:color="auto"/>
      </w:divBdr>
    </w:div>
    <w:div w:id="9257755">
      <w:bodyDiv w:val="1"/>
      <w:marLeft w:val="0"/>
      <w:marRight w:val="0"/>
      <w:marTop w:val="0"/>
      <w:marBottom w:val="0"/>
      <w:divBdr>
        <w:top w:val="none" w:sz="0" w:space="0" w:color="auto"/>
        <w:left w:val="none" w:sz="0" w:space="0" w:color="auto"/>
        <w:bottom w:val="none" w:sz="0" w:space="0" w:color="auto"/>
        <w:right w:val="none" w:sz="0" w:space="0" w:color="auto"/>
      </w:divBdr>
    </w:div>
    <w:div w:id="9258159">
      <w:bodyDiv w:val="1"/>
      <w:marLeft w:val="0"/>
      <w:marRight w:val="0"/>
      <w:marTop w:val="0"/>
      <w:marBottom w:val="0"/>
      <w:divBdr>
        <w:top w:val="none" w:sz="0" w:space="0" w:color="auto"/>
        <w:left w:val="none" w:sz="0" w:space="0" w:color="auto"/>
        <w:bottom w:val="none" w:sz="0" w:space="0" w:color="auto"/>
        <w:right w:val="none" w:sz="0" w:space="0" w:color="auto"/>
      </w:divBdr>
    </w:div>
    <w:div w:id="9338340">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
    <w:div w:id="9529110">
      <w:bodyDiv w:val="1"/>
      <w:marLeft w:val="0"/>
      <w:marRight w:val="0"/>
      <w:marTop w:val="0"/>
      <w:marBottom w:val="0"/>
      <w:divBdr>
        <w:top w:val="none" w:sz="0" w:space="0" w:color="auto"/>
        <w:left w:val="none" w:sz="0" w:space="0" w:color="auto"/>
        <w:bottom w:val="none" w:sz="0" w:space="0" w:color="auto"/>
        <w:right w:val="none" w:sz="0" w:space="0" w:color="auto"/>
      </w:divBdr>
    </w:div>
    <w:div w:id="9767145">
      <w:bodyDiv w:val="1"/>
      <w:marLeft w:val="0"/>
      <w:marRight w:val="0"/>
      <w:marTop w:val="0"/>
      <w:marBottom w:val="0"/>
      <w:divBdr>
        <w:top w:val="none" w:sz="0" w:space="0" w:color="auto"/>
        <w:left w:val="none" w:sz="0" w:space="0" w:color="auto"/>
        <w:bottom w:val="none" w:sz="0" w:space="0" w:color="auto"/>
        <w:right w:val="none" w:sz="0" w:space="0" w:color="auto"/>
      </w:divBdr>
    </w:div>
    <w:div w:id="10035046">
      <w:bodyDiv w:val="1"/>
      <w:marLeft w:val="0"/>
      <w:marRight w:val="0"/>
      <w:marTop w:val="0"/>
      <w:marBottom w:val="0"/>
      <w:divBdr>
        <w:top w:val="none" w:sz="0" w:space="0" w:color="auto"/>
        <w:left w:val="none" w:sz="0" w:space="0" w:color="auto"/>
        <w:bottom w:val="none" w:sz="0" w:space="0" w:color="auto"/>
        <w:right w:val="none" w:sz="0" w:space="0" w:color="auto"/>
      </w:divBdr>
    </w:div>
    <w:div w:id="10184744">
      <w:bodyDiv w:val="1"/>
      <w:marLeft w:val="0"/>
      <w:marRight w:val="0"/>
      <w:marTop w:val="0"/>
      <w:marBottom w:val="0"/>
      <w:divBdr>
        <w:top w:val="none" w:sz="0" w:space="0" w:color="auto"/>
        <w:left w:val="none" w:sz="0" w:space="0" w:color="auto"/>
        <w:bottom w:val="none" w:sz="0" w:space="0" w:color="auto"/>
        <w:right w:val="none" w:sz="0" w:space="0" w:color="auto"/>
      </w:divBdr>
    </w:div>
    <w:div w:id="10225420">
      <w:bodyDiv w:val="1"/>
      <w:marLeft w:val="0"/>
      <w:marRight w:val="0"/>
      <w:marTop w:val="0"/>
      <w:marBottom w:val="0"/>
      <w:divBdr>
        <w:top w:val="none" w:sz="0" w:space="0" w:color="auto"/>
        <w:left w:val="none" w:sz="0" w:space="0" w:color="auto"/>
        <w:bottom w:val="none" w:sz="0" w:space="0" w:color="auto"/>
        <w:right w:val="none" w:sz="0" w:space="0" w:color="auto"/>
      </w:divBdr>
    </w:div>
    <w:div w:id="10229982">
      <w:bodyDiv w:val="1"/>
      <w:marLeft w:val="0"/>
      <w:marRight w:val="0"/>
      <w:marTop w:val="0"/>
      <w:marBottom w:val="0"/>
      <w:divBdr>
        <w:top w:val="none" w:sz="0" w:space="0" w:color="auto"/>
        <w:left w:val="none" w:sz="0" w:space="0" w:color="auto"/>
        <w:bottom w:val="none" w:sz="0" w:space="0" w:color="auto"/>
        <w:right w:val="none" w:sz="0" w:space="0" w:color="auto"/>
      </w:divBdr>
    </w:div>
    <w:div w:id="10306349">
      <w:bodyDiv w:val="1"/>
      <w:marLeft w:val="0"/>
      <w:marRight w:val="0"/>
      <w:marTop w:val="0"/>
      <w:marBottom w:val="0"/>
      <w:divBdr>
        <w:top w:val="none" w:sz="0" w:space="0" w:color="auto"/>
        <w:left w:val="none" w:sz="0" w:space="0" w:color="auto"/>
        <w:bottom w:val="none" w:sz="0" w:space="0" w:color="auto"/>
        <w:right w:val="none" w:sz="0" w:space="0" w:color="auto"/>
      </w:divBdr>
    </w:div>
    <w:div w:id="10449812">
      <w:bodyDiv w:val="1"/>
      <w:marLeft w:val="0"/>
      <w:marRight w:val="0"/>
      <w:marTop w:val="0"/>
      <w:marBottom w:val="0"/>
      <w:divBdr>
        <w:top w:val="none" w:sz="0" w:space="0" w:color="auto"/>
        <w:left w:val="none" w:sz="0" w:space="0" w:color="auto"/>
        <w:bottom w:val="none" w:sz="0" w:space="0" w:color="auto"/>
        <w:right w:val="none" w:sz="0" w:space="0" w:color="auto"/>
      </w:divBdr>
    </w:div>
    <w:div w:id="10684543">
      <w:bodyDiv w:val="1"/>
      <w:marLeft w:val="0"/>
      <w:marRight w:val="0"/>
      <w:marTop w:val="0"/>
      <w:marBottom w:val="0"/>
      <w:divBdr>
        <w:top w:val="none" w:sz="0" w:space="0" w:color="auto"/>
        <w:left w:val="none" w:sz="0" w:space="0" w:color="auto"/>
        <w:bottom w:val="none" w:sz="0" w:space="0" w:color="auto"/>
        <w:right w:val="none" w:sz="0" w:space="0" w:color="auto"/>
      </w:divBdr>
    </w:div>
    <w:div w:id="10688369">
      <w:bodyDiv w:val="1"/>
      <w:marLeft w:val="0"/>
      <w:marRight w:val="0"/>
      <w:marTop w:val="0"/>
      <w:marBottom w:val="0"/>
      <w:divBdr>
        <w:top w:val="none" w:sz="0" w:space="0" w:color="auto"/>
        <w:left w:val="none" w:sz="0" w:space="0" w:color="auto"/>
        <w:bottom w:val="none" w:sz="0" w:space="0" w:color="auto"/>
        <w:right w:val="none" w:sz="0" w:space="0" w:color="auto"/>
      </w:divBdr>
    </w:div>
    <w:div w:id="10838107">
      <w:bodyDiv w:val="1"/>
      <w:marLeft w:val="0"/>
      <w:marRight w:val="0"/>
      <w:marTop w:val="0"/>
      <w:marBottom w:val="0"/>
      <w:divBdr>
        <w:top w:val="none" w:sz="0" w:space="0" w:color="auto"/>
        <w:left w:val="none" w:sz="0" w:space="0" w:color="auto"/>
        <w:bottom w:val="none" w:sz="0" w:space="0" w:color="auto"/>
        <w:right w:val="none" w:sz="0" w:space="0" w:color="auto"/>
      </w:divBdr>
    </w:div>
    <w:div w:id="10883405">
      <w:bodyDiv w:val="1"/>
      <w:marLeft w:val="0"/>
      <w:marRight w:val="0"/>
      <w:marTop w:val="0"/>
      <w:marBottom w:val="0"/>
      <w:divBdr>
        <w:top w:val="none" w:sz="0" w:space="0" w:color="auto"/>
        <w:left w:val="none" w:sz="0" w:space="0" w:color="auto"/>
        <w:bottom w:val="none" w:sz="0" w:space="0" w:color="auto"/>
        <w:right w:val="none" w:sz="0" w:space="0" w:color="auto"/>
      </w:divBdr>
    </w:div>
    <w:div w:id="10961501">
      <w:bodyDiv w:val="1"/>
      <w:marLeft w:val="0"/>
      <w:marRight w:val="0"/>
      <w:marTop w:val="0"/>
      <w:marBottom w:val="0"/>
      <w:divBdr>
        <w:top w:val="none" w:sz="0" w:space="0" w:color="auto"/>
        <w:left w:val="none" w:sz="0" w:space="0" w:color="auto"/>
        <w:bottom w:val="none" w:sz="0" w:space="0" w:color="auto"/>
        <w:right w:val="none" w:sz="0" w:space="0" w:color="auto"/>
      </w:divBdr>
    </w:div>
    <w:div w:id="11030164">
      <w:bodyDiv w:val="1"/>
      <w:marLeft w:val="0"/>
      <w:marRight w:val="0"/>
      <w:marTop w:val="0"/>
      <w:marBottom w:val="0"/>
      <w:divBdr>
        <w:top w:val="none" w:sz="0" w:space="0" w:color="auto"/>
        <w:left w:val="none" w:sz="0" w:space="0" w:color="auto"/>
        <w:bottom w:val="none" w:sz="0" w:space="0" w:color="auto"/>
        <w:right w:val="none" w:sz="0" w:space="0" w:color="auto"/>
      </w:divBdr>
    </w:div>
    <w:div w:id="11075791">
      <w:bodyDiv w:val="1"/>
      <w:marLeft w:val="0"/>
      <w:marRight w:val="0"/>
      <w:marTop w:val="0"/>
      <w:marBottom w:val="0"/>
      <w:divBdr>
        <w:top w:val="none" w:sz="0" w:space="0" w:color="auto"/>
        <w:left w:val="none" w:sz="0" w:space="0" w:color="auto"/>
        <w:bottom w:val="none" w:sz="0" w:space="0" w:color="auto"/>
        <w:right w:val="none" w:sz="0" w:space="0" w:color="auto"/>
      </w:divBdr>
    </w:div>
    <w:div w:id="11104564">
      <w:bodyDiv w:val="1"/>
      <w:marLeft w:val="0"/>
      <w:marRight w:val="0"/>
      <w:marTop w:val="0"/>
      <w:marBottom w:val="0"/>
      <w:divBdr>
        <w:top w:val="none" w:sz="0" w:space="0" w:color="auto"/>
        <w:left w:val="none" w:sz="0" w:space="0" w:color="auto"/>
        <w:bottom w:val="none" w:sz="0" w:space="0" w:color="auto"/>
        <w:right w:val="none" w:sz="0" w:space="0" w:color="auto"/>
      </w:divBdr>
    </w:div>
    <w:div w:id="11424488">
      <w:bodyDiv w:val="1"/>
      <w:marLeft w:val="0"/>
      <w:marRight w:val="0"/>
      <w:marTop w:val="0"/>
      <w:marBottom w:val="0"/>
      <w:divBdr>
        <w:top w:val="none" w:sz="0" w:space="0" w:color="auto"/>
        <w:left w:val="none" w:sz="0" w:space="0" w:color="auto"/>
        <w:bottom w:val="none" w:sz="0" w:space="0" w:color="auto"/>
        <w:right w:val="none" w:sz="0" w:space="0" w:color="auto"/>
      </w:divBdr>
    </w:div>
    <w:div w:id="11803437">
      <w:bodyDiv w:val="1"/>
      <w:marLeft w:val="0"/>
      <w:marRight w:val="0"/>
      <w:marTop w:val="0"/>
      <w:marBottom w:val="0"/>
      <w:divBdr>
        <w:top w:val="none" w:sz="0" w:space="0" w:color="auto"/>
        <w:left w:val="none" w:sz="0" w:space="0" w:color="auto"/>
        <w:bottom w:val="none" w:sz="0" w:space="0" w:color="auto"/>
        <w:right w:val="none" w:sz="0" w:space="0" w:color="auto"/>
      </w:divBdr>
    </w:div>
    <w:div w:id="11959270">
      <w:bodyDiv w:val="1"/>
      <w:marLeft w:val="0"/>
      <w:marRight w:val="0"/>
      <w:marTop w:val="0"/>
      <w:marBottom w:val="0"/>
      <w:divBdr>
        <w:top w:val="none" w:sz="0" w:space="0" w:color="auto"/>
        <w:left w:val="none" w:sz="0" w:space="0" w:color="auto"/>
        <w:bottom w:val="none" w:sz="0" w:space="0" w:color="auto"/>
        <w:right w:val="none" w:sz="0" w:space="0" w:color="auto"/>
      </w:divBdr>
    </w:div>
    <w:div w:id="11996291">
      <w:bodyDiv w:val="1"/>
      <w:marLeft w:val="0"/>
      <w:marRight w:val="0"/>
      <w:marTop w:val="0"/>
      <w:marBottom w:val="0"/>
      <w:divBdr>
        <w:top w:val="none" w:sz="0" w:space="0" w:color="auto"/>
        <w:left w:val="none" w:sz="0" w:space="0" w:color="auto"/>
        <w:bottom w:val="none" w:sz="0" w:space="0" w:color="auto"/>
        <w:right w:val="none" w:sz="0" w:space="0" w:color="auto"/>
      </w:divBdr>
    </w:div>
    <w:div w:id="12073643">
      <w:bodyDiv w:val="1"/>
      <w:marLeft w:val="0"/>
      <w:marRight w:val="0"/>
      <w:marTop w:val="0"/>
      <w:marBottom w:val="0"/>
      <w:divBdr>
        <w:top w:val="none" w:sz="0" w:space="0" w:color="auto"/>
        <w:left w:val="none" w:sz="0" w:space="0" w:color="auto"/>
        <w:bottom w:val="none" w:sz="0" w:space="0" w:color="auto"/>
        <w:right w:val="none" w:sz="0" w:space="0" w:color="auto"/>
      </w:divBdr>
    </w:div>
    <w:div w:id="12077740">
      <w:bodyDiv w:val="1"/>
      <w:marLeft w:val="0"/>
      <w:marRight w:val="0"/>
      <w:marTop w:val="0"/>
      <w:marBottom w:val="0"/>
      <w:divBdr>
        <w:top w:val="none" w:sz="0" w:space="0" w:color="auto"/>
        <w:left w:val="none" w:sz="0" w:space="0" w:color="auto"/>
        <w:bottom w:val="none" w:sz="0" w:space="0" w:color="auto"/>
        <w:right w:val="none" w:sz="0" w:space="0" w:color="auto"/>
      </w:divBdr>
    </w:div>
    <w:div w:id="12265184">
      <w:bodyDiv w:val="1"/>
      <w:marLeft w:val="0"/>
      <w:marRight w:val="0"/>
      <w:marTop w:val="0"/>
      <w:marBottom w:val="0"/>
      <w:divBdr>
        <w:top w:val="none" w:sz="0" w:space="0" w:color="auto"/>
        <w:left w:val="none" w:sz="0" w:space="0" w:color="auto"/>
        <w:bottom w:val="none" w:sz="0" w:space="0" w:color="auto"/>
        <w:right w:val="none" w:sz="0" w:space="0" w:color="auto"/>
      </w:divBdr>
    </w:div>
    <w:div w:id="12271049">
      <w:bodyDiv w:val="1"/>
      <w:marLeft w:val="0"/>
      <w:marRight w:val="0"/>
      <w:marTop w:val="0"/>
      <w:marBottom w:val="0"/>
      <w:divBdr>
        <w:top w:val="none" w:sz="0" w:space="0" w:color="auto"/>
        <w:left w:val="none" w:sz="0" w:space="0" w:color="auto"/>
        <w:bottom w:val="none" w:sz="0" w:space="0" w:color="auto"/>
        <w:right w:val="none" w:sz="0" w:space="0" w:color="auto"/>
      </w:divBdr>
    </w:div>
    <w:div w:id="12342216">
      <w:bodyDiv w:val="1"/>
      <w:marLeft w:val="0"/>
      <w:marRight w:val="0"/>
      <w:marTop w:val="0"/>
      <w:marBottom w:val="0"/>
      <w:divBdr>
        <w:top w:val="none" w:sz="0" w:space="0" w:color="auto"/>
        <w:left w:val="none" w:sz="0" w:space="0" w:color="auto"/>
        <w:bottom w:val="none" w:sz="0" w:space="0" w:color="auto"/>
        <w:right w:val="none" w:sz="0" w:space="0" w:color="auto"/>
      </w:divBdr>
    </w:div>
    <w:div w:id="12461408">
      <w:bodyDiv w:val="1"/>
      <w:marLeft w:val="0"/>
      <w:marRight w:val="0"/>
      <w:marTop w:val="0"/>
      <w:marBottom w:val="0"/>
      <w:divBdr>
        <w:top w:val="none" w:sz="0" w:space="0" w:color="auto"/>
        <w:left w:val="none" w:sz="0" w:space="0" w:color="auto"/>
        <w:bottom w:val="none" w:sz="0" w:space="0" w:color="auto"/>
        <w:right w:val="none" w:sz="0" w:space="0" w:color="auto"/>
      </w:divBdr>
    </w:div>
    <w:div w:id="12999431">
      <w:bodyDiv w:val="1"/>
      <w:marLeft w:val="0"/>
      <w:marRight w:val="0"/>
      <w:marTop w:val="0"/>
      <w:marBottom w:val="0"/>
      <w:divBdr>
        <w:top w:val="none" w:sz="0" w:space="0" w:color="auto"/>
        <w:left w:val="none" w:sz="0" w:space="0" w:color="auto"/>
        <w:bottom w:val="none" w:sz="0" w:space="0" w:color="auto"/>
        <w:right w:val="none" w:sz="0" w:space="0" w:color="auto"/>
      </w:divBdr>
    </w:div>
    <w:div w:id="13188320">
      <w:bodyDiv w:val="1"/>
      <w:marLeft w:val="0"/>
      <w:marRight w:val="0"/>
      <w:marTop w:val="0"/>
      <w:marBottom w:val="0"/>
      <w:divBdr>
        <w:top w:val="none" w:sz="0" w:space="0" w:color="auto"/>
        <w:left w:val="none" w:sz="0" w:space="0" w:color="auto"/>
        <w:bottom w:val="none" w:sz="0" w:space="0" w:color="auto"/>
        <w:right w:val="none" w:sz="0" w:space="0" w:color="auto"/>
      </w:divBdr>
    </w:div>
    <w:div w:id="13196099">
      <w:bodyDiv w:val="1"/>
      <w:marLeft w:val="0"/>
      <w:marRight w:val="0"/>
      <w:marTop w:val="0"/>
      <w:marBottom w:val="0"/>
      <w:divBdr>
        <w:top w:val="none" w:sz="0" w:space="0" w:color="auto"/>
        <w:left w:val="none" w:sz="0" w:space="0" w:color="auto"/>
        <w:bottom w:val="none" w:sz="0" w:space="0" w:color="auto"/>
        <w:right w:val="none" w:sz="0" w:space="0" w:color="auto"/>
      </w:divBdr>
    </w:div>
    <w:div w:id="13268537">
      <w:bodyDiv w:val="1"/>
      <w:marLeft w:val="0"/>
      <w:marRight w:val="0"/>
      <w:marTop w:val="0"/>
      <w:marBottom w:val="0"/>
      <w:divBdr>
        <w:top w:val="none" w:sz="0" w:space="0" w:color="auto"/>
        <w:left w:val="none" w:sz="0" w:space="0" w:color="auto"/>
        <w:bottom w:val="none" w:sz="0" w:space="0" w:color="auto"/>
        <w:right w:val="none" w:sz="0" w:space="0" w:color="auto"/>
      </w:divBdr>
    </w:div>
    <w:div w:id="13315317">
      <w:bodyDiv w:val="1"/>
      <w:marLeft w:val="0"/>
      <w:marRight w:val="0"/>
      <w:marTop w:val="0"/>
      <w:marBottom w:val="0"/>
      <w:divBdr>
        <w:top w:val="none" w:sz="0" w:space="0" w:color="auto"/>
        <w:left w:val="none" w:sz="0" w:space="0" w:color="auto"/>
        <w:bottom w:val="none" w:sz="0" w:space="0" w:color="auto"/>
        <w:right w:val="none" w:sz="0" w:space="0" w:color="auto"/>
      </w:divBdr>
    </w:div>
    <w:div w:id="13382350">
      <w:bodyDiv w:val="1"/>
      <w:marLeft w:val="0"/>
      <w:marRight w:val="0"/>
      <w:marTop w:val="0"/>
      <w:marBottom w:val="0"/>
      <w:divBdr>
        <w:top w:val="none" w:sz="0" w:space="0" w:color="auto"/>
        <w:left w:val="none" w:sz="0" w:space="0" w:color="auto"/>
        <w:bottom w:val="none" w:sz="0" w:space="0" w:color="auto"/>
        <w:right w:val="none" w:sz="0" w:space="0" w:color="auto"/>
      </w:divBdr>
    </w:div>
    <w:div w:id="13503645">
      <w:bodyDiv w:val="1"/>
      <w:marLeft w:val="0"/>
      <w:marRight w:val="0"/>
      <w:marTop w:val="0"/>
      <w:marBottom w:val="0"/>
      <w:divBdr>
        <w:top w:val="none" w:sz="0" w:space="0" w:color="auto"/>
        <w:left w:val="none" w:sz="0" w:space="0" w:color="auto"/>
        <w:bottom w:val="none" w:sz="0" w:space="0" w:color="auto"/>
        <w:right w:val="none" w:sz="0" w:space="0" w:color="auto"/>
      </w:divBdr>
    </w:div>
    <w:div w:id="13576658">
      <w:bodyDiv w:val="1"/>
      <w:marLeft w:val="0"/>
      <w:marRight w:val="0"/>
      <w:marTop w:val="0"/>
      <w:marBottom w:val="0"/>
      <w:divBdr>
        <w:top w:val="none" w:sz="0" w:space="0" w:color="auto"/>
        <w:left w:val="none" w:sz="0" w:space="0" w:color="auto"/>
        <w:bottom w:val="none" w:sz="0" w:space="0" w:color="auto"/>
        <w:right w:val="none" w:sz="0" w:space="0" w:color="auto"/>
      </w:divBdr>
    </w:div>
    <w:div w:id="13653183">
      <w:bodyDiv w:val="1"/>
      <w:marLeft w:val="0"/>
      <w:marRight w:val="0"/>
      <w:marTop w:val="0"/>
      <w:marBottom w:val="0"/>
      <w:divBdr>
        <w:top w:val="none" w:sz="0" w:space="0" w:color="auto"/>
        <w:left w:val="none" w:sz="0" w:space="0" w:color="auto"/>
        <w:bottom w:val="none" w:sz="0" w:space="0" w:color="auto"/>
        <w:right w:val="none" w:sz="0" w:space="0" w:color="auto"/>
      </w:divBdr>
    </w:div>
    <w:div w:id="13654170">
      <w:bodyDiv w:val="1"/>
      <w:marLeft w:val="0"/>
      <w:marRight w:val="0"/>
      <w:marTop w:val="0"/>
      <w:marBottom w:val="0"/>
      <w:divBdr>
        <w:top w:val="none" w:sz="0" w:space="0" w:color="auto"/>
        <w:left w:val="none" w:sz="0" w:space="0" w:color="auto"/>
        <w:bottom w:val="none" w:sz="0" w:space="0" w:color="auto"/>
        <w:right w:val="none" w:sz="0" w:space="0" w:color="auto"/>
      </w:divBdr>
    </w:div>
    <w:div w:id="13654746">
      <w:bodyDiv w:val="1"/>
      <w:marLeft w:val="0"/>
      <w:marRight w:val="0"/>
      <w:marTop w:val="0"/>
      <w:marBottom w:val="0"/>
      <w:divBdr>
        <w:top w:val="none" w:sz="0" w:space="0" w:color="auto"/>
        <w:left w:val="none" w:sz="0" w:space="0" w:color="auto"/>
        <w:bottom w:val="none" w:sz="0" w:space="0" w:color="auto"/>
        <w:right w:val="none" w:sz="0" w:space="0" w:color="auto"/>
      </w:divBdr>
    </w:div>
    <w:div w:id="14423575">
      <w:bodyDiv w:val="1"/>
      <w:marLeft w:val="0"/>
      <w:marRight w:val="0"/>
      <w:marTop w:val="0"/>
      <w:marBottom w:val="0"/>
      <w:divBdr>
        <w:top w:val="none" w:sz="0" w:space="0" w:color="auto"/>
        <w:left w:val="none" w:sz="0" w:space="0" w:color="auto"/>
        <w:bottom w:val="none" w:sz="0" w:space="0" w:color="auto"/>
        <w:right w:val="none" w:sz="0" w:space="0" w:color="auto"/>
      </w:divBdr>
    </w:div>
    <w:div w:id="14814532">
      <w:bodyDiv w:val="1"/>
      <w:marLeft w:val="0"/>
      <w:marRight w:val="0"/>
      <w:marTop w:val="0"/>
      <w:marBottom w:val="0"/>
      <w:divBdr>
        <w:top w:val="none" w:sz="0" w:space="0" w:color="auto"/>
        <w:left w:val="none" w:sz="0" w:space="0" w:color="auto"/>
        <w:bottom w:val="none" w:sz="0" w:space="0" w:color="auto"/>
        <w:right w:val="none" w:sz="0" w:space="0" w:color="auto"/>
      </w:divBdr>
    </w:div>
    <w:div w:id="15233692">
      <w:bodyDiv w:val="1"/>
      <w:marLeft w:val="0"/>
      <w:marRight w:val="0"/>
      <w:marTop w:val="0"/>
      <w:marBottom w:val="0"/>
      <w:divBdr>
        <w:top w:val="none" w:sz="0" w:space="0" w:color="auto"/>
        <w:left w:val="none" w:sz="0" w:space="0" w:color="auto"/>
        <w:bottom w:val="none" w:sz="0" w:space="0" w:color="auto"/>
        <w:right w:val="none" w:sz="0" w:space="0" w:color="auto"/>
      </w:divBdr>
    </w:div>
    <w:div w:id="15623170">
      <w:bodyDiv w:val="1"/>
      <w:marLeft w:val="0"/>
      <w:marRight w:val="0"/>
      <w:marTop w:val="0"/>
      <w:marBottom w:val="0"/>
      <w:divBdr>
        <w:top w:val="none" w:sz="0" w:space="0" w:color="auto"/>
        <w:left w:val="none" w:sz="0" w:space="0" w:color="auto"/>
        <w:bottom w:val="none" w:sz="0" w:space="0" w:color="auto"/>
        <w:right w:val="none" w:sz="0" w:space="0" w:color="auto"/>
      </w:divBdr>
    </w:div>
    <w:div w:id="15809942">
      <w:bodyDiv w:val="1"/>
      <w:marLeft w:val="0"/>
      <w:marRight w:val="0"/>
      <w:marTop w:val="0"/>
      <w:marBottom w:val="0"/>
      <w:divBdr>
        <w:top w:val="none" w:sz="0" w:space="0" w:color="auto"/>
        <w:left w:val="none" w:sz="0" w:space="0" w:color="auto"/>
        <w:bottom w:val="none" w:sz="0" w:space="0" w:color="auto"/>
        <w:right w:val="none" w:sz="0" w:space="0" w:color="auto"/>
      </w:divBdr>
    </w:div>
    <w:div w:id="16005545">
      <w:bodyDiv w:val="1"/>
      <w:marLeft w:val="0"/>
      <w:marRight w:val="0"/>
      <w:marTop w:val="0"/>
      <w:marBottom w:val="0"/>
      <w:divBdr>
        <w:top w:val="none" w:sz="0" w:space="0" w:color="auto"/>
        <w:left w:val="none" w:sz="0" w:space="0" w:color="auto"/>
        <w:bottom w:val="none" w:sz="0" w:space="0" w:color="auto"/>
        <w:right w:val="none" w:sz="0" w:space="0" w:color="auto"/>
      </w:divBdr>
    </w:div>
    <w:div w:id="16081943">
      <w:bodyDiv w:val="1"/>
      <w:marLeft w:val="0"/>
      <w:marRight w:val="0"/>
      <w:marTop w:val="0"/>
      <w:marBottom w:val="0"/>
      <w:divBdr>
        <w:top w:val="none" w:sz="0" w:space="0" w:color="auto"/>
        <w:left w:val="none" w:sz="0" w:space="0" w:color="auto"/>
        <w:bottom w:val="none" w:sz="0" w:space="0" w:color="auto"/>
        <w:right w:val="none" w:sz="0" w:space="0" w:color="auto"/>
      </w:divBdr>
    </w:div>
    <w:div w:id="16278118">
      <w:bodyDiv w:val="1"/>
      <w:marLeft w:val="0"/>
      <w:marRight w:val="0"/>
      <w:marTop w:val="0"/>
      <w:marBottom w:val="0"/>
      <w:divBdr>
        <w:top w:val="none" w:sz="0" w:space="0" w:color="auto"/>
        <w:left w:val="none" w:sz="0" w:space="0" w:color="auto"/>
        <w:bottom w:val="none" w:sz="0" w:space="0" w:color="auto"/>
        <w:right w:val="none" w:sz="0" w:space="0" w:color="auto"/>
      </w:divBdr>
    </w:div>
    <w:div w:id="16279865">
      <w:bodyDiv w:val="1"/>
      <w:marLeft w:val="0"/>
      <w:marRight w:val="0"/>
      <w:marTop w:val="0"/>
      <w:marBottom w:val="0"/>
      <w:divBdr>
        <w:top w:val="none" w:sz="0" w:space="0" w:color="auto"/>
        <w:left w:val="none" w:sz="0" w:space="0" w:color="auto"/>
        <w:bottom w:val="none" w:sz="0" w:space="0" w:color="auto"/>
        <w:right w:val="none" w:sz="0" w:space="0" w:color="auto"/>
      </w:divBdr>
    </w:div>
    <w:div w:id="16469530">
      <w:bodyDiv w:val="1"/>
      <w:marLeft w:val="0"/>
      <w:marRight w:val="0"/>
      <w:marTop w:val="0"/>
      <w:marBottom w:val="0"/>
      <w:divBdr>
        <w:top w:val="none" w:sz="0" w:space="0" w:color="auto"/>
        <w:left w:val="none" w:sz="0" w:space="0" w:color="auto"/>
        <w:bottom w:val="none" w:sz="0" w:space="0" w:color="auto"/>
        <w:right w:val="none" w:sz="0" w:space="0" w:color="auto"/>
      </w:divBdr>
      <w:divsChild>
        <w:div w:id="21169067">
          <w:marLeft w:val="0"/>
          <w:marRight w:val="0"/>
          <w:marTop w:val="0"/>
          <w:marBottom w:val="0"/>
          <w:divBdr>
            <w:top w:val="none" w:sz="0" w:space="0" w:color="auto"/>
            <w:left w:val="none" w:sz="0" w:space="0" w:color="auto"/>
            <w:bottom w:val="none" w:sz="0" w:space="0" w:color="auto"/>
            <w:right w:val="none" w:sz="0" w:space="0" w:color="auto"/>
          </w:divBdr>
        </w:div>
        <w:div w:id="24017849">
          <w:marLeft w:val="0"/>
          <w:marRight w:val="0"/>
          <w:marTop w:val="0"/>
          <w:marBottom w:val="0"/>
          <w:divBdr>
            <w:top w:val="none" w:sz="0" w:space="0" w:color="auto"/>
            <w:left w:val="none" w:sz="0" w:space="0" w:color="auto"/>
            <w:bottom w:val="none" w:sz="0" w:space="0" w:color="auto"/>
            <w:right w:val="none" w:sz="0" w:space="0" w:color="auto"/>
          </w:divBdr>
        </w:div>
        <w:div w:id="94133189">
          <w:marLeft w:val="0"/>
          <w:marRight w:val="0"/>
          <w:marTop w:val="0"/>
          <w:marBottom w:val="0"/>
          <w:divBdr>
            <w:top w:val="none" w:sz="0" w:space="0" w:color="auto"/>
            <w:left w:val="none" w:sz="0" w:space="0" w:color="auto"/>
            <w:bottom w:val="none" w:sz="0" w:space="0" w:color="auto"/>
            <w:right w:val="none" w:sz="0" w:space="0" w:color="auto"/>
          </w:divBdr>
        </w:div>
        <w:div w:id="99766534">
          <w:marLeft w:val="0"/>
          <w:marRight w:val="0"/>
          <w:marTop w:val="0"/>
          <w:marBottom w:val="0"/>
          <w:divBdr>
            <w:top w:val="none" w:sz="0" w:space="0" w:color="auto"/>
            <w:left w:val="none" w:sz="0" w:space="0" w:color="auto"/>
            <w:bottom w:val="none" w:sz="0" w:space="0" w:color="auto"/>
            <w:right w:val="none" w:sz="0" w:space="0" w:color="auto"/>
          </w:divBdr>
        </w:div>
        <w:div w:id="114492447">
          <w:marLeft w:val="0"/>
          <w:marRight w:val="0"/>
          <w:marTop w:val="0"/>
          <w:marBottom w:val="0"/>
          <w:divBdr>
            <w:top w:val="none" w:sz="0" w:space="0" w:color="auto"/>
            <w:left w:val="none" w:sz="0" w:space="0" w:color="auto"/>
            <w:bottom w:val="none" w:sz="0" w:space="0" w:color="auto"/>
            <w:right w:val="none" w:sz="0" w:space="0" w:color="auto"/>
          </w:divBdr>
        </w:div>
        <w:div w:id="179589155">
          <w:marLeft w:val="0"/>
          <w:marRight w:val="0"/>
          <w:marTop w:val="0"/>
          <w:marBottom w:val="0"/>
          <w:divBdr>
            <w:top w:val="none" w:sz="0" w:space="0" w:color="auto"/>
            <w:left w:val="none" w:sz="0" w:space="0" w:color="auto"/>
            <w:bottom w:val="none" w:sz="0" w:space="0" w:color="auto"/>
            <w:right w:val="none" w:sz="0" w:space="0" w:color="auto"/>
          </w:divBdr>
        </w:div>
        <w:div w:id="187181404">
          <w:marLeft w:val="0"/>
          <w:marRight w:val="0"/>
          <w:marTop w:val="0"/>
          <w:marBottom w:val="0"/>
          <w:divBdr>
            <w:top w:val="none" w:sz="0" w:space="0" w:color="auto"/>
            <w:left w:val="none" w:sz="0" w:space="0" w:color="auto"/>
            <w:bottom w:val="none" w:sz="0" w:space="0" w:color="auto"/>
            <w:right w:val="none" w:sz="0" w:space="0" w:color="auto"/>
          </w:divBdr>
        </w:div>
        <w:div w:id="230233409">
          <w:marLeft w:val="0"/>
          <w:marRight w:val="0"/>
          <w:marTop w:val="0"/>
          <w:marBottom w:val="0"/>
          <w:divBdr>
            <w:top w:val="none" w:sz="0" w:space="0" w:color="auto"/>
            <w:left w:val="none" w:sz="0" w:space="0" w:color="auto"/>
            <w:bottom w:val="none" w:sz="0" w:space="0" w:color="auto"/>
            <w:right w:val="none" w:sz="0" w:space="0" w:color="auto"/>
          </w:divBdr>
        </w:div>
        <w:div w:id="269627651">
          <w:marLeft w:val="0"/>
          <w:marRight w:val="0"/>
          <w:marTop w:val="0"/>
          <w:marBottom w:val="0"/>
          <w:divBdr>
            <w:top w:val="none" w:sz="0" w:space="0" w:color="auto"/>
            <w:left w:val="none" w:sz="0" w:space="0" w:color="auto"/>
            <w:bottom w:val="none" w:sz="0" w:space="0" w:color="auto"/>
            <w:right w:val="none" w:sz="0" w:space="0" w:color="auto"/>
          </w:divBdr>
        </w:div>
        <w:div w:id="417286437">
          <w:marLeft w:val="0"/>
          <w:marRight w:val="0"/>
          <w:marTop w:val="0"/>
          <w:marBottom w:val="0"/>
          <w:divBdr>
            <w:top w:val="none" w:sz="0" w:space="0" w:color="auto"/>
            <w:left w:val="none" w:sz="0" w:space="0" w:color="auto"/>
            <w:bottom w:val="none" w:sz="0" w:space="0" w:color="auto"/>
            <w:right w:val="none" w:sz="0" w:space="0" w:color="auto"/>
          </w:divBdr>
        </w:div>
        <w:div w:id="544947037">
          <w:marLeft w:val="0"/>
          <w:marRight w:val="0"/>
          <w:marTop w:val="0"/>
          <w:marBottom w:val="0"/>
          <w:divBdr>
            <w:top w:val="none" w:sz="0" w:space="0" w:color="auto"/>
            <w:left w:val="none" w:sz="0" w:space="0" w:color="auto"/>
            <w:bottom w:val="none" w:sz="0" w:space="0" w:color="auto"/>
            <w:right w:val="none" w:sz="0" w:space="0" w:color="auto"/>
          </w:divBdr>
        </w:div>
        <w:div w:id="561797767">
          <w:marLeft w:val="0"/>
          <w:marRight w:val="0"/>
          <w:marTop w:val="0"/>
          <w:marBottom w:val="0"/>
          <w:divBdr>
            <w:top w:val="none" w:sz="0" w:space="0" w:color="auto"/>
            <w:left w:val="none" w:sz="0" w:space="0" w:color="auto"/>
            <w:bottom w:val="none" w:sz="0" w:space="0" w:color="auto"/>
            <w:right w:val="none" w:sz="0" w:space="0" w:color="auto"/>
          </w:divBdr>
        </w:div>
        <w:div w:id="648943736">
          <w:marLeft w:val="0"/>
          <w:marRight w:val="0"/>
          <w:marTop w:val="0"/>
          <w:marBottom w:val="0"/>
          <w:divBdr>
            <w:top w:val="none" w:sz="0" w:space="0" w:color="auto"/>
            <w:left w:val="none" w:sz="0" w:space="0" w:color="auto"/>
            <w:bottom w:val="none" w:sz="0" w:space="0" w:color="auto"/>
            <w:right w:val="none" w:sz="0" w:space="0" w:color="auto"/>
          </w:divBdr>
        </w:div>
        <w:div w:id="788165145">
          <w:marLeft w:val="0"/>
          <w:marRight w:val="0"/>
          <w:marTop w:val="0"/>
          <w:marBottom w:val="0"/>
          <w:divBdr>
            <w:top w:val="none" w:sz="0" w:space="0" w:color="auto"/>
            <w:left w:val="none" w:sz="0" w:space="0" w:color="auto"/>
            <w:bottom w:val="none" w:sz="0" w:space="0" w:color="auto"/>
            <w:right w:val="none" w:sz="0" w:space="0" w:color="auto"/>
          </w:divBdr>
        </w:div>
        <w:div w:id="880172546">
          <w:marLeft w:val="0"/>
          <w:marRight w:val="0"/>
          <w:marTop w:val="0"/>
          <w:marBottom w:val="0"/>
          <w:divBdr>
            <w:top w:val="none" w:sz="0" w:space="0" w:color="auto"/>
            <w:left w:val="none" w:sz="0" w:space="0" w:color="auto"/>
            <w:bottom w:val="none" w:sz="0" w:space="0" w:color="auto"/>
            <w:right w:val="none" w:sz="0" w:space="0" w:color="auto"/>
          </w:divBdr>
        </w:div>
        <w:div w:id="1006790814">
          <w:marLeft w:val="0"/>
          <w:marRight w:val="0"/>
          <w:marTop w:val="0"/>
          <w:marBottom w:val="0"/>
          <w:divBdr>
            <w:top w:val="none" w:sz="0" w:space="0" w:color="auto"/>
            <w:left w:val="none" w:sz="0" w:space="0" w:color="auto"/>
            <w:bottom w:val="none" w:sz="0" w:space="0" w:color="auto"/>
            <w:right w:val="none" w:sz="0" w:space="0" w:color="auto"/>
          </w:divBdr>
        </w:div>
        <w:div w:id="1124344733">
          <w:marLeft w:val="0"/>
          <w:marRight w:val="0"/>
          <w:marTop w:val="0"/>
          <w:marBottom w:val="0"/>
          <w:divBdr>
            <w:top w:val="none" w:sz="0" w:space="0" w:color="auto"/>
            <w:left w:val="none" w:sz="0" w:space="0" w:color="auto"/>
            <w:bottom w:val="none" w:sz="0" w:space="0" w:color="auto"/>
            <w:right w:val="none" w:sz="0" w:space="0" w:color="auto"/>
          </w:divBdr>
        </w:div>
        <w:div w:id="1150904052">
          <w:marLeft w:val="0"/>
          <w:marRight w:val="0"/>
          <w:marTop w:val="0"/>
          <w:marBottom w:val="0"/>
          <w:divBdr>
            <w:top w:val="none" w:sz="0" w:space="0" w:color="auto"/>
            <w:left w:val="none" w:sz="0" w:space="0" w:color="auto"/>
            <w:bottom w:val="none" w:sz="0" w:space="0" w:color="auto"/>
            <w:right w:val="none" w:sz="0" w:space="0" w:color="auto"/>
          </w:divBdr>
        </w:div>
        <w:div w:id="1157183288">
          <w:marLeft w:val="0"/>
          <w:marRight w:val="0"/>
          <w:marTop w:val="0"/>
          <w:marBottom w:val="0"/>
          <w:divBdr>
            <w:top w:val="none" w:sz="0" w:space="0" w:color="auto"/>
            <w:left w:val="none" w:sz="0" w:space="0" w:color="auto"/>
            <w:bottom w:val="none" w:sz="0" w:space="0" w:color="auto"/>
            <w:right w:val="none" w:sz="0" w:space="0" w:color="auto"/>
          </w:divBdr>
        </w:div>
        <w:div w:id="1164860498">
          <w:marLeft w:val="0"/>
          <w:marRight w:val="0"/>
          <w:marTop w:val="0"/>
          <w:marBottom w:val="0"/>
          <w:divBdr>
            <w:top w:val="none" w:sz="0" w:space="0" w:color="auto"/>
            <w:left w:val="none" w:sz="0" w:space="0" w:color="auto"/>
            <w:bottom w:val="none" w:sz="0" w:space="0" w:color="auto"/>
            <w:right w:val="none" w:sz="0" w:space="0" w:color="auto"/>
          </w:divBdr>
        </w:div>
        <w:div w:id="1209757338">
          <w:marLeft w:val="0"/>
          <w:marRight w:val="0"/>
          <w:marTop w:val="0"/>
          <w:marBottom w:val="0"/>
          <w:divBdr>
            <w:top w:val="none" w:sz="0" w:space="0" w:color="auto"/>
            <w:left w:val="none" w:sz="0" w:space="0" w:color="auto"/>
            <w:bottom w:val="none" w:sz="0" w:space="0" w:color="auto"/>
            <w:right w:val="none" w:sz="0" w:space="0" w:color="auto"/>
          </w:divBdr>
        </w:div>
        <w:div w:id="1236163838">
          <w:marLeft w:val="0"/>
          <w:marRight w:val="0"/>
          <w:marTop w:val="0"/>
          <w:marBottom w:val="0"/>
          <w:divBdr>
            <w:top w:val="none" w:sz="0" w:space="0" w:color="auto"/>
            <w:left w:val="none" w:sz="0" w:space="0" w:color="auto"/>
            <w:bottom w:val="none" w:sz="0" w:space="0" w:color="auto"/>
            <w:right w:val="none" w:sz="0" w:space="0" w:color="auto"/>
          </w:divBdr>
        </w:div>
        <w:div w:id="1333067909">
          <w:marLeft w:val="0"/>
          <w:marRight w:val="0"/>
          <w:marTop w:val="0"/>
          <w:marBottom w:val="0"/>
          <w:divBdr>
            <w:top w:val="none" w:sz="0" w:space="0" w:color="auto"/>
            <w:left w:val="none" w:sz="0" w:space="0" w:color="auto"/>
            <w:bottom w:val="none" w:sz="0" w:space="0" w:color="auto"/>
            <w:right w:val="none" w:sz="0" w:space="0" w:color="auto"/>
          </w:divBdr>
        </w:div>
        <w:div w:id="1382559162">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0375253">
          <w:marLeft w:val="0"/>
          <w:marRight w:val="0"/>
          <w:marTop w:val="0"/>
          <w:marBottom w:val="0"/>
          <w:divBdr>
            <w:top w:val="none" w:sz="0" w:space="0" w:color="auto"/>
            <w:left w:val="none" w:sz="0" w:space="0" w:color="auto"/>
            <w:bottom w:val="none" w:sz="0" w:space="0" w:color="auto"/>
            <w:right w:val="none" w:sz="0" w:space="0" w:color="auto"/>
          </w:divBdr>
        </w:div>
        <w:div w:id="1499540520">
          <w:marLeft w:val="0"/>
          <w:marRight w:val="0"/>
          <w:marTop w:val="0"/>
          <w:marBottom w:val="0"/>
          <w:divBdr>
            <w:top w:val="none" w:sz="0" w:space="0" w:color="auto"/>
            <w:left w:val="none" w:sz="0" w:space="0" w:color="auto"/>
            <w:bottom w:val="none" w:sz="0" w:space="0" w:color="auto"/>
            <w:right w:val="none" w:sz="0" w:space="0" w:color="auto"/>
          </w:divBdr>
        </w:div>
        <w:div w:id="1571228306">
          <w:marLeft w:val="0"/>
          <w:marRight w:val="0"/>
          <w:marTop w:val="0"/>
          <w:marBottom w:val="0"/>
          <w:divBdr>
            <w:top w:val="none" w:sz="0" w:space="0" w:color="auto"/>
            <w:left w:val="none" w:sz="0" w:space="0" w:color="auto"/>
            <w:bottom w:val="none" w:sz="0" w:space="0" w:color="auto"/>
            <w:right w:val="none" w:sz="0" w:space="0" w:color="auto"/>
          </w:divBdr>
        </w:div>
        <w:div w:id="1831174003">
          <w:marLeft w:val="0"/>
          <w:marRight w:val="0"/>
          <w:marTop w:val="0"/>
          <w:marBottom w:val="0"/>
          <w:divBdr>
            <w:top w:val="none" w:sz="0" w:space="0" w:color="auto"/>
            <w:left w:val="none" w:sz="0" w:space="0" w:color="auto"/>
            <w:bottom w:val="none" w:sz="0" w:space="0" w:color="auto"/>
            <w:right w:val="none" w:sz="0" w:space="0" w:color="auto"/>
          </w:divBdr>
        </w:div>
        <w:div w:id="1991933765">
          <w:marLeft w:val="0"/>
          <w:marRight w:val="0"/>
          <w:marTop w:val="0"/>
          <w:marBottom w:val="0"/>
          <w:divBdr>
            <w:top w:val="none" w:sz="0" w:space="0" w:color="auto"/>
            <w:left w:val="none" w:sz="0" w:space="0" w:color="auto"/>
            <w:bottom w:val="none" w:sz="0" w:space="0" w:color="auto"/>
            <w:right w:val="none" w:sz="0" w:space="0" w:color="auto"/>
          </w:divBdr>
        </w:div>
        <w:div w:id="2060401463">
          <w:marLeft w:val="0"/>
          <w:marRight w:val="0"/>
          <w:marTop w:val="0"/>
          <w:marBottom w:val="0"/>
          <w:divBdr>
            <w:top w:val="none" w:sz="0" w:space="0" w:color="auto"/>
            <w:left w:val="none" w:sz="0" w:space="0" w:color="auto"/>
            <w:bottom w:val="none" w:sz="0" w:space="0" w:color="auto"/>
            <w:right w:val="none" w:sz="0" w:space="0" w:color="auto"/>
          </w:divBdr>
        </w:div>
        <w:div w:id="2105104158">
          <w:marLeft w:val="0"/>
          <w:marRight w:val="0"/>
          <w:marTop w:val="0"/>
          <w:marBottom w:val="0"/>
          <w:divBdr>
            <w:top w:val="none" w:sz="0" w:space="0" w:color="auto"/>
            <w:left w:val="none" w:sz="0" w:space="0" w:color="auto"/>
            <w:bottom w:val="none" w:sz="0" w:space="0" w:color="auto"/>
            <w:right w:val="none" w:sz="0" w:space="0" w:color="auto"/>
          </w:divBdr>
        </w:div>
      </w:divsChild>
    </w:div>
    <w:div w:id="16473474">
      <w:bodyDiv w:val="1"/>
      <w:marLeft w:val="0"/>
      <w:marRight w:val="0"/>
      <w:marTop w:val="0"/>
      <w:marBottom w:val="0"/>
      <w:divBdr>
        <w:top w:val="none" w:sz="0" w:space="0" w:color="auto"/>
        <w:left w:val="none" w:sz="0" w:space="0" w:color="auto"/>
        <w:bottom w:val="none" w:sz="0" w:space="0" w:color="auto"/>
        <w:right w:val="none" w:sz="0" w:space="0" w:color="auto"/>
      </w:divBdr>
    </w:div>
    <w:div w:id="16540104">
      <w:bodyDiv w:val="1"/>
      <w:marLeft w:val="0"/>
      <w:marRight w:val="0"/>
      <w:marTop w:val="0"/>
      <w:marBottom w:val="0"/>
      <w:divBdr>
        <w:top w:val="none" w:sz="0" w:space="0" w:color="auto"/>
        <w:left w:val="none" w:sz="0" w:space="0" w:color="auto"/>
        <w:bottom w:val="none" w:sz="0" w:space="0" w:color="auto"/>
        <w:right w:val="none" w:sz="0" w:space="0" w:color="auto"/>
      </w:divBdr>
    </w:div>
    <w:div w:id="16809778">
      <w:bodyDiv w:val="1"/>
      <w:marLeft w:val="0"/>
      <w:marRight w:val="0"/>
      <w:marTop w:val="0"/>
      <w:marBottom w:val="0"/>
      <w:divBdr>
        <w:top w:val="none" w:sz="0" w:space="0" w:color="auto"/>
        <w:left w:val="none" w:sz="0" w:space="0" w:color="auto"/>
        <w:bottom w:val="none" w:sz="0" w:space="0" w:color="auto"/>
        <w:right w:val="none" w:sz="0" w:space="0" w:color="auto"/>
      </w:divBdr>
    </w:div>
    <w:div w:id="16856757">
      <w:bodyDiv w:val="1"/>
      <w:marLeft w:val="0"/>
      <w:marRight w:val="0"/>
      <w:marTop w:val="0"/>
      <w:marBottom w:val="0"/>
      <w:divBdr>
        <w:top w:val="none" w:sz="0" w:space="0" w:color="auto"/>
        <w:left w:val="none" w:sz="0" w:space="0" w:color="auto"/>
        <w:bottom w:val="none" w:sz="0" w:space="0" w:color="auto"/>
        <w:right w:val="none" w:sz="0" w:space="0" w:color="auto"/>
      </w:divBdr>
    </w:div>
    <w:div w:id="17051591">
      <w:bodyDiv w:val="1"/>
      <w:marLeft w:val="0"/>
      <w:marRight w:val="0"/>
      <w:marTop w:val="0"/>
      <w:marBottom w:val="0"/>
      <w:divBdr>
        <w:top w:val="none" w:sz="0" w:space="0" w:color="auto"/>
        <w:left w:val="none" w:sz="0" w:space="0" w:color="auto"/>
        <w:bottom w:val="none" w:sz="0" w:space="0" w:color="auto"/>
        <w:right w:val="none" w:sz="0" w:space="0" w:color="auto"/>
      </w:divBdr>
    </w:div>
    <w:div w:id="17052543">
      <w:bodyDiv w:val="1"/>
      <w:marLeft w:val="0"/>
      <w:marRight w:val="0"/>
      <w:marTop w:val="0"/>
      <w:marBottom w:val="0"/>
      <w:divBdr>
        <w:top w:val="none" w:sz="0" w:space="0" w:color="auto"/>
        <w:left w:val="none" w:sz="0" w:space="0" w:color="auto"/>
        <w:bottom w:val="none" w:sz="0" w:space="0" w:color="auto"/>
        <w:right w:val="none" w:sz="0" w:space="0" w:color="auto"/>
      </w:divBdr>
    </w:div>
    <w:div w:id="17121382">
      <w:bodyDiv w:val="1"/>
      <w:marLeft w:val="0"/>
      <w:marRight w:val="0"/>
      <w:marTop w:val="0"/>
      <w:marBottom w:val="0"/>
      <w:divBdr>
        <w:top w:val="none" w:sz="0" w:space="0" w:color="auto"/>
        <w:left w:val="none" w:sz="0" w:space="0" w:color="auto"/>
        <w:bottom w:val="none" w:sz="0" w:space="0" w:color="auto"/>
        <w:right w:val="none" w:sz="0" w:space="0" w:color="auto"/>
      </w:divBdr>
    </w:div>
    <w:div w:id="17195403">
      <w:bodyDiv w:val="1"/>
      <w:marLeft w:val="0"/>
      <w:marRight w:val="0"/>
      <w:marTop w:val="0"/>
      <w:marBottom w:val="0"/>
      <w:divBdr>
        <w:top w:val="none" w:sz="0" w:space="0" w:color="auto"/>
        <w:left w:val="none" w:sz="0" w:space="0" w:color="auto"/>
        <w:bottom w:val="none" w:sz="0" w:space="0" w:color="auto"/>
        <w:right w:val="none" w:sz="0" w:space="0" w:color="auto"/>
      </w:divBdr>
    </w:div>
    <w:div w:id="17393844">
      <w:bodyDiv w:val="1"/>
      <w:marLeft w:val="0"/>
      <w:marRight w:val="0"/>
      <w:marTop w:val="0"/>
      <w:marBottom w:val="0"/>
      <w:divBdr>
        <w:top w:val="none" w:sz="0" w:space="0" w:color="auto"/>
        <w:left w:val="none" w:sz="0" w:space="0" w:color="auto"/>
        <w:bottom w:val="none" w:sz="0" w:space="0" w:color="auto"/>
        <w:right w:val="none" w:sz="0" w:space="0" w:color="auto"/>
      </w:divBdr>
    </w:div>
    <w:div w:id="17396658">
      <w:bodyDiv w:val="1"/>
      <w:marLeft w:val="0"/>
      <w:marRight w:val="0"/>
      <w:marTop w:val="0"/>
      <w:marBottom w:val="0"/>
      <w:divBdr>
        <w:top w:val="none" w:sz="0" w:space="0" w:color="auto"/>
        <w:left w:val="none" w:sz="0" w:space="0" w:color="auto"/>
        <w:bottom w:val="none" w:sz="0" w:space="0" w:color="auto"/>
        <w:right w:val="none" w:sz="0" w:space="0" w:color="auto"/>
      </w:divBdr>
    </w:div>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17857221">
      <w:bodyDiv w:val="1"/>
      <w:marLeft w:val="0"/>
      <w:marRight w:val="0"/>
      <w:marTop w:val="0"/>
      <w:marBottom w:val="0"/>
      <w:divBdr>
        <w:top w:val="none" w:sz="0" w:space="0" w:color="auto"/>
        <w:left w:val="none" w:sz="0" w:space="0" w:color="auto"/>
        <w:bottom w:val="none" w:sz="0" w:space="0" w:color="auto"/>
        <w:right w:val="none" w:sz="0" w:space="0" w:color="auto"/>
      </w:divBdr>
    </w:div>
    <w:div w:id="18051061">
      <w:bodyDiv w:val="1"/>
      <w:marLeft w:val="0"/>
      <w:marRight w:val="0"/>
      <w:marTop w:val="0"/>
      <w:marBottom w:val="0"/>
      <w:divBdr>
        <w:top w:val="none" w:sz="0" w:space="0" w:color="auto"/>
        <w:left w:val="none" w:sz="0" w:space="0" w:color="auto"/>
        <w:bottom w:val="none" w:sz="0" w:space="0" w:color="auto"/>
        <w:right w:val="none" w:sz="0" w:space="0" w:color="auto"/>
      </w:divBdr>
    </w:div>
    <w:div w:id="18051446">
      <w:bodyDiv w:val="1"/>
      <w:marLeft w:val="0"/>
      <w:marRight w:val="0"/>
      <w:marTop w:val="0"/>
      <w:marBottom w:val="0"/>
      <w:divBdr>
        <w:top w:val="none" w:sz="0" w:space="0" w:color="auto"/>
        <w:left w:val="none" w:sz="0" w:space="0" w:color="auto"/>
        <w:bottom w:val="none" w:sz="0" w:space="0" w:color="auto"/>
        <w:right w:val="none" w:sz="0" w:space="0" w:color="auto"/>
      </w:divBdr>
    </w:div>
    <w:div w:id="18168745">
      <w:bodyDiv w:val="1"/>
      <w:marLeft w:val="0"/>
      <w:marRight w:val="0"/>
      <w:marTop w:val="0"/>
      <w:marBottom w:val="0"/>
      <w:divBdr>
        <w:top w:val="none" w:sz="0" w:space="0" w:color="auto"/>
        <w:left w:val="none" w:sz="0" w:space="0" w:color="auto"/>
        <w:bottom w:val="none" w:sz="0" w:space="0" w:color="auto"/>
        <w:right w:val="none" w:sz="0" w:space="0" w:color="auto"/>
      </w:divBdr>
    </w:div>
    <w:div w:id="18554832">
      <w:bodyDiv w:val="1"/>
      <w:marLeft w:val="0"/>
      <w:marRight w:val="0"/>
      <w:marTop w:val="0"/>
      <w:marBottom w:val="0"/>
      <w:divBdr>
        <w:top w:val="none" w:sz="0" w:space="0" w:color="auto"/>
        <w:left w:val="none" w:sz="0" w:space="0" w:color="auto"/>
        <w:bottom w:val="none" w:sz="0" w:space="0" w:color="auto"/>
        <w:right w:val="none" w:sz="0" w:space="0" w:color="auto"/>
      </w:divBdr>
    </w:div>
    <w:div w:id="18629828">
      <w:bodyDiv w:val="1"/>
      <w:marLeft w:val="0"/>
      <w:marRight w:val="0"/>
      <w:marTop w:val="0"/>
      <w:marBottom w:val="0"/>
      <w:divBdr>
        <w:top w:val="none" w:sz="0" w:space="0" w:color="auto"/>
        <w:left w:val="none" w:sz="0" w:space="0" w:color="auto"/>
        <w:bottom w:val="none" w:sz="0" w:space="0" w:color="auto"/>
        <w:right w:val="none" w:sz="0" w:space="0" w:color="auto"/>
      </w:divBdr>
    </w:div>
    <w:div w:id="18748509">
      <w:bodyDiv w:val="1"/>
      <w:marLeft w:val="0"/>
      <w:marRight w:val="0"/>
      <w:marTop w:val="0"/>
      <w:marBottom w:val="0"/>
      <w:divBdr>
        <w:top w:val="none" w:sz="0" w:space="0" w:color="auto"/>
        <w:left w:val="none" w:sz="0" w:space="0" w:color="auto"/>
        <w:bottom w:val="none" w:sz="0" w:space="0" w:color="auto"/>
        <w:right w:val="none" w:sz="0" w:space="0" w:color="auto"/>
      </w:divBdr>
    </w:div>
    <w:div w:id="18823171">
      <w:bodyDiv w:val="1"/>
      <w:marLeft w:val="0"/>
      <w:marRight w:val="0"/>
      <w:marTop w:val="0"/>
      <w:marBottom w:val="0"/>
      <w:divBdr>
        <w:top w:val="none" w:sz="0" w:space="0" w:color="auto"/>
        <w:left w:val="none" w:sz="0" w:space="0" w:color="auto"/>
        <w:bottom w:val="none" w:sz="0" w:space="0" w:color="auto"/>
        <w:right w:val="none" w:sz="0" w:space="0" w:color="auto"/>
      </w:divBdr>
    </w:div>
    <w:div w:id="18824963">
      <w:bodyDiv w:val="1"/>
      <w:marLeft w:val="0"/>
      <w:marRight w:val="0"/>
      <w:marTop w:val="0"/>
      <w:marBottom w:val="0"/>
      <w:divBdr>
        <w:top w:val="none" w:sz="0" w:space="0" w:color="auto"/>
        <w:left w:val="none" w:sz="0" w:space="0" w:color="auto"/>
        <w:bottom w:val="none" w:sz="0" w:space="0" w:color="auto"/>
        <w:right w:val="none" w:sz="0" w:space="0" w:color="auto"/>
      </w:divBdr>
    </w:div>
    <w:div w:id="19166336">
      <w:bodyDiv w:val="1"/>
      <w:marLeft w:val="0"/>
      <w:marRight w:val="0"/>
      <w:marTop w:val="0"/>
      <w:marBottom w:val="0"/>
      <w:divBdr>
        <w:top w:val="none" w:sz="0" w:space="0" w:color="auto"/>
        <w:left w:val="none" w:sz="0" w:space="0" w:color="auto"/>
        <w:bottom w:val="none" w:sz="0" w:space="0" w:color="auto"/>
        <w:right w:val="none" w:sz="0" w:space="0" w:color="auto"/>
      </w:divBdr>
    </w:div>
    <w:div w:id="19207932">
      <w:bodyDiv w:val="1"/>
      <w:marLeft w:val="0"/>
      <w:marRight w:val="0"/>
      <w:marTop w:val="0"/>
      <w:marBottom w:val="0"/>
      <w:divBdr>
        <w:top w:val="none" w:sz="0" w:space="0" w:color="auto"/>
        <w:left w:val="none" w:sz="0" w:space="0" w:color="auto"/>
        <w:bottom w:val="none" w:sz="0" w:space="0" w:color="auto"/>
        <w:right w:val="none" w:sz="0" w:space="0" w:color="auto"/>
      </w:divBdr>
    </w:div>
    <w:div w:id="19212582">
      <w:bodyDiv w:val="1"/>
      <w:marLeft w:val="0"/>
      <w:marRight w:val="0"/>
      <w:marTop w:val="0"/>
      <w:marBottom w:val="0"/>
      <w:divBdr>
        <w:top w:val="none" w:sz="0" w:space="0" w:color="auto"/>
        <w:left w:val="none" w:sz="0" w:space="0" w:color="auto"/>
        <w:bottom w:val="none" w:sz="0" w:space="0" w:color="auto"/>
        <w:right w:val="none" w:sz="0" w:space="0" w:color="auto"/>
      </w:divBdr>
    </w:div>
    <w:div w:id="19282639">
      <w:bodyDiv w:val="1"/>
      <w:marLeft w:val="0"/>
      <w:marRight w:val="0"/>
      <w:marTop w:val="0"/>
      <w:marBottom w:val="0"/>
      <w:divBdr>
        <w:top w:val="none" w:sz="0" w:space="0" w:color="auto"/>
        <w:left w:val="none" w:sz="0" w:space="0" w:color="auto"/>
        <w:bottom w:val="none" w:sz="0" w:space="0" w:color="auto"/>
        <w:right w:val="none" w:sz="0" w:space="0" w:color="auto"/>
      </w:divBdr>
    </w:div>
    <w:div w:id="19287426">
      <w:bodyDiv w:val="1"/>
      <w:marLeft w:val="0"/>
      <w:marRight w:val="0"/>
      <w:marTop w:val="0"/>
      <w:marBottom w:val="0"/>
      <w:divBdr>
        <w:top w:val="none" w:sz="0" w:space="0" w:color="auto"/>
        <w:left w:val="none" w:sz="0" w:space="0" w:color="auto"/>
        <w:bottom w:val="none" w:sz="0" w:space="0" w:color="auto"/>
        <w:right w:val="none" w:sz="0" w:space="0" w:color="auto"/>
      </w:divBdr>
    </w:div>
    <w:div w:id="19360061">
      <w:bodyDiv w:val="1"/>
      <w:marLeft w:val="0"/>
      <w:marRight w:val="0"/>
      <w:marTop w:val="0"/>
      <w:marBottom w:val="0"/>
      <w:divBdr>
        <w:top w:val="none" w:sz="0" w:space="0" w:color="auto"/>
        <w:left w:val="none" w:sz="0" w:space="0" w:color="auto"/>
        <w:bottom w:val="none" w:sz="0" w:space="0" w:color="auto"/>
        <w:right w:val="none" w:sz="0" w:space="0" w:color="auto"/>
      </w:divBdr>
    </w:div>
    <w:div w:id="19473506">
      <w:bodyDiv w:val="1"/>
      <w:marLeft w:val="0"/>
      <w:marRight w:val="0"/>
      <w:marTop w:val="0"/>
      <w:marBottom w:val="0"/>
      <w:divBdr>
        <w:top w:val="none" w:sz="0" w:space="0" w:color="auto"/>
        <w:left w:val="none" w:sz="0" w:space="0" w:color="auto"/>
        <w:bottom w:val="none" w:sz="0" w:space="0" w:color="auto"/>
        <w:right w:val="none" w:sz="0" w:space="0" w:color="auto"/>
      </w:divBdr>
    </w:div>
    <w:div w:id="19554597">
      <w:bodyDiv w:val="1"/>
      <w:marLeft w:val="0"/>
      <w:marRight w:val="0"/>
      <w:marTop w:val="0"/>
      <w:marBottom w:val="0"/>
      <w:divBdr>
        <w:top w:val="none" w:sz="0" w:space="0" w:color="auto"/>
        <w:left w:val="none" w:sz="0" w:space="0" w:color="auto"/>
        <w:bottom w:val="none" w:sz="0" w:space="0" w:color="auto"/>
        <w:right w:val="none" w:sz="0" w:space="0" w:color="auto"/>
      </w:divBdr>
    </w:div>
    <w:div w:id="19816435">
      <w:bodyDiv w:val="1"/>
      <w:marLeft w:val="0"/>
      <w:marRight w:val="0"/>
      <w:marTop w:val="0"/>
      <w:marBottom w:val="0"/>
      <w:divBdr>
        <w:top w:val="none" w:sz="0" w:space="0" w:color="auto"/>
        <w:left w:val="none" w:sz="0" w:space="0" w:color="auto"/>
        <w:bottom w:val="none" w:sz="0" w:space="0" w:color="auto"/>
        <w:right w:val="none" w:sz="0" w:space="0" w:color="auto"/>
      </w:divBdr>
    </w:div>
    <w:div w:id="20060412">
      <w:bodyDiv w:val="1"/>
      <w:marLeft w:val="0"/>
      <w:marRight w:val="0"/>
      <w:marTop w:val="0"/>
      <w:marBottom w:val="0"/>
      <w:divBdr>
        <w:top w:val="none" w:sz="0" w:space="0" w:color="auto"/>
        <w:left w:val="none" w:sz="0" w:space="0" w:color="auto"/>
        <w:bottom w:val="none" w:sz="0" w:space="0" w:color="auto"/>
        <w:right w:val="none" w:sz="0" w:space="0" w:color="auto"/>
      </w:divBdr>
    </w:div>
    <w:div w:id="20281110">
      <w:bodyDiv w:val="1"/>
      <w:marLeft w:val="0"/>
      <w:marRight w:val="0"/>
      <w:marTop w:val="0"/>
      <w:marBottom w:val="0"/>
      <w:divBdr>
        <w:top w:val="none" w:sz="0" w:space="0" w:color="auto"/>
        <w:left w:val="none" w:sz="0" w:space="0" w:color="auto"/>
        <w:bottom w:val="none" w:sz="0" w:space="0" w:color="auto"/>
        <w:right w:val="none" w:sz="0" w:space="0" w:color="auto"/>
      </w:divBdr>
    </w:div>
    <w:div w:id="20324459">
      <w:bodyDiv w:val="1"/>
      <w:marLeft w:val="0"/>
      <w:marRight w:val="0"/>
      <w:marTop w:val="0"/>
      <w:marBottom w:val="0"/>
      <w:divBdr>
        <w:top w:val="none" w:sz="0" w:space="0" w:color="auto"/>
        <w:left w:val="none" w:sz="0" w:space="0" w:color="auto"/>
        <w:bottom w:val="none" w:sz="0" w:space="0" w:color="auto"/>
        <w:right w:val="none" w:sz="0" w:space="0" w:color="auto"/>
      </w:divBdr>
    </w:div>
    <w:div w:id="20473186">
      <w:bodyDiv w:val="1"/>
      <w:marLeft w:val="0"/>
      <w:marRight w:val="0"/>
      <w:marTop w:val="0"/>
      <w:marBottom w:val="0"/>
      <w:divBdr>
        <w:top w:val="none" w:sz="0" w:space="0" w:color="auto"/>
        <w:left w:val="none" w:sz="0" w:space="0" w:color="auto"/>
        <w:bottom w:val="none" w:sz="0" w:space="0" w:color="auto"/>
        <w:right w:val="none" w:sz="0" w:space="0" w:color="auto"/>
      </w:divBdr>
    </w:div>
    <w:div w:id="20517153">
      <w:bodyDiv w:val="1"/>
      <w:marLeft w:val="0"/>
      <w:marRight w:val="0"/>
      <w:marTop w:val="0"/>
      <w:marBottom w:val="0"/>
      <w:divBdr>
        <w:top w:val="none" w:sz="0" w:space="0" w:color="auto"/>
        <w:left w:val="none" w:sz="0" w:space="0" w:color="auto"/>
        <w:bottom w:val="none" w:sz="0" w:space="0" w:color="auto"/>
        <w:right w:val="none" w:sz="0" w:space="0" w:color="auto"/>
      </w:divBdr>
    </w:div>
    <w:div w:id="20518833">
      <w:bodyDiv w:val="1"/>
      <w:marLeft w:val="0"/>
      <w:marRight w:val="0"/>
      <w:marTop w:val="0"/>
      <w:marBottom w:val="0"/>
      <w:divBdr>
        <w:top w:val="none" w:sz="0" w:space="0" w:color="auto"/>
        <w:left w:val="none" w:sz="0" w:space="0" w:color="auto"/>
        <w:bottom w:val="none" w:sz="0" w:space="0" w:color="auto"/>
        <w:right w:val="none" w:sz="0" w:space="0" w:color="auto"/>
      </w:divBdr>
    </w:div>
    <w:div w:id="20787399">
      <w:bodyDiv w:val="1"/>
      <w:marLeft w:val="0"/>
      <w:marRight w:val="0"/>
      <w:marTop w:val="0"/>
      <w:marBottom w:val="0"/>
      <w:divBdr>
        <w:top w:val="none" w:sz="0" w:space="0" w:color="auto"/>
        <w:left w:val="none" w:sz="0" w:space="0" w:color="auto"/>
        <w:bottom w:val="none" w:sz="0" w:space="0" w:color="auto"/>
        <w:right w:val="none" w:sz="0" w:space="0" w:color="auto"/>
      </w:divBdr>
    </w:div>
    <w:div w:id="20791863">
      <w:bodyDiv w:val="1"/>
      <w:marLeft w:val="0"/>
      <w:marRight w:val="0"/>
      <w:marTop w:val="0"/>
      <w:marBottom w:val="0"/>
      <w:divBdr>
        <w:top w:val="none" w:sz="0" w:space="0" w:color="auto"/>
        <w:left w:val="none" w:sz="0" w:space="0" w:color="auto"/>
        <w:bottom w:val="none" w:sz="0" w:space="0" w:color="auto"/>
        <w:right w:val="none" w:sz="0" w:space="0" w:color="auto"/>
      </w:divBdr>
    </w:div>
    <w:div w:id="20933939">
      <w:bodyDiv w:val="1"/>
      <w:marLeft w:val="0"/>
      <w:marRight w:val="0"/>
      <w:marTop w:val="0"/>
      <w:marBottom w:val="0"/>
      <w:divBdr>
        <w:top w:val="none" w:sz="0" w:space="0" w:color="auto"/>
        <w:left w:val="none" w:sz="0" w:space="0" w:color="auto"/>
        <w:bottom w:val="none" w:sz="0" w:space="0" w:color="auto"/>
        <w:right w:val="none" w:sz="0" w:space="0" w:color="auto"/>
      </w:divBdr>
    </w:div>
    <w:div w:id="20980663">
      <w:bodyDiv w:val="1"/>
      <w:marLeft w:val="0"/>
      <w:marRight w:val="0"/>
      <w:marTop w:val="0"/>
      <w:marBottom w:val="0"/>
      <w:divBdr>
        <w:top w:val="none" w:sz="0" w:space="0" w:color="auto"/>
        <w:left w:val="none" w:sz="0" w:space="0" w:color="auto"/>
        <w:bottom w:val="none" w:sz="0" w:space="0" w:color="auto"/>
        <w:right w:val="none" w:sz="0" w:space="0" w:color="auto"/>
      </w:divBdr>
    </w:div>
    <w:div w:id="21050931">
      <w:bodyDiv w:val="1"/>
      <w:marLeft w:val="0"/>
      <w:marRight w:val="0"/>
      <w:marTop w:val="0"/>
      <w:marBottom w:val="0"/>
      <w:divBdr>
        <w:top w:val="none" w:sz="0" w:space="0" w:color="auto"/>
        <w:left w:val="none" w:sz="0" w:space="0" w:color="auto"/>
        <w:bottom w:val="none" w:sz="0" w:space="0" w:color="auto"/>
        <w:right w:val="none" w:sz="0" w:space="0" w:color="auto"/>
      </w:divBdr>
    </w:div>
    <w:div w:id="21708929">
      <w:bodyDiv w:val="1"/>
      <w:marLeft w:val="0"/>
      <w:marRight w:val="0"/>
      <w:marTop w:val="0"/>
      <w:marBottom w:val="0"/>
      <w:divBdr>
        <w:top w:val="none" w:sz="0" w:space="0" w:color="auto"/>
        <w:left w:val="none" w:sz="0" w:space="0" w:color="auto"/>
        <w:bottom w:val="none" w:sz="0" w:space="0" w:color="auto"/>
        <w:right w:val="none" w:sz="0" w:space="0" w:color="auto"/>
      </w:divBdr>
    </w:div>
    <w:div w:id="21829573">
      <w:bodyDiv w:val="1"/>
      <w:marLeft w:val="0"/>
      <w:marRight w:val="0"/>
      <w:marTop w:val="0"/>
      <w:marBottom w:val="0"/>
      <w:divBdr>
        <w:top w:val="none" w:sz="0" w:space="0" w:color="auto"/>
        <w:left w:val="none" w:sz="0" w:space="0" w:color="auto"/>
        <w:bottom w:val="none" w:sz="0" w:space="0" w:color="auto"/>
        <w:right w:val="none" w:sz="0" w:space="0" w:color="auto"/>
      </w:divBdr>
    </w:div>
    <w:div w:id="22364198">
      <w:bodyDiv w:val="1"/>
      <w:marLeft w:val="0"/>
      <w:marRight w:val="0"/>
      <w:marTop w:val="0"/>
      <w:marBottom w:val="0"/>
      <w:divBdr>
        <w:top w:val="none" w:sz="0" w:space="0" w:color="auto"/>
        <w:left w:val="none" w:sz="0" w:space="0" w:color="auto"/>
        <w:bottom w:val="none" w:sz="0" w:space="0" w:color="auto"/>
        <w:right w:val="none" w:sz="0" w:space="0" w:color="auto"/>
      </w:divBdr>
    </w:div>
    <w:div w:id="22440818">
      <w:bodyDiv w:val="1"/>
      <w:marLeft w:val="0"/>
      <w:marRight w:val="0"/>
      <w:marTop w:val="0"/>
      <w:marBottom w:val="0"/>
      <w:divBdr>
        <w:top w:val="none" w:sz="0" w:space="0" w:color="auto"/>
        <w:left w:val="none" w:sz="0" w:space="0" w:color="auto"/>
        <w:bottom w:val="none" w:sz="0" w:space="0" w:color="auto"/>
        <w:right w:val="none" w:sz="0" w:space="0" w:color="auto"/>
      </w:divBdr>
    </w:div>
    <w:div w:id="22441970">
      <w:bodyDiv w:val="1"/>
      <w:marLeft w:val="0"/>
      <w:marRight w:val="0"/>
      <w:marTop w:val="0"/>
      <w:marBottom w:val="0"/>
      <w:divBdr>
        <w:top w:val="none" w:sz="0" w:space="0" w:color="auto"/>
        <w:left w:val="none" w:sz="0" w:space="0" w:color="auto"/>
        <w:bottom w:val="none" w:sz="0" w:space="0" w:color="auto"/>
        <w:right w:val="none" w:sz="0" w:space="0" w:color="auto"/>
      </w:divBdr>
    </w:div>
    <w:div w:id="22443997">
      <w:bodyDiv w:val="1"/>
      <w:marLeft w:val="0"/>
      <w:marRight w:val="0"/>
      <w:marTop w:val="0"/>
      <w:marBottom w:val="0"/>
      <w:divBdr>
        <w:top w:val="none" w:sz="0" w:space="0" w:color="auto"/>
        <w:left w:val="none" w:sz="0" w:space="0" w:color="auto"/>
        <w:bottom w:val="none" w:sz="0" w:space="0" w:color="auto"/>
        <w:right w:val="none" w:sz="0" w:space="0" w:color="auto"/>
      </w:divBdr>
    </w:div>
    <w:div w:id="22559783">
      <w:bodyDiv w:val="1"/>
      <w:marLeft w:val="0"/>
      <w:marRight w:val="0"/>
      <w:marTop w:val="0"/>
      <w:marBottom w:val="0"/>
      <w:divBdr>
        <w:top w:val="none" w:sz="0" w:space="0" w:color="auto"/>
        <w:left w:val="none" w:sz="0" w:space="0" w:color="auto"/>
        <w:bottom w:val="none" w:sz="0" w:space="0" w:color="auto"/>
        <w:right w:val="none" w:sz="0" w:space="0" w:color="auto"/>
      </w:divBdr>
    </w:div>
    <w:div w:id="22680398">
      <w:bodyDiv w:val="1"/>
      <w:marLeft w:val="0"/>
      <w:marRight w:val="0"/>
      <w:marTop w:val="0"/>
      <w:marBottom w:val="0"/>
      <w:divBdr>
        <w:top w:val="none" w:sz="0" w:space="0" w:color="auto"/>
        <w:left w:val="none" w:sz="0" w:space="0" w:color="auto"/>
        <w:bottom w:val="none" w:sz="0" w:space="0" w:color="auto"/>
        <w:right w:val="none" w:sz="0" w:space="0" w:color="auto"/>
      </w:divBdr>
    </w:div>
    <w:div w:id="22706878">
      <w:bodyDiv w:val="1"/>
      <w:marLeft w:val="0"/>
      <w:marRight w:val="0"/>
      <w:marTop w:val="0"/>
      <w:marBottom w:val="0"/>
      <w:divBdr>
        <w:top w:val="none" w:sz="0" w:space="0" w:color="auto"/>
        <w:left w:val="none" w:sz="0" w:space="0" w:color="auto"/>
        <w:bottom w:val="none" w:sz="0" w:space="0" w:color="auto"/>
        <w:right w:val="none" w:sz="0" w:space="0" w:color="auto"/>
      </w:divBdr>
    </w:div>
    <w:div w:id="22901053">
      <w:bodyDiv w:val="1"/>
      <w:marLeft w:val="0"/>
      <w:marRight w:val="0"/>
      <w:marTop w:val="0"/>
      <w:marBottom w:val="0"/>
      <w:divBdr>
        <w:top w:val="none" w:sz="0" w:space="0" w:color="auto"/>
        <w:left w:val="none" w:sz="0" w:space="0" w:color="auto"/>
        <w:bottom w:val="none" w:sz="0" w:space="0" w:color="auto"/>
        <w:right w:val="none" w:sz="0" w:space="0" w:color="auto"/>
      </w:divBdr>
    </w:div>
    <w:div w:id="23095409">
      <w:bodyDiv w:val="1"/>
      <w:marLeft w:val="0"/>
      <w:marRight w:val="0"/>
      <w:marTop w:val="0"/>
      <w:marBottom w:val="0"/>
      <w:divBdr>
        <w:top w:val="none" w:sz="0" w:space="0" w:color="auto"/>
        <w:left w:val="none" w:sz="0" w:space="0" w:color="auto"/>
        <w:bottom w:val="none" w:sz="0" w:space="0" w:color="auto"/>
        <w:right w:val="none" w:sz="0" w:space="0" w:color="auto"/>
      </w:divBdr>
    </w:div>
    <w:div w:id="23750825">
      <w:bodyDiv w:val="1"/>
      <w:marLeft w:val="0"/>
      <w:marRight w:val="0"/>
      <w:marTop w:val="0"/>
      <w:marBottom w:val="0"/>
      <w:divBdr>
        <w:top w:val="none" w:sz="0" w:space="0" w:color="auto"/>
        <w:left w:val="none" w:sz="0" w:space="0" w:color="auto"/>
        <w:bottom w:val="none" w:sz="0" w:space="0" w:color="auto"/>
        <w:right w:val="none" w:sz="0" w:space="0" w:color="auto"/>
      </w:divBdr>
    </w:div>
    <w:div w:id="23790882">
      <w:bodyDiv w:val="1"/>
      <w:marLeft w:val="0"/>
      <w:marRight w:val="0"/>
      <w:marTop w:val="0"/>
      <w:marBottom w:val="0"/>
      <w:divBdr>
        <w:top w:val="none" w:sz="0" w:space="0" w:color="auto"/>
        <w:left w:val="none" w:sz="0" w:space="0" w:color="auto"/>
        <w:bottom w:val="none" w:sz="0" w:space="0" w:color="auto"/>
        <w:right w:val="none" w:sz="0" w:space="0" w:color="auto"/>
      </w:divBdr>
    </w:div>
    <w:div w:id="23792036">
      <w:bodyDiv w:val="1"/>
      <w:marLeft w:val="0"/>
      <w:marRight w:val="0"/>
      <w:marTop w:val="0"/>
      <w:marBottom w:val="0"/>
      <w:divBdr>
        <w:top w:val="none" w:sz="0" w:space="0" w:color="auto"/>
        <w:left w:val="none" w:sz="0" w:space="0" w:color="auto"/>
        <w:bottom w:val="none" w:sz="0" w:space="0" w:color="auto"/>
        <w:right w:val="none" w:sz="0" w:space="0" w:color="auto"/>
      </w:divBdr>
    </w:div>
    <w:div w:id="23792355">
      <w:bodyDiv w:val="1"/>
      <w:marLeft w:val="0"/>
      <w:marRight w:val="0"/>
      <w:marTop w:val="0"/>
      <w:marBottom w:val="0"/>
      <w:divBdr>
        <w:top w:val="none" w:sz="0" w:space="0" w:color="auto"/>
        <w:left w:val="none" w:sz="0" w:space="0" w:color="auto"/>
        <w:bottom w:val="none" w:sz="0" w:space="0" w:color="auto"/>
        <w:right w:val="none" w:sz="0" w:space="0" w:color="auto"/>
      </w:divBdr>
    </w:div>
    <w:div w:id="23944278">
      <w:bodyDiv w:val="1"/>
      <w:marLeft w:val="0"/>
      <w:marRight w:val="0"/>
      <w:marTop w:val="0"/>
      <w:marBottom w:val="0"/>
      <w:divBdr>
        <w:top w:val="none" w:sz="0" w:space="0" w:color="auto"/>
        <w:left w:val="none" w:sz="0" w:space="0" w:color="auto"/>
        <w:bottom w:val="none" w:sz="0" w:space="0" w:color="auto"/>
        <w:right w:val="none" w:sz="0" w:space="0" w:color="auto"/>
      </w:divBdr>
    </w:div>
    <w:div w:id="24336647">
      <w:bodyDiv w:val="1"/>
      <w:marLeft w:val="0"/>
      <w:marRight w:val="0"/>
      <w:marTop w:val="0"/>
      <w:marBottom w:val="0"/>
      <w:divBdr>
        <w:top w:val="none" w:sz="0" w:space="0" w:color="auto"/>
        <w:left w:val="none" w:sz="0" w:space="0" w:color="auto"/>
        <w:bottom w:val="none" w:sz="0" w:space="0" w:color="auto"/>
        <w:right w:val="none" w:sz="0" w:space="0" w:color="auto"/>
      </w:divBdr>
    </w:div>
    <w:div w:id="24447224">
      <w:bodyDiv w:val="1"/>
      <w:marLeft w:val="0"/>
      <w:marRight w:val="0"/>
      <w:marTop w:val="0"/>
      <w:marBottom w:val="0"/>
      <w:divBdr>
        <w:top w:val="none" w:sz="0" w:space="0" w:color="auto"/>
        <w:left w:val="none" w:sz="0" w:space="0" w:color="auto"/>
        <w:bottom w:val="none" w:sz="0" w:space="0" w:color="auto"/>
        <w:right w:val="none" w:sz="0" w:space="0" w:color="auto"/>
      </w:divBdr>
    </w:div>
    <w:div w:id="24453468">
      <w:bodyDiv w:val="1"/>
      <w:marLeft w:val="0"/>
      <w:marRight w:val="0"/>
      <w:marTop w:val="0"/>
      <w:marBottom w:val="0"/>
      <w:divBdr>
        <w:top w:val="none" w:sz="0" w:space="0" w:color="auto"/>
        <w:left w:val="none" w:sz="0" w:space="0" w:color="auto"/>
        <w:bottom w:val="none" w:sz="0" w:space="0" w:color="auto"/>
        <w:right w:val="none" w:sz="0" w:space="0" w:color="auto"/>
      </w:divBdr>
    </w:div>
    <w:div w:id="24716324">
      <w:bodyDiv w:val="1"/>
      <w:marLeft w:val="0"/>
      <w:marRight w:val="0"/>
      <w:marTop w:val="0"/>
      <w:marBottom w:val="0"/>
      <w:divBdr>
        <w:top w:val="none" w:sz="0" w:space="0" w:color="auto"/>
        <w:left w:val="none" w:sz="0" w:space="0" w:color="auto"/>
        <w:bottom w:val="none" w:sz="0" w:space="0" w:color="auto"/>
        <w:right w:val="none" w:sz="0" w:space="0" w:color="auto"/>
      </w:divBdr>
    </w:div>
    <w:div w:id="24797602">
      <w:bodyDiv w:val="1"/>
      <w:marLeft w:val="0"/>
      <w:marRight w:val="0"/>
      <w:marTop w:val="0"/>
      <w:marBottom w:val="0"/>
      <w:divBdr>
        <w:top w:val="none" w:sz="0" w:space="0" w:color="auto"/>
        <w:left w:val="none" w:sz="0" w:space="0" w:color="auto"/>
        <w:bottom w:val="none" w:sz="0" w:space="0" w:color="auto"/>
        <w:right w:val="none" w:sz="0" w:space="0" w:color="auto"/>
      </w:divBdr>
    </w:div>
    <w:div w:id="24865460">
      <w:bodyDiv w:val="1"/>
      <w:marLeft w:val="0"/>
      <w:marRight w:val="0"/>
      <w:marTop w:val="0"/>
      <w:marBottom w:val="0"/>
      <w:divBdr>
        <w:top w:val="none" w:sz="0" w:space="0" w:color="auto"/>
        <w:left w:val="none" w:sz="0" w:space="0" w:color="auto"/>
        <w:bottom w:val="none" w:sz="0" w:space="0" w:color="auto"/>
        <w:right w:val="none" w:sz="0" w:space="0" w:color="auto"/>
      </w:divBdr>
    </w:div>
    <w:div w:id="25061815">
      <w:bodyDiv w:val="1"/>
      <w:marLeft w:val="0"/>
      <w:marRight w:val="0"/>
      <w:marTop w:val="0"/>
      <w:marBottom w:val="0"/>
      <w:divBdr>
        <w:top w:val="none" w:sz="0" w:space="0" w:color="auto"/>
        <w:left w:val="none" w:sz="0" w:space="0" w:color="auto"/>
        <w:bottom w:val="none" w:sz="0" w:space="0" w:color="auto"/>
        <w:right w:val="none" w:sz="0" w:space="0" w:color="auto"/>
      </w:divBdr>
    </w:div>
    <w:div w:id="25101077">
      <w:bodyDiv w:val="1"/>
      <w:marLeft w:val="0"/>
      <w:marRight w:val="0"/>
      <w:marTop w:val="0"/>
      <w:marBottom w:val="0"/>
      <w:divBdr>
        <w:top w:val="none" w:sz="0" w:space="0" w:color="auto"/>
        <w:left w:val="none" w:sz="0" w:space="0" w:color="auto"/>
        <w:bottom w:val="none" w:sz="0" w:space="0" w:color="auto"/>
        <w:right w:val="none" w:sz="0" w:space="0" w:color="auto"/>
      </w:divBdr>
    </w:div>
    <w:div w:id="25107912">
      <w:bodyDiv w:val="1"/>
      <w:marLeft w:val="0"/>
      <w:marRight w:val="0"/>
      <w:marTop w:val="0"/>
      <w:marBottom w:val="0"/>
      <w:divBdr>
        <w:top w:val="none" w:sz="0" w:space="0" w:color="auto"/>
        <w:left w:val="none" w:sz="0" w:space="0" w:color="auto"/>
        <w:bottom w:val="none" w:sz="0" w:space="0" w:color="auto"/>
        <w:right w:val="none" w:sz="0" w:space="0" w:color="auto"/>
      </w:divBdr>
    </w:div>
    <w:div w:id="25370051">
      <w:bodyDiv w:val="1"/>
      <w:marLeft w:val="0"/>
      <w:marRight w:val="0"/>
      <w:marTop w:val="0"/>
      <w:marBottom w:val="0"/>
      <w:divBdr>
        <w:top w:val="none" w:sz="0" w:space="0" w:color="auto"/>
        <w:left w:val="none" w:sz="0" w:space="0" w:color="auto"/>
        <w:bottom w:val="none" w:sz="0" w:space="0" w:color="auto"/>
        <w:right w:val="none" w:sz="0" w:space="0" w:color="auto"/>
      </w:divBdr>
    </w:div>
    <w:div w:id="25371215">
      <w:bodyDiv w:val="1"/>
      <w:marLeft w:val="0"/>
      <w:marRight w:val="0"/>
      <w:marTop w:val="0"/>
      <w:marBottom w:val="0"/>
      <w:divBdr>
        <w:top w:val="none" w:sz="0" w:space="0" w:color="auto"/>
        <w:left w:val="none" w:sz="0" w:space="0" w:color="auto"/>
        <w:bottom w:val="none" w:sz="0" w:space="0" w:color="auto"/>
        <w:right w:val="none" w:sz="0" w:space="0" w:color="auto"/>
      </w:divBdr>
    </w:div>
    <w:div w:id="25525839">
      <w:bodyDiv w:val="1"/>
      <w:marLeft w:val="0"/>
      <w:marRight w:val="0"/>
      <w:marTop w:val="0"/>
      <w:marBottom w:val="0"/>
      <w:divBdr>
        <w:top w:val="none" w:sz="0" w:space="0" w:color="auto"/>
        <w:left w:val="none" w:sz="0" w:space="0" w:color="auto"/>
        <w:bottom w:val="none" w:sz="0" w:space="0" w:color="auto"/>
        <w:right w:val="none" w:sz="0" w:space="0" w:color="auto"/>
      </w:divBdr>
    </w:div>
    <w:div w:id="25563413">
      <w:bodyDiv w:val="1"/>
      <w:marLeft w:val="0"/>
      <w:marRight w:val="0"/>
      <w:marTop w:val="0"/>
      <w:marBottom w:val="0"/>
      <w:divBdr>
        <w:top w:val="none" w:sz="0" w:space="0" w:color="auto"/>
        <w:left w:val="none" w:sz="0" w:space="0" w:color="auto"/>
        <w:bottom w:val="none" w:sz="0" w:space="0" w:color="auto"/>
        <w:right w:val="none" w:sz="0" w:space="0" w:color="auto"/>
      </w:divBdr>
    </w:div>
    <w:div w:id="25570598">
      <w:bodyDiv w:val="1"/>
      <w:marLeft w:val="0"/>
      <w:marRight w:val="0"/>
      <w:marTop w:val="0"/>
      <w:marBottom w:val="0"/>
      <w:divBdr>
        <w:top w:val="none" w:sz="0" w:space="0" w:color="auto"/>
        <w:left w:val="none" w:sz="0" w:space="0" w:color="auto"/>
        <w:bottom w:val="none" w:sz="0" w:space="0" w:color="auto"/>
        <w:right w:val="none" w:sz="0" w:space="0" w:color="auto"/>
      </w:divBdr>
    </w:div>
    <w:div w:id="25839676">
      <w:bodyDiv w:val="1"/>
      <w:marLeft w:val="0"/>
      <w:marRight w:val="0"/>
      <w:marTop w:val="0"/>
      <w:marBottom w:val="0"/>
      <w:divBdr>
        <w:top w:val="none" w:sz="0" w:space="0" w:color="auto"/>
        <w:left w:val="none" w:sz="0" w:space="0" w:color="auto"/>
        <w:bottom w:val="none" w:sz="0" w:space="0" w:color="auto"/>
        <w:right w:val="none" w:sz="0" w:space="0" w:color="auto"/>
      </w:divBdr>
    </w:div>
    <w:div w:id="25908129">
      <w:bodyDiv w:val="1"/>
      <w:marLeft w:val="0"/>
      <w:marRight w:val="0"/>
      <w:marTop w:val="0"/>
      <w:marBottom w:val="0"/>
      <w:divBdr>
        <w:top w:val="none" w:sz="0" w:space="0" w:color="auto"/>
        <w:left w:val="none" w:sz="0" w:space="0" w:color="auto"/>
        <w:bottom w:val="none" w:sz="0" w:space="0" w:color="auto"/>
        <w:right w:val="none" w:sz="0" w:space="0" w:color="auto"/>
      </w:divBdr>
    </w:div>
    <w:div w:id="25909937">
      <w:bodyDiv w:val="1"/>
      <w:marLeft w:val="0"/>
      <w:marRight w:val="0"/>
      <w:marTop w:val="0"/>
      <w:marBottom w:val="0"/>
      <w:divBdr>
        <w:top w:val="none" w:sz="0" w:space="0" w:color="auto"/>
        <w:left w:val="none" w:sz="0" w:space="0" w:color="auto"/>
        <w:bottom w:val="none" w:sz="0" w:space="0" w:color="auto"/>
        <w:right w:val="none" w:sz="0" w:space="0" w:color="auto"/>
      </w:divBdr>
    </w:div>
    <w:div w:id="25982622">
      <w:bodyDiv w:val="1"/>
      <w:marLeft w:val="0"/>
      <w:marRight w:val="0"/>
      <w:marTop w:val="0"/>
      <w:marBottom w:val="0"/>
      <w:divBdr>
        <w:top w:val="none" w:sz="0" w:space="0" w:color="auto"/>
        <w:left w:val="none" w:sz="0" w:space="0" w:color="auto"/>
        <w:bottom w:val="none" w:sz="0" w:space="0" w:color="auto"/>
        <w:right w:val="none" w:sz="0" w:space="0" w:color="auto"/>
      </w:divBdr>
    </w:div>
    <w:div w:id="26107594">
      <w:bodyDiv w:val="1"/>
      <w:marLeft w:val="0"/>
      <w:marRight w:val="0"/>
      <w:marTop w:val="0"/>
      <w:marBottom w:val="0"/>
      <w:divBdr>
        <w:top w:val="none" w:sz="0" w:space="0" w:color="auto"/>
        <w:left w:val="none" w:sz="0" w:space="0" w:color="auto"/>
        <w:bottom w:val="none" w:sz="0" w:space="0" w:color="auto"/>
        <w:right w:val="none" w:sz="0" w:space="0" w:color="auto"/>
      </w:divBdr>
    </w:div>
    <w:div w:id="26490964">
      <w:bodyDiv w:val="1"/>
      <w:marLeft w:val="0"/>
      <w:marRight w:val="0"/>
      <w:marTop w:val="0"/>
      <w:marBottom w:val="0"/>
      <w:divBdr>
        <w:top w:val="none" w:sz="0" w:space="0" w:color="auto"/>
        <w:left w:val="none" w:sz="0" w:space="0" w:color="auto"/>
        <w:bottom w:val="none" w:sz="0" w:space="0" w:color="auto"/>
        <w:right w:val="none" w:sz="0" w:space="0" w:color="auto"/>
      </w:divBdr>
    </w:div>
    <w:div w:id="26609270">
      <w:bodyDiv w:val="1"/>
      <w:marLeft w:val="0"/>
      <w:marRight w:val="0"/>
      <w:marTop w:val="0"/>
      <w:marBottom w:val="0"/>
      <w:divBdr>
        <w:top w:val="none" w:sz="0" w:space="0" w:color="auto"/>
        <w:left w:val="none" w:sz="0" w:space="0" w:color="auto"/>
        <w:bottom w:val="none" w:sz="0" w:space="0" w:color="auto"/>
        <w:right w:val="none" w:sz="0" w:space="0" w:color="auto"/>
      </w:divBdr>
    </w:div>
    <w:div w:id="26609539">
      <w:bodyDiv w:val="1"/>
      <w:marLeft w:val="0"/>
      <w:marRight w:val="0"/>
      <w:marTop w:val="0"/>
      <w:marBottom w:val="0"/>
      <w:divBdr>
        <w:top w:val="none" w:sz="0" w:space="0" w:color="auto"/>
        <w:left w:val="none" w:sz="0" w:space="0" w:color="auto"/>
        <w:bottom w:val="none" w:sz="0" w:space="0" w:color="auto"/>
        <w:right w:val="none" w:sz="0" w:space="0" w:color="auto"/>
      </w:divBdr>
    </w:div>
    <w:div w:id="26949122">
      <w:bodyDiv w:val="1"/>
      <w:marLeft w:val="0"/>
      <w:marRight w:val="0"/>
      <w:marTop w:val="0"/>
      <w:marBottom w:val="0"/>
      <w:divBdr>
        <w:top w:val="none" w:sz="0" w:space="0" w:color="auto"/>
        <w:left w:val="none" w:sz="0" w:space="0" w:color="auto"/>
        <w:bottom w:val="none" w:sz="0" w:space="0" w:color="auto"/>
        <w:right w:val="none" w:sz="0" w:space="0" w:color="auto"/>
      </w:divBdr>
    </w:div>
    <w:div w:id="27217644">
      <w:bodyDiv w:val="1"/>
      <w:marLeft w:val="0"/>
      <w:marRight w:val="0"/>
      <w:marTop w:val="0"/>
      <w:marBottom w:val="0"/>
      <w:divBdr>
        <w:top w:val="none" w:sz="0" w:space="0" w:color="auto"/>
        <w:left w:val="none" w:sz="0" w:space="0" w:color="auto"/>
        <w:bottom w:val="none" w:sz="0" w:space="0" w:color="auto"/>
        <w:right w:val="none" w:sz="0" w:space="0" w:color="auto"/>
      </w:divBdr>
    </w:div>
    <w:div w:id="27267367">
      <w:bodyDiv w:val="1"/>
      <w:marLeft w:val="0"/>
      <w:marRight w:val="0"/>
      <w:marTop w:val="0"/>
      <w:marBottom w:val="0"/>
      <w:divBdr>
        <w:top w:val="none" w:sz="0" w:space="0" w:color="auto"/>
        <w:left w:val="none" w:sz="0" w:space="0" w:color="auto"/>
        <w:bottom w:val="none" w:sz="0" w:space="0" w:color="auto"/>
        <w:right w:val="none" w:sz="0" w:space="0" w:color="auto"/>
      </w:divBdr>
    </w:div>
    <w:div w:id="27344020">
      <w:bodyDiv w:val="1"/>
      <w:marLeft w:val="0"/>
      <w:marRight w:val="0"/>
      <w:marTop w:val="0"/>
      <w:marBottom w:val="0"/>
      <w:divBdr>
        <w:top w:val="none" w:sz="0" w:space="0" w:color="auto"/>
        <w:left w:val="none" w:sz="0" w:space="0" w:color="auto"/>
        <w:bottom w:val="none" w:sz="0" w:space="0" w:color="auto"/>
        <w:right w:val="none" w:sz="0" w:space="0" w:color="auto"/>
      </w:divBdr>
    </w:div>
    <w:div w:id="27460628">
      <w:bodyDiv w:val="1"/>
      <w:marLeft w:val="0"/>
      <w:marRight w:val="0"/>
      <w:marTop w:val="0"/>
      <w:marBottom w:val="0"/>
      <w:divBdr>
        <w:top w:val="none" w:sz="0" w:space="0" w:color="auto"/>
        <w:left w:val="none" w:sz="0" w:space="0" w:color="auto"/>
        <w:bottom w:val="none" w:sz="0" w:space="0" w:color="auto"/>
        <w:right w:val="none" w:sz="0" w:space="0" w:color="auto"/>
      </w:divBdr>
    </w:div>
    <w:div w:id="27486404">
      <w:bodyDiv w:val="1"/>
      <w:marLeft w:val="0"/>
      <w:marRight w:val="0"/>
      <w:marTop w:val="0"/>
      <w:marBottom w:val="0"/>
      <w:divBdr>
        <w:top w:val="none" w:sz="0" w:space="0" w:color="auto"/>
        <w:left w:val="none" w:sz="0" w:space="0" w:color="auto"/>
        <w:bottom w:val="none" w:sz="0" w:space="0" w:color="auto"/>
        <w:right w:val="none" w:sz="0" w:space="0" w:color="auto"/>
      </w:divBdr>
    </w:div>
    <w:div w:id="27534955">
      <w:bodyDiv w:val="1"/>
      <w:marLeft w:val="0"/>
      <w:marRight w:val="0"/>
      <w:marTop w:val="0"/>
      <w:marBottom w:val="0"/>
      <w:divBdr>
        <w:top w:val="none" w:sz="0" w:space="0" w:color="auto"/>
        <w:left w:val="none" w:sz="0" w:space="0" w:color="auto"/>
        <w:bottom w:val="none" w:sz="0" w:space="0" w:color="auto"/>
        <w:right w:val="none" w:sz="0" w:space="0" w:color="auto"/>
      </w:divBdr>
    </w:div>
    <w:div w:id="27607969">
      <w:bodyDiv w:val="1"/>
      <w:marLeft w:val="0"/>
      <w:marRight w:val="0"/>
      <w:marTop w:val="0"/>
      <w:marBottom w:val="0"/>
      <w:divBdr>
        <w:top w:val="none" w:sz="0" w:space="0" w:color="auto"/>
        <w:left w:val="none" w:sz="0" w:space="0" w:color="auto"/>
        <w:bottom w:val="none" w:sz="0" w:space="0" w:color="auto"/>
        <w:right w:val="none" w:sz="0" w:space="0" w:color="auto"/>
      </w:divBdr>
    </w:div>
    <w:div w:id="27609738">
      <w:bodyDiv w:val="1"/>
      <w:marLeft w:val="0"/>
      <w:marRight w:val="0"/>
      <w:marTop w:val="0"/>
      <w:marBottom w:val="0"/>
      <w:divBdr>
        <w:top w:val="none" w:sz="0" w:space="0" w:color="auto"/>
        <w:left w:val="none" w:sz="0" w:space="0" w:color="auto"/>
        <w:bottom w:val="none" w:sz="0" w:space="0" w:color="auto"/>
        <w:right w:val="none" w:sz="0" w:space="0" w:color="auto"/>
      </w:divBdr>
    </w:div>
    <w:div w:id="27679260">
      <w:bodyDiv w:val="1"/>
      <w:marLeft w:val="0"/>
      <w:marRight w:val="0"/>
      <w:marTop w:val="0"/>
      <w:marBottom w:val="0"/>
      <w:divBdr>
        <w:top w:val="none" w:sz="0" w:space="0" w:color="auto"/>
        <w:left w:val="none" w:sz="0" w:space="0" w:color="auto"/>
        <w:bottom w:val="none" w:sz="0" w:space="0" w:color="auto"/>
        <w:right w:val="none" w:sz="0" w:space="0" w:color="auto"/>
      </w:divBdr>
    </w:div>
    <w:div w:id="27722768">
      <w:bodyDiv w:val="1"/>
      <w:marLeft w:val="0"/>
      <w:marRight w:val="0"/>
      <w:marTop w:val="0"/>
      <w:marBottom w:val="0"/>
      <w:divBdr>
        <w:top w:val="none" w:sz="0" w:space="0" w:color="auto"/>
        <w:left w:val="none" w:sz="0" w:space="0" w:color="auto"/>
        <w:bottom w:val="none" w:sz="0" w:space="0" w:color="auto"/>
        <w:right w:val="none" w:sz="0" w:space="0" w:color="auto"/>
      </w:divBdr>
    </w:div>
    <w:div w:id="27727821">
      <w:bodyDiv w:val="1"/>
      <w:marLeft w:val="0"/>
      <w:marRight w:val="0"/>
      <w:marTop w:val="0"/>
      <w:marBottom w:val="0"/>
      <w:divBdr>
        <w:top w:val="none" w:sz="0" w:space="0" w:color="auto"/>
        <w:left w:val="none" w:sz="0" w:space="0" w:color="auto"/>
        <w:bottom w:val="none" w:sz="0" w:space="0" w:color="auto"/>
        <w:right w:val="none" w:sz="0" w:space="0" w:color="auto"/>
      </w:divBdr>
    </w:div>
    <w:div w:id="27803868">
      <w:bodyDiv w:val="1"/>
      <w:marLeft w:val="0"/>
      <w:marRight w:val="0"/>
      <w:marTop w:val="0"/>
      <w:marBottom w:val="0"/>
      <w:divBdr>
        <w:top w:val="none" w:sz="0" w:space="0" w:color="auto"/>
        <w:left w:val="none" w:sz="0" w:space="0" w:color="auto"/>
        <w:bottom w:val="none" w:sz="0" w:space="0" w:color="auto"/>
        <w:right w:val="none" w:sz="0" w:space="0" w:color="auto"/>
      </w:divBdr>
    </w:div>
    <w:div w:id="27874764">
      <w:bodyDiv w:val="1"/>
      <w:marLeft w:val="0"/>
      <w:marRight w:val="0"/>
      <w:marTop w:val="0"/>
      <w:marBottom w:val="0"/>
      <w:divBdr>
        <w:top w:val="none" w:sz="0" w:space="0" w:color="auto"/>
        <w:left w:val="none" w:sz="0" w:space="0" w:color="auto"/>
        <w:bottom w:val="none" w:sz="0" w:space="0" w:color="auto"/>
        <w:right w:val="none" w:sz="0" w:space="0" w:color="auto"/>
      </w:divBdr>
    </w:div>
    <w:div w:id="27997284">
      <w:bodyDiv w:val="1"/>
      <w:marLeft w:val="0"/>
      <w:marRight w:val="0"/>
      <w:marTop w:val="0"/>
      <w:marBottom w:val="0"/>
      <w:divBdr>
        <w:top w:val="none" w:sz="0" w:space="0" w:color="auto"/>
        <w:left w:val="none" w:sz="0" w:space="0" w:color="auto"/>
        <w:bottom w:val="none" w:sz="0" w:space="0" w:color="auto"/>
        <w:right w:val="none" w:sz="0" w:space="0" w:color="auto"/>
      </w:divBdr>
    </w:div>
    <w:div w:id="28073748">
      <w:bodyDiv w:val="1"/>
      <w:marLeft w:val="0"/>
      <w:marRight w:val="0"/>
      <w:marTop w:val="0"/>
      <w:marBottom w:val="0"/>
      <w:divBdr>
        <w:top w:val="none" w:sz="0" w:space="0" w:color="auto"/>
        <w:left w:val="none" w:sz="0" w:space="0" w:color="auto"/>
        <w:bottom w:val="none" w:sz="0" w:space="0" w:color="auto"/>
        <w:right w:val="none" w:sz="0" w:space="0" w:color="auto"/>
      </w:divBdr>
    </w:div>
    <w:div w:id="28261586">
      <w:bodyDiv w:val="1"/>
      <w:marLeft w:val="0"/>
      <w:marRight w:val="0"/>
      <w:marTop w:val="0"/>
      <w:marBottom w:val="0"/>
      <w:divBdr>
        <w:top w:val="none" w:sz="0" w:space="0" w:color="auto"/>
        <w:left w:val="none" w:sz="0" w:space="0" w:color="auto"/>
        <w:bottom w:val="none" w:sz="0" w:space="0" w:color="auto"/>
        <w:right w:val="none" w:sz="0" w:space="0" w:color="auto"/>
      </w:divBdr>
    </w:div>
    <w:div w:id="28652543">
      <w:bodyDiv w:val="1"/>
      <w:marLeft w:val="0"/>
      <w:marRight w:val="0"/>
      <w:marTop w:val="0"/>
      <w:marBottom w:val="0"/>
      <w:divBdr>
        <w:top w:val="none" w:sz="0" w:space="0" w:color="auto"/>
        <w:left w:val="none" w:sz="0" w:space="0" w:color="auto"/>
        <w:bottom w:val="none" w:sz="0" w:space="0" w:color="auto"/>
        <w:right w:val="none" w:sz="0" w:space="0" w:color="auto"/>
      </w:divBdr>
    </w:div>
    <w:div w:id="29261784">
      <w:bodyDiv w:val="1"/>
      <w:marLeft w:val="0"/>
      <w:marRight w:val="0"/>
      <w:marTop w:val="0"/>
      <w:marBottom w:val="0"/>
      <w:divBdr>
        <w:top w:val="none" w:sz="0" w:space="0" w:color="auto"/>
        <w:left w:val="none" w:sz="0" w:space="0" w:color="auto"/>
        <w:bottom w:val="none" w:sz="0" w:space="0" w:color="auto"/>
        <w:right w:val="none" w:sz="0" w:space="0" w:color="auto"/>
      </w:divBdr>
    </w:div>
    <w:div w:id="29307461">
      <w:bodyDiv w:val="1"/>
      <w:marLeft w:val="0"/>
      <w:marRight w:val="0"/>
      <w:marTop w:val="0"/>
      <w:marBottom w:val="0"/>
      <w:divBdr>
        <w:top w:val="none" w:sz="0" w:space="0" w:color="auto"/>
        <w:left w:val="none" w:sz="0" w:space="0" w:color="auto"/>
        <w:bottom w:val="none" w:sz="0" w:space="0" w:color="auto"/>
        <w:right w:val="none" w:sz="0" w:space="0" w:color="auto"/>
      </w:divBdr>
    </w:div>
    <w:div w:id="29455602">
      <w:bodyDiv w:val="1"/>
      <w:marLeft w:val="0"/>
      <w:marRight w:val="0"/>
      <w:marTop w:val="0"/>
      <w:marBottom w:val="0"/>
      <w:divBdr>
        <w:top w:val="none" w:sz="0" w:space="0" w:color="auto"/>
        <w:left w:val="none" w:sz="0" w:space="0" w:color="auto"/>
        <w:bottom w:val="none" w:sz="0" w:space="0" w:color="auto"/>
        <w:right w:val="none" w:sz="0" w:space="0" w:color="auto"/>
      </w:divBdr>
    </w:div>
    <w:div w:id="29498633">
      <w:bodyDiv w:val="1"/>
      <w:marLeft w:val="0"/>
      <w:marRight w:val="0"/>
      <w:marTop w:val="0"/>
      <w:marBottom w:val="0"/>
      <w:divBdr>
        <w:top w:val="none" w:sz="0" w:space="0" w:color="auto"/>
        <w:left w:val="none" w:sz="0" w:space="0" w:color="auto"/>
        <w:bottom w:val="none" w:sz="0" w:space="0" w:color="auto"/>
        <w:right w:val="none" w:sz="0" w:space="0" w:color="auto"/>
      </w:divBdr>
    </w:div>
    <w:div w:id="29502071">
      <w:bodyDiv w:val="1"/>
      <w:marLeft w:val="0"/>
      <w:marRight w:val="0"/>
      <w:marTop w:val="0"/>
      <w:marBottom w:val="0"/>
      <w:divBdr>
        <w:top w:val="none" w:sz="0" w:space="0" w:color="auto"/>
        <w:left w:val="none" w:sz="0" w:space="0" w:color="auto"/>
        <w:bottom w:val="none" w:sz="0" w:space="0" w:color="auto"/>
        <w:right w:val="none" w:sz="0" w:space="0" w:color="auto"/>
      </w:divBdr>
    </w:div>
    <w:div w:id="29959099">
      <w:bodyDiv w:val="1"/>
      <w:marLeft w:val="0"/>
      <w:marRight w:val="0"/>
      <w:marTop w:val="0"/>
      <w:marBottom w:val="0"/>
      <w:divBdr>
        <w:top w:val="none" w:sz="0" w:space="0" w:color="auto"/>
        <w:left w:val="none" w:sz="0" w:space="0" w:color="auto"/>
        <w:bottom w:val="none" w:sz="0" w:space="0" w:color="auto"/>
        <w:right w:val="none" w:sz="0" w:space="0" w:color="auto"/>
      </w:divBdr>
    </w:div>
    <w:div w:id="30110571">
      <w:bodyDiv w:val="1"/>
      <w:marLeft w:val="0"/>
      <w:marRight w:val="0"/>
      <w:marTop w:val="0"/>
      <w:marBottom w:val="0"/>
      <w:divBdr>
        <w:top w:val="none" w:sz="0" w:space="0" w:color="auto"/>
        <w:left w:val="none" w:sz="0" w:space="0" w:color="auto"/>
        <w:bottom w:val="none" w:sz="0" w:space="0" w:color="auto"/>
        <w:right w:val="none" w:sz="0" w:space="0" w:color="auto"/>
      </w:divBdr>
    </w:div>
    <w:div w:id="30346627">
      <w:bodyDiv w:val="1"/>
      <w:marLeft w:val="0"/>
      <w:marRight w:val="0"/>
      <w:marTop w:val="0"/>
      <w:marBottom w:val="0"/>
      <w:divBdr>
        <w:top w:val="none" w:sz="0" w:space="0" w:color="auto"/>
        <w:left w:val="none" w:sz="0" w:space="0" w:color="auto"/>
        <w:bottom w:val="none" w:sz="0" w:space="0" w:color="auto"/>
        <w:right w:val="none" w:sz="0" w:space="0" w:color="auto"/>
      </w:divBdr>
    </w:div>
    <w:div w:id="30611546">
      <w:bodyDiv w:val="1"/>
      <w:marLeft w:val="0"/>
      <w:marRight w:val="0"/>
      <w:marTop w:val="0"/>
      <w:marBottom w:val="0"/>
      <w:divBdr>
        <w:top w:val="none" w:sz="0" w:space="0" w:color="auto"/>
        <w:left w:val="none" w:sz="0" w:space="0" w:color="auto"/>
        <w:bottom w:val="none" w:sz="0" w:space="0" w:color="auto"/>
        <w:right w:val="none" w:sz="0" w:space="0" w:color="auto"/>
      </w:divBdr>
    </w:div>
    <w:div w:id="30616636">
      <w:bodyDiv w:val="1"/>
      <w:marLeft w:val="0"/>
      <w:marRight w:val="0"/>
      <w:marTop w:val="0"/>
      <w:marBottom w:val="0"/>
      <w:divBdr>
        <w:top w:val="none" w:sz="0" w:space="0" w:color="auto"/>
        <w:left w:val="none" w:sz="0" w:space="0" w:color="auto"/>
        <w:bottom w:val="none" w:sz="0" w:space="0" w:color="auto"/>
        <w:right w:val="none" w:sz="0" w:space="0" w:color="auto"/>
      </w:divBdr>
    </w:div>
    <w:div w:id="30813377">
      <w:bodyDiv w:val="1"/>
      <w:marLeft w:val="0"/>
      <w:marRight w:val="0"/>
      <w:marTop w:val="0"/>
      <w:marBottom w:val="0"/>
      <w:divBdr>
        <w:top w:val="none" w:sz="0" w:space="0" w:color="auto"/>
        <w:left w:val="none" w:sz="0" w:space="0" w:color="auto"/>
        <w:bottom w:val="none" w:sz="0" w:space="0" w:color="auto"/>
        <w:right w:val="none" w:sz="0" w:space="0" w:color="auto"/>
      </w:divBdr>
    </w:div>
    <w:div w:id="31077490">
      <w:bodyDiv w:val="1"/>
      <w:marLeft w:val="0"/>
      <w:marRight w:val="0"/>
      <w:marTop w:val="0"/>
      <w:marBottom w:val="0"/>
      <w:divBdr>
        <w:top w:val="none" w:sz="0" w:space="0" w:color="auto"/>
        <w:left w:val="none" w:sz="0" w:space="0" w:color="auto"/>
        <w:bottom w:val="none" w:sz="0" w:space="0" w:color="auto"/>
        <w:right w:val="none" w:sz="0" w:space="0" w:color="auto"/>
      </w:divBdr>
    </w:div>
    <w:div w:id="31270578">
      <w:bodyDiv w:val="1"/>
      <w:marLeft w:val="0"/>
      <w:marRight w:val="0"/>
      <w:marTop w:val="0"/>
      <w:marBottom w:val="0"/>
      <w:divBdr>
        <w:top w:val="none" w:sz="0" w:space="0" w:color="auto"/>
        <w:left w:val="none" w:sz="0" w:space="0" w:color="auto"/>
        <w:bottom w:val="none" w:sz="0" w:space="0" w:color="auto"/>
        <w:right w:val="none" w:sz="0" w:space="0" w:color="auto"/>
      </w:divBdr>
    </w:div>
    <w:div w:id="31342638">
      <w:bodyDiv w:val="1"/>
      <w:marLeft w:val="0"/>
      <w:marRight w:val="0"/>
      <w:marTop w:val="0"/>
      <w:marBottom w:val="0"/>
      <w:divBdr>
        <w:top w:val="none" w:sz="0" w:space="0" w:color="auto"/>
        <w:left w:val="none" w:sz="0" w:space="0" w:color="auto"/>
        <w:bottom w:val="none" w:sz="0" w:space="0" w:color="auto"/>
        <w:right w:val="none" w:sz="0" w:space="0" w:color="auto"/>
      </w:divBdr>
    </w:div>
    <w:div w:id="31351448">
      <w:bodyDiv w:val="1"/>
      <w:marLeft w:val="0"/>
      <w:marRight w:val="0"/>
      <w:marTop w:val="0"/>
      <w:marBottom w:val="0"/>
      <w:divBdr>
        <w:top w:val="none" w:sz="0" w:space="0" w:color="auto"/>
        <w:left w:val="none" w:sz="0" w:space="0" w:color="auto"/>
        <w:bottom w:val="none" w:sz="0" w:space="0" w:color="auto"/>
        <w:right w:val="none" w:sz="0" w:space="0" w:color="auto"/>
      </w:divBdr>
    </w:div>
    <w:div w:id="31538449">
      <w:bodyDiv w:val="1"/>
      <w:marLeft w:val="0"/>
      <w:marRight w:val="0"/>
      <w:marTop w:val="0"/>
      <w:marBottom w:val="0"/>
      <w:divBdr>
        <w:top w:val="none" w:sz="0" w:space="0" w:color="auto"/>
        <w:left w:val="none" w:sz="0" w:space="0" w:color="auto"/>
        <w:bottom w:val="none" w:sz="0" w:space="0" w:color="auto"/>
        <w:right w:val="none" w:sz="0" w:space="0" w:color="auto"/>
      </w:divBdr>
    </w:div>
    <w:div w:id="31616463">
      <w:bodyDiv w:val="1"/>
      <w:marLeft w:val="0"/>
      <w:marRight w:val="0"/>
      <w:marTop w:val="0"/>
      <w:marBottom w:val="0"/>
      <w:divBdr>
        <w:top w:val="none" w:sz="0" w:space="0" w:color="auto"/>
        <w:left w:val="none" w:sz="0" w:space="0" w:color="auto"/>
        <w:bottom w:val="none" w:sz="0" w:space="0" w:color="auto"/>
        <w:right w:val="none" w:sz="0" w:space="0" w:color="auto"/>
      </w:divBdr>
    </w:div>
    <w:div w:id="31998398">
      <w:bodyDiv w:val="1"/>
      <w:marLeft w:val="0"/>
      <w:marRight w:val="0"/>
      <w:marTop w:val="0"/>
      <w:marBottom w:val="0"/>
      <w:divBdr>
        <w:top w:val="none" w:sz="0" w:space="0" w:color="auto"/>
        <w:left w:val="none" w:sz="0" w:space="0" w:color="auto"/>
        <w:bottom w:val="none" w:sz="0" w:space="0" w:color="auto"/>
        <w:right w:val="none" w:sz="0" w:space="0" w:color="auto"/>
      </w:divBdr>
    </w:div>
    <w:div w:id="32078033">
      <w:bodyDiv w:val="1"/>
      <w:marLeft w:val="0"/>
      <w:marRight w:val="0"/>
      <w:marTop w:val="0"/>
      <w:marBottom w:val="0"/>
      <w:divBdr>
        <w:top w:val="none" w:sz="0" w:space="0" w:color="auto"/>
        <w:left w:val="none" w:sz="0" w:space="0" w:color="auto"/>
        <w:bottom w:val="none" w:sz="0" w:space="0" w:color="auto"/>
        <w:right w:val="none" w:sz="0" w:space="0" w:color="auto"/>
      </w:divBdr>
    </w:div>
    <w:div w:id="32849304">
      <w:bodyDiv w:val="1"/>
      <w:marLeft w:val="0"/>
      <w:marRight w:val="0"/>
      <w:marTop w:val="0"/>
      <w:marBottom w:val="0"/>
      <w:divBdr>
        <w:top w:val="none" w:sz="0" w:space="0" w:color="auto"/>
        <w:left w:val="none" w:sz="0" w:space="0" w:color="auto"/>
        <w:bottom w:val="none" w:sz="0" w:space="0" w:color="auto"/>
        <w:right w:val="none" w:sz="0" w:space="0" w:color="auto"/>
      </w:divBdr>
    </w:div>
    <w:div w:id="32927377">
      <w:bodyDiv w:val="1"/>
      <w:marLeft w:val="0"/>
      <w:marRight w:val="0"/>
      <w:marTop w:val="0"/>
      <w:marBottom w:val="0"/>
      <w:divBdr>
        <w:top w:val="none" w:sz="0" w:space="0" w:color="auto"/>
        <w:left w:val="none" w:sz="0" w:space="0" w:color="auto"/>
        <w:bottom w:val="none" w:sz="0" w:space="0" w:color="auto"/>
        <w:right w:val="none" w:sz="0" w:space="0" w:color="auto"/>
      </w:divBdr>
    </w:div>
    <w:div w:id="33114995">
      <w:bodyDiv w:val="1"/>
      <w:marLeft w:val="0"/>
      <w:marRight w:val="0"/>
      <w:marTop w:val="0"/>
      <w:marBottom w:val="0"/>
      <w:divBdr>
        <w:top w:val="none" w:sz="0" w:space="0" w:color="auto"/>
        <w:left w:val="none" w:sz="0" w:space="0" w:color="auto"/>
        <w:bottom w:val="none" w:sz="0" w:space="0" w:color="auto"/>
        <w:right w:val="none" w:sz="0" w:space="0" w:color="auto"/>
      </w:divBdr>
    </w:div>
    <w:div w:id="33120165">
      <w:bodyDiv w:val="1"/>
      <w:marLeft w:val="0"/>
      <w:marRight w:val="0"/>
      <w:marTop w:val="0"/>
      <w:marBottom w:val="0"/>
      <w:divBdr>
        <w:top w:val="none" w:sz="0" w:space="0" w:color="auto"/>
        <w:left w:val="none" w:sz="0" w:space="0" w:color="auto"/>
        <w:bottom w:val="none" w:sz="0" w:space="0" w:color="auto"/>
        <w:right w:val="none" w:sz="0" w:space="0" w:color="auto"/>
      </w:divBdr>
    </w:div>
    <w:div w:id="33309150">
      <w:bodyDiv w:val="1"/>
      <w:marLeft w:val="0"/>
      <w:marRight w:val="0"/>
      <w:marTop w:val="0"/>
      <w:marBottom w:val="0"/>
      <w:divBdr>
        <w:top w:val="none" w:sz="0" w:space="0" w:color="auto"/>
        <w:left w:val="none" w:sz="0" w:space="0" w:color="auto"/>
        <w:bottom w:val="none" w:sz="0" w:space="0" w:color="auto"/>
        <w:right w:val="none" w:sz="0" w:space="0" w:color="auto"/>
      </w:divBdr>
    </w:div>
    <w:div w:id="33427685">
      <w:bodyDiv w:val="1"/>
      <w:marLeft w:val="0"/>
      <w:marRight w:val="0"/>
      <w:marTop w:val="0"/>
      <w:marBottom w:val="0"/>
      <w:divBdr>
        <w:top w:val="none" w:sz="0" w:space="0" w:color="auto"/>
        <w:left w:val="none" w:sz="0" w:space="0" w:color="auto"/>
        <w:bottom w:val="none" w:sz="0" w:space="0" w:color="auto"/>
        <w:right w:val="none" w:sz="0" w:space="0" w:color="auto"/>
      </w:divBdr>
    </w:div>
    <w:div w:id="33776524">
      <w:bodyDiv w:val="1"/>
      <w:marLeft w:val="0"/>
      <w:marRight w:val="0"/>
      <w:marTop w:val="0"/>
      <w:marBottom w:val="0"/>
      <w:divBdr>
        <w:top w:val="none" w:sz="0" w:space="0" w:color="auto"/>
        <w:left w:val="none" w:sz="0" w:space="0" w:color="auto"/>
        <w:bottom w:val="none" w:sz="0" w:space="0" w:color="auto"/>
        <w:right w:val="none" w:sz="0" w:space="0" w:color="auto"/>
      </w:divBdr>
    </w:div>
    <w:div w:id="33971467">
      <w:bodyDiv w:val="1"/>
      <w:marLeft w:val="0"/>
      <w:marRight w:val="0"/>
      <w:marTop w:val="0"/>
      <w:marBottom w:val="0"/>
      <w:divBdr>
        <w:top w:val="none" w:sz="0" w:space="0" w:color="auto"/>
        <w:left w:val="none" w:sz="0" w:space="0" w:color="auto"/>
        <w:bottom w:val="none" w:sz="0" w:space="0" w:color="auto"/>
        <w:right w:val="none" w:sz="0" w:space="0" w:color="auto"/>
      </w:divBdr>
    </w:div>
    <w:div w:id="34085144">
      <w:bodyDiv w:val="1"/>
      <w:marLeft w:val="0"/>
      <w:marRight w:val="0"/>
      <w:marTop w:val="0"/>
      <w:marBottom w:val="0"/>
      <w:divBdr>
        <w:top w:val="none" w:sz="0" w:space="0" w:color="auto"/>
        <w:left w:val="none" w:sz="0" w:space="0" w:color="auto"/>
        <w:bottom w:val="none" w:sz="0" w:space="0" w:color="auto"/>
        <w:right w:val="none" w:sz="0" w:space="0" w:color="auto"/>
      </w:divBdr>
    </w:div>
    <w:div w:id="34158640">
      <w:bodyDiv w:val="1"/>
      <w:marLeft w:val="0"/>
      <w:marRight w:val="0"/>
      <w:marTop w:val="0"/>
      <w:marBottom w:val="0"/>
      <w:divBdr>
        <w:top w:val="none" w:sz="0" w:space="0" w:color="auto"/>
        <w:left w:val="none" w:sz="0" w:space="0" w:color="auto"/>
        <w:bottom w:val="none" w:sz="0" w:space="0" w:color="auto"/>
        <w:right w:val="none" w:sz="0" w:space="0" w:color="auto"/>
      </w:divBdr>
    </w:div>
    <w:div w:id="34501366">
      <w:bodyDiv w:val="1"/>
      <w:marLeft w:val="0"/>
      <w:marRight w:val="0"/>
      <w:marTop w:val="0"/>
      <w:marBottom w:val="0"/>
      <w:divBdr>
        <w:top w:val="none" w:sz="0" w:space="0" w:color="auto"/>
        <w:left w:val="none" w:sz="0" w:space="0" w:color="auto"/>
        <w:bottom w:val="none" w:sz="0" w:space="0" w:color="auto"/>
        <w:right w:val="none" w:sz="0" w:space="0" w:color="auto"/>
      </w:divBdr>
    </w:div>
    <w:div w:id="34744072">
      <w:bodyDiv w:val="1"/>
      <w:marLeft w:val="0"/>
      <w:marRight w:val="0"/>
      <w:marTop w:val="0"/>
      <w:marBottom w:val="0"/>
      <w:divBdr>
        <w:top w:val="none" w:sz="0" w:space="0" w:color="auto"/>
        <w:left w:val="none" w:sz="0" w:space="0" w:color="auto"/>
        <w:bottom w:val="none" w:sz="0" w:space="0" w:color="auto"/>
        <w:right w:val="none" w:sz="0" w:space="0" w:color="auto"/>
      </w:divBdr>
    </w:div>
    <w:div w:id="34813834">
      <w:bodyDiv w:val="1"/>
      <w:marLeft w:val="0"/>
      <w:marRight w:val="0"/>
      <w:marTop w:val="0"/>
      <w:marBottom w:val="0"/>
      <w:divBdr>
        <w:top w:val="none" w:sz="0" w:space="0" w:color="auto"/>
        <w:left w:val="none" w:sz="0" w:space="0" w:color="auto"/>
        <w:bottom w:val="none" w:sz="0" w:space="0" w:color="auto"/>
        <w:right w:val="none" w:sz="0" w:space="0" w:color="auto"/>
      </w:divBdr>
    </w:div>
    <w:div w:id="34820947">
      <w:bodyDiv w:val="1"/>
      <w:marLeft w:val="0"/>
      <w:marRight w:val="0"/>
      <w:marTop w:val="0"/>
      <w:marBottom w:val="0"/>
      <w:divBdr>
        <w:top w:val="none" w:sz="0" w:space="0" w:color="auto"/>
        <w:left w:val="none" w:sz="0" w:space="0" w:color="auto"/>
        <w:bottom w:val="none" w:sz="0" w:space="0" w:color="auto"/>
        <w:right w:val="none" w:sz="0" w:space="0" w:color="auto"/>
      </w:divBdr>
    </w:div>
    <w:div w:id="34894008">
      <w:bodyDiv w:val="1"/>
      <w:marLeft w:val="0"/>
      <w:marRight w:val="0"/>
      <w:marTop w:val="0"/>
      <w:marBottom w:val="0"/>
      <w:divBdr>
        <w:top w:val="none" w:sz="0" w:space="0" w:color="auto"/>
        <w:left w:val="none" w:sz="0" w:space="0" w:color="auto"/>
        <w:bottom w:val="none" w:sz="0" w:space="0" w:color="auto"/>
        <w:right w:val="none" w:sz="0" w:space="0" w:color="auto"/>
      </w:divBdr>
    </w:div>
    <w:div w:id="35156045">
      <w:bodyDiv w:val="1"/>
      <w:marLeft w:val="0"/>
      <w:marRight w:val="0"/>
      <w:marTop w:val="0"/>
      <w:marBottom w:val="0"/>
      <w:divBdr>
        <w:top w:val="none" w:sz="0" w:space="0" w:color="auto"/>
        <w:left w:val="none" w:sz="0" w:space="0" w:color="auto"/>
        <w:bottom w:val="none" w:sz="0" w:space="0" w:color="auto"/>
        <w:right w:val="none" w:sz="0" w:space="0" w:color="auto"/>
      </w:divBdr>
    </w:div>
    <w:div w:id="35156157">
      <w:bodyDiv w:val="1"/>
      <w:marLeft w:val="0"/>
      <w:marRight w:val="0"/>
      <w:marTop w:val="0"/>
      <w:marBottom w:val="0"/>
      <w:divBdr>
        <w:top w:val="none" w:sz="0" w:space="0" w:color="auto"/>
        <w:left w:val="none" w:sz="0" w:space="0" w:color="auto"/>
        <w:bottom w:val="none" w:sz="0" w:space="0" w:color="auto"/>
        <w:right w:val="none" w:sz="0" w:space="0" w:color="auto"/>
      </w:divBdr>
    </w:div>
    <w:div w:id="35201257">
      <w:bodyDiv w:val="1"/>
      <w:marLeft w:val="0"/>
      <w:marRight w:val="0"/>
      <w:marTop w:val="0"/>
      <w:marBottom w:val="0"/>
      <w:divBdr>
        <w:top w:val="none" w:sz="0" w:space="0" w:color="auto"/>
        <w:left w:val="none" w:sz="0" w:space="0" w:color="auto"/>
        <w:bottom w:val="none" w:sz="0" w:space="0" w:color="auto"/>
        <w:right w:val="none" w:sz="0" w:space="0" w:color="auto"/>
      </w:divBdr>
    </w:div>
    <w:div w:id="35276333">
      <w:bodyDiv w:val="1"/>
      <w:marLeft w:val="0"/>
      <w:marRight w:val="0"/>
      <w:marTop w:val="0"/>
      <w:marBottom w:val="0"/>
      <w:divBdr>
        <w:top w:val="none" w:sz="0" w:space="0" w:color="auto"/>
        <w:left w:val="none" w:sz="0" w:space="0" w:color="auto"/>
        <w:bottom w:val="none" w:sz="0" w:space="0" w:color="auto"/>
        <w:right w:val="none" w:sz="0" w:space="0" w:color="auto"/>
      </w:divBdr>
    </w:div>
    <w:div w:id="35278668">
      <w:bodyDiv w:val="1"/>
      <w:marLeft w:val="0"/>
      <w:marRight w:val="0"/>
      <w:marTop w:val="0"/>
      <w:marBottom w:val="0"/>
      <w:divBdr>
        <w:top w:val="none" w:sz="0" w:space="0" w:color="auto"/>
        <w:left w:val="none" w:sz="0" w:space="0" w:color="auto"/>
        <w:bottom w:val="none" w:sz="0" w:space="0" w:color="auto"/>
        <w:right w:val="none" w:sz="0" w:space="0" w:color="auto"/>
      </w:divBdr>
    </w:div>
    <w:div w:id="35586968">
      <w:bodyDiv w:val="1"/>
      <w:marLeft w:val="0"/>
      <w:marRight w:val="0"/>
      <w:marTop w:val="0"/>
      <w:marBottom w:val="0"/>
      <w:divBdr>
        <w:top w:val="none" w:sz="0" w:space="0" w:color="auto"/>
        <w:left w:val="none" w:sz="0" w:space="0" w:color="auto"/>
        <w:bottom w:val="none" w:sz="0" w:space="0" w:color="auto"/>
        <w:right w:val="none" w:sz="0" w:space="0" w:color="auto"/>
      </w:divBdr>
    </w:div>
    <w:div w:id="35737241">
      <w:bodyDiv w:val="1"/>
      <w:marLeft w:val="0"/>
      <w:marRight w:val="0"/>
      <w:marTop w:val="0"/>
      <w:marBottom w:val="0"/>
      <w:divBdr>
        <w:top w:val="none" w:sz="0" w:space="0" w:color="auto"/>
        <w:left w:val="none" w:sz="0" w:space="0" w:color="auto"/>
        <w:bottom w:val="none" w:sz="0" w:space="0" w:color="auto"/>
        <w:right w:val="none" w:sz="0" w:space="0" w:color="auto"/>
      </w:divBdr>
    </w:div>
    <w:div w:id="36129549">
      <w:bodyDiv w:val="1"/>
      <w:marLeft w:val="0"/>
      <w:marRight w:val="0"/>
      <w:marTop w:val="0"/>
      <w:marBottom w:val="0"/>
      <w:divBdr>
        <w:top w:val="none" w:sz="0" w:space="0" w:color="auto"/>
        <w:left w:val="none" w:sz="0" w:space="0" w:color="auto"/>
        <w:bottom w:val="none" w:sz="0" w:space="0" w:color="auto"/>
        <w:right w:val="none" w:sz="0" w:space="0" w:color="auto"/>
      </w:divBdr>
    </w:div>
    <w:div w:id="36130319">
      <w:bodyDiv w:val="1"/>
      <w:marLeft w:val="0"/>
      <w:marRight w:val="0"/>
      <w:marTop w:val="0"/>
      <w:marBottom w:val="0"/>
      <w:divBdr>
        <w:top w:val="none" w:sz="0" w:space="0" w:color="auto"/>
        <w:left w:val="none" w:sz="0" w:space="0" w:color="auto"/>
        <w:bottom w:val="none" w:sz="0" w:space="0" w:color="auto"/>
        <w:right w:val="none" w:sz="0" w:space="0" w:color="auto"/>
      </w:divBdr>
    </w:div>
    <w:div w:id="36315985">
      <w:bodyDiv w:val="1"/>
      <w:marLeft w:val="0"/>
      <w:marRight w:val="0"/>
      <w:marTop w:val="0"/>
      <w:marBottom w:val="0"/>
      <w:divBdr>
        <w:top w:val="none" w:sz="0" w:space="0" w:color="auto"/>
        <w:left w:val="none" w:sz="0" w:space="0" w:color="auto"/>
        <w:bottom w:val="none" w:sz="0" w:space="0" w:color="auto"/>
        <w:right w:val="none" w:sz="0" w:space="0" w:color="auto"/>
      </w:divBdr>
    </w:div>
    <w:div w:id="36318635">
      <w:bodyDiv w:val="1"/>
      <w:marLeft w:val="0"/>
      <w:marRight w:val="0"/>
      <w:marTop w:val="0"/>
      <w:marBottom w:val="0"/>
      <w:divBdr>
        <w:top w:val="none" w:sz="0" w:space="0" w:color="auto"/>
        <w:left w:val="none" w:sz="0" w:space="0" w:color="auto"/>
        <w:bottom w:val="none" w:sz="0" w:space="0" w:color="auto"/>
        <w:right w:val="none" w:sz="0" w:space="0" w:color="auto"/>
      </w:divBdr>
    </w:div>
    <w:div w:id="36592914">
      <w:bodyDiv w:val="1"/>
      <w:marLeft w:val="0"/>
      <w:marRight w:val="0"/>
      <w:marTop w:val="0"/>
      <w:marBottom w:val="0"/>
      <w:divBdr>
        <w:top w:val="none" w:sz="0" w:space="0" w:color="auto"/>
        <w:left w:val="none" w:sz="0" w:space="0" w:color="auto"/>
        <w:bottom w:val="none" w:sz="0" w:space="0" w:color="auto"/>
        <w:right w:val="none" w:sz="0" w:space="0" w:color="auto"/>
      </w:divBdr>
    </w:div>
    <w:div w:id="36635617">
      <w:bodyDiv w:val="1"/>
      <w:marLeft w:val="0"/>
      <w:marRight w:val="0"/>
      <w:marTop w:val="0"/>
      <w:marBottom w:val="0"/>
      <w:divBdr>
        <w:top w:val="none" w:sz="0" w:space="0" w:color="auto"/>
        <w:left w:val="none" w:sz="0" w:space="0" w:color="auto"/>
        <w:bottom w:val="none" w:sz="0" w:space="0" w:color="auto"/>
        <w:right w:val="none" w:sz="0" w:space="0" w:color="auto"/>
      </w:divBdr>
    </w:div>
    <w:div w:id="36853993">
      <w:bodyDiv w:val="1"/>
      <w:marLeft w:val="0"/>
      <w:marRight w:val="0"/>
      <w:marTop w:val="0"/>
      <w:marBottom w:val="0"/>
      <w:divBdr>
        <w:top w:val="none" w:sz="0" w:space="0" w:color="auto"/>
        <w:left w:val="none" w:sz="0" w:space="0" w:color="auto"/>
        <w:bottom w:val="none" w:sz="0" w:space="0" w:color="auto"/>
        <w:right w:val="none" w:sz="0" w:space="0" w:color="auto"/>
      </w:divBdr>
    </w:div>
    <w:div w:id="36971939">
      <w:bodyDiv w:val="1"/>
      <w:marLeft w:val="0"/>
      <w:marRight w:val="0"/>
      <w:marTop w:val="0"/>
      <w:marBottom w:val="0"/>
      <w:divBdr>
        <w:top w:val="none" w:sz="0" w:space="0" w:color="auto"/>
        <w:left w:val="none" w:sz="0" w:space="0" w:color="auto"/>
        <w:bottom w:val="none" w:sz="0" w:space="0" w:color="auto"/>
        <w:right w:val="none" w:sz="0" w:space="0" w:color="auto"/>
      </w:divBdr>
    </w:div>
    <w:div w:id="36976307">
      <w:bodyDiv w:val="1"/>
      <w:marLeft w:val="0"/>
      <w:marRight w:val="0"/>
      <w:marTop w:val="0"/>
      <w:marBottom w:val="0"/>
      <w:divBdr>
        <w:top w:val="none" w:sz="0" w:space="0" w:color="auto"/>
        <w:left w:val="none" w:sz="0" w:space="0" w:color="auto"/>
        <w:bottom w:val="none" w:sz="0" w:space="0" w:color="auto"/>
        <w:right w:val="none" w:sz="0" w:space="0" w:color="auto"/>
      </w:divBdr>
    </w:div>
    <w:div w:id="37124893">
      <w:bodyDiv w:val="1"/>
      <w:marLeft w:val="0"/>
      <w:marRight w:val="0"/>
      <w:marTop w:val="0"/>
      <w:marBottom w:val="0"/>
      <w:divBdr>
        <w:top w:val="none" w:sz="0" w:space="0" w:color="auto"/>
        <w:left w:val="none" w:sz="0" w:space="0" w:color="auto"/>
        <w:bottom w:val="none" w:sz="0" w:space="0" w:color="auto"/>
        <w:right w:val="none" w:sz="0" w:space="0" w:color="auto"/>
      </w:divBdr>
    </w:div>
    <w:div w:id="37366357">
      <w:bodyDiv w:val="1"/>
      <w:marLeft w:val="0"/>
      <w:marRight w:val="0"/>
      <w:marTop w:val="0"/>
      <w:marBottom w:val="0"/>
      <w:divBdr>
        <w:top w:val="none" w:sz="0" w:space="0" w:color="auto"/>
        <w:left w:val="none" w:sz="0" w:space="0" w:color="auto"/>
        <w:bottom w:val="none" w:sz="0" w:space="0" w:color="auto"/>
        <w:right w:val="none" w:sz="0" w:space="0" w:color="auto"/>
      </w:divBdr>
    </w:div>
    <w:div w:id="37559367">
      <w:bodyDiv w:val="1"/>
      <w:marLeft w:val="0"/>
      <w:marRight w:val="0"/>
      <w:marTop w:val="0"/>
      <w:marBottom w:val="0"/>
      <w:divBdr>
        <w:top w:val="none" w:sz="0" w:space="0" w:color="auto"/>
        <w:left w:val="none" w:sz="0" w:space="0" w:color="auto"/>
        <w:bottom w:val="none" w:sz="0" w:space="0" w:color="auto"/>
        <w:right w:val="none" w:sz="0" w:space="0" w:color="auto"/>
      </w:divBdr>
    </w:div>
    <w:div w:id="38089445">
      <w:bodyDiv w:val="1"/>
      <w:marLeft w:val="0"/>
      <w:marRight w:val="0"/>
      <w:marTop w:val="0"/>
      <w:marBottom w:val="0"/>
      <w:divBdr>
        <w:top w:val="none" w:sz="0" w:space="0" w:color="auto"/>
        <w:left w:val="none" w:sz="0" w:space="0" w:color="auto"/>
        <w:bottom w:val="none" w:sz="0" w:space="0" w:color="auto"/>
        <w:right w:val="none" w:sz="0" w:space="0" w:color="auto"/>
      </w:divBdr>
    </w:div>
    <w:div w:id="38092360">
      <w:bodyDiv w:val="1"/>
      <w:marLeft w:val="0"/>
      <w:marRight w:val="0"/>
      <w:marTop w:val="0"/>
      <w:marBottom w:val="0"/>
      <w:divBdr>
        <w:top w:val="none" w:sz="0" w:space="0" w:color="auto"/>
        <w:left w:val="none" w:sz="0" w:space="0" w:color="auto"/>
        <w:bottom w:val="none" w:sz="0" w:space="0" w:color="auto"/>
        <w:right w:val="none" w:sz="0" w:space="0" w:color="auto"/>
      </w:divBdr>
    </w:div>
    <w:div w:id="38214829">
      <w:bodyDiv w:val="1"/>
      <w:marLeft w:val="0"/>
      <w:marRight w:val="0"/>
      <w:marTop w:val="0"/>
      <w:marBottom w:val="0"/>
      <w:divBdr>
        <w:top w:val="none" w:sz="0" w:space="0" w:color="auto"/>
        <w:left w:val="none" w:sz="0" w:space="0" w:color="auto"/>
        <w:bottom w:val="none" w:sz="0" w:space="0" w:color="auto"/>
        <w:right w:val="none" w:sz="0" w:space="0" w:color="auto"/>
      </w:divBdr>
    </w:div>
    <w:div w:id="38407620">
      <w:bodyDiv w:val="1"/>
      <w:marLeft w:val="0"/>
      <w:marRight w:val="0"/>
      <w:marTop w:val="0"/>
      <w:marBottom w:val="0"/>
      <w:divBdr>
        <w:top w:val="none" w:sz="0" w:space="0" w:color="auto"/>
        <w:left w:val="none" w:sz="0" w:space="0" w:color="auto"/>
        <w:bottom w:val="none" w:sz="0" w:space="0" w:color="auto"/>
        <w:right w:val="none" w:sz="0" w:space="0" w:color="auto"/>
      </w:divBdr>
    </w:div>
    <w:div w:id="38476273">
      <w:bodyDiv w:val="1"/>
      <w:marLeft w:val="0"/>
      <w:marRight w:val="0"/>
      <w:marTop w:val="0"/>
      <w:marBottom w:val="0"/>
      <w:divBdr>
        <w:top w:val="none" w:sz="0" w:space="0" w:color="auto"/>
        <w:left w:val="none" w:sz="0" w:space="0" w:color="auto"/>
        <w:bottom w:val="none" w:sz="0" w:space="0" w:color="auto"/>
        <w:right w:val="none" w:sz="0" w:space="0" w:color="auto"/>
      </w:divBdr>
    </w:div>
    <w:div w:id="38747381">
      <w:bodyDiv w:val="1"/>
      <w:marLeft w:val="0"/>
      <w:marRight w:val="0"/>
      <w:marTop w:val="0"/>
      <w:marBottom w:val="0"/>
      <w:divBdr>
        <w:top w:val="none" w:sz="0" w:space="0" w:color="auto"/>
        <w:left w:val="none" w:sz="0" w:space="0" w:color="auto"/>
        <w:bottom w:val="none" w:sz="0" w:space="0" w:color="auto"/>
        <w:right w:val="none" w:sz="0" w:space="0" w:color="auto"/>
      </w:divBdr>
    </w:div>
    <w:div w:id="38868892">
      <w:bodyDiv w:val="1"/>
      <w:marLeft w:val="0"/>
      <w:marRight w:val="0"/>
      <w:marTop w:val="0"/>
      <w:marBottom w:val="0"/>
      <w:divBdr>
        <w:top w:val="none" w:sz="0" w:space="0" w:color="auto"/>
        <w:left w:val="none" w:sz="0" w:space="0" w:color="auto"/>
        <w:bottom w:val="none" w:sz="0" w:space="0" w:color="auto"/>
        <w:right w:val="none" w:sz="0" w:space="0" w:color="auto"/>
      </w:divBdr>
    </w:div>
    <w:div w:id="39061985">
      <w:bodyDiv w:val="1"/>
      <w:marLeft w:val="0"/>
      <w:marRight w:val="0"/>
      <w:marTop w:val="0"/>
      <w:marBottom w:val="0"/>
      <w:divBdr>
        <w:top w:val="none" w:sz="0" w:space="0" w:color="auto"/>
        <w:left w:val="none" w:sz="0" w:space="0" w:color="auto"/>
        <w:bottom w:val="none" w:sz="0" w:space="0" w:color="auto"/>
        <w:right w:val="none" w:sz="0" w:space="0" w:color="auto"/>
      </w:divBdr>
    </w:div>
    <w:div w:id="39208459">
      <w:bodyDiv w:val="1"/>
      <w:marLeft w:val="0"/>
      <w:marRight w:val="0"/>
      <w:marTop w:val="0"/>
      <w:marBottom w:val="0"/>
      <w:divBdr>
        <w:top w:val="none" w:sz="0" w:space="0" w:color="auto"/>
        <w:left w:val="none" w:sz="0" w:space="0" w:color="auto"/>
        <w:bottom w:val="none" w:sz="0" w:space="0" w:color="auto"/>
        <w:right w:val="none" w:sz="0" w:space="0" w:color="auto"/>
      </w:divBdr>
    </w:div>
    <w:div w:id="39794770">
      <w:bodyDiv w:val="1"/>
      <w:marLeft w:val="0"/>
      <w:marRight w:val="0"/>
      <w:marTop w:val="0"/>
      <w:marBottom w:val="0"/>
      <w:divBdr>
        <w:top w:val="none" w:sz="0" w:space="0" w:color="auto"/>
        <w:left w:val="none" w:sz="0" w:space="0" w:color="auto"/>
        <w:bottom w:val="none" w:sz="0" w:space="0" w:color="auto"/>
        <w:right w:val="none" w:sz="0" w:space="0" w:color="auto"/>
      </w:divBdr>
    </w:div>
    <w:div w:id="39938547">
      <w:bodyDiv w:val="1"/>
      <w:marLeft w:val="0"/>
      <w:marRight w:val="0"/>
      <w:marTop w:val="0"/>
      <w:marBottom w:val="0"/>
      <w:divBdr>
        <w:top w:val="none" w:sz="0" w:space="0" w:color="auto"/>
        <w:left w:val="none" w:sz="0" w:space="0" w:color="auto"/>
        <w:bottom w:val="none" w:sz="0" w:space="0" w:color="auto"/>
        <w:right w:val="none" w:sz="0" w:space="0" w:color="auto"/>
      </w:divBdr>
    </w:div>
    <w:div w:id="40053760">
      <w:bodyDiv w:val="1"/>
      <w:marLeft w:val="0"/>
      <w:marRight w:val="0"/>
      <w:marTop w:val="0"/>
      <w:marBottom w:val="0"/>
      <w:divBdr>
        <w:top w:val="none" w:sz="0" w:space="0" w:color="auto"/>
        <w:left w:val="none" w:sz="0" w:space="0" w:color="auto"/>
        <w:bottom w:val="none" w:sz="0" w:space="0" w:color="auto"/>
        <w:right w:val="none" w:sz="0" w:space="0" w:color="auto"/>
      </w:divBdr>
    </w:div>
    <w:div w:id="40055680">
      <w:bodyDiv w:val="1"/>
      <w:marLeft w:val="0"/>
      <w:marRight w:val="0"/>
      <w:marTop w:val="0"/>
      <w:marBottom w:val="0"/>
      <w:divBdr>
        <w:top w:val="none" w:sz="0" w:space="0" w:color="auto"/>
        <w:left w:val="none" w:sz="0" w:space="0" w:color="auto"/>
        <w:bottom w:val="none" w:sz="0" w:space="0" w:color="auto"/>
        <w:right w:val="none" w:sz="0" w:space="0" w:color="auto"/>
      </w:divBdr>
    </w:div>
    <w:div w:id="40635723">
      <w:bodyDiv w:val="1"/>
      <w:marLeft w:val="0"/>
      <w:marRight w:val="0"/>
      <w:marTop w:val="0"/>
      <w:marBottom w:val="0"/>
      <w:divBdr>
        <w:top w:val="none" w:sz="0" w:space="0" w:color="auto"/>
        <w:left w:val="none" w:sz="0" w:space="0" w:color="auto"/>
        <w:bottom w:val="none" w:sz="0" w:space="0" w:color="auto"/>
        <w:right w:val="none" w:sz="0" w:space="0" w:color="auto"/>
      </w:divBdr>
    </w:div>
    <w:div w:id="40714924">
      <w:bodyDiv w:val="1"/>
      <w:marLeft w:val="0"/>
      <w:marRight w:val="0"/>
      <w:marTop w:val="0"/>
      <w:marBottom w:val="0"/>
      <w:divBdr>
        <w:top w:val="none" w:sz="0" w:space="0" w:color="auto"/>
        <w:left w:val="none" w:sz="0" w:space="0" w:color="auto"/>
        <w:bottom w:val="none" w:sz="0" w:space="0" w:color="auto"/>
        <w:right w:val="none" w:sz="0" w:space="0" w:color="auto"/>
      </w:divBdr>
    </w:div>
    <w:div w:id="40794008">
      <w:bodyDiv w:val="1"/>
      <w:marLeft w:val="0"/>
      <w:marRight w:val="0"/>
      <w:marTop w:val="0"/>
      <w:marBottom w:val="0"/>
      <w:divBdr>
        <w:top w:val="none" w:sz="0" w:space="0" w:color="auto"/>
        <w:left w:val="none" w:sz="0" w:space="0" w:color="auto"/>
        <w:bottom w:val="none" w:sz="0" w:space="0" w:color="auto"/>
        <w:right w:val="none" w:sz="0" w:space="0" w:color="auto"/>
      </w:divBdr>
    </w:div>
    <w:div w:id="40860932">
      <w:bodyDiv w:val="1"/>
      <w:marLeft w:val="0"/>
      <w:marRight w:val="0"/>
      <w:marTop w:val="0"/>
      <w:marBottom w:val="0"/>
      <w:divBdr>
        <w:top w:val="none" w:sz="0" w:space="0" w:color="auto"/>
        <w:left w:val="none" w:sz="0" w:space="0" w:color="auto"/>
        <w:bottom w:val="none" w:sz="0" w:space="0" w:color="auto"/>
        <w:right w:val="none" w:sz="0" w:space="0" w:color="auto"/>
      </w:divBdr>
    </w:div>
    <w:div w:id="40861544">
      <w:bodyDiv w:val="1"/>
      <w:marLeft w:val="0"/>
      <w:marRight w:val="0"/>
      <w:marTop w:val="0"/>
      <w:marBottom w:val="0"/>
      <w:divBdr>
        <w:top w:val="none" w:sz="0" w:space="0" w:color="auto"/>
        <w:left w:val="none" w:sz="0" w:space="0" w:color="auto"/>
        <w:bottom w:val="none" w:sz="0" w:space="0" w:color="auto"/>
        <w:right w:val="none" w:sz="0" w:space="0" w:color="auto"/>
      </w:divBdr>
    </w:div>
    <w:div w:id="40904484">
      <w:bodyDiv w:val="1"/>
      <w:marLeft w:val="0"/>
      <w:marRight w:val="0"/>
      <w:marTop w:val="0"/>
      <w:marBottom w:val="0"/>
      <w:divBdr>
        <w:top w:val="none" w:sz="0" w:space="0" w:color="auto"/>
        <w:left w:val="none" w:sz="0" w:space="0" w:color="auto"/>
        <w:bottom w:val="none" w:sz="0" w:space="0" w:color="auto"/>
        <w:right w:val="none" w:sz="0" w:space="0" w:color="auto"/>
      </w:divBdr>
    </w:div>
    <w:div w:id="41100251">
      <w:bodyDiv w:val="1"/>
      <w:marLeft w:val="0"/>
      <w:marRight w:val="0"/>
      <w:marTop w:val="0"/>
      <w:marBottom w:val="0"/>
      <w:divBdr>
        <w:top w:val="none" w:sz="0" w:space="0" w:color="auto"/>
        <w:left w:val="none" w:sz="0" w:space="0" w:color="auto"/>
        <w:bottom w:val="none" w:sz="0" w:space="0" w:color="auto"/>
        <w:right w:val="none" w:sz="0" w:space="0" w:color="auto"/>
      </w:divBdr>
    </w:div>
    <w:div w:id="41373533">
      <w:bodyDiv w:val="1"/>
      <w:marLeft w:val="0"/>
      <w:marRight w:val="0"/>
      <w:marTop w:val="0"/>
      <w:marBottom w:val="0"/>
      <w:divBdr>
        <w:top w:val="none" w:sz="0" w:space="0" w:color="auto"/>
        <w:left w:val="none" w:sz="0" w:space="0" w:color="auto"/>
        <w:bottom w:val="none" w:sz="0" w:space="0" w:color="auto"/>
        <w:right w:val="none" w:sz="0" w:space="0" w:color="auto"/>
      </w:divBdr>
    </w:div>
    <w:div w:id="41448157">
      <w:bodyDiv w:val="1"/>
      <w:marLeft w:val="0"/>
      <w:marRight w:val="0"/>
      <w:marTop w:val="0"/>
      <w:marBottom w:val="0"/>
      <w:divBdr>
        <w:top w:val="none" w:sz="0" w:space="0" w:color="auto"/>
        <w:left w:val="none" w:sz="0" w:space="0" w:color="auto"/>
        <w:bottom w:val="none" w:sz="0" w:space="0" w:color="auto"/>
        <w:right w:val="none" w:sz="0" w:space="0" w:color="auto"/>
      </w:divBdr>
    </w:div>
    <w:div w:id="41633054">
      <w:bodyDiv w:val="1"/>
      <w:marLeft w:val="0"/>
      <w:marRight w:val="0"/>
      <w:marTop w:val="0"/>
      <w:marBottom w:val="0"/>
      <w:divBdr>
        <w:top w:val="none" w:sz="0" w:space="0" w:color="auto"/>
        <w:left w:val="none" w:sz="0" w:space="0" w:color="auto"/>
        <w:bottom w:val="none" w:sz="0" w:space="0" w:color="auto"/>
        <w:right w:val="none" w:sz="0" w:space="0" w:color="auto"/>
      </w:divBdr>
    </w:div>
    <w:div w:id="41752415">
      <w:bodyDiv w:val="1"/>
      <w:marLeft w:val="0"/>
      <w:marRight w:val="0"/>
      <w:marTop w:val="0"/>
      <w:marBottom w:val="0"/>
      <w:divBdr>
        <w:top w:val="none" w:sz="0" w:space="0" w:color="auto"/>
        <w:left w:val="none" w:sz="0" w:space="0" w:color="auto"/>
        <w:bottom w:val="none" w:sz="0" w:space="0" w:color="auto"/>
        <w:right w:val="none" w:sz="0" w:space="0" w:color="auto"/>
      </w:divBdr>
    </w:div>
    <w:div w:id="41949247">
      <w:bodyDiv w:val="1"/>
      <w:marLeft w:val="0"/>
      <w:marRight w:val="0"/>
      <w:marTop w:val="0"/>
      <w:marBottom w:val="0"/>
      <w:divBdr>
        <w:top w:val="none" w:sz="0" w:space="0" w:color="auto"/>
        <w:left w:val="none" w:sz="0" w:space="0" w:color="auto"/>
        <w:bottom w:val="none" w:sz="0" w:space="0" w:color="auto"/>
        <w:right w:val="none" w:sz="0" w:space="0" w:color="auto"/>
      </w:divBdr>
    </w:div>
    <w:div w:id="42095810">
      <w:bodyDiv w:val="1"/>
      <w:marLeft w:val="0"/>
      <w:marRight w:val="0"/>
      <w:marTop w:val="0"/>
      <w:marBottom w:val="0"/>
      <w:divBdr>
        <w:top w:val="none" w:sz="0" w:space="0" w:color="auto"/>
        <w:left w:val="none" w:sz="0" w:space="0" w:color="auto"/>
        <w:bottom w:val="none" w:sz="0" w:space="0" w:color="auto"/>
        <w:right w:val="none" w:sz="0" w:space="0" w:color="auto"/>
      </w:divBdr>
    </w:div>
    <w:div w:id="42101751">
      <w:bodyDiv w:val="1"/>
      <w:marLeft w:val="0"/>
      <w:marRight w:val="0"/>
      <w:marTop w:val="0"/>
      <w:marBottom w:val="0"/>
      <w:divBdr>
        <w:top w:val="none" w:sz="0" w:space="0" w:color="auto"/>
        <w:left w:val="none" w:sz="0" w:space="0" w:color="auto"/>
        <w:bottom w:val="none" w:sz="0" w:space="0" w:color="auto"/>
        <w:right w:val="none" w:sz="0" w:space="0" w:color="auto"/>
      </w:divBdr>
    </w:div>
    <w:div w:id="42104479">
      <w:bodyDiv w:val="1"/>
      <w:marLeft w:val="0"/>
      <w:marRight w:val="0"/>
      <w:marTop w:val="0"/>
      <w:marBottom w:val="0"/>
      <w:divBdr>
        <w:top w:val="none" w:sz="0" w:space="0" w:color="auto"/>
        <w:left w:val="none" w:sz="0" w:space="0" w:color="auto"/>
        <w:bottom w:val="none" w:sz="0" w:space="0" w:color="auto"/>
        <w:right w:val="none" w:sz="0" w:space="0" w:color="auto"/>
      </w:divBdr>
    </w:div>
    <w:div w:id="42144553">
      <w:bodyDiv w:val="1"/>
      <w:marLeft w:val="0"/>
      <w:marRight w:val="0"/>
      <w:marTop w:val="0"/>
      <w:marBottom w:val="0"/>
      <w:divBdr>
        <w:top w:val="none" w:sz="0" w:space="0" w:color="auto"/>
        <w:left w:val="none" w:sz="0" w:space="0" w:color="auto"/>
        <w:bottom w:val="none" w:sz="0" w:space="0" w:color="auto"/>
        <w:right w:val="none" w:sz="0" w:space="0" w:color="auto"/>
      </w:divBdr>
    </w:div>
    <w:div w:id="42295682">
      <w:bodyDiv w:val="1"/>
      <w:marLeft w:val="0"/>
      <w:marRight w:val="0"/>
      <w:marTop w:val="0"/>
      <w:marBottom w:val="0"/>
      <w:divBdr>
        <w:top w:val="none" w:sz="0" w:space="0" w:color="auto"/>
        <w:left w:val="none" w:sz="0" w:space="0" w:color="auto"/>
        <w:bottom w:val="none" w:sz="0" w:space="0" w:color="auto"/>
        <w:right w:val="none" w:sz="0" w:space="0" w:color="auto"/>
      </w:divBdr>
    </w:div>
    <w:div w:id="42415632">
      <w:bodyDiv w:val="1"/>
      <w:marLeft w:val="0"/>
      <w:marRight w:val="0"/>
      <w:marTop w:val="0"/>
      <w:marBottom w:val="0"/>
      <w:divBdr>
        <w:top w:val="none" w:sz="0" w:space="0" w:color="auto"/>
        <w:left w:val="none" w:sz="0" w:space="0" w:color="auto"/>
        <w:bottom w:val="none" w:sz="0" w:space="0" w:color="auto"/>
        <w:right w:val="none" w:sz="0" w:space="0" w:color="auto"/>
      </w:divBdr>
    </w:div>
    <w:div w:id="42488189">
      <w:bodyDiv w:val="1"/>
      <w:marLeft w:val="0"/>
      <w:marRight w:val="0"/>
      <w:marTop w:val="0"/>
      <w:marBottom w:val="0"/>
      <w:divBdr>
        <w:top w:val="none" w:sz="0" w:space="0" w:color="auto"/>
        <w:left w:val="none" w:sz="0" w:space="0" w:color="auto"/>
        <w:bottom w:val="none" w:sz="0" w:space="0" w:color="auto"/>
        <w:right w:val="none" w:sz="0" w:space="0" w:color="auto"/>
      </w:divBdr>
    </w:div>
    <w:div w:id="42603466">
      <w:bodyDiv w:val="1"/>
      <w:marLeft w:val="0"/>
      <w:marRight w:val="0"/>
      <w:marTop w:val="0"/>
      <w:marBottom w:val="0"/>
      <w:divBdr>
        <w:top w:val="none" w:sz="0" w:space="0" w:color="auto"/>
        <w:left w:val="none" w:sz="0" w:space="0" w:color="auto"/>
        <w:bottom w:val="none" w:sz="0" w:space="0" w:color="auto"/>
        <w:right w:val="none" w:sz="0" w:space="0" w:color="auto"/>
      </w:divBdr>
    </w:div>
    <w:div w:id="42679153">
      <w:bodyDiv w:val="1"/>
      <w:marLeft w:val="0"/>
      <w:marRight w:val="0"/>
      <w:marTop w:val="0"/>
      <w:marBottom w:val="0"/>
      <w:divBdr>
        <w:top w:val="none" w:sz="0" w:space="0" w:color="auto"/>
        <w:left w:val="none" w:sz="0" w:space="0" w:color="auto"/>
        <w:bottom w:val="none" w:sz="0" w:space="0" w:color="auto"/>
        <w:right w:val="none" w:sz="0" w:space="0" w:color="auto"/>
      </w:divBdr>
    </w:div>
    <w:div w:id="42826133">
      <w:bodyDiv w:val="1"/>
      <w:marLeft w:val="0"/>
      <w:marRight w:val="0"/>
      <w:marTop w:val="0"/>
      <w:marBottom w:val="0"/>
      <w:divBdr>
        <w:top w:val="none" w:sz="0" w:space="0" w:color="auto"/>
        <w:left w:val="none" w:sz="0" w:space="0" w:color="auto"/>
        <w:bottom w:val="none" w:sz="0" w:space="0" w:color="auto"/>
        <w:right w:val="none" w:sz="0" w:space="0" w:color="auto"/>
      </w:divBdr>
    </w:div>
    <w:div w:id="42944391">
      <w:bodyDiv w:val="1"/>
      <w:marLeft w:val="0"/>
      <w:marRight w:val="0"/>
      <w:marTop w:val="0"/>
      <w:marBottom w:val="0"/>
      <w:divBdr>
        <w:top w:val="none" w:sz="0" w:space="0" w:color="auto"/>
        <w:left w:val="none" w:sz="0" w:space="0" w:color="auto"/>
        <w:bottom w:val="none" w:sz="0" w:space="0" w:color="auto"/>
        <w:right w:val="none" w:sz="0" w:space="0" w:color="auto"/>
      </w:divBdr>
    </w:div>
    <w:div w:id="43454567">
      <w:bodyDiv w:val="1"/>
      <w:marLeft w:val="0"/>
      <w:marRight w:val="0"/>
      <w:marTop w:val="0"/>
      <w:marBottom w:val="0"/>
      <w:divBdr>
        <w:top w:val="none" w:sz="0" w:space="0" w:color="auto"/>
        <w:left w:val="none" w:sz="0" w:space="0" w:color="auto"/>
        <w:bottom w:val="none" w:sz="0" w:space="0" w:color="auto"/>
        <w:right w:val="none" w:sz="0" w:space="0" w:color="auto"/>
      </w:divBdr>
    </w:div>
    <w:div w:id="43601455">
      <w:bodyDiv w:val="1"/>
      <w:marLeft w:val="0"/>
      <w:marRight w:val="0"/>
      <w:marTop w:val="0"/>
      <w:marBottom w:val="0"/>
      <w:divBdr>
        <w:top w:val="none" w:sz="0" w:space="0" w:color="auto"/>
        <w:left w:val="none" w:sz="0" w:space="0" w:color="auto"/>
        <w:bottom w:val="none" w:sz="0" w:space="0" w:color="auto"/>
        <w:right w:val="none" w:sz="0" w:space="0" w:color="auto"/>
      </w:divBdr>
    </w:div>
    <w:div w:id="43869079">
      <w:bodyDiv w:val="1"/>
      <w:marLeft w:val="0"/>
      <w:marRight w:val="0"/>
      <w:marTop w:val="0"/>
      <w:marBottom w:val="0"/>
      <w:divBdr>
        <w:top w:val="none" w:sz="0" w:space="0" w:color="auto"/>
        <w:left w:val="none" w:sz="0" w:space="0" w:color="auto"/>
        <w:bottom w:val="none" w:sz="0" w:space="0" w:color="auto"/>
        <w:right w:val="none" w:sz="0" w:space="0" w:color="auto"/>
      </w:divBdr>
    </w:div>
    <w:div w:id="43991869">
      <w:bodyDiv w:val="1"/>
      <w:marLeft w:val="0"/>
      <w:marRight w:val="0"/>
      <w:marTop w:val="0"/>
      <w:marBottom w:val="0"/>
      <w:divBdr>
        <w:top w:val="none" w:sz="0" w:space="0" w:color="auto"/>
        <w:left w:val="none" w:sz="0" w:space="0" w:color="auto"/>
        <w:bottom w:val="none" w:sz="0" w:space="0" w:color="auto"/>
        <w:right w:val="none" w:sz="0" w:space="0" w:color="auto"/>
      </w:divBdr>
    </w:div>
    <w:div w:id="44305140">
      <w:bodyDiv w:val="1"/>
      <w:marLeft w:val="0"/>
      <w:marRight w:val="0"/>
      <w:marTop w:val="0"/>
      <w:marBottom w:val="0"/>
      <w:divBdr>
        <w:top w:val="none" w:sz="0" w:space="0" w:color="auto"/>
        <w:left w:val="none" w:sz="0" w:space="0" w:color="auto"/>
        <w:bottom w:val="none" w:sz="0" w:space="0" w:color="auto"/>
        <w:right w:val="none" w:sz="0" w:space="0" w:color="auto"/>
      </w:divBdr>
    </w:div>
    <w:div w:id="44332091">
      <w:bodyDiv w:val="1"/>
      <w:marLeft w:val="0"/>
      <w:marRight w:val="0"/>
      <w:marTop w:val="0"/>
      <w:marBottom w:val="0"/>
      <w:divBdr>
        <w:top w:val="none" w:sz="0" w:space="0" w:color="auto"/>
        <w:left w:val="none" w:sz="0" w:space="0" w:color="auto"/>
        <w:bottom w:val="none" w:sz="0" w:space="0" w:color="auto"/>
        <w:right w:val="none" w:sz="0" w:space="0" w:color="auto"/>
      </w:divBdr>
    </w:div>
    <w:div w:id="44333189">
      <w:bodyDiv w:val="1"/>
      <w:marLeft w:val="0"/>
      <w:marRight w:val="0"/>
      <w:marTop w:val="0"/>
      <w:marBottom w:val="0"/>
      <w:divBdr>
        <w:top w:val="none" w:sz="0" w:space="0" w:color="auto"/>
        <w:left w:val="none" w:sz="0" w:space="0" w:color="auto"/>
        <w:bottom w:val="none" w:sz="0" w:space="0" w:color="auto"/>
        <w:right w:val="none" w:sz="0" w:space="0" w:color="auto"/>
      </w:divBdr>
    </w:div>
    <w:div w:id="44762246">
      <w:bodyDiv w:val="1"/>
      <w:marLeft w:val="0"/>
      <w:marRight w:val="0"/>
      <w:marTop w:val="0"/>
      <w:marBottom w:val="0"/>
      <w:divBdr>
        <w:top w:val="none" w:sz="0" w:space="0" w:color="auto"/>
        <w:left w:val="none" w:sz="0" w:space="0" w:color="auto"/>
        <w:bottom w:val="none" w:sz="0" w:space="0" w:color="auto"/>
        <w:right w:val="none" w:sz="0" w:space="0" w:color="auto"/>
      </w:divBdr>
    </w:div>
    <w:div w:id="44841905">
      <w:bodyDiv w:val="1"/>
      <w:marLeft w:val="0"/>
      <w:marRight w:val="0"/>
      <w:marTop w:val="0"/>
      <w:marBottom w:val="0"/>
      <w:divBdr>
        <w:top w:val="none" w:sz="0" w:space="0" w:color="auto"/>
        <w:left w:val="none" w:sz="0" w:space="0" w:color="auto"/>
        <w:bottom w:val="none" w:sz="0" w:space="0" w:color="auto"/>
        <w:right w:val="none" w:sz="0" w:space="0" w:color="auto"/>
      </w:divBdr>
    </w:div>
    <w:div w:id="45107966">
      <w:bodyDiv w:val="1"/>
      <w:marLeft w:val="0"/>
      <w:marRight w:val="0"/>
      <w:marTop w:val="0"/>
      <w:marBottom w:val="0"/>
      <w:divBdr>
        <w:top w:val="none" w:sz="0" w:space="0" w:color="auto"/>
        <w:left w:val="none" w:sz="0" w:space="0" w:color="auto"/>
        <w:bottom w:val="none" w:sz="0" w:space="0" w:color="auto"/>
        <w:right w:val="none" w:sz="0" w:space="0" w:color="auto"/>
      </w:divBdr>
    </w:div>
    <w:div w:id="45299521">
      <w:bodyDiv w:val="1"/>
      <w:marLeft w:val="0"/>
      <w:marRight w:val="0"/>
      <w:marTop w:val="0"/>
      <w:marBottom w:val="0"/>
      <w:divBdr>
        <w:top w:val="none" w:sz="0" w:space="0" w:color="auto"/>
        <w:left w:val="none" w:sz="0" w:space="0" w:color="auto"/>
        <w:bottom w:val="none" w:sz="0" w:space="0" w:color="auto"/>
        <w:right w:val="none" w:sz="0" w:space="0" w:color="auto"/>
      </w:divBdr>
    </w:div>
    <w:div w:id="45377762">
      <w:bodyDiv w:val="1"/>
      <w:marLeft w:val="0"/>
      <w:marRight w:val="0"/>
      <w:marTop w:val="0"/>
      <w:marBottom w:val="0"/>
      <w:divBdr>
        <w:top w:val="none" w:sz="0" w:space="0" w:color="auto"/>
        <w:left w:val="none" w:sz="0" w:space="0" w:color="auto"/>
        <w:bottom w:val="none" w:sz="0" w:space="0" w:color="auto"/>
        <w:right w:val="none" w:sz="0" w:space="0" w:color="auto"/>
      </w:divBdr>
    </w:div>
    <w:div w:id="45614637">
      <w:bodyDiv w:val="1"/>
      <w:marLeft w:val="0"/>
      <w:marRight w:val="0"/>
      <w:marTop w:val="0"/>
      <w:marBottom w:val="0"/>
      <w:divBdr>
        <w:top w:val="none" w:sz="0" w:space="0" w:color="auto"/>
        <w:left w:val="none" w:sz="0" w:space="0" w:color="auto"/>
        <w:bottom w:val="none" w:sz="0" w:space="0" w:color="auto"/>
        <w:right w:val="none" w:sz="0" w:space="0" w:color="auto"/>
      </w:divBdr>
    </w:div>
    <w:div w:id="45840841">
      <w:bodyDiv w:val="1"/>
      <w:marLeft w:val="0"/>
      <w:marRight w:val="0"/>
      <w:marTop w:val="0"/>
      <w:marBottom w:val="0"/>
      <w:divBdr>
        <w:top w:val="none" w:sz="0" w:space="0" w:color="auto"/>
        <w:left w:val="none" w:sz="0" w:space="0" w:color="auto"/>
        <w:bottom w:val="none" w:sz="0" w:space="0" w:color="auto"/>
        <w:right w:val="none" w:sz="0" w:space="0" w:color="auto"/>
      </w:divBdr>
    </w:div>
    <w:div w:id="46220334">
      <w:bodyDiv w:val="1"/>
      <w:marLeft w:val="0"/>
      <w:marRight w:val="0"/>
      <w:marTop w:val="0"/>
      <w:marBottom w:val="0"/>
      <w:divBdr>
        <w:top w:val="none" w:sz="0" w:space="0" w:color="auto"/>
        <w:left w:val="none" w:sz="0" w:space="0" w:color="auto"/>
        <w:bottom w:val="none" w:sz="0" w:space="0" w:color="auto"/>
        <w:right w:val="none" w:sz="0" w:space="0" w:color="auto"/>
      </w:divBdr>
    </w:div>
    <w:div w:id="46296234">
      <w:bodyDiv w:val="1"/>
      <w:marLeft w:val="0"/>
      <w:marRight w:val="0"/>
      <w:marTop w:val="0"/>
      <w:marBottom w:val="0"/>
      <w:divBdr>
        <w:top w:val="none" w:sz="0" w:space="0" w:color="auto"/>
        <w:left w:val="none" w:sz="0" w:space="0" w:color="auto"/>
        <w:bottom w:val="none" w:sz="0" w:space="0" w:color="auto"/>
        <w:right w:val="none" w:sz="0" w:space="0" w:color="auto"/>
      </w:divBdr>
    </w:div>
    <w:div w:id="46415553">
      <w:bodyDiv w:val="1"/>
      <w:marLeft w:val="0"/>
      <w:marRight w:val="0"/>
      <w:marTop w:val="0"/>
      <w:marBottom w:val="0"/>
      <w:divBdr>
        <w:top w:val="none" w:sz="0" w:space="0" w:color="auto"/>
        <w:left w:val="none" w:sz="0" w:space="0" w:color="auto"/>
        <w:bottom w:val="none" w:sz="0" w:space="0" w:color="auto"/>
        <w:right w:val="none" w:sz="0" w:space="0" w:color="auto"/>
      </w:divBdr>
    </w:div>
    <w:div w:id="46535756">
      <w:bodyDiv w:val="1"/>
      <w:marLeft w:val="0"/>
      <w:marRight w:val="0"/>
      <w:marTop w:val="0"/>
      <w:marBottom w:val="0"/>
      <w:divBdr>
        <w:top w:val="none" w:sz="0" w:space="0" w:color="auto"/>
        <w:left w:val="none" w:sz="0" w:space="0" w:color="auto"/>
        <w:bottom w:val="none" w:sz="0" w:space="0" w:color="auto"/>
        <w:right w:val="none" w:sz="0" w:space="0" w:color="auto"/>
      </w:divBdr>
    </w:div>
    <w:div w:id="46730796">
      <w:bodyDiv w:val="1"/>
      <w:marLeft w:val="0"/>
      <w:marRight w:val="0"/>
      <w:marTop w:val="0"/>
      <w:marBottom w:val="0"/>
      <w:divBdr>
        <w:top w:val="none" w:sz="0" w:space="0" w:color="auto"/>
        <w:left w:val="none" w:sz="0" w:space="0" w:color="auto"/>
        <w:bottom w:val="none" w:sz="0" w:space="0" w:color="auto"/>
        <w:right w:val="none" w:sz="0" w:space="0" w:color="auto"/>
      </w:divBdr>
    </w:div>
    <w:div w:id="47266454">
      <w:bodyDiv w:val="1"/>
      <w:marLeft w:val="0"/>
      <w:marRight w:val="0"/>
      <w:marTop w:val="0"/>
      <w:marBottom w:val="0"/>
      <w:divBdr>
        <w:top w:val="none" w:sz="0" w:space="0" w:color="auto"/>
        <w:left w:val="none" w:sz="0" w:space="0" w:color="auto"/>
        <w:bottom w:val="none" w:sz="0" w:space="0" w:color="auto"/>
        <w:right w:val="none" w:sz="0" w:space="0" w:color="auto"/>
      </w:divBdr>
    </w:div>
    <w:div w:id="47266853">
      <w:bodyDiv w:val="1"/>
      <w:marLeft w:val="0"/>
      <w:marRight w:val="0"/>
      <w:marTop w:val="0"/>
      <w:marBottom w:val="0"/>
      <w:divBdr>
        <w:top w:val="none" w:sz="0" w:space="0" w:color="auto"/>
        <w:left w:val="none" w:sz="0" w:space="0" w:color="auto"/>
        <w:bottom w:val="none" w:sz="0" w:space="0" w:color="auto"/>
        <w:right w:val="none" w:sz="0" w:space="0" w:color="auto"/>
      </w:divBdr>
    </w:div>
    <w:div w:id="47457530">
      <w:bodyDiv w:val="1"/>
      <w:marLeft w:val="0"/>
      <w:marRight w:val="0"/>
      <w:marTop w:val="0"/>
      <w:marBottom w:val="0"/>
      <w:divBdr>
        <w:top w:val="none" w:sz="0" w:space="0" w:color="auto"/>
        <w:left w:val="none" w:sz="0" w:space="0" w:color="auto"/>
        <w:bottom w:val="none" w:sz="0" w:space="0" w:color="auto"/>
        <w:right w:val="none" w:sz="0" w:space="0" w:color="auto"/>
      </w:divBdr>
    </w:div>
    <w:div w:id="47608499">
      <w:bodyDiv w:val="1"/>
      <w:marLeft w:val="0"/>
      <w:marRight w:val="0"/>
      <w:marTop w:val="0"/>
      <w:marBottom w:val="0"/>
      <w:divBdr>
        <w:top w:val="none" w:sz="0" w:space="0" w:color="auto"/>
        <w:left w:val="none" w:sz="0" w:space="0" w:color="auto"/>
        <w:bottom w:val="none" w:sz="0" w:space="0" w:color="auto"/>
        <w:right w:val="none" w:sz="0" w:space="0" w:color="auto"/>
      </w:divBdr>
    </w:div>
    <w:div w:id="47925557">
      <w:bodyDiv w:val="1"/>
      <w:marLeft w:val="0"/>
      <w:marRight w:val="0"/>
      <w:marTop w:val="0"/>
      <w:marBottom w:val="0"/>
      <w:divBdr>
        <w:top w:val="none" w:sz="0" w:space="0" w:color="auto"/>
        <w:left w:val="none" w:sz="0" w:space="0" w:color="auto"/>
        <w:bottom w:val="none" w:sz="0" w:space="0" w:color="auto"/>
        <w:right w:val="none" w:sz="0" w:space="0" w:color="auto"/>
      </w:divBdr>
    </w:div>
    <w:div w:id="48191734">
      <w:bodyDiv w:val="1"/>
      <w:marLeft w:val="0"/>
      <w:marRight w:val="0"/>
      <w:marTop w:val="0"/>
      <w:marBottom w:val="0"/>
      <w:divBdr>
        <w:top w:val="none" w:sz="0" w:space="0" w:color="auto"/>
        <w:left w:val="none" w:sz="0" w:space="0" w:color="auto"/>
        <w:bottom w:val="none" w:sz="0" w:space="0" w:color="auto"/>
        <w:right w:val="none" w:sz="0" w:space="0" w:color="auto"/>
      </w:divBdr>
    </w:div>
    <w:div w:id="48581793">
      <w:bodyDiv w:val="1"/>
      <w:marLeft w:val="0"/>
      <w:marRight w:val="0"/>
      <w:marTop w:val="0"/>
      <w:marBottom w:val="0"/>
      <w:divBdr>
        <w:top w:val="none" w:sz="0" w:space="0" w:color="auto"/>
        <w:left w:val="none" w:sz="0" w:space="0" w:color="auto"/>
        <w:bottom w:val="none" w:sz="0" w:space="0" w:color="auto"/>
        <w:right w:val="none" w:sz="0" w:space="0" w:color="auto"/>
      </w:divBdr>
    </w:div>
    <w:div w:id="48920037">
      <w:bodyDiv w:val="1"/>
      <w:marLeft w:val="0"/>
      <w:marRight w:val="0"/>
      <w:marTop w:val="0"/>
      <w:marBottom w:val="0"/>
      <w:divBdr>
        <w:top w:val="none" w:sz="0" w:space="0" w:color="auto"/>
        <w:left w:val="none" w:sz="0" w:space="0" w:color="auto"/>
        <w:bottom w:val="none" w:sz="0" w:space="0" w:color="auto"/>
        <w:right w:val="none" w:sz="0" w:space="0" w:color="auto"/>
      </w:divBdr>
    </w:div>
    <w:div w:id="49034638">
      <w:bodyDiv w:val="1"/>
      <w:marLeft w:val="0"/>
      <w:marRight w:val="0"/>
      <w:marTop w:val="0"/>
      <w:marBottom w:val="0"/>
      <w:divBdr>
        <w:top w:val="none" w:sz="0" w:space="0" w:color="auto"/>
        <w:left w:val="none" w:sz="0" w:space="0" w:color="auto"/>
        <w:bottom w:val="none" w:sz="0" w:space="0" w:color="auto"/>
        <w:right w:val="none" w:sz="0" w:space="0" w:color="auto"/>
      </w:divBdr>
    </w:div>
    <w:div w:id="49111926">
      <w:bodyDiv w:val="1"/>
      <w:marLeft w:val="0"/>
      <w:marRight w:val="0"/>
      <w:marTop w:val="0"/>
      <w:marBottom w:val="0"/>
      <w:divBdr>
        <w:top w:val="none" w:sz="0" w:space="0" w:color="auto"/>
        <w:left w:val="none" w:sz="0" w:space="0" w:color="auto"/>
        <w:bottom w:val="none" w:sz="0" w:space="0" w:color="auto"/>
        <w:right w:val="none" w:sz="0" w:space="0" w:color="auto"/>
      </w:divBdr>
    </w:div>
    <w:div w:id="49229529">
      <w:bodyDiv w:val="1"/>
      <w:marLeft w:val="0"/>
      <w:marRight w:val="0"/>
      <w:marTop w:val="0"/>
      <w:marBottom w:val="0"/>
      <w:divBdr>
        <w:top w:val="none" w:sz="0" w:space="0" w:color="auto"/>
        <w:left w:val="none" w:sz="0" w:space="0" w:color="auto"/>
        <w:bottom w:val="none" w:sz="0" w:space="0" w:color="auto"/>
        <w:right w:val="none" w:sz="0" w:space="0" w:color="auto"/>
      </w:divBdr>
    </w:div>
    <w:div w:id="49545816">
      <w:bodyDiv w:val="1"/>
      <w:marLeft w:val="0"/>
      <w:marRight w:val="0"/>
      <w:marTop w:val="0"/>
      <w:marBottom w:val="0"/>
      <w:divBdr>
        <w:top w:val="none" w:sz="0" w:space="0" w:color="auto"/>
        <w:left w:val="none" w:sz="0" w:space="0" w:color="auto"/>
        <w:bottom w:val="none" w:sz="0" w:space="0" w:color="auto"/>
        <w:right w:val="none" w:sz="0" w:space="0" w:color="auto"/>
      </w:divBdr>
    </w:div>
    <w:div w:id="49621422">
      <w:bodyDiv w:val="1"/>
      <w:marLeft w:val="0"/>
      <w:marRight w:val="0"/>
      <w:marTop w:val="0"/>
      <w:marBottom w:val="0"/>
      <w:divBdr>
        <w:top w:val="none" w:sz="0" w:space="0" w:color="auto"/>
        <w:left w:val="none" w:sz="0" w:space="0" w:color="auto"/>
        <w:bottom w:val="none" w:sz="0" w:space="0" w:color="auto"/>
        <w:right w:val="none" w:sz="0" w:space="0" w:color="auto"/>
      </w:divBdr>
    </w:div>
    <w:div w:id="49698355">
      <w:bodyDiv w:val="1"/>
      <w:marLeft w:val="0"/>
      <w:marRight w:val="0"/>
      <w:marTop w:val="0"/>
      <w:marBottom w:val="0"/>
      <w:divBdr>
        <w:top w:val="none" w:sz="0" w:space="0" w:color="auto"/>
        <w:left w:val="none" w:sz="0" w:space="0" w:color="auto"/>
        <w:bottom w:val="none" w:sz="0" w:space="0" w:color="auto"/>
        <w:right w:val="none" w:sz="0" w:space="0" w:color="auto"/>
      </w:divBdr>
    </w:div>
    <w:div w:id="49773163">
      <w:bodyDiv w:val="1"/>
      <w:marLeft w:val="0"/>
      <w:marRight w:val="0"/>
      <w:marTop w:val="0"/>
      <w:marBottom w:val="0"/>
      <w:divBdr>
        <w:top w:val="none" w:sz="0" w:space="0" w:color="auto"/>
        <w:left w:val="none" w:sz="0" w:space="0" w:color="auto"/>
        <w:bottom w:val="none" w:sz="0" w:space="0" w:color="auto"/>
        <w:right w:val="none" w:sz="0" w:space="0" w:color="auto"/>
      </w:divBdr>
    </w:div>
    <w:div w:id="50276831">
      <w:bodyDiv w:val="1"/>
      <w:marLeft w:val="0"/>
      <w:marRight w:val="0"/>
      <w:marTop w:val="0"/>
      <w:marBottom w:val="0"/>
      <w:divBdr>
        <w:top w:val="none" w:sz="0" w:space="0" w:color="auto"/>
        <w:left w:val="none" w:sz="0" w:space="0" w:color="auto"/>
        <w:bottom w:val="none" w:sz="0" w:space="0" w:color="auto"/>
        <w:right w:val="none" w:sz="0" w:space="0" w:color="auto"/>
      </w:divBdr>
    </w:div>
    <w:div w:id="50429436">
      <w:bodyDiv w:val="1"/>
      <w:marLeft w:val="0"/>
      <w:marRight w:val="0"/>
      <w:marTop w:val="0"/>
      <w:marBottom w:val="0"/>
      <w:divBdr>
        <w:top w:val="none" w:sz="0" w:space="0" w:color="auto"/>
        <w:left w:val="none" w:sz="0" w:space="0" w:color="auto"/>
        <w:bottom w:val="none" w:sz="0" w:space="0" w:color="auto"/>
        <w:right w:val="none" w:sz="0" w:space="0" w:color="auto"/>
      </w:divBdr>
    </w:div>
    <w:div w:id="50810478">
      <w:bodyDiv w:val="1"/>
      <w:marLeft w:val="0"/>
      <w:marRight w:val="0"/>
      <w:marTop w:val="0"/>
      <w:marBottom w:val="0"/>
      <w:divBdr>
        <w:top w:val="none" w:sz="0" w:space="0" w:color="auto"/>
        <w:left w:val="none" w:sz="0" w:space="0" w:color="auto"/>
        <w:bottom w:val="none" w:sz="0" w:space="0" w:color="auto"/>
        <w:right w:val="none" w:sz="0" w:space="0" w:color="auto"/>
      </w:divBdr>
    </w:div>
    <w:div w:id="51196493">
      <w:bodyDiv w:val="1"/>
      <w:marLeft w:val="0"/>
      <w:marRight w:val="0"/>
      <w:marTop w:val="0"/>
      <w:marBottom w:val="0"/>
      <w:divBdr>
        <w:top w:val="none" w:sz="0" w:space="0" w:color="auto"/>
        <w:left w:val="none" w:sz="0" w:space="0" w:color="auto"/>
        <w:bottom w:val="none" w:sz="0" w:space="0" w:color="auto"/>
        <w:right w:val="none" w:sz="0" w:space="0" w:color="auto"/>
      </w:divBdr>
    </w:div>
    <w:div w:id="51199950">
      <w:bodyDiv w:val="1"/>
      <w:marLeft w:val="0"/>
      <w:marRight w:val="0"/>
      <w:marTop w:val="0"/>
      <w:marBottom w:val="0"/>
      <w:divBdr>
        <w:top w:val="none" w:sz="0" w:space="0" w:color="auto"/>
        <w:left w:val="none" w:sz="0" w:space="0" w:color="auto"/>
        <w:bottom w:val="none" w:sz="0" w:space="0" w:color="auto"/>
        <w:right w:val="none" w:sz="0" w:space="0" w:color="auto"/>
      </w:divBdr>
    </w:div>
    <w:div w:id="51393699">
      <w:bodyDiv w:val="1"/>
      <w:marLeft w:val="0"/>
      <w:marRight w:val="0"/>
      <w:marTop w:val="0"/>
      <w:marBottom w:val="0"/>
      <w:divBdr>
        <w:top w:val="none" w:sz="0" w:space="0" w:color="auto"/>
        <w:left w:val="none" w:sz="0" w:space="0" w:color="auto"/>
        <w:bottom w:val="none" w:sz="0" w:space="0" w:color="auto"/>
        <w:right w:val="none" w:sz="0" w:space="0" w:color="auto"/>
      </w:divBdr>
    </w:div>
    <w:div w:id="51395609">
      <w:bodyDiv w:val="1"/>
      <w:marLeft w:val="0"/>
      <w:marRight w:val="0"/>
      <w:marTop w:val="0"/>
      <w:marBottom w:val="0"/>
      <w:divBdr>
        <w:top w:val="none" w:sz="0" w:space="0" w:color="auto"/>
        <w:left w:val="none" w:sz="0" w:space="0" w:color="auto"/>
        <w:bottom w:val="none" w:sz="0" w:space="0" w:color="auto"/>
        <w:right w:val="none" w:sz="0" w:space="0" w:color="auto"/>
      </w:divBdr>
    </w:div>
    <w:div w:id="51664084">
      <w:bodyDiv w:val="1"/>
      <w:marLeft w:val="0"/>
      <w:marRight w:val="0"/>
      <w:marTop w:val="0"/>
      <w:marBottom w:val="0"/>
      <w:divBdr>
        <w:top w:val="none" w:sz="0" w:space="0" w:color="auto"/>
        <w:left w:val="none" w:sz="0" w:space="0" w:color="auto"/>
        <w:bottom w:val="none" w:sz="0" w:space="0" w:color="auto"/>
        <w:right w:val="none" w:sz="0" w:space="0" w:color="auto"/>
      </w:divBdr>
    </w:div>
    <w:div w:id="52041909">
      <w:bodyDiv w:val="1"/>
      <w:marLeft w:val="0"/>
      <w:marRight w:val="0"/>
      <w:marTop w:val="0"/>
      <w:marBottom w:val="0"/>
      <w:divBdr>
        <w:top w:val="none" w:sz="0" w:space="0" w:color="auto"/>
        <w:left w:val="none" w:sz="0" w:space="0" w:color="auto"/>
        <w:bottom w:val="none" w:sz="0" w:space="0" w:color="auto"/>
        <w:right w:val="none" w:sz="0" w:space="0" w:color="auto"/>
      </w:divBdr>
    </w:div>
    <w:div w:id="52124717">
      <w:bodyDiv w:val="1"/>
      <w:marLeft w:val="0"/>
      <w:marRight w:val="0"/>
      <w:marTop w:val="0"/>
      <w:marBottom w:val="0"/>
      <w:divBdr>
        <w:top w:val="none" w:sz="0" w:space="0" w:color="auto"/>
        <w:left w:val="none" w:sz="0" w:space="0" w:color="auto"/>
        <w:bottom w:val="none" w:sz="0" w:space="0" w:color="auto"/>
        <w:right w:val="none" w:sz="0" w:space="0" w:color="auto"/>
      </w:divBdr>
    </w:div>
    <w:div w:id="52168778">
      <w:bodyDiv w:val="1"/>
      <w:marLeft w:val="0"/>
      <w:marRight w:val="0"/>
      <w:marTop w:val="0"/>
      <w:marBottom w:val="0"/>
      <w:divBdr>
        <w:top w:val="none" w:sz="0" w:space="0" w:color="auto"/>
        <w:left w:val="none" w:sz="0" w:space="0" w:color="auto"/>
        <w:bottom w:val="none" w:sz="0" w:space="0" w:color="auto"/>
        <w:right w:val="none" w:sz="0" w:space="0" w:color="auto"/>
      </w:divBdr>
    </w:div>
    <w:div w:id="52241792">
      <w:bodyDiv w:val="1"/>
      <w:marLeft w:val="0"/>
      <w:marRight w:val="0"/>
      <w:marTop w:val="0"/>
      <w:marBottom w:val="0"/>
      <w:divBdr>
        <w:top w:val="none" w:sz="0" w:space="0" w:color="auto"/>
        <w:left w:val="none" w:sz="0" w:space="0" w:color="auto"/>
        <w:bottom w:val="none" w:sz="0" w:space="0" w:color="auto"/>
        <w:right w:val="none" w:sz="0" w:space="0" w:color="auto"/>
      </w:divBdr>
    </w:div>
    <w:div w:id="52436621">
      <w:bodyDiv w:val="1"/>
      <w:marLeft w:val="0"/>
      <w:marRight w:val="0"/>
      <w:marTop w:val="0"/>
      <w:marBottom w:val="0"/>
      <w:divBdr>
        <w:top w:val="none" w:sz="0" w:space="0" w:color="auto"/>
        <w:left w:val="none" w:sz="0" w:space="0" w:color="auto"/>
        <w:bottom w:val="none" w:sz="0" w:space="0" w:color="auto"/>
        <w:right w:val="none" w:sz="0" w:space="0" w:color="auto"/>
      </w:divBdr>
    </w:div>
    <w:div w:id="52505730">
      <w:bodyDiv w:val="1"/>
      <w:marLeft w:val="0"/>
      <w:marRight w:val="0"/>
      <w:marTop w:val="0"/>
      <w:marBottom w:val="0"/>
      <w:divBdr>
        <w:top w:val="none" w:sz="0" w:space="0" w:color="auto"/>
        <w:left w:val="none" w:sz="0" w:space="0" w:color="auto"/>
        <w:bottom w:val="none" w:sz="0" w:space="0" w:color="auto"/>
        <w:right w:val="none" w:sz="0" w:space="0" w:color="auto"/>
      </w:divBdr>
    </w:div>
    <w:div w:id="52583334">
      <w:bodyDiv w:val="1"/>
      <w:marLeft w:val="0"/>
      <w:marRight w:val="0"/>
      <w:marTop w:val="0"/>
      <w:marBottom w:val="0"/>
      <w:divBdr>
        <w:top w:val="none" w:sz="0" w:space="0" w:color="auto"/>
        <w:left w:val="none" w:sz="0" w:space="0" w:color="auto"/>
        <w:bottom w:val="none" w:sz="0" w:space="0" w:color="auto"/>
        <w:right w:val="none" w:sz="0" w:space="0" w:color="auto"/>
      </w:divBdr>
    </w:div>
    <w:div w:id="52823960">
      <w:bodyDiv w:val="1"/>
      <w:marLeft w:val="0"/>
      <w:marRight w:val="0"/>
      <w:marTop w:val="0"/>
      <w:marBottom w:val="0"/>
      <w:divBdr>
        <w:top w:val="none" w:sz="0" w:space="0" w:color="auto"/>
        <w:left w:val="none" w:sz="0" w:space="0" w:color="auto"/>
        <w:bottom w:val="none" w:sz="0" w:space="0" w:color="auto"/>
        <w:right w:val="none" w:sz="0" w:space="0" w:color="auto"/>
      </w:divBdr>
    </w:div>
    <w:div w:id="52969298">
      <w:bodyDiv w:val="1"/>
      <w:marLeft w:val="0"/>
      <w:marRight w:val="0"/>
      <w:marTop w:val="0"/>
      <w:marBottom w:val="0"/>
      <w:divBdr>
        <w:top w:val="none" w:sz="0" w:space="0" w:color="auto"/>
        <w:left w:val="none" w:sz="0" w:space="0" w:color="auto"/>
        <w:bottom w:val="none" w:sz="0" w:space="0" w:color="auto"/>
        <w:right w:val="none" w:sz="0" w:space="0" w:color="auto"/>
      </w:divBdr>
    </w:div>
    <w:div w:id="53044257">
      <w:bodyDiv w:val="1"/>
      <w:marLeft w:val="0"/>
      <w:marRight w:val="0"/>
      <w:marTop w:val="0"/>
      <w:marBottom w:val="0"/>
      <w:divBdr>
        <w:top w:val="none" w:sz="0" w:space="0" w:color="auto"/>
        <w:left w:val="none" w:sz="0" w:space="0" w:color="auto"/>
        <w:bottom w:val="none" w:sz="0" w:space="0" w:color="auto"/>
        <w:right w:val="none" w:sz="0" w:space="0" w:color="auto"/>
      </w:divBdr>
    </w:div>
    <w:div w:id="53283073">
      <w:bodyDiv w:val="1"/>
      <w:marLeft w:val="0"/>
      <w:marRight w:val="0"/>
      <w:marTop w:val="0"/>
      <w:marBottom w:val="0"/>
      <w:divBdr>
        <w:top w:val="none" w:sz="0" w:space="0" w:color="auto"/>
        <w:left w:val="none" w:sz="0" w:space="0" w:color="auto"/>
        <w:bottom w:val="none" w:sz="0" w:space="0" w:color="auto"/>
        <w:right w:val="none" w:sz="0" w:space="0" w:color="auto"/>
      </w:divBdr>
    </w:div>
    <w:div w:id="54090329">
      <w:bodyDiv w:val="1"/>
      <w:marLeft w:val="0"/>
      <w:marRight w:val="0"/>
      <w:marTop w:val="0"/>
      <w:marBottom w:val="0"/>
      <w:divBdr>
        <w:top w:val="none" w:sz="0" w:space="0" w:color="auto"/>
        <w:left w:val="none" w:sz="0" w:space="0" w:color="auto"/>
        <w:bottom w:val="none" w:sz="0" w:space="0" w:color="auto"/>
        <w:right w:val="none" w:sz="0" w:space="0" w:color="auto"/>
      </w:divBdr>
    </w:div>
    <w:div w:id="54090621">
      <w:bodyDiv w:val="1"/>
      <w:marLeft w:val="0"/>
      <w:marRight w:val="0"/>
      <w:marTop w:val="0"/>
      <w:marBottom w:val="0"/>
      <w:divBdr>
        <w:top w:val="none" w:sz="0" w:space="0" w:color="auto"/>
        <w:left w:val="none" w:sz="0" w:space="0" w:color="auto"/>
        <w:bottom w:val="none" w:sz="0" w:space="0" w:color="auto"/>
        <w:right w:val="none" w:sz="0" w:space="0" w:color="auto"/>
      </w:divBdr>
    </w:div>
    <w:div w:id="54790084">
      <w:bodyDiv w:val="1"/>
      <w:marLeft w:val="0"/>
      <w:marRight w:val="0"/>
      <w:marTop w:val="0"/>
      <w:marBottom w:val="0"/>
      <w:divBdr>
        <w:top w:val="none" w:sz="0" w:space="0" w:color="auto"/>
        <w:left w:val="none" w:sz="0" w:space="0" w:color="auto"/>
        <w:bottom w:val="none" w:sz="0" w:space="0" w:color="auto"/>
        <w:right w:val="none" w:sz="0" w:space="0" w:color="auto"/>
      </w:divBdr>
    </w:div>
    <w:div w:id="54935141">
      <w:bodyDiv w:val="1"/>
      <w:marLeft w:val="0"/>
      <w:marRight w:val="0"/>
      <w:marTop w:val="0"/>
      <w:marBottom w:val="0"/>
      <w:divBdr>
        <w:top w:val="none" w:sz="0" w:space="0" w:color="auto"/>
        <w:left w:val="none" w:sz="0" w:space="0" w:color="auto"/>
        <w:bottom w:val="none" w:sz="0" w:space="0" w:color="auto"/>
        <w:right w:val="none" w:sz="0" w:space="0" w:color="auto"/>
      </w:divBdr>
    </w:div>
    <w:div w:id="55007640">
      <w:bodyDiv w:val="1"/>
      <w:marLeft w:val="0"/>
      <w:marRight w:val="0"/>
      <w:marTop w:val="0"/>
      <w:marBottom w:val="0"/>
      <w:divBdr>
        <w:top w:val="none" w:sz="0" w:space="0" w:color="auto"/>
        <w:left w:val="none" w:sz="0" w:space="0" w:color="auto"/>
        <w:bottom w:val="none" w:sz="0" w:space="0" w:color="auto"/>
        <w:right w:val="none" w:sz="0" w:space="0" w:color="auto"/>
      </w:divBdr>
    </w:div>
    <w:div w:id="55126295">
      <w:bodyDiv w:val="1"/>
      <w:marLeft w:val="0"/>
      <w:marRight w:val="0"/>
      <w:marTop w:val="0"/>
      <w:marBottom w:val="0"/>
      <w:divBdr>
        <w:top w:val="none" w:sz="0" w:space="0" w:color="auto"/>
        <w:left w:val="none" w:sz="0" w:space="0" w:color="auto"/>
        <w:bottom w:val="none" w:sz="0" w:space="0" w:color="auto"/>
        <w:right w:val="none" w:sz="0" w:space="0" w:color="auto"/>
      </w:divBdr>
    </w:div>
    <w:div w:id="55712599">
      <w:bodyDiv w:val="1"/>
      <w:marLeft w:val="0"/>
      <w:marRight w:val="0"/>
      <w:marTop w:val="0"/>
      <w:marBottom w:val="0"/>
      <w:divBdr>
        <w:top w:val="none" w:sz="0" w:space="0" w:color="auto"/>
        <w:left w:val="none" w:sz="0" w:space="0" w:color="auto"/>
        <w:bottom w:val="none" w:sz="0" w:space="0" w:color="auto"/>
        <w:right w:val="none" w:sz="0" w:space="0" w:color="auto"/>
      </w:divBdr>
    </w:div>
    <w:div w:id="55783719">
      <w:bodyDiv w:val="1"/>
      <w:marLeft w:val="0"/>
      <w:marRight w:val="0"/>
      <w:marTop w:val="0"/>
      <w:marBottom w:val="0"/>
      <w:divBdr>
        <w:top w:val="none" w:sz="0" w:space="0" w:color="auto"/>
        <w:left w:val="none" w:sz="0" w:space="0" w:color="auto"/>
        <w:bottom w:val="none" w:sz="0" w:space="0" w:color="auto"/>
        <w:right w:val="none" w:sz="0" w:space="0" w:color="auto"/>
      </w:divBdr>
    </w:div>
    <w:div w:id="55982848">
      <w:bodyDiv w:val="1"/>
      <w:marLeft w:val="0"/>
      <w:marRight w:val="0"/>
      <w:marTop w:val="0"/>
      <w:marBottom w:val="0"/>
      <w:divBdr>
        <w:top w:val="none" w:sz="0" w:space="0" w:color="auto"/>
        <w:left w:val="none" w:sz="0" w:space="0" w:color="auto"/>
        <w:bottom w:val="none" w:sz="0" w:space="0" w:color="auto"/>
        <w:right w:val="none" w:sz="0" w:space="0" w:color="auto"/>
      </w:divBdr>
    </w:div>
    <w:div w:id="56049071">
      <w:bodyDiv w:val="1"/>
      <w:marLeft w:val="0"/>
      <w:marRight w:val="0"/>
      <w:marTop w:val="0"/>
      <w:marBottom w:val="0"/>
      <w:divBdr>
        <w:top w:val="none" w:sz="0" w:space="0" w:color="auto"/>
        <w:left w:val="none" w:sz="0" w:space="0" w:color="auto"/>
        <w:bottom w:val="none" w:sz="0" w:space="0" w:color="auto"/>
        <w:right w:val="none" w:sz="0" w:space="0" w:color="auto"/>
      </w:divBdr>
    </w:div>
    <w:div w:id="56052549">
      <w:bodyDiv w:val="1"/>
      <w:marLeft w:val="0"/>
      <w:marRight w:val="0"/>
      <w:marTop w:val="0"/>
      <w:marBottom w:val="0"/>
      <w:divBdr>
        <w:top w:val="none" w:sz="0" w:space="0" w:color="auto"/>
        <w:left w:val="none" w:sz="0" w:space="0" w:color="auto"/>
        <w:bottom w:val="none" w:sz="0" w:space="0" w:color="auto"/>
        <w:right w:val="none" w:sz="0" w:space="0" w:color="auto"/>
      </w:divBdr>
    </w:div>
    <w:div w:id="56326319">
      <w:bodyDiv w:val="1"/>
      <w:marLeft w:val="0"/>
      <w:marRight w:val="0"/>
      <w:marTop w:val="0"/>
      <w:marBottom w:val="0"/>
      <w:divBdr>
        <w:top w:val="none" w:sz="0" w:space="0" w:color="auto"/>
        <w:left w:val="none" w:sz="0" w:space="0" w:color="auto"/>
        <w:bottom w:val="none" w:sz="0" w:space="0" w:color="auto"/>
        <w:right w:val="none" w:sz="0" w:space="0" w:color="auto"/>
      </w:divBdr>
    </w:div>
    <w:div w:id="56436348">
      <w:bodyDiv w:val="1"/>
      <w:marLeft w:val="0"/>
      <w:marRight w:val="0"/>
      <w:marTop w:val="0"/>
      <w:marBottom w:val="0"/>
      <w:divBdr>
        <w:top w:val="none" w:sz="0" w:space="0" w:color="auto"/>
        <w:left w:val="none" w:sz="0" w:space="0" w:color="auto"/>
        <w:bottom w:val="none" w:sz="0" w:space="0" w:color="auto"/>
        <w:right w:val="none" w:sz="0" w:space="0" w:color="auto"/>
      </w:divBdr>
    </w:div>
    <w:div w:id="56901739">
      <w:bodyDiv w:val="1"/>
      <w:marLeft w:val="0"/>
      <w:marRight w:val="0"/>
      <w:marTop w:val="0"/>
      <w:marBottom w:val="0"/>
      <w:divBdr>
        <w:top w:val="none" w:sz="0" w:space="0" w:color="auto"/>
        <w:left w:val="none" w:sz="0" w:space="0" w:color="auto"/>
        <w:bottom w:val="none" w:sz="0" w:space="0" w:color="auto"/>
        <w:right w:val="none" w:sz="0" w:space="0" w:color="auto"/>
      </w:divBdr>
    </w:div>
    <w:div w:id="56903086">
      <w:bodyDiv w:val="1"/>
      <w:marLeft w:val="0"/>
      <w:marRight w:val="0"/>
      <w:marTop w:val="0"/>
      <w:marBottom w:val="0"/>
      <w:divBdr>
        <w:top w:val="none" w:sz="0" w:space="0" w:color="auto"/>
        <w:left w:val="none" w:sz="0" w:space="0" w:color="auto"/>
        <w:bottom w:val="none" w:sz="0" w:space="0" w:color="auto"/>
        <w:right w:val="none" w:sz="0" w:space="0" w:color="auto"/>
      </w:divBdr>
    </w:div>
    <w:div w:id="57100491">
      <w:bodyDiv w:val="1"/>
      <w:marLeft w:val="0"/>
      <w:marRight w:val="0"/>
      <w:marTop w:val="0"/>
      <w:marBottom w:val="0"/>
      <w:divBdr>
        <w:top w:val="none" w:sz="0" w:space="0" w:color="auto"/>
        <w:left w:val="none" w:sz="0" w:space="0" w:color="auto"/>
        <w:bottom w:val="none" w:sz="0" w:space="0" w:color="auto"/>
        <w:right w:val="none" w:sz="0" w:space="0" w:color="auto"/>
      </w:divBdr>
    </w:div>
    <w:div w:id="57440237">
      <w:bodyDiv w:val="1"/>
      <w:marLeft w:val="0"/>
      <w:marRight w:val="0"/>
      <w:marTop w:val="0"/>
      <w:marBottom w:val="0"/>
      <w:divBdr>
        <w:top w:val="none" w:sz="0" w:space="0" w:color="auto"/>
        <w:left w:val="none" w:sz="0" w:space="0" w:color="auto"/>
        <w:bottom w:val="none" w:sz="0" w:space="0" w:color="auto"/>
        <w:right w:val="none" w:sz="0" w:space="0" w:color="auto"/>
      </w:divBdr>
    </w:div>
    <w:div w:id="57483211">
      <w:bodyDiv w:val="1"/>
      <w:marLeft w:val="0"/>
      <w:marRight w:val="0"/>
      <w:marTop w:val="0"/>
      <w:marBottom w:val="0"/>
      <w:divBdr>
        <w:top w:val="none" w:sz="0" w:space="0" w:color="auto"/>
        <w:left w:val="none" w:sz="0" w:space="0" w:color="auto"/>
        <w:bottom w:val="none" w:sz="0" w:space="0" w:color="auto"/>
        <w:right w:val="none" w:sz="0" w:space="0" w:color="auto"/>
      </w:divBdr>
    </w:div>
    <w:div w:id="57483609">
      <w:bodyDiv w:val="1"/>
      <w:marLeft w:val="0"/>
      <w:marRight w:val="0"/>
      <w:marTop w:val="0"/>
      <w:marBottom w:val="0"/>
      <w:divBdr>
        <w:top w:val="none" w:sz="0" w:space="0" w:color="auto"/>
        <w:left w:val="none" w:sz="0" w:space="0" w:color="auto"/>
        <w:bottom w:val="none" w:sz="0" w:space="0" w:color="auto"/>
        <w:right w:val="none" w:sz="0" w:space="0" w:color="auto"/>
      </w:divBdr>
    </w:div>
    <w:div w:id="57558569">
      <w:bodyDiv w:val="1"/>
      <w:marLeft w:val="0"/>
      <w:marRight w:val="0"/>
      <w:marTop w:val="0"/>
      <w:marBottom w:val="0"/>
      <w:divBdr>
        <w:top w:val="none" w:sz="0" w:space="0" w:color="auto"/>
        <w:left w:val="none" w:sz="0" w:space="0" w:color="auto"/>
        <w:bottom w:val="none" w:sz="0" w:space="0" w:color="auto"/>
        <w:right w:val="none" w:sz="0" w:space="0" w:color="auto"/>
      </w:divBdr>
    </w:div>
    <w:div w:id="57558761">
      <w:bodyDiv w:val="1"/>
      <w:marLeft w:val="0"/>
      <w:marRight w:val="0"/>
      <w:marTop w:val="0"/>
      <w:marBottom w:val="0"/>
      <w:divBdr>
        <w:top w:val="none" w:sz="0" w:space="0" w:color="auto"/>
        <w:left w:val="none" w:sz="0" w:space="0" w:color="auto"/>
        <w:bottom w:val="none" w:sz="0" w:space="0" w:color="auto"/>
        <w:right w:val="none" w:sz="0" w:space="0" w:color="auto"/>
      </w:divBdr>
    </w:div>
    <w:div w:id="57632341">
      <w:bodyDiv w:val="1"/>
      <w:marLeft w:val="0"/>
      <w:marRight w:val="0"/>
      <w:marTop w:val="0"/>
      <w:marBottom w:val="0"/>
      <w:divBdr>
        <w:top w:val="none" w:sz="0" w:space="0" w:color="auto"/>
        <w:left w:val="none" w:sz="0" w:space="0" w:color="auto"/>
        <w:bottom w:val="none" w:sz="0" w:space="0" w:color="auto"/>
        <w:right w:val="none" w:sz="0" w:space="0" w:color="auto"/>
      </w:divBdr>
    </w:div>
    <w:div w:id="57633860">
      <w:bodyDiv w:val="1"/>
      <w:marLeft w:val="0"/>
      <w:marRight w:val="0"/>
      <w:marTop w:val="0"/>
      <w:marBottom w:val="0"/>
      <w:divBdr>
        <w:top w:val="none" w:sz="0" w:space="0" w:color="auto"/>
        <w:left w:val="none" w:sz="0" w:space="0" w:color="auto"/>
        <w:bottom w:val="none" w:sz="0" w:space="0" w:color="auto"/>
        <w:right w:val="none" w:sz="0" w:space="0" w:color="auto"/>
      </w:divBdr>
    </w:div>
    <w:div w:id="57751099">
      <w:bodyDiv w:val="1"/>
      <w:marLeft w:val="0"/>
      <w:marRight w:val="0"/>
      <w:marTop w:val="0"/>
      <w:marBottom w:val="0"/>
      <w:divBdr>
        <w:top w:val="none" w:sz="0" w:space="0" w:color="auto"/>
        <w:left w:val="none" w:sz="0" w:space="0" w:color="auto"/>
        <w:bottom w:val="none" w:sz="0" w:space="0" w:color="auto"/>
        <w:right w:val="none" w:sz="0" w:space="0" w:color="auto"/>
      </w:divBdr>
    </w:div>
    <w:div w:id="57900430">
      <w:bodyDiv w:val="1"/>
      <w:marLeft w:val="0"/>
      <w:marRight w:val="0"/>
      <w:marTop w:val="0"/>
      <w:marBottom w:val="0"/>
      <w:divBdr>
        <w:top w:val="none" w:sz="0" w:space="0" w:color="auto"/>
        <w:left w:val="none" w:sz="0" w:space="0" w:color="auto"/>
        <w:bottom w:val="none" w:sz="0" w:space="0" w:color="auto"/>
        <w:right w:val="none" w:sz="0" w:space="0" w:color="auto"/>
      </w:divBdr>
    </w:div>
    <w:div w:id="58138788">
      <w:bodyDiv w:val="1"/>
      <w:marLeft w:val="0"/>
      <w:marRight w:val="0"/>
      <w:marTop w:val="0"/>
      <w:marBottom w:val="0"/>
      <w:divBdr>
        <w:top w:val="none" w:sz="0" w:space="0" w:color="auto"/>
        <w:left w:val="none" w:sz="0" w:space="0" w:color="auto"/>
        <w:bottom w:val="none" w:sz="0" w:space="0" w:color="auto"/>
        <w:right w:val="none" w:sz="0" w:space="0" w:color="auto"/>
      </w:divBdr>
    </w:div>
    <w:div w:id="58401628">
      <w:bodyDiv w:val="1"/>
      <w:marLeft w:val="0"/>
      <w:marRight w:val="0"/>
      <w:marTop w:val="0"/>
      <w:marBottom w:val="0"/>
      <w:divBdr>
        <w:top w:val="none" w:sz="0" w:space="0" w:color="auto"/>
        <w:left w:val="none" w:sz="0" w:space="0" w:color="auto"/>
        <w:bottom w:val="none" w:sz="0" w:space="0" w:color="auto"/>
        <w:right w:val="none" w:sz="0" w:space="0" w:color="auto"/>
      </w:divBdr>
    </w:div>
    <w:div w:id="58485031">
      <w:bodyDiv w:val="1"/>
      <w:marLeft w:val="0"/>
      <w:marRight w:val="0"/>
      <w:marTop w:val="0"/>
      <w:marBottom w:val="0"/>
      <w:divBdr>
        <w:top w:val="none" w:sz="0" w:space="0" w:color="auto"/>
        <w:left w:val="none" w:sz="0" w:space="0" w:color="auto"/>
        <w:bottom w:val="none" w:sz="0" w:space="0" w:color="auto"/>
        <w:right w:val="none" w:sz="0" w:space="0" w:color="auto"/>
      </w:divBdr>
    </w:div>
    <w:div w:id="58670827">
      <w:bodyDiv w:val="1"/>
      <w:marLeft w:val="0"/>
      <w:marRight w:val="0"/>
      <w:marTop w:val="0"/>
      <w:marBottom w:val="0"/>
      <w:divBdr>
        <w:top w:val="none" w:sz="0" w:space="0" w:color="auto"/>
        <w:left w:val="none" w:sz="0" w:space="0" w:color="auto"/>
        <w:bottom w:val="none" w:sz="0" w:space="0" w:color="auto"/>
        <w:right w:val="none" w:sz="0" w:space="0" w:color="auto"/>
      </w:divBdr>
    </w:div>
    <w:div w:id="58751961">
      <w:bodyDiv w:val="1"/>
      <w:marLeft w:val="0"/>
      <w:marRight w:val="0"/>
      <w:marTop w:val="0"/>
      <w:marBottom w:val="0"/>
      <w:divBdr>
        <w:top w:val="none" w:sz="0" w:space="0" w:color="auto"/>
        <w:left w:val="none" w:sz="0" w:space="0" w:color="auto"/>
        <w:bottom w:val="none" w:sz="0" w:space="0" w:color="auto"/>
        <w:right w:val="none" w:sz="0" w:space="0" w:color="auto"/>
      </w:divBdr>
    </w:div>
    <w:div w:id="58792587">
      <w:bodyDiv w:val="1"/>
      <w:marLeft w:val="0"/>
      <w:marRight w:val="0"/>
      <w:marTop w:val="0"/>
      <w:marBottom w:val="0"/>
      <w:divBdr>
        <w:top w:val="none" w:sz="0" w:space="0" w:color="auto"/>
        <w:left w:val="none" w:sz="0" w:space="0" w:color="auto"/>
        <w:bottom w:val="none" w:sz="0" w:space="0" w:color="auto"/>
        <w:right w:val="none" w:sz="0" w:space="0" w:color="auto"/>
      </w:divBdr>
    </w:div>
    <w:div w:id="58796418">
      <w:bodyDiv w:val="1"/>
      <w:marLeft w:val="0"/>
      <w:marRight w:val="0"/>
      <w:marTop w:val="0"/>
      <w:marBottom w:val="0"/>
      <w:divBdr>
        <w:top w:val="none" w:sz="0" w:space="0" w:color="auto"/>
        <w:left w:val="none" w:sz="0" w:space="0" w:color="auto"/>
        <w:bottom w:val="none" w:sz="0" w:space="0" w:color="auto"/>
        <w:right w:val="none" w:sz="0" w:space="0" w:color="auto"/>
      </w:divBdr>
    </w:div>
    <w:div w:id="59061635">
      <w:bodyDiv w:val="1"/>
      <w:marLeft w:val="0"/>
      <w:marRight w:val="0"/>
      <w:marTop w:val="0"/>
      <w:marBottom w:val="0"/>
      <w:divBdr>
        <w:top w:val="none" w:sz="0" w:space="0" w:color="auto"/>
        <w:left w:val="none" w:sz="0" w:space="0" w:color="auto"/>
        <w:bottom w:val="none" w:sz="0" w:space="0" w:color="auto"/>
        <w:right w:val="none" w:sz="0" w:space="0" w:color="auto"/>
      </w:divBdr>
    </w:div>
    <w:div w:id="59140766">
      <w:bodyDiv w:val="1"/>
      <w:marLeft w:val="0"/>
      <w:marRight w:val="0"/>
      <w:marTop w:val="0"/>
      <w:marBottom w:val="0"/>
      <w:divBdr>
        <w:top w:val="none" w:sz="0" w:space="0" w:color="auto"/>
        <w:left w:val="none" w:sz="0" w:space="0" w:color="auto"/>
        <w:bottom w:val="none" w:sz="0" w:space="0" w:color="auto"/>
        <w:right w:val="none" w:sz="0" w:space="0" w:color="auto"/>
      </w:divBdr>
    </w:div>
    <w:div w:id="59255934">
      <w:bodyDiv w:val="1"/>
      <w:marLeft w:val="0"/>
      <w:marRight w:val="0"/>
      <w:marTop w:val="0"/>
      <w:marBottom w:val="0"/>
      <w:divBdr>
        <w:top w:val="none" w:sz="0" w:space="0" w:color="auto"/>
        <w:left w:val="none" w:sz="0" w:space="0" w:color="auto"/>
        <w:bottom w:val="none" w:sz="0" w:space="0" w:color="auto"/>
        <w:right w:val="none" w:sz="0" w:space="0" w:color="auto"/>
      </w:divBdr>
    </w:div>
    <w:div w:id="59327569">
      <w:bodyDiv w:val="1"/>
      <w:marLeft w:val="0"/>
      <w:marRight w:val="0"/>
      <w:marTop w:val="0"/>
      <w:marBottom w:val="0"/>
      <w:divBdr>
        <w:top w:val="none" w:sz="0" w:space="0" w:color="auto"/>
        <w:left w:val="none" w:sz="0" w:space="0" w:color="auto"/>
        <w:bottom w:val="none" w:sz="0" w:space="0" w:color="auto"/>
        <w:right w:val="none" w:sz="0" w:space="0" w:color="auto"/>
      </w:divBdr>
    </w:div>
    <w:div w:id="59333799">
      <w:bodyDiv w:val="1"/>
      <w:marLeft w:val="0"/>
      <w:marRight w:val="0"/>
      <w:marTop w:val="0"/>
      <w:marBottom w:val="0"/>
      <w:divBdr>
        <w:top w:val="none" w:sz="0" w:space="0" w:color="auto"/>
        <w:left w:val="none" w:sz="0" w:space="0" w:color="auto"/>
        <w:bottom w:val="none" w:sz="0" w:space="0" w:color="auto"/>
        <w:right w:val="none" w:sz="0" w:space="0" w:color="auto"/>
      </w:divBdr>
    </w:div>
    <w:div w:id="59601075">
      <w:bodyDiv w:val="1"/>
      <w:marLeft w:val="0"/>
      <w:marRight w:val="0"/>
      <w:marTop w:val="0"/>
      <w:marBottom w:val="0"/>
      <w:divBdr>
        <w:top w:val="none" w:sz="0" w:space="0" w:color="auto"/>
        <w:left w:val="none" w:sz="0" w:space="0" w:color="auto"/>
        <w:bottom w:val="none" w:sz="0" w:space="0" w:color="auto"/>
        <w:right w:val="none" w:sz="0" w:space="0" w:color="auto"/>
      </w:divBdr>
    </w:div>
    <w:div w:id="59908411">
      <w:bodyDiv w:val="1"/>
      <w:marLeft w:val="0"/>
      <w:marRight w:val="0"/>
      <w:marTop w:val="0"/>
      <w:marBottom w:val="0"/>
      <w:divBdr>
        <w:top w:val="none" w:sz="0" w:space="0" w:color="auto"/>
        <w:left w:val="none" w:sz="0" w:space="0" w:color="auto"/>
        <w:bottom w:val="none" w:sz="0" w:space="0" w:color="auto"/>
        <w:right w:val="none" w:sz="0" w:space="0" w:color="auto"/>
      </w:divBdr>
    </w:div>
    <w:div w:id="60251407">
      <w:bodyDiv w:val="1"/>
      <w:marLeft w:val="0"/>
      <w:marRight w:val="0"/>
      <w:marTop w:val="0"/>
      <w:marBottom w:val="0"/>
      <w:divBdr>
        <w:top w:val="none" w:sz="0" w:space="0" w:color="auto"/>
        <w:left w:val="none" w:sz="0" w:space="0" w:color="auto"/>
        <w:bottom w:val="none" w:sz="0" w:space="0" w:color="auto"/>
        <w:right w:val="none" w:sz="0" w:space="0" w:color="auto"/>
      </w:divBdr>
    </w:div>
    <w:div w:id="60300357">
      <w:bodyDiv w:val="1"/>
      <w:marLeft w:val="0"/>
      <w:marRight w:val="0"/>
      <w:marTop w:val="0"/>
      <w:marBottom w:val="0"/>
      <w:divBdr>
        <w:top w:val="none" w:sz="0" w:space="0" w:color="auto"/>
        <w:left w:val="none" w:sz="0" w:space="0" w:color="auto"/>
        <w:bottom w:val="none" w:sz="0" w:space="0" w:color="auto"/>
        <w:right w:val="none" w:sz="0" w:space="0" w:color="auto"/>
      </w:divBdr>
    </w:div>
    <w:div w:id="60374498">
      <w:bodyDiv w:val="1"/>
      <w:marLeft w:val="0"/>
      <w:marRight w:val="0"/>
      <w:marTop w:val="0"/>
      <w:marBottom w:val="0"/>
      <w:divBdr>
        <w:top w:val="none" w:sz="0" w:space="0" w:color="auto"/>
        <w:left w:val="none" w:sz="0" w:space="0" w:color="auto"/>
        <w:bottom w:val="none" w:sz="0" w:space="0" w:color="auto"/>
        <w:right w:val="none" w:sz="0" w:space="0" w:color="auto"/>
      </w:divBdr>
    </w:div>
    <w:div w:id="60757576">
      <w:bodyDiv w:val="1"/>
      <w:marLeft w:val="0"/>
      <w:marRight w:val="0"/>
      <w:marTop w:val="0"/>
      <w:marBottom w:val="0"/>
      <w:divBdr>
        <w:top w:val="none" w:sz="0" w:space="0" w:color="auto"/>
        <w:left w:val="none" w:sz="0" w:space="0" w:color="auto"/>
        <w:bottom w:val="none" w:sz="0" w:space="0" w:color="auto"/>
        <w:right w:val="none" w:sz="0" w:space="0" w:color="auto"/>
      </w:divBdr>
    </w:div>
    <w:div w:id="61148403">
      <w:bodyDiv w:val="1"/>
      <w:marLeft w:val="0"/>
      <w:marRight w:val="0"/>
      <w:marTop w:val="0"/>
      <w:marBottom w:val="0"/>
      <w:divBdr>
        <w:top w:val="none" w:sz="0" w:space="0" w:color="auto"/>
        <w:left w:val="none" w:sz="0" w:space="0" w:color="auto"/>
        <w:bottom w:val="none" w:sz="0" w:space="0" w:color="auto"/>
        <w:right w:val="none" w:sz="0" w:space="0" w:color="auto"/>
      </w:divBdr>
    </w:div>
    <w:div w:id="61412431">
      <w:bodyDiv w:val="1"/>
      <w:marLeft w:val="0"/>
      <w:marRight w:val="0"/>
      <w:marTop w:val="0"/>
      <w:marBottom w:val="0"/>
      <w:divBdr>
        <w:top w:val="none" w:sz="0" w:space="0" w:color="auto"/>
        <w:left w:val="none" w:sz="0" w:space="0" w:color="auto"/>
        <w:bottom w:val="none" w:sz="0" w:space="0" w:color="auto"/>
        <w:right w:val="none" w:sz="0" w:space="0" w:color="auto"/>
      </w:divBdr>
    </w:div>
    <w:div w:id="61610979">
      <w:bodyDiv w:val="1"/>
      <w:marLeft w:val="0"/>
      <w:marRight w:val="0"/>
      <w:marTop w:val="0"/>
      <w:marBottom w:val="0"/>
      <w:divBdr>
        <w:top w:val="none" w:sz="0" w:space="0" w:color="auto"/>
        <w:left w:val="none" w:sz="0" w:space="0" w:color="auto"/>
        <w:bottom w:val="none" w:sz="0" w:space="0" w:color="auto"/>
        <w:right w:val="none" w:sz="0" w:space="0" w:color="auto"/>
      </w:divBdr>
    </w:div>
    <w:div w:id="61678673">
      <w:bodyDiv w:val="1"/>
      <w:marLeft w:val="0"/>
      <w:marRight w:val="0"/>
      <w:marTop w:val="0"/>
      <w:marBottom w:val="0"/>
      <w:divBdr>
        <w:top w:val="none" w:sz="0" w:space="0" w:color="auto"/>
        <w:left w:val="none" w:sz="0" w:space="0" w:color="auto"/>
        <w:bottom w:val="none" w:sz="0" w:space="0" w:color="auto"/>
        <w:right w:val="none" w:sz="0" w:space="0" w:color="auto"/>
      </w:divBdr>
    </w:div>
    <w:div w:id="61832958">
      <w:bodyDiv w:val="1"/>
      <w:marLeft w:val="0"/>
      <w:marRight w:val="0"/>
      <w:marTop w:val="0"/>
      <w:marBottom w:val="0"/>
      <w:divBdr>
        <w:top w:val="none" w:sz="0" w:space="0" w:color="auto"/>
        <w:left w:val="none" w:sz="0" w:space="0" w:color="auto"/>
        <w:bottom w:val="none" w:sz="0" w:space="0" w:color="auto"/>
        <w:right w:val="none" w:sz="0" w:space="0" w:color="auto"/>
      </w:divBdr>
    </w:div>
    <w:div w:id="61875178">
      <w:bodyDiv w:val="1"/>
      <w:marLeft w:val="0"/>
      <w:marRight w:val="0"/>
      <w:marTop w:val="0"/>
      <w:marBottom w:val="0"/>
      <w:divBdr>
        <w:top w:val="none" w:sz="0" w:space="0" w:color="auto"/>
        <w:left w:val="none" w:sz="0" w:space="0" w:color="auto"/>
        <w:bottom w:val="none" w:sz="0" w:space="0" w:color="auto"/>
        <w:right w:val="none" w:sz="0" w:space="0" w:color="auto"/>
      </w:divBdr>
    </w:div>
    <w:div w:id="61953711">
      <w:bodyDiv w:val="1"/>
      <w:marLeft w:val="0"/>
      <w:marRight w:val="0"/>
      <w:marTop w:val="0"/>
      <w:marBottom w:val="0"/>
      <w:divBdr>
        <w:top w:val="none" w:sz="0" w:space="0" w:color="auto"/>
        <w:left w:val="none" w:sz="0" w:space="0" w:color="auto"/>
        <w:bottom w:val="none" w:sz="0" w:space="0" w:color="auto"/>
        <w:right w:val="none" w:sz="0" w:space="0" w:color="auto"/>
      </w:divBdr>
    </w:div>
    <w:div w:id="62022823">
      <w:bodyDiv w:val="1"/>
      <w:marLeft w:val="0"/>
      <w:marRight w:val="0"/>
      <w:marTop w:val="0"/>
      <w:marBottom w:val="0"/>
      <w:divBdr>
        <w:top w:val="none" w:sz="0" w:space="0" w:color="auto"/>
        <w:left w:val="none" w:sz="0" w:space="0" w:color="auto"/>
        <w:bottom w:val="none" w:sz="0" w:space="0" w:color="auto"/>
        <w:right w:val="none" w:sz="0" w:space="0" w:color="auto"/>
      </w:divBdr>
    </w:div>
    <w:div w:id="62073574">
      <w:bodyDiv w:val="1"/>
      <w:marLeft w:val="0"/>
      <w:marRight w:val="0"/>
      <w:marTop w:val="0"/>
      <w:marBottom w:val="0"/>
      <w:divBdr>
        <w:top w:val="none" w:sz="0" w:space="0" w:color="auto"/>
        <w:left w:val="none" w:sz="0" w:space="0" w:color="auto"/>
        <w:bottom w:val="none" w:sz="0" w:space="0" w:color="auto"/>
        <w:right w:val="none" w:sz="0" w:space="0" w:color="auto"/>
      </w:divBdr>
    </w:div>
    <w:div w:id="62457362">
      <w:bodyDiv w:val="1"/>
      <w:marLeft w:val="0"/>
      <w:marRight w:val="0"/>
      <w:marTop w:val="0"/>
      <w:marBottom w:val="0"/>
      <w:divBdr>
        <w:top w:val="none" w:sz="0" w:space="0" w:color="auto"/>
        <w:left w:val="none" w:sz="0" w:space="0" w:color="auto"/>
        <w:bottom w:val="none" w:sz="0" w:space="0" w:color="auto"/>
        <w:right w:val="none" w:sz="0" w:space="0" w:color="auto"/>
      </w:divBdr>
    </w:div>
    <w:div w:id="62529811">
      <w:bodyDiv w:val="1"/>
      <w:marLeft w:val="0"/>
      <w:marRight w:val="0"/>
      <w:marTop w:val="0"/>
      <w:marBottom w:val="0"/>
      <w:divBdr>
        <w:top w:val="none" w:sz="0" w:space="0" w:color="auto"/>
        <w:left w:val="none" w:sz="0" w:space="0" w:color="auto"/>
        <w:bottom w:val="none" w:sz="0" w:space="0" w:color="auto"/>
        <w:right w:val="none" w:sz="0" w:space="0" w:color="auto"/>
      </w:divBdr>
    </w:div>
    <w:div w:id="62531931">
      <w:bodyDiv w:val="1"/>
      <w:marLeft w:val="0"/>
      <w:marRight w:val="0"/>
      <w:marTop w:val="0"/>
      <w:marBottom w:val="0"/>
      <w:divBdr>
        <w:top w:val="none" w:sz="0" w:space="0" w:color="auto"/>
        <w:left w:val="none" w:sz="0" w:space="0" w:color="auto"/>
        <w:bottom w:val="none" w:sz="0" w:space="0" w:color="auto"/>
        <w:right w:val="none" w:sz="0" w:space="0" w:color="auto"/>
      </w:divBdr>
    </w:div>
    <w:div w:id="62725053">
      <w:bodyDiv w:val="1"/>
      <w:marLeft w:val="0"/>
      <w:marRight w:val="0"/>
      <w:marTop w:val="0"/>
      <w:marBottom w:val="0"/>
      <w:divBdr>
        <w:top w:val="none" w:sz="0" w:space="0" w:color="auto"/>
        <w:left w:val="none" w:sz="0" w:space="0" w:color="auto"/>
        <w:bottom w:val="none" w:sz="0" w:space="0" w:color="auto"/>
        <w:right w:val="none" w:sz="0" w:space="0" w:color="auto"/>
      </w:divBdr>
    </w:div>
    <w:div w:id="62877678">
      <w:bodyDiv w:val="1"/>
      <w:marLeft w:val="0"/>
      <w:marRight w:val="0"/>
      <w:marTop w:val="0"/>
      <w:marBottom w:val="0"/>
      <w:divBdr>
        <w:top w:val="none" w:sz="0" w:space="0" w:color="auto"/>
        <w:left w:val="none" w:sz="0" w:space="0" w:color="auto"/>
        <w:bottom w:val="none" w:sz="0" w:space="0" w:color="auto"/>
        <w:right w:val="none" w:sz="0" w:space="0" w:color="auto"/>
      </w:divBdr>
    </w:div>
    <w:div w:id="62917570">
      <w:bodyDiv w:val="1"/>
      <w:marLeft w:val="0"/>
      <w:marRight w:val="0"/>
      <w:marTop w:val="0"/>
      <w:marBottom w:val="0"/>
      <w:divBdr>
        <w:top w:val="none" w:sz="0" w:space="0" w:color="auto"/>
        <w:left w:val="none" w:sz="0" w:space="0" w:color="auto"/>
        <w:bottom w:val="none" w:sz="0" w:space="0" w:color="auto"/>
        <w:right w:val="none" w:sz="0" w:space="0" w:color="auto"/>
      </w:divBdr>
    </w:div>
    <w:div w:id="62988192">
      <w:bodyDiv w:val="1"/>
      <w:marLeft w:val="0"/>
      <w:marRight w:val="0"/>
      <w:marTop w:val="0"/>
      <w:marBottom w:val="0"/>
      <w:divBdr>
        <w:top w:val="none" w:sz="0" w:space="0" w:color="auto"/>
        <w:left w:val="none" w:sz="0" w:space="0" w:color="auto"/>
        <w:bottom w:val="none" w:sz="0" w:space="0" w:color="auto"/>
        <w:right w:val="none" w:sz="0" w:space="0" w:color="auto"/>
      </w:divBdr>
    </w:div>
    <w:div w:id="63070072">
      <w:bodyDiv w:val="1"/>
      <w:marLeft w:val="0"/>
      <w:marRight w:val="0"/>
      <w:marTop w:val="0"/>
      <w:marBottom w:val="0"/>
      <w:divBdr>
        <w:top w:val="none" w:sz="0" w:space="0" w:color="auto"/>
        <w:left w:val="none" w:sz="0" w:space="0" w:color="auto"/>
        <w:bottom w:val="none" w:sz="0" w:space="0" w:color="auto"/>
        <w:right w:val="none" w:sz="0" w:space="0" w:color="auto"/>
      </w:divBdr>
    </w:div>
    <w:div w:id="63070162">
      <w:bodyDiv w:val="1"/>
      <w:marLeft w:val="0"/>
      <w:marRight w:val="0"/>
      <w:marTop w:val="0"/>
      <w:marBottom w:val="0"/>
      <w:divBdr>
        <w:top w:val="none" w:sz="0" w:space="0" w:color="auto"/>
        <w:left w:val="none" w:sz="0" w:space="0" w:color="auto"/>
        <w:bottom w:val="none" w:sz="0" w:space="0" w:color="auto"/>
        <w:right w:val="none" w:sz="0" w:space="0" w:color="auto"/>
      </w:divBdr>
    </w:div>
    <w:div w:id="63140378">
      <w:bodyDiv w:val="1"/>
      <w:marLeft w:val="0"/>
      <w:marRight w:val="0"/>
      <w:marTop w:val="0"/>
      <w:marBottom w:val="0"/>
      <w:divBdr>
        <w:top w:val="none" w:sz="0" w:space="0" w:color="auto"/>
        <w:left w:val="none" w:sz="0" w:space="0" w:color="auto"/>
        <w:bottom w:val="none" w:sz="0" w:space="0" w:color="auto"/>
        <w:right w:val="none" w:sz="0" w:space="0" w:color="auto"/>
      </w:divBdr>
    </w:div>
    <w:div w:id="63533482">
      <w:bodyDiv w:val="1"/>
      <w:marLeft w:val="0"/>
      <w:marRight w:val="0"/>
      <w:marTop w:val="0"/>
      <w:marBottom w:val="0"/>
      <w:divBdr>
        <w:top w:val="none" w:sz="0" w:space="0" w:color="auto"/>
        <w:left w:val="none" w:sz="0" w:space="0" w:color="auto"/>
        <w:bottom w:val="none" w:sz="0" w:space="0" w:color="auto"/>
        <w:right w:val="none" w:sz="0" w:space="0" w:color="auto"/>
      </w:divBdr>
    </w:div>
    <w:div w:id="63602226">
      <w:bodyDiv w:val="1"/>
      <w:marLeft w:val="0"/>
      <w:marRight w:val="0"/>
      <w:marTop w:val="0"/>
      <w:marBottom w:val="0"/>
      <w:divBdr>
        <w:top w:val="none" w:sz="0" w:space="0" w:color="auto"/>
        <w:left w:val="none" w:sz="0" w:space="0" w:color="auto"/>
        <w:bottom w:val="none" w:sz="0" w:space="0" w:color="auto"/>
        <w:right w:val="none" w:sz="0" w:space="0" w:color="auto"/>
      </w:divBdr>
    </w:div>
    <w:div w:id="63840148">
      <w:bodyDiv w:val="1"/>
      <w:marLeft w:val="0"/>
      <w:marRight w:val="0"/>
      <w:marTop w:val="0"/>
      <w:marBottom w:val="0"/>
      <w:divBdr>
        <w:top w:val="none" w:sz="0" w:space="0" w:color="auto"/>
        <w:left w:val="none" w:sz="0" w:space="0" w:color="auto"/>
        <w:bottom w:val="none" w:sz="0" w:space="0" w:color="auto"/>
        <w:right w:val="none" w:sz="0" w:space="0" w:color="auto"/>
      </w:divBdr>
    </w:div>
    <w:div w:id="63840155">
      <w:bodyDiv w:val="1"/>
      <w:marLeft w:val="0"/>
      <w:marRight w:val="0"/>
      <w:marTop w:val="0"/>
      <w:marBottom w:val="0"/>
      <w:divBdr>
        <w:top w:val="none" w:sz="0" w:space="0" w:color="auto"/>
        <w:left w:val="none" w:sz="0" w:space="0" w:color="auto"/>
        <w:bottom w:val="none" w:sz="0" w:space="0" w:color="auto"/>
        <w:right w:val="none" w:sz="0" w:space="0" w:color="auto"/>
      </w:divBdr>
    </w:div>
    <w:div w:id="64106912">
      <w:bodyDiv w:val="1"/>
      <w:marLeft w:val="0"/>
      <w:marRight w:val="0"/>
      <w:marTop w:val="0"/>
      <w:marBottom w:val="0"/>
      <w:divBdr>
        <w:top w:val="none" w:sz="0" w:space="0" w:color="auto"/>
        <w:left w:val="none" w:sz="0" w:space="0" w:color="auto"/>
        <w:bottom w:val="none" w:sz="0" w:space="0" w:color="auto"/>
        <w:right w:val="none" w:sz="0" w:space="0" w:color="auto"/>
      </w:divBdr>
    </w:div>
    <w:div w:id="64182954">
      <w:bodyDiv w:val="1"/>
      <w:marLeft w:val="0"/>
      <w:marRight w:val="0"/>
      <w:marTop w:val="0"/>
      <w:marBottom w:val="0"/>
      <w:divBdr>
        <w:top w:val="none" w:sz="0" w:space="0" w:color="auto"/>
        <w:left w:val="none" w:sz="0" w:space="0" w:color="auto"/>
        <w:bottom w:val="none" w:sz="0" w:space="0" w:color="auto"/>
        <w:right w:val="none" w:sz="0" w:space="0" w:color="auto"/>
      </w:divBdr>
    </w:div>
    <w:div w:id="64183469">
      <w:bodyDiv w:val="1"/>
      <w:marLeft w:val="0"/>
      <w:marRight w:val="0"/>
      <w:marTop w:val="0"/>
      <w:marBottom w:val="0"/>
      <w:divBdr>
        <w:top w:val="none" w:sz="0" w:space="0" w:color="auto"/>
        <w:left w:val="none" w:sz="0" w:space="0" w:color="auto"/>
        <w:bottom w:val="none" w:sz="0" w:space="0" w:color="auto"/>
        <w:right w:val="none" w:sz="0" w:space="0" w:color="auto"/>
      </w:divBdr>
    </w:div>
    <w:div w:id="64689421">
      <w:bodyDiv w:val="1"/>
      <w:marLeft w:val="0"/>
      <w:marRight w:val="0"/>
      <w:marTop w:val="0"/>
      <w:marBottom w:val="0"/>
      <w:divBdr>
        <w:top w:val="none" w:sz="0" w:space="0" w:color="auto"/>
        <w:left w:val="none" w:sz="0" w:space="0" w:color="auto"/>
        <w:bottom w:val="none" w:sz="0" w:space="0" w:color="auto"/>
        <w:right w:val="none" w:sz="0" w:space="0" w:color="auto"/>
      </w:divBdr>
    </w:div>
    <w:div w:id="64693658">
      <w:bodyDiv w:val="1"/>
      <w:marLeft w:val="0"/>
      <w:marRight w:val="0"/>
      <w:marTop w:val="0"/>
      <w:marBottom w:val="0"/>
      <w:divBdr>
        <w:top w:val="none" w:sz="0" w:space="0" w:color="auto"/>
        <w:left w:val="none" w:sz="0" w:space="0" w:color="auto"/>
        <w:bottom w:val="none" w:sz="0" w:space="0" w:color="auto"/>
        <w:right w:val="none" w:sz="0" w:space="0" w:color="auto"/>
      </w:divBdr>
    </w:div>
    <w:div w:id="65157025">
      <w:bodyDiv w:val="1"/>
      <w:marLeft w:val="0"/>
      <w:marRight w:val="0"/>
      <w:marTop w:val="0"/>
      <w:marBottom w:val="0"/>
      <w:divBdr>
        <w:top w:val="none" w:sz="0" w:space="0" w:color="auto"/>
        <w:left w:val="none" w:sz="0" w:space="0" w:color="auto"/>
        <w:bottom w:val="none" w:sz="0" w:space="0" w:color="auto"/>
        <w:right w:val="none" w:sz="0" w:space="0" w:color="auto"/>
      </w:divBdr>
    </w:div>
    <w:div w:id="65348874">
      <w:bodyDiv w:val="1"/>
      <w:marLeft w:val="0"/>
      <w:marRight w:val="0"/>
      <w:marTop w:val="0"/>
      <w:marBottom w:val="0"/>
      <w:divBdr>
        <w:top w:val="none" w:sz="0" w:space="0" w:color="auto"/>
        <w:left w:val="none" w:sz="0" w:space="0" w:color="auto"/>
        <w:bottom w:val="none" w:sz="0" w:space="0" w:color="auto"/>
        <w:right w:val="none" w:sz="0" w:space="0" w:color="auto"/>
      </w:divBdr>
    </w:div>
    <w:div w:id="65418921">
      <w:bodyDiv w:val="1"/>
      <w:marLeft w:val="0"/>
      <w:marRight w:val="0"/>
      <w:marTop w:val="0"/>
      <w:marBottom w:val="0"/>
      <w:divBdr>
        <w:top w:val="none" w:sz="0" w:space="0" w:color="auto"/>
        <w:left w:val="none" w:sz="0" w:space="0" w:color="auto"/>
        <w:bottom w:val="none" w:sz="0" w:space="0" w:color="auto"/>
        <w:right w:val="none" w:sz="0" w:space="0" w:color="auto"/>
      </w:divBdr>
    </w:div>
    <w:div w:id="65491719">
      <w:bodyDiv w:val="1"/>
      <w:marLeft w:val="0"/>
      <w:marRight w:val="0"/>
      <w:marTop w:val="0"/>
      <w:marBottom w:val="0"/>
      <w:divBdr>
        <w:top w:val="none" w:sz="0" w:space="0" w:color="auto"/>
        <w:left w:val="none" w:sz="0" w:space="0" w:color="auto"/>
        <w:bottom w:val="none" w:sz="0" w:space="0" w:color="auto"/>
        <w:right w:val="none" w:sz="0" w:space="0" w:color="auto"/>
      </w:divBdr>
    </w:div>
    <w:div w:id="66075693">
      <w:bodyDiv w:val="1"/>
      <w:marLeft w:val="0"/>
      <w:marRight w:val="0"/>
      <w:marTop w:val="0"/>
      <w:marBottom w:val="0"/>
      <w:divBdr>
        <w:top w:val="none" w:sz="0" w:space="0" w:color="auto"/>
        <w:left w:val="none" w:sz="0" w:space="0" w:color="auto"/>
        <w:bottom w:val="none" w:sz="0" w:space="0" w:color="auto"/>
        <w:right w:val="none" w:sz="0" w:space="0" w:color="auto"/>
      </w:divBdr>
    </w:div>
    <w:div w:id="66148606">
      <w:bodyDiv w:val="1"/>
      <w:marLeft w:val="0"/>
      <w:marRight w:val="0"/>
      <w:marTop w:val="0"/>
      <w:marBottom w:val="0"/>
      <w:divBdr>
        <w:top w:val="none" w:sz="0" w:space="0" w:color="auto"/>
        <w:left w:val="none" w:sz="0" w:space="0" w:color="auto"/>
        <w:bottom w:val="none" w:sz="0" w:space="0" w:color="auto"/>
        <w:right w:val="none" w:sz="0" w:space="0" w:color="auto"/>
      </w:divBdr>
    </w:div>
    <w:div w:id="66270922">
      <w:bodyDiv w:val="1"/>
      <w:marLeft w:val="0"/>
      <w:marRight w:val="0"/>
      <w:marTop w:val="0"/>
      <w:marBottom w:val="0"/>
      <w:divBdr>
        <w:top w:val="none" w:sz="0" w:space="0" w:color="auto"/>
        <w:left w:val="none" w:sz="0" w:space="0" w:color="auto"/>
        <w:bottom w:val="none" w:sz="0" w:space="0" w:color="auto"/>
        <w:right w:val="none" w:sz="0" w:space="0" w:color="auto"/>
      </w:divBdr>
    </w:div>
    <w:div w:id="66271366">
      <w:bodyDiv w:val="1"/>
      <w:marLeft w:val="0"/>
      <w:marRight w:val="0"/>
      <w:marTop w:val="0"/>
      <w:marBottom w:val="0"/>
      <w:divBdr>
        <w:top w:val="none" w:sz="0" w:space="0" w:color="auto"/>
        <w:left w:val="none" w:sz="0" w:space="0" w:color="auto"/>
        <w:bottom w:val="none" w:sz="0" w:space="0" w:color="auto"/>
        <w:right w:val="none" w:sz="0" w:space="0" w:color="auto"/>
      </w:divBdr>
    </w:div>
    <w:div w:id="66344622">
      <w:bodyDiv w:val="1"/>
      <w:marLeft w:val="0"/>
      <w:marRight w:val="0"/>
      <w:marTop w:val="0"/>
      <w:marBottom w:val="0"/>
      <w:divBdr>
        <w:top w:val="none" w:sz="0" w:space="0" w:color="auto"/>
        <w:left w:val="none" w:sz="0" w:space="0" w:color="auto"/>
        <w:bottom w:val="none" w:sz="0" w:space="0" w:color="auto"/>
        <w:right w:val="none" w:sz="0" w:space="0" w:color="auto"/>
      </w:divBdr>
    </w:div>
    <w:div w:id="66348172">
      <w:bodyDiv w:val="1"/>
      <w:marLeft w:val="0"/>
      <w:marRight w:val="0"/>
      <w:marTop w:val="0"/>
      <w:marBottom w:val="0"/>
      <w:divBdr>
        <w:top w:val="none" w:sz="0" w:space="0" w:color="auto"/>
        <w:left w:val="none" w:sz="0" w:space="0" w:color="auto"/>
        <w:bottom w:val="none" w:sz="0" w:space="0" w:color="auto"/>
        <w:right w:val="none" w:sz="0" w:space="0" w:color="auto"/>
      </w:divBdr>
    </w:div>
    <w:div w:id="66617021">
      <w:bodyDiv w:val="1"/>
      <w:marLeft w:val="0"/>
      <w:marRight w:val="0"/>
      <w:marTop w:val="0"/>
      <w:marBottom w:val="0"/>
      <w:divBdr>
        <w:top w:val="none" w:sz="0" w:space="0" w:color="auto"/>
        <w:left w:val="none" w:sz="0" w:space="0" w:color="auto"/>
        <w:bottom w:val="none" w:sz="0" w:space="0" w:color="auto"/>
        <w:right w:val="none" w:sz="0" w:space="0" w:color="auto"/>
      </w:divBdr>
    </w:div>
    <w:div w:id="66808214">
      <w:bodyDiv w:val="1"/>
      <w:marLeft w:val="0"/>
      <w:marRight w:val="0"/>
      <w:marTop w:val="0"/>
      <w:marBottom w:val="0"/>
      <w:divBdr>
        <w:top w:val="none" w:sz="0" w:space="0" w:color="auto"/>
        <w:left w:val="none" w:sz="0" w:space="0" w:color="auto"/>
        <w:bottom w:val="none" w:sz="0" w:space="0" w:color="auto"/>
        <w:right w:val="none" w:sz="0" w:space="0" w:color="auto"/>
      </w:divBdr>
    </w:div>
    <w:div w:id="66925492">
      <w:bodyDiv w:val="1"/>
      <w:marLeft w:val="0"/>
      <w:marRight w:val="0"/>
      <w:marTop w:val="0"/>
      <w:marBottom w:val="0"/>
      <w:divBdr>
        <w:top w:val="none" w:sz="0" w:space="0" w:color="auto"/>
        <w:left w:val="none" w:sz="0" w:space="0" w:color="auto"/>
        <w:bottom w:val="none" w:sz="0" w:space="0" w:color="auto"/>
        <w:right w:val="none" w:sz="0" w:space="0" w:color="auto"/>
      </w:divBdr>
    </w:div>
    <w:div w:id="67117131">
      <w:bodyDiv w:val="1"/>
      <w:marLeft w:val="0"/>
      <w:marRight w:val="0"/>
      <w:marTop w:val="0"/>
      <w:marBottom w:val="0"/>
      <w:divBdr>
        <w:top w:val="none" w:sz="0" w:space="0" w:color="auto"/>
        <w:left w:val="none" w:sz="0" w:space="0" w:color="auto"/>
        <w:bottom w:val="none" w:sz="0" w:space="0" w:color="auto"/>
        <w:right w:val="none" w:sz="0" w:space="0" w:color="auto"/>
      </w:divBdr>
    </w:div>
    <w:div w:id="67193432">
      <w:bodyDiv w:val="1"/>
      <w:marLeft w:val="0"/>
      <w:marRight w:val="0"/>
      <w:marTop w:val="0"/>
      <w:marBottom w:val="0"/>
      <w:divBdr>
        <w:top w:val="none" w:sz="0" w:space="0" w:color="auto"/>
        <w:left w:val="none" w:sz="0" w:space="0" w:color="auto"/>
        <w:bottom w:val="none" w:sz="0" w:space="0" w:color="auto"/>
        <w:right w:val="none" w:sz="0" w:space="0" w:color="auto"/>
      </w:divBdr>
    </w:div>
    <w:div w:id="67309341">
      <w:bodyDiv w:val="1"/>
      <w:marLeft w:val="0"/>
      <w:marRight w:val="0"/>
      <w:marTop w:val="0"/>
      <w:marBottom w:val="0"/>
      <w:divBdr>
        <w:top w:val="none" w:sz="0" w:space="0" w:color="auto"/>
        <w:left w:val="none" w:sz="0" w:space="0" w:color="auto"/>
        <w:bottom w:val="none" w:sz="0" w:space="0" w:color="auto"/>
        <w:right w:val="none" w:sz="0" w:space="0" w:color="auto"/>
      </w:divBdr>
    </w:div>
    <w:div w:id="67463374">
      <w:bodyDiv w:val="1"/>
      <w:marLeft w:val="0"/>
      <w:marRight w:val="0"/>
      <w:marTop w:val="0"/>
      <w:marBottom w:val="0"/>
      <w:divBdr>
        <w:top w:val="none" w:sz="0" w:space="0" w:color="auto"/>
        <w:left w:val="none" w:sz="0" w:space="0" w:color="auto"/>
        <w:bottom w:val="none" w:sz="0" w:space="0" w:color="auto"/>
        <w:right w:val="none" w:sz="0" w:space="0" w:color="auto"/>
      </w:divBdr>
    </w:div>
    <w:div w:id="67576569">
      <w:bodyDiv w:val="1"/>
      <w:marLeft w:val="0"/>
      <w:marRight w:val="0"/>
      <w:marTop w:val="0"/>
      <w:marBottom w:val="0"/>
      <w:divBdr>
        <w:top w:val="none" w:sz="0" w:space="0" w:color="auto"/>
        <w:left w:val="none" w:sz="0" w:space="0" w:color="auto"/>
        <w:bottom w:val="none" w:sz="0" w:space="0" w:color="auto"/>
        <w:right w:val="none" w:sz="0" w:space="0" w:color="auto"/>
      </w:divBdr>
    </w:div>
    <w:div w:id="67773588">
      <w:bodyDiv w:val="1"/>
      <w:marLeft w:val="0"/>
      <w:marRight w:val="0"/>
      <w:marTop w:val="0"/>
      <w:marBottom w:val="0"/>
      <w:divBdr>
        <w:top w:val="none" w:sz="0" w:space="0" w:color="auto"/>
        <w:left w:val="none" w:sz="0" w:space="0" w:color="auto"/>
        <w:bottom w:val="none" w:sz="0" w:space="0" w:color="auto"/>
        <w:right w:val="none" w:sz="0" w:space="0" w:color="auto"/>
      </w:divBdr>
    </w:div>
    <w:div w:id="68160188">
      <w:bodyDiv w:val="1"/>
      <w:marLeft w:val="0"/>
      <w:marRight w:val="0"/>
      <w:marTop w:val="0"/>
      <w:marBottom w:val="0"/>
      <w:divBdr>
        <w:top w:val="none" w:sz="0" w:space="0" w:color="auto"/>
        <w:left w:val="none" w:sz="0" w:space="0" w:color="auto"/>
        <w:bottom w:val="none" w:sz="0" w:space="0" w:color="auto"/>
        <w:right w:val="none" w:sz="0" w:space="0" w:color="auto"/>
      </w:divBdr>
    </w:div>
    <w:div w:id="68235014">
      <w:bodyDiv w:val="1"/>
      <w:marLeft w:val="0"/>
      <w:marRight w:val="0"/>
      <w:marTop w:val="0"/>
      <w:marBottom w:val="0"/>
      <w:divBdr>
        <w:top w:val="none" w:sz="0" w:space="0" w:color="auto"/>
        <w:left w:val="none" w:sz="0" w:space="0" w:color="auto"/>
        <w:bottom w:val="none" w:sz="0" w:space="0" w:color="auto"/>
        <w:right w:val="none" w:sz="0" w:space="0" w:color="auto"/>
      </w:divBdr>
    </w:div>
    <w:div w:id="68312255">
      <w:bodyDiv w:val="1"/>
      <w:marLeft w:val="0"/>
      <w:marRight w:val="0"/>
      <w:marTop w:val="0"/>
      <w:marBottom w:val="0"/>
      <w:divBdr>
        <w:top w:val="none" w:sz="0" w:space="0" w:color="auto"/>
        <w:left w:val="none" w:sz="0" w:space="0" w:color="auto"/>
        <w:bottom w:val="none" w:sz="0" w:space="0" w:color="auto"/>
        <w:right w:val="none" w:sz="0" w:space="0" w:color="auto"/>
      </w:divBdr>
    </w:div>
    <w:div w:id="68385933">
      <w:bodyDiv w:val="1"/>
      <w:marLeft w:val="0"/>
      <w:marRight w:val="0"/>
      <w:marTop w:val="0"/>
      <w:marBottom w:val="0"/>
      <w:divBdr>
        <w:top w:val="none" w:sz="0" w:space="0" w:color="auto"/>
        <w:left w:val="none" w:sz="0" w:space="0" w:color="auto"/>
        <w:bottom w:val="none" w:sz="0" w:space="0" w:color="auto"/>
        <w:right w:val="none" w:sz="0" w:space="0" w:color="auto"/>
      </w:divBdr>
    </w:div>
    <w:div w:id="68816075">
      <w:bodyDiv w:val="1"/>
      <w:marLeft w:val="0"/>
      <w:marRight w:val="0"/>
      <w:marTop w:val="0"/>
      <w:marBottom w:val="0"/>
      <w:divBdr>
        <w:top w:val="none" w:sz="0" w:space="0" w:color="auto"/>
        <w:left w:val="none" w:sz="0" w:space="0" w:color="auto"/>
        <w:bottom w:val="none" w:sz="0" w:space="0" w:color="auto"/>
        <w:right w:val="none" w:sz="0" w:space="0" w:color="auto"/>
      </w:divBdr>
    </w:div>
    <w:div w:id="68816809">
      <w:bodyDiv w:val="1"/>
      <w:marLeft w:val="0"/>
      <w:marRight w:val="0"/>
      <w:marTop w:val="0"/>
      <w:marBottom w:val="0"/>
      <w:divBdr>
        <w:top w:val="none" w:sz="0" w:space="0" w:color="auto"/>
        <w:left w:val="none" w:sz="0" w:space="0" w:color="auto"/>
        <w:bottom w:val="none" w:sz="0" w:space="0" w:color="auto"/>
        <w:right w:val="none" w:sz="0" w:space="0" w:color="auto"/>
      </w:divBdr>
    </w:div>
    <w:div w:id="68844074">
      <w:bodyDiv w:val="1"/>
      <w:marLeft w:val="0"/>
      <w:marRight w:val="0"/>
      <w:marTop w:val="0"/>
      <w:marBottom w:val="0"/>
      <w:divBdr>
        <w:top w:val="none" w:sz="0" w:space="0" w:color="auto"/>
        <w:left w:val="none" w:sz="0" w:space="0" w:color="auto"/>
        <w:bottom w:val="none" w:sz="0" w:space="0" w:color="auto"/>
        <w:right w:val="none" w:sz="0" w:space="0" w:color="auto"/>
      </w:divBdr>
    </w:div>
    <w:div w:id="69011953">
      <w:bodyDiv w:val="1"/>
      <w:marLeft w:val="0"/>
      <w:marRight w:val="0"/>
      <w:marTop w:val="0"/>
      <w:marBottom w:val="0"/>
      <w:divBdr>
        <w:top w:val="none" w:sz="0" w:space="0" w:color="auto"/>
        <w:left w:val="none" w:sz="0" w:space="0" w:color="auto"/>
        <w:bottom w:val="none" w:sz="0" w:space="0" w:color="auto"/>
        <w:right w:val="none" w:sz="0" w:space="0" w:color="auto"/>
      </w:divBdr>
    </w:div>
    <w:div w:id="69275626">
      <w:bodyDiv w:val="1"/>
      <w:marLeft w:val="0"/>
      <w:marRight w:val="0"/>
      <w:marTop w:val="0"/>
      <w:marBottom w:val="0"/>
      <w:divBdr>
        <w:top w:val="none" w:sz="0" w:space="0" w:color="auto"/>
        <w:left w:val="none" w:sz="0" w:space="0" w:color="auto"/>
        <w:bottom w:val="none" w:sz="0" w:space="0" w:color="auto"/>
        <w:right w:val="none" w:sz="0" w:space="0" w:color="auto"/>
      </w:divBdr>
    </w:div>
    <w:div w:id="69892785">
      <w:bodyDiv w:val="1"/>
      <w:marLeft w:val="0"/>
      <w:marRight w:val="0"/>
      <w:marTop w:val="0"/>
      <w:marBottom w:val="0"/>
      <w:divBdr>
        <w:top w:val="none" w:sz="0" w:space="0" w:color="auto"/>
        <w:left w:val="none" w:sz="0" w:space="0" w:color="auto"/>
        <w:bottom w:val="none" w:sz="0" w:space="0" w:color="auto"/>
        <w:right w:val="none" w:sz="0" w:space="0" w:color="auto"/>
      </w:divBdr>
    </w:div>
    <w:div w:id="70005764">
      <w:bodyDiv w:val="1"/>
      <w:marLeft w:val="0"/>
      <w:marRight w:val="0"/>
      <w:marTop w:val="0"/>
      <w:marBottom w:val="0"/>
      <w:divBdr>
        <w:top w:val="none" w:sz="0" w:space="0" w:color="auto"/>
        <w:left w:val="none" w:sz="0" w:space="0" w:color="auto"/>
        <w:bottom w:val="none" w:sz="0" w:space="0" w:color="auto"/>
        <w:right w:val="none" w:sz="0" w:space="0" w:color="auto"/>
      </w:divBdr>
    </w:div>
    <w:div w:id="70012217">
      <w:bodyDiv w:val="1"/>
      <w:marLeft w:val="0"/>
      <w:marRight w:val="0"/>
      <w:marTop w:val="0"/>
      <w:marBottom w:val="0"/>
      <w:divBdr>
        <w:top w:val="none" w:sz="0" w:space="0" w:color="auto"/>
        <w:left w:val="none" w:sz="0" w:space="0" w:color="auto"/>
        <w:bottom w:val="none" w:sz="0" w:space="0" w:color="auto"/>
        <w:right w:val="none" w:sz="0" w:space="0" w:color="auto"/>
      </w:divBdr>
    </w:div>
    <w:div w:id="70078596">
      <w:bodyDiv w:val="1"/>
      <w:marLeft w:val="0"/>
      <w:marRight w:val="0"/>
      <w:marTop w:val="0"/>
      <w:marBottom w:val="0"/>
      <w:divBdr>
        <w:top w:val="none" w:sz="0" w:space="0" w:color="auto"/>
        <w:left w:val="none" w:sz="0" w:space="0" w:color="auto"/>
        <w:bottom w:val="none" w:sz="0" w:space="0" w:color="auto"/>
        <w:right w:val="none" w:sz="0" w:space="0" w:color="auto"/>
      </w:divBdr>
    </w:div>
    <w:div w:id="70516979">
      <w:bodyDiv w:val="1"/>
      <w:marLeft w:val="0"/>
      <w:marRight w:val="0"/>
      <w:marTop w:val="0"/>
      <w:marBottom w:val="0"/>
      <w:divBdr>
        <w:top w:val="none" w:sz="0" w:space="0" w:color="auto"/>
        <w:left w:val="none" w:sz="0" w:space="0" w:color="auto"/>
        <w:bottom w:val="none" w:sz="0" w:space="0" w:color="auto"/>
        <w:right w:val="none" w:sz="0" w:space="0" w:color="auto"/>
      </w:divBdr>
    </w:div>
    <w:div w:id="70548307">
      <w:bodyDiv w:val="1"/>
      <w:marLeft w:val="0"/>
      <w:marRight w:val="0"/>
      <w:marTop w:val="0"/>
      <w:marBottom w:val="0"/>
      <w:divBdr>
        <w:top w:val="none" w:sz="0" w:space="0" w:color="auto"/>
        <w:left w:val="none" w:sz="0" w:space="0" w:color="auto"/>
        <w:bottom w:val="none" w:sz="0" w:space="0" w:color="auto"/>
        <w:right w:val="none" w:sz="0" w:space="0" w:color="auto"/>
      </w:divBdr>
    </w:div>
    <w:div w:id="70739273">
      <w:bodyDiv w:val="1"/>
      <w:marLeft w:val="0"/>
      <w:marRight w:val="0"/>
      <w:marTop w:val="0"/>
      <w:marBottom w:val="0"/>
      <w:divBdr>
        <w:top w:val="none" w:sz="0" w:space="0" w:color="auto"/>
        <w:left w:val="none" w:sz="0" w:space="0" w:color="auto"/>
        <w:bottom w:val="none" w:sz="0" w:space="0" w:color="auto"/>
        <w:right w:val="none" w:sz="0" w:space="0" w:color="auto"/>
      </w:divBdr>
    </w:div>
    <w:div w:id="70926775">
      <w:bodyDiv w:val="1"/>
      <w:marLeft w:val="0"/>
      <w:marRight w:val="0"/>
      <w:marTop w:val="0"/>
      <w:marBottom w:val="0"/>
      <w:divBdr>
        <w:top w:val="none" w:sz="0" w:space="0" w:color="auto"/>
        <w:left w:val="none" w:sz="0" w:space="0" w:color="auto"/>
        <w:bottom w:val="none" w:sz="0" w:space="0" w:color="auto"/>
        <w:right w:val="none" w:sz="0" w:space="0" w:color="auto"/>
      </w:divBdr>
    </w:div>
    <w:div w:id="71320389">
      <w:bodyDiv w:val="1"/>
      <w:marLeft w:val="0"/>
      <w:marRight w:val="0"/>
      <w:marTop w:val="0"/>
      <w:marBottom w:val="0"/>
      <w:divBdr>
        <w:top w:val="none" w:sz="0" w:space="0" w:color="auto"/>
        <w:left w:val="none" w:sz="0" w:space="0" w:color="auto"/>
        <w:bottom w:val="none" w:sz="0" w:space="0" w:color="auto"/>
        <w:right w:val="none" w:sz="0" w:space="0" w:color="auto"/>
      </w:divBdr>
    </w:div>
    <w:div w:id="71510623">
      <w:bodyDiv w:val="1"/>
      <w:marLeft w:val="0"/>
      <w:marRight w:val="0"/>
      <w:marTop w:val="0"/>
      <w:marBottom w:val="0"/>
      <w:divBdr>
        <w:top w:val="none" w:sz="0" w:space="0" w:color="auto"/>
        <w:left w:val="none" w:sz="0" w:space="0" w:color="auto"/>
        <w:bottom w:val="none" w:sz="0" w:space="0" w:color="auto"/>
        <w:right w:val="none" w:sz="0" w:space="0" w:color="auto"/>
      </w:divBdr>
    </w:div>
    <w:div w:id="71512867">
      <w:bodyDiv w:val="1"/>
      <w:marLeft w:val="0"/>
      <w:marRight w:val="0"/>
      <w:marTop w:val="0"/>
      <w:marBottom w:val="0"/>
      <w:divBdr>
        <w:top w:val="none" w:sz="0" w:space="0" w:color="auto"/>
        <w:left w:val="none" w:sz="0" w:space="0" w:color="auto"/>
        <w:bottom w:val="none" w:sz="0" w:space="0" w:color="auto"/>
        <w:right w:val="none" w:sz="0" w:space="0" w:color="auto"/>
      </w:divBdr>
    </w:div>
    <w:div w:id="71631108">
      <w:bodyDiv w:val="1"/>
      <w:marLeft w:val="0"/>
      <w:marRight w:val="0"/>
      <w:marTop w:val="0"/>
      <w:marBottom w:val="0"/>
      <w:divBdr>
        <w:top w:val="none" w:sz="0" w:space="0" w:color="auto"/>
        <w:left w:val="none" w:sz="0" w:space="0" w:color="auto"/>
        <w:bottom w:val="none" w:sz="0" w:space="0" w:color="auto"/>
        <w:right w:val="none" w:sz="0" w:space="0" w:color="auto"/>
      </w:divBdr>
    </w:div>
    <w:div w:id="71702550">
      <w:bodyDiv w:val="1"/>
      <w:marLeft w:val="0"/>
      <w:marRight w:val="0"/>
      <w:marTop w:val="0"/>
      <w:marBottom w:val="0"/>
      <w:divBdr>
        <w:top w:val="none" w:sz="0" w:space="0" w:color="auto"/>
        <w:left w:val="none" w:sz="0" w:space="0" w:color="auto"/>
        <w:bottom w:val="none" w:sz="0" w:space="0" w:color="auto"/>
        <w:right w:val="none" w:sz="0" w:space="0" w:color="auto"/>
      </w:divBdr>
    </w:div>
    <w:div w:id="72052389">
      <w:bodyDiv w:val="1"/>
      <w:marLeft w:val="0"/>
      <w:marRight w:val="0"/>
      <w:marTop w:val="0"/>
      <w:marBottom w:val="0"/>
      <w:divBdr>
        <w:top w:val="none" w:sz="0" w:space="0" w:color="auto"/>
        <w:left w:val="none" w:sz="0" w:space="0" w:color="auto"/>
        <w:bottom w:val="none" w:sz="0" w:space="0" w:color="auto"/>
        <w:right w:val="none" w:sz="0" w:space="0" w:color="auto"/>
      </w:divBdr>
    </w:div>
    <w:div w:id="72245001">
      <w:bodyDiv w:val="1"/>
      <w:marLeft w:val="0"/>
      <w:marRight w:val="0"/>
      <w:marTop w:val="0"/>
      <w:marBottom w:val="0"/>
      <w:divBdr>
        <w:top w:val="none" w:sz="0" w:space="0" w:color="auto"/>
        <w:left w:val="none" w:sz="0" w:space="0" w:color="auto"/>
        <w:bottom w:val="none" w:sz="0" w:space="0" w:color="auto"/>
        <w:right w:val="none" w:sz="0" w:space="0" w:color="auto"/>
      </w:divBdr>
    </w:div>
    <w:div w:id="72316401">
      <w:bodyDiv w:val="1"/>
      <w:marLeft w:val="0"/>
      <w:marRight w:val="0"/>
      <w:marTop w:val="0"/>
      <w:marBottom w:val="0"/>
      <w:divBdr>
        <w:top w:val="none" w:sz="0" w:space="0" w:color="auto"/>
        <w:left w:val="none" w:sz="0" w:space="0" w:color="auto"/>
        <w:bottom w:val="none" w:sz="0" w:space="0" w:color="auto"/>
        <w:right w:val="none" w:sz="0" w:space="0" w:color="auto"/>
      </w:divBdr>
    </w:div>
    <w:div w:id="72556653">
      <w:bodyDiv w:val="1"/>
      <w:marLeft w:val="0"/>
      <w:marRight w:val="0"/>
      <w:marTop w:val="0"/>
      <w:marBottom w:val="0"/>
      <w:divBdr>
        <w:top w:val="none" w:sz="0" w:space="0" w:color="auto"/>
        <w:left w:val="none" w:sz="0" w:space="0" w:color="auto"/>
        <w:bottom w:val="none" w:sz="0" w:space="0" w:color="auto"/>
        <w:right w:val="none" w:sz="0" w:space="0" w:color="auto"/>
      </w:divBdr>
    </w:div>
    <w:div w:id="72628380">
      <w:bodyDiv w:val="1"/>
      <w:marLeft w:val="0"/>
      <w:marRight w:val="0"/>
      <w:marTop w:val="0"/>
      <w:marBottom w:val="0"/>
      <w:divBdr>
        <w:top w:val="none" w:sz="0" w:space="0" w:color="auto"/>
        <w:left w:val="none" w:sz="0" w:space="0" w:color="auto"/>
        <w:bottom w:val="none" w:sz="0" w:space="0" w:color="auto"/>
        <w:right w:val="none" w:sz="0" w:space="0" w:color="auto"/>
      </w:divBdr>
    </w:div>
    <w:div w:id="72820499">
      <w:bodyDiv w:val="1"/>
      <w:marLeft w:val="0"/>
      <w:marRight w:val="0"/>
      <w:marTop w:val="0"/>
      <w:marBottom w:val="0"/>
      <w:divBdr>
        <w:top w:val="none" w:sz="0" w:space="0" w:color="auto"/>
        <w:left w:val="none" w:sz="0" w:space="0" w:color="auto"/>
        <w:bottom w:val="none" w:sz="0" w:space="0" w:color="auto"/>
        <w:right w:val="none" w:sz="0" w:space="0" w:color="auto"/>
      </w:divBdr>
    </w:div>
    <w:div w:id="72895028">
      <w:bodyDiv w:val="1"/>
      <w:marLeft w:val="0"/>
      <w:marRight w:val="0"/>
      <w:marTop w:val="0"/>
      <w:marBottom w:val="0"/>
      <w:divBdr>
        <w:top w:val="none" w:sz="0" w:space="0" w:color="auto"/>
        <w:left w:val="none" w:sz="0" w:space="0" w:color="auto"/>
        <w:bottom w:val="none" w:sz="0" w:space="0" w:color="auto"/>
        <w:right w:val="none" w:sz="0" w:space="0" w:color="auto"/>
      </w:divBdr>
    </w:div>
    <w:div w:id="73095340">
      <w:bodyDiv w:val="1"/>
      <w:marLeft w:val="0"/>
      <w:marRight w:val="0"/>
      <w:marTop w:val="0"/>
      <w:marBottom w:val="0"/>
      <w:divBdr>
        <w:top w:val="none" w:sz="0" w:space="0" w:color="auto"/>
        <w:left w:val="none" w:sz="0" w:space="0" w:color="auto"/>
        <w:bottom w:val="none" w:sz="0" w:space="0" w:color="auto"/>
        <w:right w:val="none" w:sz="0" w:space="0" w:color="auto"/>
      </w:divBdr>
    </w:div>
    <w:div w:id="73209431">
      <w:bodyDiv w:val="1"/>
      <w:marLeft w:val="0"/>
      <w:marRight w:val="0"/>
      <w:marTop w:val="0"/>
      <w:marBottom w:val="0"/>
      <w:divBdr>
        <w:top w:val="none" w:sz="0" w:space="0" w:color="auto"/>
        <w:left w:val="none" w:sz="0" w:space="0" w:color="auto"/>
        <w:bottom w:val="none" w:sz="0" w:space="0" w:color="auto"/>
        <w:right w:val="none" w:sz="0" w:space="0" w:color="auto"/>
      </w:divBdr>
    </w:div>
    <w:div w:id="73477268">
      <w:bodyDiv w:val="1"/>
      <w:marLeft w:val="0"/>
      <w:marRight w:val="0"/>
      <w:marTop w:val="0"/>
      <w:marBottom w:val="0"/>
      <w:divBdr>
        <w:top w:val="none" w:sz="0" w:space="0" w:color="auto"/>
        <w:left w:val="none" w:sz="0" w:space="0" w:color="auto"/>
        <w:bottom w:val="none" w:sz="0" w:space="0" w:color="auto"/>
        <w:right w:val="none" w:sz="0" w:space="0" w:color="auto"/>
      </w:divBdr>
    </w:div>
    <w:div w:id="73746239">
      <w:bodyDiv w:val="1"/>
      <w:marLeft w:val="0"/>
      <w:marRight w:val="0"/>
      <w:marTop w:val="0"/>
      <w:marBottom w:val="0"/>
      <w:divBdr>
        <w:top w:val="none" w:sz="0" w:space="0" w:color="auto"/>
        <w:left w:val="none" w:sz="0" w:space="0" w:color="auto"/>
        <w:bottom w:val="none" w:sz="0" w:space="0" w:color="auto"/>
        <w:right w:val="none" w:sz="0" w:space="0" w:color="auto"/>
      </w:divBdr>
    </w:div>
    <w:div w:id="73859314">
      <w:bodyDiv w:val="1"/>
      <w:marLeft w:val="0"/>
      <w:marRight w:val="0"/>
      <w:marTop w:val="0"/>
      <w:marBottom w:val="0"/>
      <w:divBdr>
        <w:top w:val="none" w:sz="0" w:space="0" w:color="auto"/>
        <w:left w:val="none" w:sz="0" w:space="0" w:color="auto"/>
        <w:bottom w:val="none" w:sz="0" w:space="0" w:color="auto"/>
        <w:right w:val="none" w:sz="0" w:space="0" w:color="auto"/>
      </w:divBdr>
    </w:div>
    <w:div w:id="73867738">
      <w:bodyDiv w:val="1"/>
      <w:marLeft w:val="0"/>
      <w:marRight w:val="0"/>
      <w:marTop w:val="0"/>
      <w:marBottom w:val="0"/>
      <w:divBdr>
        <w:top w:val="none" w:sz="0" w:space="0" w:color="auto"/>
        <w:left w:val="none" w:sz="0" w:space="0" w:color="auto"/>
        <w:bottom w:val="none" w:sz="0" w:space="0" w:color="auto"/>
        <w:right w:val="none" w:sz="0" w:space="0" w:color="auto"/>
      </w:divBdr>
    </w:div>
    <w:div w:id="74255387">
      <w:bodyDiv w:val="1"/>
      <w:marLeft w:val="0"/>
      <w:marRight w:val="0"/>
      <w:marTop w:val="0"/>
      <w:marBottom w:val="0"/>
      <w:divBdr>
        <w:top w:val="none" w:sz="0" w:space="0" w:color="auto"/>
        <w:left w:val="none" w:sz="0" w:space="0" w:color="auto"/>
        <w:bottom w:val="none" w:sz="0" w:space="0" w:color="auto"/>
        <w:right w:val="none" w:sz="0" w:space="0" w:color="auto"/>
      </w:divBdr>
    </w:div>
    <w:div w:id="74324303">
      <w:bodyDiv w:val="1"/>
      <w:marLeft w:val="0"/>
      <w:marRight w:val="0"/>
      <w:marTop w:val="0"/>
      <w:marBottom w:val="0"/>
      <w:divBdr>
        <w:top w:val="none" w:sz="0" w:space="0" w:color="auto"/>
        <w:left w:val="none" w:sz="0" w:space="0" w:color="auto"/>
        <w:bottom w:val="none" w:sz="0" w:space="0" w:color="auto"/>
        <w:right w:val="none" w:sz="0" w:space="0" w:color="auto"/>
      </w:divBdr>
    </w:div>
    <w:div w:id="74712510">
      <w:bodyDiv w:val="1"/>
      <w:marLeft w:val="0"/>
      <w:marRight w:val="0"/>
      <w:marTop w:val="0"/>
      <w:marBottom w:val="0"/>
      <w:divBdr>
        <w:top w:val="none" w:sz="0" w:space="0" w:color="auto"/>
        <w:left w:val="none" w:sz="0" w:space="0" w:color="auto"/>
        <w:bottom w:val="none" w:sz="0" w:space="0" w:color="auto"/>
        <w:right w:val="none" w:sz="0" w:space="0" w:color="auto"/>
      </w:divBdr>
    </w:div>
    <w:div w:id="74864100">
      <w:bodyDiv w:val="1"/>
      <w:marLeft w:val="0"/>
      <w:marRight w:val="0"/>
      <w:marTop w:val="0"/>
      <w:marBottom w:val="0"/>
      <w:divBdr>
        <w:top w:val="none" w:sz="0" w:space="0" w:color="auto"/>
        <w:left w:val="none" w:sz="0" w:space="0" w:color="auto"/>
        <w:bottom w:val="none" w:sz="0" w:space="0" w:color="auto"/>
        <w:right w:val="none" w:sz="0" w:space="0" w:color="auto"/>
      </w:divBdr>
    </w:div>
    <w:div w:id="75252385">
      <w:bodyDiv w:val="1"/>
      <w:marLeft w:val="0"/>
      <w:marRight w:val="0"/>
      <w:marTop w:val="0"/>
      <w:marBottom w:val="0"/>
      <w:divBdr>
        <w:top w:val="none" w:sz="0" w:space="0" w:color="auto"/>
        <w:left w:val="none" w:sz="0" w:space="0" w:color="auto"/>
        <w:bottom w:val="none" w:sz="0" w:space="0" w:color="auto"/>
        <w:right w:val="none" w:sz="0" w:space="0" w:color="auto"/>
      </w:divBdr>
    </w:div>
    <w:div w:id="75369736">
      <w:bodyDiv w:val="1"/>
      <w:marLeft w:val="0"/>
      <w:marRight w:val="0"/>
      <w:marTop w:val="0"/>
      <w:marBottom w:val="0"/>
      <w:divBdr>
        <w:top w:val="none" w:sz="0" w:space="0" w:color="auto"/>
        <w:left w:val="none" w:sz="0" w:space="0" w:color="auto"/>
        <w:bottom w:val="none" w:sz="0" w:space="0" w:color="auto"/>
        <w:right w:val="none" w:sz="0" w:space="0" w:color="auto"/>
      </w:divBdr>
    </w:div>
    <w:div w:id="75440768">
      <w:bodyDiv w:val="1"/>
      <w:marLeft w:val="0"/>
      <w:marRight w:val="0"/>
      <w:marTop w:val="0"/>
      <w:marBottom w:val="0"/>
      <w:divBdr>
        <w:top w:val="none" w:sz="0" w:space="0" w:color="auto"/>
        <w:left w:val="none" w:sz="0" w:space="0" w:color="auto"/>
        <w:bottom w:val="none" w:sz="0" w:space="0" w:color="auto"/>
        <w:right w:val="none" w:sz="0" w:space="0" w:color="auto"/>
      </w:divBdr>
    </w:div>
    <w:div w:id="75515354">
      <w:bodyDiv w:val="1"/>
      <w:marLeft w:val="0"/>
      <w:marRight w:val="0"/>
      <w:marTop w:val="0"/>
      <w:marBottom w:val="0"/>
      <w:divBdr>
        <w:top w:val="none" w:sz="0" w:space="0" w:color="auto"/>
        <w:left w:val="none" w:sz="0" w:space="0" w:color="auto"/>
        <w:bottom w:val="none" w:sz="0" w:space="0" w:color="auto"/>
        <w:right w:val="none" w:sz="0" w:space="0" w:color="auto"/>
      </w:divBdr>
    </w:div>
    <w:div w:id="75637018">
      <w:bodyDiv w:val="1"/>
      <w:marLeft w:val="0"/>
      <w:marRight w:val="0"/>
      <w:marTop w:val="0"/>
      <w:marBottom w:val="0"/>
      <w:divBdr>
        <w:top w:val="none" w:sz="0" w:space="0" w:color="auto"/>
        <w:left w:val="none" w:sz="0" w:space="0" w:color="auto"/>
        <w:bottom w:val="none" w:sz="0" w:space="0" w:color="auto"/>
        <w:right w:val="none" w:sz="0" w:space="0" w:color="auto"/>
      </w:divBdr>
    </w:div>
    <w:div w:id="75830291">
      <w:bodyDiv w:val="1"/>
      <w:marLeft w:val="0"/>
      <w:marRight w:val="0"/>
      <w:marTop w:val="0"/>
      <w:marBottom w:val="0"/>
      <w:divBdr>
        <w:top w:val="none" w:sz="0" w:space="0" w:color="auto"/>
        <w:left w:val="none" w:sz="0" w:space="0" w:color="auto"/>
        <w:bottom w:val="none" w:sz="0" w:space="0" w:color="auto"/>
        <w:right w:val="none" w:sz="0" w:space="0" w:color="auto"/>
      </w:divBdr>
    </w:div>
    <w:div w:id="75978897">
      <w:bodyDiv w:val="1"/>
      <w:marLeft w:val="0"/>
      <w:marRight w:val="0"/>
      <w:marTop w:val="0"/>
      <w:marBottom w:val="0"/>
      <w:divBdr>
        <w:top w:val="none" w:sz="0" w:space="0" w:color="auto"/>
        <w:left w:val="none" w:sz="0" w:space="0" w:color="auto"/>
        <w:bottom w:val="none" w:sz="0" w:space="0" w:color="auto"/>
        <w:right w:val="none" w:sz="0" w:space="0" w:color="auto"/>
      </w:divBdr>
    </w:div>
    <w:div w:id="76053491">
      <w:bodyDiv w:val="1"/>
      <w:marLeft w:val="0"/>
      <w:marRight w:val="0"/>
      <w:marTop w:val="0"/>
      <w:marBottom w:val="0"/>
      <w:divBdr>
        <w:top w:val="none" w:sz="0" w:space="0" w:color="auto"/>
        <w:left w:val="none" w:sz="0" w:space="0" w:color="auto"/>
        <w:bottom w:val="none" w:sz="0" w:space="0" w:color="auto"/>
        <w:right w:val="none" w:sz="0" w:space="0" w:color="auto"/>
      </w:divBdr>
    </w:div>
    <w:div w:id="76487606">
      <w:bodyDiv w:val="1"/>
      <w:marLeft w:val="0"/>
      <w:marRight w:val="0"/>
      <w:marTop w:val="0"/>
      <w:marBottom w:val="0"/>
      <w:divBdr>
        <w:top w:val="none" w:sz="0" w:space="0" w:color="auto"/>
        <w:left w:val="none" w:sz="0" w:space="0" w:color="auto"/>
        <w:bottom w:val="none" w:sz="0" w:space="0" w:color="auto"/>
        <w:right w:val="none" w:sz="0" w:space="0" w:color="auto"/>
      </w:divBdr>
    </w:div>
    <w:div w:id="76556862">
      <w:bodyDiv w:val="1"/>
      <w:marLeft w:val="0"/>
      <w:marRight w:val="0"/>
      <w:marTop w:val="0"/>
      <w:marBottom w:val="0"/>
      <w:divBdr>
        <w:top w:val="none" w:sz="0" w:space="0" w:color="auto"/>
        <w:left w:val="none" w:sz="0" w:space="0" w:color="auto"/>
        <w:bottom w:val="none" w:sz="0" w:space="0" w:color="auto"/>
        <w:right w:val="none" w:sz="0" w:space="0" w:color="auto"/>
      </w:divBdr>
    </w:div>
    <w:div w:id="76560767">
      <w:bodyDiv w:val="1"/>
      <w:marLeft w:val="0"/>
      <w:marRight w:val="0"/>
      <w:marTop w:val="0"/>
      <w:marBottom w:val="0"/>
      <w:divBdr>
        <w:top w:val="none" w:sz="0" w:space="0" w:color="auto"/>
        <w:left w:val="none" w:sz="0" w:space="0" w:color="auto"/>
        <w:bottom w:val="none" w:sz="0" w:space="0" w:color="auto"/>
        <w:right w:val="none" w:sz="0" w:space="0" w:color="auto"/>
      </w:divBdr>
    </w:div>
    <w:div w:id="76831471">
      <w:bodyDiv w:val="1"/>
      <w:marLeft w:val="0"/>
      <w:marRight w:val="0"/>
      <w:marTop w:val="0"/>
      <w:marBottom w:val="0"/>
      <w:divBdr>
        <w:top w:val="none" w:sz="0" w:space="0" w:color="auto"/>
        <w:left w:val="none" w:sz="0" w:space="0" w:color="auto"/>
        <w:bottom w:val="none" w:sz="0" w:space="0" w:color="auto"/>
        <w:right w:val="none" w:sz="0" w:space="0" w:color="auto"/>
      </w:divBdr>
    </w:div>
    <w:div w:id="76902584">
      <w:bodyDiv w:val="1"/>
      <w:marLeft w:val="0"/>
      <w:marRight w:val="0"/>
      <w:marTop w:val="0"/>
      <w:marBottom w:val="0"/>
      <w:divBdr>
        <w:top w:val="none" w:sz="0" w:space="0" w:color="auto"/>
        <w:left w:val="none" w:sz="0" w:space="0" w:color="auto"/>
        <w:bottom w:val="none" w:sz="0" w:space="0" w:color="auto"/>
        <w:right w:val="none" w:sz="0" w:space="0" w:color="auto"/>
      </w:divBdr>
    </w:div>
    <w:div w:id="76948183">
      <w:bodyDiv w:val="1"/>
      <w:marLeft w:val="0"/>
      <w:marRight w:val="0"/>
      <w:marTop w:val="0"/>
      <w:marBottom w:val="0"/>
      <w:divBdr>
        <w:top w:val="none" w:sz="0" w:space="0" w:color="auto"/>
        <w:left w:val="none" w:sz="0" w:space="0" w:color="auto"/>
        <w:bottom w:val="none" w:sz="0" w:space="0" w:color="auto"/>
        <w:right w:val="none" w:sz="0" w:space="0" w:color="auto"/>
      </w:divBdr>
    </w:div>
    <w:div w:id="77098213">
      <w:bodyDiv w:val="1"/>
      <w:marLeft w:val="0"/>
      <w:marRight w:val="0"/>
      <w:marTop w:val="0"/>
      <w:marBottom w:val="0"/>
      <w:divBdr>
        <w:top w:val="none" w:sz="0" w:space="0" w:color="auto"/>
        <w:left w:val="none" w:sz="0" w:space="0" w:color="auto"/>
        <w:bottom w:val="none" w:sz="0" w:space="0" w:color="auto"/>
        <w:right w:val="none" w:sz="0" w:space="0" w:color="auto"/>
      </w:divBdr>
    </w:div>
    <w:div w:id="77101998">
      <w:bodyDiv w:val="1"/>
      <w:marLeft w:val="0"/>
      <w:marRight w:val="0"/>
      <w:marTop w:val="0"/>
      <w:marBottom w:val="0"/>
      <w:divBdr>
        <w:top w:val="none" w:sz="0" w:space="0" w:color="auto"/>
        <w:left w:val="none" w:sz="0" w:space="0" w:color="auto"/>
        <w:bottom w:val="none" w:sz="0" w:space="0" w:color="auto"/>
        <w:right w:val="none" w:sz="0" w:space="0" w:color="auto"/>
      </w:divBdr>
    </w:div>
    <w:div w:id="77413791">
      <w:bodyDiv w:val="1"/>
      <w:marLeft w:val="0"/>
      <w:marRight w:val="0"/>
      <w:marTop w:val="0"/>
      <w:marBottom w:val="0"/>
      <w:divBdr>
        <w:top w:val="none" w:sz="0" w:space="0" w:color="auto"/>
        <w:left w:val="none" w:sz="0" w:space="0" w:color="auto"/>
        <w:bottom w:val="none" w:sz="0" w:space="0" w:color="auto"/>
        <w:right w:val="none" w:sz="0" w:space="0" w:color="auto"/>
      </w:divBdr>
    </w:div>
    <w:div w:id="77598213">
      <w:bodyDiv w:val="1"/>
      <w:marLeft w:val="0"/>
      <w:marRight w:val="0"/>
      <w:marTop w:val="0"/>
      <w:marBottom w:val="0"/>
      <w:divBdr>
        <w:top w:val="none" w:sz="0" w:space="0" w:color="auto"/>
        <w:left w:val="none" w:sz="0" w:space="0" w:color="auto"/>
        <w:bottom w:val="none" w:sz="0" w:space="0" w:color="auto"/>
        <w:right w:val="none" w:sz="0" w:space="0" w:color="auto"/>
      </w:divBdr>
    </w:div>
    <w:div w:id="77679295">
      <w:bodyDiv w:val="1"/>
      <w:marLeft w:val="0"/>
      <w:marRight w:val="0"/>
      <w:marTop w:val="0"/>
      <w:marBottom w:val="0"/>
      <w:divBdr>
        <w:top w:val="none" w:sz="0" w:space="0" w:color="auto"/>
        <w:left w:val="none" w:sz="0" w:space="0" w:color="auto"/>
        <w:bottom w:val="none" w:sz="0" w:space="0" w:color="auto"/>
        <w:right w:val="none" w:sz="0" w:space="0" w:color="auto"/>
      </w:divBdr>
    </w:div>
    <w:div w:id="77795302">
      <w:bodyDiv w:val="1"/>
      <w:marLeft w:val="0"/>
      <w:marRight w:val="0"/>
      <w:marTop w:val="0"/>
      <w:marBottom w:val="0"/>
      <w:divBdr>
        <w:top w:val="none" w:sz="0" w:space="0" w:color="auto"/>
        <w:left w:val="none" w:sz="0" w:space="0" w:color="auto"/>
        <w:bottom w:val="none" w:sz="0" w:space="0" w:color="auto"/>
        <w:right w:val="none" w:sz="0" w:space="0" w:color="auto"/>
      </w:divBdr>
    </w:div>
    <w:div w:id="77795988">
      <w:bodyDiv w:val="1"/>
      <w:marLeft w:val="0"/>
      <w:marRight w:val="0"/>
      <w:marTop w:val="0"/>
      <w:marBottom w:val="0"/>
      <w:divBdr>
        <w:top w:val="none" w:sz="0" w:space="0" w:color="auto"/>
        <w:left w:val="none" w:sz="0" w:space="0" w:color="auto"/>
        <w:bottom w:val="none" w:sz="0" w:space="0" w:color="auto"/>
        <w:right w:val="none" w:sz="0" w:space="0" w:color="auto"/>
      </w:divBdr>
    </w:div>
    <w:div w:id="77798038">
      <w:bodyDiv w:val="1"/>
      <w:marLeft w:val="0"/>
      <w:marRight w:val="0"/>
      <w:marTop w:val="0"/>
      <w:marBottom w:val="0"/>
      <w:divBdr>
        <w:top w:val="none" w:sz="0" w:space="0" w:color="auto"/>
        <w:left w:val="none" w:sz="0" w:space="0" w:color="auto"/>
        <w:bottom w:val="none" w:sz="0" w:space="0" w:color="auto"/>
        <w:right w:val="none" w:sz="0" w:space="0" w:color="auto"/>
      </w:divBdr>
    </w:div>
    <w:div w:id="78137284">
      <w:bodyDiv w:val="1"/>
      <w:marLeft w:val="0"/>
      <w:marRight w:val="0"/>
      <w:marTop w:val="0"/>
      <w:marBottom w:val="0"/>
      <w:divBdr>
        <w:top w:val="none" w:sz="0" w:space="0" w:color="auto"/>
        <w:left w:val="none" w:sz="0" w:space="0" w:color="auto"/>
        <w:bottom w:val="none" w:sz="0" w:space="0" w:color="auto"/>
        <w:right w:val="none" w:sz="0" w:space="0" w:color="auto"/>
      </w:divBdr>
    </w:div>
    <w:div w:id="78411052">
      <w:bodyDiv w:val="1"/>
      <w:marLeft w:val="0"/>
      <w:marRight w:val="0"/>
      <w:marTop w:val="0"/>
      <w:marBottom w:val="0"/>
      <w:divBdr>
        <w:top w:val="none" w:sz="0" w:space="0" w:color="auto"/>
        <w:left w:val="none" w:sz="0" w:space="0" w:color="auto"/>
        <w:bottom w:val="none" w:sz="0" w:space="0" w:color="auto"/>
        <w:right w:val="none" w:sz="0" w:space="0" w:color="auto"/>
      </w:divBdr>
    </w:div>
    <w:div w:id="78411208">
      <w:bodyDiv w:val="1"/>
      <w:marLeft w:val="0"/>
      <w:marRight w:val="0"/>
      <w:marTop w:val="0"/>
      <w:marBottom w:val="0"/>
      <w:divBdr>
        <w:top w:val="none" w:sz="0" w:space="0" w:color="auto"/>
        <w:left w:val="none" w:sz="0" w:space="0" w:color="auto"/>
        <w:bottom w:val="none" w:sz="0" w:space="0" w:color="auto"/>
        <w:right w:val="none" w:sz="0" w:space="0" w:color="auto"/>
      </w:divBdr>
    </w:div>
    <w:div w:id="78839864">
      <w:bodyDiv w:val="1"/>
      <w:marLeft w:val="0"/>
      <w:marRight w:val="0"/>
      <w:marTop w:val="0"/>
      <w:marBottom w:val="0"/>
      <w:divBdr>
        <w:top w:val="none" w:sz="0" w:space="0" w:color="auto"/>
        <w:left w:val="none" w:sz="0" w:space="0" w:color="auto"/>
        <w:bottom w:val="none" w:sz="0" w:space="0" w:color="auto"/>
        <w:right w:val="none" w:sz="0" w:space="0" w:color="auto"/>
      </w:divBdr>
    </w:div>
    <w:div w:id="78914523">
      <w:bodyDiv w:val="1"/>
      <w:marLeft w:val="0"/>
      <w:marRight w:val="0"/>
      <w:marTop w:val="0"/>
      <w:marBottom w:val="0"/>
      <w:divBdr>
        <w:top w:val="none" w:sz="0" w:space="0" w:color="auto"/>
        <w:left w:val="none" w:sz="0" w:space="0" w:color="auto"/>
        <w:bottom w:val="none" w:sz="0" w:space="0" w:color="auto"/>
        <w:right w:val="none" w:sz="0" w:space="0" w:color="auto"/>
      </w:divBdr>
    </w:div>
    <w:div w:id="79330972">
      <w:bodyDiv w:val="1"/>
      <w:marLeft w:val="0"/>
      <w:marRight w:val="0"/>
      <w:marTop w:val="0"/>
      <w:marBottom w:val="0"/>
      <w:divBdr>
        <w:top w:val="none" w:sz="0" w:space="0" w:color="auto"/>
        <w:left w:val="none" w:sz="0" w:space="0" w:color="auto"/>
        <w:bottom w:val="none" w:sz="0" w:space="0" w:color="auto"/>
        <w:right w:val="none" w:sz="0" w:space="0" w:color="auto"/>
      </w:divBdr>
    </w:div>
    <w:div w:id="79716241">
      <w:bodyDiv w:val="1"/>
      <w:marLeft w:val="0"/>
      <w:marRight w:val="0"/>
      <w:marTop w:val="0"/>
      <w:marBottom w:val="0"/>
      <w:divBdr>
        <w:top w:val="none" w:sz="0" w:space="0" w:color="auto"/>
        <w:left w:val="none" w:sz="0" w:space="0" w:color="auto"/>
        <w:bottom w:val="none" w:sz="0" w:space="0" w:color="auto"/>
        <w:right w:val="none" w:sz="0" w:space="0" w:color="auto"/>
      </w:divBdr>
    </w:div>
    <w:div w:id="79907211">
      <w:bodyDiv w:val="1"/>
      <w:marLeft w:val="0"/>
      <w:marRight w:val="0"/>
      <w:marTop w:val="0"/>
      <w:marBottom w:val="0"/>
      <w:divBdr>
        <w:top w:val="none" w:sz="0" w:space="0" w:color="auto"/>
        <w:left w:val="none" w:sz="0" w:space="0" w:color="auto"/>
        <w:bottom w:val="none" w:sz="0" w:space="0" w:color="auto"/>
        <w:right w:val="none" w:sz="0" w:space="0" w:color="auto"/>
      </w:divBdr>
    </w:div>
    <w:div w:id="79913828">
      <w:bodyDiv w:val="1"/>
      <w:marLeft w:val="0"/>
      <w:marRight w:val="0"/>
      <w:marTop w:val="0"/>
      <w:marBottom w:val="0"/>
      <w:divBdr>
        <w:top w:val="none" w:sz="0" w:space="0" w:color="auto"/>
        <w:left w:val="none" w:sz="0" w:space="0" w:color="auto"/>
        <w:bottom w:val="none" w:sz="0" w:space="0" w:color="auto"/>
        <w:right w:val="none" w:sz="0" w:space="0" w:color="auto"/>
      </w:divBdr>
    </w:div>
    <w:div w:id="80033236">
      <w:bodyDiv w:val="1"/>
      <w:marLeft w:val="0"/>
      <w:marRight w:val="0"/>
      <w:marTop w:val="0"/>
      <w:marBottom w:val="0"/>
      <w:divBdr>
        <w:top w:val="none" w:sz="0" w:space="0" w:color="auto"/>
        <w:left w:val="none" w:sz="0" w:space="0" w:color="auto"/>
        <w:bottom w:val="none" w:sz="0" w:space="0" w:color="auto"/>
        <w:right w:val="none" w:sz="0" w:space="0" w:color="auto"/>
      </w:divBdr>
    </w:div>
    <w:div w:id="80104990">
      <w:bodyDiv w:val="1"/>
      <w:marLeft w:val="0"/>
      <w:marRight w:val="0"/>
      <w:marTop w:val="0"/>
      <w:marBottom w:val="0"/>
      <w:divBdr>
        <w:top w:val="none" w:sz="0" w:space="0" w:color="auto"/>
        <w:left w:val="none" w:sz="0" w:space="0" w:color="auto"/>
        <w:bottom w:val="none" w:sz="0" w:space="0" w:color="auto"/>
        <w:right w:val="none" w:sz="0" w:space="0" w:color="auto"/>
      </w:divBdr>
    </w:div>
    <w:div w:id="80180994">
      <w:bodyDiv w:val="1"/>
      <w:marLeft w:val="0"/>
      <w:marRight w:val="0"/>
      <w:marTop w:val="0"/>
      <w:marBottom w:val="0"/>
      <w:divBdr>
        <w:top w:val="none" w:sz="0" w:space="0" w:color="auto"/>
        <w:left w:val="none" w:sz="0" w:space="0" w:color="auto"/>
        <w:bottom w:val="none" w:sz="0" w:space="0" w:color="auto"/>
        <w:right w:val="none" w:sz="0" w:space="0" w:color="auto"/>
      </w:divBdr>
    </w:div>
    <w:div w:id="80413771">
      <w:bodyDiv w:val="1"/>
      <w:marLeft w:val="0"/>
      <w:marRight w:val="0"/>
      <w:marTop w:val="0"/>
      <w:marBottom w:val="0"/>
      <w:divBdr>
        <w:top w:val="none" w:sz="0" w:space="0" w:color="auto"/>
        <w:left w:val="none" w:sz="0" w:space="0" w:color="auto"/>
        <w:bottom w:val="none" w:sz="0" w:space="0" w:color="auto"/>
        <w:right w:val="none" w:sz="0" w:space="0" w:color="auto"/>
      </w:divBdr>
    </w:div>
    <w:div w:id="80880558">
      <w:bodyDiv w:val="1"/>
      <w:marLeft w:val="0"/>
      <w:marRight w:val="0"/>
      <w:marTop w:val="0"/>
      <w:marBottom w:val="0"/>
      <w:divBdr>
        <w:top w:val="none" w:sz="0" w:space="0" w:color="auto"/>
        <w:left w:val="none" w:sz="0" w:space="0" w:color="auto"/>
        <w:bottom w:val="none" w:sz="0" w:space="0" w:color="auto"/>
        <w:right w:val="none" w:sz="0" w:space="0" w:color="auto"/>
      </w:divBdr>
    </w:div>
    <w:div w:id="80950748">
      <w:bodyDiv w:val="1"/>
      <w:marLeft w:val="0"/>
      <w:marRight w:val="0"/>
      <w:marTop w:val="0"/>
      <w:marBottom w:val="0"/>
      <w:divBdr>
        <w:top w:val="none" w:sz="0" w:space="0" w:color="auto"/>
        <w:left w:val="none" w:sz="0" w:space="0" w:color="auto"/>
        <w:bottom w:val="none" w:sz="0" w:space="0" w:color="auto"/>
        <w:right w:val="none" w:sz="0" w:space="0" w:color="auto"/>
      </w:divBdr>
    </w:div>
    <w:div w:id="81029612">
      <w:bodyDiv w:val="1"/>
      <w:marLeft w:val="0"/>
      <w:marRight w:val="0"/>
      <w:marTop w:val="0"/>
      <w:marBottom w:val="0"/>
      <w:divBdr>
        <w:top w:val="none" w:sz="0" w:space="0" w:color="auto"/>
        <w:left w:val="none" w:sz="0" w:space="0" w:color="auto"/>
        <w:bottom w:val="none" w:sz="0" w:space="0" w:color="auto"/>
        <w:right w:val="none" w:sz="0" w:space="0" w:color="auto"/>
      </w:divBdr>
    </w:div>
    <w:div w:id="81029621">
      <w:bodyDiv w:val="1"/>
      <w:marLeft w:val="0"/>
      <w:marRight w:val="0"/>
      <w:marTop w:val="0"/>
      <w:marBottom w:val="0"/>
      <w:divBdr>
        <w:top w:val="none" w:sz="0" w:space="0" w:color="auto"/>
        <w:left w:val="none" w:sz="0" w:space="0" w:color="auto"/>
        <w:bottom w:val="none" w:sz="0" w:space="0" w:color="auto"/>
        <w:right w:val="none" w:sz="0" w:space="0" w:color="auto"/>
      </w:divBdr>
    </w:div>
    <w:div w:id="81487787">
      <w:bodyDiv w:val="1"/>
      <w:marLeft w:val="0"/>
      <w:marRight w:val="0"/>
      <w:marTop w:val="0"/>
      <w:marBottom w:val="0"/>
      <w:divBdr>
        <w:top w:val="none" w:sz="0" w:space="0" w:color="auto"/>
        <w:left w:val="none" w:sz="0" w:space="0" w:color="auto"/>
        <w:bottom w:val="none" w:sz="0" w:space="0" w:color="auto"/>
        <w:right w:val="none" w:sz="0" w:space="0" w:color="auto"/>
      </w:divBdr>
    </w:div>
    <w:div w:id="81488911">
      <w:bodyDiv w:val="1"/>
      <w:marLeft w:val="0"/>
      <w:marRight w:val="0"/>
      <w:marTop w:val="0"/>
      <w:marBottom w:val="0"/>
      <w:divBdr>
        <w:top w:val="none" w:sz="0" w:space="0" w:color="auto"/>
        <w:left w:val="none" w:sz="0" w:space="0" w:color="auto"/>
        <w:bottom w:val="none" w:sz="0" w:space="0" w:color="auto"/>
        <w:right w:val="none" w:sz="0" w:space="0" w:color="auto"/>
      </w:divBdr>
    </w:div>
    <w:div w:id="81491866">
      <w:bodyDiv w:val="1"/>
      <w:marLeft w:val="0"/>
      <w:marRight w:val="0"/>
      <w:marTop w:val="0"/>
      <w:marBottom w:val="0"/>
      <w:divBdr>
        <w:top w:val="none" w:sz="0" w:space="0" w:color="auto"/>
        <w:left w:val="none" w:sz="0" w:space="0" w:color="auto"/>
        <w:bottom w:val="none" w:sz="0" w:space="0" w:color="auto"/>
        <w:right w:val="none" w:sz="0" w:space="0" w:color="auto"/>
      </w:divBdr>
    </w:div>
    <w:div w:id="81534790">
      <w:bodyDiv w:val="1"/>
      <w:marLeft w:val="0"/>
      <w:marRight w:val="0"/>
      <w:marTop w:val="0"/>
      <w:marBottom w:val="0"/>
      <w:divBdr>
        <w:top w:val="none" w:sz="0" w:space="0" w:color="auto"/>
        <w:left w:val="none" w:sz="0" w:space="0" w:color="auto"/>
        <w:bottom w:val="none" w:sz="0" w:space="0" w:color="auto"/>
        <w:right w:val="none" w:sz="0" w:space="0" w:color="auto"/>
      </w:divBdr>
    </w:div>
    <w:div w:id="81925353">
      <w:bodyDiv w:val="1"/>
      <w:marLeft w:val="0"/>
      <w:marRight w:val="0"/>
      <w:marTop w:val="0"/>
      <w:marBottom w:val="0"/>
      <w:divBdr>
        <w:top w:val="none" w:sz="0" w:space="0" w:color="auto"/>
        <w:left w:val="none" w:sz="0" w:space="0" w:color="auto"/>
        <w:bottom w:val="none" w:sz="0" w:space="0" w:color="auto"/>
        <w:right w:val="none" w:sz="0" w:space="0" w:color="auto"/>
      </w:divBdr>
    </w:div>
    <w:div w:id="82457179">
      <w:bodyDiv w:val="1"/>
      <w:marLeft w:val="0"/>
      <w:marRight w:val="0"/>
      <w:marTop w:val="0"/>
      <w:marBottom w:val="0"/>
      <w:divBdr>
        <w:top w:val="none" w:sz="0" w:space="0" w:color="auto"/>
        <w:left w:val="none" w:sz="0" w:space="0" w:color="auto"/>
        <w:bottom w:val="none" w:sz="0" w:space="0" w:color="auto"/>
        <w:right w:val="none" w:sz="0" w:space="0" w:color="auto"/>
      </w:divBdr>
    </w:div>
    <w:div w:id="82459858">
      <w:bodyDiv w:val="1"/>
      <w:marLeft w:val="0"/>
      <w:marRight w:val="0"/>
      <w:marTop w:val="0"/>
      <w:marBottom w:val="0"/>
      <w:divBdr>
        <w:top w:val="none" w:sz="0" w:space="0" w:color="auto"/>
        <w:left w:val="none" w:sz="0" w:space="0" w:color="auto"/>
        <w:bottom w:val="none" w:sz="0" w:space="0" w:color="auto"/>
        <w:right w:val="none" w:sz="0" w:space="0" w:color="auto"/>
      </w:divBdr>
    </w:div>
    <w:div w:id="82578906">
      <w:bodyDiv w:val="1"/>
      <w:marLeft w:val="0"/>
      <w:marRight w:val="0"/>
      <w:marTop w:val="0"/>
      <w:marBottom w:val="0"/>
      <w:divBdr>
        <w:top w:val="none" w:sz="0" w:space="0" w:color="auto"/>
        <w:left w:val="none" w:sz="0" w:space="0" w:color="auto"/>
        <w:bottom w:val="none" w:sz="0" w:space="0" w:color="auto"/>
        <w:right w:val="none" w:sz="0" w:space="0" w:color="auto"/>
      </w:divBdr>
    </w:div>
    <w:div w:id="82579456">
      <w:bodyDiv w:val="1"/>
      <w:marLeft w:val="0"/>
      <w:marRight w:val="0"/>
      <w:marTop w:val="0"/>
      <w:marBottom w:val="0"/>
      <w:divBdr>
        <w:top w:val="none" w:sz="0" w:space="0" w:color="auto"/>
        <w:left w:val="none" w:sz="0" w:space="0" w:color="auto"/>
        <w:bottom w:val="none" w:sz="0" w:space="0" w:color="auto"/>
        <w:right w:val="none" w:sz="0" w:space="0" w:color="auto"/>
      </w:divBdr>
    </w:div>
    <w:div w:id="82604651">
      <w:bodyDiv w:val="1"/>
      <w:marLeft w:val="0"/>
      <w:marRight w:val="0"/>
      <w:marTop w:val="0"/>
      <w:marBottom w:val="0"/>
      <w:divBdr>
        <w:top w:val="none" w:sz="0" w:space="0" w:color="auto"/>
        <w:left w:val="none" w:sz="0" w:space="0" w:color="auto"/>
        <w:bottom w:val="none" w:sz="0" w:space="0" w:color="auto"/>
        <w:right w:val="none" w:sz="0" w:space="0" w:color="auto"/>
      </w:divBdr>
    </w:div>
    <w:div w:id="82654206">
      <w:bodyDiv w:val="1"/>
      <w:marLeft w:val="0"/>
      <w:marRight w:val="0"/>
      <w:marTop w:val="0"/>
      <w:marBottom w:val="0"/>
      <w:divBdr>
        <w:top w:val="none" w:sz="0" w:space="0" w:color="auto"/>
        <w:left w:val="none" w:sz="0" w:space="0" w:color="auto"/>
        <w:bottom w:val="none" w:sz="0" w:space="0" w:color="auto"/>
        <w:right w:val="none" w:sz="0" w:space="0" w:color="auto"/>
      </w:divBdr>
    </w:div>
    <w:div w:id="82722961">
      <w:bodyDiv w:val="1"/>
      <w:marLeft w:val="0"/>
      <w:marRight w:val="0"/>
      <w:marTop w:val="0"/>
      <w:marBottom w:val="0"/>
      <w:divBdr>
        <w:top w:val="none" w:sz="0" w:space="0" w:color="auto"/>
        <w:left w:val="none" w:sz="0" w:space="0" w:color="auto"/>
        <w:bottom w:val="none" w:sz="0" w:space="0" w:color="auto"/>
        <w:right w:val="none" w:sz="0" w:space="0" w:color="auto"/>
      </w:divBdr>
    </w:div>
    <w:div w:id="82800303">
      <w:bodyDiv w:val="1"/>
      <w:marLeft w:val="0"/>
      <w:marRight w:val="0"/>
      <w:marTop w:val="0"/>
      <w:marBottom w:val="0"/>
      <w:divBdr>
        <w:top w:val="none" w:sz="0" w:space="0" w:color="auto"/>
        <w:left w:val="none" w:sz="0" w:space="0" w:color="auto"/>
        <w:bottom w:val="none" w:sz="0" w:space="0" w:color="auto"/>
        <w:right w:val="none" w:sz="0" w:space="0" w:color="auto"/>
      </w:divBdr>
    </w:div>
    <w:div w:id="82847978">
      <w:bodyDiv w:val="1"/>
      <w:marLeft w:val="0"/>
      <w:marRight w:val="0"/>
      <w:marTop w:val="0"/>
      <w:marBottom w:val="0"/>
      <w:divBdr>
        <w:top w:val="none" w:sz="0" w:space="0" w:color="auto"/>
        <w:left w:val="none" w:sz="0" w:space="0" w:color="auto"/>
        <w:bottom w:val="none" w:sz="0" w:space="0" w:color="auto"/>
        <w:right w:val="none" w:sz="0" w:space="0" w:color="auto"/>
      </w:divBdr>
    </w:div>
    <w:div w:id="83110169">
      <w:bodyDiv w:val="1"/>
      <w:marLeft w:val="0"/>
      <w:marRight w:val="0"/>
      <w:marTop w:val="0"/>
      <w:marBottom w:val="0"/>
      <w:divBdr>
        <w:top w:val="none" w:sz="0" w:space="0" w:color="auto"/>
        <w:left w:val="none" w:sz="0" w:space="0" w:color="auto"/>
        <w:bottom w:val="none" w:sz="0" w:space="0" w:color="auto"/>
        <w:right w:val="none" w:sz="0" w:space="0" w:color="auto"/>
      </w:divBdr>
    </w:div>
    <w:div w:id="83379579">
      <w:bodyDiv w:val="1"/>
      <w:marLeft w:val="0"/>
      <w:marRight w:val="0"/>
      <w:marTop w:val="0"/>
      <w:marBottom w:val="0"/>
      <w:divBdr>
        <w:top w:val="none" w:sz="0" w:space="0" w:color="auto"/>
        <w:left w:val="none" w:sz="0" w:space="0" w:color="auto"/>
        <w:bottom w:val="none" w:sz="0" w:space="0" w:color="auto"/>
        <w:right w:val="none" w:sz="0" w:space="0" w:color="auto"/>
      </w:divBdr>
    </w:div>
    <w:div w:id="83428617">
      <w:bodyDiv w:val="1"/>
      <w:marLeft w:val="0"/>
      <w:marRight w:val="0"/>
      <w:marTop w:val="0"/>
      <w:marBottom w:val="0"/>
      <w:divBdr>
        <w:top w:val="none" w:sz="0" w:space="0" w:color="auto"/>
        <w:left w:val="none" w:sz="0" w:space="0" w:color="auto"/>
        <w:bottom w:val="none" w:sz="0" w:space="0" w:color="auto"/>
        <w:right w:val="none" w:sz="0" w:space="0" w:color="auto"/>
      </w:divBdr>
    </w:div>
    <w:div w:id="83454345">
      <w:bodyDiv w:val="1"/>
      <w:marLeft w:val="0"/>
      <w:marRight w:val="0"/>
      <w:marTop w:val="0"/>
      <w:marBottom w:val="0"/>
      <w:divBdr>
        <w:top w:val="none" w:sz="0" w:space="0" w:color="auto"/>
        <w:left w:val="none" w:sz="0" w:space="0" w:color="auto"/>
        <w:bottom w:val="none" w:sz="0" w:space="0" w:color="auto"/>
        <w:right w:val="none" w:sz="0" w:space="0" w:color="auto"/>
      </w:divBdr>
    </w:div>
    <w:div w:id="83503404">
      <w:bodyDiv w:val="1"/>
      <w:marLeft w:val="0"/>
      <w:marRight w:val="0"/>
      <w:marTop w:val="0"/>
      <w:marBottom w:val="0"/>
      <w:divBdr>
        <w:top w:val="none" w:sz="0" w:space="0" w:color="auto"/>
        <w:left w:val="none" w:sz="0" w:space="0" w:color="auto"/>
        <w:bottom w:val="none" w:sz="0" w:space="0" w:color="auto"/>
        <w:right w:val="none" w:sz="0" w:space="0" w:color="auto"/>
      </w:divBdr>
    </w:div>
    <w:div w:id="83764519">
      <w:bodyDiv w:val="1"/>
      <w:marLeft w:val="0"/>
      <w:marRight w:val="0"/>
      <w:marTop w:val="0"/>
      <w:marBottom w:val="0"/>
      <w:divBdr>
        <w:top w:val="none" w:sz="0" w:space="0" w:color="auto"/>
        <w:left w:val="none" w:sz="0" w:space="0" w:color="auto"/>
        <w:bottom w:val="none" w:sz="0" w:space="0" w:color="auto"/>
        <w:right w:val="none" w:sz="0" w:space="0" w:color="auto"/>
      </w:divBdr>
    </w:div>
    <w:div w:id="83771551">
      <w:bodyDiv w:val="1"/>
      <w:marLeft w:val="0"/>
      <w:marRight w:val="0"/>
      <w:marTop w:val="0"/>
      <w:marBottom w:val="0"/>
      <w:divBdr>
        <w:top w:val="none" w:sz="0" w:space="0" w:color="auto"/>
        <w:left w:val="none" w:sz="0" w:space="0" w:color="auto"/>
        <w:bottom w:val="none" w:sz="0" w:space="0" w:color="auto"/>
        <w:right w:val="none" w:sz="0" w:space="0" w:color="auto"/>
      </w:divBdr>
    </w:div>
    <w:div w:id="84082825">
      <w:bodyDiv w:val="1"/>
      <w:marLeft w:val="0"/>
      <w:marRight w:val="0"/>
      <w:marTop w:val="0"/>
      <w:marBottom w:val="0"/>
      <w:divBdr>
        <w:top w:val="none" w:sz="0" w:space="0" w:color="auto"/>
        <w:left w:val="none" w:sz="0" w:space="0" w:color="auto"/>
        <w:bottom w:val="none" w:sz="0" w:space="0" w:color="auto"/>
        <w:right w:val="none" w:sz="0" w:space="0" w:color="auto"/>
      </w:divBdr>
    </w:div>
    <w:div w:id="84768982">
      <w:bodyDiv w:val="1"/>
      <w:marLeft w:val="0"/>
      <w:marRight w:val="0"/>
      <w:marTop w:val="0"/>
      <w:marBottom w:val="0"/>
      <w:divBdr>
        <w:top w:val="none" w:sz="0" w:space="0" w:color="auto"/>
        <w:left w:val="none" w:sz="0" w:space="0" w:color="auto"/>
        <w:bottom w:val="none" w:sz="0" w:space="0" w:color="auto"/>
        <w:right w:val="none" w:sz="0" w:space="0" w:color="auto"/>
      </w:divBdr>
    </w:div>
    <w:div w:id="85005467">
      <w:bodyDiv w:val="1"/>
      <w:marLeft w:val="0"/>
      <w:marRight w:val="0"/>
      <w:marTop w:val="0"/>
      <w:marBottom w:val="0"/>
      <w:divBdr>
        <w:top w:val="none" w:sz="0" w:space="0" w:color="auto"/>
        <w:left w:val="none" w:sz="0" w:space="0" w:color="auto"/>
        <w:bottom w:val="none" w:sz="0" w:space="0" w:color="auto"/>
        <w:right w:val="none" w:sz="0" w:space="0" w:color="auto"/>
      </w:divBdr>
    </w:div>
    <w:div w:id="85199607">
      <w:bodyDiv w:val="1"/>
      <w:marLeft w:val="0"/>
      <w:marRight w:val="0"/>
      <w:marTop w:val="0"/>
      <w:marBottom w:val="0"/>
      <w:divBdr>
        <w:top w:val="none" w:sz="0" w:space="0" w:color="auto"/>
        <w:left w:val="none" w:sz="0" w:space="0" w:color="auto"/>
        <w:bottom w:val="none" w:sz="0" w:space="0" w:color="auto"/>
        <w:right w:val="none" w:sz="0" w:space="0" w:color="auto"/>
      </w:divBdr>
    </w:div>
    <w:div w:id="85344582">
      <w:bodyDiv w:val="1"/>
      <w:marLeft w:val="0"/>
      <w:marRight w:val="0"/>
      <w:marTop w:val="0"/>
      <w:marBottom w:val="0"/>
      <w:divBdr>
        <w:top w:val="none" w:sz="0" w:space="0" w:color="auto"/>
        <w:left w:val="none" w:sz="0" w:space="0" w:color="auto"/>
        <w:bottom w:val="none" w:sz="0" w:space="0" w:color="auto"/>
        <w:right w:val="none" w:sz="0" w:space="0" w:color="auto"/>
      </w:divBdr>
    </w:div>
    <w:div w:id="85344713">
      <w:bodyDiv w:val="1"/>
      <w:marLeft w:val="0"/>
      <w:marRight w:val="0"/>
      <w:marTop w:val="0"/>
      <w:marBottom w:val="0"/>
      <w:divBdr>
        <w:top w:val="none" w:sz="0" w:space="0" w:color="auto"/>
        <w:left w:val="none" w:sz="0" w:space="0" w:color="auto"/>
        <w:bottom w:val="none" w:sz="0" w:space="0" w:color="auto"/>
        <w:right w:val="none" w:sz="0" w:space="0" w:color="auto"/>
      </w:divBdr>
    </w:div>
    <w:div w:id="85345905">
      <w:bodyDiv w:val="1"/>
      <w:marLeft w:val="0"/>
      <w:marRight w:val="0"/>
      <w:marTop w:val="0"/>
      <w:marBottom w:val="0"/>
      <w:divBdr>
        <w:top w:val="none" w:sz="0" w:space="0" w:color="auto"/>
        <w:left w:val="none" w:sz="0" w:space="0" w:color="auto"/>
        <w:bottom w:val="none" w:sz="0" w:space="0" w:color="auto"/>
        <w:right w:val="none" w:sz="0" w:space="0" w:color="auto"/>
      </w:divBdr>
    </w:div>
    <w:div w:id="85350341">
      <w:bodyDiv w:val="1"/>
      <w:marLeft w:val="0"/>
      <w:marRight w:val="0"/>
      <w:marTop w:val="0"/>
      <w:marBottom w:val="0"/>
      <w:divBdr>
        <w:top w:val="none" w:sz="0" w:space="0" w:color="auto"/>
        <w:left w:val="none" w:sz="0" w:space="0" w:color="auto"/>
        <w:bottom w:val="none" w:sz="0" w:space="0" w:color="auto"/>
        <w:right w:val="none" w:sz="0" w:space="0" w:color="auto"/>
      </w:divBdr>
    </w:div>
    <w:div w:id="85542714">
      <w:bodyDiv w:val="1"/>
      <w:marLeft w:val="0"/>
      <w:marRight w:val="0"/>
      <w:marTop w:val="0"/>
      <w:marBottom w:val="0"/>
      <w:divBdr>
        <w:top w:val="none" w:sz="0" w:space="0" w:color="auto"/>
        <w:left w:val="none" w:sz="0" w:space="0" w:color="auto"/>
        <w:bottom w:val="none" w:sz="0" w:space="0" w:color="auto"/>
        <w:right w:val="none" w:sz="0" w:space="0" w:color="auto"/>
      </w:divBdr>
    </w:div>
    <w:div w:id="85544225">
      <w:bodyDiv w:val="1"/>
      <w:marLeft w:val="0"/>
      <w:marRight w:val="0"/>
      <w:marTop w:val="0"/>
      <w:marBottom w:val="0"/>
      <w:divBdr>
        <w:top w:val="none" w:sz="0" w:space="0" w:color="auto"/>
        <w:left w:val="none" w:sz="0" w:space="0" w:color="auto"/>
        <w:bottom w:val="none" w:sz="0" w:space="0" w:color="auto"/>
        <w:right w:val="none" w:sz="0" w:space="0" w:color="auto"/>
      </w:divBdr>
    </w:div>
    <w:div w:id="85661153">
      <w:bodyDiv w:val="1"/>
      <w:marLeft w:val="0"/>
      <w:marRight w:val="0"/>
      <w:marTop w:val="0"/>
      <w:marBottom w:val="0"/>
      <w:divBdr>
        <w:top w:val="none" w:sz="0" w:space="0" w:color="auto"/>
        <w:left w:val="none" w:sz="0" w:space="0" w:color="auto"/>
        <w:bottom w:val="none" w:sz="0" w:space="0" w:color="auto"/>
        <w:right w:val="none" w:sz="0" w:space="0" w:color="auto"/>
      </w:divBdr>
    </w:div>
    <w:div w:id="85687266">
      <w:bodyDiv w:val="1"/>
      <w:marLeft w:val="0"/>
      <w:marRight w:val="0"/>
      <w:marTop w:val="0"/>
      <w:marBottom w:val="0"/>
      <w:divBdr>
        <w:top w:val="none" w:sz="0" w:space="0" w:color="auto"/>
        <w:left w:val="none" w:sz="0" w:space="0" w:color="auto"/>
        <w:bottom w:val="none" w:sz="0" w:space="0" w:color="auto"/>
        <w:right w:val="none" w:sz="0" w:space="0" w:color="auto"/>
      </w:divBdr>
    </w:div>
    <w:div w:id="85688317">
      <w:bodyDiv w:val="1"/>
      <w:marLeft w:val="0"/>
      <w:marRight w:val="0"/>
      <w:marTop w:val="0"/>
      <w:marBottom w:val="0"/>
      <w:divBdr>
        <w:top w:val="none" w:sz="0" w:space="0" w:color="auto"/>
        <w:left w:val="none" w:sz="0" w:space="0" w:color="auto"/>
        <w:bottom w:val="none" w:sz="0" w:space="0" w:color="auto"/>
        <w:right w:val="none" w:sz="0" w:space="0" w:color="auto"/>
      </w:divBdr>
    </w:div>
    <w:div w:id="85732059">
      <w:bodyDiv w:val="1"/>
      <w:marLeft w:val="0"/>
      <w:marRight w:val="0"/>
      <w:marTop w:val="0"/>
      <w:marBottom w:val="0"/>
      <w:divBdr>
        <w:top w:val="none" w:sz="0" w:space="0" w:color="auto"/>
        <w:left w:val="none" w:sz="0" w:space="0" w:color="auto"/>
        <w:bottom w:val="none" w:sz="0" w:space="0" w:color="auto"/>
        <w:right w:val="none" w:sz="0" w:space="0" w:color="auto"/>
      </w:divBdr>
    </w:div>
    <w:div w:id="85854551">
      <w:bodyDiv w:val="1"/>
      <w:marLeft w:val="0"/>
      <w:marRight w:val="0"/>
      <w:marTop w:val="0"/>
      <w:marBottom w:val="0"/>
      <w:divBdr>
        <w:top w:val="none" w:sz="0" w:space="0" w:color="auto"/>
        <w:left w:val="none" w:sz="0" w:space="0" w:color="auto"/>
        <w:bottom w:val="none" w:sz="0" w:space="0" w:color="auto"/>
        <w:right w:val="none" w:sz="0" w:space="0" w:color="auto"/>
      </w:divBdr>
    </w:div>
    <w:div w:id="86078890">
      <w:bodyDiv w:val="1"/>
      <w:marLeft w:val="0"/>
      <w:marRight w:val="0"/>
      <w:marTop w:val="0"/>
      <w:marBottom w:val="0"/>
      <w:divBdr>
        <w:top w:val="none" w:sz="0" w:space="0" w:color="auto"/>
        <w:left w:val="none" w:sz="0" w:space="0" w:color="auto"/>
        <w:bottom w:val="none" w:sz="0" w:space="0" w:color="auto"/>
        <w:right w:val="none" w:sz="0" w:space="0" w:color="auto"/>
      </w:divBdr>
    </w:div>
    <w:div w:id="86311650">
      <w:bodyDiv w:val="1"/>
      <w:marLeft w:val="0"/>
      <w:marRight w:val="0"/>
      <w:marTop w:val="0"/>
      <w:marBottom w:val="0"/>
      <w:divBdr>
        <w:top w:val="none" w:sz="0" w:space="0" w:color="auto"/>
        <w:left w:val="none" w:sz="0" w:space="0" w:color="auto"/>
        <w:bottom w:val="none" w:sz="0" w:space="0" w:color="auto"/>
        <w:right w:val="none" w:sz="0" w:space="0" w:color="auto"/>
      </w:divBdr>
    </w:div>
    <w:div w:id="86538508">
      <w:bodyDiv w:val="1"/>
      <w:marLeft w:val="0"/>
      <w:marRight w:val="0"/>
      <w:marTop w:val="0"/>
      <w:marBottom w:val="0"/>
      <w:divBdr>
        <w:top w:val="none" w:sz="0" w:space="0" w:color="auto"/>
        <w:left w:val="none" w:sz="0" w:space="0" w:color="auto"/>
        <w:bottom w:val="none" w:sz="0" w:space="0" w:color="auto"/>
        <w:right w:val="none" w:sz="0" w:space="0" w:color="auto"/>
      </w:divBdr>
    </w:div>
    <w:div w:id="86587269">
      <w:bodyDiv w:val="1"/>
      <w:marLeft w:val="0"/>
      <w:marRight w:val="0"/>
      <w:marTop w:val="0"/>
      <w:marBottom w:val="0"/>
      <w:divBdr>
        <w:top w:val="none" w:sz="0" w:space="0" w:color="auto"/>
        <w:left w:val="none" w:sz="0" w:space="0" w:color="auto"/>
        <w:bottom w:val="none" w:sz="0" w:space="0" w:color="auto"/>
        <w:right w:val="none" w:sz="0" w:space="0" w:color="auto"/>
      </w:divBdr>
    </w:div>
    <w:div w:id="86587497">
      <w:bodyDiv w:val="1"/>
      <w:marLeft w:val="0"/>
      <w:marRight w:val="0"/>
      <w:marTop w:val="0"/>
      <w:marBottom w:val="0"/>
      <w:divBdr>
        <w:top w:val="none" w:sz="0" w:space="0" w:color="auto"/>
        <w:left w:val="none" w:sz="0" w:space="0" w:color="auto"/>
        <w:bottom w:val="none" w:sz="0" w:space="0" w:color="auto"/>
        <w:right w:val="none" w:sz="0" w:space="0" w:color="auto"/>
      </w:divBdr>
    </w:div>
    <w:div w:id="86852375">
      <w:bodyDiv w:val="1"/>
      <w:marLeft w:val="0"/>
      <w:marRight w:val="0"/>
      <w:marTop w:val="0"/>
      <w:marBottom w:val="0"/>
      <w:divBdr>
        <w:top w:val="none" w:sz="0" w:space="0" w:color="auto"/>
        <w:left w:val="none" w:sz="0" w:space="0" w:color="auto"/>
        <w:bottom w:val="none" w:sz="0" w:space="0" w:color="auto"/>
        <w:right w:val="none" w:sz="0" w:space="0" w:color="auto"/>
      </w:divBdr>
    </w:div>
    <w:div w:id="86854565">
      <w:bodyDiv w:val="1"/>
      <w:marLeft w:val="0"/>
      <w:marRight w:val="0"/>
      <w:marTop w:val="0"/>
      <w:marBottom w:val="0"/>
      <w:divBdr>
        <w:top w:val="none" w:sz="0" w:space="0" w:color="auto"/>
        <w:left w:val="none" w:sz="0" w:space="0" w:color="auto"/>
        <w:bottom w:val="none" w:sz="0" w:space="0" w:color="auto"/>
        <w:right w:val="none" w:sz="0" w:space="0" w:color="auto"/>
      </w:divBdr>
    </w:div>
    <w:div w:id="86972596">
      <w:bodyDiv w:val="1"/>
      <w:marLeft w:val="0"/>
      <w:marRight w:val="0"/>
      <w:marTop w:val="0"/>
      <w:marBottom w:val="0"/>
      <w:divBdr>
        <w:top w:val="none" w:sz="0" w:space="0" w:color="auto"/>
        <w:left w:val="none" w:sz="0" w:space="0" w:color="auto"/>
        <w:bottom w:val="none" w:sz="0" w:space="0" w:color="auto"/>
        <w:right w:val="none" w:sz="0" w:space="0" w:color="auto"/>
      </w:divBdr>
    </w:div>
    <w:div w:id="87122106">
      <w:bodyDiv w:val="1"/>
      <w:marLeft w:val="0"/>
      <w:marRight w:val="0"/>
      <w:marTop w:val="0"/>
      <w:marBottom w:val="0"/>
      <w:divBdr>
        <w:top w:val="none" w:sz="0" w:space="0" w:color="auto"/>
        <w:left w:val="none" w:sz="0" w:space="0" w:color="auto"/>
        <w:bottom w:val="none" w:sz="0" w:space="0" w:color="auto"/>
        <w:right w:val="none" w:sz="0" w:space="0" w:color="auto"/>
      </w:divBdr>
    </w:div>
    <w:div w:id="87504866">
      <w:bodyDiv w:val="1"/>
      <w:marLeft w:val="0"/>
      <w:marRight w:val="0"/>
      <w:marTop w:val="0"/>
      <w:marBottom w:val="0"/>
      <w:divBdr>
        <w:top w:val="none" w:sz="0" w:space="0" w:color="auto"/>
        <w:left w:val="none" w:sz="0" w:space="0" w:color="auto"/>
        <w:bottom w:val="none" w:sz="0" w:space="0" w:color="auto"/>
        <w:right w:val="none" w:sz="0" w:space="0" w:color="auto"/>
      </w:divBdr>
    </w:div>
    <w:div w:id="87509256">
      <w:bodyDiv w:val="1"/>
      <w:marLeft w:val="0"/>
      <w:marRight w:val="0"/>
      <w:marTop w:val="0"/>
      <w:marBottom w:val="0"/>
      <w:divBdr>
        <w:top w:val="none" w:sz="0" w:space="0" w:color="auto"/>
        <w:left w:val="none" w:sz="0" w:space="0" w:color="auto"/>
        <w:bottom w:val="none" w:sz="0" w:space="0" w:color="auto"/>
        <w:right w:val="none" w:sz="0" w:space="0" w:color="auto"/>
      </w:divBdr>
    </w:div>
    <w:div w:id="87704095">
      <w:bodyDiv w:val="1"/>
      <w:marLeft w:val="0"/>
      <w:marRight w:val="0"/>
      <w:marTop w:val="0"/>
      <w:marBottom w:val="0"/>
      <w:divBdr>
        <w:top w:val="none" w:sz="0" w:space="0" w:color="auto"/>
        <w:left w:val="none" w:sz="0" w:space="0" w:color="auto"/>
        <w:bottom w:val="none" w:sz="0" w:space="0" w:color="auto"/>
        <w:right w:val="none" w:sz="0" w:space="0" w:color="auto"/>
      </w:divBdr>
    </w:div>
    <w:div w:id="87776053">
      <w:bodyDiv w:val="1"/>
      <w:marLeft w:val="0"/>
      <w:marRight w:val="0"/>
      <w:marTop w:val="0"/>
      <w:marBottom w:val="0"/>
      <w:divBdr>
        <w:top w:val="none" w:sz="0" w:space="0" w:color="auto"/>
        <w:left w:val="none" w:sz="0" w:space="0" w:color="auto"/>
        <w:bottom w:val="none" w:sz="0" w:space="0" w:color="auto"/>
        <w:right w:val="none" w:sz="0" w:space="0" w:color="auto"/>
      </w:divBdr>
    </w:div>
    <w:div w:id="88309000">
      <w:bodyDiv w:val="1"/>
      <w:marLeft w:val="0"/>
      <w:marRight w:val="0"/>
      <w:marTop w:val="0"/>
      <w:marBottom w:val="0"/>
      <w:divBdr>
        <w:top w:val="none" w:sz="0" w:space="0" w:color="auto"/>
        <w:left w:val="none" w:sz="0" w:space="0" w:color="auto"/>
        <w:bottom w:val="none" w:sz="0" w:space="0" w:color="auto"/>
        <w:right w:val="none" w:sz="0" w:space="0" w:color="auto"/>
      </w:divBdr>
    </w:div>
    <w:div w:id="88351475">
      <w:bodyDiv w:val="1"/>
      <w:marLeft w:val="0"/>
      <w:marRight w:val="0"/>
      <w:marTop w:val="0"/>
      <w:marBottom w:val="0"/>
      <w:divBdr>
        <w:top w:val="none" w:sz="0" w:space="0" w:color="auto"/>
        <w:left w:val="none" w:sz="0" w:space="0" w:color="auto"/>
        <w:bottom w:val="none" w:sz="0" w:space="0" w:color="auto"/>
        <w:right w:val="none" w:sz="0" w:space="0" w:color="auto"/>
      </w:divBdr>
    </w:div>
    <w:div w:id="88429931">
      <w:bodyDiv w:val="1"/>
      <w:marLeft w:val="0"/>
      <w:marRight w:val="0"/>
      <w:marTop w:val="0"/>
      <w:marBottom w:val="0"/>
      <w:divBdr>
        <w:top w:val="none" w:sz="0" w:space="0" w:color="auto"/>
        <w:left w:val="none" w:sz="0" w:space="0" w:color="auto"/>
        <w:bottom w:val="none" w:sz="0" w:space="0" w:color="auto"/>
        <w:right w:val="none" w:sz="0" w:space="0" w:color="auto"/>
      </w:divBdr>
    </w:div>
    <w:div w:id="88433119">
      <w:bodyDiv w:val="1"/>
      <w:marLeft w:val="0"/>
      <w:marRight w:val="0"/>
      <w:marTop w:val="0"/>
      <w:marBottom w:val="0"/>
      <w:divBdr>
        <w:top w:val="none" w:sz="0" w:space="0" w:color="auto"/>
        <w:left w:val="none" w:sz="0" w:space="0" w:color="auto"/>
        <w:bottom w:val="none" w:sz="0" w:space="0" w:color="auto"/>
        <w:right w:val="none" w:sz="0" w:space="0" w:color="auto"/>
      </w:divBdr>
    </w:div>
    <w:div w:id="88552106">
      <w:bodyDiv w:val="1"/>
      <w:marLeft w:val="0"/>
      <w:marRight w:val="0"/>
      <w:marTop w:val="0"/>
      <w:marBottom w:val="0"/>
      <w:divBdr>
        <w:top w:val="none" w:sz="0" w:space="0" w:color="auto"/>
        <w:left w:val="none" w:sz="0" w:space="0" w:color="auto"/>
        <w:bottom w:val="none" w:sz="0" w:space="0" w:color="auto"/>
        <w:right w:val="none" w:sz="0" w:space="0" w:color="auto"/>
      </w:divBdr>
    </w:div>
    <w:div w:id="88894782">
      <w:bodyDiv w:val="1"/>
      <w:marLeft w:val="0"/>
      <w:marRight w:val="0"/>
      <w:marTop w:val="0"/>
      <w:marBottom w:val="0"/>
      <w:divBdr>
        <w:top w:val="none" w:sz="0" w:space="0" w:color="auto"/>
        <w:left w:val="none" w:sz="0" w:space="0" w:color="auto"/>
        <w:bottom w:val="none" w:sz="0" w:space="0" w:color="auto"/>
        <w:right w:val="none" w:sz="0" w:space="0" w:color="auto"/>
      </w:divBdr>
    </w:div>
    <w:div w:id="89006732">
      <w:bodyDiv w:val="1"/>
      <w:marLeft w:val="0"/>
      <w:marRight w:val="0"/>
      <w:marTop w:val="0"/>
      <w:marBottom w:val="0"/>
      <w:divBdr>
        <w:top w:val="none" w:sz="0" w:space="0" w:color="auto"/>
        <w:left w:val="none" w:sz="0" w:space="0" w:color="auto"/>
        <w:bottom w:val="none" w:sz="0" w:space="0" w:color="auto"/>
        <w:right w:val="none" w:sz="0" w:space="0" w:color="auto"/>
      </w:divBdr>
    </w:div>
    <w:div w:id="89203647">
      <w:bodyDiv w:val="1"/>
      <w:marLeft w:val="0"/>
      <w:marRight w:val="0"/>
      <w:marTop w:val="0"/>
      <w:marBottom w:val="0"/>
      <w:divBdr>
        <w:top w:val="none" w:sz="0" w:space="0" w:color="auto"/>
        <w:left w:val="none" w:sz="0" w:space="0" w:color="auto"/>
        <w:bottom w:val="none" w:sz="0" w:space="0" w:color="auto"/>
        <w:right w:val="none" w:sz="0" w:space="0" w:color="auto"/>
      </w:divBdr>
    </w:div>
    <w:div w:id="89204296">
      <w:bodyDiv w:val="1"/>
      <w:marLeft w:val="0"/>
      <w:marRight w:val="0"/>
      <w:marTop w:val="0"/>
      <w:marBottom w:val="0"/>
      <w:divBdr>
        <w:top w:val="none" w:sz="0" w:space="0" w:color="auto"/>
        <w:left w:val="none" w:sz="0" w:space="0" w:color="auto"/>
        <w:bottom w:val="none" w:sz="0" w:space="0" w:color="auto"/>
        <w:right w:val="none" w:sz="0" w:space="0" w:color="auto"/>
      </w:divBdr>
    </w:div>
    <w:div w:id="89399901">
      <w:bodyDiv w:val="1"/>
      <w:marLeft w:val="0"/>
      <w:marRight w:val="0"/>
      <w:marTop w:val="0"/>
      <w:marBottom w:val="0"/>
      <w:divBdr>
        <w:top w:val="none" w:sz="0" w:space="0" w:color="auto"/>
        <w:left w:val="none" w:sz="0" w:space="0" w:color="auto"/>
        <w:bottom w:val="none" w:sz="0" w:space="0" w:color="auto"/>
        <w:right w:val="none" w:sz="0" w:space="0" w:color="auto"/>
      </w:divBdr>
    </w:div>
    <w:div w:id="89543149">
      <w:bodyDiv w:val="1"/>
      <w:marLeft w:val="0"/>
      <w:marRight w:val="0"/>
      <w:marTop w:val="0"/>
      <w:marBottom w:val="0"/>
      <w:divBdr>
        <w:top w:val="none" w:sz="0" w:space="0" w:color="auto"/>
        <w:left w:val="none" w:sz="0" w:space="0" w:color="auto"/>
        <w:bottom w:val="none" w:sz="0" w:space="0" w:color="auto"/>
        <w:right w:val="none" w:sz="0" w:space="0" w:color="auto"/>
      </w:divBdr>
    </w:div>
    <w:div w:id="89669914">
      <w:bodyDiv w:val="1"/>
      <w:marLeft w:val="0"/>
      <w:marRight w:val="0"/>
      <w:marTop w:val="0"/>
      <w:marBottom w:val="0"/>
      <w:divBdr>
        <w:top w:val="none" w:sz="0" w:space="0" w:color="auto"/>
        <w:left w:val="none" w:sz="0" w:space="0" w:color="auto"/>
        <w:bottom w:val="none" w:sz="0" w:space="0" w:color="auto"/>
        <w:right w:val="none" w:sz="0" w:space="0" w:color="auto"/>
      </w:divBdr>
    </w:div>
    <w:div w:id="90322657">
      <w:bodyDiv w:val="1"/>
      <w:marLeft w:val="0"/>
      <w:marRight w:val="0"/>
      <w:marTop w:val="0"/>
      <w:marBottom w:val="0"/>
      <w:divBdr>
        <w:top w:val="none" w:sz="0" w:space="0" w:color="auto"/>
        <w:left w:val="none" w:sz="0" w:space="0" w:color="auto"/>
        <w:bottom w:val="none" w:sz="0" w:space="0" w:color="auto"/>
        <w:right w:val="none" w:sz="0" w:space="0" w:color="auto"/>
      </w:divBdr>
    </w:div>
    <w:div w:id="90399383">
      <w:bodyDiv w:val="1"/>
      <w:marLeft w:val="0"/>
      <w:marRight w:val="0"/>
      <w:marTop w:val="0"/>
      <w:marBottom w:val="0"/>
      <w:divBdr>
        <w:top w:val="none" w:sz="0" w:space="0" w:color="auto"/>
        <w:left w:val="none" w:sz="0" w:space="0" w:color="auto"/>
        <w:bottom w:val="none" w:sz="0" w:space="0" w:color="auto"/>
        <w:right w:val="none" w:sz="0" w:space="0" w:color="auto"/>
      </w:divBdr>
    </w:div>
    <w:div w:id="90400834">
      <w:bodyDiv w:val="1"/>
      <w:marLeft w:val="0"/>
      <w:marRight w:val="0"/>
      <w:marTop w:val="0"/>
      <w:marBottom w:val="0"/>
      <w:divBdr>
        <w:top w:val="none" w:sz="0" w:space="0" w:color="auto"/>
        <w:left w:val="none" w:sz="0" w:space="0" w:color="auto"/>
        <w:bottom w:val="none" w:sz="0" w:space="0" w:color="auto"/>
        <w:right w:val="none" w:sz="0" w:space="0" w:color="auto"/>
      </w:divBdr>
    </w:div>
    <w:div w:id="90471587">
      <w:bodyDiv w:val="1"/>
      <w:marLeft w:val="0"/>
      <w:marRight w:val="0"/>
      <w:marTop w:val="0"/>
      <w:marBottom w:val="0"/>
      <w:divBdr>
        <w:top w:val="none" w:sz="0" w:space="0" w:color="auto"/>
        <w:left w:val="none" w:sz="0" w:space="0" w:color="auto"/>
        <w:bottom w:val="none" w:sz="0" w:space="0" w:color="auto"/>
        <w:right w:val="none" w:sz="0" w:space="0" w:color="auto"/>
      </w:divBdr>
    </w:div>
    <w:div w:id="90585705">
      <w:bodyDiv w:val="1"/>
      <w:marLeft w:val="0"/>
      <w:marRight w:val="0"/>
      <w:marTop w:val="0"/>
      <w:marBottom w:val="0"/>
      <w:divBdr>
        <w:top w:val="none" w:sz="0" w:space="0" w:color="auto"/>
        <w:left w:val="none" w:sz="0" w:space="0" w:color="auto"/>
        <w:bottom w:val="none" w:sz="0" w:space="0" w:color="auto"/>
        <w:right w:val="none" w:sz="0" w:space="0" w:color="auto"/>
      </w:divBdr>
    </w:div>
    <w:div w:id="90705139">
      <w:bodyDiv w:val="1"/>
      <w:marLeft w:val="0"/>
      <w:marRight w:val="0"/>
      <w:marTop w:val="0"/>
      <w:marBottom w:val="0"/>
      <w:divBdr>
        <w:top w:val="none" w:sz="0" w:space="0" w:color="auto"/>
        <w:left w:val="none" w:sz="0" w:space="0" w:color="auto"/>
        <w:bottom w:val="none" w:sz="0" w:space="0" w:color="auto"/>
        <w:right w:val="none" w:sz="0" w:space="0" w:color="auto"/>
      </w:divBdr>
    </w:div>
    <w:div w:id="91438967">
      <w:bodyDiv w:val="1"/>
      <w:marLeft w:val="0"/>
      <w:marRight w:val="0"/>
      <w:marTop w:val="0"/>
      <w:marBottom w:val="0"/>
      <w:divBdr>
        <w:top w:val="none" w:sz="0" w:space="0" w:color="auto"/>
        <w:left w:val="none" w:sz="0" w:space="0" w:color="auto"/>
        <w:bottom w:val="none" w:sz="0" w:space="0" w:color="auto"/>
        <w:right w:val="none" w:sz="0" w:space="0" w:color="auto"/>
      </w:divBdr>
    </w:div>
    <w:div w:id="91705908">
      <w:bodyDiv w:val="1"/>
      <w:marLeft w:val="0"/>
      <w:marRight w:val="0"/>
      <w:marTop w:val="0"/>
      <w:marBottom w:val="0"/>
      <w:divBdr>
        <w:top w:val="none" w:sz="0" w:space="0" w:color="auto"/>
        <w:left w:val="none" w:sz="0" w:space="0" w:color="auto"/>
        <w:bottom w:val="none" w:sz="0" w:space="0" w:color="auto"/>
        <w:right w:val="none" w:sz="0" w:space="0" w:color="auto"/>
      </w:divBdr>
    </w:div>
    <w:div w:id="91706135">
      <w:bodyDiv w:val="1"/>
      <w:marLeft w:val="0"/>
      <w:marRight w:val="0"/>
      <w:marTop w:val="0"/>
      <w:marBottom w:val="0"/>
      <w:divBdr>
        <w:top w:val="none" w:sz="0" w:space="0" w:color="auto"/>
        <w:left w:val="none" w:sz="0" w:space="0" w:color="auto"/>
        <w:bottom w:val="none" w:sz="0" w:space="0" w:color="auto"/>
        <w:right w:val="none" w:sz="0" w:space="0" w:color="auto"/>
      </w:divBdr>
    </w:div>
    <w:div w:id="91778190">
      <w:bodyDiv w:val="1"/>
      <w:marLeft w:val="0"/>
      <w:marRight w:val="0"/>
      <w:marTop w:val="0"/>
      <w:marBottom w:val="0"/>
      <w:divBdr>
        <w:top w:val="none" w:sz="0" w:space="0" w:color="auto"/>
        <w:left w:val="none" w:sz="0" w:space="0" w:color="auto"/>
        <w:bottom w:val="none" w:sz="0" w:space="0" w:color="auto"/>
        <w:right w:val="none" w:sz="0" w:space="0" w:color="auto"/>
      </w:divBdr>
    </w:div>
    <w:div w:id="91828799">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2164914">
      <w:bodyDiv w:val="1"/>
      <w:marLeft w:val="0"/>
      <w:marRight w:val="0"/>
      <w:marTop w:val="0"/>
      <w:marBottom w:val="0"/>
      <w:divBdr>
        <w:top w:val="none" w:sz="0" w:space="0" w:color="auto"/>
        <w:left w:val="none" w:sz="0" w:space="0" w:color="auto"/>
        <w:bottom w:val="none" w:sz="0" w:space="0" w:color="auto"/>
        <w:right w:val="none" w:sz="0" w:space="0" w:color="auto"/>
      </w:divBdr>
    </w:div>
    <w:div w:id="92210869">
      <w:bodyDiv w:val="1"/>
      <w:marLeft w:val="0"/>
      <w:marRight w:val="0"/>
      <w:marTop w:val="0"/>
      <w:marBottom w:val="0"/>
      <w:divBdr>
        <w:top w:val="none" w:sz="0" w:space="0" w:color="auto"/>
        <w:left w:val="none" w:sz="0" w:space="0" w:color="auto"/>
        <w:bottom w:val="none" w:sz="0" w:space="0" w:color="auto"/>
        <w:right w:val="none" w:sz="0" w:space="0" w:color="auto"/>
      </w:divBdr>
    </w:div>
    <w:div w:id="92210943">
      <w:bodyDiv w:val="1"/>
      <w:marLeft w:val="0"/>
      <w:marRight w:val="0"/>
      <w:marTop w:val="0"/>
      <w:marBottom w:val="0"/>
      <w:divBdr>
        <w:top w:val="none" w:sz="0" w:space="0" w:color="auto"/>
        <w:left w:val="none" w:sz="0" w:space="0" w:color="auto"/>
        <w:bottom w:val="none" w:sz="0" w:space="0" w:color="auto"/>
        <w:right w:val="none" w:sz="0" w:space="0" w:color="auto"/>
      </w:divBdr>
    </w:div>
    <w:div w:id="92214903">
      <w:bodyDiv w:val="1"/>
      <w:marLeft w:val="0"/>
      <w:marRight w:val="0"/>
      <w:marTop w:val="0"/>
      <w:marBottom w:val="0"/>
      <w:divBdr>
        <w:top w:val="none" w:sz="0" w:space="0" w:color="auto"/>
        <w:left w:val="none" w:sz="0" w:space="0" w:color="auto"/>
        <w:bottom w:val="none" w:sz="0" w:space="0" w:color="auto"/>
        <w:right w:val="none" w:sz="0" w:space="0" w:color="auto"/>
      </w:divBdr>
    </w:div>
    <w:div w:id="92284334">
      <w:bodyDiv w:val="1"/>
      <w:marLeft w:val="0"/>
      <w:marRight w:val="0"/>
      <w:marTop w:val="0"/>
      <w:marBottom w:val="0"/>
      <w:divBdr>
        <w:top w:val="none" w:sz="0" w:space="0" w:color="auto"/>
        <w:left w:val="none" w:sz="0" w:space="0" w:color="auto"/>
        <w:bottom w:val="none" w:sz="0" w:space="0" w:color="auto"/>
        <w:right w:val="none" w:sz="0" w:space="0" w:color="auto"/>
      </w:divBdr>
    </w:div>
    <w:div w:id="92476670">
      <w:bodyDiv w:val="1"/>
      <w:marLeft w:val="0"/>
      <w:marRight w:val="0"/>
      <w:marTop w:val="0"/>
      <w:marBottom w:val="0"/>
      <w:divBdr>
        <w:top w:val="none" w:sz="0" w:space="0" w:color="auto"/>
        <w:left w:val="none" w:sz="0" w:space="0" w:color="auto"/>
        <w:bottom w:val="none" w:sz="0" w:space="0" w:color="auto"/>
        <w:right w:val="none" w:sz="0" w:space="0" w:color="auto"/>
      </w:divBdr>
    </w:div>
    <w:div w:id="92630916">
      <w:bodyDiv w:val="1"/>
      <w:marLeft w:val="0"/>
      <w:marRight w:val="0"/>
      <w:marTop w:val="0"/>
      <w:marBottom w:val="0"/>
      <w:divBdr>
        <w:top w:val="none" w:sz="0" w:space="0" w:color="auto"/>
        <w:left w:val="none" w:sz="0" w:space="0" w:color="auto"/>
        <w:bottom w:val="none" w:sz="0" w:space="0" w:color="auto"/>
        <w:right w:val="none" w:sz="0" w:space="0" w:color="auto"/>
      </w:divBdr>
    </w:div>
    <w:div w:id="92671802">
      <w:bodyDiv w:val="1"/>
      <w:marLeft w:val="0"/>
      <w:marRight w:val="0"/>
      <w:marTop w:val="0"/>
      <w:marBottom w:val="0"/>
      <w:divBdr>
        <w:top w:val="none" w:sz="0" w:space="0" w:color="auto"/>
        <w:left w:val="none" w:sz="0" w:space="0" w:color="auto"/>
        <w:bottom w:val="none" w:sz="0" w:space="0" w:color="auto"/>
        <w:right w:val="none" w:sz="0" w:space="0" w:color="auto"/>
      </w:divBdr>
    </w:div>
    <w:div w:id="92673642">
      <w:bodyDiv w:val="1"/>
      <w:marLeft w:val="0"/>
      <w:marRight w:val="0"/>
      <w:marTop w:val="0"/>
      <w:marBottom w:val="0"/>
      <w:divBdr>
        <w:top w:val="none" w:sz="0" w:space="0" w:color="auto"/>
        <w:left w:val="none" w:sz="0" w:space="0" w:color="auto"/>
        <w:bottom w:val="none" w:sz="0" w:space="0" w:color="auto"/>
        <w:right w:val="none" w:sz="0" w:space="0" w:color="auto"/>
      </w:divBdr>
    </w:div>
    <w:div w:id="92677813">
      <w:bodyDiv w:val="1"/>
      <w:marLeft w:val="0"/>
      <w:marRight w:val="0"/>
      <w:marTop w:val="0"/>
      <w:marBottom w:val="0"/>
      <w:divBdr>
        <w:top w:val="none" w:sz="0" w:space="0" w:color="auto"/>
        <w:left w:val="none" w:sz="0" w:space="0" w:color="auto"/>
        <w:bottom w:val="none" w:sz="0" w:space="0" w:color="auto"/>
        <w:right w:val="none" w:sz="0" w:space="0" w:color="auto"/>
      </w:divBdr>
    </w:div>
    <w:div w:id="92823749">
      <w:bodyDiv w:val="1"/>
      <w:marLeft w:val="0"/>
      <w:marRight w:val="0"/>
      <w:marTop w:val="0"/>
      <w:marBottom w:val="0"/>
      <w:divBdr>
        <w:top w:val="none" w:sz="0" w:space="0" w:color="auto"/>
        <w:left w:val="none" w:sz="0" w:space="0" w:color="auto"/>
        <w:bottom w:val="none" w:sz="0" w:space="0" w:color="auto"/>
        <w:right w:val="none" w:sz="0" w:space="0" w:color="auto"/>
      </w:divBdr>
    </w:div>
    <w:div w:id="92828956">
      <w:bodyDiv w:val="1"/>
      <w:marLeft w:val="0"/>
      <w:marRight w:val="0"/>
      <w:marTop w:val="0"/>
      <w:marBottom w:val="0"/>
      <w:divBdr>
        <w:top w:val="none" w:sz="0" w:space="0" w:color="auto"/>
        <w:left w:val="none" w:sz="0" w:space="0" w:color="auto"/>
        <w:bottom w:val="none" w:sz="0" w:space="0" w:color="auto"/>
        <w:right w:val="none" w:sz="0" w:space="0" w:color="auto"/>
      </w:divBdr>
    </w:div>
    <w:div w:id="93062858">
      <w:bodyDiv w:val="1"/>
      <w:marLeft w:val="0"/>
      <w:marRight w:val="0"/>
      <w:marTop w:val="0"/>
      <w:marBottom w:val="0"/>
      <w:divBdr>
        <w:top w:val="none" w:sz="0" w:space="0" w:color="auto"/>
        <w:left w:val="none" w:sz="0" w:space="0" w:color="auto"/>
        <w:bottom w:val="none" w:sz="0" w:space="0" w:color="auto"/>
        <w:right w:val="none" w:sz="0" w:space="0" w:color="auto"/>
      </w:divBdr>
    </w:div>
    <w:div w:id="93130497">
      <w:bodyDiv w:val="1"/>
      <w:marLeft w:val="0"/>
      <w:marRight w:val="0"/>
      <w:marTop w:val="0"/>
      <w:marBottom w:val="0"/>
      <w:divBdr>
        <w:top w:val="none" w:sz="0" w:space="0" w:color="auto"/>
        <w:left w:val="none" w:sz="0" w:space="0" w:color="auto"/>
        <w:bottom w:val="none" w:sz="0" w:space="0" w:color="auto"/>
        <w:right w:val="none" w:sz="0" w:space="0" w:color="auto"/>
      </w:divBdr>
    </w:div>
    <w:div w:id="93131684">
      <w:bodyDiv w:val="1"/>
      <w:marLeft w:val="0"/>
      <w:marRight w:val="0"/>
      <w:marTop w:val="0"/>
      <w:marBottom w:val="0"/>
      <w:divBdr>
        <w:top w:val="none" w:sz="0" w:space="0" w:color="auto"/>
        <w:left w:val="none" w:sz="0" w:space="0" w:color="auto"/>
        <w:bottom w:val="none" w:sz="0" w:space="0" w:color="auto"/>
        <w:right w:val="none" w:sz="0" w:space="0" w:color="auto"/>
      </w:divBdr>
    </w:div>
    <w:div w:id="93132201">
      <w:bodyDiv w:val="1"/>
      <w:marLeft w:val="0"/>
      <w:marRight w:val="0"/>
      <w:marTop w:val="0"/>
      <w:marBottom w:val="0"/>
      <w:divBdr>
        <w:top w:val="none" w:sz="0" w:space="0" w:color="auto"/>
        <w:left w:val="none" w:sz="0" w:space="0" w:color="auto"/>
        <w:bottom w:val="none" w:sz="0" w:space="0" w:color="auto"/>
        <w:right w:val="none" w:sz="0" w:space="0" w:color="auto"/>
      </w:divBdr>
    </w:div>
    <w:div w:id="93214185">
      <w:bodyDiv w:val="1"/>
      <w:marLeft w:val="0"/>
      <w:marRight w:val="0"/>
      <w:marTop w:val="0"/>
      <w:marBottom w:val="0"/>
      <w:divBdr>
        <w:top w:val="none" w:sz="0" w:space="0" w:color="auto"/>
        <w:left w:val="none" w:sz="0" w:space="0" w:color="auto"/>
        <w:bottom w:val="none" w:sz="0" w:space="0" w:color="auto"/>
        <w:right w:val="none" w:sz="0" w:space="0" w:color="auto"/>
      </w:divBdr>
    </w:div>
    <w:div w:id="93284039">
      <w:bodyDiv w:val="1"/>
      <w:marLeft w:val="0"/>
      <w:marRight w:val="0"/>
      <w:marTop w:val="0"/>
      <w:marBottom w:val="0"/>
      <w:divBdr>
        <w:top w:val="none" w:sz="0" w:space="0" w:color="auto"/>
        <w:left w:val="none" w:sz="0" w:space="0" w:color="auto"/>
        <w:bottom w:val="none" w:sz="0" w:space="0" w:color="auto"/>
        <w:right w:val="none" w:sz="0" w:space="0" w:color="auto"/>
      </w:divBdr>
    </w:div>
    <w:div w:id="93790768">
      <w:bodyDiv w:val="1"/>
      <w:marLeft w:val="0"/>
      <w:marRight w:val="0"/>
      <w:marTop w:val="0"/>
      <w:marBottom w:val="0"/>
      <w:divBdr>
        <w:top w:val="none" w:sz="0" w:space="0" w:color="auto"/>
        <w:left w:val="none" w:sz="0" w:space="0" w:color="auto"/>
        <w:bottom w:val="none" w:sz="0" w:space="0" w:color="auto"/>
        <w:right w:val="none" w:sz="0" w:space="0" w:color="auto"/>
      </w:divBdr>
    </w:div>
    <w:div w:id="94207057">
      <w:bodyDiv w:val="1"/>
      <w:marLeft w:val="0"/>
      <w:marRight w:val="0"/>
      <w:marTop w:val="0"/>
      <w:marBottom w:val="0"/>
      <w:divBdr>
        <w:top w:val="none" w:sz="0" w:space="0" w:color="auto"/>
        <w:left w:val="none" w:sz="0" w:space="0" w:color="auto"/>
        <w:bottom w:val="none" w:sz="0" w:space="0" w:color="auto"/>
        <w:right w:val="none" w:sz="0" w:space="0" w:color="auto"/>
      </w:divBdr>
    </w:div>
    <w:div w:id="94401448">
      <w:bodyDiv w:val="1"/>
      <w:marLeft w:val="0"/>
      <w:marRight w:val="0"/>
      <w:marTop w:val="0"/>
      <w:marBottom w:val="0"/>
      <w:divBdr>
        <w:top w:val="none" w:sz="0" w:space="0" w:color="auto"/>
        <w:left w:val="none" w:sz="0" w:space="0" w:color="auto"/>
        <w:bottom w:val="none" w:sz="0" w:space="0" w:color="auto"/>
        <w:right w:val="none" w:sz="0" w:space="0" w:color="auto"/>
      </w:divBdr>
    </w:div>
    <w:div w:id="94403105">
      <w:bodyDiv w:val="1"/>
      <w:marLeft w:val="0"/>
      <w:marRight w:val="0"/>
      <w:marTop w:val="0"/>
      <w:marBottom w:val="0"/>
      <w:divBdr>
        <w:top w:val="none" w:sz="0" w:space="0" w:color="auto"/>
        <w:left w:val="none" w:sz="0" w:space="0" w:color="auto"/>
        <w:bottom w:val="none" w:sz="0" w:space="0" w:color="auto"/>
        <w:right w:val="none" w:sz="0" w:space="0" w:color="auto"/>
      </w:divBdr>
    </w:div>
    <w:div w:id="94595602">
      <w:bodyDiv w:val="1"/>
      <w:marLeft w:val="0"/>
      <w:marRight w:val="0"/>
      <w:marTop w:val="0"/>
      <w:marBottom w:val="0"/>
      <w:divBdr>
        <w:top w:val="none" w:sz="0" w:space="0" w:color="auto"/>
        <w:left w:val="none" w:sz="0" w:space="0" w:color="auto"/>
        <w:bottom w:val="none" w:sz="0" w:space="0" w:color="auto"/>
        <w:right w:val="none" w:sz="0" w:space="0" w:color="auto"/>
      </w:divBdr>
    </w:div>
    <w:div w:id="94789285">
      <w:bodyDiv w:val="1"/>
      <w:marLeft w:val="0"/>
      <w:marRight w:val="0"/>
      <w:marTop w:val="0"/>
      <w:marBottom w:val="0"/>
      <w:divBdr>
        <w:top w:val="none" w:sz="0" w:space="0" w:color="auto"/>
        <w:left w:val="none" w:sz="0" w:space="0" w:color="auto"/>
        <w:bottom w:val="none" w:sz="0" w:space="0" w:color="auto"/>
        <w:right w:val="none" w:sz="0" w:space="0" w:color="auto"/>
      </w:divBdr>
    </w:div>
    <w:div w:id="94791185">
      <w:bodyDiv w:val="1"/>
      <w:marLeft w:val="0"/>
      <w:marRight w:val="0"/>
      <w:marTop w:val="0"/>
      <w:marBottom w:val="0"/>
      <w:divBdr>
        <w:top w:val="none" w:sz="0" w:space="0" w:color="auto"/>
        <w:left w:val="none" w:sz="0" w:space="0" w:color="auto"/>
        <w:bottom w:val="none" w:sz="0" w:space="0" w:color="auto"/>
        <w:right w:val="none" w:sz="0" w:space="0" w:color="auto"/>
      </w:divBdr>
    </w:div>
    <w:div w:id="94794513">
      <w:bodyDiv w:val="1"/>
      <w:marLeft w:val="0"/>
      <w:marRight w:val="0"/>
      <w:marTop w:val="0"/>
      <w:marBottom w:val="0"/>
      <w:divBdr>
        <w:top w:val="none" w:sz="0" w:space="0" w:color="auto"/>
        <w:left w:val="none" w:sz="0" w:space="0" w:color="auto"/>
        <w:bottom w:val="none" w:sz="0" w:space="0" w:color="auto"/>
        <w:right w:val="none" w:sz="0" w:space="0" w:color="auto"/>
      </w:divBdr>
    </w:div>
    <w:div w:id="94911535">
      <w:bodyDiv w:val="1"/>
      <w:marLeft w:val="0"/>
      <w:marRight w:val="0"/>
      <w:marTop w:val="0"/>
      <w:marBottom w:val="0"/>
      <w:divBdr>
        <w:top w:val="none" w:sz="0" w:space="0" w:color="auto"/>
        <w:left w:val="none" w:sz="0" w:space="0" w:color="auto"/>
        <w:bottom w:val="none" w:sz="0" w:space="0" w:color="auto"/>
        <w:right w:val="none" w:sz="0" w:space="0" w:color="auto"/>
      </w:divBdr>
    </w:div>
    <w:div w:id="95055671">
      <w:bodyDiv w:val="1"/>
      <w:marLeft w:val="0"/>
      <w:marRight w:val="0"/>
      <w:marTop w:val="0"/>
      <w:marBottom w:val="0"/>
      <w:divBdr>
        <w:top w:val="none" w:sz="0" w:space="0" w:color="auto"/>
        <w:left w:val="none" w:sz="0" w:space="0" w:color="auto"/>
        <w:bottom w:val="none" w:sz="0" w:space="0" w:color="auto"/>
        <w:right w:val="none" w:sz="0" w:space="0" w:color="auto"/>
      </w:divBdr>
    </w:div>
    <w:div w:id="95172290">
      <w:bodyDiv w:val="1"/>
      <w:marLeft w:val="0"/>
      <w:marRight w:val="0"/>
      <w:marTop w:val="0"/>
      <w:marBottom w:val="0"/>
      <w:divBdr>
        <w:top w:val="none" w:sz="0" w:space="0" w:color="auto"/>
        <w:left w:val="none" w:sz="0" w:space="0" w:color="auto"/>
        <w:bottom w:val="none" w:sz="0" w:space="0" w:color="auto"/>
        <w:right w:val="none" w:sz="0" w:space="0" w:color="auto"/>
      </w:divBdr>
    </w:div>
    <w:div w:id="95180411">
      <w:bodyDiv w:val="1"/>
      <w:marLeft w:val="0"/>
      <w:marRight w:val="0"/>
      <w:marTop w:val="0"/>
      <w:marBottom w:val="0"/>
      <w:divBdr>
        <w:top w:val="none" w:sz="0" w:space="0" w:color="auto"/>
        <w:left w:val="none" w:sz="0" w:space="0" w:color="auto"/>
        <w:bottom w:val="none" w:sz="0" w:space="0" w:color="auto"/>
        <w:right w:val="none" w:sz="0" w:space="0" w:color="auto"/>
      </w:divBdr>
    </w:div>
    <w:div w:id="95290900">
      <w:bodyDiv w:val="1"/>
      <w:marLeft w:val="0"/>
      <w:marRight w:val="0"/>
      <w:marTop w:val="0"/>
      <w:marBottom w:val="0"/>
      <w:divBdr>
        <w:top w:val="none" w:sz="0" w:space="0" w:color="auto"/>
        <w:left w:val="none" w:sz="0" w:space="0" w:color="auto"/>
        <w:bottom w:val="none" w:sz="0" w:space="0" w:color="auto"/>
        <w:right w:val="none" w:sz="0" w:space="0" w:color="auto"/>
      </w:divBdr>
    </w:div>
    <w:div w:id="95492372">
      <w:bodyDiv w:val="1"/>
      <w:marLeft w:val="0"/>
      <w:marRight w:val="0"/>
      <w:marTop w:val="0"/>
      <w:marBottom w:val="0"/>
      <w:divBdr>
        <w:top w:val="none" w:sz="0" w:space="0" w:color="auto"/>
        <w:left w:val="none" w:sz="0" w:space="0" w:color="auto"/>
        <w:bottom w:val="none" w:sz="0" w:space="0" w:color="auto"/>
        <w:right w:val="none" w:sz="0" w:space="0" w:color="auto"/>
      </w:divBdr>
    </w:div>
    <w:div w:id="95636868">
      <w:bodyDiv w:val="1"/>
      <w:marLeft w:val="0"/>
      <w:marRight w:val="0"/>
      <w:marTop w:val="0"/>
      <w:marBottom w:val="0"/>
      <w:divBdr>
        <w:top w:val="none" w:sz="0" w:space="0" w:color="auto"/>
        <w:left w:val="none" w:sz="0" w:space="0" w:color="auto"/>
        <w:bottom w:val="none" w:sz="0" w:space="0" w:color="auto"/>
        <w:right w:val="none" w:sz="0" w:space="0" w:color="auto"/>
      </w:divBdr>
    </w:div>
    <w:div w:id="95639646">
      <w:bodyDiv w:val="1"/>
      <w:marLeft w:val="0"/>
      <w:marRight w:val="0"/>
      <w:marTop w:val="0"/>
      <w:marBottom w:val="0"/>
      <w:divBdr>
        <w:top w:val="none" w:sz="0" w:space="0" w:color="auto"/>
        <w:left w:val="none" w:sz="0" w:space="0" w:color="auto"/>
        <w:bottom w:val="none" w:sz="0" w:space="0" w:color="auto"/>
        <w:right w:val="none" w:sz="0" w:space="0" w:color="auto"/>
      </w:divBdr>
    </w:div>
    <w:div w:id="95712936">
      <w:bodyDiv w:val="1"/>
      <w:marLeft w:val="0"/>
      <w:marRight w:val="0"/>
      <w:marTop w:val="0"/>
      <w:marBottom w:val="0"/>
      <w:divBdr>
        <w:top w:val="none" w:sz="0" w:space="0" w:color="auto"/>
        <w:left w:val="none" w:sz="0" w:space="0" w:color="auto"/>
        <w:bottom w:val="none" w:sz="0" w:space="0" w:color="auto"/>
        <w:right w:val="none" w:sz="0" w:space="0" w:color="auto"/>
      </w:divBdr>
    </w:div>
    <w:div w:id="96022124">
      <w:bodyDiv w:val="1"/>
      <w:marLeft w:val="0"/>
      <w:marRight w:val="0"/>
      <w:marTop w:val="0"/>
      <w:marBottom w:val="0"/>
      <w:divBdr>
        <w:top w:val="none" w:sz="0" w:space="0" w:color="auto"/>
        <w:left w:val="none" w:sz="0" w:space="0" w:color="auto"/>
        <w:bottom w:val="none" w:sz="0" w:space="0" w:color="auto"/>
        <w:right w:val="none" w:sz="0" w:space="0" w:color="auto"/>
      </w:divBdr>
    </w:div>
    <w:div w:id="96143114">
      <w:bodyDiv w:val="1"/>
      <w:marLeft w:val="0"/>
      <w:marRight w:val="0"/>
      <w:marTop w:val="0"/>
      <w:marBottom w:val="0"/>
      <w:divBdr>
        <w:top w:val="none" w:sz="0" w:space="0" w:color="auto"/>
        <w:left w:val="none" w:sz="0" w:space="0" w:color="auto"/>
        <w:bottom w:val="none" w:sz="0" w:space="0" w:color="auto"/>
        <w:right w:val="none" w:sz="0" w:space="0" w:color="auto"/>
      </w:divBdr>
    </w:div>
    <w:div w:id="96409390">
      <w:bodyDiv w:val="1"/>
      <w:marLeft w:val="0"/>
      <w:marRight w:val="0"/>
      <w:marTop w:val="0"/>
      <w:marBottom w:val="0"/>
      <w:divBdr>
        <w:top w:val="none" w:sz="0" w:space="0" w:color="auto"/>
        <w:left w:val="none" w:sz="0" w:space="0" w:color="auto"/>
        <w:bottom w:val="none" w:sz="0" w:space="0" w:color="auto"/>
        <w:right w:val="none" w:sz="0" w:space="0" w:color="auto"/>
      </w:divBdr>
    </w:div>
    <w:div w:id="96411680">
      <w:bodyDiv w:val="1"/>
      <w:marLeft w:val="0"/>
      <w:marRight w:val="0"/>
      <w:marTop w:val="0"/>
      <w:marBottom w:val="0"/>
      <w:divBdr>
        <w:top w:val="none" w:sz="0" w:space="0" w:color="auto"/>
        <w:left w:val="none" w:sz="0" w:space="0" w:color="auto"/>
        <w:bottom w:val="none" w:sz="0" w:space="0" w:color="auto"/>
        <w:right w:val="none" w:sz="0" w:space="0" w:color="auto"/>
      </w:divBdr>
    </w:div>
    <w:div w:id="96557992">
      <w:bodyDiv w:val="1"/>
      <w:marLeft w:val="0"/>
      <w:marRight w:val="0"/>
      <w:marTop w:val="0"/>
      <w:marBottom w:val="0"/>
      <w:divBdr>
        <w:top w:val="none" w:sz="0" w:space="0" w:color="auto"/>
        <w:left w:val="none" w:sz="0" w:space="0" w:color="auto"/>
        <w:bottom w:val="none" w:sz="0" w:space="0" w:color="auto"/>
        <w:right w:val="none" w:sz="0" w:space="0" w:color="auto"/>
      </w:divBdr>
    </w:div>
    <w:div w:id="96757558">
      <w:bodyDiv w:val="1"/>
      <w:marLeft w:val="0"/>
      <w:marRight w:val="0"/>
      <w:marTop w:val="0"/>
      <w:marBottom w:val="0"/>
      <w:divBdr>
        <w:top w:val="none" w:sz="0" w:space="0" w:color="auto"/>
        <w:left w:val="none" w:sz="0" w:space="0" w:color="auto"/>
        <w:bottom w:val="none" w:sz="0" w:space="0" w:color="auto"/>
        <w:right w:val="none" w:sz="0" w:space="0" w:color="auto"/>
      </w:divBdr>
    </w:div>
    <w:div w:id="97599997">
      <w:bodyDiv w:val="1"/>
      <w:marLeft w:val="0"/>
      <w:marRight w:val="0"/>
      <w:marTop w:val="0"/>
      <w:marBottom w:val="0"/>
      <w:divBdr>
        <w:top w:val="none" w:sz="0" w:space="0" w:color="auto"/>
        <w:left w:val="none" w:sz="0" w:space="0" w:color="auto"/>
        <w:bottom w:val="none" w:sz="0" w:space="0" w:color="auto"/>
        <w:right w:val="none" w:sz="0" w:space="0" w:color="auto"/>
      </w:divBdr>
    </w:div>
    <w:div w:id="97680898">
      <w:bodyDiv w:val="1"/>
      <w:marLeft w:val="0"/>
      <w:marRight w:val="0"/>
      <w:marTop w:val="0"/>
      <w:marBottom w:val="0"/>
      <w:divBdr>
        <w:top w:val="none" w:sz="0" w:space="0" w:color="auto"/>
        <w:left w:val="none" w:sz="0" w:space="0" w:color="auto"/>
        <w:bottom w:val="none" w:sz="0" w:space="0" w:color="auto"/>
        <w:right w:val="none" w:sz="0" w:space="0" w:color="auto"/>
      </w:divBdr>
    </w:div>
    <w:div w:id="97717939">
      <w:bodyDiv w:val="1"/>
      <w:marLeft w:val="0"/>
      <w:marRight w:val="0"/>
      <w:marTop w:val="0"/>
      <w:marBottom w:val="0"/>
      <w:divBdr>
        <w:top w:val="none" w:sz="0" w:space="0" w:color="auto"/>
        <w:left w:val="none" w:sz="0" w:space="0" w:color="auto"/>
        <w:bottom w:val="none" w:sz="0" w:space="0" w:color="auto"/>
        <w:right w:val="none" w:sz="0" w:space="0" w:color="auto"/>
      </w:divBdr>
    </w:div>
    <w:div w:id="97722850">
      <w:bodyDiv w:val="1"/>
      <w:marLeft w:val="0"/>
      <w:marRight w:val="0"/>
      <w:marTop w:val="0"/>
      <w:marBottom w:val="0"/>
      <w:divBdr>
        <w:top w:val="none" w:sz="0" w:space="0" w:color="auto"/>
        <w:left w:val="none" w:sz="0" w:space="0" w:color="auto"/>
        <w:bottom w:val="none" w:sz="0" w:space="0" w:color="auto"/>
        <w:right w:val="none" w:sz="0" w:space="0" w:color="auto"/>
      </w:divBdr>
    </w:div>
    <w:div w:id="97793334">
      <w:bodyDiv w:val="1"/>
      <w:marLeft w:val="0"/>
      <w:marRight w:val="0"/>
      <w:marTop w:val="0"/>
      <w:marBottom w:val="0"/>
      <w:divBdr>
        <w:top w:val="none" w:sz="0" w:space="0" w:color="auto"/>
        <w:left w:val="none" w:sz="0" w:space="0" w:color="auto"/>
        <w:bottom w:val="none" w:sz="0" w:space="0" w:color="auto"/>
        <w:right w:val="none" w:sz="0" w:space="0" w:color="auto"/>
      </w:divBdr>
    </w:div>
    <w:div w:id="98137665">
      <w:bodyDiv w:val="1"/>
      <w:marLeft w:val="0"/>
      <w:marRight w:val="0"/>
      <w:marTop w:val="0"/>
      <w:marBottom w:val="0"/>
      <w:divBdr>
        <w:top w:val="none" w:sz="0" w:space="0" w:color="auto"/>
        <w:left w:val="none" w:sz="0" w:space="0" w:color="auto"/>
        <w:bottom w:val="none" w:sz="0" w:space="0" w:color="auto"/>
        <w:right w:val="none" w:sz="0" w:space="0" w:color="auto"/>
      </w:divBdr>
    </w:div>
    <w:div w:id="98335596">
      <w:bodyDiv w:val="1"/>
      <w:marLeft w:val="0"/>
      <w:marRight w:val="0"/>
      <w:marTop w:val="0"/>
      <w:marBottom w:val="0"/>
      <w:divBdr>
        <w:top w:val="none" w:sz="0" w:space="0" w:color="auto"/>
        <w:left w:val="none" w:sz="0" w:space="0" w:color="auto"/>
        <w:bottom w:val="none" w:sz="0" w:space="0" w:color="auto"/>
        <w:right w:val="none" w:sz="0" w:space="0" w:color="auto"/>
      </w:divBdr>
    </w:div>
    <w:div w:id="98374466">
      <w:bodyDiv w:val="1"/>
      <w:marLeft w:val="0"/>
      <w:marRight w:val="0"/>
      <w:marTop w:val="0"/>
      <w:marBottom w:val="0"/>
      <w:divBdr>
        <w:top w:val="none" w:sz="0" w:space="0" w:color="auto"/>
        <w:left w:val="none" w:sz="0" w:space="0" w:color="auto"/>
        <w:bottom w:val="none" w:sz="0" w:space="0" w:color="auto"/>
        <w:right w:val="none" w:sz="0" w:space="0" w:color="auto"/>
      </w:divBdr>
    </w:div>
    <w:div w:id="98524858">
      <w:bodyDiv w:val="1"/>
      <w:marLeft w:val="0"/>
      <w:marRight w:val="0"/>
      <w:marTop w:val="0"/>
      <w:marBottom w:val="0"/>
      <w:divBdr>
        <w:top w:val="none" w:sz="0" w:space="0" w:color="auto"/>
        <w:left w:val="none" w:sz="0" w:space="0" w:color="auto"/>
        <w:bottom w:val="none" w:sz="0" w:space="0" w:color="auto"/>
        <w:right w:val="none" w:sz="0" w:space="0" w:color="auto"/>
      </w:divBdr>
    </w:div>
    <w:div w:id="98530978">
      <w:bodyDiv w:val="1"/>
      <w:marLeft w:val="0"/>
      <w:marRight w:val="0"/>
      <w:marTop w:val="0"/>
      <w:marBottom w:val="0"/>
      <w:divBdr>
        <w:top w:val="none" w:sz="0" w:space="0" w:color="auto"/>
        <w:left w:val="none" w:sz="0" w:space="0" w:color="auto"/>
        <w:bottom w:val="none" w:sz="0" w:space="0" w:color="auto"/>
        <w:right w:val="none" w:sz="0" w:space="0" w:color="auto"/>
      </w:divBdr>
    </w:div>
    <w:div w:id="98573542">
      <w:bodyDiv w:val="1"/>
      <w:marLeft w:val="0"/>
      <w:marRight w:val="0"/>
      <w:marTop w:val="0"/>
      <w:marBottom w:val="0"/>
      <w:divBdr>
        <w:top w:val="none" w:sz="0" w:space="0" w:color="auto"/>
        <w:left w:val="none" w:sz="0" w:space="0" w:color="auto"/>
        <w:bottom w:val="none" w:sz="0" w:space="0" w:color="auto"/>
        <w:right w:val="none" w:sz="0" w:space="0" w:color="auto"/>
      </w:divBdr>
    </w:div>
    <w:div w:id="98913645">
      <w:bodyDiv w:val="1"/>
      <w:marLeft w:val="0"/>
      <w:marRight w:val="0"/>
      <w:marTop w:val="0"/>
      <w:marBottom w:val="0"/>
      <w:divBdr>
        <w:top w:val="none" w:sz="0" w:space="0" w:color="auto"/>
        <w:left w:val="none" w:sz="0" w:space="0" w:color="auto"/>
        <w:bottom w:val="none" w:sz="0" w:space="0" w:color="auto"/>
        <w:right w:val="none" w:sz="0" w:space="0" w:color="auto"/>
      </w:divBdr>
    </w:div>
    <w:div w:id="98913655">
      <w:bodyDiv w:val="1"/>
      <w:marLeft w:val="0"/>
      <w:marRight w:val="0"/>
      <w:marTop w:val="0"/>
      <w:marBottom w:val="0"/>
      <w:divBdr>
        <w:top w:val="none" w:sz="0" w:space="0" w:color="auto"/>
        <w:left w:val="none" w:sz="0" w:space="0" w:color="auto"/>
        <w:bottom w:val="none" w:sz="0" w:space="0" w:color="auto"/>
        <w:right w:val="none" w:sz="0" w:space="0" w:color="auto"/>
      </w:divBdr>
    </w:div>
    <w:div w:id="99421434">
      <w:bodyDiv w:val="1"/>
      <w:marLeft w:val="0"/>
      <w:marRight w:val="0"/>
      <w:marTop w:val="0"/>
      <w:marBottom w:val="0"/>
      <w:divBdr>
        <w:top w:val="none" w:sz="0" w:space="0" w:color="auto"/>
        <w:left w:val="none" w:sz="0" w:space="0" w:color="auto"/>
        <w:bottom w:val="none" w:sz="0" w:space="0" w:color="auto"/>
        <w:right w:val="none" w:sz="0" w:space="0" w:color="auto"/>
      </w:divBdr>
    </w:div>
    <w:div w:id="99573247">
      <w:bodyDiv w:val="1"/>
      <w:marLeft w:val="0"/>
      <w:marRight w:val="0"/>
      <w:marTop w:val="0"/>
      <w:marBottom w:val="0"/>
      <w:divBdr>
        <w:top w:val="none" w:sz="0" w:space="0" w:color="auto"/>
        <w:left w:val="none" w:sz="0" w:space="0" w:color="auto"/>
        <w:bottom w:val="none" w:sz="0" w:space="0" w:color="auto"/>
        <w:right w:val="none" w:sz="0" w:space="0" w:color="auto"/>
      </w:divBdr>
    </w:div>
    <w:div w:id="99759107">
      <w:bodyDiv w:val="1"/>
      <w:marLeft w:val="0"/>
      <w:marRight w:val="0"/>
      <w:marTop w:val="0"/>
      <w:marBottom w:val="0"/>
      <w:divBdr>
        <w:top w:val="none" w:sz="0" w:space="0" w:color="auto"/>
        <w:left w:val="none" w:sz="0" w:space="0" w:color="auto"/>
        <w:bottom w:val="none" w:sz="0" w:space="0" w:color="auto"/>
        <w:right w:val="none" w:sz="0" w:space="0" w:color="auto"/>
      </w:divBdr>
    </w:div>
    <w:div w:id="99881820">
      <w:bodyDiv w:val="1"/>
      <w:marLeft w:val="0"/>
      <w:marRight w:val="0"/>
      <w:marTop w:val="0"/>
      <w:marBottom w:val="0"/>
      <w:divBdr>
        <w:top w:val="none" w:sz="0" w:space="0" w:color="auto"/>
        <w:left w:val="none" w:sz="0" w:space="0" w:color="auto"/>
        <w:bottom w:val="none" w:sz="0" w:space="0" w:color="auto"/>
        <w:right w:val="none" w:sz="0" w:space="0" w:color="auto"/>
      </w:divBdr>
    </w:div>
    <w:div w:id="99953534">
      <w:bodyDiv w:val="1"/>
      <w:marLeft w:val="0"/>
      <w:marRight w:val="0"/>
      <w:marTop w:val="0"/>
      <w:marBottom w:val="0"/>
      <w:divBdr>
        <w:top w:val="none" w:sz="0" w:space="0" w:color="auto"/>
        <w:left w:val="none" w:sz="0" w:space="0" w:color="auto"/>
        <w:bottom w:val="none" w:sz="0" w:space="0" w:color="auto"/>
        <w:right w:val="none" w:sz="0" w:space="0" w:color="auto"/>
      </w:divBdr>
    </w:div>
    <w:div w:id="99955156">
      <w:bodyDiv w:val="1"/>
      <w:marLeft w:val="0"/>
      <w:marRight w:val="0"/>
      <w:marTop w:val="0"/>
      <w:marBottom w:val="0"/>
      <w:divBdr>
        <w:top w:val="none" w:sz="0" w:space="0" w:color="auto"/>
        <w:left w:val="none" w:sz="0" w:space="0" w:color="auto"/>
        <w:bottom w:val="none" w:sz="0" w:space="0" w:color="auto"/>
        <w:right w:val="none" w:sz="0" w:space="0" w:color="auto"/>
      </w:divBdr>
    </w:div>
    <w:div w:id="100033284">
      <w:bodyDiv w:val="1"/>
      <w:marLeft w:val="0"/>
      <w:marRight w:val="0"/>
      <w:marTop w:val="0"/>
      <w:marBottom w:val="0"/>
      <w:divBdr>
        <w:top w:val="none" w:sz="0" w:space="0" w:color="auto"/>
        <w:left w:val="none" w:sz="0" w:space="0" w:color="auto"/>
        <w:bottom w:val="none" w:sz="0" w:space="0" w:color="auto"/>
        <w:right w:val="none" w:sz="0" w:space="0" w:color="auto"/>
      </w:divBdr>
    </w:div>
    <w:div w:id="100075109">
      <w:bodyDiv w:val="1"/>
      <w:marLeft w:val="0"/>
      <w:marRight w:val="0"/>
      <w:marTop w:val="0"/>
      <w:marBottom w:val="0"/>
      <w:divBdr>
        <w:top w:val="none" w:sz="0" w:space="0" w:color="auto"/>
        <w:left w:val="none" w:sz="0" w:space="0" w:color="auto"/>
        <w:bottom w:val="none" w:sz="0" w:space="0" w:color="auto"/>
        <w:right w:val="none" w:sz="0" w:space="0" w:color="auto"/>
      </w:divBdr>
    </w:div>
    <w:div w:id="100146307">
      <w:bodyDiv w:val="1"/>
      <w:marLeft w:val="0"/>
      <w:marRight w:val="0"/>
      <w:marTop w:val="0"/>
      <w:marBottom w:val="0"/>
      <w:divBdr>
        <w:top w:val="none" w:sz="0" w:space="0" w:color="auto"/>
        <w:left w:val="none" w:sz="0" w:space="0" w:color="auto"/>
        <w:bottom w:val="none" w:sz="0" w:space="0" w:color="auto"/>
        <w:right w:val="none" w:sz="0" w:space="0" w:color="auto"/>
      </w:divBdr>
    </w:div>
    <w:div w:id="100270207">
      <w:bodyDiv w:val="1"/>
      <w:marLeft w:val="0"/>
      <w:marRight w:val="0"/>
      <w:marTop w:val="0"/>
      <w:marBottom w:val="0"/>
      <w:divBdr>
        <w:top w:val="none" w:sz="0" w:space="0" w:color="auto"/>
        <w:left w:val="none" w:sz="0" w:space="0" w:color="auto"/>
        <w:bottom w:val="none" w:sz="0" w:space="0" w:color="auto"/>
        <w:right w:val="none" w:sz="0" w:space="0" w:color="auto"/>
      </w:divBdr>
    </w:div>
    <w:div w:id="100271078">
      <w:bodyDiv w:val="1"/>
      <w:marLeft w:val="0"/>
      <w:marRight w:val="0"/>
      <w:marTop w:val="0"/>
      <w:marBottom w:val="0"/>
      <w:divBdr>
        <w:top w:val="none" w:sz="0" w:space="0" w:color="auto"/>
        <w:left w:val="none" w:sz="0" w:space="0" w:color="auto"/>
        <w:bottom w:val="none" w:sz="0" w:space="0" w:color="auto"/>
        <w:right w:val="none" w:sz="0" w:space="0" w:color="auto"/>
      </w:divBdr>
    </w:div>
    <w:div w:id="100423237">
      <w:bodyDiv w:val="1"/>
      <w:marLeft w:val="0"/>
      <w:marRight w:val="0"/>
      <w:marTop w:val="0"/>
      <w:marBottom w:val="0"/>
      <w:divBdr>
        <w:top w:val="none" w:sz="0" w:space="0" w:color="auto"/>
        <w:left w:val="none" w:sz="0" w:space="0" w:color="auto"/>
        <w:bottom w:val="none" w:sz="0" w:space="0" w:color="auto"/>
        <w:right w:val="none" w:sz="0" w:space="0" w:color="auto"/>
      </w:divBdr>
    </w:div>
    <w:div w:id="100539492">
      <w:bodyDiv w:val="1"/>
      <w:marLeft w:val="0"/>
      <w:marRight w:val="0"/>
      <w:marTop w:val="0"/>
      <w:marBottom w:val="0"/>
      <w:divBdr>
        <w:top w:val="none" w:sz="0" w:space="0" w:color="auto"/>
        <w:left w:val="none" w:sz="0" w:space="0" w:color="auto"/>
        <w:bottom w:val="none" w:sz="0" w:space="0" w:color="auto"/>
        <w:right w:val="none" w:sz="0" w:space="0" w:color="auto"/>
      </w:divBdr>
    </w:div>
    <w:div w:id="100687179">
      <w:bodyDiv w:val="1"/>
      <w:marLeft w:val="0"/>
      <w:marRight w:val="0"/>
      <w:marTop w:val="0"/>
      <w:marBottom w:val="0"/>
      <w:divBdr>
        <w:top w:val="none" w:sz="0" w:space="0" w:color="auto"/>
        <w:left w:val="none" w:sz="0" w:space="0" w:color="auto"/>
        <w:bottom w:val="none" w:sz="0" w:space="0" w:color="auto"/>
        <w:right w:val="none" w:sz="0" w:space="0" w:color="auto"/>
      </w:divBdr>
    </w:div>
    <w:div w:id="100808454">
      <w:bodyDiv w:val="1"/>
      <w:marLeft w:val="0"/>
      <w:marRight w:val="0"/>
      <w:marTop w:val="0"/>
      <w:marBottom w:val="0"/>
      <w:divBdr>
        <w:top w:val="none" w:sz="0" w:space="0" w:color="auto"/>
        <w:left w:val="none" w:sz="0" w:space="0" w:color="auto"/>
        <w:bottom w:val="none" w:sz="0" w:space="0" w:color="auto"/>
        <w:right w:val="none" w:sz="0" w:space="0" w:color="auto"/>
      </w:divBdr>
    </w:div>
    <w:div w:id="101003343">
      <w:bodyDiv w:val="1"/>
      <w:marLeft w:val="0"/>
      <w:marRight w:val="0"/>
      <w:marTop w:val="0"/>
      <w:marBottom w:val="0"/>
      <w:divBdr>
        <w:top w:val="none" w:sz="0" w:space="0" w:color="auto"/>
        <w:left w:val="none" w:sz="0" w:space="0" w:color="auto"/>
        <w:bottom w:val="none" w:sz="0" w:space="0" w:color="auto"/>
        <w:right w:val="none" w:sz="0" w:space="0" w:color="auto"/>
      </w:divBdr>
    </w:div>
    <w:div w:id="101069980">
      <w:bodyDiv w:val="1"/>
      <w:marLeft w:val="0"/>
      <w:marRight w:val="0"/>
      <w:marTop w:val="0"/>
      <w:marBottom w:val="0"/>
      <w:divBdr>
        <w:top w:val="none" w:sz="0" w:space="0" w:color="auto"/>
        <w:left w:val="none" w:sz="0" w:space="0" w:color="auto"/>
        <w:bottom w:val="none" w:sz="0" w:space="0" w:color="auto"/>
        <w:right w:val="none" w:sz="0" w:space="0" w:color="auto"/>
      </w:divBdr>
    </w:div>
    <w:div w:id="101266872">
      <w:bodyDiv w:val="1"/>
      <w:marLeft w:val="0"/>
      <w:marRight w:val="0"/>
      <w:marTop w:val="0"/>
      <w:marBottom w:val="0"/>
      <w:divBdr>
        <w:top w:val="none" w:sz="0" w:space="0" w:color="auto"/>
        <w:left w:val="none" w:sz="0" w:space="0" w:color="auto"/>
        <w:bottom w:val="none" w:sz="0" w:space="0" w:color="auto"/>
        <w:right w:val="none" w:sz="0" w:space="0" w:color="auto"/>
      </w:divBdr>
    </w:div>
    <w:div w:id="101461308">
      <w:bodyDiv w:val="1"/>
      <w:marLeft w:val="0"/>
      <w:marRight w:val="0"/>
      <w:marTop w:val="0"/>
      <w:marBottom w:val="0"/>
      <w:divBdr>
        <w:top w:val="none" w:sz="0" w:space="0" w:color="auto"/>
        <w:left w:val="none" w:sz="0" w:space="0" w:color="auto"/>
        <w:bottom w:val="none" w:sz="0" w:space="0" w:color="auto"/>
        <w:right w:val="none" w:sz="0" w:space="0" w:color="auto"/>
      </w:divBdr>
    </w:div>
    <w:div w:id="101612633">
      <w:bodyDiv w:val="1"/>
      <w:marLeft w:val="0"/>
      <w:marRight w:val="0"/>
      <w:marTop w:val="0"/>
      <w:marBottom w:val="0"/>
      <w:divBdr>
        <w:top w:val="none" w:sz="0" w:space="0" w:color="auto"/>
        <w:left w:val="none" w:sz="0" w:space="0" w:color="auto"/>
        <w:bottom w:val="none" w:sz="0" w:space="0" w:color="auto"/>
        <w:right w:val="none" w:sz="0" w:space="0" w:color="auto"/>
      </w:divBdr>
    </w:div>
    <w:div w:id="101724538">
      <w:bodyDiv w:val="1"/>
      <w:marLeft w:val="0"/>
      <w:marRight w:val="0"/>
      <w:marTop w:val="0"/>
      <w:marBottom w:val="0"/>
      <w:divBdr>
        <w:top w:val="none" w:sz="0" w:space="0" w:color="auto"/>
        <w:left w:val="none" w:sz="0" w:space="0" w:color="auto"/>
        <w:bottom w:val="none" w:sz="0" w:space="0" w:color="auto"/>
        <w:right w:val="none" w:sz="0" w:space="0" w:color="auto"/>
      </w:divBdr>
    </w:div>
    <w:div w:id="101920436">
      <w:bodyDiv w:val="1"/>
      <w:marLeft w:val="0"/>
      <w:marRight w:val="0"/>
      <w:marTop w:val="0"/>
      <w:marBottom w:val="0"/>
      <w:divBdr>
        <w:top w:val="none" w:sz="0" w:space="0" w:color="auto"/>
        <w:left w:val="none" w:sz="0" w:space="0" w:color="auto"/>
        <w:bottom w:val="none" w:sz="0" w:space="0" w:color="auto"/>
        <w:right w:val="none" w:sz="0" w:space="0" w:color="auto"/>
      </w:divBdr>
    </w:div>
    <w:div w:id="101995909">
      <w:bodyDiv w:val="1"/>
      <w:marLeft w:val="0"/>
      <w:marRight w:val="0"/>
      <w:marTop w:val="0"/>
      <w:marBottom w:val="0"/>
      <w:divBdr>
        <w:top w:val="none" w:sz="0" w:space="0" w:color="auto"/>
        <w:left w:val="none" w:sz="0" w:space="0" w:color="auto"/>
        <w:bottom w:val="none" w:sz="0" w:space="0" w:color="auto"/>
        <w:right w:val="none" w:sz="0" w:space="0" w:color="auto"/>
      </w:divBdr>
    </w:div>
    <w:div w:id="102000206">
      <w:bodyDiv w:val="1"/>
      <w:marLeft w:val="0"/>
      <w:marRight w:val="0"/>
      <w:marTop w:val="0"/>
      <w:marBottom w:val="0"/>
      <w:divBdr>
        <w:top w:val="none" w:sz="0" w:space="0" w:color="auto"/>
        <w:left w:val="none" w:sz="0" w:space="0" w:color="auto"/>
        <w:bottom w:val="none" w:sz="0" w:space="0" w:color="auto"/>
        <w:right w:val="none" w:sz="0" w:space="0" w:color="auto"/>
      </w:divBdr>
    </w:div>
    <w:div w:id="102118221">
      <w:bodyDiv w:val="1"/>
      <w:marLeft w:val="0"/>
      <w:marRight w:val="0"/>
      <w:marTop w:val="0"/>
      <w:marBottom w:val="0"/>
      <w:divBdr>
        <w:top w:val="none" w:sz="0" w:space="0" w:color="auto"/>
        <w:left w:val="none" w:sz="0" w:space="0" w:color="auto"/>
        <w:bottom w:val="none" w:sz="0" w:space="0" w:color="auto"/>
        <w:right w:val="none" w:sz="0" w:space="0" w:color="auto"/>
      </w:divBdr>
    </w:div>
    <w:div w:id="102188121">
      <w:bodyDiv w:val="1"/>
      <w:marLeft w:val="0"/>
      <w:marRight w:val="0"/>
      <w:marTop w:val="0"/>
      <w:marBottom w:val="0"/>
      <w:divBdr>
        <w:top w:val="none" w:sz="0" w:space="0" w:color="auto"/>
        <w:left w:val="none" w:sz="0" w:space="0" w:color="auto"/>
        <w:bottom w:val="none" w:sz="0" w:space="0" w:color="auto"/>
        <w:right w:val="none" w:sz="0" w:space="0" w:color="auto"/>
      </w:divBdr>
    </w:div>
    <w:div w:id="102506934">
      <w:bodyDiv w:val="1"/>
      <w:marLeft w:val="0"/>
      <w:marRight w:val="0"/>
      <w:marTop w:val="0"/>
      <w:marBottom w:val="0"/>
      <w:divBdr>
        <w:top w:val="none" w:sz="0" w:space="0" w:color="auto"/>
        <w:left w:val="none" w:sz="0" w:space="0" w:color="auto"/>
        <w:bottom w:val="none" w:sz="0" w:space="0" w:color="auto"/>
        <w:right w:val="none" w:sz="0" w:space="0" w:color="auto"/>
      </w:divBdr>
    </w:div>
    <w:div w:id="102580015">
      <w:bodyDiv w:val="1"/>
      <w:marLeft w:val="0"/>
      <w:marRight w:val="0"/>
      <w:marTop w:val="0"/>
      <w:marBottom w:val="0"/>
      <w:divBdr>
        <w:top w:val="none" w:sz="0" w:space="0" w:color="auto"/>
        <w:left w:val="none" w:sz="0" w:space="0" w:color="auto"/>
        <w:bottom w:val="none" w:sz="0" w:space="0" w:color="auto"/>
        <w:right w:val="none" w:sz="0" w:space="0" w:color="auto"/>
      </w:divBdr>
    </w:div>
    <w:div w:id="102844142">
      <w:bodyDiv w:val="1"/>
      <w:marLeft w:val="0"/>
      <w:marRight w:val="0"/>
      <w:marTop w:val="0"/>
      <w:marBottom w:val="0"/>
      <w:divBdr>
        <w:top w:val="none" w:sz="0" w:space="0" w:color="auto"/>
        <w:left w:val="none" w:sz="0" w:space="0" w:color="auto"/>
        <w:bottom w:val="none" w:sz="0" w:space="0" w:color="auto"/>
        <w:right w:val="none" w:sz="0" w:space="0" w:color="auto"/>
      </w:divBdr>
    </w:div>
    <w:div w:id="102919465">
      <w:bodyDiv w:val="1"/>
      <w:marLeft w:val="0"/>
      <w:marRight w:val="0"/>
      <w:marTop w:val="0"/>
      <w:marBottom w:val="0"/>
      <w:divBdr>
        <w:top w:val="none" w:sz="0" w:space="0" w:color="auto"/>
        <w:left w:val="none" w:sz="0" w:space="0" w:color="auto"/>
        <w:bottom w:val="none" w:sz="0" w:space="0" w:color="auto"/>
        <w:right w:val="none" w:sz="0" w:space="0" w:color="auto"/>
      </w:divBdr>
    </w:div>
    <w:div w:id="103037678">
      <w:bodyDiv w:val="1"/>
      <w:marLeft w:val="0"/>
      <w:marRight w:val="0"/>
      <w:marTop w:val="0"/>
      <w:marBottom w:val="0"/>
      <w:divBdr>
        <w:top w:val="none" w:sz="0" w:space="0" w:color="auto"/>
        <w:left w:val="none" w:sz="0" w:space="0" w:color="auto"/>
        <w:bottom w:val="none" w:sz="0" w:space="0" w:color="auto"/>
        <w:right w:val="none" w:sz="0" w:space="0" w:color="auto"/>
      </w:divBdr>
    </w:div>
    <w:div w:id="103110601">
      <w:bodyDiv w:val="1"/>
      <w:marLeft w:val="0"/>
      <w:marRight w:val="0"/>
      <w:marTop w:val="0"/>
      <w:marBottom w:val="0"/>
      <w:divBdr>
        <w:top w:val="none" w:sz="0" w:space="0" w:color="auto"/>
        <w:left w:val="none" w:sz="0" w:space="0" w:color="auto"/>
        <w:bottom w:val="none" w:sz="0" w:space="0" w:color="auto"/>
        <w:right w:val="none" w:sz="0" w:space="0" w:color="auto"/>
      </w:divBdr>
    </w:div>
    <w:div w:id="103228325">
      <w:bodyDiv w:val="1"/>
      <w:marLeft w:val="0"/>
      <w:marRight w:val="0"/>
      <w:marTop w:val="0"/>
      <w:marBottom w:val="0"/>
      <w:divBdr>
        <w:top w:val="none" w:sz="0" w:space="0" w:color="auto"/>
        <w:left w:val="none" w:sz="0" w:space="0" w:color="auto"/>
        <w:bottom w:val="none" w:sz="0" w:space="0" w:color="auto"/>
        <w:right w:val="none" w:sz="0" w:space="0" w:color="auto"/>
      </w:divBdr>
    </w:div>
    <w:div w:id="103306710">
      <w:bodyDiv w:val="1"/>
      <w:marLeft w:val="0"/>
      <w:marRight w:val="0"/>
      <w:marTop w:val="0"/>
      <w:marBottom w:val="0"/>
      <w:divBdr>
        <w:top w:val="none" w:sz="0" w:space="0" w:color="auto"/>
        <w:left w:val="none" w:sz="0" w:space="0" w:color="auto"/>
        <w:bottom w:val="none" w:sz="0" w:space="0" w:color="auto"/>
        <w:right w:val="none" w:sz="0" w:space="0" w:color="auto"/>
      </w:divBdr>
    </w:div>
    <w:div w:id="103310237">
      <w:bodyDiv w:val="1"/>
      <w:marLeft w:val="0"/>
      <w:marRight w:val="0"/>
      <w:marTop w:val="0"/>
      <w:marBottom w:val="0"/>
      <w:divBdr>
        <w:top w:val="none" w:sz="0" w:space="0" w:color="auto"/>
        <w:left w:val="none" w:sz="0" w:space="0" w:color="auto"/>
        <w:bottom w:val="none" w:sz="0" w:space="0" w:color="auto"/>
        <w:right w:val="none" w:sz="0" w:space="0" w:color="auto"/>
      </w:divBdr>
    </w:div>
    <w:div w:id="103614969">
      <w:bodyDiv w:val="1"/>
      <w:marLeft w:val="0"/>
      <w:marRight w:val="0"/>
      <w:marTop w:val="0"/>
      <w:marBottom w:val="0"/>
      <w:divBdr>
        <w:top w:val="none" w:sz="0" w:space="0" w:color="auto"/>
        <w:left w:val="none" w:sz="0" w:space="0" w:color="auto"/>
        <w:bottom w:val="none" w:sz="0" w:space="0" w:color="auto"/>
        <w:right w:val="none" w:sz="0" w:space="0" w:color="auto"/>
      </w:divBdr>
    </w:div>
    <w:div w:id="103615285">
      <w:bodyDiv w:val="1"/>
      <w:marLeft w:val="0"/>
      <w:marRight w:val="0"/>
      <w:marTop w:val="0"/>
      <w:marBottom w:val="0"/>
      <w:divBdr>
        <w:top w:val="none" w:sz="0" w:space="0" w:color="auto"/>
        <w:left w:val="none" w:sz="0" w:space="0" w:color="auto"/>
        <w:bottom w:val="none" w:sz="0" w:space="0" w:color="auto"/>
        <w:right w:val="none" w:sz="0" w:space="0" w:color="auto"/>
      </w:divBdr>
    </w:div>
    <w:div w:id="103616946">
      <w:bodyDiv w:val="1"/>
      <w:marLeft w:val="0"/>
      <w:marRight w:val="0"/>
      <w:marTop w:val="0"/>
      <w:marBottom w:val="0"/>
      <w:divBdr>
        <w:top w:val="none" w:sz="0" w:space="0" w:color="auto"/>
        <w:left w:val="none" w:sz="0" w:space="0" w:color="auto"/>
        <w:bottom w:val="none" w:sz="0" w:space="0" w:color="auto"/>
        <w:right w:val="none" w:sz="0" w:space="0" w:color="auto"/>
      </w:divBdr>
    </w:div>
    <w:div w:id="103961501">
      <w:bodyDiv w:val="1"/>
      <w:marLeft w:val="0"/>
      <w:marRight w:val="0"/>
      <w:marTop w:val="0"/>
      <w:marBottom w:val="0"/>
      <w:divBdr>
        <w:top w:val="none" w:sz="0" w:space="0" w:color="auto"/>
        <w:left w:val="none" w:sz="0" w:space="0" w:color="auto"/>
        <w:bottom w:val="none" w:sz="0" w:space="0" w:color="auto"/>
        <w:right w:val="none" w:sz="0" w:space="0" w:color="auto"/>
      </w:divBdr>
    </w:div>
    <w:div w:id="104227712">
      <w:bodyDiv w:val="1"/>
      <w:marLeft w:val="0"/>
      <w:marRight w:val="0"/>
      <w:marTop w:val="0"/>
      <w:marBottom w:val="0"/>
      <w:divBdr>
        <w:top w:val="none" w:sz="0" w:space="0" w:color="auto"/>
        <w:left w:val="none" w:sz="0" w:space="0" w:color="auto"/>
        <w:bottom w:val="none" w:sz="0" w:space="0" w:color="auto"/>
        <w:right w:val="none" w:sz="0" w:space="0" w:color="auto"/>
      </w:divBdr>
    </w:div>
    <w:div w:id="104229183">
      <w:bodyDiv w:val="1"/>
      <w:marLeft w:val="0"/>
      <w:marRight w:val="0"/>
      <w:marTop w:val="0"/>
      <w:marBottom w:val="0"/>
      <w:divBdr>
        <w:top w:val="none" w:sz="0" w:space="0" w:color="auto"/>
        <w:left w:val="none" w:sz="0" w:space="0" w:color="auto"/>
        <w:bottom w:val="none" w:sz="0" w:space="0" w:color="auto"/>
        <w:right w:val="none" w:sz="0" w:space="0" w:color="auto"/>
      </w:divBdr>
    </w:div>
    <w:div w:id="104472100">
      <w:bodyDiv w:val="1"/>
      <w:marLeft w:val="0"/>
      <w:marRight w:val="0"/>
      <w:marTop w:val="0"/>
      <w:marBottom w:val="0"/>
      <w:divBdr>
        <w:top w:val="none" w:sz="0" w:space="0" w:color="auto"/>
        <w:left w:val="none" w:sz="0" w:space="0" w:color="auto"/>
        <w:bottom w:val="none" w:sz="0" w:space="0" w:color="auto"/>
        <w:right w:val="none" w:sz="0" w:space="0" w:color="auto"/>
      </w:divBdr>
    </w:div>
    <w:div w:id="104539273">
      <w:bodyDiv w:val="1"/>
      <w:marLeft w:val="0"/>
      <w:marRight w:val="0"/>
      <w:marTop w:val="0"/>
      <w:marBottom w:val="0"/>
      <w:divBdr>
        <w:top w:val="none" w:sz="0" w:space="0" w:color="auto"/>
        <w:left w:val="none" w:sz="0" w:space="0" w:color="auto"/>
        <w:bottom w:val="none" w:sz="0" w:space="0" w:color="auto"/>
        <w:right w:val="none" w:sz="0" w:space="0" w:color="auto"/>
      </w:divBdr>
    </w:div>
    <w:div w:id="104546634">
      <w:bodyDiv w:val="1"/>
      <w:marLeft w:val="0"/>
      <w:marRight w:val="0"/>
      <w:marTop w:val="0"/>
      <w:marBottom w:val="0"/>
      <w:divBdr>
        <w:top w:val="none" w:sz="0" w:space="0" w:color="auto"/>
        <w:left w:val="none" w:sz="0" w:space="0" w:color="auto"/>
        <w:bottom w:val="none" w:sz="0" w:space="0" w:color="auto"/>
        <w:right w:val="none" w:sz="0" w:space="0" w:color="auto"/>
      </w:divBdr>
    </w:div>
    <w:div w:id="104666081">
      <w:bodyDiv w:val="1"/>
      <w:marLeft w:val="0"/>
      <w:marRight w:val="0"/>
      <w:marTop w:val="0"/>
      <w:marBottom w:val="0"/>
      <w:divBdr>
        <w:top w:val="none" w:sz="0" w:space="0" w:color="auto"/>
        <w:left w:val="none" w:sz="0" w:space="0" w:color="auto"/>
        <w:bottom w:val="none" w:sz="0" w:space="0" w:color="auto"/>
        <w:right w:val="none" w:sz="0" w:space="0" w:color="auto"/>
      </w:divBdr>
    </w:div>
    <w:div w:id="105000978">
      <w:bodyDiv w:val="1"/>
      <w:marLeft w:val="0"/>
      <w:marRight w:val="0"/>
      <w:marTop w:val="0"/>
      <w:marBottom w:val="0"/>
      <w:divBdr>
        <w:top w:val="none" w:sz="0" w:space="0" w:color="auto"/>
        <w:left w:val="none" w:sz="0" w:space="0" w:color="auto"/>
        <w:bottom w:val="none" w:sz="0" w:space="0" w:color="auto"/>
        <w:right w:val="none" w:sz="0" w:space="0" w:color="auto"/>
      </w:divBdr>
    </w:div>
    <w:div w:id="105079150">
      <w:bodyDiv w:val="1"/>
      <w:marLeft w:val="0"/>
      <w:marRight w:val="0"/>
      <w:marTop w:val="0"/>
      <w:marBottom w:val="0"/>
      <w:divBdr>
        <w:top w:val="none" w:sz="0" w:space="0" w:color="auto"/>
        <w:left w:val="none" w:sz="0" w:space="0" w:color="auto"/>
        <w:bottom w:val="none" w:sz="0" w:space="0" w:color="auto"/>
        <w:right w:val="none" w:sz="0" w:space="0" w:color="auto"/>
      </w:divBdr>
    </w:div>
    <w:div w:id="105391969">
      <w:bodyDiv w:val="1"/>
      <w:marLeft w:val="0"/>
      <w:marRight w:val="0"/>
      <w:marTop w:val="0"/>
      <w:marBottom w:val="0"/>
      <w:divBdr>
        <w:top w:val="none" w:sz="0" w:space="0" w:color="auto"/>
        <w:left w:val="none" w:sz="0" w:space="0" w:color="auto"/>
        <w:bottom w:val="none" w:sz="0" w:space="0" w:color="auto"/>
        <w:right w:val="none" w:sz="0" w:space="0" w:color="auto"/>
      </w:divBdr>
    </w:div>
    <w:div w:id="105467825">
      <w:bodyDiv w:val="1"/>
      <w:marLeft w:val="0"/>
      <w:marRight w:val="0"/>
      <w:marTop w:val="0"/>
      <w:marBottom w:val="0"/>
      <w:divBdr>
        <w:top w:val="none" w:sz="0" w:space="0" w:color="auto"/>
        <w:left w:val="none" w:sz="0" w:space="0" w:color="auto"/>
        <w:bottom w:val="none" w:sz="0" w:space="0" w:color="auto"/>
        <w:right w:val="none" w:sz="0" w:space="0" w:color="auto"/>
      </w:divBdr>
    </w:div>
    <w:div w:id="105658202">
      <w:bodyDiv w:val="1"/>
      <w:marLeft w:val="0"/>
      <w:marRight w:val="0"/>
      <w:marTop w:val="0"/>
      <w:marBottom w:val="0"/>
      <w:divBdr>
        <w:top w:val="none" w:sz="0" w:space="0" w:color="auto"/>
        <w:left w:val="none" w:sz="0" w:space="0" w:color="auto"/>
        <w:bottom w:val="none" w:sz="0" w:space="0" w:color="auto"/>
        <w:right w:val="none" w:sz="0" w:space="0" w:color="auto"/>
      </w:divBdr>
    </w:div>
    <w:div w:id="105734983">
      <w:bodyDiv w:val="1"/>
      <w:marLeft w:val="0"/>
      <w:marRight w:val="0"/>
      <w:marTop w:val="0"/>
      <w:marBottom w:val="0"/>
      <w:divBdr>
        <w:top w:val="none" w:sz="0" w:space="0" w:color="auto"/>
        <w:left w:val="none" w:sz="0" w:space="0" w:color="auto"/>
        <w:bottom w:val="none" w:sz="0" w:space="0" w:color="auto"/>
        <w:right w:val="none" w:sz="0" w:space="0" w:color="auto"/>
      </w:divBdr>
    </w:div>
    <w:div w:id="105738305">
      <w:bodyDiv w:val="1"/>
      <w:marLeft w:val="0"/>
      <w:marRight w:val="0"/>
      <w:marTop w:val="0"/>
      <w:marBottom w:val="0"/>
      <w:divBdr>
        <w:top w:val="none" w:sz="0" w:space="0" w:color="auto"/>
        <w:left w:val="none" w:sz="0" w:space="0" w:color="auto"/>
        <w:bottom w:val="none" w:sz="0" w:space="0" w:color="auto"/>
        <w:right w:val="none" w:sz="0" w:space="0" w:color="auto"/>
      </w:divBdr>
    </w:div>
    <w:div w:id="105858018">
      <w:bodyDiv w:val="1"/>
      <w:marLeft w:val="0"/>
      <w:marRight w:val="0"/>
      <w:marTop w:val="0"/>
      <w:marBottom w:val="0"/>
      <w:divBdr>
        <w:top w:val="none" w:sz="0" w:space="0" w:color="auto"/>
        <w:left w:val="none" w:sz="0" w:space="0" w:color="auto"/>
        <w:bottom w:val="none" w:sz="0" w:space="0" w:color="auto"/>
        <w:right w:val="none" w:sz="0" w:space="0" w:color="auto"/>
      </w:divBdr>
    </w:div>
    <w:div w:id="106049912">
      <w:bodyDiv w:val="1"/>
      <w:marLeft w:val="0"/>
      <w:marRight w:val="0"/>
      <w:marTop w:val="0"/>
      <w:marBottom w:val="0"/>
      <w:divBdr>
        <w:top w:val="none" w:sz="0" w:space="0" w:color="auto"/>
        <w:left w:val="none" w:sz="0" w:space="0" w:color="auto"/>
        <w:bottom w:val="none" w:sz="0" w:space="0" w:color="auto"/>
        <w:right w:val="none" w:sz="0" w:space="0" w:color="auto"/>
      </w:divBdr>
    </w:div>
    <w:div w:id="106122298">
      <w:bodyDiv w:val="1"/>
      <w:marLeft w:val="0"/>
      <w:marRight w:val="0"/>
      <w:marTop w:val="0"/>
      <w:marBottom w:val="0"/>
      <w:divBdr>
        <w:top w:val="none" w:sz="0" w:space="0" w:color="auto"/>
        <w:left w:val="none" w:sz="0" w:space="0" w:color="auto"/>
        <w:bottom w:val="none" w:sz="0" w:space="0" w:color="auto"/>
        <w:right w:val="none" w:sz="0" w:space="0" w:color="auto"/>
      </w:divBdr>
    </w:div>
    <w:div w:id="106386594">
      <w:bodyDiv w:val="1"/>
      <w:marLeft w:val="0"/>
      <w:marRight w:val="0"/>
      <w:marTop w:val="0"/>
      <w:marBottom w:val="0"/>
      <w:divBdr>
        <w:top w:val="none" w:sz="0" w:space="0" w:color="auto"/>
        <w:left w:val="none" w:sz="0" w:space="0" w:color="auto"/>
        <w:bottom w:val="none" w:sz="0" w:space="0" w:color="auto"/>
        <w:right w:val="none" w:sz="0" w:space="0" w:color="auto"/>
      </w:divBdr>
    </w:div>
    <w:div w:id="106390708">
      <w:bodyDiv w:val="1"/>
      <w:marLeft w:val="0"/>
      <w:marRight w:val="0"/>
      <w:marTop w:val="0"/>
      <w:marBottom w:val="0"/>
      <w:divBdr>
        <w:top w:val="none" w:sz="0" w:space="0" w:color="auto"/>
        <w:left w:val="none" w:sz="0" w:space="0" w:color="auto"/>
        <w:bottom w:val="none" w:sz="0" w:space="0" w:color="auto"/>
        <w:right w:val="none" w:sz="0" w:space="0" w:color="auto"/>
      </w:divBdr>
    </w:div>
    <w:div w:id="106504697">
      <w:bodyDiv w:val="1"/>
      <w:marLeft w:val="0"/>
      <w:marRight w:val="0"/>
      <w:marTop w:val="0"/>
      <w:marBottom w:val="0"/>
      <w:divBdr>
        <w:top w:val="none" w:sz="0" w:space="0" w:color="auto"/>
        <w:left w:val="none" w:sz="0" w:space="0" w:color="auto"/>
        <w:bottom w:val="none" w:sz="0" w:space="0" w:color="auto"/>
        <w:right w:val="none" w:sz="0" w:space="0" w:color="auto"/>
      </w:divBdr>
    </w:div>
    <w:div w:id="106777374">
      <w:bodyDiv w:val="1"/>
      <w:marLeft w:val="0"/>
      <w:marRight w:val="0"/>
      <w:marTop w:val="0"/>
      <w:marBottom w:val="0"/>
      <w:divBdr>
        <w:top w:val="none" w:sz="0" w:space="0" w:color="auto"/>
        <w:left w:val="none" w:sz="0" w:space="0" w:color="auto"/>
        <w:bottom w:val="none" w:sz="0" w:space="0" w:color="auto"/>
        <w:right w:val="none" w:sz="0" w:space="0" w:color="auto"/>
      </w:divBdr>
    </w:div>
    <w:div w:id="106967194">
      <w:bodyDiv w:val="1"/>
      <w:marLeft w:val="0"/>
      <w:marRight w:val="0"/>
      <w:marTop w:val="0"/>
      <w:marBottom w:val="0"/>
      <w:divBdr>
        <w:top w:val="none" w:sz="0" w:space="0" w:color="auto"/>
        <w:left w:val="none" w:sz="0" w:space="0" w:color="auto"/>
        <w:bottom w:val="none" w:sz="0" w:space="0" w:color="auto"/>
        <w:right w:val="none" w:sz="0" w:space="0" w:color="auto"/>
      </w:divBdr>
    </w:div>
    <w:div w:id="107051296">
      <w:bodyDiv w:val="1"/>
      <w:marLeft w:val="0"/>
      <w:marRight w:val="0"/>
      <w:marTop w:val="0"/>
      <w:marBottom w:val="0"/>
      <w:divBdr>
        <w:top w:val="none" w:sz="0" w:space="0" w:color="auto"/>
        <w:left w:val="none" w:sz="0" w:space="0" w:color="auto"/>
        <w:bottom w:val="none" w:sz="0" w:space="0" w:color="auto"/>
        <w:right w:val="none" w:sz="0" w:space="0" w:color="auto"/>
      </w:divBdr>
    </w:div>
    <w:div w:id="107160617">
      <w:bodyDiv w:val="1"/>
      <w:marLeft w:val="0"/>
      <w:marRight w:val="0"/>
      <w:marTop w:val="0"/>
      <w:marBottom w:val="0"/>
      <w:divBdr>
        <w:top w:val="none" w:sz="0" w:space="0" w:color="auto"/>
        <w:left w:val="none" w:sz="0" w:space="0" w:color="auto"/>
        <w:bottom w:val="none" w:sz="0" w:space="0" w:color="auto"/>
        <w:right w:val="none" w:sz="0" w:space="0" w:color="auto"/>
      </w:divBdr>
    </w:div>
    <w:div w:id="107313675">
      <w:bodyDiv w:val="1"/>
      <w:marLeft w:val="0"/>
      <w:marRight w:val="0"/>
      <w:marTop w:val="0"/>
      <w:marBottom w:val="0"/>
      <w:divBdr>
        <w:top w:val="none" w:sz="0" w:space="0" w:color="auto"/>
        <w:left w:val="none" w:sz="0" w:space="0" w:color="auto"/>
        <w:bottom w:val="none" w:sz="0" w:space="0" w:color="auto"/>
        <w:right w:val="none" w:sz="0" w:space="0" w:color="auto"/>
      </w:divBdr>
    </w:div>
    <w:div w:id="107548025">
      <w:bodyDiv w:val="1"/>
      <w:marLeft w:val="0"/>
      <w:marRight w:val="0"/>
      <w:marTop w:val="0"/>
      <w:marBottom w:val="0"/>
      <w:divBdr>
        <w:top w:val="none" w:sz="0" w:space="0" w:color="auto"/>
        <w:left w:val="none" w:sz="0" w:space="0" w:color="auto"/>
        <w:bottom w:val="none" w:sz="0" w:space="0" w:color="auto"/>
        <w:right w:val="none" w:sz="0" w:space="0" w:color="auto"/>
      </w:divBdr>
    </w:div>
    <w:div w:id="107624837">
      <w:bodyDiv w:val="1"/>
      <w:marLeft w:val="0"/>
      <w:marRight w:val="0"/>
      <w:marTop w:val="0"/>
      <w:marBottom w:val="0"/>
      <w:divBdr>
        <w:top w:val="none" w:sz="0" w:space="0" w:color="auto"/>
        <w:left w:val="none" w:sz="0" w:space="0" w:color="auto"/>
        <w:bottom w:val="none" w:sz="0" w:space="0" w:color="auto"/>
        <w:right w:val="none" w:sz="0" w:space="0" w:color="auto"/>
      </w:divBdr>
    </w:div>
    <w:div w:id="107744247">
      <w:bodyDiv w:val="1"/>
      <w:marLeft w:val="0"/>
      <w:marRight w:val="0"/>
      <w:marTop w:val="0"/>
      <w:marBottom w:val="0"/>
      <w:divBdr>
        <w:top w:val="none" w:sz="0" w:space="0" w:color="auto"/>
        <w:left w:val="none" w:sz="0" w:space="0" w:color="auto"/>
        <w:bottom w:val="none" w:sz="0" w:space="0" w:color="auto"/>
        <w:right w:val="none" w:sz="0" w:space="0" w:color="auto"/>
      </w:divBdr>
    </w:div>
    <w:div w:id="107939041">
      <w:bodyDiv w:val="1"/>
      <w:marLeft w:val="0"/>
      <w:marRight w:val="0"/>
      <w:marTop w:val="0"/>
      <w:marBottom w:val="0"/>
      <w:divBdr>
        <w:top w:val="none" w:sz="0" w:space="0" w:color="auto"/>
        <w:left w:val="none" w:sz="0" w:space="0" w:color="auto"/>
        <w:bottom w:val="none" w:sz="0" w:space="0" w:color="auto"/>
        <w:right w:val="none" w:sz="0" w:space="0" w:color="auto"/>
      </w:divBdr>
    </w:div>
    <w:div w:id="108014307">
      <w:bodyDiv w:val="1"/>
      <w:marLeft w:val="0"/>
      <w:marRight w:val="0"/>
      <w:marTop w:val="0"/>
      <w:marBottom w:val="0"/>
      <w:divBdr>
        <w:top w:val="none" w:sz="0" w:space="0" w:color="auto"/>
        <w:left w:val="none" w:sz="0" w:space="0" w:color="auto"/>
        <w:bottom w:val="none" w:sz="0" w:space="0" w:color="auto"/>
        <w:right w:val="none" w:sz="0" w:space="0" w:color="auto"/>
      </w:divBdr>
    </w:div>
    <w:div w:id="108135393">
      <w:bodyDiv w:val="1"/>
      <w:marLeft w:val="0"/>
      <w:marRight w:val="0"/>
      <w:marTop w:val="0"/>
      <w:marBottom w:val="0"/>
      <w:divBdr>
        <w:top w:val="none" w:sz="0" w:space="0" w:color="auto"/>
        <w:left w:val="none" w:sz="0" w:space="0" w:color="auto"/>
        <w:bottom w:val="none" w:sz="0" w:space="0" w:color="auto"/>
        <w:right w:val="none" w:sz="0" w:space="0" w:color="auto"/>
      </w:divBdr>
    </w:div>
    <w:div w:id="108135819">
      <w:bodyDiv w:val="1"/>
      <w:marLeft w:val="0"/>
      <w:marRight w:val="0"/>
      <w:marTop w:val="0"/>
      <w:marBottom w:val="0"/>
      <w:divBdr>
        <w:top w:val="none" w:sz="0" w:space="0" w:color="auto"/>
        <w:left w:val="none" w:sz="0" w:space="0" w:color="auto"/>
        <w:bottom w:val="none" w:sz="0" w:space="0" w:color="auto"/>
        <w:right w:val="none" w:sz="0" w:space="0" w:color="auto"/>
      </w:divBdr>
    </w:div>
    <w:div w:id="108160358">
      <w:bodyDiv w:val="1"/>
      <w:marLeft w:val="0"/>
      <w:marRight w:val="0"/>
      <w:marTop w:val="0"/>
      <w:marBottom w:val="0"/>
      <w:divBdr>
        <w:top w:val="none" w:sz="0" w:space="0" w:color="auto"/>
        <w:left w:val="none" w:sz="0" w:space="0" w:color="auto"/>
        <w:bottom w:val="none" w:sz="0" w:space="0" w:color="auto"/>
        <w:right w:val="none" w:sz="0" w:space="0" w:color="auto"/>
      </w:divBdr>
    </w:div>
    <w:div w:id="108162536">
      <w:bodyDiv w:val="1"/>
      <w:marLeft w:val="0"/>
      <w:marRight w:val="0"/>
      <w:marTop w:val="0"/>
      <w:marBottom w:val="0"/>
      <w:divBdr>
        <w:top w:val="none" w:sz="0" w:space="0" w:color="auto"/>
        <w:left w:val="none" w:sz="0" w:space="0" w:color="auto"/>
        <w:bottom w:val="none" w:sz="0" w:space="0" w:color="auto"/>
        <w:right w:val="none" w:sz="0" w:space="0" w:color="auto"/>
      </w:divBdr>
    </w:div>
    <w:div w:id="108206531">
      <w:bodyDiv w:val="1"/>
      <w:marLeft w:val="0"/>
      <w:marRight w:val="0"/>
      <w:marTop w:val="0"/>
      <w:marBottom w:val="0"/>
      <w:divBdr>
        <w:top w:val="none" w:sz="0" w:space="0" w:color="auto"/>
        <w:left w:val="none" w:sz="0" w:space="0" w:color="auto"/>
        <w:bottom w:val="none" w:sz="0" w:space="0" w:color="auto"/>
        <w:right w:val="none" w:sz="0" w:space="0" w:color="auto"/>
      </w:divBdr>
    </w:div>
    <w:div w:id="108404115">
      <w:bodyDiv w:val="1"/>
      <w:marLeft w:val="0"/>
      <w:marRight w:val="0"/>
      <w:marTop w:val="0"/>
      <w:marBottom w:val="0"/>
      <w:divBdr>
        <w:top w:val="none" w:sz="0" w:space="0" w:color="auto"/>
        <w:left w:val="none" w:sz="0" w:space="0" w:color="auto"/>
        <w:bottom w:val="none" w:sz="0" w:space="0" w:color="auto"/>
        <w:right w:val="none" w:sz="0" w:space="0" w:color="auto"/>
      </w:divBdr>
    </w:div>
    <w:div w:id="108934775">
      <w:bodyDiv w:val="1"/>
      <w:marLeft w:val="0"/>
      <w:marRight w:val="0"/>
      <w:marTop w:val="0"/>
      <w:marBottom w:val="0"/>
      <w:divBdr>
        <w:top w:val="none" w:sz="0" w:space="0" w:color="auto"/>
        <w:left w:val="none" w:sz="0" w:space="0" w:color="auto"/>
        <w:bottom w:val="none" w:sz="0" w:space="0" w:color="auto"/>
        <w:right w:val="none" w:sz="0" w:space="0" w:color="auto"/>
      </w:divBdr>
    </w:div>
    <w:div w:id="109010816">
      <w:bodyDiv w:val="1"/>
      <w:marLeft w:val="0"/>
      <w:marRight w:val="0"/>
      <w:marTop w:val="0"/>
      <w:marBottom w:val="0"/>
      <w:divBdr>
        <w:top w:val="none" w:sz="0" w:space="0" w:color="auto"/>
        <w:left w:val="none" w:sz="0" w:space="0" w:color="auto"/>
        <w:bottom w:val="none" w:sz="0" w:space="0" w:color="auto"/>
        <w:right w:val="none" w:sz="0" w:space="0" w:color="auto"/>
      </w:divBdr>
    </w:div>
    <w:div w:id="109130588">
      <w:bodyDiv w:val="1"/>
      <w:marLeft w:val="0"/>
      <w:marRight w:val="0"/>
      <w:marTop w:val="0"/>
      <w:marBottom w:val="0"/>
      <w:divBdr>
        <w:top w:val="none" w:sz="0" w:space="0" w:color="auto"/>
        <w:left w:val="none" w:sz="0" w:space="0" w:color="auto"/>
        <w:bottom w:val="none" w:sz="0" w:space="0" w:color="auto"/>
        <w:right w:val="none" w:sz="0" w:space="0" w:color="auto"/>
      </w:divBdr>
    </w:div>
    <w:div w:id="109400292">
      <w:bodyDiv w:val="1"/>
      <w:marLeft w:val="0"/>
      <w:marRight w:val="0"/>
      <w:marTop w:val="0"/>
      <w:marBottom w:val="0"/>
      <w:divBdr>
        <w:top w:val="none" w:sz="0" w:space="0" w:color="auto"/>
        <w:left w:val="none" w:sz="0" w:space="0" w:color="auto"/>
        <w:bottom w:val="none" w:sz="0" w:space="0" w:color="auto"/>
        <w:right w:val="none" w:sz="0" w:space="0" w:color="auto"/>
      </w:divBdr>
    </w:div>
    <w:div w:id="109713136">
      <w:bodyDiv w:val="1"/>
      <w:marLeft w:val="0"/>
      <w:marRight w:val="0"/>
      <w:marTop w:val="0"/>
      <w:marBottom w:val="0"/>
      <w:divBdr>
        <w:top w:val="none" w:sz="0" w:space="0" w:color="auto"/>
        <w:left w:val="none" w:sz="0" w:space="0" w:color="auto"/>
        <w:bottom w:val="none" w:sz="0" w:space="0" w:color="auto"/>
        <w:right w:val="none" w:sz="0" w:space="0" w:color="auto"/>
      </w:divBdr>
    </w:div>
    <w:div w:id="109782959">
      <w:bodyDiv w:val="1"/>
      <w:marLeft w:val="0"/>
      <w:marRight w:val="0"/>
      <w:marTop w:val="0"/>
      <w:marBottom w:val="0"/>
      <w:divBdr>
        <w:top w:val="none" w:sz="0" w:space="0" w:color="auto"/>
        <w:left w:val="none" w:sz="0" w:space="0" w:color="auto"/>
        <w:bottom w:val="none" w:sz="0" w:space="0" w:color="auto"/>
        <w:right w:val="none" w:sz="0" w:space="0" w:color="auto"/>
      </w:divBdr>
    </w:div>
    <w:div w:id="109789946">
      <w:bodyDiv w:val="1"/>
      <w:marLeft w:val="0"/>
      <w:marRight w:val="0"/>
      <w:marTop w:val="0"/>
      <w:marBottom w:val="0"/>
      <w:divBdr>
        <w:top w:val="none" w:sz="0" w:space="0" w:color="auto"/>
        <w:left w:val="none" w:sz="0" w:space="0" w:color="auto"/>
        <w:bottom w:val="none" w:sz="0" w:space="0" w:color="auto"/>
        <w:right w:val="none" w:sz="0" w:space="0" w:color="auto"/>
      </w:divBdr>
    </w:div>
    <w:div w:id="109865323">
      <w:bodyDiv w:val="1"/>
      <w:marLeft w:val="0"/>
      <w:marRight w:val="0"/>
      <w:marTop w:val="0"/>
      <w:marBottom w:val="0"/>
      <w:divBdr>
        <w:top w:val="none" w:sz="0" w:space="0" w:color="auto"/>
        <w:left w:val="none" w:sz="0" w:space="0" w:color="auto"/>
        <w:bottom w:val="none" w:sz="0" w:space="0" w:color="auto"/>
        <w:right w:val="none" w:sz="0" w:space="0" w:color="auto"/>
      </w:divBdr>
    </w:div>
    <w:div w:id="110126304">
      <w:bodyDiv w:val="1"/>
      <w:marLeft w:val="0"/>
      <w:marRight w:val="0"/>
      <w:marTop w:val="0"/>
      <w:marBottom w:val="0"/>
      <w:divBdr>
        <w:top w:val="none" w:sz="0" w:space="0" w:color="auto"/>
        <w:left w:val="none" w:sz="0" w:space="0" w:color="auto"/>
        <w:bottom w:val="none" w:sz="0" w:space="0" w:color="auto"/>
        <w:right w:val="none" w:sz="0" w:space="0" w:color="auto"/>
      </w:divBdr>
    </w:div>
    <w:div w:id="110319399">
      <w:bodyDiv w:val="1"/>
      <w:marLeft w:val="0"/>
      <w:marRight w:val="0"/>
      <w:marTop w:val="0"/>
      <w:marBottom w:val="0"/>
      <w:divBdr>
        <w:top w:val="none" w:sz="0" w:space="0" w:color="auto"/>
        <w:left w:val="none" w:sz="0" w:space="0" w:color="auto"/>
        <w:bottom w:val="none" w:sz="0" w:space="0" w:color="auto"/>
        <w:right w:val="none" w:sz="0" w:space="0" w:color="auto"/>
      </w:divBdr>
    </w:div>
    <w:div w:id="110320028">
      <w:bodyDiv w:val="1"/>
      <w:marLeft w:val="0"/>
      <w:marRight w:val="0"/>
      <w:marTop w:val="0"/>
      <w:marBottom w:val="0"/>
      <w:divBdr>
        <w:top w:val="none" w:sz="0" w:space="0" w:color="auto"/>
        <w:left w:val="none" w:sz="0" w:space="0" w:color="auto"/>
        <w:bottom w:val="none" w:sz="0" w:space="0" w:color="auto"/>
        <w:right w:val="none" w:sz="0" w:space="0" w:color="auto"/>
      </w:divBdr>
    </w:div>
    <w:div w:id="110362965">
      <w:bodyDiv w:val="1"/>
      <w:marLeft w:val="0"/>
      <w:marRight w:val="0"/>
      <w:marTop w:val="0"/>
      <w:marBottom w:val="0"/>
      <w:divBdr>
        <w:top w:val="none" w:sz="0" w:space="0" w:color="auto"/>
        <w:left w:val="none" w:sz="0" w:space="0" w:color="auto"/>
        <w:bottom w:val="none" w:sz="0" w:space="0" w:color="auto"/>
        <w:right w:val="none" w:sz="0" w:space="0" w:color="auto"/>
      </w:divBdr>
    </w:div>
    <w:div w:id="110440514">
      <w:bodyDiv w:val="1"/>
      <w:marLeft w:val="0"/>
      <w:marRight w:val="0"/>
      <w:marTop w:val="0"/>
      <w:marBottom w:val="0"/>
      <w:divBdr>
        <w:top w:val="none" w:sz="0" w:space="0" w:color="auto"/>
        <w:left w:val="none" w:sz="0" w:space="0" w:color="auto"/>
        <w:bottom w:val="none" w:sz="0" w:space="0" w:color="auto"/>
        <w:right w:val="none" w:sz="0" w:space="0" w:color="auto"/>
      </w:divBdr>
    </w:div>
    <w:div w:id="110977799">
      <w:bodyDiv w:val="1"/>
      <w:marLeft w:val="0"/>
      <w:marRight w:val="0"/>
      <w:marTop w:val="0"/>
      <w:marBottom w:val="0"/>
      <w:divBdr>
        <w:top w:val="none" w:sz="0" w:space="0" w:color="auto"/>
        <w:left w:val="none" w:sz="0" w:space="0" w:color="auto"/>
        <w:bottom w:val="none" w:sz="0" w:space="0" w:color="auto"/>
        <w:right w:val="none" w:sz="0" w:space="0" w:color="auto"/>
      </w:divBdr>
    </w:div>
    <w:div w:id="110979238">
      <w:bodyDiv w:val="1"/>
      <w:marLeft w:val="0"/>
      <w:marRight w:val="0"/>
      <w:marTop w:val="0"/>
      <w:marBottom w:val="0"/>
      <w:divBdr>
        <w:top w:val="none" w:sz="0" w:space="0" w:color="auto"/>
        <w:left w:val="none" w:sz="0" w:space="0" w:color="auto"/>
        <w:bottom w:val="none" w:sz="0" w:space="0" w:color="auto"/>
        <w:right w:val="none" w:sz="0" w:space="0" w:color="auto"/>
      </w:divBdr>
    </w:div>
    <w:div w:id="111019148">
      <w:bodyDiv w:val="1"/>
      <w:marLeft w:val="0"/>
      <w:marRight w:val="0"/>
      <w:marTop w:val="0"/>
      <w:marBottom w:val="0"/>
      <w:divBdr>
        <w:top w:val="none" w:sz="0" w:space="0" w:color="auto"/>
        <w:left w:val="none" w:sz="0" w:space="0" w:color="auto"/>
        <w:bottom w:val="none" w:sz="0" w:space="0" w:color="auto"/>
        <w:right w:val="none" w:sz="0" w:space="0" w:color="auto"/>
      </w:divBdr>
    </w:div>
    <w:div w:id="111290807">
      <w:bodyDiv w:val="1"/>
      <w:marLeft w:val="0"/>
      <w:marRight w:val="0"/>
      <w:marTop w:val="0"/>
      <w:marBottom w:val="0"/>
      <w:divBdr>
        <w:top w:val="none" w:sz="0" w:space="0" w:color="auto"/>
        <w:left w:val="none" w:sz="0" w:space="0" w:color="auto"/>
        <w:bottom w:val="none" w:sz="0" w:space="0" w:color="auto"/>
        <w:right w:val="none" w:sz="0" w:space="0" w:color="auto"/>
      </w:divBdr>
    </w:div>
    <w:div w:id="111364890">
      <w:bodyDiv w:val="1"/>
      <w:marLeft w:val="0"/>
      <w:marRight w:val="0"/>
      <w:marTop w:val="0"/>
      <w:marBottom w:val="0"/>
      <w:divBdr>
        <w:top w:val="none" w:sz="0" w:space="0" w:color="auto"/>
        <w:left w:val="none" w:sz="0" w:space="0" w:color="auto"/>
        <w:bottom w:val="none" w:sz="0" w:space="0" w:color="auto"/>
        <w:right w:val="none" w:sz="0" w:space="0" w:color="auto"/>
      </w:divBdr>
    </w:div>
    <w:div w:id="111631957">
      <w:bodyDiv w:val="1"/>
      <w:marLeft w:val="0"/>
      <w:marRight w:val="0"/>
      <w:marTop w:val="0"/>
      <w:marBottom w:val="0"/>
      <w:divBdr>
        <w:top w:val="none" w:sz="0" w:space="0" w:color="auto"/>
        <w:left w:val="none" w:sz="0" w:space="0" w:color="auto"/>
        <w:bottom w:val="none" w:sz="0" w:space="0" w:color="auto"/>
        <w:right w:val="none" w:sz="0" w:space="0" w:color="auto"/>
      </w:divBdr>
    </w:div>
    <w:div w:id="111674707">
      <w:bodyDiv w:val="1"/>
      <w:marLeft w:val="0"/>
      <w:marRight w:val="0"/>
      <w:marTop w:val="0"/>
      <w:marBottom w:val="0"/>
      <w:divBdr>
        <w:top w:val="none" w:sz="0" w:space="0" w:color="auto"/>
        <w:left w:val="none" w:sz="0" w:space="0" w:color="auto"/>
        <w:bottom w:val="none" w:sz="0" w:space="0" w:color="auto"/>
        <w:right w:val="none" w:sz="0" w:space="0" w:color="auto"/>
      </w:divBdr>
    </w:div>
    <w:div w:id="111824833">
      <w:bodyDiv w:val="1"/>
      <w:marLeft w:val="0"/>
      <w:marRight w:val="0"/>
      <w:marTop w:val="0"/>
      <w:marBottom w:val="0"/>
      <w:divBdr>
        <w:top w:val="none" w:sz="0" w:space="0" w:color="auto"/>
        <w:left w:val="none" w:sz="0" w:space="0" w:color="auto"/>
        <w:bottom w:val="none" w:sz="0" w:space="0" w:color="auto"/>
        <w:right w:val="none" w:sz="0" w:space="0" w:color="auto"/>
      </w:divBdr>
    </w:div>
    <w:div w:id="111829626">
      <w:bodyDiv w:val="1"/>
      <w:marLeft w:val="0"/>
      <w:marRight w:val="0"/>
      <w:marTop w:val="0"/>
      <w:marBottom w:val="0"/>
      <w:divBdr>
        <w:top w:val="none" w:sz="0" w:space="0" w:color="auto"/>
        <w:left w:val="none" w:sz="0" w:space="0" w:color="auto"/>
        <w:bottom w:val="none" w:sz="0" w:space="0" w:color="auto"/>
        <w:right w:val="none" w:sz="0" w:space="0" w:color="auto"/>
      </w:divBdr>
    </w:div>
    <w:div w:id="112402656">
      <w:bodyDiv w:val="1"/>
      <w:marLeft w:val="0"/>
      <w:marRight w:val="0"/>
      <w:marTop w:val="0"/>
      <w:marBottom w:val="0"/>
      <w:divBdr>
        <w:top w:val="none" w:sz="0" w:space="0" w:color="auto"/>
        <w:left w:val="none" w:sz="0" w:space="0" w:color="auto"/>
        <w:bottom w:val="none" w:sz="0" w:space="0" w:color="auto"/>
        <w:right w:val="none" w:sz="0" w:space="0" w:color="auto"/>
      </w:divBdr>
    </w:div>
    <w:div w:id="112403047">
      <w:bodyDiv w:val="1"/>
      <w:marLeft w:val="0"/>
      <w:marRight w:val="0"/>
      <w:marTop w:val="0"/>
      <w:marBottom w:val="0"/>
      <w:divBdr>
        <w:top w:val="none" w:sz="0" w:space="0" w:color="auto"/>
        <w:left w:val="none" w:sz="0" w:space="0" w:color="auto"/>
        <w:bottom w:val="none" w:sz="0" w:space="0" w:color="auto"/>
        <w:right w:val="none" w:sz="0" w:space="0" w:color="auto"/>
      </w:divBdr>
    </w:div>
    <w:div w:id="112403783">
      <w:bodyDiv w:val="1"/>
      <w:marLeft w:val="0"/>
      <w:marRight w:val="0"/>
      <w:marTop w:val="0"/>
      <w:marBottom w:val="0"/>
      <w:divBdr>
        <w:top w:val="none" w:sz="0" w:space="0" w:color="auto"/>
        <w:left w:val="none" w:sz="0" w:space="0" w:color="auto"/>
        <w:bottom w:val="none" w:sz="0" w:space="0" w:color="auto"/>
        <w:right w:val="none" w:sz="0" w:space="0" w:color="auto"/>
      </w:divBdr>
    </w:div>
    <w:div w:id="112478764">
      <w:bodyDiv w:val="1"/>
      <w:marLeft w:val="0"/>
      <w:marRight w:val="0"/>
      <w:marTop w:val="0"/>
      <w:marBottom w:val="0"/>
      <w:divBdr>
        <w:top w:val="none" w:sz="0" w:space="0" w:color="auto"/>
        <w:left w:val="none" w:sz="0" w:space="0" w:color="auto"/>
        <w:bottom w:val="none" w:sz="0" w:space="0" w:color="auto"/>
        <w:right w:val="none" w:sz="0" w:space="0" w:color="auto"/>
      </w:divBdr>
    </w:div>
    <w:div w:id="112675994">
      <w:bodyDiv w:val="1"/>
      <w:marLeft w:val="0"/>
      <w:marRight w:val="0"/>
      <w:marTop w:val="0"/>
      <w:marBottom w:val="0"/>
      <w:divBdr>
        <w:top w:val="none" w:sz="0" w:space="0" w:color="auto"/>
        <w:left w:val="none" w:sz="0" w:space="0" w:color="auto"/>
        <w:bottom w:val="none" w:sz="0" w:space="0" w:color="auto"/>
        <w:right w:val="none" w:sz="0" w:space="0" w:color="auto"/>
      </w:divBdr>
    </w:div>
    <w:div w:id="112677391">
      <w:bodyDiv w:val="1"/>
      <w:marLeft w:val="0"/>
      <w:marRight w:val="0"/>
      <w:marTop w:val="0"/>
      <w:marBottom w:val="0"/>
      <w:divBdr>
        <w:top w:val="none" w:sz="0" w:space="0" w:color="auto"/>
        <w:left w:val="none" w:sz="0" w:space="0" w:color="auto"/>
        <w:bottom w:val="none" w:sz="0" w:space="0" w:color="auto"/>
        <w:right w:val="none" w:sz="0" w:space="0" w:color="auto"/>
      </w:divBdr>
    </w:div>
    <w:div w:id="112793241">
      <w:bodyDiv w:val="1"/>
      <w:marLeft w:val="0"/>
      <w:marRight w:val="0"/>
      <w:marTop w:val="0"/>
      <w:marBottom w:val="0"/>
      <w:divBdr>
        <w:top w:val="none" w:sz="0" w:space="0" w:color="auto"/>
        <w:left w:val="none" w:sz="0" w:space="0" w:color="auto"/>
        <w:bottom w:val="none" w:sz="0" w:space="0" w:color="auto"/>
        <w:right w:val="none" w:sz="0" w:space="0" w:color="auto"/>
      </w:divBdr>
    </w:div>
    <w:div w:id="112796589">
      <w:bodyDiv w:val="1"/>
      <w:marLeft w:val="0"/>
      <w:marRight w:val="0"/>
      <w:marTop w:val="0"/>
      <w:marBottom w:val="0"/>
      <w:divBdr>
        <w:top w:val="none" w:sz="0" w:space="0" w:color="auto"/>
        <w:left w:val="none" w:sz="0" w:space="0" w:color="auto"/>
        <w:bottom w:val="none" w:sz="0" w:space="0" w:color="auto"/>
        <w:right w:val="none" w:sz="0" w:space="0" w:color="auto"/>
      </w:divBdr>
    </w:div>
    <w:div w:id="112947855">
      <w:bodyDiv w:val="1"/>
      <w:marLeft w:val="0"/>
      <w:marRight w:val="0"/>
      <w:marTop w:val="0"/>
      <w:marBottom w:val="0"/>
      <w:divBdr>
        <w:top w:val="none" w:sz="0" w:space="0" w:color="auto"/>
        <w:left w:val="none" w:sz="0" w:space="0" w:color="auto"/>
        <w:bottom w:val="none" w:sz="0" w:space="0" w:color="auto"/>
        <w:right w:val="none" w:sz="0" w:space="0" w:color="auto"/>
      </w:divBdr>
    </w:div>
    <w:div w:id="112985967">
      <w:bodyDiv w:val="1"/>
      <w:marLeft w:val="0"/>
      <w:marRight w:val="0"/>
      <w:marTop w:val="0"/>
      <w:marBottom w:val="0"/>
      <w:divBdr>
        <w:top w:val="none" w:sz="0" w:space="0" w:color="auto"/>
        <w:left w:val="none" w:sz="0" w:space="0" w:color="auto"/>
        <w:bottom w:val="none" w:sz="0" w:space="0" w:color="auto"/>
        <w:right w:val="none" w:sz="0" w:space="0" w:color="auto"/>
      </w:divBdr>
    </w:div>
    <w:div w:id="113183159">
      <w:bodyDiv w:val="1"/>
      <w:marLeft w:val="0"/>
      <w:marRight w:val="0"/>
      <w:marTop w:val="0"/>
      <w:marBottom w:val="0"/>
      <w:divBdr>
        <w:top w:val="none" w:sz="0" w:space="0" w:color="auto"/>
        <w:left w:val="none" w:sz="0" w:space="0" w:color="auto"/>
        <w:bottom w:val="none" w:sz="0" w:space="0" w:color="auto"/>
        <w:right w:val="none" w:sz="0" w:space="0" w:color="auto"/>
      </w:divBdr>
    </w:div>
    <w:div w:id="113332862">
      <w:bodyDiv w:val="1"/>
      <w:marLeft w:val="0"/>
      <w:marRight w:val="0"/>
      <w:marTop w:val="0"/>
      <w:marBottom w:val="0"/>
      <w:divBdr>
        <w:top w:val="none" w:sz="0" w:space="0" w:color="auto"/>
        <w:left w:val="none" w:sz="0" w:space="0" w:color="auto"/>
        <w:bottom w:val="none" w:sz="0" w:space="0" w:color="auto"/>
        <w:right w:val="none" w:sz="0" w:space="0" w:color="auto"/>
      </w:divBdr>
    </w:div>
    <w:div w:id="113401910">
      <w:bodyDiv w:val="1"/>
      <w:marLeft w:val="0"/>
      <w:marRight w:val="0"/>
      <w:marTop w:val="0"/>
      <w:marBottom w:val="0"/>
      <w:divBdr>
        <w:top w:val="none" w:sz="0" w:space="0" w:color="auto"/>
        <w:left w:val="none" w:sz="0" w:space="0" w:color="auto"/>
        <w:bottom w:val="none" w:sz="0" w:space="0" w:color="auto"/>
        <w:right w:val="none" w:sz="0" w:space="0" w:color="auto"/>
      </w:divBdr>
    </w:div>
    <w:div w:id="113446788">
      <w:bodyDiv w:val="1"/>
      <w:marLeft w:val="0"/>
      <w:marRight w:val="0"/>
      <w:marTop w:val="0"/>
      <w:marBottom w:val="0"/>
      <w:divBdr>
        <w:top w:val="none" w:sz="0" w:space="0" w:color="auto"/>
        <w:left w:val="none" w:sz="0" w:space="0" w:color="auto"/>
        <w:bottom w:val="none" w:sz="0" w:space="0" w:color="auto"/>
        <w:right w:val="none" w:sz="0" w:space="0" w:color="auto"/>
      </w:divBdr>
    </w:div>
    <w:div w:id="113643599">
      <w:bodyDiv w:val="1"/>
      <w:marLeft w:val="0"/>
      <w:marRight w:val="0"/>
      <w:marTop w:val="0"/>
      <w:marBottom w:val="0"/>
      <w:divBdr>
        <w:top w:val="none" w:sz="0" w:space="0" w:color="auto"/>
        <w:left w:val="none" w:sz="0" w:space="0" w:color="auto"/>
        <w:bottom w:val="none" w:sz="0" w:space="0" w:color="auto"/>
        <w:right w:val="none" w:sz="0" w:space="0" w:color="auto"/>
      </w:divBdr>
    </w:div>
    <w:div w:id="113645159">
      <w:bodyDiv w:val="1"/>
      <w:marLeft w:val="0"/>
      <w:marRight w:val="0"/>
      <w:marTop w:val="0"/>
      <w:marBottom w:val="0"/>
      <w:divBdr>
        <w:top w:val="none" w:sz="0" w:space="0" w:color="auto"/>
        <w:left w:val="none" w:sz="0" w:space="0" w:color="auto"/>
        <w:bottom w:val="none" w:sz="0" w:space="0" w:color="auto"/>
        <w:right w:val="none" w:sz="0" w:space="0" w:color="auto"/>
      </w:divBdr>
    </w:div>
    <w:div w:id="113646685">
      <w:bodyDiv w:val="1"/>
      <w:marLeft w:val="0"/>
      <w:marRight w:val="0"/>
      <w:marTop w:val="0"/>
      <w:marBottom w:val="0"/>
      <w:divBdr>
        <w:top w:val="none" w:sz="0" w:space="0" w:color="auto"/>
        <w:left w:val="none" w:sz="0" w:space="0" w:color="auto"/>
        <w:bottom w:val="none" w:sz="0" w:space="0" w:color="auto"/>
        <w:right w:val="none" w:sz="0" w:space="0" w:color="auto"/>
      </w:divBdr>
    </w:div>
    <w:div w:id="113788167">
      <w:bodyDiv w:val="1"/>
      <w:marLeft w:val="0"/>
      <w:marRight w:val="0"/>
      <w:marTop w:val="0"/>
      <w:marBottom w:val="0"/>
      <w:divBdr>
        <w:top w:val="none" w:sz="0" w:space="0" w:color="auto"/>
        <w:left w:val="none" w:sz="0" w:space="0" w:color="auto"/>
        <w:bottom w:val="none" w:sz="0" w:space="0" w:color="auto"/>
        <w:right w:val="none" w:sz="0" w:space="0" w:color="auto"/>
      </w:divBdr>
    </w:div>
    <w:div w:id="113790382">
      <w:bodyDiv w:val="1"/>
      <w:marLeft w:val="0"/>
      <w:marRight w:val="0"/>
      <w:marTop w:val="0"/>
      <w:marBottom w:val="0"/>
      <w:divBdr>
        <w:top w:val="none" w:sz="0" w:space="0" w:color="auto"/>
        <w:left w:val="none" w:sz="0" w:space="0" w:color="auto"/>
        <w:bottom w:val="none" w:sz="0" w:space="0" w:color="auto"/>
        <w:right w:val="none" w:sz="0" w:space="0" w:color="auto"/>
      </w:divBdr>
    </w:div>
    <w:div w:id="114258923">
      <w:bodyDiv w:val="1"/>
      <w:marLeft w:val="0"/>
      <w:marRight w:val="0"/>
      <w:marTop w:val="0"/>
      <w:marBottom w:val="0"/>
      <w:divBdr>
        <w:top w:val="none" w:sz="0" w:space="0" w:color="auto"/>
        <w:left w:val="none" w:sz="0" w:space="0" w:color="auto"/>
        <w:bottom w:val="none" w:sz="0" w:space="0" w:color="auto"/>
        <w:right w:val="none" w:sz="0" w:space="0" w:color="auto"/>
      </w:divBdr>
    </w:div>
    <w:div w:id="114299810">
      <w:bodyDiv w:val="1"/>
      <w:marLeft w:val="0"/>
      <w:marRight w:val="0"/>
      <w:marTop w:val="0"/>
      <w:marBottom w:val="0"/>
      <w:divBdr>
        <w:top w:val="none" w:sz="0" w:space="0" w:color="auto"/>
        <w:left w:val="none" w:sz="0" w:space="0" w:color="auto"/>
        <w:bottom w:val="none" w:sz="0" w:space="0" w:color="auto"/>
        <w:right w:val="none" w:sz="0" w:space="0" w:color="auto"/>
      </w:divBdr>
    </w:div>
    <w:div w:id="114299893">
      <w:bodyDiv w:val="1"/>
      <w:marLeft w:val="0"/>
      <w:marRight w:val="0"/>
      <w:marTop w:val="0"/>
      <w:marBottom w:val="0"/>
      <w:divBdr>
        <w:top w:val="none" w:sz="0" w:space="0" w:color="auto"/>
        <w:left w:val="none" w:sz="0" w:space="0" w:color="auto"/>
        <w:bottom w:val="none" w:sz="0" w:space="0" w:color="auto"/>
        <w:right w:val="none" w:sz="0" w:space="0" w:color="auto"/>
      </w:divBdr>
    </w:div>
    <w:div w:id="114493004">
      <w:bodyDiv w:val="1"/>
      <w:marLeft w:val="0"/>
      <w:marRight w:val="0"/>
      <w:marTop w:val="0"/>
      <w:marBottom w:val="0"/>
      <w:divBdr>
        <w:top w:val="none" w:sz="0" w:space="0" w:color="auto"/>
        <w:left w:val="none" w:sz="0" w:space="0" w:color="auto"/>
        <w:bottom w:val="none" w:sz="0" w:space="0" w:color="auto"/>
        <w:right w:val="none" w:sz="0" w:space="0" w:color="auto"/>
      </w:divBdr>
    </w:div>
    <w:div w:id="114637202">
      <w:bodyDiv w:val="1"/>
      <w:marLeft w:val="0"/>
      <w:marRight w:val="0"/>
      <w:marTop w:val="0"/>
      <w:marBottom w:val="0"/>
      <w:divBdr>
        <w:top w:val="none" w:sz="0" w:space="0" w:color="auto"/>
        <w:left w:val="none" w:sz="0" w:space="0" w:color="auto"/>
        <w:bottom w:val="none" w:sz="0" w:space="0" w:color="auto"/>
        <w:right w:val="none" w:sz="0" w:space="0" w:color="auto"/>
      </w:divBdr>
    </w:div>
    <w:div w:id="114638296">
      <w:bodyDiv w:val="1"/>
      <w:marLeft w:val="0"/>
      <w:marRight w:val="0"/>
      <w:marTop w:val="0"/>
      <w:marBottom w:val="0"/>
      <w:divBdr>
        <w:top w:val="none" w:sz="0" w:space="0" w:color="auto"/>
        <w:left w:val="none" w:sz="0" w:space="0" w:color="auto"/>
        <w:bottom w:val="none" w:sz="0" w:space="0" w:color="auto"/>
        <w:right w:val="none" w:sz="0" w:space="0" w:color="auto"/>
      </w:divBdr>
    </w:div>
    <w:div w:id="114645385">
      <w:bodyDiv w:val="1"/>
      <w:marLeft w:val="0"/>
      <w:marRight w:val="0"/>
      <w:marTop w:val="0"/>
      <w:marBottom w:val="0"/>
      <w:divBdr>
        <w:top w:val="none" w:sz="0" w:space="0" w:color="auto"/>
        <w:left w:val="none" w:sz="0" w:space="0" w:color="auto"/>
        <w:bottom w:val="none" w:sz="0" w:space="0" w:color="auto"/>
        <w:right w:val="none" w:sz="0" w:space="0" w:color="auto"/>
      </w:divBdr>
    </w:div>
    <w:div w:id="114756992">
      <w:bodyDiv w:val="1"/>
      <w:marLeft w:val="0"/>
      <w:marRight w:val="0"/>
      <w:marTop w:val="0"/>
      <w:marBottom w:val="0"/>
      <w:divBdr>
        <w:top w:val="none" w:sz="0" w:space="0" w:color="auto"/>
        <w:left w:val="none" w:sz="0" w:space="0" w:color="auto"/>
        <w:bottom w:val="none" w:sz="0" w:space="0" w:color="auto"/>
        <w:right w:val="none" w:sz="0" w:space="0" w:color="auto"/>
      </w:divBdr>
    </w:div>
    <w:div w:id="114758035">
      <w:bodyDiv w:val="1"/>
      <w:marLeft w:val="0"/>
      <w:marRight w:val="0"/>
      <w:marTop w:val="0"/>
      <w:marBottom w:val="0"/>
      <w:divBdr>
        <w:top w:val="none" w:sz="0" w:space="0" w:color="auto"/>
        <w:left w:val="none" w:sz="0" w:space="0" w:color="auto"/>
        <w:bottom w:val="none" w:sz="0" w:space="0" w:color="auto"/>
        <w:right w:val="none" w:sz="0" w:space="0" w:color="auto"/>
      </w:divBdr>
    </w:div>
    <w:div w:id="114831299">
      <w:bodyDiv w:val="1"/>
      <w:marLeft w:val="0"/>
      <w:marRight w:val="0"/>
      <w:marTop w:val="0"/>
      <w:marBottom w:val="0"/>
      <w:divBdr>
        <w:top w:val="none" w:sz="0" w:space="0" w:color="auto"/>
        <w:left w:val="none" w:sz="0" w:space="0" w:color="auto"/>
        <w:bottom w:val="none" w:sz="0" w:space="0" w:color="auto"/>
        <w:right w:val="none" w:sz="0" w:space="0" w:color="auto"/>
      </w:divBdr>
    </w:div>
    <w:div w:id="114834823">
      <w:bodyDiv w:val="1"/>
      <w:marLeft w:val="0"/>
      <w:marRight w:val="0"/>
      <w:marTop w:val="0"/>
      <w:marBottom w:val="0"/>
      <w:divBdr>
        <w:top w:val="none" w:sz="0" w:space="0" w:color="auto"/>
        <w:left w:val="none" w:sz="0" w:space="0" w:color="auto"/>
        <w:bottom w:val="none" w:sz="0" w:space="0" w:color="auto"/>
        <w:right w:val="none" w:sz="0" w:space="0" w:color="auto"/>
      </w:divBdr>
    </w:div>
    <w:div w:id="114908227">
      <w:bodyDiv w:val="1"/>
      <w:marLeft w:val="0"/>
      <w:marRight w:val="0"/>
      <w:marTop w:val="0"/>
      <w:marBottom w:val="0"/>
      <w:divBdr>
        <w:top w:val="none" w:sz="0" w:space="0" w:color="auto"/>
        <w:left w:val="none" w:sz="0" w:space="0" w:color="auto"/>
        <w:bottom w:val="none" w:sz="0" w:space="0" w:color="auto"/>
        <w:right w:val="none" w:sz="0" w:space="0" w:color="auto"/>
      </w:divBdr>
    </w:div>
    <w:div w:id="115179398">
      <w:bodyDiv w:val="1"/>
      <w:marLeft w:val="0"/>
      <w:marRight w:val="0"/>
      <w:marTop w:val="0"/>
      <w:marBottom w:val="0"/>
      <w:divBdr>
        <w:top w:val="none" w:sz="0" w:space="0" w:color="auto"/>
        <w:left w:val="none" w:sz="0" w:space="0" w:color="auto"/>
        <w:bottom w:val="none" w:sz="0" w:space="0" w:color="auto"/>
        <w:right w:val="none" w:sz="0" w:space="0" w:color="auto"/>
      </w:divBdr>
    </w:div>
    <w:div w:id="115298545">
      <w:bodyDiv w:val="1"/>
      <w:marLeft w:val="0"/>
      <w:marRight w:val="0"/>
      <w:marTop w:val="0"/>
      <w:marBottom w:val="0"/>
      <w:divBdr>
        <w:top w:val="none" w:sz="0" w:space="0" w:color="auto"/>
        <w:left w:val="none" w:sz="0" w:space="0" w:color="auto"/>
        <w:bottom w:val="none" w:sz="0" w:space="0" w:color="auto"/>
        <w:right w:val="none" w:sz="0" w:space="0" w:color="auto"/>
      </w:divBdr>
    </w:div>
    <w:div w:id="115368901">
      <w:bodyDiv w:val="1"/>
      <w:marLeft w:val="0"/>
      <w:marRight w:val="0"/>
      <w:marTop w:val="0"/>
      <w:marBottom w:val="0"/>
      <w:divBdr>
        <w:top w:val="none" w:sz="0" w:space="0" w:color="auto"/>
        <w:left w:val="none" w:sz="0" w:space="0" w:color="auto"/>
        <w:bottom w:val="none" w:sz="0" w:space="0" w:color="auto"/>
        <w:right w:val="none" w:sz="0" w:space="0" w:color="auto"/>
      </w:divBdr>
    </w:div>
    <w:div w:id="115369924">
      <w:bodyDiv w:val="1"/>
      <w:marLeft w:val="0"/>
      <w:marRight w:val="0"/>
      <w:marTop w:val="0"/>
      <w:marBottom w:val="0"/>
      <w:divBdr>
        <w:top w:val="none" w:sz="0" w:space="0" w:color="auto"/>
        <w:left w:val="none" w:sz="0" w:space="0" w:color="auto"/>
        <w:bottom w:val="none" w:sz="0" w:space="0" w:color="auto"/>
        <w:right w:val="none" w:sz="0" w:space="0" w:color="auto"/>
      </w:divBdr>
    </w:div>
    <w:div w:id="115487576">
      <w:bodyDiv w:val="1"/>
      <w:marLeft w:val="0"/>
      <w:marRight w:val="0"/>
      <w:marTop w:val="0"/>
      <w:marBottom w:val="0"/>
      <w:divBdr>
        <w:top w:val="none" w:sz="0" w:space="0" w:color="auto"/>
        <w:left w:val="none" w:sz="0" w:space="0" w:color="auto"/>
        <w:bottom w:val="none" w:sz="0" w:space="0" w:color="auto"/>
        <w:right w:val="none" w:sz="0" w:space="0" w:color="auto"/>
      </w:divBdr>
    </w:div>
    <w:div w:id="115757540">
      <w:bodyDiv w:val="1"/>
      <w:marLeft w:val="0"/>
      <w:marRight w:val="0"/>
      <w:marTop w:val="0"/>
      <w:marBottom w:val="0"/>
      <w:divBdr>
        <w:top w:val="none" w:sz="0" w:space="0" w:color="auto"/>
        <w:left w:val="none" w:sz="0" w:space="0" w:color="auto"/>
        <w:bottom w:val="none" w:sz="0" w:space="0" w:color="auto"/>
        <w:right w:val="none" w:sz="0" w:space="0" w:color="auto"/>
      </w:divBdr>
    </w:div>
    <w:div w:id="115832598">
      <w:bodyDiv w:val="1"/>
      <w:marLeft w:val="0"/>
      <w:marRight w:val="0"/>
      <w:marTop w:val="0"/>
      <w:marBottom w:val="0"/>
      <w:divBdr>
        <w:top w:val="none" w:sz="0" w:space="0" w:color="auto"/>
        <w:left w:val="none" w:sz="0" w:space="0" w:color="auto"/>
        <w:bottom w:val="none" w:sz="0" w:space="0" w:color="auto"/>
        <w:right w:val="none" w:sz="0" w:space="0" w:color="auto"/>
      </w:divBdr>
    </w:div>
    <w:div w:id="116074459">
      <w:bodyDiv w:val="1"/>
      <w:marLeft w:val="0"/>
      <w:marRight w:val="0"/>
      <w:marTop w:val="0"/>
      <w:marBottom w:val="0"/>
      <w:divBdr>
        <w:top w:val="none" w:sz="0" w:space="0" w:color="auto"/>
        <w:left w:val="none" w:sz="0" w:space="0" w:color="auto"/>
        <w:bottom w:val="none" w:sz="0" w:space="0" w:color="auto"/>
        <w:right w:val="none" w:sz="0" w:space="0" w:color="auto"/>
      </w:divBdr>
    </w:div>
    <w:div w:id="116146711">
      <w:bodyDiv w:val="1"/>
      <w:marLeft w:val="0"/>
      <w:marRight w:val="0"/>
      <w:marTop w:val="0"/>
      <w:marBottom w:val="0"/>
      <w:divBdr>
        <w:top w:val="none" w:sz="0" w:space="0" w:color="auto"/>
        <w:left w:val="none" w:sz="0" w:space="0" w:color="auto"/>
        <w:bottom w:val="none" w:sz="0" w:space="0" w:color="auto"/>
        <w:right w:val="none" w:sz="0" w:space="0" w:color="auto"/>
      </w:divBdr>
    </w:div>
    <w:div w:id="116336314">
      <w:bodyDiv w:val="1"/>
      <w:marLeft w:val="0"/>
      <w:marRight w:val="0"/>
      <w:marTop w:val="0"/>
      <w:marBottom w:val="0"/>
      <w:divBdr>
        <w:top w:val="none" w:sz="0" w:space="0" w:color="auto"/>
        <w:left w:val="none" w:sz="0" w:space="0" w:color="auto"/>
        <w:bottom w:val="none" w:sz="0" w:space="0" w:color="auto"/>
        <w:right w:val="none" w:sz="0" w:space="0" w:color="auto"/>
      </w:divBdr>
    </w:div>
    <w:div w:id="116533997">
      <w:bodyDiv w:val="1"/>
      <w:marLeft w:val="0"/>
      <w:marRight w:val="0"/>
      <w:marTop w:val="0"/>
      <w:marBottom w:val="0"/>
      <w:divBdr>
        <w:top w:val="none" w:sz="0" w:space="0" w:color="auto"/>
        <w:left w:val="none" w:sz="0" w:space="0" w:color="auto"/>
        <w:bottom w:val="none" w:sz="0" w:space="0" w:color="auto"/>
        <w:right w:val="none" w:sz="0" w:space="0" w:color="auto"/>
      </w:divBdr>
    </w:div>
    <w:div w:id="116603204">
      <w:bodyDiv w:val="1"/>
      <w:marLeft w:val="0"/>
      <w:marRight w:val="0"/>
      <w:marTop w:val="0"/>
      <w:marBottom w:val="0"/>
      <w:divBdr>
        <w:top w:val="none" w:sz="0" w:space="0" w:color="auto"/>
        <w:left w:val="none" w:sz="0" w:space="0" w:color="auto"/>
        <w:bottom w:val="none" w:sz="0" w:space="0" w:color="auto"/>
        <w:right w:val="none" w:sz="0" w:space="0" w:color="auto"/>
      </w:divBdr>
    </w:div>
    <w:div w:id="116722590">
      <w:bodyDiv w:val="1"/>
      <w:marLeft w:val="0"/>
      <w:marRight w:val="0"/>
      <w:marTop w:val="0"/>
      <w:marBottom w:val="0"/>
      <w:divBdr>
        <w:top w:val="none" w:sz="0" w:space="0" w:color="auto"/>
        <w:left w:val="none" w:sz="0" w:space="0" w:color="auto"/>
        <w:bottom w:val="none" w:sz="0" w:space="0" w:color="auto"/>
        <w:right w:val="none" w:sz="0" w:space="0" w:color="auto"/>
      </w:divBdr>
    </w:div>
    <w:div w:id="116874655">
      <w:bodyDiv w:val="1"/>
      <w:marLeft w:val="0"/>
      <w:marRight w:val="0"/>
      <w:marTop w:val="0"/>
      <w:marBottom w:val="0"/>
      <w:divBdr>
        <w:top w:val="none" w:sz="0" w:space="0" w:color="auto"/>
        <w:left w:val="none" w:sz="0" w:space="0" w:color="auto"/>
        <w:bottom w:val="none" w:sz="0" w:space="0" w:color="auto"/>
        <w:right w:val="none" w:sz="0" w:space="0" w:color="auto"/>
      </w:divBdr>
    </w:div>
    <w:div w:id="116948901">
      <w:bodyDiv w:val="1"/>
      <w:marLeft w:val="0"/>
      <w:marRight w:val="0"/>
      <w:marTop w:val="0"/>
      <w:marBottom w:val="0"/>
      <w:divBdr>
        <w:top w:val="none" w:sz="0" w:space="0" w:color="auto"/>
        <w:left w:val="none" w:sz="0" w:space="0" w:color="auto"/>
        <w:bottom w:val="none" w:sz="0" w:space="0" w:color="auto"/>
        <w:right w:val="none" w:sz="0" w:space="0" w:color="auto"/>
      </w:divBdr>
    </w:div>
    <w:div w:id="116989406">
      <w:bodyDiv w:val="1"/>
      <w:marLeft w:val="0"/>
      <w:marRight w:val="0"/>
      <w:marTop w:val="0"/>
      <w:marBottom w:val="0"/>
      <w:divBdr>
        <w:top w:val="none" w:sz="0" w:space="0" w:color="auto"/>
        <w:left w:val="none" w:sz="0" w:space="0" w:color="auto"/>
        <w:bottom w:val="none" w:sz="0" w:space="0" w:color="auto"/>
        <w:right w:val="none" w:sz="0" w:space="0" w:color="auto"/>
      </w:divBdr>
    </w:div>
    <w:div w:id="117262026">
      <w:bodyDiv w:val="1"/>
      <w:marLeft w:val="0"/>
      <w:marRight w:val="0"/>
      <w:marTop w:val="0"/>
      <w:marBottom w:val="0"/>
      <w:divBdr>
        <w:top w:val="none" w:sz="0" w:space="0" w:color="auto"/>
        <w:left w:val="none" w:sz="0" w:space="0" w:color="auto"/>
        <w:bottom w:val="none" w:sz="0" w:space="0" w:color="auto"/>
        <w:right w:val="none" w:sz="0" w:space="0" w:color="auto"/>
      </w:divBdr>
    </w:div>
    <w:div w:id="117333873">
      <w:bodyDiv w:val="1"/>
      <w:marLeft w:val="0"/>
      <w:marRight w:val="0"/>
      <w:marTop w:val="0"/>
      <w:marBottom w:val="0"/>
      <w:divBdr>
        <w:top w:val="none" w:sz="0" w:space="0" w:color="auto"/>
        <w:left w:val="none" w:sz="0" w:space="0" w:color="auto"/>
        <w:bottom w:val="none" w:sz="0" w:space="0" w:color="auto"/>
        <w:right w:val="none" w:sz="0" w:space="0" w:color="auto"/>
      </w:divBdr>
    </w:div>
    <w:div w:id="117384039">
      <w:bodyDiv w:val="1"/>
      <w:marLeft w:val="0"/>
      <w:marRight w:val="0"/>
      <w:marTop w:val="0"/>
      <w:marBottom w:val="0"/>
      <w:divBdr>
        <w:top w:val="none" w:sz="0" w:space="0" w:color="auto"/>
        <w:left w:val="none" w:sz="0" w:space="0" w:color="auto"/>
        <w:bottom w:val="none" w:sz="0" w:space="0" w:color="auto"/>
        <w:right w:val="none" w:sz="0" w:space="0" w:color="auto"/>
      </w:divBdr>
    </w:div>
    <w:div w:id="117645613">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7992903">
      <w:bodyDiv w:val="1"/>
      <w:marLeft w:val="0"/>
      <w:marRight w:val="0"/>
      <w:marTop w:val="0"/>
      <w:marBottom w:val="0"/>
      <w:divBdr>
        <w:top w:val="none" w:sz="0" w:space="0" w:color="auto"/>
        <w:left w:val="none" w:sz="0" w:space="0" w:color="auto"/>
        <w:bottom w:val="none" w:sz="0" w:space="0" w:color="auto"/>
        <w:right w:val="none" w:sz="0" w:space="0" w:color="auto"/>
      </w:divBdr>
    </w:div>
    <w:div w:id="117996348">
      <w:bodyDiv w:val="1"/>
      <w:marLeft w:val="0"/>
      <w:marRight w:val="0"/>
      <w:marTop w:val="0"/>
      <w:marBottom w:val="0"/>
      <w:divBdr>
        <w:top w:val="none" w:sz="0" w:space="0" w:color="auto"/>
        <w:left w:val="none" w:sz="0" w:space="0" w:color="auto"/>
        <w:bottom w:val="none" w:sz="0" w:space="0" w:color="auto"/>
        <w:right w:val="none" w:sz="0" w:space="0" w:color="auto"/>
      </w:divBdr>
    </w:div>
    <w:div w:id="118111322">
      <w:bodyDiv w:val="1"/>
      <w:marLeft w:val="0"/>
      <w:marRight w:val="0"/>
      <w:marTop w:val="0"/>
      <w:marBottom w:val="0"/>
      <w:divBdr>
        <w:top w:val="none" w:sz="0" w:space="0" w:color="auto"/>
        <w:left w:val="none" w:sz="0" w:space="0" w:color="auto"/>
        <w:bottom w:val="none" w:sz="0" w:space="0" w:color="auto"/>
        <w:right w:val="none" w:sz="0" w:space="0" w:color="auto"/>
      </w:divBdr>
    </w:div>
    <w:div w:id="118233617">
      <w:bodyDiv w:val="1"/>
      <w:marLeft w:val="0"/>
      <w:marRight w:val="0"/>
      <w:marTop w:val="0"/>
      <w:marBottom w:val="0"/>
      <w:divBdr>
        <w:top w:val="none" w:sz="0" w:space="0" w:color="auto"/>
        <w:left w:val="none" w:sz="0" w:space="0" w:color="auto"/>
        <w:bottom w:val="none" w:sz="0" w:space="0" w:color="auto"/>
        <w:right w:val="none" w:sz="0" w:space="0" w:color="auto"/>
      </w:divBdr>
    </w:div>
    <w:div w:id="118259239">
      <w:bodyDiv w:val="1"/>
      <w:marLeft w:val="0"/>
      <w:marRight w:val="0"/>
      <w:marTop w:val="0"/>
      <w:marBottom w:val="0"/>
      <w:divBdr>
        <w:top w:val="none" w:sz="0" w:space="0" w:color="auto"/>
        <w:left w:val="none" w:sz="0" w:space="0" w:color="auto"/>
        <w:bottom w:val="none" w:sz="0" w:space="0" w:color="auto"/>
        <w:right w:val="none" w:sz="0" w:space="0" w:color="auto"/>
      </w:divBdr>
    </w:div>
    <w:div w:id="118304877">
      <w:bodyDiv w:val="1"/>
      <w:marLeft w:val="0"/>
      <w:marRight w:val="0"/>
      <w:marTop w:val="0"/>
      <w:marBottom w:val="0"/>
      <w:divBdr>
        <w:top w:val="none" w:sz="0" w:space="0" w:color="auto"/>
        <w:left w:val="none" w:sz="0" w:space="0" w:color="auto"/>
        <w:bottom w:val="none" w:sz="0" w:space="0" w:color="auto"/>
        <w:right w:val="none" w:sz="0" w:space="0" w:color="auto"/>
      </w:divBdr>
    </w:div>
    <w:div w:id="118501807">
      <w:bodyDiv w:val="1"/>
      <w:marLeft w:val="0"/>
      <w:marRight w:val="0"/>
      <w:marTop w:val="0"/>
      <w:marBottom w:val="0"/>
      <w:divBdr>
        <w:top w:val="none" w:sz="0" w:space="0" w:color="auto"/>
        <w:left w:val="none" w:sz="0" w:space="0" w:color="auto"/>
        <w:bottom w:val="none" w:sz="0" w:space="0" w:color="auto"/>
        <w:right w:val="none" w:sz="0" w:space="0" w:color="auto"/>
      </w:divBdr>
    </w:div>
    <w:div w:id="118574503">
      <w:bodyDiv w:val="1"/>
      <w:marLeft w:val="0"/>
      <w:marRight w:val="0"/>
      <w:marTop w:val="0"/>
      <w:marBottom w:val="0"/>
      <w:divBdr>
        <w:top w:val="none" w:sz="0" w:space="0" w:color="auto"/>
        <w:left w:val="none" w:sz="0" w:space="0" w:color="auto"/>
        <w:bottom w:val="none" w:sz="0" w:space="0" w:color="auto"/>
        <w:right w:val="none" w:sz="0" w:space="0" w:color="auto"/>
      </w:divBdr>
    </w:div>
    <w:div w:id="118956087">
      <w:bodyDiv w:val="1"/>
      <w:marLeft w:val="0"/>
      <w:marRight w:val="0"/>
      <w:marTop w:val="0"/>
      <w:marBottom w:val="0"/>
      <w:divBdr>
        <w:top w:val="none" w:sz="0" w:space="0" w:color="auto"/>
        <w:left w:val="none" w:sz="0" w:space="0" w:color="auto"/>
        <w:bottom w:val="none" w:sz="0" w:space="0" w:color="auto"/>
        <w:right w:val="none" w:sz="0" w:space="0" w:color="auto"/>
      </w:divBdr>
    </w:div>
    <w:div w:id="119224452">
      <w:bodyDiv w:val="1"/>
      <w:marLeft w:val="0"/>
      <w:marRight w:val="0"/>
      <w:marTop w:val="0"/>
      <w:marBottom w:val="0"/>
      <w:divBdr>
        <w:top w:val="none" w:sz="0" w:space="0" w:color="auto"/>
        <w:left w:val="none" w:sz="0" w:space="0" w:color="auto"/>
        <w:bottom w:val="none" w:sz="0" w:space="0" w:color="auto"/>
        <w:right w:val="none" w:sz="0" w:space="0" w:color="auto"/>
      </w:divBdr>
    </w:div>
    <w:div w:id="119617923">
      <w:bodyDiv w:val="1"/>
      <w:marLeft w:val="0"/>
      <w:marRight w:val="0"/>
      <w:marTop w:val="0"/>
      <w:marBottom w:val="0"/>
      <w:divBdr>
        <w:top w:val="none" w:sz="0" w:space="0" w:color="auto"/>
        <w:left w:val="none" w:sz="0" w:space="0" w:color="auto"/>
        <w:bottom w:val="none" w:sz="0" w:space="0" w:color="auto"/>
        <w:right w:val="none" w:sz="0" w:space="0" w:color="auto"/>
      </w:divBdr>
    </w:div>
    <w:div w:id="119879050">
      <w:bodyDiv w:val="1"/>
      <w:marLeft w:val="0"/>
      <w:marRight w:val="0"/>
      <w:marTop w:val="0"/>
      <w:marBottom w:val="0"/>
      <w:divBdr>
        <w:top w:val="none" w:sz="0" w:space="0" w:color="auto"/>
        <w:left w:val="none" w:sz="0" w:space="0" w:color="auto"/>
        <w:bottom w:val="none" w:sz="0" w:space="0" w:color="auto"/>
        <w:right w:val="none" w:sz="0" w:space="0" w:color="auto"/>
      </w:divBdr>
    </w:div>
    <w:div w:id="119881803">
      <w:bodyDiv w:val="1"/>
      <w:marLeft w:val="0"/>
      <w:marRight w:val="0"/>
      <w:marTop w:val="0"/>
      <w:marBottom w:val="0"/>
      <w:divBdr>
        <w:top w:val="none" w:sz="0" w:space="0" w:color="auto"/>
        <w:left w:val="none" w:sz="0" w:space="0" w:color="auto"/>
        <w:bottom w:val="none" w:sz="0" w:space="0" w:color="auto"/>
        <w:right w:val="none" w:sz="0" w:space="0" w:color="auto"/>
      </w:divBdr>
    </w:div>
    <w:div w:id="119954596">
      <w:bodyDiv w:val="1"/>
      <w:marLeft w:val="0"/>
      <w:marRight w:val="0"/>
      <w:marTop w:val="0"/>
      <w:marBottom w:val="0"/>
      <w:divBdr>
        <w:top w:val="none" w:sz="0" w:space="0" w:color="auto"/>
        <w:left w:val="none" w:sz="0" w:space="0" w:color="auto"/>
        <w:bottom w:val="none" w:sz="0" w:space="0" w:color="auto"/>
        <w:right w:val="none" w:sz="0" w:space="0" w:color="auto"/>
      </w:divBdr>
    </w:div>
    <w:div w:id="120269268">
      <w:bodyDiv w:val="1"/>
      <w:marLeft w:val="0"/>
      <w:marRight w:val="0"/>
      <w:marTop w:val="0"/>
      <w:marBottom w:val="0"/>
      <w:divBdr>
        <w:top w:val="none" w:sz="0" w:space="0" w:color="auto"/>
        <w:left w:val="none" w:sz="0" w:space="0" w:color="auto"/>
        <w:bottom w:val="none" w:sz="0" w:space="0" w:color="auto"/>
        <w:right w:val="none" w:sz="0" w:space="0" w:color="auto"/>
      </w:divBdr>
    </w:div>
    <w:div w:id="120272385">
      <w:bodyDiv w:val="1"/>
      <w:marLeft w:val="0"/>
      <w:marRight w:val="0"/>
      <w:marTop w:val="0"/>
      <w:marBottom w:val="0"/>
      <w:divBdr>
        <w:top w:val="none" w:sz="0" w:space="0" w:color="auto"/>
        <w:left w:val="none" w:sz="0" w:space="0" w:color="auto"/>
        <w:bottom w:val="none" w:sz="0" w:space="0" w:color="auto"/>
        <w:right w:val="none" w:sz="0" w:space="0" w:color="auto"/>
      </w:divBdr>
    </w:div>
    <w:div w:id="120732397">
      <w:bodyDiv w:val="1"/>
      <w:marLeft w:val="0"/>
      <w:marRight w:val="0"/>
      <w:marTop w:val="0"/>
      <w:marBottom w:val="0"/>
      <w:divBdr>
        <w:top w:val="none" w:sz="0" w:space="0" w:color="auto"/>
        <w:left w:val="none" w:sz="0" w:space="0" w:color="auto"/>
        <w:bottom w:val="none" w:sz="0" w:space="0" w:color="auto"/>
        <w:right w:val="none" w:sz="0" w:space="0" w:color="auto"/>
      </w:divBdr>
    </w:div>
    <w:div w:id="120812272">
      <w:bodyDiv w:val="1"/>
      <w:marLeft w:val="0"/>
      <w:marRight w:val="0"/>
      <w:marTop w:val="0"/>
      <w:marBottom w:val="0"/>
      <w:divBdr>
        <w:top w:val="none" w:sz="0" w:space="0" w:color="auto"/>
        <w:left w:val="none" w:sz="0" w:space="0" w:color="auto"/>
        <w:bottom w:val="none" w:sz="0" w:space="0" w:color="auto"/>
        <w:right w:val="none" w:sz="0" w:space="0" w:color="auto"/>
      </w:divBdr>
    </w:div>
    <w:div w:id="120853992">
      <w:bodyDiv w:val="1"/>
      <w:marLeft w:val="0"/>
      <w:marRight w:val="0"/>
      <w:marTop w:val="0"/>
      <w:marBottom w:val="0"/>
      <w:divBdr>
        <w:top w:val="none" w:sz="0" w:space="0" w:color="auto"/>
        <w:left w:val="none" w:sz="0" w:space="0" w:color="auto"/>
        <w:bottom w:val="none" w:sz="0" w:space="0" w:color="auto"/>
        <w:right w:val="none" w:sz="0" w:space="0" w:color="auto"/>
      </w:divBdr>
    </w:div>
    <w:div w:id="120927992">
      <w:bodyDiv w:val="1"/>
      <w:marLeft w:val="0"/>
      <w:marRight w:val="0"/>
      <w:marTop w:val="0"/>
      <w:marBottom w:val="0"/>
      <w:divBdr>
        <w:top w:val="none" w:sz="0" w:space="0" w:color="auto"/>
        <w:left w:val="none" w:sz="0" w:space="0" w:color="auto"/>
        <w:bottom w:val="none" w:sz="0" w:space="0" w:color="auto"/>
        <w:right w:val="none" w:sz="0" w:space="0" w:color="auto"/>
      </w:divBdr>
    </w:div>
    <w:div w:id="121113761">
      <w:bodyDiv w:val="1"/>
      <w:marLeft w:val="0"/>
      <w:marRight w:val="0"/>
      <w:marTop w:val="0"/>
      <w:marBottom w:val="0"/>
      <w:divBdr>
        <w:top w:val="none" w:sz="0" w:space="0" w:color="auto"/>
        <w:left w:val="none" w:sz="0" w:space="0" w:color="auto"/>
        <w:bottom w:val="none" w:sz="0" w:space="0" w:color="auto"/>
        <w:right w:val="none" w:sz="0" w:space="0" w:color="auto"/>
      </w:divBdr>
    </w:div>
    <w:div w:id="121264500">
      <w:bodyDiv w:val="1"/>
      <w:marLeft w:val="0"/>
      <w:marRight w:val="0"/>
      <w:marTop w:val="0"/>
      <w:marBottom w:val="0"/>
      <w:divBdr>
        <w:top w:val="none" w:sz="0" w:space="0" w:color="auto"/>
        <w:left w:val="none" w:sz="0" w:space="0" w:color="auto"/>
        <w:bottom w:val="none" w:sz="0" w:space="0" w:color="auto"/>
        <w:right w:val="none" w:sz="0" w:space="0" w:color="auto"/>
      </w:divBdr>
    </w:div>
    <w:div w:id="121387443">
      <w:bodyDiv w:val="1"/>
      <w:marLeft w:val="0"/>
      <w:marRight w:val="0"/>
      <w:marTop w:val="0"/>
      <w:marBottom w:val="0"/>
      <w:divBdr>
        <w:top w:val="none" w:sz="0" w:space="0" w:color="auto"/>
        <w:left w:val="none" w:sz="0" w:space="0" w:color="auto"/>
        <w:bottom w:val="none" w:sz="0" w:space="0" w:color="auto"/>
        <w:right w:val="none" w:sz="0" w:space="0" w:color="auto"/>
      </w:divBdr>
    </w:div>
    <w:div w:id="121504520">
      <w:bodyDiv w:val="1"/>
      <w:marLeft w:val="0"/>
      <w:marRight w:val="0"/>
      <w:marTop w:val="0"/>
      <w:marBottom w:val="0"/>
      <w:divBdr>
        <w:top w:val="none" w:sz="0" w:space="0" w:color="auto"/>
        <w:left w:val="none" w:sz="0" w:space="0" w:color="auto"/>
        <w:bottom w:val="none" w:sz="0" w:space="0" w:color="auto"/>
        <w:right w:val="none" w:sz="0" w:space="0" w:color="auto"/>
      </w:divBdr>
    </w:div>
    <w:div w:id="121769140">
      <w:bodyDiv w:val="1"/>
      <w:marLeft w:val="0"/>
      <w:marRight w:val="0"/>
      <w:marTop w:val="0"/>
      <w:marBottom w:val="0"/>
      <w:divBdr>
        <w:top w:val="none" w:sz="0" w:space="0" w:color="auto"/>
        <w:left w:val="none" w:sz="0" w:space="0" w:color="auto"/>
        <w:bottom w:val="none" w:sz="0" w:space="0" w:color="auto"/>
        <w:right w:val="none" w:sz="0" w:space="0" w:color="auto"/>
      </w:divBdr>
    </w:div>
    <w:div w:id="121968039">
      <w:bodyDiv w:val="1"/>
      <w:marLeft w:val="0"/>
      <w:marRight w:val="0"/>
      <w:marTop w:val="0"/>
      <w:marBottom w:val="0"/>
      <w:divBdr>
        <w:top w:val="none" w:sz="0" w:space="0" w:color="auto"/>
        <w:left w:val="none" w:sz="0" w:space="0" w:color="auto"/>
        <w:bottom w:val="none" w:sz="0" w:space="0" w:color="auto"/>
        <w:right w:val="none" w:sz="0" w:space="0" w:color="auto"/>
      </w:divBdr>
    </w:div>
    <w:div w:id="122120311">
      <w:bodyDiv w:val="1"/>
      <w:marLeft w:val="0"/>
      <w:marRight w:val="0"/>
      <w:marTop w:val="0"/>
      <w:marBottom w:val="0"/>
      <w:divBdr>
        <w:top w:val="none" w:sz="0" w:space="0" w:color="auto"/>
        <w:left w:val="none" w:sz="0" w:space="0" w:color="auto"/>
        <w:bottom w:val="none" w:sz="0" w:space="0" w:color="auto"/>
        <w:right w:val="none" w:sz="0" w:space="0" w:color="auto"/>
      </w:divBdr>
    </w:div>
    <w:div w:id="122190452">
      <w:bodyDiv w:val="1"/>
      <w:marLeft w:val="0"/>
      <w:marRight w:val="0"/>
      <w:marTop w:val="0"/>
      <w:marBottom w:val="0"/>
      <w:divBdr>
        <w:top w:val="none" w:sz="0" w:space="0" w:color="auto"/>
        <w:left w:val="none" w:sz="0" w:space="0" w:color="auto"/>
        <w:bottom w:val="none" w:sz="0" w:space="0" w:color="auto"/>
        <w:right w:val="none" w:sz="0" w:space="0" w:color="auto"/>
      </w:divBdr>
    </w:div>
    <w:div w:id="122235266">
      <w:bodyDiv w:val="1"/>
      <w:marLeft w:val="0"/>
      <w:marRight w:val="0"/>
      <w:marTop w:val="0"/>
      <w:marBottom w:val="0"/>
      <w:divBdr>
        <w:top w:val="none" w:sz="0" w:space="0" w:color="auto"/>
        <w:left w:val="none" w:sz="0" w:space="0" w:color="auto"/>
        <w:bottom w:val="none" w:sz="0" w:space="0" w:color="auto"/>
        <w:right w:val="none" w:sz="0" w:space="0" w:color="auto"/>
      </w:divBdr>
    </w:div>
    <w:div w:id="122239389">
      <w:bodyDiv w:val="1"/>
      <w:marLeft w:val="0"/>
      <w:marRight w:val="0"/>
      <w:marTop w:val="0"/>
      <w:marBottom w:val="0"/>
      <w:divBdr>
        <w:top w:val="none" w:sz="0" w:space="0" w:color="auto"/>
        <w:left w:val="none" w:sz="0" w:space="0" w:color="auto"/>
        <w:bottom w:val="none" w:sz="0" w:space="0" w:color="auto"/>
        <w:right w:val="none" w:sz="0" w:space="0" w:color="auto"/>
      </w:divBdr>
    </w:div>
    <w:div w:id="122313871">
      <w:bodyDiv w:val="1"/>
      <w:marLeft w:val="0"/>
      <w:marRight w:val="0"/>
      <w:marTop w:val="0"/>
      <w:marBottom w:val="0"/>
      <w:divBdr>
        <w:top w:val="none" w:sz="0" w:space="0" w:color="auto"/>
        <w:left w:val="none" w:sz="0" w:space="0" w:color="auto"/>
        <w:bottom w:val="none" w:sz="0" w:space="0" w:color="auto"/>
        <w:right w:val="none" w:sz="0" w:space="0" w:color="auto"/>
      </w:divBdr>
    </w:div>
    <w:div w:id="122433796">
      <w:bodyDiv w:val="1"/>
      <w:marLeft w:val="0"/>
      <w:marRight w:val="0"/>
      <w:marTop w:val="0"/>
      <w:marBottom w:val="0"/>
      <w:divBdr>
        <w:top w:val="none" w:sz="0" w:space="0" w:color="auto"/>
        <w:left w:val="none" w:sz="0" w:space="0" w:color="auto"/>
        <w:bottom w:val="none" w:sz="0" w:space="0" w:color="auto"/>
        <w:right w:val="none" w:sz="0" w:space="0" w:color="auto"/>
      </w:divBdr>
    </w:div>
    <w:div w:id="122501156">
      <w:bodyDiv w:val="1"/>
      <w:marLeft w:val="0"/>
      <w:marRight w:val="0"/>
      <w:marTop w:val="0"/>
      <w:marBottom w:val="0"/>
      <w:divBdr>
        <w:top w:val="none" w:sz="0" w:space="0" w:color="auto"/>
        <w:left w:val="none" w:sz="0" w:space="0" w:color="auto"/>
        <w:bottom w:val="none" w:sz="0" w:space="0" w:color="auto"/>
        <w:right w:val="none" w:sz="0" w:space="0" w:color="auto"/>
      </w:divBdr>
    </w:div>
    <w:div w:id="122699167">
      <w:bodyDiv w:val="1"/>
      <w:marLeft w:val="0"/>
      <w:marRight w:val="0"/>
      <w:marTop w:val="0"/>
      <w:marBottom w:val="0"/>
      <w:divBdr>
        <w:top w:val="none" w:sz="0" w:space="0" w:color="auto"/>
        <w:left w:val="none" w:sz="0" w:space="0" w:color="auto"/>
        <w:bottom w:val="none" w:sz="0" w:space="0" w:color="auto"/>
        <w:right w:val="none" w:sz="0" w:space="0" w:color="auto"/>
      </w:divBdr>
    </w:div>
    <w:div w:id="122963013">
      <w:bodyDiv w:val="1"/>
      <w:marLeft w:val="0"/>
      <w:marRight w:val="0"/>
      <w:marTop w:val="0"/>
      <w:marBottom w:val="0"/>
      <w:divBdr>
        <w:top w:val="none" w:sz="0" w:space="0" w:color="auto"/>
        <w:left w:val="none" w:sz="0" w:space="0" w:color="auto"/>
        <w:bottom w:val="none" w:sz="0" w:space="0" w:color="auto"/>
        <w:right w:val="none" w:sz="0" w:space="0" w:color="auto"/>
      </w:divBdr>
    </w:div>
    <w:div w:id="122965904">
      <w:bodyDiv w:val="1"/>
      <w:marLeft w:val="0"/>
      <w:marRight w:val="0"/>
      <w:marTop w:val="0"/>
      <w:marBottom w:val="0"/>
      <w:divBdr>
        <w:top w:val="none" w:sz="0" w:space="0" w:color="auto"/>
        <w:left w:val="none" w:sz="0" w:space="0" w:color="auto"/>
        <w:bottom w:val="none" w:sz="0" w:space="0" w:color="auto"/>
        <w:right w:val="none" w:sz="0" w:space="0" w:color="auto"/>
      </w:divBdr>
    </w:div>
    <w:div w:id="123041500">
      <w:bodyDiv w:val="1"/>
      <w:marLeft w:val="0"/>
      <w:marRight w:val="0"/>
      <w:marTop w:val="0"/>
      <w:marBottom w:val="0"/>
      <w:divBdr>
        <w:top w:val="none" w:sz="0" w:space="0" w:color="auto"/>
        <w:left w:val="none" w:sz="0" w:space="0" w:color="auto"/>
        <w:bottom w:val="none" w:sz="0" w:space="0" w:color="auto"/>
        <w:right w:val="none" w:sz="0" w:space="0" w:color="auto"/>
      </w:divBdr>
    </w:div>
    <w:div w:id="123349340">
      <w:bodyDiv w:val="1"/>
      <w:marLeft w:val="0"/>
      <w:marRight w:val="0"/>
      <w:marTop w:val="0"/>
      <w:marBottom w:val="0"/>
      <w:divBdr>
        <w:top w:val="none" w:sz="0" w:space="0" w:color="auto"/>
        <w:left w:val="none" w:sz="0" w:space="0" w:color="auto"/>
        <w:bottom w:val="none" w:sz="0" w:space="0" w:color="auto"/>
        <w:right w:val="none" w:sz="0" w:space="0" w:color="auto"/>
      </w:divBdr>
    </w:div>
    <w:div w:id="123819591">
      <w:bodyDiv w:val="1"/>
      <w:marLeft w:val="0"/>
      <w:marRight w:val="0"/>
      <w:marTop w:val="0"/>
      <w:marBottom w:val="0"/>
      <w:divBdr>
        <w:top w:val="none" w:sz="0" w:space="0" w:color="auto"/>
        <w:left w:val="none" w:sz="0" w:space="0" w:color="auto"/>
        <w:bottom w:val="none" w:sz="0" w:space="0" w:color="auto"/>
        <w:right w:val="none" w:sz="0" w:space="0" w:color="auto"/>
      </w:divBdr>
    </w:div>
    <w:div w:id="124664877">
      <w:bodyDiv w:val="1"/>
      <w:marLeft w:val="0"/>
      <w:marRight w:val="0"/>
      <w:marTop w:val="0"/>
      <w:marBottom w:val="0"/>
      <w:divBdr>
        <w:top w:val="none" w:sz="0" w:space="0" w:color="auto"/>
        <w:left w:val="none" w:sz="0" w:space="0" w:color="auto"/>
        <w:bottom w:val="none" w:sz="0" w:space="0" w:color="auto"/>
        <w:right w:val="none" w:sz="0" w:space="0" w:color="auto"/>
      </w:divBdr>
    </w:div>
    <w:div w:id="124668172">
      <w:bodyDiv w:val="1"/>
      <w:marLeft w:val="0"/>
      <w:marRight w:val="0"/>
      <w:marTop w:val="0"/>
      <w:marBottom w:val="0"/>
      <w:divBdr>
        <w:top w:val="none" w:sz="0" w:space="0" w:color="auto"/>
        <w:left w:val="none" w:sz="0" w:space="0" w:color="auto"/>
        <w:bottom w:val="none" w:sz="0" w:space="0" w:color="auto"/>
        <w:right w:val="none" w:sz="0" w:space="0" w:color="auto"/>
      </w:divBdr>
    </w:div>
    <w:div w:id="124781484">
      <w:bodyDiv w:val="1"/>
      <w:marLeft w:val="0"/>
      <w:marRight w:val="0"/>
      <w:marTop w:val="0"/>
      <w:marBottom w:val="0"/>
      <w:divBdr>
        <w:top w:val="none" w:sz="0" w:space="0" w:color="auto"/>
        <w:left w:val="none" w:sz="0" w:space="0" w:color="auto"/>
        <w:bottom w:val="none" w:sz="0" w:space="0" w:color="auto"/>
        <w:right w:val="none" w:sz="0" w:space="0" w:color="auto"/>
      </w:divBdr>
    </w:div>
    <w:div w:id="124786173">
      <w:bodyDiv w:val="1"/>
      <w:marLeft w:val="0"/>
      <w:marRight w:val="0"/>
      <w:marTop w:val="0"/>
      <w:marBottom w:val="0"/>
      <w:divBdr>
        <w:top w:val="none" w:sz="0" w:space="0" w:color="auto"/>
        <w:left w:val="none" w:sz="0" w:space="0" w:color="auto"/>
        <w:bottom w:val="none" w:sz="0" w:space="0" w:color="auto"/>
        <w:right w:val="none" w:sz="0" w:space="0" w:color="auto"/>
      </w:divBdr>
    </w:div>
    <w:div w:id="124852250">
      <w:bodyDiv w:val="1"/>
      <w:marLeft w:val="0"/>
      <w:marRight w:val="0"/>
      <w:marTop w:val="0"/>
      <w:marBottom w:val="0"/>
      <w:divBdr>
        <w:top w:val="none" w:sz="0" w:space="0" w:color="auto"/>
        <w:left w:val="none" w:sz="0" w:space="0" w:color="auto"/>
        <w:bottom w:val="none" w:sz="0" w:space="0" w:color="auto"/>
        <w:right w:val="none" w:sz="0" w:space="0" w:color="auto"/>
      </w:divBdr>
    </w:div>
    <w:div w:id="124977584">
      <w:bodyDiv w:val="1"/>
      <w:marLeft w:val="0"/>
      <w:marRight w:val="0"/>
      <w:marTop w:val="0"/>
      <w:marBottom w:val="0"/>
      <w:divBdr>
        <w:top w:val="none" w:sz="0" w:space="0" w:color="auto"/>
        <w:left w:val="none" w:sz="0" w:space="0" w:color="auto"/>
        <w:bottom w:val="none" w:sz="0" w:space="0" w:color="auto"/>
        <w:right w:val="none" w:sz="0" w:space="0" w:color="auto"/>
      </w:divBdr>
    </w:div>
    <w:div w:id="125437493">
      <w:bodyDiv w:val="1"/>
      <w:marLeft w:val="0"/>
      <w:marRight w:val="0"/>
      <w:marTop w:val="0"/>
      <w:marBottom w:val="0"/>
      <w:divBdr>
        <w:top w:val="none" w:sz="0" w:space="0" w:color="auto"/>
        <w:left w:val="none" w:sz="0" w:space="0" w:color="auto"/>
        <w:bottom w:val="none" w:sz="0" w:space="0" w:color="auto"/>
        <w:right w:val="none" w:sz="0" w:space="0" w:color="auto"/>
      </w:divBdr>
    </w:div>
    <w:div w:id="125851611">
      <w:bodyDiv w:val="1"/>
      <w:marLeft w:val="0"/>
      <w:marRight w:val="0"/>
      <w:marTop w:val="0"/>
      <w:marBottom w:val="0"/>
      <w:divBdr>
        <w:top w:val="none" w:sz="0" w:space="0" w:color="auto"/>
        <w:left w:val="none" w:sz="0" w:space="0" w:color="auto"/>
        <w:bottom w:val="none" w:sz="0" w:space="0" w:color="auto"/>
        <w:right w:val="none" w:sz="0" w:space="0" w:color="auto"/>
      </w:divBdr>
    </w:div>
    <w:div w:id="125852350">
      <w:bodyDiv w:val="1"/>
      <w:marLeft w:val="0"/>
      <w:marRight w:val="0"/>
      <w:marTop w:val="0"/>
      <w:marBottom w:val="0"/>
      <w:divBdr>
        <w:top w:val="none" w:sz="0" w:space="0" w:color="auto"/>
        <w:left w:val="none" w:sz="0" w:space="0" w:color="auto"/>
        <w:bottom w:val="none" w:sz="0" w:space="0" w:color="auto"/>
        <w:right w:val="none" w:sz="0" w:space="0" w:color="auto"/>
      </w:divBdr>
    </w:div>
    <w:div w:id="125853248">
      <w:bodyDiv w:val="1"/>
      <w:marLeft w:val="0"/>
      <w:marRight w:val="0"/>
      <w:marTop w:val="0"/>
      <w:marBottom w:val="0"/>
      <w:divBdr>
        <w:top w:val="none" w:sz="0" w:space="0" w:color="auto"/>
        <w:left w:val="none" w:sz="0" w:space="0" w:color="auto"/>
        <w:bottom w:val="none" w:sz="0" w:space="0" w:color="auto"/>
        <w:right w:val="none" w:sz="0" w:space="0" w:color="auto"/>
      </w:divBdr>
    </w:div>
    <w:div w:id="125857337">
      <w:bodyDiv w:val="1"/>
      <w:marLeft w:val="0"/>
      <w:marRight w:val="0"/>
      <w:marTop w:val="0"/>
      <w:marBottom w:val="0"/>
      <w:divBdr>
        <w:top w:val="none" w:sz="0" w:space="0" w:color="auto"/>
        <w:left w:val="none" w:sz="0" w:space="0" w:color="auto"/>
        <w:bottom w:val="none" w:sz="0" w:space="0" w:color="auto"/>
        <w:right w:val="none" w:sz="0" w:space="0" w:color="auto"/>
      </w:divBdr>
    </w:div>
    <w:div w:id="125858289">
      <w:bodyDiv w:val="1"/>
      <w:marLeft w:val="0"/>
      <w:marRight w:val="0"/>
      <w:marTop w:val="0"/>
      <w:marBottom w:val="0"/>
      <w:divBdr>
        <w:top w:val="none" w:sz="0" w:space="0" w:color="auto"/>
        <w:left w:val="none" w:sz="0" w:space="0" w:color="auto"/>
        <w:bottom w:val="none" w:sz="0" w:space="0" w:color="auto"/>
        <w:right w:val="none" w:sz="0" w:space="0" w:color="auto"/>
      </w:divBdr>
    </w:div>
    <w:div w:id="125974977">
      <w:bodyDiv w:val="1"/>
      <w:marLeft w:val="0"/>
      <w:marRight w:val="0"/>
      <w:marTop w:val="0"/>
      <w:marBottom w:val="0"/>
      <w:divBdr>
        <w:top w:val="none" w:sz="0" w:space="0" w:color="auto"/>
        <w:left w:val="none" w:sz="0" w:space="0" w:color="auto"/>
        <w:bottom w:val="none" w:sz="0" w:space="0" w:color="auto"/>
        <w:right w:val="none" w:sz="0" w:space="0" w:color="auto"/>
      </w:divBdr>
    </w:div>
    <w:div w:id="126356501">
      <w:bodyDiv w:val="1"/>
      <w:marLeft w:val="0"/>
      <w:marRight w:val="0"/>
      <w:marTop w:val="0"/>
      <w:marBottom w:val="0"/>
      <w:divBdr>
        <w:top w:val="none" w:sz="0" w:space="0" w:color="auto"/>
        <w:left w:val="none" w:sz="0" w:space="0" w:color="auto"/>
        <w:bottom w:val="none" w:sz="0" w:space="0" w:color="auto"/>
        <w:right w:val="none" w:sz="0" w:space="0" w:color="auto"/>
      </w:divBdr>
    </w:div>
    <w:div w:id="126364993">
      <w:bodyDiv w:val="1"/>
      <w:marLeft w:val="0"/>
      <w:marRight w:val="0"/>
      <w:marTop w:val="0"/>
      <w:marBottom w:val="0"/>
      <w:divBdr>
        <w:top w:val="none" w:sz="0" w:space="0" w:color="auto"/>
        <w:left w:val="none" w:sz="0" w:space="0" w:color="auto"/>
        <w:bottom w:val="none" w:sz="0" w:space="0" w:color="auto"/>
        <w:right w:val="none" w:sz="0" w:space="0" w:color="auto"/>
      </w:divBdr>
    </w:div>
    <w:div w:id="126434287">
      <w:bodyDiv w:val="1"/>
      <w:marLeft w:val="0"/>
      <w:marRight w:val="0"/>
      <w:marTop w:val="0"/>
      <w:marBottom w:val="0"/>
      <w:divBdr>
        <w:top w:val="none" w:sz="0" w:space="0" w:color="auto"/>
        <w:left w:val="none" w:sz="0" w:space="0" w:color="auto"/>
        <w:bottom w:val="none" w:sz="0" w:space="0" w:color="auto"/>
        <w:right w:val="none" w:sz="0" w:space="0" w:color="auto"/>
      </w:divBdr>
    </w:div>
    <w:div w:id="126436674">
      <w:bodyDiv w:val="1"/>
      <w:marLeft w:val="0"/>
      <w:marRight w:val="0"/>
      <w:marTop w:val="0"/>
      <w:marBottom w:val="0"/>
      <w:divBdr>
        <w:top w:val="none" w:sz="0" w:space="0" w:color="auto"/>
        <w:left w:val="none" w:sz="0" w:space="0" w:color="auto"/>
        <w:bottom w:val="none" w:sz="0" w:space="0" w:color="auto"/>
        <w:right w:val="none" w:sz="0" w:space="0" w:color="auto"/>
      </w:divBdr>
    </w:div>
    <w:div w:id="126511405">
      <w:bodyDiv w:val="1"/>
      <w:marLeft w:val="0"/>
      <w:marRight w:val="0"/>
      <w:marTop w:val="0"/>
      <w:marBottom w:val="0"/>
      <w:divBdr>
        <w:top w:val="none" w:sz="0" w:space="0" w:color="auto"/>
        <w:left w:val="none" w:sz="0" w:space="0" w:color="auto"/>
        <w:bottom w:val="none" w:sz="0" w:space="0" w:color="auto"/>
        <w:right w:val="none" w:sz="0" w:space="0" w:color="auto"/>
      </w:divBdr>
    </w:div>
    <w:div w:id="126513095">
      <w:bodyDiv w:val="1"/>
      <w:marLeft w:val="0"/>
      <w:marRight w:val="0"/>
      <w:marTop w:val="0"/>
      <w:marBottom w:val="0"/>
      <w:divBdr>
        <w:top w:val="none" w:sz="0" w:space="0" w:color="auto"/>
        <w:left w:val="none" w:sz="0" w:space="0" w:color="auto"/>
        <w:bottom w:val="none" w:sz="0" w:space="0" w:color="auto"/>
        <w:right w:val="none" w:sz="0" w:space="0" w:color="auto"/>
      </w:divBdr>
    </w:div>
    <w:div w:id="126706517">
      <w:bodyDiv w:val="1"/>
      <w:marLeft w:val="0"/>
      <w:marRight w:val="0"/>
      <w:marTop w:val="0"/>
      <w:marBottom w:val="0"/>
      <w:divBdr>
        <w:top w:val="none" w:sz="0" w:space="0" w:color="auto"/>
        <w:left w:val="none" w:sz="0" w:space="0" w:color="auto"/>
        <w:bottom w:val="none" w:sz="0" w:space="0" w:color="auto"/>
        <w:right w:val="none" w:sz="0" w:space="0" w:color="auto"/>
      </w:divBdr>
    </w:div>
    <w:div w:id="126893846">
      <w:bodyDiv w:val="1"/>
      <w:marLeft w:val="0"/>
      <w:marRight w:val="0"/>
      <w:marTop w:val="0"/>
      <w:marBottom w:val="0"/>
      <w:divBdr>
        <w:top w:val="none" w:sz="0" w:space="0" w:color="auto"/>
        <w:left w:val="none" w:sz="0" w:space="0" w:color="auto"/>
        <w:bottom w:val="none" w:sz="0" w:space="0" w:color="auto"/>
        <w:right w:val="none" w:sz="0" w:space="0" w:color="auto"/>
      </w:divBdr>
    </w:div>
    <w:div w:id="126895303">
      <w:bodyDiv w:val="1"/>
      <w:marLeft w:val="0"/>
      <w:marRight w:val="0"/>
      <w:marTop w:val="0"/>
      <w:marBottom w:val="0"/>
      <w:divBdr>
        <w:top w:val="none" w:sz="0" w:space="0" w:color="auto"/>
        <w:left w:val="none" w:sz="0" w:space="0" w:color="auto"/>
        <w:bottom w:val="none" w:sz="0" w:space="0" w:color="auto"/>
        <w:right w:val="none" w:sz="0" w:space="0" w:color="auto"/>
      </w:divBdr>
    </w:div>
    <w:div w:id="127206675">
      <w:bodyDiv w:val="1"/>
      <w:marLeft w:val="0"/>
      <w:marRight w:val="0"/>
      <w:marTop w:val="0"/>
      <w:marBottom w:val="0"/>
      <w:divBdr>
        <w:top w:val="none" w:sz="0" w:space="0" w:color="auto"/>
        <w:left w:val="none" w:sz="0" w:space="0" w:color="auto"/>
        <w:bottom w:val="none" w:sz="0" w:space="0" w:color="auto"/>
        <w:right w:val="none" w:sz="0" w:space="0" w:color="auto"/>
      </w:divBdr>
    </w:div>
    <w:div w:id="127480349">
      <w:bodyDiv w:val="1"/>
      <w:marLeft w:val="0"/>
      <w:marRight w:val="0"/>
      <w:marTop w:val="0"/>
      <w:marBottom w:val="0"/>
      <w:divBdr>
        <w:top w:val="none" w:sz="0" w:space="0" w:color="auto"/>
        <w:left w:val="none" w:sz="0" w:space="0" w:color="auto"/>
        <w:bottom w:val="none" w:sz="0" w:space="0" w:color="auto"/>
        <w:right w:val="none" w:sz="0" w:space="0" w:color="auto"/>
      </w:divBdr>
    </w:div>
    <w:div w:id="127481188">
      <w:bodyDiv w:val="1"/>
      <w:marLeft w:val="0"/>
      <w:marRight w:val="0"/>
      <w:marTop w:val="0"/>
      <w:marBottom w:val="0"/>
      <w:divBdr>
        <w:top w:val="none" w:sz="0" w:space="0" w:color="auto"/>
        <w:left w:val="none" w:sz="0" w:space="0" w:color="auto"/>
        <w:bottom w:val="none" w:sz="0" w:space="0" w:color="auto"/>
        <w:right w:val="none" w:sz="0" w:space="0" w:color="auto"/>
      </w:divBdr>
    </w:div>
    <w:div w:id="127826951">
      <w:bodyDiv w:val="1"/>
      <w:marLeft w:val="0"/>
      <w:marRight w:val="0"/>
      <w:marTop w:val="0"/>
      <w:marBottom w:val="0"/>
      <w:divBdr>
        <w:top w:val="none" w:sz="0" w:space="0" w:color="auto"/>
        <w:left w:val="none" w:sz="0" w:space="0" w:color="auto"/>
        <w:bottom w:val="none" w:sz="0" w:space="0" w:color="auto"/>
        <w:right w:val="none" w:sz="0" w:space="0" w:color="auto"/>
      </w:divBdr>
    </w:div>
    <w:div w:id="127865413">
      <w:bodyDiv w:val="1"/>
      <w:marLeft w:val="0"/>
      <w:marRight w:val="0"/>
      <w:marTop w:val="0"/>
      <w:marBottom w:val="0"/>
      <w:divBdr>
        <w:top w:val="none" w:sz="0" w:space="0" w:color="auto"/>
        <w:left w:val="none" w:sz="0" w:space="0" w:color="auto"/>
        <w:bottom w:val="none" w:sz="0" w:space="0" w:color="auto"/>
        <w:right w:val="none" w:sz="0" w:space="0" w:color="auto"/>
      </w:divBdr>
    </w:div>
    <w:div w:id="127941796">
      <w:bodyDiv w:val="1"/>
      <w:marLeft w:val="0"/>
      <w:marRight w:val="0"/>
      <w:marTop w:val="0"/>
      <w:marBottom w:val="0"/>
      <w:divBdr>
        <w:top w:val="none" w:sz="0" w:space="0" w:color="auto"/>
        <w:left w:val="none" w:sz="0" w:space="0" w:color="auto"/>
        <w:bottom w:val="none" w:sz="0" w:space="0" w:color="auto"/>
        <w:right w:val="none" w:sz="0" w:space="0" w:color="auto"/>
      </w:divBdr>
    </w:div>
    <w:div w:id="128322372">
      <w:bodyDiv w:val="1"/>
      <w:marLeft w:val="0"/>
      <w:marRight w:val="0"/>
      <w:marTop w:val="0"/>
      <w:marBottom w:val="0"/>
      <w:divBdr>
        <w:top w:val="none" w:sz="0" w:space="0" w:color="auto"/>
        <w:left w:val="none" w:sz="0" w:space="0" w:color="auto"/>
        <w:bottom w:val="none" w:sz="0" w:space="0" w:color="auto"/>
        <w:right w:val="none" w:sz="0" w:space="0" w:color="auto"/>
      </w:divBdr>
    </w:div>
    <w:div w:id="128668760">
      <w:bodyDiv w:val="1"/>
      <w:marLeft w:val="0"/>
      <w:marRight w:val="0"/>
      <w:marTop w:val="0"/>
      <w:marBottom w:val="0"/>
      <w:divBdr>
        <w:top w:val="none" w:sz="0" w:space="0" w:color="auto"/>
        <w:left w:val="none" w:sz="0" w:space="0" w:color="auto"/>
        <w:bottom w:val="none" w:sz="0" w:space="0" w:color="auto"/>
        <w:right w:val="none" w:sz="0" w:space="0" w:color="auto"/>
      </w:divBdr>
    </w:div>
    <w:div w:id="128863837">
      <w:bodyDiv w:val="1"/>
      <w:marLeft w:val="0"/>
      <w:marRight w:val="0"/>
      <w:marTop w:val="0"/>
      <w:marBottom w:val="0"/>
      <w:divBdr>
        <w:top w:val="none" w:sz="0" w:space="0" w:color="auto"/>
        <w:left w:val="none" w:sz="0" w:space="0" w:color="auto"/>
        <w:bottom w:val="none" w:sz="0" w:space="0" w:color="auto"/>
        <w:right w:val="none" w:sz="0" w:space="0" w:color="auto"/>
      </w:divBdr>
    </w:div>
    <w:div w:id="128864417">
      <w:bodyDiv w:val="1"/>
      <w:marLeft w:val="0"/>
      <w:marRight w:val="0"/>
      <w:marTop w:val="0"/>
      <w:marBottom w:val="0"/>
      <w:divBdr>
        <w:top w:val="none" w:sz="0" w:space="0" w:color="auto"/>
        <w:left w:val="none" w:sz="0" w:space="0" w:color="auto"/>
        <w:bottom w:val="none" w:sz="0" w:space="0" w:color="auto"/>
        <w:right w:val="none" w:sz="0" w:space="0" w:color="auto"/>
      </w:divBdr>
    </w:div>
    <w:div w:id="128986177">
      <w:bodyDiv w:val="1"/>
      <w:marLeft w:val="0"/>
      <w:marRight w:val="0"/>
      <w:marTop w:val="0"/>
      <w:marBottom w:val="0"/>
      <w:divBdr>
        <w:top w:val="none" w:sz="0" w:space="0" w:color="auto"/>
        <w:left w:val="none" w:sz="0" w:space="0" w:color="auto"/>
        <w:bottom w:val="none" w:sz="0" w:space="0" w:color="auto"/>
        <w:right w:val="none" w:sz="0" w:space="0" w:color="auto"/>
      </w:divBdr>
    </w:div>
    <w:div w:id="129323311">
      <w:bodyDiv w:val="1"/>
      <w:marLeft w:val="0"/>
      <w:marRight w:val="0"/>
      <w:marTop w:val="0"/>
      <w:marBottom w:val="0"/>
      <w:divBdr>
        <w:top w:val="none" w:sz="0" w:space="0" w:color="auto"/>
        <w:left w:val="none" w:sz="0" w:space="0" w:color="auto"/>
        <w:bottom w:val="none" w:sz="0" w:space="0" w:color="auto"/>
        <w:right w:val="none" w:sz="0" w:space="0" w:color="auto"/>
      </w:divBdr>
    </w:div>
    <w:div w:id="129325056">
      <w:bodyDiv w:val="1"/>
      <w:marLeft w:val="0"/>
      <w:marRight w:val="0"/>
      <w:marTop w:val="0"/>
      <w:marBottom w:val="0"/>
      <w:divBdr>
        <w:top w:val="none" w:sz="0" w:space="0" w:color="auto"/>
        <w:left w:val="none" w:sz="0" w:space="0" w:color="auto"/>
        <w:bottom w:val="none" w:sz="0" w:space="0" w:color="auto"/>
        <w:right w:val="none" w:sz="0" w:space="0" w:color="auto"/>
      </w:divBdr>
    </w:div>
    <w:div w:id="129440785">
      <w:bodyDiv w:val="1"/>
      <w:marLeft w:val="0"/>
      <w:marRight w:val="0"/>
      <w:marTop w:val="0"/>
      <w:marBottom w:val="0"/>
      <w:divBdr>
        <w:top w:val="none" w:sz="0" w:space="0" w:color="auto"/>
        <w:left w:val="none" w:sz="0" w:space="0" w:color="auto"/>
        <w:bottom w:val="none" w:sz="0" w:space="0" w:color="auto"/>
        <w:right w:val="none" w:sz="0" w:space="0" w:color="auto"/>
      </w:divBdr>
    </w:div>
    <w:div w:id="129444305">
      <w:bodyDiv w:val="1"/>
      <w:marLeft w:val="0"/>
      <w:marRight w:val="0"/>
      <w:marTop w:val="0"/>
      <w:marBottom w:val="0"/>
      <w:divBdr>
        <w:top w:val="none" w:sz="0" w:space="0" w:color="auto"/>
        <w:left w:val="none" w:sz="0" w:space="0" w:color="auto"/>
        <w:bottom w:val="none" w:sz="0" w:space="0" w:color="auto"/>
        <w:right w:val="none" w:sz="0" w:space="0" w:color="auto"/>
      </w:divBdr>
    </w:div>
    <w:div w:id="129632774">
      <w:bodyDiv w:val="1"/>
      <w:marLeft w:val="0"/>
      <w:marRight w:val="0"/>
      <w:marTop w:val="0"/>
      <w:marBottom w:val="0"/>
      <w:divBdr>
        <w:top w:val="none" w:sz="0" w:space="0" w:color="auto"/>
        <w:left w:val="none" w:sz="0" w:space="0" w:color="auto"/>
        <w:bottom w:val="none" w:sz="0" w:space="0" w:color="auto"/>
        <w:right w:val="none" w:sz="0" w:space="0" w:color="auto"/>
      </w:divBdr>
    </w:div>
    <w:div w:id="129637813">
      <w:bodyDiv w:val="1"/>
      <w:marLeft w:val="0"/>
      <w:marRight w:val="0"/>
      <w:marTop w:val="0"/>
      <w:marBottom w:val="0"/>
      <w:divBdr>
        <w:top w:val="none" w:sz="0" w:space="0" w:color="auto"/>
        <w:left w:val="none" w:sz="0" w:space="0" w:color="auto"/>
        <w:bottom w:val="none" w:sz="0" w:space="0" w:color="auto"/>
        <w:right w:val="none" w:sz="0" w:space="0" w:color="auto"/>
      </w:divBdr>
    </w:div>
    <w:div w:id="129709454">
      <w:bodyDiv w:val="1"/>
      <w:marLeft w:val="0"/>
      <w:marRight w:val="0"/>
      <w:marTop w:val="0"/>
      <w:marBottom w:val="0"/>
      <w:divBdr>
        <w:top w:val="none" w:sz="0" w:space="0" w:color="auto"/>
        <w:left w:val="none" w:sz="0" w:space="0" w:color="auto"/>
        <w:bottom w:val="none" w:sz="0" w:space="0" w:color="auto"/>
        <w:right w:val="none" w:sz="0" w:space="0" w:color="auto"/>
      </w:divBdr>
    </w:div>
    <w:div w:id="130024799">
      <w:bodyDiv w:val="1"/>
      <w:marLeft w:val="0"/>
      <w:marRight w:val="0"/>
      <w:marTop w:val="0"/>
      <w:marBottom w:val="0"/>
      <w:divBdr>
        <w:top w:val="none" w:sz="0" w:space="0" w:color="auto"/>
        <w:left w:val="none" w:sz="0" w:space="0" w:color="auto"/>
        <w:bottom w:val="none" w:sz="0" w:space="0" w:color="auto"/>
        <w:right w:val="none" w:sz="0" w:space="0" w:color="auto"/>
      </w:divBdr>
    </w:div>
    <w:div w:id="130296279">
      <w:bodyDiv w:val="1"/>
      <w:marLeft w:val="0"/>
      <w:marRight w:val="0"/>
      <w:marTop w:val="0"/>
      <w:marBottom w:val="0"/>
      <w:divBdr>
        <w:top w:val="none" w:sz="0" w:space="0" w:color="auto"/>
        <w:left w:val="none" w:sz="0" w:space="0" w:color="auto"/>
        <w:bottom w:val="none" w:sz="0" w:space="0" w:color="auto"/>
        <w:right w:val="none" w:sz="0" w:space="0" w:color="auto"/>
      </w:divBdr>
    </w:div>
    <w:div w:id="130363995">
      <w:bodyDiv w:val="1"/>
      <w:marLeft w:val="0"/>
      <w:marRight w:val="0"/>
      <w:marTop w:val="0"/>
      <w:marBottom w:val="0"/>
      <w:divBdr>
        <w:top w:val="none" w:sz="0" w:space="0" w:color="auto"/>
        <w:left w:val="none" w:sz="0" w:space="0" w:color="auto"/>
        <w:bottom w:val="none" w:sz="0" w:space="0" w:color="auto"/>
        <w:right w:val="none" w:sz="0" w:space="0" w:color="auto"/>
      </w:divBdr>
    </w:div>
    <w:div w:id="130680718">
      <w:bodyDiv w:val="1"/>
      <w:marLeft w:val="0"/>
      <w:marRight w:val="0"/>
      <w:marTop w:val="0"/>
      <w:marBottom w:val="0"/>
      <w:divBdr>
        <w:top w:val="none" w:sz="0" w:space="0" w:color="auto"/>
        <w:left w:val="none" w:sz="0" w:space="0" w:color="auto"/>
        <w:bottom w:val="none" w:sz="0" w:space="0" w:color="auto"/>
        <w:right w:val="none" w:sz="0" w:space="0" w:color="auto"/>
      </w:divBdr>
    </w:div>
    <w:div w:id="130752565">
      <w:bodyDiv w:val="1"/>
      <w:marLeft w:val="0"/>
      <w:marRight w:val="0"/>
      <w:marTop w:val="0"/>
      <w:marBottom w:val="0"/>
      <w:divBdr>
        <w:top w:val="none" w:sz="0" w:space="0" w:color="auto"/>
        <w:left w:val="none" w:sz="0" w:space="0" w:color="auto"/>
        <w:bottom w:val="none" w:sz="0" w:space="0" w:color="auto"/>
        <w:right w:val="none" w:sz="0" w:space="0" w:color="auto"/>
      </w:divBdr>
    </w:div>
    <w:div w:id="130946269">
      <w:bodyDiv w:val="1"/>
      <w:marLeft w:val="0"/>
      <w:marRight w:val="0"/>
      <w:marTop w:val="0"/>
      <w:marBottom w:val="0"/>
      <w:divBdr>
        <w:top w:val="none" w:sz="0" w:space="0" w:color="auto"/>
        <w:left w:val="none" w:sz="0" w:space="0" w:color="auto"/>
        <w:bottom w:val="none" w:sz="0" w:space="0" w:color="auto"/>
        <w:right w:val="none" w:sz="0" w:space="0" w:color="auto"/>
      </w:divBdr>
    </w:div>
    <w:div w:id="131099126">
      <w:bodyDiv w:val="1"/>
      <w:marLeft w:val="0"/>
      <w:marRight w:val="0"/>
      <w:marTop w:val="0"/>
      <w:marBottom w:val="0"/>
      <w:divBdr>
        <w:top w:val="none" w:sz="0" w:space="0" w:color="auto"/>
        <w:left w:val="none" w:sz="0" w:space="0" w:color="auto"/>
        <w:bottom w:val="none" w:sz="0" w:space="0" w:color="auto"/>
        <w:right w:val="none" w:sz="0" w:space="0" w:color="auto"/>
      </w:divBdr>
    </w:div>
    <w:div w:id="131405304">
      <w:bodyDiv w:val="1"/>
      <w:marLeft w:val="0"/>
      <w:marRight w:val="0"/>
      <w:marTop w:val="0"/>
      <w:marBottom w:val="0"/>
      <w:divBdr>
        <w:top w:val="none" w:sz="0" w:space="0" w:color="auto"/>
        <w:left w:val="none" w:sz="0" w:space="0" w:color="auto"/>
        <w:bottom w:val="none" w:sz="0" w:space="0" w:color="auto"/>
        <w:right w:val="none" w:sz="0" w:space="0" w:color="auto"/>
      </w:divBdr>
    </w:div>
    <w:div w:id="131409342">
      <w:bodyDiv w:val="1"/>
      <w:marLeft w:val="0"/>
      <w:marRight w:val="0"/>
      <w:marTop w:val="0"/>
      <w:marBottom w:val="0"/>
      <w:divBdr>
        <w:top w:val="none" w:sz="0" w:space="0" w:color="auto"/>
        <w:left w:val="none" w:sz="0" w:space="0" w:color="auto"/>
        <w:bottom w:val="none" w:sz="0" w:space="0" w:color="auto"/>
        <w:right w:val="none" w:sz="0" w:space="0" w:color="auto"/>
      </w:divBdr>
    </w:div>
    <w:div w:id="131755250">
      <w:bodyDiv w:val="1"/>
      <w:marLeft w:val="0"/>
      <w:marRight w:val="0"/>
      <w:marTop w:val="0"/>
      <w:marBottom w:val="0"/>
      <w:divBdr>
        <w:top w:val="none" w:sz="0" w:space="0" w:color="auto"/>
        <w:left w:val="none" w:sz="0" w:space="0" w:color="auto"/>
        <w:bottom w:val="none" w:sz="0" w:space="0" w:color="auto"/>
        <w:right w:val="none" w:sz="0" w:space="0" w:color="auto"/>
      </w:divBdr>
    </w:div>
    <w:div w:id="131871106">
      <w:bodyDiv w:val="1"/>
      <w:marLeft w:val="0"/>
      <w:marRight w:val="0"/>
      <w:marTop w:val="0"/>
      <w:marBottom w:val="0"/>
      <w:divBdr>
        <w:top w:val="none" w:sz="0" w:space="0" w:color="auto"/>
        <w:left w:val="none" w:sz="0" w:space="0" w:color="auto"/>
        <w:bottom w:val="none" w:sz="0" w:space="0" w:color="auto"/>
        <w:right w:val="none" w:sz="0" w:space="0" w:color="auto"/>
      </w:divBdr>
    </w:div>
    <w:div w:id="132135866">
      <w:bodyDiv w:val="1"/>
      <w:marLeft w:val="0"/>
      <w:marRight w:val="0"/>
      <w:marTop w:val="0"/>
      <w:marBottom w:val="0"/>
      <w:divBdr>
        <w:top w:val="none" w:sz="0" w:space="0" w:color="auto"/>
        <w:left w:val="none" w:sz="0" w:space="0" w:color="auto"/>
        <w:bottom w:val="none" w:sz="0" w:space="0" w:color="auto"/>
        <w:right w:val="none" w:sz="0" w:space="0" w:color="auto"/>
      </w:divBdr>
    </w:div>
    <w:div w:id="132137105">
      <w:bodyDiv w:val="1"/>
      <w:marLeft w:val="0"/>
      <w:marRight w:val="0"/>
      <w:marTop w:val="0"/>
      <w:marBottom w:val="0"/>
      <w:divBdr>
        <w:top w:val="none" w:sz="0" w:space="0" w:color="auto"/>
        <w:left w:val="none" w:sz="0" w:space="0" w:color="auto"/>
        <w:bottom w:val="none" w:sz="0" w:space="0" w:color="auto"/>
        <w:right w:val="none" w:sz="0" w:space="0" w:color="auto"/>
      </w:divBdr>
    </w:div>
    <w:div w:id="132335126">
      <w:bodyDiv w:val="1"/>
      <w:marLeft w:val="0"/>
      <w:marRight w:val="0"/>
      <w:marTop w:val="0"/>
      <w:marBottom w:val="0"/>
      <w:divBdr>
        <w:top w:val="none" w:sz="0" w:space="0" w:color="auto"/>
        <w:left w:val="none" w:sz="0" w:space="0" w:color="auto"/>
        <w:bottom w:val="none" w:sz="0" w:space="0" w:color="auto"/>
        <w:right w:val="none" w:sz="0" w:space="0" w:color="auto"/>
      </w:divBdr>
    </w:div>
    <w:div w:id="132480385">
      <w:bodyDiv w:val="1"/>
      <w:marLeft w:val="0"/>
      <w:marRight w:val="0"/>
      <w:marTop w:val="0"/>
      <w:marBottom w:val="0"/>
      <w:divBdr>
        <w:top w:val="none" w:sz="0" w:space="0" w:color="auto"/>
        <w:left w:val="none" w:sz="0" w:space="0" w:color="auto"/>
        <w:bottom w:val="none" w:sz="0" w:space="0" w:color="auto"/>
        <w:right w:val="none" w:sz="0" w:space="0" w:color="auto"/>
      </w:divBdr>
    </w:div>
    <w:div w:id="132606244">
      <w:bodyDiv w:val="1"/>
      <w:marLeft w:val="0"/>
      <w:marRight w:val="0"/>
      <w:marTop w:val="0"/>
      <w:marBottom w:val="0"/>
      <w:divBdr>
        <w:top w:val="none" w:sz="0" w:space="0" w:color="auto"/>
        <w:left w:val="none" w:sz="0" w:space="0" w:color="auto"/>
        <w:bottom w:val="none" w:sz="0" w:space="0" w:color="auto"/>
        <w:right w:val="none" w:sz="0" w:space="0" w:color="auto"/>
      </w:divBdr>
    </w:div>
    <w:div w:id="132717701">
      <w:bodyDiv w:val="1"/>
      <w:marLeft w:val="0"/>
      <w:marRight w:val="0"/>
      <w:marTop w:val="0"/>
      <w:marBottom w:val="0"/>
      <w:divBdr>
        <w:top w:val="none" w:sz="0" w:space="0" w:color="auto"/>
        <w:left w:val="none" w:sz="0" w:space="0" w:color="auto"/>
        <w:bottom w:val="none" w:sz="0" w:space="0" w:color="auto"/>
        <w:right w:val="none" w:sz="0" w:space="0" w:color="auto"/>
      </w:divBdr>
    </w:div>
    <w:div w:id="132842799">
      <w:bodyDiv w:val="1"/>
      <w:marLeft w:val="0"/>
      <w:marRight w:val="0"/>
      <w:marTop w:val="0"/>
      <w:marBottom w:val="0"/>
      <w:divBdr>
        <w:top w:val="none" w:sz="0" w:space="0" w:color="auto"/>
        <w:left w:val="none" w:sz="0" w:space="0" w:color="auto"/>
        <w:bottom w:val="none" w:sz="0" w:space="0" w:color="auto"/>
        <w:right w:val="none" w:sz="0" w:space="0" w:color="auto"/>
      </w:divBdr>
    </w:div>
    <w:div w:id="132912339">
      <w:bodyDiv w:val="1"/>
      <w:marLeft w:val="0"/>
      <w:marRight w:val="0"/>
      <w:marTop w:val="0"/>
      <w:marBottom w:val="0"/>
      <w:divBdr>
        <w:top w:val="none" w:sz="0" w:space="0" w:color="auto"/>
        <w:left w:val="none" w:sz="0" w:space="0" w:color="auto"/>
        <w:bottom w:val="none" w:sz="0" w:space="0" w:color="auto"/>
        <w:right w:val="none" w:sz="0" w:space="0" w:color="auto"/>
      </w:divBdr>
    </w:div>
    <w:div w:id="133063896">
      <w:bodyDiv w:val="1"/>
      <w:marLeft w:val="0"/>
      <w:marRight w:val="0"/>
      <w:marTop w:val="0"/>
      <w:marBottom w:val="0"/>
      <w:divBdr>
        <w:top w:val="none" w:sz="0" w:space="0" w:color="auto"/>
        <w:left w:val="none" w:sz="0" w:space="0" w:color="auto"/>
        <w:bottom w:val="none" w:sz="0" w:space="0" w:color="auto"/>
        <w:right w:val="none" w:sz="0" w:space="0" w:color="auto"/>
      </w:divBdr>
    </w:div>
    <w:div w:id="133330594">
      <w:bodyDiv w:val="1"/>
      <w:marLeft w:val="0"/>
      <w:marRight w:val="0"/>
      <w:marTop w:val="0"/>
      <w:marBottom w:val="0"/>
      <w:divBdr>
        <w:top w:val="none" w:sz="0" w:space="0" w:color="auto"/>
        <w:left w:val="none" w:sz="0" w:space="0" w:color="auto"/>
        <w:bottom w:val="none" w:sz="0" w:space="0" w:color="auto"/>
        <w:right w:val="none" w:sz="0" w:space="0" w:color="auto"/>
      </w:divBdr>
    </w:div>
    <w:div w:id="133373680">
      <w:bodyDiv w:val="1"/>
      <w:marLeft w:val="0"/>
      <w:marRight w:val="0"/>
      <w:marTop w:val="0"/>
      <w:marBottom w:val="0"/>
      <w:divBdr>
        <w:top w:val="none" w:sz="0" w:space="0" w:color="auto"/>
        <w:left w:val="none" w:sz="0" w:space="0" w:color="auto"/>
        <w:bottom w:val="none" w:sz="0" w:space="0" w:color="auto"/>
        <w:right w:val="none" w:sz="0" w:space="0" w:color="auto"/>
      </w:divBdr>
    </w:div>
    <w:div w:id="133527160">
      <w:bodyDiv w:val="1"/>
      <w:marLeft w:val="0"/>
      <w:marRight w:val="0"/>
      <w:marTop w:val="0"/>
      <w:marBottom w:val="0"/>
      <w:divBdr>
        <w:top w:val="none" w:sz="0" w:space="0" w:color="auto"/>
        <w:left w:val="none" w:sz="0" w:space="0" w:color="auto"/>
        <w:bottom w:val="none" w:sz="0" w:space="0" w:color="auto"/>
        <w:right w:val="none" w:sz="0" w:space="0" w:color="auto"/>
      </w:divBdr>
    </w:div>
    <w:div w:id="133567427">
      <w:bodyDiv w:val="1"/>
      <w:marLeft w:val="0"/>
      <w:marRight w:val="0"/>
      <w:marTop w:val="0"/>
      <w:marBottom w:val="0"/>
      <w:divBdr>
        <w:top w:val="none" w:sz="0" w:space="0" w:color="auto"/>
        <w:left w:val="none" w:sz="0" w:space="0" w:color="auto"/>
        <w:bottom w:val="none" w:sz="0" w:space="0" w:color="auto"/>
        <w:right w:val="none" w:sz="0" w:space="0" w:color="auto"/>
      </w:divBdr>
    </w:div>
    <w:div w:id="133645808">
      <w:bodyDiv w:val="1"/>
      <w:marLeft w:val="0"/>
      <w:marRight w:val="0"/>
      <w:marTop w:val="0"/>
      <w:marBottom w:val="0"/>
      <w:divBdr>
        <w:top w:val="none" w:sz="0" w:space="0" w:color="auto"/>
        <w:left w:val="none" w:sz="0" w:space="0" w:color="auto"/>
        <w:bottom w:val="none" w:sz="0" w:space="0" w:color="auto"/>
        <w:right w:val="none" w:sz="0" w:space="0" w:color="auto"/>
      </w:divBdr>
    </w:div>
    <w:div w:id="133648798">
      <w:bodyDiv w:val="1"/>
      <w:marLeft w:val="0"/>
      <w:marRight w:val="0"/>
      <w:marTop w:val="0"/>
      <w:marBottom w:val="0"/>
      <w:divBdr>
        <w:top w:val="none" w:sz="0" w:space="0" w:color="auto"/>
        <w:left w:val="none" w:sz="0" w:space="0" w:color="auto"/>
        <w:bottom w:val="none" w:sz="0" w:space="0" w:color="auto"/>
        <w:right w:val="none" w:sz="0" w:space="0" w:color="auto"/>
      </w:divBdr>
    </w:div>
    <w:div w:id="133722174">
      <w:bodyDiv w:val="1"/>
      <w:marLeft w:val="0"/>
      <w:marRight w:val="0"/>
      <w:marTop w:val="0"/>
      <w:marBottom w:val="0"/>
      <w:divBdr>
        <w:top w:val="none" w:sz="0" w:space="0" w:color="auto"/>
        <w:left w:val="none" w:sz="0" w:space="0" w:color="auto"/>
        <w:bottom w:val="none" w:sz="0" w:space="0" w:color="auto"/>
        <w:right w:val="none" w:sz="0" w:space="0" w:color="auto"/>
      </w:divBdr>
    </w:div>
    <w:div w:id="133724207">
      <w:bodyDiv w:val="1"/>
      <w:marLeft w:val="0"/>
      <w:marRight w:val="0"/>
      <w:marTop w:val="0"/>
      <w:marBottom w:val="0"/>
      <w:divBdr>
        <w:top w:val="none" w:sz="0" w:space="0" w:color="auto"/>
        <w:left w:val="none" w:sz="0" w:space="0" w:color="auto"/>
        <w:bottom w:val="none" w:sz="0" w:space="0" w:color="auto"/>
        <w:right w:val="none" w:sz="0" w:space="0" w:color="auto"/>
      </w:divBdr>
    </w:div>
    <w:div w:id="133763600">
      <w:bodyDiv w:val="1"/>
      <w:marLeft w:val="0"/>
      <w:marRight w:val="0"/>
      <w:marTop w:val="0"/>
      <w:marBottom w:val="0"/>
      <w:divBdr>
        <w:top w:val="none" w:sz="0" w:space="0" w:color="auto"/>
        <w:left w:val="none" w:sz="0" w:space="0" w:color="auto"/>
        <w:bottom w:val="none" w:sz="0" w:space="0" w:color="auto"/>
        <w:right w:val="none" w:sz="0" w:space="0" w:color="auto"/>
      </w:divBdr>
    </w:div>
    <w:div w:id="134029042">
      <w:bodyDiv w:val="1"/>
      <w:marLeft w:val="0"/>
      <w:marRight w:val="0"/>
      <w:marTop w:val="0"/>
      <w:marBottom w:val="0"/>
      <w:divBdr>
        <w:top w:val="none" w:sz="0" w:space="0" w:color="auto"/>
        <w:left w:val="none" w:sz="0" w:space="0" w:color="auto"/>
        <w:bottom w:val="none" w:sz="0" w:space="0" w:color="auto"/>
        <w:right w:val="none" w:sz="0" w:space="0" w:color="auto"/>
      </w:divBdr>
    </w:div>
    <w:div w:id="134295966">
      <w:bodyDiv w:val="1"/>
      <w:marLeft w:val="0"/>
      <w:marRight w:val="0"/>
      <w:marTop w:val="0"/>
      <w:marBottom w:val="0"/>
      <w:divBdr>
        <w:top w:val="none" w:sz="0" w:space="0" w:color="auto"/>
        <w:left w:val="none" w:sz="0" w:space="0" w:color="auto"/>
        <w:bottom w:val="none" w:sz="0" w:space="0" w:color="auto"/>
        <w:right w:val="none" w:sz="0" w:space="0" w:color="auto"/>
      </w:divBdr>
    </w:div>
    <w:div w:id="134494024">
      <w:bodyDiv w:val="1"/>
      <w:marLeft w:val="0"/>
      <w:marRight w:val="0"/>
      <w:marTop w:val="0"/>
      <w:marBottom w:val="0"/>
      <w:divBdr>
        <w:top w:val="none" w:sz="0" w:space="0" w:color="auto"/>
        <w:left w:val="none" w:sz="0" w:space="0" w:color="auto"/>
        <w:bottom w:val="none" w:sz="0" w:space="0" w:color="auto"/>
        <w:right w:val="none" w:sz="0" w:space="0" w:color="auto"/>
      </w:divBdr>
    </w:div>
    <w:div w:id="134567055">
      <w:bodyDiv w:val="1"/>
      <w:marLeft w:val="0"/>
      <w:marRight w:val="0"/>
      <w:marTop w:val="0"/>
      <w:marBottom w:val="0"/>
      <w:divBdr>
        <w:top w:val="none" w:sz="0" w:space="0" w:color="auto"/>
        <w:left w:val="none" w:sz="0" w:space="0" w:color="auto"/>
        <w:bottom w:val="none" w:sz="0" w:space="0" w:color="auto"/>
        <w:right w:val="none" w:sz="0" w:space="0" w:color="auto"/>
      </w:divBdr>
    </w:div>
    <w:div w:id="134880207">
      <w:bodyDiv w:val="1"/>
      <w:marLeft w:val="0"/>
      <w:marRight w:val="0"/>
      <w:marTop w:val="0"/>
      <w:marBottom w:val="0"/>
      <w:divBdr>
        <w:top w:val="none" w:sz="0" w:space="0" w:color="auto"/>
        <w:left w:val="none" w:sz="0" w:space="0" w:color="auto"/>
        <w:bottom w:val="none" w:sz="0" w:space="0" w:color="auto"/>
        <w:right w:val="none" w:sz="0" w:space="0" w:color="auto"/>
      </w:divBdr>
    </w:div>
    <w:div w:id="134957257">
      <w:bodyDiv w:val="1"/>
      <w:marLeft w:val="0"/>
      <w:marRight w:val="0"/>
      <w:marTop w:val="0"/>
      <w:marBottom w:val="0"/>
      <w:divBdr>
        <w:top w:val="none" w:sz="0" w:space="0" w:color="auto"/>
        <w:left w:val="none" w:sz="0" w:space="0" w:color="auto"/>
        <w:bottom w:val="none" w:sz="0" w:space="0" w:color="auto"/>
        <w:right w:val="none" w:sz="0" w:space="0" w:color="auto"/>
      </w:divBdr>
    </w:div>
    <w:div w:id="135298526">
      <w:bodyDiv w:val="1"/>
      <w:marLeft w:val="0"/>
      <w:marRight w:val="0"/>
      <w:marTop w:val="0"/>
      <w:marBottom w:val="0"/>
      <w:divBdr>
        <w:top w:val="none" w:sz="0" w:space="0" w:color="auto"/>
        <w:left w:val="none" w:sz="0" w:space="0" w:color="auto"/>
        <w:bottom w:val="none" w:sz="0" w:space="0" w:color="auto"/>
        <w:right w:val="none" w:sz="0" w:space="0" w:color="auto"/>
      </w:divBdr>
    </w:div>
    <w:div w:id="135414904">
      <w:bodyDiv w:val="1"/>
      <w:marLeft w:val="0"/>
      <w:marRight w:val="0"/>
      <w:marTop w:val="0"/>
      <w:marBottom w:val="0"/>
      <w:divBdr>
        <w:top w:val="none" w:sz="0" w:space="0" w:color="auto"/>
        <w:left w:val="none" w:sz="0" w:space="0" w:color="auto"/>
        <w:bottom w:val="none" w:sz="0" w:space="0" w:color="auto"/>
        <w:right w:val="none" w:sz="0" w:space="0" w:color="auto"/>
      </w:divBdr>
    </w:div>
    <w:div w:id="135417344">
      <w:bodyDiv w:val="1"/>
      <w:marLeft w:val="0"/>
      <w:marRight w:val="0"/>
      <w:marTop w:val="0"/>
      <w:marBottom w:val="0"/>
      <w:divBdr>
        <w:top w:val="none" w:sz="0" w:space="0" w:color="auto"/>
        <w:left w:val="none" w:sz="0" w:space="0" w:color="auto"/>
        <w:bottom w:val="none" w:sz="0" w:space="0" w:color="auto"/>
        <w:right w:val="none" w:sz="0" w:space="0" w:color="auto"/>
      </w:divBdr>
    </w:div>
    <w:div w:id="135682245">
      <w:bodyDiv w:val="1"/>
      <w:marLeft w:val="0"/>
      <w:marRight w:val="0"/>
      <w:marTop w:val="0"/>
      <w:marBottom w:val="0"/>
      <w:divBdr>
        <w:top w:val="none" w:sz="0" w:space="0" w:color="auto"/>
        <w:left w:val="none" w:sz="0" w:space="0" w:color="auto"/>
        <w:bottom w:val="none" w:sz="0" w:space="0" w:color="auto"/>
        <w:right w:val="none" w:sz="0" w:space="0" w:color="auto"/>
      </w:divBdr>
    </w:div>
    <w:div w:id="135755878">
      <w:bodyDiv w:val="1"/>
      <w:marLeft w:val="0"/>
      <w:marRight w:val="0"/>
      <w:marTop w:val="0"/>
      <w:marBottom w:val="0"/>
      <w:divBdr>
        <w:top w:val="none" w:sz="0" w:space="0" w:color="auto"/>
        <w:left w:val="none" w:sz="0" w:space="0" w:color="auto"/>
        <w:bottom w:val="none" w:sz="0" w:space="0" w:color="auto"/>
        <w:right w:val="none" w:sz="0" w:space="0" w:color="auto"/>
      </w:divBdr>
    </w:div>
    <w:div w:id="135882280">
      <w:bodyDiv w:val="1"/>
      <w:marLeft w:val="0"/>
      <w:marRight w:val="0"/>
      <w:marTop w:val="0"/>
      <w:marBottom w:val="0"/>
      <w:divBdr>
        <w:top w:val="none" w:sz="0" w:space="0" w:color="auto"/>
        <w:left w:val="none" w:sz="0" w:space="0" w:color="auto"/>
        <w:bottom w:val="none" w:sz="0" w:space="0" w:color="auto"/>
        <w:right w:val="none" w:sz="0" w:space="0" w:color="auto"/>
      </w:divBdr>
    </w:div>
    <w:div w:id="135952746">
      <w:bodyDiv w:val="1"/>
      <w:marLeft w:val="0"/>
      <w:marRight w:val="0"/>
      <w:marTop w:val="0"/>
      <w:marBottom w:val="0"/>
      <w:divBdr>
        <w:top w:val="none" w:sz="0" w:space="0" w:color="auto"/>
        <w:left w:val="none" w:sz="0" w:space="0" w:color="auto"/>
        <w:bottom w:val="none" w:sz="0" w:space="0" w:color="auto"/>
        <w:right w:val="none" w:sz="0" w:space="0" w:color="auto"/>
      </w:divBdr>
    </w:div>
    <w:div w:id="135996204">
      <w:bodyDiv w:val="1"/>
      <w:marLeft w:val="0"/>
      <w:marRight w:val="0"/>
      <w:marTop w:val="0"/>
      <w:marBottom w:val="0"/>
      <w:divBdr>
        <w:top w:val="none" w:sz="0" w:space="0" w:color="auto"/>
        <w:left w:val="none" w:sz="0" w:space="0" w:color="auto"/>
        <w:bottom w:val="none" w:sz="0" w:space="0" w:color="auto"/>
        <w:right w:val="none" w:sz="0" w:space="0" w:color="auto"/>
      </w:divBdr>
    </w:div>
    <w:div w:id="135999126">
      <w:bodyDiv w:val="1"/>
      <w:marLeft w:val="0"/>
      <w:marRight w:val="0"/>
      <w:marTop w:val="0"/>
      <w:marBottom w:val="0"/>
      <w:divBdr>
        <w:top w:val="none" w:sz="0" w:space="0" w:color="auto"/>
        <w:left w:val="none" w:sz="0" w:space="0" w:color="auto"/>
        <w:bottom w:val="none" w:sz="0" w:space="0" w:color="auto"/>
        <w:right w:val="none" w:sz="0" w:space="0" w:color="auto"/>
      </w:divBdr>
    </w:div>
    <w:div w:id="136075782">
      <w:bodyDiv w:val="1"/>
      <w:marLeft w:val="0"/>
      <w:marRight w:val="0"/>
      <w:marTop w:val="0"/>
      <w:marBottom w:val="0"/>
      <w:divBdr>
        <w:top w:val="none" w:sz="0" w:space="0" w:color="auto"/>
        <w:left w:val="none" w:sz="0" w:space="0" w:color="auto"/>
        <w:bottom w:val="none" w:sz="0" w:space="0" w:color="auto"/>
        <w:right w:val="none" w:sz="0" w:space="0" w:color="auto"/>
      </w:divBdr>
    </w:div>
    <w:div w:id="136261296">
      <w:bodyDiv w:val="1"/>
      <w:marLeft w:val="0"/>
      <w:marRight w:val="0"/>
      <w:marTop w:val="0"/>
      <w:marBottom w:val="0"/>
      <w:divBdr>
        <w:top w:val="none" w:sz="0" w:space="0" w:color="auto"/>
        <w:left w:val="none" w:sz="0" w:space="0" w:color="auto"/>
        <w:bottom w:val="none" w:sz="0" w:space="0" w:color="auto"/>
        <w:right w:val="none" w:sz="0" w:space="0" w:color="auto"/>
      </w:divBdr>
    </w:div>
    <w:div w:id="136337967">
      <w:bodyDiv w:val="1"/>
      <w:marLeft w:val="0"/>
      <w:marRight w:val="0"/>
      <w:marTop w:val="0"/>
      <w:marBottom w:val="0"/>
      <w:divBdr>
        <w:top w:val="none" w:sz="0" w:space="0" w:color="auto"/>
        <w:left w:val="none" w:sz="0" w:space="0" w:color="auto"/>
        <w:bottom w:val="none" w:sz="0" w:space="0" w:color="auto"/>
        <w:right w:val="none" w:sz="0" w:space="0" w:color="auto"/>
      </w:divBdr>
    </w:div>
    <w:div w:id="136802904">
      <w:bodyDiv w:val="1"/>
      <w:marLeft w:val="0"/>
      <w:marRight w:val="0"/>
      <w:marTop w:val="0"/>
      <w:marBottom w:val="0"/>
      <w:divBdr>
        <w:top w:val="none" w:sz="0" w:space="0" w:color="auto"/>
        <w:left w:val="none" w:sz="0" w:space="0" w:color="auto"/>
        <w:bottom w:val="none" w:sz="0" w:space="0" w:color="auto"/>
        <w:right w:val="none" w:sz="0" w:space="0" w:color="auto"/>
      </w:divBdr>
    </w:div>
    <w:div w:id="136844828">
      <w:bodyDiv w:val="1"/>
      <w:marLeft w:val="0"/>
      <w:marRight w:val="0"/>
      <w:marTop w:val="0"/>
      <w:marBottom w:val="0"/>
      <w:divBdr>
        <w:top w:val="none" w:sz="0" w:space="0" w:color="auto"/>
        <w:left w:val="none" w:sz="0" w:space="0" w:color="auto"/>
        <w:bottom w:val="none" w:sz="0" w:space="0" w:color="auto"/>
        <w:right w:val="none" w:sz="0" w:space="0" w:color="auto"/>
      </w:divBdr>
    </w:div>
    <w:div w:id="136995625">
      <w:bodyDiv w:val="1"/>
      <w:marLeft w:val="0"/>
      <w:marRight w:val="0"/>
      <w:marTop w:val="0"/>
      <w:marBottom w:val="0"/>
      <w:divBdr>
        <w:top w:val="none" w:sz="0" w:space="0" w:color="auto"/>
        <w:left w:val="none" w:sz="0" w:space="0" w:color="auto"/>
        <w:bottom w:val="none" w:sz="0" w:space="0" w:color="auto"/>
        <w:right w:val="none" w:sz="0" w:space="0" w:color="auto"/>
      </w:divBdr>
    </w:div>
    <w:div w:id="137303466">
      <w:bodyDiv w:val="1"/>
      <w:marLeft w:val="0"/>
      <w:marRight w:val="0"/>
      <w:marTop w:val="0"/>
      <w:marBottom w:val="0"/>
      <w:divBdr>
        <w:top w:val="none" w:sz="0" w:space="0" w:color="auto"/>
        <w:left w:val="none" w:sz="0" w:space="0" w:color="auto"/>
        <w:bottom w:val="none" w:sz="0" w:space="0" w:color="auto"/>
        <w:right w:val="none" w:sz="0" w:space="0" w:color="auto"/>
      </w:divBdr>
    </w:div>
    <w:div w:id="137653748">
      <w:bodyDiv w:val="1"/>
      <w:marLeft w:val="0"/>
      <w:marRight w:val="0"/>
      <w:marTop w:val="0"/>
      <w:marBottom w:val="0"/>
      <w:divBdr>
        <w:top w:val="none" w:sz="0" w:space="0" w:color="auto"/>
        <w:left w:val="none" w:sz="0" w:space="0" w:color="auto"/>
        <w:bottom w:val="none" w:sz="0" w:space="0" w:color="auto"/>
        <w:right w:val="none" w:sz="0" w:space="0" w:color="auto"/>
      </w:divBdr>
    </w:div>
    <w:div w:id="137960858">
      <w:bodyDiv w:val="1"/>
      <w:marLeft w:val="0"/>
      <w:marRight w:val="0"/>
      <w:marTop w:val="0"/>
      <w:marBottom w:val="0"/>
      <w:divBdr>
        <w:top w:val="none" w:sz="0" w:space="0" w:color="auto"/>
        <w:left w:val="none" w:sz="0" w:space="0" w:color="auto"/>
        <w:bottom w:val="none" w:sz="0" w:space="0" w:color="auto"/>
        <w:right w:val="none" w:sz="0" w:space="0" w:color="auto"/>
      </w:divBdr>
    </w:div>
    <w:div w:id="138424823">
      <w:bodyDiv w:val="1"/>
      <w:marLeft w:val="0"/>
      <w:marRight w:val="0"/>
      <w:marTop w:val="0"/>
      <w:marBottom w:val="0"/>
      <w:divBdr>
        <w:top w:val="none" w:sz="0" w:space="0" w:color="auto"/>
        <w:left w:val="none" w:sz="0" w:space="0" w:color="auto"/>
        <w:bottom w:val="none" w:sz="0" w:space="0" w:color="auto"/>
        <w:right w:val="none" w:sz="0" w:space="0" w:color="auto"/>
      </w:divBdr>
    </w:div>
    <w:div w:id="138495857">
      <w:bodyDiv w:val="1"/>
      <w:marLeft w:val="0"/>
      <w:marRight w:val="0"/>
      <w:marTop w:val="0"/>
      <w:marBottom w:val="0"/>
      <w:divBdr>
        <w:top w:val="none" w:sz="0" w:space="0" w:color="auto"/>
        <w:left w:val="none" w:sz="0" w:space="0" w:color="auto"/>
        <w:bottom w:val="none" w:sz="0" w:space="0" w:color="auto"/>
        <w:right w:val="none" w:sz="0" w:space="0" w:color="auto"/>
      </w:divBdr>
    </w:div>
    <w:div w:id="138496173">
      <w:bodyDiv w:val="1"/>
      <w:marLeft w:val="0"/>
      <w:marRight w:val="0"/>
      <w:marTop w:val="0"/>
      <w:marBottom w:val="0"/>
      <w:divBdr>
        <w:top w:val="none" w:sz="0" w:space="0" w:color="auto"/>
        <w:left w:val="none" w:sz="0" w:space="0" w:color="auto"/>
        <w:bottom w:val="none" w:sz="0" w:space="0" w:color="auto"/>
        <w:right w:val="none" w:sz="0" w:space="0" w:color="auto"/>
      </w:divBdr>
    </w:div>
    <w:div w:id="138886009">
      <w:bodyDiv w:val="1"/>
      <w:marLeft w:val="0"/>
      <w:marRight w:val="0"/>
      <w:marTop w:val="0"/>
      <w:marBottom w:val="0"/>
      <w:divBdr>
        <w:top w:val="none" w:sz="0" w:space="0" w:color="auto"/>
        <w:left w:val="none" w:sz="0" w:space="0" w:color="auto"/>
        <w:bottom w:val="none" w:sz="0" w:space="0" w:color="auto"/>
        <w:right w:val="none" w:sz="0" w:space="0" w:color="auto"/>
      </w:divBdr>
    </w:div>
    <w:div w:id="139004998">
      <w:bodyDiv w:val="1"/>
      <w:marLeft w:val="0"/>
      <w:marRight w:val="0"/>
      <w:marTop w:val="0"/>
      <w:marBottom w:val="0"/>
      <w:divBdr>
        <w:top w:val="none" w:sz="0" w:space="0" w:color="auto"/>
        <w:left w:val="none" w:sz="0" w:space="0" w:color="auto"/>
        <w:bottom w:val="none" w:sz="0" w:space="0" w:color="auto"/>
        <w:right w:val="none" w:sz="0" w:space="0" w:color="auto"/>
      </w:divBdr>
    </w:div>
    <w:div w:id="139421568">
      <w:bodyDiv w:val="1"/>
      <w:marLeft w:val="0"/>
      <w:marRight w:val="0"/>
      <w:marTop w:val="0"/>
      <w:marBottom w:val="0"/>
      <w:divBdr>
        <w:top w:val="none" w:sz="0" w:space="0" w:color="auto"/>
        <w:left w:val="none" w:sz="0" w:space="0" w:color="auto"/>
        <w:bottom w:val="none" w:sz="0" w:space="0" w:color="auto"/>
        <w:right w:val="none" w:sz="0" w:space="0" w:color="auto"/>
      </w:divBdr>
    </w:div>
    <w:div w:id="139616420">
      <w:bodyDiv w:val="1"/>
      <w:marLeft w:val="0"/>
      <w:marRight w:val="0"/>
      <w:marTop w:val="0"/>
      <w:marBottom w:val="0"/>
      <w:divBdr>
        <w:top w:val="none" w:sz="0" w:space="0" w:color="auto"/>
        <w:left w:val="none" w:sz="0" w:space="0" w:color="auto"/>
        <w:bottom w:val="none" w:sz="0" w:space="0" w:color="auto"/>
        <w:right w:val="none" w:sz="0" w:space="0" w:color="auto"/>
      </w:divBdr>
    </w:div>
    <w:div w:id="139735152">
      <w:bodyDiv w:val="1"/>
      <w:marLeft w:val="0"/>
      <w:marRight w:val="0"/>
      <w:marTop w:val="0"/>
      <w:marBottom w:val="0"/>
      <w:divBdr>
        <w:top w:val="none" w:sz="0" w:space="0" w:color="auto"/>
        <w:left w:val="none" w:sz="0" w:space="0" w:color="auto"/>
        <w:bottom w:val="none" w:sz="0" w:space="0" w:color="auto"/>
        <w:right w:val="none" w:sz="0" w:space="0" w:color="auto"/>
      </w:divBdr>
    </w:div>
    <w:div w:id="139925073">
      <w:bodyDiv w:val="1"/>
      <w:marLeft w:val="0"/>
      <w:marRight w:val="0"/>
      <w:marTop w:val="0"/>
      <w:marBottom w:val="0"/>
      <w:divBdr>
        <w:top w:val="none" w:sz="0" w:space="0" w:color="auto"/>
        <w:left w:val="none" w:sz="0" w:space="0" w:color="auto"/>
        <w:bottom w:val="none" w:sz="0" w:space="0" w:color="auto"/>
        <w:right w:val="none" w:sz="0" w:space="0" w:color="auto"/>
      </w:divBdr>
    </w:div>
    <w:div w:id="140074982">
      <w:bodyDiv w:val="1"/>
      <w:marLeft w:val="0"/>
      <w:marRight w:val="0"/>
      <w:marTop w:val="0"/>
      <w:marBottom w:val="0"/>
      <w:divBdr>
        <w:top w:val="none" w:sz="0" w:space="0" w:color="auto"/>
        <w:left w:val="none" w:sz="0" w:space="0" w:color="auto"/>
        <w:bottom w:val="none" w:sz="0" w:space="0" w:color="auto"/>
        <w:right w:val="none" w:sz="0" w:space="0" w:color="auto"/>
      </w:divBdr>
    </w:div>
    <w:div w:id="140079359">
      <w:bodyDiv w:val="1"/>
      <w:marLeft w:val="0"/>
      <w:marRight w:val="0"/>
      <w:marTop w:val="0"/>
      <w:marBottom w:val="0"/>
      <w:divBdr>
        <w:top w:val="none" w:sz="0" w:space="0" w:color="auto"/>
        <w:left w:val="none" w:sz="0" w:space="0" w:color="auto"/>
        <w:bottom w:val="none" w:sz="0" w:space="0" w:color="auto"/>
        <w:right w:val="none" w:sz="0" w:space="0" w:color="auto"/>
      </w:divBdr>
    </w:div>
    <w:div w:id="140199833">
      <w:bodyDiv w:val="1"/>
      <w:marLeft w:val="0"/>
      <w:marRight w:val="0"/>
      <w:marTop w:val="0"/>
      <w:marBottom w:val="0"/>
      <w:divBdr>
        <w:top w:val="none" w:sz="0" w:space="0" w:color="auto"/>
        <w:left w:val="none" w:sz="0" w:space="0" w:color="auto"/>
        <w:bottom w:val="none" w:sz="0" w:space="0" w:color="auto"/>
        <w:right w:val="none" w:sz="0" w:space="0" w:color="auto"/>
      </w:divBdr>
    </w:div>
    <w:div w:id="140200400">
      <w:bodyDiv w:val="1"/>
      <w:marLeft w:val="0"/>
      <w:marRight w:val="0"/>
      <w:marTop w:val="0"/>
      <w:marBottom w:val="0"/>
      <w:divBdr>
        <w:top w:val="none" w:sz="0" w:space="0" w:color="auto"/>
        <w:left w:val="none" w:sz="0" w:space="0" w:color="auto"/>
        <w:bottom w:val="none" w:sz="0" w:space="0" w:color="auto"/>
        <w:right w:val="none" w:sz="0" w:space="0" w:color="auto"/>
      </w:divBdr>
    </w:div>
    <w:div w:id="140585442">
      <w:bodyDiv w:val="1"/>
      <w:marLeft w:val="0"/>
      <w:marRight w:val="0"/>
      <w:marTop w:val="0"/>
      <w:marBottom w:val="0"/>
      <w:divBdr>
        <w:top w:val="none" w:sz="0" w:space="0" w:color="auto"/>
        <w:left w:val="none" w:sz="0" w:space="0" w:color="auto"/>
        <w:bottom w:val="none" w:sz="0" w:space="0" w:color="auto"/>
        <w:right w:val="none" w:sz="0" w:space="0" w:color="auto"/>
      </w:divBdr>
    </w:div>
    <w:div w:id="140737106">
      <w:bodyDiv w:val="1"/>
      <w:marLeft w:val="0"/>
      <w:marRight w:val="0"/>
      <w:marTop w:val="0"/>
      <w:marBottom w:val="0"/>
      <w:divBdr>
        <w:top w:val="none" w:sz="0" w:space="0" w:color="auto"/>
        <w:left w:val="none" w:sz="0" w:space="0" w:color="auto"/>
        <w:bottom w:val="none" w:sz="0" w:space="0" w:color="auto"/>
        <w:right w:val="none" w:sz="0" w:space="0" w:color="auto"/>
      </w:divBdr>
    </w:div>
    <w:div w:id="140775273">
      <w:bodyDiv w:val="1"/>
      <w:marLeft w:val="0"/>
      <w:marRight w:val="0"/>
      <w:marTop w:val="0"/>
      <w:marBottom w:val="0"/>
      <w:divBdr>
        <w:top w:val="none" w:sz="0" w:space="0" w:color="auto"/>
        <w:left w:val="none" w:sz="0" w:space="0" w:color="auto"/>
        <w:bottom w:val="none" w:sz="0" w:space="0" w:color="auto"/>
        <w:right w:val="none" w:sz="0" w:space="0" w:color="auto"/>
      </w:divBdr>
    </w:div>
    <w:div w:id="141049769">
      <w:bodyDiv w:val="1"/>
      <w:marLeft w:val="0"/>
      <w:marRight w:val="0"/>
      <w:marTop w:val="0"/>
      <w:marBottom w:val="0"/>
      <w:divBdr>
        <w:top w:val="none" w:sz="0" w:space="0" w:color="auto"/>
        <w:left w:val="none" w:sz="0" w:space="0" w:color="auto"/>
        <w:bottom w:val="none" w:sz="0" w:space="0" w:color="auto"/>
        <w:right w:val="none" w:sz="0" w:space="0" w:color="auto"/>
      </w:divBdr>
    </w:div>
    <w:div w:id="141235054">
      <w:bodyDiv w:val="1"/>
      <w:marLeft w:val="0"/>
      <w:marRight w:val="0"/>
      <w:marTop w:val="0"/>
      <w:marBottom w:val="0"/>
      <w:divBdr>
        <w:top w:val="none" w:sz="0" w:space="0" w:color="auto"/>
        <w:left w:val="none" w:sz="0" w:space="0" w:color="auto"/>
        <w:bottom w:val="none" w:sz="0" w:space="0" w:color="auto"/>
        <w:right w:val="none" w:sz="0" w:space="0" w:color="auto"/>
      </w:divBdr>
    </w:div>
    <w:div w:id="141314251">
      <w:bodyDiv w:val="1"/>
      <w:marLeft w:val="0"/>
      <w:marRight w:val="0"/>
      <w:marTop w:val="0"/>
      <w:marBottom w:val="0"/>
      <w:divBdr>
        <w:top w:val="none" w:sz="0" w:space="0" w:color="auto"/>
        <w:left w:val="none" w:sz="0" w:space="0" w:color="auto"/>
        <w:bottom w:val="none" w:sz="0" w:space="0" w:color="auto"/>
        <w:right w:val="none" w:sz="0" w:space="0" w:color="auto"/>
      </w:divBdr>
    </w:div>
    <w:div w:id="141385188">
      <w:bodyDiv w:val="1"/>
      <w:marLeft w:val="0"/>
      <w:marRight w:val="0"/>
      <w:marTop w:val="0"/>
      <w:marBottom w:val="0"/>
      <w:divBdr>
        <w:top w:val="none" w:sz="0" w:space="0" w:color="auto"/>
        <w:left w:val="none" w:sz="0" w:space="0" w:color="auto"/>
        <w:bottom w:val="none" w:sz="0" w:space="0" w:color="auto"/>
        <w:right w:val="none" w:sz="0" w:space="0" w:color="auto"/>
      </w:divBdr>
    </w:div>
    <w:div w:id="141393037">
      <w:bodyDiv w:val="1"/>
      <w:marLeft w:val="0"/>
      <w:marRight w:val="0"/>
      <w:marTop w:val="0"/>
      <w:marBottom w:val="0"/>
      <w:divBdr>
        <w:top w:val="none" w:sz="0" w:space="0" w:color="auto"/>
        <w:left w:val="none" w:sz="0" w:space="0" w:color="auto"/>
        <w:bottom w:val="none" w:sz="0" w:space="0" w:color="auto"/>
        <w:right w:val="none" w:sz="0" w:space="0" w:color="auto"/>
      </w:divBdr>
    </w:div>
    <w:div w:id="141393447">
      <w:bodyDiv w:val="1"/>
      <w:marLeft w:val="0"/>
      <w:marRight w:val="0"/>
      <w:marTop w:val="0"/>
      <w:marBottom w:val="0"/>
      <w:divBdr>
        <w:top w:val="none" w:sz="0" w:space="0" w:color="auto"/>
        <w:left w:val="none" w:sz="0" w:space="0" w:color="auto"/>
        <w:bottom w:val="none" w:sz="0" w:space="0" w:color="auto"/>
        <w:right w:val="none" w:sz="0" w:space="0" w:color="auto"/>
      </w:divBdr>
    </w:div>
    <w:div w:id="141821065">
      <w:bodyDiv w:val="1"/>
      <w:marLeft w:val="0"/>
      <w:marRight w:val="0"/>
      <w:marTop w:val="0"/>
      <w:marBottom w:val="0"/>
      <w:divBdr>
        <w:top w:val="none" w:sz="0" w:space="0" w:color="auto"/>
        <w:left w:val="none" w:sz="0" w:space="0" w:color="auto"/>
        <w:bottom w:val="none" w:sz="0" w:space="0" w:color="auto"/>
        <w:right w:val="none" w:sz="0" w:space="0" w:color="auto"/>
      </w:divBdr>
    </w:div>
    <w:div w:id="141821694">
      <w:bodyDiv w:val="1"/>
      <w:marLeft w:val="0"/>
      <w:marRight w:val="0"/>
      <w:marTop w:val="0"/>
      <w:marBottom w:val="0"/>
      <w:divBdr>
        <w:top w:val="none" w:sz="0" w:space="0" w:color="auto"/>
        <w:left w:val="none" w:sz="0" w:space="0" w:color="auto"/>
        <w:bottom w:val="none" w:sz="0" w:space="0" w:color="auto"/>
        <w:right w:val="none" w:sz="0" w:space="0" w:color="auto"/>
      </w:divBdr>
    </w:div>
    <w:div w:id="141847792">
      <w:bodyDiv w:val="1"/>
      <w:marLeft w:val="0"/>
      <w:marRight w:val="0"/>
      <w:marTop w:val="0"/>
      <w:marBottom w:val="0"/>
      <w:divBdr>
        <w:top w:val="none" w:sz="0" w:space="0" w:color="auto"/>
        <w:left w:val="none" w:sz="0" w:space="0" w:color="auto"/>
        <w:bottom w:val="none" w:sz="0" w:space="0" w:color="auto"/>
        <w:right w:val="none" w:sz="0" w:space="0" w:color="auto"/>
      </w:divBdr>
    </w:div>
    <w:div w:id="141970282">
      <w:bodyDiv w:val="1"/>
      <w:marLeft w:val="0"/>
      <w:marRight w:val="0"/>
      <w:marTop w:val="0"/>
      <w:marBottom w:val="0"/>
      <w:divBdr>
        <w:top w:val="none" w:sz="0" w:space="0" w:color="auto"/>
        <w:left w:val="none" w:sz="0" w:space="0" w:color="auto"/>
        <w:bottom w:val="none" w:sz="0" w:space="0" w:color="auto"/>
        <w:right w:val="none" w:sz="0" w:space="0" w:color="auto"/>
      </w:divBdr>
    </w:div>
    <w:div w:id="142240191">
      <w:bodyDiv w:val="1"/>
      <w:marLeft w:val="0"/>
      <w:marRight w:val="0"/>
      <w:marTop w:val="0"/>
      <w:marBottom w:val="0"/>
      <w:divBdr>
        <w:top w:val="none" w:sz="0" w:space="0" w:color="auto"/>
        <w:left w:val="none" w:sz="0" w:space="0" w:color="auto"/>
        <w:bottom w:val="none" w:sz="0" w:space="0" w:color="auto"/>
        <w:right w:val="none" w:sz="0" w:space="0" w:color="auto"/>
      </w:divBdr>
    </w:div>
    <w:div w:id="142282024">
      <w:bodyDiv w:val="1"/>
      <w:marLeft w:val="0"/>
      <w:marRight w:val="0"/>
      <w:marTop w:val="0"/>
      <w:marBottom w:val="0"/>
      <w:divBdr>
        <w:top w:val="none" w:sz="0" w:space="0" w:color="auto"/>
        <w:left w:val="none" w:sz="0" w:space="0" w:color="auto"/>
        <w:bottom w:val="none" w:sz="0" w:space="0" w:color="auto"/>
        <w:right w:val="none" w:sz="0" w:space="0" w:color="auto"/>
      </w:divBdr>
    </w:div>
    <w:div w:id="142435464">
      <w:bodyDiv w:val="1"/>
      <w:marLeft w:val="0"/>
      <w:marRight w:val="0"/>
      <w:marTop w:val="0"/>
      <w:marBottom w:val="0"/>
      <w:divBdr>
        <w:top w:val="none" w:sz="0" w:space="0" w:color="auto"/>
        <w:left w:val="none" w:sz="0" w:space="0" w:color="auto"/>
        <w:bottom w:val="none" w:sz="0" w:space="0" w:color="auto"/>
        <w:right w:val="none" w:sz="0" w:space="0" w:color="auto"/>
      </w:divBdr>
    </w:div>
    <w:div w:id="142626812">
      <w:bodyDiv w:val="1"/>
      <w:marLeft w:val="0"/>
      <w:marRight w:val="0"/>
      <w:marTop w:val="0"/>
      <w:marBottom w:val="0"/>
      <w:divBdr>
        <w:top w:val="none" w:sz="0" w:space="0" w:color="auto"/>
        <w:left w:val="none" w:sz="0" w:space="0" w:color="auto"/>
        <w:bottom w:val="none" w:sz="0" w:space="0" w:color="auto"/>
        <w:right w:val="none" w:sz="0" w:space="0" w:color="auto"/>
      </w:divBdr>
    </w:div>
    <w:div w:id="142741376">
      <w:bodyDiv w:val="1"/>
      <w:marLeft w:val="0"/>
      <w:marRight w:val="0"/>
      <w:marTop w:val="0"/>
      <w:marBottom w:val="0"/>
      <w:divBdr>
        <w:top w:val="none" w:sz="0" w:space="0" w:color="auto"/>
        <w:left w:val="none" w:sz="0" w:space="0" w:color="auto"/>
        <w:bottom w:val="none" w:sz="0" w:space="0" w:color="auto"/>
        <w:right w:val="none" w:sz="0" w:space="0" w:color="auto"/>
      </w:divBdr>
    </w:div>
    <w:div w:id="142936612">
      <w:bodyDiv w:val="1"/>
      <w:marLeft w:val="0"/>
      <w:marRight w:val="0"/>
      <w:marTop w:val="0"/>
      <w:marBottom w:val="0"/>
      <w:divBdr>
        <w:top w:val="none" w:sz="0" w:space="0" w:color="auto"/>
        <w:left w:val="none" w:sz="0" w:space="0" w:color="auto"/>
        <w:bottom w:val="none" w:sz="0" w:space="0" w:color="auto"/>
        <w:right w:val="none" w:sz="0" w:space="0" w:color="auto"/>
      </w:divBdr>
    </w:div>
    <w:div w:id="143200580">
      <w:bodyDiv w:val="1"/>
      <w:marLeft w:val="0"/>
      <w:marRight w:val="0"/>
      <w:marTop w:val="0"/>
      <w:marBottom w:val="0"/>
      <w:divBdr>
        <w:top w:val="none" w:sz="0" w:space="0" w:color="auto"/>
        <w:left w:val="none" w:sz="0" w:space="0" w:color="auto"/>
        <w:bottom w:val="none" w:sz="0" w:space="0" w:color="auto"/>
        <w:right w:val="none" w:sz="0" w:space="0" w:color="auto"/>
      </w:divBdr>
    </w:div>
    <w:div w:id="143545135">
      <w:bodyDiv w:val="1"/>
      <w:marLeft w:val="0"/>
      <w:marRight w:val="0"/>
      <w:marTop w:val="0"/>
      <w:marBottom w:val="0"/>
      <w:divBdr>
        <w:top w:val="none" w:sz="0" w:space="0" w:color="auto"/>
        <w:left w:val="none" w:sz="0" w:space="0" w:color="auto"/>
        <w:bottom w:val="none" w:sz="0" w:space="0" w:color="auto"/>
        <w:right w:val="none" w:sz="0" w:space="0" w:color="auto"/>
      </w:divBdr>
    </w:div>
    <w:div w:id="143592886">
      <w:bodyDiv w:val="1"/>
      <w:marLeft w:val="0"/>
      <w:marRight w:val="0"/>
      <w:marTop w:val="0"/>
      <w:marBottom w:val="0"/>
      <w:divBdr>
        <w:top w:val="none" w:sz="0" w:space="0" w:color="auto"/>
        <w:left w:val="none" w:sz="0" w:space="0" w:color="auto"/>
        <w:bottom w:val="none" w:sz="0" w:space="0" w:color="auto"/>
        <w:right w:val="none" w:sz="0" w:space="0" w:color="auto"/>
      </w:divBdr>
    </w:div>
    <w:div w:id="143861103">
      <w:bodyDiv w:val="1"/>
      <w:marLeft w:val="0"/>
      <w:marRight w:val="0"/>
      <w:marTop w:val="0"/>
      <w:marBottom w:val="0"/>
      <w:divBdr>
        <w:top w:val="none" w:sz="0" w:space="0" w:color="auto"/>
        <w:left w:val="none" w:sz="0" w:space="0" w:color="auto"/>
        <w:bottom w:val="none" w:sz="0" w:space="0" w:color="auto"/>
        <w:right w:val="none" w:sz="0" w:space="0" w:color="auto"/>
      </w:divBdr>
    </w:div>
    <w:div w:id="144006758">
      <w:bodyDiv w:val="1"/>
      <w:marLeft w:val="0"/>
      <w:marRight w:val="0"/>
      <w:marTop w:val="0"/>
      <w:marBottom w:val="0"/>
      <w:divBdr>
        <w:top w:val="none" w:sz="0" w:space="0" w:color="auto"/>
        <w:left w:val="none" w:sz="0" w:space="0" w:color="auto"/>
        <w:bottom w:val="none" w:sz="0" w:space="0" w:color="auto"/>
        <w:right w:val="none" w:sz="0" w:space="0" w:color="auto"/>
      </w:divBdr>
    </w:div>
    <w:div w:id="144199914">
      <w:bodyDiv w:val="1"/>
      <w:marLeft w:val="0"/>
      <w:marRight w:val="0"/>
      <w:marTop w:val="0"/>
      <w:marBottom w:val="0"/>
      <w:divBdr>
        <w:top w:val="none" w:sz="0" w:space="0" w:color="auto"/>
        <w:left w:val="none" w:sz="0" w:space="0" w:color="auto"/>
        <w:bottom w:val="none" w:sz="0" w:space="0" w:color="auto"/>
        <w:right w:val="none" w:sz="0" w:space="0" w:color="auto"/>
      </w:divBdr>
    </w:div>
    <w:div w:id="144203338">
      <w:bodyDiv w:val="1"/>
      <w:marLeft w:val="0"/>
      <w:marRight w:val="0"/>
      <w:marTop w:val="0"/>
      <w:marBottom w:val="0"/>
      <w:divBdr>
        <w:top w:val="none" w:sz="0" w:space="0" w:color="auto"/>
        <w:left w:val="none" w:sz="0" w:space="0" w:color="auto"/>
        <w:bottom w:val="none" w:sz="0" w:space="0" w:color="auto"/>
        <w:right w:val="none" w:sz="0" w:space="0" w:color="auto"/>
      </w:divBdr>
    </w:div>
    <w:div w:id="144250186">
      <w:bodyDiv w:val="1"/>
      <w:marLeft w:val="0"/>
      <w:marRight w:val="0"/>
      <w:marTop w:val="0"/>
      <w:marBottom w:val="0"/>
      <w:divBdr>
        <w:top w:val="none" w:sz="0" w:space="0" w:color="auto"/>
        <w:left w:val="none" w:sz="0" w:space="0" w:color="auto"/>
        <w:bottom w:val="none" w:sz="0" w:space="0" w:color="auto"/>
        <w:right w:val="none" w:sz="0" w:space="0" w:color="auto"/>
      </w:divBdr>
    </w:div>
    <w:div w:id="144394875">
      <w:bodyDiv w:val="1"/>
      <w:marLeft w:val="0"/>
      <w:marRight w:val="0"/>
      <w:marTop w:val="0"/>
      <w:marBottom w:val="0"/>
      <w:divBdr>
        <w:top w:val="none" w:sz="0" w:space="0" w:color="auto"/>
        <w:left w:val="none" w:sz="0" w:space="0" w:color="auto"/>
        <w:bottom w:val="none" w:sz="0" w:space="0" w:color="auto"/>
        <w:right w:val="none" w:sz="0" w:space="0" w:color="auto"/>
      </w:divBdr>
    </w:div>
    <w:div w:id="144585894">
      <w:bodyDiv w:val="1"/>
      <w:marLeft w:val="0"/>
      <w:marRight w:val="0"/>
      <w:marTop w:val="0"/>
      <w:marBottom w:val="0"/>
      <w:divBdr>
        <w:top w:val="none" w:sz="0" w:space="0" w:color="auto"/>
        <w:left w:val="none" w:sz="0" w:space="0" w:color="auto"/>
        <w:bottom w:val="none" w:sz="0" w:space="0" w:color="auto"/>
        <w:right w:val="none" w:sz="0" w:space="0" w:color="auto"/>
      </w:divBdr>
    </w:div>
    <w:div w:id="144707493">
      <w:bodyDiv w:val="1"/>
      <w:marLeft w:val="0"/>
      <w:marRight w:val="0"/>
      <w:marTop w:val="0"/>
      <w:marBottom w:val="0"/>
      <w:divBdr>
        <w:top w:val="none" w:sz="0" w:space="0" w:color="auto"/>
        <w:left w:val="none" w:sz="0" w:space="0" w:color="auto"/>
        <w:bottom w:val="none" w:sz="0" w:space="0" w:color="auto"/>
        <w:right w:val="none" w:sz="0" w:space="0" w:color="auto"/>
      </w:divBdr>
    </w:div>
    <w:div w:id="144784151">
      <w:bodyDiv w:val="1"/>
      <w:marLeft w:val="0"/>
      <w:marRight w:val="0"/>
      <w:marTop w:val="0"/>
      <w:marBottom w:val="0"/>
      <w:divBdr>
        <w:top w:val="none" w:sz="0" w:space="0" w:color="auto"/>
        <w:left w:val="none" w:sz="0" w:space="0" w:color="auto"/>
        <w:bottom w:val="none" w:sz="0" w:space="0" w:color="auto"/>
        <w:right w:val="none" w:sz="0" w:space="0" w:color="auto"/>
      </w:divBdr>
    </w:div>
    <w:div w:id="144855261">
      <w:bodyDiv w:val="1"/>
      <w:marLeft w:val="0"/>
      <w:marRight w:val="0"/>
      <w:marTop w:val="0"/>
      <w:marBottom w:val="0"/>
      <w:divBdr>
        <w:top w:val="none" w:sz="0" w:space="0" w:color="auto"/>
        <w:left w:val="none" w:sz="0" w:space="0" w:color="auto"/>
        <w:bottom w:val="none" w:sz="0" w:space="0" w:color="auto"/>
        <w:right w:val="none" w:sz="0" w:space="0" w:color="auto"/>
      </w:divBdr>
    </w:div>
    <w:div w:id="144856913">
      <w:bodyDiv w:val="1"/>
      <w:marLeft w:val="0"/>
      <w:marRight w:val="0"/>
      <w:marTop w:val="0"/>
      <w:marBottom w:val="0"/>
      <w:divBdr>
        <w:top w:val="none" w:sz="0" w:space="0" w:color="auto"/>
        <w:left w:val="none" w:sz="0" w:space="0" w:color="auto"/>
        <w:bottom w:val="none" w:sz="0" w:space="0" w:color="auto"/>
        <w:right w:val="none" w:sz="0" w:space="0" w:color="auto"/>
      </w:divBdr>
    </w:div>
    <w:div w:id="145053229">
      <w:bodyDiv w:val="1"/>
      <w:marLeft w:val="0"/>
      <w:marRight w:val="0"/>
      <w:marTop w:val="0"/>
      <w:marBottom w:val="0"/>
      <w:divBdr>
        <w:top w:val="none" w:sz="0" w:space="0" w:color="auto"/>
        <w:left w:val="none" w:sz="0" w:space="0" w:color="auto"/>
        <w:bottom w:val="none" w:sz="0" w:space="0" w:color="auto"/>
        <w:right w:val="none" w:sz="0" w:space="0" w:color="auto"/>
      </w:divBdr>
    </w:div>
    <w:div w:id="145097021">
      <w:bodyDiv w:val="1"/>
      <w:marLeft w:val="0"/>
      <w:marRight w:val="0"/>
      <w:marTop w:val="0"/>
      <w:marBottom w:val="0"/>
      <w:divBdr>
        <w:top w:val="none" w:sz="0" w:space="0" w:color="auto"/>
        <w:left w:val="none" w:sz="0" w:space="0" w:color="auto"/>
        <w:bottom w:val="none" w:sz="0" w:space="0" w:color="auto"/>
        <w:right w:val="none" w:sz="0" w:space="0" w:color="auto"/>
      </w:divBdr>
    </w:div>
    <w:div w:id="145439212">
      <w:bodyDiv w:val="1"/>
      <w:marLeft w:val="0"/>
      <w:marRight w:val="0"/>
      <w:marTop w:val="0"/>
      <w:marBottom w:val="0"/>
      <w:divBdr>
        <w:top w:val="none" w:sz="0" w:space="0" w:color="auto"/>
        <w:left w:val="none" w:sz="0" w:space="0" w:color="auto"/>
        <w:bottom w:val="none" w:sz="0" w:space="0" w:color="auto"/>
        <w:right w:val="none" w:sz="0" w:space="0" w:color="auto"/>
      </w:divBdr>
    </w:div>
    <w:div w:id="145510183">
      <w:bodyDiv w:val="1"/>
      <w:marLeft w:val="0"/>
      <w:marRight w:val="0"/>
      <w:marTop w:val="0"/>
      <w:marBottom w:val="0"/>
      <w:divBdr>
        <w:top w:val="none" w:sz="0" w:space="0" w:color="auto"/>
        <w:left w:val="none" w:sz="0" w:space="0" w:color="auto"/>
        <w:bottom w:val="none" w:sz="0" w:space="0" w:color="auto"/>
        <w:right w:val="none" w:sz="0" w:space="0" w:color="auto"/>
      </w:divBdr>
    </w:div>
    <w:div w:id="145706153">
      <w:bodyDiv w:val="1"/>
      <w:marLeft w:val="0"/>
      <w:marRight w:val="0"/>
      <w:marTop w:val="0"/>
      <w:marBottom w:val="0"/>
      <w:divBdr>
        <w:top w:val="none" w:sz="0" w:space="0" w:color="auto"/>
        <w:left w:val="none" w:sz="0" w:space="0" w:color="auto"/>
        <w:bottom w:val="none" w:sz="0" w:space="0" w:color="auto"/>
        <w:right w:val="none" w:sz="0" w:space="0" w:color="auto"/>
      </w:divBdr>
    </w:div>
    <w:div w:id="145823692">
      <w:bodyDiv w:val="1"/>
      <w:marLeft w:val="0"/>
      <w:marRight w:val="0"/>
      <w:marTop w:val="0"/>
      <w:marBottom w:val="0"/>
      <w:divBdr>
        <w:top w:val="none" w:sz="0" w:space="0" w:color="auto"/>
        <w:left w:val="none" w:sz="0" w:space="0" w:color="auto"/>
        <w:bottom w:val="none" w:sz="0" w:space="0" w:color="auto"/>
        <w:right w:val="none" w:sz="0" w:space="0" w:color="auto"/>
      </w:divBdr>
    </w:div>
    <w:div w:id="145825833">
      <w:bodyDiv w:val="1"/>
      <w:marLeft w:val="0"/>
      <w:marRight w:val="0"/>
      <w:marTop w:val="0"/>
      <w:marBottom w:val="0"/>
      <w:divBdr>
        <w:top w:val="none" w:sz="0" w:space="0" w:color="auto"/>
        <w:left w:val="none" w:sz="0" w:space="0" w:color="auto"/>
        <w:bottom w:val="none" w:sz="0" w:space="0" w:color="auto"/>
        <w:right w:val="none" w:sz="0" w:space="0" w:color="auto"/>
      </w:divBdr>
    </w:div>
    <w:div w:id="146095280">
      <w:bodyDiv w:val="1"/>
      <w:marLeft w:val="0"/>
      <w:marRight w:val="0"/>
      <w:marTop w:val="0"/>
      <w:marBottom w:val="0"/>
      <w:divBdr>
        <w:top w:val="none" w:sz="0" w:space="0" w:color="auto"/>
        <w:left w:val="none" w:sz="0" w:space="0" w:color="auto"/>
        <w:bottom w:val="none" w:sz="0" w:space="0" w:color="auto"/>
        <w:right w:val="none" w:sz="0" w:space="0" w:color="auto"/>
      </w:divBdr>
    </w:div>
    <w:div w:id="146210964">
      <w:bodyDiv w:val="1"/>
      <w:marLeft w:val="0"/>
      <w:marRight w:val="0"/>
      <w:marTop w:val="0"/>
      <w:marBottom w:val="0"/>
      <w:divBdr>
        <w:top w:val="none" w:sz="0" w:space="0" w:color="auto"/>
        <w:left w:val="none" w:sz="0" w:space="0" w:color="auto"/>
        <w:bottom w:val="none" w:sz="0" w:space="0" w:color="auto"/>
        <w:right w:val="none" w:sz="0" w:space="0" w:color="auto"/>
      </w:divBdr>
    </w:div>
    <w:div w:id="146288082">
      <w:bodyDiv w:val="1"/>
      <w:marLeft w:val="0"/>
      <w:marRight w:val="0"/>
      <w:marTop w:val="0"/>
      <w:marBottom w:val="0"/>
      <w:divBdr>
        <w:top w:val="none" w:sz="0" w:space="0" w:color="auto"/>
        <w:left w:val="none" w:sz="0" w:space="0" w:color="auto"/>
        <w:bottom w:val="none" w:sz="0" w:space="0" w:color="auto"/>
        <w:right w:val="none" w:sz="0" w:space="0" w:color="auto"/>
      </w:divBdr>
    </w:div>
    <w:div w:id="146560286">
      <w:bodyDiv w:val="1"/>
      <w:marLeft w:val="0"/>
      <w:marRight w:val="0"/>
      <w:marTop w:val="0"/>
      <w:marBottom w:val="0"/>
      <w:divBdr>
        <w:top w:val="none" w:sz="0" w:space="0" w:color="auto"/>
        <w:left w:val="none" w:sz="0" w:space="0" w:color="auto"/>
        <w:bottom w:val="none" w:sz="0" w:space="0" w:color="auto"/>
        <w:right w:val="none" w:sz="0" w:space="0" w:color="auto"/>
      </w:divBdr>
    </w:div>
    <w:div w:id="146677009">
      <w:bodyDiv w:val="1"/>
      <w:marLeft w:val="0"/>
      <w:marRight w:val="0"/>
      <w:marTop w:val="0"/>
      <w:marBottom w:val="0"/>
      <w:divBdr>
        <w:top w:val="none" w:sz="0" w:space="0" w:color="auto"/>
        <w:left w:val="none" w:sz="0" w:space="0" w:color="auto"/>
        <w:bottom w:val="none" w:sz="0" w:space="0" w:color="auto"/>
        <w:right w:val="none" w:sz="0" w:space="0" w:color="auto"/>
      </w:divBdr>
    </w:div>
    <w:div w:id="146747269">
      <w:bodyDiv w:val="1"/>
      <w:marLeft w:val="0"/>
      <w:marRight w:val="0"/>
      <w:marTop w:val="0"/>
      <w:marBottom w:val="0"/>
      <w:divBdr>
        <w:top w:val="none" w:sz="0" w:space="0" w:color="auto"/>
        <w:left w:val="none" w:sz="0" w:space="0" w:color="auto"/>
        <w:bottom w:val="none" w:sz="0" w:space="0" w:color="auto"/>
        <w:right w:val="none" w:sz="0" w:space="0" w:color="auto"/>
      </w:divBdr>
    </w:div>
    <w:div w:id="146868447">
      <w:bodyDiv w:val="1"/>
      <w:marLeft w:val="0"/>
      <w:marRight w:val="0"/>
      <w:marTop w:val="0"/>
      <w:marBottom w:val="0"/>
      <w:divBdr>
        <w:top w:val="none" w:sz="0" w:space="0" w:color="auto"/>
        <w:left w:val="none" w:sz="0" w:space="0" w:color="auto"/>
        <w:bottom w:val="none" w:sz="0" w:space="0" w:color="auto"/>
        <w:right w:val="none" w:sz="0" w:space="0" w:color="auto"/>
      </w:divBdr>
    </w:div>
    <w:div w:id="146868705">
      <w:bodyDiv w:val="1"/>
      <w:marLeft w:val="0"/>
      <w:marRight w:val="0"/>
      <w:marTop w:val="0"/>
      <w:marBottom w:val="0"/>
      <w:divBdr>
        <w:top w:val="none" w:sz="0" w:space="0" w:color="auto"/>
        <w:left w:val="none" w:sz="0" w:space="0" w:color="auto"/>
        <w:bottom w:val="none" w:sz="0" w:space="0" w:color="auto"/>
        <w:right w:val="none" w:sz="0" w:space="0" w:color="auto"/>
      </w:divBdr>
    </w:div>
    <w:div w:id="146869944">
      <w:bodyDiv w:val="1"/>
      <w:marLeft w:val="0"/>
      <w:marRight w:val="0"/>
      <w:marTop w:val="0"/>
      <w:marBottom w:val="0"/>
      <w:divBdr>
        <w:top w:val="none" w:sz="0" w:space="0" w:color="auto"/>
        <w:left w:val="none" w:sz="0" w:space="0" w:color="auto"/>
        <w:bottom w:val="none" w:sz="0" w:space="0" w:color="auto"/>
        <w:right w:val="none" w:sz="0" w:space="0" w:color="auto"/>
      </w:divBdr>
    </w:div>
    <w:div w:id="146896458">
      <w:bodyDiv w:val="1"/>
      <w:marLeft w:val="0"/>
      <w:marRight w:val="0"/>
      <w:marTop w:val="0"/>
      <w:marBottom w:val="0"/>
      <w:divBdr>
        <w:top w:val="none" w:sz="0" w:space="0" w:color="auto"/>
        <w:left w:val="none" w:sz="0" w:space="0" w:color="auto"/>
        <w:bottom w:val="none" w:sz="0" w:space="0" w:color="auto"/>
        <w:right w:val="none" w:sz="0" w:space="0" w:color="auto"/>
      </w:divBdr>
    </w:div>
    <w:div w:id="146896547">
      <w:bodyDiv w:val="1"/>
      <w:marLeft w:val="0"/>
      <w:marRight w:val="0"/>
      <w:marTop w:val="0"/>
      <w:marBottom w:val="0"/>
      <w:divBdr>
        <w:top w:val="none" w:sz="0" w:space="0" w:color="auto"/>
        <w:left w:val="none" w:sz="0" w:space="0" w:color="auto"/>
        <w:bottom w:val="none" w:sz="0" w:space="0" w:color="auto"/>
        <w:right w:val="none" w:sz="0" w:space="0" w:color="auto"/>
      </w:divBdr>
    </w:div>
    <w:div w:id="146942414">
      <w:bodyDiv w:val="1"/>
      <w:marLeft w:val="0"/>
      <w:marRight w:val="0"/>
      <w:marTop w:val="0"/>
      <w:marBottom w:val="0"/>
      <w:divBdr>
        <w:top w:val="none" w:sz="0" w:space="0" w:color="auto"/>
        <w:left w:val="none" w:sz="0" w:space="0" w:color="auto"/>
        <w:bottom w:val="none" w:sz="0" w:space="0" w:color="auto"/>
        <w:right w:val="none" w:sz="0" w:space="0" w:color="auto"/>
      </w:divBdr>
    </w:div>
    <w:div w:id="147013313">
      <w:bodyDiv w:val="1"/>
      <w:marLeft w:val="0"/>
      <w:marRight w:val="0"/>
      <w:marTop w:val="0"/>
      <w:marBottom w:val="0"/>
      <w:divBdr>
        <w:top w:val="none" w:sz="0" w:space="0" w:color="auto"/>
        <w:left w:val="none" w:sz="0" w:space="0" w:color="auto"/>
        <w:bottom w:val="none" w:sz="0" w:space="0" w:color="auto"/>
        <w:right w:val="none" w:sz="0" w:space="0" w:color="auto"/>
      </w:divBdr>
    </w:div>
    <w:div w:id="147283478">
      <w:bodyDiv w:val="1"/>
      <w:marLeft w:val="0"/>
      <w:marRight w:val="0"/>
      <w:marTop w:val="0"/>
      <w:marBottom w:val="0"/>
      <w:divBdr>
        <w:top w:val="none" w:sz="0" w:space="0" w:color="auto"/>
        <w:left w:val="none" w:sz="0" w:space="0" w:color="auto"/>
        <w:bottom w:val="none" w:sz="0" w:space="0" w:color="auto"/>
        <w:right w:val="none" w:sz="0" w:space="0" w:color="auto"/>
      </w:divBdr>
    </w:div>
    <w:div w:id="147287946">
      <w:bodyDiv w:val="1"/>
      <w:marLeft w:val="0"/>
      <w:marRight w:val="0"/>
      <w:marTop w:val="0"/>
      <w:marBottom w:val="0"/>
      <w:divBdr>
        <w:top w:val="none" w:sz="0" w:space="0" w:color="auto"/>
        <w:left w:val="none" w:sz="0" w:space="0" w:color="auto"/>
        <w:bottom w:val="none" w:sz="0" w:space="0" w:color="auto"/>
        <w:right w:val="none" w:sz="0" w:space="0" w:color="auto"/>
      </w:divBdr>
    </w:div>
    <w:div w:id="147289668">
      <w:bodyDiv w:val="1"/>
      <w:marLeft w:val="0"/>
      <w:marRight w:val="0"/>
      <w:marTop w:val="0"/>
      <w:marBottom w:val="0"/>
      <w:divBdr>
        <w:top w:val="none" w:sz="0" w:space="0" w:color="auto"/>
        <w:left w:val="none" w:sz="0" w:space="0" w:color="auto"/>
        <w:bottom w:val="none" w:sz="0" w:space="0" w:color="auto"/>
        <w:right w:val="none" w:sz="0" w:space="0" w:color="auto"/>
      </w:divBdr>
    </w:div>
    <w:div w:id="147745040">
      <w:bodyDiv w:val="1"/>
      <w:marLeft w:val="0"/>
      <w:marRight w:val="0"/>
      <w:marTop w:val="0"/>
      <w:marBottom w:val="0"/>
      <w:divBdr>
        <w:top w:val="none" w:sz="0" w:space="0" w:color="auto"/>
        <w:left w:val="none" w:sz="0" w:space="0" w:color="auto"/>
        <w:bottom w:val="none" w:sz="0" w:space="0" w:color="auto"/>
        <w:right w:val="none" w:sz="0" w:space="0" w:color="auto"/>
      </w:divBdr>
    </w:div>
    <w:div w:id="147868730">
      <w:bodyDiv w:val="1"/>
      <w:marLeft w:val="0"/>
      <w:marRight w:val="0"/>
      <w:marTop w:val="0"/>
      <w:marBottom w:val="0"/>
      <w:divBdr>
        <w:top w:val="none" w:sz="0" w:space="0" w:color="auto"/>
        <w:left w:val="none" w:sz="0" w:space="0" w:color="auto"/>
        <w:bottom w:val="none" w:sz="0" w:space="0" w:color="auto"/>
        <w:right w:val="none" w:sz="0" w:space="0" w:color="auto"/>
      </w:divBdr>
    </w:div>
    <w:div w:id="147938855">
      <w:bodyDiv w:val="1"/>
      <w:marLeft w:val="0"/>
      <w:marRight w:val="0"/>
      <w:marTop w:val="0"/>
      <w:marBottom w:val="0"/>
      <w:divBdr>
        <w:top w:val="none" w:sz="0" w:space="0" w:color="auto"/>
        <w:left w:val="none" w:sz="0" w:space="0" w:color="auto"/>
        <w:bottom w:val="none" w:sz="0" w:space="0" w:color="auto"/>
        <w:right w:val="none" w:sz="0" w:space="0" w:color="auto"/>
      </w:divBdr>
    </w:div>
    <w:div w:id="147944709">
      <w:bodyDiv w:val="1"/>
      <w:marLeft w:val="0"/>
      <w:marRight w:val="0"/>
      <w:marTop w:val="0"/>
      <w:marBottom w:val="0"/>
      <w:divBdr>
        <w:top w:val="none" w:sz="0" w:space="0" w:color="auto"/>
        <w:left w:val="none" w:sz="0" w:space="0" w:color="auto"/>
        <w:bottom w:val="none" w:sz="0" w:space="0" w:color="auto"/>
        <w:right w:val="none" w:sz="0" w:space="0" w:color="auto"/>
      </w:divBdr>
    </w:div>
    <w:div w:id="148331045">
      <w:bodyDiv w:val="1"/>
      <w:marLeft w:val="0"/>
      <w:marRight w:val="0"/>
      <w:marTop w:val="0"/>
      <w:marBottom w:val="0"/>
      <w:divBdr>
        <w:top w:val="none" w:sz="0" w:space="0" w:color="auto"/>
        <w:left w:val="none" w:sz="0" w:space="0" w:color="auto"/>
        <w:bottom w:val="none" w:sz="0" w:space="0" w:color="auto"/>
        <w:right w:val="none" w:sz="0" w:space="0" w:color="auto"/>
      </w:divBdr>
    </w:div>
    <w:div w:id="148400975">
      <w:bodyDiv w:val="1"/>
      <w:marLeft w:val="0"/>
      <w:marRight w:val="0"/>
      <w:marTop w:val="0"/>
      <w:marBottom w:val="0"/>
      <w:divBdr>
        <w:top w:val="none" w:sz="0" w:space="0" w:color="auto"/>
        <w:left w:val="none" w:sz="0" w:space="0" w:color="auto"/>
        <w:bottom w:val="none" w:sz="0" w:space="0" w:color="auto"/>
        <w:right w:val="none" w:sz="0" w:space="0" w:color="auto"/>
      </w:divBdr>
    </w:div>
    <w:div w:id="148599379">
      <w:bodyDiv w:val="1"/>
      <w:marLeft w:val="0"/>
      <w:marRight w:val="0"/>
      <w:marTop w:val="0"/>
      <w:marBottom w:val="0"/>
      <w:divBdr>
        <w:top w:val="none" w:sz="0" w:space="0" w:color="auto"/>
        <w:left w:val="none" w:sz="0" w:space="0" w:color="auto"/>
        <w:bottom w:val="none" w:sz="0" w:space="0" w:color="auto"/>
        <w:right w:val="none" w:sz="0" w:space="0" w:color="auto"/>
      </w:divBdr>
    </w:div>
    <w:div w:id="148600074">
      <w:bodyDiv w:val="1"/>
      <w:marLeft w:val="0"/>
      <w:marRight w:val="0"/>
      <w:marTop w:val="0"/>
      <w:marBottom w:val="0"/>
      <w:divBdr>
        <w:top w:val="none" w:sz="0" w:space="0" w:color="auto"/>
        <w:left w:val="none" w:sz="0" w:space="0" w:color="auto"/>
        <w:bottom w:val="none" w:sz="0" w:space="0" w:color="auto"/>
        <w:right w:val="none" w:sz="0" w:space="0" w:color="auto"/>
      </w:divBdr>
    </w:div>
    <w:div w:id="148715747">
      <w:bodyDiv w:val="1"/>
      <w:marLeft w:val="0"/>
      <w:marRight w:val="0"/>
      <w:marTop w:val="0"/>
      <w:marBottom w:val="0"/>
      <w:divBdr>
        <w:top w:val="none" w:sz="0" w:space="0" w:color="auto"/>
        <w:left w:val="none" w:sz="0" w:space="0" w:color="auto"/>
        <w:bottom w:val="none" w:sz="0" w:space="0" w:color="auto"/>
        <w:right w:val="none" w:sz="0" w:space="0" w:color="auto"/>
      </w:divBdr>
    </w:div>
    <w:div w:id="148836118">
      <w:bodyDiv w:val="1"/>
      <w:marLeft w:val="0"/>
      <w:marRight w:val="0"/>
      <w:marTop w:val="0"/>
      <w:marBottom w:val="0"/>
      <w:divBdr>
        <w:top w:val="none" w:sz="0" w:space="0" w:color="auto"/>
        <w:left w:val="none" w:sz="0" w:space="0" w:color="auto"/>
        <w:bottom w:val="none" w:sz="0" w:space="0" w:color="auto"/>
        <w:right w:val="none" w:sz="0" w:space="0" w:color="auto"/>
      </w:divBdr>
    </w:div>
    <w:div w:id="149567995">
      <w:bodyDiv w:val="1"/>
      <w:marLeft w:val="0"/>
      <w:marRight w:val="0"/>
      <w:marTop w:val="0"/>
      <w:marBottom w:val="0"/>
      <w:divBdr>
        <w:top w:val="none" w:sz="0" w:space="0" w:color="auto"/>
        <w:left w:val="none" w:sz="0" w:space="0" w:color="auto"/>
        <w:bottom w:val="none" w:sz="0" w:space="0" w:color="auto"/>
        <w:right w:val="none" w:sz="0" w:space="0" w:color="auto"/>
      </w:divBdr>
    </w:div>
    <w:div w:id="149907893">
      <w:bodyDiv w:val="1"/>
      <w:marLeft w:val="0"/>
      <w:marRight w:val="0"/>
      <w:marTop w:val="0"/>
      <w:marBottom w:val="0"/>
      <w:divBdr>
        <w:top w:val="none" w:sz="0" w:space="0" w:color="auto"/>
        <w:left w:val="none" w:sz="0" w:space="0" w:color="auto"/>
        <w:bottom w:val="none" w:sz="0" w:space="0" w:color="auto"/>
        <w:right w:val="none" w:sz="0" w:space="0" w:color="auto"/>
      </w:divBdr>
    </w:div>
    <w:div w:id="149947165">
      <w:bodyDiv w:val="1"/>
      <w:marLeft w:val="0"/>
      <w:marRight w:val="0"/>
      <w:marTop w:val="0"/>
      <w:marBottom w:val="0"/>
      <w:divBdr>
        <w:top w:val="none" w:sz="0" w:space="0" w:color="auto"/>
        <w:left w:val="none" w:sz="0" w:space="0" w:color="auto"/>
        <w:bottom w:val="none" w:sz="0" w:space="0" w:color="auto"/>
        <w:right w:val="none" w:sz="0" w:space="0" w:color="auto"/>
      </w:divBdr>
    </w:div>
    <w:div w:id="149947672">
      <w:bodyDiv w:val="1"/>
      <w:marLeft w:val="0"/>
      <w:marRight w:val="0"/>
      <w:marTop w:val="0"/>
      <w:marBottom w:val="0"/>
      <w:divBdr>
        <w:top w:val="none" w:sz="0" w:space="0" w:color="auto"/>
        <w:left w:val="none" w:sz="0" w:space="0" w:color="auto"/>
        <w:bottom w:val="none" w:sz="0" w:space="0" w:color="auto"/>
        <w:right w:val="none" w:sz="0" w:space="0" w:color="auto"/>
      </w:divBdr>
    </w:div>
    <w:div w:id="150021947">
      <w:bodyDiv w:val="1"/>
      <w:marLeft w:val="0"/>
      <w:marRight w:val="0"/>
      <w:marTop w:val="0"/>
      <w:marBottom w:val="0"/>
      <w:divBdr>
        <w:top w:val="none" w:sz="0" w:space="0" w:color="auto"/>
        <w:left w:val="none" w:sz="0" w:space="0" w:color="auto"/>
        <w:bottom w:val="none" w:sz="0" w:space="0" w:color="auto"/>
        <w:right w:val="none" w:sz="0" w:space="0" w:color="auto"/>
      </w:divBdr>
    </w:div>
    <w:div w:id="150341957">
      <w:bodyDiv w:val="1"/>
      <w:marLeft w:val="0"/>
      <w:marRight w:val="0"/>
      <w:marTop w:val="0"/>
      <w:marBottom w:val="0"/>
      <w:divBdr>
        <w:top w:val="none" w:sz="0" w:space="0" w:color="auto"/>
        <w:left w:val="none" w:sz="0" w:space="0" w:color="auto"/>
        <w:bottom w:val="none" w:sz="0" w:space="0" w:color="auto"/>
        <w:right w:val="none" w:sz="0" w:space="0" w:color="auto"/>
      </w:divBdr>
    </w:div>
    <w:div w:id="150952036">
      <w:bodyDiv w:val="1"/>
      <w:marLeft w:val="0"/>
      <w:marRight w:val="0"/>
      <w:marTop w:val="0"/>
      <w:marBottom w:val="0"/>
      <w:divBdr>
        <w:top w:val="none" w:sz="0" w:space="0" w:color="auto"/>
        <w:left w:val="none" w:sz="0" w:space="0" w:color="auto"/>
        <w:bottom w:val="none" w:sz="0" w:space="0" w:color="auto"/>
        <w:right w:val="none" w:sz="0" w:space="0" w:color="auto"/>
      </w:divBdr>
    </w:div>
    <w:div w:id="150995897">
      <w:bodyDiv w:val="1"/>
      <w:marLeft w:val="0"/>
      <w:marRight w:val="0"/>
      <w:marTop w:val="0"/>
      <w:marBottom w:val="0"/>
      <w:divBdr>
        <w:top w:val="none" w:sz="0" w:space="0" w:color="auto"/>
        <w:left w:val="none" w:sz="0" w:space="0" w:color="auto"/>
        <w:bottom w:val="none" w:sz="0" w:space="0" w:color="auto"/>
        <w:right w:val="none" w:sz="0" w:space="0" w:color="auto"/>
      </w:divBdr>
    </w:div>
    <w:div w:id="151213828">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1336063">
      <w:bodyDiv w:val="1"/>
      <w:marLeft w:val="0"/>
      <w:marRight w:val="0"/>
      <w:marTop w:val="0"/>
      <w:marBottom w:val="0"/>
      <w:divBdr>
        <w:top w:val="none" w:sz="0" w:space="0" w:color="auto"/>
        <w:left w:val="none" w:sz="0" w:space="0" w:color="auto"/>
        <w:bottom w:val="none" w:sz="0" w:space="0" w:color="auto"/>
        <w:right w:val="none" w:sz="0" w:space="0" w:color="auto"/>
      </w:divBdr>
    </w:div>
    <w:div w:id="151413500">
      <w:bodyDiv w:val="1"/>
      <w:marLeft w:val="0"/>
      <w:marRight w:val="0"/>
      <w:marTop w:val="0"/>
      <w:marBottom w:val="0"/>
      <w:divBdr>
        <w:top w:val="none" w:sz="0" w:space="0" w:color="auto"/>
        <w:left w:val="none" w:sz="0" w:space="0" w:color="auto"/>
        <w:bottom w:val="none" w:sz="0" w:space="0" w:color="auto"/>
        <w:right w:val="none" w:sz="0" w:space="0" w:color="auto"/>
      </w:divBdr>
    </w:div>
    <w:div w:id="151416027">
      <w:bodyDiv w:val="1"/>
      <w:marLeft w:val="0"/>
      <w:marRight w:val="0"/>
      <w:marTop w:val="0"/>
      <w:marBottom w:val="0"/>
      <w:divBdr>
        <w:top w:val="none" w:sz="0" w:space="0" w:color="auto"/>
        <w:left w:val="none" w:sz="0" w:space="0" w:color="auto"/>
        <w:bottom w:val="none" w:sz="0" w:space="0" w:color="auto"/>
        <w:right w:val="none" w:sz="0" w:space="0" w:color="auto"/>
      </w:divBdr>
    </w:div>
    <w:div w:id="151483048">
      <w:bodyDiv w:val="1"/>
      <w:marLeft w:val="0"/>
      <w:marRight w:val="0"/>
      <w:marTop w:val="0"/>
      <w:marBottom w:val="0"/>
      <w:divBdr>
        <w:top w:val="none" w:sz="0" w:space="0" w:color="auto"/>
        <w:left w:val="none" w:sz="0" w:space="0" w:color="auto"/>
        <w:bottom w:val="none" w:sz="0" w:space="0" w:color="auto"/>
        <w:right w:val="none" w:sz="0" w:space="0" w:color="auto"/>
      </w:divBdr>
    </w:div>
    <w:div w:id="151525841">
      <w:bodyDiv w:val="1"/>
      <w:marLeft w:val="0"/>
      <w:marRight w:val="0"/>
      <w:marTop w:val="0"/>
      <w:marBottom w:val="0"/>
      <w:divBdr>
        <w:top w:val="none" w:sz="0" w:space="0" w:color="auto"/>
        <w:left w:val="none" w:sz="0" w:space="0" w:color="auto"/>
        <w:bottom w:val="none" w:sz="0" w:space="0" w:color="auto"/>
        <w:right w:val="none" w:sz="0" w:space="0" w:color="auto"/>
      </w:divBdr>
    </w:div>
    <w:div w:id="151609800">
      <w:bodyDiv w:val="1"/>
      <w:marLeft w:val="0"/>
      <w:marRight w:val="0"/>
      <w:marTop w:val="0"/>
      <w:marBottom w:val="0"/>
      <w:divBdr>
        <w:top w:val="none" w:sz="0" w:space="0" w:color="auto"/>
        <w:left w:val="none" w:sz="0" w:space="0" w:color="auto"/>
        <w:bottom w:val="none" w:sz="0" w:space="0" w:color="auto"/>
        <w:right w:val="none" w:sz="0" w:space="0" w:color="auto"/>
      </w:divBdr>
    </w:div>
    <w:div w:id="151801197">
      <w:bodyDiv w:val="1"/>
      <w:marLeft w:val="0"/>
      <w:marRight w:val="0"/>
      <w:marTop w:val="0"/>
      <w:marBottom w:val="0"/>
      <w:divBdr>
        <w:top w:val="none" w:sz="0" w:space="0" w:color="auto"/>
        <w:left w:val="none" w:sz="0" w:space="0" w:color="auto"/>
        <w:bottom w:val="none" w:sz="0" w:space="0" w:color="auto"/>
        <w:right w:val="none" w:sz="0" w:space="0" w:color="auto"/>
      </w:divBdr>
    </w:div>
    <w:div w:id="151944562">
      <w:bodyDiv w:val="1"/>
      <w:marLeft w:val="0"/>
      <w:marRight w:val="0"/>
      <w:marTop w:val="0"/>
      <w:marBottom w:val="0"/>
      <w:divBdr>
        <w:top w:val="none" w:sz="0" w:space="0" w:color="auto"/>
        <w:left w:val="none" w:sz="0" w:space="0" w:color="auto"/>
        <w:bottom w:val="none" w:sz="0" w:space="0" w:color="auto"/>
        <w:right w:val="none" w:sz="0" w:space="0" w:color="auto"/>
      </w:divBdr>
    </w:div>
    <w:div w:id="152189665">
      <w:bodyDiv w:val="1"/>
      <w:marLeft w:val="0"/>
      <w:marRight w:val="0"/>
      <w:marTop w:val="0"/>
      <w:marBottom w:val="0"/>
      <w:divBdr>
        <w:top w:val="none" w:sz="0" w:space="0" w:color="auto"/>
        <w:left w:val="none" w:sz="0" w:space="0" w:color="auto"/>
        <w:bottom w:val="none" w:sz="0" w:space="0" w:color="auto"/>
        <w:right w:val="none" w:sz="0" w:space="0" w:color="auto"/>
      </w:divBdr>
    </w:div>
    <w:div w:id="152264363">
      <w:bodyDiv w:val="1"/>
      <w:marLeft w:val="0"/>
      <w:marRight w:val="0"/>
      <w:marTop w:val="0"/>
      <w:marBottom w:val="0"/>
      <w:divBdr>
        <w:top w:val="none" w:sz="0" w:space="0" w:color="auto"/>
        <w:left w:val="none" w:sz="0" w:space="0" w:color="auto"/>
        <w:bottom w:val="none" w:sz="0" w:space="0" w:color="auto"/>
        <w:right w:val="none" w:sz="0" w:space="0" w:color="auto"/>
      </w:divBdr>
    </w:div>
    <w:div w:id="152334809">
      <w:bodyDiv w:val="1"/>
      <w:marLeft w:val="0"/>
      <w:marRight w:val="0"/>
      <w:marTop w:val="0"/>
      <w:marBottom w:val="0"/>
      <w:divBdr>
        <w:top w:val="none" w:sz="0" w:space="0" w:color="auto"/>
        <w:left w:val="none" w:sz="0" w:space="0" w:color="auto"/>
        <w:bottom w:val="none" w:sz="0" w:space="0" w:color="auto"/>
        <w:right w:val="none" w:sz="0" w:space="0" w:color="auto"/>
      </w:divBdr>
    </w:div>
    <w:div w:id="152533839">
      <w:bodyDiv w:val="1"/>
      <w:marLeft w:val="0"/>
      <w:marRight w:val="0"/>
      <w:marTop w:val="0"/>
      <w:marBottom w:val="0"/>
      <w:divBdr>
        <w:top w:val="none" w:sz="0" w:space="0" w:color="auto"/>
        <w:left w:val="none" w:sz="0" w:space="0" w:color="auto"/>
        <w:bottom w:val="none" w:sz="0" w:space="0" w:color="auto"/>
        <w:right w:val="none" w:sz="0" w:space="0" w:color="auto"/>
      </w:divBdr>
    </w:div>
    <w:div w:id="152568883">
      <w:bodyDiv w:val="1"/>
      <w:marLeft w:val="0"/>
      <w:marRight w:val="0"/>
      <w:marTop w:val="0"/>
      <w:marBottom w:val="0"/>
      <w:divBdr>
        <w:top w:val="none" w:sz="0" w:space="0" w:color="auto"/>
        <w:left w:val="none" w:sz="0" w:space="0" w:color="auto"/>
        <w:bottom w:val="none" w:sz="0" w:space="0" w:color="auto"/>
        <w:right w:val="none" w:sz="0" w:space="0" w:color="auto"/>
      </w:divBdr>
    </w:div>
    <w:div w:id="152718265">
      <w:bodyDiv w:val="1"/>
      <w:marLeft w:val="0"/>
      <w:marRight w:val="0"/>
      <w:marTop w:val="0"/>
      <w:marBottom w:val="0"/>
      <w:divBdr>
        <w:top w:val="none" w:sz="0" w:space="0" w:color="auto"/>
        <w:left w:val="none" w:sz="0" w:space="0" w:color="auto"/>
        <w:bottom w:val="none" w:sz="0" w:space="0" w:color="auto"/>
        <w:right w:val="none" w:sz="0" w:space="0" w:color="auto"/>
      </w:divBdr>
    </w:div>
    <w:div w:id="152764878">
      <w:bodyDiv w:val="1"/>
      <w:marLeft w:val="0"/>
      <w:marRight w:val="0"/>
      <w:marTop w:val="0"/>
      <w:marBottom w:val="0"/>
      <w:divBdr>
        <w:top w:val="none" w:sz="0" w:space="0" w:color="auto"/>
        <w:left w:val="none" w:sz="0" w:space="0" w:color="auto"/>
        <w:bottom w:val="none" w:sz="0" w:space="0" w:color="auto"/>
        <w:right w:val="none" w:sz="0" w:space="0" w:color="auto"/>
      </w:divBdr>
    </w:div>
    <w:div w:id="152766085">
      <w:bodyDiv w:val="1"/>
      <w:marLeft w:val="0"/>
      <w:marRight w:val="0"/>
      <w:marTop w:val="0"/>
      <w:marBottom w:val="0"/>
      <w:divBdr>
        <w:top w:val="none" w:sz="0" w:space="0" w:color="auto"/>
        <w:left w:val="none" w:sz="0" w:space="0" w:color="auto"/>
        <w:bottom w:val="none" w:sz="0" w:space="0" w:color="auto"/>
        <w:right w:val="none" w:sz="0" w:space="0" w:color="auto"/>
      </w:divBdr>
    </w:div>
    <w:div w:id="152840092">
      <w:bodyDiv w:val="1"/>
      <w:marLeft w:val="0"/>
      <w:marRight w:val="0"/>
      <w:marTop w:val="0"/>
      <w:marBottom w:val="0"/>
      <w:divBdr>
        <w:top w:val="none" w:sz="0" w:space="0" w:color="auto"/>
        <w:left w:val="none" w:sz="0" w:space="0" w:color="auto"/>
        <w:bottom w:val="none" w:sz="0" w:space="0" w:color="auto"/>
        <w:right w:val="none" w:sz="0" w:space="0" w:color="auto"/>
      </w:divBdr>
    </w:div>
    <w:div w:id="153028668">
      <w:bodyDiv w:val="1"/>
      <w:marLeft w:val="0"/>
      <w:marRight w:val="0"/>
      <w:marTop w:val="0"/>
      <w:marBottom w:val="0"/>
      <w:divBdr>
        <w:top w:val="none" w:sz="0" w:space="0" w:color="auto"/>
        <w:left w:val="none" w:sz="0" w:space="0" w:color="auto"/>
        <w:bottom w:val="none" w:sz="0" w:space="0" w:color="auto"/>
        <w:right w:val="none" w:sz="0" w:space="0" w:color="auto"/>
      </w:divBdr>
    </w:div>
    <w:div w:id="153182634">
      <w:bodyDiv w:val="1"/>
      <w:marLeft w:val="0"/>
      <w:marRight w:val="0"/>
      <w:marTop w:val="0"/>
      <w:marBottom w:val="0"/>
      <w:divBdr>
        <w:top w:val="none" w:sz="0" w:space="0" w:color="auto"/>
        <w:left w:val="none" w:sz="0" w:space="0" w:color="auto"/>
        <w:bottom w:val="none" w:sz="0" w:space="0" w:color="auto"/>
        <w:right w:val="none" w:sz="0" w:space="0" w:color="auto"/>
      </w:divBdr>
    </w:div>
    <w:div w:id="153227300">
      <w:bodyDiv w:val="1"/>
      <w:marLeft w:val="0"/>
      <w:marRight w:val="0"/>
      <w:marTop w:val="0"/>
      <w:marBottom w:val="0"/>
      <w:divBdr>
        <w:top w:val="none" w:sz="0" w:space="0" w:color="auto"/>
        <w:left w:val="none" w:sz="0" w:space="0" w:color="auto"/>
        <w:bottom w:val="none" w:sz="0" w:space="0" w:color="auto"/>
        <w:right w:val="none" w:sz="0" w:space="0" w:color="auto"/>
      </w:divBdr>
    </w:div>
    <w:div w:id="153380786">
      <w:bodyDiv w:val="1"/>
      <w:marLeft w:val="0"/>
      <w:marRight w:val="0"/>
      <w:marTop w:val="0"/>
      <w:marBottom w:val="0"/>
      <w:divBdr>
        <w:top w:val="none" w:sz="0" w:space="0" w:color="auto"/>
        <w:left w:val="none" w:sz="0" w:space="0" w:color="auto"/>
        <w:bottom w:val="none" w:sz="0" w:space="0" w:color="auto"/>
        <w:right w:val="none" w:sz="0" w:space="0" w:color="auto"/>
      </w:divBdr>
    </w:div>
    <w:div w:id="153497165">
      <w:bodyDiv w:val="1"/>
      <w:marLeft w:val="0"/>
      <w:marRight w:val="0"/>
      <w:marTop w:val="0"/>
      <w:marBottom w:val="0"/>
      <w:divBdr>
        <w:top w:val="none" w:sz="0" w:space="0" w:color="auto"/>
        <w:left w:val="none" w:sz="0" w:space="0" w:color="auto"/>
        <w:bottom w:val="none" w:sz="0" w:space="0" w:color="auto"/>
        <w:right w:val="none" w:sz="0" w:space="0" w:color="auto"/>
      </w:divBdr>
    </w:div>
    <w:div w:id="153499371">
      <w:bodyDiv w:val="1"/>
      <w:marLeft w:val="0"/>
      <w:marRight w:val="0"/>
      <w:marTop w:val="0"/>
      <w:marBottom w:val="0"/>
      <w:divBdr>
        <w:top w:val="none" w:sz="0" w:space="0" w:color="auto"/>
        <w:left w:val="none" w:sz="0" w:space="0" w:color="auto"/>
        <w:bottom w:val="none" w:sz="0" w:space="0" w:color="auto"/>
        <w:right w:val="none" w:sz="0" w:space="0" w:color="auto"/>
      </w:divBdr>
    </w:div>
    <w:div w:id="153569329">
      <w:bodyDiv w:val="1"/>
      <w:marLeft w:val="0"/>
      <w:marRight w:val="0"/>
      <w:marTop w:val="0"/>
      <w:marBottom w:val="0"/>
      <w:divBdr>
        <w:top w:val="none" w:sz="0" w:space="0" w:color="auto"/>
        <w:left w:val="none" w:sz="0" w:space="0" w:color="auto"/>
        <w:bottom w:val="none" w:sz="0" w:space="0" w:color="auto"/>
        <w:right w:val="none" w:sz="0" w:space="0" w:color="auto"/>
      </w:divBdr>
    </w:div>
    <w:div w:id="154077530">
      <w:bodyDiv w:val="1"/>
      <w:marLeft w:val="0"/>
      <w:marRight w:val="0"/>
      <w:marTop w:val="0"/>
      <w:marBottom w:val="0"/>
      <w:divBdr>
        <w:top w:val="none" w:sz="0" w:space="0" w:color="auto"/>
        <w:left w:val="none" w:sz="0" w:space="0" w:color="auto"/>
        <w:bottom w:val="none" w:sz="0" w:space="0" w:color="auto"/>
        <w:right w:val="none" w:sz="0" w:space="0" w:color="auto"/>
      </w:divBdr>
    </w:div>
    <w:div w:id="154927933">
      <w:bodyDiv w:val="1"/>
      <w:marLeft w:val="0"/>
      <w:marRight w:val="0"/>
      <w:marTop w:val="0"/>
      <w:marBottom w:val="0"/>
      <w:divBdr>
        <w:top w:val="none" w:sz="0" w:space="0" w:color="auto"/>
        <w:left w:val="none" w:sz="0" w:space="0" w:color="auto"/>
        <w:bottom w:val="none" w:sz="0" w:space="0" w:color="auto"/>
        <w:right w:val="none" w:sz="0" w:space="0" w:color="auto"/>
      </w:divBdr>
    </w:div>
    <w:div w:id="154954144">
      <w:bodyDiv w:val="1"/>
      <w:marLeft w:val="0"/>
      <w:marRight w:val="0"/>
      <w:marTop w:val="0"/>
      <w:marBottom w:val="0"/>
      <w:divBdr>
        <w:top w:val="none" w:sz="0" w:space="0" w:color="auto"/>
        <w:left w:val="none" w:sz="0" w:space="0" w:color="auto"/>
        <w:bottom w:val="none" w:sz="0" w:space="0" w:color="auto"/>
        <w:right w:val="none" w:sz="0" w:space="0" w:color="auto"/>
      </w:divBdr>
    </w:div>
    <w:div w:id="155607937">
      <w:bodyDiv w:val="1"/>
      <w:marLeft w:val="0"/>
      <w:marRight w:val="0"/>
      <w:marTop w:val="0"/>
      <w:marBottom w:val="0"/>
      <w:divBdr>
        <w:top w:val="none" w:sz="0" w:space="0" w:color="auto"/>
        <w:left w:val="none" w:sz="0" w:space="0" w:color="auto"/>
        <w:bottom w:val="none" w:sz="0" w:space="0" w:color="auto"/>
        <w:right w:val="none" w:sz="0" w:space="0" w:color="auto"/>
      </w:divBdr>
    </w:div>
    <w:div w:id="157306405">
      <w:bodyDiv w:val="1"/>
      <w:marLeft w:val="0"/>
      <w:marRight w:val="0"/>
      <w:marTop w:val="0"/>
      <w:marBottom w:val="0"/>
      <w:divBdr>
        <w:top w:val="none" w:sz="0" w:space="0" w:color="auto"/>
        <w:left w:val="none" w:sz="0" w:space="0" w:color="auto"/>
        <w:bottom w:val="none" w:sz="0" w:space="0" w:color="auto"/>
        <w:right w:val="none" w:sz="0" w:space="0" w:color="auto"/>
      </w:divBdr>
    </w:div>
    <w:div w:id="157353391">
      <w:bodyDiv w:val="1"/>
      <w:marLeft w:val="0"/>
      <w:marRight w:val="0"/>
      <w:marTop w:val="0"/>
      <w:marBottom w:val="0"/>
      <w:divBdr>
        <w:top w:val="none" w:sz="0" w:space="0" w:color="auto"/>
        <w:left w:val="none" w:sz="0" w:space="0" w:color="auto"/>
        <w:bottom w:val="none" w:sz="0" w:space="0" w:color="auto"/>
        <w:right w:val="none" w:sz="0" w:space="0" w:color="auto"/>
      </w:divBdr>
    </w:div>
    <w:div w:id="157426120">
      <w:bodyDiv w:val="1"/>
      <w:marLeft w:val="0"/>
      <w:marRight w:val="0"/>
      <w:marTop w:val="0"/>
      <w:marBottom w:val="0"/>
      <w:divBdr>
        <w:top w:val="none" w:sz="0" w:space="0" w:color="auto"/>
        <w:left w:val="none" w:sz="0" w:space="0" w:color="auto"/>
        <w:bottom w:val="none" w:sz="0" w:space="0" w:color="auto"/>
        <w:right w:val="none" w:sz="0" w:space="0" w:color="auto"/>
      </w:divBdr>
    </w:div>
    <w:div w:id="157427309">
      <w:bodyDiv w:val="1"/>
      <w:marLeft w:val="0"/>
      <w:marRight w:val="0"/>
      <w:marTop w:val="0"/>
      <w:marBottom w:val="0"/>
      <w:divBdr>
        <w:top w:val="none" w:sz="0" w:space="0" w:color="auto"/>
        <w:left w:val="none" w:sz="0" w:space="0" w:color="auto"/>
        <w:bottom w:val="none" w:sz="0" w:space="0" w:color="auto"/>
        <w:right w:val="none" w:sz="0" w:space="0" w:color="auto"/>
      </w:divBdr>
    </w:div>
    <w:div w:id="157428035">
      <w:bodyDiv w:val="1"/>
      <w:marLeft w:val="0"/>
      <w:marRight w:val="0"/>
      <w:marTop w:val="0"/>
      <w:marBottom w:val="0"/>
      <w:divBdr>
        <w:top w:val="none" w:sz="0" w:space="0" w:color="auto"/>
        <w:left w:val="none" w:sz="0" w:space="0" w:color="auto"/>
        <w:bottom w:val="none" w:sz="0" w:space="0" w:color="auto"/>
        <w:right w:val="none" w:sz="0" w:space="0" w:color="auto"/>
      </w:divBdr>
    </w:div>
    <w:div w:id="158009686">
      <w:bodyDiv w:val="1"/>
      <w:marLeft w:val="0"/>
      <w:marRight w:val="0"/>
      <w:marTop w:val="0"/>
      <w:marBottom w:val="0"/>
      <w:divBdr>
        <w:top w:val="none" w:sz="0" w:space="0" w:color="auto"/>
        <w:left w:val="none" w:sz="0" w:space="0" w:color="auto"/>
        <w:bottom w:val="none" w:sz="0" w:space="0" w:color="auto"/>
        <w:right w:val="none" w:sz="0" w:space="0" w:color="auto"/>
      </w:divBdr>
    </w:div>
    <w:div w:id="158230468">
      <w:bodyDiv w:val="1"/>
      <w:marLeft w:val="0"/>
      <w:marRight w:val="0"/>
      <w:marTop w:val="0"/>
      <w:marBottom w:val="0"/>
      <w:divBdr>
        <w:top w:val="none" w:sz="0" w:space="0" w:color="auto"/>
        <w:left w:val="none" w:sz="0" w:space="0" w:color="auto"/>
        <w:bottom w:val="none" w:sz="0" w:space="0" w:color="auto"/>
        <w:right w:val="none" w:sz="0" w:space="0" w:color="auto"/>
      </w:divBdr>
    </w:div>
    <w:div w:id="158232367">
      <w:bodyDiv w:val="1"/>
      <w:marLeft w:val="0"/>
      <w:marRight w:val="0"/>
      <w:marTop w:val="0"/>
      <w:marBottom w:val="0"/>
      <w:divBdr>
        <w:top w:val="none" w:sz="0" w:space="0" w:color="auto"/>
        <w:left w:val="none" w:sz="0" w:space="0" w:color="auto"/>
        <w:bottom w:val="none" w:sz="0" w:space="0" w:color="auto"/>
        <w:right w:val="none" w:sz="0" w:space="0" w:color="auto"/>
      </w:divBdr>
    </w:div>
    <w:div w:id="158271332">
      <w:bodyDiv w:val="1"/>
      <w:marLeft w:val="0"/>
      <w:marRight w:val="0"/>
      <w:marTop w:val="0"/>
      <w:marBottom w:val="0"/>
      <w:divBdr>
        <w:top w:val="none" w:sz="0" w:space="0" w:color="auto"/>
        <w:left w:val="none" w:sz="0" w:space="0" w:color="auto"/>
        <w:bottom w:val="none" w:sz="0" w:space="0" w:color="auto"/>
        <w:right w:val="none" w:sz="0" w:space="0" w:color="auto"/>
      </w:divBdr>
    </w:div>
    <w:div w:id="158346455">
      <w:bodyDiv w:val="1"/>
      <w:marLeft w:val="0"/>
      <w:marRight w:val="0"/>
      <w:marTop w:val="0"/>
      <w:marBottom w:val="0"/>
      <w:divBdr>
        <w:top w:val="none" w:sz="0" w:space="0" w:color="auto"/>
        <w:left w:val="none" w:sz="0" w:space="0" w:color="auto"/>
        <w:bottom w:val="none" w:sz="0" w:space="0" w:color="auto"/>
        <w:right w:val="none" w:sz="0" w:space="0" w:color="auto"/>
      </w:divBdr>
    </w:div>
    <w:div w:id="159009905">
      <w:bodyDiv w:val="1"/>
      <w:marLeft w:val="0"/>
      <w:marRight w:val="0"/>
      <w:marTop w:val="0"/>
      <w:marBottom w:val="0"/>
      <w:divBdr>
        <w:top w:val="none" w:sz="0" w:space="0" w:color="auto"/>
        <w:left w:val="none" w:sz="0" w:space="0" w:color="auto"/>
        <w:bottom w:val="none" w:sz="0" w:space="0" w:color="auto"/>
        <w:right w:val="none" w:sz="0" w:space="0" w:color="auto"/>
      </w:divBdr>
    </w:div>
    <w:div w:id="159125642">
      <w:bodyDiv w:val="1"/>
      <w:marLeft w:val="0"/>
      <w:marRight w:val="0"/>
      <w:marTop w:val="0"/>
      <w:marBottom w:val="0"/>
      <w:divBdr>
        <w:top w:val="none" w:sz="0" w:space="0" w:color="auto"/>
        <w:left w:val="none" w:sz="0" w:space="0" w:color="auto"/>
        <w:bottom w:val="none" w:sz="0" w:space="0" w:color="auto"/>
        <w:right w:val="none" w:sz="0" w:space="0" w:color="auto"/>
      </w:divBdr>
    </w:div>
    <w:div w:id="159273803">
      <w:bodyDiv w:val="1"/>
      <w:marLeft w:val="0"/>
      <w:marRight w:val="0"/>
      <w:marTop w:val="0"/>
      <w:marBottom w:val="0"/>
      <w:divBdr>
        <w:top w:val="none" w:sz="0" w:space="0" w:color="auto"/>
        <w:left w:val="none" w:sz="0" w:space="0" w:color="auto"/>
        <w:bottom w:val="none" w:sz="0" w:space="0" w:color="auto"/>
        <w:right w:val="none" w:sz="0" w:space="0" w:color="auto"/>
      </w:divBdr>
    </w:div>
    <w:div w:id="159346139">
      <w:bodyDiv w:val="1"/>
      <w:marLeft w:val="0"/>
      <w:marRight w:val="0"/>
      <w:marTop w:val="0"/>
      <w:marBottom w:val="0"/>
      <w:divBdr>
        <w:top w:val="none" w:sz="0" w:space="0" w:color="auto"/>
        <w:left w:val="none" w:sz="0" w:space="0" w:color="auto"/>
        <w:bottom w:val="none" w:sz="0" w:space="0" w:color="auto"/>
        <w:right w:val="none" w:sz="0" w:space="0" w:color="auto"/>
      </w:divBdr>
    </w:div>
    <w:div w:id="159582662">
      <w:bodyDiv w:val="1"/>
      <w:marLeft w:val="0"/>
      <w:marRight w:val="0"/>
      <w:marTop w:val="0"/>
      <w:marBottom w:val="0"/>
      <w:divBdr>
        <w:top w:val="none" w:sz="0" w:space="0" w:color="auto"/>
        <w:left w:val="none" w:sz="0" w:space="0" w:color="auto"/>
        <w:bottom w:val="none" w:sz="0" w:space="0" w:color="auto"/>
        <w:right w:val="none" w:sz="0" w:space="0" w:color="auto"/>
      </w:divBdr>
    </w:div>
    <w:div w:id="159657506">
      <w:bodyDiv w:val="1"/>
      <w:marLeft w:val="0"/>
      <w:marRight w:val="0"/>
      <w:marTop w:val="0"/>
      <w:marBottom w:val="0"/>
      <w:divBdr>
        <w:top w:val="none" w:sz="0" w:space="0" w:color="auto"/>
        <w:left w:val="none" w:sz="0" w:space="0" w:color="auto"/>
        <w:bottom w:val="none" w:sz="0" w:space="0" w:color="auto"/>
        <w:right w:val="none" w:sz="0" w:space="0" w:color="auto"/>
      </w:divBdr>
    </w:div>
    <w:div w:id="160047453">
      <w:bodyDiv w:val="1"/>
      <w:marLeft w:val="0"/>
      <w:marRight w:val="0"/>
      <w:marTop w:val="0"/>
      <w:marBottom w:val="0"/>
      <w:divBdr>
        <w:top w:val="none" w:sz="0" w:space="0" w:color="auto"/>
        <w:left w:val="none" w:sz="0" w:space="0" w:color="auto"/>
        <w:bottom w:val="none" w:sz="0" w:space="0" w:color="auto"/>
        <w:right w:val="none" w:sz="0" w:space="0" w:color="auto"/>
      </w:divBdr>
    </w:div>
    <w:div w:id="160049212">
      <w:bodyDiv w:val="1"/>
      <w:marLeft w:val="0"/>
      <w:marRight w:val="0"/>
      <w:marTop w:val="0"/>
      <w:marBottom w:val="0"/>
      <w:divBdr>
        <w:top w:val="none" w:sz="0" w:space="0" w:color="auto"/>
        <w:left w:val="none" w:sz="0" w:space="0" w:color="auto"/>
        <w:bottom w:val="none" w:sz="0" w:space="0" w:color="auto"/>
        <w:right w:val="none" w:sz="0" w:space="0" w:color="auto"/>
      </w:divBdr>
    </w:div>
    <w:div w:id="160119403">
      <w:bodyDiv w:val="1"/>
      <w:marLeft w:val="0"/>
      <w:marRight w:val="0"/>
      <w:marTop w:val="0"/>
      <w:marBottom w:val="0"/>
      <w:divBdr>
        <w:top w:val="none" w:sz="0" w:space="0" w:color="auto"/>
        <w:left w:val="none" w:sz="0" w:space="0" w:color="auto"/>
        <w:bottom w:val="none" w:sz="0" w:space="0" w:color="auto"/>
        <w:right w:val="none" w:sz="0" w:space="0" w:color="auto"/>
      </w:divBdr>
    </w:div>
    <w:div w:id="160126363">
      <w:bodyDiv w:val="1"/>
      <w:marLeft w:val="0"/>
      <w:marRight w:val="0"/>
      <w:marTop w:val="0"/>
      <w:marBottom w:val="0"/>
      <w:divBdr>
        <w:top w:val="none" w:sz="0" w:space="0" w:color="auto"/>
        <w:left w:val="none" w:sz="0" w:space="0" w:color="auto"/>
        <w:bottom w:val="none" w:sz="0" w:space="0" w:color="auto"/>
        <w:right w:val="none" w:sz="0" w:space="0" w:color="auto"/>
      </w:divBdr>
    </w:div>
    <w:div w:id="160242406">
      <w:bodyDiv w:val="1"/>
      <w:marLeft w:val="0"/>
      <w:marRight w:val="0"/>
      <w:marTop w:val="0"/>
      <w:marBottom w:val="0"/>
      <w:divBdr>
        <w:top w:val="none" w:sz="0" w:space="0" w:color="auto"/>
        <w:left w:val="none" w:sz="0" w:space="0" w:color="auto"/>
        <w:bottom w:val="none" w:sz="0" w:space="0" w:color="auto"/>
        <w:right w:val="none" w:sz="0" w:space="0" w:color="auto"/>
      </w:divBdr>
    </w:div>
    <w:div w:id="160396328">
      <w:bodyDiv w:val="1"/>
      <w:marLeft w:val="0"/>
      <w:marRight w:val="0"/>
      <w:marTop w:val="0"/>
      <w:marBottom w:val="0"/>
      <w:divBdr>
        <w:top w:val="none" w:sz="0" w:space="0" w:color="auto"/>
        <w:left w:val="none" w:sz="0" w:space="0" w:color="auto"/>
        <w:bottom w:val="none" w:sz="0" w:space="0" w:color="auto"/>
        <w:right w:val="none" w:sz="0" w:space="0" w:color="auto"/>
      </w:divBdr>
    </w:div>
    <w:div w:id="160970896">
      <w:bodyDiv w:val="1"/>
      <w:marLeft w:val="0"/>
      <w:marRight w:val="0"/>
      <w:marTop w:val="0"/>
      <w:marBottom w:val="0"/>
      <w:divBdr>
        <w:top w:val="none" w:sz="0" w:space="0" w:color="auto"/>
        <w:left w:val="none" w:sz="0" w:space="0" w:color="auto"/>
        <w:bottom w:val="none" w:sz="0" w:space="0" w:color="auto"/>
        <w:right w:val="none" w:sz="0" w:space="0" w:color="auto"/>
      </w:divBdr>
    </w:div>
    <w:div w:id="161162954">
      <w:bodyDiv w:val="1"/>
      <w:marLeft w:val="0"/>
      <w:marRight w:val="0"/>
      <w:marTop w:val="0"/>
      <w:marBottom w:val="0"/>
      <w:divBdr>
        <w:top w:val="none" w:sz="0" w:space="0" w:color="auto"/>
        <w:left w:val="none" w:sz="0" w:space="0" w:color="auto"/>
        <w:bottom w:val="none" w:sz="0" w:space="0" w:color="auto"/>
        <w:right w:val="none" w:sz="0" w:space="0" w:color="auto"/>
      </w:divBdr>
    </w:div>
    <w:div w:id="161244164">
      <w:bodyDiv w:val="1"/>
      <w:marLeft w:val="0"/>
      <w:marRight w:val="0"/>
      <w:marTop w:val="0"/>
      <w:marBottom w:val="0"/>
      <w:divBdr>
        <w:top w:val="none" w:sz="0" w:space="0" w:color="auto"/>
        <w:left w:val="none" w:sz="0" w:space="0" w:color="auto"/>
        <w:bottom w:val="none" w:sz="0" w:space="0" w:color="auto"/>
        <w:right w:val="none" w:sz="0" w:space="0" w:color="auto"/>
      </w:divBdr>
    </w:div>
    <w:div w:id="161551347">
      <w:bodyDiv w:val="1"/>
      <w:marLeft w:val="0"/>
      <w:marRight w:val="0"/>
      <w:marTop w:val="0"/>
      <w:marBottom w:val="0"/>
      <w:divBdr>
        <w:top w:val="none" w:sz="0" w:space="0" w:color="auto"/>
        <w:left w:val="none" w:sz="0" w:space="0" w:color="auto"/>
        <w:bottom w:val="none" w:sz="0" w:space="0" w:color="auto"/>
        <w:right w:val="none" w:sz="0" w:space="0" w:color="auto"/>
      </w:divBdr>
    </w:div>
    <w:div w:id="161625090">
      <w:bodyDiv w:val="1"/>
      <w:marLeft w:val="0"/>
      <w:marRight w:val="0"/>
      <w:marTop w:val="0"/>
      <w:marBottom w:val="0"/>
      <w:divBdr>
        <w:top w:val="none" w:sz="0" w:space="0" w:color="auto"/>
        <w:left w:val="none" w:sz="0" w:space="0" w:color="auto"/>
        <w:bottom w:val="none" w:sz="0" w:space="0" w:color="auto"/>
        <w:right w:val="none" w:sz="0" w:space="0" w:color="auto"/>
      </w:divBdr>
    </w:div>
    <w:div w:id="161631099">
      <w:bodyDiv w:val="1"/>
      <w:marLeft w:val="0"/>
      <w:marRight w:val="0"/>
      <w:marTop w:val="0"/>
      <w:marBottom w:val="0"/>
      <w:divBdr>
        <w:top w:val="none" w:sz="0" w:space="0" w:color="auto"/>
        <w:left w:val="none" w:sz="0" w:space="0" w:color="auto"/>
        <w:bottom w:val="none" w:sz="0" w:space="0" w:color="auto"/>
        <w:right w:val="none" w:sz="0" w:space="0" w:color="auto"/>
      </w:divBdr>
    </w:div>
    <w:div w:id="161706245">
      <w:bodyDiv w:val="1"/>
      <w:marLeft w:val="0"/>
      <w:marRight w:val="0"/>
      <w:marTop w:val="0"/>
      <w:marBottom w:val="0"/>
      <w:divBdr>
        <w:top w:val="none" w:sz="0" w:space="0" w:color="auto"/>
        <w:left w:val="none" w:sz="0" w:space="0" w:color="auto"/>
        <w:bottom w:val="none" w:sz="0" w:space="0" w:color="auto"/>
        <w:right w:val="none" w:sz="0" w:space="0" w:color="auto"/>
      </w:divBdr>
    </w:div>
    <w:div w:id="162089969">
      <w:bodyDiv w:val="1"/>
      <w:marLeft w:val="0"/>
      <w:marRight w:val="0"/>
      <w:marTop w:val="0"/>
      <w:marBottom w:val="0"/>
      <w:divBdr>
        <w:top w:val="none" w:sz="0" w:space="0" w:color="auto"/>
        <w:left w:val="none" w:sz="0" w:space="0" w:color="auto"/>
        <w:bottom w:val="none" w:sz="0" w:space="0" w:color="auto"/>
        <w:right w:val="none" w:sz="0" w:space="0" w:color="auto"/>
      </w:divBdr>
    </w:div>
    <w:div w:id="162090075">
      <w:bodyDiv w:val="1"/>
      <w:marLeft w:val="0"/>
      <w:marRight w:val="0"/>
      <w:marTop w:val="0"/>
      <w:marBottom w:val="0"/>
      <w:divBdr>
        <w:top w:val="none" w:sz="0" w:space="0" w:color="auto"/>
        <w:left w:val="none" w:sz="0" w:space="0" w:color="auto"/>
        <w:bottom w:val="none" w:sz="0" w:space="0" w:color="auto"/>
        <w:right w:val="none" w:sz="0" w:space="0" w:color="auto"/>
      </w:divBdr>
    </w:div>
    <w:div w:id="162163199">
      <w:bodyDiv w:val="1"/>
      <w:marLeft w:val="0"/>
      <w:marRight w:val="0"/>
      <w:marTop w:val="0"/>
      <w:marBottom w:val="0"/>
      <w:divBdr>
        <w:top w:val="none" w:sz="0" w:space="0" w:color="auto"/>
        <w:left w:val="none" w:sz="0" w:space="0" w:color="auto"/>
        <w:bottom w:val="none" w:sz="0" w:space="0" w:color="auto"/>
        <w:right w:val="none" w:sz="0" w:space="0" w:color="auto"/>
      </w:divBdr>
    </w:div>
    <w:div w:id="162284958">
      <w:bodyDiv w:val="1"/>
      <w:marLeft w:val="0"/>
      <w:marRight w:val="0"/>
      <w:marTop w:val="0"/>
      <w:marBottom w:val="0"/>
      <w:divBdr>
        <w:top w:val="none" w:sz="0" w:space="0" w:color="auto"/>
        <w:left w:val="none" w:sz="0" w:space="0" w:color="auto"/>
        <w:bottom w:val="none" w:sz="0" w:space="0" w:color="auto"/>
        <w:right w:val="none" w:sz="0" w:space="0" w:color="auto"/>
      </w:divBdr>
    </w:div>
    <w:div w:id="162471483">
      <w:bodyDiv w:val="1"/>
      <w:marLeft w:val="0"/>
      <w:marRight w:val="0"/>
      <w:marTop w:val="0"/>
      <w:marBottom w:val="0"/>
      <w:divBdr>
        <w:top w:val="none" w:sz="0" w:space="0" w:color="auto"/>
        <w:left w:val="none" w:sz="0" w:space="0" w:color="auto"/>
        <w:bottom w:val="none" w:sz="0" w:space="0" w:color="auto"/>
        <w:right w:val="none" w:sz="0" w:space="0" w:color="auto"/>
      </w:divBdr>
    </w:div>
    <w:div w:id="162548035">
      <w:bodyDiv w:val="1"/>
      <w:marLeft w:val="0"/>
      <w:marRight w:val="0"/>
      <w:marTop w:val="0"/>
      <w:marBottom w:val="0"/>
      <w:divBdr>
        <w:top w:val="none" w:sz="0" w:space="0" w:color="auto"/>
        <w:left w:val="none" w:sz="0" w:space="0" w:color="auto"/>
        <w:bottom w:val="none" w:sz="0" w:space="0" w:color="auto"/>
        <w:right w:val="none" w:sz="0" w:space="0" w:color="auto"/>
      </w:divBdr>
    </w:div>
    <w:div w:id="162552212">
      <w:bodyDiv w:val="1"/>
      <w:marLeft w:val="0"/>
      <w:marRight w:val="0"/>
      <w:marTop w:val="0"/>
      <w:marBottom w:val="0"/>
      <w:divBdr>
        <w:top w:val="none" w:sz="0" w:space="0" w:color="auto"/>
        <w:left w:val="none" w:sz="0" w:space="0" w:color="auto"/>
        <w:bottom w:val="none" w:sz="0" w:space="0" w:color="auto"/>
        <w:right w:val="none" w:sz="0" w:space="0" w:color="auto"/>
      </w:divBdr>
    </w:div>
    <w:div w:id="162623277">
      <w:bodyDiv w:val="1"/>
      <w:marLeft w:val="0"/>
      <w:marRight w:val="0"/>
      <w:marTop w:val="0"/>
      <w:marBottom w:val="0"/>
      <w:divBdr>
        <w:top w:val="none" w:sz="0" w:space="0" w:color="auto"/>
        <w:left w:val="none" w:sz="0" w:space="0" w:color="auto"/>
        <w:bottom w:val="none" w:sz="0" w:space="0" w:color="auto"/>
        <w:right w:val="none" w:sz="0" w:space="0" w:color="auto"/>
      </w:divBdr>
    </w:div>
    <w:div w:id="162627129">
      <w:bodyDiv w:val="1"/>
      <w:marLeft w:val="0"/>
      <w:marRight w:val="0"/>
      <w:marTop w:val="0"/>
      <w:marBottom w:val="0"/>
      <w:divBdr>
        <w:top w:val="none" w:sz="0" w:space="0" w:color="auto"/>
        <w:left w:val="none" w:sz="0" w:space="0" w:color="auto"/>
        <w:bottom w:val="none" w:sz="0" w:space="0" w:color="auto"/>
        <w:right w:val="none" w:sz="0" w:space="0" w:color="auto"/>
      </w:divBdr>
    </w:div>
    <w:div w:id="162672525">
      <w:bodyDiv w:val="1"/>
      <w:marLeft w:val="0"/>
      <w:marRight w:val="0"/>
      <w:marTop w:val="0"/>
      <w:marBottom w:val="0"/>
      <w:divBdr>
        <w:top w:val="none" w:sz="0" w:space="0" w:color="auto"/>
        <w:left w:val="none" w:sz="0" w:space="0" w:color="auto"/>
        <w:bottom w:val="none" w:sz="0" w:space="0" w:color="auto"/>
        <w:right w:val="none" w:sz="0" w:space="0" w:color="auto"/>
      </w:divBdr>
    </w:div>
    <w:div w:id="162744555">
      <w:bodyDiv w:val="1"/>
      <w:marLeft w:val="0"/>
      <w:marRight w:val="0"/>
      <w:marTop w:val="0"/>
      <w:marBottom w:val="0"/>
      <w:divBdr>
        <w:top w:val="none" w:sz="0" w:space="0" w:color="auto"/>
        <w:left w:val="none" w:sz="0" w:space="0" w:color="auto"/>
        <w:bottom w:val="none" w:sz="0" w:space="0" w:color="auto"/>
        <w:right w:val="none" w:sz="0" w:space="0" w:color="auto"/>
      </w:divBdr>
    </w:div>
    <w:div w:id="162821865">
      <w:bodyDiv w:val="1"/>
      <w:marLeft w:val="0"/>
      <w:marRight w:val="0"/>
      <w:marTop w:val="0"/>
      <w:marBottom w:val="0"/>
      <w:divBdr>
        <w:top w:val="none" w:sz="0" w:space="0" w:color="auto"/>
        <w:left w:val="none" w:sz="0" w:space="0" w:color="auto"/>
        <w:bottom w:val="none" w:sz="0" w:space="0" w:color="auto"/>
        <w:right w:val="none" w:sz="0" w:space="0" w:color="auto"/>
      </w:divBdr>
    </w:div>
    <w:div w:id="163008997">
      <w:bodyDiv w:val="1"/>
      <w:marLeft w:val="0"/>
      <w:marRight w:val="0"/>
      <w:marTop w:val="0"/>
      <w:marBottom w:val="0"/>
      <w:divBdr>
        <w:top w:val="none" w:sz="0" w:space="0" w:color="auto"/>
        <w:left w:val="none" w:sz="0" w:space="0" w:color="auto"/>
        <w:bottom w:val="none" w:sz="0" w:space="0" w:color="auto"/>
        <w:right w:val="none" w:sz="0" w:space="0" w:color="auto"/>
      </w:divBdr>
    </w:div>
    <w:div w:id="163016429">
      <w:bodyDiv w:val="1"/>
      <w:marLeft w:val="0"/>
      <w:marRight w:val="0"/>
      <w:marTop w:val="0"/>
      <w:marBottom w:val="0"/>
      <w:divBdr>
        <w:top w:val="none" w:sz="0" w:space="0" w:color="auto"/>
        <w:left w:val="none" w:sz="0" w:space="0" w:color="auto"/>
        <w:bottom w:val="none" w:sz="0" w:space="0" w:color="auto"/>
        <w:right w:val="none" w:sz="0" w:space="0" w:color="auto"/>
      </w:divBdr>
    </w:div>
    <w:div w:id="163132696">
      <w:bodyDiv w:val="1"/>
      <w:marLeft w:val="0"/>
      <w:marRight w:val="0"/>
      <w:marTop w:val="0"/>
      <w:marBottom w:val="0"/>
      <w:divBdr>
        <w:top w:val="none" w:sz="0" w:space="0" w:color="auto"/>
        <w:left w:val="none" w:sz="0" w:space="0" w:color="auto"/>
        <w:bottom w:val="none" w:sz="0" w:space="0" w:color="auto"/>
        <w:right w:val="none" w:sz="0" w:space="0" w:color="auto"/>
      </w:divBdr>
    </w:div>
    <w:div w:id="163282938">
      <w:bodyDiv w:val="1"/>
      <w:marLeft w:val="0"/>
      <w:marRight w:val="0"/>
      <w:marTop w:val="0"/>
      <w:marBottom w:val="0"/>
      <w:divBdr>
        <w:top w:val="none" w:sz="0" w:space="0" w:color="auto"/>
        <w:left w:val="none" w:sz="0" w:space="0" w:color="auto"/>
        <w:bottom w:val="none" w:sz="0" w:space="0" w:color="auto"/>
        <w:right w:val="none" w:sz="0" w:space="0" w:color="auto"/>
      </w:divBdr>
    </w:div>
    <w:div w:id="163324839">
      <w:bodyDiv w:val="1"/>
      <w:marLeft w:val="0"/>
      <w:marRight w:val="0"/>
      <w:marTop w:val="0"/>
      <w:marBottom w:val="0"/>
      <w:divBdr>
        <w:top w:val="none" w:sz="0" w:space="0" w:color="auto"/>
        <w:left w:val="none" w:sz="0" w:space="0" w:color="auto"/>
        <w:bottom w:val="none" w:sz="0" w:space="0" w:color="auto"/>
        <w:right w:val="none" w:sz="0" w:space="0" w:color="auto"/>
      </w:divBdr>
    </w:div>
    <w:div w:id="163475305">
      <w:bodyDiv w:val="1"/>
      <w:marLeft w:val="0"/>
      <w:marRight w:val="0"/>
      <w:marTop w:val="0"/>
      <w:marBottom w:val="0"/>
      <w:divBdr>
        <w:top w:val="none" w:sz="0" w:space="0" w:color="auto"/>
        <w:left w:val="none" w:sz="0" w:space="0" w:color="auto"/>
        <w:bottom w:val="none" w:sz="0" w:space="0" w:color="auto"/>
        <w:right w:val="none" w:sz="0" w:space="0" w:color="auto"/>
      </w:divBdr>
    </w:div>
    <w:div w:id="163475440">
      <w:bodyDiv w:val="1"/>
      <w:marLeft w:val="0"/>
      <w:marRight w:val="0"/>
      <w:marTop w:val="0"/>
      <w:marBottom w:val="0"/>
      <w:divBdr>
        <w:top w:val="none" w:sz="0" w:space="0" w:color="auto"/>
        <w:left w:val="none" w:sz="0" w:space="0" w:color="auto"/>
        <w:bottom w:val="none" w:sz="0" w:space="0" w:color="auto"/>
        <w:right w:val="none" w:sz="0" w:space="0" w:color="auto"/>
      </w:divBdr>
    </w:div>
    <w:div w:id="163521173">
      <w:bodyDiv w:val="1"/>
      <w:marLeft w:val="0"/>
      <w:marRight w:val="0"/>
      <w:marTop w:val="0"/>
      <w:marBottom w:val="0"/>
      <w:divBdr>
        <w:top w:val="none" w:sz="0" w:space="0" w:color="auto"/>
        <w:left w:val="none" w:sz="0" w:space="0" w:color="auto"/>
        <w:bottom w:val="none" w:sz="0" w:space="0" w:color="auto"/>
        <w:right w:val="none" w:sz="0" w:space="0" w:color="auto"/>
      </w:divBdr>
    </w:div>
    <w:div w:id="163791230">
      <w:bodyDiv w:val="1"/>
      <w:marLeft w:val="0"/>
      <w:marRight w:val="0"/>
      <w:marTop w:val="0"/>
      <w:marBottom w:val="0"/>
      <w:divBdr>
        <w:top w:val="none" w:sz="0" w:space="0" w:color="auto"/>
        <w:left w:val="none" w:sz="0" w:space="0" w:color="auto"/>
        <w:bottom w:val="none" w:sz="0" w:space="0" w:color="auto"/>
        <w:right w:val="none" w:sz="0" w:space="0" w:color="auto"/>
      </w:divBdr>
    </w:div>
    <w:div w:id="163863272">
      <w:bodyDiv w:val="1"/>
      <w:marLeft w:val="0"/>
      <w:marRight w:val="0"/>
      <w:marTop w:val="0"/>
      <w:marBottom w:val="0"/>
      <w:divBdr>
        <w:top w:val="none" w:sz="0" w:space="0" w:color="auto"/>
        <w:left w:val="none" w:sz="0" w:space="0" w:color="auto"/>
        <w:bottom w:val="none" w:sz="0" w:space="0" w:color="auto"/>
        <w:right w:val="none" w:sz="0" w:space="0" w:color="auto"/>
      </w:divBdr>
    </w:div>
    <w:div w:id="163932801">
      <w:bodyDiv w:val="1"/>
      <w:marLeft w:val="0"/>
      <w:marRight w:val="0"/>
      <w:marTop w:val="0"/>
      <w:marBottom w:val="0"/>
      <w:divBdr>
        <w:top w:val="none" w:sz="0" w:space="0" w:color="auto"/>
        <w:left w:val="none" w:sz="0" w:space="0" w:color="auto"/>
        <w:bottom w:val="none" w:sz="0" w:space="0" w:color="auto"/>
        <w:right w:val="none" w:sz="0" w:space="0" w:color="auto"/>
      </w:divBdr>
    </w:div>
    <w:div w:id="164129195">
      <w:bodyDiv w:val="1"/>
      <w:marLeft w:val="0"/>
      <w:marRight w:val="0"/>
      <w:marTop w:val="0"/>
      <w:marBottom w:val="0"/>
      <w:divBdr>
        <w:top w:val="none" w:sz="0" w:space="0" w:color="auto"/>
        <w:left w:val="none" w:sz="0" w:space="0" w:color="auto"/>
        <w:bottom w:val="none" w:sz="0" w:space="0" w:color="auto"/>
        <w:right w:val="none" w:sz="0" w:space="0" w:color="auto"/>
      </w:divBdr>
    </w:div>
    <w:div w:id="164170049">
      <w:bodyDiv w:val="1"/>
      <w:marLeft w:val="0"/>
      <w:marRight w:val="0"/>
      <w:marTop w:val="0"/>
      <w:marBottom w:val="0"/>
      <w:divBdr>
        <w:top w:val="none" w:sz="0" w:space="0" w:color="auto"/>
        <w:left w:val="none" w:sz="0" w:space="0" w:color="auto"/>
        <w:bottom w:val="none" w:sz="0" w:space="0" w:color="auto"/>
        <w:right w:val="none" w:sz="0" w:space="0" w:color="auto"/>
      </w:divBdr>
    </w:div>
    <w:div w:id="164520095">
      <w:bodyDiv w:val="1"/>
      <w:marLeft w:val="0"/>
      <w:marRight w:val="0"/>
      <w:marTop w:val="0"/>
      <w:marBottom w:val="0"/>
      <w:divBdr>
        <w:top w:val="none" w:sz="0" w:space="0" w:color="auto"/>
        <w:left w:val="none" w:sz="0" w:space="0" w:color="auto"/>
        <w:bottom w:val="none" w:sz="0" w:space="0" w:color="auto"/>
        <w:right w:val="none" w:sz="0" w:space="0" w:color="auto"/>
      </w:divBdr>
    </w:div>
    <w:div w:id="164562099">
      <w:bodyDiv w:val="1"/>
      <w:marLeft w:val="0"/>
      <w:marRight w:val="0"/>
      <w:marTop w:val="0"/>
      <w:marBottom w:val="0"/>
      <w:divBdr>
        <w:top w:val="none" w:sz="0" w:space="0" w:color="auto"/>
        <w:left w:val="none" w:sz="0" w:space="0" w:color="auto"/>
        <w:bottom w:val="none" w:sz="0" w:space="0" w:color="auto"/>
        <w:right w:val="none" w:sz="0" w:space="0" w:color="auto"/>
      </w:divBdr>
    </w:div>
    <w:div w:id="164635664">
      <w:bodyDiv w:val="1"/>
      <w:marLeft w:val="0"/>
      <w:marRight w:val="0"/>
      <w:marTop w:val="0"/>
      <w:marBottom w:val="0"/>
      <w:divBdr>
        <w:top w:val="none" w:sz="0" w:space="0" w:color="auto"/>
        <w:left w:val="none" w:sz="0" w:space="0" w:color="auto"/>
        <w:bottom w:val="none" w:sz="0" w:space="0" w:color="auto"/>
        <w:right w:val="none" w:sz="0" w:space="0" w:color="auto"/>
      </w:divBdr>
    </w:div>
    <w:div w:id="164907645">
      <w:bodyDiv w:val="1"/>
      <w:marLeft w:val="0"/>
      <w:marRight w:val="0"/>
      <w:marTop w:val="0"/>
      <w:marBottom w:val="0"/>
      <w:divBdr>
        <w:top w:val="none" w:sz="0" w:space="0" w:color="auto"/>
        <w:left w:val="none" w:sz="0" w:space="0" w:color="auto"/>
        <w:bottom w:val="none" w:sz="0" w:space="0" w:color="auto"/>
        <w:right w:val="none" w:sz="0" w:space="0" w:color="auto"/>
      </w:divBdr>
    </w:div>
    <w:div w:id="165364943">
      <w:bodyDiv w:val="1"/>
      <w:marLeft w:val="0"/>
      <w:marRight w:val="0"/>
      <w:marTop w:val="0"/>
      <w:marBottom w:val="0"/>
      <w:divBdr>
        <w:top w:val="none" w:sz="0" w:space="0" w:color="auto"/>
        <w:left w:val="none" w:sz="0" w:space="0" w:color="auto"/>
        <w:bottom w:val="none" w:sz="0" w:space="0" w:color="auto"/>
        <w:right w:val="none" w:sz="0" w:space="0" w:color="auto"/>
      </w:divBdr>
    </w:div>
    <w:div w:id="165488325">
      <w:bodyDiv w:val="1"/>
      <w:marLeft w:val="0"/>
      <w:marRight w:val="0"/>
      <w:marTop w:val="0"/>
      <w:marBottom w:val="0"/>
      <w:divBdr>
        <w:top w:val="none" w:sz="0" w:space="0" w:color="auto"/>
        <w:left w:val="none" w:sz="0" w:space="0" w:color="auto"/>
        <w:bottom w:val="none" w:sz="0" w:space="0" w:color="auto"/>
        <w:right w:val="none" w:sz="0" w:space="0" w:color="auto"/>
      </w:divBdr>
    </w:div>
    <w:div w:id="165635648">
      <w:bodyDiv w:val="1"/>
      <w:marLeft w:val="0"/>
      <w:marRight w:val="0"/>
      <w:marTop w:val="0"/>
      <w:marBottom w:val="0"/>
      <w:divBdr>
        <w:top w:val="none" w:sz="0" w:space="0" w:color="auto"/>
        <w:left w:val="none" w:sz="0" w:space="0" w:color="auto"/>
        <w:bottom w:val="none" w:sz="0" w:space="0" w:color="auto"/>
        <w:right w:val="none" w:sz="0" w:space="0" w:color="auto"/>
      </w:divBdr>
    </w:div>
    <w:div w:id="165872848">
      <w:bodyDiv w:val="1"/>
      <w:marLeft w:val="0"/>
      <w:marRight w:val="0"/>
      <w:marTop w:val="0"/>
      <w:marBottom w:val="0"/>
      <w:divBdr>
        <w:top w:val="none" w:sz="0" w:space="0" w:color="auto"/>
        <w:left w:val="none" w:sz="0" w:space="0" w:color="auto"/>
        <w:bottom w:val="none" w:sz="0" w:space="0" w:color="auto"/>
        <w:right w:val="none" w:sz="0" w:space="0" w:color="auto"/>
      </w:divBdr>
    </w:div>
    <w:div w:id="166136615">
      <w:bodyDiv w:val="1"/>
      <w:marLeft w:val="0"/>
      <w:marRight w:val="0"/>
      <w:marTop w:val="0"/>
      <w:marBottom w:val="0"/>
      <w:divBdr>
        <w:top w:val="none" w:sz="0" w:space="0" w:color="auto"/>
        <w:left w:val="none" w:sz="0" w:space="0" w:color="auto"/>
        <w:bottom w:val="none" w:sz="0" w:space="0" w:color="auto"/>
        <w:right w:val="none" w:sz="0" w:space="0" w:color="auto"/>
      </w:divBdr>
    </w:div>
    <w:div w:id="166142371">
      <w:bodyDiv w:val="1"/>
      <w:marLeft w:val="0"/>
      <w:marRight w:val="0"/>
      <w:marTop w:val="0"/>
      <w:marBottom w:val="0"/>
      <w:divBdr>
        <w:top w:val="none" w:sz="0" w:space="0" w:color="auto"/>
        <w:left w:val="none" w:sz="0" w:space="0" w:color="auto"/>
        <w:bottom w:val="none" w:sz="0" w:space="0" w:color="auto"/>
        <w:right w:val="none" w:sz="0" w:space="0" w:color="auto"/>
      </w:divBdr>
    </w:div>
    <w:div w:id="166211370">
      <w:bodyDiv w:val="1"/>
      <w:marLeft w:val="0"/>
      <w:marRight w:val="0"/>
      <w:marTop w:val="0"/>
      <w:marBottom w:val="0"/>
      <w:divBdr>
        <w:top w:val="none" w:sz="0" w:space="0" w:color="auto"/>
        <w:left w:val="none" w:sz="0" w:space="0" w:color="auto"/>
        <w:bottom w:val="none" w:sz="0" w:space="0" w:color="auto"/>
        <w:right w:val="none" w:sz="0" w:space="0" w:color="auto"/>
      </w:divBdr>
    </w:div>
    <w:div w:id="166285042">
      <w:bodyDiv w:val="1"/>
      <w:marLeft w:val="0"/>
      <w:marRight w:val="0"/>
      <w:marTop w:val="0"/>
      <w:marBottom w:val="0"/>
      <w:divBdr>
        <w:top w:val="none" w:sz="0" w:space="0" w:color="auto"/>
        <w:left w:val="none" w:sz="0" w:space="0" w:color="auto"/>
        <w:bottom w:val="none" w:sz="0" w:space="0" w:color="auto"/>
        <w:right w:val="none" w:sz="0" w:space="0" w:color="auto"/>
      </w:divBdr>
    </w:div>
    <w:div w:id="166289184">
      <w:bodyDiv w:val="1"/>
      <w:marLeft w:val="0"/>
      <w:marRight w:val="0"/>
      <w:marTop w:val="0"/>
      <w:marBottom w:val="0"/>
      <w:divBdr>
        <w:top w:val="none" w:sz="0" w:space="0" w:color="auto"/>
        <w:left w:val="none" w:sz="0" w:space="0" w:color="auto"/>
        <w:bottom w:val="none" w:sz="0" w:space="0" w:color="auto"/>
        <w:right w:val="none" w:sz="0" w:space="0" w:color="auto"/>
      </w:divBdr>
    </w:div>
    <w:div w:id="166332096">
      <w:bodyDiv w:val="1"/>
      <w:marLeft w:val="0"/>
      <w:marRight w:val="0"/>
      <w:marTop w:val="0"/>
      <w:marBottom w:val="0"/>
      <w:divBdr>
        <w:top w:val="none" w:sz="0" w:space="0" w:color="auto"/>
        <w:left w:val="none" w:sz="0" w:space="0" w:color="auto"/>
        <w:bottom w:val="none" w:sz="0" w:space="0" w:color="auto"/>
        <w:right w:val="none" w:sz="0" w:space="0" w:color="auto"/>
      </w:divBdr>
    </w:div>
    <w:div w:id="166336046">
      <w:bodyDiv w:val="1"/>
      <w:marLeft w:val="0"/>
      <w:marRight w:val="0"/>
      <w:marTop w:val="0"/>
      <w:marBottom w:val="0"/>
      <w:divBdr>
        <w:top w:val="none" w:sz="0" w:space="0" w:color="auto"/>
        <w:left w:val="none" w:sz="0" w:space="0" w:color="auto"/>
        <w:bottom w:val="none" w:sz="0" w:space="0" w:color="auto"/>
        <w:right w:val="none" w:sz="0" w:space="0" w:color="auto"/>
      </w:divBdr>
    </w:div>
    <w:div w:id="166360874">
      <w:bodyDiv w:val="1"/>
      <w:marLeft w:val="0"/>
      <w:marRight w:val="0"/>
      <w:marTop w:val="0"/>
      <w:marBottom w:val="0"/>
      <w:divBdr>
        <w:top w:val="none" w:sz="0" w:space="0" w:color="auto"/>
        <w:left w:val="none" w:sz="0" w:space="0" w:color="auto"/>
        <w:bottom w:val="none" w:sz="0" w:space="0" w:color="auto"/>
        <w:right w:val="none" w:sz="0" w:space="0" w:color="auto"/>
      </w:divBdr>
    </w:div>
    <w:div w:id="166481284">
      <w:bodyDiv w:val="1"/>
      <w:marLeft w:val="0"/>
      <w:marRight w:val="0"/>
      <w:marTop w:val="0"/>
      <w:marBottom w:val="0"/>
      <w:divBdr>
        <w:top w:val="none" w:sz="0" w:space="0" w:color="auto"/>
        <w:left w:val="none" w:sz="0" w:space="0" w:color="auto"/>
        <w:bottom w:val="none" w:sz="0" w:space="0" w:color="auto"/>
        <w:right w:val="none" w:sz="0" w:space="0" w:color="auto"/>
      </w:divBdr>
    </w:div>
    <w:div w:id="166555751">
      <w:bodyDiv w:val="1"/>
      <w:marLeft w:val="0"/>
      <w:marRight w:val="0"/>
      <w:marTop w:val="0"/>
      <w:marBottom w:val="0"/>
      <w:divBdr>
        <w:top w:val="none" w:sz="0" w:space="0" w:color="auto"/>
        <w:left w:val="none" w:sz="0" w:space="0" w:color="auto"/>
        <w:bottom w:val="none" w:sz="0" w:space="0" w:color="auto"/>
        <w:right w:val="none" w:sz="0" w:space="0" w:color="auto"/>
      </w:divBdr>
    </w:div>
    <w:div w:id="166865716">
      <w:bodyDiv w:val="1"/>
      <w:marLeft w:val="0"/>
      <w:marRight w:val="0"/>
      <w:marTop w:val="0"/>
      <w:marBottom w:val="0"/>
      <w:divBdr>
        <w:top w:val="none" w:sz="0" w:space="0" w:color="auto"/>
        <w:left w:val="none" w:sz="0" w:space="0" w:color="auto"/>
        <w:bottom w:val="none" w:sz="0" w:space="0" w:color="auto"/>
        <w:right w:val="none" w:sz="0" w:space="0" w:color="auto"/>
      </w:divBdr>
    </w:div>
    <w:div w:id="166947582">
      <w:bodyDiv w:val="1"/>
      <w:marLeft w:val="0"/>
      <w:marRight w:val="0"/>
      <w:marTop w:val="0"/>
      <w:marBottom w:val="0"/>
      <w:divBdr>
        <w:top w:val="none" w:sz="0" w:space="0" w:color="auto"/>
        <w:left w:val="none" w:sz="0" w:space="0" w:color="auto"/>
        <w:bottom w:val="none" w:sz="0" w:space="0" w:color="auto"/>
        <w:right w:val="none" w:sz="0" w:space="0" w:color="auto"/>
      </w:divBdr>
    </w:div>
    <w:div w:id="167252182">
      <w:bodyDiv w:val="1"/>
      <w:marLeft w:val="0"/>
      <w:marRight w:val="0"/>
      <w:marTop w:val="0"/>
      <w:marBottom w:val="0"/>
      <w:divBdr>
        <w:top w:val="none" w:sz="0" w:space="0" w:color="auto"/>
        <w:left w:val="none" w:sz="0" w:space="0" w:color="auto"/>
        <w:bottom w:val="none" w:sz="0" w:space="0" w:color="auto"/>
        <w:right w:val="none" w:sz="0" w:space="0" w:color="auto"/>
      </w:divBdr>
    </w:div>
    <w:div w:id="167260857">
      <w:bodyDiv w:val="1"/>
      <w:marLeft w:val="0"/>
      <w:marRight w:val="0"/>
      <w:marTop w:val="0"/>
      <w:marBottom w:val="0"/>
      <w:divBdr>
        <w:top w:val="none" w:sz="0" w:space="0" w:color="auto"/>
        <w:left w:val="none" w:sz="0" w:space="0" w:color="auto"/>
        <w:bottom w:val="none" w:sz="0" w:space="0" w:color="auto"/>
        <w:right w:val="none" w:sz="0" w:space="0" w:color="auto"/>
      </w:divBdr>
    </w:div>
    <w:div w:id="167407342">
      <w:bodyDiv w:val="1"/>
      <w:marLeft w:val="0"/>
      <w:marRight w:val="0"/>
      <w:marTop w:val="0"/>
      <w:marBottom w:val="0"/>
      <w:divBdr>
        <w:top w:val="none" w:sz="0" w:space="0" w:color="auto"/>
        <w:left w:val="none" w:sz="0" w:space="0" w:color="auto"/>
        <w:bottom w:val="none" w:sz="0" w:space="0" w:color="auto"/>
        <w:right w:val="none" w:sz="0" w:space="0" w:color="auto"/>
      </w:divBdr>
    </w:div>
    <w:div w:id="167449324">
      <w:bodyDiv w:val="1"/>
      <w:marLeft w:val="0"/>
      <w:marRight w:val="0"/>
      <w:marTop w:val="0"/>
      <w:marBottom w:val="0"/>
      <w:divBdr>
        <w:top w:val="none" w:sz="0" w:space="0" w:color="auto"/>
        <w:left w:val="none" w:sz="0" w:space="0" w:color="auto"/>
        <w:bottom w:val="none" w:sz="0" w:space="0" w:color="auto"/>
        <w:right w:val="none" w:sz="0" w:space="0" w:color="auto"/>
      </w:divBdr>
    </w:div>
    <w:div w:id="167598382">
      <w:bodyDiv w:val="1"/>
      <w:marLeft w:val="0"/>
      <w:marRight w:val="0"/>
      <w:marTop w:val="0"/>
      <w:marBottom w:val="0"/>
      <w:divBdr>
        <w:top w:val="none" w:sz="0" w:space="0" w:color="auto"/>
        <w:left w:val="none" w:sz="0" w:space="0" w:color="auto"/>
        <w:bottom w:val="none" w:sz="0" w:space="0" w:color="auto"/>
        <w:right w:val="none" w:sz="0" w:space="0" w:color="auto"/>
      </w:divBdr>
    </w:div>
    <w:div w:id="167600662">
      <w:bodyDiv w:val="1"/>
      <w:marLeft w:val="0"/>
      <w:marRight w:val="0"/>
      <w:marTop w:val="0"/>
      <w:marBottom w:val="0"/>
      <w:divBdr>
        <w:top w:val="none" w:sz="0" w:space="0" w:color="auto"/>
        <w:left w:val="none" w:sz="0" w:space="0" w:color="auto"/>
        <w:bottom w:val="none" w:sz="0" w:space="0" w:color="auto"/>
        <w:right w:val="none" w:sz="0" w:space="0" w:color="auto"/>
      </w:divBdr>
    </w:div>
    <w:div w:id="167646814">
      <w:bodyDiv w:val="1"/>
      <w:marLeft w:val="0"/>
      <w:marRight w:val="0"/>
      <w:marTop w:val="0"/>
      <w:marBottom w:val="0"/>
      <w:divBdr>
        <w:top w:val="none" w:sz="0" w:space="0" w:color="auto"/>
        <w:left w:val="none" w:sz="0" w:space="0" w:color="auto"/>
        <w:bottom w:val="none" w:sz="0" w:space="0" w:color="auto"/>
        <w:right w:val="none" w:sz="0" w:space="0" w:color="auto"/>
      </w:divBdr>
    </w:div>
    <w:div w:id="167911989">
      <w:bodyDiv w:val="1"/>
      <w:marLeft w:val="0"/>
      <w:marRight w:val="0"/>
      <w:marTop w:val="0"/>
      <w:marBottom w:val="0"/>
      <w:divBdr>
        <w:top w:val="none" w:sz="0" w:space="0" w:color="auto"/>
        <w:left w:val="none" w:sz="0" w:space="0" w:color="auto"/>
        <w:bottom w:val="none" w:sz="0" w:space="0" w:color="auto"/>
        <w:right w:val="none" w:sz="0" w:space="0" w:color="auto"/>
      </w:divBdr>
    </w:div>
    <w:div w:id="167986033">
      <w:bodyDiv w:val="1"/>
      <w:marLeft w:val="0"/>
      <w:marRight w:val="0"/>
      <w:marTop w:val="0"/>
      <w:marBottom w:val="0"/>
      <w:divBdr>
        <w:top w:val="none" w:sz="0" w:space="0" w:color="auto"/>
        <w:left w:val="none" w:sz="0" w:space="0" w:color="auto"/>
        <w:bottom w:val="none" w:sz="0" w:space="0" w:color="auto"/>
        <w:right w:val="none" w:sz="0" w:space="0" w:color="auto"/>
      </w:divBdr>
    </w:div>
    <w:div w:id="168253338">
      <w:bodyDiv w:val="1"/>
      <w:marLeft w:val="0"/>
      <w:marRight w:val="0"/>
      <w:marTop w:val="0"/>
      <w:marBottom w:val="0"/>
      <w:divBdr>
        <w:top w:val="none" w:sz="0" w:space="0" w:color="auto"/>
        <w:left w:val="none" w:sz="0" w:space="0" w:color="auto"/>
        <w:bottom w:val="none" w:sz="0" w:space="0" w:color="auto"/>
        <w:right w:val="none" w:sz="0" w:space="0" w:color="auto"/>
      </w:divBdr>
    </w:div>
    <w:div w:id="168302314">
      <w:bodyDiv w:val="1"/>
      <w:marLeft w:val="0"/>
      <w:marRight w:val="0"/>
      <w:marTop w:val="0"/>
      <w:marBottom w:val="0"/>
      <w:divBdr>
        <w:top w:val="none" w:sz="0" w:space="0" w:color="auto"/>
        <w:left w:val="none" w:sz="0" w:space="0" w:color="auto"/>
        <w:bottom w:val="none" w:sz="0" w:space="0" w:color="auto"/>
        <w:right w:val="none" w:sz="0" w:space="0" w:color="auto"/>
      </w:divBdr>
    </w:div>
    <w:div w:id="168564977">
      <w:bodyDiv w:val="1"/>
      <w:marLeft w:val="0"/>
      <w:marRight w:val="0"/>
      <w:marTop w:val="0"/>
      <w:marBottom w:val="0"/>
      <w:divBdr>
        <w:top w:val="none" w:sz="0" w:space="0" w:color="auto"/>
        <w:left w:val="none" w:sz="0" w:space="0" w:color="auto"/>
        <w:bottom w:val="none" w:sz="0" w:space="0" w:color="auto"/>
        <w:right w:val="none" w:sz="0" w:space="0" w:color="auto"/>
      </w:divBdr>
    </w:div>
    <w:div w:id="168570757">
      <w:bodyDiv w:val="1"/>
      <w:marLeft w:val="0"/>
      <w:marRight w:val="0"/>
      <w:marTop w:val="0"/>
      <w:marBottom w:val="0"/>
      <w:divBdr>
        <w:top w:val="none" w:sz="0" w:space="0" w:color="auto"/>
        <w:left w:val="none" w:sz="0" w:space="0" w:color="auto"/>
        <w:bottom w:val="none" w:sz="0" w:space="0" w:color="auto"/>
        <w:right w:val="none" w:sz="0" w:space="0" w:color="auto"/>
      </w:divBdr>
    </w:div>
    <w:div w:id="168645348">
      <w:bodyDiv w:val="1"/>
      <w:marLeft w:val="0"/>
      <w:marRight w:val="0"/>
      <w:marTop w:val="0"/>
      <w:marBottom w:val="0"/>
      <w:divBdr>
        <w:top w:val="none" w:sz="0" w:space="0" w:color="auto"/>
        <w:left w:val="none" w:sz="0" w:space="0" w:color="auto"/>
        <w:bottom w:val="none" w:sz="0" w:space="0" w:color="auto"/>
        <w:right w:val="none" w:sz="0" w:space="0" w:color="auto"/>
      </w:divBdr>
    </w:div>
    <w:div w:id="168714025">
      <w:bodyDiv w:val="1"/>
      <w:marLeft w:val="0"/>
      <w:marRight w:val="0"/>
      <w:marTop w:val="0"/>
      <w:marBottom w:val="0"/>
      <w:divBdr>
        <w:top w:val="none" w:sz="0" w:space="0" w:color="auto"/>
        <w:left w:val="none" w:sz="0" w:space="0" w:color="auto"/>
        <w:bottom w:val="none" w:sz="0" w:space="0" w:color="auto"/>
        <w:right w:val="none" w:sz="0" w:space="0" w:color="auto"/>
      </w:divBdr>
    </w:div>
    <w:div w:id="168716820">
      <w:bodyDiv w:val="1"/>
      <w:marLeft w:val="0"/>
      <w:marRight w:val="0"/>
      <w:marTop w:val="0"/>
      <w:marBottom w:val="0"/>
      <w:divBdr>
        <w:top w:val="none" w:sz="0" w:space="0" w:color="auto"/>
        <w:left w:val="none" w:sz="0" w:space="0" w:color="auto"/>
        <w:bottom w:val="none" w:sz="0" w:space="0" w:color="auto"/>
        <w:right w:val="none" w:sz="0" w:space="0" w:color="auto"/>
      </w:divBdr>
    </w:div>
    <w:div w:id="168953289">
      <w:bodyDiv w:val="1"/>
      <w:marLeft w:val="0"/>
      <w:marRight w:val="0"/>
      <w:marTop w:val="0"/>
      <w:marBottom w:val="0"/>
      <w:divBdr>
        <w:top w:val="none" w:sz="0" w:space="0" w:color="auto"/>
        <w:left w:val="none" w:sz="0" w:space="0" w:color="auto"/>
        <w:bottom w:val="none" w:sz="0" w:space="0" w:color="auto"/>
        <w:right w:val="none" w:sz="0" w:space="0" w:color="auto"/>
      </w:divBdr>
    </w:div>
    <w:div w:id="169024066">
      <w:bodyDiv w:val="1"/>
      <w:marLeft w:val="0"/>
      <w:marRight w:val="0"/>
      <w:marTop w:val="0"/>
      <w:marBottom w:val="0"/>
      <w:divBdr>
        <w:top w:val="none" w:sz="0" w:space="0" w:color="auto"/>
        <w:left w:val="none" w:sz="0" w:space="0" w:color="auto"/>
        <w:bottom w:val="none" w:sz="0" w:space="0" w:color="auto"/>
        <w:right w:val="none" w:sz="0" w:space="0" w:color="auto"/>
      </w:divBdr>
    </w:div>
    <w:div w:id="169221339">
      <w:bodyDiv w:val="1"/>
      <w:marLeft w:val="0"/>
      <w:marRight w:val="0"/>
      <w:marTop w:val="0"/>
      <w:marBottom w:val="0"/>
      <w:divBdr>
        <w:top w:val="none" w:sz="0" w:space="0" w:color="auto"/>
        <w:left w:val="none" w:sz="0" w:space="0" w:color="auto"/>
        <w:bottom w:val="none" w:sz="0" w:space="0" w:color="auto"/>
        <w:right w:val="none" w:sz="0" w:space="0" w:color="auto"/>
      </w:divBdr>
    </w:div>
    <w:div w:id="169419981">
      <w:bodyDiv w:val="1"/>
      <w:marLeft w:val="0"/>
      <w:marRight w:val="0"/>
      <w:marTop w:val="0"/>
      <w:marBottom w:val="0"/>
      <w:divBdr>
        <w:top w:val="none" w:sz="0" w:space="0" w:color="auto"/>
        <w:left w:val="none" w:sz="0" w:space="0" w:color="auto"/>
        <w:bottom w:val="none" w:sz="0" w:space="0" w:color="auto"/>
        <w:right w:val="none" w:sz="0" w:space="0" w:color="auto"/>
      </w:divBdr>
    </w:div>
    <w:div w:id="169493790">
      <w:bodyDiv w:val="1"/>
      <w:marLeft w:val="0"/>
      <w:marRight w:val="0"/>
      <w:marTop w:val="0"/>
      <w:marBottom w:val="0"/>
      <w:divBdr>
        <w:top w:val="none" w:sz="0" w:space="0" w:color="auto"/>
        <w:left w:val="none" w:sz="0" w:space="0" w:color="auto"/>
        <w:bottom w:val="none" w:sz="0" w:space="0" w:color="auto"/>
        <w:right w:val="none" w:sz="0" w:space="0" w:color="auto"/>
      </w:divBdr>
    </w:div>
    <w:div w:id="169833124">
      <w:bodyDiv w:val="1"/>
      <w:marLeft w:val="0"/>
      <w:marRight w:val="0"/>
      <w:marTop w:val="0"/>
      <w:marBottom w:val="0"/>
      <w:divBdr>
        <w:top w:val="none" w:sz="0" w:space="0" w:color="auto"/>
        <w:left w:val="none" w:sz="0" w:space="0" w:color="auto"/>
        <w:bottom w:val="none" w:sz="0" w:space="0" w:color="auto"/>
        <w:right w:val="none" w:sz="0" w:space="0" w:color="auto"/>
      </w:divBdr>
    </w:div>
    <w:div w:id="169953629">
      <w:bodyDiv w:val="1"/>
      <w:marLeft w:val="0"/>
      <w:marRight w:val="0"/>
      <w:marTop w:val="0"/>
      <w:marBottom w:val="0"/>
      <w:divBdr>
        <w:top w:val="none" w:sz="0" w:space="0" w:color="auto"/>
        <w:left w:val="none" w:sz="0" w:space="0" w:color="auto"/>
        <w:bottom w:val="none" w:sz="0" w:space="0" w:color="auto"/>
        <w:right w:val="none" w:sz="0" w:space="0" w:color="auto"/>
      </w:divBdr>
    </w:div>
    <w:div w:id="170070522">
      <w:bodyDiv w:val="1"/>
      <w:marLeft w:val="0"/>
      <w:marRight w:val="0"/>
      <w:marTop w:val="0"/>
      <w:marBottom w:val="0"/>
      <w:divBdr>
        <w:top w:val="none" w:sz="0" w:space="0" w:color="auto"/>
        <w:left w:val="none" w:sz="0" w:space="0" w:color="auto"/>
        <w:bottom w:val="none" w:sz="0" w:space="0" w:color="auto"/>
        <w:right w:val="none" w:sz="0" w:space="0" w:color="auto"/>
      </w:divBdr>
    </w:div>
    <w:div w:id="170341416">
      <w:bodyDiv w:val="1"/>
      <w:marLeft w:val="0"/>
      <w:marRight w:val="0"/>
      <w:marTop w:val="0"/>
      <w:marBottom w:val="0"/>
      <w:divBdr>
        <w:top w:val="none" w:sz="0" w:space="0" w:color="auto"/>
        <w:left w:val="none" w:sz="0" w:space="0" w:color="auto"/>
        <w:bottom w:val="none" w:sz="0" w:space="0" w:color="auto"/>
        <w:right w:val="none" w:sz="0" w:space="0" w:color="auto"/>
      </w:divBdr>
    </w:div>
    <w:div w:id="170532743">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70879307">
      <w:bodyDiv w:val="1"/>
      <w:marLeft w:val="0"/>
      <w:marRight w:val="0"/>
      <w:marTop w:val="0"/>
      <w:marBottom w:val="0"/>
      <w:divBdr>
        <w:top w:val="none" w:sz="0" w:space="0" w:color="auto"/>
        <w:left w:val="none" w:sz="0" w:space="0" w:color="auto"/>
        <w:bottom w:val="none" w:sz="0" w:space="0" w:color="auto"/>
        <w:right w:val="none" w:sz="0" w:space="0" w:color="auto"/>
      </w:divBdr>
    </w:div>
    <w:div w:id="170918215">
      <w:bodyDiv w:val="1"/>
      <w:marLeft w:val="0"/>
      <w:marRight w:val="0"/>
      <w:marTop w:val="0"/>
      <w:marBottom w:val="0"/>
      <w:divBdr>
        <w:top w:val="none" w:sz="0" w:space="0" w:color="auto"/>
        <w:left w:val="none" w:sz="0" w:space="0" w:color="auto"/>
        <w:bottom w:val="none" w:sz="0" w:space="0" w:color="auto"/>
        <w:right w:val="none" w:sz="0" w:space="0" w:color="auto"/>
      </w:divBdr>
    </w:div>
    <w:div w:id="170994560">
      <w:bodyDiv w:val="1"/>
      <w:marLeft w:val="0"/>
      <w:marRight w:val="0"/>
      <w:marTop w:val="0"/>
      <w:marBottom w:val="0"/>
      <w:divBdr>
        <w:top w:val="none" w:sz="0" w:space="0" w:color="auto"/>
        <w:left w:val="none" w:sz="0" w:space="0" w:color="auto"/>
        <w:bottom w:val="none" w:sz="0" w:space="0" w:color="auto"/>
        <w:right w:val="none" w:sz="0" w:space="0" w:color="auto"/>
      </w:divBdr>
    </w:div>
    <w:div w:id="172107453">
      <w:bodyDiv w:val="1"/>
      <w:marLeft w:val="0"/>
      <w:marRight w:val="0"/>
      <w:marTop w:val="0"/>
      <w:marBottom w:val="0"/>
      <w:divBdr>
        <w:top w:val="none" w:sz="0" w:space="0" w:color="auto"/>
        <w:left w:val="none" w:sz="0" w:space="0" w:color="auto"/>
        <w:bottom w:val="none" w:sz="0" w:space="0" w:color="auto"/>
        <w:right w:val="none" w:sz="0" w:space="0" w:color="auto"/>
      </w:divBdr>
    </w:div>
    <w:div w:id="172114825">
      <w:bodyDiv w:val="1"/>
      <w:marLeft w:val="0"/>
      <w:marRight w:val="0"/>
      <w:marTop w:val="0"/>
      <w:marBottom w:val="0"/>
      <w:divBdr>
        <w:top w:val="none" w:sz="0" w:space="0" w:color="auto"/>
        <w:left w:val="none" w:sz="0" w:space="0" w:color="auto"/>
        <w:bottom w:val="none" w:sz="0" w:space="0" w:color="auto"/>
        <w:right w:val="none" w:sz="0" w:space="0" w:color="auto"/>
      </w:divBdr>
    </w:div>
    <w:div w:id="172259349">
      <w:bodyDiv w:val="1"/>
      <w:marLeft w:val="0"/>
      <w:marRight w:val="0"/>
      <w:marTop w:val="0"/>
      <w:marBottom w:val="0"/>
      <w:divBdr>
        <w:top w:val="none" w:sz="0" w:space="0" w:color="auto"/>
        <w:left w:val="none" w:sz="0" w:space="0" w:color="auto"/>
        <w:bottom w:val="none" w:sz="0" w:space="0" w:color="auto"/>
        <w:right w:val="none" w:sz="0" w:space="0" w:color="auto"/>
      </w:divBdr>
    </w:div>
    <w:div w:id="172309222">
      <w:bodyDiv w:val="1"/>
      <w:marLeft w:val="0"/>
      <w:marRight w:val="0"/>
      <w:marTop w:val="0"/>
      <w:marBottom w:val="0"/>
      <w:divBdr>
        <w:top w:val="none" w:sz="0" w:space="0" w:color="auto"/>
        <w:left w:val="none" w:sz="0" w:space="0" w:color="auto"/>
        <w:bottom w:val="none" w:sz="0" w:space="0" w:color="auto"/>
        <w:right w:val="none" w:sz="0" w:space="0" w:color="auto"/>
      </w:divBdr>
    </w:div>
    <w:div w:id="172383662">
      <w:bodyDiv w:val="1"/>
      <w:marLeft w:val="0"/>
      <w:marRight w:val="0"/>
      <w:marTop w:val="0"/>
      <w:marBottom w:val="0"/>
      <w:divBdr>
        <w:top w:val="none" w:sz="0" w:space="0" w:color="auto"/>
        <w:left w:val="none" w:sz="0" w:space="0" w:color="auto"/>
        <w:bottom w:val="none" w:sz="0" w:space="0" w:color="auto"/>
        <w:right w:val="none" w:sz="0" w:space="0" w:color="auto"/>
      </w:divBdr>
    </w:div>
    <w:div w:id="172425698">
      <w:bodyDiv w:val="1"/>
      <w:marLeft w:val="0"/>
      <w:marRight w:val="0"/>
      <w:marTop w:val="0"/>
      <w:marBottom w:val="0"/>
      <w:divBdr>
        <w:top w:val="none" w:sz="0" w:space="0" w:color="auto"/>
        <w:left w:val="none" w:sz="0" w:space="0" w:color="auto"/>
        <w:bottom w:val="none" w:sz="0" w:space="0" w:color="auto"/>
        <w:right w:val="none" w:sz="0" w:space="0" w:color="auto"/>
      </w:divBdr>
    </w:div>
    <w:div w:id="172495050">
      <w:bodyDiv w:val="1"/>
      <w:marLeft w:val="0"/>
      <w:marRight w:val="0"/>
      <w:marTop w:val="0"/>
      <w:marBottom w:val="0"/>
      <w:divBdr>
        <w:top w:val="none" w:sz="0" w:space="0" w:color="auto"/>
        <w:left w:val="none" w:sz="0" w:space="0" w:color="auto"/>
        <w:bottom w:val="none" w:sz="0" w:space="0" w:color="auto"/>
        <w:right w:val="none" w:sz="0" w:space="0" w:color="auto"/>
      </w:divBdr>
    </w:div>
    <w:div w:id="172573379">
      <w:bodyDiv w:val="1"/>
      <w:marLeft w:val="0"/>
      <w:marRight w:val="0"/>
      <w:marTop w:val="0"/>
      <w:marBottom w:val="0"/>
      <w:divBdr>
        <w:top w:val="none" w:sz="0" w:space="0" w:color="auto"/>
        <w:left w:val="none" w:sz="0" w:space="0" w:color="auto"/>
        <w:bottom w:val="none" w:sz="0" w:space="0" w:color="auto"/>
        <w:right w:val="none" w:sz="0" w:space="0" w:color="auto"/>
      </w:divBdr>
    </w:div>
    <w:div w:id="172691397">
      <w:bodyDiv w:val="1"/>
      <w:marLeft w:val="0"/>
      <w:marRight w:val="0"/>
      <w:marTop w:val="0"/>
      <w:marBottom w:val="0"/>
      <w:divBdr>
        <w:top w:val="none" w:sz="0" w:space="0" w:color="auto"/>
        <w:left w:val="none" w:sz="0" w:space="0" w:color="auto"/>
        <w:bottom w:val="none" w:sz="0" w:space="0" w:color="auto"/>
        <w:right w:val="none" w:sz="0" w:space="0" w:color="auto"/>
      </w:divBdr>
    </w:div>
    <w:div w:id="172720110">
      <w:bodyDiv w:val="1"/>
      <w:marLeft w:val="0"/>
      <w:marRight w:val="0"/>
      <w:marTop w:val="0"/>
      <w:marBottom w:val="0"/>
      <w:divBdr>
        <w:top w:val="none" w:sz="0" w:space="0" w:color="auto"/>
        <w:left w:val="none" w:sz="0" w:space="0" w:color="auto"/>
        <w:bottom w:val="none" w:sz="0" w:space="0" w:color="auto"/>
        <w:right w:val="none" w:sz="0" w:space="0" w:color="auto"/>
      </w:divBdr>
    </w:div>
    <w:div w:id="173692119">
      <w:bodyDiv w:val="1"/>
      <w:marLeft w:val="0"/>
      <w:marRight w:val="0"/>
      <w:marTop w:val="0"/>
      <w:marBottom w:val="0"/>
      <w:divBdr>
        <w:top w:val="none" w:sz="0" w:space="0" w:color="auto"/>
        <w:left w:val="none" w:sz="0" w:space="0" w:color="auto"/>
        <w:bottom w:val="none" w:sz="0" w:space="0" w:color="auto"/>
        <w:right w:val="none" w:sz="0" w:space="0" w:color="auto"/>
      </w:divBdr>
    </w:div>
    <w:div w:id="173881308">
      <w:bodyDiv w:val="1"/>
      <w:marLeft w:val="0"/>
      <w:marRight w:val="0"/>
      <w:marTop w:val="0"/>
      <w:marBottom w:val="0"/>
      <w:divBdr>
        <w:top w:val="none" w:sz="0" w:space="0" w:color="auto"/>
        <w:left w:val="none" w:sz="0" w:space="0" w:color="auto"/>
        <w:bottom w:val="none" w:sz="0" w:space="0" w:color="auto"/>
        <w:right w:val="none" w:sz="0" w:space="0" w:color="auto"/>
      </w:divBdr>
    </w:div>
    <w:div w:id="174004891">
      <w:bodyDiv w:val="1"/>
      <w:marLeft w:val="0"/>
      <w:marRight w:val="0"/>
      <w:marTop w:val="0"/>
      <w:marBottom w:val="0"/>
      <w:divBdr>
        <w:top w:val="none" w:sz="0" w:space="0" w:color="auto"/>
        <w:left w:val="none" w:sz="0" w:space="0" w:color="auto"/>
        <w:bottom w:val="none" w:sz="0" w:space="0" w:color="auto"/>
        <w:right w:val="none" w:sz="0" w:space="0" w:color="auto"/>
      </w:divBdr>
    </w:div>
    <w:div w:id="174226406">
      <w:bodyDiv w:val="1"/>
      <w:marLeft w:val="0"/>
      <w:marRight w:val="0"/>
      <w:marTop w:val="0"/>
      <w:marBottom w:val="0"/>
      <w:divBdr>
        <w:top w:val="none" w:sz="0" w:space="0" w:color="auto"/>
        <w:left w:val="none" w:sz="0" w:space="0" w:color="auto"/>
        <w:bottom w:val="none" w:sz="0" w:space="0" w:color="auto"/>
        <w:right w:val="none" w:sz="0" w:space="0" w:color="auto"/>
      </w:divBdr>
    </w:div>
    <w:div w:id="174465376">
      <w:bodyDiv w:val="1"/>
      <w:marLeft w:val="0"/>
      <w:marRight w:val="0"/>
      <w:marTop w:val="0"/>
      <w:marBottom w:val="0"/>
      <w:divBdr>
        <w:top w:val="none" w:sz="0" w:space="0" w:color="auto"/>
        <w:left w:val="none" w:sz="0" w:space="0" w:color="auto"/>
        <w:bottom w:val="none" w:sz="0" w:space="0" w:color="auto"/>
        <w:right w:val="none" w:sz="0" w:space="0" w:color="auto"/>
      </w:divBdr>
    </w:div>
    <w:div w:id="174657957">
      <w:bodyDiv w:val="1"/>
      <w:marLeft w:val="0"/>
      <w:marRight w:val="0"/>
      <w:marTop w:val="0"/>
      <w:marBottom w:val="0"/>
      <w:divBdr>
        <w:top w:val="none" w:sz="0" w:space="0" w:color="auto"/>
        <w:left w:val="none" w:sz="0" w:space="0" w:color="auto"/>
        <w:bottom w:val="none" w:sz="0" w:space="0" w:color="auto"/>
        <w:right w:val="none" w:sz="0" w:space="0" w:color="auto"/>
      </w:divBdr>
    </w:div>
    <w:div w:id="174804074">
      <w:bodyDiv w:val="1"/>
      <w:marLeft w:val="0"/>
      <w:marRight w:val="0"/>
      <w:marTop w:val="0"/>
      <w:marBottom w:val="0"/>
      <w:divBdr>
        <w:top w:val="none" w:sz="0" w:space="0" w:color="auto"/>
        <w:left w:val="none" w:sz="0" w:space="0" w:color="auto"/>
        <w:bottom w:val="none" w:sz="0" w:space="0" w:color="auto"/>
        <w:right w:val="none" w:sz="0" w:space="0" w:color="auto"/>
      </w:divBdr>
    </w:div>
    <w:div w:id="174809946">
      <w:bodyDiv w:val="1"/>
      <w:marLeft w:val="0"/>
      <w:marRight w:val="0"/>
      <w:marTop w:val="0"/>
      <w:marBottom w:val="0"/>
      <w:divBdr>
        <w:top w:val="none" w:sz="0" w:space="0" w:color="auto"/>
        <w:left w:val="none" w:sz="0" w:space="0" w:color="auto"/>
        <w:bottom w:val="none" w:sz="0" w:space="0" w:color="auto"/>
        <w:right w:val="none" w:sz="0" w:space="0" w:color="auto"/>
      </w:divBdr>
    </w:div>
    <w:div w:id="175076419">
      <w:bodyDiv w:val="1"/>
      <w:marLeft w:val="0"/>
      <w:marRight w:val="0"/>
      <w:marTop w:val="0"/>
      <w:marBottom w:val="0"/>
      <w:divBdr>
        <w:top w:val="none" w:sz="0" w:space="0" w:color="auto"/>
        <w:left w:val="none" w:sz="0" w:space="0" w:color="auto"/>
        <w:bottom w:val="none" w:sz="0" w:space="0" w:color="auto"/>
        <w:right w:val="none" w:sz="0" w:space="0" w:color="auto"/>
      </w:divBdr>
    </w:div>
    <w:div w:id="175190266">
      <w:bodyDiv w:val="1"/>
      <w:marLeft w:val="0"/>
      <w:marRight w:val="0"/>
      <w:marTop w:val="0"/>
      <w:marBottom w:val="0"/>
      <w:divBdr>
        <w:top w:val="none" w:sz="0" w:space="0" w:color="auto"/>
        <w:left w:val="none" w:sz="0" w:space="0" w:color="auto"/>
        <w:bottom w:val="none" w:sz="0" w:space="0" w:color="auto"/>
        <w:right w:val="none" w:sz="0" w:space="0" w:color="auto"/>
      </w:divBdr>
    </w:div>
    <w:div w:id="175271083">
      <w:bodyDiv w:val="1"/>
      <w:marLeft w:val="0"/>
      <w:marRight w:val="0"/>
      <w:marTop w:val="0"/>
      <w:marBottom w:val="0"/>
      <w:divBdr>
        <w:top w:val="none" w:sz="0" w:space="0" w:color="auto"/>
        <w:left w:val="none" w:sz="0" w:space="0" w:color="auto"/>
        <w:bottom w:val="none" w:sz="0" w:space="0" w:color="auto"/>
        <w:right w:val="none" w:sz="0" w:space="0" w:color="auto"/>
      </w:divBdr>
    </w:div>
    <w:div w:id="175313459">
      <w:bodyDiv w:val="1"/>
      <w:marLeft w:val="0"/>
      <w:marRight w:val="0"/>
      <w:marTop w:val="0"/>
      <w:marBottom w:val="0"/>
      <w:divBdr>
        <w:top w:val="none" w:sz="0" w:space="0" w:color="auto"/>
        <w:left w:val="none" w:sz="0" w:space="0" w:color="auto"/>
        <w:bottom w:val="none" w:sz="0" w:space="0" w:color="auto"/>
        <w:right w:val="none" w:sz="0" w:space="0" w:color="auto"/>
      </w:divBdr>
    </w:div>
    <w:div w:id="175390273">
      <w:bodyDiv w:val="1"/>
      <w:marLeft w:val="0"/>
      <w:marRight w:val="0"/>
      <w:marTop w:val="0"/>
      <w:marBottom w:val="0"/>
      <w:divBdr>
        <w:top w:val="none" w:sz="0" w:space="0" w:color="auto"/>
        <w:left w:val="none" w:sz="0" w:space="0" w:color="auto"/>
        <w:bottom w:val="none" w:sz="0" w:space="0" w:color="auto"/>
        <w:right w:val="none" w:sz="0" w:space="0" w:color="auto"/>
      </w:divBdr>
    </w:div>
    <w:div w:id="175458886">
      <w:bodyDiv w:val="1"/>
      <w:marLeft w:val="0"/>
      <w:marRight w:val="0"/>
      <w:marTop w:val="0"/>
      <w:marBottom w:val="0"/>
      <w:divBdr>
        <w:top w:val="none" w:sz="0" w:space="0" w:color="auto"/>
        <w:left w:val="none" w:sz="0" w:space="0" w:color="auto"/>
        <w:bottom w:val="none" w:sz="0" w:space="0" w:color="auto"/>
        <w:right w:val="none" w:sz="0" w:space="0" w:color="auto"/>
      </w:divBdr>
    </w:div>
    <w:div w:id="175510602">
      <w:bodyDiv w:val="1"/>
      <w:marLeft w:val="0"/>
      <w:marRight w:val="0"/>
      <w:marTop w:val="0"/>
      <w:marBottom w:val="0"/>
      <w:divBdr>
        <w:top w:val="none" w:sz="0" w:space="0" w:color="auto"/>
        <w:left w:val="none" w:sz="0" w:space="0" w:color="auto"/>
        <w:bottom w:val="none" w:sz="0" w:space="0" w:color="auto"/>
        <w:right w:val="none" w:sz="0" w:space="0" w:color="auto"/>
      </w:divBdr>
    </w:div>
    <w:div w:id="175580182">
      <w:bodyDiv w:val="1"/>
      <w:marLeft w:val="0"/>
      <w:marRight w:val="0"/>
      <w:marTop w:val="0"/>
      <w:marBottom w:val="0"/>
      <w:divBdr>
        <w:top w:val="none" w:sz="0" w:space="0" w:color="auto"/>
        <w:left w:val="none" w:sz="0" w:space="0" w:color="auto"/>
        <w:bottom w:val="none" w:sz="0" w:space="0" w:color="auto"/>
        <w:right w:val="none" w:sz="0" w:space="0" w:color="auto"/>
      </w:divBdr>
    </w:div>
    <w:div w:id="175656050">
      <w:bodyDiv w:val="1"/>
      <w:marLeft w:val="0"/>
      <w:marRight w:val="0"/>
      <w:marTop w:val="0"/>
      <w:marBottom w:val="0"/>
      <w:divBdr>
        <w:top w:val="none" w:sz="0" w:space="0" w:color="auto"/>
        <w:left w:val="none" w:sz="0" w:space="0" w:color="auto"/>
        <w:bottom w:val="none" w:sz="0" w:space="0" w:color="auto"/>
        <w:right w:val="none" w:sz="0" w:space="0" w:color="auto"/>
      </w:divBdr>
    </w:div>
    <w:div w:id="175779538">
      <w:bodyDiv w:val="1"/>
      <w:marLeft w:val="0"/>
      <w:marRight w:val="0"/>
      <w:marTop w:val="0"/>
      <w:marBottom w:val="0"/>
      <w:divBdr>
        <w:top w:val="none" w:sz="0" w:space="0" w:color="auto"/>
        <w:left w:val="none" w:sz="0" w:space="0" w:color="auto"/>
        <w:bottom w:val="none" w:sz="0" w:space="0" w:color="auto"/>
        <w:right w:val="none" w:sz="0" w:space="0" w:color="auto"/>
      </w:divBdr>
    </w:div>
    <w:div w:id="175853141">
      <w:bodyDiv w:val="1"/>
      <w:marLeft w:val="0"/>
      <w:marRight w:val="0"/>
      <w:marTop w:val="0"/>
      <w:marBottom w:val="0"/>
      <w:divBdr>
        <w:top w:val="none" w:sz="0" w:space="0" w:color="auto"/>
        <w:left w:val="none" w:sz="0" w:space="0" w:color="auto"/>
        <w:bottom w:val="none" w:sz="0" w:space="0" w:color="auto"/>
        <w:right w:val="none" w:sz="0" w:space="0" w:color="auto"/>
      </w:divBdr>
    </w:div>
    <w:div w:id="175924184">
      <w:bodyDiv w:val="1"/>
      <w:marLeft w:val="0"/>
      <w:marRight w:val="0"/>
      <w:marTop w:val="0"/>
      <w:marBottom w:val="0"/>
      <w:divBdr>
        <w:top w:val="none" w:sz="0" w:space="0" w:color="auto"/>
        <w:left w:val="none" w:sz="0" w:space="0" w:color="auto"/>
        <w:bottom w:val="none" w:sz="0" w:space="0" w:color="auto"/>
        <w:right w:val="none" w:sz="0" w:space="0" w:color="auto"/>
      </w:divBdr>
    </w:div>
    <w:div w:id="176042768">
      <w:bodyDiv w:val="1"/>
      <w:marLeft w:val="0"/>
      <w:marRight w:val="0"/>
      <w:marTop w:val="0"/>
      <w:marBottom w:val="0"/>
      <w:divBdr>
        <w:top w:val="none" w:sz="0" w:space="0" w:color="auto"/>
        <w:left w:val="none" w:sz="0" w:space="0" w:color="auto"/>
        <w:bottom w:val="none" w:sz="0" w:space="0" w:color="auto"/>
        <w:right w:val="none" w:sz="0" w:space="0" w:color="auto"/>
      </w:divBdr>
    </w:div>
    <w:div w:id="176115579">
      <w:bodyDiv w:val="1"/>
      <w:marLeft w:val="0"/>
      <w:marRight w:val="0"/>
      <w:marTop w:val="0"/>
      <w:marBottom w:val="0"/>
      <w:divBdr>
        <w:top w:val="none" w:sz="0" w:space="0" w:color="auto"/>
        <w:left w:val="none" w:sz="0" w:space="0" w:color="auto"/>
        <w:bottom w:val="none" w:sz="0" w:space="0" w:color="auto"/>
        <w:right w:val="none" w:sz="0" w:space="0" w:color="auto"/>
      </w:divBdr>
    </w:div>
    <w:div w:id="176122606">
      <w:bodyDiv w:val="1"/>
      <w:marLeft w:val="0"/>
      <w:marRight w:val="0"/>
      <w:marTop w:val="0"/>
      <w:marBottom w:val="0"/>
      <w:divBdr>
        <w:top w:val="none" w:sz="0" w:space="0" w:color="auto"/>
        <w:left w:val="none" w:sz="0" w:space="0" w:color="auto"/>
        <w:bottom w:val="none" w:sz="0" w:space="0" w:color="auto"/>
        <w:right w:val="none" w:sz="0" w:space="0" w:color="auto"/>
      </w:divBdr>
    </w:div>
    <w:div w:id="176582876">
      <w:bodyDiv w:val="1"/>
      <w:marLeft w:val="0"/>
      <w:marRight w:val="0"/>
      <w:marTop w:val="0"/>
      <w:marBottom w:val="0"/>
      <w:divBdr>
        <w:top w:val="none" w:sz="0" w:space="0" w:color="auto"/>
        <w:left w:val="none" w:sz="0" w:space="0" w:color="auto"/>
        <w:bottom w:val="none" w:sz="0" w:space="0" w:color="auto"/>
        <w:right w:val="none" w:sz="0" w:space="0" w:color="auto"/>
      </w:divBdr>
    </w:div>
    <w:div w:id="177279792">
      <w:bodyDiv w:val="1"/>
      <w:marLeft w:val="0"/>
      <w:marRight w:val="0"/>
      <w:marTop w:val="0"/>
      <w:marBottom w:val="0"/>
      <w:divBdr>
        <w:top w:val="none" w:sz="0" w:space="0" w:color="auto"/>
        <w:left w:val="none" w:sz="0" w:space="0" w:color="auto"/>
        <w:bottom w:val="none" w:sz="0" w:space="0" w:color="auto"/>
        <w:right w:val="none" w:sz="0" w:space="0" w:color="auto"/>
      </w:divBdr>
    </w:div>
    <w:div w:id="177543882">
      <w:bodyDiv w:val="1"/>
      <w:marLeft w:val="0"/>
      <w:marRight w:val="0"/>
      <w:marTop w:val="0"/>
      <w:marBottom w:val="0"/>
      <w:divBdr>
        <w:top w:val="none" w:sz="0" w:space="0" w:color="auto"/>
        <w:left w:val="none" w:sz="0" w:space="0" w:color="auto"/>
        <w:bottom w:val="none" w:sz="0" w:space="0" w:color="auto"/>
        <w:right w:val="none" w:sz="0" w:space="0" w:color="auto"/>
      </w:divBdr>
    </w:div>
    <w:div w:id="177551022">
      <w:bodyDiv w:val="1"/>
      <w:marLeft w:val="0"/>
      <w:marRight w:val="0"/>
      <w:marTop w:val="0"/>
      <w:marBottom w:val="0"/>
      <w:divBdr>
        <w:top w:val="none" w:sz="0" w:space="0" w:color="auto"/>
        <w:left w:val="none" w:sz="0" w:space="0" w:color="auto"/>
        <w:bottom w:val="none" w:sz="0" w:space="0" w:color="auto"/>
        <w:right w:val="none" w:sz="0" w:space="0" w:color="auto"/>
      </w:divBdr>
    </w:div>
    <w:div w:id="177695152">
      <w:bodyDiv w:val="1"/>
      <w:marLeft w:val="0"/>
      <w:marRight w:val="0"/>
      <w:marTop w:val="0"/>
      <w:marBottom w:val="0"/>
      <w:divBdr>
        <w:top w:val="none" w:sz="0" w:space="0" w:color="auto"/>
        <w:left w:val="none" w:sz="0" w:space="0" w:color="auto"/>
        <w:bottom w:val="none" w:sz="0" w:space="0" w:color="auto"/>
        <w:right w:val="none" w:sz="0" w:space="0" w:color="auto"/>
      </w:divBdr>
    </w:div>
    <w:div w:id="177895610">
      <w:bodyDiv w:val="1"/>
      <w:marLeft w:val="0"/>
      <w:marRight w:val="0"/>
      <w:marTop w:val="0"/>
      <w:marBottom w:val="0"/>
      <w:divBdr>
        <w:top w:val="none" w:sz="0" w:space="0" w:color="auto"/>
        <w:left w:val="none" w:sz="0" w:space="0" w:color="auto"/>
        <w:bottom w:val="none" w:sz="0" w:space="0" w:color="auto"/>
        <w:right w:val="none" w:sz="0" w:space="0" w:color="auto"/>
      </w:divBdr>
    </w:div>
    <w:div w:id="178127865">
      <w:bodyDiv w:val="1"/>
      <w:marLeft w:val="0"/>
      <w:marRight w:val="0"/>
      <w:marTop w:val="0"/>
      <w:marBottom w:val="0"/>
      <w:divBdr>
        <w:top w:val="none" w:sz="0" w:space="0" w:color="auto"/>
        <w:left w:val="none" w:sz="0" w:space="0" w:color="auto"/>
        <w:bottom w:val="none" w:sz="0" w:space="0" w:color="auto"/>
        <w:right w:val="none" w:sz="0" w:space="0" w:color="auto"/>
      </w:divBdr>
    </w:div>
    <w:div w:id="178129657">
      <w:bodyDiv w:val="1"/>
      <w:marLeft w:val="0"/>
      <w:marRight w:val="0"/>
      <w:marTop w:val="0"/>
      <w:marBottom w:val="0"/>
      <w:divBdr>
        <w:top w:val="none" w:sz="0" w:space="0" w:color="auto"/>
        <w:left w:val="none" w:sz="0" w:space="0" w:color="auto"/>
        <w:bottom w:val="none" w:sz="0" w:space="0" w:color="auto"/>
        <w:right w:val="none" w:sz="0" w:space="0" w:color="auto"/>
      </w:divBdr>
    </w:div>
    <w:div w:id="178668279">
      <w:bodyDiv w:val="1"/>
      <w:marLeft w:val="0"/>
      <w:marRight w:val="0"/>
      <w:marTop w:val="0"/>
      <w:marBottom w:val="0"/>
      <w:divBdr>
        <w:top w:val="none" w:sz="0" w:space="0" w:color="auto"/>
        <w:left w:val="none" w:sz="0" w:space="0" w:color="auto"/>
        <w:bottom w:val="none" w:sz="0" w:space="0" w:color="auto"/>
        <w:right w:val="none" w:sz="0" w:space="0" w:color="auto"/>
      </w:divBdr>
    </w:div>
    <w:div w:id="178932055">
      <w:bodyDiv w:val="1"/>
      <w:marLeft w:val="0"/>
      <w:marRight w:val="0"/>
      <w:marTop w:val="0"/>
      <w:marBottom w:val="0"/>
      <w:divBdr>
        <w:top w:val="none" w:sz="0" w:space="0" w:color="auto"/>
        <w:left w:val="none" w:sz="0" w:space="0" w:color="auto"/>
        <w:bottom w:val="none" w:sz="0" w:space="0" w:color="auto"/>
        <w:right w:val="none" w:sz="0" w:space="0" w:color="auto"/>
      </w:divBdr>
    </w:div>
    <w:div w:id="179393519">
      <w:bodyDiv w:val="1"/>
      <w:marLeft w:val="0"/>
      <w:marRight w:val="0"/>
      <w:marTop w:val="0"/>
      <w:marBottom w:val="0"/>
      <w:divBdr>
        <w:top w:val="none" w:sz="0" w:space="0" w:color="auto"/>
        <w:left w:val="none" w:sz="0" w:space="0" w:color="auto"/>
        <w:bottom w:val="none" w:sz="0" w:space="0" w:color="auto"/>
        <w:right w:val="none" w:sz="0" w:space="0" w:color="auto"/>
      </w:divBdr>
    </w:div>
    <w:div w:id="179512766">
      <w:bodyDiv w:val="1"/>
      <w:marLeft w:val="0"/>
      <w:marRight w:val="0"/>
      <w:marTop w:val="0"/>
      <w:marBottom w:val="0"/>
      <w:divBdr>
        <w:top w:val="none" w:sz="0" w:space="0" w:color="auto"/>
        <w:left w:val="none" w:sz="0" w:space="0" w:color="auto"/>
        <w:bottom w:val="none" w:sz="0" w:space="0" w:color="auto"/>
        <w:right w:val="none" w:sz="0" w:space="0" w:color="auto"/>
      </w:divBdr>
    </w:div>
    <w:div w:id="179590258">
      <w:bodyDiv w:val="1"/>
      <w:marLeft w:val="0"/>
      <w:marRight w:val="0"/>
      <w:marTop w:val="0"/>
      <w:marBottom w:val="0"/>
      <w:divBdr>
        <w:top w:val="none" w:sz="0" w:space="0" w:color="auto"/>
        <w:left w:val="none" w:sz="0" w:space="0" w:color="auto"/>
        <w:bottom w:val="none" w:sz="0" w:space="0" w:color="auto"/>
        <w:right w:val="none" w:sz="0" w:space="0" w:color="auto"/>
      </w:divBdr>
    </w:div>
    <w:div w:id="179708707">
      <w:bodyDiv w:val="1"/>
      <w:marLeft w:val="0"/>
      <w:marRight w:val="0"/>
      <w:marTop w:val="0"/>
      <w:marBottom w:val="0"/>
      <w:divBdr>
        <w:top w:val="none" w:sz="0" w:space="0" w:color="auto"/>
        <w:left w:val="none" w:sz="0" w:space="0" w:color="auto"/>
        <w:bottom w:val="none" w:sz="0" w:space="0" w:color="auto"/>
        <w:right w:val="none" w:sz="0" w:space="0" w:color="auto"/>
      </w:divBdr>
    </w:div>
    <w:div w:id="179853971">
      <w:bodyDiv w:val="1"/>
      <w:marLeft w:val="0"/>
      <w:marRight w:val="0"/>
      <w:marTop w:val="0"/>
      <w:marBottom w:val="0"/>
      <w:divBdr>
        <w:top w:val="none" w:sz="0" w:space="0" w:color="auto"/>
        <w:left w:val="none" w:sz="0" w:space="0" w:color="auto"/>
        <w:bottom w:val="none" w:sz="0" w:space="0" w:color="auto"/>
        <w:right w:val="none" w:sz="0" w:space="0" w:color="auto"/>
      </w:divBdr>
    </w:div>
    <w:div w:id="179903815">
      <w:bodyDiv w:val="1"/>
      <w:marLeft w:val="0"/>
      <w:marRight w:val="0"/>
      <w:marTop w:val="0"/>
      <w:marBottom w:val="0"/>
      <w:divBdr>
        <w:top w:val="none" w:sz="0" w:space="0" w:color="auto"/>
        <w:left w:val="none" w:sz="0" w:space="0" w:color="auto"/>
        <w:bottom w:val="none" w:sz="0" w:space="0" w:color="auto"/>
        <w:right w:val="none" w:sz="0" w:space="0" w:color="auto"/>
      </w:divBdr>
    </w:div>
    <w:div w:id="180165521">
      <w:bodyDiv w:val="1"/>
      <w:marLeft w:val="0"/>
      <w:marRight w:val="0"/>
      <w:marTop w:val="0"/>
      <w:marBottom w:val="0"/>
      <w:divBdr>
        <w:top w:val="none" w:sz="0" w:space="0" w:color="auto"/>
        <w:left w:val="none" w:sz="0" w:space="0" w:color="auto"/>
        <w:bottom w:val="none" w:sz="0" w:space="0" w:color="auto"/>
        <w:right w:val="none" w:sz="0" w:space="0" w:color="auto"/>
      </w:divBdr>
    </w:div>
    <w:div w:id="180247173">
      <w:bodyDiv w:val="1"/>
      <w:marLeft w:val="0"/>
      <w:marRight w:val="0"/>
      <w:marTop w:val="0"/>
      <w:marBottom w:val="0"/>
      <w:divBdr>
        <w:top w:val="none" w:sz="0" w:space="0" w:color="auto"/>
        <w:left w:val="none" w:sz="0" w:space="0" w:color="auto"/>
        <w:bottom w:val="none" w:sz="0" w:space="0" w:color="auto"/>
        <w:right w:val="none" w:sz="0" w:space="0" w:color="auto"/>
      </w:divBdr>
    </w:div>
    <w:div w:id="180319114">
      <w:bodyDiv w:val="1"/>
      <w:marLeft w:val="0"/>
      <w:marRight w:val="0"/>
      <w:marTop w:val="0"/>
      <w:marBottom w:val="0"/>
      <w:divBdr>
        <w:top w:val="none" w:sz="0" w:space="0" w:color="auto"/>
        <w:left w:val="none" w:sz="0" w:space="0" w:color="auto"/>
        <w:bottom w:val="none" w:sz="0" w:space="0" w:color="auto"/>
        <w:right w:val="none" w:sz="0" w:space="0" w:color="auto"/>
      </w:divBdr>
    </w:div>
    <w:div w:id="180433203">
      <w:bodyDiv w:val="1"/>
      <w:marLeft w:val="0"/>
      <w:marRight w:val="0"/>
      <w:marTop w:val="0"/>
      <w:marBottom w:val="0"/>
      <w:divBdr>
        <w:top w:val="none" w:sz="0" w:space="0" w:color="auto"/>
        <w:left w:val="none" w:sz="0" w:space="0" w:color="auto"/>
        <w:bottom w:val="none" w:sz="0" w:space="0" w:color="auto"/>
        <w:right w:val="none" w:sz="0" w:space="0" w:color="auto"/>
      </w:divBdr>
    </w:div>
    <w:div w:id="180436856">
      <w:bodyDiv w:val="1"/>
      <w:marLeft w:val="0"/>
      <w:marRight w:val="0"/>
      <w:marTop w:val="0"/>
      <w:marBottom w:val="0"/>
      <w:divBdr>
        <w:top w:val="none" w:sz="0" w:space="0" w:color="auto"/>
        <w:left w:val="none" w:sz="0" w:space="0" w:color="auto"/>
        <w:bottom w:val="none" w:sz="0" w:space="0" w:color="auto"/>
        <w:right w:val="none" w:sz="0" w:space="0" w:color="auto"/>
      </w:divBdr>
    </w:div>
    <w:div w:id="180896932">
      <w:bodyDiv w:val="1"/>
      <w:marLeft w:val="0"/>
      <w:marRight w:val="0"/>
      <w:marTop w:val="0"/>
      <w:marBottom w:val="0"/>
      <w:divBdr>
        <w:top w:val="none" w:sz="0" w:space="0" w:color="auto"/>
        <w:left w:val="none" w:sz="0" w:space="0" w:color="auto"/>
        <w:bottom w:val="none" w:sz="0" w:space="0" w:color="auto"/>
        <w:right w:val="none" w:sz="0" w:space="0" w:color="auto"/>
      </w:divBdr>
    </w:div>
    <w:div w:id="180945653">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1163222">
      <w:bodyDiv w:val="1"/>
      <w:marLeft w:val="0"/>
      <w:marRight w:val="0"/>
      <w:marTop w:val="0"/>
      <w:marBottom w:val="0"/>
      <w:divBdr>
        <w:top w:val="none" w:sz="0" w:space="0" w:color="auto"/>
        <w:left w:val="none" w:sz="0" w:space="0" w:color="auto"/>
        <w:bottom w:val="none" w:sz="0" w:space="0" w:color="auto"/>
        <w:right w:val="none" w:sz="0" w:space="0" w:color="auto"/>
      </w:divBdr>
    </w:div>
    <w:div w:id="181625317">
      <w:bodyDiv w:val="1"/>
      <w:marLeft w:val="0"/>
      <w:marRight w:val="0"/>
      <w:marTop w:val="0"/>
      <w:marBottom w:val="0"/>
      <w:divBdr>
        <w:top w:val="none" w:sz="0" w:space="0" w:color="auto"/>
        <w:left w:val="none" w:sz="0" w:space="0" w:color="auto"/>
        <w:bottom w:val="none" w:sz="0" w:space="0" w:color="auto"/>
        <w:right w:val="none" w:sz="0" w:space="0" w:color="auto"/>
      </w:divBdr>
    </w:div>
    <w:div w:id="181629325">
      <w:bodyDiv w:val="1"/>
      <w:marLeft w:val="0"/>
      <w:marRight w:val="0"/>
      <w:marTop w:val="0"/>
      <w:marBottom w:val="0"/>
      <w:divBdr>
        <w:top w:val="none" w:sz="0" w:space="0" w:color="auto"/>
        <w:left w:val="none" w:sz="0" w:space="0" w:color="auto"/>
        <w:bottom w:val="none" w:sz="0" w:space="0" w:color="auto"/>
        <w:right w:val="none" w:sz="0" w:space="0" w:color="auto"/>
      </w:divBdr>
    </w:div>
    <w:div w:id="181749944">
      <w:bodyDiv w:val="1"/>
      <w:marLeft w:val="0"/>
      <w:marRight w:val="0"/>
      <w:marTop w:val="0"/>
      <w:marBottom w:val="0"/>
      <w:divBdr>
        <w:top w:val="none" w:sz="0" w:space="0" w:color="auto"/>
        <w:left w:val="none" w:sz="0" w:space="0" w:color="auto"/>
        <w:bottom w:val="none" w:sz="0" w:space="0" w:color="auto"/>
        <w:right w:val="none" w:sz="0" w:space="0" w:color="auto"/>
      </w:divBdr>
    </w:div>
    <w:div w:id="181824641">
      <w:bodyDiv w:val="1"/>
      <w:marLeft w:val="0"/>
      <w:marRight w:val="0"/>
      <w:marTop w:val="0"/>
      <w:marBottom w:val="0"/>
      <w:divBdr>
        <w:top w:val="none" w:sz="0" w:space="0" w:color="auto"/>
        <w:left w:val="none" w:sz="0" w:space="0" w:color="auto"/>
        <w:bottom w:val="none" w:sz="0" w:space="0" w:color="auto"/>
        <w:right w:val="none" w:sz="0" w:space="0" w:color="auto"/>
      </w:divBdr>
    </w:div>
    <w:div w:id="181866821">
      <w:bodyDiv w:val="1"/>
      <w:marLeft w:val="0"/>
      <w:marRight w:val="0"/>
      <w:marTop w:val="0"/>
      <w:marBottom w:val="0"/>
      <w:divBdr>
        <w:top w:val="none" w:sz="0" w:space="0" w:color="auto"/>
        <w:left w:val="none" w:sz="0" w:space="0" w:color="auto"/>
        <w:bottom w:val="none" w:sz="0" w:space="0" w:color="auto"/>
        <w:right w:val="none" w:sz="0" w:space="0" w:color="auto"/>
      </w:divBdr>
    </w:div>
    <w:div w:id="182017508">
      <w:bodyDiv w:val="1"/>
      <w:marLeft w:val="0"/>
      <w:marRight w:val="0"/>
      <w:marTop w:val="0"/>
      <w:marBottom w:val="0"/>
      <w:divBdr>
        <w:top w:val="none" w:sz="0" w:space="0" w:color="auto"/>
        <w:left w:val="none" w:sz="0" w:space="0" w:color="auto"/>
        <w:bottom w:val="none" w:sz="0" w:space="0" w:color="auto"/>
        <w:right w:val="none" w:sz="0" w:space="0" w:color="auto"/>
      </w:divBdr>
    </w:div>
    <w:div w:id="182283003">
      <w:bodyDiv w:val="1"/>
      <w:marLeft w:val="0"/>
      <w:marRight w:val="0"/>
      <w:marTop w:val="0"/>
      <w:marBottom w:val="0"/>
      <w:divBdr>
        <w:top w:val="none" w:sz="0" w:space="0" w:color="auto"/>
        <w:left w:val="none" w:sz="0" w:space="0" w:color="auto"/>
        <w:bottom w:val="none" w:sz="0" w:space="0" w:color="auto"/>
        <w:right w:val="none" w:sz="0" w:space="0" w:color="auto"/>
      </w:divBdr>
    </w:div>
    <w:div w:id="182323784">
      <w:bodyDiv w:val="1"/>
      <w:marLeft w:val="0"/>
      <w:marRight w:val="0"/>
      <w:marTop w:val="0"/>
      <w:marBottom w:val="0"/>
      <w:divBdr>
        <w:top w:val="none" w:sz="0" w:space="0" w:color="auto"/>
        <w:left w:val="none" w:sz="0" w:space="0" w:color="auto"/>
        <w:bottom w:val="none" w:sz="0" w:space="0" w:color="auto"/>
        <w:right w:val="none" w:sz="0" w:space="0" w:color="auto"/>
      </w:divBdr>
    </w:div>
    <w:div w:id="182405361">
      <w:bodyDiv w:val="1"/>
      <w:marLeft w:val="0"/>
      <w:marRight w:val="0"/>
      <w:marTop w:val="0"/>
      <w:marBottom w:val="0"/>
      <w:divBdr>
        <w:top w:val="none" w:sz="0" w:space="0" w:color="auto"/>
        <w:left w:val="none" w:sz="0" w:space="0" w:color="auto"/>
        <w:bottom w:val="none" w:sz="0" w:space="0" w:color="auto"/>
        <w:right w:val="none" w:sz="0" w:space="0" w:color="auto"/>
      </w:divBdr>
    </w:div>
    <w:div w:id="182473792">
      <w:bodyDiv w:val="1"/>
      <w:marLeft w:val="0"/>
      <w:marRight w:val="0"/>
      <w:marTop w:val="0"/>
      <w:marBottom w:val="0"/>
      <w:divBdr>
        <w:top w:val="none" w:sz="0" w:space="0" w:color="auto"/>
        <w:left w:val="none" w:sz="0" w:space="0" w:color="auto"/>
        <w:bottom w:val="none" w:sz="0" w:space="0" w:color="auto"/>
        <w:right w:val="none" w:sz="0" w:space="0" w:color="auto"/>
      </w:divBdr>
    </w:div>
    <w:div w:id="182474546">
      <w:bodyDiv w:val="1"/>
      <w:marLeft w:val="0"/>
      <w:marRight w:val="0"/>
      <w:marTop w:val="0"/>
      <w:marBottom w:val="0"/>
      <w:divBdr>
        <w:top w:val="none" w:sz="0" w:space="0" w:color="auto"/>
        <w:left w:val="none" w:sz="0" w:space="0" w:color="auto"/>
        <w:bottom w:val="none" w:sz="0" w:space="0" w:color="auto"/>
        <w:right w:val="none" w:sz="0" w:space="0" w:color="auto"/>
      </w:divBdr>
    </w:div>
    <w:div w:id="182668746">
      <w:bodyDiv w:val="1"/>
      <w:marLeft w:val="0"/>
      <w:marRight w:val="0"/>
      <w:marTop w:val="0"/>
      <w:marBottom w:val="0"/>
      <w:divBdr>
        <w:top w:val="none" w:sz="0" w:space="0" w:color="auto"/>
        <w:left w:val="none" w:sz="0" w:space="0" w:color="auto"/>
        <w:bottom w:val="none" w:sz="0" w:space="0" w:color="auto"/>
        <w:right w:val="none" w:sz="0" w:space="0" w:color="auto"/>
      </w:divBdr>
    </w:div>
    <w:div w:id="182671244">
      <w:bodyDiv w:val="1"/>
      <w:marLeft w:val="0"/>
      <w:marRight w:val="0"/>
      <w:marTop w:val="0"/>
      <w:marBottom w:val="0"/>
      <w:divBdr>
        <w:top w:val="none" w:sz="0" w:space="0" w:color="auto"/>
        <w:left w:val="none" w:sz="0" w:space="0" w:color="auto"/>
        <w:bottom w:val="none" w:sz="0" w:space="0" w:color="auto"/>
        <w:right w:val="none" w:sz="0" w:space="0" w:color="auto"/>
      </w:divBdr>
    </w:div>
    <w:div w:id="182717272">
      <w:bodyDiv w:val="1"/>
      <w:marLeft w:val="0"/>
      <w:marRight w:val="0"/>
      <w:marTop w:val="0"/>
      <w:marBottom w:val="0"/>
      <w:divBdr>
        <w:top w:val="none" w:sz="0" w:space="0" w:color="auto"/>
        <w:left w:val="none" w:sz="0" w:space="0" w:color="auto"/>
        <w:bottom w:val="none" w:sz="0" w:space="0" w:color="auto"/>
        <w:right w:val="none" w:sz="0" w:space="0" w:color="auto"/>
      </w:divBdr>
    </w:div>
    <w:div w:id="182793756">
      <w:bodyDiv w:val="1"/>
      <w:marLeft w:val="0"/>
      <w:marRight w:val="0"/>
      <w:marTop w:val="0"/>
      <w:marBottom w:val="0"/>
      <w:divBdr>
        <w:top w:val="none" w:sz="0" w:space="0" w:color="auto"/>
        <w:left w:val="none" w:sz="0" w:space="0" w:color="auto"/>
        <w:bottom w:val="none" w:sz="0" w:space="0" w:color="auto"/>
        <w:right w:val="none" w:sz="0" w:space="0" w:color="auto"/>
      </w:divBdr>
    </w:div>
    <w:div w:id="182868451">
      <w:bodyDiv w:val="1"/>
      <w:marLeft w:val="0"/>
      <w:marRight w:val="0"/>
      <w:marTop w:val="0"/>
      <w:marBottom w:val="0"/>
      <w:divBdr>
        <w:top w:val="none" w:sz="0" w:space="0" w:color="auto"/>
        <w:left w:val="none" w:sz="0" w:space="0" w:color="auto"/>
        <w:bottom w:val="none" w:sz="0" w:space="0" w:color="auto"/>
        <w:right w:val="none" w:sz="0" w:space="0" w:color="auto"/>
      </w:divBdr>
    </w:div>
    <w:div w:id="182978284">
      <w:bodyDiv w:val="1"/>
      <w:marLeft w:val="0"/>
      <w:marRight w:val="0"/>
      <w:marTop w:val="0"/>
      <w:marBottom w:val="0"/>
      <w:divBdr>
        <w:top w:val="none" w:sz="0" w:space="0" w:color="auto"/>
        <w:left w:val="none" w:sz="0" w:space="0" w:color="auto"/>
        <w:bottom w:val="none" w:sz="0" w:space="0" w:color="auto"/>
        <w:right w:val="none" w:sz="0" w:space="0" w:color="auto"/>
      </w:divBdr>
    </w:div>
    <w:div w:id="182985419">
      <w:bodyDiv w:val="1"/>
      <w:marLeft w:val="0"/>
      <w:marRight w:val="0"/>
      <w:marTop w:val="0"/>
      <w:marBottom w:val="0"/>
      <w:divBdr>
        <w:top w:val="none" w:sz="0" w:space="0" w:color="auto"/>
        <w:left w:val="none" w:sz="0" w:space="0" w:color="auto"/>
        <w:bottom w:val="none" w:sz="0" w:space="0" w:color="auto"/>
        <w:right w:val="none" w:sz="0" w:space="0" w:color="auto"/>
      </w:divBdr>
    </w:div>
    <w:div w:id="183175011">
      <w:bodyDiv w:val="1"/>
      <w:marLeft w:val="0"/>
      <w:marRight w:val="0"/>
      <w:marTop w:val="0"/>
      <w:marBottom w:val="0"/>
      <w:divBdr>
        <w:top w:val="none" w:sz="0" w:space="0" w:color="auto"/>
        <w:left w:val="none" w:sz="0" w:space="0" w:color="auto"/>
        <w:bottom w:val="none" w:sz="0" w:space="0" w:color="auto"/>
        <w:right w:val="none" w:sz="0" w:space="0" w:color="auto"/>
      </w:divBdr>
    </w:div>
    <w:div w:id="183252425">
      <w:bodyDiv w:val="1"/>
      <w:marLeft w:val="0"/>
      <w:marRight w:val="0"/>
      <w:marTop w:val="0"/>
      <w:marBottom w:val="0"/>
      <w:divBdr>
        <w:top w:val="none" w:sz="0" w:space="0" w:color="auto"/>
        <w:left w:val="none" w:sz="0" w:space="0" w:color="auto"/>
        <w:bottom w:val="none" w:sz="0" w:space="0" w:color="auto"/>
        <w:right w:val="none" w:sz="0" w:space="0" w:color="auto"/>
      </w:divBdr>
    </w:div>
    <w:div w:id="183401382">
      <w:bodyDiv w:val="1"/>
      <w:marLeft w:val="0"/>
      <w:marRight w:val="0"/>
      <w:marTop w:val="0"/>
      <w:marBottom w:val="0"/>
      <w:divBdr>
        <w:top w:val="none" w:sz="0" w:space="0" w:color="auto"/>
        <w:left w:val="none" w:sz="0" w:space="0" w:color="auto"/>
        <w:bottom w:val="none" w:sz="0" w:space="0" w:color="auto"/>
        <w:right w:val="none" w:sz="0" w:space="0" w:color="auto"/>
      </w:divBdr>
    </w:div>
    <w:div w:id="183440503">
      <w:bodyDiv w:val="1"/>
      <w:marLeft w:val="0"/>
      <w:marRight w:val="0"/>
      <w:marTop w:val="0"/>
      <w:marBottom w:val="0"/>
      <w:divBdr>
        <w:top w:val="none" w:sz="0" w:space="0" w:color="auto"/>
        <w:left w:val="none" w:sz="0" w:space="0" w:color="auto"/>
        <w:bottom w:val="none" w:sz="0" w:space="0" w:color="auto"/>
        <w:right w:val="none" w:sz="0" w:space="0" w:color="auto"/>
      </w:divBdr>
    </w:div>
    <w:div w:id="183447028">
      <w:bodyDiv w:val="1"/>
      <w:marLeft w:val="0"/>
      <w:marRight w:val="0"/>
      <w:marTop w:val="0"/>
      <w:marBottom w:val="0"/>
      <w:divBdr>
        <w:top w:val="none" w:sz="0" w:space="0" w:color="auto"/>
        <w:left w:val="none" w:sz="0" w:space="0" w:color="auto"/>
        <w:bottom w:val="none" w:sz="0" w:space="0" w:color="auto"/>
        <w:right w:val="none" w:sz="0" w:space="0" w:color="auto"/>
      </w:divBdr>
    </w:div>
    <w:div w:id="183447961">
      <w:bodyDiv w:val="1"/>
      <w:marLeft w:val="0"/>
      <w:marRight w:val="0"/>
      <w:marTop w:val="0"/>
      <w:marBottom w:val="0"/>
      <w:divBdr>
        <w:top w:val="none" w:sz="0" w:space="0" w:color="auto"/>
        <w:left w:val="none" w:sz="0" w:space="0" w:color="auto"/>
        <w:bottom w:val="none" w:sz="0" w:space="0" w:color="auto"/>
        <w:right w:val="none" w:sz="0" w:space="0" w:color="auto"/>
      </w:divBdr>
    </w:div>
    <w:div w:id="183640042">
      <w:bodyDiv w:val="1"/>
      <w:marLeft w:val="0"/>
      <w:marRight w:val="0"/>
      <w:marTop w:val="0"/>
      <w:marBottom w:val="0"/>
      <w:divBdr>
        <w:top w:val="none" w:sz="0" w:space="0" w:color="auto"/>
        <w:left w:val="none" w:sz="0" w:space="0" w:color="auto"/>
        <w:bottom w:val="none" w:sz="0" w:space="0" w:color="auto"/>
        <w:right w:val="none" w:sz="0" w:space="0" w:color="auto"/>
      </w:divBdr>
    </w:div>
    <w:div w:id="183713851">
      <w:bodyDiv w:val="1"/>
      <w:marLeft w:val="0"/>
      <w:marRight w:val="0"/>
      <w:marTop w:val="0"/>
      <w:marBottom w:val="0"/>
      <w:divBdr>
        <w:top w:val="none" w:sz="0" w:space="0" w:color="auto"/>
        <w:left w:val="none" w:sz="0" w:space="0" w:color="auto"/>
        <w:bottom w:val="none" w:sz="0" w:space="0" w:color="auto"/>
        <w:right w:val="none" w:sz="0" w:space="0" w:color="auto"/>
      </w:divBdr>
    </w:div>
    <w:div w:id="183791486">
      <w:bodyDiv w:val="1"/>
      <w:marLeft w:val="0"/>
      <w:marRight w:val="0"/>
      <w:marTop w:val="0"/>
      <w:marBottom w:val="0"/>
      <w:divBdr>
        <w:top w:val="none" w:sz="0" w:space="0" w:color="auto"/>
        <w:left w:val="none" w:sz="0" w:space="0" w:color="auto"/>
        <w:bottom w:val="none" w:sz="0" w:space="0" w:color="auto"/>
        <w:right w:val="none" w:sz="0" w:space="0" w:color="auto"/>
      </w:divBdr>
    </w:div>
    <w:div w:id="184178221">
      <w:bodyDiv w:val="1"/>
      <w:marLeft w:val="0"/>
      <w:marRight w:val="0"/>
      <w:marTop w:val="0"/>
      <w:marBottom w:val="0"/>
      <w:divBdr>
        <w:top w:val="none" w:sz="0" w:space="0" w:color="auto"/>
        <w:left w:val="none" w:sz="0" w:space="0" w:color="auto"/>
        <w:bottom w:val="none" w:sz="0" w:space="0" w:color="auto"/>
        <w:right w:val="none" w:sz="0" w:space="0" w:color="auto"/>
      </w:divBdr>
    </w:div>
    <w:div w:id="184292716">
      <w:bodyDiv w:val="1"/>
      <w:marLeft w:val="0"/>
      <w:marRight w:val="0"/>
      <w:marTop w:val="0"/>
      <w:marBottom w:val="0"/>
      <w:divBdr>
        <w:top w:val="none" w:sz="0" w:space="0" w:color="auto"/>
        <w:left w:val="none" w:sz="0" w:space="0" w:color="auto"/>
        <w:bottom w:val="none" w:sz="0" w:space="0" w:color="auto"/>
        <w:right w:val="none" w:sz="0" w:space="0" w:color="auto"/>
      </w:divBdr>
    </w:div>
    <w:div w:id="184758230">
      <w:bodyDiv w:val="1"/>
      <w:marLeft w:val="0"/>
      <w:marRight w:val="0"/>
      <w:marTop w:val="0"/>
      <w:marBottom w:val="0"/>
      <w:divBdr>
        <w:top w:val="none" w:sz="0" w:space="0" w:color="auto"/>
        <w:left w:val="none" w:sz="0" w:space="0" w:color="auto"/>
        <w:bottom w:val="none" w:sz="0" w:space="0" w:color="auto"/>
        <w:right w:val="none" w:sz="0" w:space="0" w:color="auto"/>
      </w:divBdr>
    </w:div>
    <w:div w:id="184946042">
      <w:bodyDiv w:val="1"/>
      <w:marLeft w:val="0"/>
      <w:marRight w:val="0"/>
      <w:marTop w:val="0"/>
      <w:marBottom w:val="0"/>
      <w:divBdr>
        <w:top w:val="none" w:sz="0" w:space="0" w:color="auto"/>
        <w:left w:val="none" w:sz="0" w:space="0" w:color="auto"/>
        <w:bottom w:val="none" w:sz="0" w:space="0" w:color="auto"/>
        <w:right w:val="none" w:sz="0" w:space="0" w:color="auto"/>
      </w:divBdr>
    </w:div>
    <w:div w:id="185099599">
      <w:bodyDiv w:val="1"/>
      <w:marLeft w:val="0"/>
      <w:marRight w:val="0"/>
      <w:marTop w:val="0"/>
      <w:marBottom w:val="0"/>
      <w:divBdr>
        <w:top w:val="none" w:sz="0" w:space="0" w:color="auto"/>
        <w:left w:val="none" w:sz="0" w:space="0" w:color="auto"/>
        <w:bottom w:val="none" w:sz="0" w:space="0" w:color="auto"/>
        <w:right w:val="none" w:sz="0" w:space="0" w:color="auto"/>
      </w:divBdr>
    </w:div>
    <w:div w:id="185288890">
      <w:bodyDiv w:val="1"/>
      <w:marLeft w:val="0"/>
      <w:marRight w:val="0"/>
      <w:marTop w:val="0"/>
      <w:marBottom w:val="0"/>
      <w:divBdr>
        <w:top w:val="none" w:sz="0" w:space="0" w:color="auto"/>
        <w:left w:val="none" w:sz="0" w:space="0" w:color="auto"/>
        <w:bottom w:val="none" w:sz="0" w:space="0" w:color="auto"/>
        <w:right w:val="none" w:sz="0" w:space="0" w:color="auto"/>
      </w:divBdr>
    </w:div>
    <w:div w:id="185338877">
      <w:bodyDiv w:val="1"/>
      <w:marLeft w:val="0"/>
      <w:marRight w:val="0"/>
      <w:marTop w:val="0"/>
      <w:marBottom w:val="0"/>
      <w:divBdr>
        <w:top w:val="none" w:sz="0" w:space="0" w:color="auto"/>
        <w:left w:val="none" w:sz="0" w:space="0" w:color="auto"/>
        <w:bottom w:val="none" w:sz="0" w:space="0" w:color="auto"/>
        <w:right w:val="none" w:sz="0" w:space="0" w:color="auto"/>
      </w:divBdr>
    </w:div>
    <w:div w:id="185487823">
      <w:bodyDiv w:val="1"/>
      <w:marLeft w:val="0"/>
      <w:marRight w:val="0"/>
      <w:marTop w:val="0"/>
      <w:marBottom w:val="0"/>
      <w:divBdr>
        <w:top w:val="none" w:sz="0" w:space="0" w:color="auto"/>
        <w:left w:val="none" w:sz="0" w:space="0" w:color="auto"/>
        <w:bottom w:val="none" w:sz="0" w:space="0" w:color="auto"/>
        <w:right w:val="none" w:sz="0" w:space="0" w:color="auto"/>
      </w:divBdr>
    </w:div>
    <w:div w:id="185562981">
      <w:bodyDiv w:val="1"/>
      <w:marLeft w:val="0"/>
      <w:marRight w:val="0"/>
      <w:marTop w:val="0"/>
      <w:marBottom w:val="0"/>
      <w:divBdr>
        <w:top w:val="none" w:sz="0" w:space="0" w:color="auto"/>
        <w:left w:val="none" w:sz="0" w:space="0" w:color="auto"/>
        <w:bottom w:val="none" w:sz="0" w:space="0" w:color="auto"/>
        <w:right w:val="none" w:sz="0" w:space="0" w:color="auto"/>
      </w:divBdr>
    </w:div>
    <w:div w:id="185757925">
      <w:bodyDiv w:val="1"/>
      <w:marLeft w:val="0"/>
      <w:marRight w:val="0"/>
      <w:marTop w:val="0"/>
      <w:marBottom w:val="0"/>
      <w:divBdr>
        <w:top w:val="none" w:sz="0" w:space="0" w:color="auto"/>
        <w:left w:val="none" w:sz="0" w:space="0" w:color="auto"/>
        <w:bottom w:val="none" w:sz="0" w:space="0" w:color="auto"/>
        <w:right w:val="none" w:sz="0" w:space="0" w:color="auto"/>
      </w:divBdr>
    </w:div>
    <w:div w:id="185872781">
      <w:bodyDiv w:val="1"/>
      <w:marLeft w:val="0"/>
      <w:marRight w:val="0"/>
      <w:marTop w:val="0"/>
      <w:marBottom w:val="0"/>
      <w:divBdr>
        <w:top w:val="none" w:sz="0" w:space="0" w:color="auto"/>
        <w:left w:val="none" w:sz="0" w:space="0" w:color="auto"/>
        <w:bottom w:val="none" w:sz="0" w:space="0" w:color="auto"/>
        <w:right w:val="none" w:sz="0" w:space="0" w:color="auto"/>
      </w:divBdr>
    </w:div>
    <w:div w:id="185876018">
      <w:bodyDiv w:val="1"/>
      <w:marLeft w:val="0"/>
      <w:marRight w:val="0"/>
      <w:marTop w:val="0"/>
      <w:marBottom w:val="0"/>
      <w:divBdr>
        <w:top w:val="none" w:sz="0" w:space="0" w:color="auto"/>
        <w:left w:val="none" w:sz="0" w:space="0" w:color="auto"/>
        <w:bottom w:val="none" w:sz="0" w:space="0" w:color="auto"/>
        <w:right w:val="none" w:sz="0" w:space="0" w:color="auto"/>
      </w:divBdr>
    </w:div>
    <w:div w:id="186218090">
      <w:bodyDiv w:val="1"/>
      <w:marLeft w:val="0"/>
      <w:marRight w:val="0"/>
      <w:marTop w:val="0"/>
      <w:marBottom w:val="0"/>
      <w:divBdr>
        <w:top w:val="none" w:sz="0" w:space="0" w:color="auto"/>
        <w:left w:val="none" w:sz="0" w:space="0" w:color="auto"/>
        <w:bottom w:val="none" w:sz="0" w:space="0" w:color="auto"/>
        <w:right w:val="none" w:sz="0" w:space="0" w:color="auto"/>
      </w:divBdr>
    </w:div>
    <w:div w:id="186529452">
      <w:bodyDiv w:val="1"/>
      <w:marLeft w:val="0"/>
      <w:marRight w:val="0"/>
      <w:marTop w:val="0"/>
      <w:marBottom w:val="0"/>
      <w:divBdr>
        <w:top w:val="none" w:sz="0" w:space="0" w:color="auto"/>
        <w:left w:val="none" w:sz="0" w:space="0" w:color="auto"/>
        <w:bottom w:val="none" w:sz="0" w:space="0" w:color="auto"/>
        <w:right w:val="none" w:sz="0" w:space="0" w:color="auto"/>
      </w:divBdr>
    </w:div>
    <w:div w:id="186677751">
      <w:bodyDiv w:val="1"/>
      <w:marLeft w:val="0"/>
      <w:marRight w:val="0"/>
      <w:marTop w:val="0"/>
      <w:marBottom w:val="0"/>
      <w:divBdr>
        <w:top w:val="none" w:sz="0" w:space="0" w:color="auto"/>
        <w:left w:val="none" w:sz="0" w:space="0" w:color="auto"/>
        <w:bottom w:val="none" w:sz="0" w:space="0" w:color="auto"/>
        <w:right w:val="none" w:sz="0" w:space="0" w:color="auto"/>
      </w:divBdr>
    </w:div>
    <w:div w:id="186993990">
      <w:bodyDiv w:val="1"/>
      <w:marLeft w:val="0"/>
      <w:marRight w:val="0"/>
      <w:marTop w:val="0"/>
      <w:marBottom w:val="0"/>
      <w:divBdr>
        <w:top w:val="none" w:sz="0" w:space="0" w:color="auto"/>
        <w:left w:val="none" w:sz="0" w:space="0" w:color="auto"/>
        <w:bottom w:val="none" w:sz="0" w:space="0" w:color="auto"/>
        <w:right w:val="none" w:sz="0" w:space="0" w:color="auto"/>
      </w:divBdr>
    </w:div>
    <w:div w:id="187062675">
      <w:bodyDiv w:val="1"/>
      <w:marLeft w:val="0"/>
      <w:marRight w:val="0"/>
      <w:marTop w:val="0"/>
      <w:marBottom w:val="0"/>
      <w:divBdr>
        <w:top w:val="none" w:sz="0" w:space="0" w:color="auto"/>
        <w:left w:val="none" w:sz="0" w:space="0" w:color="auto"/>
        <w:bottom w:val="none" w:sz="0" w:space="0" w:color="auto"/>
        <w:right w:val="none" w:sz="0" w:space="0" w:color="auto"/>
      </w:divBdr>
    </w:div>
    <w:div w:id="187258524">
      <w:bodyDiv w:val="1"/>
      <w:marLeft w:val="0"/>
      <w:marRight w:val="0"/>
      <w:marTop w:val="0"/>
      <w:marBottom w:val="0"/>
      <w:divBdr>
        <w:top w:val="none" w:sz="0" w:space="0" w:color="auto"/>
        <w:left w:val="none" w:sz="0" w:space="0" w:color="auto"/>
        <w:bottom w:val="none" w:sz="0" w:space="0" w:color="auto"/>
        <w:right w:val="none" w:sz="0" w:space="0" w:color="auto"/>
      </w:divBdr>
    </w:div>
    <w:div w:id="187568948">
      <w:bodyDiv w:val="1"/>
      <w:marLeft w:val="0"/>
      <w:marRight w:val="0"/>
      <w:marTop w:val="0"/>
      <w:marBottom w:val="0"/>
      <w:divBdr>
        <w:top w:val="none" w:sz="0" w:space="0" w:color="auto"/>
        <w:left w:val="none" w:sz="0" w:space="0" w:color="auto"/>
        <w:bottom w:val="none" w:sz="0" w:space="0" w:color="auto"/>
        <w:right w:val="none" w:sz="0" w:space="0" w:color="auto"/>
      </w:divBdr>
    </w:div>
    <w:div w:id="187569038">
      <w:bodyDiv w:val="1"/>
      <w:marLeft w:val="0"/>
      <w:marRight w:val="0"/>
      <w:marTop w:val="0"/>
      <w:marBottom w:val="0"/>
      <w:divBdr>
        <w:top w:val="none" w:sz="0" w:space="0" w:color="auto"/>
        <w:left w:val="none" w:sz="0" w:space="0" w:color="auto"/>
        <w:bottom w:val="none" w:sz="0" w:space="0" w:color="auto"/>
        <w:right w:val="none" w:sz="0" w:space="0" w:color="auto"/>
      </w:divBdr>
    </w:div>
    <w:div w:id="187760722">
      <w:bodyDiv w:val="1"/>
      <w:marLeft w:val="0"/>
      <w:marRight w:val="0"/>
      <w:marTop w:val="0"/>
      <w:marBottom w:val="0"/>
      <w:divBdr>
        <w:top w:val="none" w:sz="0" w:space="0" w:color="auto"/>
        <w:left w:val="none" w:sz="0" w:space="0" w:color="auto"/>
        <w:bottom w:val="none" w:sz="0" w:space="0" w:color="auto"/>
        <w:right w:val="none" w:sz="0" w:space="0" w:color="auto"/>
      </w:divBdr>
    </w:div>
    <w:div w:id="188222986">
      <w:bodyDiv w:val="1"/>
      <w:marLeft w:val="0"/>
      <w:marRight w:val="0"/>
      <w:marTop w:val="0"/>
      <w:marBottom w:val="0"/>
      <w:divBdr>
        <w:top w:val="none" w:sz="0" w:space="0" w:color="auto"/>
        <w:left w:val="none" w:sz="0" w:space="0" w:color="auto"/>
        <w:bottom w:val="none" w:sz="0" w:space="0" w:color="auto"/>
        <w:right w:val="none" w:sz="0" w:space="0" w:color="auto"/>
      </w:divBdr>
    </w:div>
    <w:div w:id="188227341">
      <w:bodyDiv w:val="1"/>
      <w:marLeft w:val="0"/>
      <w:marRight w:val="0"/>
      <w:marTop w:val="0"/>
      <w:marBottom w:val="0"/>
      <w:divBdr>
        <w:top w:val="none" w:sz="0" w:space="0" w:color="auto"/>
        <w:left w:val="none" w:sz="0" w:space="0" w:color="auto"/>
        <w:bottom w:val="none" w:sz="0" w:space="0" w:color="auto"/>
        <w:right w:val="none" w:sz="0" w:space="0" w:color="auto"/>
      </w:divBdr>
    </w:div>
    <w:div w:id="188419238">
      <w:bodyDiv w:val="1"/>
      <w:marLeft w:val="0"/>
      <w:marRight w:val="0"/>
      <w:marTop w:val="0"/>
      <w:marBottom w:val="0"/>
      <w:divBdr>
        <w:top w:val="none" w:sz="0" w:space="0" w:color="auto"/>
        <w:left w:val="none" w:sz="0" w:space="0" w:color="auto"/>
        <w:bottom w:val="none" w:sz="0" w:space="0" w:color="auto"/>
        <w:right w:val="none" w:sz="0" w:space="0" w:color="auto"/>
      </w:divBdr>
    </w:div>
    <w:div w:id="188446172">
      <w:bodyDiv w:val="1"/>
      <w:marLeft w:val="0"/>
      <w:marRight w:val="0"/>
      <w:marTop w:val="0"/>
      <w:marBottom w:val="0"/>
      <w:divBdr>
        <w:top w:val="none" w:sz="0" w:space="0" w:color="auto"/>
        <w:left w:val="none" w:sz="0" w:space="0" w:color="auto"/>
        <w:bottom w:val="none" w:sz="0" w:space="0" w:color="auto"/>
        <w:right w:val="none" w:sz="0" w:space="0" w:color="auto"/>
      </w:divBdr>
    </w:div>
    <w:div w:id="188492399">
      <w:bodyDiv w:val="1"/>
      <w:marLeft w:val="0"/>
      <w:marRight w:val="0"/>
      <w:marTop w:val="0"/>
      <w:marBottom w:val="0"/>
      <w:divBdr>
        <w:top w:val="none" w:sz="0" w:space="0" w:color="auto"/>
        <w:left w:val="none" w:sz="0" w:space="0" w:color="auto"/>
        <w:bottom w:val="none" w:sz="0" w:space="0" w:color="auto"/>
        <w:right w:val="none" w:sz="0" w:space="0" w:color="auto"/>
      </w:divBdr>
    </w:div>
    <w:div w:id="188564083">
      <w:bodyDiv w:val="1"/>
      <w:marLeft w:val="0"/>
      <w:marRight w:val="0"/>
      <w:marTop w:val="0"/>
      <w:marBottom w:val="0"/>
      <w:divBdr>
        <w:top w:val="none" w:sz="0" w:space="0" w:color="auto"/>
        <w:left w:val="none" w:sz="0" w:space="0" w:color="auto"/>
        <w:bottom w:val="none" w:sz="0" w:space="0" w:color="auto"/>
        <w:right w:val="none" w:sz="0" w:space="0" w:color="auto"/>
      </w:divBdr>
    </w:div>
    <w:div w:id="188877118">
      <w:bodyDiv w:val="1"/>
      <w:marLeft w:val="0"/>
      <w:marRight w:val="0"/>
      <w:marTop w:val="0"/>
      <w:marBottom w:val="0"/>
      <w:divBdr>
        <w:top w:val="none" w:sz="0" w:space="0" w:color="auto"/>
        <w:left w:val="none" w:sz="0" w:space="0" w:color="auto"/>
        <w:bottom w:val="none" w:sz="0" w:space="0" w:color="auto"/>
        <w:right w:val="none" w:sz="0" w:space="0" w:color="auto"/>
      </w:divBdr>
    </w:div>
    <w:div w:id="188954737">
      <w:bodyDiv w:val="1"/>
      <w:marLeft w:val="0"/>
      <w:marRight w:val="0"/>
      <w:marTop w:val="0"/>
      <w:marBottom w:val="0"/>
      <w:divBdr>
        <w:top w:val="none" w:sz="0" w:space="0" w:color="auto"/>
        <w:left w:val="none" w:sz="0" w:space="0" w:color="auto"/>
        <w:bottom w:val="none" w:sz="0" w:space="0" w:color="auto"/>
        <w:right w:val="none" w:sz="0" w:space="0" w:color="auto"/>
      </w:divBdr>
    </w:div>
    <w:div w:id="189149857">
      <w:bodyDiv w:val="1"/>
      <w:marLeft w:val="0"/>
      <w:marRight w:val="0"/>
      <w:marTop w:val="0"/>
      <w:marBottom w:val="0"/>
      <w:divBdr>
        <w:top w:val="none" w:sz="0" w:space="0" w:color="auto"/>
        <w:left w:val="none" w:sz="0" w:space="0" w:color="auto"/>
        <w:bottom w:val="none" w:sz="0" w:space="0" w:color="auto"/>
        <w:right w:val="none" w:sz="0" w:space="0" w:color="auto"/>
      </w:divBdr>
    </w:div>
    <w:div w:id="189225957">
      <w:bodyDiv w:val="1"/>
      <w:marLeft w:val="0"/>
      <w:marRight w:val="0"/>
      <w:marTop w:val="0"/>
      <w:marBottom w:val="0"/>
      <w:divBdr>
        <w:top w:val="none" w:sz="0" w:space="0" w:color="auto"/>
        <w:left w:val="none" w:sz="0" w:space="0" w:color="auto"/>
        <w:bottom w:val="none" w:sz="0" w:space="0" w:color="auto"/>
        <w:right w:val="none" w:sz="0" w:space="0" w:color="auto"/>
      </w:divBdr>
    </w:div>
    <w:div w:id="189421938">
      <w:bodyDiv w:val="1"/>
      <w:marLeft w:val="0"/>
      <w:marRight w:val="0"/>
      <w:marTop w:val="0"/>
      <w:marBottom w:val="0"/>
      <w:divBdr>
        <w:top w:val="none" w:sz="0" w:space="0" w:color="auto"/>
        <w:left w:val="none" w:sz="0" w:space="0" w:color="auto"/>
        <w:bottom w:val="none" w:sz="0" w:space="0" w:color="auto"/>
        <w:right w:val="none" w:sz="0" w:space="0" w:color="auto"/>
      </w:divBdr>
    </w:div>
    <w:div w:id="189530904">
      <w:bodyDiv w:val="1"/>
      <w:marLeft w:val="0"/>
      <w:marRight w:val="0"/>
      <w:marTop w:val="0"/>
      <w:marBottom w:val="0"/>
      <w:divBdr>
        <w:top w:val="none" w:sz="0" w:space="0" w:color="auto"/>
        <w:left w:val="none" w:sz="0" w:space="0" w:color="auto"/>
        <w:bottom w:val="none" w:sz="0" w:space="0" w:color="auto"/>
        <w:right w:val="none" w:sz="0" w:space="0" w:color="auto"/>
      </w:divBdr>
    </w:div>
    <w:div w:id="189954299">
      <w:bodyDiv w:val="1"/>
      <w:marLeft w:val="0"/>
      <w:marRight w:val="0"/>
      <w:marTop w:val="0"/>
      <w:marBottom w:val="0"/>
      <w:divBdr>
        <w:top w:val="none" w:sz="0" w:space="0" w:color="auto"/>
        <w:left w:val="none" w:sz="0" w:space="0" w:color="auto"/>
        <w:bottom w:val="none" w:sz="0" w:space="0" w:color="auto"/>
        <w:right w:val="none" w:sz="0" w:space="0" w:color="auto"/>
      </w:divBdr>
    </w:div>
    <w:div w:id="190072504">
      <w:bodyDiv w:val="1"/>
      <w:marLeft w:val="0"/>
      <w:marRight w:val="0"/>
      <w:marTop w:val="0"/>
      <w:marBottom w:val="0"/>
      <w:divBdr>
        <w:top w:val="none" w:sz="0" w:space="0" w:color="auto"/>
        <w:left w:val="none" w:sz="0" w:space="0" w:color="auto"/>
        <w:bottom w:val="none" w:sz="0" w:space="0" w:color="auto"/>
        <w:right w:val="none" w:sz="0" w:space="0" w:color="auto"/>
      </w:divBdr>
    </w:div>
    <w:div w:id="190264162">
      <w:bodyDiv w:val="1"/>
      <w:marLeft w:val="0"/>
      <w:marRight w:val="0"/>
      <w:marTop w:val="0"/>
      <w:marBottom w:val="0"/>
      <w:divBdr>
        <w:top w:val="none" w:sz="0" w:space="0" w:color="auto"/>
        <w:left w:val="none" w:sz="0" w:space="0" w:color="auto"/>
        <w:bottom w:val="none" w:sz="0" w:space="0" w:color="auto"/>
        <w:right w:val="none" w:sz="0" w:space="0" w:color="auto"/>
      </w:divBdr>
    </w:div>
    <w:div w:id="190414492">
      <w:bodyDiv w:val="1"/>
      <w:marLeft w:val="0"/>
      <w:marRight w:val="0"/>
      <w:marTop w:val="0"/>
      <w:marBottom w:val="0"/>
      <w:divBdr>
        <w:top w:val="none" w:sz="0" w:space="0" w:color="auto"/>
        <w:left w:val="none" w:sz="0" w:space="0" w:color="auto"/>
        <w:bottom w:val="none" w:sz="0" w:space="0" w:color="auto"/>
        <w:right w:val="none" w:sz="0" w:space="0" w:color="auto"/>
      </w:divBdr>
    </w:div>
    <w:div w:id="190460138">
      <w:bodyDiv w:val="1"/>
      <w:marLeft w:val="0"/>
      <w:marRight w:val="0"/>
      <w:marTop w:val="0"/>
      <w:marBottom w:val="0"/>
      <w:divBdr>
        <w:top w:val="none" w:sz="0" w:space="0" w:color="auto"/>
        <w:left w:val="none" w:sz="0" w:space="0" w:color="auto"/>
        <w:bottom w:val="none" w:sz="0" w:space="0" w:color="auto"/>
        <w:right w:val="none" w:sz="0" w:space="0" w:color="auto"/>
      </w:divBdr>
    </w:div>
    <w:div w:id="190607540">
      <w:bodyDiv w:val="1"/>
      <w:marLeft w:val="0"/>
      <w:marRight w:val="0"/>
      <w:marTop w:val="0"/>
      <w:marBottom w:val="0"/>
      <w:divBdr>
        <w:top w:val="none" w:sz="0" w:space="0" w:color="auto"/>
        <w:left w:val="none" w:sz="0" w:space="0" w:color="auto"/>
        <w:bottom w:val="none" w:sz="0" w:space="0" w:color="auto"/>
        <w:right w:val="none" w:sz="0" w:space="0" w:color="auto"/>
      </w:divBdr>
    </w:div>
    <w:div w:id="190725822">
      <w:bodyDiv w:val="1"/>
      <w:marLeft w:val="0"/>
      <w:marRight w:val="0"/>
      <w:marTop w:val="0"/>
      <w:marBottom w:val="0"/>
      <w:divBdr>
        <w:top w:val="none" w:sz="0" w:space="0" w:color="auto"/>
        <w:left w:val="none" w:sz="0" w:space="0" w:color="auto"/>
        <w:bottom w:val="none" w:sz="0" w:space="0" w:color="auto"/>
        <w:right w:val="none" w:sz="0" w:space="0" w:color="auto"/>
      </w:divBdr>
    </w:div>
    <w:div w:id="190925361">
      <w:bodyDiv w:val="1"/>
      <w:marLeft w:val="0"/>
      <w:marRight w:val="0"/>
      <w:marTop w:val="0"/>
      <w:marBottom w:val="0"/>
      <w:divBdr>
        <w:top w:val="none" w:sz="0" w:space="0" w:color="auto"/>
        <w:left w:val="none" w:sz="0" w:space="0" w:color="auto"/>
        <w:bottom w:val="none" w:sz="0" w:space="0" w:color="auto"/>
        <w:right w:val="none" w:sz="0" w:space="0" w:color="auto"/>
      </w:divBdr>
    </w:div>
    <w:div w:id="191069907">
      <w:bodyDiv w:val="1"/>
      <w:marLeft w:val="0"/>
      <w:marRight w:val="0"/>
      <w:marTop w:val="0"/>
      <w:marBottom w:val="0"/>
      <w:divBdr>
        <w:top w:val="none" w:sz="0" w:space="0" w:color="auto"/>
        <w:left w:val="none" w:sz="0" w:space="0" w:color="auto"/>
        <w:bottom w:val="none" w:sz="0" w:space="0" w:color="auto"/>
        <w:right w:val="none" w:sz="0" w:space="0" w:color="auto"/>
      </w:divBdr>
    </w:div>
    <w:div w:id="191112813">
      <w:bodyDiv w:val="1"/>
      <w:marLeft w:val="0"/>
      <w:marRight w:val="0"/>
      <w:marTop w:val="0"/>
      <w:marBottom w:val="0"/>
      <w:divBdr>
        <w:top w:val="none" w:sz="0" w:space="0" w:color="auto"/>
        <w:left w:val="none" w:sz="0" w:space="0" w:color="auto"/>
        <w:bottom w:val="none" w:sz="0" w:space="0" w:color="auto"/>
        <w:right w:val="none" w:sz="0" w:space="0" w:color="auto"/>
      </w:divBdr>
    </w:div>
    <w:div w:id="191117386">
      <w:bodyDiv w:val="1"/>
      <w:marLeft w:val="0"/>
      <w:marRight w:val="0"/>
      <w:marTop w:val="0"/>
      <w:marBottom w:val="0"/>
      <w:divBdr>
        <w:top w:val="none" w:sz="0" w:space="0" w:color="auto"/>
        <w:left w:val="none" w:sz="0" w:space="0" w:color="auto"/>
        <w:bottom w:val="none" w:sz="0" w:space="0" w:color="auto"/>
        <w:right w:val="none" w:sz="0" w:space="0" w:color="auto"/>
      </w:divBdr>
    </w:div>
    <w:div w:id="191117654">
      <w:bodyDiv w:val="1"/>
      <w:marLeft w:val="0"/>
      <w:marRight w:val="0"/>
      <w:marTop w:val="0"/>
      <w:marBottom w:val="0"/>
      <w:divBdr>
        <w:top w:val="none" w:sz="0" w:space="0" w:color="auto"/>
        <w:left w:val="none" w:sz="0" w:space="0" w:color="auto"/>
        <w:bottom w:val="none" w:sz="0" w:space="0" w:color="auto"/>
        <w:right w:val="none" w:sz="0" w:space="0" w:color="auto"/>
      </w:divBdr>
    </w:div>
    <w:div w:id="191305995">
      <w:bodyDiv w:val="1"/>
      <w:marLeft w:val="0"/>
      <w:marRight w:val="0"/>
      <w:marTop w:val="0"/>
      <w:marBottom w:val="0"/>
      <w:divBdr>
        <w:top w:val="none" w:sz="0" w:space="0" w:color="auto"/>
        <w:left w:val="none" w:sz="0" w:space="0" w:color="auto"/>
        <w:bottom w:val="none" w:sz="0" w:space="0" w:color="auto"/>
        <w:right w:val="none" w:sz="0" w:space="0" w:color="auto"/>
      </w:divBdr>
    </w:div>
    <w:div w:id="191499375">
      <w:bodyDiv w:val="1"/>
      <w:marLeft w:val="0"/>
      <w:marRight w:val="0"/>
      <w:marTop w:val="0"/>
      <w:marBottom w:val="0"/>
      <w:divBdr>
        <w:top w:val="none" w:sz="0" w:space="0" w:color="auto"/>
        <w:left w:val="none" w:sz="0" w:space="0" w:color="auto"/>
        <w:bottom w:val="none" w:sz="0" w:space="0" w:color="auto"/>
        <w:right w:val="none" w:sz="0" w:space="0" w:color="auto"/>
      </w:divBdr>
    </w:div>
    <w:div w:id="191649015">
      <w:bodyDiv w:val="1"/>
      <w:marLeft w:val="0"/>
      <w:marRight w:val="0"/>
      <w:marTop w:val="0"/>
      <w:marBottom w:val="0"/>
      <w:divBdr>
        <w:top w:val="none" w:sz="0" w:space="0" w:color="auto"/>
        <w:left w:val="none" w:sz="0" w:space="0" w:color="auto"/>
        <w:bottom w:val="none" w:sz="0" w:space="0" w:color="auto"/>
        <w:right w:val="none" w:sz="0" w:space="0" w:color="auto"/>
      </w:divBdr>
    </w:div>
    <w:div w:id="191653900">
      <w:bodyDiv w:val="1"/>
      <w:marLeft w:val="0"/>
      <w:marRight w:val="0"/>
      <w:marTop w:val="0"/>
      <w:marBottom w:val="0"/>
      <w:divBdr>
        <w:top w:val="none" w:sz="0" w:space="0" w:color="auto"/>
        <w:left w:val="none" w:sz="0" w:space="0" w:color="auto"/>
        <w:bottom w:val="none" w:sz="0" w:space="0" w:color="auto"/>
        <w:right w:val="none" w:sz="0" w:space="0" w:color="auto"/>
      </w:divBdr>
    </w:div>
    <w:div w:id="191920844">
      <w:bodyDiv w:val="1"/>
      <w:marLeft w:val="0"/>
      <w:marRight w:val="0"/>
      <w:marTop w:val="0"/>
      <w:marBottom w:val="0"/>
      <w:divBdr>
        <w:top w:val="none" w:sz="0" w:space="0" w:color="auto"/>
        <w:left w:val="none" w:sz="0" w:space="0" w:color="auto"/>
        <w:bottom w:val="none" w:sz="0" w:space="0" w:color="auto"/>
        <w:right w:val="none" w:sz="0" w:space="0" w:color="auto"/>
      </w:divBdr>
    </w:div>
    <w:div w:id="192042260">
      <w:bodyDiv w:val="1"/>
      <w:marLeft w:val="0"/>
      <w:marRight w:val="0"/>
      <w:marTop w:val="0"/>
      <w:marBottom w:val="0"/>
      <w:divBdr>
        <w:top w:val="none" w:sz="0" w:space="0" w:color="auto"/>
        <w:left w:val="none" w:sz="0" w:space="0" w:color="auto"/>
        <w:bottom w:val="none" w:sz="0" w:space="0" w:color="auto"/>
        <w:right w:val="none" w:sz="0" w:space="0" w:color="auto"/>
      </w:divBdr>
    </w:div>
    <w:div w:id="192155976">
      <w:bodyDiv w:val="1"/>
      <w:marLeft w:val="0"/>
      <w:marRight w:val="0"/>
      <w:marTop w:val="0"/>
      <w:marBottom w:val="0"/>
      <w:divBdr>
        <w:top w:val="none" w:sz="0" w:space="0" w:color="auto"/>
        <w:left w:val="none" w:sz="0" w:space="0" w:color="auto"/>
        <w:bottom w:val="none" w:sz="0" w:space="0" w:color="auto"/>
        <w:right w:val="none" w:sz="0" w:space="0" w:color="auto"/>
      </w:divBdr>
    </w:div>
    <w:div w:id="192303955">
      <w:bodyDiv w:val="1"/>
      <w:marLeft w:val="0"/>
      <w:marRight w:val="0"/>
      <w:marTop w:val="0"/>
      <w:marBottom w:val="0"/>
      <w:divBdr>
        <w:top w:val="none" w:sz="0" w:space="0" w:color="auto"/>
        <w:left w:val="none" w:sz="0" w:space="0" w:color="auto"/>
        <w:bottom w:val="none" w:sz="0" w:space="0" w:color="auto"/>
        <w:right w:val="none" w:sz="0" w:space="0" w:color="auto"/>
      </w:divBdr>
    </w:div>
    <w:div w:id="192503933">
      <w:bodyDiv w:val="1"/>
      <w:marLeft w:val="0"/>
      <w:marRight w:val="0"/>
      <w:marTop w:val="0"/>
      <w:marBottom w:val="0"/>
      <w:divBdr>
        <w:top w:val="none" w:sz="0" w:space="0" w:color="auto"/>
        <w:left w:val="none" w:sz="0" w:space="0" w:color="auto"/>
        <w:bottom w:val="none" w:sz="0" w:space="0" w:color="auto"/>
        <w:right w:val="none" w:sz="0" w:space="0" w:color="auto"/>
      </w:divBdr>
    </w:div>
    <w:div w:id="192622390">
      <w:bodyDiv w:val="1"/>
      <w:marLeft w:val="0"/>
      <w:marRight w:val="0"/>
      <w:marTop w:val="0"/>
      <w:marBottom w:val="0"/>
      <w:divBdr>
        <w:top w:val="none" w:sz="0" w:space="0" w:color="auto"/>
        <w:left w:val="none" w:sz="0" w:space="0" w:color="auto"/>
        <w:bottom w:val="none" w:sz="0" w:space="0" w:color="auto"/>
        <w:right w:val="none" w:sz="0" w:space="0" w:color="auto"/>
      </w:divBdr>
    </w:div>
    <w:div w:id="192690804">
      <w:bodyDiv w:val="1"/>
      <w:marLeft w:val="0"/>
      <w:marRight w:val="0"/>
      <w:marTop w:val="0"/>
      <w:marBottom w:val="0"/>
      <w:divBdr>
        <w:top w:val="none" w:sz="0" w:space="0" w:color="auto"/>
        <w:left w:val="none" w:sz="0" w:space="0" w:color="auto"/>
        <w:bottom w:val="none" w:sz="0" w:space="0" w:color="auto"/>
        <w:right w:val="none" w:sz="0" w:space="0" w:color="auto"/>
      </w:divBdr>
    </w:div>
    <w:div w:id="192768127">
      <w:bodyDiv w:val="1"/>
      <w:marLeft w:val="0"/>
      <w:marRight w:val="0"/>
      <w:marTop w:val="0"/>
      <w:marBottom w:val="0"/>
      <w:divBdr>
        <w:top w:val="none" w:sz="0" w:space="0" w:color="auto"/>
        <w:left w:val="none" w:sz="0" w:space="0" w:color="auto"/>
        <w:bottom w:val="none" w:sz="0" w:space="0" w:color="auto"/>
        <w:right w:val="none" w:sz="0" w:space="0" w:color="auto"/>
      </w:divBdr>
    </w:div>
    <w:div w:id="192882831">
      <w:bodyDiv w:val="1"/>
      <w:marLeft w:val="0"/>
      <w:marRight w:val="0"/>
      <w:marTop w:val="0"/>
      <w:marBottom w:val="0"/>
      <w:divBdr>
        <w:top w:val="none" w:sz="0" w:space="0" w:color="auto"/>
        <w:left w:val="none" w:sz="0" w:space="0" w:color="auto"/>
        <w:bottom w:val="none" w:sz="0" w:space="0" w:color="auto"/>
        <w:right w:val="none" w:sz="0" w:space="0" w:color="auto"/>
      </w:divBdr>
    </w:div>
    <w:div w:id="192886977">
      <w:bodyDiv w:val="1"/>
      <w:marLeft w:val="0"/>
      <w:marRight w:val="0"/>
      <w:marTop w:val="0"/>
      <w:marBottom w:val="0"/>
      <w:divBdr>
        <w:top w:val="none" w:sz="0" w:space="0" w:color="auto"/>
        <w:left w:val="none" w:sz="0" w:space="0" w:color="auto"/>
        <w:bottom w:val="none" w:sz="0" w:space="0" w:color="auto"/>
        <w:right w:val="none" w:sz="0" w:space="0" w:color="auto"/>
      </w:divBdr>
    </w:div>
    <w:div w:id="192964129">
      <w:bodyDiv w:val="1"/>
      <w:marLeft w:val="0"/>
      <w:marRight w:val="0"/>
      <w:marTop w:val="0"/>
      <w:marBottom w:val="0"/>
      <w:divBdr>
        <w:top w:val="none" w:sz="0" w:space="0" w:color="auto"/>
        <w:left w:val="none" w:sz="0" w:space="0" w:color="auto"/>
        <w:bottom w:val="none" w:sz="0" w:space="0" w:color="auto"/>
        <w:right w:val="none" w:sz="0" w:space="0" w:color="auto"/>
      </w:divBdr>
    </w:div>
    <w:div w:id="193036187">
      <w:bodyDiv w:val="1"/>
      <w:marLeft w:val="0"/>
      <w:marRight w:val="0"/>
      <w:marTop w:val="0"/>
      <w:marBottom w:val="0"/>
      <w:divBdr>
        <w:top w:val="none" w:sz="0" w:space="0" w:color="auto"/>
        <w:left w:val="none" w:sz="0" w:space="0" w:color="auto"/>
        <w:bottom w:val="none" w:sz="0" w:space="0" w:color="auto"/>
        <w:right w:val="none" w:sz="0" w:space="0" w:color="auto"/>
      </w:divBdr>
    </w:div>
    <w:div w:id="193420865">
      <w:bodyDiv w:val="1"/>
      <w:marLeft w:val="0"/>
      <w:marRight w:val="0"/>
      <w:marTop w:val="0"/>
      <w:marBottom w:val="0"/>
      <w:divBdr>
        <w:top w:val="none" w:sz="0" w:space="0" w:color="auto"/>
        <w:left w:val="none" w:sz="0" w:space="0" w:color="auto"/>
        <w:bottom w:val="none" w:sz="0" w:space="0" w:color="auto"/>
        <w:right w:val="none" w:sz="0" w:space="0" w:color="auto"/>
      </w:divBdr>
    </w:div>
    <w:div w:id="193470894">
      <w:bodyDiv w:val="1"/>
      <w:marLeft w:val="0"/>
      <w:marRight w:val="0"/>
      <w:marTop w:val="0"/>
      <w:marBottom w:val="0"/>
      <w:divBdr>
        <w:top w:val="none" w:sz="0" w:space="0" w:color="auto"/>
        <w:left w:val="none" w:sz="0" w:space="0" w:color="auto"/>
        <w:bottom w:val="none" w:sz="0" w:space="0" w:color="auto"/>
        <w:right w:val="none" w:sz="0" w:space="0" w:color="auto"/>
      </w:divBdr>
    </w:div>
    <w:div w:id="193619552">
      <w:bodyDiv w:val="1"/>
      <w:marLeft w:val="0"/>
      <w:marRight w:val="0"/>
      <w:marTop w:val="0"/>
      <w:marBottom w:val="0"/>
      <w:divBdr>
        <w:top w:val="none" w:sz="0" w:space="0" w:color="auto"/>
        <w:left w:val="none" w:sz="0" w:space="0" w:color="auto"/>
        <w:bottom w:val="none" w:sz="0" w:space="0" w:color="auto"/>
        <w:right w:val="none" w:sz="0" w:space="0" w:color="auto"/>
      </w:divBdr>
    </w:div>
    <w:div w:id="193691124">
      <w:bodyDiv w:val="1"/>
      <w:marLeft w:val="0"/>
      <w:marRight w:val="0"/>
      <w:marTop w:val="0"/>
      <w:marBottom w:val="0"/>
      <w:divBdr>
        <w:top w:val="none" w:sz="0" w:space="0" w:color="auto"/>
        <w:left w:val="none" w:sz="0" w:space="0" w:color="auto"/>
        <w:bottom w:val="none" w:sz="0" w:space="0" w:color="auto"/>
        <w:right w:val="none" w:sz="0" w:space="0" w:color="auto"/>
      </w:divBdr>
    </w:div>
    <w:div w:id="193736632">
      <w:bodyDiv w:val="1"/>
      <w:marLeft w:val="0"/>
      <w:marRight w:val="0"/>
      <w:marTop w:val="0"/>
      <w:marBottom w:val="0"/>
      <w:divBdr>
        <w:top w:val="none" w:sz="0" w:space="0" w:color="auto"/>
        <w:left w:val="none" w:sz="0" w:space="0" w:color="auto"/>
        <w:bottom w:val="none" w:sz="0" w:space="0" w:color="auto"/>
        <w:right w:val="none" w:sz="0" w:space="0" w:color="auto"/>
      </w:divBdr>
    </w:div>
    <w:div w:id="193927641">
      <w:bodyDiv w:val="1"/>
      <w:marLeft w:val="0"/>
      <w:marRight w:val="0"/>
      <w:marTop w:val="0"/>
      <w:marBottom w:val="0"/>
      <w:divBdr>
        <w:top w:val="none" w:sz="0" w:space="0" w:color="auto"/>
        <w:left w:val="none" w:sz="0" w:space="0" w:color="auto"/>
        <w:bottom w:val="none" w:sz="0" w:space="0" w:color="auto"/>
        <w:right w:val="none" w:sz="0" w:space="0" w:color="auto"/>
      </w:divBdr>
    </w:div>
    <w:div w:id="194001306">
      <w:bodyDiv w:val="1"/>
      <w:marLeft w:val="0"/>
      <w:marRight w:val="0"/>
      <w:marTop w:val="0"/>
      <w:marBottom w:val="0"/>
      <w:divBdr>
        <w:top w:val="none" w:sz="0" w:space="0" w:color="auto"/>
        <w:left w:val="none" w:sz="0" w:space="0" w:color="auto"/>
        <w:bottom w:val="none" w:sz="0" w:space="0" w:color="auto"/>
        <w:right w:val="none" w:sz="0" w:space="0" w:color="auto"/>
      </w:divBdr>
    </w:div>
    <w:div w:id="194008153">
      <w:bodyDiv w:val="1"/>
      <w:marLeft w:val="0"/>
      <w:marRight w:val="0"/>
      <w:marTop w:val="0"/>
      <w:marBottom w:val="0"/>
      <w:divBdr>
        <w:top w:val="none" w:sz="0" w:space="0" w:color="auto"/>
        <w:left w:val="none" w:sz="0" w:space="0" w:color="auto"/>
        <w:bottom w:val="none" w:sz="0" w:space="0" w:color="auto"/>
        <w:right w:val="none" w:sz="0" w:space="0" w:color="auto"/>
      </w:divBdr>
    </w:div>
    <w:div w:id="194126396">
      <w:bodyDiv w:val="1"/>
      <w:marLeft w:val="0"/>
      <w:marRight w:val="0"/>
      <w:marTop w:val="0"/>
      <w:marBottom w:val="0"/>
      <w:divBdr>
        <w:top w:val="none" w:sz="0" w:space="0" w:color="auto"/>
        <w:left w:val="none" w:sz="0" w:space="0" w:color="auto"/>
        <w:bottom w:val="none" w:sz="0" w:space="0" w:color="auto"/>
        <w:right w:val="none" w:sz="0" w:space="0" w:color="auto"/>
      </w:divBdr>
    </w:div>
    <w:div w:id="194193799">
      <w:bodyDiv w:val="1"/>
      <w:marLeft w:val="0"/>
      <w:marRight w:val="0"/>
      <w:marTop w:val="0"/>
      <w:marBottom w:val="0"/>
      <w:divBdr>
        <w:top w:val="none" w:sz="0" w:space="0" w:color="auto"/>
        <w:left w:val="none" w:sz="0" w:space="0" w:color="auto"/>
        <w:bottom w:val="none" w:sz="0" w:space="0" w:color="auto"/>
        <w:right w:val="none" w:sz="0" w:space="0" w:color="auto"/>
      </w:divBdr>
    </w:div>
    <w:div w:id="194268773">
      <w:bodyDiv w:val="1"/>
      <w:marLeft w:val="0"/>
      <w:marRight w:val="0"/>
      <w:marTop w:val="0"/>
      <w:marBottom w:val="0"/>
      <w:divBdr>
        <w:top w:val="none" w:sz="0" w:space="0" w:color="auto"/>
        <w:left w:val="none" w:sz="0" w:space="0" w:color="auto"/>
        <w:bottom w:val="none" w:sz="0" w:space="0" w:color="auto"/>
        <w:right w:val="none" w:sz="0" w:space="0" w:color="auto"/>
      </w:divBdr>
    </w:div>
    <w:div w:id="194271940">
      <w:bodyDiv w:val="1"/>
      <w:marLeft w:val="0"/>
      <w:marRight w:val="0"/>
      <w:marTop w:val="0"/>
      <w:marBottom w:val="0"/>
      <w:divBdr>
        <w:top w:val="none" w:sz="0" w:space="0" w:color="auto"/>
        <w:left w:val="none" w:sz="0" w:space="0" w:color="auto"/>
        <w:bottom w:val="none" w:sz="0" w:space="0" w:color="auto"/>
        <w:right w:val="none" w:sz="0" w:space="0" w:color="auto"/>
      </w:divBdr>
    </w:div>
    <w:div w:id="194318070">
      <w:bodyDiv w:val="1"/>
      <w:marLeft w:val="0"/>
      <w:marRight w:val="0"/>
      <w:marTop w:val="0"/>
      <w:marBottom w:val="0"/>
      <w:divBdr>
        <w:top w:val="none" w:sz="0" w:space="0" w:color="auto"/>
        <w:left w:val="none" w:sz="0" w:space="0" w:color="auto"/>
        <w:bottom w:val="none" w:sz="0" w:space="0" w:color="auto"/>
        <w:right w:val="none" w:sz="0" w:space="0" w:color="auto"/>
      </w:divBdr>
    </w:div>
    <w:div w:id="194512339">
      <w:bodyDiv w:val="1"/>
      <w:marLeft w:val="0"/>
      <w:marRight w:val="0"/>
      <w:marTop w:val="0"/>
      <w:marBottom w:val="0"/>
      <w:divBdr>
        <w:top w:val="none" w:sz="0" w:space="0" w:color="auto"/>
        <w:left w:val="none" w:sz="0" w:space="0" w:color="auto"/>
        <w:bottom w:val="none" w:sz="0" w:space="0" w:color="auto"/>
        <w:right w:val="none" w:sz="0" w:space="0" w:color="auto"/>
      </w:divBdr>
    </w:div>
    <w:div w:id="194587318">
      <w:bodyDiv w:val="1"/>
      <w:marLeft w:val="0"/>
      <w:marRight w:val="0"/>
      <w:marTop w:val="0"/>
      <w:marBottom w:val="0"/>
      <w:divBdr>
        <w:top w:val="none" w:sz="0" w:space="0" w:color="auto"/>
        <w:left w:val="none" w:sz="0" w:space="0" w:color="auto"/>
        <w:bottom w:val="none" w:sz="0" w:space="0" w:color="auto"/>
        <w:right w:val="none" w:sz="0" w:space="0" w:color="auto"/>
      </w:divBdr>
    </w:div>
    <w:div w:id="194588603">
      <w:bodyDiv w:val="1"/>
      <w:marLeft w:val="0"/>
      <w:marRight w:val="0"/>
      <w:marTop w:val="0"/>
      <w:marBottom w:val="0"/>
      <w:divBdr>
        <w:top w:val="none" w:sz="0" w:space="0" w:color="auto"/>
        <w:left w:val="none" w:sz="0" w:space="0" w:color="auto"/>
        <w:bottom w:val="none" w:sz="0" w:space="0" w:color="auto"/>
        <w:right w:val="none" w:sz="0" w:space="0" w:color="auto"/>
      </w:divBdr>
    </w:div>
    <w:div w:id="194932482">
      <w:bodyDiv w:val="1"/>
      <w:marLeft w:val="0"/>
      <w:marRight w:val="0"/>
      <w:marTop w:val="0"/>
      <w:marBottom w:val="0"/>
      <w:divBdr>
        <w:top w:val="none" w:sz="0" w:space="0" w:color="auto"/>
        <w:left w:val="none" w:sz="0" w:space="0" w:color="auto"/>
        <w:bottom w:val="none" w:sz="0" w:space="0" w:color="auto"/>
        <w:right w:val="none" w:sz="0" w:space="0" w:color="auto"/>
      </w:divBdr>
    </w:div>
    <w:div w:id="195117800">
      <w:bodyDiv w:val="1"/>
      <w:marLeft w:val="0"/>
      <w:marRight w:val="0"/>
      <w:marTop w:val="0"/>
      <w:marBottom w:val="0"/>
      <w:divBdr>
        <w:top w:val="none" w:sz="0" w:space="0" w:color="auto"/>
        <w:left w:val="none" w:sz="0" w:space="0" w:color="auto"/>
        <w:bottom w:val="none" w:sz="0" w:space="0" w:color="auto"/>
        <w:right w:val="none" w:sz="0" w:space="0" w:color="auto"/>
      </w:divBdr>
    </w:div>
    <w:div w:id="195512509">
      <w:bodyDiv w:val="1"/>
      <w:marLeft w:val="0"/>
      <w:marRight w:val="0"/>
      <w:marTop w:val="0"/>
      <w:marBottom w:val="0"/>
      <w:divBdr>
        <w:top w:val="none" w:sz="0" w:space="0" w:color="auto"/>
        <w:left w:val="none" w:sz="0" w:space="0" w:color="auto"/>
        <w:bottom w:val="none" w:sz="0" w:space="0" w:color="auto"/>
        <w:right w:val="none" w:sz="0" w:space="0" w:color="auto"/>
      </w:divBdr>
    </w:div>
    <w:div w:id="195630162">
      <w:bodyDiv w:val="1"/>
      <w:marLeft w:val="0"/>
      <w:marRight w:val="0"/>
      <w:marTop w:val="0"/>
      <w:marBottom w:val="0"/>
      <w:divBdr>
        <w:top w:val="none" w:sz="0" w:space="0" w:color="auto"/>
        <w:left w:val="none" w:sz="0" w:space="0" w:color="auto"/>
        <w:bottom w:val="none" w:sz="0" w:space="0" w:color="auto"/>
        <w:right w:val="none" w:sz="0" w:space="0" w:color="auto"/>
      </w:divBdr>
    </w:div>
    <w:div w:id="195823725">
      <w:bodyDiv w:val="1"/>
      <w:marLeft w:val="0"/>
      <w:marRight w:val="0"/>
      <w:marTop w:val="0"/>
      <w:marBottom w:val="0"/>
      <w:divBdr>
        <w:top w:val="none" w:sz="0" w:space="0" w:color="auto"/>
        <w:left w:val="none" w:sz="0" w:space="0" w:color="auto"/>
        <w:bottom w:val="none" w:sz="0" w:space="0" w:color="auto"/>
        <w:right w:val="none" w:sz="0" w:space="0" w:color="auto"/>
      </w:divBdr>
    </w:div>
    <w:div w:id="195850065">
      <w:bodyDiv w:val="1"/>
      <w:marLeft w:val="0"/>
      <w:marRight w:val="0"/>
      <w:marTop w:val="0"/>
      <w:marBottom w:val="0"/>
      <w:divBdr>
        <w:top w:val="none" w:sz="0" w:space="0" w:color="auto"/>
        <w:left w:val="none" w:sz="0" w:space="0" w:color="auto"/>
        <w:bottom w:val="none" w:sz="0" w:space="0" w:color="auto"/>
        <w:right w:val="none" w:sz="0" w:space="0" w:color="auto"/>
      </w:divBdr>
    </w:div>
    <w:div w:id="195896288">
      <w:bodyDiv w:val="1"/>
      <w:marLeft w:val="0"/>
      <w:marRight w:val="0"/>
      <w:marTop w:val="0"/>
      <w:marBottom w:val="0"/>
      <w:divBdr>
        <w:top w:val="none" w:sz="0" w:space="0" w:color="auto"/>
        <w:left w:val="none" w:sz="0" w:space="0" w:color="auto"/>
        <w:bottom w:val="none" w:sz="0" w:space="0" w:color="auto"/>
        <w:right w:val="none" w:sz="0" w:space="0" w:color="auto"/>
      </w:divBdr>
    </w:div>
    <w:div w:id="196235604">
      <w:bodyDiv w:val="1"/>
      <w:marLeft w:val="0"/>
      <w:marRight w:val="0"/>
      <w:marTop w:val="0"/>
      <w:marBottom w:val="0"/>
      <w:divBdr>
        <w:top w:val="none" w:sz="0" w:space="0" w:color="auto"/>
        <w:left w:val="none" w:sz="0" w:space="0" w:color="auto"/>
        <w:bottom w:val="none" w:sz="0" w:space="0" w:color="auto"/>
        <w:right w:val="none" w:sz="0" w:space="0" w:color="auto"/>
      </w:divBdr>
    </w:div>
    <w:div w:id="196238626">
      <w:bodyDiv w:val="1"/>
      <w:marLeft w:val="0"/>
      <w:marRight w:val="0"/>
      <w:marTop w:val="0"/>
      <w:marBottom w:val="0"/>
      <w:divBdr>
        <w:top w:val="none" w:sz="0" w:space="0" w:color="auto"/>
        <w:left w:val="none" w:sz="0" w:space="0" w:color="auto"/>
        <w:bottom w:val="none" w:sz="0" w:space="0" w:color="auto"/>
        <w:right w:val="none" w:sz="0" w:space="0" w:color="auto"/>
      </w:divBdr>
    </w:div>
    <w:div w:id="196352133">
      <w:bodyDiv w:val="1"/>
      <w:marLeft w:val="0"/>
      <w:marRight w:val="0"/>
      <w:marTop w:val="0"/>
      <w:marBottom w:val="0"/>
      <w:divBdr>
        <w:top w:val="none" w:sz="0" w:space="0" w:color="auto"/>
        <w:left w:val="none" w:sz="0" w:space="0" w:color="auto"/>
        <w:bottom w:val="none" w:sz="0" w:space="0" w:color="auto"/>
        <w:right w:val="none" w:sz="0" w:space="0" w:color="auto"/>
      </w:divBdr>
    </w:div>
    <w:div w:id="196509435">
      <w:bodyDiv w:val="1"/>
      <w:marLeft w:val="0"/>
      <w:marRight w:val="0"/>
      <w:marTop w:val="0"/>
      <w:marBottom w:val="0"/>
      <w:divBdr>
        <w:top w:val="none" w:sz="0" w:space="0" w:color="auto"/>
        <w:left w:val="none" w:sz="0" w:space="0" w:color="auto"/>
        <w:bottom w:val="none" w:sz="0" w:space="0" w:color="auto"/>
        <w:right w:val="none" w:sz="0" w:space="0" w:color="auto"/>
      </w:divBdr>
    </w:div>
    <w:div w:id="196550561">
      <w:bodyDiv w:val="1"/>
      <w:marLeft w:val="0"/>
      <w:marRight w:val="0"/>
      <w:marTop w:val="0"/>
      <w:marBottom w:val="0"/>
      <w:divBdr>
        <w:top w:val="none" w:sz="0" w:space="0" w:color="auto"/>
        <w:left w:val="none" w:sz="0" w:space="0" w:color="auto"/>
        <w:bottom w:val="none" w:sz="0" w:space="0" w:color="auto"/>
        <w:right w:val="none" w:sz="0" w:space="0" w:color="auto"/>
      </w:divBdr>
    </w:div>
    <w:div w:id="196699909">
      <w:bodyDiv w:val="1"/>
      <w:marLeft w:val="0"/>
      <w:marRight w:val="0"/>
      <w:marTop w:val="0"/>
      <w:marBottom w:val="0"/>
      <w:divBdr>
        <w:top w:val="none" w:sz="0" w:space="0" w:color="auto"/>
        <w:left w:val="none" w:sz="0" w:space="0" w:color="auto"/>
        <w:bottom w:val="none" w:sz="0" w:space="0" w:color="auto"/>
        <w:right w:val="none" w:sz="0" w:space="0" w:color="auto"/>
      </w:divBdr>
    </w:div>
    <w:div w:id="196700098">
      <w:bodyDiv w:val="1"/>
      <w:marLeft w:val="0"/>
      <w:marRight w:val="0"/>
      <w:marTop w:val="0"/>
      <w:marBottom w:val="0"/>
      <w:divBdr>
        <w:top w:val="none" w:sz="0" w:space="0" w:color="auto"/>
        <w:left w:val="none" w:sz="0" w:space="0" w:color="auto"/>
        <w:bottom w:val="none" w:sz="0" w:space="0" w:color="auto"/>
        <w:right w:val="none" w:sz="0" w:space="0" w:color="auto"/>
      </w:divBdr>
    </w:div>
    <w:div w:id="196817821">
      <w:bodyDiv w:val="1"/>
      <w:marLeft w:val="0"/>
      <w:marRight w:val="0"/>
      <w:marTop w:val="0"/>
      <w:marBottom w:val="0"/>
      <w:divBdr>
        <w:top w:val="none" w:sz="0" w:space="0" w:color="auto"/>
        <w:left w:val="none" w:sz="0" w:space="0" w:color="auto"/>
        <w:bottom w:val="none" w:sz="0" w:space="0" w:color="auto"/>
        <w:right w:val="none" w:sz="0" w:space="0" w:color="auto"/>
      </w:divBdr>
    </w:div>
    <w:div w:id="196937193">
      <w:bodyDiv w:val="1"/>
      <w:marLeft w:val="0"/>
      <w:marRight w:val="0"/>
      <w:marTop w:val="0"/>
      <w:marBottom w:val="0"/>
      <w:divBdr>
        <w:top w:val="none" w:sz="0" w:space="0" w:color="auto"/>
        <w:left w:val="none" w:sz="0" w:space="0" w:color="auto"/>
        <w:bottom w:val="none" w:sz="0" w:space="0" w:color="auto"/>
        <w:right w:val="none" w:sz="0" w:space="0" w:color="auto"/>
      </w:divBdr>
    </w:div>
    <w:div w:id="197010208">
      <w:bodyDiv w:val="1"/>
      <w:marLeft w:val="0"/>
      <w:marRight w:val="0"/>
      <w:marTop w:val="0"/>
      <w:marBottom w:val="0"/>
      <w:divBdr>
        <w:top w:val="none" w:sz="0" w:space="0" w:color="auto"/>
        <w:left w:val="none" w:sz="0" w:space="0" w:color="auto"/>
        <w:bottom w:val="none" w:sz="0" w:space="0" w:color="auto"/>
        <w:right w:val="none" w:sz="0" w:space="0" w:color="auto"/>
      </w:divBdr>
    </w:div>
    <w:div w:id="197402350">
      <w:bodyDiv w:val="1"/>
      <w:marLeft w:val="0"/>
      <w:marRight w:val="0"/>
      <w:marTop w:val="0"/>
      <w:marBottom w:val="0"/>
      <w:divBdr>
        <w:top w:val="none" w:sz="0" w:space="0" w:color="auto"/>
        <w:left w:val="none" w:sz="0" w:space="0" w:color="auto"/>
        <w:bottom w:val="none" w:sz="0" w:space="0" w:color="auto"/>
        <w:right w:val="none" w:sz="0" w:space="0" w:color="auto"/>
      </w:divBdr>
    </w:div>
    <w:div w:id="197552027">
      <w:bodyDiv w:val="1"/>
      <w:marLeft w:val="0"/>
      <w:marRight w:val="0"/>
      <w:marTop w:val="0"/>
      <w:marBottom w:val="0"/>
      <w:divBdr>
        <w:top w:val="none" w:sz="0" w:space="0" w:color="auto"/>
        <w:left w:val="none" w:sz="0" w:space="0" w:color="auto"/>
        <w:bottom w:val="none" w:sz="0" w:space="0" w:color="auto"/>
        <w:right w:val="none" w:sz="0" w:space="0" w:color="auto"/>
      </w:divBdr>
    </w:div>
    <w:div w:id="197553812">
      <w:bodyDiv w:val="1"/>
      <w:marLeft w:val="0"/>
      <w:marRight w:val="0"/>
      <w:marTop w:val="0"/>
      <w:marBottom w:val="0"/>
      <w:divBdr>
        <w:top w:val="none" w:sz="0" w:space="0" w:color="auto"/>
        <w:left w:val="none" w:sz="0" w:space="0" w:color="auto"/>
        <w:bottom w:val="none" w:sz="0" w:space="0" w:color="auto"/>
        <w:right w:val="none" w:sz="0" w:space="0" w:color="auto"/>
      </w:divBdr>
    </w:div>
    <w:div w:id="197743856">
      <w:bodyDiv w:val="1"/>
      <w:marLeft w:val="0"/>
      <w:marRight w:val="0"/>
      <w:marTop w:val="0"/>
      <w:marBottom w:val="0"/>
      <w:divBdr>
        <w:top w:val="none" w:sz="0" w:space="0" w:color="auto"/>
        <w:left w:val="none" w:sz="0" w:space="0" w:color="auto"/>
        <w:bottom w:val="none" w:sz="0" w:space="0" w:color="auto"/>
        <w:right w:val="none" w:sz="0" w:space="0" w:color="auto"/>
      </w:divBdr>
    </w:div>
    <w:div w:id="198251387">
      <w:bodyDiv w:val="1"/>
      <w:marLeft w:val="0"/>
      <w:marRight w:val="0"/>
      <w:marTop w:val="0"/>
      <w:marBottom w:val="0"/>
      <w:divBdr>
        <w:top w:val="none" w:sz="0" w:space="0" w:color="auto"/>
        <w:left w:val="none" w:sz="0" w:space="0" w:color="auto"/>
        <w:bottom w:val="none" w:sz="0" w:space="0" w:color="auto"/>
        <w:right w:val="none" w:sz="0" w:space="0" w:color="auto"/>
      </w:divBdr>
    </w:div>
    <w:div w:id="198320793">
      <w:bodyDiv w:val="1"/>
      <w:marLeft w:val="0"/>
      <w:marRight w:val="0"/>
      <w:marTop w:val="0"/>
      <w:marBottom w:val="0"/>
      <w:divBdr>
        <w:top w:val="none" w:sz="0" w:space="0" w:color="auto"/>
        <w:left w:val="none" w:sz="0" w:space="0" w:color="auto"/>
        <w:bottom w:val="none" w:sz="0" w:space="0" w:color="auto"/>
        <w:right w:val="none" w:sz="0" w:space="0" w:color="auto"/>
      </w:divBdr>
    </w:div>
    <w:div w:id="198402149">
      <w:bodyDiv w:val="1"/>
      <w:marLeft w:val="0"/>
      <w:marRight w:val="0"/>
      <w:marTop w:val="0"/>
      <w:marBottom w:val="0"/>
      <w:divBdr>
        <w:top w:val="none" w:sz="0" w:space="0" w:color="auto"/>
        <w:left w:val="none" w:sz="0" w:space="0" w:color="auto"/>
        <w:bottom w:val="none" w:sz="0" w:space="0" w:color="auto"/>
        <w:right w:val="none" w:sz="0" w:space="0" w:color="auto"/>
      </w:divBdr>
    </w:div>
    <w:div w:id="198519708">
      <w:bodyDiv w:val="1"/>
      <w:marLeft w:val="0"/>
      <w:marRight w:val="0"/>
      <w:marTop w:val="0"/>
      <w:marBottom w:val="0"/>
      <w:divBdr>
        <w:top w:val="none" w:sz="0" w:space="0" w:color="auto"/>
        <w:left w:val="none" w:sz="0" w:space="0" w:color="auto"/>
        <w:bottom w:val="none" w:sz="0" w:space="0" w:color="auto"/>
        <w:right w:val="none" w:sz="0" w:space="0" w:color="auto"/>
      </w:divBdr>
    </w:div>
    <w:div w:id="198520580">
      <w:bodyDiv w:val="1"/>
      <w:marLeft w:val="0"/>
      <w:marRight w:val="0"/>
      <w:marTop w:val="0"/>
      <w:marBottom w:val="0"/>
      <w:divBdr>
        <w:top w:val="none" w:sz="0" w:space="0" w:color="auto"/>
        <w:left w:val="none" w:sz="0" w:space="0" w:color="auto"/>
        <w:bottom w:val="none" w:sz="0" w:space="0" w:color="auto"/>
        <w:right w:val="none" w:sz="0" w:space="0" w:color="auto"/>
      </w:divBdr>
    </w:div>
    <w:div w:id="199127287">
      <w:bodyDiv w:val="1"/>
      <w:marLeft w:val="0"/>
      <w:marRight w:val="0"/>
      <w:marTop w:val="0"/>
      <w:marBottom w:val="0"/>
      <w:divBdr>
        <w:top w:val="none" w:sz="0" w:space="0" w:color="auto"/>
        <w:left w:val="none" w:sz="0" w:space="0" w:color="auto"/>
        <w:bottom w:val="none" w:sz="0" w:space="0" w:color="auto"/>
        <w:right w:val="none" w:sz="0" w:space="0" w:color="auto"/>
      </w:divBdr>
    </w:div>
    <w:div w:id="199129003">
      <w:bodyDiv w:val="1"/>
      <w:marLeft w:val="0"/>
      <w:marRight w:val="0"/>
      <w:marTop w:val="0"/>
      <w:marBottom w:val="0"/>
      <w:divBdr>
        <w:top w:val="none" w:sz="0" w:space="0" w:color="auto"/>
        <w:left w:val="none" w:sz="0" w:space="0" w:color="auto"/>
        <w:bottom w:val="none" w:sz="0" w:space="0" w:color="auto"/>
        <w:right w:val="none" w:sz="0" w:space="0" w:color="auto"/>
      </w:divBdr>
    </w:div>
    <w:div w:id="199325195">
      <w:bodyDiv w:val="1"/>
      <w:marLeft w:val="0"/>
      <w:marRight w:val="0"/>
      <w:marTop w:val="0"/>
      <w:marBottom w:val="0"/>
      <w:divBdr>
        <w:top w:val="none" w:sz="0" w:space="0" w:color="auto"/>
        <w:left w:val="none" w:sz="0" w:space="0" w:color="auto"/>
        <w:bottom w:val="none" w:sz="0" w:space="0" w:color="auto"/>
        <w:right w:val="none" w:sz="0" w:space="0" w:color="auto"/>
      </w:divBdr>
    </w:div>
    <w:div w:id="199588059">
      <w:bodyDiv w:val="1"/>
      <w:marLeft w:val="0"/>
      <w:marRight w:val="0"/>
      <w:marTop w:val="0"/>
      <w:marBottom w:val="0"/>
      <w:divBdr>
        <w:top w:val="none" w:sz="0" w:space="0" w:color="auto"/>
        <w:left w:val="none" w:sz="0" w:space="0" w:color="auto"/>
        <w:bottom w:val="none" w:sz="0" w:space="0" w:color="auto"/>
        <w:right w:val="none" w:sz="0" w:space="0" w:color="auto"/>
      </w:divBdr>
    </w:div>
    <w:div w:id="199705500">
      <w:bodyDiv w:val="1"/>
      <w:marLeft w:val="0"/>
      <w:marRight w:val="0"/>
      <w:marTop w:val="0"/>
      <w:marBottom w:val="0"/>
      <w:divBdr>
        <w:top w:val="none" w:sz="0" w:space="0" w:color="auto"/>
        <w:left w:val="none" w:sz="0" w:space="0" w:color="auto"/>
        <w:bottom w:val="none" w:sz="0" w:space="0" w:color="auto"/>
        <w:right w:val="none" w:sz="0" w:space="0" w:color="auto"/>
      </w:divBdr>
    </w:div>
    <w:div w:id="199706524">
      <w:bodyDiv w:val="1"/>
      <w:marLeft w:val="0"/>
      <w:marRight w:val="0"/>
      <w:marTop w:val="0"/>
      <w:marBottom w:val="0"/>
      <w:divBdr>
        <w:top w:val="none" w:sz="0" w:space="0" w:color="auto"/>
        <w:left w:val="none" w:sz="0" w:space="0" w:color="auto"/>
        <w:bottom w:val="none" w:sz="0" w:space="0" w:color="auto"/>
        <w:right w:val="none" w:sz="0" w:space="0" w:color="auto"/>
      </w:divBdr>
    </w:div>
    <w:div w:id="199822180">
      <w:bodyDiv w:val="1"/>
      <w:marLeft w:val="0"/>
      <w:marRight w:val="0"/>
      <w:marTop w:val="0"/>
      <w:marBottom w:val="0"/>
      <w:divBdr>
        <w:top w:val="none" w:sz="0" w:space="0" w:color="auto"/>
        <w:left w:val="none" w:sz="0" w:space="0" w:color="auto"/>
        <w:bottom w:val="none" w:sz="0" w:space="0" w:color="auto"/>
        <w:right w:val="none" w:sz="0" w:space="0" w:color="auto"/>
      </w:divBdr>
    </w:div>
    <w:div w:id="199973219">
      <w:bodyDiv w:val="1"/>
      <w:marLeft w:val="0"/>
      <w:marRight w:val="0"/>
      <w:marTop w:val="0"/>
      <w:marBottom w:val="0"/>
      <w:divBdr>
        <w:top w:val="none" w:sz="0" w:space="0" w:color="auto"/>
        <w:left w:val="none" w:sz="0" w:space="0" w:color="auto"/>
        <w:bottom w:val="none" w:sz="0" w:space="0" w:color="auto"/>
        <w:right w:val="none" w:sz="0" w:space="0" w:color="auto"/>
      </w:divBdr>
    </w:div>
    <w:div w:id="200217765">
      <w:bodyDiv w:val="1"/>
      <w:marLeft w:val="0"/>
      <w:marRight w:val="0"/>
      <w:marTop w:val="0"/>
      <w:marBottom w:val="0"/>
      <w:divBdr>
        <w:top w:val="none" w:sz="0" w:space="0" w:color="auto"/>
        <w:left w:val="none" w:sz="0" w:space="0" w:color="auto"/>
        <w:bottom w:val="none" w:sz="0" w:space="0" w:color="auto"/>
        <w:right w:val="none" w:sz="0" w:space="0" w:color="auto"/>
      </w:divBdr>
    </w:div>
    <w:div w:id="200241611">
      <w:bodyDiv w:val="1"/>
      <w:marLeft w:val="0"/>
      <w:marRight w:val="0"/>
      <w:marTop w:val="0"/>
      <w:marBottom w:val="0"/>
      <w:divBdr>
        <w:top w:val="none" w:sz="0" w:space="0" w:color="auto"/>
        <w:left w:val="none" w:sz="0" w:space="0" w:color="auto"/>
        <w:bottom w:val="none" w:sz="0" w:space="0" w:color="auto"/>
        <w:right w:val="none" w:sz="0" w:space="0" w:color="auto"/>
      </w:divBdr>
    </w:div>
    <w:div w:id="200633121">
      <w:bodyDiv w:val="1"/>
      <w:marLeft w:val="0"/>
      <w:marRight w:val="0"/>
      <w:marTop w:val="0"/>
      <w:marBottom w:val="0"/>
      <w:divBdr>
        <w:top w:val="none" w:sz="0" w:space="0" w:color="auto"/>
        <w:left w:val="none" w:sz="0" w:space="0" w:color="auto"/>
        <w:bottom w:val="none" w:sz="0" w:space="0" w:color="auto"/>
        <w:right w:val="none" w:sz="0" w:space="0" w:color="auto"/>
      </w:divBdr>
    </w:div>
    <w:div w:id="200748911">
      <w:bodyDiv w:val="1"/>
      <w:marLeft w:val="0"/>
      <w:marRight w:val="0"/>
      <w:marTop w:val="0"/>
      <w:marBottom w:val="0"/>
      <w:divBdr>
        <w:top w:val="none" w:sz="0" w:space="0" w:color="auto"/>
        <w:left w:val="none" w:sz="0" w:space="0" w:color="auto"/>
        <w:bottom w:val="none" w:sz="0" w:space="0" w:color="auto"/>
        <w:right w:val="none" w:sz="0" w:space="0" w:color="auto"/>
      </w:divBdr>
    </w:div>
    <w:div w:id="201065501">
      <w:bodyDiv w:val="1"/>
      <w:marLeft w:val="0"/>
      <w:marRight w:val="0"/>
      <w:marTop w:val="0"/>
      <w:marBottom w:val="0"/>
      <w:divBdr>
        <w:top w:val="none" w:sz="0" w:space="0" w:color="auto"/>
        <w:left w:val="none" w:sz="0" w:space="0" w:color="auto"/>
        <w:bottom w:val="none" w:sz="0" w:space="0" w:color="auto"/>
        <w:right w:val="none" w:sz="0" w:space="0" w:color="auto"/>
      </w:divBdr>
    </w:div>
    <w:div w:id="201331738">
      <w:bodyDiv w:val="1"/>
      <w:marLeft w:val="0"/>
      <w:marRight w:val="0"/>
      <w:marTop w:val="0"/>
      <w:marBottom w:val="0"/>
      <w:divBdr>
        <w:top w:val="none" w:sz="0" w:space="0" w:color="auto"/>
        <w:left w:val="none" w:sz="0" w:space="0" w:color="auto"/>
        <w:bottom w:val="none" w:sz="0" w:space="0" w:color="auto"/>
        <w:right w:val="none" w:sz="0" w:space="0" w:color="auto"/>
      </w:divBdr>
    </w:div>
    <w:div w:id="201478365">
      <w:bodyDiv w:val="1"/>
      <w:marLeft w:val="0"/>
      <w:marRight w:val="0"/>
      <w:marTop w:val="0"/>
      <w:marBottom w:val="0"/>
      <w:divBdr>
        <w:top w:val="none" w:sz="0" w:space="0" w:color="auto"/>
        <w:left w:val="none" w:sz="0" w:space="0" w:color="auto"/>
        <w:bottom w:val="none" w:sz="0" w:space="0" w:color="auto"/>
        <w:right w:val="none" w:sz="0" w:space="0" w:color="auto"/>
      </w:divBdr>
    </w:div>
    <w:div w:id="201527304">
      <w:bodyDiv w:val="1"/>
      <w:marLeft w:val="0"/>
      <w:marRight w:val="0"/>
      <w:marTop w:val="0"/>
      <w:marBottom w:val="0"/>
      <w:divBdr>
        <w:top w:val="none" w:sz="0" w:space="0" w:color="auto"/>
        <w:left w:val="none" w:sz="0" w:space="0" w:color="auto"/>
        <w:bottom w:val="none" w:sz="0" w:space="0" w:color="auto"/>
        <w:right w:val="none" w:sz="0" w:space="0" w:color="auto"/>
      </w:divBdr>
    </w:div>
    <w:div w:id="201603278">
      <w:bodyDiv w:val="1"/>
      <w:marLeft w:val="0"/>
      <w:marRight w:val="0"/>
      <w:marTop w:val="0"/>
      <w:marBottom w:val="0"/>
      <w:divBdr>
        <w:top w:val="none" w:sz="0" w:space="0" w:color="auto"/>
        <w:left w:val="none" w:sz="0" w:space="0" w:color="auto"/>
        <w:bottom w:val="none" w:sz="0" w:space="0" w:color="auto"/>
        <w:right w:val="none" w:sz="0" w:space="0" w:color="auto"/>
      </w:divBdr>
    </w:div>
    <w:div w:id="201747445">
      <w:bodyDiv w:val="1"/>
      <w:marLeft w:val="0"/>
      <w:marRight w:val="0"/>
      <w:marTop w:val="0"/>
      <w:marBottom w:val="0"/>
      <w:divBdr>
        <w:top w:val="none" w:sz="0" w:space="0" w:color="auto"/>
        <w:left w:val="none" w:sz="0" w:space="0" w:color="auto"/>
        <w:bottom w:val="none" w:sz="0" w:space="0" w:color="auto"/>
        <w:right w:val="none" w:sz="0" w:space="0" w:color="auto"/>
      </w:divBdr>
    </w:div>
    <w:div w:id="201747607">
      <w:bodyDiv w:val="1"/>
      <w:marLeft w:val="0"/>
      <w:marRight w:val="0"/>
      <w:marTop w:val="0"/>
      <w:marBottom w:val="0"/>
      <w:divBdr>
        <w:top w:val="none" w:sz="0" w:space="0" w:color="auto"/>
        <w:left w:val="none" w:sz="0" w:space="0" w:color="auto"/>
        <w:bottom w:val="none" w:sz="0" w:space="0" w:color="auto"/>
        <w:right w:val="none" w:sz="0" w:space="0" w:color="auto"/>
      </w:divBdr>
    </w:div>
    <w:div w:id="201747682">
      <w:bodyDiv w:val="1"/>
      <w:marLeft w:val="0"/>
      <w:marRight w:val="0"/>
      <w:marTop w:val="0"/>
      <w:marBottom w:val="0"/>
      <w:divBdr>
        <w:top w:val="none" w:sz="0" w:space="0" w:color="auto"/>
        <w:left w:val="none" w:sz="0" w:space="0" w:color="auto"/>
        <w:bottom w:val="none" w:sz="0" w:space="0" w:color="auto"/>
        <w:right w:val="none" w:sz="0" w:space="0" w:color="auto"/>
      </w:divBdr>
    </w:div>
    <w:div w:id="201750624">
      <w:bodyDiv w:val="1"/>
      <w:marLeft w:val="0"/>
      <w:marRight w:val="0"/>
      <w:marTop w:val="0"/>
      <w:marBottom w:val="0"/>
      <w:divBdr>
        <w:top w:val="none" w:sz="0" w:space="0" w:color="auto"/>
        <w:left w:val="none" w:sz="0" w:space="0" w:color="auto"/>
        <w:bottom w:val="none" w:sz="0" w:space="0" w:color="auto"/>
        <w:right w:val="none" w:sz="0" w:space="0" w:color="auto"/>
      </w:divBdr>
    </w:div>
    <w:div w:id="201943754">
      <w:bodyDiv w:val="1"/>
      <w:marLeft w:val="0"/>
      <w:marRight w:val="0"/>
      <w:marTop w:val="0"/>
      <w:marBottom w:val="0"/>
      <w:divBdr>
        <w:top w:val="none" w:sz="0" w:space="0" w:color="auto"/>
        <w:left w:val="none" w:sz="0" w:space="0" w:color="auto"/>
        <w:bottom w:val="none" w:sz="0" w:space="0" w:color="auto"/>
        <w:right w:val="none" w:sz="0" w:space="0" w:color="auto"/>
      </w:divBdr>
    </w:div>
    <w:div w:id="202330652">
      <w:bodyDiv w:val="1"/>
      <w:marLeft w:val="0"/>
      <w:marRight w:val="0"/>
      <w:marTop w:val="0"/>
      <w:marBottom w:val="0"/>
      <w:divBdr>
        <w:top w:val="none" w:sz="0" w:space="0" w:color="auto"/>
        <w:left w:val="none" w:sz="0" w:space="0" w:color="auto"/>
        <w:bottom w:val="none" w:sz="0" w:space="0" w:color="auto"/>
        <w:right w:val="none" w:sz="0" w:space="0" w:color="auto"/>
      </w:divBdr>
    </w:div>
    <w:div w:id="202401773">
      <w:bodyDiv w:val="1"/>
      <w:marLeft w:val="0"/>
      <w:marRight w:val="0"/>
      <w:marTop w:val="0"/>
      <w:marBottom w:val="0"/>
      <w:divBdr>
        <w:top w:val="none" w:sz="0" w:space="0" w:color="auto"/>
        <w:left w:val="none" w:sz="0" w:space="0" w:color="auto"/>
        <w:bottom w:val="none" w:sz="0" w:space="0" w:color="auto"/>
        <w:right w:val="none" w:sz="0" w:space="0" w:color="auto"/>
      </w:divBdr>
    </w:div>
    <w:div w:id="202405068">
      <w:bodyDiv w:val="1"/>
      <w:marLeft w:val="0"/>
      <w:marRight w:val="0"/>
      <w:marTop w:val="0"/>
      <w:marBottom w:val="0"/>
      <w:divBdr>
        <w:top w:val="none" w:sz="0" w:space="0" w:color="auto"/>
        <w:left w:val="none" w:sz="0" w:space="0" w:color="auto"/>
        <w:bottom w:val="none" w:sz="0" w:space="0" w:color="auto"/>
        <w:right w:val="none" w:sz="0" w:space="0" w:color="auto"/>
      </w:divBdr>
    </w:div>
    <w:div w:id="202518019">
      <w:bodyDiv w:val="1"/>
      <w:marLeft w:val="0"/>
      <w:marRight w:val="0"/>
      <w:marTop w:val="0"/>
      <w:marBottom w:val="0"/>
      <w:divBdr>
        <w:top w:val="none" w:sz="0" w:space="0" w:color="auto"/>
        <w:left w:val="none" w:sz="0" w:space="0" w:color="auto"/>
        <w:bottom w:val="none" w:sz="0" w:space="0" w:color="auto"/>
        <w:right w:val="none" w:sz="0" w:space="0" w:color="auto"/>
      </w:divBdr>
    </w:div>
    <w:div w:id="202715735">
      <w:bodyDiv w:val="1"/>
      <w:marLeft w:val="0"/>
      <w:marRight w:val="0"/>
      <w:marTop w:val="0"/>
      <w:marBottom w:val="0"/>
      <w:divBdr>
        <w:top w:val="none" w:sz="0" w:space="0" w:color="auto"/>
        <w:left w:val="none" w:sz="0" w:space="0" w:color="auto"/>
        <w:bottom w:val="none" w:sz="0" w:space="0" w:color="auto"/>
        <w:right w:val="none" w:sz="0" w:space="0" w:color="auto"/>
      </w:divBdr>
    </w:div>
    <w:div w:id="202716412">
      <w:bodyDiv w:val="1"/>
      <w:marLeft w:val="0"/>
      <w:marRight w:val="0"/>
      <w:marTop w:val="0"/>
      <w:marBottom w:val="0"/>
      <w:divBdr>
        <w:top w:val="none" w:sz="0" w:space="0" w:color="auto"/>
        <w:left w:val="none" w:sz="0" w:space="0" w:color="auto"/>
        <w:bottom w:val="none" w:sz="0" w:space="0" w:color="auto"/>
        <w:right w:val="none" w:sz="0" w:space="0" w:color="auto"/>
      </w:divBdr>
    </w:div>
    <w:div w:id="202717671">
      <w:bodyDiv w:val="1"/>
      <w:marLeft w:val="0"/>
      <w:marRight w:val="0"/>
      <w:marTop w:val="0"/>
      <w:marBottom w:val="0"/>
      <w:divBdr>
        <w:top w:val="none" w:sz="0" w:space="0" w:color="auto"/>
        <w:left w:val="none" w:sz="0" w:space="0" w:color="auto"/>
        <w:bottom w:val="none" w:sz="0" w:space="0" w:color="auto"/>
        <w:right w:val="none" w:sz="0" w:space="0" w:color="auto"/>
      </w:divBdr>
    </w:div>
    <w:div w:id="202987257">
      <w:bodyDiv w:val="1"/>
      <w:marLeft w:val="0"/>
      <w:marRight w:val="0"/>
      <w:marTop w:val="0"/>
      <w:marBottom w:val="0"/>
      <w:divBdr>
        <w:top w:val="none" w:sz="0" w:space="0" w:color="auto"/>
        <w:left w:val="none" w:sz="0" w:space="0" w:color="auto"/>
        <w:bottom w:val="none" w:sz="0" w:space="0" w:color="auto"/>
        <w:right w:val="none" w:sz="0" w:space="0" w:color="auto"/>
      </w:divBdr>
    </w:div>
    <w:div w:id="203563024">
      <w:bodyDiv w:val="1"/>
      <w:marLeft w:val="0"/>
      <w:marRight w:val="0"/>
      <w:marTop w:val="0"/>
      <w:marBottom w:val="0"/>
      <w:divBdr>
        <w:top w:val="none" w:sz="0" w:space="0" w:color="auto"/>
        <w:left w:val="none" w:sz="0" w:space="0" w:color="auto"/>
        <w:bottom w:val="none" w:sz="0" w:space="0" w:color="auto"/>
        <w:right w:val="none" w:sz="0" w:space="0" w:color="auto"/>
      </w:divBdr>
    </w:div>
    <w:div w:id="203717951">
      <w:bodyDiv w:val="1"/>
      <w:marLeft w:val="0"/>
      <w:marRight w:val="0"/>
      <w:marTop w:val="0"/>
      <w:marBottom w:val="0"/>
      <w:divBdr>
        <w:top w:val="none" w:sz="0" w:space="0" w:color="auto"/>
        <w:left w:val="none" w:sz="0" w:space="0" w:color="auto"/>
        <w:bottom w:val="none" w:sz="0" w:space="0" w:color="auto"/>
        <w:right w:val="none" w:sz="0" w:space="0" w:color="auto"/>
      </w:divBdr>
    </w:div>
    <w:div w:id="203906528">
      <w:bodyDiv w:val="1"/>
      <w:marLeft w:val="0"/>
      <w:marRight w:val="0"/>
      <w:marTop w:val="0"/>
      <w:marBottom w:val="0"/>
      <w:divBdr>
        <w:top w:val="none" w:sz="0" w:space="0" w:color="auto"/>
        <w:left w:val="none" w:sz="0" w:space="0" w:color="auto"/>
        <w:bottom w:val="none" w:sz="0" w:space="0" w:color="auto"/>
        <w:right w:val="none" w:sz="0" w:space="0" w:color="auto"/>
      </w:divBdr>
    </w:div>
    <w:div w:id="204024937">
      <w:bodyDiv w:val="1"/>
      <w:marLeft w:val="0"/>
      <w:marRight w:val="0"/>
      <w:marTop w:val="0"/>
      <w:marBottom w:val="0"/>
      <w:divBdr>
        <w:top w:val="none" w:sz="0" w:space="0" w:color="auto"/>
        <w:left w:val="none" w:sz="0" w:space="0" w:color="auto"/>
        <w:bottom w:val="none" w:sz="0" w:space="0" w:color="auto"/>
        <w:right w:val="none" w:sz="0" w:space="0" w:color="auto"/>
      </w:divBdr>
    </w:div>
    <w:div w:id="204105123">
      <w:bodyDiv w:val="1"/>
      <w:marLeft w:val="0"/>
      <w:marRight w:val="0"/>
      <w:marTop w:val="0"/>
      <w:marBottom w:val="0"/>
      <w:divBdr>
        <w:top w:val="none" w:sz="0" w:space="0" w:color="auto"/>
        <w:left w:val="none" w:sz="0" w:space="0" w:color="auto"/>
        <w:bottom w:val="none" w:sz="0" w:space="0" w:color="auto"/>
        <w:right w:val="none" w:sz="0" w:space="0" w:color="auto"/>
      </w:divBdr>
    </w:div>
    <w:div w:id="204412229">
      <w:bodyDiv w:val="1"/>
      <w:marLeft w:val="0"/>
      <w:marRight w:val="0"/>
      <w:marTop w:val="0"/>
      <w:marBottom w:val="0"/>
      <w:divBdr>
        <w:top w:val="none" w:sz="0" w:space="0" w:color="auto"/>
        <w:left w:val="none" w:sz="0" w:space="0" w:color="auto"/>
        <w:bottom w:val="none" w:sz="0" w:space="0" w:color="auto"/>
        <w:right w:val="none" w:sz="0" w:space="0" w:color="auto"/>
      </w:divBdr>
    </w:div>
    <w:div w:id="204560207">
      <w:bodyDiv w:val="1"/>
      <w:marLeft w:val="0"/>
      <w:marRight w:val="0"/>
      <w:marTop w:val="0"/>
      <w:marBottom w:val="0"/>
      <w:divBdr>
        <w:top w:val="none" w:sz="0" w:space="0" w:color="auto"/>
        <w:left w:val="none" w:sz="0" w:space="0" w:color="auto"/>
        <w:bottom w:val="none" w:sz="0" w:space="0" w:color="auto"/>
        <w:right w:val="none" w:sz="0" w:space="0" w:color="auto"/>
      </w:divBdr>
    </w:div>
    <w:div w:id="204566990">
      <w:bodyDiv w:val="1"/>
      <w:marLeft w:val="0"/>
      <w:marRight w:val="0"/>
      <w:marTop w:val="0"/>
      <w:marBottom w:val="0"/>
      <w:divBdr>
        <w:top w:val="none" w:sz="0" w:space="0" w:color="auto"/>
        <w:left w:val="none" w:sz="0" w:space="0" w:color="auto"/>
        <w:bottom w:val="none" w:sz="0" w:space="0" w:color="auto"/>
        <w:right w:val="none" w:sz="0" w:space="0" w:color="auto"/>
      </w:divBdr>
    </w:div>
    <w:div w:id="204754271">
      <w:bodyDiv w:val="1"/>
      <w:marLeft w:val="0"/>
      <w:marRight w:val="0"/>
      <w:marTop w:val="0"/>
      <w:marBottom w:val="0"/>
      <w:divBdr>
        <w:top w:val="none" w:sz="0" w:space="0" w:color="auto"/>
        <w:left w:val="none" w:sz="0" w:space="0" w:color="auto"/>
        <w:bottom w:val="none" w:sz="0" w:space="0" w:color="auto"/>
        <w:right w:val="none" w:sz="0" w:space="0" w:color="auto"/>
      </w:divBdr>
    </w:div>
    <w:div w:id="204829520">
      <w:bodyDiv w:val="1"/>
      <w:marLeft w:val="0"/>
      <w:marRight w:val="0"/>
      <w:marTop w:val="0"/>
      <w:marBottom w:val="0"/>
      <w:divBdr>
        <w:top w:val="none" w:sz="0" w:space="0" w:color="auto"/>
        <w:left w:val="none" w:sz="0" w:space="0" w:color="auto"/>
        <w:bottom w:val="none" w:sz="0" w:space="0" w:color="auto"/>
        <w:right w:val="none" w:sz="0" w:space="0" w:color="auto"/>
      </w:divBdr>
    </w:div>
    <w:div w:id="205144289">
      <w:bodyDiv w:val="1"/>
      <w:marLeft w:val="0"/>
      <w:marRight w:val="0"/>
      <w:marTop w:val="0"/>
      <w:marBottom w:val="0"/>
      <w:divBdr>
        <w:top w:val="none" w:sz="0" w:space="0" w:color="auto"/>
        <w:left w:val="none" w:sz="0" w:space="0" w:color="auto"/>
        <w:bottom w:val="none" w:sz="0" w:space="0" w:color="auto"/>
        <w:right w:val="none" w:sz="0" w:space="0" w:color="auto"/>
      </w:divBdr>
    </w:div>
    <w:div w:id="205266060">
      <w:bodyDiv w:val="1"/>
      <w:marLeft w:val="0"/>
      <w:marRight w:val="0"/>
      <w:marTop w:val="0"/>
      <w:marBottom w:val="0"/>
      <w:divBdr>
        <w:top w:val="none" w:sz="0" w:space="0" w:color="auto"/>
        <w:left w:val="none" w:sz="0" w:space="0" w:color="auto"/>
        <w:bottom w:val="none" w:sz="0" w:space="0" w:color="auto"/>
        <w:right w:val="none" w:sz="0" w:space="0" w:color="auto"/>
      </w:divBdr>
    </w:div>
    <w:div w:id="205602129">
      <w:bodyDiv w:val="1"/>
      <w:marLeft w:val="0"/>
      <w:marRight w:val="0"/>
      <w:marTop w:val="0"/>
      <w:marBottom w:val="0"/>
      <w:divBdr>
        <w:top w:val="none" w:sz="0" w:space="0" w:color="auto"/>
        <w:left w:val="none" w:sz="0" w:space="0" w:color="auto"/>
        <w:bottom w:val="none" w:sz="0" w:space="0" w:color="auto"/>
        <w:right w:val="none" w:sz="0" w:space="0" w:color="auto"/>
      </w:divBdr>
    </w:div>
    <w:div w:id="205682729">
      <w:bodyDiv w:val="1"/>
      <w:marLeft w:val="0"/>
      <w:marRight w:val="0"/>
      <w:marTop w:val="0"/>
      <w:marBottom w:val="0"/>
      <w:divBdr>
        <w:top w:val="none" w:sz="0" w:space="0" w:color="auto"/>
        <w:left w:val="none" w:sz="0" w:space="0" w:color="auto"/>
        <w:bottom w:val="none" w:sz="0" w:space="0" w:color="auto"/>
        <w:right w:val="none" w:sz="0" w:space="0" w:color="auto"/>
      </w:divBdr>
    </w:div>
    <w:div w:id="205719652">
      <w:bodyDiv w:val="1"/>
      <w:marLeft w:val="0"/>
      <w:marRight w:val="0"/>
      <w:marTop w:val="0"/>
      <w:marBottom w:val="0"/>
      <w:divBdr>
        <w:top w:val="none" w:sz="0" w:space="0" w:color="auto"/>
        <w:left w:val="none" w:sz="0" w:space="0" w:color="auto"/>
        <w:bottom w:val="none" w:sz="0" w:space="0" w:color="auto"/>
        <w:right w:val="none" w:sz="0" w:space="0" w:color="auto"/>
      </w:divBdr>
    </w:div>
    <w:div w:id="205870261">
      <w:bodyDiv w:val="1"/>
      <w:marLeft w:val="0"/>
      <w:marRight w:val="0"/>
      <w:marTop w:val="0"/>
      <w:marBottom w:val="0"/>
      <w:divBdr>
        <w:top w:val="none" w:sz="0" w:space="0" w:color="auto"/>
        <w:left w:val="none" w:sz="0" w:space="0" w:color="auto"/>
        <w:bottom w:val="none" w:sz="0" w:space="0" w:color="auto"/>
        <w:right w:val="none" w:sz="0" w:space="0" w:color="auto"/>
      </w:divBdr>
    </w:div>
    <w:div w:id="205871931">
      <w:bodyDiv w:val="1"/>
      <w:marLeft w:val="0"/>
      <w:marRight w:val="0"/>
      <w:marTop w:val="0"/>
      <w:marBottom w:val="0"/>
      <w:divBdr>
        <w:top w:val="none" w:sz="0" w:space="0" w:color="auto"/>
        <w:left w:val="none" w:sz="0" w:space="0" w:color="auto"/>
        <w:bottom w:val="none" w:sz="0" w:space="0" w:color="auto"/>
        <w:right w:val="none" w:sz="0" w:space="0" w:color="auto"/>
      </w:divBdr>
    </w:div>
    <w:div w:id="205920825">
      <w:bodyDiv w:val="1"/>
      <w:marLeft w:val="0"/>
      <w:marRight w:val="0"/>
      <w:marTop w:val="0"/>
      <w:marBottom w:val="0"/>
      <w:divBdr>
        <w:top w:val="none" w:sz="0" w:space="0" w:color="auto"/>
        <w:left w:val="none" w:sz="0" w:space="0" w:color="auto"/>
        <w:bottom w:val="none" w:sz="0" w:space="0" w:color="auto"/>
        <w:right w:val="none" w:sz="0" w:space="0" w:color="auto"/>
      </w:divBdr>
    </w:div>
    <w:div w:id="206183474">
      <w:bodyDiv w:val="1"/>
      <w:marLeft w:val="0"/>
      <w:marRight w:val="0"/>
      <w:marTop w:val="0"/>
      <w:marBottom w:val="0"/>
      <w:divBdr>
        <w:top w:val="none" w:sz="0" w:space="0" w:color="auto"/>
        <w:left w:val="none" w:sz="0" w:space="0" w:color="auto"/>
        <w:bottom w:val="none" w:sz="0" w:space="0" w:color="auto"/>
        <w:right w:val="none" w:sz="0" w:space="0" w:color="auto"/>
      </w:divBdr>
    </w:div>
    <w:div w:id="206188217">
      <w:bodyDiv w:val="1"/>
      <w:marLeft w:val="0"/>
      <w:marRight w:val="0"/>
      <w:marTop w:val="0"/>
      <w:marBottom w:val="0"/>
      <w:divBdr>
        <w:top w:val="none" w:sz="0" w:space="0" w:color="auto"/>
        <w:left w:val="none" w:sz="0" w:space="0" w:color="auto"/>
        <w:bottom w:val="none" w:sz="0" w:space="0" w:color="auto"/>
        <w:right w:val="none" w:sz="0" w:space="0" w:color="auto"/>
      </w:divBdr>
    </w:div>
    <w:div w:id="206533987">
      <w:bodyDiv w:val="1"/>
      <w:marLeft w:val="0"/>
      <w:marRight w:val="0"/>
      <w:marTop w:val="0"/>
      <w:marBottom w:val="0"/>
      <w:divBdr>
        <w:top w:val="none" w:sz="0" w:space="0" w:color="auto"/>
        <w:left w:val="none" w:sz="0" w:space="0" w:color="auto"/>
        <w:bottom w:val="none" w:sz="0" w:space="0" w:color="auto"/>
        <w:right w:val="none" w:sz="0" w:space="0" w:color="auto"/>
      </w:divBdr>
    </w:div>
    <w:div w:id="206652516">
      <w:bodyDiv w:val="1"/>
      <w:marLeft w:val="0"/>
      <w:marRight w:val="0"/>
      <w:marTop w:val="0"/>
      <w:marBottom w:val="0"/>
      <w:divBdr>
        <w:top w:val="none" w:sz="0" w:space="0" w:color="auto"/>
        <w:left w:val="none" w:sz="0" w:space="0" w:color="auto"/>
        <w:bottom w:val="none" w:sz="0" w:space="0" w:color="auto"/>
        <w:right w:val="none" w:sz="0" w:space="0" w:color="auto"/>
      </w:divBdr>
    </w:div>
    <w:div w:id="206725357">
      <w:bodyDiv w:val="1"/>
      <w:marLeft w:val="0"/>
      <w:marRight w:val="0"/>
      <w:marTop w:val="0"/>
      <w:marBottom w:val="0"/>
      <w:divBdr>
        <w:top w:val="none" w:sz="0" w:space="0" w:color="auto"/>
        <w:left w:val="none" w:sz="0" w:space="0" w:color="auto"/>
        <w:bottom w:val="none" w:sz="0" w:space="0" w:color="auto"/>
        <w:right w:val="none" w:sz="0" w:space="0" w:color="auto"/>
      </w:divBdr>
    </w:div>
    <w:div w:id="206793565">
      <w:bodyDiv w:val="1"/>
      <w:marLeft w:val="0"/>
      <w:marRight w:val="0"/>
      <w:marTop w:val="0"/>
      <w:marBottom w:val="0"/>
      <w:divBdr>
        <w:top w:val="none" w:sz="0" w:space="0" w:color="auto"/>
        <w:left w:val="none" w:sz="0" w:space="0" w:color="auto"/>
        <w:bottom w:val="none" w:sz="0" w:space="0" w:color="auto"/>
        <w:right w:val="none" w:sz="0" w:space="0" w:color="auto"/>
      </w:divBdr>
    </w:div>
    <w:div w:id="206840895">
      <w:bodyDiv w:val="1"/>
      <w:marLeft w:val="0"/>
      <w:marRight w:val="0"/>
      <w:marTop w:val="0"/>
      <w:marBottom w:val="0"/>
      <w:divBdr>
        <w:top w:val="none" w:sz="0" w:space="0" w:color="auto"/>
        <w:left w:val="none" w:sz="0" w:space="0" w:color="auto"/>
        <w:bottom w:val="none" w:sz="0" w:space="0" w:color="auto"/>
        <w:right w:val="none" w:sz="0" w:space="0" w:color="auto"/>
      </w:divBdr>
    </w:div>
    <w:div w:id="206916565">
      <w:bodyDiv w:val="1"/>
      <w:marLeft w:val="0"/>
      <w:marRight w:val="0"/>
      <w:marTop w:val="0"/>
      <w:marBottom w:val="0"/>
      <w:divBdr>
        <w:top w:val="none" w:sz="0" w:space="0" w:color="auto"/>
        <w:left w:val="none" w:sz="0" w:space="0" w:color="auto"/>
        <w:bottom w:val="none" w:sz="0" w:space="0" w:color="auto"/>
        <w:right w:val="none" w:sz="0" w:space="0" w:color="auto"/>
      </w:divBdr>
    </w:div>
    <w:div w:id="206988227">
      <w:bodyDiv w:val="1"/>
      <w:marLeft w:val="0"/>
      <w:marRight w:val="0"/>
      <w:marTop w:val="0"/>
      <w:marBottom w:val="0"/>
      <w:divBdr>
        <w:top w:val="none" w:sz="0" w:space="0" w:color="auto"/>
        <w:left w:val="none" w:sz="0" w:space="0" w:color="auto"/>
        <w:bottom w:val="none" w:sz="0" w:space="0" w:color="auto"/>
        <w:right w:val="none" w:sz="0" w:space="0" w:color="auto"/>
      </w:divBdr>
    </w:div>
    <w:div w:id="207037411">
      <w:bodyDiv w:val="1"/>
      <w:marLeft w:val="0"/>
      <w:marRight w:val="0"/>
      <w:marTop w:val="0"/>
      <w:marBottom w:val="0"/>
      <w:divBdr>
        <w:top w:val="none" w:sz="0" w:space="0" w:color="auto"/>
        <w:left w:val="none" w:sz="0" w:space="0" w:color="auto"/>
        <w:bottom w:val="none" w:sz="0" w:space="0" w:color="auto"/>
        <w:right w:val="none" w:sz="0" w:space="0" w:color="auto"/>
      </w:divBdr>
    </w:div>
    <w:div w:id="207037494">
      <w:bodyDiv w:val="1"/>
      <w:marLeft w:val="0"/>
      <w:marRight w:val="0"/>
      <w:marTop w:val="0"/>
      <w:marBottom w:val="0"/>
      <w:divBdr>
        <w:top w:val="none" w:sz="0" w:space="0" w:color="auto"/>
        <w:left w:val="none" w:sz="0" w:space="0" w:color="auto"/>
        <w:bottom w:val="none" w:sz="0" w:space="0" w:color="auto"/>
        <w:right w:val="none" w:sz="0" w:space="0" w:color="auto"/>
      </w:divBdr>
    </w:div>
    <w:div w:id="207376037">
      <w:bodyDiv w:val="1"/>
      <w:marLeft w:val="0"/>
      <w:marRight w:val="0"/>
      <w:marTop w:val="0"/>
      <w:marBottom w:val="0"/>
      <w:divBdr>
        <w:top w:val="none" w:sz="0" w:space="0" w:color="auto"/>
        <w:left w:val="none" w:sz="0" w:space="0" w:color="auto"/>
        <w:bottom w:val="none" w:sz="0" w:space="0" w:color="auto"/>
        <w:right w:val="none" w:sz="0" w:space="0" w:color="auto"/>
      </w:divBdr>
    </w:div>
    <w:div w:id="207494148">
      <w:bodyDiv w:val="1"/>
      <w:marLeft w:val="0"/>
      <w:marRight w:val="0"/>
      <w:marTop w:val="0"/>
      <w:marBottom w:val="0"/>
      <w:divBdr>
        <w:top w:val="none" w:sz="0" w:space="0" w:color="auto"/>
        <w:left w:val="none" w:sz="0" w:space="0" w:color="auto"/>
        <w:bottom w:val="none" w:sz="0" w:space="0" w:color="auto"/>
        <w:right w:val="none" w:sz="0" w:space="0" w:color="auto"/>
      </w:divBdr>
    </w:div>
    <w:div w:id="207500148">
      <w:bodyDiv w:val="1"/>
      <w:marLeft w:val="0"/>
      <w:marRight w:val="0"/>
      <w:marTop w:val="0"/>
      <w:marBottom w:val="0"/>
      <w:divBdr>
        <w:top w:val="none" w:sz="0" w:space="0" w:color="auto"/>
        <w:left w:val="none" w:sz="0" w:space="0" w:color="auto"/>
        <w:bottom w:val="none" w:sz="0" w:space="0" w:color="auto"/>
        <w:right w:val="none" w:sz="0" w:space="0" w:color="auto"/>
      </w:divBdr>
    </w:div>
    <w:div w:id="207760273">
      <w:bodyDiv w:val="1"/>
      <w:marLeft w:val="0"/>
      <w:marRight w:val="0"/>
      <w:marTop w:val="0"/>
      <w:marBottom w:val="0"/>
      <w:divBdr>
        <w:top w:val="none" w:sz="0" w:space="0" w:color="auto"/>
        <w:left w:val="none" w:sz="0" w:space="0" w:color="auto"/>
        <w:bottom w:val="none" w:sz="0" w:space="0" w:color="auto"/>
        <w:right w:val="none" w:sz="0" w:space="0" w:color="auto"/>
      </w:divBdr>
    </w:div>
    <w:div w:id="207841339">
      <w:bodyDiv w:val="1"/>
      <w:marLeft w:val="0"/>
      <w:marRight w:val="0"/>
      <w:marTop w:val="0"/>
      <w:marBottom w:val="0"/>
      <w:divBdr>
        <w:top w:val="none" w:sz="0" w:space="0" w:color="auto"/>
        <w:left w:val="none" w:sz="0" w:space="0" w:color="auto"/>
        <w:bottom w:val="none" w:sz="0" w:space="0" w:color="auto"/>
        <w:right w:val="none" w:sz="0" w:space="0" w:color="auto"/>
      </w:divBdr>
    </w:div>
    <w:div w:id="207886350">
      <w:bodyDiv w:val="1"/>
      <w:marLeft w:val="0"/>
      <w:marRight w:val="0"/>
      <w:marTop w:val="0"/>
      <w:marBottom w:val="0"/>
      <w:divBdr>
        <w:top w:val="none" w:sz="0" w:space="0" w:color="auto"/>
        <w:left w:val="none" w:sz="0" w:space="0" w:color="auto"/>
        <w:bottom w:val="none" w:sz="0" w:space="0" w:color="auto"/>
        <w:right w:val="none" w:sz="0" w:space="0" w:color="auto"/>
      </w:divBdr>
    </w:div>
    <w:div w:id="208080868">
      <w:bodyDiv w:val="1"/>
      <w:marLeft w:val="0"/>
      <w:marRight w:val="0"/>
      <w:marTop w:val="0"/>
      <w:marBottom w:val="0"/>
      <w:divBdr>
        <w:top w:val="none" w:sz="0" w:space="0" w:color="auto"/>
        <w:left w:val="none" w:sz="0" w:space="0" w:color="auto"/>
        <w:bottom w:val="none" w:sz="0" w:space="0" w:color="auto"/>
        <w:right w:val="none" w:sz="0" w:space="0" w:color="auto"/>
      </w:divBdr>
    </w:div>
    <w:div w:id="208149465">
      <w:bodyDiv w:val="1"/>
      <w:marLeft w:val="0"/>
      <w:marRight w:val="0"/>
      <w:marTop w:val="0"/>
      <w:marBottom w:val="0"/>
      <w:divBdr>
        <w:top w:val="none" w:sz="0" w:space="0" w:color="auto"/>
        <w:left w:val="none" w:sz="0" w:space="0" w:color="auto"/>
        <w:bottom w:val="none" w:sz="0" w:space="0" w:color="auto"/>
        <w:right w:val="none" w:sz="0" w:space="0" w:color="auto"/>
      </w:divBdr>
    </w:div>
    <w:div w:id="208301716">
      <w:bodyDiv w:val="1"/>
      <w:marLeft w:val="0"/>
      <w:marRight w:val="0"/>
      <w:marTop w:val="0"/>
      <w:marBottom w:val="0"/>
      <w:divBdr>
        <w:top w:val="none" w:sz="0" w:space="0" w:color="auto"/>
        <w:left w:val="none" w:sz="0" w:space="0" w:color="auto"/>
        <w:bottom w:val="none" w:sz="0" w:space="0" w:color="auto"/>
        <w:right w:val="none" w:sz="0" w:space="0" w:color="auto"/>
      </w:divBdr>
    </w:div>
    <w:div w:id="208760611">
      <w:bodyDiv w:val="1"/>
      <w:marLeft w:val="0"/>
      <w:marRight w:val="0"/>
      <w:marTop w:val="0"/>
      <w:marBottom w:val="0"/>
      <w:divBdr>
        <w:top w:val="none" w:sz="0" w:space="0" w:color="auto"/>
        <w:left w:val="none" w:sz="0" w:space="0" w:color="auto"/>
        <w:bottom w:val="none" w:sz="0" w:space="0" w:color="auto"/>
        <w:right w:val="none" w:sz="0" w:space="0" w:color="auto"/>
      </w:divBdr>
    </w:div>
    <w:div w:id="208953318">
      <w:bodyDiv w:val="1"/>
      <w:marLeft w:val="0"/>
      <w:marRight w:val="0"/>
      <w:marTop w:val="0"/>
      <w:marBottom w:val="0"/>
      <w:divBdr>
        <w:top w:val="none" w:sz="0" w:space="0" w:color="auto"/>
        <w:left w:val="none" w:sz="0" w:space="0" w:color="auto"/>
        <w:bottom w:val="none" w:sz="0" w:space="0" w:color="auto"/>
        <w:right w:val="none" w:sz="0" w:space="0" w:color="auto"/>
      </w:divBdr>
    </w:div>
    <w:div w:id="209149406">
      <w:bodyDiv w:val="1"/>
      <w:marLeft w:val="0"/>
      <w:marRight w:val="0"/>
      <w:marTop w:val="0"/>
      <w:marBottom w:val="0"/>
      <w:divBdr>
        <w:top w:val="none" w:sz="0" w:space="0" w:color="auto"/>
        <w:left w:val="none" w:sz="0" w:space="0" w:color="auto"/>
        <w:bottom w:val="none" w:sz="0" w:space="0" w:color="auto"/>
        <w:right w:val="none" w:sz="0" w:space="0" w:color="auto"/>
      </w:divBdr>
    </w:div>
    <w:div w:id="209267876">
      <w:bodyDiv w:val="1"/>
      <w:marLeft w:val="0"/>
      <w:marRight w:val="0"/>
      <w:marTop w:val="0"/>
      <w:marBottom w:val="0"/>
      <w:divBdr>
        <w:top w:val="none" w:sz="0" w:space="0" w:color="auto"/>
        <w:left w:val="none" w:sz="0" w:space="0" w:color="auto"/>
        <w:bottom w:val="none" w:sz="0" w:space="0" w:color="auto"/>
        <w:right w:val="none" w:sz="0" w:space="0" w:color="auto"/>
      </w:divBdr>
    </w:div>
    <w:div w:id="209272568">
      <w:bodyDiv w:val="1"/>
      <w:marLeft w:val="0"/>
      <w:marRight w:val="0"/>
      <w:marTop w:val="0"/>
      <w:marBottom w:val="0"/>
      <w:divBdr>
        <w:top w:val="none" w:sz="0" w:space="0" w:color="auto"/>
        <w:left w:val="none" w:sz="0" w:space="0" w:color="auto"/>
        <w:bottom w:val="none" w:sz="0" w:space="0" w:color="auto"/>
        <w:right w:val="none" w:sz="0" w:space="0" w:color="auto"/>
      </w:divBdr>
    </w:div>
    <w:div w:id="209273561">
      <w:bodyDiv w:val="1"/>
      <w:marLeft w:val="0"/>
      <w:marRight w:val="0"/>
      <w:marTop w:val="0"/>
      <w:marBottom w:val="0"/>
      <w:divBdr>
        <w:top w:val="none" w:sz="0" w:space="0" w:color="auto"/>
        <w:left w:val="none" w:sz="0" w:space="0" w:color="auto"/>
        <w:bottom w:val="none" w:sz="0" w:space="0" w:color="auto"/>
        <w:right w:val="none" w:sz="0" w:space="0" w:color="auto"/>
      </w:divBdr>
    </w:div>
    <w:div w:id="209926718">
      <w:bodyDiv w:val="1"/>
      <w:marLeft w:val="0"/>
      <w:marRight w:val="0"/>
      <w:marTop w:val="0"/>
      <w:marBottom w:val="0"/>
      <w:divBdr>
        <w:top w:val="none" w:sz="0" w:space="0" w:color="auto"/>
        <w:left w:val="none" w:sz="0" w:space="0" w:color="auto"/>
        <w:bottom w:val="none" w:sz="0" w:space="0" w:color="auto"/>
        <w:right w:val="none" w:sz="0" w:space="0" w:color="auto"/>
      </w:divBdr>
    </w:div>
    <w:div w:id="210044313">
      <w:bodyDiv w:val="1"/>
      <w:marLeft w:val="0"/>
      <w:marRight w:val="0"/>
      <w:marTop w:val="0"/>
      <w:marBottom w:val="0"/>
      <w:divBdr>
        <w:top w:val="none" w:sz="0" w:space="0" w:color="auto"/>
        <w:left w:val="none" w:sz="0" w:space="0" w:color="auto"/>
        <w:bottom w:val="none" w:sz="0" w:space="0" w:color="auto"/>
        <w:right w:val="none" w:sz="0" w:space="0" w:color="auto"/>
      </w:divBdr>
    </w:div>
    <w:div w:id="210117865">
      <w:bodyDiv w:val="1"/>
      <w:marLeft w:val="0"/>
      <w:marRight w:val="0"/>
      <w:marTop w:val="0"/>
      <w:marBottom w:val="0"/>
      <w:divBdr>
        <w:top w:val="none" w:sz="0" w:space="0" w:color="auto"/>
        <w:left w:val="none" w:sz="0" w:space="0" w:color="auto"/>
        <w:bottom w:val="none" w:sz="0" w:space="0" w:color="auto"/>
        <w:right w:val="none" w:sz="0" w:space="0" w:color="auto"/>
      </w:divBdr>
    </w:div>
    <w:div w:id="210118133">
      <w:bodyDiv w:val="1"/>
      <w:marLeft w:val="0"/>
      <w:marRight w:val="0"/>
      <w:marTop w:val="0"/>
      <w:marBottom w:val="0"/>
      <w:divBdr>
        <w:top w:val="none" w:sz="0" w:space="0" w:color="auto"/>
        <w:left w:val="none" w:sz="0" w:space="0" w:color="auto"/>
        <w:bottom w:val="none" w:sz="0" w:space="0" w:color="auto"/>
        <w:right w:val="none" w:sz="0" w:space="0" w:color="auto"/>
      </w:divBdr>
    </w:div>
    <w:div w:id="210461948">
      <w:bodyDiv w:val="1"/>
      <w:marLeft w:val="0"/>
      <w:marRight w:val="0"/>
      <w:marTop w:val="0"/>
      <w:marBottom w:val="0"/>
      <w:divBdr>
        <w:top w:val="none" w:sz="0" w:space="0" w:color="auto"/>
        <w:left w:val="none" w:sz="0" w:space="0" w:color="auto"/>
        <w:bottom w:val="none" w:sz="0" w:space="0" w:color="auto"/>
        <w:right w:val="none" w:sz="0" w:space="0" w:color="auto"/>
      </w:divBdr>
    </w:div>
    <w:div w:id="210582903">
      <w:bodyDiv w:val="1"/>
      <w:marLeft w:val="0"/>
      <w:marRight w:val="0"/>
      <w:marTop w:val="0"/>
      <w:marBottom w:val="0"/>
      <w:divBdr>
        <w:top w:val="none" w:sz="0" w:space="0" w:color="auto"/>
        <w:left w:val="none" w:sz="0" w:space="0" w:color="auto"/>
        <w:bottom w:val="none" w:sz="0" w:space="0" w:color="auto"/>
        <w:right w:val="none" w:sz="0" w:space="0" w:color="auto"/>
      </w:divBdr>
    </w:div>
    <w:div w:id="210919674">
      <w:bodyDiv w:val="1"/>
      <w:marLeft w:val="0"/>
      <w:marRight w:val="0"/>
      <w:marTop w:val="0"/>
      <w:marBottom w:val="0"/>
      <w:divBdr>
        <w:top w:val="none" w:sz="0" w:space="0" w:color="auto"/>
        <w:left w:val="none" w:sz="0" w:space="0" w:color="auto"/>
        <w:bottom w:val="none" w:sz="0" w:space="0" w:color="auto"/>
        <w:right w:val="none" w:sz="0" w:space="0" w:color="auto"/>
      </w:divBdr>
    </w:div>
    <w:div w:id="211121124">
      <w:bodyDiv w:val="1"/>
      <w:marLeft w:val="0"/>
      <w:marRight w:val="0"/>
      <w:marTop w:val="0"/>
      <w:marBottom w:val="0"/>
      <w:divBdr>
        <w:top w:val="none" w:sz="0" w:space="0" w:color="auto"/>
        <w:left w:val="none" w:sz="0" w:space="0" w:color="auto"/>
        <w:bottom w:val="none" w:sz="0" w:space="0" w:color="auto"/>
        <w:right w:val="none" w:sz="0" w:space="0" w:color="auto"/>
      </w:divBdr>
    </w:div>
    <w:div w:id="211622246">
      <w:bodyDiv w:val="1"/>
      <w:marLeft w:val="0"/>
      <w:marRight w:val="0"/>
      <w:marTop w:val="0"/>
      <w:marBottom w:val="0"/>
      <w:divBdr>
        <w:top w:val="none" w:sz="0" w:space="0" w:color="auto"/>
        <w:left w:val="none" w:sz="0" w:space="0" w:color="auto"/>
        <w:bottom w:val="none" w:sz="0" w:space="0" w:color="auto"/>
        <w:right w:val="none" w:sz="0" w:space="0" w:color="auto"/>
      </w:divBdr>
    </w:div>
    <w:div w:id="211887327">
      <w:bodyDiv w:val="1"/>
      <w:marLeft w:val="0"/>
      <w:marRight w:val="0"/>
      <w:marTop w:val="0"/>
      <w:marBottom w:val="0"/>
      <w:divBdr>
        <w:top w:val="none" w:sz="0" w:space="0" w:color="auto"/>
        <w:left w:val="none" w:sz="0" w:space="0" w:color="auto"/>
        <w:bottom w:val="none" w:sz="0" w:space="0" w:color="auto"/>
        <w:right w:val="none" w:sz="0" w:space="0" w:color="auto"/>
      </w:divBdr>
    </w:div>
    <w:div w:id="212154713">
      <w:bodyDiv w:val="1"/>
      <w:marLeft w:val="0"/>
      <w:marRight w:val="0"/>
      <w:marTop w:val="0"/>
      <w:marBottom w:val="0"/>
      <w:divBdr>
        <w:top w:val="none" w:sz="0" w:space="0" w:color="auto"/>
        <w:left w:val="none" w:sz="0" w:space="0" w:color="auto"/>
        <w:bottom w:val="none" w:sz="0" w:space="0" w:color="auto"/>
        <w:right w:val="none" w:sz="0" w:space="0" w:color="auto"/>
      </w:divBdr>
    </w:div>
    <w:div w:id="212235872">
      <w:bodyDiv w:val="1"/>
      <w:marLeft w:val="0"/>
      <w:marRight w:val="0"/>
      <w:marTop w:val="0"/>
      <w:marBottom w:val="0"/>
      <w:divBdr>
        <w:top w:val="none" w:sz="0" w:space="0" w:color="auto"/>
        <w:left w:val="none" w:sz="0" w:space="0" w:color="auto"/>
        <w:bottom w:val="none" w:sz="0" w:space="0" w:color="auto"/>
        <w:right w:val="none" w:sz="0" w:space="0" w:color="auto"/>
      </w:divBdr>
    </w:div>
    <w:div w:id="212277421">
      <w:bodyDiv w:val="1"/>
      <w:marLeft w:val="0"/>
      <w:marRight w:val="0"/>
      <w:marTop w:val="0"/>
      <w:marBottom w:val="0"/>
      <w:divBdr>
        <w:top w:val="none" w:sz="0" w:space="0" w:color="auto"/>
        <w:left w:val="none" w:sz="0" w:space="0" w:color="auto"/>
        <w:bottom w:val="none" w:sz="0" w:space="0" w:color="auto"/>
        <w:right w:val="none" w:sz="0" w:space="0" w:color="auto"/>
      </w:divBdr>
    </w:div>
    <w:div w:id="212431071">
      <w:bodyDiv w:val="1"/>
      <w:marLeft w:val="0"/>
      <w:marRight w:val="0"/>
      <w:marTop w:val="0"/>
      <w:marBottom w:val="0"/>
      <w:divBdr>
        <w:top w:val="none" w:sz="0" w:space="0" w:color="auto"/>
        <w:left w:val="none" w:sz="0" w:space="0" w:color="auto"/>
        <w:bottom w:val="none" w:sz="0" w:space="0" w:color="auto"/>
        <w:right w:val="none" w:sz="0" w:space="0" w:color="auto"/>
      </w:divBdr>
    </w:div>
    <w:div w:id="212473711">
      <w:bodyDiv w:val="1"/>
      <w:marLeft w:val="0"/>
      <w:marRight w:val="0"/>
      <w:marTop w:val="0"/>
      <w:marBottom w:val="0"/>
      <w:divBdr>
        <w:top w:val="none" w:sz="0" w:space="0" w:color="auto"/>
        <w:left w:val="none" w:sz="0" w:space="0" w:color="auto"/>
        <w:bottom w:val="none" w:sz="0" w:space="0" w:color="auto"/>
        <w:right w:val="none" w:sz="0" w:space="0" w:color="auto"/>
      </w:divBdr>
    </w:div>
    <w:div w:id="212695565">
      <w:bodyDiv w:val="1"/>
      <w:marLeft w:val="0"/>
      <w:marRight w:val="0"/>
      <w:marTop w:val="0"/>
      <w:marBottom w:val="0"/>
      <w:divBdr>
        <w:top w:val="none" w:sz="0" w:space="0" w:color="auto"/>
        <w:left w:val="none" w:sz="0" w:space="0" w:color="auto"/>
        <w:bottom w:val="none" w:sz="0" w:space="0" w:color="auto"/>
        <w:right w:val="none" w:sz="0" w:space="0" w:color="auto"/>
      </w:divBdr>
    </w:div>
    <w:div w:id="213007761">
      <w:bodyDiv w:val="1"/>
      <w:marLeft w:val="0"/>
      <w:marRight w:val="0"/>
      <w:marTop w:val="0"/>
      <w:marBottom w:val="0"/>
      <w:divBdr>
        <w:top w:val="none" w:sz="0" w:space="0" w:color="auto"/>
        <w:left w:val="none" w:sz="0" w:space="0" w:color="auto"/>
        <w:bottom w:val="none" w:sz="0" w:space="0" w:color="auto"/>
        <w:right w:val="none" w:sz="0" w:space="0" w:color="auto"/>
      </w:divBdr>
    </w:div>
    <w:div w:id="213128580">
      <w:bodyDiv w:val="1"/>
      <w:marLeft w:val="0"/>
      <w:marRight w:val="0"/>
      <w:marTop w:val="0"/>
      <w:marBottom w:val="0"/>
      <w:divBdr>
        <w:top w:val="none" w:sz="0" w:space="0" w:color="auto"/>
        <w:left w:val="none" w:sz="0" w:space="0" w:color="auto"/>
        <w:bottom w:val="none" w:sz="0" w:space="0" w:color="auto"/>
        <w:right w:val="none" w:sz="0" w:space="0" w:color="auto"/>
      </w:divBdr>
    </w:div>
    <w:div w:id="213271441">
      <w:bodyDiv w:val="1"/>
      <w:marLeft w:val="0"/>
      <w:marRight w:val="0"/>
      <w:marTop w:val="0"/>
      <w:marBottom w:val="0"/>
      <w:divBdr>
        <w:top w:val="none" w:sz="0" w:space="0" w:color="auto"/>
        <w:left w:val="none" w:sz="0" w:space="0" w:color="auto"/>
        <w:bottom w:val="none" w:sz="0" w:space="0" w:color="auto"/>
        <w:right w:val="none" w:sz="0" w:space="0" w:color="auto"/>
      </w:divBdr>
    </w:div>
    <w:div w:id="213274630">
      <w:bodyDiv w:val="1"/>
      <w:marLeft w:val="0"/>
      <w:marRight w:val="0"/>
      <w:marTop w:val="0"/>
      <w:marBottom w:val="0"/>
      <w:divBdr>
        <w:top w:val="none" w:sz="0" w:space="0" w:color="auto"/>
        <w:left w:val="none" w:sz="0" w:space="0" w:color="auto"/>
        <w:bottom w:val="none" w:sz="0" w:space="0" w:color="auto"/>
        <w:right w:val="none" w:sz="0" w:space="0" w:color="auto"/>
      </w:divBdr>
    </w:div>
    <w:div w:id="213350083">
      <w:bodyDiv w:val="1"/>
      <w:marLeft w:val="0"/>
      <w:marRight w:val="0"/>
      <w:marTop w:val="0"/>
      <w:marBottom w:val="0"/>
      <w:divBdr>
        <w:top w:val="none" w:sz="0" w:space="0" w:color="auto"/>
        <w:left w:val="none" w:sz="0" w:space="0" w:color="auto"/>
        <w:bottom w:val="none" w:sz="0" w:space="0" w:color="auto"/>
        <w:right w:val="none" w:sz="0" w:space="0" w:color="auto"/>
      </w:divBdr>
    </w:div>
    <w:div w:id="213588570">
      <w:bodyDiv w:val="1"/>
      <w:marLeft w:val="0"/>
      <w:marRight w:val="0"/>
      <w:marTop w:val="0"/>
      <w:marBottom w:val="0"/>
      <w:divBdr>
        <w:top w:val="none" w:sz="0" w:space="0" w:color="auto"/>
        <w:left w:val="none" w:sz="0" w:space="0" w:color="auto"/>
        <w:bottom w:val="none" w:sz="0" w:space="0" w:color="auto"/>
        <w:right w:val="none" w:sz="0" w:space="0" w:color="auto"/>
      </w:divBdr>
    </w:div>
    <w:div w:id="213739640">
      <w:bodyDiv w:val="1"/>
      <w:marLeft w:val="0"/>
      <w:marRight w:val="0"/>
      <w:marTop w:val="0"/>
      <w:marBottom w:val="0"/>
      <w:divBdr>
        <w:top w:val="none" w:sz="0" w:space="0" w:color="auto"/>
        <w:left w:val="none" w:sz="0" w:space="0" w:color="auto"/>
        <w:bottom w:val="none" w:sz="0" w:space="0" w:color="auto"/>
        <w:right w:val="none" w:sz="0" w:space="0" w:color="auto"/>
      </w:divBdr>
    </w:div>
    <w:div w:id="214195282">
      <w:bodyDiv w:val="1"/>
      <w:marLeft w:val="0"/>
      <w:marRight w:val="0"/>
      <w:marTop w:val="0"/>
      <w:marBottom w:val="0"/>
      <w:divBdr>
        <w:top w:val="none" w:sz="0" w:space="0" w:color="auto"/>
        <w:left w:val="none" w:sz="0" w:space="0" w:color="auto"/>
        <w:bottom w:val="none" w:sz="0" w:space="0" w:color="auto"/>
        <w:right w:val="none" w:sz="0" w:space="0" w:color="auto"/>
      </w:divBdr>
    </w:div>
    <w:div w:id="214319216">
      <w:bodyDiv w:val="1"/>
      <w:marLeft w:val="0"/>
      <w:marRight w:val="0"/>
      <w:marTop w:val="0"/>
      <w:marBottom w:val="0"/>
      <w:divBdr>
        <w:top w:val="none" w:sz="0" w:space="0" w:color="auto"/>
        <w:left w:val="none" w:sz="0" w:space="0" w:color="auto"/>
        <w:bottom w:val="none" w:sz="0" w:space="0" w:color="auto"/>
        <w:right w:val="none" w:sz="0" w:space="0" w:color="auto"/>
      </w:divBdr>
    </w:div>
    <w:div w:id="214393063">
      <w:bodyDiv w:val="1"/>
      <w:marLeft w:val="0"/>
      <w:marRight w:val="0"/>
      <w:marTop w:val="0"/>
      <w:marBottom w:val="0"/>
      <w:divBdr>
        <w:top w:val="none" w:sz="0" w:space="0" w:color="auto"/>
        <w:left w:val="none" w:sz="0" w:space="0" w:color="auto"/>
        <w:bottom w:val="none" w:sz="0" w:space="0" w:color="auto"/>
        <w:right w:val="none" w:sz="0" w:space="0" w:color="auto"/>
      </w:divBdr>
    </w:div>
    <w:div w:id="214510992">
      <w:bodyDiv w:val="1"/>
      <w:marLeft w:val="0"/>
      <w:marRight w:val="0"/>
      <w:marTop w:val="0"/>
      <w:marBottom w:val="0"/>
      <w:divBdr>
        <w:top w:val="none" w:sz="0" w:space="0" w:color="auto"/>
        <w:left w:val="none" w:sz="0" w:space="0" w:color="auto"/>
        <w:bottom w:val="none" w:sz="0" w:space="0" w:color="auto"/>
        <w:right w:val="none" w:sz="0" w:space="0" w:color="auto"/>
      </w:divBdr>
    </w:div>
    <w:div w:id="214582064">
      <w:bodyDiv w:val="1"/>
      <w:marLeft w:val="0"/>
      <w:marRight w:val="0"/>
      <w:marTop w:val="0"/>
      <w:marBottom w:val="0"/>
      <w:divBdr>
        <w:top w:val="none" w:sz="0" w:space="0" w:color="auto"/>
        <w:left w:val="none" w:sz="0" w:space="0" w:color="auto"/>
        <w:bottom w:val="none" w:sz="0" w:space="0" w:color="auto"/>
        <w:right w:val="none" w:sz="0" w:space="0" w:color="auto"/>
      </w:divBdr>
    </w:div>
    <w:div w:id="214585406">
      <w:bodyDiv w:val="1"/>
      <w:marLeft w:val="0"/>
      <w:marRight w:val="0"/>
      <w:marTop w:val="0"/>
      <w:marBottom w:val="0"/>
      <w:divBdr>
        <w:top w:val="none" w:sz="0" w:space="0" w:color="auto"/>
        <w:left w:val="none" w:sz="0" w:space="0" w:color="auto"/>
        <w:bottom w:val="none" w:sz="0" w:space="0" w:color="auto"/>
        <w:right w:val="none" w:sz="0" w:space="0" w:color="auto"/>
      </w:divBdr>
    </w:div>
    <w:div w:id="214660098">
      <w:bodyDiv w:val="1"/>
      <w:marLeft w:val="0"/>
      <w:marRight w:val="0"/>
      <w:marTop w:val="0"/>
      <w:marBottom w:val="0"/>
      <w:divBdr>
        <w:top w:val="none" w:sz="0" w:space="0" w:color="auto"/>
        <w:left w:val="none" w:sz="0" w:space="0" w:color="auto"/>
        <w:bottom w:val="none" w:sz="0" w:space="0" w:color="auto"/>
        <w:right w:val="none" w:sz="0" w:space="0" w:color="auto"/>
      </w:divBdr>
    </w:div>
    <w:div w:id="214661503">
      <w:bodyDiv w:val="1"/>
      <w:marLeft w:val="0"/>
      <w:marRight w:val="0"/>
      <w:marTop w:val="0"/>
      <w:marBottom w:val="0"/>
      <w:divBdr>
        <w:top w:val="none" w:sz="0" w:space="0" w:color="auto"/>
        <w:left w:val="none" w:sz="0" w:space="0" w:color="auto"/>
        <w:bottom w:val="none" w:sz="0" w:space="0" w:color="auto"/>
        <w:right w:val="none" w:sz="0" w:space="0" w:color="auto"/>
      </w:divBdr>
    </w:div>
    <w:div w:id="215089642">
      <w:bodyDiv w:val="1"/>
      <w:marLeft w:val="0"/>
      <w:marRight w:val="0"/>
      <w:marTop w:val="0"/>
      <w:marBottom w:val="0"/>
      <w:divBdr>
        <w:top w:val="none" w:sz="0" w:space="0" w:color="auto"/>
        <w:left w:val="none" w:sz="0" w:space="0" w:color="auto"/>
        <w:bottom w:val="none" w:sz="0" w:space="0" w:color="auto"/>
        <w:right w:val="none" w:sz="0" w:space="0" w:color="auto"/>
      </w:divBdr>
    </w:div>
    <w:div w:id="215286405">
      <w:bodyDiv w:val="1"/>
      <w:marLeft w:val="0"/>
      <w:marRight w:val="0"/>
      <w:marTop w:val="0"/>
      <w:marBottom w:val="0"/>
      <w:divBdr>
        <w:top w:val="none" w:sz="0" w:space="0" w:color="auto"/>
        <w:left w:val="none" w:sz="0" w:space="0" w:color="auto"/>
        <w:bottom w:val="none" w:sz="0" w:space="0" w:color="auto"/>
        <w:right w:val="none" w:sz="0" w:space="0" w:color="auto"/>
      </w:divBdr>
    </w:div>
    <w:div w:id="215749410">
      <w:bodyDiv w:val="1"/>
      <w:marLeft w:val="0"/>
      <w:marRight w:val="0"/>
      <w:marTop w:val="0"/>
      <w:marBottom w:val="0"/>
      <w:divBdr>
        <w:top w:val="none" w:sz="0" w:space="0" w:color="auto"/>
        <w:left w:val="none" w:sz="0" w:space="0" w:color="auto"/>
        <w:bottom w:val="none" w:sz="0" w:space="0" w:color="auto"/>
        <w:right w:val="none" w:sz="0" w:space="0" w:color="auto"/>
      </w:divBdr>
    </w:div>
    <w:div w:id="215893040">
      <w:bodyDiv w:val="1"/>
      <w:marLeft w:val="0"/>
      <w:marRight w:val="0"/>
      <w:marTop w:val="0"/>
      <w:marBottom w:val="0"/>
      <w:divBdr>
        <w:top w:val="none" w:sz="0" w:space="0" w:color="auto"/>
        <w:left w:val="none" w:sz="0" w:space="0" w:color="auto"/>
        <w:bottom w:val="none" w:sz="0" w:space="0" w:color="auto"/>
        <w:right w:val="none" w:sz="0" w:space="0" w:color="auto"/>
      </w:divBdr>
    </w:div>
    <w:div w:id="215894320">
      <w:bodyDiv w:val="1"/>
      <w:marLeft w:val="0"/>
      <w:marRight w:val="0"/>
      <w:marTop w:val="0"/>
      <w:marBottom w:val="0"/>
      <w:divBdr>
        <w:top w:val="none" w:sz="0" w:space="0" w:color="auto"/>
        <w:left w:val="none" w:sz="0" w:space="0" w:color="auto"/>
        <w:bottom w:val="none" w:sz="0" w:space="0" w:color="auto"/>
        <w:right w:val="none" w:sz="0" w:space="0" w:color="auto"/>
      </w:divBdr>
    </w:div>
    <w:div w:id="216015177">
      <w:bodyDiv w:val="1"/>
      <w:marLeft w:val="0"/>
      <w:marRight w:val="0"/>
      <w:marTop w:val="0"/>
      <w:marBottom w:val="0"/>
      <w:divBdr>
        <w:top w:val="none" w:sz="0" w:space="0" w:color="auto"/>
        <w:left w:val="none" w:sz="0" w:space="0" w:color="auto"/>
        <w:bottom w:val="none" w:sz="0" w:space="0" w:color="auto"/>
        <w:right w:val="none" w:sz="0" w:space="0" w:color="auto"/>
      </w:divBdr>
    </w:div>
    <w:div w:id="216094837">
      <w:bodyDiv w:val="1"/>
      <w:marLeft w:val="0"/>
      <w:marRight w:val="0"/>
      <w:marTop w:val="0"/>
      <w:marBottom w:val="0"/>
      <w:divBdr>
        <w:top w:val="none" w:sz="0" w:space="0" w:color="auto"/>
        <w:left w:val="none" w:sz="0" w:space="0" w:color="auto"/>
        <w:bottom w:val="none" w:sz="0" w:space="0" w:color="auto"/>
        <w:right w:val="none" w:sz="0" w:space="0" w:color="auto"/>
      </w:divBdr>
    </w:div>
    <w:div w:id="216163306">
      <w:bodyDiv w:val="1"/>
      <w:marLeft w:val="0"/>
      <w:marRight w:val="0"/>
      <w:marTop w:val="0"/>
      <w:marBottom w:val="0"/>
      <w:divBdr>
        <w:top w:val="none" w:sz="0" w:space="0" w:color="auto"/>
        <w:left w:val="none" w:sz="0" w:space="0" w:color="auto"/>
        <w:bottom w:val="none" w:sz="0" w:space="0" w:color="auto"/>
        <w:right w:val="none" w:sz="0" w:space="0" w:color="auto"/>
      </w:divBdr>
    </w:div>
    <w:div w:id="216164073">
      <w:bodyDiv w:val="1"/>
      <w:marLeft w:val="0"/>
      <w:marRight w:val="0"/>
      <w:marTop w:val="0"/>
      <w:marBottom w:val="0"/>
      <w:divBdr>
        <w:top w:val="none" w:sz="0" w:space="0" w:color="auto"/>
        <w:left w:val="none" w:sz="0" w:space="0" w:color="auto"/>
        <w:bottom w:val="none" w:sz="0" w:space="0" w:color="auto"/>
        <w:right w:val="none" w:sz="0" w:space="0" w:color="auto"/>
      </w:divBdr>
    </w:div>
    <w:div w:id="216207836">
      <w:bodyDiv w:val="1"/>
      <w:marLeft w:val="0"/>
      <w:marRight w:val="0"/>
      <w:marTop w:val="0"/>
      <w:marBottom w:val="0"/>
      <w:divBdr>
        <w:top w:val="none" w:sz="0" w:space="0" w:color="auto"/>
        <w:left w:val="none" w:sz="0" w:space="0" w:color="auto"/>
        <w:bottom w:val="none" w:sz="0" w:space="0" w:color="auto"/>
        <w:right w:val="none" w:sz="0" w:space="0" w:color="auto"/>
      </w:divBdr>
    </w:div>
    <w:div w:id="216358560">
      <w:bodyDiv w:val="1"/>
      <w:marLeft w:val="0"/>
      <w:marRight w:val="0"/>
      <w:marTop w:val="0"/>
      <w:marBottom w:val="0"/>
      <w:divBdr>
        <w:top w:val="none" w:sz="0" w:space="0" w:color="auto"/>
        <w:left w:val="none" w:sz="0" w:space="0" w:color="auto"/>
        <w:bottom w:val="none" w:sz="0" w:space="0" w:color="auto"/>
        <w:right w:val="none" w:sz="0" w:space="0" w:color="auto"/>
      </w:divBdr>
    </w:div>
    <w:div w:id="216405979">
      <w:bodyDiv w:val="1"/>
      <w:marLeft w:val="0"/>
      <w:marRight w:val="0"/>
      <w:marTop w:val="0"/>
      <w:marBottom w:val="0"/>
      <w:divBdr>
        <w:top w:val="none" w:sz="0" w:space="0" w:color="auto"/>
        <w:left w:val="none" w:sz="0" w:space="0" w:color="auto"/>
        <w:bottom w:val="none" w:sz="0" w:space="0" w:color="auto"/>
        <w:right w:val="none" w:sz="0" w:space="0" w:color="auto"/>
      </w:divBdr>
    </w:div>
    <w:div w:id="216667541">
      <w:bodyDiv w:val="1"/>
      <w:marLeft w:val="0"/>
      <w:marRight w:val="0"/>
      <w:marTop w:val="0"/>
      <w:marBottom w:val="0"/>
      <w:divBdr>
        <w:top w:val="none" w:sz="0" w:space="0" w:color="auto"/>
        <w:left w:val="none" w:sz="0" w:space="0" w:color="auto"/>
        <w:bottom w:val="none" w:sz="0" w:space="0" w:color="auto"/>
        <w:right w:val="none" w:sz="0" w:space="0" w:color="auto"/>
      </w:divBdr>
    </w:div>
    <w:div w:id="216750044">
      <w:bodyDiv w:val="1"/>
      <w:marLeft w:val="0"/>
      <w:marRight w:val="0"/>
      <w:marTop w:val="0"/>
      <w:marBottom w:val="0"/>
      <w:divBdr>
        <w:top w:val="none" w:sz="0" w:space="0" w:color="auto"/>
        <w:left w:val="none" w:sz="0" w:space="0" w:color="auto"/>
        <w:bottom w:val="none" w:sz="0" w:space="0" w:color="auto"/>
        <w:right w:val="none" w:sz="0" w:space="0" w:color="auto"/>
      </w:divBdr>
    </w:div>
    <w:div w:id="217014961">
      <w:bodyDiv w:val="1"/>
      <w:marLeft w:val="0"/>
      <w:marRight w:val="0"/>
      <w:marTop w:val="0"/>
      <w:marBottom w:val="0"/>
      <w:divBdr>
        <w:top w:val="none" w:sz="0" w:space="0" w:color="auto"/>
        <w:left w:val="none" w:sz="0" w:space="0" w:color="auto"/>
        <w:bottom w:val="none" w:sz="0" w:space="0" w:color="auto"/>
        <w:right w:val="none" w:sz="0" w:space="0" w:color="auto"/>
      </w:divBdr>
    </w:div>
    <w:div w:id="217057251">
      <w:bodyDiv w:val="1"/>
      <w:marLeft w:val="0"/>
      <w:marRight w:val="0"/>
      <w:marTop w:val="0"/>
      <w:marBottom w:val="0"/>
      <w:divBdr>
        <w:top w:val="none" w:sz="0" w:space="0" w:color="auto"/>
        <w:left w:val="none" w:sz="0" w:space="0" w:color="auto"/>
        <w:bottom w:val="none" w:sz="0" w:space="0" w:color="auto"/>
        <w:right w:val="none" w:sz="0" w:space="0" w:color="auto"/>
      </w:divBdr>
    </w:div>
    <w:div w:id="217402018">
      <w:bodyDiv w:val="1"/>
      <w:marLeft w:val="0"/>
      <w:marRight w:val="0"/>
      <w:marTop w:val="0"/>
      <w:marBottom w:val="0"/>
      <w:divBdr>
        <w:top w:val="none" w:sz="0" w:space="0" w:color="auto"/>
        <w:left w:val="none" w:sz="0" w:space="0" w:color="auto"/>
        <w:bottom w:val="none" w:sz="0" w:space="0" w:color="auto"/>
        <w:right w:val="none" w:sz="0" w:space="0" w:color="auto"/>
      </w:divBdr>
    </w:div>
    <w:div w:id="217785819">
      <w:bodyDiv w:val="1"/>
      <w:marLeft w:val="0"/>
      <w:marRight w:val="0"/>
      <w:marTop w:val="0"/>
      <w:marBottom w:val="0"/>
      <w:divBdr>
        <w:top w:val="none" w:sz="0" w:space="0" w:color="auto"/>
        <w:left w:val="none" w:sz="0" w:space="0" w:color="auto"/>
        <w:bottom w:val="none" w:sz="0" w:space="0" w:color="auto"/>
        <w:right w:val="none" w:sz="0" w:space="0" w:color="auto"/>
      </w:divBdr>
    </w:div>
    <w:div w:id="217786269">
      <w:bodyDiv w:val="1"/>
      <w:marLeft w:val="0"/>
      <w:marRight w:val="0"/>
      <w:marTop w:val="0"/>
      <w:marBottom w:val="0"/>
      <w:divBdr>
        <w:top w:val="none" w:sz="0" w:space="0" w:color="auto"/>
        <w:left w:val="none" w:sz="0" w:space="0" w:color="auto"/>
        <w:bottom w:val="none" w:sz="0" w:space="0" w:color="auto"/>
        <w:right w:val="none" w:sz="0" w:space="0" w:color="auto"/>
      </w:divBdr>
    </w:div>
    <w:div w:id="217978017">
      <w:bodyDiv w:val="1"/>
      <w:marLeft w:val="0"/>
      <w:marRight w:val="0"/>
      <w:marTop w:val="0"/>
      <w:marBottom w:val="0"/>
      <w:divBdr>
        <w:top w:val="none" w:sz="0" w:space="0" w:color="auto"/>
        <w:left w:val="none" w:sz="0" w:space="0" w:color="auto"/>
        <w:bottom w:val="none" w:sz="0" w:space="0" w:color="auto"/>
        <w:right w:val="none" w:sz="0" w:space="0" w:color="auto"/>
      </w:divBdr>
    </w:div>
    <w:div w:id="217978397">
      <w:bodyDiv w:val="1"/>
      <w:marLeft w:val="0"/>
      <w:marRight w:val="0"/>
      <w:marTop w:val="0"/>
      <w:marBottom w:val="0"/>
      <w:divBdr>
        <w:top w:val="none" w:sz="0" w:space="0" w:color="auto"/>
        <w:left w:val="none" w:sz="0" w:space="0" w:color="auto"/>
        <w:bottom w:val="none" w:sz="0" w:space="0" w:color="auto"/>
        <w:right w:val="none" w:sz="0" w:space="0" w:color="auto"/>
      </w:divBdr>
    </w:div>
    <w:div w:id="217979071">
      <w:bodyDiv w:val="1"/>
      <w:marLeft w:val="0"/>
      <w:marRight w:val="0"/>
      <w:marTop w:val="0"/>
      <w:marBottom w:val="0"/>
      <w:divBdr>
        <w:top w:val="none" w:sz="0" w:space="0" w:color="auto"/>
        <w:left w:val="none" w:sz="0" w:space="0" w:color="auto"/>
        <w:bottom w:val="none" w:sz="0" w:space="0" w:color="auto"/>
        <w:right w:val="none" w:sz="0" w:space="0" w:color="auto"/>
      </w:divBdr>
    </w:div>
    <w:div w:id="218514922">
      <w:bodyDiv w:val="1"/>
      <w:marLeft w:val="0"/>
      <w:marRight w:val="0"/>
      <w:marTop w:val="0"/>
      <w:marBottom w:val="0"/>
      <w:divBdr>
        <w:top w:val="none" w:sz="0" w:space="0" w:color="auto"/>
        <w:left w:val="none" w:sz="0" w:space="0" w:color="auto"/>
        <w:bottom w:val="none" w:sz="0" w:space="0" w:color="auto"/>
        <w:right w:val="none" w:sz="0" w:space="0" w:color="auto"/>
      </w:divBdr>
    </w:div>
    <w:div w:id="218516352">
      <w:bodyDiv w:val="1"/>
      <w:marLeft w:val="0"/>
      <w:marRight w:val="0"/>
      <w:marTop w:val="0"/>
      <w:marBottom w:val="0"/>
      <w:divBdr>
        <w:top w:val="none" w:sz="0" w:space="0" w:color="auto"/>
        <w:left w:val="none" w:sz="0" w:space="0" w:color="auto"/>
        <w:bottom w:val="none" w:sz="0" w:space="0" w:color="auto"/>
        <w:right w:val="none" w:sz="0" w:space="0" w:color="auto"/>
      </w:divBdr>
    </w:div>
    <w:div w:id="218563835">
      <w:bodyDiv w:val="1"/>
      <w:marLeft w:val="0"/>
      <w:marRight w:val="0"/>
      <w:marTop w:val="0"/>
      <w:marBottom w:val="0"/>
      <w:divBdr>
        <w:top w:val="none" w:sz="0" w:space="0" w:color="auto"/>
        <w:left w:val="none" w:sz="0" w:space="0" w:color="auto"/>
        <w:bottom w:val="none" w:sz="0" w:space="0" w:color="auto"/>
        <w:right w:val="none" w:sz="0" w:space="0" w:color="auto"/>
      </w:divBdr>
    </w:div>
    <w:div w:id="218790189">
      <w:bodyDiv w:val="1"/>
      <w:marLeft w:val="0"/>
      <w:marRight w:val="0"/>
      <w:marTop w:val="0"/>
      <w:marBottom w:val="0"/>
      <w:divBdr>
        <w:top w:val="none" w:sz="0" w:space="0" w:color="auto"/>
        <w:left w:val="none" w:sz="0" w:space="0" w:color="auto"/>
        <w:bottom w:val="none" w:sz="0" w:space="0" w:color="auto"/>
        <w:right w:val="none" w:sz="0" w:space="0" w:color="auto"/>
      </w:divBdr>
    </w:div>
    <w:div w:id="219362293">
      <w:bodyDiv w:val="1"/>
      <w:marLeft w:val="0"/>
      <w:marRight w:val="0"/>
      <w:marTop w:val="0"/>
      <w:marBottom w:val="0"/>
      <w:divBdr>
        <w:top w:val="none" w:sz="0" w:space="0" w:color="auto"/>
        <w:left w:val="none" w:sz="0" w:space="0" w:color="auto"/>
        <w:bottom w:val="none" w:sz="0" w:space="0" w:color="auto"/>
        <w:right w:val="none" w:sz="0" w:space="0" w:color="auto"/>
      </w:divBdr>
    </w:div>
    <w:div w:id="219437902">
      <w:bodyDiv w:val="1"/>
      <w:marLeft w:val="0"/>
      <w:marRight w:val="0"/>
      <w:marTop w:val="0"/>
      <w:marBottom w:val="0"/>
      <w:divBdr>
        <w:top w:val="none" w:sz="0" w:space="0" w:color="auto"/>
        <w:left w:val="none" w:sz="0" w:space="0" w:color="auto"/>
        <w:bottom w:val="none" w:sz="0" w:space="0" w:color="auto"/>
        <w:right w:val="none" w:sz="0" w:space="0" w:color="auto"/>
      </w:divBdr>
    </w:div>
    <w:div w:id="219443085">
      <w:bodyDiv w:val="1"/>
      <w:marLeft w:val="0"/>
      <w:marRight w:val="0"/>
      <w:marTop w:val="0"/>
      <w:marBottom w:val="0"/>
      <w:divBdr>
        <w:top w:val="none" w:sz="0" w:space="0" w:color="auto"/>
        <w:left w:val="none" w:sz="0" w:space="0" w:color="auto"/>
        <w:bottom w:val="none" w:sz="0" w:space="0" w:color="auto"/>
        <w:right w:val="none" w:sz="0" w:space="0" w:color="auto"/>
      </w:divBdr>
    </w:div>
    <w:div w:id="219563937">
      <w:bodyDiv w:val="1"/>
      <w:marLeft w:val="0"/>
      <w:marRight w:val="0"/>
      <w:marTop w:val="0"/>
      <w:marBottom w:val="0"/>
      <w:divBdr>
        <w:top w:val="none" w:sz="0" w:space="0" w:color="auto"/>
        <w:left w:val="none" w:sz="0" w:space="0" w:color="auto"/>
        <w:bottom w:val="none" w:sz="0" w:space="0" w:color="auto"/>
        <w:right w:val="none" w:sz="0" w:space="0" w:color="auto"/>
      </w:divBdr>
    </w:div>
    <w:div w:id="219564546">
      <w:bodyDiv w:val="1"/>
      <w:marLeft w:val="0"/>
      <w:marRight w:val="0"/>
      <w:marTop w:val="0"/>
      <w:marBottom w:val="0"/>
      <w:divBdr>
        <w:top w:val="none" w:sz="0" w:space="0" w:color="auto"/>
        <w:left w:val="none" w:sz="0" w:space="0" w:color="auto"/>
        <w:bottom w:val="none" w:sz="0" w:space="0" w:color="auto"/>
        <w:right w:val="none" w:sz="0" w:space="0" w:color="auto"/>
      </w:divBdr>
    </w:div>
    <w:div w:id="219681797">
      <w:bodyDiv w:val="1"/>
      <w:marLeft w:val="0"/>
      <w:marRight w:val="0"/>
      <w:marTop w:val="0"/>
      <w:marBottom w:val="0"/>
      <w:divBdr>
        <w:top w:val="none" w:sz="0" w:space="0" w:color="auto"/>
        <w:left w:val="none" w:sz="0" w:space="0" w:color="auto"/>
        <w:bottom w:val="none" w:sz="0" w:space="0" w:color="auto"/>
        <w:right w:val="none" w:sz="0" w:space="0" w:color="auto"/>
      </w:divBdr>
    </w:div>
    <w:div w:id="219828429">
      <w:bodyDiv w:val="1"/>
      <w:marLeft w:val="0"/>
      <w:marRight w:val="0"/>
      <w:marTop w:val="0"/>
      <w:marBottom w:val="0"/>
      <w:divBdr>
        <w:top w:val="none" w:sz="0" w:space="0" w:color="auto"/>
        <w:left w:val="none" w:sz="0" w:space="0" w:color="auto"/>
        <w:bottom w:val="none" w:sz="0" w:space="0" w:color="auto"/>
        <w:right w:val="none" w:sz="0" w:space="0" w:color="auto"/>
      </w:divBdr>
    </w:div>
    <w:div w:id="219898835">
      <w:bodyDiv w:val="1"/>
      <w:marLeft w:val="0"/>
      <w:marRight w:val="0"/>
      <w:marTop w:val="0"/>
      <w:marBottom w:val="0"/>
      <w:divBdr>
        <w:top w:val="none" w:sz="0" w:space="0" w:color="auto"/>
        <w:left w:val="none" w:sz="0" w:space="0" w:color="auto"/>
        <w:bottom w:val="none" w:sz="0" w:space="0" w:color="auto"/>
        <w:right w:val="none" w:sz="0" w:space="0" w:color="auto"/>
      </w:divBdr>
    </w:div>
    <w:div w:id="220137326">
      <w:bodyDiv w:val="1"/>
      <w:marLeft w:val="0"/>
      <w:marRight w:val="0"/>
      <w:marTop w:val="0"/>
      <w:marBottom w:val="0"/>
      <w:divBdr>
        <w:top w:val="none" w:sz="0" w:space="0" w:color="auto"/>
        <w:left w:val="none" w:sz="0" w:space="0" w:color="auto"/>
        <w:bottom w:val="none" w:sz="0" w:space="0" w:color="auto"/>
        <w:right w:val="none" w:sz="0" w:space="0" w:color="auto"/>
      </w:divBdr>
    </w:div>
    <w:div w:id="220217466">
      <w:bodyDiv w:val="1"/>
      <w:marLeft w:val="0"/>
      <w:marRight w:val="0"/>
      <w:marTop w:val="0"/>
      <w:marBottom w:val="0"/>
      <w:divBdr>
        <w:top w:val="none" w:sz="0" w:space="0" w:color="auto"/>
        <w:left w:val="none" w:sz="0" w:space="0" w:color="auto"/>
        <w:bottom w:val="none" w:sz="0" w:space="0" w:color="auto"/>
        <w:right w:val="none" w:sz="0" w:space="0" w:color="auto"/>
      </w:divBdr>
    </w:div>
    <w:div w:id="220600859">
      <w:bodyDiv w:val="1"/>
      <w:marLeft w:val="0"/>
      <w:marRight w:val="0"/>
      <w:marTop w:val="0"/>
      <w:marBottom w:val="0"/>
      <w:divBdr>
        <w:top w:val="none" w:sz="0" w:space="0" w:color="auto"/>
        <w:left w:val="none" w:sz="0" w:space="0" w:color="auto"/>
        <w:bottom w:val="none" w:sz="0" w:space="0" w:color="auto"/>
        <w:right w:val="none" w:sz="0" w:space="0" w:color="auto"/>
      </w:divBdr>
    </w:div>
    <w:div w:id="220677350">
      <w:bodyDiv w:val="1"/>
      <w:marLeft w:val="0"/>
      <w:marRight w:val="0"/>
      <w:marTop w:val="0"/>
      <w:marBottom w:val="0"/>
      <w:divBdr>
        <w:top w:val="none" w:sz="0" w:space="0" w:color="auto"/>
        <w:left w:val="none" w:sz="0" w:space="0" w:color="auto"/>
        <w:bottom w:val="none" w:sz="0" w:space="0" w:color="auto"/>
        <w:right w:val="none" w:sz="0" w:space="0" w:color="auto"/>
      </w:divBdr>
    </w:div>
    <w:div w:id="221060508">
      <w:bodyDiv w:val="1"/>
      <w:marLeft w:val="0"/>
      <w:marRight w:val="0"/>
      <w:marTop w:val="0"/>
      <w:marBottom w:val="0"/>
      <w:divBdr>
        <w:top w:val="none" w:sz="0" w:space="0" w:color="auto"/>
        <w:left w:val="none" w:sz="0" w:space="0" w:color="auto"/>
        <w:bottom w:val="none" w:sz="0" w:space="0" w:color="auto"/>
        <w:right w:val="none" w:sz="0" w:space="0" w:color="auto"/>
      </w:divBdr>
    </w:div>
    <w:div w:id="221141294">
      <w:bodyDiv w:val="1"/>
      <w:marLeft w:val="0"/>
      <w:marRight w:val="0"/>
      <w:marTop w:val="0"/>
      <w:marBottom w:val="0"/>
      <w:divBdr>
        <w:top w:val="none" w:sz="0" w:space="0" w:color="auto"/>
        <w:left w:val="none" w:sz="0" w:space="0" w:color="auto"/>
        <w:bottom w:val="none" w:sz="0" w:space="0" w:color="auto"/>
        <w:right w:val="none" w:sz="0" w:space="0" w:color="auto"/>
      </w:divBdr>
    </w:div>
    <w:div w:id="221409806">
      <w:bodyDiv w:val="1"/>
      <w:marLeft w:val="0"/>
      <w:marRight w:val="0"/>
      <w:marTop w:val="0"/>
      <w:marBottom w:val="0"/>
      <w:divBdr>
        <w:top w:val="none" w:sz="0" w:space="0" w:color="auto"/>
        <w:left w:val="none" w:sz="0" w:space="0" w:color="auto"/>
        <w:bottom w:val="none" w:sz="0" w:space="0" w:color="auto"/>
        <w:right w:val="none" w:sz="0" w:space="0" w:color="auto"/>
      </w:divBdr>
    </w:div>
    <w:div w:id="221452406">
      <w:bodyDiv w:val="1"/>
      <w:marLeft w:val="0"/>
      <w:marRight w:val="0"/>
      <w:marTop w:val="0"/>
      <w:marBottom w:val="0"/>
      <w:divBdr>
        <w:top w:val="none" w:sz="0" w:space="0" w:color="auto"/>
        <w:left w:val="none" w:sz="0" w:space="0" w:color="auto"/>
        <w:bottom w:val="none" w:sz="0" w:space="0" w:color="auto"/>
        <w:right w:val="none" w:sz="0" w:space="0" w:color="auto"/>
      </w:divBdr>
    </w:div>
    <w:div w:id="221599961">
      <w:bodyDiv w:val="1"/>
      <w:marLeft w:val="0"/>
      <w:marRight w:val="0"/>
      <w:marTop w:val="0"/>
      <w:marBottom w:val="0"/>
      <w:divBdr>
        <w:top w:val="none" w:sz="0" w:space="0" w:color="auto"/>
        <w:left w:val="none" w:sz="0" w:space="0" w:color="auto"/>
        <w:bottom w:val="none" w:sz="0" w:space="0" w:color="auto"/>
        <w:right w:val="none" w:sz="0" w:space="0" w:color="auto"/>
      </w:divBdr>
    </w:div>
    <w:div w:id="221647570">
      <w:bodyDiv w:val="1"/>
      <w:marLeft w:val="0"/>
      <w:marRight w:val="0"/>
      <w:marTop w:val="0"/>
      <w:marBottom w:val="0"/>
      <w:divBdr>
        <w:top w:val="none" w:sz="0" w:space="0" w:color="auto"/>
        <w:left w:val="none" w:sz="0" w:space="0" w:color="auto"/>
        <w:bottom w:val="none" w:sz="0" w:space="0" w:color="auto"/>
        <w:right w:val="none" w:sz="0" w:space="0" w:color="auto"/>
      </w:divBdr>
    </w:div>
    <w:div w:id="221719842">
      <w:bodyDiv w:val="1"/>
      <w:marLeft w:val="0"/>
      <w:marRight w:val="0"/>
      <w:marTop w:val="0"/>
      <w:marBottom w:val="0"/>
      <w:divBdr>
        <w:top w:val="none" w:sz="0" w:space="0" w:color="auto"/>
        <w:left w:val="none" w:sz="0" w:space="0" w:color="auto"/>
        <w:bottom w:val="none" w:sz="0" w:space="0" w:color="auto"/>
        <w:right w:val="none" w:sz="0" w:space="0" w:color="auto"/>
      </w:divBdr>
    </w:div>
    <w:div w:id="221790899">
      <w:bodyDiv w:val="1"/>
      <w:marLeft w:val="0"/>
      <w:marRight w:val="0"/>
      <w:marTop w:val="0"/>
      <w:marBottom w:val="0"/>
      <w:divBdr>
        <w:top w:val="none" w:sz="0" w:space="0" w:color="auto"/>
        <w:left w:val="none" w:sz="0" w:space="0" w:color="auto"/>
        <w:bottom w:val="none" w:sz="0" w:space="0" w:color="auto"/>
        <w:right w:val="none" w:sz="0" w:space="0" w:color="auto"/>
      </w:divBdr>
    </w:div>
    <w:div w:id="221871520">
      <w:bodyDiv w:val="1"/>
      <w:marLeft w:val="0"/>
      <w:marRight w:val="0"/>
      <w:marTop w:val="0"/>
      <w:marBottom w:val="0"/>
      <w:divBdr>
        <w:top w:val="none" w:sz="0" w:space="0" w:color="auto"/>
        <w:left w:val="none" w:sz="0" w:space="0" w:color="auto"/>
        <w:bottom w:val="none" w:sz="0" w:space="0" w:color="auto"/>
        <w:right w:val="none" w:sz="0" w:space="0" w:color="auto"/>
      </w:divBdr>
    </w:div>
    <w:div w:id="222110259">
      <w:bodyDiv w:val="1"/>
      <w:marLeft w:val="0"/>
      <w:marRight w:val="0"/>
      <w:marTop w:val="0"/>
      <w:marBottom w:val="0"/>
      <w:divBdr>
        <w:top w:val="none" w:sz="0" w:space="0" w:color="auto"/>
        <w:left w:val="none" w:sz="0" w:space="0" w:color="auto"/>
        <w:bottom w:val="none" w:sz="0" w:space="0" w:color="auto"/>
        <w:right w:val="none" w:sz="0" w:space="0" w:color="auto"/>
      </w:divBdr>
    </w:div>
    <w:div w:id="222641867">
      <w:bodyDiv w:val="1"/>
      <w:marLeft w:val="0"/>
      <w:marRight w:val="0"/>
      <w:marTop w:val="0"/>
      <w:marBottom w:val="0"/>
      <w:divBdr>
        <w:top w:val="none" w:sz="0" w:space="0" w:color="auto"/>
        <w:left w:val="none" w:sz="0" w:space="0" w:color="auto"/>
        <w:bottom w:val="none" w:sz="0" w:space="0" w:color="auto"/>
        <w:right w:val="none" w:sz="0" w:space="0" w:color="auto"/>
      </w:divBdr>
    </w:div>
    <w:div w:id="222833859">
      <w:bodyDiv w:val="1"/>
      <w:marLeft w:val="0"/>
      <w:marRight w:val="0"/>
      <w:marTop w:val="0"/>
      <w:marBottom w:val="0"/>
      <w:divBdr>
        <w:top w:val="none" w:sz="0" w:space="0" w:color="auto"/>
        <w:left w:val="none" w:sz="0" w:space="0" w:color="auto"/>
        <w:bottom w:val="none" w:sz="0" w:space="0" w:color="auto"/>
        <w:right w:val="none" w:sz="0" w:space="0" w:color="auto"/>
      </w:divBdr>
    </w:div>
    <w:div w:id="222911331">
      <w:bodyDiv w:val="1"/>
      <w:marLeft w:val="0"/>
      <w:marRight w:val="0"/>
      <w:marTop w:val="0"/>
      <w:marBottom w:val="0"/>
      <w:divBdr>
        <w:top w:val="none" w:sz="0" w:space="0" w:color="auto"/>
        <w:left w:val="none" w:sz="0" w:space="0" w:color="auto"/>
        <w:bottom w:val="none" w:sz="0" w:space="0" w:color="auto"/>
        <w:right w:val="none" w:sz="0" w:space="0" w:color="auto"/>
      </w:divBdr>
    </w:div>
    <w:div w:id="222914852">
      <w:bodyDiv w:val="1"/>
      <w:marLeft w:val="0"/>
      <w:marRight w:val="0"/>
      <w:marTop w:val="0"/>
      <w:marBottom w:val="0"/>
      <w:divBdr>
        <w:top w:val="none" w:sz="0" w:space="0" w:color="auto"/>
        <w:left w:val="none" w:sz="0" w:space="0" w:color="auto"/>
        <w:bottom w:val="none" w:sz="0" w:space="0" w:color="auto"/>
        <w:right w:val="none" w:sz="0" w:space="0" w:color="auto"/>
      </w:divBdr>
    </w:div>
    <w:div w:id="223106540">
      <w:bodyDiv w:val="1"/>
      <w:marLeft w:val="0"/>
      <w:marRight w:val="0"/>
      <w:marTop w:val="0"/>
      <w:marBottom w:val="0"/>
      <w:divBdr>
        <w:top w:val="none" w:sz="0" w:space="0" w:color="auto"/>
        <w:left w:val="none" w:sz="0" w:space="0" w:color="auto"/>
        <w:bottom w:val="none" w:sz="0" w:space="0" w:color="auto"/>
        <w:right w:val="none" w:sz="0" w:space="0" w:color="auto"/>
      </w:divBdr>
    </w:div>
    <w:div w:id="223177891">
      <w:bodyDiv w:val="1"/>
      <w:marLeft w:val="0"/>
      <w:marRight w:val="0"/>
      <w:marTop w:val="0"/>
      <w:marBottom w:val="0"/>
      <w:divBdr>
        <w:top w:val="none" w:sz="0" w:space="0" w:color="auto"/>
        <w:left w:val="none" w:sz="0" w:space="0" w:color="auto"/>
        <w:bottom w:val="none" w:sz="0" w:space="0" w:color="auto"/>
        <w:right w:val="none" w:sz="0" w:space="0" w:color="auto"/>
      </w:divBdr>
    </w:div>
    <w:div w:id="223181347">
      <w:bodyDiv w:val="1"/>
      <w:marLeft w:val="0"/>
      <w:marRight w:val="0"/>
      <w:marTop w:val="0"/>
      <w:marBottom w:val="0"/>
      <w:divBdr>
        <w:top w:val="none" w:sz="0" w:space="0" w:color="auto"/>
        <w:left w:val="none" w:sz="0" w:space="0" w:color="auto"/>
        <w:bottom w:val="none" w:sz="0" w:space="0" w:color="auto"/>
        <w:right w:val="none" w:sz="0" w:space="0" w:color="auto"/>
      </w:divBdr>
    </w:div>
    <w:div w:id="223223028">
      <w:bodyDiv w:val="1"/>
      <w:marLeft w:val="0"/>
      <w:marRight w:val="0"/>
      <w:marTop w:val="0"/>
      <w:marBottom w:val="0"/>
      <w:divBdr>
        <w:top w:val="none" w:sz="0" w:space="0" w:color="auto"/>
        <w:left w:val="none" w:sz="0" w:space="0" w:color="auto"/>
        <w:bottom w:val="none" w:sz="0" w:space="0" w:color="auto"/>
        <w:right w:val="none" w:sz="0" w:space="0" w:color="auto"/>
      </w:divBdr>
    </w:div>
    <w:div w:id="223226263">
      <w:bodyDiv w:val="1"/>
      <w:marLeft w:val="0"/>
      <w:marRight w:val="0"/>
      <w:marTop w:val="0"/>
      <w:marBottom w:val="0"/>
      <w:divBdr>
        <w:top w:val="none" w:sz="0" w:space="0" w:color="auto"/>
        <w:left w:val="none" w:sz="0" w:space="0" w:color="auto"/>
        <w:bottom w:val="none" w:sz="0" w:space="0" w:color="auto"/>
        <w:right w:val="none" w:sz="0" w:space="0" w:color="auto"/>
      </w:divBdr>
    </w:div>
    <w:div w:id="223420727">
      <w:bodyDiv w:val="1"/>
      <w:marLeft w:val="0"/>
      <w:marRight w:val="0"/>
      <w:marTop w:val="0"/>
      <w:marBottom w:val="0"/>
      <w:divBdr>
        <w:top w:val="none" w:sz="0" w:space="0" w:color="auto"/>
        <w:left w:val="none" w:sz="0" w:space="0" w:color="auto"/>
        <w:bottom w:val="none" w:sz="0" w:space="0" w:color="auto"/>
        <w:right w:val="none" w:sz="0" w:space="0" w:color="auto"/>
      </w:divBdr>
    </w:div>
    <w:div w:id="223495942">
      <w:bodyDiv w:val="1"/>
      <w:marLeft w:val="0"/>
      <w:marRight w:val="0"/>
      <w:marTop w:val="0"/>
      <w:marBottom w:val="0"/>
      <w:divBdr>
        <w:top w:val="none" w:sz="0" w:space="0" w:color="auto"/>
        <w:left w:val="none" w:sz="0" w:space="0" w:color="auto"/>
        <w:bottom w:val="none" w:sz="0" w:space="0" w:color="auto"/>
        <w:right w:val="none" w:sz="0" w:space="0" w:color="auto"/>
      </w:divBdr>
    </w:div>
    <w:div w:id="223640475">
      <w:bodyDiv w:val="1"/>
      <w:marLeft w:val="0"/>
      <w:marRight w:val="0"/>
      <w:marTop w:val="0"/>
      <w:marBottom w:val="0"/>
      <w:divBdr>
        <w:top w:val="none" w:sz="0" w:space="0" w:color="auto"/>
        <w:left w:val="none" w:sz="0" w:space="0" w:color="auto"/>
        <w:bottom w:val="none" w:sz="0" w:space="0" w:color="auto"/>
        <w:right w:val="none" w:sz="0" w:space="0" w:color="auto"/>
      </w:divBdr>
    </w:div>
    <w:div w:id="223956885">
      <w:bodyDiv w:val="1"/>
      <w:marLeft w:val="0"/>
      <w:marRight w:val="0"/>
      <w:marTop w:val="0"/>
      <w:marBottom w:val="0"/>
      <w:divBdr>
        <w:top w:val="none" w:sz="0" w:space="0" w:color="auto"/>
        <w:left w:val="none" w:sz="0" w:space="0" w:color="auto"/>
        <w:bottom w:val="none" w:sz="0" w:space="0" w:color="auto"/>
        <w:right w:val="none" w:sz="0" w:space="0" w:color="auto"/>
      </w:divBdr>
    </w:div>
    <w:div w:id="224144861">
      <w:bodyDiv w:val="1"/>
      <w:marLeft w:val="0"/>
      <w:marRight w:val="0"/>
      <w:marTop w:val="0"/>
      <w:marBottom w:val="0"/>
      <w:divBdr>
        <w:top w:val="none" w:sz="0" w:space="0" w:color="auto"/>
        <w:left w:val="none" w:sz="0" w:space="0" w:color="auto"/>
        <w:bottom w:val="none" w:sz="0" w:space="0" w:color="auto"/>
        <w:right w:val="none" w:sz="0" w:space="0" w:color="auto"/>
      </w:divBdr>
    </w:div>
    <w:div w:id="224343062">
      <w:bodyDiv w:val="1"/>
      <w:marLeft w:val="0"/>
      <w:marRight w:val="0"/>
      <w:marTop w:val="0"/>
      <w:marBottom w:val="0"/>
      <w:divBdr>
        <w:top w:val="none" w:sz="0" w:space="0" w:color="auto"/>
        <w:left w:val="none" w:sz="0" w:space="0" w:color="auto"/>
        <w:bottom w:val="none" w:sz="0" w:space="0" w:color="auto"/>
        <w:right w:val="none" w:sz="0" w:space="0" w:color="auto"/>
      </w:divBdr>
    </w:div>
    <w:div w:id="224343433">
      <w:bodyDiv w:val="1"/>
      <w:marLeft w:val="0"/>
      <w:marRight w:val="0"/>
      <w:marTop w:val="0"/>
      <w:marBottom w:val="0"/>
      <w:divBdr>
        <w:top w:val="none" w:sz="0" w:space="0" w:color="auto"/>
        <w:left w:val="none" w:sz="0" w:space="0" w:color="auto"/>
        <w:bottom w:val="none" w:sz="0" w:space="0" w:color="auto"/>
        <w:right w:val="none" w:sz="0" w:space="0" w:color="auto"/>
      </w:divBdr>
    </w:div>
    <w:div w:id="224411824">
      <w:bodyDiv w:val="1"/>
      <w:marLeft w:val="0"/>
      <w:marRight w:val="0"/>
      <w:marTop w:val="0"/>
      <w:marBottom w:val="0"/>
      <w:divBdr>
        <w:top w:val="none" w:sz="0" w:space="0" w:color="auto"/>
        <w:left w:val="none" w:sz="0" w:space="0" w:color="auto"/>
        <w:bottom w:val="none" w:sz="0" w:space="0" w:color="auto"/>
        <w:right w:val="none" w:sz="0" w:space="0" w:color="auto"/>
      </w:divBdr>
    </w:div>
    <w:div w:id="224487518">
      <w:bodyDiv w:val="1"/>
      <w:marLeft w:val="0"/>
      <w:marRight w:val="0"/>
      <w:marTop w:val="0"/>
      <w:marBottom w:val="0"/>
      <w:divBdr>
        <w:top w:val="none" w:sz="0" w:space="0" w:color="auto"/>
        <w:left w:val="none" w:sz="0" w:space="0" w:color="auto"/>
        <w:bottom w:val="none" w:sz="0" w:space="0" w:color="auto"/>
        <w:right w:val="none" w:sz="0" w:space="0" w:color="auto"/>
      </w:divBdr>
    </w:div>
    <w:div w:id="224681437">
      <w:bodyDiv w:val="1"/>
      <w:marLeft w:val="0"/>
      <w:marRight w:val="0"/>
      <w:marTop w:val="0"/>
      <w:marBottom w:val="0"/>
      <w:divBdr>
        <w:top w:val="none" w:sz="0" w:space="0" w:color="auto"/>
        <w:left w:val="none" w:sz="0" w:space="0" w:color="auto"/>
        <w:bottom w:val="none" w:sz="0" w:space="0" w:color="auto"/>
        <w:right w:val="none" w:sz="0" w:space="0" w:color="auto"/>
      </w:divBdr>
    </w:div>
    <w:div w:id="224688459">
      <w:bodyDiv w:val="1"/>
      <w:marLeft w:val="0"/>
      <w:marRight w:val="0"/>
      <w:marTop w:val="0"/>
      <w:marBottom w:val="0"/>
      <w:divBdr>
        <w:top w:val="none" w:sz="0" w:space="0" w:color="auto"/>
        <w:left w:val="none" w:sz="0" w:space="0" w:color="auto"/>
        <w:bottom w:val="none" w:sz="0" w:space="0" w:color="auto"/>
        <w:right w:val="none" w:sz="0" w:space="0" w:color="auto"/>
      </w:divBdr>
    </w:div>
    <w:div w:id="225143966">
      <w:bodyDiv w:val="1"/>
      <w:marLeft w:val="0"/>
      <w:marRight w:val="0"/>
      <w:marTop w:val="0"/>
      <w:marBottom w:val="0"/>
      <w:divBdr>
        <w:top w:val="none" w:sz="0" w:space="0" w:color="auto"/>
        <w:left w:val="none" w:sz="0" w:space="0" w:color="auto"/>
        <w:bottom w:val="none" w:sz="0" w:space="0" w:color="auto"/>
        <w:right w:val="none" w:sz="0" w:space="0" w:color="auto"/>
      </w:divBdr>
    </w:div>
    <w:div w:id="225337939">
      <w:bodyDiv w:val="1"/>
      <w:marLeft w:val="0"/>
      <w:marRight w:val="0"/>
      <w:marTop w:val="0"/>
      <w:marBottom w:val="0"/>
      <w:divBdr>
        <w:top w:val="none" w:sz="0" w:space="0" w:color="auto"/>
        <w:left w:val="none" w:sz="0" w:space="0" w:color="auto"/>
        <w:bottom w:val="none" w:sz="0" w:space="0" w:color="auto"/>
        <w:right w:val="none" w:sz="0" w:space="0" w:color="auto"/>
      </w:divBdr>
    </w:div>
    <w:div w:id="225382238">
      <w:bodyDiv w:val="1"/>
      <w:marLeft w:val="0"/>
      <w:marRight w:val="0"/>
      <w:marTop w:val="0"/>
      <w:marBottom w:val="0"/>
      <w:divBdr>
        <w:top w:val="none" w:sz="0" w:space="0" w:color="auto"/>
        <w:left w:val="none" w:sz="0" w:space="0" w:color="auto"/>
        <w:bottom w:val="none" w:sz="0" w:space="0" w:color="auto"/>
        <w:right w:val="none" w:sz="0" w:space="0" w:color="auto"/>
      </w:divBdr>
    </w:div>
    <w:div w:id="225604576">
      <w:bodyDiv w:val="1"/>
      <w:marLeft w:val="0"/>
      <w:marRight w:val="0"/>
      <w:marTop w:val="0"/>
      <w:marBottom w:val="0"/>
      <w:divBdr>
        <w:top w:val="none" w:sz="0" w:space="0" w:color="auto"/>
        <w:left w:val="none" w:sz="0" w:space="0" w:color="auto"/>
        <w:bottom w:val="none" w:sz="0" w:space="0" w:color="auto"/>
        <w:right w:val="none" w:sz="0" w:space="0" w:color="auto"/>
      </w:divBdr>
    </w:div>
    <w:div w:id="225921723">
      <w:bodyDiv w:val="1"/>
      <w:marLeft w:val="0"/>
      <w:marRight w:val="0"/>
      <w:marTop w:val="0"/>
      <w:marBottom w:val="0"/>
      <w:divBdr>
        <w:top w:val="none" w:sz="0" w:space="0" w:color="auto"/>
        <w:left w:val="none" w:sz="0" w:space="0" w:color="auto"/>
        <w:bottom w:val="none" w:sz="0" w:space="0" w:color="auto"/>
        <w:right w:val="none" w:sz="0" w:space="0" w:color="auto"/>
      </w:divBdr>
    </w:div>
    <w:div w:id="225995257">
      <w:bodyDiv w:val="1"/>
      <w:marLeft w:val="0"/>
      <w:marRight w:val="0"/>
      <w:marTop w:val="0"/>
      <w:marBottom w:val="0"/>
      <w:divBdr>
        <w:top w:val="none" w:sz="0" w:space="0" w:color="auto"/>
        <w:left w:val="none" w:sz="0" w:space="0" w:color="auto"/>
        <w:bottom w:val="none" w:sz="0" w:space="0" w:color="auto"/>
        <w:right w:val="none" w:sz="0" w:space="0" w:color="auto"/>
      </w:divBdr>
    </w:div>
    <w:div w:id="226190119">
      <w:bodyDiv w:val="1"/>
      <w:marLeft w:val="0"/>
      <w:marRight w:val="0"/>
      <w:marTop w:val="0"/>
      <w:marBottom w:val="0"/>
      <w:divBdr>
        <w:top w:val="none" w:sz="0" w:space="0" w:color="auto"/>
        <w:left w:val="none" w:sz="0" w:space="0" w:color="auto"/>
        <w:bottom w:val="none" w:sz="0" w:space="0" w:color="auto"/>
        <w:right w:val="none" w:sz="0" w:space="0" w:color="auto"/>
      </w:divBdr>
    </w:div>
    <w:div w:id="226235022">
      <w:bodyDiv w:val="1"/>
      <w:marLeft w:val="0"/>
      <w:marRight w:val="0"/>
      <w:marTop w:val="0"/>
      <w:marBottom w:val="0"/>
      <w:divBdr>
        <w:top w:val="none" w:sz="0" w:space="0" w:color="auto"/>
        <w:left w:val="none" w:sz="0" w:space="0" w:color="auto"/>
        <w:bottom w:val="none" w:sz="0" w:space="0" w:color="auto"/>
        <w:right w:val="none" w:sz="0" w:space="0" w:color="auto"/>
      </w:divBdr>
    </w:div>
    <w:div w:id="226381369">
      <w:bodyDiv w:val="1"/>
      <w:marLeft w:val="0"/>
      <w:marRight w:val="0"/>
      <w:marTop w:val="0"/>
      <w:marBottom w:val="0"/>
      <w:divBdr>
        <w:top w:val="none" w:sz="0" w:space="0" w:color="auto"/>
        <w:left w:val="none" w:sz="0" w:space="0" w:color="auto"/>
        <w:bottom w:val="none" w:sz="0" w:space="0" w:color="auto"/>
        <w:right w:val="none" w:sz="0" w:space="0" w:color="auto"/>
      </w:divBdr>
    </w:div>
    <w:div w:id="226455169">
      <w:bodyDiv w:val="1"/>
      <w:marLeft w:val="0"/>
      <w:marRight w:val="0"/>
      <w:marTop w:val="0"/>
      <w:marBottom w:val="0"/>
      <w:divBdr>
        <w:top w:val="none" w:sz="0" w:space="0" w:color="auto"/>
        <w:left w:val="none" w:sz="0" w:space="0" w:color="auto"/>
        <w:bottom w:val="none" w:sz="0" w:space="0" w:color="auto"/>
        <w:right w:val="none" w:sz="0" w:space="0" w:color="auto"/>
      </w:divBdr>
    </w:div>
    <w:div w:id="226501336">
      <w:bodyDiv w:val="1"/>
      <w:marLeft w:val="0"/>
      <w:marRight w:val="0"/>
      <w:marTop w:val="0"/>
      <w:marBottom w:val="0"/>
      <w:divBdr>
        <w:top w:val="none" w:sz="0" w:space="0" w:color="auto"/>
        <w:left w:val="none" w:sz="0" w:space="0" w:color="auto"/>
        <w:bottom w:val="none" w:sz="0" w:space="0" w:color="auto"/>
        <w:right w:val="none" w:sz="0" w:space="0" w:color="auto"/>
      </w:divBdr>
    </w:div>
    <w:div w:id="226646994">
      <w:bodyDiv w:val="1"/>
      <w:marLeft w:val="0"/>
      <w:marRight w:val="0"/>
      <w:marTop w:val="0"/>
      <w:marBottom w:val="0"/>
      <w:divBdr>
        <w:top w:val="none" w:sz="0" w:space="0" w:color="auto"/>
        <w:left w:val="none" w:sz="0" w:space="0" w:color="auto"/>
        <w:bottom w:val="none" w:sz="0" w:space="0" w:color="auto"/>
        <w:right w:val="none" w:sz="0" w:space="0" w:color="auto"/>
      </w:divBdr>
    </w:div>
    <w:div w:id="226963604">
      <w:bodyDiv w:val="1"/>
      <w:marLeft w:val="0"/>
      <w:marRight w:val="0"/>
      <w:marTop w:val="0"/>
      <w:marBottom w:val="0"/>
      <w:divBdr>
        <w:top w:val="none" w:sz="0" w:space="0" w:color="auto"/>
        <w:left w:val="none" w:sz="0" w:space="0" w:color="auto"/>
        <w:bottom w:val="none" w:sz="0" w:space="0" w:color="auto"/>
        <w:right w:val="none" w:sz="0" w:space="0" w:color="auto"/>
      </w:divBdr>
    </w:div>
    <w:div w:id="226964199">
      <w:bodyDiv w:val="1"/>
      <w:marLeft w:val="0"/>
      <w:marRight w:val="0"/>
      <w:marTop w:val="0"/>
      <w:marBottom w:val="0"/>
      <w:divBdr>
        <w:top w:val="none" w:sz="0" w:space="0" w:color="auto"/>
        <w:left w:val="none" w:sz="0" w:space="0" w:color="auto"/>
        <w:bottom w:val="none" w:sz="0" w:space="0" w:color="auto"/>
        <w:right w:val="none" w:sz="0" w:space="0" w:color="auto"/>
      </w:divBdr>
    </w:div>
    <w:div w:id="227107073">
      <w:bodyDiv w:val="1"/>
      <w:marLeft w:val="0"/>
      <w:marRight w:val="0"/>
      <w:marTop w:val="0"/>
      <w:marBottom w:val="0"/>
      <w:divBdr>
        <w:top w:val="none" w:sz="0" w:space="0" w:color="auto"/>
        <w:left w:val="none" w:sz="0" w:space="0" w:color="auto"/>
        <w:bottom w:val="none" w:sz="0" w:space="0" w:color="auto"/>
        <w:right w:val="none" w:sz="0" w:space="0" w:color="auto"/>
      </w:divBdr>
    </w:div>
    <w:div w:id="227543604">
      <w:bodyDiv w:val="1"/>
      <w:marLeft w:val="0"/>
      <w:marRight w:val="0"/>
      <w:marTop w:val="0"/>
      <w:marBottom w:val="0"/>
      <w:divBdr>
        <w:top w:val="none" w:sz="0" w:space="0" w:color="auto"/>
        <w:left w:val="none" w:sz="0" w:space="0" w:color="auto"/>
        <w:bottom w:val="none" w:sz="0" w:space="0" w:color="auto"/>
        <w:right w:val="none" w:sz="0" w:space="0" w:color="auto"/>
      </w:divBdr>
    </w:div>
    <w:div w:id="227545418">
      <w:bodyDiv w:val="1"/>
      <w:marLeft w:val="0"/>
      <w:marRight w:val="0"/>
      <w:marTop w:val="0"/>
      <w:marBottom w:val="0"/>
      <w:divBdr>
        <w:top w:val="none" w:sz="0" w:space="0" w:color="auto"/>
        <w:left w:val="none" w:sz="0" w:space="0" w:color="auto"/>
        <w:bottom w:val="none" w:sz="0" w:space="0" w:color="auto"/>
        <w:right w:val="none" w:sz="0" w:space="0" w:color="auto"/>
      </w:divBdr>
    </w:div>
    <w:div w:id="227571636">
      <w:bodyDiv w:val="1"/>
      <w:marLeft w:val="0"/>
      <w:marRight w:val="0"/>
      <w:marTop w:val="0"/>
      <w:marBottom w:val="0"/>
      <w:divBdr>
        <w:top w:val="none" w:sz="0" w:space="0" w:color="auto"/>
        <w:left w:val="none" w:sz="0" w:space="0" w:color="auto"/>
        <w:bottom w:val="none" w:sz="0" w:space="0" w:color="auto"/>
        <w:right w:val="none" w:sz="0" w:space="0" w:color="auto"/>
      </w:divBdr>
    </w:div>
    <w:div w:id="227611921">
      <w:bodyDiv w:val="1"/>
      <w:marLeft w:val="0"/>
      <w:marRight w:val="0"/>
      <w:marTop w:val="0"/>
      <w:marBottom w:val="0"/>
      <w:divBdr>
        <w:top w:val="none" w:sz="0" w:space="0" w:color="auto"/>
        <w:left w:val="none" w:sz="0" w:space="0" w:color="auto"/>
        <w:bottom w:val="none" w:sz="0" w:space="0" w:color="auto"/>
        <w:right w:val="none" w:sz="0" w:space="0" w:color="auto"/>
      </w:divBdr>
    </w:div>
    <w:div w:id="227688823">
      <w:bodyDiv w:val="1"/>
      <w:marLeft w:val="0"/>
      <w:marRight w:val="0"/>
      <w:marTop w:val="0"/>
      <w:marBottom w:val="0"/>
      <w:divBdr>
        <w:top w:val="none" w:sz="0" w:space="0" w:color="auto"/>
        <w:left w:val="none" w:sz="0" w:space="0" w:color="auto"/>
        <w:bottom w:val="none" w:sz="0" w:space="0" w:color="auto"/>
        <w:right w:val="none" w:sz="0" w:space="0" w:color="auto"/>
      </w:divBdr>
    </w:div>
    <w:div w:id="227963576">
      <w:bodyDiv w:val="1"/>
      <w:marLeft w:val="0"/>
      <w:marRight w:val="0"/>
      <w:marTop w:val="0"/>
      <w:marBottom w:val="0"/>
      <w:divBdr>
        <w:top w:val="none" w:sz="0" w:space="0" w:color="auto"/>
        <w:left w:val="none" w:sz="0" w:space="0" w:color="auto"/>
        <w:bottom w:val="none" w:sz="0" w:space="0" w:color="auto"/>
        <w:right w:val="none" w:sz="0" w:space="0" w:color="auto"/>
      </w:divBdr>
    </w:div>
    <w:div w:id="227999968">
      <w:bodyDiv w:val="1"/>
      <w:marLeft w:val="0"/>
      <w:marRight w:val="0"/>
      <w:marTop w:val="0"/>
      <w:marBottom w:val="0"/>
      <w:divBdr>
        <w:top w:val="none" w:sz="0" w:space="0" w:color="auto"/>
        <w:left w:val="none" w:sz="0" w:space="0" w:color="auto"/>
        <w:bottom w:val="none" w:sz="0" w:space="0" w:color="auto"/>
        <w:right w:val="none" w:sz="0" w:space="0" w:color="auto"/>
      </w:divBdr>
    </w:div>
    <w:div w:id="228267903">
      <w:bodyDiv w:val="1"/>
      <w:marLeft w:val="0"/>
      <w:marRight w:val="0"/>
      <w:marTop w:val="0"/>
      <w:marBottom w:val="0"/>
      <w:divBdr>
        <w:top w:val="none" w:sz="0" w:space="0" w:color="auto"/>
        <w:left w:val="none" w:sz="0" w:space="0" w:color="auto"/>
        <w:bottom w:val="none" w:sz="0" w:space="0" w:color="auto"/>
        <w:right w:val="none" w:sz="0" w:space="0" w:color="auto"/>
      </w:divBdr>
    </w:div>
    <w:div w:id="228272437">
      <w:bodyDiv w:val="1"/>
      <w:marLeft w:val="0"/>
      <w:marRight w:val="0"/>
      <w:marTop w:val="0"/>
      <w:marBottom w:val="0"/>
      <w:divBdr>
        <w:top w:val="none" w:sz="0" w:space="0" w:color="auto"/>
        <w:left w:val="none" w:sz="0" w:space="0" w:color="auto"/>
        <w:bottom w:val="none" w:sz="0" w:space="0" w:color="auto"/>
        <w:right w:val="none" w:sz="0" w:space="0" w:color="auto"/>
      </w:divBdr>
    </w:div>
    <w:div w:id="228393094">
      <w:bodyDiv w:val="1"/>
      <w:marLeft w:val="0"/>
      <w:marRight w:val="0"/>
      <w:marTop w:val="0"/>
      <w:marBottom w:val="0"/>
      <w:divBdr>
        <w:top w:val="none" w:sz="0" w:space="0" w:color="auto"/>
        <w:left w:val="none" w:sz="0" w:space="0" w:color="auto"/>
        <w:bottom w:val="none" w:sz="0" w:space="0" w:color="auto"/>
        <w:right w:val="none" w:sz="0" w:space="0" w:color="auto"/>
      </w:divBdr>
    </w:div>
    <w:div w:id="228467764">
      <w:bodyDiv w:val="1"/>
      <w:marLeft w:val="0"/>
      <w:marRight w:val="0"/>
      <w:marTop w:val="0"/>
      <w:marBottom w:val="0"/>
      <w:divBdr>
        <w:top w:val="none" w:sz="0" w:space="0" w:color="auto"/>
        <w:left w:val="none" w:sz="0" w:space="0" w:color="auto"/>
        <w:bottom w:val="none" w:sz="0" w:space="0" w:color="auto"/>
        <w:right w:val="none" w:sz="0" w:space="0" w:color="auto"/>
      </w:divBdr>
    </w:div>
    <w:div w:id="228469238">
      <w:bodyDiv w:val="1"/>
      <w:marLeft w:val="0"/>
      <w:marRight w:val="0"/>
      <w:marTop w:val="0"/>
      <w:marBottom w:val="0"/>
      <w:divBdr>
        <w:top w:val="none" w:sz="0" w:space="0" w:color="auto"/>
        <w:left w:val="none" w:sz="0" w:space="0" w:color="auto"/>
        <w:bottom w:val="none" w:sz="0" w:space="0" w:color="auto"/>
        <w:right w:val="none" w:sz="0" w:space="0" w:color="auto"/>
      </w:divBdr>
    </w:div>
    <w:div w:id="228730393">
      <w:bodyDiv w:val="1"/>
      <w:marLeft w:val="0"/>
      <w:marRight w:val="0"/>
      <w:marTop w:val="0"/>
      <w:marBottom w:val="0"/>
      <w:divBdr>
        <w:top w:val="none" w:sz="0" w:space="0" w:color="auto"/>
        <w:left w:val="none" w:sz="0" w:space="0" w:color="auto"/>
        <w:bottom w:val="none" w:sz="0" w:space="0" w:color="auto"/>
        <w:right w:val="none" w:sz="0" w:space="0" w:color="auto"/>
      </w:divBdr>
    </w:div>
    <w:div w:id="228931022">
      <w:bodyDiv w:val="1"/>
      <w:marLeft w:val="0"/>
      <w:marRight w:val="0"/>
      <w:marTop w:val="0"/>
      <w:marBottom w:val="0"/>
      <w:divBdr>
        <w:top w:val="none" w:sz="0" w:space="0" w:color="auto"/>
        <w:left w:val="none" w:sz="0" w:space="0" w:color="auto"/>
        <w:bottom w:val="none" w:sz="0" w:space="0" w:color="auto"/>
        <w:right w:val="none" w:sz="0" w:space="0" w:color="auto"/>
      </w:divBdr>
    </w:div>
    <w:div w:id="229198023">
      <w:bodyDiv w:val="1"/>
      <w:marLeft w:val="0"/>
      <w:marRight w:val="0"/>
      <w:marTop w:val="0"/>
      <w:marBottom w:val="0"/>
      <w:divBdr>
        <w:top w:val="none" w:sz="0" w:space="0" w:color="auto"/>
        <w:left w:val="none" w:sz="0" w:space="0" w:color="auto"/>
        <w:bottom w:val="none" w:sz="0" w:space="0" w:color="auto"/>
        <w:right w:val="none" w:sz="0" w:space="0" w:color="auto"/>
      </w:divBdr>
    </w:div>
    <w:div w:id="230040653">
      <w:bodyDiv w:val="1"/>
      <w:marLeft w:val="0"/>
      <w:marRight w:val="0"/>
      <w:marTop w:val="0"/>
      <w:marBottom w:val="0"/>
      <w:divBdr>
        <w:top w:val="none" w:sz="0" w:space="0" w:color="auto"/>
        <w:left w:val="none" w:sz="0" w:space="0" w:color="auto"/>
        <w:bottom w:val="none" w:sz="0" w:space="0" w:color="auto"/>
        <w:right w:val="none" w:sz="0" w:space="0" w:color="auto"/>
      </w:divBdr>
    </w:div>
    <w:div w:id="230117473">
      <w:bodyDiv w:val="1"/>
      <w:marLeft w:val="0"/>
      <w:marRight w:val="0"/>
      <w:marTop w:val="0"/>
      <w:marBottom w:val="0"/>
      <w:divBdr>
        <w:top w:val="none" w:sz="0" w:space="0" w:color="auto"/>
        <w:left w:val="none" w:sz="0" w:space="0" w:color="auto"/>
        <w:bottom w:val="none" w:sz="0" w:space="0" w:color="auto"/>
        <w:right w:val="none" w:sz="0" w:space="0" w:color="auto"/>
      </w:divBdr>
    </w:div>
    <w:div w:id="230234852">
      <w:bodyDiv w:val="1"/>
      <w:marLeft w:val="0"/>
      <w:marRight w:val="0"/>
      <w:marTop w:val="0"/>
      <w:marBottom w:val="0"/>
      <w:divBdr>
        <w:top w:val="none" w:sz="0" w:space="0" w:color="auto"/>
        <w:left w:val="none" w:sz="0" w:space="0" w:color="auto"/>
        <w:bottom w:val="none" w:sz="0" w:space="0" w:color="auto"/>
        <w:right w:val="none" w:sz="0" w:space="0" w:color="auto"/>
      </w:divBdr>
    </w:div>
    <w:div w:id="230390306">
      <w:bodyDiv w:val="1"/>
      <w:marLeft w:val="0"/>
      <w:marRight w:val="0"/>
      <w:marTop w:val="0"/>
      <w:marBottom w:val="0"/>
      <w:divBdr>
        <w:top w:val="none" w:sz="0" w:space="0" w:color="auto"/>
        <w:left w:val="none" w:sz="0" w:space="0" w:color="auto"/>
        <w:bottom w:val="none" w:sz="0" w:space="0" w:color="auto"/>
        <w:right w:val="none" w:sz="0" w:space="0" w:color="auto"/>
      </w:divBdr>
    </w:div>
    <w:div w:id="230504494">
      <w:bodyDiv w:val="1"/>
      <w:marLeft w:val="0"/>
      <w:marRight w:val="0"/>
      <w:marTop w:val="0"/>
      <w:marBottom w:val="0"/>
      <w:divBdr>
        <w:top w:val="none" w:sz="0" w:space="0" w:color="auto"/>
        <w:left w:val="none" w:sz="0" w:space="0" w:color="auto"/>
        <w:bottom w:val="none" w:sz="0" w:space="0" w:color="auto"/>
        <w:right w:val="none" w:sz="0" w:space="0" w:color="auto"/>
      </w:divBdr>
    </w:div>
    <w:div w:id="230506354">
      <w:bodyDiv w:val="1"/>
      <w:marLeft w:val="0"/>
      <w:marRight w:val="0"/>
      <w:marTop w:val="0"/>
      <w:marBottom w:val="0"/>
      <w:divBdr>
        <w:top w:val="none" w:sz="0" w:space="0" w:color="auto"/>
        <w:left w:val="none" w:sz="0" w:space="0" w:color="auto"/>
        <w:bottom w:val="none" w:sz="0" w:space="0" w:color="auto"/>
        <w:right w:val="none" w:sz="0" w:space="0" w:color="auto"/>
      </w:divBdr>
    </w:div>
    <w:div w:id="230699766">
      <w:bodyDiv w:val="1"/>
      <w:marLeft w:val="0"/>
      <w:marRight w:val="0"/>
      <w:marTop w:val="0"/>
      <w:marBottom w:val="0"/>
      <w:divBdr>
        <w:top w:val="none" w:sz="0" w:space="0" w:color="auto"/>
        <w:left w:val="none" w:sz="0" w:space="0" w:color="auto"/>
        <w:bottom w:val="none" w:sz="0" w:space="0" w:color="auto"/>
        <w:right w:val="none" w:sz="0" w:space="0" w:color="auto"/>
      </w:divBdr>
    </w:div>
    <w:div w:id="230848238">
      <w:bodyDiv w:val="1"/>
      <w:marLeft w:val="0"/>
      <w:marRight w:val="0"/>
      <w:marTop w:val="0"/>
      <w:marBottom w:val="0"/>
      <w:divBdr>
        <w:top w:val="none" w:sz="0" w:space="0" w:color="auto"/>
        <w:left w:val="none" w:sz="0" w:space="0" w:color="auto"/>
        <w:bottom w:val="none" w:sz="0" w:space="0" w:color="auto"/>
        <w:right w:val="none" w:sz="0" w:space="0" w:color="auto"/>
      </w:divBdr>
    </w:div>
    <w:div w:id="230891591">
      <w:bodyDiv w:val="1"/>
      <w:marLeft w:val="0"/>
      <w:marRight w:val="0"/>
      <w:marTop w:val="0"/>
      <w:marBottom w:val="0"/>
      <w:divBdr>
        <w:top w:val="none" w:sz="0" w:space="0" w:color="auto"/>
        <w:left w:val="none" w:sz="0" w:space="0" w:color="auto"/>
        <w:bottom w:val="none" w:sz="0" w:space="0" w:color="auto"/>
        <w:right w:val="none" w:sz="0" w:space="0" w:color="auto"/>
      </w:divBdr>
    </w:div>
    <w:div w:id="230894189">
      <w:bodyDiv w:val="1"/>
      <w:marLeft w:val="0"/>
      <w:marRight w:val="0"/>
      <w:marTop w:val="0"/>
      <w:marBottom w:val="0"/>
      <w:divBdr>
        <w:top w:val="none" w:sz="0" w:space="0" w:color="auto"/>
        <w:left w:val="none" w:sz="0" w:space="0" w:color="auto"/>
        <w:bottom w:val="none" w:sz="0" w:space="0" w:color="auto"/>
        <w:right w:val="none" w:sz="0" w:space="0" w:color="auto"/>
      </w:divBdr>
    </w:div>
    <w:div w:id="230968283">
      <w:bodyDiv w:val="1"/>
      <w:marLeft w:val="0"/>
      <w:marRight w:val="0"/>
      <w:marTop w:val="0"/>
      <w:marBottom w:val="0"/>
      <w:divBdr>
        <w:top w:val="none" w:sz="0" w:space="0" w:color="auto"/>
        <w:left w:val="none" w:sz="0" w:space="0" w:color="auto"/>
        <w:bottom w:val="none" w:sz="0" w:space="0" w:color="auto"/>
        <w:right w:val="none" w:sz="0" w:space="0" w:color="auto"/>
      </w:divBdr>
    </w:div>
    <w:div w:id="230970012">
      <w:bodyDiv w:val="1"/>
      <w:marLeft w:val="0"/>
      <w:marRight w:val="0"/>
      <w:marTop w:val="0"/>
      <w:marBottom w:val="0"/>
      <w:divBdr>
        <w:top w:val="none" w:sz="0" w:space="0" w:color="auto"/>
        <w:left w:val="none" w:sz="0" w:space="0" w:color="auto"/>
        <w:bottom w:val="none" w:sz="0" w:space="0" w:color="auto"/>
        <w:right w:val="none" w:sz="0" w:space="0" w:color="auto"/>
      </w:divBdr>
    </w:div>
    <w:div w:id="231044286">
      <w:bodyDiv w:val="1"/>
      <w:marLeft w:val="0"/>
      <w:marRight w:val="0"/>
      <w:marTop w:val="0"/>
      <w:marBottom w:val="0"/>
      <w:divBdr>
        <w:top w:val="none" w:sz="0" w:space="0" w:color="auto"/>
        <w:left w:val="none" w:sz="0" w:space="0" w:color="auto"/>
        <w:bottom w:val="none" w:sz="0" w:space="0" w:color="auto"/>
        <w:right w:val="none" w:sz="0" w:space="0" w:color="auto"/>
      </w:divBdr>
    </w:div>
    <w:div w:id="231504240">
      <w:bodyDiv w:val="1"/>
      <w:marLeft w:val="0"/>
      <w:marRight w:val="0"/>
      <w:marTop w:val="0"/>
      <w:marBottom w:val="0"/>
      <w:divBdr>
        <w:top w:val="none" w:sz="0" w:space="0" w:color="auto"/>
        <w:left w:val="none" w:sz="0" w:space="0" w:color="auto"/>
        <w:bottom w:val="none" w:sz="0" w:space="0" w:color="auto"/>
        <w:right w:val="none" w:sz="0" w:space="0" w:color="auto"/>
      </w:divBdr>
    </w:div>
    <w:div w:id="231544366">
      <w:bodyDiv w:val="1"/>
      <w:marLeft w:val="0"/>
      <w:marRight w:val="0"/>
      <w:marTop w:val="0"/>
      <w:marBottom w:val="0"/>
      <w:divBdr>
        <w:top w:val="none" w:sz="0" w:space="0" w:color="auto"/>
        <w:left w:val="none" w:sz="0" w:space="0" w:color="auto"/>
        <w:bottom w:val="none" w:sz="0" w:space="0" w:color="auto"/>
        <w:right w:val="none" w:sz="0" w:space="0" w:color="auto"/>
      </w:divBdr>
    </w:div>
    <w:div w:id="231545127">
      <w:bodyDiv w:val="1"/>
      <w:marLeft w:val="0"/>
      <w:marRight w:val="0"/>
      <w:marTop w:val="0"/>
      <w:marBottom w:val="0"/>
      <w:divBdr>
        <w:top w:val="none" w:sz="0" w:space="0" w:color="auto"/>
        <w:left w:val="none" w:sz="0" w:space="0" w:color="auto"/>
        <w:bottom w:val="none" w:sz="0" w:space="0" w:color="auto"/>
        <w:right w:val="none" w:sz="0" w:space="0" w:color="auto"/>
      </w:divBdr>
    </w:div>
    <w:div w:id="231740978">
      <w:bodyDiv w:val="1"/>
      <w:marLeft w:val="0"/>
      <w:marRight w:val="0"/>
      <w:marTop w:val="0"/>
      <w:marBottom w:val="0"/>
      <w:divBdr>
        <w:top w:val="none" w:sz="0" w:space="0" w:color="auto"/>
        <w:left w:val="none" w:sz="0" w:space="0" w:color="auto"/>
        <w:bottom w:val="none" w:sz="0" w:space="0" w:color="auto"/>
        <w:right w:val="none" w:sz="0" w:space="0" w:color="auto"/>
      </w:divBdr>
    </w:div>
    <w:div w:id="231816744">
      <w:bodyDiv w:val="1"/>
      <w:marLeft w:val="0"/>
      <w:marRight w:val="0"/>
      <w:marTop w:val="0"/>
      <w:marBottom w:val="0"/>
      <w:divBdr>
        <w:top w:val="none" w:sz="0" w:space="0" w:color="auto"/>
        <w:left w:val="none" w:sz="0" w:space="0" w:color="auto"/>
        <w:bottom w:val="none" w:sz="0" w:space="0" w:color="auto"/>
        <w:right w:val="none" w:sz="0" w:space="0" w:color="auto"/>
      </w:divBdr>
    </w:div>
    <w:div w:id="232349397">
      <w:bodyDiv w:val="1"/>
      <w:marLeft w:val="0"/>
      <w:marRight w:val="0"/>
      <w:marTop w:val="0"/>
      <w:marBottom w:val="0"/>
      <w:divBdr>
        <w:top w:val="none" w:sz="0" w:space="0" w:color="auto"/>
        <w:left w:val="none" w:sz="0" w:space="0" w:color="auto"/>
        <w:bottom w:val="none" w:sz="0" w:space="0" w:color="auto"/>
        <w:right w:val="none" w:sz="0" w:space="0" w:color="auto"/>
      </w:divBdr>
    </w:div>
    <w:div w:id="232357750">
      <w:bodyDiv w:val="1"/>
      <w:marLeft w:val="0"/>
      <w:marRight w:val="0"/>
      <w:marTop w:val="0"/>
      <w:marBottom w:val="0"/>
      <w:divBdr>
        <w:top w:val="none" w:sz="0" w:space="0" w:color="auto"/>
        <w:left w:val="none" w:sz="0" w:space="0" w:color="auto"/>
        <w:bottom w:val="none" w:sz="0" w:space="0" w:color="auto"/>
        <w:right w:val="none" w:sz="0" w:space="0" w:color="auto"/>
      </w:divBdr>
    </w:div>
    <w:div w:id="232475150">
      <w:bodyDiv w:val="1"/>
      <w:marLeft w:val="0"/>
      <w:marRight w:val="0"/>
      <w:marTop w:val="0"/>
      <w:marBottom w:val="0"/>
      <w:divBdr>
        <w:top w:val="none" w:sz="0" w:space="0" w:color="auto"/>
        <w:left w:val="none" w:sz="0" w:space="0" w:color="auto"/>
        <w:bottom w:val="none" w:sz="0" w:space="0" w:color="auto"/>
        <w:right w:val="none" w:sz="0" w:space="0" w:color="auto"/>
      </w:divBdr>
    </w:div>
    <w:div w:id="232593475">
      <w:bodyDiv w:val="1"/>
      <w:marLeft w:val="0"/>
      <w:marRight w:val="0"/>
      <w:marTop w:val="0"/>
      <w:marBottom w:val="0"/>
      <w:divBdr>
        <w:top w:val="none" w:sz="0" w:space="0" w:color="auto"/>
        <w:left w:val="none" w:sz="0" w:space="0" w:color="auto"/>
        <w:bottom w:val="none" w:sz="0" w:space="0" w:color="auto"/>
        <w:right w:val="none" w:sz="0" w:space="0" w:color="auto"/>
      </w:divBdr>
    </w:div>
    <w:div w:id="232619628">
      <w:bodyDiv w:val="1"/>
      <w:marLeft w:val="0"/>
      <w:marRight w:val="0"/>
      <w:marTop w:val="0"/>
      <w:marBottom w:val="0"/>
      <w:divBdr>
        <w:top w:val="none" w:sz="0" w:space="0" w:color="auto"/>
        <w:left w:val="none" w:sz="0" w:space="0" w:color="auto"/>
        <w:bottom w:val="none" w:sz="0" w:space="0" w:color="auto"/>
        <w:right w:val="none" w:sz="0" w:space="0" w:color="auto"/>
      </w:divBdr>
    </w:div>
    <w:div w:id="232663177">
      <w:bodyDiv w:val="1"/>
      <w:marLeft w:val="0"/>
      <w:marRight w:val="0"/>
      <w:marTop w:val="0"/>
      <w:marBottom w:val="0"/>
      <w:divBdr>
        <w:top w:val="none" w:sz="0" w:space="0" w:color="auto"/>
        <w:left w:val="none" w:sz="0" w:space="0" w:color="auto"/>
        <w:bottom w:val="none" w:sz="0" w:space="0" w:color="auto"/>
        <w:right w:val="none" w:sz="0" w:space="0" w:color="auto"/>
      </w:divBdr>
    </w:div>
    <w:div w:id="232666764">
      <w:bodyDiv w:val="1"/>
      <w:marLeft w:val="0"/>
      <w:marRight w:val="0"/>
      <w:marTop w:val="0"/>
      <w:marBottom w:val="0"/>
      <w:divBdr>
        <w:top w:val="none" w:sz="0" w:space="0" w:color="auto"/>
        <w:left w:val="none" w:sz="0" w:space="0" w:color="auto"/>
        <w:bottom w:val="none" w:sz="0" w:space="0" w:color="auto"/>
        <w:right w:val="none" w:sz="0" w:space="0" w:color="auto"/>
      </w:divBdr>
    </w:div>
    <w:div w:id="232862041">
      <w:bodyDiv w:val="1"/>
      <w:marLeft w:val="0"/>
      <w:marRight w:val="0"/>
      <w:marTop w:val="0"/>
      <w:marBottom w:val="0"/>
      <w:divBdr>
        <w:top w:val="none" w:sz="0" w:space="0" w:color="auto"/>
        <w:left w:val="none" w:sz="0" w:space="0" w:color="auto"/>
        <w:bottom w:val="none" w:sz="0" w:space="0" w:color="auto"/>
        <w:right w:val="none" w:sz="0" w:space="0" w:color="auto"/>
      </w:divBdr>
    </w:div>
    <w:div w:id="233009231">
      <w:bodyDiv w:val="1"/>
      <w:marLeft w:val="0"/>
      <w:marRight w:val="0"/>
      <w:marTop w:val="0"/>
      <w:marBottom w:val="0"/>
      <w:divBdr>
        <w:top w:val="none" w:sz="0" w:space="0" w:color="auto"/>
        <w:left w:val="none" w:sz="0" w:space="0" w:color="auto"/>
        <w:bottom w:val="none" w:sz="0" w:space="0" w:color="auto"/>
        <w:right w:val="none" w:sz="0" w:space="0" w:color="auto"/>
      </w:divBdr>
    </w:div>
    <w:div w:id="233054269">
      <w:bodyDiv w:val="1"/>
      <w:marLeft w:val="0"/>
      <w:marRight w:val="0"/>
      <w:marTop w:val="0"/>
      <w:marBottom w:val="0"/>
      <w:divBdr>
        <w:top w:val="none" w:sz="0" w:space="0" w:color="auto"/>
        <w:left w:val="none" w:sz="0" w:space="0" w:color="auto"/>
        <w:bottom w:val="none" w:sz="0" w:space="0" w:color="auto"/>
        <w:right w:val="none" w:sz="0" w:space="0" w:color="auto"/>
      </w:divBdr>
    </w:div>
    <w:div w:id="233248761">
      <w:bodyDiv w:val="1"/>
      <w:marLeft w:val="0"/>
      <w:marRight w:val="0"/>
      <w:marTop w:val="0"/>
      <w:marBottom w:val="0"/>
      <w:divBdr>
        <w:top w:val="none" w:sz="0" w:space="0" w:color="auto"/>
        <w:left w:val="none" w:sz="0" w:space="0" w:color="auto"/>
        <w:bottom w:val="none" w:sz="0" w:space="0" w:color="auto"/>
        <w:right w:val="none" w:sz="0" w:space="0" w:color="auto"/>
      </w:divBdr>
    </w:div>
    <w:div w:id="233319160">
      <w:bodyDiv w:val="1"/>
      <w:marLeft w:val="0"/>
      <w:marRight w:val="0"/>
      <w:marTop w:val="0"/>
      <w:marBottom w:val="0"/>
      <w:divBdr>
        <w:top w:val="none" w:sz="0" w:space="0" w:color="auto"/>
        <w:left w:val="none" w:sz="0" w:space="0" w:color="auto"/>
        <w:bottom w:val="none" w:sz="0" w:space="0" w:color="auto"/>
        <w:right w:val="none" w:sz="0" w:space="0" w:color="auto"/>
      </w:divBdr>
    </w:div>
    <w:div w:id="233636345">
      <w:bodyDiv w:val="1"/>
      <w:marLeft w:val="0"/>
      <w:marRight w:val="0"/>
      <w:marTop w:val="0"/>
      <w:marBottom w:val="0"/>
      <w:divBdr>
        <w:top w:val="none" w:sz="0" w:space="0" w:color="auto"/>
        <w:left w:val="none" w:sz="0" w:space="0" w:color="auto"/>
        <w:bottom w:val="none" w:sz="0" w:space="0" w:color="auto"/>
        <w:right w:val="none" w:sz="0" w:space="0" w:color="auto"/>
      </w:divBdr>
    </w:div>
    <w:div w:id="233779730">
      <w:bodyDiv w:val="1"/>
      <w:marLeft w:val="0"/>
      <w:marRight w:val="0"/>
      <w:marTop w:val="0"/>
      <w:marBottom w:val="0"/>
      <w:divBdr>
        <w:top w:val="none" w:sz="0" w:space="0" w:color="auto"/>
        <w:left w:val="none" w:sz="0" w:space="0" w:color="auto"/>
        <w:bottom w:val="none" w:sz="0" w:space="0" w:color="auto"/>
        <w:right w:val="none" w:sz="0" w:space="0" w:color="auto"/>
      </w:divBdr>
    </w:div>
    <w:div w:id="234315428">
      <w:bodyDiv w:val="1"/>
      <w:marLeft w:val="0"/>
      <w:marRight w:val="0"/>
      <w:marTop w:val="0"/>
      <w:marBottom w:val="0"/>
      <w:divBdr>
        <w:top w:val="none" w:sz="0" w:space="0" w:color="auto"/>
        <w:left w:val="none" w:sz="0" w:space="0" w:color="auto"/>
        <w:bottom w:val="none" w:sz="0" w:space="0" w:color="auto"/>
        <w:right w:val="none" w:sz="0" w:space="0" w:color="auto"/>
      </w:divBdr>
    </w:div>
    <w:div w:id="234366493">
      <w:bodyDiv w:val="1"/>
      <w:marLeft w:val="0"/>
      <w:marRight w:val="0"/>
      <w:marTop w:val="0"/>
      <w:marBottom w:val="0"/>
      <w:divBdr>
        <w:top w:val="none" w:sz="0" w:space="0" w:color="auto"/>
        <w:left w:val="none" w:sz="0" w:space="0" w:color="auto"/>
        <w:bottom w:val="none" w:sz="0" w:space="0" w:color="auto"/>
        <w:right w:val="none" w:sz="0" w:space="0" w:color="auto"/>
      </w:divBdr>
    </w:div>
    <w:div w:id="234633588">
      <w:bodyDiv w:val="1"/>
      <w:marLeft w:val="0"/>
      <w:marRight w:val="0"/>
      <w:marTop w:val="0"/>
      <w:marBottom w:val="0"/>
      <w:divBdr>
        <w:top w:val="none" w:sz="0" w:space="0" w:color="auto"/>
        <w:left w:val="none" w:sz="0" w:space="0" w:color="auto"/>
        <w:bottom w:val="none" w:sz="0" w:space="0" w:color="auto"/>
        <w:right w:val="none" w:sz="0" w:space="0" w:color="auto"/>
      </w:divBdr>
    </w:div>
    <w:div w:id="235240155">
      <w:bodyDiv w:val="1"/>
      <w:marLeft w:val="0"/>
      <w:marRight w:val="0"/>
      <w:marTop w:val="0"/>
      <w:marBottom w:val="0"/>
      <w:divBdr>
        <w:top w:val="none" w:sz="0" w:space="0" w:color="auto"/>
        <w:left w:val="none" w:sz="0" w:space="0" w:color="auto"/>
        <w:bottom w:val="none" w:sz="0" w:space="0" w:color="auto"/>
        <w:right w:val="none" w:sz="0" w:space="0" w:color="auto"/>
      </w:divBdr>
    </w:div>
    <w:div w:id="235286135">
      <w:bodyDiv w:val="1"/>
      <w:marLeft w:val="0"/>
      <w:marRight w:val="0"/>
      <w:marTop w:val="0"/>
      <w:marBottom w:val="0"/>
      <w:divBdr>
        <w:top w:val="none" w:sz="0" w:space="0" w:color="auto"/>
        <w:left w:val="none" w:sz="0" w:space="0" w:color="auto"/>
        <w:bottom w:val="none" w:sz="0" w:space="0" w:color="auto"/>
        <w:right w:val="none" w:sz="0" w:space="0" w:color="auto"/>
      </w:divBdr>
    </w:div>
    <w:div w:id="235407389">
      <w:bodyDiv w:val="1"/>
      <w:marLeft w:val="0"/>
      <w:marRight w:val="0"/>
      <w:marTop w:val="0"/>
      <w:marBottom w:val="0"/>
      <w:divBdr>
        <w:top w:val="none" w:sz="0" w:space="0" w:color="auto"/>
        <w:left w:val="none" w:sz="0" w:space="0" w:color="auto"/>
        <w:bottom w:val="none" w:sz="0" w:space="0" w:color="auto"/>
        <w:right w:val="none" w:sz="0" w:space="0" w:color="auto"/>
      </w:divBdr>
    </w:div>
    <w:div w:id="235476586">
      <w:bodyDiv w:val="1"/>
      <w:marLeft w:val="0"/>
      <w:marRight w:val="0"/>
      <w:marTop w:val="0"/>
      <w:marBottom w:val="0"/>
      <w:divBdr>
        <w:top w:val="none" w:sz="0" w:space="0" w:color="auto"/>
        <w:left w:val="none" w:sz="0" w:space="0" w:color="auto"/>
        <w:bottom w:val="none" w:sz="0" w:space="0" w:color="auto"/>
        <w:right w:val="none" w:sz="0" w:space="0" w:color="auto"/>
      </w:divBdr>
    </w:div>
    <w:div w:id="235629062">
      <w:bodyDiv w:val="1"/>
      <w:marLeft w:val="0"/>
      <w:marRight w:val="0"/>
      <w:marTop w:val="0"/>
      <w:marBottom w:val="0"/>
      <w:divBdr>
        <w:top w:val="none" w:sz="0" w:space="0" w:color="auto"/>
        <w:left w:val="none" w:sz="0" w:space="0" w:color="auto"/>
        <w:bottom w:val="none" w:sz="0" w:space="0" w:color="auto"/>
        <w:right w:val="none" w:sz="0" w:space="0" w:color="auto"/>
      </w:divBdr>
    </w:div>
    <w:div w:id="235677282">
      <w:bodyDiv w:val="1"/>
      <w:marLeft w:val="0"/>
      <w:marRight w:val="0"/>
      <w:marTop w:val="0"/>
      <w:marBottom w:val="0"/>
      <w:divBdr>
        <w:top w:val="none" w:sz="0" w:space="0" w:color="auto"/>
        <w:left w:val="none" w:sz="0" w:space="0" w:color="auto"/>
        <w:bottom w:val="none" w:sz="0" w:space="0" w:color="auto"/>
        <w:right w:val="none" w:sz="0" w:space="0" w:color="auto"/>
      </w:divBdr>
    </w:div>
    <w:div w:id="235895383">
      <w:bodyDiv w:val="1"/>
      <w:marLeft w:val="0"/>
      <w:marRight w:val="0"/>
      <w:marTop w:val="0"/>
      <w:marBottom w:val="0"/>
      <w:divBdr>
        <w:top w:val="none" w:sz="0" w:space="0" w:color="auto"/>
        <w:left w:val="none" w:sz="0" w:space="0" w:color="auto"/>
        <w:bottom w:val="none" w:sz="0" w:space="0" w:color="auto"/>
        <w:right w:val="none" w:sz="0" w:space="0" w:color="auto"/>
      </w:divBdr>
    </w:div>
    <w:div w:id="235937285">
      <w:bodyDiv w:val="1"/>
      <w:marLeft w:val="0"/>
      <w:marRight w:val="0"/>
      <w:marTop w:val="0"/>
      <w:marBottom w:val="0"/>
      <w:divBdr>
        <w:top w:val="none" w:sz="0" w:space="0" w:color="auto"/>
        <w:left w:val="none" w:sz="0" w:space="0" w:color="auto"/>
        <w:bottom w:val="none" w:sz="0" w:space="0" w:color="auto"/>
        <w:right w:val="none" w:sz="0" w:space="0" w:color="auto"/>
      </w:divBdr>
    </w:div>
    <w:div w:id="236134869">
      <w:bodyDiv w:val="1"/>
      <w:marLeft w:val="0"/>
      <w:marRight w:val="0"/>
      <w:marTop w:val="0"/>
      <w:marBottom w:val="0"/>
      <w:divBdr>
        <w:top w:val="none" w:sz="0" w:space="0" w:color="auto"/>
        <w:left w:val="none" w:sz="0" w:space="0" w:color="auto"/>
        <w:bottom w:val="none" w:sz="0" w:space="0" w:color="auto"/>
        <w:right w:val="none" w:sz="0" w:space="0" w:color="auto"/>
      </w:divBdr>
    </w:div>
    <w:div w:id="236210906">
      <w:bodyDiv w:val="1"/>
      <w:marLeft w:val="0"/>
      <w:marRight w:val="0"/>
      <w:marTop w:val="0"/>
      <w:marBottom w:val="0"/>
      <w:divBdr>
        <w:top w:val="none" w:sz="0" w:space="0" w:color="auto"/>
        <w:left w:val="none" w:sz="0" w:space="0" w:color="auto"/>
        <w:bottom w:val="none" w:sz="0" w:space="0" w:color="auto"/>
        <w:right w:val="none" w:sz="0" w:space="0" w:color="auto"/>
      </w:divBdr>
    </w:div>
    <w:div w:id="236211888">
      <w:bodyDiv w:val="1"/>
      <w:marLeft w:val="0"/>
      <w:marRight w:val="0"/>
      <w:marTop w:val="0"/>
      <w:marBottom w:val="0"/>
      <w:divBdr>
        <w:top w:val="none" w:sz="0" w:space="0" w:color="auto"/>
        <w:left w:val="none" w:sz="0" w:space="0" w:color="auto"/>
        <w:bottom w:val="none" w:sz="0" w:space="0" w:color="auto"/>
        <w:right w:val="none" w:sz="0" w:space="0" w:color="auto"/>
      </w:divBdr>
    </w:div>
    <w:div w:id="236285323">
      <w:bodyDiv w:val="1"/>
      <w:marLeft w:val="0"/>
      <w:marRight w:val="0"/>
      <w:marTop w:val="0"/>
      <w:marBottom w:val="0"/>
      <w:divBdr>
        <w:top w:val="none" w:sz="0" w:space="0" w:color="auto"/>
        <w:left w:val="none" w:sz="0" w:space="0" w:color="auto"/>
        <w:bottom w:val="none" w:sz="0" w:space="0" w:color="auto"/>
        <w:right w:val="none" w:sz="0" w:space="0" w:color="auto"/>
      </w:divBdr>
    </w:div>
    <w:div w:id="236323190">
      <w:bodyDiv w:val="1"/>
      <w:marLeft w:val="0"/>
      <w:marRight w:val="0"/>
      <w:marTop w:val="0"/>
      <w:marBottom w:val="0"/>
      <w:divBdr>
        <w:top w:val="none" w:sz="0" w:space="0" w:color="auto"/>
        <w:left w:val="none" w:sz="0" w:space="0" w:color="auto"/>
        <w:bottom w:val="none" w:sz="0" w:space="0" w:color="auto"/>
        <w:right w:val="none" w:sz="0" w:space="0" w:color="auto"/>
      </w:divBdr>
    </w:div>
    <w:div w:id="236323285">
      <w:bodyDiv w:val="1"/>
      <w:marLeft w:val="0"/>
      <w:marRight w:val="0"/>
      <w:marTop w:val="0"/>
      <w:marBottom w:val="0"/>
      <w:divBdr>
        <w:top w:val="none" w:sz="0" w:space="0" w:color="auto"/>
        <w:left w:val="none" w:sz="0" w:space="0" w:color="auto"/>
        <w:bottom w:val="none" w:sz="0" w:space="0" w:color="auto"/>
        <w:right w:val="none" w:sz="0" w:space="0" w:color="auto"/>
      </w:divBdr>
    </w:div>
    <w:div w:id="236747315">
      <w:bodyDiv w:val="1"/>
      <w:marLeft w:val="0"/>
      <w:marRight w:val="0"/>
      <w:marTop w:val="0"/>
      <w:marBottom w:val="0"/>
      <w:divBdr>
        <w:top w:val="none" w:sz="0" w:space="0" w:color="auto"/>
        <w:left w:val="none" w:sz="0" w:space="0" w:color="auto"/>
        <w:bottom w:val="none" w:sz="0" w:space="0" w:color="auto"/>
        <w:right w:val="none" w:sz="0" w:space="0" w:color="auto"/>
      </w:divBdr>
    </w:div>
    <w:div w:id="236788168">
      <w:bodyDiv w:val="1"/>
      <w:marLeft w:val="0"/>
      <w:marRight w:val="0"/>
      <w:marTop w:val="0"/>
      <w:marBottom w:val="0"/>
      <w:divBdr>
        <w:top w:val="none" w:sz="0" w:space="0" w:color="auto"/>
        <w:left w:val="none" w:sz="0" w:space="0" w:color="auto"/>
        <w:bottom w:val="none" w:sz="0" w:space="0" w:color="auto"/>
        <w:right w:val="none" w:sz="0" w:space="0" w:color="auto"/>
      </w:divBdr>
    </w:div>
    <w:div w:id="236865547">
      <w:bodyDiv w:val="1"/>
      <w:marLeft w:val="0"/>
      <w:marRight w:val="0"/>
      <w:marTop w:val="0"/>
      <w:marBottom w:val="0"/>
      <w:divBdr>
        <w:top w:val="none" w:sz="0" w:space="0" w:color="auto"/>
        <w:left w:val="none" w:sz="0" w:space="0" w:color="auto"/>
        <w:bottom w:val="none" w:sz="0" w:space="0" w:color="auto"/>
        <w:right w:val="none" w:sz="0" w:space="0" w:color="auto"/>
      </w:divBdr>
    </w:div>
    <w:div w:id="237061459">
      <w:bodyDiv w:val="1"/>
      <w:marLeft w:val="0"/>
      <w:marRight w:val="0"/>
      <w:marTop w:val="0"/>
      <w:marBottom w:val="0"/>
      <w:divBdr>
        <w:top w:val="none" w:sz="0" w:space="0" w:color="auto"/>
        <w:left w:val="none" w:sz="0" w:space="0" w:color="auto"/>
        <w:bottom w:val="none" w:sz="0" w:space="0" w:color="auto"/>
        <w:right w:val="none" w:sz="0" w:space="0" w:color="auto"/>
      </w:divBdr>
    </w:div>
    <w:div w:id="237207425">
      <w:bodyDiv w:val="1"/>
      <w:marLeft w:val="0"/>
      <w:marRight w:val="0"/>
      <w:marTop w:val="0"/>
      <w:marBottom w:val="0"/>
      <w:divBdr>
        <w:top w:val="none" w:sz="0" w:space="0" w:color="auto"/>
        <w:left w:val="none" w:sz="0" w:space="0" w:color="auto"/>
        <w:bottom w:val="none" w:sz="0" w:space="0" w:color="auto"/>
        <w:right w:val="none" w:sz="0" w:space="0" w:color="auto"/>
      </w:divBdr>
    </w:div>
    <w:div w:id="237325929">
      <w:bodyDiv w:val="1"/>
      <w:marLeft w:val="0"/>
      <w:marRight w:val="0"/>
      <w:marTop w:val="0"/>
      <w:marBottom w:val="0"/>
      <w:divBdr>
        <w:top w:val="none" w:sz="0" w:space="0" w:color="auto"/>
        <w:left w:val="none" w:sz="0" w:space="0" w:color="auto"/>
        <w:bottom w:val="none" w:sz="0" w:space="0" w:color="auto"/>
        <w:right w:val="none" w:sz="0" w:space="0" w:color="auto"/>
      </w:divBdr>
    </w:div>
    <w:div w:id="237520561">
      <w:bodyDiv w:val="1"/>
      <w:marLeft w:val="0"/>
      <w:marRight w:val="0"/>
      <w:marTop w:val="0"/>
      <w:marBottom w:val="0"/>
      <w:divBdr>
        <w:top w:val="none" w:sz="0" w:space="0" w:color="auto"/>
        <w:left w:val="none" w:sz="0" w:space="0" w:color="auto"/>
        <w:bottom w:val="none" w:sz="0" w:space="0" w:color="auto"/>
        <w:right w:val="none" w:sz="0" w:space="0" w:color="auto"/>
      </w:divBdr>
    </w:div>
    <w:div w:id="237592696">
      <w:bodyDiv w:val="1"/>
      <w:marLeft w:val="0"/>
      <w:marRight w:val="0"/>
      <w:marTop w:val="0"/>
      <w:marBottom w:val="0"/>
      <w:divBdr>
        <w:top w:val="none" w:sz="0" w:space="0" w:color="auto"/>
        <w:left w:val="none" w:sz="0" w:space="0" w:color="auto"/>
        <w:bottom w:val="none" w:sz="0" w:space="0" w:color="auto"/>
        <w:right w:val="none" w:sz="0" w:space="0" w:color="auto"/>
      </w:divBdr>
    </w:div>
    <w:div w:id="237639911">
      <w:bodyDiv w:val="1"/>
      <w:marLeft w:val="0"/>
      <w:marRight w:val="0"/>
      <w:marTop w:val="0"/>
      <w:marBottom w:val="0"/>
      <w:divBdr>
        <w:top w:val="none" w:sz="0" w:space="0" w:color="auto"/>
        <w:left w:val="none" w:sz="0" w:space="0" w:color="auto"/>
        <w:bottom w:val="none" w:sz="0" w:space="0" w:color="auto"/>
        <w:right w:val="none" w:sz="0" w:space="0" w:color="auto"/>
      </w:divBdr>
    </w:div>
    <w:div w:id="237716559">
      <w:bodyDiv w:val="1"/>
      <w:marLeft w:val="0"/>
      <w:marRight w:val="0"/>
      <w:marTop w:val="0"/>
      <w:marBottom w:val="0"/>
      <w:divBdr>
        <w:top w:val="none" w:sz="0" w:space="0" w:color="auto"/>
        <w:left w:val="none" w:sz="0" w:space="0" w:color="auto"/>
        <w:bottom w:val="none" w:sz="0" w:space="0" w:color="auto"/>
        <w:right w:val="none" w:sz="0" w:space="0" w:color="auto"/>
      </w:divBdr>
    </w:div>
    <w:div w:id="237716585">
      <w:bodyDiv w:val="1"/>
      <w:marLeft w:val="0"/>
      <w:marRight w:val="0"/>
      <w:marTop w:val="0"/>
      <w:marBottom w:val="0"/>
      <w:divBdr>
        <w:top w:val="none" w:sz="0" w:space="0" w:color="auto"/>
        <w:left w:val="none" w:sz="0" w:space="0" w:color="auto"/>
        <w:bottom w:val="none" w:sz="0" w:space="0" w:color="auto"/>
        <w:right w:val="none" w:sz="0" w:space="0" w:color="auto"/>
      </w:divBdr>
    </w:div>
    <w:div w:id="237792157">
      <w:bodyDiv w:val="1"/>
      <w:marLeft w:val="0"/>
      <w:marRight w:val="0"/>
      <w:marTop w:val="0"/>
      <w:marBottom w:val="0"/>
      <w:divBdr>
        <w:top w:val="none" w:sz="0" w:space="0" w:color="auto"/>
        <w:left w:val="none" w:sz="0" w:space="0" w:color="auto"/>
        <w:bottom w:val="none" w:sz="0" w:space="0" w:color="auto"/>
        <w:right w:val="none" w:sz="0" w:space="0" w:color="auto"/>
      </w:divBdr>
    </w:div>
    <w:div w:id="237860892">
      <w:bodyDiv w:val="1"/>
      <w:marLeft w:val="0"/>
      <w:marRight w:val="0"/>
      <w:marTop w:val="0"/>
      <w:marBottom w:val="0"/>
      <w:divBdr>
        <w:top w:val="none" w:sz="0" w:space="0" w:color="auto"/>
        <w:left w:val="none" w:sz="0" w:space="0" w:color="auto"/>
        <w:bottom w:val="none" w:sz="0" w:space="0" w:color="auto"/>
        <w:right w:val="none" w:sz="0" w:space="0" w:color="auto"/>
      </w:divBdr>
    </w:div>
    <w:div w:id="238029885">
      <w:bodyDiv w:val="1"/>
      <w:marLeft w:val="0"/>
      <w:marRight w:val="0"/>
      <w:marTop w:val="0"/>
      <w:marBottom w:val="0"/>
      <w:divBdr>
        <w:top w:val="none" w:sz="0" w:space="0" w:color="auto"/>
        <w:left w:val="none" w:sz="0" w:space="0" w:color="auto"/>
        <w:bottom w:val="none" w:sz="0" w:space="0" w:color="auto"/>
        <w:right w:val="none" w:sz="0" w:space="0" w:color="auto"/>
      </w:divBdr>
    </w:div>
    <w:div w:id="238177674">
      <w:bodyDiv w:val="1"/>
      <w:marLeft w:val="0"/>
      <w:marRight w:val="0"/>
      <w:marTop w:val="0"/>
      <w:marBottom w:val="0"/>
      <w:divBdr>
        <w:top w:val="none" w:sz="0" w:space="0" w:color="auto"/>
        <w:left w:val="none" w:sz="0" w:space="0" w:color="auto"/>
        <w:bottom w:val="none" w:sz="0" w:space="0" w:color="auto"/>
        <w:right w:val="none" w:sz="0" w:space="0" w:color="auto"/>
      </w:divBdr>
    </w:div>
    <w:div w:id="238295427">
      <w:bodyDiv w:val="1"/>
      <w:marLeft w:val="0"/>
      <w:marRight w:val="0"/>
      <w:marTop w:val="0"/>
      <w:marBottom w:val="0"/>
      <w:divBdr>
        <w:top w:val="none" w:sz="0" w:space="0" w:color="auto"/>
        <w:left w:val="none" w:sz="0" w:space="0" w:color="auto"/>
        <w:bottom w:val="none" w:sz="0" w:space="0" w:color="auto"/>
        <w:right w:val="none" w:sz="0" w:space="0" w:color="auto"/>
      </w:divBdr>
    </w:div>
    <w:div w:id="238369127">
      <w:bodyDiv w:val="1"/>
      <w:marLeft w:val="0"/>
      <w:marRight w:val="0"/>
      <w:marTop w:val="0"/>
      <w:marBottom w:val="0"/>
      <w:divBdr>
        <w:top w:val="none" w:sz="0" w:space="0" w:color="auto"/>
        <w:left w:val="none" w:sz="0" w:space="0" w:color="auto"/>
        <w:bottom w:val="none" w:sz="0" w:space="0" w:color="auto"/>
        <w:right w:val="none" w:sz="0" w:space="0" w:color="auto"/>
      </w:divBdr>
    </w:div>
    <w:div w:id="238713686">
      <w:bodyDiv w:val="1"/>
      <w:marLeft w:val="0"/>
      <w:marRight w:val="0"/>
      <w:marTop w:val="0"/>
      <w:marBottom w:val="0"/>
      <w:divBdr>
        <w:top w:val="none" w:sz="0" w:space="0" w:color="auto"/>
        <w:left w:val="none" w:sz="0" w:space="0" w:color="auto"/>
        <w:bottom w:val="none" w:sz="0" w:space="0" w:color="auto"/>
        <w:right w:val="none" w:sz="0" w:space="0" w:color="auto"/>
      </w:divBdr>
    </w:div>
    <w:div w:id="238826772">
      <w:bodyDiv w:val="1"/>
      <w:marLeft w:val="0"/>
      <w:marRight w:val="0"/>
      <w:marTop w:val="0"/>
      <w:marBottom w:val="0"/>
      <w:divBdr>
        <w:top w:val="none" w:sz="0" w:space="0" w:color="auto"/>
        <w:left w:val="none" w:sz="0" w:space="0" w:color="auto"/>
        <w:bottom w:val="none" w:sz="0" w:space="0" w:color="auto"/>
        <w:right w:val="none" w:sz="0" w:space="0" w:color="auto"/>
      </w:divBdr>
    </w:div>
    <w:div w:id="238829175">
      <w:bodyDiv w:val="1"/>
      <w:marLeft w:val="0"/>
      <w:marRight w:val="0"/>
      <w:marTop w:val="0"/>
      <w:marBottom w:val="0"/>
      <w:divBdr>
        <w:top w:val="none" w:sz="0" w:space="0" w:color="auto"/>
        <w:left w:val="none" w:sz="0" w:space="0" w:color="auto"/>
        <w:bottom w:val="none" w:sz="0" w:space="0" w:color="auto"/>
        <w:right w:val="none" w:sz="0" w:space="0" w:color="auto"/>
      </w:divBdr>
    </w:div>
    <w:div w:id="238829274">
      <w:bodyDiv w:val="1"/>
      <w:marLeft w:val="0"/>
      <w:marRight w:val="0"/>
      <w:marTop w:val="0"/>
      <w:marBottom w:val="0"/>
      <w:divBdr>
        <w:top w:val="none" w:sz="0" w:space="0" w:color="auto"/>
        <w:left w:val="none" w:sz="0" w:space="0" w:color="auto"/>
        <w:bottom w:val="none" w:sz="0" w:space="0" w:color="auto"/>
        <w:right w:val="none" w:sz="0" w:space="0" w:color="auto"/>
      </w:divBdr>
    </w:div>
    <w:div w:id="238832840">
      <w:bodyDiv w:val="1"/>
      <w:marLeft w:val="0"/>
      <w:marRight w:val="0"/>
      <w:marTop w:val="0"/>
      <w:marBottom w:val="0"/>
      <w:divBdr>
        <w:top w:val="none" w:sz="0" w:space="0" w:color="auto"/>
        <w:left w:val="none" w:sz="0" w:space="0" w:color="auto"/>
        <w:bottom w:val="none" w:sz="0" w:space="0" w:color="auto"/>
        <w:right w:val="none" w:sz="0" w:space="0" w:color="auto"/>
      </w:divBdr>
    </w:div>
    <w:div w:id="239095651">
      <w:bodyDiv w:val="1"/>
      <w:marLeft w:val="0"/>
      <w:marRight w:val="0"/>
      <w:marTop w:val="0"/>
      <w:marBottom w:val="0"/>
      <w:divBdr>
        <w:top w:val="none" w:sz="0" w:space="0" w:color="auto"/>
        <w:left w:val="none" w:sz="0" w:space="0" w:color="auto"/>
        <w:bottom w:val="none" w:sz="0" w:space="0" w:color="auto"/>
        <w:right w:val="none" w:sz="0" w:space="0" w:color="auto"/>
      </w:divBdr>
    </w:div>
    <w:div w:id="239096753">
      <w:bodyDiv w:val="1"/>
      <w:marLeft w:val="0"/>
      <w:marRight w:val="0"/>
      <w:marTop w:val="0"/>
      <w:marBottom w:val="0"/>
      <w:divBdr>
        <w:top w:val="none" w:sz="0" w:space="0" w:color="auto"/>
        <w:left w:val="none" w:sz="0" w:space="0" w:color="auto"/>
        <w:bottom w:val="none" w:sz="0" w:space="0" w:color="auto"/>
        <w:right w:val="none" w:sz="0" w:space="0" w:color="auto"/>
      </w:divBdr>
    </w:div>
    <w:div w:id="239293205">
      <w:bodyDiv w:val="1"/>
      <w:marLeft w:val="0"/>
      <w:marRight w:val="0"/>
      <w:marTop w:val="0"/>
      <w:marBottom w:val="0"/>
      <w:divBdr>
        <w:top w:val="none" w:sz="0" w:space="0" w:color="auto"/>
        <w:left w:val="none" w:sz="0" w:space="0" w:color="auto"/>
        <w:bottom w:val="none" w:sz="0" w:space="0" w:color="auto"/>
        <w:right w:val="none" w:sz="0" w:space="0" w:color="auto"/>
      </w:divBdr>
    </w:div>
    <w:div w:id="239564754">
      <w:bodyDiv w:val="1"/>
      <w:marLeft w:val="0"/>
      <w:marRight w:val="0"/>
      <w:marTop w:val="0"/>
      <w:marBottom w:val="0"/>
      <w:divBdr>
        <w:top w:val="none" w:sz="0" w:space="0" w:color="auto"/>
        <w:left w:val="none" w:sz="0" w:space="0" w:color="auto"/>
        <w:bottom w:val="none" w:sz="0" w:space="0" w:color="auto"/>
        <w:right w:val="none" w:sz="0" w:space="0" w:color="auto"/>
      </w:divBdr>
    </w:div>
    <w:div w:id="239601517">
      <w:bodyDiv w:val="1"/>
      <w:marLeft w:val="0"/>
      <w:marRight w:val="0"/>
      <w:marTop w:val="0"/>
      <w:marBottom w:val="0"/>
      <w:divBdr>
        <w:top w:val="none" w:sz="0" w:space="0" w:color="auto"/>
        <w:left w:val="none" w:sz="0" w:space="0" w:color="auto"/>
        <w:bottom w:val="none" w:sz="0" w:space="0" w:color="auto"/>
        <w:right w:val="none" w:sz="0" w:space="0" w:color="auto"/>
      </w:divBdr>
    </w:div>
    <w:div w:id="239950255">
      <w:bodyDiv w:val="1"/>
      <w:marLeft w:val="0"/>
      <w:marRight w:val="0"/>
      <w:marTop w:val="0"/>
      <w:marBottom w:val="0"/>
      <w:divBdr>
        <w:top w:val="none" w:sz="0" w:space="0" w:color="auto"/>
        <w:left w:val="none" w:sz="0" w:space="0" w:color="auto"/>
        <w:bottom w:val="none" w:sz="0" w:space="0" w:color="auto"/>
        <w:right w:val="none" w:sz="0" w:space="0" w:color="auto"/>
      </w:divBdr>
    </w:div>
    <w:div w:id="239952366">
      <w:bodyDiv w:val="1"/>
      <w:marLeft w:val="0"/>
      <w:marRight w:val="0"/>
      <w:marTop w:val="0"/>
      <w:marBottom w:val="0"/>
      <w:divBdr>
        <w:top w:val="none" w:sz="0" w:space="0" w:color="auto"/>
        <w:left w:val="none" w:sz="0" w:space="0" w:color="auto"/>
        <w:bottom w:val="none" w:sz="0" w:space="0" w:color="auto"/>
        <w:right w:val="none" w:sz="0" w:space="0" w:color="auto"/>
      </w:divBdr>
    </w:div>
    <w:div w:id="239994860">
      <w:bodyDiv w:val="1"/>
      <w:marLeft w:val="0"/>
      <w:marRight w:val="0"/>
      <w:marTop w:val="0"/>
      <w:marBottom w:val="0"/>
      <w:divBdr>
        <w:top w:val="none" w:sz="0" w:space="0" w:color="auto"/>
        <w:left w:val="none" w:sz="0" w:space="0" w:color="auto"/>
        <w:bottom w:val="none" w:sz="0" w:space="0" w:color="auto"/>
        <w:right w:val="none" w:sz="0" w:space="0" w:color="auto"/>
      </w:divBdr>
    </w:div>
    <w:div w:id="240259219">
      <w:bodyDiv w:val="1"/>
      <w:marLeft w:val="0"/>
      <w:marRight w:val="0"/>
      <w:marTop w:val="0"/>
      <w:marBottom w:val="0"/>
      <w:divBdr>
        <w:top w:val="none" w:sz="0" w:space="0" w:color="auto"/>
        <w:left w:val="none" w:sz="0" w:space="0" w:color="auto"/>
        <w:bottom w:val="none" w:sz="0" w:space="0" w:color="auto"/>
        <w:right w:val="none" w:sz="0" w:space="0" w:color="auto"/>
      </w:divBdr>
    </w:div>
    <w:div w:id="240676746">
      <w:bodyDiv w:val="1"/>
      <w:marLeft w:val="0"/>
      <w:marRight w:val="0"/>
      <w:marTop w:val="0"/>
      <w:marBottom w:val="0"/>
      <w:divBdr>
        <w:top w:val="none" w:sz="0" w:space="0" w:color="auto"/>
        <w:left w:val="none" w:sz="0" w:space="0" w:color="auto"/>
        <w:bottom w:val="none" w:sz="0" w:space="0" w:color="auto"/>
        <w:right w:val="none" w:sz="0" w:space="0" w:color="auto"/>
      </w:divBdr>
    </w:div>
    <w:div w:id="241179341">
      <w:bodyDiv w:val="1"/>
      <w:marLeft w:val="0"/>
      <w:marRight w:val="0"/>
      <w:marTop w:val="0"/>
      <w:marBottom w:val="0"/>
      <w:divBdr>
        <w:top w:val="none" w:sz="0" w:space="0" w:color="auto"/>
        <w:left w:val="none" w:sz="0" w:space="0" w:color="auto"/>
        <w:bottom w:val="none" w:sz="0" w:space="0" w:color="auto"/>
        <w:right w:val="none" w:sz="0" w:space="0" w:color="auto"/>
      </w:divBdr>
    </w:div>
    <w:div w:id="241257495">
      <w:bodyDiv w:val="1"/>
      <w:marLeft w:val="0"/>
      <w:marRight w:val="0"/>
      <w:marTop w:val="0"/>
      <w:marBottom w:val="0"/>
      <w:divBdr>
        <w:top w:val="none" w:sz="0" w:space="0" w:color="auto"/>
        <w:left w:val="none" w:sz="0" w:space="0" w:color="auto"/>
        <w:bottom w:val="none" w:sz="0" w:space="0" w:color="auto"/>
        <w:right w:val="none" w:sz="0" w:space="0" w:color="auto"/>
      </w:divBdr>
    </w:div>
    <w:div w:id="241565956">
      <w:bodyDiv w:val="1"/>
      <w:marLeft w:val="0"/>
      <w:marRight w:val="0"/>
      <w:marTop w:val="0"/>
      <w:marBottom w:val="0"/>
      <w:divBdr>
        <w:top w:val="none" w:sz="0" w:space="0" w:color="auto"/>
        <w:left w:val="none" w:sz="0" w:space="0" w:color="auto"/>
        <w:bottom w:val="none" w:sz="0" w:space="0" w:color="auto"/>
        <w:right w:val="none" w:sz="0" w:space="0" w:color="auto"/>
      </w:divBdr>
    </w:div>
    <w:div w:id="241646745">
      <w:bodyDiv w:val="1"/>
      <w:marLeft w:val="0"/>
      <w:marRight w:val="0"/>
      <w:marTop w:val="0"/>
      <w:marBottom w:val="0"/>
      <w:divBdr>
        <w:top w:val="none" w:sz="0" w:space="0" w:color="auto"/>
        <w:left w:val="none" w:sz="0" w:space="0" w:color="auto"/>
        <w:bottom w:val="none" w:sz="0" w:space="0" w:color="auto"/>
        <w:right w:val="none" w:sz="0" w:space="0" w:color="auto"/>
      </w:divBdr>
    </w:div>
    <w:div w:id="241764974">
      <w:bodyDiv w:val="1"/>
      <w:marLeft w:val="0"/>
      <w:marRight w:val="0"/>
      <w:marTop w:val="0"/>
      <w:marBottom w:val="0"/>
      <w:divBdr>
        <w:top w:val="none" w:sz="0" w:space="0" w:color="auto"/>
        <w:left w:val="none" w:sz="0" w:space="0" w:color="auto"/>
        <w:bottom w:val="none" w:sz="0" w:space="0" w:color="auto"/>
        <w:right w:val="none" w:sz="0" w:space="0" w:color="auto"/>
      </w:divBdr>
    </w:div>
    <w:div w:id="242181917">
      <w:bodyDiv w:val="1"/>
      <w:marLeft w:val="0"/>
      <w:marRight w:val="0"/>
      <w:marTop w:val="0"/>
      <w:marBottom w:val="0"/>
      <w:divBdr>
        <w:top w:val="none" w:sz="0" w:space="0" w:color="auto"/>
        <w:left w:val="none" w:sz="0" w:space="0" w:color="auto"/>
        <w:bottom w:val="none" w:sz="0" w:space="0" w:color="auto"/>
        <w:right w:val="none" w:sz="0" w:space="0" w:color="auto"/>
      </w:divBdr>
    </w:div>
    <w:div w:id="242421904">
      <w:bodyDiv w:val="1"/>
      <w:marLeft w:val="0"/>
      <w:marRight w:val="0"/>
      <w:marTop w:val="0"/>
      <w:marBottom w:val="0"/>
      <w:divBdr>
        <w:top w:val="none" w:sz="0" w:space="0" w:color="auto"/>
        <w:left w:val="none" w:sz="0" w:space="0" w:color="auto"/>
        <w:bottom w:val="none" w:sz="0" w:space="0" w:color="auto"/>
        <w:right w:val="none" w:sz="0" w:space="0" w:color="auto"/>
      </w:divBdr>
    </w:div>
    <w:div w:id="242567694">
      <w:bodyDiv w:val="1"/>
      <w:marLeft w:val="0"/>
      <w:marRight w:val="0"/>
      <w:marTop w:val="0"/>
      <w:marBottom w:val="0"/>
      <w:divBdr>
        <w:top w:val="none" w:sz="0" w:space="0" w:color="auto"/>
        <w:left w:val="none" w:sz="0" w:space="0" w:color="auto"/>
        <w:bottom w:val="none" w:sz="0" w:space="0" w:color="auto"/>
        <w:right w:val="none" w:sz="0" w:space="0" w:color="auto"/>
      </w:divBdr>
    </w:div>
    <w:div w:id="242570032">
      <w:bodyDiv w:val="1"/>
      <w:marLeft w:val="0"/>
      <w:marRight w:val="0"/>
      <w:marTop w:val="0"/>
      <w:marBottom w:val="0"/>
      <w:divBdr>
        <w:top w:val="none" w:sz="0" w:space="0" w:color="auto"/>
        <w:left w:val="none" w:sz="0" w:space="0" w:color="auto"/>
        <w:bottom w:val="none" w:sz="0" w:space="0" w:color="auto"/>
        <w:right w:val="none" w:sz="0" w:space="0" w:color="auto"/>
      </w:divBdr>
    </w:div>
    <w:div w:id="242684676">
      <w:bodyDiv w:val="1"/>
      <w:marLeft w:val="0"/>
      <w:marRight w:val="0"/>
      <w:marTop w:val="0"/>
      <w:marBottom w:val="0"/>
      <w:divBdr>
        <w:top w:val="none" w:sz="0" w:space="0" w:color="auto"/>
        <w:left w:val="none" w:sz="0" w:space="0" w:color="auto"/>
        <w:bottom w:val="none" w:sz="0" w:space="0" w:color="auto"/>
        <w:right w:val="none" w:sz="0" w:space="0" w:color="auto"/>
      </w:divBdr>
    </w:div>
    <w:div w:id="242765180">
      <w:bodyDiv w:val="1"/>
      <w:marLeft w:val="0"/>
      <w:marRight w:val="0"/>
      <w:marTop w:val="0"/>
      <w:marBottom w:val="0"/>
      <w:divBdr>
        <w:top w:val="none" w:sz="0" w:space="0" w:color="auto"/>
        <w:left w:val="none" w:sz="0" w:space="0" w:color="auto"/>
        <w:bottom w:val="none" w:sz="0" w:space="0" w:color="auto"/>
        <w:right w:val="none" w:sz="0" w:space="0" w:color="auto"/>
      </w:divBdr>
    </w:div>
    <w:div w:id="242833352">
      <w:bodyDiv w:val="1"/>
      <w:marLeft w:val="0"/>
      <w:marRight w:val="0"/>
      <w:marTop w:val="0"/>
      <w:marBottom w:val="0"/>
      <w:divBdr>
        <w:top w:val="none" w:sz="0" w:space="0" w:color="auto"/>
        <w:left w:val="none" w:sz="0" w:space="0" w:color="auto"/>
        <w:bottom w:val="none" w:sz="0" w:space="0" w:color="auto"/>
        <w:right w:val="none" w:sz="0" w:space="0" w:color="auto"/>
      </w:divBdr>
    </w:div>
    <w:div w:id="242957851">
      <w:bodyDiv w:val="1"/>
      <w:marLeft w:val="0"/>
      <w:marRight w:val="0"/>
      <w:marTop w:val="0"/>
      <w:marBottom w:val="0"/>
      <w:divBdr>
        <w:top w:val="none" w:sz="0" w:space="0" w:color="auto"/>
        <w:left w:val="none" w:sz="0" w:space="0" w:color="auto"/>
        <w:bottom w:val="none" w:sz="0" w:space="0" w:color="auto"/>
        <w:right w:val="none" w:sz="0" w:space="0" w:color="auto"/>
      </w:divBdr>
    </w:div>
    <w:div w:id="243076149">
      <w:bodyDiv w:val="1"/>
      <w:marLeft w:val="0"/>
      <w:marRight w:val="0"/>
      <w:marTop w:val="0"/>
      <w:marBottom w:val="0"/>
      <w:divBdr>
        <w:top w:val="none" w:sz="0" w:space="0" w:color="auto"/>
        <w:left w:val="none" w:sz="0" w:space="0" w:color="auto"/>
        <w:bottom w:val="none" w:sz="0" w:space="0" w:color="auto"/>
        <w:right w:val="none" w:sz="0" w:space="0" w:color="auto"/>
      </w:divBdr>
    </w:div>
    <w:div w:id="243103671">
      <w:bodyDiv w:val="1"/>
      <w:marLeft w:val="0"/>
      <w:marRight w:val="0"/>
      <w:marTop w:val="0"/>
      <w:marBottom w:val="0"/>
      <w:divBdr>
        <w:top w:val="none" w:sz="0" w:space="0" w:color="auto"/>
        <w:left w:val="none" w:sz="0" w:space="0" w:color="auto"/>
        <w:bottom w:val="none" w:sz="0" w:space="0" w:color="auto"/>
        <w:right w:val="none" w:sz="0" w:space="0" w:color="auto"/>
      </w:divBdr>
    </w:div>
    <w:div w:id="243147271">
      <w:bodyDiv w:val="1"/>
      <w:marLeft w:val="0"/>
      <w:marRight w:val="0"/>
      <w:marTop w:val="0"/>
      <w:marBottom w:val="0"/>
      <w:divBdr>
        <w:top w:val="none" w:sz="0" w:space="0" w:color="auto"/>
        <w:left w:val="none" w:sz="0" w:space="0" w:color="auto"/>
        <w:bottom w:val="none" w:sz="0" w:space="0" w:color="auto"/>
        <w:right w:val="none" w:sz="0" w:space="0" w:color="auto"/>
      </w:divBdr>
    </w:div>
    <w:div w:id="243149762">
      <w:bodyDiv w:val="1"/>
      <w:marLeft w:val="0"/>
      <w:marRight w:val="0"/>
      <w:marTop w:val="0"/>
      <w:marBottom w:val="0"/>
      <w:divBdr>
        <w:top w:val="none" w:sz="0" w:space="0" w:color="auto"/>
        <w:left w:val="none" w:sz="0" w:space="0" w:color="auto"/>
        <w:bottom w:val="none" w:sz="0" w:space="0" w:color="auto"/>
        <w:right w:val="none" w:sz="0" w:space="0" w:color="auto"/>
      </w:divBdr>
    </w:div>
    <w:div w:id="243150052">
      <w:bodyDiv w:val="1"/>
      <w:marLeft w:val="0"/>
      <w:marRight w:val="0"/>
      <w:marTop w:val="0"/>
      <w:marBottom w:val="0"/>
      <w:divBdr>
        <w:top w:val="none" w:sz="0" w:space="0" w:color="auto"/>
        <w:left w:val="none" w:sz="0" w:space="0" w:color="auto"/>
        <w:bottom w:val="none" w:sz="0" w:space="0" w:color="auto"/>
        <w:right w:val="none" w:sz="0" w:space="0" w:color="auto"/>
      </w:divBdr>
    </w:div>
    <w:div w:id="243340749">
      <w:bodyDiv w:val="1"/>
      <w:marLeft w:val="0"/>
      <w:marRight w:val="0"/>
      <w:marTop w:val="0"/>
      <w:marBottom w:val="0"/>
      <w:divBdr>
        <w:top w:val="none" w:sz="0" w:space="0" w:color="auto"/>
        <w:left w:val="none" w:sz="0" w:space="0" w:color="auto"/>
        <w:bottom w:val="none" w:sz="0" w:space="0" w:color="auto"/>
        <w:right w:val="none" w:sz="0" w:space="0" w:color="auto"/>
      </w:divBdr>
    </w:div>
    <w:div w:id="243344239">
      <w:bodyDiv w:val="1"/>
      <w:marLeft w:val="0"/>
      <w:marRight w:val="0"/>
      <w:marTop w:val="0"/>
      <w:marBottom w:val="0"/>
      <w:divBdr>
        <w:top w:val="none" w:sz="0" w:space="0" w:color="auto"/>
        <w:left w:val="none" w:sz="0" w:space="0" w:color="auto"/>
        <w:bottom w:val="none" w:sz="0" w:space="0" w:color="auto"/>
        <w:right w:val="none" w:sz="0" w:space="0" w:color="auto"/>
      </w:divBdr>
    </w:div>
    <w:div w:id="243419395">
      <w:bodyDiv w:val="1"/>
      <w:marLeft w:val="0"/>
      <w:marRight w:val="0"/>
      <w:marTop w:val="0"/>
      <w:marBottom w:val="0"/>
      <w:divBdr>
        <w:top w:val="none" w:sz="0" w:space="0" w:color="auto"/>
        <w:left w:val="none" w:sz="0" w:space="0" w:color="auto"/>
        <w:bottom w:val="none" w:sz="0" w:space="0" w:color="auto"/>
        <w:right w:val="none" w:sz="0" w:space="0" w:color="auto"/>
      </w:divBdr>
    </w:div>
    <w:div w:id="243539054">
      <w:bodyDiv w:val="1"/>
      <w:marLeft w:val="0"/>
      <w:marRight w:val="0"/>
      <w:marTop w:val="0"/>
      <w:marBottom w:val="0"/>
      <w:divBdr>
        <w:top w:val="none" w:sz="0" w:space="0" w:color="auto"/>
        <w:left w:val="none" w:sz="0" w:space="0" w:color="auto"/>
        <w:bottom w:val="none" w:sz="0" w:space="0" w:color="auto"/>
        <w:right w:val="none" w:sz="0" w:space="0" w:color="auto"/>
      </w:divBdr>
    </w:div>
    <w:div w:id="244148926">
      <w:bodyDiv w:val="1"/>
      <w:marLeft w:val="0"/>
      <w:marRight w:val="0"/>
      <w:marTop w:val="0"/>
      <w:marBottom w:val="0"/>
      <w:divBdr>
        <w:top w:val="none" w:sz="0" w:space="0" w:color="auto"/>
        <w:left w:val="none" w:sz="0" w:space="0" w:color="auto"/>
        <w:bottom w:val="none" w:sz="0" w:space="0" w:color="auto"/>
        <w:right w:val="none" w:sz="0" w:space="0" w:color="auto"/>
      </w:divBdr>
    </w:div>
    <w:div w:id="244190539">
      <w:bodyDiv w:val="1"/>
      <w:marLeft w:val="0"/>
      <w:marRight w:val="0"/>
      <w:marTop w:val="0"/>
      <w:marBottom w:val="0"/>
      <w:divBdr>
        <w:top w:val="none" w:sz="0" w:space="0" w:color="auto"/>
        <w:left w:val="none" w:sz="0" w:space="0" w:color="auto"/>
        <w:bottom w:val="none" w:sz="0" w:space="0" w:color="auto"/>
        <w:right w:val="none" w:sz="0" w:space="0" w:color="auto"/>
      </w:divBdr>
    </w:div>
    <w:div w:id="244530471">
      <w:bodyDiv w:val="1"/>
      <w:marLeft w:val="0"/>
      <w:marRight w:val="0"/>
      <w:marTop w:val="0"/>
      <w:marBottom w:val="0"/>
      <w:divBdr>
        <w:top w:val="none" w:sz="0" w:space="0" w:color="auto"/>
        <w:left w:val="none" w:sz="0" w:space="0" w:color="auto"/>
        <w:bottom w:val="none" w:sz="0" w:space="0" w:color="auto"/>
        <w:right w:val="none" w:sz="0" w:space="0" w:color="auto"/>
      </w:divBdr>
    </w:div>
    <w:div w:id="245040722">
      <w:bodyDiv w:val="1"/>
      <w:marLeft w:val="0"/>
      <w:marRight w:val="0"/>
      <w:marTop w:val="0"/>
      <w:marBottom w:val="0"/>
      <w:divBdr>
        <w:top w:val="none" w:sz="0" w:space="0" w:color="auto"/>
        <w:left w:val="none" w:sz="0" w:space="0" w:color="auto"/>
        <w:bottom w:val="none" w:sz="0" w:space="0" w:color="auto"/>
        <w:right w:val="none" w:sz="0" w:space="0" w:color="auto"/>
      </w:divBdr>
    </w:div>
    <w:div w:id="245193054">
      <w:bodyDiv w:val="1"/>
      <w:marLeft w:val="0"/>
      <w:marRight w:val="0"/>
      <w:marTop w:val="0"/>
      <w:marBottom w:val="0"/>
      <w:divBdr>
        <w:top w:val="none" w:sz="0" w:space="0" w:color="auto"/>
        <w:left w:val="none" w:sz="0" w:space="0" w:color="auto"/>
        <w:bottom w:val="none" w:sz="0" w:space="0" w:color="auto"/>
        <w:right w:val="none" w:sz="0" w:space="0" w:color="auto"/>
      </w:divBdr>
    </w:div>
    <w:div w:id="245264233">
      <w:bodyDiv w:val="1"/>
      <w:marLeft w:val="0"/>
      <w:marRight w:val="0"/>
      <w:marTop w:val="0"/>
      <w:marBottom w:val="0"/>
      <w:divBdr>
        <w:top w:val="none" w:sz="0" w:space="0" w:color="auto"/>
        <w:left w:val="none" w:sz="0" w:space="0" w:color="auto"/>
        <w:bottom w:val="none" w:sz="0" w:space="0" w:color="auto"/>
        <w:right w:val="none" w:sz="0" w:space="0" w:color="auto"/>
      </w:divBdr>
    </w:div>
    <w:div w:id="245655221">
      <w:bodyDiv w:val="1"/>
      <w:marLeft w:val="0"/>
      <w:marRight w:val="0"/>
      <w:marTop w:val="0"/>
      <w:marBottom w:val="0"/>
      <w:divBdr>
        <w:top w:val="none" w:sz="0" w:space="0" w:color="auto"/>
        <w:left w:val="none" w:sz="0" w:space="0" w:color="auto"/>
        <w:bottom w:val="none" w:sz="0" w:space="0" w:color="auto"/>
        <w:right w:val="none" w:sz="0" w:space="0" w:color="auto"/>
      </w:divBdr>
    </w:div>
    <w:div w:id="245922731">
      <w:bodyDiv w:val="1"/>
      <w:marLeft w:val="0"/>
      <w:marRight w:val="0"/>
      <w:marTop w:val="0"/>
      <w:marBottom w:val="0"/>
      <w:divBdr>
        <w:top w:val="none" w:sz="0" w:space="0" w:color="auto"/>
        <w:left w:val="none" w:sz="0" w:space="0" w:color="auto"/>
        <w:bottom w:val="none" w:sz="0" w:space="0" w:color="auto"/>
        <w:right w:val="none" w:sz="0" w:space="0" w:color="auto"/>
      </w:divBdr>
    </w:div>
    <w:div w:id="246157516">
      <w:bodyDiv w:val="1"/>
      <w:marLeft w:val="0"/>
      <w:marRight w:val="0"/>
      <w:marTop w:val="0"/>
      <w:marBottom w:val="0"/>
      <w:divBdr>
        <w:top w:val="none" w:sz="0" w:space="0" w:color="auto"/>
        <w:left w:val="none" w:sz="0" w:space="0" w:color="auto"/>
        <w:bottom w:val="none" w:sz="0" w:space="0" w:color="auto"/>
        <w:right w:val="none" w:sz="0" w:space="0" w:color="auto"/>
      </w:divBdr>
    </w:div>
    <w:div w:id="246502594">
      <w:bodyDiv w:val="1"/>
      <w:marLeft w:val="0"/>
      <w:marRight w:val="0"/>
      <w:marTop w:val="0"/>
      <w:marBottom w:val="0"/>
      <w:divBdr>
        <w:top w:val="none" w:sz="0" w:space="0" w:color="auto"/>
        <w:left w:val="none" w:sz="0" w:space="0" w:color="auto"/>
        <w:bottom w:val="none" w:sz="0" w:space="0" w:color="auto"/>
        <w:right w:val="none" w:sz="0" w:space="0" w:color="auto"/>
      </w:divBdr>
    </w:div>
    <w:div w:id="246577629">
      <w:bodyDiv w:val="1"/>
      <w:marLeft w:val="0"/>
      <w:marRight w:val="0"/>
      <w:marTop w:val="0"/>
      <w:marBottom w:val="0"/>
      <w:divBdr>
        <w:top w:val="none" w:sz="0" w:space="0" w:color="auto"/>
        <w:left w:val="none" w:sz="0" w:space="0" w:color="auto"/>
        <w:bottom w:val="none" w:sz="0" w:space="0" w:color="auto"/>
        <w:right w:val="none" w:sz="0" w:space="0" w:color="auto"/>
      </w:divBdr>
    </w:div>
    <w:div w:id="246765023">
      <w:bodyDiv w:val="1"/>
      <w:marLeft w:val="0"/>
      <w:marRight w:val="0"/>
      <w:marTop w:val="0"/>
      <w:marBottom w:val="0"/>
      <w:divBdr>
        <w:top w:val="none" w:sz="0" w:space="0" w:color="auto"/>
        <w:left w:val="none" w:sz="0" w:space="0" w:color="auto"/>
        <w:bottom w:val="none" w:sz="0" w:space="0" w:color="auto"/>
        <w:right w:val="none" w:sz="0" w:space="0" w:color="auto"/>
      </w:divBdr>
    </w:div>
    <w:div w:id="246767117">
      <w:bodyDiv w:val="1"/>
      <w:marLeft w:val="0"/>
      <w:marRight w:val="0"/>
      <w:marTop w:val="0"/>
      <w:marBottom w:val="0"/>
      <w:divBdr>
        <w:top w:val="none" w:sz="0" w:space="0" w:color="auto"/>
        <w:left w:val="none" w:sz="0" w:space="0" w:color="auto"/>
        <w:bottom w:val="none" w:sz="0" w:space="0" w:color="auto"/>
        <w:right w:val="none" w:sz="0" w:space="0" w:color="auto"/>
      </w:divBdr>
    </w:div>
    <w:div w:id="246884301">
      <w:bodyDiv w:val="1"/>
      <w:marLeft w:val="0"/>
      <w:marRight w:val="0"/>
      <w:marTop w:val="0"/>
      <w:marBottom w:val="0"/>
      <w:divBdr>
        <w:top w:val="none" w:sz="0" w:space="0" w:color="auto"/>
        <w:left w:val="none" w:sz="0" w:space="0" w:color="auto"/>
        <w:bottom w:val="none" w:sz="0" w:space="0" w:color="auto"/>
        <w:right w:val="none" w:sz="0" w:space="0" w:color="auto"/>
      </w:divBdr>
    </w:div>
    <w:div w:id="247349626">
      <w:bodyDiv w:val="1"/>
      <w:marLeft w:val="0"/>
      <w:marRight w:val="0"/>
      <w:marTop w:val="0"/>
      <w:marBottom w:val="0"/>
      <w:divBdr>
        <w:top w:val="none" w:sz="0" w:space="0" w:color="auto"/>
        <w:left w:val="none" w:sz="0" w:space="0" w:color="auto"/>
        <w:bottom w:val="none" w:sz="0" w:space="0" w:color="auto"/>
        <w:right w:val="none" w:sz="0" w:space="0" w:color="auto"/>
      </w:divBdr>
    </w:div>
    <w:div w:id="247426735">
      <w:bodyDiv w:val="1"/>
      <w:marLeft w:val="0"/>
      <w:marRight w:val="0"/>
      <w:marTop w:val="0"/>
      <w:marBottom w:val="0"/>
      <w:divBdr>
        <w:top w:val="none" w:sz="0" w:space="0" w:color="auto"/>
        <w:left w:val="none" w:sz="0" w:space="0" w:color="auto"/>
        <w:bottom w:val="none" w:sz="0" w:space="0" w:color="auto"/>
        <w:right w:val="none" w:sz="0" w:space="0" w:color="auto"/>
      </w:divBdr>
    </w:div>
    <w:div w:id="247464170">
      <w:bodyDiv w:val="1"/>
      <w:marLeft w:val="0"/>
      <w:marRight w:val="0"/>
      <w:marTop w:val="0"/>
      <w:marBottom w:val="0"/>
      <w:divBdr>
        <w:top w:val="none" w:sz="0" w:space="0" w:color="auto"/>
        <w:left w:val="none" w:sz="0" w:space="0" w:color="auto"/>
        <w:bottom w:val="none" w:sz="0" w:space="0" w:color="auto"/>
        <w:right w:val="none" w:sz="0" w:space="0" w:color="auto"/>
      </w:divBdr>
    </w:div>
    <w:div w:id="247885030">
      <w:bodyDiv w:val="1"/>
      <w:marLeft w:val="0"/>
      <w:marRight w:val="0"/>
      <w:marTop w:val="0"/>
      <w:marBottom w:val="0"/>
      <w:divBdr>
        <w:top w:val="none" w:sz="0" w:space="0" w:color="auto"/>
        <w:left w:val="none" w:sz="0" w:space="0" w:color="auto"/>
        <w:bottom w:val="none" w:sz="0" w:space="0" w:color="auto"/>
        <w:right w:val="none" w:sz="0" w:space="0" w:color="auto"/>
      </w:divBdr>
    </w:div>
    <w:div w:id="247926356">
      <w:bodyDiv w:val="1"/>
      <w:marLeft w:val="0"/>
      <w:marRight w:val="0"/>
      <w:marTop w:val="0"/>
      <w:marBottom w:val="0"/>
      <w:divBdr>
        <w:top w:val="none" w:sz="0" w:space="0" w:color="auto"/>
        <w:left w:val="none" w:sz="0" w:space="0" w:color="auto"/>
        <w:bottom w:val="none" w:sz="0" w:space="0" w:color="auto"/>
        <w:right w:val="none" w:sz="0" w:space="0" w:color="auto"/>
      </w:divBdr>
    </w:div>
    <w:div w:id="247930671">
      <w:bodyDiv w:val="1"/>
      <w:marLeft w:val="0"/>
      <w:marRight w:val="0"/>
      <w:marTop w:val="0"/>
      <w:marBottom w:val="0"/>
      <w:divBdr>
        <w:top w:val="none" w:sz="0" w:space="0" w:color="auto"/>
        <w:left w:val="none" w:sz="0" w:space="0" w:color="auto"/>
        <w:bottom w:val="none" w:sz="0" w:space="0" w:color="auto"/>
        <w:right w:val="none" w:sz="0" w:space="0" w:color="auto"/>
      </w:divBdr>
    </w:div>
    <w:div w:id="248076203">
      <w:bodyDiv w:val="1"/>
      <w:marLeft w:val="0"/>
      <w:marRight w:val="0"/>
      <w:marTop w:val="0"/>
      <w:marBottom w:val="0"/>
      <w:divBdr>
        <w:top w:val="none" w:sz="0" w:space="0" w:color="auto"/>
        <w:left w:val="none" w:sz="0" w:space="0" w:color="auto"/>
        <w:bottom w:val="none" w:sz="0" w:space="0" w:color="auto"/>
        <w:right w:val="none" w:sz="0" w:space="0" w:color="auto"/>
      </w:divBdr>
    </w:div>
    <w:div w:id="248540553">
      <w:bodyDiv w:val="1"/>
      <w:marLeft w:val="0"/>
      <w:marRight w:val="0"/>
      <w:marTop w:val="0"/>
      <w:marBottom w:val="0"/>
      <w:divBdr>
        <w:top w:val="none" w:sz="0" w:space="0" w:color="auto"/>
        <w:left w:val="none" w:sz="0" w:space="0" w:color="auto"/>
        <w:bottom w:val="none" w:sz="0" w:space="0" w:color="auto"/>
        <w:right w:val="none" w:sz="0" w:space="0" w:color="auto"/>
      </w:divBdr>
    </w:div>
    <w:div w:id="248806477">
      <w:bodyDiv w:val="1"/>
      <w:marLeft w:val="0"/>
      <w:marRight w:val="0"/>
      <w:marTop w:val="0"/>
      <w:marBottom w:val="0"/>
      <w:divBdr>
        <w:top w:val="none" w:sz="0" w:space="0" w:color="auto"/>
        <w:left w:val="none" w:sz="0" w:space="0" w:color="auto"/>
        <w:bottom w:val="none" w:sz="0" w:space="0" w:color="auto"/>
        <w:right w:val="none" w:sz="0" w:space="0" w:color="auto"/>
      </w:divBdr>
    </w:div>
    <w:div w:id="248929634">
      <w:bodyDiv w:val="1"/>
      <w:marLeft w:val="0"/>
      <w:marRight w:val="0"/>
      <w:marTop w:val="0"/>
      <w:marBottom w:val="0"/>
      <w:divBdr>
        <w:top w:val="none" w:sz="0" w:space="0" w:color="auto"/>
        <w:left w:val="none" w:sz="0" w:space="0" w:color="auto"/>
        <w:bottom w:val="none" w:sz="0" w:space="0" w:color="auto"/>
        <w:right w:val="none" w:sz="0" w:space="0" w:color="auto"/>
      </w:divBdr>
    </w:div>
    <w:div w:id="248930988">
      <w:bodyDiv w:val="1"/>
      <w:marLeft w:val="0"/>
      <w:marRight w:val="0"/>
      <w:marTop w:val="0"/>
      <w:marBottom w:val="0"/>
      <w:divBdr>
        <w:top w:val="none" w:sz="0" w:space="0" w:color="auto"/>
        <w:left w:val="none" w:sz="0" w:space="0" w:color="auto"/>
        <w:bottom w:val="none" w:sz="0" w:space="0" w:color="auto"/>
        <w:right w:val="none" w:sz="0" w:space="0" w:color="auto"/>
      </w:divBdr>
    </w:div>
    <w:div w:id="249239556">
      <w:bodyDiv w:val="1"/>
      <w:marLeft w:val="0"/>
      <w:marRight w:val="0"/>
      <w:marTop w:val="0"/>
      <w:marBottom w:val="0"/>
      <w:divBdr>
        <w:top w:val="none" w:sz="0" w:space="0" w:color="auto"/>
        <w:left w:val="none" w:sz="0" w:space="0" w:color="auto"/>
        <w:bottom w:val="none" w:sz="0" w:space="0" w:color="auto"/>
        <w:right w:val="none" w:sz="0" w:space="0" w:color="auto"/>
      </w:divBdr>
    </w:div>
    <w:div w:id="249239800">
      <w:bodyDiv w:val="1"/>
      <w:marLeft w:val="0"/>
      <w:marRight w:val="0"/>
      <w:marTop w:val="0"/>
      <w:marBottom w:val="0"/>
      <w:divBdr>
        <w:top w:val="none" w:sz="0" w:space="0" w:color="auto"/>
        <w:left w:val="none" w:sz="0" w:space="0" w:color="auto"/>
        <w:bottom w:val="none" w:sz="0" w:space="0" w:color="auto"/>
        <w:right w:val="none" w:sz="0" w:space="0" w:color="auto"/>
      </w:divBdr>
    </w:div>
    <w:div w:id="249318958">
      <w:bodyDiv w:val="1"/>
      <w:marLeft w:val="0"/>
      <w:marRight w:val="0"/>
      <w:marTop w:val="0"/>
      <w:marBottom w:val="0"/>
      <w:divBdr>
        <w:top w:val="none" w:sz="0" w:space="0" w:color="auto"/>
        <w:left w:val="none" w:sz="0" w:space="0" w:color="auto"/>
        <w:bottom w:val="none" w:sz="0" w:space="0" w:color="auto"/>
        <w:right w:val="none" w:sz="0" w:space="0" w:color="auto"/>
      </w:divBdr>
    </w:div>
    <w:div w:id="249431066">
      <w:bodyDiv w:val="1"/>
      <w:marLeft w:val="0"/>
      <w:marRight w:val="0"/>
      <w:marTop w:val="0"/>
      <w:marBottom w:val="0"/>
      <w:divBdr>
        <w:top w:val="none" w:sz="0" w:space="0" w:color="auto"/>
        <w:left w:val="none" w:sz="0" w:space="0" w:color="auto"/>
        <w:bottom w:val="none" w:sz="0" w:space="0" w:color="auto"/>
        <w:right w:val="none" w:sz="0" w:space="0" w:color="auto"/>
      </w:divBdr>
    </w:div>
    <w:div w:id="249584232">
      <w:bodyDiv w:val="1"/>
      <w:marLeft w:val="0"/>
      <w:marRight w:val="0"/>
      <w:marTop w:val="0"/>
      <w:marBottom w:val="0"/>
      <w:divBdr>
        <w:top w:val="none" w:sz="0" w:space="0" w:color="auto"/>
        <w:left w:val="none" w:sz="0" w:space="0" w:color="auto"/>
        <w:bottom w:val="none" w:sz="0" w:space="0" w:color="auto"/>
        <w:right w:val="none" w:sz="0" w:space="0" w:color="auto"/>
      </w:divBdr>
    </w:div>
    <w:div w:id="249700789">
      <w:bodyDiv w:val="1"/>
      <w:marLeft w:val="0"/>
      <w:marRight w:val="0"/>
      <w:marTop w:val="0"/>
      <w:marBottom w:val="0"/>
      <w:divBdr>
        <w:top w:val="none" w:sz="0" w:space="0" w:color="auto"/>
        <w:left w:val="none" w:sz="0" w:space="0" w:color="auto"/>
        <w:bottom w:val="none" w:sz="0" w:space="0" w:color="auto"/>
        <w:right w:val="none" w:sz="0" w:space="0" w:color="auto"/>
      </w:divBdr>
    </w:div>
    <w:div w:id="249779428">
      <w:bodyDiv w:val="1"/>
      <w:marLeft w:val="0"/>
      <w:marRight w:val="0"/>
      <w:marTop w:val="0"/>
      <w:marBottom w:val="0"/>
      <w:divBdr>
        <w:top w:val="none" w:sz="0" w:space="0" w:color="auto"/>
        <w:left w:val="none" w:sz="0" w:space="0" w:color="auto"/>
        <w:bottom w:val="none" w:sz="0" w:space="0" w:color="auto"/>
        <w:right w:val="none" w:sz="0" w:space="0" w:color="auto"/>
      </w:divBdr>
    </w:div>
    <w:div w:id="249966333">
      <w:bodyDiv w:val="1"/>
      <w:marLeft w:val="0"/>
      <w:marRight w:val="0"/>
      <w:marTop w:val="0"/>
      <w:marBottom w:val="0"/>
      <w:divBdr>
        <w:top w:val="none" w:sz="0" w:space="0" w:color="auto"/>
        <w:left w:val="none" w:sz="0" w:space="0" w:color="auto"/>
        <w:bottom w:val="none" w:sz="0" w:space="0" w:color="auto"/>
        <w:right w:val="none" w:sz="0" w:space="0" w:color="auto"/>
      </w:divBdr>
    </w:div>
    <w:div w:id="249966488">
      <w:bodyDiv w:val="1"/>
      <w:marLeft w:val="0"/>
      <w:marRight w:val="0"/>
      <w:marTop w:val="0"/>
      <w:marBottom w:val="0"/>
      <w:divBdr>
        <w:top w:val="none" w:sz="0" w:space="0" w:color="auto"/>
        <w:left w:val="none" w:sz="0" w:space="0" w:color="auto"/>
        <w:bottom w:val="none" w:sz="0" w:space="0" w:color="auto"/>
        <w:right w:val="none" w:sz="0" w:space="0" w:color="auto"/>
      </w:divBdr>
    </w:div>
    <w:div w:id="249969318">
      <w:bodyDiv w:val="1"/>
      <w:marLeft w:val="0"/>
      <w:marRight w:val="0"/>
      <w:marTop w:val="0"/>
      <w:marBottom w:val="0"/>
      <w:divBdr>
        <w:top w:val="none" w:sz="0" w:space="0" w:color="auto"/>
        <w:left w:val="none" w:sz="0" w:space="0" w:color="auto"/>
        <w:bottom w:val="none" w:sz="0" w:space="0" w:color="auto"/>
        <w:right w:val="none" w:sz="0" w:space="0" w:color="auto"/>
      </w:divBdr>
    </w:div>
    <w:div w:id="249973078">
      <w:bodyDiv w:val="1"/>
      <w:marLeft w:val="0"/>
      <w:marRight w:val="0"/>
      <w:marTop w:val="0"/>
      <w:marBottom w:val="0"/>
      <w:divBdr>
        <w:top w:val="none" w:sz="0" w:space="0" w:color="auto"/>
        <w:left w:val="none" w:sz="0" w:space="0" w:color="auto"/>
        <w:bottom w:val="none" w:sz="0" w:space="0" w:color="auto"/>
        <w:right w:val="none" w:sz="0" w:space="0" w:color="auto"/>
      </w:divBdr>
    </w:div>
    <w:div w:id="249975478">
      <w:bodyDiv w:val="1"/>
      <w:marLeft w:val="0"/>
      <w:marRight w:val="0"/>
      <w:marTop w:val="0"/>
      <w:marBottom w:val="0"/>
      <w:divBdr>
        <w:top w:val="none" w:sz="0" w:space="0" w:color="auto"/>
        <w:left w:val="none" w:sz="0" w:space="0" w:color="auto"/>
        <w:bottom w:val="none" w:sz="0" w:space="0" w:color="auto"/>
        <w:right w:val="none" w:sz="0" w:space="0" w:color="auto"/>
      </w:divBdr>
    </w:div>
    <w:div w:id="250042156">
      <w:bodyDiv w:val="1"/>
      <w:marLeft w:val="0"/>
      <w:marRight w:val="0"/>
      <w:marTop w:val="0"/>
      <w:marBottom w:val="0"/>
      <w:divBdr>
        <w:top w:val="none" w:sz="0" w:space="0" w:color="auto"/>
        <w:left w:val="none" w:sz="0" w:space="0" w:color="auto"/>
        <w:bottom w:val="none" w:sz="0" w:space="0" w:color="auto"/>
        <w:right w:val="none" w:sz="0" w:space="0" w:color="auto"/>
      </w:divBdr>
    </w:div>
    <w:div w:id="250043097">
      <w:bodyDiv w:val="1"/>
      <w:marLeft w:val="0"/>
      <w:marRight w:val="0"/>
      <w:marTop w:val="0"/>
      <w:marBottom w:val="0"/>
      <w:divBdr>
        <w:top w:val="none" w:sz="0" w:space="0" w:color="auto"/>
        <w:left w:val="none" w:sz="0" w:space="0" w:color="auto"/>
        <w:bottom w:val="none" w:sz="0" w:space="0" w:color="auto"/>
        <w:right w:val="none" w:sz="0" w:space="0" w:color="auto"/>
      </w:divBdr>
    </w:div>
    <w:div w:id="250085659">
      <w:bodyDiv w:val="1"/>
      <w:marLeft w:val="0"/>
      <w:marRight w:val="0"/>
      <w:marTop w:val="0"/>
      <w:marBottom w:val="0"/>
      <w:divBdr>
        <w:top w:val="none" w:sz="0" w:space="0" w:color="auto"/>
        <w:left w:val="none" w:sz="0" w:space="0" w:color="auto"/>
        <w:bottom w:val="none" w:sz="0" w:space="0" w:color="auto"/>
        <w:right w:val="none" w:sz="0" w:space="0" w:color="auto"/>
      </w:divBdr>
    </w:div>
    <w:div w:id="250163740">
      <w:bodyDiv w:val="1"/>
      <w:marLeft w:val="0"/>
      <w:marRight w:val="0"/>
      <w:marTop w:val="0"/>
      <w:marBottom w:val="0"/>
      <w:divBdr>
        <w:top w:val="none" w:sz="0" w:space="0" w:color="auto"/>
        <w:left w:val="none" w:sz="0" w:space="0" w:color="auto"/>
        <w:bottom w:val="none" w:sz="0" w:space="0" w:color="auto"/>
        <w:right w:val="none" w:sz="0" w:space="0" w:color="auto"/>
      </w:divBdr>
    </w:div>
    <w:div w:id="250429933">
      <w:bodyDiv w:val="1"/>
      <w:marLeft w:val="0"/>
      <w:marRight w:val="0"/>
      <w:marTop w:val="0"/>
      <w:marBottom w:val="0"/>
      <w:divBdr>
        <w:top w:val="none" w:sz="0" w:space="0" w:color="auto"/>
        <w:left w:val="none" w:sz="0" w:space="0" w:color="auto"/>
        <w:bottom w:val="none" w:sz="0" w:space="0" w:color="auto"/>
        <w:right w:val="none" w:sz="0" w:space="0" w:color="auto"/>
      </w:divBdr>
    </w:div>
    <w:div w:id="250549258">
      <w:bodyDiv w:val="1"/>
      <w:marLeft w:val="0"/>
      <w:marRight w:val="0"/>
      <w:marTop w:val="0"/>
      <w:marBottom w:val="0"/>
      <w:divBdr>
        <w:top w:val="none" w:sz="0" w:space="0" w:color="auto"/>
        <w:left w:val="none" w:sz="0" w:space="0" w:color="auto"/>
        <w:bottom w:val="none" w:sz="0" w:space="0" w:color="auto"/>
        <w:right w:val="none" w:sz="0" w:space="0" w:color="auto"/>
      </w:divBdr>
    </w:div>
    <w:div w:id="250550318">
      <w:bodyDiv w:val="1"/>
      <w:marLeft w:val="0"/>
      <w:marRight w:val="0"/>
      <w:marTop w:val="0"/>
      <w:marBottom w:val="0"/>
      <w:divBdr>
        <w:top w:val="none" w:sz="0" w:space="0" w:color="auto"/>
        <w:left w:val="none" w:sz="0" w:space="0" w:color="auto"/>
        <w:bottom w:val="none" w:sz="0" w:space="0" w:color="auto"/>
        <w:right w:val="none" w:sz="0" w:space="0" w:color="auto"/>
      </w:divBdr>
    </w:div>
    <w:div w:id="250552016">
      <w:bodyDiv w:val="1"/>
      <w:marLeft w:val="0"/>
      <w:marRight w:val="0"/>
      <w:marTop w:val="0"/>
      <w:marBottom w:val="0"/>
      <w:divBdr>
        <w:top w:val="none" w:sz="0" w:space="0" w:color="auto"/>
        <w:left w:val="none" w:sz="0" w:space="0" w:color="auto"/>
        <w:bottom w:val="none" w:sz="0" w:space="0" w:color="auto"/>
        <w:right w:val="none" w:sz="0" w:space="0" w:color="auto"/>
      </w:divBdr>
    </w:div>
    <w:div w:id="250554510">
      <w:bodyDiv w:val="1"/>
      <w:marLeft w:val="0"/>
      <w:marRight w:val="0"/>
      <w:marTop w:val="0"/>
      <w:marBottom w:val="0"/>
      <w:divBdr>
        <w:top w:val="none" w:sz="0" w:space="0" w:color="auto"/>
        <w:left w:val="none" w:sz="0" w:space="0" w:color="auto"/>
        <w:bottom w:val="none" w:sz="0" w:space="0" w:color="auto"/>
        <w:right w:val="none" w:sz="0" w:space="0" w:color="auto"/>
      </w:divBdr>
    </w:div>
    <w:div w:id="250630749">
      <w:bodyDiv w:val="1"/>
      <w:marLeft w:val="0"/>
      <w:marRight w:val="0"/>
      <w:marTop w:val="0"/>
      <w:marBottom w:val="0"/>
      <w:divBdr>
        <w:top w:val="none" w:sz="0" w:space="0" w:color="auto"/>
        <w:left w:val="none" w:sz="0" w:space="0" w:color="auto"/>
        <w:bottom w:val="none" w:sz="0" w:space="0" w:color="auto"/>
        <w:right w:val="none" w:sz="0" w:space="0" w:color="auto"/>
      </w:divBdr>
    </w:div>
    <w:div w:id="250772119">
      <w:bodyDiv w:val="1"/>
      <w:marLeft w:val="0"/>
      <w:marRight w:val="0"/>
      <w:marTop w:val="0"/>
      <w:marBottom w:val="0"/>
      <w:divBdr>
        <w:top w:val="none" w:sz="0" w:space="0" w:color="auto"/>
        <w:left w:val="none" w:sz="0" w:space="0" w:color="auto"/>
        <w:bottom w:val="none" w:sz="0" w:space="0" w:color="auto"/>
        <w:right w:val="none" w:sz="0" w:space="0" w:color="auto"/>
      </w:divBdr>
    </w:div>
    <w:div w:id="250823612">
      <w:bodyDiv w:val="1"/>
      <w:marLeft w:val="0"/>
      <w:marRight w:val="0"/>
      <w:marTop w:val="0"/>
      <w:marBottom w:val="0"/>
      <w:divBdr>
        <w:top w:val="none" w:sz="0" w:space="0" w:color="auto"/>
        <w:left w:val="none" w:sz="0" w:space="0" w:color="auto"/>
        <w:bottom w:val="none" w:sz="0" w:space="0" w:color="auto"/>
        <w:right w:val="none" w:sz="0" w:space="0" w:color="auto"/>
      </w:divBdr>
    </w:div>
    <w:div w:id="250969825">
      <w:bodyDiv w:val="1"/>
      <w:marLeft w:val="0"/>
      <w:marRight w:val="0"/>
      <w:marTop w:val="0"/>
      <w:marBottom w:val="0"/>
      <w:divBdr>
        <w:top w:val="none" w:sz="0" w:space="0" w:color="auto"/>
        <w:left w:val="none" w:sz="0" w:space="0" w:color="auto"/>
        <w:bottom w:val="none" w:sz="0" w:space="0" w:color="auto"/>
        <w:right w:val="none" w:sz="0" w:space="0" w:color="auto"/>
      </w:divBdr>
    </w:div>
    <w:div w:id="251160664">
      <w:bodyDiv w:val="1"/>
      <w:marLeft w:val="0"/>
      <w:marRight w:val="0"/>
      <w:marTop w:val="0"/>
      <w:marBottom w:val="0"/>
      <w:divBdr>
        <w:top w:val="none" w:sz="0" w:space="0" w:color="auto"/>
        <w:left w:val="none" w:sz="0" w:space="0" w:color="auto"/>
        <w:bottom w:val="none" w:sz="0" w:space="0" w:color="auto"/>
        <w:right w:val="none" w:sz="0" w:space="0" w:color="auto"/>
      </w:divBdr>
    </w:div>
    <w:div w:id="251161665">
      <w:bodyDiv w:val="1"/>
      <w:marLeft w:val="0"/>
      <w:marRight w:val="0"/>
      <w:marTop w:val="0"/>
      <w:marBottom w:val="0"/>
      <w:divBdr>
        <w:top w:val="none" w:sz="0" w:space="0" w:color="auto"/>
        <w:left w:val="none" w:sz="0" w:space="0" w:color="auto"/>
        <w:bottom w:val="none" w:sz="0" w:space="0" w:color="auto"/>
        <w:right w:val="none" w:sz="0" w:space="0" w:color="auto"/>
      </w:divBdr>
    </w:div>
    <w:div w:id="251396693">
      <w:bodyDiv w:val="1"/>
      <w:marLeft w:val="0"/>
      <w:marRight w:val="0"/>
      <w:marTop w:val="0"/>
      <w:marBottom w:val="0"/>
      <w:divBdr>
        <w:top w:val="none" w:sz="0" w:space="0" w:color="auto"/>
        <w:left w:val="none" w:sz="0" w:space="0" w:color="auto"/>
        <w:bottom w:val="none" w:sz="0" w:space="0" w:color="auto"/>
        <w:right w:val="none" w:sz="0" w:space="0" w:color="auto"/>
      </w:divBdr>
    </w:div>
    <w:div w:id="251554558">
      <w:bodyDiv w:val="1"/>
      <w:marLeft w:val="0"/>
      <w:marRight w:val="0"/>
      <w:marTop w:val="0"/>
      <w:marBottom w:val="0"/>
      <w:divBdr>
        <w:top w:val="none" w:sz="0" w:space="0" w:color="auto"/>
        <w:left w:val="none" w:sz="0" w:space="0" w:color="auto"/>
        <w:bottom w:val="none" w:sz="0" w:space="0" w:color="auto"/>
        <w:right w:val="none" w:sz="0" w:space="0" w:color="auto"/>
      </w:divBdr>
    </w:div>
    <w:div w:id="251594860">
      <w:bodyDiv w:val="1"/>
      <w:marLeft w:val="0"/>
      <w:marRight w:val="0"/>
      <w:marTop w:val="0"/>
      <w:marBottom w:val="0"/>
      <w:divBdr>
        <w:top w:val="none" w:sz="0" w:space="0" w:color="auto"/>
        <w:left w:val="none" w:sz="0" w:space="0" w:color="auto"/>
        <w:bottom w:val="none" w:sz="0" w:space="0" w:color="auto"/>
        <w:right w:val="none" w:sz="0" w:space="0" w:color="auto"/>
      </w:divBdr>
    </w:div>
    <w:div w:id="251669241">
      <w:bodyDiv w:val="1"/>
      <w:marLeft w:val="0"/>
      <w:marRight w:val="0"/>
      <w:marTop w:val="0"/>
      <w:marBottom w:val="0"/>
      <w:divBdr>
        <w:top w:val="none" w:sz="0" w:space="0" w:color="auto"/>
        <w:left w:val="none" w:sz="0" w:space="0" w:color="auto"/>
        <w:bottom w:val="none" w:sz="0" w:space="0" w:color="auto"/>
        <w:right w:val="none" w:sz="0" w:space="0" w:color="auto"/>
      </w:divBdr>
    </w:div>
    <w:div w:id="251669272">
      <w:bodyDiv w:val="1"/>
      <w:marLeft w:val="0"/>
      <w:marRight w:val="0"/>
      <w:marTop w:val="0"/>
      <w:marBottom w:val="0"/>
      <w:divBdr>
        <w:top w:val="none" w:sz="0" w:space="0" w:color="auto"/>
        <w:left w:val="none" w:sz="0" w:space="0" w:color="auto"/>
        <w:bottom w:val="none" w:sz="0" w:space="0" w:color="auto"/>
        <w:right w:val="none" w:sz="0" w:space="0" w:color="auto"/>
      </w:divBdr>
    </w:div>
    <w:div w:id="251818865">
      <w:bodyDiv w:val="1"/>
      <w:marLeft w:val="0"/>
      <w:marRight w:val="0"/>
      <w:marTop w:val="0"/>
      <w:marBottom w:val="0"/>
      <w:divBdr>
        <w:top w:val="none" w:sz="0" w:space="0" w:color="auto"/>
        <w:left w:val="none" w:sz="0" w:space="0" w:color="auto"/>
        <w:bottom w:val="none" w:sz="0" w:space="0" w:color="auto"/>
        <w:right w:val="none" w:sz="0" w:space="0" w:color="auto"/>
      </w:divBdr>
    </w:div>
    <w:div w:id="252009259">
      <w:bodyDiv w:val="1"/>
      <w:marLeft w:val="0"/>
      <w:marRight w:val="0"/>
      <w:marTop w:val="0"/>
      <w:marBottom w:val="0"/>
      <w:divBdr>
        <w:top w:val="none" w:sz="0" w:space="0" w:color="auto"/>
        <w:left w:val="none" w:sz="0" w:space="0" w:color="auto"/>
        <w:bottom w:val="none" w:sz="0" w:space="0" w:color="auto"/>
        <w:right w:val="none" w:sz="0" w:space="0" w:color="auto"/>
      </w:divBdr>
    </w:div>
    <w:div w:id="252931944">
      <w:bodyDiv w:val="1"/>
      <w:marLeft w:val="0"/>
      <w:marRight w:val="0"/>
      <w:marTop w:val="0"/>
      <w:marBottom w:val="0"/>
      <w:divBdr>
        <w:top w:val="none" w:sz="0" w:space="0" w:color="auto"/>
        <w:left w:val="none" w:sz="0" w:space="0" w:color="auto"/>
        <w:bottom w:val="none" w:sz="0" w:space="0" w:color="auto"/>
        <w:right w:val="none" w:sz="0" w:space="0" w:color="auto"/>
      </w:divBdr>
    </w:div>
    <w:div w:id="252976997">
      <w:bodyDiv w:val="1"/>
      <w:marLeft w:val="0"/>
      <w:marRight w:val="0"/>
      <w:marTop w:val="0"/>
      <w:marBottom w:val="0"/>
      <w:divBdr>
        <w:top w:val="none" w:sz="0" w:space="0" w:color="auto"/>
        <w:left w:val="none" w:sz="0" w:space="0" w:color="auto"/>
        <w:bottom w:val="none" w:sz="0" w:space="0" w:color="auto"/>
        <w:right w:val="none" w:sz="0" w:space="0" w:color="auto"/>
      </w:divBdr>
    </w:div>
    <w:div w:id="252978632">
      <w:bodyDiv w:val="1"/>
      <w:marLeft w:val="0"/>
      <w:marRight w:val="0"/>
      <w:marTop w:val="0"/>
      <w:marBottom w:val="0"/>
      <w:divBdr>
        <w:top w:val="none" w:sz="0" w:space="0" w:color="auto"/>
        <w:left w:val="none" w:sz="0" w:space="0" w:color="auto"/>
        <w:bottom w:val="none" w:sz="0" w:space="0" w:color="auto"/>
        <w:right w:val="none" w:sz="0" w:space="0" w:color="auto"/>
      </w:divBdr>
    </w:div>
    <w:div w:id="253169705">
      <w:bodyDiv w:val="1"/>
      <w:marLeft w:val="0"/>
      <w:marRight w:val="0"/>
      <w:marTop w:val="0"/>
      <w:marBottom w:val="0"/>
      <w:divBdr>
        <w:top w:val="none" w:sz="0" w:space="0" w:color="auto"/>
        <w:left w:val="none" w:sz="0" w:space="0" w:color="auto"/>
        <w:bottom w:val="none" w:sz="0" w:space="0" w:color="auto"/>
        <w:right w:val="none" w:sz="0" w:space="0" w:color="auto"/>
      </w:divBdr>
    </w:div>
    <w:div w:id="253170920">
      <w:bodyDiv w:val="1"/>
      <w:marLeft w:val="0"/>
      <w:marRight w:val="0"/>
      <w:marTop w:val="0"/>
      <w:marBottom w:val="0"/>
      <w:divBdr>
        <w:top w:val="none" w:sz="0" w:space="0" w:color="auto"/>
        <w:left w:val="none" w:sz="0" w:space="0" w:color="auto"/>
        <w:bottom w:val="none" w:sz="0" w:space="0" w:color="auto"/>
        <w:right w:val="none" w:sz="0" w:space="0" w:color="auto"/>
      </w:divBdr>
    </w:div>
    <w:div w:id="253176609">
      <w:bodyDiv w:val="1"/>
      <w:marLeft w:val="0"/>
      <w:marRight w:val="0"/>
      <w:marTop w:val="0"/>
      <w:marBottom w:val="0"/>
      <w:divBdr>
        <w:top w:val="none" w:sz="0" w:space="0" w:color="auto"/>
        <w:left w:val="none" w:sz="0" w:space="0" w:color="auto"/>
        <w:bottom w:val="none" w:sz="0" w:space="0" w:color="auto"/>
        <w:right w:val="none" w:sz="0" w:space="0" w:color="auto"/>
      </w:divBdr>
    </w:div>
    <w:div w:id="253320328">
      <w:bodyDiv w:val="1"/>
      <w:marLeft w:val="0"/>
      <w:marRight w:val="0"/>
      <w:marTop w:val="0"/>
      <w:marBottom w:val="0"/>
      <w:divBdr>
        <w:top w:val="none" w:sz="0" w:space="0" w:color="auto"/>
        <w:left w:val="none" w:sz="0" w:space="0" w:color="auto"/>
        <w:bottom w:val="none" w:sz="0" w:space="0" w:color="auto"/>
        <w:right w:val="none" w:sz="0" w:space="0" w:color="auto"/>
      </w:divBdr>
    </w:div>
    <w:div w:id="253324432">
      <w:bodyDiv w:val="1"/>
      <w:marLeft w:val="0"/>
      <w:marRight w:val="0"/>
      <w:marTop w:val="0"/>
      <w:marBottom w:val="0"/>
      <w:divBdr>
        <w:top w:val="none" w:sz="0" w:space="0" w:color="auto"/>
        <w:left w:val="none" w:sz="0" w:space="0" w:color="auto"/>
        <w:bottom w:val="none" w:sz="0" w:space="0" w:color="auto"/>
        <w:right w:val="none" w:sz="0" w:space="0" w:color="auto"/>
      </w:divBdr>
    </w:div>
    <w:div w:id="253708091">
      <w:bodyDiv w:val="1"/>
      <w:marLeft w:val="0"/>
      <w:marRight w:val="0"/>
      <w:marTop w:val="0"/>
      <w:marBottom w:val="0"/>
      <w:divBdr>
        <w:top w:val="none" w:sz="0" w:space="0" w:color="auto"/>
        <w:left w:val="none" w:sz="0" w:space="0" w:color="auto"/>
        <w:bottom w:val="none" w:sz="0" w:space="0" w:color="auto"/>
        <w:right w:val="none" w:sz="0" w:space="0" w:color="auto"/>
      </w:divBdr>
    </w:div>
    <w:div w:id="253973735">
      <w:bodyDiv w:val="1"/>
      <w:marLeft w:val="0"/>
      <w:marRight w:val="0"/>
      <w:marTop w:val="0"/>
      <w:marBottom w:val="0"/>
      <w:divBdr>
        <w:top w:val="none" w:sz="0" w:space="0" w:color="auto"/>
        <w:left w:val="none" w:sz="0" w:space="0" w:color="auto"/>
        <w:bottom w:val="none" w:sz="0" w:space="0" w:color="auto"/>
        <w:right w:val="none" w:sz="0" w:space="0" w:color="auto"/>
      </w:divBdr>
    </w:div>
    <w:div w:id="254243828">
      <w:bodyDiv w:val="1"/>
      <w:marLeft w:val="0"/>
      <w:marRight w:val="0"/>
      <w:marTop w:val="0"/>
      <w:marBottom w:val="0"/>
      <w:divBdr>
        <w:top w:val="none" w:sz="0" w:space="0" w:color="auto"/>
        <w:left w:val="none" w:sz="0" w:space="0" w:color="auto"/>
        <w:bottom w:val="none" w:sz="0" w:space="0" w:color="auto"/>
        <w:right w:val="none" w:sz="0" w:space="0" w:color="auto"/>
      </w:divBdr>
    </w:div>
    <w:div w:id="254287776">
      <w:bodyDiv w:val="1"/>
      <w:marLeft w:val="0"/>
      <w:marRight w:val="0"/>
      <w:marTop w:val="0"/>
      <w:marBottom w:val="0"/>
      <w:divBdr>
        <w:top w:val="none" w:sz="0" w:space="0" w:color="auto"/>
        <w:left w:val="none" w:sz="0" w:space="0" w:color="auto"/>
        <w:bottom w:val="none" w:sz="0" w:space="0" w:color="auto"/>
        <w:right w:val="none" w:sz="0" w:space="0" w:color="auto"/>
      </w:divBdr>
    </w:div>
    <w:div w:id="254411227">
      <w:bodyDiv w:val="1"/>
      <w:marLeft w:val="0"/>
      <w:marRight w:val="0"/>
      <w:marTop w:val="0"/>
      <w:marBottom w:val="0"/>
      <w:divBdr>
        <w:top w:val="none" w:sz="0" w:space="0" w:color="auto"/>
        <w:left w:val="none" w:sz="0" w:space="0" w:color="auto"/>
        <w:bottom w:val="none" w:sz="0" w:space="0" w:color="auto"/>
        <w:right w:val="none" w:sz="0" w:space="0" w:color="auto"/>
      </w:divBdr>
    </w:div>
    <w:div w:id="254477790">
      <w:bodyDiv w:val="1"/>
      <w:marLeft w:val="0"/>
      <w:marRight w:val="0"/>
      <w:marTop w:val="0"/>
      <w:marBottom w:val="0"/>
      <w:divBdr>
        <w:top w:val="none" w:sz="0" w:space="0" w:color="auto"/>
        <w:left w:val="none" w:sz="0" w:space="0" w:color="auto"/>
        <w:bottom w:val="none" w:sz="0" w:space="0" w:color="auto"/>
        <w:right w:val="none" w:sz="0" w:space="0" w:color="auto"/>
      </w:divBdr>
    </w:div>
    <w:div w:id="254897063">
      <w:bodyDiv w:val="1"/>
      <w:marLeft w:val="0"/>
      <w:marRight w:val="0"/>
      <w:marTop w:val="0"/>
      <w:marBottom w:val="0"/>
      <w:divBdr>
        <w:top w:val="none" w:sz="0" w:space="0" w:color="auto"/>
        <w:left w:val="none" w:sz="0" w:space="0" w:color="auto"/>
        <w:bottom w:val="none" w:sz="0" w:space="0" w:color="auto"/>
        <w:right w:val="none" w:sz="0" w:space="0" w:color="auto"/>
      </w:divBdr>
    </w:div>
    <w:div w:id="254900604">
      <w:bodyDiv w:val="1"/>
      <w:marLeft w:val="0"/>
      <w:marRight w:val="0"/>
      <w:marTop w:val="0"/>
      <w:marBottom w:val="0"/>
      <w:divBdr>
        <w:top w:val="none" w:sz="0" w:space="0" w:color="auto"/>
        <w:left w:val="none" w:sz="0" w:space="0" w:color="auto"/>
        <w:bottom w:val="none" w:sz="0" w:space="0" w:color="auto"/>
        <w:right w:val="none" w:sz="0" w:space="0" w:color="auto"/>
      </w:divBdr>
    </w:div>
    <w:div w:id="254943095">
      <w:bodyDiv w:val="1"/>
      <w:marLeft w:val="0"/>
      <w:marRight w:val="0"/>
      <w:marTop w:val="0"/>
      <w:marBottom w:val="0"/>
      <w:divBdr>
        <w:top w:val="none" w:sz="0" w:space="0" w:color="auto"/>
        <w:left w:val="none" w:sz="0" w:space="0" w:color="auto"/>
        <w:bottom w:val="none" w:sz="0" w:space="0" w:color="auto"/>
        <w:right w:val="none" w:sz="0" w:space="0" w:color="auto"/>
      </w:divBdr>
    </w:div>
    <w:div w:id="255023630">
      <w:bodyDiv w:val="1"/>
      <w:marLeft w:val="0"/>
      <w:marRight w:val="0"/>
      <w:marTop w:val="0"/>
      <w:marBottom w:val="0"/>
      <w:divBdr>
        <w:top w:val="none" w:sz="0" w:space="0" w:color="auto"/>
        <w:left w:val="none" w:sz="0" w:space="0" w:color="auto"/>
        <w:bottom w:val="none" w:sz="0" w:space="0" w:color="auto"/>
        <w:right w:val="none" w:sz="0" w:space="0" w:color="auto"/>
      </w:divBdr>
    </w:div>
    <w:div w:id="255135946">
      <w:bodyDiv w:val="1"/>
      <w:marLeft w:val="0"/>
      <w:marRight w:val="0"/>
      <w:marTop w:val="0"/>
      <w:marBottom w:val="0"/>
      <w:divBdr>
        <w:top w:val="none" w:sz="0" w:space="0" w:color="auto"/>
        <w:left w:val="none" w:sz="0" w:space="0" w:color="auto"/>
        <w:bottom w:val="none" w:sz="0" w:space="0" w:color="auto"/>
        <w:right w:val="none" w:sz="0" w:space="0" w:color="auto"/>
      </w:divBdr>
    </w:div>
    <w:div w:id="255209372">
      <w:bodyDiv w:val="1"/>
      <w:marLeft w:val="0"/>
      <w:marRight w:val="0"/>
      <w:marTop w:val="0"/>
      <w:marBottom w:val="0"/>
      <w:divBdr>
        <w:top w:val="none" w:sz="0" w:space="0" w:color="auto"/>
        <w:left w:val="none" w:sz="0" w:space="0" w:color="auto"/>
        <w:bottom w:val="none" w:sz="0" w:space="0" w:color="auto"/>
        <w:right w:val="none" w:sz="0" w:space="0" w:color="auto"/>
      </w:divBdr>
    </w:div>
    <w:div w:id="255334043">
      <w:bodyDiv w:val="1"/>
      <w:marLeft w:val="0"/>
      <w:marRight w:val="0"/>
      <w:marTop w:val="0"/>
      <w:marBottom w:val="0"/>
      <w:divBdr>
        <w:top w:val="none" w:sz="0" w:space="0" w:color="auto"/>
        <w:left w:val="none" w:sz="0" w:space="0" w:color="auto"/>
        <w:bottom w:val="none" w:sz="0" w:space="0" w:color="auto"/>
        <w:right w:val="none" w:sz="0" w:space="0" w:color="auto"/>
      </w:divBdr>
    </w:div>
    <w:div w:id="255485928">
      <w:bodyDiv w:val="1"/>
      <w:marLeft w:val="0"/>
      <w:marRight w:val="0"/>
      <w:marTop w:val="0"/>
      <w:marBottom w:val="0"/>
      <w:divBdr>
        <w:top w:val="none" w:sz="0" w:space="0" w:color="auto"/>
        <w:left w:val="none" w:sz="0" w:space="0" w:color="auto"/>
        <w:bottom w:val="none" w:sz="0" w:space="0" w:color="auto"/>
        <w:right w:val="none" w:sz="0" w:space="0" w:color="auto"/>
      </w:divBdr>
    </w:div>
    <w:div w:id="255486155">
      <w:bodyDiv w:val="1"/>
      <w:marLeft w:val="0"/>
      <w:marRight w:val="0"/>
      <w:marTop w:val="0"/>
      <w:marBottom w:val="0"/>
      <w:divBdr>
        <w:top w:val="none" w:sz="0" w:space="0" w:color="auto"/>
        <w:left w:val="none" w:sz="0" w:space="0" w:color="auto"/>
        <w:bottom w:val="none" w:sz="0" w:space="0" w:color="auto"/>
        <w:right w:val="none" w:sz="0" w:space="0" w:color="auto"/>
      </w:divBdr>
    </w:div>
    <w:div w:id="255552739">
      <w:bodyDiv w:val="1"/>
      <w:marLeft w:val="0"/>
      <w:marRight w:val="0"/>
      <w:marTop w:val="0"/>
      <w:marBottom w:val="0"/>
      <w:divBdr>
        <w:top w:val="none" w:sz="0" w:space="0" w:color="auto"/>
        <w:left w:val="none" w:sz="0" w:space="0" w:color="auto"/>
        <w:bottom w:val="none" w:sz="0" w:space="0" w:color="auto"/>
        <w:right w:val="none" w:sz="0" w:space="0" w:color="auto"/>
      </w:divBdr>
    </w:div>
    <w:div w:id="255599521">
      <w:bodyDiv w:val="1"/>
      <w:marLeft w:val="0"/>
      <w:marRight w:val="0"/>
      <w:marTop w:val="0"/>
      <w:marBottom w:val="0"/>
      <w:divBdr>
        <w:top w:val="none" w:sz="0" w:space="0" w:color="auto"/>
        <w:left w:val="none" w:sz="0" w:space="0" w:color="auto"/>
        <w:bottom w:val="none" w:sz="0" w:space="0" w:color="auto"/>
        <w:right w:val="none" w:sz="0" w:space="0" w:color="auto"/>
      </w:divBdr>
    </w:div>
    <w:div w:id="255868422">
      <w:bodyDiv w:val="1"/>
      <w:marLeft w:val="0"/>
      <w:marRight w:val="0"/>
      <w:marTop w:val="0"/>
      <w:marBottom w:val="0"/>
      <w:divBdr>
        <w:top w:val="none" w:sz="0" w:space="0" w:color="auto"/>
        <w:left w:val="none" w:sz="0" w:space="0" w:color="auto"/>
        <w:bottom w:val="none" w:sz="0" w:space="0" w:color="auto"/>
        <w:right w:val="none" w:sz="0" w:space="0" w:color="auto"/>
      </w:divBdr>
    </w:div>
    <w:div w:id="255987795">
      <w:bodyDiv w:val="1"/>
      <w:marLeft w:val="0"/>
      <w:marRight w:val="0"/>
      <w:marTop w:val="0"/>
      <w:marBottom w:val="0"/>
      <w:divBdr>
        <w:top w:val="none" w:sz="0" w:space="0" w:color="auto"/>
        <w:left w:val="none" w:sz="0" w:space="0" w:color="auto"/>
        <w:bottom w:val="none" w:sz="0" w:space="0" w:color="auto"/>
        <w:right w:val="none" w:sz="0" w:space="0" w:color="auto"/>
      </w:divBdr>
    </w:div>
    <w:div w:id="256258003">
      <w:bodyDiv w:val="1"/>
      <w:marLeft w:val="0"/>
      <w:marRight w:val="0"/>
      <w:marTop w:val="0"/>
      <w:marBottom w:val="0"/>
      <w:divBdr>
        <w:top w:val="none" w:sz="0" w:space="0" w:color="auto"/>
        <w:left w:val="none" w:sz="0" w:space="0" w:color="auto"/>
        <w:bottom w:val="none" w:sz="0" w:space="0" w:color="auto"/>
        <w:right w:val="none" w:sz="0" w:space="0" w:color="auto"/>
      </w:divBdr>
    </w:div>
    <w:div w:id="256526526">
      <w:bodyDiv w:val="1"/>
      <w:marLeft w:val="0"/>
      <w:marRight w:val="0"/>
      <w:marTop w:val="0"/>
      <w:marBottom w:val="0"/>
      <w:divBdr>
        <w:top w:val="none" w:sz="0" w:space="0" w:color="auto"/>
        <w:left w:val="none" w:sz="0" w:space="0" w:color="auto"/>
        <w:bottom w:val="none" w:sz="0" w:space="0" w:color="auto"/>
        <w:right w:val="none" w:sz="0" w:space="0" w:color="auto"/>
      </w:divBdr>
    </w:div>
    <w:div w:id="256600819">
      <w:bodyDiv w:val="1"/>
      <w:marLeft w:val="0"/>
      <w:marRight w:val="0"/>
      <w:marTop w:val="0"/>
      <w:marBottom w:val="0"/>
      <w:divBdr>
        <w:top w:val="none" w:sz="0" w:space="0" w:color="auto"/>
        <w:left w:val="none" w:sz="0" w:space="0" w:color="auto"/>
        <w:bottom w:val="none" w:sz="0" w:space="0" w:color="auto"/>
        <w:right w:val="none" w:sz="0" w:space="0" w:color="auto"/>
      </w:divBdr>
    </w:div>
    <w:div w:id="256838291">
      <w:bodyDiv w:val="1"/>
      <w:marLeft w:val="0"/>
      <w:marRight w:val="0"/>
      <w:marTop w:val="0"/>
      <w:marBottom w:val="0"/>
      <w:divBdr>
        <w:top w:val="none" w:sz="0" w:space="0" w:color="auto"/>
        <w:left w:val="none" w:sz="0" w:space="0" w:color="auto"/>
        <w:bottom w:val="none" w:sz="0" w:space="0" w:color="auto"/>
        <w:right w:val="none" w:sz="0" w:space="0" w:color="auto"/>
      </w:divBdr>
    </w:div>
    <w:div w:id="257062149">
      <w:bodyDiv w:val="1"/>
      <w:marLeft w:val="0"/>
      <w:marRight w:val="0"/>
      <w:marTop w:val="0"/>
      <w:marBottom w:val="0"/>
      <w:divBdr>
        <w:top w:val="none" w:sz="0" w:space="0" w:color="auto"/>
        <w:left w:val="none" w:sz="0" w:space="0" w:color="auto"/>
        <w:bottom w:val="none" w:sz="0" w:space="0" w:color="auto"/>
        <w:right w:val="none" w:sz="0" w:space="0" w:color="auto"/>
      </w:divBdr>
    </w:div>
    <w:div w:id="257251285">
      <w:bodyDiv w:val="1"/>
      <w:marLeft w:val="0"/>
      <w:marRight w:val="0"/>
      <w:marTop w:val="0"/>
      <w:marBottom w:val="0"/>
      <w:divBdr>
        <w:top w:val="none" w:sz="0" w:space="0" w:color="auto"/>
        <w:left w:val="none" w:sz="0" w:space="0" w:color="auto"/>
        <w:bottom w:val="none" w:sz="0" w:space="0" w:color="auto"/>
        <w:right w:val="none" w:sz="0" w:space="0" w:color="auto"/>
      </w:divBdr>
    </w:div>
    <w:div w:id="257297877">
      <w:bodyDiv w:val="1"/>
      <w:marLeft w:val="0"/>
      <w:marRight w:val="0"/>
      <w:marTop w:val="0"/>
      <w:marBottom w:val="0"/>
      <w:divBdr>
        <w:top w:val="none" w:sz="0" w:space="0" w:color="auto"/>
        <w:left w:val="none" w:sz="0" w:space="0" w:color="auto"/>
        <w:bottom w:val="none" w:sz="0" w:space="0" w:color="auto"/>
        <w:right w:val="none" w:sz="0" w:space="0" w:color="auto"/>
      </w:divBdr>
    </w:div>
    <w:div w:id="257643880">
      <w:bodyDiv w:val="1"/>
      <w:marLeft w:val="0"/>
      <w:marRight w:val="0"/>
      <w:marTop w:val="0"/>
      <w:marBottom w:val="0"/>
      <w:divBdr>
        <w:top w:val="none" w:sz="0" w:space="0" w:color="auto"/>
        <w:left w:val="none" w:sz="0" w:space="0" w:color="auto"/>
        <w:bottom w:val="none" w:sz="0" w:space="0" w:color="auto"/>
        <w:right w:val="none" w:sz="0" w:space="0" w:color="auto"/>
      </w:divBdr>
    </w:div>
    <w:div w:id="257759877">
      <w:bodyDiv w:val="1"/>
      <w:marLeft w:val="0"/>
      <w:marRight w:val="0"/>
      <w:marTop w:val="0"/>
      <w:marBottom w:val="0"/>
      <w:divBdr>
        <w:top w:val="none" w:sz="0" w:space="0" w:color="auto"/>
        <w:left w:val="none" w:sz="0" w:space="0" w:color="auto"/>
        <w:bottom w:val="none" w:sz="0" w:space="0" w:color="auto"/>
        <w:right w:val="none" w:sz="0" w:space="0" w:color="auto"/>
      </w:divBdr>
    </w:div>
    <w:div w:id="257914191">
      <w:bodyDiv w:val="1"/>
      <w:marLeft w:val="0"/>
      <w:marRight w:val="0"/>
      <w:marTop w:val="0"/>
      <w:marBottom w:val="0"/>
      <w:divBdr>
        <w:top w:val="none" w:sz="0" w:space="0" w:color="auto"/>
        <w:left w:val="none" w:sz="0" w:space="0" w:color="auto"/>
        <w:bottom w:val="none" w:sz="0" w:space="0" w:color="auto"/>
        <w:right w:val="none" w:sz="0" w:space="0" w:color="auto"/>
      </w:divBdr>
    </w:div>
    <w:div w:id="258607059">
      <w:bodyDiv w:val="1"/>
      <w:marLeft w:val="0"/>
      <w:marRight w:val="0"/>
      <w:marTop w:val="0"/>
      <w:marBottom w:val="0"/>
      <w:divBdr>
        <w:top w:val="none" w:sz="0" w:space="0" w:color="auto"/>
        <w:left w:val="none" w:sz="0" w:space="0" w:color="auto"/>
        <w:bottom w:val="none" w:sz="0" w:space="0" w:color="auto"/>
        <w:right w:val="none" w:sz="0" w:space="0" w:color="auto"/>
      </w:divBdr>
    </w:div>
    <w:div w:id="258758090">
      <w:bodyDiv w:val="1"/>
      <w:marLeft w:val="0"/>
      <w:marRight w:val="0"/>
      <w:marTop w:val="0"/>
      <w:marBottom w:val="0"/>
      <w:divBdr>
        <w:top w:val="none" w:sz="0" w:space="0" w:color="auto"/>
        <w:left w:val="none" w:sz="0" w:space="0" w:color="auto"/>
        <w:bottom w:val="none" w:sz="0" w:space="0" w:color="auto"/>
        <w:right w:val="none" w:sz="0" w:space="0" w:color="auto"/>
      </w:divBdr>
    </w:div>
    <w:div w:id="259148577">
      <w:bodyDiv w:val="1"/>
      <w:marLeft w:val="0"/>
      <w:marRight w:val="0"/>
      <w:marTop w:val="0"/>
      <w:marBottom w:val="0"/>
      <w:divBdr>
        <w:top w:val="none" w:sz="0" w:space="0" w:color="auto"/>
        <w:left w:val="none" w:sz="0" w:space="0" w:color="auto"/>
        <w:bottom w:val="none" w:sz="0" w:space="0" w:color="auto"/>
        <w:right w:val="none" w:sz="0" w:space="0" w:color="auto"/>
      </w:divBdr>
    </w:div>
    <w:div w:id="259220175">
      <w:bodyDiv w:val="1"/>
      <w:marLeft w:val="0"/>
      <w:marRight w:val="0"/>
      <w:marTop w:val="0"/>
      <w:marBottom w:val="0"/>
      <w:divBdr>
        <w:top w:val="none" w:sz="0" w:space="0" w:color="auto"/>
        <w:left w:val="none" w:sz="0" w:space="0" w:color="auto"/>
        <w:bottom w:val="none" w:sz="0" w:space="0" w:color="auto"/>
        <w:right w:val="none" w:sz="0" w:space="0" w:color="auto"/>
      </w:divBdr>
    </w:div>
    <w:div w:id="259266497">
      <w:bodyDiv w:val="1"/>
      <w:marLeft w:val="0"/>
      <w:marRight w:val="0"/>
      <w:marTop w:val="0"/>
      <w:marBottom w:val="0"/>
      <w:divBdr>
        <w:top w:val="none" w:sz="0" w:space="0" w:color="auto"/>
        <w:left w:val="none" w:sz="0" w:space="0" w:color="auto"/>
        <w:bottom w:val="none" w:sz="0" w:space="0" w:color="auto"/>
        <w:right w:val="none" w:sz="0" w:space="0" w:color="auto"/>
      </w:divBdr>
    </w:div>
    <w:div w:id="259339775">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60066391">
      <w:bodyDiv w:val="1"/>
      <w:marLeft w:val="0"/>
      <w:marRight w:val="0"/>
      <w:marTop w:val="0"/>
      <w:marBottom w:val="0"/>
      <w:divBdr>
        <w:top w:val="none" w:sz="0" w:space="0" w:color="auto"/>
        <w:left w:val="none" w:sz="0" w:space="0" w:color="auto"/>
        <w:bottom w:val="none" w:sz="0" w:space="0" w:color="auto"/>
        <w:right w:val="none" w:sz="0" w:space="0" w:color="auto"/>
      </w:divBdr>
    </w:div>
    <w:div w:id="260187194">
      <w:bodyDiv w:val="1"/>
      <w:marLeft w:val="0"/>
      <w:marRight w:val="0"/>
      <w:marTop w:val="0"/>
      <w:marBottom w:val="0"/>
      <w:divBdr>
        <w:top w:val="none" w:sz="0" w:space="0" w:color="auto"/>
        <w:left w:val="none" w:sz="0" w:space="0" w:color="auto"/>
        <w:bottom w:val="none" w:sz="0" w:space="0" w:color="auto"/>
        <w:right w:val="none" w:sz="0" w:space="0" w:color="auto"/>
      </w:divBdr>
    </w:div>
    <w:div w:id="260534462">
      <w:bodyDiv w:val="1"/>
      <w:marLeft w:val="0"/>
      <w:marRight w:val="0"/>
      <w:marTop w:val="0"/>
      <w:marBottom w:val="0"/>
      <w:divBdr>
        <w:top w:val="none" w:sz="0" w:space="0" w:color="auto"/>
        <w:left w:val="none" w:sz="0" w:space="0" w:color="auto"/>
        <w:bottom w:val="none" w:sz="0" w:space="0" w:color="auto"/>
        <w:right w:val="none" w:sz="0" w:space="0" w:color="auto"/>
      </w:divBdr>
    </w:div>
    <w:div w:id="260992481">
      <w:bodyDiv w:val="1"/>
      <w:marLeft w:val="0"/>
      <w:marRight w:val="0"/>
      <w:marTop w:val="0"/>
      <w:marBottom w:val="0"/>
      <w:divBdr>
        <w:top w:val="none" w:sz="0" w:space="0" w:color="auto"/>
        <w:left w:val="none" w:sz="0" w:space="0" w:color="auto"/>
        <w:bottom w:val="none" w:sz="0" w:space="0" w:color="auto"/>
        <w:right w:val="none" w:sz="0" w:space="0" w:color="auto"/>
      </w:divBdr>
    </w:div>
    <w:div w:id="260995589">
      <w:bodyDiv w:val="1"/>
      <w:marLeft w:val="0"/>
      <w:marRight w:val="0"/>
      <w:marTop w:val="0"/>
      <w:marBottom w:val="0"/>
      <w:divBdr>
        <w:top w:val="none" w:sz="0" w:space="0" w:color="auto"/>
        <w:left w:val="none" w:sz="0" w:space="0" w:color="auto"/>
        <w:bottom w:val="none" w:sz="0" w:space="0" w:color="auto"/>
        <w:right w:val="none" w:sz="0" w:space="0" w:color="auto"/>
      </w:divBdr>
    </w:div>
    <w:div w:id="260996513">
      <w:bodyDiv w:val="1"/>
      <w:marLeft w:val="0"/>
      <w:marRight w:val="0"/>
      <w:marTop w:val="0"/>
      <w:marBottom w:val="0"/>
      <w:divBdr>
        <w:top w:val="none" w:sz="0" w:space="0" w:color="auto"/>
        <w:left w:val="none" w:sz="0" w:space="0" w:color="auto"/>
        <w:bottom w:val="none" w:sz="0" w:space="0" w:color="auto"/>
        <w:right w:val="none" w:sz="0" w:space="0" w:color="auto"/>
      </w:divBdr>
    </w:div>
    <w:div w:id="261303870">
      <w:bodyDiv w:val="1"/>
      <w:marLeft w:val="0"/>
      <w:marRight w:val="0"/>
      <w:marTop w:val="0"/>
      <w:marBottom w:val="0"/>
      <w:divBdr>
        <w:top w:val="none" w:sz="0" w:space="0" w:color="auto"/>
        <w:left w:val="none" w:sz="0" w:space="0" w:color="auto"/>
        <w:bottom w:val="none" w:sz="0" w:space="0" w:color="auto"/>
        <w:right w:val="none" w:sz="0" w:space="0" w:color="auto"/>
      </w:divBdr>
    </w:div>
    <w:div w:id="261450518">
      <w:bodyDiv w:val="1"/>
      <w:marLeft w:val="0"/>
      <w:marRight w:val="0"/>
      <w:marTop w:val="0"/>
      <w:marBottom w:val="0"/>
      <w:divBdr>
        <w:top w:val="none" w:sz="0" w:space="0" w:color="auto"/>
        <w:left w:val="none" w:sz="0" w:space="0" w:color="auto"/>
        <w:bottom w:val="none" w:sz="0" w:space="0" w:color="auto"/>
        <w:right w:val="none" w:sz="0" w:space="0" w:color="auto"/>
      </w:divBdr>
    </w:div>
    <w:div w:id="261499900">
      <w:bodyDiv w:val="1"/>
      <w:marLeft w:val="0"/>
      <w:marRight w:val="0"/>
      <w:marTop w:val="0"/>
      <w:marBottom w:val="0"/>
      <w:divBdr>
        <w:top w:val="none" w:sz="0" w:space="0" w:color="auto"/>
        <w:left w:val="none" w:sz="0" w:space="0" w:color="auto"/>
        <w:bottom w:val="none" w:sz="0" w:space="0" w:color="auto"/>
        <w:right w:val="none" w:sz="0" w:space="0" w:color="auto"/>
      </w:divBdr>
    </w:div>
    <w:div w:id="261645766">
      <w:bodyDiv w:val="1"/>
      <w:marLeft w:val="0"/>
      <w:marRight w:val="0"/>
      <w:marTop w:val="0"/>
      <w:marBottom w:val="0"/>
      <w:divBdr>
        <w:top w:val="none" w:sz="0" w:space="0" w:color="auto"/>
        <w:left w:val="none" w:sz="0" w:space="0" w:color="auto"/>
        <w:bottom w:val="none" w:sz="0" w:space="0" w:color="auto"/>
        <w:right w:val="none" w:sz="0" w:space="0" w:color="auto"/>
      </w:divBdr>
    </w:div>
    <w:div w:id="261836699">
      <w:bodyDiv w:val="1"/>
      <w:marLeft w:val="0"/>
      <w:marRight w:val="0"/>
      <w:marTop w:val="0"/>
      <w:marBottom w:val="0"/>
      <w:divBdr>
        <w:top w:val="none" w:sz="0" w:space="0" w:color="auto"/>
        <w:left w:val="none" w:sz="0" w:space="0" w:color="auto"/>
        <w:bottom w:val="none" w:sz="0" w:space="0" w:color="auto"/>
        <w:right w:val="none" w:sz="0" w:space="0" w:color="auto"/>
      </w:divBdr>
    </w:div>
    <w:div w:id="261840041">
      <w:bodyDiv w:val="1"/>
      <w:marLeft w:val="0"/>
      <w:marRight w:val="0"/>
      <w:marTop w:val="0"/>
      <w:marBottom w:val="0"/>
      <w:divBdr>
        <w:top w:val="none" w:sz="0" w:space="0" w:color="auto"/>
        <w:left w:val="none" w:sz="0" w:space="0" w:color="auto"/>
        <w:bottom w:val="none" w:sz="0" w:space="0" w:color="auto"/>
        <w:right w:val="none" w:sz="0" w:space="0" w:color="auto"/>
      </w:divBdr>
    </w:div>
    <w:div w:id="262225013">
      <w:bodyDiv w:val="1"/>
      <w:marLeft w:val="0"/>
      <w:marRight w:val="0"/>
      <w:marTop w:val="0"/>
      <w:marBottom w:val="0"/>
      <w:divBdr>
        <w:top w:val="none" w:sz="0" w:space="0" w:color="auto"/>
        <w:left w:val="none" w:sz="0" w:space="0" w:color="auto"/>
        <w:bottom w:val="none" w:sz="0" w:space="0" w:color="auto"/>
        <w:right w:val="none" w:sz="0" w:space="0" w:color="auto"/>
      </w:divBdr>
    </w:div>
    <w:div w:id="262421109">
      <w:bodyDiv w:val="1"/>
      <w:marLeft w:val="0"/>
      <w:marRight w:val="0"/>
      <w:marTop w:val="0"/>
      <w:marBottom w:val="0"/>
      <w:divBdr>
        <w:top w:val="none" w:sz="0" w:space="0" w:color="auto"/>
        <w:left w:val="none" w:sz="0" w:space="0" w:color="auto"/>
        <w:bottom w:val="none" w:sz="0" w:space="0" w:color="auto"/>
        <w:right w:val="none" w:sz="0" w:space="0" w:color="auto"/>
      </w:divBdr>
    </w:div>
    <w:div w:id="262425659">
      <w:bodyDiv w:val="1"/>
      <w:marLeft w:val="0"/>
      <w:marRight w:val="0"/>
      <w:marTop w:val="0"/>
      <w:marBottom w:val="0"/>
      <w:divBdr>
        <w:top w:val="none" w:sz="0" w:space="0" w:color="auto"/>
        <w:left w:val="none" w:sz="0" w:space="0" w:color="auto"/>
        <w:bottom w:val="none" w:sz="0" w:space="0" w:color="auto"/>
        <w:right w:val="none" w:sz="0" w:space="0" w:color="auto"/>
      </w:divBdr>
    </w:div>
    <w:div w:id="262495915">
      <w:bodyDiv w:val="1"/>
      <w:marLeft w:val="0"/>
      <w:marRight w:val="0"/>
      <w:marTop w:val="0"/>
      <w:marBottom w:val="0"/>
      <w:divBdr>
        <w:top w:val="none" w:sz="0" w:space="0" w:color="auto"/>
        <w:left w:val="none" w:sz="0" w:space="0" w:color="auto"/>
        <w:bottom w:val="none" w:sz="0" w:space="0" w:color="auto"/>
        <w:right w:val="none" w:sz="0" w:space="0" w:color="auto"/>
      </w:divBdr>
    </w:div>
    <w:div w:id="262543562">
      <w:bodyDiv w:val="1"/>
      <w:marLeft w:val="0"/>
      <w:marRight w:val="0"/>
      <w:marTop w:val="0"/>
      <w:marBottom w:val="0"/>
      <w:divBdr>
        <w:top w:val="none" w:sz="0" w:space="0" w:color="auto"/>
        <w:left w:val="none" w:sz="0" w:space="0" w:color="auto"/>
        <w:bottom w:val="none" w:sz="0" w:space="0" w:color="auto"/>
        <w:right w:val="none" w:sz="0" w:space="0" w:color="auto"/>
      </w:divBdr>
    </w:div>
    <w:div w:id="262567812">
      <w:bodyDiv w:val="1"/>
      <w:marLeft w:val="0"/>
      <w:marRight w:val="0"/>
      <w:marTop w:val="0"/>
      <w:marBottom w:val="0"/>
      <w:divBdr>
        <w:top w:val="none" w:sz="0" w:space="0" w:color="auto"/>
        <w:left w:val="none" w:sz="0" w:space="0" w:color="auto"/>
        <w:bottom w:val="none" w:sz="0" w:space="0" w:color="auto"/>
        <w:right w:val="none" w:sz="0" w:space="0" w:color="auto"/>
      </w:divBdr>
    </w:div>
    <w:div w:id="262612280">
      <w:bodyDiv w:val="1"/>
      <w:marLeft w:val="0"/>
      <w:marRight w:val="0"/>
      <w:marTop w:val="0"/>
      <w:marBottom w:val="0"/>
      <w:divBdr>
        <w:top w:val="none" w:sz="0" w:space="0" w:color="auto"/>
        <w:left w:val="none" w:sz="0" w:space="0" w:color="auto"/>
        <w:bottom w:val="none" w:sz="0" w:space="0" w:color="auto"/>
        <w:right w:val="none" w:sz="0" w:space="0" w:color="auto"/>
      </w:divBdr>
    </w:div>
    <w:div w:id="262880571">
      <w:bodyDiv w:val="1"/>
      <w:marLeft w:val="0"/>
      <w:marRight w:val="0"/>
      <w:marTop w:val="0"/>
      <w:marBottom w:val="0"/>
      <w:divBdr>
        <w:top w:val="none" w:sz="0" w:space="0" w:color="auto"/>
        <w:left w:val="none" w:sz="0" w:space="0" w:color="auto"/>
        <w:bottom w:val="none" w:sz="0" w:space="0" w:color="auto"/>
        <w:right w:val="none" w:sz="0" w:space="0" w:color="auto"/>
      </w:divBdr>
    </w:div>
    <w:div w:id="262886964">
      <w:bodyDiv w:val="1"/>
      <w:marLeft w:val="0"/>
      <w:marRight w:val="0"/>
      <w:marTop w:val="0"/>
      <w:marBottom w:val="0"/>
      <w:divBdr>
        <w:top w:val="none" w:sz="0" w:space="0" w:color="auto"/>
        <w:left w:val="none" w:sz="0" w:space="0" w:color="auto"/>
        <w:bottom w:val="none" w:sz="0" w:space="0" w:color="auto"/>
        <w:right w:val="none" w:sz="0" w:space="0" w:color="auto"/>
      </w:divBdr>
    </w:div>
    <w:div w:id="262955556">
      <w:bodyDiv w:val="1"/>
      <w:marLeft w:val="0"/>
      <w:marRight w:val="0"/>
      <w:marTop w:val="0"/>
      <w:marBottom w:val="0"/>
      <w:divBdr>
        <w:top w:val="none" w:sz="0" w:space="0" w:color="auto"/>
        <w:left w:val="none" w:sz="0" w:space="0" w:color="auto"/>
        <w:bottom w:val="none" w:sz="0" w:space="0" w:color="auto"/>
        <w:right w:val="none" w:sz="0" w:space="0" w:color="auto"/>
      </w:divBdr>
    </w:div>
    <w:div w:id="262996726">
      <w:bodyDiv w:val="1"/>
      <w:marLeft w:val="0"/>
      <w:marRight w:val="0"/>
      <w:marTop w:val="0"/>
      <w:marBottom w:val="0"/>
      <w:divBdr>
        <w:top w:val="none" w:sz="0" w:space="0" w:color="auto"/>
        <w:left w:val="none" w:sz="0" w:space="0" w:color="auto"/>
        <w:bottom w:val="none" w:sz="0" w:space="0" w:color="auto"/>
        <w:right w:val="none" w:sz="0" w:space="0" w:color="auto"/>
      </w:divBdr>
    </w:div>
    <w:div w:id="262999929">
      <w:bodyDiv w:val="1"/>
      <w:marLeft w:val="0"/>
      <w:marRight w:val="0"/>
      <w:marTop w:val="0"/>
      <w:marBottom w:val="0"/>
      <w:divBdr>
        <w:top w:val="none" w:sz="0" w:space="0" w:color="auto"/>
        <w:left w:val="none" w:sz="0" w:space="0" w:color="auto"/>
        <w:bottom w:val="none" w:sz="0" w:space="0" w:color="auto"/>
        <w:right w:val="none" w:sz="0" w:space="0" w:color="auto"/>
      </w:divBdr>
    </w:div>
    <w:div w:id="263419920">
      <w:bodyDiv w:val="1"/>
      <w:marLeft w:val="0"/>
      <w:marRight w:val="0"/>
      <w:marTop w:val="0"/>
      <w:marBottom w:val="0"/>
      <w:divBdr>
        <w:top w:val="none" w:sz="0" w:space="0" w:color="auto"/>
        <w:left w:val="none" w:sz="0" w:space="0" w:color="auto"/>
        <w:bottom w:val="none" w:sz="0" w:space="0" w:color="auto"/>
        <w:right w:val="none" w:sz="0" w:space="0" w:color="auto"/>
      </w:divBdr>
    </w:div>
    <w:div w:id="263463149">
      <w:bodyDiv w:val="1"/>
      <w:marLeft w:val="0"/>
      <w:marRight w:val="0"/>
      <w:marTop w:val="0"/>
      <w:marBottom w:val="0"/>
      <w:divBdr>
        <w:top w:val="none" w:sz="0" w:space="0" w:color="auto"/>
        <w:left w:val="none" w:sz="0" w:space="0" w:color="auto"/>
        <w:bottom w:val="none" w:sz="0" w:space="0" w:color="auto"/>
        <w:right w:val="none" w:sz="0" w:space="0" w:color="auto"/>
      </w:divBdr>
    </w:div>
    <w:div w:id="263610352">
      <w:bodyDiv w:val="1"/>
      <w:marLeft w:val="0"/>
      <w:marRight w:val="0"/>
      <w:marTop w:val="0"/>
      <w:marBottom w:val="0"/>
      <w:divBdr>
        <w:top w:val="none" w:sz="0" w:space="0" w:color="auto"/>
        <w:left w:val="none" w:sz="0" w:space="0" w:color="auto"/>
        <w:bottom w:val="none" w:sz="0" w:space="0" w:color="auto"/>
        <w:right w:val="none" w:sz="0" w:space="0" w:color="auto"/>
      </w:divBdr>
    </w:div>
    <w:div w:id="264076283">
      <w:bodyDiv w:val="1"/>
      <w:marLeft w:val="0"/>
      <w:marRight w:val="0"/>
      <w:marTop w:val="0"/>
      <w:marBottom w:val="0"/>
      <w:divBdr>
        <w:top w:val="none" w:sz="0" w:space="0" w:color="auto"/>
        <w:left w:val="none" w:sz="0" w:space="0" w:color="auto"/>
        <w:bottom w:val="none" w:sz="0" w:space="0" w:color="auto"/>
        <w:right w:val="none" w:sz="0" w:space="0" w:color="auto"/>
      </w:divBdr>
    </w:div>
    <w:div w:id="264118645">
      <w:bodyDiv w:val="1"/>
      <w:marLeft w:val="0"/>
      <w:marRight w:val="0"/>
      <w:marTop w:val="0"/>
      <w:marBottom w:val="0"/>
      <w:divBdr>
        <w:top w:val="none" w:sz="0" w:space="0" w:color="auto"/>
        <w:left w:val="none" w:sz="0" w:space="0" w:color="auto"/>
        <w:bottom w:val="none" w:sz="0" w:space="0" w:color="auto"/>
        <w:right w:val="none" w:sz="0" w:space="0" w:color="auto"/>
      </w:divBdr>
    </w:div>
    <w:div w:id="264196286">
      <w:bodyDiv w:val="1"/>
      <w:marLeft w:val="0"/>
      <w:marRight w:val="0"/>
      <w:marTop w:val="0"/>
      <w:marBottom w:val="0"/>
      <w:divBdr>
        <w:top w:val="none" w:sz="0" w:space="0" w:color="auto"/>
        <w:left w:val="none" w:sz="0" w:space="0" w:color="auto"/>
        <w:bottom w:val="none" w:sz="0" w:space="0" w:color="auto"/>
        <w:right w:val="none" w:sz="0" w:space="0" w:color="auto"/>
      </w:divBdr>
    </w:div>
    <w:div w:id="264465154">
      <w:bodyDiv w:val="1"/>
      <w:marLeft w:val="0"/>
      <w:marRight w:val="0"/>
      <w:marTop w:val="0"/>
      <w:marBottom w:val="0"/>
      <w:divBdr>
        <w:top w:val="none" w:sz="0" w:space="0" w:color="auto"/>
        <w:left w:val="none" w:sz="0" w:space="0" w:color="auto"/>
        <w:bottom w:val="none" w:sz="0" w:space="0" w:color="auto"/>
        <w:right w:val="none" w:sz="0" w:space="0" w:color="auto"/>
      </w:divBdr>
    </w:div>
    <w:div w:id="264658530">
      <w:bodyDiv w:val="1"/>
      <w:marLeft w:val="0"/>
      <w:marRight w:val="0"/>
      <w:marTop w:val="0"/>
      <w:marBottom w:val="0"/>
      <w:divBdr>
        <w:top w:val="none" w:sz="0" w:space="0" w:color="auto"/>
        <w:left w:val="none" w:sz="0" w:space="0" w:color="auto"/>
        <w:bottom w:val="none" w:sz="0" w:space="0" w:color="auto"/>
        <w:right w:val="none" w:sz="0" w:space="0" w:color="auto"/>
      </w:divBdr>
    </w:div>
    <w:div w:id="264702304">
      <w:bodyDiv w:val="1"/>
      <w:marLeft w:val="0"/>
      <w:marRight w:val="0"/>
      <w:marTop w:val="0"/>
      <w:marBottom w:val="0"/>
      <w:divBdr>
        <w:top w:val="none" w:sz="0" w:space="0" w:color="auto"/>
        <w:left w:val="none" w:sz="0" w:space="0" w:color="auto"/>
        <w:bottom w:val="none" w:sz="0" w:space="0" w:color="auto"/>
        <w:right w:val="none" w:sz="0" w:space="0" w:color="auto"/>
      </w:divBdr>
    </w:div>
    <w:div w:id="264727104">
      <w:bodyDiv w:val="1"/>
      <w:marLeft w:val="0"/>
      <w:marRight w:val="0"/>
      <w:marTop w:val="0"/>
      <w:marBottom w:val="0"/>
      <w:divBdr>
        <w:top w:val="none" w:sz="0" w:space="0" w:color="auto"/>
        <w:left w:val="none" w:sz="0" w:space="0" w:color="auto"/>
        <w:bottom w:val="none" w:sz="0" w:space="0" w:color="auto"/>
        <w:right w:val="none" w:sz="0" w:space="0" w:color="auto"/>
      </w:divBdr>
    </w:div>
    <w:div w:id="265499061">
      <w:bodyDiv w:val="1"/>
      <w:marLeft w:val="0"/>
      <w:marRight w:val="0"/>
      <w:marTop w:val="0"/>
      <w:marBottom w:val="0"/>
      <w:divBdr>
        <w:top w:val="none" w:sz="0" w:space="0" w:color="auto"/>
        <w:left w:val="none" w:sz="0" w:space="0" w:color="auto"/>
        <w:bottom w:val="none" w:sz="0" w:space="0" w:color="auto"/>
        <w:right w:val="none" w:sz="0" w:space="0" w:color="auto"/>
      </w:divBdr>
    </w:div>
    <w:div w:id="265622261">
      <w:bodyDiv w:val="1"/>
      <w:marLeft w:val="0"/>
      <w:marRight w:val="0"/>
      <w:marTop w:val="0"/>
      <w:marBottom w:val="0"/>
      <w:divBdr>
        <w:top w:val="none" w:sz="0" w:space="0" w:color="auto"/>
        <w:left w:val="none" w:sz="0" w:space="0" w:color="auto"/>
        <w:bottom w:val="none" w:sz="0" w:space="0" w:color="auto"/>
        <w:right w:val="none" w:sz="0" w:space="0" w:color="auto"/>
      </w:divBdr>
    </w:div>
    <w:div w:id="265961147">
      <w:bodyDiv w:val="1"/>
      <w:marLeft w:val="0"/>
      <w:marRight w:val="0"/>
      <w:marTop w:val="0"/>
      <w:marBottom w:val="0"/>
      <w:divBdr>
        <w:top w:val="none" w:sz="0" w:space="0" w:color="auto"/>
        <w:left w:val="none" w:sz="0" w:space="0" w:color="auto"/>
        <w:bottom w:val="none" w:sz="0" w:space="0" w:color="auto"/>
        <w:right w:val="none" w:sz="0" w:space="0" w:color="auto"/>
      </w:divBdr>
    </w:div>
    <w:div w:id="266426067">
      <w:bodyDiv w:val="1"/>
      <w:marLeft w:val="0"/>
      <w:marRight w:val="0"/>
      <w:marTop w:val="0"/>
      <w:marBottom w:val="0"/>
      <w:divBdr>
        <w:top w:val="none" w:sz="0" w:space="0" w:color="auto"/>
        <w:left w:val="none" w:sz="0" w:space="0" w:color="auto"/>
        <w:bottom w:val="none" w:sz="0" w:space="0" w:color="auto"/>
        <w:right w:val="none" w:sz="0" w:space="0" w:color="auto"/>
      </w:divBdr>
    </w:div>
    <w:div w:id="267156328">
      <w:bodyDiv w:val="1"/>
      <w:marLeft w:val="0"/>
      <w:marRight w:val="0"/>
      <w:marTop w:val="0"/>
      <w:marBottom w:val="0"/>
      <w:divBdr>
        <w:top w:val="none" w:sz="0" w:space="0" w:color="auto"/>
        <w:left w:val="none" w:sz="0" w:space="0" w:color="auto"/>
        <w:bottom w:val="none" w:sz="0" w:space="0" w:color="auto"/>
        <w:right w:val="none" w:sz="0" w:space="0" w:color="auto"/>
      </w:divBdr>
    </w:div>
    <w:div w:id="267202351">
      <w:bodyDiv w:val="1"/>
      <w:marLeft w:val="0"/>
      <w:marRight w:val="0"/>
      <w:marTop w:val="0"/>
      <w:marBottom w:val="0"/>
      <w:divBdr>
        <w:top w:val="none" w:sz="0" w:space="0" w:color="auto"/>
        <w:left w:val="none" w:sz="0" w:space="0" w:color="auto"/>
        <w:bottom w:val="none" w:sz="0" w:space="0" w:color="auto"/>
        <w:right w:val="none" w:sz="0" w:space="0" w:color="auto"/>
      </w:divBdr>
    </w:div>
    <w:div w:id="267202936">
      <w:bodyDiv w:val="1"/>
      <w:marLeft w:val="0"/>
      <w:marRight w:val="0"/>
      <w:marTop w:val="0"/>
      <w:marBottom w:val="0"/>
      <w:divBdr>
        <w:top w:val="none" w:sz="0" w:space="0" w:color="auto"/>
        <w:left w:val="none" w:sz="0" w:space="0" w:color="auto"/>
        <w:bottom w:val="none" w:sz="0" w:space="0" w:color="auto"/>
        <w:right w:val="none" w:sz="0" w:space="0" w:color="auto"/>
      </w:divBdr>
    </w:div>
    <w:div w:id="267738741">
      <w:bodyDiv w:val="1"/>
      <w:marLeft w:val="0"/>
      <w:marRight w:val="0"/>
      <w:marTop w:val="0"/>
      <w:marBottom w:val="0"/>
      <w:divBdr>
        <w:top w:val="none" w:sz="0" w:space="0" w:color="auto"/>
        <w:left w:val="none" w:sz="0" w:space="0" w:color="auto"/>
        <w:bottom w:val="none" w:sz="0" w:space="0" w:color="auto"/>
        <w:right w:val="none" w:sz="0" w:space="0" w:color="auto"/>
      </w:divBdr>
    </w:div>
    <w:div w:id="267930586">
      <w:bodyDiv w:val="1"/>
      <w:marLeft w:val="0"/>
      <w:marRight w:val="0"/>
      <w:marTop w:val="0"/>
      <w:marBottom w:val="0"/>
      <w:divBdr>
        <w:top w:val="none" w:sz="0" w:space="0" w:color="auto"/>
        <w:left w:val="none" w:sz="0" w:space="0" w:color="auto"/>
        <w:bottom w:val="none" w:sz="0" w:space="0" w:color="auto"/>
        <w:right w:val="none" w:sz="0" w:space="0" w:color="auto"/>
      </w:divBdr>
    </w:div>
    <w:div w:id="268046899">
      <w:bodyDiv w:val="1"/>
      <w:marLeft w:val="0"/>
      <w:marRight w:val="0"/>
      <w:marTop w:val="0"/>
      <w:marBottom w:val="0"/>
      <w:divBdr>
        <w:top w:val="none" w:sz="0" w:space="0" w:color="auto"/>
        <w:left w:val="none" w:sz="0" w:space="0" w:color="auto"/>
        <w:bottom w:val="none" w:sz="0" w:space="0" w:color="auto"/>
        <w:right w:val="none" w:sz="0" w:space="0" w:color="auto"/>
      </w:divBdr>
    </w:div>
    <w:div w:id="268053185">
      <w:bodyDiv w:val="1"/>
      <w:marLeft w:val="0"/>
      <w:marRight w:val="0"/>
      <w:marTop w:val="0"/>
      <w:marBottom w:val="0"/>
      <w:divBdr>
        <w:top w:val="none" w:sz="0" w:space="0" w:color="auto"/>
        <w:left w:val="none" w:sz="0" w:space="0" w:color="auto"/>
        <w:bottom w:val="none" w:sz="0" w:space="0" w:color="auto"/>
        <w:right w:val="none" w:sz="0" w:space="0" w:color="auto"/>
      </w:divBdr>
    </w:div>
    <w:div w:id="268466970">
      <w:bodyDiv w:val="1"/>
      <w:marLeft w:val="0"/>
      <w:marRight w:val="0"/>
      <w:marTop w:val="0"/>
      <w:marBottom w:val="0"/>
      <w:divBdr>
        <w:top w:val="none" w:sz="0" w:space="0" w:color="auto"/>
        <w:left w:val="none" w:sz="0" w:space="0" w:color="auto"/>
        <w:bottom w:val="none" w:sz="0" w:space="0" w:color="auto"/>
        <w:right w:val="none" w:sz="0" w:space="0" w:color="auto"/>
      </w:divBdr>
    </w:div>
    <w:div w:id="268700915">
      <w:bodyDiv w:val="1"/>
      <w:marLeft w:val="0"/>
      <w:marRight w:val="0"/>
      <w:marTop w:val="0"/>
      <w:marBottom w:val="0"/>
      <w:divBdr>
        <w:top w:val="none" w:sz="0" w:space="0" w:color="auto"/>
        <w:left w:val="none" w:sz="0" w:space="0" w:color="auto"/>
        <w:bottom w:val="none" w:sz="0" w:space="0" w:color="auto"/>
        <w:right w:val="none" w:sz="0" w:space="0" w:color="auto"/>
      </w:divBdr>
    </w:div>
    <w:div w:id="268783321">
      <w:bodyDiv w:val="1"/>
      <w:marLeft w:val="0"/>
      <w:marRight w:val="0"/>
      <w:marTop w:val="0"/>
      <w:marBottom w:val="0"/>
      <w:divBdr>
        <w:top w:val="none" w:sz="0" w:space="0" w:color="auto"/>
        <w:left w:val="none" w:sz="0" w:space="0" w:color="auto"/>
        <w:bottom w:val="none" w:sz="0" w:space="0" w:color="auto"/>
        <w:right w:val="none" w:sz="0" w:space="0" w:color="auto"/>
      </w:divBdr>
    </w:div>
    <w:div w:id="268971937">
      <w:bodyDiv w:val="1"/>
      <w:marLeft w:val="0"/>
      <w:marRight w:val="0"/>
      <w:marTop w:val="0"/>
      <w:marBottom w:val="0"/>
      <w:divBdr>
        <w:top w:val="none" w:sz="0" w:space="0" w:color="auto"/>
        <w:left w:val="none" w:sz="0" w:space="0" w:color="auto"/>
        <w:bottom w:val="none" w:sz="0" w:space="0" w:color="auto"/>
        <w:right w:val="none" w:sz="0" w:space="0" w:color="auto"/>
      </w:divBdr>
    </w:div>
    <w:div w:id="269312882">
      <w:bodyDiv w:val="1"/>
      <w:marLeft w:val="0"/>
      <w:marRight w:val="0"/>
      <w:marTop w:val="0"/>
      <w:marBottom w:val="0"/>
      <w:divBdr>
        <w:top w:val="none" w:sz="0" w:space="0" w:color="auto"/>
        <w:left w:val="none" w:sz="0" w:space="0" w:color="auto"/>
        <w:bottom w:val="none" w:sz="0" w:space="0" w:color="auto"/>
        <w:right w:val="none" w:sz="0" w:space="0" w:color="auto"/>
      </w:divBdr>
    </w:div>
    <w:div w:id="269357431">
      <w:bodyDiv w:val="1"/>
      <w:marLeft w:val="0"/>
      <w:marRight w:val="0"/>
      <w:marTop w:val="0"/>
      <w:marBottom w:val="0"/>
      <w:divBdr>
        <w:top w:val="none" w:sz="0" w:space="0" w:color="auto"/>
        <w:left w:val="none" w:sz="0" w:space="0" w:color="auto"/>
        <w:bottom w:val="none" w:sz="0" w:space="0" w:color="auto"/>
        <w:right w:val="none" w:sz="0" w:space="0" w:color="auto"/>
      </w:divBdr>
    </w:div>
    <w:div w:id="269627991">
      <w:bodyDiv w:val="1"/>
      <w:marLeft w:val="0"/>
      <w:marRight w:val="0"/>
      <w:marTop w:val="0"/>
      <w:marBottom w:val="0"/>
      <w:divBdr>
        <w:top w:val="none" w:sz="0" w:space="0" w:color="auto"/>
        <w:left w:val="none" w:sz="0" w:space="0" w:color="auto"/>
        <w:bottom w:val="none" w:sz="0" w:space="0" w:color="auto"/>
        <w:right w:val="none" w:sz="0" w:space="0" w:color="auto"/>
      </w:divBdr>
    </w:div>
    <w:div w:id="269900700">
      <w:bodyDiv w:val="1"/>
      <w:marLeft w:val="0"/>
      <w:marRight w:val="0"/>
      <w:marTop w:val="0"/>
      <w:marBottom w:val="0"/>
      <w:divBdr>
        <w:top w:val="none" w:sz="0" w:space="0" w:color="auto"/>
        <w:left w:val="none" w:sz="0" w:space="0" w:color="auto"/>
        <w:bottom w:val="none" w:sz="0" w:space="0" w:color="auto"/>
        <w:right w:val="none" w:sz="0" w:space="0" w:color="auto"/>
      </w:divBdr>
    </w:div>
    <w:div w:id="270017467">
      <w:bodyDiv w:val="1"/>
      <w:marLeft w:val="0"/>
      <w:marRight w:val="0"/>
      <w:marTop w:val="0"/>
      <w:marBottom w:val="0"/>
      <w:divBdr>
        <w:top w:val="none" w:sz="0" w:space="0" w:color="auto"/>
        <w:left w:val="none" w:sz="0" w:space="0" w:color="auto"/>
        <w:bottom w:val="none" w:sz="0" w:space="0" w:color="auto"/>
        <w:right w:val="none" w:sz="0" w:space="0" w:color="auto"/>
      </w:divBdr>
    </w:div>
    <w:div w:id="270283797">
      <w:bodyDiv w:val="1"/>
      <w:marLeft w:val="0"/>
      <w:marRight w:val="0"/>
      <w:marTop w:val="0"/>
      <w:marBottom w:val="0"/>
      <w:divBdr>
        <w:top w:val="none" w:sz="0" w:space="0" w:color="auto"/>
        <w:left w:val="none" w:sz="0" w:space="0" w:color="auto"/>
        <w:bottom w:val="none" w:sz="0" w:space="0" w:color="auto"/>
        <w:right w:val="none" w:sz="0" w:space="0" w:color="auto"/>
      </w:divBdr>
    </w:div>
    <w:div w:id="270626684">
      <w:bodyDiv w:val="1"/>
      <w:marLeft w:val="0"/>
      <w:marRight w:val="0"/>
      <w:marTop w:val="0"/>
      <w:marBottom w:val="0"/>
      <w:divBdr>
        <w:top w:val="none" w:sz="0" w:space="0" w:color="auto"/>
        <w:left w:val="none" w:sz="0" w:space="0" w:color="auto"/>
        <w:bottom w:val="none" w:sz="0" w:space="0" w:color="auto"/>
        <w:right w:val="none" w:sz="0" w:space="0" w:color="auto"/>
      </w:divBdr>
    </w:div>
    <w:div w:id="270668205">
      <w:bodyDiv w:val="1"/>
      <w:marLeft w:val="0"/>
      <w:marRight w:val="0"/>
      <w:marTop w:val="0"/>
      <w:marBottom w:val="0"/>
      <w:divBdr>
        <w:top w:val="none" w:sz="0" w:space="0" w:color="auto"/>
        <w:left w:val="none" w:sz="0" w:space="0" w:color="auto"/>
        <w:bottom w:val="none" w:sz="0" w:space="0" w:color="auto"/>
        <w:right w:val="none" w:sz="0" w:space="0" w:color="auto"/>
      </w:divBdr>
    </w:div>
    <w:div w:id="270668760">
      <w:bodyDiv w:val="1"/>
      <w:marLeft w:val="0"/>
      <w:marRight w:val="0"/>
      <w:marTop w:val="0"/>
      <w:marBottom w:val="0"/>
      <w:divBdr>
        <w:top w:val="none" w:sz="0" w:space="0" w:color="auto"/>
        <w:left w:val="none" w:sz="0" w:space="0" w:color="auto"/>
        <w:bottom w:val="none" w:sz="0" w:space="0" w:color="auto"/>
        <w:right w:val="none" w:sz="0" w:space="0" w:color="auto"/>
      </w:divBdr>
    </w:div>
    <w:div w:id="270745341">
      <w:bodyDiv w:val="1"/>
      <w:marLeft w:val="0"/>
      <w:marRight w:val="0"/>
      <w:marTop w:val="0"/>
      <w:marBottom w:val="0"/>
      <w:divBdr>
        <w:top w:val="none" w:sz="0" w:space="0" w:color="auto"/>
        <w:left w:val="none" w:sz="0" w:space="0" w:color="auto"/>
        <w:bottom w:val="none" w:sz="0" w:space="0" w:color="auto"/>
        <w:right w:val="none" w:sz="0" w:space="0" w:color="auto"/>
      </w:divBdr>
    </w:div>
    <w:div w:id="270817644">
      <w:bodyDiv w:val="1"/>
      <w:marLeft w:val="0"/>
      <w:marRight w:val="0"/>
      <w:marTop w:val="0"/>
      <w:marBottom w:val="0"/>
      <w:divBdr>
        <w:top w:val="none" w:sz="0" w:space="0" w:color="auto"/>
        <w:left w:val="none" w:sz="0" w:space="0" w:color="auto"/>
        <w:bottom w:val="none" w:sz="0" w:space="0" w:color="auto"/>
        <w:right w:val="none" w:sz="0" w:space="0" w:color="auto"/>
      </w:divBdr>
    </w:div>
    <w:div w:id="270866501">
      <w:bodyDiv w:val="1"/>
      <w:marLeft w:val="0"/>
      <w:marRight w:val="0"/>
      <w:marTop w:val="0"/>
      <w:marBottom w:val="0"/>
      <w:divBdr>
        <w:top w:val="none" w:sz="0" w:space="0" w:color="auto"/>
        <w:left w:val="none" w:sz="0" w:space="0" w:color="auto"/>
        <w:bottom w:val="none" w:sz="0" w:space="0" w:color="auto"/>
        <w:right w:val="none" w:sz="0" w:space="0" w:color="auto"/>
      </w:divBdr>
    </w:div>
    <w:div w:id="270892648">
      <w:bodyDiv w:val="1"/>
      <w:marLeft w:val="0"/>
      <w:marRight w:val="0"/>
      <w:marTop w:val="0"/>
      <w:marBottom w:val="0"/>
      <w:divBdr>
        <w:top w:val="none" w:sz="0" w:space="0" w:color="auto"/>
        <w:left w:val="none" w:sz="0" w:space="0" w:color="auto"/>
        <w:bottom w:val="none" w:sz="0" w:space="0" w:color="auto"/>
        <w:right w:val="none" w:sz="0" w:space="0" w:color="auto"/>
      </w:divBdr>
    </w:div>
    <w:div w:id="271059040">
      <w:bodyDiv w:val="1"/>
      <w:marLeft w:val="0"/>
      <w:marRight w:val="0"/>
      <w:marTop w:val="0"/>
      <w:marBottom w:val="0"/>
      <w:divBdr>
        <w:top w:val="none" w:sz="0" w:space="0" w:color="auto"/>
        <w:left w:val="none" w:sz="0" w:space="0" w:color="auto"/>
        <w:bottom w:val="none" w:sz="0" w:space="0" w:color="auto"/>
        <w:right w:val="none" w:sz="0" w:space="0" w:color="auto"/>
      </w:divBdr>
    </w:div>
    <w:div w:id="271204060">
      <w:bodyDiv w:val="1"/>
      <w:marLeft w:val="0"/>
      <w:marRight w:val="0"/>
      <w:marTop w:val="0"/>
      <w:marBottom w:val="0"/>
      <w:divBdr>
        <w:top w:val="none" w:sz="0" w:space="0" w:color="auto"/>
        <w:left w:val="none" w:sz="0" w:space="0" w:color="auto"/>
        <w:bottom w:val="none" w:sz="0" w:space="0" w:color="auto"/>
        <w:right w:val="none" w:sz="0" w:space="0" w:color="auto"/>
      </w:divBdr>
    </w:div>
    <w:div w:id="271204813">
      <w:bodyDiv w:val="1"/>
      <w:marLeft w:val="0"/>
      <w:marRight w:val="0"/>
      <w:marTop w:val="0"/>
      <w:marBottom w:val="0"/>
      <w:divBdr>
        <w:top w:val="none" w:sz="0" w:space="0" w:color="auto"/>
        <w:left w:val="none" w:sz="0" w:space="0" w:color="auto"/>
        <w:bottom w:val="none" w:sz="0" w:space="0" w:color="auto"/>
        <w:right w:val="none" w:sz="0" w:space="0" w:color="auto"/>
      </w:divBdr>
    </w:div>
    <w:div w:id="271324752">
      <w:bodyDiv w:val="1"/>
      <w:marLeft w:val="0"/>
      <w:marRight w:val="0"/>
      <w:marTop w:val="0"/>
      <w:marBottom w:val="0"/>
      <w:divBdr>
        <w:top w:val="none" w:sz="0" w:space="0" w:color="auto"/>
        <w:left w:val="none" w:sz="0" w:space="0" w:color="auto"/>
        <w:bottom w:val="none" w:sz="0" w:space="0" w:color="auto"/>
        <w:right w:val="none" w:sz="0" w:space="0" w:color="auto"/>
      </w:divBdr>
    </w:div>
    <w:div w:id="271402097">
      <w:bodyDiv w:val="1"/>
      <w:marLeft w:val="0"/>
      <w:marRight w:val="0"/>
      <w:marTop w:val="0"/>
      <w:marBottom w:val="0"/>
      <w:divBdr>
        <w:top w:val="none" w:sz="0" w:space="0" w:color="auto"/>
        <w:left w:val="none" w:sz="0" w:space="0" w:color="auto"/>
        <w:bottom w:val="none" w:sz="0" w:space="0" w:color="auto"/>
        <w:right w:val="none" w:sz="0" w:space="0" w:color="auto"/>
      </w:divBdr>
    </w:div>
    <w:div w:id="271668338">
      <w:bodyDiv w:val="1"/>
      <w:marLeft w:val="0"/>
      <w:marRight w:val="0"/>
      <w:marTop w:val="0"/>
      <w:marBottom w:val="0"/>
      <w:divBdr>
        <w:top w:val="none" w:sz="0" w:space="0" w:color="auto"/>
        <w:left w:val="none" w:sz="0" w:space="0" w:color="auto"/>
        <w:bottom w:val="none" w:sz="0" w:space="0" w:color="auto"/>
        <w:right w:val="none" w:sz="0" w:space="0" w:color="auto"/>
      </w:divBdr>
    </w:div>
    <w:div w:id="271910735">
      <w:bodyDiv w:val="1"/>
      <w:marLeft w:val="0"/>
      <w:marRight w:val="0"/>
      <w:marTop w:val="0"/>
      <w:marBottom w:val="0"/>
      <w:divBdr>
        <w:top w:val="none" w:sz="0" w:space="0" w:color="auto"/>
        <w:left w:val="none" w:sz="0" w:space="0" w:color="auto"/>
        <w:bottom w:val="none" w:sz="0" w:space="0" w:color="auto"/>
        <w:right w:val="none" w:sz="0" w:space="0" w:color="auto"/>
      </w:divBdr>
    </w:div>
    <w:div w:id="271982213">
      <w:bodyDiv w:val="1"/>
      <w:marLeft w:val="0"/>
      <w:marRight w:val="0"/>
      <w:marTop w:val="0"/>
      <w:marBottom w:val="0"/>
      <w:divBdr>
        <w:top w:val="none" w:sz="0" w:space="0" w:color="auto"/>
        <w:left w:val="none" w:sz="0" w:space="0" w:color="auto"/>
        <w:bottom w:val="none" w:sz="0" w:space="0" w:color="auto"/>
        <w:right w:val="none" w:sz="0" w:space="0" w:color="auto"/>
      </w:divBdr>
    </w:div>
    <w:div w:id="272521672">
      <w:bodyDiv w:val="1"/>
      <w:marLeft w:val="0"/>
      <w:marRight w:val="0"/>
      <w:marTop w:val="0"/>
      <w:marBottom w:val="0"/>
      <w:divBdr>
        <w:top w:val="none" w:sz="0" w:space="0" w:color="auto"/>
        <w:left w:val="none" w:sz="0" w:space="0" w:color="auto"/>
        <w:bottom w:val="none" w:sz="0" w:space="0" w:color="auto"/>
        <w:right w:val="none" w:sz="0" w:space="0" w:color="auto"/>
      </w:divBdr>
    </w:div>
    <w:div w:id="272596467">
      <w:bodyDiv w:val="1"/>
      <w:marLeft w:val="0"/>
      <w:marRight w:val="0"/>
      <w:marTop w:val="0"/>
      <w:marBottom w:val="0"/>
      <w:divBdr>
        <w:top w:val="none" w:sz="0" w:space="0" w:color="auto"/>
        <w:left w:val="none" w:sz="0" w:space="0" w:color="auto"/>
        <w:bottom w:val="none" w:sz="0" w:space="0" w:color="auto"/>
        <w:right w:val="none" w:sz="0" w:space="0" w:color="auto"/>
      </w:divBdr>
    </w:div>
    <w:div w:id="272707681">
      <w:bodyDiv w:val="1"/>
      <w:marLeft w:val="0"/>
      <w:marRight w:val="0"/>
      <w:marTop w:val="0"/>
      <w:marBottom w:val="0"/>
      <w:divBdr>
        <w:top w:val="none" w:sz="0" w:space="0" w:color="auto"/>
        <w:left w:val="none" w:sz="0" w:space="0" w:color="auto"/>
        <w:bottom w:val="none" w:sz="0" w:space="0" w:color="auto"/>
        <w:right w:val="none" w:sz="0" w:space="0" w:color="auto"/>
      </w:divBdr>
    </w:div>
    <w:div w:id="272713827">
      <w:bodyDiv w:val="1"/>
      <w:marLeft w:val="0"/>
      <w:marRight w:val="0"/>
      <w:marTop w:val="0"/>
      <w:marBottom w:val="0"/>
      <w:divBdr>
        <w:top w:val="none" w:sz="0" w:space="0" w:color="auto"/>
        <w:left w:val="none" w:sz="0" w:space="0" w:color="auto"/>
        <w:bottom w:val="none" w:sz="0" w:space="0" w:color="auto"/>
        <w:right w:val="none" w:sz="0" w:space="0" w:color="auto"/>
      </w:divBdr>
    </w:div>
    <w:div w:id="272834293">
      <w:bodyDiv w:val="1"/>
      <w:marLeft w:val="0"/>
      <w:marRight w:val="0"/>
      <w:marTop w:val="0"/>
      <w:marBottom w:val="0"/>
      <w:divBdr>
        <w:top w:val="none" w:sz="0" w:space="0" w:color="auto"/>
        <w:left w:val="none" w:sz="0" w:space="0" w:color="auto"/>
        <w:bottom w:val="none" w:sz="0" w:space="0" w:color="auto"/>
        <w:right w:val="none" w:sz="0" w:space="0" w:color="auto"/>
      </w:divBdr>
    </w:div>
    <w:div w:id="273682979">
      <w:bodyDiv w:val="1"/>
      <w:marLeft w:val="0"/>
      <w:marRight w:val="0"/>
      <w:marTop w:val="0"/>
      <w:marBottom w:val="0"/>
      <w:divBdr>
        <w:top w:val="none" w:sz="0" w:space="0" w:color="auto"/>
        <w:left w:val="none" w:sz="0" w:space="0" w:color="auto"/>
        <w:bottom w:val="none" w:sz="0" w:space="0" w:color="auto"/>
        <w:right w:val="none" w:sz="0" w:space="0" w:color="auto"/>
      </w:divBdr>
    </w:div>
    <w:div w:id="273946329">
      <w:bodyDiv w:val="1"/>
      <w:marLeft w:val="0"/>
      <w:marRight w:val="0"/>
      <w:marTop w:val="0"/>
      <w:marBottom w:val="0"/>
      <w:divBdr>
        <w:top w:val="none" w:sz="0" w:space="0" w:color="auto"/>
        <w:left w:val="none" w:sz="0" w:space="0" w:color="auto"/>
        <w:bottom w:val="none" w:sz="0" w:space="0" w:color="auto"/>
        <w:right w:val="none" w:sz="0" w:space="0" w:color="auto"/>
      </w:divBdr>
    </w:div>
    <w:div w:id="274095222">
      <w:bodyDiv w:val="1"/>
      <w:marLeft w:val="0"/>
      <w:marRight w:val="0"/>
      <w:marTop w:val="0"/>
      <w:marBottom w:val="0"/>
      <w:divBdr>
        <w:top w:val="none" w:sz="0" w:space="0" w:color="auto"/>
        <w:left w:val="none" w:sz="0" w:space="0" w:color="auto"/>
        <w:bottom w:val="none" w:sz="0" w:space="0" w:color="auto"/>
        <w:right w:val="none" w:sz="0" w:space="0" w:color="auto"/>
      </w:divBdr>
    </w:div>
    <w:div w:id="274293534">
      <w:bodyDiv w:val="1"/>
      <w:marLeft w:val="0"/>
      <w:marRight w:val="0"/>
      <w:marTop w:val="0"/>
      <w:marBottom w:val="0"/>
      <w:divBdr>
        <w:top w:val="none" w:sz="0" w:space="0" w:color="auto"/>
        <w:left w:val="none" w:sz="0" w:space="0" w:color="auto"/>
        <w:bottom w:val="none" w:sz="0" w:space="0" w:color="auto"/>
        <w:right w:val="none" w:sz="0" w:space="0" w:color="auto"/>
      </w:divBdr>
    </w:div>
    <w:div w:id="274605468">
      <w:bodyDiv w:val="1"/>
      <w:marLeft w:val="0"/>
      <w:marRight w:val="0"/>
      <w:marTop w:val="0"/>
      <w:marBottom w:val="0"/>
      <w:divBdr>
        <w:top w:val="none" w:sz="0" w:space="0" w:color="auto"/>
        <w:left w:val="none" w:sz="0" w:space="0" w:color="auto"/>
        <w:bottom w:val="none" w:sz="0" w:space="0" w:color="auto"/>
        <w:right w:val="none" w:sz="0" w:space="0" w:color="auto"/>
      </w:divBdr>
    </w:div>
    <w:div w:id="274677280">
      <w:bodyDiv w:val="1"/>
      <w:marLeft w:val="0"/>
      <w:marRight w:val="0"/>
      <w:marTop w:val="0"/>
      <w:marBottom w:val="0"/>
      <w:divBdr>
        <w:top w:val="none" w:sz="0" w:space="0" w:color="auto"/>
        <w:left w:val="none" w:sz="0" w:space="0" w:color="auto"/>
        <w:bottom w:val="none" w:sz="0" w:space="0" w:color="auto"/>
        <w:right w:val="none" w:sz="0" w:space="0" w:color="auto"/>
      </w:divBdr>
    </w:div>
    <w:div w:id="274868886">
      <w:bodyDiv w:val="1"/>
      <w:marLeft w:val="0"/>
      <w:marRight w:val="0"/>
      <w:marTop w:val="0"/>
      <w:marBottom w:val="0"/>
      <w:divBdr>
        <w:top w:val="none" w:sz="0" w:space="0" w:color="auto"/>
        <w:left w:val="none" w:sz="0" w:space="0" w:color="auto"/>
        <w:bottom w:val="none" w:sz="0" w:space="0" w:color="auto"/>
        <w:right w:val="none" w:sz="0" w:space="0" w:color="auto"/>
      </w:divBdr>
    </w:div>
    <w:div w:id="274993009">
      <w:bodyDiv w:val="1"/>
      <w:marLeft w:val="0"/>
      <w:marRight w:val="0"/>
      <w:marTop w:val="0"/>
      <w:marBottom w:val="0"/>
      <w:divBdr>
        <w:top w:val="none" w:sz="0" w:space="0" w:color="auto"/>
        <w:left w:val="none" w:sz="0" w:space="0" w:color="auto"/>
        <w:bottom w:val="none" w:sz="0" w:space="0" w:color="auto"/>
        <w:right w:val="none" w:sz="0" w:space="0" w:color="auto"/>
      </w:divBdr>
    </w:div>
    <w:div w:id="275648566">
      <w:bodyDiv w:val="1"/>
      <w:marLeft w:val="0"/>
      <w:marRight w:val="0"/>
      <w:marTop w:val="0"/>
      <w:marBottom w:val="0"/>
      <w:divBdr>
        <w:top w:val="none" w:sz="0" w:space="0" w:color="auto"/>
        <w:left w:val="none" w:sz="0" w:space="0" w:color="auto"/>
        <w:bottom w:val="none" w:sz="0" w:space="0" w:color="auto"/>
        <w:right w:val="none" w:sz="0" w:space="0" w:color="auto"/>
      </w:divBdr>
    </w:div>
    <w:div w:id="275722300">
      <w:bodyDiv w:val="1"/>
      <w:marLeft w:val="0"/>
      <w:marRight w:val="0"/>
      <w:marTop w:val="0"/>
      <w:marBottom w:val="0"/>
      <w:divBdr>
        <w:top w:val="none" w:sz="0" w:space="0" w:color="auto"/>
        <w:left w:val="none" w:sz="0" w:space="0" w:color="auto"/>
        <w:bottom w:val="none" w:sz="0" w:space="0" w:color="auto"/>
        <w:right w:val="none" w:sz="0" w:space="0" w:color="auto"/>
      </w:divBdr>
    </w:div>
    <w:div w:id="275722367">
      <w:bodyDiv w:val="1"/>
      <w:marLeft w:val="0"/>
      <w:marRight w:val="0"/>
      <w:marTop w:val="0"/>
      <w:marBottom w:val="0"/>
      <w:divBdr>
        <w:top w:val="none" w:sz="0" w:space="0" w:color="auto"/>
        <w:left w:val="none" w:sz="0" w:space="0" w:color="auto"/>
        <w:bottom w:val="none" w:sz="0" w:space="0" w:color="auto"/>
        <w:right w:val="none" w:sz="0" w:space="0" w:color="auto"/>
      </w:divBdr>
    </w:div>
    <w:div w:id="275793761">
      <w:bodyDiv w:val="1"/>
      <w:marLeft w:val="0"/>
      <w:marRight w:val="0"/>
      <w:marTop w:val="0"/>
      <w:marBottom w:val="0"/>
      <w:divBdr>
        <w:top w:val="none" w:sz="0" w:space="0" w:color="auto"/>
        <w:left w:val="none" w:sz="0" w:space="0" w:color="auto"/>
        <w:bottom w:val="none" w:sz="0" w:space="0" w:color="auto"/>
        <w:right w:val="none" w:sz="0" w:space="0" w:color="auto"/>
      </w:divBdr>
    </w:div>
    <w:div w:id="275988067">
      <w:bodyDiv w:val="1"/>
      <w:marLeft w:val="0"/>
      <w:marRight w:val="0"/>
      <w:marTop w:val="0"/>
      <w:marBottom w:val="0"/>
      <w:divBdr>
        <w:top w:val="none" w:sz="0" w:space="0" w:color="auto"/>
        <w:left w:val="none" w:sz="0" w:space="0" w:color="auto"/>
        <w:bottom w:val="none" w:sz="0" w:space="0" w:color="auto"/>
        <w:right w:val="none" w:sz="0" w:space="0" w:color="auto"/>
      </w:divBdr>
    </w:div>
    <w:div w:id="276065372">
      <w:bodyDiv w:val="1"/>
      <w:marLeft w:val="0"/>
      <w:marRight w:val="0"/>
      <w:marTop w:val="0"/>
      <w:marBottom w:val="0"/>
      <w:divBdr>
        <w:top w:val="none" w:sz="0" w:space="0" w:color="auto"/>
        <w:left w:val="none" w:sz="0" w:space="0" w:color="auto"/>
        <w:bottom w:val="none" w:sz="0" w:space="0" w:color="auto"/>
        <w:right w:val="none" w:sz="0" w:space="0" w:color="auto"/>
      </w:divBdr>
    </w:div>
    <w:div w:id="276176657">
      <w:bodyDiv w:val="1"/>
      <w:marLeft w:val="0"/>
      <w:marRight w:val="0"/>
      <w:marTop w:val="0"/>
      <w:marBottom w:val="0"/>
      <w:divBdr>
        <w:top w:val="none" w:sz="0" w:space="0" w:color="auto"/>
        <w:left w:val="none" w:sz="0" w:space="0" w:color="auto"/>
        <w:bottom w:val="none" w:sz="0" w:space="0" w:color="auto"/>
        <w:right w:val="none" w:sz="0" w:space="0" w:color="auto"/>
      </w:divBdr>
    </w:div>
    <w:div w:id="276182773">
      <w:bodyDiv w:val="1"/>
      <w:marLeft w:val="0"/>
      <w:marRight w:val="0"/>
      <w:marTop w:val="0"/>
      <w:marBottom w:val="0"/>
      <w:divBdr>
        <w:top w:val="none" w:sz="0" w:space="0" w:color="auto"/>
        <w:left w:val="none" w:sz="0" w:space="0" w:color="auto"/>
        <w:bottom w:val="none" w:sz="0" w:space="0" w:color="auto"/>
        <w:right w:val="none" w:sz="0" w:space="0" w:color="auto"/>
      </w:divBdr>
    </w:div>
    <w:div w:id="276256020">
      <w:bodyDiv w:val="1"/>
      <w:marLeft w:val="0"/>
      <w:marRight w:val="0"/>
      <w:marTop w:val="0"/>
      <w:marBottom w:val="0"/>
      <w:divBdr>
        <w:top w:val="none" w:sz="0" w:space="0" w:color="auto"/>
        <w:left w:val="none" w:sz="0" w:space="0" w:color="auto"/>
        <w:bottom w:val="none" w:sz="0" w:space="0" w:color="auto"/>
        <w:right w:val="none" w:sz="0" w:space="0" w:color="auto"/>
      </w:divBdr>
    </w:div>
    <w:div w:id="276449728">
      <w:bodyDiv w:val="1"/>
      <w:marLeft w:val="0"/>
      <w:marRight w:val="0"/>
      <w:marTop w:val="0"/>
      <w:marBottom w:val="0"/>
      <w:divBdr>
        <w:top w:val="none" w:sz="0" w:space="0" w:color="auto"/>
        <w:left w:val="none" w:sz="0" w:space="0" w:color="auto"/>
        <w:bottom w:val="none" w:sz="0" w:space="0" w:color="auto"/>
        <w:right w:val="none" w:sz="0" w:space="0" w:color="auto"/>
      </w:divBdr>
    </w:div>
    <w:div w:id="276568831">
      <w:bodyDiv w:val="1"/>
      <w:marLeft w:val="0"/>
      <w:marRight w:val="0"/>
      <w:marTop w:val="0"/>
      <w:marBottom w:val="0"/>
      <w:divBdr>
        <w:top w:val="none" w:sz="0" w:space="0" w:color="auto"/>
        <w:left w:val="none" w:sz="0" w:space="0" w:color="auto"/>
        <w:bottom w:val="none" w:sz="0" w:space="0" w:color="auto"/>
        <w:right w:val="none" w:sz="0" w:space="0" w:color="auto"/>
      </w:divBdr>
    </w:div>
    <w:div w:id="276572719">
      <w:bodyDiv w:val="1"/>
      <w:marLeft w:val="0"/>
      <w:marRight w:val="0"/>
      <w:marTop w:val="0"/>
      <w:marBottom w:val="0"/>
      <w:divBdr>
        <w:top w:val="none" w:sz="0" w:space="0" w:color="auto"/>
        <w:left w:val="none" w:sz="0" w:space="0" w:color="auto"/>
        <w:bottom w:val="none" w:sz="0" w:space="0" w:color="auto"/>
        <w:right w:val="none" w:sz="0" w:space="0" w:color="auto"/>
      </w:divBdr>
    </w:div>
    <w:div w:id="276790008">
      <w:bodyDiv w:val="1"/>
      <w:marLeft w:val="0"/>
      <w:marRight w:val="0"/>
      <w:marTop w:val="0"/>
      <w:marBottom w:val="0"/>
      <w:divBdr>
        <w:top w:val="none" w:sz="0" w:space="0" w:color="auto"/>
        <w:left w:val="none" w:sz="0" w:space="0" w:color="auto"/>
        <w:bottom w:val="none" w:sz="0" w:space="0" w:color="auto"/>
        <w:right w:val="none" w:sz="0" w:space="0" w:color="auto"/>
      </w:divBdr>
    </w:div>
    <w:div w:id="277177453">
      <w:bodyDiv w:val="1"/>
      <w:marLeft w:val="0"/>
      <w:marRight w:val="0"/>
      <w:marTop w:val="0"/>
      <w:marBottom w:val="0"/>
      <w:divBdr>
        <w:top w:val="none" w:sz="0" w:space="0" w:color="auto"/>
        <w:left w:val="none" w:sz="0" w:space="0" w:color="auto"/>
        <w:bottom w:val="none" w:sz="0" w:space="0" w:color="auto"/>
        <w:right w:val="none" w:sz="0" w:space="0" w:color="auto"/>
      </w:divBdr>
    </w:div>
    <w:div w:id="277180067">
      <w:bodyDiv w:val="1"/>
      <w:marLeft w:val="0"/>
      <w:marRight w:val="0"/>
      <w:marTop w:val="0"/>
      <w:marBottom w:val="0"/>
      <w:divBdr>
        <w:top w:val="none" w:sz="0" w:space="0" w:color="auto"/>
        <w:left w:val="none" w:sz="0" w:space="0" w:color="auto"/>
        <w:bottom w:val="none" w:sz="0" w:space="0" w:color="auto"/>
        <w:right w:val="none" w:sz="0" w:space="0" w:color="auto"/>
      </w:divBdr>
    </w:div>
    <w:div w:id="277566796">
      <w:bodyDiv w:val="1"/>
      <w:marLeft w:val="0"/>
      <w:marRight w:val="0"/>
      <w:marTop w:val="0"/>
      <w:marBottom w:val="0"/>
      <w:divBdr>
        <w:top w:val="none" w:sz="0" w:space="0" w:color="auto"/>
        <w:left w:val="none" w:sz="0" w:space="0" w:color="auto"/>
        <w:bottom w:val="none" w:sz="0" w:space="0" w:color="auto"/>
        <w:right w:val="none" w:sz="0" w:space="0" w:color="auto"/>
      </w:divBdr>
    </w:div>
    <w:div w:id="277839321">
      <w:bodyDiv w:val="1"/>
      <w:marLeft w:val="0"/>
      <w:marRight w:val="0"/>
      <w:marTop w:val="0"/>
      <w:marBottom w:val="0"/>
      <w:divBdr>
        <w:top w:val="none" w:sz="0" w:space="0" w:color="auto"/>
        <w:left w:val="none" w:sz="0" w:space="0" w:color="auto"/>
        <w:bottom w:val="none" w:sz="0" w:space="0" w:color="auto"/>
        <w:right w:val="none" w:sz="0" w:space="0" w:color="auto"/>
      </w:divBdr>
    </w:div>
    <w:div w:id="277956404">
      <w:bodyDiv w:val="1"/>
      <w:marLeft w:val="0"/>
      <w:marRight w:val="0"/>
      <w:marTop w:val="0"/>
      <w:marBottom w:val="0"/>
      <w:divBdr>
        <w:top w:val="none" w:sz="0" w:space="0" w:color="auto"/>
        <w:left w:val="none" w:sz="0" w:space="0" w:color="auto"/>
        <w:bottom w:val="none" w:sz="0" w:space="0" w:color="auto"/>
        <w:right w:val="none" w:sz="0" w:space="0" w:color="auto"/>
      </w:divBdr>
    </w:div>
    <w:div w:id="278150181">
      <w:bodyDiv w:val="1"/>
      <w:marLeft w:val="0"/>
      <w:marRight w:val="0"/>
      <w:marTop w:val="0"/>
      <w:marBottom w:val="0"/>
      <w:divBdr>
        <w:top w:val="none" w:sz="0" w:space="0" w:color="auto"/>
        <w:left w:val="none" w:sz="0" w:space="0" w:color="auto"/>
        <w:bottom w:val="none" w:sz="0" w:space="0" w:color="auto"/>
        <w:right w:val="none" w:sz="0" w:space="0" w:color="auto"/>
      </w:divBdr>
    </w:div>
    <w:div w:id="278219193">
      <w:bodyDiv w:val="1"/>
      <w:marLeft w:val="0"/>
      <w:marRight w:val="0"/>
      <w:marTop w:val="0"/>
      <w:marBottom w:val="0"/>
      <w:divBdr>
        <w:top w:val="none" w:sz="0" w:space="0" w:color="auto"/>
        <w:left w:val="none" w:sz="0" w:space="0" w:color="auto"/>
        <w:bottom w:val="none" w:sz="0" w:space="0" w:color="auto"/>
        <w:right w:val="none" w:sz="0" w:space="0" w:color="auto"/>
      </w:divBdr>
    </w:div>
    <w:div w:id="278416763">
      <w:bodyDiv w:val="1"/>
      <w:marLeft w:val="0"/>
      <w:marRight w:val="0"/>
      <w:marTop w:val="0"/>
      <w:marBottom w:val="0"/>
      <w:divBdr>
        <w:top w:val="none" w:sz="0" w:space="0" w:color="auto"/>
        <w:left w:val="none" w:sz="0" w:space="0" w:color="auto"/>
        <w:bottom w:val="none" w:sz="0" w:space="0" w:color="auto"/>
        <w:right w:val="none" w:sz="0" w:space="0" w:color="auto"/>
      </w:divBdr>
    </w:div>
    <w:div w:id="278492555">
      <w:bodyDiv w:val="1"/>
      <w:marLeft w:val="0"/>
      <w:marRight w:val="0"/>
      <w:marTop w:val="0"/>
      <w:marBottom w:val="0"/>
      <w:divBdr>
        <w:top w:val="none" w:sz="0" w:space="0" w:color="auto"/>
        <w:left w:val="none" w:sz="0" w:space="0" w:color="auto"/>
        <w:bottom w:val="none" w:sz="0" w:space="0" w:color="auto"/>
        <w:right w:val="none" w:sz="0" w:space="0" w:color="auto"/>
      </w:divBdr>
    </w:div>
    <w:div w:id="278608162">
      <w:bodyDiv w:val="1"/>
      <w:marLeft w:val="0"/>
      <w:marRight w:val="0"/>
      <w:marTop w:val="0"/>
      <w:marBottom w:val="0"/>
      <w:divBdr>
        <w:top w:val="none" w:sz="0" w:space="0" w:color="auto"/>
        <w:left w:val="none" w:sz="0" w:space="0" w:color="auto"/>
        <w:bottom w:val="none" w:sz="0" w:space="0" w:color="auto"/>
        <w:right w:val="none" w:sz="0" w:space="0" w:color="auto"/>
      </w:divBdr>
    </w:div>
    <w:div w:id="278873955">
      <w:bodyDiv w:val="1"/>
      <w:marLeft w:val="0"/>
      <w:marRight w:val="0"/>
      <w:marTop w:val="0"/>
      <w:marBottom w:val="0"/>
      <w:divBdr>
        <w:top w:val="none" w:sz="0" w:space="0" w:color="auto"/>
        <w:left w:val="none" w:sz="0" w:space="0" w:color="auto"/>
        <w:bottom w:val="none" w:sz="0" w:space="0" w:color="auto"/>
        <w:right w:val="none" w:sz="0" w:space="0" w:color="auto"/>
      </w:divBdr>
    </w:div>
    <w:div w:id="279000005">
      <w:bodyDiv w:val="1"/>
      <w:marLeft w:val="0"/>
      <w:marRight w:val="0"/>
      <w:marTop w:val="0"/>
      <w:marBottom w:val="0"/>
      <w:divBdr>
        <w:top w:val="none" w:sz="0" w:space="0" w:color="auto"/>
        <w:left w:val="none" w:sz="0" w:space="0" w:color="auto"/>
        <w:bottom w:val="none" w:sz="0" w:space="0" w:color="auto"/>
        <w:right w:val="none" w:sz="0" w:space="0" w:color="auto"/>
      </w:divBdr>
    </w:div>
    <w:div w:id="279071390">
      <w:bodyDiv w:val="1"/>
      <w:marLeft w:val="0"/>
      <w:marRight w:val="0"/>
      <w:marTop w:val="0"/>
      <w:marBottom w:val="0"/>
      <w:divBdr>
        <w:top w:val="none" w:sz="0" w:space="0" w:color="auto"/>
        <w:left w:val="none" w:sz="0" w:space="0" w:color="auto"/>
        <w:bottom w:val="none" w:sz="0" w:space="0" w:color="auto"/>
        <w:right w:val="none" w:sz="0" w:space="0" w:color="auto"/>
      </w:divBdr>
    </w:div>
    <w:div w:id="279339826">
      <w:bodyDiv w:val="1"/>
      <w:marLeft w:val="0"/>
      <w:marRight w:val="0"/>
      <w:marTop w:val="0"/>
      <w:marBottom w:val="0"/>
      <w:divBdr>
        <w:top w:val="none" w:sz="0" w:space="0" w:color="auto"/>
        <w:left w:val="none" w:sz="0" w:space="0" w:color="auto"/>
        <w:bottom w:val="none" w:sz="0" w:space="0" w:color="auto"/>
        <w:right w:val="none" w:sz="0" w:space="0" w:color="auto"/>
      </w:divBdr>
    </w:div>
    <w:div w:id="279458566">
      <w:bodyDiv w:val="1"/>
      <w:marLeft w:val="0"/>
      <w:marRight w:val="0"/>
      <w:marTop w:val="0"/>
      <w:marBottom w:val="0"/>
      <w:divBdr>
        <w:top w:val="none" w:sz="0" w:space="0" w:color="auto"/>
        <w:left w:val="none" w:sz="0" w:space="0" w:color="auto"/>
        <w:bottom w:val="none" w:sz="0" w:space="0" w:color="auto"/>
        <w:right w:val="none" w:sz="0" w:space="0" w:color="auto"/>
      </w:divBdr>
    </w:div>
    <w:div w:id="279804802">
      <w:bodyDiv w:val="1"/>
      <w:marLeft w:val="0"/>
      <w:marRight w:val="0"/>
      <w:marTop w:val="0"/>
      <w:marBottom w:val="0"/>
      <w:divBdr>
        <w:top w:val="none" w:sz="0" w:space="0" w:color="auto"/>
        <w:left w:val="none" w:sz="0" w:space="0" w:color="auto"/>
        <w:bottom w:val="none" w:sz="0" w:space="0" w:color="auto"/>
        <w:right w:val="none" w:sz="0" w:space="0" w:color="auto"/>
      </w:divBdr>
    </w:div>
    <w:div w:id="279915862">
      <w:bodyDiv w:val="1"/>
      <w:marLeft w:val="0"/>
      <w:marRight w:val="0"/>
      <w:marTop w:val="0"/>
      <w:marBottom w:val="0"/>
      <w:divBdr>
        <w:top w:val="none" w:sz="0" w:space="0" w:color="auto"/>
        <w:left w:val="none" w:sz="0" w:space="0" w:color="auto"/>
        <w:bottom w:val="none" w:sz="0" w:space="0" w:color="auto"/>
        <w:right w:val="none" w:sz="0" w:space="0" w:color="auto"/>
      </w:divBdr>
    </w:div>
    <w:div w:id="279923430">
      <w:bodyDiv w:val="1"/>
      <w:marLeft w:val="0"/>
      <w:marRight w:val="0"/>
      <w:marTop w:val="0"/>
      <w:marBottom w:val="0"/>
      <w:divBdr>
        <w:top w:val="none" w:sz="0" w:space="0" w:color="auto"/>
        <w:left w:val="none" w:sz="0" w:space="0" w:color="auto"/>
        <w:bottom w:val="none" w:sz="0" w:space="0" w:color="auto"/>
        <w:right w:val="none" w:sz="0" w:space="0" w:color="auto"/>
      </w:divBdr>
    </w:div>
    <w:div w:id="280038813">
      <w:bodyDiv w:val="1"/>
      <w:marLeft w:val="0"/>
      <w:marRight w:val="0"/>
      <w:marTop w:val="0"/>
      <w:marBottom w:val="0"/>
      <w:divBdr>
        <w:top w:val="none" w:sz="0" w:space="0" w:color="auto"/>
        <w:left w:val="none" w:sz="0" w:space="0" w:color="auto"/>
        <w:bottom w:val="none" w:sz="0" w:space="0" w:color="auto"/>
        <w:right w:val="none" w:sz="0" w:space="0" w:color="auto"/>
      </w:divBdr>
    </w:div>
    <w:div w:id="280186709">
      <w:bodyDiv w:val="1"/>
      <w:marLeft w:val="0"/>
      <w:marRight w:val="0"/>
      <w:marTop w:val="0"/>
      <w:marBottom w:val="0"/>
      <w:divBdr>
        <w:top w:val="none" w:sz="0" w:space="0" w:color="auto"/>
        <w:left w:val="none" w:sz="0" w:space="0" w:color="auto"/>
        <w:bottom w:val="none" w:sz="0" w:space="0" w:color="auto"/>
        <w:right w:val="none" w:sz="0" w:space="0" w:color="auto"/>
      </w:divBdr>
    </w:div>
    <w:div w:id="280233484">
      <w:bodyDiv w:val="1"/>
      <w:marLeft w:val="0"/>
      <w:marRight w:val="0"/>
      <w:marTop w:val="0"/>
      <w:marBottom w:val="0"/>
      <w:divBdr>
        <w:top w:val="none" w:sz="0" w:space="0" w:color="auto"/>
        <w:left w:val="none" w:sz="0" w:space="0" w:color="auto"/>
        <w:bottom w:val="none" w:sz="0" w:space="0" w:color="auto"/>
        <w:right w:val="none" w:sz="0" w:space="0" w:color="auto"/>
      </w:divBdr>
    </w:div>
    <w:div w:id="280259474">
      <w:bodyDiv w:val="1"/>
      <w:marLeft w:val="0"/>
      <w:marRight w:val="0"/>
      <w:marTop w:val="0"/>
      <w:marBottom w:val="0"/>
      <w:divBdr>
        <w:top w:val="none" w:sz="0" w:space="0" w:color="auto"/>
        <w:left w:val="none" w:sz="0" w:space="0" w:color="auto"/>
        <w:bottom w:val="none" w:sz="0" w:space="0" w:color="auto"/>
        <w:right w:val="none" w:sz="0" w:space="0" w:color="auto"/>
      </w:divBdr>
    </w:div>
    <w:div w:id="280500233">
      <w:bodyDiv w:val="1"/>
      <w:marLeft w:val="0"/>
      <w:marRight w:val="0"/>
      <w:marTop w:val="0"/>
      <w:marBottom w:val="0"/>
      <w:divBdr>
        <w:top w:val="none" w:sz="0" w:space="0" w:color="auto"/>
        <w:left w:val="none" w:sz="0" w:space="0" w:color="auto"/>
        <w:bottom w:val="none" w:sz="0" w:space="0" w:color="auto"/>
        <w:right w:val="none" w:sz="0" w:space="0" w:color="auto"/>
      </w:divBdr>
    </w:div>
    <w:div w:id="280651478">
      <w:bodyDiv w:val="1"/>
      <w:marLeft w:val="0"/>
      <w:marRight w:val="0"/>
      <w:marTop w:val="0"/>
      <w:marBottom w:val="0"/>
      <w:divBdr>
        <w:top w:val="none" w:sz="0" w:space="0" w:color="auto"/>
        <w:left w:val="none" w:sz="0" w:space="0" w:color="auto"/>
        <w:bottom w:val="none" w:sz="0" w:space="0" w:color="auto"/>
        <w:right w:val="none" w:sz="0" w:space="0" w:color="auto"/>
      </w:divBdr>
    </w:div>
    <w:div w:id="280844379">
      <w:bodyDiv w:val="1"/>
      <w:marLeft w:val="0"/>
      <w:marRight w:val="0"/>
      <w:marTop w:val="0"/>
      <w:marBottom w:val="0"/>
      <w:divBdr>
        <w:top w:val="none" w:sz="0" w:space="0" w:color="auto"/>
        <w:left w:val="none" w:sz="0" w:space="0" w:color="auto"/>
        <w:bottom w:val="none" w:sz="0" w:space="0" w:color="auto"/>
        <w:right w:val="none" w:sz="0" w:space="0" w:color="auto"/>
      </w:divBdr>
    </w:div>
    <w:div w:id="280846089">
      <w:bodyDiv w:val="1"/>
      <w:marLeft w:val="0"/>
      <w:marRight w:val="0"/>
      <w:marTop w:val="0"/>
      <w:marBottom w:val="0"/>
      <w:divBdr>
        <w:top w:val="none" w:sz="0" w:space="0" w:color="auto"/>
        <w:left w:val="none" w:sz="0" w:space="0" w:color="auto"/>
        <w:bottom w:val="none" w:sz="0" w:space="0" w:color="auto"/>
        <w:right w:val="none" w:sz="0" w:space="0" w:color="auto"/>
      </w:divBdr>
    </w:div>
    <w:div w:id="280846465">
      <w:bodyDiv w:val="1"/>
      <w:marLeft w:val="0"/>
      <w:marRight w:val="0"/>
      <w:marTop w:val="0"/>
      <w:marBottom w:val="0"/>
      <w:divBdr>
        <w:top w:val="none" w:sz="0" w:space="0" w:color="auto"/>
        <w:left w:val="none" w:sz="0" w:space="0" w:color="auto"/>
        <w:bottom w:val="none" w:sz="0" w:space="0" w:color="auto"/>
        <w:right w:val="none" w:sz="0" w:space="0" w:color="auto"/>
      </w:divBdr>
    </w:div>
    <w:div w:id="280891083">
      <w:bodyDiv w:val="1"/>
      <w:marLeft w:val="0"/>
      <w:marRight w:val="0"/>
      <w:marTop w:val="0"/>
      <w:marBottom w:val="0"/>
      <w:divBdr>
        <w:top w:val="none" w:sz="0" w:space="0" w:color="auto"/>
        <w:left w:val="none" w:sz="0" w:space="0" w:color="auto"/>
        <w:bottom w:val="none" w:sz="0" w:space="0" w:color="auto"/>
        <w:right w:val="none" w:sz="0" w:space="0" w:color="auto"/>
      </w:divBdr>
    </w:div>
    <w:div w:id="281032169">
      <w:bodyDiv w:val="1"/>
      <w:marLeft w:val="0"/>
      <w:marRight w:val="0"/>
      <w:marTop w:val="0"/>
      <w:marBottom w:val="0"/>
      <w:divBdr>
        <w:top w:val="none" w:sz="0" w:space="0" w:color="auto"/>
        <w:left w:val="none" w:sz="0" w:space="0" w:color="auto"/>
        <w:bottom w:val="none" w:sz="0" w:space="0" w:color="auto"/>
        <w:right w:val="none" w:sz="0" w:space="0" w:color="auto"/>
      </w:divBdr>
    </w:div>
    <w:div w:id="281034950">
      <w:bodyDiv w:val="1"/>
      <w:marLeft w:val="0"/>
      <w:marRight w:val="0"/>
      <w:marTop w:val="0"/>
      <w:marBottom w:val="0"/>
      <w:divBdr>
        <w:top w:val="none" w:sz="0" w:space="0" w:color="auto"/>
        <w:left w:val="none" w:sz="0" w:space="0" w:color="auto"/>
        <w:bottom w:val="none" w:sz="0" w:space="0" w:color="auto"/>
        <w:right w:val="none" w:sz="0" w:space="0" w:color="auto"/>
      </w:divBdr>
    </w:div>
    <w:div w:id="281157318">
      <w:bodyDiv w:val="1"/>
      <w:marLeft w:val="0"/>
      <w:marRight w:val="0"/>
      <w:marTop w:val="0"/>
      <w:marBottom w:val="0"/>
      <w:divBdr>
        <w:top w:val="none" w:sz="0" w:space="0" w:color="auto"/>
        <w:left w:val="none" w:sz="0" w:space="0" w:color="auto"/>
        <w:bottom w:val="none" w:sz="0" w:space="0" w:color="auto"/>
        <w:right w:val="none" w:sz="0" w:space="0" w:color="auto"/>
      </w:divBdr>
    </w:div>
    <w:div w:id="281158730">
      <w:bodyDiv w:val="1"/>
      <w:marLeft w:val="0"/>
      <w:marRight w:val="0"/>
      <w:marTop w:val="0"/>
      <w:marBottom w:val="0"/>
      <w:divBdr>
        <w:top w:val="none" w:sz="0" w:space="0" w:color="auto"/>
        <w:left w:val="none" w:sz="0" w:space="0" w:color="auto"/>
        <w:bottom w:val="none" w:sz="0" w:space="0" w:color="auto"/>
        <w:right w:val="none" w:sz="0" w:space="0" w:color="auto"/>
      </w:divBdr>
    </w:div>
    <w:div w:id="281225614">
      <w:bodyDiv w:val="1"/>
      <w:marLeft w:val="0"/>
      <w:marRight w:val="0"/>
      <w:marTop w:val="0"/>
      <w:marBottom w:val="0"/>
      <w:divBdr>
        <w:top w:val="none" w:sz="0" w:space="0" w:color="auto"/>
        <w:left w:val="none" w:sz="0" w:space="0" w:color="auto"/>
        <w:bottom w:val="none" w:sz="0" w:space="0" w:color="auto"/>
        <w:right w:val="none" w:sz="0" w:space="0" w:color="auto"/>
      </w:divBdr>
    </w:div>
    <w:div w:id="281418796">
      <w:bodyDiv w:val="1"/>
      <w:marLeft w:val="0"/>
      <w:marRight w:val="0"/>
      <w:marTop w:val="0"/>
      <w:marBottom w:val="0"/>
      <w:divBdr>
        <w:top w:val="none" w:sz="0" w:space="0" w:color="auto"/>
        <w:left w:val="none" w:sz="0" w:space="0" w:color="auto"/>
        <w:bottom w:val="none" w:sz="0" w:space="0" w:color="auto"/>
        <w:right w:val="none" w:sz="0" w:space="0" w:color="auto"/>
      </w:divBdr>
    </w:div>
    <w:div w:id="281763058">
      <w:bodyDiv w:val="1"/>
      <w:marLeft w:val="0"/>
      <w:marRight w:val="0"/>
      <w:marTop w:val="0"/>
      <w:marBottom w:val="0"/>
      <w:divBdr>
        <w:top w:val="none" w:sz="0" w:space="0" w:color="auto"/>
        <w:left w:val="none" w:sz="0" w:space="0" w:color="auto"/>
        <w:bottom w:val="none" w:sz="0" w:space="0" w:color="auto"/>
        <w:right w:val="none" w:sz="0" w:space="0" w:color="auto"/>
      </w:divBdr>
    </w:div>
    <w:div w:id="281766636">
      <w:bodyDiv w:val="1"/>
      <w:marLeft w:val="0"/>
      <w:marRight w:val="0"/>
      <w:marTop w:val="0"/>
      <w:marBottom w:val="0"/>
      <w:divBdr>
        <w:top w:val="none" w:sz="0" w:space="0" w:color="auto"/>
        <w:left w:val="none" w:sz="0" w:space="0" w:color="auto"/>
        <w:bottom w:val="none" w:sz="0" w:space="0" w:color="auto"/>
        <w:right w:val="none" w:sz="0" w:space="0" w:color="auto"/>
      </w:divBdr>
    </w:div>
    <w:div w:id="281957022">
      <w:bodyDiv w:val="1"/>
      <w:marLeft w:val="0"/>
      <w:marRight w:val="0"/>
      <w:marTop w:val="0"/>
      <w:marBottom w:val="0"/>
      <w:divBdr>
        <w:top w:val="none" w:sz="0" w:space="0" w:color="auto"/>
        <w:left w:val="none" w:sz="0" w:space="0" w:color="auto"/>
        <w:bottom w:val="none" w:sz="0" w:space="0" w:color="auto"/>
        <w:right w:val="none" w:sz="0" w:space="0" w:color="auto"/>
      </w:divBdr>
    </w:div>
    <w:div w:id="282082807">
      <w:bodyDiv w:val="1"/>
      <w:marLeft w:val="0"/>
      <w:marRight w:val="0"/>
      <w:marTop w:val="0"/>
      <w:marBottom w:val="0"/>
      <w:divBdr>
        <w:top w:val="none" w:sz="0" w:space="0" w:color="auto"/>
        <w:left w:val="none" w:sz="0" w:space="0" w:color="auto"/>
        <w:bottom w:val="none" w:sz="0" w:space="0" w:color="auto"/>
        <w:right w:val="none" w:sz="0" w:space="0" w:color="auto"/>
      </w:divBdr>
    </w:div>
    <w:div w:id="282158498">
      <w:bodyDiv w:val="1"/>
      <w:marLeft w:val="0"/>
      <w:marRight w:val="0"/>
      <w:marTop w:val="0"/>
      <w:marBottom w:val="0"/>
      <w:divBdr>
        <w:top w:val="none" w:sz="0" w:space="0" w:color="auto"/>
        <w:left w:val="none" w:sz="0" w:space="0" w:color="auto"/>
        <w:bottom w:val="none" w:sz="0" w:space="0" w:color="auto"/>
        <w:right w:val="none" w:sz="0" w:space="0" w:color="auto"/>
      </w:divBdr>
    </w:div>
    <w:div w:id="282272282">
      <w:bodyDiv w:val="1"/>
      <w:marLeft w:val="0"/>
      <w:marRight w:val="0"/>
      <w:marTop w:val="0"/>
      <w:marBottom w:val="0"/>
      <w:divBdr>
        <w:top w:val="none" w:sz="0" w:space="0" w:color="auto"/>
        <w:left w:val="none" w:sz="0" w:space="0" w:color="auto"/>
        <w:bottom w:val="none" w:sz="0" w:space="0" w:color="auto"/>
        <w:right w:val="none" w:sz="0" w:space="0" w:color="auto"/>
      </w:divBdr>
    </w:div>
    <w:div w:id="282540572">
      <w:bodyDiv w:val="1"/>
      <w:marLeft w:val="0"/>
      <w:marRight w:val="0"/>
      <w:marTop w:val="0"/>
      <w:marBottom w:val="0"/>
      <w:divBdr>
        <w:top w:val="none" w:sz="0" w:space="0" w:color="auto"/>
        <w:left w:val="none" w:sz="0" w:space="0" w:color="auto"/>
        <w:bottom w:val="none" w:sz="0" w:space="0" w:color="auto"/>
        <w:right w:val="none" w:sz="0" w:space="0" w:color="auto"/>
      </w:divBdr>
    </w:div>
    <w:div w:id="282544010">
      <w:bodyDiv w:val="1"/>
      <w:marLeft w:val="0"/>
      <w:marRight w:val="0"/>
      <w:marTop w:val="0"/>
      <w:marBottom w:val="0"/>
      <w:divBdr>
        <w:top w:val="none" w:sz="0" w:space="0" w:color="auto"/>
        <w:left w:val="none" w:sz="0" w:space="0" w:color="auto"/>
        <w:bottom w:val="none" w:sz="0" w:space="0" w:color="auto"/>
        <w:right w:val="none" w:sz="0" w:space="0" w:color="auto"/>
      </w:divBdr>
    </w:div>
    <w:div w:id="283077314">
      <w:bodyDiv w:val="1"/>
      <w:marLeft w:val="0"/>
      <w:marRight w:val="0"/>
      <w:marTop w:val="0"/>
      <w:marBottom w:val="0"/>
      <w:divBdr>
        <w:top w:val="none" w:sz="0" w:space="0" w:color="auto"/>
        <w:left w:val="none" w:sz="0" w:space="0" w:color="auto"/>
        <w:bottom w:val="none" w:sz="0" w:space="0" w:color="auto"/>
        <w:right w:val="none" w:sz="0" w:space="0" w:color="auto"/>
      </w:divBdr>
    </w:div>
    <w:div w:id="283123737">
      <w:bodyDiv w:val="1"/>
      <w:marLeft w:val="0"/>
      <w:marRight w:val="0"/>
      <w:marTop w:val="0"/>
      <w:marBottom w:val="0"/>
      <w:divBdr>
        <w:top w:val="none" w:sz="0" w:space="0" w:color="auto"/>
        <w:left w:val="none" w:sz="0" w:space="0" w:color="auto"/>
        <w:bottom w:val="none" w:sz="0" w:space="0" w:color="auto"/>
        <w:right w:val="none" w:sz="0" w:space="0" w:color="auto"/>
      </w:divBdr>
    </w:div>
    <w:div w:id="283391515">
      <w:bodyDiv w:val="1"/>
      <w:marLeft w:val="0"/>
      <w:marRight w:val="0"/>
      <w:marTop w:val="0"/>
      <w:marBottom w:val="0"/>
      <w:divBdr>
        <w:top w:val="none" w:sz="0" w:space="0" w:color="auto"/>
        <w:left w:val="none" w:sz="0" w:space="0" w:color="auto"/>
        <w:bottom w:val="none" w:sz="0" w:space="0" w:color="auto"/>
        <w:right w:val="none" w:sz="0" w:space="0" w:color="auto"/>
      </w:divBdr>
    </w:div>
    <w:div w:id="283539437">
      <w:bodyDiv w:val="1"/>
      <w:marLeft w:val="0"/>
      <w:marRight w:val="0"/>
      <w:marTop w:val="0"/>
      <w:marBottom w:val="0"/>
      <w:divBdr>
        <w:top w:val="none" w:sz="0" w:space="0" w:color="auto"/>
        <w:left w:val="none" w:sz="0" w:space="0" w:color="auto"/>
        <w:bottom w:val="none" w:sz="0" w:space="0" w:color="auto"/>
        <w:right w:val="none" w:sz="0" w:space="0" w:color="auto"/>
      </w:divBdr>
    </w:div>
    <w:div w:id="283655472">
      <w:bodyDiv w:val="1"/>
      <w:marLeft w:val="0"/>
      <w:marRight w:val="0"/>
      <w:marTop w:val="0"/>
      <w:marBottom w:val="0"/>
      <w:divBdr>
        <w:top w:val="none" w:sz="0" w:space="0" w:color="auto"/>
        <w:left w:val="none" w:sz="0" w:space="0" w:color="auto"/>
        <w:bottom w:val="none" w:sz="0" w:space="0" w:color="auto"/>
        <w:right w:val="none" w:sz="0" w:space="0" w:color="auto"/>
      </w:divBdr>
    </w:div>
    <w:div w:id="283659318">
      <w:bodyDiv w:val="1"/>
      <w:marLeft w:val="0"/>
      <w:marRight w:val="0"/>
      <w:marTop w:val="0"/>
      <w:marBottom w:val="0"/>
      <w:divBdr>
        <w:top w:val="none" w:sz="0" w:space="0" w:color="auto"/>
        <w:left w:val="none" w:sz="0" w:space="0" w:color="auto"/>
        <w:bottom w:val="none" w:sz="0" w:space="0" w:color="auto"/>
        <w:right w:val="none" w:sz="0" w:space="0" w:color="auto"/>
      </w:divBdr>
    </w:div>
    <w:div w:id="284165450">
      <w:bodyDiv w:val="1"/>
      <w:marLeft w:val="0"/>
      <w:marRight w:val="0"/>
      <w:marTop w:val="0"/>
      <w:marBottom w:val="0"/>
      <w:divBdr>
        <w:top w:val="none" w:sz="0" w:space="0" w:color="auto"/>
        <w:left w:val="none" w:sz="0" w:space="0" w:color="auto"/>
        <w:bottom w:val="none" w:sz="0" w:space="0" w:color="auto"/>
        <w:right w:val="none" w:sz="0" w:space="0" w:color="auto"/>
      </w:divBdr>
    </w:div>
    <w:div w:id="284313623">
      <w:bodyDiv w:val="1"/>
      <w:marLeft w:val="0"/>
      <w:marRight w:val="0"/>
      <w:marTop w:val="0"/>
      <w:marBottom w:val="0"/>
      <w:divBdr>
        <w:top w:val="none" w:sz="0" w:space="0" w:color="auto"/>
        <w:left w:val="none" w:sz="0" w:space="0" w:color="auto"/>
        <w:bottom w:val="none" w:sz="0" w:space="0" w:color="auto"/>
        <w:right w:val="none" w:sz="0" w:space="0" w:color="auto"/>
      </w:divBdr>
    </w:div>
    <w:div w:id="284390877">
      <w:bodyDiv w:val="1"/>
      <w:marLeft w:val="0"/>
      <w:marRight w:val="0"/>
      <w:marTop w:val="0"/>
      <w:marBottom w:val="0"/>
      <w:divBdr>
        <w:top w:val="none" w:sz="0" w:space="0" w:color="auto"/>
        <w:left w:val="none" w:sz="0" w:space="0" w:color="auto"/>
        <w:bottom w:val="none" w:sz="0" w:space="0" w:color="auto"/>
        <w:right w:val="none" w:sz="0" w:space="0" w:color="auto"/>
      </w:divBdr>
    </w:div>
    <w:div w:id="285039509">
      <w:bodyDiv w:val="1"/>
      <w:marLeft w:val="0"/>
      <w:marRight w:val="0"/>
      <w:marTop w:val="0"/>
      <w:marBottom w:val="0"/>
      <w:divBdr>
        <w:top w:val="none" w:sz="0" w:space="0" w:color="auto"/>
        <w:left w:val="none" w:sz="0" w:space="0" w:color="auto"/>
        <w:bottom w:val="none" w:sz="0" w:space="0" w:color="auto"/>
        <w:right w:val="none" w:sz="0" w:space="0" w:color="auto"/>
      </w:divBdr>
    </w:div>
    <w:div w:id="285042279">
      <w:bodyDiv w:val="1"/>
      <w:marLeft w:val="0"/>
      <w:marRight w:val="0"/>
      <w:marTop w:val="0"/>
      <w:marBottom w:val="0"/>
      <w:divBdr>
        <w:top w:val="none" w:sz="0" w:space="0" w:color="auto"/>
        <w:left w:val="none" w:sz="0" w:space="0" w:color="auto"/>
        <w:bottom w:val="none" w:sz="0" w:space="0" w:color="auto"/>
        <w:right w:val="none" w:sz="0" w:space="0" w:color="auto"/>
      </w:divBdr>
    </w:div>
    <w:div w:id="285043812">
      <w:bodyDiv w:val="1"/>
      <w:marLeft w:val="0"/>
      <w:marRight w:val="0"/>
      <w:marTop w:val="0"/>
      <w:marBottom w:val="0"/>
      <w:divBdr>
        <w:top w:val="none" w:sz="0" w:space="0" w:color="auto"/>
        <w:left w:val="none" w:sz="0" w:space="0" w:color="auto"/>
        <w:bottom w:val="none" w:sz="0" w:space="0" w:color="auto"/>
        <w:right w:val="none" w:sz="0" w:space="0" w:color="auto"/>
      </w:divBdr>
    </w:div>
    <w:div w:id="285048541">
      <w:bodyDiv w:val="1"/>
      <w:marLeft w:val="0"/>
      <w:marRight w:val="0"/>
      <w:marTop w:val="0"/>
      <w:marBottom w:val="0"/>
      <w:divBdr>
        <w:top w:val="none" w:sz="0" w:space="0" w:color="auto"/>
        <w:left w:val="none" w:sz="0" w:space="0" w:color="auto"/>
        <w:bottom w:val="none" w:sz="0" w:space="0" w:color="auto"/>
        <w:right w:val="none" w:sz="0" w:space="0" w:color="auto"/>
      </w:divBdr>
    </w:div>
    <w:div w:id="285084649">
      <w:bodyDiv w:val="1"/>
      <w:marLeft w:val="0"/>
      <w:marRight w:val="0"/>
      <w:marTop w:val="0"/>
      <w:marBottom w:val="0"/>
      <w:divBdr>
        <w:top w:val="none" w:sz="0" w:space="0" w:color="auto"/>
        <w:left w:val="none" w:sz="0" w:space="0" w:color="auto"/>
        <w:bottom w:val="none" w:sz="0" w:space="0" w:color="auto"/>
        <w:right w:val="none" w:sz="0" w:space="0" w:color="auto"/>
      </w:divBdr>
    </w:div>
    <w:div w:id="285160335">
      <w:bodyDiv w:val="1"/>
      <w:marLeft w:val="0"/>
      <w:marRight w:val="0"/>
      <w:marTop w:val="0"/>
      <w:marBottom w:val="0"/>
      <w:divBdr>
        <w:top w:val="none" w:sz="0" w:space="0" w:color="auto"/>
        <w:left w:val="none" w:sz="0" w:space="0" w:color="auto"/>
        <w:bottom w:val="none" w:sz="0" w:space="0" w:color="auto"/>
        <w:right w:val="none" w:sz="0" w:space="0" w:color="auto"/>
      </w:divBdr>
    </w:div>
    <w:div w:id="285694631">
      <w:bodyDiv w:val="1"/>
      <w:marLeft w:val="0"/>
      <w:marRight w:val="0"/>
      <w:marTop w:val="0"/>
      <w:marBottom w:val="0"/>
      <w:divBdr>
        <w:top w:val="none" w:sz="0" w:space="0" w:color="auto"/>
        <w:left w:val="none" w:sz="0" w:space="0" w:color="auto"/>
        <w:bottom w:val="none" w:sz="0" w:space="0" w:color="auto"/>
        <w:right w:val="none" w:sz="0" w:space="0" w:color="auto"/>
      </w:divBdr>
    </w:div>
    <w:div w:id="285704003">
      <w:bodyDiv w:val="1"/>
      <w:marLeft w:val="0"/>
      <w:marRight w:val="0"/>
      <w:marTop w:val="0"/>
      <w:marBottom w:val="0"/>
      <w:divBdr>
        <w:top w:val="none" w:sz="0" w:space="0" w:color="auto"/>
        <w:left w:val="none" w:sz="0" w:space="0" w:color="auto"/>
        <w:bottom w:val="none" w:sz="0" w:space="0" w:color="auto"/>
        <w:right w:val="none" w:sz="0" w:space="0" w:color="auto"/>
      </w:divBdr>
    </w:div>
    <w:div w:id="286396883">
      <w:bodyDiv w:val="1"/>
      <w:marLeft w:val="0"/>
      <w:marRight w:val="0"/>
      <w:marTop w:val="0"/>
      <w:marBottom w:val="0"/>
      <w:divBdr>
        <w:top w:val="none" w:sz="0" w:space="0" w:color="auto"/>
        <w:left w:val="none" w:sz="0" w:space="0" w:color="auto"/>
        <w:bottom w:val="none" w:sz="0" w:space="0" w:color="auto"/>
        <w:right w:val="none" w:sz="0" w:space="0" w:color="auto"/>
      </w:divBdr>
    </w:div>
    <w:div w:id="286397741">
      <w:bodyDiv w:val="1"/>
      <w:marLeft w:val="0"/>
      <w:marRight w:val="0"/>
      <w:marTop w:val="0"/>
      <w:marBottom w:val="0"/>
      <w:divBdr>
        <w:top w:val="none" w:sz="0" w:space="0" w:color="auto"/>
        <w:left w:val="none" w:sz="0" w:space="0" w:color="auto"/>
        <w:bottom w:val="none" w:sz="0" w:space="0" w:color="auto"/>
        <w:right w:val="none" w:sz="0" w:space="0" w:color="auto"/>
      </w:divBdr>
    </w:div>
    <w:div w:id="286471813">
      <w:bodyDiv w:val="1"/>
      <w:marLeft w:val="0"/>
      <w:marRight w:val="0"/>
      <w:marTop w:val="0"/>
      <w:marBottom w:val="0"/>
      <w:divBdr>
        <w:top w:val="none" w:sz="0" w:space="0" w:color="auto"/>
        <w:left w:val="none" w:sz="0" w:space="0" w:color="auto"/>
        <w:bottom w:val="none" w:sz="0" w:space="0" w:color="auto"/>
        <w:right w:val="none" w:sz="0" w:space="0" w:color="auto"/>
      </w:divBdr>
    </w:div>
    <w:div w:id="286548172">
      <w:bodyDiv w:val="1"/>
      <w:marLeft w:val="0"/>
      <w:marRight w:val="0"/>
      <w:marTop w:val="0"/>
      <w:marBottom w:val="0"/>
      <w:divBdr>
        <w:top w:val="none" w:sz="0" w:space="0" w:color="auto"/>
        <w:left w:val="none" w:sz="0" w:space="0" w:color="auto"/>
        <w:bottom w:val="none" w:sz="0" w:space="0" w:color="auto"/>
        <w:right w:val="none" w:sz="0" w:space="0" w:color="auto"/>
      </w:divBdr>
    </w:div>
    <w:div w:id="286548255">
      <w:bodyDiv w:val="1"/>
      <w:marLeft w:val="0"/>
      <w:marRight w:val="0"/>
      <w:marTop w:val="0"/>
      <w:marBottom w:val="0"/>
      <w:divBdr>
        <w:top w:val="none" w:sz="0" w:space="0" w:color="auto"/>
        <w:left w:val="none" w:sz="0" w:space="0" w:color="auto"/>
        <w:bottom w:val="none" w:sz="0" w:space="0" w:color="auto"/>
        <w:right w:val="none" w:sz="0" w:space="0" w:color="auto"/>
      </w:divBdr>
    </w:div>
    <w:div w:id="286737276">
      <w:bodyDiv w:val="1"/>
      <w:marLeft w:val="0"/>
      <w:marRight w:val="0"/>
      <w:marTop w:val="0"/>
      <w:marBottom w:val="0"/>
      <w:divBdr>
        <w:top w:val="none" w:sz="0" w:space="0" w:color="auto"/>
        <w:left w:val="none" w:sz="0" w:space="0" w:color="auto"/>
        <w:bottom w:val="none" w:sz="0" w:space="0" w:color="auto"/>
        <w:right w:val="none" w:sz="0" w:space="0" w:color="auto"/>
      </w:divBdr>
    </w:div>
    <w:div w:id="287005538">
      <w:bodyDiv w:val="1"/>
      <w:marLeft w:val="0"/>
      <w:marRight w:val="0"/>
      <w:marTop w:val="0"/>
      <w:marBottom w:val="0"/>
      <w:divBdr>
        <w:top w:val="none" w:sz="0" w:space="0" w:color="auto"/>
        <w:left w:val="none" w:sz="0" w:space="0" w:color="auto"/>
        <w:bottom w:val="none" w:sz="0" w:space="0" w:color="auto"/>
        <w:right w:val="none" w:sz="0" w:space="0" w:color="auto"/>
      </w:divBdr>
    </w:div>
    <w:div w:id="287008215">
      <w:bodyDiv w:val="1"/>
      <w:marLeft w:val="0"/>
      <w:marRight w:val="0"/>
      <w:marTop w:val="0"/>
      <w:marBottom w:val="0"/>
      <w:divBdr>
        <w:top w:val="none" w:sz="0" w:space="0" w:color="auto"/>
        <w:left w:val="none" w:sz="0" w:space="0" w:color="auto"/>
        <w:bottom w:val="none" w:sz="0" w:space="0" w:color="auto"/>
        <w:right w:val="none" w:sz="0" w:space="0" w:color="auto"/>
      </w:divBdr>
    </w:div>
    <w:div w:id="287009989">
      <w:bodyDiv w:val="1"/>
      <w:marLeft w:val="0"/>
      <w:marRight w:val="0"/>
      <w:marTop w:val="0"/>
      <w:marBottom w:val="0"/>
      <w:divBdr>
        <w:top w:val="none" w:sz="0" w:space="0" w:color="auto"/>
        <w:left w:val="none" w:sz="0" w:space="0" w:color="auto"/>
        <w:bottom w:val="none" w:sz="0" w:space="0" w:color="auto"/>
        <w:right w:val="none" w:sz="0" w:space="0" w:color="auto"/>
      </w:divBdr>
    </w:div>
    <w:div w:id="287125581">
      <w:bodyDiv w:val="1"/>
      <w:marLeft w:val="0"/>
      <w:marRight w:val="0"/>
      <w:marTop w:val="0"/>
      <w:marBottom w:val="0"/>
      <w:divBdr>
        <w:top w:val="none" w:sz="0" w:space="0" w:color="auto"/>
        <w:left w:val="none" w:sz="0" w:space="0" w:color="auto"/>
        <w:bottom w:val="none" w:sz="0" w:space="0" w:color="auto"/>
        <w:right w:val="none" w:sz="0" w:space="0" w:color="auto"/>
      </w:divBdr>
    </w:div>
    <w:div w:id="287244923">
      <w:bodyDiv w:val="1"/>
      <w:marLeft w:val="0"/>
      <w:marRight w:val="0"/>
      <w:marTop w:val="0"/>
      <w:marBottom w:val="0"/>
      <w:divBdr>
        <w:top w:val="none" w:sz="0" w:space="0" w:color="auto"/>
        <w:left w:val="none" w:sz="0" w:space="0" w:color="auto"/>
        <w:bottom w:val="none" w:sz="0" w:space="0" w:color="auto"/>
        <w:right w:val="none" w:sz="0" w:space="0" w:color="auto"/>
      </w:divBdr>
    </w:div>
    <w:div w:id="287316906">
      <w:bodyDiv w:val="1"/>
      <w:marLeft w:val="0"/>
      <w:marRight w:val="0"/>
      <w:marTop w:val="0"/>
      <w:marBottom w:val="0"/>
      <w:divBdr>
        <w:top w:val="none" w:sz="0" w:space="0" w:color="auto"/>
        <w:left w:val="none" w:sz="0" w:space="0" w:color="auto"/>
        <w:bottom w:val="none" w:sz="0" w:space="0" w:color="auto"/>
        <w:right w:val="none" w:sz="0" w:space="0" w:color="auto"/>
      </w:divBdr>
    </w:div>
    <w:div w:id="287513598">
      <w:bodyDiv w:val="1"/>
      <w:marLeft w:val="0"/>
      <w:marRight w:val="0"/>
      <w:marTop w:val="0"/>
      <w:marBottom w:val="0"/>
      <w:divBdr>
        <w:top w:val="none" w:sz="0" w:space="0" w:color="auto"/>
        <w:left w:val="none" w:sz="0" w:space="0" w:color="auto"/>
        <w:bottom w:val="none" w:sz="0" w:space="0" w:color="auto"/>
        <w:right w:val="none" w:sz="0" w:space="0" w:color="auto"/>
      </w:divBdr>
    </w:div>
    <w:div w:id="287519000">
      <w:bodyDiv w:val="1"/>
      <w:marLeft w:val="0"/>
      <w:marRight w:val="0"/>
      <w:marTop w:val="0"/>
      <w:marBottom w:val="0"/>
      <w:divBdr>
        <w:top w:val="none" w:sz="0" w:space="0" w:color="auto"/>
        <w:left w:val="none" w:sz="0" w:space="0" w:color="auto"/>
        <w:bottom w:val="none" w:sz="0" w:space="0" w:color="auto"/>
        <w:right w:val="none" w:sz="0" w:space="0" w:color="auto"/>
      </w:divBdr>
    </w:div>
    <w:div w:id="287591038">
      <w:bodyDiv w:val="1"/>
      <w:marLeft w:val="0"/>
      <w:marRight w:val="0"/>
      <w:marTop w:val="0"/>
      <w:marBottom w:val="0"/>
      <w:divBdr>
        <w:top w:val="none" w:sz="0" w:space="0" w:color="auto"/>
        <w:left w:val="none" w:sz="0" w:space="0" w:color="auto"/>
        <w:bottom w:val="none" w:sz="0" w:space="0" w:color="auto"/>
        <w:right w:val="none" w:sz="0" w:space="0" w:color="auto"/>
      </w:divBdr>
    </w:div>
    <w:div w:id="287931793">
      <w:bodyDiv w:val="1"/>
      <w:marLeft w:val="0"/>
      <w:marRight w:val="0"/>
      <w:marTop w:val="0"/>
      <w:marBottom w:val="0"/>
      <w:divBdr>
        <w:top w:val="none" w:sz="0" w:space="0" w:color="auto"/>
        <w:left w:val="none" w:sz="0" w:space="0" w:color="auto"/>
        <w:bottom w:val="none" w:sz="0" w:space="0" w:color="auto"/>
        <w:right w:val="none" w:sz="0" w:space="0" w:color="auto"/>
      </w:divBdr>
    </w:div>
    <w:div w:id="288052919">
      <w:bodyDiv w:val="1"/>
      <w:marLeft w:val="0"/>
      <w:marRight w:val="0"/>
      <w:marTop w:val="0"/>
      <w:marBottom w:val="0"/>
      <w:divBdr>
        <w:top w:val="none" w:sz="0" w:space="0" w:color="auto"/>
        <w:left w:val="none" w:sz="0" w:space="0" w:color="auto"/>
        <w:bottom w:val="none" w:sz="0" w:space="0" w:color="auto"/>
        <w:right w:val="none" w:sz="0" w:space="0" w:color="auto"/>
      </w:divBdr>
    </w:div>
    <w:div w:id="288124117">
      <w:bodyDiv w:val="1"/>
      <w:marLeft w:val="0"/>
      <w:marRight w:val="0"/>
      <w:marTop w:val="0"/>
      <w:marBottom w:val="0"/>
      <w:divBdr>
        <w:top w:val="none" w:sz="0" w:space="0" w:color="auto"/>
        <w:left w:val="none" w:sz="0" w:space="0" w:color="auto"/>
        <w:bottom w:val="none" w:sz="0" w:space="0" w:color="auto"/>
        <w:right w:val="none" w:sz="0" w:space="0" w:color="auto"/>
      </w:divBdr>
    </w:div>
    <w:div w:id="288442786">
      <w:bodyDiv w:val="1"/>
      <w:marLeft w:val="0"/>
      <w:marRight w:val="0"/>
      <w:marTop w:val="0"/>
      <w:marBottom w:val="0"/>
      <w:divBdr>
        <w:top w:val="none" w:sz="0" w:space="0" w:color="auto"/>
        <w:left w:val="none" w:sz="0" w:space="0" w:color="auto"/>
        <w:bottom w:val="none" w:sz="0" w:space="0" w:color="auto"/>
        <w:right w:val="none" w:sz="0" w:space="0" w:color="auto"/>
      </w:divBdr>
    </w:div>
    <w:div w:id="288555328">
      <w:bodyDiv w:val="1"/>
      <w:marLeft w:val="0"/>
      <w:marRight w:val="0"/>
      <w:marTop w:val="0"/>
      <w:marBottom w:val="0"/>
      <w:divBdr>
        <w:top w:val="none" w:sz="0" w:space="0" w:color="auto"/>
        <w:left w:val="none" w:sz="0" w:space="0" w:color="auto"/>
        <w:bottom w:val="none" w:sz="0" w:space="0" w:color="auto"/>
        <w:right w:val="none" w:sz="0" w:space="0" w:color="auto"/>
      </w:divBdr>
    </w:div>
    <w:div w:id="288634436">
      <w:bodyDiv w:val="1"/>
      <w:marLeft w:val="0"/>
      <w:marRight w:val="0"/>
      <w:marTop w:val="0"/>
      <w:marBottom w:val="0"/>
      <w:divBdr>
        <w:top w:val="none" w:sz="0" w:space="0" w:color="auto"/>
        <w:left w:val="none" w:sz="0" w:space="0" w:color="auto"/>
        <w:bottom w:val="none" w:sz="0" w:space="0" w:color="auto"/>
        <w:right w:val="none" w:sz="0" w:space="0" w:color="auto"/>
      </w:divBdr>
    </w:div>
    <w:div w:id="288706114">
      <w:bodyDiv w:val="1"/>
      <w:marLeft w:val="0"/>
      <w:marRight w:val="0"/>
      <w:marTop w:val="0"/>
      <w:marBottom w:val="0"/>
      <w:divBdr>
        <w:top w:val="none" w:sz="0" w:space="0" w:color="auto"/>
        <w:left w:val="none" w:sz="0" w:space="0" w:color="auto"/>
        <w:bottom w:val="none" w:sz="0" w:space="0" w:color="auto"/>
        <w:right w:val="none" w:sz="0" w:space="0" w:color="auto"/>
      </w:divBdr>
    </w:div>
    <w:div w:id="288753405">
      <w:bodyDiv w:val="1"/>
      <w:marLeft w:val="0"/>
      <w:marRight w:val="0"/>
      <w:marTop w:val="0"/>
      <w:marBottom w:val="0"/>
      <w:divBdr>
        <w:top w:val="none" w:sz="0" w:space="0" w:color="auto"/>
        <w:left w:val="none" w:sz="0" w:space="0" w:color="auto"/>
        <w:bottom w:val="none" w:sz="0" w:space="0" w:color="auto"/>
        <w:right w:val="none" w:sz="0" w:space="0" w:color="auto"/>
      </w:divBdr>
    </w:div>
    <w:div w:id="288828964">
      <w:bodyDiv w:val="1"/>
      <w:marLeft w:val="0"/>
      <w:marRight w:val="0"/>
      <w:marTop w:val="0"/>
      <w:marBottom w:val="0"/>
      <w:divBdr>
        <w:top w:val="none" w:sz="0" w:space="0" w:color="auto"/>
        <w:left w:val="none" w:sz="0" w:space="0" w:color="auto"/>
        <w:bottom w:val="none" w:sz="0" w:space="0" w:color="auto"/>
        <w:right w:val="none" w:sz="0" w:space="0" w:color="auto"/>
      </w:divBdr>
    </w:div>
    <w:div w:id="289093492">
      <w:bodyDiv w:val="1"/>
      <w:marLeft w:val="0"/>
      <w:marRight w:val="0"/>
      <w:marTop w:val="0"/>
      <w:marBottom w:val="0"/>
      <w:divBdr>
        <w:top w:val="none" w:sz="0" w:space="0" w:color="auto"/>
        <w:left w:val="none" w:sz="0" w:space="0" w:color="auto"/>
        <w:bottom w:val="none" w:sz="0" w:space="0" w:color="auto"/>
        <w:right w:val="none" w:sz="0" w:space="0" w:color="auto"/>
      </w:divBdr>
    </w:div>
    <w:div w:id="289434703">
      <w:bodyDiv w:val="1"/>
      <w:marLeft w:val="0"/>
      <w:marRight w:val="0"/>
      <w:marTop w:val="0"/>
      <w:marBottom w:val="0"/>
      <w:divBdr>
        <w:top w:val="none" w:sz="0" w:space="0" w:color="auto"/>
        <w:left w:val="none" w:sz="0" w:space="0" w:color="auto"/>
        <w:bottom w:val="none" w:sz="0" w:space="0" w:color="auto"/>
        <w:right w:val="none" w:sz="0" w:space="0" w:color="auto"/>
      </w:divBdr>
    </w:div>
    <w:div w:id="289481927">
      <w:bodyDiv w:val="1"/>
      <w:marLeft w:val="0"/>
      <w:marRight w:val="0"/>
      <w:marTop w:val="0"/>
      <w:marBottom w:val="0"/>
      <w:divBdr>
        <w:top w:val="none" w:sz="0" w:space="0" w:color="auto"/>
        <w:left w:val="none" w:sz="0" w:space="0" w:color="auto"/>
        <w:bottom w:val="none" w:sz="0" w:space="0" w:color="auto"/>
        <w:right w:val="none" w:sz="0" w:space="0" w:color="auto"/>
      </w:divBdr>
    </w:div>
    <w:div w:id="289671100">
      <w:bodyDiv w:val="1"/>
      <w:marLeft w:val="0"/>
      <w:marRight w:val="0"/>
      <w:marTop w:val="0"/>
      <w:marBottom w:val="0"/>
      <w:divBdr>
        <w:top w:val="none" w:sz="0" w:space="0" w:color="auto"/>
        <w:left w:val="none" w:sz="0" w:space="0" w:color="auto"/>
        <w:bottom w:val="none" w:sz="0" w:space="0" w:color="auto"/>
        <w:right w:val="none" w:sz="0" w:space="0" w:color="auto"/>
      </w:divBdr>
    </w:div>
    <w:div w:id="289751263">
      <w:bodyDiv w:val="1"/>
      <w:marLeft w:val="0"/>
      <w:marRight w:val="0"/>
      <w:marTop w:val="0"/>
      <w:marBottom w:val="0"/>
      <w:divBdr>
        <w:top w:val="none" w:sz="0" w:space="0" w:color="auto"/>
        <w:left w:val="none" w:sz="0" w:space="0" w:color="auto"/>
        <w:bottom w:val="none" w:sz="0" w:space="0" w:color="auto"/>
        <w:right w:val="none" w:sz="0" w:space="0" w:color="auto"/>
      </w:divBdr>
    </w:div>
    <w:div w:id="289825447">
      <w:bodyDiv w:val="1"/>
      <w:marLeft w:val="0"/>
      <w:marRight w:val="0"/>
      <w:marTop w:val="0"/>
      <w:marBottom w:val="0"/>
      <w:divBdr>
        <w:top w:val="none" w:sz="0" w:space="0" w:color="auto"/>
        <w:left w:val="none" w:sz="0" w:space="0" w:color="auto"/>
        <w:bottom w:val="none" w:sz="0" w:space="0" w:color="auto"/>
        <w:right w:val="none" w:sz="0" w:space="0" w:color="auto"/>
      </w:divBdr>
    </w:div>
    <w:div w:id="289870745">
      <w:bodyDiv w:val="1"/>
      <w:marLeft w:val="0"/>
      <w:marRight w:val="0"/>
      <w:marTop w:val="0"/>
      <w:marBottom w:val="0"/>
      <w:divBdr>
        <w:top w:val="none" w:sz="0" w:space="0" w:color="auto"/>
        <w:left w:val="none" w:sz="0" w:space="0" w:color="auto"/>
        <w:bottom w:val="none" w:sz="0" w:space="0" w:color="auto"/>
        <w:right w:val="none" w:sz="0" w:space="0" w:color="auto"/>
      </w:divBdr>
    </w:div>
    <w:div w:id="289940876">
      <w:bodyDiv w:val="1"/>
      <w:marLeft w:val="0"/>
      <w:marRight w:val="0"/>
      <w:marTop w:val="0"/>
      <w:marBottom w:val="0"/>
      <w:divBdr>
        <w:top w:val="none" w:sz="0" w:space="0" w:color="auto"/>
        <w:left w:val="none" w:sz="0" w:space="0" w:color="auto"/>
        <w:bottom w:val="none" w:sz="0" w:space="0" w:color="auto"/>
        <w:right w:val="none" w:sz="0" w:space="0" w:color="auto"/>
      </w:divBdr>
    </w:div>
    <w:div w:id="290478082">
      <w:bodyDiv w:val="1"/>
      <w:marLeft w:val="0"/>
      <w:marRight w:val="0"/>
      <w:marTop w:val="0"/>
      <w:marBottom w:val="0"/>
      <w:divBdr>
        <w:top w:val="none" w:sz="0" w:space="0" w:color="auto"/>
        <w:left w:val="none" w:sz="0" w:space="0" w:color="auto"/>
        <w:bottom w:val="none" w:sz="0" w:space="0" w:color="auto"/>
        <w:right w:val="none" w:sz="0" w:space="0" w:color="auto"/>
      </w:divBdr>
    </w:div>
    <w:div w:id="290481277">
      <w:bodyDiv w:val="1"/>
      <w:marLeft w:val="0"/>
      <w:marRight w:val="0"/>
      <w:marTop w:val="0"/>
      <w:marBottom w:val="0"/>
      <w:divBdr>
        <w:top w:val="none" w:sz="0" w:space="0" w:color="auto"/>
        <w:left w:val="none" w:sz="0" w:space="0" w:color="auto"/>
        <w:bottom w:val="none" w:sz="0" w:space="0" w:color="auto"/>
        <w:right w:val="none" w:sz="0" w:space="0" w:color="auto"/>
      </w:divBdr>
    </w:div>
    <w:div w:id="290744424">
      <w:bodyDiv w:val="1"/>
      <w:marLeft w:val="0"/>
      <w:marRight w:val="0"/>
      <w:marTop w:val="0"/>
      <w:marBottom w:val="0"/>
      <w:divBdr>
        <w:top w:val="none" w:sz="0" w:space="0" w:color="auto"/>
        <w:left w:val="none" w:sz="0" w:space="0" w:color="auto"/>
        <w:bottom w:val="none" w:sz="0" w:space="0" w:color="auto"/>
        <w:right w:val="none" w:sz="0" w:space="0" w:color="auto"/>
      </w:divBdr>
    </w:div>
    <w:div w:id="291255468">
      <w:bodyDiv w:val="1"/>
      <w:marLeft w:val="0"/>
      <w:marRight w:val="0"/>
      <w:marTop w:val="0"/>
      <w:marBottom w:val="0"/>
      <w:divBdr>
        <w:top w:val="none" w:sz="0" w:space="0" w:color="auto"/>
        <w:left w:val="none" w:sz="0" w:space="0" w:color="auto"/>
        <w:bottom w:val="none" w:sz="0" w:space="0" w:color="auto"/>
        <w:right w:val="none" w:sz="0" w:space="0" w:color="auto"/>
      </w:divBdr>
    </w:div>
    <w:div w:id="291401269">
      <w:bodyDiv w:val="1"/>
      <w:marLeft w:val="0"/>
      <w:marRight w:val="0"/>
      <w:marTop w:val="0"/>
      <w:marBottom w:val="0"/>
      <w:divBdr>
        <w:top w:val="none" w:sz="0" w:space="0" w:color="auto"/>
        <w:left w:val="none" w:sz="0" w:space="0" w:color="auto"/>
        <w:bottom w:val="none" w:sz="0" w:space="0" w:color="auto"/>
        <w:right w:val="none" w:sz="0" w:space="0" w:color="auto"/>
      </w:divBdr>
    </w:div>
    <w:div w:id="291716715">
      <w:bodyDiv w:val="1"/>
      <w:marLeft w:val="0"/>
      <w:marRight w:val="0"/>
      <w:marTop w:val="0"/>
      <w:marBottom w:val="0"/>
      <w:divBdr>
        <w:top w:val="none" w:sz="0" w:space="0" w:color="auto"/>
        <w:left w:val="none" w:sz="0" w:space="0" w:color="auto"/>
        <w:bottom w:val="none" w:sz="0" w:space="0" w:color="auto"/>
        <w:right w:val="none" w:sz="0" w:space="0" w:color="auto"/>
      </w:divBdr>
    </w:div>
    <w:div w:id="292102020">
      <w:bodyDiv w:val="1"/>
      <w:marLeft w:val="0"/>
      <w:marRight w:val="0"/>
      <w:marTop w:val="0"/>
      <w:marBottom w:val="0"/>
      <w:divBdr>
        <w:top w:val="none" w:sz="0" w:space="0" w:color="auto"/>
        <w:left w:val="none" w:sz="0" w:space="0" w:color="auto"/>
        <w:bottom w:val="none" w:sz="0" w:space="0" w:color="auto"/>
        <w:right w:val="none" w:sz="0" w:space="0" w:color="auto"/>
      </w:divBdr>
    </w:div>
    <w:div w:id="292174841">
      <w:bodyDiv w:val="1"/>
      <w:marLeft w:val="0"/>
      <w:marRight w:val="0"/>
      <w:marTop w:val="0"/>
      <w:marBottom w:val="0"/>
      <w:divBdr>
        <w:top w:val="none" w:sz="0" w:space="0" w:color="auto"/>
        <w:left w:val="none" w:sz="0" w:space="0" w:color="auto"/>
        <w:bottom w:val="none" w:sz="0" w:space="0" w:color="auto"/>
        <w:right w:val="none" w:sz="0" w:space="0" w:color="auto"/>
      </w:divBdr>
    </w:div>
    <w:div w:id="292297798">
      <w:bodyDiv w:val="1"/>
      <w:marLeft w:val="0"/>
      <w:marRight w:val="0"/>
      <w:marTop w:val="0"/>
      <w:marBottom w:val="0"/>
      <w:divBdr>
        <w:top w:val="none" w:sz="0" w:space="0" w:color="auto"/>
        <w:left w:val="none" w:sz="0" w:space="0" w:color="auto"/>
        <w:bottom w:val="none" w:sz="0" w:space="0" w:color="auto"/>
        <w:right w:val="none" w:sz="0" w:space="0" w:color="auto"/>
      </w:divBdr>
    </w:div>
    <w:div w:id="292323017">
      <w:bodyDiv w:val="1"/>
      <w:marLeft w:val="0"/>
      <w:marRight w:val="0"/>
      <w:marTop w:val="0"/>
      <w:marBottom w:val="0"/>
      <w:divBdr>
        <w:top w:val="none" w:sz="0" w:space="0" w:color="auto"/>
        <w:left w:val="none" w:sz="0" w:space="0" w:color="auto"/>
        <w:bottom w:val="none" w:sz="0" w:space="0" w:color="auto"/>
        <w:right w:val="none" w:sz="0" w:space="0" w:color="auto"/>
      </w:divBdr>
    </w:div>
    <w:div w:id="292368309">
      <w:bodyDiv w:val="1"/>
      <w:marLeft w:val="0"/>
      <w:marRight w:val="0"/>
      <w:marTop w:val="0"/>
      <w:marBottom w:val="0"/>
      <w:divBdr>
        <w:top w:val="none" w:sz="0" w:space="0" w:color="auto"/>
        <w:left w:val="none" w:sz="0" w:space="0" w:color="auto"/>
        <w:bottom w:val="none" w:sz="0" w:space="0" w:color="auto"/>
        <w:right w:val="none" w:sz="0" w:space="0" w:color="auto"/>
      </w:divBdr>
    </w:div>
    <w:div w:id="292372201">
      <w:bodyDiv w:val="1"/>
      <w:marLeft w:val="0"/>
      <w:marRight w:val="0"/>
      <w:marTop w:val="0"/>
      <w:marBottom w:val="0"/>
      <w:divBdr>
        <w:top w:val="none" w:sz="0" w:space="0" w:color="auto"/>
        <w:left w:val="none" w:sz="0" w:space="0" w:color="auto"/>
        <w:bottom w:val="none" w:sz="0" w:space="0" w:color="auto"/>
        <w:right w:val="none" w:sz="0" w:space="0" w:color="auto"/>
      </w:divBdr>
    </w:div>
    <w:div w:id="292636955">
      <w:bodyDiv w:val="1"/>
      <w:marLeft w:val="0"/>
      <w:marRight w:val="0"/>
      <w:marTop w:val="0"/>
      <w:marBottom w:val="0"/>
      <w:divBdr>
        <w:top w:val="none" w:sz="0" w:space="0" w:color="auto"/>
        <w:left w:val="none" w:sz="0" w:space="0" w:color="auto"/>
        <w:bottom w:val="none" w:sz="0" w:space="0" w:color="auto"/>
        <w:right w:val="none" w:sz="0" w:space="0" w:color="auto"/>
      </w:divBdr>
    </w:div>
    <w:div w:id="292831007">
      <w:bodyDiv w:val="1"/>
      <w:marLeft w:val="0"/>
      <w:marRight w:val="0"/>
      <w:marTop w:val="0"/>
      <w:marBottom w:val="0"/>
      <w:divBdr>
        <w:top w:val="none" w:sz="0" w:space="0" w:color="auto"/>
        <w:left w:val="none" w:sz="0" w:space="0" w:color="auto"/>
        <w:bottom w:val="none" w:sz="0" w:space="0" w:color="auto"/>
        <w:right w:val="none" w:sz="0" w:space="0" w:color="auto"/>
      </w:divBdr>
    </w:div>
    <w:div w:id="292948549">
      <w:bodyDiv w:val="1"/>
      <w:marLeft w:val="0"/>
      <w:marRight w:val="0"/>
      <w:marTop w:val="0"/>
      <w:marBottom w:val="0"/>
      <w:divBdr>
        <w:top w:val="none" w:sz="0" w:space="0" w:color="auto"/>
        <w:left w:val="none" w:sz="0" w:space="0" w:color="auto"/>
        <w:bottom w:val="none" w:sz="0" w:space="0" w:color="auto"/>
        <w:right w:val="none" w:sz="0" w:space="0" w:color="auto"/>
      </w:divBdr>
    </w:div>
    <w:div w:id="293174807">
      <w:bodyDiv w:val="1"/>
      <w:marLeft w:val="0"/>
      <w:marRight w:val="0"/>
      <w:marTop w:val="0"/>
      <w:marBottom w:val="0"/>
      <w:divBdr>
        <w:top w:val="none" w:sz="0" w:space="0" w:color="auto"/>
        <w:left w:val="none" w:sz="0" w:space="0" w:color="auto"/>
        <w:bottom w:val="none" w:sz="0" w:space="0" w:color="auto"/>
        <w:right w:val="none" w:sz="0" w:space="0" w:color="auto"/>
      </w:divBdr>
    </w:div>
    <w:div w:id="293410860">
      <w:bodyDiv w:val="1"/>
      <w:marLeft w:val="0"/>
      <w:marRight w:val="0"/>
      <w:marTop w:val="0"/>
      <w:marBottom w:val="0"/>
      <w:divBdr>
        <w:top w:val="none" w:sz="0" w:space="0" w:color="auto"/>
        <w:left w:val="none" w:sz="0" w:space="0" w:color="auto"/>
        <w:bottom w:val="none" w:sz="0" w:space="0" w:color="auto"/>
        <w:right w:val="none" w:sz="0" w:space="0" w:color="auto"/>
      </w:divBdr>
    </w:div>
    <w:div w:id="293414029">
      <w:bodyDiv w:val="1"/>
      <w:marLeft w:val="0"/>
      <w:marRight w:val="0"/>
      <w:marTop w:val="0"/>
      <w:marBottom w:val="0"/>
      <w:divBdr>
        <w:top w:val="none" w:sz="0" w:space="0" w:color="auto"/>
        <w:left w:val="none" w:sz="0" w:space="0" w:color="auto"/>
        <w:bottom w:val="none" w:sz="0" w:space="0" w:color="auto"/>
        <w:right w:val="none" w:sz="0" w:space="0" w:color="auto"/>
      </w:divBdr>
    </w:div>
    <w:div w:id="293565609">
      <w:bodyDiv w:val="1"/>
      <w:marLeft w:val="0"/>
      <w:marRight w:val="0"/>
      <w:marTop w:val="0"/>
      <w:marBottom w:val="0"/>
      <w:divBdr>
        <w:top w:val="none" w:sz="0" w:space="0" w:color="auto"/>
        <w:left w:val="none" w:sz="0" w:space="0" w:color="auto"/>
        <w:bottom w:val="none" w:sz="0" w:space="0" w:color="auto"/>
        <w:right w:val="none" w:sz="0" w:space="0" w:color="auto"/>
      </w:divBdr>
    </w:div>
    <w:div w:id="293603840">
      <w:bodyDiv w:val="1"/>
      <w:marLeft w:val="0"/>
      <w:marRight w:val="0"/>
      <w:marTop w:val="0"/>
      <w:marBottom w:val="0"/>
      <w:divBdr>
        <w:top w:val="none" w:sz="0" w:space="0" w:color="auto"/>
        <w:left w:val="none" w:sz="0" w:space="0" w:color="auto"/>
        <w:bottom w:val="none" w:sz="0" w:space="0" w:color="auto"/>
        <w:right w:val="none" w:sz="0" w:space="0" w:color="auto"/>
      </w:divBdr>
    </w:div>
    <w:div w:id="293756233">
      <w:bodyDiv w:val="1"/>
      <w:marLeft w:val="0"/>
      <w:marRight w:val="0"/>
      <w:marTop w:val="0"/>
      <w:marBottom w:val="0"/>
      <w:divBdr>
        <w:top w:val="none" w:sz="0" w:space="0" w:color="auto"/>
        <w:left w:val="none" w:sz="0" w:space="0" w:color="auto"/>
        <w:bottom w:val="none" w:sz="0" w:space="0" w:color="auto"/>
        <w:right w:val="none" w:sz="0" w:space="0" w:color="auto"/>
      </w:divBdr>
    </w:div>
    <w:div w:id="294413199">
      <w:bodyDiv w:val="1"/>
      <w:marLeft w:val="0"/>
      <w:marRight w:val="0"/>
      <w:marTop w:val="0"/>
      <w:marBottom w:val="0"/>
      <w:divBdr>
        <w:top w:val="none" w:sz="0" w:space="0" w:color="auto"/>
        <w:left w:val="none" w:sz="0" w:space="0" w:color="auto"/>
        <w:bottom w:val="none" w:sz="0" w:space="0" w:color="auto"/>
        <w:right w:val="none" w:sz="0" w:space="0" w:color="auto"/>
      </w:divBdr>
    </w:div>
    <w:div w:id="294484175">
      <w:bodyDiv w:val="1"/>
      <w:marLeft w:val="0"/>
      <w:marRight w:val="0"/>
      <w:marTop w:val="0"/>
      <w:marBottom w:val="0"/>
      <w:divBdr>
        <w:top w:val="none" w:sz="0" w:space="0" w:color="auto"/>
        <w:left w:val="none" w:sz="0" w:space="0" w:color="auto"/>
        <w:bottom w:val="none" w:sz="0" w:space="0" w:color="auto"/>
        <w:right w:val="none" w:sz="0" w:space="0" w:color="auto"/>
      </w:divBdr>
    </w:div>
    <w:div w:id="294722999">
      <w:bodyDiv w:val="1"/>
      <w:marLeft w:val="0"/>
      <w:marRight w:val="0"/>
      <w:marTop w:val="0"/>
      <w:marBottom w:val="0"/>
      <w:divBdr>
        <w:top w:val="none" w:sz="0" w:space="0" w:color="auto"/>
        <w:left w:val="none" w:sz="0" w:space="0" w:color="auto"/>
        <w:bottom w:val="none" w:sz="0" w:space="0" w:color="auto"/>
        <w:right w:val="none" w:sz="0" w:space="0" w:color="auto"/>
      </w:divBdr>
    </w:div>
    <w:div w:id="294991341">
      <w:bodyDiv w:val="1"/>
      <w:marLeft w:val="0"/>
      <w:marRight w:val="0"/>
      <w:marTop w:val="0"/>
      <w:marBottom w:val="0"/>
      <w:divBdr>
        <w:top w:val="none" w:sz="0" w:space="0" w:color="auto"/>
        <w:left w:val="none" w:sz="0" w:space="0" w:color="auto"/>
        <w:bottom w:val="none" w:sz="0" w:space="0" w:color="auto"/>
        <w:right w:val="none" w:sz="0" w:space="0" w:color="auto"/>
      </w:divBdr>
    </w:div>
    <w:div w:id="295337571">
      <w:bodyDiv w:val="1"/>
      <w:marLeft w:val="0"/>
      <w:marRight w:val="0"/>
      <w:marTop w:val="0"/>
      <w:marBottom w:val="0"/>
      <w:divBdr>
        <w:top w:val="none" w:sz="0" w:space="0" w:color="auto"/>
        <w:left w:val="none" w:sz="0" w:space="0" w:color="auto"/>
        <w:bottom w:val="none" w:sz="0" w:space="0" w:color="auto"/>
        <w:right w:val="none" w:sz="0" w:space="0" w:color="auto"/>
      </w:divBdr>
    </w:div>
    <w:div w:id="295451223">
      <w:bodyDiv w:val="1"/>
      <w:marLeft w:val="0"/>
      <w:marRight w:val="0"/>
      <w:marTop w:val="0"/>
      <w:marBottom w:val="0"/>
      <w:divBdr>
        <w:top w:val="none" w:sz="0" w:space="0" w:color="auto"/>
        <w:left w:val="none" w:sz="0" w:space="0" w:color="auto"/>
        <w:bottom w:val="none" w:sz="0" w:space="0" w:color="auto"/>
        <w:right w:val="none" w:sz="0" w:space="0" w:color="auto"/>
      </w:divBdr>
    </w:div>
    <w:div w:id="295717934">
      <w:bodyDiv w:val="1"/>
      <w:marLeft w:val="0"/>
      <w:marRight w:val="0"/>
      <w:marTop w:val="0"/>
      <w:marBottom w:val="0"/>
      <w:divBdr>
        <w:top w:val="none" w:sz="0" w:space="0" w:color="auto"/>
        <w:left w:val="none" w:sz="0" w:space="0" w:color="auto"/>
        <w:bottom w:val="none" w:sz="0" w:space="0" w:color="auto"/>
        <w:right w:val="none" w:sz="0" w:space="0" w:color="auto"/>
      </w:divBdr>
    </w:div>
    <w:div w:id="295718653">
      <w:bodyDiv w:val="1"/>
      <w:marLeft w:val="0"/>
      <w:marRight w:val="0"/>
      <w:marTop w:val="0"/>
      <w:marBottom w:val="0"/>
      <w:divBdr>
        <w:top w:val="none" w:sz="0" w:space="0" w:color="auto"/>
        <w:left w:val="none" w:sz="0" w:space="0" w:color="auto"/>
        <w:bottom w:val="none" w:sz="0" w:space="0" w:color="auto"/>
        <w:right w:val="none" w:sz="0" w:space="0" w:color="auto"/>
      </w:divBdr>
    </w:div>
    <w:div w:id="295767688">
      <w:bodyDiv w:val="1"/>
      <w:marLeft w:val="0"/>
      <w:marRight w:val="0"/>
      <w:marTop w:val="0"/>
      <w:marBottom w:val="0"/>
      <w:divBdr>
        <w:top w:val="none" w:sz="0" w:space="0" w:color="auto"/>
        <w:left w:val="none" w:sz="0" w:space="0" w:color="auto"/>
        <w:bottom w:val="none" w:sz="0" w:space="0" w:color="auto"/>
        <w:right w:val="none" w:sz="0" w:space="0" w:color="auto"/>
      </w:divBdr>
    </w:div>
    <w:div w:id="295916809">
      <w:bodyDiv w:val="1"/>
      <w:marLeft w:val="0"/>
      <w:marRight w:val="0"/>
      <w:marTop w:val="0"/>
      <w:marBottom w:val="0"/>
      <w:divBdr>
        <w:top w:val="none" w:sz="0" w:space="0" w:color="auto"/>
        <w:left w:val="none" w:sz="0" w:space="0" w:color="auto"/>
        <w:bottom w:val="none" w:sz="0" w:space="0" w:color="auto"/>
        <w:right w:val="none" w:sz="0" w:space="0" w:color="auto"/>
      </w:divBdr>
    </w:div>
    <w:div w:id="296032084">
      <w:bodyDiv w:val="1"/>
      <w:marLeft w:val="0"/>
      <w:marRight w:val="0"/>
      <w:marTop w:val="0"/>
      <w:marBottom w:val="0"/>
      <w:divBdr>
        <w:top w:val="none" w:sz="0" w:space="0" w:color="auto"/>
        <w:left w:val="none" w:sz="0" w:space="0" w:color="auto"/>
        <w:bottom w:val="none" w:sz="0" w:space="0" w:color="auto"/>
        <w:right w:val="none" w:sz="0" w:space="0" w:color="auto"/>
      </w:divBdr>
    </w:div>
    <w:div w:id="296490752">
      <w:bodyDiv w:val="1"/>
      <w:marLeft w:val="0"/>
      <w:marRight w:val="0"/>
      <w:marTop w:val="0"/>
      <w:marBottom w:val="0"/>
      <w:divBdr>
        <w:top w:val="none" w:sz="0" w:space="0" w:color="auto"/>
        <w:left w:val="none" w:sz="0" w:space="0" w:color="auto"/>
        <w:bottom w:val="none" w:sz="0" w:space="0" w:color="auto"/>
        <w:right w:val="none" w:sz="0" w:space="0" w:color="auto"/>
      </w:divBdr>
    </w:div>
    <w:div w:id="296759747">
      <w:bodyDiv w:val="1"/>
      <w:marLeft w:val="0"/>
      <w:marRight w:val="0"/>
      <w:marTop w:val="0"/>
      <w:marBottom w:val="0"/>
      <w:divBdr>
        <w:top w:val="none" w:sz="0" w:space="0" w:color="auto"/>
        <w:left w:val="none" w:sz="0" w:space="0" w:color="auto"/>
        <w:bottom w:val="none" w:sz="0" w:space="0" w:color="auto"/>
        <w:right w:val="none" w:sz="0" w:space="0" w:color="auto"/>
      </w:divBdr>
    </w:div>
    <w:div w:id="297417944">
      <w:bodyDiv w:val="1"/>
      <w:marLeft w:val="0"/>
      <w:marRight w:val="0"/>
      <w:marTop w:val="0"/>
      <w:marBottom w:val="0"/>
      <w:divBdr>
        <w:top w:val="none" w:sz="0" w:space="0" w:color="auto"/>
        <w:left w:val="none" w:sz="0" w:space="0" w:color="auto"/>
        <w:bottom w:val="none" w:sz="0" w:space="0" w:color="auto"/>
        <w:right w:val="none" w:sz="0" w:space="0" w:color="auto"/>
      </w:divBdr>
    </w:div>
    <w:div w:id="297423095">
      <w:bodyDiv w:val="1"/>
      <w:marLeft w:val="0"/>
      <w:marRight w:val="0"/>
      <w:marTop w:val="0"/>
      <w:marBottom w:val="0"/>
      <w:divBdr>
        <w:top w:val="none" w:sz="0" w:space="0" w:color="auto"/>
        <w:left w:val="none" w:sz="0" w:space="0" w:color="auto"/>
        <w:bottom w:val="none" w:sz="0" w:space="0" w:color="auto"/>
        <w:right w:val="none" w:sz="0" w:space="0" w:color="auto"/>
      </w:divBdr>
    </w:div>
    <w:div w:id="297565210">
      <w:bodyDiv w:val="1"/>
      <w:marLeft w:val="0"/>
      <w:marRight w:val="0"/>
      <w:marTop w:val="0"/>
      <w:marBottom w:val="0"/>
      <w:divBdr>
        <w:top w:val="none" w:sz="0" w:space="0" w:color="auto"/>
        <w:left w:val="none" w:sz="0" w:space="0" w:color="auto"/>
        <w:bottom w:val="none" w:sz="0" w:space="0" w:color="auto"/>
        <w:right w:val="none" w:sz="0" w:space="0" w:color="auto"/>
      </w:divBdr>
    </w:div>
    <w:div w:id="297690639">
      <w:bodyDiv w:val="1"/>
      <w:marLeft w:val="0"/>
      <w:marRight w:val="0"/>
      <w:marTop w:val="0"/>
      <w:marBottom w:val="0"/>
      <w:divBdr>
        <w:top w:val="none" w:sz="0" w:space="0" w:color="auto"/>
        <w:left w:val="none" w:sz="0" w:space="0" w:color="auto"/>
        <w:bottom w:val="none" w:sz="0" w:space="0" w:color="auto"/>
        <w:right w:val="none" w:sz="0" w:space="0" w:color="auto"/>
      </w:divBdr>
    </w:div>
    <w:div w:id="297884865">
      <w:bodyDiv w:val="1"/>
      <w:marLeft w:val="0"/>
      <w:marRight w:val="0"/>
      <w:marTop w:val="0"/>
      <w:marBottom w:val="0"/>
      <w:divBdr>
        <w:top w:val="none" w:sz="0" w:space="0" w:color="auto"/>
        <w:left w:val="none" w:sz="0" w:space="0" w:color="auto"/>
        <w:bottom w:val="none" w:sz="0" w:space="0" w:color="auto"/>
        <w:right w:val="none" w:sz="0" w:space="0" w:color="auto"/>
      </w:divBdr>
    </w:div>
    <w:div w:id="297955917">
      <w:bodyDiv w:val="1"/>
      <w:marLeft w:val="0"/>
      <w:marRight w:val="0"/>
      <w:marTop w:val="0"/>
      <w:marBottom w:val="0"/>
      <w:divBdr>
        <w:top w:val="none" w:sz="0" w:space="0" w:color="auto"/>
        <w:left w:val="none" w:sz="0" w:space="0" w:color="auto"/>
        <w:bottom w:val="none" w:sz="0" w:space="0" w:color="auto"/>
        <w:right w:val="none" w:sz="0" w:space="0" w:color="auto"/>
      </w:divBdr>
    </w:div>
    <w:div w:id="298003231">
      <w:bodyDiv w:val="1"/>
      <w:marLeft w:val="0"/>
      <w:marRight w:val="0"/>
      <w:marTop w:val="0"/>
      <w:marBottom w:val="0"/>
      <w:divBdr>
        <w:top w:val="none" w:sz="0" w:space="0" w:color="auto"/>
        <w:left w:val="none" w:sz="0" w:space="0" w:color="auto"/>
        <w:bottom w:val="none" w:sz="0" w:space="0" w:color="auto"/>
        <w:right w:val="none" w:sz="0" w:space="0" w:color="auto"/>
      </w:divBdr>
    </w:div>
    <w:div w:id="298191528">
      <w:bodyDiv w:val="1"/>
      <w:marLeft w:val="0"/>
      <w:marRight w:val="0"/>
      <w:marTop w:val="0"/>
      <w:marBottom w:val="0"/>
      <w:divBdr>
        <w:top w:val="none" w:sz="0" w:space="0" w:color="auto"/>
        <w:left w:val="none" w:sz="0" w:space="0" w:color="auto"/>
        <w:bottom w:val="none" w:sz="0" w:space="0" w:color="auto"/>
        <w:right w:val="none" w:sz="0" w:space="0" w:color="auto"/>
      </w:divBdr>
    </w:div>
    <w:div w:id="298415967">
      <w:bodyDiv w:val="1"/>
      <w:marLeft w:val="0"/>
      <w:marRight w:val="0"/>
      <w:marTop w:val="0"/>
      <w:marBottom w:val="0"/>
      <w:divBdr>
        <w:top w:val="none" w:sz="0" w:space="0" w:color="auto"/>
        <w:left w:val="none" w:sz="0" w:space="0" w:color="auto"/>
        <w:bottom w:val="none" w:sz="0" w:space="0" w:color="auto"/>
        <w:right w:val="none" w:sz="0" w:space="0" w:color="auto"/>
      </w:divBdr>
    </w:div>
    <w:div w:id="298800834">
      <w:bodyDiv w:val="1"/>
      <w:marLeft w:val="0"/>
      <w:marRight w:val="0"/>
      <w:marTop w:val="0"/>
      <w:marBottom w:val="0"/>
      <w:divBdr>
        <w:top w:val="none" w:sz="0" w:space="0" w:color="auto"/>
        <w:left w:val="none" w:sz="0" w:space="0" w:color="auto"/>
        <w:bottom w:val="none" w:sz="0" w:space="0" w:color="auto"/>
        <w:right w:val="none" w:sz="0" w:space="0" w:color="auto"/>
      </w:divBdr>
    </w:div>
    <w:div w:id="298805579">
      <w:bodyDiv w:val="1"/>
      <w:marLeft w:val="0"/>
      <w:marRight w:val="0"/>
      <w:marTop w:val="0"/>
      <w:marBottom w:val="0"/>
      <w:divBdr>
        <w:top w:val="none" w:sz="0" w:space="0" w:color="auto"/>
        <w:left w:val="none" w:sz="0" w:space="0" w:color="auto"/>
        <w:bottom w:val="none" w:sz="0" w:space="0" w:color="auto"/>
        <w:right w:val="none" w:sz="0" w:space="0" w:color="auto"/>
      </w:divBdr>
    </w:div>
    <w:div w:id="298920795">
      <w:bodyDiv w:val="1"/>
      <w:marLeft w:val="0"/>
      <w:marRight w:val="0"/>
      <w:marTop w:val="0"/>
      <w:marBottom w:val="0"/>
      <w:divBdr>
        <w:top w:val="none" w:sz="0" w:space="0" w:color="auto"/>
        <w:left w:val="none" w:sz="0" w:space="0" w:color="auto"/>
        <w:bottom w:val="none" w:sz="0" w:space="0" w:color="auto"/>
        <w:right w:val="none" w:sz="0" w:space="0" w:color="auto"/>
      </w:divBdr>
    </w:div>
    <w:div w:id="298921139">
      <w:bodyDiv w:val="1"/>
      <w:marLeft w:val="0"/>
      <w:marRight w:val="0"/>
      <w:marTop w:val="0"/>
      <w:marBottom w:val="0"/>
      <w:divBdr>
        <w:top w:val="none" w:sz="0" w:space="0" w:color="auto"/>
        <w:left w:val="none" w:sz="0" w:space="0" w:color="auto"/>
        <w:bottom w:val="none" w:sz="0" w:space="0" w:color="auto"/>
        <w:right w:val="none" w:sz="0" w:space="0" w:color="auto"/>
      </w:divBdr>
    </w:div>
    <w:div w:id="298921205">
      <w:bodyDiv w:val="1"/>
      <w:marLeft w:val="0"/>
      <w:marRight w:val="0"/>
      <w:marTop w:val="0"/>
      <w:marBottom w:val="0"/>
      <w:divBdr>
        <w:top w:val="none" w:sz="0" w:space="0" w:color="auto"/>
        <w:left w:val="none" w:sz="0" w:space="0" w:color="auto"/>
        <w:bottom w:val="none" w:sz="0" w:space="0" w:color="auto"/>
        <w:right w:val="none" w:sz="0" w:space="0" w:color="auto"/>
      </w:divBdr>
    </w:div>
    <w:div w:id="299041106">
      <w:bodyDiv w:val="1"/>
      <w:marLeft w:val="0"/>
      <w:marRight w:val="0"/>
      <w:marTop w:val="0"/>
      <w:marBottom w:val="0"/>
      <w:divBdr>
        <w:top w:val="none" w:sz="0" w:space="0" w:color="auto"/>
        <w:left w:val="none" w:sz="0" w:space="0" w:color="auto"/>
        <w:bottom w:val="none" w:sz="0" w:space="0" w:color="auto"/>
        <w:right w:val="none" w:sz="0" w:space="0" w:color="auto"/>
      </w:divBdr>
    </w:div>
    <w:div w:id="299269876">
      <w:bodyDiv w:val="1"/>
      <w:marLeft w:val="0"/>
      <w:marRight w:val="0"/>
      <w:marTop w:val="0"/>
      <w:marBottom w:val="0"/>
      <w:divBdr>
        <w:top w:val="none" w:sz="0" w:space="0" w:color="auto"/>
        <w:left w:val="none" w:sz="0" w:space="0" w:color="auto"/>
        <w:bottom w:val="none" w:sz="0" w:space="0" w:color="auto"/>
        <w:right w:val="none" w:sz="0" w:space="0" w:color="auto"/>
      </w:divBdr>
    </w:div>
    <w:div w:id="299504555">
      <w:bodyDiv w:val="1"/>
      <w:marLeft w:val="0"/>
      <w:marRight w:val="0"/>
      <w:marTop w:val="0"/>
      <w:marBottom w:val="0"/>
      <w:divBdr>
        <w:top w:val="none" w:sz="0" w:space="0" w:color="auto"/>
        <w:left w:val="none" w:sz="0" w:space="0" w:color="auto"/>
        <w:bottom w:val="none" w:sz="0" w:space="0" w:color="auto"/>
        <w:right w:val="none" w:sz="0" w:space="0" w:color="auto"/>
      </w:divBdr>
    </w:div>
    <w:div w:id="299505718">
      <w:bodyDiv w:val="1"/>
      <w:marLeft w:val="0"/>
      <w:marRight w:val="0"/>
      <w:marTop w:val="0"/>
      <w:marBottom w:val="0"/>
      <w:divBdr>
        <w:top w:val="none" w:sz="0" w:space="0" w:color="auto"/>
        <w:left w:val="none" w:sz="0" w:space="0" w:color="auto"/>
        <w:bottom w:val="none" w:sz="0" w:space="0" w:color="auto"/>
        <w:right w:val="none" w:sz="0" w:space="0" w:color="auto"/>
      </w:divBdr>
    </w:div>
    <w:div w:id="299530470">
      <w:bodyDiv w:val="1"/>
      <w:marLeft w:val="0"/>
      <w:marRight w:val="0"/>
      <w:marTop w:val="0"/>
      <w:marBottom w:val="0"/>
      <w:divBdr>
        <w:top w:val="none" w:sz="0" w:space="0" w:color="auto"/>
        <w:left w:val="none" w:sz="0" w:space="0" w:color="auto"/>
        <w:bottom w:val="none" w:sz="0" w:space="0" w:color="auto"/>
        <w:right w:val="none" w:sz="0" w:space="0" w:color="auto"/>
      </w:divBdr>
    </w:div>
    <w:div w:id="299581634">
      <w:bodyDiv w:val="1"/>
      <w:marLeft w:val="0"/>
      <w:marRight w:val="0"/>
      <w:marTop w:val="0"/>
      <w:marBottom w:val="0"/>
      <w:divBdr>
        <w:top w:val="none" w:sz="0" w:space="0" w:color="auto"/>
        <w:left w:val="none" w:sz="0" w:space="0" w:color="auto"/>
        <w:bottom w:val="none" w:sz="0" w:space="0" w:color="auto"/>
        <w:right w:val="none" w:sz="0" w:space="0" w:color="auto"/>
      </w:divBdr>
    </w:div>
    <w:div w:id="299655402">
      <w:bodyDiv w:val="1"/>
      <w:marLeft w:val="0"/>
      <w:marRight w:val="0"/>
      <w:marTop w:val="0"/>
      <w:marBottom w:val="0"/>
      <w:divBdr>
        <w:top w:val="none" w:sz="0" w:space="0" w:color="auto"/>
        <w:left w:val="none" w:sz="0" w:space="0" w:color="auto"/>
        <w:bottom w:val="none" w:sz="0" w:space="0" w:color="auto"/>
        <w:right w:val="none" w:sz="0" w:space="0" w:color="auto"/>
      </w:divBdr>
    </w:div>
    <w:div w:id="299700117">
      <w:bodyDiv w:val="1"/>
      <w:marLeft w:val="0"/>
      <w:marRight w:val="0"/>
      <w:marTop w:val="0"/>
      <w:marBottom w:val="0"/>
      <w:divBdr>
        <w:top w:val="none" w:sz="0" w:space="0" w:color="auto"/>
        <w:left w:val="none" w:sz="0" w:space="0" w:color="auto"/>
        <w:bottom w:val="none" w:sz="0" w:space="0" w:color="auto"/>
        <w:right w:val="none" w:sz="0" w:space="0" w:color="auto"/>
      </w:divBdr>
    </w:div>
    <w:div w:id="299725914">
      <w:bodyDiv w:val="1"/>
      <w:marLeft w:val="0"/>
      <w:marRight w:val="0"/>
      <w:marTop w:val="0"/>
      <w:marBottom w:val="0"/>
      <w:divBdr>
        <w:top w:val="none" w:sz="0" w:space="0" w:color="auto"/>
        <w:left w:val="none" w:sz="0" w:space="0" w:color="auto"/>
        <w:bottom w:val="none" w:sz="0" w:space="0" w:color="auto"/>
        <w:right w:val="none" w:sz="0" w:space="0" w:color="auto"/>
      </w:divBdr>
    </w:div>
    <w:div w:id="299919169">
      <w:bodyDiv w:val="1"/>
      <w:marLeft w:val="0"/>
      <w:marRight w:val="0"/>
      <w:marTop w:val="0"/>
      <w:marBottom w:val="0"/>
      <w:divBdr>
        <w:top w:val="none" w:sz="0" w:space="0" w:color="auto"/>
        <w:left w:val="none" w:sz="0" w:space="0" w:color="auto"/>
        <w:bottom w:val="none" w:sz="0" w:space="0" w:color="auto"/>
        <w:right w:val="none" w:sz="0" w:space="0" w:color="auto"/>
      </w:divBdr>
    </w:div>
    <w:div w:id="299921327">
      <w:bodyDiv w:val="1"/>
      <w:marLeft w:val="0"/>
      <w:marRight w:val="0"/>
      <w:marTop w:val="0"/>
      <w:marBottom w:val="0"/>
      <w:divBdr>
        <w:top w:val="none" w:sz="0" w:space="0" w:color="auto"/>
        <w:left w:val="none" w:sz="0" w:space="0" w:color="auto"/>
        <w:bottom w:val="none" w:sz="0" w:space="0" w:color="auto"/>
        <w:right w:val="none" w:sz="0" w:space="0" w:color="auto"/>
      </w:divBdr>
    </w:div>
    <w:div w:id="299963779">
      <w:bodyDiv w:val="1"/>
      <w:marLeft w:val="0"/>
      <w:marRight w:val="0"/>
      <w:marTop w:val="0"/>
      <w:marBottom w:val="0"/>
      <w:divBdr>
        <w:top w:val="none" w:sz="0" w:space="0" w:color="auto"/>
        <w:left w:val="none" w:sz="0" w:space="0" w:color="auto"/>
        <w:bottom w:val="none" w:sz="0" w:space="0" w:color="auto"/>
        <w:right w:val="none" w:sz="0" w:space="0" w:color="auto"/>
      </w:divBdr>
    </w:div>
    <w:div w:id="300580188">
      <w:bodyDiv w:val="1"/>
      <w:marLeft w:val="0"/>
      <w:marRight w:val="0"/>
      <w:marTop w:val="0"/>
      <w:marBottom w:val="0"/>
      <w:divBdr>
        <w:top w:val="none" w:sz="0" w:space="0" w:color="auto"/>
        <w:left w:val="none" w:sz="0" w:space="0" w:color="auto"/>
        <w:bottom w:val="none" w:sz="0" w:space="0" w:color="auto"/>
        <w:right w:val="none" w:sz="0" w:space="0" w:color="auto"/>
      </w:divBdr>
    </w:div>
    <w:div w:id="300960743">
      <w:bodyDiv w:val="1"/>
      <w:marLeft w:val="0"/>
      <w:marRight w:val="0"/>
      <w:marTop w:val="0"/>
      <w:marBottom w:val="0"/>
      <w:divBdr>
        <w:top w:val="none" w:sz="0" w:space="0" w:color="auto"/>
        <w:left w:val="none" w:sz="0" w:space="0" w:color="auto"/>
        <w:bottom w:val="none" w:sz="0" w:space="0" w:color="auto"/>
        <w:right w:val="none" w:sz="0" w:space="0" w:color="auto"/>
      </w:divBdr>
    </w:div>
    <w:div w:id="301010211">
      <w:bodyDiv w:val="1"/>
      <w:marLeft w:val="0"/>
      <w:marRight w:val="0"/>
      <w:marTop w:val="0"/>
      <w:marBottom w:val="0"/>
      <w:divBdr>
        <w:top w:val="none" w:sz="0" w:space="0" w:color="auto"/>
        <w:left w:val="none" w:sz="0" w:space="0" w:color="auto"/>
        <w:bottom w:val="none" w:sz="0" w:space="0" w:color="auto"/>
        <w:right w:val="none" w:sz="0" w:space="0" w:color="auto"/>
      </w:divBdr>
    </w:div>
    <w:div w:id="301159256">
      <w:bodyDiv w:val="1"/>
      <w:marLeft w:val="0"/>
      <w:marRight w:val="0"/>
      <w:marTop w:val="0"/>
      <w:marBottom w:val="0"/>
      <w:divBdr>
        <w:top w:val="none" w:sz="0" w:space="0" w:color="auto"/>
        <w:left w:val="none" w:sz="0" w:space="0" w:color="auto"/>
        <w:bottom w:val="none" w:sz="0" w:space="0" w:color="auto"/>
        <w:right w:val="none" w:sz="0" w:space="0" w:color="auto"/>
      </w:divBdr>
    </w:div>
    <w:div w:id="301160868">
      <w:bodyDiv w:val="1"/>
      <w:marLeft w:val="0"/>
      <w:marRight w:val="0"/>
      <w:marTop w:val="0"/>
      <w:marBottom w:val="0"/>
      <w:divBdr>
        <w:top w:val="none" w:sz="0" w:space="0" w:color="auto"/>
        <w:left w:val="none" w:sz="0" w:space="0" w:color="auto"/>
        <w:bottom w:val="none" w:sz="0" w:space="0" w:color="auto"/>
        <w:right w:val="none" w:sz="0" w:space="0" w:color="auto"/>
      </w:divBdr>
    </w:div>
    <w:div w:id="301421098">
      <w:bodyDiv w:val="1"/>
      <w:marLeft w:val="0"/>
      <w:marRight w:val="0"/>
      <w:marTop w:val="0"/>
      <w:marBottom w:val="0"/>
      <w:divBdr>
        <w:top w:val="none" w:sz="0" w:space="0" w:color="auto"/>
        <w:left w:val="none" w:sz="0" w:space="0" w:color="auto"/>
        <w:bottom w:val="none" w:sz="0" w:space="0" w:color="auto"/>
        <w:right w:val="none" w:sz="0" w:space="0" w:color="auto"/>
      </w:divBdr>
    </w:div>
    <w:div w:id="301542999">
      <w:bodyDiv w:val="1"/>
      <w:marLeft w:val="0"/>
      <w:marRight w:val="0"/>
      <w:marTop w:val="0"/>
      <w:marBottom w:val="0"/>
      <w:divBdr>
        <w:top w:val="none" w:sz="0" w:space="0" w:color="auto"/>
        <w:left w:val="none" w:sz="0" w:space="0" w:color="auto"/>
        <w:bottom w:val="none" w:sz="0" w:space="0" w:color="auto"/>
        <w:right w:val="none" w:sz="0" w:space="0" w:color="auto"/>
      </w:divBdr>
    </w:div>
    <w:div w:id="301619347">
      <w:bodyDiv w:val="1"/>
      <w:marLeft w:val="0"/>
      <w:marRight w:val="0"/>
      <w:marTop w:val="0"/>
      <w:marBottom w:val="0"/>
      <w:divBdr>
        <w:top w:val="none" w:sz="0" w:space="0" w:color="auto"/>
        <w:left w:val="none" w:sz="0" w:space="0" w:color="auto"/>
        <w:bottom w:val="none" w:sz="0" w:space="0" w:color="auto"/>
        <w:right w:val="none" w:sz="0" w:space="0" w:color="auto"/>
      </w:divBdr>
    </w:div>
    <w:div w:id="302005294">
      <w:bodyDiv w:val="1"/>
      <w:marLeft w:val="0"/>
      <w:marRight w:val="0"/>
      <w:marTop w:val="0"/>
      <w:marBottom w:val="0"/>
      <w:divBdr>
        <w:top w:val="none" w:sz="0" w:space="0" w:color="auto"/>
        <w:left w:val="none" w:sz="0" w:space="0" w:color="auto"/>
        <w:bottom w:val="none" w:sz="0" w:space="0" w:color="auto"/>
        <w:right w:val="none" w:sz="0" w:space="0" w:color="auto"/>
      </w:divBdr>
    </w:div>
    <w:div w:id="302006504">
      <w:bodyDiv w:val="1"/>
      <w:marLeft w:val="0"/>
      <w:marRight w:val="0"/>
      <w:marTop w:val="0"/>
      <w:marBottom w:val="0"/>
      <w:divBdr>
        <w:top w:val="none" w:sz="0" w:space="0" w:color="auto"/>
        <w:left w:val="none" w:sz="0" w:space="0" w:color="auto"/>
        <w:bottom w:val="none" w:sz="0" w:space="0" w:color="auto"/>
        <w:right w:val="none" w:sz="0" w:space="0" w:color="auto"/>
      </w:divBdr>
    </w:div>
    <w:div w:id="302272747">
      <w:bodyDiv w:val="1"/>
      <w:marLeft w:val="0"/>
      <w:marRight w:val="0"/>
      <w:marTop w:val="0"/>
      <w:marBottom w:val="0"/>
      <w:divBdr>
        <w:top w:val="none" w:sz="0" w:space="0" w:color="auto"/>
        <w:left w:val="none" w:sz="0" w:space="0" w:color="auto"/>
        <w:bottom w:val="none" w:sz="0" w:space="0" w:color="auto"/>
        <w:right w:val="none" w:sz="0" w:space="0" w:color="auto"/>
      </w:divBdr>
    </w:div>
    <w:div w:id="302853419">
      <w:bodyDiv w:val="1"/>
      <w:marLeft w:val="0"/>
      <w:marRight w:val="0"/>
      <w:marTop w:val="0"/>
      <w:marBottom w:val="0"/>
      <w:divBdr>
        <w:top w:val="none" w:sz="0" w:space="0" w:color="auto"/>
        <w:left w:val="none" w:sz="0" w:space="0" w:color="auto"/>
        <w:bottom w:val="none" w:sz="0" w:space="0" w:color="auto"/>
        <w:right w:val="none" w:sz="0" w:space="0" w:color="auto"/>
      </w:divBdr>
    </w:div>
    <w:div w:id="302932354">
      <w:bodyDiv w:val="1"/>
      <w:marLeft w:val="0"/>
      <w:marRight w:val="0"/>
      <w:marTop w:val="0"/>
      <w:marBottom w:val="0"/>
      <w:divBdr>
        <w:top w:val="none" w:sz="0" w:space="0" w:color="auto"/>
        <w:left w:val="none" w:sz="0" w:space="0" w:color="auto"/>
        <w:bottom w:val="none" w:sz="0" w:space="0" w:color="auto"/>
        <w:right w:val="none" w:sz="0" w:space="0" w:color="auto"/>
      </w:divBdr>
    </w:div>
    <w:div w:id="303395094">
      <w:bodyDiv w:val="1"/>
      <w:marLeft w:val="0"/>
      <w:marRight w:val="0"/>
      <w:marTop w:val="0"/>
      <w:marBottom w:val="0"/>
      <w:divBdr>
        <w:top w:val="none" w:sz="0" w:space="0" w:color="auto"/>
        <w:left w:val="none" w:sz="0" w:space="0" w:color="auto"/>
        <w:bottom w:val="none" w:sz="0" w:space="0" w:color="auto"/>
        <w:right w:val="none" w:sz="0" w:space="0" w:color="auto"/>
      </w:divBdr>
    </w:div>
    <w:div w:id="303433359">
      <w:bodyDiv w:val="1"/>
      <w:marLeft w:val="0"/>
      <w:marRight w:val="0"/>
      <w:marTop w:val="0"/>
      <w:marBottom w:val="0"/>
      <w:divBdr>
        <w:top w:val="none" w:sz="0" w:space="0" w:color="auto"/>
        <w:left w:val="none" w:sz="0" w:space="0" w:color="auto"/>
        <w:bottom w:val="none" w:sz="0" w:space="0" w:color="auto"/>
        <w:right w:val="none" w:sz="0" w:space="0" w:color="auto"/>
      </w:divBdr>
    </w:div>
    <w:div w:id="303505061">
      <w:bodyDiv w:val="1"/>
      <w:marLeft w:val="0"/>
      <w:marRight w:val="0"/>
      <w:marTop w:val="0"/>
      <w:marBottom w:val="0"/>
      <w:divBdr>
        <w:top w:val="none" w:sz="0" w:space="0" w:color="auto"/>
        <w:left w:val="none" w:sz="0" w:space="0" w:color="auto"/>
        <w:bottom w:val="none" w:sz="0" w:space="0" w:color="auto"/>
        <w:right w:val="none" w:sz="0" w:space="0" w:color="auto"/>
      </w:divBdr>
    </w:div>
    <w:div w:id="303507987">
      <w:bodyDiv w:val="1"/>
      <w:marLeft w:val="0"/>
      <w:marRight w:val="0"/>
      <w:marTop w:val="0"/>
      <w:marBottom w:val="0"/>
      <w:divBdr>
        <w:top w:val="none" w:sz="0" w:space="0" w:color="auto"/>
        <w:left w:val="none" w:sz="0" w:space="0" w:color="auto"/>
        <w:bottom w:val="none" w:sz="0" w:space="0" w:color="auto"/>
        <w:right w:val="none" w:sz="0" w:space="0" w:color="auto"/>
      </w:divBdr>
    </w:div>
    <w:div w:id="303588645">
      <w:bodyDiv w:val="1"/>
      <w:marLeft w:val="0"/>
      <w:marRight w:val="0"/>
      <w:marTop w:val="0"/>
      <w:marBottom w:val="0"/>
      <w:divBdr>
        <w:top w:val="none" w:sz="0" w:space="0" w:color="auto"/>
        <w:left w:val="none" w:sz="0" w:space="0" w:color="auto"/>
        <w:bottom w:val="none" w:sz="0" w:space="0" w:color="auto"/>
        <w:right w:val="none" w:sz="0" w:space="0" w:color="auto"/>
      </w:divBdr>
    </w:div>
    <w:div w:id="303628455">
      <w:bodyDiv w:val="1"/>
      <w:marLeft w:val="0"/>
      <w:marRight w:val="0"/>
      <w:marTop w:val="0"/>
      <w:marBottom w:val="0"/>
      <w:divBdr>
        <w:top w:val="none" w:sz="0" w:space="0" w:color="auto"/>
        <w:left w:val="none" w:sz="0" w:space="0" w:color="auto"/>
        <w:bottom w:val="none" w:sz="0" w:space="0" w:color="auto"/>
        <w:right w:val="none" w:sz="0" w:space="0" w:color="auto"/>
      </w:divBdr>
    </w:div>
    <w:div w:id="303705743">
      <w:bodyDiv w:val="1"/>
      <w:marLeft w:val="0"/>
      <w:marRight w:val="0"/>
      <w:marTop w:val="0"/>
      <w:marBottom w:val="0"/>
      <w:divBdr>
        <w:top w:val="none" w:sz="0" w:space="0" w:color="auto"/>
        <w:left w:val="none" w:sz="0" w:space="0" w:color="auto"/>
        <w:bottom w:val="none" w:sz="0" w:space="0" w:color="auto"/>
        <w:right w:val="none" w:sz="0" w:space="0" w:color="auto"/>
      </w:divBdr>
    </w:div>
    <w:div w:id="303706633">
      <w:bodyDiv w:val="1"/>
      <w:marLeft w:val="0"/>
      <w:marRight w:val="0"/>
      <w:marTop w:val="0"/>
      <w:marBottom w:val="0"/>
      <w:divBdr>
        <w:top w:val="none" w:sz="0" w:space="0" w:color="auto"/>
        <w:left w:val="none" w:sz="0" w:space="0" w:color="auto"/>
        <w:bottom w:val="none" w:sz="0" w:space="0" w:color="auto"/>
        <w:right w:val="none" w:sz="0" w:space="0" w:color="auto"/>
      </w:divBdr>
    </w:div>
    <w:div w:id="304050049">
      <w:bodyDiv w:val="1"/>
      <w:marLeft w:val="0"/>
      <w:marRight w:val="0"/>
      <w:marTop w:val="0"/>
      <w:marBottom w:val="0"/>
      <w:divBdr>
        <w:top w:val="none" w:sz="0" w:space="0" w:color="auto"/>
        <w:left w:val="none" w:sz="0" w:space="0" w:color="auto"/>
        <w:bottom w:val="none" w:sz="0" w:space="0" w:color="auto"/>
        <w:right w:val="none" w:sz="0" w:space="0" w:color="auto"/>
      </w:divBdr>
    </w:div>
    <w:div w:id="304088685">
      <w:bodyDiv w:val="1"/>
      <w:marLeft w:val="0"/>
      <w:marRight w:val="0"/>
      <w:marTop w:val="0"/>
      <w:marBottom w:val="0"/>
      <w:divBdr>
        <w:top w:val="none" w:sz="0" w:space="0" w:color="auto"/>
        <w:left w:val="none" w:sz="0" w:space="0" w:color="auto"/>
        <w:bottom w:val="none" w:sz="0" w:space="0" w:color="auto"/>
        <w:right w:val="none" w:sz="0" w:space="0" w:color="auto"/>
      </w:divBdr>
    </w:div>
    <w:div w:id="304362795">
      <w:bodyDiv w:val="1"/>
      <w:marLeft w:val="0"/>
      <w:marRight w:val="0"/>
      <w:marTop w:val="0"/>
      <w:marBottom w:val="0"/>
      <w:divBdr>
        <w:top w:val="none" w:sz="0" w:space="0" w:color="auto"/>
        <w:left w:val="none" w:sz="0" w:space="0" w:color="auto"/>
        <w:bottom w:val="none" w:sz="0" w:space="0" w:color="auto"/>
        <w:right w:val="none" w:sz="0" w:space="0" w:color="auto"/>
      </w:divBdr>
    </w:div>
    <w:div w:id="304436822">
      <w:bodyDiv w:val="1"/>
      <w:marLeft w:val="0"/>
      <w:marRight w:val="0"/>
      <w:marTop w:val="0"/>
      <w:marBottom w:val="0"/>
      <w:divBdr>
        <w:top w:val="none" w:sz="0" w:space="0" w:color="auto"/>
        <w:left w:val="none" w:sz="0" w:space="0" w:color="auto"/>
        <w:bottom w:val="none" w:sz="0" w:space="0" w:color="auto"/>
        <w:right w:val="none" w:sz="0" w:space="0" w:color="auto"/>
      </w:divBdr>
    </w:div>
    <w:div w:id="304625543">
      <w:bodyDiv w:val="1"/>
      <w:marLeft w:val="0"/>
      <w:marRight w:val="0"/>
      <w:marTop w:val="0"/>
      <w:marBottom w:val="0"/>
      <w:divBdr>
        <w:top w:val="none" w:sz="0" w:space="0" w:color="auto"/>
        <w:left w:val="none" w:sz="0" w:space="0" w:color="auto"/>
        <w:bottom w:val="none" w:sz="0" w:space="0" w:color="auto"/>
        <w:right w:val="none" w:sz="0" w:space="0" w:color="auto"/>
      </w:divBdr>
    </w:div>
    <w:div w:id="304703124">
      <w:bodyDiv w:val="1"/>
      <w:marLeft w:val="0"/>
      <w:marRight w:val="0"/>
      <w:marTop w:val="0"/>
      <w:marBottom w:val="0"/>
      <w:divBdr>
        <w:top w:val="none" w:sz="0" w:space="0" w:color="auto"/>
        <w:left w:val="none" w:sz="0" w:space="0" w:color="auto"/>
        <w:bottom w:val="none" w:sz="0" w:space="0" w:color="auto"/>
        <w:right w:val="none" w:sz="0" w:space="0" w:color="auto"/>
      </w:divBdr>
    </w:div>
    <w:div w:id="304822265">
      <w:bodyDiv w:val="1"/>
      <w:marLeft w:val="0"/>
      <w:marRight w:val="0"/>
      <w:marTop w:val="0"/>
      <w:marBottom w:val="0"/>
      <w:divBdr>
        <w:top w:val="none" w:sz="0" w:space="0" w:color="auto"/>
        <w:left w:val="none" w:sz="0" w:space="0" w:color="auto"/>
        <w:bottom w:val="none" w:sz="0" w:space="0" w:color="auto"/>
        <w:right w:val="none" w:sz="0" w:space="0" w:color="auto"/>
      </w:divBdr>
    </w:div>
    <w:div w:id="304898745">
      <w:bodyDiv w:val="1"/>
      <w:marLeft w:val="0"/>
      <w:marRight w:val="0"/>
      <w:marTop w:val="0"/>
      <w:marBottom w:val="0"/>
      <w:divBdr>
        <w:top w:val="none" w:sz="0" w:space="0" w:color="auto"/>
        <w:left w:val="none" w:sz="0" w:space="0" w:color="auto"/>
        <w:bottom w:val="none" w:sz="0" w:space="0" w:color="auto"/>
        <w:right w:val="none" w:sz="0" w:space="0" w:color="auto"/>
      </w:divBdr>
    </w:div>
    <w:div w:id="305084568">
      <w:bodyDiv w:val="1"/>
      <w:marLeft w:val="0"/>
      <w:marRight w:val="0"/>
      <w:marTop w:val="0"/>
      <w:marBottom w:val="0"/>
      <w:divBdr>
        <w:top w:val="none" w:sz="0" w:space="0" w:color="auto"/>
        <w:left w:val="none" w:sz="0" w:space="0" w:color="auto"/>
        <w:bottom w:val="none" w:sz="0" w:space="0" w:color="auto"/>
        <w:right w:val="none" w:sz="0" w:space="0" w:color="auto"/>
      </w:divBdr>
    </w:div>
    <w:div w:id="305164271">
      <w:bodyDiv w:val="1"/>
      <w:marLeft w:val="0"/>
      <w:marRight w:val="0"/>
      <w:marTop w:val="0"/>
      <w:marBottom w:val="0"/>
      <w:divBdr>
        <w:top w:val="none" w:sz="0" w:space="0" w:color="auto"/>
        <w:left w:val="none" w:sz="0" w:space="0" w:color="auto"/>
        <w:bottom w:val="none" w:sz="0" w:space="0" w:color="auto"/>
        <w:right w:val="none" w:sz="0" w:space="0" w:color="auto"/>
      </w:divBdr>
    </w:div>
    <w:div w:id="305361354">
      <w:bodyDiv w:val="1"/>
      <w:marLeft w:val="0"/>
      <w:marRight w:val="0"/>
      <w:marTop w:val="0"/>
      <w:marBottom w:val="0"/>
      <w:divBdr>
        <w:top w:val="none" w:sz="0" w:space="0" w:color="auto"/>
        <w:left w:val="none" w:sz="0" w:space="0" w:color="auto"/>
        <w:bottom w:val="none" w:sz="0" w:space="0" w:color="auto"/>
        <w:right w:val="none" w:sz="0" w:space="0" w:color="auto"/>
      </w:divBdr>
    </w:div>
    <w:div w:id="305400079">
      <w:bodyDiv w:val="1"/>
      <w:marLeft w:val="0"/>
      <w:marRight w:val="0"/>
      <w:marTop w:val="0"/>
      <w:marBottom w:val="0"/>
      <w:divBdr>
        <w:top w:val="none" w:sz="0" w:space="0" w:color="auto"/>
        <w:left w:val="none" w:sz="0" w:space="0" w:color="auto"/>
        <w:bottom w:val="none" w:sz="0" w:space="0" w:color="auto"/>
        <w:right w:val="none" w:sz="0" w:space="0" w:color="auto"/>
      </w:divBdr>
    </w:div>
    <w:div w:id="306008323">
      <w:bodyDiv w:val="1"/>
      <w:marLeft w:val="0"/>
      <w:marRight w:val="0"/>
      <w:marTop w:val="0"/>
      <w:marBottom w:val="0"/>
      <w:divBdr>
        <w:top w:val="none" w:sz="0" w:space="0" w:color="auto"/>
        <w:left w:val="none" w:sz="0" w:space="0" w:color="auto"/>
        <w:bottom w:val="none" w:sz="0" w:space="0" w:color="auto"/>
        <w:right w:val="none" w:sz="0" w:space="0" w:color="auto"/>
      </w:divBdr>
    </w:div>
    <w:div w:id="306323457">
      <w:bodyDiv w:val="1"/>
      <w:marLeft w:val="0"/>
      <w:marRight w:val="0"/>
      <w:marTop w:val="0"/>
      <w:marBottom w:val="0"/>
      <w:divBdr>
        <w:top w:val="none" w:sz="0" w:space="0" w:color="auto"/>
        <w:left w:val="none" w:sz="0" w:space="0" w:color="auto"/>
        <w:bottom w:val="none" w:sz="0" w:space="0" w:color="auto"/>
        <w:right w:val="none" w:sz="0" w:space="0" w:color="auto"/>
      </w:divBdr>
    </w:div>
    <w:div w:id="306394387">
      <w:bodyDiv w:val="1"/>
      <w:marLeft w:val="0"/>
      <w:marRight w:val="0"/>
      <w:marTop w:val="0"/>
      <w:marBottom w:val="0"/>
      <w:divBdr>
        <w:top w:val="none" w:sz="0" w:space="0" w:color="auto"/>
        <w:left w:val="none" w:sz="0" w:space="0" w:color="auto"/>
        <w:bottom w:val="none" w:sz="0" w:space="0" w:color="auto"/>
        <w:right w:val="none" w:sz="0" w:space="0" w:color="auto"/>
      </w:divBdr>
    </w:div>
    <w:div w:id="306709582">
      <w:bodyDiv w:val="1"/>
      <w:marLeft w:val="0"/>
      <w:marRight w:val="0"/>
      <w:marTop w:val="0"/>
      <w:marBottom w:val="0"/>
      <w:divBdr>
        <w:top w:val="none" w:sz="0" w:space="0" w:color="auto"/>
        <w:left w:val="none" w:sz="0" w:space="0" w:color="auto"/>
        <w:bottom w:val="none" w:sz="0" w:space="0" w:color="auto"/>
        <w:right w:val="none" w:sz="0" w:space="0" w:color="auto"/>
      </w:divBdr>
    </w:div>
    <w:div w:id="306711818">
      <w:bodyDiv w:val="1"/>
      <w:marLeft w:val="0"/>
      <w:marRight w:val="0"/>
      <w:marTop w:val="0"/>
      <w:marBottom w:val="0"/>
      <w:divBdr>
        <w:top w:val="none" w:sz="0" w:space="0" w:color="auto"/>
        <w:left w:val="none" w:sz="0" w:space="0" w:color="auto"/>
        <w:bottom w:val="none" w:sz="0" w:space="0" w:color="auto"/>
        <w:right w:val="none" w:sz="0" w:space="0" w:color="auto"/>
      </w:divBdr>
    </w:div>
    <w:div w:id="306905601">
      <w:bodyDiv w:val="1"/>
      <w:marLeft w:val="0"/>
      <w:marRight w:val="0"/>
      <w:marTop w:val="0"/>
      <w:marBottom w:val="0"/>
      <w:divBdr>
        <w:top w:val="none" w:sz="0" w:space="0" w:color="auto"/>
        <w:left w:val="none" w:sz="0" w:space="0" w:color="auto"/>
        <w:bottom w:val="none" w:sz="0" w:space="0" w:color="auto"/>
        <w:right w:val="none" w:sz="0" w:space="0" w:color="auto"/>
      </w:divBdr>
    </w:div>
    <w:div w:id="307132691">
      <w:bodyDiv w:val="1"/>
      <w:marLeft w:val="0"/>
      <w:marRight w:val="0"/>
      <w:marTop w:val="0"/>
      <w:marBottom w:val="0"/>
      <w:divBdr>
        <w:top w:val="none" w:sz="0" w:space="0" w:color="auto"/>
        <w:left w:val="none" w:sz="0" w:space="0" w:color="auto"/>
        <w:bottom w:val="none" w:sz="0" w:space="0" w:color="auto"/>
        <w:right w:val="none" w:sz="0" w:space="0" w:color="auto"/>
      </w:divBdr>
    </w:div>
    <w:div w:id="307321685">
      <w:bodyDiv w:val="1"/>
      <w:marLeft w:val="0"/>
      <w:marRight w:val="0"/>
      <w:marTop w:val="0"/>
      <w:marBottom w:val="0"/>
      <w:divBdr>
        <w:top w:val="none" w:sz="0" w:space="0" w:color="auto"/>
        <w:left w:val="none" w:sz="0" w:space="0" w:color="auto"/>
        <w:bottom w:val="none" w:sz="0" w:space="0" w:color="auto"/>
        <w:right w:val="none" w:sz="0" w:space="0" w:color="auto"/>
      </w:divBdr>
    </w:div>
    <w:div w:id="307826493">
      <w:bodyDiv w:val="1"/>
      <w:marLeft w:val="0"/>
      <w:marRight w:val="0"/>
      <w:marTop w:val="0"/>
      <w:marBottom w:val="0"/>
      <w:divBdr>
        <w:top w:val="none" w:sz="0" w:space="0" w:color="auto"/>
        <w:left w:val="none" w:sz="0" w:space="0" w:color="auto"/>
        <w:bottom w:val="none" w:sz="0" w:space="0" w:color="auto"/>
        <w:right w:val="none" w:sz="0" w:space="0" w:color="auto"/>
      </w:divBdr>
    </w:div>
    <w:div w:id="307831174">
      <w:bodyDiv w:val="1"/>
      <w:marLeft w:val="0"/>
      <w:marRight w:val="0"/>
      <w:marTop w:val="0"/>
      <w:marBottom w:val="0"/>
      <w:divBdr>
        <w:top w:val="none" w:sz="0" w:space="0" w:color="auto"/>
        <w:left w:val="none" w:sz="0" w:space="0" w:color="auto"/>
        <w:bottom w:val="none" w:sz="0" w:space="0" w:color="auto"/>
        <w:right w:val="none" w:sz="0" w:space="0" w:color="auto"/>
      </w:divBdr>
    </w:div>
    <w:div w:id="308091701">
      <w:bodyDiv w:val="1"/>
      <w:marLeft w:val="0"/>
      <w:marRight w:val="0"/>
      <w:marTop w:val="0"/>
      <w:marBottom w:val="0"/>
      <w:divBdr>
        <w:top w:val="none" w:sz="0" w:space="0" w:color="auto"/>
        <w:left w:val="none" w:sz="0" w:space="0" w:color="auto"/>
        <w:bottom w:val="none" w:sz="0" w:space="0" w:color="auto"/>
        <w:right w:val="none" w:sz="0" w:space="0" w:color="auto"/>
      </w:divBdr>
    </w:div>
    <w:div w:id="308097414">
      <w:bodyDiv w:val="1"/>
      <w:marLeft w:val="0"/>
      <w:marRight w:val="0"/>
      <w:marTop w:val="0"/>
      <w:marBottom w:val="0"/>
      <w:divBdr>
        <w:top w:val="none" w:sz="0" w:space="0" w:color="auto"/>
        <w:left w:val="none" w:sz="0" w:space="0" w:color="auto"/>
        <w:bottom w:val="none" w:sz="0" w:space="0" w:color="auto"/>
        <w:right w:val="none" w:sz="0" w:space="0" w:color="auto"/>
      </w:divBdr>
    </w:div>
    <w:div w:id="308169182">
      <w:bodyDiv w:val="1"/>
      <w:marLeft w:val="0"/>
      <w:marRight w:val="0"/>
      <w:marTop w:val="0"/>
      <w:marBottom w:val="0"/>
      <w:divBdr>
        <w:top w:val="none" w:sz="0" w:space="0" w:color="auto"/>
        <w:left w:val="none" w:sz="0" w:space="0" w:color="auto"/>
        <w:bottom w:val="none" w:sz="0" w:space="0" w:color="auto"/>
        <w:right w:val="none" w:sz="0" w:space="0" w:color="auto"/>
      </w:divBdr>
    </w:div>
    <w:div w:id="308175032">
      <w:bodyDiv w:val="1"/>
      <w:marLeft w:val="0"/>
      <w:marRight w:val="0"/>
      <w:marTop w:val="0"/>
      <w:marBottom w:val="0"/>
      <w:divBdr>
        <w:top w:val="none" w:sz="0" w:space="0" w:color="auto"/>
        <w:left w:val="none" w:sz="0" w:space="0" w:color="auto"/>
        <w:bottom w:val="none" w:sz="0" w:space="0" w:color="auto"/>
        <w:right w:val="none" w:sz="0" w:space="0" w:color="auto"/>
      </w:divBdr>
    </w:div>
    <w:div w:id="308438663">
      <w:bodyDiv w:val="1"/>
      <w:marLeft w:val="0"/>
      <w:marRight w:val="0"/>
      <w:marTop w:val="0"/>
      <w:marBottom w:val="0"/>
      <w:divBdr>
        <w:top w:val="none" w:sz="0" w:space="0" w:color="auto"/>
        <w:left w:val="none" w:sz="0" w:space="0" w:color="auto"/>
        <w:bottom w:val="none" w:sz="0" w:space="0" w:color="auto"/>
        <w:right w:val="none" w:sz="0" w:space="0" w:color="auto"/>
      </w:divBdr>
    </w:div>
    <w:div w:id="308444290">
      <w:bodyDiv w:val="1"/>
      <w:marLeft w:val="0"/>
      <w:marRight w:val="0"/>
      <w:marTop w:val="0"/>
      <w:marBottom w:val="0"/>
      <w:divBdr>
        <w:top w:val="none" w:sz="0" w:space="0" w:color="auto"/>
        <w:left w:val="none" w:sz="0" w:space="0" w:color="auto"/>
        <w:bottom w:val="none" w:sz="0" w:space="0" w:color="auto"/>
        <w:right w:val="none" w:sz="0" w:space="0" w:color="auto"/>
      </w:divBdr>
    </w:div>
    <w:div w:id="308637237">
      <w:bodyDiv w:val="1"/>
      <w:marLeft w:val="0"/>
      <w:marRight w:val="0"/>
      <w:marTop w:val="0"/>
      <w:marBottom w:val="0"/>
      <w:divBdr>
        <w:top w:val="none" w:sz="0" w:space="0" w:color="auto"/>
        <w:left w:val="none" w:sz="0" w:space="0" w:color="auto"/>
        <w:bottom w:val="none" w:sz="0" w:space="0" w:color="auto"/>
        <w:right w:val="none" w:sz="0" w:space="0" w:color="auto"/>
      </w:divBdr>
    </w:div>
    <w:div w:id="308752168">
      <w:bodyDiv w:val="1"/>
      <w:marLeft w:val="0"/>
      <w:marRight w:val="0"/>
      <w:marTop w:val="0"/>
      <w:marBottom w:val="0"/>
      <w:divBdr>
        <w:top w:val="none" w:sz="0" w:space="0" w:color="auto"/>
        <w:left w:val="none" w:sz="0" w:space="0" w:color="auto"/>
        <w:bottom w:val="none" w:sz="0" w:space="0" w:color="auto"/>
        <w:right w:val="none" w:sz="0" w:space="0" w:color="auto"/>
      </w:divBdr>
    </w:div>
    <w:div w:id="309091837">
      <w:bodyDiv w:val="1"/>
      <w:marLeft w:val="0"/>
      <w:marRight w:val="0"/>
      <w:marTop w:val="0"/>
      <w:marBottom w:val="0"/>
      <w:divBdr>
        <w:top w:val="none" w:sz="0" w:space="0" w:color="auto"/>
        <w:left w:val="none" w:sz="0" w:space="0" w:color="auto"/>
        <w:bottom w:val="none" w:sz="0" w:space="0" w:color="auto"/>
        <w:right w:val="none" w:sz="0" w:space="0" w:color="auto"/>
      </w:divBdr>
    </w:div>
    <w:div w:id="309092093">
      <w:bodyDiv w:val="1"/>
      <w:marLeft w:val="0"/>
      <w:marRight w:val="0"/>
      <w:marTop w:val="0"/>
      <w:marBottom w:val="0"/>
      <w:divBdr>
        <w:top w:val="none" w:sz="0" w:space="0" w:color="auto"/>
        <w:left w:val="none" w:sz="0" w:space="0" w:color="auto"/>
        <w:bottom w:val="none" w:sz="0" w:space="0" w:color="auto"/>
        <w:right w:val="none" w:sz="0" w:space="0" w:color="auto"/>
      </w:divBdr>
    </w:div>
    <w:div w:id="309359467">
      <w:bodyDiv w:val="1"/>
      <w:marLeft w:val="0"/>
      <w:marRight w:val="0"/>
      <w:marTop w:val="0"/>
      <w:marBottom w:val="0"/>
      <w:divBdr>
        <w:top w:val="none" w:sz="0" w:space="0" w:color="auto"/>
        <w:left w:val="none" w:sz="0" w:space="0" w:color="auto"/>
        <w:bottom w:val="none" w:sz="0" w:space="0" w:color="auto"/>
        <w:right w:val="none" w:sz="0" w:space="0" w:color="auto"/>
      </w:divBdr>
    </w:div>
    <w:div w:id="309402296">
      <w:bodyDiv w:val="1"/>
      <w:marLeft w:val="0"/>
      <w:marRight w:val="0"/>
      <w:marTop w:val="0"/>
      <w:marBottom w:val="0"/>
      <w:divBdr>
        <w:top w:val="none" w:sz="0" w:space="0" w:color="auto"/>
        <w:left w:val="none" w:sz="0" w:space="0" w:color="auto"/>
        <w:bottom w:val="none" w:sz="0" w:space="0" w:color="auto"/>
        <w:right w:val="none" w:sz="0" w:space="0" w:color="auto"/>
      </w:divBdr>
    </w:div>
    <w:div w:id="309485390">
      <w:bodyDiv w:val="1"/>
      <w:marLeft w:val="0"/>
      <w:marRight w:val="0"/>
      <w:marTop w:val="0"/>
      <w:marBottom w:val="0"/>
      <w:divBdr>
        <w:top w:val="none" w:sz="0" w:space="0" w:color="auto"/>
        <w:left w:val="none" w:sz="0" w:space="0" w:color="auto"/>
        <w:bottom w:val="none" w:sz="0" w:space="0" w:color="auto"/>
        <w:right w:val="none" w:sz="0" w:space="0" w:color="auto"/>
      </w:divBdr>
    </w:div>
    <w:div w:id="309603151">
      <w:bodyDiv w:val="1"/>
      <w:marLeft w:val="0"/>
      <w:marRight w:val="0"/>
      <w:marTop w:val="0"/>
      <w:marBottom w:val="0"/>
      <w:divBdr>
        <w:top w:val="none" w:sz="0" w:space="0" w:color="auto"/>
        <w:left w:val="none" w:sz="0" w:space="0" w:color="auto"/>
        <w:bottom w:val="none" w:sz="0" w:space="0" w:color="auto"/>
        <w:right w:val="none" w:sz="0" w:space="0" w:color="auto"/>
      </w:divBdr>
    </w:div>
    <w:div w:id="309868114">
      <w:bodyDiv w:val="1"/>
      <w:marLeft w:val="0"/>
      <w:marRight w:val="0"/>
      <w:marTop w:val="0"/>
      <w:marBottom w:val="0"/>
      <w:divBdr>
        <w:top w:val="none" w:sz="0" w:space="0" w:color="auto"/>
        <w:left w:val="none" w:sz="0" w:space="0" w:color="auto"/>
        <w:bottom w:val="none" w:sz="0" w:space="0" w:color="auto"/>
        <w:right w:val="none" w:sz="0" w:space="0" w:color="auto"/>
      </w:divBdr>
    </w:div>
    <w:div w:id="310137135">
      <w:bodyDiv w:val="1"/>
      <w:marLeft w:val="0"/>
      <w:marRight w:val="0"/>
      <w:marTop w:val="0"/>
      <w:marBottom w:val="0"/>
      <w:divBdr>
        <w:top w:val="none" w:sz="0" w:space="0" w:color="auto"/>
        <w:left w:val="none" w:sz="0" w:space="0" w:color="auto"/>
        <w:bottom w:val="none" w:sz="0" w:space="0" w:color="auto"/>
        <w:right w:val="none" w:sz="0" w:space="0" w:color="auto"/>
      </w:divBdr>
    </w:div>
    <w:div w:id="310141504">
      <w:bodyDiv w:val="1"/>
      <w:marLeft w:val="0"/>
      <w:marRight w:val="0"/>
      <w:marTop w:val="0"/>
      <w:marBottom w:val="0"/>
      <w:divBdr>
        <w:top w:val="none" w:sz="0" w:space="0" w:color="auto"/>
        <w:left w:val="none" w:sz="0" w:space="0" w:color="auto"/>
        <w:bottom w:val="none" w:sz="0" w:space="0" w:color="auto"/>
        <w:right w:val="none" w:sz="0" w:space="0" w:color="auto"/>
      </w:divBdr>
    </w:div>
    <w:div w:id="310256812">
      <w:bodyDiv w:val="1"/>
      <w:marLeft w:val="0"/>
      <w:marRight w:val="0"/>
      <w:marTop w:val="0"/>
      <w:marBottom w:val="0"/>
      <w:divBdr>
        <w:top w:val="none" w:sz="0" w:space="0" w:color="auto"/>
        <w:left w:val="none" w:sz="0" w:space="0" w:color="auto"/>
        <w:bottom w:val="none" w:sz="0" w:space="0" w:color="auto"/>
        <w:right w:val="none" w:sz="0" w:space="0" w:color="auto"/>
      </w:divBdr>
    </w:div>
    <w:div w:id="310328904">
      <w:bodyDiv w:val="1"/>
      <w:marLeft w:val="0"/>
      <w:marRight w:val="0"/>
      <w:marTop w:val="0"/>
      <w:marBottom w:val="0"/>
      <w:divBdr>
        <w:top w:val="none" w:sz="0" w:space="0" w:color="auto"/>
        <w:left w:val="none" w:sz="0" w:space="0" w:color="auto"/>
        <w:bottom w:val="none" w:sz="0" w:space="0" w:color="auto"/>
        <w:right w:val="none" w:sz="0" w:space="0" w:color="auto"/>
      </w:divBdr>
    </w:div>
    <w:div w:id="310444632">
      <w:bodyDiv w:val="1"/>
      <w:marLeft w:val="0"/>
      <w:marRight w:val="0"/>
      <w:marTop w:val="0"/>
      <w:marBottom w:val="0"/>
      <w:divBdr>
        <w:top w:val="none" w:sz="0" w:space="0" w:color="auto"/>
        <w:left w:val="none" w:sz="0" w:space="0" w:color="auto"/>
        <w:bottom w:val="none" w:sz="0" w:space="0" w:color="auto"/>
        <w:right w:val="none" w:sz="0" w:space="0" w:color="auto"/>
      </w:divBdr>
    </w:div>
    <w:div w:id="310640924">
      <w:bodyDiv w:val="1"/>
      <w:marLeft w:val="0"/>
      <w:marRight w:val="0"/>
      <w:marTop w:val="0"/>
      <w:marBottom w:val="0"/>
      <w:divBdr>
        <w:top w:val="none" w:sz="0" w:space="0" w:color="auto"/>
        <w:left w:val="none" w:sz="0" w:space="0" w:color="auto"/>
        <w:bottom w:val="none" w:sz="0" w:space="0" w:color="auto"/>
        <w:right w:val="none" w:sz="0" w:space="0" w:color="auto"/>
      </w:divBdr>
    </w:div>
    <w:div w:id="310715811">
      <w:bodyDiv w:val="1"/>
      <w:marLeft w:val="0"/>
      <w:marRight w:val="0"/>
      <w:marTop w:val="0"/>
      <w:marBottom w:val="0"/>
      <w:divBdr>
        <w:top w:val="none" w:sz="0" w:space="0" w:color="auto"/>
        <w:left w:val="none" w:sz="0" w:space="0" w:color="auto"/>
        <w:bottom w:val="none" w:sz="0" w:space="0" w:color="auto"/>
        <w:right w:val="none" w:sz="0" w:space="0" w:color="auto"/>
      </w:divBdr>
    </w:div>
    <w:div w:id="310792882">
      <w:bodyDiv w:val="1"/>
      <w:marLeft w:val="0"/>
      <w:marRight w:val="0"/>
      <w:marTop w:val="0"/>
      <w:marBottom w:val="0"/>
      <w:divBdr>
        <w:top w:val="none" w:sz="0" w:space="0" w:color="auto"/>
        <w:left w:val="none" w:sz="0" w:space="0" w:color="auto"/>
        <w:bottom w:val="none" w:sz="0" w:space="0" w:color="auto"/>
        <w:right w:val="none" w:sz="0" w:space="0" w:color="auto"/>
      </w:divBdr>
    </w:div>
    <w:div w:id="310867500">
      <w:bodyDiv w:val="1"/>
      <w:marLeft w:val="0"/>
      <w:marRight w:val="0"/>
      <w:marTop w:val="0"/>
      <w:marBottom w:val="0"/>
      <w:divBdr>
        <w:top w:val="none" w:sz="0" w:space="0" w:color="auto"/>
        <w:left w:val="none" w:sz="0" w:space="0" w:color="auto"/>
        <w:bottom w:val="none" w:sz="0" w:space="0" w:color="auto"/>
        <w:right w:val="none" w:sz="0" w:space="0" w:color="auto"/>
      </w:divBdr>
    </w:div>
    <w:div w:id="310914226">
      <w:bodyDiv w:val="1"/>
      <w:marLeft w:val="0"/>
      <w:marRight w:val="0"/>
      <w:marTop w:val="0"/>
      <w:marBottom w:val="0"/>
      <w:divBdr>
        <w:top w:val="none" w:sz="0" w:space="0" w:color="auto"/>
        <w:left w:val="none" w:sz="0" w:space="0" w:color="auto"/>
        <w:bottom w:val="none" w:sz="0" w:space="0" w:color="auto"/>
        <w:right w:val="none" w:sz="0" w:space="0" w:color="auto"/>
      </w:divBdr>
    </w:div>
    <w:div w:id="311100261">
      <w:bodyDiv w:val="1"/>
      <w:marLeft w:val="0"/>
      <w:marRight w:val="0"/>
      <w:marTop w:val="0"/>
      <w:marBottom w:val="0"/>
      <w:divBdr>
        <w:top w:val="none" w:sz="0" w:space="0" w:color="auto"/>
        <w:left w:val="none" w:sz="0" w:space="0" w:color="auto"/>
        <w:bottom w:val="none" w:sz="0" w:space="0" w:color="auto"/>
        <w:right w:val="none" w:sz="0" w:space="0" w:color="auto"/>
      </w:divBdr>
    </w:div>
    <w:div w:id="311174653">
      <w:bodyDiv w:val="1"/>
      <w:marLeft w:val="0"/>
      <w:marRight w:val="0"/>
      <w:marTop w:val="0"/>
      <w:marBottom w:val="0"/>
      <w:divBdr>
        <w:top w:val="none" w:sz="0" w:space="0" w:color="auto"/>
        <w:left w:val="none" w:sz="0" w:space="0" w:color="auto"/>
        <w:bottom w:val="none" w:sz="0" w:space="0" w:color="auto"/>
        <w:right w:val="none" w:sz="0" w:space="0" w:color="auto"/>
      </w:divBdr>
    </w:div>
    <w:div w:id="311252897">
      <w:bodyDiv w:val="1"/>
      <w:marLeft w:val="0"/>
      <w:marRight w:val="0"/>
      <w:marTop w:val="0"/>
      <w:marBottom w:val="0"/>
      <w:divBdr>
        <w:top w:val="none" w:sz="0" w:space="0" w:color="auto"/>
        <w:left w:val="none" w:sz="0" w:space="0" w:color="auto"/>
        <w:bottom w:val="none" w:sz="0" w:space="0" w:color="auto"/>
        <w:right w:val="none" w:sz="0" w:space="0" w:color="auto"/>
      </w:divBdr>
    </w:div>
    <w:div w:id="311445898">
      <w:bodyDiv w:val="1"/>
      <w:marLeft w:val="0"/>
      <w:marRight w:val="0"/>
      <w:marTop w:val="0"/>
      <w:marBottom w:val="0"/>
      <w:divBdr>
        <w:top w:val="none" w:sz="0" w:space="0" w:color="auto"/>
        <w:left w:val="none" w:sz="0" w:space="0" w:color="auto"/>
        <w:bottom w:val="none" w:sz="0" w:space="0" w:color="auto"/>
        <w:right w:val="none" w:sz="0" w:space="0" w:color="auto"/>
      </w:divBdr>
    </w:div>
    <w:div w:id="311519150">
      <w:bodyDiv w:val="1"/>
      <w:marLeft w:val="0"/>
      <w:marRight w:val="0"/>
      <w:marTop w:val="0"/>
      <w:marBottom w:val="0"/>
      <w:divBdr>
        <w:top w:val="none" w:sz="0" w:space="0" w:color="auto"/>
        <w:left w:val="none" w:sz="0" w:space="0" w:color="auto"/>
        <w:bottom w:val="none" w:sz="0" w:space="0" w:color="auto"/>
        <w:right w:val="none" w:sz="0" w:space="0" w:color="auto"/>
      </w:divBdr>
    </w:div>
    <w:div w:id="311569681">
      <w:bodyDiv w:val="1"/>
      <w:marLeft w:val="0"/>
      <w:marRight w:val="0"/>
      <w:marTop w:val="0"/>
      <w:marBottom w:val="0"/>
      <w:divBdr>
        <w:top w:val="none" w:sz="0" w:space="0" w:color="auto"/>
        <w:left w:val="none" w:sz="0" w:space="0" w:color="auto"/>
        <w:bottom w:val="none" w:sz="0" w:space="0" w:color="auto"/>
        <w:right w:val="none" w:sz="0" w:space="0" w:color="auto"/>
      </w:divBdr>
    </w:div>
    <w:div w:id="311645970">
      <w:bodyDiv w:val="1"/>
      <w:marLeft w:val="0"/>
      <w:marRight w:val="0"/>
      <w:marTop w:val="0"/>
      <w:marBottom w:val="0"/>
      <w:divBdr>
        <w:top w:val="none" w:sz="0" w:space="0" w:color="auto"/>
        <w:left w:val="none" w:sz="0" w:space="0" w:color="auto"/>
        <w:bottom w:val="none" w:sz="0" w:space="0" w:color="auto"/>
        <w:right w:val="none" w:sz="0" w:space="0" w:color="auto"/>
      </w:divBdr>
    </w:div>
    <w:div w:id="311763612">
      <w:bodyDiv w:val="1"/>
      <w:marLeft w:val="0"/>
      <w:marRight w:val="0"/>
      <w:marTop w:val="0"/>
      <w:marBottom w:val="0"/>
      <w:divBdr>
        <w:top w:val="none" w:sz="0" w:space="0" w:color="auto"/>
        <w:left w:val="none" w:sz="0" w:space="0" w:color="auto"/>
        <w:bottom w:val="none" w:sz="0" w:space="0" w:color="auto"/>
        <w:right w:val="none" w:sz="0" w:space="0" w:color="auto"/>
      </w:divBdr>
    </w:div>
    <w:div w:id="311838833">
      <w:bodyDiv w:val="1"/>
      <w:marLeft w:val="0"/>
      <w:marRight w:val="0"/>
      <w:marTop w:val="0"/>
      <w:marBottom w:val="0"/>
      <w:divBdr>
        <w:top w:val="none" w:sz="0" w:space="0" w:color="auto"/>
        <w:left w:val="none" w:sz="0" w:space="0" w:color="auto"/>
        <w:bottom w:val="none" w:sz="0" w:space="0" w:color="auto"/>
        <w:right w:val="none" w:sz="0" w:space="0" w:color="auto"/>
      </w:divBdr>
    </w:div>
    <w:div w:id="312150695">
      <w:bodyDiv w:val="1"/>
      <w:marLeft w:val="0"/>
      <w:marRight w:val="0"/>
      <w:marTop w:val="0"/>
      <w:marBottom w:val="0"/>
      <w:divBdr>
        <w:top w:val="none" w:sz="0" w:space="0" w:color="auto"/>
        <w:left w:val="none" w:sz="0" w:space="0" w:color="auto"/>
        <w:bottom w:val="none" w:sz="0" w:space="0" w:color="auto"/>
        <w:right w:val="none" w:sz="0" w:space="0" w:color="auto"/>
      </w:divBdr>
    </w:div>
    <w:div w:id="312225793">
      <w:bodyDiv w:val="1"/>
      <w:marLeft w:val="0"/>
      <w:marRight w:val="0"/>
      <w:marTop w:val="0"/>
      <w:marBottom w:val="0"/>
      <w:divBdr>
        <w:top w:val="none" w:sz="0" w:space="0" w:color="auto"/>
        <w:left w:val="none" w:sz="0" w:space="0" w:color="auto"/>
        <w:bottom w:val="none" w:sz="0" w:space="0" w:color="auto"/>
        <w:right w:val="none" w:sz="0" w:space="0" w:color="auto"/>
      </w:divBdr>
    </w:div>
    <w:div w:id="312414044">
      <w:bodyDiv w:val="1"/>
      <w:marLeft w:val="0"/>
      <w:marRight w:val="0"/>
      <w:marTop w:val="0"/>
      <w:marBottom w:val="0"/>
      <w:divBdr>
        <w:top w:val="none" w:sz="0" w:space="0" w:color="auto"/>
        <w:left w:val="none" w:sz="0" w:space="0" w:color="auto"/>
        <w:bottom w:val="none" w:sz="0" w:space="0" w:color="auto"/>
        <w:right w:val="none" w:sz="0" w:space="0" w:color="auto"/>
      </w:divBdr>
    </w:div>
    <w:div w:id="312610807">
      <w:bodyDiv w:val="1"/>
      <w:marLeft w:val="0"/>
      <w:marRight w:val="0"/>
      <w:marTop w:val="0"/>
      <w:marBottom w:val="0"/>
      <w:divBdr>
        <w:top w:val="none" w:sz="0" w:space="0" w:color="auto"/>
        <w:left w:val="none" w:sz="0" w:space="0" w:color="auto"/>
        <w:bottom w:val="none" w:sz="0" w:space="0" w:color="auto"/>
        <w:right w:val="none" w:sz="0" w:space="0" w:color="auto"/>
      </w:divBdr>
    </w:div>
    <w:div w:id="312638556">
      <w:bodyDiv w:val="1"/>
      <w:marLeft w:val="0"/>
      <w:marRight w:val="0"/>
      <w:marTop w:val="0"/>
      <w:marBottom w:val="0"/>
      <w:divBdr>
        <w:top w:val="none" w:sz="0" w:space="0" w:color="auto"/>
        <w:left w:val="none" w:sz="0" w:space="0" w:color="auto"/>
        <w:bottom w:val="none" w:sz="0" w:space="0" w:color="auto"/>
        <w:right w:val="none" w:sz="0" w:space="0" w:color="auto"/>
      </w:divBdr>
    </w:div>
    <w:div w:id="312878263">
      <w:bodyDiv w:val="1"/>
      <w:marLeft w:val="0"/>
      <w:marRight w:val="0"/>
      <w:marTop w:val="0"/>
      <w:marBottom w:val="0"/>
      <w:divBdr>
        <w:top w:val="none" w:sz="0" w:space="0" w:color="auto"/>
        <w:left w:val="none" w:sz="0" w:space="0" w:color="auto"/>
        <w:bottom w:val="none" w:sz="0" w:space="0" w:color="auto"/>
        <w:right w:val="none" w:sz="0" w:space="0" w:color="auto"/>
      </w:divBdr>
    </w:div>
    <w:div w:id="313217564">
      <w:bodyDiv w:val="1"/>
      <w:marLeft w:val="0"/>
      <w:marRight w:val="0"/>
      <w:marTop w:val="0"/>
      <w:marBottom w:val="0"/>
      <w:divBdr>
        <w:top w:val="none" w:sz="0" w:space="0" w:color="auto"/>
        <w:left w:val="none" w:sz="0" w:space="0" w:color="auto"/>
        <w:bottom w:val="none" w:sz="0" w:space="0" w:color="auto"/>
        <w:right w:val="none" w:sz="0" w:space="0" w:color="auto"/>
      </w:divBdr>
    </w:div>
    <w:div w:id="313222292">
      <w:bodyDiv w:val="1"/>
      <w:marLeft w:val="0"/>
      <w:marRight w:val="0"/>
      <w:marTop w:val="0"/>
      <w:marBottom w:val="0"/>
      <w:divBdr>
        <w:top w:val="none" w:sz="0" w:space="0" w:color="auto"/>
        <w:left w:val="none" w:sz="0" w:space="0" w:color="auto"/>
        <w:bottom w:val="none" w:sz="0" w:space="0" w:color="auto"/>
        <w:right w:val="none" w:sz="0" w:space="0" w:color="auto"/>
      </w:divBdr>
    </w:div>
    <w:div w:id="313339340">
      <w:bodyDiv w:val="1"/>
      <w:marLeft w:val="0"/>
      <w:marRight w:val="0"/>
      <w:marTop w:val="0"/>
      <w:marBottom w:val="0"/>
      <w:divBdr>
        <w:top w:val="none" w:sz="0" w:space="0" w:color="auto"/>
        <w:left w:val="none" w:sz="0" w:space="0" w:color="auto"/>
        <w:bottom w:val="none" w:sz="0" w:space="0" w:color="auto"/>
        <w:right w:val="none" w:sz="0" w:space="0" w:color="auto"/>
      </w:divBdr>
    </w:div>
    <w:div w:id="313341006">
      <w:bodyDiv w:val="1"/>
      <w:marLeft w:val="0"/>
      <w:marRight w:val="0"/>
      <w:marTop w:val="0"/>
      <w:marBottom w:val="0"/>
      <w:divBdr>
        <w:top w:val="none" w:sz="0" w:space="0" w:color="auto"/>
        <w:left w:val="none" w:sz="0" w:space="0" w:color="auto"/>
        <w:bottom w:val="none" w:sz="0" w:space="0" w:color="auto"/>
        <w:right w:val="none" w:sz="0" w:space="0" w:color="auto"/>
      </w:divBdr>
    </w:div>
    <w:div w:id="313484988">
      <w:bodyDiv w:val="1"/>
      <w:marLeft w:val="0"/>
      <w:marRight w:val="0"/>
      <w:marTop w:val="0"/>
      <w:marBottom w:val="0"/>
      <w:divBdr>
        <w:top w:val="none" w:sz="0" w:space="0" w:color="auto"/>
        <w:left w:val="none" w:sz="0" w:space="0" w:color="auto"/>
        <w:bottom w:val="none" w:sz="0" w:space="0" w:color="auto"/>
        <w:right w:val="none" w:sz="0" w:space="0" w:color="auto"/>
      </w:divBdr>
    </w:div>
    <w:div w:id="313603413">
      <w:bodyDiv w:val="1"/>
      <w:marLeft w:val="0"/>
      <w:marRight w:val="0"/>
      <w:marTop w:val="0"/>
      <w:marBottom w:val="0"/>
      <w:divBdr>
        <w:top w:val="none" w:sz="0" w:space="0" w:color="auto"/>
        <w:left w:val="none" w:sz="0" w:space="0" w:color="auto"/>
        <w:bottom w:val="none" w:sz="0" w:space="0" w:color="auto"/>
        <w:right w:val="none" w:sz="0" w:space="0" w:color="auto"/>
      </w:divBdr>
    </w:div>
    <w:div w:id="313685478">
      <w:bodyDiv w:val="1"/>
      <w:marLeft w:val="0"/>
      <w:marRight w:val="0"/>
      <w:marTop w:val="0"/>
      <w:marBottom w:val="0"/>
      <w:divBdr>
        <w:top w:val="none" w:sz="0" w:space="0" w:color="auto"/>
        <w:left w:val="none" w:sz="0" w:space="0" w:color="auto"/>
        <w:bottom w:val="none" w:sz="0" w:space="0" w:color="auto"/>
        <w:right w:val="none" w:sz="0" w:space="0" w:color="auto"/>
      </w:divBdr>
    </w:div>
    <w:div w:id="313753599">
      <w:bodyDiv w:val="1"/>
      <w:marLeft w:val="0"/>
      <w:marRight w:val="0"/>
      <w:marTop w:val="0"/>
      <w:marBottom w:val="0"/>
      <w:divBdr>
        <w:top w:val="none" w:sz="0" w:space="0" w:color="auto"/>
        <w:left w:val="none" w:sz="0" w:space="0" w:color="auto"/>
        <w:bottom w:val="none" w:sz="0" w:space="0" w:color="auto"/>
        <w:right w:val="none" w:sz="0" w:space="0" w:color="auto"/>
      </w:divBdr>
    </w:div>
    <w:div w:id="313795968">
      <w:bodyDiv w:val="1"/>
      <w:marLeft w:val="0"/>
      <w:marRight w:val="0"/>
      <w:marTop w:val="0"/>
      <w:marBottom w:val="0"/>
      <w:divBdr>
        <w:top w:val="none" w:sz="0" w:space="0" w:color="auto"/>
        <w:left w:val="none" w:sz="0" w:space="0" w:color="auto"/>
        <w:bottom w:val="none" w:sz="0" w:space="0" w:color="auto"/>
        <w:right w:val="none" w:sz="0" w:space="0" w:color="auto"/>
      </w:divBdr>
    </w:div>
    <w:div w:id="313797349">
      <w:bodyDiv w:val="1"/>
      <w:marLeft w:val="0"/>
      <w:marRight w:val="0"/>
      <w:marTop w:val="0"/>
      <w:marBottom w:val="0"/>
      <w:divBdr>
        <w:top w:val="none" w:sz="0" w:space="0" w:color="auto"/>
        <w:left w:val="none" w:sz="0" w:space="0" w:color="auto"/>
        <w:bottom w:val="none" w:sz="0" w:space="0" w:color="auto"/>
        <w:right w:val="none" w:sz="0" w:space="0" w:color="auto"/>
      </w:divBdr>
    </w:div>
    <w:div w:id="313993645">
      <w:bodyDiv w:val="1"/>
      <w:marLeft w:val="0"/>
      <w:marRight w:val="0"/>
      <w:marTop w:val="0"/>
      <w:marBottom w:val="0"/>
      <w:divBdr>
        <w:top w:val="none" w:sz="0" w:space="0" w:color="auto"/>
        <w:left w:val="none" w:sz="0" w:space="0" w:color="auto"/>
        <w:bottom w:val="none" w:sz="0" w:space="0" w:color="auto"/>
        <w:right w:val="none" w:sz="0" w:space="0" w:color="auto"/>
      </w:divBdr>
    </w:div>
    <w:div w:id="314067194">
      <w:bodyDiv w:val="1"/>
      <w:marLeft w:val="0"/>
      <w:marRight w:val="0"/>
      <w:marTop w:val="0"/>
      <w:marBottom w:val="0"/>
      <w:divBdr>
        <w:top w:val="none" w:sz="0" w:space="0" w:color="auto"/>
        <w:left w:val="none" w:sz="0" w:space="0" w:color="auto"/>
        <w:bottom w:val="none" w:sz="0" w:space="0" w:color="auto"/>
        <w:right w:val="none" w:sz="0" w:space="0" w:color="auto"/>
      </w:divBdr>
    </w:div>
    <w:div w:id="314073570">
      <w:bodyDiv w:val="1"/>
      <w:marLeft w:val="0"/>
      <w:marRight w:val="0"/>
      <w:marTop w:val="0"/>
      <w:marBottom w:val="0"/>
      <w:divBdr>
        <w:top w:val="none" w:sz="0" w:space="0" w:color="auto"/>
        <w:left w:val="none" w:sz="0" w:space="0" w:color="auto"/>
        <w:bottom w:val="none" w:sz="0" w:space="0" w:color="auto"/>
        <w:right w:val="none" w:sz="0" w:space="0" w:color="auto"/>
      </w:divBdr>
    </w:div>
    <w:div w:id="314262502">
      <w:bodyDiv w:val="1"/>
      <w:marLeft w:val="0"/>
      <w:marRight w:val="0"/>
      <w:marTop w:val="0"/>
      <w:marBottom w:val="0"/>
      <w:divBdr>
        <w:top w:val="none" w:sz="0" w:space="0" w:color="auto"/>
        <w:left w:val="none" w:sz="0" w:space="0" w:color="auto"/>
        <w:bottom w:val="none" w:sz="0" w:space="0" w:color="auto"/>
        <w:right w:val="none" w:sz="0" w:space="0" w:color="auto"/>
      </w:divBdr>
    </w:div>
    <w:div w:id="314383367">
      <w:bodyDiv w:val="1"/>
      <w:marLeft w:val="0"/>
      <w:marRight w:val="0"/>
      <w:marTop w:val="0"/>
      <w:marBottom w:val="0"/>
      <w:divBdr>
        <w:top w:val="none" w:sz="0" w:space="0" w:color="auto"/>
        <w:left w:val="none" w:sz="0" w:space="0" w:color="auto"/>
        <w:bottom w:val="none" w:sz="0" w:space="0" w:color="auto"/>
        <w:right w:val="none" w:sz="0" w:space="0" w:color="auto"/>
      </w:divBdr>
    </w:div>
    <w:div w:id="314451743">
      <w:bodyDiv w:val="1"/>
      <w:marLeft w:val="0"/>
      <w:marRight w:val="0"/>
      <w:marTop w:val="0"/>
      <w:marBottom w:val="0"/>
      <w:divBdr>
        <w:top w:val="none" w:sz="0" w:space="0" w:color="auto"/>
        <w:left w:val="none" w:sz="0" w:space="0" w:color="auto"/>
        <w:bottom w:val="none" w:sz="0" w:space="0" w:color="auto"/>
        <w:right w:val="none" w:sz="0" w:space="0" w:color="auto"/>
      </w:divBdr>
    </w:div>
    <w:div w:id="314457253">
      <w:bodyDiv w:val="1"/>
      <w:marLeft w:val="0"/>
      <w:marRight w:val="0"/>
      <w:marTop w:val="0"/>
      <w:marBottom w:val="0"/>
      <w:divBdr>
        <w:top w:val="none" w:sz="0" w:space="0" w:color="auto"/>
        <w:left w:val="none" w:sz="0" w:space="0" w:color="auto"/>
        <w:bottom w:val="none" w:sz="0" w:space="0" w:color="auto"/>
        <w:right w:val="none" w:sz="0" w:space="0" w:color="auto"/>
      </w:divBdr>
    </w:div>
    <w:div w:id="314578391">
      <w:bodyDiv w:val="1"/>
      <w:marLeft w:val="0"/>
      <w:marRight w:val="0"/>
      <w:marTop w:val="0"/>
      <w:marBottom w:val="0"/>
      <w:divBdr>
        <w:top w:val="none" w:sz="0" w:space="0" w:color="auto"/>
        <w:left w:val="none" w:sz="0" w:space="0" w:color="auto"/>
        <w:bottom w:val="none" w:sz="0" w:space="0" w:color="auto"/>
        <w:right w:val="none" w:sz="0" w:space="0" w:color="auto"/>
      </w:divBdr>
    </w:div>
    <w:div w:id="314838018">
      <w:bodyDiv w:val="1"/>
      <w:marLeft w:val="0"/>
      <w:marRight w:val="0"/>
      <w:marTop w:val="0"/>
      <w:marBottom w:val="0"/>
      <w:divBdr>
        <w:top w:val="none" w:sz="0" w:space="0" w:color="auto"/>
        <w:left w:val="none" w:sz="0" w:space="0" w:color="auto"/>
        <w:bottom w:val="none" w:sz="0" w:space="0" w:color="auto"/>
        <w:right w:val="none" w:sz="0" w:space="0" w:color="auto"/>
      </w:divBdr>
    </w:div>
    <w:div w:id="314842937">
      <w:bodyDiv w:val="1"/>
      <w:marLeft w:val="0"/>
      <w:marRight w:val="0"/>
      <w:marTop w:val="0"/>
      <w:marBottom w:val="0"/>
      <w:divBdr>
        <w:top w:val="none" w:sz="0" w:space="0" w:color="auto"/>
        <w:left w:val="none" w:sz="0" w:space="0" w:color="auto"/>
        <w:bottom w:val="none" w:sz="0" w:space="0" w:color="auto"/>
        <w:right w:val="none" w:sz="0" w:space="0" w:color="auto"/>
      </w:divBdr>
    </w:div>
    <w:div w:id="315115191">
      <w:bodyDiv w:val="1"/>
      <w:marLeft w:val="0"/>
      <w:marRight w:val="0"/>
      <w:marTop w:val="0"/>
      <w:marBottom w:val="0"/>
      <w:divBdr>
        <w:top w:val="none" w:sz="0" w:space="0" w:color="auto"/>
        <w:left w:val="none" w:sz="0" w:space="0" w:color="auto"/>
        <w:bottom w:val="none" w:sz="0" w:space="0" w:color="auto"/>
        <w:right w:val="none" w:sz="0" w:space="0" w:color="auto"/>
      </w:divBdr>
    </w:div>
    <w:div w:id="315233114">
      <w:bodyDiv w:val="1"/>
      <w:marLeft w:val="0"/>
      <w:marRight w:val="0"/>
      <w:marTop w:val="0"/>
      <w:marBottom w:val="0"/>
      <w:divBdr>
        <w:top w:val="none" w:sz="0" w:space="0" w:color="auto"/>
        <w:left w:val="none" w:sz="0" w:space="0" w:color="auto"/>
        <w:bottom w:val="none" w:sz="0" w:space="0" w:color="auto"/>
        <w:right w:val="none" w:sz="0" w:space="0" w:color="auto"/>
      </w:divBdr>
    </w:div>
    <w:div w:id="315259589">
      <w:bodyDiv w:val="1"/>
      <w:marLeft w:val="0"/>
      <w:marRight w:val="0"/>
      <w:marTop w:val="0"/>
      <w:marBottom w:val="0"/>
      <w:divBdr>
        <w:top w:val="none" w:sz="0" w:space="0" w:color="auto"/>
        <w:left w:val="none" w:sz="0" w:space="0" w:color="auto"/>
        <w:bottom w:val="none" w:sz="0" w:space="0" w:color="auto"/>
        <w:right w:val="none" w:sz="0" w:space="0" w:color="auto"/>
      </w:divBdr>
    </w:div>
    <w:div w:id="315377320">
      <w:bodyDiv w:val="1"/>
      <w:marLeft w:val="0"/>
      <w:marRight w:val="0"/>
      <w:marTop w:val="0"/>
      <w:marBottom w:val="0"/>
      <w:divBdr>
        <w:top w:val="none" w:sz="0" w:space="0" w:color="auto"/>
        <w:left w:val="none" w:sz="0" w:space="0" w:color="auto"/>
        <w:bottom w:val="none" w:sz="0" w:space="0" w:color="auto"/>
        <w:right w:val="none" w:sz="0" w:space="0" w:color="auto"/>
      </w:divBdr>
    </w:div>
    <w:div w:id="315377584">
      <w:bodyDiv w:val="1"/>
      <w:marLeft w:val="0"/>
      <w:marRight w:val="0"/>
      <w:marTop w:val="0"/>
      <w:marBottom w:val="0"/>
      <w:divBdr>
        <w:top w:val="none" w:sz="0" w:space="0" w:color="auto"/>
        <w:left w:val="none" w:sz="0" w:space="0" w:color="auto"/>
        <w:bottom w:val="none" w:sz="0" w:space="0" w:color="auto"/>
        <w:right w:val="none" w:sz="0" w:space="0" w:color="auto"/>
      </w:divBdr>
    </w:div>
    <w:div w:id="315763104">
      <w:bodyDiv w:val="1"/>
      <w:marLeft w:val="0"/>
      <w:marRight w:val="0"/>
      <w:marTop w:val="0"/>
      <w:marBottom w:val="0"/>
      <w:divBdr>
        <w:top w:val="none" w:sz="0" w:space="0" w:color="auto"/>
        <w:left w:val="none" w:sz="0" w:space="0" w:color="auto"/>
        <w:bottom w:val="none" w:sz="0" w:space="0" w:color="auto"/>
        <w:right w:val="none" w:sz="0" w:space="0" w:color="auto"/>
      </w:divBdr>
    </w:div>
    <w:div w:id="315764482">
      <w:bodyDiv w:val="1"/>
      <w:marLeft w:val="0"/>
      <w:marRight w:val="0"/>
      <w:marTop w:val="0"/>
      <w:marBottom w:val="0"/>
      <w:divBdr>
        <w:top w:val="none" w:sz="0" w:space="0" w:color="auto"/>
        <w:left w:val="none" w:sz="0" w:space="0" w:color="auto"/>
        <w:bottom w:val="none" w:sz="0" w:space="0" w:color="auto"/>
        <w:right w:val="none" w:sz="0" w:space="0" w:color="auto"/>
      </w:divBdr>
    </w:div>
    <w:div w:id="315768250">
      <w:bodyDiv w:val="1"/>
      <w:marLeft w:val="0"/>
      <w:marRight w:val="0"/>
      <w:marTop w:val="0"/>
      <w:marBottom w:val="0"/>
      <w:divBdr>
        <w:top w:val="none" w:sz="0" w:space="0" w:color="auto"/>
        <w:left w:val="none" w:sz="0" w:space="0" w:color="auto"/>
        <w:bottom w:val="none" w:sz="0" w:space="0" w:color="auto"/>
        <w:right w:val="none" w:sz="0" w:space="0" w:color="auto"/>
      </w:divBdr>
    </w:div>
    <w:div w:id="315843176">
      <w:bodyDiv w:val="1"/>
      <w:marLeft w:val="0"/>
      <w:marRight w:val="0"/>
      <w:marTop w:val="0"/>
      <w:marBottom w:val="0"/>
      <w:divBdr>
        <w:top w:val="none" w:sz="0" w:space="0" w:color="auto"/>
        <w:left w:val="none" w:sz="0" w:space="0" w:color="auto"/>
        <w:bottom w:val="none" w:sz="0" w:space="0" w:color="auto"/>
        <w:right w:val="none" w:sz="0" w:space="0" w:color="auto"/>
      </w:divBdr>
    </w:div>
    <w:div w:id="315958847">
      <w:bodyDiv w:val="1"/>
      <w:marLeft w:val="0"/>
      <w:marRight w:val="0"/>
      <w:marTop w:val="0"/>
      <w:marBottom w:val="0"/>
      <w:divBdr>
        <w:top w:val="none" w:sz="0" w:space="0" w:color="auto"/>
        <w:left w:val="none" w:sz="0" w:space="0" w:color="auto"/>
        <w:bottom w:val="none" w:sz="0" w:space="0" w:color="auto"/>
        <w:right w:val="none" w:sz="0" w:space="0" w:color="auto"/>
      </w:divBdr>
    </w:div>
    <w:div w:id="315962415">
      <w:bodyDiv w:val="1"/>
      <w:marLeft w:val="0"/>
      <w:marRight w:val="0"/>
      <w:marTop w:val="0"/>
      <w:marBottom w:val="0"/>
      <w:divBdr>
        <w:top w:val="none" w:sz="0" w:space="0" w:color="auto"/>
        <w:left w:val="none" w:sz="0" w:space="0" w:color="auto"/>
        <w:bottom w:val="none" w:sz="0" w:space="0" w:color="auto"/>
        <w:right w:val="none" w:sz="0" w:space="0" w:color="auto"/>
      </w:divBdr>
    </w:div>
    <w:div w:id="316033062">
      <w:bodyDiv w:val="1"/>
      <w:marLeft w:val="0"/>
      <w:marRight w:val="0"/>
      <w:marTop w:val="0"/>
      <w:marBottom w:val="0"/>
      <w:divBdr>
        <w:top w:val="none" w:sz="0" w:space="0" w:color="auto"/>
        <w:left w:val="none" w:sz="0" w:space="0" w:color="auto"/>
        <w:bottom w:val="none" w:sz="0" w:space="0" w:color="auto"/>
        <w:right w:val="none" w:sz="0" w:space="0" w:color="auto"/>
      </w:divBdr>
    </w:div>
    <w:div w:id="316149853">
      <w:bodyDiv w:val="1"/>
      <w:marLeft w:val="0"/>
      <w:marRight w:val="0"/>
      <w:marTop w:val="0"/>
      <w:marBottom w:val="0"/>
      <w:divBdr>
        <w:top w:val="none" w:sz="0" w:space="0" w:color="auto"/>
        <w:left w:val="none" w:sz="0" w:space="0" w:color="auto"/>
        <w:bottom w:val="none" w:sz="0" w:space="0" w:color="auto"/>
        <w:right w:val="none" w:sz="0" w:space="0" w:color="auto"/>
      </w:divBdr>
    </w:div>
    <w:div w:id="316300693">
      <w:bodyDiv w:val="1"/>
      <w:marLeft w:val="0"/>
      <w:marRight w:val="0"/>
      <w:marTop w:val="0"/>
      <w:marBottom w:val="0"/>
      <w:divBdr>
        <w:top w:val="none" w:sz="0" w:space="0" w:color="auto"/>
        <w:left w:val="none" w:sz="0" w:space="0" w:color="auto"/>
        <w:bottom w:val="none" w:sz="0" w:space="0" w:color="auto"/>
        <w:right w:val="none" w:sz="0" w:space="0" w:color="auto"/>
      </w:divBdr>
    </w:div>
    <w:div w:id="316346041">
      <w:bodyDiv w:val="1"/>
      <w:marLeft w:val="0"/>
      <w:marRight w:val="0"/>
      <w:marTop w:val="0"/>
      <w:marBottom w:val="0"/>
      <w:divBdr>
        <w:top w:val="none" w:sz="0" w:space="0" w:color="auto"/>
        <w:left w:val="none" w:sz="0" w:space="0" w:color="auto"/>
        <w:bottom w:val="none" w:sz="0" w:space="0" w:color="auto"/>
        <w:right w:val="none" w:sz="0" w:space="0" w:color="auto"/>
      </w:divBdr>
    </w:div>
    <w:div w:id="316348162">
      <w:bodyDiv w:val="1"/>
      <w:marLeft w:val="0"/>
      <w:marRight w:val="0"/>
      <w:marTop w:val="0"/>
      <w:marBottom w:val="0"/>
      <w:divBdr>
        <w:top w:val="none" w:sz="0" w:space="0" w:color="auto"/>
        <w:left w:val="none" w:sz="0" w:space="0" w:color="auto"/>
        <w:bottom w:val="none" w:sz="0" w:space="0" w:color="auto"/>
        <w:right w:val="none" w:sz="0" w:space="0" w:color="auto"/>
      </w:divBdr>
    </w:div>
    <w:div w:id="316570411">
      <w:bodyDiv w:val="1"/>
      <w:marLeft w:val="0"/>
      <w:marRight w:val="0"/>
      <w:marTop w:val="0"/>
      <w:marBottom w:val="0"/>
      <w:divBdr>
        <w:top w:val="none" w:sz="0" w:space="0" w:color="auto"/>
        <w:left w:val="none" w:sz="0" w:space="0" w:color="auto"/>
        <w:bottom w:val="none" w:sz="0" w:space="0" w:color="auto"/>
        <w:right w:val="none" w:sz="0" w:space="0" w:color="auto"/>
      </w:divBdr>
    </w:div>
    <w:div w:id="316611469">
      <w:bodyDiv w:val="1"/>
      <w:marLeft w:val="0"/>
      <w:marRight w:val="0"/>
      <w:marTop w:val="0"/>
      <w:marBottom w:val="0"/>
      <w:divBdr>
        <w:top w:val="none" w:sz="0" w:space="0" w:color="auto"/>
        <w:left w:val="none" w:sz="0" w:space="0" w:color="auto"/>
        <w:bottom w:val="none" w:sz="0" w:space="0" w:color="auto"/>
        <w:right w:val="none" w:sz="0" w:space="0" w:color="auto"/>
      </w:divBdr>
    </w:div>
    <w:div w:id="316615694">
      <w:bodyDiv w:val="1"/>
      <w:marLeft w:val="0"/>
      <w:marRight w:val="0"/>
      <w:marTop w:val="0"/>
      <w:marBottom w:val="0"/>
      <w:divBdr>
        <w:top w:val="none" w:sz="0" w:space="0" w:color="auto"/>
        <w:left w:val="none" w:sz="0" w:space="0" w:color="auto"/>
        <w:bottom w:val="none" w:sz="0" w:space="0" w:color="auto"/>
        <w:right w:val="none" w:sz="0" w:space="0" w:color="auto"/>
      </w:divBdr>
    </w:div>
    <w:div w:id="316685413">
      <w:bodyDiv w:val="1"/>
      <w:marLeft w:val="0"/>
      <w:marRight w:val="0"/>
      <w:marTop w:val="0"/>
      <w:marBottom w:val="0"/>
      <w:divBdr>
        <w:top w:val="none" w:sz="0" w:space="0" w:color="auto"/>
        <w:left w:val="none" w:sz="0" w:space="0" w:color="auto"/>
        <w:bottom w:val="none" w:sz="0" w:space="0" w:color="auto"/>
        <w:right w:val="none" w:sz="0" w:space="0" w:color="auto"/>
      </w:divBdr>
    </w:div>
    <w:div w:id="316886384">
      <w:bodyDiv w:val="1"/>
      <w:marLeft w:val="0"/>
      <w:marRight w:val="0"/>
      <w:marTop w:val="0"/>
      <w:marBottom w:val="0"/>
      <w:divBdr>
        <w:top w:val="none" w:sz="0" w:space="0" w:color="auto"/>
        <w:left w:val="none" w:sz="0" w:space="0" w:color="auto"/>
        <w:bottom w:val="none" w:sz="0" w:space="0" w:color="auto"/>
        <w:right w:val="none" w:sz="0" w:space="0" w:color="auto"/>
      </w:divBdr>
    </w:div>
    <w:div w:id="317224505">
      <w:bodyDiv w:val="1"/>
      <w:marLeft w:val="0"/>
      <w:marRight w:val="0"/>
      <w:marTop w:val="0"/>
      <w:marBottom w:val="0"/>
      <w:divBdr>
        <w:top w:val="none" w:sz="0" w:space="0" w:color="auto"/>
        <w:left w:val="none" w:sz="0" w:space="0" w:color="auto"/>
        <w:bottom w:val="none" w:sz="0" w:space="0" w:color="auto"/>
        <w:right w:val="none" w:sz="0" w:space="0" w:color="auto"/>
      </w:divBdr>
    </w:div>
    <w:div w:id="317465575">
      <w:bodyDiv w:val="1"/>
      <w:marLeft w:val="0"/>
      <w:marRight w:val="0"/>
      <w:marTop w:val="0"/>
      <w:marBottom w:val="0"/>
      <w:divBdr>
        <w:top w:val="none" w:sz="0" w:space="0" w:color="auto"/>
        <w:left w:val="none" w:sz="0" w:space="0" w:color="auto"/>
        <w:bottom w:val="none" w:sz="0" w:space="0" w:color="auto"/>
        <w:right w:val="none" w:sz="0" w:space="0" w:color="auto"/>
      </w:divBdr>
    </w:div>
    <w:div w:id="318000381">
      <w:bodyDiv w:val="1"/>
      <w:marLeft w:val="0"/>
      <w:marRight w:val="0"/>
      <w:marTop w:val="0"/>
      <w:marBottom w:val="0"/>
      <w:divBdr>
        <w:top w:val="none" w:sz="0" w:space="0" w:color="auto"/>
        <w:left w:val="none" w:sz="0" w:space="0" w:color="auto"/>
        <w:bottom w:val="none" w:sz="0" w:space="0" w:color="auto"/>
        <w:right w:val="none" w:sz="0" w:space="0" w:color="auto"/>
      </w:divBdr>
    </w:div>
    <w:div w:id="318197254">
      <w:bodyDiv w:val="1"/>
      <w:marLeft w:val="0"/>
      <w:marRight w:val="0"/>
      <w:marTop w:val="0"/>
      <w:marBottom w:val="0"/>
      <w:divBdr>
        <w:top w:val="none" w:sz="0" w:space="0" w:color="auto"/>
        <w:left w:val="none" w:sz="0" w:space="0" w:color="auto"/>
        <w:bottom w:val="none" w:sz="0" w:space="0" w:color="auto"/>
        <w:right w:val="none" w:sz="0" w:space="0" w:color="auto"/>
      </w:divBdr>
    </w:div>
    <w:div w:id="318265067">
      <w:bodyDiv w:val="1"/>
      <w:marLeft w:val="0"/>
      <w:marRight w:val="0"/>
      <w:marTop w:val="0"/>
      <w:marBottom w:val="0"/>
      <w:divBdr>
        <w:top w:val="none" w:sz="0" w:space="0" w:color="auto"/>
        <w:left w:val="none" w:sz="0" w:space="0" w:color="auto"/>
        <w:bottom w:val="none" w:sz="0" w:space="0" w:color="auto"/>
        <w:right w:val="none" w:sz="0" w:space="0" w:color="auto"/>
      </w:divBdr>
    </w:div>
    <w:div w:id="318314979">
      <w:bodyDiv w:val="1"/>
      <w:marLeft w:val="0"/>
      <w:marRight w:val="0"/>
      <w:marTop w:val="0"/>
      <w:marBottom w:val="0"/>
      <w:divBdr>
        <w:top w:val="none" w:sz="0" w:space="0" w:color="auto"/>
        <w:left w:val="none" w:sz="0" w:space="0" w:color="auto"/>
        <w:bottom w:val="none" w:sz="0" w:space="0" w:color="auto"/>
        <w:right w:val="none" w:sz="0" w:space="0" w:color="auto"/>
      </w:divBdr>
    </w:div>
    <w:div w:id="318774727">
      <w:bodyDiv w:val="1"/>
      <w:marLeft w:val="0"/>
      <w:marRight w:val="0"/>
      <w:marTop w:val="0"/>
      <w:marBottom w:val="0"/>
      <w:divBdr>
        <w:top w:val="none" w:sz="0" w:space="0" w:color="auto"/>
        <w:left w:val="none" w:sz="0" w:space="0" w:color="auto"/>
        <w:bottom w:val="none" w:sz="0" w:space="0" w:color="auto"/>
        <w:right w:val="none" w:sz="0" w:space="0" w:color="auto"/>
      </w:divBdr>
    </w:div>
    <w:div w:id="318928239">
      <w:bodyDiv w:val="1"/>
      <w:marLeft w:val="0"/>
      <w:marRight w:val="0"/>
      <w:marTop w:val="0"/>
      <w:marBottom w:val="0"/>
      <w:divBdr>
        <w:top w:val="none" w:sz="0" w:space="0" w:color="auto"/>
        <w:left w:val="none" w:sz="0" w:space="0" w:color="auto"/>
        <w:bottom w:val="none" w:sz="0" w:space="0" w:color="auto"/>
        <w:right w:val="none" w:sz="0" w:space="0" w:color="auto"/>
      </w:divBdr>
    </w:div>
    <w:div w:id="318970013">
      <w:bodyDiv w:val="1"/>
      <w:marLeft w:val="0"/>
      <w:marRight w:val="0"/>
      <w:marTop w:val="0"/>
      <w:marBottom w:val="0"/>
      <w:divBdr>
        <w:top w:val="none" w:sz="0" w:space="0" w:color="auto"/>
        <w:left w:val="none" w:sz="0" w:space="0" w:color="auto"/>
        <w:bottom w:val="none" w:sz="0" w:space="0" w:color="auto"/>
        <w:right w:val="none" w:sz="0" w:space="0" w:color="auto"/>
      </w:divBdr>
    </w:div>
    <w:div w:id="319038011">
      <w:bodyDiv w:val="1"/>
      <w:marLeft w:val="0"/>
      <w:marRight w:val="0"/>
      <w:marTop w:val="0"/>
      <w:marBottom w:val="0"/>
      <w:divBdr>
        <w:top w:val="none" w:sz="0" w:space="0" w:color="auto"/>
        <w:left w:val="none" w:sz="0" w:space="0" w:color="auto"/>
        <w:bottom w:val="none" w:sz="0" w:space="0" w:color="auto"/>
        <w:right w:val="none" w:sz="0" w:space="0" w:color="auto"/>
      </w:divBdr>
    </w:div>
    <w:div w:id="319040449">
      <w:bodyDiv w:val="1"/>
      <w:marLeft w:val="0"/>
      <w:marRight w:val="0"/>
      <w:marTop w:val="0"/>
      <w:marBottom w:val="0"/>
      <w:divBdr>
        <w:top w:val="none" w:sz="0" w:space="0" w:color="auto"/>
        <w:left w:val="none" w:sz="0" w:space="0" w:color="auto"/>
        <w:bottom w:val="none" w:sz="0" w:space="0" w:color="auto"/>
        <w:right w:val="none" w:sz="0" w:space="0" w:color="auto"/>
      </w:divBdr>
    </w:div>
    <w:div w:id="319115825">
      <w:bodyDiv w:val="1"/>
      <w:marLeft w:val="0"/>
      <w:marRight w:val="0"/>
      <w:marTop w:val="0"/>
      <w:marBottom w:val="0"/>
      <w:divBdr>
        <w:top w:val="none" w:sz="0" w:space="0" w:color="auto"/>
        <w:left w:val="none" w:sz="0" w:space="0" w:color="auto"/>
        <w:bottom w:val="none" w:sz="0" w:space="0" w:color="auto"/>
        <w:right w:val="none" w:sz="0" w:space="0" w:color="auto"/>
      </w:divBdr>
    </w:div>
    <w:div w:id="319161736">
      <w:bodyDiv w:val="1"/>
      <w:marLeft w:val="0"/>
      <w:marRight w:val="0"/>
      <w:marTop w:val="0"/>
      <w:marBottom w:val="0"/>
      <w:divBdr>
        <w:top w:val="none" w:sz="0" w:space="0" w:color="auto"/>
        <w:left w:val="none" w:sz="0" w:space="0" w:color="auto"/>
        <w:bottom w:val="none" w:sz="0" w:space="0" w:color="auto"/>
        <w:right w:val="none" w:sz="0" w:space="0" w:color="auto"/>
      </w:divBdr>
    </w:div>
    <w:div w:id="319432183">
      <w:bodyDiv w:val="1"/>
      <w:marLeft w:val="0"/>
      <w:marRight w:val="0"/>
      <w:marTop w:val="0"/>
      <w:marBottom w:val="0"/>
      <w:divBdr>
        <w:top w:val="none" w:sz="0" w:space="0" w:color="auto"/>
        <w:left w:val="none" w:sz="0" w:space="0" w:color="auto"/>
        <w:bottom w:val="none" w:sz="0" w:space="0" w:color="auto"/>
        <w:right w:val="none" w:sz="0" w:space="0" w:color="auto"/>
      </w:divBdr>
    </w:div>
    <w:div w:id="319624270">
      <w:bodyDiv w:val="1"/>
      <w:marLeft w:val="0"/>
      <w:marRight w:val="0"/>
      <w:marTop w:val="0"/>
      <w:marBottom w:val="0"/>
      <w:divBdr>
        <w:top w:val="none" w:sz="0" w:space="0" w:color="auto"/>
        <w:left w:val="none" w:sz="0" w:space="0" w:color="auto"/>
        <w:bottom w:val="none" w:sz="0" w:space="0" w:color="auto"/>
        <w:right w:val="none" w:sz="0" w:space="0" w:color="auto"/>
      </w:divBdr>
    </w:div>
    <w:div w:id="319624958">
      <w:bodyDiv w:val="1"/>
      <w:marLeft w:val="0"/>
      <w:marRight w:val="0"/>
      <w:marTop w:val="0"/>
      <w:marBottom w:val="0"/>
      <w:divBdr>
        <w:top w:val="none" w:sz="0" w:space="0" w:color="auto"/>
        <w:left w:val="none" w:sz="0" w:space="0" w:color="auto"/>
        <w:bottom w:val="none" w:sz="0" w:space="0" w:color="auto"/>
        <w:right w:val="none" w:sz="0" w:space="0" w:color="auto"/>
      </w:divBdr>
    </w:div>
    <w:div w:id="319778181">
      <w:bodyDiv w:val="1"/>
      <w:marLeft w:val="0"/>
      <w:marRight w:val="0"/>
      <w:marTop w:val="0"/>
      <w:marBottom w:val="0"/>
      <w:divBdr>
        <w:top w:val="none" w:sz="0" w:space="0" w:color="auto"/>
        <w:left w:val="none" w:sz="0" w:space="0" w:color="auto"/>
        <w:bottom w:val="none" w:sz="0" w:space="0" w:color="auto"/>
        <w:right w:val="none" w:sz="0" w:space="0" w:color="auto"/>
      </w:divBdr>
    </w:div>
    <w:div w:id="319817905">
      <w:bodyDiv w:val="1"/>
      <w:marLeft w:val="0"/>
      <w:marRight w:val="0"/>
      <w:marTop w:val="0"/>
      <w:marBottom w:val="0"/>
      <w:divBdr>
        <w:top w:val="none" w:sz="0" w:space="0" w:color="auto"/>
        <w:left w:val="none" w:sz="0" w:space="0" w:color="auto"/>
        <w:bottom w:val="none" w:sz="0" w:space="0" w:color="auto"/>
        <w:right w:val="none" w:sz="0" w:space="0" w:color="auto"/>
      </w:divBdr>
    </w:div>
    <w:div w:id="320038507">
      <w:bodyDiv w:val="1"/>
      <w:marLeft w:val="0"/>
      <w:marRight w:val="0"/>
      <w:marTop w:val="0"/>
      <w:marBottom w:val="0"/>
      <w:divBdr>
        <w:top w:val="none" w:sz="0" w:space="0" w:color="auto"/>
        <w:left w:val="none" w:sz="0" w:space="0" w:color="auto"/>
        <w:bottom w:val="none" w:sz="0" w:space="0" w:color="auto"/>
        <w:right w:val="none" w:sz="0" w:space="0" w:color="auto"/>
      </w:divBdr>
    </w:div>
    <w:div w:id="320238666">
      <w:bodyDiv w:val="1"/>
      <w:marLeft w:val="0"/>
      <w:marRight w:val="0"/>
      <w:marTop w:val="0"/>
      <w:marBottom w:val="0"/>
      <w:divBdr>
        <w:top w:val="none" w:sz="0" w:space="0" w:color="auto"/>
        <w:left w:val="none" w:sz="0" w:space="0" w:color="auto"/>
        <w:bottom w:val="none" w:sz="0" w:space="0" w:color="auto"/>
        <w:right w:val="none" w:sz="0" w:space="0" w:color="auto"/>
      </w:divBdr>
    </w:div>
    <w:div w:id="320275846">
      <w:bodyDiv w:val="1"/>
      <w:marLeft w:val="0"/>
      <w:marRight w:val="0"/>
      <w:marTop w:val="0"/>
      <w:marBottom w:val="0"/>
      <w:divBdr>
        <w:top w:val="none" w:sz="0" w:space="0" w:color="auto"/>
        <w:left w:val="none" w:sz="0" w:space="0" w:color="auto"/>
        <w:bottom w:val="none" w:sz="0" w:space="0" w:color="auto"/>
        <w:right w:val="none" w:sz="0" w:space="0" w:color="auto"/>
      </w:divBdr>
    </w:div>
    <w:div w:id="320281228">
      <w:bodyDiv w:val="1"/>
      <w:marLeft w:val="0"/>
      <w:marRight w:val="0"/>
      <w:marTop w:val="0"/>
      <w:marBottom w:val="0"/>
      <w:divBdr>
        <w:top w:val="none" w:sz="0" w:space="0" w:color="auto"/>
        <w:left w:val="none" w:sz="0" w:space="0" w:color="auto"/>
        <w:bottom w:val="none" w:sz="0" w:space="0" w:color="auto"/>
        <w:right w:val="none" w:sz="0" w:space="0" w:color="auto"/>
      </w:divBdr>
    </w:div>
    <w:div w:id="320424766">
      <w:bodyDiv w:val="1"/>
      <w:marLeft w:val="0"/>
      <w:marRight w:val="0"/>
      <w:marTop w:val="0"/>
      <w:marBottom w:val="0"/>
      <w:divBdr>
        <w:top w:val="none" w:sz="0" w:space="0" w:color="auto"/>
        <w:left w:val="none" w:sz="0" w:space="0" w:color="auto"/>
        <w:bottom w:val="none" w:sz="0" w:space="0" w:color="auto"/>
        <w:right w:val="none" w:sz="0" w:space="0" w:color="auto"/>
      </w:divBdr>
    </w:div>
    <w:div w:id="320424983">
      <w:bodyDiv w:val="1"/>
      <w:marLeft w:val="0"/>
      <w:marRight w:val="0"/>
      <w:marTop w:val="0"/>
      <w:marBottom w:val="0"/>
      <w:divBdr>
        <w:top w:val="none" w:sz="0" w:space="0" w:color="auto"/>
        <w:left w:val="none" w:sz="0" w:space="0" w:color="auto"/>
        <w:bottom w:val="none" w:sz="0" w:space="0" w:color="auto"/>
        <w:right w:val="none" w:sz="0" w:space="0" w:color="auto"/>
      </w:divBdr>
    </w:div>
    <w:div w:id="320429731">
      <w:bodyDiv w:val="1"/>
      <w:marLeft w:val="0"/>
      <w:marRight w:val="0"/>
      <w:marTop w:val="0"/>
      <w:marBottom w:val="0"/>
      <w:divBdr>
        <w:top w:val="none" w:sz="0" w:space="0" w:color="auto"/>
        <w:left w:val="none" w:sz="0" w:space="0" w:color="auto"/>
        <w:bottom w:val="none" w:sz="0" w:space="0" w:color="auto"/>
        <w:right w:val="none" w:sz="0" w:space="0" w:color="auto"/>
      </w:divBdr>
    </w:div>
    <w:div w:id="320474061">
      <w:bodyDiv w:val="1"/>
      <w:marLeft w:val="0"/>
      <w:marRight w:val="0"/>
      <w:marTop w:val="0"/>
      <w:marBottom w:val="0"/>
      <w:divBdr>
        <w:top w:val="none" w:sz="0" w:space="0" w:color="auto"/>
        <w:left w:val="none" w:sz="0" w:space="0" w:color="auto"/>
        <w:bottom w:val="none" w:sz="0" w:space="0" w:color="auto"/>
        <w:right w:val="none" w:sz="0" w:space="0" w:color="auto"/>
      </w:divBdr>
    </w:div>
    <w:div w:id="320544487">
      <w:bodyDiv w:val="1"/>
      <w:marLeft w:val="0"/>
      <w:marRight w:val="0"/>
      <w:marTop w:val="0"/>
      <w:marBottom w:val="0"/>
      <w:divBdr>
        <w:top w:val="none" w:sz="0" w:space="0" w:color="auto"/>
        <w:left w:val="none" w:sz="0" w:space="0" w:color="auto"/>
        <w:bottom w:val="none" w:sz="0" w:space="0" w:color="auto"/>
        <w:right w:val="none" w:sz="0" w:space="0" w:color="auto"/>
      </w:divBdr>
    </w:div>
    <w:div w:id="320734975">
      <w:bodyDiv w:val="1"/>
      <w:marLeft w:val="0"/>
      <w:marRight w:val="0"/>
      <w:marTop w:val="0"/>
      <w:marBottom w:val="0"/>
      <w:divBdr>
        <w:top w:val="none" w:sz="0" w:space="0" w:color="auto"/>
        <w:left w:val="none" w:sz="0" w:space="0" w:color="auto"/>
        <w:bottom w:val="none" w:sz="0" w:space="0" w:color="auto"/>
        <w:right w:val="none" w:sz="0" w:space="0" w:color="auto"/>
      </w:divBdr>
    </w:div>
    <w:div w:id="321204539">
      <w:bodyDiv w:val="1"/>
      <w:marLeft w:val="0"/>
      <w:marRight w:val="0"/>
      <w:marTop w:val="0"/>
      <w:marBottom w:val="0"/>
      <w:divBdr>
        <w:top w:val="none" w:sz="0" w:space="0" w:color="auto"/>
        <w:left w:val="none" w:sz="0" w:space="0" w:color="auto"/>
        <w:bottom w:val="none" w:sz="0" w:space="0" w:color="auto"/>
        <w:right w:val="none" w:sz="0" w:space="0" w:color="auto"/>
      </w:divBdr>
    </w:div>
    <w:div w:id="321276001">
      <w:bodyDiv w:val="1"/>
      <w:marLeft w:val="0"/>
      <w:marRight w:val="0"/>
      <w:marTop w:val="0"/>
      <w:marBottom w:val="0"/>
      <w:divBdr>
        <w:top w:val="none" w:sz="0" w:space="0" w:color="auto"/>
        <w:left w:val="none" w:sz="0" w:space="0" w:color="auto"/>
        <w:bottom w:val="none" w:sz="0" w:space="0" w:color="auto"/>
        <w:right w:val="none" w:sz="0" w:space="0" w:color="auto"/>
      </w:divBdr>
    </w:div>
    <w:div w:id="321397099">
      <w:bodyDiv w:val="1"/>
      <w:marLeft w:val="0"/>
      <w:marRight w:val="0"/>
      <w:marTop w:val="0"/>
      <w:marBottom w:val="0"/>
      <w:divBdr>
        <w:top w:val="none" w:sz="0" w:space="0" w:color="auto"/>
        <w:left w:val="none" w:sz="0" w:space="0" w:color="auto"/>
        <w:bottom w:val="none" w:sz="0" w:space="0" w:color="auto"/>
        <w:right w:val="none" w:sz="0" w:space="0" w:color="auto"/>
      </w:divBdr>
    </w:div>
    <w:div w:id="321591094">
      <w:bodyDiv w:val="1"/>
      <w:marLeft w:val="0"/>
      <w:marRight w:val="0"/>
      <w:marTop w:val="0"/>
      <w:marBottom w:val="0"/>
      <w:divBdr>
        <w:top w:val="none" w:sz="0" w:space="0" w:color="auto"/>
        <w:left w:val="none" w:sz="0" w:space="0" w:color="auto"/>
        <w:bottom w:val="none" w:sz="0" w:space="0" w:color="auto"/>
        <w:right w:val="none" w:sz="0" w:space="0" w:color="auto"/>
      </w:divBdr>
    </w:div>
    <w:div w:id="322005059">
      <w:bodyDiv w:val="1"/>
      <w:marLeft w:val="0"/>
      <w:marRight w:val="0"/>
      <w:marTop w:val="0"/>
      <w:marBottom w:val="0"/>
      <w:divBdr>
        <w:top w:val="none" w:sz="0" w:space="0" w:color="auto"/>
        <w:left w:val="none" w:sz="0" w:space="0" w:color="auto"/>
        <w:bottom w:val="none" w:sz="0" w:space="0" w:color="auto"/>
        <w:right w:val="none" w:sz="0" w:space="0" w:color="auto"/>
      </w:divBdr>
    </w:div>
    <w:div w:id="322240616">
      <w:bodyDiv w:val="1"/>
      <w:marLeft w:val="0"/>
      <w:marRight w:val="0"/>
      <w:marTop w:val="0"/>
      <w:marBottom w:val="0"/>
      <w:divBdr>
        <w:top w:val="none" w:sz="0" w:space="0" w:color="auto"/>
        <w:left w:val="none" w:sz="0" w:space="0" w:color="auto"/>
        <w:bottom w:val="none" w:sz="0" w:space="0" w:color="auto"/>
        <w:right w:val="none" w:sz="0" w:space="0" w:color="auto"/>
      </w:divBdr>
    </w:div>
    <w:div w:id="322319880">
      <w:bodyDiv w:val="1"/>
      <w:marLeft w:val="0"/>
      <w:marRight w:val="0"/>
      <w:marTop w:val="0"/>
      <w:marBottom w:val="0"/>
      <w:divBdr>
        <w:top w:val="none" w:sz="0" w:space="0" w:color="auto"/>
        <w:left w:val="none" w:sz="0" w:space="0" w:color="auto"/>
        <w:bottom w:val="none" w:sz="0" w:space="0" w:color="auto"/>
        <w:right w:val="none" w:sz="0" w:space="0" w:color="auto"/>
      </w:divBdr>
    </w:div>
    <w:div w:id="322508745">
      <w:bodyDiv w:val="1"/>
      <w:marLeft w:val="0"/>
      <w:marRight w:val="0"/>
      <w:marTop w:val="0"/>
      <w:marBottom w:val="0"/>
      <w:divBdr>
        <w:top w:val="none" w:sz="0" w:space="0" w:color="auto"/>
        <w:left w:val="none" w:sz="0" w:space="0" w:color="auto"/>
        <w:bottom w:val="none" w:sz="0" w:space="0" w:color="auto"/>
        <w:right w:val="none" w:sz="0" w:space="0" w:color="auto"/>
      </w:divBdr>
    </w:div>
    <w:div w:id="322709464">
      <w:bodyDiv w:val="1"/>
      <w:marLeft w:val="0"/>
      <w:marRight w:val="0"/>
      <w:marTop w:val="0"/>
      <w:marBottom w:val="0"/>
      <w:divBdr>
        <w:top w:val="none" w:sz="0" w:space="0" w:color="auto"/>
        <w:left w:val="none" w:sz="0" w:space="0" w:color="auto"/>
        <w:bottom w:val="none" w:sz="0" w:space="0" w:color="auto"/>
        <w:right w:val="none" w:sz="0" w:space="0" w:color="auto"/>
      </w:divBdr>
    </w:div>
    <w:div w:id="322780333">
      <w:bodyDiv w:val="1"/>
      <w:marLeft w:val="0"/>
      <w:marRight w:val="0"/>
      <w:marTop w:val="0"/>
      <w:marBottom w:val="0"/>
      <w:divBdr>
        <w:top w:val="none" w:sz="0" w:space="0" w:color="auto"/>
        <w:left w:val="none" w:sz="0" w:space="0" w:color="auto"/>
        <w:bottom w:val="none" w:sz="0" w:space="0" w:color="auto"/>
        <w:right w:val="none" w:sz="0" w:space="0" w:color="auto"/>
      </w:divBdr>
    </w:div>
    <w:div w:id="323046793">
      <w:bodyDiv w:val="1"/>
      <w:marLeft w:val="0"/>
      <w:marRight w:val="0"/>
      <w:marTop w:val="0"/>
      <w:marBottom w:val="0"/>
      <w:divBdr>
        <w:top w:val="none" w:sz="0" w:space="0" w:color="auto"/>
        <w:left w:val="none" w:sz="0" w:space="0" w:color="auto"/>
        <w:bottom w:val="none" w:sz="0" w:space="0" w:color="auto"/>
        <w:right w:val="none" w:sz="0" w:space="0" w:color="auto"/>
      </w:divBdr>
    </w:div>
    <w:div w:id="323361346">
      <w:bodyDiv w:val="1"/>
      <w:marLeft w:val="0"/>
      <w:marRight w:val="0"/>
      <w:marTop w:val="0"/>
      <w:marBottom w:val="0"/>
      <w:divBdr>
        <w:top w:val="none" w:sz="0" w:space="0" w:color="auto"/>
        <w:left w:val="none" w:sz="0" w:space="0" w:color="auto"/>
        <w:bottom w:val="none" w:sz="0" w:space="0" w:color="auto"/>
        <w:right w:val="none" w:sz="0" w:space="0" w:color="auto"/>
      </w:divBdr>
    </w:div>
    <w:div w:id="323583677">
      <w:bodyDiv w:val="1"/>
      <w:marLeft w:val="0"/>
      <w:marRight w:val="0"/>
      <w:marTop w:val="0"/>
      <w:marBottom w:val="0"/>
      <w:divBdr>
        <w:top w:val="none" w:sz="0" w:space="0" w:color="auto"/>
        <w:left w:val="none" w:sz="0" w:space="0" w:color="auto"/>
        <w:bottom w:val="none" w:sz="0" w:space="0" w:color="auto"/>
        <w:right w:val="none" w:sz="0" w:space="0" w:color="auto"/>
      </w:divBdr>
    </w:div>
    <w:div w:id="323631683">
      <w:bodyDiv w:val="1"/>
      <w:marLeft w:val="0"/>
      <w:marRight w:val="0"/>
      <w:marTop w:val="0"/>
      <w:marBottom w:val="0"/>
      <w:divBdr>
        <w:top w:val="none" w:sz="0" w:space="0" w:color="auto"/>
        <w:left w:val="none" w:sz="0" w:space="0" w:color="auto"/>
        <w:bottom w:val="none" w:sz="0" w:space="0" w:color="auto"/>
        <w:right w:val="none" w:sz="0" w:space="0" w:color="auto"/>
      </w:divBdr>
    </w:div>
    <w:div w:id="323824453">
      <w:bodyDiv w:val="1"/>
      <w:marLeft w:val="0"/>
      <w:marRight w:val="0"/>
      <w:marTop w:val="0"/>
      <w:marBottom w:val="0"/>
      <w:divBdr>
        <w:top w:val="none" w:sz="0" w:space="0" w:color="auto"/>
        <w:left w:val="none" w:sz="0" w:space="0" w:color="auto"/>
        <w:bottom w:val="none" w:sz="0" w:space="0" w:color="auto"/>
        <w:right w:val="none" w:sz="0" w:space="0" w:color="auto"/>
      </w:divBdr>
    </w:div>
    <w:div w:id="323900607">
      <w:bodyDiv w:val="1"/>
      <w:marLeft w:val="0"/>
      <w:marRight w:val="0"/>
      <w:marTop w:val="0"/>
      <w:marBottom w:val="0"/>
      <w:divBdr>
        <w:top w:val="none" w:sz="0" w:space="0" w:color="auto"/>
        <w:left w:val="none" w:sz="0" w:space="0" w:color="auto"/>
        <w:bottom w:val="none" w:sz="0" w:space="0" w:color="auto"/>
        <w:right w:val="none" w:sz="0" w:space="0" w:color="auto"/>
      </w:divBdr>
    </w:div>
    <w:div w:id="324093665">
      <w:bodyDiv w:val="1"/>
      <w:marLeft w:val="0"/>
      <w:marRight w:val="0"/>
      <w:marTop w:val="0"/>
      <w:marBottom w:val="0"/>
      <w:divBdr>
        <w:top w:val="none" w:sz="0" w:space="0" w:color="auto"/>
        <w:left w:val="none" w:sz="0" w:space="0" w:color="auto"/>
        <w:bottom w:val="none" w:sz="0" w:space="0" w:color="auto"/>
        <w:right w:val="none" w:sz="0" w:space="0" w:color="auto"/>
      </w:divBdr>
    </w:div>
    <w:div w:id="324170722">
      <w:bodyDiv w:val="1"/>
      <w:marLeft w:val="0"/>
      <w:marRight w:val="0"/>
      <w:marTop w:val="0"/>
      <w:marBottom w:val="0"/>
      <w:divBdr>
        <w:top w:val="none" w:sz="0" w:space="0" w:color="auto"/>
        <w:left w:val="none" w:sz="0" w:space="0" w:color="auto"/>
        <w:bottom w:val="none" w:sz="0" w:space="0" w:color="auto"/>
        <w:right w:val="none" w:sz="0" w:space="0" w:color="auto"/>
      </w:divBdr>
    </w:div>
    <w:div w:id="324209337">
      <w:bodyDiv w:val="1"/>
      <w:marLeft w:val="0"/>
      <w:marRight w:val="0"/>
      <w:marTop w:val="0"/>
      <w:marBottom w:val="0"/>
      <w:divBdr>
        <w:top w:val="none" w:sz="0" w:space="0" w:color="auto"/>
        <w:left w:val="none" w:sz="0" w:space="0" w:color="auto"/>
        <w:bottom w:val="none" w:sz="0" w:space="0" w:color="auto"/>
        <w:right w:val="none" w:sz="0" w:space="0" w:color="auto"/>
      </w:divBdr>
    </w:div>
    <w:div w:id="324406830">
      <w:bodyDiv w:val="1"/>
      <w:marLeft w:val="0"/>
      <w:marRight w:val="0"/>
      <w:marTop w:val="0"/>
      <w:marBottom w:val="0"/>
      <w:divBdr>
        <w:top w:val="none" w:sz="0" w:space="0" w:color="auto"/>
        <w:left w:val="none" w:sz="0" w:space="0" w:color="auto"/>
        <w:bottom w:val="none" w:sz="0" w:space="0" w:color="auto"/>
        <w:right w:val="none" w:sz="0" w:space="0" w:color="auto"/>
      </w:divBdr>
    </w:div>
    <w:div w:id="324938830">
      <w:bodyDiv w:val="1"/>
      <w:marLeft w:val="0"/>
      <w:marRight w:val="0"/>
      <w:marTop w:val="0"/>
      <w:marBottom w:val="0"/>
      <w:divBdr>
        <w:top w:val="none" w:sz="0" w:space="0" w:color="auto"/>
        <w:left w:val="none" w:sz="0" w:space="0" w:color="auto"/>
        <w:bottom w:val="none" w:sz="0" w:space="0" w:color="auto"/>
        <w:right w:val="none" w:sz="0" w:space="0" w:color="auto"/>
      </w:divBdr>
    </w:div>
    <w:div w:id="325088406">
      <w:bodyDiv w:val="1"/>
      <w:marLeft w:val="0"/>
      <w:marRight w:val="0"/>
      <w:marTop w:val="0"/>
      <w:marBottom w:val="0"/>
      <w:divBdr>
        <w:top w:val="none" w:sz="0" w:space="0" w:color="auto"/>
        <w:left w:val="none" w:sz="0" w:space="0" w:color="auto"/>
        <w:bottom w:val="none" w:sz="0" w:space="0" w:color="auto"/>
        <w:right w:val="none" w:sz="0" w:space="0" w:color="auto"/>
      </w:divBdr>
    </w:div>
    <w:div w:id="325206238">
      <w:bodyDiv w:val="1"/>
      <w:marLeft w:val="0"/>
      <w:marRight w:val="0"/>
      <w:marTop w:val="0"/>
      <w:marBottom w:val="0"/>
      <w:divBdr>
        <w:top w:val="none" w:sz="0" w:space="0" w:color="auto"/>
        <w:left w:val="none" w:sz="0" w:space="0" w:color="auto"/>
        <w:bottom w:val="none" w:sz="0" w:space="0" w:color="auto"/>
        <w:right w:val="none" w:sz="0" w:space="0" w:color="auto"/>
      </w:divBdr>
    </w:div>
    <w:div w:id="325673406">
      <w:bodyDiv w:val="1"/>
      <w:marLeft w:val="0"/>
      <w:marRight w:val="0"/>
      <w:marTop w:val="0"/>
      <w:marBottom w:val="0"/>
      <w:divBdr>
        <w:top w:val="none" w:sz="0" w:space="0" w:color="auto"/>
        <w:left w:val="none" w:sz="0" w:space="0" w:color="auto"/>
        <w:bottom w:val="none" w:sz="0" w:space="0" w:color="auto"/>
        <w:right w:val="none" w:sz="0" w:space="0" w:color="auto"/>
      </w:divBdr>
    </w:div>
    <w:div w:id="325940799">
      <w:bodyDiv w:val="1"/>
      <w:marLeft w:val="0"/>
      <w:marRight w:val="0"/>
      <w:marTop w:val="0"/>
      <w:marBottom w:val="0"/>
      <w:divBdr>
        <w:top w:val="none" w:sz="0" w:space="0" w:color="auto"/>
        <w:left w:val="none" w:sz="0" w:space="0" w:color="auto"/>
        <w:bottom w:val="none" w:sz="0" w:space="0" w:color="auto"/>
        <w:right w:val="none" w:sz="0" w:space="0" w:color="auto"/>
      </w:divBdr>
    </w:div>
    <w:div w:id="325941174">
      <w:bodyDiv w:val="1"/>
      <w:marLeft w:val="0"/>
      <w:marRight w:val="0"/>
      <w:marTop w:val="0"/>
      <w:marBottom w:val="0"/>
      <w:divBdr>
        <w:top w:val="none" w:sz="0" w:space="0" w:color="auto"/>
        <w:left w:val="none" w:sz="0" w:space="0" w:color="auto"/>
        <w:bottom w:val="none" w:sz="0" w:space="0" w:color="auto"/>
        <w:right w:val="none" w:sz="0" w:space="0" w:color="auto"/>
      </w:divBdr>
    </w:div>
    <w:div w:id="325942024">
      <w:bodyDiv w:val="1"/>
      <w:marLeft w:val="0"/>
      <w:marRight w:val="0"/>
      <w:marTop w:val="0"/>
      <w:marBottom w:val="0"/>
      <w:divBdr>
        <w:top w:val="none" w:sz="0" w:space="0" w:color="auto"/>
        <w:left w:val="none" w:sz="0" w:space="0" w:color="auto"/>
        <w:bottom w:val="none" w:sz="0" w:space="0" w:color="auto"/>
        <w:right w:val="none" w:sz="0" w:space="0" w:color="auto"/>
      </w:divBdr>
    </w:div>
    <w:div w:id="326053042">
      <w:bodyDiv w:val="1"/>
      <w:marLeft w:val="0"/>
      <w:marRight w:val="0"/>
      <w:marTop w:val="0"/>
      <w:marBottom w:val="0"/>
      <w:divBdr>
        <w:top w:val="none" w:sz="0" w:space="0" w:color="auto"/>
        <w:left w:val="none" w:sz="0" w:space="0" w:color="auto"/>
        <w:bottom w:val="none" w:sz="0" w:space="0" w:color="auto"/>
        <w:right w:val="none" w:sz="0" w:space="0" w:color="auto"/>
      </w:divBdr>
    </w:div>
    <w:div w:id="326054319">
      <w:bodyDiv w:val="1"/>
      <w:marLeft w:val="0"/>
      <w:marRight w:val="0"/>
      <w:marTop w:val="0"/>
      <w:marBottom w:val="0"/>
      <w:divBdr>
        <w:top w:val="none" w:sz="0" w:space="0" w:color="auto"/>
        <w:left w:val="none" w:sz="0" w:space="0" w:color="auto"/>
        <w:bottom w:val="none" w:sz="0" w:space="0" w:color="auto"/>
        <w:right w:val="none" w:sz="0" w:space="0" w:color="auto"/>
      </w:divBdr>
    </w:div>
    <w:div w:id="326057516">
      <w:bodyDiv w:val="1"/>
      <w:marLeft w:val="0"/>
      <w:marRight w:val="0"/>
      <w:marTop w:val="0"/>
      <w:marBottom w:val="0"/>
      <w:divBdr>
        <w:top w:val="none" w:sz="0" w:space="0" w:color="auto"/>
        <w:left w:val="none" w:sz="0" w:space="0" w:color="auto"/>
        <w:bottom w:val="none" w:sz="0" w:space="0" w:color="auto"/>
        <w:right w:val="none" w:sz="0" w:space="0" w:color="auto"/>
      </w:divBdr>
    </w:div>
    <w:div w:id="326131203">
      <w:bodyDiv w:val="1"/>
      <w:marLeft w:val="0"/>
      <w:marRight w:val="0"/>
      <w:marTop w:val="0"/>
      <w:marBottom w:val="0"/>
      <w:divBdr>
        <w:top w:val="none" w:sz="0" w:space="0" w:color="auto"/>
        <w:left w:val="none" w:sz="0" w:space="0" w:color="auto"/>
        <w:bottom w:val="none" w:sz="0" w:space="0" w:color="auto"/>
        <w:right w:val="none" w:sz="0" w:space="0" w:color="auto"/>
      </w:divBdr>
    </w:div>
    <w:div w:id="326134443">
      <w:bodyDiv w:val="1"/>
      <w:marLeft w:val="0"/>
      <w:marRight w:val="0"/>
      <w:marTop w:val="0"/>
      <w:marBottom w:val="0"/>
      <w:divBdr>
        <w:top w:val="none" w:sz="0" w:space="0" w:color="auto"/>
        <w:left w:val="none" w:sz="0" w:space="0" w:color="auto"/>
        <w:bottom w:val="none" w:sz="0" w:space="0" w:color="auto"/>
        <w:right w:val="none" w:sz="0" w:space="0" w:color="auto"/>
      </w:divBdr>
    </w:div>
    <w:div w:id="326441273">
      <w:bodyDiv w:val="1"/>
      <w:marLeft w:val="0"/>
      <w:marRight w:val="0"/>
      <w:marTop w:val="0"/>
      <w:marBottom w:val="0"/>
      <w:divBdr>
        <w:top w:val="none" w:sz="0" w:space="0" w:color="auto"/>
        <w:left w:val="none" w:sz="0" w:space="0" w:color="auto"/>
        <w:bottom w:val="none" w:sz="0" w:space="0" w:color="auto"/>
        <w:right w:val="none" w:sz="0" w:space="0" w:color="auto"/>
      </w:divBdr>
    </w:div>
    <w:div w:id="326444456">
      <w:bodyDiv w:val="1"/>
      <w:marLeft w:val="0"/>
      <w:marRight w:val="0"/>
      <w:marTop w:val="0"/>
      <w:marBottom w:val="0"/>
      <w:divBdr>
        <w:top w:val="none" w:sz="0" w:space="0" w:color="auto"/>
        <w:left w:val="none" w:sz="0" w:space="0" w:color="auto"/>
        <w:bottom w:val="none" w:sz="0" w:space="0" w:color="auto"/>
        <w:right w:val="none" w:sz="0" w:space="0" w:color="auto"/>
      </w:divBdr>
    </w:div>
    <w:div w:id="326514950">
      <w:bodyDiv w:val="1"/>
      <w:marLeft w:val="0"/>
      <w:marRight w:val="0"/>
      <w:marTop w:val="0"/>
      <w:marBottom w:val="0"/>
      <w:divBdr>
        <w:top w:val="none" w:sz="0" w:space="0" w:color="auto"/>
        <w:left w:val="none" w:sz="0" w:space="0" w:color="auto"/>
        <w:bottom w:val="none" w:sz="0" w:space="0" w:color="auto"/>
        <w:right w:val="none" w:sz="0" w:space="0" w:color="auto"/>
      </w:divBdr>
    </w:div>
    <w:div w:id="326590338">
      <w:bodyDiv w:val="1"/>
      <w:marLeft w:val="0"/>
      <w:marRight w:val="0"/>
      <w:marTop w:val="0"/>
      <w:marBottom w:val="0"/>
      <w:divBdr>
        <w:top w:val="none" w:sz="0" w:space="0" w:color="auto"/>
        <w:left w:val="none" w:sz="0" w:space="0" w:color="auto"/>
        <w:bottom w:val="none" w:sz="0" w:space="0" w:color="auto"/>
        <w:right w:val="none" w:sz="0" w:space="0" w:color="auto"/>
      </w:divBdr>
    </w:div>
    <w:div w:id="326830261">
      <w:bodyDiv w:val="1"/>
      <w:marLeft w:val="0"/>
      <w:marRight w:val="0"/>
      <w:marTop w:val="0"/>
      <w:marBottom w:val="0"/>
      <w:divBdr>
        <w:top w:val="none" w:sz="0" w:space="0" w:color="auto"/>
        <w:left w:val="none" w:sz="0" w:space="0" w:color="auto"/>
        <w:bottom w:val="none" w:sz="0" w:space="0" w:color="auto"/>
        <w:right w:val="none" w:sz="0" w:space="0" w:color="auto"/>
      </w:divBdr>
    </w:div>
    <w:div w:id="326908989">
      <w:bodyDiv w:val="1"/>
      <w:marLeft w:val="0"/>
      <w:marRight w:val="0"/>
      <w:marTop w:val="0"/>
      <w:marBottom w:val="0"/>
      <w:divBdr>
        <w:top w:val="none" w:sz="0" w:space="0" w:color="auto"/>
        <w:left w:val="none" w:sz="0" w:space="0" w:color="auto"/>
        <w:bottom w:val="none" w:sz="0" w:space="0" w:color="auto"/>
        <w:right w:val="none" w:sz="0" w:space="0" w:color="auto"/>
      </w:divBdr>
    </w:div>
    <w:div w:id="327052866">
      <w:bodyDiv w:val="1"/>
      <w:marLeft w:val="0"/>
      <w:marRight w:val="0"/>
      <w:marTop w:val="0"/>
      <w:marBottom w:val="0"/>
      <w:divBdr>
        <w:top w:val="none" w:sz="0" w:space="0" w:color="auto"/>
        <w:left w:val="none" w:sz="0" w:space="0" w:color="auto"/>
        <w:bottom w:val="none" w:sz="0" w:space="0" w:color="auto"/>
        <w:right w:val="none" w:sz="0" w:space="0" w:color="auto"/>
      </w:divBdr>
    </w:div>
    <w:div w:id="327103500">
      <w:bodyDiv w:val="1"/>
      <w:marLeft w:val="0"/>
      <w:marRight w:val="0"/>
      <w:marTop w:val="0"/>
      <w:marBottom w:val="0"/>
      <w:divBdr>
        <w:top w:val="none" w:sz="0" w:space="0" w:color="auto"/>
        <w:left w:val="none" w:sz="0" w:space="0" w:color="auto"/>
        <w:bottom w:val="none" w:sz="0" w:space="0" w:color="auto"/>
        <w:right w:val="none" w:sz="0" w:space="0" w:color="auto"/>
      </w:divBdr>
    </w:div>
    <w:div w:id="327245613">
      <w:bodyDiv w:val="1"/>
      <w:marLeft w:val="0"/>
      <w:marRight w:val="0"/>
      <w:marTop w:val="0"/>
      <w:marBottom w:val="0"/>
      <w:divBdr>
        <w:top w:val="none" w:sz="0" w:space="0" w:color="auto"/>
        <w:left w:val="none" w:sz="0" w:space="0" w:color="auto"/>
        <w:bottom w:val="none" w:sz="0" w:space="0" w:color="auto"/>
        <w:right w:val="none" w:sz="0" w:space="0" w:color="auto"/>
      </w:divBdr>
    </w:div>
    <w:div w:id="327246746">
      <w:bodyDiv w:val="1"/>
      <w:marLeft w:val="0"/>
      <w:marRight w:val="0"/>
      <w:marTop w:val="0"/>
      <w:marBottom w:val="0"/>
      <w:divBdr>
        <w:top w:val="none" w:sz="0" w:space="0" w:color="auto"/>
        <w:left w:val="none" w:sz="0" w:space="0" w:color="auto"/>
        <w:bottom w:val="none" w:sz="0" w:space="0" w:color="auto"/>
        <w:right w:val="none" w:sz="0" w:space="0" w:color="auto"/>
      </w:divBdr>
    </w:div>
    <w:div w:id="327252849">
      <w:bodyDiv w:val="1"/>
      <w:marLeft w:val="0"/>
      <w:marRight w:val="0"/>
      <w:marTop w:val="0"/>
      <w:marBottom w:val="0"/>
      <w:divBdr>
        <w:top w:val="none" w:sz="0" w:space="0" w:color="auto"/>
        <w:left w:val="none" w:sz="0" w:space="0" w:color="auto"/>
        <w:bottom w:val="none" w:sz="0" w:space="0" w:color="auto"/>
        <w:right w:val="none" w:sz="0" w:space="0" w:color="auto"/>
      </w:divBdr>
    </w:div>
    <w:div w:id="327439095">
      <w:bodyDiv w:val="1"/>
      <w:marLeft w:val="0"/>
      <w:marRight w:val="0"/>
      <w:marTop w:val="0"/>
      <w:marBottom w:val="0"/>
      <w:divBdr>
        <w:top w:val="none" w:sz="0" w:space="0" w:color="auto"/>
        <w:left w:val="none" w:sz="0" w:space="0" w:color="auto"/>
        <w:bottom w:val="none" w:sz="0" w:space="0" w:color="auto"/>
        <w:right w:val="none" w:sz="0" w:space="0" w:color="auto"/>
      </w:divBdr>
    </w:div>
    <w:div w:id="327708853">
      <w:bodyDiv w:val="1"/>
      <w:marLeft w:val="0"/>
      <w:marRight w:val="0"/>
      <w:marTop w:val="0"/>
      <w:marBottom w:val="0"/>
      <w:divBdr>
        <w:top w:val="none" w:sz="0" w:space="0" w:color="auto"/>
        <w:left w:val="none" w:sz="0" w:space="0" w:color="auto"/>
        <w:bottom w:val="none" w:sz="0" w:space="0" w:color="auto"/>
        <w:right w:val="none" w:sz="0" w:space="0" w:color="auto"/>
      </w:divBdr>
    </w:div>
    <w:div w:id="327946416">
      <w:bodyDiv w:val="1"/>
      <w:marLeft w:val="0"/>
      <w:marRight w:val="0"/>
      <w:marTop w:val="0"/>
      <w:marBottom w:val="0"/>
      <w:divBdr>
        <w:top w:val="none" w:sz="0" w:space="0" w:color="auto"/>
        <w:left w:val="none" w:sz="0" w:space="0" w:color="auto"/>
        <w:bottom w:val="none" w:sz="0" w:space="0" w:color="auto"/>
        <w:right w:val="none" w:sz="0" w:space="0" w:color="auto"/>
      </w:divBdr>
    </w:div>
    <w:div w:id="328215289">
      <w:bodyDiv w:val="1"/>
      <w:marLeft w:val="0"/>
      <w:marRight w:val="0"/>
      <w:marTop w:val="0"/>
      <w:marBottom w:val="0"/>
      <w:divBdr>
        <w:top w:val="none" w:sz="0" w:space="0" w:color="auto"/>
        <w:left w:val="none" w:sz="0" w:space="0" w:color="auto"/>
        <w:bottom w:val="none" w:sz="0" w:space="0" w:color="auto"/>
        <w:right w:val="none" w:sz="0" w:space="0" w:color="auto"/>
      </w:divBdr>
    </w:div>
    <w:div w:id="328555668">
      <w:bodyDiv w:val="1"/>
      <w:marLeft w:val="0"/>
      <w:marRight w:val="0"/>
      <w:marTop w:val="0"/>
      <w:marBottom w:val="0"/>
      <w:divBdr>
        <w:top w:val="none" w:sz="0" w:space="0" w:color="auto"/>
        <w:left w:val="none" w:sz="0" w:space="0" w:color="auto"/>
        <w:bottom w:val="none" w:sz="0" w:space="0" w:color="auto"/>
        <w:right w:val="none" w:sz="0" w:space="0" w:color="auto"/>
      </w:divBdr>
    </w:div>
    <w:div w:id="328600282">
      <w:bodyDiv w:val="1"/>
      <w:marLeft w:val="0"/>
      <w:marRight w:val="0"/>
      <w:marTop w:val="0"/>
      <w:marBottom w:val="0"/>
      <w:divBdr>
        <w:top w:val="none" w:sz="0" w:space="0" w:color="auto"/>
        <w:left w:val="none" w:sz="0" w:space="0" w:color="auto"/>
        <w:bottom w:val="none" w:sz="0" w:space="0" w:color="auto"/>
        <w:right w:val="none" w:sz="0" w:space="0" w:color="auto"/>
      </w:divBdr>
    </w:div>
    <w:div w:id="328600593">
      <w:bodyDiv w:val="1"/>
      <w:marLeft w:val="0"/>
      <w:marRight w:val="0"/>
      <w:marTop w:val="0"/>
      <w:marBottom w:val="0"/>
      <w:divBdr>
        <w:top w:val="none" w:sz="0" w:space="0" w:color="auto"/>
        <w:left w:val="none" w:sz="0" w:space="0" w:color="auto"/>
        <w:bottom w:val="none" w:sz="0" w:space="0" w:color="auto"/>
        <w:right w:val="none" w:sz="0" w:space="0" w:color="auto"/>
      </w:divBdr>
    </w:div>
    <w:div w:id="328870303">
      <w:bodyDiv w:val="1"/>
      <w:marLeft w:val="0"/>
      <w:marRight w:val="0"/>
      <w:marTop w:val="0"/>
      <w:marBottom w:val="0"/>
      <w:divBdr>
        <w:top w:val="none" w:sz="0" w:space="0" w:color="auto"/>
        <w:left w:val="none" w:sz="0" w:space="0" w:color="auto"/>
        <w:bottom w:val="none" w:sz="0" w:space="0" w:color="auto"/>
        <w:right w:val="none" w:sz="0" w:space="0" w:color="auto"/>
      </w:divBdr>
    </w:div>
    <w:div w:id="328875352">
      <w:bodyDiv w:val="1"/>
      <w:marLeft w:val="0"/>
      <w:marRight w:val="0"/>
      <w:marTop w:val="0"/>
      <w:marBottom w:val="0"/>
      <w:divBdr>
        <w:top w:val="none" w:sz="0" w:space="0" w:color="auto"/>
        <w:left w:val="none" w:sz="0" w:space="0" w:color="auto"/>
        <w:bottom w:val="none" w:sz="0" w:space="0" w:color="auto"/>
        <w:right w:val="none" w:sz="0" w:space="0" w:color="auto"/>
      </w:divBdr>
    </w:div>
    <w:div w:id="328946760">
      <w:bodyDiv w:val="1"/>
      <w:marLeft w:val="0"/>
      <w:marRight w:val="0"/>
      <w:marTop w:val="0"/>
      <w:marBottom w:val="0"/>
      <w:divBdr>
        <w:top w:val="none" w:sz="0" w:space="0" w:color="auto"/>
        <w:left w:val="none" w:sz="0" w:space="0" w:color="auto"/>
        <w:bottom w:val="none" w:sz="0" w:space="0" w:color="auto"/>
        <w:right w:val="none" w:sz="0" w:space="0" w:color="auto"/>
      </w:divBdr>
    </w:div>
    <w:div w:id="328949588">
      <w:bodyDiv w:val="1"/>
      <w:marLeft w:val="0"/>
      <w:marRight w:val="0"/>
      <w:marTop w:val="0"/>
      <w:marBottom w:val="0"/>
      <w:divBdr>
        <w:top w:val="none" w:sz="0" w:space="0" w:color="auto"/>
        <w:left w:val="none" w:sz="0" w:space="0" w:color="auto"/>
        <w:bottom w:val="none" w:sz="0" w:space="0" w:color="auto"/>
        <w:right w:val="none" w:sz="0" w:space="0" w:color="auto"/>
      </w:divBdr>
    </w:div>
    <w:div w:id="329066208">
      <w:bodyDiv w:val="1"/>
      <w:marLeft w:val="0"/>
      <w:marRight w:val="0"/>
      <w:marTop w:val="0"/>
      <w:marBottom w:val="0"/>
      <w:divBdr>
        <w:top w:val="none" w:sz="0" w:space="0" w:color="auto"/>
        <w:left w:val="none" w:sz="0" w:space="0" w:color="auto"/>
        <w:bottom w:val="none" w:sz="0" w:space="0" w:color="auto"/>
        <w:right w:val="none" w:sz="0" w:space="0" w:color="auto"/>
      </w:divBdr>
    </w:div>
    <w:div w:id="329139255">
      <w:bodyDiv w:val="1"/>
      <w:marLeft w:val="0"/>
      <w:marRight w:val="0"/>
      <w:marTop w:val="0"/>
      <w:marBottom w:val="0"/>
      <w:divBdr>
        <w:top w:val="none" w:sz="0" w:space="0" w:color="auto"/>
        <w:left w:val="none" w:sz="0" w:space="0" w:color="auto"/>
        <w:bottom w:val="none" w:sz="0" w:space="0" w:color="auto"/>
        <w:right w:val="none" w:sz="0" w:space="0" w:color="auto"/>
      </w:divBdr>
    </w:div>
    <w:div w:id="329332435">
      <w:bodyDiv w:val="1"/>
      <w:marLeft w:val="0"/>
      <w:marRight w:val="0"/>
      <w:marTop w:val="0"/>
      <w:marBottom w:val="0"/>
      <w:divBdr>
        <w:top w:val="none" w:sz="0" w:space="0" w:color="auto"/>
        <w:left w:val="none" w:sz="0" w:space="0" w:color="auto"/>
        <w:bottom w:val="none" w:sz="0" w:space="0" w:color="auto"/>
        <w:right w:val="none" w:sz="0" w:space="0" w:color="auto"/>
      </w:divBdr>
    </w:div>
    <w:div w:id="329407270">
      <w:bodyDiv w:val="1"/>
      <w:marLeft w:val="0"/>
      <w:marRight w:val="0"/>
      <w:marTop w:val="0"/>
      <w:marBottom w:val="0"/>
      <w:divBdr>
        <w:top w:val="none" w:sz="0" w:space="0" w:color="auto"/>
        <w:left w:val="none" w:sz="0" w:space="0" w:color="auto"/>
        <w:bottom w:val="none" w:sz="0" w:space="0" w:color="auto"/>
        <w:right w:val="none" w:sz="0" w:space="0" w:color="auto"/>
      </w:divBdr>
    </w:div>
    <w:div w:id="329909381">
      <w:bodyDiv w:val="1"/>
      <w:marLeft w:val="0"/>
      <w:marRight w:val="0"/>
      <w:marTop w:val="0"/>
      <w:marBottom w:val="0"/>
      <w:divBdr>
        <w:top w:val="none" w:sz="0" w:space="0" w:color="auto"/>
        <w:left w:val="none" w:sz="0" w:space="0" w:color="auto"/>
        <w:bottom w:val="none" w:sz="0" w:space="0" w:color="auto"/>
        <w:right w:val="none" w:sz="0" w:space="0" w:color="auto"/>
      </w:divBdr>
    </w:div>
    <w:div w:id="329917649">
      <w:bodyDiv w:val="1"/>
      <w:marLeft w:val="0"/>
      <w:marRight w:val="0"/>
      <w:marTop w:val="0"/>
      <w:marBottom w:val="0"/>
      <w:divBdr>
        <w:top w:val="none" w:sz="0" w:space="0" w:color="auto"/>
        <w:left w:val="none" w:sz="0" w:space="0" w:color="auto"/>
        <w:bottom w:val="none" w:sz="0" w:space="0" w:color="auto"/>
        <w:right w:val="none" w:sz="0" w:space="0" w:color="auto"/>
      </w:divBdr>
    </w:div>
    <w:div w:id="330106140">
      <w:bodyDiv w:val="1"/>
      <w:marLeft w:val="0"/>
      <w:marRight w:val="0"/>
      <w:marTop w:val="0"/>
      <w:marBottom w:val="0"/>
      <w:divBdr>
        <w:top w:val="none" w:sz="0" w:space="0" w:color="auto"/>
        <w:left w:val="none" w:sz="0" w:space="0" w:color="auto"/>
        <w:bottom w:val="none" w:sz="0" w:space="0" w:color="auto"/>
        <w:right w:val="none" w:sz="0" w:space="0" w:color="auto"/>
      </w:divBdr>
    </w:div>
    <w:div w:id="330107451">
      <w:bodyDiv w:val="1"/>
      <w:marLeft w:val="0"/>
      <w:marRight w:val="0"/>
      <w:marTop w:val="0"/>
      <w:marBottom w:val="0"/>
      <w:divBdr>
        <w:top w:val="none" w:sz="0" w:space="0" w:color="auto"/>
        <w:left w:val="none" w:sz="0" w:space="0" w:color="auto"/>
        <w:bottom w:val="none" w:sz="0" w:space="0" w:color="auto"/>
        <w:right w:val="none" w:sz="0" w:space="0" w:color="auto"/>
      </w:divBdr>
    </w:div>
    <w:div w:id="330371112">
      <w:bodyDiv w:val="1"/>
      <w:marLeft w:val="0"/>
      <w:marRight w:val="0"/>
      <w:marTop w:val="0"/>
      <w:marBottom w:val="0"/>
      <w:divBdr>
        <w:top w:val="none" w:sz="0" w:space="0" w:color="auto"/>
        <w:left w:val="none" w:sz="0" w:space="0" w:color="auto"/>
        <w:bottom w:val="none" w:sz="0" w:space="0" w:color="auto"/>
        <w:right w:val="none" w:sz="0" w:space="0" w:color="auto"/>
      </w:divBdr>
    </w:div>
    <w:div w:id="330453507">
      <w:bodyDiv w:val="1"/>
      <w:marLeft w:val="0"/>
      <w:marRight w:val="0"/>
      <w:marTop w:val="0"/>
      <w:marBottom w:val="0"/>
      <w:divBdr>
        <w:top w:val="none" w:sz="0" w:space="0" w:color="auto"/>
        <w:left w:val="none" w:sz="0" w:space="0" w:color="auto"/>
        <w:bottom w:val="none" w:sz="0" w:space="0" w:color="auto"/>
        <w:right w:val="none" w:sz="0" w:space="0" w:color="auto"/>
      </w:divBdr>
    </w:div>
    <w:div w:id="330526029">
      <w:bodyDiv w:val="1"/>
      <w:marLeft w:val="0"/>
      <w:marRight w:val="0"/>
      <w:marTop w:val="0"/>
      <w:marBottom w:val="0"/>
      <w:divBdr>
        <w:top w:val="none" w:sz="0" w:space="0" w:color="auto"/>
        <w:left w:val="none" w:sz="0" w:space="0" w:color="auto"/>
        <w:bottom w:val="none" w:sz="0" w:space="0" w:color="auto"/>
        <w:right w:val="none" w:sz="0" w:space="0" w:color="auto"/>
      </w:divBdr>
    </w:div>
    <w:div w:id="330529624">
      <w:bodyDiv w:val="1"/>
      <w:marLeft w:val="0"/>
      <w:marRight w:val="0"/>
      <w:marTop w:val="0"/>
      <w:marBottom w:val="0"/>
      <w:divBdr>
        <w:top w:val="none" w:sz="0" w:space="0" w:color="auto"/>
        <w:left w:val="none" w:sz="0" w:space="0" w:color="auto"/>
        <w:bottom w:val="none" w:sz="0" w:space="0" w:color="auto"/>
        <w:right w:val="none" w:sz="0" w:space="0" w:color="auto"/>
      </w:divBdr>
    </w:div>
    <w:div w:id="330568149">
      <w:bodyDiv w:val="1"/>
      <w:marLeft w:val="0"/>
      <w:marRight w:val="0"/>
      <w:marTop w:val="0"/>
      <w:marBottom w:val="0"/>
      <w:divBdr>
        <w:top w:val="none" w:sz="0" w:space="0" w:color="auto"/>
        <w:left w:val="none" w:sz="0" w:space="0" w:color="auto"/>
        <w:bottom w:val="none" w:sz="0" w:space="0" w:color="auto"/>
        <w:right w:val="none" w:sz="0" w:space="0" w:color="auto"/>
      </w:divBdr>
    </w:div>
    <w:div w:id="330640766">
      <w:bodyDiv w:val="1"/>
      <w:marLeft w:val="0"/>
      <w:marRight w:val="0"/>
      <w:marTop w:val="0"/>
      <w:marBottom w:val="0"/>
      <w:divBdr>
        <w:top w:val="none" w:sz="0" w:space="0" w:color="auto"/>
        <w:left w:val="none" w:sz="0" w:space="0" w:color="auto"/>
        <w:bottom w:val="none" w:sz="0" w:space="0" w:color="auto"/>
        <w:right w:val="none" w:sz="0" w:space="0" w:color="auto"/>
      </w:divBdr>
    </w:div>
    <w:div w:id="330641333">
      <w:bodyDiv w:val="1"/>
      <w:marLeft w:val="0"/>
      <w:marRight w:val="0"/>
      <w:marTop w:val="0"/>
      <w:marBottom w:val="0"/>
      <w:divBdr>
        <w:top w:val="none" w:sz="0" w:space="0" w:color="auto"/>
        <w:left w:val="none" w:sz="0" w:space="0" w:color="auto"/>
        <w:bottom w:val="none" w:sz="0" w:space="0" w:color="auto"/>
        <w:right w:val="none" w:sz="0" w:space="0" w:color="auto"/>
      </w:divBdr>
    </w:div>
    <w:div w:id="330644421">
      <w:bodyDiv w:val="1"/>
      <w:marLeft w:val="0"/>
      <w:marRight w:val="0"/>
      <w:marTop w:val="0"/>
      <w:marBottom w:val="0"/>
      <w:divBdr>
        <w:top w:val="none" w:sz="0" w:space="0" w:color="auto"/>
        <w:left w:val="none" w:sz="0" w:space="0" w:color="auto"/>
        <w:bottom w:val="none" w:sz="0" w:space="0" w:color="auto"/>
        <w:right w:val="none" w:sz="0" w:space="0" w:color="auto"/>
      </w:divBdr>
    </w:div>
    <w:div w:id="330766097">
      <w:bodyDiv w:val="1"/>
      <w:marLeft w:val="0"/>
      <w:marRight w:val="0"/>
      <w:marTop w:val="0"/>
      <w:marBottom w:val="0"/>
      <w:divBdr>
        <w:top w:val="none" w:sz="0" w:space="0" w:color="auto"/>
        <w:left w:val="none" w:sz="0" w:space="0" w:color="auto"/>
        <w:bottom w:val="none" w:sz="0" w:space="0" w:color="auto"/>
        <w:right w:val="none" w:sz="0" w:space="0" w:color="auto"/>
      </w:divBdr>
    </w:div>
    <w:div w:id="331445349">
      <w:bodyDiv w:val="1"/>
      <w:marLeft w:val="0"/>
      <w:marRight w:val="0"/>
      <w:marTop w:val="0"/>
      <w:marBottom w:val="0"/>
      <w:divBdr>
        <w:top w:val="none" w:sz="0" w:space="0" w:color="auto"/>
        <w:left w:val="none" w:sz="0" w:space="0" w:color="auto"/>
        <w:bottom w:val="none" w:sz="0" w:space="0" w:color="auto"/>
        <w:right w:val="none" w:sz="0" w:space="0" w:color="auto"/>
      </w:divBdr>
    </w:div>
    <w:div w:id="331494336">
      <w:bodyDiv w:val="1"/>
      <w:marLeft w:val="0"/>
      <w:marRight w:val="0"/>
      <w:marTop w:val="0"/>
      <w:marBottom w:val="0"/>
      <w:divBdr>
        <w:top w:val="none" w:sz="0" w:space="0" w:color="auto"/>
        <w:left w:val="none" w:sz="0" w:space="0" w:color="auto"/>
        <w:bottom w:val="none" w:sz="0" w:space="0" w:color="auto"/>
        <w:right w:val="none" w:sz="0" w:space="0" w:color="auto"/>
      </w:divBdr>
    </w:div>
    <w:div w:id="331639105">
      <w:bodyDiv w:val="1"/>
      <w:marLeft w:val="0"/>
      <w:marRight w:val="0"/>
      <w:marTop w:val="0"/>
      <w:marBottom w:val="0"/>
      <w:divBdr>
        <w:top w:val="none" w:sz="0" w:space="0" w:color="auto"/>
        <w:left w:val="none" w:sz="0" w:space="0" w:color="auto"/>
        <w:bottom w:val="none" w:sz="0" w:space="0" w:color="auto"/>
        <w:right w:val="none" w:sz="0" w:space="0" w:color="auto"/>
      </w:divBdr>
    </w:div>
    <w:div w:id="331684364">
      <w:bodyDiv w:val="1"/>
      <w:marLeft w:val="0"/>
      <w:marRight w:val="0"/>
      <w:marTop w:val="0"/>
      <w:marBottom w:val="0"/>
      <w:divBdr>
        <w:top w:val="none" w:sz="0" w:space="0" w:color="auto"/>
        <w:left w:val="none" w:sz="0" w:space="0" w:color="auto"/>
        <w:bottom w:val="none" w:sz="0" w:space="0" w:color="auto"/>
        <w:right w:val="none" w:sz="0" w:space="0" w:color="auto"/>
      </w:divBdr>
    </w:div>
    <w:div w:id="331763743">
      <w:bodyDiv w:val="1"/>
      <w:marLeft w:val="0"/>
      <w:marRight w:val="0"/>
      <w:marTop w:val="0"/>
      <w:marBottom w:val="0"/>
      <w:divBdr>
        <w:top w:val="none" w:sz="0" w:space="0" w:color="auto"/>
        <w:left w:val="none" w:sz="0" w:space="0" w:color="auto"/>
        <w:bottom w:val="none" w:sz="0" w:space="0" w:color="auto"/>
        <w:right w:val="none" w:sz="0" w:space="0" w:color="auto"/>
      </w:divBdr>
    </w:div>
    <w:div w:id="332030015">
      <w:bodyDiv w:val="1"/>
      <w:marLeft w:val="0"/>
      <w:marRight w:val="0"/>
      <w:marTop w:val="0"/>
      <w:marBottom w:val="0"/>
      <w:divBdr>
        <w:top w:val="none" w:sz="0" w:space="0" w:color="auto"/>
        <w:left w:val="none" w:sz="0" w:space="0" w:color="auto"/>
        <w:bottom w:val="none" w:sz="0" w:space="0" w:color="auto"/>
        <w:right w:val="none" w:sz="0" w:space="0" w:color="auto"/>
      </w:divBdr>
    </w:div>
    <w:div w:id="332152785">
      <w:bodyDiv w:val="1"/>
      <w:marLeft w:val="0"/>
      <w:marRight w:val="0"/>
      <w:marTop w:val="0"/>
      <w:marBottom w:val="0"/>
      <w:divBdr>
        <w:top w:val="none" w:sz="0" w:space="0" w:color="auto"/>
        <w:left w:val="none" w:sz="0" w:space="0" w:color="auto"/>
        <w:bottom w:val="none" w:sz="0" w:space="0" w:color="auto"/>
        <w:right w:val="none" w:sz="0" w:space="0" w:color="auto"/>
      </w:divBdr>
    </w:div>
    <w:div w:id="332222891">
      <w:bodyDiv w:val="1"/>
      <w:marLeft w:val="0"/>
      <w:marRight w:val="0"/>
      <w:marTop w:val="0"/>
      <w:marBottom w:val="0"/>
      <w:divBdr>
        <w:top w:val="none" w:sz="0" w:space="0" w:color="auto"/>
        <w:left w:val="none" w:sz="0" w:space="0" w:color="auto"/>
        <w:bottom w:val="none" w:sz="0" w:space="0" w:color="auto"/>
        <w:right w:val="none" w:sz="0" w:space="0" w:color="auto"/>
      </w:divBdr>
    </w:div>
    <w:div w:id="332345358">
      <w:bodyDiv w:val="1"/>
      <w:marLeft w:val="0"/>
      <w:marRight w:val="0"/>
      <w:marTop w:val="0"/>
      <w:marBottom w:val="0"/>
      <w:divBdr>
        <w:top w:val="none" w:sz="0" w:space="0" w:color="auto"/>
        <w:left w:val="none" w:sz="0" w:space="0" w:color="auto"/>
        <w:bottom w:val="none" w:sz="0" w:space="0" w:color="auto"/>
        <w:right w:val="none" w:sz="0" w:space="0" w:color="auto"/>
      </w:divBdr>
    </w:div>
    <w:div w:id="332530011">
      <w:bodyDiv w:val="1"/>
      <w:marLeft w:val="0"/>
      <w:marRight w:val="0"/>
      <w:marTop w:val="0"/>
      <w:marBottom w:val="0"/>
      <w:divBdr>
        <w:top w:val="none" w:sz="0" w:space="0" w:color="auto"/>
        <w:left w:val="none" w:sz="0" w:space="0" w:color="auto"/>
        <w:bottom w:val="none" w:sz="0" w:space="0" w:color="auto"/>
        <w:right w:val="none" w:sz="0" w:space="0" w:color="auto"/>
      </w:divBdr>
    </w:div>
    <w:div w:id="332606890">
      <w:bodyDiv w:val="1"/>
      <w:marLeft w:val="0"/>
      <w:marRight w:val="0"/>
      <w:marTop w:val="0"/>
      <w:marBottom w:val="0"/>
      <w:divBdr>
        <w:top w:val="none" w:sz="0" w:space="0" w:color="auto"/>
        <w:left w:val="none" w:sz="0" w:space="0" w:color="auto"/>
        <w:bottom w:val="none" w:sz="0" w:space="0" w:color="auto"/>
        <w:right w:val="none" w:sz="0" w:space="0" w:color="auto"/>
      </w:divBdr>
    </w:div>
    <w:div w:id="332800196">
      <w:bodyDiv w:val="1"/>
      <w:marLeft w:val="0"/>
      <w:marRight w:val="0"/>
      <w:marTop w:val="0"/>
      <w:marBottom w:val="0"/>
      <w:divBdr>
        <w:top w:val="none" w:sz="0" w:space="0" w:color="auto"/>
        <w:left w:val="none" w:sz="0" w:space="0" w:color="auto"/>
        <w:bottom w:val="none" w:sz="0" w:space="0" w:color="auto"/>
        <w:right w:val="none" w:sz="0" w:space="0" w:color="auto"/>
      </w:divBdr>
    </w:div>
    <w:div w:id="332992405">
      <w:bodyDiv w:val="1"/>
      <w:marLeft w:val="0"/>
      <w:marRight w:val="0"/>
      <w:marTop w:val="0"/>
      <w:marBottom w:val="0"/>
      <w:divBdr>
        <w:top w:val="none" w:sz="0" w:space="0" w:color="auto"/>
        <w:left w:val="none" w:sz="0" w:space="0" w:color="auto"/>
        <w:bottom w:val="none" w:sz="0" w:space="0" w:color="auto"/>
        <w:right w:val="none" w:sz="0" w:space="0" w:color="auto"/>
      </w:divBdr>
    </w:div>
    <w:div w:id="333067742">
      <w:bodyDiv w:val="1"/>
      <w:marLeft w:val="0"/>
      <w:marRight w:val="0"/>
      <w:marTop w:val="0"/>
      <w:marBottom w:val="0"/>
      <w:divBdr>
        <w:top w:val="none" w:sz="0" w:space="0" w:color="auto"/>
        <w:left w:val="none" w:sz="0" w:space="0" w:color="auto"/>
        <w:bottom w:val="none" w:sz="0" w:space="0" w:color="auto"/>
        <w:right w:val="none" w:sz="0" w:space="0" w:color="auto"/>
      </w:divBdr>
    </w:div>
    <w:div w:id="333149175">
      <w:bodyDiv w:val="1"/>
      <w:marLeft w:val="0"/>
      <w:marRight w:val="0"/>
      <w:marTop w:val="0"/>
      <w:marBottom w:val="0"/>
      <w:divBdr>
        <w:top w:val="none" w:sz="0" w:space="0" w:color="auto"/>
        <w:left w:val="none" w:sz="0" w:space="0" w:color="auto"/>
        <w:bottom w:val="none" w:sz="0" w:space="0" w:color="auto"/>
        <w:right w:val="none" w:sz="0" w:space="0" w:color="auto"/>
      </w:divBdr>
    </w:div>
    <w:div w:id="333189137">
      <w:bodyDiv w:val="1"/>
      <w:marLeft w:val="0"/>
      <w:marRight w:val="0"/>
      <w:marTop w:val="0"/>
      <w:marBottom w:val="0"/>
      <w:divBdr>
        <w:top w:val="none" w:sz="0" w:space="0" w:color="auto"/>
        <w:left w:val="none" w:sz="0" w:space="0" w:color="auto"/>
        <w:bottom w:val="none" w:sz="0" w:space="0" w:color="auto"/>
        <w:right w:val="none" w:sz="0" w:space="0" w:color="auto"/>
      </w:divBdr>
    </w:div>
    <w:div w:id="333457852">
      <w:bodyDiv w:val="1"/>
      <w:marLeft w:val="0"/>
      <w:marRight w:val="0"/>
      <w:marTop w:val="0"/>
      <w:marBottom w:val="0"/>
      <w:divBdr>
        <w:top w:val="none" w:sz="0" w:space="0" w:color="auto"/>
        <w:left w:val="none" w:sz="0" w:space="0" w:color="auto"/>
        <w:bottom w:val="none" w:sz="0" w:space="0" w:color="auto"/>
        <w:right w:val="none" w:sz="0" w:space="0" w:color="auto"/>
      </w:divBdr>
    </w:div>
    <w:div w:id="333458760">
      <w:bodyDiv w:val="1"/>
      <w:marLeft w:val="0"/>
      <w:marRight w:val="0"/>
      <w:marTop w:val="0"/>
      <w:marBottom w:val="0"/>
      <w:divBdr>
        <w:top w:val="none" w:sz="0" w:space="0" w:color="auto"/>
        <w:left w:val="none" w:sz="0" w:space="0" w:color="auto"/>
        <w:bottom w:val="none" w:sz="0" w:space="0" w:color="auto"/>
        <w:right w:val="none" w:sz="0" w:space="0" w:color="auto"/>
      </w:divBdr>
    </w:div>
    <w:div w:id="333919043">
      <w:bodyDiv w:val="1"/>
      <w:marLeft w:val="0"/>
      <w:marRight w:val="0"/>
      <w:marTop w:val="0"/>
      <w:marBottom w:val="0"/>
      <w:divBdr>
        <w:top w:val="none" w:sz="0" w:space="0" w:color="auto"/>
        <w:left w:val="none" w:sz="0" w:space="0" w:color="auto"/>
        <w:bottom w:val="none" w:sz="0" w:space="0" w:color="auto"/>
        <w:right w:val="none" w:sz="0" w:space="0" w:color="auto"/>
      </w:divBdr>
    </w:div>
    <w:div w:id="333920454">
      <w:bodyDiv w:val="1"/>
      <w:marLeft w:val="0"/>
      <w:marRight w:val="0"/>
      <w:marTop w:val="0"/>
      <w:marBottom w:val="0"/>
      <w:divBdr>
        <w:top w:val="none" w:sz="0" w:space="0" w:color="auto"/>
        <w:left w:val="none" w:sz="0" w:space="0" w:color="auto"/>
        <w:bottom w:val="none" w:sz="0" w:space="0" w:color="auto"/>
        <w:right w:val="none" w:sz="0" w:space="0" w:color="auto"/>
      </w:divBdr>
    </w:div>
    <w:div w:id="333998592">
      <w:bodyDiv w:val="1"/>
      <w:marLeft w:val="0"/>
      <w:marRight w:val="0"/>
      <w:marTop w:val="0"/>
      <w:marBottom w:val="0"/>
      <w:divBdr>
        <w:top w:val="none" w:sz="0" w:space="0" w:color="auto"/>
        <w:left w:val="none" w:sz="0" w:space="0" w:color="auto"/>
        <w:bottom w:val="none" w:sz="0" w:space="0" w:color="auto"/>
        <w:right w:val="none" w:sz="0" w:space="0" w:color="auto"/>
      </w:divBdr>
    </w:div>
    <w:div w:id="334234736">
      <w:bodyDiv w:val="1"/>
      <w:marLeft w:val="0"/>
      <w:marRight w:val="0"/>
      <w:marTop w:val="0"/>
      <w:marBottom w:val="0"/>
      <w:divBdr>
        <w:top w:val="none" w:sz="0" w:space="0" w:color="auto"/>
        <w:left w:val="none" w:sz="0" w:space="0" w:color="auto"/>
        <w:bottom w:val="none" w:sz="0" w:space="0" w:color="auto"/>
        <w:right w:val="none" w:sz="0" w:space="0" w:color="auto"/>
      </w:divBdr>
    </w:div>
    <w:div w:id="334260297">
      <w:bodyDiv w:val="1"/>
      <w:marLeft w:val="0"/>
      <w:marRight w:val="0"/>
      <w:marTop w:val="0"/>
      <w:marBottom w:val="0"/>
      <w:divBdr>
        <w:top w:val="none" w:sz="0" w:space="0" w:color="auto"/>
        <w:left w:val="none" w:sz="0" w:space="0" w:color="auto"/>
        <w:bottom w:val="none" w:sz="0" w:space="0" w:color="auto"/>
        <w:right w:val="none" w:sz="0" w:space="0" w:color="auto"/>
      </w:divBdr>
    </w:div>
    <w:div w:id="334303364">
      <w:bodyDiv w:val="1"/>
      <w:marLeft w:val="0"/>
      <w:marRight w:val="0"/>
      <w:marTop w:val="0"/>
      <w:marBottom w:val="0"/>
      <w:divBdr>
        <w:top w:val="none" w:sz="0" w:space="0" w:color="auto"/>
        <w:left w:val="none" w:sz="0" w:space="0" w:color="auto"/>
        <w:bottom w:val="none" w:sz="0" w:space="0" w:color="auto"/>
        <w:right w:val="none" w:sz="0" w:space="0" w:color="auto"/>
      </w:divBdr>
    </w:div>
    <w:div w:id="334500760">
      <w:bodyDiv w:val="1"/>
      <w:marLeft w:val="0"/>
      <w:marRight w:val="0"/>
      <w:marTop w:val="0"/>
      <w:marBottom w:val="0"/>
      <w:divBdr>
        <w:top w:val="none" w:sz="0" w:space="0" w:color="auto"/>
        <w:left w:val="none" w:sz="0" w:space="0" w:color="auto"/>
        <w:bottom w:val="none" w:sz="0" w:space="0" w:color="auto"/>
        <w:right w:val="none" w:sz="0" w:space="0" w:color="auto"/>
      </w:divBdr>
    </w:div>
    <w:div w:id="334656051">
      <w:bodyDiv w:val="1"/>
      <w:marLeft w:val="0"/>
      <w:marRight w:val="0"/>
      <w:marTop w:val="0"/>
      <w:marBottom w:val="0"/>
      <w:divBdr>
        <w:top w:val="none" w:sz="0" w:space="0" w:color="auto"/>
        <w:left w:val="none" w:sz="0" w:space="0" w:color="auto"/>
        <w:bottom w:val="none" w:sz="0" w:space="0" w:color="auto"/>
        <w:right w:val="none" w:sz="0" w:space="0" w:color="auto"/>
      </w:divBdr>
    </w:div>
    <w:div w:id="335307102">
      <w:bodyDiv w:val="1"/>
      <w:marLeft w:val="0"/>
      <w:marRight w:val="0"/>
      <w:marTop w:val="0"/>
      <w:marBottom w:val="0"/>
      <w:divBdr>
        <w:top w:val="none" w:sz="0" w:space="0" w:color="auto"/>
        <w:left w:val="none" w:sz="0" w:space="0" w:color="auto"/>
        <w:bottom w:val="none" w:sz="0" w:space="0" w:color="auto"/>
        <w:right w:val="none" w:sz="0" w:space="0" w:color="auto"/>
      </w:divBdr>
    </w:div>
    <w:div w:id="335499420">
      <w:bodyDiv w:val="1"/>
      <w:marLeft w:val="0"/>
      <w:marRight w:val="0"/>
      <w:marTop w:val="0"/>
      <w:marBottom w:val="0"/>
      <w:divBdr>
        <w:top w:val="none" w:sz="0" w:space="0" w:color="auto"/>
        <w:left w:val="none" w:sz="0" w:space="0" w:color="auto"/>
        <w:bottom w:val="none" w:sz="0" w:space="0" w:color="auto"/>
        <w:right w:val="none" w:sz="0" w:space="0" w:color="auto"/>
      </w:divBdr>
    </w:div>
    <w:div w:id="335620135">
      <w:bodyDiv w:val="1"/>
      <w:marLeft w:val="0"/>
      <w:marRight w:val="0"/>
      <w:marTop w:val="0"/>
      <w:marBottom w:val="0"/>
      <w:divBdr>
        <w:top w:val="none" w:sz="0" w:space="0" w:color="auto"/>
        <w:left w:val="none" w:sz="0" w:space="0" w:color="auto"/>
        <w:bottom w:val="none" w:sz="0" w:space="0" w:color="auto"/>
        <w:right w:val="none" w:sz="0" w:space="0" w:color="auto"/>
      </w:divBdr>
    </w:div>
    <w:div w:id="335764354">
      <w:bodyDiv w:val="1"/>
      <w:marLeft w:val="0"/>
      <w:marRight w:val="0"/>
      <w:marTop w:val="0"/>
      <w:marBottom w:val="0"/>
      <w:divBdr>
        <w:top w:val="none" w:sz="0" w:space="0" w:color="auto"/>
        <w:left w:val="none" w:sz="0" w:space="0" w:color="auto"/>
        <w:bottom w:val="none" w:sz="0" w:space="0" w:color="auto"/>
        <w:right w:val="none" w:sz="0" w:space="0" w:color="auto"/>
      </w:divBdr>
    </w:div>
    <w:div w:id="335810633">
      <w:bodyDiv w:val="1"/>
      <w:marLeft w:val="0"/>
      <w:marRight w:val="0"/>
      <w:marTop w:val="0"/>
      <w:marBottom w:val="0"/>
      <w:divBdr>
        <w:top w:val="none" w:sz="0" w:space="0" w:color="auto"/>
        <w:left w:val="none" w:sz="0" w:space="0" w:color="auto"/>
        <w:bottom w:val="none" w:sz="0" w:space="0" w:color="auto"/>
        <w:right w:val="none" w:sz="0" w:space="0" w:color="auto"/>
      </w:divBdr>
    </w:div>
    <w:div w:id="336273136">
      <w:bodyDiv w:val="1"/>
      <w:marLeft w:val="0"/>
      <w:marRight w:val="0"/>
      <w:marTop w:val="0"/>
      <w:marBottom w:val="0"/>
      <w:divBdr>
        <w:top w:val="none" w:sz="0" w:space="0" w:color="auto"/>
        <w:left w:val="none" w:sz="0" w:space="0" w:color="auto"/>
        <w:bottom w:val="none" w:sz="0" w:space="0" w:color="auto"/>
        <w:right w:val="none" w:sz="0" w:space="0" w:color="auto"/>
      </w:divBdr>
    </w:div>
    <w:div w:id="336421698">
      <w:bodyDiv w:val="1"/>
      <w:marLeft w:val="0"/>
      <w:marRight w:val="0"/>
      <w:marTop w:val="0"/>
      <w:marBottom w:val="0"/>
      <w:divBdr>
        <w:top w:val="none" w:sz="0" w:space="0" w:color="auto"/>
        <w:left w:val="none" w:sz="0" w:space="0" w:color="auto"/>
        <w:bottom w:val="none" w:sz="0" w:space="0" w:color="auto"/>
        <w:right w:val="none" w:sz="0" w:space="0" w:color="auto"/>
      </w:divBdr>
    </w:div>
    <w:div w:id="336730228">
      <w:bodyDiv w:val="1"/>
      <w:marLeft w:val="0"/>
      <w:marRight w:val="0"/>
      <w:marTop w:val="0"/>
      <w:marBottom w:val="0"/>
      <w:divBdr>
        <w:top w:val="none" w:sz="0" w:space="0" w:color="auto"/>
        <w:left w:val="none" w:sz="0" w:space="0" w:color="auto"/>
        <w:bottom w:val="none" w:sz="0" w:space="0" w:color="auto"/>
        <w:right w:val="none" w:sz="0" w:space="0" w:color="auto"/>
      </w:divBdr>
    </w:div>
    <w:div w:id="336733156">
      <w:bodyDiv w:val="1"/>
      <w:marLeft w:val="0"/>
      <w:marRight w:val="0"/>
      <w:marTop w:val="0"/>
      <w:marBottom w:val="0"/>
      <w:divBdr>
        <w:top w:val="none" w:sz="0" w:space="0" w:color="auto"/>
        <w:left w:val="none" w:sz="0" w:space="0" w:color="auto"/>
        <w:bottom w:val="none" w:sz="0" w:space="0" w:color="auto"/>
        <w:right w:val="none" w:sz="0" w:space="0" w:color="auto"/>
      </w:divBdr>
    </w:div>
    <w:div w:id="337317516">
      <w:bodyDiv w:val="1"/>
      <w:marLeft w:val="0"/>
      <w:marRight w:val="0"/>
      <w:marTop w:val="0"/>
      <w:marBottom w:val="0"/>
      <w:divBdr>
        <w:top w:val="none" w:sz="0" w:space="0" w:color="auto"/>
        <w:left w:val="none" w:sz="0" w:space="0" w:color="auto"/>
        <w:bottom w:val="none" w:sz="0" w:space="0" w:color="auto"/>
        <w:right w:val="none" w:sz="0" w:space="0" w:color="auto"/>
      </w:divBdr>
    </w:div>
    <w:div w:id="337388705">
      <w:bodyDiv w:val="1"/>
      <w:marLeft w:val="0"/>
      <w:marRight w:val="0"/>
      <w:marTop w:val="0"/>
      <w:marBottom w:val="0"/>
      <w:divBdr>
        <w:top w:val="none" w:sz="0" w:space="0" w:color="auto"/>
        <w:left w:val="none" w:sz="0" w:space="0" w:color="auto"/>
        <w:bottom w:val="none" w:sz="0" w:space="0" w:color="auto"/>
        <w:right w:val="none" w:sz="0" w:space="0" w:color="auto"/>
      </w:divBdr>
    </w:div>
    <w:div w:id="337656831">
      <w:bodyDiv w:val="1"/>
      <w:marLeft w:val="0"/>
      <w:marRight w:val="0"/>
      <w:marTop w:val="0"/>
      <w:marBottom w:val="0"/>
      <w:divBdr>
        <w:top w:val="none" w:sz="0" w:space="0" w:color="auto"/>
        <w:left w:val="none" w:sz="0" w:space="0" w:color="auto"/>
        <w:bottom w:val="none" w:sz="0" w:space="0" w:color="auto"/>
        <w:right w:val="none" w:sz="0" w:space="0" w:color="auto"/>
      </w:divBdr>
    </w:div>
    <w:div w:id="337775277">
      <w:bodyDiv w:val="1"/>
      <w:marLeft w:val="0"/>
      <w:marRight w:val="0"/>
      <w:marTop w:val="0"/>
      <w:marBottom w:val="0"/>
      <w:divBdr>
        <w:top w:val="none" w:sz="0" w:space="0" w:color="auto"/>
        <w:left w:val="none" w:sz="0" w:space="0" w:color="auto"/>
        <w:bottom w:val="none" w:sz="0" w:space="0" w:color="auto"/>
        <w:right w:val="none" w:sz="0" w:space="0" w:color="auto"/>
      </w:divBdr>
    </w:div>
    <w:div w:id="338045100">
      <w:bodyDiv w:val="1"/>
      <w:marLeft w:val="0"/>
      <w:marRight w:val="0"/>
      <w:marTop w:val="0"/>
      <w:marBottom w:val="0"/>
      <w:divBdr>
        <w:top w:val="none" w:sz="0" w:space="0" w:color="auto"/>
        <w:left w:val="none" w:sz="0" w:space="0" w:color="auto"/>
        <w:bottom w:val="none" w:sz="0" w:space="0" w:color="auto"/>
        <w:right w:val="none" w:sz="0" w:space="0" w:color="auto"/>
      </w:divBdr>
    </w:div>
    <w:div w:id="338120852">
      <w:bodyDiv w:val="1"/>
      <w:marLeft w:val="0"/>
      <w:marRight w:val="0"/>
      <w:marTop w:val="0"/>
      <w:marBottom w:val="0"/>
      <w:divBdr>
        <w:top w:val="none" w:sz="0" w:space="0" w:color="auto"/>
        <w:left w:val="none" w:sz="0" w:space="0" w:color="auto"/>
        <w:bottom w:val="none" w:sz="0" w:space="0" w:color="auto"/>
        <w:right w:val="none" w:sz="0" w:space="0" w:color="auto"/>
      </w:divBdr>
    </w:div>
    <w:div w:id="338233908">
      <w:bodyDiv w:val="1"/>
      <w:marLeft w:val="0"/>
      <w:marRight w:val="0"/>
      <w:marTop w:val="0"/>
      <w:marBottom w:val="0"/>
      <w:divBdr>
        <w:top w:val="none" w:sz="0" w:space="0" w:color="auto"/>
        <w:left w:val="none" w:sz="0" w:space="0" w:color="auto"/>
        <w:bottom w:val="none" w:sz="0" w:space="0" w:color="auto"/>
        <w:right w:val="none" w:sz="0" w:space="0" w:color="auto"/>
      </w:divBdr>
    </w:div>
    <w:div w:id="338391983">
      <w:bodyDiv w:val="1"/>
      <w:marLeft w:val="0"/>
      <w:marRight w:val="0"/>
      <w:marTop w:val="0"/>
      <w:marBottom w:val="0"/>
      <w:divBdr>
        <w:top w:val="none" w:sz="0" w:space="0" w:color="auto"/>
        <w:left w:val="none" w:sz="0" w:space="0" w:color="auto"/>
        <w:bottom w:val="none" w:sz="0" w:space="0" w:color="auto"/>
        <w:right w:val="none" w:sz="0" w:space="0" w:color="auto"/>
      </w:divBdr>
    </w:div>
    <w:div w:id="338510472">
      <w:bodyDiv w:val="1"/>
      <w:marLeft w:val="0"/>
      <w:marRight w:val="0"/>
      <w:marTop w:val="0"/>
      <w:marBottom w:val="0"/>
      <w:divBdr>
        <w:top w:val="none" w:sz="0" w:space="0" w:color="auto"/>
        <w:left w:val="none" w:sz="0" w:space="0" w:color="auto"/>
        <w:bottom w:val="none" w:sz="0" w:space="0" w:color="auto"/>
        <w:right w:val="none" w:sz="0" w:space="0" w:color="auto"/>
      </w:divBdr>
    </w:div>
    <w:div w:id="338581088">
      <w:bodyDiv w:val="1"/>
      <w:marLeft w:val="0"/>
      <w:marRight w:val="0"/>
      <w:marTop w:val="0"/>
      <w:marBottom w:val="0"/>
      <w:divBdr>
        <w:top w:val="none" w:sz="0" w:space="0" w:color="auto"/>
        <w:left w:val="none" w:sz="0" w:space="0" w:color="auto"/>
        <w:bottom w:val="none" w:sz="0" w:space="0" w:color="auto"/>
        <w:right w:val="none" w:sz="0" w:space="0" w:color="auto"/>
      </w:divBdr>
    </w:div>
    <w:div w:id="338969197">
      <w:bodyDiv w:val="1"/>
      <w:marLeft w:val="0"/>
      <w:marRight w:val="0"/>
      <w:marTop w:val="0"/>
      <w:marBottom w:val="0"/>
      <w:divBdr>
        <w:top w:val="none" w:sz="0" w:space="0" w:color="auto"/>
        <w:left w:val="none" w:sz="0" w:space="0" w:color="auto"/>
        <w:bottom w:val="none" w:sz="0" w:space="0" w:color="auto"/>
        <w:right w:val="none" w:sz="0" w:space="0" w:color="auto"/>
      </w:divBdr>
    </w:div>
    <w:div w:id="339163537">
      <w:bodyDiv w:val="1"/>
      <w:marLeft w:val="0"/>
      <w:marRight w:val="0"/>
      <w:marTop w:val="0"/>
      <w:marBottom w:val="0"/>
      <w:divBdr>
        <w:top w:val="none" w:sz="0" w:space="0" w:color="auto"/>
        <w:left w:val="none" w:sz="0" w:space="0" w:color="auto"/>
        <w:bottom w:val="none" w:sz="0" w:space="0" w:color="auto"/>
        <w:right w:val="none" w:sz="0" w:space="0" w:color="auto"/>
      </w:divBdr>
    </w:div>
    <w:div w:id="339309207">
      <w:bodyDiv w:val="1"/>
      <w:marLeft w:val="0"/>
      <w:marRight w:val="0"/>
      <w:marTop w:val="0"/>
      <w:marBottom w:val="0"/>
      <w:divBdr>
        <w:top w:val="none" w:sz="0" w:space="0" w:color="auto"/>
        <w:left w:val="none" w:sz="0" w:space="0" w:color="auto"/>
        <w:bottom w:val="none" w:sz="0" w:space="0" w:color="auto"/>
        <w:right w:val="none" w:sz="0" w:space="0" w:color="auto"/>
      </w:divBdr>
    </w:div>
    <w:div w:id="339352749">
      <w:bodyDiv w:val="1"/>
      <w:marLeft w:val="0"/>
      <w:marRight w:val="0"/>
      <w:marTop w:val="0"/>
      <w:marBottom w:val="0"/>
      <w:divBdr>
        <w:top w:val="none" w:sz="0" w:space="0" w:color="auto"/>
        <w:left w:val="none" w:sz="0" w:space="0" w:color="auto"/>
        <w:bottom w:val="none" w:sz="0" w:space="0" w:color="auto"/>
        <w:right w:val="none" w:sz="0" w:space="0" w:color="auto"/>
      </w:divBdr>
    </w:div>
    <w:div w:id="339430964">
      <w:bodyDiv w:val="1"/>
      <w:marLeft w:val="0"/>
      <w:marRight w:val="0"/>
      <w:marTop w:val="0"/>
      <w:marBottom w:val="0"/>
      <w:divBdr>
        <w:top w:val="none" w:sz="0" w:space="0" w:color="auto"/>
        <w:left w:val="none" w:sz="0" w:space="0" w:color="auto"/>
        <w:bottom w:val="none" w:sz="0" w:space="0" w:color="auto"/>
        <w:right w:val="none" w:sz="0" w:space="0" w:color="auto"/>
      </w:divBdr>
    </w:div>
    <w:div w:id="339436205">
      <w:bodyDiv w:val="1"/>
      <w:marLeft w:val="0"/>
      <w:marRight w:val="0"/>
      <w:marTop w:val="0"/>
      <w:marBottom w:val="0"/>
      <w:divBdr>
        <w:top w:val="none" w:sz="0" w:space="0" w:color="auto"/>
        <w:left w:val="none" w:sz="0" w:space="0" w:color="auto"/>
        <w:bottom w:val="none" w:sz="0" w:space="0" w:color="auto"/>
        <w:right w:val="none" w:sz="0" w:space="0" w:color="auto"/>
      </w:divBdr>
    </w:div>
    <w:div w:id="339745789">
      <w:bodyDiv w:val="1"/>
      <w:marLeft w:val="0"/>
      <w:marRight w:val="0"/>
      <w:marTop w:val="0"/>
      <w:marBottom w:val="0"/>
      <w:divBdr>
        <w:top w:val="none" w:sz="0" w:space="0" w:color="auto"/>
        <w:left w:val="none" w:sz="0" w:space="0" w:color="auto"/>
        <w:bottom w:val="none" w:sz="0" w:space="0" w:color="auto"/>
        <w:right w:val="none" w:sz="0" w:space="0" w:color="auto"/>
      </w:divBdr>
    </w:div>
    <w:div w:id="340082146">
      <w:bodyDiv w:val="1"/>
      <w:marLeft w:val="0"/>
      <w:marRight w:val="0"/>
      <w:marTop w:val="0"/>
      <w:marBottom w:val="0"/>
      <w:divBdr>
        <w:top w:val="none" w:sz="0" w:space="0" w:color="auto"/>
        <w:left w:val="none" w:sz="0" w:space="0" w:color="auto"/>
        <w:bottom w:val="none" w:sz="0" w:space="0" w:color="auto"/>
        <w:right w:val="none" w:sz="0" w:space="0" w:color="auto"/>
      </w:divBdr>
    </w:div>
    <w:div w:id="340207905">
      <w:bodyDiv w:val="1"/>
      <w:marLeft w:val="0"/>
      <w:marRight w:val="0"/>
      <w:marTop w:val="0"/>
      <w:marBottom w:val="0"/>
      <w:divBdr>
        <w:top w:val="none" w:sz="0" w:space="0" w:color="auto"/>
        <w:left w:val="none" w:sz="0" w:space="0" w:color="auto"/>
        <w:bottom w:val="none" w:sz="0" w:space="0" w:color="auto"/>
        <w:right w:val="none" w:sz="0" w:space="0" w:color="auto"/>
      </w:divBdr>
    </w:div>
    <w:div w:id="340275306">
      <w:bodyDiv w:val="1"/>
      <w:marLeft w:val="0"/>
      <w:marRight w:val="0"/>
      <w:marTop w:val="0"/>
      <w:marBottom w:val="0"/>
      <w:divBdr>
        <w:top w:val="none" w:sz="0" w:space="0" w:color="auto"/>
        <w:left w:val="none" w:sz="0" w:space="0" w:color="auto"/>
        <w:bottom w:val="none" w:sz="0" w:space="0" w:color="auto"/>
        <w:right w:val="none" w:sz="0" w:space="0" w:color="auto"/>
      </w:divBdr>
    </w:div>
    <w:div w:id="341010055">
      <w:bodyDiv w:val="1"/>
      <w:marLeft w:val="0"/>
      <w:marRight w:val="0"/>
      <w:marTop w:val="0"/>
      <w:marBottom w:val="0"/>
      <w:divBdr>
        <w:top w:val="none" w:sz="0" w:space="0" w:color="auto"/>
        <w:left w:val="none" w:sz="0" w:space="0" w:color="auto"/>
        <w:bottom w:val="none" w:sz="0" w:space="0" w:color="auto"/>
        <w:right w:val="none" w:sz="0" w:space="0" w:color="auto"/>
      </w:divBdr>
    </w:div>
    <w:div w:id="341054396">
      <w:bodyDiv w:val="1"/>
      <w:marLeft w:val="0"/>
      <w:marRight w:val="0"/>
      <w:marTop w:val="0"/>
      <w:marBottom w:val="0"/>
      <w:divBdr>
        <w:top w:val="none" w:sz="0" w:space="0" w:color="auto"/>
        <w:left w:val="none" w:sz="0" w:space="0" w:color="auto"/>
        <w:bottom w:val="none" w:sz="0" w:space="0" w:color="auto"/>
        <w:right w:val="none" w:sz="0" w:space="0" w:color="auto"/>
      </w:divBdr>
    </w:div>
    <w:div w:id="341319965">
      <w:bodyDiv w:val="1"/>
      <w:marLeft w:val="0"/>
      <w:marRight w:val="0"/>
      <w:marTop w:val="0"/>
      <w:marBottom w:val="0"/>
      <w:divBdr>
        <w:top w:val="none" w:sz="0" w:space="0" w:color="auto"/>
        <w:left w:val="none" w:sz="0" w:space="0" w:color="auto"/>
        <w:bottom w:val="none" w:sz="0" w:space="0" w:color="auto"/>
        <w:right w:val="none" w:sz="0" w:space="0" w:color="auto"/>
      </w:divBdr>
    </w:div>
    <w:div w:id="341709376">
      <w:bodyDiv w:val="1"/>
      <w:marLeft w:val="0"/>
      <w:marRight w:val="0"/>
      <w:marTop w:val="0"/>
      <w:marBottom w:val="0"/>
      <w:divBdr>
        <w:top w:val="none" w:sz="0" w:space="0" w:color="auto"/>
        <w:left w:val="none" w:sz="0" w:space="0" w:color="auto"/>
        <w:bottom w:val="none" w:sz="0" w:space="0" w:color="auto"/>
        <w:right w:val="none" w:sz="0" w:space="0" w:color="auto"/>
      </w:divBdr>
    </w:div>
    <w:div w:id="341709398">
      <w:bodyDiv w:val="1"/>
      <w:marLeft w:val="0"/>
      <w:marRight w:val="0"/>
      <w:marTop w:val="0"/>
      <w:marBottom w:val="0"/>
      <w:divBdr>
        <w:top w:val="none" w:sz="0" w:space="0" w:color="auto"/>
        <w:left w:val="none" w:sz="0" w:space="0" w:color="auto"/>
        <w:bottom w:val="none" w:sz="0" w:space="0" w:color="auto"/>
        <w:right w:val="none" w:sz="0" w:space="0" w:color="auto"/>
      </w:divBdr>
    </w:div>
    <w:div w:id="341711775">
      <w:bodyDiv w:val="1"/>
      <w:marLeft w:val="0"/>
      <w:marRight w:val="0"/>
      <w:marTop w:val="0"/>
      <w:marBottom w:val="0"/>
      <w:divBdr>
        <w:top w:val="none" w:sz="0" w:space="0" w:color="auto"/>
        <w:left w:val="none" w:sz="0" w:space="0" w:color="auto"/>
        <w:bottom w:val="none" w:sz="0" w:space="0" w:color="auto"/>
        <w:right w:val="none" w:sz="0" w:space="0" w:color="auto"/>
      </w:divBdr>
    </w:div>
    <w:div w:id="341857946">
      <w:bodyDiv w:val="1"/>
      <w:marLeft w:val="0"/>
      <w:marRight w:val="0"/>
      <w:marTop w:val="0"/>
      <w:marBottom w:val="0"/>
      <w:divBdr>
        <w:top w:val="none" w:sz="0" w:space="0" w:color="auto"/>
        <w:left w:val="none" w:sz="0" w:space="0" w:color="auto"/>
        <w:bottom w:val="none" w:sz="0" w:space="0" w:color="auto"/>
        <w:right w:val="none" w:sz="0" w:space="0" w:color="auto"/>
      </w:divBdr>
    </w:div>
    <w:div w:id="341905242">
      <w:bodyDiv w:val="1"/>
      <w:marLeft w:val="0"/>
      <w:marRight w:val="0"/>
      <w:marTop w:val="0"/>
      <w:marBottom w:val="0"/>
      <w:divBdr>
        <w:top w:val="none" w:sz="0" w:space="0" w:color="auto"/>
        <w:left w:val="none" w:sz="0" w:space="0" w:color="auto"/>
        <w:bottom w:val="none" w:sz="0" w:space="0" w:color="auto"/>
        <w:right w:val="none" w:sz="0" w:space="0" w:color="auto"/>
      </w:divBdr>
    </w:div>
    <w:div w:id="342051611">
      <w:bodyDiv w:val="1"/>
      <w:marLeft w:val="0"/>
      <w:marRight w:val="0"/>
      <w:marTop w:val="0"/>
      <w:marBottom w:val="0"/>
      <w:divBdr>
        <w:top w:val="none" w:sz="0" w:space="0" w:color="auto"/>
        <w:left w:val="none" w:sz="0" w:space="0" w:color="auto"/>
        <w:bottom w:val="none" w:sz="0" w:space="0" w:color="auto"/>
        <w:right w:val="none" w:sz="0" w:space="0" w:color="auto"/>
      </w:divBdr>
    </w:div>
    <w:div w:id="342054575">
      <w:bodyDiv w:val="1"/>
      <w:marLeft w:val="0"/>
      <w:marRight w:val="0"/>
      <w:marTop w:val="0"/>
      <w:marBottom w:val="0"/>
      <w:divBdr>
        <w:top w:val="none" w:sz="0" w:space="0" w:color="auto"/>
        <w:left w:val="none" w:sz="0" w:space="0" w:color="auto"/>
        <w:bottom w:val="none" w:sz="0" w:space="0" w:color="auto"/>
        <w:right w:val="none" w:sz="0" w:space="0" w:color="auto"/>
      </w:divBdr>
    </w:div>
    <w:div w:id="342174123">
      <w:bodyDiv w:val="1"/>
      <w:marLeft w:val="0"/>
      <w:marRight w:val="0"/>
      <w:marTop w:val="0"/>
      <w:marBottom w:val="0"/>
      <w:divBdr>
        <w:top w:val="none" w:sz="0" w:space="0" w:color="auto"/>
        <w:left w:val="none" w:sz="0" w:space="0" w:color="auto"/>
        <w:bottom w:val="none" w:sz="0" w:space="0" w:color="auto"/>
        <w:right w:val="none" w:sz="0" w:space="0" w:color="auto"/>
      </w:divBdr>
    </w:div>
    <w:div w:id="342248008">
      <w:bodyDiv w:val="1"/>
      <w:marLeft w:val="0"/>
      <w:marRight w:val="0"/>
      <w:marTop w:val="0"/>
      <w:marBottom w:val="0"/>
      <w:divBdr>
        <w:top w:val="none" w:sz="0" w:space="0" w:color="auto"/>
        <w:left w:val="none" w:sz="0" w:space="0" w:color="auto"/>
        <w:bottom w:val="none" w:sz="0" w:space="0" w:color="auto"/>
        <w:right w:val="none" w:sz="0" w:space="0" w:color="auto"/>
      </w:divBdr>
    </w:div>
    <w:div w:id="342366084">
      <w:bodyDiv w:val="1"/>
      <w:marLeft w:val="0"/>
      <w:marRight w:val="0"/>
      <w:marTop w:val="0"/>
      <w:marBottom w:val="0"/>
      <w:divBdr>
        <w:top w:val="none" w:sz="0" w:space="0" w:color="auto"/>
        <w:left w:val="none" w:sz="0" w:space="0" w:color="auto"/>
        <w:bottom w:val="none" w:sz="0" w:space="0" w:color="auto"/>
        <w:right w:val="none" w:sz="0" w:space="0" w:color="auto"/>
      </w:divBdr>
    </w:div>
    <w:div w:id="342436251">
      <w:bodyDiv w:val="1"/>
      <w:marLeft w:val="0"/>
      <w:marRight w:val="0"/>
      <w:marTop w:val="0"/>
      <w:marBottom w:val="0"/>
      <w:divBdr>
        <w:top w:val="none" w:sz="0" w:space="0" w:color="auto"/>
        <w:left w:val="none" w:sz="0" w:space="0" w:color="auto"/>
        <w:bottom w:val="none" w:sz="0" w:space="0" w:color="auto"/>
        <w:right w:val="none" w:sz="0" w:space="0" w:color="auto"/>
      </w:divBdr>
    </w:div>
    <w:div w:id="342557463">
      <w:bodyDiv w:val="1"/>
      <w:marLeft w:val="0"/>
      <w:marRight w:val="0"/>
      <w:marTop w:val="0"/>
      <w:marBottom w:val="0"/>
      <w:divBdr>
        <w:top w:val="none" w:sz="0" w:space="0" w:color="auto"/>
        <w:left w:val="none" w:sz="0" w:space="0" w:color="auto"/>
        <w:bottom w:val="none" w:sz="0" w:space="0" w:color="auto"/>
        <w:right w:val="none" w:sz="0" w:space="0" w:color="auto"/>
      </w:divBdr>
    </w:div>
    <w:div w:id="342781687">
      <w:bodyDiv w:val="1"/>
      <w:marLeft w:val="0"/>
      <w:marRight w:val="0"/>
      <w:marTop w:val="0"/>
      <w:marBottom w:val="0"/>
      <w:divBdr>
        <w:top w:val="none" w:sz="0" w:space="0" w:color="auto"/>
        <w:left w:val="none" w:sz="0" w:space="0" w:color="auto"/>
        <w:bottom w:val="none" w:sz="0" w:space="0" w:color="auto"/>
        <w:right w:val="none" w:sz="0" w:space="0" w:color="auto"/>
      </w:divBdr>
    </w:div>
    <w:div w:id="342972479">
      <w:bodyDiv w:val="1"/>
      <w:marLeft w:val="0"/>
      <w:marRight w:val="0"/>
      <w:marTop w:val="0"/>
      <w:marBottom w:val="0"/>
      <w:divBdr>
        <w:top w:val="none" w:sz="0" w:space="0" w:color="auto"/>
        <w:left w:val="none" w:sz="0" w:space="0" w:color="auto"/>
        <w:bottom w:val="none" w:sz="0" w:space="0" w:color="auto"/>
        <w:right w:val="none" w:sz="0" w:space="0" w:color="auto"/>
      </w:divBdr>
    </w:div>
    <w:div w:id="343362986">
      <w:bodyDiv w:val="1"/>
      <w:marLeft w:val="0"/>
      <w:marRight w:val="0"/>
      <w:marTop w:val="0"/>
      <w:marBottom w:val="0"/>
      <w:divBdr>
        <w:top w:val="none" w:sz="0" w:space="0" w:color="auto"/>
        <w:left w:val="none" w:sz="0" w:space="0" w:color="auto"/>
        <w:bottom w:val="none" w:sz="0" w:space="0" w:color="auto"/>
        <w:right w:val="none" w:sz="0" w:space="0" w:color="auto"/>
      </w:divBdr>
    </w:div>
    <w:div w:id="343477925">
      <w:bodyDiv w:val="1"/>
      <w:marLeft w:val="0"/>
      <w:marRight w:val="0"/>
      <w:marTop w:val="0"/>
      <w:marBottom w:val="0"/>
      <w:divBdr>
        <w:top w:val="none" w:sz="0" w:space="0" w:color="auto"/>
        <w:left w:val="none" w:sz="0" w:space="0" w:color="auto"/>
        <w:bottom w:val="none" w:sz="0" w:space="0" w:color="auto"/>
        <w:right w:val="none" w:sz="0" w:space="0" w:color="auto"/>
      </w:divBdr>
    </w:div>
    <w:div w:id="343556378">
      <w:bodyDiv w:val="1"/>
      <w:marLeft w:val="0"/>
      <w:marRight w:val="0"/>
      <w:marTop w:val="0"/>
      <w:marBottom w:val="0"/>
      <w:divBdr>
        <w:top w:val="none" w:sz="0" w:space="0" w:color="auto"/>
        <w:left w:val="none" w:sz="0" w:space="0" w:color="auto"/>
        <w:bottom w:val="none" w:sz="0" w:space="0" w:color="auto"/>
        <w:right w:val="none" w:sz="0" w:space="0" w:color="auto"/>
      </w:divBdr>
    </w:div>
    <w:div w:id="343675031">
      <w:bodyDiv w:val="1"/>
      <w:marLeft w:val="0"/>
      <w:marRight w:val="0"/>
      <w:marTop w:val="0"/>
      <w:marBottom w:val="0"/>
      <w:divBdr>
        <w:top w:val="none" w:sz="0" w:space="0" w:color="auto"/>
        <w:left w:val="none" w:sz="0" w:space="0" w:color="auto"/>
        <w:bottom w:val="none" w:sz="0" w:space="0" w:color="auto"/>
        <w:right w:val="none" w:sz="0" w:space="0" w:color="auto"/>
      </w:divBdr>
    </w:div>
    <w:div w:id="343749295">
      <w:bodyDiv w:val="1"/>
      <w:marLeft w:val="0"/>
      <w:marRight w:val="0"/>
      <w:marTop w:val="0"/>
      <w:marBottom w:val="0"/>
      <w:divBdr>
        <w:top w:val="none" w:sz="0" w:space="0" w:color="auto"/>
        <w:left w:val="none" w:sz="0" w:space="0" w:color="auto"/>
        <w:bottom w:val="none" w:sz="0" w:space="0" w:color="auto"/>
        <w:right w:val="none" w:sz="0" w:space="0" w:color="auto"/>
      </w:divBdr>
    </w:div>
    <w:div w:id="343938725">
      <w:bodyDiv w:val="1"/>
      <w:marLeft w:val="0"/>
      <w:marRight w:val="0"/>
      <w:marTop w:val="0"/>
      <w:marBottom w:val="0"/>
      <w:divBdr>
        <w:top w:val="none" w:sz="0" w:space="0" w:color="auto"/>
        <w:left w:val="none" w:sz="0" w:space="0" w:color="auto"/>
        <w:bottom w:val="none" w:sz="0" w:space="0" w:color="auto"/>
        <w:right w:val="none" w:sz="0" w:space="0" w:color="auto"/>
      </w:divBdr>
    </w:div>
    <w:div w:id="343946925">
      <w:bodyDiv w:val="1"/>
      <w:marLeft w:val="0"/>
      <w:marRight w:val="0"/>
      <w:marTop w:val="0"/>
      <w:marBottom w:val="0"/>
      <w:divBdr>
        <w:top w:val="none" w:sz="0" w:space="0" w:color="auto"/>
        <w:left w:val="none" w:sz="0" w:space="0" w:color="auto"/>
        <w:bottom w:val="none" w:sz="0" w:space="0" w:color="auto"/>
        <w:right w:val="none" w:sz="0" w:space="0" w:color="auto"/>
      </w:divBdr>
    </w:div>
    <w:div w:id="344137509">
      <w:bodyDiv w:val="1"/>
      <w:marLeft w:val="0"/>
      <w:marRight w:val="0"/>
      <w:marTop w:val="0"/>
      <w:marBottom w:val="0"/>
      <w:divBdr>
        <w:top w:val="none" w:sz="0" w:space="0" w:color="auto"/>
        <w:left w:val="none" w:sz="0" w:space="0" w:color="auto"/>
        <w:bottom w:val="none" w:sz="0" w:space="0" w:color="auto"/>
        <w:right w:val="none" w:sz="0" w:space="0" w:color="auto"/>
      </w:divBdr>
    </w:div>
    <w:div w:id="344476431">
      <w:bodyDiv w:val="1"/>
      <w:marLeft w:val="0"/>
      <w:marRight w:val="0"/>
      <w:marTop w:val="0"/>
      <w:marBottom w:val="0"/>
      <w:divBdr>
        <w:top w:val="none" w:sz="0" w:space="0" w:color="auto"/>
        <w:left w:val="none" w:sz="0" w:space="0" w:color="auto"/>
        <w:bottom w:val="none" w:sz="0" w:space="0" w:color="auto"/>
        <w:right w:val="none" w:sz="0" w:space="0" w:color="auto"/>
      </w:divBdr>
    </w:div>
    <w:div w:id="344553389">
      <w:bodyDiv w:val="1"/>
      <w:marLeft w:val="0"/>
      <w:marRight w:val="0"/>
      <w:marTop w:val="0"/>
      <w:marBottom w:val="0"/>
      <w:divBdr>
        <w:top w:val="none" w:sz="0" w:space="0" w:color="auto"/>
        <w:left w:val="none" w:sz="0" w:space="0" w:color="auto"/>
        <w:bottom w:val="none" w:sz="0" w:space="0" w:color="auto"/>
        <w:right w:val="none" w:sz="0" w:space="0" w:color="auto"/>
      </w:divBdr>
    </w:div>
    <w:div w:id="344671262">
      <w:bodyDiv w:val="1"/>
      <w:marLeft w:val="0"/>
      <w:marRight w:val="0"/>
      <w:marTop w:val="0"/>
      <w:marBottom w:val="0"/>
      <w:divBdr>
        <w:top w:val="none" w:sz="0" w:space="0" w:color="auto"/>
        <w:left w:val="none" w:sz="0" w:space="0" w:color="auto"/>
        <w:bottom w:val="none" w:sz="0" w:space="0" w:color="auto"/>
        <w:right w:val="none" w:sz="0" w:space="0" w:color="auto"/>
      </w:divBdr>
    </w:div>
    <w:div w:id="344938539">
      <w:bodyDiv w:val="1"/>
      <w:marLeft w:val="0"/>
      <w:marRight w:val="0"/>
      <w:marTop w:val="0"/>
      <w:marBottom w:val="0"/>
      <w:divBdr>
        <w:top w:val="none" w:sz="0" w:space="0" w:color="auto"/>
        <w:left w:val="none" w:sz="0" w:space="0" w:color="auto"/>
        <w:bottom w:val="none" w:sz="0" w:space="0" w:color="auto"/>
        <w:right w:val="none" w:sz="0" w:space="0" w:color="auto"/>
      </w:divBdr>
    </w:div>
    <w:div w:id="345403629">
      <w:bodyDiv w:val="1"/>
      <w:marLeft w:val="0"/>
      <w:marRight w:val="0"/>
      <w:marTop w:val="0"/>
      <w:marBottom w:val="0"/>
      <w:divBdr>
        <w:top w:val="none" w:sz="0" w:space="0" w:color="auto"/>
        <w:left w:val="none" w:sz="0" w:space="0" w:color="auto"/>
        <w:bottom w:val="none" w:sz="0" w:space="0" w:color="auto"/>
        <w:right w:val="none" w:sz="0" w:space="0" w:color="auto"/>
      </w:divBdr>
    </w:div>
    <w:div w:id="345403935">
      <w:bodyDiv w:val="1"/>
      <w:marLeft w:val="0"/>
      <w:marRight w:val="0"/>
      <w:marTop w:val="0"/>
      <w:marBottom w:val="0"/>
      <w:divBdr>
        <w:top w:val="none" w:sz="0" w:space="0" w:color="auto"/>
        <w:left w:val="none" w:sz="0" w:space="0" w:color="auto"/>
        <w:bottom w:val="none" w:sz="0" w:space="0" w:color="auto"/>
        <w:right w:val="none" w:sz="0" w:space="0" w:color="auto"/>
      </w:divBdr>
    </w:div>
    <w:div w:id="346256399">
      <w:bodyDiv w:val="1"/>
      <w:marLeft w:val="0"/>
      <w:marRight w:val="0"/>
      <w:marTop w:val="0"/>
      <w:marBottom w:val="0"/>
      <w:divBdr>
        <w:top w:val="none" w:sz="0" w:space="0" w:color="auto"/>
        <w:left w:val="none" w:sz="0" w:space="0" w:color="auto"/>
        <w:bottom w:val="none" w:sz="0" w:space="0" w:color="auto"/>
        <w:right w:val="none" w:sz="0" w:space="0" w:color="auto"/>
      </w:divBdr>
    </w:div>
    <w:div w:id="346441764">
      <w:bodyDiv w:val="1"/>
      <w:marLeft w:val="0"/>
      <w:marRight w:val="0"/>
      <w:marTop w:val="0"/>
      <w:marBottom w:val="0"/>
      <w:divBdr>
        <w:top w:val="none" w:sz="0" w:space="0" w:color="auto"/>
        <w:left w:val="none" w:sz="0" w:space="0" w:color="auto"/>
        <w:bottom w:val="none" w:sz="0" w:space="0" w:color="auto"/>
        <w:right w:val="none" w:sz="0" w:space="0" w:color="auto"/>
      </w:divBdr>
    </w:div>
    <w:div w:id="346443967">
      <w:bodyDiv w:val="1"/>
      <w:marLeft w:val="0"/>
      <w:marRight w:val="0"/>
      <w:marTop w:val="0"/>
      <w:marBottom w:val="0"/>
      <w:divBdr>
        <w:top w:val="none" w:sz="0" w:space="0" w:color="auto"/>
        <w:left w:val="none" w:sz="0" w:space="0" w:color="auto"/>
        <w:bottom w:val="none" w:sz="0" w:space="0" w:color="auto"/>
        <w:right w:val="none" w:sz="0" w:space="0" w:color="auto"/>
      </w:divBdr>
    </w:div>
    <w:div w:id="346490035">
      <w:bodyDiv w:val="1"/>
      <w:marLeft w:val="0"/>
      <w:marRight w:val="0"/>
      <w:marTop w:val="0"/>
      <w:marBottom w:val="0"/>
      <w:divBdr>
        <w:top w:val="none" w:sz="0" w:space="0" w:color="auto"/>
        <w:left w:val="none" w:sz="0" w:space="0" w:color="auto"/>
        <w:bottom w:val="none" w:sz="0" w:space="0" w:color="auto"/>
        <w:right w:val="none" w:sz="0" w:space="0" w:color="auto"/>
      </w:divBdr>
    </w:div>
    <w:div w:id="346636369">
      <w:bodyDiv w:val="1"/>
      <w:marLeft w:val="0"/>
      <w:marRight w:val="0"/>
      <w:marTop w:val="0"/>
      <w:marBottom w:val="0"/>
      <w:divBdr>
        <w:top w:val="none" w:sz="0" w:space="0" w:color="auto"/>
        <w:left w:val="none" w:sz="0" w:space="0" w:color="auto"/>
        <w:bottom w:val="none" w:sz="0" w:space="0" w:color="auto"/>
        <w:right w:val="none" w:sz="0" w:space="0" w:color="auto"/>
      </w:divBdr>
    </w:div>
    <w:div w:id="347021197">
      <w:bodyDiv w:val="1"/>
      <w:marLeft w:val="0"/>
      <w:marRight w:val="0"/>
      <w:marTop w:val="0"/>
      <w:marBottom w:val="0"/>
      <w:divBdr>
        <w:top w:val="none" w:sz="0" w:space="0" w:color="auto"/>
        <w:left w:val="none" w:sz="0" w:space="0" w:color="auto"/>
        <w:bottom w:val="none" w:sz="0" w:space="0" w:color="auto"/>
        <w:right w:val="none" w:sz="0" w:space="0" w:color="auto"/>
      </w:divBdr>
    </w:div>
    <w:div w:id="347023865">
      <w:bodyDiv w:val="1"/>
      <w:marLeft w:val="0"/>
      <w:marRight w:val="0"/>
      <w:marTop w:val="0"/>
      <w:marBottom w:val="0"/>
      <w:divBdr>
        <w:top w:val="none" w:sz="0" w:space="0" w:color="auto"/>
        <w:left w:val="none" w:sz="0" w:space="0" w:color="auto"/>
        <w:bottom w:val="none" w:sz="0" w:space="0" w:color="auto"/>
        <w:right w:val="none" w:sz="0" w:space="0" w:color="auto"/>
      </w:divBdr>
    </w:div>
    <w:div w:id="347218494">
      <w:bodyDiv w:val="1"/>
      <w:marLeft w:val="0"/>
      <w:marRight w:val="0"/>
      <w:marTop w:val="0"/>
      <w:marBottom w:val="0"/>
      <w:divBdr>
        <w:top w:val="none" w:sz="0" w:space="0" w:color="auto"/>
        <w:left w:val="none" w:sz="0" w:space="0" w:color="auto"/>
        <w:bottom w:val="none" w:sz="0" w:space="0" w:color="auto"/>
        <w:right w:val="none" w:sz="0" w:space="0" w:color="auto"/>
      </w:divBdr>
    </w:div>
    <w:div w:id="347368803">
      <w:bodyDiv w:val="1"/>
      <w:marLeft w:val="0"/>
      <w:marRight w:val="0"/>
      <w:marTop w:val="0"/>
      <w:marBottom w:val="0"/>
      <w:divBdr>
        <w:top w:val="none" w:sz="0" w:space="0" w:color="auto"/>
        <w:left w:val="none" w:sz="0" w:space="0" w:color="auto"/>
        <w:bottom w:val="none" w:sz="0" w:space="0" w:color="auto"/>
        <w:right w:val="none" w:sz="0" w:space="0" w:color="auto"/>
      </w:divBdr>
    </w:div>
    <w:div w:id="347370346">
      <w:bodyDiv w:val="1"/>
      <w:marLeft w:val="0"/>
      <w:marRight w:val="0"/>
      <w:marTop w:val="0"/>
      <w:marBottom w:val="0"/>
      <w:divBdr>
        <w:top w:val="none" w:sz="0" w:space="0" w:color="auto"/>
        <w:left w:val="none" w:sz="0" w:space="0" w:color="auto"/>
        <w:bottom w:val="none" w:sz="0" w:space="0" w:color="auto"/>
        <w:right w:val="none" w:sz="0" w:space="0" w:color="auto"/>
      </w:divBdr>
    </w:div>
    <w:div w:id="347373517">
      <w:bodyDiv w:val="1"/>
      <w:marLeft w:val="0"/>
      <w:marRight w:val="0"/>
      <w:marTop w:val="0"/>
      <w:marBottom w:val="0"/>
      <w:divBdr>
        <w:top w:val="none" w:sz="0" w:space="0" w:color="auto"/>
        <w:left w:val="none" w:sz="0" w:space="0" w:color="auto"/>
        <w:bottom w:val="none" w:sz="0" w:space="0" w:color="auto"/>
        <w:right w:val="none" w:sz="0" w:space="0" w:color="auto"/>
      </w:divBdr>
    </w:div>
    <w:div w:id="347492746">
      <w:bodyDiv w:val="1"/>
      <w:marLeft w:val="0"/>
      <w:marRight w:val="0"/>
      <w:marTop w:val="0"/>
      <w:marBottom w:val="0"/>
      <w:divBdr>
        <w:top w:val="none" w:sz="0" w:space="0" w:color="auto"/>
        <w:left w:val="none" w:sz="0" w:space="0" w:color="auto"/>
        <w:bottom w:val="none" w:sz="0" w:space="0" w:color="auto"/>
        <w:right w:val="none" w:sz="0" w:space="0" w:color="auto"/>
      </w:divBdr>
    </w:div>
    <w:div w:id="347679137">
      <w:bodyDiv w:val="1"/>
      <w:marLeft w:val="0"/>
      <w:marRight w:val="0"/>
      <w:marTop w:val="0"/>
      <w:marBottom w:val="0"/>
      <w:divBdr>
        <w:top w:val="none" w:sz="0" w:space="0" w:color="auto"/>
        <w:left w:val="none" w:sz="0" w:space="0" w:color="auto"/>
        <w:bottom w:val="none" w:sz="0" w:space="0" w:color="auto"/>
        <w:right w:val="none" w:sz="0" w:space="0" w:color="auto"/>
      </w:divBdr>
    </w:div>
    <w:div w:id="347753066">
      <w:bodyDiv w:val="1"/>
      <w:marLeft w:val="0"/>
      <w:marRight w:val="0"/>
      <w:marTop w:val="0"/>
      <w:marBottom w:val="0"/>
      <w:divBdr>
        <w:top w:val="none" w:sz="0" w:space="0" w:color="auto"/>
        <w:left w:val="none" w:sz="0" w:space="0" w:color="auto"/>
        <w:bottom w:val="none" w:sz="0" w:space="0" w:color="auto"/>
        <w:right w:val="none" w:sz="0" w:space="0" w:color="auto"/>
      </w:divBdr>
    </w:div>
    <w:div w:id="347756543">
      <w:bodyDiv w:val="1"/>
      <w:marLeft w:val="0"/>
      <w:marRight w:val="0"/>
      <w:marTop w:val="0"/>
      <w:marBottom w:val="0"/>
      <w:divBdr>
        <w:top w:val="none" w:sz="0" w:space="0" w:color="auto"/>
        <w:left w:val="none" w:sz="0" w:space="0" w:color="auto"/>
        <w:bottom w:val="none" w:sz="0" w:space="0" w:color="auto"/>
        <w:right w:val="none" w:sz="0" w:space="0" w:color="auto"/>
      </w:divBdr>
    </w:div>
    <w:div w:id="347870598">
      <w:bodyDiv w:val="1"/>
      <w:marLeft w:val="0"/>
      <w:marRight w:val="0"/>
      <w:marTop w:val="0"/>
      <w:marBottom w:val="0"/>
      <w:divBdr>
        <w:top w:val="none" w:sz="0" w:space="0" w:color="auto"/>
        <w:left w:val="none" w:sz="0" w:space="0" w:color="auto"/>
        <w:bottom w:val="none" w:sz="0" w:space="0" w:color="auto"/>
        <w:right w:val="none" w:sz="0" w:space="0" w:color="auto"/>
      </w:divBdr>
    </w:div>
    <w:div w:id="347945393">
      <w:bodyDiv w:val="1"/>
      <w:marLeft w:val="0"/>
      <w:marRight w:val="0"/>
      <w:marTop w:val="0"/>
      <w:marBottom w:val="0"/>
      <w:divBdr>
        <w:top w:val="none" w:sz="0" w:space="0" w:color="auto"/>
        <w:left w:val="none" w:sz="0" w:space="0" w:color="auto"/>
        <w:bottom w:val="none" w:sz="0" w:space="0" w:color="auto"/>
        <w:right w:val="none" w:sz="0" w:space="0" w:color="auto"/>
      </w:divBdr>
    </w:div>
    <w:div w:id="348217425">
      <w:bodyDiv w:val="1"/>
      <w:marLeft w:val="0"/>
      <w:marRight w:val="0"/>
      <w:marTop w:val="0"/>
      <w:marBottom w:val="0"/>
      <w:divBdr>
        <w:top w:val="none" w:sz="0" w:space="0" w:color="auto"/>
        <w:left w:val="none" w:sz="0" w:space="0" w:color="auto"/>
        <w:bottom w:val="none" w:sz="0" w:space="0" w:color="auto"/>
        <w:right w:val="none" w:sz="0" w:space="0" w:color="auto"/>
      </w:divBdr>
    </w:div>
    <w:div w:id="348334775">
      <w:bodyDiv w:val="1"/>
      <w:marLeft w:val="0"/>
      <w:marRight w:val="0"/>
      <w:marTop w:val="0"/>
      <w:marBottom w:val="0"/>
      <w:divBdr>
        <w:top w:val="none" w:sz="0" w:space="0" w:color="auto"/>
        <w:left w:val="none" w:sz="0" w:space="0" w:color="auto"/>
        <w:bottom w:val="none" w:sz="0" w:space="0" w:color="auto"/>
        <w:right w:val="none" w:sz="0" w:space="0" w:color="auto"/>
      </w:divBdr>
    </w:div>
    <w:div w:id="348412290">
      <w:bodyDiv w:val="1"/>
      <w:marLeft w:val="0"/>
      <w:marRight w:val="0"/>
      <w:marTop w:val="0"/>
      <w:marBottom w:val="0"/>
      <w:divBdr>
        <w:top w:val="none" w:sz="0" w:space="0" w:color="auto"/>
        <w:left w:val="none" w:sz="0" w:space="0" w:color="auto"/>
        <w:bottom w:val="none" w:sz="0" w:space="0" w:color="auto"/>
        <w:right w:val="none" w:sz="0" w:space="0" w:color="auto"/>
      </w:divBdr>
    </w:div>
    <w:div w:id="348994144">
      <w:bodyDiv w:val="1"/>
      <w:marLeft w:val="0"/>
      <w:marRight w:val="0"/>
      <w:marTop w:val="0"/>
      <w:marBottom w:val="0"/>
      <w:divBdr>
        <w:top w:val="none" w:sz="0" w:space="0" w:color="auto"/>
        <w:left w:val="none" w:sz="0" w:space="0" w:color="auto"/>
        <w:bottom w:val="none" w:sz="0" w:space="0" w:color="auto"/>
        <w:right w:val="none" w:sz="0" w:space="0" w:color="auto"/>
      </w:divBdr>
    </w:div>
    <w:div w:id="349110903">
      <w:bodyDiv w:val="1"/>
      <w:marLeft w:val="0"/>
      <w:marRight w:val="0"/>
      <w:marTop w:val="0"/>
      <w:marBottom w:val="0"/>
      <w:divBdr>
        <w:top w:val="none" w:sz="0" w:space="0" w:color="auto"/>
        <w:left w:val="none" w:sz="0" w:space="0" w:color="auto"/>
        <w:bottom w:val="none" w:sz="0" w:space="0" w:color="auto"/>
        <w:right w:val="none" w:sz="0" w:space="0" w:color="auto"/>
      </w:divBdr>
    </w:div>
    <w:div w:id="349263698">
      <w:bodyDiv w:val="1"/>
      <w:marLeft w:val="0"/>
      <w:marRight w:val="0"/>
      <w:marTop w:val="0"/>
      <w:marBottom w:val="0"/>
      <w:divBdr>
        <w:top w:val="none" w:sz="0" w:space="0" w:color="auto"/>
        <w:left w:val="none" w:sz="0" w:space="0" w:color="auto"/>
        <w:bottom w:val="none" w:sz="0" w:space="0" w:color="auto"/>
        <w:right w:val="none" w:sz="0" w:space="0" w:color="auto"/>
      </w:divBdr>
    </w:div>
    <w:div w:id="349335027">
      <w:bodyDiv w:val="1"/>
      <w:marLeft w:val="0"/>
      <w:marRight w:val="0"/>
      <w:marTop w:val="0"/>
      <w:marBottom w:val="0"/>
      <w:divBdr>
        <w:top w:val="none" w:sz="0" w:space="0" w:color="auto"/>
        <w:left w:val="none" w:sz="0" w:space="0" w:color="auto"/>
        <w:bottom w:val="none" w:sz="0" w:space="0" w:color="auto"/>
        <w:right w:val="none" w:sz="0" w:space="0" w:color="auto"/>
      </w:divBdr>
    </w:div>
    <w:div w:id="349339565">
      <w:bodyDiv w:val="1"/>
      <w:marLeft w:val="0"/>
      <w:marRight w:val="0"/>
      <w:marTop w:val="0"/>
      <w:marBottom w:val="0"/>
      <w:divBdr>
        <w:top w:val="none" w:sz="0" w:space="0" w:color="auto"/>
        <w:left w:val="none" w:sz="0" w:space="0" w:color="auto"/>
        <w:bottom w:val="none" w:sz="0" w:space="0" w:color="auto"/>
        <w:right w:val="none" w:sz="0" w:space="0" w:color="auto"/>
      </w:divBdr>
    </w:div>
    <w:div w:id="349375254">
      <w:bodyDiv w:val="1"/>
      <w:marLeft w:val="0"/>
      <w:marRight w:val="0"/>
      <w:marTop w:val="0"/>
      <w:marBottom w:val="0"/>
      <w:divBdr>
        <w:top w:val="none" w:sz="0" w:space="0" w:color="auto"/>
        <w:left w:val="none" w:sz="0" w:space="0" w:color="auto"/>
        <w:bottom w:val="none" w:sz="0" w:space="0" w:color="auto"/>
        <w:right w:val="none" w:sz="0" w:space="0" w:color="auto"/>
      </w:divBdr>
    </w:div>
    <w:div w:id="349449652">
      <w:bodyDiv w:val="1"/>
      <w:marLeft w:val="0"/>
      <w:marRight w:val="0"/>
      <w:marTop w:val="0"/>
      <w:marBottom w:val="0"/>
      <w:divBdr>
        <w:top w:val="none" w:sz="0" w:space="0" w:color="auto"/>
        <w:left w:val="none" w:sz="0" w:space="0" w:color="auto"/>
        <w:bottom w:val="none" w:sz="0" w:space="0" w:color="auto"/>
        <w:right w:val="none" w:sz="0" w:space="0" w:color="auto"/>
      </w:divBdr>
    </w:div>
    <w:div w:id="349795720">
      <w:bodyDiv w:val="1"/>
      <w:marLeft w:val="0"/>
      <w:marRight w:val="0"/>
      <w:marTop w:val="0"/>
      <w:marBottom w:val="0"/>
      <w:divBdr>
        <w:top w:val="none" w:sz="0" w:space="0" w:color="auto"/>
        <w:left w:val="none" w:sz="0" w:space="0" w:color="auto"/>
        <w:bottom w:val="none" w:sz="0" w:space="0" w:color="auto"/>
        <w:right w:val="none" w:sz="0" w:space="0" w:color="auto"/>
      </w:divBdr>
    </w:div>
    <w:div w:id="350226344">
      <w:bodyDiv w:val="1"/>
      <w:marLeft w:val="0"/>
      <w:marRight w:val="0"/>
      <w:marTop w:val="0"/>
      <w:marBottom w:val="0"/>
      <w:divBdr>
        <w:top w:val="none" w:sz="0" w:space="0" w:color="auto"/>
        <w:left w:val="none" w:sz="0" w:space="0" w:color="auto"/>
        <w:bottom w:val="none" w:sz="0" w:space="0" w:color="auto"/>
        <w:right w:val="none" w:sz="0" w:space="0" w:color="auto"/>
      </w:divBdr>
    </w:div>
    <w:div w:id="350305253">
      <w:bodyDiv w:val="1"/>
      <w:marLeft w:val="0"/>
      <w:marRight w:val="0"/>
      <w:marTop w:val="0"/>
      <w:marBottom w:val="0"/>
      <w:divBdr>
        <w:top w:val="none" w:sz="0" w:space="0" w:color="auto"/>
        <w:left w:val="none" w:sz="0" w:space="0" w:color="auto"/>
        <w:bottom w:val="none" w:sz="0" w:space="0" w:color="auto"/>
        <w:right w:val="none" w:sz="0" w:space="0" w:color="auto"/>
      </w:divBdr>
    </w:div>
    <w:div w:id="350378166">
      <w:bodyDiv w:val="1"/>
      <w:marLeft w:val="0"/>
      <w:marRight w:val="0"/>
      <w:marTop w:val="0"/>
      <w:marBottom w:val="0"/>
      <w:divBdr>
        <w:top w:val="none" w:sz="0" w:space="0" w:color="auto"/>
        <w:left w:val="none" w:sz="0" w:space="0" w:color="auto"/>
        <w:bottom w:val="none" w:sz="0" w:space="0" w:color="auto"/>
        <w:right w:val="none" w:sz="0" w:space="0" w:color="auto"/>
      </w:divBdr>
    </w:div>
    <w:div w:id="350452308">
      <w:bodyDiv w:val="1"/>
      <w:marLeft w:val="0"/>
      <w:marRight w:val="0"/>
      <w:marTop w:val="0"/>
      <w:marBottom w:val="0"/>
      <w:divBdr>
        <w:top w:val="none" w:sz="0" w:space="0" w:color="auto"/>
        <w:left w:val="none" w:sz="0" w:space="0" w:color="auto"/>
        <w:bottom w:val="none" w:sz="0" w:space="0" w:color="auto"/>
        <w:right w:val="none" w:sz="0" w:space="0" w:color="auto"/>
      </w:divBdr>
    </w:div>
    <w:div w:id="350572701">
      <w:bodyDiv w:val="1"/>
      <w:marLeft w:val="0"/>
      <w:marRight w:val="0"/>
      <w:marTop w:val="0"/>
      <w:marBottom w:val="0"/>
      <w:divBdr>
        <w:top w:val="none" w:sz="0" w:space="0" w:color="auto"/>
        <w:left w:val="none" w:sz="0" w:space="0" w:color="auto"/>
        <w:bottom w:val="none" w:sz="0" w:space="0" w:color="auto"/>
        <w:right w:val="none" w:sz="0" w:space="0" w:color="auto"/>
      </w:divBdr>
    </w:div>
    <w:div w:id="350645888">
      <w:bodyDiv w:val="1"/>
      <w:marLeft w:val="0"/>
      <w:marRight w:val="0"/>
      <w:marTop w:val="0"/>
      <w:marBottom w:val="0"/>
      <w:divBdr>
        <w:top w:val="none" w:sz="0" w:space="0" w:color="auto"/>
        <w:left w:val="none" w:sz="0" w:space="0" w:color="auto"/>
        <w:bottom w:val="none" w:sz="0" w:space="0" w:color="auto"/>
        <w:right w:val="none" w:sz="0" w:space="0" w:color="auto"/>
      </w:divBdr>
    </w:div>
    <w:div w:id="350765943">
      <w:bodyDiv w:val="1"/>
      <w:marLeft w:val="0"/>
      <w:marRight w:val="0"/>
      <w:marTop w:val="0"/>
      <w:marBottom w:val="0"/>
      <w:divBdr>
        <w:top w:val="none" w:sz="0" w:space="0" w:color="auto"/>
        <w:left w:val="none" w:sz="0" w:space="0" w:color="auto"/>
        <w:bottom w:val="none" w:sz="0" w:space="0" w:color="auto"/>
        <w:right w:val="none" w:sz="0" w:space="0" w:color="auto"/>
      </w:divBdr>
    </w:div>
    <w:div w:id="351106072">
      <w:bodyDiv w:val="1"/>
      <w:marLeft w:val="0"/>
      <w:marRight w:val="0"/>
      <w:marTop w:val="0"/>
      <w:marBottom w:val="0"/>
      <w:divBdr>
        <w:top w:val="none" w:sz="0" w:space="0" w:color="auto"/>
        <w:left w:val="none" w:sz="0" w:space="0" w:color="auto"/>
        <w:bottom w:val="none" w:sz="0" w:space="0" w:color="auto"/>
        <w:right w:val="none" w:sz="0" w:space="0" w:color="auto"/>
      </w:divBdr>
    </w:div>
    <w:div w:id="351613717">
      <w:bodyDiv w:val="1"/>
      <w:marLeft w:val="0"/>
      <w:marRight w:val="0"/>
      <w:marTop w:val="0"/>
      <w:marBottom w:val="0"/>
      <w:divBdr>
        <w:top w:val="none" w:sz="0" w:space="0" w:color="auto"/>
        <w:left w:val="none" w:sz="0" w:space="0" w:color="auto"/>
        <w:bottom w:val="none" w:sz="0" w:space="0" w:color="auto"/>
        <w:right w:val="none" w:sz="0" w:space="0" w:color="auto"/>
      </w:divBdr>
    </w:div>
    <w:div w:id="351616293">
      <w:bodyDiv w:val="1"/>
      <w:marLeft w:val="0"/>
      <w:marRight w:val="0"/>
      <w:marTop w:val="0"/>
      <w:marBottom w:val="0"/>
      <w:divBdr>
        <w:top w:val="none" w:sz="0" w:space="0" w:color="auto"/>
        <w:left w:val="none" w:sz="0" w:space="0" w:color="auto"/>
        <w:bottom w:val="none" w:sz="0" w:space="0" w:color="auto"/>
        <w:right w:val="none" w:sz="0" w:space="0" w:color="auto"/>
      </w:divBdr>
    </w:div>
    <w:div w:id="351684020">
      <w:bodyDiv w:val="1"/>
      <w:marLeft w:val="0"/>
      <w:marRight w:val="0"/>
      <w:marTop w:val="0"/>
      <w:marBottom w:val="0"/>
      <w:divBdr>
        <w:top w:val="none" w:sz="0" w:space="0" w:color="auto"/>
        <w:left w:val="none" w:sz="0" w:space="0" w:color="auto"/>
        <w:bottom w:val="none" w:sz="0" w:space="0" w:color="auto"/>
        <w:right w:val="none" w:sz="0" w:space="0" w:color="auto"/>
      </w:divBdr>
    </w:div>
    <w:div w:id="351684747">
      <w:bodyDiv w:val="1"/>
      <w:marLeft w:val="0"/>
      <w:marRight w:val="0"/>
      <w:marTop w:val="0"/>
      <w:marBottom w:val="0"/>
      <w:divBdr>
        <w:top w:val="none" w:sz="0" w:space="0" w:color="auto"/>
        <w:left w:val="none" w:sz="0" w:space="0" w:color="auto"/>
        <w:bottom w:val="none" w:sz="0" w:space="0" w:color="auto"/>
        <w:right w:val="none" w:sz="0" w:space="0" w:color="auto"/>
      </w:divBdr>
    </w:div>
    <w:div w:id="351734092">
      <w:bodyDiv w:val="1"/>
      <w:marLeft w:val="0"/>
      <w:marRight w:val="0"/>
      <w:marTop w:val="0"/>
      <w:marBottom w:val="0"/>
      <w:divBdr>
        <w:top w:val="none" w:sz="0" w:space="0" w:color="auto"/>
        <w:left w:val="none" w:sz="0" w:space="0" w:color="auto"/>
        <w:bottom w:val="none" w:sz="0" w:space="0" w:color="auto"/>
        <w:right w:val="none" w:sz="0" w:space="0" w:color="auto"/>
      </w:divBdr>
    </w:div>
    <w:div w:id="351805514">
      <w:bodyDiv w:val="1"/>
      <w:marLeft w:val="0"/>
      <w:marRight w:val="0"/>
      <w:marTop w:val="0"/>
      <w:marBottom w:val="0"/>
      <w:divBdr>
        <w:top w:val="none" w:sz="0" w:space="0" w:color="auto"/>
        <w:left w:val="none" w:sz="0" w:space="0" w:color="auto"/>
        <w:bottom w:val="none" w:sz="0" w:space="0" w:color="auto"/>
        <w:right w:val="none" w:sz="0" w:space="0" w:color="auto"/>
      </w:divBdr>
    </w:div>
    <w:div w:id="352145550">
      <w:bodyDiv w:val="1"/>
      <w:marLeft w:val="0"/>
      <w:marRight w:val="0"/>
      <w:marTop w:val="0"/>
      <w:marBottom w:val="0"/>
      <w:divBdr>
        <w:top w:val="none" w:sz="0" w:space="0" w:color="auto"/>
        <w:left w:val="none" w:sz="0" w:space="0" w:color="auto"/>
        <w:bottom w:val="none" w:sz="0" w:space="0" w:color="auto"/>
        <w:right w:val="none" w:sz="0" w:space="0" w:color="auto"/>
      </w:divBdr>
    </w:div>
    <w:div w:id="352150459">
      <w:bodyDiv w:val="1"/>
      <w:marLeft w:val="0"/>
      <w:marRight w:val="0"/>
      <w:marTop w:val="0"/>
      <w:marBottom w:val="0"/>
      <w:divBdr>
        <w:top w:val="none" w:sz="0" w:space="0" w:color="auto"/>
        <w:left w:val="none" w:sz="0" w:space="0" w:color="auto"/>
        <w:bottom w:val="none" w:sz="0" w:space="0" w:color="auto"/>
        <w:right w:val="none" w:sz="0" w:space="0" w:color="auto"/>
      </w:divBdr>
    </w:div>
    <w:div w:id="352459961">
      <w:bodyDiv w:val="1"/>
      <w:marLeft w:val="0"/>
      <w:marRight w:val="0"/>
      <w:marTop w:val="0"/>
      <w:marBottom w:val="0"/>
      <w:divBdr>
        <w:top w:val="none" w:sz="0" w:space="0" w:color="auto"/>
        <w:left w:val="none" w:sz="0" w:space="0" w:color="auto"/>
        <w:bottom w:val="none" w:sz="0" w:space="0" w:color="auto"/>
        <w:right w:val="none" w:sz="0" w:space="0" w:color="auto"/>
      </w:divBdr>
    </w:div>
    <w:div w:id="352584127">
      <w:bodyDiv w:val="1"/>
      <w:marLeft w:val="0"/>
      <w:marRight w:val="0"/>
      <w:marTop w:val="0"/>
      <w:marBottom w:val="0"/>
      <w:divBdr>
        <w:top w:val="none" w:sz="0" w:space="0" w:color="auto"/>
        <w:left w:val="none" w:sz="0" w:space="0" w:color="auto"/>
        <w:bottom w:val="none" w:sz="0" w:space="0" w:color="auto"/>
        <w:right w:val="none" w:sz="0" w:space="0" w:color="auto"/>
      </w:divBdr>
    </w:div>
    <w:div w:id="352652134">
      <w:bodyDiv w:val="1"/>
      <w:marLeft w:val="0"/>
      <w:marRight w:val="0"/>
      <w:marTop w:val="0"/>
      <w:marBottom w:val="0"/>
      <w:divBdr>
        <w:top w:val="none" w:sz="0" w:space="0" w:color="auto"/>
        <w:left w:val="none" w:sz="0" w:space="0" w:color="auto"/>
        <w:bottom w:val="none" w:sz="0" w:space="0" w:color="auto"/>
        <w:right w:val="none" w:sz="0" w:space="0" w:color="auto"/>
      </w:divBdr>
    </w:div>
    <w:div w:id="352729167">
      <w:bodyDiv w:val="1"/>
      <w:marLeft w:val="0"/>
      <w:marRight w:val="0"/>
      <w:marTop w:val="0"/>
      <w:marBottom w:val="0"/>
      <w:divBdr>
        <w:top w:val="none" w:sz="0" w:space="0" w:color="auto"/>
        <w:left w:val="none" w:sz="0" w:space="0" w:color="auto"/>
        <w:bottom w:val="none" w:sz="0" w:space="0" w:color="auto"/>
        <w:right w:val="none" w:sz="0" w:space="0" w:color="auto"/>
      </w:divBdr>
    </w:div>
    <w:div w:id="353192302">
      <w:bodyDiv w:val="1"/>
      <w:marLeft w:val="0"/>
      <w:marRight w:val="0"/>
      <w:marTop w:val="0"/>
      <w:marBottom w:val="0"/>
      <w:divBdr>
        <w:top w:val="none" w:sz="0" w:space="0" w:color="auto"/>
        <w:left w:val="none" w:sz="0" w:space="0" w:color="auto"/>
        <w:bottom w:val="none" w:sz="0" w:space="0" w:color="auto"/>
        <w:right w:val="none" w:sz="0" w:space="0" w:color="auto"/>
      </w:divBdr>
    </w:div>
    <w:div w:id="353460423">
      <w:bodyDiv w:val="1"/>
      <w:marLeft w:val="0"/>
      <w:marRight w:val="0"/>
      <w:marTop w:val="0"/>
      <w:marBottom w:val="0"/>
      <w:divBdr>
        <w:top w:val="none" w:sz="0" w:space="0" w:color="auto"/>
        <w:left w:val="none" w:sz="0" w:space="0" w:color="auto"/>
        <w:bottom w:val="none" w:sz="0" w:space="0" w:color="auto"/>
        <w:right w:val="none" w:sz="0" w:space="0" w:color="auto"/>
      </w:divBdr>
    </w:div>
    <w:div w:id="353505250">
      <w:bodyDiv w:val="1"/>
      <w:marLeft w:val="0"/>
      <w:marRight w:val="0"/>
      <w:marTop w:val="0"/>
      <w:marBottom w:val="0"/>
      <w:divBdr>
        <w:top w:val="none" w:sz="0" w:space="0" w:color="auto"/>
        <w:left w:val="none" w:sz="0" w:space="0" w:color="auto"/>
        <w:bottom w:val="none" w:sz="0" w:space="0" w:color="auto"/>
        <w:right w:val="none" w:sz="0" w:space="0" w:color="auto"/>
      </w:divBdr>
    </w:div>
    <w:div w:id="353532951">
      <w:bodyDiv w:val="1"/>
      <w:marLeft w:val="0"/>
      <w:marRight w:val="0"/>
      <w:marTop w:val="0"/>
      <w:marBottom w:val="0"/>
      <w:divBdr>
        <w:top w:val="none" w:sz="0" w:space="0" w:color="auto"/>
        <w:left w:val="none" w:sz="0" w:space="0" w:color="auto"/>
        <w:bottom w:val="none" w:sz="0" w:space="0" w:color="auto"/>
        <w:right w:val="none" w:sz="0" w:space="0" w:color="auto"/>
      </w:divBdr>
    </w:div>
    <w:div w:id="353772945">
      <w:bodyDiv w:val="1"/>
      <w:marLeft w:val="0"/>
      <w:marRight w:val="0"/>
      <w:marTop w:val="0"/>
      <w:marBottom w:val="0"/>
      <w:divBdr>
        <w:top w:val="none" w:sz="0" w:space="0" w:color="auto"/>
        <w:left w:val="none" w:sz="0" w:space="0" w:color="auto"/>
        <w:bottom w:val="none" w:sz="0" w:space="0" w:color="auto"/>
        <w:right w:val="none" w:sz="0" w:space="0" w:color="auto"/>
      </w:divBdr>
    </w:div>
    <w:div w:id="353775747">
      <w:bodyDiv w:val="1"/>
      <w:marLeft w:val="0"/>
      <w:marRight w:val="0"/>
      <w:marTop w:val="0"/>
      <w:marBottom w:val="0"/>
      <w:divBdr>
        <w:top w:val="none" w:sz="0" w:space="0" w:color="auto"/>
        <w:left w:val="none" w:sz="0" w:space="0" w:color="auto"/>
        <w:bottom w:val="none" w:sz="0" w:space="0" w:color="auto"/>
        <w:right w:val="none" w:sz="0" w:space="0" w:color="auto"/>
      </w:divBdr>
    </w:div>
    <w:div w:id="353847904">
      <w:bodyDiv w:val="1"/>
      <w:marLeft w:val="0"/>
      <w:marRight w:val="0"/>
      <w:marTop w:val="0"/>
      <w:marBottom w:val="0"/>
      <w:divBdr>
        <w:top w:val="none" w:sz="0" w:space="0" w:color="auto"/>
        <w:left w:val="none" w:sz="0" w:space="0" w:color="auto"/>
        <w:bottom w:val="none" w:sz="0" w:space="0" w:color="auto"/>
        <w:right w:val="none" w:sz="0" w:space="0" w:color="auto"/>
      </w:divBdr>
    </w:div>
    <w:div w:id="353851905">
      <w:bodyDiv w:val="1"/>
      <w:marLeft w:val="0"/>
      <w:marRight w:val="0"/>
      <w:marTop w:val="0"/>
      <w:marBottom w:val="0"/>
      <w:divBdr>
        <w:top w:val="none" w:sz="0" w:space="0" w:color="auto"/>
        <w:left w:val="none" w:sz="0" w:space="0" w:color="auto"/>
        <w:bottom w:val="none" w:sz="0" w:space="0" w:color="auto"/>
        <w:right w:val="none" w:sz="0" w:space="0" w:color="auto"/>
      </w:divBdr>
    </w:div>
    <w:div w:id="354159245">
      <w:bodyDiv w:val="1"/>
      <w:marLeft w:val="0"/>
      <w:marRight w:val="0"/>
      <w:marTop w:val="0"/>
      <w:marBottom w:val="0"/>
      <w:divBdr>
        <w:top w:val="none" w:sz="0" w:space="0" w:color="auto"/>
        <w:left w:val="none" w:sz="0" w:space="0" w:color="auto"/>
        <w:bottom w:val="none" w:sz="0" w:space="0" w:color="auto"/>
        <w:right w:val="none" w:sz="0" w:space="0" w:color="auto"/>
      </w:divBdr>
    </w:div>
    <w:div w:id="354426557">
      <w:bodyDiv w:val="1"/>
      <w:marLeft w:val="0"/>
      <w:marRight w:val="0"/>
      <w:marTop w:val="0"/>
      <w:marBottom w:val="0"/>
      <w:divBdr>
        <w:top w:val="none" w:sz="0" w:space="0" w:color="auto"/>
        <w:left w:val="none" w:sz="0" w:space="0" w:color="auto"/>
        <w:bottom w:val="none" w:sz="0" w:space="0" w:color="auto"/>
        <w:right w:val="none" w:sz="0" w:space="0" w:color="auto"/>
      </w:divBdr>
    </w:div>
    <w:div w:id="354502158">
      <w:bodyDiv w:val="1"/>
      <w:marLeft w:val="0"/>
      <w:marRight w:val="0"/>
      <w:marTop w:val="0"/>
      <w:marBottom w:val="0"/>
      <w:divBdr>
        <w:top w:val="none" w:sz="0" w:space="0" w:color="auto"/>
        <w:left w:val="none" w:sz="0" w:space="0" w:color="auto"/>
        <w:bottom w:val="none" w:sz="0" w:space="0" w:color="auto"/>
        <w:right w:val="none" w:sz="0" w:space="0" w:color="auto"/>
      </w:divBdr>
    </w:div>
    <w:div w:id="354615634">
      <w:bodyDiv w:val="1"/>
      <w:marLeft w:val="0"/>
      <w:marRight w:val="0"/>
      <w:marTop w:val="0"/>
      <w:marBottom w:val="0"/>
      <w:divBdr>
        <w:top w:val="none" w:sz="0" w:space="0" w:color="auto"/>
        <w:left w:val="none" w:sz="0" w:space="0" w:color="auto"/>
        <w:bottom w:val="none" w:sz="0" w:space="0" w:color="auto"/>
        <w:right w:val="none" w:sz="0" w:space="0" w:color="auto"/>
      </w:divBdr>
    </w:div>
    <w:div w:id="354621546">
      <w:bodyDiv w:val="1"/>
      <w:marLeft w:val="0"/>
      <w:marRight w:val="0"/>
      <w:marTop w:val="0"/>
      <w:marBottom w:val="0"/>
      <w:divBdr>
        <w:top w:val="none" w:sz="0" w:space="0" w:color="auto"/>
        <w:left w:val="none" w:sz="0" w:space="0" w:color="auto"/>
        <w:bottom w:val="none" w:sz="0" w:space="0" w:color="auto"/>
        <w:right w:val="none" w:sz="0" w:space="0" w:color="auto"/>
      </w:divBdr>
    </w:div>
    <w:div w:id="354623089">
      <w:bodyDiv w:val="1"/>
      <w:marLeft w:val="0"/>
      <w:marRight w:val="0"/>
      <w:marTop w:val="0"/>
      <w:marBottom w:val="0"/>
      <w:divBdr>
        <w:top w:val="none" w:sz="0" w:space="0" w:color="auto"/>
        <w:left w:val="none" w:sz="0" w:space="0" w:color="auto"/>
        <w:bottom w:val="none" w:sz="0" w:space="0" w:color="auto"/>
        <w:right w:val="none" w:sz="0" w:space="0" w:color="auto"/>
      </w:divBdr>
    </w:div>
    <w:div w:id="354775407">
      <w:bodyDiv w:val="1"/>
      <w:marLeft w:val="0"/>
      <w:marRight w:val="0"/>
      <w:marTop w:val="0"/>
      <w:marBottom w:val="0"/>
      <w:divBdr>
        <w:top w:val="none" w:sz="0" w:space="0" w:color="auto"/>
        <w:left w:val="none" w:sz="0" w:space="0" w:color="auto"/>
        <w:bottom w:val="none" w:sz="0" w:space="0" w:color="auto"/>
        <w:right w:val="none" w:sz="0" w:space="0" w:color="auto"/>
      </w:divBdr>
    </w:div>
    <w:div w:id="354842390">
      <w:bodyDiv w:val="1"/>
      <w:marLeft w:val="0"/>
      <w:marRight w:val="0"/>
      <w:marTop w:val="0"/>
      <w:marBottom w:val="0"/>
      <w:divBdr>
        <w:top w:val="none" w:sz="0" w:space="0" w:color="auto"/>
        <w:left w:val="none" w:sz="0" w:space="0" w:color="auto"/>
        <w:bottom w:val="none" w:sz="0" w:space="0" w:color="auto"/>
        <w:right w:val="none" w:sz="0" w:space="0" w:color="auto"/>
      </w:divBdr>
    </w:div>
    <w:div w:id="355079809">
      <w:bodyDiv w:val="1"/>
      <w:marLeft w:val="0"/>
      <w:marRight w:val="0"/>
      <w:marTop w:val="0"/>
      <w:marBottom w:val="0"/>
      <w:divBdr>
        <w:top w:val="none" w:sz="0" w:space="0" w:color="auto"/>
        <w:left w:val="none" w:sz="0" w:space="0" w:color="auto"/>
        <w:bottom w:val="none" w:sz="0" w:space="0" w:color="auto"/>
        <w:right w:val="none" w:sz="0" w:space="0" w:color="auto"/>
      </w:divBdr>
    </w:div>
    <w:div w:id="355085304">
      <w:bodyDiv w:val="1"/>
      <w:marLeft w:val="0"/>
      <w:marRight w:val="0"/>
      <w:marTop w:val="0"/>
      <w:marBottom w:val="0"/>
      <w:divBdr>
        <w:top w:val="none" w:sz="0" w:space="0" w:color="auto"/>
        <w:left w:val="none" w:sz="0" w:space="0" w:color="auto"/>
        <w:bottom w:val="none" w:sz="0" w:space="0" w:color="auto"/>
        <w:right w:val="none" w:sz="0" w:space="0" w:color="auto"/>
      </w:divBdr>
    </w:div>
    <w:div w:id="355155053">
      <w:bodyDiv w:val="1"/>
      <w:marLeft w:val="0"/>
      <w:marRight w:val="0"/>
      <w:marTop w:val="0"/>
      <w:marBottom w:val="0"/>
      <w:divBdr>
        <w:top w:val="none" w:sz="0" w:space="0" w:color="auto"/>
        <w:left w:val="none" w:sz="0" w:space="0" w:color="auto"/>
        <w:bottom w:val="none" w:sz="0" w:space="0" w:color="auto"/>
        <w:right w:val="none" w:sz="0" w:space="0" w:color="auto"/>
      </w:divBdr>
    </w:div>
    <w:div w:id="355231574">
      <w:bodyDiv w:val="1"/>
      <w:marLeft w:val="0"/>
      <w:marRight w:val="0"/>
      <w:marTop w:val="0"/>
      <w:marBottom w:val="0"/>
      <w:divBdr>
        <w:top w:val="none" w:sz="0" w:space="0" w:color="auto"/>
        <w:left w:val="none" w:sz="0" w:space="0" w:color="auto"/>
        <w:bottom w:val="none" w:sz="0" w:space="0" w:color="auto"/>
        <w:right w:val="none" w:sz="0" w:space="0" w:color="auto"/>
      </w:divBdr>
    </w:div>
    <w:div w:id="355471423">
      <w:bodyDiv w:val="1"/>
      <w:marLeft w:val="0"/>
      <w:marRight w:val="0"/>
      <w:marTop w:val="0"/>
      <w:marBottom w:val="0"/>
      <w:divBdr>
        <w:top w:val="none" w:sz="0" w:space="0" w:color="auto"/>
        <w:left w:val="none" w:sz="0" w:space="0" w:color="auto"/>
        <w:bottom w:val="none" w:sz="0" w:space="0" w:color="auto"/>
        <w:right w:val="none" w:sz="0" w:space="0" w:color="auto"/>
      </w:divBdr>
    </w:div>
    <w:div w:id="355623916">
      <w:bodyDiv w:val="1"/>
      <w:marLeft w:val="0"/>
      <w:marRight w:val="0"/>
      <w:marTop w:val="0"/>
      <w:marBottom w:val="0"/>
      <w:divBdr>
        <w:top w:val="none" w:sz="0" w:space="0" w:color="auto"/>
        <w:left w:val="none" w:sz="0" w:space="0" w:color="auto"/>
        <w:bottom w:val="none" w:sz="0" w:space="0" w:color="auto"/>
        <w:right w:val="none" w:sz="0" w:space="0" w:color="auto"/>
      </w:divBdr>
    </w:div>
    <w:div w:id="355890039">
      <w:bodyDiv w:val="1"/>
      <w:marLeft w:val="0"/>
      <w:marRight w:val="0"/>
      <w:marTop w:val="0"/>
      <w:marBottom w:val="0"/>
      <w:divBdr>
        <w:top w:val="none" w:sz="0" w:space="0" w:color="auto"/>
        <w:left w:val="none" w:sz="0" w:space="0" w:color="auto"/>
        <w:bottom w:val="none" w:sz="0" w:space="0" w:color="auto"/>
        <w:right w:val="none" w:sz="0" w:space="0" w:color="auto"/>
      </w:divBdr>
    </w:div>
    <w:div w:id="356123181">
      <w:bodyDiv w:val="1"/>
      <w:marLeft w:val="0"/>
      <w:marRight w:val="0"/>
      <w:marTop w:val="0"/>
      <w:marBottom w:val="0"/>
      <w:divBdr>
        <w:top w:val="none" w:sz="0" w:space="0" w:color="auto"/>
        <w:left w:val="none" w:sz="0" w:space="0" w:color="auto"/>
        <w:bottom w:val="none" w:sz="0" w:space="0" w:color="auto"/>
        <w:right w:val="none" w:sz="0" w:space="0" w:color="auto"/>
      </w:divBdr>
    </w:div>
    <w:div w:id="356275883">
      <w:bodyDiv w:val="1"/>
      <w:marLeft w:val="0"/>
      <w:marRight w:val="0"/>
      <w:marTop w:val="0"/>
      <w:marBottom w:val="0"/>
      <w:divBdr>
        <w:top w:val="none" w:sz="0" w:space="0" w:color="auto"/>
        <w:left w:val="none" w:sz="0" w:space="0" w:color="auto"/>
        <w:bottom w:val="none" w:sz="0" w:space="0" w:color="auto"/>
        <w:right w:val="none" w:sz="0" w:space="0" w:color="auto"/>
      </w:divBdr>
    </w:div>
    <w:div w:id="356782026">
      <w:bodyDiv w:val="1"/>
      <w:marLeft w:val="0"/>
      <w:marRight w:val="0"/>
      <w:marTop w:val="0"/>
      <w:marBottom w:val="0"/>
      <w:divBdr>
        <w:top w:val="none" w:sz="0" w:space="0" w:color="auto"/>
        <w:left w:val="none" w:sz="0" w:space="0" w:color="auto"/>
        <w:bottom w:val="none" w:sz="0" w:space="0" w:color="auto"/>
        <w:right w:val="none" w:sz="0" w:space="0" w:color="auto"/>
      </w:divBdr>
    </w:div>
    <w:div w:id="356933047">
      <w:bodyDiv w:val="1"/>
      <w:marLeft w:val="0"/>
      <w:marRight w:val="0"/>
      <w:marTop w:val="0"/>
      <w:marBottom w:val="0"/>
      <w:divBdr>
        <w:top w:val="none" w:sz="0" w:space="0" w:color="auto"/>
        <w:left w:val="none" w:sz="0" w:space="0" w:color="auto"/>
        <w:bottom w:val="none" w:sz="0" w:space="0" w:color="auto"/>
        <w:right w:val="none" w:sz="0" w:space="0" w:color="auto"/>
      </w:divBdr>
    </w:div>
    <w:div w:id="357002753">
      <w:bodyDiv w:val="1"/>
      <w:marLeft w:val="0"/>
      <w:marRight w:val="0"/>
      <w:marTop w:val="0"/>
      <w:marBottom w:val="0"/>
      <w:divBdr>
        <w:top w:val="none" w:sz="0" w:space="0" w:color="auto"/>
        <w:left w:val="none" w:sz="0" w:space="0" w:color="auto"/>
        <w:bottom w:val="none" w:sz="0" w:space="0" w:color="auto"/>
        <w:right w:val="none" w:sz="0" w:space="0" w:color="auto"/>
      </w:divBdr>
    </w:div>
    <w:div w:id="357007344">
      <w:bodyDiv w:val="1"/>
      <w:marLeft w:val="0"/>
      <w:marRight w:val="0"/>
      <w:marTop w:val="0"/>
      <w:marBottom w:val="0"/>
      <w:divBdr>
        <w:top w:val="none" w:sz="0" w:space="0" w:color="auto"/>
        <w:left w:val="none" w:sz="0" w:space="0" w:color="auto"/>
        <w:bottom w:val="none" w:sz="0" w:space="0" w:color="auto"/>
        <w:right w:val="none" w:sz="0" w:space="0" w:color="auto"/>
      </w:divBdr>
    </w:div>
    <w:div w:id="357124225">
      <w:bodyDiv w:val="1"/>
      <w:marLeft w:val="0"/>
      <w:marRight w:val="0"/>
      <w:marTop w:val="0"/>
      <w:marBottom w:val="0"/>
      <w:divBdr>
        <w:top w:val="none" w:sz="0" w:space="0" w:color="auto"/>
        <w:left w:val="none" w:sz="0" w:space="0" w:color="auto"/>
        <w:bottom w:val="none" w:sz="0" w:space="0" w:color="auto"/>
        <w:right w:val="none" w:sz="0" w:space="0" w:color="auto"/>
      </w:divBdr>
    </w:div>
    <w:div w:id="357584242">
      <w:bodyDiv w:val="1"/>
      <w:marLeft w:val="0"/>
      <w:marRight w:val="0"/>
      <w:marTop w:val="0"/>
      <w:marBottom w:val="0"/>
      <w:divBdr>
        <w:top w:val="none" w:sz="0" w:space="0" w:color="auto"/>
        <w:left w:val="none" w:sz="0" w:space="0" w:color="auto"/>
        <w:bottom w:val="none" w:sz="0" w:space="0" w:color="auto"/>
        <w:right w:val="none" w:sz="0" w:space="0" w:color="auto"/>
      </w:divBdr>
    </w:div>
    <w:div w:id="357631848">
      <w:bodyDiv w:val="1"/>
      <w:marLeft w:val="0"/>
      <w:marRight w:val="0"/>
      <w:marTop w:val="0"/>
      <w:marBottom w:val="0"/>
      <w:divBdr>
        <w:top w:val="none" w:sz="0" w:space="0" w:color="auto"/>
        <w:left w:val="none" w:sz="0" w:space="0" w:color="auto"/>
        <w:bottom w:val="none" w:sz="0" w:space="0" w:color="auto"/>
        <w:right w:val="none" w:sz="0" w:space="0" w:color="auto"/>
      </w:divBdr>
    </w:div>
    <w:div w:id="357661104">
      <w:bodyDiv w:val="1"/>
      <w:marLeft w:val="0"/>
      <w:marRight w:val="0"/>
      <w:marTop w:val="0"/>
      <w:marBottom w:val="0"/>
      <w:divBdr>
        <w:top w:val="none" w:sz="0" w:space="0" w:color="auto"/>
        <w:left w:val="none" w:sz="0" w:space="0" w:color="auto"/>
        <w:bottom w:val="none" w:sz="0" w:space="0" w:color="auto"/>
        <w:right w:val="none" w:sz="0" w:space="0" w:color="auto"/>
      </w:divBdr>
    </w:div>
    <w:div w:id="357700587">
      <w:bodyDiv w:val="1"/>
      <w:marLeft w:val="0"/>
      <w:marRight w:val="0"/>
      <w:marTop w:val="0"/>
      <w:marBottom w:val="0"/>
      <w:divBdr>
        <w:top w:val="none" w:sz="0" w:space="0" w:color="auto"/>
        <w:left w:val="none" w:sz="0" w:space="0" w:color="auto"/>
        <w:bottom w:val="none" w:sz="0" w:space="0" w:color="auto"/>
        <w:right w:val="none" w:sz="0" w:space="0" w:color="auto"/>
      </w:divBdr>
    </w:div>
    <w:div w:id="357898858">
      <w:bodyDiv w:val="1"/>
      <w:marLeft w:val="0"/>
      <w:marRight w:val="0"/>
      <w:marTop w:val="0"/>
      <w:marBottom w:val="0"/>
      <w:divBdr>
        <w:top w:val="none" w:sz="0" w:space="0" w:color="auto"/>
        <w:left w:val="none" w:sz="0" w:space="0" w:color="auto"/>
        <w:bottom w:val="none" w:sz="0" w:space="0" w:color="auto"/>
        <w:right w:val="none" w:sz="0" w:space="0" w:color="auto"/>
      </w:divBdr>
    </w:div>
    <w:div w:id="358356937">
      <w:bodyDiv w:val="1"/>
      <w:marLeft w:val="0"/>
      <w:marRight w:val="0"/>
      <w:marTop w:val="0"/>
      <w:marBottom w:val="0"/>
      <w:divBdr>
        <w:top w:val="none" w:sz="0" w:space="0" w:color="auto"/>
        <w:left w:val="none" w:sz="0" w:space="0" w:color="auto"/>
        <w:bottom w:val="none" w:sz="0" w:space="0" w:color="auto"/>
        <w:right w:val="none" w:sz="0" w:space="0" w:color="auto"/>
      </w:divBdr>
    </w:div>
    <w:div w:id="358631558">
      <w:bodyDiv w:val="1"/>
      <w:marLeft w:val="0"/>
      <w:marRight w:val="0"/>
      <w:marTop w:val="0"/>
      <w:marBottom w:val="0"/>
      <w:divBdr>
        <w:top w:val="none" w:sz="0" w:space="0" w:color="auto"/>
        <w:left w:val="none" w:sz="0" w:space="0" w:color="auto"/>
        <w:bottom w:val="none" w:sz="0" w:space="0" w:color="auto"/>
        <w:right w:val="none" w:sz="0" w:space="0" w:color="auto"/>
      </w:divBdr>
    </w:div>
    <w:div w:id="358820289">
      <w:bodyDiv w:val="1"/>
      <w:marLeft w:val="0"/>
      <w:marRight w:val="0"/>
      <w:marTop w:val="0"/>
      <w:marBottom w:val="0"/>
      <w:divBdr>
        <w:top w:val="none" w:sz="0" w:space="0" w:color="auto"/>
        <w:left w:val="none" w:sz="0" w:space="0" w:color="auto"/>
        <w:bottom w:val="none" w:sz="0" w:space="0" w:color="auto"/>
        <w:right w:val="none" w:sz="0" w:space="0" w:color="auto"/>
      </w:divBdr>
    </w:div>
    <w:div w:id="358940824">
      <w:bodyDiv w:val="1"/>
      <w:marLeft w:val="0"/>
      <w:marRight w:val="0"/>
      <w:marTop w:val="0"/>
      <w:marBottom w:val="0"/>
      <w:divBdr>
        <w:top w:val="none" w:sz="0" w:space="0" w:color="auto"/>
        <w:left w:val="none" w:sz="0" w:space="0" w:color="auto"/>
        <w:bottom w:val="none" w:sz="0" w:space="0" w:color="auto"/>
        <w:right w:val="none" w:sz="0" w:space="0" w:color="auto"/>
      </w:divBdr>
    </w:div>
    <w:div w:id="358973364">
      <w:bodyDiv w:val="1"/>
      <w:marLeft w:val="0"/>
      <w:marRight w:val="0"/>
      <w:marTop w:val="0"/>
      <w:marBottom w:val="0"/>
      <w:divBdr>
        <w:top w:val="none" w:sz="0" w:space="0" w:color="auto"/>
        <w:left w:val="none" w:sz="0" w:space="0" w:color="auto"/>
        <w:bottom w:val="none" w:sz="0" w:space="0" w:color="auto"/>
        <w:right w:val="none" w:sz="0" w:space="0" w:color="auto"/>
      </w:divBdr>
    </w:div>
    <w:div w:id="359162156">
      <w:bodyDiv w:val="1"/>
      <w:marLeft w:val="0"/>
      <w:marRight w:val="0"/>
      <w:marTop w:val="0"/>
      <w:marBottom w:val="0"/>
      <w:divBdr>
        <w:top w:val="none" w:sz="0" w:space="0" w:color="auto"/>
        <w:left w:val="none" w:sz="0" w:space="0" w:color="auto"/>
        <w:bottom w:val="none" w:sz="0" w:space="0" w:color="auto"/>
        <w:right w:val="none" w:sz="0" w:space="0" w:color="auto"/>
      </w:divBdr>
    </w:div>
    <w:div w:id="359623242">
      <w:bodyDiv w:val="1"/>
      <w:marLeft w:val="0"/>
      <w:marRight w:val="0"/>
      <w:marTop w:val="0"/>
      <w:marBottom w:val="0"/>
      <w:divBdr>
        <w:top w:val="none" w:sz="0" w:space="0" w:color="auto"/>
        <w:left w:val="none" w:sz="0" w:space="0" w:color="auto"/>
        <w:bottom w:val="none" w:sz="0" w:space="0" w:color="auto"/>
        <w:right w:val="none" w:sz="0" w:space="0" w:color="auto"/>
      </w:divBdr>
    </w:div>
    <w:div w:id="359667958">
      <w:bodyDiv w:val="1"/>
      <w:marLeft w:val="0"/>
      <w:marRight w:val="0"/>
      <w:marTop w:val="0"/>
      <w:marBottom w:val="0"/>
      <w:divBdr>
        <w:top w:val="none" w:sz="0" w:space="0" w:color="auto"/>
        <w:left w:val="none" w:sz="0" w:space="0" w:color="auto"/>
        <w:bottom w:val="none" w:sz="0" w:space="0" w:color="auto"/>
        <w:right w:val="none" w:sz="0" w:space="0" w:color="auto"/>
      </w:divBdr>
    </w:div>
    <w:div w:id="359819616">
      <w:bodyDiv w:val="1"/>
      <w:marLeft w:val="0"/>
      <w:marRight w:val="0"/>
      <w:marTop w:val="0"/>
      <w:marBottom w:val="0"/>
      <w:divBdr>
        <w:top w:val="none" w:sz="0" w:space="0" w:color="auto"/>
        <w:left w:val="none" w:sz="0" w:space="0" w:color="auto"/>
        <w:bottom w:val="none" w:sz="0" w:space="0" w:color="auto"/>
        <w:right w:val="none" w:sz="0" w:space="0" w:color="auto"/>
      </w:divBdr>
    </w:div>
    <w:div w:id="359865917">
      <w:bodyDiv w:val="1"/>
      <w:marLeft w:val="0"/>
      <w:marRight w:val="0"/>
      <w:marTop w:val="0"/>
      <w:marBottom w:val="0"/>
      <w:divBdr>
        <w:top w:val="none" w:sz="0" w:space="0" w:color="auto"/>
        <w:left w:val="none" w:sz="0" w:space="0" w:color="auto"/>
        <w:bottom w:val="none" w:sz="0" w:space="0" w:color="auto"/>
        <w:right w:val="none" w:sz="0" w:space="0" w:color="auto"/>
      </w:divBdr>
    </w:div>
    <w:div w:id="359938149">
      <w:bodyDiv w:val="1"/>
      <w:marLeft w:val="0"/>
      <w:marRight w:val="0"/>
      <w:marTop w:val="0"/>
      <w:marBottom w:val="0"/>
      <w:divBdr>
        <w:top w:val="none" w:sz="0" w:space="0" w:color="auto"/>
        <w:left w:val="none" w:sz="0" w:space="0" w:color="auto"/>
        <w:bottom w:val="none" w:sz="0" w:space="0" w:color="auto"/>
        <w:right w:val="none" w:sz="0" w:space="0" w:color="auto"/>
      </w:divBdr>
    </w:div>
    <w:div w:id="360399350">
      <w:bodyDiv w:val="1"/>
      <w:marLeft w:val="0"/>
      <w:marRight w:val="0"/>
      <w:marTop w:val="0"/>
      <w:marBottom w:val="0"/>
      <w:divBdr>
        <w:top w:val="none" w:sz="0" w:space="0" w:color="auto"/>
        <w:left w:val="none" w:sz="0" w:space="0" w:color="auto"/>
        <w:bottom w:val="none" w:sz="0" w:space="0" w:color="auto"/>
        <w:right w:val="none" w:sz="0" w:space="0" w:color="auto"/>
      </w:divBdr>
    </w:div>
    <w:div w:id="360475913">
      <w:bodyDiv w:val="1"/>
      <w:marLeft w:val="0"/>
      <w:marRight w:val="0"/>
      <w:marTop w:val="0"/>
      <w:marBottom w:val="0"/>
      <w:divBdr>
        <w:top w:val="none" w:sz="0" w:space="0" w:color="auto"/>
        <w:left w:val="none" w:sz="0" w:space="0" w:color="auto"/>
        <w:bottom w:val="none" w:sz="0" w:space="0" w:color="auto"/>
        <w:right w:val="none" w:sz="0" w:space="0" w:color="auto"/>
      </w:divBdr>
    </w:div>
    <w:div w:id="360592740">
      <w:bodyDiv w:val="1"/>
      <w:marLeft w:val="0"/>
      <w:marRight w:val="0"/>
      <w:marTop w:val="0"/>
      <w:marBottom w:val="0"/>
      <w:divBdr>
        <w:top w:val="none" w:sz="0" w:space="0" w:color="auto"/>
        <w:left w:val="none" w:sz="0" w:space="0" w:color="auto"/>
        <w:bottom w:val="none" w:sz="0" w:space="0" w:color="auto"/>
        <w:right w:val="none" w:sz="0" w:space="0" w:color="auto"/>
      </w:divBdr>
    </w:div>
    <w:div w:id="360859093">
      <w:bodyDiv w:val="1"/>
      <w:marLeft w:val="0"/>
      <w:marRight w:val="0"/>
      <w:marTop w:val="0"/>
      <w:marBottom w:val="0"/>
      <w:divBdr>
        <w:top w:val="none" w:sz="0" w:space="0" w:color="auto"/>
        <w:left w:val="none" w:sz="0" w:space="0" w:color="auto"/>
        <w:bottom w:val="none" w:sz="0" w:space="0" w:color="auto"/>
        <w:right w:val="none" w:sz="0" w:space="0" w:color="auto"/>
      </w:divBdr>
    </w:div>
    <w:div w:id="360935681">
      <w:bodyDiv w:val="1"/>
      <w:marLeft w:val="0"/>
      <w:marRight w:val="0"/>
      <w:marTop w:val="0"/>
      <w:marBottom w:val="0"/>
      <w:divBdr>
        <w:top w:val="none" w:sz="0" w:space="0" w:color="auto"/>
        <w:left w:val="none" w:sz="0" w:space="0" w:color="auto"/>
        <w:bottom w:val="none" w:sz="0" w:space="0" w:color="auto"/>
        <w:right w:val="none" w:sz="0" w:space="0" w:color="auto"/>
      </w:divBdr>
    </w:div>
    <w:div w:id="361051199">
      <w:bodyDiv w:val="1"/>
      <w:marLeft w:val="0"/>
      <w:marRight w:val="0"/>
      <w:marTop w:val="0"/>
      <w:marBottom w:val="0"/>
      <w:divBdr>
        <w:top w:val="none" w:sz="0" w:space="0" w:color="auto"/>
        <w:left w:val="none" w:sz="0" w:space="0" w:color="auto"/>
        <w:bottom w:val="none" w:sz="0" w:space="0" w:color="auto"/>
        <w:right w:val="none" w:sz="0" w:space="0" w:color="auto"/>
      </w:divBdr>
    </w:div>
    <w:div w:id="361441082">
      <w:bodyDiv w:val="1"/>
      <w:marLeft w:val="0"/>
      <w:marRight w:val="0"/>
      <w:marTop w:val="0"/>
      <w:marBottom w:val="0"/>
      <w:divBdr>
        <w:top w:val="none" w:sz="0" w:space="0" w:color="auto"/>
        <w:left w:val="none" w:sz="0" w:space="0" w:color="auto"/>
        <w:bottom w:val="none" w:sz="0" w:space="0" w:color="auto"/>
        <w:right w:val="none" w:sz="0" w:space="0" w:color="auto"/>
      </w:divBdr>
    </w:div>
    <w:div w:id="361589657">
      <w:bodyDiv w:val="1"/>
      <w:marLeft w:val="0"/>
      <w:marRight w:val="0"/>
      <w:marTop w:val="0"/>
      <w:marBottom w:val="0"/>
      <w:divBdr>
        <w:top w:val="none" w:sz="0" w:space="0" w:color="auto"/>
        <w:left w:val="none" w:sz="0" w:space="0" w:color="auto"/>
        <w:bottom w:val="none" w:sz="0" w:space="0" w:color="auto"/>
        <w:right w:val="none" w:sz="0" w:space="0" w:color="auto"/>
      </w:divBdr>
    </w:div>
    <w:div w:id="361831726">
      <w:bodyDiv w:val="1"/>
      <w:marLeft w:val="0"/>
      <w:marRight w:val="0"/>
      <w:marTop w:val="0"/>
      <w:marBottom w:val="0"/>
      <w:divBdr>
        <w:top w:val="none" w:sz="0" w:space="0" w:color="auto"/>
        <w:left w:val="none" w:sz="0" w:space="0" w:color="auto"/>
        <w:bottom w:val="none" w:sz="0" w:space="0" w:color="auto"/>
        <w:right w:val="none" w:sz="0" w:space="0" w:color="auto"/>
      </w:divBdr>
    </w:div>
    <w:div w:id="361907893">
      <w:bodyDiv w:val="1"/>
      <w:marLeft w:val="0"/>
      <w:marRight w:val="0"/>
      <w:marTop w:val="0"/>
      <w:marBottom w:val="0"/>
      <w:divBdr>
        <w:top w:val="none" w:sz="0" w:space="0" w:color="auto"/>
        <w:left w:val="none" w:sz="0" w:space="0" w:color="auto"/>
        <w:bottom w:val="none" w:sz="0" w:space="0" w:color="auto"/>
        <w:right w:val="none" w:sz="0" w:space="0" w:color="auto"/>
      </w:divBdr>
    </w:div>
    <w:div w:id="361983144">
      <w:bodyDiv w:val="1"/>
      <w:marLeft w:val="0"/>
      <w:marRight w:val="0"/>
      <w:marTop w:val="0"/>
      <w:marBottom w:val="0"/>
      <w:divBdr>
        <w:top w:val="none" w:sz="0" w:space="0" w:color="auto"/>
        <w:left w:val="none" w:sz="0" w:space="0" w:color="auto"/>
        <w:bottom w:val="none" w:sz="0" w:space="0" w:color="auto"/>
        <w:right w:val="none" w:sz="0" w:space="0" w:color="auto"/>
      </w:divBdr>
    </w:div>
    <w:div w:id="362097663">
      <w:bodyDiv w:val="1"/>
      <w:marLeft w:val="0"/>
      <w:marRight w:val="0"/>
      <w:marTop w:val="0"/>
      <w:marBottom w:val="0"/>
      <w:divBdr>
        <w:top w:val="none" w:sz="0" w:space="0" w:color="auto"/>
        <w:left w:val="none" w:sz="0" w:space="0" w:color="auto"/>
        <w:bottom w:val="none" w:sz="0" w:space="0" w:color="auto"/>
        <w:right w:val="none" w:sz="0" w:space="0" w:color="auto"/>
      </w:divBdr>
    </w:div>
    <w:div w:id="362243637">
      <w:bodyDiv w:val="1"/>
      <w:marLeft w:val="0"/>
      <w:marRight w:val="0"/>
      <w:marTop w:val="0"/>
      <w:marBottom w:val="0"/>
      <w:divBdr>
        <w:top w:val="none" w:sz="0" w:space="0" w:color="auto"/>
        <w:left w:val="none" w:sz="0" w:space="0" w:color="auto"/>
        <w:bottom w:val="none" w:sz="0" w:space="0" w:color="auto"/>
        <w:right w:val="none" w:sz="0" w:space="0" w:color="auto"/>
      </w:divBdr>
    </w:div>
    <w:div w:id="362294871">
      <w:bodyDiv w:val="1"/>
      <w:marLeft w:val="0"/>
      <w:marRight w:val="0"/>
      <w:marTop w:val="0"/>
      <w:marBottom w:val="0"/>
      <w:divBdr>
        <w:top w:val="none" w:sz="0" w:space="0" w:color="auto"/>
        <w:left w:val="none" w:sz="0" w:space="0" w:color="auto"/>
        <w:bottom w:val="none" w:sz="0" w:space="0" w:color="auto"/>
        <w:right w:val="none" w:sz="0" w:space="0" w:color="auto"/>
      </w:divBdr>
    </w:div>
    <w:div w:id="362559863">
      <w:bodyDiv w:val="1"/>
      <w:marLeft w:val="0"/>
      <w:marRight w:val="0"/>
      <w:marTop w:val="0"/>
      <w:marBottom w:val="0"/>
      <w:divBdr>
        <w:top w:val="none" w:sz="0" w:space="0" w:color="auto"/>
        <w:left w:val="none" w:sz="0" w:space="0" w:color="auto"/>
        <w:bottom w:val="none" w:sz="0" w:space="0" w:color="auto"/>
        <w:right w:val="none" w:sz="0" w:space="0" w:color="auto"/>
      </w:divBdr>
    </w:div>
    <w:div w:id="362823520">
      <w:bodyDiv w:val="1"/>
      <w:marLeft w:val="0"/>
      <w:marRight w:val="0"/>
      <w:marTop w:val="0"/>
      <w:marBottom w:val="0"/>
      <w:divBdr>
        <w:top w:val="none" w:sz="0" w:space="0" w:color="auto"/>
        <w:left w:val="none" w:sz="0" w:space="0" w:color="auto"/>
        <w:bottom w:val="none" w:sz="0" w:space="0" w:color="auto"/>
        <w:right w:val="none" w:sz="0" w:space="0" w:color="auto"/>
      </w:divBdr>
    </w:div>
    <w:div w:id="362827954">
      <w:bodyDiv w:val="1"/>
      <w:marLeft w:val="0"/>
      <w:marRight w:val="0"/>
      <w:marTop w:val="0"/>
      <w:marBottom w:val="0"/>
      <w:divBdr>
        <w:top w:val="none" w:sz="0" w:space="0" w:color="auto"/>
        <w:left w:val="none" w:sz="0" w:space="0" w:color="auto"/>
        <w:bottom w:val="none" w:sz="0" w:space="0" w:color="auto"/>
        <w:right w:val="none" w:sz="0" w:space="0" w:color="auto"/>
      </w:divBdr>
    </w:div>
    <w:div w:id="362899089">
      <w:bodyDiv w:val="1"/>
      <w:marLeft w:val="0"/>
      <w:marRight w:val="0"/>
      <w:marTop w:val="0"/>
      <w:marBottom w:val="0"/>
      <w:divBdr>
        <w:top w:val="none" w:sz="0" w:space="0" w:color="auto"/>
        <w:left w:val="none" w:sz="0" w:space="0" w:color="auto"/>
        <w:bottom w:val="none" w:sz="0" w:space="0" w:color="auto"/>
        <w:right w:val="none" w:sz="0" w:space="0" w:color="auto"/>
      </w:divBdr>
    </w:div>
    <w:div w:id="362901952">
      <w:bodyDiv w:val="1"/>
      <w:marLeft w:val="0"/>
      <w:marRight w:val="0"/>
      <w:marTop w:val="0"/>
      <w:marBottom w:val="0"/>
      <w:divBdr>
        <w:top w:val="none" w:sz="0" w:space="0" w:color="auto"/>
        <w:left w:val="none" w:sz="0" w:space="0" w:color="auto"/>
        <w:bottom w:val="none" w:sz="0" w:space="0" w:color="auto"/>
        <w:right w:val="none" w:sz="0" w:space="0" w:color="auto"/>
      </w:divBdr>
    </w:div>
    <w:div w:id="362902087">
      <w:bodyDiv w:val="1"/>
      <w:marLeft w:val="0"/>
      <w:marRight w:val="0"/>
      <w:marTop w:val="0"/>
      <w:marBottom w:val="0"/>
      <w:divBdr>
        <w:top w:val="none" w:sz="0" w:space="0" w:color="auto"/>
        <w:left w:val="none" w:sz="0" w:space="0" w:color="auto"/>
        <w:bottom w:val="none" w:sz="0" w:space="0" w:color="auto"/>
        <w:right w:val="none" w:sz="0" w:space="0" w:color="auto"/>
      </w:divBdr>
    </w:div>
    <w:div w:id="362950216">
      <w:bodyDiv w:val="1"/>
      <w:marLeft w:val="0"/>
      <w:marRight w:val="0"/>
      <w:marTop w:val="0"/>
      <w:marBottom w:val="0"/>
      <w:divBdr>
        <w:top w:val="none" w:sz="0" w:space="0" w:color="auto"/>
        <w:left w:val="none" w:sz="0" w:space="0" w:color="auto"/>
        <w:bottom w:val="none" w:sz="0" w:space="0" w:color="auto"/>
        <w:right w:val="none" w:sz="0" w:space="0" w:color="auto"/>
      </w:divBdr>
    </w:div>
    <w:div w:id="363020149">
      <w:bodyDiv w:val="1"/>
      <w:marLeft w:val="0"/>
      <w:marRight w:val="0"/>
      <w:marTop w:val="0"/>
      <w:marBottom w:val="0"/>
      <w:divBdr>
        <w:top w:val="none" w:sz="0" w:space="0" w:color="auto"/>
        <w:left w:val="none" w:sz="0" w:space="0" w:color="auto"/>
        <w:bottom w:val="none" w:sz="0" w:space="0" w:color="auto"/>
        <w:right w:val="none" w:sz="0" w:space="0" w:color="auto"/>
      </w:divBdr>
    </w:div>
    <w:div w:id="363092892">
      <w:bodyDiv w:val="1"/>
      <w:marLeft w:val="0"/>
      <w:marRight w:val="0"/>
      <w:marTop w:val="0"/>
      <w:marBottom w:val="0"/>
      <w:divBdr>
        <w:top w:val="none" w:sz="0" w:space="0" w:color="auto"/>
        <w:left w:val="none" w:sz="0" w:space="0" w:color="auto"/>
        <w:bottom w:val="none" w:sz="0" w:space="0" w:color="auto"/>
        <w:right w:val="none" w:sz="0" w:space="0" w:color="auto"/>
      </w:divBdr>
    </w:div>
    <w:div w:id="363216942">
      <w:bodyDiv w:val="1"/>
      <w:marLeft w:val="0"/>
      <w:marRight w:val="0"/>
      <w:marTop w:val="0"/>
      <w:marBottom w:val="0"/>
      <w:divBdr>
        <w:top w:val="none" w:sz="0" w:space="0" w:color="auto"/>
        <w:left w:val="none" w:sz="0" w:space="0" w:color="auto"/>
        <w:bottom w:val="none" w:sz="0" w:space="0" w:color="auto"/>
        <w:right w:val="none" w:sz="0" w:space="0" w:color="auto"/>
      </w:divBdr>
    </w:div>
    <w:div w:id="363361542">
      <w:bodyDiv w:val="1"/>
      <w:marLeft w:val="0"/>
      <w:marRight w:val="0"/>
      <w:marTop w:val="0"/>
      <w:marBottom w:val="0"/>
      <w:divBdr>
        <w:top w:val="none" w:sz="0" w:space="0" w:color="auto"/>
        <w:left w:val="none" w:sz="0" w:space="0" w:color="auto"/>
        <w:bottom w:val="none" w:sz="0" w:space="0" w:color="auto"/>
        <w:right w:val="none" w:sz="0" w:space="0" w:color="auto"/>
      </w:divBdr>
    </w:div>
    <w:div w:id="363672711">
      <w:bodyDiv w:val="1"/>
      <w:marLeft w:val="0"/>
      <w:marRight w:val="0"/>
      <w:marTop w:val="0"/>
      <w:marBottom w:val="0"/>
      <w:divBdr>
        <w:top w:val="none" w:sz="0" w:space="0" w:color="auto"/>
        <w:left w:val="none" w:sz="0" w:space="0" w:color="auto"/>
        <w:bottom w:val="none" w:sz="0" w:space="0" w:color="auto"/>
        <w:right w:val="none" w:sz="0" w:space="0" w:color="auto"/>
      </w:divBdr>
    </w:div>
    <w:div w:id="363679357">
      <w:bodyDiv w:val="1"/>
      <w:marLeft w:val="0"/>
      <w:marRight w:val="0"/>
      <w:marTop w:val="0"/>
      <w:marBottom w:val="0"/>
      <w:divBdr>
        <w:top w:val="none" w:sz="0" w:space="0" w:color="auto"/>
        <w:left w:val="none" w:sz="0" w:space="0" w:color="auto"/>
        <w:bottom w:val="none" w:sz="0" w:space="0" w:color="auto"/>
        <w:right w:val="none" w:sz="0" w:space="0" w:color="auto"/>
      </w:divBdr>
    </w:div>
    <w:div w:id="363866557">
      <w:bodyDiv w:val="1"/>
      <w:marLeft w:val="0"/>
      <w:marRight w:val="0"/>
      <w:marTop w:val="0"/>
      <w:marBottom w:val="0"/>
      <w:divBdr>
        <w:top w:val="none" w:sz="0" w:space="0" w:color="auto"/>
        <w:left w:val="none" w:sz="0" w:space="0" w:color="auto"/>
        <w:bottom w:val="none" w:sz="0" w:space="0" w:color="auto"/>
        <w:right w:val="none" w:sz="0" w:space="0" w:color="auto"/>
      </w:divBdr>
    </w:div>
    <w:div w:id="363872075">
      <w:bodyDiv w:val="1"/>
      <w:marLeft w:val="0"/>
      <w:marRight w:val="0"/>
      <w:marTop w:val="0"/>
      <w:marBottom w:val="0"/>
      <w:divBdr>
        <w:top w:val="none" w:sz="0" w:space="0" w:color="auto"/>
        <w:left w:val="none" w:sz="0" w:space="0" w:color="auto"/>
        <w:bottom w:val="none" w:sz="0" w:space="0" w:color="auto"/>
        <w:right w:val="none" w:sz="0" w:space="0" w:color="auto"/>
      </w:divBdr>
    </w:div>
    <w:div w:id="363874430">
      <w:bodyDiv w:val="1"/>
      <w:marLeft w:val="0"/>
      <w:marRight w:val="0"/>
      <w:marTop w:val="0"/>
      <w:marBottom w:val="0"/>
      <w:divBdr>
        <w:top w:val="none" w:sz="0" w:space="0" w:color="auto"/>
        <w:left w:val="none" w:sz="0" w:space="0" w:color="auto"/>
        <w:bottom w:val="none" w:sz="0" w:space="0" w:color="auto"/>
        <w:right w:val="none" w:sz="0" w:space="0" w:color="auto"/>
      </w:divBdr>
    </w:div>
    <w:div w:id="364065461">
      <w:bodyDiv w:val="1"/>
      <w:marLeft w:val="0"/>
      <w:marRight w:val="0"/>
      <w:marTop w:val="0"/>
      <w:marBottom w:val="0"/>
      <w:divBdr>
        <w:top w:val="none" w:sz="0" w:space="0" w:color="auto"/>
        <w:left w:val="none" w:sz="0" w:space="0" w:color="auto"/>
        <w:bottom w:val="none" w:sz="0" w:space="0" w:color="auto"/>
        <w:right w:val="none" w:sz="0" w:space="0" w:color="auto"/>
      </w:divBdr>
    </w:div>
    <w:div w:id="364139062">
      <w:bodyDiv w:val="1"/>
      <w:marLeft w:val="0"/>
      <w:marRight w:val="0"/>
      <w:marTop w:val="0"/>
      <w:marBottom w:val="0"/>
      <w:divBdr>
        <w:top w:val="none" w:sz="0" w:space="0" w:color="auto"/>
        <w:left w:val="none" w:sz="0" w:space="0" w:color="auto"/>
        <w:bottom w:val="none" w:sz="0" w:space="0" w:color="auto"/>
        <w:right w:val="none" w:sz="0" w:space="0" w:color="auto"/>
      </w:divBdr>
    </w:div>
    <w:div w:id="364451938">
      <w:bodyDiv w:val="1"/>
      <w:marLeft w:val="0"/>
      <w:marRight w:val="0"/>
      <w:marTop w:val="0"/>
      <w:marBottom w:val="0"/>
      <w:divBdr>
        <w:top w:val="none" w:sz="0" w:space="0" w:color="auto"/>
        <w:left w:val="none" w:sz="0" w:space="0" w:color="auto"/>
        <w:bottom w:val="none" w:sz="0" w:space="0" w:color="auto"/>
        <w:right w:val="none" w:sz="0" w:space="0" w:color="auto"/>
      </w:divBdr>
    </w:div>
    <w:div w:id="364527342">
      <w:bodyDiv w:val="1"/>
      <w:marLeft w:val="0"/>
      <w:marRight w:val="0"/>
      <w:marTop w:val="0"/>
      <w:marBottom w:val="0"/>
      <w:divBdr>
        <w:top w:val="none" w:sz="0" w:space="0" w:color="auto"/>
        <w:left w:val="none" w:sz="0" w:space="0" w:color="auto"/>
        <w:bottom w:val="none" w:sz="0" w:space="0" w:color="auto"/>
        <w:right w:val="none" w:sz="0" w:space="0" w:color="auto"/>
      </w:divBdr>
    </w:div>
    <w:div w:id="364642602">
      <w:bodyDiv w:val="1"/>
      <w:marLeft w:val="0"/>
      <w:marRight w:val="0"/>
      <w:marTop w:val="0"/>
      <w:marBottom w:val="0"/>
      <w:divBdr>
        <w:top w:val="none" w:sz="0" w:space="0" w:color="auto"/>
        <w:left w:val="none" w:sz="0" w:space="0" w:color="auto"/>
        <w:bottom w:val="none" w:sz="0" w:space="0" w:color="auto"/>
        <w:right w:val="none" w:sz="0" w:space="0" w:color="auto"/>
      </w:divBdr>
    </w:div>
    <w:div w:id="364643870">
      <w:bodyDiv w:val="1"/>
      <w:marLeft w:val="0"/>
      <w:marRight w:val="0"/>
      <w:marTop w:val="0"/>
      <w:marBottom w:val="0"/>
      <w:divBdr>
        <w:top w:val="none" w:sz="0" w:space="0" w:color="auto"/>
        <w:left w:val="none" w:sz="0" w:space="0" w:color="auto"/>
        <w:bottom w:val="none" w:sz="0" w:space="0" w:color="auto"/>
        <w:right w:val="none" w:sz="0" w:space="0" w:color="auto"/>
      </w:divBdr>
    </w:div>
    <w:div w:id="364870654">
      <w:bodyDiv w:val="1"/>
      <w:marLeft w:val="0"/>
      <w:marRight w:val="0"/>
      <w:marTop w:val="0"/>
      <w:marBottom w:val="0"/>
      <w:divBdr>
        <w:top w:val="none" w:sz="0" w:space="0" w:color="auto"/>
        <w:left w:val="none" w:sz="0" w:space="0" w:color="auto"/>
        <w:bottom w:val="none" w:sz="0" w:space="0" w:color="auto"/>
        <w:right w:val="none" w:sz="0" w:space="0" w:color="auto"/>
      </w:divBdr>
    </w:div>
    <w:div w:id="364982912">
      <w:bodyDiv w:val="1"/>
      <w:marLeft w:val="0"/>
      <w:marRight w:val="0"/>
      <w:marTop w:val="0"/>
      <w:marBottom w:val="0"/>
      <w:divBdr>
        <w:top w:val="none" w:sz="0" w:space="0" w:color="auto"/>
        <w:left w:val="none" w:sz="0" w:space="0" w:color="auto"/>
        <w:bottom w:val="none" w:sz="0" w:space="0" w:color="auto"/>
        <w:right w:val="none" w:sz="0" w:space="0" w:color="auto"/>
      </w:divBdr>
    </w:div>
    <w:div w:id="365327032">
      <w:bodyDiv w:val="1"/>
      <w:marLeft w:val="0"/>
      <w:marRight w:val="0"/>
      <w:marTop w:val="0"/>
      <w:marBottom w:val="0"/>
      <w:divBdr>
        <w:top w:val="none" w:sz="0" w:space="0" w:color="auto"/>
        <w:left w:val="none" w:sz="0" w:space="0" w:color="auto"/>
        <w:bottom w:val="none" w:sz="0" w:space="0" w:color="auto"/>
        <w:right w:val="none" w:sz="0" w:space="0" w:color="auto"/>
      </w:divBdr>
    </w:div>
    <w:div w:id="365637670">
      <w:bodyDiv w:val="1"/>
      <w:marLeft w:val="0"/>
      <w:marRight w:val="0"/>
      <w:marTop w:val="0"/>
      <w:marBottom w:val="0"/>
      <w:divBdr>
        <w:top w:val="none" w:sz="0" w:space="0" w:color="auto"/>
        <w:left w:val="none" w:sz="0" w:space="0" w:color="auto"/>
        <w:bottom w:val="none" w:sz="0" w:space="0" w:color="auto"/>
        <w:right w:val="none" w:sz="0" w:space="0" w:color="auto"/>
      </w:divBdr>
    </w:div>
    <w:div w:id="365646232">
      <w:bodyDiv w:val="1"/>
      <w:marLeft w:val="0"/>
      <w:marRight w:val="0"/>
      <w:marTop w:val="0"/>
      <w:marBottom w:val="0"/>
      <w:divBdr>
        <w:top w:val="none" w:sz="0" w:space="0" w:color="auto"/>
        <w:left w:val="none" w:sz="0" w:space="0" w:color="auto"/>
        <w:bottom w:val="none" w:sz="0" w:space="0" w:color="auto"/>
        <w:right w:val="none" w:sz="0" w:space="0" w:color="auto"/>
      </w:divBdr>
    </w:div>
    <w:div w:id="365955453">
      <w:bodyDiv w:val="1"/>
      <w:marLeft w:val="0"/>
      <w:marRight w:val="0"/>
      <w:marTop w:val="0"/>
      <w:marBottom w:val="0"/>
      <w:divBdr>
        <w:top w:val="none" w:sz="0" w:space="0" w:color="auto"/>
        <w:left w:val="none" w:sz="0" w:space="0" w:color="auto"/>
        <w:bottom w:val="none" w:sz="0" w:space="0" w:color="auto"/>
        <w:right w:val="none" w:sz="0" w:space="0" w:color="auto"/>
      </w:divBdr>
    </w:div>
    <w:div w:id="366026398">
      <w:bodyDiv w:val="1"/>
      <w:marLeft w:val="0"/>
      <w:marRight w:val="0"/>
      <w:marTop w:val="0"/>
      <w:marBottom w:val="0"/>
      <w:divBdr>
        <w:top w:val="none" w:sz="0" w:space="0" w:color="auto"/>
        <w:left w:val="none" w:sz="0" w:space="0" w:color="auto"/>
        <w:bottom w:val="none" w:sz="0" w:space="0" w:color="auto"/>
        <w:right w:val="none" w:sz="0" w:space="0" w:color="auto"/>
      </w:divBdr>
    </w:div>
    <w:div w:id="366104255">
      <w:bodyDiv w:val="1"/>
      <w:marLeft w:val="0"/>
      <w:marRight w:val="0"/>
      <w:marTop w:val="0"/>
      <w:marBottom w:val="0"/>
      <w:divBdr>
        <w:top w:val="none" w:sz="0" w:space="0" w:color="auto"/>
        <w:left w:val="none" w:sz="0" w:space="0" w:color="auto"/>
        <w:bottom w:val="none" w:sz="0" w:space="0" w:color="auto"/>
        <w:right w:val="none" w:sz="0" w:space="0" w:color="auto"/>
      </w:divBdr>
    </w:div>
    <w:div w:id="366218851">
      <w:bodyDiv w:val="1"/>
      <w:marLeft w:val="0"/>
      <w:marRight w:val="0"/>
      <w:marTop w:val="0"/>
      <w:marBottom w:val="0"/>
      <w:divBdr>
        <w:top w:val="none" w:sz="0" w:space="0" w:color="auto"/>
        <w:left w:val="none" w:sz="0" w:space="0" w:color="auto"/>
        <w:bottom w:val="none" w:sz="0" w:space="0" w:color="auto"/>
        <w:right w:val="none" w:sz="0" w:space="0" w:color="auto"/>
      </w:divBdr>
    </w:div>
    <w:div w:id="366220225">
      <w:bodyDiv w:val="1"/>
      <w:marLeft w:val="0"/>
      <w:marRight w:val="0"/>
      <w:marTop w:val="0"/>
      <w:marBottom w:val="0"/>
      <w:divBdr>
        <w:top w:val="none" w:sz="0" w:space="0" w:color="auto"/>
        <w:left w:val="none" w:sz="0" w:space="0" w:color="auto"/>
        <w:bottom w:val="none" w:sz="0" w:space="0" w:color="auto"/>
        <w:right w:val="none" w:sz="0" w:space="0" w:color="auto"/>
      </w:divBdr>
    </w:div>
    <w:div w:id="366222675">
      <w:bodyDiv w:val="1"/>
      <w:marLeft w:val="0"/>
      <w:marRight w:val="0"/>
      <w:marTop w:val="0"/>
      <w:marBottom w:val="0"/>
      <w:divBdr>
        <w:top w:val="none" w:sz="0" w:space="0" w:color="auto"/>
        <w:left w:val="none" w:sz="0" w:space="0" w:color="auto"/>
        <w:bottom w:val="none" w:sz="0" w:space="0" w:color="auto"/>
        <w:right w:val="none" w:sz="0" w:space="0" w:color="auto"/>
      </w:divBdr>
    </w:div>
    <w:div w:id="366225379">
      <w:bodyDiv w:val="1"/>
      <w:marLeft w:val="0"/>
      <w:marRight w:val="0"/>
      <w:marTop w:val="0"/>
      <w:marBottom w:val="0"/>
      <w:divBdr>
        <w:top w:val="none" w:sz="0" w:space="0" w:color="auto"/>
        <w:left w:val="none" w:sz="0" w:space="0" w:color="auto"/>
        <w:bottom w:val="none" w:sz="0" w:space="0" w:color="auto"/>
        <w:right w:val="none" w:sz="0" w:space="0" w:color="auto"/>
      </w:divBdr>
    </w:div>
    <w:div w:id="366376151">
      <w:bodyDiv w:val="1"/>
      <w:marLeft w:val="0"/>
      <w:marRight w:val="0"/>
      <w:marTop w:val="0"/>
      <w:marBottom w:val="0"/>
      <w:divBdr>
        <w:top w:val="none" w:sz="0" w:space="0" w:color="auto"/>
        <w:left w:val="none" w:sz="0" w:space="0" w:color="auto"/>
        <w:bottom w:val="none" w:sz="0" w:space="0" w:color="auto"/>
        <w:right w:val="none" w:sz="0" w:space="0" w:color="auto"/>
      </w:divBdr>
    </w:div>
    <w:div w:id="366411957">
      <w:bodyDiv w:val="1"/>
      <w:marLeft w:val="0"/>
      <w:marRight w:val="0"/>
      <w:marTop w:val="0"/>
      <w:marBottom w:val="0"/>
      <w:divBdr>
        <w:top w:val="none" w:sz="0" w:space="0" w:color="auto"/>
        <w:left w:val="none" w:sz="0" w:space="0" w:color="auto"/>
        <w:bottom w:val="none" w:sz="0" w:space="0" w:color="auto"/>
        <w:right w:val="none" w:sz="0" w:space="0" w:color="auto"/>
      </w:divBdr>
    </w:div>
    <w:div w:id="366608591">
      <w:bodyDiv w:val="1"/>
      <w:marLeft w:val="0"/>
      <w:marRight w:val="0"/>
      <w:marTop w:val="0"/>
      <w:marBottom w:val="0"/>
      <w:divBdr>
        <w:top w:val="none" w:sz="0" w:space="0" w:color="auto"/>
        <w:left w:val="none" w:sz="0" w:space="0" w:color="auto"/>
        <w:bottom w:val="none" w:sz="0" w:space="0" w:color="auto"/>
        <w:right w:val="none" w:sz="0" w:space="0" w:color="auto"/>
      </w:divBdr>
    </w:div>
    <w:div w:id="366611515">
      <w:bodyDiv w:val="1"/>
      <w:marLeft w:val="0"/>
      <w:marRight w:val="0"/>
      <w:marTop w:val="0"/>
      <w:marBottom w:val="0"/>
      <w:divBdr>
        <w:top w:val="none" w:sz="0" w:space="0" w:color="auto"/>
        <w:left w:val="none" w:sz="0" w:space="0" w:color="auto"/>
        <w:bottom w:val="none" w:sz="0" w:space="0" w:color="auto"/>
        <w:right w:val="none" w:sz="0" w:space="0" w:color="auto"/>
      </w:divBdr>
    </w:div>
    <w:div w:id="366835204">
      <w:bodyDiv w:val="1"/>
      <w:marLeft w:val="0"/>
      <w:marRight w:val="0"/>
      <w:marTop w:val="0"/>
      <w:marBottom w:val="0"/>
      <w:divBdr>
        <w:top w:val="none" w:sz="0" w:space="0" w:color="auto"/>
        <w:left w:val="none" w:sz="0" w:space="0" w:color="auto"/>
        <w:bottom w:val="none" w:sz="0" w:space="0" w:color="auto"/>
        <w:right w:val="none" w:sz="0" w:space="0" w:color="auto"/>
      </w:divBdr>
    </w:div>
    <w:div w:id="366836833">
      <w:bodyDiv w:val="1"/>
      <w:marLeft w:val="0"/>
      <w:marRight w:val="0"/>
      <w:marTop w:val="0"/>
      <w:marBottom w:val="0"/>
      <w:divBdr>
        <w:top w:val="none" w:sz="0" w:space="0" w:color="auto"/>
        <w:left w:val="none" w:sz="0" w:space="0" w:color="auto"/>
        <w:bottom w:val="none" w:sz="0" w:space="0" w:color="auto"/>
        <w:right w:val="none" w:sz="0" w:space="0" w:color="auto"/>
      </w:divBdr>
    </w:div>
    <w:div w:id="366876045">
      <w:bodyDiv w:val="1"/>
      <w:marLeft w:val="0"/>
      <w:marRight w:val="0"/>
      <w:marTop w:val="0"/>
      <w:marBottom w:val="0"/>
      <w:divBdr>
        <w:top w:val="none" w:sz="0" w:space="0" w:color="auto"/>
        <w:left w:val="none" w:sz="0" w:space="0" w:color="auto"/>
        <w:bottom w:val="none" w:sz="0" w:space="0" w:color="auto"/>
        <w:right w:val="none" w:sz="0" w:space="0" w:color="auto"/>
      </w:divBdr>
    </w:div>
    <w:div w:id="367073377">
      <w:bodyDiv w:val="1"/>
      <w:marLeft w:val="0"/>
      <w:marRight w:val="0"/>
      <w:marTop w:val="0"/>
      <w:marBottom w:val="0"/>
      <w:divBdr>
        <w:top w:val="none" w:sz="0" w:space="0" w:color="auto"/>
        <w:left w:val="none" w:sz="0" w:space="0" w:color="auto"/>
        <w:bottom w:val="none" w:sz="0" w:space="0" w:color="auto"/>
        <w:right w:val="none" w:sz="0" w:space="0" w:color="auto"/>
      </w:divBdr>
    </w:div>
    <w:div w:id="367218391">
      <w:bodyDiv w:val="1"/>
      <w:marLeft w:val="0"/>
      <w:marRight w:val="0"/>
      <w:marTop w:val="0"/>
      <w:marBottom w:val="0"/>
      <w:divBdr>
        <w:top w:val="none" w:sz="0" w:space="0" w:color="auto"/>
        <w:left w:val="none" w:sz="0" w:space="0" w:color="auto"/>
        <w:bottom w:val="none" w:sz="0" w:space="0" w:color="auto"/>
        <w:right w:val="none" w:sz="0" w:space="0" w:color="auto"/>
      </w:divBdr>
    </w:div>
    <w:div w:id="367295293">
      <w:bodyDiv w:val="1"/>
      <w:marLeft w:val="0"/>
      <w:marRight w:val="0"/>
      <w:marTop w:val="0"/>
      <w:marBottom w:val="0"/>
      <w:divBdr>
        <w:top w:val="none" w:sz="0" w:space="0" w:color="auto"/>
        <w:left w:val="none" w:sz="0" w:space="0" w:color="auto"/>
        <w:bottom w:val="none" w:sz="0" w:space="0" w:color="auto"/>
        <w:right w:val="none" w:sz="0" w:space="0" w:color="auto"/>
      </w:divBdr>
    </w:div>
    <w:div w:id="367336888">
      <w:bodyDiv w:val="1"/>
      <w:marLeft w:val="0"/>
      <w:marRight w:val="0"/>
      <w:marTop w:val="0"/>
      <w:marBottom w:val="0"/>
      <w:divBdr>
        <w:top w:val="none" w:sz="0" w:space="0" w:color="auto"/>
        <w:left w:val="none" w:sz="0" w:space="0" w:color="auto"/>
        <w:bottom w:val="none" w:sz="0" w:space="0" w:color="auto"/>
        <w:right w:val="none" w:sz="0" w:space="0" w:color="auto"/>
      </w:divBdr>
    </w:div>
    <w:div w:id="367411159">
      <w:bodyDiv w:val="1"/>
      <w:marLeft w:val="0"/>
      <w:marRight w:val="0"/>
      <w:marTop w:val="0"/>
      <w:marBottom w:val="0"/>
      <w:divBdr>
        <w:top w:val="none" w:sz="0" w:space="0" w:color="auto"/>
        <w:left w:val="none" w:sz="0" w:space="0" w:color="auto"/>
        <w:bottom w:val="none" w:sz="0" w:space="0" w:color="auto"/>
        <w:right w:val="none" w:sz="0" w:space="0" w:color="auto"/>
      </w:divBdr>
    </w:div>
    <w:div w:id="367461659">
      <w:bodyDiv w:val="1"/>
      <w:marLeft w:val="0"/>
      <w:marRight w:val="0"/>
      <w:marTop w:val="0"/>
      <w:marBottom w:val="0"/>
      <w:divBdr>
        <w:top w:val="none" w:sz="0" w:space="0" w:color="auto"/>
        <w:left w:val="none" w:sz="0" w:space="0" w:color="auto"/>
        <w:bottom w:val="none" w:sz="0" w:space="0" w:color="auto"/>
        <w:right w:val="none" w:sz="0" w:space="0" w:color="auto"/>
      </w:divBdr>
    </w:div>
    <w:div w:id="367530317">
      <w:bodyDiv w:val="1"/>
      <w:marLeft w:val="0"/>
      <w:marRight w:val="0"/>
      <w:marTop w:val="0"/>
      <w:marBottom w:val="0"/>
      <w:divBdr>
        <w:top w:val="none" w:sz="0" w:space="0" w:color="auto"/>
        <w:left w:val="none" w:sz="0" w:space="0" w:color="auto"/>
        <w:bottom w:val="none" w:sz="0" w:space="0" w:color="auto"/>
        <w:right w:val="none" w:sz="0" w:space="0" w:color="auto"/>
      </w:divBdr>
    </w:div>
    <w:div w:id="367530671">
      <w:bodyDiv w:val="1"/>
      <w:marLeft w:val="0"/>
      <w:marRight w:val="0"/>
      <w:marTop w:val="0"/>
      <w:marBottom w:val="0"/>
      <w:divBdr>
        <w:top w:val="none" w:sz="0" w:space="0" w:color="auto"/>
        <w:left w:val="none" w:sz="0" w:space="0" w:color="auto"/>
        <w:bottom w:val="none" w:sz="0" w:space="0" w:color="auto"/>
        <w:right w:val="none" w:sz="0" w:space="0" w:color="auto"/>
      </w:divBdr>
    </w:div>
    <w:div w:id="367534427">
      <w:bodyDiv w:val="1"/>
      <w:marLeft w:val="0"/>
      <w:marRight w:val="0"/>
      <w:marTop w:val="0"/>
      <w:marBottom w:val="0"/>
      <w:divBdr>
        <w:top w:val="none" w:sz="0" w:space="0" w:color="auto"/>
        <w:left w:val="none" w:sz="0" w:space="0" w:color="auto"/>
        <w:bottom w:val="none" w:sz="0" w:space="0" w:color="auto"/>
        <w:right w:val="none" w:sz="0" w:space="0" w:color="auto"/>
      </w:divBdr>
    </w:div>
    <w:div w:id="367612433">
      <w:bodyDiv w:val="1"/>
      <w:marLeft w:val="0"/>
      <w:marRight w:val="0"/>
      <w:marTop w:val="0"/>
      <w:marBottom w:val="0"/>
      <w:divBdr>
        <w:top w:val="none" w:sz="0" w:space="0" w:color="auto"/>
        <w:left w:val="none" w:sz="0" w:space="0" w:color="auto"/>
        <w:bottom w:val="none" w:sz="0" w:space="0" w:color="auto"/>
        <w:right w:val="none" w:sz="0" w:space="0" w:color="auto"/>
      </w:divBdr>
    </w:div>
    <w:div w:id="367804271">
      <w:bodyDiv w:val="1"/>
      <w:marLeft w:val="0"/>
      <w:marRight w:val="0"/>
      <w:marTop w:val="0"/>
      <w:marBottom w:val="0"/>
      <w:divBdr>
        <w:top w:val="none" w:sz="0" w:space="0" w:color="auto"/>
        <w:left w:val="none" w:sz="0" w:space="0" w:color="auto"/>
        <w:bottom w:val="none" w:sz="0" w:space="0" w:color="auto"/>
        <w:right w:val="none" w:sz="0" w:space="0" w:color="auto"/>
      </w:divBdr>
    </w:div>
    <w:div w:id="368070928">
      <w:bodyDiv w:val="1"/>
      <w:marLeft w:val="0"/>
      <w:marRight w:val="0"/>
      <w:marTop w:val="0"/>
      <w:marBottom w:val="0"/>
      <w:divBdr>
        <w:top w:val="none" w:sz="0" w:space="0" w:color="auto"/>
        <w:left w:val="none" w:sz="0" w:space="0" w:color="auto"/>
        <w:bottom w:val="none" w:sz="0" w:space="0" w:color="auto"/>
        <w:right w:val="none" w:sz="0" w:space="0" w:color="auto"/>
      </w:divBdr>
    </w:div>
    <w:div w:id="368140572">
      <w:bodyDiv w:val="1"/>
      <w:marLeft w:val="0"/>
      <w:marRight w:val="0"/>
      <w:marTop w:val="0"/>
      <w:marBottom w:val="0"/>
      <w:divBdr>
        <w:top w:val="none" w:sz="0" w:space="0" w:color="auto"/>
        <w:left w:val="none" w:sz="0" w:space="0" w:color="auto"/>
        <w:bottom w:val="none" w:sz="0" w:space="0" w:color="auto"/>
        <w:right w:val="none" w:sz="0" w:space="0" w:color="auto"/>
      </w:divBdr>
    </w:div>
    <w:div w:id="368527932">
      <w:bodyDiv w:val="1"/>
      <w:marLeft w:val="0"/>
      <w:marRight w:val="0"/>
      <w:marTop w:val="0"/>
      <w:marBottom w:val="0"/>
      <w:divBdr>
        <w:top w:val="none" w:sz="0" w:space="0" w:color="auto"/>
        <w:left w:val="none" w:sz="0" w:space="0" w:color="auto"/>
        <w:bottom w:val="none" w:sz="0" w:space="0" w:color="auto"/>
        <w:right w:val="none" w:sz="0" w:space="0" w:color="auto"/>
      </w:divBdr>
    </w:div>
    <w:div w:id="368650148">
      <w:bodyDiv w:val="1"/>
      <w:marLeft w:val="0"/>
      <w:marRight w:val="0"/>
      <w:marTop w:val="0"/>
      <w:marBottom w:val="0"/>
      <w:divBdr>
        <w:top w:val="none" w:sz="0" w:space="0" w:color="auto"/>
        <w:left w:val="none" w:sz="0" w:space="0" w:color="auto"/>
        <w:bottom w:val="none" w:sz="0" w:space="0" w:color="auto"/>
        <w:right w:val="none" w:sz="0" w:space="0" w:color="auto"/>
      </w:divBdr>
    </w:div>
    <w:div w:id="368727934">
      <w:bodyDiv w:val="1"/>
      <w:marLeft w:val="0"/>
      <w:marRight w:val="0"/>
      <w:marTop w:val="0"/>
      <w:marBottom w:val="0"/>
      <w:divBdr>
        <w:top w:val="none" w:sz="0" w:space="0" w:color="auto"/>
        <w:left w:val="none" w:sz="0" w:space="0" w:color="auto"/>
        <w:bottom w:val="none" w:sz="0" w:space="0" w:color="auto"/>
        <w:right w:val="none" w:sz="0" w:space="0" w:color="auto"/>
      </w:divBdr>
    </w:div>
    <w:div w:id="368990107">
      <w:bodyDiv w:val="1"/>
      <w:marLeft w:val="0"/>
      <w:marRight w:val="0"/>
      <w:marTop w:val="0"/>
      <w:marBottom w:val="0"/>
      <w:divBdr>
        <w:top w:val="none" w:sz="0" w:space="0" w:color="auto"/>
        <w:left w:val="none" w:sz="0" w:space="0" w:color="auto"/>
        <w:bottom w:val="none" w:sz="0" w:space="0" w:color="auto"/>
        <w:right w:val="none" w:sz="0" w:space="0" w:color="auto"/>
      </w:divBdr>
    </w:div>
    <w:div w:id="369763703">
      <w:bodyDiv w:val="1"/>
      <w:marLeft w:val="0"/>
      <w:marRight w:val="0"/>
      <w:marTop w:val="0"/>
      <w:marBottom w:val="0"/>
      <w:divBdr>
        <w:top w:val="none" w:sz="0" w:space="0" w:color="auto"/>
        <w:left w:val="none" w:sz="0" w:space="0" w:color="auto"/>
        <w:bottom w:val="none" w:sz="0" w:space="0" w:color="auto"/>
        <w:right w:val="none" w:sz="0" w:space="0" w:color="auto"/>
      </w:divBdr>
    </w:div>
    <w:div w:id="370038003">
      <w:bodyDiv w:val="1"/>
      <w:marLeft w:val="0"/>
      <w:marRight w:val="0"/>
      <w:marTop w:val="0"/>
      <w:marBottom w:val="0"/>
      <w:divBdr>
        <w:top w:val="none" w:sz="0" w:space="0" w:color="auto"/>
        <w:left w:val="none" w:sz="0" w:space="0" w:color="auto"/>
        <w:bottom w:val="none" w:sz="0" w:space="0" w:color="auto"/>
        <w:right w:val="none" w:sz="0" w:space="0" w:color="auto"/>
      </w:divBdr>
    </w:div>
    <w:div w:id="370081942">
      <w:bodyDiv w:val="1"/>
      <w:marLeft w:val="0"/>
      <w:marRight w:val="0"/>
      <w:marTop w:val="0"/>
      <w:marBottom w:val="0"/>
      <w:divBdr>
        <w:top w:val="none" w:sz="0" w:space="0" w:color="auto"/>
        <w:left w:val="none" w:sz="0" w:space="0" w:color="auto"/>
        <w:bottom w:val="none" w:sz="0" w:space="0" w:color="auto"/>
        <w:right w:val="none" w:sz="0" w:space="0" w:color="auto"/>
      </w:divBdr>
    </w:div>
    <w:div w:id="370230786">
      <w:bodyDiv w:val="1"/>
      <w:marLeft w:val="0"/>
      <w:marRight w:val="0"/>
      <w:marTop w:val="0"/>
      <w:marBottom w:val="0"/>
      <w:divBdr>
        <w:top w:val="none" w:sz="0" w:space="0" w:color="auto"/>
        <w:left w:val="none" w:sz="0" w:space="0" w:color="auto"/>
        <w:bottom w:val="none" w:sz="0" w:space="0" w:color="auto"/>
        <w:right w:val="none" w:sz="0" w:space="0" w:color="auto"/>
      </w:divBdr>
    </w:div>
    <w:div w:id="370617989">
      <w:bodyDiv w:val="1"/>
      <w:marLeft w:val="0"/>
      <w:marRight w:val="0"/>
      <w:marTop w:val="0"/>
      <w:marBottom w:val="0"/>
      <w:divBdr>
        <w:top w:val="none" w:sz="0" w:space="0" w:color="auto"/>
        <w:left w:val="none" w:sz="0" w:space="0" w:color="auto"/>
        <w:bottom w:val="none" w:sz="0" w:space="0" w:color="auto"/>
        <w:right w:val="none" w:sz="0" w:space="0" w:color="auto"/>
      </w:divBdr>
    </w:div>
    <w:div w:id="370618522">
      <w:bodyDiv w:val="1"/>
      <w:marLeft w:val="0"/>
      <w:marRight w:val="0"/>
      <w:marTop w:val="0"/>
      <w:marBottom w:val="0"/>
      <w:divBdr>
        <w:top w:val="none" w:sz="0" w:space="0" w:color="auto"/>
        <w:left w:val="none" w:sz="0" w:space="0" w:color="auto"/>
        <w:bottom w:val="none" w:sz="0" w:space="0" w:color="auto"/>
        <w:right w:val="none" w:sz="0" w:space="0" w:color="auto"/>
      </w:divBdr>
    </w:div>
    <w:div w:id="370813085">
      <w:bodyDiv w:val="1"/>
      <w:marLeft w:val="0"/>
      <w:marRight w:val="0"/>
      <w:marTop w:val="0"/>
      <w:marBottom w:val="0"/>
      <w:divBdr>
        <w:top w:val="none" w:sz="0" w:space="0" w:color="auto"/>
        <w:left w:val="none" w:sz="0" w:space="0" w:color="auto"/>
        <w:bottom w:val="none" w:sz="0" w:space="0" w:color="auto"/>
        <w:right w:val="none" w:sz="0" w:space="0" w:color="auto"/>
      </w:divBdr>
    </w:div>
    <w:div w:id="371806376">
      <w:bodyDiv w:val="1"/>
      <w:marLeft w:val="0"/>
      <w:marRight w:val="0"/>
      <w:marTop w:val="0"/>
      <w:marBottom w:val="0"/>
      <w:divBdr>
        <w:top w:val="none" w:sz="0" w:space="0" w:color="auto"/>
        <w:left w:val="none" w:sz="0" w:space="0" w:color="auto"/>
        <w:bottom w:val="none" w:sz="0" w:space="0" w:color="auto"/>
        <w:right w:val="none" w:sz="0" w:space="0" w:color="auto"/>
      </w:divBdr>
    </w:div>
    <w:div w:id="371808605">
      <w:bodyDiv w:val="1"/>
      <w:marLeft w:val="0"/>
      <w:marRight w:val="0"/>
      <w:marTop w:val="0"/>
      <w:marBottom w:val="0"/>
      <w:divBdr>
        <w:top w:val="none" w:sz="0" w:space="0" w:color="auto"/>
        <w:left w:val="none" w:sz="0" w:space="0" w:color="auto"/>
        <w:bottom w:val="none" w:sz="0" w:space="0" w:color="auto"/>
        <w:right w:val="none" w:sz="0" w:space="0" w:color="auto"/>
      </w:divBdr>
    </w:div>
    <w:div w:id="371923650">
      <w:bodyDiv w:val="1"/>
      <w:marLeft w:val="0"/>
      <w:marRight w:val="0"/>
      <w:marTop w:val="0"/>
      <w:marBottom w:val="0"/>
      <w:divBdr>
        <w:top w:val="none" w:sz="0" w:space="0" w:color="auto"/>
        <w:left w:val="none" w:sz="0" w:space="0" w:color="auto"/>
        <w:bottom w:val="none" w:sz="0" w:space="0" w:color="auto"/>
        <w:right w:val="none" w:sz="0" w:space="0" w:color="auto"/>
      </w:divBdr>
    </w:div>
    <w:div w:id="372078453">
      <w:bodyDiv w:val="1"/>
      <w:marLeft w:val="0"/>
      <w:marRight w:val="0"/>
      <w:marTop w:val="0"/>
      <w:marBottom w:val="0"/>
      <w:divBdr>
        <w:top w:val="none" w:sz="0" w:space="0" w:color="auto"/>
        <w:left w:val="none" w:sz="0" w:space="0" w:color="auto"/>
        <w:bottom w:val="none" w:sz="0" w:space="0" w:color="auto"/>
        <w:right w:val="none" w:sz="0" w:space="0" w:color="auto"/>
      </w:divBdr>
    </w:div>
    <w:div w:id="372311306">
      <w:bodyDiv w:val="1"/>
      <w:marLeft w:val="0"/>
      <w:marRight w:val="0"/>
      <w:marTop w:val="0"/>
      <w:marBottom w:val="0"/>
      <w:divBdr>
        <w:top w:val="none" w:sz="0" w:space="0" w:color="auto"/>
        <w:left w:val="none" w:sz="0" w:space="0" w:color="auto"/>
        <w:bottom w:val="none" w:sz="0" w:space="0" w:color="auto"/>
        <w:right w:val="none" w:sz="0" w:space="0" w:color="auto"/>
      </w:divBdr>
    </w:div>
    <w:div w:id="372778891">
      <w:bodyDiv w:val="1"/>
      <w:marLeft w:val="0"/>
      <w:marRight w:val="0"/>
      <w:marTop w:val="0"/>
      <w:marBottom w:val="0"/>
      <w:divBdr>
        <w:top w:val="none" w:sz="0" w:space="0" w:color="auto"/>
        <w:left w:val="none" w:sz="0" w:space="0" w:color="auto"/>
        <w:bottom w:val="none" w:sz="0" w:space="0" w:color="auto"/>
        <w:right w:val="none" w:sz="0" w:space="0" w:color="auto"/>
      </w:divBdr>
    </w:div>
    <w:div w:id="372847576">
      <w:bodyDiv w:val="1"/>
      <w:marLeft w:val="0"/>
      <w:marRight w:val="0"/>
      <w:marTop w:val="0"/>
      <w:marBottom w:val="0"/>
      <w:divBdr>
        <w:top w:val="none" w:sz="0" w:space="0" w:color="auto"/>
        <w:left w:val="none" w:sz="0" w:space="0" w:color="auto"/>
        <w:bottom w:val="none" w:sz="0" w:space="0" w:color="auto"/>
        <w:right w:val="none" w:sz="0" w:space="0" w:color="auto"/>
      </w:divBdr>
    </w:div>
    <w:div w:id="372926180">
      <w:bodyDiv w:val="1"/>
      <w:marLeft w:val="0"/>
      <w:marRight w:val="0"/>
      <w:marTop w:val="0"/>
      <w:marBottom w:val="0"/>
      <w:divBdr>
        <w:top w:val="none" w:sz="0" w:space="0" w:color="auto"/>
        <w:left w:val="none" w:sz="0" w:space="0" w:color="auto"/>
        <w:bottom w:val="none" w:sz="0" w:space="0" w:color="auto"/>
        <w:right w:val="none" w:sz="0" w:space="0" w:color="auto"/>
      </w:divBdr>
    </w:div>
    <w:div w:id="372996684">
      <w:bodyDiv w:val="1"/>
      <w:marLeft w:val="0"/>
      <w:marRight w:val="0"/>
      <w:marTop w:val="0"/>
      <w:marBottom w:val="0"/>
      <w:divBdr>
        <w:top w:val="none" w:sz="0" w:space="0" w:color="auto"/>
        <w:left w:val="none" w:sz="0" w:space="0" w:color="auto"/>
        <w:bottom w:val="none" w:sz="0" w:space="0" w:color="auto"/>
        <w:right w:val="none" w:sz="0" w:space="0" w:color="auto"/>
      </w:divBdr>
    </w:div>
    <w:div w:id="373194441">
      <w:bodyDiv w:val="1"/>
      <w:marLeft w:val="0"/>
      <w:marRight w:val="0"/>
      <w:marTop w:val="0"/>
      <w:marBottom w:val="0"/>
      <w:divBdr>
        <w:top w:val="none" w:sz="0" w:space="0" w:color="auto"/>
        <w:left w:val="none" w:sz="0" w:space="0" w:color="auto"/>
        <w:bottom w:val="none" w:sz="0" w:space="0" w:color="auto"/>
        <w:right w:val="none" w:sz="0" w:space="0" w:color="auto"/>
      </w:divBdr>
    </w:div>
    <w:div w:id="373504163">
      <w:bodyDiv w:val="1"/>
      <w:marLeft w:val="0"/>
      <w:marRight w:val="0"/>
      <w:marTop w:val="0"/>
      <w:marBottom w:val="0"/>
      <w:divBdr>
        <w:top w:val="none" w:sz="0" w:space="0" w:color="auto"/>
        <w:left w:val="none" w:sz="0" w:space="0" w:color="auto"/>
        <w:bottom w:val="none" w:sz="0" w:space="0" w:color="auto"/>
        <w:right w:val="none" w:sz="0" w:space="0" w:color="auto"/>
      </w:divBdr>
    </w:div>
    <w:div w:id="373581672">
      <w:bodyDiv w:val="1"/>
      <w:marLeft w:val="0"/>
      <w:marRight w:val="0"/>
      <w:marTop w:val="0"/>
      <w:marBottom w:val="0"/>
      <w:divBdr>
        <w:top w:val="none" w:sz="0" w:space="0" w:color="auto"/>
        <w:left w:val="none" w:sz="0" w:space="0" w:color="auto"/>
        <w:bottom w:val="none" w:sz="0" w:space="0" w:color="auto"/>
        <w:right w:val="none" w:sz="0" w:space="0" w:color="auto"/>
      </w:divBdr>
    </w:div>
    <w:div w:id="373620890">
      <w:bodyDiv w:val="1"/>
      <w:marLeft w:val="0"/>
      <w:marRight w:val="0"/>
      <w:marTop w:val="0"/>
      <w:marBottom w:val="0"/>
      <w:divBdr>
        <w:top w:val="none" w:sz="0" w:space="0" w:color="auto"/>
        <w:left w:val="none" w:sz="0" w:space="0" w:color="auto"/>
        <w:bottom w:val="none" w:sz="0" w:space="0" w:color="auto"/>
        <w:right w:val="none" w:sz="0" w:space="0" w:color="auto"/>
      </w:divBdr>
    </w:div>
    <w:div w:id="373890849">
      <w:bodyDiv w:val="1"/>
      <w:marLeft w:val="0"/>
      <w:marRight w:val="0"/>
      <w:marTop w:val="0"/>
      <w:marBottom w:val="0"/>
      <w:divBdr>
        <w:top w:val="none" w:sz="0" w:space="0" w:color="auto"/>
        <w:left w:val="none" w:sz="0" w:space="0" w:color="auto"/>
        <w:bottom w:val="none" w:sz="0" w:space="0" w:color="auto"/>
        <w:right w:val="none" w:sz="0" w:space="0" w:color="auto"/>
      </w:divBdr>
    </w:div>
    <w:div w:id="373893563">
      <w:bodyDiv w:val="1"/>
      <w:marLeft w:val="0"/>
      <w:marRight w:val="0"/>
      <w:marTop w:val="0"/>
      <w:marBottom w:val="0"/>
      <w:divBdr>
        <w:top w:val="none" w:sz="0" w:space="0" w:color="auto"/>
        <w:left w:val="none" w:sz="0" w:space="0" w:color="auto"/>
        <w:bottom w:val="none" w:sz="0" w:space="0" w:color="auto"/>
        <w:right w:val="none" w:sz="0" w:space="0" w:color="auto"/>
      </w:divBdr>
    </w:div>
    <w:div w:id="373895406">
      <w:bodyDiv w:val="1"/>
      <w:marLeft w:val="0"/>
      <w:marRight w:val="0"/>
      <w:marTop w:val="0"/>
      <w:marBottom w:val="0"/>
      <w:divBdr>
        <w:top w:val="none" w:sz="0" w:space="0" w:color="auto"/>
        <w:left w:val="none" w:sz="0" w:space="0" w:color="auto"/>
        <w:bottom w:val="none" w:sz="0" w:space="0" w:color="auto"/>
        <w:right w:val="none" w:sz="0" w:space="0" w:color="auto"/>
      </w:divBdr>
    </w:div>
    <w:div w:id="374090021">
      <w:bodyDiv w:val="1"/>
      <w:marLeft w:val="0"/>
      <w:marRight w:val="0"/>
      <w:marTop w:val="0"/>
      <w:marBottom w:val="0"/>
      <w:divBdr>
        <w:top w:val="none" w:sz="0" w:space="0" w:color="auto"/>
        <w:left w:val="none" w:sz="0" w:space="0" w:color="auto"/>
        <w:bottom w:val="none" w:sz="0" w:space="0" w:color="auto"/>
        <w:right w:val="none" w:sz="0" w:space="0" w:color="auto"/>
      </w:divBdr>
    </w:div>
    <w:div w:id="374432872">
      <w:bodyDiv w:val="1"/>
      <w:marLeft w:val="0"/>
      <w:marRight w:val="0"/>
      <w:marTop w:val="0"/>
      <w:marBottom w:val="0"/>
      <w:divBdr>
        <w:top w:val="none" w:sz="0" w:space="0" w:color="auto"/>
        <w:left w:val="none" w:sz="0" w:space="0" w:color="auto"/>
        <w:bottom w:val="none" w:sz="0" w:space="0" w:color="auto"/>
        <w:right w:val="none" w:sz="0" w:space="0" w:color="auto"/>
      </w:divBdr>
    </w:div>
    <w:div w:id="374504370">
      <w:bodyDiv w:val="1"/>
      <w:marLeft w:val="0"/>
      <w:marRight w:val="0"/>
      <w:marTop w:val="0"/>
      <w:marBottom w:val="0"/>
      <w:divBdr>
        <w:top w:val="none" w:sz="0" w:space="0" w:color="auto"/>
        <w:left w:val="none" w:sz="0" w:space="0" w:color="auto"/>
        <w:bottom w:val="none" w:sz="0" w:space="0" w:color="auto"/>
        <w:right w:val="none" w:sz="0" w:space="0" w:color="auto"/>
      </w:divBdr>
    </w:div>
    <w:div w:id="374742851">
      <w:bodyDiv w:val="1"/>
      <w:marLeft w:val="0"/>
      <w:marRight w:val="0"/>
      <w:marTop w:val="0"/>
      <w:marBottom w:val="0"/>
      <w:divBdr>
        <w:top w:val="none" w:sz="0" w:space="0" w:color="auto"/>
        <w:left w:val="none" w:sz="0" w:space="0" w:color="auto"/>
        <w:bottom w:val="none" w:sz="0" w:space="0" w:color="auto"/>
        <w:right w:val="none" w:sz="0" w:space="0" w:color="auto"/>
      </w:divBdr>
    </w:div>
    <w:div w:id="375009104">
      <w:bodyDiv w:val="1"/>
      <w:marLeft w:val="0"/>
      <w:marRight w:val="0"/>
      <w:marTop w:val="0"/>
      <w:marBottom w:val="0"/>
      <w:divBdr>
        <w:top w:val="none" w:sz="0" w:space="0" w:color="auto"/>
        <w:left w:val="none" w:sz="0" w:space="0" w:color="auto"/>
        <w:bottom w:val="none" w:sz="0" w:space="0" w:color="auto"/>
        <w:right w:val="none" w:sz="0" w:space="0" w:color="auto"/>
      </w:divBdr>
    </w:div>
    <w:div w:id="375083921">
      <w:bodyDiv w:val="1"/>
      <w:marLeft w:val="0"/>
      <w:marRight w:val="0"/>
      <w:marTop w:val="0"/>
      <w:marBottom w:val="0"/>
      <w:divBdr>
        <w:top w:val="none" w:sz="0" w:space="0" w:color="auto"/>
        <w:left w:val="none" w:sz="0" w:space="0" w:color="auto"/>
        <w:bottom w:val="none" w:sz="0" w:space="0" w:color="auto"/>
        <w:right w:val="none" w:sz="0" w:space="0" w:color="auto"/>
      </w:divBdr>
    </w:div>
    <w:div w:id="375155410">
      <w:bodyDiv w:val="1"/>
      <w:marLeft w:val="0"/>
      <w:marRight w:val="0"/>
      <w:marTop w:val="0"/>
      <w:marBottom w:val="0"/>
      <w:divBdr>
        <w:top w:val="none" w:sz="0" w:space="0" w:color="auto"/>
        <w:left w:val="none" w:sz="0" w:space="0" w:color="auto"/>
        <w:bottom w:val="none" w:sz="0" w:space="0" w:color="auto"/>
        <w:right w:val="none" w:sz="0" w:space="0" w:color="auto"/>
      </w:divBdr>
    </w:div>
    <w:div w:id="375272944">
      <w:bodyDiv w:val="1"/>
      <w:marLeft w:val="0"/>
      <w:marRight w:val="0"/>
      <w:marTop w:val="0"/>
      <w:marBottom w:val="0"/>
      <w:divBdr>
        <w:top w:val="none" w:sz="0" w:space="0" w:color="auto"/>
        <w:left w:val="none" w:sz="0" w:space="0" w:color="auto"/>
        <w:bottom w:val="none" w:sz="0" w:space="0" w:color="auto"/>
        <w:right w:val="none" w:sz="0" w:space="0" w:color="auto"/>
      </w:divBdr>
    </w:div>
    <w:div w:id="375590968">
      <w:bodyDiv w:val="1"/>
      <w:marLeft w:val="0"/>
      <w:marRight w:val="0"/>
      <w:marTop w:val="0"/>
      <w:marBottom w:val="0"/>
      <w:divBdr>
        <w:top w:val="none" w:sz="0" w:space="0" w:color="auto"/>
        <w:left w:val="none" w:sz="0" w:space="0" w:color="auto"/>
        <w:bottom w:val="none" w:sz="0" w:space="0" w:color="auto"/>
        <w:right w:val="none" w:sz="0" w:space="0" w:color="auto"/>
      </w:divBdr>
    </w:div>
    <w:div w:id="375740456">
      <w:bodyDiv w:val="1"/>
      <w:marLeft w:val="0"/>
      <w:marRight w:val="0"/>
      <w:marTop w:val="0"/>
      <w:marBottom w:val="0"/>
      <w:divBdr>
        <w:top w:val="none" w:sz="0" w:space="0" w:color="auto"/>
        <w:left w:val="none" w:sz="0" w:space="0" w:color="auto"/>
        <w:bottom w:val="none" w:sz="0" w:space="0" w:color="auto"/>
        <w:right w:val="none" w:sz="0" w:space="0" w:color="auto"/>
      </w:divBdr>
    </w:div>
    <w:div w:id="375786272">
      <w:bodyDiv w:val="1"/>
      <w:marLeft w:val="0"/>
      <w:marRight w:val="0"/>
      <w:marTop w:val="0"/>
      <w:marBottom w:val="0"/>
      <w:divBdr>
        <w:top w:val="none" w:sz="0" w:space="0" w:color="auto"/>
        <w:left w:val="none" w:sz="0" w:space="0" w:color="auto"/>
        <w:bottom w:val="none" w:sz="0" w:space="0" w:color="auto"/>
        <w:right w:val="none" w:sz="0" w:space="0" w:color="auto"/>
      </w:divBdr>
    </w:div>
    <w:div w:id="375860448">
      <w:bodyDiv w:val="1"/>
      <w:marLeft w:val="0"/>
      <w:marRight w:val="0"/>
      <w:marTop w:val="0"/>
      <w:marBottom w:val="0"/>
      <w:divBdr>
        <w:top w:val="none" w:sz="0" w:space="0" w:color="auto"/>
        <w:left w:val="none" w:sz="0" w:space="0" w:color="auto"/>
        <w:bottom w:val="none" w:sz="0" w:space="0" w:color="auto"/>
        <w:right w:val="none" w:sz="0" w:space="0" w:color="auto"/>
      </w:divBdr>
    </w:div>
    <w:div w:id="375937426">
      <w:bodyDiv w:val="1"/>
      <w:marLeft w:val="0"/>
      <w:marRight w:val="0"/>
      <w:marTop w:val="0"/>
      <w:marBottom w:val="0"/>
      <w:divBdr>
        <w:top w:val="none" w:sz="0" w:space="0" w:color="auto"/>
        <w:left w:val="none" w:sz="0" w:space="0" w:color="auto"/>
        <w:bottom w:val="none" w:sz="0" w:space="0" w:color="auto"/>
        <w:right w:val="none" w:sz="0" w:space="0" w:color="auto"/>
      </w:divBdr>
    </w:div>
    <w:div w:id="376009012">
      <w:bodyDiv w:val="1"/>
      <w:marLeft w:val="0"/>
      <w:marRight w:val="0"/>
      <w:marTop w:val="0"/>
      <w:marBottom w:val="0"/>
      <w:divBdr>
        <w:top w:val="none" w:sz="0" w:space="0" w:color="auto"/>
        <w:left w:val="none" w:sz="0" w:space="0" w:color="auto"/>
        <w:bottom w:val="none" w:sz="0" w:space="0" w:color="auto"/>
        <w:right w:val="none" w:sz="0" w:space="0" w:color="auto"/>
      </w:divBdr>
    </w:div>
    <w:div w:id="376247258">
      <w:bodyDiv w:val="1"/>
      <w:marLeft w:val="0"/>
      <w:marRight w:val="0"/>
      <w:marTop w:val="0"/>
      <w:marBottom w:val="0"/>
      <w:divBdr>
        <w:top w:val="none" w:sz="0" w:space="0" w:color="auto"/>
        <w:left w:val="none" w:sz="0" w:space="0" w:color="auto"/>
        <w:bottom w:val="none" w:sz="0" w:space="0" w:color="auto"/>
        <w:right w:val="none" w:sz="0" w:space="0" w:color="auto"/>
      </w:divBdr>
    </w:div>
    <w:div w:id="376440317">
      <w:bodyDiv w:val="1"/>
      <w:marLeft w:val="0"/>
      <w:marRight w:val="0"/>
      <w:marTop w:val="0"/>
      <w:marBottom w:val="0"/>
      <w:divBdr>
        <w:top w:val="none" w:sz="0" w:space="0" w:color="auto"/>
        <w:left w:val="none" w:sz="0" w:space="0" w:color="auto"/>
        <w:bottom w:val="none" w:sz="0" w:space="0" w:color="auto"/>
        <w:right w:val="none" w:sz="0" w:space="0" w:color="auto"/>
      </w:divBdr>
    </w:div>
    <w:div w:id="376709359">
      <w:bodyDiv w:val="1"/>
      <w:marLeft w:val="0"/>
      <w:marRight w:val="0"/>
      <w:marTop w:val="0"/>
      <w:marBottom w:val="0"/>
      <w:divBdr>
        <w:top w:val="none" w:sz="0" w:space="0" w:color="auto"/>
        <w:left w:val="none" w:sz="0" w:space="0" w:color="auto"/>
        <w:bottom w:val="none" w:sz="0" w:space="0" w:color="auto"/>
        <w:right w:val="none" w:sz="0" w:space="0" w:color="auto"/>
      </w:divBdr>
    </w:div>
    <w:div w:id="376861469">
      <w:bodyDiv w:val="1"/>
      <w:marLeft w:val="0"/>
      <w:marRight w:val="0"/>
      <w:marTop w:val="0"/>
      <w:marBottom w:val="0"/>
      <w:divBdr>
        <w:top w:val="none" w:sz="0" w:space="0" w:color="auto"/>
        <w:left w:val="none" w:sz="0" w:space="0" w:color="auto"/>
        <w:bottom w:val="none" w:sz="0" w:space="0" w:color="auto"/>
        <w:right w:val="none" w:sz="0" w:space="0" w:color="auto"/>
      </w:divBdr>
    </w:div>
    <w:div w:id="377241994">
      <w:bodyDiv w:val="1"/>
      <w:marLeft w:val="0"/>
      <w:marRight w:val="0"/>
      <w:marTop w:val="0"/>
      <w:marBottom w:val="0"/>
      <w:divBdr>
        <w:top w:val="none" w:sz="0" w:space="0" w:color="auto"/>
        <w:left w:val="none" w:sz="0" w:space="0" w:color="auto"/>
        <w:bottom w:val="none" w:sz="0" w:space="0" w:color="auto"/>
        <w:right w:val="none" w:sz="0" w:space="0" w:color="auto"/>
      </w:divBdr>
    </w:div>
    <w:div w:id="377436030">
      <w:bodyDiv w:val="1"/>
      <w:marLeft w:val="0"/>
      <w:marRight w:val="0"/>
      <w:marTop w:val="0"/>
      <w:marBottom w:val="0"/>
      <w:divBdr>
        <w:top w:val="none" w:sz="0" w:space="0" w:color="auto"/>
        <w:left w:val="none" w:sz="0" w:space="0" w:color="auto"/>
        <w:bottom w:val="none" w:sz="0" w:space="0" w:color="auto"/>
        <w:right w:val="none" w:sz="0" w:space="0" w:color="auto"/>
      </w:divBdr>
    </w:div>
    <w:div w:id="377512290">
      <w:bodyDiv w:val="1"/>
      <w:marLeft w:val="0"/>
      <w:marRight w:val="0"/>
      <w:marTop w:val="0"/>
      <w:marBottom w:val="0"/>
      <w:divBdr>
        <w:top w:val="none" w:sz="0" w:space="0" w:color="auto"/>
        <w:left w:val="none" w:sz="0" w:space="0" w:color="auto"/>
        <w:bottom w:val="none" w:sz="0" w:space="0" w:color="auto"/>
        <w:right w:val="none" w:sz="0" w:space="0" w:color="auto"/>
      </w:divBdr>
    </w:div>
    <w:div w:id="377513935">
      <w:bodyDiv w:val="1"/>
      <w:marLeft w:val="0"/>
      <w:marRight w:val="0"/>
      <w:marTop w:val="0"/>
      <w:marBottom w:val="0"/>
      <w:divBdr>
        <w:top w:val="none" w:sz="0" w:space="0" w:color="auto"/>
        <w:left w:val="none" w:sz="0" w:space="0" w:color="auto"/>
        <w:bottom w:val="none" w:sz="0" w:space="0" w:color="auto"/>
        <w:right w:val="none" w:sz="0" w:space="0" w:color="auto"/>
      </w:divBdr>
    </w:div>
    <w:div w:id="377557276">
      <w:bodyDiv w:val="1"/>
      <w:marLeft w:val="0"/>
      <w:marRight w:val="0"/>
      <w:marTop w:val="0"/>
      <w:marBottom w:val="0"/>
      <w:divBdr>
        <w:top w:val="none" w:sz="0" w:space="0" w:color="auto"/>
        <w:left w:val="none" w:sz="0" w:space="0" w:color="auto"/>
        <w:bottom w:val="none" w:sz="0" w:space="0" w:color="auto"/>
        <w:right w:val="none" w:sz="0" w:space="0" w:color="auto"/>
      </w:divBdr>
    </w:div>
    <w:div w:id="377584929">
      <w:bodyDiv w:val="1"/>
      <w:marLeft w:val="0"/>
      <w:marRight w:val="0"/>
      <w:marTop w:val="0"/>
      <w:marBottom w:val="0"/>
      <w:divBdr>
        <w:top w:val="none" w:sz="0" w:space="0" w:color="auto"/>
        <w:left w:val="none" w:sz="0" w:space="0" w:color="auto"/>
        <w:bottom w:val="none" w:sz="0" w:space="0" w:color="auto"/>
        <w:right w:val="none" w:sz="0" w:space="0" w:color="auto"/>
      </w:divBdr>
    </w:div>
    <w:div w:id="377752210">
      <w:bodyDiv w:val="1"/>
      <w:marLeft w:val="0"/>
      <w:marRight w:val="0"/>
      <w:marTop w:val="0"/>
      <w:marBottom w:val="0"/>
      <w:divBdr>
        <w:top w:val="none" w:sz="0" w:space="0" w:color="auto"/>
        <w:left w:val="none" w:sz="0" w:space="0" w:color="auto"/>
        <w:bottom w:val="none" w:sz="0" w:space="0" w:color="auto"/>
        <w:right w:val="none" w:sz="0" w:space="0" w:color="auto"/>
      </w:divBdr>
    </w:div>
    <w:div w:id="377970440">
      <w:bodyDiv w:val="1"/>
      <w:marLeft w:val="0"/>
      <w:marRight w:val="0"/>
      <w:marTop w:val="0"/>
      <w:marBottom w:val="0"/>
      <w:divBdr>
        <w:top w:val="none" w:sz="0" w:space="0" w:color="auto"/>
        <w:left w:val="none" w:sz="0" w:space="0" w:color="auto"/>
        <w:bottom w:val="none" w:sz="0" w:space="0" w:color="auto"/>
        <w:right w:val="none" w:sz="0" w:space="0" w:color="auto"/>
      </w:divBdr>
    </w:div>
    <w:div w:id="377971224">
      <w:bodyDiv w:val="1"/>
      <w:marLeft w:val="0"/>
      <w:marRight w:val="0"/>
      <w:marTop w:val="0"/>
      <w:marBottom w:val="0"/>
      <w:divBdr>
        <w:top w:val="none" w:sz="0" w:space="0" w:color="auto"/>
        <w:left w:val="none" w:sz="0" w:space="0" w:color="auto"/>
        <w:bottom w:val="none" w:sz="0" w:space="0" w:color="auto"/>
        <w:right w:val="none" w:sz="0" w:space="0" w:color="auto"/>
      </w:divBdr>
    </w:div>
    <w:div w:id="377975453">
      <w:bodyDiv w:val="1"/>
      <w:marLeft w:val="0"/>
      <w:marRight w:val="0"/>
      <w:marTop w:val="0"/>
      <w:marBottom w:val="0"/>
      <w:divBdr>
        <w:top w:val="none" w:sz="0" w:space="0" w:color="auto"/>
        <w:left w:val="none" w:sz="0" w:space="0" w:color="auto"/>
        <w:bottom w:val="none" w:sz="0" w:space="0" w:color="auto"/>
        <w:right w:val="none" w:sz="0" w:space="0" w:color="auto"/>
      </w:divBdr>
    </w:div>
    <w:div w:id="378017727">
      <w:bodyDiv w:val="1"/>
      <w:marLeft w:val="0"/>
      <w:marRight w:val="0"/>
      <w:marTop w:val="0"/>
      <w:marBottom w:val="0"/>
      <w:divBdr>
        <w:top w:val="none" w:sz="0" w:space="0" w:color="auto"/>
        <w:left w:val="none" w:sz="0" w:space="0" w:color="auto"/>
        <w:bottom w:val="none" w:sz="0" w:space="0" w:color="auto"/>
        <w:right w:val="none" w:sz="0" w:space="0" w:color="auto"/>
      </w:divBdr>
    </w:div>
    <w:div w:id="378095270">
      <w:bodyDiv w:val="1"/>
      <w:marLeft w:val="0"/>
      <w:marRight w:val="0"/>
      <w:marTop w:val="0"/>
      <w:marBottom w:val="0"/>
      <w:divBdr>
        <w:top w:val="none" w:sz="0" w:space="0" w:color="auto"/>
        <w:left w:val="none" w:sz="0" w:space="0" w:color="auto"/>
        <w:bottom w:val="none" w:sz="0" w:space="0" w:color="auto"/>
        <w:right w:val="none" w:sz="0" w:space="0" w:color="auto"/>
      </w:divBdr>
    </w:div>
    <w:div w:id="378408019">
      <w:bodyDiv w:val="1"/>
      <w:marLeft w:val="0"/>
      <w:marRight w:val="0"/>
      <w:marTop w:val="0"/>
      <w:marBottom w:val="0"/>
      <w:divBdr>
        <w:top w:val="none" w:sz="0" w:space="0" w:color="auto"/>
        <w:left w:val="none" w:sz="0" w:space="0" w:color="auto"/>
        <w:bottom w:val="none" w:sz="0" w:space="0" w:color="auto"/>
        <w:right w:val="none" w:sz="0" w:space="0" w:color="auto"/>
      </w:divBdr>
    </w:div>
    <w:div w:id="378477301">
      <w:bodyDiv w:val="1"/>
      <w:marLeft w:val="0"/>
      <w:marRight w:val="0"/>
      <w:marTop w:val="0"/>
      <w:marBottom w:val="0"/>
      <w:divBdr>
        <w:top w:val="none" w:sz="0" w:space="0" w:color="auto"/>
        <w:left w:val="none" w:sz="0" w:space="0" w:color="auto"/>
        <w:bottom w:val="none" w:sz="0" w:space="0" w:color="auto"/>
        <w:right w:val="none" w:sz="0" w:space="0" w:color="auto"/>
      </w:divBdr>
    </w:div>
    <w:div w:id="378668884">
      <w:bodyDiv w:val="1"/>
      <w:marLeft w:val="0"/>
      <w:marRight w:val="0"/>
      <w:marTop w:val="0"/>
      <w:marBottom w:val="0"/>
      <w:divBdr>
        <w:top w:val="none" w:sz="0" w:space="0" w:color="auto"/>
        <w:left w:val="none" w:sz="0" w:space="0" w:color="auto"/>
        <w:bottom w:val="none" w:sz="0" w:space="0" w:color="auto"/>
        <w:right w:val="none" w:sz="0" w:space="0" w:color="auto"/>
      </w:divBdr>
    </w:div>
    <w:div w:id="378894639">
      <w:bodyDiv w:val="1"/>
      <w:marLeft w:val="0"/>
      <w:marRight w:val="0"/>
      <w:marTop w:val="0"/>
      <w:marBottom w:val="0"/>
      <w:divBdr>
        <w:top w:val="none" w:sz="0" w:space="0" w:color="auto"/>
        <w:left w:val="none" w:sz="0" w:space="0" w:color="auto"/>
        <w:bottom w:val="none" w:sz="0" w:space="0" w:color="auto"/>
        <w:right w:val="none" w:sz="0" w:space="0" w:color="auto"/>
      </w:divBdr>
    </w:div>
    <w:div w:id="379088341">
      <w:bodyDiv w:val="1"/>
      <w:marLeft w:val="0"/>
      <w:marRight w:val="0"/>
      <w:marTop w:val="0"/>
      <w:marBottom w:val="0"/>
      <w:divBdr>
        <w:top w:val="none" w:sz="0" w:space="0" w:color="auto"/>
        <w:left w:val="none" w:sz="0" w:space="0" w:color="auto"/>
        <w:bottom w:val="none" w:sz="0" w:space="0" w:color="auto"/>
        <w:right w:val="none" w:sz="0" w:space="0" w:color="auto"/>
      </w:divBdr>
    </w:div>
    <w:div w:id="379132191">
      <w:bodyDiv w:val="1"/>
      <w:marLeft w:val="0"/>
      <w:marRight w:val="0"/>
      <w:marTop w:val="0"/>
      <w:marBottom w:val="0"/>
      <w:divBdr>
        <w:top w:val="none" w:sz="0" w:space="0" w:color="auto"/>
        <w:left w:val="none" w:sz="0" w:space="0" w:color="auto"/>
        <w:bottom w:val="none" w:sz="0" w:space="0" w:color="auto"/>
        <w:right w:val="none" w:sz="0" w:space="0" w:color="auto"/>
      </w:divBdr>
    </w:div>
    <w:div w:id="379204902">
      <w:bodyDiv w:val="1"/>
      <w:marLeft w:val="0"/>
      <w:marRight w:val="0"/>
      <w:marTop w:val="0"/>
      <w:marBottom w:val="0"/>
      <w:divBdr>
        <w:top w:val="none" w:sz="0" w:space="0" w:color="auto"/>
        <w:left w:val="none" w:sz="0" w:space="0" w:color="auto"/>
        <w:bottom w:val="none" w:sz="0" w:space="0" w:color="auto"/>
        <w:right w:val="none" w:sz="0" w:space="0" w:color="auto"/>
      </w:divBdr>
    </w:div>
    <w:div w:id="379209471">
      <w:bodyDiv w:val="1"/>
      <w:marLeft w:val="0"/>
      <w:marRight w:val="0"/>
      <w:marTop w:val="0"/>
      <w:marBottom w:val="0"/>
      <w:divBdr>
        <w:top w:val="none" w:sz="0" w:space="0" w:color="auto"/>
        <w:left w:val="none" w:sz="0" w:space="0" w:color="auto"/>
        <w:bottom w:val="none" w:sz="0" w:space="0" w:color="auto"/>
        <w:right w:val="none" w:sz="0" w:space="0" w:color="auto"/>
      </w:divBdr>
    </w:div>
    <w:div w:id="379209756">
      <w:bodyDiv w:val="1"/>
      <w:marLeft w:val="0"/>
      <w:marRight w:val="0"/>
      <w:marTop w:val="0"/>
      <w:marBottom w:val="0"/>
      <w:divBdr>
        <w:top w:val="none" w:sz="0" w:space="0" w:color="auto"/>
        <w:left w:val="none" w:sz="0" w:space="0" w:color="auto"/>
        <w:bottom w:val="none" w:sz="0" w:space="0" w:color="auto"/>
        <w:right w:val="none" w:sz="0" w:space="0" w:color="auto"/>
      </w:divBdr>
    </w:div>
    <w:div w:id="379525028">
      <w:bodyDiv w:val="1"/>
      <w:marLeft w:val="0"/>
      <w:marRight w:val="0"/>
      <w:marTop w:val="0"/>
      <w:marBottom w:val="0"/>
      <w:divBdr>
        <w:top w:val="none" w:sz="0" w:space="0" w:color="auto"/>
        <w:left w:val="none" w:sz="0" w:space="0" w:color="auto"/>
        <w:bottom w:val="none" w:sz="0" w:space="0" w:color="auto"/>
        <w:right w:val="none" w:sz="0" w:space="0" w:color="auto"/>
      </w:divBdr>
    </w:div>
    <w:div w:id="379592161">
      <w:bodyDiv w:val="1"/>
      <w:marLeft w:val="0"/>
      <w:marRight w:val="0"/>
      <w:marTop w:val="0"/>
      <w:marBottom w:val="0"/>
      <w:divBdr>
        <w:top w:val="none" w:sz="0" w:space="0" w:color="auto"/>
        <w:left w:val="none" w:sz="0" w:space="0" w:color="auto"/>
        <w:bottom w:val="none" w:sz="0" w:space="0" w:color="auto"/>
        <w:right w:val="none" w:sz="0" w:space="0" w:color="auto"/>
      </w:divBdr>
    </w:div>
    <w:div w:id="379595408">
      <w:bodyDiv w:val="1"/>
      <w:marLeft w:val="0"/>
      <w:marRight w:val="0"/>
      <w:marTop w:val="0"/>
      <w:marBottom w:val="0"/>
      <w:divBdr>
        <w:top w:val="none" w:sz="0" w:space="0" w:color="auto"/>
        <w:left w:val="none" w:sz="0" w:space="0" w:color="auto"/>
        <w:bottom w:val="none" w:sz="0" w:space="0" w:color="auto"/>
        <w:right w:val="none" w:sz="0" w:space="0" w:color="auto"/>
      </w:divBdr>
    </w:div>
    <w:div w:id="379789693">
      <w:bodyDiv w:val="1"/>
      <w:marLeft w:val="0"/>
      <w:marRight w:val="0"/>
      <w:marTop w:val="0"/>
      <w:marBottom w:val="0"/>
      <w:divBdr>
        <w:top w:val="none" w:sz="0" w:space="0" w:color="auto"/>
        <w:left w:val="none" w:sz="0" w:space="0" w:color="auto"/>
        <w:bottom w:val="none" w:sz="0" w:space="0" w:color="auto"/>
        <w:right w:val="none" w:sz="0" w:space="0" w:color="auto"/>
      </w:divBdr>
    </w:div>
    <w:div w:id="379862382">
      <w:bodyDiv w:val="1"/>
      <w:marLeft w:val="0"/>
      <w:marRight w:val="0"/>
      <w:marTop w:val="0"/>
      <w:marBottom w:val="0"/>
      <w:divBdr>
        <w:top w:val="none" w:sz="0" w:space="0" w:color="auto"/>
        <w:left w:val="none" w:sz="0" w:space="0" w:color="auto"/>
        <w:bottom w:val="none" w:sz="0" w:space="0" w:color="auto"/>
        <w:right w:val="none" w:sz="0" w:space="0" w:color="auto"/>
      </w:divBdr>
    </w:div>
    <w:div w:id="380325975">
      <w:bodyDiv w:val="1"/>
      <w:marLeft w:val="0"/>
      <w:marRight w:val="0"/>
      <w:marTop w:val="0"/>
      <w:marBottom w:val="0"/>
      <w:divBdr>
        <w:top w:val="none" w:sz="0" w:space="0" w:color="auto"/>
        <w:left w:val="none" w:sz="0" w:space="0" w:color="auto"/>
        <w:bottom w:val="none" w:sz="0" w:space="0" w:color="auto"/>
        <w:right w:val="none" w:sz="0" w:space="0" w:color="auto"/>
      </w:divBdr>
    </w:div>
    <w:div w:id="380441648">
      <w:bodyDiv w:val="1"/>
      <w:marLeft w:val="0"/>
      <w:marRight w:val="0"/>
      <w:marTop w:val="0"/>
      <w:marBottom w:val="0"/>
      <w:divBdr>
        <w:top w:val="none" w:sz="0" w:space="0" w:color="auto"/>
        <w:left w:val="none" w:sz="0" w:space="0" w:color="auto"/>
        <w:bottom w:val="none" w:sz="0" w:space="0" w:color="auto"/>
        <w:right w:val="none" w:sz="0" w:space="0" w:color="auto"/>
      </w:divBdr>
    </w:div>
    <w:div w:id="380520978">
      <w:bodyDiv w:val="1"/>
      <w:marLeft w:val="0"/>
      <w:marRight w:val="0"/>
      <w:marTop w:val="0"/>
      <w:marBottom w:val="0"/>
      <w:divBdr>
        <w:top w:val="none" w:sz="0" w:space="0" w:color="auto"/>
        <w:left w:val="none" w:sz="0" w:space="0" w:color="auto"/>
        <w:bottom w:val="none" w:sz="0" w:space="0" w:color="auto"/>
        <w:right w:val="none" w:sz="0" w:space="0" w:color="auto"/>
      </w:divBdr>
    </w:div>
    <w:div w:id="380521953">
      <w:bodyDiv w:val="1"/>
      <w:marLeft w:val="0"/>
      <w:marRight w:val="0"/>
      <w:marTop w:val="0"/>
      <w:marBottom w:val="0"/>
      <w:divBdr>
        <w:top w:val="none" w:sz="0" w:space="0" w:color="auto"/>
        <w:left w:val="none" w:sz="0" w:space="0" w:color="auto"/>
        <w:bottom w:val="none" w:sz="0" w:space="0" w:color="auto"/>
        <w:right w:val="none" w:sz="0" w:space="0" w:color="auto"/>
      </w:divBdr>
    </w:div>
    <w:div w:id="380522443">
      <w:bodyDiv w:val="1"/>
      <w:marLeft w:val="0"/>
      <w:marRight w:val="0"/>
      <w:marTop w:val="0"/>
      <w:marBottom w:val="0"/>
      <w:divBdr>
        <w:top w:val="none" w:sz="0" w:space="0" w:color="auto"/>
        <w:left w:val="none" w:sz="0" w:space="0" w:color="auto"/>
        <w:bottom w:val="none" w:sz="0" w:space="0" w:color="auto"/>
        <w:right w:val="none" w:sz="0" w:space="0" w:color="auto"/>
      </w:divBdr>
    </w:div>
    <w:div w:id="380708519">
      <w:bodyDiv w:val="1"/>
      <w:marLeft w:val="0"/>
      <w:marRight w:val="0"/>
      <w:marTop w:val="0"/>
      <w:marBottom w:val="0"/>
      <w:divBdr>
        <w:top w:val="none" w:sz="0" w:space="0" w:color="auto"/>
        <w:left w:val="none" w:sz="0" w:space="0" w:color="auto"/>
        <w:bottom w:val="none" w:sz="0" w:space="0" w:color="auto"/>
        <w:right w:val="none" w:sz="0" w:space="0" w:color="auto"/>
      </w:divBdr>
    </w:div>
    <w:div w:id="381026788">
      <w:bodyDiv w:val="1"/>
      <w:marLeft w:val="0"/>
      <w:marRight w:val="0"/>
      <w:marTop w:val="0"/>
      <w:marBottom w:val="0"/>
      <w:divBdr>
        <w:top w:val="none" w:sz="0" w:space="0" w:color="auto"/>
        <w:left w:val="none" w:sz="0" w:space="0" w:color="auto"/>
        <w:bottom w:val="none" w:sz="0" w:space="0" w:color="auto"/>
        <w:right w:val="none" w:sz="0" w:space="0" w:color="auto"/>
      </w:divBdr>
    </w:div>
    <w:div w:id="381683322">
      <w:bodyDiv w:val="1"/>
      <w:marLeft w:val="0"/>
      <w:marRight w:val="0"/>
      <w:marTop w:val="0"/>
      <w:marBottom w:val="0"/>
      <w:divBdr>
        <w:top w:val="none" w:sz="0" w:space="0" w:color="auto"/>
        <w:left w:val="none" w:sz="0" w:space="0" w:color="auto"/>
        <w:bottom w:val="none" w:sz="0" w:space="0" w:color="auto"/>
        <w:right w:val="none" w:sz="0" w:space="0" w:color="auto"/>
      </w:divBdr>
    </w:div>
    <w:div w:id="381907012">
      <w:bodyDiv w:val="1"/>
      <w:marLeft w:val="0"/>
      <w:marRight w:val="0"/>
      <w:marTop w:val="0"/>
      <w:marBottom w:val="0"/>
      <w:divBdr>
        <w:top w:val="none" w:sz="0" w:space="0" w:color="auto"/>
        <w:left w:val="none" w:sz="0" w:space="0" w:color="auto"/>
        <w:bottom w:val="none" w:sz="0" w:space="0" w:color="auto"/>
        <w:right w:val="none" w:sz="0" w:space="0" w:color="auto"/>
      </w:divBdr>
    </w:div>
    <w:div w:id="382213952">
      <w:bodyDiv w:val="1"/>
      <w:marLeft w:val="0"/>
      <w:marRight w:val="0"/>
      <w:marTop w:val="0"/>
      <w:marBottom w:val="0"/>
      <w:divBdr>
        <w:top w:val="none" w:sz="0" w:space="0" w:color="auto"/>
        <w:left w:val="none" w:sz="0" w:space="0" w:color="auto"/>
        <w:bottom w:val="none" w:sz="0" w:space="0" w:color="auto"/>
        <w:right w:val="none" w:sz="0" w:space="0" w:color="auto"/>
      </w:divBdr>
    </w:div>
    <w:div w:id="382292947">
      <w:bodyDiv w:val="1"/>
      <w:marLeft w:val="0"/>
      <w:marRight w:val="0"/>
      <w:marTop w:val="0"/>
      <w:marBottom w:val="0"/>
      <w:divBdr>
        <w:top w:val="none" w:sz="0" w:space="0" w:color="auto"/>
        <w:left w:val="none" w:sz="0" w:space="0" w:color="auto"/>
        <w:bottom w:val="none" w:sz="0" w:space="0" w:color="auto"/>
        <w:right w:val="none" w:sz="0" w:space="0" w:color="auto"/>
      </w:divBdr>
    </w:div>
    <w:div w:id="382296367">
      <w:bodyDiv w:val="1"/>
      <w:marLeft w:val="0"/>
      <w:marRight w:val="0"/>
      <w:marTop w:val="0"/>
      <w:marBottom w:val="0"/>
      <w:divBdr>
        <w:top w:val="none" w:sz="0" w:space="0" w:color="auto"/>
        <w:left w:val="none" w:sz="0" w:space="0" w:color="auto"/>
        <w:bottom w:val="none" w:sz="0" w:space="0" w:color="auto"/>
        <w:right w:val="none" w:sz="0" w:space="0" w:color="auto"/>
      </w:divBdr>
    </w:div>
    <w:div w:id="382405998">
      <w:bodyDiv w:val="1"/>
      <w:marLeft w:val="0"/>
      <w:marRight w:val="0"/>
      <w:marTop w:val="0"/>
      <w:marBottom w:val="0"/>
      <w:divBdr>
        <w:top w:val="none" w:sz="0" w:space="0" w:color="auto"/>
        <w:left w:val="none" w:sz="0" w:space="0" w:color="auto"/>
        <w:bottom w:val="none" w:sz="0" w:space="0" w:color="auto"/>
        <w:right w:val="none" w:sz="0" w:space="0" w:color="auto"/>
      </w:divBdr>
    </w:div>
    <w:div w:id="382408361">
      <w:bodyDiv w:val="1"/>
      <w:marLeft w:val="0"/>
      <w:marRight w:val="0"/>
      <w:marTop w:val="0"/>
      <w:marBottom w:val="0"/>
      <w:divBdr>
        <w:top w:val="none" w:sz="0" w:space="0" w:color="auto"/>
        <w:left w:val="none" w:sz="0" w:space="0" w:color="auto"/>
        <w:bottom w:val="none" w:sz="0" w:space="0" w:color="auto"/>
        <w:right w:val="none" w:sz="0" w:space="0" w:color="auto"/>
      </w:divBdr>
    </w:div>
    <w:div w:id="382483041">
      <w:bodyDiv w:val="1"/>
      <w:marLeft w:val="0"/>
      <w:marRight w:val="0"/>
      <w:marTop w:val="0"/>
      <w:marBottom w:val="0"/>
      <w:divBdr>
        <w:top w:val="none" w:sz="0" w:space="0" w:color="auto"/>
        <w:left w:val="none" w:sz="0" w:space="0" w:color="auto"/>
        <w:bottom w:val="none" w:sz="0" w:space="0" w:color="auto"/>
        <w:right w:val="none" w:sz="0" w:space="0" w:color="auto"/>
      </w:divBdr>
    </w:div>
    <w:div w:id="382796073">
      <w:bodyDiv w:val="1"/>
      <w:marLeft w:val="0"/>
      <w:marRight w:val="0"/>
      <w:marTop w:val="0"/>
      <w:marBottom w:val="0"/>
      <w:divBdr>
        <w:top w:val="none" w:sz="0" w:space="0" w:color="auto"/>
        <w:left w:val="none" w:sz="0" w:space="0" w:color="auto"/>
        <w:bottom w:val="none" w:sz="0" w:space="0" w:color="auto"/>
        <w:right w:val="none" w:sz="0" w:space="0" w:color="auto"/>
      </w:divBdr>
    </w:div>
    <w:div w:id="382799653">
      <w:bodyDiv w:val="1"/>
      <w:marLeft w:val="0"/>
      <w:marRight w:val="0"/>
      <w:marTop w:val="0"/>
      <w:marBottom w:val="0"/>
      <w:divBdr>
        <w:top w:val="none" w:sz="0" w:space="0" w:color="auto"/>
        <w:left w:val="none" w:sz="0" w:space="0" w:color="auto"/>
        <w:bottom w:val="none" w:sz="0" w:space="0" w:color="auto"/>
        <w:right w:val="none" w:sz="0" w:space="0" w:color="auto"/>
      </w:divBdr>
    </w:div>
    <w:div w:id="383020815">
      <w:bodyDiv w:val="1"/>
      <w:marLeft w:val="0"/>
      <w:marRight w:val="0"/>
      <w:marTop w:val="0"/>
      <w:marBottom w:val="0"/>
      <w:divBdr>
        <w:top w:val="none" w:sz="0" w:space="0" w:color="auto"/>
        <w:left w:val="none" w:sz="0" w:space="0" w:color="auto"/>
        <w:bottom w:val="none" w:sz="0" w:space="0" w:color="auto"/>
        <w:right w:val="none" w:sz="0" w:space="0" w:color="auto"/>
      </w:divBdr>
    </w:div>
    <w:div w:id="383136630">
      <w:bodyDiv w:val="1"/>
      <w:marLeft w:val="0"/>
      <w:marRight w:val="0"/>
      <w:marTop w:val="0"/>
      <w:marBottom w:val="0"/>
      <w:divBdr>
        <w:top w:val="none" w:sz="0" w:space="0" w:color="auto"/>
        <w:left w:val="none" w:sz="0" w:space="0" w:color="auto"/>
        <w:bottom w:val="none" w:sz="0" w:space="0" w:color="auto"/>
        <w:right w:val="none" w:sz="0" w:space="0" w:color="auto"/>
      </w:divBdr>
    </w:div>
    <w:div w:id="383140570">
      <w:bodyDiv w:val="1"/>
      <w:marLeft w:val="0"/>
      <w:marRight w:val="0"/>
      <w:marTop w:val="0"/>
      <w:marBottom w:val="0"/>
      <w:divBdr>
        <w:top w:val="none" w:sz="0" w:space="0" w:color="auto"/>
        <w:left w:val="none" w:sz="0" w:space="0" w:color="auto"/>
        <w:bottom w:val="none" w:sz="0" w:space="0" w:color="auto"/>
        <w:right w:val="none" w:sz="0" w:space="0" w:color="auto"/>
      </w:divBdr>
    </w:div>
    <w:div w:id="383524535">
      <w:bodyDiv w:val="1"/>
      <w:marLeft w:val="0"/>
      <w:marRight w:val="0"/>
      <w:marTop w:val="0"/>
      <w:marBottom w:val="0"/>
      <w:divBdr>
        <w:top w:val="none" w:sz="0" w:space="0" w:color="auto"/>
        <w:left w:val="none" w:sz="0" w:space="0" w:color="auto"/>
        <w:bottom w:val="none" w:sz="0" w:space="0" w:color="auto"/>
        <w:right w:val="none" w:sz="0" w:space="0" w:color="auto"/>
      </w:divBdr>
    </w:div>
    <w:div w:id="383527008">
      <w:bodyDiv w:val="1"/>
      <w:marLeft w:val="0"/>
      <w:marRight w:val="0"/>
      <w:marTop w:val="0"/>
      <w:marBottom w:val="0"/>
      <w:divBdr>
        <w:top w:val="none" w:sz="0" w:space="0" w:color="auto"/>
        <w:left w:val="none" w:sz="0" w:space="0" w:color="auto"/>
        <w:bottom w:val="none" w:sz="0" w:space="0" w:color="auto"/>
        <w:right w:val="none" w:sz="0" w:space="0" w:color="auto"/>
      </w:divBdr>
    </w:div>
    <w:div w:id="383791816">
      <w:bodyDiv w:val="1"/>
      <w:marLeft w:val="0"/>
      <w:marRight w:val="0"/>
      <w:marTop w:val="0"/>
      <w:marBottom w:val="0"/>
      <w:divBdr>
        <w:top w:val="none" w:sz="0" w:space="0" w:color="auto"/>
        <w:left w:val="none" w:sz="0" w:space="0" w:color="auto"/>
        <w:bottom w:val="none" w:sz="0" w:space="0" w:color="auto"/>
        <w:right w:val="none" w:sz="0" w:space="0" w:color="auto"/>
      </w:divBdr>
    </w:div>
    <w:div w:id="383793316">
      <w:bodyDiv w:val="1"/>
      <w:marLeft w:val="0"/>
      <w:marRight w:val="0"/>
      <w:marTop w:val="0"/>
      <w:marBottom w:val="0"/>
      <w:divBdr>
        <w:top w:val="none" w:sz="0" w:space="0" w:color="auto"/>
        <w:left w:val="none" w:sz="0" w:space="0" w:color="auto"/>
        <w:bottom w:val="none" w:sz="0" w:space="0" w:color="auto"/>
        <w:right w:val="none" w:sz="0" w:space="0" w:color="auto"/>
      </w:divBdr>
    </w:div>
    <w:div w:id="383801059">
      <w:bodyDiv w:val="1"/>
      <w:marLeft w:val="0"/>
      <w:marRight w:val="0"/>
      <w:marTop w:val="0"/>
      <w:marBottom w:val="0"/>
      <w:divBdr>
        <w:top w:val="none" w:sz="0" w:space="0" w:color="auto"/>
        <w:left w:val="none" w:sz="0" w:space="0" w:color="auto"/>
        <w:bottom w:val="none" w:sz="0" w:space="0" w:color="auto"/>
        <w:right w:val="none" w:sz="0" w:space="0" w:color="auto"/>
      </w:divBdr>
    </w:div>
    <w:div w:id="384331329">
      <w:bodyDiv w:val="1"/>
      <w:marLeft w:val="0"/>
      <w:marRight w:val="0"/>
      <w:marTop w:val="0"/>
      <w:marBottom w:val="0"/>
      <w:divBdr>
        <w:top w:val="none" w:sz="0" w:space="0" w:color="auto"/>
        <w:left w:val="none" w:sz="0" w:space="0" w:color="auto"/>
        <w:bottom w:val="none" w:sz="0" w:space="0" w:color="auto"/>
        <w:right w:val="none" w:sz="0" w:space="0" w:color="auto"/>
      </w:divBdr>
    </w:div>
    <w:div w:id="384334747">
      <w:bodyDiv w:val="1"/>
      <w:marLeft w:val="0"/>
      <w:marRight w:val="0"/>
      <w:marTop w:val="0"/>
      <w:marBottom w:val="0"/>
      <w:divBdr>
        <w:top w:val="none" w:sz="0" w:space="0" w:color="auto"/>
        <w:left w:val="none" w:sz="0" w:space="0" w:color="auto"/>
        <w:bottom w:val="none" w:sz="0" w:space="0" w:color="auto"/>
        <w:right w:val="none" w:sz="0" w:space="0" w:color="auto"/>
      </w:divBdr>
    </w:div>
    <w:div w:id="384526166">
      <w:bodyDiv w:val="1"/>
      <w:marLeft w:val="0"/>
      <w:marRight w:val="0"/>
      <w:marTop w:val="0"/>
      <w:marBottom w:val="0"/>
      <w:divBdr>
        <w:top w:val="none" w:sz="0" w:space="0" w:color="auto"/>
        <w:left w:val="none" w:sz="0" w:space="0" w:color="auto"/>
        <w:bottom w:val="none" w:sz="0" w:space="0" w:color="auto"/>
        <w:right w:val="none" w:sz="0" w:space="0" w:color="auto"/>
      </w:divBdr>
    </w:div>
    <w:div w:id="384531235">
      <w:bodyDiv w:val="1"/>
      <w:marLeft w:val="0"/>
      <w:marRight w:val="0"/>
      <w:marTop w:val="0"/>
      <w:marBottom w:val="0"/>
      <w:divBdr>
        <w:top w:val="none" w:sz="0" w:space="0" w:color="auto"/>
        <w:left w:val="none" w:sz="0" w:space="0" w:color="auto"/>
        <w:bottom w:val="none" w:sz="0" w:space="0" w:color="auto"/>
        <w:right w:val="none" w:sz="0" w:space="0" w:color="auto"/>
      </w:divBdr>
    </w:div>
    <w:div w:id="384644141">
      <w:bodyDiv w:val="1"/>
      <w:marLeft w:val="0"/>
      <w:marRight w:val="0"/>
      <w:marTop w:val="0"/>
      <w:marBottom w:val="0"/>
      <w:divBdr>
        <w:top w:val="none" w:sz="0" w:space="0" w:color="auto"/>
        <w:left w:val="none" w:sz="0" w:space="0" w:color="auto"/>
        <w:bottom w:val="none" w:sz="0" w:space="0" w:color="auto"/>
        <w:right w:val="none" w:sz="0" w:space="0" w:color="auto"/>
      </w:divBdr>
    </w:div>
    <w:div w:id="384719896">
      <w:bodyDiv w:val="1"/>
      <w:marLeft w:val="0"/>
      <w:marRight w:val="0"/>
      <w:marTop w:val="0"/>
      <w:marBottom w:val="0"/>
      <w:divBdr>
        <w:top w:val="none" w:sz="0" w:space="0" w:color="auto"/>
        <w:left w:val="none" w:sz="0" w:space="0" w:color="auto"/>
        <w:bottom w:val="none" w:sz="0" w:space="0" w:color="auto"/>
        <w:right w:val="none" w:sz="0" w:space="0" w:color="auto"/>
      </w:divBdr>
    </w:div>
    <w:div w:id="385029468">
      <w:bodyDiv w:val="1"/>
      <w:marLeft w:val="0"/>
      <w:marRight w:val="0"/>
      <w:marTop w:val="0"/>
      <w:marBottom w:val="0"/>
      <w:divBdr>
        <w:top w:val="none" w:sz="0" w:space="0" w:color="auto"/>
        <w:left w:val="none" w:sz="0" w:space="0" w:color="auto"/>
        <w:bottom w:val="none" w:sz="0" w:space="0" w:color="auto"/>
        <w:right w:val="none" w:sz="0" w:space="0" w:color="auto"/>
      </w:divBdr>
    </w:div>
    <w:div w:id="385035874">
      <w:bodyDiv w:val="1"/>
      <w:marLeft w:val="0"/>
      <w:marRight w:val="0"/>
      <w:marTop w:val="0"/>
      <w:marBottom w:val="0"/>
      <w:divBdr>
        <w:top w:val="none" w:sz="0" w:space="0" w:color="auto"/>
        <w:left w:val="none" w:sz="0" w:space="0" w:color="auto"/>
        <w:bottom w:val="none" w:sz="0" w:space="0" w:color="auto"/>
        <w:right w:val="none" w:sz="0" w:space="0" w:color="auto"/>
      </w:divBdr>
    </w:div>
    <w:div w:id="385295894">
      <w:bodyDiv w:val="1"/>
      <w:marLeft w:val="0"/>
      <w:marRight w:val="0"/>
      <w:marTop w:val="0"/>
      <w:marBottom w:val="0"/>
      <w:divBdr>
        <w:top w:val="none" w:sz="0" w:space="0" w:color="auto"/>
        <w:left w:val="none" w:sz="0" w:space="0" w:color="auto"/>
        <w:bottom w:val="none" w:sz="0" w:space="0" w:color="auto"/>
        <w:right w:val="none" w:sz="0" w:space="0" w:color="auto"/>
      </w:divBdr>
    </w:div>
    <w:div w:id="385298167">
      <w:bodyDiv w:val="1"/>
      <w:marLeft w:val="0"/>
      <w:marRight w:val="0"/>
      <w:marTop w:val="0"/>
      <w:marBottom w:val="0"/>
      <w:divBdr>
        <w:top w:val="none" w:sz="0" w:space="0" w:color="auto"/>
        <w:left w:val="none" w:sz="0" w:space="0" w:color="auto"/>
        <w:bottom w:val="none" w:sz="0" w:space="0" w:color="auto"/>
        <w:right w:val="none" w:sz="0" w:space="0" w:color="auto"/>
      </w:divBdr>
    </w:div>
    <w:div w:id="385378515">
      <w:bodyDiv w:val="1"/>
      <w:marLeft w:val="0"/>
      <w:marRight w:val="0"/>
      <w:marTop w:val="0"/>
      <w:marBottom w:val="0"/>
      <w:divBdr>
        <w:top w:val="none" w:sz="0" w:space="0" w:color="auto"/>
        <w:left w:val="none" w:sz="0" w:space="0" w:color="auto"/>
        <w:bottom w:val="none" w:sz="0" w:space="0" w:color="auto"/>
        <w:right w:val="none" w:sz="0" w:space="0" w:color="auto"/>
      </w:divBdr>
    </w:div>
    <w:div w:id="385420484">
      <w:bodyDiv w:val="1"/>
      <w:marLeft w:val="0"/>
      <w:marRight w:val="0"/>
      <w:marTop w:val="0"/>
      <w:marBottom w:val="0"/>
      <w:divBdr>
        <w:top w:val="none" w:sz="0" w:space="0" w:color="auto"/>
        <w:left w:val="none" w:sz="0" w:space="0" w:color="auto"/>
        <w:bottom w:val="none" w:sz="0" w:space="0" w:color="auto"/>
        <w:right w:val="none" w:sz="0" w:space="0" w:color="auto"/>
      </w:divBdr>
    </w:div>
    <w:div w:id="385960322">
      <w:bodyDiv w:val="1"/>
      <w:marLeft w:val="0"/>
      <w:marRight w:val="0"/>
      <w:marTop w:val="0"/>
      <w:marBottom w:val="0"/>
      <w:divBdr>
        <w:top w:val="none" w:sz="0" w:space="0" w:color="auto"/>
        <w:left w:val="none" w:sz="0" w:space="0" w:color="auto"/>
        <w:bottom w:val="none" w:sz="0" w:space="0" w:color="auto"/>
        <w:right w:val="none" w:sz="0" w:space="0" w:color="auto"/>
      </w:divBdr>
    </w:div>
    <w:div w:id="386073387">
      <w:bodyDiv w:val="1"/>
      <w:marLeft w:val="0"/>
      <w:marRight w:val="0"/>
      <w:marTop w:val="0"/>
      <w:marBottom w:val="0"/>
      <w:divBdr>
        <w:top w:val="none" w:sz="0" w:space="0" w:color="auto"/>
        <w:left w:val="none" w:sz="0" w:space="0" w:color="auto"/>
        <w:bottom w:val="none" w:sz="0" w:space="0" w:color="auto"/>
        <w:right w:val="none" w:sz="0" w:space="0" w:color="auto"/>
      </w:divBdr>
    </w:div>
    <w:div w:id="386144348">
      <w:bodyDiv w:val="1"/>
      <w:marLeft w:val="0"/>
      <w:marRight w:val="0"/>
      <w:marTop w:val="0"/>
      <w:marBottom w:val="0"/>
      <w:divBdr>
        <w:top w:val="none" w:sz="0" w:space="0" w:color="auto"/>
        <w:left w:val="none" w:sz="0" w:space="0" w:color="auto"/>
        <w:bottom w:val="none" w:sz="0" w:space="0" w:color="auto"/>
        <w:right w:val="none" w:sz="0" w:space="0" w:color="auto"/>
      </w:divBdr>
    </w:div>
    <w:div w:id="386227194">
      <w:bodyDiv w:val="1"/>
      <w:marLeft w:val="0"/>
      <w:marRight w:val="0"/>
      <w:marTop w:val="0"/>
      <w:marBottom w:val="0"/>
      <w:divBdr>
        <w:top w:val="none" w:sz="0" w:space="0" w:color="auto"/>
        <w:left w:val="none" w:sz="0" w:space="0" w:color="auto"/>
        <w:bottom w:val="none" w:sz="0" w:space="0" w:color="auto"/>
        <w:right w:val="none" w:sz="0" w:space="0" w:color="auto"/>
      </w:divBdr>
    </w:div>
    <w:div w:id="386340463">
      <w:bodyDiv w:val="1"/>
      <w:marLeft w:val="0"/>
      <w:marRight w:val="0"/>
      <w:marTop w:val="0"/>
      <w:marBottom w:val="0"/>
      <w:divBdr>
        <w:top w:val="none" w:sz="0" w:space="0" w:color="auto"/>
        <w:left w:val="none" w:sz="0" w:space="0" w:color="auto"/>
        <w:bottom w:val="none" w:sz="0" w:space="0" w:color="auto"/>
        <w:right w:val="none" w:sz="0" w:space="0" w:color="auto"/>
      </w:divBdr>
    </w:div>
    <w:div w:id="386758584">
      <w:bodyDiv w:val="1"/>
      <w:marLeft w:val="0"/>
      <w:marRight w:val="0"/>
      <w:marTop w:val="0"/>
      <w:marBottom w:val="0"/>
      <w:divBdr>
        <w:top w:val="none" w:sz="0" w:space="0" w:color="auto"/>
        <w:left w:val="none" w:sz="0" w:space="0" w:color="auto"/>
        <w:bottom w:val="none" w:sz="0" w:space="0" w:color="auto"/>
        <w:right w:val="none" w:sz="0" w:space="0" w:color="auto"/>
      </w:divBdr>
    </w:div>
    <w:div w:id="386996380">
      <w:bodyDiv w:val="1"/>
      <w:marLeft w:val="0"/>
      <w:marRight w:val="0"/>
      <w:marTop w:val="0"/>
      <w:marBottom w:val="0"/>
      <w:divBdr>
        <w:top w:val="none" w:sz="0" w:space="0" w:color="auto"/>
        <w:left w:val="none" w:sz="0" w:space="0" w:color="auto"/>
        <w:bottom w:val="none" w:sz="0" w:space="0" w:color="auto"/>
        <w:right w:val="none" w:sz="0" w:space="0" w:color="auto"/>
      </w:divBdr>
    </w:div>
    <w:div w:id="387150419">
      <w:bodyDiv w:val="1"/>
      <w:marLeft w:val="0"/>
      <w:marRight w:val="0"/>
      <w:marTop w:val="0"/>
      <w:marBottom w:val="0"/>
      <w:divBdr>
        <w:top w:val="none" w:sz="0" w:space="0" w:color="auto"/>
        <w:left w:val="none" w:sz="0" w:space="0" w:color="auto"/>
        <w:bottom w:val="none" w:sz="0" w:space="0" w:color="auto"/>
        <w:right w:val="none" w:sz="0" w:space="0" w:color="auto"/>
      </w:divBdr>
    </w:div>
    <w:div w:id="387455499">
      <w:bodyDiv w:val="1"/>
      <w:marLeft w:val="0"/>
      <w:marRight w:val="0"/>
      <w:marTop w:val="0"/>
      <w:marBottom w:val="0"/>
      <w:divBdr>
        <w:top w:val="none" w:sz="0" w:space="0" w:color="auto"/>
        <w:left w:val="none" w:sz="0" w:space="0" w:color="auto"/>
        <w:bottom w:val="none" w:sz="0" w:space="0" w:color="auto"/>
        <w:right w:val="none" w:sz="0" w:space="0" w:color="auto"/>
      </w:divBdr>
    </w:div>
    <w:div w:id="387607053">
      <w:bodyDiv w:val="1"/>
      <w:marLeft w:val="0"/>
      <w:marRight w:val="0"/>
      <w:marTop w:val="0"/>
      <w:marBottom w:val="0"/>
      <w:divBdr>
        <w:top w:val="none" w:sz="0" w:space="0" w:color="auto"/>
        <w:left w:val="none" w:sz="0" w:space="0" w:color="auto"/>
        <w:bottom w:val="none" w:sz="0" w:space="0" w:color="auto"/>
        <w:right w:val="none" w:sz="0" w:space="0" w:color="auto"/>
      </w:divBdr>
    </w:div>
    <w:div w:id="387653589">
      <w:bodyDiv w:val="1"/>
      <w:marLeft w:val="0"/>
      <w:marRight w:val="0"/>
      <w:marTop w:val="0"/>
      <w:marBottom w:val="0"/>
      <w:divBdr>
        <w:top w:val="none" w:sz="0" w:space="0" w:color="auto"/>
        <w:left w:val="none" w:sz="0" w:space="0" w:color="auto"/>
        <w:bottom w:val="none" w:sz="0" w:space="0" w:color="auto"/>
        <w:right w:val="none" w:sz="0" w:space="0" w:color="auto"/>
      </w:divBdr>
    </w:div>
    <w:div w:id="387847093">
      <w:bodyDiv w:val="1"/>
      <w:marLeft w:val="0"/>
      <w:marRight w:val="0"/>
      <w:marTop w:val="0"/>
      <w:marBottom w:val="0"/>
      <w:divBdr>
        <w:top w:val="none" w:sz="0" w:space="0" w:color="auto"/>
        <w:left w:val="none" w:sz="0" w:space="0" w:color="auto"/>
        <w:bottom w:val="none" w:sz="0" w:space="0" w:color="auto"/>
        <w:right w:val="none" w:sz="0" w:space="0" w:color="auto"/>
      </w:divBdr>
    </w:div>
    <w:div w:id="388069865">
      <w:bodyDiv w:val="1"/>
      <w:marLeft w:val="0"/>
      <w:marRight w:val="0"/>
      <w:marTop w:val="0"/>
      <w:marBottom w:val="0"/>
      <w:divBdr>
        <w:top w:val="none" w:sz="0" w:space="0" w:color="auto"/>
        <w:left w:val="none" w:sz="0" w:space="0" w:color="auto"/>
        <w:bottom w:val="none" w:sz="0" w:space="0" w:color="auto"/>
        <w:right w:val="none" w:sz="0" w:space="0" w:color="auto"/>
      </w:divBdr>
    </w:div>
    <w:div w:id="388303339">
      <w:bodyDiv w:val="1"/>
      <w:marLeft w:val="0"/>
      <w:marRight w:val="0"/>
      <w:marTop w:val="0"/>
      <w:marBottom w:val="0"/>
      <w:divBdr>
        <w:top w:val="none" w:sz="0" w:space="0" w:color="auto"/>
        <w:left w:val="none" w:sz="0" w:space="0" w:color="auto"/>
        <w:bottom w:val="none" w:sz="0" w:space="0" w:color="auto"/>
        <w:right w:val="none" w:sz="0" w:space="0" w:color="auto"/>
      </w:divBdr>
    </w:div>
    <w:div w:id="388308518">
      <w:bodyDiv w:val="1"/>
      <w:marLeft w:val="0"/>
      <w:marRight w:val="0"/>
      <w:marTop w:val="0"/>
      <w:marBottom w:val="0"/>
      <w:divBdr>
        <w:top w:val="none" w:sz="0" w:space="0" w:color="auto"/>
        <w:left w:val="none" w:sz="0" w:space="0" w:color="auto"/>
        <w:bottom w:val="none" w:sz="0" w:space="0" w:color="auto"/>
        <w:right w:val="none" w:sz="0" w:space="0" w:color="auto"/>
      </w:divBdr>
    </w:div>
    <w:div w:id="388378909">
      <w:bodyDiv w:val="1"/>
      <w:marLeft w:val="0"/>
      <w:marRight w:val="0"/>
      <w:marTop w:val="0"/>
      <w:marBottom w:val="0"/>
      <w:divBdr>
        <w:top w:val="none" w:sz="0" w:space="0" w:color="auto"/>
        <w:left w:val="none" w:sz="0" w:space="0" w:color="auto"/>
        <w:bottom w:val="none" w:sz="0" w:space="0" w:color="auto"/>
        <w:right w:val="none" w:sz="0" w:space="0" w:color="auto"/>
      </w:divBdr>
    </w:div>
    <w:div w:id="388497608">
      <w:bodyDiv w:val="1"/>
      <w:marLeft w:val="0"/>
      <w:marRight w:val="0"/>
      <w:marTop w:val="0"/>
      <w:marBottom w:val="0"/>
      <w:divBdr>
        <w:top w:val="none" w:sz="0" w:space="0" w:color="auto"/>
        <w:left w:val="none" w:sz="0" w:space="0" w:color="auto"/>
        <w:bottom w:val="none" w:sz="0" w:space="0" w:color="auto"/>
        <w:right w:val="none" w:sz="0" w:space="0" w:color="auto"/>
      </w:divBdr>
    </w:div>
    <w:div w:id="388580799">
      <w:bodyDiv w:val="1"/>
      <w:marLeft w:val="0"/>
      <w:marRight w:val="0"/>
      <w:marTop w:val="0"/>
      <w:marBottom w:val="0"/>
      <w:divBdr>
        <w:top w:val="none" w:sz="0" w:space="0" w:color="auto"/>
        <w:left w:val="none" w:sz="0" w:space="0" w:color="auto"/>
        <w:bottom w:val="none" w:sz="0" w:space="0" w:color="auto"/>
        <w:right w:val="none" w:sz="0" w:space="0" w:color="auto"/>
      </w:divBdr>
    </w:div>
    <w:div w:id="388695821">
      <w:bodyDiv w:val="1"/>
      <w:marLeft w:val="0"/>
      <w:marRight w:val="0"/>
      <w:marTop w:val="0"/>
      <w:marBottom w:val="0"/>
      <w:divBdr>
        <w:top w:val="none" w:sz="0" w:space="0" w:color="auto"/>
        <w:left w:val="none" w:sz="0" w:space="0" w:color="auto"/>
        <w:bottom w:val="none" w:sz="0" w:space="0" w:color="auto"/>
        <w:right w:val="none" w:sz="0" w:space="0" w:color="auto"/>
      </w:divBdr>
    </w:div>
    <w:div w:id="388964984">
      <w:bodyDiv w:val="1"/>
      <w:marLeft w:val="0"/>
      <w:marRight w:val="0"/>
      <w:marTop w:val="0"/>
      <w:marBottom w:val="0"/>
      <w:divBdr>
        <w:top w:val="none" w:sz="0" w:space="0" w:color="auto"/>
        <w:left w:val="none" w:sz="0" w:space="0" w:color="auto"/>
        <w:bottom w:val="none" w:sz="0" w:space="0" w:color="auto"/>
        <w:right w:val="none" w:sz="0" w:space="0" w:color="auto"/>
      </w:divBdr>
    </w:div>
    <w:div w:id="389306031">
      <w:bodyDiv w:val="1"/>
      <w:marLeft w:val="0"/>
      <w:marRight w:val="0"/>
      <w:marTop w:val="0"/>
      <w:marBottom w:val="0"/>
      <w:divBdr>
        <w:top w:val="none" w:sz="0" w:space="0" w:color="auto"/>
        <w:left w:val="none" w:sz="0" w:space="0" w:color="auto"/>
        <w:bottom w:val="none" w:sz="0" w:space="0" w:color="auto"/>
        <w:right w:val="none" w:sz="0" w:space="0" w:color="auto"/>
      </w:divBdr>
    </w:div>
    <w:div w:id="389501525">
      <w:bodyDiv w:val="1"/>
      <w:marLeft w:val="0"/>
      <w:marRight w:val="0"/>
      <w:marTop w:val="0"/>
      <w:marBottom w:val="0"/>
      <w:divBdr>
        <w:top w:val="none" w:sz="0" w:space="0" w:color="auto"/>
        <w:left w:val="none" w:sz="0" w:space="0" w:color="auto"/>
        <w:bottom w:val="none" w:sz="0" w:space="0" w:color="auto"/>
        <w:right w:val="none" w:sz="0" w:space="0" w:color="auto"/>
      </w:divBdr>
    </w:div>
    <w:div w:id="389693244">
      <w:bodyDiv w:val="1"/>
      <w:marLeft w:val="0"/>
      <w:marRight w:val="0"/>
      <w:marTop w:val="0"/>
      <w:marBottom w:val="0"/>
      <w:divBdr>
        <w:top w:val="none" w:sz="0" w:space="0" w:color="auto"/>
        <w:left w:val="none" w:sz="0" w:space="0" w:color="auto"/>
        <w:bottom w:val="none" w:sz="0" w:space="0" w:color="auto"/>
        <w:right w:val="none" w:sz="0" w:space="0" w:color="auto"/>
      </w:divBdr>
    </w:div>
    <w:div w:id="389773148">
      <w:bodyDiv w:val="1"/>
      <w:marLeft w:val="0"/>
      <w:marRight w:val="0"/>
      <w:marTop w:val="0"/>
      <w:marBottom w:val="0"/>
      <w:divBdr>
        <w:top w:val="none" w:sz="0" w:space="0" w:color="auto"/>
        <w:left w:val="none" w:sz="0" w:space="0" w:color="auto"/>
        <w:bottom w:val="none" w:sz="0" w:space="0" w:color="auto"/>
        <w:right w:val="none" w:sz="0" w:space="0" w:color="auto"/>
      </w:divBdr>
    </w:div>
    <w:div w:id="389882517">
      <w:bodyDiv w:val="1"/>
      <w:marLeft w:val="0"/>
      <w:marRight w:val="0"/>
      <w:marTop w:val="0"/>
      <w:marBottom w:val="0"/>
      <w:divBdr>
        <w:top w:val="none" w:sz="0" w:space="0" w:color="auto"/>
        <w:left w:val="none" w:sz="0" w:space="0" w:color="auto"/>
        <w:bottom w:val="none" w:sz="0" w:space="0" w:color="auto"/>
        <w:right w:val="none" w:sz="0" w:space="0" w:color="auto"/>
      </w:divBdr>
    </w:div>
    <w:div w:id="389883853">
      <w:bodyDiv w:val="1"/>
      <w:marLeft w:val="0"/>
      <w:marRight w:val="0"/>
      <w:marTop w:val="0"/>
      <w:marBottom w:val="0"/>
      <w:divBdr>
        <w:top w:val="none" w:sz="0" w:space="0" w:color="auto"/>
        <w:left w:val="none" w:sz="0" w:space="0" w:color="auto"/>
        <w:bottom w:val="none" w:sz="0" w:space="0" w:color="auto"/>
        <w:right w:val="none" w:sz="0" w:space="0" w:color="auto"/>
      </w:divBdr>
    </w:div>
    <w:div w:id="390347796">
      <w:bodyDiv w:val="1"/>
      <w:marLeft w:val="0"/>
      <w:marRight w:val="0"/>
      <w:marTop w:val="0"/>
      <w:marBottom w:val="0"/>
      <w:divBdr>
        <w:top w:val="none" w:sz="0" w:space="0" w:color="auto"/>
        <w:left w:val="none" w:sz="0" w:space="0" w:color="auto"/>
        <w:bottom w:val="none" w:sz="0" w:space="0" w:color="auto"/>
        <w:right w:val="none" w:sz="0" w:space="0" w:color="auto"/>
      </w:divBdr>
    </w:div>
    <w:div w:id="390350062">
      <w:bodyDiv w:val="1"/>
      <w:marLeft w:val="0"/>
      <w:marRight w:val="0"/>
      <w:marTop w:val="0"/>
      <w:marBottom w:val="0"/>
      <w:divBdr>
        <w:top w:val="none" w:sz="0" w:space="0" w:color="auto"/>
        <w:left w:val="none" w:sz="0" w:space="0" w:color="auto"/>
        <w:bottom w:val="none" w:sz="0" w:space="0" w:color="auto"/>
        <w:right w:val="none" w:sz="0" w:space="0" w:color="auto"/>
      </w:divBdr>
    </w:div>
    <w:div w:id="390466906">
      <w:bodyDiv w:val="1"/>
      <w:marLeft w:val="0"/>
      <w:marRight w:val="0"/>
      <w:marTop w:val="0"/>
      <w:marBottom w:val="0"/>
      <w:divBdr>
        <w:top w:val="none" w:sz="0" w:space="0" w:color="auto"/>
        <w:left w:val="none" w:sz="0" w:space="0" w:color="auto"/>
        <w:bottom w:val="none" w:sz="0" w:space="0" w:color="auto"/>
        <w:right w:val="none" w:sz="0" w:space="0" w:color="auto"/>
      </w:divBdr>
    </w:div>
    <w:div w:id="390546694">
      <w:bodyDiv w:val="1"/>
      <w:marLeft w:val="0"/>
      <w:marRight w:val="0"/>
      <w:marTop w:val="0"/>
      <w:marBottom w:val="0"/>
      <w:divBdr>
        <w:top w:val="none" w:sz="0" w:space="0" w:color="auto"/>
        <w:left w:val="none" w:sz="0" w:space="0" w:color="auto"/>
        <w:bottom w:val="none" w:sz="0" w:space="0" w:color="auto"/>
        <w:right w:val="none" w:sz="0" w:space="0" w:color="auto"/>
      </w:divBdr>
    </w:div>
    <w:div w:id="390688280">
      <w:bodyDiv w:val="1"/>
      <w:marLeft w:val="0"/>
      <w:marRight w:val="0"/>
      <w:marTop w:val="0"/>
      <w:marBottom w:val="0"/>
      <w:divBdr>
        <w:top w:val="none" w:sz="0" w:space="0" w:color="auto"/>
        <w:left w:val="none" w:sz="0" w:space="0" w:color="auto"/>
        <w:bottom w:val="none" w:sz="0" w:space="0" w:color="auto"/>
        <w:right w:val="none" w:sz="0" w:space="0" w:color="auto"/>
      </w:divBdr>
    </w:div>
    <w:div w:id="390737396">
      <w:bodyDiv w:val="1"/>
      <w:marLeft w:val="0"/>
      <w:marRight w:val="0"/>
      <w:marTop w:val="0"/>
      <w:marBottom w:val="0"/>
      <w:divBdr>
        <w:top w:val="none" w:sz="0" w:space="0" w:color="auto"/>
        <w:left w:val="none" w:sz="0" w:space="0" w:color="auto"/>
        <w:bottom w:val="none" w:sz="0" w:space="0" w:color="auto"/>
        <w:right w:val="none" w:sz="0" w:space="0" w:color="auto"/>
      </w:divBdr>
    </w:div>
    <w:div w:id="390740011">
      <w:bodyDiv w:val="1"/>
      <w:marLeft w:val="0"/>
      <w:marRight w:val="0"/>
      <w:marTop w:val="0"/>
      <w:marBottom w:val="0"/>
      <w:divBdr>
        <w:top w:val="none" w:sz="0" w:space="0" w:color="auto"/>
        <w:left w:val="none" w:sz="0" w:space="0" w:color="auto"/>
        <w:bottom w:val="none" w:sz="0" w:space="0" w:color="auto"/>
        <w:right w:val="none" w:sz="0" w:space="0" w:color="auto"/>
      </w:divBdr>
    </w:div>
    <w:div w:id="390883700">
      <w:bodyDiv w:val="1"/>
      <w:marLeft w:val="0"/>
      <w:marRight w:val="0"/>
      <w:marTop w:val="0"/>
      <w:marBottom w:val="0"/>
      <w:divBdr>
        <w:top w:val="none" w:sz="0" w:space="0" w:color="auto"/>
        <w:left w:val="none" w:sz="0" w:space="0" w:color="auto"/>
        <w:bottom w:val="none" w:sz="0" w:space="0" w:color="auto"/>
        <w:right w:val="none" w:sz="0" w:space="0" w:color="auto"/>
      </w:divBdr>
    </w:div>
    <w:div w:id="390931787">
      <w:bodyDiv w:val="1"/>
      <w:marLeft w:val="0"/>
      <w:marRight w:val="0"/>
      <w:marTop w:val="0"/>
      <w:marBottom w:val="0"/>
      <w:divBdr>
        <w:top w:val="none" w:sz="0" w:space="0" w:color="auto"/>
        <w:left w:val="none" w:sz="0" w:space="0" w:color="auto"/>
        <w:bottom w:val="none" w:sz="0" w:space="0" w:color="auto"/>
        <w:right w:val="none" w:sz="0" w:space="0" w:color="auto"/>
      </w:divBdr>
    </w:div>
    <w:div w:id="391395694">
      <w:bodyDiv w:val="1"/>
      <w:marLeft w:val="0"/>
      <w:marRight w:val="0"/>
      <w:marTop w:val="0"/>
      <w:marBottom w:val="0"/>
      <w:divBdr>
        <w:top w:val="none" w:sz="0" w:space="0" w:color="auto"/>
        <w:left w:val="none" w:sz="0" w:space="0" w:color="auto"/>
        <w:bottom w:val="none" w:sz="0" w:space="0" w:color="auto"/>
        <w:right w:val="none" w:sz="0" w:space="0" w:color="auto"/>
      </w:divBdr>
    </w:div>
    <w:div w:id="391581804">
      <w:bodyDiv w:val="1"/>
      <w:marLeft w:val="0"/>
      <w:marRight w:val="0"/>
      <w:marTop w:val="0"/>
      <w:marBottom w:val="0"/>
      <w:divBdr>
        <w:top w:val="none" w:sz="0" w:space="0" w:color="auto"/>
        <w:left w:val="none" w:sz="0" w:space="0" w:color="auto"/>
        <w:bottom w:val="none" w:sz="0" w:space="0" w:color="auto"/>
        <w:right w:val="none" w:sz="0" w:space="0" w:color="auto"/>
      </w:divBdr>
    </w:div>
    <w:div w:id="391923494">
      <w:bodyDiv w:val="1"/>
      <w:marLeft w:val="0"/>
      <w:marRight w:val="0"/>
      <w:marTop w:val="0"/>
      <w:marBottom w:val="0"/>
      <w:divBdr>
        <w:top w:val="none" w:sz="0" w:space="0" w:color="auto"/>
        <w:left w:val="none" w:sz="0" w:space="0" w:color="auto"/>
        <w:bottom w:val="none" w:sz="0" w:space="0" w:color="auto"/>
        <w:right w:val="none" w:sz="0" w:space="0" w:color="auto"/>
      </w:divBdr>
    </w:div>
    <w:div w:id="391973137">
      <w:bodyDiv w:val="1"/>
      <w:marLeft w:val="0"/>
      <w:marRight w:val="0"/>
      <w:marTop w:val="0"/>
      <w:marBottom w:val="0"/>
      <w:divBdr>
        <w:top w:val="none" w:sz="0" w:space="0" w:color="auto"/>
        <w:left w:val="none" w:sz="0" w:space="0" w:color="auto"/>
        <w:bottom w:val="none" w:sz="0" w:space="0" w:color="auto"/>
        <w:right w:val="none" w:sz="0" w:space="0" w:color="auto"/>
      </w:divBdr>
    </w:div>
    <w:div w:id="392043717">
      <w:bodyDiv w:val="1"/>
      <w:marLeft w:val="0"/>
      <w:marRight w:val="0"/>
      <w:marTop w:val="0"/>
      <w:marBottom w:val="0"/>
      <w:divBdr>
        <w:top w:val="none" w:sz="0" w:space="0" w:color="auto"/>
        <w:left w:val="none" w:sz="0" w:space="0" w:color="auto"/>
        <w:bottom w:val="none" w:sz="0" w:space="0" w:color="auto"/>
        <w:right w:val="none" w:sz="0" w:space="0" w:color="auto"/>
      </w:divBdr>
    </w:div>
    <w:div w:id="392049346">
      <w:bodyDiv w:val="1"/>
      <w:marLeft w:val="0"/>
      <w:marRight w:val="0"/>
      <w:marTop w:val="0"/>
      <w:marBottom w:val="0"/>
      <w:divBdr>
        <w:top w:val="none" w:sz="0" w:space="0" w:color="auto"/>
        <w:left w:val="none" w:sz="0" w:space="0" w:color="auto"/>
        <w:bottom w:val="none" w:sz="0" w:space="0" w:color="auto"/>
        <w:right w:val="none" w:sz="0" w:space="0" w:color="auto"/>
      </w:divBdr>
    </w:div>
    <w:div w:id="392198805">
      <w:bodyDiv w:val="1"/>
      <w:marLeft w:val="0"/>
      <w:marRight w:val="0"/>
      <w:marTop w:val="0"/>
      <w:marBottom w:val="0"/>
      <w:divBdr>
        <w:top w:val="none" w:sz="0" w:space="0" w:color="auto"/>
        <w:left w:val="none" w:sz="0" w:space="0" w:color="auto"/>
        <w:bottom w:val="none" w:sz="0" w:space="0" w:color="auto"/>
        <w:right w:val="none" w:sz="0" w:space="0" w:color="auto"/>
      </w:divBdr>
    </w:div>
    <w:div w:id="392319480">
      <w:bodyDiv w:val="1"/>
      <w:marLeft w:val="0"/>
      <w:marRight w:val="0"/>
      <w:marTop w:val="0"/>
      <w:marBottom w:val="0"/>
      <w:divBdr>
        <w:top w:val="none" w:sz="0" w:space="0" w:color="auto"/>
        <w:left w:val="none" w:sz="0" w:space="0" w:color="auto"/>
        <w:bottom w:val="none" w:sz="0" w:space="0" w:color="auto"/>
        <w:right w:val="none" w:sz="0" w:space="0" w:color="auto"/>
      </w:divBdr>
    </w:div>
    <w:div w:id="392391377">
      <w:bodyDiv w:val="1"/>
      <w:marLeft w:val="0"/>
      <w:marRight w:val="0"/>
      <w:marTop w:val="0"/>
      <w:marBottom w:val="0"/>
      <w:divBdr>
        <w:top w:val="none" w:sz="0" w:space="0" w:color="auto"/>
        <w:left w:val="none" w:sz="0" w:space="0" w:color="auto"/>
        <w:bottom w:val="none" w:sz="0" w:space="0" w:color="auto"/>
        <w:right w:val="none" w:sz="0" w:space="0" w:color="auto"/>
      </w:divBdr>
    </w:div>
    <w:div w:id="392822941">
      <w:bodyDiv w:val="1"/>
      <w:marLeft w:val="0"/>
      <w:marRight w:val="0"/>
      <w:marTop w:val="0"/>
      <w:marBottom w:val="0"/>
      <w:divBdr>
        <w:top w:val="none" w:sz="0" w:space="0" w:color="auto"/>
        <w:left w:val="none" w:sz="0" w:space="0" w:color="auto"/>
        <w:bottom w:val="none" w:sz="0" w:space="0" w:color="auto"/>
        <w:right w:val="none" w:sz="0" w:space="0" w:color="auto"/>
      </w:divBdr>
    </w:div>
    <w:div w:id="392854232">
      <w:bodyDiv w:val="1"/>
      <w:marLeft w:val="0"/>
      <w:marRight w:val="0"/>
      <w:marTop w:val="0"/>
      <w:marBottom w:val="0"/>
      <w:divBdr>
        <w:top w:val="none" w:sz="0" w:space="0" w:color="auto"/>
        <w:left w:val="none" w:sz="0" w:space="0" w:color="auto"/>
        <w:bottom w:val="none" w:sz="0" w:space="0" w:color="auto"/>
        <w:right w:val="none" w:sz="0" w:space="0" w:color="auto"/>
      </w:divBdr>
    </w:div>
    <w:div w:id="393241359">
      <w:bodyDiv w:val="1"/>
      <w:marLeft w:val="0"/>
      <w:marRight w:val="0"/>
      <w:marTop w:val="0"/>
      <w:marBottom w:val="0"/>
      <w:divBdr>
        <w:top w:val="none" w:sz="0" w:space="0" w:color="auto"/>
        <w:left w:val="none" w:sz="0" w:space="0" w:color="auto"/>
        <w:bottom w:val="none" w:sz="0" w:space="0" w:color="auto"/>
        <w:right w:val="none" w:sz="0" w:space="0" w:color="auto"/>
      </w:divBdr>
    </w:div>
    <w:div w:id="393358170">
      <w:bodyDiv w:val="1"/>
      <w:marLeft w:val="0"/>
      <w:marRight w:val="0"/>
      <w:marTop w:val="0"/>
      <w:marBottom w:val="0"/>
      <w:divBdr>
        <w:top w:val="none" w:sz="0" w:space="0" w:color="auto"/>
        <w:left w:val="none" w:sz="0" w:space="0" w:color="auto"/>
        <w:bottom w:val="none" w:sz="0" w:space="0" w:color="auto"/>
        <w:right w:val="none" w:sz="0" w:space="0" w:color="auto"/>
      </w:divBdr>
    </w:div>
    <w:div w:id="393626992">
      <w:bodyDiv w:val="1"/>
      <w:marLeft w:val="0"/>
      <w:marRight w:val="0"/>
      <w:marTop w:val="0"/>
      <w:marBottom w:val="0"/>
      <w:divBdr>
        <w:top w:val="none" w:sz="0" w:space="0" w:color="auto"/>
        <w:left w:val="none" w:sz="0" w:space="0" w:color="auto"/>
        <w:bottom w:val="none" w:sz="0" w:space="0" w:color="auto"/>
        <w:right w:val="none" w:sz="0" w:space="0" w:color="auto"/>
      </w:divBdr>
    </w:div>
    <w:div w:id="393747921">
      <w:bodyDiv w:val="1"/>
      <w:marLeft w:val="0"/>
      <w:marRight w:val="0"/>
      <w:marTop w:val="0"/>
      <w:marBottom w:val="0"/>
      <w:divBdr>
        <w:top w:val="none" w:sz="0" w:space="0" w:color="auto"/>
        <w:left w:val="none" w:sz="0" w:space="0" w:color="auto"/>
        <w:bottom w:val="none" w:sz="0" w:space="0" w:color="auto"/>
        <w:right w:val="none" w:sz="0" w:space="0" w:color="auto"/>
      </w:divBdr>
    </w:div>
    <w:div w:id="393814419">
      <w:bodyDiv w:val="1"/>
      <w:marLeft w:val="0"/>
      <w:marRight w:val="0"/>
      <w:marTop w:val="0"/>
      <w:marBottom w:val="0"/>
      <w:divBdr>
        <w:top w:val="none" w:sz="0" w:space="0" w:color="auto"/>
        <w:left w:val="none" w:sz="0" w:space="0" w:color="auto"/>
        <w:bottom w:val="none" w:sz="0" w:space="0" w:color="auto"/>
        <w:right w:val="none" w:sz="0" w:space="0" w:color="auto"/>
      </w:divBdr>
    </w:div>
    <w:div w:id="393938133">
      <w:bodyDiv w:val="1"/>
      <w:marLeft w:val="0"/>
      <w:marRight w:val="0"/>
      <w:marTop w:val="0"/>
      <w:marBottom w:val="0"/>
      <w:divBdr>
        <w:top w:val="none" w:sz="0" w:space="0" w:color="auto"/>
        <w:left w:val="none" w:sz="0" w:space="0" w:color="auto"/>
        <w:bottom w:val="none" w:sz="0" w:space="0" w:color="auto"/>
        <w:right w:val="none" w:sz="0" w:space="0" w:color="auto"/>
      </w:divBdr>
    </w:div>
    <w:div w:id="394013077">
      <w:bodyDiv w:val="1"/>
      <w:marLeft w:val="0"/>
      <w:marRight w:val="0"/>
      <w:marTop w:val="0"/>
      <w:marBottom w:val="0"/>
      <w:divBdr>
        <w:top w:val="none" w:sz="0" w:space="0" w:color="auto"/>
        <w:left w:val="none" w:sz="0" w:space="0" w:color="auto"/>
        <w:bottom w:val="none" w:sz="0" w:space="0" w:color="auto"/>
        <w:right w:val="none" w:sz="0" w:space="0" w:color="auto"/>
      </w:divBdr>
    </w:div>
    <w:div w:id="394351878">
      <w:bodyDiv w:val="1"/>
      <w:marLeft w:val="0"/>
      <w:marRight w:val="0"/>
      <w:marTop w:val="0"/>
      <w:marBottom w:val="0"/>
      <w:divBdr>
        <w:top w:val="none" w:sz="0" w:space="0" w:color="auto"/>
        <w:left w:val="none" w:sz="0" w:space="0" w:color="auto"/>
        <w:bottom w:val="none" w:sz="0" w:space="0" w:color="auto"/>
        <w:right w:val="none" w:sz="0" w:space="0" w:color="auto"/>
      </w:divBdr>
    </w:div>
    <w:div w:id="394426504">
      <w:bodyDiv w:val="1"/>
      <w:marLeft w:val="0"/>
      <w:marRight w:val="0"/>
      <w:marTop w:val="0"/>
      <w:marBottom w:val="0"/>
      <w:divBdr>
        <w:top w:val="none" w:sz="0" w:space="0" w:color="auto"/>
        <w:left w:val="none" w:sz="0" w:space="0" w:color="auto"/>
        <w:bottom w:val="none" w:sz="0" w:space="0" w:color="auto"/>
        <w:right w:val="none" w:sz="0" w:space="0" w:color="auto"/>
      </w:divBdr>
    </w:div>
    <w:div w:id="394469274">
      <w:bodyDiv w:val="1"/>
      <w:marLeft w:val="0"/>
      <w:marRight w:val="0"/>
      <w:marTop w:val="0"/>
      <w:marBottom w:val="0"/>
      <w:divBdr>
        <w:top w:val="none" w:sz="0" w:space="0" w:color="auto"/>
        <w:left w:val="none" w:sz="0" w:space="0" w:color="auto"/>
        <w:bottom w:val="none" w:sz="0" w:space="0" w:color="auto"/>
        <w:right w:val="none" w:sz="0" w:space="0" w:color="auto"/>
      </w:divBdr>
    </w:div>
    <w:div w:id="394471341">
      <w:bodyDiv w:val="1"/>
      <w:marLeft w:val="0"/>
      <w:marRight w:val="0"/>
      <w:marTop w:val="0"/>
      <w:marBottom w:val="0"/>
      <w:divBdr>
        <w:top w:val="none" w:sz="0" w:space="0" w:color="auto"/>
        <w:left w:val="none" w:sz="0" w:space="0" w:color="auto"/>
        <w:bottom w:val="none" w:sz="0" w:space="0" w:color="auto"/>
        <w:right w:val="none" w:sz="0" w:space="0" w:color="auto"/>
      </w:divBdr>
    </w:div>
    <w:div w:id="394547999">
      <w:bodyDiv w:val="1"/>
      <w:marLeft w:val="0"/>
      <w:marRight w:val="0"/>
      <w:marTop w:val="0"/>
      <w:marBottom w:val="0"/>
      <w:divBdr>
        <w:top w:val="none" w:sz="0" w:space="0" w:color="auto"/>
        <w:left w:val="none" w:sz="0" w:space="0" w:color="auto"/>
        <w:bottom w:val="none" w:sz="0" w:space="0" w:color="auto"/>
        <w:right w:val="none" w:sz="0" w:space="0" w:color="auto"/>
      </w:divBdr>
    </w:div>
    <w:div w:id="394935089">
      <w:bodyDiv w:val="1"/>
      <w:marLeft w:val="0"/>
      <w:marRight w:val="0"/>
      <w:marTop w:val="0"/>
      <w:marBottom w:val="0"/>
      <w:divBdr>
        <w:top w:val="none" w:sz="0" w:space="0" w:color="auto"/>
        <w:left w:val="none" w:sz="0" w:space="0" w:color="auto"/>
        <w:bottom w:val="none" w:sz="0" w:space="0" w:color="auto"/>
        <w:right w:val="none" w:sz="0" w:space="0" w:color="auto"/>
      </w:divBdr>
    </w:div>
    <w:div w:id="395006722">
      <w:bodyDiv w:val="1"/>
      <w:marLeft w:val="0"/>
      <w:marRight w:val="0"/>
      <w:marTop w:val="0"/>
      <w:marBottom w:val="0"/>
      <w:divBdr>
        <w:top w:val="none" w:sz="0" w:space="0" w:color="auto"/>
        <w:left w:val="none" w:sz="0" w:space="0" w:color="auto"/>
        <w:bottom w:val="none" w:sz="0" w:space="0" w:color="auto"/>
        <w:right w:val="none" w:sz="0" w:space="0" w:color="auto"/>
      </w:divBdr>
    </w:div>
    <w:div w:id="395401032">
      <w:bodyDiv w:val="1"/>
      <w:marLeft w:val="0"/>
      <w:marRight w:val="0"/>
      <w:marTop w:val="0"/>
      <w:marBottom w:val="0"/>
      <w:divBdr>
        <w:top w:val="none" w:sz="0" w:space="0" w:color="auto"/>
        <w:left w:val="none" w:sz="0" w:space="0" w:color="auto"/>
        <w:bottom w:val="none" w:sz="0" w:space="0" w:color="auto"/>
        <w:right w:val="none" w:sz="0" w:space="0" w:color="auto"/>
      </w:divBdr>
    </w:div>
    <w:div w:id="395518039">
      <w:bodyDiv w:val="1"/>
      <w:marLeft w:val="0"/>
      <w:marRight w:val="0"/>
      <w:marTop w:val="0"/>
      <w:marBottom w:val="0"/>
      <w:divBdr>
        <w:top w:val="none" w:sz="0" w:space="0" w:color="auto"/>
        <w:left w:val="none" w:sz="0" w:space="0" w:color="auto"/>
        <w:bottom w:val="none" w:sz="0" w:space="0" w:color="auto"/>
        <w:right w:val="none" w:sz="0" w:space="0" w:color="auto"/>
      </w:divBdr>
    </w:div>
    <w:div w:id="395668068">
      <w:bodyDiv w:val="1"/>
      <w:marLeft w:val="0"/>
      <w:marRight w:val="0"/>
      <w:marTop w:val="0"/>
      <w:marBottom w:val="0"/>
      <w:divBdr>
        <w:top w:val="none" w:sz="0" w:space="0" w:color="auto"/>
        <w:left w:val="none" w:sz="0" w:space="0" w:color="auto"/>
        <w:bottom w:val="none" w:sz="0" w:space="0" w:color="auto"/>
        <w:right w:val="none" w:sz="0" w:space="0" w:color="auto"/>
      </w:divBdr>
    </w:div>
    <w:div w:id="395711304">
      <w:bodyDiv w:val="1"/>
      <w:marLeft w:val="0"/>
      <w:marRight w:val="0"/>
      <w:marTop w:val="0"/>
      <w:marBottom w:val="0"/>
      <w:divBdr>
        <w:top w:val="none" w:sz="0" w:space="0" w:color="auto"/>
        <w:left w:val="none" w:sz="0" w:space="0" w:color="auto"/>
        <w:bottom w:val="none" w:sz="0" w:space="0" w:color="auto"/>
        <w:right w:val="none" w:sz="0" w:space="0" w:color="auto"/>
      </w:divBdr>
    </w:div>
    <w:div w:id="395981463">
      <w:bodyDiv w:val="1"/>
      <w:marLeft w:val="0"/>
      <w:marRight w:val="0"/>
      <w:marTop w:val="0"/>
      <w:marBottom w:val="0"/>
      <w:divBdr>
        <w:top w:val="none" w:sz="0" w:space="0" w:color="auto"/>
        <w:left w:val="none" w:sz="0" w:space="0" w:color="auto"/>
        <w:bottom w:val="none" w:sz="0" w:space="0" w:color="auto"/>
        <w:right w:val="none" w:sz="0" w:space="0" w:color="auto"/>
      </w:divBdr>
    </w:div>
    <w:div w:id="396363571">
      <w:bodyDiv w:val="1"/>
      <w:marLeft w:val="0"/>
      <w:marRight w:val="0"/>
      <w:marTop w:val="0"/>
      <w:marBottom w:val="0"/>
      <w:divBdr>
        <w:top w:val="none" w:sz="0" w:space="0" w:color="auto"/>
        <w:left w:val="none" w:sz="0" w:space="0" w:color="auto"/>
        <w:bottom w:val="none" w:sz="0" w:space="0" w:color="auto"/>
        <w:right w:val="none" w:sz="0" w:space="0" w:color="auto"/>
      </w:divBdr>
    </w:div>
    <w:div w:id="396628268">
      <w:bodyDiv w:val="1"/>
      <w:marLeft w:val="0"/>
      <w:marRight w:val="0"/>
      <w:marTop w:val="0"/>
      <w:marBottom w:val="0"/>
      <w:divBdr>
        <w:top w:val="none" w:sz="0" w:space="0" w:color="auto"/>
        <w:left w:val="none" w:sz="0" w:space="0" w:color="auto"/>
        <w:bottom w:val="none" w:sz="0" w:space="0" w:color="auto"/>
        <w:right w:val="none" w:sz="0" w:space="0" w:color="auto"/>
      </w:divBdr>
    </w:div>
    <w:div w:id="396711090">
      <w:bodyDiv w:val="1"/>
      <w:marLeft w:val="0"/>
      <w:marRight w:val="0"/>
      <w:marTop w:val="0"/>
      <w:marBottom w:val="0"/>
      <w:divBdr>
        <w:top w:val="none" w:sz="0" w:space="0" w:color="auto"/>
        <w:left w:val="none" w:sz="0" w:space="0" w:color="auto"/>
        <w:bottom w:val="none" w:sz="0" w:space="0" w:color="auto"/>
        <w:right w:val="none" w:sz="0" w:space="0" w:color="auto"/>
      </w:divBdr>
    </w:div>
    <w:div w:id="396786122">
      <w:bodyDiv w:val="1"/>
      <w:marLeft w:val="0"/>
      <w:marRight w:val="0"/>
      <w:marTop w:val="0"/>
      <w:marBottom w:val="0"/>
      <w:divBdr>
        <w:top w:val="none" w:sz="0" w:space="0" w:color="auto"/>
        <w:left w:val="none" w:sz="0" w:space="0" w:color="auto"/>
        <w:bottom w:val="none" w:sz="0" w:space="0" w:color="auto"/>
        <w:right w:val="none" w:sz="0" w:space="0" w:color="auto"/>
      </w:divBdr>
    </w:div>
    <w:div w:id="396822149">
      <w:bodyDiv w:val="1"/>
      <w:marLeft w:val="0"/>
      <w:marRight w:val="0"/>
      <w:marTop w:val="0"/>
      <w:marBottom w:val="0"/>
      <w:divBdr>
        <w:top w:val="none" w:sz="0" w:space="0" w:color="auto"/>
        <w:left w:val="none" w:sz="0" w:space="0" w:color="auto"/>
        <w:bottom w:val="none" w:sz="0" w:space="0" w:color="auto"/>
        <w:right w:val="none" w:sz="0" w:space="0" w:color="auto"/>
      </w:divBdr>
    </w:div>
    <w:div w:id="396904442">
      <w:bodyDiv w:val="1"/>
      <w:marLeft w:val="0"/>
      <w:marRight w:val="0"/>
      <w:marTop w:val="0"/>
      <w:marBottom w:val="0"/>
      <w:divBdr>
        <w:top w:val="none" w:sz="0" w:space="0" w:color="auto"/>
        <w:left w:val="none" w:sz="0" w:space="0" w:color="auto"/>
        <w:bottom w:val="none" w:sz="0" w:space="0" w:color="auto"/>
        <w:right w:val="none" w:sz="0" w:space="0" w:color="auto"/>
      </w:divBdr>
    </w:div>
    <w:div w:id="397480499">
      <w:bodyDiv w:val="1"/>
      <w:marLeft w:val="0"/>
      <w:marRight w:val="0"/>
      <w:marTop w:val="0"/>
      <w:marBottom w:val="0"/>
      <w:divBdr>
        <w:top w:val="none" w:sz="0" w:space="0" w:color="auto"/>
        <w:left w:val="none" w:sz="0" w:space="0" w:color="auto"/>
        <w:bottom w:val="none" w:sz="0" w:space="0" w:color="auto"/>
        <w:right w:val="none" w:sz="0" w:space="0" w:color="auto"/>
      </w:divBdr>
    </w:div>
    <w:div w:id="397632890">
      <w:bodyDiv w:val="1"/>
      <w:marLeft w:val="0"/>
      <w:marRight w:val="0"/>
      <w:marTop w:val="0"/>
      <w:marBottom w:val="0"/>
      <w:divBdr>
        <w:top w:val="none" w:sz="0" w:space="0" w:color="auto"/>
        <w:left w:val="none" w:sz="0" w:space="0" w:color="auto"/>
        <w:bottom w:val="none" w:sz="0" w:space="0" w:color="auto"/>
        <w:right w:val="none" w:sz="0" w:space="0" w:color="auto"/>
      </w:divBdr>
    </w:div>
    <w:div w:id="397635557">
      <w:bodyDiv w:val="1"/>
      <w:marLeft w:val="0"/>
      <w:marRight w:val="0"/>
      <w:marTop w:val="0"/>
      <w:marBottom w:val="0"/>
      <w:divBdr>
        <w:top w:val="none" w:sz="0" w:space="0" w:color="auto"/>
        <w:left w:val="none" w:sz="0" w:space="0" w:color="auto"/>
        <w:bottom w:val="none" w:sz="0" w:space="0" w:color="auto"/>
        <w:right w:val="none" w:sz="0" w:space="0" w:color="auto"/>
      </w:divBdr>
    </w:div>
    <w:div w:id="397822401">
      <w:bodyDiv w:val="1"/>
      <w:marLeft w:val="0"/>
      <w:marRight w:val="0"/>
      <w:marTop w:val="0"/>
      <w:marBottom w:val="0"/>
      <w:divBdr>
        <w:top w:val="none" w:sz="0" w:space="0" w:color="auto"/>
        <w:left w:val="none" w:sz="0" w:space="0" w:color="auto"/>
        <w:bottom w:val="none" w:sz="0" w:space="0" w:color="auto"/>
        <w:right w:val="none" w:sz="0" w:space="0" w:color="auto"/>
      </w:divBdr>
    </w:div>
    <w:div w:id="397829659">
      <w:bodyDiv w:val="1"/>
      <w:marLeft w:val="0"/>
      <w:marRight w:val="0"/>
      <w:marTop w:val="0"/>
      <w:marBottom w:val="0"/>
      <w:divBdr>
        <w:top w:val="none" w:sz="0" w:space="0" w:color="auto"/>
        <w:left w:val="none" w:sz="0" w:space="0" w:color="auto"/>
        <w:bottom w:val="none" w:sz="0" w:space="0" w:color="auto"/>
        <w:right w:val="none" w:sz="0" w:space="0" w:color="auto"/>
      </w:divBdr>
    </w:div>
    <w:div w:id="398065694">
      <w:bodyDiv w:val="1"/>
      <w:marLeft w:val="0"/>
      <w:marRight w:val="0"/>
      <w:marTop w:val="0"/>
      <w:marBottom w:val="0"/>
      <w:divBdr>
        <w:top w:val="none" w:sz="0" w:space="0" w:color="auto"/>
        <w:left w:val="none" w:sz="0" w:space="0" w:color="auto"/>
        <w:bottom w:val="none" w:sz="0" w:space="0" w:color="auto"/>
        <w:right w:val="none" w:sz="0" w:space="0" w:color="auto"/>
      </w:divBdr>
    </w:div>
    <w:div w:id="398334317">
      <w:bodyDiv w:val="1"/>
      <w:marLeft w:val="0"/>
      <w:marRight w:val="0"/>
      <w:marTop w:val="0"/>
      <w:marBottom w:val="0"/>
      <w:divBdr>
        <w:top w:val="none" w:sz="0" w:space="0" w:color="auto"/>
        <w:left w:val="none" w:sz="0" w:space="0" w:color="auto"/>
        <w:bottom w:val="none" w:sz="0" w:space="0" w:color="auto"/>
        <w:right w:val="none" w:sz="0" w:space="0" w:color="auto"/>
      </w:divBdr>
    </w:div>
    <w:div w:id="398409813">
      <w:bodyDiv w:val="1"/>
      <w:marLeft w:val="0"/>
      <w:marRight w:val="0"/>
      <w:marTop w:val="0"/>
      <w:marBottom w:val="0"/>
      <w:divBdr>
        <w:top w:val="none" w:sz="0" w:space="0" w:color="auto"/>
        <w:left w:val="none" w:sz="0" w:space="0" w:color="auto"/>
        <w:bottom w:val="none" w:sz="0" w:space="0" w:color="auto"/>
        <w:right w:val="none" w:sz="0" w:space="0" w:color="auto"/>
      </w:divBdr>
    </w:div>
    <w:div w:id="398478637">
      <w:bodyDiv w:val="1"/>
      <w:marLeft w:val="0"/>
      <w:marRight w:val="0"/>
      <w:marTop w:val="0"/>
      <w:marBottom w:val="0"/>
      <w:divBdr>
        <w:top w:val="none" w:sz="0" w:space="0" w:color="auto"/>
        <w:left w:val="none" w:sz="0" w:space="0" w:color="auto"/>
        <w:bottom w:val="none" w:sz="0" w:space="0" w:color="auto"/>
        <w:right w:val="none" w:sz="0" w:space="0" w:color="auto"/>
      </w:divBdr>
    </w:div>
    <w:div w:id="398525829">
      <w:bodyDiv w:val="1"/>
      <w:marLeft w:val="0"/>
      <w:marRight w:val="0"/>
      <w:marTop w:val="0"/>
      <w:marBottom w:val="0"/>
      <w:divBdr>
        <w:top w:val="none" w:sz="0" w:space="0" w:color="auto"/>
        <w:left w:val="none" w:sz="0" w:space="0" w:color="auto"/>
        <w:bottom w:val="none" w:sz="0" w:space="0" w:color="auto"/>
        <w:right w:val="none" w:sz="0" w:space="0" w:color="auto"/>
      </w:divBdr>
    </w:div>
    <w:div w:id="398551891">
      <w:bodyDiv w:val="1"/>
      <w:marLeft w:val="0"/>
      <w:marRight w:val="0"/>
      <w:marTop w:val="0"/>
      <w:marBottom w:val="0"/>
      <w:divBdr>
        <w:top w:val="none" w:sz="0" w:space="0" w:color="auto"/>
        <w:left w:val="none" w:sz="0" w:space="0" w:color="auto"/>
        <w:bottom w:val="none" w:sz="0" w:space="0" w:color="auto"/>
        <w:right w:val="none" w:sz="0" w:space="0" w:color="auto"/>
      </w:divBdr>
    </w:div>
    <w:div w:id="398862853">
      <w:bodyDiv w:val="1"/>
      <w:marLeft w:val="0"/>
      <w:marRight w:val="0"/>
      <w:marTop w:val="0"/>
      <w:marBottom w:val="0"/>
      <w:divBdr>
        <w:top w:val="none" w:sz="0" w:space="0" w:color="auto"/>
        <w:left w:val="none" w:sz="0" w:space="0" w:color="auto"/>
        <w:bottom w:val="none" w:sz="0" w:space="0" w:color="auto"/>
        <w:right w:val="none" w:sz="0" w:space="0" w:color="auto"/>
      </w:divBdr>
    </w:div>
    <w:div w:id="398867492">
      <w:bodyDiv w:val="1"/>
      <w:marLeft w:val="0"/>
      <w:marRight w:val="0"/>
      <w:marTop w:val="0"/>
      <w:marBottom w:val="0"/>
      <w:divBdr>
        <w:top w:val="none" w:sz="0" w:space="0" w:color="auto"/>
        <w:left w:val="none" w:sz="0" w:space="0" w:color="auto"/>
        <w:bottom w:val="none" w:sz="0" w:space="0" w:color="auto"/>
        <w:right w:val="none" w:sz="0" w:space="0" w:color="auto"/>
      </w:divBdr>
    </w:div>
    <w:div w:id="399064924">
      <w:bodyDiv w:val="1"/>
      <w:marLeft w:val="0"/>
      <w:marRight w:val="0"/>
      <w:marTop w:val="0"/>
      <w:marBottom w:val="0"/>
      <w:divBdr>
        <w:top w:val="none" w:sz="0" w:space="0" w:color="auto"/>
        <w:left w:val="none" w:sz="0" w:space="0" w:color="auto"/>
        <w:bottom w:val="none" w:sz="0" w:space="0" w:color="auto"/>
        <w:right w:val="none" w:sz="0" w:space="0" w:color="auto"/>
      </w:divBdr>
    </w:div>
    <w:div w:id="399065339">
      <w:bodyDiv w:val="1"/>
      <w:marLeft w:val="0"/>
      <w:marRight w:val="0"/>
      <w:marTop w:val="0"/>
      <w:marBottom w:val="0"/>
      <w:divBdr>
        <w:top w:val="none" w:sz="0" w:space="0" w:color="auto"/>
        <w:left w:val="none" w:sz="0" w:space="0" w:color="auto"/>
        <w:bottom w:val="none" w:sz="0" w:space="0" w:color="auto"/>
        <w:right w:val="none" w:sz="0" w:space="0" w:color="auto"/>
      </w:divBdr>
    </w:div>
    <w:div w:id="399181817">
      <w:bodyDiv w:val="1"/>
      <w:marLeft w:val="0"/>
      <w:marRight w:val="0"/>
      <w:marTop w:val="0"/>
      <w:marBottom w:val="0"/>
      <w:divBdr>
        <w:top w:val="none" w:sz="0" w:space="0" w:color="auto"/>
        <w:left w:val="none" w:sz="0" w:space="0" w:color="auto"/>
        <w:bottom w:val="none" w:sz="0" w:space="0" w:color="auto"/>
        <w:right w:val="none" w:sz="0" w:space="0" w:color="auto"/>
      </w:divBdr>
    </w:div>
    <w:div w:id="399253310">
      <w:bodyDiv w:val="1"/>
      <w:marLeft w:val="0"/>
      <w:marRight w:val="0"/>
      <w:marTop w:val="0"/>
      <w:marBottom w:val="0"/>
      <w:divBdr>
        <w:top w:val="none" w:sz="0" w:space="0" w:color="auto"/>
        <w:left w:val="none" w:sz="0" w:space="0" w:color="auto"/>
        <w:bottom w:val="none" w:sz="0" w:space="0" w:color="auto"/>
        <w:right w:val="none" w:sz="0" w:space="0" w:color="auto"/>
      </w:divBdr>
    </w:div>
    <w:div w:id="399376882">
      <w:bodyDiv w:val="1"/>
      <w:marLeft w:val="0"/>
      <w:marRight w:val="0"/>
      <w:marTop w:val="0"/>
      <w:marBottom w:val="0"/>
      <w:divBdr>
        <w:top w:val="none" w:sz="0" w:space="0" w:color="auto"/>
        <w:left w:val="none" w:sz="0" w:space="0" w:color="auto"/>
        <w:bottom w:val="none" w:sz="0" w:space="0" w:color="auto"/>
        <w:right w:val="none" w:sz="0" w:space="0" w:color="auto"/>
      </w:divBdr>
    </w:div>
    <w:div w:id="399599744">
      <w:bodyDiv w:val="1"/>
      <w:marLeft w:val="0"/>
      <w:marRight w:val="0"/>
      <w:marTop w:val="0"/>
      <w:marBottom w:val="0"/>
      <w:divBdr>
        <w:top w:val="none" w:sz="0" w:space="0" w:color="auto"/>
        <w:left w:val="none" w:sz="0" w:space="0" w:color="auto"/>
        <w:bottom w:val="none" w:sz="0" w:space="0" w:color="auto"/>
        <w:right w:val="none" w:sz="0" w:space="0" w:color="auto"/>
      </w:divBdr>
    </w:div>
    <w:div w:id="399835272">
      <w:bodyDiv w:val="1"/>
      <w:marLeft w:val="0"/>
      <w:marRight w:val="0"/>
      <w:marTop w:val="0"/>
      <w:marBottom w:val="0"/>
      <w:divBdr>
        <w:top w:val="none" w:sz="0" w:space="0" w:color="auto"/>
        <w:left w:val="none" w:sz="0" w:space="0" w:color="auto"/>
        <w:bottom w:val="none" w:sz="0" w:space="0" w:color="auto"/>
        <w:right w:val="none" w:sz="0" w:space="0" w:color="auto"/>
      </w:divBdr>
    </w:div>
    <w:div w:id="399838066">
      <w:bodyDiv w:val="1"/>
      <w:marLeft w:val="0"/>
      <w:marRight w:val="0"/>
      <w:marTop w:val="0"/>
      <w:marBottom w:val="0"/>
      <w:divBdr>
        <w:top w:val="none" w:sz="0" w:space="0" w:color="auto"/>
        <w:left w:val="none" w:sz="0" w:space="0" w:color="auto"/>
        <w:bottom w:val="none" w:sz="0" w:space="0" w:color="auto"/>
        <w:right w:val="none" w:sz="0" w:space="0" w:color="auto"/>
      </w:divBdr>
    </w:div>
    <w:div w:id="399907338">
      <w:bodyDiv w:val="1"/>
      <w:marLeft w:val="0"/>
      <w:marRight w:val="0"/>
      <w:marTop w:val="0"/>
      <w:marBottom w:val="0"/>
      <w:divBdr>
        <w:top w:val="none" w:sz="0" w:space="0" w:color="auto"/>
        <w:left w:val="none" w:sz="0" w:space="0" w:color="auto"/>
        <w:bottom w:val="none" w:sz="0" w:space="0" w:color="auto"/>
        <w:right w:val="none" w:sz="0" w:space="0" w:color="auto"/>
      </w:divBdr>
    </w:div>
    <w:div w:id="399981999">
      <w:bodyDiv w:val="1"/>
      <w:marLeft w:val="0"/>
      <w:marRight w:val="0"/>
      <w:marTop w:val="0"/>
      <w:marBottom w:val="0"/>
      <w:divBdr>
        <w:top w:val="none" w:sz="0" w:space="0" w:color="auto"/>
        <w:left w:val="none" w:sz="0" w:space="0" w:color="auto"/>
        <w:bottom w:val="none" w:sz="0" w:space="0" w:color="auto"/>
        <w:right w:val="none" w:sz="0" w:space="0" w:color="auto"/>
      </w:divBdr>
    </w:div>
    <w:div w:id="400181225">
      <w:bodyDiv w:val="1"/>
      <w:marLeft w:val="0"/>
      <w:marRight w:val="0"/>
      <w:marTop w:val="0"/>
      <w:marBottom w:val="0"/>
      <w:divBdr>
        <w:top w:val="none" w:sz="0" w:space="0" w:color="auto"/>
        <w:left w:val="none" w:sz="0" w:space="0" w:color="auto"/>
        <w:bottom w:val="none" w:sz="0" w:space="0" w:color="auto"/>
        <w:right w:val="none" w:sz="0" w:space="0" w:color="auto"/>
      </w:divBdr>
    </w:div>
    <w:div w:id="400367153">
      <w:bodyDiv w:val="1"/>
      <w:marLeft w:val="0"/>
      <w:marRight w:val="0"/>
      <w:marTop w:val="0"/>
      <w:marBottom w:val="0"/>
      <w:divBdr>
        <w:top w:val="none" w:sz="0" w:space="0" w:color="auto"/>
        <w:left w:val="none" w:sz="0" w:space="0" w:color="auto"/>
        <w:bottom w:val="none" w:sz="0" w:space="0" w:color="auto"/>
        <w:right w:val="none" w:sz="0" w:space="0" w:color="auto"/>
      </w:divBdr>
    </w:div>
    <w:div w:id="400447831">
      <w:bodyDiv w:val="1"/>
      <w:marLeft w:val="0"/>
      <w:marRight w:val="0"/>
      <w:marTop w:val="0"/>
      <w:marBottom w:val="0"/>
      <w:divBdr>
        <w:top w:val="none" w:sz="0" w:space="0" w:color="auto"/>
        <w:left w:val="none" w:sz="0" w:space="0" w:color="auto"/>
        <w:bottom w:val="none" w:sz="0" w:space="0" w:color="auto"/>
        <w:right w:val="none" w:sz="0" w:space="0" w:color="auto"/>
      </w:divBdr>
    </w:div>
    <w:div w:id="400520010">
      <w:bodyDiv w:val="1"/>
      <w:marLeft w:val="0"/>
      <w:marRight w:val="0"/>
      <w:marTop w:val="0"/>
      <w:marBottom w:val="0"/>
      <w:divBdr>
        <w:top w:val="none" w:sz="0" w:space="0" w:color="auto"/>
        <w:left w:val="none" w:sz="0" w:space="0" w:color="auto"/>
        <w:bottom w:val="none" w:sz="0" w:space="0" w:color="auto"/>
        <w:right w:val="none" w:sz="0" w:space="0" w:color="auto"/>
      </w:divBdr>
    </w:div>
    <w:div w:id="400563476">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0717738">
      <w:bodyDiv w:val="1"/>
      <w:marLeft w:val="0"/>
      <w:marRight w:val="0"/>
      <w:marTop w:val="0"/>
      <w:marBottom w:val="0"/>
      <w:divBdr>
        <w:top w:val="none" w:sz="0" w:space="0" w:color="auto"/>
        <w:left w:val="none" w:sz="0" w:space="0" w:color="auto"/>
        <w:bottom w:val="none" w:sz="0" w:space="0" w:color="auto"/>
        <w:right w:val="none" w:sz="0" w:space="0" w:color="auto"/>
      </w:divBdr>
    </w:div>
    <w:div w:id="400719403">
      <w:bodyDiv w:val="1"/>
      <w:marLeft w:val="0"/>
      <w:marRight w:val="0"/>
      <w:marTop w:val="0"/>
      <w:marBottom w:val="0"/>
      <w:divBdr>
        <w:top w:val="none" w:sz="0" w:space="0" w:color="auto"/>
        <w:left w:val="none" w:sz="0" w:space="0" w:color="auto"/>
        <w:bottom w:val="none" w:sz="0" w:space="0" w:color="auto"/>
        <w:right w:val="none" w:sz="0" w:space="0" w:color="auto"/>
      </w:divBdr>
    </w:div>
    <w:div w:id="400838229">
      <w:bodyDiv w:val="1"/>
      <w:marLeft w:val="0"/>
      <w:marRight w:val="0"/>
      <w:marTop w:val="0"/>
      <w:marBottom w:val="0"/>
      <w:divBdr>
        <w:top w:val="none" w:sz="0" w:space="0" w:color="auto"/>
        <w:left w:val="none" w:sz="0" w:space="0" w:color="auto"/>
        <w:bottom w:val="none" w:sz="0" w:space="0" w:color="auto"/>
        <w:right w:val="none" w:sz="0" w:space="0" w:color="auto"/>
      </w:divBdr>
    </w:div>
    <w:div w:id="401099285">
      <w:bodyDiv w:val="1"/>
      <w:marLeft w:val="0"/>
      <w:marRight w:val="0"/>
      <w:marTop w:val="0"/>
      <w:marBottom w:val="0"/>
      <w:divBdr>
        <w:top w:val="none" w:sz="0" w:space="0" w:color="auto"/>
        <w:left w:val="none" w:sz="0" w:space="0" w:color="auto"/>
        <w:bottom w:val="none" w:sz="0" w:space="0" w:color="auto"/>
        <w:right w:val="none" w:sz="0" w:space="0" w:color="auto"/>
      </w:divBdr>
    </w:div>
    <w:div w:id="401106128">
      <w:bodyDiv w:val="1"/>
      <w:marLeft w:val="0"/>
      <w:marRight w:val="0"/>
      <w:marTop w:val="0"/>
      <w:marBottom w:val="0"/>
      <w:divBdr>
        <w:top w:val="none" w:sz="0" w:space="0" w:color="auto"/>
        <w:left w:val="none" w:sz="0" w:space="0" w:color="auto"/>
        <w:bottom w:val="none" w:sz="0" w:space="0" w:color="auto"/>
        <w:right w:val="none" w:sz="0" w:space="0" w:color="auto"/>
      </w:divBdr>
    </w:div>
    <w:div w:id="401147076">
      <w:bodyDiv w:val="1"/>
      <w:marLeft w:val="0"/>
      <w:marRight w:val="0"/>
      <w:marTop w:val="0"/>
      <w:marBottom w:val="0"/>
      <w:divBdr>
        <w:top w:val="none" w:sz="0" w:space="0" w:color="auto"/>
        <w:left w:val="none" w:sz="0" w:space="0" w:color="auto"/>
        <w:bottom w:val="none" w:sz="0" w:space="0" w:color="auto"/>
        <w:right w:val="none" w:sz="0" w:space="0" w:color="auto"/>
      </w:divBdr>
    </w:div>
    <w:div w:id="401172602">
      <w:bodyDiv w:val="1"/>
      <w:marLeft w:val="0"/>
      <w:marRight w:val="0"/>
      <w:marTop w:val="0"/>
      <w:marBottom w:val="0"/>
      <w:divBdr>
        <w:top w:val="none" w:sz="0" w:space="0" w:color="auto"/>
        <w:left w:val="none" w:sz="0" w:space="0" w:color="auto"/>
        <w:bottom w:val="none" w:sz="0" w:space="0" w:color="auto"/>
        <w:right w:val="none" w:sz="0" w:space="0" w:color="auto"/>
      </w:divBdr>
    </w:div>
    <w:div w:id="401559205">
      <w:bodyDiv w:val="1"/>
      <w:marLeft w:val="0"/>
      <w:marRight w:val="0"/>
      <w:marTop w:val="0"/>
      <w:marBottom w:val="0"/>
      <w:divBdr>
        <w:top w:val="none" w:sz="0" w:space="0" w:color="auto"/>
        <w:left w:val="none" w:sz="0" w:space="0" w:color="auto"/>
        <w:bottom w:val="none" w:sz="0" w:space="0" w:color="auto"/>
        <w:right w:val="none" w:sz="0" w:space="0" w:color="auto"/>
      </w:divBdr>
    </w:div>
    <w:div w:id="401681332">
      <w:bodyDiv w:val="1"/>
      <w:marLeft w:val="0"/>
      <w:marRight w:val="0"/>
      <w:marTop w:val="0"/>
      <w:marBottom w:val="0"/>
      <w:divBdr>
        <w:top w:val="none" w:sz="0" w:space="0" w:color="auto"/>
        <w:left w:val="none" w:sz="0" w:space="0" w:color="auto"/>
        <w:bottom w:val="none" w:sz="0" w:space="0" w:color="auto"/>
        <w:right w:val="none" w:sz="0" w:space="0" w:color="auto"/>
      </w:divBdr>
    </w:div>
    <w:div w:id="401875080">
      <w:bodyDiv w:val="1"/>
      <w:marLeft w:val="0"/>
      <w:marRight w:val="0"/>
      <w:marTop w:val="0"/>
      <w:marBottom w:val="0"/>
      <w:divBdr>
        <w:top w:val="none" w:sz="0" w:space="0" w:color="auto"/>
        <w:left w:val="none" w:sz="0" w:space="0" w:color="auto"/>
        <w:bottom w:val="none" w:sz="0" w:space="0" w:color="auto"/>
        <w:right w:val="none" w:sz="0" w:space="0" w:color="auto"/>
      </w:divBdr>
    </w:div>
    <w:div w:id="402067499">
      <w:bodyDiv w:val="1"/>
      <w:marLeft w:val="0"/>
      <w:marRight w:val="0"/>
      <w:marTop w:val="0"/>
      <w:marBottom w:val="0"/>
      <w:divBdr>
        <w:top w:val="none" w:sz="0" w:space="0" w:color="auto"/>
        <w:left w:val="none" w:sz="0" w:space="0" w:color="auto"/>
        <w:bottom w:val="none" w:sz="0" w:space="0" w:color="auto"/>
        <w:right w:val="none" w:sz="0" w:space="0" w:color="auto"/>
      </w:divBdr>
    </w:div>
    <w:div w:id="402070315">
      <w:bodyDiv w:val="1"/>
      <w:marLeft w:val="0"/>
      <w:marRight w:val="0"/>
      <w:marTop w:val="0"/>
      <w:marBottom w:val="0"/>
      <w:divBdr>
        <w:top w:val="none" w:sz="0" w:space="0" w:color="auto"/>
        <w:left w:val="none" w:sz="0" w:space="0" w:color="auto"/>
        <w:bottom w:val="none" w:sz="0" w:space="0" w:color="auto"/>
        <w:right w:val="none" w:sz="0" w:space="0" w:color="auto"/>
      </w:divBdr>
    </w:div>
    <w:div w:id="402605209">
      <w:bodyDiv w:val="1"/>
      <w:marLeft w:val="0"/>
      <w:marRight w:val="0"/>
      <w:marTop w:val="0"/>
      <w:marBottom w:val="0"/>
      <w:divBdr>
        <w:top w:val="none" w:sz="0" w:space="0" w:color="auto"/>
        <w:left w:val="none" w:sz="0" w:space="0" w:color="auto"/>
        <w:bottom w:val="none" w:sz="0" w:space="0" w:color="auto"/>
        <w:right w:val="none" w:sz="0" w:space="0" w:color="auto"/>
      </w:divBdr>
    </w:div>
    <w:div w:id="403066411">
      <w:bodyDiv w:val="1"/>
      <w:marLeft w:val="0"/>
      <w:marRight w:val="0"/>
      <w:marTop w:val="0"/>
      <w:marBottom w:val="0"/>
      <w:divBdr>
        <w:top w:val="none" w:sz="0" w:space="0" w:color="auto"/>
        <w:left w:val="none" w:sz="0" w:space="0" w:color="auto"/>
        <w:bottom w:val="none" w:sz="0" w:space="0" w:color="auto"/>
        <w:right w:val="none" w:sz="0" w:space="0" w:color="auto"/>
      </w:divBdr>
    </w:div>
    <w:div w:id="403067269">
      <w:bodyDiv w:val="1"/>
      <w:marLeft w:val="0"/>
      <w:marRight w:val="0"/>
      <w:marTop w:val="0"/>
      <w:marBottom w:val="0"/>
      <w:divBdr>
        <w:top w:val="none" w:sz="0" w:space="0" w:color="auto"/>
        <w:left w:val="none" w:sz="0" w:space="0" w:color="auto"/>
        <w:bottom w:val="none" w:sz="0" w:space="0" w:color="auto"/>
        <w:right w:val="none" w:sz="0" w:space="0" w:color="auto"/>
      </w:divBdr>
    </w:div>
    <w:div w:id="403141719">
      <w:bodyDiv w:val="1"/>
      <w:marLeft w:val="0"/>
      <w:marRight w:val="0"/>
      <w:marTop w:val="0"/>
      <w:marBottom w:val="0"/>
      <w:divBdr>
        <w:top w:val="none" w:sz="0" w:space="0" w:color="auto"/>
        <w:left w:val="none" w:sz="0" w:space="0" w:color="auto"/>
        <w:bottom w:val="none" w:sz="0" w:space="0" w:color="auto"/>
        <w:right w:val="none" w:sz="0" w:space="0" w:color="auto"/>
      </w:divBdr>
    </w:div>
    <w:div w:id="403263144">
      <w:bodyDiv w:val="1"/>
      <w:marLeft w:val="0"/>
      <w:marRight w:val="0"/>
      <w:marTop w:val="0"/>
      <w:marBottom w:val="0"/>
      <w:divBdr>
        <w:top w:val="none" w:sz="0" w:space="0" w:color="auto"/>
        <w:left w:val="none" w:sz="0" w:space="0" w:color="auto"/>
        <w:bottom w:val="none" w:sz="0" w:space="0" w:color="auto"/>
        <w:right w:val="none" w:sz="0" w:space="0" w:color="auto"/>
      </w:divBdr>
    </w:div>
    <w:div w:id="403530404">
      <w:bodyDiv w:val="1"/>
      <w:marLeft w:val="0"/>
      <w:marRight w:val="0"/>
      <w:marTop w:val="0"/>
      <w:marBottom w:val="0"/>
      <w:divBdr>
        <w:top w:val="none" w:sz="0" w:space="0" w:color="auto"/>
        <w:left w:val="none" w:sz="0" w:space="0" w:color="auto"/>
        <w:bottom w:val="none" w:sz="0" w:space="0" w:color="auto"/>
        <w:right w:val="none" w:sz="0" w:space="0" w:color="auto"/>
      </w:divBdr>
    </w:div>
    <w:div w:id="403725392">
      <w:bodyDiv w:val="1"/>
      <w:marLeft w:val="0"/>
      <w:marRight w:val="0"/>
      <w:marTop w:val="0"/>
      <w:marBottom w:val="0"/>
      <w:divBdr>
        <w:top w:val="none" w:sz="0" w:space="0" w:color="auto"/>
        <w:left w:val="none" w:sz="0" w:space="0" w:color="auto"/>
        <w:bottom w:val="none" w:sz="0" w:space="0" w:color="auto"/>
        <w:right w:val="none" w:sz="0" w:space="0" w:color="auto"/>
      </w:divBdr>
    </w:div>
    <w:div w:id="403838339">
      <w:bodyDiv w:val="1"/>
      <w:marLeft w:val="0"/>
      <w:marRight w:val="0"/>
      <w:marTop w:val="0"/>
      <w:marBottom w:val="0"/>
      <w:divBdr>
        <w:top w:val="none" w:sz="0" w:space="0" w:color="auto"/>
        <w:left w:val="none" w:sz="0" w:space="0" w:color="auto"/>
        <w:bottom w:val="none" w:sz="0" w:space="0" w:color="auto"/>
        <w:right w:val="none" w:sz="0" w:space="0" w:color="auto"/>
      </w:divBdr>
    </w:div>
    <w:div w:id="404257427">
      <w:bodyDiv w:val="1"/>
      <w:marLeft w:val="0"/>
      <w:marRight w:val="0"/>
      <w:marTop w:val="0"/>
      <w:marBottom w:val="0"/>
      <w:divBdr>
        <w:top w:val="none" w:sz="0" w:space="0" w:color="auto"/>
        <w:left w:val="none" w:sz="0" w:space="0" w:color="auto"/>
        <w:bottom w:val="none" w:sz="0" w:space="0" w:color="auto"/>
        <w:right w:val="none" w:sz="0" w:space="0" w:color="auto"/>
      </w:divBdr>
    </w:div>
    <w:div w:id="404304927">
      <w:bodyDiv w:val="1"/>
      <w:marLeft w:val="0"/>
      <w:marRight w:val="0"/>
      <w:marTop w:val="0"/>
      <w:marBottom w:val="0"/>
      <w:divBdr>
        <w:top w:val="none" w:sz="0" w:space="0" w:color="auto"/>
        <w:left w:val="none" w:sz="0" w:space="0" w:color="auto"/>
        <w:bottom w:val="none" w:sz="0" w:space="0" w:color="auto"/>
        <w:right w:val="none" w:sz="0" w:space="0" w:color="auto"/>
      </w:divBdr>
    </w:div>
    <w:div w:id="404493293">
      <w:bodyDiv w:val="1"/>
      <w:marLeft w:val="0"/>
      <w:marRight w:val="0"/>
      <w:marTop w:val="0"/>
      <w:marBottom w:val="0"/>
      <w:divBdr>
        <w:top w:val="none" w:sz="0" w:space="0" w:color="auto"/>
        <w:left w:val="none" w:sz="0" w:space="0" w:color="auto"/>
        <w:bottom w:val="none" w:sz="0" w:space="0" w:color="auto"/>
        <w:right w:val="none" w:sz="0" w:space="0" w:color="auto"/>
      </w:divBdr>
    </w:div>
    <w:div w:id="404569431">
      <w:bodyDiv w:val="1"/>
      <w:marLeft w:val="0"/>
      <w:marRight w:val="0"/>
      <w:marTop w:val="0"/>
      <w:marBottom w:val="0"/>
      <w:divBdr>
        <w:top w:val="none" w:sz="0" w:space="0" w:color="auto"/>
        <w:left w:val="none" w:sz="0" w:space="0" w:color="auto"/>
        <w:bottom w:val="none" w:sz="0" w:space="0" w:color="auto"/>
        <w:right w:val="none" w:sz="0" w:space="0" w:color="auto"/>
      </w:divBdr>
    </w:div>
    <w:div w:id="404650192">
      <w:bodyDiv w:val="1"/>
      <w:marLeft w:val="0"/>
      <w:marRight w:val="0"/>
      <w:marTop w:val="0"/>
      <w:marBottom w:val="0"/>
      <w:divBdr>
        <w:top w:val="none" w:sz="0" w:space="0" w:color="auto"/>
        <w:left w:val="none" w:sz="0" w:space="0" w:color="auto"/>
        <w:bottom w:val="none" w:sz="0" w:space="0" w:color="auto"/>
        <w:right w:val="none" w:sz="0" w:space="0" w:color="auto"/>
      </w:divBdr>
    </w:div>
    <w:div w:id="404693084">
      <w:bodyDiv w:val="1"/>
      <w:marLeft w:val="0"/>
      <w:marRight w:val="0"/>
      <w:marTop w:val="0"/>
      <w:marBottom w:val="0"/>
      <w:divBdr>
        <w:top w:val="none" w:sz="0" w:space="0" w:color="auto"/>
        <w:left w:val="none" w:sz="0" w:space="0" w:color="auto"/>
        <w:bottom w:val="none" w:sz="0" w:space="0" w:color="auto"/>
        <w:right w:val="none" w:sz="0" w:space="0" w:color="auto"/>
      </w:divBdr>
    </w:div>
    <w:div w:id="405031895">
      <w:bodyDiv w:val="1"/>
      <w:marLeft w:val="0"/>
      <w:marRight w:val="0"/>
      <w:marTop w:val="0"/>
      <w:marBottom w:val="0"/>
      <w:divBdr>
        <w:top w:val="none" w:sz="0" w:space="0" w:color="auto"/>
        <w:left w:val="none" w:sz="0" w:space="0" w:color="auto"/>
        <w:bottom w:val="none" w:sz="0" w:space="0" w:color="auto"/>
        <w:right w:val="none" w:sz="0" w:space="0" w:color="auto"/>
      </w:divBdr>
    </w:div>
    <w:div w:id="405110434">
      <w:bodyDiv w:val="1"/>
      <w:marLeft w:val="0"/>
      <w:marRight w:val="0"/>
      <w:marTop w:val="0"/>
      <w:marBottom w:val="0"/>
      <w:divBdr>
        <w:top w:val="none" w:sz="0" w:space="0" w:color="auto"/>
        <w:left w:val="none" w:sz="0" w:space="0" w:color="auto"/>
        <w:bottom w:val="none" w:sz="0" w:space="0" w:color="auto"/>
        <w:right w:val="none" w:sz="0" w:space="0" w:color="auto"/>
      </w:divBdr>
    </w:div>
    <w:div w:id="405297759">
      <w:bodyDiv w:val="1"/>
      <w:marLeft w:val="0"/>
      <w:marRight w:val="0"/>
      <w:marTop w:val="0"/>
      <w:marBottom w:val="0"/>
      <w:divBdr>
        <w:top w:val="none" w:sz="0" w:space="0" w:color="auto"/>
        <w:left w:val="none" w:sz="0" w:space="0" w:color="auto"/>
        <w:bottom w:val="none" w:sz="0" w:space="0" w:color="auto"/>
        <w:right w:val="none" w:sz="0" w:space="0" w:color="auto"/>
      </w:divBdr>
    </w:div>
    <w:div w:id="405299249">
      <w:bodyDiv w:val="1"/>
      <w:marLeft w:val="0"/>
      <w:marRight w:val="0"/>
      <w:marTop w:val="0"/>
      <w:marBottom w:val="0"/>
      <w:divBdr>
        <w:top w:val="none" w:sz="0" w:space="0" w:color="auto"/>
        <w:left w:val="none" w:sz="0" w:space="0" w:color="auto"/>
        <w:bottom w:val="none" w:sz="0" w:space="0" w:color="auto"/>
        <w:right w:val="none" w:sz="0" w:space="0" w:color="auto"/>
      </w:divBdr>
    </w:div>
    <w:div w:id="405300850">
      <w:bodyDiv w:val="1"/>
      <w:marLeft w:val="0"/>
      <w:marRight w:val="0"/>
      <w:marTop w:val="0"/>
      <w:marBottom w:val="0"/>
      <w:divBdr>
        <w:top w:val="none" w:sz="0" w:space="0" w:color="auto"/>
        <w:left w:val="none" w:sz="0" w:space="0" w:color="auto"/>
        <w:bottom w:val="none" w:sz="0" w:space="0" w:color="auto"/>
        <w:right w:val="none" w:sz="0" w:space="0" w:color="auto"/>
      </w:divBdr>
    </w:div>
    <w:div w:id="405344818">
      <w:bodyDiv w:val="1"/>
      <w:marLeft w:val="0"/>
      <w:marRight w:val="0"/>
      <w:marTop w:val="0"/>
      <w:marBottom w:val="0"/>
      <w:divBdr>
        <w:top w:val="none" w:sz="0" w:space="0" w:color="auto"/>
        <w:left w:val="none" w:sz="0" w:space="0" w:color="auto"/>
        <w:bottom w:val="none" w:sz="0" w:space="0" w:color="auto"/>
        <w:right w:val="none" w:sz="0" w:space="0" w:color="auto"/>
      </w:divBdr>
    </w:div>
    <w:div w:id="405344850">
      <w:bodyDiv w:val="1"/>
      <w:marLeft w:val="0"/>
      <w:marRight w:val="0"/>
      <w:marTop w:val="0"/>
      <w:marBottom w:val="0"/>
      <w:divBdr>
        <w:top w:val="none" w:sz="0" w:space="0" w:color="auto"/>
        <w:left w:val="none" w:sz="0" w:space="0" w:color="auto"/>
        <w:bottom w:val="none" w:sz="0" w:space="0" w:color="auto"/>
        <w:right w:val="none" w:sz="0" w:space="0" w:color="auto"/>
      </w:divBdr>
    </w:div>
    <w:div w:id="405616892">
      <w:bodyDiv w:val="1"/>
      <w:marLeft w:val="0"/>
      <w:marRight w:val="0"/>
      <w:marTop w:val="0"/>
      <w:marBottom w:val="0"/>
      <w:divBdr>
        <w:top w:val="none" w:sz="0" w:space="0" w:color="auto"/>
        <w:left w:val="none" w:sz="0" w:space="0" w:color="auto"/>
        <w:bottom w:val="none" w:sz="0" w:space="0" w:color="auto"/>
        <w:right w:val="none" w:sz="0" w:space="0" w:color="auto"/>
      </w:divBdr>
    </w:div>
    <w:div w:id="405692941">
      <w:bodyDiv w:val="1"/>
      <w:marLeft w:val="0"/>
      <w:marRight w:val="0"/>
      <w:marTop w:val="0"/>
      <w:marBottom w:val="0"/>
      <w:divBdr>
        <w:top w:val="none" w:sz="0" w:space="0" w:color="auto"/>
        <w:left w:val="none" w:sz="0" w:space="0" w:color="auto"/>
        <w:bottom w:val="none" w:sz="0" w:space="0" w:color="auto"/>
        <w:right w:val="none" w:sz="0" w:space="0" w:color="auto"/>
      </w:divBdr>
    </w:div>
    <w:div w:id="405811541">
      <w:bodyDiv w:val="1"/>
      <w:marLeft w:val="0"/>
      <w:marRight w:val="0"/>
      <w:marTop w:val="0"/>
      <w:marBottom w:val="0"/>
      <w:divBdr>
        <w:top w:val="none" w:sz="0" w:space="0" w:color="auto"/>
        <w:left w:val="none" w:sz="0" w:space="0" w:color="auto"/>
        <w:bottom w:val="none" w:sz="0" w:space="0" w:color="auto"/>
        <w:right w:val="none" w:sz="0" w:space="0" w:color="auto"/>
      </w:divBdr>
    </w:div>
    <w:div w:id="406265581">
      <w:bodyDiv w:val="1"/>
      <w:marLeft w:val="0"/>
      <w:marRight w:val="0"/>
      <w:marTop w:val="0"/>
      <w:marBottom w:val="0"/>
      <w:divBdr>
        <w:top w:val="none" w:sz="0" w:space="0" w:color="auto"/>
        <w:left w:val="none" w:sz="0" w:space="0" w:color="auto"/>
        <w:bottom w:val="none" w:sz="0" w:space="0" w:color="auto"/>
        <w:right w:val="none" w:sz="0" w:space="0" w:color="auto"/>
      </w:divBdr>
    </w:div>
    <w:div w:id="406265664">
      <w:bodyDiv w:val="1"/>
      <w:marLeft w:val="0"/>
      <w:marRight w:val="0"/>
      <w:marTop w:val="0"/>
      <w:marBottom w:val="0"/>
      <w:divBdr>
        <w:top w:val="none" w:sz="0" w:space="0" w:color="auto"/>
        <w:left w:val="none" w:sz="0" w:space="0" w:color="auto"/>
        <w:bottom w:val="none" w:sz="0" w:space="0" w:color="auto"/>
        <w:right w:val="none" w:sz="0" w:space="0" w:color="auto"/>
      </w:divBdr>
    </w:div>
    <w:div w:id="406878681">
      <w:bodyDiv w:val="1"/>
      <w:marLeft w:val="0"/>
      <w:marRight w:val="0"/>
      <w:marTop w:val="0"/>
      <w:marBottom w:val="0"/>
      <w:divBdr>
        <w:top w:val="none" w:sz="0" w:space="0" w:color="auto"/>
        <w:left w:val="none" w:sz="0" w:space="0" w:color="auto"/>
        <w:bottom w:val="none" w:sz="0" w:space="0" w:color="auto"/>
        <w:right w:val="none" w:sz="0" w:space="0" w:color="auto"/>
      </w:divBdr>
    </w:div>
    <w:div w:id="406927374">
      <w:bodyDiv w:val="1"/>
      <w:marLeft w:val="0"/>
      <w:marRight w:val="0"/>
      <w:marTop w:val="0"/>
      <w:marBottom w:val="0"/>
      <w:divBdr>
        <w:top w:val="none" w:sz="0" w:space="0" w:color="auto"/>
        <w:left w:val="none" w:sz="0" w:space="0" w:color="auto"/>
        <w:bottom w:val="none" w:sz="0" w:space="0" w:color="auto"/>
        <w:right w:val="none" w:sz="0" w:space="0" w:color="auto"/>
      </w:divBdr>
    </w:div>
    <w:div w:id="407000711">
      <w:bodyDiv w:val="1"/>
      <w:marLeft w:val="0"/>
      <w:marRight w:val="0"/>
      <w:marTop w:val="0"/>
      <w:marBottom w:val="0"/>
      <w:divBdr>
        <w:top w:val="none" w:sz="0" w:space="0" w:color="auto"/>
        <w:left w:val="none" w:sz="0" w:space="0" w:color="auto"/>
        <w:bottom w:val="none" w:sz="0" w:space="0" w:color="auto"/>
        <w:right w:val="none" w:sz="0" w:space="0" w:color="auto"/>
      </w:divBdr>
    </w:div>
    <w:div w:id="407271056">
      <w:bodyDiv w:val="1"/>
      <w:marLeft w:val="0"/>
      <w:marRight w:val="0"/>
      <w:marTop w:val="0"/>
      <w:marBottom w:val="0"/>
      <w:divBdr>
        <w:top w:val="none" w:sz="0" w:space="0" w:color="auto"/>
        <w:left w:val="none" w:sz="0" w:space="0" w:color="auto"/>
        <w:bottom w:val="none" w:sz="0" w:space="0" w:color="auto"/>
        <w:right w:val="none" w:sz="0" w:space="0" w:color="auto"/>
      </w:divBdr>
    </w:div>
    <w:div w:id="407574420">
      <w:bodyDiv w:val="1"/>
      <w:marLeft w:val="0"/>
      <w:marRight w:val="0"/>
      <w:marTop w:val="0"/>
      <w:marBottom w:val="0"/>
      <w:divBdr>
        <w:top w:val="none" w:sz="0" w:space="0" w:color="auto"/>
        <w:left w:val="none" w:sz="0" w:space="0" w:color="auto"/>
        <w:bottom w:val="none" w:sz="0" w:space="0" w:color="auto"/>
        <w:right w:val="none" w:sz="0" w:space="0" w:color="auto"/>
      </w:divBdr>
    </w:div>
    <w:div w:id="407577849">
      <w:bodyDiv w:val="1"/>
      <w:marLeft w:val="0"/>
      <w:marRight w:val="0"/>
      <w:marTop w:val="0"/>
      <w:marBottom w:val="0"/>
      <w:divBdr>
        <w:top w:val="none" w:sz="0" w:space="0" w:color="auto"/>
        <w:left w:val="none" w:sz="0" w:space="0" w:color="auto"/>
        <w:bottom w:val="none" w:sz="0" w:space="0" w:color="auto"/>
        <w:right w:val="none" w:sz="0" w:space="0" w:color="auto"/>
      </w:divBdr>
    </w:div>
    <w:div w:id="407582551">
      <w:bodyDiv w:val="1"/>
      <w:marLeft w:val="0"/>
      <w:marRight w:val="0"/>
      <w:marTop w:val="0"/>
      <w:marBottom w:val="0"/>
      <w:divBdr>
        <w:top w:val="none" w:sz="0" w:space="0" w:color="auto"/>
        <w:left w:val="none" w:sz="0" w:space="0" w:color="auto"/>
        <w:bottom w:val="none" w:sz="0" w:space="0" w:color="auto"/>
        <w:right w:val="none" w:sz="0" w:space="0" w:color="auto"/>
      </w:divBdr>
    </w:div>
    <w:div w:id="407654504">
      <w:bodyDiv w:val="1"/>
      <w:marLeft w:val="0"/>
      <w:marRight w:val="0"/>
      <w:marTop w:val="0"/>
      <w:marBottom w:val="0"/>
      <w:divBdr>
        <w:top w:val="none" w:sz="0" w:space="0" w:color="auto"/>
        <w:left w:val="none" w:sz="0" w:space="0" w:color="auto"/>
        <w:bottom w:val="none" w:sz="0" w:space="0" w:color="auto"/>
        <w:right w:val="none" w:sz="0" w:space="0" w:color="auto"/>
      </w:divBdr>
    </w:div>
    <w:div w:id="408236990">
      <w:bodyDiv w:val="1"/>
      <w:marLeft w:val="0"/>
      <w:marRight w:val="0"/>
      <w:marTop w:val="0"/>
      <w:marBottom w:val="0"/>
      <w:divBdr>
        <w:top w:val="none" w:sz="0" w:space="0" w:color="auto"/>
        <w:left w:val="none" w:sz="0" w:space="0" w:color="auto"/>
        <w:bottom w:val="none" w:sz="0" w:space="0" w:color="auto"/>
        <w:right w:val="none" w:sz="0" w:space="0" w:color="auto"/>
      </w:divBdr>
    </w:div>
    <w:div w:id="408307525">
      <w:bodyDiv w:val="1"/>
      <w:marLeft w:val="0"/>
      <w:marRight w:val="0"/>
      <w:marTop w:val="0"/>
      <w:marBottom w:val="0"/>
      <w:divBdr>
        <w:top w:val="none" w:sz="0" w:space="0" w:color="auto"/>
        <w:left w:val="none" w:sz="0" w:space="0" w:color="auto"/>
        <w:bottom w:val="none" w:sz="0" w:space="0" w:color="auto"/>
        <w:right w:val="none" w:sz="0" w:space="0" w:color="auto"/>
      </w:divBdr>
    </w:div>
    <w:div w:id="408814894">
      <w:bodyDiv w:val="1"/>
      <w:marLeft w:val="0"/>
      <w:marRight w:val="0"/>
      <w:marTop w:val="0"/>
      <w:marBottom w:val="0"/>
      <w:divBdr>
        <w:top w:val="none" w:sz="0" w:space="0" w:color="auto"/>
        <w:left w:val="none" w:sz="0" w:space="0" w:color="auto"/>
        <w:bottom w:val="none" w:sz="0" w:space="0" w:color="auto"/>
        <w:right w:val="none" w:sz="0" w:space="0" w:color="auto"/>
      </w:divBdr>
    </w:div>
    <w:div w:id="408962677">
      <w:bodyDiv w:val="1"/>
      <w:marLeft w:val="0"/>
      <w:marRight w:val="0"/>
      <w:marTop w:val="0"/>
      <w:marBottom w:val="0"/>
      <w:divBdr>
        <w:top w:val="none" w:sz="0" w:space="0" w:color="auto"/>
        <w:left w:val="none" w:sz="0" w:space="0" w:color="auto"/>
        <w:bottom w:val="none" w:sz="0" w:space="0" w:color="auto"/>
        <w:right w:val="none" w:sz="0" w:space="0" w:color="auto"/>
      </w:divBdr>
    </w:div>
    <w:div w:id="409037182">
      <w:bodyDiv w:val="1"/>
      <w:marLeft w:val="0"/>
      <w:marRight w:val="0"/>
      <w:marTop w:val="0"/>
      <w:marBottom w:val="0"/>
      <w:divBdr>
        <w:top w:val="none" w:sz="0" w:space="0" w:color="auto"/>
        <w:left w:val="none" w:sz="0" w:space="0" w:color="auto"/>
        <w:bottom w:val="none" w:sz="0" w:space="0" w:color="auto"/>
        <w:right w:val="none" w:sz="0" w:space="0" w:color="auto"/>
      </w:divBdr>
    </w:div>
    <w:div w:id="409154393">
      <w:bodyDiv w:val="1"/>
      <w:marLeft w:val="0"/>
      <w:marRight w:val="0"/>
      <w:marTop w:val="0"/>
      <w:marBottom w:val="0"/>
      <w:divBdr>
        <w:top w:val="none" w:sz="0" w:space="0" w:color="auto"/>
        <w:left w:val="none" w:sz="0" w:space="0" w:color="auto"/>
        <w:bottom w:val="none" w:sz="0" w:space="0" w:color="auto"/>
        <w:right w:val="none" w:sz="0" w:space="0" w:color="auto"/>
      </w:divBdr>
    </w:div>
    <w:div w:id="409154678">
      <w:bodyDiv w:val="1"/>
      <w:marLeft w:val="0"/>
      <w:marRight w:val="0"/>
      <w:marTop w:val="0"/>
      <w:marBottom w:val="0"/>
      <w:divBdr>
        <w:top w:val="none" w:sz="0" w:space="0" w:color="auto"/>
        <w:left w:val="none" w:sz="0" w:space="0" w:color="auto"/>
        <w:bottom w:val="none" w:sz="0" w:space="0" w:color="auto"/>
        <w:right w:val="none" w:sz="0" w:space="0" w:color="auto"/>
      </w:divBdr>
    </w:div>
    <w:div w:id="409231313">
      <w:bodyDiv w:val="1"/>
      <w:marLeft w:val="0"/>
      <w:marRight w:val="0"/>
      <w:marTop w:val="0"/>
      <w:marBottom w:val="0"/>
      <w:divBdr>
        <w:top w:val="none" w:sz="0" w:space="0" w:color="auto"/>
        <w:left w:val="none" w:sz="0" w:space="0" w:color="auto"/>
        <w:bottom w:val="none" w:sz="0" w:space="0" w:color="auto"/>
        <w:right w:val="none" w:sz="0" w:space="0" w:color="auto"/>
      </w:divBdr>
    </w:div>
    <w:div w:id="409351794">
      <w:bodyDiv w:val="1"/>
      <w:marLeft w:val="0"/>
      <w:marRight w:val="0"/>
      <w:marTop w:val="0"/>
      <w:marBottom w:val="0"/>
      <w:divBdr>
        <w:top w:val="none" w:sz="0" w:space="0" w:color="auto"/>
        <w:left w:val="none" w:sz="0" w:space="0" w:color="auto"/>
        <w:bottom w:val="none" w:sz="0" w:space="0" w:color="auto"/>
        <w:right w:val="none" w:sz="0" w:space="0" w:color="auto"/>
      </w:divBdr>
    </w:div>
    <w:div w:id="409813331">
      <w:bodyDiv w:val="1"/>
      <w:marLeft w:val="0"/>
      <w:marRight w:val="0"/>
      <w:marTop w:val="0"/>
      <w:marBottom w:val="0"/>
      <w:divBdr>
        <w:top w:val="none" w:sz="0" w:space="0" w:color="auto"/>
        <w:left w:val="none" w:sz="0" w:space="0" w:color="auto"/>
        <w:bottom w:val="none" w:sz="0" w:space="0" w:color="auto"/>
        <w:right w:val="none" w:sz="0" w:space="0" w:color="auto"/>
      </w:divBdr>
    </w:div>
    <w:div w:id="409931120">
      <w:bodyDiv w:val="1"/>
      <w:marLeft w:val="0"/>
      <w:marRight w:val="0"/>
      <w:marTop w:val="0"/>
      <w:marBottom w:val="0"/>
      <w:divBdr>
        <w:top w:val="none" w:sz="0" w:space="0" w:color="auto"/>
        <w:left w:val="none" w:sz="0" w:space="0" w:color="auto"/>
        <w:bottom w:val="none" w:sz="0" w:space="0" w:color="auto"/>
        <w:right w:val="none" w:sz="0" w:space="0" w:color="auto"/>
      </w:divBdr>
    </w:div>
    <w:div w:id="409934299">
      <w:bodyDiv w:val="1"/>
      <w:marLeft w:val="0"/>
      <w:marRight w:val="0"/>
      <w:marTop w:val="0"/>
      <w:marBottom w:val="0"/>
      <w:divBdr>
        <w:top w:val="none" w:sz="0" w:space="0" w:color="auto"/>
        <w:left w:val="none" w:sz="0" w:space="0" w:color="auto"/>
        <w:bottom w:val="none" w:sz="0" w:space="0" w:color="auto"/>
        <w:right w:val="none" w:sz="0" w:space="0" w:color="auto"/>
      </w:divBdr>
    </w:div>
    <w:div w:id="410007003">
      <w:bodyDiv w:val="1"/>
      <w:marLeft w:val="0"/>
      <w:marRight w:val="0"/>
      <w:marTop w:val="0"/>
      <w:marBottom w:val="0"/>
      <w:divBdr>
        <w:top w:val="none" w:sz="0" w:space="0" w:color="auto"/>
        <w:left w:val="none" w:sz="0" w:space="0" w:color="auto"/>
        <w:bottom w:val="none" w:sz="0" w:space="0" w:color="auto"/>
        <w:right w:val="none" w:sz="0" w:space="0" w:color="auto"/>
      </w:divBdr>
    </w:div>
    <w:div w:id="410084389">
      <w:bodyDiv w:val="1"/>
      <w:marLeft w:val="0"/>
      <w:marRight w:val="0"/>
      <w:marTop w:val="0"/>
      <w:marBottom w:val="0"/>
      <w:divBdr>
        <w:top w:val="none" w:sz="0" w:space="0" w:color="auto"/>
        <w:left w:val="none" w:sz="0" w:space="0" w:color="auto"/>
        <w:bottom w:val="none" w:sz="0" w:space="0" w:color="auto"/>
        <w:right w:val="none" w:sz="0" w:space="0" w:color="auto"/>
      </w:divBdr>
    </w:div>
    <w:div w:id="410276355">
      <w:bodyDiv w:val="1"/>
      <w:marLeft w:val="0"/>
      <w:marRight w:val="0"/>
      <w:marTop w:val="0"/>
      <w:marBottom w:val="0"/>
      <w:divBdr>
        <w:top w:val="none" w:sz="0" w:space="0" w:color="auto"/>
        <w:left w:val="none" w:sz="0" w:space="0" w:color="auto"/>
        <w:bottom w:val="none" w:sz="0" w:space="0" w:color="auto"/>
        <w:right w:val="none" w:sz="0" w:space="0" w:color="auto"/>
      </w:divBdr>
    </w:div>
    <w:div w:id="410396529">
      <w:bodyDiv w:val="1"/>
      <w:marLeft w:val="0"/>
      <w:marRight w:val="0"/>
      <w:marTop w:val="0"/>
      <w:marBottom w:val="0"/>
      <w:divBdr>
        <w:top w:val="none" w:sz="0" w:space="0" w:color="auto"/>
        <w:left w:val="none" w:sz="0" w:space="0" w:color="auto"/>
        <w:bottom w:val="none" w:sz="0" w:space="0" w:color="auto"/>
        <w:right w:val="none" w:sz="0" w:space="0" w:color="auto"/>
      </w:divBdr>
    </w:div>
    <w:div w:id="410584213">
      <w:bodyDiv w:val="1"/>
      <w:marLeft w:val="0"/>
      <w:marRight w:val="0"/>
      <w:marTop w:val="0"/>
      <w:marBottom w:val="0"/>
      <w:divBdr>
        <w:top w:val="none" w:sz="0" w:space="0" w:color="auto"/>
        <w:left w:val="none" w:sz="0" w:space="0" w:color="auto"/>
        <w:bottom w:val="none" w:sz="0" w:space="0" w:color="auto"/>
        <w:right w:val="none" w:sz="0" w:space="0" w:color="auto"/>
      </w:divBdr>
    </w:div>
    <w:div w:id="410811090">
      <w:bodyDiv w:val="1"/>
      <w:marLeft w:val="0"/>
      <w:marRight w:val="0"/>
      <w:marTop w:val="0"/>
      <w:marBottom w:val="0"/>
      <w:divBdr>
        <w:top w:val="none" w:sz="0" w:space="0" w:color="auto"/>
        <w:left w:val="none" w:sz="0" w:space="0" w:color="auto"/>
        <w:bottom w:val="none" w:sz="0" w:space="0" w:color="auto"/>
        <w:right w:val="none" w:sz="0" w:space="0" w:color="auto"/>
      </w:divBdr>
    </w:div>
    <w:div w:id="410857912">
      <w:bodyDiv w:val="1"/>
      <w:marLeft w:val="0"/>
      <w:marRight w:val="0"/>
      <w:marTop w:val="0"/>
      <w:marBottom w:val="0"/>
      <w:divBdr>
        <w:top w:val="none" w:sz="0" w:space="0" w:color="auto"/>
        <w:left w:val="none" w:sz="0" w:space="0" w:color="auto"/>
        <w:bottom w:val="none" w:sz="0" w:space="0" w:color="auto"/>
        <w:right w:val="none" w:sz="0" w:space="0" w:color="auto"/>
      </w:divBdr>
    </w:div>
    <w:div w:id="410858681">
      <w:bodyDiv w:val="1"/>
      <w:marLeft w:val="0"/>
      <w:marRight w:val="0"/>
      <w:marTop w:val="0"/>
      <w:marBottom w:val="0"/>
      <w:divBdr>
        <w:top w:val="none" w:sz="0" w:space="0" w:color="auto"/>
        <w:left w:val="none" w:sz="0" w:space="0" w:color="auto"/>
        <w:bottom w:val="none" w:sz="0" w:space="0" w:color="auto"/>
        <w:right w:val="none" w:sz="0" w:space="0" w:color="auto"/>
      </w:divBdr>
    </w:div>
    <w:div w:id="410977691">
      <w:bodyDiv w:val="1"/>
      <w:marLeft w:val="0"/>
      <w:marRight w:val="0"/>
      <w:marTop w:val="0"/>
      <w:marBottom w:val="0"/>
      <w:divBdr>
        <w:top w:val="none" w:sz="0" w:space="0" w:color="auto"/>
        <w:left w:val="none" w:sz="0" w:space="0" w:color="auto"/>
        <w:bottom w:val="none" w:sz="0" w:space="0" w:color="auto"/>
        <w:right w:val="none" w:sz="0" w:space="0" w:color="auto"/>
      </w:divBdr>
    </w:div>
    <w:div w:id="410978082">
      <w:bodyDiv w:val="1"/>
      <w:marLeft w:val="0"/>
      <w:marRight w:val="0"/>
      <w:marTop w:val="0"/>
      <w:marBottom w:val="0"/>
      <w:divBdr>
        <w:top w:val="none" w:sz="0" w:space="0" w:color="auto"/>
        <w:left w:val="none" w:sz="0" w:space="0" w:color="auto"/>
        <w:bottom w:val="none" w:sz="0" w:space="0" w:color="auto"/>
        <w:right w:val="none" w:sz="0" w:space="0" w:color="auto"/>
      </w:divBdr>
    </w:div>
    <w:div w:id="411048318">
      <w:bodyDiv w:val="1"/>
      <w:marLeft w:val="0"/>
      <w:marRight w:val="0"/>
      <w:marTop w:val="0"/>
      <w:marBottom w:val="0"/>
      <w:divBdr>
        <w:top w:val="none" w:sz="0" w:space="0" w:color="auto"/>
        <w:left w:val="none" w:sz="0" w:space="0" w:color="auto"/>
        <w:bottom w:val="none" w:sz="0" w:space="0" w:color="auto"/>
        <w:right w:val="none" w:sz="0" w:space="0" w:color="auto"/>
      </w:divBdr>
    </w:div>
    <w:div w:id="411126513">
      <w:bodyDiv w:val="1"/>
      <w:marLeft w:val="0"/>
      <w:marRight w:val="0"/>
      <w:marTop w:val="0"/>
      <w:marBottom w:val="0"/>
      <w:divBdr>
        <w:top w:val="none" w:sz="0" w:space="0" w:color="auto"/>
        <w:left w:val="none" w:sz="0" w:space="0" w:color="auto"/>
        <w:bottom w:val="none" w:sz="0" w:space="0" w:color="auto"/>
        <w:right w:val="none" w:sz="0" w:space="0" w:color="auto"/>
      </w:divBdr>
    </w:div>
    <w:div w:id="411197755">
      <w:bodyDiv w:val="1"/>
      <w:marLeft w:val="0"/>
      <w:marRight w:val="0"/>
      <w:marTop w:val="0"/>
      <w:marBottom w:val="0"/>
      <w:divBdr>
        <w:top w:val="none" w:sz="0" w:space="0" w:color="auto"/>
        <w:left w:val="none" w:sz="0" w:space="0" w:color="auto"/>
        <w:bottom w:val="none" w:sz="0" w:space="0" w:color="auto"/>
        <w:right w:val="none" w:sz="0" w:space="0" w:color="auto"/>
      </w:divBdr>
    </w:div>
    <w:div w:id="411242032">
      <w:bodyDiv w:val="1"/>
      <w:marLeft w:val="0"/>
      <w:marRight w:val="0"/>
      <w:marTop w:val="0"/>
      <w:marBottom w:val="0"/>
      <w:divBdr>
        <w:top w:val="none" w:sz="0" w:space="0" w:color="auto"/>
        <w:left w:val="none" w:sz="0" w:space="0" w:color="auto"/>
        <w:bottom w:val="none" w:sz="0" w:space="0" w:color="auto"/>
        <w:right w:val="none" w:sz="0" w:space="0" w:color="auto"/>
      </w:divBdr>
    </w:div>
    <w:div w:id="411316364">
      <w:bodyDiv w:val="1"/>
      <w:marLeft w:val="0"/>
      <w:marRight w:val="0"/>
      <w:marTop w:val="0"/>
      <w:marBottom w:val="0"/>
      <w:divBdr>
        <w:top w:val="none" w:sz="0" w:space="0" w:color="auto"/>
        <w:left w:val="none" w:sz="0" w:space="0" w:color="auto"/>
        <w:bottom w:val="none" w:sz="0" w:space="0" w:color="auto"/>
        <w:right w:val="none" w:sz="0" w:space="0" w:color="auto"/>
      </w:divBdr>
    </w:div>
    <w:div w:id="411438061">
      <w:bodyDiv w:val="1"/>
      <w:marLeft w:val="0"/>
      <w:marRight w:val="0"/>
      <w:marTop w:val="0"/>
      <w:marBottom w:val="0"/>
      <w:divBdr>
        <w:top w:val="none" w:sz="0" w:space="0" w:color="auto"/>
        <w:left w:val="none" w:sz="0" w:space="0" w:color="auto"/>
        <w:bottom w:val="none" w:sz="0" w:space="0" w:color="auto"/>
        <w:right w:val="none" w:sz="0" w:space="0" w:color="auto"/>
      </w:divBdr>
    </w:div>
    <w:div w:id="411703247">
      <w:bodyDiv w:val="1"/>
      <w:marLeft w:val="0"/>
      <w:marRight w:val="0"/>
      <w:marTop w:val="0"/>
      <w:marBottom w:val="0"/>
      <w:divBdr>
        <w:top w:val="none" w:sz="0" w:space="0" w:color="auto"/>
        <w:left w:val="none" w:sz="0" w:space="0" w:color="auto"/>
        <w:bottom w:val="none" w:sz="0" w:space="0" w:color="auto"/>
        <w:right w:val="none" w:sz="0" w:space="0" w:color="auto"/>
      </w:divBdr>
    </w:div>
    <w:div w:id="411704423">
      <w:bodyDiv w:val="1"/>
      <w:marLeft w:val="0"/>
      <w:marRight w:val="0"/>
      <w:marTop w:val="0"/>
      <w:marBottom w:val="0"/>
      <w:divBdr>
        <w:top w:val="none" w:sz="0" w:space="0" w:color="auto"/>
        <w:left w:val="none" w:sz="0" w:space="0" w:color="auto"/>
        <w:bottom w:val="none" w:sz="0" w:space="0" w:color="auto"/>
        <w:right w:val="none" w:sz="0" w:space="0" w:color="auto"/>
      </w:divBdr>
    </w:div>
    <w:div w:id="411780806">
      <w:bodyDiv w:val="1"/>
      <w:marLeft w:val="0"/>
      <w:marRight w:val="0"/>
      <w:marTop w:val="0"/>
      <w:marBottom w:val="0"/>
      <w:divBdr>
        <w:top w:val="none" w:sz="0" w:space="0" w:color="auto"/>
        <w:left w:val="none" w:sz="0" w:space="0" w:color="auto"/>
        <w:bottom w:val="none" w:sz="0" w:space="0" w:color="auto"/>
        <w:right w:val="none" w:sz="0" w:space="0" w:color="auto"/>
      </w:divBdr>
    </w:div>
    <w:div w:id="411897518">
      <w:bodyDiv w:val="1"/>
      <w:marLeft w:val="0"/>
      <w:marRight w:val="0"/>
      <w:marTop w:val="0"/>
      <w:marBottom w:val="0"/>
      <w:divBdr>
        <w:top w:val="none" w:sz="0" w:space="0" w:color="auto"/>
        <w:left w:val="none" w:sz="0" w:space="0" w:color="auto"/>
        <w:bottom w:val="none" w:sz="0" w:space="0" w:color="auto"/>
        <w:right w:val="none" w:sz="0" w:space="0" w:color="auto"/>
      </w:divBdr>
    </w:div>
    <w:div w:id="412239603">
      <w:bodyDiv w:val="1"/>
      <w:marLeft w:val="0"/>
      <w:marRight w:val="0"/>
      <w:marTop w:val="0"/>
      <w:marBottom w:val="0"/>
      <w:divBdr>
        <w:top w:val="none" w:sz="0" w:space="0" w:color="auto"/>
        <w:left w:val="none" w:sz="0" w:space="0" w:color="auto"/>
        <w:bottom w:val="none" w:sz="0" w:space="0" w:color="auto"/>
        <w:right w:val="none" w:sz="0" w:space="0" w:color="auto"/>
      </w:divBdr>
    </w:div>
    <w:div w:id="412313486">
      <w:bodyDiv w:val="1"/>
      <w:marLeft w:val="0"/>
      <w:marRight w:val="0"/>
      <w:marTop w:val="0"/>
      <w:marBottom w:val="0"/>
      <w:divBdr>
        <w:top w:val="none" w:sz="0" w:space="0" w:color="auto"/>
        <w:left w:val="none" w:sz="0" w:space="0" w:color="auto"/>
        <w:bottom w:val="none" w:sz="0" w:space="0" w:color="auto"/>
        <w:right w:val="none" w:sz="0" w:space="0" w:color="auto"/>
      </w:divBdr>
    </w:div>
    <w:div w:id="412316245">
      <w:bodyDiv w:val="1"/>
      <w:marLeft w:val="0"/>
      <w:marRight w:val="0"/>
      <w:marTop w:val="0"/>
      <w:marBottom w:val="0"/>
      <w:divBdr>
        <w:top w:val="none" w:sz="0" w:space="0" w:color="auto"/>
        <w:left w:val="none" w:sz="0" w:space="0" w:color="auto"/>
        <w:bottom w:val="none" w:sz="0" w:space="0" w:color="auto"/>
        <w:right w:val="none" w:sz="0" w:space="0" w:color="auto"/>
      </w:divBdr>
    </w:div>
    <w:div w:id="412318172">
      <w:bodyDiv w:val="1"/>
      <w:marLeft w:val="0"/>
      <w:marRight w:val="0"/>
      <w:marTop w:val="0"/>
      <w:marBottom w:val="0"/>
      <w:divBdr>
        <w:top w:val="none" w:sz="0" w:space="0" w:color="auto"/>
        <w:left w:val="none" w:sz="0" w:space="0" w:color="auto"/>
        <w:bottom w:val="none" w:sz="0" w:space="0" w:color="auto"/>
        <w:right w:val="none" w:sz="0" w:space="0" w:color="auto"/>
      </w:divBdr>
    </w:div>
    <w:div w:id="412358887">
      <w:bodyDiv w:val="1"/>
      <w:marLeft w:val="0"/>
      <w:marRight w:val="0"/>
      <w:marTop w:val="0"/>
      <w:marBottom w:val="0"/>
      <w:divBdr>
        <w:top w:val="none" w:sz="0" w:space="0" w:color="auto"/>
        <w:left w:val="none" w:sz="0" w:space="0" w:color="auto"/>
        <w:bottom w:val="none" w:sz="0" w:space="0" w:color="auto"/>
        <w:right w:val="none" w:sz="0" w:space="0" w:color="auto"/>
      </w:divBdr>
    </w:div>
    <w:div w:id="412631514">
      <w:bodyDiv w:val="1"/>
      <w:marLeft w:val="0"/>
      <w:marRight w:val="0"/>
      <w:marTop w:val="0"/>
      <w:marBottom w:val="0"/>
      <w:divBdr>
        <w:top w:val="none" w:sz="0" w:space="0" w:color="auto"/>
        <w:left w:val="none" w:sz="0" w:space="0" w:color="auto"/>
        <w:bottom w:val="none" w:sz="0" w:space="0" w:color="auto"/>
        <w:right w:val="none" w:sz="0" w:space="0" w:color="auto"/>
      </w:divBdr>
    </w:div>
    <w:div w:id="412897442">
      <w:bodyDiv w:val="1"/>
      <w:marLeft w:val="0"/>
      <w:marRight w:val="0"/>
      <w:marTop w:val="0"/>
      <w:marBottom w:val="0"/>
      <w:divBdr>
        <w:top w:val="none" w:sz="0" w:space="0" w:color="auto"/>
        <w:left w:val="none" w:sz="0" w:space="0" w:color="auto"/>
        <w:bottom w:val="none" w:sz="0" w:space="0" w:color="auto"/>
        <w:right w:val="none" w:sz="0" w:space="0" w:color="auto"/>
      </w:divBdr>
    </w:div>
    <w:div w:id="413010554">
      <w:bodyDiv w:val="1"/>
      <w:marLeft w:val="0"/>
      <w:marRight w:val="0"/>
      <w:marTop w:val="0"/>
      <w:marBottom w:val="0"/>
      <w:divBdr>
        <w:top w:val="none" w:sz="0" w:space="0" w:color="auto"/>
        <w:left w:val="none" w:sz="0" w:space="0" w:color="auto"/>
        <w:bottom w:val="none" w:sz="0" w:space="0" w:color="auto"/>
        <w:right w:val="none" w:sz="0" w:space="0" w:color="auto"/>
      </w:divBdr>
    </w:div>
    <w:div w:id="413161016">
      <w:bodyDiv w:val="1"/>
      <w:marLeft w:val="0"/>
      <w:marRight w:val="0"/>
      <w:marTop w:val="0"/>
      <w:marBottom w:val="0"/>
      <w:divBdr>
        <w:top w:val="none" w:sz="0" w:space="0" w:color="auto"/>
        <w:left w:val="none" w:sz="0" w:space="0" w:color="auto"/>
        <w:bottom w:val="none" w:sz="0" w:space="0" w:color="auto"/>
        <w:right w:val="none" w:sz="0" w:space="0" w:color="auto"/>
      </w:divBdr>
    </w:div>
    <w:div w:id="413354539">
      <w:bodyDiv w:val="1"/>
      <w:marLeft w:val="0"/>
      <w:marRight w:val="0"/>
      <w:marTop w:val="0"/>
      <w:marBottom w:val="0"/>
      <w:divBdr>
        <w:top w:val="none" w:sz="0" w:space="0" w:color="auto"/>
        <w:left w:val="none" w:sz="0" w:space="0" w:color="auto"/>
        <w:bottom w:val="none" w:sz="0" w:space="0" w:color="auto"/>
        <w:right w:val="none" w:sz="0" w:space="0" w:color="auto"/>
      </w:divBdr>
    </w:div>
    <w:div w:id="413361609">
      <w:bodyDiv w:val="1"/>
      <w:marLeft w:val="0"/>
      <w:marRight w:val="0"/>
      <w:marTop w:val="0"/>
      <w:marBottom w:val="0"/>
      <w:divBdr>
        <w:top w:val="none" w:sz="0" w:space="0" w:color="auto"/>
        <w:left w:val="none" w:sz="0" w:space="0" w:color="auto"/>
        <w:bottom w:val="none" w:sz="0" w:space="0" w:color="auto"/>
        <w:right w:val="none" w:sz="0" w:space="0" w:color="auto"/>
      </w:divBdr>
    </w:div>
    <w:div w:id="413430487">
      <w:bodyDiv w:val="1"/>
      <w:marLeft w:val="0"/>
      <w:marRight w:val="0"/>
      <w:marTop w:val="0"/>
      <w:marBottom w:val="0"/>
      <w:divBdr>
        <w:top w:val="none" w:sz="0" w:space="0" w:color="auto"/>
        <w:left w:val="none" w:sz="0" w:space="0" w:color="auto"/>
        <w:bottom w:val="none" w:sz="0" w:space="0" w:color="auto"/>
        <w:right w:val="none" w:sz="0" w:space="0" w:color="auto"/>
      </w:divBdr>
    </w:div>
    <w:div w:id="413474037">
      <w:bodyDiv w:val="1"/>
      <w:marLeft w:val="0"/>
      <w:marRight w:val="0"/>
      <w:marTop w:val="0"/>
      <w:marBottom w:val="0"/>
      <w:divBdr>
        <w:top w:val="none" w:sz="0" w:space="0" w:color="auto"/>
        <w:left w:val="none" w:sz="0" w:space="0" w:color="auto"/>
        <w:bottom w:val="none" w:sz="0" w:space="0" w:color="auto"/>
        <w:right w:val="none" w:sz="0" w:space="0" w:color="auto"/>
      </w:divBdr>
    </w:div>
    <w:div w:id="413668030">
      <w:bodyDiv w:val="1"/>
      <w:marLeft w:val="0"/>
      <w:marRight w:val="0"/>
      <w:marTop w:val="0"/>
      <w:marBottom w:val="0"/>
      <w:divBdr>
        <w:top w:val="none" w:sz="0" w:space="0" w:color="auto"/>
        <w:left w:val="none" w:sz="0" w:space="0" w:color="auto"/>
        <w:bottom w:val="none" w:sz="0" w:space="0" w:color="auto"/>
        <w:right w:val="none" w:sz="0" w:space="0" w:color="auto"/>
      </w:divBdr>
    </w:div>
    <w:div w:id="413891316">
      <w:bodyDiv w:val="1"/>
      <w:marLeft w:val="0"/>
      <w:marRight w:val="0"/>
      <w:marTop w:val="0"/>
      <w:marBottom w:val="0"/>
      <w:divBdr>
        <w:top w:val="none" w:sz="0" w:space="0" w:color="auto"/>
        <w:left w:val="none" w:sz="0" w:space="0" w:color="auto"/>
        <w:bottom w:val="none" w:sz="0" w:space="0" w:color="auto"/>
        <w:right w:val="none" w:sz="0" w:space="0" w:color="auto"/>
      </w:divBdr>
    </w:div>
    <w:div w:id="413935692">
      <w:bodyDiv w:val="1"/>
      <w:marLeft w:val="0"/>
      <w:marRight w:val="0"/>
      <w:marTop w:val="0"/>
      <w:marBottom w:val="0"/>
      <w:divBdr>
        <w:top w:val="none" w:sz="0" w:space="0" w:color="auto"/>
        <w:left w:val="none" w:sz="0" w:space="0" w:color="auto"/>
        <w:bottom w:val="none" w:sz="0" w:space="0" w:color="auto"/>
        <w:right w:val="none" w:sz="0" w:space="0" w:color="auto"/>
      </w:divBdr>
    </w:div>
    <w:div w:id="413937582">
      <w:bodyDiv w:val="1"/>
      <w:marLeft w:val="0"/>
      <w:marRight w:val="0"/>
      <w:marTop w:val="0"/>
      <w:marBottom w:val="0"/>
      <w:divBdr>
        <w:top w:val="none" w:sz="0" w:space="0" w:color="auto"/>
        <w:left w:val="none" w:sz="0" w:space="0" w:color="auto"/>
        <w:bottom w:val="none" w:sz="0" w:space="0" w:color="auto"/>
        <w:right w:val="none" w:sz="0" w:space="0" w:color="auto"/>
      </w:divBdr>
    </w:div>
    <w:div w:id="414088966">
      <w:bodyDiv w:val="1"/>
      <w:marLeft w:val="0"/>
      <w:marRight w:val="0"/>
      <w:marTop w:val="0"/>
      <w:marBottom w:val="0"/>
      <w:divBdr>
        <w:top w:val="none" w:sz="0" w:space="0" w:color="auto"/>
        <w:left w:val="none" w:sz="0" w:space="0" w:color="auto"/>
        <w:bottom w:val="none" w:sz="0" w:space="0" w:color="auto"/>
        <w:right w:val="none" w:sz="0" w:space="0" w:color="auto"/>
      </w:divBdr>
    </w:div>
    <w:div w:id="414397596">
      <w:bodyDiv w:val="1"/>
      <w:marLeft w:val="0"/>
      <w:marRight w:val="0"/>
      <w:marTop w:val="0"/>
      <w:marBottom w:val="0"/>
      <w:divBdr>
        <w:top w:val="none" w:sz="0" w:space="0" w:color="auto"/>
        <w:left w:val="none" w:sz="0" w:space="0" w:color="auto"/>
        <w:bottom w:val="none" w:sz="0" w:space="0" w:color="auto"/>
        <w:right w:val="none" w:sz="0" w:space="0" w:color="auto"/>
      </w:divBdr>
    </w:div>
    <w:div w:id="414471757">
      <w:bodyDiv w:val="1"/>
      <w:marLeft w:val="0"/>
      <w:marRight w:val="0"/>
      <w:marTop w:val="0"/>
      <w:marBottom w:val="0"/>
      <w:divBdr>
        <w:top w:val="none" w:sz="0" w:space="0" w:color="auto"/>
        <w:left w:val="none" w:sz="0" w:space="0" w:color="auto"/>
        <w:bottom w:val="none" w:sz="0" w:space="0" w:color="auto"/>
        <w:right w:val="none" w:sz="0" w:space="0" w:color="auto"/>
      </w:divBdr>
    </w:div>
    <w:div w:id="414523475">
      <w:bodyDiv w:val="1"/>
      <w:marLeft w:val="0"/>
      <w:marRight w:val="0"/>
      <w:marTop w:val="0"/>
      <w:marBottom w:val="0"/>
      <w:divBdr>
        <w:top w:val="none" w:sz="0" w:space="0" w:color="auto"/>
        <w:left w:val="none" w:sz="0" w:space="0" w:color="auto"/>
        <w:bottom w:val="none" w:sz="0" w:space="0" w:color="auto"/>
        <w:right w:val="none" w:sz="0" w:space="0" w:color="auto"/>
      </w:divBdr>
    </w:div>
    <w:div w:id="414667309">
      <w:bodyDiv w:val="1"/>
      <w:marLeft w:val="0"/>
      <w:marRight w:val="0"/>
      <w:marTop w:val="0"/>
      <w:marBottom w:val="0"/>
      <w:divBdr>
        <w:top w:val="none" w:sz="0" w:space="0" w:color="auto"/>
        <w:left w:val="none" w:sz="0" w:space="0" w:color="auto"/>
        <w:bottom w:val="none" w:sz="0" w:space="0" w:color="auto"/>
        <w:right w:val="none" w:sz="0" w:space="0" w:color="auto"/>
      </w:divBdr>
    </w:div>
    <w:div w:id="414742488">
      <w:bodyDiv w:val="1"/>
      <w:marLeft w:val="0"/>
      <w:marRight w:val="0"/>
      <w:marTop w:val="0"/>
      <w:marBottom w:val="0"/>
      <w:divBdr>
        <w:top w:val="none" w:sz="0" w:space="0" w:color="auto"/>
        <w:left w:val="none" w:sz="0" w:space="0" w:color="auto"/>
        <w:bottom w:val="none" w:sz="0" w:space="0" w:color="auto"/>
        <w:right w:val="none" w:sz="0" w:space="0" w:color="auto"/>
      </w:divBdr>
    </w:div>
    <w:div w:id="414865846">
      <w:bodyDiv w:val="1"/>
      <w:marLeft w:val="0"/>
      <w:marRight w:val="0"/>
      <w:marTop w:val="0"/>
      <w:marBottom w:val="0"/>
      <w:divBdr>
        <w:top w:val="none" w:sz="0" w:space="0" w:color="auto"/>
        <w:left w:val="none" w:sz="0" w:space="0" w:color="auto"/>
        <w:bottom w:val="none" w:sz="0" w:space="0" w:color="auto"/>
        <w:right w:val="none" w:sz="0" w:space="0" w:color="auto"/>
      </w:divBdr>
    </w:div>
    <w:div w:id="414977978">
      <w:bodyDiv w:val="1"/>
      <w:marLeft w:val="0"/>
      <w:marRight w:val="0"/>
      <w:marTop w:val="0"/>
      <w:marBottom w:val="0"/>
      <w:divBdr>
        <w:top w:val="none" w:sz="0" w:space="0" w:color="auto"/>
        <w:left w:val="none" w:sz="0" w:space="0" w:color="auto"/>
        <w:bottom w:val="none" w:sz="0" w:space="0" w:color="auto"/>
        <w:right w:val="none" w:sz="0" w:space="0" w:color="auto"/>
      </w:divBdr>
    </w:div>
    <w:div w:id="415051072">
      <w:bodyDiv w:val="1"/>
      <w:marLeft w:val="0"/>
      <w:marRight w:val="0"/>
      <w:marTop w:val="0"/>
      <w:marBottom w:val="0"/>
      <w:divBdr>
        <w:top w:val="none" w:sz="0" w:space="0" w:color="auto"/>
        <w:left w:val="none" w:sz="0" w:space="0" w:color="auto"/>
        <w:bottom w:val="none" w:sz="0" w:space="0" w:color="auto"/>
        <w:right w:val="none" w:sz="0" w:space="0" w:color="auto"/>
      </w:divBdr>
    </w:div>
    <w:div w:id="415131075">
      <w:bodyDiv w:val="1"/>
      <w:marLeft w:val="0"/>
      <w:marRight w:val="0"/>
      <w:marTop w:val="0"/>
      <w:marBottom w:val="0"/>
      <w:divBdr>
        <w:top w:val="none" w:sz="0" w:space="0" w:color="auto"/>
        <w:left w:val="none" w:sz="0" w:space="0" w:color="auto"/>
        <w:bottom w:val="none" w:sz="0" w:space="0" w:color="auto"/>
        <w:right w:val="none" w:sz="0" w:space="0" w:color="auto"/>
      </w:divBdr>
    </w:div>
    <w:div w:id="415174475">
      <w:bodyDiv w:val="1"/>
      <w:marLeft w:val="0"/>
      <w:marRight w:val="0"/>
      <w:marTop w:val="0"/>
      <w:marBottom w:val="0"/>
      <w:divBdr>
        <w:top w:val="none" w:sz="0" w:space="0" w:color="auto"/>
        <w:left w:val="none" w:sz="0" w:space="0" w:color="auto"/>
        <w:bottom w:val="none" w:sz="0" w:space="0" w:color="auto"/>
        <w:right w:val="none" w:sz="0" w:space="0" w:color="auto"/>
      </w:divBdr>
    </w:div>
    <w:div w:id="415328099">
      <w:bodyDiv w:val="1"/>
      <w:marLeft w:val="0"/>
      <w:marRight w:val="0"/>
      <w:marTop w:val="0"/>
      <w:marBottom w:val="0"/>
      <w:divBdr>
        <w:top w:val="none" w:sz="0" w:space="0" w:color="auto"/>
        <w:left w:val="none" w:sz="0" w:space="0" w:color="auto"/>
        <w:bottom w:val="none" w:sz="0" w:space="0" w:color="auto"/>
        <w:right w:val="none" w:sz="0" w:space="0" w:color="auto"/>
      </w:divBdr>
    </w:div>
    <w:div w:id="415395997">
      <w:bodyDiv w:val="1"/>
      <w:marLeft w:val="0"/>
      <w:marRight w:val="0"/>
      <w:marTop w:val="0"/>
      <w:marBottom w:val="0"/>
      <w:divBdr>
        <w:top w:val="none" w:sz="0" w:space="0" w:color="auto"/>
        <w:left w:val="none" w:sz="0" w:space="0" w:color="auto"/>
        <w:bottom w:val="none" w:sz="0" w:space="0" w:color="auto"/>
        <w:right w:val="none" w:sz="0" w:space="0" w:color="auto"/>
      </w:divBdr>
    </w:div>
    <w:div w:id="415439675">
      <w:bodyDiv w:val="1"/>
      <w:marLeft w:val="0"/>
      <w:marRight w:val="0"/>
      <w:marTop w:val="0"/>
      <w:marBottom w:val="0"/>
      <w:divBdr>
        <w:top w:val="none" w:sz="0" w:space="0" w:color="auto"/>
        <w:left w:val="none" w:sz="0" w:space="0" w:color="auto"/>
        <w:bottom w:val="none" w:sz="0" w:space="0" w:color="auto"/>
        <w:right w:val="none" w:sz="0" w:space="0" w:color="auto"/>
      </w:divBdr>
    </w:div>
    <w:div w:id="415445597">
      <w:bodyDiv w:val="1"/>
      <w:marLeft w:val="0"/>
      <w:marRight w:val="0"/>
      <w:marTop w:val="0"/>
      <w:marBottom w:val="0"/>
      <w:divBdr>
        <w:top w:val="none" w:sz="0" w:space="0" w:color="auto"/>
        <w:left w:val="none" w:sz="0" w:space="0" w:color="auto"/>
        <w:bottom w:val="none" w:sz="0" w:space="0" w:color="auto"/>
        <w:right w:val="none" w:sz="0" w:space="0" w:color="auto"/>
      </w:divBdr>
    </w:div>
    <w:div w:id="415513123">
      <w:bodyDiv w:val="1"/>
      <w:marLeft w:val="0"/>
      <w:marRight w:val="0"/>
      <w:marTop w:val="0"/>
      <w:marBottom w:val="0"/>
      <w:divBdr>
        <w:top w:val="none" w:sz="0" w:space="0" w:color="auto"/>
        <w:left w:val="none" w:sz="0" w:space="0" w:color="auto"/>
        <w:bottom w:val="none" w:sz="0" w:space="0" w:color="auto"/>
        <w:right w:val="none" w:sz="0" w:space="0" w:color="auto"/>
      </w:divBdr>
    </w:div>
    <w:div w:id="415592975">
      <w:bodyDiv w:val="1"/>
      <w:marLeft w:val="0"/>
      <w:marRight w:val="0"/>
      <w:marTop w:val="0"/>
      <w:marBottom w:val="0"/>
      <w:divBdr>
        <w:top w:val="none" w:sz="0" w:space="0" w:color="auto"/>
        <w:left w:val="none" w:sz="0" w:space="0" w:color="auto"/>
        <w:bottom w:val="none" w:sz="0" w:space="0" w:color="auto"/>
        <w:right w:val="none" w:sz="0" w:space="0" w:color="auto"/>
      </w:divBdr>
    </w:div>
    <w:div w:id="415636924">
      <w:bodyDiv w:val="1"/>
      <w:marLeft w:val="0"/>
      <w:marRight w:val="0"/>
      <w:marTop w:val="0"/>
      <w:marBottom w:val="0"/>
      <w:divBdr>
        <w:top w:val="none" w:sz="0" w:space="0" w:color="auto"/>
        <w:left w:val="none" w:sz="0" w:space="0" w:color="auto"/>
        <w:bottom w:val="none" w:sz="0" w:space="0" w:color="auto"/>
        <w:right w:val="none" w:sz="0" w:space="0" w:color="auto"/>
      </w:divBdr>
    </w:div>
    <w:div w:id="415708680">
      <w:bodyDiv w:val="1"/>
      <w:marLeft w:val="0"/>
      <w:marRight w:val="0"/>
      <w:marTop w:val="0"/>
      <w:marBottom w:val="0"/>
      <w:divBdr>
        <w:top w:val="none" w:sz="0" w:space="0" w:color="auto"/>
        <w:left w:val="none" w:sz="0" w:space="0" w:color="auto"/>
        <w:bottom w:val="none" w:sz="0" w:space="0" w:color="auto"/>
        <w:right w:val="none" w:sz="0" w:space="0" w:color="auto"/>
      </w:divBdr>
    </w:div>
    <w:div w:id="415715838">
      <w:bodyDiv w:val="1"/>
      <w:marLeft w:val="0"/>
      <w:marRight w:val="0"/>
      <w:marTop w:val="0"/>
      <w:marBottom w:val="0"/>
      <w:divBdr>
        <w:top w:val="none" w:sz="0" w:space="0" w:color="auto"/>
        <w:left w:val="none" w:sz="0" w:space="0" w:color="auto"/>
        <w:bottom w:val="none" w:sz="0" w:space="0" w:color="auto"/>
        <w:right w:val="none" w:sz="0" w:space="0" w:color="auto"/>
      </w:divBdr>
    </w:div>
    <w:div w:id="415781950">
      <w:bodyDiv w:val="1"/>
      <w:marLeft w:val="0"/>
      <w:marRight w:val="0"/>
      <w:marTop w:val="0"/>
      <w:marBottom w:val="0"/>
      <w:divBdr>
        <w:top w:val="none" w:sz="0" w:space="0" w:color="auto"/>
        <w:left w:val="none" w:sz="0" w:space="0" w:color="auto"/>
        <w:bottom w:val="none" w:sz="0" w:space="0" w:color="auto"/>
        <w:right w:val="none" w:sz="0" w:space="0" w:color="auto"/>
      </w:divBdr>
    </w:div>
    <w:div w:id="415788426">
      <w:bodyDiv w:val="1"/>
      <w:marLeft w:val="0"/>
      <w:marRight w:val="0"/>
      <w:marTop w:val="0"/>
      <w:marBottom w:val="0"/>
      <w:divBdr>
        <w:top w:val="none" w:sz="0" w:space="0" w:color="auto"/>
        <w:left w:val="none" w:sz="0" w:space="0" w:color="auto"/>
        <w:bottom w:val="none" w:sz="0" w:space="0" w:color="auto"/>
        <w:right w:val="none" w:sz="0" w:space="0" w:color="auto"/>
      </w:divBdr>
    </w:div>
    <w:div w:id="415833730">
      <w:bodyDiv w:val="1"/>
      <w:marLeft w:val="0"/>
      <w:marRight w:val="0"/>
      <w:marTop w:val="0"/>
      <w:marBottom w:val="0"/>
      <w:divBdr>
        <w:top w:val="none" w:sz="0" w:space="0" w:color="auto"/>
        <w:left w:val="none" w:sz="0" w:space="0" w:color="auto"/>
        <w:bottom w:val="none" w:sz="0" w:space="0" w:color="auto"/>
        <w:right w:val="none" w:sz="0" w:space="0" w:color="auto"/>
      </w:divBdr>
    </w:div>
    <w:div w:id="415905172">
      <w:bodyDiv w:val="1"/>
      <w:marLeft w:val="0"/>
      <w:marRight w:val="0"/>
      <w:marTop w:val="0"/>
      <w:marBottom w:val="0"/>
      <w:divBdr>
        <w:top w:val="none" w:sz="0" w:space="0" w:color="auto"/>
        <w:left w:val="none" w:sz="0" w:space="0" w:color="auto"/>
        <w:bottom w:val="none" w:sz="0" w:space="0" w:color="auto"/>
        <w:right w:val="none" w:sz="0" w:space="0" w:color="auto"/>
      </w:divBdr>
    </w:div>
    <w:div w:id="415980586">
      <w:bodyDiv w:val="1"/>
      <w:marLeft w:val="0"/>
      <w:marRight w:val="0"/>
      <w:marTop w:val="0"/>
      <w:marBottom w:val="0"/>
      <w:divBdr>
        <w:top w:val="none" w:sz="0" w:space="0" w:color="auto"/>
        <w:left w:val="none" w:sz="0" w:space="0" w:color="auto"/>
        <w:bottom w:val="none" w:sz="0" w:space="0" w:color="auto"/>
        <w:right w:val="none" w:sz="0" w:space="0" w:color="auto"/>
      </w:divBdr>
    </w:div>
    <w:div w:id="416564351">
      <w:bodyDiv w:val="1"/>
      <w:marLeft w:val="0"/>
      <w:marRight w:val="0"/>
      <w:marTop w:val="0"/>
      <w:marBottom w:val="0"/>
      <w:divBdr>
        <w:top w:val="none" w:sz="0" w:space="0" w:color="auto"/>
        <w:left w:val="none" w:sz="0" w:space="0" w:color="auto"/>
        <w:bottom w:val="none" w:sz="0" w:space="0" w:color="auto"/>
        <w:right w:val="none" w:sz="0" w:space="0" w:color="auto"/>
      </w:divBdr>
    </w:div>
    <w:div w:id="417487315">
      <w:bodyDiv w:val="1"/>
      <w:marLeft w:val="0"/>
      <w:marRight w:val="0"/>
      <w:marTop w:val="0"/>
      <w:marBottom w:val="0"/>
      <w:divBdr>
        <w:top w:val="none" w:sz="0" w:space="0" w:color="auto"/>
        <w:left w:val="none" w:sz="0" w:space="0" w:color="auto"/>
        <w:bottom w:val="none" w:sz="0" w:space="0" w:color="auto"/>
        <w:right w:val="none" w:sz="0" w:space="0" w:color="auto"/>
      </w:divBdr>
    </w:div>
    <w:div w:id="417555283">
      <w:bodyDiv w:val="1"/>
      <w:marLeft w:val="0"/>
      <w:marRight w:val="0"/>
      <w:marTop w:val="0"/>
      <w:marBottom w:val="0"/>
      <w:divBdr>
        <w:top w:val="none" w:sz="0" w:space="0" w:color="auto"/>
        <w:left w:val="none" w:sz="0" w:space="0" w:color="auto"/>
        <w:bottom w:val="none" w:sz="0" w:space="0" w:color="auto"/>
        <w:right w:val="none" w:sz="0" w:space="0" w:color="auto"/>
      </w:divBdr>
    </w:div>
    <w:div w:id="417674612">
      <w:bodyDiv w:val="1"/>
      <w:marLeft w:val="0"/>
      <w:marRight w:val="0"/>
      <w:marTop w:val="0"/>
      <w:marBottom w:val="0"/>
      <w:divBdr>
        <w:top w:val="none" w:sz="0" w:space="0" w:color="auto"/>
        <w:left w:val="none" w:sz="0" w:space="0" w:color="auto"/>
        <w:bottom w:val="none" w:sz="0" w:space="0" w:color="auto"/>
        <w:right w:val="none" w:sz="0" w:space="0" w:color="auto"/>
      </w:divBdr>
    </w:div>
    <w:div w:id="417676430">
      <w:bodyDiv w:val="1"/>
      <w:marLeft w:val="0"/>
      <w:marRight w:val="0"/>
      <w:marTop w:val="0"/>
      <w:marBottom w:val="0"/>
      <w:divBdr>
        <w:top w:val="none" w:sz="0" w:space="0" w:color="auto"/>
        <w:left w:val="none" w:sz="0" w:space="0" w:color="auto"/>
        <w:bottom w:val="none" w:sz="0" w:space="0" w:color="auto"/>
        <w:right w:val="none" w:sz="0" w:space="0" w:color="auto"/>
      </w:divBdr>
    </w:div>
    <w:div w:id="418215125">
      <w:bodyDiv w:val="1"/>
      <w:marLeft w:val="0"/>
      <w:marRight w:val="0"/>
      <w:marTop w:val="0"/>
      <w:marBottom w:val="0"/>
      <w:divBdr>
        <w:top w:val="none" w:sz="0" w:space="0" w:color="auto"/>
        <w:left w:val="none" w:sz="0" w:space="0" w:color="auto"/>
        <w:bottom w:val="none" w:sz="0" w:space="0" w:color="auto"/>
        <w:right w:val="none" w:sz="0" w:space="0" w:color="auto"/>
      </w:divBdr>
    </w:div>
    <w:div w:id="418332375">
      <w:bodyDiv w:val="1"/>
      <w:marLeft w:val="0"/>
      <w:marRight w:val="0"/>
      <w:marTop w:val="0"/>
      <w:marBottom w:val="0"/>
      <w:divBdr>
        <w:top w:val="none" w:sz="0" w:space="0" w:color="auto"/>
        <w:left w:val="none" w:sz="0" w:space="0" w:color="auto"/>
        <w:bottom w:val="none" w:sz="0" w:space="0" w:color="auto"/>
        <w:right w:val="none" w:sz="0" w:space="0" w:color="auto"/>
      </w:divBdr>
    </w:div>
    <w:div w:id="418453034">
      <w:bodyDiv w:val="1"/>
      <w:marLeft w:val="0"/>
      <w:marRight w:val="0"/>
      <w:marTop w:val="0"/>
      <w:marBottom w:val="0"/>
      <w:divBdr>
        <w:top w:val="none" w:sz="0" w:space="0" w:color="auto"/>
        <w:left w:val="none" w:sz="0" w:space="0" w:color="auto"/>
        <w:bottom w:val="none" w:sz="0" w:space="0" w:color="auto"/>
        <w:right w:val="none" w:sz="0" w:space="0" w:color="auto"/>
      </w:divBdr>
    </w:div>
    <w:div w:id="418672709">
      <w:bodyDiv w:val="1"/>
      <w:marLeft w:val="0"/>
      <w:marRight w:val="0"/>
      <w:marTop w:val="0"/>
      <w:marBottom w:val="0"/>
      <w:divBdr>
        <w:top w:val="none" w:sz="0" w:space="0" w:color="auto"/>
        <w:left w:val="none" w:sz="0" w:space="0" w:color="auto"/>
        <w:bottom w:val="none" w:sz="0" w:space="0" w:color="auto"/>
        <w:right w:val="none" w:sz="0" w:space="0" w:color="auto"/>
      </w:divBdr>
    </w:div>
    <w:div w:id="418676520">
      <w:bodyDiv w:val="1"/>
      <w:marLeft w:val="0"/>
      <w:marRight w:val="0"/>
      <w:marTop w:val="0"/>
      <w:marBottom w:val="0"/>
      <w:divBdr>
        <w:top w:val="none" w:sz="0" w:space="0" w:color="auto"/>
        <w:left w:val="none" w:sz="0" w:space="0" w:color="auto"/>
        <w:bottom w:val="none" w:sz="0" w:space="0" w:color="auto"/>
        <w:right w:val="none" w:sz="0" w:space="0" w:color="auto"/>
      </w:divBdr>
    </w:div>
    <w:div w:id="418912071">
      <w:bodyDiv w:val="1"/>
      <w:marLeft w:val="0"/>
      <w:marRight w:val="0"/>
      <w:marTop w:val="0"/>
      <w:marBottom w:val="0"/>
      <w:divBdr>
        <w:top w:val="none" w:sz="0" w:space="0" w:color="auto"/>
        <w:left w:val="none" w:sz="0" w:space="0" w:color="auto"/>
        <w:bottom w:val="none" w:sz="0" w:space="0" w:color="auto"/>
        <w:right w:val="none" w:sz="0" w:space="0" w:color="auto"/>
      </w:divBdr>
    </w:div>
    <w:div w:id="418984259">
      <w:bodyDiv w:val="1"/>
      <w:marLeft w:val="0"/>
      <w:marRight w:val="0"/>
      <w:marTop w:val="0"/>
      <w:marBottom w:val="0"/>
      <w:divBdr>
        <w:top w:val="none" w:sz="0" w:space="0" w:color="auto"/>
        <w:left w:val="none" w:sz="0" w:space="0" w:color="auto"/>
        <w:bottom w:val="none" w:sz="0" w:space="0" w:color="auto"/>
        <w:right w:val="none" w:sz="0" w:space="0" w:color="auto"/>
      </w:divBdr>
    </w:div>
    <w:div w:id="418988113">
      <w:bodyDiv w:val="1"/>
      <w:marLeft w:val="0"/>
      <w:marRight w:val="0"/>
      <w:marTop w:val="0"/>
      <w:marBottom w:val="0"/>
      <w:divBdr>
        <w:top w:val="none" w:sz="0" w:space="0" w:color="auto"/>
        <w:left w:val="none" w:sz="0" w:space="0" w:color="auto"/>
        <w:bottom w:val="none" w:sz="0" w:space="0" w:color="auto"/>
        <w:right w:val="none" w:sz="0" w:space="0" w:color="auto"/>
      </w:divBdr>
    </w:div>
    <w:div w:id="419183731">
      <w:bodyDiv w:val="1"/>
      <w:marLeft w:val="0"/>
      <w:marRight w:val="0"/>
      <w:marTop w:val="0"/>
      <w:marBottom w:val="0"/>
      <w:divBdr>
        <w:top w:val="none" w:sz="0" w:space="0" w:color="auto"/>
        <w:left w:val="none" w:sz="0" w:space="0" w:color="auto"/>
        <w:bottom w:val="none" w:sz="0" w:space="0" w:color="auto"/>
        <w:right w:val="none" w:sz="0" w:space="0" w:color="auto"/>
      </w:divBdr>
    </w:div>
    <w:div w:id="419449684">
      <w:bodyDiv w:val="1"/>
      <w:marLeft w:val="0"/>
      <w:marRight w:val="0"/>
      <w:marTop w:val="0"/>
      <w:marBottom w:val="0"/>
      <w:divBdr>
        <w:top w:val="none" w:sz="0" w:space="0" w:color="auto"/>
        <w:left w:val="none" w:sz="0" w:space="0" w:color="auto"/>
        <w:bottom w:val="none" w:sz="0" w:space="0" w:color="auto"/>
        <w:right w:val="none" w:sz="0" w:space="0" w:color="auto"/>
      </w:divBdr>
    </w:div>
    <w:div w:id="419570852">
      <w:bodyDiv w:val="1"/>
      <w:marLeft w:val="0"/>
      <w:marRight w:val="0"/>
      <w:marTop w:val="0"/>
      <w:marBottom w:val="0"/>
      <w:divBdr>
        <w:top w:val="none" w:sz="0" w:space="0" w:color="auto"/>
        <w:left w:val="none" w:sz="0" w:space="0" w:color="auto"/>
        <w:bottom w:val="none" w:sz="0" w:space="0" w:color="auto"/>
        <w:right w:val="none" w:sz="0" w:space="0" w:color="auto"/>
      </w:divBdr>
    </w:div>
    <w:div w:id="419715895">
      <w:bodyDiv w:val="1"/>
      <w:marLeft w:val="0"/>
      <w:marRight w:val="0"/>
      <w:marTop w:val="0"/>
      <w:marBottom w:val="0"/>
      <w:divBdr>
        <w:top w:val="none" w:sz="0" w:space="0" w:color="auto"/>
        <w:left w:val="none" w:sz="0" w:space="0" w:color="auto"/>
        <w:bottom w:val="none" w:sz="0" w:space="0" w:color="auto"/>
        <w:right w:val="none" w:sz="0" w:space="0" w:color="auto"/>
      </w:divBdr>
    </w:div>
    <w:div w:id="419758390">
      <w:bodyDiv w:val="1"/>
      <w:marLeft w:val="0"/>
      <w:marRight w:val="0"/>
      <w:marTop w:val="0"/>
      <w:marBottom w:val="0"/>
      <w:divBdr>
        <w:top w:val="none" w:sz="0" w:space="0" w:color="auto"/>
        <w:left w:val="none" w:sz="0" w:space="0" w:color="auto"/>
        <w:bottom w:val="none" w:sz="0" w:space="0" w:color="auto"/>
        <w:right w:val="none" w:sz="0" w:space="0" w:color="auto"/>
      </w:divBdr>
    </w:div>
    <w:div w:id="420494475">
      <w:bodyDiv w:val="1"/>
      <w:marLeft w:val="0"/>
      <w:marRight w:val="0"/>
      <w:marTop w:val="0"/>
      <w:marBottom w:val="0"/>
      <w:divBdr>
        <w:top w:val="none" w:sz="0" w:space="0" w:color="auto"/>
        <w:left w:val="none" w:sz="0" w:space="0" w:color="auto"/>
        <w:bottom w:val="none" w:sz="0" w:space="0" w:color="auto"/>
        <w:right w:val="none" w:sz="0" w:space="0" w:color="auto"/>
      </w:divBdr>
    </w:div>
    <w:div w:id="420762085">
      <w:bodyDiv w:val="1"/>
      <w:marLeft w:val="0"/>
      <w:marRight w:val="0"/>
      <w:marTop w:val="0"/>
      <w:marBottom w:val="0"/>
      <w:divBdr>
        <w:top w:val="none" w:sz="0" w:space="0" w:color="auto"/>
        <w:left w:val="none" w:sz="0" w:space="0" w:color="auto"/>
        <w:bottom w:val="none" w:sz="0" w:space="0" w:color="auto"/>
        <w:right w:val="none" w:sz="0" w:space="0" w:color="auto"/>
      </w:divBdr>
    </w:div>
    <w:div w:id="420806799">
      <w:bodyDiv w:val="1"/>
      <w:marLeft w:val="0"/>
      <w:marRight w:val="0"/>
      <w:marTop w:val="0"/>
      <w:marBottom w:val="0"/>
      <w:divBdr>
        <w:top w:val="none" w:sz="0" w:space="0" w:color="auto"/>
        <w:left w:val="none" w:sz="0" w:space="0" w:color="auto"/>
        <w:bottom w:val="none" w:sz="0" w:space="0" w:color="auto"/>
        <w:right w:val="none" w:sz="0" w:space="0" w:color="auto"/>
      </w:divBdr>
    </w:div>
    <w:div w:id="420831588">
      <w:bodyDiv w:val="1"/>
      <w:marLeft w:val="0"/>
      <w:marRight w:val="0"/>
      <w:marTop w:val="0"/>
      <w:marBottom w:val="0"/>
      <w:divBdr>
        <w:top w:val="none" w:sz="0" w:space="0" w:color="auto"/>
        <w:left w:val="none" w:sz="0" w:space="0" w:color="auto"/>
        <w:bottom w:val="none" w:sz="0" w:space="0" w:color="auto"/>
        <w:right w:val="none" w:sz="0" w:space="0" w:color="auto"/>
      </w:divBdr>
    </w:div>
    <w:div w:id="420832320">
      <w:bodyDiv w:val="1"/>
      <w:marLeft w:val="0"/>
      <w:marRight w:val="0"/>
      <w:marTop w:val="0"/>
      <w:marBottom w:val="0"/>
      <w:divBdr>
        <w:top w:val="none" w:sz="0" w:space="0" w:color="auto"/>
        <w:left w:val="none" w:sz="0" w:space="0" w:color="auto"/>
        <w:bottom w:val="none" w:sz="0" w:space="0" w:color="auto"/>
        <w:right w:val="none" w:sz="0" w:space="0" w:color="auto"/>
      </w:divBdr>
    </w:div>
    <w:div w:id="420952962">
      <w:bodyDiv w:val="1"/>
      <w:marLeft w:val="0"/>
      <w:marRight w:val="0"/>
      <w:marTop w:val="0"/>
      <w:marBottom w:val="0"/>
      <w:divBdr>
        <w:top w:val="none" w:sz="0" w:space="0" w:color="auto"/>
        <w:left w:val="none" w:sz="0" w:space="0" w:color="auto"/>
        <w:bottom w:val="none" w:sz="0" w:space="0" w:color="auto"/>
        <w:right w:val="none" w:sz="0" w:space="0" w:color="auto"/>
      </w:divBdr>
    </w:div>
    <w:div w:id="421033148">
      <w:bodyDiv w:val="1"/>
      <w:marLeft w:val="0"/>
      <w:marRight w:val="0"/>
      <w:marTop w:val="0"/>
      <w:marBottom w:val="0"/>
      <w:divBdr>
        <w:top w:val="none" w:sz="0" w:space="0" w:color="auto"/>
        <w:left w:val="none" w:sz="0" w:space="0" w:color="auto"/>
        <w:bottom w:val="none" w:sz="0" w:space="0" w:color="auto"/>
        <w:right w:val="none" w:sz="0" w:space="0" w:color="auto"/>
      </w:divBdr>
    </w:div>
    <w:div w:id="421296059">
      <w:bodyDiv w:val="1"/>
      <w:marLeft w:val="0"/>
      <w:marRight w:val="0"/>
      <w:marTop w:val="0"/>
      <w:marBottom w:val="0"/>
      <w:divBdr>
        <w:top w:val="none" w:sz="0" w:space="0" w:color="auto"/>
        <w:left w:val="none" w:sz="0" w:space="0" w:color="auto"/>
        <w:bottom w:val="none" w:sz="0" w:space="0" w:color="auto"/>
        <w:right w:val="none" w:sz="0" w:space="0" w:color="auto"/>
      </w:divBdr>
    </w:div>
    <w:div w:id="421537928">
      <w:bodyDiv w:val="1"/>
      <w:marLeft w:val="0"/>
      <w:marRight w:val="0"/>
      <w:marTop w:val="0"/>
      <w:marBottom w:val="0"/>
      <w:divBdr>
        <w:top w:val="none" w:sz="0" w:space="0" w:color="auto"/>
        <w:left w:val="none" w:sz="0" w:space="0" w:color="auto"/>
        <w:bottom w:val="none" w:sz="0" w:space="0" w:color="auto"/>
        <w:right w:val="none" w:sz="0" w:space="0" w:color="auto"/>
      </w:divBdr>
    </w:div>
    <w:div w:id="421679536">
      <w:bodyDiv w:val="1"/>
      <w:marLeft w:val="0"/>
      <w:marRight w:val="0"/>
      <w:marTop w:val="0"/>
      <w:marBottom w:val="0"/>
      <w:divBdr>
        <w:top w:val="none" w:sz="0" w:space="0" w:color="auto"/>
        <w:left w:val="none" w:sz="0" w:space="0" w:color="auto"/>
        <w:bottom w:val="none" w:sz="0" w:space="0" w:color="auto"/>
        <w:right w:val="none" w:sz="0" w:space="0" w:color="auto"/>
      </w:divBdr>
    </w:div>
    <w:div w:id="421754591">
      <w:bodyDiv w:val="1"/>
      <w:marLeft w:val="0"/>
      <w:marRight w:val="0"/>
      <w:marTop w:val="0"/>
      <w:marBottom w:val="0"/>
      <w:divBdr>
        <w:top w:val="none" w:sz="0" w:space="0" w:color="auto"/>
        <w:left w:val="none" w:sz="0" w:space="0" w:color="auto"/>
        <w:bottom w:val="none" w:sz="0" w:space="0" w:color="auto"/>
        <w:right w:val="none" w:sz="0" w:space="0" w:color="auto"/>
      </w:divBdr>
    </w:div>
    <w:div w:id="421803889">
      <w:bodyDiv w:val="1"/>
      <w:marLeft w:val="0"/>
      <w:marRight w:val="0"/>
      <w:marTop w:val="0"/>
      <w:marBottom w:val="0"/>
      <w:divBdr>
        <w:top w:val="none" w:sz="0" w:space="0" w:color="auto"/>
        <w:left w:val="none" w:sz="0" w:space="0" w:color="auto"/>
        <w:bottom w:val="none" w:sz="0" w:space="0" w:color="auto"/>
        <w:right w:val="none" w:sz="0" w:space="0" w:color="auto"/>
      </w:divBdr>
    </w:div>
    <w:div w:id="421951138">
      <w:bodyDiv w:val="1"/>
      <w:marLeft w:val="0"/>
      <w:marRight w:val="0"/>
      <w:marTop w:val="0"/>
      <w:marBottom w:val="0"/>
      <w:divBdr>
        <w:top w:val="none" w:sz="0" w:space="0" w:color="auto"/>
        <w:left w:val="none" w:sz="0" w:space="0" w:color="auto"/>
        <w:bottom w:val="none" w:sz="0" w:space="0" w:color="auto"/>
        <w:right w:val="none" w:sz="0" w:space="0" w:color="auto"/>
      </w:divBdr>
    </w:div>
    <w:div w:id="422144597">
      <w:bodyDiv w:val="1"/>
      <w:marLeft w:val="0"/>
      <w:marRight w:val="0"/>
      <w:marTop w:val="0"/>
      <w:marBottom w:val="0"/>
      <w:divBdr>
        <w:top w:val="none" w:sz="0" w:space="0" w:color="auto"/>
        <w:left w:val="none" w:sz="0" w:space="0" w:color="auto"/>
        <w:bottom w:val="none" w:sz="0" w:space="0" w:color="auto"/>
        <w:right w:val="none" w:sz="0" w:space="0" w:color="auto"/>
      </w:divBdr>
    </w:div>
    <w:div w:id="422340860">
      <w:bodyDiv w:val="1"/>
      <w:marLeft w:val="0"/>
      <w:marRight w:val="0"/>
      <w:marTop w:val="0"/>
      <w:marBottom w:val="0"/>
      <w:divBdr>
        <w:top w:val="none" w:sz="0" w:space="0" w:color="auto"/>
        <w:left w:val="none" w:sz="0" w:space="0" w:color="auto"/>
        <w:bottom w:val="none" w:sz="0" w:space="0" w:color="auto"/>
        <w:right w:val="none" w:sz="0" w:space="0" w:color="auto"/>
      </w:divBdr>
    </w:div>
    <w:div w:id="422453116">
      <w:bodyDiv w:val="1"/>
      <w:marLeft w:val="0"/>
      <w:marRight w:val="0"/>
      <w:marTop w:val="0"/>
      <w:marBottom w:val="0"/>
      <w:divBdr>
        <w:top w:val="none" w:sz="0" w:space="0" w:color="auto"/>
        <w:left w:val="none" w:sz="0" w:space="0" w:color="auto"/>
        <w:bottom w:val="none" w:sz="0" w:space="0" w:color="auto"/>
        <w:right w:val="none" w:sz="0" w:space="0" w:color="auto"/>
      </w:divBdr>
    </w:div>
    <w:div w:id="422453302">
      <w:bodyDiv w:val="1"/>
      <w:marLeft w:val="0"/>
      <w:marRight w:val="0"/>
      <w:marTop w:val="0"/>
      <w:marBottom w:val="0"/>
      <w:divBdr>
        <w:top w:val="none" w:sz="0" w:space="0" w:color="auto"/>
        <w:left w:val="none" w:sz="0" w:space="0" w:color="auto"/>
        <w:bottom w:val="none" w:sz="0" w:space="0" w:color="auto"/>
        <w:right w:val="none" w:sz="0" w:space="0" w:color="auto"/>
      </w:divBdr>
    </w:div>
    <w:div w:id="422804846">
      <w:bodyDiv w:val="1"/>
      <w:marLeft w:val="0"/>
      <w:marRight w:val="0"/>
      <w:marTop w:val="0"/>
      <w:marBottom w:val="0"/>
      <w:divBdr>
        <w:top w:val="none" w:sz="0" w:space="0" w:color="auto"/>
        <w:left w:val="none" w:sz="0" w:space="0" w:color="auto"/>
        <w:bottom w:val="none" w:sz="0" w:space="0" w:color="auto"/>
        <w:right w:val="none" w:sz="0" w:space="0" w:color="auto"/>
      </w:divBdr>
    </w:div>
    <w:div w:id="423114456">
      <w:bodyDiv w:val="1"/>
      <w:marLeft w:val="0"/>
      <w:marRight w:val="0"/>
      <w:marTop w:val="0"/>
      <w:marBottom w:val="0"/>
      <w:divBdr>
        <w:top w:val="none" w:sz="0" w:space="0" w:color="auto"/>
        <w:left w:val="none" w:sz="0" w:space="0" w:color="auto"/>
        <w:bottom w:val="none" w:sz="0" w:space="0" w:color="auto"/>
        <w:right w:val="none" w:sz="0" w:space="0" w:color="auto"/>
      </w:divBdr>
    </w:div>
    <w:div w:id="423456923">
      <w:bodyDiv w:val="1"/>
      <w:marLeft w:val="0"/>
      <w:marRight w:val="0"/>
      <w:marTop w:val="0"/>
      <w:marBottom w:val="0"/>
      <w:divBdr>
        <w:top w:val="none" w:sz="0" w:space="0" w:color="auto"/>
        <w:left w:val="none" w:sz="0" w:space="0" w:color="auto"/>
        <w:bottom w:val="none" w:sz="0" w:space="0" w:color="auto"/>
        <w:right w:val="none" w:sz="0" w:space="0" w:color="auto"/>
      </w:divBdr>
    </w:div>
    <w:div w:id="423571337">
      <w:bodyDiv w:val="1"/>
      <w:marLeft w:val="0"/>
      <w:marRight w:val="0"/>
      <w:marTop w:val="0"/>
      <w:marBottom w:val="0"/>
      <w:divBdr>
        <w:top w:val="none" w:sz="0" w:space="0" w:color="auto"/>
        <w:left w:val="none" w:sz="0" w:space="0" w:color="auto"/>
        <w:bottom w:val="none" w:sz="0" w:space="0" w:color="auto"/>
        <w:right w:val="none" w:sz="0" w:space="0" w:color="auto"/>
      </w:divBdr>
    </w:div>
    <w:div w:id="423575191">
      <w:bodyDiv w:val="1"/>
      <w:marLeft w:val="0"/>
      <w:marRight w:val="0"/>
      <w:marTop w:val="0"/>
      <w:marBottom w:val="0"/>
      <w:divBdr>
        <w:top w:val="none" w:sz="0" w:space="0" w:color="auto"/>
        <w:left w:val="none" w:sz="0" w:space="0" w:color="auto"/>
        <w:bottom w:val="none" w:sz="0" w:space="0" w:color="auto"/>
        <w:right w:val="none" w:sz="0" w:space="0" w:color="auto"/>
      </w:divBdr>
    </w:div>
    <w:div w:id="423690356">
      <w:bodyDiv w:val="1"/>
      <w:marLeft w:val="0"/>
      <w:marRight w:val="0"/>
      <w:marTop w:val="0"/>
      <w:marBottom w:val="0"/>
      <w:divBdr>
        <w:top w:val="none" w:sz="0" w:space="0" w:color="auto"/>
        <w:left w:val="none" w:sz="0" w:space="0" w:color="auto"/>
        <w:bottom w:val="none" w:sz="0" w:space="0" w:color="auto"/>
        <w:right w:val="none" w:sz="0" w:space="0" w:color="auto"/>
      </w:divBdr>
    </w:div>
    <w:div w:id="423917663">
      <w:bodyDiv w:val="1"/>
      <w:marLeft w:val="0"/>
      <w:marRight w:val="0"/>
      <w:marTop w:val="0"/>
      <w:marBottom w:val="0"/>
      <w:divBdr>
        <w:top w:val="none" w:sz="0" w:space="0" w:color="auto"/>
        <w:left w:val="none" w:sz="0" w:space="0" w:color="auto"/>
        <w:bottom w:val="none" w:sz="0" w:space="0" w:color="auto"/>
        <w:right w:val="none" w:sz="0" w:space="0" w:color="auto"/>
      </w:divBdr>
    </w:div>
    <w:div w:id="423919552">
      <w:bodyDiv w:val="1"/>
      <w:marLeft w:val="0"/>
      <w:marRight w:val="0"/>
      <w:marTop w:val="0"/>
      <w:marBottom w:val="0"/>
      <w:divBdr>
        <w:top w:val="none" w:sz="0" w:space="0" w:color="auto"/>
        <w:left w:val="none" w:sz="0" w:space="0" w:color="auto"/>
        <w:bottom w:val="none" w:sz="0" w:space="0" w:color="auto"/>
        <w:right w:val="none" w:sz="0" w:space="0" w:color="auto"/>
      </w:divBdr>
    </w:div>
    <w:div w:id="424151739">
      <w:bodyDiv w:val="1"/>
      <w:marLeft w:val="0"/>
      <w:marRight w:val="0"/>
      <w:marTop w:val="0"/>
      <w:marBottom w:val="0"/>
      <w:divBdr>
        <w:top w:val="none" w:sz="0" w:space="0" w:color="auto"/>
        <w:left w:val="none" w:sz="0" w:space="0" w:color="auto"/>
        <w:bottom w:val="none" w:sz="0" w:space="0" w:color="auto"/>
        <w:right w:val="none" w:sz="0" w:space="0" w:color="auto"/>
      </w:divBdr>
    </w:div>
    <w:div w:id="424234140">
      <w:bodyDiv w:val="1"/>
      <w:marLeft w:val="0"/>
      <w:marRight w:val="0"/>
      <w:marTop w:val="0"/>
      <w:marBottom w:val="0"/>
      <w:divBdr>
        <w:top w:val="none" w:sz="0" w:space="0" w:color="auto"/>
        <w:left w:val="none" w:sz="0" w:space="0" w:color="auto"/>
        <w:bottom w:val="none" w:sz="0" w:space="0" w:color="auto"/>
        <w:right w:val="none" w:sz="0" w:space="0" w:color="auto"/>
      </w:divBdr>
    </w:div>
    <w:div w:id="424420368">
      <w:bodyDiv w:val="1"/>
      <w:marLeft w:val="0"/>
      <w:marRight w:val="0"/>
      <w:marTop w:val="0"/>
      <w:marBottom w:val="0"/>
      <w:divBdr>
        <w:top w:val="none" w:sz="0" w:space="0" w:color="auto"/>
        <w:left w:val="none" w:sz="0" w:space="0" w:color="auto"/>
        <w:bottom w:val="none" w:sz="0" w:space="0" w:color="auto"/>
        <w:right w:val="none" w:sz="0" w:space="0" w:color="auto"/>
      </w:divBdr>
    </w:div>
    <w:div w:id="424568986">
      <w:bodyDiv w:val="1"/>
      <w:marLeft w:val="0"/>
      <w:marRight w:val="0"/>
      <w:marTop w:val="0"/>
      <w:marBottom w:val="0"/>
      <w:divBdr>
        <w:top w:val="none" w:sz="0" w:space="0" w:color="auto"/>
        <w:left w:val="none" w:sz="0" w:space="0" w:color="auto"/>
        <w:bottom w:val="none" w:sz="0" w:space="0" w:color="auto"/>
        <w:right w:val="none" w:sz="0" w:space="0" w:color="auto"/>
      </w:divBdr>
    </w:div>
    <w:div w:id="424569601">
      <w:bodyDiv w:val="1"/>
      <w:marLeft w:val="0"/>
      <w:marRight w:val="0"/>
      <w:marTop w:val="0"/>
      <w:marBottom w:val="0"/>
      <w:divBdr>
        <w:top w:val="none" w:sz="0" w:space="0" w:color="auto"/>
        <w:left w:val="none" w:sz="0" w:space="0" w:color="auto"/>
        <w:bottom w:val="none" w:sz="0" w:space="0" w:color="auto"/>
        <w:right w:val="none" w:sz="0" w:space="0" w:color="auto"/>
      </w:divBdr>
    </w:div>
    <w:div w:id="424813916">
      <w:bodyDiv w:val="1"/>
      <w:marLeft w:val="0"/>
      <w:marRight w:val="0"/>
      <w:marTop w:val="0"/>
      <w:marBottom w:val="0"/>
      <w:divBdr>
        <w:top w:val="none" w:sz="0" w:space="0" w:color="auto"/>
        <w:left w:val="none" w:sz="0" w:space="0" w:color="auto"/>
        <w:bottom w:val="none" w:sz="0" w:space="0" w:color="auto"/>
        <w:right w:val="none" w:sz="0" w:space="0" w:color="auto"/>
      </w:divBdr>
    </w:div>
    <w:div w:id="425082976">
      <w:bodyDiv w:val="1"/>
      <w:marLeft w:val="0"/>
      <w:marRight w:val="0"/>
      <w:marTop w:val="0"/>
      <w:marBottom w:val="0"/>
      <w:divBdr>
        <w:top w:val="none" w:sz="0" w:space="0" w:color="auto"/>
        <w:left w:val="none" w:sz="0" w:space="0" w:color="auto"/>
        <w:bottom w:val="none" w:sz="0" w:space="0" w:color="auto"/>
        <w:right w:val="none" w:sz="0" w:space="0" w:color="auto"/>
      </w:divBdr>
    </w:div>
    <w:div w:id="425156818">
      <w:bodyDiv w:val="1"/>
      <w:marLeft w:val="0"/>
      <w:marRight w:val="0"/>
      <w:marTop w:val="0"/>
      <w:marBottom w:val="0"/>
      <w:divBdr>
        <w:top w:val="none" w:sz="0" w:space="0" w:color="auto"/>
        <w:left w:val="none" w:sz="0" w:space="0" w:color="auto"/>
        <w:bottom w:val="none" w:sz="0" w:space="0" w:color="auto"/>
        <w:right w:val="none" w:sz="0" w:space="0" w:color="auto"/>
      </w:divBdr>
    </w:div>
    <w:div w:id="425426596">
      <w:bodyDiv w:val="1"/>
      <w:marLeft w:val="0"/>
      <w:marRight w:val="0"/>
      <w:marTop w:val="0"/>
      <w:marBottom w:val="0"/>
      <w:divBdr>
        <w:top w:val="none" w:sz="0" w:space="0" w:color="auto"/>
        <w:left w:val="none" w:sz="0" w:space="0" w:color="auto"/>
        <w:bottom w:val="none" w:sz="0" w:space="0" w:color="auto"/>
        <w:right w:val="none" w:sz="0" w:space="0" w:color="auto"/>
      </w:divBdr>
    </w:div>
    <w:div w:id="425535408">
      <w:bodyDiv w:val="1"/>
      <w:marLeft w:val="0"/>
      <w:marRight w:val="0"/>
      <w:marTop w:val="0"/>
      <w:marBottom w:val="0"/>
      <w:divBdr>
        <w:top w:val="none" w:sz="0" w:space="0" w:color="auto"/>
        <w:left w:val="none" w:sz="0" w:space="0" w:color="auto"/>
        <w:bottom w:val="none" w:sz="0" w:space="0" w:color="auto"/>
        <w:right w:val="none" w:sz="0" w:space="0" w:color="auto"/>
      </w:divBdr>
    </w:div>
    <w:div w:id="425543668">
      <w:bodyDiv w:val="1"/>
      <w:marLeft w:val="0"/>
      <w:marRight w:val="0"/>
      <w:marTop w:val="0"/>
      <w:marBottom w:val="0"/>
      <w:divBdr>
        <w:top w:val="none" w:sz="0" w:space="0" w:color="auto"/>
        <w:left w:val="none" w:sz="0" w:space="0" w:color="auto"/>
        <w:bottom w:val="none" w:sz="0" w:space="0" w:color="auto"/>
        <w:right w:val="none" w:sz="0" w:space="0" w:color="auto"/>
      </w:divBdr>
    </w:div>
    <w:div w:id="425806039">
      <w:bodyDiv w:val="1"/>
      <w:marLeft w:val="0"/>
      <w:marRight w:val="0"/>
      <w:marTop w:val="0"/>
      <w:marBottom w:val="0"/>
      <w:divBdr>
        <w:top w:val="none" w:sz="0" w:space="0" w:color="auto"/>
        <w:left w:val="none" w:sz="0" w:space="0" w:color="auto"/>
        <w:bottom w:val="none" w:sz="0" w:space="0" w:color="auto"/>
        <w:right w:val="none" w:sz="0" w:space="0" w:color="auto"/>
      </w:divBdr>
    </w:div>
    <w:div w:id="425927434">
      <w:bodyDiv w:val="1"/>
      <w:marLeft w:val="0"/>
      <w:marRight w:val="0"/>
      <w:marTop w:val="0"/>
      <w:marBottom w:val="0"/>
      <w:divBdr>
        <w:top w:val="none" w:sz="0" w:space="0" w:color="auto"/>
        <w:left w:val="none" w:sz="0" w:space="0" w:color="auto"/>
        <w:bottom w:val="none" w:sz="0" w:space="0" w:color="auto"/>
        <w:right w:val="none" w:sz="0" w:space="0" w:color="auto"/>
      </w:divBdr>
    </w:div>
    <w:div w:id="426002898">
      <w:bodyDiv w:val="1"/>
      <w:marLeft w:val="0"/>
      <w:marRight w:val="0"/>
      <w:marTop w:val="0"/>
      <w:marBottom w:val="0"/>
      <w:divBdr>
        <w:top w:val="none" w:sz="0" w:space="0" w:color="auto"/>
        <w:left w:val="none" w:sz="0" w:space="0" w:color="auto"/>
        <w:bottom w:val="none" w:sz="0" w:space="0" w:color="auto"/>
        <w:right w:val="none" w:sz="0" w:space="0" w:color="auto"/>
      </w:divBdr>
    </w:div>
    <w:div w:id="426006976">
      <w:bodyDiv w:val="1"/>
      <w:marLeft w:val="0"/>
      <w:marRight w:val="0"/>
      <w:marTop w:val="0"/>
      <w:marBottom w:val="0"/>
      <w:divBdr>
        <w:top w:val="none" w:sz="0" w:space="0" w:color="auto"/>
        <w:left w:val="none" w:sz="0" w:space="0" w:color="auto"/>
        <w:bottom w:val="none" w:sz="0" w:space="0" w:color="auto"/>
        <w:right w:val="none" w:sz="0" w:space="0" w:color="auto"/>
      </w:divBdr>
    </w:div>
    <w:div w:id="426073016">
      <w:bodyDiv w:val="1"/>
      <w:marLeft w:val="0"/>
      <w:marRight w:val="0"/>
      <w:marTop w:val="0"/>
      <w:marBottom w:val="0"/>
      <w:divBdr>
        <w:top w:val="none" w:sz="0" w:space="0" w:color="auto"/>
        <w:left w:val="none" w:sz="0" w:space="0" w:color="auto"/>
        <w:bottom w:val="none" w:sz="0" w:space="0" w:color="auto"/>
        <w:right w:val="none" w:sz="0" w:space="0" w:color="auto"/>
      </w:divBdr>
    </w:div>
    <w:div w:id="426124279">
      <w:bodyDiv w:val="1"/>
      <w:marLeft w:val="0"/>
      <w:marRight w:val="0"/>
      <w:marTop w:val="0"/>
      <w:marBottom w:val="0"/>
      <w:divBdr>
        <w:top w:val="none" w:sz="0" w:space="0" w:color="auto"/>
        <w:left w:val="none" w:sz="0" w:space="0" w:color="auto"/>
        <w:bottom w:val="none" w:sz="0" w:space="0" w:color="auto"/>
        <w:right w:val="none" w:sz="0" w:space="0" w:color="auto"/>
      </w:divBdr>
    </w:div>
    <w:div w:id="426268515">
      <w:bodyDiv w:val="1"/>
      <w:marLeft w:val="0"/>
      <w:marRight w:val="0"/>
      <w:marTop w:val="0"/>
      <w:marBottom w:val="0"/>
      <w:divBdr>
        <w:top w:val="none" w:sz="0" w:space="0" w:color="auto"/>
        <w:left w:val="none" w:sz="0" w:space="0" w:color="auto"/>
        <w:bottom w:val="none" w:sz="0" w:space="0" w:color="auto"/>
        <w:right w:val="none" w:sz="0" w:space="0" w:color="auto"/>
      </w:divBdr>
    </w:div>
    <w:div w:id="426314840">
      <w:bodyDiv w:val="1"/>
      <w:marLeft w:val="0"/>
      <w:marRight w:val="0"/>
      <w:marTop w:val="0"/>
      <w:marBottom w:val="0"/>
      <w:divBdr>
        <w:top w:val="none" w:sz="0" w:space="0" w:color="auto"/>
        <w:left w:val="none" w:sz="0" w:space="0" w:color="auto"/>
        <w:bottom w:val="none" w:sz="0" w:space="0" w:color="auto"/>
        <w:right w:val="none" w:sz="0" w:space="0" w:color="auto"/>
      </w:divBdr>
    </w:div>
    <w:div w:id="426730697">
      <w:bodyDiv w:val="1"/>
      <w:marLeft w:val="0"/>
      <w:marRight w:val="0"/>
      <w:marTop w:val="0"/>
      <w:marBottom w:val="0"/>
      <w:divBdr>
        <w:top w:val="none" w:sz="0" w:space="0" w:color="auto"/>
        <w:left w:val="none" w:sz="0" w:space="0" w:color="auto"/>
        <w:bottom w:val="none" w:sz="0" w:space="0" w:color="auto"/>
        <w:right w:val="none" w:sz="0" w:space="0" w:color="auto"/>
      </w:divBdr>
    </w:div>
    <w:div w:id="426734792">
      <w:bodyDiv w:val="1"/>
      <w:marLeft w:val="0"/>
      <w:marRight w:val="0"/>
      <w:marTop w:val="0"/>
      <w:marBottom w:val="0"/>
      <w:divBdr>
        <w:top w:val="none" w:sz="0" w:space="0" w:color="auto"/>
        <w:left w:val="none" w:sz="0" w:space="0" w:color="auto"/>
        <w:bottom w:val="none" w:sz="0" w:space="0" w:color="auto"/>
        <w:right w:val="none" w:sz="0" w:space="0" w:color="auto"/>
      </w:divBdr>
    </w:div>
    <w:div w:id="426998113">
      <w:bodyDiv w:val="1"/>
      <w:marLeft w:val="0"/>
      <w:marRight w:val="0"/>
      <w:marTop w:val="0"/>
      <w:marBottom w:val="0"/>
      <w:divBdr>
        <w:top w:val="none" w:sz="0" w:space="0" w:color="auto"/>
        <w:left w:val="none" w:sz="0" w:space="0" w:color="auto"/>
        <w:bottom w:val="none" w:sz="0" w:space="0" w:color="auto"/>
        <w:right w:val="none" w:sz="0" w:space="0" w:color="auto"/>
      </w:divBdr>
    </w:div>
    <w:div w:id="427043689">
      <w:bodyDiv w:val="1"/>
      <w:marLeft w:val="0"/>
      <w:marRight w:val="0"/>
      <w:marTop w:val="0"/>
      <w:marBottom w:val="0"/>
      <w:divBdr>
        <w:top w:val="none" w:sz="0" w:space="0" w:color="auto"/>
        <w:left w:val="none" w:sz="0" w:space="0" w:color="auto"/>
        <w:bottom w:val="none" w:sz="0" w:space="0" w:color="auto"/>
        <w:right w:val="none" w:sz="0" w:space="0" w:color="auto"/>
      </w:divBdr>
    </w:div>
    <w:div w:id="427045200">
      <w:bodyDiv w:val="1"/>
      <w:marLeft w:val="0"/>
      <w:marRight w:val="0"/>
      <w:marTop w:val="0"/>
      <w:marBottom w:val="0"/>
      <w:divBdr>
        <w:top w:val="none" w:sz="0" w:space="0" w:color="auto"/>
        <w:left w:val="none" w:sz="0" w:space="0" w:color="auto"/>
        <w:bottom w:val="none" w:sz="0" w:space="0" w:color="auto"/>
        <w:right w:val="none" w:sz="0" w:space="0" w:color="auto"/>
      </w:divBdr>
    </w:div>
    <w:div w:id="427121439">
      <w:bodyDiv w:val="1"/>
      <w:marLeft w:val="0"/>
      <w:marRight w:val="0"/>
      <w:marTop w:val="0"/>
      <w:marBottom w:val="0"/>
      <w:divBdr>
        <w:top w:val="none" w:sz="0" w:space="0" w:color="auto"/>
        <w:left w:val="none" w:sz="0" w:space="0" w:color="auto"/>
        <w:bottom w:val="none" w:sz="0" w:space="0" w:color="auto"/>
        <w:right w:val="none" w:sz="0" w:space="0" w:color="auto"/>
      </w:divBdr>
    </w:div>
    <w:div w:id="427235992">
      <w:bodyDiv w:val="1"/>
      <w:marLeft w:val="0"/>
      <w:marRight w:val="0"/>
      <w:marTop w:val="0"/>
      <w:marBottom w:val="0"/>
      <w:divBdr>
        <w:top w:val="none" w:sz="0" w:space="0" w:color="auto"/>
        <w:left w:val="none" w:sz="0" w:space="0" w:color="auto"/>
        <w:bottom w:val="none" w:sz="0" w:space="0" w:color="auto"/>
        <w:right w:val="none" w:sz="0" w:space="0" w:color="auto"/>
      </w:divBdr>
    </w:div>
    <w:div w:id="427504758">
      <w:bodyDiv w:val="1"/>
      <w:marLeft w:val="0"/>
      <w:marRight w:val="0"/>
      <w:marTop w:val="0"/>
      <w:marBottom w:val="0"/>
      <w:divBdr>
        <w:top w:val="none" w:sz="0" w:space="0" w:color="auto"/>
        <w:left w:val="none" w:sz="0" w:space="0" w:color="auto"/>
        <w:bottom w:val="none" w:sz="0" w:space="0" w:color="auto"/>
        <w:right w:val="none" w:sz="0" w:space="0" w:color="auto"/>
      </w:divBdr>
    </w:div>
    <w:div w:id="428506361">
      <w:bodyDiv w:val="1"/>
      <w:marLeft w:val="0"/>
      <w:marRight w:val="0"/>
      <w:marTop w:val="0"/>
      <w:marBottom w:val="0"/>
      <w:divBdr>
        <w:top w:val="none" w:sz="0" w:space="0" w:color="auto"/>
        <w:left w:val="none" w:sz="0" w:space="0" w:color="auto"/>
        <w:bottom w:val="none" w:sz="0" w:space="0" w:color="auto"/>
        <w:right w:val="none" w:sz="0" w:space="0" w:color="auto"/>
      </w:divBdr>
    </w:div>
    <w:div w:id="428820831">
      <w:bodyDiv w:val="1"/>
      <w:marLeft w:val="0"/>
      <w:marRight w:val="0"/>
      <w:marTop w:val="0"/>
      <w:marBottom w:val="0"/>
      <w:divBdr>
        <w:top w:val="none" w:sz="0" w:space="0" w:color="auto"/>
        <w:left w:val="none" w:sz="0" w:space="0" w:color="auto"/>
        <w:bottom w:val="none" w:sz="0" w:space="0" w:color="auto"/>
        <w:right w:val="none" w:sz="0" w:space="0" w:color="auto"/>
      </w:divBdr>
    </w:div>
    <w:div w:id="428893812">
      <w:bodyDiv w:val="1"/>
      <w:marLeft w:val="0"/>
      <w:marRight w:val="0"/>
      <w:marTop w:val="0"/>
      <w:marBottom w:val="0"/>
      <w:divBdr>
        <w:top w:val="none" w:sz="0" w:space="0" w:color="auto"/>
        <w:left w:val="none" w:sz="0" w:space="0" w:color="auto"/>
        <w:bottom w:val="none" w:sz="0" w:space="0" w:color="auto"/>
        <w:right w:val="none" w:sz="0" w:space="0" w:color="auto"/>
      </w:divBdr>
    </w:div>
    <w:div w:id="429473589">
      <w:bodyDiv w:val="1"/>
      <w:marLeft w:val="0"/>
      <w:marRight w:val="0"/>
      <w:marTop w:val="0"/>
      <w:marBottom w:val="0"/>
      <w:divBdr>
        <w:top w:val="none" w:sz="0" w:space="0" w:color="auto"/>
        <w:left w:val="none" w:sz="0" w:space="0" w:color="auto"/>
        <w:bottom w:val="none" w:sz="0" w:space="0" w:color="auto"/>
        <w:right w:val="none" w:sz="0" w:space="0" w:color="auto"/>
      </w:divBdr>
    </w:div>
    <w:div w:id="429551154">
      <w:bodyDiv w:val="1"/>
      <w:marLeft w:val="0"/>
      <w:marRight w:val="0"/>
      <w:marTop w:val="0"/>
      <w:marBottom w:val="0"/>
      <w:divBdr>
        <w:top w:val="none" w:sz="0" w:space="0" w:color="auto"/>
        <w:left w:val="none" w:sz="0" w:space="0" w:color="auto"/>
        <w:bottom w:val="none" w:sz="0" w:space="0" w:color="auto"/>
        <w:right w:val="none" w:sz="0" w:space="0" w:color="auto"/>
      </w:divBdr>
    </w:div>
    <w:div w:id="429620840">
      <w:bodyDiv w:val="1"/>
      <w:marLeft w:val="0"/>
      <w:marRight w:val="0"/>
      <w:marTop w:val="0"/>
      <w:marBottom w:val="0"/>
      <w:divBdr>
        <w:top w:val="none" w:sz="0" w:space="0" w:color="auto"/>
        <w:left w:val="none" w:sz="0" w:space="0" w:color="auto"/>
        <w:bottom w:val="none" w:sz="0" w:space="0" w:color="auto"/>
        <w:right w:val="none" w:sz="0" w:space="0" w:color="auto"/>
      </w:divBdr>
    </w:div>
    <w:div w:id="430053498">
      <w:bodyDiv w:val="1"/>
      <w:marLeft w:val="0"/>
      <w:marRight w:val="0"/>
      <w:marTop w:val="0"/>
      <w:marBottom w:val="0"/>
      <w:divBdr>
        <w:top w:val="none" w:sz="0" w:space="0" w:color="auto"/>
        <w:left w:val="none" w:sz="0" w:space="0" w:color="auto"/>
        <w:bottom w:val="none" w:sz="0" w:space="0" w:color="auto"/>
        <w:right w:val="none" w:sz="0" w:space="0" w:color="auto"/>
      </w:divBdr>
    </w:div>
    <w:div w:id="430205137">
      <w:bodyDiv w:val="1"/>
      <w:marLeft w:val="0"/>
      <w:marRight w:val="0"/>
      <w:marTop w:val="0"/>
      <w:marBottom w:val="0"/>
      <w:divBdr>
        <w:top w:val="none" w:sz="0" w:space="0" w:color="auto"/>
        <w:left w:val="none" w:sz="0" w:space="0" w:color="auto"/>
        <w:bottom w:val="none" w:sz="0" w:space="0" w:color="auto"/>
        <w:right w:val="none" w:sz="0" w:space="0" w:color="auto"/>
      </w:divBdr>
    </w:div>
    <w:div w:id="430511182">
      <w:bodyDiv w:val="1"/>
      <w:marLeft w:val="0"/>
      <w:marRight w:val="0"/>
      <w:marTop w:val="0"/>
      <w:marBottom w:val="0"/>
      <w:divBdr>
        <w:top w:val="none" w:sz="0" w:space="0" w:color="auto"/>
        <w:left w:val="none" w:sz="0" w:space="0" w:color="auto"/>
        <w:bottom w:val="none" w:sz="0" w:space="0" w:color="auto"/>
        <w:right w:val="none" w:sz="0" w:space="0" w:color="auto"/>
      </w:divBdr>
    </w:div>
    <w:div w:id="430587816">
      <w:bodyDiv w:val="1"/>
      <w:marLeft w:val="0"/>
      <w:marRight w:val="0"/>
      <w:marTop w:val="0"/>
      <w:marBottom w:val="0"/>
      <w:divBdr>
        <w:top w:val="none" w:sz="0" w:space="0" w:color="auto"/>
        <w:left w:val="none" w:sz="0" w:space="0" w:color="auto"/>
        <w:bottom w:val="none" w:sz="0" w:space="0" w:color="auto"/>
        <w:right w:val="none" w:sz="0" w:space="0" w:color="auto"/>
      </w:divBdr>
    </w:div>
    <w:div w:id="430590686">
      <w:bodyDiv w:val="1"/>
      <w:marLeft w:val="0"/>
      <w:marRight w:val="0"/>
      <w:marTop w:val="0"/>
      <w:marBottom w:val="0"/>
      <w:divBdr>
        <w:top w:val="none" w:sz="0" w:space="0" w:color="auto"/>
        <w:left w:val="none" w:sz="0" w:space="0" w:color="auto"/>
        <w:bottom w:val="none" w:sz="0" w:space="0" w:color="auto"/>
        <w:right w:val="none" w:sz="0" w:space="0" w:color="auto"/>
      </w:divBdr>
    </w:div>
    <w:div w:id="430781602">
      <w:bodyDiv w:val="1"/>
      <w:marLeft w:val="0"/>
      <w:marRight w:val="0"/>
      <w:marTop w:val="0"/>
      <w:marBottom w:val="0"/>
      <w:divBdr>
        <w:top w:val="none" w:sz="0" w:space="0" w:color="auto"/>
        <w:left w:val="none" w:sz="0" w:space="0" w:color="auto"/>
        <w:bottom w:val="none" w:sz="0" w:space="0" w:color="auto"/>
        <w:right w:val="none" w:sz="0" w:space="0" w:color="auto"/>
      </w:divBdr>
    </w:div>
    <w:div w:id="430853739">
      <w:bodyDiv w:val="1"/>
      <w:marLeft w:val="0"/>
      <w:marRight w:val="0"/>
      <w:marTop w:val="0"/>
      <w:marBottom w:val="0"/>
      <w:divBdr>
        <w:top w:val="none" w:sz="0" w:space="0" w:color="auto"/>
        <w:left w:val="none" w:sz="0" w:space="0" w:color="auto"/>
        <w:bottom w:val="none" w:sz="0" w:space="0" w:color="auto"/>
        <w:right w:val="none" w:sz="0" w:space="0" w:color="auto"/>
      </w:divBdr>
    </w:div>
    <w:div w:id="431054306">
      <w:bodyDiv w:val="1"/>
      <w:marLeft w:val="0"/>
      <w:marRight w:val="0"/>
      <w:marTop w:val="0"/>
      <w:marBottom w:val="0"/>
      <w:divBdr>
        <w:top w:val="none" w:sz="0" w:space="0" w:color="auto"/>
        <w:left w:val="none" w:sz="0" w:space="0" w:color="auto"/>
        <w:bottom w:val="none" w:sz="0" w:space="0" w:color="auto"/>
        <w:right w:val="none" w:sz="0" w:space="0" w:color="auto"/>
      </w:divBdr>
    </w:div>
    <w:div w:id="431171508">
      <w:bodyDiv w:val="1"/>
      <w:marLeft w:val="0"/>
      <w:marRight w:val="0"/>
      <w:marTop w:val="0"/>
      <w:marBottom w:val="0"/>
      <w:divBdr>
        <w:top w:val="none" w:sz="0" w:space="0" w:color="auto"/>
        <w:left w:val="none" w:sz="0" w:space="0" w:color="auto"/>
        <w:bottom w:val="none" w:sz="0" w:space="0" w:color="auto"/>
        <w:right w:val="none" w:sz="0" w:space="0" w:color="auto"/>
      </w:divBdr>
    </w:div>
    <w:div w:id="431626327">
      <w:bodyDiv w:val="1"/>
      <w:marLeft w:val="0"/>
      <w:marRight w:val="0"/>
      <w:marTop w:val="0"/>
      <w:marBottom w:val="0"/>
      <w:divBdr>
        <w:top w:val="none" w:sz="0" w:space="0" w:color="auto"/>
        <w:left w:val="none" w:sz="0" w:space="0" w:color="auto"/>
        <w:bottom w:val="none" w:sz="0" w:space="0" w:color="auto"/>
        <w:right w:val="none" w:sz="0" w:space="0" w:color="auto"/>
      </w:divBdr>
    </w:div>
    <w:div w:id="431702029">
      <w:bodyDiv w:val="1"/>
      <w:marLeft w:val="0"/>
      <w:marRight w:val="0"/>
      <w:marTop w:val="0"/>
      <w:marBottom w:val="0"/>
      <w:divBdr>
        <w:top w:val="none" w:sz="0" w:space="0" w:color="auto"/>
        <w:left w:val="none" w:sz="0" w:space="0" w:color="auto"/>
        <w:bottom w:val="none" w:sz="0" w:space="0" w:color="auto"/>
        <w:right w:val="none" w:sz="0" w:space="0" w:color="auto"/>
      </w:divBdr>
    </w:div>
    <w:div w:id="431778858">
      <w:bodyDiv w:val="1"/>
      <w:marLeft w:val="0"/>
      <w:marRight w:val="0"/>
      <w:marTop w:val="0"/>
      <w:marBottom w:val="0"/>
      <w:divBdr>
        <w:top w:val="none" w:sz="0" w:space="0" w:color="auto"/>
        <w:left w:val="none" w:sz="0" w:space="0" w:color="auto"/>
        <w:bottom w:val="none" w:sz="0" w:space="0" w:color="auto"/>
        <w:right w:val="none" w:sz="0" w:space="0" w:color="auto"/>
      </w:divBdr>
    </w:div>
    <w:div w:id="431780154">
      <w:bodyDiv w:val="1"/>
      <w:marLeft w:val="0"/>
      <w:marRight w:val="0"/>
      <w:marTop w:val="0"/>
      <w:marBottom w:val="0"/>
      <w:divBdr>
        <w:top w:val="none" w:sz="0" w:space="0" w:color="auto"/>
        <w:left w:val="none" w:sz="0" w:space="0" w:color="auto"/>
        <w:bottom w:val="none" w:sz="0" w:space="0" w:color="auto"/>
        <w:right w:val="none" w:sz="0" w:space="0" w:color="auto"/>
      </w:divBdr>
    </w:div>
    <w:div w:id="431822518">
      <w:bodyDiv w:val="1"/>
      <w:marLeft w:val="0"/>
      <w:marRight w:val="0"/>
      <w:marTop w:val="0"/>
      <w:marBottom w:val="0"/>
      <w:divBdr>
        <w:top w:val="none" w:sz="0" w:space="0" w:color="auto"/>
        <w:left w:val="none" w:sz="0" w:space="0" w:color="auto"/>
        <w:bottom w:val="none" w:sz="0" w:space="0" w:color="auto"/>
        <w:right w:val="none" w:sz="0" w:space="0" w:color="auto"/>
      </w:divBdr>
    </w:div>
    <w:div w:id="431975180">
      <w:bodyDiv w:val="1"/>
      <w:marLeft w:val="0"/>
      <w:marRight w:val="0"/>
      <w:marTop w:val="0"/>
      <w:marBottom w:val="0"/>
      <w:divBdr>
        <w:top w:val="none" w:sz="0" w:space="0" w:color="auto"/>
        <w:left w:val="none" w:sz="0" w:space="0" w:color="auto"/>
        <w:bottom w:val="none" w:sz="0" w:space="0" w:color="auto"/>
        <w:right w:val="none" w:sz="0" w:space="0" w:color="auto"/>
      </w:divBdr>
    </w:div>
    <w:div w:id="431979703">
      <w:bodyDiv w:val="1"/>
      <w:marLeft w:val="0"/>
      <w:marRight w:val="0"/>
      <w:marTop w:val="0"/>
      <w:marBottom w:val="0"/>
      <w:divBdr>
        <w:top w:val="none" w:sz="0" w:space="0" w:color="auto"/>
        <w:left w:val="none" w:sz="0" w:space="0" w:color="auto"/>
        <w:bottom w:val="none" w:sz="0" w:space="0" w:color="auto"/>
        <w:right w:val="none" w:sz="0" w:space="0" w:color="auto"/>
      </w:divBdr>
    </w:div>
    <w:div w:id="432550321">
      <w:bodyDiv w:val="1"/>
      <w:marLeft w:val="0"/>
      <w:marRight w:val="0"/>
      <w:marTop w:val="0"/>
      <w:marBottom w:val="0"/>
      <w:divBdr>
        <w:top w:val="none" w:sz="0" w:space="0" w:color="auto"/>
        <w:left w:val="none" w:sz="0" w:space="0" w:color="auto"/>
        <w:bottom w:val="none" w:sz="0" w:space="0" w:color="auto"/>
        <w:right w:val="none" w:sz="0" w:space="0" w:color="auto"/>
      </w:divBdr>
    </w:div>
    <w:div w:id="432550759">
      <w:bodyDiv w:val="1"/>
      <w:marLeft w:val="0"/>
      <w:marRight w:val="0"/>
      <w:marTop w:val="0"/>
      <w:marBottom w:val="0"/>
      <w:divBdr>
        <w:top w:val="none" w:sz="0" w:space="0" w:color="auto"/>
        <w:left w:val="none" w:sz="0" w:space="0" w:color="auto"/>
        <w:bottom w:val="none" w:sz="0" w:space="0" w:color="auto"/>
        <w:right w:val="none" w:sz="0" w:space="0" w:color="auto"/>
      </w:divBdr>
    </w:div>
    <w:div w:id="432668781">
      <w:bodyDiv w:val="1"/>
      <w:marLeft w:val="0"/>
      <w:marRight w:val="0"/>
      <w:marTop w:val="0"/>
      <w:marBottom w:val="0"/>
      <w:divBdr>
        <w:top w:val="none" w:sz="0" w:space="0" w:color="auto"/>
        <w:left w:val="none" w:sz="0" w:space="0" w:color="auto"/>
        <w:bottom w:val="none" w:sz="0" w:space="0" w:color="auto"/>
        <w:right w:val="none" w:sz="0" w:space="0" w:color="auto"/>
      </w:divBdr>
    </w:div>
    <w:div w:id="432675829">
      <w:bodyDiv w:val="1"/>
      <w:marLeft w:val="0"/>
      <w:marRight w:val="0"/>
      <w:marTop w:val="0"/>
      <w:marBottom w:val="0"/>
      <w:divBdr>
        <w:top w:val="none" w:sz="0" w:space="0" w:color="auto"/>
        <w:left w:val="none" w:sz="0" w:space="0" w:color="auto"/>
        <w:bottom w:val="none" w:sz="0" w:space="0" w:color="auto"/>
        <w:right w:val="none" w:sz="0" w:space="0" w:color="auto"/>
      </w:divBdr>
    </w:div>
    <w:div w:id="432865375">
      <w:bodyDiv w:val="1"/>
      <w:marLeft w:val="0"/>
      <w:marRight w:val="0"/>
      <w:marTop w:val="0"/>
      <w:marBottom w:val="0"/>
      <w:divBdr>
        <w:top w:val="none" w:sz="0" w:space="0" w:color="auto"/>
        <w:left w:val="none" w:sz="0" w:space="0" w:color="auto"/>
        <w:bottom w:val="none" w:sz="0" w:space="0" w:color="auto"/>
        <w:right w:val="none" w:sz="0" w:space="0" w:color="auto"/>
      </w:divBdr>
    </w:div>
    <w:div w:id="433324405">
      <w:bodyDiv w:val="1"/>
      <w:marLeft w:val="0"/>
      <w:marRight w:val="0"/>
      <w:marTop w:val="0"/>
      <w:marBottom w:val="0"/>
      <w:divBdr>
        <w:top w:val="none" w:sz="0" w:space="0" w:color="auto"/>
        <w:left w:val="none" w:sz="0" w:space="0" w:color="auto"/>
        <w:bottom w:val="none" w:sz="0" w:space="0" w:color="auto"/>
        <w:right w:val="none" w:sz="0" w:space="0" w:color="auto"/>
      </w:divBdr>
    </w:div>
    <w:div w:id="433480906">
      <w:bodyDiv w:val="1"/>
      <w:marLeft w:val="0"/>
      <w:marRight w:val="0"/>
      <w:marTop w:val="0"/>
      <w:marBottom w:val="0"/>
      <w:divBdr>
        <w:top w:val="none" w:sz="0" w:space="0" w:color="auto"/>
        <w:left w:val="none" w:sz="0" w:space="0" w:color="auto"/>
        <w:bottom w:val="none" w:sz="0" w:space="0" w:color="auto"/>
        <w:right w:val="none" w:sz="0" w:space="0" w:color="auto"/>
      </w:divBdr>
    </w:div>
    <w:div w:id="433599511">
      <w:bodyDiv w:val="1"/>
      <w:marLeft w:val="0"/>
      <w:marRight w:val="0"/>
      <w:marTop w:val="0"/>
      <w:marBottom w:val="0"/>
      <w:divBdr>
        <w:top w:val="none" w:sz="0" w:space="0" w:color="auto"/>
        <w:left w:val="none" w:sz="0" w:space="0" w:color="auto"/>
        <w:bottom w:val="none" w:sz="0" w:space="0" w:color="auto"/>
        <w:right w:val="none" w:sz="0" w:space="0" w:color="auto"/>
      </w:divBdr>
    </w:div>
    <w:div w:id="433673085">
      <w:bodyDiv w:val="1"/>
      <w:marLeft w:val="0"/>
      <w:marRight w:val="0"/>
      <w:marTop w:val="0"/>
      <w:marBottom w:val="0"/>
      <w:divBdr>
        <w:top w:val="none" w:sz="0" w:space="0" w:color="auto"/>
        <w:left w:val="none" w:sz="0" w:space="0" w:color="auto"/>
        <w:bottom w:val="none" w:sz="0" w:space="0" w:color="auto"/>
        <w:right w:val="none" w:sz="0" w:space="0" w:color="auto"/>
      </w:divBdr>
    </w:div>
    <w:div w:id="433676108">
      <w:bodyDiv w:val="1"/>
      <w:marLeft w:val="0"/>
      <w:marRight w:val="0"/>
      <w:marTop w:val="0"/>
      <w:marBottom w:val="0"/>
      <w:divBdr>
        <w:top w:val="none" w:sz="0" w:space="0" w:color="auto"/>
        <w:left w:val="none" w:sz="0" w:space="0" w:color="auto"/>
        <w:bottom w:val="none" w:sz="0" w:space="0" w:color="auto"/>
        <w:right w:val="none" w:sz="0" w:space="0" w:color="auto"/>
      </w:divBdr>
    </w:div>
    <w:div w:id="433749302">
      <w:bodyDiv w:val="1"/>
      <w:marLeft w:val="0"/>
      <w:marRight w:val="0"/>
      <w:marTop w:val="0"/>
      <w:marBottom w:val="0"/>
      <w:divBdr>
        <w:top w:val="none" w:sz="0" w:space="0" w:color="auto"/>
        <w:left w:val="none" w:sz="0" w:space="0" w:color="auto"/>
        <w:bottom w:val="none" w:sz="0" w:space="0" w:color="auto"/>
        <w:right w:val="none" w:sz="0" w:space="0" w:color="auto"/>
      </w:divBdr>
    </w:div>
    <w:div w:id="433982735">
      <w:bodyDiv w:val="1"/>
      <w:marLeft w:val="0"/>
      <w:marRight w:val="0"/>
      <w:marTop w:val="0"/>
      <w:marBottom w:val="0"/>
      <w:divBdr>
        <w:top w:val="none" w:sz="0" w:space="0" w:color="auto"/>
        <w:left w:val="none" w:sz="0" w:space="0" w:color="auto"/>
        <w:bottom w:val="none" w:sz="0" w:space="0" w:color="auto"/>
        <w:right w:val="none" w:sz="0" w:space="0" w:color="auto"/>
      </w:divBdr>
    </w:div>
    <w:div w:id="434718916">
      <w:bodyDiv w:val="1"/>
      <w:marLeft w:val="0"/>
      <w:marRight w:val="0"/>
      <w:marTop w:val="0"/>
      <w:marBottom w:val="0"/>
      <w:divBdr>
        <w:top w:val="none" w:sz="0" w:space="0" w:color="auto"/>
        <w:left w:val="none" w:sz="0" w:space="0" w:color="auto"/>
        <w:bottom w:val="none" w:sz="0" w:space="0" w:color="auto"/>
        <w:right w:val="none" w:sz="0" w:space="0" w:color="auto"/>
      </w:divBdr>
    </w:div>
    <w:div w:id="435291232">
      <w:bodyDiv w:val="1"/>
      <w:marLeft w:val="0"/>
      <w:marRight w:val="0"/>
      <w:marTop w:val="0"/>
      <w:marBottom w:val="0"/>
      <w:divBdr>
        <w:top w:val="none" w:sz="0" w:space="0" w:color="auto"/>
        <w:left w:val="none" w:sz="0" w:space="0" w:color="auto"/>
        <w:bottom w:val="none" w:sz="0" w:space="0" w:color="auto"/>
        <w:right w:val="none" w:sz="0" w:space="0" w:color="auto"/>
      </w:divBdr>
    </w:div>
    <w:div w:id="435558433">
      <w:bodyDiv w:val="1"/>
      <w:marLeft w:val="0"/>
      <w:marRight w:val="0"/>
      <w:marTop w:val="0"/>
      <w:marBottom w:val="0"/>
      <w:divBdr>
        <w:top w:val="none" w:sz="0" w:space="0" w:color="auto"/>
        <w:left w:val="none" w:sz="0" w:space="0" w:color="auto"/>
        <w:bottom w:val="none" w:sz="0" w:space="0" w:color="auto"/>
        <w:right w:val="none" w:sz="0" w:space="0" w:color="auto"/>
      </w:divBdr>
    </w:div>
    <w:div w:id="435906558">
      <w:bodyDiv w:val="1"/>
      <w:marLeft w:val="0"/>
      <w:marRight w:val="0"/>
      <w:marTop w:val="0"/>
      <w:marBottom w:val="0"/>
      <w:divBdr>
        <w:top w:val="none" w:sz="0" w:space="0" w:color="auto"/>
        <w:left w:val="none" w:sz="0" w:space="0" w:color="auto"/>
        <w:bottom w:val="none" w:sz="0" w:space="0" w:color="auto"/>
        <w:right w:val="none" w:sz="0" w:space="0" w:color="auto"/>
      </w:divBdr>
    </w:div>
    <w:div w:id="435949286">
      <w:bodyDiv w:val="1"/>
      <w:marLeft w:val="0"/>
      <w:marRight w:val="0"/>
      <w:marTop w:val="0"/>
      <w:marBottom w:val="0"/>
      <w:divBdr>
        <w:top w:val="none" w:sz="0" w:space="0" w:color="auto"/>
        <w:left w:val="none" w:sz="0" w:space="0" w:color="auto"/>
        <w:bottom w:val="none" w:sz="0" w:space="0" w:color="auto"/>
        <w:right w:val="none" w:sz="0" w:space="0" w:color="auto"/>
      </w:divBdr>
    </w:div>
    <w:div w:id="436023947">
      <w:bodyDiv w:val="1"/>
      <w:marLeft w:val="0"/>
      <w:marRight w:val="0"/>
      <w:marTop w:val="0"/>
      <w:marBottom w:val="0"/>
      <w:divBdr>
        <w:top w:val="none" w:sz="0" w:space="0" w:color="auto"/>
        <w:left w:val="none" w:sz="0" w:space="0" w:color="auto"/>
        <w:bottom w:val="none" w:sz="0" w:space="0" w:color="auto"/>
        <w:right w:val="none" w:sz="0" w:space="0" w:color="auto"/>
      </w:divBdr>
    </w:div>
    <w:div w:id="436096970">
      <w:bodyDiv w:val="1"/>
      <w:marLeft w:val="0"/>
      <w:marRight w:val="0"/>
      <w:marTop w:val="0"/>
      <w:marBottom w:val="0"/>
      <w:divBdr>
        <w:top w:val="none" w:sz="0" w:space="0" w:color="auto"/>
        <w:left w:val="none" w:sz="0" w:space="0" w:color="auto"/>
        <w:bottom w:val="none" w:sz="0" w:space="0" w:color="auto"/>
        <w:right w:val="none" w:sz="0" w:space="0" w:color="auto"/>
      </w:divBdr>
    </w:div>
    <w:div w:id="436408459">
      <w:bodyDiv w:val="1"/>
      <w:marLeft w:val="0"/>
      <w:marRight w:val="0"/>
      <w:marTop w:val="0"/>
      <w:marBottom w:val="0"/>
      <w:divBdr>
        <w:top w:val="none" w:sz="0" w:space="0" w:color="auto"/>
        <w:left w:val="none" w:sz="0" w:space="0" w:color="auto"/>
        <w:bottom w:val="none" w:sz="0" w:space="0" w:color="auto"/>
        <w:right w:val="none" w:sz="0" w:space="0" w:color="auto"/>
      </w:divBdr>
    </w:div>
    <w:div w:id="436483438">
      <w:bodyDiv w:val="1"/>
      <w:marLeft w:val="0"/>
      <w:marRight w:val="0"/>
      <w:marTop w:val="0"/>
      <w:marBottom w:val="0"/>
      <w:divBdr>
        <w:top w:val="none" w:sz="0" w:space="0" w:color="auto"/>
        <w:left w:val="none" w:sz="0" w:space="0" w:color="auto"/>
        <w:bottom w:val="none" w:sz="0" w:space="0" w:color="auto"/>
        <w:right w:val="none" w:sz="0" w:space="0" w:color="auto"/>
      </w:divBdr>
    </w:div>
    <w:div w:id="436485881">
      <w:bodyDiv w:val="1"/>
      <w:marLeft w:val="0"/>
      <w:marRight w:val="0"/>
      <w:marTop w:val="0"/>
      <w:marBottom w:val="0"/>
      <w:divBdr>
        <w:top w:val="none" w:sz="0" w:space="0" w:color="auto"/>
        <w:left w:val="none" w:sz="0" w:space="0" w:color="auto"/>
        <w:bottom w:val="none" w:sz="0" w:space="0" w:color="auto"/>
        <w:right w:val="none" w:sz="0" w:space="0" w:color="auto"/>
      </w:divBdr>
    </w:div>
    <w:div w:id="436565951">
      <w:bodyDiv w:val="1"/>
      <w:marLeft w:val="0"/>
      <w:marRight w:val="0"/>
      <w:marTop w:val="0"/>
      <w:marBottom w:val="0"/>
      <w:divBdr>
        <w:top w:val="none" w:sz="0" w:space="0" w:color="auto"/>
        <w:left w:val="none" w:sz="0" w:space="0" w:color="auto"/>
        <w:bottom w:val="none" w:sz="0" w:space="0" w:color="auto"/>
        <w:right w:val="none" w:sz="0" w:space="0" w:color="auto"/>
      </w:divBdr>
    </w:div>
    <w:div w:id="436756975">
      <w:bodyDiv w:val="1"/>
      <w:marLeft w:val="0"/>
      <w:marRight w:val="0"/>
      <w:marTop w:val="0"/>
      <w:marBottom w:val="0"/>
      <w:divBdr>
        <w:top w:val="none" w:sz="0" w:space="0" w:color="auto"/>
        <w:left w:val="none" w:sz="0" w:space="0" w:color="auto"/>
        <w:bottom w:val="none" w:sz="0" w:space="0" w:color="auto"/>
        <w:right w:val="none" w:sz="0" w:space="0" w:color="auto"/>
      </w:divBdr>
    </w:div>
    <w:div w:id="437405555">
      <w:bodyDiv w:val="1"/>
      <w:marLeft w:val="0"/>
      <w:marRight w:val="0"/>
      <w:marTop w:val="0"/>
      <w:marBottom w:val="0"/>
      <w:divBdr>
        <w:top w:val="none" w:sz="0" w:space="0" w:color="auto"/>
        <w:left w:val="none" w:sz="0" w:space="0" w:color="auto"/>
        <w:bottom w:val="none" w:sz="0" w:space="0" w:color="auto"/>
        <w:right w:val="none" w:sz="0" w:space="0" w:color="auto"/>
      </w:divBdr>
    </w:div>
    <w:div w:id="437455443">
      <w:bodyDiv w:val="1"/>
      <w:marLeft w:val="0"/>
      <w:marRight w:val="0"/>
      <w:marTop w:val="0"/>
      <w:marBottom w:val="0"/>
      <w:divBdr>
        <w:top w:val="none" w:sz="0" w:space="0" w:color="auto"/>
        <w:left w:val="none" w:sz="0" w:space="0" w:color="auto"/>
        <w:bottom w:val="none" w:sz="0" w:space="0" w:color="auto"/>
        <w:right w:val="none" w:sz="0" w:space="0" w:color="auto"/>
      </w:divBdr>
    </w:div>
    <w:div w:id="437649917">
      <w:bodyDiv w:val="1"/>
      <w:marLeft w:val="0"/>
      <w:marRight w:val="0"/>
      <w:marTop w:val="0"/>
      <w:marBottom w:val="0"/>
      <w:divBdr>
        <w:top w:val="none" w:sz="0" w:space="0" w:color="auto"/>
        <w:left w:val="none" w:sz="0" w:space="0" w:color="auto"/>
        <w:bottom w:val="none" w:sz="0" w:space="0" w:color="auto"/>
        <w:right w:val="none" w:sz="0" w:space="0" w:color="auto"/>
      </w:divBdr>
    </w:div>
    <w:div w:id="437679806">
      <w:bodyDiv w:val="1"/>
      <w:marLeft w:val="0"/>
      <w:marRight w:val="0"/>
      <w:marTop w:val="0"/>
      <w:marBottom w:val="0"/>
      <w:divBdr>
        <w:top w:val="none" w:sz="0" w:space="0" w:color="auto"/>
        <w:left w:val="none" w:sz="0" w:space="0" w:color="auto"/>
        <w:bottom w:val="none" w:sz="0" w:space="0" w:color="auto"/>
        <w:right w:val="none" w:sz="0" w:space="0" w:color="auto"/>
      </w:divBdr>
    </w:div>
    <w:div w:id="437717419">
      <w:bodyDiv w:val="1"/>
      <w:marLeft w:val="0"/>
      <w:marRight w:val="0"/>
      <w:marTop w:val="0"/>
      <w:marBottom w:val="0"/>
      <w:divBdr>
        <w:top w:val="none" w:sz="0" w:space="0" w:color="auto"/>
        <w:left w:val="none" w:sz="0" w:space="0" w:color="auto"/>
        <w:bottom w:val="none" w:sz="0" w:space="0" w:color="auto"/>
        <w:right w:val="none" w:sz="0" w:space="0" w:color="auto"/>
      </w:divBdr>
    </w:div>
    <w:div w:id="437877185">
      <w:bodyDiv w:val="1"/>
      <w:marLeft w:val="0"/>
      <w:marRight w:val="0"/>
      <w:marTop w:val="0"/>
      <w:marBottom w:val="0"/>
      <w:divBdr>
        <w:top w:val="none" w:sz="0" w:space="0" w:color="auto"/>
        <w:left w:val="none" w:sz="0" w:space="0" w:color="auto"/>
        <w:bottom w:val="none" w:sz="0" w:space="0" w:color="auto"/>
        <w:right w:val="none" w:sz="0" w:space="0" w:color="auto"/>
      </w:divBdr>
    </w:div>
    <w:div w:id="438572423">
      <w:bodyDiv w:val="1"/>
      <w:marLeft w:val="0"/>
      <w:marRight w:val="0"/>
      <w:marTop w:val="0"/>
      <w:marBottom w:val="0"/>
      <w:divBdr>
        <w:top w:val="none" w:sz="0" w:space="0" w:color="auto"/>
        <w:left w:val="none" w:sz="0" w:space="0" w:color="auto"/>
        <w:bottom w:val="none" w:sz="0" w:space="0" w:color="auto"/>
        <w:right w:val="none" w:sz="0" w:space="0" w:color="auto"/>
      </w:divBdr>
    </w:div>
    <w:div w:id="438725704">
      <w:bodyDiv w:val="1"/>
      <w:marLeft w:val="0"/>
      <w:marRight w:val="0"/>
      <w:marTop w:val="0"/>
      <w:marBottom w:val="0"/>
      <w:divBdr>
        <w:top w:val="none" w:sz="0" w:space="0" w:color="auto"/>
        <w:left w:val="none" w:sz="0" w:space="0" w:color="auto"/>
        <w:bottom w:val="none" w:sz="0" w:space="0" w:color="auto"/>
        <w:right w:val="none" w:sz="0" w:space="0" w:color="auto"/>
      </w:divBdr>
    </w:div>
    <w:div w:id="438916128">
      <w:bodyDiv w:val="1"/>
      <w:marLeft w:val="0"/>
      <w:marRight w:val="0"/>
      <w:marTop w:val="0"/>
      <w:marBottom w:val="0"/>
      <w:divBdr>
        <w:top w:val="none" w:sz="0" w:space="0" w:color="auto"/>
        <w:left w:val="none" w:sz="0" w:space="0" w:color="auto"/>
        <w:bottom w:val="none" w:sz="0" w:space="0" w:color="auto"/>
        <w:right w:val="none" w:sz="0" w:space="0" w:color="auto"/>
      </w:divBdr>
    </w:div>
    <w:div w:id="438918710">
      <w:bodyDiv w:val="1"/>
      <w:marLeft w:val="0"/>
      <w:marRight w:val="0"/>
      <w:marTop w:val="0"/>
      <w:marBottom w:val="0"/>
      <w:divBdr>
        <w:top w:val="none" w:sz="0" w:space="0" w:color="auto"/>
        <w:left w:val="none" w:sz="0" w:space="0" w:color="auto"/>
        <w:bottom w:val="none" w:sz="0" w:space="0" w:color="auto"/>
        <w:right w:val="none" w:sz="0" w:space="0" w:color="auto"/>
      </w:divBdr>
    </w:div>
    <w:div w:id="439110569">
      <w:bodyDiv w:val="1"/>
      <w:marLeft w:val="0"/>
      <w:marRight w:val="0"/>
      <w:marTop w:val="0"/>
      <w:marBottom w:val="0"/>
      <w:divBdr>
        <w:top w:val="none" w:sz="0" w:space="0" w:color="auto"/>
        <w:left w:val="none" w:sz="0" w:space="0" w:color="auto"/>
        <w:bottom w:val="none" w:sz="0" w:space="0" w:color="auto"/>
        <w:right w:val="none" w:sz="0" w:space="0" w:color="auto"/>
      </w:divBdr>
    </w:div>
    <w:div w:id="439180839">
      <w:bodyDiv w:val="1"/>
      <w:marLeft w:val="0"/>
      <w:marRight w:val="0"/>
      <w:marTop w:val="0"/>
      <w:marBottom w:val="0"/>
      <w:divBdr>
        <w:top w:val="none" w:sz="0" w:space="0" w:color="auto"/>
        <w:left w:val="none" w:sz="0" w:space="0" w:color="auto"/>
        <w:bottom w:val="none" w:sz="0" w:space="0" w:color="auto"/>
        <w:right w:val="none" w:sz="0" w:space="0" w:color="auto"/>
      </w:divBdr>
    </w:div>
    <w:div w:id="439186304">
      <w:bodyDiv w:val="1"/>
      <w:marLeft w:val="0"/>
      <w:marRight w:val="0"/>
      <w:marTop w:val="0"/>
      <w:marBottom w:val="0"/>
      <w:divBdr>
        <w:top w:val="none" w:sz="0" w:space="0" w:color="auto"/>
        <w:left w:val="none" w:sz="0" w:space="0" w:color="auto"/>
        <w:bottom w:val="none" w:sz="0" w:space="0" w:color="auto"/>
        <w:right w:val="none" w:sz="0" w:space="0" w:color="auto"/>
      </w:divBdr>
    </w:div>
    <w:div w:id="439640760">
      <w:bodyDiv w:val="1"/>
      <w:marLeft w:val="0"/>
      <w:marRight w:val="0"/>
      <w:marTop w:val="0"/>
      <w:marBottom w:val="0"/>
      <w:divBdr>
        <w:top w:val="none" w:sz="0" w:space="0" w:color="auto"/>
        <w:left w:val="none" w:sz="0" w:space="0" w:color="auto"/>
        <w:bottom w:val="none" w:sz="0" w:space="0" w:color="auto"/>
        <w:right w:val="none" w:sz="0" w:space="0" w:color="auto"/>
      </w:divBdr>
    </w:div>
    <w:div w:id="439760138">
      <w:bodyDiv w:val="1"/>
      <w:marLeft w:val="0"/>
      <w:marRight w:val="0"/>
      <w:marTop w:val="0"/>
      <w:marBottom w:val="0"/>
      <w:divBdr>
        <w:top w:val="none" w:sz="0" w:space="0" w:color="auto"/>
        <w:left w:val="none" w:sz="0" w:space="0" w:color="auto"/>
        <w:bottom w:val="none" w:sz="0" w:space="0" w:color="auto"/>
        <w:right w:val="none" w:sz="0" w:space="0" w:color="auto"/>
      </w:divBdr>
    </w:div>
    <w:div w:id="439762323">
      <w:bodyDiv w:val="1"/>
      <w:marLeft w:val="0"/>
      <w:marRight w:val="0"/>
      <w:marTop w:val="0"/>
      <w:marBottom w:val="0"/>
      <w:divBdr>
        <w:top w:val="none" w:sz="0" w:space="0" w:color="auto"/>
        <w:left w:val="none" w:sz="0" w:space="0" w:color="auto"/>
        <w:bottom w:val="none" w:sz="0" w:space="0" w:color="auto"/>
        <w:right w:val="none" w:sz="0" w:space="0" w:color="auto"/>
      </w:divBdr>
    </w:div>
    <w:div w:id="439841281">
      <w:bodyDiv w:val="1"/>
      <w:marLeft w:val="0"/>
      <w:marRight w:val="0"/>
      <w:marTop w:val="0"/>
      <w:marBottom w:val="0"/>
      <w:divBdr>
        <w:top w:val="none" w:sz="0" w:space="0" w:color="auto"/>
        <w:left w:val="none" w:sz="0" w:space="0" w:color="auto"/>
        <w:bottom w:val="none" w:sz="0" w:space="0" w:color="auto"/>
        <w:right w:val="none" w:sz="0" w:space="0" w:color="auto"/>
      </w:divBdr>
    </w:div>
    <w:div w:id="440076739">
      <w:bodyDiv w:val="1"/>
      <w:marLeft w:val="0"/>
      <w:marRight w:val="0"/>
      <w:marTop w:val="0"/>
      <w:marBottom w:val="0"/>
      <w:divBdr>
        <w:top w:val="none" w:sz="0" w:space="0" w:color="auto"/>
        <w:left w:val="none" w:sz="0" w:space="0" w:color="auto"/>
        <w:bottom w:val="none" w:sz="0" w:space="0" w:color="auto"/>
        <w:right w:val="none" w:sz="0" w:space="0" w:color="auto"/>
      </w:divBdr>
    </w:div>
    <w:div w:id="440077360">
      <w:bodyDiv w:val="1"/>
      <w:marLeft w:val="0"/>
      <w:marRight w:val="0"/>
      <w:marTop w:val="0"/>
      <w:marBottom w:val="0"/>
      <w:divBdr>
        <w:top w:val="none" w:sz="0" w:space="0" w:color="auto"/>
        <w:left w:val="none" w:sz="0" w:space="0" w:color="auto"/>
        <w:bottom w:val="none" w:sz="0" w:space="0" w:color="auto"/>
        <w:right w:val="none" w:sz="0" w:space="0" w:color="auto"/>
      </w:divBdr>
    </w:div>
    <w:div w:id="440227801">
      <w:bodyDiv w:val="1"/>
      <w:marLeft w:val="0"/>
      <w:marRight w:val="0"/>
      <w:marTop w:val="0"/>
      <w:marBottom w:val="0"/>
      <w:divBdr>
        <w:top w:val="none" w:sz="0" w:space="0" w:color="auto"/>
        <w:left w:val="none" w:sz="0" w:space="0" w:color="auto"/>
        <w:bottom w:val="none" w:sz="0" w:space="0" w:color="auto"/>
        <w:right w:val="none" w:sz="0" w:space="0" w:color="auto"/>
      </w:divBdr>
    </w:div>
    <w:div w:id="440228456">
      <w:bodyDiv w:val="1"/>
      <w:marLeft w:val="0"/>
      <w:marRight w:val="0"/>
      <w:marTop w:val="0"/>
      <w:marBottom w:val="0"/>
      <w:divBdr>
        <w:top w:val="none" w:sz="0" w:space="0" w:color="auto"/>
        <w:left w:val="none" w:sz="0" w:space="0" w:color="auto"/>
        <w:bottom w:val="none" w:sz="0" w:space="0" w:color="auto"/>
        <w:right w:val="none" w:sz="0" w:space="0" w:color="auto"/>
      </w:divBdr>
    </w:div>
    <w:div w:id="440416518">
      <w:bodyDiv w:val="1"/>
      <w:marLeft w:val="0"/>
      <w:marRight w:val="0"/>
      <w:marTop w:val="0"/>
      <w:marBottom w:val="0"/>
      <w:divBdr>
        <w:top w:val="none" w:sz="0" w:space="0" w:color="auto"/>
        <w:left w:val="none" w:sz="0" w:space="0" w:color="auto"/>
        <w:bottom w:val="none" w:sz="0" w:space="0" w:color="auto"/>
        <w:right w:val="none" w:sz="0" w:space="0" w:color="auto"/>
      </w:divBdr>
    </w:div>
    <w:div w:id="440534970">
      <w:bodyDiv w:val="1"/>
      <w:marLeft w:val="0"/>
      <w:marRight w:val="0"/>
      <w:marTop w:val="0"/>
      <w:marBottom w:val="0"/>
      <w:divBdr>
        <w:top w:val="none" w:sz="0" w:space="0" w:color="auto"/>
        <w:left w:val="none" w:sz="0" w:space="0" w:color="auto"/>
        <w:bottom w:val="none" w:sz="0" w:space="0" w:color="auto"/>
        <w:right w:val="none" w:sz="0" w:space="0" w:color="auto"/>
      </w:divBdr>
    </w:div>
    <w:div w:id="440609848">
      <w:bodyDiv w:val="1"/>
      <w:marLeft w:val="0"/>
      <w:marRight w:val="0"/>
      <w:marTop w:val="0"/>
      <w:marBottom w:val="0"/>
      <w:divBdr>
        <w:top w:val="none" w:sz="0" w:space="0" w:color="auto"/>
        <w:left w:val="none" w:sz="0" w:space="0" w:color="auto"/>
        <w:bottom w:val="none" w:sz="0" w:space="0" w:color="auto"/>
        <w:right w:val="none" w:sz="0" w:space="0" w:color="auto"/>
      </w:divBdr>
    </w:div>
    <w:div w:id="440758668">
      <w:bodyDiv w:val="1"/>
      <w:marLeft w:val="0"/>
      <w:marRight w:val="0"/>
      <w:marTop w:val="0"/>
      <w:marBottom w:val="0"/>
      <w:divBdr>
        <w:top w:val="none" w:sz="0" w:space="0" w:color="auto"/>
        <w:left w:val="none" w:sz="0" w:space="0" w:color="auto"/>
        <w:bottom w:val="none" w:sz="0" w:space="0" w:color="auto"/>
        <w:right w:val="none" w:sz="0" w:space="0" w:color="auto"/>
      </w:divBdr>
    </w:div>
    <w:div w:id="440875206">
      <w:bodyDiv w:val="1"/>
      <w:marLeft w:val="0"/>
      <w:marRight w:val="0"/>
      <w:marTop w:val="0"/>
      <w:marBottom w:val="0"/>
      <w:divBdr>
        <w:top w:val="none" w:sz="0" w:space="0" w:color="auto"/>
        <w:left w:val="none" w:sz="0" w:space="0" w:color="auto"/>
        <w:bottom w:val="none" w:sz="0" w:space="0" w:color="auto"/>
        <w:right w:val="none" w:sz="0" w:space="0" w:color="auto"/>
      </w:divBdr>
    </w:div>
    <w:div w:id="440878443">
      <w:bodyDiv w:val="1"/>
      <w:marLeft w:val="0"/>
      <w:marRight w:val="0"/>
      <w:marTop w:val="0"/>
      <w:marBottom w:val="0"/>
      <w:divBdr>
        <w:top w:val="none" w:sz="0" w:space="0" w:color="auto"/>
        <w:left w:val="none" w:sz="0" w:space="0" w:color="auto"/>
        <w:bottom w:val="none" w:sz="0" w:space="0" w:color="auto"/>
        <w:right w:val="none" w:sz="0" w:space="0" w:color="auto"/>
      </w:divBdr>
    </w:div>
    <w:div w:id="441069445">
      <w:bodyDiv w:val="1"/>
      <w:marLeft w:val="0"/>
      <w:marRight w:val="0"/>
      <w:marTop w:val="0"/>
      <w:marBottom w:val="0"/>
      <w:divBdr>
        <w:top w:val="none" w:sz="0" w:space="0" w:color="auto"/>
        <w:left w:val="none" w:sz="0" w:space="0" w:color="auto"/>
        <w:bottom w:val="none" w:sz="0" w:space="0" w:color="auto"/>
        <w:right w:val="none" w:sz="0" w:space="0" w:color="auto"/>
      </w:divBdr>
    </w:div>
    <w:div w:id="441191553">
      <w:bodyDiv w:val="1"/>
      <w:marLeft w:val="0"/>
      <w:marRight w:val="0"/>
      <w:marTop w:val="0"/>
      <w:marBottom w:val="0"/>
      <w:divBdr>
        <w:top w:val="none" w:sz="0" w:space="0" w:color="auto"/>
        <w:left w:val="none" w:sz="0" w:space="0" w:color="auto"/>
        <w:bottom w:val="none" w:sz="0" w:space="0" w:color="auto"/>
        <w:right w:val="none" w:sz="0" w:space="0" w:color="auto"/>
      </w:divBdr>
    </w:div>
    <w:div w:id="441264132">
      <w:bodyDiv w:val="1"/>
      <w:marLeft w:val="0"/>
      <w:marRight w:val="0"/>
      <w:marTop w:val="0"/>
      <w:marBottom w:val="0"/>
      <w:divBdr>
        <w:top w:val="none" w:sz="0" w:space="0" w:color="auto"/>
        <w:left w:val="none" w:sz="0" w:space="0" w:color="auto"/>
        <w:bottom w:val="none" w:sz="0" w:space="0" w:color="auto"/>
        <w:right w:val="none" w:sz="0" w:space="0" w:color="auto"/>
      </w:divBdr>
    </w:div>
    <w:div w:id="441269610">
      <w:bodyDiv w:val="1"/>
      <w:marLeft w:val="0"/>
      <w:marRight w:val="0"/>
      <w:marTop w:val="0"/>
      <w:marBottom w:val="0"/>
      <w:divBdr>
        <w:top w:val="none" w:sz="0" w:space="0" w:color="auto"/>
        <w:left w:val="none" w:sz="0" w:space="0" w:color="auto"/>
        <w:bottom w:val="none" w:sz="0" w:space="0" w:color="auto"/>
        <w:right w:val="none" w:sz="0" w:space="0" w:color="auto"/>
      </w:divBdr>
    </w:div>
    <w:div w:id="441338560">
      <w:bodyDiv w:val="1"/>
      <w:marLeft w:val="0"/>
      <w:marRight w:val="0"/>
      <w:marTop w:val="0"/>
      <w:marBottom w:val="0"/>
      <w:divBdr>
        <w:top w:val="none" w:sz="0" w:space="0" w:color="auto"/>
        <w:left w:val="none" w:sz="0" w:space="0" w:color="auto"/>
        <w:bottom w:val="none" w:sz="0" w:space="0" w:color="auto"/>
        <w:right w:val="none" w:sz="0" w:space="0" w:color="auto"/>
      </w:divBdr>
    </w:div>
    <w:div w:id="441607005">
      <w:bodyDiv w:val="1"/>
      <w:marLeft w:val="0"/>
      <w:marRight w:val="0"/>
      <w:marTop w:val="0"/>
      <w:marBottom w:val="0"/>
      <w:divBdr>
        <w:top w:val="none" w:sz="0" w:space="0" w:color="auto"/>
        <w:left w:val="none" w:sz="0" w:space="0" w:color="auto"/>
        <w:bottom w:val="none" w:sz="0" w:space="0" w:color="auto"/>
        <w:right w:val="none" w:sz="0" w:space="0" w:color="auto"/>
      </w:divBdr>
    </w:div>
    <w:div w:id="441999096">
      <w:bodyDiv w:val="1"/>
      <w:marLeft w:val="0"/>
      <w:marRight w:val="0"/>
      <w:marTop w:val="0"/>
      <w:marBottom w:val="0"/>
      <w:divBdr>
        <w:top w:val="none" w:sz="0" w:space="0" w:color="auto"/>
        <w:left w:val="none" w:sz="0" w:space="0" w:color="auto"/>
        <w:bottom w:val="none" w:sz="0" w:space="0" w:color="auto"/>
        <w:right w:val="none" w:sz="0" w:space="0" w:color="auto"/>
      </w:divBdr>
    </w:div>
    <w:div w:id="442111862">
      <w:bodyDiv w:val="1"/>
      <w:marLeft w:val="0"/>
      <w:marRight w:val="0"/>
      <w:marTop w:val="0"/>
      <w:marBottom w:val="0"/>
      <w:divBdr>
        <w:top w:val="none" w:sz="0" w:space="0" w:color="auto"/>
        <w:left w:val="none" w:sz="0" w:space="0" w:color="auto"/>
        <w:bottom w:val="none" w:sz="0" w:space="0" w:color="auto"/>
        <w:right w:val="none" w:sz="0" w:space="0" w:color="auto"/>
      </w:divBdr>
    </w:div>
    <w:div w:id="442113774">
      <w:bodyDiv w:val="1"/>
      <w:marLeft w:val="0"/>
      <w:marRight w:val="0"/>
      <w:marTop w:val="0"/>
      <w:marBottom w:val="0"/>
      <w:divBdr>
        <w:top w:val="none" w:sz="0" w:space="0" w:color="auto"/>
        <w:left w:val="none" w:sz="0" w:space="0" w:color="auto"/>
        <w:bottom w:val="none" w:sz="0" w:space="0" w:color="auto"/>
        <w:right w:val="none" w:sz="0" w:space="0" w:color="auto"/>
      </w:divBdr>
    </w:div>
    <w:div w:id="442115230">
      <w:bodyDiv w:val="1"/>
      <w:marLeft w:val="0"/>
      <w:marRight w:val="0"/>
      <w:marTop w:val="0"/>
      <w:marBottom w:val="0"/>
      <w:divBdr>
        <w:top w:val="none" w:sz="0" w:space="0" w:color="auto"/>
        <w:left w:val="none" w:sz="0" w:space="0" w:color="auto"/>
        <w:bottom w:val="none" w:sz="0" w:space="0" w:color="auto"/>
        <w:right w:val="none" w:sz="0" w:space="0" w:color="auto"/>
      </w:divBdr>
    </w:div>
    <w:div w:id="442117229">
      <w:bodyDiv w:val="1"/>
      <w:marLeft w:val="0"/>
      <w:marRight w:val="0"/>
      <w:marTop w:val="0"/>
      <w:marBottom w:val="0"/>
      <w:divBdr>
        <w:top w:val="none" w:sz="0" w:space="0" w:color="auto"/>
        <w:left w:val="none" w:sz="0" w:space="0" w:color="auto"/>
        <w:bottom w:val="none" w:sz="0" w:space="0" w:color="auto"/>
        <w:right w:val="none" w:sz="0" w:space="0" w:color="auto"/>
      </w:divBdr>
    </w:div>
    <w:div w:id="442186786">
      <w:bodyDiv w:val="1"/>
      <w:marLeft w:val="0"/>
      <w:marRight w:val="0"/>
      <w:marTop w:val="0"/>
      <w:marBottom w:val="0"/>
      <w:divBdr>
        <w:top w:val="none" w:sz="0" w:space="0" w:color="auto"/>
        <w:left w:val="none" w:sz="0" w:space="0" w:color="auto"/>
        <w:bottom w:val="none" w:sz="0" w:space="0" w:color="auto"/>
        <w:right w:val="none" w:sz="0" w:space="0" w:color="auto"/>
      </w:divBdr>
    </w:div>
    <w:div w:id="442187535">
      <w:bodyDiv w:val="1"/>
      <w:marLeft w:val="0"/>
      <w:marRight w:val="0"/>
      <w:marTop w:val="0"/>
      <w:marBottom w:val="0"/>
      <w:divBdr>
        <w:top w:val="none" w:sz="0" w:space="0" w:color="auto"/>
        <w:left w:val="none" w:sz="0" w:space="0" w:color="auto"/>
        <w:bottom w:val="none" w:sz="0" w:space="0" w:color="auto"/>
        <w:right w:val="none" w:sz="0" w:space="0" w:color="auto"/>
      </w:divBdr>
    </w:div>
    <w:div w:id="442309950">
      <w:bodyDiv w:val="1"/>
      <w:marLeft w:val="0"/>
      <w:marRight w:val="0"/>
      <w:marTop w:val="0"/>
      <w:marBottom w:val="0"/>
      <w:divBdr>
        <w:top w:val="none" w:sz="0" w:space="0" w:color="auto"/>
        <w:left w:val="none" w:sz="0" w:space="0" w:color="auto"/>
        <w:bottom w:val="none" w:sz="0" w:space="0" w:color="auto"/>
        <w:right w:val="none" w:sz="0" w:space="0" w:color="auto"/>
      </w:divBdr>
    </w:div>
    <w:div w:id="442695884">
      <w:bodyDiv w:val="1"/>
      <w:marLeft w:val="0"/>
      <w:marRight w:val="0"/>
      <w:marTop w:val="0"/>
      <w:marBottom w:val="0"/>
      <w:divBdr>
        <w:top w:val="none" w:sz="0" w:space="0" w:color="auto"/>
        <w:left w:val="none" w:sz="0" w:space="0" w:color="auto"/>
        <w:bottom w:val="none" w:sz="0" w:space="0" w:color="auto"/>
        <w:right w:val="none" w:sz="0" w:space="0" w:color="auto"/>
      </w:divBdr>
    </w:div>
    <w:div w:id="442916713">
      <w:bodyDiv w:val="1"/>
      <w:marLeft w:val="0"/>
      <w:marRight w:val="0"/>
      <w:marTop w:val="0"/>
      <w:marBottom w:val="0"/>
      <w:divBdr>
        <w:top w:val="none" w:sz="0" w:space="0" w:color="auto"/>
        <w:left w:val="none" w:sz="0" w:space="0" w:color="auto"/>
        <w:bottom w:val="none" w:sz="0" w:space="0" w:color="auto"/>
        <w:right w:val="none" w:sz="0" w:space="0" w:color="auto"/>
      </w:divBdr>
    </w:div>
    <w:div w:id="442967702">
      <w:bodyDiv w:val="1"/>
      <w:marLeft w:val="0"/>
      <w:marRight w:val="0"/>
      <w:marTop w:val="0"/>
      <w:marBottom w:val="0"/>
      <w:divBdr>
        <w:top w:val="none" w:sz="0" w:space="0" w:color="auto"/>
        <w:left w:val="none" w:sz="0" w:space="0" w:color="auto"/>
        <w:bottom w:val="none" w:sz="0" w:space="0" w:color="auto"/>
        <w:right w:val="none" w:sz="0" w:space="0" w:color="auto"/>
      </w:divBdr>
    </w:div>
    <w:div w:id="443110309">
      <w:bodyDiv w:val="1"/>
      <w:marLeft w:val="0"/>
      <w:marRight w:val="0"/>
      <w:marTop w:val="0"/>
      <w:marBottom w:val="0"/>
      <w:divBdr>
        <w:top w:val="none" w:sz="0" w:space="0" w:color="auto"/>
        <w:left w:val="none" w:sz="0" w:space="0" w:color="auto"/>
        <w:bottom w:val="none" w:sz="0" w:space="0" w:color="auto"/>
        <w:right w:val="none" w:sz="0" w:space="0" w:color="auto"/>
      </w:divBdr>
    </w:div>
    <w:div w:id="443118765">
      <w:bodyDiv w:val="1"/>
      <w:marLeft w:val="0"/>
      <w:marRight w:val="0"/>
      <w:marTop w:val="0"/>
      <w:marBottom w:val="0"/>
      <w:divBdr>
        <w:top w:val="none" w:sz="0" w:space="0" w:color="auto"/>
        <w:left w:val="none" w:sz="0" w:space="0" w:color="auto"/>
        <w:bottom w:val="none" w:sz="0" w:space="0" w:color="auto"/>
        <w:right w:val="none" w:sz="0" w:space="0" w:color="auto"/>
      </w:divBdr>
    </w:div>
    <w:div w:id="443304720">
      <w:bodyDiv w:val="1"/>
      <w:marLeft w:val="0"/>
      <w:marRight w:val="0"/>
      <w:marTop w:val="0"/>
      <w:marBottom w:val="0"/>
      <w:divBdr>
        <w:top w:val="none" w:sz="0" w:space="0" w:color="auto"/>
        <w:left w:val="none" w:sz="0" w:space="0" w:color="auto"/>
        <w:bottom w:val="none" w:sz="0" w:space="0" w:color="auto"/>
        <w:right w:val="none" w:sz="0" w:space="0" w:color="auto"/>
      </w:divBdr>
    </w:div>
    <w:div w:id="443305549">
      <w:bodyDiv w:val="1"/>
      <w:marLeft w:val="0"/>
      <w:marRight w:val="0"/>
      <w:marTop w:val="0"/>
      <w:marBottom w:val="0"/>
      <w:divBdr>
        <w:top w:val="none" w:sz="0" w:space="0" w:color="auto"/>
        <w:left w:val="none" w:sz="0" w:space="0" w:color="auto"/>
        <w:bottom w:val="none" w:sz="0" w:space="0" w:color="auto"/>
        <w:right w:val="none" w:sz="0" w:space="0" w:color="auto"/>
      </w:divBdr>
    </w:div>
    <w:div w:id="443309247">
      <w:bodyDiv w:val="1"/>
      <w:marLeft w:val="0"/>
      <w:marRight w:val="0"/>
      <w:marTop w:val="0"/>
      <w:marBottom w:val="0"/>
      <w:divBdr>
        <w:top w:val="none" w:sz="0" w:space="0" w:color="auto"/>
        <w:left w:val="none" w:sz="0" w:space="0" w:color="auto"/>
        <w:bottom w:val="none" w:sz="0" w:space="0" w:color="auto"/>
        <w:right w:val="none" w:sz="0" w:space="0" w:color="auto"/>
      </w:divBdr>
    </w:div>
    <w:div w:id="443422705">
      <w:bodyDiv w:val="1"/>
      <w:marLeft w:val="0"/>
      <w:marRight w:val="0"/>
      <w:marTop w:val="0"/>
      <w:marBottom w:val="0"/>
      <w:divBdr>
        <w:top w:val="none" w:sz="0" w:space="0" w:color="auto"/>
        <w:left w:val="none" w:sz="0" w:space="0" w:color="auto"/>
        <w:bottom w:val="none" w:sz="0" w:space="0" w:color="auto"/>
        <w:right w:val="none" w:sz="0" w:space="0" w:color="auto"/>
      </w:divBdr>
    </w:div>
    <w:div w:id="443425041">
      <w:bodyDiv w:val="1"/>
      <w:marLeft w:val="0"/>
      <w:marRight w:val="0"/>
      <w:marTop w:val="0"/>
      <w:marBottom w:val="0"/>
      <w:divBdr>
        <w:top w:val="none" w:sz="0" w:space="0" w:color="auto"/>
        <w:left w:val="none" w:sz="0" w:space="0" w:color="auto"/>
        <w:bottom w:val="none" w:sz="0" w:space="0" w:color="auto"/>
        <w:right w:val="none" w:sz="0" w:space="0" w:color="auto"/>
      </w:divBdr>
    </w:div>
    <w:div w:id="443617591">
      <w:bodyDiv w:val="1"/>
      <w:marLeft w:val="0"/>
      <w:marRight w:val="0"/>
      <w:marTop w:val="0"/>
      <w:marBottom w:val="0"/>
      <w:divBdr>
        <w:top w:val="none" w:sz="0" w:space="0" w:color="auto"/>
        <w:left w:val="none" w:sz="0" w:space="0" w:color="auto"/>
        <w:bottom w:val="none" w:sz="0" w:space="0" w:color="auto"/>
        <w:right w:val="none" w:sz="0" w:space="0" w:color="auto"/>
      </w:divBdr>
    </w:div>
    <w:div w:id="444155607">
      <w:bodyDiv w:val="1"/>
      <w:marLeft w:val="0"/>
      <w:marRight w:val="0"/>
      <w:marTop w:val="0"/>
      <w:marBottom w:val="0"/>
      <w:divBdr>
        <w:top w:val="none" w:sz="0" w:space="0" w:color="auto"/>
        <w:left w:val="none" w:sz="0" w:space="0" w:color="auto"/>
        <w:bottom w:val="none" w:sz="0" w:space="0" w:color="auto"/>
        <w:right w:val="none" w:sz="0" w:space="0" w:color="auto"/>
      </w:divBdr>
    </w:div>
    <w:div w:id="444541678">
      <w:bodyDiv w:val="1"/>
      <w:marLeft w:val="0"/>
      <w:marRight w:val="0"/>
      <w:marTop w:val="0"/>
      <w:marBottom w:val="0"/>
      <w:divBdr>
        <w:top w:val="none" w:sz="0" w:space="0" w:color="auto"/>
        <w:left w:val="none" w:sz="0" w:space="0" w:color="auto"/>
        <w:bottom w:val="none" w:sz="0" w:space="0" w:color="auto"/>
        <w:right w:val="none" w:sz="0" w:space="0" w:color="auto"/>
      </w:divBdr>
    </w:div>
    <w:div w:id="444889947">
      <w:bodyDiv w:val="1"/>
      <w:marLeft w:val="0"/>
      <w:marRight w:val="0"/>
      <w:marTop w:val="0"/>
      <w:marBottom w:val="0"/>
      <w:divBdr>
        <w:top w:val="none" w:sz="0" w:space="0" w:color="auto"/>
        <w:left w:val="none" w:sz="0" w:space="0" w:color="auto"/>
        <w:bottom w:val="none" w:sz="0" w:space="0" w:color="auto"/>
        <w:right w:val="none" w:sz="0" w:space="0" w:color="auto"/>
      </w:divBdr>
    </w:div>
    <w:div w:id="445078202">
      <w:bodyDiv w:val="1"/>
      <w:marLeft w:val="0"/>
      <w:marRight w:val="0"/>
      <w:marTop w:val="0"/>
      <w:marBottom w:val="0"/>
      <w:divBdr>
        <w:top w:val="none" w:sz="0" w:space="0" w:color="auto"/>
        <w:left w:val="none" w:sz="0" w:space="0" w:color="auto"/>
        <w:bottom w:val="none" w:sz="0" w:space="0" w:color="auto"/>
        <w:right w:val="none" w:sz="0" w:space="0" w:color="auto"/>
      </w:divBdr>
    </w:div>
    <w:div w:id="445121628">
      <w:bodyDiv w:val="1"/>
      <w:marLeft w:val="0"/>
      <w:marRight w:val="0"/>
      <w:marTop w:val="0"/>
      <w:marBottom w:val="0"/>
      <w:divBdr>
        <w:top w:val="none" w:sz="0" w:space="0" w:color="auto"/>
        <w:left w:val="none" w:sz="0" w:space="0" w:color="auto"/>
        <w:bottom w:val="none" w:sz="0" w:space="0" w:color="auto"/>
        <w:right w:val="none" w:sz="0" w:space="0" w:color="auto"/>
      </w:divBdr>
    </w:div>
    <w:div w:id="445150987">
      <w:bodyDiv w:val="1"/>
      <w:marLeft w:val="0"/>
      <w:marRight w:val="0"/>
      <w:marTop w:val="0"/>
      <w:marBottom w:val="0"/>
      <w:divBdr>
        <w:top w:val="none" w:sz="0" w:space="0" w:color="auto"/>
        <w:left w:val="none" w:sz="0" w:space="0" w:color="auto"/>
        <w:bottom w:val="none" w:sz="0" w:space="0" w:color="auto"/>
        <w:right w:val="none" w:sz="0" w:space="0" w:color="auto"/>
      </w:divBdr>
    </w:div>
    <w:div w:id="445198476">
      <w:bodyDiv w:val="1"/>
      <w:marLeft w:val="0"/>
      <w:marRight w:val="0"/>
      <w:marTop w:val="0"/>
      <w:marBottom w:val="0"/>
      <w:divBdr>
        <w:top w:val="none" w:sz="0" w:space="0" w:color="auto"/>
        <w:left w:val="none" w:sz="0" w:space="0" w:color="auto"/>
        <w:bottom w:val="none" w:sz="0" w:space="0" w:color="auto"/>
        <w:right w:val="none" w:sz="0" w:space="0" w:color="auto"/>
      </w:divBdr>
    </w:div>
    <w:div w:id="445273564">
      <w:bodyDiv w:val="1"/>
      <w:marLeft w:val="0"/>
      <w:marRight w:val="0"/>
      <w:marTop w:val="0"/>
      <w:marBottom w:val="0"/>
      <w:divBdr>
        <w:top w:val="none" w:sz="0" w:space="0" w:color="auto"/>
        <w:left w:val="none" w:sz="0" w:space="0" w:color="auto"/>
        <w:bottom w:val="none" w:sz="0" w:space="0" w:color="auto"/>
        <w:right w:val="none" w:sz="0" w:space="0" w:color="auto"/>
      </w:divBdr>
    </w:div>
    <w:div w:id="445344435">
      <w:bodyDiv w:val="1"/>
      <w:marLeft w:val="0"/>
      <w:marRight w:val="0"/>
      <w:marTop w:val="0"/>
      <w:marBottom w:val="0"/>
      <w:divBdr>
        <w:top w:val="none" w:sz="0" w:space="0" w:color="auto"/>
        <w:left w:val="none" w:sz="0" w:space="0" w:color="auto"/>
        <w:bottom w:val="none" w:sz="0" w:space="0" w:color="auto"/>
        <w:right w:val="none" w:sz="0" w:space="0" w:color="auto"/>
      </w:divBdr>
    </w:div>
    <w:div w:id="445854427">
      <w:bodyDiv w:val="1"/>
      <w:marLeft w:val="0"/>
      <w:marRight w:val="0"/>
      <w:marTop w:val="0"/>
      <w:marBottom w:val="0"/>
      <w:divBdr>
        <w:top w:val="none" w:sz="0" w:space="0" w:color="auto"/>
        <w:left w:val="none" w:sz="0" w:space="0" w:color="auto"/>
        <w:bottom w:val="none" w:sz="0" w:space="0" w:color="auto"/>
        <w:right w:val="none" w:sz="0" w:space="0" w:color="auto"/>
      </w:divBdr>
    </w:div>
    <w:div w:id="446050766">
      <w:bodyDiv w:val="1"/>
      <w:marLeft w:val="0"/>
      <w:marRight w:val="0"/>
      <w:marTop w:val="0"/>
      <w:marBottom w:val="0"/>
      <w:divBdr>
        <w:top w:val="none" w:sz="0" w:space="0" w:color="auto"/>
        <w:left w:val="none" w:sz="0" w:space="0" w:color="auto"/>
        <w:bottom w:val="none" w:sz="0" w:space="0" w:color="auto"/>
        <w:right w:val="none" w:sz="0" w:space="0" w:color="auto"/>
      </w:divBdr>
    </w:div>
    <w:div w:id="446193617">
      <w:bodyDiv w:val="1"/>
      <w:marLeft w:val="0"/>
      <w:marRight w:val="0"/>
      <w:marTop w:val="0"/>
      <w:marBottom w:val="0"/>
      <w:divBdr>
        <w:top w:val="none" w:sz="0" w:space="0" w:color="auto"/>
        <w:left w:val="none" w:sz="0" w:space="0" w:color="auto"/>
        <w:bottom w:val="none" w:sz="0" w:space="0" w:color="auto"/>
        <w:right w:val="none" w:sz="0" w:space="0" w:color="auto"/>
      </w:divBdr>
    </w:div>
    <w:div w:id="446195353">
      <w:bodyDiv w:val="1"/>
      <w:marLeft w:val="0"/>
      <w:marRight w:val="0"/>
      <w:marTop w:val="0"/>
      <w:marBottom w:val="0"/>
      <w:divBdr>
        <w:top w:val="none" w:sz="0" w:space="0" w:color="auto"/>
        <w:left w:val="none" w:sz="0" w:space="0" w:color="auto"/>
        <w:bottom w:val="none" w:sz="0" w:space="0" w:color="auto"/>
        <w:right w:val="none" w:sz="0" w:space="0" w:color="auto"/>
      </w:divBdr>
    </w:div>
    <w:div w:id="446200592">
      <w:bodyDiv w:val="1"/>
      <w:marLeft w:val="0"/>
      <w:marRight w:val="0"/>
      <w:marTop w:val="0"/>
      <w:marBottom w:val="0"/>
      <w:divBdr>
        <w:top w:val="none" w:sz="0" w:space="0" w:color="auto"/>
        <w:left w:val="none" w:sz="0" w:space="0" w:color="auto"/>
        <w:bottom w:val="none" w:sz="0" w:space="0" w:color="auto"/>
        <w:right w:val="none" w:sz="0" w:space="0" w:color="auto"/>
      </w:divBdr>
    </w:div>
    <w:div w:id="446387249">
      <w:bodyDiv w:val="1"/>
      <w:marLeft w:val="0"/>
      <w:marRight w:val="0"/>
      <w:marTop w:val="0"/>
      <w:marBottom w:val="0"/>
      <w:divBdr>
        <w:top w:val="none" w:sz="0" w:space="0" w:color="auto"/>
        <w:left w:val="none" w:sz="0" w:space="0" w:color="auto"/>
        <w:bottom w:val="none" w:sz="0" w:space="0" w:color="auto"/>
        <w:right w:val="none" w:sz="0" w:space="0" w:color="auto"/>
      </w:divBdr>
    </w:div>
    <w:div w:id="446389348">
      <w:bodyDiv w:val="1"/>
      <w:marLeft w:val="0"/>
      <w:marRight w:val="0"/>
      <w:marTop w:val="0"/>
      <w:marBottom w:val="0"/>
      <w:divBdr>
        <w:top w:val="none" w:sz="0" w:space="0" w:color="auto"/>
        <w:left w:val="none" w:sz="0" w:space="0" w:color="auto"/>
        <w:bottom w:val="none" w:sz="0" w:space="0" w:color="auto"/>
        <w:right w:val="none" w:sz="0" w:space="0" w:color="auto"/>
      </w:divBdr>
    </w:div>
    <w:div w:id="446509800">
      <w:bodyDiv w:val="1"/>
      <w:marLeft w:val="0"/>
      <w:marRight w:val="0"/>
      <w:marTop w:val="0"/>
      <w:marBottom w:val="0"/>
      <w:divBdr>
        <w:top w:val="none" w:sz="0" w:space="0" w:color="auto"/>
        <w:left w:val="none" w:sz="0" w:space="0" w:color="auto"/>
        <w:bottom w:val="none" w:sz="0" w:space="0" w:color="auto"/>
        <w:right w:val="none" w:sz="0" w:space="0" w:color="auto"/>
      </w:divBdr>
    </w:div>
    <w:div w:id="446968639">
      <w:bodyDiv w:val="1"/>
      <w:marLeft w:val="0"/>
      <w:marRight w:val="0"/>
      <w:marTop w:val="0"/>
      <w:marBottom w:val="0"/>
      <w:divBdr>
        <w:top w:val="none" w:sz="0" w:space="0" w:color="auto"/>
        <w:left w:val="none" w:sz="0" w:space="0" w:color="auto"/>
        <w:bottom w:val="none" w:sz="0" w:space="0" w:color="auto"/>
        <w:right w:val="none" w:sz="0" w:space="0" w:color="auto"/>
      </w:divBdr>
    </w:div>
    <w:div w:id="447354084">
      <w:bodyDiv w:val="1"/>
      <w:marLeft w:val="0"/>
      <w:marRight w:val="0"/>
      <w:marTop w:val="0"/>
      <w:marBottom w:val="0"/>
      <w:divBdr>
        <w:top w:val="none" w:sz="0" w:space="0" w:color="auto"/>
        <w:left w:val="none" w:sz="0" w:space="0" w:color="auto"/>
        <w:bottom w:val="none" w:sz="0" w:space="0" w:color="auto"/>
        <w:right w:val="none" w:sz="0" w:space="0" w:color="auto"/>
      </w:divBdr>
    </w:div>
    <w:div w:id="447354601">
      <w:bodyDiv w:val="1"/>
      <w:marLeft w:val="0"/>
      <w:marRight w:val="0"/>
      <w:marTop w:val="0"/>
      <w:marBottom w:val="0"/>
      <w:divBdr>
        <w:top w:val="none" w:sz="0" w:space="0" w:color="auto"/>
        <w:left w:val="none" w:sz="0" w:space="0" w:color="auto"/>
        <w:bottom w:val="none" w:sz="0" w:space="0" w:color="auto"/>
        <w:right w:val="none" w:sz="0" w:space="0" w:color="auto"/>
      </w:divBdr>
    </w:div>
    <w:div w:id="447358877">
      <w:bodyDiv w:val="1"/>
      <w:marLeft w:val="0"/>
      <w:marRight w:val="0"/>
      <w:marTop w:val="0"/>
      <w:marBottom w:val="0"/>
      <w:divBdr>
        <w:top w:val="none" w:sz="0" w:space="0" w:color="auto"/>
        <w:left w:val="none" w:sz="0" w:space="0" w:color="auto"/>
        <w:bottom w:val="none" w:sz="0" w:space="0" w:color="auto"/>
        <w:right w:val="none" w:sz="0" w:space="0" w:color="auto"/>
      </w:divBdr>
    </w:div>
    <w:div w:id="447772652">
      <w:bodyDiv w:val="1"/>
      <w:marLeft w:val="0"/>
      <w:marRight w:val="0"/>
      <w:marTop w:val="0"/>
      <w:marBottom w:val="0"/>
      <w:divBdr>
        <w:top w:val="none" w:sz="0" w:space="0" w:color="auto"/>
        <w:left w:val="none" w:sz="0" w:space="0" w:color="auto"/>
        <w:bottom w:val="none" w:sz="0" w:space="0" w:color="auto"/>
        <w:right w:val="none" w:sz="0" w:space="0" w:color="auto"/>
      </w:divBdr>
    </w:div>
    <w:div w:id="447895685">
      <w:bodyDiv w:val="1"/>
      <w:marLeft w:val="0"/>
      <w:marRight w:val="0"/>
      <w:marTop w:val="0"/>
      <w:marBottom w:val="0"/>
      <w:divBdr>
        <w:top w:val="none" w:sz="0" w:space="0" w:color="auto"/>
        <w:left w:val="none" w:sz="0" w:space="0" w:color="auto"/>
        <w:bottom w:val="none" w:sz="0" w:space="0" w:color="auto"/>
        <w:right w:val="none" w:sz="0" w:space="0" w:color="auto"/>
      </w:divBdr>
    </w:div>
    <w:div w:id="448013147">
      <w:bodyDiv w:val="1"/>
      <w:marLeft w:val="0"/>
      <w:marRight w:val="0"/>
      <w:marTop w:val="0"/>
      <w:marBottom w:val="0"/>
      <w:divBdr>
        <w:top w:val="none" w:sz="0" w:space="0" w:color="auto"/>
        <w:left w:val="none" w:sz="0" w:space="0" w:color="auto"/>
        <w:bottom w:val="none" w:sz="0" w:space="0" w:color="auto"/>
        <w:right w:val="none" w:sz="0" w:space="0" w:color="auto"/>
      </w:divBdr>
    </w:div>
    <w:div w:id="448285796">
      <w:bodyDiv w:val="1"/>
      <w:marLeft w:val="0"/>
      <w:marRight w:val="0"/>
      <w:marTop w:val="0"/>
      <w:marBottom w:val="0"/>
      <w:divBdr>
        <w:top w:val="none" w:sz="0" w:space="0" w:color="auto"/>
        <w:left w:val="none" w:sz="0" w:space="0" w:color="auto"/>
        <w:bottom w:val="none" w:sz="0" w:space="0" w:color="auto"/>
        <w:right w:val="none" w:sz="0" w:space="0" w:color="auto"/>
      </w:divBdr>
    </w:div>
    <w:div w:id="448286175">
      <w:bodyDiv w:val="1"/>
      <w:marLeft w:val="0"/>
      <w:marRight w:val="0"/>
      <w:marTop w:val="0"/>
      <w:marBottom w:val="0"/>
      <w:divBdr>
        <w:top w:val="none" w:sz="0" w:space="0" w:color="auto"/>
        <w:left w:val="none" w:sz="0" w:space="0" w:color="auto"/>
        <w:bottom w:val="none" w:sz="0" w:space="0" w:color="auto"/>
        <w:right w:val="none" w:sz="0" w:space="0" w:color="auto"/>
      </w:divBdr>
    </w:div>
    <w:div w:id="448597267">
      <w:bodyDiv w:val="1"/>
      <w:marLeft w:val="0"/>
      <w:marRight w:val="0"/>
      <w:marTop w:val="0"/>
      <w:marBottom w:val="0"/>
      <w:divBdr>
        <w:top w:val="none" w:sz="0" w:space="0" w:color="auto"/>
        <w:left w:val="none" w:sz="0" w:space="0" w:color="auto"/>
        <w:bottom w:val="none" w:sz="0" w:space="0" w:color="auto"/>
        <w:right w:val="none" w:sz="0" w:space="0" w:color="auto"/>
      </w:divBdr>
    </w:div>
    <w:div w:id="448620879">
      <w:bodyDiv w:val="1"/>
      <w:marLeft w:val="0"/>
      <w:marRight w:val="0"/>
      <w:marTop w:val="0"/>
      <w:marBottom w:val="0"/>
      <w:divBdr>
        <w:top w:val="none" w:sz="0" w:space="0" w:color="auto"/>
        <w:left w:val="none" w:sz="0" w:space="0" w:color="auto"/>
        <w:bottom w:val="none" w:sz="0" w:space="0" w:color="auto"/>
        <w:right w:val="none" w:sz="0" w:space="0" w:color="auto"/>
      </w:divBdr>
    </w:div>
    <w:div w:id="448621747">
      <w:bodyDiv w:val="1"/>
      <w:marLeft w:val="0"/>
      <w:marRight w:val="0"/>
      <w:marTop w:val="0"/>
      <w:marBottom w:val="0"/>
      <w:divBdr>
        <w:top w:val="none" w:sz="0" w:space="0" w:color="auto"/>
        <w:left w:val="none" w:sz="0" w:space="0" w:color="auto"/>
        <w:bottom w:val="none" w:sz="0" w:space="0" w:color="auto"/>
        <w:right w:val="none" w:sz="0" w:space="0" w:color="auto"/>
      </w:divBdr>
    </w:div>
    <w:div w:id="448663842">
      <w:bodyDiv w:val="1"/>
      <w:marLeft w:val="0"/>
      <w:marRight w:val="0"/>
      <w:marTop w:val="0"/>
      <w:marBottom w:val="0"/>
      <w:divBdr>
        <w:top w:val="none" w:sz="0" w:space="0" w:color="auto"/>
        <w:left w:val="none" w:sz="0" w:space="0" w:color="auto"/>
        <w:bottom w:val="none" w:sz="0" w:space="0" w:color="auto"/>
        <w:right w:val="none" w:sz="0" w:space="0" w:color="auto"/>
      </w:divBdr>
    </w:div>
    <w:div w:id="448861073">
      <w:bodyDiv w:val="1"/>
      <w:marLeft w:val="0"/>
      <w:marRight w:val="0"/>
      <w:marTop w:val="0"/>
      <w:marBottom w:val="0"/>
      <w:divBdr>
        <w:top w:val="none" w:sz="0" w:space="0" w:color="auto"/>
        <w:left w:val="none" w:sz="0" w:space="0" w:color="auto"/>
        <w:bottom w:val="none" w:sz="0" w:space="0" w:color="auto"/>
        <w:right w:val="none" w:sz="0" w:space="0" w:color="auto"/>
      </w:divBdr>
    </w:div>
    <w:div w:id="449011292">
      <w:bodyDiv w:val="1"/>
      <w:marLeft w:val="0"/>
      <w:marRight w:val="0"/>
      <w:marTop w:val="0"/>
      <w:marBottom w:val="0"/>
      <w:divBdr>
        <w:top w:val="none" w:sz="0" w:space="0" w:color="auto"/>
        <w:left w:val="none" w:sz="0" w:space="0" w:color="auto"/>
        <w:bottom w:val="none" w:sz="0" w:space="0" w:color="auto"/>
        <w:right w:val="none" w:sz="0" w:space="0" w:color="auto"/>
      </w:divBdr>
    </w:div>
    <w:div w:id="449015108">
      <w:bodyDiv w:val="1"/>
      <w:marLeft w:val="0"/>
      <w:marRight w:val="0"/>
      <w:marTop w:val="0"/>
      <w:marBottom w:val="0"/>
      <w:divBdr>
        <w:top w:val="none" w:sz="0" w:space="0" w:color="auto"/>
        <w:left w:val="none" w:sz="0" w:space="0" w:color="auto"/>
        <w:bottom w:val="none" w:sz="0" w:space="0" w:color="auto"/>
        <w:right w:val="none" w:sz="0" w:space="0" w:color="auto"/>
      </w:divBdr>
    </w:div>
    <w:div w:id="449084032">
      <w:bodyDiv w:val="1"/>
      <w:marLeft w:val="0"/>
      <w:marRight w:val="0"/>
      <w:marTop w:val="0"/>
      <w:marBottom w:val="0"/>
      <w:divBdr>
        <w:top w:val="none" w:sz="0" w:space="0" w:color="auto"/>
        <w:left w:val="none" w:sz="0" w:space="0" w:color="auto"/>
        <w:bottom w:val="none" w:sz="0" w:space="0" w:color="auto"/>
        <w:right w:val="none" w:sz="0" w:space="0" w:color="auto"/>
      </w:divBdr>
    </w:div>
    <w:div w:id="449281402">
      <w:bodyDiv w:val="1"/>
      <w:marLeft w:val="0"/>
      <w:marRight w:val="0"/>
      <w:marTop w:val="0"/>
      <w:marBottom w:val="0"/>
      <w:divBdr>
        <w:top w:val="none" w:sz="0" w:space="0" w:color="auto"/>
        <w:left w:val="none" w:sz="0" w:space="0" w:color="auto"/>
        <w:bottom w:val="none" w:sz="0" w:space="0" w:color="auto"/>
        <w:right w:val="none" w:sz="0" w:space="0" w:color="auto"/>
      </w:divBdr>
    </w:div>
    <w:div w:id="449398403">
      <w:bodyDiv w:val="1"/>
      <w:marLeft w:val="0"/>
      <w:marRight w:val="0"/>
      <w:marTop w:val="0"/>
      <w:marBottom w:val="0"/>
      <w:divBdr>
        <w:top w:val="none" w:sz="0" w:space="0" w:color="auto"/>
        <w:left w:val="none" w:sz="0" w:space="0" w:color="auto"/>
        <w:bottom w:val="none" w:sz="0" w:space="0" w:color="auto"/>
        <w:right w:val="none" w:sz="0" w:space="0" w:color="auto"/>
      </w:divBdr>
    </w:div>
    <w:div w:id="449714103">
      <w:bodyDiv w:val="1"/>
      <w:marLeft w:val="0"/>
      <w:marRight w:val="0"/>
      <w:marTop w:val="0"/>
      <w:marBottom w:val="0"/>
      <w:divBdr>
        <w:top w:val="none" w:sz="0" w:space="0" w:color="auto"/>
        <w:left w:val="none" w:sz="0" w:space="0" w:color="auto"/>
        <w:bottom w:val="none" w:sz="0" w:space="0" w:color="auto"/>
        <w:right w:val="none" w:sz="0" w:space="0" w:color="auto"/>
      </w:divBdr>
    </w:div>
    <w:div w:id="449740146">
      <w:bodyDiv w:val="1"/>
      <w:marLeft w:val="0"/>
      <w:marRight w:val="0"/>
      <w:marTop w:val="0"/>
      <w:marBottom w:val="0"/>
      <w:divBdr>
        <w:top w:val="none" w:sz="0" w:space="0" w:color="auto"/>
        <w:left w:val="none" w:sz="0" w:space="0" w:color="auto"/>
        <w:bottom w:val="none" w:sz="0" w:space="0" w:color="auto"/>
        <w:right w:val="none" w:sz="0" w:space="0" w:color="auto"/>
      </w:divBdr>
    </w:div>
    <w:div w:id="449783737">
      <w:bodyDiv w:val="1"/>
      <w:marLeft w:val="0"/>
      <w:marRight w:val="0"/>
      <w:marTop w:val="0"/>
      <w:marBottom w:val="0"/>
      <w:divBdr>
        <w:top w:val="none" w:sz="0" w:space="0" w:color="auto"/>
        <w:left w:val="none" w:sz="0" w:space="0" w:color="auto"/>
        <w:bottom w:val="none" w:sz="0" w:space="0" w:color="auto"/>
        <w:right w:val="none" w:sz="0" w:space="0" w:color="auto"/>
      </w:divBdr>
    </w:div>
    <w:div w:id="449787977">
      <w:bodyDiv w:val="1"/>
      <w:marLeft w:val="0"/>
      <w:marRight w:val="0"/>
      <w:marTop w:val="0"/>
      <w:marBottom w:val="0"/>
      <w:divBdr>
        <w:top w:val="none" w:sz="0" w:space="0" w:color="auto"/>
        <w:left w:val="none" w:sz="0" w:space="0" w:color="auto"/>
        <w:bottom w:val="none" w:sz="0" w:space="0" w:color="auto"/>
        <w:right w:val="none" w:sz="0" w:space="0" w:color="auto"/>
      </w:divBdr>
    </w:div>
    <w:div w:id="450247688">
      <w:bodyDiv w:val="1"/>
      <w:marLeft w:val="0"/>
      <w:marRight w:val="0"/>
      <w:marTop w:val="0"/>
      <w:marBottom w:val="0"/>
      <w:divBdr>
        <w:top w:val="none" w:sz="0" w:space="0" w:color="auto"/>
        <w:left w:val="none" w:sz="0" w:space="0" w:color="auto"/>
        <w:bottom w:val="none" w:sz="0" w:space="0" w:color="auto"/>
        <w:right w:val="none" w:sz="0" w:space="0" w:color="auto"/>
      </w:divBdr>
    </w:div>
    <w:div w:id="450443020">
      <w:bodyDiv w:val="1"/>
      <w:marLeft w:val="0"/>
      <w:marRight w:val="0"/>
      <w:marTop w:val="0"/>
      <w:marBottom w:val="0"/>
      <w:divBdr>
        <w:top w:val="none" w:sz="0" w:space="0" w:color="auto"/>
        <w:left w:val="none" w:sz="0" w:space="0" w:color="auto"/>
        <w:bottom w:val="none" w:sz="0" w:space="0" w:color="auto"/>
        <w:right w:val="none" w:sz="0" w:space="0" w:color="auto"/>
      </w:divBdr>
    </w:div>
    <w:div w:id="450516345">
      <w:bodyDiv w:val="1"/>
      <w:marLeft w:val="0"/>
      <w:marRight w:val="0"/>
      <w:marTop w:val="0"/>
      <w:marBottom w:val="0"/>
      <w:divBdr>
        <w:top w:val="none" w:sz="0" w:space="0" w:color="auto"/>
        <w:left w:val="none" w:sz="0" w:space="0" w:color="auto"/>
        <w:bottom w:val="none" w:sz="0" w:space="0" w:color="auto"/>
        <w:right w:val="none" w:sz="0" w:space="0" w:color="auto"/>
      </w:divBdr>
    </w:div>
    <w:div w:id="450782255">
      <w:bodyDiv w:val="1"/>
      <w:marLeft w:val="0"/>
      <w:marRight w:val="0"/>
      <w:marTop w:val="0"/>
      <w:marBottom w:val="0"/>
      <w:divBdr>
        <w:top w:val="none" w:sz="0" w:space="0" w:color="auto"/>
        <w:left w:val="none" w:sz="0" w:space="0" w:color="auto"/>
        <w:bottom w:val="none" w:sz="0" w:space="0" w:color="auto"/>
        <w:right w:val="none" w:sz="0" w:space="0" w:color="auto"/>
      </w:divBdr>
    </w:div>
    <w:div w:id="450831103">
      <w:bodyDiv w:val="1"/>
      <w:marLeft w:val="0"/>
      <w:marRight w:val="0"/>
      <w:marTop w:val="0"/>
      <w:marBottom w:val="0"/>
      <w:divBdr>
        <w:top w:val="none" w:sz="0" w:space="0" w:color="auto"/>
        <w:left w:val="none" w:sz="0" w:space="0" w:color="auto"/>
        <w:bottom w:val="none" w:sz="0" w:space="0" w:color="auto"/>
        <w:right w:val="none" w:sz="0" w:space="0" w:color="auto"/>
      </w:divBdr>
    </w:div>
    <w:div w:id="451021951">
      <w:bodyDiv w:val="1"/>
      <w:marLeft w:val="0"/>
      <w:marRight w:val="0"/>
      <w:marTop w:val="0"/>
      <w:marBottom w:val="0"/>
      <w:divBdr>
        <w:top w:val="none" w:sz="0" w:space="0" w:color="auto"/>
        <w:left w:val="none" w:sz="0" w:space="0" w:color="auto"/>
        <w:bottom w:val="none" w:sz="0" w:space="0" w:color="auto"/>
        <w:right w:val="none" w:sz="0" w:space="0" w:color="auto"/>
      </w:divBdr>
    </w:div>
    <w:div w:id="451482886">
      <w:bodyDiv w:val="1"/>
      <w:marLeft w:val="0"/>
      <w:marRight w:val="0"/>
      <w:marTop w:val="0"/>
      <w:marBottom w:val="0"/>
      <w:divBdr>
        <w:top w:val="none" w:sz="0" w:space="0" w:color="auto"/>
        <w:left w:val="none" w:sz="0" w:space="0" w:color="auto"/>
        <w:bottom w:val="none" w:sz="0" w:space="0" w:color="auto"/>
        <w:right w:val="none" w:sz="0" w:space="0" w:color="auto"/>
      </w:divBdr>
    </w:div>
    <w:div w:id="451630721">
      <w:bodyDiv w:val="1"/>
      <w:marLeft w:val="0"/>
      <w:marRight w:val="0"/>
      <w:marTop w:val="0"/>
      <w:marBottom w:val="0"/>
      <w:divBdr>
        <w:top w:val="none" w:sz="0" w:space="0" w:color="auto"/>
        <w:left w:val="none" w:sz="0" w:space="0" w:color="auto"/>
        <w:bottom w:val="none" w:sz="0" w:space="0" w:color="auto"/>
        <w:right w:val="none" w:sz="0" w:space="0" w:color="auto"/>
      </w:divBdr>
    </w:div>
    <w:div w:id="451632857">
      <w:bodyDiv w:val="1"/>
      <w:marLeft w:val="0"/>
      <w:marRight w:val="0"/>
      <w:marTop w:val="0"/>
      <w:marBottom w:val="0"/>
      <w:divBdr>
        <w:top w:val="none" w:sz="0" w:space="0" w:color="auto"/>
        <w:left w:val="none" w:sz="0" w:space="0" w:color="auto"/>
        <w:bottom w:val="none" w:sz="0" w:space="0" w:color="auto"/>
        <w:right w:val="none" w:sz="0" w:space="0" w:color="auto"/>
      </w:divBdr>
    </w:div>
    <w:div w:id="452024109">
      <w:bodyDiv w:val="1"/>
      <w:marLeft w:val="0"/>
      <w:marRight w:val="0"/>
      <w:marTop w:val="0"/>
      <w:marBottom w:val="0"/>
      <w:divBdr>
        <w:top w:val="none" w:sz="0" w:space="0" w:color="auto"/>
        <w:left w:val="none" w:sz="0" w:space="0" w:color="auto"/>
        <w:bottom w:val="none" w:sz="0" w:space="0" w:color="auto"/>
        <w:right w:val="none" w:sz="0" w:space="0" w:color="auto"/>
      </w:divBdr>
    </w:div>
    <w:div w:id="452288315">
      <w:bodyDiv w:val="1"/>
      <w:marLeft w:val="0"/>
      <w:marRight w:val="0"/>
      <w:marTop w:val="0"/>
      <w:marBottom w:val="0"/>
      <w:divBdr>
        <w:top w:val="none" w:sz="0" w:space="0" w:color="auto"/>
        <w:left w:val="none" w:sz="0" w:space="0" w:color="auto"/>
        <w:bottom w:val="none" w:sz="0" w:space="0" w:color="auto"/>
        <w:right w:val="none" w:sz="0" w:space="0" w:color="auto"/>
      </w:divBdr>
    </w:div>
    <w:div w:id="452359174">
      <w:bodyDiv w:val="1"/>
      <w:marLeft w:val="0"/>
      <w:marRight w:val="0"/>
      <w:marTop w:val="0"/>
      <w:marBottom w:val="0"/>
      <w:divBdr>
        <w:top w:val="none" w:sz="0" w:space="0" w:color="auto"/>
        <w:left w:val="none" w:sz="0" w:space="0" w:color="auto"/>
        <w:bottom w:val="none" w:sz="0" w:space="0" w:color="auto"/>
        <w:right w:val="none" w:sz="0" w:space="0" w:color="auto"/>
      </w:divBdr>
    </w:div>
    <w:div w:id="452670603">
      <w:bodyDiv w:val="1"/>
      <w:marLeft w:val="0"/>
      <w:marRight w:val="0"/>
      <w:marTop w:val="0"/>
      <w:marBottom w:val="0"/>
      <w:divBdr>
        <w:top w:val="none" w:sz="0" w:space="0" w:color="auto"/>
        <w:left w:val="none" w:sz="0" w:space="0" w:color="auto"/>
        <w:bottom w:val="none" w:sz="0" w:space="0" w:color="auto"/>
        <w:right w:val="none" w:sz="0" w:space="0" w:color="auto"/>
      </w:divBdr>
    </w:div>
    <w:div w:id="453184255">
      <w:bodyDiv w:val="1"/>
      <w:marLeft w:val="0"/>
      <w:marRight w:val="0"/>
      <w:marTop w:val="0"/>
      <w:marBottom w:val="0"/>
      <w:divBdr>
        <w:top w:val="none" w:sz="0" w:space="0" w:color="auto"/>
        <w:left w:val="none" w:sz="0" w:space="0" w:color="auto"/>
        <w:bottom w:val="none" w:sz="0" w:space="0" w:color="auto"/>
        <w:right w:val="none" w:sz="0" w:space="0" w:color="auto"/>
      </w:divBdr>
    </w:div>
    <w:div w:id="453208746">
      <w:bodyDiv w:val="1"/>
      <w:marLeft w:val="0"/>
      <w:marRight w:val="0"/>
      <w:marTop w:val="0"/>
      <w:marBottom w:val="0"/>
      <w:divBdr>
        <w:top w:val="none" w:sz="0" w:space="0" w:color="auto"/>
        <w:left w:val="none" w:sz="0" w:space="0" w:color="auto"/>
        <w:bottom w:val="none" w:sz="0" w:space="0" w:color="auto"/>
        <w:right w:val="none" w:sz="0" w:space="0" w:color="auto"/>
      </w:divBdr>
    </w:div>
    <w:div w:id="453713111">
      <w:bodyDiv w:val="1"/>
      <w:marLeft w:val="0"/>
      <w:marRight w:val="0"/>
      <w:marTop w:val="0"/>
      <w:marBottom w:val="0"/>
      <w:divBdr>
        <w:top w:val="none" w:sz="0" w:space="0" w:color="auto"/>
        <w:left w:val="none" w:sz="0" w:space="0" w:color="auto"/>
        <w:bottom w:val="none" w:sz="0" w:space="0" w:color="auto"/>
        <w:right w:val="none" w:sz="0" w:space="0" w:color="auto"/>
      </w:divBdr>
    </w:div>
    <w:div w:id="453721270">
      <w:bodyDiv w:val="1"/>
      <w:marLeft w:val="0"/>
      <w:marRight w:val="0"/>
      <w:marTop w:val="0"/>
      <w:marBottom w:val="0"/>
      <w:divBdr>
        <w:top w:val="none" w:sz="0" w:space="0" w:color="auto"/>
        <w:left w:val="none" w:sz="0" w:space="0" w:color="auto"/>
        <w:bottom w:val="none" w:sz="0" w:space="0" w:color="auto"/>
        <w:right w:val="none" w:sz="0" w:space="0" w:color="auto"/>
      </w:divBdr>
    </w:div>
    <w:div w:id="454061782">
      <w:bodyDiv w:val="1"/>
      <w:marLeft w:val="0"/>
      <w:marRight w:val="0"/>
      <w:marTop w:val="0"/>
      <w:marBottom w:val="0"/>
      <w:divBdr>
        <w:top w:val="none" w:sz="0" w:space="0" w:color="auto"/>
        <w:left w:val="none" w:sz="0" w:space="0" w:color="auto"/>
        <w:bottom w:val="none" w:sz="0" w:space="0" w:color="auto"/>
        <w:right w:val="none" w:sz="0" w:space="0" w:color="auto"/>
      </w:divBdr>
    </w:div>
    <w:div w:id="454518562">
      <w:bodyDiv w:val="1"/>
      <w:marLeft w:val="0"/>
      <w:marRight w:val="0"/>
      <w:marTop w:val="0"/>
      <w:marBottom w:val="0"/>
      <w:divBdr>
        <w:top w:val="none" w:sz="0" w:space="0" w:color="auto"/>
        <w:left w:val="none" w:sz="0" w:space="0" w:color="auto"/>
        <w:bottom w:val="none" w:sz="0" w:space="0" w:color="auto"/>
        <w:right w:val="none" w:sz="0" w:space="0" w:color="auto"/>
      </w:divBdr>
    </w:div>
    <w:div w:id="454644510">
      <w:bodyDiv w:val="1"/>
      <w:marLeft w:val="0"/>
      <w:marRight w:val="0"/>
      <w:marTop w:val="0"/>
      <w:marBottom w:val="0"/>
      <w:divBdr>
        <w:top w:val="none" w:sz="0" w:space="0" w:color="auto"/>
        <w:left w:val="none" w:sz="0" w:space="0" w:color="auto"/>
        <w:bottom w:val="none" w:sz="0" w:space="0" w:color="auto"/>
        <w:right w:val="none" w:sz="0" w:space="0" w:color="auto"/>
      </w:divBdr>
    </w:div>
    <w:div w:id="454833366">
      <w:bodyDiv w:val="1"/>
      <w:marLeft w:val="0"/>
      <w:marRight w:val="0"/>
      <w:marTop w:val="0"/>
      <w:marBottom w:val="0"/>
      <w:divBdr>
        <w:top w:val="none" w:sz="0" w:space="0" w:color="auto"/>
        <w:left w:val="none" w:sz="0" w:space="0" w:color="auto"/>
        <w:bottom w:val="none" w:sz="0" w:space="0" w:color="auto"/>
        <w:right w:val="none" w:sz="0" w:space="0" w:color="auto"/>
      </w:divBdr>
    </w:div>
    <w:div w:id="454833958">
      <w:bodyDiv w:val="1"/>
      <w:marLeft w:val="0"/>
      <w:marRight w:val="0"/>
      <w:marTop w:val="0"/>
      <w:marBottom w:val="0"/>
      <w:divBdr>
        <w:top w:val="none" w:sz="0" w:space="0" w:color="auto"/>
        <w:left w:val="none" w:sz="0" w:space="0" w:color="auto"/>
        <w:bottom w:val="none" w:sz="0" w:space="0" w:color="auto"/>
        <w:right w:val="none" w:sz="0" w:space="0" w:color="auto"/>
      </w:divBdr>
    </w:div>
    <w:div w:id="454834499">
      <w:bodyDiv w:val="1"/>
      <w:marLeft w:val="0"/>
      <w:marRight w:val="0"/>
      <w:marTop w:val="0"/>
      <w:marBottom w:val="0"/>
      <w:divBdr>
        <w:top w:val="none" w:sz="0" w:space="0" w:color="auto"/>
        <w:left w:val="none" w:sz="0" w:space="0" w:color="auto"/>
        <w:bottom w:val="none" w:sz="0" w:space="0" w:color="auto"/>
        <w:right w:val="none" w:sz="0" w:space="0" w:color="auto"/>
      </w:divBdr>
    </w:div>
    <w:div w:id="455680104">
      <w:bodyDiv w:val="1"/>
      <w:marLeft w:val="0"/>
      <w:marRight w:val="0"/>
      <w:marTop w:val="0"/>
      <w:marBottom w:val="0"/>
      <w:divBdr>
        <w:top w:val="none" w:sz="0" w:space="0" w:color="auto"/>
        <w:left w:val="none" w:sz="0" w:space="0" w:color="auto"/>
        <w:bottom w:val="none" w:sz="0" w:space="0" w:color="auto"/>
        <w:right w:val="none" w:sz="0" w:space="0" w:color="auto"/>
      </w:divBdr>
    </w:div>
    <w:div w:id="455876521">
      <w:bodyDiv w:val="1"/>
      <w:marLeft w:val="0"/>
      <w:marRight w:val="0"/>
      <w:marTop w:val="0"/>
      <w:marBottom w:val="0"/>
      <w:divBdr>
        <w:top w:val="none" w:sz="0" w:space="0" w:color="auto"/>
        <w:left w:val="none" w:sz="0" w:space="0" w:color="auto"/>
        <w:bottom w:val="none" w:sz="0" w:space="0" w:color="auto"/>
        <w:right w:val="none" w:sz="0" w:space="0" w:color="auto"/>
      </w:divBdr>
    </w:div>
    <w:div w:id="456216468">
      <w:bodyDiv w:val="1"/>
      <w:marLeft w:val="0"/>
      <w:marRight w:val="0"/>
      <w:marTop w:val="0"/>
      <w:marBottom w:val="0"/>
      <w:divBdr>
        <w:top w:val="none" w:sz="0" w:space="0" w:color="auto"/>
        <w:left w:val="none" w:sz="0" w:space="0" w:color="auto"/>
        <w:bottom w:val="none" w:sz="0" w:space="0" w:color="auto"/>
        <w:right w:val="none" w:sz="0" w:space="0" w:color="auto"/>
      </w:divBdr>
    </w:div>
    <w:div w:id="456413965">
      <w:bodyDiv w:val="1"/>
      <w:marLeft w:val="0"/>
      <w:marRight w:val="0"/>
      <w:marTop w:val="0"/>
      <w:marBottom w:val="0"/>
      <w:divBdr>
        <w:top w:val="none" w:sz="0" w:space="0" w:color="auto"/>
        <w:left w:val="none" w:sz="0" w:space="0" w:color="auto"/>
        <w:bottom w:val="none" w:sz="0" w:space="0" w:color="auto"/>
        <w:right w:val="none" w:sz="0" w:space="0" w:color="auto"/>
      </w:divBdr>
    </w:div>
    <w:div w:id="456487742">
      <w:bodyDiv w:val="1"/>
      <w:marLeft w:val="0"/>
      <w:marRight w:val="0"/>
      <w:marTop w:val="0"/>
      <w:marBottom w:val="0"/>
      <w:divBdr>
        <w:top w:val="none" w:sz="0" w:space="0" w:color="auto"/>
        <w:left w:val="none" w:sz="0" w:space="0" w:color="auto"/>
        <w:bottom w:val="none" w:sz="0" w:space="0" w:color="auto"/>
        <w:right w:val="none" w:sz="0" w:space="0" w:color="auto"/>
      </w:divBdr>
    </w:div>
    <w:div w:id="456487924">
      <w:bodyDiv w:val="1"/>
      <w:marLeft w:val="0"/>
      <w:marRight w:val="0"/>
      <w:marTop w:val="0"/>
      <w:marBottom w:val="0"/>
      <w:divBdr>
        <w:top w:val="none" w:sz="0" w:space="0" w:color="auto"/>
        <w:left w:val="none" w:sz="0" w:space="0" w:color="auto"/>
        <w:bottom w:val="none" w:sz="0" w:space="0" w:color="auto"/>
        <w:right w:val="none" w:sz="0" w:space="0" w:color="auto"/>
      </w:divBdr>
    </w:div>
    <w:div w:id="456681094">
      <w:bodyDiv w:val="1"/>
      <w:marLeft w:val="0"/>
      <w:marRight w:val="0"/>
      <w:marTop w:val="0"/>
      <w:marBottom w:val="0"/>
      <w:divBdr>
        <w:top w:val="none" w:sz="0" w:space="0" w:color="auto"/>
        <w:left w:val="none" w:sz="0" w:space="0" w:color="auto"/>
        <w:bottom w:val="none" w:sz="0" w:space="0" w:color="auto"/>
        <w:right w:val="none" w:sz="0" w:space="0" w:color="auto"/>
      </w:divBdr>
    </w:div>
    <w:div w:id="456795558">
      <w:bodyDiv w:val="1"/>
      <w:marLeft w:val="0"/>
      <w:marRight w:val="0"/>
      <w:marTop w:val="0"/>
      <w:marBottom w:val="0"/>
      <w:divBdr>
        <w:top w:val="none" w:sz="0" w:space="0" w:color="auto"/>
        <w:left w:val="none" w:sz="0" w:space="0" w:color="auto"/>
        <w:bottom w:val="none" w:sz="0" w:space="0" w:color="auto"/>
        <w:right w:val="none" w:sz="0" w:space="0" w:color="auto"/>
      </w:divBdr>
    </w:div>
    <w:div w:id="456875781">
      <w:bodyDiv w:val="1"/>
      <w:marLeft w:val="0"/>
      <w:marRight w:val="0"/>
      <w:marTop w:val="0"/>
      <w:marBottom w:val="0"/>
      <w:divBdr>
        <w:top w:val="none" w:sz="0" w:space="0" w:color="auto"/>
        <w:left w:val="none" w:sz="0" w:space="0" w:color="auto"/>
        <w:bottom w:val="none" w:sz="0" w:space="0" w:color="auto"/>
        <w:right w:val="none" w:sz="0" w:space="0" w:color="auto"/>
      </w:divBdr>
    </w:div>
    <w:div w:id="456918459">
      <w:bodyDiv w:val="1"/>
      <w:marLeft w:val="0"/>
      <w:marRight w:val="0"/>
      <w:marTop w:val="0"/>
      <w:marBottom w:val="0"/>
      <w:divBdr>
        <w:top w:val="none" w:sz="0" w:space="0" w:color="auto"/>
        <w:left w:val="none" w:sz="0" w:space="0" w:color="auto"/>
        <w:bottom w:val="none" w:sz="0" w:space="0" w:color="auto"/>
        <w:right w:val="none" w:sz="0" w:space="0" w:color="auto"/>
      </w:divBdr>
    </w:div>
    <w:div w:id="457380324">
      <w:bodyDiv w:val="1"/>
      <w:marLeft w:val="0"/>
      <w:marRight w:val="0"/>
      <w:marTop w:val="0"/>
      <w:marBottom w:val="0"/>
      <w:divBdr>
        <w:top w:val="none" w:sz="0" w:space="0" w:color="auto"/>
        <w:left w:val="none" w:sz="0" w:space="0" w:color="auto"/>
        <w:bottom w:val="none" w:sz="0" w:space="0" w:color="auto"/>
        <w:right w:val="none" w:sz="0" w:space="0" w:color="auto"/>
      </w:divBdr>
    </w:div>
    <w:div w:id="457572944">
      <w:bodyDiv w:val="1"/>
      <w:marLeft w:val="0"/>
      <w:marRight w:val="0"/>
      <w:marTop w:val="0"/>
      <w:marBottom w:val="0"/>
      <w:divBdr>
        <w:top w:val="none" w:sz="0" w:space="0" w:color="auto"/>
        <w:left w:val="none" w:sz="0" w:space="0" w:color="auto"/>
        <w:bottom w:val="none" w:sz="0" w:space="0" w:color="auto"/>
        <w:right w:val="none" w:sz="0" w:space="0" w:color="auto"/>
      </w:divBdr>
    </w:div>
    <w:div w:id="457603089">
      <w:bodyDiv w:val="1"/>
      <w:marLeft w:val="0"/>
      <w:marRight w:val="0"/>
      <w:marTop w:val="0"/>
      <w:marBottom w:val="0"/>
      <w:divBdr>
        <w:top w:val="none" w:sz="0" w:space="0" w:color="auto"/>
        <w:left w:val="none" w:sz="0" w:space="0" w:color="auto"/>
        <w:bottom w:val="none" w:sz="0" w:space="0" w:color="auto"/>
        <w:right w:val="none" w:sz="0" w:space="0" w:color="auto"/>
      </w:divBdr>
    </w:div>
    <w:div w:id="457914894">
      <w:bodyDiv w:val="1"/>
      <w:marLeft w:val="0"/>
      <w:marRight w:val="0"/>
      <w:marTop w:val="0"/>
      <w:marBottom w:val="0"/>
      <w:divBdr>
        <w:top w:val="none" w:sz="0" w:space="0" w:color="auto"/>
        <w:left w:val="none" w:sz="0" w:space="0" w:color="auto"/>
        <w:bottom w:val="none" w:sz="0" w:space="0" w:color="auto"/>
        <w:right w:val="none" w:sz="0" w:space="0" w:color="auto"/>
      </w:divBdr>
    </w:div>
    <w:div w:id="458108984">
      <w:bodyDiv w:val="1"/>
      <w:marLeft w:val="0"/>
      <w:marRight w:val="0"/>
      <w:marTop w:val="0"/>
      <w:marBottom w:val="0"/>
      <w:divBdr>
        <w:top w:val="none" w:sz="0" w:space="0" w:color="auto"/>
        <w:left w:val="none" w:sz="0" w:space="0" w:color="auto"/>
        <w:bottom w:val="none" w:sz="0" w:space="0" w:color="auto"/>
        <w:right w:val="none" w:sz="0" w:space="0" w:color="auto"/>
      </w:divBdr>
    </w:div>
    <w:div w:id="458379303">
      <w:bodyDiv w:val="1"/>
      <w:marLeft w:val="0"/>
      <w:marRight w:val="0"/>
      <w:marTop w:val="0"/>
      <w:marBottom w:val="0"/>
      <w:divBdr>
        <w:top w:val="none" w:sz="0" w:space="0" w:color="auto"/>
        <w:left w:val="none" w:sz="0" w:space="0" w:color="auto"/>
        <w:bottom w:val="none" w:sz="0" w:space="0" w:color="auto"/>
        <w:right w:val="none" w:sz="0" w:space="0" w:color="auto"/>
      </w:divBdr>
    </w:div>
    <w:div w:id="458382727">
      <w:bodyDiv w:val="1"/>
      <w:marLeft w:val="0"/>
      <w:marRight w:val="0"/>
      <w:marTop w:val="0"/>
      <w:marBottom w:val="0"/>
      <w:divBdr>
        <w:top w:val="none" w:sz="0" w:space="0" w:color="auto"/>
        <w:left w:val="none" w:sz="0" w:space="0" w:color="auto"/>
        <w:bottom w:val="none" w:sz="0" w:space="0" w:color="auto"/>
        <w:right w:val="none" w:sz="0" w:space="0" w:color="auto"/>
      </w:divBdr>
    </w:div>
    <w:div w:id="458494920">
      <w:bodyDiv w:val="1"/>
      <w:marLeft w:val="0"/>
      <w:marRight w:val="0"/>
      <w:marTop w:val="0"/>
      <w:marBottom w:val="0"/>
      <w:divBdr>
        <w:top w:val="none" w:sz="0" w:space="0" w:color="auto"/>
        <w:left w:val="none" w:sz="0" w:space="0" w:color="auto"/>
        <w:bottom w:val="none" w:sz="0" w:space="0" w:color="auto"/>
        <w:right w:val="none" w:sz="0" w:space="0" w:color="auto"/>
      </w:divBdr>
    </w:div>
    <w:div w:id="458689228">
      <w:bodyDiv w:val="1"/>
      <w:marLeft w:val="0"/>
      <w:marRight w:val="0"/>
      <w:marTop w:val="0"/>
      <w:marBottom w:val="0"/>
      <w:divBdr>
        <w:top w:val="none" w:sz="0" w:space="0" w:color="auto"/>
        <w:left w:val="none" w:sz="0" w:space="0" w:color="auto"/>
        <w:bottom w:val="none" w:sz="0" w:space="0" w:color="auto"/>
        <w:right w:val="none" w:sz="0" w:space="0" w:color="auto"/>
      </w:divBdr>
    </w:div>
    <w:div w:id="458693802">
      <w:bodyDiv w:val="1"/>
      <w:marLeft w:val="0"/>
      <w:marRight w:val="0"/>
      <w:marTop w:val="0"/>
      <w:marBottom w:val="0"/>
      <w:divBdr>
        <w:top w:val="none" w:sz="0" w:space="0" w:color="auto"/>
        <w:left w:val="none" w:sz="0" w:space="0" w:color="auto"/>
        <w:bottom w:val="none" w:sz="0" w:space="0" w:color="auto"/>
        <w:right w:val="none" w:sz="0" w:space="0" w:color="auto"/>
      </w:divBdr>
    </w:div>
    <w:div w:id="458845777">
      <w:bodyDiv w:val="1"/>
      <w:marLeft w:val="0"/>
      <w:marRight w:val="0"/>
      <w:marTop w:val="0"/>
      <w:marBottom w:val="0"/>
      <w:divBdr>
        <w:top w:val="none" w:sz="0" w:space="0" w:color="auto"/>
        <w:left w:val="none" w:sz="0" w:space="0" w:color="auto"/>
        <w:bottom w:val="none" w:sz="0" w:space="0" w:color="auto"/>
        <w:right w:val="none" w:sz="0" w:space="0" w:color="auto"/>
      </w:divBdr>
    </w:div>
    <w:div w:id="458884751">
      <w:bodyDiv w:val="1"/>
      <w:marLeft w:val="0"/>
      <w:marRight w:val="0"/>
      <w:marTop w:val="0"/>
      <w:marBottom w:val="0"/>
      <w:divBdr>
        <w:top w:val="none" w:sz="0" w:space="0" w:color="auto"/>
        <w:left w:val="none" w:sz="0" w:space="0" w:color="auto"/>
        <w:bottom w:val="none" w:sz="0" w:space="0" w:color="auto"/>
        <w:right w:val="none" w:sz="0" w:space="0" w:color="auto"/>
      </w:divBdr>
    </w:div>
    <w:div w:id="458912861">
      <w:bodyDiv w:val="1"/>
      <w:marLeft w:val="0"/>
      <w:marRight w:val="0"/>
      <w:marTop w:val="0"/>
      <w:marBottom w:val="0"/>
      <w:divBdr>
        <w:top w:val="none" w:sz="0" w:space="0" w:color="auto"/>
        <w:left w:val="none" w:sz="0" w:space="0" w:color="auto"/>
        <w:bottom w:val="none" w:sz="0" w:space="0" w:color="auto"/>
        <w:right w:val="none" w:sz="0" w:space="0" w:color="auto"/>
      </w:divBdr>
    </w:div>
    <w:div w:id="459225139">
      <w:bodyDiv w:val="1"/>
      <w:marLeft w:val="0"/>
      <w:marRight w:val="0"/>
      <w:marTop w:val="0"/>
      <w:marBottom w:val="0"/>
      <w:divBdr>
        <w:top w:val="none" w:sz="0" w:space="0" w:color="auto"/>
        <w:left w:val="none" w:sz="0" w:space="0" w:color="auto"/>
        <w:bottom w:val="none" w:sz="0" w:space="0" w:color="auto"/>
        <w:right w:val="none" w:sz="0" w:space="0" w:color="auto"/>
      </w:divBdr>
    </w:div>
    <w:div w:id="459348802">
      <w:bodyDiv w:val="1"/>
      <w:marLeft w:val="0"/>
      <w:marRight w:val="0"/>
      <w:marTop w:val="0"/>
      <w:marBottom w:val="0"/>
      <w:divBdr>
        <w:top w:val="none" w:sz="0" w:space="0" w:color="auto"/>
        <w:left w:val="none" w:sz="0" w:space="0" w:color="auto"/>
        <w:bottom w:val="none" w:sz="0" w:space="0" w:color="auto"/>
        <w:right w:val="none" w:sz="0" w:space="0" w:color="auto"/>
      </w:divBdr>
    </w:div>
    <w:div w:id="459418585">
      <w:bodyDiv w:val="1"/>
      <w:marLeft w:val="0"/>
      <w:marRight w:val="0"/>
      <w:marTop w:val="0"/>
      <w:marBottom w:val="0"/>
      <w:divBdr>
        <w:top w:val="none" w:sz="0" w:space="0" w:color="auto"/>
        <w:left w:val="none" w:sz="0" w:space="0" w:color="auto"/>
        <w:bottom w:val="none" w:sz="0" w:space="0" w:color="auto"/>
        <w:right w:val="none" w:sz="0" w:space="0" w:color="auto"/>
      </w:divBdr>
    </w:div>
    <w:div w:id="459539212">
      <w:bodyDiv w:val="1"/>
      <w:marLeft w:val="0"/>
      <w:marRight w:val="0"/>
      <w:marTop w:val="0"/>
      <w:marBottom w:val="0"/>
      <w:divBdr>
        <w:top w:val="none" w:sz="0" w:space="0" w:color="auto"/>
        <w:left w:val="none" w:sz="0" w:space="0" w:color="auto"/>
        <w:bottom w:val="none" w:sz="0" w:space="0" w:color="auto"/>
        <w:right w:val="none" w:sz="0" w:space="0" w:color="auto"/>
      </w:divBdr>
    </w:div>
    <w:div w:id="459810241">
      <w:bodyDiv w:val="1"/>
      <w:marLeft w:val="0"/>
      <w:marRight w:val="0"/>
      <w:marTop w:val="0"/>
      <w:marBottom w:val="0"/>
      <w:divBdr>
        <w:top w:val="none" w:sz="0" w:space="0" w:color="auto"/>
        <w:left w:val="none" w:sz="0" w:space="0" w:color="auto"/>
        <w:bottom w:val="none" w:sz="0" w:space="0" w:color="auto"/>
        <w:right w:val="none" w:sz="0" w:space="0" w:color="auto"/>
      </w:divBdr>
    </w:div>
    <w:div w:id="459881420">
      <w:bodyDiv w:val="1"/>
      <w:marLeft w:val="0"/>
      <w:marRight w:val="0"/>
      <w:marTop w:val="0"/>
      <w:marBottom w:val="0"/>
      <w:divBdr>
        <w:top w:val="none" w:sz="0" w:space="0" w:color="auto"/>
        <w:left w:val="none" w:sz="0" w:space="0" w:color="auto"/>
        <w:bottom w:val="none" w:sz="0" w:space="0" w:color="auto"/>
        <w:right w:val="none" w:sz="0" w:space="0" w:color="auto"/>
      </w:divBdr>
    </w:div>
    <w:div w:id="459883304">
      <w:bodyDiv w:val="1"/>
      <w:marLeft w:val="0"/>
      <w:marRight w:val="0"/>
      <w:marTop w:val="0"/>
      <w:marBottom w:val="0"/>
      <w:divBdr>
        <w:top w:val="none" w:sz="0" w:space="0" w:color="auto"/>
        <w:left w:val="none" w:sz="0" w:space="0" w:color="auto"/>
        <w:bottom w:val="none" w:sz="0" w:space="0" w:color="auto"/>
        <w:right w:val="none" w:sz="0" w:space="0" w:color="auto"/>
      </w:divBdr>
    </w:div>
    <w:div w:id="460148711">
      <w:bodyDiv w:val="1"/>
      <w:marLeft w:val="0"/>
      <w:marRight w:val="0"/>
      <w:marTop w:val="0"/>
      <w:marBottom w:val="0"/>
      <w:divBdr>
        <w:top w:val="none" w:sz="0" w:space="0" w:color="auto"/>
        <w:left w:val="none" w:sz="0" w:space="0" w:color="auto"/>
        <w:bottom w:val="none" w:sz="0" w:space="0" w:color="auto"/>
        <w:right w:val="none" w:sz="0" w:space="0" w:color="auto"/>
      </w:divBdr>
    </w:div>
    <w:div w:id="460198433">
      <w:bodyDiv w:val="1"/>
      <w:marLeft w:val="0"/>
      <w:marRight w:val="0"/>
      <w:marTop w:val="0"/>
      <w:marBottom w:val="0"/>
      <w:divBdr>
        <w:top w:val="none" w:sz="0" w:space="0" w:color="auto"/>
        <w:left w:val="none" w:sz="0" w:space="0" w:color="auto"/>
        <w:bottom w:val="none" w:sz="0" w:space="0" w:color="auto"/>
        <w:right w:val="none" w:sz="0" w:space="0" w:color="auto"/>
      </w:divBdr>
    </w:div>
    <w:div w:id="460273179">
      <w:bodyDiv w:val="1"/>
      <w:marLeft w:val="0"/>
      <w:marRight w:val="0"/>
      <w:marTop w:val="0"/>
      <w:marBottom w:val="0"/>
      <w:divBdr>
        <w:top w:val="none" w:sz="0" w:space="0" w:color="auto"/>
        <w:left w:val="none" w:sz="0" w:space="0" w:color="auto"/>
        <w:bottom w:val="none" w:sz="0" w:space="0" w:color="auto"/>
        <w:right w:val="none" w:sz="0" w:space="0" w:color="auto"/>
      </w:divBdr>
    </w:div>
    <w:div w:id="460462874">
      <w:bodyDiv w:val="1"/>
      <w:marLeft w:val="0"/>
      <w:marRight w:val="0"/>
      <w:marTop w:val="0"/>
      <w:marBottom w:val="0"/>
      <w:divBdr>
        <w:top w:val="none" w:sz="0" w:space="0" w:color="auto"/>
        <w:left w:val="none" w:sz="0" w:space="0" w:color="auto"/>
        <w:bottom w:val="none" w:sz="0" w:space="0" w:color="auto"/>
        <w:right w:val="none" w:sz="0" w:space="0" w:color="auto"/>
      </w:divBdr>
    </w:div>
    <w:div w:id="460609707">
      <w:bodyDiv w:val="1"/>
      <w:marLeft w:val="0"/>
      <w:marRight w:val="0"/>
      <w:marTop w:val="0"/>
      <w:marBottom w:val="0"/>
      <w:divBdr>
        <w:top w:val="none" w:sz="0" w:space="0" w:color="auto"/>
        <w:left w:val="none" w:sz="0" w:space="0" w:color="auto"/>
        <w:bottom w:val="none" w:sz="0" w:space="0" w:color="auto"/>
        <w:right w:val="none" w:sz="0" w:space="0" w:color="auto"/>
      </w:divBdr>
    </w:div>
    <w:div w:id="460730059">
      <w:bodyDiv w:val="1"/>
      <w:marLeft w:val="0"/>
      <w:marRight w:val="0"/>
      <w:marTop w:val="0"/>
      <w:marBottom w:val="0"/>
      <w:divBdr>
        <w:top w:val="none" w:sz="0" w:space="0" w:color="auto"/>
        <w:left w:val="none" w:sz="0" w:space="0" w:color="auto"/>
        <w:bottom w:val="none" w:sz="0" w:space="0" w:color="auto"/>
        <w:right w:val="none" w:sz="0" w:space="0" w:color="auto"/>
      </w:divBdr>
    </w:div>
    <w:div w:id="460923919">
      <w:bodyDiv w:val="1"/>
      <w:marLeft w:val="0"/>
      <w:marRight w:val="0"/>
      <w:marTop w:val="0"/>
      <w:marBottom w:val="0"/>
      <w:divBdr>
        <w:top w:val="none" w:sz="0" w:space="0" w:color="auto"/>
        <w:left w:val="none" w:sz="0" w:space="0" w:color="auto"/>
        <w:bottom w:val="none" w:sz="0" w:space="0" w:color="auto"/>
        <w:right w:val="none" w:sz="0" w:space="0" w:color="auto"/>
      </w:divBdr>
    </w:div>
    <w:div w:id="460926222">
      <w:bodyDiv w:val="1"/>
      <w:marLeft w:val="0"/>
      <w:marRight w:val="0"/>
      <w:marTop w:val="0"/>
      <w:marBottom w:val="0"/>
      <w:divBdr>
        <w:top w:val="none" w:sz="0" w:space="0" w:color="auto"/>
        <w:left w:val="none" w:sz="0" w:space="0" w:color="auto"/>
        <w:bottom w:val="none" w:sz="0" w:space="0" w:color="auto"/>
        <w:right w:val="none" w:sz="0" w:space="0" w:color="auto"/>
      </w:divBdr>
    </w:div>
    <w:div w:id="461073207">
      <w:bodyDiv w:val="1"/>
      <w:marLeft w:val="0"/>
      <w:marRight w:val="0"/>
      <w:marTop w:val="0"/>
      <w:marBottom w:val="0"/>
      <w:divBdr>
        <w:top w:val="none" w:sz="0" w:space="0" w:color="auto"/>
        <w:left w:val="none" w:sz="0" w:space="0" w:color="auto"/>
        <w:bottom w:val="none" w:sz="0" w:space="0" w:color="auto"/>
        <w:right w:val="none" w:sz="0" w:space="0" w:color="auto"/>
      </w:divBdr>
    </w:div>
    <w:div w:id="461264860">
      <w:bodyDiv w:val="1"/>
      <w:marLeft w:val="0"/>
      <w:marRight w:val="0"/>
      <w:marTop w:val="0"/>
      <w:marBottom w:val="0"/>
      <w:divBdr>
        <w:top w:val="none" w:sz="0" w:space="0" w:color="auto"/>
        <w:left w:val="none" w:sz="0" w:space="0" w:color="auto"/>
        <w:bottom w:val="none" w:sz="0" w:space="0" w:color="auto"/>
        <w:right w:val="none" w:sz="0" w:space="0" w:color="auto"/>
      </w:divBdr>
    </w:div>
    <w:div w:id="461309720">
      <w:bodyDiv w:val="1"/>
      <w:marLeft w:val="0"/>
      <w:marRight w:val="0"/>
      <w:marTop w:val="0"/>
      <w:marBottom w:val="0"/>
      <w:divBdr>
        <w:top w:val="none" w:sz="0" w:space="0" w:color="auto"/>
        <w:left w:val="none" w:sz="0" w:space="0" w:color="auto"/>
        <w:bottom w:val="none" w:sz="0" w:space="0" w:color="auto"/>
        <w:right w:val="none" w:sz="0" w:space="0" w:color="auto"/>
      </w:divBdr>
    </w:div>
    <w:div w:id="461384983">
      <w:bodyDiv w:val="1"/>
      <w:marLeft w:val="0"/>
      <w:marRight w:val="0"/>
      <w:marTop w:val="0"/>
      <w:marBottom w:val="0"/>
      <w:divBdr>
        <w:top w:val="none" w:sz="0" w:space="0" w:color="auto"/>
        <w:left w:val="none" w:sz="0" w:space="0" w:color="auto"/>
        <w:bottom w:val="none" w:sz="0" w:space="0" w:color="auto"/>
        <w:right w:val="none" w:sz="0" w:space="0" w:color="auto"/>
      </w:divBdr>
    </w:div>
    <w:div w:id="461651253">
      <w:bodyDiv w:val="1"/>
      <w:marLeft w:val="0"/>
      <w:marRight w:val="0"/>
      <w:marTop w:val="0"/>
      <w:marBottom w:val="0"/>
      <w:divBdr>
        <w:top w:val="none" w:sz="0" w:space="0" w:color="auto"/>
        <w:left w:val="none" w:sz="0" w:space="0" w:color="auto"/>
        <w:bottom w:val="none" w:sz="0" w:space="0" w:color="auto"/>
        <w:right w:val="none" w:sz="0" w:space="0" w:color="auto"/>
      </w:divBdr>
    </w:div>
    <w:div w:id="461651584">
      <w:bodyDiv w:val="1"/>
      <w:marLeft w:val="0"/>
      <w:marRight w:val="0"/>
      <w:marTop w:val="0"/>
      <w:marBottom w:val="0"/>
      <w:divBdr>
        <w:top w:val="none" w:sz="0" w:space="0" w:color="auto"/>
        <w:left w:val="none" w:sz="0" w:space="0" w:color="auto"/>
        <w:bottom w:val="none" w:sz="0" w:space="0" w:color="auto"/>
        <w:right w:val="none" w:sz="0" w:space="0" w:color="auto"/>
      </w:divBdr>
    </w:div>
    <w:div w:id="461852576">
      <w:bodyDiv w:val="1"/>
      <w:marLeft w:val="0"/>
      <w:marRight w:val="0"/>
      <w:marTop w:val="0"/>
      <w:marBottom w:val="0"/>
      <w:divBdr>
        <w:top w:val="none" w:sz="0" w:space="0" w:color="auto"/>
        <w:left w:val="none" w:sz="0" w:space="0" w:color="auto"/>
        <w:bottom w:val="none" w:sz="0" w:space="0" w:color="auto"/>
        <w:right w:val="none" w:sz="0" w:space="0" w:color="auto"/>
      </w:divBdr>
    </w:div>
    <w:div w:id="462311621">
      <w:bodyDiv w:val="1"/>
      <w:marLeft w:val="0"/>
      <w:marRight w:val="0"/>
      <w:marTop w:val="0"/>
      <w:marBottom w:val="0"/>
      <w:divBdr>
        <w:top w:val="none" w:sz="0" w:space="0" w:color="auto"/>
        <w:left w:val="none" w:sz="0" w:space="0" w:color="auto"/>
        <w:bottom w:val="none" w:sz="0" w:space="0" w:color="auto"/>
        <w:right w:val="none" w:sz="0" w:space="0" w:color="auto"/>
      </w:divBdr>
    </w:div>
    <w:div w:id="462771536">
      <w:bodyDiv w:val="1"/>
      <w:marLeft w:val="0"/>
      <w:marRight w:val="0"/>
      <w:marTop w:val="0"/>
      <w:marBottom w:val="0"/>
      <w:divBdr>
        <w:top w:val="none" w:sz="0" w:space="0" w:color="auto"/>
        <w:left w:val="none" w:sz="0" w:space="0" w:color="auto"/>
        <w:bottom w:val="none" w:sz="0" w:space="0" w:color="auto"/>
        <w:right w:val="none" w:sz="0" w:space="0" w:color="auto"/>
      </w:divBdr>
    </w:div>
    <w:div w:id="462964711">
      <w:bodyDiv w:val="1"/>
      <w:marLeft w:val="0"/>
      <w:marRight w:val="0"/>
      <w:marTop w:val="0"/>
      <w:marBottom w:val="0"/>
      <w:divBdr>
        <w:top w:val="none" w:sz="0" w:space="0" w:color="auto"/>
        <w:left w:val="none" w:sz="0" w:space="0" w:color="auto"/>
        <w:bottom w:val="none" w:sz="0" w:space="0" w:color="auto"/>
        <w:right w:val="none" w:sz="0" w:space="0" w:color="auto"/>
      </w:divBdr>
    </w:div>
    <w:div w:id="462969292">
      <w:bodyDiv w:val="1"/>
      <w:marLeft w:val="0"/>
      <w:marRight w:val="0"/>
      <w:marTop w:val="0"/>
      <w:marBottom w:val="0"/>
      <w:divBdr>
        <w:top w:val="none" w:sz="0" w:space="0" w:color="auto"/>
        <w:left w:val="none" w:sz="0" w:space="0" w:color="auto"/>
        <w:bottom w:val="none" w:sz="0" w:space="0" w:color="auto"/>
        <w:right w:val="none" w:sz="0" w:space="0" w:color="auto"/>
      </w:divBdr>
    </w:div>
    <w:div w:id="463037556">
      <w:bodyDiv w:val="1"/>
      <w:marLeft w:val="0"/>
      <w:marRight w:val="0"/>
      <w:marTop w:val="0"/>
      <w:marBottom w:val="0"/>
      <w:divBdr>
        <w:top w:val="none" w:sz="0" w:space="0" w:color="auto"/>
        <w:left w:val="none" w:sz="0" w:space="0" w:color="auto"/>
        <w:bottom w:val="none" w:sz="0" w:space="0" w:color="auto"/>
        <w:right w:val="none" w:sz="0" w:space="0" w:color="auto"/>
      </w:divBdr>
    </w:div>
    <w:div w:id="463086868">
      <w:bodyDiv w:val="1"/>
      <w:marLeft w:val="0"/>
      <w:marRight w:val="0"/>
      <w:marTop w:val="0"/>
      <w:marBottom w:val="0"/>
      <w:divBdr>
        <w:top w:val="none" w:sz="0" w:space="0" w:color="auto"/>
        <w:left w:val="none" w:sz="0" w:space="0" w:color="auto"/>
        <w:bottom w:val="none" w:sz="0" w:space="0" w:color="auto"/>
        <w:right w:val="none" w:sz="0" w:space="0" w:color="auto"/>
      </w:divBdr>
    </w:div>
    <w:div w:id="463624150">
      <w:bodyDiv w:val="1"/>
      <w:marLeft w:val="0"/>
      <w:marRight w:val="0"/>
      <w:marTop w:val="0"/>
      <w:marBottom w:val="0"/>
      <w:divBdr>
        <w:top w:val="none" w:sz="0" w:space="0" w:color="auto"/>
        <w:left w:val="none" w:sz="0" w:space="0" w:color="auto"/>
        <w:bottom w:val="none" w:sz="0" w:space="0" w:color="auto"/>
        <w:right w:val="none" w:sz="0" w:space="0" w:color="auto"/>
      </w:divBdr>
    </w:div>
    <w:div w:id="463962035">
      <w:bodyDiv w:val="1"/>
      <w:marLeft w:val="0"/>
      <w:marRight w:val="0"/>
      <w:marTop w:val="0"/>
      <w:marBottom w:val="0"/>
      <w:divBdr>
        <w:top w:val="none" w:sz="0" w:space="0" w:color="auto"/>
        <w:left w:val="none" w:sz="0" w:space="0" w:color="auto"/>
        <w:bottom w:val="none" w:sz="0" w:space="0" w:color="auto"/>
        <w:right w:val="none" w:sz="0" w:space="0" w:color="auto"/>
      </w:divBdr>
    </w:div>
    <w:div w:id="464012546">
      <w:bodyDiv w:val="1"/>
      <w:marLeft w:val="0"/>
      <w:marRight w:val="0"/>
      <w:marTop w:val="0"/>
      <w:marBottom w:val="0"/>
      <w:divBdr>
        <w:top w:val="none" w:sz="0" w:space="0" w:color="auto"/>
        <w:left w:val="none" w:sz="0" w:space="0" w:color="auto"/>
        <w:bottom w:val="none" w:sz="0" w:space="0" w:color="auto"/>
        <w:right w:val="none" w:sz="0" w:space="0" w:color="auto"/>
      </w:divBdr>
    </w:div>
    <w:div w:id="464466946">
      <w:bodyDiv w:val="1"/>
      <w:marLeft w:val="0"/>
      <w:marRight w:val="0"/>
      <w:marTop w:val="0"/>
      <w:marBottom w:val="0"/>
      <w:divBdr>
        <w:top w:val="none" w:sz="0" w:space="0" w:color="auto"/>
        <w:left w:val="none" w:sz="0" w:space="0" w:color="auto"/>
        <w:bottom w:val="none" w:sz="0" w:space="0" w:color="auto"/>
        <w:right w:val="none" w:sz="0" w:space="0" w:color="auto"/>
      </w:divBdr>
    </w:div>
    <w:div w:id="464591054">
      <w:bodyDiv w:val="1"/>
      <w:marLeft w:val="0"/>
      <w:marRight w:val="0"/>
      <w:marTop w:val="0"/>
      <w:marBottom w:val="0"/>
      <w:divBdr>
        <w:top w:val="none" w:sz="0" w:space="0" w:color="auto"/>
        <w:left w:val="none" w:sz="0" w:space="0" w:color="auto"/>
        <w:bottom w:val="none" w:sz="0" w:space="0" w:color="auto"/>
        <w:right w:val="none" w:sz="0" w:space="0" w:color="auto"/>
      </w:divBdr>
    </w:div>
    <w:div w:id="464617300">
      <w:bodyDiv w:val="1"/>
      <w:marLeft w:val="0"/>
      <w:marRight w:val="0"/>
      <w:marTop w:val="0"/>
      <w:marBottom w:val="0"/>
      <w:divBdr>
        <w:top w:val="none" w:sz="0" w:space="0" w:color="auto"/>
        <w:left w:val="none" w:sz="0" w:space="0" w:color="auto"/>
        <w:bottom w:val="none" w:sz="0" w:space="0" w:color="auto"/>
        <w:right w:val="none" w:sz="0" w:space="0" w:color="auto"/>
      </w:divBdr>
    </w:div>
    <w:div w:id="464658558">
      <w:bodyDiv w:val="1"/>
      <w:marLeft w:val="0"/>
      <w:marRight w:val="0"/>
      <w:marTop w:val="0"/>
      <w:marBottom w:val="0"/>
      <w:divBdr>
        <w:top w:val="none" w:sz="0" w:space="0" w:color="auto"/>
        <w:left w:val="none" w:sz="0" w:space="0" w:color="auto"/>
        <w:bottom w:val="none" w:sz="0" w:space="0" w:color="auto"/>
        <w:right w:val="none" w:sz="0" w:space="0" w:color="auto"/>
      </w:divBdr>
    </w:div>
    <w:div w:id="464741929">
      <w:bodyDiv w:val="1"/>
      <w:marLeft w:val="0"/>
      <w:marRight w:val="0"/>
      <w:marTop w:val="0"/>
      <w:marBottom w:val="0"/>
      <w:divBdr>
        <w:top w:val="none" w:sz="0" w:space="0" w:color="auto"/>
        <w:left w:val="none" w:sz="0" w:space="0" w:color="auto"/>
        <w:bottom w:val="none" w:sz="0" w:space="0" w:color="auto"/>
        <w:right w:val="none" w:sz="0" w:space="0" w:color="auto"/>
      </w:divBdr>
    </w:div>
    <w:div w:id="465050095">
      <w:bodyDiv w:val="1"/>
      <w:marLeft w:val="0"/>
      <w:marRight w:val="0"/>
      <w:marTop w:val="0"/>
      <w:marBottom w:val="0"/>
      <w:divBdr>
        <w:top w:val="none" w:sz="0" w:space="0" w:color="auto"/>
        <w:left w:val="none" w:sz="0" w:space="0" w:color="auto"/>
        <w:bottom w:val="none" w:sz="0" w:space="0" w:color="auto"/>
        <w:right w:val="none" w:sz="0" w:space="0" w:color="auto"/>
      </w:divBdr>
    </w:div>
    <w:div w:id="465125744">
      <w:bodyDiv w:val="1"/>
      <w:marLeft w:val="0"/>
      <w:marRight w:val="0"/>
      <w:marTop w:val="0"/>
      <w:marBottom w:val="0"/>
      <w:divBdr>
        <w:top w:val="none" w:sz="0" w:space="0" w:color="auto"/>
        <w:left w:val="none" w:sz="0" w:space="0" w:color="auto"/>
        <w:bottom w:val="none" w:sz="0" w:space="0" w:color="auto"/>
        <w:right w:val="none" w:sz="0" w:space="0" w:color="auto"/>
      </w:divBdr>
    </w:div>
    <w:div w:id="465128136">
      <w:bodyDiv w:val="1"/>
      <w:marLeft w:val="0"/>
      <w:marRight w:val="0"/>
      <w:marTop w:val="0"/>
      <w:marBottom w:val="0"/>
      <w:divBdr>
        <w:top w:val="none" w:sz="0" w:space="0" w:color="auto"/>
        <w:left w:val="none" w:sz="0" w:space="0" w:color="auto"/>
        <w:bottom w:val="none" w:sz="0" w:space="0" w:color="auto"/>
        <w:right w:val="none" w:sz="0" w:space="0" w:color="auto"/>
      </w:divBdr>
    </w:div>
    <w:div w:id="465201999">
      <w:bodyDiv w:val="1"/>
      <w:marLeft w:val="0"/>
      <w:marRight w:val="0"/>
      <w:marTop w:val="0"/>
      <w:marBottom w:val="0"/>
      <w:divBdr>
        <w:top w:val="none" w:sz="0" w:space="0" w:color="auto"/>
        <w:left w:val="none" w:sz="0" w:space="0" w:color="auto"/>
        <w:bottom w:val="none" w:sz="0" w:space="0" w:color="auto"/>
        <w:right w:val="none" w:sz="0" w:space="0" w:color="auto"/>
      </w:divBdr>
    </w:div>
    <w:div w:id="465317502">
      <w:bodyDiv w:val="1"/>
      <w:marLeft w:val="0"/>
      <w:marRight w:val="0"/>
      <w:marTop w:val="0"/>
      <w:marBottom w:val="0"/>
      <w:divBdr>
        <w:top w:val="none" w:sz="0" w:space="0" w:color="auto"/>
        <w:left w:val="none" w:sz="0" w:space="0" w:color="auto"/>
        <w:bottom w:val="none" w:sz="0" w:space="0" w:color="auto"/>
        <w:right w:val="none" w:sz="0" w:space="0" w:color="auto"/>
      </w:divBdr>
    </w:div>
    <w:div w:id="465586045">
      <w:bodyDiv w:val="1"/>
      <w:marLeft w:val="0"/>
      <w:marRight w:val="0"/>
      <w:marTop w:val="0"/>
      <w:marBottom w:val="0"/>
      <w:divBdr>
        <w:top w:val="none" w:sz="0" w:space="0" w:color="auto"/>
        <w:left w:val="none" w:sz="0" w:space="0" w:color="auto"/>
        <w:bottom w:val="none" w:sz="0" w:space="0" w:color="auto"/>
        <w:right w:val="none" w:sz="0" w:space="0" w:color="auto"/>
      </w:divBdr>
    </w:div>
    <w:div w:id="465902101">
      <w:bodyDiv w:val="1"/>
      <w:marLeft w:val="0"/>
      <w:marRight w:val="0"/>
      <w:marTop w:val="0"/>
      <w:marBottom w:val="0"/>
      <w:divBdr>
        <w:top w:val="none" w:sz="0" w:space="0" w:color="auto"/>
        <w:left w:val="none" w:sz="0" w:space="0" w:color="auto"/>
        <w:bottom w:val="none" w:sz="0" w:space="0" w:color="auto"/>
        <w:right w:val="none" w:sz="0" w:space="0" w:color="auto"/>
      </w:divBdr>
    </w:div>
    <w:div w:id="466048274">
      <w:bodyDiv w:val="1"/>
      <w:marLeft w:val="0"/>
      <w:marRight w:val="0"/>
      <w:marTop w:val="0"/>
      <w:marBottom w:val="0"/>
      <w:divBdr>
        <w:top w:val="none" w:sz="0" w:space="0" w:color="auto"/>
        <w:left w:val="none" w:sz="0" w:space="0" w:color="auto"/>
        <w:bottom w:val="none" w:sz="0" w:space="0" w:color="auto"/>
        <w:right w:val="none" w:sz="0" w:space="0" w:color="auto"/>
      </w:divBdr>
    </w:div>
    <w:div w:id="466355328">
      <w:bodyDiv w:val="1"/>
      <w:marLeft w:val="0"/>
      <w:marRight w:val="0"/>
      <w:marTop w:val="0"/>
      <w:marBottom w:val="0"/>
      <w:divBdr>
        <w:top w:val="none" w:sz="0" w:space="0" w:color="auto"/>
        <w:left w:val="none" w:sz="0" w:space="0" w:color="auto"/>
        <w:bottom w:val="none" w:sz="0" w:space="0" w:color="auto"/>
        <w:right w:val="none" w:sz="0" w:space="0" w:color="auto"/>
      </w:divBdr>
    </w:div>
    <w:div w:id="466506400">
      <w:bodyDiv w:val="1"/>
      <w:marLeft w:val="0"/>
      <w:marRight w:val="0"/>
      <w:marTop w:val="0"/>
      <w:marBottom w:val="0"/>
      <w:divBdr>
        <w:top w:val="none" w:sz="0" w:space="0" w:color="auto"/>
        <w:left w:val="none" w:sz="0" w:space="0" w:color="auto"/>
        <w:bottom w:val="none" w:sz="0" w:space="0" w:color="auto"/>
        <w:right w:val="none" w:sz="0" w:space="0" w:color="auto"/>
      </w:divBdr>
    </w:div>
    <w:div w:id="466629626">
      <w:bodyDiv w:val="1"/>
      <w:marLeft w:val="0"/>
      <w:marRight w:val="0"/>
      <w:marTop w:val="0"/>
      <w:marBottom w:val="0"/>
      <w:divBdr>
        <w:top w:val="none" w:sz="0" w:space="0" w:color="auto"/>
        <w:left w:val="none" w:sz="0" w:space="0" w:color="auto"/>
        <w:bottom w:val="none" w:sz="0" w:space="0" w:color="auto"/>
        <w:right w:val="none" w:sz="0" w:space="0" w:color="auto"/>
      </w:divBdr>
    </w:div>
    <w:div w:id="466704418">
      <w:bodyDiv w:val="1"/>
      <w:marLeft w:val="0"/>
      <w:marRight w:val="0"/>
      <w:marTop w:val="0"/>
      <w:marBottom w:val="0"/>
      <w:divBdr>
        <w:top w:val="none" w:sz="0" w:space="0" w:color="auto"/>
        <w:left w:val="none" w:sz="0" w:space="0" w:color="auto"/>
        <w:bottom w:val="none" w:sz="0" w:space="0" w:color="auto"/>
        <w:right w:val="none" w:sz="0" w:space="0" w:color="auto"/>
      </w:divBdr>
    </w:div>
    <w:div w:id="466775921">
      <w:bodyDiv w:val="1"/>
      <w:marLeft w:val="0"/>
      <w:marRight w:val="0"/>
      <w:marTop w:val="0"/>
      <w:marBottom w:val="0"/>
      <w:divBdr>
        <w:top w:val="none" w:sz="0" w:space="0" w:color="auto"/>
        <w:left w:val="none" w:sz="0" w:space="0" w:color="auto"/>
        <w:bottom w:val="none" w:sz="0" w:space="0" w:color="auto"/>
        <w:right w:val="none" w:sz="0" w:space="0" w:color="auto"/>
      </w:divBdr>
    </w:div>
    <w:div w:id="466777087">
      <w:bodyDiv w:val="1"/>
      <w:marLeft w:val="0"/>
      <w:marRight w:val="0"/>
      <w:marTop w:val="0"/>
      <w:marBottom w:val="0"/>
      <w:divBdr>
        <w:top w:val="none" w:sz="0" w:space="0" w:color="auto"/>
        <w:left w:val="none" w:sz="0" w:space="0" w:color="auto"/>
        <w:bottom w:val="none" w:sz="0" w:space="0" w:color="auto"/>
        <w:right w:val="none" w:sz="0" w:space="0" w:color="auto"/>
      </w:divBdr>
    </w:div>
    <w:div w:id="466893830">
      <w:bodyDiv w:val="1"/>
      <w:marLeft w:val="0"/>
      <w:marRight w:val="0"/>
      <w:marTop w:val="0"/>
      <w:marBottom w:val="0"/>
      <w:divBdr>
        <w:top w:val="none" w:sz="0" w:space="0" w:color="auto"/>
        <w:left w:val="none" w:sz="0" w:space="0" w:color="auto"/>
        <w:bottom w:val="none" w:sz="0" w:space="0" w:color="auto"/>
        <w:right w:val="none" w:sz="0" w:space="0" w:color="auto"/>
      </w:divBdr>
    </w:div>
    <w:div w:id="467432663">
      <w:bodyDiv w:val="1"/>
      <w:marLeft w:val="0"/>
      <w:marRight w:val="0"/>
      <w:marTop w:val="0"/>
      <w:marBottom w:val="0"/>
      <w:divBdr>
        <w:top w:val="none" w:sz="0" w:space="0" w:color="auto"/>
        <w:left w:val="none" w:sz="0" w:space="0" w:color="auto"/>
        <w:bottom w:val="none" w:sz="0" w:space="0" w:color="auto"/>
        <w:right w:val="none" w:sz="0" w:space="0" w:color="auto"/>
      </w:divBdr>
    </w:div>
    <w:div w:id="467477704">
      <w:bodyDiv w:val="1"/>
      <w:marLeft w:val="0"/>
      <w:marRight w:val="0"/>
      <w:marTop w:val="0"/>
      <w:marBottom w:val="0"/>
      <w:divBdr>
        <w:top w:val="none" w:sz="0" w:space="0" w:color="auto"/>
        <w:left w:val="none" w:sz="0" w:space="0" w:color="auto"/>
        <w:bottom w:val="none" w:sz="0" w:space="0" w:color="auto"/>
        <w:right w:val="none" w:sz="0" w:space="0" w:color="auto"/>
      </w:divBdr>
    </w:div>
    <w:div w:id="467479980">
      <w:bodyDiv w:val="1"/>
      <w:marLeft w:val="0"/>
      <w:marRight w:val="0"/>
      <w:marTop w:val="0"/>
      <w:marBottom w:val="0"/>
      <w:divBdr>
        <w:top w:val="none" w:sz="0" w:space="0" w:color="auto"/>
        <w:left w:val="none" w:sz="0" w:space="0" w:color="auto"/>
        <w:bottom w:val="none" w:sz="0" w:space="0" w:color="auto"/>
        <w:right w:val="none" w:sz="0" w:space="0" w:color="auto"/>
      </w:divBdr>
    </w:div>
    <w:div w:id="467552987">
      <w:bodyDiv w:val="1"/>
      <w:marLeft w:val="0"/>
      <w:marRight w:val="0"/>
      <w:marTop w:val="0"/>
      <w:marBottom w:val="0"/>
      <w:divBdr>
        <w:top w:val="none" w:sz="0" w:space="0" w:color="auto"/>
        <w:left w:val="none" w:sz="0" w:space="0" w:color="auto"/>
        <w:bottom w:val="none" w:sz="0" w:space="0" w:color="auto"/>
        <w:right w:val="none" w:sz="0" w:space="0" w:color="auto"/>
      </w:divBdr>
    </w:div>
    <w:div w:id="467628244">
      <w:bodyDiv w:val="1"/>
      <w:marLeft w:val="0"/>
      <w:marRight w:val="0"/>
      <w:marTop w:val="0"/>
      <w:marBottom w:val="0"/>
      <w:divBdr>
        <w:top w:val="none" w:sz="0" w:space="0" w:color="auto"/>
        <w:left w:val="none" w:sz="0" w:space="0" w:color="auto"/>
        <w:bottom w:val="none" w:sz="0" w:space="0" w:color="auto"/>
        <w:right w:val="none" w:sz="0" w:space="0" w:color="auto"/>
      </w:divBdr>
    </w:div>
    <w:div w:id="467670542">
      <w:bodyDiv w:val="1"/>
      <w:marLeft w:val="0"/>
      <w:marRight w:val="0"/>
      <w:marTop w:val="0"/>
      <w:marBottom w:val="0"/>
      <w:divBdr>
        <w:top w:val="none" w:sz="0" w:space="0" w:color="auto"/>
        <w:left w:val="none" w:sz="0" w:space="0" w:color="auto"/>
        <w:bottom w:val="none" w:sz="0" w:space="0" w:color="auto"/>
        <w:right w:val="none" w:sz="0" w:space="0" w:color="auto"/>
      </w:divBdr>
    </w:div>
    <w:div w:id="468012468">
      <w:bodyDiv w:val="1"/>
      <w:marLeft w:val="0"/>
      <w:marRight w:val="0"/>
      <w:marTop w:val="0"/>
      <w:marBottom w:val="0"/>
      <w:divBdr>
        <w:top w:val="none" w:sz="0" w:space="0" w:color="auto"/>
        <w:left w:val="none" w:sz="0" w:space="0" w:color="auto"/>
        <w:bottom w:val="none" w:sz="0" w:space="0" w:color="auto"/>
        <w:right w:val="none" w:sz="0" w:space="0" w:color="auto"/>
      </w:divBdr>
    </w:div>
    <w:div w:id="468285110">
      <w:bodyDiv w:val="1"/>
      <w:marLeft w:val="0"/>
      <w:marRight w:val="0"/>
      <w:marTop w:val="0"/>
      <w:marBottom w:val="0"/>
      <w:divBdr>
        <w:top w:val="none" w:sz="0" w:space="0" w:color="auto"/>
        <w:left w:val="none" w:sz="0" w:space="0" w:color="auto"/>
        <w:bottom w:val="none" w:sz="0" w:space="0" w:color="auto"/>
        <w:right w:val="none" w:sz="0" w:space="0" w:color="auto"/>
      </w:divBdr>
    </w:div>
    <w:div w:id="468330673">
      <w:bodyDiv w:val="1"/>
      <w:marLeft w:val="0"/>
      <w:marRight w:val="0"/>
      <w:marTop w:val="0"/>
      <w:marBottom w:val="0"/>
      <w:divBdr>
        <w:top w:val="none" w:sz="0" w:space="0" w:color="auto"/>
        <w:left w:val="none" w:sz="0" w:space="0" w:color="auto"/>
        <w:bottom w:val="none" w:sz="0" w:space="0" w:color="auto"/>
        <w:right w:val="none" w:sz="0" w:space="0" w:color="auto"/>
      </w:divBdr>
    </w:div>
    <w:div w:id="468517984">
      <w:bodyDiv w:val="1"/>
      <w:marLeft w:val="0"/>
      <w:marRight w:val="0"/>
      <w:marTop w:val="0"/>
      <w:marBottom w:val="0"/>
      <w:divBdr>
        <w:top w:val="none" w:sz="0" w:space="0" w:color="auto"/>
        <w:left w:val="none" w:sz="0" w:space="0" w:color="auto"/>
        <w:bottom w:val="none" w:sz="0" w:space="0" w:color="auto"/>
        <w:right w:val="none" w:sz="0" w:space="0" w:color="auto"/>
      </w:divBdr>
    </w:div>
    <w:div w:id="468785363">
      <w:bodyDiv w:val="1"/>
      <w:marLeft w:val="0"/>
      <w:marRight w:val="0"/>
      <w:marTop w:val="0"/>
      <w:marBottom w:val="0"/>
      <w:divBdr>
        <w:top w:val="none" w:sz="0" w:space="0" w:color="auto"/>
        <w:left w:val="none" w:sz="0" w:space="0" w:color="auto"/>
        <w:bottom w:val="none" w:sz="0" w:space="0" w:color="auto"/>
        <w:right w:val="none" w:sz="0" w:space="0" w:color="auto"/>
      </w:divBdr>
    </w:div>
    <w:div w:id="468941840">
      <w:bodyDiv w:val="1"/>
      <w:marLeft w:val="0"/>
      <w:marRight w:val="0"/>
      <w:marTop w:val="0"/>
      <w:marBottom w:val="0"/>
      <w:divBdr>
        <w:top w:val="none" w:sz="0" w:space="0" w:color="auto"/>
        <w:left w:val="none" w:sz="0" w:space="0" w:color="auto"/>
        <w:bottom w:val="none" w:sz="0" w:space="0" w:color="auto"/>
        <w:right w:val="none" w:sz="0" w:space="0" w:color="auto"/>
      </w:divBdr>
    </w:div>
    <w:div w:id="469059395">
      <w:bodyDiv w:val="1"/>
      <w:marLeft w:val="0"/>
      <w:marRight w:val="0"/>
      <w:marTop w:val="0"/>
      <w:marBottom w:val="0"/>
      <w:divBdr>
        <w:top w:val="none" w:sz="0" w:space="0" w:color="auto"/>
        <w:left w:val="none" w:sz="0" w:space="0" w:color="auto"/>
        <w:bottom w:val="none" w:sz="0" w:space="0" w:color="auto"/>
        <w:right w:val="none" w:sz="0" w:space="0" w:color="auto"/>
      </w:divBdr>
    </w:div>
    <w:div w:id="469251974">
      <w:bodyDiv w:val="1"/>
      <w:marLeft w:val="0"/>
      <w:marRight w:val="0"/>
      <w:marTop w:val="0"/>
      <w:marBottom w:val="0"/>
      <w:divBdr>
        <w:top w:val="none" w:sz="0" w:space="0" w:color="auto"/>
        <w:left w:val="none" w:sz="0" w:space="0" w:color="auto"/>
        <w:bottom w:val="none" w:sz="0" w:space="0" w:color="auto"/>
        <w:right w:val="none" w:sz="0" w:space="0" w:color="auto"/>
      </w:divBdr>
    </w:div>
    <w:div w:id="469783231">
      <w:bodyDiv w:val="1"/>
      <w:marLeft w:val="0"/>
      <w:marRight w:val="0"/>
      <w:marTop w:val="0"/>
      <w:marBottom w:val="0"/>
      <w:divBdr>
        <w:top w:val="none" w:sz="0" w:space="0" w:color="auto"/>
        <w:left w:val="none" w:sz="0" w:space="0" w:color="auto"/>
        <w:bottom w:val="none" w:sz="0" w:space="0" w:color="auto"/>
        <w:right w:val="none" w:sz="0" w:space="0" w:color="auto"/>
      </w:divBdr>
    </w:div>
    <w:div w:id="469828083">
      <w:bodyDiv w:val="1"/>
      <w:marLeft w:val="0"/>
      <w:marRight w:val="0"/>
      <w:marTop w:val="0"/>
      <w:marBottom w:val="0"/>
      <w:divBdr>
        <w:top w:val="none" w:sz="0" w:space="0" w:color="auto"/>
        <w:left w:val="none" w:sz="0" w:space="0" w:color="auto"/>
        <w:bottom w:val="none" w:sz="0" w:space="0" w:color="auto"/>
        <w:right w:val="none" w:sz="0" w:space="0" w:color="auto"/>
      </w:divBdr>
    </w:div>
    <w:div w:id="470026386">
      <w:bodyDiv w:val="1"/>
      <w:marLeft w:val="0"/>
      <w:marRight w:val="0"/>
      <w:marTop w:val="0"/>
      <w:marBottom w:val="0"/>
      <w:divBdr>
        <w:top w:val="none" w:sz="0" w:space="0" w:color="auto"/>
        <w:left w:val="none" w:sz="0" w:space="0" w:color="auto"/>
        <w:bottom w:val="none" w:sz="0" w:space="0" w:color="auto"/>
        <w:right w:val="none" w:sz="0" w:space="0" w:color="auto"/>
      </w:divBdr>
    </w:div>
    <w:div w:id="470056896">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0487413">
      <w:bodyDiv w:val="1"/>
      <w:marLeft w:val="0"/>
      <w:marRight w:val="0"/>
      <w:marTop w:val="0"/>
      <w:marBottom w:val="0"/>
      <w:divBdr>
        <w:top w:val="none" w:sz="0" w:space="0" w:color="auto"/>
        <w:left w:val="none" w:sz="0" w:space="0" w:color="auto"/>
        <w:bottom w:val="none" w:sz="0" w:space="0" w:color="auto"/>
        <w:right w:val="none" w:sz="0" w:space="0" w:color="auto"/>
      </w:divBdr>
    </w:div>
    <w:div w:id="470635100">
      <w:bodyDiv w:val="1"/>
      <w:marLeft w:val="0"/>
      <w:marRight w:val="0"/>
      <w:marTop w:val="0"/>
      <w:marBottom w:val="0"/>
      <w:divBdr>
        <w:top w:val="none" w:sz="0" w:space="0" w:color="auto"/>
        <w:left w:val="none" w:sz="0" w:space="0" w:color="auto"/>
        <w:bottom w:val="none" w:sz="0" w:space="0" w:color="auto"/>
        <w:right w:val="none" w:sz="0" w:space="0" w:color="auto"/>
      </w:divBdr>
    </w:div>
    <w:div w:id="470901999">
      <w:bodyDiv w:val="1"/>
      <w:marLeft w:val="0"/>
      <w:marRight w:val="0"/>
      <w:marTop w:val="0"/>
      <w:marBottom w:val="0"/>
      <w:divBdr>
        <w:top w:val="none" w:sz="0" w:space="0" w:color="auto"/>
        <w:left w:val="none" w:sz="0" w:space="0" w:color="auto"/>
        <w:bottom w:val="none" w:sz="0" w:space="0" w:color="auto"/>
        <w:right w:val="none" w:sz="0" w:space="0" w:color="auto"/>
      </w:divBdr>
    </w:div>
    <w:div w:id="471212585">
      <w:bodyDiv w:val="1"/>
      <w:marLeft w:val="0"/>
      <w:marRight w:val="0"/>
      <w:marTop w:val="0"/>
      <w:marBottom w:val="0"/>
      <w:divBdr>
        <w:top w:val="none" w:sz="0" w:space="0" w:color="auto"/>
        <w:left w:val="none" w:sz="0" w:space="0" w:color="auto"/>
        <w:bottom w:val="none" w:sz="0" w:space="0" w:color="auto"/>
        <w:right w:val="none" w:sz="0" w:space="0" w:color="auto"/>
      </w:divBdr>
    </w:div>
    <w:div w:id="471217502">
      <w:bodyDiv w:val="1"/>
      <w:marLeft w:val="0"/>
      <w:marRight w:val="0"/>
      <w:marTop w:val="0"/>
      <w:marBottom w:val="0"/>
      <w:divBdr>
        <w:top w:val="none" w:sz="0" w:space="0" w:color="auto"/>
        <w:left w:val="none" w:sz="0" w:space="0" w:color="auto"/>
        <w:bottom w:val="none" w:sz="0" w:space="0" w:color="auto"/>
        <w:right w:val="none" w:sz="0" w:space="0" w:color="auto"/>
      </w:divBdr>
    </w:div>
    <w:div w:id="471489020">
      <w:bodyDiv w:val="1"/>
      <w:marLeft w:val="0"/>
      <w:marRight w:val="0"/>
      <w:marTop w:val="0"/>
      <w:marBottom w:val="0"/>
      <w:divBdr>
        <w:top w:val="none" w:sz="0" w:space="0" w:color="auto"/>
        <w:left w:val="none" w:sz="0" w:space="0" w:color="auto"/>
        <w:bottom w:val="none" w:sz="0" w:space="0" w:color="auto"/>
        <w:right w:val="none" w:sz="0" w:space="0" w:color="auto"/>
      </w:divBdr>
    </w:div>
    <w:div w:id="471673179">
      <w:bodyDiv w:val="1"/>
      <w:marLeft w:val="0"/>
      <w:marRight w:val="0"/>
      <w:marTop w:val="0"/>
      <w:marBottom w:val="0"/>
      <w:divBdr>
        <w:top w:val="none" w:sz="0" w:space="0" w:color="auto"/>
        <w:left w:val="none" w:sz="0" w:space="0" w:color="auto"/>
        <w:bottom w:val="none" w:sz="0" w:space="0" w:color="auto"/>
        <w:right w:val="none" w:sz="0" w:space="0" w:color="auto"/>
      </w:divBdr>
    </w:div>
    <w:div w:id="471948389">
      <w:bodyDiv w:val="1"/>
      <w:marLeft w:val="0"/>
      <w:marRight w:val="0"/>
      <w:marTop w:val="0"/>
      <w:marBottom w:val="0"/>
      <w:divBdr>
        <w:top w:val="none" w:sz="0" w:space="0" w:color="auto"/>
        <w:left w:val="none" w:sz="0" w:space="0" w:color="auto"/>
        <w:bottom w:val="none" w:sz="0" w:space="0" w:color="auto"/>
        <w:right w:val="none" w:sz="0" w:space="0" w:color="auto"/>
      </w:divBdr>
    </w:div>
    <w:div w:id="471949735">
      <w:bodyDiv w:val="1"/>
      <w:marLeft w:val="0"/>
      <w:marRight w:val="0"/>
      <w:marTop w:val="0"/>
      <w:marBottom w:val="0"/>
      <w:divBdr>
        <w:top w:val="none" w:sz="0" w:space="0" w:color="auto"/>
        <w:left w:val="none" w:sz="0" w:space="0" w:color="auto"/>
        <w:bottom w:val="none" w:sz="0" w:space="0" w:color="auto"/>
        <w:right w:val="none" w:sz="0" w:space="0" w:color="auto"/>
      </w:divBdr>
    </w:div>
    <w:div w:id="472059653">
      <w:bodyDiv w:val="1"/>
      <w:marLeft w:val="0"/>
      <w:marRight w:val="0"/>
      <w:marTop w:val="0"/>
      <w:marBottom w:val="0"/>
      <w:divBdr>
        <w:top w:val="none" w:sz="0" w:space="0" w:color="auto"/>
        <w:left w:val="none" w:sz="0" w:space="0" w:color="auto"/>
        <w:bottom w:val="none" w:sz="0" w:space="0" w:color="auto"/>
        <w:right w:val="none" w:sz="0" w:space="0" w:color="auto"/>
      </w:divBdr>
    </w:div>
    <w:div w:id="472413113">
      <w:bodyDiv w:val="1"/>
      <w:marLeft w:val="0"/>
      <w:marRight w:val="0"/>
      <w:marTop w:val="0"/>
      <w:marBottom w:val="0"/>
      <w:divBdr>
        <w:top w:val="none" w:sz="0" w:space="0" w:color="auto"/>
        <w:left w:val="none" w:sz="0" w:space="0" w:color="auto"/>
        <w:bottom w:val="none" w:sz="0" w:space="0" w:color="auto"/>
        <w:right w:val="none" w:sz="0" w:space="0" w:color="auto"/>
      </w:divBdr>
    </w:div>
    <w:div w:id="472528027">
      <w:bodyDiv w:val="1"/>
      <w:marLeft w:val="0"/>
      <w:marRight w:val="0"/>
      <w:marTop w:val="0"/>
      <w:marBottom w:val="0"/>
      <w:divBdr>
        <w:top w:val="none" w:sz="0" w:space="0" w:color="auto"/>
        <w:left w:val="none" w:sz="0" w:space="0" w:color="auto"/>
        <w:bottom w:val="none" w:sz="0" w:space="0" w:color="auto"/>
        <w:right w:val="none" w:sz="0" w:space="0" w:color="auto"/>
      </w:divBdr>
    </w:div>
    <w:div w:id="472868593">
      <w:bodyDiv w:val="1"/>
      <w:marLeft w:val="0"/>
      <w:marRight w:val="0"/>
      <w:marTop w:val="0"/>
      <w:marBottom w:val="0"/>
      <w:divBdr>
        <w:top w:val="none" w:sz="0" w:space="0" w:color="auto"/>
        <w:left w:val="none" w:sz="0" w:space="0" w:color="auto"/>
        <w:bottom w:val="none" w:sz="0" w:space="0" w:color="auto"/>
        <w:right w:val="none" w:sz="0" w:space="0" w:color="auto"/>
      </w:divBdr>
    </w:div>
    <w:div w:id="472916667">
      <w:bodyDiv w:val="1"/>
      <w:marLeft w:val="0"/>
      <w:marRight w:val="0"/>
      <w:marTop w:val="0"/>
      <w:marBottom w:val="0"/>
      <w:divBdr>
        <w:top w:val="none" w:sz="0" w:space="0" w:color="auto"/>
        <w:left w:val="none" w:sz="0" w:space="0" w:color="auto"/>
        <w:bottom w:val="none" w:sz="0" w:space="0" w:color="auto"/>
        <w:right w:val="none" w:sz="0" w:space="0" w:color="auto"/>
      </w:divBdr>
    </w:div>
    <w:div w:id="473177195">
      <w:bodyDiv w:val="1"/>
      <w:marLeft w:val="0"/>
      <w:marRight w:val="0"/>
      <w:marTop w:val="0"/>
      <w:marBottom w:val="0"/>
      <w:divBdr>
        <w:top w:val="none" w:sz="0" w:space="0" w:color="auto"/>
        <w:left w:val="none" w:sz="0" w:space="0" w:color="auto"/>
        <w:bottom w:val="none" w:sz="0" w:space="0" w:color="auto"/>
        <w:right w:val="none" w:sz="0" w:space="0" w:color="auto"/>
      </w:divBdr>
    </w:div>
    <w:div w:id="473182399">
      <w:bodyDiv w:val="1"/>
      <w:marLeft w:val="0"/>
      <w:marRight w:val="0"/>
      <w:marTop w:val="0"/>
      <w:marBottom w:val="0"/>
      <w:divBdr>
        <w:top w:val="none" w:sz="0" w:space="0" w:color="auto"/>
        <w:left w:val="none" w:sz="0" w:space="0" w:color="auto"/>
        <w:bottom w:val="none" w:sz="0" w:space="0" w:color="auto"/>
        <w:right w:val="none" w:sz="0" w:space="0" w:color="auto"/>
      </w:divBdr>
    </w:div>
    <w:div w:id="473182612">
      <w:bodyDiv w:val="1"/>
      <w:marLeft w:val="0"/>
      <w:marRight w:val="0"/>
      <w:marTop w:val="0"/>
      <w:marBottom w:val="0"/>
      <w:divBdr>
        <w:top w:val="none" w:sz="0" w:space="0" w:color="auto"/>
        <w:left w:val="none" w:sz="0" w:space="0" w:color="auto"/>
        <w:bottom w:val="none" w:sz="0" w:space="0" w:color="auto"/>
        <w:right w:val="none" w:sz="0" w:space="0" w:color="auto"/>
      </w:divBdr>
    </w:div>
    <w:div w:id="473257279">
      <w:bodyDiv w:val="1"/>
      <w:marLeft w:val="0"/>
      <w:marRight w:val="0"/>
      <w:marTop w:val="0"/>
      <w:marBottom w:val="0"/>
      <w:divBdr>
        <w:top w:val="none" w:sz="0" w:space="0" w:color="auto"/>
        <w:left w:val="none" w:sz="0" w:space="0" w:color="auto"/>
        <w:bottom w:val="none" w:sz="0" w:space="0" w:color="auto"/>
        <w:right w:val="none" w:sz="0" w:space="0" w:color="auto"/>
      </w:divBdr>
    </w:div>
    <w:div w:id="473261830">
      <w:bodyDiv w:val="1"/>
      <w:marLeft w:val="0"/>
      <w:marRight w:val="0"/>
      <w:marTop w:val="0"/>
      <w:marBottom w:val="0"/>
      <w:divBdr>
        <w:top w:val="none" w:sz="0" w:space="0" w:color="auto"/>
        <w:left w:val="none" w:sz="0" w:space="0" w:color="auto"/>
        <w:bottom w:val="none" w:sz="0" w:space="0" w:color="auto"/>
        <w:right w:val="none" w:sz="0" w:space="0" w:color="auto"/>
      </w:divBdr>
    </w:div>
    <w:div w:id="473644908">
      <w:bodyDiv w:val="1"/>
      <w:marLeft w:val="0"/>
      <w:marRight w:val="0"/>
      <w:marTop w:val="0"/>
      <w:marBottom w:val="0"/>
      <w:divBdr>
        <w:top w:val="none" w:sz="0" w:space="0" w:color="auto"/>
        <w:left w:val="none" w:sz="0" w:space="0" w:color="auto"/>
        <w:bottom w:val="none" w:sz="0" w:space="0" w:color="auto"/>
        <w:right w:val="none" w:sz="0" w:space="0" w:color="auto"/>
      </w:divBdr>
    </w:div>
    <w:div w:id="473719405">
      <w:bodyDiv w:val="1"/>
      <w:marLeft w:val="0"/>
      <w:marRight w:val="0"/>
      <w:marTop w:val="0"/>
      <w:marBottom w:val="0"/>
      <w:divBdr>
        <w:top w:val="none" w:sz="0" w:space="0" w:color="auto"/>
        <w:left w:val="none" w:sz="0" w:space="0" w:color="auto"/>
        <w:bottom w:val="none" w:sz="0" w:space="0" w:color="auto"/>
        <w:right w:val="none" w:sz="0" w:space="0" w:color="auto"/>
      </w:divBdr>
    </w:div>
    <w:div w:id="473983359">
      <w:bodyDiv w:val="1"/>
      <w:marLeft w:val="0"/>
      <w:marRight w:val="0"/>
      <w:marTop w:val="0"/>
      <w:marBottom w:val="0"/>
      <w:divBdr>
        <w:top w:val="none" w:sz="0" w:space="0" w:color="auto"/>
        <w:left w:val="none" w:sz="0" w:space="0" w:color="auto"/>
        <w:bottom w:val="none" w:sz="0" w:space="0" w:color="auto"/>
        <w:right w:val="none" w:sz="0" w:space="0" w:color="auto"/>
      </w:divBdr>
    </w:div>
    <w:div w:id="474028001">
      <w:bodyDiv w:val="1"/>
      <w:marLeft w:val="0"/>
      <w:marRight w:val="0"/>
      <w:marTop w:val="0"/>
      <w:marBottom w:val="0"/>
      <w:divBdr>
        <w:top w:val="none" w:sz="0" w:space="0" w:color="auto"/>
        <w:left w:val="none" w:sz="0" w:space="0" w:color="auto"/>
        <w:bottom w:val="none" w:sz="0" w:space="0" w:color="auto"/>
        <w:right w:val="none" w:sz="0" w:space="0" w:color="auto"/>
      </w:divBdr>
    </w:div>
    <w:div w:id="474029092">
      <w:bodyDiv w:val="1"/>
      <w:marLeft w:val="0"/>
      <w:marRight w:val="0"/>
      <w:marTop w:val="0"/>
      <w:marBottom w:val="0"/>
      <w:divBdr>
        <w:top w:val="none" w:sz="0" w:space="0" w:color="auto"/>
        <w:left w:val="none" w:sz="0" w:space="0" w:color="auto"/>
        <w:bottom w:val="none" w:sz="0" w:space="0" w:color="auto"/>
        <w:right w:val="none" w:sz="0" w:space="0" w:color="auto"/>
      </w:divBdr>
    </w:div>
    <w:div w:id="474033725">
      <w:bodyDiv w:val="1"/>
      <w:marLeft w:val="0"/>
      <w:marRight w:val="0"/>
      <w:marTop w:val="0"/>
      <w:marBottom w:val="0"/>
      <w:divBdr>
        <w:top w:val="none" w:sz="0" w:space="0" w:color="auto"/>
        <w:left w:val="none" w:sz="0" w:space="0" w:color="auto"/>
        <w:bottom w:val="none" w:sz="0" w:space="0" w:color="auto"/>
        <w:right w:val="none" w:sz="0" w:space="0" w:color="auto"/>
      </w:divBdr>
    </w:div>
    <w:div w:id="474219399">
      <w:bodyDiv w:val="1"/>
      <w:marLeft w:val="0"/>
      <w:marRight w:val="0"/>
      <w:marTop w:val="0"/>
      <w:marBottom w:val="0"/>
      <w:divBdr>
        <w:top w:val="none" w:sz="0" w:space="0" w:color="auto"/>
        <w:left w:val="none" w:sz="0" w:space="0" w:color="auto"/>
        <w:bottom w:val="none" w:sz="0" w:space="0" w:color="auto"/>
        <w:right w:val="none" w:sz="0" w:space="0" w:color="auto"/>
      </w:divBdr>
    </w:div>
    <w:div w:id="474838045">
      <w:bodyDiv w:val="1"/>
      <w:marLeft w:val="0"/>
      <w:marRight w:val="0"/>
      <w:marTop w:val="0"/>
      <w:marBottom w:val="0"/>
      <w:divBdr>
        <w:top w:val="none" w:sz="0" w:space="0" w:color="auto"/>
        <w:left w:val="none" w:sz="0" w:space="0" w:color="auto"/>
        <w:bottom w:val="none" w:sz="0" w:space="0" w:color="auto"/>
        <w:right w:val="none" w:sz="0" w:space="0" w:color="auto"/>
      </w:divBdr>
    </w:div>
    <w:div w:id="475033887">
      <w:bodyDiv w:val="1"/>
      <w:marLeft w:val="0"/>
      <w:marRight w:val="0"/>
      <w:marTop w:val="0"/>
      <w:marBottom w:val="0"/>
      <w:divBdr>
        <w:top w:val="none" w:sz="0" w:space="0" w:color="auto"/>
        <w:left w:val="none" w:sz="0" w:space="0" w:color="auto"/>
        <w:bottom w:val="none" w:sz="0" w:space="0" w:color="auto"/>
        <w:right w:val="none" w:sz="0" w:space="0" w:color="auto"/>
      </w:divBdr>
    </w:div>
    <w:div w:id="475072408">
      <w:bodyDiv w:val="1"/>
      <w:marLeft w:val="0"/>
      <w:marRight w:val="0"/>
      <w:marTop w:val="0"/>
      <w:marBottom w:val="0"/>
      <w:divBdr>
        <w:top w:val="none" w:sz="0" w:space="0" w:color="auto"/>
        <w:left w:val="none" w:sz="0" w:space="0" w:color="auto"/>
        <w:bottom w:val="none" w:sz="0" w:space="0" w:color="auto"/>
        <w:right w:val="none" w:sz="0" w:space="0" w:color="auto"/>
      </w:divBdr>
    </w:div>
    <w:div w:id="475073924">
      <w:bodyDiv w:val="1"/>
      <w:marLeft w:val="0"/>
      <w:marRight w:val="0"/>
      <w:marTop w:val="0"/>
      <w:marBottom w:val="0"/>
      <w:divBdr>
        <w:top w:val="none" w:sz="0" w:space="0" w:color="auto"/>
        <w:left w:val="none" w:sz="0" w:space="0" w:color="auto"/>
        <w:bottom w:val="none" w:sz="0" w:space="0" w:color="auto"/>
        <w:right w:val="none" w:sz="0" w:space="0" w:color="auto"/>
      </w:divBdr>
    </w:div>
    <w:div w:id="475415668">
      <w:bodyDiv w:val="1"/>
      <w:marLeft w:val="0"/>
      <w:marRight w:val="0"/>
      <w:marTop w:val="0"/>
      <w:marBottom w:val="0"/>
      <w:divBdr>
        <w:top w:val="none" w:sz="0" w:space="0" w:color="auto"/>
        <w:left w:val="none" w:sz="0" w:space="0" w:color="auto"/>
        <w:bottom w:val="none" w:sz="0" w:space="0" w:color="auto"/>
        <w:right w:val="none" w:sz="0" w:space="0" w:color="auto"/>
      </w:divBdr>
    </w:div>
    <w:div w:id="475419878">
      <w:bodyDiv w:val="1"/>
      <w:marLeft w:val="0"/>
      <w:marRight w:val="0"/>
      <w:marTop w:val="0"/>
      <w:marBottom w:val="0"/>
      <w:divBdr>
        <w:top w:val="none" w:sz="0" w:space="0" w:color="auto"/>
        <w:left w:val="none" w:sz="0" w:space="0" w:color="auto"/>
        <w:bottom w:val="none" w:sz="0" w:space="0" w:color="auto"/>
        <w:right w:val="none" w:sz="0" w:space="0" w:color="auto"/>
      </w:divBdr>
    </w:div>
    <w:div w:id="476151546">
      <w:bodyDiv w:val="1"/>
      <w:marLeft w:val="0"/>
      <w:marRight w:val="0"/>
      <w:marTop w:val="0"/>
      <w:marBottom w:val="0"/>
      <w:divBdr>
        <w:top w:val="none" w:sz="0" w:space="0" w:color="auto"/>
        <w:left w:val="none" w:sz="0" w:space="0" w:color="auto"/>
        <w:bottom w:val="none" w:sz="0" w:space="0" w:color="auto"/>
        <w:right w:val="none" w:sz="0" w:space="0" w:color="auto"/>
      </w:divBdr>
    </w:div>
    <w:div w:id="476343998">
      <w:bodyDiv w:val="1"/>
      <w:marLeft w:val="0"/>
      <w:marRight w:val="0"/>
      <w:marTop w:val="0"/>
      <w:marBottom w:val="0"/>
      <w:divBdr>
        <w:top w:val="none" w:sz="0" w:space="0" w:color="auto"/>
        <w:left w:val="none" w:sz="0" w:space="0" w:color="auto"/>
        <w:bottom w:val="none" w:sz="0" w:space="0" w:color="auto"/>
        <w:right w:val="none" w:sz="0" w:space="0" w:color="auto"/>
      </w:divBdr>
    </w:div>
    <w:div w:id="476724583">
      <w:bodyDiv w:val="1"/>
      <w:marLeft w:val="0"/>
      <w:marRight w:val="0"/>
      <w:marTop w:val="0"/>
      <w:marBottom w:val="0"/>
      <w:divBdr>
        <w:top w:val="none" w:sz="0" w:space="0" w:color="auto"/>
        <w:left w:val="none" w:sz="0" w:space="0" w:color="auto"/>
        <w:bottom w:val="none" w:sz="0" w:space="0" w:color="auto"/>
        <w:right w:val="none" w:sz="0" w:space="0" w:color="auto"/>
      </w:divBdr>
    </w:div>
    <w:div w:id="476799163">
      <w:bodyDiv w:val="1"/>
      <w:marLeft w:val="0"/>
      <w:marRight w:val="0"/>
      <w:marTop w:val="0"/>
      <w:marBottom w:val="0"/>
      <w:divBdr>
        <w:top w:val="none" w:sz="0" w:space="0" w:color="auto"/>
        <w:left w:val="none" w:sz="0" w:space="0" w:color="auto"/>
        <w:bottom w:val="none" w:sz="0" w:space="0" w:color="auto"/>
        <w:right w:val="none" w:sz="0" w:space="0" w:color="auto"/>
      </w:divBdr>
    </w:div>
    <w:div w:id="476991837">
      <w:bodyDiv w:val="1"/>
      <w:marLeft w:val="0"/>
      <w:marRight w:val="0"/>
      <w:marTop w:val="0"/>
      <w:marBottom w:val="0"/>
      <w:divBdr>
        <w:top w:val="none" w:sz="0" w:space="0" w:color="auto"/>
        <w:left w:val="none" w:sz="0" w:space="0" w:color="auto"/>
        <w:bottom w:val="none" w:sz="0" w:space="0" w:color="auto"/>
        <w:right w:val="none" w:sz="0" w:space="0" w:color="auto"/>
      </w:divBdr>
    </w:div>
    <w:div w:id="476992403">
      <w:bodyDiv w:val="1"/>
      <w:marLeft w:val="0"/>
      <w:marRight w:val="0"/>
      <w:marTop w:val="0"/>
      <w:marBottom w:val="0"/>
      <w:divBdr>
        <w:top w:val="none" w:sz="0" w:space="0" w:color="auto"/>
        <w:left w:val="none" w:sz="0" w:space="0" w:color="auto"/>
        <w:bottom w:val="none" w:sz="0" w:space="0" w:color="auto"/>
        <w:right w:val="none" w:sz="0" w:space="0" w:color="auto"/>
      </w:divBdr>
    </w:div>
    <w:div w:id="477066664">
      <w:bodyDiv w:val="1"/>
      <w:marLeft w:val="0"/>
      <w:marRight w:val="0"/>
      <w:marTop w:val="0"/>
      <w:marBottom w:val="0"/>
      <w:divBdr>
        <w:top w:val="none" w:sz="0" w:space="0" w:color="auto"/>
        <w:left w:val="none" w:sz="0" w:space="0" w:color="auto"/>
        <w:bottom w:val="none" w:sz="0" w:space="0" w:color="auto"/>
        <w:right w:val="none" w:sz="0" w:space="0" w:color="auto"/>
      </w:divBdr>
    </w:div>
    <w:div w:id="477183864">
      <w:bodyDiv w:val="1"/>
      <w:marLeft w:val="0"/>
      <w:marRight w:val="0"/>
      <w:marTop w:val="0"/>
      <w:marBottom w:val="0"/>
      <w:divBdr>
        <w:top w:val="none" w:sz="0" w:space="0" w:color="auto"/>
        <w:left w:val="none" w:sz="0" w:space="0" w:color="auto"/>
        <w:bottom w:val="none" w:sz="0" w:space="0" w:color="auto"/>
        <w:right w:val="none" w:sz="0" w:space="0" w:color="auto"/>
      </w:divBdr>
    </w:div>
    <w:div w:id="477183956">
      <w:bodyDiv w:val="1"/>
      <w:marLeft w:val="0"/>
      <w:marRight w:val="0"/>
      <w:marTop w:val="0"/>
      <w:marBottom w:val="0"/>
      <w:divBdr>
        <w:top w:val="none" w:sz="0" w:space="0" w:color="auto"/>
        <w:left w:val="none" w:sz="0" w:space="0" w:color="auto"/>
        <w:bottom w:val="none" w:sz="0" w:space="0" w:color="auto"/>
        <w:right w:val="none" w:sz="0" w:space="0" w:color="auto"/>
      </w:divBdr>
    </w:div>
    <w:div w:id="477184083">
      <w:bodyDiv w:val="1"/>
      <w:marLeft w:val="0"/>
      <w:marRight w:val="0"/>
      <w:marTop w:val="0"/>
      <w:marBottom w:val="0"/>
      <w:divBdr>
        <w:top w:val="none" w:sz="0" w:space="0" w:color="auto"/>
        <w:left w:val="none" w:sz="0" w:space="0" w:color="auto"/>
        <w:bottom w:val="none" w:sz="0" w:space="0" w:color="auto"/>
        <w:right w:val="none" w:sz="0" w:space="0" w:color="auto"/>
      </w:divBdr>
    </w:div>
    <w:div w:id="477186899">
      <w:bodyDiv w:val="1"/>
      <w:marLeft w:val="0"/>
      <w:marRight w:val="0"/>
      <w:marTop w:val="0"/>
      <w:marBottom w:val="0"/>
      <w:divBdr>
        <w:top w:val="none" w:sz="0" w:space="0" w:color="auto"/>
        <w:left w:val="none" w:sz="0" w:space="0" w:color="auto"/>
        <w:bottom w:val="none" w:sz="0" w:space="0" w:color="auto"/>
        <w:right w:val="none" w:sz="0" w:space="0" w:color="auto"/>
      </w:divBdr>
    </w:div>
    <w:div w:id="477189562">
      <w:bodyDiv w:val="1"/>
      <w:marLeft w:val="0"/>
      <w:marRight w:val="0"/>
      <w:marTop w:val="0"/>
      <w:marBottom w:val="0"/>
      <w:divBdr>
        <w:top w:val="none" w:sz="0" w:space="0" w:color="auto"/>
        <w:left w:val="none" w:sz="0" w:space="0" w:color="auto"/>
        <w:bottom w:val="none" w:sz="0" w:space="0" w:color="auto"/>
        <w:right w:val="none" w:sz="0" w:space="0" w:color="auto"/>
      </w:divBdr>
    </w:div>
    <w:div w:id="477265111">
      <w:bodyDiv w:val="1"/>
      <w:marLeft w:val="0"/>
      <w:marRight w:val="0"/>
      <w:marTop w:val="0"/>
      <w:marBottom w:val="0"/>
      <w:divBdr>
        <w:top w:val="none" w:sz="0" w:space="0" w:color="auto"/>
        <w:left w:val="none" w:sz="0" w:space="0" w:color="auto"/>
        <w:bottom w:val="none" w:sz="0" w:space="0" w:color="auto"/>
        <w:right w:val="none" w:sz="0" w:space="0" w:color="auto"/>
      </w:divBdr>
    </w:div>
    <w:div w:id="477501761">
      <w:bodyDiv w:val="1"/>
      <w:marLeft w:val="0"/>
      <w:marRight w:val="0"/>
      <w:marTop w:val="0"/>
      <w:marBottom w:val="0"/>
      <w:divBdr>
        <w:top w:val="none" w:sz="0" w:space="0" w:color="auto"/>
        <w:left w:val="none" w:sz="0" w:space="0" w:color="auto"/>
        <w:bottom w:val="none" w:sz="0" w:space="0" w:color="auto"/>
        <w:right w:val="none" w:sz="0" w:space="0" w:color="auto"/>
      </w:divBdr>
    </w:div>
    <w:div w:id="477840950">
      <w:bodyDiv w:val="1"/>
      <w:marLeft w:val="0"/>
      <w:marRight w:val="0"/>
      <w:marTop w:val="0"/>
      <w:marBottom w:val="0"/>
      <w:divBdr>
        <w:top w:val="none" w:sz="0" w:space="0" w:color="auto"/>
        <w:left w:val="none" w:sz="0" w:space="0" w:color="auto"/>
        <w:bottom w:val="none" w:sz="0" w:space="0" w:color="auto"/>
        <w:right w:val="none" w:sz="0" w:space="0" w:color="auto"/>
      </w:divBdr>
    </w:div>
    <w:div w:id="477918765">
      <w:bodyDiv w:val="1"/>
      <w:marLeft w:val="0"/>
      <w:marRight w:val="0"/>
      <w:marTop w:val="0"/>
      <w:marBottom w:val="0"/>
      <w:divBdr>
        <w:top w:val="none" w:sz="0" w:space="0" w:color="auto"/>
        <w:left w:val="none" w:sz="0" w:space="0" w:color="auto"/>
        <w:bottom w:val="none" w:sz="0" w:space="0" w:color="auto"/>
        <w:right w:val="none" w:sz="0" w:space="0" w:color="auto"/>
      </w:divBdr>
    </w:div>
    <w:div w:id="477919576">
      <w:bodyDiv w:val="1"/>
      <w:marLeft w:val="0"/>
      <w:marRight w:val="0"/>
      <w:marTop w:val="0"/>
      <w:marBottom w:val="0"/>
      <w:divBdr>
        <w:top w:val="none" w:sz="0" w:space="0" w:color="auto"/>
        <w:left w:val="none" w:sz="0" w:space="0" w:color="auto"/>
        <w:bottom w:val="none" w:sz="0" w:space="0" w:color="auto"/>
        <w:right w:val="none" w:sz="0" w:space="0" w:color="auto"/>
      </w:divBdr>
    </w:div>
    <w:div w:id="478041149">
      <w:bodyDiv w:val="1"/>
      <w:marLeft w:val="0"/>
      <w:marRight w:val="0"/>
      <w:marTop w:val="0"/>
      <w:marBottom w:val="0"/>
      <w:divBdr>
        <w:top w:val="none" w:sz="0" w:space="0" w:color="auto"/>
        <w:left w:val="none" w:sz="0" w:space="0" w:color="auto"/>
        <w:bottom w:val="none" w:sz="0" w:space="0" w:color="auto"/>
        <w:right w:val="none" w:sz="0" w:space="0" w:color="auto"/>
      </w:divBdr>
    </w:div>
    <w:div w:id="478421858">
      <w:bodyDiv w:val="1"/>
      <w:marLeft w:val="0"/>
      <w:marRight w:val="0"/>
      <w:marTop w:val="0"/>
      <w:marBottom w:val="0"/>
      <w:divBdr>
        <w:top w:val="none" w:sz="0" w:space="0" w:color="auto"/>
        <w:left w:val="none" w:sz="0" w:space="0" w:color="auto"/>
        <w:bottom w:val="none" w:sz="0" w:space="0" w:color="auto"/>
        <w:right w:val="none" w:sz="0" w:space="0" w:color="auto"/>
      </w:divBdr>
    </w:div>
    <w:div w:id="478422173">
      <w:bodyDiv w:val="1"/>
      <w:marLeft w:val="0"/>
      <w:marRight w:val="0"/>
      <w:marTop w:val="0"/>
      <w:marBottom w:val="0"/>
      <w:divBdr>
        <w:top w:val="none" w:sz="0" w:space="0" w:color="auto"/>
        <w:left w:val="none" w:sz="0" w:space="0" w:color="auto"/>
        <w:bottom w:val="none" w:sz="0" w:space="0" w:color="auto"/>
        <w:right w:val="none" w:sz="0" w:space="0" w:color="auto"/>
      </w:divBdr>
    </w:div>
    <w:div w:id="478545536">
      <w:bodyDiv w:val="1"/>
      <w:marLeft w:val="0"/>
      <w:marRight w:val="0"/>
      <w:marTop w:val="0"/>
      <w:marBottom w:val="0"/>
      <w:divBdr>
        <w:top w:val="none" w:sz="0" w:space="0" w:color="auto"/>
        <w:left w:val="none" w:sz="0" w:space="0" w:color="auto"/>
        <w:bottom w:val="none" w:sz="0" w:space="0" w:color="auto"/>
        <w:right w:val="none" w:sz="0" w:space="0" w:color="auto"/>
      </w:divBdr>
    </w:div>
    <w:div w:id="478614439">
      <w:bodyDiv w:val="1"/>
      <w:marLeft w:val="0"/>
      <w:marRight w:val="0"/>
      <w:marTop w:val="0"/>
      <w:marBottom w:val="0"/>
      <w:divBdr>
        <w:top w:val="none" w:sz="0" w:space="0" w:color="auto"/>
        <w:left w:val="none" w:sz="0" w:space="0" w:color="auto"/>
        <w:bottom w:val="none" w:sz="0" w:space="0" w:color="auto"/>
        <w:right w:val="none" w:sz="0" w:space="0" w:color="auto"/>
      </w:divBdr>
    </w:div>
    <w:div w:id="478618076">
      <w:bodyDiv w:val="1"/>
      <w:marLeft w:val="0"/>
      <w:marRight w:val="0"/>
      <w:marTop w:val="0"/>
      <w:marBottom w:val="0"/>
      <w:divBdr>
        <w:top w:val="none" w:sz="0" w:space="0" w:color="auto"/>
        <w:left w:val="none" w:sz="0" w:space="0" w:color="auto"/>
        <w:bottom w:val="none" w:sz="0" w:space="0" w:color="auto"/>
        <w:right w:val="none" w:sz="0" w:space="0" w:color="auto"/>
      </w:divBdr>
    </w:div>
    <w:div w:id="478620616">
      <w:bodyDiv w:val="1"/>
      <w:marLeft w:val="0"/>
      <w:marRight w:val="0"/>
      <w:marTop w:val="0"/>
      <w:marBottom w:val="0"/>
      <w:divBdr>
        <w:top w:val="none" w:sz="0" w:space="0" w:color="auto"/>
        <w:left w:val="none" w:sz="0" w:space="0" w:color="auto"/>
        <w:bottom w:val="none" w:sz="0" w:space="0" w:color="auto"/>
        <w:right w:val="none" w:sz="0" w:space="0" w:color="auto"/>
      </w:divBdr>
    </w:div>
    <w:div w:id="478620950">
      <w:bodyDiv w:val="1"/>
      <w:marLeft w:val="0"/>
      <w:marRight w:val="0"/>
      <w:marTop w:val="0"/>
      <w:marBottom w:val="0"/>
      <w:divBdr>
        <w:top w:val="none" w:sz="0" w:space="0" w:color="auto"/>
        <w:left w:val="none" w:sz="0" w:space="0" w:color="auto"/>
        <w:bottom w:val="none" w:sz="0" w:space="0" w:color="auto"/>
        <w:right w:val="none" w:sz="0" w:space="0" w:color="auto"/>
      </w:divBdr>
    </w:div>
    <w:div w:id="478692495">
      <w:bodyDiv w:val="1"/>
      <w:marLeft w:val="0"/>
      <w:marRight w:val="0"/>
      <w:marTop w:val="0"/>
      <w:marBottom w:val="0"/>
      <w:divBdr>
        <w:top w:val="none" w:sz="0" w:space="0" w:color="auto"/>
        <w:left w:val="none" w:sz="0" w:space="0" w:color="auto"/>
        <w:bottom w:val="none" w:sz="0" w:space="0" w:color="auto"/>
        <w:right w:val="none" w:sz="0" w:space="0" w:color="auto"/>
      </w:divBdr>
    </w:div>
    <w:div w:id="479688904">
      <w:bodyDiv w:val="1"/>
      <w:marLeft w:val="0"/>
      <w:marRight w:val="0"/>
      <w:marTop w:val="0"/>
      <w:marBottom w:val="0"/>
      <w:divBdr>
        <w:top w:val="none" w:sz="0" w:space="0" w:color="auto"/>
        <w:left w:val="none" w:sz="0" w:space="0" w:color="auto"/>
        <w:bottom w:val="none" w:sz="0" w:space="0" w:color="auto"/>
        <w:right w:val="none" w:sz="0" w:space="0" w:color="auto"/>
      </w:divBdr>
    </w:div>
    <w:div w:id="479923655">
      <w:bodyDiv w:val="1"/>
      <w:marLeft w:val="0"/>
      <w:marRight w:val="0"/>
      <w:marTop w:val="0"/>
      <w:marBottom w:val="0"/>
      <w:divBdr>
        <w:top w:val="none" w:sz="0" w:space="0" w:color="auto"/>
        <w:left w:val="none" w:sz="0" w:space="0" w:color="auto"/>
        <w:bottom w:val="none" w:sz="0" w:space="0" w:color="auto"/>
        <w:right w:val="none" w:sz="0" w:space="0" w:color="auto"/>
      </w:divBdr>
    </w:div>
    <w:div w:id="480073895">
      <w:bodyDiv w:val="1"/>
      <w:marLeft w:val="0"/>
      <w:marRight w:val="0"/>
      <w:marTop w:val="0"/>
      <w:marBottom w:val="0"/>
      <w:divBdr>
        <w:top w:val="none" w:sz="0" w:space="0" w:color="auto"/>
        <w:left w:val="none" w:sz="0" w:space="0" w:color="auto"/>
        <w:bottom w:val="none" w:sz="0" w:space="0" w:color="auto"/>
        <w:right w:val="none" w:sz="0" w:space="0" w:color="auto"/>
      </w:divBdr>
    </w:div>
    <w:div w:id="480078266">
      <w:bodyDiv w:val="1"/>
      <w:marLeft w:val="0"/>
      <w:marRight w:val="0"/>
      <w:marTop w:val="0"/>
      <w:marBottom w:val="0"/>
      <w:divBdr>
        <w:top w:val="none" w:sz="0" w:space="0" w:color="auto"/>
        <w:left w:val="none" w:sz="0" w:space="0" w:color="auto"/>
        <w:bottom w:val="none" w:sz="0" w:space="0" w:color="auto"/>
        <w:right w:val="none" w:sz="0" w:space="0" w:color="auto"/>
      </w:divBdr>
    </w:div>
    <w:div w:id="480200146">
      <w:bodyDiv w:val="1"/>
      <w:marLeft w:val="0"/>
      <w:marRight w:val="0"/>
      <w:marTop w:val="0"/>
      <w:marBottom w:val="0"/>
      <w:divBdr>
        <w:top w:val="none" w:sz="0" w:space="0" w:color="auto"/>
        <w:left w:val="none" w:sz="0" w:space="0" w:color="auto"/>
        <w:bottom w:val="none" w:sz="0" w:space="0" w:color="auto"/>
        <w:right w:val="none" w:sz="0" w:space="0" w:color="auto"/>
      </w:divBdr>
    </w:div>
    <w:div w:id="480511472">
      <w:bodyDiv w:val="1"/>
      <w:marLeft w:val="0"/>
      <w:marRight w:val="0"/>
      <w:marTop w:val="0"/>
      <w:marBottom w:val="0"/>
      <w:divBdr>
        <w:top w:val="none" w:sz="0" w:space="0" w:color="auto"/>
        <w:left w:val="none" w:sz="0" w:space="0" w:color="auto"/>
        <w:bottom w:val="none" w:sz="0" w:space="0" w:color="auto"/>
        <w:right w:val="none" w:sz="0" w:space="0" w:color="auto"/>
      </w:divBdr>
    </w:div>
    <w:div w:id="480772436">
      <w:bodyDiv w:val="1"/>
      <w:marLeft w:val="0"/>
      <w:marRight w:val="0"/>
      <w:marTop w:val="0"/>
      <w:marBottom w:val="0"/>
      <w:divBdr>
        <w:top w:val="none" w:sz="0" w:space="0" w:color="auto"/>
        <w:left w:val="none" w:sz="0" w:space="0" w:color="auto"/>
        <w:bottom w:val="none" w:sz="0" w:space="0" w:color="auto"/>
        <w:right w:val="none" w:sz="0" w:space="0" w:color="auto"/>
      </w:divBdr>
    </w:div>
    <w:div w:id="480779010">
      <w:bodyDiv w:val="1"/>
      <w:marLeft w:val="0"/>
      <w:marRight w:val="0"/>
      <w:marTop w:val="0"/>
      <w:marBottom w:val="0"/>
      <w:divBdr>
        <w:top w:val="none" w:sz="0" w:space="0" w:color="auto"/>
        <w:left w:val="none" w:sz="0" w:space="0" w:color="auto"/>
        <w:bottom w:val="none" w:sz="0" w:space="0" w:color="auto"/>
        <w:right w:val="none" w:sz="0" w:space="0" w:color="auto"/>
      </w:divBdr>
    </w:div>
    <w:div w:id="480848842">
      <w:bodyDiv w:val="1"/>
      <w:marLeft w:val="0"/>
      <w:marRight w:val="0"/>
      <w:marTop w:val="0"/>
      <w:marBottom w:val="0"/>
      <w:divBdr>
        <w:top w:val="none" w:sz="0" w:space="0" w:color="auto"/>
        <w:left w:val="none" w:sz="0" w:space="0" w:color="auto"/>
        <w:bottom w:val="none" w:sz="0" w:space="0" w:color="auto"/>
        <w:right w:val="none" w:sz="0" w:space="0" w:color="auto"/>
      </w:divBdr>
    </w:div>
    <w:div w:id="480854990">
      <w:bodyDiv w:val="1"/>
      <w:marLeft w:val="0"/>
      <w:marRight w:val="0"/>
      <w:marTop w:val="0"/>
      <w:marBottom w:val="0"/>
      <w:divBdr>
        <w:top w:val="none" w:sz="0" w:space="0" w:color="auto"/>
        <w:left w:val="none" w:sz="0" w:space="0" w:color="auto"/>
        <w:bottom w:val="none" w:sz="0" w:space="0" w:color="auto"/>
        <w:right w:val="none" w:sz="0" w:space="0" w:color="auto"/>
      </w:divBdr>
    </w:div>
    <w:div w:id="480973787">
      <w:bodyDiv w:val="1"/>
      <w:marLeft w:val="0"/>
      <w:marRight w:val="0"/>
      <w:marTop w:val="0"/>
      <w:marBottom w:val="0"/>
      <w:divBdr>
        <w:top w:val="none" w:sz="0" w:space="0" w:color="auto"/>
        <w:left w:val="none" w:sz="0" w:space="0" w:color="auto"/>
        <w:bottom w:val="none" w:sz="0" w:space="0" w:color="auto"/>
        <w:right w:val="none" w:sz="0" w:space="0" w:color="auto"/>
      </w:divBdr>
    </w:div>
    <w:div w:id="481115943">
      <w:bodyDiv w:val="1"/>
      <w:marLeft w:val="0"/>
      <w:marRight w:val="0"/>
      <w:marTop w:val="0"/>
      <w:marBottom w:val="0"/>
      <w:divBdr>
        <w:top w:val="none" w:sz="0" w:space="0" w:color="auto"/>
        <w:left w:val="none" w:sz="0" w:space="0" w:color="auto"/>
        <w:bottom w:val="none" w:sz="0" w:space="0" w:color="auto"/>
        <w:right w:val="none" w:sz="0" w:space="0" w:color="auto"/>
      </w:divBdr>
    </w:div>
    <w:div w:id="481310125">
      <w:bodyDiv w:val="1"/>
      <w:marLeft w:val="0"/>
      <w:marRight w:val="0"/>
      <w:marTop w:val="0"/>
      <w:marBottom w:val="0"/>
      <w:divBdr>
        <w:top w:val="none" w:sz="0" w:space="0" w:color="auto"/>
        <w:left w:val="none" w:sz="0" w:space="0" w:color="auto"/>
        <w:bottom w:val="none" w:sz="0" w:space="0" w:color="auto"/>
        <w:right w:val="none" w:sz="0" w:space="0" w:color="auto"/>
      </w:divBdr>
    </w:div>
    <w:div w:id="481432489">
      <w:bodyDiv w:val="1"/>
      <w:marLeft w:val="0"/>
      <w:marRight w:val="0"/>
      <w:marTop w:val="0"/>
      <w:marBottom w:val="0"/>
      <w:divBdr>
        <w:top w:val="none" w:sz="0" w:space="0" w:color="auto"/>
        <w:left w:val="none" w:sz="0" w:space="0" w:color="auto"/>
        <w:bottom w:val="none" w:sz="0" w:space="0" w:color="auto"/>
        <w:right w:val="none" w:sz="0" w:space="0" w:color="auto"/>
      </w:divBdr>
    </w:div>
    <w:div w:id="481696089">
      <w:bodyDiv w:val="1"/>
      <w:marLeft w:val="0"/>
      <w:marRight w:val="0"/>
      <w:marTop w:val="0"/>
      <w:marBottom w:val="0"/>
      <w:divBdr>
        <w:top w:val="none" w:sz="0" w:space="0" w:color="auto"/>
        <w:left w:val="none" w:sz="0" w:space="0" w:color="auto"/>
        <w:bottom w:val="none" w:sz="0" w:space="0" w:color="auto"/>
        <w:right w:val="none" w:sz="0" w:space="0" w:color="auto"/>
      </w:divBdr>
    </w:div>
    <w:div w:id="481698856">
      <w:bodyDiv w:val="1"/>
      <w:marLeft w:val="0"/>
      <w:marRight w:val="0"/>
      <w:marTop w:val="0"/>
      <w:marBottom w:val="0"/>
      <w:divBdr>
        <w:top w:val="none" w:sz="0" w:space="0" w:color="auto"/>
        <w:left w:val="none" w:sz="0" w:space="0" w:color="auto"/>
        <w:bottom w:val="none" w:sz="0" w:space="0" w:color="auto"/>
        <w:right w:val="none" w:sz="0" w:space="0" w:color="auto"/>
      </w:divBdr>
    </w:div>
    <w:div w:id="481702355">
      <w:bodyDiv w:val="1"/>
      <w:marLeft w:val="0"/>
      <w:marRight w:val="0"/>
      <w:marTop w:val="0"/>
      <w:marBottom w:val="0"/>
      <w:divBdr>
        <w:top w:val="none" w:sz="0" w:space="0" w:color="auto"/>
        <w:left w:val="none" w:sz="0" w:space="0" w:color="auto"/>
        <w:bottom w:val="none" w:sz="0" w:space="0" w:color="auto"/>
        <w:right w:val="none" w:sz="0" w:space="0" w:color="auto"/>
      </w:divBdr>
    </w:div>
    <w:div w:id="481702668">
      <w:bodyDiv w:val="1"/>
      <w:marLeft w:val="0"/>
      <w:marRight w:val="0"/>
      <w:marTop w:val="0"/>
      <w:marBottom w:val="0"/>
      <w:divBdr>
        <w:top w:val="none" w:sz="0" w:space="0" w:color="auto"/>
        <w:left w:val="none" w:sz="0" w:space="0" w:color="auto"/>
        <w:bottom w:val="none" w:sz="0" w:space="0" w:color="auto"/>
        <w:right w:val="none" w:sz="0" w:space="0" w:color="auto"/>
      </w:divBdr>
    </w:div>
    <w:div w:id="482041566">
      <w:bodyDiv w:val="1"/>
      <w:marLeft w:val="0"/>
      <w:marRight w:val="0"/>
      <w:marTop w:val="0"/>
      <w:marBottom w:val="0"/>
      <w:divBdr>
        <w:top w:val="none" w:sz="0" w:space="0" w:color="auto"/>
        <w:left w:val="none" w:sz="0" w:space="0" w:color="auto"/>
        <w:bottom w:val="none" w:sz="0" w:space="0" w:color="auto"/>
        <w:right w:val="none" w:sz="0" w:space="0" w:color="auto"/>
      </w:divBdr>
    </w:div>
    <w:div w:id="482359733">
      <w:bodyDiv w:val="1"/>
      <w:marLeft w:val="0"/>
      <w:marRight w:val="0"/>
      <w:marTop w:val="0"/>
      <w:marBottom w:val="0"/>
      <w:divBdr>
        <w:top w:val="none" w:sz="0" w:space="0" w:color="auto"/>
        <w:left w:val="none" w:sz="0" w:space="0" w:color="auto"/>
        <w:bottom w:val="none" w:sz="0" w:space="0" w:color="auto"/>
        <w:right w:val="none" w:sz="0" w:space="0" w:color="auto"/>
      </w:divBdr>
    </w:div>
    <w:div w:id="482502097">
      <w:bodyDiv w:val="1"/>
      <w:marLeft w:val="0"/>
      <w:marRight w:val="0"/>
      <w:marTop w:val="0"/>
      <w:marBottom w:val="0"/>
      <w:divBdr>
        <w:top w:val="none" w:sz="0" w:space="0" w:color="auto"/>
        <w:left w:val="none" w:sz="0" w:space="0" w:color="auto"/>
        <w:bottom w:val="none" w:sz="0" w:space="0" w:color="auto"/>
        <w:right w:val="none" w:sz="0" w:space="0" w:color="auto"/>
      </w:divBdr>
    </w:div>
    <w:div w:id="482503161">
      <w:bodyDiv w:val="1"/>
      <w:marLeft w:val="0"/>
      <w:marRight w:val="0"/>
      <w:marTop w:val="0"/>
      <w:marBottom w:val="0"/>
      <w:divBdr>
        <w:top w:val="none" w:sz="0" w:space="0" w:color="auto"/>
        <w:left w:val="none" w:sz="0" w:space="0" w:color="auto"/>
        <w:bottom w:val="none" w:sz="0" w:space="0" w:color="auto"/>
        <w:right w:val="none" w:sz="0" w:space="0" w:color="auto"/>
      </w:divBdr>
    </w:div>
    <w:div w:id="482546099">
      <w:bodyDiv w:val="1"/>
      <w:marLeft w:val="0"/>
      <w:marRight w:val="0"/>
      <w:marTop w:val="0"/>
      <w:marBottom w:val="0"/>
      <w:divBdr>
        <w:top w:val="none" w:sz="0" w:space="0" w:color="auto"/>
        <w:left w:val="none" w:sz="0" w:space="0" w:color="auto"/>
        <w:bottom w:val="none" w:sz="0" w:space="0" w:color="auto"/>
        <w:right w:val="none" w:sz="0" w:space="0" w:color="auto"/>
      </w:divBdr>
    </w:div>
    <w:div w:id="482623548">
      <w:bodyDiv w:val="1"/>
      <w:marLeft w:val="0"/>
      <w:marRight w:val="0"/>
      <w:marTop w:val="0"/>
      <w:marBottom w:val="0"/>
      <w:divBdr>
        <w:top w:val="none" w:sz="0" w:space="0" w:color="auto"/>
        <w:left w:val="none" w:sz="0" w:space="0" w:color="auto"/>
        <w:bottom w:val="none" w:sz="0" w:space="0" w:color="auto"/>
        <w:right w:val="none" w:sz="0" w:space="0" w:color="auto"/>
      </w:divBdr>
    </w:div>
    <w:div w:id="483083352">
      <w:bodyDiv w:val="1"/>
      <w:marLeft w:val="0"/>
      <w:marRight w:val="0"/>
      <w:marTop w:val="0"/>
      <w:marBottom w:val="0"/>
      <w:divBdr>
        <w:top w:val="none" w:sz="0" w:space="0" w:color="auto"/>
        <w:left w:val="none" w:sz="0" w:space="0" w:color="auto"/>
        <w:bottom w:val="none" w:sz="0" w:space="0" w:color="auto"/>
        <w:right w:val="none" w:sz="0" w:space="0" w:color="auto"/>
      </w:divBdr>
    </w:div>
    <w:div w:id="483473725">
      <w:bodyDiv w:val="1"/>
      <w:marLeft w:val="0"/>
      <w:marRight w:val="0"/>
      <w:marTop w:val="0"/>
      <w:marBottom w:val="0"/>
      <w:divBdr>
        <w:top w:val="none" w:sz="0" w:space="0" w:color="auto"/>
        <w:left w:val="none" w:sz="0" w:space="0" w:color="auto"/>
        <w:bottom w:val="none" w:sz="0" w:space="0" w:color="auto"/>
        <w:right w:val="none" w:sz="0" w:space="0" w:color="auto"/>
      </w:divBdr>
    </w:div>
    <w:div w:id="484009225">
      <w:bodyDiv w:val="1"/>
      <w:marLeft w:val="0"/>
      <w:marRight w:val="0"/>
      <w:marTop w:val="0"/>
      <w:marBottom w:val="0"/>
      <w:divBdr>
        <w:top w:val="none" w:sz="0" w:space="0" w:color="auto"/>
        <w:left w:val="none" w:sz="0" w:space="0" w:color="auto"/>
        <w:bottom w:val="none" w:sz="0" w:space="0" w:color="auto"/>
        <w:right w:val="none" w:sz="0" w:space="0" w:color="auto"/>
      </w:divBdr>
    </w:div>
    <w:div w:id="484051083">
      <w:bodyDiv w:val="1"/>
      <w:marLeft w:val="0"/>
      <w:marRight w:val="0"/>
      <w:marTop w:val="0"/>
      <w:marBottom w:val="0"/>
      <w:divBdr>
        <w:top w:val="none" w:sz="0" w:space="0" w:color="auto"/>
        <w:left w:val="none" w:sz="0" w:space="0" w:color="auto"/>
        <w:bottom w:val="none" w:sz="0" w:space="0" w:color="auto"/>
        <w:right w:val="none" w:sz="0" w:space="0" w:color="auto"/>
      </w:divBdr>
    </w:div>
    <w:div w:id="484324325">
      <w:bodyDiv w:val="1"/>
      <w:marLeft w:val="0"/>
      <w:marRight w:val="0"/>
      <w:marTop w:val="0"/>
      <w:marBottom w:val="0"/>
      <w:divBdr>
        <w:top w:val="none" w:sz="0" w:space="0" w:color="auto"/>
        <w:left w:val="none" w:sz="0" w:space="0" w:color="auto"/>
        <w:bottom w:val="none" w:sz="0" w:space="0" w:color="auto"/>
        <w:right w:val="none" w:sz="0" w:space="0" w:color="auto"/>
      </w:divBdr>
    </w:div>
    <w:div w:id="484706727">
      <w:bodyDiv w:val="1"/>
      <w:marLeft w:val="0"/>
      <w:marRight w:val="0"/>
      <w:marTop w:val="0"/>
      <w:marBottom w:val="0"/>
      <w:divBdr>
        <w:top w:val="none" w:sz="0" w:space="0" w:color="auto"/>
        <w:left w:val="none" w:sz="0" w:space="0" w:color="auto"/>
        <w:bottom w:val="none" w:sz="0" w:space="0" w:color="auto"/>
        <w:right w:val="none" w:sz="0" w:space="0" w:color="auto"/>
      </w:divBdr>
    </w:div>
    <w:div w:id="485130123">
      <w:bodyDiv w:val="1"/>
      <w:marLeft w:val="0"/>
      <w:marRight w:val="0"/>
      <w:marTop w:val="0"/>
      <w:marBottom w:val="0"/>
      <w:divBdr>
        <w:top w:val="none" w:sz="0" w:space="0" w:color="auto"/>
        <w:left w:val="none" w:sz="0" w:space="0" w:color="auto"/>
        <w:bottom w:val="none" w:sz="0" w:space="0" w:color="auto"/>
        <w:right w:val="none" w:sz="0" w:space="0" w:color="auto"/>
      </w:divBdr>
    </w:div>
    <w:div w:id="485317849">
      <w:bodyDiv w:val="1"/>
      <w:marLeft w:val="0"/>
      <w:marRight w:val="0"/>
      <w:marTop w:val="0"/>
      <w:marBottom w:val="0"/>
      <w:divBdr>
        <w:top w:val="none" w:sz="0" w:space="0" w:color="auto"/>
        <w:left w:val="none" w:sz="0" w:space="0" w:color="auto"/>
        <w:bottom w:val="none" w:sz="0" w:space="0" w:color="auto"/>
        <w:right w:val="none" w:sz="0" w:space="0" w:color="auto"/>
      </w:divBdr>
    </w:div>
    <w:div w:id="485434547">
      <w:bodyDiv w:val="1"/>
      <w:marLeft w:val="0"/>
      <w:marRight w:val="0"/>
      <w:marTop w:val="0"/>
      <w:marBottom w:val="0"/>
      <w:divBdr>
        <w:top w:val="none" w:sz="0" w:space="0" w:color="auto"/>
        <w:left w:val="none" w:sz="0" w:space="0" w:color="auto"/>
        <w:bottom w:val="none" w:sz="0" w:space="0" w:color="auto"/>
        <w:right w:val="none" w:sz="0" w:space="0" w:color="auto"/>
      </w:divBdr>
    </w:div>
    <w:div w:id="485705785">
      <w:bodyDiv w:val="1"/>
      <w:marLeft w:val="0"/>
      <w:marRight w:val="0"/>
      <w:marTop w:val="0"/>
      <w:marBottom w:val="0"/>
      <w:divBdr>
        <w:top w:val="none" w:sz="0" w:space="0" w:color="auto"/>
        <w:left w:val="none" w:sz="0" w:space="0" w:color="auto"/>
        <w:bottom w:val="none" w:sz="0" w:space="0" w:color="auto"/>
        <w:right w:val="none" w:sz="0" w:space="0" w:color="auto"/>
      </w:divBdr>
    </w:div>
    <w:div w:id="486239516">
      <w:bodyDiv w:val="1"/>
      <w:marLeft w:val="0"/>
      <w:marRight w:val="0"/>
      <w:marTop w:val="0"/>
      <w:marBottom w:val="0"/>
      <w:divBdr>
        <w:top w:val="none" w:sz="0" w:space="0" w:color="auto"/>
        <w:left w:val="none" w:sz="0" w:space="0" w:color="auto"/>
        <w:bottom w:val="none" w:sz="0" w:space="0" w:color="auto"/>
        <w:right w:val="none" w:sz="0" w:space="0" w:color="auto"/>
      </w:divBdr>
    </w:div>
    <w:div w:id="486287386">
      <w:bodyDiv w:val="1"/>
      <w:marLeft w:val="0"/>
      <w:marRight w:val="0"/>
      <w:marTop w:val="0"/>
      <w:marBottom w:val="0"/>
      <w:divBdr>
        <w:top w:val="none" w:sz="0" w:space="0" w:color="auto"/>
        <w:left w:val="none" w:sz="0" w:space="0" w:color="auto"/>
        <w:bottom w:val="none" w:sz="0" w:space="0" w:color="auto"/>
        <w:right w:val="none" w:sz="0" w:space="0" w:color="auto"/>
      </w:divBdr>
    </w:div>
    <w:div w:id="486365350">
      <w:bodyDiv w:val="1"/>
      <w:marLeft w:val="0"/>
      <w:marRight w:val="0"/>
      <w:marTop w:val="0"/>
      <w:marBottom w:val="0"/>
      <w:divBdr>
        <w:top w:val="none" w:sz="0" w:space="0" w:color="auto"/>
        <w:left w:val="none" w:sz="0" w:space="0" w:color="auto"/>
        <w:bottom w:val="none" w:sz="0" w:space="0" w:color="auto"/>
        <w:right w:val="none" w:sz="0" w:space="0" w:color="auto"/>
      </w:divBdr>
    </w:div>
    <w:div w:id="486750429">
      <w:bodyDiv w:val="1"/>
      <w:marLeft w:val="0"/>
      <w:marRight w:val="0"/>
      <w:marTop w:val="0"/>
      <w:marBottom w:val="0"/>
      <w:divBdr>
        <w:top w:val="none" w:sz="0" w:space="0" w:color="auto"/>
        <w:left w:val="none" w:sz="0" w:space="0" w:color="auto"/>
        <w:bottom w:val="none" w:sz="0" w:space="0" w:color="auto"/>
        <w:right w:val="none" w:sz="0" w:space="0" w:color="auto"/>
      </w:divBdr>
    </w:div>
    <w:div w:id="486753243">
      <w:bodyDiv w:val="1"/>
      <w:marLeft w:val="0"/>
      <w:marRight w:val="0"/>
      <w:marTop w:val="0"/>
      <w:marBottom w:val="0"/>
      <w:divBdr>
        <w:top w:val="none" w:sz="0" w:space="0" w:color="auto"/>
        <w:left w:val="none" w:sz="0" w:space="0" w:color="auto"/>
        <w:bottom w:val="none" w:sz="0" w:space="0" w:color="auto"/>
        <w:right w:val="none" w:sz="0" w:space="0" w:color="auto"/>
      </w:divBdr>
    </w:div>
    <w:div w:id="486822257">
      <w:bodyDiv w:val="1"/>
      <w:marLeft w:val="0"/>
      <w:marRight w:val="0"/>
      <w:marTop w:val="0"/>
      <w:marBottom w:val="0"/>
      <w:divBdr>
        <w:top w:val="none" w:sz="0" w:space="0" w:color="auto"/>
        <w:left w:val="none" w:sz="0" w:space="0" w:color="auto"/>
        <w:bottom w:val="none" w:sz="0" w:space="0" w:color="auto"/>
        <w:right w:val="none" w:sz="0" w:space="0" w:color="auto"/>
      </w:divBdr>
    </w:div>
    <w:div w:id="486826638">
      <w:bodyDiv w:val="1"/>
      <w:marLeft w:val="0"/>
      <w:marRight w:val="0"/>
      <w:marTop w:val="0"/>
      <w:marBottom w:val="0"/>
      <w:divBdr>
        <w:top w:val="none" w:sz="0" w:space="0" w:color="auto"/>
        <w:left w:val="none" w:sz="0" w:space="0" w:color="auto"/>
        <w:bottom w:val="none" w:sz="0" w:space="0" w:color="auto"/>
        <w:right w:val="none" w:sz="0" w:space="0" w:color="auto"/>
      </w:divBdr>
    </w:div>
    <w:div w:id="486869408">
      <w:bodyDiv w:val="1"/>
      <w:marLeft w:val="0"/>
      <w:marRight w:val="0"/>
      <w:marTop w:val="0"/>
      <w:marBottom w:val="0"/>
      <w:divBdr>
        <w:top w:val="none" w:sz="0" w:space="0" w:color="auto"/>
        <w:left w:val="none" w:sz="0" w:space="0" w:color="auto"/>
        <w:bottom w:val="none" w:sz="0" w:space="0" w:color="auto"/>
        <w:right w:val="none" w:sz="0" w:space="0" w:color="auto"/>
      </w:divBdr>
    </w:div>
    <w:div w:id="486946141">
      <w:bodyDiv w:val="1"/>
      <w:marLeft w:val="0"/>
      <w:marRight w:val="0"/>
      <w:marTop w:val="0"/>
      <w:marBottom w:val="0"/>
      <w:divBdr>
        <w:top w:val="none" w:sz="0" w:space="0" w:color="auto"/>
        <w:left w:val="none" w:sz="0" w:space="0" w:color="auto"/>
        <w:bottom w:val="none" w:sz="0" w:space="0" w:color="auto"/>
        <w:right w:val="none" w:sz="0" w:space="0" w:color="auto"/>
      </w:divBdr>
    </w:div>
    <w:div w:id="487017726">
      <w:bodyDiv w:val="1"/>
      <w:marLeft w:val="0"/>
      <w:marRight w:val="0"/>
      <w:marTop w:val="0"/>
      <w:marBottom w:val="0"/>
      <w:divBdr>
        <w:top w:val="none" w:sz="0" w:space="0" w:color="auto"/>
        <w:left w:val="none" w:sz="0" w:space="0" w:color="auto"/>
        <w:bottom w:val="none" w:sz="0" w:space="0" w:color="auto"/>
        <w:right w:val="none" w:sz="0" w:space="0" w:color="auto"/>
      </w:divBdr>
    </w:div>
    <w:div w:id="487096014">
      <w:bodyDiv w:val="1"/>
      <w:marLeft w:val="0"/>
      <w:marRight w:val="0"/>
      <w:marTop w:val="0"/>
      <w:marBottom w:val="0"/>
      <w:divBdr>
        <w:top w:val="none" w:sz="0" w:space="0" w:color="auto"/>
        <w:left w:val="none" w:sz="0" w:space="0" w:color="auto"/>
        <w:bottom w:val="none" w:sz="0" w:space="0" w:color="auto"/>
        <w:right w:val="none" w:sz="0" w:space="0" w:color="auto"/>
      </w:divBdr>
    </w:div>
    <w:div w:id="487135053">
      <w:bodyDiv w:val="1"/>
      <w:marLeft w:val="0"/>
      <w:marRight w:val="0"/>
      <w:marTop w:val="0"/>
      <w:marBottom w:val="0"/>
      <w:divBdr>
        <w:top w:val="none" w:sz="0" w:space="0" w:color="auto"/>
        <w:left w:val="none" w:sz="0" w:space="0" w:color="auto"/>
        <w:bottom w:val="none" w:sz="0" w:space="0" w:color="auto"/>
        <w:right w:val="none" w:sz="0" w:space="0" w:color="auto"/>
      </w:divBdr>
    </w:div>
    <w:div w:id="487357251">
      <w:bodyDiv w:val="1"/>
      <w:marLeft w:val="0"/>
      <w:marRight w:val="0"/>
      <w:marTop w:val="0"/>
      <w:marBottom w:val="0"/>
      <w:divBdr>
        <w:top w:val="none" w:sz="0" w:space="0" w:color="auto"/>
        <w:left w:val="none" w:sz="0" w:space="0" w:color="auto"/>
        <w:bottom w:val="none" w:sz="0" w:space="0" w:color="auto"/>
        <w:right w:val="none" w:sz="0" w:space="0" w:color="auto"/>
      </w:divBdr>
    </w:div>
    <w:div w:id="487786939">
      <w:bodyDiv w:val="1"/>
      <w:marLeft w:val="0"/>
      <w:marRight w:val="0"/>
      <w:marTop w:val="0"/>
      <w:marBottom w:val="0"/>
      <w:divBdr>
        <w:top w:val="none" w:sz="0" w:space="0" w:color="auto"/>
        <w:left w:val="none" w:sz="0" w:space="0" w:color="auto"/>
        <w:bottom w:val="none" w:sz="0" w:space="0" w:color="auto"/>
        <w:right w:val="none" w:sz="0" w:space="0" w:color="auto"/>
      </w:divBdr>
    </w:div>
    <w:div w:id="487787764">
      <w:bodyDiv w:val="1"/>
      <w:marLeft w:val="0"/>
      <w:marRight w:val="0"/>
      <w:marTop w:val="0"/>
      <w:marBottom w:val="0"/>
      <w:divBdr>
        <w:top w:val="none" w:sz="0" w:space="0" w:color="auto"/>
        <w:left w:val="none" w:sz="0" w:space="0" w:color="auto"/>
        <w:bottom w:val="none" w:sz="0" w:space="0" w:color="auto"/>
        <w:right w:val="none" w:sz="0" w:space="0" w:color="auto"/>
      </w:divBdr>
    </w:div>
    <w:div w:id="487940558">
      <w:bodyDiv w:val="1"/>
      <w:marLeft w:val="0"/>
      <w:marRight w:val="0"/>
      <w:marTop w:val="0"/>
      <w:marBottom w:val="0"/>
      <w:divBdr>
        <w:top w:val="none" w:sz="0" w:space="0" w:color="auto"/>
        <w:left w:val="none" w:sz="0" w:space="0" w:color="auto"/>
        <w:bottom w:val="none" w:sz="0" w:space="0" w:color="auto"/>
        <w:right w:val="none" w:sz="0" w:space="0" w:color="auto"/>
      </w:divBdr>
    </w:div>
    <w:div w:id="488179671">
      <w:bodyDiv w:val="1"/>
      <w:marLeft w:val="0"/>
      <w:marRight w:val="0"/>
      <w:marTop w:val="0"/>
      <w:marBottom w:val="0"/>
      <w:divBdr>
        <w:top w:val="none" w:sz="0" w:space="0" w:color="auto"/>
        <w:left w:val="none" w:sz="0" w:space="0" w:color="auto"/>
        <w:bottom w:val="none" w:sz="0" w:space="0" w:color="auto"/>
        <w:right w:val="none" w:sz="0" w:space="0" w:color="auto"/>
      </w:divBdr>
    </w:div>
    <w:div w:id="488252542">
      <w:bodyDiv w:val="1"/>
      <w:marLeft w:val="0"/>
      <w:marRight w:val="0"/>
      <w:marTop w:val="0"/>
      <w:marBottom w:val="0"/>
      <w:divBdr>
        <w:top w:val="none" w:sz="0" w:space="0" w:color="auto"/>
        <w:left w:val="none" w:sz="0" w:space="0" w:color="auto"/>
        <w:bottom w:val="none" w:sz="0" w:space="0" w:color="auto"/>
        <w:right w:val="none" w:sz="0" w:space="0" w:color="auto"/>
      </w:divBdr>
    </w:div>
    <w:div w:id="488330465">
      <w:bodyDiv w:val="1"/>
      <w:marLeft w:val="0"/>
      <w:marRight w:val="0"/>
      <w:marTop w:val="0"/>
      <w:marBottom w:val="0"/>
      <w:divBdr>
        <w:top w:val="none" w:sz="0" w:space="0" w:color="auto"/>
        <w:left w:val="none" w:sz="0" w:space="0" w:color="auto"/>
        <w:bottom w:val="none" w:sz="0" w:space="0" w:color="auto"/>
        <w:right w:val="none" w:sz="0" w:space="0" w:color="auto"/>
      </w:divBdr>
    </w:div>
    <w:div w:id="488330702">
      <w:bodyDiv w:val="1"/>
      <w:marLeft w:val="0"/>
      <w:marRight w:val="0"/>
      <w:marTop w:val="0"/>
      <w:marBottom w:val="0"/>
      <w:divBdr>
        <w:top w:val="none" w:sz="0" w:space="0" w:color="auto"/>
        <w:left w:val="none" w:sz="0" w:space="0" w:color="auto"/>
        <w:bottom w:val="none" w:sz="0" w:space="0" w:color="auto"/>
        <w:right w:val="none" w:sz="0" w:space="0" w:color="auto"/>
      </w:divBdr>
    </w:div>
    <w:div w:id="488442458">
      <w:bodyDiv w:val="1"/>
      <w:marLeft w:val="0"/>
      <w:marRight w:val="0"/>
      <w:marTop w:val="0"/>
      <w:marBottom w:val="0"/>
      <w:divBdr>
        <w:top w:val="none" w:sz="0" w:space="0" w:color="auto"/>
        <w:left w:val="none" w:sz="0" w:space="0" w:color="auto"/>
        <w:bottom w:val="none" w:sz="0" w:space="0" w:color="auto"/>
        <w:right w:val="none" w:sz="0" w:space="0" w:color="auto"/>
      </w:divBdr>
    </w:div>
    <w:div w:id="488592361">
      <w:bodyDiv w:val="1"/>
      <w:marLeft w:val="0"/>
      <w:marRight w:val="0"/>
      <w:marTop w:val="0"/>
      <w:marBottom w:val="0"/>
      <w:divBdr>
        <w:top w:val="none" w:sz="0" w:space="0" w:color="auto"/>
        <w:left w:val="none" w:sz="0" w:space="0" w:color="auto"/>
        <w:bottom w:val="none" w:sz="0" w:space="0" w:color="auto"/>
        <w:right w:val="none" w:sz="0" w:space="0" w:color="auto"/>
      </w:divBdr>
    </w:div>
    <w:div w:id="488639817">
      <w:bodyDiv w:val="1"/>
      <w:marLeft w:val="0"/>
      <w:marRight w:val="0"/>
      <w:marTop w:val="0"/>
      <w:marBottom w:val="0"/>
      <w:divBdr>
        <w:top w:val="none" w:sz="0" w:space="0" w:color="auto"/>
        <w:left w:val="none" w:sz="0" w:space="0" w:color="auto"/>
        <w:bottom w:val="none" w:sz="0" w:space="0" w:color="auto"/>
        <w:right w:val="none" w:sz="0" w:space="0" w:color="auto"/>
      </w:divBdr>
    </w:div>
    <w:div w:id="488711396">
      <w:bodyDiv w:val="1"/>
      <w:marLeft w:val="0"/>
      <w:marRight w:val="0"/>
      <w:marTop w:val="0"/>
      <w:marBottom w:val="0"/>
      <w:divBdr>
        <w:top w:val="none" w:sz="0" w:space="0" w:color="auto"/>
        <w:left w:val="none" w:sz="0" w:space="0" w:color="auto"/>
        <w:bottom w:val="none" w:sz="0" w:space="0" w:color="auto"/>
        <w:right w:val="none" w:sz="0" w:space="0" w:color="auto"/>
      </w:divBdr>
    </w:div>
    <w:div w:id="488982720">
      <w:bodyDiv w:val="1"/>
      <w:marLeft w:val="0"/>
      <w:marRight w:val="0"/>
      <w:marTop w:val="0"/>
      <w:marBottom w:val="0"/>
      <w:divBdr>
        <w:top w:val="none" w:sz="0" w:space="0" w:color="auto"/>
        <w:left w:val="none" w:sz="0" w:space="0" w:color="auto"/>
        <w:bottom w:val="none" w:sz="0" w:space="0" w:color="auto"/>
        <w:right w:val="none" w:sz="0" w:space="0" w:color="auto"/>
      </w:divBdr>
    </w:div>
    <w:div w:id="489099118">
      <w:bodyDiv w:val="1"/>
      <w:marLeft w:val="0"/>
      <w:marRight w:val="0"/>
      <w:marTop w:val="0"/>
      <w:marBottom w:val="0"/>
      <w:divBdr>
        <w:top w:val="none" w:sz="0" w:space="0" w:color="auto"/>
        <w:left w:val="none" w:sz="0" w:space="0" w:color="auto"/>
        <w:bottom w:val="none" w:sz="0" w:space="0" w:color="auto"/>
        <w:right w:val="none" w:sz="0" w:space="0" w:color="auto"/>
      </w:divBdr>
    </w:div>
    <w:div w:id="489293063">
      <w:bodyDiv w:val="1"/>
      <w:marLeft w:val="0"/>
      <w:marRight w:val="0"/>
      <w:marTop w:val="0"/>
      <w:marBottom w:val="0"/>
      <w:divBdr>
        <w:top w:val="none" w:sz="0" w:space="0" w:color="auto"/>
        <w:left w:val="none" w:sz="0" w:space="0" w:color="auto"/>
        <w:bottom w:val="none" w:sz="0" w:space="0" w:color="auto"/>
        <w:right w:val="none" w:sz="0" w:space="0" w:color="auto"/>
      </w:divBdr>
    </w:div>
    <w:div w:id="489374824">
      <w:bodyDiv w:val="1"/>
      <w:marLeft w:val="0"/>
      <w:marRight w:val="0"/>
      <w:marTop w:val="0"/>
      <w:marBottom w:val="0"/>
      <w:divBdr>
        <w:top w:val="none" w:sz="0" w:space="0" w:color="auto"/>
        <w:left w:val="none" w:sz="0" w:space="0" w:color="auto"/>
        <w:bottom w:val="none" w:sz="0" w:space="0" w:color="auto"/>
        <w:right w:val="none" w:sz="0" w:space="0" w:color="auto"/>
      </w:divBdr>
    </w:div>
    <w:div w:id="489443777">
      <w:bodyDiv w:val="1"/>
      <w:marLeft w:val="0"/>
      <w:marRight w:val="0"/>
      <w:marTop w:val="0"/>
      <w:marBottom w:val="0"/>
      <w:divBdr>
        <w:top w:val="none" w:sz="0" w:space="0" w:color="auto"/>
        <w:left w:val="none" w:sz="0" w:space="0" w:color="auto"/>
        <w:bottom w:val="none" w:sz="0" w:space="0" w:color="auto"/>
        <w:right w:val="none" w:sz="0" w:space="0" w:color="auto"/>
      </w:divBdr>
    </w:div>
    <w:div w:id="489450082">
      <w:bodyDiv w:val="1"/>
      <w:marLeft w:val="0"/>
      <w:marRight w:val="0"/>
      <w:marTop w:val="0"/>
      <w:marBottom w:val="0"/>
      <w:divBdr>
        <w:top w:val="none" w:sz="0" w:space="0" w:color="auto"/>
        <w:left w:val="none" w:sz="0" w:space="0" w:color="auto"/>
        <w:bottom w:val="none" w:sz="0" w:space="0" w:color="auto"/>
        <w:right w:val="none" w:sz="0" w:space="0" w:color="auto"/>
      </w:divBdr>
    </w:div>
    <w:div w:id="489564533">
      <w:bodyDiv w:val="1"/>
      <w:marLeft w:val="0"/>
      <w:marRight w:val="0"/>
      <w:marTop w:val="0"/>
      <w:marBottom w:val="0"/>
      <w:divBdr>
        <w:top w:val="none" w:sz="0" w:space="0" w:color="auto"/>
        <w:left w:val="none" w:sz="0" w:space="0" w:color="auto"/>
        <w:bottom w:val="none" w:sz="0" w:space="0" w:color="auto"/>
        <w:right w:val="none" w:sz="0" w:space="0" w:color="auto"/>
      </w:divBdr>
    </w:div>
    <w:div w:id="489759855">
      <w:bodyDiv w:val="1"/>
      <w:marLeft w:val="0"/>
      <w:marRight w:val="0"/>
      <w:marTop w:val="0"/>
      <w:marBottom w:val="0"/>
      <w:divBdr>
        <w:top w:val="none" w:sz="0" w:space="0" w:color="auto"/>
        <w:left w:val="none" w:sz="0" w:space="0" w:color="auto"/>
        <w:bottom w:val="none" w:sz="0" w:space="0" w:color="auto"/>
        <w:right w:val="none" w:sz="0" w:space="0" w:color="auto"/>
      </w:divBdr>
    </w:div>
    <w:div w:id="489905137">
      <w:bodyDiv w:val="1"/>
      <w:marLeft w:val="0"/>
      <w:marRight w:val="0"/>
      <w:marTop w:val="0"/>
      <w:marBottom w:val="0"/>
      <w:divBdr>
        <w:top w:val="none" w:sz="0" w:space="0" w:color="auto"/>
        <w:left w:val="none" w:sz="0" w:space="0" w:color="auto"/>
        <w:bottom w:val="none" w:sz="0" w:space="0" w:color="auto"/>
        <w:right w:val="none" w:sz="0" w:space="0" w:color="auto"/>
      </w:divBdr>
    </w:div>
    <w:div w:id="490145223">
      <w:bodyDiv w:val="1"/>
      <w:marLeft w:val="0"/>
      <w:marRight w:val="0"/>
      <w:marTop w:val="0"/>
      <w:marBottom w:val="0"/>
      <w:divBdr>
        <w:top w:val="none" w:sz="0" w:space="0" w:color="auto"/>
        <w:left w:val="none" w:sz="0" w:space="0" w:color="auto"/>
        <w:bottom w:val="none" w:sz="0" w:space="0" w:color="auto"/>
        <w:right w:val="none" w:sz="0" w:space="0" w:color="auto"/>
      </w:divBdr>
    </w:div>
    <w:div w:id="490175363">
      <w:bodyDiv w:val="1"/>
      <w:marLeft w:val="0"/>
      <w:marRight w:val="0"/>
      <w:marTop w:val="0"/>
      <w:marBottom w:val="0"/>
      <w:divBdr>
        <w:top w:val="none" w:sz="0" w:space="0" w:color="auto"/>
        <w:left w:val="none" w:sz="0" w:space="0" w:color="auto"/>
        <w:bottom w:val="none" w:sz="0" w:space="0" w:color="auto"/>
        <w:right w:val="none" w:sz="0" w:space="0" w:color="auto"/>
      </w:divBdr>
    </w:div>
    <w:div w:id="490219539">
      <w:bodyDiv w:val="1"/>
      <w:marLeft w:val="0"/>
      <w:marRight w:val="0"/>
      <w:marTop w:val="0"/>
      <w:marBottom w:val="0"/>
      <w:divBdr>
        <w:top w:val="none" w:sz="0" w:space="0" w:color="auto"/>
        <w:left w:val="none" w:sz="0" w:space="0" w:color="auto"/>
        <w:bottom w:val="none" w:sz="0" w:space="0" w:color="auto"/>
        <w:right w:val="none" w:sz="0" w:space="0" w:color="auto"/>
      </w:divBdr>
    </w:div>
    <w:div w:id="490365734">
      <w:bodyDiv w:val="1"/>
      <w:marLeft w:val="0"/>
      <w:marRight w:val="0"/>
      <w:marTop w:val="0"/>
      <w:marBottom w:val="0"/>
      <w:divBdr>
        <w:top w:val="none" w:sz="0" w:space="0" w:color="auto"/>
        <w:left w:val="none" w:sz="0" w:space="0" w:color="auto"/>
        <w:bottom w:val="none" w:sz="0" w:space="0" w:color="auto"/>
        <w:right w:val="none" w:sz="0" w:space="0" w:color="auto"/>
      </w:divBdr>
    </w:div>
    <w:div w:id="490563515">
      <w:bodyDiv w:val="1"/>
      <w:marLeft w:val="0"/>
      <w:marRight w:val="0"/>
      <w:marTop w:val="0"/>
      <w:marBottom w:val="0"/>
      <w:divBdr>
        <w:top w:val="none" w:sz="0" w:space="0" w:color="auto"/>
        <w:left w:val="none" w:sz="0" w:space="0" w:color="auto"/>
        <w:bottom w:val="none" w:sz="0" w:space="0" w:color="auto"/>
        <w:right w:val="none" w:sz="0" w:space="0" w:color="auto"/>
      </w:divBdr>
    </w:div>
    <w:div w:id="490565652">
      <w:bodyDiv w:val="1"/>
      <w:marLeft w:val="0"/>
      <w:marRight w:val="0"/>
      <w:marTop w:val="0"/>
      <w:marBottom w:val="0"/>
      <w:divBdr>
        <w:top w:val="none" w:sz="0" w:space="0" w:color="auto"/>
        <w:left w:val="none" w:sz="0" w:space="0" w:color="auto"/>
        <w:bottom w:val="none" w:sz="0" w:space="0" w:color="auto"/>
        <w:right w:val="none" w:sz="0" w:space="0" w:color="auto"/>
      </w:divBdr>
    </w:div>
    <w:div w:id="490754046">
      <w:bodyDiv w:val="1"/>
      <w:marLeft w:val="0"/>
      <w:marRight w:val="0"/>
      <w:marTop w:val="0"/>
      <w:marBottom w:val="0"/>
      <w:divBdr>
        <w:top w:val="none" w:sz="0" w:space="0" w:color="auto"/>
        <w:left w:val="none" w:sz="0" w:space="0" w:color="auto"/>
        <w:bottom w:val="none" w:sz="0" w:space="0" w:color="auto"/>
        <w:right w:val="none" w:sz="0" w:space="0" w:color="auto"/>
      </w:divBdr>
    </w:div>
    <w:div w:id="490874630">
      <w:bodyDiv w:val="1"/>
      <w:marLeft w:val="0"/>
      <w:marRight w:val="0"/>
      <w:marTop w:val="0"/>
      <w:marBottom w:val="0"/>
      <w:divBdr>
        <w:top w:val="none" w:sz="0" w:space="0" w:color="auto"/>
        <w:left w:val="none" w:sz="0" w:space="0" w:color="auto"/>
        <w:bottom w:val="none" w:sz="0" w:space="0" w:color="auto"/>
        <w:right w:val="none" w:sz="0" w:space="0" w:color="auto"/>
      </w:divBdr>
    </w:div>
    <w:div w:id="491067018">
      <w:bodyDiv w:val="1"/>
      <w:marLeft w:val="0"/>
      <w:marRight w:val="0"/>
      <w:marTop w:val="0"/>
      <w:marBottom w:val="0"/>
      <w:divBdr>
        <w:top w:val="none" w:sz="0" w:space="0" w:color="auto"/>
        <w:left w:val="none" w:sz="0" w:space="0" w:color="auto"/>
        <w:bottom w:val="none" w:sz="0" w:space="0" w:color="auto"/>
        <w:right w:val="none" w:sz="0" w:space="0" w:color="auto"/>
      </w:divBdr>
    </w:div>
    <w:div w:id="491258028">
      <w:bodyDiv w:val="1"/>
      <w:marLeft w:val="0"/>
      <w:marRight w:val="0"/>
      <w:marTop w:val="0"/>
      <w:marBottom w:val="0"/>
      <w:divBdr>
        <w:top w:val="none" w:sz="0" w:space="0" w:color="auto"/>
        <w:left w:val="none" w:sz="0" w:space="0" w:color="auto"/>
        <w:bottom w:val="none" w:sz="0" w:space="0" w:color="auto"/>
        <w:right w:val="none" w:sz="0" w:space="0" w:color="auto"/>
      </w:divBdr>
    </w:div>
    <w:div w:id="491414461">
      <w:bodyDiv w:val="1"/>
      <w:marLeft w:val="0"/>
      <w:marRight w:val="0"/>
      <w:marTop w:val="0"/>
      <w:marBottom w:val="0"/>
      <w:divBdr>
        <w:top w:val="none" w:sz="0" w:space="0" w:color="auto"/>
        <w:left w:val="none" w:sz="0" w:space="0" w:color="auto"/>
        <w:bottom w:val="none" w:sz="0" w:space="0" w:color="auto"/>
        <w:right w:val="none" w:sz="0" w:space="0" w:color="auto"/>
      </w:divBdr>
    </w:div>
    <w:div w:id="491528987">
      <w:bodyDiv w:val="1"/>
      <w:marLeft w:val="0"/>
      <w:marRight w:val="0"/>
      <w:marTop w:val="0"/>
      <w:marBottom w:val="0"/>
      <w:divBdr>
        <w:top w:val="none" w:sz="0" w:space="0" w:color="auto"/>
        <w:left w:val="none" w:sz="0" w:space="0" w:color="auto"/>
        <w:bottom w:val="none" w:sz="0" w:space="0" w:color="auto"/>
        <w:right w:val="none" w:sz="0" w:space="0" w:color="auto"/>
      </w:divBdr>
    </w:div>
    <w:div w:id="491875197">
      <w:bodyDiv w:val="1"/>
      <w:marLeft w:val="0"/>
      <w:marRight w:val="0"/>
      <w:marTop w:val="0"/>
      <w:marBottom w:val="0"/>
      <w:divBdr>
        <w:top w:val="none" w:sz="0" w:space="0" w:color="auto"/>
        <w:left w:val="none" w:sz="0" w:space="0" w:color="auto"/>
        <w:bottom w:val="none" w:sz="0" w:space="0" w:color="auto"/>
        <w:right w:val="none" w:sz="0" w:space="0" w:color="auto"/>
      </w:divBdr>
    </w:div>
    <w:div w:id="491917340">
      <w:bodyDiv w:val="1"/>
      <w:marLeft w:val="0"/>
      <w:marRight w:val="0"/>
      <w:marTop w:val="0"/>
      <w:marBottom w:val="0"/>
      <w:divBdr>
        <w:top w:val="none" w:sz="0" w:space="0" w:color="auto"/>
        <w:left w:val="none" w:sz="0" w:space="0" w:color="auto"/>
        <w:bottom w:val="none" w:sz="0" w:space="0" w:color="auto"/>
        <w:right w:val="none" w:sz="0" w:space="0" w:color="auto"/>
      </w:divBdr>
    </w:div>
    <w:div w:id="492186005">
      <w:bodyDiv w:val="1"/>
      <w:marLeft w:val="0"/>
      <w:marRight w:val="0"/>
      <w:marTop w:val="0"/>
      <w:marBottom w:val="0"/>
      <w:divBdr>
        <w:top w:val="none" w:sz="0" w:space="0" w:color="auto"/>
        <w:left w:val="none" w:sz="0" w:space="0" w:color="auto"/>
        <w:bottom w:val="none" w:sz="0" w:space="0" w:color="auto"/>
        <w:right w:val="none" w:sz="0" w:space="0" w:color="auto"/>
      </w:divBdr>
    </w:div>
    <w:div w:id="492255505">
      <w:bodyDiv w:val="1"/>
      <w:marLeft w:val="0"/>
      <w:marRight w:val="0"/>
      <w:marTop w:val="0"/>
      <w:marBottom w:val="0"/>
      <w:divBdr>
        <w:top w:val="none" w:sz="0" w:space="0" w:color="auto"/>
        <w:left w:val="none" w:sz="0" w:space="0" w:color="auto"/>
        <w:bottom w:val="none" w:sz="0" w:space="0" w:color="auto"/>
        <w:right w:val="none" w:sz="0" w:space="0" w:color="auto"/>
      </w:divBdr>
    </w:div>
    <w:div w:id="492259695">
      <w:bodyDiv w:val="1"/>
      <w:marLeft w:val="0"/>
      <w:marRight w:val="0"/>
      <w:marTop w:val="0"/>
      <w:marBottom w:val="0"/>
      <w:divBdr>
        <w:top w:val="none" w:sz="0" w:space="0" w:color="auto"/>
        <w:left w:val="none" w:sz="0" w:space="0" w:color="auto"/>
        <w:bottom w:val="none" w:sz="0" w:space="0" w:color="auto"/>
        <w:right w:val="none" w:sz="0" w:space="0" w:color="auto"/>
      </w:divBdr>
    </w:div>
    <w:div w:id="492337904">
      <w:bodyDiv w:val="1"/>
      <w:marLeft w:val="0"/>
      <w:marRight w:val="0"/>
      <w:marTop w:val="0"/>
      <w:marBottom w:val="0"/>
      <w:divBdr>
        <w:top w:val="none" w:sz="0" w:space="0" w:color="auto"/>
        <w:left w:val="none" w:sz="0" w:space="0" w:color="auto"/>
        <w:bottom w:val="none" w:sz="0" w:space="0" w:color="auto"/>
        <w:right w:val="none" w:sz="0" w:space="0" w:color="auto"/>
      </w:divBdr>
    </w:div>
    <w:div w:id="492766743">
      <w:bodyDiv w:val="1"/>
      <w:marLeft w:val="0"/>
      <w:marRight w:val="0"/>
      <w:marTop w:val="0"/>
      <w:marBottom w:val="0"/>
      <w:divBdr>
        <w:top w:val="none" w:sz="0" w:space="0" w:color="auto"/>
        <w:left w:val="none" w:sz="0" w:space="0" w:color="auto"/>
        <w:bottom w:val="none" w:sz="0" w:space="0" w:color="auto"/>
        <w:right w:val="none" w:sz="0" w:space="0" w:color="auto"/>
      </w:divBdr>
    </w:div>
    <w:div w:id="493183600">
      <w:bodyDiv w:val="1"/>
      <w:marLeft w:val="0"/>
      <w:marRight w:val="0"/>
      <w:marTop w:val="0"/>
      <w:marBottom w:val="0"/>
      <w:divBdr>
        <w:top w:val="none" w:sz="0" w:space="0" w:color="auto"/>
        <w:left w:val="none" w:sz="0" w:space="0" w:color="auto"/>
        <w:bottom w:val="none" w:sz="0" w:space="0" w:color="auto"/>
        <w:right w:val="none" w:sz="0" w:space="0" w:color="auto"/>
      </w:divBdr>
    </w:div>
    <w:div w:id="493225744">
      <w:bodyDiv w:val="1"/>
      <w:marLeft w:val="0"/>
      <w:marRight w:val="0"/>
      <w:marTop w:val="0"/>
      <w:marBottom w:val="0"/>
      <w:divBdr>
        <w:top w:val="none" w:sz="0" w:space="0" w:color="auto"/>
        <w:left w:val="none" w:sz="0" w:space="0" w:color="auto"/>
        <w:bottom w:val="none" w:sz="0" w:space="0" w:color="auto"/>
        <w:right w:val="none" w:sz="0" w:space="0" w:color="auto"/>
      </w:divBdr>
    </w:div>
    <w:div w:id="493565706">
      <w:bodyDiv w:val="1"/>
      <w:marLeft w:val="0"/>
      <w:marRight w:val="0"/>
      <w:marTop w:val="0"/>
      <w:marBottom w:val="0"/>
      <w:divBdr>
        <w:top w:val="none" w:sz="0" w:space="0" w:color="auto"/>
        <w:left w:val="none" w:sz="0" w:space="0" w:color="auto"/>
        <w:bottom w:val="none" w:sz="0" w:space="0" w:color="auto"/>
        <w:right w:val="none" w:sz="0" w:space="0" w:color="auto"/>
      </w:divBdr>
    </w:div>
    <w:div w:id="493685165">
      <w:bodyDiv w:val="1"/>
      <w:marLeft w:val="0"/>
      <w:marRight w:val="0"/>
      <w:marTop w:val="0"/>
      <w:marBottom w:val="0"/>
      <w:divBdr>
        <w:top w:val="none" w:sz="0" w:space="0" w:color="auto"/>
        <w:left w:val="none" w:sz="0" w:space="0" w:color="auto"/>
        <w:bottom w:val="none" w:sz="0" w:space="0" w:color="auto"/>
        <w:right w:val="none" w:sz="0" w:space="0" w:color="auto"/>
      </w:divBdr>
    </w:div>
    <w:div w:id="493840218">
      <w:bodyDiv w:val="1"/>
      <w:marLeft w:val="0"/>
      <w:marRight w:val="0"/>
      <w:marTop w:val="0"/>
      <w:marBottom w:val="0"/>
      <w:divBdr>
        <w:top w:val="none" w:sz="0" w:space="0" w:color="auto"/>
        <w:left w:val="none" w:sz="0" w:space="0" w:color="auto"/>
        <w:bottom w:val="none" w:sz="0" w:space="0" w:color="auto"/>
        <w:right w:val="none" w:sz="0" w:space="0" w:color="auto"/>
      </w:divBdr>
    </w:div>
    <w:div w:id="493882454">
      <w:bodyDiv w:val="1"/>
      <w:marLeft w:val="0"/>
      <w:marRight w:val="0"/>
      <w:marTop w:val="0"/>
      <w:marBottom w:val="0"/>
      <w:divBdr>
        <w:top w:val="none" w:sz="0" w:space="0" w:color="auto"/>
        <w:left w:val="none" w:sz="0" w:space="0" w:color="auto"/>
        <w:bottom w:val="none" w:sz="0" w:space="0" w:color="auto"/>
        <w:right w:val="none" w:sz="0" w:space="0" w:color="auto"/>
      </w:divBdr>
    </w:div>
    <w:div w:id="494148855">
      <w:bodyDiv w:val="1"/>
      <w:marLeft w:val="0"/>
      <w:marRight w:val="0"/>
      <w:marTop w:val="0"/>
      <w:marBottom w:val="0"/>
      <w:divBdr>
        <w:top w:val="none" w:sz="0" w:space="0" w:color="auto"/>
        <w:left w:val="none" w:sz="0" w:space="0" w:color="auto"/>
        <w:bottom w:val="none" w:sz="0" w:space="0" w:color="auto"/>
        <w:right w:val="none" w:sz="0" w:space="0" w:color="auto"/>
      </w:divBdr>
    </w:div>
    <w:div w:id="494343447">
      <w:bodyDiv w:val="1"/>
      <w:marLeft w:val="0"/>
      <w:marRight w:val="0"/>
      <w:marTop w:val="0"/>
      <w:marBottom w:val="0"/>
      <w:divBdr>
        <w:top w:val="none" w:sz="0" w:space="0" w:color="auto"/>
        <w:left w:val="none" w:sz="0" w:space="0" w:color="auto"/>
        <w:bottom w:val="none" w:sz="0" w:space="0" w:color="auto"/>
        <w:right w:val="none" w:sz="0" w:space="0" w:color="auto"/>
      </w:divBdr>
    </w:div>
    <w:div w:id="494347790">
      <w:bodyDiv w:val="1"/>
      <w:marLeft w:val="0"/>
      <w:marRight w:val="0"/>
      <w:marTop w:val="0"/>
      <w:marBottom w:val="0"/>
      <w:divBdr>
        <w:top w:val="none" w:sz="0" w:space="0" w:color="auto"/>
        <w:left w:val="none" w:sz="0" w:space="0" w:color="auto"/>
        <w:bottom w:val="none" w:sz="0" w:space="0" w:color="auto"/>
        <w:right w:val="none" w:sz="0" w:space="0" w:color="auto"/>
      </w:divBdr>
    </w:div>
    <w:div w:id="494492923">
      <w:bodyDiv w:val="1"/>
      <w:marLeft w:val="0"/>
      <w:marRight w:val="0"/>
      <w:marTop w:val="0"/>
      <w:marBottom w:val="0"/>
      <w:divBdr>
        <w:top w:val="none" w:sz="0" w:space="0" w:color="auto"/>
        <w:left w:val="none" w:sz="0" w:space="0" w:color="auto"/>
        <w:bottom w:val="none" w:sz="0" w:space="0" w:color="auto"/>
        <w:right w:val="none" w:sz="0" w:space="0" w:color="auto"/>
      </w:divBdr>
    </w:div>
    <w:div w:id="494615520">
      <w:bodyDiv w:val="1"/>
      <w:marLeft w:val="0"/>
      <w:marRight w:val="0"/>
      <w:marTop w:val="0"/>
      <w:marBottom w:val="0"/>
      <w:divBdr>
        <w:top w:val="none" w:sz="0" w:space="0" w:color="auto"/>
        <w:left w:val="none" w:sz="0" w:space="0" w:color="auto"/>
        <w:bottom w:val="none" w:sz="0" w:space="0" w:color="auto"/>
        <w:right w:val="none" w:sz="0" w:space="0" w:color="auto"/>
      </w:divBdr>
    </w:div>
    <w:div w:id="494692142">
      <w:bodyDiv w:val="1"/>
      <w:marLeft w:val="0"/>
      <w:marRight w:val="0"/>
      <w:marTop w:val="0"/>
      <w:marBottom w:val="0"/>
      <w:divBdr>
        <w:top w:val="none" w:sz="0" w:space="0" w:color="auto"/>
        <w:left w:val="none" w:sz="0" w:space="0" w:color="auto"/>
        <w:bottom w:val="none" w:sz="0" w:space="0" w:color="auto"/>
        <w:right w:val="none" w:sz="0" w:space="0" w:color="auto"/>
      </w:divBdr>
    </w:div>
    <w:div w:id="494809262">
      <w:bodyDiv w:val="1"/>
      <w:marLeft w:val="0"/>
      <w:marRight w:val="0"/>
      <w:marTop w:val="0"/>
      <w:marBottom w:val="0"/>
      <w:divBdr>
        <w:top w:val="none" w:sz="0" w:space="0" w:color="auto"/>
        <w:left w:val="none" w:sz="0" w:space="0" w:color="auto"/>
        <w:bottom w:val="none" w:sz="0" w:space="0" w:color="auto"/>
        <w:right w:val="none" w:sz="0" w:space="0" w:color="auto"/>
      </w:divBdr>
    </w:div>
    <w:div w:id="494885032">
      <w:bodyDiv w:val="1"/>
      <w:marLeft w:val="0"/>
      <w:marRight w:val="0"/>
      <w:marTop w:val="0"/>
      <w:marBottom w:val="0"/>
      <w:divBdr>
        <w:top w:val="none" w:sz="0" w:space="0" w:color="auto"/>
        <w:left w:val="none" w:sz="0" w:space="0" w:color="auto"/>
        <w:bottom w:val="none" w:sz="0" w:space="0" w:color="auto"/>
        <w:right w:val="none" w:sz="0" w:space="0" w:color="auto"/>
      </w:divBdr>
    </w:div>
    <w:div w:id="495076448">
      <w:bodyDiv w:val="1"/>
      <w:marLeft w:val="0"/>
      <w:marRight w:val="0"/>
      <w:marTop w:val="0"/>
      <w:marBottom w:val="0"/>
      <w:divBdr>
        <w:top w:val="none" w:sz="0" w:space="0" w:color="auto"/>
        <w:left w:val="none" w:sz="0" w:space="0" w:color="auto"/>
        <w:bottom w:val="none" w:sz="0" w:space="0" w:color="auto"/>
        <w:right w:val="none" w:sz="0" w:space="0" w:color="auto"/>
      </w:divBdr>
    </w:div>
    <w:div w:id="495077386">
      <w:bodyDiv w:val="1"/>
      <w:marLeft w:val="0"/>
      <w:marRight w:val="0"/>
      <w:marTop w:val="0"/>
      <w:marBottom w:val="0"/>
      <w:divBdr>
        <w:top w:val="none" w:sz="0" w:space="0" w:color="auto"/>
        <w:left w:val="none" w:sz="0" w:space="0" w:color="auto"/>
        <w:bottom w:val="none" w:sz="0" w:space="0" w:color="auto"/>
        <w:right w:val="none" w:sz="0" w:space="0" w:color="auto"/>
      </w:divBdr>
    </w:div>
    <w:div w:id="495145945">
      <w:bodyDiv w:val="1"/>
      <w:marLeft w:val="0"/>
      <w:marRight w:val="0"/>
      <w:marTop w:val="0"/>
      <w:marBottom w:val="0"/>
      <w:divBdr>
        <w:top w:val="none" w:sz="0" w:space="0" w:color="auto"/>
        <w:left w:val="none" w:sz="0" w:space="0" w:color="auto"/>
        <w:bottom w:val="none" w:sz="0" w:space="0" w:color="auto"/>
        <w:right w:val="none" w:sz="0" w:space="0" w:color="auto"/>
      </w:divBdr>
    </w:div>
    <w:div w:id="495271925">
      <w:bodyDiv w:val="1"/>
      <w:marLeft w:val="0"/>
      <w:marRight w:val="0"/>
      <w:marTop w:val="0"/>
      <w:marBottom w:val="0"/>
      <w:divBdr>
        <w:top w:val="none" w:sz="0" w:space="0" w:color="auto"/>
        <w:left w:val="none" w:sz="0" w:space="0" w:color="auto"/>
        <w:bottom w:val="none" w:sz="0" w:space="0" w:color="auto"/>
        <w:right w:val="none" w:sz="0" w:space="0" w:color="auto"/>
      </w:divBdr>
    </w:div>
    <w:div w:id="495389232">
      <w:bodyDiv w:val="1"/>
      <w:marLeft w:val="0"/>
      <w:marRight w:val="0"/>
      <w:marTop w:val="0"/>
      <w:marBottom w:val="0"/>
      <w:divBdr>
        <w:top w:val="none" w:sz="0" w:space="0" w:color="auto"/>
        <w:left w:val="none" w:sz="0" w:space="0" w:color="auto"/>
        <w:bottom w:val="none" w:sz="0" w:space="0" w:color="auto"/>
        <w:right w:val="none" w:sz="0" w:space="0" w:color="auto"/>
      </w:divBdr>
    </w:div>
    <w:div w:id="495415364">
      <w:bodyDiv w:val="1"/>
      <w:marLeft w:val="0"/>
      <w:marRight w:val="0"/>
      <w:marTop w:val="0"/>
      <w:marBottom w:val="0"/>
      <w:divBdr>
        <w:top w:val="none" w:sz="0" w:space="0" w:color="auto"/>
        <w:left w:val="none" w:sz="0" w:space="0" w:color="auto"/>
        <w:bottom w:val="none" w:sz="0" w:space="0" w:color="auto"/>
        <w:right w:val="none" w:sz="0" w:space="0" w:color="auto"/>
      </w:divBdr>
    </w:div>
    <w:div w:id="495456175">
      <w:bodyDiv w:val="1"/>
      <w:marLeft w:val="0"/>
      <w:marRight w:val="0"/>
      <w:marTop w:val="0"/>
      <w:marBottom w:val="0"/>
      <w:divBdr>
        <w:top w:val="none" w:sz="0" w:space="0" w:color="auto"/>
        <w:left w:val="none" w:sz="0" w:space="0" w:color="auto"/>
        <w:bottom w:val="none" w:sz="0" w:space="0" w:color="auto"/>
        <w:right w:val="none" w:sz="0" w:space="0" w:color="auto"/>
      </w:divBdr>
    </w:div>
    <w:div w:id="495459018">
      <w:bodyDiv w:val="1"/>
      <w:marLeft w:val="0"/>
      <w:marRight w:val="0"/>
      <w:marTop w:val="0"/>
      <w:marBottom w:val="0"/>
      <w:divBdr>
        <w:top w:val="none" w:sz="0" w:space="0" w:color="auto"/>
        <w:left w:val="none" w:sz="0" w:space="0" w:color="auto"/>
        <w:bottom w:val="none" w:sz="0" w:space="0" w:color="auto"/>
        <w:right w:val="none" w:sz="0" w:space="0" w:color="auto"/>
      </w:divBdr>
    </w:div>
    <w:div w:id="495539085">
      <w:bodyDiv w:val="1"/>
      <w:marLeft w:val="0"/>
      <w:marRight w:val="0"/>
      <w:marTop w:val="0"/>
      <w:marBottom w:val="0"/>
      <w:divBdr>
        <w:top w:val="none" w:sz="0" w:space="0" w:color="auto"/>
        <w:left w:val="none" w:sz="0" w:space="0" w:color="auto"/>
        <w:bottom w:val="none" w:sz="0" w:space="0" w:color="auto"/>
        <w:right w:val="none" w:sz="0" w:space="0" w:color="auto"/>
      </w:divBdr>
    </w:div>
    <w:div w:id="495607147">
      <w:bodyDiv w:val="1"/>
      <w:marLeft w:val="0"/>
      <w:marRight w:val="0"/>
      <w:marTop w:val="0"/>
      <w:marBottom w:val="0"/>
      <w:divBdr>
        <w:top w:val="none" w:sz="0" w:space="0" w:color="auto"/>
        <w:left w:val="none" w:sz="0" w:space="0" w:color="auto"/>
        <w:bottom w:val="none" w:sz="0" w:space="0" w:color="auto"/>
        <w:right w:val="none" w:sz="0" w:space="0" w:color="auto"/>
      </w:divBdr>
    </w:div>
    <w:div w:id="495729240">
      <w:bodyDiv w:val="1"/>
      <w:marLeft w:val="0"/>
      <w:marRight w:val="0"/>
      <w:marTop w:val="0"/>
      <w:marBottom w:val="0"/>
      <w:divBdr>
        <w:top w:val="none" w:sz="0" w:space="0" w:color="auto"/>
        <w:left w:val="none" w:sz="0" w:space="0" w:color="auto"/>
        <w:bottom w:val="none" w:sz="0" w:space="0" w:color="auto"/>
        <w:right w:val="none" w:sz="0" w:space="0" w:color="auto"/>
      </w:divBdr>
    </w:div>
    <w:div w:id="495849560">
      <w:bodyDiv w:val="1"/>
      <w:marLeft w:val="0"/>
      <w:marRight w:val="0"/>
      <w:marTop w:val="0"/>
      <w:marBottom w:val="0"/>
      <w:divBdr>
        <w:top w:val="none" w:sz="0" w:space="0" w:color="auto"/>
        <w:left w:val="none" w:sz="0" w:space="0" w:color="auto"/>
        <w:bottom w:val="none" w:sz="0" w:space="0" w:color="auto"/>
        <w:right w:val="none" w:sz="0" w:space="0" w:color="auto"/>
      </w:divBdr>
    </w:div>
    <w:div w:id="496269093">
      <w:bodyDiv w:val="1"/>
      <w:marLeft w:val="0"/>
      <w:marRight w:val="0"/>
      <w:marTop w:val="0"/>
      <w:marBottom w:val="0"/>
      <w:divBdr>
        <w:top w:val="none" w:sz="0" w:space="0" w:color="auto"/>
        <w:left w:val="none" w:sz="0" w:space="0" w:color="auto"/>
        <w:bottom w:val="none" w:sz="0" w:space="0" w:color="auto"/>
        <w:right w:val="none" w:sz="0" w:space="0" w:color="auto"/>
      </w:divBdr>
    </w:div>
    <w:div w:id="496384632">
      <w:bodyDiv w:val="1"/>
      <w:marLeft w:val="0"/>
      <w:marRight w:val="0"/>
      <w:marTop w:val="0"/>
      <w:marBottom w:val="0"/>
      <w:divBdr>
        <w:top w:val="none" w:sz="0" w:space="0" w:color="auto"/>
        <w:left w:val="none" w:sz="0" w:space="0" w:color="auto"/>
        <w:bottom w:val="none" w:sz="0" w:space="0" w:color="auto"/>
        <w:right w:val="none" w:sz="0" w:space="0" w:color="auto"/>
      </w:divBdr>
    </w:div>
    <w:div w:id="496573469">
      <w:bodyDiv w:val="1"/>
      <w:marLeft w:val="0"/>
      <w:marRight w:val="0"/>
      <w:marTop w:val="0"/>
      <w:marBottom w:val="0"/>
      <w:divBdr>
        <w:top w:val="none" w:sz="0" w:space="0" w:color="auto"/>
        <w:left w:val="none" w:sz="0" w:space="0" w:color="auto"/>
        <w:bottom w:val="none" w:sz="0" w:space="0" w:color="auto"/>
        <w:right w:val="none" w:sz="0" w:space="0" w:color="auto"/>
      </w:divBdr>
    </w:div>
    <w:div w:id="496582215">
      <w:bodyDiv w:val="1"/>
      <w:marLeft w:val="0"/>
      <w:marRight w:val="0"/>
      <w:marTop w:val="0"/>
      <w:marBottom w:val="0"/>
      <w:divBdr>
        <w:top w:val="none" w:sz="0" w:space="0" w:color="auto"/>
        <w:left w:val="none" w:sz="0" w:space="0" w:color="auto"/>
        <w:bottom w:val="none" w:sz="0" w:space="0" w:color="auto"/>
        <w:right w:val="none" w:sz="0" w:space="0" w:color="auto"/>
      </w:divBdr>
    </w:div>
    <w:div w:id="496775990">
      <w:bodyDiv w:val="1"/>
      <w:marLeft w:val="0"/>
      <w:marRight w:val="0"/>
      <w:marTop w:val="0"/>
      <w:marBottom w:val="0"/>
      <w:divBdr>
        <w:top w:val="none" w:sz="0" w:space="0" w:color="auto"/>
        <w:left w:val="none" w:sz="0" w:space="0" w:color="auto"/>
        <w:bottom w:val="none" w:sz="0" w:space="0" w:color="auto"/>
        <w:right w:val="none" w:sz="0" w:space="0" w:color="auto"/>
      </w:divBdr>
    </w:div>
    <w:div w:id="496964602">
      <w:bodyDiv w:val="1"/>
      <w:marLeft w:val="0"/>
      <w:marRight w:val="0"/>
      <w:marTop w:val="0"/>
      <w:marBottom w:val="0"/>
      <w:divBdr>
        <w:top w:val="none" w:sz="0" w:space="0" w:color="auto"/>
        <w:left w:val="none" w:sz="0" w:space="0" w:color="auto"/>
        <w:bottom w:val="none" w:sz="0" w:space="0" w:color="auto"/>
        <w:right w:val="none" w:sz="0" w:space="0" w:color="auto"/>
      </w:divBdr>
    </w:div>
    <w:div w:id="497037428">
      <w:bodyDiv w:val="1"/>
      <w:marLeft w:val="0"/>
      <w:marRight w:val="0"/>
      <w:marTop w:val="0"/>
      <w:marBottom w:val="0"/>
      <w:divBdr>
        <w:top w:val="none" w:sz="0" w:space="0" w:color="auto"/>
        <w:left w:val="none" w:sz="0" w:space="0" w:color="auto"/>
        <w:bottom w:val="none" w:sz="0" w:space="0" w:color="auto"/>
        <w:right w:val="none" w:sz="0" w:space="0" w:color="auto"/>
      </w:divBdr>
    </w:div>
    <w:div w:id="497157527">
      <w:bodyDiv w:val="1"/>
      <w:marLeft w:val="0"/>
      <w:marRight w:val="0"/>
      <w:marTop w:val="0"/>
      <w:marBottom w:val="0"/>
      <w:divBdr>
        <w:top w:val="none" w:sz="0" w:space="0" w:color="auto"/>
        <w:left w:val="none" w:sz="0" w:space="0" w:color="auto"/>
        <w:bottom w:val="none" w:sz="0" w:space="0" w:color="auto"/>
        <w:right w:val="none" w:sz="0" w:space="0" w:color="auto"/>
      </w:divBdr>
    </w:div>
    <w:div w:id="497232204">
      <w:bodyDiv w:val="1"/>
      <w:marLeft w:val="0"/>
      <w:marRight w:val="0"/>
      <w:marTop w:val="0"/>
      <w:marBottom w:val="0"/>
      <w:divBdr>
        <w:top w:val="none" w:sz="0" w:space="0" w:color="auto"/>
        <w:left w:val="none" w:sz="0" w:space="0" w:color="auto"/>
        <w:bottom w:val="none" w:sz="0" w:space="0" w:color="auto"/>
        <w:right w:val="none" w:sz="0" w:space="0" w:color="auto"/>
      </w:divBdr>
    </w:div>
    <w:div w:id="497311112">
      <w:bodyDiv w:val="1"/>
      <w:marLeft w:val="0"/>
      <w:marRight w:val="0"/>
      <w:marTop w:val="0"/>
      <w:marBottom w:val="0"/>
      <w:divBdr>
        <w:top w:val="none" w:sz="0" w:space="0" w:color="auto"/>
        <w:left w:val="none" w:sz="0" w:space="0" w:color="auto"/>
        <w:bottom w:val="none" w:sz="0" w:space="0" w:color="auto"/>
        <w:right w:val="none" w:sz="0" w:space="0" w:color="auto"/>
      </w:divBdr>
    </w:div>
    <w:div w:id="497499312">
      <w:bodyDiv w:val="1"/>
      <w:marLeft w:val="0"/>
      <w:marRight w:val="0"/>
      <w:marTop w:val="0"/>
      <w:marBottom w:val="0"/>
      <w:divBdr>
        <w:top w:val="none" w:sz="0" w:space="0" w:color="auto"/>
        <w:left w:val="none" w:sz="0" w:space="0" w:color="auto"/>
        <w:bottom w:val="none" w:sz="0" w:space="0" w:color="auto"/>
        <w:right w:val="none" w:sz="0" w:space="0" w:color="auto"/>
      </w:divBdr>
    </w:div>
    <w:div w:id="497576936">
      <w:bodyDiv w:val="1"/>
      <w:marLeft w:val="0"/>
      <w:marRight w:val="0"/>
      <w:marTop w:val="0"/>
      <w:marBottom w:val="0"/>
      <w:divBdr>
        <w:top w:val="none" w:sz="0" w:space="0" w:color="auto"/>
        <w:left w:val="none" w:sz="0" w:space="0" w:color="auto"/>
        <w:bottom w:val="none" w:sz="0" w:space="0" w:color="auto"/>
        <w:right w:val="none" w:sz="0" w:space="0" w:color="auto"/>
      </w:divBdr>
    </w:div>
    <w:div w:id="497615346">
      <w:bodyDiv w:val="1"/>
      <w:marLeft w:val="0"/>
      <w:marRight w:val="0"/>
      <w:marTop w:val="0"/>
      <w:marBottom w:val="0"/>
      <w:divBdr>
        <w:top w:val="none" w:sz="0" w:space="0" w:color="auto"/>
        <w:left w:val="none" w:sz="0" w:space="0" w:color="auto"/>
        <w:bottom w:val="none" w:sz="0" w:space="0" w:color="auto"/>
        <w:right w:val="none" w:sz="0" w:space="0" w:color="auto"/>
      </w:divBdr>
    </w:div>
    <w:div w:id="497885394">
      <w:bodyDiv w:val="1"/>
      <w:marLeft w:val="0"/>
      <w:marRight w:val="0"/>
      <w:marTop w:val="0"/>
      <w:marBottom w:val="0"/>
      <w:divBdr>
        <w:top w:val="none" w:sz="0" w:space="0" w:color="auto"/>
        <w:left w:val="none" w:sz="0" w:space="0" w:color="auto"/>
        <w:bottom w:val="none" w:sz="0" w:space="0" w:color="auto"/>
        <w:right w:val="none" w:sz="0" w:space="0" w:color="auto"/>
      </w:divBdr>
    </w:div>
    <w:div w:id="498009105">
      <w:bodyDiv w:val="1"/>
      <w:marLeft w:val="0"/>
      <w:marRight w:val="0"/>
      <w:marTop w:val="0"/>
      <w:marBottom w:val="0"/>
      <w:divBdr>
        <w:top w:val="none" w:sz="0" w:space="0" w:color="auto"/>
        <w:left w:val="none" w:sz="0" w:space="0" w:color="auto"/>
        <w:bottom w:val="none" w:sz="0" w:space="0" w:color="auto"/>
        <w:right w:val="none" w:sz="0" w:space="0" w:color="auto"/>
      </w:divBdr>
    </w:div>
    <w:div w:id="498156149">
      <w:bodyDiv w:val="1"/>
      <w:marLeft w:val="0"/>
      <w:marRight w:val="0"/>
      <w:marTop w:val="0"/>
      <w:marBottom w:val="0"/>
      <w:divBdr>
        <w:top w:val="none" w:sz="0" w:space="0" w:color="auto"/>
        <w:left w:val="none" w:sz="0" w:space="0" w:color="auto"/>
        <w:bottom w:val="none" w:sz="0" w:space="0" w:color="auto"/>
        <w:right w:val="none" w:sz="0" w:space="0" w:color="auto"/>
      </w:divBdr>
    </w:div>
    <w:div w:id="498158536">
      <w:bodyDiv w:val="1"/>
      <w:marLeft w:val="0"/>
      <w:marRight w:val="0"/>
      <w:marTop w:val="0"/>
      <w:marBottom w:val="0"/>
      <w:divBdr>
        <w:top w:val="none" w:sz="0" w:space="0" w:color="auto"/>
        <w:left w:val="none" w:sz="0" w:space="0" w:color="auto"/>
        <w:bottom w:val="none" w:sz="0" w:space="0" w:color="auto"/>
        <w:right w:val="none" w:sz="0" w:space="0" w:color="auto"/>
      </w:divBdr>
    </w:div>
    <w:div w:id="498469051">
      <w:bodyDiv w:val="1"/>
      <w:marLeft w:val="0"/>
      <w:marRight w:val="0"/>
      <w:marTop w:val="0"/>
      <w:marBottom w:val="0"/>
      <w:divBdr>
        <w:top w:val="none" w:sz="0" w:space="0" w:color="auto"/>
        <w:left w:val="none" w:sz="0" w:space="0" w:color="auto"/>
        <w:bottom w:val="none" w:sz="0" w:space="0" w:color="auto"/>
        <w:right w:val="none" w:sz="0" w:space="0" w:color="auto"/>
      </w:divBdr>
    </w:div>
    <w:div w:id="498497338">
      <w:bodyDiv w:val="1"/>
      <w:marLeft w:val="0"/>
      <w:marRight w:val="0"/>
      <w:marTop w:val="0"/>
      <w:marBottom w:val="0"/>
      <w:divBdr>
        <w:top w:val="none" w:sz="0" w:space="0" w:color="auto"/>
        <w:left w:val="none" w:sz="0" w:space="0" w:color="auto"/>
        <w:bottom w:val="none" w:sz="0" w:space="0" w:color="auto"/>
        <w:right w:val="none" w:sz="0" w:space="0" w:color="auto"/>
      </w:divBdr>
    </w:div>
    <w:div w:id="498546562">
      <w:bodyDiv w:val="1"/>
      <w:marLeft w:val="0"/>
      <w:marRight w:val="0"/>
      <w:marTop w:val="0"/>
      <w:marBottom w:val="0"/>
      <w:divBdr>
        <w:top w:val="none" w:sz="0" w:space="0" w:color="auto"/>
        <w:left w:val="none" w:sz="0" w:space="0" w:color="auto"/>
        <w:bottom w:val="none" w:sz="0" w:space="0" w:color="auto"/>
        <w:right w:val="none" w:sz="0" w:space="0" w:color="auto"/>
      </w:divBdr>
    </w:div>
    <w:div w:id="498735098">
      <w:bodyDiv w:val="1"/>
      <w:marLeft w:val="0"/>
      <w:marRight w:val="0"/>
      <w:marTop w:val="0"/>
      <w:marBottom w:val="0"/>
      <w:divBdr>
        <w:top w:val="none" w:sz="0" w:space="0" w:color="auto"/>
        <w:left w:val="none" w:sz="0" w:space="0" w:color="auto"/>
        <w:bottom w:val="none" w:sz="0" w:space="0" w:color="auto"/>
        <w:right w:val="none" w:sz="0" w:space="0" w:color="auto"/>
      </w:divBdr>
    </w:div>
    <w:div w:id="498736062">
      <w:bodyDiv w:val="1"/>
      <w:marLeft w:val="0"/>
      <w:marRight w:val="0"/>
      <w:marTop w:val="0"/>
      <w:marBottom w:val="0"/>
      <w:divBdr>
        <w:top w:val="none" w:sz="0" w:space="0" w:color="auto"/>
        <w:left w:val="none" w:sz="0" w:space="0" w:color="auto"/>
        <w:bottom w:val="none" w:sz="0" w:space="0" w:color="auto"/>
        <w:right w:val="none" w:sz="0" w:space="0" w:color="auto"/>
      </w:divBdr>
    </w:div>
    <w:div w:id="498885740">
      <w:bodyDiv w:val="1"/>
      <w:marLeft w:val="0"/>
      <w:marRight w:val="0"/>
      <w:marTop w:val="0"/>
      <w:marBottom w:val="0"/>
      <w:divBdr>
        <w:top w:val="none" w:sz="0" w:space="0" w:color="auto"/>
        <w:left w:val="none" w:sz="0" w:space="0" w:color="auto"/>
        <w:bottom w:val="none" w:sz="0" w:space="0" w:color="auto"/>
        <w:right w:val="none" w:sz="0" w:space="0" w:color="auto"/>
      </w:divBdr>
    </w:div>
    <w:div w:id="499197184">
      <w:bodyDiv w:val="1"/>
      <w:marLeft w:val="0"/>
      <w:marRight w:val="0"/>
      <w:marTop w:val="0"/>
      <w:marBottom w:val="0"/>
      <w:divBdr>
        <w:top w:val="none" w:sz="0" w:space="0" w:color="auto"/>
        <w:left w:val="none" w:sz="0" w:space="0" w:color="auto"/>
        <w:bottom w:val="none" w:sz="0" w:space="0" w:color="auto"/>
        <w:right w:val="none" w:sz="0" w:space="0" w:color="auto"/>
      </w:divBdr>
    </w:div>
    <w:div w:id="499319816">
      <w:bodyDiv w:val="1"/>
      <w:marLeft w:val="0"/>
      <w:marRight w:val="0"/>
      <w:marTop w:val="0"/>
      <w:marBottom w:val="0"/>
      <w:divBdr>
        <w:top w:val="none" w:sz="0" w:space="0" w:color="auto"/>
        <w:left w:val="none" w:sz="0" w:space="0" w:color="auto"/>
        <w:bottom w:val="none" w:sz="0" w:space="0" w:color="auto"/>
        <w:right w:val="none" w:sz="0" w:space="0" w:color="auto"/>
      </w:divBdr>
    </w:div>
    <w:div w:id="499540155">
      <w:bodyDiv w:val="1"/>
      <w:marLeft w:val="0"/>
      <w:marRight w:val="0"/>
      <w:marTop w:val="0"/>
      <w:marBottom w:val="0"/>
      <w:divBdr>
        <w:top w:val="none" w:sz="0" w:space="0" w:color="auto"/>
        <w:left w:val="none" w:sz="0" w:space="0" w:color="auto"/>
        <w:bottom w:val="none" w:sz="0" w:space="0" w:color="auto"/>
        <w:right w:val="none" w:sz="0" w:space="0" w:color="auto"/>
      </w:divBdr>
    </w:div>
    <w:div w:id="499735696">
      <w:bodyDiv w:val="1"/>
      <w:marLeft w:val="0"/>
      <w:marRight w:val="0"/>
      <w:marTop w:val="0"/>
      <w:marBottom w:val="0"/>
      <w:divBdr>
        <w:top w:val="none" w:sz="0" w:space="0" w:color="auto"/>
        <w:left w:val="none" w:sz="0" w:space="0" w:color="auto"/>
        <w:bottom w:val="none" w:sz="0" w:space="0" w:color="auto"/>
        <w:right w:val="none" w:sz="0" w:space="0" w:color="auto"/>
      </w:divBdr>
    </w:div>
    <w:div w:id="499738435">
      <w:bodyDiv w:val="1"/>
      <w:marLeft w:val="0"/>
      <w:marRight w:val="0"/>
      <w:marTop w:val="0"/>
      <w:marBottom w:val="0"/>
      <w:divBdr>
        <w:top w:val="none" w:sz="0" w:space="0" w:color="auto"/>
        <w:left w:val="none" w:sz="0" w:space="0" w:color="auto"/>
        <w:bottom w:val="none" w:sz="0" w:space="0" w:color="auto"/>
        <w:right w:val="none" w:sz="0" w:space="0" w:color="auto"/>
      </w:divBdr>
    </w:div>
    <w:div w:id="499930695">
      <w:bodyDiv w:val="1"/>
      <w:marLeft w:val="0"/>
      <w:marRight w:val="0"/>
      <w:marTop w:val="0"/>
      <w:marBottom w:val="0"/>
      <w:divBdr>
        <w:top w:val="none" w:sz="0" w:space="0" w:color="auto"/>
        <w:left w:val="none" w:sz="0" w:space="0" w:color="auto"/>
        <w:bottom w:val="none" w:sz="0" w:space="0" w:color="auto"/>
        <w:right w:val="none" w:sz="0" w:space="0" w:color="auto"/>
      </w:divBdr>
    </w:div>
    <w:div w:id="500316969">
      <w:bodyDiv w:val="1"/>
      <w:marLeft w:val="0"/>
      <w:marRight w:val="0"/>
      <w:marTop w:val="0"/>
      <w:marBottom w:val="0"/>
      <w:divBdr>
        <w:top w:val="none" w:sz="0" w:space="0" w:color="auto"/>
        <w:left w:val="none" w:sz="0" w:space="0" w:color="auto"/>
        <w:bottom w:val="none" w:sz="0" w:space="0" w:color="auto"/>
        <w:right w:val="none" w:sz="0" w:space="0" w:color="auto"/>
      </w:divBdr>
    </w:div>
    <w:div w:id="500320813">
      <w:bodyDiv w:val="1"/>
      <w:marLeft w:val="0"/>
      <w:marRight w:val="0"/>
      <w:marTop w:val="0"/>
      <w:marBottom w:val="0"/>
      <w:divBdr>
        <w:top w:val="none" w:sz="0" w:space="0" w:color="auto"/>
        <w:left w:val="none" w:sz="0" w:space="0" w:color="auto"/>
        <w:bottom w:val="none" w:sz="0" w:space="0" w:color="auto"/>
        <w:right w:val="none" w:sz="0" w:space="0" w:color="auto"/>
      </w:divBdr>
    </w:div>
    <w:div w:id="500436018">
      <w:bodyDiv w:val="1"/>
      <w:marLeft w:val="0"/>
      <w:marRight w:val="0"/>
      <w:marTop w:val="0"/>
      <w:marBottom w:val="0"/>
      <w:divBdr>
        <w:top w:val="none" w:sz="0" w:space="0" w:color="auto"/>
        <w:left w:val="none" w:sz="0" w:space="0" w:color="auto"/>
        <w:bottom w:val="none" w:sz="0" w:space="0" w:color="auto"/>
        <w:right w:val="none" w:sz="0" w:space="0" w:color="auto"/>
      </w:divBdr>
    </w:div>
    <w:div w:id="501090235">
      <w:bodyDiv w:val="1"/>
      <w:marLeft w:val="0"/>
      <w:marRight w:val="0"/>
      <w:marTop w:val="0"/>
      <w:marBottom w:val="0"/>
      <w:divBdr>
        <w:top w:val="none" w:sz="0" w:space="0" w:color="auto"/>
        <w:left w:val="none" w:sz="0" w:space="0" w:color="auto"/>
        <w:bottom w:val="none" w:sz="0" w:space="0" w:color="auto"/>
        <w:right w:val="none" w:sz="0" w:space="0" w:color="auto"/>
      </w:divBdr>
    </w:div>
    <w:div w:id="501167447">
      <w:bodyDiv w:val="1"/>
      <w:marLeft w:val="0"/>
      <w:marRight w:val="0"/>
      <w:marTop w:val="0"/>
      <w:marBottom w:val="0"/>
      <w:divBdr>
        <w:top w:val="none" w:sz="0" w:space="0" w:color="auto"/>
        <w:left w:val="none" w:sz="0" w:space="0" w:color="auto"/>
        <w:bottom w:val="none" w:sz="0" w:space="0" w:color="auto"/>
        <w:right w:val="none" w:sz="0" w:space="0" w:color="auto"/>
      </w:divBdr>
    </w:div>
    <w:div w:id="501432346">
      <w:bodyDiv w:val="1"/>
      <w:marLeft w:val="0"/>
      <w:marRight w:val="0"/>
      <w:marTop w:val="0"/>
      <w:marBottom w:val="0"/>
      <w:divBdr>
        <w:top w:val="none" w:sz="0" w:space="0" w:color="auto"/>
        <w:left w:val="none" w:sz="0" w:space="0" w:color="auto"/>
        <w:bottom w:val="none" w:sz="0" w:space="0" w:color="auto"/>
        <w:right w:val="none" w:sz="0" w:space="0" w:color="auto"/>
      </w:divBdr>
    </w:div>
    <w:div w:id="501513387">
      <w:bodyDiv w:val="1"/>
      <w:marLeft w:val="0"/>
      <w:marRight w:val="0"/>
      <w:marTop w:val="0"/>
      <w:marBottom w:val="0"/>
      <w:divBdr>
        <w:top w:val="none" w:sz="0" w:space="0" w:color="auto"/>
        <w:left w:val="none" w:sz="0" w:space="0" w:color="auto"/>
        <w:bottom w:val="none" w:sz="0" w:space="0" w:color="auto"/>
        <w:right w:val="none" w:sz="0" w:space="0" w:color="auto"/>
      </w:divBdr>
    </w:div>
    <w:div w:id="501892950">
      <w:bodyDiv w:val="1"/>
      <w:marLeft w:val="0"/>
      <w:marRight w:val="0"/>
      <w:marTop w:val="0"/>
      <w:marBottom w:val="0"/>
      <w:divBdr>
        <w:top w:val="none" w:sz="0" w:space="0" w:color="auto"/>
        <w:left w:val="none" w:sz="0" w:space="0" w:color="auto"/>
        <w:bottom w:val="none" w:sz="0" w:space="0" w:color="auto"/>
        <w:right w:val="none" w:sz="0" w:space="0" w:color="auto"/>
      </w:divBdr>
    </w:div>
    <w:div w:id="501893453">
      <w:bodyDiv w:val="1"/>
      <w:marLeft w:val="0"/>
      <w:marRight w:val="0"/>
      <w:marTop w:val="0"/>
      <w:marBottom w:val="0"/>
      <w:divBdr>
        <w:top w:val="none" w:sz="0" w:space="0" w:color="auto"/>
        <w:left w:val="none" w:sz="0" w:space="0" w:color="auto"/>
        <w:bottom w:val="none" w:sz="0" w:space="0" w:color="auto"/>
        <w:right w:val="none" w:sz="0" w:space="0" w:color="auto"/>
      </w:divBdr>
    </w:div>
    <w:div w:id="502014616">
      <w:bodyDiv w:val="1"/>
      <w:marLeft w:val="0"/>
      <w:marRight w:val="0"/>
      <w:marTop w:val="0"/>
      <w:marBottom w:val="0"/>
      <w:divBdr>
        <w:top w:val="none" w:sz="0" w:space="0" w:color="auto"/>
        <w:left w:val="none" w:sz="0" w:space="0" w:color="auto"/>
        <w:bottom w:val="none" w:sz="0" w:space="0" w:color="auto"/>
        <w:right w:val="none" w:sz="0" w:space="0" w:color="auto"/>
      </w:divBdr>
    </w:div>
    <w:div w:id="502355314">
      <w:bodyDiv w:val="1"/>
      <w:marLeft w:val="0"/>
      <w:marRight w:val="0"/>
      <w:marTop w:val="0"/>
      <w:marBottom w:val="0"/>
      <w:divBdr>
        <w:top w:val="none" w:sz="0" w:space="0" w:color="auto"/>
        <w:left w:val="none" w:sz="0" w:space="0" w:color="auto"/>
        <w:bottom w:val="none" w:sz="0" w:space="0" w:color="auto"/>
        <w:right w:val="none" w:sz="0" w:space="0" w:color="auto"/>
      </w:divBdr>
    </w:div>
    <w:div w:id="502362039">
      <w:bodyDiv w:val="1"/>
      <w:marLeft w:val="0"/>
      <w:marRight w:val="0"/>
      <w:marTop w:val="0"/>
      <w:marBottom w:val="0"/>
      <w:divBdr>
        <w:top w:val="none" w:sz="0" w:space="0" w:color="auto"/>
        <w:left w:val="none" w:sz="0" w:space="0" w:color="auto"/>
        <w:bottom w:val="none" w:sz="0" w:space="0" w:color="auto"/>
        <w:right w:val="none" w:sz="0" w:space="0" w:color="auto"/>
      </w:divBdr>
    </w:div>
    <w:div w:id="502402220">
      <w:bodyDiv w:val="1"/>
      <w:marLeft w:val="0"/>
      <w:marRight w:val="0"/>
      <w:marTop w:val="0"/>
      <w:marBottom w:val="0"/>
      <w:divBdr>
        <w:top w:val="none" w:sz="0" w:space="0" w:color="auto"/>
        <w:left w:val="none" w:sz="0" w:space="0" w:color="auto"/>
        <w:bottom w:val="none" w:sz="0" w:space="0" w:color="auto"/>
        <w:right w:val="none" w:sz="0" w:space="0" w:color="auto"/>
      </w:divBdr>
    </w:div>
    <w:div w:id="502748816">
      <w:bodyDiv w:val="1"/>
      <w:marLeft w:val="0"/>
      <w:marRight w:val="0"/>
      <w:marTop w:val="0"/>
      <w:marBottom w:val="0"/>
      <w:divBdr>
        <w:top w:val="none" w:sz="0" w:space="0" w:color="auto"/>
        <w:left w:val="none" w:sz="0" w:space="0" w:color="auto"/>
        <w:bottom w:val="none" w:sz="0" w:space="0" w:color="auto"/>
        <w:right w:val="none" w:sz="0" w:space="0" w:color="auto"/>
      </w:divBdr>
    </w:div>
    <w:div w:id="502820621">
      <w:bodyDiv w:val="1"/>
      <w:marLeft w:val="0"/>
      <w:marRight w:val="0"/>
      <w:marTop w:val="0"/>
      <w:marBottom w:val="0"/>
      <w:divBdr>
        <w:top w:val="none" w:sz="0" w:space="0" w:color="auto"/>
        <w:left w:val="none" w:sz="0" w:space="0" w:color="auto"/>
        <w:bottom w:val="none" w:sz="0" w:space="0" w:color="auto"/>
        <w:right w:val="none" w:sz="0" w:space="0" w:color="auto"/>
      </w:divBdr>
    </w:div>
    <w:div w:id="503017178">
      <w:bodyDiv w:val="1"/>
      <w:marLeft w:val="0"/>
      <w:marRight w:val="0"/>
      <w:marTop w:val="0"/>
      <w:marBottom w:val="0"/>
      <w:divBdr>
        <w:top w:val="none" w:sz="0" w:space="0" w:color="auto"/>
        <w:left w:val="none" w:sz="0" w:space="0" w:color="auto"/>
        <w:bottom w:val="none" w:sz="0" w:space="0" w:color="auto"/>
        <w:right w:val="none" w:sz="0" w:space="0" w:color="auto"/>
      </w:divBdr>
    </w:div>
    <w:div w:id="503054553">
      <w:bodyDiv w:val="1"/>
      <w:marLeft w:val="0"/>
      <w:marRight w:val="0"/>
      <w:marTop w:val="0"/>
      <w:marBottom w:val="0"/>
      <w:divBdr>
        <w:top w:val="none" w:sz="0" w:space="0" w:color="auto"/>
        <w:left w:val="none" w:sz="0" w:space="0" w:color="auto"/>
        <w:bottom w:val="none" w:sz="0" w:space="0" w:color="auto"/>
        <w:right w:val="none" w:sz="0" w:space="0" w:color="auto"/>
      </w:divBdr>
    </w:div>
    <w:div w:id="503203340">
      <w:bodyDiv w:val="1"/>
      <w:marLeft w:val="0"/>
      <w:marRight w:val="0"/>
      <w:marTop w:val="0"/>
      <w:marBottom w:val="0"/>
      <w:divBdr>
        <w:top w:val="none" w:sz="0" w:space="0" w:color="auto"/>
        <w:left w:val="none" w:sz="0" w:space="0" w:color="auto"/>
        <w:bottom w:val="none" w:sz="0" w:space="0" w:color="auto"/>
        <w:right w:val="none" w:sz="0" w:space="0" w:color="auto"/>
      </w:divBdr>
    </w:div>
    <w:div w:id="503204114">
      <w:bodyDiv w:val="1"/>
      <w:marLeft w:val="0"/>
      <w:marRight w:val="0"/>
      <w:marTop w:val="0"/>
      <w:marBottom w:val="0"/>
      <w:divBdr>
        <w:top w:val="none" w:sz="0" w:space="0" w:color="auto"/>
        <w:left w:val="none" w:sz="0" w:space="0" w:color="auto"/>
        <w:bottom w:val="none" w:sz="0" w:space="0" w:color="auto"/>
        <w:right w:val="none" w:sz="0" w:space="0" w:color="auto"/>
      </w:divBdr>
    </w:div>
    <w:div w:id="503396001">
      <w:bodyDiv w:val="1"/>
      <w:marLeft w:val="0"/>
      <w:marRight w:val="0"/>
      <w:marTop w:val="0"/>
      <w:marBottom w:val="0"/>
      <w:divBdr>
        <w:top w:val="none" w:sz="0" w:space="0" w:color="auto"/>
        <w:left w:val="none" w:sz="0" w:space="0" w:color="auto"/>
        <w:bottom w:val="none" w:sz="0" w:space="0" w:color="auto"/>
        <w:right w:val="none" w:sz="0" w:space="0" w:color="auto"/>
      </w:divBdr>
    </w:div>
    <w:div w:id="503474099">
      <w:bodyDiv w:val="1"/>
      <w:marLeft w:val="0"/>
      <w:marRight w:val="0"/>
      <w:marTop w:val="0"/>
      <w:marBottom w:val="0"/>
      <w:divBdr>
        <w:top w:val="none" w:sz="0" w:space="0" w:color="auto"/>
        <w:left w:val="none" w:sz="0" w:space="0" w:color="auto"/>
        <w:bottom w:val="none" w:sz="0" w:space="0" w:color="auto"/>
        <w:right w:val="none" w:sz="0" w:space="0" w:color="auto"/>
      </w:divBdr>
    </w:div>
    <w:div w:id="503515995">
      <w:bodyDiv w:val="1"/>
      <w:marLeft w:val="0"/>
      <w:marRight w:val="0"/>
      <w:marTop w:val="0"/>
      <w:marBottom w:val="0"/>
      <w:divBdr>
        <w:top w:val="none" w:sz="0" w:space="0" w:color="auto"/>
        <w:left w:val="none" w:sz="0" w:space="0" w:color="auto"/>
        <w:bottom w:val="none" w:sz="0" w:space="0" w:color="auto"/>
        <w:right w:val="none" w:sz="0" w:space="0" w:color="auto"/>
      </w:divBdr>
    </w:div>
    <w:div w:id="503545572">
      <w:bodyDiv w:val="1"/>
      <w:marLeft w:val="0"/>
      <w:marRight w:val="0"/>
      <w:marTop w:val="0"/>
      <w:marBottom w:val="0"/>
      <w:divBdr>
        <w:top w:val="none" w:sz="0" w:space="0" w:color="auto"/>
        <w:left w:val="none" w:sz="0" w:space="0" w:color="auto"/>
        <w:bottom w:val="none" w:sz="0" w:space="0" w:color="auto"/>
        <w:right w:val="none" w:sz="0" w:space="0" w:color="auto"/>
      </w:divBdr>
    </w:div>
    <w:div w:id="503594599">
      <w:bodyDiv w:val="1"/>
      <w:marLeft w:val="0"/>
      <w:marRight w:val="0"/>
      <w:marTop w:val="0"/>
      <w:marBottom w:val="0"/>
      <w:divBdr>
        <w:top w:val="none" w:sz="0" w:space="0" w:color="auto"/>
        <w:left w:val="none" w:sz="0" w:space="0" w:color="auto"/>
        <w:bottom w:val="none" w:sz="0" w:space="0" w:color="auto"/>
        <w:right w:val="none" w:sz="0" w:space="0" w:color="auto"/>
      </w:divBdr>
    </w:div>
    <w:div w:id="503786329">
      <w:bodyDiv w:val="1"/>
      <w:marLeft w:val="0"/>
      <w:marRight w:val="0"/>
      <w:marTop w:val="0"/>
      <w:marBottom w:val="0"/>
      <w:divBdr>
        <w:top w:val="none" w:sz="0" w:space="0" w:color="auto"/>
        <w:left w:val="none" w:sz="0" w:space="0" w:color="auto"/>
        <w:bottom w:val="none" w:sz="0" w:space="0" w:color="auto"/>
        <w:right w:val="none" w:sz="0" w:space="0" w:color="auto"/>
      </w:divBdr>
    </w:div>
    <w:div w:id="503907303">
      <w:bodyDiv w:val="1"/>
      <w:marLeft w:val="0"/>
      <w:marRight w:val="0"/>
      <w:marTop w:val="0"/>
      <w:marBottom w:val="0"/>
      <w:divBdr>
        <w:top w:val="none" w:sz="0" w:space="0" w:color="auto"/>
        <w:left w:val="none" w:sz="0" w:space="0" w:color="auto"/>
        <w:bottom w:val="none" w:sz="0" w:space="0" w:color="auto"/>
        <w:right w:val="none" w:sz="0" w:space="0" w:color="auto"/>
      </w:divBdr>
    </w:div>
    <w:div w:id="504134603">
      <w:bodyDiv w:val="1"/>
      <w:marLeft w:val="0"/>
      <w:marRight w:val="0"/>
      <w:marTop w:val="0"/>
      <w:marBottom w:val="0"/>
      <w:divBdr>
        <w:top w:val="none" w:sz="0" w:space="0" w:color="auto"/>
        <w:left w:val="none" w:sz="0" w:space="0" w:color="auto"/>
        <w:bottom w:val="none" w:sz="0" w:space="0" w:color="auto"/>
        <w:right w:val="none" w:sz="0" w:space="0" w:color="auto"/>
      </w:divBdr>
    </w:div>
    <w:div w:id="504171301">
      <w:bodyDiv w:val="1"/>
      <w:marLeft w:val="0"/>
      <w:marRight w:val="0"/>
      <w:marTop w:val="0"/>
      <w:marBottom w:val="0"/>
      <w:divBdr>
        <w:top w:val="none" w:sz="0" w:space="0" w:color="auto"/>
        <w:left w:val="none" w:sz="0" w:space="0" w:color="auto"/>
        <w:bottom w:val="none" w:sz="0" w:space="0" w:color="auto"/>
        <w:right w:val="none" w:sz="0" w:space="0" w:color="auto"/>
      </w:divBdr>
    </w:div>
    <w:div w:id="504173534">
      <w:bodyDiv w:val="1"/>
      <w:marLeft w:val="0"/>
      <w:marRight w:val="0"/>
      <w:marTop w:val="0"/>
      <w:marBottom w:val="0"/>
      <w:divBdr>
        <w:top w:val="none" w:sz="0" w:space="0" w:color="auto"/>
        <w:left w:val="none" w:sz="0" w:space="0" w:color="auto"/>
        <w:bottom w:val="none" w:sz="0" w:space="0" w:color="auto"/>
        <w:right w:val="none" w:sz="0" w:space="0" w:color="auto"/>
      </w:divBdr>
    </w:div>
    <w:div w:id="504177101">
      <w:bodyDiv w:val="1"/>
      <w:marLeft w:val="0"/>
      <w:marRight w:val="0"/>
      <w:marTop w:val="0"/>
      <w:marBottom w:val="0"/>
      <w:divBdr>
        <w:top w:val="none" w:sz="0" w:space="0" w:color="auto"/>
        <w:left w:val="none" w:sz="0" w:space="0" w:color="auto"/>
        <w:bottom w:val="none" w:sz="0" w:space="0" w:color="auto"/>
        <w:right w:val="none" w:sz="0" w:space="0" w:color="auto"/>
      </w:divBdr>
    </w:div>
    <w:div w:id="504247863">
      <w:bodyDiv w:val="1"/>
      <w:marLeft w:val="0"/>
      <w:marRight w:val="0"/>
      <w:marTop w:val="0"/>
      <w:marBottom w:val="0"/>
      <w:divBdr>
        <w:top w:val="none" w:sz="0" w:space="0" w:color="auto"/>
        <w:left w:val="none" w:sz="0" w:space="0" w:color="auto"/>
        <w:bottom w:val="none" w:sz="0" w:space="0" w:color="auto"/>
        <w:right w:val="none" w:sz="0" w:space="0" w:color="auto"/>
      </w:divBdr>
    </w:div>
    <w:div w:id="504250360">
      <w:bodyDiv w:val="1"/>
      <w:marLeft w:val="0"/>
      <w:marRight w:val="0"/>
      <w:marTop w:val="0"/>
      <w:marBottom w:val="0"/>
      <w:divBdr>
        <w:top w:val="none" w:sz="0" w:space="0" w:color="auto"/>
        <w:left w:val="none" w:sz="0" w:space="0" w:color="auto"/>
        <w:bottom w:val="none" w:sz="0" w:space="0" w:color="auto"/>
        <w:right w:val="none" w:sz="0" w:space="0" w:color="auto"/>
      </w:divBdr>
    </w:div>
    <w:div w:id="504589301">
      <w:bodyDiv w:val="1"/>
      <w:marLeft w:val="0"/>
      <w:marRight w:val="0"/>
      <w:marTop w:val="0"/>
      <w:marBottom w:val="0"/>
      <w:divBdr>
        <w:top w:val="none" w:sz="0" w:space="0" w:color="auto"/>
        <w:left w:val="none" w:sz="0" w:space="0" w:color="auto"/>
        <w:bottom w:val="none" w:sz="0" w:space="0" w:color="auto"/>
        <w:right w:val="none" w:sz="0" w:space="0" w:color="auto"/>
      </w:divBdr>
    </w:div>
    <w:div w:id="504589680">
      <w:bodyDiv w:val="1"/>
      <w:marLeft w:val="0"/>
      <w:marRight w:val="0"/>
      <w:marTop w:val="0"/>
      <w:marBottom w:val="0"/>
      <w:divBdr>
        <w:top w:val="none" w:sz="0" w:space="0" w:color="auto"/>
        <w:left w:val="none" w:sz="0" w:space="0" w:color="auto"/>
        <w:bottom w:val="none" w:sz="0" w:space="0" w:color="auto"/>
        <w:right w:val="none" w:sz="0" w:space="0" w:color="auto"/>
      </w:divBdr>
    </w:div>
    <w:div w:id="505022268">
      <w:bodyDiv w:val="1"/>
      <w:marLeft w:val="0"/>
      <w:marRight w:val="0"/>
      <w:marTop w:val="0"/>
      <w:marBottom w:val="0"/>
      <w:divBdr>
        <w:top w:val="none" w:sz="0" w:space="0" w:color="auto"/>
        <w:left w:val="none" w:sz="0" w:space="0" w:color="auto"/>
        <w:bottom w:val="none" w:sz="0" w:space="0" w:color="auto"/>
        <w:right w:val="none" w:sz="0" w:space="0" w:color="auto"/>
      </w:divBdr>
    </w:div>
    <w:div w:id="505245677">
      <w:bodyDiv w:val="1"/>
      <w:marLeft w:val="0"/>
      <w:marRight w:val="0"/>
      <w:marTop w:val="0"/>
      <w:marBottom w:val="0"/>
      <w:divBdr>
        <w:top w:val="none" w:sz="0" w:space="0" w:color="auto"/>
        <w:left w:val="none" w:sz="0" w:space="0" w:color="auto"/>
        <w:bottom w:val="none" w:sz="0" w:space="0" w:color="auto"/>
        <w:right w:val="none" w:sz="0" w:space="0" w:color="auto"/>
      </w:divBdr>
    </w:div>
    <w:div w:id="505289629">
      <w:bodyDiv w:val="1"/>
      <w:marLeft w:val="0"/>
      <w:marRight w:val="0"/>
      <w:marTop w:val="0"/>
      <w:marBottom w:val="0"/>
      <w:divBdr>
        <w:top w:val="none" w:sz="0" w:space="0" w:color="auto"/>
        <w:left w:val="none" w:sz="0" w:space="0" w:color="auto"/>
        <w:bottom w:val="none" w:sz="0" w:space="0" w:color="auto"/>
        <w:right w:val="none" w:sz="0" w:space="0" w:color="auto"/>
      </w:divBdr>
    </w:div>
    <w:div w:id="505293200">
      <w:bodyDiv w:val="1"/>
      <w:marLeft w:val="0"/>
      <w:marRight w:val="0"/>
      <w:marTop w:val="0"/>
      <w:marBottom w:val="0"/>
      <w:divBdr>
        <w:top w:val="none" w:sz="0" w:space="0" w:color="auto"/>
        <w:left w:val="none" w:sz="0" w:space="0" w:color="auto"/>
        <w:bottom w:val="none" w:sz="0" w:space="0" w:color="auto"/>
        <w:right w:val="none" w:sz="0" w:space="0" w:color="auto"/>
      </w:divBdr>
    </w:div>
    <w:div w:id="505553644">
      <w:bodyDiv w:val="1"/>
      <w:marLeft w:val="0"/>
      <w:marRight w:val="0"/>
      <w:marTop w:val="0"/>
      <w:marBottom w:val="0"/>
      <w:divBdr>
        <w:top w:val="none" w:sz="0" w:space="0" w:color="auto"/>
        <w:left w:val="none" w:sz="0" w:space="0" w:color="auto"/>
        <w:bottom w:val="none" w:sz="0" w:space="0" w:color="auto"/>
        <w:right w:val="none" w:sz="0" w:space="0" w:color="auto"/>
      </w:divBdr>
    </w:div>
    <w:div w:id="505555871">
      <w:bodyDiv w:val="1"/>
      <w:marLeft w:val="0"/>
      <w:marRight w:val="0"/>
      <w:marTop w:val="0"/>
      <w:marBottom w:val="0"/>
      <w:divBdr>
        <w:top w:val="none" w:sz="0" w:space="0" w:color="auto"/>
        <w:left w:val="none" w:sz="0" w:space="0" w:color="auto"/>
        <w:bottom w:val="none" w:sz="0" w:space="0" w:color="auto"/>
        <w:right w:val="none" w:sz="0" w:space="0" w:color="auto"/>
      </w:divBdr>
    </w:div>
    <w:div w:id="505632067">
      <w:bodyDiv w:val="1"/>
      <w:marLeft w:val="0"/>
      <w:marRight w:val="0"/>
      <w:marTop w:val="0"/>
      <w:marBottom w:val="0"/>
      <w:divBdr>
        <w:top w:val="none" w:sz="0" w:space="0" w:color="auto"/>
        <w:left w:val="none" w:sz="0" w:space="0" w:color="auto"/>
        <w:bottom w:val="none" w:sz="0" w:space="0" w:color="auto"/>
        <w:right w:val="none" w:sz="0" w:space="0" w:color="auto"/>
      </w:divBdr>
    </w:div>
    <w:div w:id="506292295">
      <w:bodyDiv w:val="1"/>
      <w:marLeft w:val="0"/>
      <w:marRight w:val="0"/>
      <w:marTop w:val="0"/>
      <w:marBottom w:val="0"/>
      <w:divBdr>
        <w:top w:val="none" w:sz="0" w:space="0" w:color="auto"/>
        <w:left w:val="none" w:sz="0" w:space="0" w:color="auto"/>
        <w:bottom w:val="none" w:sz="0" w:space="0" w:color="auto"/>
        <w:right w:val="none" w:sz="0" w:space="0" w:color="auto"/>
      </w:divBdr>
    </w:div>
    <w:div w:id="506332942">
      <w:bodyDiv w:val="1"/>
      <w:marLeft w:val="0"/>
      <w:marRight w:val="0"/>
      <w:marTop w:val="0"/>
      <w:marBottom w:val="0"/>
      <w:divBdr>
        <w:top w:val="none" w:sz="0" w:space="0" w:color="auto"/>
        <w:left w:val="none" w:sz="0" w:space="0" w:color="auto"/>
        <w:bottom w:val="none" w:sz="0" w:space="0" w:color="auto"/>
        <w:right w:val="none" w:sz="0" w:space="0" w:color="auto"/>
      </w:divBdr>
    </w:div>
    <w:div w:id="506406947">
      <w:bodyDiv w:val="1"/>
      <w:marLeft w:val="0"/>
      <w:marRight w:val="0"/>
      <w:marTop w:val="0"/>
      <w:marBottom w:val="0"/>
      <w:divBdr>
        <w:top w:val="none" w:sz="0" w:space="0" w:color="auto"/>
        <w:left w:val="none" w:sz="0" w:space="0" w:color="auto"/>
        <w:bottom w:val="none" w:sz="0" w:space="0" w:color="auto"/>
        <w:right w:val="none" w:sz="0" w:space="0" w:color="auto"/>
      </w:divBdr>
    </w:div>
    <w:div w:id="506479305">
      <w:bodyDiv w:val="1"/>
      <w:marLeft w:val="0"/>
      <w:marRight w:val="0"/>
      <w:marTop w:val="0"/>
      <w:marBottom w:val="0"/>
      <w:divBdr>
        <w:top w:val="none" w:sz="0" w:space="0" w:color="auto"/>
        <w:left w:val="none" w:sz="0" w:space="0" w:color="auto"/>
        <w:bottom w:val="none" w:sz="0" w:space="0" w:color="auto"/>
        <w:right w:val="none" w:sz="0" w:space="0" w:color="auto"/>
      </w:divBdr>
    </w:div>
    <w:div w:id="506481748">
      <w:bodyDiv w:val="1"/>
      <w:marLeft w:val="0"/>
      <w:marRight w:val="0"/>
      <w:marTop w:val="0"/>
      <w:marBottom w:val="0"/>
      <w:divBdr>
        <w:top w:val="none" w:sz="0" w:space="0" w:color="auto"/>
        <w:left w:val="none" w:sz="0" w:space="0" w:color="auto"/>
        <w:bottom w:val="none" w:sz="0" w:space="0" w:color="auto"/>
        <w:right w:val="none" w:sz="0" w:space="0" w:color="auto"/>
      </w:divBdr>
    </w:div>
    <w:div w:id="506794901">
      <w:bodyDiv w:val="1"/>
      <w:marLeft w:val="0"/>
      <w:marRight w:val="0"/>
      <w:marTop w:val="0"/>
      <w:marBottom w:val="0"/>
      <w:divBdr>
        <w:top w:val="none" w:sz="0" w:space="0" w:color="auto"/>
        <w:left w:val="none" w:sz="0" w:space="0" w:color="auto"/>
        <w:bottom w:val="none" w:sz="0" w:space="0" w:color="auto"/>
        <w:right w:val="none" w:sz="0" w:space="0" w:color="auto"/>
      </w:divBdr>
    </w:div>
    <w:div w:id="506869590">
      <w:bodyDiv w:val="1"/>
      <w:marLeft w:val="0"/>
      <w:marRight w:val="0"/>
      <w:marTop w:val="0"/>
      <w:marBottom w:val="0"/>
      <w:divBdr>
        <w:top w:val="none" w:sz="0" w:space="0" w:color="auto"/>
        <w:left w:val="none" w:sz="0" w:space="0" w:color="auto"/>
        <w:bottom w:val="none" w:sz="0" w:space="0" w:color="auto"/>
        <w:right w:val="none" w:sz="0" w:space="0" w:color="auto"/>
      </w:divBdr>
    </w:div>
    <w:div w:id="507208696">
      <w:bodyDiv w:val="1"/>
      <w:marLeft w:val="0"/>
      <w:marRight w:val="0"/>
      <w:marTop w:val="0"/>
      <w:marBottom w:val="0"/>
      <w:divBdr>
        <w:top w:val="none" w:sz="0" w:space="0" w:color="auto"/>
        <w:left w:val="none" w:sz="0" w:space="0" w:color="auto"/>
        <w:bottom w:val="none" w:sz="0" w:space="0" w:color="auto"/>
        <w:right w:val="none" w:sz="0" w:space="0" w:color="auto"/>
      </w:divBdr>
    </w:div>
    <w:div w:id="507256960">
      <w:bodyDiv w:val="1"/>
      <w:marLeft w:val="0"/>
      <w:marRight w:val="0"/>
      <w:marTop w:val="0"/>
      <w:marBottom w:val="0"/>
      <w:divBdr>
        <w:top w:val="none" w:sz="0" w:space="0" w:color="auto"/>
        <w:left w:val="none" w:sz="0" w:space="0" w:color="auto"/>
        <w:bottom w:val="none" w:sz="0" w:space="0" w:color="auto"/>
        <w:right w:val="none" w:sz="0" w:space="0" w:color="auto"/>
      </w:divBdr>
    </w:div>
    <w:div w:id="507258760">
      <w:bodyDiv w:val="1"/>
      <w:marLeft w:val="0"/>
      <w:marRight w:val="0"/>
      <w:marTop w:val="0"/>
      <w:marBottom w:val="0"/>
      <w:divBdr>
        <w:top w:val="none" w:sz="0" w:space="0" w:color="auto"/>
        <w:left w:val="none" w:sz="0" w:space="0" w:color="auto"/>
        <w:bottom w:val="none" w:sz="0" w:space="0" w:color="auto"/>
        <w:right w:val="none" w:sz="0" w:space="0" w:color="auto"/>
      </w:divBdr>
    </w:div>
    <w:div w:id="507712925">
      <w:bodyDiv w:val="1"/>
      <w:marLeft w:val="0"/>
      <w:marRight w:val="0"/>
      <w:marTop w:val="0"/>
      <w:marBottom w:val="0"/>
      <w:divBdr>
        <w:top w:val="none" w:sz="0" w:space="0" w:color="auto"/>
        <w:left w:val="none" w:sz="0" w:space="0" w:color="auto"/>
        <w:bottom w:val="none" w:sz="0" w:space="0" w:color="auto"/>
        <w:right w:val="none" w:sz="0" w:space="0" w:color="auto"/>
      </w:divBdr>
    </w:div>
    <w:div w:id="507718673">
      <w:bodyDiv w:val="1"/>
      <w:marLeft w:val="0"/>
      <w:marRight w:val="0"/>
      <w:marTop w:val="0"/>
      <w:marBottom w:val="0"/>
      <w:divBdr>
        <w:top w:val="none" w:sz="0" w:space="0" w:color="auto"/>
        <w:left w:val="none" w:sz="0" w:space="0" w:color="auto"/>
        <w:bottom w:val="none" w:sz="0" w:space="0" w:color="auto"/>
        <w:right w:val="none" w:sz="0" w:space="0" w:color="auto"/>
      </w:divBdr>
    </w:div>
    <w:div w:id="508300835">
      <w:bodyDiv w:val="1"/>
      <w:marLeft w:val="0"/>
      <w:marRight w:val="0"/>
      <w:marTop w:val="0"/>
      <w:marBottom w:val="0"/>
      <w:divBdr>
        <w:top w:val="none" w:sz="0" w:space="0" w:color="auto"/>
        <w:left w:val="none" w:sz="0" w:space="0" w:color="auto"/>
        <w:bottom w:val="none" w:sz="0" w:space="0" w:color="auto"/>
        <w:right w:val="none" w:sz="0" w:space="0" w:color="auto"/>
      </w:divBdr>
    </w:div>
    <w:div w:id="508521365">
      <w:bodyDiv w:val="1"/>
      <w:marLeft w:val="0"/>
      <w:marRight w:val="0"/>
      <w:marTop w:val="0"/>
      <w:marBottom w:val="0"/>
      <w:divBdr>
        <w:top w:val="none" w:sz="0" w:space="0" w:color="auto"/>
        <w:left w:val="none" w:sz="0" w:space="0" w:color="auto"/>
        <w:bottom w:val="none" w:sz="0" w:space="0" w:color="auto"/>
        <w:right w:val="none" w:sz="0" w:space="0" w:color="auto"/>
      </w:divBdr>
    </w:div>
    <w:div w:id="508561367">
      <w:bodyDiv w:val="1"/>
      <w:marLeft w:val="0"/>
      <w:marRight w:val="0"/>
      <w:marTop w:val="0"/>
      <w:marBottom w:val="0"/>
      <w:divBdr>
        <w:top w:val="none" w:sz="0" w:space="0" w:color="auto"/>
        <w:left w:val="none" w:sz="0" w:space="0" w:color="auto"/>
        <w:bottom w:val="none" w:sz="0" w:space="0" w:color="auto"/>
        <w:right w:val="none" w:sz="0" w:space="0" w:color="auto"/>
      </w:divBdr>
    </w:div>
    <w:div w:id="508640806">
      <w:bodyDiv w:val="1"/>
      <w:marLeft w:val="0"/>
      <w:marRight w:val="0"/>
      <w:marTop w:val="0"/>
      <w:marBottom w:val="0"/>
      <w:divBdr>
        <w:top w:val="none" w:sz="0" w:space="0" w:color="auto"/>
        <w:left w:val="none" w:sz="0" w:space="0" w:color="auto"/>
        <w:bottom w:val="none" w:sz="0" w:space="0" w:color="auto"/>
        <w:right w:val="none" w:sz="0" w:space="0" w:color="auto"/>
      </w:divBdr>
    </w:div>
    <w:div w:id="508831321">
      <w:bodyDiv w:val="1"/>
      <w:marLeft w:val="0"/>
      <w:marRight w:val="0"/>
      <w:marTop w:val="0"/>
      <w:marBottom w:val="0"/>
      <w:divBdr>
        <w:top w:val="none" w:sz="0" w:space="0" w:color="auto"/>
        <w:left w:val="none" w:sz="0" w:space="0" w:color="auto"/>
        <w:bottom w:val="none" w:sz="0" w:space="0" w:color="auto"/>
        <w:right w:val="none" w:sz="0" w:space="0" w:color="auto"/>
      </w:divBdr>
    </w:div>
    <w:div w:id="508838063">
      <w:bodyDiv w:val="1"/>
      <w:marLeft w:val="0"/>
      <w:marRight w:val="0"/>
      <w:marTop w:val="0"/>
      <w:marBottom w:val="0"/>
      <w:divBdr>
        <w:top w:val="none" w:sz="0" w:space="0" w:color="auto"/>
        <w:left w:val="none" w:sz="0" w:space="0" w:color="auto"/>
        <w:bottom w:val="none" w:sz="0" w:space="0" w:color="auto"/>
        <w:right w:val="none" w:sz="0" w:space="0" w:color="auto"/>
      </w:divBdr>
    </w:div>
    <w:div w:id="509173992">
      <w:bodyDiv w:val="1"/>
      <w:marLeft w:val="0"/>
      <w:marRight w:val="0"/>
      <w:marTop w:val="0"/>
      <w:marBottom w:val="0"/>
      <w:divBdr>
        <w:top w:val="none" w:sz="0" w:space="0" w:color="auto"/>
        <w:left w:val="none" w:sz="0" w:space="0" w:color="auto"/>
        <w:bottom w:val="none" w:sz="0" w:space="0" w:color="auto"/>
        <w:right w:val="none" w:sz="0" w:space="0" w:color="auto"/>
      </w:divBdr>
    </w:div>
    <w:div w:id="509297820">
      <w:bodyDiv w:val="1"/>
      <w:marLeft w:val="0"/>
      <w:marRight w:val="0"/>
      <w:marTop w:val="0"/>
      <w:marBottom w:val="0"/>
      <w:divBdr>
        <w:top w:val="none" w:sz="0" w:space="0" w:color="auto"/>
        <w:left w:val="none" w:sz="0" w:space="0" w:color="auto"/>
        <w:bottom w:val="none" w:sz="0" w:space="0" w:color="auto"/>
        <w:right w:val="none" w:sz="0" w:space="0" w:color="auto"/>
      </w:divBdr>
    </w:div>
    <w:div w:id="509611467">
      <w:bodyDiv w:val="1"/>
      <w:marLeft w:val="0"/>
      <w:marRight w:val="0"/>
      <w:marTop w:val="0"/>
      <w:marBottom w:val="0"/>
      <w:divBdr>
        <w:top w:val="none" w:sz="0" w:space="0" w:color="auto"/>
        <w:left w:val="none" w:sz="0" w:space="0" w:color="auto"/>
        <w:bottom w:val="none" w:sz="0" w:space="0" w:color="auto"/>
        <w:right w:val="none" w:sz="0" w:space="0" w:color="auto"/>
      </w:divBdr>
    </w:div>
    <w:div w:id="509640082">
      <w:bodyDiv w:val="1"/>
      <w:marLeft w:val="0"/>
      <w:marRight w:val="0"/>
      <w:marTop w:val="0"/>
      <w:marBottom w:val="0"/>
      <w:divBdr>
        <w:top w:val="none" w:sz="0" w:space="0" w:color="auto"/>
        <w:left w:val="none" w:sz="0" w:space="0" w:color="auto"/>
        <w:bottom w:val="none" w:sz="0" w:space="0" w:color="auto"/>
        <w:right w:val="none" w:sz="0" w:space="0" w:color="auto"/>
      </w:divBdr>
    </w:div>
    <w:div w:id="509640448">
      <w:bodyDiv w:val="1"/>
      <w:marLeft w:val="0"/>
      <w:marRight w:val="0"/>
      <w:marTop w:val="0"/>
      <w:marBottom w:val="0"/>
      <w:divBdr>
        <w:top w:val="none" w:sz="0" w:space="0" w:color="auto"/>
        <w:left w:val="none" w:sz="0" w:space="0" w:color="auto"/>
        <w:bottom w:val="none" w:sz="0" w:space="0" w:color="auto"/>
        <w:right w:val="none" w:sz="0" w:space="0" w:color="auto"/>
      </w:divBdr>
    </w:div>
    <w:div w:id="509755229">
      <w:bodyDiv w:val="1"/>
      <w:marLeft w:val="0"/>
      <w:marRight w:val="0"/>
      <w:marTop w:val="0"/>
      <w:marBottom w:val="0"/>
      <w:divBdr>
        <w:top w:val="none" w:sz="0" w:space="0" w:color="auto"/>
        <w:left w:val="none" w:sz="0" w:space="0" w:color="auto"/>
        <w:bottom w:val="none" w:sz="0" w:space="0" w:color="auto"/>
        <w:right w:val="none" w:sz="0" w:space="0" w:color="auto"/>
      </w:divBdr>
    </w:div>
    <w:div w:id="509758831">
      <w:bodyDiv w:val="1"/>
      <w:marLeft w:val="0"/>
      <w:marRight w:val="0"/>
      <w:marTop w:val="0"/>
      <w:marBottom w:val="0"/>
      <w:divBdr>
        <w:top w:val="none" w:sz="0" w:space="0" w:color="auto"/>
        <w:left w:val="none" w:sz="0" w:space="0" w:color="auto"/>
        <w:bottom w:val="none" w:sz="0" w:space="0" w:color="auto"/>
        <w:right w:val="none" w:sz="0" w:space="0" w:color="auto"/>
      </w:divBdr>
    </w:div>
    <w:div w:id="509955231">
      <w:bodyDiv w:val="1"/>
      <w:marLeft w:val="0"/>
      <w:marRight w:val="0"/>
      <w:marTop w:val="0"/>
      <w:marBottom w:val="0"/>
      <w:divBdr>
        <w:top w:val="none" w:sz="0" w:space="0" w:color="auto"/>
        <w:left w:val="none" w:sz="0" w:space="0" w:color="auto"/>
        <w:bottom w:val="none" w:sz="0" w:space="0" w:color="auto"/>
        <w:right w:val="none" w:sz="0" w:space="0" w:color="auto"/>
      </w:divBdr>
    </w:div>
    <w:div w:id="510023952">
      <w:bodyDiv w:val="1"/>
      <w:marLeft w:val="0"/>
      <w:marRight w:val="0"/>
      <w:marTop w:val="0"/>
      <w:marBottom w:val="0"/>
      <w:divBdr>
        <w:top w:val="none" w:sz="0" w:space="0" w:color="auto"/>
        <w:left w:val="none" w:sz="0" w:space="0" w:color="auto"/>
        <w:bottom w:val="none" w:sz="0" w:space="0" w:color="auto"/>
        <w:right w:val="none" w:sz="0" w:space="0" w:color="auto"/>
      </w:divBdr>
    </w:div>
    <w:div w:id="510024856">
      <w:bodyDiv w:val="1"/>
      <w:marLeft w:val="0"/>
      <w:marRight w:val="0"/>
      <w:marTop w:val="0"/>
      <w:marBottom w:val="0"/>
      <w:divBdr>
        <w:top w:val="none" w:sz="0" w:space="0" w:color="auto"/>
        <w:left w:val="none" w:sz="0" w:space="0" w:color="auto"/>
        <w:bottom w:val="none" w:sz="0" w:space="0" w:color="auto"/>
        <w:right w:val="none" w:sz="0" w:space="0" w:color="auto"/>
      </w:divBdr>
    </w:div>
    <w:div w:id="510029678">
      <w:bodyDiv w:val="1"/>
      <w:marLeft w:val="0"/>
      <w:marRight w:val="0"/>
      <w:marTop w:val="0"/>
      <w:marBottom w:val="0"/>
      <w:divBdr>
        <w:top w:val="none" w:sz="0" w:space="0" w:color="auto"/>
        <w:left w:val="none" w:sz="0" w:space="0" w:color="auto"/>
        <w:bottom w:val="none" w:sz="0" w:space="0" w:color="auto"/>
        <w:right w:val="none" w:sz="0" w:space="0" w:color="auto"/>
      </w:divBdr>
    </w:div>
    <w:div w:id="510411848">
      <w:bodyDiv w:val="1"/>
      <w:marLeft w:val="0"/>
      <w:marRight w:val="0"/>
      <w:marTop w:val="0"/>
      <w:marBottom w:val="0"/>
      <w:divBdr>
        <w:top w:val="none" w:sz="0" w:space="0" w:color="auto"/>
        <w:left w:val="none" w:sz="0" w:space="0" w:color="auto"/>
        <w:bottom w:val="none" w:sz="0" w:space="0" w:color="auto"/>
        <w:right w:val="none" w:sz="0" w:space="0" w:color="auto"/>
      </w:divBdr>
    </w:div>
    <w:div w:id="510489406">
      <w:bodyDiv w:val="1"/>
      <w:marLeft w:val="0"/>
      <w:marRight w:val="0"/>
      <w:marTop w:val="0"/>
      <w:marBottom w:val="0"/>
      <w:divBdr>
        <w:top w:val="none" w:sz="0" w:space="0" w:color="auto"/>
        <w:left w:val="none" w:sz="0" w:space="0" w:color="auto"/>
        <w:bottom w:val="none" w:sz="0" w:space="0" w:color="auto"/>
        <w:right w:val="none" w:sz="0" w:space="0" w:color="auto"/>
      </w:divBdr>
    </w:div>
    <w:div w:id="510491186">
      <w:bodyDiv w:val="1"/>
      <w:marLeft w:val="0"/>
      <w:marRight w:val="0"/>
      <w:marTop w:val="0"/>
      <w:marBottom w:val="0"/>
      <w:divBdr>
        <w:top w:val="none" w:sz="0" w:space="0" w:color="auto"/>
        <w:left w:val="none" w:sz="0" w:space="0" w:color="auto"/>
        <w:bottom w:val="none" w:sz="0" w:space="0" w:color="auto"/>
        <w:right w:val="none" w:sz="0" w:space="0" w:color="auto"/>
      </w:divBdr>
    </w:div>
    <w:div w:id="510527271">
      <w:bodyDiv w:val="1"/>
      <w:marLeft w:val="0"/>
      <w:marRight w:val="0"/>
      <w:marTop w:val="0"/>
      <w:marBottom w:val="0"/>
      <w:divBdr>
        <w:top w:val="none" w:sz="0" w:space="0" w:color="auto"/>
        <w:left w:val="none" w:sz="0" w:space="0" w:color="auto"/>
        <w:bottom w:val="none" w:sz="0" w:space="0" w:color="auto"/>
        <w:right w:val="none" w:sz="0" w:space="0" w:color="auto"/>
      </w:divBdr>
    </w:div>
    <w:div w:id="510535462">
      <w:bodyDiv w:val="1"/>
      <w:marLeft w:val="0"/>
      <w:marRight w:val="0"/>
      <w:marTop w:val="0"/>
      <w:marBottom w:val="0"/>
      <w:divBdr>
        <w:top w:val="none" w:sz="0" w:space="0" w:color="auto"/>
        <w:left w:val="none" w:sz="0" w:space="0" w:color="auto"/>
        <w:bottom w:val="none" w:sz="0" w:space="0" w:color="auto"/>
        <w:right w:val="none" w:sz="0" w:space="0" w:color="auto"/>
      </w:divBdr>
    </w:div>
    <w:div w:id="510686839">
      <w:bodyDiv w:val="1"/>
      <w:marLeft w:val="0"/>
      <w:marRight w:val="0"/>
      <w:marTop w:val="0"/>
      <w:marBottom w:val="0"/>
      <w:divBdr>
        <w:top w:val="none" w:sz="0" w:space="0" w:color="auto"/>
        <w:left w:val="none" w:sz="0" w:space="0" w:color="auto"/>
        <w:bottom w:val="none" w:sz="0" w:space="0" w:color="auto"/>
        <w:right w:val="none" w:sz="0" w:space="0" w:color="auto"/>
      </w:divBdr>
    </w:div>
    <w:div w:id="510798414">
      <w:bodyDiv w:val="1"/>
      <w:marLeft w:val="0"/>
      <w:marRight w:val="0"/>
      <w:marTop w:val="0"/>
      <w:marBottom w:val="0"/>
      <w:divBdr>
        <w:top w:val="none" w:sz="0" w:space="0" w:color="auto"/>
        <w:left w:val="none" w:sz="0" w:space="0" w:color="auto"/>
        <w:bottom w:val="none" w:sz="0" w:space="0" w:color="auto"/>
        <w:right w:val="none" w:sz="0" w:space="0" w:color="auto"/>
      </w:divBdr>
    </w:div>
    <w:div w:id="510993761">
      <w:bodyDiv w:val="1"/>
      <w:marLeft w:val="0"/>
      <w:marRight w:val="0"/>
      <w:marTop w:val="0"/>
      <w:marBottom w:val="0"/>
      <w:divBdr>
        <w:top w:val="none" w:sz="0" w:space="0" w:color="auto"/>
        <w:left w:val="none" w:sz="0" w:space="0" w:color="auto"/>
        <w:bottom w:val="none" w:sz="0" w:space="0" w:color="auto"/>
        <w:right w:val="none" w:sz="0" w:space="0" w:color="auto"/>
      </w:divBdr>
    </w:div>
    <w:div w:id="511379217">
      <w:bodyDiv w:val="1"/>
      <w:marLeft w:val="0"/>
      <w:marRight w:val="0"/>
      <w:marTop w:val="0"/>
      <w:marBottom w:val="0"/>
      <w:divBdr>
        <w:top w:val="none" w:sz="0" w:space="0" w:color="auto"/>
        <w:left w:val="none" w:sz="0" w:space="0" w:color="auto"/>
        <w:bottom w:val="none" w:sz="0" w:space="0" w:color="auto"/>
        <w:right w:val="none" w:sz="0" w:space="0" w:color="auto"/>
      </w:divBdr>
    </w:div>
    <w:div w:id="511577350">
      <w:bodyDiv w:val="1"/>
      <w:marLeft w:val="0"/>
      <w:marRight w:val="0"/>
      <w:marTop w:val="0"/>
      <w:marBottom w:val="0"/>
      <w:divBdr>
        <w:top w:val="none" w:sz="0" w:space="0" w:color="auto"/>
        <w:left w:val="none" w:sz="0" w:space="0" w:color="auto"/>
        <w:bottom w:val="none" w:sz="0" w:space="0" w:color="auto"/>
        <w:right w:val="none" w:sz="0" w:space="0" w:color="auto"/>
      </w:divBdr>
    </w:div>
    <w:div w:id="511726550">
      <w:bodyDiv w:val="1"/>
      <w:marLeft w:val="0"/>
      <w:marRight w:val="0"/>
      <w:marTop w:val="0"/>
      <w:marBottom w:val="0"/>
      <w:divBdr>
        <w:top w:val="none" w:sz="0" w:space="0" w:color="auto"/>
        <w:left w:val="none" w:sz="0" w:space="0" w:color="auto"/>
        <w:bottom w:val="none" w:sz="0" w:space="0" w:color="auto"/>
        <w:right w:val="none" w:sz="0" w:space="0" w:color="auto"/>
      </w:divBdr>
    </w:div>
    <w:div w:id="511771709">
      <w:bodyDiv w:val="1"/>
      <w:marLeft w:val="0"/>
      <w:marRight w:val="0"/>
      <w:marTop w:val="0"/>
      <w:marBottom w:val="0"/>
      <w:divBdr>
        <w:top w:val="none" w:sz="0" w:space="0" w:color="auto"/>
        <w:left w:val="none" w:sz="0" w:space="0" w:color="auto"/>
        <w:bottom w:val="none" w:sz="0" w:space="0" w:color="auto"/>
        <w:right w:val="none" w:sz="0" w:space="0" w:color="auto"/>
      </w:divBdr>
    </w:div>
    <w:div w:id="511803228">
      <w:bodyDiv w:val="1"/>
      <w:marLeft w:val="0"/>
      <w:marRight w:val="0"/>
      <w:marTop w:val="0"/>
      <w:marBottom w:val="0"/>
      <w:divBdr>
        <w:top w:val="none" w:sz="0" w:space="0" w:color="auto"/>
        <w:left w:val="none" w:sz="0" w:space="0" w:color="auto"/>
        <w:bottom w:val="none" w:sz="0" w:space="0" w:color="auto"/>
        <w:right w:val="none" w:sz="0" w:space="0" w:color="auto"/>
      </w:divBdr>
    </w:div>
    <w:div w:id="511992515">
      <w:bodyDiv w:val="1"/>
      <w:marLeft w:val="0"/>
      <w:marRight w:val="0"/>
      <w:marTop w:val="0"/>
      <w:marBottom w:val="0"/>
      <w:divBdr>
        <w:top w:val="none" w:sz="0" w:space="0" w:color="auto"/>
        <w:left w:val="none" w:sz="0" w:space="0" w:color="auto"/>
        <w:bottom w:val="none" w:sz="0" w:space="0" w:color="auto"/>
        <w:right w:val="none" w:sz="0" w:space="0" w:color="auto"/>
      </w:divBdr>
    </w:div>
    <w:div w:id="511993033">
      <w:bodyDiv w:val="1"/>
      <w:marLeft w:val="0"/>
      <w:marRight w:val="0"/>
      <w:marTop w:val="0"/>
      <w:marBottom w:val="0"/>
      <w:divBdr>
        <w:top w:val="none" w:sz="0" w:space="0" w:color="auto"/>
        <w:left w:val="none" w:sz="0" w:space="0" w:color="auto"/>
        <w:bottom w:val="none" w:sz="0" w:space="0" w:color="auto"/>
        <w:right w:val="none" w:sz="0" w:space="0" w:color="auto"/>
      </w:divBdr>
    </w:div>
    <w:div w:id="512038713">
      <w:bodyDiv w:val="1"/>
      <w:marLeft w:val="0"/>
      <w:marRight w:val="0"/>
      <w:marTop w:val="0"/>
      <w:marBottom w:val="0"/>
      <w:divBdr>
        <w:top w:val="none" w:sz="0" w:space="0" w:color="auto"/>
        <w:left w:val="none" w:sz="0" w:space="0" w:color="auto"/>
        <w:bottom w:val="none" w:sz="0" w:space="0" w:color="auto"/>
        <w:right w:val="none" w:sz="0" w:space="0" w:color="auto"/>
      </w:divBdr>
    </w:div>
    <w:div w:id="512259582">
      <w:bodyDiv w:val="1"/>
      <w:marLeft w:val="0"/>
      <w:marRight w:val="0"/>
      <w:marTop w:val="0"/>
      <w:marBottom w:val="0"/>
      <w:divBdr>
        <w:top w:val="none" w:sz="0" w:space="0" w:color="auto"/>
        <w:left w:val="none" w:sz="0" w:space="0" w:color="auto"/>
        <w:bottom w:val="none" w:sz="0" w:space="0" w:color="auto"/>
        <w:right w:val="none" w:sz="0" w:space="0" w:color="auto"/>
      </w:divBdr>
    </w:div>
    <w:div w:id="512649862">
      <w:bodyDiv w:val="1"/>
      <w:marLeft w:val="0"/>
      <w:marRight w:val="0"/>
      <w:marTop w:val="0"/>
      <w:marBottom w:val="0"/>
      <w:divBdr>
        <w:top w:val="none" w:sz="0" w:space="0" w:color="auto"/>
        <w:left w:val="none" w:sz="0" w:space="0" w:color="auto"/>
        <w:bottom w:val="none" w:sz="0" w:space="0" w:color="auto"/>
        <w:right w:val="none" w:sz="0" w:space="0" w:color="auto"/>
      </w:divBdr>
    </w:div>
    <w:div w:id="512956982">
      <w:bodyDiv w:val="1"/>
      <w:marLeft w:val="0"/>
      <w:marRight w:val="0"/>
      <w:marTop w:val="0"/>
      <w:marBottom w:val="0"/>
      <w:divBdr>
        <w:top w:val="none" w:sz="0" w:space="0" w:color="auto"/>
        <w:left w:val="none" w:sz="0" w:space="0" w:color="auto"/>
        <w:bottom w:val="none" w:sz="0" w:space="0" w:color="auto"/>
        <w:right w:val="none" w:sz="0" w:space="0" w:color="auto"/>
      </w:divBdr>
    </w:div>
    <w:div w:id="513149266">
      <w:bodyDiv w:val="1"/>
      <w:marLeft w:val="0"/>
      <w:marRight w:val="0"/>
      <w:marTop w:val="0"/>
      <w:marBottom w:val="0"/>
      <w:divBdr>
        <w:top w:val="none" w:sz="0" w:space="0" w:color="auto"/>
        <w:left w:val="none" w:sz="0" w:space="0" w:color="auto"/>
        <w:bottom w:val="none" w:sz="0" w:space="0" w:color="auto"/>
        <w:right w:val="none" w:sz="0" w:space="0" w:color="auto"/>
      </w:divBdr>
    </w:div>
    <w:div w:id="513149607">
      <w:bodyDiv w:val="1"/>
      <w:marLeft w:val="0"/>
      <w:marRight w:val="0"/>
      <w:marTop w:val="0"/>
      <w:marBottom w:val="0"/>
      <w:divBdr>
        <w:top w:val="none" w:sz="0" w:space="0" w:color="auto"/>
        <w:left w:val="none" w:sz="0" w:space="0" w:color="auto"/>
        <w:bottom w:val="none" w:sz="0" w:space="0" w:color="auto"/>
        <w:right w:val="none" w:sz="0" w:space="0" w:color="auto"/>
      </w:divBdr>
    </w:div>
    <w:div w:id="513229342">
      <w:bodyDiv w:val="1"/>
      <w:marLeft w:val="0"/>
      <w:marRight w:val="0"/>
      <w:marTop w:val="0"/>
      <w:marBottom w:val="0"/>
      <w:divBdr>
        <w:top w:val="none" w:sz="0" w:space="0" w:color="auto"/>
        <w:left w:val="none" w:sz="0" w:space="0" w:color="auto"/>
        <w:bottom w:val="none" w:sz="0" w:space="0" w:color="auto"/>
        <w:right w:val="none" w:sz="0" w:space="0" w:color="auto"/>
      </w:divBdr>
    </w:div>
    <w:div w:id="513571658">
      <w:bodyDiv w:val="1"/>
      <w:marLeft w:val="0"/>
      <w:marRight w:val="0"/>
      <w:marTop w:val="0"/>
      <w:marBottom w:val="0"/>
      <w:divBdr>
        <w:top w:val="none" w:sz="0" w:space="0" w:color="auto"/>
        <w:left w:val="none" w:sz="0" w:space="0" w:color="auto"/>
        <w:bottom w:val="none" w:sz="0" w:space="0" w:color="auto"/>
        <w:right w:val="none" w:sz="0" w:space="0" w:color="auto"/>
      </w:divBdr>
    </w:div>
    <w:div w:id="513693442">
      <w:bodyDiv w:val="1"/>
      <w:marLeft w:val="0"/>
      <w:marRight w:val="0"/>
      <w:marTop w:val="0"/>
      <w:marBottom w:val="0"/>
      <w:divBdr>
        <w:top w:val="none" w:sz="0" w:space="0" w:color="auto"/>
        <w:left w:val="none" w:sz="0" w:space="0" w:color="auto"/>
        <w:bottom w:val="none" w:sz="0" w:space="0" w:color="auto"/>
        <w:right w:val="none" w:sz="0" w:space="0" w:color="auto"/>
      </w:divBdr>
    </w:div>
    <w:div w:id="514073912">
      <w:bodyDiv w:val="1"/>
      <w:marLeft w:val="0"/>
      <w:marRight w:val="0"/>
      <w:marTop w:val="0"/>
      <w:marBottom w:val="0"/>
      <w:divBdr>
        <w:top w:val="none" w:sz="0" w:space="0" w:color="auto"/>
        <w:left w:val="none" w:sz="0" w:space="0" w:color="auto"/>
        <w:bottom w:val="none" w:sz="0" w:space="0" w:color="auto"/>
        <w:right w:val="none" w:sz="0" w:space="0" w:color="auto"/>
      </w:divBdr>
    </w:div>
    <w:div w:id="514266690">
      <w:bodyDiv w:val="1"/>
      <w:marLeft w:val="0"/>
      <w:marRight w:val="0"/>
      <w:marTop w:val="0"/>
      <w:marBottom w:val="0"/>
      <w:divBdr>
        <w:top w:val="none" w:sz="0" w:space="0" w:color="auto"/>
        <w:left w:val="none" w:sz="0" w:space="0" w:color="auto"/>
        <w:bottom w:val="none" w:sz="0" w:space="0" w:color="auto"/>
        <w:right w:val="none" w:sz="0" w:space="0" w:color="auto"/>
      </w:divBdr>
    </w:div>
    <w:div w:id="514273960">
      <w:bodyDiv w:val="1"/>
      <w:marLeft w:val="0"/>
      <w:marRight w:val="0"/>
      <w:marTop w:val="0"/>
      <w:marBottom w:val="0"/>
      <w:divBdr>
        <w:top w:val="none" w:sz="0" w:space="0" w:color="auto"/>
        <w:left w:val="none" w:sz="0" w:space="0" w:color="auto"/>
        <w:bottom w:val="none" w:sz="0" w:space="0" w:color="auto"/>
        <w:right w:val="none" w:sz="0" w:space="0" w:color="auto"/>
      </w:divBdr>
    </w:div>
    <w:div w:id="514340887">
      <w:bodyDiv w:val="1"/>
      <w:marLeft w:val="0"/>
      <w:marRight w:val="0"/>
      <w:marTop w:val="0"/>
      <w:marBottom w:val="0"/>
      <w:divBdr>
        <w:top w:val="none" w:sz="0" w:space="0" w:color="auto"/>
        <w:left w:val="none" w:sz="0" w:space="0" w:color="auto"/>
        <w:bottom w:val="none" w:sz="0" w:space="0" w:color="auto"/>
        <w:right w:val="none" w:sz="0" w:space="0" w:color="auto"/>
      </w:divBdr>
    </w:div>
    <w:div w:id="514420251">
      <w:bodyDiv w:val="1"/>
      <w:marLeft w:val="0"/>
      <w:marRight w:val="0"/>
      <w:marTop w:val="0"/>
      <w:marBottom w:val="0"/>
      <w:divBdr>
        <w:top w:val="none" w:sz="0" w:space="0" w:color="auto"/>
        <w:left w:val="none" w:sz="0" w:space="0" w:color="auto"/>
        <w:bottom w:val="none" w:sz="0" w:space="0" w:color="auto"/>
        <w:right w:val="none" w:sz="0" w:space="0" w:color="auto"/>
      </w:divBdr>
    </w:div>
    <w:div w:id="514728649">
      <w:bodyDiv w:val="1"/>
      <w:marLeft w:val="0"/>
      <w:marRight w:val="0"/>
      <w:marTop w:val="0"/>
      <w:marBottom w:val="0"/>
      <w:divBdr>
        <w:top w:val="none" w:sz="0" w:space="0" w:color="auto"/>
        <w:left w:val="none" w:sz="0" w:space="0" w:color="auto"/>
        <w:bottom w:val="none" w:sz="0" w:space="0" w:color="auto"/>
        <w:right w:val="none" w:sz="0" w:space="0" w:color="auto"/>
      </w:divBdr>
    </w:div>
    <w:div w:id="514735312">
      <w:bodyDiv w:val="1"/>
      <w:marLeft w:val="0"/>
      <w:marRight w:val="0"/>
      <w:marTop w:val="0"/>
      <w:marBottom w:val="0"/>
      <w:divBdr>
        <w:top w:val="none" w:sz="0" w:space="0" w:color="auto"/>
        <w:left w:val="none" w:sz="0" w:space="0" w:color="auto"/>
        <w:bottom w:val="none" w:sz="0" w:space="0" w:color="auto"/>
        <w:right w:val="none" w:sz="0" w:space="0" w:color="auto"/>
      </w:divBdr>
    </w:div>
    <w:div w:id="514924671">
      <w:bodyDiv w:val="1"/>
      <w:marLeft w:val="0"/>
      <w:marRight w:val="0"/>
      <w:marTop w:val="0"/>
      <w:marBottom w:val="0"/>
      <w:divBdr>
        <w:top w:val="none" w:sz="0" w:space="0" w:color="auto"/>
        <w:left w:val="none" w:sz="0" w:space="0" w:color="auto"/>
        <w:bottom w:val="none" w:sz="0" w:space="0" w:color="auto"/>
        <w:right w:val="none" w:sz="0" w:space="0" w:color="auto"/>
      </w:divBdr>
    </w:div>
    <w:div w:id="515117170">
      <w:bodyDiv w:val="1"/>
      <w:marLeft w:val="0"/>
      <w:marRight w:val="0"/>
      <w:marTop w:val="0"/>
      <w:marBottom w:val="0"/>
      <w:divBdr>
        <w:top w:val="none" w:sz="0" w:space="0" w:color="auto"/>
        <w:left w:val="none" w:sz="0" w:space="0" w:color="auto"/>
        <w:bottom w:val="none" w:sz="0" w:space="0" w:color="auto"/>
        <w:right w:val="none" w:sz="0" w:space="0" w:color="auto"/>
      </w:divBdr>
    </w:div>
    <w:div w:id="515191544">
      <w:bodyDiv w:val="1"/>
      <w:marLeft w:val="0"/>
      <w:marRight w:val="0"/>
      <w:marTop w:val="0"/>
      <w:marBottom w:val="0"/>
      <w:divBdr>
        <w:top w:val="none" w:sz="0" w:space="0" w:color="auto"/>
        <w:left w:val="none" w:sz="0" w:space="0" w:color="auto"/>
        <w:bottom w:val="none" w:sz="0" w:space="0" w:color="auto"/>
        <w:right w:val="none" w:sz="0" w:space="0" w:color="auto"/>
      </w:divBdr>
    </w:div>
    <w:div w:id="515734815">
      <w:bodyDiv w:val="1"/>
      <w:marLeft w:val="0"/>
      <w:marRight w:val="0"/>
      <w:marTop w:val="0"/>
      <w:marBottom w:val="0"/>
      <w:divBdr>
        <w:top w:val="none" w:sz="0" w:space="0" w:color="auto"/>
        <w:left w:val="none" w:sz="0" w:space="0" w:color="auto"/>
        <w:bottom w:val="none" w:sz="0" w:space="0" w:color="auto"/>
        <w:right w:val="none" w:sz="0" w:space="0" w:color="auto"/>
      </w:divBdr>
    </w:div>
    <w:div w:id="515965157">
      <w:bodyDiv w:val="1"/>
      <w:marLeft w:val="0"/>
      <w:marRight w:val="0"/>
      <w:marTop w:val="0"/>
      <w:marBottom w:val="0"/>
      <w:divBdr>
        <w:top w:val="none" w:sz="0" w:space="0" w:color="auto"/>
        <w:left w:val="none" w:sz="0" w:space="0" w:color="auto"/>
        <w:bottom w:val="none" w:sz="0" w:space="0" w:color="auto"/>
        <w:right w:val="none" w:sz="0" w:space="0" w:color="auto"/>
      </w:divBdr>
    </w:div>
    <w:div w:id="515966789">
      <w:bodyDiv w:val="1"/>
      <w:marLeft w:val="0"/>
      <w:marRight w:val="0"/>
      <w:marTop w:val="0"/>
      <w:marBottom w:val="0"/>
      <w:divBdr>
        <w:top w:val="none" w:sz="0" w:space="0" w:color="auto"/>
        <w:left w:val="none" w:sz="0" w:space="0" w:color="auto"/>
        <w:bottom w:val="none" w:sz="0" w:space="0" w:color="auto"/>
        <w:right w:val="none" w:sz="0" w:space="0" w:color="auto"/>
      </w:divBdr>
    </w:div>
    <w:div w:id="515971985">
      <w:bodyDiv w:val="1"/>
      <w:marLeft w:val="0"/>
      <w:marRight w:val="0"/>
      <w:marTop w:val="0"/>
      <w:marBottom w:val="0"/>
      <w:divBdr>
        <w:top w:val="none" w:sz="0" w:space="0" w:color="auto"/>
        <w:left w:val="none" w:sz="0" w:space="0" w:color="auto"/>
        <w:bottom w:val="none" w:sz="0" w:space="0" w:color="auto"/>
        <w:right w:val="none" w:sz="0" w:space="0" w:color="auto"/>
      </w:divBdr>
    </w:div>
    <w:div w:id="516237113">
      <w:bodyDiv w:val="1"/>
      <w:marLeft w:val="0"/>
      <w:marRight w:val="0"/>
      <w:marTop w:val="0"/>
      <w:marBottom w:val="0"/>
      <w:divBdr>
        <w:top w:val="none" w:sz="0" w:space="0" w:color="auto"/>
        <w:left w:val="none" w:sz="0" w:space="0" w:color="auto"/>
        <w:bottom w:val="none" w:sz="0" w:space="0" w:color="auto"/>
        <w:right w:val="none" w:sz="0" w:space="0" w:color="auto"/>
      </w:divBdr>
    </w:div>
    <w:div w:id="516426741">
      <w:bodyDiv w:val="1"/>
      <w:marLeft w:val="0"/>
      <w:marRight w:val="0"/>
      <w:marTop w:val="0"/>
      <w:marBottom w:val="0"/>
      <w:divBdr>
        <w:top w:val="none" w:sz="0" w:space="0" w:color="auto"/>
        <w:left w:val="none" w:sz="0" w:space="0" w:color="auto"/>
        <w:bottom w:val="none" w:sz="0" w:space="0" w:color="auto"/>
        <w:right w:val="none" w:sz="0" w:space="0" w:color="auto"/>
      </w:divBdr>
    </w:div>
    <w:div w:id="516583760">
      <w:bodyDiv w:val="1"/>
      <w:marLeft w:val="0"/>
      <w:marRight w:val="0"/>
      <w:marTop w:val="0"/>
      <w:marBottom w:val="0"/>
      <w:divBdr>
        <w:top w:val="none" w:sz="0" w:space="0" w:color="auto"/>
        <w:left w:val="none" w:sz="0" w:space="0" w:color="auto"/>
        <w:bottom w:val="none" w:sz="0" w:space="0" w:color="auto"/>
        <w:right w:val="none" w:sz="0" w:space="0" w:color="auto"/>
      </w:divBdr>
    </w:div>
    <w:div w:id="516776719">
      <w:bodyDiv w:val="1"/>
      <w:marLeft w:val="0"/>
      <w:marRight w:val="0"/>
      <w:marTop w:val="0"/>
      <w:marBottom w:val="0"/>
      <w:divBdr>
        <w:top w:val="none" w:sz="0" w:space="0" w:color="auto"/>
        <w:left w:val="none" w:sz="0" w:space="0" w:color="auto"/>
        <w:bottom w:val="none" w:sz="0" w:space="0" w:color="auto"/>
        <w:right w:val="none" w:sz="0" w:space="0" w:color="auto"/>
      </w:divBdr>
    </w:div>
    <w:div w:id="516817625">
      <w:bodyDiv w:val="1"/>
      <w:marLeft w:val="0"/>
      <w:marRight w:val="0"/>
      <w:marTop w:val="0"/>
      <w:marBottom w:val="0"/>
      <w:divBdr>
        <w:top w:val="none" w:sz="0" w:space="0" w:color="auto"/>
        <w:left w:val="none" w:sz="0" w:space="0" w:color="auto"/>
        <w:bottom w:val="none" w:sz="0" w:space="0" w:color="auto"/>
        <w:right w:val="none" w:sz="0" w:space="0" w:color="auto"/>
      </w:divBdr>
    </w:div>
    <w:div w:id="516969622">
      <w:bodyDiv w:val="1"/>
      <w:marLeft w:val="0"/>
      <w:marRight w:val="0"/>
      <w:marTop w:val="0"/>
      <w:marBottom w:val="0"/>
      <w:divBdr>
        <w:top w:val="none" w:sz="0" w:space="0" w:color="auto"/>
        <w:left w:val="none" w:sz="0" w:space="0" w:color="auto"/>
        <w:bottom w:val="none" w:sz="0" w:space="0" w:color="auto"/>
        <w:right w:val="none" w:sz="0" w:space="0" w:color="auto"/>
      </w:divBdr>
    </w:div>
    <w:div w:id="517045899">
      <w:bodyDiv w:val="1"/>
      <w:marLeft w:val="0"/>
      <w:marRight w:val="0"/>
      <w:marTop w:val="0"/>
      <w:marBottom w:val="0"/>
      <w:divBdr>
        <w:top w:val="none" w:sz="0" w:space="0" w:color="auto"/>
        <w:left w:val="none" w:sz="0" w:space="0" w:color="auto"/>
        <w:bottom w:val="none" w:sz="0" w:space="0" w:color="auto"/>
        <w:right w:val="none" w:sz="0" w:space="0" w:color="auto"/>
      </w:divBdr>
    </w:div>
    <w:div w:id="517157641">
      <w:bodyDiv w:val="1"/>
      <w:marLeft w:val="0"/>
      <w:marRight w:val="0"/>
      <w:marTop w:val="0"/>
      <w:marBottom w:val="0"/>
      <w:divBdr>
        <w:top w:val="none" w:sz="0" w:space="0" w:color="auto"/>
        <w:left w:val="none" w:sz="0" w:space="0" w:color="auto"/>
        <w:bottom w:val="none" w:sz="0" w:space="0" w:color="auto"/>
        <w:right w:val="none" w:sz="0" w:space="0" w:color="auto"/>
      </w:divBdr>
    </w:div>
    <w:div w:id="517816812">
      <w:bodyDiv w:val="1"/>
      <w:marLeft w:val="0"/>
      <w:marRight w:val="0"/>
      <w:marTop w:val="0"/>
      <w:marBottom w:val="0"/>
      <w:divBdr>
        <w:top w:val="none" w:sz="0" w:space="0" w:color="auto"/>
        <w:left w:val="none" w:sz="0" w:space="0" w:color="auto"/>
        <w:bottom w:val="none" w:sz="0" w:space="0" w:color="auto"/>
        <w:right w:val="none" w:sz="0" w:space="0" w:color="auto"/>
      </w:divBdr>
    </w:div>
    <w:div w:id="517888666">
      <w:bodyDiv w:val="1"/>
      <w:marLeft w:val="0"/>
      <w:marRight w:val="0"/>
      <w:marTop w:val="0"/>
      <w:marBottom w:val="0"/>
      <w:divBdr>
        <w:top w:val="none" w:sz="0" w:space="0" w:color="auto"/>
        <w:left w:val="none" w:sz="0" w:space="0" w:color="auto"/>
        <w:bottom w:val="none" w:sz="0" w:space="0" w:color="auto"/>
        <w:right w:val="none" w:sz="0" w:space="0" w:color="auto"/>
      </w:divBdr>
    </w:div>
    <w:div w:id="517934566">
      <w:bodyDiv w:val="1"/>
      <w:marLeft w:val="0"/>
      <w:marRight w:val="0"/>
      <w:marTop w:val="0"/>
      <w:marBottom w:val="0"/>
      <w:divBdr>
        <w:top w:val="none" w:sz="0" w:space="0" w:color="auto"/>
        <w:left w:val="none" w:sz="0" w:space="0" w:color="auto"/>
        <w:bottom w:val="none" w:sz="0" w:space="0" w:color="auto"/>
        <w:right w:val="none" w:sz="0" w:space="0" w:color="auto"/>
      </w:divBdr>
    </w:div>
    <w:div w:id="518079343">
      <w:bodyDiv w:val="1"/>
      <w:marLeft w:val="0"/>
      <w:marRight w:val="0"/>
      <w:marTop w:val="0"/>
      <w:marBottom w:val="0"/>
      <w:divBdr>
        <w:top w:val="none" w:sz="0" w:space="0" w:color="auto"/>
        <w:left w:val="none" w:sz="0" w:space="0" w:color="auto"/>
        <w:bottom w:val="none" w:sz="0" w:space="0" w:color="auto"/>
        <w:right w:val="none" w:sz="0" w:space="0" w:color="auto"/>
      </w:divBdr>
    </w:div>
    <w:div w:id="518129971">
      <w:bodyDiv w:val="1"/>
      <w:marLeft w:val="0"/>
      <w:marRight w:val="0"/>
      <w:marTop w:val="0"/>
      <w:marBottom w:val="0"/>
      <w:divBdr>
        <w:top w:val="none" w:sz="0" w:space="0" w:color="auto"/>
        <w:left w:val="none" w:sz="0" w:space="0" w:color="auto"/>
        <w:bottom w:val="none" w:sz="0" w:space="0" w:color="auto"/>
        <w:right w:val="none" w:sz="0" w:space="0" w:color="auto"/>
      </w:divBdr>
    </w:div>
    <w:div w:id="518131353">
      <w:bodyDiv w:val="1"/>
      <w:marLeft w:val="0"/>
      <w:marRight w:val="0"/>
      <w:marTop w:val="0"/>
      <w:marBottom w:val="0"/>
      <w:divBdr>
        <w:top w:val="none" w:sz="0" w:space="0" w:color="auto"/>
        <w:left w:val="none" w:sz="0" w:space="0" w:color="auto"/>
        <w:bottom w:val="none" w:sz="0" w:space="0" w:color="auto"/>
        <w:right w:val="none" w:sz="0" w:space="0" w:color="auto"/>
      </w:divBdr>
    </w:div>
    <w:div w:id="518277967">
      <w:bodyDiv w:val="1"/>
      <w:marLeft w:val="0"/>
      <w:marRight w:val="0"/>
      <w:marTop w:val="0"/>
      <w:marBottom w:val="0"/>
      <w:divBdr>
        <w:top w:val="none" w:sz="0" w:space="0" w:color="auto"/>
        <w:left w:val="none" w:sz="0" w:space="0" w:color="auto"/>
        <w:bottom w:val="none" w:sz="0" w:space="0" w:color="auto"/>
        <w:right w:val="none" w:sz="0" w:space="0" w:color="auto"/>
      </w:divBdr>
    </w:div>
    <w:div w:id="518392672">
      <w:bodyDiv w:val="1"/>
      <w:marLeft w:val="0"/>
      <w:marRight w:val="0"/>
      <w:marTop w:val="0"/>
      <w:marBottom w:val="0"/>
      <w:divBdr>
        <w:top w:val="none" w:sz="0" w:space="0" w:color="auto"/>
        <w:left w:val="none" w:sz="0" w:space="0" w:color="auto"/>
        <w:bottom w:val="none" w:sz="0" w:space="0" w:color="auto"/>
        <w:right w:val="none" w:sz="0" w:space="0" w:color="auto"/>
      </w:divBdr>
    </w:div>
    <w:div w:id="518468383">
      <w:bodyDiv w:val="1"/>
      <w:marLeft w:val="0"/>
      <w:marRight w:val="0"/>
      <w:marTop w:val="0"/>
      <w:marBottom w:val="0"/>
      <w:divBdr>
        <w:top w:val="none" w:sz="0" w:space="0" w:color="auto"/>
        <w:left w:val="none" w:sz="0" w:space="0" w:color="auto"/>
        <w:bottom w:val="none" w:sz="0" w:space="0" w:color="auto"/>
        <w:right w:val="none" w:sz="0" w:space="0" w:color="auto"/>
      </w:divBdr>
    </w:div>
    <w:div w:id="518472831">
      <w:bodyDiv w:val="1"/>
      <w:marLeft w:val="0"/>
      <w:marRight w:val="0"/>
      <w:marTop w:val="0"/>
      <w:marBottom w:val="0"/>
      <w:divBdr>
        <w:top w:val="none" w:sz="0" w:space="0" w:color="auto"/>
        <w:left w:val="none" w:sz="0" w:space="0" w:color="auto"/>
        <w:bottom w:val="none" w:sz="0" w:space="0" w:color="auto"/>
        <w:right w:val="none" w:sz="0" w:space="0" w:color="auto"/>
      </w:divBdr>
    </w:div>
    <w:div w:id="518588383">
      <w:bodyDiv w:val="1"/>
      <w:marLeft w:val="0"/>
      <w:marRight w:val="0"/>
      <w:marTop w:val="0"/>
      <w:marBottom w:val="0"/>
      <w:divBdr>
        <w:top w:val="none" w:sz="0" w:space="0" w:color="auto"/>
        <w:left w:val="none" w:sz="0" w:space="0" w:color="auto"/>
        <w:bottom w:val="none" w:sz="0" w:space="0" w:color="auto"/>
        <w:right w:val="none" w:sz="0" w:space="0" w:color="auto"/>
      </w:divBdr>
    </w:div>
    <w:div w:id="518927801">
      <w:bodyDiv w:val="1"/>
      <w:marLeft w:val="0"/>
      <w:marRight w:val="0"/>
      <w:marTop w:val="0"/>
      <w:marBottom w:val="0"/>
      <w:divBdr>
        <w:top w:val="none" w:sz="0" w:space="0" w:color="auto"/>
        <w:left w:val="none" w:sz="0" w:space="0" w:color="auto"/>
        <w:bottom w:val="none" w:sz="0" w:space="0" w:color="auto"/>
        <w:right w:val="none" w:sz="0" w:space="0" w:color="auto"/>
      </w:divBdr>
    </w:div>
    <w:div w:id="519052991">
      <w:bodyDiv w:val="1"/>
      <w:marLeft w:val="0"/>
      <w:marRight w:val="0"/>
      <w:marTop w:val="0"/>
      <w:marBottom w:val="0"/>
      <w:divBdr>
        <w:top w:val="none" w:sz="0" w:space="0" w:color="auto"/>
        <w:left w:val="none" w:sz="0" w:space="0" w:color="auto"/>
        <w:bottom w:val="none" w:sz="0" w:space="0" w:color="auto"/>
        <w:right w:val="none" w:sz="0" w:space="0" w:color="auto"/>
      </w:divBdr>
    </w:div>
    <w:div w:id="519440183">
      <w:bodyDiv w:val="1"/>
      <w:marLeft w:val="0"/>
      <w:marRight w:val="0"/>
      <w:marTop w:val="0"/>
      <w:marBottom w:val="0"/>
      <w:divBdr>
        <w:top w:val="none" w:sz="0" w:space="0" w:color="auto"/>
        <w:left w:val="none" w:sz="0" w:space="0" w:color="auto"/>
        <w:bottom w:val="none" w:sz="0" w:space="0" w:color="auto"/>
        <w:right w:val="none" w:sz="0" w:space="0" w:color="auto"/>
      </w:divBdr>
    </w:div>
    <w:div w:id="519513000">
      <w:bodyDiv w:val="1"/>
      <w:marLeft w:val="0"/>
      <w:marRight w:val="0"/>
      <w:marTop w:val="0"/>
      <w:marBottom w:val="0"/>
      <w:divBdr>
        <w:top w:val="none" w:sz="0" w:space="0" w:color="auto"/>
        <w:left w:val="none" w:sz="0" w:space="0" w:color="auto"/>
        <w:bottom w:val="none" w:sz="0" w:space="0" w:color="auto"/>
        <w:right w:val="none" w:sz="0" w:space="0" w:color="auto"/>
      </w:divBdr>
    </w:div>
    <w:div w:id="519704707">
      <w:bodyDiv w:val="1"/>
      <w:marLeft w:val="0"/>
      <w:marRight w:val="0"/>
      <w:marTop w:val="0"/>
      <w:marBottom w:val="0"/>
      <w:divBdr>
        <w:top w:val="none" w:sz="0" w:space="0" w:color="auto"/>
        <w:left w:val="none" w:sz="0" w:space="0" w:color="auto"/>
        <w:bottom w:val="none" w:sz="0" w:space="0" w:color="auto"/>
        <w:right w:val="none" w:sz="0" w:space="0" w:color="auto"/>
      </w:divBdr>
    </w:div>
    <w:div w:id="520050625">
      <w:bodyDiv w:val="1"/>
      <w:marLeft w:val="0"/>
      <w:marRight w:val="0"/>
      <w:marTop w:val="0"/>
      <w:marBottom w:val="0"/>
      <w:divBdr>
        <w:top w:val="none" w:sz="0" w:space="0" w:color="auto"/>
        <w:left w:val="none" w:sz="0" w:space="0" w:color="auto"/>
        <w:bottom w:val="none" w:sz="0" w:space="0" w:color="auto"/>
        <w:right w:val="none" w:sz="0" w:space="0" w:color="auto"/>
      </w:divBdr>
    </w:div>
    <w:div w:id="520316358">
      <w:bodyDiv w:val="1"/>
      <w:marLeft w:val="0"/>
      <w:marRight w:val="0"/>
      <w:marTop w:val="0"/>
      <w:marBottom w:val="0"/>
      <w:divBdr>
        <w:top w:val="none" w:sz="0" w:space="0" w:color="auto"/>
        <w:left w:val="none" w:sz="0" w:space="0" w:color="auto"/>
        <w:bottom w:val="none" w:sz="0" w:space="0" w:color="auto"/>
        <w:right w:val="none" w:sz="0" w:space="0" w:color="auto"/>
      </w:divBdr>
    </w:div>
    <w:div w:id="520630250">
      <w:bodyDiv w:val="1"/>
      <w:marLeft w:val="0"/>
      <w:marRight w:val="0"/>
      <w:marTop w:val="0"/>
      <w:marBottom w:val="0"/>
      <w:divBdr>
        <w:top w:val="none" w:sz="0" w:space="0" w:color="auto"/>
        <w:left w:val="none" w:sz="0" w:space="0" w:color="auto"/>
        <w:bottom w:val="none" w:sz="0" w:space="0" w:color="auto"/>
        <w:right w:val="none" w:sz="0" w:space="0" w:color="auto"/>
      </w:divBdr>
    </w:div>
    <w:div w:id="520779709">
      <w:bodyDiv w:val="1"/>
      <w:marLeft w:val="0"/>
      <w:marRight w:val="0"/>
      <w:marTop w:val="0"/>
      <w:marBottom w:val="0"/>
      <w:divBdr>
        <w:top w:val="none" w:sz="0" w:space="0" w:color="auto"/>
        <w:left w:val="none" w:sz="0" w:space="0" w:color="auto"/>
        <w:bottom w:val="none" w:sz="0" w:space="0" w:color="auto"/>
        <w:right w:val="none" w:sz="0" w:space="0" w:color="auto"/>
      </w:divBdr>
    </w:div>
    <w:div w:id="520898965">
      <w:bodyDiv w:val="1"/>
      <w:marLeft w:val="0"/>
      <w:marRight w:val="0"/>
      <w:marTop w:val="0"/>
      <w:marBottom w:val="0"/>
      <w:divBdr>
        <w:top w:val="none" w:sz="0" w:space="0" w:color="auto"/>
        <w:left w:val="none" w:sz="0" w:space="0" w:color="auto"/>
        <w:bottom w:val="none" w:sz="0" w:space="0" w:color="auto"/>
        <w:right w:val="none" w:sz="0" w:space="0" w:color="auto"/>
      </w:divBdr>
    </w:div>
    <w:div w:id="520975634">
      <w:bodyDiv w:val="1"/>
      <w:marLeft w:val="0"/>
      <w:marRight w:val="0"/>
      <w:marTop w:val="0"/>
      <w:marBottom w:val="0"/>
      <w:divBdr>
        <w:top w:val="none" w:sz="0" w:space="0" w:color="auto"/>
        <w:left w:val="none" w:sz="0" w:space="0" w:color="auto"/>
        <w:bottom w:val="none" w:sz="0" w:space="0" w:color="auto"/>
        <w:right w:val="none" w:sz="0" w:space="0" w:color="auto"/>
      </w:divBdr>
    </w:div>
    <w:div w:id="521016259">
      <w:bodyDiv w:val="1"/>
      <w:marLeft w:val="0"/>
      <w:marRight w:val="0"/>
      <w:marTop w:val="0"/>
      <w:marBottom w:val="0"/>
      <w:divBdr>
        <w:top w:val="none" w:sz="0" w:space="0" w:color="auto"/>
        <w:left w:val="none" w:sz="0" w:space="0" w:color="auto"/>
        <w:bottom w:val="none" w:sz="0" w:space="0" w:color="auto"/>
        <w:right w:val="none" w:sz="0" w:space="0" w:color="auto"/>
      </w:divBdr>
    </w:div>
    <w:div w:id="521091008">
      <w:bodyDiv w:val="1"/>
      <w:marLeft w:val="0"/>
      <w:marRight w:val="0"/>
      <w:marTop w:val="0"/>
      <w:marBottom w:val="0"/>
      <w:divBdr>
        <w:top w:val="none" w:sz="0" w:space="0" w:color="auto"/>
        <w:left w:val="none" w:sz="0" w:space="0" w:color="auto"/>
        <w:bottom w:val="none" w:sz="0" w:space="0" w:color="auto"/>
        <w:right w:val="none" w:sz="0" w:space="0" w:color="auto"/>
      </w:divBdr>
    </w:div>
    <w:div w:id="521162734">
      <w:bodyDiv w:val="1"/>
      <w:marLeft w:val="0"/>
      <w:marRight w:val="0"/>
      <w:marTop w:val="0"/>
      <w:marBottom w:val="0"/>
      <w:divBdr>
        <w:top w:val="none" w:sz="0" w:space="0" w:color="auto"/>
        <w:left w:val="none" w:sz="0" w:space="0" w:color="auto"/>
        <w:bottom w:val="none" w:sz="0" w:space="0" w:color="auto"/>
        <w:right w:val="none" w:sz="0" w:space="0" w:color="auto"/>
      </w:divBdr>
    </w:div>
    <w:div w:id="521482913">
      <w:bodyDiv w:val="1"/>
      <w:marLeft w:val="0"/>
      <w:marRight w:val="0"/>
      <w:marTop w:val="0"/>
      <w:marBottom w:val="0"/>
      <w:divBdr>
        <w:top w:val="none" w:sz="0" w:space="0" w:color="auto"/>
        <w:left w:val="none" w:sz="0" w:space="0" w:color="auto"/>
        <w:bottom w:val="none" w:sz="0" w:space="0" w:color="auto"/>
        <w:right w:val="none" w:sz="0" w:space="0" w:color="auto"/>
      </w:divBdr>
    </w:div>
    <w:div w:id="521625672">
      <w:bodyDiv w:val="1"/>
      <w:marLeft w:val="0"/>
      <w:marRight w:val="0"/>
      <w:marTop w:val="0"/>
      <w:marBottom w:val="0"/>
      <w:divBdr>
        <w:top w:val="none" w:sz="0" w:space="0" w:color="auto"/>
        <w:left w:val="none" w:sz="0" w:space="0" w:color="auto"/>
        <w:bottom w:val="none" w:sz="0" w:space="0" w:color="auto"/>
        <w:right w:val="none" w:sz="0" w:space="0" w:color="auto"/>
      </w:divBdr>
    </w:div>
    <w:div w:id="521627805">
      <w:bodyDiv w:val="1"/>
      <w:marLeft w:val="0"/>
      <w:marRight w:val="0"/>
      <w:marTop w:val="0"/>
      <w:marBottom w:val="0"/>
      <w:divBdr>
        <w:top w:val="none" w:sz="0" w:space="0" w:color="auto"/>
        <w:left w:val="none" w:sz="0" w:space="0" w:color="auto"/>
        <w:bottom w:val="none" w:sz="0" w:space="0" w:color="auto"/>
        <w:right w:val="none" w:sz="0" w:space="0" w:color="auto"/>
      </w:divBdr>
    </w:div>
    <w:div w:id="521630633">
      <w:bodyDiv w:val="1"/>
      <w:marLeft w:val="0"/>
      <w:marRight w:val="0"/>
      <w:marTop w:val="0"/>
      <w:marBottom w:val="0"/>
      <w:divBdr>
        <w:top w:val="none" w:sz="0" w:space="0" w:color="auto"/>
        <w:left w:val="none" w:sz="0" w:space="0" w:color="auto"/>
        <w:bottom w:val="none" w:sz="0" w:space="0" w:color="auto"/>
        <w:right w:val="none" w:sz="0" w:space="0" w:color="auto"/>
      </w:divBdr>
    </w:div>
    <w:div w:id="521630840">
      <w:bodyDiv w:val="1"/>
      <w:marLeft w:val="0"/>
      <w:marRight w:val="0"/>
      <w:marTop w:val="0"/>
      <w:marBottom w:val="0"/>
      <w:divBdr>
        <w:top w:val="none" w:sz="0" w:space="0" w:color="auto"/>
        <w:left w:val="none" w:sz="0" w:space="0" w:color="auto"/>
        <w:bottom w:val="none" w:sz="0" w:space="0" w:color="auto"/>
        <w:right w:val="none" w:sz="0" w:space="0" w:color="auto"/>
      </w:divBdr>
    </w:div>
    <w:div w:id="521865427">
      <w:bodyDiv w:val="1"/>
      <w:marLeft w:val="0"/>
      <w:marRight w:val="0"/>
      <w:marTop w:val="0"/>
      <w:marBottom w:val="0"/>
      <w:divBdr>
        <w:top w:val="none" w:sz="0" w:space="0" w:color="auto"/>
        <w:left w:val="none" w:sz="0" w:space="0" w:color="auto"/>
        <w:bottom w:val="none" w:sz="0" w:space="0" w:color="auto"/>
        <w:right w:val="none" w:sz="0" w:space="0" w:color="auto"/>
      </w:divBdr>
    </w:div>
    <w:div w:id="522129657">
      <w:bodyDiv w:val="1"/>
      <w:marLeft w:val="0"/>
      <w:marRight w:val="0"/>
      <w:marTop w:val="0"/>
      <w:marBottom w:val="0"/>
      <w:divBdr>
        <w:top w:val="none" w:sz="0" w:space="0" w:color="auto"/>
        <w:left w:val="none" w:sz="0" w:space="0" w:color="auto"/>
        <w:bottom w:val="none" w:sz="0" w:space="0" w:color="auto"/>
        <w:right w:val="none" w:sz="0" w:space="0" w:color="auto"/>
      </w:divBdr>
    </w:div>
    <w:div w:id="522137249">
      <w:bodyDiv w:val="1"/>
      <w:marLeft w:val="0"/>
      <w:marRight w:val="0"/>
      <w:marTop w:val="0"/>
      <w:marBottom w:val="0"/>
      <w:divBdr>
        <w:top w:val="none" w:sz="0" w:space="0" w:color="auto"/>
        <w:left w:val="none" w:sz="0" w:space="0" w:color="auto"/>
        <w:bottom w:val="none" w:sz="0" w:space="0" w:color="auto"/>
        <w:right w:val="none" w:sz="0" w:space="0" w:color="auto"/>
      </w:divBdr>
    </w:div>
    <w:div w:id="522324580">
      <w:bodyDiv w:val="1"/>
      <w:marLeft w:val="0"/>
      <w:marRight w:val="0"/>
      <w:marTop w:val="0"/>
      <w:marBottom w:val="0"/>
      <w:divBdr>
        <w:top w:val="none" w:sz="0" w:space="0" w:color="auto"/>
        <w:left w:val="none" w:sz="0" w:space="0" w:color="auto"/>
        <w:bottom w:val="none" w:sz="0" w:space="0" w:color="auto"/>
        <w:right w:val="none" w:sz="0" w:space="0" w:color="auto"/>
      </w:divBdr>
    </w:div>
    <w:div w:id="522405539">
      <w:bodyDiv w:val="1"/>
      <w:marLeft w:val="0"/>
      <w:marRight w:val="0"/>
      <w:marTop w:val="0"/>
      <w:marBottom w:val="0"/>
      <w:divBdr>
        <w:top w:val="none" w:sz="0" w:space="0" w:color="auto"/>
        <w:left w:val="none" w:sz="0" w:space="0" w:color="auto"/>
        <w:bottom w:val="none" w:sz="0" w:space="0" w:color="auto"/>
        <w:right w:val="none" w:sz="0" w:space="0" w:color="auto"/>
      </w:divBdr>
    </w:div>
    <w:div w:id="522524063">
      <w:bodyDiv w:val="1"/>
      <w:marLeft w:val="0"/>
      <w:marRight w:val="0"/>
      <w:marTop w:val="0"/>
      <w:marBottom w:val="0"/>
      <w:divBdr>
        <w:top w:val="none" w:sz="0" w:space="0" w:color="auto"/>
        <w:left w:val="none" w:sz="0" w:space="0" w:color="auto"/>
        <w:bottom w:val="none" w:sz="0" w:space="0" w:color="auto"/>
        <w:right w:val="none" w:sz="0" w:space="0" w:color="auto"/>
      </w:divBdr>
    </w:div>
    <w:div w:id="522747292">
      <w:bodyDiv w:val="1"/>
      <w:marLeft w:val="0"/>
      <w:marRight w:val="0"/>
      <w:marTop w:val="0"/>
      <w:marBottom w:val="0"/>
      <w:divBdr>
        <w:top w:val="none" w:sz="0" w:space="0" w:color="auto"/>
        <w:left w:val="none" w:sz="0" w:space="0" w:color="auto"/>
        <w:bottom w:val="none" w:sz="0" w:space="0" w:color="auto"/>
        <w:right w:val="none" w:sz="0" w:space="0" w:color="auto"/>
      </w:divBdr>
    </w:div>
    <w:div w:id="522792252">
      <w:bodyDiv w:val="1"/>
      <w:marLeft w:val="0"/>
      <w:marRight w:val="0"/>
      <w:marTop w:val="0"/>
      <w:marBottom w:val="0"/>
      <w:divBdr>
        <w:top w:val="none" w:sz="0" w:space="0" w:color="auto"/>
        <w:left w:val="none" w:sz="0" w:space="0" w:color="auto"/>
        <w:bottom w:val="none" w:sz="0" w:space="0" w:color="auto"/>
        <w:right w:val="none" w:sz="0" w:space="0" w:color="auto"/>
      </w:divBdr>
    </w:div>
    <w:div w:id="522943762">
      <w:bodyDiv w:val="1"/>
      <w:marLeft w:val="0"/>
      <w:marRight w:val="0"/>
      <w:marTop w:val="0"/>
      <w:marBottom w:val="0"/>
      <w:divBdr>
        <w:top w:val="none" w:sz="0" w:space="0" w:color="auto"/>
        <w:left w:val="none" w:sz="0" w:space="0" w:color="auto"/>
        <w:bottom w:val="none" w:sz="0" w:space="0" w:color="auto"/>
        <w:right w:val="none" w:sz="0" w:space="0" w:color="auto"/>
      </w:divBdr>
    </w:div>
    <w:div w:id="523252601">
      <w:bodyDiv w:val="1"/>
      <w:marLeft w:val="0"/>
      <w:marRight w:val="0"/>
      <w:marTop w:val="0"/>
      <w:marBottom w:val="0"/>
      <w:divBdr>
        <w:top w:val="none" w:sz="0" w:space="0" w:color="auto"/>
        <w:left w:val="none" w:sz="0" w:space="0" w:color="auto"/>
        <w:bottom w:val="none" w:sz="0" w:space="0" w:color="auto"/>
        <w:right w:val="none" w:sz="0" w:space="0" w:color="auto"/>
      </w:divBdr>
    </w:div>
    <w:div w:id="523330925">
      <w:bodyDiv w:val="1"/>
      <w:marLeft w:val="0"/>
      <w:marRight w:val="0"/>
      <w:marTop w:val="0"/>
      <w:marBottom w:val="0"/>
      <w:divBdr>
        <w:top w:val="none" w:sz="0" w:space="0" w:color="auto"/>
        <w:left w:val="none" w:sz="0" w:space="0" w:color="auto"/>
        <w:bottom w:val="none" w:sz="0" w:space="0" w:color="auto"/>
        <w:right w:val="none" w:sz="0" w:space="0" w:color="auto"/>
      </w:divBdr>
    </w:div>
    <w:div w:id="523398491">
      <w:bodyDiv w:val="1"/>
      <w:marLeft w:val="0"/>
      <w:marRight w:val="0"/>
      <w:marTop w:val="0"/>
      <w:marBottom w:val="0"/>
      <w:divBdr>
        <w:top w:val="none" w:sz="0" w:space="0" w:color="auto"/>
        <w:left w:val="none" w:sz="0" w:space="0" w:color="auto"/>
        <w:bottom w:val="none" w:sz="0" w:space="0" w:color="auto"/>
        <w:right w:val="none" w:sz="0" w:space="0" w:color="auto"/>
      </w:divBdr>
    </w:div>
    <w:div w:id="523523862">
      <w:bodyDiv w:val="1"/>
      <w:marLeft w:val="0"/>
      <w:marRight w:val="0"/>
      <w:marTop w:val="0"/>
      <w:marBottom w:val="0"/>
      <w:divBdr>
        <w:top w:val="none" w:sz="0" w:space="0" w:color="auto"/>
        <w:left w:val="none" w:sz="0" w:space="0" w:color="auto"/>
        <w:bottom w:val="none" w:sz="0" w:space="0" w:color="auto"/>
        <w:right w:val="none" w:sz="0" w:space="0" w:color="auto"/>
      </w:divBdr>
    </w:div>
    <w:div w:id="523977592">
      <w:bodyDiv w:val="1"/>
      <w:marLeft w:val="0"/>
      <w:marRight w:val="0"/>
      <w:marTop w:val="0"/>
      <w:marBottom w:val="0"/>
      <w:divBdr>
        <w:top w:val="none" w:sz="0" w:space="0" w:color="auto"/>
        <w:left w:val="none" w:sz="0" w:space="0" w:color="auto"/>
        <w:bottom w:val="none" w:sz="0" w:space="0" w:color="auto"/>
        <w:right w:val="none" w:sz="0" w:space="0" w:color="auto"/>
      </w:divBdr>
    </w:div>
    <w:div w:id="524055637">
      <w:bodyDiv w:val="1"/>
      <w:marLeft w:val="0"/>
      <w:marRight w:val="0"/>
      <w:marTop w:val="0"/>
      <w:marBottom w:val="0"/>
      <w:divBdr>
        <w:top w:val="none" w:sz="0" w:space="0" w:color="auto"/>
        <w:left w:val="none" w:sz="0" w:space="0" w:color="auto"/>
        <w:bottom w:val="none" w:sz="0" w:space="0" w:color="auto"/>
        <w:right w:val="none" w:sz="0" w:space="0" w:color="auto"/>
      </w:divBdr>
    </w:div>
    <w:div w:id="524248523">
      <w:bodyDiv w:val="1"/>
      <w:marLeft w:val="0"/>
      <w:marRight w:val="0"/>
      <w:marTop w:val="0"/>
      <w:marBottom w:val="0"/>
      <w:divBdr>
        <w:top w:val="none" w:sz="0" w:space="0" w:color="auto"/>
        <w:left w:val="none" w:sz="0" w:space="0" w:color="auto"/>
        <w:bottom w:val="none" w:sz="0" w:space="0" w:color="auto"/>
        <w:right w:val="none" w:sz="0" w:space="0" w:color="auto"/>
      </w:divBdr>
    </w:div>
    <w:div w:id="524907846">
      <w:bodyDiv w:val="1"/>
      <w:marLeft w:val="0"/>
      <w:marRight w:val="0"/>
      <w:marTop w:val="0"/>
      <w:marBottom w:val="0"/>
      <w:divBdr>
        <w:top w:val="none" w:sz="0" w:space="0" w:color="auto"/>
        <w:left w:val="none" w:sz="0" w:space="0" w:color="auto"/>
        <w:bottom w:val="none" w:sz="0" w:space="0" w:color="auto"/>
        <w:right w:val="none" w:sz="0" w:space="0" w:color="auto"/>
      </w:divBdr>
    </w:div>
    <w:div w:id="525100818">
      <w:bodyDiv w:val="1"/>
      <w:marLeft w:val="0"/>
      <w:marRight w:val="0"/>
      <w:marTop w:val="0"/>
      <w:marBottom w:val="0"/>
      <w:divBdr>
        <w:top w:val="none" w:sz="0" w:space="0" w:color="auto"/>
        <w:left w:val="none" w:sz="0" w:space="0" w:color="auto"/>
        <w:bottom w:val="none" w:sz="0" w:space="0" w:color="auto"/>
        <w:right w:val="none" w:sz="0" w:space="0" w:color="auto"/>
      </w:divBdr>
    </w:div>
    <w:div w:id="525172013">
      <w:bodyDiv w:val="1"/>
      <w:marLeft w:val="0"/>
      <w:marRight w:val="0"/>
      <w:marTop w:val="0"/>
      <w:marBottom w:val="0"/>
      <w:divBdr>
        <w:top w:val="none" w:sz="0" w:space="0" w:color="auto"/>
        <w:left w:val="none" w:sz="0" w:space="0" w:color="auto"/>
        <w:bottom w:val="none" w:sz="0" w:space="0" w:color="auto"/>
        <w:right w:val="none" w:sz="0" w:space="0" w:color="auto"/>
      </w:divBdr>
    </w:div>
    <w:div w:id="525557736">
      <w:bodyDiv w:val="1"/>
      <w:marLeft w:val="0"/>
      <w:marRight w:val="0"/>
      <w:marTop w:val="0"/>
      <w:marBottom w:val="0"/>
      <w:divBdr>
        <w:top w:val="none" w:sz="0" w:space="0" w:color="auto"/>
        <w:left w:val="none" w:sz="0" w:space="0" w:color="auto"/>
        <w:bottom w:val="none" w:sz="0" w:space="0" w:color="auto"/>
        <w:right w:val="none" w:sz="0" w:space="0" w:color="auto"/>
      </w:divBdr>
    </w:div>
    <w:div w:id="525557778">
      <w:bodyDiv w:val="1"/>
      <w:marLeft w:val="0"/>
      <w:marRight w:val="0"/>
      <w:marTop w:val="0"/>
      <w:marBottom w:val="0"/>
      <w:divBdr>
        <w:top w:val="none" w:sz="0" w:space="0" w:color="auto"/>
        <w:left w:val="none" w:sz="0" w:space="0" w:color="auto"/>
        <w:bottom w:val="none" w:sz="0" w:space="0" w:color="auto"/>
        <w:right w:val="none" w:sz="0" w:space="0" w:color="auto"/>
      </w:divBdr>
    </w:div>
    <w:div w:id="525565110">
      <w:bodyDiv w:val="1"/>
      <w:marLeft w:val="0"/>
      <w:marRight w:val="0"/>
      <w:marTop w:val="0"/>
      <w:marBottom w:val="0"/>
      <w:divBdr>
        <w:top w:val="none" w:sz="0" w:space="0" w:color="auto"/>
        <w:left w:val="none" w:sz="0" w:space="0" w:color="auto"/>
        <w:bottom w:val="none" w:sz="0" w:space="0" w:color="auto"/>
        <w:right w:val="none" w:sz="0" w:space="0" w:color="auto"/>
      </w:divBdr>
    </w:div>
    <w:div w:id="525678147">
      <w:bodyDiv w:val="1"/>
      <w:marLeft w:val="0"/>
      <w:marRight w:val="0"/>
      <w:marTop w:val="0"/>
      <w:marBottom w:val="0"/>
      <w:divBdr>
        <w:top w:val="none" w:sz="0" w:space="0" w:color="auto"/>
        <w:left w:val="none" w:sz="0" w:space="0" w:color="auto"/>
        <w:bottom w:val="none" w:sz="0" w:space="0" w:color="auto"/>
        <w:right w:val="none" w:sz="0" w:space="0" w:color="auto"/>
      </w:divBdr>
    </w:div>
    <w:div w:id="525797907">
      <w:bodyDiv w:val="1"/>
      <w:marLeft w:val="0"/>
      <w:marRight w:val="0"/>
      <w:marTop w:val="0"/>
      <w:marBottom w:val="0"/>
      <w:divBdr>
        <w:top w:val="none" w:sz="0" w:space="0" w:color="auto"/>
        <w:left w:val="none" w:sz="0" w:space="0" w:color="auto"/>
        <w:bottom w:val="none" w:sz="0" w:space="0" w:color="auto"/>
        <w:right w:val="none" w:sz="0" w:space="0" w:color="auto"/>
      </w:divBdr>
    </w:div>
    <w:div w:id="525942759">
      <w:bodyDiv w:val="1"/>
      <w:marLeft w:val="0"/>
      <w:marRight w:val="0"/>
      <w:marTop w:val="0"/>
      <w:marBottom w:val="0"/>
      <w:divBdr>
        <w:top w:val="none" w:sz="0" w:space="0" w:color="auto"/>
        <w:left w:val="none" w:sz="0" w:space="0" w:color="auto"/>
        <w:bottom w:val="none" w:sz="0" w:space="0" w:color="auto"/>
        <w:right w:val="none" w:sz="0" w:space="0" w:color="auto"/>
      </w:divBdr>
    </w:div>
    <w:div w:id="525950332">
      <w:bodyDiv w:val="1"/>
      <w:marLeft w:val="0"/>
      <w:marRight w:val="0"/>
      <w:marTop w:val="0"/>
      <w:marBottom w:val="0"/>
      <w:divBdr>
        <w:top w:val="none" w:sz="0" w:space="0" w:color="auto"/>
        <w:left w:val="none" w:sz="0" w:space="0" w:color="auto"/>
        <w:bottom w:val="none" w:sz="0" w:space="0" w:color="auto"/>
        <w:right w:val="none" w:sz="0" w:space="0" w:color="auto"/>
      </w:divBdr>
    </w:div>
    <w:div w:id="526023437">
      <w:bodyDiv w:val="1"/>
      <w:marLeft w:val="0"/>
      <w:marRight w:val="0"/>
      <w:marTop w:val="0"/>
      <w:marBottom w:val="0"/>
      <w:divBdr>
        <w:top w:val="none" w:sz="0" w:space="0" w:color="auto"/>
        <w:left w:val="none" w:sz="0" w:space="0" w:color="auto"/>
        <w:bottom w:val="none" w:sz="0" w:space="0" w:color="auto"/>
        <w:right w:val="none" w:sz="0" w:space="0" w:color="auto"/>
      </w:divBdr>
    </w:div>
    <w:div w:id="526141897">
      <w:bodyDiv w:val="1"/>
      <w:marLeft w:val="0"/>
      <w:marRight w:val="0"/>
      <w:marTop w:val="0"/>
      <w:marBottom w:val="0"/>
      <w:divBdr>
        <w:top w:val="none" w:sz="0" w:space="0" w:color="auto"/>
        <w:left w:val="none" w:sz="0" w:space="0" w:color="auto"/>
        <w:bottom w:val="none" w:sz="0" w:space="0" w:color="auto"/>
        <w:right w:val="none" w:sz="0" w:space="0" w:color="auto"/>
      </w:divBdr>
    </w:div>
    <w:div w:id="526217615">
      <w:bodyDiv w:val="1"/>
      <w:marLeft w:val="0"/>
      <w:marRight w:val="0"/>
      <w:marTop w:val="0"/>
      <w:marBottom w:val="0"/>
      <w:divBdr>
        <w:top w:val="none" w:sz="0" w:space="0" w:color="auto"/>
        <w:left w:val="none" w:sz="0" w:space="0" w:color="auto"/>
        <w:bottom w:val="none" w:sz="0" w:space="0" w:color="auto"/>
        <w:right w:val="none" w:sz="0" w:space="0" w:color="auto"/>
      </w:divBdr>
    </w:div>
    <w:div w:id="526254617">
      <w:bodyDiv w:val="1"/>
      <w:marLeft w:val="0"/>
      <w:marRight w:val="0"/>
      <w:marTop w:val="0"/>
      <w:marBottom w:val="0"/>
      <w:divBdr>
        <w:top w:val="none" w:sz="0" w:space="0" w:color="auto"/>
        <w:left w:val="none" w:sz="0" w:space="0" w:color="auto"/>
        <w:bottom w:val="none" w:sz="0" w:space="0" w:color="auto"/>
        <w:right w:val="none" w:sz="0" w:space="0" w:color="auto"/>
      </w:divBdr>
    </w:div>
    <w:div w:id="526256175">
      <w:bodyDiv w:val="1"/>
      <w:marLeft w:val="0"/>
      <w:marRight w:val="0"/>
      <w:marTop w:val="0"/>
      <w:marBottom w:val="0"/>
      <w:divBdr>
        <w:top w:val="none" w:sz="0" w:space="0" w:color="auto"/>
        <w:left w:val="none" w:sz="0" w:space="0" w:color="auto"/>
        <w:bottom w:val="none" w:sz="0" w:space="0" w:color="auto"/>
        <w:right w:val="none" w:sz="0" w:space="0" w:color="auto"/>
      </w:divBdr>
    </w:div>
    <w:div w:id="526456580">
      <w:bodyDiv w:val="1"/>
      <w:marLeft w:val="0"/>
      <w:marRight w:val="0"/>
      <w:marTop w:val="0"/>
      <w:marBottom w:val="0"/>
      <w:divBdr>
        <w:top w:val="none" w:sz="0" w:space="0" w:color="auto"/>
        <w:left w:val="none" w:sz="0" w:space="0" w:color="auto"/>
        <w:bottom w:val="none" w:sz="0" w:space="0" w:color="auto"/>
        <w:right w:val="none" w:sz="0" w:space="0" w:color="auto"/>
      </w:divBdr>
    </w:div>
    <w:div w:id="526673158">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6871381">
      <w:bodyDiv w:val="1"/>
      <w:marLeft w:val="0"/>
      <w:marRight w:val="0"/>
      <w:marTop w:val="0"/>
      <w:marBottom w:val="0"/>
      <w:divBdr>
        <w:top w:val="none" w:sz="0" w:space="0" w:color="auto"/>
        <w:left w:val="none" w:sz="0" w:space="0" w:color="auto"/>
        <w:bottom w:val="none" w:sz="0" w:space="0" w:color="auto"/>
        <w:right w:val="none" w:sz="0" w:space="0" w:color="auto"/>
      </w:divBdr>
    </w:div>
    <w:div w:id="527260710">
      <w:bodyDiv w:val="1"/>
      <w:marLeft w:val="0"/>
      <w:marRight w:val="0"/>
      <w:marTop w:val="0"/>
      <w:marBottom w:val="0"/>
      <w:divBdr>
        <w:top w:val="none" w:sz="0" w:space="0" w:color="auto"/>
        <w:left w:val="none" w:sz="0" w:space="0" w:color="auto"/>
        <w:bottom w:val="none" w:sz="0" w:space="0" w:color="auto"/>
        <w:right w:val="none" w:sz="0" w:space="0" w:color="auto"/>
      </w:divBdr>
    </w:div>
    <w:div w:id="527334019">
      <w:bodyDiv w:val="1"/>
      <w:marLeft w:val="0"/>
      <w:marRight w:val="0"/>
      <w:marTop w:val="0"/>
      <w:marBottom w:val="0"/>
      <w:divBdr>
        <w:top w:val="none" w:sz="0" w:space="0" w:color="auto"/>
        <w:left w:val="none" w:sz="0" w:space="0" w:color="auto"/>
        <w:bottom w:val="none" w:sz="0" w:space="0" w:color="auto"/>
        <w:right w:val="none" w:sz="0" w:space="0" w:color="auto"/>
      </w:divBdr>
    </w:div>
    <w:div w:id="527374576">
      <w:bodyDiv w:val="1"/>
      <w:marLeft w:val="0"/>
      <w:marRight w:val="0"/>
      <w:marTop w:val="0"/>
      <w:marBottom w:val="0"/>
      <w:divBdr>
        <w:top w:val="none" w:sz="0" w:space="0" w:color="auto"/>
        <w:left w:val="none" w:sz="0" w:space="0" w:color="auto"/>
        <w:bottom w:val="none" w:sz="0" w:space="0" w:color="auto"/>
        <w:right w:val="none" w:sz="0" w:space="0" w:color="auto"/>
      </w:divBdr>
    </w:div>
    <w:div w:id="527377086">
      <w:bodyDiv w:val="1"/>
      <w:marLeft w:val="0"/>
      <w:marRight w:val="0"/>
      <w:marTop w:val="0"/>
      <w:marBottom w:val="0"/>
      <w:divBdr>
        <w:top w:val="none" w:sz="0" w:space="0" w:color="auto"/>
        <w:left w:val="none" w:sz="0" w:space="0" w:color="auto"/>
        <w:bottom w:val="none" w:sz="0" w:space="0" w:color="auto"/>
        <w:right w:val="none" w:sz="0" w:space="0" w:color="auto"/>
      </w:divBdr>
    </w:div>
    <w:div w:id="527571039">
      <w:bodyDiv w:val="1"/>
      <w:marLeft w:val="0"/>
      <w:marRight w:val="0"/>
      <w:marTop w:val="0"/>
      <w:marBottom w:val="0"/>
      <w:divBdr>
        <w:top w:val="none" w:sz="0" w:space="0" w:color="auto"/>
        <w:left w:val="none" w:sz="0" w:space="0" w:color="auto"/>
        <w:bottom w:val="none" w:sz="0" w:space="0" w:color="auto"/>
        <w:right w:val="none" w:sz="0" w:space="0" w:color="auto"/>
      </w:divBdr>
    </w:div>
    <w:div w:id="527717290">
      <w:bodyDiv w:val="1"/>
      <w:marLeft w:val="0"/>
      <w:marRight w:val="0"/>
      <w:marTop w:val="0"/>
      <w:marBottom w:val="0"/>
      <w:divBdr>
        <w:top w:val="none" w:sz="0" w:space="0" w:color="auto"/>
        <w:left w:val="none" w:sz="0" w:space="0" w:color="auto"/>
        <w:bottom w:val="none" w:sz="0" w:space="0" w:color="auto"/>
        <w:right w:val="none" w:sz="0" w:space="0" w:color="auto"/>
      </w:divBdr>
    </w:div>
    <w:div w:id="527913323">
      <w:bodyDiv w:val="1"/>
      <w:marLeft w:val="0"/>
      <w:marRight w:val="0"/>
      <w:marTop w:val="0"/>
      <w:marBottom w:val="0"/>
      <w:divBdr>
        <w:top w:val="none" w:sz="0" w:space="0" w:color="auto"/>
        <w:left w:val="none" w:sz="0" w:space="0" w:color="auto"/>
        <w:bottom w:val="none" w:sz="0" w:space="0" w:color="auto"/>
        <w:right w:val="none" w:sz="0" w:space="0" w:color="auto"/>
      </w:divBdr>
    </w:div>
    <w:div w:id="528029180">
      <w:bodyDiv w:val="1"/>
      <w:marLeft w:val="0"/>
      <w:marRight w:val="0"/>
      <w:marTop w:val="0"/>
      <w:marBottom w:val="0"/>
      <w:divBdr>
        <w:top w:val="none" w:sz="0" w:space="0" w:color="auto"/>
        <w:left w:val="none" w:sz="0" w:space="0" w:color="auto"/>
        <w:bottom w:val="none" w:sz="0" w:space="0" w:color="auto"/>
        <w:right w:val="none" w:sz="0" w:space="0" w:color="auto"/>
      </w:divBdr>
    </w:div>
    <w:div w:id="528110572">
      <w:bodyDiv w:val="1"/>
      <w:marLeft w:val="0"/>
      <w:marRight w:val="0"/>
      <w:marTop w:val="0"/>
      <w:marBottom w:val="0"/>
      <w:divBdr>
        <w:top w:val="none" w:sz="0" w:space="0" w:color="auto"/>
        <w:left w:val="none" w:sz="0" w:space="0" w:color="auto"/>
        <w:bottom w:val="none" w:sz="0" w:space="0" w:color="auto"/>
        <w:right w:val="none" w:sz="0" w:space="0" w:color="auto"/>
      </w:divBdr>
    </w:div>
    <w:div w:id="528179568">
      <w:bodyDiv w:val="1"/>
      <w:marLeft w:val="0"/>
      <w:marRight w:val="0"/>
      <w:marTop w:val="0"/>
      <w:marBottom w:val="0"/>
      <w:divBdr>
        <w:top w:val="none" w:sz="0" w:space="0" w:color="auto"/>
        <w:left w:val="none" w:sz="0" w:space="0" w:color="auto"/>
        <w:bottom w:val="none" w:sz="0" w:space="0" w:color="auto"/>
        <w:right w:val="none" w:sz="0" w:space="0" w:color="auto"/>
      </w:divBdr>
    </w:div>
    <w:div w:id="528183723">
      <w:bodyDiv w:val="1"/>
      <w:marLeft w:val="0"/>
      <w:marRight w:val="0"/>
      <w:marTop w:val="0"/>
      <w:marBottom w:val="0"/>
      <w:divBdr>
        <w:top w:val="none" w:sz="0" w:space="0" w:color="auto"/>
        <w:left w:val="none" w:sz="0" w:space="0" w:color="auto"/>
        <w:bottom w:val="none" w:sz="0" w:space="0" w:color="auto"/>
        <w:right w:val="none" w:sz="0" w:space="0" w:color="auto"/>
      </w:divBdr>
    </w:div>
    <w:div w:id="528762124">
      <w:bodyDiv w:val="1"/>
      <w:marLeft w:val="0"/>
      <w:marRight w:val="0"/>
      <w:marTop w:val="0"/>
      <w:marBottom w:val="0"/>
      <w:divBdr>
        <w:top w:val="none" w:sz="0" w:space="0" w:color="auto"/>
        <w:left w:val="none" w:sz="0" w:space="0" w:color="auto"/>
        <w:bottom w:val="none" w:sz="0" w:space="0" w:color="auto"/>
        <w:right w:val="none" w:sz="0" w:space="0" w:color="auto"/>
      </w:divBdr>
    </w:div>
    <w:div w:id="529415995">
      <w:bodyDiv w:val="1"/>
      <w:marLeft w:val="0"/>
      <w:marRight w:val="0"/>
      <w:marTop w:val="0"/>
      <w:marBottom w:val="0"/>
      <w:divBdr>
        <w:top w:val="none" w:sz="0" w:space="0" w:color="auto"/>
        <w:left w:val="none" w:sz="0" w:space="0" w:color="auto"/>
        <w:bottom w:val="none" w:sz="0" w:space="0" w:color="auto"/>
        <w:right w:val="none" w:sz="0" w:space="0" w:color="auto"/>
      </w:divBdr>
    </w:div>
    <w:div w:id="529612995">
      <w:bodyDiv w:val="1"/>
      <w:marLeft w:val="0"/>
      <w:marRight w:val="0"/>
      <w:marTop w:val="0"/>
      <w:marBottom w:val="0"/>
      <w:divBdr>
        <w:top w:val="none" w:sz="0" w:space="0" w:color="auto"/>
        <w:left w:val="none" w:sz="0" w:space="0" w:color="auto"/>
        <w:bottom w:val="none" w:sz="0" w:space="0" w:color="auto"/>
        <w:right w:val="none" w:sz="0" w:space="0" w:color="auto"/>
      </w:divBdr>
    </w:div>
    <w:div w:id="529732519">
      <w:bodyDiv w:val="1"/>
      <w:marLeft w:val="0"/>
      <w:marRight w:val="0"/>
      <w:marTop w:val="0"/>
      <w:marBottom w:val="0"/>
      <w:divBdr>
        <w:top w:val="none" w:sz="0" w:space="0" w:color="auto"/>
        <w:left w:val="none" w:sz="0" w:space="0" w:color="auto"/>
        <w:bottom w:val="none" w:sz="0" w:space="0" w:color="auto"/>
        <w:right w:val="none" w:sz="0" w:space="0" w:color="auto"/>
      </w:divBdr>
    </w:div>
    <w:div w:id="530145248">
      <w:bodyDiv w:val="1"/>
      <w:marLeft w:val="0"/>
      <w:marRight w:val="0"/>
      <w:marTop w:val="0"/>
      <w:marBottom w:val="0"/>
      <w:divBdr>
        <w:top w:val="none" w:sz="0" w:space="0" w:color="auto"/>
        <w:left w:val="none" w:sz="0" w:space="0" w:color="auto"/>
        <w:bottom w:val="none" w:sz="0" w:space="0" w:color="auto"/>
        <w:right w:val="none" w:sz="0" w:space="0" w:color="auto"/>
      </w:divBdr>
    </w:div>
    <w:div w:id="530385212">
      <w:bodyDiv w:val="1"/>
      <w:marLeft w:val="0"/>
      <w:marRight w:val="0"/>
      <w:marTop w:val="0"/>
      <w:marBottom w:val="0"/>
      <w:divBdr>
        <w:top w:val="none" w:sz="0" w:space="0" w:color="auto"/>
        <w:left w:val="none" w:sz="0" w:space="0" w:color="auto"/>
        <w:bottom w:val="none" w:sz="0" w:space="0" w:color="auto"/>
        <w:right w:val="none" w:sz="0" w:space="0" w:color="auto"/>
      </w:divBdr>
    </w:div>
    <w:div w:id="530537616">
      <w:bodyDiv w:val="1"/>
      <w:marLeft w:val="0"/>
      <w:marRight w:val="0"/>
      <w:marTop w:val="0"/>
      <w:marBottom w:val="0"/>
      <w:divBdr>
        <w:top w:val="none" w:sz="0" w:space="0" w:color="auto"/>
        <w:left w:val="none" w:sz="0" w:space="0" w:color="auto"/>
        <w:bottom w:val="none" w:sz="0" w:space="0" w:color="auto"/>
        <w:right w:val="none" w:sz="0" w:space="0" w:color="auto"/>
      </w:divBdr>
    </w:div>
    <w:div w:id="530580347">
      <w:bodyDiv w:val="1"/>
      <w:marLeft w:val="0"/>
      <w:marRight w:val="0"/>
      <w:marTop w:val="0"/>
      <w:marBottom w:val="0"/>
      <w:divBdr>
        <w:top w:val="none" w:sz="0" w:space="0" w:color="auto"/>
        <w:left w:val="none" w:sz="0" w:space="0" w:color="auto"/>
        <w:bottom w:val="none" w:sz="0" w:space="0" w:color="auto"/>
        <w:right w:val="none" w:sz="0" w:space="0" w:color="auto"/>
      </w:divBdr>
    </w:div>
    <w:div w:id="530727691">
      <w:bodyDiv w:val="1"/>
      <w:marLeft w:val="0"/>
      <w:marRight w:val="0"/>
      <w:marTop w:val="0"/>
      <w:marBottom w:val="0"/>
      <w:divBdr>
        <w:top w:val="none" w:sz="0" w:space="0" w:color="auto"/>
        <w:left w:val="none" w:sz="0" w:space="0" w:color="auto"/>
        <w:bottom w:val="none" w:sz="0" w:space="0" w:color="auto"/>
        <w:right w:val="none" w:sz="0" w:space="0" w:color="auto"/>
      </w:divBdr>
    </w:div>
    <w:div w:id="530991495">
      <w:bodyDiv w:val="1"/>
      <w:marLeft w:val="0"/>
      <w:marRight w:val="0"/>
      <w:marTop w:val="0"/>
      <w:marBottom w:val="0"/>
      <w:divBdr>
        <w:top w:val="none" w:sz="0" w:space="0" w:color="auto"/>
        <w:left w:val="none" w:sz="0" w:space="0" w:color="auto"/>
        <w:bottom w:val="none" w:sz="0" w:space="0" w:color="auto"/>
        <w:right w:val="none" w:sz="0" w:space="0" w:color="auto"/>
      </w:divBdr>
    </w:div>
    <w:div w:id="530998603">
      <w:bodyDiv w:val="1"/>
      <w:marLeft w:val="0"/>
      <w:marRight w:val="0"/>
      <w:marTop w:val="0"/>
      <w:marBottom w:val="0"/>
      <w:divBdr>
        <w:top w:val="none" w:sz="0" w:space="0" w:color="auto"/>
        <w:left w:val="none" w:sz="0" w:space="0" w:color="auto"/>
        <w:bottom w:val="none" w:sz="0" w:space="0" w:color="auto"/>
        <w:right w:val="none" w:sz="0" w:space="0" w:color="auto"/>
      </w:divBdr>
    </w:div>
    <w:div w:id="530998669">
      <w:bodyDiv w:val="1"/>
      <w:marLeft w:val="0"/>
      <w:marRight w:val="0"/>
      <w:marTop w:val="0"/>
      <w:marBottom w:val="0"/>
      <w:divBdr>
        <w:top w:val="none" w:sz="0" w:space="0" w:color="auto"/>
        <w:left w:val="none" w:sz="0" w:space="0" w:color="auto"/>
        <w:bottom w:val="none" w:sz="0" w:space="0" w:color="auto"/>
        <w:right w:val="none" w:sz="0" w:space="0" w:color="auto"/>
      </w:divBdr>
    </w:div>
    <w:div w:id="531039601">
      <w:bodyDiv w:val="1"/>
      <w:marLeft w:val="0"/>
      <w:marRight w:val="0"/>
      <w:marTop w:val="0"/>
      <w:marBottom w:val="0"/>
      <w:divBdr>
        <w:top w:val="none" w:sz="0" w:space="0" w:color="auto"/>
        <w:left w:val="none" w:sz="0" w:space="0" w:color="auto"/>
        <w:bottom w:val="none" w:sz="0" w:space="0" w:color="auto"/>
        <w:right w:val="none" w:sz="0" w:space="0" w:color="auto"/>
      </w:divBdr>
    </w:div>
    <w:div w:id="531041387">
      <w:bodyDiv w:val="1"/>
      <w:marLeft w:val="0"/>
      <w:marRight w:val="0"/>
      <w:marTop w:val="0"/>
      <w:marBottom w:val="0"/>
      <w:divBdr>
        <w:top w:val="none" w:sz="0" w:space="0" w:color="auto"/>
        <w:left w:val="none" w:sz="0" w:space="0" w:color="auto"/>
        <w:bottom w:val="none" w:sz="0" w:space="0" w:color="auto"/>
        <w:right w:val="none" w:sz="0" w:space="0" w:color="auto"/>
      </w:divBdr>
    </w:div>
    <w:div w:id="531235294">
      <w:bodyDiv w:val="1"/>
      <w:marLeft w:val="0"/>
      <w:marRight w:val="0"/>
      <w:marTop w:val="0"/>
      <w:marBottom w:val="0"/>
      <w:divBdr>
        <w:top w:val="none" w:sz="0" w:space="0" w:color="auto"/>
        <w:left w:val="none" w:sz="0" w:space="0" w:color="auto"/>
        <w:bottom w:val="none" w:sz="0" w:space="0" w:color="auto"/>
        <w:right w:val="none" w:sz="0" w:space="0" w:color="auto"/>
      </w:divBdr>
    </w:div>
    <w:div w:id="531262784">
      <w:bodyDiv w:val="1"/>
      <w:marLeft w:val="0"/>
      <w:marRight w:val="0"/>
      <w:marTop w:val="0"/>
      <w:marBottom w:val="0"/>
      <w:divBdr>
        <w:top w:val="none" w:sz="0" w:space="0" w:color="auto"/>
        <w:left w:val="none" w:sz="0" w:space="0" w:color="auto"/>
        <w:bottom w:val="none" w:sz="0" w:space="0" w:color="auto"/>
        <w:right w:val="none" w:sz="0" w:space="0" w:color="auto"/>
      </w:divBdr>
    </w:div>
    <w:div w:id="531263250">
      <w:bodyDiv w:val="1"/>
      <w:marLeft w:val="0"/>
      <w:marRight w:val="0"/>
      <w:marTop w:val="0"/>
      <w:marBottom w:val="0"/>
      <w:divBdr>
        <w:top w:val="none" w:sz="0" w:space="0" w:color="auto"/>
        <w:left w:val="none" w:sz="0" w:space="0" w:color="auto"/>
        <w:bottom w:val="none" w:sz="0" w:space="0" w:color="auto"/>
        <w:right w:val="none" w:sz="0" w:space="0" w:color="auto"/>
      </w:divBdr>
    </w:div>
    <w:div w:id="531302919">
      <w:bodyDiv w:val="1"/>
      <w:marLeft w:val="0"/>
      <w:marRight w:val="0"/>
      <w:marTop w:val="0"/>
      <w:marBottom w:val="0"/>
      <w:divBdr>
        <w:top w:val="none" w:sz="0" w:space="0" w:color="auto"/>
        <w:left w:val="none" w:sz="0" w:space="0" w:color="auto"/>
        <w:bottom w:val="none" w:sz="0" w:space="0" w:color="auto"/>
        <w:right w:val="none" w:sz="0" w:space="0" w:color="auto"/>
      </w:divBdr>
    </w:div>
    <w:div w:id="531378248">
      <w:bodyDiv w:val="1"/>
      <w:marLeft w:val="0"/>
      <w:marRight w:val="0"/>
      <w:marTop w:val="0"/>
      <w:marBottom w:val="0"/>
      <w:divBdr>
        <w:top w:val="none" w:sz="0" w:space="0" w:color="auto"/>
        <w:left w:val="none" w:sz="0" w:space="0" w:color="auto"/>
        <w:bottom w:val="none" w:sz="0" w:space="0" w:color="auto"/>
        <w:right w:val="none" w:sz="0" w:space="0" w:color="auto"/>
      </w:divBdr>
    </w:div>
    <w:div w:id="531381817">
      <w:bodyDiv w:val="1"/>
      <w:marLeft w:val="0"/>
      <w:marRight w:val="0"/>
      <w:marTop w:val="0"/>
      <w:marBottom w:val="0"/>
      <w:divBdr>
        <w:top w:val="none" w:sz="0" w:space="0" w:color="auto"/>
        <w:left w:val="none" w:sz="0" w:space="0" w:color="auto"/>
        <w:bottom w:val="none" w:sz="0" w:space="0" w:color="auto"/>
        <w:right w:val="none" w:sz="0" w:space="0" w:color="auto"/>
      </w:divBdr>
    </w:div>
    <w:div w:id="531386203">
      <w:bodyDiv w:val="1"/>
      <w:marLeft w:val="0"/>
      <w:marRight w:val="0"/>
      <w:marTop w:val="0"/>
      <w:marBottom w:val="0"/>
      <w:divBdr>
        <w:top w:val="none" w:sz="0" w:space="0" w:color="auto"/>
        <w:left w:val="none" w:sz="0" w:space="0" w:color="auto"/>
        <w:bottom w:val="none" w:sz="0" w:space="0" w:color="auto"/>
        <w:right w:val="none" w:sz="0" w:space="0" w:color="auto"/>
      </w:divBdr>
    </w:div>
    <w:div w:id="531503808">
      <w:bodyDiv w:val="1"/>
      <w:marLeft w:val="0"/>
      <w:marRight w:val="0"/>
      <w:marTop w:val="0"/>
      <w:marBottom w:val="0"/>
      <w:divBdr>
        <w:top w:val="none" w:sz="0" w:space="0" w:color="auto"/>
        <w:left w:val="none" w:sz="0" w:space="0" w:color="auto"/>
        <w:bottom w:val="none" w:sz="0" w:space="0" w:color="auto"/>
        <w:right w:val="none" w:sz="0" w:space="0" w:color="auto"/>
      </w:divBdr>
    </w:div>
    <w:div w:id="531504523">
      <w:bodyDiv w:val="1"/>
      <w:marLeft w:val="0"/>
      <w:marRight w:val="0"/>
      <w:marTop w:val="0"/>
      <w:marBottom w:val="0"/>
      <w:divBdr>
        <w:top w:val="none" w:sz="0" w:space="0" w:color="auto"/>
        <w:left w:val="none" w:sz="0" w:space="0" w:color="auto"/>
        <w:bottom w:val="none" w:sz="0" w:space="0" w:color="auto"/>
        <w:right w:val="none" w:sz="0" w:space="0" w:color="auto"/>
      </w:divBdr>
    </w:div>
    <w:div w:id="531957933">
      <w:bodyDiv w:val="1"/>
      <w:marLeft w:val="0"/>
      <w:marRight w:val="0"/>
      <w:marTop w:val="0"/>
      <w:marBottom w:val="0"/>
      <w:divBdr>
        <w:top w:val="none" w:sz="0" w:space="0" w:color="auto"/>
        <w:left w:val="none" w:sz="0" w:space="0" w:color="auto"/>
        <w:bottom w:val="none" w:sz="0" w:space="0" w:color="auto"/>
        <w:right w:val="none" w:sz="0" w:space="0" w:color="auto"/>
      </w:divBdr>
    </w:div>
    <w:div w:id="531959719">
      <w:bodyDiv w:val="1"/>
      <w:marLeft w:val="0"/>
      <w:marRight w:val="0"/>
      <w:marTop w:val="0"/>
      <w:marBottom w:val="0"/>
      <w:divBdr>
        <w:top w:val="none" w:sz="0" w:space="0" w:color="auto"/>
        <w:left w:val="none" w:sz="0" w:space="0" w:color="auto"/>
        <w:bottom w:val="none" w:sz="0" w:space="0" w:color="auto"/>
        <w:right w:val="none" w:sz="0" w:space="0" w:color="auto"/>
      </w:divBdr>
    </w:div>
    <w:div w:id="532034308">
      <w:bodyDiv w:val="1"/>
      <w:marLeft w:val="0"/>
      <w:marRight w:val="0"/>
      <w:marTop w:val="0"/>
      <w:marBottom w:val="0"/>
      <w:divBdr>
        <w:top w:val="none" w:sz="0" w:space="0" w:color="auto"/>
        <w:left w:val="none" w:sz="0" w:space="0" w:color="auto"/>
        <w:bottom w:val="none" w:sz="0" w:space="0" w:color="auto"/>
        <w:right w:val="none" w:sz="0" w:space="0" w:color="auto"/>
      </w:divBdr>
    </w:div>
    <w:div w:id="532036002">
      <w:bodyDiv w:val="1"/>
      <w:marLeft w:val="0"/>
      <w:marRight w:val="0"/>
      <w:marTop w:val="0"/>
      <w:marBottom w:val="0"/>
      <w:divBdr>
        <w:top w:val="none" w:sz="0" w:space="0" w:color="auto"/>
        <w:left w:val="none" w:sz="0" w:space="0" w:color="auto"/>
        <w:bottom w:val="none" w:sz="0" w:space="0" w:color="auto"/>
        <w:right w:val="none" w:sz="0" w:space="0" w:color="auto"/>
      </w:divBdr>
    </w:div>
    <w:div w:id="532234083">
      <w:bodyDiv w:val="1"/>
      <w:marLeft w:val="0"/>
      <w:marRight w:val="0"/>
      <w:marTop w:val="0"/>
      <w:marBottom w:val="0"/>
      <w:divBdr>
        <w:top w:val="none" w:sz="0" w:space="0" w:color="auto"/>
        <w:left w:val="none" w:sz="0" w:space="0" w:color="auto"/>
        <w:bottom w:val="none" w:sz="0" w:space="0" w:color="auto"/>
        <w:right w:val="none" w:sz="0" w:space="0" w:color="auto"/>
      </w:divBdr>
    </w:div>
    <w:div w:id="532303145">
      <w:bodyDiv w:val="1"/>
      <w:marLeft w:val="0"/>
      <w:marRight w:val="0"/>
      <w:marTop w:val="0"/>
      <w:marBottom w:val="0"/>
      <w:divBdr>
        <w:top w:val="none" w:sz="0" w:space="0" w:color="auto"/>
        <w:left w:val="none" w:sz="0" w:space="0" w:color="auto"/>
        <w:bottom w:val="none" w:sz="0" w:space="0" w:color="auto"/>
        <w:right w:val="none" w:sz="0" w:space="0" w:color="auto"/>
      </w:divBdr>
    </w:div>
    <w:div w:id="532503881">
      <w:bodyDiv w:val="1"/>
      <w:marLeft w:val="0"/>
      <w:marRight w:val="0"/>
      <w:marTop w:val="0"/>
      <w:marBottom w:val="0"/>
      <w:divBdr>
        <w:top w:val="none" w:sz="0" w:space="0" w:color="auto"/>
        <w:left w:val="none" w:sz="0" w:space="0" w:color="auto"/>
        <w:bottom w:val="none" w:sz="0" w:space="0" w:color="auto"/>
        <w:right w:val="none" w:sz="0" w:space="0" w:color="auto"/>
      </w:divBdr>
    </w:div>
    <w:div w:id="532572727">
      <w:bodyDiv w:val="1"/>
      <w:marLeft w:val="0"/>
      <w:marRight w:val="0"/>
      <w:marTop w:val="0"/>
      <w:marBottom w:val="0"/>
      <w:divBdr>
        <w:top w:val="none" w:sz="0" w:space="0" w:color="auto"/>
        <w:left w:val="none" w:sz="0" w:space="0" w:color="auto"/>
        <w:bottom w:val="none" w:sz="0" w:space="0" w:color="auto"/>
        <w:right w:val="none" w:sz="0" w:space="0" w:color="auto"/>
      </w:divBdr>
    </w:div>
    <w:div w:id="532770150">
      <w:bodyDiv w:val="1"/>
      <w:marLeft w:val="0"/>
      <w:marRight w:val="0"/>
      <w:marTop w:val="0"/>
      <w:marBottom w:val="0"/>
      <w:divBdr>
        <w:top w:val="none" w:sz="0" w:space="0" w:color="auto"/>
        <w:left w:val="none" w:sz="0" w:space="0" w:color="auto"/>
        <w:bottom w:val="none" w:sz="0" w:space="0" w:color="auto"/>
        <w:right w:val="none" w:sz="0" w:space="0" w:color="auto"/>
      </w:divBdr>
    </w:div>
    <w:div w:id="533347097">
      <w:bodyDiv w:val="1"/>
      <w:marLeft w:val="0"/>
      <w:marRight w:val="0"/>
      <w:marTop w:val="0"/>
      <w:marBottom w:val="0"/>
      <w:divBdr>
        <w:top w:val="none" w:sz="0" w:space="0" w:color="auto"/>
        <w:left w:val="none" w:sz="0" w:space="0" w:color="auto"/>
        <w:bottom w:val="none" w:sz="0" w:space="0" w:color="auto"/>
        <w:right w:val="none" w:sz="0" w:space="0" w:color="auto"/>
      </w:divBdr>
    </w:div>
    <w:div w:id="533468433">
      <w:bodyDiv w:val="1"/>
      <w:marLeft w:val="0"/>
      <w:marRight w:val="0"/>
      <w:marTop w:val="0"/>
      <w:marBottom w:val="0"/>
      <w:divBdr>
        <w:top w:val="none" w:sz="0" w:space="0" w:color="auto"/>
        <w:left w:val="none" w:sz="0" w:space="0" w:color="auto"/>
        <w:bottom w:val="none" w:sz="0" w:space="0" w:color="auto"/>
        <w:right w:val="none" w:sz="0" w:space="0" w:color="auto"/>
      </w:divBdr>
    </w:div>
    <w:div w:id="533660750">
      <w:bodyDiv w:val="1"/>
      <w:marLeft w:val="0"/>
      <w:marRight w:val="0"/>
      <w:marTop w:val="0"/>
      <w:marBottom w:val="0"/>
      <w:divBdr>
        <w:top w:val="none" w:sz="0" w:space="0" w:color="auto"/>
        <w:left w:val="none" w:sz="0" w:space="0" w:color="auto"/>
        <w:bottom w:val="none" w:sz="0" w:space="0" w:color="auto"/>
        <w:right w:val="none" w:sz="0" w:space="0" w:color="auto"/>
      </w:divBdr>
    </w:div>
    <w:div w:id="533809117">
      <w:bodyDiv w:val="1"/>
      <w:marLeft w:val="0"/>
      <w:marRight w:val="0"/>
      <w:marTop w:val="0"/>
      <w:marBottom w:val="0"/>
      <w:divBdr>
        <w:top w:val="none" w:sz="0" w:space="0" w:color="auto"/>
        <w:left w:val="none" w:sz="0" w:space="0" w:color="auto"/>
        <w:bottom w:val="none" w:sz="0" w:space="0" w:color="auto"/>
        <w:right w:val="none" w:sz="0" w:space="0" w:color="auto"/>
      </w:divBdr>
    </w:div>
    <w:div w:id="533813452">
      <w:bodyDiv w:val="1"/>
      <w:marLeft w:val="0"/>
      <w:marRight w:val="0"/>
      <w:marTop w:val="0"/>
      <w:marBottom w:val="0"/>
      <w:divBdr>
        <w:top w:val="none" w:sz="0" w:space="0" w:color="auto"/>
        <w:left w:val="none" w:sz="0" w:space="0" w:color="auto"/>
        <w:bottom w:val="none" w:sz="0" w:space="0" w:color="auto"/>
        <w:right w:val="none" w:sz="0" w:space="0" w:color="auto"/>
      </w:divBdr>
    </w:div>
    <w:div w:id="534005250">
      <w:bodyDiv w:val="1"/>
      <w:marLeft w:val="0"/>
      <w:marRight w:val="0"/>
      <w:marTop w:val="0"/>
      <w:marBottom w:val="0"/>
      <w:divBdr>
        <w:top w:val="none" w:sz="0" w:space="0" w:color="auto"/>
        <w:left w:val="none" w:sz="0" w:space="0" w:color="auto"/>
        <w:bottom w:val="none" w:sz="0" w:space="0" w:color="auto"/>
        <w:right w:val="none" w:sz="0" w:space="0" w:color="auto"/>
      </w:divBdr>
    </w:div>
    <w:div w:id="534122640">
      <w:bodyDiv w:val="1"/>
      <w:marLeft w:val="0"/>
      <w:marRight w:val="0"/>
      <w:marTop w:val="0"/>
      <w:marBottom w:val="0"/>
      <w:divBdr>
        <w:top w:val="none" w:sz="0" w:space="0" w:color="auto"/>
        <w:left w:val="none" w:sz="0" w:space="0" w:color="auto"/>
        <w:bottom w:val="none" w:sz="0" w:space="0" w:color="auto"/>
        <w:right w:val="none" w:sz="0" w:space="0" w:color="auto"/>
      </w:divBdr>
    </w:div>
    <w:div w:id="534276609">
      <w:bodyDiv w:val="1"/>
      <w:marLeft w:val="0"/>
      <w:marRight w:val="0"/>
      <w:marTop w:val="0"/>
      <w:marBottom w:val="0"/>
      <w:divBdr>
        <w:top w:val="none" w:sz="0" w:space="0" w:color="auto"/>
        <w:left w:val="none" w:sz="0" w:space="0" w:color="auto"/>
        <w:bottom w:val="none" w:sz="0" w:space="0" w:color="auto"/>
        <w:right w:val="none" w:sz="0" w:space="0" w:color="auto"/>
      </w:divBdr>
    </w:div>
    <w:div w:id="534462224">
      <w:bodyDiv w:val="1"/>
      <w:marLeft w:val="0"/>
      <w:marRight w:val="0"/>
      <w:marTop w:val="0"/>
      <w:marBottom w:val="0"/>
      <w:divBdr>
        <w:top w:val="none" w:sz="0" w:space="0" w:color="auto"/>
        <w:left w:val="none" w:sz="0" w:space="0" w:color="auto"/>
        <w:bottom w:val="none" w:sz="0" w:space="0" w:color="auto"/>
        <w:right w:val="none" w:sz="0" w:space="0" w:color="auto"/>
      </w:divBdr>
    </w:div>
    <w:div w:id="534465177">
      <w:bodyDiv w:val="1"/>
      <w:marLeft w:val="0"/>
      <w:marRight w:val="0"/>
      <w:marTop w:val="0"/>
      <w:marBottom w:val="0"/>
      <w:divBdr>
        <w:top w:val="none" w:sz="0" w:space="0" w:color="auto"/>
        <w:left w:val="none" w:sz="0" w:space="0" w:color="auto"/>
        <w:bottom w:val="none" w:sz="0" w:space="0" w:color="auto"/>
        <w:right w:val="none" w:sz="0" w:space="0" w:color="auto"/>
      </w:divBdr>
    </w:div>
    <w:div w:id="534733649">
      <w:bodyDiv w:val="1"/>
      <w:marLeft w:val="0"/>
      <w:marRight w:val="0"/>
      <w:marTop w:val="0"/>
      <w:marBottom w:val="0"/>
      <w:divBdr>
        <w:top w:val="none" w:sz="0" w:space="0" w:color="auto"/>
        <w:left w:val="none" w:sz="0" w:space="0" w:color="auto"/>
        <w:bottom w:val="none" w:sz="0" w:space="0" w:color="auto"/>
        <w:right w:val="none" w:sz="0" w:space="0" w:color="auto"/>
      </w:divBdr>
    </w:div>
    <w:div w:id="534735235">
      <w:bodyDiv w:val="1"/>
      <w:marLeft w:val="0"/>
      <w:marRight w:val="0"/>
      <w:marTop w:val="0"/>
      <w:marBottom w:val="0"/>
      <w:divBdr>
        <w:top w:val="none" w:sz="0" w:space="0" w:color="auto"/>
        <w:left w:val="none" w:sz="0" w:space="0" w:color="auto"/>
        <w:bottom w:val="none" w:sz="0" w:space="0" w:color="auto"/>
        <w:right w:val="none" w:sz="0" w:space="0" w:color="auto"/>
      </w:divBdr>
    </w:div>
    <w:div w:id="534781422">
      <w:bodyDiv w:val="1"/>
      <w:marLeft w:val="0"/>
      <w:marRight w:val="0"/>
      <w:marTop w:val="0"/>
      <w:marBottom w:val="0"/>
      <w:divBdr>
        <w:top w:val="none" w:sz="0" w:space="0" w:color="auto"/>
        <w:left w:val="none" w:sz="0" w:space="0" w:color="auto"/>
        <w:bottom w:val="none" w:sz="0" w:space="0" w:color="auto"/>
        <w:right w:val="none" w:sz="0" w:space="0" w:color="auto"/>
      </w:divBdr>
    </w:div>
    <w:div w:id="534848149">
      <w:bodyDiv w:val="1"/>
      <w:marLeft w:val="0"/>
      <w:marRight w:val="0"/>
      <w:marTop w:val="0"/>
      <w:marBottom w:val="0"/>
      <w:divBdr>
        <w:top w:val="none" w:sz="0" w:space="0" w:color="auto"/>
        <w:left w:val="none" w:sz="0" w:space="0" w:color="auto"/>
        <w:bottom w:val="none" w:sz="0" w:space="0" w:color="auto"/>
        <w:right w:val="none" w:sz="0" w:space="0" w:color="auto"/>
      </w:divBdr>
    </w:div>
    <w:div w:id="534930918">
      <w:bodyDiv w:val="1"/>
      <w:marLeft w:val="0"/>
      <w:marRight w:val="0"/>
      <w:marTop w:val="0"/>
      <w:marBottom w:val="0"/>
      <w:divBdr>
        <w:top w:val="none" w:sz="0" w:space="0" w:color="auto"/>
        <w:left w:val="none" w:sz="0" w:space="0" w:color="auto"/>
        <w:bottom w:val="none" w:sz="0" w:space="0" w:color="auto"/>
        <w:right w:val="none" w:sz="0" w:space="0" w:color="auto"/>
      </w:divBdr>
    </w:div>
    <w:div w:id="535000586">
      <w:bodyDiv w:val="1"/>
      <w:marLeft w:val="0"/>
      <w:marRight w:val="0"/>
      <w:marTop w:val="0"/>
      <w:marBottom w:val="0"/>
      <w:divBdr>
        <w:top w:val="none" w:sz="0" w:space="0" w:color="auto"/>
        <w:left w:val="none" w:sz="0" w:space="0" w:color="auto"/>
        <w:bottom w:val="none" w:sz="0" w:space="0" w:color="auto"/>
        <w:right w:val="none" w:sz="0" w:space="0" w:color="auto"/>
      </w:divBdr>
    </w:div>
    <w:div w:id="535460910">
      <w:bodyDiv w:val="1"/>
      <w:marLeft w:val="0"/>
      <w:marRight w:val="0"/>
      <w:marTop w:val="0"/>
      <w:marBottom w:val="0"/>
      <w:divBdr>
        <w:top w:val="none" w:sz="0" w:space="0" w:color="auto"/>
        <w:left w:val="none" w:sz="0" w:space="0" w:color="auto"/>
        <w:bottom w:val="none" w:sz="0" w:space="0" w:color="auto"/>
        <w:right w:val="none" w:sz="0" w:space="0" w:color="auto"/>
      </w:divBdr>
    </w:div>
    <w:div w:id="535511691">
      <w:bodyDiv w:val="1"/>
      <w:marLeft w:val="0"/>
      <w:marRight w:val="0"/>
      <w:marTop w:val="0"/>
      <w:marBottom w:val="0"/>
      <w:divBdr>
        <w:top w:val="none" w:sz="0" w:space="0" w:color="auto"/>
        <w:left w:val="none" w:sz="0" w:space="0" w:color="auto"/>
        <w:bottom w:val="none" w:sz="0" w:space="0" w:color="auto"/>
        <w:right w:val="none" w:sz="0" w:space="0" w:color="auto"/>
      </w:divBdr>
    </w:div>
    <w:div w:id="535585357">
      <w:bodyDiv w:val="1"/>
      <w:marLeft w:val="0"/>
      <w:marRight w:val="0"/>
      <w:marTop w:val="0"/>
      <w:marBottom w:val="0"/>
      <w:divBdr>
        <w:top w:val="none" w:sz="0" w:space="0" w:color="auto"/>
        <w:left w:val="none" w:sz="0" w:space="0" w:color="auto"/>
        <w:bottom w:val="none" w:sz="0" w:space="0" w:color="auto"/>
        <w:right w:val="none" w:sz="0" w:space="0" w:color="auto"/>
      </w:divBdr>
    </w:div>
    <w:div w:id="535657476">
      <w:bodyDiv w:val="1"/>
      <w:marLeft w:val="0"/>
      <w:marRight w:val="0"/>
      <w:marTop w:val="0"/>
      <w:marBottom w:val="0"/>
      <w:divBdr>
        <w:top w:val="none" w:sz="0" w:space="0" w:color="auto"/>
        <w:left w:val="none" w:sz="0" w:space="0" w:color="auto"/>
        <w:bottom w:val="none" w:sz="0" w:space="0" w:color="auto"/>
        <w:right w:val="none" w:sz="0" w:space="0" w:color="auto"/>
      </w:divBdr>
    </w:div>
    <w:div w:id="535778322">
      <w:bodyDiv w:val="1"/>
      <w:marLeft w:val="0"/>
      <w:marRight w:val="0"/>
      <w:marTop w:val="0"/>
      <w:marBottom w:val="0"/>
      <w:divBdr>
        <w:top w:val="none" w:sz="0" w:space="0" w:color="auto"/>
        <w:left w:val="none" w:sz="0" w:space="0" w:color="auto"/>
        <w:bottom w:val="none" w:sz="0" w:space="0" w:color="auto"/>
        <w:right w:val="none" w:sz="0" w:space="0" w:color="auto"/>
      </w:divBdr>
    </w:div>
    <w:div w:id="535780454">
      <w:bodyDiv w:val="1"/>
      <w:marLeft w:val="0"/>
      <w:marRight w:val="0"/>
      <w:marTop w:val="0"/>
      <w:marBottom w:val="0"/>
      <w:divBdr>
        <w:top w:val="none" w:sz="0" w:space="0" w:color="auto"/>
        <w:left w:val="none" w:sz="0" w:space="0" w:color="auto"/>
        <w:bottom w:val="none" w:sz="0" w:space="0" w:color="auto"/>
        <w:right w:val="none" w:sz="0" w:space="0" w:color="auto"/>
      </w:divBdr>
    </w:div>
    <w:div w:id="535823197">
      <w:bodyDiv w:val="1"/>
      <w:marLeft w:val="0"/>
      <w:marRight w:val="0"/>
      <w:marTop w:val="0"/>
      <w:marBottom w:val="0"/>
      <w:divBdr>
        <w:top w:val="none" w:sz="0" w:space="0" w:color="auto"/>
        <w:left w:val="none" w:sz="0" w:space="0" w:color="auto"/>
        <w:bottom w:val="none" w:sz="0" w:space="0" w:color="auto"/>
        <w:right w:val="none" w:sz="0" w:space="0" w:color="auto"/>
      </w:divBdr>
    </w:div>
    <w:div w:id="535967302">
      <w:bodyDiv w:val="1"/>
      <w:marLeft w:val="0"/>
      <w:marRight w:val="0"/>
      <w:marTop w:val="0"/>
      <w:marBottom w:val="0"/>
      <w:divBdr>
        <w:top w:val="none" w:sz="0" w:space="0" w:color="auto"/>
        <w:left w:val="none" w:sz="0" w:space="0" w:color="auto"/>
        <w:bottom w:val="none" w:sz="0" w:space="0" w:color="auto"/>
        <w:right w:val="none" w:sz="0" w:space="0" w:color="auto"/>
      </w:divBdr>
    </w:div>
    <w:div w:id="535972437">
      <w:bodyDiv w:val="1"/>
      <w:marLeft w:val="0"/>
      <w:marRight w:val="0"/>
      <w:marTop w:val="0"/>
      <w:marBottom w:val="0"/>
      <w:divBdr>
        <w:top w:val="none" w:sz="0" w:space="0" w:color="auto"/>
        <w:left w:val="none" w:sz="0" w:space="0" w:color="auto"/>
        <w:bottom w:val="none" w:sz="0" w:space="0" w:color="auto"/>
        <w:right w:val="none" w:sz="0" w:space="0" w:color="auto"/>
      </w:divBdr>
    </w:div>
    <w:div w:id="536084592">
      <w:bodyDiv w:val="1"/>
      <w:marLeft w:val="0"/>
      <w:marRight w:val="0"/>
      <w:marTop w:val="0"/>
      <w:marBottom w:val="0"/>
      <w:divBdr>
        <w:top w:val="none" w:sz="0" w:space="0" w:color="auto"/>
        <w:left w:val="none" w:sz="0" w:space="0" w:color="auto"/>
        <w:bottom w:val="none" w:sz="0" w:space="0" w:color="auto"/>
        <w:right w:val="none" w:sz="0" w:space="0" w:color="auto"/>
      </w:divBdr>
    </w:div>
    <w:div w:id="536281807">
      <w:bodyDiv w:val="1"/>
      <w:marLeft w:val="0"/>
      <w:marRight w:val="0"/>
      <w:marTop w:val="0"/>
      <w:marBottom w:val="0"/>
      <w:divBdr>
        <w:top w:val="none" w:sz="0" w:space="0" w:color="auto"/>
        <w:left w:val="none" w:sz="0" w:space="0" w:color="auto"/>
        <w:bottom w:val="none" w:sz="0" w:space="0" w:color="auto"/>
        <w:right w:val="none" w:sz="0" w:space="0" w:color="auto"/>
      </w:divBdr>
    </w:div>
    <w:div w:id="536772392">
      <w:bodyDiv w:val="1"/>
      <w:marLeft w:val="0"/>
      <w:marRight w:val="0"/>
      <w:marTop w:val="0"/>
      <w:marBottom w:val="0"/>
      <w:divBdr>
        <w:top w:val="none" w:sz="0" w:space="0" w:color="auto"/>
        <w:left w:val="none" w:sz="0" w:space="0" w:color="auto"/>
        <w:bottom w:val="none" w:sz="0" w:space="0" w:color="auto"/>
        <w:right w:val="none" w:sz="0" w:space="0" w:color="auto"/>
      </w:divBdr>
    </w:div>
    <w:div w:id="537013042">
      <w:bodyDiv w:val="1"/>
      <w:marLeft w:val="0"/>
      <w:marRight w:val="0"/>
      <w:marTop w:val="0"/>
      <w:marBottom w:val="0"/>
      <w:divBdr>
        <w:top w:val="none" w:sz="0" w:space="0" w:color="auto"/>
        <w:left w:val="none" w:sz="0" w:space="0" w:color="auto"/>
        <w:bottom w:val="none" w:sz="0" w:space="0" w:color="auto"/>
        <w:right w:val="none" w:sz="0" w:space="0" w:color="auto"/>
      </w:divBdr>
    </w:div>
    <w:div w:id="537090185">
      <w:bodyDiv w:val="1"/>
      <w:marLeft w:val="0"/>
      <w:marRight w:val="0"/>
      <w:marTop w:val="0"/>
      <w:marBottom w:val="0"/>
      <w:divBdr>
        <w:top w:val="none" w:sz="0" w:space="0" w:color="auto"/>
        <w:left w:val="none" w:sz="0" w:space="0" w:color="auto"/>
        <w:bottom w:val="none" w:sz="0" w:space="0" w:color="auto"/>
        <w:right w:val="none" w:sz="0" w:space="0" w:color="auto"/>
      </w:divBdr>
    </w:div>
    <w:div w:id="537157768">
      <w:bodyDiv w:val="1"/>
      <w:marLeft w:val="0"/>
      <w:marRight w:val="0"/>
      <w:marTop w:val="0"/>
      <w:marBottom w:val="0"/>
      <w:divBdr>
        <w:top w:val="none" w:sz="0" w:space="0" w:color="auto"/>
        <w:left w:val="none" w:sz="0" w:space="0" w:color="auto"/>
        <w:bottom w:val="none" w:sz="0" w:space="0" w:color="auto"/>
        <w:right w:val="none" w:sz="0" w:space="0" w:color="auto"/>
      </w:divBdr>
    </w:div>
    <w:div w:id="537550626">
      <w:bodyDiv w:val="1"/>
      <w:marLeft w:val="0"/>
      <w:marRight w:val="0"/>
      <w:marTop w:val="0"/>
      <w:marBottom w:val="0"/>
      <w:divBdr>
        <w:top w:val="none" w:sz="0" w:space="0" w:color="auto"/>
        <w:left w:val="none" w:sz="0" w:space="0" w:color="auto"/>
        <w:bottom w:val="none" w:sz="0" w:space="0" w:color="auto"/>
        <w:right w:val="none" w:sz="0" w:space="0" w:color="auto"/>
      </w:divBdr>
    </w:div>
    <w:div w:id="537861251">
      <w:bodyDiv w:val="1"/>
      <w:marLeft w:val="0"/>
      <w:marRight w:val="0"/>
      <w:marTop w:val="0"/>
      <w:marBottom w:val="0"/>
      <w:divBdr>
        <w:top w:val="none" w:sz="0" w:space="0" w:color="auto"/>
        <w:left w:val="none" w:sz="0" w:space="0" w:color="auto"/>
        <w:bottom w:val="none" w:sz="0" w:space="0" w:color="auto"/>
        <w:right w:val="none" w:sz="0" w:space="0" w:color="auto"/>
      </w:divBdr>
    </w:div>
    <w:div w:id="538008210">
      <w:bodyDiv w:val="1"/>
      <w:marLeft w:val="0"/>
      <w:marRight w:val="0"/>
      <w:marTop w:val="0"/>
      <w:marBottom w:val="0"/>
      <w:divBdr>
        <w:top w:val="none" w:sz="0" w:space="0" w:color="auto"/>
        <w:left w:val="none" w:sz="0" w:space="0" w:color="auto"/>
        <w:bottom w:val="none" w:sz="0" w:space="0" w:color="auto"/>
        <w:right w:val="none" w:sz="0" w:space="0" w:color="auto"/>
      </w:divBdr>
    </w:div>
    <w:div w:id="538396323">
      <w:bodyDiv w:val="1"/>
      <w:marLeft w:val="0"/>
      <w:marRight w:val="0"/>
      <w:marTop w:val="0"/>
      <w:marBottom w:val="0"/>
      <w:divBdr>
        <w:top w:val="none" w:sz="0" w:space="0" w:color="auto"/>
        <w:left w:val="none" w:sz="0" w:space="0" w:color="auto"/>
        <w:bottom w:val="none" w:sz="0" w:space="0" w:color="auto"/>
        <w:right w:val="none" w:sz="0" w:space="0" w:color="auto"/>
      </w:divBdr>
    </w:div>
    <w:div w:id="538591326">
      <w:bodyDiv w:val="1"/>
      <w:marLeft w:val="0"/>
      <w:marRight w:val="0"/>
      <w:marTop w:val="0"/>
      <w:marBottom w:val="0"/>
      <w:divBdr>
        <w:top w:val="none" w:sz="0" w:space="0" w:color="auto"/>
        <w:left w:val="none" w:sz="0" w:space="0" w:color="auto"/>
        <w:bottom w:val="none" w:sz="0" w:space="0" w:color="auto"/>
        <w:right w:val="none" w:sz="0" w:space="0" w:color="auto"/>
      </w:divBdr>
    </w:div>
    <w:div w:id="538661159">
      <w:bodyDiv w:val="1"/>
      <w:marLeft w:val="0"/>
      <w:marRight w:val="0"/>
      <w:marTop w:val="0"/>
      <w:marBottom w:val="0"/>
      <w:divBdr>
        <w:top w:val="none" w:sz="0" w:space="0" w:color="auto"/>
        <w:left w:val="none" w:sz="0" w:space="0" w:color="auto"/>
        <w:bottom w:val="none" w:sz="0" w:space="0" w:color="auto"/>
        <w:right w:val="none" w:sz="0" w:space="0" w:color="auto"/>
      </w:divBdr>
    </w:div>
    <w:div w:id="538708350">
      <w:bodyDiv w:val="1"/>
      <w:marLeft w:val="0"/>
      <w:marRight w:val="0"/>
      <w:marTop w:val="0"/>
      <w:marBottom w:val="0"/>
      <w:divBdr>
        <w:top w:val="none" w:sz="0" w:space="0" w:color="auto"/>
        <w:left w:val="none" w:sz="0" w:space="0" w:color="auto"/>
        <w:bottom w:val="none" w:sz="0" w:space="0" w:color="auto"/>
        <w:right w:val="none" w:sz="0" w:space="0" w:color="auto"/>
      </w:divBdr>
    </w:div>
    <w:div w:id="538976986">
      <w:bodyDiv w:val="1"/>
      <w:marLeft w:val="0"/>
      <w:marRight w:val="0"/>
      <w:marTop w:val="0"/>
      <w:marBottom w:val="0"/>
      <w:divBdr>
        <w:top w:val="none" w:sz="0" w:space="0" w:color="auto"/>
        <w:left w:val="none" w:sz="0" w:space="0" w:color="auto"/>
        <w:bottom w:val="none" w:sz="0" w:space="0" w:color="auto"/>
        <w:right w:val="none" w:sz="0" w:space="0" w:color="auto"/>
      </w:divBdr>
    </w:div>
    <w:div w:id="539131383">
      <w:bodyDiv w:val="1"/>
      <w:marLeft w:val="0"/>
      <w:marRight w:val="0"/>
      <w:marTop w:val="0"/>
      <w:marBottom w:val="0"/>
      <w:divBdr>
        <w:top w:val="none" w:sz="0" w:space="0" w:color="auto"/>
        <w:left w:val="none" w:sz="0" w:space="0" w:color="auto"/>
        <w:bottom w:val="none" w:sz="0" w:space="0" w:color="auto"/>
        <w:right w:val="none" w:sz="0" w:space="0" w:color="auto"/>
      </w:divBdr>
    </w:div>
    <w:div w:id="539320029">
      <w:bodyDiv w:val="1"/>
      <w:marLeft w:val="0"/>
      <w:marRight w:val="0"/>
      <w:marTop w:val="0"/>
      <w:marBottom w:val="0"/>
      <w:divBdr>
        <w:top w:val="none" w:sz="0" w:space="0" w:color="auto"/>
        <w:left w:val="none" w:sz="0" w:space="0" w:color="auto"/>
        <w:bottom w:val="none" w:sz="0" w:space="0" w:color="auto"/>
        <w:right w:val="none" w:sz="0" w:space="0" w:color="auto"/>
      </w:divBdr>
    </w:div>
    <w:div w:id="539323100">
      <w:bodyDiv w:val="1"/>
      <w:marLeft w:val="0"/>
      <w:marRight w:val="0"/>
      <w:marTop w:val="0"/>
      <w:marBottom w:val="0"/>
      <w:divBdr>
        <w:top w:val="none" w:sz="0" w:space="0" w:color="auto"/>
        <w:left w:val="none" w:sz="0" w:space="0" w:color="auto"/>
        <w:bottom w:val="none" w:sz="0" w:space="0" w:color="auto"/>
        <w:right w:val="none" w:sz="0" w:space="0" w:color="auto"/>
      </w:divBdr>
    </w:div>
    <w:div w:id="539434839">
      <w:bodyDiv w:val="1"/>
      <w:marLeft w:val="0"/>
      <w:marRight w:val="0"/>
      <w:marTop w:val="0"/>
      <w:marBottom w:val="0"/>
      <w:divBdr>
        <w:top w:val="none" w:sz="0" w:space="0" w:color="auto"/>
        <w:left w:val="none" w:sz="0" w:space="0" w:color="auto"/>
        <w:bottom w:val="none" w:sz="0" w:space="0" w:color="auto"/>
        <w:right w:val="none" w:sz="0" w:space="0" w:color="auto"/>
      </w:divBdr>
    </w:div>
    <w:div w:id="539704399">
      <w:bodyDiv w:val="1"/>
      <w:marLeft w:val="0"/>
      <w:marRight w:val="0"/>
      <w:marTop w:val="0"/>
      <w:marBottom w:val="0"/>
      <w:divBdr>
        <w:top w:val="none" w:sz="0" w:space="0" w:color="auto"/>
        <w:left w:val="none" w:sz="0" w:space="0" w:color="auto"/>
        <w:bottom w:val="none" w:sz="0" w:space="0" w:color="auto"/>
        <w:right w:val="none" w:sz="0" w:space="0" w:color="auto"/>
      </w:divBdr>
    </w:div>
    <w:div w:id="539975213">
      <w:bodyDiv w:val="1"/>
      <w:marLeft w:val="0"/>
      <w:marRight w:val="0"/>
      <w:marTop w:val="0"/>
      <w:marBottom w:val="0"/>
      <w:divBdr>
        <w:top w:val="none" w:sz="0" w:space="0" w:color="auto"/>
        <w:left w:val="none" w:sz="0" w:space="0" w:color="auto"/>
        <w:bottom w:val="none" w:sz="0" w:space="0" w:color="auto"/>
        <w:right w:val="none" w:sz="0" w:space="0" w:color="auto"/>
      </w:divBdr>
    </w:div>
    <w:div w:id="540244514">
      <w:bodyDiv w:val="1"/>
      <w:marLeft w:val="0"/>
      <w:marRight w:val="0"/>
      <w:marTop w:val="0"/>
      <w:marBottom w:val="0"/>
      <w:divBdr>
        <w:top w:val="none" w:sz="0" w:space="0" w:color="auto"/>
        <w:left w:val="none" w:sz="0" w:space="0" w:color="auto"/>
        <w:bottom w:val="none" w:sz="0" w:space="0" w:color="auto"/>
        <w:right w:val="none" w:sz="0" w:space="0" w:color="auto"/>
      </w:divBdr>
    </w:div>
    <w:div w:id="540284029">
      <w:bodyDiv w:val="1"/>
      <w:marLeft w:val="0"/>
      <w:marRight w:val="0"/>
      <w:marTop w:val="0"/>
      <w:marBottom w:val="0"/>
      <w:divBdr>
        <w:top w:val="none" w:sz="0" w:space="0" w:color="auto"/>
        <w:left w:val="none" w:sz="0" w:space="0" w:color="auto"/>
        <w:bottom w:val="none" w:sz="0" w:space="0" w:color="auto"/>
        <w:right w:val="none" w:sz="0" w:space="0" w:color="auto"/>
      </w:divBdr>
    </w:div>
    <w:div w:id="540554468">
      <w:bodyDiv w:val="1"/>
      <w:marLeft w:val="0"/>
      <w:marRight w:val="0"/>
      <w:marTop w:val="0"/>
      <w:marBottom w:val="0"/>
      <w:divBdr>
        <w:top w:val="none" w:sz="0" w:space="0" w:color="auto"/>
        <w:left w:val="none" w:sz="0" w:space="0" w:color="auto"/>
        <w:bottom w:val="none" w:sz="0" w:space="0" w:color="auto"/>
        <w:right w:val="none" w:sz="0" w:space="0" w:color="auto"/>
      </w:divBdr>
    </w:div>
    <w:div w:id="540747547">
      <w:bodyDiv w:val="1"/>
      <w:marLeft w:val="0"/>
      <w:marRight w:val="0"/>
      <w:marTop w:val="0"/>
      <w:marBottom w:val="0"/>
      <w:divBdr>
        <w:top w:val="none" w:sz="0" w:space="0" w:color="auto"/>
        <w:left w:val="none" w:sz="0" w:space="0" w:color="auto"/>
        <w:bottom w:val="none" w:sz="0" w:space="0" w:color="auto"/>
        <w:right w:val="none" w:sz="0" w:space="0" w:color="auto"/>
      </w:divBdr>
    </w:div>
    <w:div w:id="540751926">
      <w:bodyDiv w:val="1"/>
      <w:marLeft w:val="0"/>
      <w:marRight w:val="0"/>
      <w:marTop w:val="0"/>
      <w:marBottom w:val="0"/>
      <w:divBdr>
        <w:top w:val="none" w:sz="0" w:space="0" w:color="auto"/>
        <w:left w:val="none" w:sz="0" w:space="0" w:color="auto"/>
        <w:bottom w:val="none" w:sz="0" w:space="0" w:color="auto"/>
        <w:right w:val="none" w:sz="0" w:space="0" w:color="auto"/>
      </w:divBdr>
    </w:div>
    <w:div w:id="540826548">
      <w:bodyDiv w:val="1"/>
      <w:marLeft w:val="0"/>
      <w:marRight w:val="0"/>
      <w:marTop w:val="0"/>
      <w:marBottom w:val="0"/>
      <w:divBdr>
        <w:top w:val="none" w:sz="0" w:space="0" w:color="auto"/>
        <w:left w:val="none" w:sz="0" w:space="0" w:color="auto"/>
        <w:bottom w:val="none" w:sz="0" w:space="0" w:color="auto"/>
        <w:right w:val="none" w:sz="0" w:space="0" w:color="auto"/>
      </w:divBdr>
    </w:div>
    <w:div w:id="540869103">
      <w:bodyDiv w:val="1"/>
      <w:marLeft w:val="0"/>
      <w:marRight w:val="0"/>
      <w:marTop w:val="0"/>
      <w:marBottom w:val="0"/>
      <w:divBdr>
        <w:top w:val="none" w:sz="0" w:space="0" w:color="auto"/>
        <w:left w:val="none" w:sz="0" w:space="0" w:color="auto"/>
        <w:bottom w:val="none" w:sz="0" w:space="0" w:color="auto"/>
        <w:right w:val="none" w:sz="0" w:space="0" w:color="auto"/>
      </w:divBdr>
    </w:div>
    <w:div w:id="541095308">
      <w:bodyDiv w:val="1"/>
      <w:marLeft w:val="0"/>
      <w:marRight w:val="0"/>
      <w:marTop w:val="0"/>
      <w:marBottom w:val="0"/>
      <w:divBdr>
        <w:top w:val="none" w:sz="0" w:space="0" w:color="auto"/>
        <w:left w:val="none" w:sz="0" w:space="0" w:color="auto"/>
        <w:bottom w:val="none" w:sz="0" w:space="0" w:color="auto"/>
        <w:right w:val="none" w:sz="0" w:space="0" w:color="auto"/>
      </w:divBdr>
    </w:div>
    <w:div w:id="541476012">
      <w:bodyDiv w:val="1"/>
      <w:marLeft w:val="0"/>
      <w:marRight w:val="0"/>
      <w:marTop w:val="0"/>
      <w:marBottom w:val="0"/>
      <w:divBdr>
        <w:top w:val="none" w:sz="0" w:space="0" w:color="auto"/>
        <w:left w:val="none" w:sz="0" w:space="0" w:color="auto"/>
        <w:bottom w:val="none" w:sz="0" w:space="0" w:color="auto"/>
        <w:right w:val="none" w:sz="0" w:space="0" w:color="auto"/>
      </w:divBdr>
    </w:div>
    <w:div w:id="541677513">
      <w:bodyDiv w:val="1"/>
      <w:marLeft w:val="0"/>
      <w:marRight w:val="0"/>
      <w:marTop w:val="0"/>
      <w:marBottom w:val="0"/>
      <w:divBdr>
        <w:top w:val="none" w:sz="0" w:space="0" w:color="auto"/>
        <w:left w:val="none" w:sz="0" w:space="0" w:color="auto"/>
        <w:bottom w:val="none" w:sz="0" w:space="0" w:color="auto"/>
        <w:right w:val="none" w:sz="0" w:space="0" w:color="auto"/>
      </w:divBdr>
    </w:div>
    <w:div w:id="541678484">
      <w:bodyDiv w:val="1"/>
      <w:marLeft w:val="0"/>
      <w:marRight w:val="0"/>
      <w:marTop w:val="0"/>
      <w:marBottom w:val="0"/>
      <w:divBdr>
        <w:top w:val="none" w:sz="0" w:space="0" w:color="auto"/>
        <w:left w:val="none" w:sz="0" w:space="0" w:color="auto"/>
        <w:bottom w:val="none" w:sz="0" w:space="0" w:color="auto"/>
        <w:right w:val="none" w:sz="0" w:space="0" w:color="auto"/>
      </w:divBdr>
    </w:div>
    <w:div w:id="541940074">
      <w:bodyDiv w:val="1"/>
      <w:marLeft w:val="0"/>
      <w:marRight w:val="0"/>
      <w:marTop w:val="0"/>
      <w:marBottom w:val="0"/>
      <w:divBdr>
        <w:top w:val="none" w:sz="0" w:space="0" w:color="auto"/>
        <w:left w:val="none" w:sz="0" w:space="0" w:color="auto"/>
        <w:bottom w:val="none" w:sz="0" w:space="0" w:color="auto"/>
        <w:right w:val="none" w:sz="0" w:space="0" w:color="auto"/>
      </w:divBdr>
    </w:div>
    <w:div w:id="542131242">
      <w:bodyDiv w:val="1"/>
      <w:marLeft w:val="0"/>
      <w:marRight w:val="0"/>
      <w:marTop w:val="0"/>
      <w:marBottom w:val="0"/>
      <w:divBdr>
        <w:top w:val="none" w:sz="0" w:space="0" w:color="auto"/>
        <w:left w:val="none" w:sz="0" w:space="0" w:color="auto"/>
        <w:bottom w:val="none" w:sz="0" w:space="0" w:color="auto"/>
        <w:right w:val="none" w:sz="0" w:space="0" w:color="auto"/>
      </w:divBdr>
    </w:div>
    <w:div w:id="542210444">
      <w:bodyDiv w:val="1"/>
      <w:marLeft w:val="0"/>
      <w:marRight w:val="0"/>
      <w:marTop w:val="0"/>
      <w:marBottom w:val="0"/>
      <w:divBdr>
        <w:top w:val="none" w:sz="0" w:space="0" w:color="auto"/>
        <w:left w:val="none" w:sz="0" w:space="0" w:color="auto"/>
        <w:bottom w:val="none" w:sz="0" w:space="0" w:color="auto"/>
        <w:right w:val="none" w:sz="0" w:space="0" w:color="auto"/>
      </w:divBdr>
    </w:div>
    <w:div w:id="542402202">
      <w:bodyDiv w:val="1"/>
      <w:marLeft w:val="0"/>
      <w:marRight w:val="0"/>
      <w:marTop w:val="0"/>
      <w:marBottom w:val="0"/>
      <w:divBdr>
        <w:top w:val="none" w:sz="0" w:space="0" w:color="auto"/>
        <w:left w:val="none" w:sz="0" w:space="0" w:color="auto"/>
        <w:bottom w:val="none" w:sz="0" w:space="0" w:color="auto"/>
        <w:right w:val="none" w:sz="0" w:space="0" w:color="auto"/>
      </w:divBdr>
    </w:div>
    <w:div w:id="542597004">
      <w:bodyDiv w:val="1"/>
      <w:marLeft w:val="0"/>
      <w:marRight w:val="0"/>
      <w:marTop w:val="0"/>
      <w:marBottom w:val="0"/>
      <w:divBdr>
        <w:top w:val="none" w:sz="0" w:space="0" w:color="auto"/>
        <w:left w:val="none" w:sz="0" w:space="0" w:color="auto"/>
        <w:bottom w:val="none" w:sz="0" w:space="0" w:color="auto"/>
        <w:right w:val="none" w:sz="0" w:space="0" w:color="auto"/>
      </w:divBdr>
    </w:div>
    <w:div w:id="542599123">
      <w:bodyDiv w:val="1"/>
      <w:marLeft w:val="0"/>
      <w:marRight w:val="0"/>
      <w:marTop w:val="0"/>
      <w:marBottom w:val="0"/>
      <w:divBdr>
        <w:top w:val="none" w:sz="0" w:space="0" w:color="auto"/>
        <w:left w:val="none" w:sz="0" w:space="0" w:color="auto"/>
        <w:bottom w:val="none" w:sz="0" w:space="0" w:color="auto"/>
        <w:right w:val="none" w:sz="0" w:space="0" w:color="auto"/>
      </w:divBdr>
    </w:div>
    <w:div w:id="542714865">
      <w:bodyDiv w:val="1"/>
      <w:marLeft w:val="0"/>
      <w:marRight w:val="0"/>
      <w:marTop w:val="0"/>
      <w:marBottom w:val="0"/>
      <w:divBdr>
        <w:top w:val="none" w:sz="0" w:space="0" w:color="auto"/>
        <w:left w:val="none" w:sz="0" w:space="0" w:color="auto"/>
        <w:bottom w:val="none" w:sz="0" w:space="0" w:color="auto"/>
        <w:right w:val="none" w:sz="0" w:space="0" w:color="auto"/>
      </w:divBdr>
    </w:div>
    <w:div w:id="542904086">
      <w:bodyDiv w:val="1"/>
      <w:marLeft w:val="0"/>
      <w:marRight w:val="0"/>
      <w:marTop w:val="0"/>
      <w:marBottom w:val="0"/>
      <w:divBdr>
        <w:top w:val="none" w:sz="0" w:space="0" w:color="auto"/>
        <w:left w:val="none" w:sz="0" w:space="0" w:color="auto"/>
        <w:bottom w:val="none" w:sz="0" w:space="0" w:color="auto"/>
        <w:right w:val="none" w:sz="0" w:space="0" w:color="auto"/>
      </w:divBdr>
    </w:div>
    <w:div w:id="543295249">
      <w:bodyDiv w:val="1"/>
      <w:marLeft w:val="0"/>
      <w:marRight w:val="0"/>
      <w:marTop w:val="0"/>
      <w:marBottom w:val="0"/>
      <w:divBdr>
        <w:top w:val="none" w:sz="0" w:space="0" w:color="auto"/>
        <w:left w:val="none" w:sz="0" w:space="0" w:color="auto"/>
        <w:bottom w:val="none" w:sz="0" w:space="0" w:color="auto"/>
        <w:right w:val="none" w:sz="0" w:space="0" w:color="auto"/>
      </w:divBdr>
    </w:div>
    <w:div w:id="543642883">
      <w:bodyDiv w:val="1"/>
      <w:marLeft w:val="0"/>
      <w:marRight w:val="0"/>
      <w:marTop w:val="0"/>
      <w:marBottom w:val="0"/>
      <w:divBdr>
        <w:top w:val="none" w:sz="0" w:space="0" w:color="auto"/>
        <w:left w:val="none" w:sz="0" w:space="0" w:color="auto"/>
        <w:bottom w:val="none" w:sz="0" w:space="0" w:color="auto"/>
        <w:right w:val="none" w:sz="0" w:space="0" w:color="auto"/>
      </w:divBdr>
    </w:div>
    <w:div w:id="543717485">
      <w:bodyDiv w:val="1"/>
      <w:marLeft w:val="0"/>
      <w:marRight w:val="0"/>
      <w:marTop w:val="0"/>
      <w:marBottom w:val="0"/>
      <w:divBdr>
        <w:top w:val="none" w:sz="0" w:space="0" w:color="auto"/>
        <w:left w:val="none" w:sz="0" w:space="0" w:color="auto"/>
        <w:bottom w:val="none" w:sz="0" w:space="0" w:color="auto"/>
        <w:right w:val="none" w:sz="0" w:space="0" w:color="auto"/>
      </w:divBdr>
    </w:div>
    <w:div w:id="543754394">
      <w:bodyDiv w:val="1"/>
      <w:marLeft w:val="0"/>
      <w:marRight w:val="0"/>
      <w:marTop w:val="0"/>
      <w:marBottom w:val="0"/>
      <w:divBdr>
        <w:top w:val="none" w:sz="0" w:space="0" w:color="auto"/>
        <w:left w:val="none" w:sz="0" w:space="0" w:color="auto"/>
        <w:bottom w:val="none" w:sz="0" w:space="0" w:color="auto"/>
        <w:right w:val="none" w:sz="0" w:space="0" w:color="auto"/>
      </w:divBdr>
    </w:div>
    <w:div w:id="543980630">
      <w:bodyDiv w:val="1"/>
      <w:marLeft w:val="0"/>
      <w:marRight w:val="0"/>
      <w:marTop w:val="0"/>
      <w:marBottom w:val="0"/>
      <w:divBdr>
        <w:top w:val="none" w:sz="0" w:space="0" w:color="auto"/>
        <w:left w:val="none" w:sz="0" w:space="0" w:color="auto"/>
        <w:bottom w:val="none" w:sz="0" w:space="0" w:color="auto"/>
        <w:right w:val="none" w:sz="0" w:space="0" w:color="auto"/>
      </w:divBdr>
    </w:div>
    <w:div w:id="544214716">
      <w:bodyDiv w:val="1"/>
      <w:marLeft w:val="0"/>
      <w:marRight w:val="0"/>
      <w:marTop w:val="0"/>
      <w:marBottom w:val="0"/>
      <w:divBdr>
        <w:top w:val="none" w:sz="0" w:space="0" w:color="auto"/>
        <w:left w:val="none" w:sz="0" w:space="0" w:color="auto"/>
        <w:bottom w:val="none" w:sz="0" w:space="0" w:color="auto"/>
        <w:right w:val="none" w:sz="0" w:space="0" w:color="auto"/>
      </w:divBdr>
    </w:div>
    <w:div w:id="544216170">
      <w:bodyDiv w:val="1"/>
      <w:marLeft w:val="0"/>
      <w:marRight w:val="0"/>
      <w:marTop w:val="0"/>
      <w:marBottom w:val="0"/>
      <w:divBdr>
        <w:top w:val="none" w:sz="0" w:space="0" w:color="auto"/>
        <w:left w:val="none" w:sz="0" w:space="0" w:color="auto"/>
        <w:bottom w:val="none" w:sz="0" w:space="0" w:color="auto"/>
        <w:right w:val="none" w:sz="0" w:space="0" w:color="auto"/>
      </w:divBdr>
    </w:div>
    <w:div w:id="544217428">
      <w:bodyDiv w:val="1"/>
      <w:marLeft w:val="0"/>
      <w:marRight w:val="0"/>
      <w:marTop w:val="0"/>
      <w:marBottom w:val="0"/>
      <w:divBdr>
        <w:top w:val="none" w:sz="0" w:space="0" w:color="auto"/>
        <w:left w:val="none" w:sz="0" w:space="0" w:color="auto"/>
        <w:bottom w:val="none" w:sz="0" w:space="0" w:color="auto"/>
        <w:right w:val="none" w:sz="0" w:space="0" w:color="auto"/>
      </w:divBdr>
    </w:div>
    <w:div w:id="544222461">
      <w:bodyDiv w:val="1"/>
      <w:marLeft w:val="0"/>
      <w:marRight w:val="0"/>
      <w:marTop w:val="0"/>
      <w:marBottom w:val="0"/>
      <w:divBdr>
        <w:top w:val="none" w:sz="0" w:space="0" w:color="auto"/>
        <w:left w:val="none" w:sz="0" w:space="0" w:color="auto"/>
        <w:bottom w:val="none" w:sz="0" w:space="0" w:color="auto"/>
        <w:right w:val="none" w:sz="0" w:space="0" w:color="auto"/>
      </w:divBdr>
    </w:div>
    <w:div w:id="544487796">
      <w:bodyDiv w:val="1"/>
      <w:marLeft w:val="0"/>
      <w:marRight w:val="0"/>
      <w:marTop w:val="0"/>
      <w:marBottom w:val="0"/>
      <w:divBdr>
        <w:top w:val="none" w:sz="0" w:space="0" w:color="auto"/>
        <w:left w:val="none" w:sz="0" w:space="0" w:color="auto"/>
        <w:bottom w:val="none" w:sz="0" w:space="0" w:color="auto"/>
        <w:right w:val="none" w:sz="0" w:space="0" w:color="auto"/>
      </w:divBdr>
    </w:div>
    <w:div w:id="544492447">
      <w:bodyDiv w:val="1"/>
      <w:marLeft w:val="0"/>
      <w:marRight w:val="0"/>
      <w:marTop w:val="0"/>
      <w:marBottom w:val="0"/>
      <w:divBdr>
        <w:top w:val="none" w:sz="0" w:space="0" w:color="auto"/>
        <w:left w:val="none" w:sz="0" w:space="0" w:color="auto"/>
        <w:bottom w:val="none" w:sz="0" w:space="0" w:color="auto"/>
        <w:right w:val="none" w:sz="0" w:space="0" w:color="auto"/>
      </w:divBdr>
    </w:div>
    <w:div w:id="544566036">
      <w:bodyDiv w:val="1"/>
      <w:marLeft w:val="0"/>
      <w:marRight w:val="0"/>
      <w:marTop w:val="0"/>
      <w:marBottom w:val="0"/>
      <w:divBdr>
        <w:top w:val="none" w:sz="0" w:space="0" w:color="auto"/>
        <w:left w:val="none" w:sz="0" w:space="0" w:color="auto"/>
        <w:bottom w:val="none" w:sz="0" w:space="0" w:color="auto"/>
        <w:right w:val="none" w:sz="0" w:space="0" w:color="auto"/>
      </w:divBdr>
    </w:div>
    <w:div w:id="544635547">
      <w:bodyDiv w:val="1"/>
      <w:marLeft w:val="0"/>
      <w:marRight w:val="0"/>
      <w:marTop w:val="0"/>
      <w:marBottom w:val="0"/>
      <w:divBdr>
        <w:top w:val="none" w:sz="0" w:space="0" w:color="auto"/>
        <w:left w:val="none" w:sz="0" w:space="0" w:color="auto"/>
        <w:bottom w:val="none" w:sz="0" w:space="0" w:color="auto"/>
        <w:right w:val="none" w:sz="0" w:space="0" w:color="auto"/>
      </w:divBdr>
    </w:div>
    <w:div w:id="544870661">
      <w:bodyDiv w:val="1"/>
      <w:marLeft w:val="0"/>
      <w:marRight w:val="0"/>
      <w:marTop w:val="0"/>
      <w:marBottom w:val="0"/>
      <w:divBdr>
        <w:top w:val="none" w:sz="0" w:space="0" w:color="auto"/>
        <w:left w:val="none" w:sz="0" w:space="0" w:color="auto"/>
        <w:bottom w:val="none" w:sz="0" w:space="0" w:color="auto"/>
        <w:right w:val="none" w:sz="0" w:space="0" w:color="auto"/>
      </w:divBdr>
    </w:div>
    <w:div w:id="544953016">
      <w:bodyDiv w:val="1"/>
      <w:marLeft w:val="0"/>
      <w:marRight w:val="0"/>
      <w:marTop w:val="0"/>
      <w:marBottom w:val="0"/>
      <w:divBdr>
        <w:top w:val="none" w:sz="0" w:space="0" w:color="auto"/>
        <w:left w:val="none" w:sz="0" w:space="0" w:color="auto"/>
        <w:bottom w:val="none" w:sz="0" w:space="0" w:color="auto"/>
        <w:right w:val="none" w:sz="0" w:space="0" w:color="auto"/>
      </w:divBdr>
    </w:div>
    <w:div w:id="545024017">
      <w:bodyDiv w:val="1"/>
      <w:marLeft w:val="0"/>
      <w:marRight w:val="0"/>
      <w:marTop w:val="0"/>
      <w:marBottom w:val="0"/>
      <w:divBdr>
        <w:top w:val="none" w:sz="0" w:space="0" w:color="auto"/>
        <w:left w:val="none" w:sz="0" w:space="0" w:color="auto"/>
        <w:bottom w:val="none" w:sz="0" w:space="0" w:color="auto"/>
        <w:right w:val="none" w:sz="0" w:space="0" w:color="auto"/>
      </w:divBdr>
    </w:div>
    <w:div w:id="545064898">
      <w:bodyDiv w:val="1"/>
      <w:marLeft w:val="0"/>
      <w:marRight w:val="0"/>
      <w:marTop w:val="0"/>
      <w:marBottom w:val="0"/>
      <w:divBdr>
        <w:top w:val="none" w:sz="0" w:space="0" w:color="auto"/>
        <w:left w:val="none" w:sz="0" w:space="0" w:color="auto"/>
        <w:bottom w:val="none" w:sz="0" w:space="0" w:color="auto"/>
        <w:right w:val="none" w:sz="0" w:space="0" w:color="auto"/>
      </w:divBdr>
    </w:div>
    <w:div w:id="545069325">
      <w:bodyDiv w:val="1"/>
      <w:marLeft w:val="0"/>
      <w:marRight w:val="0"/>
      <w:marTop w:val="0"/>
      <w:marBottom w:val="0"/>
      <w:divBdr>
        <w:top w:val="none" w:sz="0" w:space="0" w:color="auto"/>
        <w:left w:val="none" w:sz="0" w:space="0" w:color="auto"/>
        <w:bottom w:val="none" w:sz="0" w:space="0" w:color="auto"/>
        <w:right w:val="none" w:sz="0" w:space="0" w:color="auto"/>
      </w:divBdr>
    </w:div>
    <w:div w:id="545607392">
      <w:bodyDiv w:val="1"/>
      <w:marLeft w:val="0"/>
      <w:marRight w:val="0"/>
      <w:marTop w:val="0"/>
      <w:marBottom w:val="0"/>
      <w:divBdr>
        <w:top w:val="none" w:sz="0" w:space="0" w:color="auto"/>
        <w:left w:val="none" w:sz="0" w:space="0" w:color="auto"/>
        <w:bottom w:val="none" w:sz="0" w:space="0" w:color="auto"/>
        <w:right w:val="none" w:sz="0" w:space="0" w:color="auto"/>
      </w:divBdr>
    </w:div>
    <w:div w:id="545680766">
      <w:bodyDiv w:val="1"/>
      <w:marLeft w:val="0"/>
      <w:marRight w:val="0"/>
      <w:marTop w:val="0"/>
      <w:marBottom w:val="0"/>
      <w:divBdr>
        <w:top w:val="none" w:sz="0" w:space="0" w:color="auto"/>
        <w:left w:val="none" w:sz="0" w:space="0" w:color="auto"/>
        <w:bottom w:val="none" w:sz="0" w:space="0" w:color="auto"/>
        <w:right w:val="none" w:sz="0" w:space="0" w:color="auto"/>
      </w:divBdr>
    </w:div>
    <w:div w:id="545794180">
      <w:bodyDiv w:val="1"/>
      <w:marLeft w:val="0"/>
      <w:marRight w:val="0"/>
      <w:marTop w:val="0"/>
      <w:marBottom w:val="0"/>
      <w:divBdr>
        <w:top w:val="none" w:sz="0" w:space="0" w:color="auto"/>
        <w:left w:val="none" w:sz="0" w:space="0" w:color="auto"/>
        <w:bottom w:val="none" w:sz="0" w:space="0" w:color="auto"/>
        <w:right w:val="none" w:sz="0" w:space="0" w:color="auto"/>
      </w:divBdr>
    </w:div>
    <w:div w:id="545947454">
      <w:bodyDiv w:val="1"/>
      <w:marLeft w:val="0"/>
      <w:marRight w:val="0"/>
      <w:marTop w:val="0"/>
      <w:marBottom w:val="0"/>
      <w:divBdr>
        <w:top w:val="none" w:sz="0" w:space="0" w:color="auto"/>
        <w:left w:val="none" w:sz="0" w:space="0" w:color="auto"/>
        <w:bottom w:val="none" w:sz="0" w:space="0" w:color="auto"/>
        <w:right w:val="none" w:sz="0" w:space="0" w:color="auto"/>
      </w:divBdr>
    </w:div>
    <w:div w:id="546182865">
      <w:bodyDiv w:val="1"/>
      <w:marLeft w:val="0"/>
      <w:marRight w:val="0"/>
      <w:marTop w:val="0"/>
      <w:marBottom w:val="0"/>
      <w:divBdr>
        <w:top w:val="none" w:sz="0" w:space="0" w:color="auto"/>
        <w:left w:val="none" w:sz="0" w:space="0" w:color="auto"/>
        <w:bottom w:val="none" w:sz="0" w:space="0" w:color="auto"/>
        <w:right w:val="none" w:sz="0" w:space="0" w:color="auto"/>
      </w:divBdr>
    </w:div>
    <w:div w:id="546336245">
      <w:bodyDiv w:val="1"/>
      <w:marLeft w:val="0"/>
      <w:marRight w:val="0"/>
      <w:marTop w:val="0"/>
      <w:marBottom w:val="0"/>
      <w:divBdr>
        <w:top w:val="none" w:sz="0" w:space="0" w:color="auto"/>
        <w:left w:val="none" w:sz="0" w:space="0" w:color="auto"/>
        <w:bottom w:val="none" w:sz="0" w:space="0" w:color="auto"/>
        <w:right w:val="none" w:sz="0" w:space="0" w:color="auto"/>
      </w:divBdr>
    </w:div>
    <w:div w:id="546600514">
      <w:bodyDiv w:val="1"/>
      <w:marLeft w:val="0"/>
      <w:marRight w:val="0"/>
      <w:marTop w:val="0"/>
      <w:marBottom w:val="0"/>
      <w:divBdr>
        <w:top w:val="none" w:sz="0" w:space="0" w:color="auto"/>
        <w:left w:val="none" w:sz="0" w:space="0" w:color="auto"/>
        <w:bottom w:val="none" w:sz="0" w:space="0" w:color="auto"/>
        <w:right w:val="none" w:sz="0" w:space="0" w:color="auto"/>
      </w:divBdr>
    </w:div>
    <w:div w:id="546722879">
      <w:bodyDiv w:val="1"/>
      <w:marLeft w:val="0"/>
      <w:marRight w:val="0"/>
      <w:marTop w:val="0"/>
      <w:marBottom w:val="0"/>
      <w:divBdr>
        <w:top w:val="none" w:sz="0" w:space="0" w:color="auto"/>
        <w:left w:val="none" w:sz="0" w:space="0" w:color="auto"/>
        <w:bottom w:val="none" w:sz="0" w:space="0" w:color="auto"/>
        <w:right w:val="none" w:sz="0" w:space="0" w:color="auto"/>
      </w:divBdr>
    </w:div>
    <w:div w:id="546723853">
      <w:bodyDiv w:val="1"/>
      <w:marLeft w:val="0"/>
      <w:marRight w:val="0"/>
      <w:marTop w:val="0"/>
      <w:marBottom w:val="0"/>
      <w:divBdr>
        <w:top w:val="none" w:sz="0" w:space="0" w:color="auto"/>
        <w:left w:val="none" w:sz="0" w:space="0" w:color="auto"/>
        <w:bottom w:val="none" w:sz="0" w:space="0" w:color="auto"/>
        <w:right w:val="none" w:sz="0" w:space="0" w:color="auto"/>
      </w:divBdr>
    </w:div>
    <w:div w:id="546990085">
      <w:bodyDiv w:val="1"/>
      <w:marLeft w:val="0"/>
      <w:marRight w:val="0"/>
      <w:marTop w:val="0"/>
      <w:marBottom w:val="0"/>
      <w:divBdr>
        <w:top w:val="none" w:sz="0" w:space="0" w:color="auto"/>
        <w:left w:val="none" w:sz="0" w:space="0" w:color="auto"/>
        <w:bottom w:val="none" w:sz="0" w:space="0" w:color="auto"/>
        <w:right w:val="none" w:sz="0" w:space="0" w:color="auto"/>
      </w:divBdr>
    </w:div>
    <w:div w:id="547112260">
      <w:bodyDiv w:val="1"/>
      <w:marLeft w:val="0"/>
      <w:marRight w:val="0"/>
      <w:marTop w:val="0"/>
      <w:marBottom w:val="0"/>
      <w:divBdr>
        <w:top w:val="none" w:sz="0" w:space="0" w:color="auto"/>
        <w:left w:val="none" w:sz="0" w:space="0" w:color="auto"/>
        <w:bottom w:val="none" w:sz="0" w:space="0" w:color="auto"/>
        <w:right w:val="none" w:sz="0" w:space="0" w:color="auto"/>
      </w:divBdr>
    </w:div>
    <w:div w:id="547301163">
      <w:bodyDiv w:val="1"/>
      <w:marLeft w:val="0"/>
      <w:marRight w:val="0"/>
      <w:marTop w:val="0"/>
      <w:marBottom w:val="0"/>
      <w:divBdr>
        <w:top w:val="none" w:sz="0" w:space="0" w:color="auto"/>
        <w:left w:val="none" w:sz="0" w:space="0" w:color="auto"/>
        <w:bottom w:val="none" w:sz="0" w:space="0" w:color="auto"/>
        <w:right w:val="none" w:sz="0" w:space="0" w:color="auto"/>
      </w:divBdr>
    </w:div>
    <w:div w:id="547646451">
      <w:bodyDiv w:val="1"/>
      <w:marLeft w:val="0"/>
      <w:marRight w:val="0"/>
      <w:marTop w:val="0"/>
      <w:marBottom w:val="0"/>
      <w:divBdr>
        <w:top w:val="none" w:sz="0" w:space="0" w:color="auto"/>
        <w:left w:val="none" w:sz="0" w:space="0" w:color="auto"/>
        <w:bottom w:val="none" w:sz="0" w:space="0" w:color="auto"/>
        <w:right w:val="none" w:sz="0" w:space="0" w:color="auto"/>
      </w:divBdr>
    </w:div>
    <w:div w:id="547685532">
      <w:bodyDiv w:val="1"/>
      <w:marLeft w:val="0"/>
      <w:marRight w:val="0"/>
      <w:marTop w:val="0"/>
      <w:marBottom w:val="0"/>
      <w:divBdr>
        <w:top w:val="none" w:sz="0" w:space="0" w:color="auto"/>
        <w:left w:val="none" w:sz="0" w:space="0" w:color="auto"/>
        <w:bottom w:val="none" w:sz="0" w:space="0" w:color="auto"/>
        <w:right w:val="none" w:sz="0" w:space="0" w:color="auto"/>
      </w:divBdr>
    </w:div>
    <w:div w:id="547686817">
      <w:bodyDiv w:val="1"/>
      <w:marLeft w:val="0"/>
      <w:marRight w:val="0"/>
      <w:marTop w:val="0"/>
      <w:marBottom w:val="0"/>
      <w:divBdr>
        <w:top w:val="none" w:sz="0" w:space="0" w:color="auto"/>
        <w:left w:val="none" w:sz="0" w:space="0" w:color="auto"/>
        <w:bottom w:val="none" w:sz="0" w:space="0" w:color="auto"/>
        <w:right w:val="none" w:sz="0" w:space="0" w:color="auto"/>
      </w:divBdr>
    </w:div>
    <w:div w:id="547761399">
      <w:bodyDiv w:val="1"/>
      <w:marLeft w:val="0"/>
      <w:marRight w:val="0"/>
      <w:marTop w:val="0"/>
      <w:marBottom w:val="0"/>
      <w:divBdr>
        <w:top w:val="none" w:sz="0" w:space="0" w:color="auto"/>
        <w:left w:val="none" w:sz="0" w:space="0" w:color="auto"/>
        <w:bottom w:val="none" w:sz="0" w:space="0" w:color="auto"/>
        <w:right w:val="none" w:sz="0" w:space="0" w:color="auto"/>
      </w:divBdr>
    </w:div>
    <w:div w:id="548109010">
      <w:bodyDiv w:val="1"/>
      <w:marLeft w:val="0"/>
      <w:marRight w:val="0"/>
      <w:marTop w:val="0"/>
      <w:marBottom w:val="0"/>
      <w:divBdr>
        <w:top w:val="none" w:sz="0" w:space="0" w:color="auto"/>
        <w:left w:val="none" w:sz="0" w:space="0" w:color="auto"/>
        <w:bottom w:val="none" w:sz="0" w:space="0" w:color="auto"/>
        <w:right w:val="none" w:sz="0" w:space="0" w:color="auto"/>
      </w:divBdr>
    </w:div>
    <w:div w:id="548231156">
      <w:bodyDiv w:val="1"/>
      <w:marLeft w:val="0"/>
      <w:marRight w:val="0"/>
      <w:marTop w:val="0"/>
      <w:marBottom w:val="0"/>
      <w:divBdr>
        <w:top w:val="none" w:sz="0" w:space="0" w:color="auto"/>
        <w:left w:val="none" w:sz="0" w:space="0" w:color="auto"/>
        <w:bottom w:val="none" w:sz="0" w:space="0" w:color="auto"/>
        <w:right w:val="none" w:sz="0" w:space="0" w:color="auto"/>
      </w:divBdr>
    </w:div>
    <w:div w:id="548305174">
      <w:bodyDiv w:val="1"/>
      <w:marLeft w:val="0"/>
      <w:marRight w:val="0"/>
      <w:marTop w:val="0"/>
      <w:marBottom w:val="0"/>
      <w:divBdr>
        <w:top w:val="none" w:sz="0" w:space="0" w:color="auto"/>
        <w:left w:val="none" w:sz="0" w:space="0" w:color="auto"/>
        <w:bottom w:val="none" w:sz="0" w:space="0" w:color="auto"/>
        <w:right w:val="none" w:sz="0" w:space="0" w:color="auto"/>
      </w:divBdr>
    </w:div>
    <w:div w:id="548341478">
      <w:bodyDiv w:val="1"/>
      <w:marLeft w:val="0"/>
      <w:marRight w:val="0"/>
      <w:marTop w:val="0"/>
      <w:marBottom w:val="0"/>
      <w:divBdr>
        <w:top w:val="none" w:sz="0" w:space="0" w:color="auto"/>
        <w:left w:val="none" w:sz="0" w:space="0" w:color="auto"/>
        <w:bottom w:val="none" w:sz="0" w:space="0" w:color="auto"/>
        <w:right w:val="none" w:sz="0" w:space="0" w:color="auto"/>
      </w:divBdr>
    </w:div>
    <w:div w:id="548540210">
      <w:bodyDiv w:val="1"/>
      <w:marLeft w:val="0"/>
      <w:marRight w:val="0"/>
      <w:marTop w:val="0"/>
      <w:marBottom w:val="0"/>
      <w:divBdr>
        <w:top w:val="none" w:sz="0" w:space="0" w:color="auto"/>
        <w:left w:val="none" w:sz="0" w:space="0" w:color="auto"/>
        <w:bottom w:val="none" w:sz="0" w:space="0" w:color="auto"/>
        <w:right w:val="none" w:sz="0" w:space="0" w:color="auto"/>
      </w:divBdr>
    </w:div>
    <w:div w:id="548612896">
      <w:bodyDiv w:val="1"/>
      <w:marLeft w:val="0"/>
      <w:marRight w:val="0"/>
      <w:marTop w:val="0"/>
      <w:marBottom w:val="0"/>
      <w:divBdr>
        <w:top w:val="none" w:sz="0" w:space="0" w:color="auto"/>
        <w:left w:val="none" w:sz="0" w:space="0" w:color="auto"/>
        <w:bottom w:val="none" w:sz="0" w:space="0" w:color="auto"/>
        <w:right w:val="none" w:sz="0" w:space="0" w:color="auto"/>
      </w:divBdr>
    </w:div>
    <w:div w:id="548810422">
      <w:bodyDiv w:val="1"/>
      <w:marLeft w:val="0"/>
      <w:marRight w:val="0"/>
      <w:marTop w:val="0"/>
      <w:marBottom w:val="0"/>
      <w:divBdr>
        <w:top w:val="none" w:sz="0" w:space="0" w:color="auto"/>
        <w:left w:val="none" w:sz="0" w:space="0" w:color="auto"/>
        <w:bottom w:val="none" w:sz="0" w:space="0" w:color="auto"/>
        <w:right w:val="none" w:sz="0" w:space="0" w:color="auto"/>
      </w:divBdr>
    </w:div>
    <w:div w:id="549079219">
      <w:bodyDiv w:val="1"/>
      <w:marLeft w:val="0"/>
      <w:marRight w:val="0"/>
      <w:marTop w:val="0"/>
      <w:marBottom w:val="0"/>
      <w:divBdr>
        <w:top w:val="none" w:sz="0" w:space="0" w:color="auto"/>
        <w:left w:val="none" w:sz="0" w:space="0" w:color="auto"/>
        <w:bottom w:val="none" w:sz="0" w:space="0" w:color="auto"/>
        <w:right w:val="none" w:sz="0" w:space="0" w:color="auto"/>
      </w:divBdr>
    </w:div>
    <w:div w:id="549415738">
      <w:bodyDiv w:val="1"/>
      <w:marLeft w:val="0"/>
      <w:marRight w:val="0"/>
      <w:marTop w:val="0"/>
      <w:marBottom w:val="0"/>
      <w:divBdr>
        <w:top w:val="none" w:sz="0" w:space="0" w:color="auto"/>
        <w:left w:val="none" w:sz="0" w:space="0" w:color="auto"/>
        <w:bottom w:val="none" w:sz="0" w:space="0" w:color="auto"/>
        <w:right w:val="none" w:sz="0" w:space="0" w:color="auto"/>
      </w:divBdr>
    </w:div>
    <w:div w:id="549461647">
      <w:bodyDiv w:val="1"/>
      <w:marLeft w:val="0"/>
      <w:marRight w:val="0"/>
      <w:marTop w:val="0"/>
      <w:marBottom w:val="0"/>
      <w:divBdr>
        <w:top w:val="none" w:sz="0" w:space="0" w:color="auto"/>
        <w:left w:val="none" w:sz="0" w:space="0" w:color="auto"/>
        <w:bottom w:val="none" w:sz="0" w:space="0" w:color="auto"/>
        <w:right w:val="none" w:sz="0" w:space="0" w:color="auto"/>
      </w:divBdr>
    </w:div>
    <w:div w:id="549726527">
      <w:bodyDiv w:val="1"/>
      <w:marLeft w:val="0"/>
      <w:marRight w:val="0"/>
      <w:marTop w:val="0"/>
      <w:marBottom w:val="0"/>
      <w:divBdr>
        <w:top w:val="none" w:sz="0" w:space="0" w:color="auto"/>
        <w:left w:val="none" w:sz="0" w:space="0" w:color="auto"/>
        <w:bottom w:val="none" w:sz="0" w:space="0" w:color="auto"/>
        <w:right w:val="none" w:sz="0" w:space="0" w:color="auto"/>
      </w:divBdr>
    </w:div>
    <w:div w:id="549733106">
      <w:bodyDiv w:val="1"/>
      <w:marLeft w:val="0"/>
      <w:marRight w:val="0"/>
      <w:marTop w:val="0"/>
      <w:marBottom w:val="0"/>
      <w:divBdr>
        <w:top w:val="none" w:sz="0" w:space="0" w:color="auto"/>
        <w:left w:val="none" w:sz="0" w:space="0" w:color="auto"/>
        <w:bottom w:val="none" w:sz="0" w:space="0" w:color="auto"/>
        <w:right w:val="none" w:sz="0" w:space="0" w:color="auto"/>
      </w:divBdr>
    </w:div>
    <w:div w:id="549848866">
      <w:bodyDiv w:val="1"/>
      <w:marLeft w:val="0"/>
      <w:marRight w:val="0"/>
      <w:marTop w:val="0"/>
      <w:marBottom w:val="0"/>
      <w:divBdr>
        <w:top w:val="none" w:sz="0" w:space="0" w:color="auto"/>
        <w:left w:val="none" w:sz="0" w:space="0" w:color="auto"/>
        <w:bottom w:val="none" w:sz="0" w:space="0" w:color="auto"/>
        <w:right w:val="none" w:sz="0" w:space="0" w:color="auto"/>
      </w:divBdr>
    </w:div>
    <w:div w:id="549921894">
      <w:bodyDiv w:val="1"/>
      <w:marLeft w:val="0"/>
      <w:marRight w:val="0"/>
      <w:marTop w:val="0"/>
      <w:marBottom w:val="0"/>
      <w:divBdr>
        <w:top w:val="none" w:sz="0" w:space="0" w:color="auto"/>
        <w:left w:val="none" w:sz="0" w:space="0" w:color="auto"/>
        <w:bottom w:val="none" w:sz="0" w:space="0" w:color="auto"/>
        <w:right w:val="none" w:sz="0" w:space="0" w:color="auto"/>
      </w:divBdr>
    </w:div>
    <w:div w:id="549995913">
      <w:bodyDiv w:val="1"/>
      <w:marLeft w:val="0"/>
      <w:marRight w:val="0"/>
      <w:marTop w:val="0"/>
      <w:marBottom w:val="0"/>
      <w:divBdr>
        <w:top w:val="none" w:sz="0" w:space="0" w:color="auto"/>
        <w:left w:val="none" w:sz="0" w:space="0" w:color="auto"/>
        <w:bottom w:val="none" w:sz="0" w:space="0" w:color="auto"/>
        <w:right w:val="none" w:sz="0" w:space="0" w:color="auto"/>
      </w:divBdr>
    </w:div>
    <w:div w:id="550113306">
      <w:bodyDiv w:val="1"/>
      <w:marLeft w:val="0"/>
      <w:marRight w:val="0"/>
      <w:marTop w:val="0"/>
      <w:marBottom w:val="0"/>
      <w:divBdr>
        <w:top w:val="none" w:sz="0" w:space="0" w:color="auto"/>
        <w:left w:val="none" w:sz="0" w:space="0" w:color="auto"/>
        <w:bottom w:val="none" w:sz="0" w:space="0" w:color="auto"/>
        <w:right w:val="none" w:sz="0" w:space="0" w:color="auto"/>
      </w:divBdr>
    </w:div>
    <w:div w:id="550118035">
      <w:bodyDiv w:val="1"/>
      <w:marLeft w:val="0"/>
      <w:marRight w:val="0"/>
      <w:marTop w:val="0"/>
      <w:marBottom w:val="0"/>
      <w:divBdr>
        <w:top w:val="none" w:sz="0" w:space="0" w:color="auto"/>
        <w:left w:val="none" w:sz="0" w:space="0" w:color="auto"/>
        <w:bottom w:val="none" w:sz="0" w:space="0" w:color="auto"/>
        <w:right w:val="none" w:sz="0" w:space="0" w:color="auto"/>
      </w:divBdr>
    </w:div>
    <w:div w:id="550196403">
      <w:bodyDiv w:val="1"/>
      <w:marLeft w:val="0"/>
      <w:marRight w:val="0"/>
      <w:marTop w:val="0"/>
      <w:marBottom w:val="0"/>
      <w:divBdr>
        <w:top w:val="none" w:sz="0" w:space="0" w:color="auto"/>
        <w:left w:val="none" w:sz="0" w:space="0" w:color="auto"/>
        <w:bottom w:val="none" w:sz="0" w:space="0" w:color="auto"/>
        <w:right w:val="none" w:sz="0" w:space="0" w:color="auto"/>
      </w:divBdr>
    </w:div>
    <w:div w:id="550457696">
      <w:bodyDiv w:val="1"/>
      <w:marLeft w:val="0"/>
      <w:marRight w:val="0"/>
      <w:marTop w:val="0"/>
      <w:marBottom w:val="0"/>
      <w:divBdr>
        <w:top w:val="none" w:sz="0" w:space="0" w:color="auto"/>
        <w:left w:val="none" w:sz="0" w:space="0" w:color="auto"/>
        <w:bottom w:val="none" w:sz="0" w:space="0" w:color="auto"/>
        <w:right w:val="none" w:sz="0" w:space="0" w:color="auto"/>
      </w:divBdr>
    </w:div>
    <w:div w:id="550462468">
      <w:bodyDiv w:val="1"/>
      <w:marLeft w:val="0"/>
      <w:marRight w:val="0"/>
      <w:marTop w:val="0"/>
      <w:marBottom w:val="0"/>
      <w:divBdr>
        <w:top w:val="none" w:sz="0" w:space="0" w:color="auto"/>
        <w:left w:val="none" w:sz="0" w:space="0" w:color="auto"/>
        <w:bottom w:val="none" w:sz="0" w:space="0" w:color="auto"/>
        <w:right w:val="none" w:sz="0" w:space="0" w:color="auto"/>
      </w:divBdr>
    </w:div>
    <w:div w:id="550505583">
      <w:bodyDiv w:val="1"/>
      <w:marLeft w:val="0"/>
      <w:marRight w:val="0"/>
      <w:marTop w:val="0"/>
      <w:marBottom w:val="0"/>
      <w:divBdr>
        <w:top w:val="none" w:sz="0" w:space="0" w:color="auto"/>
        <w:left w:val="none" w:sz="0" w:space="0" w:color="auto"/>
        <w:bottom w:val="none" w:sz="0" w:space="0" w:color="auto"/>
        <w:right w:val="none" w:sz="0" w:space="0" w:color="auto"/>
      </w:divBdr>
    </w:div>
    <w:div w:id="550505757">
      <w:bodyDiv w:val="1"/>
      <w:marLeft w:val="0"/>
      <w:marRight w:val="0"/>
      <w:marTop w:val="0"/>
      <w:marBottom w:val="0"/>
      <w:divBdr>
        <w:top w:val="none" w:sz="0" w:space="0" w:color="auto"/>
        <w:left w:val="none" w:sz="0" w:space="0" w:color="auto"/>
        <w:bottom w:val="none" w:sz="0" w:space="0" w:color="auto"/>
        <w:right w:val="none" w:sz="0" w:space="0" w:color="auto"/>
      </w:divBdr>
    </w:div>
    <w:div w:id="550573863">
      <w:bodyDiv w:val="1"/>
      <w:marLeft w:val="0"/>
      <w:marRight w:val="0"/>
      <w:marTop w:val="0"/>
      <w:marBottom w:val="0"/>
      <w:divBdr>
        <w:top w:val="none" w:sz="0" w:space="0" w:color="auto"/>
        <w:left w:val="none" w:sz="0" w:space="0" w:color="auto"/>
        <w:bottom w:val="none" w:sz="0" w:space="0" w:color="auto"/>
        <w:right w:val="none" w:sz="0" w:space="0" w:color="auto"/>
      </w:divBdr>
    </w:div>
    <w:div w:id="550728517">
      <w:bodyDiv w:val="1"/>
      <w:marLeft w:val="0"/>
      <w:marRight w:val="0"/>
      <w:marTop w:val="0"/>
      <w:marBottom w:val="0"/>
      <w:divBdr>
        <w:top w:val="none" w:sz="0" w:space="0" w:color="auto"/>
        <w:left w:val="none" w:sz="0" w:space="0" w:color="auto"/>
        <w:bottom w:val="none" w:sz="0" w:space="0" w:color="auto"/>
        <w:right w:val="none" w:sz="0" w:space="0" w:color="auto"/>
      </w:divBdr>
    </w:div>
    <w:div w:id="550768604">
      <w:bodyDiv w:val="1"/>
      <w:marLeft w:val="0"/>
      <w:marRight w:val="0"/>
      <w:marTop w:val="0"/>
      <w:marBottom w:val="0"/>
      <w:divBdr>
        <w:top w:val="none" w:sz="0" w:space="0" w:color="auto"/>
        <w:left w:val="none" w:sz="0" w:space="0" w:color="auto"/>
        <w:bottom w:val="none" w:sz="0" w:space="0" w:color="auto"/>
        <w:right w:val="none" w:sz="0" w:space="0" w:color="auto"/>
      </w:divBdr>
    </w:div>
    <w:div w:id="550772300">
      <w:bodyDiv w:val="1"/>
      <w:marLeft w:val="0"/>
      <w:marRight w:val="0"/>
      <w:marTop w:val="0"/>
      <w:marBottom w:val="0"/>
      <w:divBdr>
        <w:top w:val="none" w:sz="0" w:space="0" w:color="auto"/>
        <w:left w:val="none" w:sz="0" w:space="0" w:color="auto"/>
        <w:bottom w:val="none" w:sz="0" w:space="0" w:color="auto"/>
        <w:right w:val="none" w:sz="0" w:space="0" w:color="auto"/>
      </w:divBdr>
    </w:div>
    <w:div w:id="550776026">
      <w:bodyDiv w:val="1"/>
      <w:marLeft w:val="0"/>
      <w:marRight w:val="0"/>
      <w:marTop w:val="0"/>
      <w:marBottom w:val="0"/>
      <w:divBdr>
        <w:top w:val="none" w:sz="0" w:space="0" w:color="auto"/>
        <w:left w:val="none" w:sz="0" w:space="0" w:color="auto"/>
        <w:bottom w:val="none" w:sz="0" w:space="0" w:color="auto"/>
        <w:right w:val="none" w:sz="0" w:space="0" w:color="auto"/>
      </w:divBdr>
    </w:div>
    <w:div w:id="551162449">
      <w:bodyDiv w:val="1"/>
      <w:marLeft w:val="0"/>
      <w:marRight w:val="0"/>
      <w:marTop w:val="0"/>
      <w:marBottom w:val="0"/>
      <w:divBdr>
        <w:top w:val="none" w:sz="0" w:space="0" w:color="auto"/>
        <w:left w:val="none" w:sz="0" w:space="0" w:color="auto"/>
        <w:bottom w:val="none" w:sz="0" w:space="0" w:color="auto"/>
        <w:right w:val="none" w:sz="0" w:space="0" w:color="auto"/>
      </w:divBdr>
    </w:div>
    <w:div w:id="551422497">
      <w:bodyDiv w:val="1"/>
      <w:marLeft w:val="0"/>
      <w:marRight w:val="0"/>
      <w:marTop w:val="0"/>
      <w:marBottom w:val="0"/>
      <w:divBdr>
        <w:top w:val="none" w:sz="0" w:space="0" w:color="auto"/>
        <w:left w:val="none" w:sz="0" w:space="0" w:color="auto"/>
        <w:bottom w:val="none" w:sz="0" w:space="0" w:color="auto"/>
        <w:right w:val="none" w:sz="0" w:space="0" w:color="auto"/>
      </w:divBdr>
    </w:div>
    <w:div w:id="551699019">
      <w:bodyDiv w:val="1"/>
      <w:marLeft w:val="0"/>
      <w:marRight w:val="0"/>
      <w:marTop w:val="0"/>
      <w:marBottom w:val="0"/>
      <w:divBdr>
        <w:top w:val="none" w:sz="0" w:space="0" w:color="auto"/>
        <w:left w:val="none" w:sz="0" w:space="0" w:color="auto"/>
        <w:bottom w:val="none" w:sz="0" w:space="0" w:color="auto"/>
        <w:right w:val="none" w:sz="0" w:space="0" w:color="auto"/>
      </w:divBdr>
    </w:div>
    <w:div w:id="551844510">
      <w:bodyDiv w:val="1"/>
      <w:marLeft w:val="0"/>
      <w:marRight w:val="0"/>
      <w:marTop w:val="0"/>
      <w:marBottom w:val="0"/>
      <w:divBdr>
        <w:top w:val="none" w:sz="0" w:space="0" w:color="auto"/>
        <w:left w:val="none" w:sz="0" w:space="0" w:color="auto"/>
        <w:bottom w:val="none" w:sz="0" w:space="0" w:color="auto"/>
        <w:right w:val="none" w:sz="0" w:space="0" w:color="auto"/>
      </w:divBdr>
    </w:div>
    <w:div w:id="552272077">
      <w:bodyDiv w:val="1"/>
      <w:marLeft w:val="0"/>
      <w:marRight w:val="0"/>
      <w:marTop w:val="0"/>
      <w:marBottom w:val="0"/>
      <w:divBdr>
        <w:top w:val="none" w:sz="0" w:space="0" w:color="auto"/>
        <w:left w:val="none" w:sz="0" w:space="0" w:color="auto"/>
        <w:bottom w:val="none" w:sz="0" w:space="0" w:color="auto"/>
        <w:right w:val="none" w:sz="0" w:space="0" w:color="auto"/>
      </w:divBdr>
    </w:div>
    <w:div w:id="552278158">
      <w:bodyDiv w:val="1"/>
      <w:marLeft w:val="0"/>
      <w:marRight w:val="0"/>
      <w:marTop w:val="0"/>
      <w:marBottom w:val="0"/>
      <w:divBdr>
        <w:top w:val="none" w:sz="0" w:space="0" w:color="auto"/>
        <w:left w:val="none" w:sz="0" w:space="0" w:color="auto"/>
        <w:bottom w:val="none" w:sz="0" w:space="0" w:color="auto"/>
        <w:right w:val="none" w:sz="0" w:space="0" w:color="auto"/>
      </w:divBdr>
    </w:div>
    <w:div w:id="552304380">
      <w:bodyDiv w:val="1"/>
      <w:marLeft w:val="0"/>
      <w:marRight w:val="0"/>
      <w:marTop w:val="0"/>
      <w:marBottom w:val="0"/>
      <w:divBdr>
        <w:top w:val="none" w:sz="0" w:space="0" w:color="auto"/>
        <w:left w:val="none" w:sz="0" w:space="0" w:color="auto"/>
        <w:bottom w:val="none" w:sz="0" w:space="0" w:color="auto"/>
        <w:right w:val="none" w:sz="0" w:space="0" w:color="auto"/>
      </w:divBdr>
    </w:div>
    <w:div w:id="552348079">
      <w:bodyDiv w:val="1"/>
      <w:marLeft w:val="0"/>
      <w:marRight w:val="0"/>
      <w:marTop w:val="0"/>
      <w:marBottom w:val="0"/>
      <w:divBdr>
        <w:top w:val="none" w:sz="0" w:space="0" w:color="auto"/>
        <w:left w:val="none" w:sz="0" w:space="0" w:color="auto"/>
        <w:bottom w:val="none" w:sz="0" w:space="0" w:color="auto"/>
        <w:right w:val="none" w:sz="0" w:space="0" w:color="auto"/>
      </w:divBdr>
    </w:div>
    <w:div w:id="552348145">
      <w:bodyDiv w:val="1"/>
      <w:marLeft w:val="0"/>
      <w:marRight w:val="0"/>
      <w:marTop w:val="0"/>
      <w:marBottom w:val="0"/>
      <w:divBdr>
        <w:top w:val="none" w:sz="0" w:space="0" w:color="auto"/>
        <w:left w:val="none" w:sz="0" w:space="0" w:color="auto"/>
        <w:bottom w:val="none" w:sz="0" w:space="0" w:color="auto"/>
        <w:right w:val="none" w:sz="0" w:space="0" w:color="auto"/>
      </w:divBdr>
    </w:div>
    <w:div w:id="552350084">
      <w:bodyDiv w:val="1"/>
      <w:marLeft w:val="0"/>
      <w:marRight w:val="0"/>
      <w:marTop w:val="0"/>
      <w:marBottom w:val="0"/>
      <w:divBdr>
        <w:top w:val="none" w:sz="0" w:space="0" w:color="auto"/>
        <w:left w:val="none" w:sz="0" w:space="0" w:color="auto"/>
        <w:bottom w:val="none" w:sz="0" w:space="0" w:color="auto"/>
        <w:right w:val="none" w:sz="0" w:space="0" w:color="auto"/>
      </w:divBdr>
    </w:div>
    <w:div w:id="552808383">
      <w:bodyDiv w:val="1"/>
      <w:marLeft w:val="0"/>
      <w:marRight w:val="0"/>
      <w:marTop w:val="0"/>
      <w:marBottom w:val="0"/>
      <w:divBdr>
        <w:top w:val="none" w:sz="0" w:space="0" w:color="auto"/>
        <w:left w:val="none" w:sz="0" w:space="0" w:color="auto"/>
        <w:bottom w:val="none" w:sz="0" w:space="0" w:color="auto"/>
        <w:right w:val="none" w:sz="0" w:space="0" w:color="auto"/>
      </w:divBdr>
    </w:div>
    <w:div w:id="552932406">
      <w:bodyDiv w:val="1"/>
      <w:marLeft w:val="0"/>
      <w:marRight w:val="0"/>
      <w:marTop w:val="0"/>
      <w:marBottom w:val="0"/>
      <w:divBdr>
        <w:top w:val="none" w:sz="0" w:space="0" w:color="auto"/>
        <w:left w:val="none" w:sz="0" w:space="0" w:color="auto"/>
        <w:bottom w:val="none" w:sz="0" w:space="0" w:color="auto"/>
        <w:right w:val="none" w:sz="0" w:space="0" w:color="auto"/>
      </w:divBdr>
    </w:div>
    <w:div w:id="553011082">
      <w:bodyDiv w:val="1"/>
      <w:marLeft w:val="0"/>
      <w:marRight w:val="0"/>
      <w:marTop w:val="0"/>
      <w:marBottom w:val="0"/>
      <w:divBdr>
        <w:top w:val="none" w:sz="0" w:space="0" w:color="auto"/>
        <w:left w:val="none" w:sz="0" w:space="0" w:color="auto"/>
        <w:bottom w:val="none" w:sz="0" w:space="0" w:color="auto"/>
        <w:right w:val="none" w:sz="0" w:space="0" w:color="auto"/>
      </w:divBdr>
    </w:div>
    <w:div w:id="553126637">
      <w:bodyDiv w:val="1"/>
      <w:marLeft w:val="0"/>
      <w:marRight w:val="0"/>
      <w:marTop w:val="0"/>
      <w:marBottom w:val="0"/>
      <w:divBdr>
        <w:top w:val="none" w:sz="0" w:space="0" w:color="auto"/>
        <w:left w:val="none" w:sz="0" w:space="0" w:color="auto"/>
        <w:bottom w:val="none" w:sz="0" w:space="0" w:color="auto"/>
        <w:right w:val="none" w:sz="0" w:space="0" w:color="auto"/>
      </w:divBdr>
    </w:div>
    <w:div w:id="553155586">
      <w:bodyDiv w:val="1"/>
      <w:marLeft w:val="0"/>
      <w:marRight w:val="0"/>
      <w:marTop w:val="0"/>
      <w:marBottom w:val="0"/>
      <w:divBdr>
        <w:top w:val="none" w:sz="0" w:space="0" w:color="auto"/>
        <w:left w:val="none" w:sz="0" w:space="0" w:color="auto"/>
        <w:bottom w:val="none" w:sz="0" w:space="0" w:color="auto"/>
        <w:right w:val="none" w:sz="0" w:space="0" w:color="auto"/>
      </w:divBdr>
    </w:div>
    <w:div w:id="553271368">
      <w:bodyDiv w:val="1"/>
      <w:marLeft w:val="0"/>
      <w:marRight w:val="0"/>
      <w:marTop w:val="0"/>
      <w:marBottom w:val="0"/>
      <w:divBdr>
        <w:top w:val="none" w:sz="0" w:space="0" w:color="auto"/>
        <w:left w:val="none" w:sz="0" w:space="0" w:color="auto"/>
        <w:bottom w:val="none" w:sz="0" w:space="0" w:color="auto"/>
        <w:right w:val="none" w:sz="0" w:space="0" w:color="auto"/>
      </w:divBdr>
    </w:div>
    <w:div w:id="553279269">
      <w:bodyDiv w:val="1"/>
      <w:marLeft w:val="0"/>
      <w:marRight w:val="0"/>
      <w:marTop w:val="0"/>
      <w:marBottom w:val="0"/>
      <w:divBdr>
        <w:top w:val="none" w:sz="0" w:space="0" w:color="auto"/>
        <w:left w:val="none" w:sz="0" w:space="0" w:color="auto"/>
        <w:bottom w:val="none" w:sz="0" w:space="0" w:color="auto"/>
        <w:right w:val="none" w:sz="0" w:space="0" w:color="auto"/>
      </w:divBdr>
    </w:div>
    <w:div w:id="553346559">
      <w:bodyDiv w:val="1"/>
      <w:marLeft w:val="0"/>
      <w:marRight w:val="0"/>
      <w:marTop w:val="0"/>
      <w:marBottom w:val="0"/>
      <w:divBdr>
        <w:top w:val="none" w:sz="0" w:space="0" w:color="auto"/>
        <w:left w:val="none" w:sz="0" w:space="0" w:color="auto"/>
        <w:bottom w:val="none" w:sz="0" w:space="0" w:color="auto"/>
        <w:right w:val="none" w:sz="0" w:space="0" w:color="auto"/>
      </w:divBdr>
    </w:div>
    <w:div w:id="553348408">
      <w:bodyDiv w:val="1"/>
      <w:marLeft w:val="0"/>
      <w:marRight w:val="0"/>
      <w:marTop w:val="0"/>
      <w:marBottom w:val="0"/>
      <w:divBdr>
        <w:top w:val="none" w:sz="0" w:space="0" w:color="auto"/>
        <w:left w:val="none" w:sz="0" w:space="0" w:color="auto"/>
        <w:bottom w:val="none" w:sz="0" w:space="0" w:color="auto"/>
        <w:right w:val="none" w:sz="0" w:space="0" w:color="auto"/>
      </w:divBdr>
    </w:div>
    <w:div w:id="553352411">
      <w:bodyDiv w:val="1"/>
      <w:marLeft w:val="0"/>
      <w:marRight w:val="0"/>
      <w:marTop w:val="0"/>
      <w:marBottom w:val="0"/>
      <w:divBdr>
        <w:top w:val="none" w:sz="0" w:space="0" w:color="auto"/>
        <w:left w:val="none" w:sz="0" w:space="0" w:color="auto"/>
        <w:bottom w:val="none" w:sz="0" w:space="0" w:color="auto"/>
        <w:right w:val="none" w:sz="0" w:space="0" w:color="auto"/>
      </w:divBdr>
    </w:div>
    <w:div w:id="553542369">
      <w:bodyDiv w:val="1"/>
      <w:marLeft w:val="0"/>
      <w:marRight w:val="0"/>
      <w:marTop w:val="0"/>
      <w:marBottom w:val="0"/>
      <w:divBdr>
        <w:top w:val="none" w:sz="0" w:space="0" w:color="auto"/>
        <w:left w:val="none" w:sz="0" w:space="0" w:color="auto"/>
        <w:bottom w:val="none" w:sz="0" w:space="0" w:color="auto"/>
        <w:right w:val="none" w:sz="0" w:space="0" w:color="auto"/>
      </w:divBdr>
    </w:div>
    <w:div w:id="553733624">
      <w:bodyDiv w:val="1"/>
      <w:marLeft w:val="0"/>
      <w:marRight w:val="0"/>
      <w:marTop w:val="0"/>
      <w:marBottom w:val="0"/>
      <w:divBdr>
        <w:top w:val="none" w:sz="0" w:space="0" w:color="auto"/>
        <w:left w:val="none" w:sz="0" w:space="0" w:color="auto"/>
        <w:bottom w:val="none" w:sz="0" w:space="0" w:color="auto"/>
        <w:right w:val="none" w:sz="0" w:space="0" w:color="auto"/>
      </w:divBdr>
    </w:div>
    <w:div w:id="553784485">
      <w:bodyDiv w:val="1"/>
      <w:marLeft w:val="0"/>
      <w:marRight w:val="0"/>
      <w:marTop w:val="0"/>
      <w:marBottom w:val="0"/>
      <w:divBdr>
        <w:top w:val="none" w:sz="0" w:space="0" w:color="auto"/>
        <w:left w:val="none" w:sz="0" w:space="0" w:color="auto"/>
        <w:bottom w:val="none" w:sz="0" w:space="0" w:color="auto"/>
        <w:right w:val="none" w:sz="0" w:space="0" w:color="auto"/>
      </w:divBdr>
    </w:div>
    <w:div w:id="553850236">
      <w:bodyDiv w:val="1"/>
      <w:marLeft w:val="0"/>
      <w:marRight w:val="0"/>
      <w:marTop w:val="0"/>
      <w:marBottom w:val="0"/>
      <w:divBdr>
        <w:top w:val="none" w:sz="0" w:space="0" w:color="auto"/>
        <w:left w:val="none" w:sz="0" w:space="0" w:color="auto"/>
        <w:bottom w:val="none" w:sz="0" w:space="0" w:color="auto"/>
        <w:right w:val="none" w:sz="0" w:space="0" w:color="auto"/>
      </w:divBdr>
    </w:div>
    <w:div w:id="553930395">
      <w:bodyDiv w:val="1"/>
      <w:marLeft w:val="0"/>
      <w:marRight w:val="0"/>
      <w:marTop w:val="0"/>
      <w:marBottom w:val="0"/>
      <w:divBdr>
        <w:top w:val="none" w:sz="0" w:space="0" w:color="auto"/>
        <w:left w:val="none" w:sz="0" w:space="0" w:color="auto"/>
        <w:bottom w:val="none" w:sz="0" w:space="0" w:color="auto"/>
        <w:right w:val="none" w:sz="0" w:space="0" w:color="auto"/>
      </w:divBdr>
    </w:div>
    <w:div w:id="553930779">
      <w:bodyDiv w:val="1"/>
      <w:marLeft w:val="0"/>
      <w:marRight w:val="0"/>
      <w:marTop w:val="0"/>
      <w:marBottom w:val="0"/>
      <w:divBdr>
        <w:top w:val="none" w:sz="0" w:space="0" w:color="auto"/>
        <w:left w:val="none" w:sz="0" w:space="0" w:color="auto"/>
        <w:bottom w:val="none" w:sz="0" w:space="0" w:color="auto"/>
        <w:right w:val="none" w:sz="0" w:space="0" w:color="auto"/>
      </w:divBdr>
    </w:div>
    <w:div w:id="554004578">
      <w:bodyDiv w:val="1"/>
      <w:marLeft w:val="0"/>
      <w:marRight w:val="0"/>
      <w:marTop w:val="0"/>
      <w:marBottom w:val="0"/>
      <w:divBdr>
        <w:top w:val="none" w:sz="0" w:space="0" w:color="auto"/>
        <w:left w:val="none" w:sz="0" w:space="0" w:color="auto"/>
        <w:bottom w:val="none" w:sz="0" w:space="0" w:color="auto"/>
        <w:right w:val="none" w:sz="0" w:space="0" w:color="auto"/>
      </w:divBdr>
    </w:div>
    <w:div w:id="554047031">
      <w:bodyDiv w:val="1"/>
      <w:marLeft w:val="0"/>
      <w:marRight w:val="0"/>
      <w:marTop w:val="0"/>
      <w:marBottom w:val="0"/>
      <w:divBdr>
        <w:top w:val="none" w:sz="0" w:space="0" w:color="auto"/>
        <w:left w:val="none" w:sz="0" w:space="0" w:color="auto"/>
        <w:bottom w:val="none" w:sz="0" w:space="0" w:color="auto"/>
        <w:right w:val="none" w:sz="0" w:space="0" w:color="auto"/>
      </w:divBdr>
    </w:div>
    <w:div w:id="554196112">
      <w:bodyDiv w:val="1"/>
      <w:marLeft w:val="0"/>
      <w:marRight w:val="0"/>
      <w:marTop w:val="0"/>
      <w:marBottom w:val="0"/>
      <w:divBdr>
        <w:top w:val="none" w:sz="0" w:space="0" w:color="auto"/>
        <w:left w:val="none" w:sz="0" w:space="0" w:color="auto"/>
        <w:bottom w:val="none" w:sz="0" w:space="0" w:color="auto"/>
        <w:right w:val="none" w:sz="0" w:space="0" w:color="auto"/>
      </w:divBdr>
    </w:div>
    <w:div w:id="554506498">
      <w:bodyDiv w:val="1"/>
      <w:marLeft w:val="0"/>
      <w:marRight w:val="0"/>
      <w:marTop w:val="0"/>
      <w:marBottom w:val="0"/>
      <w:divBdr>
        <w:top w:val="none" w:sz="0" w:space="0" w:color="auto"/>
        <w:left w:val="none" w:sz="0" w:space="0" w:color="auto"/>
        <w:bottom w:val="none" w:sz="0" w:space="0" w:color="auto"/>
        <w:right w:val="none" w:sz="0" w:space="0" w:color="auto"/>
      </w:divBdr>
    </w:div>
    <w:div w:id="554662532">
      <w:bodyDiv w:val="1"/>
      <w:marLeft w:val="0"/>
      <w:marRight w:val="0"/>
      <w:marTop w:val="0"/>
      <w:marBottom w:val="0"/>
      <w:divBdr>
        <w:top w:val="none" w:sz="0" w:space="0" w:color="auto"/>
        <w:left w:val="none" w:sz="0" w:space="0" w:color="auto"/>
        <w:bottom w:val="none" w:sz="0" w:space="0" w:color="auto"/>
        <w:right w:val="none" w:sz="0" w:space="0" w:color="auto"/>
      </w:divBdr>
    </w:div>
    <w:div w:id="554701325">
      <w:bodyDiv w:val="1"/>
      <w:marLeft w:val="0"/>
      <w:marRight w:val="0"/>
      <w:marTop w:val="0"/>
      <w:marBottom w:val="0"/>
      <w:divBdr>
        <w:top w:val="none" w:sz="0" w:space="0" w:color="auto"/>
        <w:left w:val="none" w:sz="0" w:space="0" w:color="auto"/>
        <w:bottom w:val="none" w:sz="0" w:space="0" w:color="auto"/>
        <w:right w:val="none" w:sz="0" w:space="0" w:color="auto"/>
      </w:divBdr>
    </w:div>
    <w:div w:id="554779235">
      <w:bodyDiv w:val="1"/>
      <w:marLeft w:val="0"/>
      <w:marRight w:val="0"/>
      <w:marTop w:val="0"/>
      <w:marBottom w:val="0"/>
      <w:divBdr>
        <w:top w:val="none" w:sz="0" w:space="0" w:color="auto"/>
        <w:left w:val="none" w:sz="0" w:space="0" w:color="auto"/>
        <w:bottom w:val="none" w:sz="0" w:space="0" w:color="auto"/>
        <w:right w:val="none" w:sz="0" w:space="0" w:color="auto"/>
      </w:divBdr>
    </w:div>
    <w:div w:id="554855126">
      <w:bodyDiv w:val="1"/>
      <w:marLeft w:val="0"/>
      <w:marRight w:val="0"/>
      <w:marTop w:val="0"/>
      <w:marBottom w:val="0"/>
      <w:divBdr>
        <w:top w:val="none" w:sz="0" w:space="0" w:color="auto"/>
        <w:left w:val="none" w:sz="0" w:space="0" w:color="auto"/>
        <w:bottom w:val="none" w:sz="0" w:space="0" w:color="auto"/>
        <w:right w:val="none" w:sz="0" w:space="0" w:color="auto"/>
      </w:divBdr>
    </w:div>
    <w:div w:id="554972576">
      <w:bodyDiv w:val="1"/>
      <w:marLeft w:val="0"/>
      <w:marRight w:val="0"/>
      <w:marTop w:val="0"/>
      <w:marBottom w:val="0"/>
      <w:divBdr>
        <w:top w:val="none" w:sz="0" w:space="0" w:color="auto"/>
        <w:left w:val="none" w:sz="0" w:space="0" w:color="auto"/>
        <w:bottom w:val="none" w:sz="0" w:space="0" w:color="auto"/>
        <w:right w:val="none" w:sz="0" w:space="0" w:color="auto"/>
      </w:divBdr>
    </w:div>
    <w:div w:id="555043316">
      <w:bodyDiv w:val="1"/>
      <w:marLeft w:val="0"/>
      <w:marRight w:val="0"/>
      <w:marTop w:val="0"/>
      <w:marBottom w:val="0"/>
      <w:divBdr>
        <w:top w:val="none" w:sz="0" w:space="0" w:color="auto"/>
        <w:left w:val="none" w:sz="0" w:space="0" w:color="auto"/>
        <w:bottom w:val="none" w:sz="0" w:space="0" w:color="auto"/>
        <w:right w:val="none" w:sz="0" w:space="0" w:color="auto"/>
      </w:divBdr>
    </w:div>
    <w:div w:id="555092629">
      <w:bodyDiv w:val="1"/>
      <w:marLeft w:val="0"/>
      <w:marRight w:val="0"/>
      <w:marTop w:val="0"/>
      <w:marBottom w:val="0"/>
      <w:divBdr>
        <w:top w:val="none" w:sz="0" w:space="0" w:color="auto"/>
        <w:left w:val="none" w:sz="0" w:space="0" w:color="auto"/>
        <w:bottom w:val="none" w:sz="0" w:space="0" w:color="auto"/>
        <w:right w:val="none" w:sz="0" w:space="0" w:color="auto"/>
      </w:divBdr>
    </w:div>
    <w:div w:id="555164562">
      <w:bodyDiv w:val="1"/>
      <w:marLeft w:val="0"/>
      <w:marRight w:val="0"/>
      <w:marTop w:val="0"/>
      <w:marBottom w:val="0"/>
      <w:divBdr>
        <w:top w:val="none" w:sz="0" w:space="0" w:color="auto"/>
        <w:left w:val="none" w:sz="0" w:space="0" w:color="auto"/>
        <w:bottom w:val="none" w:sz="0" w:space="0" w:color="auto"/>
        <w:right w:val="none" w:sz="0" w:space="0" w:color="auto"/>
      </w:divBdr>
    </w:div>
    <w:div w:id="555287051">
      <w:bodyDiv w:val="1"/>
      <w:marLeft w:val="0"/>
      <w:marRight w:val="0"/>
      <w:marTop w:val="0"/>
      <w:marBottom w:val="0"/>
      <w:divBdr>
        <w:top w:val="none" w:sz="0" w:space="0" w:color="auto"/>
        <w:left w:val="none" w:sz="0" w:space="0" w:color="auto"/>
        <w:bottom w:val="none" w:sz="0" w:space="0" w:color="auto"/>
        <w:right w:val="none" w:sz="0" w:space="0" w:color="auto"/>
      </w:divBdr>
    </w:div>
    <w:div w:id="555512582">
      <w:bodyDiv w:val="1"/>
      <w:marLeft w:val="0"/>
      <w:marRight w:val="0"/>
      <w:marTop w:val="0"/>
      <w:marBottom w:val="0"/>
      <w:divBdr>
        <w:top w:val="none" w:sz="0" w:space="0" w:color="auto"/>
        <w:left w:val="none" w:sz="0" w:space="0" w:color="auto"/>
        <w:bottom w:val="none" w:sz="0" w:space="0" w:color="auto"/>
        <w:right w:val="none" w:sz="0" w:space="0" w:color="auto"/>
      </w:divBdr>
    </w:div>
    <w:div w:id="555749262">
      <w:bodyDiv w:val="1"/>
      <w:marLeft w:val="0"/>
      <w:marRight w:val="0"/>
      <w:marTop w:val="0"/>
      <w:marBottom w:val="0"/>
      <w:divBdr>
        <w:top w:val="none" w:sz="0" w:space="0" w:color="auto"/>
        <w:left w:val="none" w:sz="0" w:space="0" w:color="auto"/>
        <w:bottom w:val="none" w:sz="0" w:space="0" w:color="auto"/>
        <w:right w:val="none" w:sz="0" w:space="0" w:color="auto"/>
      </w:divBdr>
    </w:div>
    <w:div w:id="555825214">
      <w:bodyDiv w:val="1"/>
      <w:marLeft w:val="0"/>
      <w:marRight w:val="0"/>
      <w:marTop w:val="0"/>
      <w:marBottom w:val="0"/>
      <w:divBdr>
        <w:top w:val="none" w:sz="0" w:space="0" w:color="auto"/>
        <w:left w:val="none" w:sz="0" w:space="0" w:color="auto"/>
        <w:bottom w:val="none" w:sz="0" w:space="0" w:color="auto"/>
        <w:right w:val="none" w:sz="0" w:space="0" w:color="auto"/>
      </w:divBdr>
    </w:div>
    <w:div w:id="555893361">
      <w:bodyDiv w:val="1"/>
      <w:marLeft w:val="0"/>
      <w:marRight w:val="0"/>
      <w:marTop w:val="0"/>
      <w:marBottom w:val="0"/>
      <w:divBdr>
        <w:top w:val="none" w:sz="0" w:space="0" w:color="auto"/>
        <w:left w:val="none" w:sz="0" w:space="0" w:color="auto"/>
        <w:bottom w:val="none" w:sz="0" w:space="0" w:color="auto"/>
        <w:right w:val="none" w:sz="0" w:space="0" w:color="auto"/>
      </w:divBdr>
    </w:div>
    <w:div w:id="555894633">
      <w:bodyDiv w:val="1"/>
      <w:marLeft w:val="0"/>
      <w:marRight w:val="0"/>
      <w:marTop w:val="0"/>
      <w:marBottom w:val="0"/>
      <w:divBdr>
        <w:top w:val="none" w:sz="0" w:space="0" w:color="auto"/>
        <w:left w:val="none" w:sz="0" w:space="0" w:color="auto"/>
        <w:bottom w:val="none" w:sz="0" w:space="0" w:color="auto"/>
        <w:right w:val="none" w:sz="0" w:space="0" w:color="auto"/>
      </w:divBdr>
    </w:div>
    <w:div w:id="556094026">
      <w:bodyDiv w:val="1"/>
      <w:marLeft w:val="0"/>
      <w:marRight w:val="0"/>
      <w:marTop w:val="0"/>
      <w:marBottom w:val="0"/>
      <w:divBdr>
        <w:top w:val="none" w:sz="0" w:space="0" w:color="auto"/>
        <w:left w:val="none" w:sz="0" w:space="0" w:color="auto"/>
        <w:bottom w:val="none" w:sz="0" w:space="0" w:color="auto"/>
        <w:right w:val="none" w:sz="0" w:space="0" w:color="auto"/>
      </w:divBdr>
    </w:div>
    <w:div w:id="556209687">
      <w:bodyDiv w:val="1"/>
      <w:marLeft w:val="0"/>
      <w:marRight w:val="0"/>
      <w:marTop w:val="0"/>
      <w:marBottom w:val="0"/>
      <w:divBdr>
        <w:top w:val="none" w:sz="0" w:space="0" w:color="auto"/>
        <w:left w:val="none" w:sz="0" w:space="0" w:color="auto"/>
        <w:bottom w:val="none" w:sz="0" w:space="0" w:color="auto"/>
        <w:right w:val="none" w:sz="0" w:space="0" w:color="auto"/>
      </w:divBdr>
    </w:div>
    <w:div w:id="556401705">
      <w:bodyDiv w:val="1"/>
      <w:marLeft w:val="0"/>
      <w:marRight w:val="0"/>
      <w:marTop w:val="0"/>
      <w:marBottom w:val="0"/>
      <w:divBdr>
        <w:top w:val="none" w:sz="0" w:space="0" w:color="auto"/>
        <w:left w:val="none" w:sz="0" w:space="0" w:color="auto"/>
        <w:bottom w:val="none" w:sz="0" w:space="0" w:color="auto"/>
        <w:right w:val="none" w:sz="0" w:space="0" w:color="auto"/>
      </w:divBdr>
    </w:div>
    <w:div w:id="556746451">
      <w:bodyDiv w:val="1"/>
      <w:marLeft w:val="0"/>
      <w:marRight w:val="0"/>
      <w:marTop w:val="0"/>
      <w:marBottom w:val="0"/>
      <w:divBdr>
        <w:top w:val="none" w:sz="0" w:space="0" w:color="auto"/>
        <w:left w:val="none" w:sz="0" w:space="0" w:color="auto"/>
        <w:bottom w:val="none" w:sz="0" w:space="0" w:color="auto"/>
        <w:right w:val="none" w:sz="0" w:space="0" w:color="auto"/>
      </w:divBdr>
    </w:div>
    <w:div w:id="556823590">
      <w:bodyDiv w:val="1"/>
      <w:marLeft w:val="0"/>
      <w:marRight w:val="0"/>
      <w:marTop w:val="0"/>
      <w:marBottom w:val="0"/>
      <w:divBdr>
        <w:top w:val="none" w:sz="0" w:space="0" w:color="auto"/>
        <w:left w:val="none" w:sz="0" w:space="0" w:color="auto"/>
        <w:bottom w:val="none" w:sz="0" w:space="0" w:color="auto"/>
        <w:right w:val="none" w:sz="0" w:space="0" w:color="auto"/>
      </w:divBdr>
    </w:div>
    <w:div w:id="556933361">
      <w:bodyDiv w:val="1"/>
      <w:marLeft w:val="0"/>
      <w:marRight w:val="0"/>
      <w:marTop w:val="0"/>
      <w:marBottom w:val="0"/>
      <w:divBdr>
        <w:top w:val="none" w:sz="0" w:space="0" w:color="auto"/>
        <w:left w:val="none" w:sz="0" w:space="0" w:color="auto"/>
        <w:bottom w:val="none" w:sz="0" w:space="0" w:color="auto"/>
        <w:right w:val="none" w:sz="0" w:space="0" w:color="auto"/>
      </w:divBdr>
    </w:div>
    <w:div w:id="557056416">
      <w:bodyDiv w:val="1"/>
      <w:marLeft w:val="0"/>
      <w:marRight w:val="0"/>
      <w:marTop w:val="0"/>
      <w:marBottom w:val="0"/>
      <w:divBdr>
        <w:top w:val="none" w:sz="0" w:space="0" w:color="auto"/>
        <w:left w:val="none" w:sz="0" w:space="0" w:color="auto"/>
        <w:bottom w:val="none" w:sz="0" w:space="0" w:color="auto"/>
        <w:right w:val="none" w:sz="0" w:space="0" w:color="auto"/>
      </w:divBdr>
    </w:div>
    <w:div w:id="557207851">
      <w:bodyDiv w:val="1"/>
      <w:marLeft w:val="0"/>
      <w:marRight w:val="0"/>
      <w:marTop w:val="0"/>
      <w:marBottom w:val="0"/>
      <w:divBdr>
        <w:top w:val="none" w:sz="0" w:space="0" w:color="auto"/>
        <w:left w:val="none" w:sz="0" w:space="0" w:color="auto"/>
        <w:bottom w:val="none" w:sz="0" w:space="0" w:color="auto"/>
        <w:right w:val="none" w:sz="0" w:space="0" w:color="auto"/>
      </w:divBdr>
    </w:div>
    <w:div w:id="557399561">
      <w:bodyDiv w:val="1"/>
      <w:marLeft w:val="0"/>
      <w:marRight w:val="0"/>
      <w:marTop w:val="0"/>
      <w:marBottom w:val="0"/>
      <w:divBdr>
        <w:top w:val="none" w:sz="0" w:space="0" w:color="auto"/>
        <w:left w:val="none" w:sz="0" w:space="0" w:color="auto"/>
        <w:bottom w:val="none" w:sz="0" w:space="0" w:color="auto"/>
        <w:right w:val="none" w:sz="0" w:space="0" w:color="auto"/>
      </w:divBdr>
    </w:div>
    <w:div w:id="557472938">
      <w:bodyDiv w:val="1"/>
      <w:marLeft w:val="0"/>
      <w:marRight w:val="0"/>
      <w:marTop w:val="0"/>
      <w:marBottom w:val="0"/>
      <w:divBdr>
        <w:top w:val="none" w:sz="0" w:space="0" w:color="auto"/>
        <w:left w:val="none" w:sz="0" w:space="0" w:color="auto"/>
        <w:bottom w:val="none" w:sz="0" w:space="0" w:color="auto"/>
        <w:right w:val="none" w:sz="0" w:space="0" w:color="auto"/>
      </w:divBdr>
    </w:div>
    <w:div w:id="557479732">
      <w:bodyDiv w:val="1"/>
      <w:marLeft w:val="0"/>
      <w:marRight w:val="0"/>
      <w:marTop w:val="0"/>
      <w:marBottom w:val="0"/>
      <w:divBdr>
        <w:top w:val="none" w:sz="0" w:space="0" w:color="auto"/>
        <w:left w:val="none" w:sz="0" w:space="0" w:color="auto"/>
        <w:bottom w:val="none" w:sz="0" w:space="0" w:color="auto"/>
        <w:right w:val="none" w:sz="0" w:space="0" w:color="auto"/>
      </w:divBdr>
    </w:div>
    <w:div w:id="557546784">
      <w:bodyDiv w:val="1"/>
      <w:marLeft w:val="0"/>
      <w:marRight w:val="0"/>
      <w:marTop w:val="0"/>
      <w:marBottom w:val="0"/>
      <w:divBdr>
        <w:top w:val="none" w:sz="0" w:space="0" w:color="auto"/>
        <w:left w:val="none" w:sz="0" w:space="0" w:color="auto"/>
        <w:bottom w:val="none" w:sz="0" w:space="0" w:color="auto"/>
        <w:right w:val="none" w:sz="0" w:space="0" w:color="auto"/>
      </w:divBdr>
    </w:div>
    <w:div w:id="557669429">
      <w:bodyDiv w:val="1"/>
      <w:marLeft w:val="0"/>
      <w:marRight w:val="0"/>
      <w:marTop w:val="0"/>
      <w:marBottom w:val="0"/>
      <w:divBdr>
        <w:top w:val="none" w:sz="0" w:space="0" w:color="auto"/>
        <w:left w:val="none" w:sz="0" w:space="0" w:color="auto"/>
        <w:bottom w:val="none" w:sz="0" w:space="0" w:color="auto"/>
        <w:right w:val="none" w:sz="0" w:space="0" w:color="auto"/>
      </w:divBdr>
    </w:div>
    <w:div w:id="558173711">
      <w:bodyDiv w:val="1"/>
      <w:marLeft w:val="0"/>
      <w:marRight w:val="0"/>
      <w:marTop w:val="0"/>
      <w:marBottom w:val="0"/>
      <w:divBdr>
        <w:top w:val="none" w:sz="0" w:space="0" w:color="auto"/>
        <w:left w:val="none" w:sz="0" w:space="0" w:color="auto"/>
        <w:bottom w:val="none" w:sz="0" w:space="0" w:color="auto"/>
        <w:right w:val="none" w:sz="0" w:space="0" w:color="auto"/>
      </w:divBdr>
    </w:div>
    <w:div w:id="558251632">
      <w:bodyDiv w:val="1"/>
      <w:marLeft w:val="0"/>
      <w:marRight w:val="0"/>
      <w:marTop w:val="0"/>
      <w:marBottom w:val="0"/>
      <w:divBdr>
        <w:top w:val="none" w:sz="0" w:space="0" w:color="auto"/>
        <w:left w:val="none" w:sz="0" w:space="0" w:color="auto"/>
        <w:bottom w:val="none" w:sz="0" w:space="0" w:color="auto"/>
        <w:right w:val="none" w:sz="0" w:space="0" w:color="auto"/>
      </w:divBdr>
    </w:div>
    <w:div w:id="558443402">
      <w:bodyDiv w:val="1"/>
      <w:marLeft w:val="0"/>
      <w:marRight w:val="0"/>
      <w:marTop w:val="0"/>
      <w:marBottom w:val="0"/>
      <w:divBdr>
        <w:top w:val="none" w:sz="0" w:space="0" w:color="auto"/>
        <w:left w:val="none" w:sz="0" w:space="0" w:color="auto"/>
        <w:bottom w:val="none" w:sz="0" w:space="0" w:color="auto"/>
        <w:right w:val="none" w:sz="0" w:space="0" w:color="auto"/>
      </w:divBdr>
    </w:div>
    <w:div w:id="558636408">
      <w:bodyDiv w:val="1"/>
      <w:marLeft w:val="0"/>
      <w:marRight w:val="0"/>
      <w:marTop w:val="0"/>
      <w:marBottom w:val="0"/>
      <w:divBdr>
        <w:top w:val="none" w:sz="0" w:space="0" w:color="auto"/>
        <w:left w:val="none" w:sz="0" w:space="0" w:color="auto"/>
        <w:bottom w:val="none" w:sz="0" w:space="0" w:color="auto"/>
        <w:right w:val="none" w:sz="0" w:space="0" w:color="auto"/>
      </w:divBdr>
    </w:div>
    <w:div w:id="558712630">
      <w:bodyDiv w:val="1"/>
      <w:marLeft w:val="0"/>
      <w:marRight w:val="0"/>
      <w:marTop w:val="0"/>
      <w:marBottom w:val="0"/>
      <w:divBdr>
        <w:top w:val="none" w:sz="0" w:space="0" w:color="auto"/>
        <w:left w:val="none" w:sz="0" w:space="0" w:color="auto"/>
        <w:bottom w:val="none" w:sz="0" w:space="0" w:color="auto"/>
        <w:right w:val="none" w:sz="0" w:space="0" w:color="auto"/>
      </w:divBdr>
    </w:div>
    <w:div w:id="558979850">
      <w:bodyDiv w:val="1"/>
      <w:marLeft w:val="0"/>
      <w:marRight w:val="0"/>
      <w:marTop w:val="0"/>
      <w:marBottom w:val="0"/>
      <w:divBdr>
        <w:top w:val="none" w:sz="0" w:space="0" w:color="auto"/>
        <w:left w:val="none" w:sz="0" w:space="0" w:color="auto"/>
        <w:bottom w:val="none" w:sz="0" w:space="0" w:color="auto"/>
        <w:right w:val="none" w:sz="0" w:space="0" w:color="auto"/>
      </w:divBdr>
    </w:div>
    <w:div w:id="559022099">
      <w:bodyDiv w:val="1"/>
      <w:marLeft w:val="0"/>
      <w:marRight w:val="0"/>
      <w:marTop w:val="0"/>
      <w:marBottom w:val="0"/>
      <w:divBdr>
        <w:top w:val="none" w:sz="0" w:space="0" w:color="auto"/>
        <w:left w:val="none" w:sz="0" w:space="0" w:color="auto"/>
        <w:bottom w:val="none" w:sz="0" w:space="0" w:color="auto"/>
        <w:right w:val="none" w:sz="0" w:space="0" w:color="auto"/>
      </w:divBdr>
    </w:div>
    <w:div w:id="559366992">
      <w:bodyDiv w:val="1"/>
      <w:marLeft w:val="0"/>
      <w:marRight w:val="0"/>
      <w:marTop w:val="0"/>
      <w:marBottom w:val="0"/>
      <w:divBdr>
        <w:top w:val="none" w:sz="0" w:space="0" w:color="auto"/>
        <w:left w:val="none" w:sz="0" w:space="0" w:color="auto"/>
        <w:bottom w:val="none" w:sz="0" w:space="0" w:color="auto"/>
        <w:right w:val="none" w:sz="0" w:space="0" w:color="auto"/>
      </w:divBdr>
    </w:div>
    <w:div w:id="559707151">
      <w:bodyDiv w:val="1"/>
      <w:marLeft w:val="0"/>
      <w:marRight w:val="0"/>
      <w:marTop w:val="0"/>
      <w:marBottom w:val="0"/>
      <w:divBdr>
        <w:top w:val="none" w:sz="0" w:space="0" w:color="auto"/>
        <w:left w:val="none" w:sz="0" w:space="0" w:color="auto"/>
        <w:bottom w:val="none" w:sz="0" w:space="0" w:color="auto"/>
        <w:right w:val="none" w:sz="0" w:space="0" w:color="auto"/>
      </w:divBdr>
    </w:div>
    <w:div w:id="560092711">
      <w:bodyDiv w:val="1"/>
      <w:marLeft w:val="0"/>
      <w:marRight w:val="0"/>
      <w:marTop w:val="0"/>
      <w:marBottom w:val="0"/>
      <w:divBdr>
        <w:top w:val="none" w:sz="0" w:space="0" w:color="auto"/>
        <w:left w:val="none" w:sz="0" w:space="0" w:color="auto"/>
        <w:bottom w:val="none" w:sz="0" w:space="0" w:color="auto"/>
        <w:right w:val="none" w:sz="0" w:space="0" w:color="auto"/>
      </w:divBdr>
    </w:div>
    <w:div w:id="560138714">
      <w:bodyDiv w:val="1"/>
      <w:marLeft w:val="0"/>
      <w:marRight w:val="0"/>
      <w:marTop w:val="0"/>
      <w:marBottom w:val="0"/>
      <w:divBdr>
        <w:top w:val="none" w:sz="0" w:space="0" w:color="auto"/>
        <w:left w:val="none" w:sz="0" w:space="0" w:color="auto"/>
        <w:bottom w:val="none" w:sz="0" w:space="0" w:color="auto"/>
        <w:right w:val="none" w:sz="0" w:space="0" w:color="auto"/>
      </w:divBdr>
    </w:div>
    <w:div w:id="560212464">
      <w:bodyDiv w:val="1"/>
      <w:marLeft w:val="0"/>
      <w:marRight w:val="0"/>
      <w:marTop w:val="0"/>
      <w:marBottom w:val="0"/>
      <w:divBdr>
        <w:top w:val="none" w:sz="0" w:space="0" w:color="auto"/>
        <w:left w:val="none" w:sz="0" w:space="0" w:color="auto"/>
        <w:bottom w:val="none" w:sz="0" w:space="0" w:color="auto"/>
        <w:right w:val="none" w:sz="0" w:space="0" w:color="auto"/>
      </w:divBdr>
    </w:div>
    <w:div w:id="560365366">
      <w:bodyDiv w:val="1"/>
      <w:marLeft w:val="0"/>
      <w:marRight w:val="0"/>
      <w:marTop w:val="0"/>
      <w:marBottom w:val="0"/>
      <w:divBdr>
        <w:top w:val="none" w:sz="0" w:space="0" w:color="auto"/>
        <w:left w:val="none" w:sz="0" w:space="0" w:color="auto"/>
        <w:bottom w:val="none" w:sz="0" w:space="0" w:color="auto"/>
        <w:right w:val="none" w:sz="0" w:space="0" w:color="auto"/>
      </w:divBdr>
    </w:div>
    <w:div w:id="560600404">
      <w:bodyDiv w:val="1"/>
      <w:marLeft w:val="0"/>
      <w:marRight w:val="0"/>
      <w:marTop w:val="0"/>
      <w:marBottom w:val="0"/>
      <w:divBdr>
        <w:top w:val="none" w:sz="0" w:space="0" w:color="auto"/>
        <w:left w:val="none" w:sz="0" w:space="0" w:color="auto"/>
        <w:bottom w:val="none" w:sz="0" w:space="0" w:color="auto"/>
        <w:right w:val="none" w:sz="0" w:space="0" w:color="auto"/>
      </w:divBdr>
    </w:div>
    <w:div w:id="560796421">
      <w:bodyDiv w:val="1"/>
      <w:marLeft w:val="0"/>
      <w:marRight w:val="0"/>
      <w:marTop w:val="0"/>
      <w:marBottom w:val="0"/>
      <w:divBdr>
        <w:top w:val="none" w:sz="0" w:space="0" w:color="auto"/>
        <w:left w:val="none" w:sz="0" w:space="0" w:color="auto"/>
        <w:bottom w:val="none" w:sz="0" w:space="0" w:color="auto"/>
        <w:right w:val="none" w:sz="0" w:space="0" w:color="auto"/>
      </w:divBdr>
    </w:div>
    <w:div w:id="560948346">
      <w:bodyDiv w:val="1"/>
      <w:marLeft w:val="0"/>
      <w:marRight w:val="0"/>
      <w:marTop w:val="0"/>
      <w:marBottom w:val="0"/>
      <w:divBdr>
        <w:top w:val="none" w:sz="0" w:space="0" w:color="auto"/>
        <w:left w:val="none" w:sz="0" w:space="0" w:color="auto"/>
        <w:bottom w:val="none" w:sz="0" w:space="0" w:color="auto"/>
        <w:right w:val="none" w:sz="0" w:space="0" w:color="auto"/>
      </w:divBdr>
    </w:div>
    <w:div w:id="561058464">
      <w:bodyDiv w:val="1"/>
      <w:marLeft w:val="0"/>
      <w:marRight w:val="0"/>
      <w:marTop w:val="0"/>
      <w:marBottom w:val="0"/>
      <w:divBdr>
        <w:top w:val="none" w:sz="0" w:space="0" w:color="auto"/>
        <w:left w:val="none" w:sz="0" w:space="0" w:color="auto"/>
        <w:bottom w:val="none" w:sz="0" w:space="0" w:color="auto"/>
        <w:right w:val="none" w:sz="0" w:space="0" w:color="auto"/>
      </w:divBdr>
    </w:div>
    <w:div w:id="561209534">
      <w:bodyDiv w:val="1"/>
      <w:marLeft w:val="0"/>
      <w:marRight w:val="0"/>
      <w:marTop w:val="0"/>
      <w:marBottom w:val="0"/>
      <w:divBdr>
        <w:top w:val="none" w:sz="0" w:space="0" w:color="auto"/>
        <w:left w:val="none" w:sz="0" w:space="0" w:color="auto"/>
        <w:bottom w:val="none" w:sz="0" w:space="0" w:color="auto"/>
        <w:right w:val="none" w:sz="0" w:space="0" w:color="auto"/>
      </w:divBdr>
    </w:div>
    <w:div w:id="561209664">
      <w:bodyDiv w:val="1"/>
      <w:marLeft w:val="0"/>
      <w:marRight w:val="0"/>
      <w:marTop w:val="0"/>
      <w:marBottom w:val="0"/>
      <w:divBdr>
        <w:top w:val="none" w:sz="0" w:space="0" w:color="auto"/>
        <w:left w:val="none" w:sz="0" w:space="0" w:color="auto"/>
        <w:bottom w:val="none" w:sz="0" w:space="0" w:color="auto"/>
        <w:right w:val="none" w:sz="0" w:space="0" w:color="auto"/>
      </w:divBdr>
    </w:div>
    <w:div w:id="561214335">
      <w:bodyDiv w:val="1"/>
      <w:marLeft w:val="0"/>
      <w:marRight w:val="0"/>
      <w:marTop w:val="0"/>
      <w:marBottom w:val="0"/>
      <w:divBdr>
        <w:top w:val="none" w:sz="0" w:space="0" w:color="auto"/>
        <w:left w:val="none" w:sz="0" w:space="0" w:color="auto"/>
        <w:bottom w:val="none" w:sz="0" w:space="0" w:color="auto"/>
        <w:right w:val="none" w:sz="0" w:space="0" w:color="auto"/>
      </w:divBdr>
    </w:div>
    <w:div w:id="561217464">
      <w:bodyDiv w:val="1"/>
      <w:marLeft w:val="0"/>
      <w:marRight w:val="0"/>
      <w:marTop w:val="0"/>
      <w:marBottom w:val="0"/>
      <w:divBdr>
        <w:top w:val="none" w:sz="0" w:space="0" w:color="auto"/>
        <w:left w:val="none" w:sz="0" w:space="0" w:color="auto"/>
        <w:bottom w:val="none" w:sz="0" w:space="0" w:color="auto"/>
        <w:right w:val="none" w:sz="0" w:space="0" w:color="auto"/>
      </w:divBdr>
    </w:div>
    <w:div w:id="561330684">
      <w:bodyDiv w:val="1"/>
      <w:marLeft w:val="0"/>
      <w:marRight w:val="0"/>
      <w:marTop w:val="0"/>
      <w:marBottom w:val="0"/>
      <w:divBdr>
        <w:top w:val="none" w:sz="0" w:space="0" w:color="auto"/>
        <w:left w:val="none" w:sz="0" w:space="0" w:color="auto"/>
        <w:bottom w:val="none" w:sz="0" w:space="0" w:color="auto"/>
        <w:right w:val="none" w:sz="0" w:space="0" w:color="auto"/>
      </w:divBdr>
    </w:div>
    <w:div w:id="561449595">
      <w:bodyDiv w:val="1"/>
      <w:marLeft w:val="0"/>
      <w:marRight w:val="0"/>
      <w:marTop w:val="0"/>
      <w:marBottom w:val="0"/>
      <w:divBdr>
        <w:top w:val="none" w:sz="0" w:space="0" w:color="auto"/>
        <w:left w:val="none" w:sz="0" w:space="0" w:color="auto"/>
        <w:bottom w:val="none" w:sz="0" w:space="0" w:color="auto"/>
        <w:right w:val="none" w:sz="0" w:space="0" w:color="auto"/>
      </w:divBdr>
    </w:div>
    <w:div w:id="561597328">
      <w:bodyDiv w:val="1"/>
      <w:marLeft w:val="0"/>
      <w:marRight w:val="0"/>
      <w:marTop w:val="0"/>
      <w:marBottom w:val="0"/>
      <w:divBdr>
        <w:top w:val="none" w:sz="0" w:space="0" w:color="auto"/>
        <w:left w:val="none" w:sz="0" w:space="0" w:color="auto"/>
        <w:bottom w:val="none" w:sz="0" w:space="0" w:color="auto"/>
        <w:right w:val="none" w:sz="0" w:space="0" w:color="auto"/>
      </w:divBdr>
    </w:div>
    <w:div w:id="561916006">
      <w:bodyDiv w:val="1"/>
      <w:marLeft w:val="0"/>
      <w:marRight w:val="0"/>
      <w:marTop w:val="0"/>
      <w:marBottom w:val="0"/>
      <w:divBdr>
        <w:top w:val="none" w:sz="0" w:space="0" w:color="auto"/>
        <w:left w:val="none" w:sz="0" w:space="0" w:color="auto"/>
        <w:bottom w:val="none" w:sz="0" w:space="0" w:color="auto"/>
        <w:right w:val="none" w:sz="0" w:space="0" w:color="auto"/>
      </w:divBdr>
    </w:div>
    <w:div w:id="562183327">
      <w:bodyDiv w:val="1"/>
      <w:marLeft w:val="0"/>
      <w:marRight w:val="0"/>
      <w:marTop w:val="0"/>
      <w:marBottom w:val="0"/>
      <w:divBdr>
        <w:top w:val="none" w:sz="0" w:space="0" w:color="auto"/>
        <w:left w:val="none" w:sz="0" w:space="0" w:color="auto"/>
        <w:bottom w:val="none" w:sz="0" w:space="0" w:color="auto"/>
        <w:right w:val="none" w:sz="0" w:space="0" w:color="auto"/>
      </w:divBdr>
    </w:div>
    <w:div w:id="562300313">
      <w:bodyDiv w:val="1"/>
      <w:marLeft w:val="0"/>
      <w:marRight w:val="0"/>
      <w:marTop w:val="0"/>
      <w:marBottom w:val="0"/>
      <w:divBdr>
        <w:top w:val="none" w:sz="0" w:space="0" w:color="auto"/>
        <w:left w:val="none" w:sz="0" w:space="0" w:color="auto"/>
        <w:bottom w:val="none" w:sz="0" w:space="0" w:color="auto"/>
        <w:right w:val="none" w:sz="0" w:space="0" w:color="auto"/>
      </w:divBdr>
    </w:div>
    <w:div w:id="562328147">
      <w:bodyDiv w:val="1"/>
      <w:marLeft w:val="0"/>
      <w:marRight w:val="0"/>
      <w:marTop w:val="0"/>
      <w:marBottom w:val="0"/>
      <w:divBdr>
        <w:top w:val="none" w:sz="0" w:space="0" w:color="auto"/>
        <w:left w:val="none" w:sz="0" w:space="0" w:color="auto"/>
        <w:bottom w:val="none" w:sz="0" w:space="0" w:color="auto"/>
        <w:right w:val="none" w:sz="0" w:space="0" w:color="auto"/>
      </w:divBdr>
    </w:div>
    <w:div w:id="562453242">
      <w:bodyDiv w:val="1"/>
      <w:marLeft w:val="0"/>
      <w:marRight w:val="0"/>
      <w:marTop w:val="0"/>
      <w:marBottom w:val="0"/>
      <w:divBdr>
        <w:top w:val="none" w:sz="0" w:space="0" w:color="auto"/>
        <w:left w:val="none" w:sz="0" w:space="0" w:color="auto"/>
        <w:bottom w:val="none" w:sz="0" w:space="0" w:color="auto"/>
        <w:right w:val="none" w:sz="0" w:space="0" w:color="auto"/>
      </w:divBdr>
    </w:div>
    <w:div w:id="562523836">
      <w:bodyDiv w:val="1"/>
      <w:marLeft w:val="0"/>
      <w:marRight w:val="0"/>
      <w:marTop w:val="0"/>
      <w:marBottom w:val="0"/>
      <w:divBdr>
        <w:top w:val="none" w:sz="0" w:space="0" w:color="auto"/>
        <w:left w:val="none" w:sz="0" w:space="0" w:color="auto"/>
        <w:bottom w:val="none" w:sz="0" w:space="0" w:color="auto"/>
        <w:right w:val="none" w:sz="0" w:space="0" w:color="auto"/>
      </w:divBdr>
    </w:div>
    <w:div w:id="562569380">
      <w:bodyDiv w:val="1"/>
      <w:marLeft w:val="0"/>
      <w:marRight w:val="0"/>
      <w:marTop w:val="0"/>
      <w:marBottom w:val="0"/>
      <w:divBdr>
        <w:top w:val="none" w:sz="0" w:space="0" w:color="auto"/>
        <w:left w:val="none" w:sz="0" w:space="0" w:color="auto"/>
        <w:bottom w:val="none" w:sz="0" w:space="0" w:color="auto"/>
        <w:right w:val="none" w:sz="0" w:space="0" w:color="auto"/>
      </w:divBdr>
    </w:div>
    <w:div w:id="562788065">
      <w:bodyDiv w:val="1"/>
      <w:marLeft w:val="0"/>
      <w:marRight w:val="0"/>
      <w:marTop w:val="0"/>
      <w:marBottom w:val="0"/>
      <w:divBdr>
        <w:top w:val="none" w:sz="0" w:space="0" w:color="auto"/>
        <w:left w:val="none" w:sz="0" w:space="0" w:color="auto"/>
        <w:bottom w:val="none" w:sz="0" w:space="0" w:color="auto"/>
        <w:right w:val="none" w:sz="0" w:space="0" w:color="auto"/>
      </w:divBdr>
    </w:div>
    <w:div w:id="563107742">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3565011">
      <w:bodyDiv w:val="1"/>
      <w:marLeft w:val="0"/>
      <w:marRight w:val="0"/>
      <w:marTop w:val="0"/>
      <w:marBottom w:val="0"/>
      <w:divBdr>
        <w:top w:val="none" w:sz="0" w:space="0" w:color="auto"/>
        <w:left w:val="none" w:sz="0" w:space="0" w:color="auto"/>
        <w:bottom w:val="none" w:sz="0" w:space="0" w:color="auto"/>
        <w:right w:val="none" w:sz="0" w:space="0" w:color="auto"/>
      </w:divBdr>
    </w:div>
    <w:div w:id="563754722">
      <w:bodyDiv w:val="1"/>
      <w:marLeft w:val="0"/>
      <w:marRight w:val="0"/>
      <w:marTop w:val="0"/>
      <w:marBottom w:val="0"/>
      <w:divBdr>
        <w:top w:val="none" w:sz="0" w:space="0" w:color="auto"/>
        <w:left w:val="none" w:sz="0" w:space="0" w:color="auto"/>
        <w:bottom w:val="none" w:sz="0" w:space="0" w:color="auto"/>
        <w:right w:val="none" w:sz="0" w:space="0" w:color="auto"/>
      </w:divBdr>
    </w:div>
    <w:div w:id="563832689">
      <w:bodyDiv w:val="1"/>
      <w:marLeft w:val="0"/>
      <w:marRight w:val="0"/>
      <w:marTop w:val="0"/>
      <w:marBottom w:val="0"/>
      <w:divBdr>
        <w:top w:val="none" w:sz="0" w:space="0" w:color="auto"/>
        <w:left w:val="none" w:sz="0" w:space="0" w:color="auto"/>
        <w:bottom w:val="none" w:sz="0" w:space="0" w:color="auto"/>
        <w:right w:val="none" w:sz="0" w:space="0" w:color="auto"/>
      </w:divBdr>
    </w:div>
    <w:div w:id="564032505">
      <w:bodyDiv w:val="1"/>
      <w:marLeft w:val="0"/>
      <w:marRight w:val="0"/>
      <w:marTop w:val="0"/>
      <w:marBottom w:val="0"/>
      <w:divBdr>
        <w:top w:val="none" w:sz="0" w:space="0" w:color="auto"/>
        <w:left w:val="none" w:sz="0" w:space="0" w:color="auto"/>
        <w:bottom w:val="none" w:sz="0" w:space="0" w:color="auto"/>
        <w:right w:val="none" w:sz="0" w:space="0" w:color="auto"/>
      </w:divBdr>
    </w:div>
    <w:div w:id="564070377">
      <w:bodyDiv w:val="1"/>
      <w:marLeft w:val="0"/>
      <w:marRight w:val="0"/>
      <w:marTop w:val="0"/>
      <w:marBottom w:val="0"/>
      <w:divBdr>
        <w:top w:val="none" w:sz="0" w:space="0" w:color="auto"/>
        <w:left w:val="none" w:sz="0" w:space="0" w:color="auto"/>
        <w:bottom w:val="none" w:sz="0" w:space="0" w:color="auto"/>
        <w:right w:val="none" w:sz="0" w:space="0" w:color="auto"/>
      </w:divBdr>
    </w:div>
    <w:div w:id="564225613">
      <w:bodyDiv w:val="1"/>
      <w:marLeft w:val="0"/>
      <w:marRight w:val="0"/>
      <w:marTop w:val="0"/>
      <w:marBottom w:val="0"/>
      <w:divBdr>
        <w:top w:val="none" w:sz="0" w:space="0" w:color="auto"/>
        <w:left w:val="none" w:sz="0" w:space="0" w:color="auto"/>
        <w:bottom w:val="none" w:sz="0" w:space="0" w:color="auto"/>
        <w:right w:val="none" w:sz="0" w:space="0" w:color="auto"/>
      </w:divBdr>
    </w:div>
    <w:div w:id="564266574">
      <w:bodyDiv w:val="1"/>
      <w:marLeft w:val="0"/>
      <w:marRight w:val="0"/>
      <w:marTop w:val="0"/>
      <w:marBottom w:val="0"/>
      <w:divBdr>
        <w:top w:val="none" w:sz="0" w:space="0" w:color="auto"/>
        <w:left w:val="none" w:sz="0" w:space="0" w:color="auto"/>
        <w:bottom w:val="none" w:sz="0" w:space="0" w:color="auto"/>
        <w:right w:val="none" w:sz="0" w:space="0" w:color="auto"/>
      </w:divBdr>
    </w:div>
    <w:div w:id="564336709">
      <w:bodyDiv w:val="1"/>
      <w:marLeft w:val="0"/>
      <w:marRight w:val="0"/>
      <w:marTop w:val="0"/>
      <w:marBottom w:val="0"/>
      <w:divBdr>
        <w:top w:val="none" w:sz="0" w:space="0" w:color="auto"/>
        <w:left w:val="none" w:sz="0" w:space="0" w:color="auto"/>
        <w:bottom w:val="none" w:sz="0" w:space="0" w:color="auto"/>
        <w:right w:val="none" w:sz="0" w:space="0" w:color="auto"/>
      </w:divBdr>
    </w:div>
    <w:div w:id="564337130">
      <w:bodyDiv w:val="1"/>
      <w:marLeft w:val="0"/>
      <w:marRight w:val="0"/>
      <w:marTop w:val="0"/>
      <w:marBottom w:val="0"/>
      <w:divBdr>
        <w:top w:val="none" w:sz="0" w:space="0" w:color="auto"/>
        <w:left w:val="none" w:sz="0" w:space="0" w:color="auto"/>
        <w:bottom w:val="none" w:sz="0" w:space="0" w:color="auto"/>
        <w:right w:val="none" w:sz="0" w:space="0" w:color="auto"/>
      </w:divBdr>
    </w:div>
    <w:div w:id="564921853">
      <w:bodyDiv w:val="1"/>
      <w:marLeft w:val="0"/>
      <w:marRight w:val="0"/>
      <w:marTop w:val="0"/>
      <w:marBottom w:val="0"/>
      <w:divBdr>
        <w:top w:val="none" w:sz="0" w:space="0" w:color="auto"/>
        <w:left w:val="none" w:sz="0" w:space="0" w:color="auto"/>
        <w:bottom w:val="none" w:sz="0" w:space="0" w:color="auto"/>
        <w:right w:val="none" w:sz="0" w:space="0" w:color="auto"/>
      </w:divBdr>
    </w:div>
    <w:div w:id="565184257">
      <w:bodyDiv w:val="1"/>
      <w:marLeft w:val="0"/>
      <w:marRight w:val="0"/>
      <w:marTop w:val="0"/>
      <w:marBottom w:val="0"/>
      <w:divBdr>
        <w:top w:val="none" w:sz="0" w:space="0" w:color="auto"/>
        <w:left w:val="none" w:sz="0" w:space="0" w:color="auto"/>
        <w:bottom w:val="none" w:sz="0" w:space="0" w:color="auto"/>
        <w:right w:val="none" w:sz="0" w:space="0" w:color="auto"/>
      </w:divBdr>
    </w:div>
    <w:div w:id="565384810">
      <w:bodyDiv w:val="1"/>
      <w:marLeft w:val="0"/>
      <w:marRight w:val="0"/>
      <w:marTop w:val="0"/>
      <w:marBottom w:val="0"/>
      <w:divBdr>
        <w:top w:val="none" w:sz="0" w:space="0" w:color="auto"/>
        <w:left w:val="none" w:sz="0" w:space="0" w:color="auto"/>
        <w:bottom w:val="none" w:sz="0" w:space="0" w:color="auto"/>
        <w:right w:val="none" w:sz="0" w:space="0" w:color="auto"/>
      </w:divBdr>
    </w:div>
    <w:div w:id="565454751">
      <w:bodyDiv w:val="1"/>
      <w:marLeft w:val="0"/>
      <w:marRight w:val="0"/>
      <w:marTop w:val="0"/>
      <w:marBottom w:val="0"/>
      <w:divBdr>
        <w:top w:val="none" w:sz="0" w:space="0" w:color="auto"/>
        <w:left w:val="none" w:sz="0" w:space="0" w:color="auto"/>
        <w:bottom w:val="none" w:sz="0" w:space="0" w:color="auto"/>
        <w:right w:val="none" w:sz="0" w:space="0" w:color="auto"/>
      </w:divBdr>
    </w:div>
    <w:div w:id="565648253">
      <w:bodyDiv w:val="1"/>
      <w:marLeft w:val="0"/>
      <w:marRight w:val="0"/>
      <w:marTop w:val="0"/>
      <w:marBottom w:val="0"/>
      <w:divBdr>
        <w:top w:val="none" w:sz="0" w:space="0" w:color="auto"/>
        <w:left w:val="none" w:sz="0" w:space="0" w:color="auto"/>
        <w:bottom w:val="none" w:sz="0" w:space="0" w:color="auto"/>
        <w:right w:val="none" w:sz="0" w:space="0" w:color="auto"/>
      </w:divBdr>
    </w:div>
    <w:div w:id="565730023">
      <w:bodyDiv w:val="1"/>
      <w:marLeft w:val="0"/>
      <w:marRight w:val="0"/>
      <w:marTop w:val="0"/>
      <w:marBottom w:val="0"/>
      <w:divBdr>
        <w:top w:val="none" w:sz="0" w:space="0" w:color="auto"/>
        <w:left w:val="none" w:sz="0" w:space="0" w:color="auto"/>
        <w:bottom w:val="none" w:sz="0" w:space="0" w:color="auto"/>
        <w:right w:val="none" w:sz="0" w:space="0" w:color="auto"/>
      </w:divBdr>
    </w:div>
    <w:div w:id="565914532">
      <w:bodyDiv w:val="1"/>
      <w:marLeft w:val="0"/>
      <w:marRight w:val="0"/>
      <w:marTop w:val="0"/>
      <w:marBottom w:val="0"/>
      <w:divBdr>
        <w:top w:val="none" w:sz="0" w:space="0" w:color="auto"/>
        <w:left w:val="none" w:sz="0" w:space="0" w:color="auto"/>
        <w:bottom w:val="none" w:sz="0" w:space="0" w:color="auto"/>
        <w:right w:val="none" w:sz="0" w:space="0" w:color="auto"/>
      </w:divBdr>
    </w:div>
    <w:div w:id="566456851">
      <w:bodyDiv w:val="1"/>
      <w:marLeft w:val="0"/>
      <w:marRight w:val="0"/>
      <w:marTop w:val="0"/>
      <w:marBottom w:val="0"/>
      <w:divBdr>
        <w:top w:val="none" w:sz="0" w:space="0" w:color="auto"/>
        <w:left w:val="none" w:sz="0" w:space="0" w:color="auto"/>
        <w:bottom w:val="none" w:sz="0" w:space="0" w:color="auto"/>
        <w:right w:val="none" w:sz="0" w:space="0" w:color="auto"/>
      </w:divBdr>
    </w:div>
    <w:div w:id="566502604">
      <w:bodyDiv w:val="1"/>
      <w:marLeft w:val="0"/>
      <w:marRight w:val="0"/>
      <w:marTop w:val="0"/>
      <w:marBottom w:val="0"/>
      <w:divBdr>
        <w:top w:val="none" w:sz="0" w:space="0" w:color="auto"/>
        <w:left w:val="none" w:sz="0" w:space="0" w:color="auto"/>
        <w:bottom w:val="none" w:sz="0" w:space="0" w:color="auto"/>
        <w:right w:val="none" w:sz="0" w:space="0" w:color="auto"/>
      </w:divBdr>
    </w:div>
    <w:div w:id="566577892">
      <w:bodyDiv w:val="1"/>
      <w:marLeft w:val="0"/>
      <w:marRight w:val="0"/>
      <w:marTop w:val="0"/>
      <w:marBottom w:val="0"/>
      <w:divBdr>
        <w:top w:val="none" w:sz="0" w:space="0" w:color="auto"/>
        <w:left w:val="none" w:sz="0" w:space="0" w:color="auto"/>
        <w:bottom w:val="none" w:sz="0" w:space="0" w:color="auto"/>
        <w:right w:val="none" w:sz="0" w:space="0" w:color="auto"/>
      </w:divBdr>
    </w:div>
    <w:div w:id="566650408">
      <w:bodyDiv w:val="1"/>
      <w:marLeft w:val="0"/>
      <w:marRight w:val="0"/>
      <w:marTop w:val="0"/>
      <w:marBottom w:val="0"/>
      <w:divBdr>
        <w:top w:val="none" w:sz="0" w:space="0" w:color="auto"/>
        <w:left w:val="none" w:sz="0" w:space="0" w:color="auto"/>
        <w:bottom w:val="none" w:sz="0" w:space="0" w:color="auto"/>
        <w:right w:val="none" w:sz="0" w:space="0" w:color="auto"/>
      </w:divBdr>
    </w:div>
    <w:div w:id="566653194">
      <w:bodyDiv w:val="1"/>
      <w:marLeft w:val="0"/>
      <w:marRight w:val="0"/>
      <w:marTop w:val="0"/>
      <w:marBottom w:val="0"/>
      <w:divBdr>
        <w:top w:val="none" w:sz="0" w:space="0" w:color="auto"/>
        <w:left w:val="none" w:sz="0" w:space="0" w:color="auto"/>
        <w:bottom w:val="none" w:sz="0" w:space="0" w:color="auto"/>
        <w:right w:val="none" w:sz="0" w:space="0" w:color="auto"/>
      </w:divBdr>
    </w:div>
    <w:div w:id="566837872">
      <w:bodyDiv w:val="1"/>
      <w:marLeft w:val="0"/>
      <w:marRight w:val="0"/>
      <w:marTop w:val="0"/>
      <w:marBottom w:val="0"/>
      <w:divBdr>
        <w:top w:val="none" w:sz="0" w:space="0" w:color="auto"/>
        <w:left w:val="none" w:sz="0" w:space="0" w:color="auto"/>
        <w:bottom w:val="none" w:sz="0" w:space="0" w:color="auto"/>
        <w:right w:val="none" w:sz="0" w:space="0" w:color="auto"/>
      </w:divBdr>
    </w:div>
    <w:div w:id="566963407">
      <w:bodyDiv w:val="1"/>
      <w:marLeft w:val="0"/>
      <w:marRight w:val="0"/>
      <w:marTop w:val="0"/>
      <w:marBottom w:val="0"/>
      <w:divBdr>
        <w:top w:val="none" w:sz="0" w:space="0" w:color="auto"/>
        <w:left w:val="none" w:sz="0" w:space="0" w:color="auto"/>
        <w:bottom w:val="none" w:sz="0" w:space="0" w:color="auto"/>
        <w:right w:val="none" w:sz="0" w:space="0" w:color="auto"/>
      </w:divBdr>
    </w:div>
    <w:div w:id="567033048">
      <w:bodyDiv w:val="1"/>
      <w:marLeft w:val="0"/>
      <w:marRight w:val="0"/>
      <w:marTop w:val="0"/>
      <w:marBottom w:val="0"/>
      <w:divBdr>
        <w:top w:val="none" w:sz="0" w:space="0" w:color="auto"/>
        <w:left w:val="none" w:sz="0" w:space="0" w:color="auto"/>
        <w:bottom w:val="none" w:sz="0" w:space="0" w:color="auto"/>
        <w:right w:val="none" w:sz="0" w:space="0" w:color="auto"/>
      </w:divBdr>
    </w:div>
    <w:div w:id="567039177">
      <w:bodyDiv w:val="1"/>
      <w:marLeft w:val="0"/>
      <w:marRight w:val="0"/>
      <w:marTop w:val="0"/>
      <w:marBottom w:val="0"/>
      <w:divBdr>
        <w:top w:val="none" w:sz="0" w:space="0" w:color="auto"/>
        <w:left w:val="none" w:sz="0" w:space="0" w:color="auto"/>
        <w:bottom w:val="none" w:sz="0" w:space="0" w:color="auto"/>
        <w:right w:val="none" w:sz="0" w:space="0" w:color="auto"/>
      </w:divBdr>
    </w:div>
    <w:div w:id="567108602">
      <w:bodyDiv w:val="1"/>
      <w:marLeft w:val="0"/>
      <w:marRight w:val="0"/>
      <w:marTop w:val="0"/>
      <w:marBottom w:val="0"/>
      <w:divBdr>
        <w:top w:val="none" w:sz="0" w:space="0" w:color="auto"/>
        <w:left w:val="none" w:sz="0" w:space="0" w:color="auto"/>
        <w:bottom w:val="none" w:sz="0" w:space="0" w:color="auto"/>
        <w:right w:val="none" w:sz="0" w:space="0" w:color="auto"/>
      </w:divBdr>
    </w:div>
    <w:div w:id="567155992">
      <w:bodyDiv w:val="1"/>
      <w:marLeft w:val="0"/>
      <w:marRight w:val="0"/>
      <w:marTop w:val="0"/>
      <w:marBottom w:val="0"/>
      <w:divBdr>
        <w:top w:val="none" w:sz="0" w:space="0" w:color="auto"/>
        <w:left w:val="none" w:sz="0" w:space="0" w:color="auto"/>
        <w:bottom w:val="none" w:sz="0" w:space="0" w:color="auto"/>
        <w:right w:val="none" w:sz="0" w:space="0" w:color="auto"/>
      </w:divBdr>
    </w:div>
    <w:div w:id="567345442">
      <w:bodyDiv w:val="1"/>
      <w:marLeft w:val="0"/>
      <w:marRight w:val="0"/>
      <w:marTop w:val="0"/>
      <w:marBottom w:val="0"/>
      <w:divBdr>
        <w:top w:val="none" w:sz="0" w:space="0" w:color="auto"/>
        <w:left w:val="none" w:sz="0" w:space="0" w:color="auto"/>
        <w:bottom w:val="none" w:sz="0" w:space="0" w:color="auto"/>
        <w:right w:val="none" w:sz="0" w:space="0" w:color="auto"/>
      </w:divBdr>
    </w:div>
    <w:div w:id="567375304">
      <w:bodyDiv w:val="1"/>
      <w:marLeft w:val="0"/>
      <w:marRight w:val="0"/>
      <w:marTop w:val="0"/>
      <w:marBottom w:val="0"/>
      <w:divBdr>
        <w:top w:val="none" w:sz="0" w:space="0" w:color="auto"/>
        <w:left w:val="none" w:sz="0" w:space="0" w:color="auto"/>
        <w:bottom w:val="none" w:sz="0" w:space="0" w:color="auto"/>
        <w:right w:val="none" w:sz="0" w:space="0" w:color="auto"/>
      </w:divBdr>
    </w:div>
    <w:div w:id="567419668">
      <w:bodyDiv w:val="1"/>
      <w:marLeft w:val="0"/>
      <w:marRight w:val="0"/>
      <w:marTop w:val="0"/>
      <w:marBottom w:val="0"/>
      <w:divBdr>
        <w:top w:val="none" w:sz="0" w:space="0" w:color="auto"/>
        <w:left w:val="none" w:sz="0" w:space="0" w:color="auto"/>
        <w:bottom w:val="none" w:sz="0" w:space="0" w:color="auto"/>
        <w:right w:val="none" w:sz="0" w:space="0" w:color="auto"/>
      </w:divBdr>
    </w:div>
    <w:div w:id="567501838">
      <w:bodyDiv w:val="1"/>
      <w:marLeft w:val="0"/>
      <w:marRight w:val="0"/>
      <w:marTop w:val="0"/>
      <w:marBottom w:val="0"/>
      <w:divBdr>
        <w:top w:val="none" w:sz="0" w:space="0" w:color="auto"/>
        <w:left w:val="none" w:sz="0" w:space="0" w:color="auto"/>
        <w:bottom w:val="none" w:sz="0" w:space="0" w:color="auto"/>
        <w:right w:val="none" w:sz="0" w:space="0" w:color="auto"/>
      </w:divBdr>
    </w:div>
    <w:div w:id="567806707">
      <w:bodyDiv w:val="1"/>
      <w:marLeft w:val="0"/>
      <w:marRight w:val="0"/>
      <w:marTop w:val="0"/>
      <w:marBottom w:val="0"/>
      <w:divBdr>
        <w:top w:val="none" w:sz="0" w:space="0" w:color="auto"/>
        <w:left w:val="none" w:sz="0" w:space="0" w:color="auto"/>
        <w:bottom w:val="none" w:sz="0" w:space="0" w:color="auto"/>
        <w:right w:val="none" w:sz="0" w:space="0" w:color="auto"/>
      </w:divBdr>
    </w:div>
    <w:div w:id="567806783">
      <w:bodyDiv w:val="1"/>
      <w:marLeft w:val="0"/>
      <w:marRight w:val="0"/>
      <w:marTop w:val="0"/>
      <w:marBottom w:val="0"/>
      <w:divBdr>
        <w:top w:val="none" w:sz="0" w:space="0" w:color="auto"/>
        <w:left w:val="none" w:sz="0" w:space="0" w:color="auto"/>
        <w:bottom w:val="none" w:sz="0" w:space="0" w:color="auto"/>
        <w:right w:val="none" w:sz="0" w:space="0" w:color="auto"/>
      </w:divBdr>
    </w:div>
    <w:div w:id="567810012">
      <w:bodyDiv w:val="1"/>
      <w:marLeft w:val="0"/>
      <w:marRight w:val="0"/>
      <w:marTop w:val="0"/>
      <w:marBottom w:val="0"/>
      <w:divBdr>
        <w:top w:val="none" w:sz="0" w:space="0" w:color="auto"/>
        <w:left w:val="none" w:sz="0" w:space="0" w:color="auto"/>
        <w:bottom w:val="none" w:sz="0" w:space="0" w:color="auto"/>
        <w:right w:val="none" w:sz="0" w:space="0" w:color="auto"/>
      </w:divBdr>
    </w:div>
    <w:div w:id="567813664">
      <w:bodyDiv w:val="1"/>
      <w:marLeft w:val="0"/>
      <w:marRight w:val="0"/>
      <w:marTop w:val="0"/>
      <w:marBottom w:val="0"/>
      <w:divBdr>
        <w:top w:val="none" w:sz="0" w:space="0" w:color="auto"/>
        <w:left w:val="none" w:sz="0" w:space="0" w:color="auto"/>
        <w:bottom w:val="none" w:sz="0" w:space="0" w:color="auto"/>
        <w:right w:val="none" w:sz="0" w:space="0" w:color="auto"/>
      </w:divBdr>
    </w:div>
    <w:div w:id="567884047">
      <w:bodyDiv w:val="1"/>
      <w:marLeft w:val="0"/>
      <w:marRight w:val="0"/>
      <w:marTop w:val="0"/>
      <w:marBottom w:val="0"/>
      <w:divBdr>
        <w:top w:val="none" w:sz="0" w:space="0" w:color="auto"/>
        <w:left w:val="none" w:sz="0" w:space="0" w:color="auto"/>
        <w:bottom w:val="none" w:sz="0" w:space="0" w:color="auto"/>
        <w:right w:val="none" w:sz="0" w:space="0" w:color="auto"/>
      </w:divBdr>
    </w:div>
    <w:div w:id="567959820">
      <w:bodyDiv w:val="1"/>
      <w:marLeft w:val="0"/>
      <w:marRight w:val="0"/>
      <w:marTop w:val="0"/>
      <w:marBottom w:val="0"/>
      <w:divBdr>
        <w:top w:val="none" w:sz="0" w:space="0" w:color="auto"/>
        <w:left w:val="none" w:sz="0" w:space="0" w:color="auto"/>
        <w:bottom w:val="none" w:sz="0" w:space="0" w:color="auto"/>
        <w:right w:val="none" w:sz="0" w:space="0" w:color="auto"/>
      </w:divBdr>
    </w:div>
    <w:div w:id="568153925">
      <w:bodyDiv w:val="1"/>
      <w:marLeft w:val="0"/>
      <w:marRight w:val="0"/>
      <w:marTop w:val="0"/>
      <w:marBottom w:val="0"/>
      <w:divBdr>
        <w:top w:val="none" w:sz="0" w:space="0" w:color="auto"/>
        <w:left w:val="none" w:sz="0" w:space="0" w:color="auto"/>
        <w:bottom w:val="none" w:sz="0" w:space="0" w:color="auto"/>
        <w:right w:val="none" w:sz="0" w:space="0" w:color="auto"/>
      </w:divBdr>
    </w:div>
    <w:div w:id="568419796">
      <w:bodyDiv w:val="1"/>
      <w:marLeft w:val="0"/>
      <w:marRight w:val="0"/>
      <w:marTop w:val="0"/>
      <w:marBottom w:val="0"/>
      <w:divBdr>
        <w:top w:val="none" w:sz="0" w:space="0" w:color="auto"/>
        <w:left w:val="none" w:sz="0" w:space="0" w:color="auto"/>
        <w:bottom w:val="none" w:sz="0" w:space="0" w:color="auto"/>
        <w:right w:val="none" w:sz="0" w:space="0" w:color="auto"/>
      </w:divBdr>
    </w:div>
    <w:div w:id="568656474">
      <w:bodyDiv w:val="1"/>
      <w:marLeft w:val="0"/>
      <w:marRight w:val="0"/>
      <w:marTop w:val="0"/>
      <w:marBottom w:val="0"/>
      <w:divBdr>
        <w:top w:val="none" w:sz="0" w:space="0" w:color="auto"/>
        <w:left w:val="none" w:sz="0" w:space="0" w:color="auto"/>
        <w:bottom w:val="none" w:sz="0" w:space="0" w:color="auto"/>
        <w:right w:val="none" w:sz="0" w:space="0" w:color="auto"/>
      </w:divBdr>
    </w:div>
    <w:div w:id="568661064">
      <w:bodyDiv w:val="1"/>
      <w:marLeft w:val="0"/>
      <w:marRight w:val="0"/>
      <w:marTop w:val="0"/>
      <w:marBottom w:val="0"/>
      <w:divBdr>
        <w:top w:val="none" w:sz="0" w:space="0" w:color="auto"/>
        <w:left w:val="none" w:sz="0" w:space="0" w:color="auto"/>
        <w:bottom w:val="none" w:sz="0" w:space="0" w:color="auto"/>
        <w:right w:val="none" w:sz="0" w:space="0" w:color="auto"/>
      </w:divBdr>
    </w:div>
    <w:div w:id="569073277">
      <w:bodyDiv w:val="1"/>
      <w:marLeft w:val="0"/>
      <w:marRight w:val="0"/>
      <w:marTop w:val="0"/>
      <w:marBottom w:val="0"/>
      <w:divBdr>
        <w:top w:val="none" w:sz="0" w:space="0" w:color="auto"/>
        <w:left w:val="none" w:sz="0" w:space="0" w:color="auto"/>
        <w:bottom w:val="none" w:sz="0" w:space="0" w:color="auto"/>
        <w:right w:val="none" w:sz="0" w:space="0" w:color="auto"/>
      </w:divBdr>
    </w:div>
    <w:div w:id="569115210">
      <w:bodyDiv w:val="1"/>
      <w:marLeft w:val="0"/>
      <w:marRight w:val="0"/>
      <w:marTop w:val="0"/>
      <w:marBottom w:val="0"/>
      <w:divBdr>
        <w:top w:val="none" w:sz="0" w:space="0" w:color="auto"/>
        <w:left w:val="none" w:sz="0" w:space="0" w:color="auto"/>
        <w:bottom w:val="none" w:sz="0" w:space="0" w:color="auto"/>
        <w:right w:val="none" w:sz="0" w:space="0" w:color="auto"/>
      </w:divBdr>
    </w:div>
    <w:div w:id="569272970">
      <w:bodyDiv w:val="1"/>
      <w:marLeft w:val="0"/>
      <w:marRight w:val="0"/>
      <w:marTop w:val="0"/>
      <w:marBottom w:val="0"/>
      <w:divBdr>
        <w:top w:val="none" w:sz="0" w:space="0" w:color="auto"/>
        <w:left w:val="none" w:sz="0" w:space="0" w:color="auto"/>
        <w:bottom w:val="none" w:sz="0" w:space="0" w:color="auto"/>
        <w:right w:val="none" w:sz="0" w:space="0" w:color="auto"/>
      </w:divBdr>
    </w:div>
    <w:div w:id="569386233">
      <w:bodyDiv w:val="1"/>
      <w:marLeft w:val="0"/>
      <w:marRight w:val="0"/>
      <w:marTop w:val="0"/>
      <w:marBottom w:val="0"/>
      <w:divBdr>
        <w:top w:val="none" w:sz="0" w:space="0" w:color="auto"/>
        <w:left w:val="none" w:sz="0" w:space="0" w:color="auto"/>
        <w:bottom w:val="none" w:sz="0" w:space="0" w:color="auto"/>
        <w:right w:val="none" w:sz="0" w:space="0" w:color="auto"/>
      </w:divBdr>
    </w:div>
    <w:div w:id="569390110">
      <w:bodyDiv w:val="1"/>
      <w:marLeft w:val="0"/>
      <w:marRight w:val="0"/>
      <w:marTop w:val="0"/>
      <w:marBottom w:val="0"/>
      <w:divBdr>
        <w:top w:val="none" w:sz="0" w:space="0" w:color="auto"/>
        <w:left w:val="none" w:sz="0" w:space="0" w:color="auto"/>
        <w:bottom w:val="none" w:sz="0" w:space="0" w:color="auto"/>
        <w:right w:val="none" w:sz="0" w:space="0" w:color="auto"/>
      </w:divBdr>
    </w:div>
    <w:div w:id="569467553">
      <w:bodyDiv w:val="1"/>
      <w:marLeft w:val="0"/>
      <w:marRight w:val="0"/>
      <w:marTop w:val="0"/>
      <w:marBottom w:val="0"/>
      <w:divBdr>
        <w:top w:val="none" w:sz="0" w:space="0" w:color="auto"/>
        <w:left w:val="none" w:sz="0" w:space="0" w:color="auto"/>
        <w:bottom w:val="none" w:sz="0" w:space="0" w:color="auto"/>
        <w:right w:val="none" w:sz="0" w:space="0" w:color="auto"/>
      </w:divBdr>
    </w:div>
    <w:div w:id="569539515">
      <w:bodyDiv w:val="1"/>
      <w:marLeft w:val="0"/>
      <w:marRight w:val="0"/>
      <w:marTop w:val="0"/>
      <w:marBottom w:val="0"/>
      <w:divBdr>
        <w:top w:val="none" w:sz="0" w:space="0" w:color="auto"/>
        <w:left w:val="none" w:sz="0" w:space="0" w:color="auto"/>
        <w:bottom w:val="none" w:sz="0" w:space="0" w:color="auto"/>
        <w:right w:val="none" w:sz="0" w:space="0" w:color="auto"/>
      </w:divBdr>
    </w:div>
    <w:div w:id="569661153">
      <w:bodyDiv w:val="1"/>
      <w:marLeft w:val="0"/>
      <w:marRight w:val="0"/>
      <w:marTop w:val="0"/>
      <w:marBottom w:val="0"/>
      <w:divBdr>
        <w:top w:val="none" w:sz="0" w:space="0" w:color="auto"/>
        <w:left w:val="none" w:sz="0" w:space="0" w:color="auto"/>
        <w:bottom w:val="none" w:sz="0" w:space="0" w:color="auto"/>
        <w:right w:val="none" w:sz="0" w:space="0" w:color="auto"/>
      </w:divBdr>
    </w:div>
    <w:div w:id="569849617">
      <w:bodyDiv w:val="1"/>
      <w:marLeft w:val="0"/>
      <w:marRight w:val="0"/>
      <w:marTop w:val="0"/>
      <w:marBottom w:val="0"/>
      <w:divBdr>
        <w:top w:val="none" w:sz="0" w:space="0" w:color="auto"/>
        <w:left w:val="none" w:sz="0" w:space="0" w:color="auto"/>
        <w:bottom w:val="none" w:sz="0" w:space="0" w:color="auto"/>
        <w:right w:val="none" w:sz="0" w:space="0" w:color="auto"/>
      </w:divBdr>
    </w:div>
    <w:div w:id="570043393">
      <w:bodyDiv w:val="1"/>
      <w:marLeft w:val="0"/>
      <w:marRight w:val="0"/>
      <w:marTop w:val="0"/>
      <w:marBottom w:val="0"/>
      <w:divBdr>
        <w:top w:val="none" w:sz="0" w:space="0" w:color="auto"/>
        <w:left w:val="none" w:sz="0" w:space="0" w:color="auto"/>
        <w:bottom w:val="none" w:sz="0" w:space="0" w:color="auto"/>
        <w:right w:val="none" w:sz="0" w:space="0" w:color="auto"/>
      </w:divBdr>
    </w:div>
    <w:div w:id="570233098">
      <w:bodyDiv w:val="1"/>
      <w:marLeft w:val="0"/>
      <w:marRight w:val="0"/>
      <w:marTop w:val="0"/>
      <w:marBottom w:val="0"/>
      <w:divBdr>
        <w:top w:val="none" w:sz="0" w:space="0" w:color="auto"/>
        <w:left w:val="none" w:sz="0" w:space="0" w:color="auto"/>
        <w:bottom w:val="none" w:sz="0" w:space="0" w:color="auto"/>
        <w:right w:val="none" w:sz="0" w:space="0" w:color="auto"/>
      </w:divBdr>
    </w:div>
    <w:div w:id="570625091">
      <w:bodyDiv w:val="1"/>
      <w:marLeft w:val="0"/>
      <w:marRight w:val="0"/>
      <w:marTop w:val="0"/>
      <w:marBottom w:val="0"/>
      <w:divBdr>
        <w:top w:val="none" w:sz="0" w:space="0" w:color="auto"/>
        <w:left w:val="none" w:sz="0" w:space="0" w:color="auto"/>
        <w:bottom w:val="none" w:sz="0" w:space="0" w:color="auto"/>
        <w:right w:val="none" w:sz="0" w:space="0" w:color="auto"/>
      </w:divBdr>
    </w:div>
    <w:div w:id="570970256">
      <w:bodyDiv w:val="1"/>
      <w:marLeft w:val="0"/>
      <w:marRight w:val="0"/>
      <w:marTop w:val="0"/>
      <w:marBottom w:val="0"/>
      <w:divBdr>
        <w:top w:val="none" w:sz="0" w:space="0" w:color="auto"/>
        <w:left w:val="none" w:sz="0" w:space="0" w:color="auto"/>
        <w:bottom w:val="none" w:sz="0" w:space="0" w:color="auto"/>
        <w:right w:val="none" w:sz="0" w:space="0" w:color="auto"/>
      </w:divBdr>
    </w:div>
    <w:div w:id="571038967">
      <w:bodyDiv w:val="1"/>
      <w:marLeft w:val="0"/>
      <w:marRight w:val="0"/>
      <w:marTop w:val="0"/>
      <w:marBottom w:val="0"/>
      <w:divBdr>
        <w:top w:val="none" w:sz="0" w:space="0" w:color="auto"/>
        <w:left w:val="none" w:sz="0" w:space="0" w:color="auto"/>
        <w:bottom w:val="none" w:sz="0" w:space="0" w:color="auto"/>
        <w:right w:val="none" w:sz="0" w:space="0" w:color="auto"/>
      </w:divBdr>
    </w:div>
    <w:div w:id="571090216">
      <w:bodyDiv w:val="1"/>
      <w:marLeft w:val="0"/>
      <w:marRight w:val="0"/>
      <w:marTop w:val="0"/>
      <w:marBottom w:val="0"/>
      <w:divBdr>
        <w:top w:val="none" w:sz="0" w:space="0" w:color="auto"/>
        <w:left w:val="none" w:sz="0" w:space="0" w:color="auto"/>
        <w:bottom w:val="none" w:sz="0" w:space="0" w:color="auto"/>
        <w:right w:val="none" w:sz="0" w:space="0" w:color="auto"/>
      </w:divBdr>
    </w:div>
    <w:div w:id="571239657">
      <w:bodyDiv w:val="1"/>
      <w:marLeft w:val="0"/>
      <w:marRight w:val="0"/>
      <w:marTop w:val="0"/>
      <w:marBottom w:val="0"/>
      <w:divBdr>
        <w:top w:val="none" w:sz="0" w:space="0" w:color="auto"/>
        <w:left w:val="none" w:sz="0" w:space="0" w:color="auto"/>
        <w:bottom w:val="none" w:sz="0" w:space="0" w:color="auto"/>
        <w:right w:val="none" w:sz="0" w:space="0" w:color="auto"/>
      </w:divBdr>
    </w:div>
    <w:div w:id="571353168">
      <w:bodyDiv w:val="1"/>
      <w:marLeft w:val="0"/>
      <w:marRight w:val="0"/>
      <w:marTop w:val="0"/>
      <w:marBottom w:val="0"/>
      <w:divBdr>
        <w:top w:val="none" w:sz="0" w:space="0" w:color="auto"/>
        <w:left w:val="none" w:sz="0" w:space="0" w:color="auto"/>
        <w:bottom w:val="none" w:sz="0" w:space="0" w:color="auto"/>
        <w:right w:val="none" w:sz="0" w:space="0" w:color="auto"/>
      </w:divBdr>
    </w:div>
    <w:div w:id="571547538">
      <w:bodyDiv w:val="1"/>
      <w:marLeft w:val="0"/>
      <w:marRight w:val="0"/>
      <w:marTop w:val="0"/>
      <w:marBottom w:val="0"/>
      <w:divBdr>
        <w:top w:val="none" w:sz="0" w:space="0" w:color="auto"/>
        <w:left w:val="none" w:sz="0" w:space="0" w:color="auto"/>
        <w:bottom w:val="none" w:sz="0" w:space="0" w:color="auto"/>
        <w:right w:val="none" w:sz="0" w:space="0" w:color="auto"/>
      </w:divBdr>
    </w:div>
    <w:div w:id="571551270">
      <w:bodyDiv w:val="1"/>
      <w:marLeft w:val="0"/>
      <w:marRight w:val="0"/>
      <w:marTop w:val="0"/>
      <w:marBottom w:val="0"/>
      <w:divBdr>
        <w:top w:val="none" w:sz="0" w:space="0" w:color="auto"/>
        <w:left w:val="none" w:sz="0" w:space="0" w:color="auto"/>
        <w:bottom w:val="none" w:sz="0" w:space="0" w:color="auto"/>
        <w:right w:val="none" w:sz="0" w:space="0" w:color="auto"/>
      </w:divBdr>
    </w:div>
    <w:div w:id="571618030">
      <w:bodyDiv w:val="1"/>
      <w:marLeft w:val="0"/>
      <w:marRight w:val="0"/>
      <w:marTop w:val="0"/>
      <w:marBottom w:val="0"/>
      <w:divBdr>
        <w:top w:val="none" w:sz="0" w:space="0" w:color="auto"/>
        <w:left w:val="none" w:sz="0" w:space="0" w:color="auto"/>
        <w:bottom w:val="none" w:sz="0" w:space="0" w:color="auto"/>
        <w:right w:val="none" w:sz="0" w:space="0" w:color="auto"/>
      </w:divBdr>
    </w:div>
    <w:div w:id="571621531">
      <w:bodyDiv w:val="1"/>
      <w:marLeft w:val="0"/>
      <w:marRight w:val="0"/>
      <w:marTop w:val="0"/>
      <w:marBottom w:val="0"/>
      <w:divBdr>
        <w:top w:val="none" w:sz="0" w:space="0" w:color="auto"/>
        <w:left w:val="none" w:sz="0" w:space="0" w:color="auto"/>
        <w:bottom w:val="none" w:sz="0" w:space="0" w:color="auto"/>
        <w:right w:val="none" w:sz="0" w:space="0" w:color="auto"/>
      </w:divBdr>
    </w:div>
    <w:div w:id="571699888">
      <w:bodyDiv w:val="1"/>
      <w:marLeft w:val="0"/>
      <w:marRight w:val="0"/>
      <w:marTop w:val="0"/>
      <w:marBottom w:val="0"/>
      <w:divBdr>
        <w:top w:val="none" w:sz="0" w:space="0" w:color="auto"/>
        <w:left w:val="none" w:sz="0" w:space="0" w:color="auto"/>
        <w:bottom w:val="none" w:sz="0" w:space="0" w:color="auto"/>
        <w:right w:val="none" w:sz="0" w:space="0" w:color="auto"/>
      </w:divBdr>
    </w:div>
    <w:div w:id="571702433">
      <w:bodyDiv w:val="1"/>
      <w:marLeft w:val="0"/>
      <w:marRight w:val="0"/>
      <w:marTop w:val="0"/>
      <w:marBottom w:val="0"/>
      <w:divBdr>
        <w:top w:val="none" w:sz="0" w:space="0" w:color="auto"/>
        <w:left w:val="none" w:sz="0" w:space="0" w:color="auto"/>
        <w:bottom w:val="none" w:sz="0" w:space="0" w:color="auto"/>
        <w:right w:val="none" w:sz="0" w:space="0" w:color="auto"/>
      </w:divBdr>
    </w:div>
    <w:div w:id="571812562">
      <w:bodyDiv w:val="1"/>
      <w:marLeft w:val="0"/>
      <w:marRight w:val="0"/>
      <w:marTop w:val="0"/>
      <w:marBottom w:val="0"/>
      <w:divBdr>
        <w:top w:val="none" w:sz="0" w:space="0" w:color="auto"/>
        <w:left w:val="none" w:sz="0" w:space="0" w:color="auto"/>
        <w:bottom w:val="none" w:sz="0" w:space="0" w:color="auto"/>
        <w:right w:val="none" w:sz="0" w:space="0" w:color="auto"/>
      </w:divBdr>
    </w:div>
    <w:div w:id="571818944">
      <w:bodyDiv w:val="1"/>
      <w:marLeft w:val="0"/>
      <w:marRight w:val="0"/>
      <w:marTop w:val="0"/>
      <w:marBottom w:val="0"/>
      <w:divBdr>
        <w:top w:val="none" w:sz="0" w:space="0" w:color="auto"/>
        <w:left w:val="none" w:sz="0" w:space="0" w:color="auto"/>
        <w:bottom w:val="none" w:sz="0" w:space="0" w:color="auto"/>
        <w:right w:val="none" w:sz="0" w:space="0" w:color="auto"/>
      </w:divBdr>
    </w:div>
    <w:div w:id="572004850">
      <w:bodyDiv w:val="1"/>
      <w:marLeft w:val="0"/>
      <w:marRight w:val="0"/>
      <w:marTop w:val="0"/>
      <w:marBottom w:val="0"/>
      <w:divBdr>
        <w:top w:val="none" w:sz="0" w:space="0" w:color="auto"/>
        <w:left w:val="none" w:sz="0" w:space="0" w:color="auto"/>
        <w:bottom w:val="none" w:sz="0" w:space="0" w:color="auto"/>
        <w:right w:val="none" w:sz="0" w:space="0" w:color="auto"/>
      </w:divBdr>
    </w:div>
    <w:div w:id="572087204">
      <w:bodyDiv w:val="1"/>
      <w:marLeft w:val="0"/>
      <w:marRight w:val="0"/>
      <w:marTop w:val="0"/>
      <w:marBottom w:val="0"/>
      <w:divBdr>
        <w:top w:val="none" w:sz="0" w:space="0" w:color="auto"/>
        <w:left w:val="none" w:sz="0" w:space="0" w:color="auto"/>
        <w:bottom w:val="none" w:sz="0" w:space="0" w:color="auto"/>
        <w:right w:val="none" w:sz="0" w:space="0" w:color="auto"/>
      </w:divBdr>
    </w:div>
    <w:div w:id="572159249">
      <w:bodyDiv w:val="1"/>
      <w:marLeft w:val="0"/>
      <w:marRight w:val="0"/>
      <w:marTop w:val="0"/>
      <w:marBottom w:val="0"/>
      <w:divBdr>
        <w:top w:val="none" w:sz="0" w:space="0" w:color="auto"/>
        <w:left w:val="none" w:sz="0" w:space="0" w:color="auto"/>
        <w:bottom w:val="none" w:sz="0" w:space="0" w:color="auto"/>
        <w:right w:val="none" w:sz="0" w:space="0" w:color="auto"/>
      </w:divBdr>
    </w:div>
    <w:div w:id="572201638">
      <w:bodyDiv w:val="1"/>
      <w:marLeft w:val="0"/>
      <w:marRight w:val="0"/>
      <w:marTop w:val="0"/>
      <w:marBottom w:val="0"/>
      <w:divBdr>
        <w:top w:val="none" w:sz="0" w:space="0" w:color="auto"/>
        <w:left w:val="none" w:sz="0" w:space="0" w:color="auto"/>
        <w:bottom w:val="none" w:sz="0" w:space="0" w:color="auto"/>
        <w:right w:val="none" w:sz="0" w:space="0" w:color="auto"/>
      </w:divBdr>
    </w:div>
    <w:div w:id="572275649">
      <w:bodyDiv w:val="1"/>
      <w:marLeft w:val="0"/>
      <w:marRight w:val="0"/>
      <w:marTop w:val="0"/>
      <w:marBottom w:val="0"/>
      <w:divBdr>
        <w:top w:val="none" w:sz="0" w:space="0" w:color="auto"/>
        <w:left w:val="none" w:sz="0" w:space="0" w:color="auto"/>
        <w:bottom w:val="none" w:sz="0" w:space="0" w:color="auto"/>
        <w:right w:val="none" w:sz="0" w:space="0" w:color="auto"/>
      </w:divBdr>
    </w:div>
    <w:div w:id="572467827">
      <w:bodyDiv w:val="1"/>
      <w:marLeft w:val="0"/>
      <w:marRight w:val="0"/>
      <w:marTop w:val="0"/>
      <w:marBottom w:val="0"/>
      <w:divBdr>
        <w:top w:val="none" w:sz="0" w:space="0" w:color="auto"/>
        <w:left w:val="none" w:sz="0" w:space="0" w:color="auto"/>
        <w:bottom w:val="none" w:sz="0" w:space="0" w:color="auto"/>
        <w:right w:val="none" w:sz="0" w:space="0" w:color="auto"/>
      </w:divBdr>
    </w:div>
    <w:div w:id="572544074">
      <w:bodyDiv w:val="1"/>
      <w:marLeft w:val="0"/>
      <w:marRight w:val="0"/>
      <w:marTop w:val="0"/>
      <w:marBottom w:val="0"/>
      <w:divBdr>
        <w:top w:val="none" w:sz="0" w:space="0" w:color="auto"/>
        <w:left w:val="none" w:sz="0" w:space="0" w:color="auto"/>
        <w:bottom w:val="none" w:sz="0" w:space="0" w:color="auto"/>
        <w:right w:val="none" w:sz="0" w:space="0" w:color="auto"/>
      </w:divBdr>
    </w:div>
    <w:div w:id="572741384">
      <w:bodyDiv w:val="1"/>
      <w:marLeft w:val="0"/>
      <w:marRight w:val="0"/>
      <w:marTop w:val="0"/>
      <w:marBottom w:val="0"/>
      <w:divBdr>
        <w:top w:val="none" w:sz="0" w:space="0" w:color="auto"/>
        <w:left w:val="none" w:sz="0" w:space="0" w:color="auto"/>
        <w:bottom w:val="none" w:sz="0" w:space="0" w:color="auto"/>
        <w:right w:val="none" w:sz="0" w:space="0" w:color="auto"/>
      </w:divBdr>
    </w:div>
    <w:div w:id="572786558">
      <w:bodyDiv w:val="1"/>
      <w:marLeft w:val="0"/>
      <w:marRight w:val="0"/>
      <w:marTop w:val="0"/>
      <w:marBottom w:val="0"/>
      <w:divBdr>
        <w:top w:val="none" w:sz="0" w:space="0" w:color="auto"/>
        <w:left w:val="none" w:sz="0" w:space="0" w:color="auto"/>
        <w:bottom w:val="none" w:sz="0" w:space="0" w:color="auto"/>
        <w:right w:val="none" w:sz="0" w:space="0" w:color="auto"/>
      </w:divBdr>
    </w:div>
    <w:div w:id="573204236">
      <w:bodyDiv w:val="1"/>
      <w:marLeft w:val="0"/>
      <w:marRight w:val="0"/>
      <w:marTop w:val="0"/>
      <w:marBottom w:val="0"/>
      <w:divBdr>
        <w:top w:val="none" w:sz="0" w:space="0" w:color="auto"/>
        <w:left w:val="none" w:sz="0" w:space="0" w:color="auto"/>
        <w:bottom w:val="none" w:sz="0" w:space="0" w:color="auto"/>
        <w:right w:val="none" w:sz="0" w:space="0" w:color="auto"/>
      </w:divBdr>
    </w:div>
    <w:div w:id="573318579">
      <w:bodyDiv w:val="1"/>
      <w:marLeft w:val="0"/>
      <w:marRight w:val="0"/>
      <w:marTop w:val="0"/>
      <w:marBottom w:val="0"/>
      <w:divBdr>
        <w:top w:val="none" w:sz="0" w:space="0" w:color="auto"/>
        <w:left w:val="none" w:sz="0" w:space="0" w:color="auto"/>
        <w:bottom w:val="none" w:sz="0" w:space="0" w:color="auto"/>
        <w:right w:val="none" w:sz="0" w:space="0" w:color="auto"/>
      </w:divBdr>
    </w:div>
    <w:div w:id="573324097">
      <w:bodyDiv w:val="1"/>
      <w:marLeft w:val="0"/>
      <w:marRight w:val="0"/>
      <w:marTop w:val="0"/>
      <w:marBottom w:val="0"/>
      <w:divBdr>
        <w:top w:val="none" w:sz="0" w:space="0" w:color="auto"/>
        <w:left w:val="none" w:sz="0" w:space="0" w:color="auto"/>
        <w:bottom w:val="none" w:sz="0" w:space="0" w:color="auto"/>
        <w:right w:val="none" w:sz="0" w:space="0" w:color="auto"/>
      </w:divBdr>
    </w:div>
    <w:div w:id="573706037">
      <w:bodyDiv w:val="1"/>
      <w:marLeft w:val="0"/>
      <w:marRight w:val="0"/>
      <w:marTop w:val="0"/>
      <w:marBottom w:val="0"/>
      <w:divBdr>
        <w:top w:val="none" w:sz="0" w:space="0" w:color="auto"/>
        <w:left w:val="none" w:sz="0" w:space="0" w:color="auto"/>
        <w:bottom w:val="none" w:sz="0" w:space="0" w:color="auto"/>
        <w:right w:val="none" w:sz="0" w:space="0" w:color="auto"/>
      </w:divBdr>
    </w:div>
    <w:div w:id="573859251">
      <w:bodyDiv w:val="1"/>
      <w:marLeft w:val="0"/>
      <w:marRight w:val="0"/>
      <w:marTop w:val="0"/>
      <w:marBottom w:val="0"/>
      <w:divBdr>
        <w:top w:val="none" w:sz="0" w:space="0" w:color="auto"/>
        <w:left w:val="none" w:sz="0" w:space="0" w:color="auto"/>
        <w:bottom w:val="none" w:sz="0" w:space="0" w:color="auto"/>
        <w:right w:val="none" w:sz="0" w:space="0" w:color="auto"/>
      </w:divBdr>
    </w:div>
    <w:div w:id="573899188">
      <w:bodyDiv w:val="1"/>
      <w:marLeft w:val="0"/>
      <w:marRight w:val="0"/>
      <w:marTop w:val="0"/>
      <w:marBottom w:val="0"/>
      <w:divBdr>
        <w:top w:val="none" w:sz="0" w:space="0" w:color="auto"/>
        <w:left w:val="none" w:sz="0" w:space="0" w:color="auto"/>
        <w:bottom w:val="none" w:sz="0" w:space="0" w:color="auto"/>
        <w:right w:val="none" w:sz="0" w:space="0" w:color="auto"/>
      </w:divBdr>
    </w:div>
    <w:div w:id="574046089">
      <w:bodyDiv w:val="1"/>
      <w:marLeft w:val="0"/>
      <w:marRight w:val="0"/>
      <w:marTop w:val="0"/>
      <w:marBottom w:val="0"/>
      <w:divBdr>
        <w:top w:val="none" w:sz="0" w:space="0" w:color="auto"/>
        <w:left w:val="none" w:sz="0" w:space="0" w:color="auto"/>
        <w:bottom w:val="none" w:sz="0" w:space="0" w:color="auto"/>
        <w:right w:val="none" w:sz="0" w:space="0" w:color="auto"/>
      </w:divBdr>
    </w:div>
    <w:div w:id="574246194">
      <w:bodyDiv w:val="1"/>
      <w:marLeft w:val="0"/>
      <w:marRight w:val="0"/>
      <w:marTop w:val="0"/>
      <w:marBottom w:val="0"/>
      <w:divBdr>
        <w:top w:val="none" w:sz="0" w:space="0" w:color="auto"/>
        <w:left w:val="none" w:sz="0" w:space="0" w:color="auto"/>
        <w:bottom w:val="none" w:sz="0" w:space="0" w:color="auto"/>
        <w:right w:val="none" w:sz="0" w:space="0" w:color="auto"/>
      </w:divBdr>
    </w:div>
    <w:div w:id="574316201">
      <w:bodyDiv w:val="1"/>
      <w:marLeft w:val="0"/>
      <w:marRight w:val="0"/>
      <w:marTop w:val="0"/>
      <w:marBottom w:val="0"/>
      <w:divBdr>
        <w:top w:val="none" w:sz="0" w:space="0" w:color="auto"/>
        <w:left w:val="none" w:sz="0" w:space="0" w:color="auto"/>
        <w:bottom w:val="none" w:sz="0" w:space="0" w:color="auto"/>
        <w:right w:val="none" w:sz="0" w:space="0" w:color="auto"/>
      </w:divBdr>
    </w:div>
    <w:div w:id="574515665">
      <w:bodyDiv w:val="1"/>
      <w:marLeft w:val="0"/>
      <w:marRight w:val="0"/>
      <w:marTop w:val="0"/>
      <w:marBottom w:val="0"/>
      <w:divBdr>
        <w:top w:val="none" w:sz="0" w:space="0" w:color="auto"/>
        <w:left w:val="none" w:sz="0" w:space="0" w:color="auto"/>
        <w:bottom w:val="none" w:sz="0" w:space="0" w:color="auto"/>
        <w:right w:val="none" w:sz="0" w:space="0" w:color="auto"/>
      </w:divBdr>
    </w:div>
    <w:div w:id="574781620">
      <w:bodyDiv w:val="1"/>
      <w:marLeft w:val="0"/>
      <w:marRight w:val="0"/>
      <w:marTop w:val="0"/>
      <w:marBottom w:val="0"/>
      <w:divBdr>
        <w:top w:val="none" w:sz="0" w:space="0" w:color="auto"/>
        <w:left w:val="none" w:sz="0" w:space="0" w:color="auto"/>
        <w:bottom w:val="none" w:sz="0" w:space="0" w:color="auto"/>
        <w:right w:val="none" w:sz="0" w:space="0" w:color="auto"/>
      </w:divBdr>
    </w:div>
    <w:div w:id="574781936">
      <w:bodyDiv w:val="1"/>
      <w:marLeft w:val="0"/>
      <w:marRight w:val="0"/>
      <w:marTop w:val="0"/>
      <w:marBottom w:val="0"/>
      <w:divBdr>
        <w:top w:val="none" w:sz="0" w:space="0" w:color="auto"/>
        <w:left w:val="none" w:sz="0" w:space="0" w:color="auto"/>
        <w:bottom w:val="none" w:sz="0" w:space="0" w:color="auto"/>
        <w:right w:val="none" w:sz="0" w:space="0" w:color="auto"/>
      </w:divBdr>
    </w:div>
    <w:div w:id="575018223">
      <w:bodyDiv w:val="1"/>
      <w:marLeft w:val="0"/>
      <w:marRight w:val="0"/>
      <w:marTop w:val="0"/>
      <w:marBottom w:val="0"/>
      <w:divBdr>
        <w:top w:val="none" w:sz="0" w:space="0" w:color="auto"/>
        <w:left w:val="none" w:sz="0" w:space="0" w:color="auto"/>
        <w:bottom w:val="none" w:sz="0" w:space="0" w:color="auto"/>
        <w:right w:val="none" w:sz="0" w:space="0" w:color="auto"/>
      </w:divBdr>
    </w:div>
    <w:div w:id="575364103">
      <w:bodyDiv w:val="1"/>
      <w:marLeft w:val="0"/>
      <w:marRight w:val="0"/>
      <w:marTop w:val="0"/>
      <w:marBottom w:val="0"/>
      <w:divBdr>
        <w:top w:val="none" w:sz="0" w:space="0" w:color="auto"/>
        <w:left w:val="none" w:sz="0" w:space="0" w:color="auto"/>
        <w:bottom w:val="none" w:sz="0" w:space="0" w:color="auto"/>
        <w:right w:val="none" w:sz="0" w:space="0" w:color="auto"/>
      </w:divBdr>
    </w:div>
    <w:div w:id="575436563">
      <w:bodyDiv w:val="1"/>
      <w:marLeft w:val="0"/>
      <w:marRight w:val="0"/>
      <w:marTop w:val="0"/>
      <w:marBottom w:val="0"/>
      <w:divBdr>
        <w:top w:val="none" w:sz="0" w:space="0" w:color="auto"/>
        <w:left w:val="none" w:sz="0" w:space="0" w:color="auto"/>
        <w:bottom w:val="none" w:sz="0" w:space="0" w:color="auto"/>
        <w:right w:val="none" w:sz="0" w:space="0" w:color="auto"/>
      </w:divBdr>
    </w:div>
    <w:div w:id="575938807">
      <w:bodyDiv w:val="1"/>
      <w:marLeft w:val="0"/>
      <w:marRight w:val="0"/>
      <w:marTop w:val="0"/>
      <w:marBottom w:val="0"/>
      <w:divBdr>
        <w:top w:val="none" w:sz="0" w:space="0" w:color="auto"/>
        <w:left w:val="none" w:sz="0" w:space="0" w:color="auto"/>
        <w:bottom w:val="none" w:sz="0" w:space="0" w:color="auto"/>
        <w:right w:val="none" w:sz="0" w:space="0" w:color="auto"/>
      </w:divBdr>
    </w:div>
    <w:div w:id="576019827">
      <w:bodyDiv w:val="1"/>
      <w:marLeft w:val="0"/>
      <w:marRight w:val="0"/>
      <w:marTop w:val="0"/>
      <w:marBottom w:val="0"/>
      <w:divBdr>
        <w:top w:val="none" w:sz="0" w:space="0" w:color="auto"/>
        <w:left w:val="none" w:sz="0" w:space="0" w:color="auto"/>
        <w:bottom w:val="none" w:sz="0" w:space="0" w:color="auto"/>
        <w:right w:val="none" w:sz="0" w:space="0" w:color="auto"/>
      </w:divBdr>
    </w:div>
    <w:div w:id="576331637">
      <w:bodyDiv w:val="1"/>
      <w:marLeft w:val="0"/>
      <w:marRight w:val="0"/>
      <w:marTop w:val="0"/>
      <w:marBottom w:val="0"/>
      <w:divBdr>
        <w:top w:val="none" w:sz="0" w:space="0" w:color="auto"/>
        <w:left w:val="none" w:sz="0" w:space="0" w:color="auto"/>
        <w:bottom w:val="none" w:sz="0" w:space="0" w:color="auto"/>
        <w:right w:val="none" w:sz="0" w:space="0" w:color="auto"/>
      </w:divBdr>
    </w:div>
    <w:div w:id="577400126">
      <w:bodyDiv w:val="1"/>
      <w:marLeft w:val="0"/>
      <w:marRight w:val="0"/>
      <w:marTop w:val="0"/>
      <w:marBottom w:val="0"/>
      <w:divBdr>
        <w:top w:val="none" w:sz="0" w:space="0" w:color="auto"/>
        <w:left w:val="none" w:sz="0" w:space="0" w:color="auto"/>
        <w:bottom w:val="none" w:sz="0" w:space="0" w:color="auto"/>
        <w:right w:val="none" w:sz="0" w:space="0" w:color="auto"/>
      </w:divBdr>
    </w:div>
    <w:div w:id="577442702">
      <w:bodyDiv w:val="1"/>
      <w:marLeft w:val="0"/>
      <w:marRight w:val="0"/>
      <w:marTop w:val="0"/>
      <w:marBottom w:val="0"/>
      <w:divBdr>
        <w:top w:val="none" w:sz="0" w:space="0" w:color="auto"/>
        <w:left w:val="none" w:sz="0" w:space="0" w:color="auto"/>
        <w:bottom w:val="none" w:sz="0" w:space="0" w:color="auto"/>
        <w:right w:val="none" w:sz="0" w:space="0" w:color="auto"/>
      </w:divBdr>
    </w:div>
    <w:div w:id="577983660">
      <w:bodyDiv w:val="1"/>
      <w:marLeft w:val="0"/>
      <w:marRight w:val="0"/>
      <w:marTop w:val="0"/>
      <w:marBottom w:val="0"/>
      <w:divBdr>
        <w:top w:val="none" w:sz="0" w:space="0" w:color="auto"/>
        <w:left w:val="none" w:sz="0" w:space="0" w:color="auto"/>
        <w:bottom w:val="none" w:sz="0" w:space="0" w:color="auto"/>
        <w:right w:val="none" w:sz="0" w:space="0" w:color="auto"/>
      </w:divBdr>
    </w:div>
    <w:div w:id="578100903">
      <w:bodyDiv w:val="1"/>
      <w:marLeft w:val="0"/>
      <w:marRight w:val="0"/>
      <w:marTop w:val="0"/>
      <w:marBottom w:val="0"/>
      <w:divBdr>
        <w:top w:val="none" w:sz="0" w:space="0" w:color="auto"/>
        <w:left w:val="none" w:sz="0" w:space="0" w:color="auto"/>
        <w:bottom w:val="none" w:sz="0" w:space="0" w:color="auto"/>
        <w:right w:val="none" w:sz="0" w:space="0" w:color="auto"/>
      </w:divBdr>
    </w:div>
    <w:div w:id="578170812">
      <w:bodyDiv w:val="1"/>
      <w:marLeft w:val="0"/>
      <w:marRight w:val="0"/>
      <w:marTop w:val="0"/>
      <w:marBottom w:val="0"/>
      <w:divBdr>
        <w:top w:val="none" w:sz="0" w:space="0" w:color="auto"/>
        <w:left w:val="none" w:sz="0" w:space="0" w:color="auto"/>
        <w:bottom w:val="none" w:sz="0" w:space="0" w:color="auto"/>
        <w:right w:val="none" w:sz="0" w:space="0" w:color="auto"/>
      </w:divBdr>
    </w:div>
    <w:div w:id="578373249">
      <w:bodyDiv w:val="1"/>
      <w:marLeft w:val="0"/>
      <w:marRight w:val="0"/>
      <w:marTop w:val="0"/>
      <w:marBottom w:val="0"/>
      <w:divBdr>
        <w:top w:val="none" w:sz="0" w:space="0" w:color="auto"/>
        <w:left w:val="none" w:sz="0" w:space="0" w:color="auto"/>
        <w:bottom w:val="none" w:sz="0" w:space="0" w:color="auto"/>
        <w:right w:val="none" w:sz="0" w:space="0" w:color="auto"/>
      </w:divBdr>
    </w:div>
    <w:div w:id="578444074">
      <w:bodyDiv w:val="1"/>
      <w:marLeft w:val="0"/>
      <w:marRight w:val="0"/>
      <w:marTop w:val="0"/>
      <w:marBottom w:val="0"/>
      <w:divBdr>
        <w:top w:val="none" w:sz="0" w:space="0" w:color="auto"/>
        <w:left w:val="none" w:sz="0" w:space="0" w:color="auto"/>
        <w:bottom w:val="none" w:sz="0" w:space="0" w:color="auto"/>
        <w:right w:val="none" w:sz="0" w:space="0" w:color="auto"/>
      </w:divBdr>
    </w:div>
    <w:div w:id="578444182">
      <w:bodyDiv w:val="1"/>
      <w:marLeft w:val="0"/>
      <w:marRight w:val="0"/>
      <w:marTop w:val="0"/>
      <w:marBottom w:val="0"/>
      <w:divBdr>
        <w:top w:val="none" w:sz="0" w:space="0" w:color="auto"/>
        <w:left w:val="none" w:sz="0" w:space="0" w:color="auto"/>
        <w:bottom w:val="none" w:sz="0" w:space="0" w:color="auto"/>
        <w:right w:val="none" w:sz="0" w:space="0" w:color="auto"/>
      </w:divBdr>
    </w:div>
    <w:div w:id="578750724">
      <w:bodyDiv w:val="1"/>
      <w:marLeft w:val="0"/>
      <w:marRight w:val="0"/>
      <w:marTop w:val="0"/>
      <w:marBottom w:val="0"/>
      <w:divBdr>
        <w:top w:val="none" w:sz="0" w:space="0" w:color="auto"/>
        <w:left w:val="none" w:sz="0" w:space="0" w:color="auto"/>
        <w:bottom w:val="none" w:sz="0" w:space="0" w:color="auto"/>
        <w:right w:val="none" w:sz="0" w:space="0" w:color="auto"/>
      </w:divBdr>
    </w:div>
    <w:div w:id="578828249">
      <w:bodyDiv w:val="1"/>
      <w:marLeft w:val="0"/>
      <w:marRight w:val="0"/>
      <w:marTop w:val="0"/>
      <w:marBottom w:val="0"/>
      <w:divBdr>
        <w:top w:val="none" w:sz="0" w:space="0" w:color="auto"/>
        <w:left w:val="none" w:sz="0" w:space="0" w:color="auto"/>
        <w:bottom w:val="none" w:sz="0" w:space="0" w:color="auto"/>
        <w:right w:val="none" w:sz="0" w:space="0" w:color="auto"/>
      </w:divBdr>
    </w:div>
    <w:div w:id="579215495">
      <w:bodyDiv w:val="1"/>
      <w:marLeft w:val="0"/>
      <w:marRight w:val="0"/>
      <w:marTop w:val="0"/>
      <w:marBottom w:val="0"/>
      <w:divBdr>
        <w:top w:val="none" w:sz="0" w:space="0" w:color="auto"/>
        <w:left w:val="none" w:sz="0" w:space="0" w:color="auto"/>
        <w:bottom w:val="none" w:sz="0" w:space="0" w:color="auto"/>
        <w:right w:val="none" w:sz="0" w:space="0" w:color="auto"/>
      </w:divBdr>
    </w:div>
    <w:div w:id="579364027">
      <w:bodyDiv w:val="1"/>
      <w:marLeft w:val="0"/>
      <w:marRight w:val="0"/>
      <w:marTop w:val="0"/>
      <w:marBottom w:val="0"/>
      <w:divBdr>
        <w:top w:val="none" w:sz="0" w:space="0" w:color="auto"/>
        <w:left w:val="none" w:sz="0" w:space="0" w:color="auto"/>
        <w:bottom w:val="none" w:sz="0" w:space="0" w:color="auto"/>
        <w:right w:val="none" w:sz="0" w:space="0" w:color="auto"/>
      </w:divBdr>
    </w:div>
    <w:div w:id="579801225">
      <w:bodyDiv w:val="1"/>
      <w:marLeft w:val="0"/>
      <w:marRight w:val="0"/>
      <w:marTop w:val="0"/>
      <w:marBottom w:val="0"/>
      <w:divBdr>
        <w:top w:val="none" w:sz="0" w:space="0" w:color="auto"/>
        <w:left w:val="none" w:sz="0" w:space="0" w:color="auto"/>
        <w:bottom w:val="none" w:sz="0" w:space="0" w:color="auto"/>
        <w:right w:val="none" w:sz="0" w:space="0" w:color="auto"/>
      </w:divBdr>
    </w:div>
    <w:div w:id="579945896">
      <w:bodyDiv w:val="1"/>
      <w:marLeft w:val="0"/>
      <w:marRight w:val="0"/>
      <w:marTop w:val="0"/>
      <w:marBottom w:val="0"/>
      <w:divBdr>
        <w:top w:val="none" w:sz="0" w:space="0" w:color="auto"/>
        <w:left w:val="none" w:sz="0" w:space="0" w:color="auto"/>
        <w:bottom w:val="none" w:sz="0" w:space="0" w:color="auto"/>
        <w:right w:val="none" w:sz="0" w:space="0" w:color="auto"/>
      </w:divBdr>
    </w:div>
    <w:div w:id="580137637">
      <w:bodyDiv w:val="1"/>
      <w:marLeft w:val="0"/>
      <w:marRight w:val="0"/>
      <w:marTop w:val="0"/>
      <w:marBottom w:val="0"/>
      <w:divBdr>
        <w:top w:val="none" w:sz="0" w:space="0" w:color="auto"/>
        <w:left w:val="none" w:sz="0" w:space="0" w:color="auto"/>
        <w:bottom w:val="none" w:sz="0" w:space="0" w:color="auto"/>
        <w:right w:val="none" w:sz="0" w:space="0" w:color="auto"/>
      </w:divBdr>
    </w:div>
    <w:div w:id="580216077">
      <w:bodyDiv w:val="1"/>
      <w:marLeft w:val="0"/>
      <w:marRight w:val="0"/>
      <w:marTop w:val="0"/>
      <w:marBottom w:val="0"/>
      <w:divBdr>
        <w:top w:val="none" w:sz="0" w:space="0" w:color="auto"/>
        <w:left w:val="none" w:sz="0" w:space="0" w:color="auto"/>
        <w:bottom w:val="none" w:sz="0" w:space="0" w:color="auto"/>
        <w:right w:val="none" w:sz="0" w:space="0" w:color="auto"/>
      </w:divBdr>
    </w:div>
    <w:div w:id="580259601">
      <w:bodyDiv w:val="1"/>
      <w:marLeft w:val="0"/>
      <w:marRight w:val="0"/>
      <w:marTop w:val="0"/>
      <w:marBottom w:val="0"/>
      <w:divBdr>
        <w:top w:val="none" w:sz="0" w:space="0" w:color="auto"/>
        <w:left w:val="none" w:sz="0" w:space="0" w:color="auto"/>
        <w:bottom w:val="none" w:sz="0" w:space="0" w:color="auto"/>
        <w:right w:val="none" w:sz="0" w:space="0" w:color="auto"/>
      </w:divBdr>
    </w:div>
    <w:div w:id="580262939">
      <w:bodyDiv w:val="1"/>
      <w:marLeft w:val="0"/>
      <w:marRight w:val="0"/>
      <w:marTop w:val="0"/>
      <w:marBottom w:val="0"/>
      <w:divBdr>
        <w:top w:val="none" w:sz="0" w:space="0" w:color="auto"/>
        <w:left w:val="none" w:sz="0" w:space="0" w:color="auto"/>
        <w:bottom w:val="none" w:sz="0" w:space="0" w:color="auto"/>
        <w:right w:val="none" w:sz="0" w:space="0" w:color="auto"/>
      </w:divBdr>
    </w:div>
    <w:div w:id="580334946">
      <w:bodyDiv w:val="1"/>
      <w:marLeft w:val="0"/>
      <w:marRight w:val="0"/>
      <w:marTop w:val="0"/>
      <w:marBottom w:val="0"/>
      <w:divBdr>
        <w:top w:val="none" w:sz="0" w:space="0" w:color="auto"/>
        <w:left w:val="none" w:sz="0" w:space="0" w:color="auto"/>
        <w:bottom w:val="none" w:sz="0" w:space="0" w:color="auto"/>
        <w:right w:val="none" w:sz="0" w:space="0" w:color="auto"/>
      </w:divBdr>
    </w:div>
    <w:div w:id="580337353">
      <w:bodyDiv w:val="1"/>
      <w:marLeft w:val="0"/>
      <w:marRight w:val="0"/>
      <w:marTop w:val="0"/>
      <w:marBottom w:val="0"/>
      <w:divBdr>
        <w:top w:val="none" w:sz="0" w:space="0" w:color="auto"/>
        <w:left w:val="none" w:sz="0" w:space="0" w:color="auto"/>
        <w:bottom w:val="none" w:sz="0" w:space="0" w:color="auto"/>
        <w:right w:val="none" w:sz="0" w:space="0" w:color="auto"/>
      </w:divBdr>
    </w:div>
    <w:div w:id="580875702">
      <w:bodyDiv w:val="1"/>
      <w:marLeft w:val="0"/>
      <w:marRight w:val="0"/>
      <w:marTop w:val="0"/>
      <w:marBottom w:val="0"/>
      <w:divBdr>
        <w:top w:val="none" w:sz="0" w:space="0" w:color="auto"/>
        <w:left w:val="none" w:sz="0" w:space="0" w:color="auto"/>
        <w:bottom w:val="none" w:sz="0" w:space="0" w:color="auto"/>
        <w:right w:val="none" w:sz="0" w:space="0" w:color="auto"/>
      </w:divBdr>
    </w:div>
    <w:div w:id="580987588">
      <w:bodyDiv w:val="1"/>
      <w:marLeft w:val="0"/>
      <w:marRight w:val="0"/>
      <w:marTop w:val="0"/>
      <w:marBottom w:val="0"/>
      <w:divBdr>
        <w:top w:val="none" w:sz="0" w:space="0" w:color="auto"/>
        <w:left w:val="none" w:sz="0" w:space="0" w:color="auto"/>
        <w:bottom w:val="none" w:sz="0" w:space="0" w:color="auto"/>
        <w:right w:val="none" w:sz="0" w:space="0" w:color="auto"/>
      </w:divBdr>
    </w:div>
    <w:div w:id="581066111">
      <w:bodyDiv w:val="1"/>
      <w:marLeft w:val="0"/>
      <w:marRight w:val="0"/>
      <w:marTop w:val="0"/>
      <w:marBottom w:val="0"/>
      <w:divBdr>
        <w:top w:val="none" w:sz="0" w:space="0" w:color="auto"/>
        <w:left w:val="none" w:sz="0" w:space="0" w:color="auto"/>
        <w:bottom w:val="none" w:sz="0" w:space="0" w:color="auto"/>
        <w:right w:val="none" w:sz="0" w:space="0" w:color="auto"/>
      </w:divBdr>
    </w:div>
    <w:div w:id="581523977">
      <w:bodyDiv w:val="1"/>
      <w:marLeft w:val="0"/>
      <w:marRight w:val="0"/>
      <w:marTop w:val="0"/>
      <w:marBottom w:val="0"/>
      <w:divBdr>
        <w:top w:val="none" w:sz="0" w:space="0" w:color="auto"/>
        <w:left w:val="none" w:sz="0" w:space="0" w:color="auto"/>
        <w:bottom w:val="none" w:sz="0" w:space="0" w:color="auto"/>
        <w:right w:val="none" w:sz="0" w:space="0" w:color="auto"/>
      </w:divBdr>
    </w:div>
    <w:div w:id="581598822">
      <w:bodyDiv w:val="1"/>
      <w:marLeft w:val="0"/>
      <w:marRight w:val="0"/>
      <w:marTop w:val="0"/>
      <w:marBottom w:val="0"/>
      <w:divBdr>
        <w:top w:val="none" w:sz="0" w:space="0" w:color="auto"/>
        <w:left w:val="none" w:sz="0" w:space="0" w:color="auto"/>
        <w:bottom w:val="none" w:sz="0" w:space="0" w:color="auto"/>
        <w:right w:val="none" w:sz="0" w:space="0" w:color="auto"/>
      </w:divBdr>
    </w:div>
    <w:div w:id="581643568">
      <w:bodyDiv w:val="1"/>
      <w:marLeft w:val="0"/>
      <w:marRight w:val="0"/>
      <w:marTop w:val="0"/>
      <w:marBottom w:val="0"/>
      <w:divBdr>
        <w:top w:val="none" w:sz="0" w:space="0" w:color="auto"/>
        <w:left w:val="none" w:sz="0" w:space="0" w:color="auto"/>
        <w:bottom w:val="none" w:sz="0" w:space="0" w:color="auto"/>
        <w:right w:val="none" w:sz="0" w:space="0" w:color="auto"/>
      </w:divBdr>
    </w:div>
    <w:div w:id="581915461">
      <w:bodyDiv w:val="1"/>
      <w:marLeft w:val="0"/>
      <w:marRight w:val="0"/>
      <w:marTop w:val="0"/>
      <w:marBottom w:val="0"/>
      <w:divBdr>
        <w:top w:val="none" w:sz="0" w:space="0" w:color="auto"/>
        <w:left w:val="none" w:sz="0" w:space="0" w:color="auto"/>
        <w:bottom w:val="none" w:sz="0" w:space="0" w:color="auto"/>
        <w:right w:val="none" w:sz="0" w:space="0" w:color="auto"/>
      </w:divBdr>
    </w:div>
    <w:div w:id="581960079">
      <w:bodyDiv w:val="1"/>
      <w:marLeft w:val="0"/>
      <w:marRight w:val="0"/>
      <w:marTop w:val="0"/>
      <w:marBottom w:val="0"/>
      <w:divBdr>
        <w:top w:val="none" w:sz="0" w:space="0" w:color="auto"/>
        <w:left w:val="none" w:sz="0" w:space="0" w:color="auto"/>
        <w:bottom w:val="none" w:sz="0" w:space="0" w:color="auto"/>
        <w:right w:val="none" w:sz="0" w:space="0" w:color="auto"/>
      </w:divBdr>
    </w:div>
    <w:div w:id="582224257">
      <w:bodyDiv w:val="1"/>
      <w:marLeft w:val="0"/>
      <w:marRight w:val="0"/>
      <w:marTop w:val="0"/>
      <w:marBottom w:val="0"/>
      <w:divBdr>
        <w:top w:val="none" w:sz="0" w:space="0" w:color="auto"/>
        <w:left w:val="none" w:sz="0" w:space="0" w:color="auto"/>
        <w:bottom w:val="none" w:sz="0" w:space="0" w:color="auto"/>
        <w:right w:val="none" w:sz="0" w:space="0" w:color="auto"/>
      </w:divBdr>
    </w:div>
    <w:div w:id="582226724">
      <w:bodyDiv w:val="1"/>
      <w:marLeft w:val="0"/>
      <w:marRight w:val="0"/>
      <w:marTop w:val="0"/>
      <w:marBottom w:val="0"/>
      <w:divBdr>
        <w:top w:val="none" w:sz="0" w:space="0" w:color="auto"/>
        <w:left w:val="none" w:sz="0" w:space="0" w:color="auto"/>
        <w:bottom w:val="none" w:sz="0" w:space="0" w:color="auto"/>
        <w:right w:val="none" w:sz="0" w:space="0" w:color="auto"/>
      </w:divBdr>
    </w:div>
    <w:div w:id="582302926">
      <w:bodyDiv w:val="1"/>
      <w:marLeft w:val="0"/>
      <w:marRight w:val="0"/>
      <w:marTop w:val="0"/>
      <w:marBottom w:val="0"/>
      <w:divBdr>
        <w:top w:val="none" w:sz="0" w:space="0" w:color="auto"/>
        <w:left w:val="none" w:sz="0" w:space="0" w:color="auto"/>
        <w:bottom w:val="none" w:sz="0" w:space="0" w:color="auto"/>
        <w:right w:val="none" w:sz="0" w:space="0" w:color="auto"/>
      </w:divBdr>
    </w:div>
    <w:div w:id="582371586">
      <w:bodyDiv w:val="1"/>
      <w:marLeft w:val="0"/>
      <w:marRight w:val="0"/>
      <w:marTop w:val="0"/>
      <w:marBottom w:val="0"/>
      <w:divBdr>
        <w:top w:val="none" w:sz="0" w:space="0" w:color="auto"/>
        <w:left w:val="none" w:sz="0" w:space="0" w:color="auto"/>
        <w:bottom w:val="none" w:sz="0" w:space="0" w:color="auto"/>
        <w:right w:val="none" w:sz="0" w:space="0" w:color="auto"/>
      </w:divBdr>
    </w:div>
    <w:div w:id="582419843">
      <w:bodyDiv w:val="1"/>
      <w:marLeft w:val="0"/>
      <w:marRight w:val="0"/>
      <w:marTop w:val="0"/>
      <w:marBottom w:val="0"/>
      <w:divBdr>
        <w:top w:val="none" w:sz="0" w:space="0" w:color="auto"/>
        <w:left w:val="none" w:sz="0" w:space="0" w:color="auto"/>
        <w:bottom w:val="none" w:sz="0" w:space="0" w:color="auto"/>
        <w:right w:val="none" w:sz="0" w:space="0" w:color="auto"/>
      </w:divBdr>
    </w:div>
    <w:div w:id="582682079">
      <w:bodyDiv w:val="1"/>
      <w:marLeft w:val="0"/>
      <w:marRight w:val="0"/>
      <w:marTop w:val="0"/>
      <w:marBottom w:val="0"/>
      <w:divBdr>
        <w:top w:val="none" w:sz="0" w:space="0" w:color="auto"/>
        <w:left w:val="none" w:sz="0" w:space="0" w:color="auto"/>
        <w:bottom w:val="none" w:sz="0" w:space="0" w:color="auto"/>
        <w:right w:val="none" w:sz="0" w:space="0" w:color="auto"/>
      </w:divBdr>
    </w:div>
    <w:div w:id="582685603">
      <w:bodyDiv w:val="1"/>
      <w:marLeft w:val="0"/>
      <w:marRight w:val="0"/>
      <w:marTop w:val="0"/>
      <w:marBottom w:val="0"/>
      <w:divBdr>
        <w:top w:val="none" w:sz="0" w:space="0" w:color="auto"/>
        <w:left w:val="none" w:sz="0" w:space="0" w:color="auto"/>
        <w:bottom w:val="none" w:sz="0" w:space="0" w:color="auto"/>
        <w:right w:val="none" w:sz="0" w:space="0" w:color="auto"/>
      </w:divBdr>
    </w:div>
    <w:div w:id="582884324">
      <w:bodyDiv w:val="1"/>
      <w:marLeft w:val="0"/>
      <w:marRight w:val="0"/>
      <w:marTop w:val="0"/>
      <w:marBottom w:val="0"/>
      <w:divBdr>
        <w:top w:val="none" w:sz="0" w:space="0" w:color="auto"/>
        <w:left w:val="none" w:sz="0" w:space="0" w:color="auto"/>
        <w:bottom w:val="none" w:sz="0" w:space="0" w:color="auto"/>
        <w:right w:val="none" w:sz="0" w:space="0" w:color="auto"/>
      </w:divBdr>
    </w:div>
    <w:div w:id="583220365">
      <w:bodyDiv w:val="1"/>
      <w:marLeft w:val="0"/>
      <w:marRight w:val="0"/>
      <w:marTop w:val="0"/>
      <w:marBottom w:val="0"/>
      <w:divBdr>
        <w:top w:val="none" w:sz="0" w:space="0" w:color="auto"/>
        <w:left w:val="none" w:sz="0" w:space="0" w:color="auto"/>
        <w:bottom w:val="none" w:sz="0" w:space="0" w:color="auto"/>
        <w:right w:val="none" w:sz="0" w:space="0" w:color="auto"/>
      </w:divBdr>
    </w:div>
    <w:div w:id="583538779">
      <w:bodyDiv w:val="1"/>
      <w:marLeft w:val="0"/>
      <w:marRight w:val="0"/>
      <w:marTop w:val="0"/>
      <w:marBottom w:val="0"/>
      <w:divBdr>
        <w:top w:val="none" w:sz="0" w:space="0" w:color="auto"/>
        <w:left w:val="none" w:sz="0" w:space="0" w:color="auto"/>
        <w:bottom w:val="none" w:sz="0" w:space="0" w:color="auto"/>
        <w:right w:val="none" w:sz="0" w:space="0" w:color="auto"/>
      </w:divBdr>
    </w:div>
    <w:div w:id="583807004">
      <w:bodyDiv w:val="1"/>
      <w:marLeft w:val="0"/>
      <w:marRight w:val="0"/>
      <w:marTop w:val="0"/>
      <w:marBottom w:val="0"/>
      <w:divBdr>
        <w:top w:val="none" w:sz="0" w:space="0" w:color="auto"/>
        <w:left w:val="none" w:sz="0" w:space="0" w:color="auto"/>
        <w:bottom w:val="none" w:sz="0" w:space="0" w:color="auto"/>
        <w:right w:val="none" w:sz="0" w:space="0" w:color="auto"/>
      </w:divBdr>
    </w:div>
    <w:div w:id="583879779">
      <w:bodyDiv w:val="1"/>
      <w:marLeft w:val="0"/>
      <w:marRight w:val="0"/>
      <w:marTop w:val="0"/>
      <w:marBottom w:val="0"/>
      <w:divBdr>
        <w:top w:val="none" w:sz="0" w:space="0" w:color="auto"/>
        <w:left w:val="none" w:sz="0" w:space="0" w:color="auto"/>
        <w:bottom w:val="none" w:sz="0" w:space="0" w:color="auto"/>
        <w:right w:val="none" w:sz="0" w:space="0" w:color="auto"/>
      </w:divBdr>
    </w:div>
    <w:div w:id="584190596">
      <w:bodyDiv w:val="1"/>
      <w:marLeft w:val="0"/>
      <w:marRight w:val="0"/>
      <w:marTop w:val="0"/>
      <w:marBottom w:val="0"/>
      <w:divBdr>
        <w:top w:val="none" w:sz="0" w:space="0" w:color="auto"/>
        <w:left w:val="none" w:sz="0" w:space="0" w:color="auto"/>
        <w:bottom w:val="none" w:sz="0" w:space="0" w:color="auto"/>
        <w:right w:val="none" w:sz="0" w:space="0" w:color="auto"/>
      </w:divBdr>
    </w:div>
    <w:div w:id="584337246">
      <w:bodyDiv w:val="1"/>
      <w:marLeft w:val="0"/>
      <w:marRight w:val="0"/>
      <w:marTop w:val="0"/>
      <w:marBottom w:val="0"/>
      <w:divBdr>
        <w:top w:val="none" w:sz="0" w:space="0" w:color="auto"/>
        <w:left w:val="none" w:sz="0" w:space="0" w:color="auto"/>
        <w:bottom w:val="none" w:sz="0" w:space="0" w:color="auto"/>
        <w:right w:val="none" w:sz="0" w:space="0" w:color="auto"/>
      </w:divBdr>
    </w:div>
    <w:div w:id="584843685">
      <w:bodyDiv w:val="1"/>
      <w:marLeft w:val="0"/>
      <w:marRight w:val="0"/>
      <w:marTop w:val="0"/>
      <w:marBottom w:val="0"/>
      <w:divBdr>
        <w:top w:val="none" w:sz="0" w:space="0" w:color="auto"/>
        <w:left w:val="none" w:sz="0" w:space="0" w:color="auto"/>
        <w:bottom w:val="none" w:sz="0" w:space="0" w:color="auto"/>
        <w:right w:val="none" w:sz="0" w:space="0" w:color="auto"/>
      </w:divBdr>
    </w:div>
    <w:div w:id="585654915">
      <w:bodyDiv w:val="1"/>
      <w:marLeft w:val="0"/>
      <w:marRight w:val="0"/>
      <w:marTop w:val="0"/>
      <w:marBottom w:val="0"/>
      <w:divBdr>
        <w:top w:val="none" w:sz="0" w:space="0" w:color="auto"/>
        <w:left w:val="none" w:sz="0" w:space="0" w:color="auto"/>
        <w:bottom w:val="none" w:sz="0" w:space="0" w:color="auto"/>
        <w:right w:val="none" w:sz="0" w:space="0" w:color="auto"/>
      </w:divBdr>
    </w:div>
    <w:div w:id="585722424">
      <w:bodyDiv w:val="1"/>
      <w:marLeft w:val="0"/>
      <w:marRight w:val="0"/>
      <w:marTop w:val="0"/>
      <w:marBottom w:val="0"/>
      <w:divBdr>
        <w:top w:val="none" w:sz="0" w:space="0" w:color="auto"/>
        <w:left w:val="none" w:sz="0" w:space="0" w:color="auto"/>
        <w:bottom w:val="none" w:sz="0" w:space="0" w:color="auto"/>
        <w:right w:val="none" w:sz="0" w:space="0" w:color="auto"/>
      </w:divBdr>
    </w:div>
    <w:div w:id="585725312">
      <w:bodyDiv w:val="1"/>
      <w:marLeft w:val="0"/>
      <w:marRight w:val="0"/>
      <w:marTop w:val="0"/>
      <w:marBottom w:val="0"/>
      <w:divBdr>
        <w:top w:val="none" w:sz="0" w:space="0" w:color="auto"/>
        <w:left w:val="none" w:sz="0" w:space="0" w:color="auto"/>
        <w:bottom w:val="none" w:sz="0" w:space="0" w:color="auto"/>
        <w:right w:val="none" w:sz="0" w:space="0" w:color="auto"/>
      </w:divBdr>
    </w:div>
    <w:div w:id="585847852">
      <w:bodyDiv w:val="1"/>
      <w:marLeft w:val="0"/>
      <w:marRight w:val="0"/>
      <w:marTop w:val="0"/>
      <w:marBottom w:val="0"/>
      <w:divBdr>
        <w:top w:val="none" w:sz="0" w:space="0" w:color="auto"/>
        <w:left w:val="none" w:sz="0" w:space="0" w:color="auto"/>
        <w:bottom w:val="none" w:sz="0" w:space="0" w:color="auto"/>
        <w:right w:val="none" w:sz="0" w:space="0" w:color="auto"/>
      </w:divBdr>
    </w:div>
    <w:div w:id="585892368">
      <w:bodyDiv w:val="1"/>
      <w:marLeft w:val="0"/>
      <w:marRight w:val="0"/>
      <w:marTop w:val="0"/>
      <w:marBottom w:val="0"/>
      <w:divBdr>
        <w:top w:val="none" w:sz="0" w:space="0" w:color="auto"/>
        <w:left w:val="none" w:sz="0" w:space="0" w:color="auto"/>
        <w:bottom w:val="none" w:sz="0" w:space="0" w:color="auto"/>
        <w:right w:val="none" w:sz="0" w:space="0" w:color="auto"/>
      </w:divBdr>
    </w:div>
    <w:div w:id="585963152">
      <w:bodyDiv w:val="1"/>
      <w:marLeft w:val="0"/>
      <w:marRight w:val="0"/>
      <w:marTop w:val="0"/>
      <w:marBottom w:val="0"/>
      <w:divBdr>
        <w:top w:val="none" w:sz="0" w:space="0" w:color="auto"/>
        <w:left w:val="none" w:sz="0" w:space="0" w:color="auto"/>
        <w:bottom w:val="none" w:sz="0" w:space="0" w:color="auto"/>
        <w:right w:val="none" w:sz="0" w:space="0" w:color="auto"/>
      </w:divBdr>
    </w:div>
    <w:div w:id="586038235">
      <w:bodyDiv w:val="1"/>
      <w:marLeft w:val="0"/>
      <w:marRight w:val="0"/>
      <w:marTop w:val="0"/>
      <w:marBottom w:val="0"/>
      <w:divBdr>
        <w:top w:val="none" w:sz="0" w:space="0" w:color="auto"/>
        <w:left w:val="none" w:sz="0" w:space="0" w:color="auto"/>
        <w:bottom w:val="none" w:sz="0" w:space="0" w:color="auto"/>
        <w:right w:val="none" w:sz="0" w:space="0" w:color="auto"/>
      </w:divBdr>
    </w:div>
    <w:div w:id="586112175">
      <w:bodyDiv w:val="1"/>
      <w:marLeft w:val="0"/>
      <w:marRight w:val="0"/>
      <w:marTop w:val="0"/>
      <w:marBottom w:val="0"/>
      <w:divBdr>
        <w:top w:val="none" w:sz="0" w:space="0" w:color="auto"/>
        <w:left w:val="none" w:sz="0" w:space="0" w:color="auto"/>
        <w:bottom w:val="none" w:sz="0" w:space="0" w:color="auto"/>
        <w:right w:val="none" w:sz="0" w:space="0" w:color="auto"/>
      </w:divBdr>
    </w:div>
    <w:div w:id="586116847">
      <w:bodyDiv w:val="1"/>
      <w:marLeft w:val="0"/>
      <w:marRight w:val="0"/>
      <w:marTop w:val="0"/>
      <w:marBottom w:val="0"/>
      <w:divBdr>
        <w:top w:val="none" w:sz="0" w:space="0" w:color="auto"/>
        <w:left w:val="none" w:sz="0" w:space="0" w:color="auto"/>
        <w:bottom w:val="none" w:sz="0" w:space="0" w:color="auto"/>
        <w:right w:val="none" w:sz="0" w:space="0" w:color="auto"/>
      </w:divBdr>
    </w:div>
    <w:div w:id="586235828">
      <w:bodyDiv w:val="1"/>
      <w:marLeft w:val="0"/>
      <w:marRight w:val="0"/>
      <w:marTop w:val="0"/>
      <w:marBottom w:val="0"/>
      <w:divBdr>
        <w:top w:val="none" w:sz="0" w:space="0" w:color="auto"/>
        <w:left w:val="none" w:sz="0" w:space="0" w:color="auto"/>
        <w:bottom w:val="none" w:sz="0" w:space="0" w:color="auto"/>
        <w:right w:val="none" w:sz="0" w:space="0" w:color="auto"/>
      </w:divBdr>
    </w:div>
    <w:div w:id="586351383">
      <w:bodyDiv w:val="1"/>
      <w:marLeft w:val="0"/>
      <w:marRight w:val="0"/>
      <w:marTop w:val="0"/>
      <w:marBottom w:val="0"/>
      <w:divBdr>
        <w:top w:val="none" w:sz="0" w:space="0" w:color="auto"/>
        <w:left w:val="none" w:sz="0" w:space="0" w:color="auto"/>
        <w:bottom w:val="none" w:sz="0" w:space="0" w:color="auto"/>
        <w:right w:val="none" w:sz="0" w:space="0" w:color="auto"/>
      </w:divBdr>
    </w:div>
    <w:div w:id="586501967">
      <w:bodyDiv w:val="1"/>
      <w:marLeft w:val="0"/>
      <w:marRight w:val="0"/>
      <w:marTop w:val="0"/>
      <w:marBottom w:val="0"/>
      <w:divBdr>
        <w:top w:val="none" w:sz="0" w:space="0" w:color="auto"/>
        <w:left w:val="none" w:sz="0" w:space="0" w:color="auto"/>
        <w:bottom w:val="none" w:sz="0" w:space="0" w:color="auto"/>
        <w:right w:val="none" w:sz="0" w:space="0" w:color="auto"/>
      </w:divBdr>
    </w:div>
    <w:div w:id="586579573">
      <w:bodyDiv w:val="1"/>
      <w:marLeft w:val="0"/>
      <w:marRight w:val="0"/>
      <w:marTop w:val="0"/>
      <w:marBottom w:val="0"/>
      <w:divBdr>
        <w:top w:val="none" w:sz="0" w:space="0" w:color="auto"/>
        <w:left w:val="none" w:sz="0" w:space="0" w:color="auto"/>
        <w:bottom w:val="none" w:sz="0" w:space="0" w:color="auto"/>
        <w:right w:val="none" w:sz="0" w:space="0" w:color="auto"/>
      </w:divBdr>
    </w:div>
    <w:div w:id="586882890">
      <w:bodyDiv w:val="1"/>
      <w:marLeft w:val="0"/>
      <w:marRight w:val="0"/>
      <w:marTop w:val="0"/>
      <w:marBottom w:val="0"/>
      <w:divBdr>
        <w:top w:val="none" w:sz="0" w:space="0" w:color="auto"/>
        <w:left w:val="none" w:sz="0" w:space="0" w:color="auto"/>
        <w:bottom w:val="none" w:sz="0" w:space="0" w:color="auto"/>
        <w:right w:val="none" w:sz="0" w:space="0" w:color="auto"/>
      </w:divBdr>
    </w:div>
    <w:div w:id="587008430">
      <w:bodyDiv w:val="1"/>
      <w:marLeft w:val="0"/>
      <w:marRight w:val="0"/>
      <w:marTop w:val="0"/>
      <w:marBottom w:val="0"/>
      <w:divBdr>
        <w:top w:val="none" w:sz="0" w:space="0" w:color="auto"/>
        <w:left w:val="none" w:sz="0" w:space="0" w:color="auto"/>
        <w:bottom w:val="none" w:sz="0" w:space="0" w:color="auto"/>
        <w:right w:val="none" w:sz="0" w:space="0" w:color="auto"/>
      </w:divBdr>
    </w:div>
    <w:div w:id="587034685">
      <w:bodyDiv w:val="1"/>
      <w:marLeft w:val="0"/>
      <w:marRight w:val="0"/>
      <w:marTop w:val="0"/>
      <w:marBottom w:val="0"/>
      <w:divBdr>
        <w:top w:val="none" w:sz="0" w:space="0" w:color="auto"/>
        <w:left w:val="none" w:sz="0" w:space="0" w:color="auto"/>
        <w:bottom w:val="none" w:sz="0" w:space="0" w:color="auto"/>
        <w:right w:val="none" w:sz="0" w:space="0" w:color="auto"/>
      </w:divBdr>
    </w:div>
    <w:div w:id="587807547">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7882587">
      <w:bodyDiv w:val="1"/>
      <w:marLeft w:val="0"/>
      <w:marRight w:val="0"/>
      <w:marTop w:val="0"/>
      <w:marBottom w:val="0"/>
      <w:divBdr>
        <w:top w:val="none" w:sz="0" w:space="0" w:color="auto"/>
        <w:left w:val="none" w:sz="0" w:space="0" w:color="auto"/>
        <w:bottom w:val="none" w:sz="0" w:space="0" w:color="auto"/>
        <w:right w:val="none" w:sz="0" w:space="0" w:color="auto"/>
      </w:divBdr>
    </w:div>
    <w:div w:id="587883691">
      <w:bodyDiv w:val="1"/>
      <w:marLeft w:val="0"/>
      <w:marRight w:val="0"/>
      <w:marTop w:val="0"/>
      <w:marBottom w:val="0"/>
      <w:divBdr>
        <w:top w:val="none" w:sz="0" w:space="0" w:color="auto"/>
        <w:left w:val="none" w:sz="0" w:space="0" w:color="auto"/>
        <w:bottom w:val="none" w:sz="0" w:space="0" w:color="auto"/>
        <w:right w:val="none" w:sz="0" w:space="0" w:color="auto"/>
      </w:divBdr>
    </w:div>
    <w:div w:id="587883871">
      <w:bodyDiv w:val="1"/>
      <w:marLeft w:val="0"/>
      <w:marRight w:val="0"/>
      <w:marTop w:val="0"/>
      <w:marBottom w:val="0"/>
      <w:divBdr>
        <w:top w:val="none" w:sz="0" w:space="0" w:color="auto"/>
        <w:left w:val="none" w:sz="0" w:space="0" w:color="auto"/>
        <w:bottom w:val="none" w:sz="0" w:space="0" w:color="auto"/>
        <w:right w:val="none" w:sz="0" w:space="0" w:color="auto"/>
      </w:divBdr>
    </w:div>
    <w:div w:id="587930337">
      <w:bodyDiv w:val="1"/>
      <w:marLeft w:val="0"/>
      <w:marRight w:val="0"/>
      <w:marTop w:val="0"/>
      <w:marBottom w:val="0"/>
      <w:divBdr>
        <w:top w:val="none" w:sz="0" w:space="0" w:color="auto"/>
        <w:left w:val="none" w:sz="0" w:space="0" w:color="auto"/>
        <w:bottom w:val="none" w:sz="0" w:space="0" w:color="auto"/>
        <w:right w:val="none" w:sz="0" w:space="0" w:color="auto"/>
      </w:divBdr>
    </w:div>
    <w:div w:id="587932834">
      <w:bodyDiv w:val="1"/>
      <w:marLeft w:val="0"/>
      <w:marRight w:val="0"/>
      <w:marTop w:val="0"/>
      <w:marBottom w:val="0"/>
      <w:divBdr>
        <w:top w:val="none" w:sz="0" w:space="0" w:color="auto"/>
        <w:left w:val="none" w:sz="0" w:space="0" w:color="auto"/>
        <w:bottom w:val="none" w:sz="0" w:space="0" w:color="auto"/>
        <w:right w:val="none" w:sz="0" w:space="0" w:color="auto"/>
      </w:divBdr>
    </w:div>
    <w:div w:id="588121062">
      <w:bodyDiv w:val="1"/>
      <w:marLeft w:val="0"/>
      <w:marRight w:val="0"/>
      <w:marTop w:val="0"/>
      <w:marBottom w:val="0"/>
      <w:divBdr>
        <w:top w:val="none" w:sz="0" w:space="0" w:color="auto"/>
        <w:left w:val="none" w:sz="0" w:space="0" w:color="auto"/>
        <w:bottom w:val="none" w:sz="0" w:space="0" w:color="auto"/>
        <w:right w:val="none" w:sz="0" w:space="0" w:color="auto"/>
      </w:divBdr>
    </w:div>
    <w:div w:id="588543906">
      <w:bodyDiv w:val="1"/>
      <w:marLeft w:val="0"/>
      <w:marRight w:val="0"/>
      <w:marTop w:val="0"/>
      <w:marBottom w:val="0"/>
      <w:divBdr>
        <w:top w:val="none" w:sz="0" w:space="0" w:color="auto"/>
        <w:left w:val="none" w:sz="0" w:space="0" w:color="auto"/>
        <w:bottom w:val="none" w:sz="0" w:space="0" w:color="auto"/>
        <w:right w:val="none" w:sz="0" w:space="0" w:color="auto"/>
      </w:divBdr>
    </w:div>
    <w:div w:id="588589061">
      <w:bodyDiv w:val="1"/>
      <w:marLeft w:val="0"/>
      <w:marRight w:val="0"/>
      <w:marTop w:val="0"/>
      <w:marBottom w:val="0"/>
      <w:divBdr>
        <w:top w:val="none" w:sz="0" w:space="0" w:color="auto"/>
        <w:left w:val="none" w:sz="0" w:space="0" w:color="auto"/>
        <w:bottom w:val="none" w:sz="0" w:space="0" w:color="auto"/>
        <w:right w:val="none" w:sz="0" w:space="0" w:color="auto"/>
      </w:divBdr>
    </w:div>
    <w:div w:id="588655361">
      <w:bodyDiv w:val="1"/>
      <w:marLeft w:val="0"/>
      <w:marRight w:val="0"/>
      <w:marTop w:val="0"/>
      <w:marBottom w:val="0"/>
      <w:divBdr>
        <w:top w:val="none" w:sz="0" w:space="0" w:color="auto"/>
        <w:left w:val="none" w:sz="0" w:space="0" w:color="auto"/>
        <w:bottom w:val="none" w:sz="0" w:space="0" w:color="auto"/>
        <w:right w:val="none" w:sz="0" w:space="0" w:color="auto"/>
      </w:divBdr>
    </w:div>
    <w:div w:id="588848978">
      <w:bodyDiv w:val="1"/>
      <w:marLeft w:val="0"/>
      <w:marRight w:val="0"/>
      <w:marTop w:val="0"/>
      <w:marBottom w:val="0"/>
      <w:divBdr>
        <w:top w:val="none" w:sz="0" w:space="0" w:color="auto"/>
        <w:left w:val="none" w:sz="0" w:space="0" w:color="auto"/>
        <w:bottom w:val="none" w:sz="0" w:space="0" w:color="auto"/>
        <w:right w:val="none" w:sz="0" w:space="0" w:color="auto"/>
      </w:divBdr>
    </w:div>
    <w:div w:id="588931923">
      <w:bodyDiv w:val="1"/>
      <w:marLeft w:val="0"/>
      <w:marRight w:val="0"/>
      <w:marTop w:val="0"/>
      <w:marBottom w:val="0"/>
      <w:divBdr>
        <w:top w:val="none" w:sz="0" w:space="0" w:color="auto"/>
        <w:left w:val="none" w:sz="0" w:space="0" w:color="auto"/>
        <w:bottom w:val="none" w:sz="0" w:space="0" w:color="auto"/>
        <w:right w:val="none" w:sz="0" w:space="0" w:color="auto"/>
      </w:divBdr>
    </w:div>
    <w:div w:id="588972860">
      <w:bodyDiv w:val="1"/>
      <w:marLeft w:val="0"/>
      <w:marRight w:val="0"/>
      <w:marTop w:val="0"/>
      <w:marBottom w:val="0"/>
      <w:divBdr>
        <w:top w:val="none" w:sz="0" w:space="0" w:color="auto"/>
        <w:left w:val="none" w:sz="0" w:space="0" w:color="auto"/>
        <w:bottom w:val="none" w:sz="0" w:space="0" w:color="auto"/>
        <w:right w:val="none" w:sz="0" w:space="0" w:color="auto"/>
      </w:divBdr>
    </w:div>
    <w:div w:id="589044600">
      <w:bodyDiv w:val="1"/>
      <w:marLeft w:val="0"/>
      <w:marRight w:val="0"/>
      <w:marTop w:val="0"/>
      <w:marBottom w:val="0"/>
      <w:divBdr>
        <w:top w:val="none" w:sz="0" w:space="0" w:color="auto"/>
        <w:left w:val="none" w:sz="0" w:space="0" w:color="auto"/>
        <w:bottom w:val="none" w:sz="0" w:space="0" w:color="auto"/>
        <w:right w:val="none" w:sz="0" w:space="0" w:color="auto"/>
      </w:divBdr>
    </w:div>
    <w:div w:id="589047089">
      <w:bodyDiv w:val="1"/>
      <w:marLeft w:val="0"/>
      <w:marRight w:val="0"/>
      <w:marTop w:val="0"/>
      <w:marBottom w:val="0"/>
      <w:divBdr>
        <w:top w:val="none" w:sz="0" w:space="0" w:color="auto"/>
        <w:left w:val="none" w:sz="0" w:space="0" w:color="auto"/>
        <w:bottom w:val="none" w:sz="0" w:space="0" w:color="auto"/>
        <w:right w:val="none" w:sz="0" w:space="0" w:color="auto"/>
      </w:divBdr>
    </w:div>
    <w:div w:id="589193280">
      <w:bodyDiv w:val="1"/>
      <w:marLeft w:val="0"/>
      <w:marRight w:val="0"/>
      <w:marTop w:val="0"/>
      <w:marBottom w:val="0"/>
      <w:divBdr>
        <w:top w:val="none" w:sz="0" w:space="0" w:color="auto"/>
        <w:left w:val="none" w:sz="0" w:space="0" w:color="auto"/>
        <w:bottom w:val="none" w:sz="0" w:space="0" w:color="auto"/>
        <w:right w:val="none" w:sz="0" w:space="0" w:color="auto"/>
      </w:divBdr>
    </w:div>
    <w:div w:id="589240330">
      <w:bodyDiv w:val="1"/>
      <w:marLeft w:val="0"/>
      <w:marRight w:val="0"/>
      <w:marTop w:val="0"/>
      <w:marBottom w:val="0"/>
      <w:divBdr>
        <w:top w:val="none" w:sz="0" w:space="0" w:color="auto"/>
        <w:left w:val="none" w:sz="0" w:space="0" w:color="auto"/>
        <w:bottom w:val="none" w:sz="0" w:space="0" w:color="auto"/>
        <w:right w:val="none" w:sz="0" w:space="0" w:color="auto"/>
      </w:divBdr>
    </w:div>
    <w:div w:id="589461922">
      <w:bodyDiv w:val="1"/>
      <w:marLeft w:val="0"/>
      <w:marRight w:val="0"/>
      <w:marTop w:val="0"/>
      <w:marBottom w:val="0"/>
      <w:divBdr>
        <w:top w:val="none" w:sz="0" w:space="0" w:color="auto"/>
        <w:left w:val="none" w:sz="0" w:space="0" w:color="auto"/>
        <w:bottom w:val="none" w:sz="0" w:space="0" w:color="auto"/>
        <w:right w:val="none" w:sz="0" w:space="0" w:color="auto"/>
      </w:divBdr>
    </w:div>
    <w:div w:id="589503624">
      <w:bodyDiv w:val="1"/>
      <w:marLeft w:val="0"/>
      <w:marRight w:val="0"/>
      <w:marTop w:val="0"/>
      <w:marBottom w:val="0"/>
      <w:divBdr>
        <w:top w:val="none" w:sz="0" w:space="0" w:color="auto"/>
        <w:left w:val="none" w:sz="0" w:space="0" w:color="auto"/>
        <w:bottom w:val="none" w:sz="0" w:space="0" w:color="auto"/>
        <w:right w:val="none" w:sz="0" w:space="0" w:color="auto"/>
      </w:divBdr>
    </w:div>
    <w:div w:id="589508419">
      <w:bodyDiv w:val="1"/>
      <w:marLeft w:val="0"/>
      <w:marRight w:val="0"/>
      <w:marTop w:val="0"/>
      <w:marBottom w:val="0"/>
      <w:divBdr>
        <w:top w:val="none" w:sz="0" w:space="0" w:color="auto"/>
        <w:left w:val="none" w:sz="0" w:space="0" w:color="auto"/>
        <w:bottom w:val="none" w:sz="0" w:space="0" w:color="auto"/>
        <w:right w:val="none" w:sz="0" w:space="0" w:color="auto"/>
      </w:divBdr>
    </w:div>
    <w:div w:id="589774275">
      <w:bodyDiv w:val="1"/>
      <w:marLeft w:val="0"/>
      <w:marRight w:val="0"/>
      <w:marTop w:val="0"/>
      <w:marBottom w:val="0"/>
      <w:divBdr>
        <w:top w:val="none" w:sz="0" w:space="0" w:color="auto"/>
        <w:left w:val="none" w:sz="0" w:space="0" w:color="auto"/>
        <w:bottom w:val="none" w:sz="0" w:space="0" w:color="auto"/>
        <w:right w:val="none" w:sz="0" w:space="0" w:color="auto"/>
      </w:divBdr>
    </w:div>
    <w:div w:id="590238883">
      <w:bodyDiv w:val="1"/>
      <w:marLeft w:val="0"/>
      <w:marRight w:val="0"/>
      <w:marTop w:val="0"/>
      <w:marBottom w:val="0"/>
      <w:divBdr>
        <w:top w:val="none" w:sz="0" w:space="0" w:color="auto"/>
        <w:left w:val="none" w:sz="0" w:space="0" w:color="auto"/>
        <w:bottom w:val="none" w:sz="0" w:space="0" w:color="auto"/>
        <w:right w:val="none" w:sz="0" w:space="0" w:color="auto"/>
      </w:divBdr>
    </w:div>
    <w:div w:id="590242569">
      <w:bodyDiv w:val="1"/>
      <w:marLeft w:val="0"/>
      <w:marRight w:val="0"/>
      <w:marTop w:val="0"/>
      <w:marBottom w:val="0"/>
      <w:divBdr>
        <w:top w:val="none" w:sz="0" w:space="0" w:color="auto"/>
        <w:left w:val="none" w:sz="0" w:space="0" w:color="auto"/>
        <w:bottom w:val="none" w:sz="0" w:space="0" w:color="auto"/>
        <w:right w:val="none" w:sz="0" w:space="0" w:color="auto"/>
      </w:divBdr>
    </w:div>
    <w:div w:id="590357756">
      <w:bodyDiv w:val="1"/>
      <w:marLeft w:val="0"/>
      <w:marRight w:val="0"/>
      <w:marTop w:val="0"/>
      <w:marBottom w:val="0"/>
      <w:divBdr>
        <w:top w:val="none" w:sz="0" w:space="0" w:color="auto"/>
        <w:left w:val="none" w:sz="0" w:space="0" w:color="auto"/>
        <w:bottom w:val="none" w:sz="0" w:space="0" w:color="auto"/>
        <w:right w:val="none" w:sz="0" w:space="0" w:color="auto"/>
      </w:divBdr>
    </w:div>
    <w:div w:id="590547749">
      <w:bodyDiv w:val="1"/>
      <w:marLeft w:val="0"/>
      <w:marRight w:val="0"/>
      <w:marTop w:val="0"/>
      <w:marBottom w:val="0"/>
      <w:divBdr>
        <w:top w:val="none" w:sz="0" w:space="0" w:color="auto"/>
        <w:left w:val="none" w:sz="0" w:space="0" w:color="auto"/>
        <w:bottom w:val="none" w:sz="0" w:space="0" w:color="auto"/>
        <w:right w:val="none" w:sz="0" w:space="0" w:color="auto"/>
      </w:divBdr>
    </w:div>
    <w:div w:id="590625271">
      <w:bodyDiv w:val="1"/>
      <w:marLeft w:val="0"/>
      <w:marRight w:val="0"/>
      <w:marTop w:val="0"/>
      <w:marBottom w:val="0"/>
      <w:divBdr>
        <w:top w:val="none" w:sz="0" w:space="0" w:color="auto"/>
        <w:left w:val="none" w:sz="0" w:space="0" w:color="auto"/>
        <w:bottom w:val="none" w:sz="0" w:space="0" w:color="auto"/>
        <w:right w:val="none" w:sz="0" w:space="0" w:color="auto"/>
      </w:divBdr>
    </w:div>
    <w:div w:id="591086271">
      <w:bodyDiv w:val="1"/>
      <w:marLeft w:val="0"/>
      <w:marRight w:val="0"/>
      <w:marTop w:val="0"/>
      <w:marBottom w:val="0"/>
      <w:divBdr>
        <w:top w:val="none" w:sz="0" w:space="0" w:color="auto"/>
        <w:left w:val="none" w:sz="0" w:space="0" w:color="auto"/>
        <w:bottom w:val="none" w:sz="0" w:space="0" w:color="auto"/>
        <w:right w:val="none" w:sz="0" w:space="0" w:color="auto"/>
      </w:divBdr>
    </w:div>
    <w:div w:id="591158102">
      <w:bodyDiv w:val="1"/>
      <w:marLeft w:val="0"/>
      <w:marRight w:val="0"/>
      <w:marTop w:val="0"/>
      <w:marBottom w:val="0"/>
      <w:divBdr>
        <w:top w:val="none" w:sz="0" w:space="0" w:color="auto"/>
        <w:left w:val="none" w:sz="0" w:space="0" w:color="auto"/>
        <w:bottom w:val="none" w:sz="0" w:space="0" w:color="auto"/>
        <w:right w:val="none" w:sz="0" w:space="0" w:color="auto"/>
      </w:divBdr>
    </w:div>
    <w:div w:id="591161527">
      <w:bodyDiv w:val="1"/>
      <w:marLeft w:val="0"/>
      <w:marRight w:val="0"/>
      <w:marTop w:val="0"/>
      <w:marBottom w:val="0"/>
      <w:divBdr>
        <w:top w:val="none" w:sz="0" w:space="0" w:color="auto"/>
        <w:left w:val="none" w:sz="0" w:space="0" w:color="auto"/>
        <w:bottom w:val="none" w:sz="0" w:space="0" w:color="auto"/>
        <w:right w:val="none" w:sz="0" w:space="0" w:color="auto"/>
      </w:divBdr>
    </w:div>
    <w:div w:id="591283079">
      <w:bodyDiv w:val="1"/>
      <w:marLeft w:val="0"/>
      <w:marRight w:val="0"/>
      <w:marTop w:val="0"/>
      <w:marBottom w:val="0"/>
      <w:divBdr>
        <w:top w:val="none" w:sz="0" w:space="0" w:color="auto"/>
        <w:left w:val="none" w:sz="0" w:space="0" w:color="auto"/>
        <w:bottom w:val="none" w:sz="0" w:space="0" w:color="auto"/>
        <w:right w:val="none" w:sz="0" w:space="0" w:color="auto"/>
      </w:divBdr>
    </w:div>
    <w:div w:id="591355378">
      <w:bodyDiv w:val="1"/>
      <w:marLeft w:val="0"/>
      <w:marRight w:val="0"/>
      <w:marTop w:val="0"/>
      <w:marBottom w:val="0"/>
      <w:divBdr>
        <w:top w:val="none" w:sz="0" w:space="0" w:color="auto"/>
        <w:left w:val="none" w:sz="0" w:space="0" w:color="auto"/>
        <w:bottom w:val="none" w:sz="0" w:space="0" w:color="auto"/>
        <w:right w:val="none" w:sz="0" w:space="0" w:color="auto"/>
      </w:divBdr>
    </w:div>
    <w:div w:id="591357629">
      <w:bodyDiv w:val="1"/>
      <w:marLeft w:val="0"/>
      <w:marRight w:val="0"/>
      <w:marTop w:val="0"/>
      <w:marBottom w:val="0"/>
      <w:divBdr>
        <w:top w:val="none" w:sz="0" w:space="0" w:color="auto"/>
        <w:left w:val="none" w:sz="0" w:space="0" w:color="auto"/>
        <w:bottom w:val="none" w:sz="0" w:space="0" w:color="auto"/>
        <w:right w:val="none" w:sz="0" w:space="0" w:color="auto"/>
      </w:divBdr>
    </w:div>
    <w:div w:id="591741668">
      <w:bodyDiv w:val="1"/>
      <w:marLeft w:val="0"/>
      <w:marRight w:val="0"/>
      <w:marTop w:val="0"/>
      <w:marBottom w:val="0"/>
      <w:divBdr>
        <w:top w:val="none" w:sz="0" w:space="0" w:color="auto"/>
        <w:left w:val="none" w:sz="0" w:space="0" w:color="auto"/>
        <w:bottom w:val="none" w:sz="0" w:space="0" w:color="auto"/>
        <w:right w:val="none" w:sz="0" w:space="0" w:color="auto"/>
      </w:divBdr>
    </w:div>
    <w:div w:id="591858750">
      <w:bodyDiv w:val="1"/>
      <w:marLeft w:val="0"/>
      <w:marRight w:val="0"/>
      <w:marTop w:val="0"/>
      <w:marBottom w:val="0"/>
      <w:divBdr>
        <w:top w:val="none" w:sz="0" w:space="0" w:color="auto"/>
        <w:left w:val="none" w:sz="0" w:space="0" w:color="auto"/>
        <w:bottom w:val="none" w:sz="0" w:space="0" w:color="auto"/>
        <w:right w:val="none" w:sz="0" w:space="0" w:color="auto"/>
      </w:divBdr>
    </w:div>
    <w:div w:id="592519551">
      <w:bodyDiv w:val="1"/>
      <w:marLeft w:val="0"/>
      <w:marRight w:val="0"/>
      <w:marTop w:val="0"/>
      <w:marBottom w:val="0"/>
      <w:divBdr>
        <w:top w:val="none" w:sz="0" w:space="0" w:color="auto"/>
        <w:left w:val="none" w:sz="0" w:space="0" w:color="auto"/>
        <w:bottom w:val="none" w:sz="0" w:space="0" w:color="auto"/>
        <w:right w:val="none" w:sz="0" w:space="0" w:color="auto"/>
      </w:divBdr>
    </w:div>
    <w:div w:id="592519619">
      <w:bodyDiv w:val="1"/>
      <w:marLeft w:val="0"/>
      <w:marRight w:val="0"/>
      <w:marTop w:val="0"/>
      <w:marBottom w:val="0"/>
      <w:divBdr>
        <w:top w:val="none" w:sz="0" w:space="0" w:color="auto"/>
        <w:left w:val="none" w:sz="0" w:space="0" w:color="auto"/>
        <w:bottom w:val="none" w:sz="0" w:space="0" w:color="auto"/>
        <w:right w:val="none" w:sz="0" w:space="0" w:color="auto"/>
      </w:divBdr>
    </w:div>
    <w:div w:id="592593888">
      <w:bodyDiv w:val="1"/>
      <w:marLeft w:val="0"/>
      <w:marRight w:val="0"/>
      <w:marTop w:val="0"/>
      <w:marBottom w:val="0"/>
      <w:divBdr>
        <w:top w:val="none" w:sz="0" w:space="0" w:color="auto"/>
        <w:left w:val="none" w:sz="0" w:space="0" w:color="auto"/>
        <w:bottom w:val="none" w:sz="0" w:space="0" w:color="auto"/>
        <w:right w:val="none" w:sz="0" w:space="0" w:color="auto"/>
      </w:divBdr>
    </w:div>
    <w:div w:id="592671154">
      <w:bodyDiv w:val="1"/>
      <w:marLeft w:val="0"/>
      <w:marRight w:val="0"/>
      <w:marTop w:val="0"/>
      <w:marBottom w:val="0"/>
      <w:divBdr>
        <w:top w:val="none" w:sz="0" w:space="0" w:color="auto"/>
        <w:left w:val="none" w:sz="0" w:space="0" w:color="auto"/>
        <w:bottom w:val="none" w:sz="0" w:space="0" w:color="auto"/>
        <w:right w:val="none" w:sz="0" w:space="0" w:color="auto"/>
      </w:divBdr>
    </w:div>
    <w:div w:id="593170504">
      <w:bodyDiv w:val="1"/>
      <w:marLeft w:val="0"/>
      <w:marRight w:val="0"/>
      <w:marTop w:val="0"/>
      <w:marBottom w:val="0"/>
      <w:divBdr>
        <w:top w:val="none" w:sz="0" w:space="0" w:color="auto"/>
        <w:left w:val="none" w:sz="0" w:space="0" w:color="auto"/>
        <w:bottom w:val="none" w:sz="0" w:space="0" w:color="auto"/>
        <w:right w:val="none" w:sz="0" w:space="0" w:color="auto"/>
      </w:divBdr>
    </w:div>
    <w:div w:id="593174145">
      <w:bodyDiv w:val="1"/>
      <w:marLeft w:val="0"/>
      <w:marRight w:val="0"/>
      <w:marTop w:val="0"/>
      <w:marBottom w:val="0"/>
      <w:divBdr>
        <w:top w:val="none" w:sz="0" w:space="0" w:color="auto"/>
        <w:left w:val="none" w:sz="0" w:space="0" w:color="auto"/>
        <w:bottom w:val="none" w:sz="0" w:space="0" w:color="auto"/>
        <w:right w:val="none" w:sz="0" w:space="0" w:color="auto"/>
      </w:divBdr>
    </w:div>
    <w:div w:id="593326510">
      <w:bodyDiv w:val="1"/>
      <w:marLeft w:val="0"/>
      <w:marRight w:val="0"/>
      <w:marTop w:val="0"/>
      <w:marBottom w:val="0"/>
      <w:divBdr>
        <w:top w:val="none" w:sz="0" w:space="0" w:color="auto"/>
        <w:left w:val="none" w:sz="0" w:space="0" w:color="auto"/>
        <w:bottom w:val="none" w:sz="0" w:space="0" w:color="auto"/>
        <w:right w:val="none" w:sz="0" w:space="0" w:color="auto"/>
      </w:divBdr>
    </w:div>
    <w:div w:id="593972462">
      <w:bodyDiv w:val="1"/>
      <w:marLeft w:val="0"/>
      <w:marRight w:val="0"/>
      <w:marTop w:val="0"/>
      <w:marBottom w:val="0"/>
      <w:divBdr>
        <w:top w:val="none" w:sz="0" w:space="0" w:color="auto"/>
        <w:left w:val="none" w:sz="0" w:space="0" w:color="auto"/>
        <w:bottom w:val="none" w:sz="0" w:space="0" w:color="auto"/>
        <w:right w:val="none" w:sz="0" w:space="0" w:color="auto"/>
      </w:divBdr>
    </w:div>
    <w:div w:id="594047731">
      <w:bodyDiv w:val="1"/>
      <w:marLeft w:val="0"/>
      <w:marRight w:val="0"/>
      <w:marTop w:val="0"/>
      <w:marBottom w:val="0"/>
      <w:divBdr>
        <w:top w:val="none" w:sz="0" w:space="0" w:color="auto"/>
        <w:left w:val="none" w:sz="0" w:space="0" w:color="auto"/>
        <w:bottom w:val="none" w:sz="0" w:space="0" w:color="auto"/>
        <w:right w:val="none" w:sz="0" w:space="0" w:color="auto"/>
      </w:divBdr>
    </w:div>
    <w:div w:id="594243580">
      <w:bodyDiv w:val="1"/>
      <w:marLeft w:val="0"/>
      <w:marRight w:val="0"/>
      <w:marTop w:val="0"/>
      <w:marBottom w:val="0"/>
      <w:divBdr>
        <w:top w:val="none" w:sz="0" w:space="0" w:color="auto"/>
        <w:left w:val="none" w:sz="0" w:space="0" w:color="auto"/>
        <w:bottom w:val="none" w:sz="0" w:space="0" w:color="auto"/>
        <w:right w:val="none" w:sz="0" w:space="0" w:color="auto"/>
      </w:divBdr>
    </w:div>
    <w:div w:id="594442596">
      <w:bodyDiv w:val="1"/>
      <w:marLeft w:val="0"/>
      <w:marRight w:val="0"/>
      <w:marTop w:val="0"/>
      <w:marBottom w:val="0"/>
      <w:divBdr>
        <w:top w:val="none" w:sz="0" w:space="0" w:color="auto"/>
        <w:left w:val="none" w:sz="0" w:space="0" w:color="auto"/>
        <w:bottom w:val="none" w:sz="0" w:space="0" w:color="auto"/>
        <w:right w:val="none" w:sz="0" w:space="0" w:color="auto"/>
      </w:divBdr>
    </w:div>
    <w:div w:id="594628077">
      <w:bodyDiv w:val="1"/>
      <w:marLeft w:val="0"/>
      <w:marRight w:val="0"/>
      <w:marTop w:val="0"/>
      <w:marBottom w:val="0"/>
      <w:divBdr>
        <w:top w:val="none" w:sz="0" w:space="0" w:color="auto"/>
        <w:left w:val="none" w:sz="0" w:space="0" w:color="auto"/>
        <w:bottom w:val="none" w:sz="0" w:space="0" w:color="auto"/>
        <w:right w:val="none" w:sz="0" w:space="0" w:color="auto"/>
      </w:divBdr>
    </w:div>
    <w:div w:id="594896899">
      <w:bodyDiv w:val="1"/>
      <w:marLeft w:val="0"/>
      <w:marRight w:val="0"/>
      <w:marTop w:val="0"/>
      <w:marBottom w:val="0"/>
      <w:divBdr>
        <w:top w:val="none" w:sz="0" w:space="0" w:color="auto"/>
        <w:left w:val="none" w:sz="0" w:space="0" w:color="auto"/>
        <w:bottom w:val="none" w:sz="0" w:space="0" w:color="auto"/>
        <w:right w:val="none" w:sz="0" w:space="0" w:color="auto"/>
      </w:divBdr>
    </w:div>
    <w:div w:id="595015413">
      <w:bodyDiv w:val="1"/>
      <w:marLeft w:val="0"/>
      <w:marRight w:val="0"/>
      <w:marTop w:val="0"/>
      <w:marBottom w:val="0"/>
      <w:divBdr>
        <w:top w:val="none" w:sz="0" w:space="0" w:color="auto"/>
        <w:left w:val="none" w:sz="0" w:space="0" w:color="auto"/>
        <w:bottom w:val="none" w:sz="0" w:space="0" w:color="auto"/>
        <w:right w:val="none" w:sz="0" w:space="0" w:color="auto"/>
      </w:divBdr>
    </w:div>
    <w:div w:id="595285227">
      <w:bodyDiv w:val="1"/>
      <w:marLeft w:val="0"/>
      <w:marRight w:val="0"/>
      <w:marTop w:val="0"/>
      <w:marBottom w:val="0"/>
      <w:divBdr>
        <w:top w:val="none" w:sz="0" w:space="0" w:color="auto"/>
        <w:left w:val="none" w:sz="0" w:space="0" w:color="auto"/>
        <w:bottom w:val="none" w:sz="0" w:space="0" w:color="auto"/>
        <w:right w:val="none" w:sz="0" w:space="0" w:color="auto"/>
      </w:divBdr>
    </w:div>
    <w:div w:id="595290089">
      <w:bodyDiv w:val="1"/>
      <w:marLeft w:val="0"/>
      <w:marRight w:val="0"/>
      <w:marTop w:val="0"/>
      <w:marBottom w:val="0"/>
      <w:divBdr>
        <w:top w:val="none" w:sz="0" w:space="0" w:color="auto"/>
        <w:left w:val="none" w:sz="0" w:space="0" w:color="auto"/>
        <w:bottom w:val="none" w:sz="0" w:space="0" w:color="auto"/>
        <w:right w:val="none" w:sz="0" w:space="0" w:color="auto"/>
      </w:divBdr>
    </w:div>
    <w:div w:id="595481156">
      <w:bodyDiv w:val="1"/>
      <w:marLeft w:val="0"/>
      <w:marRight w:val="0"/>
      <w:marTop w:val="0"/>
      <w:marBottom w:val="0"/>
      <w:divBdr>
        <w:top w:val="none" w:sz="0" w:space="0" w:color="auto"/>
        <w:left w:val="none" w:sz="0" w:space="0" w:color="auto"/>
        <w:bottom w:val="none" w:sz="0" w:space="0" w:color="auto"/>
        <w:right w:val="none" w:sz="0" w:space="0" w:color="auto"/>
      </w:divBdr>
    </w:div>
    <w:div w:id="595675331">
      <w:bodyDiv w:val="1"/>
      <w:marLeft w:val="0"/>
      <w:marRight w:val="0"/>
      <w:marTop w:val="0"/>
      <w:marBottom w:val="0"/>
      <w:divBdr>
        <w:top w:val="none" w:sz="0" w:space="0" w:color="auto"/>
        <w:left w:val="none" w:sz="0" w:space="0" w:color="auto"/>
        <w:bottom w:val="none" w:sz="0" w:space="0" w:color="auto"/>
        <w:right w:val="none" w:sz="0" w:space="0" w:color="auto"/>
      </w:divBdr>
    </w:div>
    <w:div w:id="595868732">
      <w:bodyDiv w:val="1"/>
      <w:marLeft w:val="0"/>
      <w:marRight w:val="0"/>
      <w:marTop w:val="0"/>
      <w:marBottom w:val="0"/>
      <w:divBdr>
        <w:top w:val="none" w:sz="0" w:space="0" w:color="auto"/>
        <w:left w:val="none" w:sz="0" w:space="0" w:color="auto"/>
        <w:bottom w:val="none" w:sz="0" w:space="0" w:color="auto"/>
        <w:right w:val="none" w:sz="0" w:space="0" w:color="auto"/>
      </w:divBdr>
    </w:div>
    <w:div w:id="595988643">
      <w:bodyDiv w:val="1"/>
      <w:marLeft w:val="0"/>
      <w:marRight w:val="0"/>
      <w:marTop w:val="0"/>
      <w:marBottom w:val="0"/>
      <w:divBdr>
        <w:top w:val="none" w:sz="0" w:space="0" w:color="auto"/>
        <w:left w:val="none" w:sz="0" w:space="0" w:color="auto"/>
        <w:bottom w:val="none" w:sz="0" w:space="0" w:color="auto"/>
        <w:right w:val="none" w:sz="0" w:space="0" w:color="auto"/>
      </w:divBdr>
    </w:div>
    <w:div w:id="596057422">
      <w:bodyDiv w:val="1"/>
      <w:marLeft w:val="0"/>
      <w:marRight w:val="0"/>
      <w:marTop w:val="0"/>
      <w:marBottom w:val="0"/>
      <w:divBdr>
        <w:top w:val="none" w:sz="0" w:space="0" w:color="auto"/>
        <w:left w:val="none" w:sz="0" w:space="0" w:color="auto"/>
        <w:bottom w:val="none" w:sz="0" w:space="0" w:color="auto"/>
        <w:right w:val="none" w:sz="0" w:space="0" w:color="auto"/>
      </w:divBdr>
    </w:div>
    <w:div w:id="596525022">
      <w:bodyDiv w:val="1"/>
      <w:marLeft w:val="0"/>
      <w:marRight w:val="0"/>
      <w:marTop w:val="0"/>
      <w:marBottom w:val="0"/>
      <w:divBdr>
        <w:top w:val="none" w:sz="0" w:space="0" w:color="auto"/>
        <w:left w:val="none" w:sz="0" w:space="0" w:color="auto"/>
        <w:bottom w:val="none" w:sz="0" w:space="0" w:color="auto"/>
        <w:right w:val="none" w:sz="0" w:space="0" w:color="auto"/>
      </w:divBdr>
    </w:div>
    <w:div w:id="596596484">
      <w:bodyDiv w:val="1"/>
      <w:marLeft w:val="0"/>
      <w:marRight w:val="0"/>
      <w:marTop w:val="0"/>
      <w:marBottom w:val="0"/>
      <w:divBdr>
        <w:top w:val="none" w:sz="0" w:space="0" w:color="auto"/>
        <w:left w:val="none" w:sz="0" w:space="0" w:color="auto"/>
        <w:bottom w:val="none" w:sz="0" w:space="0" w:color="auto"/>
        <w:right w:val="none" w:sz="0" w:space="0" w:color="auto"/>
      </w:divBdr>
    </w:div>
    <w:div w:id="596668903">
      <w:bodyDiv w:val="1"/>
      <w:marLeft w:val="0"/>
      <w:marRight w:val="0"/>
      <w:marTop w:val="0"/>
      <w:marBottom w:val="0"/>
      <w:divBdr>
        <w:top w:val="none" w:sz="0" w:space="0" w:color="auto"/>
        <w:left w:val="none" w:sz="0" w:space="0" w:color="auto"/>
        <w:bottom w:val="none" w:sz="0" w:space="0" w:color="auto"/>
        <w:right w:val="none" w:sz="0" w:space="0" w:color="auto"/>
      </w:divBdr>
    </w:div>
    <w:div w:id="596793438">
      <w:bodyDiv w:val="1"/>
      <w:marLeft w:val="0"/>
      <w:marRight w:val="0"/>
      <w:marTop w:val="0"/>
      <w:marBottom w:val="0"/>
      <w:divBdr>
        <w:top w:val="none" w:sz="0" w:space="0" w:color="auto"/>
        <w:left w:val="none" w:sz="0" w:space="0" w:color="auto"/>
        <w:bottom w:val="none" w:sz="0" w:space="0" w:color="auto"/>
        <w:right w:val="none" w:sz="0" w:space="0" w:color="auto"/>
      </w:divBdr>
    </w:div>
    <w:div w:id="596982612">
      <w:bodyDiv w:val="1"/>
      <w:marLeft w:val="0"/>
      <w:marRight w:val="0"/>
      <w:marTop w:val="0"/>
      <w:marBottom w:val="0"/>
      <w:divBdr>
        <w:top w:val="none" w:sz="0" w:space="0" w:color="auto"/>
        <w:left w:val="none" w:sz="0" w:space="0" w:color="auto"/>
        <w:bottom w:val="none" w:sz="0" w:space="0" w:color="auto"/>
        <w:right w:val="none" w:sz="0" w:space="0" w:color="auto"/>
      </w:divBdr>
    </w:div>
    <w:div w:id="596983441">
      <w:bodyDiv w:val="1"/>
      <w:marLeft w:val="0"/>
      <w:marRight w:val="0"/>
      <w:marTop w:val="0"/>
      <w:marBottom w:val="0"/>
      <w:divBdr>
        <w:top w:val="none" w:sz="0" w:space="0" w:color="auto"/>
        <w:left w:val="none" w:sz="0" w:space="0" w:color="auto"/>
        <w:bottom w:val="none" w:sz="0" w:space="0" w:color="auto"/>
        <w:right w:val="none" w:sz="0" w:space="0" w:color="auto"/>
      </w:divBdr>
    </w:div>
    <w:div w:id="597449401">
      <w:bodyDiv w:val="1"/>
      <w:marLeft w:val="0"/>
      <w:marRight w:val="0"/>
      <w:marTop w:val="0"/>
      <w:marBottom w:val="0"/>
      <w:divBdr>
        <w:top w:val="none" w:sz="0" w:space="0" w:color="auto"/>
        <w:left w:val="none" w:sz="0" w:space="0" w:color="auto"/>
        <w:bottom w:val="none" w:sz="0" w:space="0" w:color="auto"/>
        <w:right w:val="none" w:sz="0" w:space="0" w:color="auto"/>
      </w:divBdr>
    </w:div>
    <w:div w:id="597568676">
      <w:bodyDiv w:val="1"/>
      <w:marLeft w:val="0"/>
      <w:marRight w:val="0"/>
      <w:marTop w:val="0"/>
      <w:marBottom w:val="0"/>
      <w:divBdr>
        <w:top w:val="none" w:sz="0" w:space="0" w:color="auto"/>
        <w:left w:val="none" w:sz="0" w:space="0" w:color="auto"/>
        <w:bottom w:val="none" w:sz="0" w:space="0" w:color="auto"/>
        <w:right w:val="none" w:sz="0" w:space="0" w:color="auto"/>
      </w:divBdr>
    </w:div>
    <w:div w:id="597755947">
      <w:bodyDiv w:val="1"/>
      <w:marLeft w:val="0"/>
      <w:marRight w:val="0"/>
      <w:marTop w:val="0"/>
      <w:marBottom w:val="0"/>
      <w:divBdr>
        <w:top w:val="none" w:sz="0" w:space="0" w:color="auto"/>
        <w:left w:val="none" w:sz="0" w:space="0" w:color="auto"/>
        <w:bottom w:val="none" w:sz="0" w:space="0" w:color="auto"/>
        <w:right w:val="none" w:sz="0" w:space="0" w:color="auto"/>
      </w:divBdr>
    </w:div>
    <w:div w:id="598147183">
      <w:bodyDiv w:val="1"/>
      <w:marLeft w:val="0"/>
      <w:marRight w:val="0"/>
      <w:marTop w:val="0"/>
      <w:marBottom w:val="0"/>
      <w:divBdr>
        <w:top w:val="none" w:sz="0" w:space="0" w:color="auto"/>
        <w:left w:val="none" w:sz="0" w:space="0" w:color="auto"/>
        <w:bottom w:val="none" w:sz="0" w:space="0" w:color="auto"/>
        <w:right w:val="none" w:sz="0" w:space="0" w:color="auto"/>
      </w:divBdr>
    </w:div>
    <w:div w:id="598219226">
      <w:bodyDiv w:val="1"/>
      <w:marLeft w:val="0"/>
      <w:marRight w:val="0"/>
      <w:marTop w:val="0"/>
      <w:marBottom w:val="0"/>
      <w:divBdr>
        <w:top w:val="none" w:sz="0" w:space="0" w:color="auto"/>
        <w:left w:val="none" w:sz="0" w:space="0" w:color="auto"/>
        <w:bottom w:val="none" w:sz="0" w:space="0" w:color="auto"/>
        <w:right w:val="none" w:sz="0" w:space="0" w:color="auto"/>
      </w:divBdr>
    </w:div>
    <w:div w:id="598370310">
      <w:bodyDiv w:val="1"/>
      <w:marLeft w:val="0"/>
      <w:marRight w:val="0"/>
      <w:marTop w:val="0"/>
      <w:marBottom w:val="0"/>
      <w:divBdr>
        <w:top w:val="none" w:sz="0" w:space="0" w:color="auto"/>
        <w:left w:val="none" w:sz="0" w:space="0" w:color="auto"/>
        <w:bottom w:val="none" w:sz="0" w:space="0" w:color="auto"/>
        <w:right w:val="none" w:sz="0" w:space="0" w:color="auto"/>
      </w:divBdr>
    </w:div>
    <w:div w:id="598484205">
      <w:bodyDiv w:val="1"/>
      <w:marLeft w:val="0"/>
      <w:marRight w:val="0"/>
      <w:marTop w:val="0"/>
      <w:marBottom w:val="0"/>
      <w:divBdr>
        <w:top w:val="none" w:sz="0" w:space="0" w:color="auto"/>
        <w:left w:val="none" w:sz="0" w:space="0" w:color="auto"/>
        <w:bottom w:val="none" w:sz="0" w:space="0" w:color="auto"/>
        <w:right w:val="none" w:sz="0" w:space="0" w:color="auto"/>
      </w:divBdr>
    </w:div>
    <w:div w:id="598487344">
      <w:bodyDiv w:val="1"/>
      <w:marLeft w:val="0"/>
      <w:marRight w:val="0"/>
      <w:marTop w:val="0"/>
      <w:marBottom w:val="0"/>
      <w:divBdr>
        <w:top w:val="none" w:sz="0" w:space="0" w:color="auto"/>
        <w:left w:val="none" w:sz="0" w:space="0" w:color="auto"/>
        <w:bottom w:val="none" w:sz="0" w:space="0" w:color="auto"/>
        <w:right w:val="none" w:sz="0" w:space="0" w:color="auto"/>
      </w:divBdr>
    </w:div>
    <w:div w:id="598492472">
      <w:bodyDiv w:val="1"/>
      <w:marLeft w:val="0"/>
      <w:marRight w:val="0"/>
      <w:marTop w:val="0"/>
      <w:marBottom w:val="0"/>
      <w:divBdr>
        <w:top w:val="none" w:sz="0" w:space="0" w:color="auto"/>
        <w:left w:val="none" w:sz="0" w:space="0" w:color="auto"/>
        <w:bottom w:val="none" w:sz="0" w:space="0" w:color="auto"/>
        <w:right w:val="none" w:sz="0" w:space="0" w:color="auto"/>
      </w:divBdr>
    </w:div>
    <w:div w:id="598607199">
      <w:bodyDiv w:val="1"/>
      <w:marLeft w:val="0"/>
      <w:marRight w:val="0"/>
      <w:marTop w:val="0"/>
      <w:marBottom w:val="0"/>
      <w:divBdr>
        <w:top w:val="none" w:sz="0" w:space="0" w:color="auto"/>
        <w:left w:val="none" w:sz="0" w:space="0" w:color="auto"/>
        <w:bottom w:val="none" w:sz="0" w:space="0" w:color="auto"/>
        <w:right w:val="none" w:sz="0" w:space="0" w:color="auto"/>
      </w:divBdr>
    </w:div>
    <w:div w:id="598686493">
      <w:bodyDiv w:val="1"/>
      <w:marLeft w:val="0"/>
      <w:marRight w:val="0"/>
      <w:marTop w:val="0"/>
      <w:marBottom w:val="0"/>
      <w:divBdr>
        <w:top w:val="none" w:sz="0" w:space="0" w:color="auto"/>
        <w:left w:val="none" w:sz="0" w:space="0" w:color="auto"/>
        <w:bottom w:val="none" w:sz="0" w:space="0" w:color="auto"/>
        <w:right w:val="none" w:sz="0" w:space="0" w:color="auto"/>
      </w:divBdr>
    </w:div>
    <w:div w:id="598952081">
      <w:bodyDiv w:val="1"/>
      <w:marLeft w:val="0"/>
      <w:marRight w:val="0"/>
      <w:marTop w:val="0"/>
      <w:marBottom w:val="0"/>
      <w:divBdr>
        <w:top w:val="none" w:sz="0" w:space="0" w:color="auto"/>
        <w:left w:val="none" w:sz="0" w:space="0" w:color="auto"/>
        <w:bottom w:val="none" w:sz="0" w:space="0" w:color="auto"/>
        <w:right w:val="none" w:sz="0" w:space="0" w:color="auto"/>
      </w:divBdr>
    </w:div>
    <w:div w:id="599071595">
      <w:bodyDiv w:val="1"/>
      <w:marLeft w:val="0"/>
      <w:marRight w:val="0"/>
      <w:marTop w:val="0"/>
      <w:marBottom w:val="0"/>
      <w:divBdr>
        <w:top w:val="none" w:sz="0" w:space="0" w:color="auto"/>
        <w:left w:val="none" w:sz="0" w:space="0" w:color="auto"/>
        <w:bottom w:val="none" w:sz="0" w:space="0" w:color="auto"/>
        <w:right w:val="none" w:sz="0" w:space="0" w:color="auto"/>
      </w:divBdr>
    </w:div>
    <w:div w:id="599140489">
      <w:bodyDiv w:val="1"/>
      <w:marLeft w:val="0"/>
      <w:marRight w:val="0"/>
      <w:marTop w:val="0"/>
      <w:marBottom w:val="0"/>
      <w:divBdr>
        <w:top w:val="none" w:sz="0" w:space="0" w:color="auto"/>
        <w:left w:val="none" w:sz="0" w:space="0" w:color="auto"/>
        <w:bottom w:val="none" w:sz="0" w:space="0" w:color="auto"/>
        <w:right w:val="none" w:sz="0" w:space="0" w:color="auto"/>
      </w:divBdr>
    </w:div>
    <w:div w:id="599144931">
      <w:bodyDiv w:val="1"/>
      <w:marLeft w:val="0"/>
      <w:marRight w:val="0"/>
      <w:marTop w:val="0"/>
      <w:marBottom w:val="0"/>
      <w:divBdr>
        <w:top w:val="none" w:sz="0" w:space="0" w:color="auto"/>
        <w:left w:val="none" w:sz="0" w:space="0" w:color="auto"/>
        <w:bottom w:val="none" w:sz="0" w:space="0" w:color="auto"/>
        <w:right w:val="none" w:sz="0" w:space="0" w:color="auto"/>
      </w:divBdr>
    </w:div>
    <w:div w:id="599335815">
      <w:bodyDiv w:val="1"/>
      <w:marLeft w:val="0"/>
      <w:marRight w:val="0"/>
      <w:marTop w:val="0"/>
      <w:marBottom w:val="0"/>
      <w:divBdr>
        <w:top w:val="none" w:sz="0" w:space="0" w:color="auto"/>
        <w:left w:val="none" w:sz="0" w:space="0" w:color="auto"/>
        <w:bottom w:val="none" w:sz="0" w:space="0" w:color="auto"/>
        <w:right w:val="none" w:sz="0" w:space="0" w:color="auto"/>
      </w:divBdr>
    </w:div>
    <w:div w:id="599799062">
      <w:bodyDiv w:val="1"/>
      <w:marLeft w:val="0"/>
      <w:marRight w:val="0"/>
      <w:marTop w:val="0"/>
      <w:marBottom w:val="0"/>
      <w:divBdr>
        <w:top w:val="none" w:sz="0" w:space="0" w:color="auto"/>
        <w:left w:val="none" w:sz="0" w:space="0" w:color="auto"/>
        <w:bottom w:val="none" w:sz="0" w:space="0" w:color="auto"/>
        <w:right w:val="none" w:sz="0" w:space="0" w:color="auto"/>
      </w:divBdr>
    </w:div>
    <w:div w:id="600064800">
      <w:bodyDiv w:val="1"/>
      <w:marLeft w:val="0"/>
      <w:marRight w:val="0"/>
      <w:marTop w:val="0"/>
      <w:marBottom w:val="0"/>
      <w:divBdr>
        <w:top w:val="none" w:sz="0" w:space="0" w:color="auto"/>
        <w:left w:val="none" w:sz="0" w:space="0" w:color="auto"/>
        <w:bottom w:val="none" w:sz="0" w:space="0" w:color="auto"/>
        <w:right w:val="none" w:sz="0" w:space="0" w:color="auto"/>
      </w:divBdr>
    </w:div>
    <w:div w:id="600182352">
      <w:bodyDiv w:val="1"/>
      <w:marLeft w:val="0"/>
      <w:marRight w:val="0"/>
      <w:marTop w:val="0"/>
      <w:marBottom w:val="0"/>
      <w:divBdr>
        <w:top w:val="none" w:sz="0" w:space="0" w:color="auto"/>
        <w:left w:val="none" w:sz="0" w:space="0" w:color="auto"/>
        <w:bottom w:val="none" w:sz="0" w:space="0" w:color="auto"/>
        <w:right w:val="none" w:sz="0" w:space="0" w:color="auto"/>
      </w:divBdr>
    </w:div>
    <w:div w:id="600189060">
      <w:bodyDiv w:val="1"/>
      <w:marLeft w:val="0"/>
      <w:marRight w:val="0"/>
      <w:marTop w:val="0"/>
      <w:marBottom w:val="0"/>
      <w:divBdr>
        <w:top w:val="none" w:sz="0" w:space="0" w:color="auto"/>
        <w:left w:val="none" w:sz="0" w:space="0" w:color="auto"/>
        <w:bottom w:val="none" w:sz="0" w:space="0" w:color="auto"/>
        <w:right w:val="none" w:sz="0" w:space="0" w:color="auto"/>
      </w:divBdr>
    </w:div>
    <w:div w:id="600337713">
      <w:bodyDiv w:val="1"/>
      <w:marLeft w:val="0"/>
      <w:marRight w:val="0"/>
      <w:marTop w:val="0"/>
      <w:marBottom w:val="0"/>
      <w:divBdr>
        <w:top w:val="none" w:sz="0" w:space="0" w:color="auto"/>
        <w:left w:val="none" w:sz="0" w:space="0" w:color="auto"/>
        <w:bottom w:val="none" w:sz="0" w:space="0" w:color="auto"/>
        <w:right w:val="none" w:sz="0" w:space="0" w:color="auto"/>
      </w:divBdr>
    </w:div>
    <w:div w:id="600455823">
      <w:bodyDiv w:val="1"/>
      <w:marLeft w:val="0"/>
      <w:marRight w:val="0"/>
      <w:marTop w:val="0"/>
      <w:marBottom w:val="0"/>
      <w:divBdr>
        <w:top w:val="none" w:sz="0" w:space="0" w:color="auto"/>
        <w:left w:val="none" w:sz="0" w:space="0" w:color="auto"/>
        <w:bottom w:val="none" w:sz="0" w:space="0" w:color="auto"/>
        <w:right w:val="none" w:sz="0" w:space="0" w:color="auto"/>
      </w:divBdr>
    </w:div>
    <w:div w:id="600456899">
      <w:bodyDiv w:val="1"/>
      <w:marLeft w:val="0"/>
      <w:marRight w:val="0"/>
      <w:marTop w:val="0"/>
      <w:marBottom w:val="0"/>
      <w:divBdr>
        <w:top w:val="none" w:sz="0" w:space="0" w:color="auto"/>
        <w:left w:val="none" w:sz="0" w:space="0" w:color="auto"/>
        <w:bottom w:val="none" w:sz="0" w:space="0" w:color="auto"/>
        <w:right w:val="none" w:sz="0" w:space="0" w:color="auto"/>
      </w:divBdr>
    </w:div>
    <w:div w:id="600602948">
      <w:bodyDiv w:val="1"/>
      <w:marLeft w:val="0"/>
      <w:marRight w:val="0"/>
      <w:marTop w:val="0"/>
      <w:marBottom w:val="0"/>
      <w:divBdr>
        <w:top w:val="none" w:sz="0" w:space="0" w:color="auto"/>
        <w:left w:val="none" w:sz="0" w:space="0" w:color="auto"/>
        <w:bottom w:val="none" w:sz="0" w:space="0" w:color="auto"/>
        <w:right w:val="none" w:sz="0" w:space="0" w:color="auto"/>
      </w:divBdr>
    </w:div>
    <w:div w:id="600723604">
      <w:bodyDiv w:val="1"/>
      <w:marLeft w:val="0"/>
      <w:marRight w:val="0"/>
      <w:marTop w:val="0"/>
      <w:marBottom w:val="0"/>
      <w:divBdr>
        <w:top w:val="none" w:sz="0" w:space="0" w:color="auto"/>
        <w:left w:val="none" w:sz="0" w:space="0" w:color="auto"/>
        <w:bottom w:val="none" w:sz="0" w:space="0" w:color="auto"/>
        <w:right w:val="none" w:sz="0" w:space="0" w:color="auto"/>
      </w:divBdr>
    </w:div>
    <w:div w:id="601299525">
      <w:bodyDiv w:val="1"/>
      <w:marLeft w:val="0"/>
      <w:marRight w:val="0"/>
      <w:marTop w:val="0"/>
      <w:marBottom w:val="0"/>
      <w:divBdr>
        <w:top w:val="none" w:sz="0" w:space="0" w:color="auto"/>
        <w:left w:val="none" w:sz="0" w:space="0" w:color="auto"/>
        <w:bottom w:val="none" w:sz="0" w:space="0" w:color="auto"/>
        <w:right w:val="none" w:sz="0" w:space="0" w:color="auto"/>
      </w:divBdr>
    </w:div>
    <w:div w:id="601450644">
      <w:bodyDiv w:val="1"/>
      <w:marLeft w:val="0"/>
      <w:marRight w:val="0"/>
      <w:marTop w:val="0"/>
      <w:marBottom w:val="0"/>
      <w:divBdr>
        <w:top w:val="none" w:sz="0" w:space="0" w:color="auto"/>
        <w:left w:val="none" w:sz="0" w:space="0" w:color="auto"/>
        <w:bottom w:val="none" w:sz="0" w:space="0" w:color="auto"/>
        <w:right w:val="none" w:sz="0" w:space="0" w:color="auto"/>
      </w:divBdr>
    </w:div>
    <w:div w:id="601453069">
      <w:bodyDiv w:val="1"/>
      <w:marLeft w:val="0"/>
      <w:marRight w:val="0"/>
      <w:marTop w:val="0"/>
      <w:marBottom w:val="0"/>
      <w:divBdr>
        <w:top w:val="none" w:sz="0" w:space="0" w:color="auto"/>
        <w:left w:val="none" w:sz="0" w:space="0" w:color="auto"/>
        <w:bottom w:val="none" w:sz="0" w:space="0" w:color="auto"/>
        <w:right w:val="none" w:sz="0" w:space="0" w:color="auto"/>
      </w:divBdr>
    </w:div>
    <w:div w:id="601454409">
      <w:bodyDiv w:val="1"/>
      <w:marLeft w:val="0"/>
      <w:marRight w:val="0"/>
      <w:marTop w:val="0"/>
      <w:marBottom w:val="0"/>
      <w:divBdr>
        <w:top w:val="none" w:sz="0" w:space="0" w:color="auto"/>
        <w:left w:val="none" w:sz="0" w:space="0" w:color="auto"/>
        <w:bottom w:val="none" w:sz="0" w:space="0" w:color="auto"/>
        <w:right w:val="none" w:sz="0" w:space="0" w:color="auto"/>
      </w:divBdr>
    </w:div>
    <w:div w:id="601687822">
      <w:bodyDiv w:val="1"/>
      <w:marLeft w:val="0"/>
      <w:marRight w:val="0"/>
      <w:marTop w:val="0"/>
      <w:marBottom w:val="0"/>
      <w:divBdr>
        <w:top w:val="none" w:sz="0" w:space="0" w:color="auto"/>
        <w:left w:val="none" w:sz="0" w:space="0" w:color="auto"/>
        <w:bottom w:val="none" w:sz="0" w:space="0" w:color="auto"/>
        <w:right w:val="none" w:sz="0" w:space="0" w:color="auto"/>
      </w:divBdr>
    </w:div>
    <w:div w:id="601764138">
      <w:bodyDiv w:val="1"/>
      <w:marLeft w:val="0"/>
      <w:marRight w:val="0"/>
      <w:marTop w:val="0"/>
      <w:marBottom w:val="0"/>
      <w:divBdr>
        <w:top w:val="none" w:sz="0" w:space="0" w:color="auto"/>
        <w:left w:val="none" w:sz="0" w:space="0" w:color="auto"/>
        <w:bottom w:val="none" w:sz="0" w:space="0" w:color="auto"/>
        <w:right w:val="none" w:sz="0" w:space="0" w:color="auto"/>
      </w:divBdr>
    </w:div>
    <w:div w:id="602610913">
      <w:bodyDiv w:val="1"/>
      <w:marLeft w:val="0"/>
      <w:marRight w:val="0"/>
      <w:marTop w:val="0"/>
      <w:marBottom w:val="0"/>
      <w:divBdr>
        <w:top w:val="none" w:sz="0" w:space="0" w:color="auto"/>
        <w:left w:val="none" w:sz="0" w:space="0" w:color="auto"/>
        <w:bottom w:val="none" w:sz="0" w:space="0" w:color="auto"/>
        <w:right w:val="none" w:sz="0" w:space="0" w:color="auto"/>
      </w:divBdr>
    </w:div>
    <w:div w:id="602611441">
      <w:bodyDiv w:val="1"/>
      <w:marLeft w:val="0"/>
      <w:marRight w:val="0"/>
      <w:marTop w:val="0"/>
      <w:marBottom w:val="0"/>
      <w:divBdr>
        <w:top w:val="none" w:sz="0" w:space="0" w:color="auto"/>
        <w:left w:val="none" w:sz="0" w:space="0" w:color="auto"/>
        <w:bottom w:val="none" w:sz="0" w:space="0" w:color="auto"/>
        <w:right w:val="none" w:sz="0" w:space="0" w:color="auto"/>
      </w:divBdr>
    </w:div>
    <w:div w:id="602687655">
      <w:bodyDiv w:val="1"/>
      <w:marLeft w:val="0"/>
      <w:marRight w:val="0"/>
      <w:marTop w:val="0"/>
      <w:marBottom w:val="0"/>
      <w:divBdr>
        <w:top w:val="none" w:sz="0" w:space="0" w:color="auto"/>
        <w:left w:val="none" w:sz="0" w:space="0" w:color="auto"/>
        <w:bottom w:val="none" w:sz="0" w:space="0" w:color="auto"/>
        <w:right w:val="none" w:sz="0" w:space="0" w:color="auto"/>
      </w:divBdr>
    </w:div>
    <w:div w:id="602734954">
      <w:bodyDiv w:val="1"/>
      <w:marLeft w:val="0"/>
      <w:marRight w:val="0"/>
      <w:marTop w:val="0"/>
      <w:marBottom w:val="0"/>
      <w:divBdr>
        <w:top w:val="none" w:sz="0" w:space="0" w:color="auto"/>
        <w:left w:val="none" w:sz="0" w:space="0" w:color="auto"/>
        <w:bottom w:val="none" w:sz="0" w:space="0" w:color="auto"/>
        <w:right w:val="none" w:sz="0" w:space="0" w:color="auto"/>
      </w:divBdr>
    </w:div>
    <w:div w:id="603077598">
      <w:bodyDiv w:val="1"/>
      <w:marLeft w:val="0"/>
      <w:marRight w:val="0"/>
      <w:marTop w:val="0"/>
      <w:marBottom w:val="0"/>
      <w:divBdr>
        <w:top w:val="none" w:sz="0" w:space="0" w:color="auto"/>
        <w:left w:val="none" w:sz="0" w:space="0" w:color="auto"/>
        <w:bottom w:val="none" w:sz="0" w:space="0" w:color="auto"/>
        <w:right w:val="none" w:sz="0" w:space="0" w:color="auto"/>
      </w:divBdr>
    </w:div>
    <w:div w:id="603195796">
      <w:bodyDiv w:val="1"/>
      <w:marLeft w:val="0"/>
      <w:marRight w:val="0"/>
      <w:marTop w:val="0"/>
      <w:marBottom w:val="0"/>
      <w:divBdr>
        <w:top w:val="none" w:sz="0" w:space="0" w:color="auto"/>
        <w:left w:val="none" w:sz="0" w:space="0" w:color="auto"/>
        <w:bottom w:val="none" w:sz="0" w:space="0" w:color="auto"/>
        <w:right w:val="none" w:sz="0" w:space="0" w:color="auto"/>
      </w:divBdr>
    </w:div>
    <w:div w:id="603198048">
      <w:bodyDiv w:val="1"/>
      <w:marLeft w:val="0"/>
      <w:marRight w:val="0"/>
      <w:marTop w:val="0"/>
      <w:marBottom w:val="0"/>
      <w:divBdr>
        <w:top w:val="none" w:sz="0" w:space="0" w:color="auto"/>
        <w:left w:val="none" w:sz="0" w:space="0" w:color="auto"/>
        <w:bottom w:val="none" w:sz="0" w:space="0" w:color="auto"/>
        <w:right w:val="none" w:sz="0" w:space="0" w:color="auto"/>
      </w:divBdr>
    </w:div>
    <w:div w:id="603533907">
      <w:bodyDiv w:val="1"/>
      <w:marLeft w:val="0"/>
      <w:marRight w:val="0"/>
      <w:marTop w:val="0"/>
      <w:marBottom w:val="0"/>
      <w:divBdr>
        <w:top w:val="none" w:sz="0" w:space="0" w:color="auto"/>
        <w:left w:val="none" w:sz="0" w:space="0" w:color="auto"/>
        <w:bottom w:val="none" w:sz="0" w:space="0" w:color="auto"/>
        <w:right w:val="none" w:sz="0" w:space="0" w:color="auto"/>
      </w:divBdr>
    </w:div>
    <w:div w:id="603660207">
      <w:bodyDiv w:val="1"/>
      <w:marLeft w:val="0"/>
      <w:marRight w:val="0"/>
      <w:marTop w:val="0"/>
      <w:marBottom w:val="0"/>
      <w:divBdr>
        <w:top w:val="none" w:sz="0" w:space="0" w:color="auto"/>
        <w:left w:val="none" w:sz="0" w:space="0" w:color="auto"/>
        <w:bottom w:val="none" w:sz="0" w:space="0" w:color="auto"/>
        <w:right w:val="none" w:sz="0" w:space="0" w:color="auto"/>
      </w:divBdr>
    </w:div>
    <w:div w:id="603996072">
      <w:bodyDiv w:val="1"/>
      <w:marLeft w:val="0"/>
      <w:marRight w:val="0"/>
      <w:marTop w:val="0"/>
      <w:marBottom w:val="0"/>
      <w:divBdr>
        <w:top w:val="none" w:sz="0" w:space="0" w:color="auto"/>
        <w:left w:val="none" w:sz="0" w:space="0" w:color="auto"/>
        <w:bottom w:val="none" w:sz="0" w:space="0" w:color="auto"/>
        <w:right w:val="none" w:sz="0" w:space="0" w:color="auto"/>
      </w:divBdr>
    </w:div>
    <w:div w:id="604071758">
      <w:bodyDiv w:val="1"/>
      <w:marLeft w:val="0"/>
      <w:marRight w:val="0"/>
      <w:marTop w:val="0"/>
      <w:marBottom w:val="0"/>
      <w:divBdr>
        <w:top w:val="none" w:sz="0" w:space="0" w:color="auto"/>
        <w:left w:val="none" w:sz="0" w:space="0" w:color="auto"/>
        <w:bottom w:val="none" w:sz="0" w:space="0" w:color="auto"/>
        <w:right w:val="none" w:sz="0" w:space="0" w:color="auto"/>
      </w:divBdr>
    </w:div>
    <w:div w:id="604118543">
      <w:bodyDiv w:val="1"/>
      <w:marLeft w:val="0"/>
      <w:marRight w:val="0"/>
      <w:marTop w:val="0"/>
      <w:marBottom w:val="0"/>
      <w:divBdr>
        <w:top w:val="none" w:sz="0" w:space="0" w:color="auto"/>
        <w:left w:val="none" w:sz="0" w:space="0" w:color="auto"/>
        <w:bottom w:val="none" w:sz="0" w:space="0" w:color="auto"/>
        <w:right w:val="none" w:sz="0" w:space="0" w:color="auto"/>
      </w:divBdr>
    </w:div>
    <w:div w:id="604269738">
      <w:bodyDiv w:val="1"/>
      <w:marLeft w:val="0"/>
      <w:marRight w:val="0"/>
      <w:marTop w:val="0"/>
      <w:marBottom w:val="0"/>
      <w:divBdr>
        <w:top w:val="none" w:sz="0" w:space="0" w:color="auto"/>
        <w:left w:val="none" w:sz="0" w:space="0" w:color="auto"/>
        <w:bottom w:val="none" w:sz="0" w:space="0" w:color="auto"/>
        <w:right w:val="none" w:sz="0" w:space="0" w:color="auto"/>
      </w:divBdr>
    </w:div>
    <w:div w:id="604460994">
      <w:bodyDiv w:val="1"/>
      <w:marLeft w:val="0"/>
      <w:marRight w:val="0"/>
      <w:marTop w:val="0"/>
      <w:marBottom w:val="0"/>
      <w:divBdr>
        <w:top w:val="none" w:sz="0" w:space="0" w:color="auto"/>
        <w:left w:val="none" w:sz="0" w:space="0" w:color="auto"/>
        <w:bottom w:val="none" w:sz="0" w:space="0" w:color="auto"/>
        <w:right w:val="none" w:sz="0" w:space="0" w:color="auto"/>
      </w:divBdr>
    </w:div>
    <w:div w:id="604463833">
      <w:bodyDiv w:val="1"/>
      <w:marLeft w:val="0"/>
      <w:marRight w:val="0"/>
      <w:marTop w:val="0"/>
      <w:marBottom w:val="0"/>
      <w:divBdr>
        <w:top w:val="none" w:sz="0" w:space="0" w:color="auto"/>
        <w:left w:val="none" w:sz="0" w:space="0" w:color="auto"/>
        <w:bottom w:val="none" w:sz="0" w:space="0" w:color="auto"/>
        <w:right w:val="none" w:sz="0" w:space="0" w:color="auto"/>
      </w:divBdr>
    </w:div>
    <w:div w:id="604507159">
      <w:bodyDiv w:val="1"/>
      <w:marLeft w:val="0"/>
      <w:marRight w:val="0"/>
      <w:marTop w:val="0"/>
      <w:marBottom w:val="0"/>
      <w:divBdr>
        <w:top w:val="none" w:sz="0" w:space="0" w:color="auto"/>
        <w:left w:val="none" w:sz="0" w:space="0" w:color="auto"/>
        <w:bottom w:val="none" w:sz="0" w:space="0" w:color="auto"/>
        <w:right w:val="none" w:sz="0" w:space="0" w:color="auto"/>
      </w:divBdr>
    </w:div>
    <w:div w:id="604533945">
      <w:bodyDiv w:val="1"/>
      <w:marLeft w:val="0"/>
      <w:marRight w:val="0"/>
      <w:marTop w:val="0"/>
      <w:marBottom w:val="0"/>
      <w:divBdr>
        <w:top w:val="none" w:sz="0" w:space="0" w:color="auto"/>
        <w:left w:val="none" w:sz="0" w:space="0" w:color="auto"/>
        <w:bottom w:val="none" w:sz="0" w:space="0" w:color="auto"/>
        <w:right w:val="none" w:sz="0" w:space="0" w:color="auto"/>
      </w:divBdr>
    </w:div>
    <w:div w:id="604579891">
      <w:bodyDiv w:val="1"/>
      <w:marLeft w:val="0"/>
      <w:marRight w:val="0"/>
      <w:marTop w:val="0"/>
      <w:marBottom w:val="0"/>
      <w:divBdr>
        <w:top w:val="none" w:sz="0" w:space="0" w:color="auto"/>
        <w:left w:val="none" w:sz="0" w:space="0" w:color="auto"/>
        <w:bottom w:val="none" w:sz="0" w:space="0" w:color="auto"/>
        <w:right w:val="none" w:sz="0" w:space="0" w:color="auto"/>
      </w:divBdr>
    </w:div>
    <w:div w:id="604652999">
      <w:bodyDiv w:val="1"/>
      <w:marLeft w:val="0"/>
      <w:marRight w:val="0"/>
      <w:marTop w:val="0"/>
      <w:marBottom w:val="0"/>
      <w:divBdr>
        <w:top w:val="none" w:sz="0" w:space="0" w:color="auto"/>
        <w:left w:val="none" w:sz="0" w:space="0" w:color="auto"/>
        <w:bottom w:val="none" w:sz="0" w:space="0" w:color="auto"/>
        <w:right w:val="none" w:sz="0" w:space="0" w:color="auto"/>
      </w:divBdr>
    </w:div>
    <w:div w:id="604923561">
      <w:bodyDiv w:val="1"/>
      <w:marLeft w:val="0"/>
      <w:marRight w:val="0"/>
      <w:marTop w:val="0"/>
      <w:marBottom w:val="0"/>
      <w:divBdr>
        <w:top w:val="none" w:sz="0" w:space="0" w:color="auto"/>
        <w:left w:val="none" w:sz="0" w:space="0" w:color="auto"/>
        <w:bottom w:val="none" w:sz="0" w:space="0" w:color="auto"/>
        <w:right w:val="none" w:sz="0" w:space="0" w:color="auto"/>
      </w:divBdr>
    </w:div>
    <w:div w:id="605161987">
      <w:bodyDiv w:val="1"/>
      <w:marLeft w:val="0"/>
      <w:marRight w:val="0"/>
      <w:marTop w:val="0"/>
      <w:marBottom w:val="0"/>
      <w:divBdr>
        <w:top w:val="none" w:sz="0" w:space="0" w:color="auto"/>
        <w:left w:val="none" w:sz="0" w:space="0" w:color="auto"/>
        <w:bottom w:val="none" w:sz="0" w:space="0" w:color="auto"/>
        <w:right w:val="none" w:sz="0" w:space="0" w:color="auto"/>
      </w:divBdr>
    </w:div>
    <w:div w:id="605189525">
      <w:bodyDiv w:val="1"/>
      <w:marLeft w:val="0"/>
      <w:marRight w:val="0"/>
      <w:marTop w:val="0"/>
      <w:marBottom w:val="0"/>
      <w:divBdr>
        <w:top w:val="none" w:sz="0" w:space="0" w:color="auto"/>
        <w:left w:val="none" w:sz="0" w:space="0" w:color="auto"/>
        <w:bottom w:val="none" w:sz="0" w:space="0" w:color="auto"/>
        <w:right w:val="none" w:sz="0" w:space="0" w:color="auto"/>
      </w:divBdr>
    </w:div>
    <w:div w:id="605235520">
      <w:bodyDiv w:val="1"/>
      <w:marLeft w:val="0"/>
      <w:marRight w:val="0"/>
      <w:marTop w:val="0"/>
      <w:marBottom w:val="0"/>
      <w:divBdr>
        <w:top w:val="none" w:sz="0" w:space="0" w:color="auto"/>
        <w:left w:val="none" w:sz="0" w:space="0" w:color="auto"/>
        <w:bottom w:val="none" w:sz="0" w:space="0" w:color="auto"/>
        <w:right w:val="none" w:sz="0" w:space="0" w:color="auto"/>
      </w:divBdr>
    </w:div>
    <w:div w:id="606037183">
      <w:bodyDiv w:val="1"/>
      <w:marLeft w:val="0"/>
      <w:marRight w:val="0"/>
      <w:marTop w:val="0"/>
      <w:marBottom w:val="0"/>
      <w:divBdr>
        <w:top w:val="none" w:sz="0" w:space="0" w:color="auto"/>
        <w:left w:val="none" w:sz="0" w:space="0" w:color="auto"/>
        <w:bottom w:val="none" w:sz="0" w:space="0" w:color="auto"/>
        <w:right w:val="none" w:sz="0" w:space="0" w:color="auto"/>
      </w:divBdr>
    </w:div>
    <w:div w:id="606306121">
      <w:bodyDiv w:val="1"/>
      <w:marLeft w:val="0"/>
      <w:marRight w:val="0"/>
      <w:marTop w:val="0"/>
      <w:marBottom w:val="0"/>
      <w:divBdr>
        <w:top w:val="none" w:sz="0" w:space="0" w:color="auto"/>
        <w:left w:val="none" w:sz="0" w:space="0" w:color="auto"/>
        <w:bottom w:val="none" w:sz="0" w:space="0" w:color="auto"/>
        <w:right w:val="none" w:sz="0" w:space="0" w:color="auto"/>
      </w:divBdr>
    </w:div>
    <w:div w:id="606691465">
      <w:bodyDiv w:val="1"/>
      <w:marLeft w:val="0"/>
      <w:marRight w:val="0"/>
      <w:marTop w:val="0"/>
      <w:marBottom w:val="0"/>
      <w:divBdr>
        <w:top w:val="none" w:sz="0" w:space="0" w:color="auto"/>
        <w:left w:val="none" w:sz="0" w:space="0" w:color="auto"/>
        <w:bottom w:val="none" w:sz="0" w:space="0" w:color="auto"/>
        <w:right w:val="none" w:sz="0" w:space="0" w:color="auto"/>
      </w:divBdr>
    </w:div>
    <w:div w:id="606695702">
      <w:bodyDiv w:val="1"/>
      <w:marLeft w:val="0"/>
      <w:marRight w:val="0"/>
      <w:marTop w:val="0"/>
      <w:marBottom w:val="0"/>
      <w:divBdr>
        <w:top w:val="none" w:sz="0" w:space="0" w:color="auto"/>
        <w:left w:val="none" w:sz="0" w:space="0" w:color="auto"/>
        <w:bottom w:val="none" w:sz="0" w:space="0" w:color="auto"/>
        <w:right w:val="none" w:sz="0" w:space="0" w:color="auto"/>
      </w:divBdr>
    </w:div>
    <w:div w:id="606931119">
      <w:bodyDiv w:val="1"/>
      <w:marLeft w:val="0"/>
      <w:marRight w:val="0"/>
      <w:marTop w:val="0"/>
      <w:marBottom w:val="0"/>
      <w:divBdr>
        <w:top w:val="none" w:sz="0" w:space="0" w:color="auto"/>
        <w:left w:val="none" w:sz="0" w:space="0" w:color="auto"/>
        <w:bottom w:val="none" w:sz="0" w:space="0" w:color="auto"/>
        <w:right w:val="none" w:sz="0" w:space="0" w:color="auto"/>
      </w:divBdr>
    </w:div>
    <w:div w:id="607323266">
      <w:bodyDiv w:val="1"/>
      <w:marLeft w:val="0"/>
      <w:marRight w:val="0"/>
      <w:marTop w:val="0"/>
      <w:marBottom w:val="0"/>
      <w:divBdr>
        <w:top w:val="none" w:sz="0" w:space="0" w:color="auto"/>
        <w:left w:val="none" w:sz="0" w:space="0" w:color="auto"/>
        <w:bottom w:val="none" w:sz="0" w:space="0" w:color="auto"/>
        <w:right w:val="none" w:sz="0" w:space="0" w:color="auto"/>
      </w:divBdr>
    </w:div>
    <w:div w:id="607346668">
      <w:bodyDiv w:val="1"/>
      <w:marLeft w:val="0"/>
      <w:marRight w:val="0"/>
      <w:marTop w:val="0"/>
      <w:marBottom w:val="0"/>
      <w:divBdr>
        <w:top w:val="none" w:sz="0" w:space="0" w:color="auto"/>
        <w:left w:val="none" w:sz="0" w:space="0" w:color="auto"/>
        <w:bottom w:val="none" w:sz="0" w:space="0" w:color="auto"/>
        <w:right w:val="none" w:sz="0" w:space="0" w:color="auto"/>
      </w:divBdr>
    </w:div>
    <w:div w:id="607934071">
      <w:bodyDiv w:val="1"/>
      <w:marLeft w:val="0"/>
      <w:marRight w:val="0"/>
      <w:marTop w:val="0"/>
      <w:marBottom w:val="0"/>
      <w:divBdr>
        <w:top w:val="none" w:sz="0" w:space="0" w:color="auto"/>
        <w:left w:val="none" w:sz="0" w:space="0" w:color="auto"/>
        <w:bottom w:val="none" w:sz="0" w:space="0" w:color="auto"/>
        <w:right w:val="none" w:sz="0" w:space="0" w:color="auto"/>
      </w:divBdr>
    </w:div>
    <w:div w:id="608244192">
      <w:bodyDiv w:val="1"/>
      <w:marLeft w:val="0"/>
      <w:marRight w:val="0"/>
      <w:marTop w:val="0"/>
      <w:marBottom w:val="0"/>
      <w:divBdr>
        <w:top w:val="none" w:sz="0" w:space="0" w:color="auto"/>
        <w:left w:val="none" w:sz="0" w:space="0" w:color="auto"/>
        <w:bottom w:val="none" w:sz="0" w:space="0" w:color="auto"/>
        <w:right w:val="none" w:sz="0" w:space="0" w:color="auto"/>
      </w:divBdr>
    </w:div>
    <w:div w:id="608313255">
      <w:bodyDiv w:val="1"/>
      <w:marLeft w:val="0"/>
      <w:marRight w:val="0"/>
      <w:marTop w:val="0"/>
      <w:marBottom w:val="0"/>
      <w:divBdr>
        <w:top w:val="none" w:sz="0" w:space="0" w:color="auto"/>
        <w:left w:val="none" w:sz="0" w:space="0" w:color="auto"/>
        <w:bottom w:val="none" w:sz="0" w:space="0" w:color="auto"/>
        <w:right w:val="none" w:sz="0" w:space="0" w:color="auto"/>
      </w:divBdr>
    </w:div>
    <w:div w:id="608705604">
      <w:bodyDiv w:val="1"/>
      <w:marLeft w:val="0"/>
      <w:marRight w:val="0"/>
      <w:marTop w:val="0"/>
      <w:marBottom w:val="0"/>
      <w:divBdr>
        <w:top w:val="none" w:sz="0" w:space="0" w:color="auto"/>
        <w:left w:val="none" w:sz="0" w:space="0" w:color="auto"/>
        <w:bottom w:val="none" w:sz="0" w:space="0" w:color="auto"/>
        <w:right w:val="none" w:sz="0" w:space="0" w:color="auto"/>
      </w:divBdr>
    </w:div>
    <w:div w:id="608705995">
      <w:bodyDiv w:val="1"/>
      <w:marLeft w:val="0"/>
      <w:marRight w:val="0"/>
      <w:marTop w:val="0"/>
      <w:marBottom w:val="0"/>
      <w:divBdr>
        <w:top w:val="none" w:sz="0" w:space="0" w:color="auto"/>
        <w:left w:val="none" w:sz="0" w:space="0" w:color="auto"/>
        <w:bottom w:val="none" w:sz="0" w:space="0" w:color="auto"/>
        <w:right w:val="none" w:sz="0" w:space="0" w:color="auto"/>
      </w:divBdr>
    </w:div>
    <w:div w:id="609047935">
      <w:bodyDiv w:val="1"/>
      <w:marLeft w:val="0"/>
      <w:marRight w:val="0"/>
      <w:marTop w:val="0"/>
      <w:marBottom w:val="0"/>
      <w:divBdr>
        <w:top w:val="none" w:sz="0" w:space="0" w:color="auto"/>
        <w:left w:val="none" w:sz="0" w:space="0" w:color="auto"/>
        <w:bottom w:val="none" w:sz="0" w:space="0" w:color="auto"/>
        <w:right w:val="none" w:sz="0" w:space="0" w:color="auto"/>
      </w:divBdr>
    </w:div>
    <w:div w:id="609162530">
      <w:bodyDiv w:val="1"/>
      <w:marLeft w:val="0"/>
      <w:marRight w:val="0"/>
      <w:marTop w:val="0"/>
      <w:marBottom w:val="0"/>
      <w:divBdr>
        <w:top w:val="none" w:sz="0" w:space="0" w:color="auto"/>
        <w:left w:val="none" w:sz="0" w:space="0" w:color="auto"/>
        <w:bottom w:val="none" w:sz="0" w:space="0" w:color="auto"/>
        <w:right w:val="none" w:sz="0" w:space="0" w:color="auto"/>
      </w:divBdr>
    </w:div>
    <w:div w:id="609439476">
      <w:bodyDiv w:val="1"/>
      <w:marLeft w:val="0"/>
      <w:marRight w:val="0"/>
      <w:marTop w:val="0"/>
      <w:marBottom w:val="0"/>
      <w:divBdr>
        <w:top w:val="none" w:sz="0" w:space="0" w:color="auto"/>
        <w:left w:val="none" w:sz="0" w:space="0" w:color="auto"/>
        <w:bottom w:val="none" w:sz="0" w:space="0" w:color="auto"/>
        <w:right w:val="none" w:sz="0" w:space="0" w:color="auto"/>
      </w:divBdr>
    </w:div>
    <w:div w:id="609512299">
      <w:bodyDiv w:val="1"/>
      <w:marLeft w:val="0"/>
      <w:marRight w:val="0"/>
      <w:marTop w:val="0"/>
      <w:marBottom w:val="0"/>
      <w:divBdr>
        <w:top w:val="none" w:sz="0" w:space="0" w:color="auto"/>
        <w:left w:val="none" w:sz="0" w:space="0" w:color="auto"/>
        <w:bottom w:val="none" w:sz="0" w:space="0" w:color="auto"/>
        <w:right w:val="none" w:sz="0" w:space="0" w:color="auto"/>
      </w:divBdr>
    </w:div>
    <w:div w:id="610283003">
      <w:bodyDiv w:val="1"/>
      <w:marLeft w:val="0"/>
      <w:marRight w:val="0"/>
      <w:marTop w:val="0"/>
      <w:marBottom w:val="0"/>
      <w:divBdr>
        <w:top w:val="none" w:sz="0" w:space="0" w:color="auto"/>
        <w:left w:val="none" w:sz="0" w:space="0" w:color="auto"/>
        <w:bottom w:val="none" w:sz="0" w:space="0" w:color="auto"/>
        <w:right w:val="none" w:sz="0" w:space="0" w:color="auto"/>
      </w:divBdr>
    </w:div>
    <w:div w:id="610622970">
      <w:bodyDiv w:val="1"/>
      <w:marLeft w:val="0"/>
      <w:marRight w:val="0"/>
      <w:marTop w:val="0"/>
      <w:marBottom w:val="0"/>
      <w:divBdr>
        <w:top w:val="none" w:sz="0" w:space="0" w:color="auto"/>
        <w:left w:val="none" w:sz="0" w:space="0" w:color="auto"/>
        <w:bottom w:val="none" w:sz="0" w:space="0" w:color="auto"/>
        <w:right w:val="none" w:sz="0" w:space="0" w:color="auto"/>
      </w:divBdr>
    </w:div>
    <w:div w:id="611211779">
      <w:bodyDiv w:val="1"/>
      <w:marLeft w:val="0"/>
      <w:marRight w:val="0"/>
      <w:marTop w:val="0"/>
      <w:marBottom w:val="0"/>
      <w:divBdr>
        <w:top w:val="none" w:sz="0" w:space="0" w:color="auto"/>
        <w:left w:val="none" w:sz="0" w:space="0" w:color="auto"/>
        <w:bottom w:val="none" w:sz="0" w:space="0" w:color="auto"/>
        <w:right w:val="none" w:sz="0" w:space="0" w:color="auto"/>
      </w:divBdr>
    </w:div>
    <w:div w:id="611785300">
      <w:bodyDiv w:val="1"/>
      <w:marLeft w:val="0"/>
      <w:marRight w:val="0"/>
      <w:marTop w:val="0"/>
      <w:marBottom w:val="0"/>
      <w:divBdr>
        <w:top w:val="none" w:sz="0" w:space="0" w:color="auto"/>
        <w:left w:val="none" w:sz="0" w:space="0" w:color="auto"/>
        <w:bottom w:val="none" w:sz="0" w:space="0" w:color="auto"/>
        <w:right w:val="none" w:sz="0" w:space="0" w:color="auto"/>
      </w:divBdr>
    </w:div>
    <w:div w:id="611788602">
      <w:bodyDiv w:val="1"/>
      <w:marLeft w:val="0"/>
      <w:marRight w:val="0"/>
      <w:marTop w:val="0"/>
      <w:marBottom w:val="0"/>
      <w:divBdr>
        <w:top w:val="none" w:sz="0" w:space="0" w:color="auto"/>
        <w:left w:val="none" w:sz="0" w:space="0" w:color="auto"/>
        <w:bottom w:val="none" w:sz="0" w:space="0" w:color="auto"/>
        <w:right w:val="none" w:sz="0" w:space="0" w:color="auto"/>
      </w:divBdr>
    </w:div>
    <w:div w:id="611860822">
      <w:bodyDiv w:val="1"/>
      <w:marLeft w:val="0"/>
      <w:marRight w:val="0"/>
      <w:marTop w:val="0"/>
      <w:marBottom w:val="0"/>
      <w:divBdr>
        <w:top w:val="none" w:sz="0" w:space="0" w:color="auto"/>
        <w:left w:val="none" w:sz="0" w:space="0" w:color="auto"/>
        <w:bottom w:val="none" w:sz="0" w:space="0" w:color="auto"/>
        <w:right w:val="none" w:sz="0" w:space="0" w:color="auto"/>
      </w:divBdr>
    </w:div>
    <w:div w:id="611977710">
      <w:bodyDiv w:val="1"/>
      <w:marLeft w:val="0"/>
      <w:marRight w:val="0"/>
      <w:marTop w:val="0"/>
      <w:marBottom w:val="0"/>
      <w:divBdr>
        <w:top w:val="none" w:sz="0" w:space="0" w:color="auto"/>
        <w:left w:val="none" w:sz="0" w:space="0" w:color="auto"/>
        <w:bottom w:val="none" w:sz="0" w:space="0" w:color="auto"/>
        <w:right w:val="none" w:sz="0" w:space="0" w:color="auto"/>
      </w:divBdr>
    </w:div>
    <w:div w:id="612249119">
      <w:bodyDiv w:val="1"/>
      <w:marLeft w:val="0"/>
      <w:marRight w:val="0"/>
      <w:marTop w:val="0"/>
      <w:marBottom w:val="0"/>
      <w:divBdr>
        <w:top w:val="none" w:sz="0" w:space="0" w:color="auto"/>
        <w:left w:val="none" w:sz="0" w:space="0" w:color="auto"/>
        <w:bottom w:val="none" w:sz="0" w:space="0" w:color="auto"/>
        <w:right w:val="none" w:sz="0" w:space="0" w:color="auto"/>
      </w:divBdr>
    </w:div>
    <w:div w:id="612252073">
      <w:bodyDiv w:val="1"/>
      <w:marLeft w:val="0"/>
      <w:marRight w:val="0"/>
      <w:marTop w:val="0"/>
      <w:marBottom w:val="0"/>
      <w:divBdr>
        <w:top w:val="none" w:sz="0" w:space="0" w:color="auto"/>
        <w:left w:val="none" w:sz="0" w:space="0" w:color="auto"/>
        <w:bottom w:val="none" w:sz="0" w:space="0" w:color="auto"/>
        <w:right w:val="none" w:sz="0" w:space="0" w:color="auto"/>
      </w:divBdr>
    </w:div>
    <w:div w:id="612440805">
      <w:bodyDiv w:val="1"/>
      <w:marLeft w:val="0"/>
      <w:marRight w:val="0"/>
      <w:marTop w:val="0"/>
      <w:marBottom w:val="0"/>
      <w:divBdr>
        <w:top w:val="none" w:sz="0" w:space="0" w:color="auto"/>
        <w:left w:val="none" w:sz="0" w:space="0" w:color="auto"/>
        <w:bottom w:val="none" w:sz="0" w:space="0" w:color="auto"/>
        <w:right w:val="none" w:sz="0" w:space="0" w:color="auto"/>
      </w:divBdr>
    </w:div>
    <w:div w:id="612522833">
      <w:bodyDiv w:val="1"/>
      <w:marLeft w:val="0"/>
      <w:marRight w:val="0"/>
      <w:marTop w:val="0"/>
      <w:marBottom w:val="0"/>
      <w:divBdr>
        <w:top w:val="none" w:sz="0" w:space="0" w:color="auto"/>
        <w:left w:val="none" w:sz="0" w:space="0" w:color="auto"/>
        <w:bottom w:val="none" w:sz="0" w:space="0" w:color="auto"/>
        <w:right w:val="none" w:sz="0" w:space="0" w:color="auto"/>
      </w:divBdr>
    </w:div>
    <w:div w:id="612829579">
      <w:bodyDiv w:val="1"/>
      <w:marLeft w:val="0"/>
      <w:marRight w:val="0"/>
      <w:marTop w:val="0"/>
      <w:marBottom w:val="0"/>
      <w:divBdr>
        <w:top w:val="none" w:sz="0" w:space="0" w:color="auto"/>
        <w:left w:val="none" w:sz="0" w:space="0" w:color="auto"/>
        <w:bottom w:val="none" w:sz="0" w:space="0" w:color="auto"/>
        <w:right w:val="none" w:sz="0" w:space="0" w:color="auto"/>
      </w:divBdr>
    </w:div>
    <w:div w:id="613295175">
      <w:bodyDiv w:val="1"/>
      <w:marLeft w:val="0"/>
      <w:marRight w:val="0"/>
      <w:marTop w:val="0"/>
      <w:marBottom w:val="0"/>
      <w:divBdr>
        <w:top w:val="none" w:sz="0" w:space="0" w:color="auto"/>
        <w:left w:val="none" w:sz="0" w:space="0" w:color="auto"/>
        <w:bottom w:val="none" w:sz="0" w:space="0" w:color="auto"/>
        <w:right w:val="none" w:sz="0" w:space="0" w:color="auto"/>
      </w:divBdr>
    </w:div>
    <w:div w:id="613366610">
      <w:bodyDiv w:val="1"/>
      <w:marLeft w:val="0"/>
      <w:marRight w:val="0"/>
      <w:marTop w:val="0"/>
      <w:marBottom w:val="0"/>
      <w:divBdr>
        <w:top w:val="none" w:sz="0" w:space="0" w:color="auto"/>
        <w:left w:val="none" w:sz="0" w:space="0" w:color="auto"/>
        <w:bottom w:val="none" w:sz="0" w:space="0" w:color="auto"/>
        <w:right w:val="none" w:sz="0" w:space="0" w:color="auto"/>
      </w:divBdr>
    </w:div>
    <w:div w:id="613443713">
      <w:bodyDiv w:val="1"/>
      <w:marLeft w:val="0"/>
      <w:marRight w:val="0"/>
      <w:marTop w:val="0"/>
      <w:marBottom w:val="0"/>
      <w:divBdr>
        <w:top w:val="none" w:sz="0" w:space="0" w:color="auto"/>
        <w:left w:val="none" w:sz="0" w:space="0" w:color="auto"/>
        <w:bottom w:val="none" w:sz="0" w:space="0" w:color="auto"/>
        <w:right w:val="none" w:sz="0" w:space="0" w:color="auto"/>
      </w:divBdr>
    </w:div>
    <w:div w:id="613560966">
      <w:bodyDiv w:val="1"/>
      <w:marLeft w:val="0"/>
      <w:marRight w:val="0"/>
      <w:marTop w:val="0"/>
      <w:marBottom w:val="0"/>
      <w:divBdr>
        <w:top w:val="none" w:sz="0" w:space="0" w:color="auto"/>
        <w:left w:val="none" w:sz="0" w:space="0" w:color="auto"/>
        <w:bottom w:val="none" w:sz="0" w:space="0" w:color="auto"/>
        <w:right w:val="none" w:sz="0" w:space="0" w:color="auto"/>
      </w:divBdr>
    </w:div>
    <w:div w:id="613637546">
      <w:bodyDiv w:val="1"/>
      <w:marLeft w:val="0"/>
      <w:marRight w:val="0"/>
      <w:marTop w:val="0"/>
      <w:marBottom w:val="0"/>
      <w:divBdr>
        <w:top w:val="none" w:sz="0" w:space="0" w:color="auto"/>
        <w:left w:val="none" w:sz="0" w:space="0" w:color="auto"/>
        <w:bottom w:val="none" w:sz="0" w:space="0" w:color="auto"/>
        <w:right w:val="none" w:sz="0" w:space="0" w:color="auto"/>
      </w:divBdr>
    </w:div>
    <w:div w:id="613680540">
      <w:bodyDiv w:val="1"/>
      <w:marLeft w:val="0"/>
      <w:marRight w:val="0"/>
      <w:marTop w:val="0"/>
      <w:marBottom w:val="0"/>
      <w:divBdr>
        <w:top w:val="none" w:sz="0" w:space="0" w:color="auto"/>
        <w:left w:val="none" w:sz="0" w:space="0" w:color="auto"/>
        <w:bottom w:val="none" w:sz="0" w:space="0" w:color="auto"/>
        <w:right w:val="none" w:sz="0" w:space="0" w:color="auto"/>
      </w:divBdr>
    </w:div>
    <w:div w:id="613707160">
      <w:bodyDiv w:val="1"/>
      <w:marLeft w:val="0"/>
      <w:marRight w:val="0"/>
      <w:marTop w:val="0"/>
      <w:marBottom w:val="0"/>
      <w:divBdr>
        <w:top w:val="none" w:sz="0" w:space="0" w:color="auto"/>
        <w:left w:val="none" w:sz="0" w:space="0" w:color="auto"/>
        <w:bottom w:val="none" w:sz="0" w:space="0" w:color="auto"/>
        <w:right w:val="none" w:sz="0" w:space="0" w:color="auto"/>
      </w:divBdr>
    </w:div>
    <w:div w:id="613828128">
      <w:bodyDiv w:val="1"/>
      <w:marLeft w:val="0"/>
      <w:marRight w:val="0"/>
      <w:marTop w:val="0"/>
      <w:marBottom w:val="0"/>
      <w:divBdr>
        <w:top w:val="none" w:sz="0" w:space="0" w:color="auto"/>
        <w:left w:val="none" w:sz="0" w:space="0" w:color="auto"/>
        <w:bottom w:val="none" w:sz="0" w:space="0" w:color="auto"/>
        <w:right w:val="none" w:sz="0" w:space="0" w:color="auto"/>
      </w:divBdr>
    </w:div>
    <w:div w:id="614097193">
      <w:bodyDiv w:val="1"/>
      <w:marLeft w:val="0"/>
      <w:marRight w:val="0"/>
      <w:marTop w:val="0"/>
      <w:marBottom w:val="0"/>
      <w:divBdr>
        <w:top w:val="none" w:sz="0" w:space="0" w:color="auto"/>
        <w:left w:val="none" w:sz="0" w:space="0" w:color="auto"/>
        <w:bottom w:val="none" w:sz="0" w:space="0" w:color="auto"/>
        <w:right w:val="none" w:sz="0" w:space="0" w:color="auto"/>
      </w:divBdr>
    </w:div>
    <w:div w:id="614287243">
      <w:bodyDiv w:val="1"/>
      <w:marLeft w:val="0"/>
      <w:marRight w:val="0"/>
      <w:marTop w:val="0"/>
      <w:marBottom w:val="0"/>
      <w:divBdr>
        <w:top w:val="none" w:sz="0" w:space="0" w:color="auto"/>
        <w:left w:val="none" w:sz="0" w:space="0" w:color="auto"/>
        <w:bottom w:val="none" w:sz="0" w:space="0" w:color="auto"/>
        <w:right w:val="none" w:sz="0" w:space="0" w:color="auto"/>
      </w:divBdr>
    </w:div>
    <w:div w:id="614408748">
      <w:bodyDiv w:val="1"/>
      <w:marLeft w:val="0"/>
      <w:marRight w:val="0"/>
      <w:marTop w:val="0"/>
      <w:marBottom w:val="0"/>
      <w:divBdr>
        <w:top w:val="none" w:sz="0" w:space="0" w:color="auto"/>
        <w:left w:val="none" w:sz="0" w:space="0" w:color="auto"/>
        <w:bottom w:val="none" w:sz="0" w:space="0" w:color="auto"/>
        <w:right w:val="none" w:sz="0" w:space="0" w:color="auto"/>
      </w:divBdr>
    </w:div>
    <w:div w:id="614598485">
      <w:bodyDiv w:val="1"/>
      <w:marLeft w:val="0"/>
      <w:marRight w:val="0"/>
      <w:marTop w:val="0"/>
      <w:marBottom w:val="0"/>
      <w:divBdr>
        <w:top w:val="none" w:sz="0" w:space="0" w:color="auto"/>
        <w:left w:val="none" w:sz="0" w:space="0" w:color="auto"/>
        <w:bottom w:val="none" w:sz="0" w:space="0" w:color="auto"/>
        <w:right w:val="none" w:sz="0" w:space="0" w:color="auto"/>
      </w:divBdr>
    </w:div>
    <w:div w:id="614673287">
      <w:bodyDiv w:val="1"/>
      <w:marLeft w:val="0"/>
      <w:marRight w:val="0"/>
      <w:marTop w:val="0"/>
      <w:marBottom w:val="0"/>
      <w:divBdr>
        <w:top w:val="none" w:sz="0" w:space="0" w:color="auto"/>
        <w:left w:val="none" w:sz="0" w:space="0" w:color="auto"/>
        <w:bottom w:val="none" w:sz="0" w:space="0" w:color="auto"/>
        <w:right w:val="none" w:sz="0" w:space="0" w:color="auto"/>
      </w:divBdr>
    </w:div>
    <w:div w:id="614824641">
      <w:bodyDiv w:val="1"/>
      <w:marLeft w:val="0"/>
      <w:marRight w:val="0"/>
      <w:marTop w:val="0"/>
      <w:marBottom w:val="0"/>
      <w:divBdr>
        <w:top w:val="none" w:sz="0" w:space="0" w:color="auto"/>
        <w:left w:val="none" w:sz="0" w:space="0" w:color="auto"/>
        <w:bottom w:val="none" w:sz="0" w:space="0" w:color="auto"/>
        <w:right w:val="none" w:sz="0" w:space="0" w:color="auto"/>
      </w:divBdr>
    </w:div>
    <w:div w:id="614825277">
      <w:bodyDiv w:val="1"/>
      <w:marLeft w:val="0"/>
      <w:marRight w:val="0"/>
      <w:marTop w:val="0"/>
      <w:marBottom w:val="0"/>
      <w:divBdr>
        <w:top w:val="none" w:sz="0" w:space="0" w:color="auto"/>
        <w:left w:val="none" w:sz="0" w:space="0" w:color="auto"/>
        <w:bottom w:val="none" w:sz="0" w:space="0" w:color="auto"/>
        <w:right w:val="none" w:sz="0" w:space="0" w:color="auto"/>
      </w:divBdr>
    </w:div>
    <w:div w:id="614945312">
      <w:bodyDiv w:val="1"/>
      <w:marLeft w:val="0"/>
      <w:marRight w:val="0"/>
      <w:marTop w:val="0"/>
      <w:marBottom w:val="0"/>
      <w:divBdr>
        <w:top w:val="none" w:sz="0" w:space="0" w:color="auto"/>
        <w:left w:val="none" w:sz="0" w:space="0" w:color="auto"/>
        <w:bottom w:val="none" w:sz="0" w:space="0" w:color="auto"/>
        <w:right w:val="none" w:sz="0" w:space="0" w:color="auto"/>
      </w:divBdr>
    </w:div>
    <w:div w:id="614950290">
      <w:bodyDiv w:val="1"/>
      <w:marLeft w:val="0"/>
      <w:marRight w:val="0"/>
      <w:marTop w:val="0"/>
      <w:marBottom w:val="0"/>
      <w:divBdr>
        <w:top w:val="none" w:sz="0" w:space="0" w:color="auto"/>
        <w:left w:val="none" w:sz="0" w:space="0" w:color="auto"/>
        <w:bottom w:val="none" w:sz="0" w:space="0" w:color="auto"/>
        <w:right w:val="none" w:sz="0" w:space="0" w:color="auto"/>
      </w:divBdr>
    </w:div>
    <w:div w:id="615065180">
      <w:bodyDiv w:val="1"/>
      <w:marLeft w:val="0"/>
      <w:marRight w:val="0"/>
      <w:marTop w:val="0"/>
      <w:marBottom w:val="0"/>
      <w:divBdr>
        <w:top w:val="none" w:sz="0" w:space="0" w:color="auto"/>
        <w:left w:val="none" w:sz="0" w:space="0" w:color="auto"/>
        <w:bottom w:val="none" w:sz="0" w:space="0" w:color="auto"/>
        <w:right w:val="none" w:sz="0" w:space="0" w:color="auto"/>
      </w:divBdr>
    </w:div>
    <w:div w:id="615719020">
      <w:bodyDiv w:val="1"/>
      <w:marLeft w:val="0"/>
      <w:marRight w:val="0"/>
      <w:marTop w:val="0"/>
      <w:marBottom w:val="0"/>
      <w:divBdr>
        <w:top w:val="none" w:sz="0" w:space="0" w:color="auto"/>
        <w:left w:val="none" w:sz="0" w:space="0" w:color="auto"/>
        <w:bottom w:val="none" w:sz="0" w:space="0" w:color="auto"/>
        <w:right w:val="none" w:sz="0" w:space="0" w:color="auto"/>
      </w:divBdr>
    </w:div>
    <w:div w:id="616065867">
      <w:bodyDiv w:val="1"/>
      <w:marLeft w:val="0"/>
      <w:marRight w:val="0"/>
      <w:marTop w:val="0"/>
      <w:marBottom w:val="0"/>
      <w:divBdr>
        <w:top w:val="none" w:sz="0" w:space="0" w:color="auto"/>
        <w:left w:val="none" w:sz="0" w:space="0" w:color="auto"/>
        <w:bottom w:val="none" w:sz="0" w:space="0" w:color="auto"/>
        <w:right w:val="none" w:sz="0" w:space="0" w:color="auto"/>
      </w:divBdr>
    </w:div>
    <w:div w:id="616180179">
      <w:bodyDiv w:val="1"/>
      <w:marLeft w:val="0"/>
      <w:marRight w:val="0"/>
      <w:marTop w:val="0"/>
      <w:marBottom w:val="0"/>
      <w:divBdr>
        <w:top w:val="none" w:sz="0" w:space="0" w:color="auto"/>
        <w:left w:val="none" w:sz="0" w:space="0" w:color="auto"/>
        <w:bottom w:val="none" w:sz="0" w:space="0" w:color="auto"/>
        <w:right w:val="none" w:sz="0" w:space="0" w:color="auto"/>
      </w:divBdr>
    </w:div>
    <w:div w:id="616251703">
      <w:bodyDiv w:val="1"/>
      <w:marLeft w:val="0"/>
      <w:marRight w:val="0"/>
      <w:marTop w:val="0"/>
      <w:marBottom w:val="0"/>
      <w:divBdr>
        <w:top w:val="none" w:sz="0" w:space="0" w:color="auto"/>
        <w:left w:val="none" w:sz="0" w:space="0" w:color="auto"/>
        <w:bottom w:val="none" w:sz="0" w:space="0" w:color="auto"/>
        <w:right w:val="none" w:sz="0" w:space="0" w:color="auto"/>
      </w:divBdr>
    </w:div>
    <w:div w:id="616253845">
      <w:bodyDiv w:val="1"/>
      <w:marLeft w:val="0"/>
      <w:marRight w:val="0"/>
      <w:marTop w:val="0"/>
      <w:marBottom w:val="0"/>
      <w:divBdr>
        <w:top w:val="none" w:sz="0" w:space="0" w:color="auto"/>
        <w:left w:val="none" w:sz="0" w:space="0" w:color="auto"/>
        <w:bottom w:val="none" w:sz="0" w:space="0" w:color="auto"/>
        <w:right w:val="none" w:sz="0" w:space="0" w:color="auto"/>
      </w:divBdr>
    </w:div>
    <w:div w:id="616303556">
      <w:bodyDiv w:val="1"/>
      <w:marLeft w:val="0"/>
      <w:marRight w:val="0"/>
      <w:marTop w:val="0"/>
      <w:marBottom w:val="0"/>
      <w:divBdr>
        <w:top w:val="none" w:sz="0" w:space="0" w:color="auto"/>
        <w:left w:val="none" w:sz="0" w:space="0" w:color="auto"/>
        <w:bottom w:val="none" w:sz="0" w:space="0" w:color="auto"/>
        <w:right w:val="none" w:sz="0" w:space="0" w:color="auto"/>
      </w:divBdr>
    </w:div>
    <w:div w:id="616638541">
      <w:bodyDiv w:val="1"/>
      <w:marLeft w:val="0"/>
      <w:marRight w:val="0"/>
      <w:marTop w:val="0"/>
      <w:marBottom w:val="0"/>
      <w:divBdr>
        <w:top w:val="none" w:sz="0" w:space="0" w:color="auto"/>
        <w:left w:val="none" w:sz="0" w:space="0" w:color="auto"/>
        <w:bottom w:val="none" w:sz="0" w:space="0" w:color="auto"/>
        <w:right w:val="none" w:sz="0" w:space="0" w:color="auto"/>
      </w:divBdr>
    </w:div>
    <w:div w:id="616910138">
      <w:bodyDiv w:val="1"/>
      <w:marLeft w:val="0"/>
      <w:marRight w:val="0"/>
      <w:marTop w:val="0"/>
      <w:marBottom w:val="0"/>
      <w:divBdr>
        <w:top w:val="none" w:sz="0" w:space="0" w:color="auto"/>
        <w:left w:val="none" w:sz="0" w:space="0" w:color="auto"/>
        <w:bottom w:val="none" w:sz="0" w:space="0" w:color="auto"/>
        <w:right w:val="none" w:sz="0" w:space="0" w:color="auto"/>
      </w:divBdr>
    </w:div>
    <w:div w:id="616913073">
      <w:bodyDiv w:val="1"/>
      <w:marLeft w:val="0"/>
      <w:marRight w:val="0"/>
      <w:marTop w:val="0"/>
      <w:marBottom w:val="0"/>
      <w:divBdr>
        <w:top w:val="none" w:sz="0" w:space="0" w:color="auto"/>
        <w:left w:val="none" w:sz="0" w:space="0" w:color="auto"/>
        <w:bottom w:val="none" w:sz="0" w:space="0" w:color="auto"/>
        <w:right w:val="none" w:sz="0" w:space="0" w:color="auto"/>
      </w:divBdr>
    </w:div>
    <w:div w:id="617179173">
      <w:bodyDiv w:val="1"/>
      <w:marLeft w:val="0"/>
      <w:marRight w:val="0"/>
      <w:marTop w:val="0"/>
      <w:marBottom w:val="0"/>
      <w:divBdr>
        <w:top w:val="none" w:sz="0" w:space="0" w:color="auto"/>
        <w:left w:val="none" w:sz="0" w:space="0" w:color="auto"/>
        <w:bottom w:val="none" w:sz="0" w:space="0" w:color="auto"/>
        <w:right w:val="none" w:sz="0" w:space="0" w:color="auto"/>
      </w:divBdr>
    </w:div>
    <w:div w:id="617222333">
      <w:bodyDiv w:val="1"/>
      <w:marLeft w:val="0"/>
      <w:marRight w:val="0"/>
      <w:marTop w:val="0"/>
      <w:marBottom w:val="0"/>
      <w:divBdr>
        <w:top w:val="none" w:sz="0" w:space="0" w:color="auto"/>
        <w:left w:val="none" w:sz="0" w:space="0" w:color="auto"/>
        <w:bottom w:val="none" w:sz="0" w:space="0" w:color="auto"/>
        <w:right w:val="none" w:sz="0" w:space="0" w:color="auto"/>
      </w:divBdr>
    </w:div>
    <w:div w:id="617225638">
      <w:bodyDiv w:val="1"/>
      <w:marLeft w:val="0"/>
      <w:marRight w:val="0"/>
      <w:marTop w:val="0"/>
      <w:marBottom w:val="0"/>
      <w:divBdr>
        <w:top w:val="none" w:sz="0" w:space="0" w:color="auto"/>
        <w:left w:val="none" w:sz="0" w:space="0" w:color="auto"/>
        <w:bottom w:val="none" w:sz="0" w:space="0" w:color="auto"/>
        <w:right w:val="none" w:sz="0" w:space="0" w:color="auto"/>
      </w:divBdr>
    </w:div>
    <w:div w:id="617297484">
      <w:bodyDiv w:val="1"/>
      <w:marLeft w:val="0"/>
      <w:marRight w:val="0"/>
      <w:marTop w:val="0"/>
      <w:marBottom w:val="0"/>
      <w:divBdr>
        <w:top w:val="none" w:sz="0" w:space="0" w:color="auto"/>
        <w:left w:val="none" w:sz="0" w:space="0" w:color="auto"/>
        <w:bottom w:val="none" w:sz="0" w:space="0" w:color="auto"/>
        <w:right w:val="none" w:sz="0" w:space="0" w:color="auto"/>
      </w:divBdr>
    </w:div>
    <w:div w:id="617301308">
      <w:bodyDiv w:val="1"/>
      <w:marLeft w:val="0"/>
      <w:marRight w:val="0"/>
      <w:marTop w:val="0"/>
      <w:marBottom w:val="0"/>
      <w:divBdr>
        <w:top w:val="none" w:sz="0" w:space="0" w:color="auto"/>
        <w:left w:val="none" w:sz="0" w:space="0" w:color="auto"/>
        <w:bottom w:val="none" w:sz="0" w:space="0" w:color="auto"/>
        <w:right w:val="none" w:sz="0" w:space="0" w:color="auto"/>
      </w:divBdr>
    </w:div>
    <w:div w:id="617569348">
      <w:bodyDiv w:val="1"/>
      <w:marLeft w:val="0"/>
      <w:marRight w:val="0"/>
      <w:marTop w:val="0"/>
      <w:marBottom w:val="0"/>
      <w:divBdr>
        <w:top w:val="none" w:sz="0" w:space="0" w:color="auto"/>
        <w:left w:val="none" w:sz="0" w:space="0" w:color="auto"/>
        <w:bottom w:val="none" w:sz="0" w:space="0" w:color="auto"/>
        <w:right w:val="none" w:sz="0" w:space="0" w:color="auto"/>
      </w:divBdr>
    </w:div>
    <w:div w:id="617639332">
      <w:bodyDiv w:val="1"/>
      <w:marLeft w:val="0"/>
      <w:marRight w:val="0"/>
      <w:marTop w:val="0"/>
      <w:marBottom w:val="0"/>
      <w:divBdr>
        <w:top w:val="none" w:sz="0" w:space="0" w:color="auto"/>
        <w:left w:val="none" w:sz="0" w:space="0" w:color="auto"/>
        <w:bottom w:val="none" w:sz="0" w:space="0" w:color="auto"/>
        <w:right w:val="none" w:sz="0" w:space="0" w:color="auto"/>
      </w:divBdr>
    </w:div>
    <w:div w:id="617681141">
      <w:bodyDiv w:val="1"/>
      <w:marLeft w:val="0"/>
      <w:marRight w:val="0"/>
      <w:marTop w:val="0"/>
      <w:marBottom w:val="0"/>
      <w:divBdr>
        <w:top w:val="none" w:sz="0" w:space="0" w:color="auto"/>
        <w:left w:val="none" w:sz="0" w:space="0" w:color="auto"/>
        <w:bottom w:val="none" w:sz="0" w:space="0" w:color="auto"/>
        <w:right w:val="none" w:sz="0" w:space="0" w:color="auto"/>
      </w:divBdr>
    </w:div>
    <w:div w:id="617687195">
      <w:bodyDiv w:val="1"/>
      <w:marLeft w:val="0"/>
      <w:marRight w:val="0"/>
      <w:marTop w:val="0"/>
      <w:marBottom w:val="0"/>
      <w:divBdr>
        <w:top w:val="none" w:sz="0" w:space="0" w:color="auto"/>
        <w:left w:val="none" w:sz="0" w:space="0" w:color="auto"/>
        <w:bottom w:val="none" w:sz="0" w:space="0" w:color="auto"/>
        <w:right w:val="none" w:sz="0" w:space="0" w:color="auto"/>
      </w:divBdr>
    </w:div>
    <w:div w:id="617837002">
      <w:bodyDiv w:val="1"/>
      <w:marLeft w:val="0"/>
      <w:marRight w:val="0"/>
      <w:marTop w:val="0"/>
      <w:marBottom w:val="0"/>
      <w:divBdr>
        <w:top w:val="none" w:sz="0" w:space="0" w:color="auto"/>
        <w:left w:val="none" w:sz="0" w:space="0" w:color="auto"/>
        <w:bottom w:val="none" w:sz="0" w:space="0" w:color="auto"/>
        <w:right w:val="none" w:sz="0" w:space="0" w:color="auto"/>
      </w:divBdr>
    </w:div>
    <w:div w:id="617875223">
      <w:bodyDiv w:val="1"/>
      <w:marLeft w:val="0"/>
      <w:marRight w:val="0"/>
      <w:marTop w:val="0"/>
      <w:marBottom w:val="0"/>
      <w:divBdr>
        <w:top w:val="none" w:sz="0" w:space="0" w:color="auto"/>
        <w:left w:val="none" w:sz="0" w:space="0" w:color="auto"/>
        <w:bottom w:val="none" w:sz="0" w:space="0" w:color="auto"/>
        <w:right w:val="none" w:sz="0" w:space="0" w:color="auto"/>
      </w:divBdr>
    </w:div>
    <w:div w:id="617879973">
      <w:bodyDiv w:val="1"/>
      <w:marLeft w:val="0"/>
      <w:marRight w:val="0"/>
      <w:marTop w:val="0"/>
      <w:marBottom w:val="0"/>
      <w:divBdr>
        <w:top w:val="none" w:sz="0" w:space="0" w:color="auto"/>
        <w:left w:val="none" w:sz="0" w:space="0" w:color="auto"/>
        <w:bottom w:val="none" w:sz="0" w:space="0" w:color="auto"/>
        <w:right w:val="none" w:sz="0" w:space="0" w:color="auto"/>
      </w:divBdr>
    </w:div>
    <w:div w:id="617953102">
      <w:bodyDiv w:val="1"/>
      <w:marLeft w:val="0"/>
      <w:marRight w:val="0"/>
      <w:marTop w:val="0"/>
      <w:marBottom w:val="0"/>
      <w:divBdr>
        <w:top w:val="none" w:sz="0" w:space="0" w:color="auto"/>
        <w:left w:val="none" w:sz="0" w:space="0" w:color="auto"/>
        <w:bottom w:val="none" w:sz="0" w:space="0" w:color="auto"/>
        <w:right w:val="none" w:sz="0" w:space="0" w:color="auto"/>
      </w:divBdr>
    </w:div>
    <w:div w:id="618028110">
      <w:bodyDiv w:val="1"/>
      <w:marLeft w:val="0"/>
      <w:marRight w:val="0"/>
      <w:marTop w:val="0"/>
      <w:marBottom w:val="0"/>
      <w:divBdr>
        <w:top w:val="none" w:sz="0" w:space="0" w:color="auto"/>
        <w:left w:val="none" w:sz="0" w:space="0" w:color="auto"/>
        <w:bottom w:val="none" w:sz="0" w:space="0" w:color="auto"/>
        <w:right w:val="none" w:sz="0" w:space="0" w:color="auto"/>
      </w:divBdr>
    </w:div>
    <w:div w:id="618148507">
      <w:bodyDiv w:val="1"/>
      <w:marLeft w:val="0"/>
      <w:marRight w:val="0"/>
      <w:marTop w:val="0"/>
      <w:marBottom w:val="0"/>
      <w:divBdr>
        <w:top w:val="none" w:sz="0" w:space="0" w:color="auto"/>
        <w:left w:val="none" w:sz="0" w:space="0" w:color="auto"/>
        <w:bottom w:val="none" w:sz="0" w:space="0" w:color="auto"/>
        <w:right w:val="none" w:sz="0" w:space="0" w:color="auto"/>
      </w:divBdr>
    </w:div>
    <w:div w:id="618224559">
      <w:bodyDiv w:val="1"/>
      <w:marLeft w:val="0"/>
      <w:marRight w:val="0"/>
      <w:marTop w:val="0"/>
      <w:marBottom w:val="0"/>
      <w:divBdr>
        <w:top w:val="none" w:sz="0" w:space="0" w:color="auto"/>
        <w:left w:val="none" w:sz="0" w:space="0" w:color="auto"/>
        <w:bottom w:val="none" w:sz="0" w:space="0" w:color="auto"/>
        <w:right w:val="none" w:sz="0" w:space="0" w:color="auto"/>
      </w:divBdr>
    </w:div>
    <w:div w:id="618728123">
      <w:bodyDiv w:val="1"/>
      <w:marLeft w:val="0"/>
      <w:marRight w:val="0"/>
      <w:marTop w:val="0"/>
      <w:marBottom w:val="0"/>
      <w:divBdr>
        <w:top w:val="none" w:sz="0" w:space="0" w:color="auto"/>
        <w:left w:val="none" w:sz="0" w:space="0" w:color="auto"/>
        <w:bottom w:val="none" w:sz="0" w:space="0" w:color="auto"/>
        <w:right w:val="none" w:sz="0" w:space="0" w:color="auto"/>
      </w:divBdr>
    </w:div>
    <w:div w:id="618876324">
      <w:bodyDiv w:val="1"/>
      <w:marLeft w:val="0"/>
      <w:marRight w:val="0"/>
      <w:marTop w:val="0"/>
      <w:marBottom w:val="0"/>
      <w:divBdr>
        <w:top w:val="none" w:sz="0" w:space="0" w:color="auto"/>
        <w:left w:val="none" w:sz="0" w:space="0" w:color="auto"/>
        <w:bottom w:val="none" w:sz="0" w:space="0" w:color="auto"/>
        <w:right w:val="none" w:sz="0" w:space="0" w:color="auto"/>
      </w:divBdr>
    </w:div>
    <w:div w:id="619409816">
      <w:bodyDiv w:val="1"/>
      <w:marLeft w:val="0"/>
      <w:marRight w:val="0"/>
      <w:marTop w:val="0"/>
      <w:marBottom w:val="0"/>
      <w:divBdr>
        <w:top w:val="none" w:sz="0" w:space="0" w:color="auto"/>
        <w:left w:val="none" w:sz="0" w:space="0" w:color="auto"/>
        <w:bottom w:val="none" w:sz="0" w:space="0" w:color="auto"/>
        <w:right w:val="none" w:sz="0" w:space="0" w:color="auto"/>
      </w:divBdr>
    </w:div>
    <w:div w:id="619536521">
      <w:bodyDiv w:val="1"/>
      <w:marLeft w:val="0"/>
      <w:marRight w:val="0"/>
      <w:marTop w:val="0"/>
      <w:marBottom w:val="0"/>
      <w:divBdr>
        <w:top w:val="none" w:sz="0" w:space="0" w:color="auto"/>
        <w:left w:val="none" w:sz="0" w:space="0" w:color="auto"/>
        <w:bottom w:val="none" w:sz="0" w:space="0" w:color="auto"/>
        <w:right w:val="none" w:sz="0" w:space="0" w:color="auto"/>
      </w:divBdr>
    </w:div>
    <w:div w:id="619804508">
      <w:bodyDiv w:val="1"/>
      <w:marLeft w:val="0"/>
      <w:marRight w:val="0"/>
      <w:marTop w:val="0"/>
      <w:marBottom w:val="0"/>
      <w:divBdr>
        <w:top w:val="none" w:sz="0" w:space="0" w:color="auto"/>
        <w:left w:val="none" w:sz="0" w:space="0" w:color="auto"/>
        <w:bottom w:val="none" w:sz="0" w:space="0" w:color="auto"/>
        <w:right w:val="none" w:sz="0" w:space="0" w:color="auto"/>
      </w:divBdr>
    </w:div>
    <w:div w:id="619917003">
      <w:bodyDiv w:val="1"/>
      <w:marLeft w:val="0"/>
      <w:marRight w:val="0"/>
      <w:marTop w:val="0"/>
      <w:marBottom w:val="0"/>
      <w:divBdr>
        <w:top w:val="none" w:sz="0" w:space="0" w:color="auto"/>
        <w:left w:val="none" w:sz="0" w:space="0" w:color="auto"/>
        <w:bottom w:val="none" w:sz="0" w:space="0" w:color="auto"/>
        <w:right w:val="none" w:sz="0" w:space="0" w:color="auto"/>
      </w:divBdr>
    </w:div>
    <w:div w:id="619920717">
      <w:bodyDiv w:val="1"/>
      <w:marLeft w:val="0"/>
      <w:marRight w:val="0"/>
      <w:marTop w:val="0"/>
      <w:marBottom w:val="0"/>
      <w:divBdr>
        <w:top w:val="none" w:sz="0" w:space="0" w:color="auto"/>
        <w:left w:val="none" w:sz="0" w:space="0" w:color="auto"/>
        <w:bottom w:val="none" w:sz="0" w:space="0" w:color="auto"/>
        <w:right w:val="none" w:sz="0" w:space="0" w:color="auto"/>
      </w:divBdr>
    </w:div>
    <w:div w:id="619996466">
      <w:bodyDiv w:val="1"/>
      <w:marLeft w:val="0"/>
      <w:marRight w:val="0"/>
      <w:marTop w:val="0"/>
      <w:marBottom w:val="0"/>
      <w:divBdr>
        <w:top w:val="none" w:sz="0" w:space="0" w:color="auto"/>
        <w:left w:val="none" w:sz="0" w:space="0" w:color="auto"/>
        <w:bottom w:val="none" w:sz="0" w:space="0" w:color="auto"/>
        <w:right w:val="none" w:sz="0" w:space="0" w:color="auto"/>
      </w:divBdr>
    </w:div>
    <w:div w:id="620037536">
      <w:bodyDiv w:val="1"/>
      <w:marLeft w:val="0"/>
      <w:marRight w:val="0"/>
      <w:marTop w:val="0"/>
      <w:marBottom w:val="0"/>
      <w:divBdr>
        <w:top w:val="none" w:sz="0" w:space="0" w:color="auto"/>
        <w:left w:val="none" w:sz="0" w:space="0" w:color="auto"/>
        <w:bottom w:val="none" w:sz="0" w:space="0" w:color="auto"/>
        <w:right w:val="none" w:sz="0" w:space="0" w:color="auto"/>
      </w:divBdr>
    </w:div>
    <w:div w:id="620065734">
      <w:bodyDiv w:val="1"/>
      <w:marLeft w:val="0"/>
      <w:marRight w:val="0"/>
      <w:marTop w:val="0"/>
      <w:marBottom w:val="0"/>
      <w:divBdr>
        <w:top w:val="none" w:sz="0" w:space="0" w:color="auto"/>
        <w:left w:val="none" w:sz="0" w:space="0" w:color="auto"/>
        <w:bottom w:val="none" w:sz="0" w:space="0" w:color="auto"/>
        <w:right w:val="none" w:sz="0" w:space="0" w:color="auto"/>
      </w:divBdr>
    </w:div>
    <w:div w:id="620067106">
      <w:bodyDiv w:val="1"/>
      <w:marLeft w:val="0"/>
      <w:marRight w:val="0"/>
      <w:marTop w:val="0"/>
      <w:marBottom w:val="0"/>
      <w:divBdr>
        <w:top w:val="none" w:sz="0" w:space="0" w:color="auto"/>
        <w:left w:val="none" w:sz="0" w:space="0" w:color="auto"/>
        <w:bottom w:val="none" w:sz="0" w:space="0" w:color="auto"/>
        <w:right w:val="none" w:sz="0" w:space="0" w:color="auto"/>
      </w:divBdr>
    </w:div>
    <w:div w:id="620259600">
      <w:bodyDiv w:val="1"/>
      <w:marLeft w:val="0"/>
      <w:marRight w:val="0"/>
      <w:marTop w:val="0"/>
      <w:marBottom w:val="0"/>
      <w:divBdr>
        <w:top w:val="none" w:sz="0" w:space="0" w:color="auto"/>
        <w:left w:val="none" w:sz="0" w:space="0" w:color="auto"/>
        <w:bottom w:val="none" w:sz="0" w:space="0" w:color="auto"/>
        <w:right w:val="none" w:sz="0" w:space="0" w:color="auto"/>
      </w:divBdr>
    </w:div>
    <w:div w:id="620572977">
      <w:bodyDiv w:val="1"/>
      <w:marLeft w:val="0"/>
      <w:marRight w:val="0"/>
      <w:marTop w:val="0"/>
      <w:marBottom w:val="0"/>
      <w:divBdr>
        <w:top w:val="none" w:sz="0" w:space="0" w:color="auto"/>
        <w:left w:val="none" w:sz="0" w:space="0" w:color="auto"/>
        <w:bottom w:val="none" w:sz="0" w:space="0" w:color="auto"/>
        <w:right w:val="none" w:sz="0" w:space="0" w:color="auto"/>
      </w:divBdr>
    </w:div>
    <w:div w:id="620574643">
      <w:bodyDiv w:val="1"/>
      <w:marLeft w:val="0"/>
      <w:marRight w:val="0"/>
      <w:marTop w:val="0"/>
      <w:marBottom w:val="0"/>
      <w:divBdr>
        <w:top w:val="none" w:sz="0" w:space="0" w:color="auto"/>
        <w:left w:val="none" w:sz="0" w:space="0" w:color="auto"/>
        <w:bottom w:val="none" w:sz="0" w:space="0" w:color="auto"/>
        <w:right w:val="none" w:sz="0" w:space="0" w:color="auto"/>
      </w:divBdr>
    </w:div>
    <w:div w:id="621888898">
      <w:bodyDiv w:val="1"/>
      <w:marLeft w:val="0"/>
      <w:marRight w:val="0"/>
      <w:marTop w:val="0"/>
      <w:marBottom w:val="0"/>
      <w:divBdr>
        <w:top w:val="none" w:sz="0" w:space="0" w:color="auto"/>
        <w:left w:val="none" w:sz="0" w:space="0" w:color="auto"/>
        <w:bottom w:val="none" w:sz="0" w:space="0" w:color="auto"/>
        <w:right w:val="none" w:sz="0" w:space="0" w:color="auto"/>
      </w:divBdr>
    </w:div>
    <w:div w:id="621959955">
      <w:bodyDiv w:val="1"/>
      <w:marLeft w:val="0"/>
      <w:marRight w:val="0"/>
      <w:marTop w:val="0"/>
      <w:marBottom w:val="0"/>
      <w:divBdr>
        <w:top w:val="none" w:sz="0" w:space="0" w:color="auto"/>
        <w:left w:val="none" w:sz="0" w:space="0" w:color="auto"/>
        <w:bottom w:val="none" w:sz="0" w:space="0" w:color="auto"/>
        <w:right w:val="none" w:sz="0" w:space="0" w:color="auto"/>
      </w:divBdr>
    </w:div>
    <w:div w:id="622082305">
      <w:bodyDiv w:val="1"/>
      <w:marLeft w:val="0"/>
      <w:marRight w:val="0"/>
      <w:marTop w:val="0"/>
      <w:marBottom w:val="0"/>
      <w:divBdr>
        <w:top w:val="none" w:sz="0" w:space="0" w:color="auto"/>
        <w:left w:val="none" w:sz="0" w:space="0" w:color="auto"/>
        <w:bottom w:val="none" w:sz="0" w:space="0" w:color="auto"/>
        <w:right w:val="none" w:sz="0" w:space="0" w:color="auto"/>
      </w:divBdr>
    </w:div>
    <w:div w:id="622540830">
      <w:bodyDiv w:val="1"/>
      <w:marLeft w:val="0"/>
      <w:marRight w:val="0"/>
      <w:marTop w:val="0"/>
      <w:marBottom w:val="0"/>
      <w:divBdr>
        <w:top w:val="none" w:sz="0" w:space="0" w:color="auto"/>
        <w:left w:val="none" w:sz="0" w:space="0" w:color="auto"/>
        <w:bottom w:val="none" w:sz="0" w:space="0" w:color="auto"/>
        <w:right w:val="none" w:sz="0" w:space="0" w:color="auto"/>
      </w:divBdr>
    </w:div>
    <w:div w:id="622612671">
      <w:bodyDiv w:val="1"/>
      <w:marLeft w:val="0"/>
      <w:marRight w:val="0"/>
      <w:marTop w:val="0"/>
      <w:marBottom w:val="0"/>
      <w:divBdr>
        <w:top w:val="none" w:sz="0" w:space="0" w:color="auto"/>
        <w:left w:val="none" w:sz="0" w:space="0" w:color="auto"/>
        <w:bottom w:val="none" w:sz="0" w:space="0" w:color="auto"/>
        <w:right w:val="none" w:sz="0" w:space="0" w:color="auto"/>
      </w:divBdr>
    </w:div>
    <w:div w:id="622615367">
      <w:bodyDiv w:val="1"/>
      <w:marLeft w:val="0"/>
      <w:marRight w:val="0"/>
      <w:marTop w:val="0"/>
      <w:marBottom w:val="0"/>
      <w:divBdr>
        <w:top w:val="none" w:sz="0" w:space="0" w:color="auto"/>
        <w:left w:val="none" w:sz="0" w:space="0" w:color="auto"/>
        <w:bottom w:val="none" w:sz="0" w:space="0" w:color="auto"/>
        <w:right w:val="none" w:sz="0" w:space="0" w:color="auto"/>
      </w:divBdr>
    </w:div>
    <w:div w:id="622810507">
      <w:bodyDiv w:val="1"/>
      <w:marLeft w:val="0"/>
      <w:marRight w:val="0"/>
      <w:marTop w:val="0"/>
      <w:marBottom w:val="0"/>
      <w:divBdr>
        <w:top w:val="none" w:sz="0" w:space="0" w:color="auto"/>
        <w:left w:val="none" w:sz="0" w:space="0" w:color="auto"/>
        <w:bottom w:val="none" w:sz="0" w:space="0" w:color="auto"/>
        <w:right w:val="none" w:sz="0" w:space="0" w:color="auto"/>
      </w:divBdr>
    </w:div>
    <w:div w:id="622883259">
      <w:bodyDiv w:val="1"/>
      <w:marLeft w:val="0"/>
      <w:marRight w:val="0"/>
      <w:marTop w:val="0"/>
      <w:marBottom w:val="0"/>
      <w:divBdr>
        <w:top w:val="none" w:sz="0" w:space="0" w:color="auto"/>
        <w:left w:val="none" w:sz="0" w:space="0" w:color="auto"/>
        <w:bottom w:val="none" w:sz="0" w:space="0" w:color="auto"/>
        <w:right w:val="none" w:sz="0" w:space="0" w:color="auto"/>
      </w:divBdr>
    </w:div>
    <w:div w:id="623000549">
      <w:bodyDiv w:val="1"/>
      <w:marLeft w:val="0"/>
      <w:marRight w:val="0"/>
      <w:marTop w:val="0"/>
      <w:marBottom w:val="0"/>
      <w:divBdr>
        <w:top w:val="none" w:sz="0" w:space="0" w:color="auto"/>
        <w:left w:val="none" w:sz="0" w:space="0" w:color="auto"/>
        <w:bottom w:val="none" w:sz="0" w:space="0" w:color="auto"/>
        <w:right w:val="none" w:sz="0" w:space="0" w:color="auto"/>
      </w:divBdr>
    </w:div>
    <w:div w:id="623116757">
      <w:bodyDiv w:val="1"/>
      <w:marLeft w:val="0"/>
      <w:marRight w:val="0"/>
      <w:marTop w:val="0"/>
      <w:marBottom w:val="0"/>
      <w:divBdr>
        <w:top w:val="none" w:sz="0" w:space="0" w:color="auto"/>
        <w:left w:val="none" w:sz="0" w:space="0" w:color="auto"/>
        <w:bottom w:val="none" w:sz="0" w:space="0" w:color="auto"/>
        <w:right w:val="none" w:sz="0" w:space="0" w:color="auto"/>
      </w:divBdr>
    </w:div>
    <w:div w:id="623462059">
      <w:bodyDiv w:val="1"/>
      <w:marLeft w:val="0"/>
      <w:marRight w:val="0"/>
      <w:marTop w:val="0"/>
      <w:marBottom w:val="0"/>
      <w:divBdr>
        <w:top w:val="none" w:sz="0" w:space="0" w:color="auto"/>
        <w:left w:val="none" w:sz="0" w:space="0" w:color="auto"/>
        <w:bottom w:val="none" w:sz="0" w:space="0" w:color="auto"/>
        <w:right w:val="none" w:sz="0" w:space="0" w:color="auto"/>
      </w:divBdr>
    </w:div>
    <w:div w:id="623854364">
      <w:bodyDiv w:val="1"/>
      <w:marLeft w:val="0"/>
      <w:marRight w:val="0"/>
      <w:marTop w:val="0"/>
      <w:marBottom w:val="0"/>
      <w:divBdr>
        <w:top w:val="none" w:sz="0" w:space="0" w:color="auto"/>
        <w:left w:val="none" w:sz="0" w:space="0" w:color="auto"/>
        <w:bottom w:val="none" w:sz="0" w:space="0" w:color="auto"/>
        <w:right w:val="none" w:sz="0" w:space="0" w:color="auto"/>
      </w:divBdr>
    </w:div>
    <w:div w:id="624119397">
      <w:bodyDiv w:val="1"/>
      <w:marLeft w:val="0"/>
      <w:marRight w:val="0"/>
      <w:marTop w:val="0"/>
      <w:marBottom w:val="0"/>
      <w:divBdr>
        <w:top w:val="none" w:sz="0" w:space="0" w:color="auto"/>
        <w:left w:val="none" w:sz="0" w:space="0" w:color="auto"/>
        <w:bottom w:val="none" w:sz="0" w:space="0" w:color="auto"/>
        <w:right w:val="none" w:sz="0" w:space="0" w:color="auto"/>
      </w:divBdr>
    </w:div>
    <w:div w:id="624506541">
      <w:bodyDiv w:val="1"/>
      <w:marLeft w:val="0"/>
      <w:marRight w:val="0"/>
      <w:marTop w:val="0"/>
      <w:marBottom w:val="0"/>
      <w:divBdr>
        <w:top w:val="none" w:sz="0" w:space="0" w:color="auto"/>
        <w:left w:val="none" w:sz="0" w:space="0" w:color="auto"/>
        <w:bottom w:val="none" w:sz="0" w:space="0" w:color="auto"/>
        <w:right w:val="none" w:sz="0" w:space="0" w:color="auto"/>
      </w:divBdr>
    </w:div>
    <w:div w:id="624506628">
      <w:bodyDiv w:val="1"/>
      <w:marLeft w:val="0"/>
      <w:marRight w:val="0"/>
      <w:marTop w:val="0"/>
      <w:marBottom w:val="0"/>
      <w:divBdr>
        <w:top w:val="none" w:sz="0" w:space="0" w:color="auto"/>
        <w:left w:val="none" w:sz="0" w:space="0" w:color="auto"/>
        <w:bottom w:val="none" w:sz="0" w:space="0" w:color="auto"/>
        <w:right w:val="none" w:sz="0" w:space="0" w:color="auto"/>
      </w:divBdr>
    </w:div>
    <w:div w:id="624699057">
      <w:bodyDiv w:val="1"/>
      <w:marLeft w:val="0"/>
      <w:marRight w:val="0"/>
      <w:marTop w:val="0"/>
      <w:marBottom w:val="0"/>
      <w:divBdr>
        <w:top w:val="none" w:sz="0" w:space="0" w:color="auto"/>
        <w:left w:val="none" w:sz="0" w:space="0" w:color="auto"/>
        <w:bottom w:val="none" w:sz="0" w:space="0" w:color="auto"/>
        <w:right w:val="none" w:sz="0" w:space="0" w:color="auto"/>
      </w:divBdr>
    </w:div>
    <w:div w:id="624846800">
      <w:bodyDiv w:val="1"/>
      <w:marLeft w:val="0"/>
      <w:marRight w:val="0"/>
      <w:marTop w:val="0"/>
      <w:marBottom w:val="0"/>
      <w:divBdr>
        <w:top w:val="none" w:sz="0" w:space="0" w:color="auto"/>
        <w:left w:val="none" w:sz="0" w:space="0" w:color="auto"/>
        <w:bottom w:val="none" w:sz="0" w:space="0" w:color="auto"/>
        <w:right w:val="none" w:sz="0" w:space="0" w:color="auto"/>
      </w:divBdr>
    </w:div>
    <w:div w:id="624849481">
      <w:bodyDiv w:val="1"/>
      <w:marLeft w:val="0"/>
      <w:marRight w:val="0"/>
      <w:marTop w:val="0"/>
      <w:marBottom w:val="0"/>
      <w:divBdr>
        <w:top w:val="none" w:sz="0" w:space="0" w:color="auto"/>
        <w:left w:val="none" w:sz="0" w:space="0" w:color="auto"/>
        <w:bottom w:val="none" w:sz="0" w:space="0" w:color="auto"/>
        <w:right w:val="none" w:sz="0" w:space="0" w:color="auto"/>
      </w:divBdr>
    </w:div>
    <w:div w:id="624889243">
      <w:bodyDiv w:val="1"/>
      <w:marLeft w:val="0"/>
      <w:marRight w:val="0"/>
      <w:marTop w:val="0"/>
      <w:marBottom w:val="0"/>
      <w:divBdr>
        <w:top w:val="none" w:sz="0" w:space="0" w:color="auto"/>
        <w:left w:val="none" w:sz="0" w:space="0" w:color="auto"/>
        <w:bottom w:val="none" w:sz="0" w:space="0" w:color="auto"/>
        <w:right w:val="none" w:sz="0" w:space="0" w:color="auto"/>
      </w:divBdr>
    </w:div>
    <w:div w:id="625046885">
      <w:bodyDiv w:val="1"/>
      <w:marLeft w:val="0"/>
      <w:marRight w:val="0"/>
      <w:marTop w:val="0"/>
      <w:marBottom w:val="0"/>
      <w:divBdr>
        <w:top w:val="none" w:sz="0" w:space="0" w:color="auto"/>
        <w:left w:val="none" w:sz="0" w:space="0" w:color="auto"/>
        <w:bottom w:val="none" w:sz="0" w:space="0" w:color="auto"/>
        <w:right w:val="none" w:sz="0" w:space="0" w:color="auto"/>
      </w:divBdr>
    </w:div>
    <w:div w:id="625160052">
      <w:bodyDiv w:val="1"/>
      <w:marLeft w:val="0"/>
      <w:marRight w:val="0"/>
      <w:marTop w:val="0"/>
      <w:marBottom w:val="0"/>
      <w:divBdr>
        <w:top w:val="none" w:sz="0" w:space="0" w:color="auto"/>
        <w:left w:val="none" w:sz="0" w:space="0" w:color="auto"/>
        <w:bottom w:val="none" w:sz="0" w:space="0" w:color="auto"/>
        <w:right w:val="none" w:sz="0" w:space="0" w:color="auto"/>
      </w:divBdr>
    </w:div>
    <w:div w:id="625280299">
      <w:bodyDiv w:val="1"/>
      <w:marLeft w:val="0"/>
      <w:marRight w:val="0"/>
      <w:marTop w:val="0"/>
      <w:marBottom w:val="0"/>
      <w:divBdr>
        <w:top w:val="none" w:sz="0" w:space="0" w:color="auto"/>
        <w:left w:val="none" w:sz="0" w:space="0" w:color="auto"/>
        <w:bottom w:val="none" w:sz="0" w:space="0" w:color="auto"/>
        <w:right w:val="none" w:sz="0" w:space="0" w:color="auto"/>
      </w:divBdr>
    </w:div>
    <w:div w:id="625282146">
      <w:bodyDiv w:val="1"/>
      <w:marLeft w:val="0"/>
      <w:marRight w:val="0"/>
      <w:marTop w:val="0"/>
      <w:marBottom w:val="0"/>
      <w:divBdr>
        <w:top w:val="none" w:sz="0" w:space="0" w:color="auto"/>
        <w:left w:val="none" w:sz="0" w:space="0" w:color="auto"/>
        <w:bottom w:val="none" w:sz="0" w:space="0" w:color="auto"/>
        <w:right w:val="none" w:sz="0" w:space="0" w:color="auto"/>
      </w:divBdr>
    </w:div>
    <w:div w:id="626132056">
      <w:bodyDiv w:val="1"/>
      <w:marLeft w:val="0"/>
      <w:marRight w:val="0"/>
      <w:marTop w:val="0"/>
      <w:marBottom w:val="0"/>
      <w:divBdr>
        <w:top w:val="none" w:sz="0" w:space="0" w:color="auto"/>
        <w:left w:val="none" w:sz="0" w:space="0" w:color="auto"/>
        <w:bottom w:val="none" w:sz="0" w:space="0" w:color="auto"/>
        <w:right w:val="none" w:sz="0" w:space="0" w:color="auto"/>
      </w:divBdr>
    </w:div>
    <w:div w:id="626202187">
      <w:bodyDiv w:val="1"/>
      <w:marLeft w:val="0"/>
      <w:marRight w:val="0"/>
      <w:marTop w:val="0"/>
      <w:marBottom w:val="0"/>
      <w:divBdr>
        <w:top w:val="none" w:sz="0" w:space="0" w:color="auto"/>
        <w:left w:val="none" w:sz="0" w:space="0" w:color="auto"/>
        <w:bottom w:val="none" w:sz="0" w:space="0" w:color="auto"/>
        <w:right w:val="none" w:sz="0" w:space="0" w:color="auto"/>
      </w:divBdr>
    </w:div>
    <w:div w:id="626274262">
      <w:bodyDiv w:val="1"/>
      <w:marLeft w:val="0"/>
      <w:marRight w:val="0"/>
      <w:marTop w:val="0"/>
      <w:marBottom w:val="0"/>
      <w:divBdr>
        <w:top w:val="none" w:sz="0" w:space="0" w:color="auto"/>
        <w:left w:val="none" w:sz="0" w:space="0" w:color="auto"/>
        <w:bottom w:val="none" w:sz="0" w:space="0" w:color="auto"/>
        <w:right w:val="none" w:sz="0" w:space="0" w:color="auto"/>
      </w:divBdr>
    </w:div>
    <w:div w:id="626399110">
      <w:bodyDiv w:val="1"/>
      <w:marLeft w:val="0"/>
      <w:marRight w:val="0"/>
      <w:marTop w:val="0"/>
      <w:marBottom w:val="0"/>
      <w:divBdr>
        <w:top w:val="none" w:sz="0" w:space="0" w:color="auto"/>
        <w:left w:val="none" w:sz="0" w:space="0" w:color="auto"/>
        <w:bottom w:val="none" w:sz="0" w:space="0" w:color="auto"/>
        <w:right w:val="none" w:sz="0" w:space="0" w:color="auto"/>
      </w:divBdr>
    </w:div>
    <w:div w:id="626543669">
      <w:bodyDiv w:val="1"/>
      <w:marLeft w:val="0"/>
      <w:marRight w:val="0"/>
      <w:marTop w:val="0"/>
      <w:marBottom w:val="0"/>
      <w:divBdr>
        <w:top w:val="none" w:sz="0" w:space="0" w:color="auto"/>
        <w:left w:val="none" w:sz="0" w:space="0" w:color="auto"/>
        <w:bottom w:val="none" w:sz="0" w:space="0" w:color="auto"/>
        <w:right w:val="none" w:sz="0" w:space="0" w:color="auto"/>
      </w:divBdr>
    </w:div>
    <w:div w:id="627011117">
      <w:bodyDiv w:val="1"/>
      <w:marLeft w:val="0"/>
      <w:marRight w:val="0"/>
      <w:marTop w:val="0"/>
      <w:marBottom w:val="0"/>
      <w:divBdr>
        <w:top w:val="none" w:sz="0" w:space="0" w:color="auto"/>
        <w:left w:val="none" w:sz="0" w:space="0" w:color="auto"/>
        <w:bottom w:val="none" w:sz="0" w:space="0" w:color="auto"/>
        <w:right w:val="none" w:sz="0" w:space="0" w:color="auto"/>
      </w:divBdr>
    </w:div>
    <w:div w:id="627012824">
      <w:bodyDiv w:val="1"/>
      <w:marLeft w:val="0"/>
      <w:marRight w:val="0"/>
      <w:marTop w:val="0"/>
      <w:marBottom w:val="0"/>
      <w:divBdr>
        <w:top w:val="none" w:sz="0" w:space="0" w:color="auto"/>
        <w:left w:val="none" w:sz="0" w:space="0" w:color="auto"/>
        <w:bottom w:val="none" w:sz="0" w:space="0" w:color="auto"/>
        <w:right w:val="none" w:sz="0" w:space="0" w:color="auto"/>
      </w:divBdr>
    </w:div>
    <w:div w:id="627200072">
      <w:bodyDiv w:val="1"/>
      <w:marLeft w:val="0"/>
      <w:marRight w:val="0"/>
      <w:marTop w:val="0"/>
      <w:marBottom w:val="0"/>
      <w:divBdr>
        <w:top w:val="none" w:sz="0" w:space="0" w:color="auto"/>
        <w:left w:val="none" w:sz="0" w:space="0" w:color="auto"/>
        <w:bottom w:val="none" w:sz="0" w:space="0" w:color="auto"/>
        <w:right w:val="none" w:sz="0" w:space="0" w:color="auto"/>
      </w:divBdr>
    </w:div>
    <w:div w:id="627324440">
      <w:bodyDiv w:val="1"/>
      <w:marLeft w:val="0"/>
      <w:marRight w:val="0"/>
      <w:marTop w:val="0"/>
      <w:marBottom w:val="0"/>
      <w:divBdr>
        <w:top w:val="none" w:sz="0" w:space="0" w:color="auto"/>
        <w:left w:val="none" w:sz="0" w:space="0" w:color="auto"/>
        <w:bottom w:val="none" w:sz="0" w:space="0" w:color="auto"/>
        <w:right w:val="none" w:sz="0" w:space="0" w:color="auto"/>
      </w:divBdr>
    </w:div>
    <w:div w:id="627394298">
      <w:bodyDiv w:val="1"/>
      <w:marLeft w:val="0"/>
      <w:marRight w:val="0"/>
      <w:marTop w:val="0"/>
      <w:marBottom w:val="0"/>
      <w:divBdr>
        <w:top w:val="none" w:sz="0" w:space="0" w:color="auto"/>
        <w:left w:val="none" w:sz="0" w:space="0" w:color="auto"/>
        <w:bottom w:val="none" w:sz="0" w:space="0" w:color="auto"/>
        <w:right w:val="none" w:sz="0" w:space="0" w:color="auto"/>
      </w:divBdr>
    </w:div>
    <w:div w:id="627514944">
      <w:bodyDiv w:val="1"/>
      <w:marLeft w:val="0"/>
      <w:marRight w:val="0"/>
      <w:marTop w:val="0"/>
      <w:marBottom w:val="0"/>
      <w:divBdr>
        <w:top w:val="none" w:sz="0" w:space="0" w:color="auto"/>
        <w:left w:val="none" w:sz="0" w:space="0" w:color="auto"/>
        <w:bottom w:val="none" w:sz="0" w:space="0" w:color="auto"/>
        <w:right w:val="none" w:sz="0" w:space="0" w:color="auto"/>
      </w:divBdr>
    </w:div>
    <w:div w:id="627585892">
      <w:bodyDiv w:val="1"/>
      <w:marLeft w:val="0"/>
      <w:marRight w:val="0"/>
      <w:marTop w:val="0"/>
      <w:marBottom w:val="0"/>
      <w:divBdr>
        <w:top w:val="none" w:sz="0" w:space="0" w:color="auto"/>
        <w:left w:val="none" w:sz="0" w:space="0" w:color="auto"/>
        <w:bottom w:val="none" w:sz="0" w:space="0" w:color="auto"/>
        <w:right w:val="none" w:sz="0" w:space="0" w:color="auto"/>
      </w:divBdr>
    </w:div>
    <w:div w:id="627586921">
      <w:bodyDiv w:val="1"/>
      <w:marLeft w:val="0"/>
      <w:marRight w:val="0"/>
      <w:marTop w:val="0"/>
      <w:marBottom w:val="0"/>
      <w:divBdr>
        <w:top w:val="none" w:sz="0" w:space="0" w:color="auto"/>
        <w:left w:val="none" w:sz="0" w:space="0" w:color="auto"/>
        <w:bottom w:val="none" w:sz="0" w:space="0" w:color="auto"/>
        <w:right w:val="none" w:sz="0" w:space="0" w:color="auto"/>
      </w:divBdr>
    </w:div>
    <w:div w:id="627853987">
      <w:bodyDiv w:val="1"/>
      <w:marLeft w:val="0"/>
      <w:marRight w:val="0"/>
      <w:marTop w:val="0"/>
      <w:marBottom w:val="0"/>
      <w:divBdr>
        <w:top w:val="none" w:sz="0" w:space="0" w:color="auto"/>
        <w:left w:val="none" w:sz="0" w:space="0" w:color="auto"/>
        <w:bottom w:val="none" w:sz="0" w:space="0" w:color="auto"/>
        <w:right w:val="none" w:sz="0" w:space="0" w:color="auto"/>
      </w:divBdr>
    </w:div>
    <w:div w:id="627858820">
      <w:bodyDiv w:val="1"/>
      <w:marLeft w:val="0"/>
      <w:marRight w:val="0"/>
      <w:marTop w:val="0"/>
      <w:marBottom w:val="0"/>
      <w:divBdr>
        <w:top w:val="none" w:sz="0" w:space="0" w:color="auto"/>
        <w:left w:val="none" w:sz="0" w:space="0" w:color="auto"/>
        <w:bottom w:val="none" w:sz="0" w:space="0" w:color="auto"/>
        <w:right w:val="none" w:sz="0" w:space="0" w:color="auto"/>
      </w:divBdr>
    </w:div>
    <w:div w:id="627928462">
      <w:bodyDiv w:val="1"/>
      <w:marLeft w:val="0"/>
      <w:marRight w:val="0"/>
      <w:marTop w:val="0"/>
      <w:marBottom w:val="0"/>
      <w:divBdr>
        <w:top w:val="none" w:sz="0" w:space="0" w:color="auto"/>
        <w:left w:val="none" w:sz="0" w:space="0" w:color="auto"/>
        <w:bottom w:val="none" w:sz="0" w:space="0" w:color="auto"/>
        <w:right w:val="none" w:sz="0" w:space="0" w:color="auto"/>
      </w:divBdr>
    </w:div>
    <w:div w:id="627979080">
      <w:bodyDiv w:val="1"/>
      <w:marLeft w:val="0"/>
      <w:marRight w:val="0"/>
      <w:marTop w:val="0"/>
      <w:marBottom w:val="0"/>
      <w:divBdr>
        <w:top w:val="none" w:sz="0" w:space="0" w:color="auto"/>
        <w:left w:val="none" w:sz="0" w:space="0" w:color="auto"/>
        <w:bottom w:val="none" w:sz="0" w:space="0" w:color="auto"/>
        <w:right w:val="none" w:sz="0" w:space="0" w:color="auto"/>
      </w:divBdr>
    </w:div>
    <w:div w:id="628122741">
      <w:bodyDiv w:val="1"/>
      <w:marLeft w:val="0"/>
      <w:marRight w:val="0"/>
      <w:marTop w:val="0"/>
      <w:marBottom w:val="0"/>
      <w:divBdr>
        <w:top w:val="none" w:sz="0" w:space="0" w:color="auto"/>
        <w:left w:val="none" w:sz="0" w:space="0" w:color="auto"/>
        <w:bottom w:val="none" w:sz="0" w:space="0" w:color="auto"/>
        <w:right w:val="none" w:sz="0" w:space="0" w:color="auto"/>
      </w:divBdr>
    </w:div>
    <w:div w:id="628245839">
      <w:bodyDiv w:val="1"/>
      <w:marLeft w:val="0"/>
      <w:marRight w:val="0"/>
      <w:marTop w:val="0"/>
      <w:marBottom w:val="0"/>
      <w:divBdr>
        <w:top w:val="none" w:sz="0" w:space="0" w:color="auto"/>
        <w:left w:val="none" w:sz="0" w:space="0" w:color="auto"/>
        <w:bottom w:val="none" w:sz="0" w:space="0" w:color="auto"/>
        <w:right w:val="none" w:sz="0" w:space="0" w:color="auto"/>
      </w:divBdr>
    </w:div>
    <w:div w:id="628319678">
      <w:bodyDiv w:val="1"/>
      <w:marLeft w:val="0"/>
      <w:marRight w:val="0"/>
      <w:marTop w:val="0"/>
      <w:marBottom w:val="0"/>
      <w:divBdr>
        <w:top w:val="none" w:sz="0" w:space="0" w:color="auto"/>
        <w:left w:val="none" w:sz="0" w:space="0" w:color="auto"/>
        <w:bottom w:val="none" w:sz="0" w:space="0" w:color="auto"/>
        <w:right w:val="none" w:sz="0" w:space="0" w:color="auto"/>
      </w:divBdr>
    </w:div>
    <w:div w:id="628513279">
      <w:bodyDiv w:val="1"/>
      <w:marLeft w:val="0"/>
      <w:marRight w:val="0"/>
      <w:marTop w:val="0"/>
      <w:marBottom w:val="0"/>
      <w:divBdr>
        <w:top w:val="none" w:sz="0" w:space="0" w:color="auto"/>
        <w:left w:val="none" w:sz="0" w:space="0" w:color="auto"/>
        <w:bottom w:val="none" w:sz="0" w:space="0" w:color="auto"/>
        <w:right w:val="none" w:sz="0" w:space="0" w:color="auto"/>
      </w:divBdr>
    </w:div>
    <w:div w:id="628557198">
      <w:bodyDiv w:val="1"/>
      <w:marLeft w:val="0"/>
      <w:marRight w:val="0"/>
      <w:marTop w:val="0"/>
      <w:marBottom w:val="0"/>
      <w:divBdr>
        <w:top w:val="none" w:sz="0" w:space="0" w:color="auto"/>
        <w:left w:val="none" w:sz="0" w:space="0" w:color="auto"/>
        <w:bottom w:val="none" w:sz="0" w:space="0" w:color="auto"/>
        <w:right w:val="none" w:sz="0" w:space="0" w:color="auto"/>
      </w:divBdr>
    </w:div>
    <w:div w:id="628627551">
      <w:bodyDiv w:val="1"/>
      <w:marLeft w:val="0"/>
      <w:marRight w:val="0"/>
      <w:marTop w:val="0"/>
      <w:marBottom w:val="0"/>
      <w:divBdr>
        <w:top w:val="none" w:sz="0" w:space="0" w:color="auto"/>
        <w:left w:val="none" w:sz="0" w:space="0" w:color="auto"/>
        <w:bottom w:val="none" w:sz="0" w:space="0" w:color="auto"/>
        <w:right w:val="none" w:sz="0" w:space="0" w:color="auto"/>
      </w:divBdr>
    </w:div>
    <w:div w:id="629166841">
      <w:bodyDiv w:val="1"/>
      <w:marLeft w:val="0"/>
      <w:marRight w:val="0"/>
      <w:marTop w:val="0"/>
      <w:marBottom w:val="0"/>
      <w:divBdr>
        <w:top w:val="none" w:sz="0" w:space="0" w:color="auto"/>
        <w:left w:val="none" w:sz="0" w:space="0" w:color="auto"/>
        <w:bottom w:val="none" w:sz="0" w:space="0" w:color="auto"/>
        <w:right w:val="none" w:sz="0" w:space="0" w:color="auto"/>
      </w:divBdr>
    </w:div>
    <w:div w:id="629169979">
      <w:bodyDiv w:val="1"/>
      <w:marLeft w:val="0"/>
      <w:marRight w:val="0"/>
      <w:marTop w:val="0"/>
      <w:marBottom w:val="0"/>
      <w:divBdr>
        <w:top w:val="none" w:sz="0" w:space="0" w:color="auto"/>
        <w:left w:val="none" w:sz="0" w:space="0" w:color="auto"/>
        <w:bottom w:val="none" w:sz="0" w:space="0" w:color="auto"/>
        <w:right w:val="none" w:sz="0" w:space="0" w:color="auto"/>
      </w:divBdr>
    </w:div>
    <w:div w:id="629285169">
      <w:bodyDiv w:val="1"/>
      <w:marLeft w:val="0"/>
      <w:marRight w:val="0"/>
      <w:marTop w:val="0"/>
      <w:marBottom w:val="0"/>
      <w:divBdr>
        <w:top w:val="none" w:sz="0" w:space="0" w:color="auto"/>
        <w:left w:val="none" w:sz="0" w:space="0" w:color="auto"/>
        <w:bottom w:val="none" w:sz="0" w:space="0" w:color="auto"/>
        <w:right w:val="none" w:sz="0" w:space="0" w:color="auto"/>
      </w:divBdr>
    </w:div>
    <w:div w:id="629286185">
      <w:bodyDiv w:val="1"/>
      <w:marLeft w:val="0"/>
      <w:marRight w:val="0"/>
      <w:marTop w:val="0"/>
      <w:marBottom w:val="0"/>
      <w:divBdr>
        <w:top w:val="none" w:sz="0" w:space="0" w:color="auto"/>
        <w:left w:val="none" w:sz="0" w:space="0" w:color="auto"/>
        <w:bottom w:val="none" w:sz="0" w:space="0" w:color="auto"/>
        <w:right w:val="none" w:sz="0" w:space="0" w:color="auto"/>
      </w:divBdr>
    </w:div>
    <w:div w:id="629287196">
      <w:bodyDiv w:val="1"/>
      <w:marLeft w:val="0"/>
      <w:marRight w:val="0"/>
      <w:marTop w:val="0"/>
      <w:marBottom w:val="0"/>
      <w:divBdr>
        <w:top w:val="none" w:sz="0" w:space="0" w:color="auto"/>
        <w:left w:val="none" w:sz="0" w:space="0" w:color="auto"/>
        <w:bottom w:val="none" w:sz="0" w:space="0" w:color="auto"/>
        <w:right w:val="none" w:sz="0" w:space="0" w:color="auto"/>
      </w:divBdr>
    </w:div>
    <w:div w:id="629479551">
      <w:bodyDiv w:val="1"/>
      <w:marLeft w:val="0"/>
      <w:marRight w:val="0"/>
      <w:marTop w:val="0"/>
      <w:marBottom w:val="0"/>
      <w:divBdr>
        <w:top w:val="none" w:sz="0" w:space="0" w:color="auto"/>
        <w:left w:val="none" w:sz="0" w:space="0" w:color="auto"/>
        <w:bottom w:val="none" w:sz="0" w:space="0" w:color="auto"/>
        <w:right w:val="none" w:sz="0" w:space="0" w:color="auto"/>
      </w:divBdr>
    </w:div>
    <w:div w:id="629633173">
      <w:bodyDiv w:val="1"/>
      <w:marLeft w:val="0"/>
      <w:marRight w:val="0"/>
      <w:marTop w:val="0"/>
      <w:marBottom w:val="0"/>
      <w:divBdr>
        <w:top w:val="none" w:sz="0" w:space="0" w:color="auto"/>
        <w:left w:val="none" w:sz="0" w:space="0" w:color="auto"/>
        <w:bottom w:val="none" w:sz="0" w:space="0" w:color="auto"/>
        <w:right w:val="none" w:sz="0" w:space="0" w:color="auto"/>
      </w:divBdr>
    </w:div>
    <w:div w:id="629941287">
      <w:bodyDiv w:val="1"/>
      <w:marLeft w:val="0"/>
      <w:marRight w:val="0"/>
      <w:marTop w:val="0"/>
      <w:marBottom w:val="0"/>
      <w:divBdr>
        <w:top w:val="none" w:sz="0" w:space="0" w:color="auto"/>
        <w:left w:val="none" w:sz="0" w:space="0" w:color="auto"/>
        <w:bottom w:val="none" w:sz="0" w:space="0" w:color="auto"/>
        <w:right w:val="none" w:sz="0" w:space="0" w:color="auto"/>
      </w:divBdr>
    </w:div>
    <w:div w:id="630093472">
      <w:bodyDiv w:val="1"/>
      <w:marLeft w:val="0"/>
      <w:marRight w:val="0"/>
      <w:marTop w:val="0"/>
      <w:marBottom w:val="0"/>
      <w:divBdr>
        <w:top w:val="none" w:sz="0" w:space="0" w:color="auto"/>
        <w:left w:val="none" w:sz="0" w:space="0" w:color="auto"/>
        <w:bottom w:val="none" w:sz="0" w:space="0" w:color="auto"/>
        <w:right w:val="none" w:sz="0" w:space="0" w:color="auto"/>
      </w:divBdr>
    </w:div>
    <w:div w:id="630405258">
      <w:bodyDiv w:val="1"/>
      <w:marLeft w:val="0"/>
      <w:marRight w:val="0"/>
      <w:marTop w:val="0"/>
      <w:marBottom w:val="0"/>
      <w:divBdr>
        <w:top w:val="none" w:sz="0" w:space="0" w:color="auto"/>
        <w:left w:val="none" w:sz="0" w:space="0" w:color="auto"/>
        <w:bottom w:val="none" w:sz="0" w:space="0" w:color="auto"/>
        <w:right w:val="none" w:sz="0" w:space="0" w:color="auto"/>
      </w:divBdr>
    </w:div>
    <w:div w:id="630675210">
      <w:bodyDiv w:val="1"/>
      <w:marLeft w:val="0"/>
      <w:marRight w:val="0"/>
      <w:marTop w:val="0"/>
      <w:marBottom w:val="0"/>
      <w:divBdr>
        <w:top w:val="none" w:sz="0" w:space="0" w:color="auto"/>
        <w:left w:val="none" w:sz="0" w:space="0" w:color="auto"/>
        <w:bottom w:val="none" w:sz="0" w:space="0" w:color="auto"/>
        <w:right w:val="none" w:sz="0" w:space="0" w:color="auto"/>
      </w:divBdr>
    </w:div>
    <w:div w:id="630675286">
      <w:bodyDiv w:val="1"/>
      <w:marLeft w:val="0"/>
      <w:marRight w:val="0"/>
      <w:marTop w:val="0"/>
      <w:marBottom w:val="0"/>
      <w:divBdr>
        <w:top w:val="none" w:sz="0" w:space="0" w:color="auto"/>
        <w:left w:val="none" w:sz="0" w:space="0" w:color="auto"/>
        <w:bottom w:val="none" w:sz="0" w:space="0" w:color="auto"/>
        <w:right w:val="none" w:sz="0" w:space="0" w:color="auto"/>
      </w:divBdr>
    </w:div>
    <w:div w:id="630750663">
      <w:bodyDiv w:val="1"/>
      <w:marLeft w:val="0"/>
      <w:marRight w:val="0"/>
      <w:marTop w:val="0"/>
      <w:marBottom w:val="0"/>
      <w:divBdr>
        <w:top w:val="none" w:sz="0" w:space="0" w:color="auto"/>
        <w:left w:val="none" w:sz="0" w:space="0" w:color="auto"/>
        <w:bottom w:val="none" w:sz="0" w:space="0" w:color="auto"/>
        <w:right w:val="none" w:sz="0" w:space="0" w:color="auto"/>
      </w:divBdr>
    </w:div>
    <w:div w:id="631326568">
      <w:bodyDiv w:val="1"/>
      <w:marLeft w:val="0"/>
      <w:marRight w:val="0"/>
      <w:marTop w:val="0"/>
      <w:marBottom w:val="0"/>
      <w:divBdr>
        <w:top w:val="none" w:sz="0" w:space="0" w:color="auto"/>
        <w:left w:val="none" w:sz="0" w:space="0" w:color="auto"/>
        <w:bottom w:val="none" w:sz="0" w:space="0" w:color="auto"/>
        <w:right w:val="none" w:sz="0" w:space="0" w:color="auto"/>
      </w:divBdr>
    </w:div>
    <w:div w:id="631402478">
      <w:bodyDiv w:val="1"/>
      <w:marLeft w:val="0"/>
      <w:marRight w:val="0"/>
      <w:marTop w:val="0"/>
      <w:marBottom w:val="0"/>
      <w:divBdr>
        <w:top w:val="none" w:sz="0" w:space="0" w:color="auto"/>
        <w:left w:val="none" w:sz="0" w:space="0" w:color="auto"/>
        <w:bottom w:val="none" w:sz="0" w:space="0" w:color="auto"/>
        <w:right w:val="none" w:sz="0" w:space="0" w:color="auto"/>
      </w:divBdr>
    </w:div>
    <w:div w:id="631406326">
      <w:bodyDiv w:val="1"/>
      <w:marLeft w:val="0"/>
      <w:marRight w:val="0"/>
      <w:marTop w:val="0"/>
      <w:marBottom w:val="0"/>
      <w:divBdr>
        <w:top w:val="none" w:sz="0" w:space="0" w:color="auto"/>
        <w:left w:val="none" w:sz="0" w:space="0" w:color="auto"/>
        <w:bottom w:val="none" w:sz="0" w:space="0" w:color="auto"/>
        <w:right w:val="none" w:sz="0" w:space="0" w:color="auto"/>
      </w:divBdr>
    </w:div>
    <w:div w:id="631442624">
      <w:bodyDiv w:val="1"/>
      <w:marLeft w:val="0"/>
      <w:marRight w:val="0"/>
      <w:marTop w:val="0"/>
      <w:marBottom w:val="0"/>
      <w:divBdr>
        <w:top w:val="none" w:sz="0" w:space="0" w:color="auto"/>
        <w:left w:val="none" w:sz="0" w:space="0" w:color="auto"/>
        <w:bottom w:val="none" w:sz="0" w:space="0" w:color="auto"/>
        <w:right w:val="none" w:sz="0" w:space="0" w:color="auto"/>
      </w:divBdr>
    </w:div>
    <w:div w:id="631447384">
      <w:bodyDiv w:val="1"/>
      <w:marLeft w:val="0"/>
      <w:marRight w:val="0"/>
      <w:marTop w:val="0"/>
      <w:marBottom w:val="0"/>
      <w:divBdr>
        <w:top w:val="none" w:sz="0" w:space="0" w:color="auto"/>
        <w:left w:val="none" w:sz="0" w:space="0" w:color="auto"/>
        <w:bottom w:val="none" w:sz="0" w:space="0" w:color="auto"/>
        <w:right w:val="none" w:sz="0" w:space="0" w:color="auto"/>
      </w:divBdr>
    </w:div>
    <w:div w:id="631594965">
      <w:bodyDiv w:val="1"/>
      <w:marLeft w:val="0"/>
      <w:marRight w:val="0"/>
      <w:marTop w:val="0"/>
      <w:marBottom w:val="0"/>
      <w:divBdr>
        <w:top w:val="none" w:sz="0" w:space="0" w:color="auto"/>
        <w:left w:val="none" w:sz="0" w:space="0" w:color="auto"/>
        <w:bottom w:val="none" w:sz="0" w:space="0" w:color="auto"/>
        <w:right w:val="none" w:sz="0" w:space="0" w:color="auto"/>
      </w:divBdr>
    </w:div>
    <w:div w:id="631864323">
      <w:bodyDiv w:val="1"/>
      <w:marLeft w:val="0"/>
      <w:marRight w:val="0"/>
      <w:marTop w:val="0"/>
      <w:marBottom w:val="0"/>
      <w:divBdr>
        <w:top w:val="none" w:sz="0" w:space="0" w:color="auto"/>
        <w:left w:val="none" w:sz="0" w:space="0" w:color="auto"/>
        <w:bottom w:val="none" w:sz="0" w:space="0" w:color="auto"/>
        <w:right w:val="none" w:sz="0" w:space="0" w:color="auto"/>
      </w:divBdr>
    </w:div>
    <w:div w:id="631864693">
      <w:bodyDiv w:val="1"/>
      <w:marLeft w:val="0"/>
      <w:marRight w:val="0"/>
      <w:marTop w:val="0"/>
      <w:marBottom w:val="0"/>
      <w:divBdr>
        <w:top w:val="none" w:sz="0" w:space="0" w:color="auto"/>
        <w:left w:val="none" w:sz="0" w:space="0" w:color="auto"/>
        <w:bottom w:val="none" w:sz="0" w:space="0" w:color="auto"/>
        <w:right w:val="none" w:sz="0" w:space="0" w:color="auto"/>
      </w:divBdr>
    </w:div>
    <w:div w:id="632059885">
      <w:bodyDiv w:val="1"/>
      <w:marLeft w:val="0"/>
      <w:marRight w:val="0"/>
      <w:marTop w:val="0"/>
      <w:marBottom w:val="0"/>
      <w:divBdr>
        <w:top w:val="none" w:sz="0" w:space="0" w:color="auto"/>
        <w:left w:val="none" w:sz="0" w:space="0" w:color="auto"/>
        <w:bottom w:val="none" w:sz="0" w:space="0" w:color="auto"/>
        <w:right w:val="none" w:sz="0" w:space="0" w:color="auto"/>
      </w:divBdr>
    </w:div>
    <w:div w:id="632098385">
      <w:bodyDiv w:val="1"/>
      <w:marLeft w:val="0"/>
      <w:marRight w:val="0"/>
      <w:marTop w:val="0"/>
      <w:marBottom w:val="0"/>
      <w:divBdr>
        <w:top w:val="none" w:sz="0" w:space="0" w:color="auto"/>
        <w:left w:val="none" w:sz="0" w:space="0" w:color="auto"/>
        <w:bottom w:val="none" w:sz="0" w:space="0" w:color="auto"/>
        <w:right w:val="none" w:sz="0" w:space="0" w:color="auto"/>
      </w:divBdr>
    </w:div>
    <w:div w:id="632100034">
      <w:bodyDiv w:val="1"/>
      <w:marLeft w:val="0"/>
      <w:marRight w:val="0"/>
      <w:marTop w:val="0"/>
      <w:marBottom w:val="0"/>
      <w:divBdr>
        <w:top w:val="none" w:sz="0" w:space="0" w:color="auto"/>
        <w:left w:val="none" w:sz="0" w:space="0" w:color="auto"/>
        <w:bottom w:val="none" w:sz="0" w:space="0" w:color="auto"/>
        <w:right w:val="none" w:sz="0" w:space="0" w:color="auto"/>
      </w:divBdr>
    </w:div>
    <w:div w:id="632179417">
      <w:bodyDiv w:val="1"/>
      <w:marLeft w:val="0"/>
      <w:marRight w:val="0"/>
      <w:marTop w:val="0"/>
      <w:marBottom w:val="0"/>
      <w:divBdr>
        <w:top w:val="none" w:sz="0" w:space="0" w:color="auto"/>
        <w:left w:val="none" w:sz="0" w:space="0" w:color="auto"/>
        <w:bottom w:val="none" w:sz="0" w:space="0" w:color="auto"/>
        <w:right w:val="none" w:sz="0" w:space="0" w:color="auto"/>
      </w:divBdr>
    </w:div>
    <w:div w:id="632366597">
      <w:bodyDiv w:val="1"/>
      <w:marLeft w:val="0"/>
      <w:marRight w:val="0"/>
      <w:marTop w:val="0"/>
      <w:marBottom w:val="0"/>
      <w:divBdr>
        <w:top w:val="none" w:sz="0" w:space="0" w:color="auto"/>
        <w:left w:val="none" w:sz="0" w:space="0" w:color="auto"/>
        <w:bottom w:val="none" w:sz="0" w:space="0" w:color="auto"/>
        <w:right w:val="none" w:sz="0" w:space="0" w:color="auto"/>
      </w:divBdr>
    </w:div>
    <w:div w:id="632443316">
      <w:bodyDiv w:val="1"/>
      <w:marLeft w:val="0"/>
      <w:marRight w:val="0"/>
      <w:marTop w:val="0"/>
      <w:marBottom w:val="0"/>
      <w:divBdr>
        <w:top w:val="none" w:sz="0" w:space="0" w:color="auto"/>
        <w:left w:val="none" w:sz="0" w:space="0" w:color="auto"/>
        <w:bottom w:val="none" w:sz="0" w:space="0" w:color="auto"/>
        <w:right w:val="none" w:sz="0" w:space="0" w:color="auto"/>
      </w:divBdr>
    </w:div>
    <w:div w:id="632564971">
      <w:bodyDiv w:val="1"/>
      <w:marLeft w:val="0"/>
      <w:marRight w:val="0"/>
      <w:marTop w:val="0"/>
      <w:marBottom w:val="0"/>
      <w:divBdr>
        <w:top w:val="none" w:sz="0" w:space="0" w:color="auto"/>
        <w:left w:val="none" w:sz="0" w:space="0" w:color="auto"/>
        <w:bottom w:val="none" w:sz="0" w:space="0" w:color="auto"/>
        <w:right w:val="none" w:sz="0" w:space="0" w:color="auto"/>
      </w:divBdr>
    </w:div>
    <w:div w:id="632708801">
      <w:bodyDiv w:val="1"/>
      <w:marLeft w:val="0"/>
      <w:marRight w:val="0"/>
      <w:marTop w:val="0"/>
      <w:marBottom w:val="0"/>
      <w:divBdr>
        <w:top w:val="none" w:sz="0" w:space="0" w:color="auto"/>
        <w:left w:val="none" w:sz="0" w:space="0" w:color="auto"/>
        <w:bottom w:val="none" w:sz="0" w:space="0" w:color="auto"/>
        <w:right w:val="none" w:sz="0" w:space="0" w:color="auto"/>
      </w:divBdr>
    </w:div>
    <w:div w:id="633025720">
      <w:bodyDiv w:val="1"/>
      <w:marLeft w:val="0"/>
      <w:marRight w:val="0"/>
      <w:marTop w:val="0"/>
      <w:marBottom w:val="0"/>
      <w:divBdr>
        <w:top w:val="none" w:sz="0" w:space="0" w:color="auto"/>
        <w:left w:val="none" w:sz="0" w:space="0" w:color="auto"/>
        <w:bottom w:val="none" w:sz="0" w:space="0" w:color="auto"/>
        <w:right w:val="none" w:sz="0" w:space="0" w:color="auto"/>
      </w:divBdr>
    </w:div>
    <w:div w:id="633098563">
      <w:bodyDiv w:val="1"/>
      <w:marLeft w:val="0"/>
      <w:marRight w:val="0"/>
      <w:marTop w:val="0"/>
      <w:marBottom w:val="0"/>
      <w:divBdr>
        <w:top w:val="none" w:sz="0" w:space="0" w:color="auto"/>
        <w:left w:val="none" w:sz="0" w:space="0" w:color="auto"/>
        <w:bottom w:val="none" w:sz="0" w:space="0" w:color="auto"/>
        <w:right w:val="none" w:sz="0" w:space="0" w:color="auto"/>
      </w:divBdr>
    </w:div>
    <w:div w:id="633100617">
      <w:bodyDiv w:val="1"/>
      <w:marLeft w:val="0"/>
      <w:marRight w:val="0"/>
      <w:marTop w:val="0"/>
      <w:marBottom w:val="0"/>
      <w:divBdr>
        <w:top w:val="none" w:sz="0" w:space="0" w:color="auto"/>
        <w:left w:val="none" w:sz="0" w:space="0" w:color="auto"/>
        <w:bottom w:val="none" w:sz="0" w:space="0" w:color="auto"/>
        <w:right w:val="none" w:sz="0" w:space="0" w:color="auto"/>
      </w:divBdr>
    </w:div>
    <w:div w:id="633484910">
      <w:bodyDiv w:val="1"/>
      <w:marLeft w:val="0"/>
      <w:marRight w:val="0"/>
      <w:marTop w:val="0"/>
      <w:marBottom w:val="0"/>
      <w:divBdr>
        <w:top w:val="none" w:sz="0" w:space="0" w:color="auto"/>
        <w:left w:val="none" w:sz="0" w:space="0" w:color="auto"/>
        <w:bottom w:val="none" w:sz="0" w:space="0" w:color="auto"/>
        <w:right w:val="none" w:sz="0" w:space="0" w:color="auto"/>
      </w:divBdr>
    </w:div>
    <w:div w:id="633557377">
      <w:bodyDiv w:val="1"/>
      <w:marLeft w:val="0"/>
      <w:marRight w:val="0"/>
      <w:marTop w:val="0"/>
      <w:marBottom w:val="0"/>
      <w:divBdr>
        <w:top w:val="none" w:sz="0" w:space="0" w:color="auto"/>
        <w:left w:val="none" w:sz="0" w:space="0" w:color="auto"/>
        <w:bottom w:val="none" w:sz="0" w:space="0" w:color="auto"/>
        <w:right w:val="none" w:sz="0" w:space="0" w:color="auto"/>
      </w:divBdr>
    </w:div>
    <w:div w:id="633566282">
      <w:bodyDiv w:val="1"/>
      <w:marLeft w:val="0"/>
      <w:marRight w:val="0"/>
      <w:marTop w:val="0"/>
      <w:marBottom w:val="0"/>
      <w:divBdr>
        <w:top w:val="none" w:sz="0" w:space="0" w:color="auto"/>
        <w:left w:val="none" w:sz="0" w:space="0" w:color="auto"/>
        <w:bottom w:val="none" w:sz="0" w:space="0" w:color="auto"/>
        <w:right w:val="none" w:sz="0" w:space="0" w:color="auto"/>
      </w:divBdr>
    </w:div>
    <w:div w:id="633752982">
      <w:bodyDiv w:val="1"/>
      <w:marLeft w:val="0"/>
      <w:marRight w:val="0"/>
      <w:marTop w:val="0"/>
      <w:marBottom w:val="0"/>
      <w:divBdr>
        <w:top w:val="none" w:sz="0" w:space="0" w:color="auto"/>
        <w:left w:val="none" w:sz="0" w:space="0" w:color="auto"/>
        <w:bottom w:val="none" w:sz="0" w:space="0" w:color="auto"/>
        <w:right w:val="none" w:sz="0" w:space="0" w:color="auto"/>
      </w:divBdr>
    </w:div>
    <w:div w:id="633759696">
      <w:bodyDiv w:val="1"/>
      <w:marLeft w:val="0"/>
      <w:marRight w:val="0"/>
      <w:marTop w:val="0"/>
      <w:marBottom w:val="0"/>
      <w:divBdr>
        <w:top w:val="none" w:sz="0" w:space="0" w:color="auto"/>
        <w:left w:val="none" w:sz="0" w:space="0" w:color="auto"/>
        <w:bottom w:val="none" w:sz="0" w:space="0" w:color="auto"/>
        <w:right w:val="none" w:sz="0" w:space="0" w:color="auto"/>
      </w:divBdr>
    </w:div>
    <w:div w:id="634069059">
      <w:bodyDiv w:val="1"/>
      <w:marLeft w:val="0"/>
      <w:marRight w:val="0"/>
      <w:marTop w:val="0"/>
      <w:marBottom w:val="0"/>
      <w:divBdr>
        <w:top w:val="none" w:sz="0" w:space="0" w:color="auto"/>
        <w:left w:val="none" w:sz="0" w:space="0" w:color="auto"/>
        <w:bottom w:val="none" w:sz="0" w:space="0" w:color="auto"/>
        <w:right w:val="none" w:sz="0" w:space="0" w:color="auto"/>
      </w:divBdr>
    </w:div>
    <w:div w:id="634138515">
      <w:bodyDiv w:val="1"/>
      <w:marLeft w:val="0"/>
      <w:marRight w:val="0"/>
      <w:marTop w:val="0"/>
      <w:marBottom w:val="0"/>
      <w:divBdr>
        <w:top w:val="none" w:sz="0" w:space="0" w:color="auto"/>
        <w:left w:val="none" w:sz="0" w:space="0" w:color="auto"/>
        <w:bottom w:val="none" w:sz="0" w:space="0" w:color="auto"/>
        <w:right w:val="none" w:sz="0" w:space="0" w:color="auto"/>
      </w:divBdr>
    </w:div>
    <w:div w:id="634146419">
      <w:bodyDiv w:val="1"/>
      <w:marLeft w:val="0"/>
      <w:marRight w:val="0"/>
      <w:marTop w:val="0"/>
      <w:marBottom w:val="0"/>
      <w:divBdr>
        <w:top w:val="none" w:sz="0" w:space="0" w:color="auto"/>
        <w:left w:val="none" w:sz="0" w:space="0" w:color="auto"/>
        <w:bottom w:val="none" w:sz="0" w:space="0" w:color="auto"/>
        <w:right w:val="none" w:sz="0" w:space="0" w:color="auto"/>
      </w:divBdr>
    </w:div>
    <w:div w:id="634216297">
      <w:bodyDiv w:val="1"/>
      <w:marLeft w:val="0"/>
      <w:marRight w:val="0"/>
      <w:marTop w:val="0"/>
      <w:marBottom w:val="0"/>
      <w:divBdr>
        <w:top w:val="none" w:sz="0" w:space="0" w:color="auto"/>
        <w:left w:val="none" w:sz="0" w:space="0" w:color="auto"/>
        <w:bottom w:val="none" w:sz="0" w:space="0" w:color="auto"/>
        <w:right w:val="none" w:sz="0" w:space="0" w:color="auto"/>
      </w:divBdr>
    </w:div>
    <w:div w:id="634333568">
      <w:bodyDiv w:val="1"/>
      <w:marLeft w:val="0"/>
      <w:marRight w:val="0"/>
      <w:marTop w:val="0"/>
      <w:marBottom w:val="0"/>
      <w:divBdr>
        <w:top w:val="none" w:sz="0" w:space="0" w:color="auto"/>
        <w:left w:val="none" w:sz="0" w:space="0" w:color="auto"/>
        <w:bottom w:val="none" w:sz="0" w:space="0" w:color="auto"/>
        <w:right w:val="none" w:sz="0" w:space="0" w:color="auto"/>
      </w:divBdr>
    </w:div>
    <w:div w:id="634339226">
      <w:bodyDiv w:val="1"/>
      <w:marLeft w:val="0"/>
      <w:marRight w:val="0"/>
      <w:marTop w:val="0"/>
      <w:marBottom w:val="0"/>
      <w:divBdr>
        <w:top w:val="none" w:sz="0" w:space="0" w:color="auto"/>
        <w:left w:val="none" w:sz="0" w:space="0" w:color="auto"/>
        <w:bottom w:val="none" w:sz="0" w:space="0" w:color="auto"/>
        <w:right w:val="none" w:sz="0" w:space="0" w:color="auto"/>
      </w:divBdr>
    </w:div>
    <w:div w:id="634454534">
      <w:bodyDiv w:val="1"/>
      <w:marLeft w:val="0"/>
      <w:marRight w:val="0"/>
      <w:marTop w:val="0"/>
      <w:marBottom w:val="0"/>
      <w:divBdr>
        <w:top w:val="none" w:sz="0" w:space="0" w:color="auto"/>
        <w:left w:val="none" w:sz="0" w:space="0" w:color="auto"/>
        <w:bottom w:val="none" w:sz="0" w:space="0" w:color="auto"/>
        <w:right w:val="none" w:sz="0" w:space="0" w:color="auto"/>
      </w:divBdr>
    </w:div>
    <w:div w:id="634677373">
      <w:bodyDiv w:val="1"/>
      <w:marLeft w:val="0"/>
      <w:marRight w:val="0"/>
      <w:marTop w:val="0"/>
      <w:marBottom w:val="0"/>
      <w:divBdr>
        <w:top w:val="none" w:sz="0" w:space="0" w:color="auto"/>
        <w:left w:val="none" w:sz="0" w:space="0" w:color="auto"/>
        <w:bottom w:val="none" w:sz="0" w:space="0" w:color="auto"/>
        <w:right w:val="none" w:sz="0" w:space="0" w:color="auto"/>
      </w:divBdr>
    </w:div>
    <w:div w:id="634724439">
      <w:bodyDiv w:val="1"/>
      <w:marLeft w:val="0"/>
      <w:marRight w:val="0"/>
      <w:marTop w:val="0"/>
      <w:marBottom w:val="0"/>
      <w:divBdr>
        <w:top w:val="none" w:sz="0" w:space="0" w:color="auto"/>
        <w:left w:val="none" w:sz="0" w:space="0" w:color="auto"/>
        <w:bottom w:val="none" w:sz="0" w:space="0" w:color="auto"/>
        <w:right w:val="none" w:sz="0" w:space="0" w:color="auto"/>
      </w:divBdr>
    </w:div>
    <w:div w:id="634724599">
      <w:bodyDiv w:val="1"/>
      <w:marLeft w:val="0"/>
      <w:marRight w:val="0"/>
      <w:marTop w:val="0"/>
      <w:marBottom w:val="0"/>
      <w:divBdr>
        <w:top w:val="none" w:sz="0" w:space="0" w:color="auto"/>
        <w:left w:val="none" w:sz="0" w:space="0" w:color="auto"/>
        <w:bottom w:val="none" w:sz="0" w:space="0" w:color="auto"/>
        <w:right w:val="none" w:sz="0" w:space="0" w:color="auto"/>
      </w:divBdr>
    </w:div>
    <w:div w:id="634798303">
      <w:bodyDiv w:val="1"/>
      <w:marLeft w:val="0"/>
      <w:marRight w:val="0"/>
      <w:marTop w:val="0"/>
      <w:marBottom w:val="0"/>
      <w:divBdr>
        <w:top w:val="none" w:sz="0" w:space="0" w:color="auto"/>
        <w:left w:val="none" w:sz="0" w:space="0" w:color="auto"/>
        <w:bottom w:val="none" w:sz="0" w:space="0" w:color="auto"/>
        <w:right w:val="none" w:sz="0" w:space="0" w:color="auto"/>
      </w:divBdr>
    </w:div>
    <w:div w:id="634868946">
      <w:bodyDiv w:val="1"/>
      <w:marLeft w:val="0"/>
      <w:marRight w:val="0"/>
      <w:marTop w:val="0"/>
      <w:marBottom w:val="0"/>
      <w:divBdr>
        <w:top w:val="none" w:sz="0" w:space="0" w:color="auto"/>
        <w:left w:val="none" w:sz="0" w:space="0" w:color="auto"/>
        <w:bottom w:val="none" w:sz="0" w:space="0" w:color="auto"/>
        <w:right w:val="none" w:sz="0" w:space="0" w:color="auto"/>
      </w:divBdr>
    </w:div>
    <w:div w:id="634986308">
      <w:bodyDiv w:val="1"/>
      <w:marLeft w:val="0"/>
      <w:marRight w:val="0"/>
      <w:marTop w:val="0"/>
      <w:marBottom w:val="0"/>
      <w:divBdr>
        <w:top w:val="none" w:sz="0" w:space="0" w:color="auto"/>
        <w:left w:val="none" w:sz="0" w:space="0" w:color="auto"/>
        <w:bottom w:val="none" w:sz="0" w:space="0" w:color="auto"/>
        <w:right w:val="none" w:sz="0" w:space="0" w:color="auto"/>
      </w:divBdr>
    </w:div>
    <w:div w:id="635571396">
      <w:bodyDiv w:val="1"/>
      <w:marLeft w:val="0"/>
      <w:marRight w:val="0"/>
      <w:marTop w:val="0"/>
      <w:marBottom w:val="0"/>
      <w:divBdr>
        <w:top w:val="none" w:sz="0" w:space="0" w:color="auto"/>
        <w:left w:val="none" w:sz="0" w:space="0" w:color="auto"/>
        <w:bottom w:val="none" w:sz="0" w:space="0" w:color="auto"/>
        <w:right w:val="none" w:sz="0" w:space="0" w:color="auto"/>
      </w:divBdr>
    </w:div>
    <w:div w:id="635766245">
      <w:bodyDiv w:val="1"/>
      <w:marLeft w:val="0"/>
      <w:marRight w:val="0"/>
      <w:marTop w:val="0"/>
      <w:marBottom w:val="0"/>
      <w:divBdr>
        <w:top w:val="none" w:sz="0" w:space="0" w:color="auto"/>
        <w:left w:val="none" w:sz="0" w:space="0" w:color="auto"/>
        <w:bottom w:val="none" w:sz="0" w:space="0" w:color="auto"/>
        <w:right w:val="none" w:sz="0" w:space="0" w:color="auto"/>
      </w:divBdr>
    </w:div>
    <w:div w:id="635794983">
      <w:bodyDiv w:val="1"/>
      <w:marLeft w:val="0"/>
      <w:marRight w:val="0"/>
      <w:marTop w:val="0"/>
      <w:marBottom w:val="0"/>
      <w:divBdr>
        <w:top w:val="none" w:sz="0" w:space="0" w:color="auto"/>
        <w:left w:val="none" w:sz="0" w:space="0" w:color="auto"/>
        <w:bottom w:val="none" w:sz="0" w:space="0" w:color="auto"/>
        <w:right w:val="none" w:sz="0" w:space="0" w:color="auto"/>
      </w:divBdr>
    </w:div>
    <w:div w:id="635834770">
      <w:bodyDiv w:val="1"/>
      <w:marLeft w:val="0"/>
      <w:marRight w:val="0"/>
      <w:marTop w:val="0"/>
      <w:marBottom w:val="0"/>
      <w:divBdr>
        <w:top w:val="none" w:sz="0" w:space="0" w:color="auto"/>
        <w:left w:val="none" w:sz="0" w:space="0" w:color="auto"/>
        <w:bottom w:val="none" w:sz="0" w:space="0" w:color="auto"/>
        <w:right w:val="none" w:sz="0" w:space="0" w:color="auto"/>
      </w:divBdr>
    </w:div>
    <w:div w:id="635990581">
      <w:bodyDiv w:val="1"/>
      <w:marLeft w:val="0"/>
      <w:marRight w:val="0"/>
      <w:marTop w:val="0"/>
      <w:marBottom w:val="0"/>
      <w:divBdr>
        <w:top w:val="none" w:sz="0" w:space="0" w:color="auto"/>
        <w:left w:val="none" w:sz="0" w:space="0" w:color="auto"/>
        <w:bottom w:val="none" w:sz="0" w:space="0" w:color="auto"/>
        <w:right w:val="none" w:sz="0" w:space="0" w:color="auto"/>
      </w:divBdr>
    </w:div>
    <w:div w:id="635993172">
      <w:bodyDiv w:val="1"/>
      <w:marLeft w:val="0"/>
      <w:marRight w:val="0"/>
      <w:marTop w:val="0"/>
      <w:marBottom w:val="0"/>
      <w:divBdr>
        <w:top w:val="none" w:sz="0" w:space="0" w:color="auto"/>
        <w:left w:val="none" w:sz="0" w:space="0" w:color="auto"/>
        <w:bottom w:val="none" w:sz="0" w:space="0" w:color="auto"/>
        <w:right w:val="none" w:sz="0" w:space="0" w:color="auto"/>
      </w:divBdr>
    </w:div>
    <w:div w:id="636255598">
      <w:bodyDiv w:val="1"/>
      <w:marLeft w:val="0"/>
      <w:marRight w:val="0"/>
      <w:marTop w:val="0"/>
      <w:marBottom w:val="0"/>
      <w:divBdr>
        <w:top w:val="none" w:sz="0" w:space="0" w:color="auto"/>
        <w:left w:val="none" w:sz="0" w:space="0" w:color="auto"/>
        <w:bottom w:val="none" w:sz="0" w:space="0" w:color="auto"/>
        <w:right w:val="none" w:sz="0" w:space="0" w:color="auto"/>
      </w:divBdr>
    </w:div>
    <w:div w:id="636446952">
      <w:bodyDiv w:val="1"/>
      <w:marLeft w:val="0"/>
      <w:marRight w:val="0"/>
      <w:marTop w:val="0"/>
      <w:marBottom w:val="0"/>
      <w:divBdr>
        <w:top w:val="none" w:sz="0" w:space="0" w:color="auto"/>
        <w:left w:val="none" w:sz="0" w:space="0" w:color="auto"/>
        <w:bottom w:val="none" w:sz="0" w:space="0" w:color="auto"/>
        <w:right w:val="none" w:sz="0" w:space="0" w:color="auto"/>
      </w:divBdr>
    </w:div>
    <w:div w:id="636643358">
      <w:bodyDiv w:val="1"/>
      <w:marLeft w:val="0"/>
      <w:marRight w:val="0"/>
      <w:marTop w:val="0"/>
      <w:marBottom w:val="0"/>
      <w:divBdr>
        <w:top w:val="none" w:sz="0" w:space="0" w:color="auto"/>
        <w:left w:val="none" w:sz="0" w:space="0" w:color="auto"/>
        <w:bottom w:val="none" w:sz="0" w:space="0" w:color="auto"/>
        <w:right w:val="none" w:sz="0" w:space="0" w:color="auto"/>
      </w:divBdr>
    </w:div>
    <w:div w:id="636764853">
      <w:bodyDiv w:val="1"/>
      <w:marLeft w:val="0"/>
      <w:marRight w:val="0"/>
      <w:marTop w:val="0"/>
      <w:marBottom w:val="0"/>
      <w:divBdr>
        <w:top w:val="none" w:sz="0" w:space="0" w:color="auto"/>
        <w:left w:val="none" w:sz="0" w:space="0" w:color="auto"/>
        <w:bottom w:val="none" w:sz="0" w:space="0" w:color="auto"/>
        <w:right w:val="none" w:sz="0" w:space="0" w:color="auto"/>
      </w:divBdr>
    </w:div>
    <w:div w:id="636843193">
      <w:bodyDiv w:val="1"/>
      <w:marLeft w:val="0"/>
      <w:marRight w:val="0"/>
      <w:marTop w:val="0"/>
      <w:marBottom w:val="0"/>
      <w:divBdr>
        <w:top w:val="none" w:sz="0" w:space="0" w:color="auto"/>
        <w:left w:val="none" w:sz="0" w:space="0" w:color="auto"/>
        <w:bottom w:val="none" w:sz="0" w:space="0" w:color="auto"/>
        <w:right w:val="none" w:sz="0" w:space="0" w:color="auto"/>
      </w:divBdr>
    </w:div>
    <w:div w:id="636955789">
      <w:bodyDiv w:val="1"/>
      <w:marLeft w:val="0"/>
      <w:marRight w:val="0"/>
      <w:marTop w:val="0"/>
      <w:marBottom w:val="0"/>
      <w:divBdr>
        <w:top w:val="none" w:sz="0" w:space="0" w:color="auto"/>
        <w:left w:val="none" w:sz="0" w:space="0" w:color="auto"/>
        <w:bottom w:val="none" w:sz="0" w:space="0" w:color="auto"/>
        <w:right w:val="none" w:sz="0" w:space="0" w:color="auto"/>
      </w:divBdr>
    </w:div>
    <w:div w:id="636960271">
      <w:bodyDiv w:val="1"/>
      <w:marLeft w:val="0"/>
      <w:marRight w:val="0"/>
      <w:marTop w:val="0"/>
      <w:marBottom w:val="0"/>
      <w:divBdr>
        <w:top w:val="none" w:sz="0" w:space="0" w:color="auto"/>
        <w:left w:val="none" w:sz="0" w:space="0" w:color="auto"/>
        <w:bottom w:val="none" w:sz="0" w:space="0" w:color="auto"/>
        <w:right w:val="none" w:sz="0" w:space="0" w:color="auto"/>
      </w:divBdr>
    </w:div>
    <w:div w:id="637034999">
      <w:bodyDiv w:val="1"/>
      <w:marLeft w:val="0"/>
      <w:marRight w:val="0"/>
      <w:marTop w:val="0"/>
      <w:marBottom w:val="0"/>
      <w:divBdr>
        <w:top w:val="none" w:sz="0" w:space="0" w:color="auto"/>
        <w:left w:val="none" w:sz="0" w:space="0" w:color="auto"/>
        <w:bottom w:val="none" w:sz="0" w:space="0" w:color="auto"/>
        <w:right w:val="none" w:sz="0" w:space="0" w:color="auto"/>
      </w:divBdr>
    </w:div>
    <w:div w:id="637078417">
      <w:bodyDiv w:val="1"/>
      <w:marLeft w:val="0"/>
      <w:marRight w:val="0"/>
      <w:marTop w:val="0"/>
      <w:marBottom w:val="0"/>
      <w:divBdr>
        <w:top w:val="none" w:sz="0" w:space="0" w:color="auto"/>
        <w:left w:val="none" w:sz="0" w:space="0" w:color="auto"/>
        <w:bottom w:val="none" w:sz="0" w:space="0" w:color="auto"/>
        <w:right w:val="none" w:sz="0" w:space="0" w:color="auto"/>
      </w:divBdr>
    </w:div>
    <w:div w:id="637107623">
      <w:bodyDiv w:val="1"/>
      <w:marLeft w:val="0"/>
      <w:marRight w:val="0"/>
      <w:marTop w:val="0"/>
      <w:marBottom w:val="0"/>
      <w:divBdr>
        <w:top w:val="none" w:sz="0" w:space="0" w:color="auto"/>
        <w:left w:val="none" w:sz="0" w:space="0" w:color="auto"/>
        <w:bottom w:val="none" w:sz="0" w:space="0" w:color="auto"/>
        <w:right w:val="none" w:sz="0" w:space="0" w:color="auto"/>
      </w:divBdr>
    </w:div>
    <w:div w:id="637299592">
      <w:bodyDiv w:val="1"/>
      <w:marLeft w:val="0"/>
      <w:marRight w:val="0"/>
      <w:marTop w:val="0"/>
      <w:marBottom w:val="0"/>
      <w:divBdr>
        <w:top w:val="none" w:sz="0" w:space="0" w:color="auto"/>
        <w:left w:val="none" w:sz="0" w:space="0" w:color="auto"/>
        <w:bottom w:val="none" w:sz="0" w:space="0" w:color="auto"/>
        <w:right w:val="none" w:sz="0" w:space="0" w:color="auto"/>
      </w:divBdr>
    </w:div>
    <w:div w:id="637339760">
      <w:bodyDiv w:val="1"/>
      <w:marLeft w:val="0"/>
      <w:marRight w:val="0"/>
      <w:marTop w:val="0"/>
      <w:marBottom w:val="0"/>
      <w:divBdr>
        <w:top w:val="none" w:sz="0" w:space="0" w:color="auto"/>
        <w:left w:val="none" w:sz="0" w:space="0" w:color="auto"/>
        <w:bottom w:val="none" w:sz="0" w:space="0" w:color="auto"/>
        <w:right w:val="none" w:sz="0" w:space="0" w:color="auto"/>
      </w:divBdr>
    </w:div>
    <w:div w:id="638001612">
      <w:bodyDiv w:val="1"/>
      <w:marLeft w:val="0"/>
      <w:marRight w:val="0"/>
      <w:marTop w:val="0"/>
      <w:marBottom w:val="0"/>
      <w:divBdr>
        <w:top w:val="none" w:sz="0" w:space="0" w:color="auto"/>
        <w:left w:val="none" w:sz="0" w:space="0" w:color="auto"/>
        <w:bottom w:val="none" w:sz="0" w:space="0" w:color="auto"/>
        <w:right w:val="none" w:sz="0" w:space="0" w:color="auto"/>
      </w:divBdr>
    </w:div>
    <w:div w:id="638070398">
      <w:bodyDiv w:val="1"/>
      <w:marLeft w:val="0"/>
      <w:marRight w:val="0"/>
      <w:marTop w:val="0"/>
      <w:marBottom w:val="0"/>
      <w:divBdr>
        <w:top w:val="none" w:sz="0" w:space="0" w:color="auto"/>
        <w:left w:val="none" w:sz="0" w:space="0" w:color="auto"/>
        <w:bottom w:val="none" w:sz="0" w:space="0" w:color="auto"/>
        <w:right w:val="none" w:sz="0" w:space="0" w:color="auto"/>
      </w:divBdr>
    </w:div>
    <w:div w:id="638344063">
      <w:bodyDiv w:val="1"/>
      <w:marLeft w:val="0"/>
      <w:marRight w:val="0"/>
      <w:marTop w:val="0"/>
      <w:marBottom w:val="0"/>
      <w:divBdr>
        <w:top w:val="none" w:sz="0" w:space="0" w:color="auto"/>
        <w:left w:val="none" w:sz="0" w:space="0" w:color="auto"/>
        <w:bottom w:val="none" w:sz="0" w:space="0" w:color="auto"/>
        <w:right w:val="none" w:sz="0" w:space="0" w:color="auto"/>
      </w:divBdr>
    </w:div>
    <w:div w:id="638415154">
      <w:bodyDiv w:val="1"/>
      <w:marLeft w:val="0"/>
      <w:marRight w:val="0"/>
      <w:marTop w:val="0"/>
      <w:marBottom w:val="0"/>
      <w:divBdr>
        <w:top w:val="none" w:sz="0" w:space="0" w:color="auto"/>
        <w:left w:val="none" w:sz="0" w:space="0" w:color="auto"/>
        <w:bottom w:val="none" w:sz="0" w:space="0" w:color="auto"/>
        <w:right w:val="none" w:sz="0" w:space="0" w:color="auto"/>
      </w:divBdr>
    </w:div>
    <w:div w:id="638457626">
      <w:bodyDiv w:val="1"/>
      <w:marLeft w:val="0"/>
      <w:marRight w:val="0"/>
      <w:marTop w:val="0"/>
      <w:marBottom w:val="0"/>
      <w:divBdr>
        <w:top w:val="none" w:sz="0" w:space="0" w:color="auto"/>
        <w:left w:val="none" w:sz="0" w:space="0" w:color="auto"/>
        <w:bottom w:val="none" w:sz="0" w:space="0" w:color="auto"/>
        <w:right w:val="none" w:sz="0" w:space="0" w:color="auto"/>
      </w:divBdr>
    </w:div>
    <w:div w:id="638612138">
      <w:bodyDiv w:val="1"/>
      <w:marLeft w:val="0"/>
      <w:marRight w:val="0"/>
      <w:marTop w:val="0"/>
      <w:marBottom w:val="0"/>
      <w:divBdr>
        <w:top w:val="none" w:sz="0" w:space="0" w:color="auto"/>
        <w:left w:val="none" w:sz="0" w:space="0" w:color="auto"/>
        <w:bottom w:val="none" w:sz="0" w:space="0" w:color="auto"/>
        <w:right w:val="none" w:sz="0" w:space="0" w:color="auto"/>
      </w:divBdr>
    </w:div>
    <w:div w:id="638850463">
      <w:bodyDiv w:val="1"/>
      <w:marLeft w:val="0"/>
      <w:marRight w:val="0"/>
      <w:marTop w:val="0"/>
      <w:marBottom w:val="0"/>
      <w:divBdr>
        <w:top w:val="none" w:sz="0" w:space="0" w:color="auto"/>
        <w:left w:val="none" w:sz="0" w:space="0" w:color="auto"/>
        <w:bottom w:val="none" w:sz="0" w:space="0" w:color="auto"/>
        <w:right w:val="none" w:sz="0" w:space="0" w:color="auto"/>
      </w:divBdr>
    </w:div>
    <w:div w:id="638918520">
      <w:bodyDiv w:val="1"/>
      <w:marLeft w:val="0"/>
      <w:marRight w:val="0"/>
      <w:marTop w:val="0"/>
      <w:marBottom w:val="0"/>
      <w:divBdr>
        <w:top w:val="none" w:sz="0" w:space="0" w:color="auto"/>
        <w:left w:val="none" w:sz="0" w:space="0" w:color="auto"/>
        <w:bottom w:val="none" w:sz="0" w:space="0" w:color="auto"/>
        <w:right w:val="none" w:sz="0" w:space="0" w:color="auto"/>
      </w:divBdr>
    </w:div>
    <w:div w:id="638921647">
      <w:bodyDiv w:val="1"/>
      <w:marLeft w:val="0"/>
      <w:marRight w:val="0"/>
      <w:marTop w:val="0"/>
      <w:marBottom w:val="0"/>
      <w:divBdr>
        <w:top w:val="none" w:sz="0" w:space="0" w:color="auto"/>
        <w:left w:val="none" w:sz="0" w:space="0" w:color="auto"/>
        <w:bottom w:val="none" w:sz="0" w:space="0" w:color="auto"/>
        <w:right w:val="none" w:sz="0" w:space="0" w:color="auto"/>
      </w:divBdr>
    </w:div>
    <w:div w:id="639270542">
      <w:bodyDiv w:val="1"/>
      <w:marLeft w:val="0"/>
      <w:marRight w:val="0"/>
      <w:marTop w:val="0"/>
      <w:marBottom w:val="0"/>
      <w:divBdr>
        <w:top w:val="none" w:sz="0" w:space="0" w:color="auto"/>
        <w:left w:val="none" w:sz="0" w:space="0" w:color="auto"/>
        <w:bottom w:val="none" w:sz="0" w:space="0" w:color="auto"/>
        <w:right w:val="none" w:sz="0" w:space="0" w:color="auto"/>
      </w:divBdr>
    </w:div>
    <w:div w:id="639312410">
      <w:bodyDiv w:val="1"/>
      <w:marLeft w:val="0"/>
      <w:marRight w:val="0"/>
      <w:marTop w:val="0"/>
      <w:marBottom w:val="0"/>
      <w:divBdr>
        <w:top w:val="none" w:sz="0" w:space="0" w:color="auto"/>
        <w:left w:val="none" w:sz="0" w:space="0" w:color="auto"/>
        <w:bottom w:val="none" w:sz="0" w:space="0" w:color="auto"/>
        <w:right w:val="none" w:sz="0" w:space="0" w:color="auto"/>
      </w:divBdr>
    </w:div>
    <w:div w:id="639379701">
      <w:bodyDiv w:val="1"/>
      <w:marLeft w:val="0"/>
      <w:marRight w:val="0"/>
      <w:marTop w:val="0"/>
      <w:marBottom w:val="0"/>
      <w:divBdr>
        <w:top w:val="none" w:sz="0" w:space="0" w:color="auto"/>
        <w:left w:val="none" w:sz="0" w:space="0" w:color="auto"/>
        <w:bottom w:val="none" w:sz="0" w:space="0" w:color="auto"/>
        <w:right w:val="none" w:sz="0" w:space="0" w:color="auto"/>
      </w:divBdr>
    </w:div>
    <w:div w:id="639462597">
      <w:bodyDiv w:val="1"/>
      <w:marLeft w:val="0"/>
      <w:marRight w:val="0"/>
      <w:marTop w:val="0"/>
      <w:marBottom w:val="0"/>
      <w:divBdr>
        <w:top w:val="none" w:sz="0" w:space="0" w:color="auto"/>
        <w:left w:val="none" w:sz="0" w:space="0" w:color="auto"/>
        <w:bottom w:val="none" w:sz="0" w:space="0" w:color="auto"/>
        <w:right w:val="none" w:sz="0" w:space="0" w:color="auto"/>
      </w:divBdr>
    </w:div>
    <w:div w:id="639532286">
      <w:bodyDiv w:val="1"/>
      <w:marLeft w:val="0"/>
      <w:marRight w:val="0"/>
      <w:marTop w:val="0"/>
      <w:marBottom w:val="0"/>
      <w:divBdr>
        <w:top w:val="none" w:sz="0" w:space="0" w:color="auto"/>
        <w:left w:val="none" w:sz="0" w:space="0" w:color="auto"/>
        <w:bottom w:val="none" w:sz="0" w:space="0" w:color="auto"/>
        <w:right w:val="none" w:sz="0" w:space="0" w:color="auto"/>
      </w:divBdr>
    </w:div>
    <w:div w:id="639728460">
      <w:bodyDiv w:val="1"/>
      <w:marLeft w:val="0"/>
      <w:marRight w:val="0"/>
      <w:marTop w:val="0"/>
      <w:marBottom w:val="0"/>
      <w:divBdr>
        <w:top w:val="none" w:sz="0" w:space="0" w:color="auto"/>
        <w:left w:val="none" w:sz="0" w:space="0" w:color="auto"/>
        <w:bottom w:val="none" w:sz="0" w:space="0" w:color="auto"/>
        <w:right w:val="none" w:sz="0" w:space="0" w:color="auto"/>
      </w:divBdr>
    </w:div>
    <w:div w:id="640111236">
      <w:bodyDiv w:val="1"/>
      <w:marLeft w:val="0"/>
      <w:marRight w:val="0"/>
      <w:marTop w:val="0"/>
      <w:marBottom w:val="0"/>
      <w:divBdr>
        <w:top w:val="none" w:sz="0" w:space="0" w:color="auto"/>
        <w:left w:val="none" w:sz="0" w:space="0" w:color="auto"/>
        <w:bottom w:val="none" w:sz="0" w:space="0" w:color="auto"/>
        <w:right w:val="none" w:sz="0" w:space="0" w:color="auto"/>
      </w:divBdr>
    </w:div>
    <w:div w:id="640312241">
      <w:bodyDiv w:val="1"/>
      <w:marLeft w:val="0"/>
      <w:marRight w:val="0"/>
      <w:marTop w:val="0"/>
      <w:marBottom w:val="0"/>
      <w:divBdr>
        <w:top w:val="none" w:sz="0" w:space="0" w:color="auto"/>
        <w:left w:val="none" w:sz="0" w:space="0" w:color="auto"/>
        <w:bottom w:val="none" w:sz="0" w:space="0" w:color="auto"/>
        <w:right w:val="none" w:sz="0" w:space="0" w:color="auto"/>
      </w:divBdr>
    </w:div>
    <w:div w:id="640429252">
      <w:bodyDiv w:val="1"/>
      <w:marLeft w:val="0"/>
      <w:marRight w:val="0"/>
      <w:marTop w:val="0"/>
      <w:marBottom w:val="0"/>
      <w:divBdr>
        <w:top w:val="none" w:sz="0" w:space="0" w:color="auto"/>
        <w:left w:val="none" w:sz="0" w:space="0" w:color="auto"/>
        <w:bottom w:val="none" w:sz="0" w:space="0" w:color="auto"/>
        <w:right w:val="none" w:sz="0" w:space="0" w:color="auto"/>
      </w:divBdr>
    </w:div>
    <w:div w:id="640575485">
      <w:bodyDiv w:val="1"/>
      <w:marLeft w:val="0"/>
      <w:marRight w:val="0"/>
      <w:marTop w:val="0"/>
      <w:marBottom w:val="0"/>
      <w:divBdr>
        <w:top w:val="none" w:sz="0" w:space="0" w:color="auto"/>
        <w:left w:val="none" w:sz="0" w:space="0" w:color="auto"/>
        <w:bottom w:val="none" w:sz="0" w:space="0" w:color="auto"/>
        <w:right w:val="none" w:sz="0" w:space="0" w:color="auto"/>
      </w:divBdr>
    </w:div>
    <w:div w:id="640581373">
      <w:bodyDiv w:val="1"/>
      <w:marLeft w:val="0"/>
      <w:marRight w:val="0"/>
      <w:marTop w:val="0"/>
      <w:marBottom w:val="0"/>
      <w:divBdr>
        <w:top w:val="none" w:sz="0" w:space="0" w:color="auto"/>
        <w:left w:val="none" w:sz="0" w:space="0" w:color="auto"/>
        <w:bottom w:val="none" w:sz="0" w:space="0" w:color="auto"/>
        <w:right w:val="none" w:sz="0" w:space="0" w:color="auto"/>
      </w:divBdr>
    </w:div>
    <w:div w:id="640813643">
      <w:bodyDiv w:val="1"/>
      <w:marLeft w:val="0"/>
      <w:marRight w:val="0"/>
      <w:marTop w:val="0"/>
      <w:marBottom w:val="0"/>
      <w:divBdr>
        <w:top w:val="none" w:sz="0" w:space="0" w:color="auto"/>
        <w:left w:val="none" w:sz="0" w:space="0" w:color="auto"/>
        <w:bottom w:val="none" w:sz="0" w:space="0" w:color="auto"/>
        <w:right w:val="none" w:sz="0" w:space="0" w:color="auto"/>
      </w:divBdr>
    </w:div>
    <w:div w:id="640817121">
      <w:bodyDiv w:val="1"/>
      <w:marLeft w:val="0"/>
      <w:marRight w:val="0"/>
      <w:marTop w:val="0"/>
      <w:marBottom w:val="0"/>
      <w:divBdr>
        <w:top w:val="none" w:sz="0" w:space="0" w:color="auto"/>
        <w:left w:val="none" w:sz="0" w:space="0" w:color="auto"/>
        <w:bottom w:val="none" w:sz="0" w:space="0" w:color="auto"/>
        <w:right w:val="none" w:sz="0" w:space="0" w:color="auto"/>
      </w:divBdr>
    </w:div>
    <w:div w:id="640963879">
      <w:bodyDiv w:val="1"/>
      <w:marLeft w:val="0"/>
      <w:marRight w:val="0"/>
      <w:marTop w:val="0"/>
      <w:marBottom w:val="0"/>
      <w:divBdr>
        <w:top w:val="none" w:sz="0" w:space="0" w:color="auto"/>
        <w:left w:val="none" w:sz="0" w:space="0" w:color="auto"/>
        <w:bottom w:val="none" w:sz="0" w:space="0" w:color="auto"/>
        <w:right w:val="none" w:sz="0" w:space="0" w:color="auto"/>
      </w:divBdr>
    </w:div>
    <w:div w:id="641157486">
      <w:bodyDiv w:val="1"/>
      <w:marLeft w:val="0"/>
      <w:marRight w:val="0"/>
      <w:marTop w:val="0"/>
      <w:marBottom w:val="0"/>
      <w:divBdr>
        <w:top w:val="none" w:sz="0" w:space="0" w:color="auto"/>
        <w:left w:val="none" w:sz="0" w:space="0" w:color="auto"/>
        <w:bottom w:val="none" w:sz="0" w:space="0" w:color="auto"/>
        <w:right w:val="none" w:sz="0" w:space="0" w:color="auto"/>
      </w:divBdr>
    </w:div>
    <w:div w:id="641614766">
      <w:bodyDiv w:val="1"/>
      <w:marLeft w:val="0"/>
      <w:marRight w:val="0"/>
      <w:marTop w:val="0"/>
      <w:marBottom w:val="0"/>
      <w:divBdr>
        <w:top w:val="none" w:sz="0" w:space="0" w:color="auto"/>
        <w:left w:val="none" w:sz="0" w:space="0" w:color="auto"/>
        <w:bottom w:val="none" w:sz="0" w:space="0" w:color="auto"/>
        <w:right w:val="none" w:sz="0" w:space="0" w:color="auto"/>
      </w:divBdr>
    </w:div>
    <w:div w:id="641882994">
      <w:bodyDiv w:val="1"/>
      <w:marLeft w:val="0"/>
      <w:marRight w:val="0"/>
      <w:marTop w:val="0"/>
      <w:marBottom w:val="0"/>
      <w:divBdr>
        <w:top w:val="none" w:sz="0" w:space="0" w:color="auto"/>
        <w:left w:val="none" w:sz="0" w:space="0" w:color="auto"/>
        <w:bottom w:val="none" w:sz="0" w:space="0" w:color="auto"/>
        <w:right w:val="none" w:sz="0" w:space="0" w:color="auto"/>
      </w:divBdr>
    </w:div>
    <w:div w:id="642080618">
      <w:bodyDiv w:val="1"/>
      <w:marLeft w:val="0"/>
      <w:marRight w:val="0"/>
      <w:marTop w:val="0"/>
      <w:marBottom w:val="0"/>
      <w:divBdr>
        <w:top w:val="none" w:sz="0" w:space="0" w:color="auto"/>
        <w:left w:val="none" w:sz="0" w:space="0" w:color="auto"/>
        <w:bottom w:val="none" w:sz="0" w:space="0" w:color="auto"/>
        <w:right w:val="none" w:sz="0" w:space="0" w:color="auto"/>
      </w:divBdr>
    </w:div>
    <w:div w:id="642195060">
      <w:bodyDiv w:val="1"/>
      <w:marLeft w:val="0"/>
      <w:marRight w:val="0"/>
      <w:marTop w:val="0"/>
      <w:marBottom w:val="0"/>
      <w:divBdr>
        <w:top w:val="none" w:sz="0" w:space="0" w:color="auto"/>
        <w:left w:val="none" w:sz="0" w:space="0" w:color="auto"/>
        <w:bottom w:val="none" w:sz="0" w:space="0" w:color="auto"/>
        <w:right w:val="none" w:sz="0" w:space="0" w:color="auto"/>
      </w:divBdr>
    </w:div>
    <w:div w:id="642471334">
      <w:bodyDiv w:val="1"/>
      <w:marLeft w:val="0"/>
      <w:marRight w:val="0"/>
      <w:marTop w:val="0"/>
      <w:marBottom w:val="0"/>
      <w:divBdr>
        <w:top w:val="none" w:sz="0" w:space="0" w:color="auto"/>
        <w:left w:val="none" w:sz="0" w:space="0" w:color="auto"/>
        <w:bottom w:val="none" w:sz="0" w:space="0" w:color="auto"/>
        <w:right w:val="none" w:sz="0" w:space="0" w:color="auto"/>
      </w:divBdr>
    </w:div>
    <w:div w:id="642541669">
      <w:bodyDiv w:val="1"/>
      <w:marLeft w:val="0"/>
      <w:marRight w:val="0"/>
      <w:marTop w:val="0"/>
      <w:marBottom w:val="0"/>
      <w:divBdr>
        <w:top w:val="none" w:sz="0" w:space="0" w:color="auto"/>
        <w:left w:val="none" w:sz="0" w:space="0" w:color="auto"/>
        <w:bottom w:val="none" w:sz="0" w:space="0" w:color="auto"/>
        <w:right w:val="none" w:sz="0" w:space="0" w:color="auto"/>
      </w:divBdr>
    </w:div>
    <w:div w:id="642585068">
      <w:bodyDiv w:val="1"/>
      <w:marLeft w:val="0"/>
      <w:marRight w:val="0"/>
      <w:marTop w:val="0"/>
      <w:marBottom w:val="0"/>
      <w:divBdr>
        <w:top w:val="none" w:sz="0" w:space="0" w:color="auto"/>
        <w:left w:val="none" w:sz="0" w:space="0" w:color="auto"/>
        <w:bottom w:val="none" w:sz="0" w:space="0" w:color="auto"/>
        <w:right w:val="none" w:sz="0" w:space="0" w:color="auto"/>
      </w:divBdr>
    </w:div>
    <w:div w:id="642587734">
      <w:bodyDiv w:val="1"/>
      <w:marLeft w:val="0"/>
      <w:marRight w:val="0"/>
      <w:marTop w:val="0"/>
      <w:marBottom w:val="0"/>
      <w:divBdr>
        <w:top w:val="none" w:sz="0" w:space="0" w:color="auto"/>
        <w:left w:val="none" w:sz="0" w:space="0" w:color="auto"/>
        <w:bottom w:val="none" w:sz="0" w:space="0" w:color="auto"/>
        <w:right w:val="none" w:sz="0" w:space="0" w:color="auto"/>
      </w:divBdr>
    </w:div>
    <w:div w:id="642656335">
      <w:bodyDiv w:val="1"/>
      <w:marLeft w:val="0"/>
      <w:marRight w:val="0"/>
      <w:marTop w:val="0"/>
      <w:marBottom w:val="0"/>
      <w:divBdr>
        <w:top w:val="none" w:sz="0" w:space="0" w:color="auto"/>
        <w:left w:val="none" w:sz="0" w:space="0" w:color="auto"/>
        <w:bottom w:val="none" w:sz="0" w:space="0" w:color="auto"/>
        <w:right w:val="none" w:sz="0" w:space="0" w:color="auto"/>
      </w:divBdr>
    </w:div>
    <w:div w:id="642807063">
      <w:bodyDiv w:val="1"/>
      <w:marLeft w:val="0"/>
      <w:marRight w:val="0"/>
      <w:marTop w:val="0"/>
      <w:marBottom w:val="0"/>
      <w:divBdr>
        <w:top w:val="none" w:sz="0" w:space="0" w:color="auto"/>
        <w:left w:val="none" w:sz="0" w:space="0" w:color="auto"/>
        <w:bottom w:val="none" w:sz="0" w:space="0" w:color="auto"/>
        <w:right w:val="none" w:sz="0" w:space="0" w:color="auto"/>
      </w:divBdr>
    </w:div>
    <w:div w:id="643047064">
      <w:bodyDiv w:val="1"/>
      <w:marLeft w:val="0"/>
      <w:marRight w:val="0"/>
      <w:marTop w:val="0"/>
      <w:marBottom w:val="0"/>
      <w:divBdr>
        <w:top w:val="none" w:sz="0" w:space="0" w:color="auto"/>
        <w:left w:val="none" w:sz="0" w:space="0" w:color="auto"/>
        <w:bottom w:val="none" w:sz="0" w:space="0" w:color="auto"/>
        <w:right w:val="none" w:sz="0" w:space="0" w:color="auto"/>
      </w:divBdr>
    </w:div>
    <w:div w:id="643118314">
      <w:bodyDiv w:val="1"/>
      <w:marLeft w:val="0"/>
      <w:marRight w:val="0"/>
      <w:marTop w:val="0"/>
      <w:marBottom w:val="0"/>
      <w:divBdr>
        <w:top w:val="none" w:sz="0" w:space="0" w:color="auto"/>
        <w:left w:val="none" w:sz="0" w:space="0" w:color="auto"/>
        <w:bottom w:val="none" w:sz="0" w:space="0" w:color="auto"/>
        <w:right w:val="none" w:sz="0" w:space="0" w:color="auto"/>
      </w:divBdr>
    </w:div>
    <w:div w:id="643120852">
      <w:bodyDiv w:val="1"/>
      <w:marLeft w:val="0"/>
      <w:marRight w:val="0"/>
      <w:marTop w:val="0"/>
      <w:marBottom w:val="0"/>
      <w:divBdr>
        <w:top w:val="none" w:sz="0" w:space="0" w:color="auto"/>
        <w:left w:val="none" w:sz="0" w:space="0" w:color="auto"/>
        <w:bottom w:val="none" w:sz="0" w:space="0" w:color="auto"/>
        <w:right w:val="none" w:sz="0" w:space="0" w:color="auto"/>
      </w:divBdr>
    </w:div>
    <w:div w:id="643512382">
      <w:bodyDiv w:val="1"/>
      <w:marLeft w:val="0"/>
      <w:marRight w:val="0"/>
      <w:marTop w:val="0"/>
      <w:marBottom w:val="0"/>
      <w:divBdr>
        <w:top w:val="none" w:sz="0" w:space="0" w:color="auto"/>
        <w:left w:val="none" w:sz="0" w:space="0" w:color="auto"/>
        <w:bottom w:val="none" w:sz="0" w:space="0" w:color="auto"/>
        <w:right w:val="none" w:sz="0" w:space="0" w:color="auto"/>
      </w:divBdr>
    </w:div>
    <w:div w:id="643698097">
      <w:bodyDiv w:val="1"/>
      <w:marLeft w:val="0"/>
      <w:marRight w:val="0"/>
      <w:marTop w:val="0"/>
      <w:marBottom w:val="0"/>
      <w:divBdr>
        <w:top w:val="none" w:sz="0" w:space="0" w:color="auto"/>
        <w:left w:val="none" w:sz="0" w:space="0" w:color="auto"/>
        <w:bottom w:val="none" w:sz="0" w:space="0" w:color="auto"/>
        <w:right w:val="none" w:sz="0" w:space="0" w:color="auto"/>
      </w:divBdr>
    </w:div>
    <w:div w:id="643701002">
      <w:bodyDiv w:val="1"/>
      <w:marLeft w:val="0"/>
      <w:marRight w:val="0"/>
      <w:marTop w:val="0"/>
      <w:marBottom w:val="0"/>
      <w:divBdr>
        <w:top w:val="none" w:sz="0" w:space="0" w:color="auto"/>
        <w:left w:val="none" w:sz="0" w:space="0" w:color="auto"/>
        <w:bottom w:val="none" w:sz="0" w:space="0" w:color="auto"/>
        <w:right w:val="none" w:sz="0" w:space="0" w:color="auto"/>
      </w:divBdr>
    </w:div>
    <w:div w:id="643773233">
      <w:bodyDiv w:val="1"/>
      <w:marLeft w:val="0"/>
      <w:marRight w:val="0"/>
      <w:marTop w:val="0"/>
      <w:marBottom w:val="0"/>
      <w:divBdr>
        <w:top w:val="none" w:sz="0" w:space="0" w:color="auto"/>
        <w:left w:val="none" w:sz="0" w:space="0" w:color="auto"/>
        <w:bottom w:val="none" w:sz="0" w:space="0" w:color="auto"/>
        <w:right w:val="none" w:sz="0" w:space="0" w:color="auto"/>
      </w:divBdr>
    </w:div>
    <w:div w:id="643775863">
      <w:bodyDiv w:val="1"/>
      <w:marLeft w:val="0"/>
      <w:marRight w:val="0"/>
      <w:marTop w:val="0"/>
      <w:marBottom w:val="0"/>
      <w:divBdr>
        <w:top w:val="none" w:sz="0" w:space="0" w:color="auto"/>
        <w:left w:val="none" w:sz="0" w:space="0" w:color="auto"/>
        <w:bottom w:val="none" w:sz="0" w:space="0" w:color="auto"/>
        <w:right w:val="none" w:sz="0" w:space="0" w:color="auto"/>
      </w:divBdr>
    </w:div>
    <w:div w:id="643897266">
      <w:bodyDiv w:val="1"/>
      <w:marLeft w:val="0"/>
      <w:marRight w:val="0"/>
      <w:marTop w:val="0"/>
      <w:marBottom w:val="0"/>
      <w:divBdr>
        <w:top w:val="none" w:sz="0" w:space="0" w:color="auto"/>
        <w:left w:val="none" w:sz="0" w:space="0" w:color="auto"/>
        <w:bottom w:val="none" w:sz="0" w:space="0" w:color="auto"/>
        <w:right w:val="none" w:sz="0" w:space="0" w:color="auto"/>
      </w:divBdr>
    </w:div>
    <w:div w:id="644042793">
      <w:bodyDiv w:val="1"/>
      <w:marLeft w:val="0"/>
      <w:marRight w:val="0"/>
      <w:marTop w:val="0"/>
      <w:marBottom w:val="0"/>
      <w:divBdr>
        <w:top w:val="none" w:sz="0" w:space="0" w:color="auto"/>
        <w:left w:val="none" w:sz="0" w:space="0" w:color="auto"/>
        <w:bottom w:val="none" w:sz="0" w:space="0" w:color="auto"/>
        <w:right w:val="none" w:sz="0" w:space="0" w:color="auto"/>
      </w:divBdr>
    </w:div>
    <w:div w:id="644162521">
      <w:bodyDiv w:val="1"/>
      <w:marLeft w:val="0"/>
      <w:marRight w:val="0"/>
      <w:marTop w:val="0"/>
      <w:marBottom w:val="0"/>
      <w:divBdr>
        <w:top w:val="none" w:sz="0" w:space="0" w:color="auto"/>
        <w:left w:val="none" w:sz="0" w:space="0" w:color="auto"/>
        <w:bottom w:val="none" w:sz="0" w:space="0" w:color="auto"/>
        <w:right w:val="none" w:sz="0" w:space="0" w:color="auto"/>
      </w:divBdr>
    </w:div>
    <w:div w:id="644167768">
      <w:bodyDiv w:val="1"/>
      <w:marLeft w:val="0"/>
      <w:marRight w:val="0"/>
      <w:marTop w:val="0"/>
      <w:marBottom w:val="0"/>
      <w:divBdr>
        <w:top w:val="none" w:sz="0" w:space="0" w:color="auto"/>
        <w:left w:val="none" w:sz="0" w:space="0" w:color="auto"/>
        <w:bottom w:val="none" w:sz="0" w:space="0" w:color="auto"/>
        <w:right w:val="none" w:sz="0" w:space="0" w:color="auto"/>
      </w:divBdr>
    </w:div>
    <w:div w:id="644774435">
      <w:bodyDiv w:val="1"/>
      <w:marLeft w:val="0"/>
      <w:marRight w:val="0"/>
      <w:marTop w:val="0"/>
      <w:marBottom w:val="0"/>
      <w:divBdr>
        <w:top w:val="none" w:sz="0" w:space="0" w:color="auto"/>
        <w:left w:val="none" w:sz="0" w:space="0" w:color="auto"/>
        <w:bottom w:val="none" w:sz="0" w:space="0" w:color="auto"/>
        <w:right w:val="none" w:sz="0" w:space="0" w:color="auto"/>
      </w:divBdr>
    </w:div>
    <w:div w:id="645234478">
      <w:bodyDiv w:val="1"/>
      <w:marLeft w:val="0"/>
      <w:marRight w:val="0"/>
      <w:marTop w:val="0"/>
      <w:marBottom w:val="0"/>
      <w:divBdr>
        <w:top w:val="none" w:sz="0" w:space="0" w:color="auto"/>
        <w:left w:val="none" w:sz="0" w:space="0" w:color="auto"/>
        <w:bottom w:val="none" w:sz="0" w:space="0" w:color="auto"/>
        <w:right w:val="none" w:sz="0" w:space="0" w:color="auto"/>
      </w:divBdr>
    </w:div>
    <w:div w:id="645358282">
      <w:bodyDiv w:val="1"/>
      <w:marLeft w:val="0"/>
      <w:marRight w:val="0"/>
      <w:marTop w:val="0"/>
      <w:marBottom w:val="0"/>
      <w:divBdr>
        <w:top w:val="none" w:sz="0" w:space="0" w:color="auto"/>
        <w:left w:val="none" w:sz="0" w:space="0" w:color="auto"/>
        <w:bottom w:val="none" w:sz="0" w:space="0" w:color="auto"/>
        <w:right w:val="none" w:sz="0" w:space="0" w:color="auto"/>
      </w:divBdr>
    </w:div>
    <w:div w:id="645938818">
      <w:bodyDiv w:val="1"/>
      <w:marLeft w:val="0"/>
      <w:marRight w:val="0"/>
      <w:marTop w:val="0"/>
      <w:marBottom w:val="0"/>
      <w:divBdr>
        <w:top w:val="none" w:sz="0" w:space="0" w:color="auto"/>
        <w:left w:val="none" w:sz="0" w:space="0" w:color="auto"/>
        <w:bottom w:val="none" w:sz="0" w:space="0" w:color="auto"/>
        <w:right w:val="none" w:sz="0" w:space="0" w:color="auto"/>
      </w:divBdr>
    </w:div>
    <w:div w:id="645938834">
      <w:bodyDiv w:val="1"/>
      <w:marLeft w:val="0"/>
      <w:marRight w:val="0"/>
      <w:marTop w:val="0"/>
      <w:marBottom w:val="0"/>
      <w:divBdr>
        <w:top w:val="none" w:sz="0" w:space="0" w:color="auto"/>
        <w:left w:val="none" w:sz="0" w:space="0" w:color="auto"/>
        <w:bottom w:val="none" w:sz="0" w:space="0" w:color="auto"/>
        <w:right w:val="none" w:sz="0" w:space="0" w:color="auto"/>
      </w:divBdr>
    </w:div>
    <w:div w:id="646013679">
      <w:bodyDiv w:val="1"/>
      <w:marLeft w:val="0"/>
      <w:marRight w:val="0"/>
      <w:marTop w:val="0"/>
      <w:marBottom w:val="0"/>
      <w:divBdr>
        <w:top w:val="none" w:sz="0" w:space="0" w:color="auto"/>
        <w:left w:val="none" w:sz="0" w:space="0" w:color="auto"/>
        <w:bottom w:val="none" w:sz="0" w:space="0" w:color="auto"/>
        <w:right w:val="none" w:sz="0" w:space="0" w:color="auto"/>
      </w:divBdr>
    </w:div>
    <w:div w:id="646125243">
      <w:bodyDiv w:val="1"/>
      <w:marLeft w:val="0"/>
      <w:marRight w:val="0"/>
      <w:marTop w:val="0"/>
      <w:marBottom w:val="0"/>
      <w:divBdr>
        <w:top w:val="none" w:sz="0" w:space="0" w:color="auto"/>
        <w:left w:val="none" w:sz="0" w:space="0" w:color="auto"/>
        <w:bottom w:val="none" w:sz="0" w:space="0" w:color="auto"/>
        <w:right w:val="none" w:sz="0" w:space="0" w:color="auto"/>
      </w:divBdr>
    </w:div>
    <w:div w:id="646130799">
      <w:bodyDiv w:val="1"/>
      <w:marLeft w:val="0"/>
      <w:marRight w:val="0"/>
      <w:marTop w:val="0"/>
      <w:marBottom w:val="0"/>
      <w:divBdr>
        <w:top w:val="none" w:sz="0" w:space="0" w:color="auto"/>
        <w:left w:val="none" w:sz="0" w:space="0" w:color="auto"/>
        <w:bottom w:val="none" w:sz="0" w:space="0" w:color="auto"/>
        <w:right w:val="none" w:sz="0" w:space="0" w:color="auto"/>
      </w:divBdr>
    </w:div>
    <w:div w:id="646201480">
      <w:bodyDiv w:val="1"/>
      <w:marLeft w:val="0"/>
      <w:marRight w:val="0"/>
      <w:marTop w:val="0"/>
      <w:marBottom w:val="0"/>
      <w:divBdr>
        <w:top w:val="none" w:sz="0" w:space="0" w:color="auto"/>
        <w:left w:val="none" w:sz="0" w:space="0" w:color="auto"/>
        <w:bottom w:val="none" w:sz="0" w:space="0" w:color="auto"/>
        <w:right w:val="none" w:sz="0" w:space="0" w:color="auto"/>
      </w:divBdr>
    </w:div>
    <w:div w:id="646325752">
      <w:bodyDiv w:val="1"/>
      <w:marLeft w:val="0"/>
      <w:marRight w:val="0"/>
      <w:marTop w:val="0"/>
      <w:marBottom w:val="0"/>
      <w:divBdr>
        <w:top w:val="none" w:sz="0" w:space="0" w:color="auto"/>
        <w:left w:val="none" w:sz="0" w:space="0" w:color="auto"/>
        <w:bottom w:val="none" w:sz="0" w:space="0" w:color="auto"/>
        <w:right w:val="none" w:sz="0" w:space="0" w:color="auto"/>
      </w:divBdr>
    </w:div>
    <w:div w:id="646513679">
      <w:bodyDiv w:val="1"/>
      <w:marLeft w:val="0"/>
      <w:marRight w:val="0"/>
      <w:marTop w:val="0"/>
      <w:marBottom w:val="0"/>
      <w:divBdr>
        <w:top w:val="none" w:sz="0" w:space="0" w:color="auto"/>
        <w:left w:val="none" w:sz="0" w:space="0" w:color="auto"/>
        <w:bottom w:val="none" w:sz="0" w:space="0" w:color="auto"/>
        <w:right w:val="none" w:sz="0" w:space="0" w:color="auto"/>
      </w:divBdr>
    </w:div>
    <w:div w:id="646518305">
      <w:bodyDiv w:val="1"/>
      <w:marLeft w:val="0"/>
      <w:marRight w:val="0"/>
      <w:marTop w:val="0"/>
      <w:marBottom w:val="0"/>
      <w:divBdr>
        <w:top w:val="none" w:sz="0" w:space="0" w:color="auto"/>
        <w:left w:val="none" w:sz="0" w:space="0" w:color="auto"/>
        <w:bottom w:val="none" w:sz="0" w:space="0" w:color="auto"/>
        <w:right w:val="none" w:sz="0" w:space="0" w:color="auto"/>
      </w:divBdr>
    </w:div>
    <w:div w:id="646934938">
      <w:bodyDiv w:val="1"/>
      <w:marLeft w:val="0"/>
      <w:marRight w:val="0"/>
      <w:marTop w:val="0"/>
      <w:marBottom w:val="0"/>
      <w:divBdr>
        <w:top w:val="none" w:sz="0" w:space="0" w:color="auto"/>
        <w:left w:val="none" w:sz="0" w:space="0" w:color="auto"/>
        <w:bottom w:val="none" w:sz="0" w:space="0" w:color="auto"/>
        <w:right w:val="none" w:sz="0" w:space="0" w:color="auto"/>
      </w:divBdr>
    </w:div>
    <w:div w:id="647129717">
      <w:bodyDiv w:val="1"/>
      <w:marLeft w:val="0"/>
      <w:marRight w:val="0"/>
      <w:marTop w:val="0"/>
      <w:marBottom w:val="0"/>
      <w:divBdr>
        <w:top w:val="none" w:sz="0" w:space="0" w:color="auto"/>
        <w:left w:val="none" w:sz="0" w:space="0" w:color="auto"/>
        <w:bottom w:val="none" w:sz="0" w:space="0" w:color="auto"/>
        <w:right w:val="none" w:sz="0" w:space="0" w:color="auto"/>
      </w:divBdr>
    </w:div>
    <w:div w:id="647323307">
      <w:bodyDiv w:val="1"/>
      <w:marLeft w:val="0"/>
      <w:marRight w:val="0"/>
      <w:marTop w:val="0"/>
      <w:marBottom w:val="0"/>
      <w:divBdr>
        <w:top w:val="none" w:sz="0" w:space="0" w:color="auto"/>
        <w:left w:val="none" w:sz="0" w:space="0" w:color="auto"/>
        <w:bottom w:val="none" w:sz="0" w:space="0" w:color="auto"/>
        <w:right w:val="none" w:sz="0" w:space="0" w:color="auto"/>
      </w:divBdr>
    </w:div>
    <w:div w:id="647824727">
      <w:bodyDiv w:val="1"/>
      <w:marLeft w:val="0"/>
      <w:marRight w:val="0"/>
      <w:marTop w:val="0"/>
      <w:marBottom w:val="0"/>
      <w:divBdr>
        <w:top w:val="none" w:sz="0" w:space="0" w:color="auto"/>
        <w:left w:val="none" w:sz="0" w:space="0" w:color="auto"/>
        <w:bottom w:val="none" w:sz="0" w:space="0" w:color="auto"/>
        <w:right w:val="none" w:sz="0" w:space="0" w:color="auto"/>
      </w:divBdr>
    </w:div>
    <w:div w:id="647973794">
      <w:bodyDiv w:val="1"/>
      <w:marLeft w:val="0"/>
      <w:marRight w:val="0"/>
      <w:marTop w:val="0"/>
      <w:marBottom w:val="0"/>
      <w:divBdr>
        <w:top w:val="none" w:sz="0" w:space="0" w:color="auto"/>
        <w:left w:val="none" w:sz="0" w:space="0" w:color="auto"/>
        <w:bottom w:val="none" w:sz="0" w:space="0" w:color="auto"/>
        <w:right w:val="none" w:sz="0" w:space="0" w:color="auto"/>
      </w:divBdr>
    </w:div>
    <w:div w:id="647975164">
      <w:bodyDiv w:val="1"/>
      <w:marLeft w:val="0"/>
      <w:marRight w:val="0"/>
      <w:marTop w:val="0"/>
      <w:marBottom w:val="0"/>
      <w:divBdr>
        <w:top w:val="none" w:sz="0" w:space="0" w:color="auto"/>
        <w:left w:val="none" w:sz="0" w:space="0" w:color="auto"/>
        <w:bottom w:val="none" w:sz="0" w:space="0" w:color="auto"/>
        <w:right w:val="none" w:sz="0" w:space="0" w:color="auto"/>
      </w:divBdr>
    </w:div>
    <w:div w:id="647979408">
      <w:bodyDiv w:val="1"/>
      <w:marLeft w:val="0"/>
      <w:marRight w:val="0"/>
      <w:marTop w:val="0"/>
      <w:marBottom w:val="0"/>
      <w:divBdr>
        <w:top w:val="none" w:sz="0" w:space="0" w:color="auto"/>
        <w:left w:val="none" w:sz="0" w:space="0" w:color="auto"/>
        <w:bottom w:val="none" w:sz="0" w:space="0" w:color="auto"/>
        <w:right w:val="none" w:sz="0" w:space="0" w:color="auto"/>
      </w:divBdr>
    </w:div>
    <w:div w:id="648286882">
      <w:bodyDiv w:val="1"/>
      <w:marLeft w:val="0"/>
      <w:marRight w:val="0"/>
      <w:marTop w:val="0"/>
      <w:marBottom w:val="0"/>
      <w:divBdr>
        <w:top w:val="none" w:sz="0" w:space="0" w:color="auto"/>
        <w:left w:val="none" w:sz="0" w:space="0" w:color="auto"/>
        <w:bottom w:val="none" w:sz="0" w:space="0" w:color="auto"/>
        <w:right w:val="none" w:sz="0" w:space="0" w:color="auto"/>
      </w:divBdr>
    </w:div>
    <w:div w:id="648443107">
      <w:bodyDiv w:val="1"/>
      <w:marLeft w:val="0"/>
      <w:marRight w:val="0"/>
      <w:marTop w:val="0"/>
      <w:marBottom w:val="0"/>
      <w:divBdr>
        <w:top w:val="none" w:sz="0" w:space="0" w:color="auto"/>
        <w:left w:val="none" w:sz="0" w:space="0" w:color="auto"/>
        <w:bottom w:val="none" w:sz="0" w:space="0" w:color="auto"/>
        <w:right w:val="none" w:sz="0" w:space="0" w:color="auto"/>
      </w:divBdr>
    </w:div>
    <w:div w:id="648637869">
      <w:bodyDiv w:val="1"/>
      <w:marLeft w:val="0"/>
      <w:marRight w:val="0"/>
      <w:marTop w:val="0"/>
      <w:marBottom w:val="0"/>
      <w:divBdr>
        <w:top w:val="none" w:sz="0" w:space="0" w:color="auto"/>
        <w:left w:val="none" w:sz="0" w:space="0" w:color="auto"/>
        <w:bottom w:val="none" w:sz="0" w:space="0" w:color="auto"/>
        <w:right w:val="none" w:sz="0" w:space="0" w:color="auto"/>
      </w:divBdr>
    </w:div>
    <w:div w:id="648897768">
      <w:bodyDiv w:val="1"/>
      <w:marLeft w:val="0"/>
      <w:marRight w:val="0"/>
      <w:marTop w:val="0"/>
      <w:marBottom w:val="0"/>
      <w:divBdr>
        <w:top w:val="none" w:sz="0" w:space="0" w:color="auto"/>
        <w:left w:val="none" w:sz="0" w:space="0" w:color="auto"/>
        <w:bottom w:val="none" w:sz="0" w:space="0" w:color="auto"/>
        <w:right w:val="none" w:sz="0" w:space="0" w:color="auto"/>
      </w:divBdr>
    </w:div>
    <w:div w:id="648899125">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283699">
      <w:bodyDiv w:val="1"/>
      <w:marLeft w:val="0"/>
      <w:marRight w:val="0"/>
      <w:marTop w:val="0"/>
      <w:marBottom w:val="0"/>
      <w:divBdr>
        <w:top w:val="none" w:sz="0" w:space="0" w:color="auto"/>
        <w:left w:val="none" w:sz="0" w:space="0" w:color="auto"/>
        <w:bottom w:val="none" w:sz="0" w:space="0" w:color="auto"/>
        <w:right w:val="none" w:sz="0" w:space="0" w:color="auto"/>
      </w:divBdr>
    </w:div>
    <w:div w:id="649286374">
      <w:bodyDiv w:val="1"/>
      <w:marLeft w:val="0"/>
      <w:marRight w:val="0"/>
      <w:marTop w:val="0"/>
      <w:marBottom w:val="0"/>
      <w:divBdr>
        <w:top w:val="none" w:sz="0" w:space="0" w:color="auto"/>
        <w:left w:val="none" w:sz="0" w:space="0" w:color="auto"/>
        <w:bottom w:val="none" w:sz="0" w:space="0" w:color="auto"/>
        <w:right w:val="none" w:sz="0" w:space="0" w:color="auto"/>
      </w:divBdr>
    </w:div>
    <w:div w:id="649401476">
      <w:bodyDiv w:val="1"/>
      <w:marLeft w:val="0"/>
      <w:marRight w:val="0"/>
      <w:marTop w:val="0"/>
      <w:marBottom w:val="0"/>
      <w:divBdr>
        <w:top w:val="none" w:sz="0" w:space="0" w:color="auto"/>
        <w:left w:val="none" w:sz="0" w:space="0" w:color="auto"/>
        <w:bottom w:val="none" w:sz="0" w:space="0" w:color="auto"/>
        <w:right w:val="none" w:sz="0" w:space="0" w:color="auto"/>
      </w:divBdr>
    </w:div>
    <w:div w:id="649409019">
      <w:bodyDiv w:val="1"/>
      <w:marLeft w:val="0"/>
      <w:marRight w:val="0"/>
      <w:marTop w:val="0"/>
      <w:marBottom w:val="0"/>
      <w:divBdr>
        <w:top w:val="none" w:sz="0" w:space="0" w:color="auto"/>
        <w:left w:val="none" w:sz="0" w:space="0" w:color="auto"/>
        <w:bottom w:val="none" w:sz="0" w:space="0" w:color="auto"/>
        <w:right w:val="none" w:sz="0" w:space="0" w:color="auto"/>
      </w:divBdr>
    </w:div>
    <w:div w:id="649478629">
      <w:bodyDiv w:val="1"/>
      <w:marLeft w:val="0"/>
      <w:marRight w:val="0"/>
      <w:marTop w:val="0"/>
      <w:marBottom w:val="0"/>
      <w:divBdr>
        <w:top w:val="none" w:sz="0" w:space="0" w:color="auto"/>
        <w:left w:val="none" w:sz="0" w:space="0" w:color="auto"/>
        <w:bottom w:val="none" w:sz="0" w:space="0" w:color="auto"/>
        <w:right w:val="none" w:sz="0" w:space="0" w:color="auto"/>
      </w:divBdr>
    </w:div>
    <w:div w:id="649595695">
      <w:bodyDiv w:val="1"/>
      <w:marLeft w:val="0"/>
      <w:marRight w:val="0"/>
      <w:marTop w:val="0"/>
      <w:marBottom w:val="0"/>
      <w:divBdr>
        <w:top w:val="none" w:sz="0" w:space="0" w:color="auto"/>
        <w:left w:val="none" w:sz="0" w:space="0" w:color="auto"/>
        <w:bottom w:val="none" w:sz="0" w:space="0" w:color="auto"/>
        <w:right w:val="none" w:sz="0" w:space="0" w:color="auto"/>
      </w:divBdr>
    </w:div>
    <w:div w:id="649678589">
      <w:bodyDiv w:val="1"/>
      <w:marLeft w:val="0"/>
      <w:marRight w:val="0"/>
      <w:marTop w:val="0"/>
      <w:marBottom w:val="0"/>
      <w:divBdr>
        <w:top w:val="none" w:sz="0" w:space="0" w:color="auto"/>
        <w:left w:val="none" w:sz="0" w:space="0" w:color="auto"/>
        <w:bottom w:val="none" w:sz="0" w:space="0" w:color="auto"/>
        <w:right w:val="none" w:sz="0" w:space="0" w:color="auto"/>
      </w:divBdr>
    </w:div>
    <w:div w:id="649745800">
      <w:bodyDiv w:val="1"/>
      <w:marLeft w:val="0"/>
      <w:marRight w:val="0"/>
      <w:marTop w:val="0"/>
      <w:marBottom w:val="0"/>
      <w:divBdr>
        <w:top w:val="none" w:sz="0" w:space="0" w:color="auto"/>
        <w:left w:val="none" w:sz="0" w:space="0" w:color="auto"/>
        <w:bottom w:val="none" w:sz="0" w:space="0" w:color="auto"/>
        <w:right w:val="none" w:sz="0" w:space="0" w:color="auto"/>
      </w:divBdr>
    </w:div>
    <w:div w:id="649750067">
      <w:bodyDiv w:val="1"/>
      <w:marLeft w:val="0"/>
      <w:marRight w:val="0"/>
      <w:marTop w:val="0"/>
      <w:marBottom w:val="0"/>
      <w:divBdr>
        <w:top w:val="none" w:sz="0" w:space="0" w:color="auto"/>
        <w:left w:val="none" w:sz="0" w:space="0" w:color="auto"/>
        <w:bottom w:val="none" w:sz="0" w:space="0" w:color="auto"/>
        <w:right w:val="none" w:sz="0" w:space="0" w:color="auto"/>
      </w:divBdr>
    </w:div>
    <w:div w:id="649750529">
      <w:bodyDiv w:val="1"/>
      <w:marLeft w:val="0"/>
      <w:marRight w:val="0"/>
      <w:marTop w:val="0"/>
      <w:marBottom w:val="0"/>
      <w:divBdr>
        <w:top w:val="none" w:sz="0" w:space="0" w:color="auto"/>
        <w:left w:val="none" w:sz="0" w:space="0" w:color="auto"/>
        <w:bottom w:val="none" w:sz="0" w:space="0" w:color="auto"/>
        <w:right w:val="none" w:sz="0" w:space="0" w:color="auto"/>
      </w:divBdr>
    </w:div>
    <w:div w:id="649864368">
      <w:bodyDiv w:val="1"/>
      <w:marLeft w:val="0"/>
      <w:marRight w:val="0"/>
      <w:marTop w:val="0"/>
      <w:marBottom w:val="0"/>
      <w:divBdr>
        <w:top w:val="none" w:sz="0" w:space="0" w:color="auto"/>
        <w:left w:val="none" w:sz="0" w:space="0" w:color="auto"/>
        <w:bottom w:val="none" w:sz="0" w:space="0" w:color="auto"/>
        <w:right w:val="none" w:sz="0" w:space="0" w:color="auto"/>
      </w:divBdr>
    </w:div>
    <w:div w:id="649947422">
      <w:bodyDiv w:val="1"/>
      <w:marLeft w:val="0"/>
      <w:marRight w:val="0"/>
      <w:marTop w:val="0"/>
      <w:marBottom w:val="0"/>
      <w:divBdr>
        <w:top w:val="none" w:sz="0" w:space="0" w:color="auto"/>
        <w:left w:val="none" w:sz="0" w:space="0" w:color="auto"/>
        <w:bottom w:val="none" w:sz="0" w:space="0" w:color="auto"/>
        <w:right w:val="none" w:sz="0" w:space="0" w:color="auto"/>
      </w:divBdr>
    </w:div>
    <w:div w:id="649989860">
      <w:bodyDiv w:val="1"/>
      <w:marLeft w:val="0"/>
      <w:marRight w:val="0"/>
      <w:marTop w:val="0"/>
      <w:marBottom w:val="0"/>
      <w:divBdr>
        <w:top w:val="none" w:sz="0" w:space="0" w:color="auto"/>
        <w:left w:val="none" w:sz="0" w:space="0" w:color="auto"/>
        <w:bottom w:val="none" w:sz="0" w:space="0" w:color="auto"/>
        <w:right w:val="none" w:sz="0" w:space="0" w:color="auto"/>
      </w:divBdr>
    </w:div>
    <w:div w:id="650059482">
      <w:bodyDiv w:val="1"/>
      <w:marLeft w:val="0"/>
      <w:marRight w:val="0"/>
      <w:marTop w:val="0"/>
      <w:marBottom w:val="0"/>
      <w:divBdr>
        <w:top w:val="none" w:sz="0" w:space="0" w:color="auto"/>
        <w:left w:val="none" w:sz="0" w:space="0" w:color="auto"/>
        <w:bottom w:val="none" w:sz="0" w:space="0" w:color="auto"/>
        <w:right w:val="none" w:sz="0" w:space="0" w:color="auto"/>
      </w:divBdr>
    </w:div>
    <w:div w:id="650330465">
      <w:bodyDiv w:val="1"/>
      <w:marLeft w:val="0"/>
      <w:marRight w:val="0"/>
      <w:marTop w:val="0"/>
      <w:marBottom w:val="0"/>
      <w:divBdr>
        <w:top w:val="none" w:sz="0" w:space="0" w:color="auto"/>
        <w:left w:val="none" w:sz="0" w:space="0" w:color="auto"/>
        <w:bottom w:val="none" w:sz="0" w:space="0" w:color="auto"/>
        <w:right w:val="none" w:sz="0" w:space="0" w:color="auto"/>
      </w:divBdr>
    </w:div>
    <w:div w:id="650521512">
      <w:bodyDiv w:val="1"/>
      <w:marLeft w:val="0"/>
      <w:marRight w:val="0"/>
      <w:marTop w:val="0"/>
      <w:marBottom w:val="0"/>
      <w:divBdr>
        <w:top w:val="none" w:sz="0" w:space="0" w:color="auto"/>
        <w:left w:val="none" w:sz="0" w:space="0" w:color="auto"/>
        <w:bottom w:val="none" w:sz="0" w:space="0" w:color="auto"/>
        <w:right w:val="none" w:sz="0" w:space="0" w:color="auto"/>
      </w:divBdr>
    </w:div>
    <w:div w:id="650596349">
      <w:bodyDiv w:val="1"/>
      <w:marLeft w:val="0"/>
      <w:marRight w:val="0"/>
      <w:marTop w:val="0"/>
      <w:marBottom w:val="0"/>
      <w:divBdr>
        <w:top w:val="none" w:sz="0" w:space="0" w:color="auto"/>
        <w:left w:val="none" w:sz="0" w:space="0" w:color="auto"/>
        <w:bottom w:val="none" w:sz="0" w:space="0" w:color="auto"/>
        <w:right w:val="none" w:sz="0" w:space="0" w:color="auto"/>
      </w:divBdr>
    </w:div>
    <w:div w:id="650603580">
      <w:bodyDiv w:val="1"/>
      <w:marLeft w:val="0"/>
      <w:marRight w:val="0"/>
      <w:marTop w:val="0"/>
      <w:marBottom w:val="0"/>
      <w:divBdr>
        <w:top w:val="none" w:sz="0" w:space="0" w:color="auto"/>
        <w:left w:val="none" w:sz="0" w:space="0" w:color="auto"/>
        <w:bottom w:val="none" w:sz="0" w:space="0" w:color="auto"/>
        <w:right w:val="none" w:sz="0" w:space="0" w:color="auto"/>
      </w:divBdr>
    </w:div>
    <w:div w:id="650669984">
      <w:bodyDiv w:val="1"/>
      <w:marLeft w:val="0"/>
      <w:marRight w:val="0"/>
      <w:marTop w:val="0"/>
      <w:marBottom w:val="0"/>
      <w:divBdr>
        <w:top w:val="none" w:sz="0" w:space="0" w:color="auto"/>
        <w:left w:val="none" w:sz="0" w:space="0" w:color="auto"/>
        <w:bottom w:val="none" w:sz="0" w:space="0" w:color="auto"/>
        <w:right w:val="none" w:sz="0" w:space="0" w:color="auto"/>
      </w:divBdr>
    </w:div>
    <w:div w:id="650981278">
      <w:bodyDiv w:val="1"/>
      <w:marLeft w:val="0"/>
      <w:marRight w:val="0"/>
      <w:marTop w:val="0"/>
      <w:marBottom w:val="0"/>
      <w:divBdr>
        <w:top w:val="none" w:sz="0" w:space="0" w:color="auto"/>
        <w:left w:val="none" w:sz="0" w:space="0" w:color="auto"/>
        <w:bottom w:val="none" w:sz="0" w:space="0" w:color="auto"/>
        <w:right w:val="none" w:sz="0" w:space="0" w:color="auto"/>
      </w:divBdr>
    </w:div>
    <w:div w:id="651329261">
      <w:bodyDiv w:val="1"/>
      <w:marLeft w:val="0"/>
      <w:marRight w:val="0"/>
      <w:marTop w:val="0"/>
      <w:marBottom w:val="0"/>
      <w:divBdr>
        <w:top w:val="none" w:sz="0" w:space="0" w:color="auto"/>
        <w:left w:val="none" w:sz="0" w:space="0" w:color="auto"/>
        <w:bottom w:val="none" w:sz="0" w:space="0" w:color="auto"/>
        <w:right w:val="none" w:sz="0" w:space="0" w:color="auto"/>
      </w:divBdr>
    </w:div>
    <w:div w:id="651375209">
      <w:bodyDiv w:val="1"/>
      <w:marLeft w:val="0"/>
      <w:marRight w:val="0"/>
      <w:marTop w:val="0"/>
      <w:marBottom w:val="0"/>
      <w:divBdr>
        <w:top w:val="none" w:sz="0" w:space="0" w:color="auto"/>
        <w:left w:val="none" w:sz="0" w:space="0" w:color="auto"/>
        <w:bottom w:val="none" w:sz="0" w:space="0" w:color="auto"/>
        <w:right w:val="none" w:sz="0" w:space="0" w:color="auto"/>
      </w:divBdr>
    </w:div>
    <w:div w:id="651448583">
      <w:bodyDiv w:val="1"/>
      <w:marLeft w:val="0"/>
      <w:marRight w:val="0"/>
      <w:marTop w:val="0"/>
      <w:marBottom w:val="0"/>
      <w:divBdr>
        <w:top w:val="none" w:sz="0" w:space="0" w:color="auto"/>
        <w:left w:val="none" w:sz="0" w:space="0" w:color="auto"/>
        <w:bottom w:val="none" w:sz="0" w:space="0" w:color="auto"/>
        <w:right w:val="none" w:sz="0" w:space="0" w:color="auto"/>
      </w:divBdr>
    </w:div>
    <w:div w:id="651493634">
      <w:bodyDiv w:val="1"/>
      <w:marLeft w:val="0"/>
      <w:marRight w:val="0"/>
      <w:marTop w:val="0"/>
      <w:marBottom w:val="0"/>
      <w:divBdr>
        <w:top w:val="none" w:sz="0" w:space="0" w:color="auto"/>
        <w:left w:val="none" w:sz="0" w:space="0" w:color="auto"/>
        <w:bottom w:val="none" w:sz="0" w:space="0" w:color="auto"/>
        <w:right w:val="none" w:sz="0" w:space="0" w:color="auto"/>
      </w:divBdr>
    </w:div>
    <w:div w:id="651569780">
      <w:bodyDiv w:val="1"/>
      <w:marLeft w:val="0"/>
      <w:marRight w:val="0"/>
      <w:marTop w:val="0"/>
      <w:marBottom w:val="0"/>
      <w:divBdr>
        <w:top w:val="none" w:sz="0" w:space="0" w:color="auto"/>
        <w:left w:val="none" w:sz="0" w:space="0" w:color="auto"/>
        <w:bottom w:val="none" w:sz="0" w:space="0" w:color="auto"/>
        <w:right w:val="none" w:sz="0" w:space="0" w:color="auto"/>
      </w:divBdr>
    </w:div>
    <w:div w:id="651642399">
      <w:bodyDiv w:val="1"/>
      <w:marLeft w:val="0"/>
      <w:marRight w:val="0"/>
      <w:marTop w:val="0"/>
      <w:marBottom w:val="0"/>
      <w:divBdr>
        <w:top w:val="none" w:sz="0" w:space="0" w:color="auto"/>
        <w:left w:val="none" w:sz="0" w:space="0" w:color="auto"/>
        <w:bottom w:val="none" w:sz="0" w:space="0" w:color="auto"/>
        <w:right w:val="none" w:sz="0" w:space="0" w:color="auto"/>
      </w:divBdr>
    </w:div>
    <w:div w:id="651711346">
      <w:bodyDiv w:val="1"/>
      <w:marLeft w:val="0"/>
      <w:marRight w:val="0"/>
      <w:marTop w:val="0"/>
      <w:marBottom w:val="0"/>
      <w:divBdr>
        <w:top w:val="none" w:sz="0" w:space="0" w:color="auto"/>
        <w:left w:val="none" w:sz="0" w:space="0" w:color="auto"/>
        <w:bottom w:val="none" w:sz="0" w:space="0" w:color="auto"/>
        <w:right w:val="none" w:sz="0" w:space="0" w:color="auto"/>
      </w:divBdr>
    </w:div>
    <w:div w:id="651756939">
      <w:bodyDiv w:val="1"/>
      <w:marLeft w:val="0"/>
      <w:marRight w:val="0"/>
      <w:marTop w:val="0"/>
      <w:marBottom w:val="0"/>
      <w:divBdr>
        <w:top w:val="none" w:sz="0" w:space="0" w:color="auto"/>
        <w:left w:val="none" w:sz="0" w:space="0" w:color="auto"/>
        <w:bottom w:val="none" w:sz="0" w:space="0" w:color="auto"/>
        <w:right w:val="none" w:sz="0" w:space="0" w:color="auto"/>
      </w:divBdr>
    </w:div>
    <w:div w:id="652560182">
      <w:bodyDiv w:val="1"/>
      <w:marLeft w:val="0"/>
      <w:marRight w:val="0"/>
      <w:marTop w:val="0"/>
      <w:marBottom w:val="0"/>
      <w:divBdr>
        <w:top w:val="none" w:sz="0" w:space="0" w:color="auto"/>
        <w:left w:val="none" w:sz="0" w:space="0" w:color="auto"/>
        <w:bottom w:val="none" w:sz="0" w:space="0" w:color="auto"/>
        <w:right w:val="none" w:sz="0" w:space="0" w:color="auto"/>
      </w:divBdr>
    </w:div>
    <w:div w:id="652608898">
      <w:bodyDiv w:val="1"/>
      <w:marLeft w:val="0"/>
      <w:marRight w:val="0"/>
      <w:marTop w:val="0"/>
      <w:marBottom w:val="0"/>
      <w:divBdr>
        <w:top w:val="none" w:sz="0" w:space="0" w:color="auto"/>
        <w:left w:val="none" w:sz="0" w:space="0" w:color="auto"/>
        <w:bottom w:val="none" w:sz="0" w:space="0" w:color="auto"/>
        <w:right w:val="none" w:sz="0" w:space="0" w:color="auto"/>
      </w:divBdr>
    </w:div>
    <w:div w:id="652876837">
      <w:bodyDiv w:val="1"/>
      <w:marLeft w:val="0"/>
      <w:marRight w:val="0"/>
      <w:marTop w:val="0"/>
      <w:marBottom w:val="0"/>
      <w:divBdr>
        <w:top w:val="none" w:sz="0" w:space="0" w:color="auto"/>
        <w:left w:val="none" w:sz="0" w:space="0" w:color="auto"/>
        <w:bottom w:val="none" w:sz="0" w:space="0" w:color="auto"/>
        <w:right w:val="none" w:sz="0" w:space="0" w:color="auto"/>
      </w:divBdr>
    </w:div>
    <w:div w:id="653460099">
      <w:bodyDiv w:val="1"/>
      <w:marLeft w:val="0"/>
      <w:marRight w:val="0"/>
      <w:marTop w:val="0"/>
      <w:marBottom w:val="0"/>
      <w:divBdr>
        <w:top w:val="none" w:sz="0" w:space="0" w:color="auto"/>
        <w:left w:val="none" w:sz="0" w:space="0" w:color="auto"/>
        <w:bottom w:val="none" w:sz="0" w:space="0" w:color="auto"/>
        <w:right w:val="none" w:sz="0" w:space="0" w:color="auto"/>
      </w:divBdr>
    </w:div>
    <w:div w:id="653491555">
      <w:bodyDiv w:val="1"/>
      <w:marLeft w:val="0"/>
      <w:marRight w:val="0"/>
      <w:marTop w:val="0"/>
      <w:marBottom w:val="0"/>
      <w:divBdr>
        <w:top w:val="none" w:sz="0" w:space="0" w:color="auto"/>
        <w:left w:val="none" w:sz="0" w:space="0" w:color="auto"/>
        <w:bottom w:val="none" w:sz="0" w:space="0" w:color="auto"/>
        <w:right w:val="none" w:sz="0" w:space="0" w:color="auto"/>
      </w:divBdr>
    </w:div>
    <w:div w:id="653528330">
      <w:bodyDiv w:val="1"/>
      <w:marLeft w:val="0"/>
      <w:marRight w:val="0"/>
      <w:marTop w:val="0"/>
      <w:marBottom w:val="0"/>
      <w:divBdr>
        <w:top w:val="none" w:sz="0" w:space="0" w:color="auto"/>
        <w:left w:val="none" w:sz="0" w:space="0" w:color="auto"/>
        <w:bottom w:val="none" w:sz="0" w:space="0" w:color="auto"/>
        <w:right w:val="none" w:sz="0" w:space="0" w:color="auto"/>
      </w:divBdr>
    </w:div>
    <w:div w:id="653753739">
      <w:bodyDiv w:val="1"/>
      <w:marLeft w:val="0"/>
      <w:marRight w:val="0"/>
      <w:marTop w:val="0"/>
      <w:marBottom w:val="0"/>
      <w:divBdr>
        <w:top w:val="none" w:sz="0" w:space="0" w:color="auto"/>
        <w:left w:val="none" w:sz="0" w:space="0" w:color="auto"/>
        <w:bottom w:val="none" w:sz="0" w:space="0" w:color="auto"/>
        <w:right w:val="none" w:sz="0" w:space="0" w:color="auto"/>
      </w:divBdr>
    </w:div>
    <w:div w:id="654265115">
      <w:bodyDiv w:val="1"/>
      <w:marLeft w:val="0"/>
      <w:marRight w:val="0"/>
      <w:marTop w:val="0"/>
      <w:marBottom w:val="0"/>
      <w:divBdr>
        <w:top w:val="none" w:sz="0" w:space="0" w:color="auto"/>
        <w:left w:val="none" w:sz="0" w:space="0" w:color="auto"/>
        <w:bottom w:val="none" w:sz="0" w:space="0" w:color="auto"/>
        <w:right w:val="none" w:sz="0" w:space="0" w:color="auto"/>
      </w:divBdr>
    </w:div>
    <w:div w:id="654408976">
      <w:bodyDiv w:val="1"/>
      <w:marLeft w:val="0"/>
      <w:marRight w:val="0"/>
      <w:marTop w:val="0"/>
      <w:marBottom w:val="0"/>
      <w:divBdr>
        <w:top w:val="none" w:sz="0" w:space="0" w:color="auto"/>
        <w:left w:val="none" w:sz="0" w:space="0" w:color="auto"/>
        <w:bottom w:val="none" w:sz="0" w:space="0" w:color="auto"/>
        <w:right w:val="none" w:sz="0" w:space="0" w:color="auto"/>
      </w:divBdr>
    </w:div>
    <w:div w:id="654455363">
      <w:bodyDiv w:val="1"/>
      <w:marLeft w:val="0"/>
      <w:marRight w:val="0"/>
      <w:marTop w:val="0"/>
      <w:marBottom w:val="0"/>
      <w:divBdr>
        <w:top w:val="none" w:sz="0" w:space="0" w:color="auto"/>
        <w:left w:val="none" w:sz="0" w:space="0" w:color="auto"/>
        <w:bottom w:val="none" w:sz="0" w:space="0" w:color="auto"/>
        <w:right w:val="none" w:sz="0" w:space="0" w:color="auto"/>
      </w:divBdr>
    </w:div>
    <w:div w:id="654919743">
      <w:bodyDiv w:val="1"/>
      <w:marLeft w:val="0"/>
      <w:marRight w:val="0"/>
      <w:marTop w:val="0"/>
      <w:marBottom w:val="0"/>
      <w:divBdr>
        <w:top w:val="none" w:sz="0" w:space="0" w:color="auto"/>
        <w:left w:val="none" w:sz="0" w:space="0" w:color="auto"/>
        <w:bottom w:val="none" w:sz="0" w:space="0" w:color="auto"/>
        <w:right w:val="none" w:sz="0" w:space="0" w:color="auto"/>
      </w:divBdr>
    </w:div>
    <w:div w:id="654994765">
      <w:bodyDiv w:val="1"/>
      <w:marLeft w:val="0"/>
      <w:marRight w:val="0"/>
      <w:marTop w:val="0"/>
      <w:marBottom w:val="0"/>
      <w:divBdr>
        <w:top w:val="none" w:sz="0" w:space="0" w:color="auto"/>
        <w:left w:val="none" w:sz="0" w:space="0" w:color="auto"/>
        <w:bottom w:val="none" w:sz="0" w:space="0" w:color="auto"/>
        <w:right w:val="none" w:sz="0" w:space="0" w:color="auto"/>
      </w:divBdr>
    </w:div>
    <w:div w:id="655033751">
      <w:bodyDiv w:val="1"/>
      <w:marLeft w:val="0"/>
      <w:marRight w:val="0"/>
      <w:marTop w:val="0"/>
      <w:marBottom w:val="0"/>
      <w:divBdr>
        <w:top w:val="none" w:sz="0" w:space="0" w:color="auto"/>
        <w:left w:val="none" w:sz="0" w:space="0" w:color="auto"/>
        <w:bottom w:val="none" w:sz="0" w:space="0" w:color="auto"/>
        <w:right w:val="none" w:sz="0" w:space="0" w:color="auto"/>
      </w:divBdr>
    </w:div>
    <w:div w:id="655257770">
      <w:bodyDiv w:val="1"/>
      <w:marLeft w:val="0"/>
      <w:marRight w:val="0"/>
      <w:marTop w:val="0"/>
      <w:marBottom w:val="0"/>
      <w:divBdr>
        <w:top w:val="none" w:sz="0" w:space="0" w:color="auto"/>
        <w:left w:val="none" w:sz="0" w:space="0" w:color="auto"/>
        <w:bottom w:val="none" w:sz="0" w:space="0" w:color="auto"/>
        <w:right w:val="none" w:sz="0" w:space="0" w:color="auto"/>
      </w:divBdr>
    </w:div>
    <w:div w:id="655451885">
      <w:bodyDiv w:val="1"/>
      <w:marLeft w:val="0"/>
      <w:marRight w:val="0"/>
      <w:marTop w:val="0"/>
      <w:marBottom w:val="0"/>
      <w:divBdr>
        <w:top w:val="none" w:sz="0" w:space="0" w:color="auto"/>
        <w:left w:val="none" w:sz="0" w:space="0" w:color="auto"/>
        <w:bottom w:val="none" w:sz="0" w:space="0" w:color="auto"/>
        <w:right w:val="none" w:sz="0" w:space="0" w:color="auto"/>
      </w:divBdr>
    </w:div>
    <w:div w:id="655456257">
      <w:bodyDiv w:val="1"/>
      <w:marLeft w:val="0"/>
      <w:marRight w:val="0"/>
      <w:marTop w:val="0"/>
      <w:marBottom w:val="0"/>
      <w:divBdr>
        <w:top w:val="none" w:sz="0" w:space="0" w:color="auto"/>
        <w:left w:val="none" w:sz="0" w:space="0" w:color="auto"/>
        <w:bottom w:val="none" w:sz="0" w:space="0" w:color="auto"/>
        <w:right w:val="none" w:sz="0" w:space="0" w:color="auto"/>
      </w:divBdr>
    </w:div>
    <w:div w:id="655497268">
      <w:bodyDiv w:val="1"/>
      <w:marLeft w:val="0"/>
      <w:marRight w:val="0"/>
      <w:marTop w:val="0"/>
      <w:marBottom w:val="0"/>
      <w:divBdr>
        <w:top w:val="none" w:sz="0" w:space="0" w:color="auto"/>
        <w:left w:val="none" w:sz="0" w:space="0" w:color="auto"/>
        <w:bottom w:val="none" w:sz="0" w:space="0" w:color="auto"/>
        <w:right w:val="none" w:sz="0" w:space="0" w:color="auto"/>
      </w:divBdr>
    </w:div>
    <w:div w:id="655763206">
      <w:bodyDiv w:val="1"/>
      <w:marLeft w:val="0"/>
      <w:marRight w:val="0"/>
      <w:marTop w:val="0"/>
      <w:marBottom w:val="0"/>
      <w:divBdr>
        <w:top w:val="none" w:sz="0" w:space="0" w:color="auto"/>
        <w:left w:val="none" w:sz="0" w:space="0" w:color="auto"/>
        <w:bottom w:val="none" w:sz="0" w:space="0" w:color="auto"/>
        <w:right w:val="none" w:sz="0" w:space="0" w:color="auto"/>
      </w:divBdr>
    </w:div>
    <w:div w:id="655956420">
      <w:bodyDiv w:val="1"/>
      <w:marLeft w:val="0"/>
      <w:marRight w:val="0"/>
      <w:marTop w:val="0"/>
      <w:marBottom w:val="0"/>
      <w:divBdr>
        <w:top w:val="none" w:sz="0" w:space="0" w:color="auto"/>
        <w:left w:val="none" w:sz="0" w:space="0" w:color="auto"/>
        <w:bottom w:val="none" w:sz="0" w:space="0" w:color="auto"/>
        <w:right w:val="none" w:sz="0" w:space="0" w:color="auto"/>
      </w:divBdr>
    </w:div>
    <w:div w:id="656110473">
      <w:bodyDiv w:val="1"/>
      <w:marLeft w:val="0"/>
      <w:marRight w:val="0"/>
      <w:marTop w:val="0"/>
      <w:marBottom w:val="0"/>
      <w:divBdr>
        <w:top w:val="none" w:sz="0" w:space="0" w:color="auto"/>
        <w:left w:val="none" w:sz="0" w:space="0" w:color="auto"/>
        <w:bottom w:val="none" w:sz="0" w:space="0" w:color="auto"/>
        <w:right w:val="none" w:sz="0" w:space="0" w:color="auto"/>
      </w:divBdr>
    </w:div>
    <w:div w:id="656151607">
      <w:bodyDiv w:val="1"/>
      <w:marLeft w:val="0"/>
      <w:marRight w:val="0"/>
      <w:marTop w:val="0"/>
      <w:marBottom w:val="0"/>
      <w:divBdr>
        <w:top w:val="none" w:sz="0" w:space="0" w:color="auto"/>
        <w:left w:val="none" w:sz="0" w:space="0" w:color="auto"/>
        <w:bottom w:val="none" w:sz="0" w:space="0" w:color="auto"/>
        <w:right w:val="none" w:sz="0" w:space="0" w:color="auto"/>
      </w:divBdr>
    </w:div>
    <w:div w:id="656223327">
      <w:bodyDiv w:val="1"/>
      <w:marLeft w:val="0"/>
      <w:marRight w:val="0"/>
      <w:marTop w:val="0"/>
      <w:marBottom w:val="0"/>
      <w:divBdr>
        <w:top w:val="none" w:sz="0" w:space="0" w:color="auto"/>
        <w:left w:val="none" w:sz="0" w:space="0" w:color="auto"/>
        <w:bottom w:val="none" w:sz="0" w:space="0" w:color="auto"/>
        <w:right w:val="none" w:sz="0" w:space="0" w:color="auto"/>
      </w:divBdr>
    </w:div>
    <w:div w:id="656225989">
      <w:bodyDiv w:val="1"/>
      <w:marLeft w:val="0"/>
      <w:marRight w:val="0"/>
      <w:marTop w:val="0"/>
      <w:marBottom w:val="0"/>
      <w:divBdr>
        <w:top w:val="none" w:sz="0" w:space="0" w:color="auto"/>
        <w:left w:val="none" w:sz="0" w:space="0" w:color="auto"/>
        <w:bottom w:val="none" w:sz="0" w:space="0" w:color="auto"/>
        <w:right w:val="none" w:sz="0" w:space="0" w:color="auto"/>
      </w:divBdr>
    </w:div>
    <w:div w:id="656229765">
      <w:bodyDiv w:val="1"/>
      <w:marLeft w:val="0"/>
      <w:marRight w:val="0"/>
      <w:marTop w:val="0"/>
      <w:marBottom w:val="0"/>
      <w:divBdr>
        <w:top w:val="none" w:sz="0" w:space="0" w:color="auto"/>
        <w:left w:val="none" w:sz="0" w:space="0" w:color="auto"/>
        <w:bottom w:val="none" w:sz="0" w:space="0" w:color="auto"/>
        <w:right w:val="none" w:sz="0" w:space="0" w:color="auto"/>
      </w:divBdr>
    </w:div>
    <w:div w:id="656419982">
      <w:bodyDiv w:val="1"/>
      <w:marLeft w:val="0"/>
      <w:marRight w:val="0"/>
      <w:marTop w:val="0"/>
      <w:marBottom w:val="0"/>
      <w:divBdr>
        <w:top w:val="none" w:sz="0" w:space="0" w:color="auto"/>
        <w:left w:val="none" w:sz="0" w:space="0" w:color="auto"/>
        <w:bottom w:val="none" w:sz="0" w:space="0" w:color="auto"/>
        <w:right w:val="none" w:sz="0" w:space="0" w:color="auto"/>
      </w:divBdr>
    </w:div>
    <w:div w:id="656420039">
      <w:bodyDiv w:val="1"/>
      <w:marLeft w:val="0"/>
      <w:marRight w:val="0"/>
      <w:marTop w:val="0"/>
      <w:marBottom w:val="0"/>
      <w:divBdr>
        <w:top w:val="none" w:sz="0" w:space="0" w:color="auto"/>
        <w:left w:val="none" w:sz="0" w:space="0" w:color="auto"/>
        <w:bottom w:val="none" w:sz="0" w:space="0" w:color="auto"/>
        <w:right w:val="none" w:sz="0" w:space="0" w:color="auto"/>
      </w:divBdr>
    </w:div>
    <w:div w:id="656611519">
      <w:bodyDiv w:val="1"/>
      <w:marLeft w:val="0"/>
      <w:marRight w:val="0"/>
      <w:marTop w:val="0"/>
      <w:marBottom w:val="0"/>
      <w:divBdr>
        <w:top w:val="none" w:sz="0" w:space="0" w:color="auto"/>
        <w:left w:val="none" w:sz="0" w:space="0" w:color="auto"/>
        <w:bottom w:val="none" w:sz="0" w:space="0" w:color="auto"/>
        <w:right w:val="none" w:sz="0" w:space="0" w:color="auto"/>
      </w:divBdr>
    </w:div>
    <w:div w:id="656765270">
      <w:bodyDiv w:val="1"/>
      <w:marLeft w:val="0"/>
      <w:marRight w:val="0"/>
      <w:marTop w:val="0"/>
      <w:marBottom w:val="0"/>
      <w:divBdr>
        <w:top w:val="none" w:sz="0" w:space="0" w:color="auto"/>
        <w:left w:val="none" w:sz="0" w:space="0" w:color="auto"/>
        <w:bottom w:val="none" w:sz="0" w:space="0" w:color="auto"/>
        <w:right w:val="none" w:sz="0" w:space="0" w:color="auto"/>
      </w:divBdr>
    </w:div>
    <w:div w:id="656886597">
      <w:bodyDiv w:val="1"/>
      <w:marLeft w:val="0"/>
      <w:marRight w:val="0"/>
      <w:marTop w:val="0"/>
      <w:marBottom w:val="0"/>
      <w:divBdr>
        <w:top w:val="none" w:sz="0" w:space="0" w:color="auto"/>
        <w:left w:val="none" w:sz="0" w:space="0" w:color="auto"/>
        <w:bottom w:val="none" w:sz="0" w:space="0" w:color="auto"/>
        <w:right w:val="none" w:sz="0" w:space="0" w:color="auto"/>
      </w:divBdr>
    </w:div>
    <w:div w:id="657078848">
      <w:bodyDiv w:val="1"/>
      <w:marLeft w:val="0"/>
      <w:marRight w:val="0"/>
      <w:marTop w:val="0"/>
      <w:marBottom w:val="0"/>
      <w:divBdr>
        <w:top w:val="none" w:sz="0" w:space="0" w:color="auto"/>
        <w:left w:val="none" w:sz="0" w:space="0" w:color="auto"/>
        <w:bottom w:val="none" w:sz="0" w:space="0" w:color="auto"/>
        <w:right w:val="none" w:sz="0" w:space="0" w:color="auto"/>
      </w:divBdr>
    </w:div>
    <w:div w:id="657269596">
      <w:bodyDiv w:val="1"/>
      <w:marLeft w:val="0"/>
      <w:marRight w:val="0"/>
      <w:marTop w:val="0"/>
      <w:marBottom w:val="0"/>
      <w:divBdr>
        <w:top w:val="none" w:sz="0" w:space="0" w:color="auto"/>
        <w:left w:val="none" w:sz="0" w:space="0" w:color="auto"/>
        <w:bottom w:val="none" w:sz="0" w:space="0" w:color="auto"/>
        <w:right w:val="none" w:sz="0" w:space="0" w:color="auto"/>
      </w:divBdr>
    </w:div>
    <w:div w:id="657459851">
      <w:bodyDiv w:val="1"/>
      <w:marLeft w:val="0"/>
      <w:marRight w:val="0"/>
      <w:marTop w:val="0"/>
      <w:marBottom w:val="0"/>
      <w:divBdr>
        <w:top w:val="none" w:sz="0" w:space="0" w:color="auto"/>
        <w:left w:val="none" w:sz="0" w:space="0" w:color="auto"/>
        <w:bottom w:val="none" w:sz="0" w:space="0" w:color="auto"/>
        <w:right w:val="none" w:sz="0" w:space="0" w:color="auto"/>
      </w:divBdr>
    </w:div>
    <w:div w:id="657657723">
      <w:bodyDiv w:val="1"/>
      <w:marLeft w:val="0"/>
      <w:marRight w:val="0"/>
      <w:marTop w:val="0"/>
      <w:marBottom w:val="0"/>
      <w:divBdr>
        <w:top w:val="none" w:sz="0" w:space="0" w:color="auto"/>
        <w:left w:val="none" w:sz="0" w:space="0" w:color="auto"/>
        <w:bottom w:val="none" w:sz="0" w:space="0" w:color="auto"/>
        <w:right w:val="none" w:sz="0" w:space="0" w:color="auto"/>
      </w:divBdr>
    </w:div>
    <w:div w:id="657810140">
      <w:bodyDiv w:val="1"/>
      <w:marLeft w:val="0"/>
      <w:marRight w:val="0"/>
      <w:marTop w:val="0"/>
      <w:marBottom w:val="0"/>
      <w:divBdr>
        <w:top w:val="none" w:sz="0" w:space="0" w:color="auto"/>
        <w:left w:val="none" w:sz="0" w:space="0" w:color="auto"/>
        <w:bottom w:val="none" w:sz="0" w:space="0" w:color="auto"/>
        <w:right w:val="none" w:sz="0" w:space="0" w:color="auto"/>
      </w:divBdr>
    </w:div>
    <w:div w:id="658265243">
      <w:bodyDiv w:val="1"/>
      <w:marLeft w:val="0"/>
      <w:marRight w:val="0"/>
      <w:marTop w:val="0"/>
      <w:marBottom w:val="0"/>
      <w:divBdr>
        <w:top w:val="none" w:sz="0" w:space="0" w:color="auto"/>
        <w:left w:val="none" w:sz="0" w:space="0" w:color="auto"/>
        <w:bottom w:val="none" w:sz="0" w:space="0" w:color="auto"/>
        <w:right w:val="none" w:sz="0" w:space="0" w:color="auto"/>
      </w:divBdr>
    </w:div>
    <w:div w:id="658266403">
      <w:bodyDiv w:val="1"/>
      <w:marLeft w:val="0"/>
      <w:marRight w:val="0"/>
      <w:marTop w:val="0"/>
      <w:marBottom w:val="0"/>
      <w:divBdr>
        <w:top w:val="none" w:sz="0" w:space="0" w:color="auto"/>
        <w:left w:val="none" w:sz="0" w:space="0" w:color="auto"/>
        <w:bottom w:val="none" w:sz="0" w:space="0" w:color="auto"/>
        <w:right w:val="none" w:sz="0" w:space="0" w:color="auto"/>
      </w:divBdr>
    </w:div>
    <w:div w:id="658385184">
      <w:bodyDiv w:val="1"/>
      <w:marLeft w:val="0"/>
      <w:marRight w:val="0"/>
      <w:marTop w:val="0"/>
      <w:marBottom w:val="0"/>
      <w:divBdr>
        <w:top w:val="none" w:sz="0" w:space="0" w:color="auto"/>
        <w:left w:val="none" w:sz="0" w:space="0" w:color="auto"/>
        <w:bottom w:val="none" w:sz="0" w:space="0" w:color="auto"/>
        <w:right w:val="none" w:sz="0" w:space="0" w:color="auto"/>
      </w:divBdr>
    </w:div>
    <w:div w:id="658533954">
      <w:bodyDiv w:val="1"/>
      <w:marLeft w:val="0"/>
      <w:marRight w:val="0"/>
      <w:marTop w:val="0"/>
      <w:marBottom w:val="0"/>
      <w:divBdr>
        <w:top w:val="none" w:sz="0" w:space="0" w:color="auto"/>
        <w:left w:val="none" w:sz="0" w:space="0" w:color="auto"/>
        <w:bottom w:val="none" w:sz="0" w:space="0" w:color="auto"/>
        <w:right w:val="none" w:sz="0" w:space="0" w:color="auto"/>
      </w:divBdr>
    </w:div>
    <w:div w:id="658578360">
      <w:bodyDiv w:val="1"/>
      <w:marLeft w:val="0"/>
      <w:marRight w:val="0"/>
      <w:marTop w:val="0"/>
      <w:marBottom w:val="0"/>
      <w:divBdr>
        <w:top w:val="none" w:sz="0" w:space="0" w:color="auto"/>
        <w:left w:val="none" w:sz="0" w:space="0" w:color="auto"/>
        <w:bottom w:val="none" w:sz="0" w:space="0" w:color="auto"/>
        <w:right w:val="none" w:sz="0" w:space="0" w:color="auto"/>
      </w:divBdr>
    </w:div>
    <w:div w:id="658580271">
      <w:bodyDiv w:val="1"/>
      <w:marLeft w:val="0"/>
      <w:marRight w:val="0"/>
      <w:marTop w:val="0"/>
      <w:marBottom w:val="0"/>
      <w:divBdr>
        <w:top w:val="none" w:sz="0" w:space="0" w:color="auto"/>
        <w:left w:val="none" w:sz="0" w:space="0" w:color="auto"/>
        <w:bottom w:val="none" w:sz="0" w:space="0" w:color="auto"/>
        <w:right w:val="none" w:sz="0" w:space="0" w:color="auto"/>
      </w:divBdr>
    </w:div>
    <w:div w:id="658653011">
      <w:bodyDiv w:val="1"/>
      <w:marLeft w:val="0"/>
      <w:marRight w:val="0"/>
      <w:marTop w:val="0"/>
      <w:marBottom w:val="0"/>
      <w:divBdr>
        <w:top w:val="none" w:sz="0" w:space="0" w:color="auto"/>
        <w:left w:val="none" w:sz="0" w:space="0" w:color="auto"/>
        <w:bottom w:val="none" w:sz="0" w:space="0" w:color="auto"/>
        <w:right w:val="none" w:sz="0" w:space="0" w:color="auto"/>
      </w:divBdr>
    </w:div>
    <w:div w:id="659189587">
      <w:bodyDiv w:val="1"/>
      <w:marLeft w:val="0"/>
      <w:marRight w:val="0"/>
      <w:marTop w:val="0"/>
      <w:marBottom w:val="0"/>
      <w:divBdr>
        <w:top w:val="none" w:sz="0" w:space="0" w:color="auto"/>
        <w:left w:val="none" w:sz="0" w:space="0" w:color="auto"/>
        <w:bottom w:val="none" w:sz="0" w:space="0" w:color="auto"/>
        <w:right w:val="none" w:sz="0" w:space="0" w:color="auto"/>
      </w:divBdr>
    </w:div>
    <w:div w:id="659309532">
      <w:bodyDiv w:val="1"/>
      <w:marLeft w:val="0"/>
      <w:marRight w:val="0"/>
      <w:marTop w:val="0"/>
      <w:marBottom w:val="0"/>
      <w:divBdr>
        <w:top w:val="none" w:sz="0" w:space="0" w:color="auto"/>
        <w:left w:val="none" w:sz="0" w:space="0" w:color="auto"/>
        <w:bottom w:val="none" w:sz="0" w:space="0" w:color="auto"/>
        <w:right w:val="none" w:sz="0" w:space="0" w:color="auto"/>
      </w:divBdr>
    </w:div>
    <w:div w:id="659313337">
      <w:bodyDiv w:val="1"/>
      <w:marLeft w:val="0"/>
      <w:marRight w:val="0"/>
      <w:marTop w:val="0"/>
      <w:marBottom w:val="0"/>
      <w:divBdr>
        <w:top w:val="none" w:sz="0" w:space="0" w:color="auto"/>
        <w:left w:val="none" w:sz="0" w:space="0" w:color="auto"/>
        <w:bottom w:val="none" w:sz="0" w:space="0" w:color="auto"/>
        <w:right w:val="none" w:sz="0" w:space="0" w:color="auto"/>
      </w:divBdr>
    </w:div>
    <w:div w:id="659428372">
      <w:bodyDiv w:val="1"/>
      <w:marLeft w:val="0"/>
      <w:marRight w:val="0"/>
      <w:marTop w:val="0"/>
      <w:marBottom w:val="0"/>
      <w:divBdr>
        <w:top w:val="none" w:sz="0" w:space="0" w:color="auto"/>
        <w:left w:val="none" w:sz="0" w:space="0" w:color="auto"/>
        <w:bottom w:val="none" w:sz="0" w:space="0" w:color="auto"/>
        <w:right w:val="none" w:sz="0" w:space="0" w:color="auto"/>
      </w:divBdr>
    </w:div>
    <w:div w:id="659431593">
      <w:bodyDiv w:val="1"/>
      <w:marLeft w:val="0"/>
      <w:marRight w:val="0"/>
      <w:marTop w:val="0"/>
      <w:marBottom w:val="0"/>
      <w:divBdr>
        <w:top w:val="none" w:sz="0" w:space="0" w:color="auto"/>
        <w:left w:val="none" w:sz="0" w:space="0" w:color="auto"/>
        <w:bottom w:val="none" w:sz="0" w:space="0" w:color="auto"/>
        <w:right w:val="none" w:sz="0" w:space="0" w:color="auto"/>
      </w:divBdr>
    </w:div>
    <w:div w:id="659622318">
      <w:bodyDiv w:val="1"/>
      <w:marLeft w:val="0"/>
      <w:marRight w:val="0"/>
      <w:marTop w:val="0"/>
      <w:marBottom w:val="0"/>
      <w:divBdr>
        <w:top w:val="none" w:sz="0" w:space="0" w:color="auto"/>
        <w:left w:val="none" w:sz="0" w:space="0" w:color="auto"/>
        <w:bottom w:val="none" w:sz="0" w:space="0" w:color="auto"/>
        <w:right w:val="none" w:sz="0" w:space="0" w:color="auto"/>
      </w:divBdr>
    </w:div>
    <w:div w:id="659968198">
      <w:bodyDiv w:val="1"/>
      <w:marLeft w:val="0"/>
      <w:marRight w:val="0"/>
      <w:marTop w:val="0"/>
      <w:marBottom w:val="0"/>
      <w:divBdr>
        <w:top w:val="none" w:sz="0" w:space="0" w:color="auto"/>
        <w:left w:val="none" w:sz="0" w:space="0" w:color="auto"/>
        <w:bottom w:val="none" w:sz="0" w:space="0" w:color="auto"/>
        <w:right w:val="none" w:sz="0" w:space="0" w:color="auto"/>
      </w:divBdr>
    </w:div>
    <w:div w:id="660037821">
      <w:bodyDiv w:val="1"/>
      <w:marLeft w:val="0"/>
      <w:marRight w:val="0"/>
      <w:marTop w:val="0"/>
      <w:marBottom w:val="0"/>
      <w:divBdr>
        <w:top w:val="none" w:sz="0" w:space="0" w:color="auto"/>
        <w:left w:val="none" w:sz="0" w:space="0" w:color="auto"/>
        <w:bottom w:val="none" w:sz="0" w:space="0" w:color="auto"/>
        <w:right w:val="none" w:sz="0" w:space="0" w:color="auto"/>
      </w:divBdr>
    </w:div>
    <w:div w:id="660079766">
      <w:bodyDiv w:val="1"/>
      <w:marLeft w:val="0"/>
      <w:marRight w:val="0"/>
      <w:marTop w:val="0"/>
      <w:marBottom w:val="0"/>
      <w:divBdr>
        <w:top w:val="none" w:sz="0" w:space="0" w:color="auto"/>
        <w:left w:val="none" w:sz="0" w:space="0" w:color="auto"/>
        <w:bottom w:val="none" w:sz="0" w:space="0" w:color="auto"/>
        <w:right w:val="none" w:sz="0" w:space="0" w:color="auto"/>
      </w:divBdr>
    </w:div>
    <w:div w:id="660238700">
      <w:bodyDiv w:val="1"/>
      <w:marLeft w:val="0"/>
      <w:marRight w:val="0"/>
      <w:marTop w:val="0"/>
      <w:marBottom w:val="0"/>
      <w:divBdr>
        <w:top w:val="none" w:sz="0" w:space="0" w:color="auto"/>
        <w:left w:val="none" w:sz="0" w:space="0" w:color="auto"/>
        <w:bottom w:val="none" w:sz="0" w:space="0" w:color="auto"/>
        <w:right w:val="none" w:sz="0" w:space="0" w:color="auto"/>
      </w:divBdr>
    </w:div>
    <w:div w:id="660354077">
      <w:bodyDiv w:val="1"/>
      <w:marLeft w:val="0"/>
      <w:marRight w:val="0"/>
      <w:marTop w:val="0"/>
      <w:marBottom w:val="0"/>
      <w:divBdr>
        <w:top w:val="none" w:sz="0" w:space="0" w:color="auto"/>
        <w:left w:val="none" w:sz="0" w:space="0" w:color="auto"/>
        <w:bottom w:val="none" w:sz="0" w:space="0" w:color="auto"/>
        <w:right w:val="none" w:sz="0" w:space="0" w:color="auto"/>
      </w:divBdr>
    </w:div>
    <w:div w:id="660546619">
      <w:bodyDiv w:val="1"/>
      <w:marLeft w:val="0"/>
      <w:marRight w:val="0"/>
      <w:marTop w:val="0"/>
      <w:marBottom w:val="0"/>
      <w:divBdr>
        <w:top w:val="none" w:sz="0" w:space="0" w:color="auto"/>
        <w:left w:val="none" w:sz="0" w:space="0" w:color="auto"/>
        <w:bottom w:val="none" w:sz="0" w:space="0" w:color="auto"/>
        <w:right w:val="none" w:sz="0" w:space="0" w:color="auto"/>
      </w:divBdr>
    </w:div>
    <w:div w:id="660890181">
      <w:bodyDiv w:val="1"/>
      <w:marLeft w:val="0"/>
      <w:marRight w:val="0"/>
      <w:marTop w:val="0"/>
      <w:marBottom w:val="0"/>
      <w:divBdr>
        <w:top w:val="none" w:sz="0" w:space="0" w:color="auto"/>
        <w:left w:val="none" w:sz="0" w:space="0" w:color="auto"/>
        <w:bottom w:val="none" w:sz="0" w:space="0" w:color="auto"/>
        <w:right w:val="none" w:sz="0" w:space="0" w:color="auto"/>
      </w:divBdr>
    </w:div>
    <w:div w:id="660935523">
      <w:bodyDiv w:val="1"/>
      <w:marLeft w:val="0"/>
      <w:marRight w:val="0"/>
      <w:marTop w:val="0"/>
      <w:marBottom w:val="0"/>
      <w:divBdr>
        <w:top w:val="none" w:sz="0" w:space="0" w:color="auto"/>
        <w:left w:val="none" w:sz="0" w:space="0" w:color="auto"/>
        <w:bottom w:val="none" w:sz="0" w:space="0" w:color="auto"/>
        <w:right w:val="none" w:sz="0" w:space="0" w:color="auto"/>
      </w:divBdr>
    </w:div>
    <w:div w:id="661198237">
      <w:bodyDiv w:val="1"/>
      <w:marLeft w:val="0"/>
      <w:marRight w:val="0"/>
      <w:marTop w:val="0"/>
      <w:marBottom w:val="0"/>
      <w:divBdr>
        <w:top w:val="none" w:sz="0" w:space="0" w:color="auto"/>
        <w:left w:val="none" w:sz="0" w:space="0" w:color="auto"/>
        <w:bottom w:val="none" w:sz="0" w:space="0" w:color="auto"/>
        <w:right w:val="none" w:sz="0" w:space="0" w:color="auto"/>
      </w:divBdr>
    </w:div>
    <w:div w:id="661352879">
      <w:bodyDiv w:val="1"/>
      <w:marLeft w:val="0"/>
      <w:marRight w:val="0"/>
      <w:marTop w:val="0"/>
      <w:marBottom w:val="0"/>
      <w:divBdr>
        <w:top w:val="none" w:sz="0" w:space="0" w:color="auto"/>
        <w:left w:val="none" w:sz="0" w:space="0" w:color="auto"/>
        <w:bottom w:val="none" w:sz="0" w:space="0" w:color="auto"/>
        <w:right w:val="none" w:sz="0" w:space="0" w:color="auto"/>
      </w:divBdr>
    </w:div>
    <w:div w:id="661353875">
      <w:bodyDiv w:val="1"/>
      <w:marLeft w:val="0"/>
      <w:marRight w:val="0"/>
      <w:marTop w:val="0"/>
      <w:marBottom w:val="0"/>
      <w:divBdr>
        <w:top w:val="none" w:sz="0" w:space="0" w:color="auto"/>
        <w:left w:val="none" w:sz="0" w:space="0" w:color="auto"/>
        <w:bottom w:val="none" w:sz="0" w:space="0" w:color="auto"/>
        <w:right w:val="none" w:sz="0" w:space="0" w:color="auto"/>
      </w:divBdr>
    </w:div>
    <w:div w:id="661469296">
      <w:bodyDiv w:val="1"/>
      <w:marLeft w:val="0"/>
      <w:marRight w:val="0"/>
      <w:marTop w:val="0"/>
      <w:marBottom w:val="0"/>
      <w:divBdr>
        <w:top w:val="none" w:sz="0" w:space="0" w:color="auto"/>
        <w:left w:val="none" w:sz="0" w:space="0" w:color="auto"/>
        <w:bottom w:val="none" w:sz="0" w:space="0" w:color="auto"/>
        <w:right w:val="none" w:sz="0" w:space="0" w:color="auto"/>
      </w:divBdr>
    </w:div>
    <w:div w:id="661740922">
      <w:bodyDiv w:val="1"/>
      <w:marLeft w:val="0"/>
      <w:marRight w:val="0"/>
      <w:marTop w:val="0"/>
      <w:marBottom w:val="0"/>
      <w:divBdr>
        <w:top w:val="none" w:sz="0" w:space="0" w:color="auto"/>
        <w:left w:val="none" w:sz="0" w:space="0" w:color="auto"/>
        <w:bottom w:val="none" w:sz="0" w:space="0" w:color="auto"/>
        <w:right w:val="none" w:sz="0" w:space="0" w:color="auto"/>
      </w:divBdr>
    </w:div>
    <w:div w:id="661853745">
      <w:bodyDiv w:val="1"/>
      <w:marLeft w:val="0"/>
      <w:marRight w:val="0"/>
      <w:marTop w:val="0"/>
      <w:marBottom w:val="0"/>
      <w:divBdr>
        <w:top w:val="none" w:sz="0" w:space="0" w:color="auto"/>
        <w:left w:val="none" w:sz="0" w:space="0" w:color="auto"/>
        <w:bottom w:val="none" w:sz="0" w:space="0" w:color="auto"/>
        <w:right w:val="none" w:sz="0" w:space="0" w:color="auto"/>
      </w:divBdr>
    </w:div>
    <w:div w:id="661931545">
      <w:bodyDiv w:val="1"/>
      <w:marLeft w:val="0"/>
      <w:marRight w:val="0"/>
      <w:marTop w:val="0"/>
      <w:marBottom w:val="0"/>
      <w:divBdr>
        <w:top w:val="none" w:sz="0" w:space="0" w:color="auto"/>
        <w:left w:val="none" w:sz="0" w:space="0" w:color="auto"/>
        <w:bottom w:val="none" w:sz="0" w:space="0" w:color="auto"/>
        <w:right w:val="none" w:sz="0" w:space="0" w:color="auto"/>
      </w:divBdr>
    </w:div>
    <w:div w:id="662007597">
      <w:bodyDiv w:val="1"/>
      <w:marLeft w:val="0"/>
      <w:marRight w:val="0"/>
      <w:marTop w:val="0"/>
      <w:marBottom w:val="0"/>
      <w:divBdr>
        <w:top w:val="none" w:sz="0" w:space="0" w:color="auto"/>
        <w:left w:val="none" w:sz="0" w:space="0" w:color="auto"/>
        <w:bottom w:val="none" w:sz="0" w:space="0" w:color="auto"/>
        <w:right w:val="none" w:sz="0" w:space="0" w:color="auto"/>
      </w:divBdr>
    </w:div>
    <w:div w:id="662128932">
      <w:bodyDiv w:val="1"/>
      <w:marLeft w:val="0"/>
      <w:marRight w:val="0"/>
      <w:marTop w:val="0"/>
      <w:marBottom w:val="0"/>
      <w:divBdr>
        <w:top w:val="none" w:sz="0" w:space="0" w:color="auto"/>
        <w:left w:val="none" w:sz="0" w:space="0" w:color="auto"/>
        <w:bottom w:val="none" w:sz="0" w:space="0" w:color="auto"/>
        <w:right w:val="none" w:sz="0" w:space="0" w:color="auto"/>
      </w:divBdr>
    </w:div>
    <w:div w:id="662272973">
      <w:bodyDiv w:val="1"/>
      <w:marLeft w:val="0"/>
      <w:marRight w:val="0"/>
      <w:marTop w:val="0"/>
      <w:marBottom w:val="0"/>
      <w:divBdr>
        <w:top w:val="none" w:sz="0" w:space="0" w:color="auto"/>
        <w:left w:val="none" w:sz="0" w:space="0" w:color="auto"/>
        <w:bottom w:val="none" w:sz="0" w:space="0" w:color="auto"/>
        <w:right w:val="none" w:sz="0" w:space="0" w:color="auto"/>
      </w:divBdr>
    </w:div>
    <w:div w:id="662321692">
      <w:bodyDiv w:val="1"/>
      <w:marLeft w:val="0"/>
      <w:marRight w:val="0"/>
      <w:marTop w:val="0"/>
      <w:marBottom w:val="0"/>
      <w:divBdr>
        <w:top w:val="none" w:sz="0" w:space="0" w:color="auto"/>
        <w:left w:val="none" w:sz="0" w:space="0" w:color="auto"/>
        <w:bottom w:val="none" w:sz="0" w:space="0" w:color="auto"/>
        <w:right w:val="none" w:sz="0" w:space="0" w:color="auto"/>
      </w:divBdr>
    </w:div>
    <w:div w:id="662589141">
      <w:bodyDiv w:val="1"/>
      <w:marLeft w:val="0"/>
      <w:marRight w:val="0"/>
      <w:marTop w:val="0"/>
      <w:marBottom w:val="0"/>
      <w:divBdr>
        <w:top w:val="none" w:sz="0" w:space="0" w:color="auto"/>
        <w:left w:val="none" w:sz="0" w:space="0" w:color="auto"/>
        <w:bottom w:val="none" w:sz="0" w:space="0" w:color="auto"/>
        <w:right w:val="none" w:sz="0" w:space="0" w:color="auto"/>
      </w:divBdr>
    </w:div>
    <w:div w:id="662702911">
      <w:bodyDiv w:val="1"/>
      <w:marLeft w:val="0"/>
      <w:marRight w:val="0"/>
      <w:marTop w:val="0"/>
      <w:marBottom w:val="0"/>
      <w:divBdr>
        <w:top w:val="none" w:sz="0" w:space="0" w:color="auto"/>
        <w:left w:val="none" w:sz="0" w:space="0" w:color="auto"/>
        <w:bottom w:val="none" w:sz="0" w:space="0" w:color="auto"/>
        <w:right w:val="none" w:sz="0" w:space="0" w:color="auto"/>
      </w:divBdr>
    </w:div>
    <w:div w:id="662776488">
      <w:bodyDiv w:val="1"/>
      <w:marLeft w:val="0"/>
      <w:marRight w:val="0"/>
      <w:marTop w:val="0"/>
      <w:marBottom w:val="0"/>
      <w:divBdr>
        <w:top w:val="none" w:sz="0" w:space="0" w:color="auto"/>
        <w:left w:val="none" w:sz="0" w:space="0" w:color="auto"/>
        <w:bottom w:val="none" w:sz="0" w:space="0" w:color="auto"/>
        <w:right w:val="none" w:sz="0" w:space="0" w:color="auto"/>
      </w:divBdr>
    </w:div>
    <w:div w:id="663362953">
      <w:bodyDiv w:val="1"/>
      <w:marLeft w:val="0"/>
      <w:marRight w:val="0"/>
      <w:marTop w:val="0"/>
      <w:marBottom w:val="0"/>
      <w:divBdr>
        <w:top w:val="none" w:sz="0" w:space="0" w:color="auto"/>
        <w:left w:val="none" w:sz="0" w:space="0" w:color="auto"/>
        <w:bottom w:val="none" w:sz="0" w:space="0" w:color="auto"/>
        <w:right w:val="none" w:sz="0" w:space="0" w:color="auto"/>
      </w:divBdr>
    </w:div>
    <w:div w:id="663821386">
      <w:bodyDiv w:val="1"/>
      <w:marLeft w:val="0"/>
      <w:marRight w:val="0"/>
      <w:marTop w:val="0"/>
      <w:marBottom w:val="0"/>
      <w:divBdr>
        <w:top w:val="none" w:sz="0" w:space="0" w:color="auto"/>
        <w:left w:val="none" w:sz="0" w:space="0" w:color="auto"/>
        <w:bottom w:val="none" w:sz="0" w:space="0" w:color="auto"/>
        <w:right w:val="none" w:sz="0" w:space="0" w:color="auto"/>
      </w:divBdr>
    </w:div>
    <w:div w:id="663822545">
      <w:bodyDiv w:val="1"/>
      <w:marLeft w:val="0"/>
      <w:marRight w:val="0"/>
      <w:marTop w:val="0"/>
      <w:marBottom w:val="0"/>
      <w:divBdr>
        <w:top w:val="none" w:sz="0" w:space="0" w:color="auto"/>
        <w:left w:val="none" w:sz="0" w:space="0" w:color="auto"/>
        <w:bottom w:val="none" w:sz="0" w:space="0" w:color="auto"/>
        <w:right w:val="none" w:sz="0" w:space="0" w:color="auto"/>
      </w:divBdr>
    </w:div>
    <w:div w:id="663895483">
      <w:bodyDiv w:val="1"/>
      <w:marLeft w:val="0"/>
      <w:marRight w:val="0"/>
      <w:marTop w:val="0"/>
      <w:marBottom w:val="0"/>
      <w:divBdr>
        <w:top w:val="none" w:sz="0" w:space="0" w:color="auto"/>
        <w:left w:val="none" w:sz="0" w:space="0" w:color="auto"/>
        <w:bottom w:val="none" w:sz="0" w:space="0" w:color="auto"/>
        <w:right w:val="none" w:sz="0" w:space="0" w:color="auto"/>
      </w:divBdr>
    </w:div>
    <w:div w:id="663971313">
      <w:bodyDiv w:val="1"/>
      <w:marLeft w:val="0"/>
      <w:marRight w:val="0"/>
      <w:marTop w:val="0"/>
      <w:marBottom w:val="0"/>
      <w:divBdr>
        <w:top w:val="none" w:sz="0" w:space="0" w:color="auto"/>
        <w:left w:val="none" w:sz="0" w:space="0" w:color="auto"/>
        <w:bottom w:val="none" w:sz="0" w:space="0" w:color="auto"/>
        <w:right w:val="none" w:sz="0" w:space="0" w:color="auto"/>
      </w:divBdr>
    </w:div>
    <w:div w:id="664017644">
      <w:bodyDiv w:val="1"/>
      <w:marLeft w:val="0"/>
      <w:marRight w:val="0"/>
      <w:marTop w:val="0"/>
      <w:marBottom w:val="0"/>
      <w:divBdr>
        <w:top w:val="none" w:sz="0" w:space="0" w:color="auto"/>
        <w:left w:val="none" w:sz="0" w:space="0" w:color="auto"/>
        <w:bottom w:val="none" w:sz="0" w:space="0" w:color="auto"/>
        <w:right w:val="none" w:sz="0" w:space="0" w:color="auto"/>
      </w:divBdr>
    </w:div>
    <w:div w:id="664555357">
      <w:bodyDiv w:val="1"/>
      <w:marLeft w:val="0"/>
      <w:marRight w:val="0"/>
      <w:marTop w:val="0"/>
      <w:marBottom w:val="0"/>
      <w:divBdr>
        <w:top w:val="none" w:sz="0" w:space="0" w:color="auto"/>
        <w:left w:val="none" w:sz="0" w:space="0" w:color="auto"/>
        <w:bottom w:val="none" w:sz="0" w:space="0" w:color="auto"/>
        <w:right w:val="none" w:sz="0" w:space="0" w:color="auto"/>
      </w:divBdr>
    </w:div>
    <w:div w:id="664826284">
      <w:bodyDiv w:val="1"/>
      <w:marLeft w:val="0"/>
      <w:marRight w:val="0"/>
      <w:marTop w:val="0"/>
      <w:marBottom w:val="0"/>
      <w:divBdr>
        <w:top w:val="none" w:sz="0" w:space="0" w:color="auto"/>
        <w:left w:val="none" w:sz="0" w:space="0" w:color="auto"/>
        <w:bottom w:val="none" w:sz="0" w:space="0" w:color="auto"/>
        <w:right w:val="none" w:sz="0" w:space="0" w:color="auto"/>
      </w:divBdr>
    </w:div>
    <w:div w:id="664867444">
      <w:bodyDiv w:val="1"/>
      <w:marLeft w:val="0"/>
      <w:marRight w:val="0"/>
      <w:marTop w:val="0"/>
      <w:marBottom w:val="0"/>
      <w:divBdr>
        <w:top w:val="none" w:sz="0" w:space="0" w:color="auto"/>
        <w:left w:val="none" w:sz="0" w:space="0" w:color="auto"/>
        <w:bottom w:val="none" w:sz="0" w:space="0" w:color="auto"/>
        <w:right w:val="none" w:sz="0" w:space="0" w:color="auto"/>
      </w:divBdr>
    </w:div>
    <w:div w:id="664940312">
      <w:bodyDiv w:val="1"/>
      <w:marLeft w:val="0"/>
      <w:marRight w:val="0"/>
      <w:marTop w:val="0"/>
      <w:marBottom w:val="0"/>
      <w:divBdr>
        <w:top w:val="none" w:sz="0" w:space="0" w:color="auto"/>
        <w:left w:val="none" w:sz="0" w:space="0" w:color="auto"/>
        <w:bottom w:val="none" w:sz="0" w:space="0" w:color="auto"/>
        <w:right w:val="none" w:sz="0" w:space="0" w:color="auto"/>
      </w:divBdr>
    </w:div>
    <w:div w:id="664942744">
      <w:bodyDiv w:val="1"/>
      <w:marLeft w:val="0"/>
      <w:marRight w:val="0"/>
      <w:marTop w:val="0"/>
      <w:marBottom w:val="0"/>
      <w:divBdr>
        <w:top w:val="none" w:sz="0" w:space="0" w:color="auto"/>
        <w:left w:val="none" w:sz="0" w:space="0" w:color="auto"/>
        <w:bottom w:val="none" w:sz="0" w:space="0" w:color="auto"/>
        <w:right w:val="none" w:sz="0" w:space="0" w:color="auto"/>
      </w:divBdr>
    </w:div>
    <w:div w:id="665010585">
      <w:bodyDiv w:val="1"/>
      <w:marLeft w:val="0"/>
      <w:marRight w:val="0"/>
      <w:marTop w:val="0"/>
      <w:marBottom w:val="0"/>
      <w:divBdr>
        <w:top w:val="none" w:sz="0" w:space="0" w:color="auto"/>
        <w:left w:val="none" w:sz="0" w:space="0" w:color="auto"/>
        <w:bottom w:val="none" w:sz="0" w:space="0" w:color="auto"/>
        <w:right w:val="none" w:sz="0" w:space="0" w:color="auto"/>
      </w:divBdr>
    </w:div>
    <w:div w:id="665016504">
      <w:bodyDiv w:val="1"/>
      <w:marLeft w:val="0"/>
      <w:marRight w:val="0"/>
      <w:marTop w:val="0"/>
      <w:marBottom w:val="0"/>
      <w:divBdr>
        <w:top w:val="none" w:sz="0" w:space="0" w:color="auto"/>
        <w:left w:val="none" w:sz="0" w:space="0" w:color="auto"/>
        <w:bottom w:val="none" w:sz="0" w:space="0" w:color="auto"/>
        <w:right w:val="none" w:sz="0" w:space="0" w:color="auto"/>
      </w:divBdr>
    </w:div>
    <w:div w:id="665286777">
      <w:bodyDiv w:val="1"/>
      <w:marLeft w:val="0"/>
      <w:marRight w:val="0"/>
      <w:marTop w:val="0"/>
      <w:marBottom w:val="0"/>
      <w:divBdr>
        <w:top w:val="none" w:sz="0" w:space="0" w:color="auto"/>
        <w:left w:val="none" w:sz="0" w:space="0" w:color="auto"/>
        <w:bottom w:val="none" w:sz="0" w:space="0" w:color="auto"/>
        <w:right w:val="none" w:sz="0" w:space="0" w:color="auto"/>
      </w:divBdr>
    </w:div>
    <w:div w:id="665520417">
      <w:bodyDiv w:val="1"/>
      <w:marLeft w:val="0"/>
      <w:marRight w:val="0"/>
      <w:marTop w:val="0"/>
      <w:marBottom w:val="0"/>
      <w:divBdr>
        <w:top w:val="none" w:sz="0" w:space="0" w:color="auto"/>
        <w:left w:val="none" w:sz="0" w:space="0" w:color="auto"/>
        <w:bottom w:val="none" w:sz="0" w:space="0" w:color="auto"/>
        <w:right w:val="none" w:sz="0" w:space="0" w:color="auto"/>
      </w:divBdr>
    </w:div>
    <w:div w:id="665665574">
      <w:bodyDiv w:val="1"/>
      <w:marLeft w:val="0"/>
      <w:marRight w:val="0"/>
      <w:marTop w:val="0"/>
      <w:marBottom w:val="0"/>
      <w:divBdr>
        <w:top w:val="none" w:sz="0" w:space="0" w:color="auto"/>
        <w:left w:val="none" w:sz="0" w:space="0" w:color="auto"/>
        <w:bottom w:val="none" w:sz="0" w:space="0" w:color="auto"/>
        <w:right w:val="none" w:sz="0" w:space="0" w:color="auto"/>
      </w:divBdr>
    </w:div>
    <w:div w:id="665715659">
      <w:bodyDiv w:val="1"/>
      <w:marLeft w:val="0"/>
      <w:marRight w:val="0"/>
      <w:marTop w:val="0"/>
      <w:marBottom w:val="0"/>
      <w:divBdr>
        <w:top w:val="none" w:sz="0" w:space="0" w:color="auto"/>
        <w:left w:val="none" w:sz="0" w:space="0" w:color="auto"/>
        <w:bottom w:val="none" w:sz="0" w:space="0" w:color="auto"/>
        <w:right w:val="none" w:sz="0" w:space="0" w:color="auto"/>
      </w:divBdr>
    </w:div>
    <w:div w:id="666057257">
      <w:bodyDiv w:val="1"/>
      <w:marLeft w:val="0"/>
      <w:marRight w:val="0"/>
      <w:marTop w:val="0"/>
      <w:marBottom w:val="0"/>
      <w:divBdr>
        <w:top w:val="none" w:sz="0" w:space="0" w:color="auto"/>
        <w:left w:val="none" w:sz="0" w:space="0" w:color="auto"/>
        <w:bottom w:val="none" w:sz="0" w:space="0" w:color="auto"/>
        <w:right w:val="none" w:sz="0" w:space="0" w:color="auto"/>
      </w:divBdr>
    </w:div>
    <w:div w:id="666129099">
      <w:bodyDiv w:val="1"/>
      <w:marLeft w:val="0"/>
      <w:marRight w:val="0"/>
      <w:marTop w:val="0"/>
      <w:marBottom w:val="0"/>
      <w:divBdr>
        <w:top w:val="none" w:sz="0" w:space="0" w:color="auto"/>
        <w:left w:val="none" w:sz="0" w:space="0" w:color="auto"/>
        <w:bottom w:val="none" w:sz="0" w:space="0" w:color="auto"/>
        <w:right w:val="none" w:sz="0" w:space="0" w:color="auto"/>
      </w:divBdr>
    </w:div>
    <w:div w:id="666132540">
      <w:bodyDiv w:val="1"/>
      <w:marLeft w:val="0"/>
      <w:marRight w:val="0"/>
      <w:marTop w:val="0"/>
      <w:marBottom w:val="0"/>
      <w:divBdr>
        <w:top w:val="none" w:sz="0" w:space="0" w:color="auto"/>
        <w:left w:val="none" w:sz="0" w:space="0" w:color="auto"/>
        <w:bottom w:val="none" w:sz="0" w:space="0" w:color="auto"/>
        <w:right w:val="none" w:sz="0" w:space="0" w:color="auto"/>
      </w:divBdr>
    </w:div>
    <w:div w:id="666328643">
      <w:bodyDiv w:val="1"/>
      <w:marLeft w:val="0"/>
      <w:marRight w:val="0"/>
      <w:marTop w:val="0"/>
      <w:marBottom w:val="0"/>
      <w:divBdr>
        <w:top w:val="none" w:sz="0" w:space="0" w:color="auto"/>
        <w:left w:val="none" w:sz="0" w:space="0" w:color="auto"/>
        <w:bottom w:val="none" w:sz="0" w:space="0" w:color="auto"/>
        <w:right w:val="none" w:sz="0" w:space="0" w:color="auto"/>
      </w:divBdr>
    </w:div>
    <w:div w:id="666444985">
      <w:bodyDiv w:val="1"/>
      <w:marLeft w:val="0"/>
      <w:marRight w:val="0"/>
      <w:marTop w:val="0"/>
      <w:marBottom w:val="0"/>
      <w:divBdr>
        <w:top w:val="none" w:sz="0" w:space="0" w:color="auto"/>
        <w:left w:val="none" w:sz="0" w:space="0" w:color="auto"/>
        <w:bottom w:val="none" w:sz="0" w:space="0" w:color="auto"/>
        <w:right w:val="none" w:sz="0" w:space="0" w:color="auto"/>
      </w:divBdr>
    </w:div>
    <w:div w:id="666445666">
      <w:bodyDiv w:val="1"/>
      <w:marLeft w:val="0"/>
      <w:marRight w:val="0"/>
      <w:marTop w:val="0"/>
      <w:marBottom w:val="0"/>
      <w:divBdr>
        <w:top w:val="none" w:sz="0" w:space="0" w:color="auto"/>
        <w:left w:val="none" w:sz="0" w:space="0" w:color="auto"/>
        <w:bottom w:val="none" w:sz="0" w:space="0" w:color="auto"/>
        <w:right w:val="none" w:sz="0" w:space="0" w:color="auto"/>
      </w:divBdr>
    </w:div>
    <w:div w:id="666593441">
      <w:bodyDiv w:val="1"/>
      <w:marLeft w:val="0"/>
      <w:marRight w:val="0"/>
      <w:marTop w:val="0"/>
      <w:marBottom w:val="0"/>
      <w:divBdr>
        <w:top w:val="none" w:sz="0" w:space="0" w:color="auto"/>
        <w:left w:val="none" w:sz="0" w:space="0" w:color="auto"/>
        <w:bottom w:val="none" w:sz="0" w:space="0" w:color="auto"/>
        <w:right w:val="none" w:sz="0" w:space="0" w:color="auto"/>
      </w:divBdr>
    </w:div>
    <w:div w:id="666908363">
      <w:bodyDiv w:val="1"/>
      <w:marLeft w:val="0"/>
      <w:marRight w:val="0"/>
      <w:marTop w:val="0"/>
      <w:marBottom w:val="0"/>
      <w:divBdr>
        <w:top w:val="none" w:sz="0" w:space="0" w:color="auto"/>
        <w:left w:val="none" w:sz="0" w:space="0" w:color="auto"/>
        <w:bottom w:val="none" w:sz="0" w:space="0" w:color="auto"/>
        <w:right w:val="none" w:sz="0" w:space="0" w:color="auto"/>
      </w:divBdr>
    </w:div>
    <w:div w:id="667054907">
      <w:bodyDiv w:val="1"/>
      <w:marLeft w:val="0"/>
      <w:marRight w:val="0"/>
      <w:marTop w:val="0"/>
      <w:marBottom w:val="0"/>
      <w:divBdr>
        <w:top w:val="none" w:sz="0" w:space="0" w:color="auto"/>
        <w:left w:val="none" w:sz="0" w:space="0" w:color="auto"/>
        <w:bottom w:val="none" w:sz="0" w:space="0" w:color="auto"/>
        <w:right w:val="none" w:sz="0" w:space="0" w:color="auto"/>
      </w:divBdr>
    </w:div>
    <w:div w:id="667171509">
      <w:bodyDiv w:val="1"/>
      <w:marLeft w:val="0"/>
      <w:marRight w:val="0"/>
      <w:marTop w:val="0"/>
      <w:marBottom w:val="0"/>
      <w:divBdr>
        <w:top w:val="none" w:sz="0" w:space="0" w:color="auto"/>
        <w:left w:val="none" w:sz="0" w:space="0" w:color="auto"/>
        <w:bottom w:val="none" w:sz="0" w:space="0" w:color="auto"/>
        <w:right w:val="none" w:sz="0" w:space="0" w:color="auto"/>
      </w:divBdr>
    </w:div>
    <w:div w:id="667247089">
      <w:bodyDiv w:val="1"/>
      <w:marLeft w:val="0"/>
      <w:marRight w:val="0"/>
      <w:marTop w:val="0"/>
      <w:marBottom w:val="0"/>
      <w:divBdr>
        <w:top w:val="none" w:sz="0" w:space="0" w:color="auto"/>
        <w:left w:val="none" w:sz="0" w:space="0" w:color="auto"/>
        <w:bottom w:val="none" w:sz="0" w:space="0" w:color="auto"/>
        <w:right w:val="none" w:sz="0" w:space="0" w:color="auto"/>
      </w:divBdr>
    </w:div>
    <w:div w:id="667486877">
      <w:bodyDiv w:val="1"/>
      <w:marLeft w:val="0"/>
      <w:marRight w:val="0"/>
      <w:marTop w:val="0"/>
      <w:marBottom w:val="0"/>
      <w:divBdr>
        <w:top w:val="none" w:sz="0" w:space="0" w:color="auto"/>
        <w:left w:val="none" w:sz="0" w:space="0" w:color="auto"/>
        <w:bottom w:val="none" w:sz="0" w:space="0" w:color="auto"/>
        <w:right w:val="none" w:sz="0" w:space="0" w:color="auto"/>
      </w:divBdr>
    </w:div>
    <w:div w:id="667488648">
      <w:bodyDiv w:val="1"/>
      <w:marLeft w:val="0"/>
      <w:marRight w:val="0"/>
      <w:marTop w:val="0"/>
      <w:marBottom w:val="0"/>
      <w:divBdr>
        <w:top w:val="none" w:sz="0" w:space="0" w:color="auto"/>
        <w:left w:val="none" w:sz="0" w:space="0" w:color="auto"/>
        <w:bottom w:val="none" w:sz="0" w:space="0" w:color="auto"/>
        <w:right w:val="none" w:sz="0" w:space="0" w:color="auto"/>
      </w:divBdr>
    </w:div>
    <w:div w:id="667562596">
      <w:bodyDiv w:val="1"/>
      <w:marLeft w:val="0"/>
      <w:marRight w:val="0"/>
      <w:marTop w:val="0"/>
      <w:marBottom w:val="0"/>
      <w:divBdr>
        <w:top w:val="none" w:sz="0" w:space="0" w:color="auto"/>
        <w:left w:val="none" w:sz="0" w:space="0" w:color="auto"/>
        <w:bottom w:val="none" w:sz="0" w:space="0" w:color="auto"/>
        <w:right w:val="none" w:sz="0" w:space="0" w:color="auto"/>
      </w:divBdr>
    </w:div>
    <w:div w:id="667751669">
      <w:bodyDiv w:val="1"/>
      <w:marLeft w:val="0"/>
      <w:marRight w:val="0"/>
      <w:marTop w:val="0"/>
      <w:marBottom w:val="0"/>
      <w:divBdr>
        <w:top w:val="none" w:sz="0" w:space="0" w:color="auto"/>
        <w:left w:val="none" w:sz="0" w:space="0" w:color="auto"/>
        <w:bottom w:val="none" w:sz="0" w:space="0" w:color="auto"/>
        <w:right w:val="none" w:sz="0" w:space="0" w:color="auto"/>
      </w:divBdr>
    </w:div>
    <w:div w:id="667944423">
      <w:bodyDiv w:val="1"/>
      <w:marLeft w:val="0"/>
      <w:marRight w:val="0"/>
      <w:marTop w:val="0"/>
      <w:marBottom w:val="0"/>
      <w:divBdr>
        <w:top w:val="none" w:sz="0" w:space="0" w:color="auto"/>
        <w:left w:val="none" w:sz="0" w:space="0" w:color="auto"/>
        <w:bottom w:val="none" w:sz="0" w:space="0" w:color="auto"/>
        <w:right w:val="none" w:sz="0" w:space="0" w:color="auto"/>
      </w:divBdr>
    </w:div>
    <w:div w:id="668020556">
      <w:bodyDiv w:val="1"/>
      <w:marLeft w:val="0"/>
      <w:marRight w:val="0"/>
      <w:marTop w:val="0"/>
      <w:marBottom w:val="0"/>
      <w:divBdr>
        <w:top w:val="none" w:sz="0" w:space="0" w:color="auto"/>
        <w:left w:val="none" w:sz="0" w:space="0" w:color="auto"/>
        <w:bottom w:val="none" w:sz="0" w:space="0" w:color="auto"/>
        <w:right w:val="none" w:sz="0" w:space="0" w:color="auto"/>
      </w:divBdr>
    </w:div>
    <w:div w:id="668099551">
      <w:bodyDiv w:val="1"/>
      <w:marLeft w:val="0"/>
      <w:marRight w:val="0"/>
      <w:marTop w:val="0"/>
      <w:marBottom w:val="0"/>
      <w:divBdr>
        <w:top w:val="none" w:sz="0" w:space="0" w:color="auto"/>
        <w:left w:val="none" w:sz="0" w:space="0" w:color="auto"/>
        <w:bottom w:val="none" w:sz="0" w:space="0" w:color="auto"/>
        <w:right w:val="none" w:sz="0" w:space="0" w:color="auto"/>
      </w:divBdr>
    </w:div>
    <w:div w:id="668100707">
      <w:bodyDiv w:val="1"/>
      <w:marLeft w:val="0"/>
      <w:marRight w:val="0"/>
      <w:marTop w:val="0"/>
      <w:marBottom w:val="0"/>
      <w:divBdr>
        <w:top w:val="none" w:sz="0" w:space="0" w:color="auto"/>
        <w:left w:val="none" w:sz="0" w:space="0" w:color="auto"/>
        <w:bottom w:val="none" w:sz="0" w:space="0" w:color="auto"/>
        <w:right w:val="none" w:sz="0" w:space="0" w:color="auto"/>
      </w:divBdr>
    </w:div>
    <w:div w:id="668362016">
      <w:bodyDiv w:val="1"/>
      <w:marLeft w:val="0"/>
      <w:marRight w:val="0"/>
      <w:marTop w:val="0"/>
      <w:marBottom w:val="0"/>
      <w:divBdr>
        <w:top w:val="none" w:sz="0" w:space="0" w:color="auto"/>
        <w:left w:val="none" w:sz="0" w:space="0" w:color="auto"/>
        <w:bottom w:val="none" w:sz="0" w:space="0" w:color="auto"/>
        <w:right w:val="none" w:sz="0" w:space="0" w:color="auto"/>
      </w:divBdr>
    </w:div>
    <w:div w:id="668368111">
      <w:bodyDiv w:val="1"/>
      <w:marLeft w:val="0"/>
      <w:marRight w:val="0"/>
      <w:marTop w:val="0"/>
      <w:marBottom w:val="0"/>
      <w:divBdr>
        <w:top w:val="none" w:sz="0" w:space="0" w:color="auto"/>
        <w:left w:val="none" w:sz="0" w:space="0" w:color="auto"/>
        <w:bottom w:val="none" w:sz="0" w:space="0" w:color="auto"/>
        <w:right w:val="none" w:sz="0" w:space="0" w:color="auto"/>
      </w:divBdr>
    </w:div>
    <w:div w:id="668488315">
      <w:bodyDiv w:val="1"/>
      <w:marLeft w:val="0"/>
      <w:marRight w:val="0"/>
      <w:marTop w:val="0"/>
      <w:marBottom w:val="0"/>
      <w:divBdr>
        <w:top w:val="none" w:sz="0" w:space="0" w:color="auto"/>
        <w:left w:val="none" w:sz="0" w:space="0" w:color="auto"/>
        <w:bottom w:val="none" w:sz="0" w:space="0" w:color="auto"/>
        <w:right w:val="none" w:sz="0" w:space="0" w:color="auto"/>
      </w:divBdr>
    </w:div>
    <w:div w:id="668825392">
      <w:bodyDiv w:val="1"/>
      <w:marLeft w:val="0"/>
      <w:marRight w:val="0"/>
      <w:marTop w:val="0"/>
      <w:marBottom w:val="0"/>
      <w:divBdr>
        <w:top w:val="none" w:sz="0" w:space="0" w:color="auto"/>
        <w:left w:val="none" w:sz="0" w:space="0" w:color="auto"/>
        <w:bottom w:val="none" w:sz="0" w:space="0" w:color="auto"/>
        <w:right w:val="none" w:sz="0" w:space="0" w:color="auto"/>
      </w:divBdr>
    </w:div>
    <w:div w:id="668993926">
      <w:bodyDiv w:val="1"/>
      <w:marLeft w:val="0"/>
      <w:marRight w:val="0"/>
      <w:marTop w:val="0"/>
      <w:marBottom w:val="0"/>
      <w:divBdr>
        <w:top w:val="none" w:sz="0" w:space="0" w:color="auto"/>
        <w:left w:val="none" w:sz="0" w:space="0" w:color="auto"/>
        <w:bottom w:val="none" w:sz="0" w:space="0" w:color="auto"/>
        <w:right w:val="none" w:sz="0" w:space="0" w:color="auto"/>
      </w:divBdr>
    </w:div>
    <w:div w:id="669215955">
      <w:bodyDiv w:val="1"/>
      <w:marLeft w:val="0"/>
      <w:marRight w:val="0"/>
      <w:marTop w:val="0"/>
      <w:marBottom w:val="0"/>
      <w:divBdr>
        <w:top w:val="none" w:sz="0" w:space="0" w:color="auto"/>
        <w:left w:val="none" w:sz="0" w:space="0" w:color="auto"/>
        <w:bottom w:val="none" w:sz="0" w:space="0" w:color="auto"/>
        <w:right w:val="none" w:sz="0" w:space="0" w:color="auto"/>
      </w:divBdr>
    </w:div>
    <w:div w:id="669216845">
      <w:bodyDiv w:val="1"/>
      <w:marLeft w:val="0"/>
      <w:marRight w:val="0"/>
      <w:marTop w:val="0"/>
      <w:marBottom w:val="0"/>
      <w:divBdr>
        <w:top w:val="none" w:sz="0" w:space="0" w:color="auto"/>
        <w:left w:val="none" w:sz="0" w:space="0" w:color="auto"/>
        <w:bottom w:val="none" w:sz="0" w:space="0" w:color="auto"/>
        <w:right w:val="none" w:sz="0" w:space="0" w:color="auto"/>
      </w:divBdr>
    </w:div>
    <w:div w:id="669254803">
      <w:bodyDiv w:val="1"/>
      <w:marLeft w:val="0"/>
      <w:marRight w:val="0"/>
      <w:marTop w:val="0"/>
      <w:marBottom w:val="0"/>
      <w:divBdr>
        <w:top w:val="none" w:sz="0" w:space="0" w:color="auto"/>
        <w:left w:val="none" w:sz="0" w:space="0" w:color="auto"/>
        <w:bottom w:val="none" w:sz="0" w:space="0" w:color="auto"/>
        <w:right w:val="none" w:sz="0" w:space="0" w:color="auto"/>
      </w:divBdr>
    </w:div>
    <w:div w:id="669530654">
      <w:bodyDiv w:val="1"/>
      <w:marLeft w:val="0"/>
      <w:marRight w:val="0"/>
      <w:marTop w:val="0"/>
      <w:marBottom w:val="0"/>
      <w:divBdr>
        <w:top w:val="none" w:sz="0" w:space="0" w:color="auto"/>
        <w:left w:val="none" w:sz="0" w:space="0" w:color="auto"/>
        <w:bottom w:val="none" w:sz="0" w:space="0" w:color="auto"/>
        <w:right w:val="none" w:sz="0" w:space="0" w:color="auto"/>
      </w:divBdr>
    </w:div>
    <w:div w:id="669676630">
      <w:bodyDiv w:val="1"/>
      <w:marLeft w:val="0"/>
      <w:marRight w:val="0"/>
      <w:marTop w:val="0"/>
      <w:marBottom w:val="0"/>
      <w:divBdr>
        <w:top w:val="none" w:sz="0" w:space="0" w:color="auto"/>
        <w:left w:val="none" w:sz="0" w:space="0" w:color="auto"/>
        <w:bottom w:val="none" w:sz="0" w:space="0" w:color="auto"/>
        <w:right w:val="none" w:sz="0" w:space="0" w:color="auto"/>
      </w:divBdr>
    </w:div>
    <w:div w:id="669792025">
      <w:bodyDiv w:val="1"/>
      <w:marLeft w:val="0"/>
      <w:marRight w:val="0"/>
      <w:marTop w:val="0"/>
      <w:marBottom w:val="0"/>
      <w:divBdr>
        <w:top w:val="none" w:sz="0" w:space="0" w:color="auto"/>
        <w:left w:val="none" w:sz="0" w:space="0" w:color="auto"/>
        <w:bottom w:val="none" w:sz="0" w:space="0" w:color="auto"/>
        <w:right w:val="none" w:sz="0" w:space="0" w:color="auto"/>
      </w:divBdr>
    </w:div>
    <w:div w:id="669794353">
      <w:bodyDiv w:val="1"/>
      <w:marLeft w:val="0"/>
      <w:marRight w:val="0"/>
      <w:marTop w:val="0"/>
      <w:marBottom w:val="0"/>
      <w:divBdr>
        <w:top w:val="none" w:sz="0" w:space="0" w:color="auto"/>
        <w:left w:val="none" w:sz="0" w:space="0" w:color="auto"/>
        <w:bottom w:val="none" w:sz="0" w:space="0" w:color="auto"/>
        <w:right w:val="none" w:sz="0" w:space="0" w:color="auto"/>
      </w:divBdr>
    </w:div>
    <w:div w:id="669990676">
      <w:bodyDiv w:val="1"/>
      <w:marLeft w:val="0"/>
      <w:marRight w:val="0"/>
      <w:marTop w:val="0"/>
      <w:marBottom w:val="0"/>
      <w:divBdr>
        <w:top w:val="none" w:sz="0" w:space="0" w:color="auto"/>
        <w:left w:val="none" w:sz="0" w:space="0" w:color="auto"/>
        <w:bottom w:val="none" w:sz="0" w:space="0" w:color="auto"/>
        <w:right w:val="none" w:sz="0" w:space="0" w:color="auto"/>
      </w:divBdr>
    </w:div>
    <w:div w:id="670177944">
      <w:bodyDiv w:val="1"/>
      <w:marLeft w:val="0"/>
      <w:marRight w:val="0"/>
      <w:marTop w:val="0"/>
      <w:marBottom w:val="0"/>
      <w:divBdr>
        <w:top w:val="none" w:sz="0" w:space="0" w:color="auto"/>
        <w:left w:val="none" w:sz="0" w:space="0" w:color="auto"/>
        <w:bottom w:val="none" w:sz="0" w:space="0" w:color="auto"/>
        <w:right w:val="none" w:sz="0" w:space="0" w:color="auto"/>
      </w:divBdr>
    </w:div>
    <w:div w:id="670253925">
      <w:bodyDiv w:val="1"/>
      <w:marLeft w:val="0"/>
      <w:marRight w:val="0"/>
      <w:marTop w:val="0"/>
      <w:marBottom w:val="0"/>
      <w:divBdr>
        <w:top w:val="none" w:sz="0" w:space="0" w:color="auto"/>
        <w:left w:val="none" w:sz="0" w:space="0" w:color="auto"/>
        <w:bottom w:val="none" w:sz="0" w:space="0" w:color="auto"/>
        <w:right w:val="none" w:sz="0" w:space="0" w:color="auto"/>
      </w:divBdr>
    </w:div>
    <w:div w:id="670522197">
      <w:bodyDiv w:val="1"/>
      <w:marLeft w:val="0"/>
      <w:marRight w:val="0"/>
      <w:marTop w:val="0"/>
      <w:marBottom w:val="0"/>
      <w:divBdr>
        <w:top w:val="none" w:sz="0" w:space="0" w:color="auto"/>
        <w:left w:val="none" w:sz="0" w:space="0" w:color="auto"/>
        <w:bottom w:val="none" w:sz="0" w:space="0" w:color="auto"/>
        <w:right w:val="none" w:sz="0" w:space="0" w:color="auto"/>
      </w:divBdr>
    </w:div>
    <w:div w:id="670641535">
      <w:bodyDiv w:val="1"/>
      <w:marLeft w:val="0"/>
      <w:marRight w:val="0"/>
      <w:marTop w:val="0"/>
      <w:marBottom w:val="0"/>
      <w:divBdr>
        <w:top w:val="none" w:sz="0" w:space="0" w:color="auto"/>
        <w:left w:val="none" w:sz="0" w:space="0" w:color="auto"/>
        <w:bottom w:val="none" w:sz="0" w:space="0" w:color="auto"/>
        <w:right w:val="none" w:sz="0" w:space="0" w:color="auto"/>
      </w:divBdr>
    </w:div>
    <w:div w:id="670841488">
      <w:bodyDiv w:val="1"/>
      <w:marLeft w:val="0"/>
      <w:marRight w:val="0"/>
      <w:marTop w:val="0"/>
      <w:marBottom w:val="0"/>
      <w:divBdr>
        <w:top w:val="none" w:sz="0" w:space="0" w:color="auto"/>
        <w:left w:val="none" w:sz="0" w:space="0" w:color="auto"/>
        <w:bottom w:val="none" w:sz="0" w:space="0" w:color="auto"/>
        <w:right w:val="none" w:sz="0" w:space="0" w:color="auto"/>
      </w:divBdr>
    </w:div>
    <w:div w:id="670958429">
      <w:bodyDiv w:val="1"/>
      <w:marLeft w:val="0"/>
      <w:marRight w:val="0"/>
      <w:marTop w:val="0"/>
      <w:marBottom w:val="0"/>
      <w:divBdr>
        <w:top w:val="none" w:sz="0" w:space="0" w:color="auto"/>
        <w:left w:val="none" w:sz="0" w:space="0" w:color="auto"/>
        <w:bottom w:val="none" w:sz="0" w:space="0" w:color="auto"/>
        <w:right w:val="none" w:sz="0" w:space="0" w:color="auto"/>
      </w:divBdr>
    </w:div>
    <w:div w:id="670984304">
      <w:bodyDiv w:val="1"/>
      <w:marLeft w:val="0"/>
      <w:marRight w:val="0"/>
      <w:marTop w:val="0"/>
      <w:marBottom w:val="0"/>
      <w:divBdr>
        <w:top w:val="none" w:sz="0" w:space="0" w:color="auto"/>
        <w:left w:val="none" w:sz="0" w:space="0" w:color="auto"/>
        <w:bottom w:val="none" w:sz="0" w:space="0" w:color="auto"/>
        <w:right w:val="none" w:sz="0" w:space="0" w:color="auto"/>
      </w:divBdr>
    </w:div>
    <w:div w:id="671177435">
      <w:bodyDiv w:val="1"/>
      <w:marLeft w:val="0"/>
      <w:marRight w:val="0"/>
      <w:marTop w:val="0"/>
      <w:marBottom w:val="0"/>
      <w:divBdr>
        <w:top w:val="none" w:sz="0" w:space="0" w:color="auto"/>
        <w:left w:val="none" w:sz="0" w:space="0" w:color="auto"/>
        <w:bottom w:val="none" w:sz="0" w:space="0" w:color="auto"/>
        <w:right w:val="none" w:sz="0" w:space="0" w:color="auto"/>
      </w:divBdr>
    </w:div>
    <w:div w:id="671494611">
      <w:bodyDiv w:val="1"/>
      <w:marLeft w:val="0"/>
      <w:marRight w:val="0"/>
      <w:marTop w:val="0"/>
      <w:marBottom w:val="0"/>
      <w:divBdr>
        <w:top w:val="none" w:sz="0" w:space="0" w:color="auto"/>
        <w:left w:val="none" w:sz="0" w:space="0" w:color="auto"/>
        <w:bottom w:val="none" w:sz="0" w:space="0" w:color="auto"/>
        <w:right w:val="none" w:sz="0" w:space="0" w:color="auto"/>
      </w:divBdr>
    </w:div>
    <w:div w:id="671643395">
      <w:bodyDiv w:val="1"/>
      <w:marLeft w:val="0"/>
      <w:marRight w:val="0"/>
      <w:marTop w:val="0"/>
      <w:marBottom w:val="0"/>
      <w:divBdr>
        <w:top w:val="none" w:sz="0" w:space="0" w:color="auto"/>
        <w:left w:val="none" w:sz="0" w:space="0" w:color="auto"/>
        <w:bottom w:val="none" w:sz="0" w:space="0" w:color="auto"/>
        <w:right w:val="none" w:sz="0" w:space="0" w:color="auto"/>
      </w:divBdr>
    </w:div>
    <w:div w:id="672341983">
      <w:bodyDiv w:val="1"/>
      <w:marLeft w:val="0"/>
      <w:marRight w:val="0"/>
      <w:marTop w:val="0"/>
      <w:marBottom w:val="0"/>
      <w:divBdr>
        <w:top w:val="none" w:sz="0" w:space="0" w:color="auto"/>
        <w:left w:val="none" w:sz="0" w:space="0" w:color="auto"/>
        <w:bottom w:val="none" w:sz="0" w:space="0" w:color="auto"/>
        <w:right w:val="none" w:sz="0" w:space="0" w:color="auto"/>
      </w:divBdr>
    </w:div>
    <w:div w:id="672530542">
      <w:bodyDiv w:val="1"/>
      <w:marLeft w:val="0"/>
      <w:marRight w:val="0"/>
      <w:marTop w:val="0"/>
      <w:marBottom w:val="0"/>
      <w:divBdr>
        <w:top w:val="none" w:sz="0" w:space="0" w:color="auto"/>
        <w:left w:val="none" w:sz="0" w:space="0" w:color="auto"/>
        <w:bottom w:val="none" w:sz="0" w:space="0" w:color="auto"/>
        <w:right w:val="none" w:sz="0" w:space="0" w:color="auto"/>
      </w:divBdr>
    </w:div>
    <w:div w:id="672608031">
      <w:bodyDiv w:val="1"/>
      <w:marLeft w:val="0"/>
      <w:marRight w:val="0"/>
      <w:marTop w:val="0"/>
      <w:marBottom w:val="0"/>
      <w:divBdr>
        <w:top w:val="none" w:sz="0" w:space="0" w:color="auto"/>
        <w:left w:val="none" w:sz="0" w:space="0" w:color="auto"/>
        <w:bottom w:val="none" w:sz="0" w:space="0" w:color="auto"/>
        <w:right w:val="none" w:sz="0" w:space="0" w:color="auto"/>
      </w:divBdr>
    </w:div>
    <w:div w:id="672950321">
      <w:bodyDiv w:val="1"/>
      <w:marLeft w:val="0"/>
      <w:marRight w:val="0"/>
      <w:marTop w:val="0"/>
      <w:marBottom w:val="0"/>
      <w:divBdr>
        <w:top w:val="none" w:sz="0" w:space="0" w:color="auto"/>
        <w:left w:val="none" w:sz="0" w:space="0" w:color="auto"/>
        <w:bottom w:val="none" w:sz="0" w:space="0" w:color="auto"/>
        <w:right w:val="none" w:sz="0" w:space="0" w:color="auto"/>
      </w:divBdr>
    </w:div>
    <w:div w:id="672991344">
      <w:bodyDiv w:val="1"/>
      <w:marLeft w:val="0"/>
      <w:marRight w:val="0"/>
      <w:marTop w:val="0"/>
      <w:marBottom w:val="0"/>
      <w:divBdr>
        <w:top w:val="none" w:sz="0" w:space="0" w:color="auto"/>
        <w:left w:val="none" w:sz="0" w:space="0" w:color="auto"/>
        <w:bottom w:val="none" w:sz="0" w:space="0" w:color="auto"/>
        <w:right w:val="none" w:sz="0" w:space="0" w:color="auto"/>
      </w:divBdr>
    </w:div>
    <w:div w:id="672992956">
      <w:bodyDiv w:val="1"/>
      <w:marLeft w:val="0"/>
      <w:marRight w:val="0"/>
      <w:marTop w:val="0"/>
      <w:marBottom w:val="0"/>
      <w:divBdr>
        <w:top w:val="none" w:sz="0" w:space="0" w:color="auto"/>
        <w:left w:val="none" w:sz="0" w:space="0" w:color="auto"/>
        <w:bottom w:val="none" w:sz="0" w:space="0" w:color="auto"/>
        <w:right w:val="none" w:sz="0" w:space="0" w:color="auto"/>
      </w:divBdr>
    </w:div>
    <w:div w:id="673147098">
      <w:bodyDiv w:val="1"/>
      <w:marLeft w:val="0"/>
      <w:marRight w:val="0"/>
      <w:marTop w:val="0"/>
      <w:marBottom w:val="0"/>
      <w:divBdr>
        <w:top w:val="none" w:sz="0" w:space="0" w:color="auto"/>
        <w:left w:val="none" w:sz="0" w:space="0" w:color="auto"/>
        <w:bottom w:val="none" w:sz="0" w:space="0" w:color="auto"/>
        <w:right w:val="none" w:sz="0" w:space="0" w:color="auto"/>
      </w:divBdr>
    </w:div>
    <w:div w:id="673336086">
      <w:bodyDiv w:val="1"/>
      <w:marLeft w:val="0"/>
      <w:marRight w:val="0"/>
      <w:marTop w:val="0"/>
      <w:marBottom w:val="0"/>
      <w:divBdr>
        <w:top w:val="none" w:sz="0" w:space="0" w:color="auto"/>
        <w:left w:val="none" w:sz="0" w:space="0" w:color="auto"/>
        <w:bottom w:val="none" w:sz="0" w:space="0" w:color="auto"/>
        <w:right w:val="none" w:sz="0" w:space="0" w:color="auto"/>
      </w:divBdr>
    </w:div>
    <w:div w:id="673414488">
      <w:bodyDiv w:val="1"/>
      <w:marLeft w:val="0"/>
      <w:marRight w:val="0"/>
      <w:marTop w:val="0"/>
      <w:marBottom w:val="0"/>
      <w:divBdr>
        <w:top w:val="none" w:sz="0" w:space="0" w:color="auto"/>
        <w:left w:val="none" w:sz="0" w:space="0" w:color="auto"/>
        <w:bottom w:val="none" w:sz="0" w:space="0" w:color="auto"/>
        <w:right w:val="none" w:sz="0" w:space="0" w:color="auto"/>
      </w:divBdr>
    </w:div>
    <w:div w:id="673462016">
      <w:bodyDiv w:val="1"/>
      <w:marLeft w:val="0"/>
      <w:marRight w:val="0"/>
      <w:marTop w:val="0"/>
      <w:marBottom w:val="0"/>
      <w:divBdr>
        <w:top w:val="none" w:sz="0" w:space="0" w:color="auto"/>
        <w:left w:val="none" w:sz="0" w:space="0" w:color="auto"/>
        <w:bottom w:val="none" w:sz="0" w:space="0" w:color="auto"/>
        <w:right w:val="none" w:sz="0" w:space="0" w:color="auto"/>
      </w:divBdr>
    </w:div>
    <w:div w:id="673604955">
      <w:bodyDiv w:val="1"/>
      <w:marLeft w:val="0"/>
      <w:marRight w:val="0"/>
      <w:marTop w:val="0"/>
      <w:marBottom w:val="0"/>
      <w:divBdr>
        <w:top w:val="none" w:sz="0" w:space="0" w:color="auto"/>
        <w:left w:val="none" w:sz="0" w:space="0" w:color="auto"/>
        <w:bottom w:val="none" w:sz="0" w:space="0" w:color="auto"/>
        <w:right w:val="none" w:sz="0" w:space="0" w:color="auto"/>
      </w:divBdr>
    </w:div>
    <w:div w:id="673608159">
      <w:bodyDiv w:val="1"/>
      <w:marLeft w:val="0"/>
      <w:marRight w:val="0"/>
      <w:marTop w:val="0"/>
      <w:marBottom w:val="0"/>
      <w:divBdr>
        <w:top w:val="none" w:sz="0" w:space="0" w:color="auto"/>
        <w:left w:val="none" w:sz="0" w:space="0" w:color="auto"/>
        <w:bottom w:val="none" w:sz="0" w:space="0" w:color="auto"/>
        <w:right w:val="none" w:sz="0" w:space="0" w:color="auto"/>
      </w:divBdr>
    </w:div>
    <w:div w:id="674303233">
      <w:bodyDiv w:val="1"/>
      <w:marLeft w:val="0"/>
      <w:marRight w:val="0"/>
      <w:marTop w:val="0"/>
      <w:marBottom w:val="0"/>
      <w:divBdr>
        <w:top w:val="none" w:sz="0" w:space="0" w:color="auto"/>
        <w:left w:val="none" w:sz="0" w:space="0" w:color="auto"/>
        <w:bottom w:val="none" w:sz="0" w:space="0" w:color="auto"/>
        <w:right w:val="none" w:sz="0" w:space="0" w:color="auto"/>
      </w:divBdr>
    </w:div>
    <w:div w:id="674386259">
      <w:bodyDiv w:val="1"/>
      <w:marLeft w:val="0"/>
      <w:marRight w:val="0"/>
      <w:marTop w:val="0"/>
      <w:marBottom w:val="0"/>
      <w:divBdr>
        <w:top w:val="none" w:sz="0" w:space="0" w:color="auto"/>
        <w:left w:val="none" w:sz="0" w:space="0" w:color="auto"/>
        <w:bottom w:val="none" w:sz="0" w:space="0" w:color="auto"/>
        <w:right w:val="none" w:sz="0" w:space="0" w:color="auto"/>
      </w:divBdr>
    </w:div>
    <w:div w:id="674461710">
      <w:bodyDiv w:val="1"/>
      <w:marLeft w:val="0"/>
      <w:marRight w:val="0"/>
      <w:marTop w:val="0"/>
      <w:marBottom w:val="0"/>
      <w:divBdr>
        <w:top w:val="none" w:sz="0" w:space="0" w:color="auto"/>
        <w:left w:val="none" w:sz="0" w:space="0" w:color="auto"/>
        <w:bottom w:val="none" w:sz="0" w:space="0" w:color="auto"/>
        <w:right w:val="none" w:sz="0" w:space="0" w:color="auto"/>
      </w:divBdr>
    </w:div>
    <w:div w:id="674572652">
      <w:bodyDiv w:val="1"/>
      <w:marLeft w:val="0"/>
      <w:marRight w:val="0"/>
      <w:marTop w:val="0"/>
      <w:marBottom w:val="0"/>
      <w:divBdr>
        <w:top w:val="none" w:sz="0" w:space="0" w:color="auto"/>
        <w:left w:val="none" w:sz="0" w:space="0" w:color="auto"/>
        <w:bottom w:val="none" w:sz="0" w:space="0" w:color="auto"/>
        <w:right w:val="none" w:sz="0" w:space="0" w:color="auto"/>
      </w:divBdr>
    </w:div>
    <w:div w:id="674575581">
      <w:bodyDiv w:val="1"/>
      <w:marLeft w:val="0"/>
      <w:marRight w:val="0"/>
      <w:marTop w:val="0"/>
      <w:marBottom w:val="0"/>
      <w:divBdr>
        <w:top w:val="none" w:sz="0" w:space="0" w:color="auto"/>
        <w:left w:val="none" w:sz="0" w:space="0" w:color="auto"/>
        <w:bottom w:val="none" w:sz="0" w:space="0" w:color="auto"/>
        <w:right w:val="none" w:sz="0" w:space="0" w:color="auto"/>
      </w:divBdr>
    </w:div>
    <w:div w:id="674722478">
      <w:bodyDiv w:val="1"/>
      <w:marLeft w:val="0"/>
      <w:marRight w:val="0"/>
      <w:marTop w:val="0"/>
      <w:marBottom w:val="0"/>
      <w:divBdr>
        <w:top w:val="none" w:sz="0" w:space="0" w:color="auto"/>
        <w:left w:val="none" w:sz="0" w:space="0" w:color="auto"/>
        <w:bottom w:val="none" w:sz="0" w:space="0" w:color="auto"/>
        <w:right w:val="none" w:sz="0" w:space="0" w:color="auto"/>
      </w:divBdr>
    </w:div>
    <w:div w:id="674846650">
      <w:bodyDiv w:val="1"/>
      <w:marLeft w:val="0"/>
      <w:marRight w:val="0"/>
      <w:marTop w:val="0"/>
      <w:marBottom w:val="0"/>
      <w:divBdr>
        <w:top w:val="none" w:sz="0" w:space="0" w:color="auto"/>
        <w:left w:val="none" w:sz="0" w:space="0" w:color="auto"/>
        <w:bottom w:val="none" w:sz="0" w:space="0" w:color="auto"/>
        <w:right w:val="none" w:sz="0" w:space="0" w:color="auto"/>
      </w:divBdr>
    </w:div>
    <w:div w:id="674921305">
      <w:bodyDiv w:val="1"/>
      <w:marLeft w:val="0"/>
      <w:marRight w:val="0"/>
      <w:marTop w:val="0"/>
      <w:marBottom w:val="0"/>
      <w:divBdr>
        <w:top w:val="none" w:sz="0" w:space="0" w:color="auto"/>
        <w:left w:val="none" w:sz="0" w:space="0" w:color="auto"/>
        <w:bottom w:val="none" w:sz="0" w:space="0" w:color="auto"/>
        <w:right w:val="none" w:sz="0" w:space="0" w:color="auto"/>
      </w:divBdr>
    </w:div>
    <w:div w:id="675227013">
      <w:bodyDiv w:val="1"/>
      <w:marLeft w:val="0"/>
      <w:marRight w:val="0"/>
      <w:marTop w:val="0"/>
      <w:marBottom w:val="0"/>
      <w:divBdr>
        <w:top w:val="none" w:sz="0" w:space="0" w:color="auto"/>
        <w:left w:val="none" w:sz="0" w:space="0" w:color="auto"/>
        <w:bottom w:val="none" w:sz="0" w:space="0" w:color="auto"/>
        <w:right w:val="none" w:sz="0" w:space="0" w:color="auto"/>
      </w:divBdr>
    </w:div>
    <w:div w:id="675615243">
      <w:bodyDiv w:val="1"/>
      <w:marLeft w:val="0"/>
      <w:marRight w:val="0"/>
      <w:marTop w:val="0"/>
      <w:marBottom w:val="0"/>
      <w:divBdr>
        <w:top w:val="none" w:sz="0" w:space="0" w:color="auto"/>
        <w:left w:val="none" w:sz="0" w:space="0" w:color="auto"/>
        <w:bottom w:val="none" w:sz="0" w:space="0" w:color="auto"/>
        <w:right w:val="none" w:sz="0" w:space="0" w:color="auto"/>
      </w:divBdr>
    </w:div>
    <w:div w:id="675692794">
      <w:bodyDiv w:val="1"/>
      <w:marLeft w:val="0"/>
      <w:marRight w:val="0"/>
      <w:marTop w:val="0"/>
      <w:marBottom w:val="0"/>
      <w:divBdr>
        <w:top w:val="none" w:sz="0" w:space="0" w:color="auto"/>
        <w:left w:val="none" w:sz="0" w:space="0" w:color="auto"/>
        <w:bottom w:val="none" w:sz="0" w:space="0" w:color="auto"/>
        <w:right w:val="none" w:sz="0" w:space="0" w:color="auto"/>
      </w:divBdr>
    </w:div>
    <w:div w:id="675772144">
      <w:bodyDiv w:val="1"/>
      <w:marLeft w:val="0"/>
      <w:marRight w:val="0"/>
      <w:marTop w:val="0"/>
      <w:marBottom w:val="0"/>
      <w:divBdr>
        <w:top w:val="none" w:sz="0" w:space="0" w:color="auto"/>
        <w:left w:val="none" w:sz="0" w:space="0" w:color="auto"/>
        <w:bottom w:val="none" w:sz="0" w:space="0" w:color="auto"/>
        <w:right w:val="none" w:sz="0" w:space="0" w:color="auto"/>
      </w:divBdr>
    </w:div>
    <w:div w:id="676033675">
      <w:bodyDiv w:val="1"/>
      <w:marLeft w:val="0"/>
      <w:marRight w:val="0"/>
      <w:marTop w:val="0"/>
      <w:marBottom w:val="0"/>
      <w:divBdr>
        <w:top w:val="none" w:sz="0" w:space="0" w:color="auto"/>
        <w:left w:val="none" w:sz="0" w:space="0" w:color="auto"/>
        <w:bottom w:val="none" w:sz="0" w:space="0" w:color="auto"/>
        <w:right w:val="none" w:sz="0" w:space="0" w:color="auto"/>
      </w:divBdr>
    </w:div>
    <w:div w:id="676158305">
      <w:bodyDiv w:val="1"/>
      <w:marLeft w:val="0"/>
      <w:marRight w:val="0"/>
      <w:marTop w:val="0"/>
      <w:marBottom w:val="0"/>
      <w:divBdr>
        <w:top w:val="none" w:sz="0" w:space="0" w:color="auto"/>
        <w:left w:val="none" w:sz="0" w:space="0" w:color="auto"/>
        <w:bottom w:val="none" w:sz="0" w:space="0" w:color="auto"/>
        <w:right w:val="none" w:sz="0" w:space="0" w:color="auto"/>
      </w:divBdr>
    </w:div>
    <w:div w:id="676612213">
      <w:bodyDiv w:val="1"/>
      <w:marLeft w:val="0"/>
      <w:marRight w:val="0"/>
      <w:marTop w:val="0"/>
      <w:marBottom w:val="0"/>
      <w:divBdr>
        <w:top w:val="none" w:sz="0" w:space="0" w:color="auto"/>
        <w:left w:val="none" w:sz="0" w:space="0" w:color="auto"/>
        <w:bottom w:val="none" w:sz="0" w:space="0" w:color="auto"/>
        <w:right w:val="none" w:sz="0" w:space="0" w:color="auto"/>
      </w:divBdr>
    </w:div>
    <w:div w:id="676660827">
      <w:bodyDiv w:val="1"/>
      <w:marLeft w:val="0"/>
      <w:marRight w:val="0"/>
      <w:marTop w:val="0"/>
      <w:marBottom w:val="0"/>
      <w:divBdr>
        <w:top w:val="none" w:sz="0" w:space="0" w:color="auto"/>
        <w:left w:val="none" w:sz="0" w:space="0" w:color="auto"/>
        <w:bottom w:val="none" w:sz="0" w:space="0" w:color="auto"/>
        <w:right w:val="none" w:sz="0" w:space="0" w:color="auto"/>
      </w:divBdr>
    </w:div>
    <w:div w:id="676662164">
      <w:bodyDiv w:val="1"/>
      <w:marLeft w:val="0"/>
      <w:marRight w:val="0"/>
      <w:marTop w:val="0"/>
      <w:marBottom w:val="0"/>
      <w:divBdr>
        <w:top w:val="none" w:sz="0" w:space="0" w:color="auto"/>
        <w:left w:val="none" w:sz="0" w:space="0" w:color="auto"/>
        <w:bottom w:val="none" w:sz="0" w:space="0" w:color="auto"/>
        <w:right w:val="none" w:sz="0" w:space="0" w:color="auto"/>
      </w:divBdr>
    </w:div>
    <w:div w:id="676883574">
      <w:bodyDiv w:val="1"/>
      <w:marLeft w:val="0"/>
      <w:marRight w:val="0"/>
      <w:marTop w:val="0"/>
      <w:marBottom w:val="0"/>
      <w:divBdr>
        <w:top w:val="none" w:sz="0" w:space="0" w:color="auto"/>
        <w:left w:val="none" w:sz="0" w:space="0" w:color="auto"/>
        <w:bottom w:val="none" w:sz="0" w:space="0" w:color="auto"/>
        <w:right w:val="none" w:sz="0" w:space="0" w:color="auto"/>
      </w:divBdr>
    </w:div>
    <w:div w:id="677195562">
      <w:bodyDiv w:val="1"/>
      <w:marLeft w:val="0"/>
      <w:marRight w:val="0"/>
      <w:marTop w:val="0"/>
      <w:marBottom w:val="0"/>
      <w:divBdr>
        <w:top w:val="none" w:sz="0" w:space="0" w:color="auto"/>
        <w:left w:val="none" w:sz="0" w:space="0" w:color="auto"/>
        <w:bottom w:val="none" w:sz="0" w:space="0" w:color="auto"/>
        <w:right w:val="none" w:sz="0" w:space="0" w:color="auto"/>
      </w:divBdr>
    </w:div>
    <w:div w:id="677200780">
      <w:bodyDiv w:val="1"/>
      <w:marLeft w:val="0"/>
      <w:marRight w:val="0"/>
      <w:marTop w:val="0"/>
      <w:marBottom w:val="0"/>
      <w:divBdr>
        <w:top w:val="none" w:sz="0" w:space="0" w:color="auto"/>
        <w:left w:val="none" w:sz="0" w:space="0" w:color="auto"/>
        <w:bottom w:val="none" w:sz="0" w:space="0" w:color="auto"/>
        <w:right w:val="none" w:sz="0" w:space="0" w:color="auto"/>
      </w:divBdr>
    </w:div>
    <w:div w:id="677773873">
      <w:bodyDiv w:val="1"/>
      <w:marLeft w:val="0"/>
      <w:marRight w:val="0"/>
      <w:marTop w:val="0"/>
      <w:marBottom w:val="0"/>
      <w:divBdr>
        <w:top w:val="none" w:sz="0" w:space="0" w:color="auto"/>
        <w:left w:val="none" w:sz="0" w:space="0" w:color="auto"/>
        <w:bottom w:val="none" w:sz="0" w:space="0" w:color="auto"/>
        <w:right w:val="none" w:sz="0" w:space="0" w:color="auto"/>
      </w:divBdr>
    </w:div>
    <w:div w:id="678117024">
      <w:bodyDiv w:val="1"/>
      <w:marLeft w:val="0"/>
      <w:marRight w:val="0"/>
      <w:marTop w:val="0"/>
      <w:marBottom w:val="0"/>
      <w:divBdr>
        <w:top w:val="none" w:sz="0" w:space="0" w:color="auto"/>
        <w:left w:val="none" w:sz="0" w:space="0" w:color="auto"/>
        <w:bottom w:val="none" w:sz="0" w:space="0" w:color="auto"/>
        <w:right w:val="none" w:sz="0" w:space="0" w:color="auto"/>
      </w:divBdr>
    </w:div>
    <w:div w:id="678198423">
      <w:bodyDiv w:val="1"/>
      <w:marLeft w:val="0"/>
      <w:marRight w:val="0"/>
      <w:marTop w:val="0"/>
      <w:marBottom w:val="0"/>
      <w:divBdr>
        <w:top w:val="none" w:sz="0" w:space="0" w:color="auto"/>
        <w:left w:val="none" w:sz="0" w:space="0" w:color="auto"/>
        <w:bottom w:val="none" w:sz="0" w:space="0" w:color="auto"/>
        <w:right w:val="none" w:sz="0" w:space="0" w:color="auto"/>
      </w:divBdr>
    </w:div>
    <w:div w:id="678309915">
      <w:bodyDiv w:val="1"/>
      <w:marLeft w:val="0"/>
      <w:marRight w:val="0"/>
      <w:marTop w:val="0"/>
      <w:marBottom w:val="0"/>
      <w:divBdr>
        <w:top w:val="none" w:sz="0" w:space="0" w:color="auto"/>
        <w:left w:val="none" w:sz="0" w:space="0" w:color="auto"/>
        <w:bottom w:val="none" w:sz="0" w:space="0" w:color="auto"/>
        <w:right w:val="none" w:sz="0" w:space="0" w:color="auto"/>
      </w:divBdr>
    </w:div>
    <w:div w:id="678384336">
      <w:bodyDiv w:val="1"/>
      <w:marLeft w:val="0"/>
      <w:marRight w:val="0"/>
      <w:marTop w:val="0"/>
      <w:marBottom w:val="0"/>
      <w:divBdr>
        <w:top w:val="none" w:sz="0" w:space="0" w:color="auto"/>
        <w:left w:val="none" w:sz="0" w:space="0" w:color="auto"/>
        <w:bottom w:val="none" w:sz="0" w:space="0" w:color="auto"/>
        <w:right w:val="none" w:sz="0" w:space="0" w:color="auto"/>
      </w:divBdr>
    </w:div>
    <w:div w:id="678775311">
      <w:bodyDiv w:val="1"/>
      <w:marLeft w:val="0"/>
      <w:marRight w:val="0"/>
      <w:marTop w:val="0"/>
      <w:marBottom w:val="0"/>
      <w:divBdr>
        <w:top w:val="none" w:sz="0" w:space="0" w:color="auto"/>
        <w:left w:val="none" w:sz="0" w:space="0" w:color="auto"/>
        <w:bottom w:val="none" w:sz="0" w:space="0" w:color="auto"/>
        <w:right w:val="none" w:sz="0" w:space="0" w:color="auto"/>
      </w:divBdr>
    </w:div>
    <w:div w:id="678849793">
      <w:bodyDiv w:val="1"/>
      <w:marLeft w:val="0"/>
      <w:marRight w:val="0"/>
      <w:marTop w:val="0"/>
      <w:marBottom w:val="0"/>
      <w:divBdr>
        <w:top w:val="none" w:sz="0" w:space="0" w:color="auto"/>
        <w:left w:val="none" w:sz="0" w:space="0" w:color="auto"/>
        <w:bottom w:val="none" w:sz="0" w:space="0" w:color="auto"/>
        <w:right w:val="none" w:sz="0" w:space="0" w:color="auto"/>
      </w:divBdr>
    </w:div>
    <w:div w:id="678850186">
      <w:bodyDiv w:val="1"/>
      <w:marLeft w:val="0"/>
      <w:marRight w:val="0"/>
      <w:marTop w:val="0"/>
      <w:marBottom w:val="0"/>
      <w:divBdr>
        <w:top w:val="none" w:sz="0" w:space="0" w:color="auto"/>
        <w:left w:val="none" w:sz="0" w:space="0" w:color="auto"/>
        <w:bottom w:val="none" w:sz="0" w:space="0" w:color="auto"/>
        <w:right w:val="none" w:sz="0" w:space="0" w:color="auto"/>
      </w:divBdr>
    </w:div>
    <w:div w:id="678890793">
      <w:bodyDiv w:val="1"/>
      <w:marLeft w:val="0"/>
      <w:marRight w:val="0"/>
      <w:marTop w:val="0"/>
      <w:marBottom w:val="0"/>
      <w:divBdr>
        <w:top w:val="none" w:sz="0" w:space="0" w:color="auto"/>
        <w:left w:val="none" w:sz="0" w:space="0" w:color="auto"/>
        <w:bottom w:val="none" w:sz="0" w:space="0" w:color="auto"/>
        <w:right w:val="none" w:sz="0" w:space="0" w:color="auto"/>
      </w:divBdr>
    </w:div>
    <w:div w:id="679048849">
      <w:bodyDiv w:val="1"/>
      <w:marLeft w:val="0"/>
      <w:marRight w:val="0"/>
      <w:marTop w:val="0"/>
      <w:marBottom w:val="0"/>
      <w:divBdr>
        <w:top w:val="none" w:sz="0" w:space="0" w:color="auto"/>
        <w:left w:val="none" w:sz="0" w:space="0" w:color="auto"/>
        <w:bottom w:val="none" w:sz="0" w:space="0" w:color="auto"/>
        <w:right w:val="none" w:sz="0" w:space="0" w:color="auto"/>
      </w:divBdr>
    </w:div>
    <w:div w:id="679937065">
      <w:bodyDiv w:val="1"/>
      <w:marLeft w:val="0"/>
      <w:marRight w:val="0"/>
      <w:marTop w:val="0"/>
      <w:marBottom w:val="0"/>
      <w:divBdr>
        <w:top w:val="none" w:sz="0" w:space="0" w:color="auto"/>
        <w:left w:val="none" w:sz="0" w:space="0" w:color="auto"/>
        <w:bottom w:val="none" w:sz="0" w:space="0" w:color="auto"/>
        <w:right w:val="none" w:sz="0" w:space="0" w:color="auto"/>
      </w:divBdr>
    </w:div>
    <w:div w:id="680594618">
      <w:bodyDiv w:val="1"/>
      <w:marLeft w:val="0"/>
      <w:marRight w:val="0"/>
      <w:marTop w:val="0"/>
      <w:marBottom w:val="0"/>
      <w:divBdr>
        <w:top w:val="none" w:sz="0" w:space="0" w:color="auto"/>
        <w:left w:val="none" w:sz="0" w:space="0" w:color="auto"/>
        <w:bottom w:val="none" w:sz="0" w:space="0" w:color="auto"/>
        <w:right w:val="none" w:sz="0" w:space="0" w:color="auto"/>
      </w:divBdr>
    </w:div>
    <w:div w:id="680669610">
      <w:bodyDiv w:val="1"/>
      <w:marLeft w:val="0"/>
      <w:marRight w:val="0"/>
      <w:marTop w:val="0"/>
      <w:marBottom w:val="0"/>
      <w:divBdr>
        <w:top w:val="none" w:sz="0" w:space="0" w:color="auto"/>
        <w:left w:val="none" w:sz="0" w:space="0" w:color="auto"/>
        <w:bottom w:val="none" w:sz="0" w:space="0" w:color="auto"/>
        <w:right w:val="none" w:sz="0" w:space="0" w:color="auto"/>
      </w:divBdr>
    </w:div>
    <w:div w:id="680817842">
      <w:bodyDiv w:val="1"/>
      <w:marLeft w:val="0"/>
      <w:marRight w:val="0"/>
      <w:marTop w:val="0"/>
      <w:marBottom w:val="0"/>
      <w:divBdr>
        <w:top w:val="none" w:sz="0" w:space="0" w:color="auto"/>
        <w:left w:val="none" w:sz="0" w:space="0" w:color="auto"/>
        <w:bottom w:val="none" w:sz="0" w:space="0" w:color="auto"/>
        <w:right w:val="none" w:sz="0" w:space="0" w:color="auto"/>
      </w:divBdr>
    </w:div>
    <w:div w:id="681056707">
      <w:bodyDiv w:val="1"/>
      <w:marLeft w:val="0"/>
      <w:marRight w:val="0"/>
      <w:marTop w:val="0"/>
      <w:marBottom w:val="0"/>
      <w:divBdr>
        <w:top w:val="none" w:sz="0" w:space="0" w:color="auto"/>
        <w:left w:val="none" w:sz="0" w:space="0" w:color="auto"/>
        <w:bottom w:val="none" w:sz="0" w:space="0" w:color="auto"/>
        <w:right w:val="none" w:sz="0" w:space="0" w:color="auto"/>
      </w:divBdr>
    </w:div>
    <w:div w:id="681082554">
      <w:bodyDiv w:val="1"/>
      <w:marLeft w:val="0"/>
      <w:marRight w:val="0"/>
      <w:marTop w:val="0"/>
      <w:marBottom w:val="0"/>
      <w:divBdr>
        <w:top w:val="none" w:sz="0" w:space="0" w:color="auto"/>
        <w:left w:val="none" w:sz="0" w:space="0" w:color="auto"/>
        <w:bottom w:val="none" w:sz="0" w:space="0" w:color="auto"/>
        <w:right w:val="none" w:sz="0" w:space="0" w:color="auto"/>
      </w:divBdr>
    </w:div>
    <w:div w:id="681207918">
      <w:bodyDiv w:val="1"/>
      <w:marLeft w:val="0"/>
      <w:marRight w:val="0"/>
      <w:marTop w:val="0"/>
      <w:marBottom w:val="0"/>
      <w:divBdr>
        <w:top w:val="none" w:sz="0" w:space="0" w:color="auto"/>
        <w:left w:val="none" w:sz="0" w:space="0" w:color="auto"/>
        <w:bottom w:val="none" w:sz="0" w:space="0" w:color="auto"/>
        <w:right w:val="none" w:sz="0" w:space="0" w:color="auto"/>
      </w:divBdr>
    </w:div>
    <w:div w:id="681785507">
      <w:bodyDiv w:val="1"/>
      <w:marLeft w:val="0"/>
      <w:marRight w:val="0"/>
      <w:marTop w:val="0"/>
      <w:marBottom w:val="0"/>
      <w:divBdr>
        <w:top w:val="none" w:sz="0" w:space="0" w:color="auto"/>
        <w:left w:val="none" w:sz="0" w:space="0" w:color="auto"/>
        <w:bottom w:val="none" w:sz="0" w:space="0" w:color="auto"/>
        <w:right w:val="none" w:sz="0" w:space="0" w:color="auto"/>
      </w:divBdr>
    </w:div>
    <w:div w:id="681975799">
      <w:bodyDiv w:val="1"/>
      <w:marLeft w:val="0"/>
      <w:marRight w:val="0"/>
      <w:marTop w:val="0"/>
      <w:marBottom w:val="0"/>
      <w:divBdr>
        <w:top w:val="none" w:sz="0" w:space="0" w:color="auto"/>
        <w:left w:val="none" w:sz="0" w:space="0" w:color="auto"/>
        <w:bottom w:val="none" w:sz="0" w:space="0" w:color="auto"/>
        <w:right w:val="none" w:sz="0" w:space="0" w:color="auto"/>
      </w:divBdr>
    </w:div>
    <w:div w:id="682170881">
      <w:bodyDiv w:val="1"/>
      <w:marLeft w:val="0"/>
      <w:marRight w:val="0"/>
      <w:marTop w:val="0"/>
      <w:marBottom w:val="0"/>
      <w:divBdr>
        <w:top w:val="none" w:sz="0" w:space="0" w:color="auto"/>
        <w:left w:val="none" w:sz="0" w:space="0" w:color="auto"/>
        <w:bottom w:val="none" w:sz="0" w:space="0" w:color="auto"/>
        <w:right w:val="none" w:sz="0" w:space="0" w:color="auto"/>
      </w:divBdr>
    </w:div>
    <w:div w:id="682242565">
      <w:bodyDiv w:val="1"/>
      <w:marLeft w:val="0"/>
      <w:marRight w:val="0"/>
      <w:marTop w:val="0"/>
      <w:marBottom w:val="0"/>
      <w:divBdr>
        <w:top w:val="none" w:sz="0" w:space="0" w:color="auto"/>
        <w:left w:val="none" w:sz="0" w:space="0" w:color="auto"/>
        <w:bottom w:val="none" w:sz="0" w:space="0" w:color="auto"/>
        <w:right w:val="none" w:sz="0" w:space="0" w:color="auto"/>
      </w:divBdr>
    </w:div>
    <w:div w:id="682248809">
      <w:bodyDiv w:val="1"/>
      <w:marLeft w:val="0"/>
      <w:marRight w:val="0"/>
      <w:marTop w:val="0"/>
      <w:marBottom w:val="0"/>
      <w:divBdr>
        <w:top w:val="none" w:sz="0" w:space="0" w:color="auto"/>
        <w:left w:val="none" w:sz="0" w:space="0" w:color="auto"/>
        <w:bottom w:val="none" w:sz="0" w:space="0" w:color="auto"/>
        <w:right w:val="none" w:sz="0" w:space="0" w:color="auto"/>
      </w:divBdr>
    </w:div>
    <w:div w:id="682320878">
      <w:bodyDiv w:val="1"/>
      <w:marLeft w:val="0"/>
      <w:marRight w:val="0"/>
      <w:marTop w:val="0"/>
      <w:marBottom w:val="0"/>
      <w:divBdr>
        <w:top w:val="none" w:sz="0" w:space="0" w:color="auto"/>
        <w:left w:val="none" w:sz="0" w:space="0" w:color="auto"/>
        <w:bottom w:val="none" w:sz="0" w:space="0" w:color="auto"/>
        <w:right w:val="none" w:sz="0" w:space="0" w:color="auto"/>
      </w:divBdr>
    </w:div>
    <w:div w:id="682391490">
      <w:bodyDiv w:val="1"/>
      <w:marLeft w:val="0"/>
      <w:marRight w:val="0"/>
      <w:marTop w:val="0"/>
      <w:marBottom w:val="0"/>
      <w:divBdr>
        <w:top w:val="none" w:sz="0" w:space="0" w:color="auto"/>
        <w:left w:val="none" w:sz="0" w:space="0" w:color="auto"/>
        <w:bottom w:val="none" w:sz="0" w:space="0" w:color="auto"/>
        <w:right w:val="none" w:sz="0" w:space="0" w:color="auto"/>
      </w:divBdr>
    </w:div>
    <w:div w:id="682393057">
      <w:bodyDiv w:val="1"/>
      <w:marLeft w:val="0"/>
      <w:marRight w:val="0"/>
      <w:marTop w:val="0"/>
      <w:marBottom w:val="0"/>
      <w:divBdr>
        <w:top w:val="none" w:sz="0" w:space="0" w:color="auto"/>
        <w:left w:val="none" w:sz="0" w:space="0" w:color="auto"/>
        <w:bottom w:val="none" w:sz="0" w:space="0" w:color="auto"/>
        <w:right w:val="none" w:sz="0" w:space="0" w:color="auto"/>
      </w:divBdr>
    </w:div>
    <w:div w:id="682515501">
      <w:bodyDiv w:val="1"/>
      <w:marLeft w:val="0"/>
      <w:marRight w:val="0"/>
      <w:marTop w:val="0"/>
      <w:marBottom w:val="0"/>
      <w:divBdr>
        <w:top w:val="none" w:sz="0" w:space="0" w:color="auto"/>
        <w:left w:val="none" w:sz="0" w:space="0" w:color="auto"/>
        <w:bottom w:val="none" w:sz="0" w:space="0" w:color="auto"/>
        <w:right w:val="none" w:sz="0" w:space="0" w:color="auto"/>
      </w:divBdr>
    </w:div>
    <w:div w:id="682515898">
      <w:bodyDiv w:val="1"/>
      <w:marLeft w:val="0"/>
      <w:marRight w:val="0"/>
      <w:marTop w:val="0"/>
      <w:marBottom w:val="0"/>
      <w:divBdr>
        <w:top w:val="none" w:sz="0" w:space="0" w:color="auto"/>
        <w:left w:val="none" w:sz="0" w:space="0" w:color="auto"/>
        <w:bottom w:val="none" w:sz="0" w:space="0" w:color="auto"/>
        <w:right w:val="none" w:sz="0" w:space="0" w:color="auto"/>
      </w:divBdr>
    </w:div>
    <w:div w:id="682707080">
      <w:bodyDiv w:val="1"/>
      <w:marLeft w:val="0"/>
      <w:marRight w:val="0"/>
      <w:marTop w:val="0"/>
      <w:marBottom w:val="0"/>
      <w:divBdr>
        <w:top w:val="none" w:sz="0" w:space="0" w:color="auto"/>
        <w:left w:val="none" w:sz="0" w:space="0" w:color="auto"/>
        <w:bottom w:val="none" w:sz="0" w:space="0" w:color="auto"/>
        <w:right w:val="none" w:sz="0" w:space="0" w:color="auto"/>
      </w:divBdr>
    </w:div>
    <w:div w:id="682711119">
      <w:bodyDiv w:val="1"/>
      <w:marLeft w:val="0"/>
      <w:marRight w:val="0"/>
      <w:marTop w:val="0"/>
      <w:marBottom w:val="0"/>
      <w:divBdr>
        <w:top w:val="none" w:sz="0" w:space="0" w:color="auto"/>
        <w:left w:val="none" w:sz="0" w:space="0" w:color="auto"/>
        <w:bottom w:val="none" w:sz="0" w:space="0" w:color="auto"/>
        <w:right w:val="none" w:sz="0" w:space="0" w:color="auto"/>
      </w:divBdr>
    </w:div>
    <w:div w:id="682779410">
      <w:bodyDiv w:val="1"/>
      <w:marLeft w:val="0"/>
      <w:marRight w:val="0"/>
      <w:marTop w:val="0"/>
      <w:marBottom w:val="0"/>
      <w:divBdr>
        <w:top w:val="none" w:sz="0" w:space="0" w:color="auto"/>
        <w:left w:val="none" w:sz="0" w:space="0" w:color="auto"/>
        <w:bottom w:val="none" w:sz="0" w:space="0" w:color="auto"/>
        <w:right w:val="none" w:sz="0" w:space="0" w:color="auto"/>
      </w:divBdr>
    </w:div>
    <w:div w:id="682903103">
      <w:bodyDiv w:val="1"/>
      <w:marLeft w:val="0"/>
      <w:marRight w:val="0"/>
      <w:marTop w:val="0"/>
      <w:marBottom w:val="0"/>
      <w:divBdr>
        <w:top w:val="none" w:sz="0" w:space="0" w:color="auto"/>
        <w:left w:val="none" w:sz="0" w:space="0" w:color="auto"/>
        <w:bottom w:val="none" w:sz="0" w:space="0" w:color="auto"/>
        <w:right w:val="none" w:sz="0" w:space="0" w:color="auto"/>
      </w:divBdr>
    </w:div>
    <w:div w:id="682975866">
      <w:bodyDiv w:val="1"/>
      <w:marLeft w:val="0"/>
      <w:marRight w:val="0"/>
      <w:marTop w:val="0"/>
      <w:marBottom w:val="0"/>
      <w:divBdr>
        <w:top w:val="none" w:sz="0" w:space="0" w:color="auto"/>
        <w:left w:val="none" w:sz="0" w:space="0" w:color="auto"/>
        <w:bottom w:val="none" w:sz="0" w:space="0" w:color="auto"/>
        <w:right w:val="none" w:sz="0" w:space="0" w:color="auto"/>
      </w:divBdr>
    </w:div>
    <w:div w:id="683048231">
      <w:bodyDiv w:val="1"/>
      <w:marLeft w:val="0"/>
      <w:marRight w:val="0"/>
      <w:marTop w:val="0"/>
      <w:marBottom w:val="0"/>
      <w:divBdr>
        <w:top w:val="none" w:sz="0" w:space="0" w:color="auto"/>
        <w:left w:val="none" w:sz="0" w:space="0" w:color="auto"/>
        <w:bottom w:val="none" w:sz="0" w:space="0" w:color="auto"/>
        <w:right w:val="none" w:sz="0" w:space="0" w:color="auto"/>
      </w:divBdr>
    </w:div>
    <w:div w:id="683173144">
      <w:bodyDiv w:val="1"/>
      <w:marLeft w:val="0"/>
      <w:marRight w:val="0"/>
      <w:marTop w:val="0"/>
      <w:marBottom w:val="0"/>
      <w:divBdr>
        <w:top w:val="none" w:sz="0" w:space="0" w:color="auto"/>
        <w:left w:val="none" w:sz="0" w:space="0" w:color="auto"/>
        <w:bottom w:val="none" w:sz="0" w:space="0" w:color="auto"/>
        <w:right w:val="none" w:sz="0" w:space="0" w:color="auto"/>
      </w:divBdr>
    </w:div>
    <w:div w:id="683480054">
      <w:bodyDiv w:val="1"/>
      <w:marLeft w:val="0"/>
      <w:marRight w:val="0"/>
      <w:marTop w:val="0"/>
      <w:marBottom w:val="0"/>
      <w:divBdr>
        <w:top w:val="none" w:sz="0" w:space="0" w:color="auto"/>
        <w:left w:val="none" w:sz="0" w:space="0" w:color="auto"/>
        <w:bottom w:val="none" w:sz="0" w:space="0" w:color="auto"/>
        <w:right w:val="none" w:sz="0" w:space="0" w:color="auto"/>
      </w:divBdr>
    </w:div>
    <w:div w:id="683752585">
      <w:bodyDiv w:val="1"/>
      <w:marLeft w:val="0"/>
      <w:marRight w:val="0"/>
      <w:marTop w:val="0"/>
      <w:marBottom w:val="0"/>
      <w:divBdr>
        <w:top w:val="none" w:sz="0" w:space="0" w:color="auto"/>
        <w:left w:val="none" w:sz="0" w:space="0" w:color="auto"/>
        <w:bottom w:val="none" w:sz="0" w:space="0" w:color="auto"/>
        <w:right w:val="none" w:sz="0" w:space="0" w:color="auto"/>
      </w:divBdr>
    </w:div>
    <w:div w:id="683821715">
      <w:bodyDiv w:val="1"/>
      <w:marLeft w:val="0"/>
      <w:marRight w:val="0"/>
      <w:marTop w:val="0"/>
      <w:marBottom w:val="0"/>
      <w:divBdr>
        <w:top w:val="none" w:sz="0" w:space="0" w:color="auto"/>
        <w:left w:val="none" w:sz="0" w:space="0" w:color="auto"/>
        <w:bottom w:val="none" w:sz="0" w:space="0" w:color="auto"/>
        <w:right w:val="none" w:sz="0" w:space="0" w:color="auto"/>
      </w:divBdr>
    </w:div>
    <w:div w:id="683870616">
      <w:bodyDiv w:val="1"/>
      <w:marLeft w:val="0"/>
      <w:marRight w:val="0"/>
      <w:marTop w:val="0"/>
      <w:marBottom w:val="0"/>
      <w:divBdr>
        <w:top w:val="none" w:sz="0" w:space="0" w:color="auto"/>
        <w:left w:val="none" w:sz="0" w:space="0" w:color="auto"/>
        <w:bottom w:val="none" w:sz="0" w:space="0" w:color="auto"/>
        <w:right w:val="none" w:sz="0" w:space="0" w:color="auto"/>
      </w:divBdr>
    </w:div>
    <w:div w:id="684290959">
      <w:bodyDiv w:val="1"/>
      <w:marLeft w:val="0"/>
      <w:marRight w:val="0"/>
      <w:marTop w:val="0"/>
      <w:marBottom w:val="0"/>
      <w:divBdr>
        <w:top w:val="none" w:sz="0" w:space="0" w:color="auto"/>
        <w:left w:val="none" w:sz="0" w:space="0" w:color="auto"/>
        <w:bottom w:val="none" w:sz="0" w:space="0" w:color="auto"/>
        <w:right w:val="none" w:sz="0" w:space="0" w:color="auto"/>
      </w:divBdr>
    </w:div>
    <w:div w:id="684598383">
      <w:bodyDiv w:val="1"/>
      <w:marLeft w:val="0"/>
      <w:marRight w:val="0"/>
      <w:marTop w:val="0"/>
      <w:marBottom w:val="0"/>
      <w:divBdr>
        <w:top w:val="none" w:sz="0" w:space="0" w:color="auto"/>
        <w:left w:val="none" w:sz="0" w:space="0" w:color="auto"/>
        <w:bottom w:val="none" w:sz="0" w:space="0" w:color="auto"/>
        <w:right w:val="none" w:sz="0" w:space="0" w:color="auto"/>
      </w:divBdr>
    </w:div>
    <w:div w:id="684939861">
      <w:bodyDiv w:val="1"/>
      <w:marLeft w:val="0"/>
      <w:marRight w:val="0"/>
      <w:marTop w:val="0"/>
      <w:marBottom w:val="0"/>
      <w:divBdr>
        <w:top w:val="none" w:sz="0" w:space="0" w:color="auto"/>
        <w:left w:val="none" w:sz="0" w:space="0" w:color="auto"/>
        <w:bottom w:val="none" w:sz="0" w:space="0" w:color="auto"/>
        <w:right w:val="none" w:sz="0" w:space="0" w:color="auto"/>
      </w:divBdr>
    </w:div>
    <w:div w:id="684945086">
      <w:bodyDiv w:val="1"/>
      <w:marLeft w:val="0"/>
      <w:marRight w:val="0"/>
      <w:marTop w:val="0"/>
      <w:marBottom w:val="0"/>
      <w:divBdr>
        <w:top w:val="none" w:sz="0" w:space="0" w:color="auto"/>
        <w:left w:val="none" w:sz="0" w:space="0" w:color="auto"/>
        <w:bottom w:val="none" w:sz="0" w:space="0" w:color="auto"/>
        <w:right w:val="none" w:sz="0" w:space="0" w:color="auto"/>
      </w:divBdr>
    </w:div>
    <w:div w:id="684985578">
      <w:bodyDiv w:val="1"/>
      <w:marLeft w:val="0"/>
      <w:marRight w:val="0"/>
      <w:marTop w:val="0"/>
      <w:marBottom w:val="0"/>
      <w:divBdr>
        <w:top w:val="none" w:sz="0" w:space="0" w:color="auto"/>
        <w:left w:val="none" w:sz="0" w:space="0" w:color="auto"/>
        <w:bottom w:val="none" w:sz="0" w:space="0" w:color="auto"/>
        <w:right w:val="none" w:sz="0" w:space="0" w:color="auto"/>
      </w:divBdr>
    </w:div>
    <w:div w:id="685060152">
      <w:bodyDiv w:val="1"/>
      <w:marLeft w:val="0"/>
      <w:marRight w:val="0"/>
      <w:marTop w:val="0"/>
      <w:marBottom w:val="0"/>
      <w:divBdr>
        <w:top w:val="none" w:sz="0" w:space="0" w:color="auto"/>
        <w:left w:val="none" w:sz="0" w:space="0" w:color="auto"/>
        <w:bottom w:val="none" w:sz="0" w:space="0" w:color="auto"/>
        <w:right w:val="none" w:sz="0" w:space="0" w:color="auto"/>
      </w:divBdr>
    </w:div>
    <w:div w:id="685136691">
      <w:bodyDiv w:val="1"/>
      <w:marLeft w:val="0"/>
      <w:marRight w:val="0"/>
      <w:marTop w:val="0"/>
      <w:marBottom w:val="0"/>
      <w:divBdr>
        <w:top w:val="none" w:sz="0" w:space="0" w:color="auto"/>
        <w:left w:val="none" w:sz="0" w:space="0" w:color="auto"/>
        <w:bottom w:val="none" w:sz="0" w:space="0" w:color="auto"/>
        <w:right w:val="none" w:sz="0" w:space="0" w:color="auto"/>
      </w:divBdr>
    </w:div>
    <w:div w:id="685257130">
      <w:bodyDiv w:val="1"/>
      <w:marLeft w:val="0"/>
      <w:marRight w:val="0"/>
      <w:marTop w:val="0"/>
      <w:marBottom w:val="0"/>
      <w:divBdr>
        <w:top w:val="none" w:sz="0" w:space="0" w:color="auto"/>
        <w:left w:val="none" w:sz="0" w:space="0" w:color="auto"/>
        <w:bottom w:val="none" w:sz="0" w:space="0" w:color="auto"/>
        <w:right w:val="none" w:sz="0" w:space="0" w:color="auto"/>
      </w:divBdr>
    </w:div>
    <w:div w:id="685442343">
      <w:bodyDiv w:val="1"/>
      <w:marLeft w:val="0"/>
      <w:marRight w:val="0"/>
      <w:marTop w:val="0"/>
      <w:marBottom w:val="0"/>
      <w:divBdr>
        <w:top w:val="none" w:sz="0" w:space="0" w:color="auto"/>
        <w:left w:val="none" w:sz="0" w:space="0" w:color="auto"/>
        <w:bottom w:val="none" w:sz="0" w:space="0" w:color="auto"/>
        <w:right w:val="none" w:sz="0" w:space="0" w:color="auto"/>
      </w:divBdr>
    </w:div>
    <w:div w:id="685524164">
      <w:bodyDiv w:val="1"/>
      <w:marLeft w:val="0"/>
      <w:marRight w:val="0"/>
      <w:marTop w:val="0"/>
      <w:marBottom w:val="0"/>
      <w:divBdr>
        <w:top w:val="none" w:sz="0" w:space="0" w:color="auto"/>
        <w:left w:val="none" w:sz="0" w:space="0" w:color="auto"/>
        <w:bottom w:val="none" w:sz="0" w:space="0" w:color="auto"/>
        <w:right w:val="none" w:sz="0" w:space="0" w:color="auto"/>
      </w:divBdr>
    </w:div>
    <w:div w:id="685598314">
      <w:bodyDiv w:val="1"/>
      <w:marLeft w:val="0"/>
      <w:marRight w:val="0"/>
      <w:marTop w:val="0"/>
      <w:marBottom w:val="0"/>
      <w:divBdr>
        <w:top w:val="none" w:sz="0" w:space="0" w:color="auto"/>
        <w:left w:val="none" w:sz="0" w:space="0" w:color="auto"/>
        <w:bottom w:val="none" w:sz="0" w:space="0" w:color="auto"/>
        <w:right w:val="none" w:sz="0" w:space="0" w:color="auto"/>
      </w:divBdr>
    </w:div>
    <w:div w:id="685987545">
      <w:bodyDiv w:val="1"/>
      <w:marLeft w:val="0"/>
      <w:marRight w:val="0"/>
      <w:marTop w:val="0"/>
      <w:marBottom w:val="0"/>
      <w:divBdr>
        <w:top w:val="none" w:sz="0" w:space="0" w:color="auto"/>
        <w:left w:val="none" w:sz="0" w:space="0" w:color="auto"/>
        <w:bottom w:val="none" w:sz="0" w:space="0" w:color="auto"/>
        <w:right w:val="none" w:sz="0" w:space="0" w:color="auto"/>
      </w:divBdr>
    </w:div>
    <w:div w:id="686172756">
      <w:bodyDiv w:val="1"/>
      <w:marLeft w:val="0"/>
      <w:marRight w:val="0"/>
      <w:marTop w:val="0"/>
      <w:marBottom w:val="0"/>
      <w:divBdr>
        <w:top w:val="none" w:sz="0" w:space="0" w:color="auto"/>
        <w:left w:val="none" w:sz="0" w:space="0" w:color="auto"/>
        <w:bottom w:val="none" w:sz="0" w:space="0" w:color="auto"/>
        <w:right w:val="none" w:sz="0" w:space="0" w:color="auto"/>
      </w:divBdr>
    </w:div>
    <w:div w:id="686253234">
      <w:bodyDiv w:val="1"/>
      <w:marLeft w:val="0"/>
      <w:marRight w:val="0"/>
      <w:marTop w:val="0"/>
      <w:marBottom w:val="0"/>
      <w:divBdr>
        <w:top w:val="none" w:sz="0" w:space="0" w:color="auto"/>
        <w:left w:val="none" w:sz="0" w:space="0" w:color="auto"/>
        <w:bottom w:val="none" w:sz="0" w:space="0" w:color="auto"/>
        <w:right w:val="none" w:sz="0" w:space="0" w:color="auto"/>
      </w:divBdr>
    </w:div>
    <w:div w:id="686256221">
      <w:bodyDiv w:val="1"/>
      <w:marLeft w:val="0"/>
      <w:marRight w:val="0"/>
      <w:marTop w:val="0"/>
      <w:marBottom w:val="0"/>
      <w:divBdr>
        <w:top w:val="none" w:sz="0" w:space="0" w:color="auto"/>
        <w:left w:val="none" w:sz="0" w:space="0" w:color="auto"/>
        <w:bottom w:val="none" w:sz="0" w:space="0" w:color="auto"/>
        <w:right w:val="none" w:sz="0" w:space="0" w:color="auto"/>
      </w:divBdr>
    </w:div>
    <w:div w:id="686294341">
      <w:bodyDiv w:val="1"/>
      <w:marLeft w:val="0"/>
      <w:marRight w:val="0"/>
      <w:marTop w:val="0"/>
      <w:marBottom w:val="0"/>
      <w:divBdr>
        <w:top w:val="none" w:sz="0" w:space="0" w:color="auto"/>
        <w:left w:val="none" w:sz="0" w:space="0" w:color="auto"/>
        <w:bottom w:val="none" w:sz="0" w:space="0" w:color="auto"/>
        <w:right w:val="none" w:sz="0" w:space="0" w:color="auto"/>
      </w:divBdr>
    </w:div>
    <w:div w:id="686519534">
      <w:bodyDiv w:val="1"/>
      <w:marLeft w:val="0"/>
      <w:marRight w:val="0"/>
      <w:marTop w:val="0"/>
      <w:marBottom w:val="0"/>
      <w:divBdr>
        <w:top w:val="none" w:sz="0" w:space="0" w:color="auto"/>
        <w:left w:val="none" w:sz="0" w:space="0" w:color="auto"/>
        <w:bottom w:val="none" w:sz="0" w:space="0" w:color="auto"/>
        <w:right w:val="none" w:sz="0" w:space="0" w:color="auto"/>
      </w:divBdr>
    </w:div>
    <w:div w:id="686834553">
      <w:bodyDiv w:val="1"/>
      <w:marLeft w:val="0"/>
      <w:marRight w:val="0"/>
      <w:marTop w:val="0"/>
      <w:marBottom w:val="0"/>
      <w:divBdr>
        <w:top w:val="none" w:sz="0" w:space="0" w:color="auto"/>
        <w:left w:val="none" w:sz="0" w:space="0" w:color="auto"/>
        <w:bottom w:val="none" w:sz="0" w:space="0" w:color="auto"/>
        <w:right w:val="none" w:sz="0" w:space="0" w:color="auto"/>
      </w:divBdr>
    </w:div>
    <w:div w:id="686902555">
      <w:bodyDiv w:val="1"/>
      <w:marLeft w:val="0"/>
      <w:marRight w:val="0"/>
      <w:marTop w:val="0"/>
      <w:marBottom w:val="0"/>
      <w:divBdr>
        <w:top w:val="none" w:sz="0" w:space="0" w:color="auto"/>
        <w:left w:val="none" w:sz="0" w:space="0" w:color="auto"/>
        <w:bottom w:val="none" w:sz="0" w:space="0" w:color="auto"/>
        <w:right w:val="none" w:sz="0" w:space="0" w:color="auto"/>
      </w:divBdr>
    </w:div>
    <w:div w:id="686951394">
      <w:bodyDiv w:val="1"/>
      <w:marLeft w:val="0"/>
      <w:marRight w:val="0"/>
      <w:marTop w:val="0"/>
      <w:marBottom w:val="0"/>
      <w:divBdr>
        <w:top w:val="none" w:sz="0" w:space="0" w:color="auto"/>
        <w:left w:val="none" w:sz="0" w:space="0" w:color="auto"/>
        <w:bottom w:val="none" w:sz="0" w:space="0" w:color="auto"/>
        <w:right w:val="none" w:sz="0" w:space="0" w:color="auto"/>
      </w:divBdr>
    </w:div>
    <w:div w:id="687104246">
      <w:bodyDiv w:val="1"/>
      <w:marLeft w:val="0"/>
      <w:marRight w:val="0"/>
      <w:marTop w:val="0"/>
      <w:marBottom w:val="0"/>
      <w:divBdr>
        <w:top w:val="none" w:sz="0" w:space="0" w:color="auto"/>
        <w:left w:val="none" w:sz="0" w:space="0" w:color="auto"/>
        <w:bottom w:val="none" w:sz="0" w:space="0" w:color="auto"/>
        <w:right w:val="none" w:sz="0" w:space="0" w:color="auto"/>
      </w:divBdr>
    </w:div>
    <w:div w:id="687297353">
      <w:bodyDiv w:val="1"/>
      <w:marLeft w:val="0"/>
      <w:marRight w:val="0"/>
      <w:marTop w:val="0"/>
      <w:marBottom w:val="0"/>
      <w:divBdr>
        <w:top w:val="none" w:sz="0" w:space="0" w:color="auto"/>
        <w:left w:val="none" w:sz="0" w:space="0" w:color="auto"/>
        <w:bottom w:val="none" w:sz="0" w:space="0" w:color="auto"/>
        <w:right w:val="none" w:sz="0" w:space="0" w:color="auto"/>
      </w:divBdr>
    </w:div>
    <w:div w:id="687370479">
      <w:bodyDiv w:val="1"/>
      <w:marLeft w:val="0"/>
      <w:marRight w:val="0"/>
      <w:marTop w:val="0"/>
      <w:marBottom w:val="0"/>
      <w:divBdr>
        <w:top w:val="none" w:sz="0" w:space="0" w:color="auto"/>
        <w:left w:val="none" w:sz="0" w:space="0" w:color="auto"/>
        <w:bottom w:val="none" w:sz="0" w:space="0" w:color="auto"/>
        <w:right w:val="none" w:sz="0" w:space="0" w:color="auto"/>
      </w:divBdr>
    </w:div>
    <w:div w:id="687633548">
      <w:bodyDiv w:val="1"/>
      <w:marLeft w:val="0"/>
      <w:marRight w:val="0"/>
      <w:marTop w:val="0"/>
      <w:marBottom w:val="0"/>
      <w:divBdr>
        <w:top w:val="none" w:sz="0" w:space="0" w:color="auto"/>
        <w:left w:val="none" w:sz="0" w:space="0" w:color="auto"/>
        <w:bottom w:val="none" w:sz="0" w:space="0" w:color="auto"/>
        <w:right w:val="none" w:sz="0" w:space="0" w:color="auto"/>
      </w:divBdr>
    </w:div>
    <w:div w:id="687829383">
      <w:bodyDiv w:val="1"/>
      <w:marLeft w:val="0"/>
      <w:marRight w:val="0"/>
      <w:marTop w:val="0"/>
      <w:marBottom w:val="0"/>
      <w:divBdr>
        <w:top w:val="none" w:sz="0" w:space="0" w:color="auto"/>
        <w:left w:val="none" w:sz="0" w:space="0" w:color="auto"/>
        <w:bottom w:val="none" w:sz="0" w:space="0" w:color="auto"/>
        <w:right w:val="none" w:sz="0" w:space="0" w:color="auto"/>
      </w:divBdr>
    </w:div>
    <w:div w:id="687946731">
      <w:bodyDiv w:val="1"/>
      <w:marLeft w:val="0"/>
      <w:marRight w:val="0"/>
      <w:marTop w:val="0"/>
      <w:marBottom w:val="0"/>
      <w:divBdr>
        <w:top w:val="none" w:sz="0" w:space="0" w:color="auto"/>
        <w:left w:val="none" w:sz="0" w:space="0" w:color="auto"/>
        <w:bottom w:val="none" w:sz="0" w:space="0" w:color="auto"/>
        <w:right w:val="none" w:sz="0" w:space="0" w:color="auto"/>
      </w:divBdr>
    </w:div>
    <w:div w:id="688020687">
      <w:bodyDiv w:val="1"/>
      <w:marLeft w:val="0"/>
      <w:marRight w:val="0"/>
      <w:marTop w:val="0"/>
      <w:marBottom w:val="0"/>
      <w:divBdr>
        <w:top w:val="none" w:sz="0" w:space="0" w:color="auto"/>
        <w:left w:val="none" w:sz="0" w:space="0" w:color="auto"/>
        <w:bottom w:val="none" w:sz="0" w:space="0" w:color="auto"/>
        <w:right w:val="none" w:sz="0" w:space="0" w:color="auto"/>
      </w:divBdr>
    </w:div>
    <w:div w:id="688220295">
      <w:bodyDiv w:val="1"/>
      <w:marLeft w:val="0"/>
      <w:marRight w:val="0"/>
      <w:marTop w:val="0"/>
      <w:marBottom w:val="0"/>
      <w:divBdr>
        <w:top w:val="none" w:sz="0" w:space="0" w:color="auto"/>
        <w:left w:val="none" w:sz="0" w:space="0" w:color="auto"/>
        <w:bottom w:val="none" w:sz="0" w:space="0" w:color="auto"/>
        <w:right w:val="none" w:sz="0" w:space="0" w:color="auto"/>
      </w:divBdr>
    </w:div>
    <w:div w:id="688333333">
      <w:bodyDiv w:val="1"/>
      <w:marLeft w:val="0"/>
      <w:marRight w:val="0"/>
      <w:marTop w:val="0"/>
      <w:marBottom w:val="0"/>
      <w:divBdr>
        <w:top w:val="none" w:sz="0" w:space="0" w:color="auto"/>
        <w:left w:val="none" w:sz="0" w:space="0" w:color="auto"/>
        <w:bottom w:val="none" w:sz="0" w:space="0" w:color="auto"/>
        <w:right w:val="none" w:sz="0" w:space="0" w:color="auto"/>
      </w:divBdr>
    </w:div>
    <w:div w:id="688336086">
      <w:bodyDiv w:val="1"/>
      <w:marLeft w:val="0"/>
      <w:marRight w:val="0"/>
      <w:marTop w:val="0"/>
      <w:marBottom w:val="0"/>
      <w:divBdr>
        <w:top w:val="none" w:sz="0" w:space="0" w:color="auto"/>
        <w:left w:val="none" w:sz="0" w:space="0" w:color="auto"/>
        <w:bottom w:val="none" w:sz="0" w:space="0" w:color="auto"/>
        <w:right w:val="none" w:sz="0" w:space="0" w:color="auto"/>
      </w:divBdr>
    </w:div>
    <w:div w:id="688456651">
      <w:bodyDiv w:val="1"/>
      <w:marLeft w:val="0"/>
      <w:marRight w:val="0"/>
      <w:marTop w:val="0"/>
      <w:marBottom w:val="0"/>
      <w:divBdr>
        <w:top w:val="none" w:sz="0" w:space="0" w:color="auto"/>
        <w:left w:val="none" w:sz="0" w:space="0" w:color="auto"/>
        <w:bottom w:val="none" w:sz="0" w:space="0" w:color="auto"/>
        <w:right w:val="none" w:sz="0" w:space="0" w:color="auto"/>
      </w:divBdr>
    </w:div>
    <w:div w:id="688487276">
      <w:bodyDiv w:val="1"/>
      <w:marLeft w:val="0"/>
      <w:marRight w:val="0"/>
      <w:marTop w:val="0"/>
      <w:marBottom w:val="0"/>
      <w:divBdr>
        <w:top w:val="none" w:sz="0" w:space="0" w:color="auto"/>
        <w:left w:val="none" w:sz="0" w:space="0" w:color="auto"/>
        <w:bottom w:val="none" w:sz="0" w:space="0" w:color="auto"/>
        <w:right w:val="none" w:sz="0" w:space="0" w:color="auto"/>
      </w:divBdr>
    </w:div>
    <w:div w:id="688989702">
      <w:bodyDiv w:val="1"/>
      <w:marLeft w:val="0"/>
      <w:marRight w:val="0"/>
      <w:marTop w:val="0"/>
      <w:marBottom w:val="0"/>
      <w:divBdr>
        <w:top w:val="none" w:sz="0" w:space="0" w:color="auto"/>
        <w:left w:val="none" w:sz="0" w:space="0" w:color="auto"/>
        <w:bottom w:val="none" w:sz="0" w:space="0" w:color="auto"/>
        <w:right w:val="none" w:sz="0" w:space="0" w:color="auto"/>
      </w:divBdr>
    </w:div>
    <w:div w:id="689140767">
      <w:bodyDiv w:val="1"/>
      <w:marLeft w:val="0"/>
      <w:marRight w:val="0"/>
      <w:marTop w:val="0"/>
      <w:marBottom w:val="0"/>
      <w:divBdr>
        <w:top w:val="none" w:sz="0" w:space="0" w:color="auto"/>
        <w:left w:val="none" w:sz="0" w:space="0" w:color="auto"/>
        <w:bottom w:val="none" w:sz="0" w:space="0" w:color="auto"/>
        <w:right w:val="none" w:sz="0" w:space="0" w:color="auto"/>
      </w:divBdr>
    </w:div>
    <w:div w:id="689258146">
      <w:bodyDiv w:val="1"/>
      <w:marLeft w:val="0"/>
      <w:marRight w:val="0"/>
      <w:marTop w:val="0"/>
      <w:marBottom w:val="0"/>
      <w:divBdr>
        <w:top w:val="none" w:sz="0" w:space="0" w:color="auto"/>
        <w:left w:val="none" w:sz="0" w:space="0" w:color="auto"/>
        <w:bottom w:val="none" w:sz="0" w:space="0" w:color="auto"/>
        <w:right w:val="none" w:sz="0" w:space="0" w:color="auto"/>
      </w:divBdr>
    </w:div>
    <w:div w:id="689331511">
      <w:bodyDiv w:val="1"/>
      <w:marLeft w:val="0"/>
      <w:marRight w:val="0"/>
      <w:marTop w:val="0"/>
      <w:marBottom w:val="0"/>
      <w:divBdr>
        <w:top w:val="none" w:sz="0" w:space="0" w:color="auto"/>
        <w:left w:val="none" w:sz="0" w:space="0" w:color="auto"/>
        <w:bottom w:val="none" w:sz="0" w:space="0" w:color="auto"/>
        <w:right w:val="none" w:sz="0" w:space="0" w:color="auto"/>
      </w:divBdr>
    </w:div>
    <w:div w:id="689334184">
      <w:bodyDiv w:val="1"/>
      <w:marLeft w:val="0"/>
      <w:marRight w:val="0"/>
      <w:marTop w:val="0"/>
      <w:marBottom w:val="0"/>
      <w:divBdr>
        <w:top w:val="none" w:sz="0" w:space="0" w:color="auto"/>
        <w:left w:val="none" w:sz="0" w:space="0" w:color="auto"/>
        <w:bottom w:val="none" w:sz="0" w:space="0" w:color="auto"/>
        <w:right w:val="none" w:sz="0" w:space="0" w:color="auto"/>
      </w:divBdr>
    </w:div>
    <w:div w:id="689374310">
      <w:bodyDiv w:val="1"/>
      <w:marLeft w:val="0"/>
      <w:marRight w:val="0"/>
      <w:marTop w:val="0"/>
      <w:marBottom w:val="0"/>
      <w:divBdr>
        <w:top w:val="none" w:sz="0" w:space="0" w:color="auto"/>
        <w:left w:val="none" w:sz="0" w:space="0" w:color="auto"/>
        <w:bottom w:val="none" w:sz="0" w:space="0" w:color="auto"/>
        <w:right w:val="none" w:sz="0" w:space="0" w:color="auto"/>
      </w:divBdr>
    </w:div>
    <w:div w:id="689381228">
      <w:bodyDiv w:val="1"/>
      <w:marLeft w:val="0"/>
      <w:marRight w:val="0"/>
      <w:marTop w:val="0"/>
      <w:marBottom w:val="0"/>
      <w:divBdr>
        <w:top w:val="none" w:sz="0" w:space="0" w:color="auto"/>
        <w:left w:val="none" w:sz="0" w:space="0" w:color="auto"/>
        <w:bottom w:val="none" w:sz="0" w:space="0" w:color="auto"/>
        <w:right w:val="none" w:sz="0" w:space="0" w:color="auto"/>
      </w:divBdr>
    </w:div>
    <w:div w:id="689450356">
      <w:bodyDiv w:val="1"/>
      <w:marLeft w:val="0"/>
      <w:marRight w:val="0"/>
      <w:marTop w:val="0"/>
      <w:marBottom w:val="0"/>
      <w:divBdr>
        <w:top w:val="none" w:sz="0" w:space="0" w:color="auto"/>
        <w:left w:val="none" w:sz="0" w:space="0" w:color="auto"/>
        <w:bottom w:val="none" w:sz="0" w:space="0" w:color="auto"/>
        <w:right w:val="none" w:sz="0" w:space="0" w:color="auto"/>
      </w:divBdr>
    </w:div>
    <w:div w:id="689450941">
      <w:bodyDiv w:val="1"/>
      <w:marLeft w:val="0"/>
      <w:marRight w:val="0"/>
      <w:marTop w:val="0"/>
      <w:marBottom w:val="0"/>
      <w:divBdr>
        <w:top w:val="none" w:sz="0" w:space="0" w:color="auto"/>
        <w:left w:val="none" w:sz="0" w:space="0" w:color="auto"/>
        <w:bottom w:val="none" w:sz="0" w:space="0" w:color="auto"/>
        <w:right w:val="none" w:sz="0" w:space="0" w:color="auto"/>
      </w:divBdr>
    </w:div>
    <w:div w:id="689600985">
      <w:bodyDiv w:val="1"/>
      <w:marLeft w:val="0"/>
      <w:marRight w:val="0"/>
      <w:marTop w:val="0"/>
      <w:marBottom w:val="0"/>
      <w:divBdr>
        <w:top w:val="none" w:sz="0" w:space="0" w:color="auto"/>
        <w:left w:val="none" w:sz="0" w:space="0" w:color="auto"/>
        <w:bottom w:val="none" w:sz="0" w:space="0" w:color="auto"/>
        <w:right w:val="none" w:sz="0" w:space="0" w:color="auto"/>
      </w:divBdr>
    </w:div>
    <w:div w:id="689721046">
      <w:bodyDiv w:val="1"/>
      <w:marLeft w:val="0"/>
      <w:marRight w:val="0"/>
      <w:marTop w:val="0"/>
      <w:marBottom w:val="0"/>
      <w:divBdr>
        <w:top w:val="none" w:sz="0" w:space="0" w:color="auto"/>
        <w:left w:val="none" w:sz="0" w:space="0" w:color="auto"/>
        <w:bottom w:val="none" w:sz="0" w:space="0" w:color="auto"/>
        <w:right w:val="none" w:sz="0" w:space="0" w:color="auto"/>
      </w:divBdr>
    </w:div>
    <w:div w:id="690227018">
      <w:bodyDiv w:val="1"/>
      <w:marLeft w:val="0"/>
      <w:marRight w:val="0"/>
      <w:marTop w:val="0"/>
      <w:marBottom w:val="0"/>
      <w:divBdr>
        <w:top w:val="none" w:sz="0" w:space="0" w:color="auto"/>
        <w:left w:val="none" w:sz="0" w:space="0" w:color="auto"/>
        <w:bottom w:val="none" w:sz="0" w:space="0" w:color="auto"/>
        <w:right w:val="none" w:sz="0" w:space="0" w:color="auto"/>
      </w:divBdr>
    </w:div>
    <w:div w:id="690567407">
      <w:bodyDiv w:val="1"/>
      <w:marLeft w:val="0"/>
      <w:marRight w:val="0"/>
      <w:marTop w:val="0"/>
      <w:marBottom w:val="0"/>
      <w:divBdr>
        <w:top w:val="none" w:sz="0" w:space="0" w:color="auto"/>
        <w:left w:val="none" w:sz="0" w:space="0" w:color="auto"/>
        <w:bottom w:val="none" w:sz="0" w:space="0" w:color="auto"/>
        <w:right w:val="none" w:sz="0" w:space="0" w:color="auto"/>
      </w:divBdr>
    </w:div>
    <w:div w:id="690644363">
      <w:bodyDiv w:val="1"/>
      <w:marLeft w:val="0"/>
      <w:marRight w:val="0"/>
      <w:marTop w:val="0"/>
      <w:marBottom w:val="0"/>
      <w:divBdr>
        <w:top w:val="none" w:sz="0" w:space="0" w:color="auto"/>
        <w:left w:val="none" w:sz="0" w:space="0" w:color="auto"/>
        <w:bottom w:val="none" w:sz="0" w:space="0" w:color="auto"/>
        <w:right w:val="none" w:sz="0" w:space="0" w:color="auto"/>
      </w:divBdr>
    </w:div>
    <w:div w:id="690689634">
      <w:bodyDiv w:val="1"/>
      <w:marLeft w:val="0"/>
      <w:marRight w:val="0"/>
      <w:marTop w:val="0"/>
      <w:marBottom w:val="0"/>
      <w:divBdr>
        <w:top w:val="none" w:sz="0" w:space="0" w:color="auto"/>
        <w:left w:val="none" w:sz="0" w:space="0" w:color="auto"/>
        <w:bottom w:val="none" w:sz="0" w:space="0" w:color="auto"/>
        <w:right w:val="none" w:sz="0" w:space="0" w:color="auto"/>
      </w:divBdr>
    </w:div>
    <w:div w:id="690759209">
      <w:bodyDiv w:val="1"/>
      <w:marLeft w:val="0"/>
      <w:marRight w:val="0"/>
      <w:marTop w:val="0"/>
      <w:marBottom w:val="0"/>
      <w:divBdr>
        <w:top w:val="none" w:sz="0" w:space="0" w:color="auto"/>
        <w:left w:val="none" w:sz="0" w:space="0" w:color="auto"/>
        <w:bottom w:val="none" w:sz="0" w:space="0" w:color="auto"/>
        <w:right w:val="none" w:sz="0" w:space="0" w:color="auto"/>
      </w:divBdr>
    </w:div>
    <w:div w:id="690767344">
      <w:bodyDiv w:val="1"/>
      <w:marLeft w:val="0"/>
      <w:marRight w:val="0"/>
      <w:marTop w:val="0"/>
      <w:marBottom w:val="0"/>
      <w:divBdr>
        <w:top w:val="none" w:sz="0" w:space="0" w:color="auto"/>
        <w:left w:val="none" w:sz="0" w:space="0" w:color="auto"/>
        <w:bottom w:val="none" w:sz="0" w:space="0" w:color="auto"/>
        <w:right w:val="none" w:sz="0" w:space="0" w:color="auto"/>
      </w:divBdr>
    </w:div>
    <w:div w:id="690883785">
      <w:bodyDiv w:val="1"/>
      <w:marLeft w:val="0"/>
      <w:marRight w:val="0"/>
      <w:marTop w:val="0"/>
      <w:marBottom w:val="0"/>
      <w:divBdr>
        <w:top w:val="none" w:sz="0" w:space="0" w:color="auto"/>
        <w:left w:val="none" w:sz="0" w:space="0" w:color="auto"/>
        <w:bottom w:val="none" w:sz="0" w:space="0" w:color="auto"/>
        <w:right w:val="none" w:sz="0" w:space="0" w:color="auto"/>
      </w:divBdr>
    </w:div>
    <w:div w:id="691037192">
      <w:bodyDiv w:val="1"/>
      <w:marLeft w:val="0"/>
      <w:marRight w:val="0"/>
      <w:marTop w:val="0"/>
      <w:marBottom w:val="0"/>
      <w:divBdr>
        <w:top w:val="none" w:sz="0" w:space="0" w:color="auto"/>
        <w:left w:val="none" w:sz="0" w:space="0" w:color="auto"/>
        <w:bottom w:val="none" w:sz="0" w:space="0" w:color="auto"/>
        <w:right w:val="none" w:sz="0" w:space="0" w:color="auto"/>
      </w:divBdr>
    </w:div>
    <w:div w:id="691148498">
      <w:bodyDiv w:val="1"/>
      <w:marLeft w:val="0"/>
      <w:marRight w:val="0"/>
      <w:marTop w:val="0"/>
      <w:marBottom w:val="0"/>
      <w:divBdr>
        <w:top w:val="none" w:sz="0" w:space="0" w:color="auto"/>
        <w:left w:val="none" w:sz="0" w:space="0" w:color="auto"/>
        <w:bottom w:val="none" w:sz="0" w:space="0" w:color="auto"/>
        <w:right w:val="none" w:sz="0" w:space="0" w:color="auto"/>
      </w:divBdr>
    </w:div>
    <w:div w:id="691684325">
      <w:bodyDiv w:val="1"/>
      <w:marLeft w:val="0"/>
      <w:marRight w:val="0"/>
      <w:marTop w:val="0"/>
      <w:marBottom w:val="0"/>
      <w:divBdr>
        <w:top w:val="none" w:sz="0" w:space="0" w:color="auto"/>
        <w:left w:val="none" w:sz="0" w:space="0" w:color="auto"/>
        <w:bottom w:val="none" w:sz="0" w:space="0" w:color="auto"/>
        <w:right w:val="none" w:sz="0" w:space="0" w:color="auto"/>
      </w:divBdr>
    </w:div>
    <w:div w:id="691690486">
      <w:bodyDiv w:val="1"/>
      <w:marLeft w:val="0"/>
      <w:marRight w:val="0"/>
      <w:marTop w:val="0"/>
      <w:marBottom w:val="0"/>
      <w:divBdr>
        <w:top w:val="none" w:sz="0" w:space="0" w:color="auto"/>
        <w:left w:val="none" w:sz="0" w:space="0" w:color="auto"/>
        <w:bottom w:val="none" w:sz="0" w:space="0" w:color="auto"/>
        <w:right w:val="none" w:sz="0" w:space="0" w:color="auto"/>
      </w:divBdr>
    </w:div>
    <w:div w:id="691879771">
      <w:bodyDiv w:val="1"/>
      <w:marLeft w:val="0"/>
      <w:marRight w:val="0"/>
      <w:marTop w:val="0"/>
      <w:marBottom w:val="0"/>
      <w:divBdr>
        <w:top w:val="none" w:sz="0" w:space="0" w:color="auto"/>
        <w:left w:val="none" w:sz="0" w:space="0" w:color="auto"/>
        <w:bottom w:val="none" w:sz="0" w:space="0" w:color="auto"/>
        <w:right w:val="none" w:sz="0" w:space="0" w:color="auto"/>
      </w:divBdr>
    </w:div>
    <w:div w:id="692265703">
      <w:bodyDiv w:val="1"/>
      <w:marLeft w:val="0"/>
      <w:marRight w:val="0"/>
      <w:marTop w:val="0"/>
      <w:marBottom w:val="0"/>
      <w:divBdr>
        <w:top w:val="none" w:sz="0" w:space="0" w:color="auto"/>
        <w:left w:val="none" w:sz="0" w:space="0" w:color="auto"/>
        <w:bottom w:val="none" w:sz="0" w:space="0" w:color="auto"/>
        <w:right w:val="none" w:sz="0" w:space="0" w:color="auto"/>
      </w:divBdr>
    </w:div>
    <w:div w:id="692267564">
      <w:bodyDiv w:val="1"/>
      <w:marLeft w:val="0"/>
      <w:marRight w:val="0"/>
      <w:marTop w:val="0"/>
      <w:marBottom w:val="0"/>
      <w:divBdr>
        <w:top w:val="none" w:sz="0" w:space="0" w:color="auto"/>
        <w:left w:val="none" w:sz="0" w:space="0" w:color="auto"/>
        <w:bottom w:val="none" w:sz="0" w:space="0" w:color="auto"/>
        <w:right w:val="none" w:sz="0" w:space="0" w:color="auto"/>
      </w:divBdr>
    </w:div>
    <w:div w:id="692343543">
      <w:bodyDiv w:val="1"/>
      <w:marLeft w:val="0"/>
      <w:marRight w:val="0"/>
      <w:marTop w:val="0"/>
      <w:marBottom w:val="0"/>
      <w:divBdr>
        <w:top w:val="none" w:sz="0" w:space="0" w:color="auto"/>
        <w:left w:val="none" w:sz="0" w:space="0" w:color="auto"/>
        <w:bottom w:val="none" w:sz="0" w:space="0" w:color="auto"/>
        <w:right w:val="none" w:sz="0" w:space="0" w:color="auto"/>
      </w:divBdr>
    </w:div>
    <w:div w:id="692536945">
      <w:bodyDiv w:val="1"/>
      <w:marLeft w:val="0"/>
      <w:marRight w:val="0"/>
      <w:marTop w:val="0"/>
      <w:marBottom w:val="0"/>
      <w:divBdr>
        <w:top w:val="none" w:sz="0" w:space="0" w:color="auto"/>
        <w:left w:val="none" w:sz="0" w:space="0" w:color="auto"/>
        <w:bottom w:val="none" w:sz="0" w:space="0" w:color="auto"/>
        <w:right w:val="none" w:sz="0" w:space="0" w:color="auto"/>
      </w:divBdr>
    </w:div>
    <w:div w:id="692608715">
      <w:bodyDiv w:val="1"/>
      <w:marLeft w:val="0"/>
      <w:marRight w:val="0"/>
      <w:marTop w:val="0"/>
      <w:marBottom w:val="0"/>
      <w:divBdr>
        <w:top w:val="none" w:sz="0" w:space="0" w:color="auto"/>
        <w:left w:val="none" w:sz="0" w:space="0" w:color="auto"/>
        <w:bottom w:val="none" w:sz="0" w:space="0" w:color="auto"/>
        <w:right w:val="none" w:sz="0" w:space="0" w:color="auto"/>
      </w:divBdr>
    </w:div>
    <w:div w:id="692725319">
      <w:bodyDiv w:val="1"/>
      <w:marLeft w:val="0"/>
      <w:marRight w:val="0"/>
      <w:marTop w:val="0"/>
      <w:marBottom w:val="0"/>
      <w:divBdr>
        <w:top w:val="none" w:sz="0" w:space="0" w:color="auto"/>
        <w:left w:val="none" w:sz="0" w:space="0" w:color="auto"/>
        <w:bottom w:val="none" w:sz="0" w:space="0" w:color="auto"/>
        <w:right w:val="none" w:sz="0" w:space="0" w:color="auto"/>
      </w:divBdr>
    </w:div>
    <w:div w:id="692731781">
      <w:bodyDiv w:val="1"/>
      <w:marLeft w:val="0"/>
      <w:marRight w:val="0"/>
      <w:marTop w:val="0"/>
      <w:marBottom w:val="0"/>
      <w:divBdr>
        <w:top w:val="none" w:sz="0" w:space="0" w:color="auto"/>
        <w:left w:val="none" w:sz="0" w:space="0" w:color="auto"/>
        <w:bottom w:val="none" w:sz="0" w:space="0" w:color="auto"/>
        <w:right w:val="none" w:sz="0" w:space="0" w:color="auto"/>
      </w:divBdr>
    </w:div>
    <w:div w:id="694116847">
      <w:bodyDiv w:val="1"/>
      <w:marLeft w:val="0"/>
      <w:marRight w:val="0"/>
      <w:marTop w:val="0"/>
      <w:marBottom w:val="0"/>
      <w:divBdr>
        <w:top w:val="none" w:sz="0" w:space="0" w:color="auto"/>
        <w:left w:val="none" w:sz="0" w:space="0" w:color="auto"/>
        <w:bottom w:val="none" w:sz="0" w:space="0" w:color="auto"/>
        <w:right w:val="none" w:sz="0" w:space="0" w:color="auto"/>
      </w:divBdr>
    </w:div>
    <w:div w:id="694385528">
      <w:bodyDiv w:val="1"/>
      <w:marLeft w:val="0"/>
      <w:marRight w:val="0"/>
      <w:marTop w:val="0"/>
      <w:marBottom w:val="0"/>
      <w:divBdr>
        <w:top w:val="none" w:sz="0" w:space="0" w:color="auto"/>
        <w:left w:val="none" w:sz="0" w:space="0" w:color="auto"/>
        <w:bottom w:val="none" w:sz="0" w:space="0" w:color="auto"/>
        <w:right w:val="none" w:sz="0" w:space="0" w:color="auto"/>
      </w:divBdr>
    </w:div>
    <w:div w:id="694499383">
      <w:bodyDiv w:val="1"/>
      <w:marLeft w:val="0"/>
      <w:marRight w:val="0"/>
      <w:marTop w:val="0"/>
      <w:marBottom w:val="0"/>
      <w:divBdr>
        <w:top w:val="none" w:sz="0" w:space="0" w:color="auto"/>
        <w:left w:val="none" w:sz="0" w:space="0" w:color="auto"/>
        <w:bottom w:val="none" w:sz="0" w:space="0" w:color="auto"/>
        <w:right w:val="none" w:sz="0" w:space="0" w:color="auto"/>
      </w:divBdr>
    </w:div>
    <w:div w:id="694691594">
      <w:bodyDiv w:val="1"/>
      <w:marLeft w:val="0"/>
      <w:marRight w:val="0"/>
      <w:marTop w:val="0"/>
      <w:marBottom w:val="0"/>
      <w:divBdr>
        <w:top w:val="none" w:sz="0" w:space="0" w:color="auto"/>
        <w:left w:val="none" w:sz="0" w:space="0" w:color="auto"/>
        <w:bottom w:val="none" w:sz="0" w:space="0" w:color="auto"/>
        <w:right w:val="none" w:sz="0" w:space="0" w:color="auto"/>
      </w:divBdr>
    </w:div>
    <w:div w:id="694768822">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36423">
      <w:bodyDiv w:val="1"/>
      <w:marLeft w:val="0"/>
      <w:marRight w:val="0"/>
      <w:marTop w:val="0"/>
      <w:marBottom w:val="0"/>
      <w:divBdr>
        <w:top w:val="none" w:sz="0" w:space="0" w:color="auto"/>
        <w:left w:val="none" w:sz="0" w:space="0" w:color="auto"/>
        <w:bottom w:val="none" w:sz="0" w:space="0" w:color="auto"/>
        <w:right w:val="none" w:sz="0" w:space="0" w:color="auto"/>
      </w:divBdr>
    </w:div>
    <w:div w:id="695084069">
      <w:bodyDiv w:val="1"/>
      <w:marLeft w:val="0"/>
      <w:marRight w:val="0"/>
      <w:marTop w:val="0"/>
      <w:marBottom w:val="0"/>
      <w:divBdr>
        <w:top w:val="none" w:sz="0" w:space="0" w:color="auto"/>
        <w:left w:val="none" w:sz="0" w:space="0" w:color="auto"/>
        <w:bottom w:val="none" w:sz="0" w:space="0" w:color="auto"/>
        <w:right w:val="none" w:sz="0" w:space="0" w:color="auto"/>
      </w:divBdr>
    </w:div>
    <w:div w:id="695229698">
      <w:bodyDiv w:val="1"/>
      <w:marLeft w:val="0"/>
      <w:marRight w:val="0"/>
      <w:marTop w:val="0"/>
      <w:marBottom w:val="0"/>
      <w:divBdr>
        <w:top w:val="none" w:sz="0" w:space="0" w:color="auto"/>
        <w:left w:val="none" w:sz="0" w:space="0" w:color="auto"/>
        <w:bottom w:val="none" w:sz="0" w:space="0" w:color="auto"/>
        <w:right w:val="none" w:sz="0" w:space="0" w:color="auto"/>
      </w:divBdr>
    </w:div>
    <w:div w:id="695278999">
      <w:bodyDiv w:val="1"/>
      <w:marLeft w:val="0"/>
      <w:marRight w:val="0"/>
      <w:marTop w:val="0"/>
      <w:marBottom w:val="0"/>
      <w:divBdr>
        <w:top w:val="none" w:sz="0" w:space="0" w:color="auto"/>
        <w:left w:val="none" w:sz="0" w:space="0" w:color="auto"/>
        <w:bottom w:val="none" w:sz="0" w:space="0" w:color="auto"/>
        <w:right w:val="none" w:sz="0" w:space="0" w:color="auto"/>
      </w:divBdr>
    </w:div>
    <w:div w:id="695279378">
      <w:bodyDiv w:val="1"/>
      <w:marLeft w:val="0"/>
      <w:marRight w:val="0"/>
      <w:marTop w:val="0"/>
      <w:marBottom w:val="0"/>
      <w:divBdr>
        <w:top w:val="none" w:sz="0" w:space="0" w:color="auto"/>
        <w:left w:val="none" w:sz="0" w:space="0" w:color="auto"/>
        <w:bottom w:val="none" w:sz="0" w:space="0" w:color="auto"/>
        <w:right w:val="none" w:sz="0" w:space="0" w:color="auto"/>
      </w:divBdr>
    </w:div>
    <w:div w:id="695539405">
      <w:bodyDiv w:val="1"/>
      <w:marLeft w:val="0"/>
      <w:marRight w:val="0"/>
      <w:marTop w:val="0"/>
      <w:marBottom w:val="0"/>
      <w:divBdr>
        <w:top w:val="none" w:sz="0" w:space="0" w:color="auto"/>
        <w:left w:val="none" w:sz="0" w:space="0" w:color="auto"/>
        <w:bottom w:val="none" w:sz="0" w:space="0" w:color="auto"/>
        <w:right w:val="none" w:sz="0" w:space="0" w:color="auto"/>
      </w:divBdr>
    </w:div>
    <w:div w:id="695618961">
      <w:bodyDiv w:val="1"/>
      <w:marLeft w:val="0"/>
      <w:marRight w:val="0"/>
      <w:marTop w:val="0"/>
      <w:marBottom w:val="0"/>
      <w:divBdr>
        <w:top w:val="none" w:sz="0" w:space="0" w:color="auto"/>
        <w:left w:val="none" w:sz="0" w:space="0" w:color="auto"/>
        <w:bottom w:val="none" w:sz="0" w:space="0" w:color="auto"/>
        <w:right w:val="none" w:sz="0" w:space="0" w:color="auto"/>
      </w:divBdr>
    </w:div>
    <w:div w:id="695621192">
      <w:bodyDiv w:val="1"/>
      <w:marLeft w:val="0"/>
      <w:marRight w:val="0"/>
      <w:marTop w:val="0"/>
      <w:marBottom w:val="0"/>
      <w:divBdr>
        <w:top w:val="none" w:sz="0" w:space="0" w:color="auto"/>
        <w:left w:val="none" w:sz="0" w:space="0" w:color="auto"/>
        <w:bottom w:val="none" w:sz="0" w:space="0" w:color="auto"/>
        <w:right w:val="none" w:sz="0" w:space="0" w:color="auto"/>
      </w:divBdr>
    </w:div>
    <w:div w:id="695810594">
      <w:bodyDiv w:val="1"/>
      <w:marLeft w:val="0"/>
      <w:marRight w:val="0"/>
      <w:marTop w:val="0"/>
      <w:marBottom w:val="0"/>
      <w:divBdr>
        <w:top w:val="none" w:sz="0" w:space="0" w:color="auto"/>
        <w:left w:val="none" w:sz="0" w:space="0" w:color="auto"/>
        <w:bottom w:val="none" w:sz="0" w:space="0" w:color="auto"/>
        <w:right w:val="none" w:sz="0" w:space="0" w:color="auto"/>
      </w:divBdr>
    </w:div>
    <w:div w:id="695889015">
      <w:bodyDiv w:val="1"/>
      <w:marLeft w:val="0"/>
      <w:marRight w:val="0"/>
      <w:marTop w:val="0"/>
      <w:marBottom w:val="0"/>
      <w:divBdr>
        <w:top w:val="none" w:sz="0" w:space="0" w:color="auto"/>
        <w:left w:val="none" w:sz="0" w:space="0" w:color="auto"/>
        <w:bottom w:val="none" w:sz="0" w:space="0" w:color="auto"/>
        <w:right w:val="none" w:sz="0" w:space="0" w:color="auto"/>
      </w:divBdr>
    </w:div>
    <w:div w:id="696079340">
      <w:bodyDiv w:val="1"/>
      <w:marLeft w:val="0"/>
      <w:marRight w:val="0"/>
      <w:marTop w:val="0"/>
      <w:marBottom w:val="0"/>
      <w:divBdr>
        <w:top w:val="none" w:sz="0" w:space="0" w:color="auto"/>
        <w:left w:val="none" w:sz="0" w:space="0" w:color="auto"/>
        <w:bottom w:val="none" w:sz="0" w:space="0" w:color="auto"/>
        <w:right w:val="none" w:sz="0" w:space="0" w:color="auto"/>
      </w:divBdr>
    </w:div>
    <w:div w:id="696277051">
      <w:bodyDiv w:val="1"/>
      <w:marLeft w:val="0"/>
      <w:marRight w:val="0"/>
      <w:marTop w:val="0"/>
      <w:marBottom w:val="0"/>
      <w:divBdr>
        <w:top w:val="none" w:sz="0" w:space="0" w:color="auto"/>
        <w:left w:val="none" w:sz="0" w:space="0" w:color="auto"/>
        <w:bottom w:val="none" w:sz="0" w:space="0" w:color="auto"/>
        <w:right w:val="none" w:sz="0" w:space="0" w:color="auto"/>
      </w:divBdr>
    </w:div>
    <w:div w:id="696279255">
      <w:bodyDiv w:val="1"/>
      <w:marLeft w:val="0"/>
      <w:marRight w:val="0"/>
      <w:marTop w:val="0"/>
      <w:marBottom w:val="0"/>
      <w:divBdr>
        <w:top w:val="none" w:sz="0" w:space="0" w:color="auto"/>
        <w:left w:val="none" w:sz="0" w:space="0" w:color="auto"/>
        <w:bottom w:val="none" w:sz="0" w:space="0" w:color="auto"/>
        <w:right w:val="none" w:sz="0" w:space="0" w:color="auto"/>
      </w:divBdr>
    </w:div>
    <w:div w:id="696588129">
      <w:bodyDiv w:val="1"/>
      <w:marLeft w:val="0"/>
      <w:marRight w:val="0"/>
      <w:marTop w:val="0"/>
      <w:marBottom w:val="0"/>
      <w:divBdr>
        <w:top w:val="none" w:sz="0" w:space="0" w:color="auto"/>
        <w:left w:val="none" w:sz="0" w:space="0" w:color="auto"/>
        <w:bottom w:val="none" w:sz="0" w:space="0" w:color="auto"/>
        <w:right w:val="none" w:sz="0" w:space="0" w:color="auto"/>
      </w:divBdr>
    </w:div>
    <w:div w:id="696656828">
      <w:bodyDiv w:val="1"/>
      <w:marLeft w:val="0"/>
      <w:marRight w:val="0"/>
      <w:marTop w:val="0"/>
      <w:marBottom w:val="0"/>
      <w:divBdr>
        <w:top w:val="none" w:sz="0" w:space="0" w:color="auto"/>
        <w:left w:val="none" w:sz="0" w:space="0" w:color="auto"/>
        <w:bottom w:val="none" w:sz="0" w:space="0" w:color="auto"/>
        <w:right w:val="none" w:sz="0" w:space="0" w:color="auto"/>
      </w:divBdr>
    </w:div>
    <w:div w:id="696809392">
      <w:bodyDiv w:val="1"/>
      <w:marLeft w:val="0"/>
      <w:marRight w:val="0"/>
      <w:marTop w:val="0"/>
      <w:marBottom w:val="0"/>
      <w:divBdr>
        <w:top w:val="none" w:sz="0" w:space="0" w:color="auto"/>
        <w:left w:val="none" w:sz="0" w:space="0" w:color="auto"/>
        <w:bottom w:val="none" w:sz="0" w:space="0" w:color="auto"/>
        <w:right w:val="none" w:sz="0" w:space="0" w:color="auto"/>
      </w:divBdr>
    </w:div>
    <w:div w:id="697393522">
      <w:bodyDiv w:val="1"/>
      <w:marLeft w:val="0"/>
      <w:marRight w:val="0"/>
      <w:marTop w:val="0"/>
      <w:marBottom w:val="0"/>
      <w:divBdr>
        <w:top w:val="none" w:sz="0" w:space="0" w:color="auto"/>
        <w:left w:val="none" w:sz="0" w:space="0" w:color="auto"/>
        <w:bottom w:val="none" w:sz="0" w:space="0" w:color="auto"/>
        <w:right w:val="none" w:sz="0" w:space="0" w:color="auto"/>
      </w:divBdr>
    </w:div>
    <w:div w:id="697583356">
      <w:bodyDiv w:val="1"/>
      <w:marLeft w:val="0"/>
      <w:marRight w:val="0"/>
      <w:marTop w:val="0"/>
      <w:marBottom w:val="0"/>
      <w:divBdr>
        <w:top w:val="none" w:sz="0" w:space="0" w:color="auto"/>
        <w:left w:val="none" w:sz="0" w:space="0" w:color="auto"/>
        <w:bottom w:val="none" w:sz="0" w:space="0" w:color="auto"/>
        <w:right w:val="none" w:sz="0" w:space="0" w:color="auto"/>
      </w:divBdr>
    </w:div>
    <w:div w:id="697656732">
      <w:bodyDiv w:val="1"/>
      <w:marLeft w:val="0"/>
      <w:marRight w:val="0"/>
      <w:marTop w:val="0"/>
      <w:marBottom w:val="0"/>
      <w:divBdr>
        <w:top w:val="none" w:sz="0" w:space="0" w:color="auto"/>
        <w:left w:val="none" w:sz="0" w:space="0" w:color="auto"/>
        <w:bottom w:val="none" w:sz="0" w:space="0" w:color="auto"/>
        <w:right w:val="none" w:sz="0" w:space="0" w:color="auto"/>
      </w:divBdr>
    </w:div>
    <w:div w:id="697660191">
      <w:bodyDiv w:val="1"/>
      <w:marLeft w:val="0"/>
      <w:marRight w:val="0"/>
      <w:marTop w:val="0"/>
      <w:marBottom w:val="0"/>
      <w:divBdr>
        <w:top w:val="none" w:sz="0" w:space="0" w:color="auto"/>
        <w:left w:val="none" w:sz="0" w:space="0" w:color="auto"/>
        <w:bottom w:val="none" w:sz="0" w:space="0" w:color="auto"/>
        <w:right w:val="none" w:sz="0" w:space="0" w:color="auto"/>
      </w:divBdr>
    </w:div>
    <w:div w:id="697852643">
      <w:bodyDiv w:val="1"/>
      <w:marLeft w:val="0"/>
      <w:marRight w:val="0"/>
      <w:marTop w:val="0"/>
      <w:marBottom w:val="0"/>
      <w:divBdr>
        <w:top w:val="none" w:sz="0" w:space="0" w:color="auto"/>
        <w:left w:val="none" w:sz="0" w:space="0" w:color="auto"/>
        <w:bottom w:val="none" w:sz="0" w:space="0" w:color="auto"/>
        <w:right w:val="none" w:sz="0" w:space="0" w:color="auto"/>
      </w:divBdr>
    </w:div>
    <w:div w:id="697896590">
      <w:bodyDiv w:val="1"/>
      <w:marLeft w:val="0"/>
      <w:marRight w:val="0"/>
      <w:marTop w:val="0"/>
      <w:marBottom w:val="0"/>
      <w:divBdr>
        <w:top w:val="none" w:sz="0" w:space="0" w:color="auto"/>
        <w:left w:val="none" w:sz="0" w:space="0" w:color="auto"/>
        <w:bottom w:val="none" w:sz="0" w:space="0" w:color="auto"/>
        <w:right w:val="none" w:sz="0" w:space="0" w:color="auto"/>
      </w:divBdr>
    </w:div>
    <w:div w:id="697968436">
      <w:bodyDiv w:val="1"/>
      <w:marLeft w:val="0"/>
      <w:marRight w:val="0"/>
      <w:marTop w:val="0"/>
      <w:marBottom w:val="0"/>
      <w:divBdr>
        <w:top w:val="none" w:sz="0" w:space="0" w:color="auto"/>
        <w:left w:val="none" w:sz="0" w:space="0" w:color="auto"/>
        <w:bottom w:val="none" w:sz="0" w:space="0" w:color="auto"/>
        <w:right w:val="none" w:sz="0" w:space="0" w:color="auto"/>
      </w:divBdr>
    </w:div>
    <w:div w:id="697976117">
      <w:bodyDiv w:val="1"/>
      <w:marLeft w:val="0"/>
      <w:marRight w:val="0"/>
      <w:marTop w:val="0"/>
      <w:marBottom w:val="0"/>
      <w:divBdr>
        <w:top w:val="none" w:sz="0" w:space="0" w:color="auto"/>
        <w:left w:val="none" w:sz="0" w:space="0" w:color="auto"/>
        <w:bottom w:val="none" w:sz="0" w:space="0" w:color="auto"/>
        <w:right w:val="none" w:sz="0" w:space="0" w:color="auto"/>
      </w:divBdr>
    </w:div>
    <w:div w:id="698431009">
      <w:bodyDiv w:val="1"/>
      <w:marLeft w:val="0"/>
      <w:marRight w:val="0"/>
      <w:marTop w:val="0"/>
      <w:marBottom w:val="0"/>
      <w:divBdr>
        <w:top w:val="none" w:sz="0" w:space="0" w:color="auto"/>
        <w:left w:val="none" w:sz="0" w:space="0" w:color="auto"/>
        <w:bottom w:val="none" w:sz="0" w:space="0" w:color="auto"/>
        <w:right w:val="none" w:sz="0" w:space="0" w:color="auto"/>
      </w:divBdr>
    </w:div>
    <w:div w:id="698436909">
      <w:bodyDiv w:val="1"/>
      <w:marLeft w:val="0"/>
      <w:marRight w:val="0"/>
      <w:marTop w:val="0"/>
      <w:marBottom w:val="0"/>
      <w:divBdr>
        <w:top w:val="none" w:sz="0" w:space="0" w:color="auto"/>
        <w:left w:val="none" w:sz="0" w:space="0" w:color="auto"/>
        <w:bottom w:val="none" w:sz="0" w:space="0" w:color="auto"/>
        <w:right w:val="none" w:sz="0" w:space="0" w:color="auto"/>
      </w:divBdr>
    </w:div>
    <w:div w:id="698554370">
      <w:bodyDiv w:val="1"/>
      <w:marLeft w:val="0"/>
      <w:marRight w:val="0"/>
      <w:marTop w:val="0"/>
      <w:marBottom w:val="0"/>
      <w:divBdr>
        <w:top w:val="none" w:sz="0" w:space="0" w:color="auto"/>
        <w:left w:val="none" w:sz="0" w:space="0" w:color="auto"/>
        <w:bottom w:val="none" w:sz="0" w:space="0" w:color="auto"/>
        <w:right w:val="none" w:sz="0" w:space="0" w:color="auto"/>
      </w:divBdr>
    </w:div>
    <w:div w:id="698746318">
      <w:bodyDiv w:val="1"/>
      <w:marLeft w:val="0"/>
      <w:marRight w:val="0"/>
      <w:marTop w:val="0"/>
      <w:marBottom w:val="0"/>
      <w:divBdr>
        <w:top w:val="none" w:sz="0" w:space="0" w:color="auto"/>
        <w:left w:val="none" w:sz="0" w:space="0" w:color="auto"/>
        <w:bottom w:val="none" w:sz="0" w:space="0" w:color="auto"/>
        <w:right w:val="none" w:sz="0" w:space="0" w:color="auto"/>
      </w:divBdr>
    </w:div>
    <w:div w:id="698748192">
      <w:bodyDiv w:val="1"/>
      <w:marLeft w:val="0"/>
      <w:marRight w:val="0"/>
      <w:marTop w:val="0"/>
      <w:marBottom w:val="0"/>
      <w:divBdr>
        <w:top w:val="none" w:sz="0" w:space="0" w:color="auto"/>
        <w:left w:val="none" w:sz="0" w:space="0" w:color="auto"/>
        <w:bottom w:val="none" w:sz="0" w:space="0" w:color="auto"/>
        <w:right w:val="none" w:sz="0" w:space="0" w:color="auto"/>
      </w:divBdr>
    </w:div>
    <w:div w:id="698816192">
      <w:bodyDiv w:val="1"/>
      <w:marLeft w:val="0"/>
      <w:marRight w:val="0"/>
      <w:marTop w:val="0"/>
      <w:marBottom w:val="0"/>
      <w:divBdr>
        <w:top w:val="none" w:sz="0" w:space="0" w:color="auto"/>
        <w:left w:val="none" w:sz="0" w:space="0" w:color="auto"/>
        <w:bottom w:val="none" w:sz="0" w:space="0" w:color="auto"/>
        <w:right w:val="none" w:sz="0" w:space="0" w:color="auto"/>
      </w:divBdr>
    </w:div>
    <w:div w:id="698891411">
      <w:bodyDiv w:val="1"/>
      <w:marLeft w:val="0"/>
      <w:marRight w:val="0"/>
      <w:marTop w:val="0"/>
      <w:marBottom w:val="0"/>
      <w:divBdr>
        <w:top w:val="none" w:sz="0" w:space="0" w:color="auto"/>
        <w:left w:val="none" w:sz="0" w:space="0" w:color="auto"/>
        <w:bottom w:val="none" w:sz="0" w:space="0" w:color="auto"/>
        <w:right w:val="none" w:sz="0" w:space="0" w:color="auto"/>
      </w:divBdr>
    </w:div>
    <w:div w:id="699018153">
      <w:bodyDiv w:val="1"/>
      <w:marLeft w:val="0"/>
      <w:marRight w:val="0"/>
      <w:marTop w:val="0"/>
      <w:marBottom w:val="0"/>
      <w:divBdr>
        <w:top w:val="none" w:sz="0" w:space="0" w:color="auto"/>
        <w:left w:val="none" w:sz="0" w:space="0" w:color="auto"/>
        <w:bottom w:val="none" w:sz="0" w:space="0" w:color="auto"/>
        <w:right w:val="none" w:sz="0" w:space="0" w:color="auto"/>
      </w:divBdr>
    </w:div>
    <w:div w:id="699018167">
      <w:bodyDiv w:val="1"/>
      <w:marLeft w:val="0"/>
      <w:marRight w:val="0"/>
      <w:marTop w:val="0"/>
      <w:marBottom w:val="0"/>
      <w:divBdr>
        <w:top w:val="none" w:sz="0" w:space="0" w:color="auto"/>
        <w:left w:val="none" w:sz="0" w:space="0" w:color="auto"/>
        <w:bottom w:val="none" w:sz="0" w:space="0" w:color="auto"/>
        <w:right w:val="none" w:sz="0" w:space="0" w:color="auto"/>
      </w:divBdr>
    </w:div>
    <w:div w:id="699162473">
      <w:bodyDiv w:val="1"/>
      <w:marLeft w:val="0"/>
      <w:marRight w:val="0"/>
      <w:marTop w:val="0"/>
      <w:marBottom w:val="0"/>
      <w:divBdr>
        <w:top w:val="none" w:sz="0" w:space="0" w:color="auto"/>
        <w:left w:val="none" w:sz="0" w:space="0" w:color="auto"/>
        <w:bottom w:val="none" w:sz="0" w:space="0" w:color="auto"/>
        <w:right w:val="none" w:sz="0" w:space="0" w:color="auto"/>
      </w:divBdr>
    </w:div>
    <w:div w:id="699428744">
      <w:bodyDiv w:val="1"/>
      <w:marLeft w:val="0"/>
      <w:marRight w:val="0"/>
      <w:marTop w:val="0"/>
      <w:marBottom w:val="0"/>
      <w:divBdr>
        <w:top w:val="none" w:sz="0" w:space="0" w:color="auto"/>
        <w:left w:val="none" w:sz="0" w:space="0" w:color="auto"/>
        <w:bottom w:val="none" w:sz="0" w:space="0" w:color="auto"/>
        <w:right w:val="none" w:sz="0" w:space="0" w:color="auto"/>
      </w:divBdr>
    </w:div>
    <w:div w:id="699669405">
      <w:bodyDiv w:val="1"/>
      <w:marLeft w:val="0"/>
      <w:marRight w:val="0"/>
      <w:marTop w:val="0"/>
      <w:marBottom w:val="0"/>
      <w:divBdr>
        <w:top w:val="none" w:sz="0" w:space="0" w:color="auto"/>
        <w:left w:val="none" w:sz="0" w:space="0" w:color="auto"/>
        <w:bottom w:val="none" w:sz="0" w:space="0" w:color="auto"/>
        <w:right w:val="none" w:sz="0" w:space="0" w:color="auto"/>
      </w:divBdr>
    </w:div>
    <w:div w:id="699818807">
      <w:bodyDiv w:val="1"/>
      <w:marLeft w:val="0"/>
      <w:marRight w:val="0"/>
      <w:marTop w:val="0"/>
      <w:marBottom w:val="0"/>
      <w:divBdr>
        <w:top w:val="none" w:sz="0" w:space="0" w:color="auto"/>
        <w:left w:val="none" w:sz="0" w:space="0" w:color="auto"/>
        <w:bottom w:val="none" w:sz="0" w:space="0" w:color="auto"/>
        <w:right w:val="none" w:sz="0" w:space="0" w:color="auto"/>
      </w:divBdr>
    </w:div>
    <w:div w:id="699862387">
      <w:bodyDiv w:val="1"/>
      <w:marLeft w:val="0"/>
      <w:marRight w:val="0"/>
      <w:marTop w:val="0"/>
      <w:marBottom w:val="0"/>
      <w:divBdr>
        <w:top w:val="none" w:sz="0" w:space="0" w:color="auto"/>
        <w:left w:val="none" w:sz="0" w:space="0" w:color="auto"/>
        <w:bottom w:val="none" w:sz="0" w:space="0" w:color="auto"/>
        <w:right w:val="none" w:sz="0" w:space="0" w:color="auto"/>
      </w:divBdr>
    </w:div>
    <w:div w:id="700130893">
      <w:bodyDiv w:val="1"/>
      <w:marLeft w:val="0"/>
      <w:marRight w:val="0"/>
      <w:marTop w:val="0"/>
      <w:marBottom w:val="0"/>
      <w:divBdr>
        <w:top w:val="none" w:sz="0" w:space="0" w:color="auto"/>
        <w:left w:val="none" w:sz="0" w:space="0" w:color="auto"/>
        <w:bottom w:val="none" w:sz="0" w:space="0" w:color="auto"/>
        <w:right w:val="none" w:sz="0" w:space="0" w:color="auto"/>
      </w:divBdr>
    </w:div>
    <w:div w:id="700252559">
      <w:bodyDiv w:val="1"/>
      <w:marLeft w:val="0"/>
      <w:marRight w:val="0"/>
      <w:marTop w:val="0"/>
      <w:marBottom w:val="0"/>
      <w:divBdr>
        <w:top w:val="none" w:sz="0" w:space="0" w:color="auto"/>
        <w:left w:val="none" w:sz="0" w:space="0" w:color="auto"/>
        <w:bottom w:val="none" w:sz="0" w:space="0" w:color="auto"/>
        <w:right w:val="none" w:sz="0" w:space="0" w:color="auto"/>
      </w:divBdr>
    </w:div>
    <w:div w:id="700400394">
      <w:bodyDiv w:val="1"/>
      <w:marLeft w:val="0"/>
      <w:marRight w:val="0"/>
      <w:marTop w:val="0"/>
      <w:marBottom w:val="0"/>
      <w:divBdr>
        <w:top w:val="none" w:sz="0" w:space="0" w:color="auto"/>
        <w:left w:val="none" w:sz="0" w:space="0" w:color="auto"/>
        <w:bottom w:val="none" w:sz="0" w:space="0" w:color="auto"/>
        <w:right w:val="none" w:sz="0" w:space="0" w:color="auto"/>
      </w:divBdr>
    </w:div>
    <w:div w:id="700517163">
      <w:bodyDiv w:val="1"/>
      <w:marLeft w:val="0"/>
      <w:marRight w:val="0"/>
      <w:marTop w:val="0"/>
      <w:marBottom w:val="0"/>
      <w:divBdr>
        <w:top w:val="none" w:sz="0" w:space="0" w:color="auto"/>
        <w:left w:val="none" w:sz="0" w:space="0" w:color="auto"/>
        <w:bottom w:val="none" w:sz="0" w:space="0" w:color="auto"/>
        <w:right w:val="none" w:sz="0" w:space="0" w:color="auto"/>
      </w:divBdr>
    </w:div>
    <w:div w:id="700667330">
      <w:bodyDiv w:val="1"/>
      <w:marLeft w:val="0"/>
      <w:marRight w:val="0"/>
      <w:marTop w:val="0"/>
      <w:marBottom w:val="0"/>
      <w:divBdr>
        <w:top w:val="none" w:sz="0" w:space="0" w:color="auto"/>
        <w:left w:val="none" w:sz="0" w:space="0" w:color="auto"/>
        <w:bottom w:val="none" w:sz="0" w:space="0" w:color="auto"/>
        <w:right w:val="none" w:sz="0" w:space="0" w:color="auto"/>
      </w:divBdr>
    </w:div>
    <w:div w:id="700739347">
      <w:bodyDiv w:val="1"/>
      <w:marLeft w:val="0"/>
      <w:marRight w:val="0"/>
      <w:marTop w:val="0"/>
      <w:marBottom w:val="0"/>
      <w:divBdr>
        <w:top w:val="none" w:sz="0" w:space="0" w:color="auto"/>
        <w:left w:val="none" w:sz="0" w:space="0" w:color="auto"/>
        <w:bottom w:val="none" w:sz="0" w:space="0" w:color="auto"/>
        <w:right w:val="none" w:sz="0" w:space="0" w:color="auto"/>
      </w:divBdr>
    </w:div>
    <w:div w:id="700787169">
      <w:bodyDiv w:val="1"/>
      <w:marLeft w:val="0"/>
      <w:marRight w:val="0"/>
      <w:marTop w:val="0"/>
      <w:marBottom w:val="0"/>
      <w:divBdr>
        <w:top w:val="none" w:sz="0" w:space="0" w:color="auto"/>
        <w:left w:val="none" w:sz="0" w:space="0" w:color="auto"/>
        <w:bottom w:val="none" w:sz="0" w:space="0" w:color="auto"/>
        <w:right w:val="none" w:sz="0" w:space="0" w:color="auto"/>
      </w:divBdr>
    </w:div>
    <w:div w:id="700935634">
      <w:bodyDiv w:val="1"/>
      <w:marLeft w:val="0"/>
      <w:marRight w:val="0"/>
      <w:marTop w:val="0"/>
      <w:marBottom w:val="0"/>
      <w:divBdr>
        <w:top w:val="none" w:sz="0" w:space="0" w:color="auto"/>
        <w:left w:val="none" w:sz="0" w:space="0" w:color="auto"/>
        <w:bottom w:val="none" w:sz="0" w:space="0" w:color="auto"/>
        <w:right w:val="none" w:sz="0" w:space="0" w:color="auto"/>
      </w:divBdr>
    </w:div>
    <w:div w:id="701057346">
      <w:bodyDiv w:val="1"/>
      <w:marLeft w:val="0"/>
      <w:marRight w:val="0"/>
      <w:marTop w:val="0"/>
      <w:marBottom w:val="0"/>
      <w:divBdr>
        <w:top w:val="none" w:sz="0" w:space="0" w:color="auto"/>
        <w:left w:val="none" w:sz="0" w:space="0" w:color="auto"/>
        <w:bottom w:val="none" w:sz="0" w:space="0" w:color="auto"/>
        <w:right w:val="none" w:sz="0" w:space="0" w:color="auto"/>
      </w:divBdr>
    </w:div>
    <w:div w:id="701132549">
      <w:bodyDiv w:val="1"/>
      <w:marLeft w:val="0"/>
      <w:marRight w:val="0"/>
      <w:marTop w:val="0"/>
      <w:marBottom w:val="0"/>
      <w:divBdr>
        <w:top w:val="none" w:sz="0" w:space="0" w:color="auto"/>
        <w:left w:val="none" w:sz="0" w:space="0" w:color="auto"/>
        <w:bottom w:val="none" w:sz="0" w:space="0" w:color="auto"/>
        <w:right w:val="none" w:sz="0" w:space="0" w:color="auto"/>
      </w:divBdr>
    </w:div>
    <w:div w:id="701133037">
      <w:bodyDiv w:val="1"/>
      <w:marLeft w:val="0"/>
      <w:marRight w:val="0"/>
      <w:marTop w:val="0"/>
      <w:marBottom w:val="0"/>
      <w:divBdr>
        <w:top w:val="none" w:sz="0" w:space="0" w:color="auto"/>
        <w:left w:val="none" w:sz="0" w:space="0" w:color="auto"/>
        <w:bottom w:val="none" w:sz="0" w:space="0" w:color="auto"/>
        <w:right w:val="none" w:sz="0" w:space="0" w:color="auto"/>
      </w:divBdr>
    </w:div>
    <w:div w:id="701328116">
      <w:bodyDiv w:val="1"/>
      <w:marLeft w:val="0"/>
      <w:marRight w:val="0"/>
      <w:marTop w:val="0"/>
      <w:marBottom w:val="0"/>
      <w:divBdr>
        <w:top w:val="none" w:sz="0" w:space="0" w:color="auto"/>
        <w:left w:val="none" w:sz="0" w:space="0" w:color="auto"/>
        <w:bottom w:val="none" w:sz="0" w:space="0" w:color="auto"/>
        <w:right w:val="none" w:sz="0" w:space="0" w:color="auto"/>
      </w:divBdr>
    </w:div>
    <w:div w:id="701513880">
      <w:bodyDiv w:val="1"/>
      <w:marLeft w:val="0"/>
      <w:marRight w:val="0"/>
      <w:marTop w:val="0"/>
      <w:marBottom w:val="0"/>
      <w:divBdr>
        <w:top w:val="none" w:sz="0" w:space="0" w:color="auto"/>
        <w:left w:val="none" w:sz="0" w:space="0" w:color="auto"/>
        <w:bottom w:val="none" w:sz="0" w:space="0" w:color="auto"/>
        <w:right w:val="none" w:sz="0" w:space="0" w:color="auto"/>
      </w:divBdr>
    </w:div>
    <w:div w:id="701786774">
      <w:bodyDiv w:val="1"/>
      <w:marLeft w:val="0"/>
      <w:marRight w:val="0"/>
      <w:marTop w:val="0"/>
      <w:marBottom w:val="0"/>
      <w:divBdr>
        <w:top w:val="none" w:sz="0" w:space="0" w:color="auto"/>
        <w:left w:val="none" w:sz="0" w:space="0" w:color="auto"/>
        <w:bottom w:val="none" w:sz="0" w:space="0" w:color="auto"/>
        <w:right w:val="none" w:sz="0" w:space="0" w:color="auto"/>
      </w:divBdr>
    </w:div>
    <w:div w:id="701789275">
      <w:bodyDiv w:val="1"/>
      <w:marLeft w:val="0"/>
      <w:marRight w:val="0"/>
      <w:marTop w:val="0"/>
      <w:marBottom w:val="0"/>
      <w:divBdr>
        <w:top w:val="none" w:sz="0" w:space="0" w:color="auto"/>
        <w:left w:val="none" w:sz="0" w:space="0" w:color="auto"/>
        <w:bottom w:val="none" w:sz="0" w:space="0" w:color="auto"/>
        <w:right w:val="none" w:sz="0" w:space="0" w:color="auto"/>
      </w:divBdr>
    </w:div>
    <w:div w:id="702286497">
      <w:bodyDiv w:val="1"/>
      <w:marLeft w:val="0"/>
      <w:marRight w:val="0"/>
      <w:marTop w:val="0"/>
      <w:marBottom w:val="0"/>
      <w:divBdr>
        <w:top w:val="none" w:sz="0" w:space="0" w:color="auto"/>
        <w:left w:val="none" w:sz="0" w:space="0" w:color="auto"/>
        <w:bottom w:val="none" w:sz="0" w:space="0" w:color="auto"/>
        <w:right w:val="none" w:sz="0" w:space="0" w:color="auto"/>
      </w:divBdr>
    </w:div>
    <w:div w:id="702368348">
      <w:bodyDiv w:val="1"/>
      <w:marLeft w:val="0"/>
      <w:marRight w:val="0"/>
      <w:marTop w:val="0"/>
      <w:marBottom w:val="0"/>
      <w:divBdr>
        <w:top w:val="none" w:sz="0" w:space="0" w:color="auto"/>
        <w:left w:val="none" w:sz="0" w:space="0" w:color="auto"/>
        <w:bottom w:val="none" w:sz="0" w:space="0" w:color="auto"/>
        <w:right w:val="none" w:sz="0" w:space="0" w:color="auto"/>
      </w:divBdr>
    </w:div>
    <w:div w:id="702435965">
      <w:bodyDiv w:val="1"/>
      <w:marLeft w:val="0"/>
      <w:marRight w:val="0"/>
      <w:marTop w:val="0"/>
      <w:marBottom w:val="0"/>
      <w:divBdr>
        <w:top w:val="none" w:sz="0" w:space="0" w:color="auto"/>
        <w:left w:val="none" w:sz="0" w:space="0" w:color="auto"/>
        <w:bottom w:val="none" w:sz="0" w:space="0" w:color="auto"/>
        <w:right w:val="none" w:sz="0" w:space="0" w:color="auto"/>
      </w:divBdr>
    </w:div>
    <w:div w:id="702441591">
      <w:bodyDiv w:val="1"/>
      <w:marLeft w:val="0"/>
      <w:marRight w:val="0"/>
      <w:marTop w:val="0"/>
      <w:marBottom w:val="0"/>
      <w:divBdr>
        <w:top w:val="none" w:sz="0" w:space="0" w:color="auto"/>
        <w:left w:val="none" w:sz="0" w:space="0" w:color="auto"/>
        <w:bottom w:val="none" w:sz="0" w:space="0" w:color="auto"/>
        <w:right w:val="none" w:sz="0" w:space="0" w:color="auto"/>
      </w:divBdr>
    </w:div>
    <w:div w:id="702561300">
      <w:bodyDiv w:val="1"/>
      <w:marLeft w:val="0"/>
      <w:marRight w:val="0"/>
      <w:marTop w:val="0"/>
      <w:marBottom w:val="0"/>
      <w:divBdr>
        <w:top w:val="none" w:sz="0" w:space="0" w:color="auto"/>
        <w:left w:val="none" w:sz="0" w:space="0" w:color="auto"/>
        <w:bottom w:val="none" w:sz="0" w:space="0" w:color="auto"/>
        <w:right w:val="none" w:sz="0" w:space="0" w:color="auto"/>
      </w:divBdr>
    </w:div>
    <w:div w:id="702677755">
      <w:bodyDiv w:val="1"/>
      <w:marLeft w:val="0"/>
      <w:marRight w:val="0"/>
      <w:marTop w:val="0"/>
      <w:marBottom w:val="0"/>
      <w:divBdr>
        <w:top w:val="none" w:sz="0" w:space="0" w:color="auto"/>
        <w:left w:val="none" w:sz="0" w:space="0" w:color="auto"/>
        <w:bottom w:val="none" w:sz="0" w:space="0" w:color="auto"/>
        <w:right w:val="none" w:sz="0" w:space="0" w:color="auto"/>
      </w:divBdr>
    </w:div>
    <w:div w:id="702705513">
      <w:bodyDiv w:val="1"/>
      <w:marLeft w:val="0"/>
      <w:marRight w:val="0"/>
      <w:marTop w:val="0"/>
      <w:marBottom w:val="0"/>
      <w:divBdr>
        <w:top w:val="none" w:sz="0" w:space="0" w:color="auto"/>
        <w:left w:val="none" w:sz="0" w:space="0" w:color="auto"/>
        <w:bottom w:val="none" w:sz="0" w:space="0" w:color="auto"/>
        <w:right w:val="none" w:sz="0" w:space="0" w:color="auto"/>
      </w:divBdr>
    </w:div>
    <w:div w:id="702749581">
      <w:bodyDiv w:val="1"/>
      <w:marLeft w:val="0"/>
      <w:marRight w:val="0"/>
      <w:marTop w:val="0"/>
      <w:marBottom w:val="0"/>
      <w:divBdr>
        <w:top w:val="none" w:sz="0" w:space="0" w:color="auto"/>
        <w:left w:val="none" w:sz="0" w:space="0" w:color="auto"/>
        <w:bottom w:val="none" w:sz="0" w:space="0" w:color="auto"/>
        <w:right w:val="none" w:sz="0" w:space="0" w:color="auto"/>
      </w:divBdr>
    </w:div>
    <w:div w:id="702829974">
      <w:bodyDiv w:val="1"/>
      <w:marLeft w:val="0"/>
      <w:marRight w:val="0"/>
      <w:marTop w:val="0"/>
      <w:marBottom w:val="0"/>
      <w:divBdr>
        <w:top w:val="none" w:sz="0" w:space="0" w:color="auto"/>
        <w:left w:val="none" w:sz="0" w:space="0" w:color="auto"/>
        <w:bottom w:val="none" w:sz="0" w:space="0" w:color="auto"/>
        <w:right w:val="none" w:sz="0" w:space="0" w:color="auto"/>
      </w:divBdr>
    </w:div>
    <w:div w:id="703022818">
      <w:bodyDiv w:val="1"/>
      <w:marLeft w:val="0"/>
      <w:marRight w:val="0"/>
      <w:marTop w:val="0"/>
      <w:marBottom w:val="0"/>
      <w:divBdr>
        <w:top w:val="none" w:sz="0" w:space="0" w:color="auto"/>
        <w:left w:val="none" w:sz="0" w:space="0" w:color="auto"/>
        <w:bottom w:val="none" w:sz="0" w:space="0" w:color="auto"/>
        <w:right w:val="none" w:sz="0" w:space="0" w:color="auto"/>
      </w:divBdr>
    </w:div>
    <w:div w:id="703141215">
      <w:bodyDiv w:val="1"/>
      <w:marLeft w:val="0"/>
      <w:marRight w:val="0"/>
      <w:marTop w:val="0"/>
      <w:marBottom w:val="0"/>
      <w:divBdr>
        <w:top w:val="none" w:sz="0" w:space="0" w:color="auto"/>
        <w:left w:val="none" w:sz="0" w:space="0" w:color="auto"/>
        <w:bottom w:val="none" w:sz="0" w:space="0" w:color="auto"/>
        <w:right w:val="none" w:sz="0" w:space="0" w:color="auto"/>
      </w:divBdr>
    </w:div>
    <w:div w:id="703291748">
      <w:bodyDiv w:val="1"/>
      <w:marLeft w:val="0"/>
      <w:marRight w:val="0"/>
      <w:marTop w:val="0"/>
      <w:marBottom w:val="0"/>
      <w:divBdr>
        <w:top w:val="none" w:sz="0" w:space="0" w:color="auto"/>
        <w:left w:val="none" w:sz="0" w:space="0" w:color="auto"/>
        <w:bottom w:val="none" w:sz="0" w:space="0" w:color="auto"/>
        <w:right w:val="none" w:sz="0" w:space="0" w:color="auto"/>
      </w:divBdr>
    </w:div>
    <w:div w:id="703409717">
      <w:bodyDiv w:val="1"/>
      <w:marLeft w:val="0"/>
      <w:marRight w:val="0"/>
      <w:marTop w:val="0"/>
      <w:marBottom w:val="0"/>
      <w:divBdr>
        <w:top w:val="none" w:sz="0" w:space="0" w:color="auto"/>
        <w:left w:val="none" w:sz="0" w:space="0" w:color="auto"/>
        <w:bottom w:val="none" w:sz="0" w:space="0" w:color="auto"/>
        <w:right w:val="none" w:sz="0" w:space="0" w:color="auto"/>
      </w:divBdr>
    </w:div>
    <w:div w:id="703602798">
      <w:bodyDiv w:val="1"/>
      <w:marLeft w:val="0"/>
      <w:marRight w:val="0"/>
      <w:marTop w:val="0"/>
      <w:marBottom w:val="0"/>
      <w:divBdr>
        <w:top w:val="none" w:sz="0" w:space="0" w:color="auto"/>
        <w:left w:val="none" w:sz="0" w:space="0" w:color="auto"/>
        <w:bottom w:val="none" w:sz="0" w:space="0" w:color="auto"/>
        <w:right w:val="none" w:sz="0" w:space="0" w:color="auto"/>
      </w:divBdr>
    </w:div>
    <w:div w:id="703821824">
      <w:bodyDiv w:val="1"/>
      <w:marLeft w:val="0"/>
      <w:marRight w:val="0"/>
      <w:marTop w:val="0"/>
      <w:marBottom w:val="0"/>
      <w:divBdr>
        <w:top w:val="none" w:sz="0" w:space="0" w:color="auto"/>
        <w:left w:val="none" w:sz="0" w:space="0" w:color="auto"/>
        <w:bottom w:val="none" w:sz="0" w:space="0" w:color="auto"/>
        <w:right w:val="none" w:sz="0" w:space="0" w:color="auto"/>
      </w:divBdr>
    </w:div>
    <w:div w:id="704139665">
      <w:bodyDiv w:val="1"/>
      <w:marLeft w:val="0"/>
      <w:marRight w:val="0"/>
      <w:marTop w:val="0"/>
      <w:marBottom w:val="0"/>
      <w:divBdr>
        <w:top w:val="none" w:sz="0" w:space="0" w:color="auto"/>
        <w:left w:val="none" w:sz="0" w:space="0" w:color="auto"/>
        <w:bottom w:val="none" w:sz="0" w:space="0" w:color="auto"/>
        <w:right w:val="none" w:sz="0" w:space="0" w:color="auto"/>
      </w:divBdr>
    </w:div>
    <w:div w:id="704139880">
      <w:bodyDiv w:val="1"/>
      <w:marLeft w:val="0"/>
      <w:marRight w:val="0"/>
      <w:marTop w:val="0"/>
      <w:marBottom w:val="0"/>
      <w:divBdr>
        <w:top w:val="none" w:sz="0" w:space="0" w:color="auto"/>
        <w:left w:val="none" w:sz="0" w:space="0" w:color="auto"/>
        <w:bottom w:val="none" w:sz="0" w:space="0" w:color="auto"/>
        <w:right w:val="none" w:sz="0" w:space="0" w:color="auto"/>
      </w:divBdr>
    </w:div>
    <w:div w:id="704528968">
      <w:bodyDiv w:val="1"/>
      <w:marLeft w:val="0"/>
      <w:marRight w:val="0"/>
      <w:marTop w:val="0"/>
      <w:marBottom w:val="0"/>
      <w:divBdr>
        <w:top w:val="none" w:sz="0" w:space="0" w:color="auto"/>
        <w:left w:val="none" w:sz="0" w:space="0" w:color="auto"/>
        <w:bottom w:val="none" w:sz="0" w:space="0" w:color="auto"/>
        <w:right w:val="none" w:sz="0" w:space="0" w:color="auto"/>
      </w:divBdr>
    </w:div>
    <w:div w:id="704644055">
      <w:bodyDiv w:val="1"/>
      <w:marLeft w:val="0"/>
      <w:marRight w:val="0"/>
      <w:marTop w:val="0"/>
      <w:marBottom w:val="0"/>
      <w:divBdr>
        <w:top w:val="none" w:sz="0" w:space="0" w:color="auto"/>
        <w:left w:val="none" w:sz="0" w:space="0" w:color="auto"/>
        <w:bottom w:val="none" w:sz="0" w:space="0" w:color="auto"/>
        <w:right w:val="none" w:sz="0" w:space="0" w:color="auto"/>
      </w:divBdr>
    </w:div>
    <w:div w:id="704670655">
      <w:bodyDiv w:val="1"/>
      <w:marLeft w:val="0"/>
      <w:marRight w:val="0"/>
      <w:marTop w:val="0"/>
      <w:marBottom w:val="0"/>
      <w:divBdr>
        <w:top w:val="none" w:sz="0" w:space="0" w:color="auto"/>
        <w:left w:val="none" w:sz="0" w:space="0" w:color="auto"/>
        <w:bottom w:val="none" w:sz="0" w:space="0" w:color="auto"/>
        <w:right w:val="none" w:sz="0" w:space="0" w:color="auto"/>
      </w:divBdr>
    </w:div>
    <w:div w:id="704720221">
      <w:bodyDiv w:val="1"/>
      <w:marLeft w:val="0"/>
      <w:marRight w:val="0"/>
      <w:marTop w:val="0"/>
      <w:marBottom w:val="0"/>
      <w:divBdr>
        <w:top w:val="none" w:sz="0" w:space="0" w:color="auto"/>
        <w:left w:val="none" w:sz="0" w:space="0" w:color="auto"/>
        <w:bottom w:val="none" w:sz="0" w:space="0" w:color="auto"/>
        <w:right w:val="none" w:sz="0" w:space="0" w:color="auto"/>
      </w:divBdr>
    </w:div>
    <w:div w:id="704791409">
      <w:bodyDiv w:val="1"/>
      <w:marLeft w:val="0"/>
      <w:marRight w:val="0"/>
      <w:marTop w:val="0"/>
      <w:marBottom w:val="0"/>
      <w:divBdr>
        <w:top w:val="none" w:sz="0" w:space="0" w:color="auto"/>
        <w:left w:val="none" w:sz="0" w:space="0" w:color="auto"/>
        <w:bottom w:val="none" w:sz="0" w:space="0" w:color="auto"/>
        <w:right w:val="none" w:sz="0" w:space="0" w:color="auto"/>
      </w:divBdr>
    </w:div>
    <w:div w:id="704797764">
      <w:bodyDiv w:val="1"/>
      <w:marLeft w:val="0"/>
      <w:marRight w:val="0"/>
      <w:marTop w:val="0"/>
      <w:marBottom w:val="0"/>
      <w:divBdr>
        <w:top w:val="none" w:sz="0" w:space="0" w:color="auto"/>
        <w:left w:val="none" w:sz="0" w:space="0" w:color="auto"/>
        <w:bottom w:val="none" w:sz="0" w:space="0" w:color="auto"/>
        <w:right w:val="none" w:sz="0" w:space="0" w:color="auto"/>
      </w:divBdr>
    </w:div>
    <w:div w:id="704911300">
      <w:bodyDiv w:val="1"/>
      <w:marLeft w:val="0"/>
      <w:marRight w:val="0"/>
      <w:marTop w:val="0"/>
      <w:marBottom w:val="0"/>
      <w:divBdr>
        <w:top w:val="none" w:sz="0" w:space="0" w:color="auto"/>
        <w:left w:val="none" w:sz="0" w:space="0" w:color="auto"/>
        <w:bottom w:val="none" w:sz="0" w:space="0" w:color="auto"/>
        <w:right w:val="none" w:sz="0" w:space="0" w:color="auto"/>
      </w:divBdr>
    </w:div>
    <w:div w:id="704914938">
      <w:bodyDiv w:val="1"/>
      <w:marLeft w:val="0"/>
      <w:marRight w:val="0"/>
      <w:marTop w:val="0"/>
      <w:marBottom w:val="0"/>
      <w:divBdr>
        <w:top w:val="none" w:sz="0" w:space="0" w:color="auto"/>
        <w:left w:val="none" w:sz="0" w:space="0" w:color="auto"/>
        <w:bottom w:val="none" w:sz="0" w:space="0" w:color="auto"/>
        <w:right w:val="none" w:sz="0" w:space="0" w:color="auto"/>
      </w:divBdr>
    </w:div>
    <w:div w:id="705059821">
      <w:bodyDiv w:val="1"/>
      <w:marLeft w:val="0"/>
      <w:marRight w:val="0"/>
      <w:marTop w:val="0"/>
      <w:marBottom w:val="0"/>
      <w:divBdr>
        <w:top w:val="none" w:sz="0" w:space="0" w:color="auto"/>
        <w:left w:val="none" w:sz="0" w:space="0" w:color="auto"/>
        <w:bottom w:val="none" w:sz="0" w:space="0" w:color="auto"/>
        <w:right w:val="none" w:sz="0" w:space="0" w:color="auto"/>
      </w:divBdr>
    </w:div>
    <w:div w:id="705106784">
      <w:bodyDiv w:val="1"/>
      <w:marLeft w:val="0"/>
      <w:marRight w:val="0"/>
      <w:marTop w:val="0"/>
      <w:marBottom w:val="0"/>
      <w:divBdr>
        <w:top w:val="none" w:sz="0" w:space="0" w:color="auto"/>
        <w:left w:val="none" w:sz="0" w:space="0" w:color="auto"/>
        <w:bottom w:val="none" w:sz="0" w:space="0" w:color="auto"/>
        <w:right w:val="none" w:sz="0" w:space="0" w:color="auto"/>
      </w:divBdr>
    </w:div>
    <w:div w:id="705132208">
      <w:bodyDiv w:val="1"/>
      <w:marLeft w:val="0"/>
      <w:marRight w:val="0"/>
      <w:marTop w:val="0"/>
      <w:marBottom w:val="0"/>
      <w:divBdr>
        <w:top w:val="none" w:sz="0" w:space="0" w:color="auto"/>
        <w:left w:val="none" w:sz="0" w:space="0" w:color="auto"/>
        <w:bottom w:val="none" w:sz="0" w:space="0" w:color="auto"/>
        <w:right w:val="none" w:sz="0" w:space="0" w:color="auto"/>
      </w:divBdr>
    </w:div>
    <w:div w:id="705371062">
      <w:bodyDiv w:val="1"/>
      <w:marLeft w:val="0"/>
      <w:marRight w:val="0"/>
      <w:marTop w:val="0"/>
      <w:marBottom w:val="0"/>
      <w:divBdr>
        <w:top w:val="none" w:sz="0" w:space="0" w:color="auto"/>
        <w:left w:val="none" w:sz="0" w:space="0" w:color="auto"/>
        <w:bottom w:val="none" w:sz="0" w:space="0" w:color="auto"/>
        <w:right w:val="none" w:sz="0" w:space="0" w:color="auto"/>
      </w:divBdr>
    </w:div>
    <w:div w:id="705371882">
      <w:bodyDiv w:val="1"/>
      <w:marLeft w:val="0"/>
      <w:marRight w:val="0"/>
      <w:marTop w:val="0"/>
      <w:marBottom w:val="0"/>
      <w:divBdr>
        <w:top w:val="none" w:sz="0" w:space="0" w:color="auto"/>
        <w:left w:val="none" w:sz="0" w:space="0" w:color="auto"/>
        <w:bottom w:val="none" w:sz="0" w:space="0" w:color="auto"/>
        <w:right w:val="none" w:sz="0" w:space="0" w:color="auto"/>
      </w:divBdr>
    </w:div>
    <w:div w:id="705376571">
      <w:bodyDiv w:val="1"/>
      <w:marLeft w:val="0"/>
      <w:marRight w:val="0"/>
      <w:marTop w:val="0"/>
      <w:marBottom w:val="0"/>
      <w:divBdr>
        <w:top w:val="none" w:sz="0" w:space="0" w:color="auto"/>
        <w:left w:val="none" w:sz="0" w:space="0" w:color="auto"/>
        <w:bottom w:val="none" w:sz="0" w:space="0" w:color="auto"/>
        <w:right w:val="none" w:sz="0" w:space="0" w:color="auto"/>
      </w:divBdr>
    </w:div>
    <w:div w:id="705447435">
      <w:bodyDiv w:val="1"/>
      <w:marLeft w:val="0"/>
      <w:marRight w:val="0"/>
      <w:marTop w:val="0"/>
      <w:marBottom w:val="0"/>
      <w:divBdr>
        <w:top w:val="none" w:sz="0" w:space="0" w:color="auto"/>
        <w:left w:val="none" w:sz="0" w:space="0" w:color="auto"/>
        <w:bottom w:val="none" w:sz="0" w:space="0" w:color="auto"/>
        <w:right w:val="none" w:sz="0" w:space="0" w:color="auto"/>
      </w:divBdr>
    </w:div>
    <w:div w:id="705449470">
      <w:bodyDiv w:val="1"/>
      <w:marLeft w:val="0"/>
      <w:marRight w:val="0"/>
      <w:marTop w:val="0"/>
      <w:marBottom w:val="0"/>
      <w:divBdr>
        <w:top w:val="none" w:sz="0" w:space="0" w:color="auto"/>
        <w:left w:val="none" w:sz="0" w:space="0" w:color="auto"/>
        <w:bottom w:val="none" w:sz="0" w:space="0" w:color="auto"/>
        <w:right w:val="none" w:sz="0" w:space="0" w:color="auto"/>
      </w:divBdr>
    </w:div>
    <w:div w:id="705563093">
      <w:bodyDiv w:val="1"/>
      <w:marLeft w:val="0"/>
      <w:marRight w:val="0"/>
      <w:marTop w:val="0"/>
      <w:marBottom w:val="0"/>
      <w:divBdr>
        <w:top w:val="none" w:sz="0" w:space="0" w:color="auto"/>
        <w:left w:val="none" w:sz="0" w:space="0" w:color="auto"/>
        <w:bottom w:val="none" w:sz="0" w:space="0" w:color="auto"/>
        <w:right w:val="none" w:sz="0" w:space="0" w:color="auto"/>
      </w:divBdr>
    </w:div>
    <w:div w:id="705760039">
      <w:bodyDiv w:val="1"/>
      <w:marLeft w:val="0"/>
      <w:marRight w:val="0"/>
      <w:marTop w:val="0"/>
      <w:marBottom w:val="0"/>
      <w:divBdr>
        <w:top w:val="none" w:sz="0" w:space="0" w:color="auto"/>
        <w:left w:val="none" w:sz="0" w:space="0" w:color="auto"/>
        <w:bottom w:val="none" w:sz="0" w:space="0" w:color="auto"/>
        <w:right w:val="none" w:sz="0" w:space="0" w:color="auto"/>
      </w:divBdr>
    </w:div>
    <w:div w:id="705763575">
      <w:bodyDiv w:val="1"/>
      <w:marLeft w:val="0"/>
      <w:marRight w:val="0"/>
      <w:marTop w:val="0"/>
      <w:marBottom w:val="0"/>
      <w:divBdr>
        <w:top w:val="none" w:sz="0" w:space="0" w:color="auto"/>
        <w:left w:val="none" w:sz="0" w:space="0" w:color="auto"/>
        <w:bottom w:val="none" w:sz="0" w:space="0" w:color="auto"/>
        <w:right w:val="none" w:sz="0" w:space="0" w:color="auto"/>
      </w:divBdr>
    </w:div>
    <w:div w:id="705986024">
      <w:bodyDiv w:val="1"/>
      <w:marLeft w:val="0"/>
      <w:marRight w:val="0"/>
      <w:marTop w:val="0"/>
      <w:marBottom w:val="0"/>
      <w:divBdr>
        <w:top w:val="none" w:sz="0" w:space="0" w:color="auto"/>
        <w:left w:val="none" w:sz="0" w:space="0" w:color="auto"/>
        <w:bottom w:val="none" w:sz="0" w:space="0" w:color="auto"/>
        <w:right w:val="none" w:sz="0" w:space="0" w:color="auto"/>
      </w:divBdr>
    </w:div>
    <w:div w:id="706028975">
      <w:bodyDiv w:val="1"/>
      <w:marLeft w:val="0"/>
      <w:marRight w:val="0"/>
      <w:marTop w:val="0"/>
      <w:marBottom w:val="0"/>
      <w:divBdr>
        <w:top w:val="none" w:sz="0" w:space="0" w:color="auto"/>
        <w:left w:val="none" w:sz="0" w:space="0" w:color="auto"/>
        <w:bottom w:val="none" w:sz="0" w:space="0" w:color="auto"/>
        <w:right w:val="none" w:sz="0" w:space="0" w:color="auto"/>
      </w:divBdr>
    </w:div>
    <w:div w:id="706029573">
      <w:bodyDiv w:val="1"/>
      <w:marLeft w:val="0"/>
      <w:marRight w:val="0"/>
      <w:marTop w:val="0"/>
      <w:marBottom w:val="0"/>
      <w:divBdr>
        <w:top w:val="none" w:sz="0" w:space="0" w:color="auto"/>
        <w:left w:val="none" w:sz="0" w:space="0" w:color="auto"/>
        <w:bottom w:val="none" w:sz="0" w:space="0" w:color="auto"/>
        <w:right w:val="none" w:sz="0" w:space="0" w:color="auto"/>
      </w:divBdr>
    </w:div>
    <w:div w:id="706107288">
      <w:bodyDiv w:val="1"/>
      <w:marLeft w:val="0"/>
      <w:marRight w:val="0"/>
      <w:marTop w:val="0"/>
      <w:marBottom w:val="0"/>
      <w:divBdr>
        <w:top w:val="none" w:sz="0" w:space="0" w:color="auto"/>
        <w:left w:val="none" w:sz="0" w:space="0" w:color="auto"/>
        <w:bottom w:val="none" w:sz="0" w:space="0" w:color="auto"/>
        <w:right w:val="none" w:sz="0" w:space="0" w:color="auto"/>
      </w:divBdr>
    </w:div>
    <w:div w:id="706179698">
      <w:bodyDiv w:val="1"/>
      <w:marLeft w:val="0"/>
      <w:marRight w:val="0"/>
      <w:marTop w:val="0"/>
      <w:marBottom w:val="0"/>
      <w:divBdr>
        <w:top w:val="none" w:sz="0" w:space="0" w:color="auto"/>
        <w:left w:val="none" w:sz="0" w:space="0" w:color="auto"/>
        <w:bottom w:val="none" w:sz="0" w:space="0" w:color="auto"/>
        <w:right w:val="none" w:sz="0" w:space="0" w:color="auto"/>
      </w:divBdr>
    </w:div>
    <w:div w:id="707342179">
      <w:bodyDiv w:val="1"/>
      <w:marLeft w:val="0"/>
      <w:marRight w:val="0"/>
      <w:marTop w:val="0"/>
      <w:marBottom w:val="0"/>
      <w:divBdr>
        <w:top w:val="none" w:sz="0" w:space="0" w:color="auto"/>
        <w:left w:val="none" w:sz="0" w:space="0" w:color="auto"/>
        <w:bottom w:val="none" w:sz="0" w:space="0" w:color="auto"/>
        <w:right w:val="none" w:sz="0" w:space="0" w:color="auto"/>
      </w:divBdr>
    </w:div>
    <w:div w:id="707417590">
      <w:bodyDiv w:val="1"/>
      <w:marLeft w:val="0"/>
      <w:marRight w:val="0"/>
      <w:marTop w:val="0"/>
      <w:marBottom w:val="0"/>
      <w:divBdr>
        <w:top w:val="none" w:sz="0" w:space="0" w:color="auto"/>
        <w:left w:val="none" w:sz="0" w:space="0" w:color="auto"/>
        <w:bottom w:val="none" w:sz="0" w:space="0" w:color="auto"/>
        <w:right w:val="none" w:sz="0" w:space="0" w:color="auto"/>
      </w:divBdr>
    </w:div>
    <w:div w:id="707489941">
      <w:bodyDiv w:val="1"/>
      <w:marLeft w:val="0"/>
      <w:marRight w:val="0"/>
      <w:marTop w:val="0"/>
      <w:marBottom w:val="0"/>
      <w:divBdr>
        <w:top w:val="none" w:sz="0" w:space="0" w:color="auto"/>
        <w:left w:val="none" w:sz="0" w:space="0" w:color="auto"/>
        <w:bottom w:val="none" w:sz="0" w:space="0" w:color="auto"/>
        <w:right w:val="none" w:sz="0" w:space="0" w:color="auto"/>
      </w:divBdr>
    </w:div>
    <w:div w:id="707536648">
      <w:bodyDiv w:val="1"/>
      <w:marLeft w:val="0"/>
      <w:marRight w:val="0"/>
      <w:marTop w:val="0"/>
      <w:marBottom w:val="0"/>
      <w:divBdr>
        <w:top w:val="none" w:sz="0" w:space="0" w:color="auto"/>
        <w:left w:val="none" w:sz="0" w:space="0" w:color="auto"/>
        <w:bottom w:val="none" w:sz="0" w:space="0" w:color="auto"/>
        <w:right w:val="none" w:sz="0" w:space="0" w:color="auto"/>
      </w:divBdr>
    </w:div>
    <w:div w:id="707724836">
      <w:bodyDiv w:val="1"/>
      <w:marLeft w:val="0"/>
      <w:marRight w:val="0"/>
      <w:marTop w:val="0"/>
      <w:marBottom w:val="0"/>
      <w:divBdr>
        <w:top w:val="none" w:sz="0" w:space="0" w:color="auto"/>
        <w:left w:val="none" w:sz="0" w:space="0" w:color="auto"/>
        <w:bottom w:val="none" w:sz="0" w:space="0" w:color="auto"/>
        <w:right w:val="none" w:sz="0" w:space="0" w:color="auto"/>
      </w:divBdr>
    </w:div>
    <w:div w:id="707947676">
      <w:bodyDiv w:val="1"/>
      <w:marLeft w:val="0"/>
      <w:marRight w:val="0"/>
      <w:marTop w:val="0"/>
      <w:marBottom w:val="0"/>
      <w:divBdr>
        <w:top w:val="none" w:sz="0" w:space="0" w:color="auto"/>
        <w:left w:val="none" w:sz="0" w:space="0" w:color="auto"/>
        <w:bottom w:val="none" w:sz="0" w:space="0" w:color="auto"/>
        <w:right w:val="none" w:sz="0" w:space="0" w:color="auto"/>
      </w:divBdr>
    </w:div>
    <w:div w:id="707952222">
      <w:bodyDiv w:val="1"/>
      <w:marLeft w:val="0"/>
      <w:marRight w:val="0"/>
      <w:marTop w:val="0"/>
      <w:marBottom w:val="0"/>
      <w:divBdr>
        <w:top w:val="none" w:sz="0" w:space="0" w:color="auto"/>
        <w:left w:val="none" w:sz="0" w:space="0" w:color="auto"/>
        <w:bottom w:val="none" w:sz="0" w:space="0" w:color="auto"/>
        <w:right w:val="none" w:sz="0" w:space="0" w:color="auto"/>
      </w:divBdr>
    </w:div>
    <w:div w:id="708066303">
      <w:bodyDiv w:val="1"/>
      <w:marLeft w:val="0"/>
      <w:marRight w:val="0"/>
      <w:marTop w:val="0"/>
      <w:marBottom w:val="0"/>
      <w:divBdr>
        <w:top w:val="none" w:sz="0" w:space="0" w:color="auto"/>
        <w:left w:val="none" w:sz="0" w:space="0" w:color="auto"/>
        <w:bottom w:val="none" w:sz="0" w:space="0" w:color="auto"/>
        <w:right w:val="none" w:sz="0" w:space="0" w:color="auto"/>
      </w:divBdr>
    </w:div>
    <w:div w:id="708144019">
      <w:bodyDiv w:val="1"/>
      <w:marLeft w:val="0"/>
      <w:marRight w:val="0"/>
      <w:marTop w:val="0"/>
      <w:marBottom w:val="0"/>
      <w:divBdr>
        <w:top w:val="none" w:sz="0" w:space="0" w:color="auto"/>
        <w:left w:val="none" w:sz="0" w:space="0" w:color="auto"/>
        <w:bottom w:val="none" w:sz="0" w:space="0" w:color="auto"/>
        <w:right w:val="none" w:sz="0" w:space="0" w:color="auto"/>
      </w:divBdr>
    </w:div>
    <w:div w:id="708267431">
      <w:bodyDiv w:val="1"/>
      <w:marLeft w:val="0"/>
      <w:marRight w:val="0"/>
      <w:marTop w:val="0"/>
      <w:marBottom w:val="0"/>
      <w:divBdr>
        <w:top w:val="none" w:sz="0" w:space="0" w:color="auto"/>
        <w:left w:val="none" w:sz="0" w:space="0" w:color="auto"/>
        <w:bottom w:val="none" w:sz="0" w:space="0" w:color="auto"/>
        <w:right w:val="none" w:sz="0" w:space="0" w:color="auto"/>
      </w:divBdr>
    </w:div>
    <w:div w:id="708453842">
      <w:bodyDiv w:val="1"/>
      <w:marLeft w:val="0"/>
      <w:marRight w:val="0"/>
      <w:marTop w:val="0"/>
      <w:marBottom w:val="0"/>
      <w:divBdr>
        <w:top w:val="none" w:sz="0" w:space="0" w:color="auto"/>
        <w:left w:val="none" w:sz="0" w:space="0" w:color="auto"/>
        <w:bottom w:val="none" w:sz="0" w:space="0" w:color="auto"/>
        <w:right w:val="none" w:sz="0" w:space="0" w:color="auto"/>
      </w:divBdr>
    </w:div>
    <w:div w:id="708455630">
      <w:bodyDiv w:val="1"/>
      <w:marLeft w:val="0"/>
      <w:marRight w:val="0"/>
      <w:marTop w:val="0"/>
      <w:marBottom w:val="0"/>
      <w:divBdr>
        <w:top w:val="none" w:sz="0" w:space="0" w:color="auto"/>
        <w:left w:val="none" w:sz="0" w:space="0" w:color="auto"/>
        <w:bottom w:val="none" w:sz="0" w:space="0" w:color="auto"/>
        <w:right w:val="none" w:sz="0" w:space="0" w:color="auto"/>
      </w:divBdr>
    </w:div>
    <w:div w:id="708797262">
      <w:bodyDiv w:val="1"/>
      <w:marLeft w:val="0"/>
      <w:marRight w:val="0"/>
      <w:marTop w:val="0"/>
      <w:marBottom w:val="0"/>
      <w:divBdr>
        <w:top w:val="none" w:sz="0" w:space="0" w:color="auto"/>
        <w:left w:val="none" w:sz="0" w:space="0" w:color="auto"/>
        <w:bottom w:val="none" w:sz="0" w:space="0" w:color="auto"/>
        <w:right w:val="none" w:sz="0" w:space="0" w:color="auto"/>
      </w:divBdr>
    </w:div>
    <w:div w:id="709109171">
      <w:bodyDiv w:val="1"/>
      <w:marLeft w:val="0"/>
      <w:marRight w:val="0"/>
      <w:marTop w:val="0"/>
      <w:marBottom w:val="0"/>
      <w:divBdr>
        <w:top w:val="none" w:sz="0" w:space="0" w:color="auto"/>
        <w:left w:val="none" w:sz="0" w:space="0" w:color="auto"/>
        <w:bottom w:val="none" w:sz="0" w:space="0" w:color="auto"/>
        <w:right w:val="none" w:sz="0" w:space="0" w:color="auto"/>
      </w:divBdr>
    </w:div>
    <w:div w:id="709379340">
      <w:bodyDiv w:val="1"/>
      <w:marLeft w:val="0"/>
      <w:marRight w:val="0"/>
      <w:marTop w:val="0"/>
      <w:marBottom w:val="0"/>
      <w:divBdr>
        <w:top w:val="none" w:sz="0" w:space="0" w:color="auto"/>
        <w:left w:val="none" w:sz="0" w:space="0" w:color="auto"/>
        <w:bottom w:val="none" w:sz="0" w:space="0" w:color="auto"/>
        <w:right w:val="none" w:sz="0" w:space="0" w:color="auto"/>
      </w:divBdr>
    </w:div>
    <w:div w:id="709380975">
      <w:bodyDiv w:val="1"/>
      <w:marLeft w:val="0"/>
      <w:marRight w:val="0"/>
      <w:marTop w:val="0"/>
      <w:marBottom w:val="0"/>
      <w:divBdr>
        <w:top w:val="none" w:sz="0" w:space="0" w:color="auto"/>
        <w:left w:val="none" w:sz="0" w:space="0" w:color="auto"/>
        <w:bottom w:val="none" w:sz="0" w:space="0" w:color="auto"/>
        <w:right w:val="none" w:sz="0" w:space="0" w:color="auto"/>
      </w:divBdr>
    </w:div>
    <w:div w:id="709499540">
      <w:bodyDiv w:val="1"/>
      <w:marLeft w:val="0"/>
      <w:marRight w:val="0"/>
      <w:marTop w:val="0"/>
      <w:marBottom w:val="0"/>
      <w:divBdr>
        <w:top w:val="none" w:sz="0" w:space="0" w:color="auto"/>
        <w:left w:val="none" w:sz="0" w:space="0" w:color="auto"/>
        <w:bottom w:val="none" w:sz="0" w:space="0" w:color="auto"/>
        <w:right w:val="none" w:sz="0" w:space="0" w:color="auto"/>
      </w:divBdr>
    </w:div>
    <w:div w:id="709651757">
      <w:bodyDiv w:val="1"/>
      <w:marLeft w:val="0"/>
      <w:marRight w:val="0"/>
      <w:marTop w:val="0"/>
      <w:marBottom w:val="0"/>
      <w:divBdr>
        <w:top w:val="none" w:sz="0" w:space="0" w:color="auto"/>
        <w:left w:val="none" w:sz="0" w:space="0" w:color="auto"/>
        <w:bottom w:val="none" w:sz="0" w:space="0" w:color="auto"/>
        <w:right w:val="none" w:sz="0" w:space="0" w:color="auto"/>
      </w:divBdr>
    </w:div>
    <w:div w:id="709691224">
      <w:bodyDiv w:val="1"/>
      <w:marLeft w:val="0"/>
      <w:marRight w:val="0"/>
      <w:marTop w:val="0"/>
      <w:marBottom w:val="0"/>
      <w:divBdr>
        <w:top w:val="none" w:sz="0" w:space="0" w:color="auto"/>
        <w:left w:val="none" w:sz="0" w:space="0" w:color="auto"/>
        <w:bottom w:val="none" w:sz="0" w:space="0" w:color="auto"/>
        <w:right w:val="none" w:sz="0" w:space="0" w:color="auto"/>
      </w:divBdr>
    </w:div>
    <w:div w:id="709767953">
      <w:bodyDiv w:val="1"/>
      <w:marLeft w:val="0"/>
      <w:marRight w:val="0"/>
      <w:marTop w:val="0"/>
      <w:marBottom w:val="0"/>
      <w:divBdr>
        <w:top w:val="none" w:sz="0" w:space="0" w:color="auto"/>
        <w:left w:val="none" w:sz="0" w:space="0" w:color="auto"/>
        <w:bottom w:val="none" w:sz="0" w:space="0" w:color="auto"/>
        <w:right w:val="none" w:sz="0" w:space="0" w:color="auto"/>
      </w:divBdr>
    </w:div>
    <w:div w:id="710500707">
      <w:bodyDiv w:val="1"/>
      <w:marLeft w:val="0"/>
      <w:marRight w:val="0"/>
      <w:marTop w:val="0"/>
      <w:marBottom w:val="0"/>
      <w:divBdr>
        <w:top w:val="none" w:sz="0" w:space="0" w:color="auto"/>
        <w:left w:val="none" w:sz="0" w:space="0" w:color="auto"/>
        <w:bottom w:val="none" w:sz="0" w:space="0" w:color="auto"/>
        <w:right w:val="none" w:sz="0" w:space="0" w:color="auto"/>
      </w:divBdr>
    </w:div>
    <w:div w:id="710573863">
      <w:bodyDiv w:val="1"/>
      <w:marLeft w:val="0"/>
      <w:marRight w:val="0"/>
      <w:marTop w:val="0"/>
      <w:marBottom w:val="0"/>
      <w:divBdr>
        <w:top w:val="none" w:sz="0" w:space="0" w:color="auto"/>
        <w:left w:val="none" w:sz="0" w:space="0" w:color="auto"/>
        <w:bottom w:val="none" w:sz="0" w:space="0" w:color="auto"/>
        <w:right w:val="none" w:sz="0" w:space="0" w:color="auto"/>
      </w:divBdr>
    </w:div>
    <w:div w:id="710692262">
      <w:bodyDiv w:val="1"/>
      <w:marLeft w:val="0"/>
      <w:marRight w:val="0"/>
      <w:marTop w:val="0"/>
      <w:marBottom w:val="0"/>
      <w:divBdr>
        <w:top w:val="none" w:sz="0" w:space="0" w:color="auto"/>
        <w:left w:val="none" w:sz="0" w:space="0" w:color="auto"/>
        <w:bottom w:val="none" w:sz="0" w:space="0" w:color="auto"/>
        <w:right w:val="none" w:sz="0" w:space="0" w:color="auto"/>
      </w:divBdr>
    </w:div>
    <w:div w:id="710957877">
      <w:bodyDiv w:val="1"/>
      <w:marLeft w:val="0"/>
      <w:marRight w:val="0"/>
      <w:marTop w:val="0"/>
      <w:marBottom w:val="0"/>
      <w:divBdr>
        <w:top w:val="none" w:sz="0" w:space="0" w:color="auto"/>
        <w:left w:val="none" w:sz="0" w:space="0" w:color="auto"/>
        <w:bottom w:val="none" w:sz="0" w:space="0" w:color="auto"/>
        <w:right w:val="none" w:sz="0" w:space="0" w:color="auto"/>
      </w:divBdr>
    </w:div>
    <w:div w:id="711153657">
      <w:bodyDiv w:val="1"/>
      <w:marLeft w:val="0"/>
      <w:marRight w:val="0"/>
      <w:marTop w:val="0"/>
      <w:marBottom w:val="0"/>
      <w:divBdr>
        <w:top w:val="none" w:sz="0" w:space="0" w:color="auto"/>
        <w:left w:val="none" w:sz="0" w:space="0" w:color="auto"/>
        <w:bottom w:val="none" w:sz="0" w:space="0" w:color="auto"/>
        <w:right w:val="none" w:sz="0" w:space="0" w:color="auto"/>
      </w:divBdr>
    </w:div>
    <w:div w:id="711229010">
      <w:bodyDiv w:val="1"/>
      <w:marLeft w:val="0"/>
      <w:marRight w:val="0"/>
      <w:marTop w:val="0"/>
      <w:marBottom w:val="0"/>
      <w:divBdr>
        <w:top w:val="none" w:sz="0" w:space="0" w:color="auto"/>
        <w:left w:val="none" w:sz="0" w:space="0" w:color="auto"/>
        <w:bottom w:val="none" w:sz="0" w:space="0" w:color="auto"/>
        <w:right w:val="none" w:sz="0" w:space="0" w:color="auto"/>
      </w:divBdr>
    </w:div>
    <w:div w:id="711346082">
      <w:bodyDiv w:val="1"/>
      <w:marLeft w:val="0"/>
      <w:marRight w:val="0"/>
      <w:marTop w:val="0"/>
      <w:marBottom w:val="0"/>
      <w:divBdr>
        <w:top w:val="none" w:sz="0" w:space="0" w:color="auto"/>
        <w:left w:val="none" w:sz="0" w:space="0" w:color="auto"/>
        <w:bottom w:val="none" w:sz="0" w:space="0" w:color="auto"/>
        <w:right w:val="none" w:sz="0" w:space="0" w:color="auto"/>
      </w:divBdr>
    </w:div>
    <w:div w:id="711348704">
      <w:bodyDiv w:val="1"/>
      <w:marLeft w:val="0"/>
      <w:marRight w:val="0"/>
      <w:marTop w:val="0"/>
      <w:marBottom w:val="0"/>
      <w:divBdr>
        <w:top w:val="none" w:sz="0" w:space="0" w:color="auto"/>
        <w:left w:val="none" w:sz="0" w:space="0" w:color="auto"/>
        <w:bottom w:val="none" w:sz="0" w:space="0" w:color="auto"/>
        <w:right w:val="none" w:sz="0" w:space="0" w:color="auto"/>
      </w:divBdr>
    </w:div>
    <w:div w:id="711423575">
      <w:bodyDiv w:val="1"/>
      <w:marLeft w:val="0"/>
      <w:marRight w:val="0"/>
      <w:marTop w:val="0"/>
      <w:marBottom w:val="0"/>
      <w:divBdr>
        <w:top w:val="none" w:sz="0" w:space="0" w:color="auto"/>
        <w:left w:val="none" w:sz="0" w:space="0" w:color="auto"/>
        <w:bottom w:val="none" w:sz="0" w:space="0" w:color="auto"/>
        <w:right w:val="none" w:sz="0" w:space="0" w:color="auto"/>
      </w:divBdr>
    </w:div>
    <w:div w:id="711925913">
      <w:bodyDiv w:val="1"/>
      <w:marLeft w:val="0"/>
      <w:marRight w:val="0"/>
      <w:marTop w:val="0"/>
      <w:marBottom w:val="0"/>
      <w:divBdr>
        <w:top w:val="none" w:sz="0" w:space="0" w:color="auto"/>
        <w:left w:val="none" w:sz="0" w:space="0" w:color="auto"/>
        <w:bottom w:val="none" w:sz="0" w:space="0" w:color="auto"/>
        <w:right w:val="none" w:sz="0" w:space="0" w:color="auto"/>
      </w:divBdr>
    </w:div>
    <w:div w:id="712388044">
      <w:bodyDiv w:val="1"/>
      <w:marLeft w:val="0"/>
      <w:marRight w:val="0"/>
      <w:marTop w:val="0"/>
      <w:marBottom w:val="0"/>
      <w:divBdr>
        <w:top w:val="none" w:sz="0" w:space="0" w:color="auto"/>
        <w:left w:val="none" w:sz="0" w:space="0" w:color="auto"/>
        <w:bottom w:val="none" w:sz="0" w:space="0" w:color="auto"/>
        <w:right w:val="none" w:sz="0" w:space="0" w:color="auto"/>
      </w:divBdr>
    </w:div>
    <w:div w:id="712578158">
      <w:bodyDiv w:val="1"/>
      <w:marLeft w:val="0"/>
      <w:marRight w:val="0"/>
      <w:marTop w:val="0"/>
      <w:marBottom w:val="0"/>
      <w:divBdr>
        <w:top w:val="none" w:sz="0" w:space="0" w:color="auto"/>
        <w:left w:val="none" w:sz="0" w:space="0" w:color="auto"/>
        <w:bottom w:val="none" w:sz="0" w:space="0" w:color="auto"/>
        <w:right w:val="none" w:sz="0" w:space="0" w:color="auto"/>
      </w:divBdr>
    </w:div>
    <w:div w:id="712656190">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3121492">
      <w:bodyDiv w:val="1"/>
      <w:marLeft w:val="0"/>
      <w:marRight w:val="0"/>
      <w:marTop w:val="0"/>
      <w:marBottom w:val="0"/>
      <w:divBdr>
        <w:top w:val="none" w:sz="0" w:space="0" w:color="auto"/>
        <w:left w:val="none" w:sz="0" w:space="0" w:color="auto"/>
        <w:bottom w:val="none" w:sz="0" w:space="0" w:color="auto"/>
        <w:right w:val="none" w:sz="0" w:space="0" w:color="auto"/>
      </w:divBdr>
    </w:div>
    <w:div w:id="713122245">
      <w:bodyDiv w:val="1"/>
      <w:marLeft w:val="0"/>
      <w:marRight w:val="0"/>
      <w:marTop w:val="0"/>
      <w:marBottom w:val="0"/>
      <w:divBdr>
        <w:top w:val="none" w:sz="0" w:space="0" w:color="auto"/>
        <w:left w:val="none" w:sz="0" w:space="0" w:color="auto"/>
        <w:bottom w:val="none" w:sz="0" w:space="0" w:color="auto"/>
        <w:right w:val="none" w:sz="0" w:space="0" w:color="auto"/>
      </w:divBdr>
    </w:div>
    <w:div w:id="713195470">
      <w:bodyDiv w:val="1"/>
      <w:marLeft w:val="0"/>
      <w:marRight w:val="0"/>
      <w:marTop w:val="0"/>
      <w:marBottom w:val="0"/>
      <w:divBdr>
        <w:top w:val="none" w:sz="0" w:space="0" w:color="auto"/>
        <w:left w:val="none" w:sz="0" w:space="0" w:color="auto"/>
        <w:bottom w:val="none" w:sz="0" w:space="0" w:color="auto"/>
        <w:right w:val="none" w:sz="0" w:space="0" w:color="auto"/>
      </w:divBdr>
    </w:div>
    <w:div w:id="713653980">
      <w:bodyDiv w:val="1"/>
      <w:marLeft w:val="0"/>
      <w:marRight w:val="0"/>
      <w:marTop w:val="0"/>
      <w:marBottom w:val="0"/>
      <w:divBdr>
        <w:top w:val="none" w:sz="0" w:space="0" w:color="auto"/>
        <w:left w:val="none" w:sz="0" w:space="0" w:color="auto"/>
        <w:bottom w:val="none" w:sz="0" w:space="0" w:color="auto"/>
        <w:right w:val="none" w:sz="0" w:space="0" w:color="auto"/>
      </w:divBdr>
    </w:div>
    <w:div w:id="713846509">
      <w:bodyDiv w:val="1"/>
      <w:marLeft w:val="0"/>
      <w:marRight w:val="0"/>
      <w:marTop w:val="0"/>
      <w:marBottom w:val="0"/>
      <w:divBdr>
        <w:top w:val="none" w:sz="0" w:space="0" w:color="auto"/>
        <w:left w:val="none" w:sz="0" w:space="0" w:color="auto"/>
        <w:bottom w:val="none" w:sz="0" w:space="0" w:color="auto"/>
        <w:right w:val="none" w:sz="0" w:space="0" w:color="auto"/>
      </w:divBdr>
    </w:div>
    <w:div w:id="713846625">
      <w:bodyDiv w:val="1"/>
      <w:marLeft w:val="0"/>
      <w:marRight w:val="0"/>
      <w:marTop w:val="0"/>
      <w:marBottom w:val="0"/>
      <w:divBdr>
        <w:top w:val="none" w:sz="0" w:space="0" w:color="auto"/>
        <w:left w:val="none" w:sz="0" w:space="0" w:color="auto"/>
        <w:bottom w:val="none" w:sz="0" w:space="0" w:color="auto"/>
        <w:right w:val="none" w:sz="0" w:space="0" w:color="auto"/>
      </w:divBdr>
    </w:div>
    <w:div w:id="714279855">
      <w:bodyDiv w:val="1"/>
      <w:marLeft w:val="0"/>
      <w:marRight w:val="0"/>
      <w:marTop w:val="0"/>
      <w:marBottom w:val="0"/>
      <w:divBdr>
        <w:top w:val="none" w:sz="0" w:space="0" w:color="auto"/>
        <w:left w:val="none" w:sz="0" w:space="0" w:color="auto"/>
        <w:bottom w:val="none" w:sz="0" w:space="0" w:color="auto"/>
        <w:right w:val="none" w:sz="0" w:space="0" w:color="auto"/>
      </w:divBdr>
    </w:div>
    <w:div w:id="714306649">
      <w:bodyDiv w:val="1"/>
      <w:marLeft w:val="0"/>
      <w:marRight w:val="0"/>
      <w:marTop w:val="0"/>
      <w:marBottom w:val="0"/>
      <w:divBdr>
        <w:top w:val="none" w:sz="0" w:space="0" w:color="auto"/>
        <w:left w:val="none" w:sz="0" w:space="0" w:color="auto"/>
        <w:bottom w:val="none" w:sz="0" w:space="0" w:color="auto"/>
        <w:right w:val="none" w:sz="0" w:space="0" w:color="auto"/>
      </w:divBdr>
    </w:div>
    <w:div w:id="714542939">
      <w:bodyDiv w:val="1"/>
      <w:marLeft w:val="0"/>
      <w:marRight w:val="0"/>
      <w:marTop w:val="0"/>
      <w:marBottom w:val="0"/>
      <w:divBdr>
        <w:top w:val="none" w:sz="0" w:space="0" w:color="auto"/>
        <w:left w:val="none" w:sz="0" w:space="0" w:color="auto"/>
        <w:bottom w:val="none" w:sz="0" w:space="0" w:color="auto"/>
        <w:right w:val="none" w:sz="0" w:space="0" w:color="auto"/>
      </w:divBdr>
    </w:div>
    <w:div w:id="714544480">
      <w:bodyDiv w:val="1"/>
      <w:marLeft w:val="0"/>
      <w:marRight w:val="0"/>
      <w:marTop w:val="0"/>
      <w:marBottom w:val="0"/>
      <w:divBdr>
        <w:top w:val="none" w:sz="0" w:space="0" w:color="auto"/>
        <w:left w:val="none" w:sz="0" w:space="0" w:color="auto"/>
        <w:bottom w:val="none" w:sz="0" w:space="0" w:color="auto"/>
        <w:right w:val="none" w:sz="0" w:space="0" w:color="auto"/>
      </w:divBdr>
    </w:div>
    <w:div w:id="714617470">
      <w:bodyDiv w:val="1"/>
      <w:marLeft w:val="0"/>
      <w:marRight w:val="0"/>
      <w:marTop w:val="0"/>
      <w:marBottom w:val="0"/>
      <w:divBdr>
        <w:top w:val="none" w:sz="0" w:space="0" w:color="auto"/>
        <w:left w:val="none" w:sz="0" w:space="0" w:color="auto"/>
        <w:bottom w:val="none" w:sz="0" w:space="0" w:color="auto"/>
        <w:right w:val="none" w:sz="0" w:space="0" w:color="auto"/>
      </w:divBdr>
    </w:div>
    <w:div w:id="714622909">
      <w:bodyDiv w:val="1"/>
      <w:marLeft w:val="0"/>
      <w:marRight w:val="0"/>
      <w:marTop w:val="0"/>
      <w:marBottom w:val="0"/>
      <w:divBdr>
        <w:top w:val="none" w:sz="0" w:space="0" w:color="auto"/>
        <w:left w:val="none" w:sz="0" w:space="0" w:color="auto"/>
        <w:bottom w:val="none" w:sz="0" w:space="0" w:color="auto"/>
        <w:right w:val="none" w:sz="0" w:space="0" w:color="auto"/>
      </w:divBdr>
    </w:div>
    <w:div w:id="714887838">
      <w:bodyDiv w:val="1"/>
      <w:marLeft w:val="0"/>
      <w:marRight w:val="0"/>
      <w:marTop w:val="0"/>
      <w:marBottom w:val="0"/>
      <w:divBdr>
        <w:top w:val="none" w:sz="0" w:space="0" w:color="auto"/>
        <w:left w:val="none" w:sz="0" w:space="0" w:color="auto"/>
        <w:bottom w:val="none" w:sz="0" w:space="0" w:color="auto"/>
        <w:right w:val="none" w:sz="0" w:space="0" w:color="auto"/>
      </w:divBdr>
    </w:div>
    <w:div w:id="715081693">
      <w:bodyDiv w:val="1"/>
      <w:marLeft w:val="0"/>
      <w:marRight w:val="0"/>
      <w:marTop w:val="0"/>
      <w:marBottom w:val="0"/>
      <w:divBdr>
        <w:top w:val="none" w:sz="0" w:space="0" w:color="auto"/>
        <w:left w:val="none" w:sz="0" w:space="0" w:color="auto"/>
        <w:bottom w:val="none" w:sz="0" w:space="0" w:color="auto"/>
        <w:right w:val="none" w:sz="0" w:space="0" w:color="auto"/>
      </w:divBdr>
    </w:div>
    <w:div w:id="715082529">
      <w:bodyDiv w:val="1"/>
      <w:marLeft w:val="0"/>
      <w:marRight w:val="0"/>
      <w:marTop w:val="0"/>
      <w:marBottom w:val="0"/>
      <w:divBdr>
        <w:top w:val="none" w:sz="0" w:space="0" w:color="auto"/>
        <w:left w:val="none" w:sz="0" w:space="0" w:color="auto"/>
        <w:bottom w:val="none" w:sz="0" w:space="0" w:color="auto"/>
        <w:right w:val="none" w:sz="0" w:space="0" w:color="auto"/>
      </w:divBdr>
    </w:div>
    <w:div w:id="715465962">
      <w:bodyDiv w:val="1"/>
      <w:marLeft w:val="0"/>
      <w:marRight w:val="0"/>
      <w:marTop w:val="0"/>
      <w:marBottom w:val="0"/>
      <w:divBdr>
        <w:top w:val="none" w:sz="0" w:space="0" w:color="auto"/>
        <w:left w:val="none" w:sz="0" w:space="0" w:color="auto"/>
        <w:bottom w:val="none" w:sz="0" w:space="0" w:color="auto"/>
        <w:right w:val="none" w:sz="0" w:space="0" w:color="auto"/>
      </w:divBdr>
    </w:div>
    <w:div w:id="715547073">
      <w:bodyDiv w:val="1"/>
      <w:marLeft w:val="0"/>
      <w:marRight w:val="0"/>
      <w:marTop w:val="0"/>
      <w:marBottom w:val="0"/>
      <w:divBdr>
        <w:top w:val="none" w:sz="0" w:space="0" w:color="auto"/>
        <w:left w:val="none" w:sz="0" w:space="0" w:color="auto"/>
        <w:bottom w:val="none" w:sz="0" w:space="0" w:color="auto"/>
        <w:right w:val="none" w:sz="0" w:space="0" w:color="auto"/>
      </w:divBdr>
    </w:div>
    <w:div w:id="715618643">
      <w:bodyDiv w:val="1"/>
      <w:marLeft w:val="0"/>
      <w:marRight w:val="0"/>
      <w:marTop w:val="0"/>
      <w:marBottom w:val="0"/>
      <w:divBdr>
        <w:top w:val="none" w:sz="0" w:space="0" w:color="auto"/>
        <w:left w:val="none" w:sz="0" w:space="0" w:color="auto"/>
        <w:bottom w:val="none" w:sz="0" w:space="0" w:color="auto"/>
        <w:right w:val="none" w:sz="0" w:space="0" w:color="auto"/>
      </w:divBdr>
    </w:div>
    <w:div w:id="715853060">
      <w:bodyDiv w:val="1"/>
      <w:marLeft w:val="0"/>
      <w:marRight w:val="0"/>
      <w:marTop w:val="0"/>
      <w:marBottom w:val="0"/>
      <w:divBdr>
        <w:top w:val="none" w:sz="0" w:space="0" w:color="auto"/>
        <w:left w:val="none" w:sz="0" w:space="0" w:color="auto"/>
        <w:bottom w:val="none" w:sz="0" w:space="0" w:color="auto"/>
        <w:right w:val="none" w:sz="0" w:space="0" w:color="auto"/>
      </w:divBdr>
    </w:div>
    <w:div w:id="715854573">
      <w:bodyDiv w:val="1"/>
      <w:marLeft w:val="0"/>
      <w:marRight w:val="0"/>
      <w:marTop w:val="0"/>
      <w:marBottom w:val="0"/>
      <w:divBdr>
        <w:top w:val="none" w:sz="0" w:space="0" w:color="auto"/>
        <w:left w:val="none" w:sz="0" w:space="0" w:color="auto"/>
        <w:bottom w:val="none" w:sz="0" w:space="0" w:color="auto"/>
        <w:right w:val="none" w:sz="0" w:space="0" w:color="auto"/>
      </w:divBdr>
    </w:div>
    <w:div w:id="716009815">
      <w:bodyDiv w:val="1"/>
      <w:marLeft w:val="0"/>
      <w:marRight w:val="0"/>
      <w:marTop w:val="0"/>
      <w:marBottom w:val="0"/>
      <w:divBdr>
        <w:top w:val="none" w:sz="0" w:space="0" w:color="auto"/>
        <w:left w:val="none" w:sz="0" w:space="0" w:color="auto"/>
        <w:bottom w:val="none" w:sz="0" w:space="0" w:color="auto"/>
        <w:right w:val="none" w:sz="0" w:space="0" w:color="auto"/>
      </w:divBdr>
    </w:div>
    <w:div w:id="716046886">
      <w:bodyDiv w:val="1"/>
      <w:marLeft w:val="0"/>
      <w:marRight w:val="0"/>
      <w:marTop w:val="0"/>
      <w:marBottom w:val="0"/>
      <w:divBdr>
        <w:top w:val="none" w:sz="0" w:space="0" w:color="auto"/>
        <w:left w:val="none" w:sz="0" w:space="0" w:color="auto"/>
        <w:bottom w:val="none" w:sz="0" w:space="0" w:color="auto"/>
        <w:right w:val="none" w:sz="0" w:space="0" w:color="auto"/>
      </w:divBdr>
    </w:div>
    <w:div w:id="716054475">
      <w:bodyDiv w:val="1"/>
      <w:marLeft w:val="0"/>
      <w:marRight w:val="0"/>
      <w:marTop w:val="0"/>
      <w:marBottom w:val="0"/>
      <w:divBdr>
        <w:top w:val="none" w:sz="0" w:space="0" w:color="auto"/>
        <w:left w:val="none" w:sz="0" w:space="0" w:color="auto"/>
        <w:bottom w:val="none" w:sz="0" w:space="0" w:color="auto"/>
        <w:right w:val="none" w:sz="0" w:space="0" w:color="auto"/>
      </w:divBdr>
    </w:div>
    <w:div w:id="716198026">
      <w:bodyDiv w:val="1"/>
      <w:marLeft w:val="0"/>
      <w:marRight w:val="0"/>
      <w:marTop w:val="0"/>
      <w:marBottom w:val="0"/>
      <w:divBdr>
        <w:top w:val="none" w:sz="0" w:space="0" w:color="auto"/>
        <w:left w:val="none" w:sz="0" w:space="0" w:color="auto"/>
        <w:bottom w:val="none" w:sz="0" w:space="0" w:color="auto"/>
        <w:right w:val="none" w:sz="0" w:space="0" w:color="auto"/>
      </w:divBdr>
    </w:div>
    <w:div w:id="716509347">
      <w:bodyDiv w:val="1"/>
      <w:marLeft w:val="0"/>
      <w:marRight w:val="0"/>
      <w:marTop w:val="0"/>
      <w:marBottom w:val="0"/>
      <w:divBdr>
        <w:top w:val="none" w:sz="0" w:space="0" w:color="auto"/>
        <w:left w:val="none" w:sz="0" w:space="0" w:color="auto"/>
        <w:bottom w:val="none" w:sz="0" w:space="0" w:color="auto"/>
        <w:right w:val="none" w:sz="0" w:space="0" w:color="auto"/>
      </w:divBdr>
    </w:div>
    <w:div w:id="716586902">
      <w:bodyDiv w:val="1"/>
      <w:marLeft w:val="0"/>
      <w:marRight w:val="0"/>
      <w:marTop w:val="0"/>
      <w:marBottom w:val="0"/>
      <w:divBdr>
        <w:top w:val="none" w:sz="0" w:space="0" w:color="auto"/>
        <w:left w:val="none" w:sz="0" w:space="0" w:color="auto"/>
        <w:bottom w:val="none" w:sz="0" w:space="0" w:color="auto"/>
        <w:right w:val="none" w:sz="0" w:space="0" w:color="auto"/>
      </w:divBdr>
    </w:div>
    <w:div w:id="716664915">
      <w:bodyDiv w:val="1"/>
      <w:marLeft w:val="0"/>
      <w:marRight w:val="0"/>
      <w:marTop w:val="0"/>
      <w:marBottom w:val="0"/>
      <w:divBdr>
        <w:top w:val="none" w:sz="0" w:space="0" w:color="auto"/>
        <w:left w:val="none" w:sz="0" w:space="0" w:color="auto"/>
        <w:bottom w:val="none" w:sz="0" w:space="0" w:color="auto"/>
        <w:right w:val="none" w:sz="0" w:space="0" w:color="auto"/>
      </w:divBdr>
    </w:div>
    <w:div w:id="716978054">
      <w:bodyDiv w:val="1"/>
      <w:marLeft w:val="0"/>
      <w:marRight w:val="0"/>
      <w:marTop w:val="0"/>
      <w:marBottom w:val="0"/>
      <w:divBdr>
        <w:top w:val="none" w:sz="0" w:space="0" w:color="auto"/>
        <w:left w:val="none" w:sz="0" w:space="0" w:color="auto"/>
        <w:bottom w:val="none" w:sz="0" w:space="0" w:color="auto"/>
        <w:right w:val="none" w:sz="0" w:space="0" w:color="auto"/>
      </w:divBdr>
    </w:div>
    <w:div w:id="717165720">
      <w:bodyDiv w:val="1"/>
      <w:marLeft w:val="0"/>
      <w:marRight w:val="0"/>
      <w:marTop w:val="0"/>
      <w:marBottom w:val="0"/>
      <w:divBdr>
        <w:top w:val="none" w:sz="0" w:space="0" w:color="auto"/>
        <w:left w:val="none" w:sz="0" w:space="0" w:color="auto"/>
        <w:bottom w:val="none" w:sz="0" w:space="0" w:color="auto"/>
        <w:right w:val="none" w:sz="0" w:space="0" w:color="auto"/>
      </w:divBdr>
    </w:div>
    <w:div w:id="717364771">
      <w:bodyDiv w:val="1"/>
      <w:marLeft w:val="0"/>
      <w:marRight w:val="0"/>
      <w:marTop w:val="0"/>
      <w:marBottom w:val="0"/>
      <w:divBdr>
        <w:top w:val="none" w:sz="0" w:space="0" w:color="auto"/>
        <w:left w:val="none" w:sz="0" w:space="0" w:color="auto"/>
        <w:bottom w:val="none" w:sz="0" w:space="0" w:color="auto"/>
        <w:right w:val="none" w:sz="0" w:space="0" w:color="auto"/>
      </w:divBdr>
    </w:div>
    <w:div w:id="717432074">
      <w:bodyDiv w:val="1"/>
      <w:marLeft w:val="0"/>
      <w:marRight w:val="0"/>
      <w:marTop w:val="0"/>
      <w:marBottom w:val="0"/>
      <w:divBdr>
        <w:top w:val="none" w:sz="0" w:space="0" w:color="auto"/>
        <w:left w:val="none" w:sz="0" w:space="0" w:color="auto"/>
        <w:bottom w:val="none" w:sz="0" w:space="0" w:color="auto"/>
        <w:right w:val="none" w:sz="0" w:space="0" w:color="auto"/>
      </w:divBdr>
    </w:div>
    <w:div w:id="717435435">
      <w:bodyDiv w:val="1"/>
      <w:marLeft w:val="0"/>
      <w:marRight w:val="0"/>
      <w:marTop w:val="0"/>
      <w:marBottom w:val="0"/>
      <w:divBdr>
        <w:top w:val="none" w:sz="0" w:space="0" w:color="auto"/>
        <w:left w:val="none" w:sz="0" w:space="0" w:color="auto"/>
        <w:bottom w:val="none" w:sz="0" w:space="0" w:color="auto"/>
        <w:right w:val="none" w:sz="0" w:space="0" w:color="auto"/>
      </w:divBdr>
    </w:div>
    <w:div w:id="717435694">
      <w:bodyDiv w:val="1"/>
      <w:marLeft w:val="0"/>
      <w:marRight w:val="0"/>
      <w:marTop w:val="0"/>
      <w:marBottom w:val="0"/>
      <w:divBdr>
        <w:top w:val="none" w:sz="0" w:space="0" w:color="auto"/>
        <w:left w:val="none" w:sz="0" w:space="0" w:color="auto"/>
        <w:bottom w:val="none" w:sz="0" w:space="0" w:color="auto"/>
        <w:right w:val="none" w:sz="0" w:space="0" w:color="auto"/>
      </w:divBdr>
    </w:div>
    <w:div w:id="717631005">
      <w:bodyDiv w:val="1"/>
      <w:marLeft w:val="0"/>
      <w:marRight w:val="0"/>
      <w:marTop w:val="0"/>
      <w:marBottom w:val="0"/>
      <w:divBdr>
        <w:top w:val="none" w:sz="0" w:space="0" w:color="auto"/>
        <w:left w:val="none" w:sz="0" w:space="0" w:color="auto"/>
        <w:bottom w:val="none" w:sz="0" w:space="0" w:color="auto"/>
        <w:right w:val="none" w:sz="0" w:space="0" w:color="auto"/>
      </w:divBdr>
    </w:div>
    <w:div w:id="717776542">
      <w:bodyDiv w:val="1"/>
      <w:marLeft w:val="0"/>
      <w:marRight w:val="0"/>
      <w:marTop w:val="0"/>
      <w:marBottom w:val="0"/>
      <w:divBdr>
        <w:top w:val="none" w:sz="0" w:space="0" w:color="auto"/>
        <w:left w:val="none" w:sz="0" w:space="0" w:color="auto"/>
        <w:bottom w:val="none" w:sz="0" w:space="0" w:color="auto"/>
        <w:right w:val="none" w:sz="0" w:space="0" w:color="auto"/>
      </w:divBdr>
    </w:div>
    <w:div w:id="718433618">
      <w:bodyDiv w:val="1"/>
      <w:marLeft w:val="0"/>
      <w:marRight w:val="0"/>
      <w:marTop w:val="0"/>
      <w:marBottom w:val="0"/>
      <w:divBdr>
        <w:top w:val="none" w:sz="0" w:space="0" w:color="auto"/>
        <w:left w:val="none" w:sz="0" w:space="0" w:color="auto"/>
        <w:bottom w:val="none" w:sz="0" w:space="0" w:color="auto"/>
        <w:right w:val="none" w:sz="0" w:space="0" w:color="auto"/>
      </w:divBdr>
    </w:div>
    <w:div w:id="718555245">
      <w:bodyDiv w:val="1"/>
      <w:marLeft w:val="0"/>
      <w:marRight w:val="0"/>
      <w:marTop w:val="0"/>
      <w:marBottom w:val="0"/>
      <w:divBdr>
        <w:top w:val="none" w:sz="0" w:space="0" w:color="auto"/>
        <w:left w:val="none" w:sz="0" w:space="0" w:color="auto"/>
        <w:bottom w:val="none" w:sz="0" w:space="0" w:color="auto"/>
        <w:right w:val="none" w:sz="0" w:space="0" w:color="auto"/>
      </w:divBdr>
    </w:div>
    <w:div w:id="718632768">
      <w:bodyDiv w:val="1"/>
      <w:marLeft w:val="0"/>
      <w:marRight w:val="0"/>
      <w:marTop w:val="0"/>
      <w:marBottom w:val="0"/>
      <w:divBdr>
        <w:top w:val="none" w:sz="0" w:space="0" w:color="auto"/>
        <w:left w:val="none" w:sz="0" w:space="0" w:color="auto"/>
        <w:bottom w:val="none" w:sz="0" w:space="0" w:color="auto"/>
        <w:right w:val="none" w:sz="0" w:space="0" w:color="auto"/>
      </w:divBdr>
    </w:div>
    <w:div w:id="718673666">
      <w:bodyDiv w:val="1"/>
      <w:marLeft w:val="0"/>
      <w:marRight w:val="0"/>
      <w:marTop w:val="0"/>
      <w:marBottom w:val="0"/>
      <w:divBdr>
        <w:top w:val="none" w:sz="0" w:space="0" w:color="auto"/>
        <w:left w:val="none" w:sz="0" w:space="0" w:color="auto"/>
        <w:bottom w:val="none" w:sz="0" w:space="0" w:color="auto"/>
        <w:right w:val="none" w:sz="0" w:space="0" w:color="auto"/>
      </w:divBdr>
    </w:div>
    <w:div w:id="719018706">
      <w:bodyDiv w:val="1"/>
      <w:marLeft w:val="0"/>
      <w:marRight w:val="0"/>
      <w:marTop w:val="0"/>
      <w:marBottom w:val="0"/>
      <w:divBdr>
        <w:top w:val="none" w:sz="0" w:space="0" w:color="auto"/>
        <w:left w:val="none" w:sz="0" w:space="0" w:color="auto"/>
        <w:bottom w:val="none" w:sz="0" w:space="0" w:color="auto"/>
        <w:right w:val="none" w:sz="0" w:space="0" w:color="auto"/>
      </w:divBdr>
    </w:div>
    <w:div w:id="719136748">
      <w:bodyDiv w:val="1"/>
      <w:marLeft w:val="0"/>
      <w:marRight w:val="0"/>
      <w:marTop w:val="0"/>
      <w:marBottom w:val="0"/>
      <w:divBdr>
        <w:top w:val="none" w:sz="0" w:space="0" w:color="auto"/>
        <w:left w:val="none" w:sz="0" w:space="0" w:color="auto"/>
        <w:bottom w:val="none" w:sz="0" w:space="0" w:color="auto"/>
        <w:right w:val="none" w:sz="0" w:space="0" w:color="auto"/>
      </w:divBdr>
    </w:div>
    <w:div w:id="719279451">
      <w:bodyDiv w:val="1"/>
      <w:marLeft w:val="0"/>
      <w:marRight w:val="0"/>
      <w:marTop w:val="0"/>
      <w:marBottom w:val="0"/>
      <w:divBdr>
        <w:top w:val="none" w:sz="0" w:space="0" w:color="auto"/>
        <w:left w:val="none" w:sz="0" w:space="0" w:color="auto"/>
        <w:bottom w:val="none" w:sz="0" w:space="0" w:color="auto"/>
        <w:right w:val="none" w:sz="0" w:space="0" w:color="auto"/>
      </w:divBdr>
    </w:div>
    <w:div w:id="719281983">
      <w:bodyDiv w:val="1"/>
      <w:marLeft w:val="0"/>
      <w:marRight w:val="0"/>
      <w:marTop w:val="0"/>
      <w:marBottom w:val="0"/>
      <w:divBdr>
        <w:top w:val="none" w:sz="0" w:space="0" w:color="auto"/>
        <w:left w:val="none" w:sz="0" w:space="0" w:color="auto"/>
        <w:bottom w:val="none" w:sz="0" w:space="0" w:color="auto"/>
        <w:right w:val="none" w:sz="0" w:space="0" w:color="auto"/>
      </w:divBdr>
    </w:div>
    <w:div w:id="719328961">
      <w:bodyDiv w:val="1"/>
      <w:marLeft w:val="0"/>
      <w:marRight w:val="0"/>
      <w:marTop w:val="0"/>
      <w:marBottom w:val="0"/>
      <w:divBdr>
        <w:top w:val="none" w:sz="0" w:space="0" w:color="auto"/>
        <w:left w:val="none" w:sz="0" w:space="0" w:color="auto"/>
        <w:bottom w:val="none" w:sz="0" w:space="0" w:color="auto"/>
        <w:right w:val="none" w:sz="0" w:space="0" w:color="auto"/>
      </w:divBdr>
    </w:div>
    <w:div w:id="719401250">
      <w:bodyDiv w:val="1"/>
      <w:marLeft w:val="0"/>
      <w:marRight w:val="0"/>
      <w:marTop w:val="0"/>
      <w:marBottom w:val="0"/>
      <w:divBdr>
        <w:top w:val="none" w:sz="0" w:space="0" w:color="auto"/>
        <w:left w:val="none" w:sz="0" w:space="0" w:color="auto"/>
        <w:bottom w:val="none" w:sz="0" w:space="0" w:color="auto"/>
        <w:right w:val="none" w:sz="0" w:space="0" w:color="auto"/>
      </w:divBdr>
    </w:div>
    <w:div w:id="719550676">
      <w:bodyDiv w:val="1"/>
      <w:marLeft w:val="0"/>
      <w:marRight w:val="0"/>
      <w:marTop w:val="0"/>
      <w:marBottom w:val="0"/>
      <w:divBdr>
        <w:top w:val="none" w:sz="0" w:space="0" w:color="auto"/>
        <w:left w:val="none" w:sz="0" w:space="0" w:color="auto"/>
        <w:bottom w:val="none" w:sz="0" w:space="0" w:color="auto"/>
        <w:right w:val="none" w:sz="0" w:space="0" w:color="auto"/>
      </w:divBdr>
    </w:div>
    <w:div w:id="719670581">
      <w:bodyDiv w:val="1"/>
      <w:marLeft w:val="0"/>
      <w:marRight w:val="0"/>
      <w:marTop w:val="0"/>
      <w:marBottom w:val="0"/>
      <w:divBdr>
        <w:top w:val="none" w:sz="0" w:space="0" w:color="auto"/>
        <w:left w:val="none" w:sz="0" w:space="0" w:color="auto"/>
        <w:bottom w:val="none" w:sz="0" w:space="0" w:color="auto"/>
        <w:right w:val="none" w:sz="0" w:space="0" w:color="auto"/>
      </w:divBdr>
    </w:div>
    <w:div w:id="719793098">
      <w:bodyDiv w:val="1"/>
      <w:marLeft w:val="0"/>
      <w:marRight w:val="0"/>
      <w:marTop w:val="0"/>
      <w:marBottom w:val="0"/>
      <w:divBdr>
        <w:top w:val="none" w:sz="0" w:space="0" w:color="auto"/>
        <w:left w:val="none" w:sz="0" w:space="0" w:color="auto"/>
        <w:bottom w:val="none" w:sz="0" w:space="0" w:color="auto"/>
        <w:right w:val="none" w:sz="0" w:space="0" w:color="auto"/>
      </w:divBdr>
    </w:div>
    <w:div w:id="719859596">
      <w:bodyDiv w:val="1"/>
      <w:marLeft w:val="0"/>
      <w:marRight w:val="0"/>
      <w:marTop w:val="0"/>
      <w:marBottom w:val="0"/>
      <w:divBdr>
        <w:top w:val="none" w:sz="0" w:space="0" w:color="auto"/>
        <w:left w:val="none" w:sz="0" w:space="0" w:color="auto"/>
        <w:bottom w:val="none" w:sz="0" w:space="0" w:color="auto"/>
        <w:right w:val="none" w:sz="0" w:space="0" w:color="auto"/>
      </w:divBdr>
    </w:div>
    <w:div w:id="719937817">
      <w:bodyDiv w:val="1"/>
      <w:marLeft w:val="0"/>
      <w:marRight w:val="0"/>
      <w:marTop w:val="0"/>
      <w:marBottom w:val="0"/>
      <w:divBdr>
        <w:top w:val="none" w:sz="0" w:space="0" w:color="auto"/>
        <w:left w:val="none" w:sz="0" w:space="0" w:color="auto"/>
        <w:bottom w:val="none" w:sz="0" w:space="0" w:color="auto"/>
        <w:right w:val="none" w:sz="0" w:space="0" w:color="auto"/>
      </w:divBdr>
    </w:div>
    <w:div w:id="719941619">
      <w:bodyDiv w:val="1"/>
      <w:marLeft w:val="0"/>
      <w:marRight w:val="0"/>
      <w:marTop w:val="0"/>
      <w:marBottom w:val="0"/>
      <w:divBdr>
        <w:top w:val="none" w:sz="0" w:space="0" w:color="auto"/>
        <w:left w:val="none" w:sz="0" w:space="0" w:color="auto"/>
        <w:bottom w:val="none" w:sz="0" w:space="0" w:color="auto"/>
        <w:right w:val="none" w:sz="0" w:space="0" w:color="auto"/>
      </w:divBdr>
    </w:div>
    <w:div w:id="720635954">
      <w:bodyDiv w:val="1"/>
      <w:marLeft w:val="0"/>
      <w:marRight w:val="0"/>
      <w:marTop w:val="0"/>
      <w:marBottom w:val="0"/>
      <w:divBdr>
        <w:top w:val="none" w:sz="0" w:space="0" w:color="auto"/>
        <w:left w:val="none" w:sz="0" w:space="0" w:color="auto"/>
        <w:bottom w:val="none" w:sz="0" w:space="0" w:color="auto"/>
        <w:right w:val="none" w:sz="0" w:space="0" w:color="auto"/>
      </w:divBdr>
    </w:div>
    <w:div w:id="720788767">
      <w:bodyDiv w:val="1"/>
      <w:marLeft w:val="0"/>
      <w:marRight w:val="0"/>
      <w:marTop w:val="0"/>
      <w:marBottom w:val="0"/>
      <w:divBdr>
        <w:top w:val="none" w:sz="0" w:space="0" w:color="auto"/>
        <w:left w:val="none" w:sz="0" w:space="0" w:color="auto"/>
        <w:bottom w:val="none" w:sz="0" w:space="0" w:color="auto"/>
        <w:right w:val="none" w:sz="0" w:space="0" w:color="auto"/>
      </w:divBdr>
    </w:div>
    <w:div w:id="720858594">
      <w:bodyDiv w:val="1"/>
      <w:marLeft w:val="0"/>
      <w:marRight w:val="0"/>
      <w:marTop w:val="0"/>
      <w:marBottom w:val="0"/>
      <w:divBdr>
        <w:top w:val="none" w:sz="0" w:space="0" w:color="auto"/>
        <w:left w:val="none" w:sz="0" w:space="0" w:color="auto"/>
        <w:bottom w:val="none" w:sz="0" w:space="0" w:color="auto"/>
        <w:right w:val="none" w:sz="0" w:space="0" w:color="auto"/>
      </w:divBdr>
    </w:div>
    <w:div w:id="720977823">
      <w:bodyDiv w:val="1"/>
      <w:marLeft w:val="0"/>
      <w:marRight w:val="0"/>
      <w:marTop w:val="0"/>
      <w:marBottom w:val="0"/>
      <w:divBdr>
        <w:top w:val="none" w:sz="0" w:space="0" w:color="auto"/>
        <w:left w:val="none" w:sz="0" w:space="0" w:color="auto"/>
        <w:bottom w:val="none" w:sz="0" w:space="0" w:color="auto"/>
        <w:right w:val="none" w:sz="0" w:space="0" w:color="auto"/>
      </w:divBdr>
    </w:div>
    <w:div w:id="720979684">
      <w:bodyDiv w:val="1"/>
      <w:marLeft w:val="0"/>
      <w:marRight w:val="0"/>
      <w:marTop w:val="0"/>
      <w:marBottom w:val="0"/>
      <w:divBdr>
        <w:top w:val="none" w:sz="0" w:space="0" w:color="auto"/>
        <w:left w:val="none" w:sz="0" w:space="0" w:color="auto"/>
        <w:bottom w:val="none" w:sz="0" w:space="0" w:color="auto"/>
        <w:right w:val="none" w:sz="0" w:space="0" w:color="auto"/>
      </w:divBdr>
    </w:div>
    <w:div w:id="720983322">
      <w:bodyDiv w:val="1"/>
      <w:marLeft w:val="0"/>
      <w:marRight w:val="0"/>
      <w:marTop w:val="0"/>
      <w:marBottom w:val="0"/>
      <w:divBdr>
        <w:top w:val="none" w:sz="0" w:space="0" w:color="auto"/>
        <w:left w:val="none" w:sz="0" w:space="0" w:color="auto"/>
        <w:bottom w:val="none" w:sz="0" w:space="0" w:color="auto"/>
        <w:right w:val="none" w:sz="0" w:space="0" w:color="auto"/>
      </w:divBdr>
    </w:div>
    <w:div w:id="721370524">
      <w:bodyDiv w:val="1"/>
      <w:marLeft w:val="0"/>
      <w:marRight w:val="0"/>
      <w:marTop w:val="0"/>
      <w:marBottom w:val="0"/>
      <w:divBdr>
        <w:top w:val="none" w:sz="0" w:space="0" w:color="auto"/>
        <w:left w:val="none" w:sz="0" w:space="0" w:color="auto"/>
        <w:bottom w:val="none" w:sz="0" w:space="0" w:color="auto"/>
        <w:right w:val="none" w:sz="0" w:space="0" w:color="auto"/>
      </w:divBdr>
    </w:div>
    <w:div w:id="721490166">
      <w:bodyDiv w:val="1"/>
      <w:marLeft w:val="0"/>
      <w:marRight w:val="0"/>
      <w:marTop w:val="0"/>
      <w:marBottom w:val="0"/>
      <w:divBdr>
        <w:top w:val="none" w:sz="0" w:space="0" w:color="auto"/>
        <w:left w:val="none" w:sz="0" w:space="0" w:color="auto"/>
        <w:bottom w:val="none" w:sz="0" w:space="0" w:color="auto"/>
        <w:right w:val="none" w:sz="0" w:space="0" w:color="auto"/>
      </w:divBdr>
    </w:div>
    <w:div w:id="721513858">
      <w:bodyDiv w:val="1"/>
      <w:marLeft w:val="0"/>
      <w:marRight w:val="0"/>
      <w:marTop w:val="0"/>
      <w:marBottom w:val="0"/>
      <w:divBdr>
        <w:top w:val="none" w:sz="0" w:space="0" w:color="auto"/>
        <w:left w:val="none" w:sz="0" w:space="0" w:color="auto"/>
        <w:bottom w:val="none" w:sz="0" w:space="0" w:color="auto"/>
        <w:right w:val="none" w:sz="0" w:space="0" w:color="auto"/>
      </w:divBdr>
    </w:div>
    <w:div w:id="721563282">
      <w:bodyDiv w:val="1"/>
      <w:marLeft w:val="0"/>
      <w:marRight w:val="0"/>
      <w:marTop w:val="0"/>
      <w:marBottom w:val="0"/>
      <w:divBdr>
        <w:top w:val="none" w:sz="0" w:space="0" w:color="auto"/>
        <w:left w:val="none" w:sz="0" w:space="0" w:color="auto"/>
        <w:bottom w:val="none" w:sz="0" w:space="0" w:color="auto"/>
        <w:right w:val="none" w:sz="0" w:space="0" w:color="auto"/>
      </w:divBdr>
    </w:div>
    <w:div w:id="721565789">
      <w:bodyDiv w:val="1"/>
      <w:marLeft w:val="0"/>
      <w:marRight w:val="0"/>
      <w:marTop w:val="0"/>
      <w:marBottom w:val="0"/>
      <w:divBdr>
        <w:top w:val="none" w:sz="0" w:space="0" w:color="auto"/>
        <w:left w:val="none" w:sz="0" w:space="0" w:color="auto"/>
        <w:bottom w:val="none" w:sz="0" w:space="0" w:color="auto"/>
        <w:right w:val="none" w:sz="0" w:space="0" w:color="auto"/>
      </w:divBdr>
    </w:div>
    <w:div w:id="721907213">
      <w:bodyDiv w:val="1"/>
      <w:marLeft w:val="0"/>
      <w:marRight w:val="0"/>
      <w:marTop w:val="0"/>
      <w:marBottom w:val="0"/>
      <w:divBdr>
        <w:top w:val="none" w:sz="0" w:space="0" w:color="auto"/>
        <w:left w:val="none" w:sz="0" w:space="0" w:color="auto"/>
        <w:bottom w:val="none" w:sz="0" w:space="0" w:color="auto"/>
        <w:right w:val="none" w:sz="0" w:space="0" w:color="auto"/>
      </w:divBdr>
    </w:div>
    <w:div w:id="722099727">
      <w:bodyDiv w:val="1"/>
      <w:marLeft w:val="0"/>
      <w:marRight w:val="0"/>
      <w:marTop w:val="0"/>
      <w:marBottom w:val="0"/>
      <w:divBdr>
        <w:top w:val="none" w:sz="0" w:space="0" w:color="auto"/>
        <w:left w:val="none" w:sz="0" w:space="0" w:color="auto"/>
        <w:bottom w:val="none" w:sz="0" w:space="0" w:color="auto"/>
        <w:right w:val="none" w:sz="0" w:space="0" w:color="auto"/>
      </w:divBdr>
    </w:div>
    <w:div w:id="722214271">
      <w:bodyDiv w:val="1"/>
      <w:marLeft w:val="0"/>
      <w:marRight w:val="0"/>
      <w:marTop w:val="0"/>
      <w:marBottom w:val="0"/>
      <w:divBdr>
        <w:top w:val="none" w:sz="0" w:space="0" w:color="auto"/>
        <w:left w:val="none" w:sz="0" w:space="0" w:color="auto"/>
        <w:bottom w:val="none" w:sz="0" w:space="0" w:color="auto"/>
        <w:right w:val="none" w:sz="0" w:space="0" w:color="auto"/>
      </w:divBdr>
    </w:div>
    <w:div w:id="722868374">
      <w:bodyDiv w:val="1"/>
      <w:marLeft w:val="0"/>
      <w:marRight w:val="0"/>
      <w:marTop w:val="0"/>
      <w:marBottom w:val="0"/>
      <w:divBdr>
        <w:top w:val="none" w:sz="0" w:space="0" w:color="auto"/>
        <w:left w:val="none" w:sz="0" w:space="0" w:color="auto"/>
        <w:bottom w:val="none" w:sz="0" w:space="0" w:color="auto"/>
        <w:right w:val="none" w:sz="0" w:space="0" w:color="auto"/>
      </w:divBdr>
    </w:div>
    <w:div w:id="723067104">
      <w:bodyDiv w:val="1"/>
      <w:marLeft w:val="0"/>
      <w:marRight w:val="0"/>
      <w:marTop w:val="0"/>
      <w:marBottom w:val="0"/>
      <w:divBdr>
        <w:top w:val="none" w:sz="0" w:space="0" w:color="auto"/>
        <w:left w:val="none" w:sz="0" w:space="0" w:color="auto"/>
        <w:bottom w:val="none" w:sz="0" w:space="0" w:color="auto"/>
        <w:right w:val="none" w:sz="0" w:space="0" w:color="auto"/>
      </w:divBdr>
    </w:div>
    <w:div w:id="723218215">
      <w:bodyDiv w:val="1"/>
      <w:marLeft w:val="0"/>
      <w:marRight w:val="0"/>
      <w:marTop w:val="0"/>
      <w:marBottom w:val="0"/>
      <w:divBdr>
        <w:top w:val="none" w:sz="0" w:space="0" w:color="auto"/>
        <w:left w:val="none" w:sz="0" w:space="0" w:color="auto"/>
        <w:bottom w:val="none" w:sz="0" w:space="0" w:color="auto"/>
        <w:right w:val="none" w:sz="0" w:space="0" w:color="auto"/>
      </w:divBdr>
    </w:div>
    <w:div w:id="723874701">
      <w:bodyDiv w:val="1"/>
      <w:marLeft w:val="0"/>
      <w:marRight w:val="0"/>
      <w:marTop w:val="0"/>
      <w:marBottom w:val="0"/>
      <w:divBdr>
        <w:top w:val="none" w:sz="0" w:space="0" w:color="auto"/>
        <w:left w:val="none" w:sz="0" w:space="0" w:color="auto"/>
        <w:bottom w:val="none" w:sz="0" w:space="0" w:color="auto"/>
        <w:right w:val="none" w:sz="0" w:space="0" w:color="auto"/>
      </w:divBdr>
    </w:div>
    <w:div w:id="723915333">
      <w:bodyDiv w:val="1"/>
      <w:marLeft w:val="0"/>
      <w:marRight w:val="0"/>
      <w:marTop w:val="0"/>
      <w:marBottom w:val="0"/>
      <w:divBdr>
        <w:top w:val="none" w:sz="0" w:space="0" w:color="auto"/>
        <w:left w:val="none" w:sz="0" w:space="0" w:color="auto"/>
        <w:bottom w:val="none" w:sz="0" w:space="0" w:color="auto"/>
        <w:right w:val="none" w:sz="0" w:space="0" w:color="auto"/>
      </w:divBdr>
    </w:div>
    <w:div w:id="723942663">
      <w:bodyDiv w:val="1"/>
      <w:marLeft w:val="0"/>
      <w:marRight w:val="0"/>
      <w:marTop w:val="0"/>
      <w:marBottom w:val="0"/>
      <w:divBdr>
        <w:top w:val="none" w:sz="0" w:space="0" w:color="auto"/>
        <w:left w:val="none" w:sz="0" w:space="0" w:color="auto"/>
        <w:bottom w:val="none" w:sz="0" w:space="0" w:color="auto"/>
        <w:right w:val="none" w:sz="0" w:space="0" w:color="auto"/>
      </w:divBdr>
    </w:div>
    <w:div w:id="724110033">
      <w:bodyDiv w:val="1"/>
      <w:marLeft w:val="0"/>
      <w:marRight w:val="0"/>
      <w:marTop w:val="0"/>
      <w:marBottom w:val="0"/>
      <w:divBdr>
        <w:top w:val="none" w:sz="0" w:space="0" w:color="auto"/>
        <w:left w:val="none" w:sz="0" w:space="0" w:color="auto"/>
        <w:bottom w:val="none" w:sz="0" w:space="0" w:color="auto"/>
        <w:right w:val="none" w:sz="0" w:space="0" w:color="auto"/>
      </w:divBdr>
    </w:div>
    <w:div w:id="724134913">
      <w:bodyDiv w:val="1"/>
      <w:marLeft w:val="0"/>
      <w:marRight w:val="0"/>
      <w:marTop w:val="0"/>
      <w:marBottom w:val="0"/>
      <w:divBdr>
        <w:top w:val="none" w:sz="0" w:space="0" w:color="auto"/>
        <w:left w:val="none" w:sz="0" w:space="0" w:color="auto"/>
        <w:bottom w:val="none" w:sz="0" w:space="0" w:color="auto"/>
        <w:right w:val="none" w:sz="0" w:space="0" w:color="auto"/>
      </w:divBdr>
    </w:div>
    <w:div w:id="724138456">
      <w:bodyDiv w:val="1"/>
      <w:marLeft w:val="0"/>
      <w:marRight w:val="0"/>
      <w:marTop w:val="0"/>
      <w:marBottom w:val="0"/>
      <w:divBdr>
        <w:top w:val="none" w:sz="0" w:space="0" w:color="auto"/>
        <w:left w:val="none" w:sz="0" w:space="0" w:color="auto"/>
        <w:bottom w:val="none" w:sz="0" w:space="0" w:color="auto"/>
        <w:right w:val="none" w:sz="0" w:space="0" w:color="auto"/>
      </w:divBdr>
    </w:div>
    <w:div w:id="724375488">
      <w:bodyDiv w:val="1"/>
      <w:marLeft w:val="0"/>
      <w:marRight w:val="0"/>
      <w:marTop w:val="0"/>
      <w:marBottom w:val="0"/>
      <w:divBdr>
        <w:top w:val="none" w:sz="0" w:space="0" w:color="auto"/>
        <w:left w:val="none" w:sz="0" w:space="0" w:color="auto"/>
        <w:bottom w:val="none" w:sz="0" w:space="0" w:color="auto"/>
        <w:right w:val="none" w:sz="0" w:space="0" w:color="auto"/>
      </w:divBdr>
    </w:div>
    <w:div w:id="724525886">
      <w:bodyDiv w:val="1"/>
      <w:marLeft w:val="0"/>
      <w:marRight w:val="0"/>
      <w:marTop w:val="0"/>
      <w:marBottom w:val="0"/>
      <w:divBdr>
        <w:top w:val="none" w:sz="0" w:space="0" w:color="auto"/>
        <w:left w:val="none" w:sz="0" w:space="0" w:color="auto"/>
        <w:bottom w:val="none" w:sz="0" w:space="0" w:color="auto"/>
        <w:right w:val="none" w:sz="0" w:space="0" w:color="auto"/>
      </w:divBdr>
    </w:div>
    <w:div w:id="724571362">
      <w:bodyDiv w:val="1"/>
      <w:marLeft w:val="0"/>
      <w:marRight w:val="0"/>
      <w:marTop w:val="0"/>
      <w:marBottom w:val="0"/>
      <w:divBdr>
        <w:top w:val="none" w:sz="0" w:space="0" w:color="auto"/>
        <w:left w:val="none" w:sz="0" w:space="0" w:color="auto"/>
        <w:bottom w:val="none" w:sz="0" w:space="0" w:color="auto"/>
        <w:right w:val="none" w:sz="0" w:space="0" w:color="auto"/>
      </w:divBdr>
    </w:div>
    <w:div w:id="724716045">
      <w:bodyDiv w:val="1"/>
      <w:marLeft w:val="0"/>
      <w:marRight w:val="0"/>
      <w:marTop w:val="0"/>
      <w:marBottom w:val="0"/>
      <w:divBdr>
        <w:top w:val="none" w:sz="0" w:space="0" w:color="auto"/>
        <w:left w:val="none" w:sz="0" w:space="0" w:color="auto"/>
        <w:bottom w:val="none" w:sz="0" w:space="0" w:color="auto"/>
        <w:right w:val="none" w:sz="0" w:space="0" w:color="auto"/>
      </w:divBdr>
    </w:div>
    <w:div w:id="724793775">
      <w:bodyDiv w:val="1"/>
      <w:marLeft w:val="0"/>
      <w:marRight w:val="0"/>
      <w:marTop w:val="0"/>
      <w:marBottom w:val="0"/>
      <w:divBdr>
        <w:top w:val="none" w:sz="0" w:space="0" w:color="auto"/>
        <w:left w:val="none" w:sz="0" w:space="0" w:color="auto"/>
        <w:bottom w:val="none" w:sz="0" w:space="0" w:color="auto"/>
        <w:right w:val="none" w:sz="0" w:space="0" w:color="auto"/>
      </w:divBdr>
    </w:div>
    <w:div w:id="724840277">
      <w:bodyDiv w:val="1"/>
      <w:marLeft w:val="0"/>
      <w:marRight w:val="0"/>
      <w:marTop w:val="0"/>
      <w:marBottom w:val="0"/>
      <w:divBdr>
        <w:top w:val="none" w:sz="0" w:space="0" w:color="auto"/>
        <w:left w:val="none" w:sz="0" w:space="0" w:color="auto"/>
        <w:bottom w:val="none" w:sz="0" w:space="0" w:color="auto"/>
        <w:right w:val="none" w:sz="0" w:space="0" w:color="auto"/>
      </w:divBdr>
    </w:div>
    <w:div w:id="725223992">
      <w:bodyDiv w:val="1"/>
      <w:marLeft w:val="0"/>
      <w:marRight w:val="0"/>
      <w:marTop w:val="0"/>
      <w:marBottom w:val="0"/>
      <w:divBdr>
        <w:top w:val="none" w:sz="0" w:space="0" w:color="auto"/>
        <w:left w:val="none" w:sz="0" w:space="0" w:color="auto"/>
        <w:bottom w:val="none" w:sz="0" w:space="0" w:color="auto"/>
        <w:right w:val="none" w:sz="0" w:space="0" w:color="auto"/>
      </w:divBdr>
    </w:div>
    <w:div w:id="725226682">
      <w:bodyDiv w:val="1"/>
      <w:marLeft w:val="0"/>
      <w:marRight w:val="0"/>
      <w:marTop w:val="0"/>
      <w:marBottom w:val="0"/>
      <w:divBdr>
        <w:top w:val="none" w:sz="0" w:space="0" w:color="auto"/>
        <w:left w:val="none" w:sz="0" w:space="0" w:color="auto"/>
        <w:bottom w:val="none" w:sz="0" w:space="0" w:color="auto"/>
        <w:right w:val="none" w:sz="0" w:space="0" w:color="auto"/>
      </w:divBdr>
    </w:div>
    <w:div w:id="725296556">
      <w:bodyDiv w:val="1"/>
      <w:marLeft w:val="0"/>
      <w:marRight w:val="0"/>
      <w:marTop w:val="0"/>
      <w:marBottom w:val="0"/>
      <w:divBdr>
        <w:top w:val="none" w:sz="0" w:space="0" w:color="auto"/>
        <w:left w:val="none" w:sz="0" w:space="0" w:color="auto"/>
        <w:bottom w:val="none" w:sz="0" w:space="0" w:color="auto"/>
        <w:right w:val="none" w:sz="0" w:space="0" w:color="auto"/>
      </w:divBdr>
    </w:div>
    <w:div w:id="725300145">
      <w:bodyDiv w:val="1"/>
      <w:marLeft w:val="0"/>
      <w:marRight w:val="0"/>
      <w:marTop w:val="0"/>
      <w:marBottom w:val="0"/>
      <w:divBdr>
        <w:top w:val="none" w:sz="0" w:space="0" w:color="auto"/>
        <w:left w:val="none" w:sz="0" w:space="0" w:color="auto"/>
        <w:bottom w:val="none" w:sz="0" w:space="0" w:color="auto"/>
        <w:right w:val="none" w:sz="0" w:space="0" w:color="auto"/>
      </w:divBdr>
    </w:div>
    <w:div w:id="725489365">
      <w:bodyDiv w:val="1"/>
      <w:marLeft w:val="0"/>
      <w:marRight w:val="0"/>
      <w:marTop w:val="0"/>
      <w:marBottom w:val="0"/>
      <w:divBdr>
        <w:top w:val="none" w:sz="0" w:space="0" w:color="auto"/>
        <w:left w:val="none" w:sz="0" w:space="0" w:color="auto"/>
        <w:bottom w:val="none" w:sz="0" w:space="0" w:color="auto"/>
        <w:right w:val="none" w:sz="0" w:space="0" w:color="auto"/>
      </w:divBdr>
    </w:div>
    <w:div w:id="725491635">
      <w:bodyDiv w:val="1"/>
      <w:marLeft w:val="0"/>
      <w:marRight w:val="0"/>
      <w:marTop w:val="0"/>
      <w:marBottom w:val="0"/>
      <w:divBdr>
        <w:top w:val="none" w:sz="0" w:space="0" w:color="auto"/>
        <w:left w:val="none" w:sz="0" w:space="0" w:color="auto"/>
        <w:bottom w:val="none" w:sz="0" w:space="0" w:color="auto"/>
        <w:right w:val="none" w:sz="0" w:space="0" w:color="auto"/>
      </w:divBdr>
    </w:div>
    <w:div w:id="725565545">
      <w:bodyDiv w:val="1"/>
      <w:marLeft w:val="0"/>
      <w:marRight w:val="0"/>
      <w:marTop w:val="0"/>
      <w:marBottom w:val="0"/>
      <w:divBdr>
        <w:top w:val="none" w:sz="0" w:space="0" w:color="auto"/>
        <w:left w:val="none" w:sz="0" w:space="0" w:color="auto"/>
        <w:bottom w:val="none" w:sz="0" w:space="0" w:color="auto"/>
        <w:right w:val="none" w:sz="0" w:space="0" w:color="auto"/>
      </w:divBdr>
    </w:div>
    <w:div w:id="725840324">
      <w:bodyDiv w:val="1"/>
      <w:marLeft w:val="0"/>
      <w:marRight w:val="0"/>
      <w:marTop w:val="0"/>
      <w:marBottom w:val="0"/>
      <w:divBdr>
        <w:top w:val="none" w:sz="0" w:space="0" w:color="auto"/>
        <w:left w:val="none" w:sz="0" w:space="0" w:color="auto"/>
        <w:bottom w:val="none" w:sz="0" w:space="0" w:color="auto"/>
        <w:right w:val="none" w:sz="0" w:space="0" w:color="auto"/>
      </w:divBdr>
    </w:div>
    <w:div w:id="726412702">
      <w:bodyDiv w:val="1"/>
      <w:marLeft w:val="0"/>
      <w:marRight w:val="0"/>
      <w:marTop w:val="0"/>
      <w:marBottom w:val="0"/>
      <w:divBdr>
        <w:top w:val="none" w:sz="0" w:space="0" w:color="auto"/>
        <w:left w:val="none" w:sz="0" w:space="0" w:color="auto"/>
        <w:bottom w:val="none" w:sz="0" w:space="0" w:color="auto"/>
        <w:right w:val="none" w:sz="0" w:space="0" w:color="auto"/>
      </w:divBdr>
    </w:div>
    <w:div w:id="726420256">
      <w:bodyDiv w:val="1"/>
      <w:marLeft w:val="0"/>
      <w:marRight w:val="0"/>
      <w:marTop w:val="0"/>
      <w:marBottom w:val="0"/>
      <w:divBdr>
        <w:top w:val="none" w:sz="0" w:space="0" w:color="auto"/>
        <w:left w:val="none" w:sz="0" w:space="0" w:color="auto"/>
        <w:bottom w:val="none" w:sz="0" w:space="0" w:color="auto"/>
        <w:right w:val="none" w:sz="0" w:space="0" w:color="auto"/>
      </w:divBdr>
    </w:div>
    <w:div w:id="726606830">
      <w:bodyDiv w:val="1"/>
      <w:marLeft w:val="0"/>
      <w:marRight w:val="0"/>
      <w:marTop w:val="0"/>
      <w:marBottom w:val="0"/>
      <w:divBdr>
        <w:top w:val="none" w:sz="0" w:space="0" w:color="auto"/>
        <w:left w:val="none" w:sz="0" w:space="0" w:color="auto"/>
        <w:bottom w:val="none" w:sz="0" w:space="0" w:color="auto"/>
        <w:right w:val="none" w:sz="0" w:space="0" w:color="auto"/>
      </w:divBdr>
    </w:div>
    <w:div w:id="726687963">
      <w:bodyDiv w:val="1"/>
      <w:marLeft w:val="0"/>
      <w:marRight w:val="0"/>
      <w:marTop w:val="0"/>
      <w:marBottom w:val="0"/>
      <w:divBdr>
        <w:top w:val="none" w:sz="0" w:space="0" w:color="auto"/>
        <w:left w:val="none" w:sz="0" w:space="0" w:color="auto"/>
        <w:bottom w:val="none" w:sz="0" w:space="0" w:color="auto"/>
        <w:right w:val="none" w:sz="0" w:space="0" w:color="auto"/>
      </w:divBdr>
    </w:div>
    <w:div w:id="726801156">
      <w:bodyDiv w:val="1"/>
      <w:marLeft w:val="0"/>
      <w:marRight w:val="0"/>
      <w:marTop w:val="0"/>
      <w:marBottom w:val="0"/>
      <w:divBdr>
        <w:top w:val="none" w:sz="0" w:space="0" w:color="auto"/>
        <w:left w:val="none" w:sz="0" w:space="0" w:color="auto"/>
        <w:bottom w:val="none" w:sz="0" w:space="0" w:color="auto"/>
        <w:right w:val="none" w:sz="0" w:space="0" w:color="auto"/>
      </w:divBdr>
    </w:div>
    <w:div w:id="726803880">
      <w:bodyDiv w:val="1"/>
      <w:marLeft w:val="0"/>
      <w:marRight w:val="0"/>
      <w:marTop w:val="0"/>
      <w:marBottom w:val="0"/>
      <w:divBdr>
        <w:top w:val="none" w:sz="0" w:space="0" w:color="auto"/>
        <w:left w:val="none" w:sz="0" w:space="0" w:color="auto"/>
        <w:bottom w:val="none" w:sz="0" w:space="0" w:color="auto"/>
        <w:right w:val="none" w:sz="0" w:space="0" w:color="auto"/>
      </w:divBdr>
    </w:div>
    <w:div w:id="727068885">
      <w:bodyDiv w:val="1"/>
      <w:marLeft w:val="0"/>
      <w:marRight w:val="0"/>
      <w:marTop w:val="0"/>
      <w:marBottom w:val="0"/>
      <w:divBdr>
        <w:top w:val="none" w:sz="0" w:space="0" w:color="auto"/>
        <w:left w:val="none" w:sz="0" w:space="0" w:color="auto"/>
        <w:bottom w:val="none" w:sz="0" w:space="0" w:color="auto"/>
        <w:right w:val="none" w:sz="0" w:space="0" w:color="auto"/>
      </w:divBdr>
    </w:div>
    <w:div w:id="727149001">
      <w:bodyDiv w:val="1"/>
      <w:marLeft w:val="0"/>
      <w:marRight w:val="0"/>
      <w:marTop w:val="0"/>
      <w:marBottom w:val="0"/>
      <w:divBdr>
        <w:top w:val="none" w:sz="0" w:space="0" w:color="auto"/>
        <w:left w:val="none" w:sz="0" w:space="0" w:color="auto"/>
        <w:bottom w:val="none" w:sz="0" w:space="0" w:color="auto"/>
        <w:right w:val="none" w:sz="0" w:space="0" w:color="auto"/>
      </w:divBdr>
    </w:div>
    <w:div w:id="727189429">
      <w:bodyDiv w:val="1"/>
      <w:marLeft w:val="0"/>
      <w:marRight w:val="0"/>
      <w:marTop w:val="0"/>
      <w:marBottom w:val="0"/>
      <w:divBdr>
        <w:top w:val="none" w:sz="0" w:space="0" w:color="auto"/>
        <w:left w:val="none" w:sz="0" w:space="0" w:color="auto"/>
        <w:bottom w:val="none" w:sz="0" w:space="0" w:color="auto"/>
        <w:right w:val="none" w:sz="0" w:space="0" w:color="auto"/>
      </w:divBdr>
    </w:div>
    <w:div w:id="727260587">
      <w:bodyDiv w:val="1"/>
      <w:marLeft w:val="0"/>
      <w:marRight w:val="0"/>
      <w:marTop w:val="0"/>
      <w:marBottom w:val="0"/>
      <w:divBdr>
        <w:top w:val="none" w:sz="0" w:space="0" w:color="auto"/>
        <w:left w:val="none" w:sz="0" w:space="0" w:color="auto"/>
        <w:bottom w:val="none" w:sz="0" w:space="0" w:color="auto"/>
        <w:right w:val="none" w:sz="0" w:space="0" w:color="auto"/>
      </w:divBdr>
    </w:div>
    <w:div w:id="727456120">
      <w:bodyDiv w:val="1"/>
      <w:marLeft w:val="0"/>
      <w:marRight w:val="0"/>
      <w:marTop w:val="0"/>
      <w:marBottom w:val="0"/>
      <w:divBdr>
        <w:top w:val="none" w:sz="0" w:space="0" w:color="auto"/>
        <w:left w:val="none" w:sz="0" w:space="0" w:color="auto"/>
        <w:bottom w:val="none" w:sz="0" w:space="0" w:color="auto"/>
        <w:right w:val="none" w:sz="0" w:space="0" w:color="auto"/>
      </w:divBdr>
    </w:div>
    <w:div w:id="727456469">
      <w:bodyDiv w:val="1"/>
      <w:marLeft w:val="0"/>
      <w:marRight w:val="0"/>
      <w:marTop w:val="0"/>
      <w:marBottom w:val="0"/>
      <w:divBdr>
        <w:top w:val="none" w:sz="0" w:space="0" w:color="auto"/>
        <w:left w:val="none" w:sz="0" w:space="0" w:color="auto"/>
        <w:bottom w:val="none" w:sz="0" w:space="0" w:color="auto"/>
        <w:right w:val="none" w:sz="0" w:space="0" w:color="auto"/>
      </w:divBdr>
    </w:div>
    <w:div w:id="727648056">
      <w:bodyDiv w:val="1"/>
      <w:marLeft w:val="0"/>
      <w:marRight w:val="0"/>
      <w:marTop w:val="0"/>
      <w:marBottom w:val="0"/>
      <w:divBdr>
        <w:top w:val="none" w:sz="0" w:space="0" w:color="auto"/>
        <w:left w:val="none" w:sz="0" w:space="0" w:color="auto"/>
        <w:bottom w:val="none" w:sz="0" w:space="0" w:color="auto"/>
        <w:right w:val="none" w:sz="0" w:space="0" w:color="auto"/>
      </w:divBdr>
    </w:div>
    <w:div w:id="727920198">
      <w:bodyDiv w:val="1"/>
      <w:marLeft w:val="0"/>
      <w:marRight w:val="0"/>
      <w:marTop w:val="0"/>
      <w:marBottom w:val="0"/>
      <w:divBdr>
        <w:top w:val="none" w:sz="0" w:space="0" w:color="auto"/>
        <w:left w:val="none" w:sz="0" w:space="0" w:color="auto"/>
        <w:bottom w:val="none" w:sz="0" w:space="0" w:color="auto"/>
        <w:right w:val="none" w:sz="0" w:space="0" w:color="auto"/>
      </w:divBdr>
    </w:div>
    <w:div w:id="728188186">
      <w:bodyDiv w:val="1"/>
      <w:marLeft w:val="0"/>
      <w:marRight w:val="0"/>
      <w:marTop w:val="0"/>
      <w:marBottom w:val="0"/>
      <w:divBdr>
        <w:top w:val="none" w:sz="0" w:space="0" w:color="auto"/>
        <w:left w:val="none" w:sz="0" w:space="0" w:color="auto"/>
        <w:bottom w:val="none" w:sz="0" w:space="0" w:color="auto"/>
        <w:right w:val="none" w:sz="0" w:space="0" w:color="auto"/>
      </w:divBdr>
    </w:div>
    <w:div w:id="728724802">
      <w:bodyDiv w:val="1"/>
      <w:marLeft w:val="0"/>
      <w:marRight w:val="0"/>
      <w:marTop w:val="0"/>
      <w:marBottom w:val="0"/>
      <w:divBdr>
        <w:top w:val="none" w:sz="0" w:space="0" w:color="auto"/>
        <w:left w:val="none" w:sz="0" w:space="0" w:color="auto"/>
        <w:bottom w:val="none" w:sz="0" w:space="0" w:color="auto"/>
        <w:right w:val="none" w:sz="0" w:space="0" w:color="auto"/>
      </w:divBdr>
    </w:div>
    <w:div w:id="728847315">
      <w:bodyDiv w:val="1"/>
      <w:marLeft w:val="0"/>
      <w:marRight w:val="0"/>
      <w:marTop w:val="0"/>
      <w:marBottom w:val="0"/>
      <w:divBdr>
        <w:top w:val="none" w:sz="0" w:space="0" w:color="auto"/>
        <w:left w:val="none" w:sz="0" w:space="0" w:color="auto"/>
        <w:bottom w:val="none" w:sz="0" w:space="0" w:color="auto"/>
        <w:right w:val="none" w:sz="0" w:space="0" w:color="auto"/>
      </w:divBdr>
    </w:div>
    <w:div w:id="729307377">
      <w:bodyDiv w:val="1"/>
      <w:marLeft w:val="0"/>
      <w:marRight w:val="0"/>
      <w:marTop w:val="0"/>
      <w:marBottom w:val="0"/>
      <w:divBdr>
        <w:top w:val="none" w:sz="0" w:space="0" w:color="auto"/>
        <w:left w:val="none" w:sz="0" w:space="0" w:color="auto"/>
        <w:bottom w:val="none" w:sz="0" w:space="0" w:color="auto"/>
        <w:right w:val="none" w:sz="0" w:space="0" w:color="auto"/>
      </w:divBdr>
    </w:div>
    <w:div w:id="729496913">
      <w:bodyDiv w:val="1"/>
      <w:marLeft w:val="0"/>
      <w:marRight w:val="0"/>
      <w:marTop w:val="0"/>
      <w:marBottom w:val="0"/>
      <w:divBdr>
        <w:top w:val="none" w:sz="0" w:space="0" w:color="auto"/>
        <w:left w:val="none" w:sz="0" w:space="0" w:color="auto"/>
        <w:bottom w:val="none" w:sz="0" w:space="0" w:color="auto"/>
        <w:right w:val="none" w:sz="0" w:space="0" w:color="auto"/>
      </w:divBdr>
    </w:div>
    <w:div w:id="729503246">
      <w:bodyDiv w:val="1"/>
      <w:marLeft w:val="0"/>
      <w:marRight w:val="0"/>
      <w:marTop w:val="0"/>
      <w:marBottom w:val="0"/>
      <w:divBdr>
        <w:top w:val="none" w:sz="0" w:space="0" w:color="auto"/>
        <w:left w:val="none" w:sz="0" w:space="0" w:color="auto"/>
        <w:bottom w:val="none" w:sz="0" w:space="0" w:color="auto"/>
        <w:right w:val="none" w:sz="0" w:space="0" w:color="auto"/>
      </w:divBdr>
    </w:div>
    <w:div w:id="729572016">
      <w:bodyDiv w:val="1"/>
      <w:marLeft w:val="0"/>
      <w:marRight w:val="0"/>
      <w:marTop w:val="0"/>
      <w:marBottom w:val="0"/>
      <w:divBdr>
        <w:top w:val="none" w:sz="0" w:space="0" w:color="auto"/>
        <w:left w:val="none" w:sz="0" w:space="0" w:color="auto"/>
        <w:bottom w:val="none" w:sz="0" w:space="0" w:color="auto"/>
        <w:right w:val="none" w:sz="0" w:space="0" w:color="auto"/>
      </w:divBdr>
    </w:div>
    <w:div w:id="729575500">
      <w:bodyDiv w:val="1"/>
      <w:marLeft w:val="0"/>
      <w:marRight w:val="0"/>
      <w:marTop w:val="0"/>
      <w:marBottom w:val="0"/>
      <w:divBdr>
        <w:top w:val="none" w:sz="0" w:space="0" w:color="auto"/>
        <w:left w:val="none" w:sz="0" w:space="0" w:color="auto"/>
        <w:bottom w:val="none" w:sz="0" w:space="0" w:color="auto"/>
        <w:right w:val="none" w:sz="0" w:space="0" w:color="auto"/>
      </w:divBdr>
    </w:div>
    <w:div w:id="729887794">
      <w:bodyDiv w:val="1"/>
      <w:marLeft w:val="0"/>
      <w:marRight w:val="0"/>
      <w:marTop w:val="0"/>
      <w:marBottom w:val="0"/>
      <w:divBdr>
        <w:top w:val="none" w:sz="0" w:space="0" w:color="auto"/>
        <w:left w:val="none" w:sz="0" w:space="0" w:color="auto"/>
        <w:bottom w:val="none" w:sz="0" w:space="0" w:color="auto"/>
        <w:right w:val="none" w:sz="0" w:space="0" w:color="auto"/>
      </w:divBdr>
    </w:div>
    <w:div w:id="730077850">
      <w:bodyDiv w:val="1"/>
      <w:marLeft w:val="0"/>
      <w:marRight w:val="0"/>
      <w:marTop w:val="0"/>
      <w:marBottom w:val="0"/>
      <w:divBdr>
        <w:top w:val="none" w:sz="0" w:space="0" w:color="auto"/>
        <w:left w:val="none" w:sz="0" w:space="0" w:color="auto"/>
        <w:bottom w:val="none" w:sz="0" w:space="0" w:color="auto"/>
        <w:right w:val="none" w:sz="0" w:space="0" w:color="auto"/>
      </w:divBdr>
    </w:div>
    <w:div w:id="730158449">
      <w:bodyDiv w:val="1"/>
      <w:marLeft w:val="0"/>
      <w:marRight w:val="0"/>
      <w:marTop w:val="0"/>
      <w:marBottom w:val="0"/>
      <w:divBdr>
        <w:top w:val="none" w:sz="0" w:space="0" w:color="auto"/>
        <w:left w:val="none" w:sz="0" w:space="0" w:color="auto"/>
        <w:bottom w:val="none" w:sz="0" w:space="0" w:color="auto"/>
        <w:right w:val="none" w:sz="0" w:space="0" w:color="auto"/>
      </w:divBdr>
    </w:div>
    <w:div w:id="730351889">
      <w:bodyDiv w:val="1"/>
      <w:marLeft w:val="0"/>
      <w:marRight w:val="0"/>
      <w:marTop w:val="0"/>
      <w:marBottom w:val="0"/>
      <w:divBdr>
        <w:top w:val="none" w:sz="0" w:space="0" w:color="auto"/>
        <w:left w:val="none" w:sz="0" w:space="0" w:color="auto"/>
        <w:bottom w:val="none" w:sz="0" w:space="0" w:color="auto"/>
        <w:right w:val="none" w:sz="0" w:space="0" w:color="auto"/>
      </w:divBdr>
    </w:div>
    <w:div w:id="730421106">
      <w:bodyDiv w:val="1"/>
      <w:marLeft w:val="0"/>
      <w:marRight w:val="0"/>
      <w:marTop w:val="0"/>
      <w:marBottom w:val="0"/>
      <w:divBdr>
        <w:top w:val="none" w:sz="0" w:space="0" w:color="auto"/>
        <w:left w:val="none" w:sz="0" w:space="0" w:color="auto"/>
        <w:bottom w:val="none" w:sz="0" w:space="0" w:color="auto"/>
        <w:right w:val="none" w:sz="0" w:space="0" w:color="auto"/>
      </w:divBdr>
    </w:div>
    <w:div w:id="730739522">
      <w:bodyDiv w:val="1"/>
      <w:marLeft w:val="0"/>
      <w:marRight w:val="0"/>
      <w:marTop w:val="0"/>
      <w:marBottom w:val="0"/>
      <w:divBdr>
        <w:top w:val="none" w:sz="0" w:space="0" w:color="auto"/>
        <w:left w:val="none" w:sz="0" w:space="0" w:color="auto"/>
        <w:bottom w:val="none" w:sz="0" w:space="0" w:color="auto"/>
        <w:right w:val="none" w:sz="0" w:space="0" w:color="auto"/>
      </w:divBdr>
    </w:div>
    <w:div w:id="730805559">
      <w:bodyDiv w:val="1"/>
      <w:marLeft w:val="0"/>
      <w:marRight w:val="0"/>
      <w:marTop w:val="0"/>
      <w:marBottom w:val="0"/>
      <w:divBdr>
        <w:top w:val="none" w:sz="0" w:space="0" w:color="auto"/>
        <w:left w:val="none" w:sz="0" w:space="0" w:color="auto"/>
        <w:bottom w:val="none" w:sz="0" w:space="0" w:color="auto"/>
        <w:right w:val="none" w:sz="0" w:space="0" w:color="auto"/>
      </w:divBdr>
    </w:div>
    <w:div w:id="730883264">
      <w:bodyDiv w:val="1"/>
      <w:marLeft w:val="0"/>
      <w:marRight w:val="0"/>
      <w:marTop w:val="0"/>
      <w:marBottom w:val="0"/>
      <w:divBdr>
        <w:top w:val="none" w:sz="0" w:space="0" w:color="auto"/>
        <w:left w:val="none" w:sz="0" w:space="0" w:color="auto"/>
        <w:bottom w:val="none" w:sz="0" w:space="0" w:color="auto"/>
        <w:right w:val="none" w:sz="0" w:space="0" w:color="auto"/>
      </w:divBdr>
    </w:div>
    <w:div w:id="730925660">
      <w:bodyDiv w:val="1"/>
      <w:marLeft w:val="0"/>
      <w:marRight w:val="0"/>
      <w:marTop w:val="0"/>
      <w:marBottom w:val="0"/>
      <w:divBdr>
        <w:top w:val="none" w:sz="0" w:space="0" w:color="auto"/>
        <w:left w:val="none" w:sz="0" w:space="0" w:color="auto"/>
        <w:bottom w:val="none" w:sz="0" w:space="0" w:color="auto"/>
        <w:right w:val="none" w:sz="0" w:space="0" w:color="auto"/>
      </w:divBdr>
    </w:div>
    <w:div w:id="730928341">
      <w:bodyDiv w:val="1"/>
      <w:marLeft w:val="0"/>
      <w:marRight w:val="0"/>
      <w:marTop w:val="0"/>
      <w:marBottom w:val="0"/>
      <w:divBdr>
        <w:top w:val="none" w:sz="0" w:space="0" w:color="auto"/>
        <w:left w:val="none" w:sz="0" w:space="0" w:color="auto"/>
        <w:bottom w:val="none" w:sz="0" w:space="0" w:color="auto"/>
        <w:right w:val="none" w:sz="0" w:space="0" w:color="auto"/>
      </w:divBdr>
    </w:div>
    <w:div w:id="730932973">
      <w:bodyDiv w:val="1"/>
      <w:marLeft w:val="0"/>
      <w:marRight w:val="0"/>
      <w:marTop w:val="0"/>
      <w:marBottom w:val="0"/>
      <w:divBdr>
        <w:top w:val="none" w:sz="0" w:space="0" w:color="auto"/>
        <w:left w:val="none" w:sz="0" w:space="0" w:color="auto"/>
        <w:bottom w:val="none" w:sz="0" w:space="0" w:color="auto"/>
        <w:right w:val="none" w:sz="0" w:space="0" w:color="auto"/>
      </w:divBdr>
    </w:div>
    <w:div w:id="731393392">
      <w:bodyDiv w:val="1"/>
      <w:marLeft w:val="0"/>
      <w:marRight w:val="0"/>
      <w:marTop w:val="0"/>
      <w:marBottom w:val="0"/>
      <w:divBdr>
        <w:top w:val="none" w:sz="0" w:space="0" w:color="auto"/>
        <w:left w:val="none" w:sz="0" w:space="0" w:color="auto"/>
        <w:bottom w:val="none" w:sz="0" w:space="0" w:color="auto"/>
        <w:right w:val="none" w:sz="0" w:space="0" w:color="auto"/>
      </w:divBdr>
    </w:div>
    <w:div w:id="731578883">
      <w:bodyDiv w:val="1"/>
      <w:marLeft w:val="0"/>
      <w:marRight w:val="0"/>
      <w:marTop w:val="0"/>
      <w:marBottom w:val="0"/>
      <w:divBdr>
        <w:top w:val="none" w:sz="0" w:space="0" w:color="auto"/>
        <w:left w:val="none" w:sz="0" w:space="0" w:color="auto"/>
        <w:bottom w:val="none" w:sz="0" w:space="0" w:color="auto"/>
        <w:right w:val="none" w:sz="0" w:space="0" w:color="auto"/>
      </w:divBdr>
    </w:div>
    <w:div w:id="731735422">
      <w:bodyDiv w:val="1"/>
      <w:marLeft w:val="0"/>
      <w:marRight w:val="0"/>
      <w:marTop w:val="0"/>
      <w:marBottom w:val="0"/>
      <w:divBdr>
        <w:top w:val="none" w:sz="0" w:space="0" w:color="auto"/>
        <w:left w:val="none" w:sz="0" w:space="0" w:color="auto"/>
        <w:bottom w:val="none" w:sz="0" w:space="0" w:color="auto"/>
        <w:right w:val="none" w:sz="0" w:space="0" w:color="auto"/>
      </w:divBdr>
    </w:div>
    <w:div w:id="731779200">
      <w:bodyDiv w:val="1"/>
      <w:marLeft w:val="0"/>
      <w:marRight w:val="0"/>
      <w:marTop w:val="0"/>
      <w:marBottom w:val="0"/>
      <w:divBdr>
        <w:top w:val="none" w:sz="0" w:space="0" w:color="auto"/>
        <w:left w:val="none" w:sz="0" w:space="0" w:color="auto"/>
        <w:bottom w:val="none" w:sz="0" w:space="0" w:color="auto"/>
        <w:right w:val="none" w:sz="0" w:space="0" w:color="auto"/>
      </w:divBdr>
    </w:div>
    <w:div w:id="731972963">
      <w:bodyDiv w:val="1"/>
      <w:marLeft w:val="0"/>
      <w:marRight w:val="0"/>
      <w:marTop w:val="0"/>
      <w:marBottom w:val="0"/>
      <w:divBdr>
        <w:top w:val="none" w:sz="0" w:space="0" w:color="auto"/>
        <w:left w:val="none" w:sz="0" w:space="0" w:color="auto"/>
        <w:bottom w:val="none" w:sz="0" w:space="0" w:color="auto"/>
        <w:right w:val="none" w:sz="0" w:space="0" w:color="auto"/>
      </w:divBdr>
    </w:div>
    <w:div w:id="731999147">
      <w:bodyDiv w:val="1"/>
      <w:marLeft w:val="0"/>
      <w:marRight w:val="0"/>
      <w:marTop w:val="0"/>
      <w:marBottom w:val="0"/>
      <w:divBdr>
        <w:top w:val="none" w:sz="0" w:space="0" w:color="auto"/>
        <w:left w:val="none" w:sz="0" w:space="0" w:color="auto"/>
        <w:bottom w:val="none" w:sz="0" w:space="0" w:color="auto"/>
        <w:right w:val="none" w:sz="0" w:space="0" w:color="auto"/>
      </w:divBdr>
    </w:div>
    <w:div w:id="732003471">
      <w:bodyDiv w:val="1"/>
      <w:marLeft w:val="0"/>
      <w:marRight w:val="0"/>
      <w:marTop w:val="0"/>
      <w:marBottom w:val="0"/>
      <w:divBdr>
        <w:top w:val="none" w:sz="0" w:space="0" w:color="auto"/>
        <w:left w:val="none" w:sz="0" w:space="0" w:color="auto"/>
        <w:bottom w:val="none" w:sz="0" w:space="0" w:color="auto"/>
        <w:right w:val="none" w:sz="0" w:space="0" w:color="auto"/>
      </w:divBdr>
    </w:div>
    <w:div w:id="732311963">
      <w:bodyDiv w:val="1"/>
      <w:marLeft w:val="0"/>
      <w:marRight w:val="0"/>
      <w:marTop w:val="0"/>
      <w:marBottom w:val="0"/>
      <w:divBdr>
        <w:top w:val="none" w:sz="0" w:space="0" w:color="auto"/>
        <w:left w:val="none" w:sz="0" w:space="0" w:color="auto"/>
        <w:bottom w:val="none" w:sz="0" w:space="0" w:color="auto"/>
        <w:right w:val="none" w:sz="0" w:space="0" w:color="auto"/>
      </w:divBdr>
    </w:div>
    <w:div w:id="732585029">
      <w:bodyDiv w:val="1"/>
      <w:marLeft w:val="0"/>
      <w:marRight w:val="0"/>
      <w:marTop w:val="0"/>
      <w:marBottom w:val="0"/>
      <w:divBdr>
        <w:top w:val="none" w:sz="0" w:space="0" w:color="auto"/>
        <w:left w:val="none" w:sz="0" w:space="0" w:color="auto"/>
        <w:bottom w:val="none" w:sz="0" w:space="0" w:color="auto"/>
        <w:right w:val="none" w:sz="0" w:space="0" w:color="auto"/>
      </w:divBdr>
    </w:div>
    <w:div w:id="732697200">
      <w:bodyDiv w:val="1"/>
      <w:marLeft w:val="0"/>
      <w:marRight w:val="0"/>
      <w:marTop w:val="0"/>
      <w:marBottom w:val="0"/>
      <w:divBdr>
        <w:top w:val="none" w:sz="0" w:space="0" w:color="auto"/>
        <w:left w:val="none" w:sz="0" w:space="0" w:color="auto"/>
        <w:bottom w:val="none" w:sz="0" w:space="0" w:color="auto"/>
        <w:right w:val="none" w:sz="0" w:space="0" w:color="auto"/>
      </w:divBdr>
    </w:div>
    <w:div w:id="732970399">
      <w:bodyDiv w:val="1"/>
      <w:marLeft w:val="0"/>
      <w:marRight w:val="0"/>
      <w:marTop w:val="0"/>
      <w:marBottom w:val="0"/>
      <w:divBdr>
        <w:top w:val="none" w:sz="0" w:space="0" w:color="auto"/>
        <w:left w:val="none" w:sz="0" w:space="0" w:color="auto"/>
        <w:bottom w:val="none" w:sz="0" w:space="0" w:color="auto"/>
        <w:right w:val="none" w:sz="0" w:space="0" w:color="auto"/>
      </w:divBdr>
    </w:div>
    <w:div w:id="733282893">
      <w:bodyDiv w:val="1"/>
      <w:marLeft w:val="0"/>
      <w:marRight w:val="0"/>
      <w:marTop w:val="0"/>
      <w:marBottom w:val="0"/>
      <w:divBdr>
        <w:top w:val="none" w:sz="0" w:space="0" w:color="auto"/>
        <w:left w:val="none" w:sz="0" w:space="0" w:color="auto"/>
        <w:bottom w:val="none" w:sz="0" w:space="0" w:color="auto"/>
        <w:right w:val="none" w:sz="0" w:space="0" w:color="auto"/>
      </w:divBdr>
    </w:div>
    <w:div w:id="733309683">
      <w:bodyDiv w:val="1"/>
      <w:marLeft w:val="0"/>
      <w:marRight w:val="0"/>
      <w:marTop w:val="0"/>
      <w:marBottom w:val="0"/>
      <w:divBdr>
        <w:top w:val="none" w:sz="0" w:space="0" w:color="auto"/>
        <w:left w:val="none" w:sz="0" w:space="0" w:color="auto"/>
        <w:bottom w:val="none" w:sz="0" w:space="0" w:color="auto"/>
        <w:right w:val="none" w:sz="0" w:space="0" w:color="auto"/>
      </w:divBdr>
    </w:div>
    <w:div w:id="733429183">
      <w:bodyDiv w:val="1"/>
      <w:marLeft w:val="0"/>
      <w:marRight w:val="0"/>
      <w:marTop w:val="0"/>
      <w:marBottom w:val="0"/>
      <w:divBdr>
        <w:top w:val="none" w:sz="0" w:space="0" w:color="auto"/>
        <w:left w:val="none" w:sz="0" w:space="0" w:color="auto"/>
        <w:bottom w:val="none" w:sz="0" w:space="0" w:color="auto"/>
        <w:right w:val="none" w:sz="0" w:space="0" w:color="auto"/>
      </w:divBdr>
    </w:div>
    <w:div w:id="733504273">
      <w:bodyDiv w:val="1"/>
      <w:marLeft w:val="0"/>
      <w:marRight w:val="0"/>
      <w:marTop w:val="0"/>
      <w:marBottom w:val="0"/>
      <w:divBdr>
        <w:top w:val="none" w:sz="0" w:space="0" w:color="auto"/>
        <w:left w:val="none" w:sz="0" w:space="0" w:color="auto"/>
        <w:bottom w:val="none" w:sz="0" w:space="0" w:color="auto"/>
        <w:right w:val="none" w:sz="0" w:space="0" w:color="auto"/>
      </w:divBdr>
    </w:div>
    <w:div w:id="733625045">
      <w:bodyDiv w:val="1"/>
      <w:marLeft w:val="0"/>
      <w:marRight w:val="0"/>
      <w:marTop w:val="0"/>
      <w:marBottom w:val="0"/>
      <w:divBdr>
        <w:top w:val="none" w:sz="0" w:space="0" w:color="auto"/>
        <w:left w:val="none" w:sz="0" w:space="0" w:color="auto"/>
        <w:bottom w:val="none" w:sz="0" w:space="0" w:color="auto"/>
        <w:right w:val="none" w:sz="0" w:space="0" w:color="auto"/>
      </w:divBdr>
    </w:div>
    <w:div w:id="733746446">
      <w:bodyDiv w:val="1"/>
      <w:marLeft w:val="0"/>
      <w:marRight w:val="0"/>
      <w:marTop w:val="0"/>
      <w:marBottom w:val="0"/>
      <w:divBdr>
        <w:top w:val="none" w:sz="0" w:space="0" w:color="auto"/>
        <w:left w:val="none" w:sz="0" w:space="0" w:color="auto"/>
        <w:bottom w:val="none" w:sz="0" w:space="0" w:color="auto"/>
        <w:right w:val="none" w:sz="0" w:space="0" w:color="auto"/>
      </w:divBdr>
    </w:div>
    <w:div w:id="733817510">
      <w:bodyDiv w:val="1"/>
      <w:marLeft w:val="0"/>
      <w:marRight w:val="0"/>
      <w:marTop w:val="0"/>
      <w:marBottom w:val="0"/>
      <w:divBdr>
        <w:top w:val="none" w:sz="0" w:space="0" w:color="auto"/>
        <w:left w:val="none" w:sz="0" w:space="0" w:color="auto"/>
        <w:bottom w:val="none" w:sz="0" w:space="0" w:color="auto"/>
        <w:right w:val="none" w:sz="0" w:space="0" w:color="auto"/>
      </w:divBdr>
    </w:div>
    <w:div w:id="733896270">
      <w:bodyDiv w:val="1"/>
      <w:marLeft w:val="0"/>
      <w:marRight w:val="0"/>
      <w:marTop w:val="0"/>
      <w:marBottom w:val="0"/>
      <w:divBdr>
        <w:top w:val="none" w:sz="0" w:space="0" w:color="auto"/>
        <w:left w:val="none" w:sz="0" w:space="0" w:color="auto"/>
        <w:bottom w:val="none" w:sz="0" w:space="0" w:color="auto"/>
        <w:right w:val="none" w:sz="0" w:space="0" w:color="auto"/>
      </w:divBdr>
    </w:div>
    <w:div w:id="734157364">
      <w:bodyDiv w:val="1"/>
      <w:marLeft w:val="0"/>
      <w:marRight w:val="0"/>
      <w:marTop w:val="0"/>
      <w:marBottom w:val="0"/>
      <w:divBdr>
        <w:top w:val="none" w:sz="0" w:space="0" w:color="auto"/>
        <w:left w:val="none" w:sz="0" w:space="0" w:color="auto"/>
        <w:bottom w:val="none" w:sz="0" w:space="0" w:color="auto"/>
        <w:right w:val="none" w:sz="0" w:space="0" w:color="auto"/>
      </w:divBdr>
    </w:div>
    <w:div w:id="734201093">
      <w:bodyDiv w:val="1"/>
      <w:marLeft w:val="0"/>
      <w:marRight w:val="0"/>
      <w:marTop w:val="0"/>
      <w:marBottom w:val="0"/>
      <w:divBdr>
        <w:top w:val="none" w:sz="0" w:space="0" w:color="auto"/>
        <w:left w:val="none" w:sz="0" w:space="0" w:color="auto"/>
        <w:bottom w:val="none" w:sz="0" w:space="0" w:color="auto"/>
        <w:right w:val="none" w:sz="0" w:space="0" w:color="auto"/>
      </w:divBdr>
    </w:div>
    <w:div w:id="734204080">
      <w:bodyDiv w:val="1"/>
      <w:marLeft w:val="0"/>
      <w:marRight w:val="0"/>
      <w:marTop w:val="0"/>
      <w:marBottom w:val="0"/>
      <w:divBdr>
        <w:top w:val="none" w:sz="0" w:space="0" w:color="auto"/>
        <w:left w:val="none" w:sz="0" w:space="0" w:color="auto"/>
        <w:bottom w:val="none" w:sz="0" w:space="0" w:color="auto"/>
        <w:right w:val="none" w:sz="0" w:space="0" w:color="auto"/>
      </w:divBdr>
    </w:div>
    <w:div w:id="734278707">
      <w:bodyDiv w:val="1"/>
      <w:marLeft w:val="0"/>
      <w:marRight w:val="0"/>
      <w:marTop w:val="0"/>
      <w:marBottom w:val="0"/>
      <w:divBdr>
        <w:top w:val="none" w:sz="0" w:space="0" w:color="auto"/>
        <w:left w:val="none" w:sz="0" w:space="0" w:color="auto"/>
        <w:bottom w:val="none" w:sz="0" w:space="0" w:color="auto"/>
        <w:right w:val="none" w:sz="0" w:space="0" w:color="auto"/>
      </w:divBdr>
    </w:div>
    <w:div w:id="734469162">
      <w:bodyDiv w:val="1"/>
      <w:marLeft w:val="0"/>
      <w:marRight w:val="0"/>
      <w:marTop w:val="0"/>
      <w:marBottom w:val="0"/>
      <w:divBdr>
        <w:top w:val="none" w:sz="0" w:space="0" w:color="auto"/>
        <w:left w:val="none" w:sz="0" w:space="0" w:color="auto"/>
        <w:bottom w:val="none" w:sz="0" w:space="0" w:color="auto"/>
        <w:right w:val="none" w:sz="0" w:space="0" w:color="auto"/>
      </w:divBdr>
    </w:div>
    <w:div w:id="734624354">
      <w:bodyDiv w:val="1"/>
      <w:marLeft w:val="0"/>
      <w:marRight w:val="0"/>
      <w:marTop w:val="0"/>
      <w:marBottom w:val="0"/>
      <w:divBdr>
        <w:top w:val="none" w:sz="0" w:space="0" w:color="auto"/>
        <w:left w:val="none" w:sz="0" w:space="0" w:color="auto"/>
        <w:bottom w:val="none" w:sz="0" w:space="0" w:color="auto"/>
        <w:right w:val="none" w:sz="0" w:space="0" w:color="auto"/>
      </w:divBdr>
    </w:div>
    <w:div w:id="734667246">
      <w:bodyDiv w:val="1"/>
      <w:marLeft w:val="0"/>
      <w:marRight w:val="0"/>
      <w:marTop w:val="0"/>
      <w:marBottom w:val="0"/>
      <w:divBdr>
        <w:top w:val="none" w:sz="0" w:space="0" w:color="auto"/>
        <w:left w:val="none" w:sz="0" w:space="0" w:color="auto"/>
        <w:bottom w:val="none" w:sz="0" w:space="0" w:color="auto"/>
        <w:right w:val="none" w:sz="0" w:space="0" w:color="auto"/>
      </w:divBdr>
    </w:div>
    <w:div w:id="734856028">
      <w:bodyDiv w:val="1"/>
      <w:marLeft w:val="0"/>
      <w:marRight w:val="0"/>
      <w:marTop w:val="0"/>
      <w:marBottom w:val="0"/>
      <w:divBdr>
        <w:top w:val="none" w:sz="0" w:space="0" w:color="auto"/>
        <w:left w:val="none" w:sz="0" w:space="0" w:color="auto"/>
        <w:bottom w:val="none" w:sz="0" w:space="0" w:color="auto"/>
        <w:right w:val="none" w:sz="0" w:space="0" w:color="auto"/>
      </w:divBdr>
    </w:div>
    <w:div w:id="734935111">
      <w:bodyDiv w:val="1"/>
      <w:marLeft w:val="0"/>
      <w:marRight w:val="0"/>
      <w:marTop w:val="0"/>
      <w:marBottom w:val="0"/>
      <w:divBdr>
        <w:top w:val="none" w:sz="0" w:space="0" w:color="auto"/>
        <w:left w:val="none" w:sz="0" w:space="0" w:color="auto"/>
        <w:bottom w:val="none" w:sz="0" w:space="0" w:color="auto"/>
        <w:right w:val="none" w:sz="0" w:space="0" w:color="auto"/>
      </w:divBdr>
    </w:div>
    <w:div w:id="735129307">
      <w:bodyDiv w:val="1"/>
      <w:marLeft w:val="0"/>
      <w:marRight w:val="0"/>
      <w:marTop w:val="0"/>
      <w:marBottom w:val="0"/>
      <w:divBdr>
        <w:top w:val="none" w:sz="0" w:space="0" w:color="auto"/>
        <w:left w:val="none" w:sz="0" w:space="0" w:color="auto"/>
        <w:bottom w:val="none" w:sz="0" w:space="0" w:color="auto"/>
        <w:right w:val="none" w:sz="0" w:space="0" w:color="auto"/>
      </w:divBdr>
    </w:div>
    <w:div w:id="735132310">
      <w:bodyDiv w:val="1"/>
      <w:marLeft w:val="0"/>
      <w:marRight w:val="0"/>
      <w:marTop w:val="0"/>
      <w:marBottom w:val="0"/>
      <w:divBdr>
        <w:top w:val="none" w:sz="0" w:space="0" w:color="auto"/>
        <w:left w:val="none" w:sz="0" w:space="0" w:color="auto"/>
        <w:bottom w:val="none" w:sz="0" w:space="0" w:color="auto"/>
        <w:right w:val="none" w:sz="0" w:space="0" w:color="auto"/>
      </w:divBdr>
    </w:div>
    <w:div w:id="735201319">
      <w:bodyDiv w:val="1"/>
      <w:marLeft w:val="0"/>
      <w:marRight w:val="0"/>
      <w:marTop w:val="0"/>
      <w:marBottom w:val="0"/>
      <w:divBdr>
        <w:top w:val="none" w:sz="0" w:space="0" w:color="auto"/>
        <w:left w:val="none" w:sz="0" w:space="0" w:color="auto"/>
        <w:bottom w:val="none" w:sz="0" w:space="0" w:color="auto"/>
        <w:right w:val="none" w:sz="0" w:space="0" w:color="auto"/>
      </w:divBdr>
    </w:div>
    <w:div w:id="735250927">
      <w:bodyDiv w:val="1"/>
      <w:marLeft w:val="0"/>
      <w:marRight w:val="0"/>
      <w:marTop w:val="0"/>
      <w:marBottom w:val="0"/>
      <w:divBdr>
        <w:top w:val="none" w:sz="0" w:space="0" w:color="auto"/>
        <w:left w:val="none" w:sz="0" w:space="0" w:color="auto"/>
        <w:bottom w:val="none" w:sz="0" w:space="0" w:color="auto"/>
        <w:right w:val="none" w:sz="0" w:space="0" w:color="auto"/>
      </w:divBdr>
    </w:div>
    <w:div w:id="735277809">
      <w:bodyDiv w:val="1"/>
      <w:marLeft w:val="0"/>
      <w:marRight w:val="0"/>
      <w:marTop w:val="0"/>
      <w:marBottom w:val="0"/>
      <w:divBdr>
        <w:top w:val="none" w:sz="0" w:space="0" w:color="auto"/>
        <w:left w:val="none" w:sz="0" w:space="0" w:color="auto"/>
        <w:bottom w:val="none" w:sz="0" w:space="0" w:color="auto"/>
        <w:right w:val="none" w:sz="0" w:space="0" w:color="auto"/>
      </w:divBdr>
    </w:div>
    <w:div w:id="735324460">
      <w:bodyDiv w:val="1"/>
      <w:marLeft w:val="0"/>
      <w:marRight w:val="0"/>
      <w:marTop w:val="0"/>
      <w:marBottom w:val="0"/>
      <w:divBdr>
        <w:top w:val="none" w:sz="0" w:space="0" w:color="auto"/>
        <w:left w:val="none" w:sz="0" w:space="0" w:color="auto"/>
        <w:bottom w:val="none" w:sz="0" w:space="0" w:color="auto"/>
        <w:right w:val="none" w:sz="0" w:space="0" w:color="auto"/>
      </w:divBdr>
    </w:div>
    <w:div w:id="735514207">
      <w:bodyDiv w:val="1"/>
      <w:marLeft w:val="0"/>
      <w:marRight w:val="0"/>
      <w:marTop w:val="0"/>
      <w:marBottom w:val="0"/>
      <w:divBdr>
        <w:top w:val="none" w:sz="0" w:space="0" w:color="auto"/>
        <w:left w:val="none" w:sz="0" w:space="0" w:color="auto"/>
        <w:bottom w:val="none" w:sz="0" w:space="0" w:color="auto"/>
        <w:right w:val="none" w:sz="0" w:space="0" w:color="auto"/>
      </w:divBdr>
    </w:div>
    <w:div w:id="735782211">
      <w:bodyDiv w:val="1"/>
      <w:marLeft w:val="0"/>
      <w:marRight w:val="0"/>
      <w:marTop w:val="0"/>
      <w:marBottom w:val="0"/>
      <w:divBdr>
        <w:top w:val="none" w:sz="0" w:space="0" w:color="auto"/>
        <w:left w:val="none" w:sz="0" w:space="0" w:color="auto"/>
        <w:bottom w:val="none" w:sz="0" w:space="0" w:color="auto"/>
        <w:right w:val="none" w:sz="0" w:space="0" w:color="auto"/>
      </w:divBdr>
    </w:div>
    <w:div w:id="735786672">
      <w:bodyDiv w:val="1"/>
      <w:marLeft w:val="0"/>
      <w:marRight w:val="0"/>
      <w:marTop w:val="0"/>
      <w:marBottom w:val="0"/>
      <w:divBdr>
        <w:top w:val="none" w:sz="0" w:space="0" w:color="auto"/>
        <w:left w:val="none" w:sz="0" w:space="0" w:color="auto"/>
        <w:bottom w:val="none" w:sz="0" w:space="0" w:color="auto"/>
        <w:right w:val="none" w:sz="0" w:space="0" w:color="auto"/>
      </w:divBdr>
    </w:div>
    <w:div w:id="735905308">
      <w:bodyDiv w:val="1"/>
      <w:marLeft w:val="0"/>
      <w:marRight w:val="0"/>
      <w:marTop w:val="0"/>
      <w:marBottom w:val="0"/>
      <w:divBdr>
        <w:top w:val="none" w:sz="0" w:space="0" w:color="auto"/>
        <w:left w:val="none" w:sz="0" w:space="0" w:color="auto"/>
        <w:bottom w:val="none" w:sz="0" w:space="0" w:color="auto"/>
        <w:right w:val="none" w:sz="0" w:space="0" w:color="auto"/>
      </w:divBdr>
    </w:div>
    <w:div w:id="735976513">
      <w:bodyDiv w:val="1"/>
      <w:marLeft w:val="0"/>
      <w:marRight w:val="0"/>
      <w:marTop w:val="0"/>
      <w:marBottom w:val="0"/>
      <w:divBdr>
        <w:top w:val="none" w:sz="0" w:space="0" w:color="auto"/>
        <w:left w:val="none" w:sz="0" w:space="0" w:color="auto"/>
        <w:bottom w:val="none" w:sz="0" w:space="0" w:color="auto"/>
        <w:right w:val="none" w:sz="0" w:space="0" w:color="auto"/>
      </w:divBdr>
    </w:div>
    <w:div w:id="735977639">
      <w:bodyDiv w:val="1"/>
      <w:marLeft w:val="0"/>
      <w:marRight w:val="0"/>
      <w:marTop w:val="0"/>
      <w:marBottom w:val="0"/>
      <w:divBdr>
        <w:top w:val="none" w:sz="0" w:space="0" w:color="auto"/>
        <w:left w:val="none" w:sz="0" w:space="0" w:color="auto"/>
        <w:bottom w:val="none" w:sz="0" w:space="0" w:color="auto"/>
        <w:right w:val="none" w:sz="0" w:space="0" w:color="auto"/>
      </w:divBdr>
    </w:div>
    <w:div w:id="736437475">
      <w:bodyDiv w:val="1"/>
      <w:marLeft w:val="0"/>
      <w:marRight w:val="0"/>
      <w:marTop w:val="0"/>
      <w:marBottom w:val="0"/>
      <w:divBdr>
        <w:top w:val="none" w:sz="0" w:space="0" w:color="auto"/>
        <w:left w:val="none" w:sz="0" w:space="0" w:color="auto"/>
        <w:bottom w:val="none" w:sz="0" w:space="0" w:color="auto"/>
        <w:right w:val="none" w:sz="0" w:space="0" w:color="auto"/>
      </w:divBdr>
    </w:div>
    <w:div w:id="736516793">
      <w:bodyDiv w:val="1"/>
      <w:marLeft w:val="0"/>
      <w:marRight w:val="0"/>
      <w:marTop w:val="0"/>
      <w:marBottom w:val="0"/>
      <w:divBdr>
        <w:top w:val="none" w:sz="0" w:space="0" w:color="auto"/>
        <w:left w:val="none" w:sz="0" w:space="0" w:color="auto"/>
        <w:bottom w:val="none" w:sz="0" w:space="0" w:color="auto"/>
        <w:right w:val="none" w:sz="0" w:space="0" w:color="auto"/>
      </w:divBdr>
    </w:div>
    <w:div w:id="736586686">
      <w:bodyDiv w:val="1"/>
      <w:marLeft w:val="0"/>
      <w:marRight w:val="0"/>
      <w:marTop w:val="0"/>
      <w:marBottom w:val="0"/>
      <w:divBdr>
        <w:top w:val="none" w:sz="0" w:space="0" w:color="auto"/>
        <w:left w:val="none" w:sz="0" w:space="0" w:color="auto"/>
        <w:bottom w:val="none" w:sz="0" w:space="0" w:color="auto"/>
        <w:right w:val="none" w:sz="0" w:space="0" w:color="auto"/>
      </w:divBdr>
    </w:div>
    <w:div w:id="736826496">
      <w:bodyDiv w:val="1"/>
      <w:marLeft w:val="0"/>
      <w:marRight w:val="0"/>
      <w:marTop w:val="0"/>
      <w:marBottom w:val="0"/>
      <w:divBdr>
        <w:top w:val="none" w:sz="0" w:space="0" w:color="auto"/>
        <w:left w:val="none" w:sz="0" w:space="0" w:color="auto"/>
        <w:bottom w:val="none" w:sz="0" w:space="0" w:color="auto"/>
        <w:right w:val="none" w:sz="0" w:space="0" w:color="auto"/>
      </w:divBdr>
    </w:div>
    <w:div w:id="737478311">
      <w:bodyDiv w:val="1"/>
      <w:marLeft w:val="0"/>
      <w:marRight w:val="0"/>
      <w:marTop w:val="0"/>
      <w:marBottom w:val="0"/>
      <w:divBdr>
        <w:top w:val="none" w:sz="0" w:space="0" w:color="auto"/>
        <w:left w:val="none" w:sz="0" w:space="0" w:color="auto"/>
        <w:bottom w:val="none" w:sz="0" w:space="0" w:color="auto"/>
        <w:right w:val="none" w:sz="0" w:space="0" w:color="auto"/>
      </w:divBdr>
    </w:div>
    <w:div w:id="737479227">
      <w:bodyDiv w:val="1"/>
      <w:marLeft w:val="0"/>
      <w:marRight w:val="0"/>
      <w:marTop w:val="0"/>
      <w:marBottom w:val="0"/>
      <w:divBdr>
        <w:top w:val="none" w:sz="0" w:space="0" w:color="auto"/>
        <w:left w:val="none" w:sz="0" w:space="0" w:color="auto"/>
        <w:bottom w:val="none" w:sz="0" w:space="0" w:color="auto"/>
        <w:right w:val="none" w:sz="0" w:space="0" w:color="auto"/>
      </w:divBdr>
    </w:div>
    <w:div w:id="737747100">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9155">
      <w:bodyDiv w:val="1"/>
      <w:marLeft w:val="0"/>
      <w:marRight w:val="0"/>
      <w:marTop w:val="0"/>
      <w:marBottom w:val="0"/>
      <w:divBdr>
        <w:top w:val="none" w:sz="0" w:space="0" w:color="auto"/>
        <w:left w:val="none" w:sz="0" w:space="0" w:color="auto"/>
        <w:bottom w:val="none" w:sz="0" w:space="0" w:color="auto"/>
        <w:right w:val="none" w:sz="0" w:space="0" w:color="auto"/>
      </w:divBdr>
    </w:div>
    <w:div w:id="738092035">
      <w:bodyDiv w:val="1"/>
      <w:marLeft w:val="0"/>
      <w:marRight w:val="0"/>
      <w:marTop w:val="0"/>
      <w:marBottom w:val="0"/>
      <w:divBdr>
        <w:top w:val="none" w:sz="0" w:space="0" w:color="auto"/>
        <w:left w:val="none" w:sz="0" w:space="0" w:color="auto"/>
        <w:bottom w:val="none" w:sz="0" w:space="0" w:color="auto"/>
        <w:right w:val="none" w:sz="0" w:space="0" w:color="auto"/>
      </w:divBdr>
    </w:div>
    <w:div w:id="738092123">
      <w:bodyDiv w:val="1"/>
      <w:marLeft w:val="0"/>
      <w:marRight w:val="0"/>
      <w:marTop w:val="0"/>
      <w:marBottom w:val="0"/>
      <w:divBdr>
        <w:top w:val="none" w:sz="0" w:space="0" w:color="auto"/>
        <w:left w:val="none" w:sz="0" w:space="0" w:color="auto"/>
        <w:bottom w:val="none" w:sz="0" w:space="0" w:color="auto"/>
        <w:right w:val="none" w:sz="0" w:space="0" w:color="auto"/>
      </w:divBdr>
    </w:div>
    <w:div w:id="738140204">
      <w:bodyDiv w:val="1"/>
      <w:marLeft w:val="0"/>
      <w:marRight w:val="0"/>
      <w:marTop w:val="0"/>
      <w:marBottom w:val="0"/>
      <w:divBdr>
        <w:top w:val="none" w:sz="0" w:space="0" w:color="auto"/>
        <w:left w:val="none" w:sz="0" w:space="0" w:color="auto"/>
        <w:bottom w:val="none" w:sz="0" w:space="0" w:color="auto"/>
        <w:right w:val="none" w:sz="0" w:space="0" w:color="auto"/>
      </w:divBdr>
    </w:div>
    <w:div w:id="738402566">
      <w:bodyDiv w:val="1"/>
      <w:marLeft w:val="0"/>
      <w:marRight w:val="0"/>
      <w:marTop w:val="0"/>
      <w:marBottom w:val="0"/>
      <w:divBdr>
        <w:top w:val="none" w:sz="0" w:space="0" w:color="auto"/>
        <w:left w:val="none" w:sz="0" w:space="0" w:color="auto"/>
        <w:bottom w:val="none" w:sz="0" w:space="0" w:color="auto"/>
        <w:right w:val="none" w:sz="0" w:space="0" w:color="auto"/>
      </w:divBdr>
    </w:div>
    <w:div w:id="738552729">
      <w:bodyDiv w:val="1"/>
      <w:marLeft w:val="0"/>
      <w:marRight w:val="0"/>
      <w:marTop w:val="0"/>
      <w:marBottom w:val="0"/>
      <w:divBdr>
        <w:top w:val="none" w:sz="0" w:space="0" w:color="auto"/>
        <w:left w:val="none" w:sz="0" w:space="0" w:color="auto"/>
        <w:bottom w:val="none" w:sz="0" w:space="0" w:color="auto"/>
        <w:right w:val="none" w:sz="0" w:space="0" w:color="auto"/>
      </w:divBdr>
    </w:div>
    <w:div w:id="738596218">
      <w:bodyDiv w:val="1"/>
      <w:marLeft w:val="0"/>
      <w:marRight w:val="0"/>
      <w:marTop w:val="0"/>
      <w:marBottom w:val="0"/>
      <w:divBdr>
        <w:top w:val="none" w:sz="0" w:space="0" w:color="auto"/>
        <w:left w:val="none" w:sz="0" w:space="0" w:color="auto"/>
        <w:bottom w:val="none" w:sz="0" w:space="0" w:color="auto"/>
        <w:right w:val="none" w:sz="0" w:space="0" w:color="auto"/>
      </w:divBdr>
    </w:div>
    <w:div w:id="738670748">
      <w:bodyDiv w:val="1"/>
      <w:marLeft w:val="0"/>
      <w:marRight w:val="0"/>
      <w:marTop w:val="0"/>
      <w:marBottom w:val="0"/>
      <w:divBdr>
        <w:top w:val="none" w:sz="0" w:space="0" w:color="auto"/>
        <w:left w:val="none" w:sz="0" w:space="0" w:color="auto"/>
        <w:bottom w:val="none" w:sz="0" w:space="0" w:color="auto"/>
        <w:right w:val="none" w:sz="0" w:space="0" w:color="auto"/>
      </w:divBdr>
    </w:div>
    <w:div w:id="738753514">
      <w:bodyDiv w:val="1"/>
      <w:marLeft w:val="0"/>
      <w:marRight w:val="0"/>
      <w:marTop w:val="0"/>
      <w:marBottom w:val="0"/>
      <w:divBdr>
        <w:top w:val="none" w:sz="0" w:space="0" w:color="auto"/>
        <w:left w:val="none" w:sz="0" w:space="0" w:color="auto"/>
        <w:bottom w:val="none" w:sz="0" w:space="0" w:color="auto"/>
        <w:right w:val="none" w:sz="0" w:space="0" w:color="auto"/>
      </w:divBdr>
    </w:div>
    <w:div w:id="738792237">
      <w:bodyDiv w:val="1"/>
      <w:marLeft w:val="0"/>
      <w:marRight w:val="0"/>
      <w:marTop w:val="0"/>
      <w:marBottom w:val="0"/>
      <w:divBdr>
        <w:top w:val="none" w:sz="0" w:space="0" w:color="auto"/>
        <w:left w:val="none" w:sz="0" w:space="0" w:color="auto"/>
        <w:bottom w:val="none" w:sz="0" w:space="0" w:color="auto"/>
        <w:right w:val="none" w:sz="0" w:space="0" w:color="auto"/>
      </w:divBdr>
    </w:div>
    <w:div w:id="738862146">
      <w:bodyDiv w:val="1"/>
      <w:marLeft w:val="0"/>
      <w:marRight w:val="0"/>
      <w:marTop w:val="0"/>
      <w:marBottom w:val="0"/>
      <w:divBdr>
        <w:top w:val="none" w:sz="0" w:space="0" w:color="auto"/>
        <w:left w:val="none" w:sz="0" w:space="0" w:color="auto"/>
        <w:bottom w:val="none" w:sz="0" w:space="0" w:color="auto"/>
        <w:right w:val="none" w:sz="0" w:space="0" w:color="auto"/>
      </w:divBdr>
    </w:div>
    <w:div w:id="738865962">
      <w:bodyDiv w:val="1"/>
      <w:marLeft w:val="0"/>
      <w:marRight w:val="0"/>
      <w:marTop w:val="0"/>
      <w:marBottom w:val="0"/>
      <w:divBdr>
        <w:top w:val="none" w:sz="0" w:space="0" w:color="auto"/>
        <w:left w:val="none" w:sz="0" w:space="0" w:color="auto"/>
        <w:bottom w:val="none" w:sz="0" w:space="0" w:color="auto"/>
        <w:right w:val="none" w:sz="0" w:space="0" w:color="auto"/>
      </w:divBdr>
    </w:div>
    <w:div w:id="738940199">
      <w:bodyDiv w:val="1"/>
      <w:marLeft w:val="0"/>
      <w:marRight w:val="0"/>
      <w:marTop w:val="0"/>
      <w:marBottom w:val="0"/>
      <w:divBdr>
        <w:top w:val="none" w:sz="0" w:space="0" w:color="auto"/>
        <w:left w:val="none" w:sz="0" w:space="0" w:color="auto"/>
        <w:bottom w:val="none" w:sz="0" w:space="0" w:color="auto"/>
        <w:right w:val="none" w:sz="0" w:space="0" w:color="auto"/>
      </w:divBdr>
    </w:div>
    <w:div w:id="739131637">
      <w:bodyDiv w:val="1"/>
      <w:marLeft w:val="0"/>
      <w:marRight w:val="0"/>
      <w:marTop w:val="0"/>
      <w:marBottom w:val="0"/>
      <w:divBdr>
        <w:top w:val="none" w:sz="0" w:space="0" w:color="auto"/>
        <w:left w:val="none" w:sz="0" w:space="0" w:color="auto"/>
        <w:bottom w:val="none" w:sz="0" w:space="0" w:color="auto"/>
        <w:right w:val="none" w:sz="0" w:space="0" w:color="auto"/>
      </w:divBdr>
    </w:div>
    <w:div w:id="739329896">
      <w:bodyDiv w:val="1"/>
      <w:marLeft w:val="0"/>
      <w:marRight w:val="0"/>
      <w:marTop w:val="0"/>
      <w:marBottom w:val="0"/>
      <w:divBdr>
        <w:top w:val="none" w:sz="0" w:space="0" w:color="auto"/>
        <w:left w:val="none" w:sz="0" w:space="0" w:color="auto"/>
        <w:bottom w:val="none" w:sz="0" w:space="0" w:color="auto"/>
        <w:right w:val="none" w:sz="0" w:space="0" w:color="auto"/>
      </w:divBdr>
    </w:div>
    <w:div w:id="739333038">
      <w:bodyDiv w:val="1"/>
      <w:marLeft w:val="0"/>
      <w:marRight w:val="0"/>
      <w:marTop w:val="0"/>
      <w:marBottom w:val="0"/>
      <w:divBdr>
        <w:top w:val="none" w:sz="0" w:space="0" w:color="auto"/>
        <w:left w:val="none" w:sz="0" w:space="0" w:color="auto"/>
        <w:bottom w:val="none" w:sz="0" w:space="0" w:color="auto"/>
        <w:right w:val="none" w:sz="0" w:space="0" w:color="auto"/>
      </w:divBdr>
    </w:div>
    <w:div w:id="739450777">
      <w:bodyDiv w:val="1"/>
      <w:marLeft w:val="0"/>
      <w:marRight w:val="0"/>
      <w:marTop w:val="0"/>
      <w:marBottom w:val="0"/>
      <w:divBdr>
        <w:top w:val="none" w:sz="0" w:space="0" w:color="auto"/>
        <w:left w:val="none" w:sz="0" w:space="0" w:color="auto"/>
        <w:bottom w:val="none" w:sz="0" w:space="0" w:color="auto"/>
        <w:right w:val="none" w:sz="0" w:space="0" w:color="auto"/>
      </w:divBdr>
    </w:div>
    <w:div w:id="739524712">
      <w:bodyDiv w:val="1"/>
      <w:marLeft w:val="0"/>
      <w:marRight w:val="0"/>
      <w:marTop w:val="0"/>
      <w:marBottom w:val="0"/>
      <w:divBdr>
        <w:top w:val="none" w:sz="0" w:space="0" w:color="auto"/>
        <w:left w:val="none" w:sz="0" w:space="0" w:color="auto"/>
        <w:bottom w:val="none" w:sz="0" w:space="0" w:color="auto"/>
        <w:right w:val="none" w:sz="0" w:space="0" w:color="auto"/>
      </w:divBdr>
    </w:div>
    <w:div w:id="739594098">
      <w:bodyDiv w:val="1"/>
      <w:marLeft w:val="0"/>
      <w:marRight w:val="0"/>
      <w:marTop w:val="0"/>
      <w:marBottom w:val="0"/>
      <w:divBdr>
        <w:top w:val="none" w:sz="0" w:space="0" w:color="auto"/>
        <w:left w:val="none" w:sz="0" w:space="0" w:color="auto"/>
        <w:bottom w:val="none" w:sz="0" w:space="0" w:color="auto"/>
        <w:right w:val="none" w:sz="0" w:space="0" w:color="auto"/>
      </w:divBdr>
    </w:div>
    <w:div w:id="739643401">
      <w:bodyDiv w:val="1"/>
      <w:marLeft w:val="0"/>
      <w:marRight w:val="0"/>
      <w:marTop w:val="0"/>
      <w:marBottom w:val="0"/>
      <w:divBdr>
        <w:top w:val="none" w:sz="0" w:space="0" w:color="auto"/>
        <w:left w:val="none" w:sz="0" w:space="0" w:color="auto"/>
        <w:bottom w:val="none" w:sz="0" w:space="0" w:color="auto"/>
        <w:right w:val="none" w:sz="0" w:space="0" w:color="auto"/>
      </w:divBdr>
    </w:div>
    <w:div w:id="739988977">
      <w:bodyDiv w:val="1"/>
      <w:marLeft w:val="0"/>
      <w:marRight w:val="0"/>
      <w:marTop w:val="0"/>
      <w:marBottom w:val="0"/>
      <w:divBdr>
        <w:top w:val="none" w:sz="0" w:space="0" w:color="auto"/>
        <w:left w:val="none" w:sz="0" w:space="0" w:color="auto"/>
        <w:bottom w:val="none" w:sz="0" w:space="0" w:color="auto"/>
        <w:right w:val="none" w:sz="0" w:space="0" w:color="auto"/>
      </w:divBdr>
    </w:div>
    <w:div w:id="740102883">
      <w:bodyDiv w:val="1"/>
      <w:marLeft w:val="0"/>
      <w:marRight w:val="0"/>
      <w:marTop w:val="0"/>
      <w:marBottom w:val="0"/>
      <w:divBdr>
        <w:top w:val="none" w:sz="0" w:space="0" w:color="auto"/>
        <w:left w:val="none" w:sz="0" w:space="0" w:color="auto"/>
        <w:bottom w:val="none" w:sz="0" w:space="0" w:color="auto"/>
        <w:right w:val="none" w:sz="0" w:space="0" w:color="auto"/>
      </w:divBdr>
    </w:div>
    <w:div w:id="740249379">
      <w:bodyDiv w:val="1"/>
      <w:marLeft w:val="0"/>
      <w:marRight w:val="0"/>
      <w:marTop w:val="0"/>
      <w:marBottom w:val="0"/>
      <w:divBdr>
        <w:top w:val="none" w:sz="0" w:space="0" w:color="auto"/>
        <w:left w:val="none" w:sz="0" w:space="0" w:color="auto"/>
        <w:bottom w:val="none" w:sz="0" w:space="0" w:color="auto"/>
        <w:right w:val="none" w:sz="0" w:space="0" w:color="auto"/>
      </w:divBdr>
    </w:div>
    <w:div w:id="740639295">
      <w:bodyDiv w:val="1"/>
      <w:marLeft w:val="0"/>
      <w:marRight w:val="0"/>
      <w:marTop w:val="0"/>
      <w:marBottom w:val="0"/>
      <w:divBdr>
        <w:top w:val="none" w:sz="0" w:space="0" w:color="auto"/>
        <w:left w:val="none" w:sz="0" w:space="0" w:color="auto"/>
        <w:bottom w:val="none" w:sz="0" w:space="0" w:color="auto"/>
        <w:right w:val="none" w:sz="0" w:space="0" w:color="auto"/>
      </w:divBdr>
    </w:div>
    <w:div w:id="740642804">
      <w:bodyDiv w:val="1"/>
      <w:marLeft w:val="0"/>
      <w:marRight w:val="0"/>
      <w:marTop w:val="0"/>
      <w:marBottom w:val="0"/>
      <w:divBdr>
        <w:top w:val="none" w:sz="0" w:space="0" w:color="auto"/>
        <w:left w:val="none" w:sz="0" w:space="0" w:color="auto"/>
        <w:bottom w:val="none" w:sz="0" w:space="0" w:color="auto"/>
        <w:right w:val="none" w:sz="0" w:space="0" w:color="auto"/>
      </w:divBdr>
    </w:div>
    <w:div w:id="740908487">
      <w:bodyDiv w:val="1"/>
      <w:marLeft w:val="0"/>
      <w:marRight w:val="0"/>
      <w:marTop w:val="0"/>
      <w:marBottom w:val="0"/>
      <w:divBdr>
        <w:top w:val="none" w:sz="0" w:space="0" w:color="auto"/>
        <w:left w:val="none" w:sz="0" w:space="0" w:color="auto"/>
        <w:bottom w:val="none" w:sz="0" w:space="0" w:color="auto"/>
        <w:right w:val="none" w:sz="0" w:space="0" w:color="auto"/>
      </w:divBdr>
    </w:div>
    <w:div w:id="741097556">
      <w:bodyDiv w:val="1"/>
      <w:marLeft w:val="0"/>
      <w:marRight w:val="0"/>
      <w:marTop w:val="0"/>
      <w:marBottom w:val="0"/>
      <w:divBdr>
        <w:top w:val="none" w:sz="0" w:space="0" w:color="auto"/>
        <w:left w:val="none" w:sz="0" w:space="0" w:color="auto"/>
        <w:bottom w:val="none" w:sz="0" w:space="0" w:color="auto"/>
        <w:right w:val="none" w:sz="0" w:space="0" w:color="auto"/>
      </w:divBdr>
    </w:div>
    <w:div w:id="741099678">
      <w:bodyDiv w:val="1"/>
      <w:marLeft w:val="0"/>
      <w:marRight w:val="0"/>
      <w:marTop w:val="0"/>
      <w:marBottom w:val="0"/>
      <w:divBdr>
        <w:top w:val="none" w:sz="0" w:space="0" w:color="auto"/>
        <w:left w:val="none" w:sz="0" w:space="0" w:color="auto"/>
        <w:bottom w:val="none" w:sz="0" w:space="0" w:color="auto"/>
        <w:right w:val="none" w:sz="0" w:space="0" w:color="auto"/>
      </w:divBdr>
    </w:div>
    <w:div w:id="741296551">
      <w:bodyDiv w:val="1"/>
      <w:marLeft w:val="0"/>
      <w:marRight w:val="0"/>
      <w:marTop w:val="0"/>
      <w:marBottom w:val="0"/>
      <w:divBdr>
        <w:top w:val="none" w:sz="0" w:space="0" w:color="auto"/>
        <w:left w:val="none" w:sz="0" w:space="0" w:color="auto"/>
        <w:bottom w:val="none" w:sz="0" w:space="0" w:color="auto"/>
        <w:right w:val="none" w:sz="0" w:space="0" w:color="auto"/>
      </w:divBdr>
    </w:div>
    <w:div w:id="741366480">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1374964">
      <w:bodyDiv w:val="1"/>
      <w:marLeft w:val="0"/>
      <w:marRight w:val="0"/>
      <w:marTop w:val="0"/>
      <w:marBottom w:val="0"/>
      <w:divBdr>
        <w:top w:val="none" w:sz="0" w:space="0" w:color="auto"/>
        <w:left w:val="none" w:sz="0" w:space="0" w:color="auto"/>
        <w:bottom w:val="none" w:sz="0" w:space="0" w:color="auto"/>
        <w:right w:val="none" w:sz="0" w:space="0" w:color="auto"/>
      </w:divBdr>
    </w:div>
    <w:div w:id="741562752">
      <w:bodyDiv w:val="1"/>
      <w:marLeft w:val="0"/>
      <w:marRight w:val="0"/>
      <w:marTop w:val="0"/>
      <w:marBottom w:val="0"/>
      <w:divBdr>
        <w:top w:val="none" w:sz="0" w:space="0" w:color="auto"/>
        <w:left w:val="none" w:sz="0" w:space="0" w:color="auto"/>
        <w:bottom w:val="none" w:sz="0" w:space="0" w:color="auto"/>
        <w:right w:val="none" w:sz="0" w:space="0" w:color="auto"/>
      </w:divBdr>
    </w:div>
    <w:div w:id="741754896">
      <w:bodyDiv w:val="1"/>
      <w:marLeft w:val="0"/>
      <w:marRight w:val="0"/>
      <w:marTop w:val="0"/>
      <w:marBottom w:val="0"/>
      <w:divBdr>
        <w:top w:val="none" w:sz="0" w:space="0" w:color="auto"/>
        <w:left w:val="none" w:sz="0" w:space="0" w:color="auto"/>
        <w:bottom w:val="none" w:sz="0" w:space="0" w:color="auto"/>
        <w:right w:val="none" w:sz="0" w:space="0" w:color="auto"/>
      </w:divBdr>
    </w:div>
    <w:div w:id="741757434">
      <w:bodyDiv w:val="1"/>
      <w:marLeft w:val="0"/>
      <w:marRight w:val="0"/>
      <w:marTop w:val="0"/>
      <w:marBottom w:val="0"/>
      <w:divBdr>
        <w:top w:val="none" w:sz="0" w:space="0" w:color="auto"/>
        <w:left w:val="none" w:sz="0" w:space="0" w:color="auto"/>
        <w:bottom w:val="none" w:sz="0" w:space="0" w:color="auto"/>
        <w:right w:val="none" w:sz="0" w:space="0" w:color="auto"/>
      </w:divBdr>
    </w:div>
    <w:div w:id="741758221">
      <w:bodyDiv w:val="1"/>
      <w:marLeft w:val="0"/>
      <w:marRight w:val="0"/>
      <w:marTop w:val="0"/>
      <w:marBottom w:val="0"/>
      <w:divBdr>
        <w:top w:val="none" w:sz="0" w:space="0" w:color="auto"/>
        <w:left w:val="none" w:sz="0" w:space="0" w:color="auto"/>
        <w:bottom w:val="none" w:sz="0" w:space="0" w:color="auto"/>
        <w:right w:val="none" w:sz="0" w:space="0" w:color="auto"/>
      </w:divBdr>
    </w:div>
    <w:div w:id="742021306">
      <w:bodyDiv w:val="1"/>
      <w:marLeft w:val="0"/>
      <w:marRight w:val="0"/>
      <w:marTop w:val="0"/>
      <w:marBottom w:val="0"/>
      <w:divBdr>
        <w:top w:val="none" w:sz="0" w:space="0" w:color="auto"/>
        <w:left w:val="none" w:sz="0" w:space="0" w:color="auto"/>
        <w:bottom w:val="none" w:sz="0" w:space="0" w:color="auto"/>
        <w:right w:val="none" w:sz="0" w:space="0" w:color="auto"/>
      </w:divBdr>
    </w:div>
    <w:div w:id="742021943">
      <w:bodyDiv w:val="1"/>
      <w:marLeft w:val="0"/>
      <w:marRight w:val="0"/>
      <w:marTop w:val="0"/>
      <w:marBottom w:val="0"/>
      <w:divBdr>
        <w:top w:val="none" w:sz="0" w:space="0" w:color="auto"/>
        <w:left w:val="none" w:sz="0" w:space="0" w:color="auto"/>
        <w:bottom w:val="none" w:sz="0" w:space="0" w:color="auto"/>
        <w:right w:val="none" w:sz="0" w:space="0" w:color="auto"/>
      </w:divBdr>
    </w:div>
    <w:div w:id="742138679">
      <w:bodyDiv w:val="1"/>
      <w:marLeft w:val="0"/>
      <w:marRight w:val="0"/>
      <w:marTop w:val="0"/>
      <w:marBottom w:val="0"/>
      <w:divBdr>
        <w:top w:val="none" w:sz="0" w:space="0" w:color="auto"/>
        <w:left w:val="none" w:sz="0" w:space="0" w:color="auto"/>
        <w:bottom w:val="none" w:sz="0" w:space="0" w:color="auto"/>
        <w:right w:val="none" w:sz="0" w:space="0" w:color="auto"/>
      </w:divBdr>
    </w:div>
    <w:div w:id="742220524">
      <w:bodyDiv w:val="1"/>
      <w:marLeft w:val="0"/>
      <w:marRight w:val="0"/>
      <w:marTop w:val="0"/>
      <w:marBottom w:val="0"/>
      <w:divBdr>
        <w:top w:val="none" w:sz="0" w:space="0" w:color="auto"/>
        <w:left w:val="none" w:sz="0" w:space="0" w:color="auto"/>
        <w:bottom w:val="none" w:sz="0" w:space="0" w:color="auto"/>
        <w:right w:val="none" w:sz="0" w:space="0" w:color="auto"/>
      </w:divBdr>
    </w:div>
    <w:div w:id="742872507">
      <w:bodyDiv w:val="1"/>
      <w:marLeft w:val="0"/>
      <w:marRight w:val="0"/>
      <w:marTop w:val="0"/>
      <w:marBottom w:val="0"/>
      <w:divBdr>
        <w:top w:val="none" w:sz="0" w:space="0" w:color="auto"/>
        <w:left w:val="none" w:sz="0" w:space="0" w:color="auto"/>
        <w:bottom w:val="none" w:sz="0" w:space="0" w:color="auto"/>
        <w:right w:val="none" w:sz="0" w:space="0" w:color="auto"/>
      </w:divBdr>
    </w:div>
    <w:div w:id="742873260">
      <w:bodyDiv w:val="1"/>
      <w:marLeft w:val="0"/>
      <w:marRight w:val="0"/>
      <w:marTop w:val="0"/>
      <w:marBottom w:val="0"/>
      <w:divBdr>
        <w:top w:val="none" w:sz="0" w:space="0" w:color="auto"/>
        <w:left w:val="none" w:sz="0" w:space="0" w:color="auto"/>
        <w:bottom w:val="none" w:sz="0" w:space="0" w:color="auto"/>
        <w:right w:val="none" w:sz="0" w:space="0" w:color="auto"/>
      </w:divBdr>
    </w:div>
    <w:div w:id="742988108">
      <w:bodyDiv w:val="1"/>
      <w:marLeft w:val="0"/>
      <w:marRight w:val="0"/>
      <w:marTop w:val="0"/>
      <w:marBottom w:val="0"/>
      <w:divBdr>
        <w:top w:val="none" w:sz="0" w:space="0" w:color="auto"/>
        <w:left w:val="none" w:sz="0" w:space="0" w:color="auto"/>
        <w:bottom w:val="none" w:sz="0" w:space="0" w:color="auto"/>
        <w:right w:val="none" w:sz="0" w:space="0" w:color="auto"/>
      </w:divBdr>
    </w:div>
    <w:div w:id="743064017">
      <w:bodyDiv w:val="1"/>
      <w:marLeft w:val="0"/>
      <w:marRight w:val="0"/>
      <w:marTop w:val="0"/>
      <w:marBottom w:val="0"/>
      <w:divBdr>
        <w:top w:val="none" w:sz="0" w:space="0" w:color="auto"/>
        <w:left w:val="none" w:sz="0" w:space="0" w:color="auto"/>
        <w:bottom w:val="none" w:sz="0" w:space="0" w:color="auto"/>
        <w:right w:val="none" w:sz="0" w:space="0" w:color="auto"/>
      </w:divBdr>
    </w:div>
    <w:div w:id="743114098">
      <w:bodyDiv w:val="1"/>
      <w:marLeft w:val="0"/>
      <w:marRight w:val="0"/>
      <w:marTop w:val="0"/>
      <w:marBottom w:val="0"/>
      <w:divBdr>
        <w:top w:val="none" w:sz="0" w:space="0" w:color="auto"/>
        <w:left w:val="none" w:sz="0" w:space="0" w:color="auto"/>
        <w:bottom w:val="none" w:sz="0" w:space="0" w:color="auto"/>
        <w:right w:val="none" w:sz="0" w:space="0" w:color="auto"/>
      </w:divBdr>
    </w:div>
    <w:div w:id="743181356">
      <w:bodyDiv w:val="1"/>
      <w:marLeft w:val="0"/>
      <w:marRight w:val="0"/>
      <w:marTop w:val="0"/>
      <w:marBottom w:val="0"/>
      <w:divBdr>
        <w:top w:val="none" w:sz="0" w:space="0" w:color="auto"/>
        <w:left w:val="none" w:sz="0" w:space="0" w:color="auto"/>
        <w:bottom w:val="none" w:sz="0" w:space="0" w:color="auto"/>
        <w:right w:val="none" w:sz="0" w:space="0" w:color="auto"/>
      </w:divBdr>
    </w:div>
    <w:div w:id="743261518">
      <w:bodyDiv w:val="1"/>
      <w:marLeft w:val="0"/>
      <w:marRight w:val="0"/>
      <w:marTop w:val="0"/>
      <w:marBottom w:val="0"/>
      <w:divBdr>
        <w:top w:val="none" w:sz="0" w:space="0" w:color="auto"/>
        <w:left w:val="none" w:sz="0" w:space="0" w:color="auto"/>
        <w:bottom w:val="none" w:sz="0" w:space="0" w:color="auto"/>
        <w:right w:val="none" w:sz="0" w:space="0" w:color="auto"/>
      </w:divBdr>
    </w:div>
    <w:div w:id="743457980">
      <w:bodyDiv w:val="1"/>
      <w:marLeft w:val="0"/>
      <w:marRight w:val="0"/>
      <w:marTop w:val="0"/>
      <w:marBottom w:val="0"/>
      <w:divBdr>
        <w:top w:val="none" w:sz="0" w:space="0" w:color="auto"/>
        <w:left w:val="none" w:sz="0" w:space="0" w:color="auto"/>
        <w:bottom w:val="none" w:sz="0" w:space="0" w:color="auto"/>
        <w:right w:val="none" w:sz="0" w:space="0" w:color="auto"/>
      </w:divBdr>
    </w:div>
    <w:div w:id="743529233">
      <w:bodyDiv w:val="1"/>
      <w:marLeft w:val="0"/>
      <w:marRight w:val="0"/>
      <w:marTop w:val="0"/>
      <w:marBottom w:val="0"/>
      <w:divBdr>
        <w:top w:val="none" w:sz="0" w:space="0" w:color="auto"/>
        <w:left w:val="none" w:sz="0" w:space="0" w:color="auto"/>
        <w:bottom w:val="none" w:sz="0" w:space="0" w:color="auto"/>
        <w:right w:val="none" w:sz="0" w:space="0" w:color="auto"/>
      </w:divBdr>
    </w:div>
    <w:div w:id="743726946">
      <w:bodyDiv w:val="1"/>
      <w:marLeft w:val="0"/>
      <w:marRight w:val="0"/>
      <w:marTop w:val="0"/>
      <w:marBottom w:val="0"/>
      <w:divBdr>
        <w:top w:val="none" w:sz="0" w:space="0" w:color="auto"/>
        <w:left w:val="none" w:sz="0" w:space="0" w:color="auto"/>
        <w:bottom w:val="none" w:sz="0" w:space="0" w:color="auto"/>
        <w:right w:val="none" w:sz="0" w:space="0" w:color="auto"/>
      </w:divBdr>
    </w:div>
    <w:div w:id="743800453">
      <w:bodyDiv w:val="1"/>
      <w:marLeft w:val="0"/>
      <w:marRight w:val="0"/>
      <w:marTop w:val="0"/>
      <w:marBottom w:val="0"/>
      <w:divBdr>
        <w:top w:val="none" w:sz="0" w:space="0" w:color="auto"/>
        <w:left w:val="none" w:sz="0" w:space="0" w:color="auto"/>
        <w:bottom w:val="none" w:sz="0" w:space="0" w:color="auto"/>
        <w:right w:val="none" w:sz="0" w:space="0" w:color="auto"/>
      </w:divBdr>
    </w:div>
    <w:div w:id="744304144">
      <w:bodyDiv w:val="1"/>
      <w:marLeft w:val="0"/>
      <w:marRight w:val="0"/>
      <w:marTop w:val="0"/>
      <w:marBottom w:val="0"/>
      <w:divBdr>
        <w:top w:val="none" w:sz="0" w:space="0" w:color="auto"/>
        <w:left w:val="none" w:sz="0" w:space="0" w:color="auto"/>
        <w:bottom w:val="none" w:sz="0" w:space="0" w:color="auto"/>
        <w:right w:val="none" w:sz="0" w:space="0" w:color="auto"/>
      </w:divBdr>
    </w:div>
    <w:div w:id="744305410">
      <w:bodyDiv w:val="1"/>
      <w:marLeft w:val="0"/>
      <w:marRight w:val="0"/>
      <w:marTop w:val="0"/>
      <w:marBottom w:val="0"/>
      <w:divBdr>
        <w:top w:val="none" w:sz="0" w:space="0" w:color="auto"/>
        <w:left w:val="none" w:sz="0" w:space="0" w:color="auto"/>
        <w:bottom w:val="none" w:sz="0" w:space="0" w:color="auto"/>
        <w:right w:val="none" w:sz="0" w:space="0" w:color="auto"/>
      </w:divBdr>
    </w:div>
    <w:div w:id="744380770">
      <w:bodyDiv w:val="1"/>
      <w:marLeft w:val="0"/>
      <w:marRight w:val="0"/>
      <w:marTop w:val="0"/>
      <w:marBottom w:val="0"/>
      <w:divBdr>
        <w:top w:val="none" w:sz="0" w:space="0" w:color="auto"/>
        <w:left w:val="none" w:sz="0" w:space="0" w:color="auto"/>
        <w:bottom w:val="none" w:sz="0" w:space="0" w:color="auto"/>
        <w:right w:val="none" w:sz="0" w:space="0" w:color="auto"/>
      </w:divBdr>
    </w:div>
    <w:div w:id="744641584">
      <w:bodyDiv w:val="1"/>
      <w:marLeft w:val="0"/>
      <w:marRight w:val="0"/>
      <w:marTop w:val="0"/>
      <w:marBottom w:val="0"/>
      <w:divBdr>
        <w:top w:val="none" w:sz="0" w:space="0" w:color="auto"/>
        <w:left w:val="none" w:sz="0" w:space="0" w:color="auto"/>
        <w:bottom w:val="none" w:sz="0" w:space="0" w:color="auto"/>
        <w:right w:val="none" w:sz="0" w:space="0" w:color="auto"/>
      </w:divBdr>
    </w:div>
    <w:div w:id="744648259">
      <w:bodyDiv w:val="1"/>
      <w:marLeft w:val="0"/>
      <w:marRight w:val="0"/>
      <w:marTop w:val="0"/>
      <w:marBottom w:val="0"/>
      <w:divBdr>
        <w:top w:val="none" w:sz="0" w:space="0" w:color="auto"/>
        <w:left w:val="none" w:sz="0" w:space="0" w:color="auto"/>
        <w:bottom w:val="none" w:sz="0" w:space="0" w:color="auto"/>
        <w:right w:val="none" w:sz="0" w:space="0" w:color="auto"/>
      </w:divBdr>
    </w:div>
    <w:div w:id="745223548">
      <w:bodyDiv w:val="1"/>
      <w:marLeft w:val="0"/>
      <w:marRight w:val="0"/>
      <w:marTop w:val="0"/>
      <w:marBottom w:val="0"/>
      <w:divBdr>
        <w:top w:val="none" w:sz="0" w:space="0" w:color="auto"/>
        <w:left w:val="none" w:sz="0" w:space="0" w:color="auto"/>
        <w:bottom w:val="none" w:sz="0" w:space="0" w:color="auto"/>
        <w:right w:val="none" w:sz="0" w:space="0" w:color="auto"/>
      </w:divBdr>
    </w:div>
    <w:div w:id="745230780">
      <w:bodyDiv w:val="1"/>
      <w:marLeft w:val="0"/>
      <w:marRight w:val="0"/>
      <w:marTop w:val="0"/>
      <w:marBottom w:val="0"/>
      <w:divBdr>
        <w:top w:val="none" w:sz="0" w:space="0" w:color="auto"/>
        <w:left w:val="none" w:sz="0" w:space="0" w:color="auto"/>
        <w:bottom w:val="none" w:sz="0" w:space="0" w:color="auto"/>
        <w:right w:val="none" w:sz="0" w:space="0" w:color="auto"/>
      </w:divBdr>
    </w:div>
    <w:div w:id="745372887">
      <w:bodyDiv w:val="1"/>
      <w:marLeft w:val="0"/>
      <w:marRight w:val="0"/>
      <w:marTop w:val="0"/>
      <w:marBottom w:val="0"/>
      <w:divBdr>
        <w:top w:val="none" w:sz="0" w:space="0" w:color="auto"/>
        <w:left w:val="none" w:sz="0" w:space="0" w:color="auto"/>
        <w:bottom w:val="none" w:sz="0" w:space="0" w:color="auto"/>
        <w:right w:val="none" w:sz="0" w:space="0" w:color="auto"/>
      </w:divBdr>
    </w:div>
    <w:div w:id="745491722">
      <w:bodyDiv w:val="1"/>
      <w:marLeft w:val="0"/>
      <w:marRight w:val="0"/>
      <w:marTop w:val="0"/>
      <w:marBottom w:val="0"/>
      <w:divBdr>
        <w:top w:val="none" w:sz="0" w:space="0" w:color="auto"/>
        <w:left w:val="none" w:sz="0" w:space="0" w:color="auto"/>
        <w:bottom w:val="none" w:sz="0" w:space="0" w:color="auto"/>
        <w:right w:val="none" w:sz="0" w:space="0" w:color="auto"/>
      </w:divBdr>
    </w:div>
    <w:div w:id="745492437">
      <w:bodyDiv w:val="1"/>
      <w:marLeft w:val="0"/>
      <w:marRight w:val="0"/>
      <w:marTop w:val="0"/>
      <w:marBottom w:val="0"/>
      <w:divBdr>
        <w:top w:val="none" w:sz="0" w:space="0" w:color="auto"/>
        <w:left w:val="none" w:sz="0" w:space="0" w:color="auto"/>
        <w:bottom w:val="none" w:sz="0" w:space="0" w:color="auto"/>
        <w:right w:val="none" w:sz="0" w:space="0" w:color="auto"/>
      </w:divBdr>
    </w:div>
    <w:div w:id="745539120">
      <w:bodyDiv w:val="1"/>
      <w:marLeft w:val="0"/>
      <w:marRight w:val="0"/>
      <w:marTop w:val="0"/>
      <w:marBottom w:val="0"/>
      <w:divBdr>
        <w:top w:val="none" w:sz="0" w:space="0" w:color="auto"/>
        <w:left w:val="none" w:sz="0" w:space="0" w:color="auto"/>
        <w:bottom w:val="none" w:sz="0" w:space="0" w:color="auto"/>
        <w:right w:val="none" w:sz="0" w:space="0" w:color="auto"/>
      </w:divBdr>
    </w:div>
    <w:div w:id="745613157">
      <w:bodyDiv w:val="1"/>
      <w:marLeft w:val="0"/>
      <w:marRight w:val="0"/>
      <w:marTop w:val="0"/>
      <w:marBottom w:val="0"/>
      <w:divBdr>
        <w:top w:val="none" w:sz="0" w:space="0" w:color="auto"/>
        <w:left w:val="none" w:sz="0" w:space="0" w:color="auto"/>
        <w:bottom w:val="none" w:sz="0" w:space="0" w:color="auto"/>
        <w:right w:val="none" w:sz="0" w:space="0" w:color="auto"/>
      </w:divBdr>
    </w:div>
    <w:div w:id="745804555">
      <w:bodyDiv w:val="1"/>
      <w:marLeft w:val="0"/>
      <w:marRight w:val="0"/>
      <w:marTop w:val="0"/>
      <w:marBottom w:val="0"/>
      <w:divBdr>
        <w:top w:val="none" w:sz="0" w:space="0" w:color="auto"/>
        <w:left w:val="none" w:sz="0" w:space="0" w:color="auto"/>
        <w:bottom w:val="none" w:sz="0" w:space="0" w:color="auto"/>
        <w:right w:val="none" w:sz="0" w:space="0" w:color="auto"/>
      </w:divBdr>
    </w:div>
    <w:div w:id="745961551">
      <w:bodyDiv w:val="1"/>
      <w:marLeft w:val="0"/>
      <w:marRight w:val="0"/>
      <w:marTop w:val="0"/>
      <w:marBottom w:val="0"/>
      <w:divBdr>
        <w:top w:val="none" w:sz="0" w:space="0" w:color="auto"/>
        <w:left w:val="none" w:sz="0" w:space="0" w:color="auto"/>
        <w:bottom w:val="none" w:sz="0" w:space="0" w:color="auto"/>
        <w:right w:val="none" w:sz="0" w:space="0" w:color="auto"/>
      </w:divBdr>
    </w:div>
    <w:div w:id="746002926">
      <w:bodyDiv w:val="1"/>
      <w:marLeft w:val="0"/>
      <w:marRight w:val="0"/>
      <w:marTop w:val="0"/>
      <w:marBottom w:val="0"/>
      <w:divBdr>
        <w:top w:val="none" w:sz="0" w:space="0" w:color="auto"/>
        <w:left w:val="none" w:sz="0" w:space="0" w:color="auto"/>
        <w:bottom w:val="none" w:sz="0" w:space="0" w:color="auto"/>
        <w:right w:val="none" w:sz="0" w:space="0" w:color="auto"/>
      </w:divBdr>
    </w:div>
    <w:div w:id="746459967">
      <w:bodyDiv w:val="1"/>
      <w:marLeft w:val="0"/>
      <w:marRight w:val="0"/>
      <w:marTop w:val="0"/>
      <w:marBottom w:val="0"/>
      <w:divBdr>
        <w:top w:val="none" w:sz="0" w:space="0" w:color="auto"/>
        <w:left w:val="none" w:sz="0" w:space="0" w:color="auto"/>
        <w:bottom w:val="none" w:sz="0" w:space="0" w:color="auto"/>
        <w:right w:val="none" w:sz="0" w:space="0" w:color="auto"/>
      </w:divBdr>
    </w:div>
    <w:div w:id="746657804">
      <w:bodyDiv w:val="1"/>
      <w:marLeft w:val="0"/>
      <w:marRight w:val="0"/>
      <w:marTop w:val="0"/>
      <w:marBottom w:val="0"/>
      <w:divBdr>
        <w:top w:val="none" w:sz="0" w:space="0" w:color="auto"/>
        <w:left w:val="none" w:sz="0" w:space="0" w:color="auto"/>
        <w:bottom w:val="none" w:sz="0" w:space="0" w:color="auto"/>
        <w:right w:val="none" w:sz="0" w:space="0" w:color="auto"/>
      </w:divBdr>
    </w:div>
    <w:div w:id="746731794">
      <w:bodyDiv w:val="1"/>
      <w:marLeft w:val="0"/>
      <w:marRight w:val="0"/>
      <w:marTop w:val="0"/>
      <w:marBottom w:val="0"/>
      <w:divBdr>
        <w:top w:val="none" w:sz="0" w:space="0" w:color="auto"/>
        <w:left w:val="none" w:sz="0" w:space="0" w:color="auto"/>
        <w:bottom w:val="none" w:sz="0" w:space="0" w:color="auto"/>
        <w:right w:val="none" w:sz="0" w:space="0" w:color="auto"/>
      </w:divBdr>
    </w:div>
    <w:div w:id="746734182">
      <w:bodyDiv w:val="1"/>
      <w:marLeft w:val="0"/>
      <w:marRight w:val="0"/>
      <w:marTop w:val="0"/>
      <w:marBottom w:val="0"/>
      <w:divBdr>
        <w:top w:val="none" w:sz="0" w:space="0" w:color="auto"/>
        <w:left w:val="none" w:sz="0" w:space="0" w:color="auto"/>
        <w:bottom w:val="none" w:sz="0" w:space="0" w:color="auto"/>
        <w:right w:val="none" w:sz="0" w:space="0" w:color="auto"/>
      </w:divBdr>
    </w:div>
    <w:div w:id="746852406">
      <w:bodyDiv w:val="1"/>
      <w:marLeft w:val="0"/>
      <w:marRight w:val="0"/>
      <w:marTop w:val="0"/>
      <w:marBottom w:val="0"/>
      <w:divBdr>
        <w:top w:val="none" w:sz="0" w:space="0" w:color="auto"/>
        <w:left w:val="none" w:sz="0" w:space="0" w:color="auto"/>
        <w:bottom w:val="none" w:sz="0" w:space="0" w:color="auto"/>
        <w:right w:val="none" w:sz="0" w:space="0" w:color="auto"/>
      </w:divBdr>
    </w:div>
    <w:div w:id="746879433">
      <w:bodyDiv w:val="1"/>
      <w:marLeft w:val="0"/>
      <w:marRight w:val="0"/>
      <w:marTop w:val="0"/>
      <w:marBottom w:val="0"/>
      <w:divBdr>
        <w:top w:val="none" w:sz="0" w:space="0" w:color="auto"/>
        <w:left w:val="none" w:sz="0" w:space="0" w:color="auto"/>
        <w:bottom w:val="none" w:sz="0" w:space="0" w:color="auto"/>
        <w:right w:val="none" w:sz="0" w:space="0" w:color="auto"/>
      </w:divBdr>
    </w:div>
    <w:div w:id="746926541">
      <w:bodyDiv w:val="1"/>
      <w:marLeft w:val="0"/>
      <w:marRight w:val="0"/>
      <w:marTop w:val="0"/>
      <w:marBottom w:val="0"/>
      <w:divBdr>
        <w:top w:val="none" w:sz="0" w:space="0" w:color="auto"/>
        <w:left w:val="none" w:sz="0" w:space="0" w:color="auto"/>
        <w:bottom w:val="none" w:sz="0" w:space="0" w:color="auto"/>
        <w:right w:val="none" w:sz="0" w:space="0" w:color="auto"/>
      </w:divBdr>
    </w:div>
    <w:div w:id="746995294">
      <w:bodyDiv w:val="1"/>
      <w:marLeft w:val="0"/>
      <w:marRight w:val="0"/>
      <w:marTop w:val="0"/>
      <w:marBottom w:val="0"/>
      <w:divBdr>
        <w:top w:val="none" w:sz="0" w:space="0" w:color="auto"/>
        <w:left w:val="none" w:sz="0" w:space="0" w:color="auto"/>
        <w:bottom w:val="none" w:sz="0" w:space="0" w:color="auto"/>
        <w:right w:val="none" w:sz="0" w:space="0" w:color="auto"/>
      </w:divBdr>
    </w:div>
    <w:div w:id="747119234">
      <w:bodyDiv w:val="1"/>
      <w:marLeft w:val="0"/>
      <w:marRight w:val="0"/>
      <w:marTop w:val="0"/>
      <w:marBottom w:val="0"/>
      <w:divBdr>
        <w:top w:val="none" w:sz="0" w:space="0" w:color="auto"/>
        <w:left w:val="none" w:sz="0" w:space="0" w:color="auto"/>
        <w:bottom w:val="none" w:sz="0" w:space="0" w:color="auto"/>
        <w:right w:val="none" w:sz="0" w:space="0" w:color="auto"/>
      </w:divBdr>
    </w:div>
    <w:div w:id="747271413">
      <w:bodyDiv w:val="1"/>
      <w:marLeft w:val="0"/>
      <w:marRight w:val="0"/>
      <w:marTop w:val="0"/>
      <w:marBottom w:val="0"/>
      <w:divBdr>
        <w:top w:val="none" w:sz="0" w:space="0" w:color="auto"/>
        <w:left w:val="none" w:sz="0" w:space="0" w:color="auto"/>
        <w:bottom w:val="none" w:sz="0" w:space="0" w:color="auto"/>
        <w:right w:val="none" w:sz="0" w:space="0" w:color="auto"/>
      </w:divBdr>
    </w:div>
    <w:div w:id="747389846">
      <w:bodyDiv w:val="1"/>
      <w:marLeft w:val="0"/>
      <w:marRight w:val="0"/>
      <w:marTop w:val="0"/>
      <w:marBottom w:val="0"/>
      <w:divBdr>
        <w:top w:val="none" w:sz="0" w:space="0" w:color="auto"/>
        <w:left w:val="none" w:sz="0" w:space="0" w:color="auto"/>
        <w:bottom w:val="none" w:sz="0" w:space="0" w:color="auto"/>
        <w:right w:val="none" w:sz="0" w:space="0" w:color="auto"/>
      </w:divBdr>
    </w:div>
    <w:div w:id="747458937">
      <w:bodyDiv w:val="1"/>
      <w:marLeft w:val="0"/>
      <w:marRight w:val="0"/>
      <w:marTop w:val="0"/>
      <w:marBottom w:val="0"/>
      <w:divBdr>
        <w:top w:val="none" w:sz="0" w:space="0" w:color="auto"/>
        <w:left w:val="none" w:sz="0" w:space="0" w:color="auto"/>
        <w:bottom w:val="none" w:sz="0" w:space="0" w:color="auto"/>
        <w:right w:val="none" w:sz="0" w:space="0" w:color="auto"/>
      </w:divBdr>
    </w:div>
    <w:div w:id="747459732">
      <w:bodyDiv w:val="1"/>
      <w:marLeft w:val="0"/>
      <w:marRight w:val="0"/>
      <w:marTop w:val="0"/>
      <w:marBottom w:val="0"/>
      <w:divBdr>
        <w:top w:val="none" w:sz="0" w:space="0" w:color="auto"/>
        <w:left w:val="none" w:sz="0" w:space="0" w:color="auto"/>
        <w:bottom w:val="none" w:sz="0" w:space="0" w:color="auto"/>
        <w:right w:val="none" w:sz="0" w:space="0" w:color="auto"/>
      </w:divBdr>
    </w:div>
    <w:div w:id="747505769">
      <w:bodyDiv w:val="1"/>
      <w:marLeft w:val="0"/>
      <w:marRight w:val="0"/>
      <w:marTop w:val="0"/>
      <w:marBottom w:val="0"/>
      <w:divBdr>
        <w:top w:val="none" w:sz="0" w:space="0" w:color="auto"/>
        <w:left w:val="none" w:sz="0" w:space="0" w:color="auto"/>
        <w:bottom w:val="none" w:sz="0" w:space="0" w:color="auto"/>
        <w:right w:val="none" w:sz="0" w:space="0" w:color="auto"/>
      </w:divBdr>
    </w:div>
    <w:div w:id="747506681">
      <w:bodyDiv w:val="1"/>
      <w:marLeft w:val="0"/>
      <w:marRight w:val="0"/>
      <w:marTop w:val="0"/>
      <w:marBottom w:val="0"/>
      <w:divBdr>
        <w:top w:val="none" w:sz="0" w:space="0" w:color="auto"/>
        <w:left w:val="none" w:sz="0" w:space="0" w:color="auto"/>
        <w:bottom w:val="none" w:sz="0" w:space="0" w:color="auto"/>
        <w:right w:val="none" w:sz="0" w:space="0" w:color="auto"/>
      </w:divBdr>
    </w:div>
    <w:div w:id="747508192">
      <w:bodyDiv w:val="1"/>
      <w:marLeft w:val="0"/>
      <w:marRight w:val="0"/>
      <w:marTop w:val="0"/>
      <w:marBottom w:val="0"/>
      <w:divBdr>
        <w:top w:val="none" w:sz="0" w:space="0" w:color="auto"/>
        <w:left w:val="none" w:sz="0" w:space="0" w:color="auto"/>
        <w:bottom w:val="none" w:sz="0" w:space="0" w:color="auto"/>
        <w:right w:val="none" w:sz="0" w:space="0" w:color="auto"/>
      </w:divBdr>
    </w:div>
    <w:div w:id="747575301">
      <w:bodyDiv w:val="1"/>
      <w:marLeft w:val="0"/>
      <w:marRight w:val="0"/>
      <w:marTop w:val="0"/>
      <w:marBottom w:val="0"/>
      <w:divBdr>
        <w:top w:val="none" w:sz="0" w:space="0" w:color="auto"/>
        <w:left w:val="none" w:sz="0" w:space="0" w:color="auto"/>
        <w:bottom w:val="none" w:sz="0" w:space="0" w:color="auto"/>
        <w:right w:val="none" w:sz="0" w:space="0" w:color="auto"/>
      </w:divBdr>
    </w:div>
    <w:div w:id="747730107">
      <w:bodyDiv w:val="1"/>
      <w:marLeft w:val="0"/>
      <w:marRight w:val="0"/>
      <w:marTop w:val="0"/>
      <w:marBottom w:val="0"/>
      <w:divBdr>
        <w:top w:val="none" w:sz="0" w:space="0" w:color="auto"/>
        <w:left w:val="none" w:sz="0" w:space="0" w:color="auto"/>
        <w:bottom w:val="none" w:sz="0" w:space="0" w:color="auto"/>
        <w:right w:val="none" w:sz="0" w:space="0" w:color="auto"/>
      </w:divBdr>
    </w:div>
    <w:div w:id="748162626">
      <w:bodyDiv w:val="1"/>
      <w:marLeft w:val="0"/>
      <w:marRight w:val="0"/>
      <w:marTop w:val="0"/>
      <w:marBottom w:val="0"/>
      <w:divBdr>
        <w:top w:val="none" w:sz="0" w:space="0" w:color="auto"/>
        <w:left w:val="none" w:sz="0" w:space="0" w:color="auto"/>
        <w:bottom w:val="none" w:sz="0" w:space="0" w:color="auto"/>
        <w:right w:val="none" w:sz="0" w:space="0" w:color="auto"/>
      </w:divBdr>
    </w:div>
    <w:div w:id="748229621">
      <w:bodyDiv w:val="1"/>
      <w:marLeft w:val="0"/>
      <w:marRight w:val="0"/>
      <w:marTop w:val="0"/>
      <w:marBottom w:val="0"/>
      <w:divBdr>
        <w:top w:val="none" w:sz="0" w:space="0" w:color="auto"/>
        <w:left w:val="none" w:sz="0" w:space="0" w:color="auto"/>
        <w:bottom w:val="none" w:sz="0" w:space="0" w:color="auto"/>
        <w:right w:val="none" w:sz="0" w:space="0" w:color="auto"/>
      </w:divBdr>
    </w:div>
    <w:div w:id="748356553">
      <w:bodyDiv w:val="1"/>
      <w:marLeft w:val="0"/>
      <w:marRight w:val="0"/>
      <w:marTop w:val="0"/>
      <w:marBottom w:val="0"/>
      <w:divBdr>
        <w:top w:val="none" w:sz="0" w:space="0" w:color="auto"/>
        <w:left w:val="none" w:sz="0" w:space="0" w:color="auto"/>
        <w:bottom w:val="none" w:sz="0" w:space="0" w:color="auto"/>
        <w:right w:val="none" w:sz="0" w:space="0" w:color="auto"/>
      </w:divBdr>
    </w:div>
    <w:div w:id="748380842">
      <w:bodyDiv w:val="1"/>
      <w:marLeft w:val="0"/>
      <w:marRight w:val="0"/>
      <w:marTop w:val="0"/>
      <w:marBottom w:val="0"/>
      <w:divBdr>
        <w:top w:val="none" w:sz="0" w:space="0" w:color="auto"/>
        <w:left w:val="none" w:sz="0" w:space="0" w:color="auto"/>
        <w:bottom w:val="none" w:sz="0" w:space="0" w:color="auto"/>
        <w:right w:val="none" w:sz="0" w:space="0" w:color="auto"/>
      </w:divBdr>
    </w:div>
    <w:div w:id="748430663">
      <w:bodyDiv w:val="1"/>
      <w:marLeft w:val="0"/>
      <w:marRight w:val="0"/>
      <w:marTop w:val="0"/>
      <w:marBottom w:val="0"/>
      <w:divBdr>
        <w:top w:val="none" w:sz="0" w:space="0" w:color="auto"/>
        <w:left w:val="none" w:sz="0" w:space="0" w:color="auto"/>
        <w:bottom w:val="none" w:sz="0" w:space="0" w:color="auto"/>
        <w:right w:val="none" w:sz="0" w:space="0" w:color="auto"/>
      </w:divBdr>
    </w:div>
    <w:div w:id="748699416">
      <w:bodyDiv w:val="1"/>
      <w:marLeft w:val="0"/>
      <w:marRight w:val="0"/>
      <w:marTop w:val="0"/>
      <w:marBottom w:val="0"/>
      <w:divBdr>
        <w:top w:val="none" w:sz="0" w:space="0" w:color="auto"/>
        <w:left w:val="none" w:sz="0" w:space="0" w:color="auto"/>
        <w:bottom w:val="none" w:sz="0" w:space="0" w:color="auto"/>
        <w:right w:val="none" w:sz="0" w:space="0" w:color="auto"/>
      </w:divBdr>
    </w:div>
    <w:div w:id="748771408">
      <w:bodyDiv w:val="1"/>
      <w:marLeft w:val="0"/>
      <w:marRight w:val="0"/>
      <w:marTop w:val="0"/>
      <w:marBottom w:val="0"/>
      <w:divBdr>
        <w:top w:val="none" w:sz="0" w:space="0" w:color="auto"/>
        <w:left w:val="none" w:sz="0" w:space="0" w:color="auto"/>
        <w:bottom w:val="none" w:sz="0" w:space="0" w:color="auto"/>
        <w:right w:val="none" w:sz="0" w:space="0" w:color="auto"/>
      </w:divBdr>
    </w:div>
    <w:div w:id="748771945">
      <w:bodyDiv w:val="1"/>
      <w:marLeft w:val="0"/>
      <w:marRight w:val="0"/>
      <w:marTop w:val="0"/>
      <w:marBottom w:val="0"/>
      <w:divBdr>
        <w:top w:val="none" w:sz="0" w:space="0" w:color="auto"/>
        <w:left w:val="none" w:sz="0" w:space="0" w:color="auto"/>
        <w:bottom w:val="none" w:sz="0" w:space="0" w:color="auto"/>
        <w:right w:val="none" w:sz="0" w:space="0" w:color="auto"/>
      </w:divBdr>
    </w:div>
    <w:div w:id="748775951">
      <w:bodyDiv w:val="1"/>
      <w:marLeft w:val="0"/>
      <w:marRight w:val="0"/>
      <w:marTop w:val="0"/>
      <w:marBottom w:val="0"/>
      <w:divBdr>
        <w:top w:val="none" w:sz="0" w:space="0" w:color="auto"/>
        <w:left w:val="none" w:sz="0" w:space="0" w:color="auto"/>
        <w:bottom w:val="none" w:sz="0" w:space="0" w:color="auto"/>
        <w:right w:val="none" w:sz="0" w:space="0" w:color="auto"/>
      </w:divBdr>
    </w:div>
    <w:div w:id="748817481">
      <w:bodyDiv w:val="1"/>
      <w:marLeft w:val="0"/>
      <w:marRight w:val="0"/>
      <w:marTop w:val="0"/>
      <w:marBottom w:val="0"/>
      <w:divBdr>
        <w:top w:val="none" w:sz="0" w:space="0" w:color="auto"/>
        <w:left w:val="none" w:sz="0" w:space="0" w:color="auto"/>
        <w:bottom w:val="none" w:sz="0" w:space="0" w:color="auto"/>
        <w:right w:val="none" w:sz="0" w:space="0" w:color="auto"/>
      </w:divBdr>
    </w:div>
    <w:div w:id="748844322">
      <w:bodyDiv w:val="1"/>
      <w:marLeft w:val="0"/>
      <w:marRight w:val="0"/>
      <w:marTop w:val="0"/>
      <w:marBottom w:val="0"/>
      <w:divBdr>
        <w:top w:val="none" w:sz="0" w:space="0" w:color="auto"/>
        <w:left w:val="none" w:sz="0" w:space="0" w:color="auto"/>
        <w:bottom w:val="none" w:sz="0" w:space="0" w:color="auto"/>
        <w:right w:val="none" w:sz="0" w:space="0" w:color="auto"/>
      </w:divBdr>
    </w:div>
    <w:div w:id="748963242">
      <w:bodyDiv w:val="1"/>
      <w:marLeft w:val="0"/>
      <w:marRight w:val="0"/>
      <w:marTop w:val="0"/>
      <w:marBottom w:val="0"/>
      <w:divBdr>
        <w:top w:val="none" w:sz="0" w:space="0" w:color="auto"/>
        <w:left w:val="none" w:sz="0" w:space="0" w:color="auto"/>
        <w:bottom w:val="none" w:sz="0" w:space="0" w:color="auto"/>
        <w:right w:val="none" w:sz="0" w:space="0" w:color="auto"/>
      </w:divBdr>
    </w:div>
    <w:div w:id="749039083">
      <w:bodyDiv w:val="1"/>
      <w:marLeft w:val="0"/>
      <w:marRight w:val="0"/>
      <w:marTop w:val="0"/>
      <w:marBottom w:val="0"/>
      <w:divBdr>
        <w:top w:val="none" w:sz="0" w:space="0" w:color="auto"/>
        <w:left w:val="none" w:sz="0" w:space="0" w:color="auto"/>
        <w:bottom w:val="none" w:sz="0" w:space="0" w:color="auto"/>
        <w:right w:val="none" w:sz="0" w:space="0" w:color="auto"/>
      </w:divBdr>
    </w:div>
    <w:div w:id="749077972">
      <w:bodyDiv w:val="1"/>
      <w:marLeft w:val="0"/>
      <w:marRight w:val="0"/>
      <w:marTop w:val="0"/>
      <w:marBottom w:val="0"/>
      <w:divBdr>
        <w:top w:val="none" w:sz="0" w:space="0" w:color="auto"/>
        <w:left w:val="none" w:sz="0" w:space="0" w:color="auto"/>
        <w:bottom w:val="none" w:sz="0" w:space="0" w:color="auto"/>
        <w:right w:val="none" w:sz="0" w:space="0" w:color="auto"/>
      </w:divBdr>
    </w:div>
    <w:div w:id="749275329">
      <w:bodyDiv w:val="1"/>
      <w:marLeft w:val="0"/>
      <w:marRight w:val="0"/>
      <w:marTop w:val="0"/>
      <w:marBottom w:val="0"/>
      <w:divBdr>
        <w:top w:val="none" w:sz="0" w:space="0" w:color="auto"/>
        <w:left w:val="none" w:sz="0" w:space="0" w:color="auto"/>
        <w:bottom w:val="none" w:sz="0" w:space="0" w:color="auto"/>
        <w:right w:val="none" w:sz="0" w:space="0" w:color="auto"/>
      </w:divBdr>
    </w:div>
    <w:div w:id="749426599">
      <w:bodyDiv w:val="1"/>
      <w:marLeft w:val="0"/>
      <w:marRight w:val="0"/>
      <w:marTop w:val="0"/>
      <w:marBottom w:val="0"/>
      <w:divBdr>
        <w:top w:val="none" w:sz="0" w:space="0" w:color="auto"/>
        <w:left w:val="none" w:sz="0" w:space="0" w:color="auto"/>
        <w:bottom w:val="none" w:sz="0" w:space="0" w:color="auto"/>
        <w:right w:val="none" w:sz="0" w:space="0" w:color="auto"/>
      </w:divBdr>
    </w:div>
    <w:div w:id="749541704">
      <w:bodyDiv w:val="1"/>
      <w:marLeft w:val="0"/>
      <w:marRight w:val="0"/>
      <w:marTop w:val="0"/>
      <w:marBottom w:val="0"/>
      <w:divBdr>
        <w:top w:val="none" w:sz="0" w:space="0" w:color="auto"/>
        <w:left w:val="none" w:sz="0" w:space="0" w:color="auto"/>
        <w:bottom w:val="none" w:sz="0" w:space="0" w:color="auto"/>
        <w:right w:val="none" w:sz="0" w:space="0" w:color="auto"/>
      </w:divBdr>
    </w:div>
    <w:div w:id="749885121">
      <w:bodyDiv w:val="1"/>
      <w:marLeft w:val="0"/>
      <w:marRight w:val="0"/>
      <w:marTop w:val="0"/>
      <w:marBottom w:val="0"/>
      <w:divBdr>
        <w:top w:val="none" w:sz="0" w:space="0" w:color="auto"/>
        <w:left w:val="none" w:sz="0" w:space="0" w:color="auto"/>
        <w:bottom w:val="none" w:sz="0" w:space="0" w:color="auto"/>
        <w:right w:val="none" w:sz="0" w:space="0" w:color="auto"/>
      </w:divBdr>
    </w:div>
    <w:div w:id="749931535">
      <w:bodyDiv w:val="1"/>
      <w:marLeft w:val="0"/>
      <w:marRight w:val="0"/>
      <w:marTop w:val="0"/>
      <w:marBottom w:val="0"/>
      <w:divBdr>
        <w:top w:val="none" w:sz="0" w:space="0" w:color="auto"/>
        <w:left w:val="none" w:sz="0" w:space="0" w:color="auto"/>
        <w:bottom w:val="none" w:sz="0" w:space="0" w:color="auto"/>
        <w:right w:val="none" w:sz="0" w:space="0" w:color="auto"/>
      </w:divBdr>
    </w:div>
    <w:div w:id="750010266">
      <w:bodyDiv w:val="1"/>
      <w:marLeft w:val="0"/>
      <w:marRight w:val="0"/>
      <w:marTop w:val="0"/>
      <w:marBottom w:val="0"/>
      <w:divBdr>
        <w:top w:val="none" w:sz="0" w:space="0" w:color="auto"/>
        <w:left w:val="none" w:sz="0" w:space="0" w:color="auto"/>
        <w:bottom w:val="none" w:sz="0" w:space="0" w:color="auto"/>
        <w:right w:val="none" w:sz="0" w:space="0" w:color="auto"/>
      </w:divBdr>
    </w:div>
    <w:div w:id="750084129">
      <w:bodyDiv w:val="1"/>
      <w:marLeft w:val="0"/>
      <w:marRight w:val="0"/>
      <w:marTop w:val="0"/>
      <w:marBottom w:val="0"/>
      <w:divBdr>
        <w:top w:val="none" w:sz="0" w:space="0" w:color="auto"/>
        <w:left w:val="none" w:sz="0" w:space="0" w:color="auto"/>
        <w:bottom w:val="none" w:sz="0" w:space="0" w:color="auto"/>
        <w:right w:val="none" w:sz="0" w:space="0" w:color="auto"/>
      </w:divBdr>
    </w:div>
    <w:div w:id="750395514">
      <w:bodyDiv w:val="1"/>
      <w:marLeft w:val="0"/>
      <w:marRight w:val="0"/>
      <w:marTop w:val="0"/>
      <w:marBottom w:val="0"/>
      <w:divBdr>
        <w:top w:val="none" w:sz="0" w:space="0" w:color="auto"/>
        <w:left w:val="none" w:sz="0" w:space="0" w:color="auto"/>
        <w:bottom w:val="none" w:sz="0" w:space="0" w:color="auto"/>
        <w:right w:val="none" w:sz="0" w:space="0" w:color="auto"/>
      </w:divBdr>
    </w:div>
    <w:div w:id="750664255">
      <w:bodyDiv w:val="1"/>
      <w:marLeft w:val="0"/>
      <w:marRight w:val="0"/>
      <w:marTop w:val="0"/>
      <w:marBottom w:val="0"/>
      <w:divBdr>
        <w:top w:val="none" w:sz="0" w:space="0" w:color="auto"/>
        <w:left w:val="none" w:sz="0" w:space="0" w:color="auto"/>
        <w:bottom w:val="none" w:sz="0" w:space="0" w:color="auto"/>
        <w:right w:val="none" w:sz="0" w:space="0" w:color="auto"/>
      </w:divBdr>
    </w:div>
    <w:div w:id="750782312">
      <w:bodyDiv w:val="1"/>
      <w:marLeft w:val="0"/>
      <w:marRight w:val="0"/>
      <w:marTop w:val="0"/>
      <w:marBottom w:val="0"/>
      <w:divBdr>
        <w:top w:val="none" w:sz="0" w:space="0" w:color="auto"/>
        <w:left w:val="none" w:sz="0" w:space="0" w:color="auto"/>
        <w:bottom w:val="none" w:sz="0" w:space="0" w:color="auto"/>
        <w:right w:val="none" w:sz="0" w:space="0" w:color="auto"/>
      </w:divBdr>
    </w:div>
    <w:div w:id="750811532">
      <w:bodyDiv w:val="1"/>
      <w:marLeft w:val="0"/>
      <w:marRight w:val="0"/>
      <w:marTop w:val="0"/>
      <w:marBottom w:val="0"/>
      <w:divBdr>
        <w:top w:val="none" w:sz="0" w:space="0" w:color="auto"/>
        <w:left w:val="none" w:sz="0" w:space="0" w:color="auto"/>
        <w:bottom w:val="none" w:sz="0" w:space="0" w:color="auto"/>
        <w:right w:val="none" w:sz="0" w:space="0" w:color="auto"/>
      </w:divBdr>
    </w:div>
    <w:div w:id="750927713">
      <w:bodyDiv w:val="1"/>
      <w:marLeft w:val="0"/>
      <w:marRight w:val="0"/>
      <w:marTop w:val="0"/>
      <w:marBottom w:val="0"/>
      <w:divBdr>
        <w:top w:val="none" w:sz="0" w:space="0" w:color="auto"/>
        <w:left w:val="none" w:sz="0" w:space="0" w:color="auto"/>
        <w:bottom w:val="none" w:sz="0" w:space="0" w:color="auto"/>
        <w:right w:val="none" w:sz="0" w:space="0" w:color="auto"/>
      </w:divBdr>
    </w:div>
    <w:div w:id="751271471">
      <w:bodyDiv w:val="1"/>
      <w:marLeft w:val="0"/>
      <w:marRight w:val="0"/>
      <w:marTop w:val="0"/>
      <w:marBottom w:val="0"/>
      <w:divBdr>
        <w:top w:val="none" w:sz="0" w:space="0" w:color="auto"/>
        <w:left w:val="none" w:sz="0" w:space="0" w:color="auto"/>
        <w:bottom w:val="none" w:sz="0" w:space="0" w:color="auto"/>
        <w:right w:val="none" w:sz="0" w:space="0" w:color="auto"/>
      </w:divBdr>
    </w:div>
    <w:div w:id="751317258">
      <w:bodyDiv w:val="1"/>
      <w:marLeft w:val="0"/>
      <w:marRight w:val="0"/>
      <w:marTop w:val="0"/>
      <w:marBottom w:val="0"/>
      <w:divBdr>
        <w:top w:val="none" w:sz="0" w:space="0" w:color="auto"/>
        <w:left w:val="none" w:sz="0" w:space="0" w:color="auto"/>
        <w:bottom w:val="none" w:sz="0" w:space="0" w:color="auto"/>
        <w:right w:val="none" w:sz="0" w:space="0" w:color="auto"/>
      </w:divBdr>
    </w:div>
    <w:div w:id="751397082">
      <w:bodyDiv w:val="1"/>
      <w:marLeft w:val="0"/>
      <w:marRight w:val="0"/>
      <w:marTop w:val="0"/>
      <w:marBottom w:val="0"/>
      <w:divBdr>
        <w:top w:val="none" w:sz="0" w:space="0" w:color="auto"/>
        <w:left w:val="none" w:sz="0" w:space="0" w:color="auto"/>
        <w:bottom w:val="none" w:sz="0" w:space="0" w:color="auto"/>
        <w:right w:val="none" w:sz="0" w:space="0" w:color="auto"/>
      </w:divBdr>
    </w:div>
    <w:div w:id="751467681">
      <w:bodyDiv w:val="1"/>
      <w:marLeft w:val="0"/>
      <w:marRight w:val="0"/>
      <w:marTop w:val="0"/>
      <w:marBottom w:val="0"/>
      <w:divBdr>
        <w:top w:val="none" w:sz="0" w:space="0" w:color="auto"/>
        <w:left w:val="none" w:sz="0" w:space="0" w:color="auto"/>
        <w:bottom w:val="none" w:sz="0" w:space="0" w:color="auto"/>
        <w:right w:val="none" w:sz="0" w:space="0" w:color="auto"/>
      </w:divBdr>
    </w:div>
    <w:div w:id="751659539">
      <w:bodyDiv w:val="1"/>
      <w:marLeft w:val="0"/>
      <w:marRight w:val="0"/>
      <w:marTop w:val="0"/>
      <w:marBottom w:val="0"/>
      <w:divBdr>
        <w:top w:val="none" w:sz="0" w:space="0" w:color="auto"/>
        <w:left w:val="none" w:sz="0" w:space="0" w:color="auto"/>
        <w:bottom w:val="none" w:sz="0" w:space="0" w:color="auto"/>
        <w:right w:val="none" w:sz="0" w:space="0" w:color="auto"/>
      </w:divBdr>
    </w:div>
    <w:div w:id="751703104">
      <w:bodyDiv w:val="1"/>
      <w:marLeft w:val="0"/>
      <w:marRight w:val="0"/>
      <w:marTop w:val="0"/>
      <w:marBottom w:val="0"/>
      <w:divBdr>
        <w:top w:val="none" w:sz="0" w:space="0" w:color="auto"/>
        <w:left w:val="none" w:sz="0" w:space="0" w:color="auto"/>
        <w:bottom w:val="none" w:sz="0" w:space="0" w:color="auto"/>
        <w:right w:val="none" w:sz="0" w:space="0" w:color="auto"/>
      </w:divBdr>
    </w:div>
    <w:div w:id="751706685">
      <w:bodyDiv w:val="1"/>
      <w:marLeft w:val="0"/>
      <w:marRight w:val="0"/>
      <w:marTop w:val="0"/>
      <w:marBottom w:val="0"/>
      <w:divBdr>
        <w:top w:val="none" w:sz="0" w:space="0" w:color="auto"/>
        <w:left w:val="none" w:sz="0" w:space="0" w:color="auto"/>
        <w:bottom w:val="none" w:sz="0" w:space="0" w:color="auto"/>
        <w:right w:val="none" w:sz="0" w:space="0" w:color="auto"/>
      </w:divBdr>
    </w:div>
    <w:div w:id="751776567">
      <w:bodyDiv w:val="1"/>
      <w:marLeft w:val="0"/>
      <w:marRight w:val="0"/>
      <w:marTop w:val="0"/>
      <w:marBottom w:val="0"/>
      <w:divBdr>
        <w:top w:val="none" w:sz="0" w:space="0" w:color="auto"/>
        <w:left w:val="none" w:sz="0" w:space="0" w:color="auto"/>
        <w:bottom w:val="none" w:sz="0" w:space="0" w:color="auto"/>
        <w:right w:val="none" w:sz="0" w:space="0" w:color="auto"/>
      </w:divBdr>
    </w:div>
    <w:div w:id="752119314">
      <w:bodyDiv w:val="1"/>
      <w:marLeft w:val="0"/>
      <w:marRight w:val="0"/>
      <w:marTop w:val="0"/>
      <w:marBottom w:val="0"/>
      <w:divBdr>
        <w:top w:val="none" w:sz="0" w:space="0" w:color="auto"/>
        <w:left w:val="none" w:sz="0" w:space="0" w:color="auto"/>
        <w:bottom w:val="none" w:sz="0" w:space="0" w:color="auto"/>
        <w:right w:val="none" w:sz="0" w:space="0" w:color="auto"/>
      </w:divBdr>
    </w:div>
    <w:div w:id="752943517">
      <w:bodyDiv w:val="1"/>
      <w:marLeft w:val="0"/>
      <w:marRight w:val="0"/>
      <w:marTop w:val="0"/>
      <w:marBottom w:val="0"/>
      <w:divBdr>
        <w:top w:val="none" w:sz="0" w:space="0" w:color="auto"/>
        <w:left w:val="none" w:sz="0" w:space="0" w:color="auto"/>
        <w:bottom w:val="none" w:sz="0" w:space="0" w:color="auto"/>
        <w:right w:val="none" w:sz="0" w:space="0" w:color="auto"/>
      </w:divBdr>
    </w:div>
    <w:div w:id="753094322">
      <w:bodyDiv w:val="1"/>
      <w:marLeft w:val="0"/>
      <w:marRight w:val="0"/>
      <w:marTop w:val="0"/>
      <w:marBottom w:val="0"/>
      <w:divBdr>
        <w:top w:val="none" w:sz="0" w:space="0" w:color="auto"/>
        <w:left w:val="none" w:sz="0" w:space="0" w:color="auto"/>
        <w:bottom w:val="none" w:sz="0" w:space="0" w:color="auto"/>
        <w:right w:val="none" w:sz="0" w:space="0" w:color="auto"/>
      </w:divBdr>
    </w:div>
    <w:div w:id="753236287">
      <w:bodyDiv w:val="1"/>
      <w:marLeft w:val="0"/>
      <w:marRight w:val="0"/>
      <w:marTop w:val="0"/>
      <w:marBottom w:val="0"/>
      <w:divBdr>
        <w:top w:val="none" w:sz="0" w:space="0" w:color="auto"/>
        <w:left w:val="none" w:sz="0" w:space="0" w:color="auto"/>
        <w:bottom w:val="none" w:sz="0" w:space="0" w:color="auto"/>
        <w:right w:val="none" w:sz="0" w:space="0" w:color="auto"/>
      </w:divBdr>
    </w:div>
    <w:div w:id="753478556">
      <w:bodyDiv w:val="1"/>
      <w:marLeft w:val="0"/>
      <w:marRight w:val="0"/>
      <w:marTop w:val="0"/>
      <w:marBottom w:val="0"/>
      <w:divBdr>
        <w:top w:val="none" w:sz="0" w:space="0" w:color="auto"/>
        <w:left w:val="none" w:sz="0" w:space="0" w:color="auto"/>
        <w:bottom w:val="none" w:sz="0" w:space="0" w:color="auto"/>
        <w:right w:val="none" w:sz="0" w:space="0" w:color="auto"/>
      </w:divBdr>
    </w:div>
    <w:div w:id="753630169">
      <w:bodyDiv w:val="1"/>
      <w:marLeft w:val="0"/>
      <w:marRight w:val="0"/>
      <w:marTop w:val="0"/>
      <w:marBottom w:val="0"/>
      <w:divBdr>
        <w:top w:val="none" w:sz="0" w:space="0" w:color="auto"/>
        <w:left w:val="none" w:sz="0" w:space="0" w:color="auto"/>
        <w:bottom w:val="none" w:sz="0" w:space="0" w:color="auto"/>
        <w:right w:val="none" w:sz="0" w:space="0" w:color="auto"/>
      </w:divBdr>
    </w:div>
    <w:div w:id="753823986">
      <w:bodyDiv w:val="1"/>
      <w:marLeft w:val="0"/>
      <w:marRight w:val="0"/>
      <w:marTop w:val="0"/>
      <w:marBottom w:val="0"/>
      <w:divBdr>
        <w:top w:val="none" w:sz="0" w:space="0" w:color="auto"/>
        <w:left w:val="none" w:sz="0" w:space="0" w:color="auto"/>
        <w:bottom w:val="none" w:sz="0" w:space="0" w:color="auto"/>
        <w:right w:val="none" w:sz="0" w:space="0" w:color="auto"/>
      </w:divBdr>
    </w:div>
    <w:div w:id="754016771">
      <w:bodyDiv w:val="1"/>
      <w:marLeft w:val="0"/>
      <w:marRight w:val="0"/>
      <w:marTop w:val="0"/>
      <w:marBottom w:val="0"/>
      <w:divBdr>
        <w:top w:val="none" w:sz="0" w:space="0" w:color="auto"/>
        <w:left w:val="none" w:sz="0" w:space="0" w:color="auto"/>
        <w:bottom w:val="none" w:sz="0" w:space="0" w:color="auto"/>
        <w:right w:val="none" w:sz="0" w:space="0" w:color="auto"/>
      </w:divBdr>
    </w:div>
    <w:div w:id="754207498">
      <w:bodyDiv w:val="1"/>
      <w:marLeft w:val="0"/>
      <w:marRight w:val="0"/>
      <w:marTop w:val="0"/>
      <w:marBottom w:val="0"/>
      <w:divBdr>
        <w:top w:val="none" w:sz="0" w:space="0" w:color="auto"/>
        <w:left w:val="none" w:sz="0" w:space="0" w:color="auto"/>
        <w:bottom w:val="none" w:sz="0" w:space="0" w:color="auto"/>
        <w:right w:val="none" w:sz="0" w:space="0" w:color="auto"/>
      </w:divBdr>
    </w:div>
    <w:div w:id="754472838">
      <w:bodyDiv w:val="1"/>
      <w:marLeft w:val="0"/>
      <w:marRight w:val="0"/>
      <w:marTop w:val="0"/>
      <w:marBottom w:val="0"/>
      <w:divBdr>
        <w:top w:val="none" w:sz="0" w:space="0" w:color="auto"/>
        <w:left w:val="none" w:sz="0" w:space="0" w:color="auto"/>
        <w:bottom w:val="none" w:sz="0" w:space="0" w:color="auto"/>
        <w:right w:val="none" w:sz="0" w:space="0" w:color="auto"/>
      </w:divBdr>
    </w:div>
    <w:div w:id="754477016">
      <w:bodyDiv w:val="1"/>
      <w:marLeft w:val="0"/>
      <w:marRight w:val="0"/>
      <w:marTop w:val="0"/>
      <w:marBottom w:val="0"/>
      <w:divBdr>
        <w:top w:val="none" w:sz="0" w:space="0" w:color="auto"/>
        <w:left w:val="none" w:sz="0" w:space="0" w:color="auto"/>
        <w:bottom w:val="none" w:sz="0" w:space="0" w:color="auto"/>
        <w:right w:val="none" w:sz="0" w:space="0" w:color="auto"/>
      </w:divBdr>
    </w:div>
    <w:div w:id="754590661">
      <w:bodyDiv w:val="1"/>
      <w:marLeft w:val="0"/>
      <w:marRight w:val="0"/>
      <w:marTop w:val="0"/>
      <w:marBottom w:val="0"/>
      <w:divBdr>
        <w:top w:val="none" w:sz="0" w:space="0" w:color="auto"/>
        <w:left w:val="none" w:sz="0" w:space="0" w:color="auto"/>
        <w:bottom w:val="none" w:sz="0" w:space="0" w:color="auto"/>
        <w:right w:val="none" w:sz="0" w:space="0" w:color="auto"/>
      </w:divBdr>
    </w:div>
    <w:div w:id="754671472">
      <w:bodyDiv w:val="1"/>
      <w:marLeft w:val="0"/>
      <w:marRight w:val="0"/>
      <w:marTop w:val="0"/>
      <w:marBottom w:val="0"/>
      <w:divBdr>
        <w:top w:val="none" w:sz="0" w:space="0" w:color="auto"/>
        <w:left w:val="none" w:sz="0" w:space="0" w:color="auto"/>
        <w:bottom w:val="none" w:sz="0" w:space="0" w:color="auto"/>
        <w:right w:val="none" w:sz="0" w:space="0" w:color="auto"/>
      </w:divBdr>
    </w:div>
    <w:div w:id="754788892">
      <w:bodyDiv w:val="1"/>
      <w:marLeft w:val="0"/>
      <w:marRight w:val="0"/>
      <w:marTop w:val="0"/>
      <w:marBottom w:val="0"/>
      <w:divBdr>
        <w:top w:val="none" w:sz="0" w:space="0" w:color="auto"/>
        <w:left w:val="none" w:sz="0" w:space="0" w:color="auto"/>
        <w:bottom w:val="none" w:sz="0" w:space="0" w:color="auto"/>
        <w:right w:val="none" w:sz="0" w:space="0" w:color="auto"/>
      </w:divBdr>
    </w:div>
    <w:div w:id="754857432">
      <w:bodyDiv w:val="1"/>
      <w:marLeft w:val="0"/>
      <w:marRight w:val="0"/>
      <w:marTop w:val="0"/>
      <w:marBottom w:val="0"/>
      <w:divBdr>
        <w:top w:val="none" w:sz="0" w:space="0" w:color="auto"/>
        <w:left w:val="none" w:sz="0" w:space="0" w:color="auto"/>
        <w:bottom w:val="none" w:sz="0" w:space="0" w:color="auto"/>
        <w:right w:val="none" w:sz="0" w:space="0" w:color="auto"/>
      </w:divBdr>
    </w:div>
    <w:div w:id="754860887">
      <w:bodyDiv w:val="1"/>
      <w:marLeft w:val="0"/>
      <w:marRight w:val="0"/>
      <w:marTop w:val="0"/>
      <w:marBottom w:val="0"/>
      <w:divBdr>
        <w:top w:val="none" w:sz="0" w:space="0" w:color="auto"/>
        <w:left w:val="none" w:sz="0" w:space="0" w:color="auto"/>
        <w:bottom w:val="none" w:sz="0" w:space="0" w:color="auto"/>
        <w:right w:val="none" w:sz="0" w:space="0" w:color="auto"/>
      </w:divBdr>
    </w:div>
    <w:div w:id="754977138">
      <w:bodyDiv w:val="1"/>
      <w:marLeft w:val="0"/>
      <w:marRight w:val="0"/>
      <w:marTop w:val="0"/>
      <w:marBottom w:val="0"/>
      <w:divBdr>
        <w:top w:val="none" w:sz="0" w:space="0" w:color="auto"/>
        <w:left w:val="none" w:sz="0" w:space="0" w:color="auto"/>
        <w:bottom w:val="none" w:sz="0" w:space="0" w:color="auto"/>
        <w:right w:val="none" w:sz="0" w:space="0" w:color="auto"/>
      </w:divBdr>
    </w:div>
    <w:div w:id="755058328">
      <w:bodyDiv w:val="1"/>
      <w:marLeft w:val="0"/>
      <w:marRight w:val="0"/>
      <w:marTop w:val="0"/>
      <w:marBottom w:val="0"/>
      <w:divBdr>
        <w:top w:val="none" w:sz="0" w:space="0" w:color="auto"/>
        <w:left w:val="none" w:sz="0" w:space="0" w:color="auto"/>
        <w:bottom w:val="none" w:sz="0" w:space="0" w:color="auto"/>
        <w:right w:val="none" w:sz="0" w:space="0" w:color="auto"/>
      </w:divBdr>
    </w:div>
    <w:div w:id="755059762">
      <w:bodyDiv w:val="1"/>
      <w:marLeft w:val="0"/>
      <w:marRight w:val="0"/>
      <w:marTop w:val="0"/>
      <w:marBottom w:val="0"/>
      <w:divBdr>
        <w:top w:val="none" w:sz="0" w:space="0" w:color="auto"/>
        <w:left w:val="none" w:sz="0" w:space="0" w:color="auto"/>
        <w:bottom w:val="none" w:sz="0" w:space="0" w:color="auto"/>
        <w:right w:val="none" w:sz="0" w:space="0" w:color="auto"/>
      </w:divBdr>
    </w:div>
    <w:div w:id="755174856">
      <w:bodyDiv w:val="1"/>
      <w:marLeft w:val="0"/>
      <w:marRight w:val="0"/>
      <w:marTop w:val="0"/>
      <w:marBottom w:val="0"/>
      <w:divBdr>
        <w:top w:val="none" w:sz="0" w:space="0" w:color="auto"/>
        <w:left w:val="none" w:sz="0" w:space="0" w:color="auto"/>
        <w:bottom w:val="none" w:sz="0" w:space="0" w:color="auto"/>
        <w:right w:val="none" w:sz="0" w:space="0" w:color="auto"/>
      </w:divBdr>
    </w:div>
    <w:div w:id="755203060">
      <w:bodyDiv w:val="1"/>
      <w:marLeft w:val="0"/>
      <w:marRight w:val="0"/>
      <w:marTop w:val="0"/>
      <w:marBottom w:val="0"/>
      <w:divBdr>
        <w:top w:val="none" w:sz="0" w:space="0" w:color="auto"/>
        <w:left w:val="none" w:sz="0" w:space="0" w:color="auto"/>
        <w:bottom w:val="none" w:sz="0" w:space="0" w:color="auto"/>
        <w:right w:val="none" w:sz="0" w:space="0" w:color="auto"/>
      </w:divBdr>
    </w:div>
    <w:div w:id="755245825">
      <w:bodyDiv w:val="1"/>
      <w:marLeft w:val="0"/>
      <w:marRight w:val="0"/>
      <w:marTop w:val="0"/>
      <w:marBottom w:val="0"/>
      <w:divBdr>
        <w:top w:val="none" w:sz="0" w:space="0" w:color="auto"/>
        <w:left w:val="none" w:sz="0" w:space="0" w:color="auto"/>
        <w:bottom w:val="none" w:sz="0" w:space="0" w:color="auto"/>
        <w:right w:val="none" w:sz="0" w:space="0" w:color="auto"/>
      </w:divBdr>
    </w:div>
    <w:div w:id="755321817">
      <w:bodyDiv w:val="1"/>
      <w:marLeft w:val="0"/>
      <w:marRight w:val="0"/>
      <w:marTop w:val="0"/>
      <w:marBottom w:val="0"/>
      <w:divBdr>
        <w:top w:val="none" w:sz="0" w:space="0" w:color="auto"/>
        <w:left w:val="none" w:sz="0" w:space="0" w:color="auto"/>
        <w:bottom w:val="none" w:sz="0" w:space="0" w:color="auto"/>
        <w:right w:val="none" w:sz="0" w:space="0" w:color="auto"/>
      </w:divBdr>
    </w:div>
    <w:div w:id="755442603">
      <w:bodyDiv w:val="1"/>
      <w:marLeft w:val="0"/>
      <w:marRight w:val="0"/>
      <w:marTop w:val="0"/>
      <w:marBottom w:val="0"/>
      <w:divBdr>
        <w:top w:val="none" w:sz="0" w:space="0" w:color="auto"/>
        <w:left w:val="none" w:sz="0" w:space="0" w:color="auto"/>
        <w:bottom w:val="none" w:sz="0" w:space="0" w:color="auto"/>
        <w:right w:val="none" w:sz="0" w:space="0" w:color="auto"/>
      </w:divBdr>
    </w:div>
    <w:div w:id="755631279">
      <w:bodyDiv w:val="1"/>
      <w:marLeft w:val="0"/>
      <w:marRight w:val="0"/>
      <w:marTop w:val="0"/>
      <w:marBottom w:val="0"/>
      <w:divBdr>
        <w:top w:val="none" w:sz="0" w:space="0" w:color="auto"/>
        <w:left w:val="none" w:sz="0" w:space="0" w:color="auto"/>
        <w:bottom w:val="none" w:sz="0" w:space="0" w:color="auto"/>
        <w:right w:val="none" w:sz="0" w:space="0" w:color="auto"/>
      </w:divBdr>
    </w:div>
    <w:div w:id="755831990">
      <w:bodyDiv w:val="1"/>
      <w:marLeft w:val="0"/>
      <w:marRight w:val="0"/>
      <w:marTop w:val="0"/>
      <w:marBottom w:val="0"/>
      <w:divBdr>
        <w:top w:val="none" w:sz="0" w:space="0" w:color="auto"/>
        <w:left w:val="none" w:sz="0" w:space="0" w:color="auto"/>
        <w:bottom w:val="none" w:sz="0" w:space="0" w:color="auto"/>
        <w:right w:val="none" w:sz="0" w:space="0" w:color="auto"/>
      </w:divBdr>
    </w:div>
    <w:div w:id="755903180">
      <w:bodyDiv w:val="1"/>
      <w:marLeft w:val="0"/>
      <w:marRight w:val="0"/>
      <w:marTop w:val="0"/>
      <w:marBottom w:val="0"/>
      <w:divBdr>
        <w:top w:val="none" w:sz="0" w:space="0" w:color="auto"/>
        <w:left w:val="none" w:sz="0" w:space="0" w:color="auto"/>
        <w:bottom w:val="none" w:sz="0" w:space="0" w:color="auto"/>
        <w:right w:val="none" w:sz="0" w:space="0" w:color="auto"/>
      </w:divBdr>
    </w:div>
    <w:div w:id="755908248">
      <w:bodyDiv w:val="1"/>
      <w:marLeft w:val="0"/>
      <w:marRight w:val="0"/>
      <w:marTop w:val="0"/>
      <w:marBottom w:val="0"/>
      <w:divBdr>
        <w:top w:val="none" w:sz="0" w:space="0" w:color="auto"/>
        <w:left w:val="none" w:sz="0" w:space="0" w:color="auto"/>
        <w:bottom w:val="none" w:sz="0" w:space="0" w:color="auto"/>
        <w:right w:val="none" w:sz="0" w:space="0" w:color="auto"/>
      </w:divBdr>
    </w:div>
    <w:div w:id="756097804">
      <w:bodyDiv w:val="1"/>
      <w:marLeft w:val="0"/>
      <w:marRight w:val="0"/>
      <w:marTop w:val="0"/>
      <w:marBottom w:val="0"/>
      <w:divBdr>
        <w:top w:val="none" w:sz="0" w:space="0" w:color="auto"/>
        <w:left w:val="none" w:sz="0" w:space="0" w:color="auto"/>
        <w:bottom w:val="none" w:sz="0" w:space="0" w:color="auto"/>
        <w:right w:val="none" w:sz="0" w:space="0" w:color="auto"/>
      </w:divBdr>
    </w:div>
    <w:div w:id="756291512">
      <w:bodyDiv w:val="1"/>
      <w:marLeft w:val="0"/>
      <w:marRight w:val="0"/>
      <w:marTop w:val="0"/>
      <w:marBottom w:val="0"/>
      <w:divBdr>
        <w:top w:val="none" w:sz="0" w:space="0" w:color="auto"/>
        <w:left w:val="none" w:sz="0" w:space="0" w:color="auto"/>
        <w:bottom w:val="none" w:sz="0" w:space="0" w:color="auto"/>
        <w:right w:val="none" w:sz="0" w:space="0" w:color="auto"/>
      </w:divBdr>
    </w:div>
    <w:div w:id="756361793">
      <w:bodyDiv w:val="1"/>
      <w:marLeft w:val="0"/>
      <w:marRight w:val="0"/>
      <w:marTop w:val="0"/>
      <w:marBottom w:val="0"/>
      <w:divBdr>
        <w:top w:val="none" w:sz="0" w:space="0" w:color="auto"/>
        <w:left w:val="none" w:sz="0" w:space="0" w:color="auto"/>
        <w:bottom w:val="none" w:sz="0" w:space="0" w:color="auto"/>
        <w:right w:val="none" w:sz="0" w:space="0" w:color="auto"/>
      </w:divBdr>
    </w:div>
    <w:div w:id="756487969">
      <w:bodyDiv w:val="1"/>
      <w:marLeft w:val="0"/>
      <w:marRight w:val="0"/>
      <w:marTop w:val="0"/>
      <w:marBottom w:val="0"/>
      <w:divBdr>
        <w:top w:val="none" w:sz="0" w:space="0" w:color="auto"/>
        <w:left w:val="none" w:sz="0" w:space="0" w:color="auto"/>
        <w:bottom w:val="none" w:sz="0" w:space="0" w:color="auto"/>
        <w:right w:val="none" w:sz="0" w:space="0" w:color="auto"/>
      </w:divBdr>
    </w:div>
    <w:div w:id="756488491">
      <w:bodyDiv w:val="1"/>
      <w:marLeft w:val="0"/>
      <w:marRight w:val="0"/>
      <w:marTop w:val="0"/>
      <w:marBottom w:val="0"/>
      <w:divBdr>
        <w:top w:val="none" w:sz="0" w:space="0" w:color="auto"/>
        <w:left w:val="none" w:sz="0" w:space="0" w:color="auto"/>
        <w:bottom w:val="none" w:sz="0" w:space="0" w:color="auto"/>
        <w:right w:val="none" w:sz="0" w:space="0" w:color="auto"/>
      </w:divBdr>
    </w:div>
    <w:div w:id="756514635">
      <w:bodyDiv w:val="1"/>
      <w:marLeft w:val="0"/>
      <w:marRight w:val="0"/>
      <w:marTop w:val="0"/>
      <w:marBottom w:val="0"/>
      <w:divBdr>
        <w:top w:val="none" w:sz="0" w:space="0" w:color="auto"/>
        <w:left w:val="none" w:sz="0" w:space="0" w:color="auto"/>
        <w:bottom w:val="none" w:sz="0" w:space="0" w:color="auto"/>
        <w:right w:val="none" w:sz="0" w:space="0" w:color="auto"/>
      </w:divBdr>
    </w:div>
    <w:div w:id="756554438">
      <w:bodyDiv w:val="1"/>
      <w:marLeft w:val="0"/>
      <w:marRight w:val="0"/>
      <w:marTop w:val="0"/>
      <w:marBottom w:val="0"/>
      <w:divBdr>
        <w:top w:val="none" w:sz="0" w:space="0" w:color="auto"/>
        <w:left w:val="none" w:sz="0" w:space="0" w:color="auto"/>
        <w:bottom w:val="none" w:sz="0" w:space="0" w:color="auto"/>
        <w:right w:val="none" w:sz="0" w:space="0" w:color="auto"/>
      </w:divBdr>
    </w:div>
    <w:div w:id="756748116">
      <w:bodyDiv w:val="1"/>
      <w:marLeft w:val="0"/>
      <w:marRight w:val="0"/>
      <w:marTop w:val="0"/>
      <w:marBottom w:val="0"/>
      <w:divBdr>
        <w:top w:val="none" w:sz="0" w:space="0" w:color="auto"/>
        <w:left w:val="none" w:sz="0" w:space="0" w:color="auto"/>
        <w:bottom w:val="none" w:sz="0" w:space="0" w:color="auto"/>
        <w:right w:val="none" w:sz="0" w:space="0" w:color="auto"/>
      </w:divBdr>
    </w:div>
    <w:div w:id="756946118">
      <w:bodyDiv w:val="1"/>
      <w:marLeft w:val="0"/>
      <w:marRight w:val="0"/>
      <w:marTop w:val="0"/>
      <w:marBottom w:val="0"/>
      <w:divBdr>
        <w:top w:val="none" w:sz="0" w:space="0" w:color="auto"/>
        <w:left w:val="none" w:sz="0" w:space="0" w:color="auto"/>
        <w:bottom w:val="none" w:sz="0" w:space="0" w:color="auto"/>
        <w:right w:val="none" w:sz="0" w:space="0" w:color="auto"/>
      </w:divBdr>
    </w:div>
    <w:div w:id="756949861">
      <w:bodyDiv w:val="1"/>
      <w:marLeft w:val="0"/>
      <w:marRight w:val="0"/>
      <w:marTop w:val="0"/>
      <w:marBottom w:val="0"/>
      <w:divBdr>
        <w:top w:val="none" w:sz="0" w:space="0" w:color="auto"/>
        <w:left w:val="none" w:sz="0" w:space="0" w:color="auto"/>
        <w:bottom w:val="none" w:sz="0" w:space="0" w:color="auto"/>
        <w:right w:val="none" w:sz="0" w:space="0" w:color="auto"/>
      </w:divBdr>
    </w:div>
    <w:div w:id="757022504">
      <w:bodyDiv w:val="1"/>
      <w:marLeft w:val="0"/>
      <w:marRight w:val="0"/>
      <w:marTop w:val="0"/>
      <w:marBottom w:val="0"/>
      <w:divBdr>
        <w:top w:val="none" w:sz="0" w:space="0" w:color="auto"/>
        <w:left w:val="none" w:sz="0" w:space="0" w:color="auto"/>
        <w:bottom w:val="none" w:sz="0" w:space="0" w:color="auto"/>
        <w:right w:val="none" w:sz="0" w:space="0" w:color="auto"/>
      </w:divBdr>
    </w:div>
    <w:div w:id="757093984">
      <w:bodyDiv w:val="1"/>
      <w:marLeft w:val="0"/>
      <w:marRight w:val="0"/>
      <w:marTop w:val="0"/>
      <w:marBottom w:val="0"/>
      <w:divBdr>
        <w:top w:val="none" w:sz="0" w:space="0" w:color="auto"/>
        <w:left w:val="none" w:sz="0" w:space="0" w:color="auto"/>
        <w:bottom w:val="none" w:sz="0" w:space="0" w:color="auto"/>
        <w:right w:val="none" w:sz="0" w:space="0" w:color="auto"/>
      </w:divBdr>
    </w:div>
    <w:div w:id="757216963">
      <w:bodyDiv w:val="1"/>
      <w:marLeft w:val="0"/>
      <w:marRight w:val="0"/>
      <w:marTop w:val="0"/>
      <w:marBottom w:val="0"/>
      <w:divBdr>
        <w:top w:val="none" w:sz="0" w:space="0" w:color="auto"/>
        <w:left w:val="none" w:sz="0" w:space="0" w:color="auto"/>
        <w:bottom w:val="none" w:sz="0" w:space="0" w:color="auto"/>
        <w:right w:val="none" w:sz="0" w:space="0" w:color="auto"/>
      </w:divBdr>
    </w:div>
    <w:div w:id="757600749">
      <w:bodyDiv w:val="1"/>
      <w:marLeft w:val="0"/>
      <w:marRight w:val="0"/>
      <w:marTop w:val="0"/>
      <w:marBottom w:val="0"/>
      <w:divBdr>
        <w:top w:val="none" w:sz="0" w:space="0" w:color="auto"/>
        <w:left w:val="none" w:sz="0" w:space="0" w:color="auto"/>
        <w:bottom w:val="none" w:sz="0" w:space="0" w:color="auto"/>
        <w:right w:val="none" w:sz="0" w:space="0" w:color="auto"/>
      </w:divBdr>
    </w:div>
    <w:div w:id="757680864">
      <w:bodyDiv w:val="1"/>
      <w:marLeft w:val="0"/>
      <w:marRight w:val="0"/>
      <w:marTop w:val="0"/>
      <w:marBottom w:val="0"/>
      <w:divBdr>
        <w:top w:val="none" w:sz="0" w:space="0" w:color="auto"/>
        <w:left w:val="none" w:sz="0" w:space="0" w:color="auto"/>
        <w:bottom w:val="none" w:sz="0" w:space="0" w:color="auto"/>
        <w:right w:val="none" w:sz="0" w:space="0" w:color="auto"/>
      </w:divBdr>
    </w:div>
    <w:div w:id="757752497">
      <w:bodyDiv w:val="1"/>
      <w:marLeft w:val="0"/>
      <w:marRight w:val="0"/>
      <w:marTop w:val="0"/>
      <w:marBottom w:val="0"/>
      <w:divBdr>
        <w:top w:val="none" w:sz="0" w:space="0" w:color="auto"/>
        <w:left w:val="none" w:sz="0" w:space="0" w:color="auto"/>
        <w:bottom w:val="none" w:sz="0" w:space="0" w:color="auto"/>
        <w:right w:val="none" w:sz="0" w:space="0" w:color="auto"/>
      </w:divBdr>
    </w:div>
    <w:div w:id="757798284">
      <w:bodyDiv w:val="1"/>
      <w:marLeft w:val="0"/>
      <w:marRight w:val="0"/>
      <w:marTop w:val="0"/>
      <w:marBottom w:val="0"/>
      <w:divBdr>
        <w:top w:val="none" w:sz="0" w:space="0" w:color="auto"/>
        <w:left w:val="none" w:sz="0" w:space="0" w:color="auto"/>
        <w:bottom w:val="none" w:sz="0" w:space="0" w:color="auto"/>
        <w:right w:val="none" w:sz="0" w:space="0" w:color="auto"/>
      </w:divBdr>
    </w:div>
    <w:div w:id="757868904">
      <w:bodyDiv w:val="1"/>
      <w:marLeft w:val="0"/>
      <w:marRight w:val="0"/>
      <w:marTop w:val="0"/>
      <w:marBottom w:val="0"/>
      <w:divBdr>
        <w:top w:val="none" w:sz="0" w:space="0" w:color="auto"/>
        <w:left w:val="none" w:sz="0" w:space="0" w:color="auto"/>
        <w:bottom w:val="none" w:sz="0" w:space="0" w:color="auto"/>
        <w:right w:val="none" w:sz="0" w:space="0" w:color="auto"/>
      </w:divBdr>
    </w:div>
    <w:div w:id="757946547">
      <w:bodyDiv w:val="1"/>
      <w:marLeft w:val="0"/>
      <w:marRight w:val="0"/>
      <w:marTop w:val="0"/>
      <w:marBottom w:val="0"/>
      <w:divBdr>
        <w:top w:val="none" w:sz="0" w:space="0" w:color="auto"/>
        <w:left w:val="none" w:sz="0" w:space="0" w:color="auto"/>
        <w:bottom w:val="none" w:sz="0" w:space="0" w:color="auto"/>
        <w:right w:val="none" w:sz="0" w:space="0" w:color="auto"/>
      </w:divBdr>
    </w:div>
    <w:div w:id="758138474">
      <w:bodyDiv w:val="1"/>
      <w:marLeft w:val="0"/>
      <w:marRight w:val="0"/>
      <w:marTop w:val="0"/>
      <w:marBottom w:val="0"/>
      <w:divBdr>
        <w:top w:val="none" w:sz="0" w:space="0" w:color="auto"/>
        <w:left w:val="none" w:sz="0" w:space="0" w:color="auto"/>
        <w:bottom w:val="none" w:sz="0" w:space="0" w:color="auto"/>
        <w:right w:val="none" w:sz="0" w:space="0" w:color="auto"/>
      </w:divBdr>
    </w:div>
    <w:div w:id="758212180">
      <w:bodyDiv w:val="1"/>
      <w:marLeft w:val="0"/>
      <w:marRight w:val="0"/>
      <w:marTop w:val="0"/>
      <w:marBottom w:val="0"/>
      <w:divBdr>
        <w:top w:val="none" w:sz="0" w:space="0" w:color="auto"/>
        <w:left w:val="none" w:sz="0" w:space="0" w:color="auto"/>
        <w:bottom w:val="none" w:sz="0" w:space="0" w:color="auto"/>
        <w:right w:val="none" w:sz="0" w:space="0" w:color="auto"/>
      </w:divBdr>
    </w:div>
    <w:div w:id="758214282">
      <w:bodyDiv w:val="1"/>
      <w:marLeft w:val="0"/>
      <w:marRight w:val="0"/>
      <w:marTop w:val="0"/>
      <w:marBottom w:val="0"/>
      <w:divBdr>
        <w:top w:val="none" w:sz="0" w:space="0" w:color="auto"/>
        <w:left w:val="none" w:sz="0" w:space="0" w:color="auto"/>
        <w:bottom w:val="none" w:sz="0" w:space="0" w:color="auto"/>
        <w:right w:val="none" w:sz="0" w:space="0" w:color="auto"/>
      </w:divBdr>
    </w:div>
    <w:div w:id="758218315">
      <w:bodyDiv w:val="1"/>
      <w:marLeft w:val="0"/>
      <w:marRight w:val="0"/>
      <w:marTop w:val="0"/>
      <w:marBottom w:val="0"/>
      <w:divBdr>
        <w:top w:val="none" w:sz="0" w:space="0" w:color="auto"/>
        <w:left w:val="none" w:sz="0" w:space="0" w:color="auto"/>
        <w:bottom w:val="none" w:sz="0" w:space="0" w:color="auto"/>
        <w:right w:val="none" w:sz="0" w:space="0" w:color="auto"/>
      </w:divBdr>
    </w:div>
    <w:div w:id="758258406">
      <w:bodyDiv w:val="1"/>
      <w:marLeft w:val="0"/>
      <w:marRight w:val="0"/>
      <w:marTop w:val="0"/>
      <w:marBottom w:val="0"/>
      <w:divBdr>
        <w:top w:val="none" w:sz="0" w:space="0" w:color="auto"/>
        <w:left w:val="none" w:sz="0" w:space="0" w:color="auto"/>
        <w:bottom w:val="none" w:sz="0" w:space="0" w:color="auto"/>
        <w:right w:val="none" w:sz="0" w:space="0" w:color="auto"/>
      </w:divBdr>
    </w:div>
    <w:div w:id="758407217">
      <w:bodyDiv w:val="1"/>
      <w:marLeft w:val="0"/>
      <w:marRight w:val="0"/>
      <w:marTop w:val="0"/>
      <w:marBottom w:val="0"/>
      <w:divBdr>
        <w:top w:val="none" w:sz="0" w:space="0" w:color="auto"/>
        <w:left w:val="none" w:sz="0" w:space="0" w:color="auto"/>
        <w:bottom w:val="none" w:sz="0" w:space="0" w:color="auto"/>
        <w:right w:val="none" w:sz="0" w:space="0" w:color="auto"/>
      </w:divBdr>
    </w:div>
    <w:div w:id="758478037">
      <w:bodyDiv w:val="1"/>
      <w:marLeft w:val="0"/>
      <w:marRight w:val="0"/>
      <w:marTop w:val="0"/>
      <w:marBottom w:val="0"/>
      <w:divBdr>
        <w:top w:val="none" w:sz="0" w:space="0" w:color="auto"/>
        <w:left w:val="none" w:sz="0" w:space="0" w:color="auto"/>
        <w:bottom w:val="none" w:sz="0" w:space="0" w:color="auto"/>
        <w:right w:val="none" w:sz="0" w:space="0" w:color="auto"/>
      </w:divBdr>
    </w:div>
    <w:div w:id="758529283">
      <w:bodyDiv w:val="1"/>
      <w:marLeft w:val="0"/>
      <w:marRight w:val="0"/>
      <w:marTop w:val="0"/>
      <w:marBottom w:val="0"/>
      <w:divBdr>
        <w:top w:val="none" w:sz="0" w:space="0" w:color="auto"/>
        <w:left w:val="none" w:sz="0" w:space="0" w:color="auto"/>
        <w:bottom w:val="none" w:sz="0" w:space="0" w:color="auto"/>
        <w:right w:val="none" w:sz="0" w:space="0" w:color="auto"/>
      </w:divBdr>
    </w:div>
    <w:div w:id="758596304">
      <w:bodyDiv w:val="1"/>
      <w:marLeft w:val="0"/>
      <w:marRight w:val="0"/>
      <w:marTop w:val="0"/>
      <w:marBottom w:val="0"/>
      <w:divBdr>
        <w:top w:val="none" w:sz="0" w:space="0" w:color="auto"/>
        <w:left w:val="none" w:sz="0" w:space="0" w:color="auto"/>
        <w:bottom w:val="none" w:sz="0" w:space="0" w:color="auto"/>
        <w:right w:val="none" w:sz="0" w:space="0" w:color="auto"/>
      </w:divBdr>
    </w:div>
    <w:div w:id="758870922">
      <w:bodyDiv w:val="1"/>
      <w:marLeft w:val="0"/>
      <w:marRight w:val="0"/>
      <w:marTop w:val="0"/>
      <w:marBottom w:val="0"/>
      <w:divBdr>
        <w:top w:val="none" w:sz="0" w:space="0" w:color="auto"/>
        <w:left w:val="none" w:sz="0" w:space="0" w:color="auto"/>
        <w:bottom w:val="none" w:sz="0" w:space="0" w:color="auto"/>
        <w:right w:val="none" w:sz="0" w:space="0" w:color="auto"/>
      </w:divBdr>
    </w:div>
    <w:div w:id="759105253">
      <w:bodyDiv w:val="1"/>
      <w:marLeft w:val="0"/>
      <w:marRight w:val="0"/>
      <w:marTop w:val="0"/>
      <w:marBottom w:val="0"/>
      <w:divBdr>
        <w:top w:val="none" w:sz="0" w:space="0" w:color="auto"/>
        <w:left w:val="none" w:sz="0" w:space="0" w:color="auto"/>
        <w:bottom w:val="none" w:sz="0" w:space="0" w:color="auto"/>
        <w:right w:val="none" w:sz="0" w:space="0" w:color="auto"/>
      </w:divBdr>
    </w:div>
    <w:div w:id="759303134">
      <w:bodyDiv w:val="1"/>
      <w:marLeft w:val="0"/>
      <w:marRight w:val="0"/>
      <w:marTop w:val="0"/>
      <w:marBottom w:val="0"/>
      <w:divBdr>
        <w:top w:val="none" w:sz="0" w:space="0" w:color="auto"/>
        <w:left w:val="none" w:sz="0" w:space="0" w:color="auto"/>
        <w:bottom w:val="none" w:sz="0" w:space="0" w:color="auto"/>
        <w:right w:val="none" w:sz="0" w:space="0" w:color="auto"/>
      </w:divBdr>
    </w:div>
    <w:div w:id="759328529">
      <w:bodyDiv w:val="1"/>
      <w:marLeft w:val="0"/>
      <w:marRight w:val="0"/>
      <w:marTop w:val="0"/>
      <w:marBottom w:val="0"/>
      <w:divBdr>
        <w:top w:val="none" w:sz="0" w:space="0" w:color="auto"/>
        <w:left w:val="none" w:sz="0" w:space="0" w:color="auto"/>
        <w:bottom w:val="none" w:sz="0" w:space="0" w:color="auto"/>
        <w:right w:val="none" w:sz="0" w:space="0" w:color="auto"/>
      </w:divBdr>
    </w:div>
    <w:div w:id="759330534">
      <w:bodyDiv w:val="1"/>
      <w:marLeft w:val="0"/>
      <w:marRight w:val="0"/>
      <w:marTop w:val="0"/>
      <w:marBottom w:val="0"/>
      <w:divBdr>
        <w:top w:val="none" w:sz="0" w:space="0" w:color="auto"/>
        <w:left w:val="none" w:sz="0" w:space="0" w:color="auto"/>
        <w:bottom w:val="none" w:sz="0" w:space="0" w:color="auto"/>
        <w:right w:val="none" w:sz="0" w:space="0" w:color="auto"/>
      </w:divBdr>
    </w:div>
    <w:div w:id="759445179">
      <w:bodyDiv w:val="1"/>
      <w:marLeft w:val="0"/>
      <w:marRight w:val="0"/>
      <w:marTop w:val="0"/>
      <w:marBottom w:val="0"/>
      <w:divBdr>
        <w:top w:val="none" w:sz="0" w:space="0" w:color="auto"/>
        <w:left w:val="none" w:sz="0" w:space="0" w:color="auto"/>
        <w:bottom w:val="none" w:sz="0" w:space="0" w:color="auto"/>
        <w:right w:val="none" w:sz="0" w:space="0" w:color="auto"/>
      </w:divBdr>
    </w:div>
    <w:div w:id="759646938">
      <w:bodyDiv w:val="1"/>
      <w:marLeft w:val="0"/>
      <w:marRight w:val="0"/>
      <w:marTop w:val="0"/>
      <w:marBottom w:val="0"/>
      <w:divBdr>
        <w:top w:val="none" w:sz="0" w:space="0" w:color="auto"/>
        <w:left w:val="none" w:sz="0" w:space="0" w:color="auto"/>
        <w:bottom w:val="none" w:sz="0" w:space="0" w:color="auto"/>
        <w:right w:val="none" w:sz="0" w:space="0" w:color="auto"/>
      </w:divBdr>
    </w:div>
    <w:div w:id="759714064">
      <w:bodyDiv w:val="1"/>
      <w:marLeft w:val="0"/>
      <w:marRight w:val="0"/>
      <w:marTop w:val="0"/>
      <w:marBottom w:val="0"/>
      <w:divBdr>
        <w:top w:val="none" w:sz="0" w:space="0" w:color="auto"/>
        <w:left w:val="none" w:sz="0" w:space="0" w:color="auto"/>
        <w:bottom w:val="none" w:sz="0" w:space="0" w:color="auto"/>
        <w:right w:val="none" w:sz="0" w:space="0" w:color="auto"/>
      </w:divBdr>
    </w:div>
    <w:div w:id="760488860">
      <w:bodyDiv w:val="1"/>
      <w:marLeft w:val="0"/>
      <w:marRight w:val="0"/>
      <w:marTop w:val="0"/>
      <w:marBottom w:val="0"/>
      <w:divBdr>
        <w:top w:val="none" w:sz="0" w:space="0" w:color="auto"/>
        <w:left w:val="none" w:sz="0" w:space="0" w:color="auto"/>
        <w:bottom w:val="none" w:sz="0" w:space="0" w:color="auto"/>
        <w:right w:val="none" w:sz="0" w:space="0" w:color="auto"/>
      </w:divBdr>
    </w:div>
    <w:div w:id="760495104">
      <w:bodyDiv w:val="1"/>
      <w:marLeft w:val="0"/>
      <w:marRight w:val="0"/>
      <w:marTop w:val="0"/>
      <w:marBottom w:val="0"/>
      <w:divBdr>
        <w:top w:val="none" w:sz="0" w:space="0" w:color="auto"/>
        <w:left w:val="none" w:sz="0" w:space="0" w:color="auto"/>
        <w:bottom w:val="none" w:sz="0" w:space="0" w:color="auto"/>
        <w:right w:val="none" w:sz="0" w:space="0" w:color="auto"/>
      </w:divBdr>
    </w:div>
    <w:div w:id="760761284">
      <w:bodyDiv w:val="1"/>
      <w:marLeft w:val="0"/>
      <w:marRight w:val="0"/>
      <w:marTop w:val="0"/>
      <w:marBottom w:val="0"/>
      <w:divBdr>
        <w:top w:val="none" w:sz="0" w:space="0" w:color="auto"/>
        <w:left w:val="none" w:sz="0" w:space="0" w:color="auto"/>
        <w:bottom w:val="none" w:sz="0" w:space="0" w:color="auto"/>
        <w:right w:val="none" w:sz="0" w:space="0" w:color="auto"/>
      </w:divBdr>
    </w:div>
    <w:div w:id="760762769">
      <w:bodyDiv w:val="1"/>
      <w:marLeft w:val="0"/>
      <w:marRight w:val="0"/>
      <w:marTop w:val="0"/>
      <w:marBottom w:val="0"/>
      <w:divBdr>
        <w:top w:val="none" w:sz="0" w:space="0" w:color="auto"/>
        <w:left w:val="none" w:sz="0" w:space="0" w:color="auto"/>
        <w:bottom w:val="none" w:sz="0" w:space="0" w:color="auto"/>
        <w:right w:val="none" w:sz="0" w:space="0" w:color="auto"/>
      </w:divBdr>
    </w:div>
    <w:div w:id="760832767">
      <w:bodyDiv w:val="1"/>
      <w:marLeft w:val="0"/>
      <w:marRight w:val="0"/>
      <w:marTop w:val="0"/>
      <w:marBottom w:val="0"/>
      <w:divBdr>
        <w:top w:val="none" w:sz="0" w:space="0" w:color="auto"/>
        <w:left w:val="none" w:sz="0" w:space="0" w:color="auto"/>
        <w:bottom w:val="none" w:sz="0" w:space="0" w:color="auto"/>
        <w:right w:val="none" w:sz="0" w:space="0" w:color="auto"/>
      </w:divBdr>
    </w:div>
    <w:div w:id="760876777">
      <w:bodyDiv w:val="1"/>
      <w:marLeft w:val="0"/>
      <w:marRight w:val="0"/>
      <w:marTop w:val="0"/>
      <w:marBottom w:val="0"/>
      <w:divBdr>
        <w:top w:val="none" w:sz="0" w:space="0" w:color="auto"/>
        <w:left w:val="none" w:sz="0" w:space="0" w:color="auto"/>
        <w:bottom w:val="none" w:sz="0" w:space="0" w:color="auto"/>
        <w:right w:val="none" w:sz="0" w:space="0" w:color="auto"/>
      </w:divBdr>
    </w:div>
    <w:div w:id="761334628">
      <w:bodyDiv w:val="1"/>
      <w:marLeft w:val="0"/>
      <w:marRight w:val="0"/>
      <w:marTop w:val="0"/>
      <w:marBottom w:val="0"/>
      <w:divBdr>
        <w:top w:val="none" w:sz="0" w:space="0" w:color="auto"/>
        <w:left w:val="none" w:sz="0" w:space="0" w:color="auto"/>
        <w:bottom w:val="none" w:sz="0" w:space="0" w:color="auto"/>
        <w:right w:val="none" w:sz="0" w:space="0" w:color="auto"/>
      </w:divBdr>
    </w:div>
    <w:div w:id="761534622">
      <w:bodyDiv w:val="1"/>
      <w:marLeft w:val="0"/>
      <w:marRight w:val="0"/>
      <w:marTop w:val="0"/>
      <w:marBottom w:val="0"/>
      <w:divBdr>
        <w:top w:val="none" w:sz="0" w:space="0" w:color="auto"/>
        <w:left w:val="none" w:sz="0" w:space="0" w:color="auto"/>
        <w:bottom w:val="none" w:sz="0" w:space="0" w:color="auto"/>
        <w:right w:val="none" w:sz="0" w:space="0" w:color="auto"/>
      </w:divBdr>
    </w:div>
    <w:div w:id="761608763">
      <w:bodyDiv w:val="1"/>
      <w:marLeft w:val="0"/>
      <w:marRight w:val="0"/>
      <w:marTop w:val="0"/>
      <w:marBottom w:val="0"/>
      <w:divBdr>
        <w:top w:val="none" w:sz="0" w:space="0" w:color="auto"/>
        <w:left w:val="none" w:sz="0" w:space="0" w:color="auto"/>
        <w:bottom w:val="none" w:sz="0" w:space="0" w:color="auto"/>
        <w:right w:val="none" w:sz="0" w:space="0" w:color="auto"/>
      </w:divBdr>
    </w:div>
    <w:div w:id="761952538">
      <w:bodyDiv w:val="1"/>
      <w:marLeft w:val="0"/>
      <w:marRight w:val="0"/>
      <w:marTop w:val="0"/>
      <w:marBottom w:val="0"/>
      <w:divBdr>
        <w:top w:val="none" w:sz="0" w:space="0" w:color="auto"/>
        <w:left w:val="none" w:sz="0" w:space="0" w:color="auto"/>
        <w:bottom w:val="none" w:sz="0" w:space="0" w:color="auto"/>
        <w:right w:val="none" w:sz="0" w:space="0" w:color="auto"/>
      </w:divBdr>
    </w:div>
    <w:div w:id="761992009">
      <w:bodyDiv w:val="1"/>
      <w:marLeft w:val="0"/>
      <w:marRight w:val="0"/>
      <w:marTop w:val="0"/>
      <w:marBottom w:val="0"/>
      <w:divBdr>
        <w:top w:val="none" w:sz="0" w:space="0" w:color="auto"/>
        <w:left w:val="none" w:sz="0" w:space="0" w:color="auto"/>
        <w:bottom w:val="none" w:sz="0" w:space="0" w:color="auto"/>
        <w:right w:val="none" w:sz="0" w:space="0" w:color="auto"/>
      </w:divBdr>
    </w:div>
    <w:div w:id="762067060">
      <w:bodyDiv w:val="1"/>
      <w:marLeft w:val="0"/>
      <w:marRight w:val="0"/>
      <w:marTop w:val="0"/>
      <w:marBottom w:val="0"/>
      <w:divBdr>
        <w:top w:val="none" w:sz="0" w:space="0" w:color="auto"/>
        <w:left w:val="none" w:sz="0" w:space="0" w:color="auto"/>
        <w:bottom w:val="none" w:sz="0" w:space="0" w:color="auto"/>
        <w:right w:val="none" w:sz="0" w:space="0" w:color="auto"/>
      </w:divBdr>
    </w:div>
    <w:div w:id="762141992">
      <w:bodyDiv w:val="1"/>
      <w:marLeft w:val="0"/>
      <w:marRight w:val="0"/>
      <w:marTop w:val="0"/>
      <w:marBottom w:val="0"/>
      <w:divBdr>
        <w:top w:val="none" w:sz="0" w:space="0" w:color="auto"/>
        <w:left w:val="none" w:sz="0" w:space="0" w:color="auto"/>
        <w:bottom w:val="none" w:sz="0" w:space="0" w:color="auto"/>
        <w:right w:val="none" w:sz="0" w:space="0" w:color="auto"/>
      </w:divBdr>
    </w:div>
    <w:div w:id="762187541">
      <w:bodyDiv w:val="1"/>
      <w:marLeft w:val="0"/>
      <w:marRight w:val="0"/>
      <w:marTop w:val="0"/>
      <w:marBottom w:val="0"/>
      <w:divBdr>
        <w:top w:val="none" w:sz="0" w:space="0" w:color="auto"/>
        <w:left w:val="none" w:sz="0" w:space="0" w:color="auto"/>
        <w:bottom w:val="none" w:sz="0" w:space="0" w:color="auto"/>
        <w:right w:val="none" w:sz="0" w:space="0" w:color="auto"/>
      </w:divBdr>
    </w:div>
    <w:div w:id="762191015">
      <w:bodyDiv w:val="1"/>
      <w:marLeft w:val="0"/>
      <w:marRight w:val="0"/>
      <w:marTop w:val="0"/>
      <w:marBottom w:val="0"/>
      <w:divBdr>
        <w:top w:val="none" w:sz="0" w:space="0" w:color="auto"/>
        <w:left w:val="none" w:sz="0" w:space="0" w:color="auto"/>
        <w:bottom w:val="none" w:sz="0" w:space="0" w:color="auto"/>
        <w:right w:val="none" w:sz="0" w:space="0" w:color="auto"/>
      </w:divBdr>
    </w:div>
    <w:div w:id="762268231">
      <w:bodyDiv w:val="1"/>
      <w:marLeft w:val="0"/>
      <w:marRight w:val="0"/>
      <w:marTop w:val="0"/>
      <w:marBottom w:val="0"/>
      <w:divBdr>
        <w:top w:val="none" w:sz="0" w:space="0" w:color="auto"/>
        <w:left w:val="none" w:sz="0" w:space="0" w:color="auto"/>
        <w:bottom w:val="none" w:sz="0" w:space="0" w:color="auto"/>
        <w:right w:val="none" w:sz="0" w:space="0" w:color="auto"/>
      </w:divBdr>
    </w:div>
    <w:div w:id="762529380">
      <w:bodyDiv w:val="1"/>
      <w:marLeft w:val="0"/>
      <w:marRight w:val="0"/>
      <w:marTop w:val="0"/>
      <w:marBottom w:val="0"/>
      <w:divBdr>
        <w:top w:val="none" w:sz="0" w:space="0" w:color="auto"/>
        <w:left w:val="none" w:sz="0" w:space="0" w:color="auto"/>
        <w:bottom w:val="none" w:sz="0" w:space="0" w:color="auto"/>
        <w:right w:val="none" w:sz="0" w:space="0" w:color="auto"/>
      </w:divBdr>
    </w:div>
    <w:div w:id="762841379">
      <w:bodyDiv w:val="1"/>
      <w:marLeft w:val="0"/>
      <w:marRight w:val="0"/>
      <w:marTop w:val="0"/>
      <w:marBottom w:val="0"/>
      <w:divBdr>
        <w:top w:val="none" w:sz="0" w:space="0" w:color="auto"/>
        <w:left w:val="none" w:sz="0" w:space="0" w:color="auto"/>
        <w:bottom w:val="none" w:sz="0" w:space="0" w:color="auto"/>
        <w:right w:val="none" w:sz="0" w:space="0" w:color="auto"/>
      </w:divBdr>
    </w:div>
    <w:div w:id="763384161">
      <w:bodyDiv w:val="1"/>
      <w:marLeft w:val="0"/>
      <w:marRight w:val="0"/>
      <w:marTop w:val="0"/>
      <w:marBottom w:val="0"/>
      <w:divBdr>
        <w:top w:val="none" w:sz="0" w:space="0" w:color="auto"/>
        <w:left w:val="none" w:sz="0" w:space="0" w:color="auto"/>
        <w:bottom w:val="none" w:sz="0" w:space="0" w:color="auto"/>
        <w:right w:val="none" w:sz="0" w:space="0" w:color="auto"/>
      </w:divBdr>
    </w:div>
    <w:div w:id="763460675">
      <w:bodyDiv w:val="1"/>
      <w:marLeft w:val="0"/>
      <w:marRight w:val="0"/>
      <w:marTop w:val="0"/>
      <w:marBottom w:val="0"/>
      <w:divBdr>
        <w:top w:val="none" w:sz="0" w:space="0" w:color="auto"/>
        <w:left w:val="none" w:sz="0" w:space="0" w:color="auto"/>
        <w:bottom w:val="none" w:sz="0" w:space="0" w:color="auto"/>
        <w:right w:val="none" w:sz="0" w:space="0" w:color="auto"/>
      </w:divBdr>
    </w:div>
    <w:div w:id="763496115">
      <w:bodyDiv w:val="1"/>
      <w:marLeft w:val="0"/>
      <w:marRight w:val="0"/>
      <w:marTop w:val="0"/>
      <w:marBottom w:val="0"/>
      <w:divBdr>
        <w:top w:val="none" w:sz="0" w:space="0" w:color="auto"/>
        <w:left w:val="none" w:sz="0" w:space="0" w:color="auto"/>
        <w:bottom w:val="none" w:sz="0" w:space="0" w:color="auto"/>
        <w:right w:val="none" w:sz="0" w:space="0" w:color="auto"/>
      </w:divBdr>
    </w:div>
    <w:div w:id="763763767">
      <w:bodyDiv w:val="1"/>
      <w:marLeft w:val="0"/>
      <w:marRight w:val="0"/>
      <w:marTop w:val="0"/>
      <w:marBottom w:val="0"/>
      <w:divBdr>
        <w:top w:val="none" w:sz="0" w:space="0" w:color="auto"/>
        <w:left w:val="none" w:sz="0" w:space="0" w:color="auto"/>
        <w:bottom w:val="none" w:sz="0" w:space="0" w:color="auto"/>
        <w:right w:val="none" w:sz="0" w:space="0" w:color="auto"/>
      </w:divBdr>
    </w:div>
    <w:div w:id="763838417">
      <w:bodyDiv w:val="1"/>
      <w:marLeft w:val="0"/>
      <w:marRight w:val="0"/>
      <w:marTop w:val="0"/>
      <w:marBottom w:val="0"/>
      <w:divBdr>
        <w:top w:val="none" w:sz="0" w:space="0" w:color="auto"/>
        <w:left w:val="none" w:sz="0" w:space="0" w:color="auto"/>
        <w:bottom w:val="none" w:sz="0" w:space="0" w:color="auto"/>
        <w:right w:val="none" w:sz="0" w:space="0" w:color="auto"/>
      </w:divBdr>
    </w:div>
    <w:div w:id="764110653">
      <w:bodyDiv w:val="1"/>
      <w:marLeft w:val="0"/>
      <w:marRight w:val="0"/>
      <w:marTop w:val="0"/>
      <w:marBottom w:val="0"/>
      <w:divBdr>
        <w:top w:val="none" w:sz="0" w:space="0" w:color="auto"/>
        <w:left w:val="none" w:sz="0" w:space="0" w:color="auto"/>
        <w:bottom w:val="none" w:sz="0" w:space="0" w:color="auto"/>
        <w:right w:val="none" w:sz="0" w:space="0" w:color="auto"/>
      </w:divBdr>
    </w:div>
    <w:div w:id="764378873">
      <w:bodyDiv w:val="1"/>
      <w:marLeft w:val="0"/>
      <w:marRight w:val="0"/>
      <w:marTop w:val="0"/>
      <w:marBottom w:val="0"/>
      <w:divBdr>
        <w:top w:val="none" w:sz="0" w:space="0" w:color="auto"/>
        <w:left w:val="none" w:sz="0" w:space="0" w:color="auto"/>
        <w:bottom w:val="none" w:sz="0" w:space="0" w:color="auto"/>
        <w:right w:val="none" w:sz="0" w:space="0" w:color="auto"/>
      </w:divBdr>
    </w:div>
    <w:div w:id="764768028">
      <w:bodyDiv w:val="1"/>
      <w:marLeft w:val="0"/>
      <w:marRight w:val="0"/>
      <w:marTop w:val="0"/>
      <w:marBottom w:val="0"/>
      <w:divBdr>
        <w:top w:val="none" w:sz="0" w:space="0" w:color="auto"/>
        <w:left w:val="none" w:sz="0" w:space="0" w:color="auto"/>
        <w:bottom w:val="none" w:sz="0" w:space="0" w:color="auto"/>
        <w:right w:val="none" w:sz="0" w:space="0" w:color="auto"/>
      </w:divBdr>
    </w:div>
    <w:div w:id="764879646">
      <w:bodyDiv w:val="1"/>
      <w:marLeft w:val="0"/>
      <w:marRight w:val="0"/>
      <w:marTop w:val="0"/>
      <w:marBottom w:val="0"/>
      <w:divBdr>
        <w:top w:val="none" w:sz="0" w:space="0" w:color="auto"/>
        <w:left w:val="none" w:sz="0" w:space="0" w:color="auto"/>
        <w:bottom w:val="none" w:sz="0" w:space="0" w:color="auto"/>
        <w:right w:val="none" w:sz="0" w:space="0" w:color="auto"/>
      </w:divBdr>
    </w:div>
    <w:div w:id="765075578">
      <w:bodyDiv w:val="1"/>
      <w:marLeft w:val="0"/>
      <w:marRight w:val="0"/>
      <w:marTop w:val="0"/>
      <w:marBottom w:val="0"/>
      <w:divBdr>
        <w:top w:val="none" w:sz="0" w:space="0" w:color="auto"/>
        <w:left w:val="none" w:sz="0" w:space="0" w:color="auto"/>
        <w:bottom w:val="none" w:sz="0" w:space="0" w:color="auto"/>
        <w:right w:val="none" w:sz="0" w:space="0" w:color="auto"/>
      </w:divBdr>
    </w:div>
    <w:div w:id="765421409">
      <w:bodyDiv w:val="1"/>
      <w:marLeft w:val="0"/>
      <w:marRight w:val="0"/>
      <w:marTop w:val="0"/>
      <w:marBottom w:val="0"/>
      <w:divBdr>
        <w:top w:val="none" w:sz="0" w:space="0" w:color="auto"/>
        <w:left w:val="none" w:sz="0" w:space="0" w:color="auto"/>
        <w:bottom w:val="none" w:sz="0" w:space="0" w:color="auto"/>
        <w:right w:val="none" w:sz="0" w:space="0" w:color="auto"/>
      </w:divBdr>
    </w:div>
    <w:div w:id="765538552">
      <w:bodyDiv w:val="1"/>
      <w:marLeft w:val="0"/>
      <w:marRight w:val="0"/>
      <w:marTop w:val="0"/>
      <w:marBottom w:val="0"/>
      <w:divBdr>
        <w:top w:val="none" w:sz="0" w:space="0" w:color="auto"/>
        <w:left w:val="none" w:sz="0" w:space="0" w:color="auto"/>
        <w:bottom w:val="none" w:sz="0" w:space="0" w:color="auto"/>
        <w:right w:val="none" w:sz="0" w:space="0" w:color="auto"/>
      </w:divBdr>
    </w:div>
    <w:div w:id="765809952">
      <w:bodyDiv w:val="1"/>
      <w:marLeft w:val="0"/>
      <w:marRight w:val="0"/>
      <w:marTop w:val="0"/>
      <w:marBottom w:val="0"/>
      <w:divBdr>
        <w:top w:val="none" w:sz="0" w:space="0" w:color="auto"/>
        <w:left w:val="none" w:sz="0" w:space="0" w:color="auto"/>
        <w:bottom w:val="none" w:sz="0" w:space="0" w:color="auto"/>
        <w:right w:val="none" w:sz="0" w:space="0" w:color="auto"/>
      </w:divBdr>
    </w:div>
    <w:div w:id="765810576">
      <w:bodyDiv w:val="1"/>
      <w:marLeft w:val="0"/>
      <w:marRight w:val="0"/>
      <w:marTop w:val="0"/>
      <w:marBottom w:val="0"/>
      <w:divBdr>
        <w:top w:val="none" w:sz="0" w:space="0" w:color="auto"/>
        <w:left w:val="none" w:sz="0" w:space="0" w:color="auto"/>
        <w:bottom w:val="none" w:sz="0" w:space="0" w:color="auto"/>
        <w:right w:val="none" w:sz="0" w:space="0" w:color="auto"/>
      </w:divBdr>
    </w:div>
    <w:div w:id="765812566">
      <w:bodyDiv w:val="1"/>
      <w:marLeft w:val="0"/>
      <w:marRight w:val="0"/>
      <w:marTop w:val="0"/>
      <w:marBottom w:val="0"/>
      <w:divBdr>
        <w:top w:val="none" w:sz="0" w:space="0" w:color="auto"/>
        <w:left w:val="none" w:sz="0" w:space="0" w:color="auto"/>
        <w:bottom w:val="none" w:sz="0" w:space="0" w:color="auto"/>
        <w:right w:val="none" w:sz="0" w:space="0" w:color="auto"/>
      </w:divBdr>
    </w:div>
    <w:div w:id="765998437">
      <w:bodyDiv w:val="1"/>
      <w:marLeft w:val="0"/>
      <w:marRight w:val="0"/>
      <w:marTop w:val="0"/>
      <w:marBottom w:val="0"/>
      <w:divBdr>
        <w:top w:val="none" w:sz="0" w:space="0" w:color="auto"/>
        <w:left w:val="none" w:sz="0" w:space="0" w:color="auto"/>
        <w:bottom w:val="none" w:sz="0" w:space="0" w:color="auto"/>
        <w:right w:val="none" w:sz="0" w:space="0" w:color="auto"/>
      </w:divBdr>
    </w:div>
    <w:div w:id="766190817">
      <w:bodyDiv w:val="1"/>
      <w:marLeft w:val="0"/>
      <w:marRight w:val="0"/>
      <w:marTop w:val="0"/>
      <w:marBottom w:val="0"/>
      <w:divBdr>
        <w:top w:val="none" w:sz="0" w:space="0" w:color="auto"/>
        <w:left w:val="none" w:sz="0" w:space="0" w:color="auto"/>
        <w:bottom w:val="none" w:sz="0" w:space="0" w:color="auto"/>
        <w:right w:val="none" w:sz="0" w:space="0" w:color="auto"/>
      </w:divBdr>
    </w:div>
    <w:div w:id="766314612">
      <w:bodyDiv w:val="1"/>
      <w:marLeft w:val="0"/>
      <w:marRight w:val="0"/>
      <w:marTop w:val="0"/>
      <w:marBottom w:val="0"/>
      <w:divBdr>
        <w:top w:val="none" w:sz="0" w:space="0" w:color="auto"/>
        <w:left w:val="none" w:sz="0" w:space="0" w:color="auto"/>
        <w:bottom w:val="none" w:sz="0" w:space="0" w:color="auto"/>
        <w:right w:val="none" w:sz="0" w:space="0" w:color="auto"/>
      </w:divBdr>
    </w:div>
    <w:div w:id="766344997">
      <w:bodyDiv w:val="1"/>
      <w:marLeft w:val="0"/>
      <w:marRight w:val="0"/>
      <w:marTop w:val="0"/>
      <w:marBottom w:val="0"/>
      <w:divBdr>
        <w:top w:val="none" w:sz="0" w:space="0" w:color="auto"/>
        <w:left w:val="none" w:sz="0" w:space="0" w:color="auto"/>
        <w:bottom w:val="none" w:sz="0" w:space="0" w:color="auto"/>
        <w:right w:val="none" w:sz="0" w:space="0" w:color="auto"/>
      </w:divBdr>
    </w:div>
    <w:div w:id="766850948">
      <w:bodyDiv w:val="1"/>
      <w:marLeft w:val="0"/>
      <w:marRight w:val="0"/>
      <w:marTop w:val="0"/>
      <w:marBottom w:val="0"/>
      <w:divBdr>
        <w:top w:val="none" w:sz="0" w:space="0" w:color="auto"/>
        <w:left w:val="none" w:sz="0" w:space="0" w:color="auto"/>
        <w:bottom w:val="none" w:sz="0" w:space="0" w:color="auto"/>
        <w:right w:val="none" w:sz="0" w:space="0" w:color="auto"/>
      </w:divBdr>
    </w:div>
    <w:div w:id="766928044">
      <w:bodyDiv w:val="1"/>
      <w:marLeft w:val="0"/>
      <w:marRight w:val="0"/>
      <w:marTop w:val="0"/>
      <w:marBottom w:val="0"/>
      <w:divBdr>
        <w:top w:val="none" w:sz="0" w:space="0" w:color="auto"/>
        <w:left w:val="none" w:sz="0" w:space="0" w:color="auto"/>
        <w:bottom w:val="none" w:sz="0" w:space="0" w:color="auto"/>
        <w:right w:val="none" w:sz="0" w:space="0" w:color="auto"/>
      </w:divBdr>
    </w:div>
    <w:div w:id="766970983">
      <w:bodyDiv w:val="1"/>
      <w:marLeft w:val="0"/>
      <w:marRight w:val="0"/>
      <w:marTop w:val="0"/>
      <w:marBottom w:val="0"/>
      <w:divBdr>
        <w:top w:val="none" w:sz="0" w:space="0" w:color="auto"/>
        <w:left w:val="none" w:sz="0" w:space="0" w:color="auto"/>
        <w:bottom w:val="none" w:sz="0" w:space="0" w:color="auto"/>
        <w:right w:val="none" w:sz="0" w:space="0" w:color="auto"/>
      </w:divBdr>
    </w:div>
    <w:div w:id="767115249">
      <w:bodyDiv w:val="1"/>
      <w:marLeft w:val="0"/>
      <w:marRight w:val="0"/>
      <w:marTop w:val="0"/>
      <w:marBottom w:val="0"/>
      <w:divBdr>
        <w:top w:val="none" w:sz="0" w:space="0" w:color="auto"/>
        <w:left w:val="none" w:sz="0" w:space="0" w:color="auto"/>
        <w:bottom w:val="none" w:sz="0" w:space="0" w:color="auto"/>
        <w:right w:val="none" w:sz="0" w:space="0" w:color="auto"/>
      </w:divBdr>
    </w:div>
    <w:div w:id="767308337">
      <w:bodyDiv w:val="1"/>
      <w:marLeft w:val="0"/>
      <w:marRight w:val="0"/>
      <w:marTop w:val="0"/>
      <w:marBottom w:val="0"/>
      <w:divBdr>
        <w:top w:val="none" w:sz="0" w:space="0" w:color="auto"/>
        <w:left w:val="none" w:sz="0" w:space="0" w:color="auto"/>
        <w:bottom w:val="none" w:sz="0" w:space="0" w:color="auto"/>
        <w:right w:val="none" w:sz="0" w:space="0" w:color="auto"/>
      </w:divBdr>
    </w:div>
    <w:div w:id="767386185">
      <w:bodyDiv w:val="1"/>
      <w:marLeft w:val="0"/>
      <w:marRight w:val="0"/>
      <w:marTop w:val="0"/>
      <w:marBottom w:val="0"/>
      <w:divBdr>
        <w:top w:val="none" w:sz="0" w:space="0" w:color="auto"/>
        <w:left w:val="none" w:sz="0" w:space="0" w:color="auto"/>
        <w:bottom w:val="none" w:sz="0" w:space="0" w:color="auto"/>
        <w:right w:val="none" w:sz="0" w:space="0" w:color="auto"/>
      </w:divBdr>
    </w:div>
    <w:div w:id="767426950">
      <w:bodyDiv w:val="1"/>
      <w:marLeft w:val="0"/>
      <w:marRight w:val="0"/>
      <w:marTop w:val="0"/>
      <w:marBottom w:val="0"/>
      <w:divBdr>
        <w:top w:val="none" w:sz="0" w:space="0" w:color="auto"/>
        <w:left w:val="none" w:sz="0" w:space="0" w:color="auto"/>
        <w:bottom w:val="none" w:sz="0" w:space="0" w:color="auto"/>
        <w:right w:val="none" w:sz="0" w:space="0" w:color="auto"/>
      </w:divBdr>
    </w:div>
    <w:div w:id="767432826">
      <w:bodyDiv w:val="1"/>
      <w:marLeft w:val="0"/>
      <w:marRight w:val="0"/>
      <w:marTop w:val="0"/>
      <w:marBottom w:val="0"/>
      <w:divBdr>
        <w:top w:val="none" w:sz="0" w:space="0" w:color="auto"/>
        <w:left w:val="none" w:sz="0" w:space="0" w:color="auto"/>
        <w:bottom w:val="none" w:sz="0" w:space="0" w:color="auto"/>
        <w:right w:val="none" w:sz="0" w:space="0" w:color="auto"/>
      </w:divBdr>
    </w:div>
    <w:div w:id="767846802">
      <w:bodyDiv w:val="1"/>
      <w:marLeft w:val="0"/>
      <w:marRight w:val="0"/>
      <w:marTop w:val="0"/>
      <w:marBottom w:val="0"/>
      <w:divBdr>
        <w:top w:val="none" w:sz="0" w:space="0" w:color="auto"/>
        <w:left w:val="none" w:sz="0" w:space="0" w:color="auto"/>
        <w:bottom w:val="none" w:sz="0" w:space="0" w:color="auto"/>
        <w:right w:val="none" w:sz="0" w:space="0" w:color="auto"/>
      </w:divBdr>
    </w:div>
    <w:div w:id="767970415">
      <w:bodyDiv w:val="1"/>
      <w:marLeft w:val="0"/>
      <w:marRight w:val="0"/>
      <w:marTop w:val="0"/>
      <w:marBottom w:val="0"/>
      <w:divBdr>
        <w:top w:val="none" w:sz="0" w:space="0" w:color="auto"/>
        <w:left w:val="none" w:sz="0" w:space="0" w:color="auto"/>
        <w:bottom w:val="none" w:sz="0" w:space="0" w:color="auto"/>
        <w:right w:val="none" w:sz="0" w:space="0" w:color="auto"/>
      </w:divBdr>
    </w:div>
    <w:div w:id="768047547">
      <w:bodyDiv w:val="1"/>
      <w:marLeft w:val="0"/>
      <w:marRight w:val="0"/>
      <w:marTop w:val="0"/>
      <w:marBottom w:val="0"/>
      <w:divBdr>
        <w:top w:val="none" w:sz="0" w:space="0" w:color="auto"/>
        <w:left w:val="none" w:sz="0" w:space="0" w:color="auto"/>
        <w:bottom w:val="none" w:sz="0" w:space="0" w:color="auto"/>
        <w:right w:val="none" w:sz="0" w:space="0" w:color="auto"/>
      </w:divBdr>
    </w:div>
    <w:div w:id="768358485">
      <w:bodyDiv w:val="1"/>
      <w:marLeft w:val="0"/>
      <w:marRight w:val="0"/>
      <w:marTop w:val="0"/>
      <w:marBottom w:val="0"/>
      <w:divBdr>
        <w:top w:val="none" w:sz="0" w:space="0" w:color="auto"/>
        <w:left w:val="none" w:sz="0" w:space="0" w:color="auto"/>
        <w:bottom w:val="none" w:sz="0" w:space="0" w:color="auto"/>
        <w:right w:val="none" w:sz="0" w:space="0" w:color="auto"/>
      </w:divBdr>
    </w:div>
    <w:div w:id="768476609">
      <w:bodyDiv w:val="1"/>
      <w:marLeft w:val="0"/>
      <w:marRight w:val="0"/>
      <w:marTop w:val="0"/>
      <w:marBottom w:val="0"/>
      <w:divBdr>
        <w:top w:val="none" w:sz="0" w:space="0" w:color="auto"/>
        <w:left w:val="none" w:sz="0" w:space="0" w:color="auto"/>
        <w:bottom w:val="none" w:sz="0" w:space="0" w:color="auto"/>
        <w:right w:val="none" w:sz="0" w:space="0" w:color="auto"/>
      </w:divBdr>
    </w:div>
    <w:div w:id="768546305">
      <w:bodyDiv w:val="1"/>
      <w:marLeft w:val="0"/>
      <w:marRight w:val="0"/>
      <w:marTop w:val="0"/>
      <w:marBottom w:val="0"/>
      <w:divBdr>
        <w:top w:val="none" w:sz="0" w:space="0" w:color="auto"/>
        <w:left w:val="none" w:sz="0" w:space="0" w:color="auto"/>
        <w:bottom w:val="none" w:sz="0" w:space="0" w:color="auto"/>
        <w:right w:val="none" w:sz="0" w:space="0" w:color="auto"/>
      </w:divBdr>
    </w:div>
    <w:div w:id="768937760">
      <w:bodyDiv w:val="1"/>
      <w:marLeft w:val="0"/>
      <w:marRight w:val="0"/>
      <w:marTop w:val="0"/>
      <w:marBottom w:val="0"/>
      <w:divBdr>
        <w:top w:val="none" w:sz="0" w:space="0" w:color="auto"/>
        <w:left w:val="none" w:sz="0" w:space="0" w:color="auto"/>
        <w:bottom w:val="none" w:sz="0" w:space="0" w:color="auto"/>
        <w:right w:val="none" w:sz="0" w:space="0" w:color="auto"/>
      </w:divBdr>
    </w:div>
    <w:div w:id="768964904">
      <w:bodyDiv w:val="1"/>
      <w:marLeft w:val="0"/>
      <w:marRight w:val="0"/>
      <w:marTop w:val="0"/>
      <w:marBottom w:val="0"/>
      <w:divBdr>
        <w:top w:val="none" w:sz="0" w:space="0" w:color="auto"/>
        <w:left w:val="none" w:sz="0" w:space="0" w:color="auto"/>
        <w:bottom w:val="none" w:sz="0" w:space="0" w:color="auto"/>
        <w:right w:val="none" w:sz="0" w:space="0" w:color="auto"/>
      </w:divBdr>
    </w:div>
    <w:div w:id="769131492">
      <w:bodyDiv w:val="1"/>
      <w:marLeft w:val="0"/>
      <w:marRight w:val="0"/>
      <w:marTop w:val="0"/>
      <w:marBottom w:val="0"/>
      <w:divBdr>
        <w:top w:val="none" w:sz="0" w:space="0" w:color="auto"/>
        <w:left w:val="none" w:sz="0" w:space="0" w:color="auto"/>
        <w:bottom w:val="none" w:sz="0" w:space="0" w:color="auto"/>
        <w:right w:val="none" w:sz="0" w:space="0" w:color="auto"/>
      </w:divBdr>
    </w:div>
    <w:div w:id="769205357">
      <w:bodyDiv w:val="1"/>
      <w:marLeft w:val="0"/>
      <w:marRight w:val="0"/>
      <w:marTop w:val="0"/>
      <w:marBottom w:val="0"/>
      <w:divBdr>
        <w:top w:val="none" w:sz="0" w:space="0" w:color="auto"/>
        <w:left w:val="none" w:sz="0" w:space="0" w:color="auto"/>
        <w:bottom w:val="none" w:sz="0" w:space="0" w:color="auto"/>
        <w:right w:val="none" w:sz="0" w:space="0" w:color="auto"/>
      </w:divBdr>
    </w:div>
    <w:div w:id="769276783">
      <w:bodyDiv w:val="1"/>
      <w:marLeft w:val="0"/>
      <w:marRight w:val="0"/>
      <w:marTop w:val="0"/>
      <w:marBottom w:val="0"/>
      <w:divBdr>
        <w:top w:val="none" w:sz="0" w:space="0" w:color="auto"/>
        <w:left w:val="none" w:sz="0" w:space="0" w:color="auto"/>
        <w:bottom w:val="none" w:sz="0" w:space="0" w:color="auto"/>
        <w:right w:val="none" w:sz="0" w:space="0" w:color="auto"/>
      </w:divBdr>
    </w:div>
    <w:div w:id="769352373">
      <w:bodyDiv w:val="1"/>
      <w:marLeft w:val="0"/>
      <w:marRight w:val="0"/>
      <w:marTop w:val="0"/>
      <w:marBottom w:val="0"/>
      <w:divBdr>
        <w:top w:val="none" w:sz="0" w:space="0" w:color="auto"/>
        <w:left w:val="none" w:sz="0" w:space="0" w:color="auto"/>
        <w:bottom w:val="none" w:sz="0" w:space="0" w:color="auto"/>
        <w:right w:val="none" w:sz="0" w:space="0" w:color="auto"/>
      </w:divBdr>
    </w:div>
    <w:div w:id="769549994">
      <w:bodyDiv w:val="1"/>
      <w:marLeft w:val="0"/>
      <w:marRight w:val="0"/>
      <w:marTop w:val="0"/>
      <w:marBottom w:val="0"/>
      <w:divBdr>
        <w:top w:val="none" w:sz="0" w:space="0" w:color="auto"/>
        <w:left w:val="none" w:sz="0" w:space="0" w:color="auto"/>
        <w:bottom w:val="none" w:sz="0" w:space="0" w:color="auto"/>
        <w:right w:val="none" w:sz="0" w:space="0" w:color="auto"/>
      </w:divBdr>
    </w:div>
    <w:div w:id="769621807">
      <w:bodyDiv w:val="1"/>
      <w:marLeft w:val="0"/>
      <w:marRight w:val="0"/>
      <w:marTop w:val="0"/>
      <w:marBottom w:val="0"/>
      <w:divBdr>
        <w:top w:val="none" w:sz="0" w:space="0" w:color="auto"/>
        <w:left w:val="none" w:sz="0" w:space="0" w:color="auto"/>
        <w:bottom w:val="none" w:sz="0" w:space="0" w:color="auto"/>
        <w:right w:val="none" w:sz="0" w:space="0" w:color="auto"/>
      </w:divBdr>
    </w:div>
    <w:div w:id="769859086">
      <w:bodyDiv w:val="1"/>
      <w:marLeft w:val="0"/>
      <w:marRight w:val="0"/>
      <w:marTop w:val="0"/>
      <w:marBottom w:val="0"/>
      <w:divBdr>
        <w:top w:val="none" w:sz="0" w:space="0" w:color="auto"/>
        <w:left w:val="none" w:sz="0" w:space="0" w:color="auto"/>
        <w:bottom w:val="none" w:sz="0" w:space="0" w:color="auto"/>
        <w:right w:val="none" w:sz="0" w:space="0" w:color="auto"/>
      </w:divBdr>
    </w:div>
    <w:div w:id="769862270">
      <w:bodyDiv w:val="1"/>
      <w:marLeft w:val="0"/>
      <w:marRight w:val="0"/>
      <w:marTop w:val="0"/>
      <w:marBottom w:val="0"/>
      <w:divBdr>
        <w:top w:val="none" w:sz="0" w:space="0" w:color="auto"/>
        <w:left w:val="none" w:sz="0" w:space="0" w:color="auto"/>
        <w:bottom w:val="none" w:sz="0" w:space="0" w:color="auto"/>
        <w:right w:val="none" w:sz="0" w:space="0" w:color="auto"/>
      </w:divBdr>
    </w:div>
    <w:div w:id="770004160">
      <w:bodyDiv w:val="1"/>
      <w:marLeft w:val="0"/>
      <w:marRight w:val="0"/>
      <w:marTop w:val="0"/>
      <w:marBottom w:val="0"/>
      <w:divBdr>
        <w:top w:val="none" w:sz="0" w:space="0" w:color="auto"/>
        <w:left w:val="none" w:sz="0" w:space="0" w:color="auto"/>
        <w:bottom w:val="none" w:sz="0" w:space="0" w:color="auto"/>
        <w:right w:val="none" w:sz="0" w:space="0" w:color="auto"/>
      </w:divBdr>
    </w:div>
    <w:div w:id="770123935">
      <w:bodyDiv w:val="1"/>
      <w:marLeft w:val="0"/>
      <w:marRight w:val="0"/>
      <w:marTop w:val="0"/>
      <w:marBottom w:val="0"/>
      <w:divBdr>
        <w:top w:val="none" w:sz="0" w:space="0" w:color="auto"/>
        <w:left w:val="none" w:sz="0" w:space="0" w:color="auto"/>
        <w:bottom w:val="none" w:sz="0" w:space="0" w:color="auto"/>
        <w:right w:val="none" w:sz="0" w:space="0" w:color="auto"/>
      </w:divBdr>
    </w:div>
    <w:div w:id="770275965">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770517324">
      <w:bodyDiv w:val="1"/>
      <w:marLeft w:val="0"/>
      <w:marRight w:val="0"/>
      <w:marTop w:val="0"/>
      <w:marBottom w:val="0"/>
      <w:divBdr>
        <w:top w:val="none" w:sz="0" w:space="0" w:color="auto"/>
        <w:left w:val="none" w:sz="0" w:space="0" w:color="auto"/>
        <w:bottom w:val="none" w:sz="0" w:space="0" w:color="auto"/>
        <w:right w:val="none" w:sz="0" w:space="0" w:color="auto"/>
      </w:divBdr>
    </w:div>
    <w:div w:id="770858142">
      <w:bodyDiv w:val="1"/>
      <w:marLeft w:val="0"/>
      <w:marRight w:val="0"/>
      <w:marTop w:val="0"/>
      <w:marBottom w:val="0"/>
      <w:divBdr>
        <w:top w:val="none" w:sz="0" w:space="0" w:color="auto"/>
        <w:left w:val="none" w:sz="0" w:space="0" w:color="auto"/>
        <w:bottom w:val="none" w:sz="0" w:space="0" w:color="auto"/>
        <w:right w:val="none" w:sz="0" w:space="0" w:color="auto"/>
      </w:divBdr>
    </w:div>
    <w:div w:id="770928194">
      <w:bodyDiv w:val="1"/>
      <w:marLeft w:val="0"/>
      <w:marRight w:val="0"/>
      <w:marTop w:val="0"/>
      <w:marBottom w:val="0"/>
      <w:divBdr>
        <w:top w:val="none" w:sz="0" w:space="0" w:color="auto"/>
        <w:left w:val="none" w:sz="0" w:space="0" w:color="auto"/>
        <w:bottom w:val="none" w:sz="0" w:space="0" w:color="auto"/>
        <w:right w:val="none" w:sz="0" w:space="0" w:color="auto"/>
      </w:divBdr>
    </w:div>
    <w:div w:id="770974540">
      <w:bodyDiv w:val="1"/>
      <w:marLeft w:val="0"/>
      <w:marRight w:val="0"/>
      <w:marTop w:val="0"/>
      <w:marBottom w:val="0"/>
      <w:divBdr>
        <w:top w:val="none" w:sz="0" w:space="0" w:color="auto"/>
        <w:left w:val="none" w:sz="0" w:space="0" w:color="auto"/>
        <w:bottom w:val="none" w:sz="0" w:space="0" w:color="auto"/>
        <w:right w:val="none" w:sz="0" w:space="0" w:color="auto"/>
      </w:divBdr>
    </w:div>
    <w:div w:id="771125222">
      <w:bodyDiv w:val="1"/>
      <w:marLeft w:val="0"/>
      <w:marRight w:val="0"/>
      <w:marTop w:val="0"/>
      <w:marBottom w:val="0"/>
      <w:divBdr>
        <w:top w:val="none" w:sz="0" w:space="0" w:color="auto"/>
        <w:left w:val="none" w:sz="0" w:space="0" w:color="auto"/>
        <w:bottom w:val="none" w:sz="0" w:space="0" w:color="auto"/>
        <w:right w:val="none" w:sz="0" w:space="0" w:color="auto"/>
      </w:divBdr>
    </w:div>
    <w:div w:id="771170901">
      <w:bodyDiv w:val="1"/>
      <w:marLeft w:val="0"/>
      <w:marRight w:val="0"/>
      <w:marTop w:val="0"/>
      <w:marBottom w:val="0"/>
      <w:divBdr>
        <w:top w:val="none" w:sz="0" w:space="0" w:color="auto"/>
        <w:left w:val="none" w:sz="0" w:space="0" w:color="auto"/>
        <w:bottom w:val="none" w:sz="0" w:space="0" w:color="auto"/>
        <w:right w:val="none" w:sz="0" w:space="0" w:color="auto"/>
      </w:divBdr>
    </w:div>
    <w:div w:id="771240809">
      <w:bodyDiv w:val="1"/>
      <w:marLeft w:val="0"/>
      <w:marRight w:val="0"/>
      <w:marTop w:val="0"/>
      <w:marBottom w:val="0"/>
      <w:divBdr>
        <w:top w:val="none" w:sz="0" w:space="0" w:color="auto"/>
        <w:left w:val="none" w:sz="0" w:space="0" w:color="auto"/>
        <w:bottom w:val="none" w:sz="0" w:space="0" w:color="auto"/>
        <w:right w:val="none" w:sz="0" w:space="0" w:color="auto"/>
      </w:divBdr>
    </w:div>
    <w:div w:id="771511271">
      <w:bodyDiv w:val="1"/>
      <w:marLeft w:val="0"/>
      <w:marRight w:val="0"/>
      <w:marTop w:val="0"/>
      <w:marBottom w:val="0"/>
      <w:divBdr>
        <w:top w:val="none" w:sz="0" w:space="0" w:color="auto"/>
        <w:left w:val="none" w:sz="0" w:space="0" w:color="auto"/>
        <w:bottom w:val="none" w:sz="0" w:space="0" w:color="auto"/>
        <w:right w:val="none" w:sz="0" w:space="0" w:color="auto"/>
      </w:divBdr>
    </w:div>
    <w:div w:id="771627760">
      <w:bodyDiv w:val="1"/>
      <w:marLeft w:val="0"/>
      <w:marRight w:val="0"/>
      <w:marTop w:val="0"/>
      <w:marBottom w:val="0"/>
      <w:divBdr>
        <w:top w:val="none" w:sz="0" w:space="0" w:color="auto"/>
        <w:left w:val="none" w:sz="0" w:space="0" w:color="auto"/>
        <w:bottom w:val="none" w:sz="0" w:space="0" w:color="auto"/>
        <w:right w:val="none" w:sz="0" w:space="0" w:color="auto"/>
      </w:divBdr>
    </w:div>
    <w:div w:id="771707448">
      <w:bodyDiv w:val="1"/>
      <w:marLeft w:val="0"/>
      <w:marRight w:val="0"/>
      <w:marTop w:val="0"/>
      <w:marBottom w:val="0"/>
      <w:divBdr>
        <w:top w:val="none" w:sz="0" w:space="0" w:color="auto"/>
        <w:left w:val="none" w:sz="0" w:space="0" w:color="auto"/>
        <w:bottom w:val="none" w:sz="0" w:space="0" w:color="auto"/>
        <w:right w:val="none" w:sz="0" w:space="0" w:color="auto"/>
      </w:divBdr>
    </w:div>
    <w:div w:id="772242280">
      <w:bodyDiv w:val="1"/>
      <w:marLeft w:val="0"/>
      <w:marRight w:val="0"/>
      <w:marTop w:val="0"/>
      <w:marBottom w:val="0"/>
      <w:divBdr>
        <w:top w:val="none" w:sz="0" w:space="0" w:color="auto"/>
        <w:left w:val="none" w:sz="0" w:space="0" w:color="auto"/>
        <w:bottom w:val="none" w:sz="0" w:space="0" w:color="auto"/>
        <w:right w:val="none" w:sz="0" w:space="0" w:color="auto"/>
      </w:divBdr>
    </w:div>
    <w:div w:id="772358057">
      <w:bodyDiv w:val="1"/>
      <w:marLeft w:val="0"/>
      <w:marRight w:val="0"/>
      <w:marTop w:val="0"/>
      <w:marBottom w:val="0"/>
      <w:divBdr>
        <w:top w:val="none" w:sz="0" w:space="0" w:color="auto"/>
        <w:left w:val="none" w:sz="0" w:space="0" w:color="auto"/>
        <w:bottom w:val="none" w:sz="0" w:space="0" w:color="auto"/>
        <w:right w:val="none" w:sz="0" w:space="0" w:color="auto"/>
      </w:divBdr>
    </w:div>
    <w:div w:id="772432586">
      <w:bodyDiv w:val="1"/>
      <w:marLeft w:val="0"/>
      <w:marRight w:val="0"/>
      <w:marTop w:val="0"/>
      <w:marBottom w:val="0"/>
      <w:divBdr>
        <w:top w:val="none" w:sz="0" w:space="0" w:color="auto"/>
        <w:left w:val="none" w:sz="0" w:space="0" w:color="auto"/>
        <w:bottom w:val="none" w:sz="0" w:space="0" w:color="auto"/>
        <w:right w:val="none" w:sz="0" w:space="0" w:color="auto"/>
      </w:divBdr>
    </w:div>
    <w:div w:id="772438973">
      <w:bodyDiv w:val="1"/>
      <w:marLeft w:val="0"/>
      <w:marRight w:val="0"/>
      <w:marTop w:val="0"/>
      <w:marBottom w:val="0"/>
      <w:divBdr>
        <w:top w:val="none" w:sz="0" w:space="0" w:color="auto"/>
        <w:left w:val="none" w:sz="0" w:space="0" w:color="auto"/>
        <w:bottom w:val="none" w:sz="0" w:space="0" w:color="auto"/>
        <w:right w:val="none" w:sz="0" w:space="0" w:color="auto"/>
      </w:divBdr>
    </w:div>
    <w:div w:id="772819026">
      <w:bodyDiv w:val="1"/>
      <w:marLeft w:val="0"/>
      <w:marRight w:val="0"/>
      <w:marTop w:val="0"/>
      <w:marBottom w:val="0"/>
      <w:divBdr>
        <w:top w:val="none" w:sz="0" w:space="0" w:color="auto"/>
        <w:left w:val="none" w:sz="0" w:space="0" w:color="auto"/>
        <w:bottom w:val="none" w:sz="0" w:space="0" w:color="auto"/>
        <w:right w:val="none" w:sz="0" w:space="0" w:color="auto"/>
      </w:divBdr>
    </w:div>
    <w:div w:id="772819113">
      <w:bodyDiv w:val="1"/>
      <w:marLeft w:val="0"/>
      <w:marRight w:val="0"/>
      <w:marTop w:val="0"/>
      <w:marBottom w:val="0"/>
      <w:divBdr>
        <w:top w:val="none" w:sz="0" w:space="0" w:color="auto"/>
        <w:left w:val="none" w:sz="0" w:space="0" w:color="auto"/>
        <w:bottom w:val="none" w:sz="0" w:space="0" w:color="auto"/>
        <w:right w:val="none" w:sz="0" w:space="0" w:color="auto"/>
      </w:divBdr>
    </w:div>
    <w:div w:id="773095308">
      <w:bodyDiv w:val="1"/>
      <w:marLeft w:val="0"/>
      <w:marRight w:val="0"/>
      <w:marTop w:val="0"/>
      <w:marBottom w:val="0"/>
      <w:divBdr>
        <w:top w:val="none" w:sz="0" w:space="0" w:color="auto"/>
        <w:left w:val="none" w:sz="0" w:space="0" w:color="auto"/>
        <w:bottom w:val="none" w:sz="0" w:space="0" w:color="auto"/>
        <w:right w:val="none" w:sz="0" w:space="0" w:color="auto"/>
      </w:divBdr>
    </w:div>
    <w:div w:id="773130436">
      <w:bodyDiv w:val="1"/>
      <w:marLeft w:val="0"/>
      <w:marRight w:val="0"/>
      <w:marTop w:val="0"/>
      <w:marBottom w:val="0"/>
      <w:divBdr>
        <w:top w:val="none" w:sz="0" w:space="0" w:color="auto"/>
        <w:left w:val="none" w:sz="0" w:space="0" w:color="auto"/>
        <w:bottom w:val="none" w:sz="0" w:space="0" w:color="auto"/>
        <w:right w:val="none" w:sz="0" w:space="0" w:color="auto"/>
      </w:divBdr>
    </w:div>
    <w:div w:id="773286577">
      <w:bodyDiv w:val="1"/>
      <w:marLeft w:val="0"/>
      <w:marRight w:val="0"/>
      <w:marTop w:val="0"/>
      <w:marBottom w:val="0"/>
      <w:divBdr>
        <w:top w:val="none" w:sz="0" w:space="0" w:color="auto"/>
        <w:left w:val="none" w:sz="0" w:space="0" w:color="auto"/>
        <w:bottom w:val="none" w:sz="0" w:space="0" w:color="auto"/>
        <w:right w:val="none" w:sz="0" w:space="0" w:color="auto"/>
      </w:divBdr>
    </w:div>
    <w:div w:id="773523293">
      <w:bodyDiv w:val="1"/>
      <w:marLeft w:val="0"/>
      <w:marRight w:val="0"/>
      <w:marTop w:val="0"/>
      <w:marBottom w:val="0"/>
      <w:divBdr>
        <w:top w:val="none" w:sz="0" w:space="0" w:color="auto"/>
        <w:left w:val="none" w:sz="0" w:space="0" w:color="auto"/>
        <w:bottom w:val="none" w:sz="0" w:space="0" w:color="auto"/>
        <w:right w:val="none" w:sz="0" w:space="0" w:color="auto"/>
      </w:divBdr>
    </w:div>
    <w:div w:id="773524506">
      <w:bodyDiv w:val="1"/>
      <w:marLeft w:val="0"/>
      <w:marRight w:val="0"/>
      <w:marTop w:val="0"/>
      <w:marBottom w:val="0"/>
      <w:divBdr>
        <w:top w:val="none" w:sz="0" w:space="0" w:color="auto"/>
        <w:left w:val="none" w:sz="0" w:space="0" w:color="auto"/>
        <w:bottom w:val="none" w:sz="0" w:space="0" w:color="auto"/>
        <w:right w:val="none" w:sz="0" w:space="0" w:color="auto"/>
      </w:divBdr>
    </w:div>
    <w:div w:id="773525017">
      <w:bodyDiv w:val="1"/>
      <w:marLeft w:val="0"/>
      <w:marRight w:val="0"/>
      <w:marTop w:val="0"/>
      <w:marBottom w:val="0"/>
      <w:divBdr>
        <w:top w:val="none" w:sz="0" w:space="0" w:color="auto"/>
        <w:left w:val="none" w:sz="0" w:space="0" w:color="auto"/>
        <w:bottom w:val="none" w:sz="0" w:space="0" w:color="auto"/>
        <w:right w:val="none" w:sz="0" w:space="0" w:color="auto"/>
      </w:divBdr>
    </w:div>
    <w:div w:id="773554107">
      <w:bodyDiv w:val="1"/>
      <w:marLeft w:val="0"/>
      <w:marRight w:val="0"/>
      <w:marTop w:val="0"/>
      <w:marBottom w:val="0"/>
      <w:divBdr>
        <w:top w:val="none" w:sz="0" w:space="0" w:color="auto"/>
        <w:left w:val="none" w:sz="0" w:space="0" w:color="auto"/>
        <w:bottom w:val="none" w:sz="0" w:space="0" w:color="auto"/>
        <w:right w:val="none" w:sz="0" w:space="0" w:color="auto"/>
      </w:divBdr>
    </w:div>
    <w:div w:id="774053855">
      <w:bodyDiv w:val="1"/>
      <w:marLeft w:val="0"/>
      <w:marRight w:val="0"/>
      <w:marTop w:val="0"/>
      <w:marBottom w:val="0"/>
      <w:divBdr>
        <w:top w:val="none" w:sz="0" w:space="0" w:color="auto"/>
        <w:left w:val="none" w:sz="0" w:space="0" w:color="auto"/>
        <w:bottom w:val="none" w:sz="0" w:space="0" w:color="auto"/>
        <w:right w:val="none" w:sz="0" w:space="0" w:color="auto"/>
      </w:divBdr>
    </w:div>
    <w:div w:id="774373687">
      <w:bodyDiv w:val="1"/>
      <w:marLeft w:val="0"/>
      <w:marRight w:val="0"/>
      <w:marTop w:val="0"/>
      <w:marBottom w:val="0"/>
      <w:divBdr>
        <w:top w:val="none" w:sz="0" w:space="0" w:color="auto"/>
        <w:left w:val="none" w:sz="0" w:space="0" w:color="auto"/>
        <w:bottom w:val="none" w:sz="0" w:space="0" w:color="auto"/>
        <w:right w:val="none" w:sz="0" w:space="0" w:color="auto"/>
      </w:divBdr>
    </w:div>
    <w:div w:id="774593755">
      <w:bodyDiv w:val="1"/>
      <w:marLeft w:val="0"/>
      <w:marRight w:val="0"/>
      <w:marTop w:val="0"/>
      <w:marBottom w:val="0"/>
      <w:divBdr>
        <w:top w:val="none" w:sz="0" w:space="0" w:color="auto"/>
        <w:left w:val="none" w:sz="0" w:space="0" w:color="auto"/>
        <w:bottom w:val="none" w:sz="0" w:space="0" w:color="auto"/>
        <w:right w:val="none" w:sz="0" w:space="0" w:color="auto"/>
      </w:divBdr>
    </w:div>
    <w:div w:id="774597813">
      <w:bodyDiv w:val="1"/>
      <w:marLeft w:val="0"/>
      <w:marRight w:val="0"/>
      <w:marTop w:val="0"/>
      <w:marBottom w:val="0"/>
      <w:divBdr>
        <w:top w:val="none" w:sz="0" w:space="0" w:color="auto"/>
        <w:left w:val="none" w:sz="0" w:space="0" w:color="auto"/>
        <w:bottom w:val="none" w:sz="0" w:space="0" w:color="auto"/>
        <w:right w:val="none" w:sz="0" w:space="0" w:color="auto"/>
      </w:divBdr>
    </w:div>
    <w:div w:id="774716275">
      <w:bodyDiv w:val="1"/>
      <w:marLeft w:val="0"/>
      <w:marRight w:val="0"/>
      <w:marTop w:val="0"/>
      <w:marBottom w:val="0"/>
      <w:divBdr>
        <w:top w:val="none" w:sz="0" w:space="0" w:color="auto"/>
        <w:left w:val="none" w:sz="0" w:space="0" w:color="auto"/>
        <w:bottom w:val="none" w:sz="0" w:space="0" w:color="auto"/>
        <w:right w:val="none" w:sz="0" w:space="0" w:color="auto"/>
      </w:divBdr>
    </w:div>
    <w:div w:id="774902395">
      <w:bodyDiv w:val="1"/>
      <w:marLeft w:val="0"/>
      <w:marRight w:val="0"/>
      <w:marTop w:val="0"/>
      <w:marBottom w:val="0"/>
      <w:divBdr>
        <w:top w:val="none" w:sz="0" w:space="0" w:color="auto"/>
        <w:left w:val="none" w:sz="0" w:space="0" w:color="auto"/>
        <w:bottom w:val="none" w:sz="0" w:space="0" w:color="auto"/>
        <w:right w:val="none" w:sz="0" w:space="0" w:color="auto"/>
      </w:divBdr>
    </w:div>
    <w:div w:id="775061349">
      <w:bodyDiv w:val="1"/>
      <w:marLeft w:val="0"/>
      <w:marRight w:val="0"/>
      <w:marTop w:val="0"/>
      <w:marBottom w:val="0"/>
      <w:divBdr>
        <w:top w:val="none" w:sz="0" w:space="0" w:color="auto"/>
        <w:left w:val="none" w:sz="0" w:space="0" w:color="auto"/>
        <w:bottom w:val="none" w:sz="0" w:space="0" w:color="auto"/>
        <w:right w:val="none" w:sz="0" w:space="0" w:color="auto"/>
      </w:divBdr>
    </w:div>
    <w:div w:id="775445421">
      <w:bodyDiv w:val="1"/>
      <w:marLeft w:val="0"/>
      <w:marRight w:val="0"/>
      <w:marTop w:val="0"/>
      <w:marBottom w:val="0"/>
      <w:divBdr>
        <w:top w:val="none" w:sz="0" w:space="0" w:color="auto"/>
        <w:left w:val="none" w:sz="0" w:space="0" w:color="auto"/>
        <w:bottom w:val="none" w:sz="0" w:space="0" w:color="auto"/>
        <w:right w:val="none" w:sz="0" w:space="0" w:color="auto"/>
      </w:divBdr>
    </w:div>
    <w:div w:id="775519301">
      <w:bodyDiv w:val="1"/>
      <w:marLeft w:val="0"/>
      <w:marRight w:val="0"/>
      <w:marTop w:val="0"/>
      <w:marBottom w:val="0"/>
      <w:divBdr>
        <w:top w:val="none" w:sz="0" w:space="0" w:color="auto"/>
        <w:left w:val="none" w:sz="0" w:space="0" w:color="auto"/>
        <w:bottom w:val="none" w:sz="0" w:space="0" w:color="auto"/>
        <w:right w:val="none" w:sz="0" w:space="0" w:color="auto"/>
      </w:divBdr>
    </w:div>
    <w:div w:id="775561482">
      <w:bodyDiv w:val="1"/>
      <w:marLeft w:val="0"/>
      <w:marRight w:val="0"/>
      <w:marTop w:val="0"/>
      <w:marBottom w:val="0"/>
      <w:divBdr>
        <w:top w:val="none" w:sz="0" w:space="0" w:color="auto"/>
        <w:left w:val="none" w:sz="0" w:space="0" w:color="auto"/>
        <w:bottom w:val="none" w:sz="0" w:space="0" w:color="auto"/>
        <w:right w:val="none" w:sz="0" w:space="0" w:color="auto"/>
      </w:divBdr>
    </w:div>
    <w:div w:id="775976650">
      <w:bodyDiv w:val="1"/>
      <w:marLeft w:val="0"/>
      <w:marRight w:val="0"/>
      <w:marTop w:val="0"/>
      <w:marBottom w:val="0"/>
      <w:divBdr>
        <w:top w:val="none" w:sz="0" w:space="0" w:color="auto"/>
        <w:left w:val="none" w:sz="0" w:space="0" w:color="auto"/>
        <w:bottom w:val="none" w:sz="0" w:space="0" w:color="auto"/>
        <w:right w:val="none" w:sz="0" w:space="0" w:color="auto"/>
      </w:divBdr>
    </w:div>
    <w:div w:id="776023338">
      <w:bodyDiv w:val="1"/>
      <w:marLeft w:val="0"/>
      <w:marRight w:val="0"/>
      <w:marTop w:val="0"/>
      <w:marBottom w:val="0"/>
      <w:divBdr>
        <w:top w:val="none" w:sz="0" w:space="0" w:color="auto"/>
        <w:left w:val="none" w:sz="0" w:space="0" w:color="auto"/>
        <w:bottom w:val="none" w:sz="0" w:space="0" w:color="auto"/>
        <w:right w:val="none" w:sz="0" w:space="0" w:color="auto"/>
      </w:divBdr>
    </w:div>
    <w:div w:id="776216987">
      <w:bodyDiv w:val="1"/>
      <w:marLeft w:val="0"/>
      <w:marRight w:val="0"/>
      <w:marTop w:val="0"/>
      <w:marBottom w:val="0"/>
      <w:divBdr>
        <w:top w:val="none" w:sz="0" w:space="0" w:color="auto"/>
        <w:left w:val="none" w:sz="0" w:space="0" w:color="auto"/>
        <w:bottom w:val="none" w:sz="0" w:space="0" w:color="auto"/>
        <w:right w:val="none" w:sz="0" w:space="0" w:color="auto"/>
      </w:divBdr>
    </w:div>
    <w:div w:id="776295299">
      <w:bodyDiv w:val="1"/>
      <w:marLeft w:val="0"/>
      <w:marRight w:val="0"/>
      <w:marTop w:val="0"/>
      <w:marBottom w:val="0"/>
      <w:divBdr>
        <w:top w:val="none" w:sz="0" w:space="0" w:color="auto"/>
        <w:left w:val="none" w:sz="0" w:space="0" w:color="auto"/>
        <w:bottom w:val="none" w:sz="0" w:space="0" w:color="auto"/>
        <w:right w:val="none" w:sz="0" w:space="0" w:color="auto"/>
      </w:divBdr>
    </w:div>
    <w:div w:id="776367418">
      <w:bodyDiv w:val="1"/>
      <w:marLeft w:val="0"/>
      <w:marRight w:val="0"/>
      <w:marTop w:val="0"/>
      <w:marBottom w:val="0"/>
      <w:divBdr>
        <w:top w:val="none" w:sz="0" w:space="0" w:color="auto"/>
        <w:left w:val="none" w:sz="0" w:space="0" w:color="auto"/>
        <w:bottom w:val="none" w:sz="0" w:space="0" w:color="auto"/>
        <w:right w:val="none" w:sz="0" w:space="0" w:color="auto"/>
      </w:divBdr>
    </w:div>
    <w:div w:id="776487004">
      <w:bodyDiv w:val="1"/>
      <w:marLeft w:val="0"/>
      <w:marRight w:val="0"/>
      <w:marTop w:val="0"/>
      <w:marBottom w:val="0"/>
      <w:divBdr>
        <w:top w:val="none" w:sz="0" w:space="0" w:color="auto"/>
        <w:left w:val="none" w:sz="0" w:space="0" w:color="auto"/>
        <w:bottom w:val="none" w:sz="0" w:space="0" w:color="auto"/>
        <w:right w:val="none" w:sz="0" w:space="0" w:color="auto"/>
      </w:divBdr>
    </w:div>
    <w:div w:id="776826838">
      <w:bodyDiv w:val="1"/>
      <w:marLeft w:val="0"/>
      <w:marRight w:val="0"/>
      <w:marTop w:val="0"/>
      <w:marBottom w:val="0"/>
      <w:divBdr>
        <w:top w:val="none" w:sz="0" w:space="0" w:color="auto"/>
        <w:left w:val="none" w:sz="0" w:space="0" w:color="auto"/>
        <w:bottom w:val="none" w:sz="0" w:space="0" w:color="auto"/>
        <w:right w:val="none" w:sz="0" w:space="0" w:color="auto"/>
      </w:divBdr>
    </w:div>
    <w:div w:id="776871984">
      <w:bodyDiv w:val="1"/>
      <w:marLeft w:val="0"/>
      <w:marRight w:val="0"/>
      <w:marTop w:val="0"/>
      <w:marBottom w:val="0"/>
      <w:divBdr>
        <w:top w:val="none" w:sz="0" w:space="0" w:color="auto"/>
        <w:left w:val="none" w:sz="0" w:space="0" w:color="auto"/>
        <w:bottom w:val="none" w:sz="0" w:space="0" w:color="auto"/>
        <w:right w:val="none" w:sz="0" w:space="0" w:color="auto"/>
      </w:divBdr>
    </w:div>
    <w:div w:id="777262783">
      <w:bodyDiv w:val="1"/>
      <w:marLeft w:val="0"/>
      <w:marRight w:val="0"/>
      <w:marTop w:val="0"/>
      <w:marBottom w:val="0"/>
      <w:divBdr>
        <w:top w:val="none" w:sz="0" w:space="0" w:color="auto"/>
        <w:left w:val="none" w:sz="0" w:space="0" w:color="auto"/>
        <w:bottom w:val="none" w:sz="0" w:space="0" w:color="auto"/>
        <w:right w:val="none" w:sz="0" w:space="0" w:color="auto"/>
      </w:divBdr>
    </w:div>
    <w:div w:id="777334331">
      <w:bodyDiv w:val="1"/>
      <w:marLeft w:val="0"/>
      <w:marRight w:val="0"/>
      <w:marTop w:val="0"/>
      <w:marBottom w:val="0"/>
      <w:divBdr>
        <w:top w:val="none" w:sz="0" w:space="0" w:color="auto"/>
        <w:left w:val="none" w:sz="0" w:space="0" w:color="auto"/>
        <w:bottom w:val="none" w:sz="0" w:space="0" w:color="auto"/>
        <w:right w:val="none" w:sz="0" w:space="0" w:color="auto"/>
      </w:divBdr>
    </w:div>
    <w:div w:id="777335649">
      <w:bodyDiv w:val="1"/>
      <w:marLeft w:val="0"/>
      <w:marRight w:val="0"/>
      <w:marTop w:val="0"/>
      <w:marBottom w:val="0"/>
      <w:divBdr>
        <w:top w:val="none" w:sz="0" w:space="0" w:color="auto"/>
        <w:left w:val="none" w:sz="0" w:space="0" w:color="auto"/>
        <w:bottom w:val="none" w:sz="0" w:space="0" w:color="auto"/>
        <w:right w:val="none" w:sz="0" w:space="0" w:color="auto"/>
      </w:divBdr>
    </w:div>
    <w:div w:id="777480331">
      <w:bodyDiv w:val="1"/>
      <w:marLeft w:val="0"/>
      <w:marRight w:val="0"/>
      <w:marTop w:val="0"/>
      <w:marBottom w:val="0"/>
      <w:divBdr>
        <w:top w:val="none" w:sz="0" w:space="0" w:color="auto"/>
        <w:left w:val="none" w:sz="0" w:space="0" w:color="auto"/>
        <w:bottom w:val="none" w:sz="0" w:space="0" w:color="auto"/>
        <w:right w:val="none" w:sz="0" w:space="0" w:color="auto"/>
      </w:divBdr>
    </w:div>
    <w:div w:id="777598828">
      <w:bodyDiv w:val="1"/>
      <w:marLeft w:val="0"/>
      <w:marRight w:val="0"/>
      <w:marTop w:val="0"/>
      <w:marBottom w:val="0"/>
      <w:divBdr>
        <w:top w:val="none" w:sz="0" w:space="0" w:color="auto"/>
        <w:left w:val="none" w:sz="0" w:space="0" w:color="auto"/>
        <w:bottom w:val="none" w:sz="0" w:space="0" w:color="auto"/>
        <w:right w:val="none" w:sz="0" w:space="0" w:color="auto"/>
      </w:divBdr>
    </w:div>
    <w:div w:id="777801085">
      <w:bodyDiv w:val="1"/>
      <w:marLeft w:val="0"/>
      <w:marRight w:val="0"/>
      <w:marTop w:val="0"/>
      <w:marBottom w:val="0"/>
      <w:divBdr>
        <w:top w:val="none" w:sz="0" w:space="0" w:color="auto"/>
        <w:left w:val="none" w:sz="0" w:space="0" w:color="auto"/>
        <w:bottom w:val="none" w:sz="0" w:space="0" w:color="auto"/>
        <w:right w:val="none" w:sz="0" w:space="0" w:color="auto"/>
      </w:divBdr>
    </w:div>
    <w:div w:id="778067856">
      <w:bodyDiv w:val="1"/>
      <w:marLeft w:val="0"/>
      <w:marRight w:val="0"/>
      <w:marTop w:val="0"/>
      <w:marBottom w:val="0"/>
      <w:divBdr>
        <w:top w:val="none" w:sz="0" w:space="0" w:color="auto"/>
        <w:left w:val="none" w:sz="0" w:space="0" w:color="auto"/>
        <w:bottom w:val="none" w:sz="0" w:space="0" w:color="auto"/>
        <w:right w:val="none" w:sz="0" w:space="0" w:color="auto"/>
      </w:divBdr>
    </w:div>
    <w:div w:id="778111363">
      <w:bodyDiv w:val="1"/>
      <w:marLeft w:val="0"/>
      <w:marRight w:val="0"/>
      <w:marTop w:val="0"/>
      <w:marBottom w:val="0"/>
      <w:divBdr>
        <w:top w:val="none" w:sz="0" w:space="0" w:color="auto"/>
        <w:left w:val="none" w:sz="0" w:space="0" w:color="auto"/>
        <w:bottom w:val="none" w:sz="0" w:space="0" w:color="auto"/>
        <w:right w:val="none" w:sz="0" w:space="0" w:color="auto"/>
      </w:divBdr>
    </w:div>
    <w:div w:id="778379903">
      <w:bodyDiv w:val="1"/>
      <w:marLeft w:val="0"/>
      <w:marRight w:val="0"/>
      <w:marTop w:val="0"/>
      <w:marBottom w:val="0"/>
      <w:divBdr>
        <w:top w:val="none" w:sz="0" w:space="0" w:color="auto"/>
        <w:left w:val="none" w:sz="0" w:space="0" w:color="auto"/>
        <w:bottom w:val="none" w:sz="0" w:space="0" w:color="auto"/>
        <w:right w:val="none" w:sz="0" w:space="0" w:color="auto"/>
      </w:divBdr>
    </w:div>
    <w:div w:id="778380997">
      <w:bodyDiv w:val="1"/>
      <w:marLeft w:val="0"/>
      <w:marRight w:val="0"/>
      <w:marTop w:val="0"/>
      <w:marBottom w:val="0"/>
      <w:divBdr>
        <w:top w:val="none" w:sz="0" w:space="0" w:color="auto"/>
        <w:left w:val="none" w:sz="0" w:space="0" w:color="auto"/>
        <w:bottom w:val="none" w:sz="0" w:space="0" w:color="auto"/>
        <w:right w:val="none" w:sz="0" w:space="0" w:color="auto"/>
      </w:divBdr>
    </w:div>
    <w:div w:id="778568495">
      <w:bodyDiv w:val="1"/>
      <w:marLeft w:val="0"/>
      <w:marRight w:val="0"/>
      <w:marTop w:val="0"/>
      <w:marBottom w:val="0"/>
      <w:divBdr>
        <w:top w:val="none" w:sz="0" w:space="0" w:color="auto"/>
        <w:left w:val="none" w:sz="0" w:space="0" w:color="auto"/>
        <w:bottom w:val="none" w:sz="0" w:space="0" w:color="auto"/>
        <w:right w:val="none" w:sz="0" w:space="0" w:color="auto"/>
      </w:divBdr>
    </w:div>
    <w:div w:id="778568673">
      <w:bodyDiv w:val="1"/>
      <w:marLeft w:val="0"/>
      <w:marRight w:val="0"/>
      <w:marTop w:val="0"/>
      <w:marBottom w:val="0"/>
      <w:divBdr>
        <w:top w:val="none" w:sz="0" w:space="0" w:color="auto"/>
        <w:left w:val="none" w:sz="0" w:space="0" w:color="auto"/>
        <w:bottom w:val="none" w:sz="0" w:space="0" w:color="auto"/>
        <w:right w:val="none" w:sz="0" w:space="0" w:color="auto"/>
      </w:divBdr>
    </w:div>
    <w:div w:id="778570136">
      <w:bodyDiv w:val="1"/>
      <w:marLeft w:val="0"/>
      <w:marRight w:val="0"/>
      <w:marTop w:val="0"/>
      <w:marBottom w:val="0"/>
      <w:divBdr>
        <w:top w:val="none" w:sz="0" w:space="0" w:color="auto"/>
        <w:left w:val="none" w:sz="0" w:space="0" w:color="auto"/>
        <w:bottom w:val="none" w:sz="0" w:space="0" w:color="auto"/>
        <w:right w:val="none" w:sz="0" w:space="0" w:color="auto"/>
      </w:divBdr>
    </w:div>
    <w:div w:id="778915826">
      <w:bodyDiv w:val="1"/>
      <w:marLeft w:val="0"/>
      <w:marRight w:val="0"/>
      <w:marTop w:val="0"/>
      <w:marBottom w:val="0"/>
      <w:divBdr>
        <w:top w:val="none" w:sz="0" w:space="0" w:color="auto"/>
        <w:left w:val="none" w:sz="0" w:space="0" w:color="auto"/>
        <w:bottom w:val="none" w:sz="0" w:space="0" w:color="auto"/>
        <w:right w:val="none" w:sz="0" w:space="0" w:color="auto"/>
      </w:divBdr>
    </w:div>
    <w:div w:id="778984953">
      <w:bodyDiv w:val="1"/>
      <w:marLeft w:val="0"/>
      <w:marRight w:val="0"/>
      <w:marTop w:val="0"/>
      <w:marBottom w:val="0"/>
      <w:divBdr>
        <w:top w:val="none" w:sz="0" w:space="0" w:color="auto"/>
        <w:left w:val="none" w:sz="0" w:space="0" w:color="auto"/>
        <w:bottom w:val="none" w:sz="0" w:space="0" w:color="auto"/>
        <w:right w:val="none" w:sz="0" w:space="0" w:color="auto"/>
      </w:divBdr>
    </w:div>
    <w:div w:id="778985211">
      <w:bodyDiv w:val="1"/>
      <w:marLeft w:val="0"/>
      <w:marRight w:val="0"/>
      <w:marTop w:val="0"/>
      <w:marBottom w:val="0"/>
      <w:divBdr>
        <w:top w:val="none" w:sz="0" w:space="0" w:color="auto"/>
        <w:left w:val="none" w:sz="0" w:space="0" w:color="auto"/>
        <w:bottom w:val="none" w:sz="0" w:space="0" w:color="auto"/>
        <w:right w:val="none" w:sz="0" w:space="0" w:color="auto"/>
      </w:divBdr>
    </w:div>
    <w:div w:id="778990492">
      <w:bodyDiv w:val="1"/>
      <w:marLeft w:val="0"/>
      <w:marRight w:val="0"/>
      <w:marTop w:val="0"/>
      <w:marBottom w:val="0"/>
      <w:divBdr>
        <w:top w:val="none" w:sz="0" w:space="0" w:color="auto"/>
        <w:left w:val="none" w:sz="0" w:space="0" w:color="auto"/>
        <w:bottom w:val="none" w:sz="0" w:space="0" w:color="auto"/>
        <w:right w:val="none" w:sz="0" w:space="0" w:color="auto"/>
      </w:divBdr>
    </w:div>
    <w:div w:id="779106131">
      <w:bodyDiv w:val="1"/>
      <w:marLeft w:val="0"/>
      <w:marRight w:val="0"/>
      <w:marTop w:val="0"/>
      <w:marBottom w:val="0"/>
      <w:divBdr>
        <w:top w:val="none" w:sz="0" w:space="0" w:color="auto"/>
        <w:left w:val="none" w:sz="0" w:space="0" w:color="auto"/>
        <w:bottom w:val="none" w:sz="0" w:space="0" w:color="auto"/>
        <w:right w:val="none" w:sz="0" w:space="0" w:color="auto"/>
      </w:divBdr>
    </w:div>
    <w:div w:id="779304533">
      <w:bodyDiv w:val="1"/>
      <w:marLeft w:val="0"/>
      <w:marRight w:val="0"/>
      <w:marTop w:val="0"/>
      <w:marBottom w:val="0"/>
      <w:divBdr>
        <w:top w:val="none" w:sz="0" w:space="0" w:color="auto"/>
        <w:left w:val="none" w:sz="0" w:space="0" w:color="auto"/>
        <w:bottom w:val="none" w:sz="0" w:space="0" w:color="auto"/>
        <w:right w:val="none" w:sz="0" w:space="0" w:color="auto"/>
      </w:divBdr>
    </w:div>
    <w:div w:id="779420282">
      <w:bodyDiv w:val="1"/>
      <w:marLeft w:val="0"/>
      <w:marRight w:val="0"/>
      <w:marTop w:val="0"/>
      <w:marBottom w:val="0"/>
      <w:divBdr>
        <w:top w:val="none" w:sz="0" w:space="0" w:color="auto"/>
        <w:left w:val="none" w:sz="0" w:space="0" w:color="auto"/>
        <w:bottom w:val="none" w:sz="0" w:space="0" w:color="auto"/>
        <w:right w:val="none" w:sz="0" w:space="0" w:color="auto"/>
      </w:divBdr>
    </w:div>
    <w:div w:id="779952050">
      <w:bodyDiv w:val="1"/>
      <w:marLeft w:val="0"/>
      <w:marRight w:val="0"/>
      <w:marTop w:val="0"/>
      <w:marBottom w:val="0"/>
      <w:divBdr>
        <w:top w:val="none" w:sz="0" w:space="0" w:color="auto"/>
        <w:left w:val="none" w:sz="0" w:space="0" w:color="auto"/>
        <w:bottom w:val="none" w:sz="0" w:space="0" w:color="auto"/>
        <w:right w:val="none" w:sz="0" w:space="0" w:color="auto"/>
      </w:divBdr>
    </w:div>
    <w:div w:id="780219778">
      <w:bodyDiv w:val="1"/>
      <w:marLeft w:val="0"/>
      <w:marRight w:val="0"/>
      <w:marTop w:val="0"/>
      <w:marBottom w:val="0"/>
      <w:divBdr>
        <w:top w:val="none" w:sz="0" w:space="0" w:color="auto"/>
        <w:left w:val="none" w:sz="0" w:space="0" w:color="auto"/>
        <w:bottom w:val="none" w:sz="0" w:space="0" w:color="auto"/>
        <w:right w:val="none" w:sz="0" w:space="0" w:color="auto"/>
      </w:divBdr>
    </w:div>
    <w:div w:id="780228138">
      <w:bodyDiv w:val="1"/>
      <w:marLeft w:val="0"/>
      <w:marRight w:val="0"/>
      <w:marTop w:val="0"/>
      <w:marBottom w:val="0"/>
      <w:divBdr>
        <w:top w:val="none" w:sz="0" w:space="0" w:color="auto"/>
        <w:left w:val="none" w:sz="0" w:space="0" w:color="auto"/>
        <w:bottom w:val="none" w:sz="0" w:space="0" w:color="auto"/>
        <w:right w:val="none" w:sz="0" w:space="0" w:color="auto"/>
      </w:divBdr>
    </w:div>
    <w:div w:id="780339941">
      <w:bodyDiv w:val="1"/>
      <w:marLeft w:val="0"/>
      <w:marRight w:val="0"/>
      <w:marTop w:val="0"/>
      <w:marBottom w:val="0"/>
      <w:divBdr>
        <w:top w:val="none" w:sz="0" w:space="0" w:color="auto"/>
        <w:left w:val="none" w:sz="0" w:space="0" w:color="auto"/>
        <w:bottom w:val="none" w:sz="0" w:space="0" w:color="auto"/>
        <w:right w:val="none" w:sz="0" w:space="0" w:color="auto"/>
      </w:divBdr>
    </w:div>
    <w:div w:id="780489305">
      <w:bodyDiv w:val="1"/>
      <w:marLeft w:val="0"/>
      <w:marRight w:val="0"/>
      <w:marTop w:val="0"/>
      <w:marBottom w:val="0"/>
      <w:divBdr>
        <w:top w:val="none" w:sz="0" w:space="0" w:color="auto"/>
        <w:left w:val="none" w:sz="0" w:space="0" w:color="auto"/>
        <w:bottom w:val="none" w:sz="0" w:space="0" w:color="auto"/>
        <w:right w:val="none" w:sz="0" w:space="0" w:color="auto"/>
      </w:divBdr>
    </w:div>
    <w:div w:id="780682400">
      <w:bodyDiv w:val="1"/>
      <w:marLeft w:val="0"/>
      <w:marRight w:val="0"/>
      <w:marTop w:val="0"/>
      <w:marBottom w:val="0"/>
      <w:divBdr>
        <w:top w:val="none" w:sz="0" w:space="0" w:color="auto"/>
        <w:left w:val="none" w:sz="0" w:space="0" w:color="auto"/>
        <w:bottom w:val="none" w:sz="0" w:space="0" w:color="auto"/>
        <w:right w:val="none" w:sz="0" w:space="0" w:color="auto"/>
      </w:divBdr>
    </w:div>
    <w:div w:id="780799996">
      <w:bodyDiv w:val="1"/>
      <w:marLeft w:val="0"/>
      <w:marRight w:val="0"/>
      <w:marTop w:val="0"/>
      <w:marBottom w:val="0"/>
      <w:divBdr>
        <w:top w:val="none" w:sz="0" w:space="0" w:color="auto"/>
        <w:left w:val="none" w:sz="0" w:space="0" w:color="auto"/>
        <w:bottom w:val="none" w:sz="0" w:space="0" w:color="auto"/>
        <w:right w:val="none" w:sz="0" w:space="0" w:color="auto"/>
      </w:divBdr>
    </w:div>
    <w:div w:id="780951112">
      <w:bodyDiv w:val="1"/>
      <w:marLeft w:val="0"/>
      <w:marRight w:val="0"/>
      <w:marTop w:val="0"/>
      <w:marBottom w:val="0"/>
      <w:divBdr>
        <w:top w:val="none" w:sz="0" w:space="0" w:color="auto"/>
        <w:left w:val="none" w:sz="0" w:space="0" w:color="auto"/>
        <w:bottom w:val="none" w:sz="0" w:space="0" w:color="auto"/>
        <w:right w:val="none" w:sz="0" w:space="0" w:color="auto"/>
      </w:divBdr>
    </w:div>
    <w:div w:id="780958927">
      <w:bodyDiv w:val="1"/>
      <w:marLeft w:val="0"/>
      <w:marRight w:val="0"/>
      <w:marTop w:val="0"/>
      <w:marBottom w:val="0"/>
      <w:divBdr>
        <w:top w:val="none" w:sz="0" w:space="0" w:color="auto"/>
        <w:left w:val="none" w:sz="0" w:space="0" w:color="auto"/>
        <w:bottom w:val="none" w:sz="0" w:space="0" w:color="auto"/>
        <w:right w:val="none" w:sz="0" w:space="0" w:color="auto"/>
      </w:divBdr>
    </w:div>
    <w:div w:id="781339175">
      <w:bodyDiv w:val="1"/>
      <w:marLeft w:val="0"/>
      <w:marRight w:val="0"/>
      <w:marTop w:val="0"/>
      <w:marBottom w:val="0"/>
      <w:divBdr>
        <w:top w:val="none" w:sz="0" w:space="0" w:color="auto"/>
        <w:left w:val="none" w:sz="0" w:space="0" w:color="auto"/>
        <w:bottom w:val="none" w:sz="0" w:space="0" w:color="auto"/>
        <w:right w:val="none" w:sz="0" w:space="0" w:color="auto"/>
      </w:divBdr>
    </w:div>
    <w:div w:id="781460485">
      <w:bodyDiv w:val="1"/>
      <w:marLeft w:val="0"/>
      <w:marRight w:val="0"/>
      <w:marTop w:val="0"/>
      <w:marBottom w:val="0"/>
      <w:divBdr>
        <w:top w:val="none" w:sz="0" w:space="0" w:color="auto"/>
        <w:left w:val="none" w:sz="0" w:space="0" w:color="auto"/>
        <w:bottom w:val="none" w:sz="0" w:space="0" w:color="auto"/>
        <w:right w:val="none" w:sz="0" w:space="0" w:color="auto"/>
      </w:divBdr>
    </w:div>
    <w:div w:id="781728823">
      <w:bodyDiv w:val="1"/>
      <w:marLeft w:val="0"/>
      <w:marRight w:val="0"/>
      <w:marTop w:val="0"/>
      <w:marBottom w:val="0"/>
      <w:divBdr>
        <w:top w:val="none" w:sz="0" w:space="0" w:color="auto"/>
        <w:left w:val="none" w:sz="0" w:space="0" w:color="auto"/>
        <w:bottom w:val="none" w:sz="0" w:space="0" w:color="auto"/>
        <w:right w:val="none" w:sz="0" w:space="0" w:color="auto"/>
      </w:divBdr>
    </w:div>
    <w:div w:id="781846019">
      <w:bodyDiv w:val="1"/>
      <w:marLeft w:val="0"/>
      <w:marRight w:val="0"/>
      <w:marTop w:val="0"/>
      <w:marBottom w:val="0"/>
      <w:divBdr>
        <w:top w:val="none" w:sz="0" w:space="0" w:color="auto"/>
        <w:left w:val="none" w:sz="0" w:space="0" w:color="auto"/>
        <w:bottom w:val="none" w:sz="0" w:space="0" w:color="auto"/>
        <w:right w:val="none" w:sz="0" w:space="0" w:color="auto"/>
      </w:divBdr>
    </w:div>
    <w:div w:id="782043069">
      <w:bodyDiv w:val="1"/>
      <w:marLeft w:val="0"/>
      <w:marRight w:val="0"/>
      <w:marTop w:val="0"/>
      <w:marBottom w:val="0"/>
      <w:divBdr>
        <w:top w:val="none" w:sz="0" w:space="0" w:color="auto"/>
        <w:left w:val="none" w:sz="0" w:space="0" w:color="auto"/>
        <w:bottom w:val="none" w:sz="0" w:space="0" w:color="auto"/>
        <w:right w:val="none" w:sz="0" w:space="0" w:color="auto"/>
      </w:divBdr>
    </w:div>
    <w:div w:id="782655039">
      <w:bodyDiv w:val="1"/>
      <w:marLeft w:val="0"/>
      <w:marRight w:val="0"/>
      <w:marTop w:val="0"/>
      <w:marBottom w:val="0"/>
      <w:divBdr>
        <w:top w:val="none" w:sz="0" w:space="0" w:color="auto"/>
        <w:left w:val="none" w:sz="0" w:space="0" w:color="auto"/>
        <w:bottom w:val="none" w:sz="0" w:space="0" w:color="auto"/>
        <w:right w:val="none" w:sz="0" w:space="0" w:color="auto"/>
      </w:divBdr>
    </w:div>
    <w:div w:id="782846673">
      <w:bodyDiv w:val="1"/>
      <w:marLeft w:val="0"/>
      <w:marRight w:val="0"/>
      <w:marTop w:val="0"/>
      <w:marBottom w:val="0"/>
      <w:divBdr>
        <w:top w:val="none" w:sz="0" w:space="0" w:color="auto"/>
        <w:left w:val="none" w:sz="0" w:space="0" w:color="auto"/>
        <w:bottom w:val="none" w:sz="0" w:space="0" w:color="auto"/>
        <w:right w:val="none" w:sz="0" w:space="0" w:color="auto"/>
      </w:divBdr>
    </w:div>
    <w:div w:id="782924754">
      <w:bodyDiv w:val="1"/>
      <w:marLeft w:val="0"/>
      <w:marRight w:val="0"/>
      <w:marTop w:val="0"/>
      <w:marBottom w:val="0"/>
      <w:divBdr>
        <w:top w:val="none" w:sz="0" w:space="0" w:color="auto"/>
        <w:left w:val="none" w:sz="0" w:space="0" w:color="auto"/>
        <w:bottom w:val="none" w:sz="0" w:space="0" w:color="auto"/>
        <w:right w:val="none" w:sz="0" w:space="0" w:color="auto"/>
      </w:divBdr>
    </w:div>
    <w:div w:id="782960487">
      <w:bodyDiv w:val="1"/>
      <w:marLeft w:val="0"/>
      <w:marRight w:val="0"/>
      <w:marTop w:val="0"/>
      <w:marBottom w:val="0"/>
      <w:divBdr>
        <w:top w:val="none" w:sz="0" w:space="0" w:color="auto"/>
        <w:left w:val="none" w:sz="0" w:space="0" w:color="auto"/>
        <w:bottom w:val="none" w:sz="0" w:space="0" w:color="auto"/>
        <w:right w:val="none" w:sz="0" w:space="0" w:color="auto"/>
      </w:divBdr>
    </w:div>
    <w:div w:id="783042071">
      <w:bodyDiv w:val="1"/>
      <w:marLeft w:val="0"/>
      <w:marRight w:val="0"/>
      <w:marTop w:val="0"/>
      <w:marBottom w:val="0"/>
      <w:divBdr>
        <w:top w:val="none" w:sz="0" w:space="0" w:color="auto"/>
        <w:left w:val="none" w:sz="0" w:space="0" w:color="auto"/>
        <w:bottom w:val="none" w:sz="0" w:space="0" w:color="auto"/>
        <w:right w:val="none" w:sz="0" w:space="0" w:color="auto"/>
      </w:divBdr>
    </w:div>
    <w:div w:id="783113519">
      <w:bodyDiv w:val="1"/>
      <w:marLeft w:val="0"/>
      <w:marRight w:val="0"/>
      <w:marTop w:val="0"/>
      <w:marBottom w:val="0"/>
      <w:divBdr>
        <w:top w:val="none" w:sz="0" w:space="0" w:color="auto"/>
        <w:left w:val="none" w:sz="0" w:space="0" w:color="auto"/>
        <w:bottom w:val="none" w:sz="0" w:space="0" w:color="auto"/>
        <w:right w:val="none" w:sz="0" w:space="0" w:color="auto"/>
      </w:divBdr>
    </w:div>
    <w:div w:id="783187903">
      <w:bodyDiv w:val="1"/>
      <w:marLeft w:val="0"/>
      <w:marRight w:val="0"/>
      <w:marTop w:val="0"/>
      <w:marBottom w:val="0"/>
      <w:divBdr>
        <w:top w:val="none" w:sz="0" w:space="0" w:color="auto"/>
        <w:left w:val="none" w:sz="0" w:space="0" w:color="auto"/>
        <w:bottom w:val="none" w:sz="0" w:space="0" w:color="auto"/>
        <w:right w:val="none" w:sz="0" w:space="0" w:color="auto"/>
      </w:divBdr>
    </w:div>
    <w:div w:id="783309872">
      <w:bodyDiv w:val="1"/>
      <w:marLeft w:val="0"/>
      <w:marRight w:val="0"/>
      <w:marTop w:val="0"/>
      <w:marBottom w:val="0"/>
      <w:divBdr>
        <w:top w:val="none" w:sz="0" w:space="0" w:color="auto"/>
        <w:left w:val="none" w:sz="0" w:space="0" w:color="auto"/>
        <w:bottom w:val="none" w:sz="0" w:space="0" w:color="auto"/>
        <w:right w:val="none" w:sz="0" w:space="0" w:color="auto"/>
      </w:divBdr>
    </w:div>
    <w:div w:id="783499633">
      <w:bodyDiv w:val="1"/>
      <w:marLeft w:val="0"/>
      <w:marRight w:val="0"/>
      <w:marTop w:val="0"/>
      <w:marBottom w:val="0"/>
      <w:divBdr>
        <w:top w:val="none" w:sz="0" w:space="0" w:color="auto"/>
        <w:left w:val="none" w:sz="0" w:space="0" w:color="auto"/>
        <w:bottom w:val="none" w:sz="0" w:space="0" w:color="auto"/>
        <w:right w:val="none" w:sz="0" w:space="0" w:color="auto"/>
      </w:divBdr>
    </w:div>
    <w:div w:id="783616867">
      <w:bodyDiv w:val="1"/>
      <w:marLeft w:val="0"/>
      <w:marRight w:val="0"/>
      <w:marTop w:val="0"/>
      <w:marBottom w:val="0"/>
      <w:divBdr>
        <w:top w:val="none" w:sz="0" w:space="0" w:color="auto"/>
        <w:left w:val="none" w:sz="0" w:space="0" w:color="auto"/>
        <w:bottom w:val="none" w:sz="0" w:space="0" w:color="auto"/>
        <w:right w:val="none" w:sz="0" w:space="0" w:color="auto"/>
      </w:divBdr>
    </w:div>
    <w:div w:id="783768492">
      <w:bodyDiv w:val="1"/>
      <w:marLeft w:val="0"/>
      <w:marRight w:val="0"/>
      <w:marTop w:val="0"/>
      <w:marBottom w:val="0"/>
      <w:divBdr>
        <w:top w:val="none" w:sz="0" w:space="0" w:color="auto"/>
        <w:left w:val="none" w:sz="0" w:space="0" w:color="auto"/>
        <w:bottom w:val="none" w:sz="0" w:space="0" w:color="auto"/>
        <w:right w:val="none" w:sz="0" w:space="0" w:color="auto"/>
      </w:divBdr>
    </w:div>
    <w:div w:id="783769534">
      <w:bodyDiv w:val="1"/>
      <w:marLeft w:val="0"/>
      <w:marRight w:val="0"/>
      <w:marTop w:val="0"/>
      <w:marBottom w:val="0"/>
      <w:divBdr>
        <w:top w:val="none" w:sz="0" w:space="0" w:color="auto"/>
        <w:left w:val="none" w:sz="0" w:space="0" w:color="auto"/>
        <w:bottom w:val="none" w:sz="0" w:space="0" w:color="auto"/>
        <w:right w:val="none" w:sz="0" w:space="0" w:color="auto"/>
      </w:divBdr>
    </w:div>
    <w:div w:id="783811988">
      <w:bodyDiv w:val="1"/>
      <w:marLeft w:val="0"/>
      <w:marRight w:val="0"/>
      <w:marTop w:val="0"/>
      <w:marBottom w:val="0"/>
      <w:divBdr>
        <w:top w:val="none" w:sz="0" w:space="0" w:color="auto"/>
        <w:left w:val="none" w:sz="0" w:space="0" w:color="auto"/>
        <w:bottom w:val="none" w:sz="0" w:space="0" w:color="auto"/>
        <w:right w:val="none" w:sz="0" w:space="0" w:color="auto"/>
      </w:divBdr>
    </w:div>
    <w:div w:id="783812431">
      <w:bodyDiv w:val="1"/>
      <w:marLeft w:val="0"/>
      <w:marRight w:val="0"/>
      <w:marTop w:val="0"/>
      <w:marBottom w:val="0"/>
      <w:divBdr>
        <w:top w:val="none" w:sz="0" w:space="0" w:color="auto"/>
        <w:left w:val="none" w:sz="0" w:space="0" w:color="auto"/>
        <w:bottom w:val="none" w:sz="0" w:space="0" w:color="auto"/>
        <w:right w:val="none" w:sz="0" w:space="0" w:color="auto"/>
      </w:divBdr>
    </w:div>
    <w:div w:id="783957782">
      <w:bodyDiv w:val="1"/>
      <w:marLeft w:val="0"/>
      <w:marRight w:val="0"/>
      <w:marTop w:val="0"/>
      <w:marBottom w:val="0"/>
      <w:divBdr>
        <w:top w:val="none" w:sz="0" w:space="0" w:color="auto"/>
        <w:left w:val="none" w:sz="0" w:space="0" w:color="auto"/>
        <w:bottom w:val="none" w:sz="0" w:space="0" w:color="auto"/>
        <w:right w:val="none" w:sz="0" w:space="0" w:color="auto"/>
      </w:divBdr>
    </w:div>
    <w:div w:id="783960044">
      <w:bodyDiv w:val="1"/>
      <w:marLeft w:val="0"/>
      <w:marRight w:val="0"/>
      <w:marTop w:val="0"/>
      <w:marBottom w:val="0"/>
      <w:divBdr>
        <w:top w:val="none" w:sz="0" w:space="0" w:color="auto"/>
        <w:left w:val="none" w:sz="0" w:space="0" w:color="auto"/>
        <w:bottom w:val="none" w:sz="0" w:space="0" w:color="auto"/>
        <w:right w:val="none" w:sz="0" w:space="0" w:color="auto"/>
      </w:divBdr>
    </w:div>
    <w:div w:id="784079680">
      <w:bodyDiv w:val="1"/>
      <w:marLeft w:val="0"/>
      <w:marRight w:val="0"/>
      <w:marTop w:val="0"/>
      <w:marBottom w:val="0"/>
      <w:divBdr>
        <w:top w:val="none" w:sz="0" w:space="0" w:color="auto"/>
        <w:left w:val="none" w:sz="0" w:space="0" w:color="auto"/>
        <w:bottom w:val="none" w:sz="0" w:space="0" w:color="auto"/>
        <w:right w:val="none" w:sz="0" w:space="0" w:color="auto"/>
      </w:divBdr>
    </w:div>
    <w:div w:id="784344358">
      <w:bodyDiv w:val="1"/>
      <w:marLeft w:val="0"/>
      <w:marRight w:val="0"/>
      <w:marTop w:val="0"/>
      <w:marBottom w:val="0"/>
      <w:divBdr>
        <w:top w:val="none" w:sz="0" w:space="0" w:color="auto"/>
        <w:left w:val="none" w:sz="0" w:space="0" w:color="auto"/>
        <w:bottom w:val="none" w:sz="0" w:space="0" w:color="auto"/>
        <w:right w:val="none" w:sz="0" w:space="0" w:color="auto"/>
      </w:divBdr>
    </w:div>
    <w:div w:id="784422625">
      <w:bodyDiv w:val="1"/>
      <w:marLeft w:val="0"/>
      <w:marRight w:val="0"/>
      <w:marTop w:val="0"/>
      <w:marBottom w:val="0"/>
      <w:divBdr>
        <w:top w:val="none" w:sz="0" w:space="0" w:color="auto"/>
        <w:left w:val="none" w:sz="0" w:space="0" w:color="auto"/>
        <w:bottom w:val="none" w:sz="0" w:space="0" w:color="auto"/>
        <w:right w:val="none" w:sz="0" w:space="0" w:color="auto"/>
      </w:divBdr>
    </w:div>
    <w:div w:id="784545391">
      <w:bodyDiv w:val="1"/>
      <w:marLeft w:val="0"/>
      <w:marRight w:val="0"/>
      <w:marTop w:val="0"/>
      <w:marBottom w:val="0"/>
      <w:divBdr>
        <w:top w:val="none" w:sz="0" w:space="0" w:color="auto"/>
        <w:left w:val="none" w:sz="0" w:space="0" w:color="auto"/>
        <w:bottom w:val="none" w:sz="0" w:space="0" w:color="auto"/>
        <w:right w:val="none" w:sz="0" w:space="0" w:color="auto"/>
      </w:divBdr>
    </w:div>
    <w:div w:id="784890784">
      <w:bodyDiv w:val="1"/>
      <w:marLeft w:val="0"/>
      <w:marRight w:val="0"/>
      <w:marTop w:val="0"/>
      <w:marBottom w:val="0"/>
      <w:divBdr>
        <w:top w:val="none" w:sz="0" w:space="0" w:color="auto"/>
        <w:left w:val="none" w:sz="0" w:space="0" w:color="auto"/>
        <w:bottom w:val="none" w:sz="0" w:space="0" w:color="auto"/>
        <w:right w:val="none" w:sz="0" w:space="0" w:color="auto"/>
      </w:divBdr>
    </w:div>
    <w:div w:id="784926272">
      <w:bodyDiv w:val="1"/>
      <w:marLeft w:val="0"/>
      <w:marRight w:val="0"/>
      <w:marTop w:val="0"/>
      <w:marBottom w:val="0"/>
      <w:divBdr>
        <w:top w:val="none" w:sz="0" w:space="0" w:color="auto"/>
        <w:left w:val="none" w:sz="0" w:space="0" w:color="auto"/>
        <w:bottom w:val="none" w:sz="0" w:space="0" w:color="auto"/>
        <w:right w:val="none" w:sz="0" w:space="0" w:color="auto"/>
      </w:divBdr>
    </w:div>
    <w:div w:id="785123438">
      <w:bodyDiv w:val="1"/>
      <w:marLeft w:val="0"/>
      <w:marRight w:val="0"/>
      <w:marTop w:val="0"/>
      <w:marBottom w:val="0"/>
      <w:divBdr>
        <w:top w:val="none" w:sz="0" w:space="0" w:color="auto"/>
        <w:left w:val="none" w:sz="0" w:space="0" w:color="auto"/>
        <w:bottom w:val="none" w:sz="0" w:space="0" w:color="auto"/>
        <w:right w:val="none" w:sz="0" w:space="0" w:color="auto"/>
      </w:divBdr>
    </w:div>
    <w:div w:id="785195490">
      <w:bodyDiv w:val="1"/>
      <w:marLeft w:val="0"/>
      <w:marRight w:val="0"/>
      <w:marTop w:val="0"/>
      <w:marBottom w:val="0"/>
      <w:divBdr>
        <w:top w:val="none" w:sz="0" w:space="0" w:color="auto"/>
        <w:left w:val="none" w:sz="0" w:space="0" w:color="auto"/>
        <w:bottom w:val="none" w:sz="0" w:space="0" w:color="auto"/>
        <w:right w:val="none" w:sz="0" w:space="0" w:color="auto"/>
      </w:divBdr>
    </w:div>
    <w:div w:id="785589248">
      <w:bodyDiv w:val="1"/>
      <w:marLeft w:val="0"/>
      <w:marRight w:val="0"/>
      <w:marTop w:val="0"/>
      <w:marBottom w:val="0"/>
      <w:divBdr>
        <w:top w:val="none" w:sz="0" w:space="0" w:color="auto"/>
        <w:left w:val="none" w:sz="0" w:space="0" w:color="auto"/>
        <w:bottom w:val="none" w:sz="0" w:space="0" w:color="auto"/>
        <w:right w:val="none" w:sz="0" w:space="0" w:color="auto"/>
      </w:divBdr>
    </w:div>
    <w:div w:id="786048741">
      <w:bodyDiv w:val="1"/>
      <w:marLeft w:val="0"/>
      <w:marRight w:val="0"/>
      <w:marTop w:val="0"/>
      <w:marBottom w:val="0"/>
      <w:divBdr>
        <w:top w:val="none" w:sz="0" w:space="0" w:color="auto"/>
        <w:left w:val="none" w:sz="0" w:space="0" w:color="auto"/>
        <w:bottom w:val="none" w:sz="0" w:space="0" w:color="auto"/>
        <w:right w:val="none" w:sz="0" w:space="0" w:color="auto"/>
      </w:divBdr>
    </w:div>
    <w:div w:id="786235424">
      <w:bodyDiv w:val="1"/>
      <w:marLeft w:val="0"/>
      <w:marRight w:val="0"/>
      <w:marTop w:val="0"/>
      <w:marBottom w:val="0"/>
      <w:divBdr>
        <w:top w:val="none" w:sz="0" w:space="0" w:color="auto"/>
        <w:left w:val="none" w:sz="0" w:space="0" w:color="auto"/>
        <w:bottom w:val="none" w:sz="0" w:space="0" w:color="auto"/>
        <w:right w:val="none" w:sz="0" w:space="0" w:color="auto"/>
      </w:divBdr>
    </w:div>
    <w:div w:id="786392047">
      <w:bodyDiv w:val="1"/>
      <w:marLeft w:val="0"/>
      <w:marRight w:val="0"/>
      <w:marTop w:val="0"/>
      <w:marBottom w:val="0"/>
      <w:divBdr>
        <w:top w:val="none" w:sz="0" w:space="0" w:color="auto"/>
        <w:left w:val="none" w:sz="0" w:space="0" w:color="auto"/>
        <w:bottom w:val="none" w:sz="0" w:space="0" w:color="auto"/>
        <w:right w:val="none" w:sz="0" w:space="0" w:color="auto"/>
      </w:divBdr>
    </w:div>
    <w:div w:id="786628855">
      <w:bodyDiv w:val="1"/>
      <w:marLeft w:val="0"/>
      <w:marRight w:val="0"/>
      <w:marTop w:val="0"/>
      <w:marBottom w:val="0"/>
      <w:divBdr>
        <w:top w:val="none" w:sz="0" w:space="0" w:color="auto"/>
        <w:left w:val="none" w:sz="0" w:space="0" w:color="auto"/>
        <w:bottom w:val="none" w:sz="0" w:space="0" w:color="auto"/>
        <w:right w:val="none" w:sz="0" w:space="0" w:color="auto"/>
      </w:divBdr>
    </w:div>
    <w:div w:id="787088142">
      <w:bodyDiv w:val="1"/>
      <w:marLeft w:val="0"/>
      <w:marRight w:val="0"/>
      <w:marTop w:val="0"/>
      <w:marBottom w:val="0"/>
      <w:divBdr>
        <w:top w:val="none" w:sz="0" w:space="0" w:color="auto"/>
        <w:left w:val="none" w:sz="0" w:space="0" w:color="auto"/>
        <w:bottom w:val="none" w:sz="0" w:space="0" w:color="auto"/>
        <w:right w:val="none" w:sz="0" w:space="0" w:color="auto"/>
      </w:divBdr>
    </w:div>
    <w:div w:id="787119064">
      <w:bodyDiv w:val="1"/>
      <w:marLeft w:val="0"/>
      <w:marRight w:val="0"/>
      <w:marTop w:val="0"/>
      <w:marBottom w:val="0"/>
      <w:divBdr>
        <w:top w:val="none" w:sz="0" w:space="0" w:color="auto"/>
        <w:left w:val="none" w:sz="0" w:space="0" w:color="auto"/>
        <w:bottom w:val="none" w:sz="0" w:space="0" w:color="auto"/>
        <w:right w:val="none" w:sz="0" w:space="0" w:color="auto"/>
      </w:divBdr>
    </w:div>
    <w:div w:id="787119877">
      <w:bodyDiv w:val="1"/>
      <w:marLeft w:val="0"/>
      <w:marRight w:val="0"/>
      <w:marTop w:val="0"/>
      <w:marBottom w:val="0"/>
      <w:divBdr>
        <w:top w:val="none" w:sz="0" w:space="0" w:color="auto"/>
        <w:left w:val="none" w:sz="0" w:space="0" w:color="auto"/>
        <w:bottom w:val="none" w:sz="0" w:space="0" w:color="auto"/>
        <w:right w:val="none" w:sz="0" w:space="0" w:color="auto"/>
      </w:divBdr>
    </w:div>
    <w:div w:id="787239800">
      <w:bodyDiv w:val="1"/>
      <w:marLeft w:val="0"/>
      <w:marRight w:val="0"/>
      <w:marTop w:val="0"/>
      <w:marBottom w:val="0"/>
      <w:divBdr>
        <w:top w:val="none" w:sz="0" w:space="0" w:color="auto"/>
        <w:left w:val="none" w:sz="0" w:space="0" w:color="auto"/>
        <w:bottom w:val="none" w:sz="0" w:space="0" w:color="auto"/>
        <w:right w:val="none" w:sz="0" w:space="0" w:color="auto"/>
      </w:divBdr>
    </w:div>
    <w:div w:id="787241682">
      <w:bodyDiv w:val="1"/>
      <w:marLeft w:val="0"/>
      <w:marRight w:val="0"/>
      <w:marTop w:val="0"/>
      <w:marBottom w:val="0"/>
      <w:divBdr>
        <w:top w:val="none" w:sz="0" w:space="0" w:color="auto"/>
        <w:left w:val="none" w:sz="0" w:space="0" w:color="auto"/>
        <w:bottom w:val="none" w:sz="0" w:space="0" w:color="auto"/>
        <w:right w:val="none" w:sz="0" w:space="0" w:color="auto"/>
      </w:divBdr>
    </w:div>
    <w:div w:id="787428287">
      <w:bodyDiv w:val="1"/>
      <w:marLeft w:val="0"/>
      <w:marRight w:val="0"/>
      <w:marTop w:val="0"/>
      <w:marBottom w:val="0"/>
      <w:divBdr>
        <w:top w:val="none" w:sz="0" w:space="0" w:color="auto"/>
        <w:left w:val="none" w:sz="0" w:space="0" w:color="auto"/>
        <w:bottom w:val="none" w:sz="0" w:space="0" w:color="auto"/>
        <w:right w:val="none" w:sz="0" w:space="0" w:color="auto"/>
      </w:divBdr>
    </w:div>
    <w:div w:id="787436814">
      <w:bodyDiv w:val="1"/>
      <w:marLeft w:val="0"/>
      <w:marRight w:val="0"/>
      <w:marTop w:val="0"/>
      <w:marBottom w:val="0"/>
      <w:divBdr>
        <w:top w:val="none" w:sz="0" w:space="0" w:color="auto"/>
        <w:left w:val="none" w:sz="0" w:space="0" w:color="auto"/>
        <w:bottom w:val="none" w:sz="0" w:space="0" w:color="auto"/>
        <w:right w:val="none" w:sz="0" w:space="0" w:color="auto"/>
      </w:divBdr>
    </w:div>
    <w:div w:id="787630316">
      <w:bodyDiv w:val="1"/>
      <w:marLeft w:val="0"/>
      <w:marRight w:val="0"/>
      <w:marTop w:val="0"/>
      <w:marBottom w:val="0"/>
      <w:divBdr>
        <w:top w:val="none" w:sz="0" w:space="0" w:color="auto"/>
        <w:left w:val="none" w:sz="0" w:space="0" w:color="auto"/>
        <w:bottom w:val="none" w:sz="0" w:space="0" w:color="auto"/>
        <w:right w:val="none" w:sz="0" w:space="0" w:color="auto"/>
      </w:divBdr>
    </w:div>
    <w:div w:id="787696360">
      <w:bodyDiv w:val="1"/>
      <w:marLeft w:val="0"/>
      <w:marRight w:val="0"/>
      <w:marTop w:val="0"/>
      <w:marBottom w:val="0"/>
      <w:divBdr>
        <w:top w:val="none" w:sz="0" w:space="0" w:color="auto"/>
        <w:left w:val="none" w:sz="0" w:space="0" w:color="auto"/>
        <w:bottom w:val="none" w:sz="0" w:space="0" w:color="auto"/>
        <w:right w:val="none" w:sz="0" w:space="0" w:color="auto"/>
      </w:divBdr>
    </w:div>
    <w:div w:id="787697499">
      <w:bodyDiv w:val="1"/>
      <w:marLeft w:val="0"/>
      <w:marRight w:val="0"/>
      <w:marTop w:val="0"/>
      <w:marBottom w:val="0"/>
      <w:divBdr>
        <w:top w:val="none" w:sz="0" w:space="0" w:color="auto"/>
        <w:left w:val="none" w:sz="0" w:space="0" w:color="auto"/>
        <w:bottom w:val="none" w:sz="0" w:space="0" w:color="auto"/>
        <w:right w:val="none" w:sz="0" w:space="0" w:color="auto"/>
      </w:divBdr>
    </w:div>
    <w:div w:id="787823296">
      <w:bodyDiv w:val="1"/>
      <w:marLeft w:val="0"/>
      <w:marRight w:val="0"/>
      <w:marTop w:val="0"/>
      <w:marBottom w:val="0"/>
      <w:divBdr>
        <w:top w:val="none" w:sz="0" w:space="0" w:color="auto"/>
        <w:left w:val="none" w:sz="0" w:space="0" w:color="auto"/>
        <w:bottom w:val="none" w:sz="0" w:space="0" w:color="auto"/>
        <w:right w:val="none" w:sz="0" w:space="0" w:color="auto"/>
      </w:divBdr>
    </w:div>
    <w:div w:id="787893787">
      <w:bodyDiv w:val="1"/>
      <w:marLeft w:val="0"/>
      <w:marRight w:val="0"/>
      <w:marTop w:val="0"/>
      <w:marBottom w:val="0"/>
      <w:divBdr>
        <w:top w:val="none" w:sz="0" w:space="0" w:color="auto"/>
        <w:left w:val="none" w:sz="0" w:space="0" w:color="auto"/>
        <w:bottom w:val="none" w:sz="0" w:space="0" w:color="auto"/>
        <w:right w:val="none" w:sz="0" w:space="0" w:color="auto"/>
      </w:divBdr>
    </w:div>
    <w:div w:id="788008483">
      <w:bodyDiv w:val="1"/>
      <w:marLeft w:val="0"/>
      <w:marRight w:val="0"/>
      <w:marTop w:val="0"/>
      <w:marBottom w:val="0"/>
      <w:divBdr>
        <w:top w:val="none" w:sz="0" w:space="0" w:color="auto"/>
        <w:left w:val="none" w:sz="0" w:space="0" w:color="auto"/>
        <w:bottom w:val="none" w:sz="0" w:space="0" w:color="auto"/>
        <w:right w:val="none" w:sz="0" w:space="0" w:color="auto"/>
      </w:divBdr>
    </w:div>
    <w:div w:id="788400598">
      <w:bodyDiv w:val="1"/>
      <w:marLeft w:val="0"/>
      <w:marRight w:val="0"/>
      <w:marTop w:val="0"/>
      <w:marBottom w:val="0"/>
      <w:divBdr>
        <w:top w:val="none" w:sz="0" w:space="0" w:color="auto"/>
        <w:left w:val="none" w:sz="0" w:space="0" w:color="auto"/>
        <w:bottom w:val="none" w:sz="0" w:space="0" w:color="auto"/>
        <w:right w:val="none" w:sz="0" w:space="0" w:color="auto"/>
      </w:divBdr>
    </w:div>
    <w:div w:id="788402920">
      <w:bodyDiv w:val="1"/>
      <w:marLeft w:val="0"/>
      <w:marRight w:val="0"/>
      <w:marTop w:val="0"/>
      <w:marBottom w:val="0"/>
      <w:divBdr>
        <w:top w:val="none" w:sz="0" w:space="0" w:color="auto"/>
        <w:left w:val="none" w:sz="0" w:space="0" w:color="auto"/>
        <w:bottom w:val="none" w:sz="0" w:space="0" w:color="auto"/>
        <w:right w:val="none" w:sz="0" w:space="0" w:color="auto"/>
      </w:divBdr>
    </w:div>
    <w:div w:id="788475740">
      <w:bodyDiv w:val="1"/>
      <w:marLeft w:val="0"/>
      <w:marRight w:val="0"/>
      <w:marTop w:val="0"/>
      <w:marBottom w:val="0"/>
      <w:divBdr>
        <w:top w:val="none" w:sz="0" w:space="0" w:color="auto"/>
        <w:left w:val="none" w:sz="0" w:space="0" w:color="auto"/>
        <w:bottom w:val="none" w:sz="0" w:space="0" w:color="auto"/>
        <w:right w:val="none" w:sz="0" w:space="0" w:color="auto"/>
      </w:divBdr>
    </w:div>
    <w:div w:id="788596738">
      <w:bodyDiv w:val="1"/>
      <w:marLeft w:val="0"/>
      <w:marRight w:val="0"/>
      <w:marTop w:val="0"/>
      <w:marBottom w:val="0"/>
      <w:divBdr>
        <w:top w:val="none" w:sz="0" w:space="0" w:color="auto"/>
        <w:left w:val="none" w:sz="0" w:space="0" w:color="auto"/>
        <w:bottom w:val="none" w:sz="0" w:space="0" w:color="auto"/>
        <w:right w:val="none" w:sz="0" w:space="0" w:color="auto"/>
      </w:divBdr>
    </w:div>
    <w:div w:id="788621465">
      <w:bodyDiv w:val="1"/>
      <w:marLeft w:val="0"/>
      <w:marRight w:val="0"/>
      <w:marTop w:val="0"/>
      <w:marBottom w:val="0"/>
      <w:divBdr>
        <w:top w:val="none" w:sz="0" w:space="0" w:color="auto"/>
        <w:left w:val="none" w:sz="0" w:space="0" w:color="auto"/>
        <w:bottom w:val="none" w:sz="0" w:space="0" w:color="auto"/>
        <w:right w:val="none" w:sz="0" w:space="0" w:color="auto"/>
      </w:divBdr>
    </w:div>
    <w:div w:id="788623211">
      <w:bodyDiv w:val="1"/>
      <w:marLeft w:val="0"/>
      <w:marRight w:val="0"/>
      <w:marTop w:val="0"/>
      <w:marBottom w:val="0"/>
      <w:divBdr>
        <w:top w:val="none" w:sz="0" w:space="0" w:color="auto"/>
        <w:left w:val="none" w:sz="0" w:space="0" w:color="auto"/>
        <w:bottom w:val="none" w:sz="0" w:space="0" w:color="auto"/>
        <w:right w:val="none" w:sz="0" w:space="0" w:color="auto"/>
      </w:divBdr>
    </w:div>
    <w:div w:id="788738336">
      <w:bodyDiv w:val="1"/>
      <w:marLeft w:val="0"/>
      <w:marRight w:val="0"/>
      <w:marTop w:val="0"/>
      <w:marBottom w:val="0"/>
      <w:divBdr>
        <w:top w:val="none" w:sz="0" w:space="0" w:color="auto"/>
        <w:left w:val="none" w:sz="0" w:space="0" w:color="auto"/>
        <w:bottom w:val="none" w:sz="0" w:space="0" w:color="auto"/>
        <w:right w:val="none" w:sz="0" w:space="0" w:color="auto"/>
      </w:divBdr>
    </w:div>
    <w:div w:id="788742006">
      <w:bodyDiv w:val="1"/>
      <w:marLeft w:val="0"/>
      <w:marRight w:val="0"/>
      <w:marTop w:val="0"/>
      <w:marBottom w:val="0"/>
      <w:divBdr>
        <w:top w:val="none" w:sz="0" w:space="0" w:color="auto"/>
        <w:left w:val="none" w:sz="0" w:space="0" w:color="auto"/>
        <w:bottom w:val="none" w:sz="0" w:space="0" w:color="auto"/>
        <w:right w:val="none" w:sz="0" w:space="0" w:color="auto"/>
      </w:divBdr>
    </w:div>
    <w:div w:id="788860293">
      <w:bodyDiv w:val="1"/>
      <w:marLeft w:val="0"/>
      <w:marRight w:val="0"/>
      <w:marTop w:val="0"/>
      <w:marBottom w:val="0"/>
      <w:divBdr>
        <w:top w:val="none" w:sz="0" w:space="0" w:color="auto"/>
        <w:left w:val="none" w:sz="0" w:space="0" w:color="auto"/>
        <w:bottom w:val="none" w:sz="0" w:space="0" w:color="auto"/>
        <w:right w:val="none" w:sz="0" w:space="0" w:color="auto"/>
      </w:divBdr>
    </w:div>
    <w:div w:id="789084060">
      <w:bodyDiv w:val="1"/>
      <w:marLeft w:val="0"/>
      <w:marRight w:val="0"/>
      <w:marTop w:val="0"/>
      <w:marBottom w:val="0"/>
      <w:divBdr>
        <w:top w:val="none" w:sz="0" w:space="0" w:color="auto"/>
        <w:left w:val="none" w:sz="0" w:space="0" w:color="auto"/>
        <w:bottom w:val="none" w:sz="0" w:space="0" w:color="auto"/>
        <w:right w:val="none" w:sz="0" w:space="0" w:color="auto"/>
      </w:divBdr>
    </w:div>
    <w:div w:id="789321286">
      <w:bodyDiv w:val="1"/>
      <w:marLeft w:val="0"/>
      <w:marRight w:val="0"/>
      <w:marTop w:val="0"/>
      <w:marBottom w:val="0"/>
      <w:divBdr>
        <w:top w:val="none" w:sz="0" w:space="0" w:color="auto"/>
        <w:left w:val="none" w:sz="0" w:space="0" w:color="auto"/>
        <w:bottom w:val="none" w:sz="0" w:space="0" w:color="auto"/>
        <w:right w:val="none" w:sz="0" w:space="0" w:color="auto"/>
      </w:divBdr>
    </w:div>
    <w:div w:id="789399363">
      <w:bodyDiv w:val="1"/>
      <w:marLeft w:val="0"/>
      <w:marRight w:val="0"/>
      <w:marTop w:val="0"/>
      <w:marBottom w:val="0"/>
      <w:divBdr>
        <w:top w:val="none" w:sz="0" w:space="0" w:color="auto"/>
        <w:left w:val="none" w:sz="0" w:space="0" w:color="auto"/>
        <w:bottom w:val="none" w:sz="0" w:space="0" w:color="auto"/>
        <w:right w:val="none" w:sz="0" w:space="0" w:color="auto"/>
      </w:divBdr>
    </w:div>
    <w:div w:id="789472408">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89788951">
      <w:bodyDiv w:val="1"/>
      <w:marLeft w:val="0"/>
      <w:marRight w:val="0"/>
      <w:marTop w:val="0"/>
      <w:marBottom w:val="0"/>
      <w:divBdr>
        <w:top w:val="none" w:sz="0" w:space="0" w:color="auto"/>
        <w:left w:val="none" w:sz="0" w:space="0" w:color="auto"/>
        <w:bottom w:val="none" w:sz="0" w:space="0" w:color="auto"/>
        <w:right w:val="none" w:sz="0" w:space="0" w:color="auto"/>
      </w:divBdr>
    </w:div>
    <w:div w:id="789855421">
      <w:bodyDiv w:val="1"/>
      <w:marLeft w:val="0"/>
      <w:marRight w:val="0"/>
      <w:marTop w:val="0"/>
      <w:marBottom w:val="0"/>
      <w:divBdr>
        <w:top w:val="none" w:sz="0" w:space="0" w:color="auto"/>
        <w:left w:val="none" w:sz="0" w:space="0" w:color="auto"/>
        <w:bottom w:val="none" w:sz="0" w:space="0" w:color="auto"/>
        <w:right w:val="none" w:sz="0" w:space="0" w:color="auto"/>
      </w:divBdr>
    </w:div>
    <w:div w:id="789860119">
      <w:bodyDiv w:val="1"/>
      <w:marLeft w:val="0"/>
      <w:marRight w:val="0"/>
      <w:marTop w:val="0"/>
      <w:marBottom w:val="0"/>
      <w:divBdr>
        <w:top w:val="none" w:sz="0" w:space="0" w:color="auto"/>
        <w:left w:val="none" w:sz="0" w:space="0" w:color="auto"/>
        <w:bottom w:val="none" w:sz="0" w:space="0" w:color="auto"/>
        <w:right w:val="none" w:sz="0" w:space="0" w:color="auto"/>
      </w:divBdr>
    </w:div>
    <w:div w:id="790049252">
      <w:bodyDiv w:val="1"/>
      <w:marLeft w:val="0"/>
      <w:marRight w:val="0"/>
      <w:marTop w:val="0"/>
      <w:marBottom w:val="0"/>
      <w:divBdr>
        <w:top w:val="none" w:sz="0" w:space="0" w:color="auto"/>
        <w:left w:val="none" w:sz="0" w:space="0" w:color="auto"/>
        <w:bottom w:val="none" w:sz="0" w:space="0" w:color="auto"/>
        <w:right w:val="none" w:sz="0" w:space="0" w:color="auto"/>
      </w:divBdr>
    </w:div>
    <w:div w:id="790172228">
      <w:bodyDiv w:val="1"/>
      <w:marLeft w:val="0"/>
      <w:marRight w:val="0"/>
      <w:marTop w:val="0"/>
      <w:marBottom w:val="0"/>
      <w:divBdr>
        <w:top w:val="none" w:sz="0" w:space="0" w:color="auto"/>
        <w:left w:val="none" w:sz="0" w:space="0" w:color="auto"/>
        <w:bottom w:val="none" w:sz="0" w:space="0" w:color="auto"/>
        <w:right w:val="none" w:sz="0" w:space="0" w:color="auto"/>
      </w:divBdr>
    </w:div>
    <w:div w:id="790392496">
      <w:bodyDiv w:val="1"/>
      <w:marLeft w:val="0"/>
      <w:marRight w:val="0"/>
      <w:marTop w:val="0"/>
      <w:marBottom w:val="0"/>
      <w:divBdr>
        <w:top w:val="none" w:sz="0" w:space="0" w:color="auto"/>
        <w:left w:val="none" w:sz="0" w:space="0" w:color="auto"/>
        <w:bottom w:val="none" w:sz="0" w:space="0" w:color="auto"/>
        <w:right w:val="none" w:sz="0" w:space="0" w:color="auto"/>
      </w:divBdr>
    </w:div>
    <w:div w:id="790637434">
      <w:bodyDiv w:val="1"/>
      <w:marLeft w:val="0"/>
      <w:marRight w:val="0"/>
      <w:marTop w:val="0"/>
      <w:marBottom w:val="0"/>
      <w:divBdr>
        <w:top w:val="none" w:sz="0" w:space="0" w:color="auto"/>
        <w:left w:val="none" w:sz="0" w:space="0" w:color="auto"/>
        <w:bottom w:val="none" w:sz="0" w:space="0" w:color="auto"/>
        <w:right w:val="none" w:sz="0" w:space="0" w:color="auto"/>
      </w:divBdr>
    </w:div>
    <w:div w:id="790780681">
      <w:bodyDiv w:val="1"/>
      <w:marLeft w:val="0"/>
      <w:marRight w:val="0"/>
      <w:marTop w:val="0"/>
      <w:marBottom w:val="0"/>
      <w:divBdr>
        <w:top w:val="none" w:sz="0" w:space="0" w:color="auto"/>
        <w:left w:val="none" w:sz="0" w:space="0" w:color="auto"/>
        <w:bottom w:val="none" w:sz="0" w:space="0" w:color="auto"/>
        <w:right w:val="none" w:sz="0" w:space="0" w:color="auto"/>
      </w:divBdr>
    </w:div>
    <w:div w:id="790783097">
      <w:bodyDiv w:val="1"/>
      <w:marLeft w:val="0"/>
      <w:marRight w:val="0"/>
      <w:marTop w:val="0"/>
      <w:marBottom w:val="0"/>
      <w:divBdr>
        <w:top w:val="none" w:sz="0" w:space="0" w:color="auto"/>
        <w:left w:val="none" w:sz="0" w:space="0" w:color="auto"/>
        <w:bottom w:val="none" w:sz="0" w:space="0" w:color="auto"/>
        <w:right w:val="none" w:sz="0" w:space="0" w:color="auto"/>
      </w:divBdr>
    </w:div>
    <w:div w:id="791020273">
      <w:bodyDiv w:val="1"/>
      <w:marLeft w:val="0"/>
      <w:marRight w:val="0"/>
      <w:marTop w:val="0"/>
      <w:marBottom w:val="0"/>
      <w:divBdr>
        <w:top w:val="none" w:sz="0" w:space="0" w:color="auto"/>
        <w:left w:val="none" w:sz="0" w:space="0" w:color="auto"/>
        <w:bottom w:val="none" w:sz="0" w:space="0" w:color="auto"/>
        <w:right w:val="none" w:sz="0" w:space="0" w:color="auto"/>
      </w:divBdr>
    </w:div>
    <w:div w:id="791246830">
      <w:bodyDiv w:val="1"/>
      <w:marLeft w:val="0"/>
      <w:marRight w:val="0"/>
      <w:marTop w:val="0"/>
      <w:marBottom w:val="0"/>
      <w:divBdr>
        <w:top w:val="none" w:sz="0" w:space="0" w:color="auto"/>
        <w:left w:val="none" w:sz="0" w:space="0" w:color="auto"/>
        <w:bottom w:val="none" w:sz="0" w:space="0" w:color="auto"/>
        <w:right w:val="none" w:sz="0" w:space="0" w:color="auto"/>
      </w:divBdr>
    </w:div>
    <w:div w:id="791628877">
      <w:bodyDiv w:val="1"/>
      <w:marLeft w:val="0"/>
      <w:marRight w:val="0"/>
      <w:marTop w:val="0"/>
      <w:marBottom w:val="0"/>
      <w:divBdr>
        <w:top w:val="none" w:sz="0" w:space="0" w:color="auto"/>
        <w:left w:val="none" w:sz="0" w:space="0" w:color="auto"/>
        <w:bottom w:val="none" w:sz="0" w:space="0" w:color="auto"/>
        <w:right w:val="none" w:sz="0" w:space="0" w:color="auto"/>
      </w:divBdr>
    </w:div>
    <w:div w:id="791747135">
      <w:bodyDiv w:val="1"/>
      <w:marLeft w:val="0"/>
      <w:marRight w:val="0"/>
      <w:marTop w:val="0"/>
      <w:marBottom w:val="0"/>
      <w:divBdr>
        <w:top w:val="none" w:sz="0" w:space="0" w:color="auto"/>
        <w:left w:val="none" w:sz="0" w:space="0" w:color="auto"/>
        <w:bottom w:val="none" w:sz="0" w:space="0" w:color="auto"/>
        <w:right w:val="none" w:sz="0" w:space="0" w:color="auto"/>
      </w:divBdr>
    </w:div>
    <w:div w:id="791826821">
      <w:bodyDiv w:val="1"/>
      <w:marLeft w:val="0"/>
      <w:marRight w:val="0"/>
      <w:marTop w:val="0"/>
      <w:marBottom w:val="0"/>
      <w:divBdr>
        <w:top w:val="none" w:sz="0" w:space="0" w:color="auto"/>
        <w:left w:val="none" w:sz="0" w:space="0" w:color="auto"/>
        <w:bottom w:val="none" w:sz="0" w:space="0" w:color="auto"/>
        <w:right w:val="none" w:sz="0" w:space="0" w:color="auto"/>
      </w:divBdr>
    </w:div>
    <w:div w:id="791896300">
      <w:bodyDiv w:val="1"/>
      <w:marLeft w:val="0"/>
      <w:marRight w:val="0"/>
      <w:marTop w:val="0"/>
      <w:marBottom w:val="0"/>
      <w:divBdr>
        <w:top w:val="none" w:sz="0" w:space="0" w:color="auto"/>
        <w:left w:val="none" w:sz="0" w:space="0" w:color="auto"/>
        <w:bottom w:val="none" w:sz="0" w:space="0" w:color="auto"/>
        <w:right w:val="none" w:sz="0" w:space="0" w:color="auto"/>
      </w:divBdr>
    </w:div>
    <w:div w:id="792793539">
      <w:bodyDiv w:val="1"/>
      <w:marLeft w:val="0"/>
      <w:marRight w:val="0"/>
      <w:marTop w:val="0"/>
      <w:marBottom w:val="0"/>
      <w:divBdr>
        <w:top w:val="none" w:sz="0" w:space="0" w:color="auto"/>
        <w:left w:val="none" w:sz="0" w:space="0" w:color="auto"/>
        <w:bottom w:val="none" w:sz="0" w:space="0" w:color="auto"/>
        <w:right w:val="none" w:sz="0" w:space="0" w:color="auto"/>
      </w:divBdr>
    </w:div>
    <w:div w:id="792947519">
      <w:bodyDiv w:val="1"/>
      <w:marLeft w:val="0"/>
      <w:marRight w:val="0"/>
      <w:marTop w:val="0"/>
      <w:marBottom w:val="0"/>
      <w:divBdr>
        <w:top w:val="none" w:sz="0" w:space="0" w:color="auto"/>
        <w:left w:val="none" w:sz="0" w:space="0" w:color="auto"/>
        <w:bottom w:val="none" w:sz="0" w:space="0" w:color="auto"/>
        <w:right w:val="none" w:sz="0" w:space="0" w:color="auto"/>
      </w:divBdr>
    </w:div>
    <w:div w:id="793057175">
      <w:bodyDiv w:val="1"/>
      <w:marLeft w:val="0"/>
      <w:marRight w:val="0"/>
      <w:marTop w:val="0"/>
      <w:marBottom w:val="0"/>
      <w:divBdr>
        <w:top w:val="none" w:sz="0" w:space="0" w:color="auto"/>
        <w:left w:val="none" w:sz="0" w:space="0" w:color="auto"/>
        <w:bottom w:val="none" w:sz="0" w:space="0" w:color="auto"/>
        <w:right w:val="none" w:sz="0" w:space="0" w:color="auto"/>
      </w:divBdr>
    </w:div>
    <w:div w:id="793139340">
      <w:bodyDiv w:val="1"/>
      <w:marLeft w:val="0"/>
      <w:marRight w:val="0"/>
      <w:marTop w:val="0"/>
      <w:marBottom w:val="0"/>
      <w:divBdr>
        <w:top w:val="none" w:sz="0" w:space="0" w:color="auto"/>
        <w:left w:val="none" w:sz="0" w:space="0" w:color="auto"/>
        <w:bottom w:val="none" w:sz="0" w:space="0" w:color="auto"/>
        <w:right w:val="none" w:sz="0" w:space="0" w:color="auto"/>
      </w:divBdr>
    </w:div>
    <w:div w:id="793326905">
      <w:bodyDiv w:val="1"/>
      <w:marLeft w:val="0"/>
      <w:marRight w:val="0"/>
      <w:marTop w:val="0"/>
      <w:marBottom w:val="0"/>
      <w:divBdr>
        <w:top w:val="none" w:sz="0" w:space="0" w:color="auto"/>
        <w:left w:val="none" w:sz="0" w:space="0" w:color="auto"/>
        <w:bottom w:val="none" w:sz="0" w:space="0" w:color="auto"/>
        <w:right w:val="none" w:sz="0" w:space="0" w:color="auto"/>
      </w:divBdr>
    </w:div>
    <w:div w:id="793331098">
      <w:bodyDiv w:val="1"/>
      <w:marLeft w:val="0"/>
      <w:marRight w:val="0"/>
      <w:marTop w:val="0"/>
      <w:marBottom w:val="0"/>
      <w:divBdr>
        <w:top w:val="none" w:sz="0" w:space="0" w:color="auto"/>
        <w:left w:val="none" w:sz="0" w:space="0" w:color="auto"/>
        <w:bottom w:val="none" w:sz="0" w:space="0" w:color="auto"/>
        <w:right w:val="none" w:sz="0" w:space="0" w:color="auto"/>
      </w:divBdr>
    </w:div>
    <w:div w:id="793404911">
      <w:bodyDiv w:val="1"/>
      <w:marLeft w:val="0"/>
      <w:marRight w:val="0"/>
      <w:marTop w:val="0"/>
      <w:marBottom w:val="0"/>
      <w:divBdr>
        <w:top w:val="none" w:sz="0" w:space="0" w:color="auto"/>
        <w:left w:val="none" w:sz="0" w:space="0" w:color="auto"/>
        <w:bottom w:val="none" w:sz="0" w:space="0" w:color="auto"/>
        <w:right w:val="none" w:sz="0" w:space="0" w:color="auto"/>
      </w:divBdr>
    </w:div>
    <w:div w:id="793406445">
      <w:bodyDiv w:val="1"/>
      <w:marLeft w:val="0"/>
      <w:marRight w:val="0"/>
      <w:marTop w:val="0"/>
      <w:marBottom w:val="0"/>
      <w:divBdr>
        <w:top w:val="none" w:sz="0" w:space="0" w:color="auto"/>
        <w:left w:val="none" w:sz="0" w:space="0" w:color="auto"/>
        <w:bottom w:val="none" w:sz="0" w:space="0" w:color="auto"/>
        <w:right w:val="none" w:sz="0" w:space="0" w:color="auto"/>
      </w:divBdr>
    </w:div>
    <w:div w:id="793449995">
      <w:bodyDiv w:val="1"/>
      <w:marLeft w:val="0"/>
      <w:marRight w:val="0"/>
      <w:marTop w:val="0"/>
      <w:marBottom w:val="0"/>
      <w:divBdr>
        <w:top w:val="none" w:sz="0" w:space="0" w:color="auto"/>
        <w:left w:val="none" w:sz="0" w:space="0" w:color="auto"/>
        <w:bottom w:val="none" w:sz="0" w:space="0" w:color="auto"/>
        <w:right w:val="none" w:sz="0" w:space="0" w:color="auto"/>
      </w:divBdr>
    </w:div>
    <w:div w:id="793476702">
      <w:bodyDiv w:val="1"/>
      <w:marLeft w:val="0"/>
      <w:marRight w:val="0"/>
      <w:marTop w:val="0"/>
      <w:marBottom w:val="0"/>
      <w:divBdr>
        <w:top w:val="none" w:sz="0" w:space="0" w:color="auto"/>
        <w:left w:val="none" w:sz="0" w:space="0" w:color="auto"/>
        <w:bottom w:val="none" w:sz="0" w:space="0" w:color="auto"/>
        <w:right w:val="none" w:sz="0" w:space="0" w:color="auto"/>
      </w:divBdr>
    </w:div>
    <w:div w:id="793670061">
      <w:bodyDiv w:val="1"/>
      <w:marLeft w:val="0"/>
      <w:marRight w:val="0"/>
      <w:marTop w:val="0"/>
      <w:marBottom w:val="0"/>
      <w:divBdr>
        <w:top w:val="none" w:sz="0" w:space="0" w:color="auto"/>
        <w:left w:val="none" w:sz="0" w:space="0" w:color="auto"/>
        <w:bottom w:val="none" w:sz="0" w:space="0" w:color="auto"/>
        <w:right w:val="none" w:sz="0" w:space="0" w:color="auto"/>
      </w:divBdr>
    </w:div>
    <w:div w:id="793791975">
      <w:bodyDiv w:val="1"/>
      <w:marLeft w:val="0"/>
      <w:marRight w:val="0"/>
      <w:marTop w:val="0"/>
      <w:marBottom w:val="0"/>
      <w:divBdr>
        <w:top w:val="none" w:sz="0" w:space="0" w:color="auto"/>
        <w:left w:val="none" w:sz="0" w:space="0" w:color="auto"/>
        <w:bottom w:val="none" w:sz="0" w:space="0" w:color="auto"/>
        <w:right w:val="none" w:sz="0" w:space="0" w:color="auto"/>
      </w:divBdr>
    </w:div>
    <w:div w:id="793907762">
      <w:bodyDiv w:val="1"/>
      <w:marLeft w:val="0"/>
      <w:marRight w:val="0"/>
      <w:marTop w:val="0"/>
      <w:marBottom w:val="0"/>
      <w:divBdr>
        <w:top w:val="none" w:sz="0" w:space="0" w:color="auto"/>
        <w:left w:val="none" w:sz="0" w:space="0" w:color="auto"/>
        <w:bottom w:val="none" w:sz="0" w:space="0" w:color="auto"/>
        <w:right w:val="none" w:sz="0" w:space="0" w:color="auto"/>
      </w:divBdr>
    </w:div>
    <w:div w:id="794131986">
      <w:bodyDiv w:val="1"/>
      <w:marLeft w:val="0"/>
      <w:marRight w:val="0"/>
      <w:marTop w:val="0"/>
      <w:marBottom w:val="0"/>
      <w:divBdr>
        <w:top w:val="none" w:sz="0" w:space="0" w:color="auto"/>
        <w:left w:val="none" w:sz="0" w:space="0" w:color="auto"/>
        <w:bottom w:val="none" w:sz="0" w:space="0" w:color="auto"/>
        <w:right w:val="none" w:sz="0" w:space="0" w:color="auto"/>
      </w:divBdr>
    </w:div>
    <w:div w:id="794448028">
      <w:bodyDiv w:val="1"/>
      <w:marLeft w:val="0"/>
      <w:marRight w:val="0"/>
      <w:marTop w:val="0"/>
      <w:marBottom w:val="0"/>
      <w:divBdr>
        <w:top w:val="none" w:sz="0" w:space="0" w:color="auto"/>
        <w:left w:val="none" w:sz="0" w:space="0" w:color="auto"/>
        <w:bottom w:val="none" w:sz="0" w:space="0" w:color="auto"/>
        <w:right w:val="none" w:sz="0" w:space="0" w:color="auto"/>
      </w:divBdr>
    </w:div>
    <w:div w:id="794569523">
      <w:bodyDiv w:val="1"/>
      <w:marLeft w:val="0"/>
      <w:marRight w:val="0"/>
      <w:marTop w:val="0"/>
      <w:marBottom w:val="0"/>
      <w:divBdr>
        <w:top w:val="none" w:sz="0" w:space="0" w:color="auto"/>
        <w:left w:val="none" w:sz="0" w:space="0" w:color="auto"/>
        <w:bottom w:val="none" w:sz="0" w:space="0" w:color="auto"/>
        <w:right w:val="none" w:sz="0" w:space="0" w:color="auto"/>
      </w:divBdr>
    </w:div>
    <w:div w:id="794835418">
      <w:bodyDiv w:val="1"/>
      <w:marLeft w:val="0"/>
      <w:marRight w:val="0"/>
      <w:marTop w:val="0"/>
      <w:marBottom w:val="0"/>
      <w:divBdr>
        <w:top w:val="none" w:sz="0" w:space="0" w:color="auto"/>
        <w:left w:val="none" w:sz="0" w:space="0" w:color="auto"/>
        <w:bottom w:val="none" w:sz="0" w:space="0" w:color="auto"/>
        <w:right w:val="none" w:sz="0" w:space="0" w:color="auto"/>
      </w:divBdr>
    </w:div>
    <w:div w:id="794838118">
      <w:bodyDiv w:val="1"/>
      <w:marLeft w:val="0"/>
      <w:marRight w:val="0"/>
      <w:marTop w:val="0"/>
      <w:marBottom w:val="0"/>
      <w:divBdr>
        <w:top w:val="none" w:sz="0" w:space="0" w:color="auto"/>
        <w:left w:val="none" w:sz="0" w:space="0" w:color="auto"/>
        <w:bottom w:val="none" w:sz="0" w:space="0" w:color="auto"/>
        <w:right w:val="none" w:sz="0" w:space="0" w:color="auto"/>
      </w:divBdr>
    </w:div>
    <w:div w:id="794952598">
      <w:bodyDiv w:val="1"/>
      <w:marLeft w:val="0"/>
      <w:marRight w:val="0"/>
      <w:marTop w:val="0"/>
      <w:marBottom w:val="0"/>
      <w:divBdr>
        <w:top w:val="none" w:sz="0" w:space="0" w:color="auto"/>
        <w:left w:val="none" w:sz="0" w:space="0" w:color="auto"/>
        <w:bottom w:val="none" w:sz="0" w:space="0" w:color="auto"/>
        <w:right w:val="none" w:sz="0" w:space="0" w:color="auto"/>
      </w:divBdr>
    </w:div>
    <w:div w:id="795022440">
      <w:bodyDiv w:val="1"/>
      <w:marLeft w:val="0"/>
      <w:marRight w:val="0"/>
      <w:marTop w:val="0"/>
      <w:marBottom w:val="0"/>
      <w:divBdr>
        <w:top w:val="none" w:sz="0" w:space="0" w:color="auto"/>
        <w:left w:val="none" w:sz="0" w:space="0" w:color="auto"/>
        <w:bottom w:val="none" w:sz="0" w:space="0" w:color="auto"/>
        <w:right w:val="none" w:sz="0" w:space="0" w:color="auto"/>
      </w:divBdr>
    </w:div>
    <w:div w:id="795296063">
      <w:bodyDiv w:val="1"/>
      <w:marLeft w:val="0"/>
      <w:marRight w:val="0"/>
      <w:marTop w:val="0"/>
      <w:marBottom w:val="0"/>
      <w:divBdr>
        <w:top w:val="none" w:sz="0" w:space="0" w:color="auto"/>
        <w:left w:val="none" w:sz="0" w:space="0" w:color="auto"/>
        <w:bottom w:val="none" w:sz="0" w:space="0" w:color="auto"/>
        <w:right w:val="none" w:sz="0" w:space="0" w:color="auto"/>
      </w:divBdr>
    </w:div>
    <w:div w:id="795366761">
      <w:bodyDiv w:val="1"/>
      <w:marLeft w:val="0"/>
      <w:marRight w:val="0"/>
      <w:marTop w:val="0"/>
      <w:marBottom w:val="0"/>
      <w:divBdr>
        <w:top w:val="none" w:sz="0" w:space="0" w:color="auto"/>
        <w:left w:val="none" w:sz="0" w:space="0" w:color="auto"/>
        <w:bottom w:val="none" w:sz="0" w:space="0" w:color="auto"/>
        <w:right w:val="none" w:sz="0" w:space="0" w:color="auto"/>
      </w:divBdr>
    </w:div>
    <w:div w:id="795374545">
      <w:bodyDiv w:val="1"/>
      <w:marLeft w:val="0"/>
      <w:marRight w:val="0"/>
      <w:marTop w:val="0"/>
      <w:marBottom w:val="0"/>
      <w:divBdr>
        <w:top w:val="none" w:sz="0" w:space="0" w:color="auto"/>
        <w:left w:val="none" w:sz="0" w:space="0" w:color="auto"/>
        <w:bottom w:val="none" w:sz="0" w:space="0" w:color="auto"/>
        <w:right w:val="none" w:sz="0" w:space="0" w:color="auto"/>
      </w:divBdr>
    </w:div>
    <w:div w:id="795413330">
      <w:bodyDiv w:val="1"/>
      <w:marLeft w:val="0"/>
      <w:marRight w:val="0"/>
      <w:marTop w:val="0"/>
      <w:marBottom w:val="0"/>
      <w:divBdr>
        <w:top w:val="none" w:sz="0" w:space="0" w:color="auto"/>
        <w:left w:val="none" w:sz="0" w:space="0" w:color="auto"/>
        <w:bottom w:val="none" w:sz="0" w:space="0" w:color="auto"/>
        <w:right w:val="none" w:sz="0" w:space="0" w:color="auto"/>
      </w:divBdr>
    </w:div>
    <w:div w:id="795493354">
      <w:bodyDiv w:val="1"/>
      <w:marLeft w:val="0"/>
      <w:marRight w:val="0"/>
      <w:marTop w:val="0"/>
      <w:marBottom w:val="0"/>
      <w:divBdr>
        <w:top w:val="none" w:sz="0" w:space="0" w:color="auto"/>
        <w:left w:val="none" w:sz="0" w:space="0" w:color="auto"/>
        <w:bottom w:val="none" w:sz="0" w:space="0" w:color="auto"/>
        <w:right w:val="none" w:sz="0" w:space="0" w:color="auto"/>
      </w:divBdr>
    </w:div>
    <w:div w:id="795875406">
      <w:bodyDiv w:val="1"/>
      <w:marLeft w:val="0"/>
      <w:marRight w:val="0"/>
      <w:marTop w:val="0"/>
      <w:marBottom w:val="0"/>
      <w:divBdr>
        <w:top w:val="none" w:sz="0" w:space="0" w:color="auto"/>
        <w:left w:val="none" w:sz="0" w:space="0" w:color="auto"/>
        <w:bottom w:val="none" w:sz="0" w:space="0" w:color="auto"/>
        <w:right w:val="none" w:sz="0" w:space="0" w:color="auto"/>
      </w:divBdr>
    </w:div>
    <w:div w:id="796025701">
      <w:bodyDiv w:val="1"/>
      <w:marLeft w:val="0"/>
      <w:marRight w:val="0"/>
      <w:marTop w:val="0"/>
      <w:marBottom w:val="0"/>
      <w:divBdr>
        <w:top w:val="none" w:sz="0" w:space="0" w:color="auto"/>
        <w:left w:val="none" w:sz="0" w:space="0" w:color="auto"/>
        <w:bottom w:val="none" w:sz="0" w:space="0" w:color="auto"/>
        <w:right w:val="none" w:sz="0" w:space="0" w:color="auto"/>
      </w:divBdr>
    </w:div>
    <w:div w:id="796025991">
      <w:bodyDiv w:val="1"/>
      <w:marLeft w:val="0"/>
      <w:marRight w:val="0"/>
      <w:marTop w:val="0"/>
      <w:marBottom w:val="0"/>
      <w:divBdr>
        <w:top w:val="none" w:sz="0" w:space="0" w:color="auto"/>
        <w:left w:val="none" w:sz="0" w:space="0" w:color="auto"/>
        <w:bottom w:val="none" w:sz="0" w:space="0" w:color="auto"/>
        <w:right w:val="none" w:sz="0" w:space="0" w:color="auto"/>
      </w:divBdr>
    </w:div>
    <w:div w:id="796067111">
      <w:bodyDiv w:val="1"/>
      <w:marLeft w:val="0"/>
      <w:marRight w:val="0"/>
      <w:marTop w:val="0"/>
      <w:marBottom w:val="0"/>
      <w:divBdr>
        <w:top w:val="none" w:sz="0" w:space="0" w:color="auto"/>
        <w:left w:val="none" w:sz="0" w:space="0" w:color="auto"/>
        <w:bottom w:val="none" w:sz="0" w:space="0" w:color="auto"/>
        <w:right w:val="none" w:sz="0" w:space="0" w:color="auto"/>
      </w:divBdr>
    </w:div>
    <w:div w:id="796097373">
      <w:bodyDiv w:val="1"/>
      <w:marLeft w:val="0"/>
      <w:marRight w:val="0"/>
      <w:marTop w:val="0"/>
      <w:marBottom w:val="0"/>
      <w:divBdr>
        <w:top w:val="none" w:sz="0" w:space="0" w:color="auto"/>
        <w:left w:val="none" w:sz="0" w:space="0" w:color="auto"/>
        <w:bottom w:val="none" w:sz="0" w:space="0" w:color="auto"/>
        <w:right w:val="none" w:sz="0" w:space="0" w:color="auto"/>
      </w:divBdr>
    </w:div>
    <w:div w:id="796486626">
      <w:bodyDiv w:val="1"/>
      <w:marLeft w:val="0"/>
      <w:marRight w:val="0"/>
      <w:marTop w:val="0"/>
      <w:marBottom w:val="0"/>
      <w:divBdr>
        <w:top w:val="none" w:sz="0" w:space="0" w:color="auto"/>
        <w:left w:val="none" w:sz="0" w:space="0" w:color="auto"/>
        <w:bottom w:val="none" w:sz="0" w:space="0" w:color="auto"/>
        <w:right w:val="none" w:sz="0" w:space="0" w:color="auto"/>
      </w:divBdr>
    </w:div>
    <w:div w:id="796490861">
      <w:bodyDiv w:val="1"/>
      <w:marLeft w:val="0"/>
      <w:marRight w:val="0"/>
      <w:marTop w:val="0"/>
      <w:marBottom w:val="0"/>
      <w:divBdr>
        <w:top w:val="none" w:sz="0" w:space="0" w:color="auto"/>
        <w:left w:val="none" w:sz="0" w:space="0" w:color="auto"/>
        <w:bottom w:val="none" w:sz="0" w:space="0" w:color="auto"/>
        <w:right w:val="none" w:sz="0" w:space="0" w:color="auto"/>
      </w:divBdr>
    </w:div>
    <w:div w:id="796530592">
      <w:bodyDiv w:val="1"/>
      <w:marLeft w:val="0"/>
      <w:marRight w:val="0"/>
      <w:marTop w:val="0"/>
      <w:marBottom w:val="0"/>
      <w:divBdr>
        <w:top w:val="none" w:sz="0" w:space="0" w:color="auto"/>
        <w:left w:val="none" w:sz="0" w:space="0" w:color="auto"/>
        <w:bottom w:val="none" w:sz="0" w:space="0" w:color="auto"/>
        <w:right w:val="none" w:sz="0" w:space="0" w:color="auto"/>
      </w:divBdr>
    </w:div>
    <w:div w:id="796798202">
      <w:bodyDiv w:val="1"/>
      <w:marLeft w:val="0"/>
      <w:marRight w:val="0"/>
      <w:marTop w:val="0"/>
      <w:marBottom w:val="0"/>
      <w:divBdr>
        <w:top w:val="none" w:sz="0" w:space="0" w:color="auto"/>
        <w:left w:val="none" w:sz="0" w:space="0" w:color="auto"/>
        <w:bottom w:val="none" w:sz="0" w:space="0" w:color="auto"/>
        <w:right w:val="none" w:sz="0" w:space="0" w:color="auto"/>
      </w:divBdr>
    </w:div>
    <w:div w:id="796878982">
      <w:bodyDiv w:val="1"/>
      <w:marLeft w:val="0"/>
      <w:marRight w:val="0"/>
      <w:marTop w:val="0"/>
      <w:marBottom w:val="0"/>
      <w:divBdr>
        <w:top w:val="none" w:sz="0" w:space="0" w:color="auto"/>
        <w:left w:val="none" w:sz="0" w:space="0" w:color="auto"/>
        <w:bottom w:val="none" w:sz="0" w:space="0" w:color="auto"/>
        <w:right w:val="none" w:sz="0" w:space="0" w:color="auto"/>
      </w:divBdr>
    </w:div>
    <w:div w:id="796917935">
      <w:bodyDiv w:val="1"/>
      <w:marLeft w:val="0"/>
      <w:marRight w:val="0"/>
      <w:marTop w:val="0"/>
      <w:marBottom w:val="0"/>
      <w:divBdr>
        <w:top w:val="none" w:sz="0" w:space="0" w:color="auto"/>
        <w:left w:val="none" w:sz="0" w:space="0" w:color="auto"/>
        <w:bottom w:val="none" w:sz="0" w:space="0" w:color="auto"/>
        <w:right w:val="none" w:sz="0" w:space="0" w:color="auto"/>
      </w:divBdr>
    </w:div>
    <w:div w:id="796991709">
      <w:bodyDiv w:val="1"/>
      <w:marLeft w:val="0"/>
      <w:marRight w:val="0"/>
      <w:marTop w:val="0"/>
      <w:marBottom w:val="0"/>
      <w:divBdr>
        <w:top w:val="none" w:sz="0" w:space="0" w:color="auto"/>
        <w:left w:val="none" w:sz="0" w:space="0" w:color="auto"/>
        <w:bottom w:val="none" w:sz="0" w:space="0" w:color="auto"/>
        <w:right w:val="none" w:sz="0" w:space="0" w:color="auto"/>
      </w:divBdr>
    </w:div>
    <w:div w:id="797259611">
      <w:bodyDiv w:val="1"/>
      <w:marLeft w:val="0"/>
      <w:marRight w:val="0"/>
      <w:marTop w:val="0"/>
      <w:marBottom w:val="0"/>
      <w:divBdr>
        <w:top w:val="none" w:sz="0" w:space="0" w:color="auto"/>
        <w:left w:val="none" w:sz="0" w:space="0" w:color="auto"/>
        <w:bottom w:val="none" w:sz="0" w:space="0" w:color="auto"/>
        <w:right w:val="none" w:sz="0" w:space="0" w:color="auto"/>
      </w:divBdr>
    </w:div>
    <w:div w:id="797340652">
      <w:bodyDiv w:val="1"/>
      <w:marLeft w:val="0"/>
      <w:marRight w:val="0"/>
      <w:marTop w:val="0"/>
      <w:marBottom w:val="0"/>
      <w:divBdr>
        <w:top w:val="none" w:sz="0" w:space="0" w:color="auto"/>
        <w:left w:val="none" w:sz="0" w:space="0" w:color="auto"/>
        <w:bottom w:val="none" w:sz="0" w:space="0" w:color="auto"/>
        <w:right w:val="none" w:sz="0" w:space="0" w:color="auto"/>
      </w:divBdr>
    </w:div>
    <w:div w:id="797381509">
      <w:bodyDiv w:val="1"/>
      <w:marLeft w:val="0"/>
      <w:marRight w:val="0"/>
      <w:marTop w:val="0"/>
      <w:marBottom w:val="0"/>
      <w:divBdr>
        <w:top w:val="none" w:sz="0" w:space="0" w:color="auto"/>
        <w:left w:val="none" w:sz="0" w:space="0" w:color="auto"/>
        <w:bottom w:val="none" w:sz="0" w:space="0" w:color="auto"/>
        <w:right w:val="none" w:sz="0" w:space="0" w:color="auto"/>
      </w:divBdr>
    </w:div>
    <w:div w:id="797648509">
      <w:bodyDiv w:val="1"/>
      <w:marLeft w:val="0"/>
      <w:marRight w:val="0"/>
      <w:marTop w:val="0"/>
      <w:marBottom w:val="0"/>
      <w:divBdr>
        <w:top w:val="none" w:sz="0" w:space="0" w:color="auto"/>
        <w:left w:val="none" w:sz="0" w:space="0" w:color="auto"/>
        <w:bottom w:val="none" w:sz="0" w:space="0" w:color="auto"/>
        <w:right w:val="none" w:sz="0" w:space="0" w:color="auto"/>
      </w:divBdr>
    </w:div>
    <w:div w:id="797720873">
      <w:bodyDiv w:val="1"/>
      <w:marLeft w:val="0"/>
      <w:marRight w:val="0"/>
      <w:marTop w:val="0"/>
      <w:marBottom w:val="0"/>
      <w:divBdr>
        <w:top w:val="none" w:sz="0" w:space="0" w:color="auto"/>
        <w:left w:val="none" w:sz="0" w:space="0" w:color="auto"/>
        <w:bottom w:val="none" w:sz="0" w:space="0" w:color="auto"/>
        <w:right w:val="none" w:sz="0" w:space="0" w:color="auto"/>
      </w:divBdr>
    </w:div>
    <w:div w:id="797842375">
      <w:bodyDiv w:val="1"/>
      <w:marLeft w:val="0"/>
      <w:marRight w:val="0"/>
      <w:marTop w:val="0"/>
      <w:marBottom w:val="0"/>
      <w:divBdr>
        <w:top w:val="none" w:sz="0" w:space="0" w:color="auto"/>
        <w:left w:val="none" w:sz="0" w:space="0" w:color="auto"/>
        <w:bottom w:val="none" w:sz="0" w:space="0" w:color="auto"/>
        <w:right w:val="none" w:sz="0" w:space="0" w:color="auto"/>
      </w:divBdr>
    </w:div>
    <w:div w:id="797920066">
      <w:bodyDiv w:val="1"/>
      <w:marLeft w:val="0"/>
      <w:marRight w:val="0"/>
      <w:marTop w:val="0"/>
      <w:marBottom w:val="0"/>
      <w:divBdr>
        <w:top w:val="none" w:sz="0" w:space="0" w:color="auto"/>
        <w:left w:val="none" w:sz="0" w:space="0" w:color="auto"/>
        <w:bottom w:val="none" w:sz="0" w:space="0" w:color="auto"/>
        <w:right w:val="none" w:sz="0" w:space="0" w:color="auto"/>
      </w:divBdr>
    </w:div>
    <w:div w:id="798033136">
      <w:bodyDiv w:val="1"/>
      <w:marLeft w:val="0"/>
      <w:marRight w:val="0"/>
      <w:marTop w:val="0"/>
      <w:marBottom w:val="0"/>
      <w:divBdr>
        <w:top w:val="none" w:sz="0" w:space="0" w:color="auto"/>
        <w:left w:val="none" w:sz="0" w:space="0" w:color="auto"/>
        <w:bottom w:val="none" w:sz="0" w:space="0" w:color="auto"/>
        <w:right w:val="none" w:sz="0" w:space="0" w:color="auto"/>
      </w:divBdr>
    </w:div>
    <w:div w:id="798113322">
      <w:bodyDiv w:val="1"/>
      <w:marLeft w:val="0"/>
      <w:marRight w:val="0"/>
      <w:marTop w:val="0"/>
      <w:marBottom w:val="0"/>
      <w:divBdr>
        <w:top w:val="none" w:sz="0" w:space="0" w:color="auto"/>
        <w:left w:val="none" w:sz="0" w:space="0" w:color="auto"/>
        <w:bottom w:val="none" w:sz="0" w:space="0" w:color="auto"/>
        <w:right w:val="none" w:sz="0" w:space="0" w:color="auto"/>
      </w:divBdr>
    </w:div>
    <w:div w:id="798301535">
      <w:bodyDiv w:val="1"/>
      <w:marLeft w:val="0"/>
      <w:marRight w:val="0"/>
      <w:marTop w:val="0"/>
      <w:marBottom w:val="0"/>
      <w:divBdr>
        <w:top w:val="none" w:sz="0" w:space="0" w:color="auto"/>
        <w:left w:val="none" w:sz="0" w:space="0" w:color="auto"/>
        <w:bottom w:val="none" w:sz="0" w:space="0" w:color="auto"/>
        <w:right w:val="none" w:sz="0" w:space="0" w:color="auto"/>
      </w:divBdr>
    </w:div>
    <w:div w:id="798382900">
      <w:bodyDiv w:val="1"/>
      <w:marLeft w:val="0"/>
      <w:marRight w:val="0"/>
      <w:marTop w:val="0"/>
      <w:marBottom w:val="0"/>
      <w:divBdr>
        <w:top w:val="none" w:sz="0" w:space="0" w:color="auto"/>
        <w:left w:val="none" w:sz="0" w:space="0" w:color="auto"/>
        <w:bottom w:val="none" w:sz="0" w:space="0" w:color="auto"/>
        <w:right w:val="none" w:sz="0" w:space="0" w:color="auto"/>
      </w:divBdr>
    </w:div>
    <w:div w:id="798500221">
      <w:bodyDiv w:val="1"/>
      <w:marLeft w:val="0"/>
      <w:marRight w:val="0"/>
      <w:marTop w:val="0"/>
      <w:marBottom w:val="0"/>
      <w:divBdr>
        <w:top w:val="none" w:sz="0" w:space="0" w:color="auto"/>
        <w:left w:val="none" w:sz="0" w:space="0" w:color="auto"/>
        <w:bottom w:val="none" w:sz="0" w:space="0" w:color="auto"/>
        <w:right w:val="none" w:sz="0" w:space="0" w:color="auto"/>
      </w:divBdr>
    </w:div>
    <w:div w:id="798687674">
      <w:bodyDiv w:val="1"/>
      <w:marLeft w:val="0"/>
      <w:marRight w:val="0"/>
      <w:marTop w:val="0"/>
      <w:marBottom w:val="0"/>
      <w:divBdr>
        <w:top w:val="none" w:sz="0" w:space="0" w:color="auto"/>
        <w:left w:val="none" w:sz="0" w:space="0" w:color="auto"/>
        <w:bottom w:val="none" w:sz="0" w:space="0" w:color="auto"/>
        <w:right w:val="none" w:sz="0" w:space="0" w:color="auto"/>
      </w:divBdr>
    </w:div>
    <w:div w:id="798838690">
      <w:bodyDiv w:val="1"/>
      <w:marLeft w:val="0"/>
      <w:marRight w:val="0"/>
      <w:marTop w:val="0"/>
      <w:marBottom w:val="0"/>
      <w:divBdr>
        <w:top w:val="none" w:sz="0" w:space="0" w:color="auto"/>
        <w:left w:val="none" w:sz="0" w:space="0" w:color="auto"/>
        <w:bottom w:val="none" w:sz="0" w:space="0" w:color="auto"/>
        <w:right w:val="none" w:sz="0" w:space="0" w:color="auto"/>
      </w:divBdr>
    </w:div>
    <w:div w:id="798887904">
      <w:bodyDiv w:val="1"/>
      <w:marLeft w:val="0"/>
      <w:marRight w:val="0"/>
      <w:marTop w:val="0"/>
      <w:marBottom w:val="0"/>
      <w:divBdr>
        <w:top w:val="none" w:sz="0" w:space="0" w:color="auto"/>
        <w:left w:val="none" w:sz="0" w:space="0" w:color="auto"/>
        <w:bottom w:val="none" w:sz="0" w:space="0" w:color="auto"/>
        <w:right w:val="none" w:sz="0" w:space="0" w:color="auto"/>
      </w:divBdr>
    </w:div>
    <w:div w:id="798954204">
      <w:bodyDiv w:val="1"/>
      <w:marLeft w:val="0"/>
      <w:marRight w:val="0"/>
      <w:marTop w:val="0"/>
      <w:marBottom w:val="0"/>
      <w:divBdr>
        <w:top w:val="none" w:sz="0" w:space="0" w:color="auto"/>
        <w:left w:val="none" w:sz="0" w:space="0" w:color="auto"/>
        <w:bottom w:val="none" w:sz="0" w:space="0" w:color="auto"/>
        <w:right w:val="none" w:sz="0" w:space="0" w:color="auto"/>
      </w:divBdr>
    </w:div>
    <w:div w:id="799230623">
      <w:bodyDiv w:val="1"/>
      <w:marLeft w:val="0"/>
      <w:marRight w:val="0"/>
      <w:marTop w:val="0"/>
      <w:marBottom w:val="0"/>
      <w:divBdr>
        <w:top w:val="none" w:sz="0" w:space="0" w:color="auto"/>
        <w:left w:val="none" w:sz="0" w:space="0" w:color="auto"/>
        <w:bottom w:val="none" w:sz="0" w:space="0" w:color="auto"/>
        <w:right w:val="none" w:sz="0" w:space="0" w:color="auto"/>
      </w:divBdr>
    </w:div>
    <w:div w:id="799345062">
      <w:bodyDiv w:val="1"/>
      <w:marLeft w:val="0"/>
      <w:marRight w:val="0"/>
      <w:marTop w:val="0"/>
      <w:marBottom w:val="0"/>
      <w:divBdr>
        <w:top w:val="none" w:sz="0" w:space="0" w:color="auto"/>
        <w:left w:val="none" w:sz="0" w:space="0" w:color="auto"/>
        <w:bottom w:val="none" w:sz="0" w:space="0" w:color="auto"/>
        <w:right w:val="none" w:sz="0" w:space="0" w:color="auto"/>
      </w:divBdr>
    </w:div>
    <w:div w:id="799809619">
      <w:bodyDiv w:val="1"/>
      <w:marLeft w:val="0"/>
      <w:marRight w:val="0"/>
      <w:marTop w:val="0"/>
      <w:marBottom w:val="0"/>
      <w:divBdr>
        <w:top w:val="none" w:sz="0" w:space="0" w:color="auto"/>
        <w:left w:val="none" w:sz="0" w:space="0" w:color="auto"/>
        <w:bottom w:val="none" w:sz="0" w:space="0" w:color="auto"/>
        <w:right w:val="none" w:sz="0" w:space="0" w:color="auto"/>
      </w:divBdr>
    </w:div>
    <w:div w:id="799883078">
      <w:bodyDiv w:val="1"/>
      <w:marLeft w:val="0"/>
      <w:marRight w:val="0"/>
      <w:marTop w:val="0"/>
      <w:marBottom w:val="0"/>
      <w:divBdr>
        <w:top w:val="none" w:sz="0" w:space="0" w:color="auto"/>
        <w:left w:val="none" w:sz="0" w:space="0" w:color="auto"/>
        <w:bottom w:val="none" w:sz="0" w:space="0" w:color="auto"/>
        <w:right w:val="none" w:sz="0" w:space="0" w:color="auto"/>
      </w:divBdr>
    </w:div>
    <w:div w:id="799884716">
      <w:bodyDiv w:val="1"/>
      <w:marLeft w:val="0"/>
      <w:marRight w:val="0"/>
      <w:marTop w:val="0"/>
      <w:marBottom w:val="0"/>
      <w:divBdr>
        <w:top w:val="none" w:sz="0" w:space="0" w:color="auto"/>
        <w:left w:val="none" w:sz="0" w:space="0" w:color="auto"/>
        <w:bottom w:val="none" w:sz="0" w:space="0" w:color="auto"/>
        <w:right w:val="none" w:sz="0" w:space="0" w:color="auto"/>
      </w:divBdr>
    </w:div>
    <w:div w:id="799958166">
      <w:bodyDiv w:val="1"/>
      <w:marLeft w:val="0"/>
      <w:marRight w:val="0"/>
      <w:marTop w:val="0"/>
      <w:marBottom w:val="0"/>
      <w:divBdr>
        <w:top w:val="none" w:sz="0" w:space="0" w:color="auto"/>
        <w:left w:val="none" w:sz="0" w:space="0" w:color="auto"/>
        <w:bottom w:val="none" w:sz="0" w:space="0" w:color="auto"/>
        <w:right w:val="none" w:sz="0" w:space="0" w:color="auto"/>
      </w:divBdr>
    </w:div>
    <w:div w:id="799958444">
      <w:bodyDiv w:val="1"/>
      <w:marLeft w:val="0"/>
      <w:marRight w:val="0"/>
      <w:marTop w:val="0"/>
      <w:marBottom w:val="0"/>
      <w:divBdr>
        <w:top w:val="none" w:sz="0" w:space="0" w:color="auto"/>
        <w:left w:val="none" w:sz="0" w:space="0" w:color="auto"/>
        <w:bottom w:val="none" w:sz="0" w:space="0" w:color="auto"/>
        <w:right w:val="none" w:sz="0" w:space="0" w:color="auto"/>
      </w:divBdr>
    </w:div>
    <w:div w:id="799958515">
      <w:bodyDiv w:val="1"/>
      <w:marLeft w:val="0"/>
      <w:marRight w:val="0"/>
      <w:marTop w:val="0"/>
      <w:marBottom w:val="0"/>
      <w:divBdr>
        <w:top w:val="none" w:sz="0" w:space="0" w:color="auto"/>
        <w:left w:val="none" w:sz="0" w:space="0" w:color="auto"/>
        <w:bottom w:val="none" w:sz="0" w:space="0" w:color="auto"/>
        <w:right w:val="none" w:sz="0" w:space="0" w:color="auto"/>
      </w:divBdr>
    </w:div>
    <w:div w:id="800196115">
      <w:bodyDiv w:val="1"/>
      <w:marLeft w:val="0"/>
      <w:marRight w:val="0"/>
      <w:marTop w:val="0"/>
      <w:marBottom w:val="0"/>
      <w:divBdr>
        <w:top w:val="none" w:sz="0" w:space="0" w:color="auto"/>
        <w:left w:val="none" w:sz="0" w:space="0" w:color="auto"/>
        <w:bottom w:val="none" w:sz="0" w:space="0" w:color="auto"/>
        <w:right w:val="none" w:sz="0" w:space="0" w:color="auto"/>
      </w:divBdr>
    </w:div>
    <w:div w:id="800198036">
      <w:bodyDiv w:val="1"/>
      <w:marLeft w:val="0"/>
      <w:marRight w:val="0"/>
      <w:marTop w:val="0"/>
      <w:marBottom w:val="0"/>
      <w:divBdr>
        <w:top w:val="none" w:sz="0" w:space="0" w:color="auto"/>
        <w:left w:val="none" w:sz="0" w:space="0" w:color="auto"/>
        <w:bottom w:val="none" w:sz="0" w:space="0" w:color="auto"/>
        <w:right w:val="none" w:sz="0" w:space="0" w:color="auto"/>
      </w:divBdr>
    </w:div>
    <w:div w:id="800534689">
      <w:bodyDiv w:val="1"/>
      <w:marLeft w:val="0"/>
      <w:marRight w:val="0"/>
      <w:marTop w:val="0"/>
      <w:marBottom w:val="0"/>
      <w:divBdr>
        <w:top w:val="none" w:sz="0" w:space="0" w:color="auto"/>
        <w:left w:val="none" w:sz="0" w:space="0" w:color="auto"/>
        <w:bottom w:val="none" w:sz="0" w:space="0" w:color="auto"/>
        <w:right w:val="none" w:sz="0" w:space="0" w:color="auto"/>
      </w:divBdr>
    </w:div>
    <w:div w:id="800609548">
      <w:bodyDiv w:val="1"/>
      <w:marLeft w:val="0"/>
      <w:marRight w:val="0"/>
      <w:marTop w:val="0"/>
      <w:marBottom w:val="0"/>
      <w:divBdr>
        <w:top w:val="none" w:sz="0" w:space="0" w:color="auto"/>
        <w:left w:val="none" w:sz="0" w:space="0" w:color="auto"/>
        <w:bottom w:val="none" w:sz="0" w:space="0" w:color="auto"/>
        <w:right w:val="none" w:sz="0" w:space="0" w:color="auto"/>
      </w:divBdr>
    </w:div>
    <w:div w:id="800730614">
      <w:bodyDiv w:val="1"/>
      <w:marLeft w:val="0"/>
      <w:marRight w:val="0"/>
      <w:marTop w:val="0"/>
      <w:marBottom w:val="0"/>
      <w:divBdr>
        <w:top w:val="none" w:sz="0" w:space="0" w:color="auto"/>
        <w:left w:val="none" w:sz="0" w:space="0" w:color="auto"/>
        <w:bottom w:val="none" w:sz="0" w:space="0" w:color="auto"/>
        <w:right w:val="none" w:sz="0" w:space="0" w:color="auto"/>
      </w:divBdr>
    </w:div>
    <w:div w:id="801074305">
      <w:bodyDiv w:val="1"/>
      <w:marLeft w:val="0"/>
      <w:marRight w:val="0"/>
      <w:marTop w:val="0"/>
      <w:marBottom w:val="0"/>
      <w:divBdr>
        <w:top w:val="none" w:sz="0" w:space="0" w:color="auto"/>
        <w:left w:val="none" w:sz="0" w:space="0" w:color="auto"/>
        <w:bottom w:val="none" w:sz="0" w:space="0" w:color="auto"/>
        <w:right w:val="none" w:sz="0" w:space="0" w:color="auto"/>
      </w:divBdr>
    </w:div>
    <w:div w:id="801263428">
      <w:bodyDiv w:val="1"/>
      <w:marLeft w:val="0"/>
      <w:marRight w:val="0"/>
      <w:marTop w:val="0"/>
      <w:marBottom w:val="0"/>
      <w:divBdr>
        <w:top w:val="none" w:sz="0" w:space="0" w:color="auto"/>
        <w:left w:val="none" w:sz="0" w:space="0" w:color="auto"/>
        <w:bottom w:val="none" w:sz="0" w:space="0" w:color="auto"/>
        <w:right w:val="none" w:sz="0" w:space="0" w:color="auto"/>
      </w:divBdr>
    </w:div>
    <w:div w:id="801264339">
      <w:bodyDiv w:val="1"/>
      <w:marLeft w:val="0"/>
      <w:marRight w:val="0"/>
      <w:marTop w:val="0"/>
      <w:marBottom w:val="0"/>
      <w:divBdr>
        <w:top w:val="none" w:sz="0" w:space="0" w:color="auto"/>
        <w:left w:val="none" w:sz="0" w:space="0" w:color="auto"/>
        <w:bottom w:val="none" w:sz="0" w:space="0" w:color="auto"/>
        <w:right w:val="none" w:sz="0" w:space="0" w:color="auto"/>
      </w:divBdr>
    </w:div>
    <w:div w:id="801381632">
      <w:bodyDiv w:val="1"/>
      <w:marLeft w:val="0"/>
      <w:marRight w:val="0"/>
      <w:marTop w:val="0"/>
      <w:marBottom w:val="0"/>
      <w:divBdr>
        <w:top w:val="none" w:sz="0" w:space="0" w:color="auto"/>
        <w:left w:val="none" w:sz="0" w:space="0" w:color="auto"/>
        <w:bottom w:val="none" w:sz="0" w:space="0" w:color="auto"/>
        <w:right w:val="none" w:sz="0" w:space="0" w:color="auto"/>
      </w:divBdr>
    </w:div>
    <w:div w:id="801386253">
      <w:bodyDiv w:val="1"/>
      <w:marLeft w:val="0"/>
      <w:marRight w:val="0"/>
      <w:marTop w:val="0"/>
      <w:marBottom w:val="0"/>
      <w:divBdr>
        <w:top w:val="none" w:sz="0" w:space="0" w:color="auto"/>
        <w:left w:val="none" w:sz="0" w:space="0" w:color="auto"/>
        <w:bottom w:val="none" w:sz="0" w:space="0" w:color="auto"/>
        <w:right w:val="none" w:sz="0" w:space="0" w:color="auto"/>
      </w:divBdr>
    </w:div>
    <w:div w:id="801580441">
      <w:bodyDiv w:val="1"/>
      <w:marLeft w:val="0"/>
      <w:marRight w:val="0"/>
      <w:marTop w:val="0"/>
      <w:marBottom w:val="0"/>
      <w:divBdr>
        <w:top w:val="none" w:sz="0" w:space="0" w:color="auto"/>
        <w:left w:val="none" w:sz="0" w:space="0" w:color="auto"/>
        <w:bottom w:val="none" w:sz="0" w:space="0" w:color="auto"/>
        <w:right w:val="none" w:sz="0" w:space="0" w:color="auto"/>
      </w:divBdr>
    </w:div>
    <w:div w:id="801852146">
      <w:bodyDiv w:val="1"/>
      <w:marLeft w:val="0"/>
      <w:marRight w:val="0"/>
      <w:marTop w:val="0"/>
      <w:marBottom w:val="0"/>
      <w:divBdr>
        <w:top w:val="none" w:sz="0" w:space="0" w:color="auto"/>
        <w:left w:val="none" w:sz="0" w:space="0" w:color="auto"/>
        <w:bottom w:val="none" w:sz="0" w:space="0" w:color="auto"/>
        <w:right w:val="none" w:sz="0" w:space="0" w:color="auto"/>
      </w:divBdr>
    </w:div>
    <w:div w:id="802037262">
      <w:bodyDiv w:val="1"/>
      <w:marLeft w:val="0"/>
      <w:marRight w:val="0"/>
      <w:marTop w:val="0"/>
      <w:marBottom w:val="0"/>
      <w:divBdr>
        <w:top w:val="none" w:sz="0" w:space="0" w:color="auto"/>
        <w:left w:val="none" w:sz="0" w:space="0" w:color="auto"/>
        <w:bottom w:val="none" w:sz="0" w:space="0" w:color="auto"/>
        <w:right w:val="none" w:sz="0" w:space="0" w:color="auto"/>
      </w:divBdr>
    </w:div>
    <w:div w:id="802431465">
      <w:bodyDiv w:val="1"/>
      <w:marLeft w:val="0"/>
      <w:marRight w:val="0"/>
      <w:marTop w:val="0"/>
      <w:marBottom w:val="0"/>
      <w:divBdr>
        <w:top w:val="none" w:sz="0" w:space="0" w:color="auto"/>
        <w:left w:val="none" w:sz="0" w:space="0" w:color="auto"/>
        <w:bottom w:val="none" w:sz="0" w:space="0" w:color="auto"/>
        <w:right w:val="none" w:sz="0" w:space="0" w:color="auto"/>
      </w:divBdr>
    </w:div>
    <w:div w:id="802621059">
      <w:bodyDiv w:val="1"/>
      <w:marLeft w:val="0"/>
      <w:marRight w:val="0"/>
      <w:marTop w:val="0"/>
      <w:marBottom w:val="0"/>
      <w:divBdr>
        <w:top w:val="none" w:sz="0" w:space="0" w:color="auto"/>
        <w:left w:val="none" w:sz="0" w:space="0" w:color="auto"/>
        <w:bottom w:val="none" w:sz="0" w:space="0" w:color="auto"/>
        <w:right w:val="none" w:sz="0" w:space="0" w:color="auto"/>
      </w:divBdr>
    </w:div>
    <w:div w:id="802962213">
      <w:bodyDiv w:val="1"/>
      <w:marLeft w:val="0"/>
      <w:marRight w:val="0"/>
      <w:marTop w:val="0"/>
      <w:marBottom w:val="0"/>
      <w:divBdr>
        <w:top w:val="none" w:sz="0" w:space="0" w:color="auto"/>
        <w:left w:val="none" w:sz="0" w:space="0" w:color="auto"/>
        <w:bottom w:val="none" w:sz="0" w:space="0" w:color="auto"/>
        <w:right w:val="none" w:sz="0" w:space="0" w:color="auto"/>
      </w:divBdr>
    </w:div>
    <w:div w:id="802969336">
      <w:bodyDiv w:val="1"/>
      <w:marLeft w:val="0"/>
      <w:marRight w:val="0"/>
      <w:marTop w:val="0"/>
      <w:marBottom w:val="0"/>
      <w:divBdr>
        <w:top w:val="none" w:sz="0" w:space="0" w:color="auto"/>
        <w:left w:val="none" w:sz="0" w:space="0" w:color="auto"/>
        <w:bottom w:val="none" w:sz="0" w:space="0" w:color="auto"/>
        <w:right w:val="none" w:sz="0" w:space="0" w:color="auto"/>
      </w:divBdr>
    </w:div>
    <w:div w:id="803157832">
      <w:bodyDiv w:val="1"/>
      <w:marLeft w:val="0"/>
      <w:marRight w:val="0"/>
      <w:marTop w:val="0"/>
      <w:marBottom w:val="0"/>
      <w:divBdr>
        <w:top w:val="none" w:sz="0" w:space="0" w:color="auto"/>
        <w:left w:val="none" w:sz="0" w:space="0" w:color="auto"/>
        <w:bottom w:val="none" w:sz="0" w:space="0" w:color="auto"/>
        <w:right w:val="none" w:sz="0" w:space="0" w:color="auto"/>
      </w:divBdr>
    </w:div>
    <w:div w:id="803234696">
      <w:bodyDiv w:val="1"/>
      <w:marLeft w:val="0"/>
      <w:marRight w:val="0"/>
      <w:marTop w:val="0"/>
      <w:marBottom w:val="0"/>
      <w:divBdr>
        <w:top w:val="none" w:sz="0" w:space="0" w:color="auto"/>
        <w:left w:val="none" w:sz="0" w:space="0" w:color="auto"/>
        <w:bottom w:val="none" w:sz="0" w:space="0" w:color="auto"/>
        <w:right w:val="none" w:sz="0" w:space="0" w:color="auto"/>
      </w:divBdr>
    </w:div>
    <w:div w:id="803306786">
      <w:bodyDiv w:val="1"/>
      <w:marLeft w:val="0"/>
      <w:marRight w:val="0"/>
      <w:marTop w:val="0"/>
      <w:marBottom w:val="0"/>
      <w:divBdr>
        <w:top w:val="none" w:sz="0" w:space="0" w:color="auto"/>
        <w:left w:val="none" w:sz="0" w:space="0" w:color="auto"/>
        <w:bottom w:val="none" w:sz="0" w:space="0" w:color="auto"/>
        <w:right w:val="none" w:sz="0" w:space="0" w:color="auto"/>
      </w:divBdr>
    </w:div>
    <w:div w:id="803472975">
      <w:bodyDiv w:val="1"/>
      <w:marLeft w:val="0"/>
      <w:marRight w:val="0"/>
      <w:marTop w:val="0"/>
      <w:marBottom w:val="0"/>
      <w:divBdr>
        <w:top w:val="none" w:sz="0" w:space="0" w:color="auto"/>
        <w:left w:val="none" w:sz="0" w:space="0" w:color="auto"/>
        <w:bottom w:val="none" w:sz="0" w:space="0" w:color="auto"/>
        <w:right w:val="none" w:sz="0" w:space="0" w:color="auto"/>
      </w:divBdr>
    </w:div>
    <w:div w:id="803498579">
      <w:bodyDiv w:val="1"/>
      <w:marLeft w:val="0"/>
      <w:marRight w:val="0"/>
      <w:marTop w:val="0"/>
      <w:marBottom w:val="0"/>
      <w:divBdr>
        <w:top w:val="none" w:sz="0" w:space="0" w:color="auto"/>
        <w:left w:val="none" w:sz="0" w:space="0" w:color="auto"/>
        <w:bottom w:val="none" w:sz="0" w:space="0" w:color="auto"/>
        <w:right w:val="none" w:sz="0" w:space="0" w:color="auto"/>
      </w:divBdr>
    </w:div>
    <w:div w:id="803615828">
      <w:bodyDiv w:val="1"/>
      <w:marLeft w:val="0"/>
      <w:marRight w:val="0"/>
      <w:marTop w:val="0"/>
      <w:marBottom w:val="0"/>
      <w:divBdr>
        <w:top w:val="none" w:sz="0" w:space="0" w:color="auto"/>
        <w:left w:val="none" w:sz="0" w:space="0" w:color="auto"/>
        <w:bottom w:val="none" w:sz="0" w:space="0" w:color="auto"/>
        <w:right w:val="none" w:sz="0" w:space="0" w:color="auto"/>
      </w:divBdr>
    </w:div>
    <w:div w:id="803624636">
      <w:bodyDiv w:val="1"/>
      <w:marLeft w:val="0"/>
      <w:marRight w:val="0"/>
      <w:marTop w:val="0"/>
      <w:marBottom w:val="0"/>
      <w:divBdr>
        <w:top w:val="none" w:sz="0" w:space="0" w:color="auto"/>
        <w:left w:val="none" w:sz="0" w:space="0" w:color="auto"/>
        <w:bottom w:val="none" w:sz="0" w:space="0" w:color="auto"/>
        <w:right w:val="none" w:sz="0" w:space="0" w:color="auto"/>
      </w:divBdr>
    </w:div>
    <w:div w:id="803697532">
      <w:bodyDiv w:val="1"/>
      <w:marLeft w:val="0"/>
      <w:marRight w:val="0"/>
      <w:marTop w:val="0"/>
      <w:marBottom w:val="0"/>
      <w:divBdr>
        <w:top w:val="none" w:sz="0" w:space="0" w:color="auto"/>
        <w:left w:val="none" w:sz="0" w:space="0" w:color="auto"/>
        <w:bottom w:val="none" w:sz="0" w:space="0" w:color="auto"/>
        <w:right w:val="none" w:sz="0" w:space="0" w:color="auto"/>
      </w:divBdr>
    </w:div>
    <w:div w:id="803742556">
      <w:bodyDiv w:val="1"/>
      <w:marLeft w:val="0"/>
      <w:marRight w:val="0"/>
      <w:marTop w:val="0"/>
      <w:marBottom w:val="0"/>
      <w:divBdr>
        <w:top w:val="none" w:sz="0" w:space="0" w:color="auto"/>
        <w:left w:val="none" w:sz="0" w:space="0" w:color="auto"/>
        <w:bottom w:val="none" w:sz="0" w:space="0" w:color="auto"/>
        <w:right w:val="none" w:sz="0" w:space="0" w:color="auto"/>
      </w:divBdr>
    </w:div>
    <w:div w:id="803811981">
      <w:bodyDiv w:val="1"/>
      <w:marLeft w:val="0"/>
      <w:marRight w:val="0"/>
      <w:marTop w:val="0"/>
      <w:marBottom w:val="0"/>
      <w:divBdr>
        <w:top w:val="none" w:sz="0" w:space="0" w:color="auto"/>
        <w:left w:val="none" w:sz="0" w:space="0" w:color="auto"/>
        <w:bottom w:val="none" w:sz="0" w:space="0" w:color="auto"/>
        <w:right w:val="none" w:sz="0" w:space="0" w:color="auto"/>
      </w:divBdr>
    </w:div>
    <w:div w:id="804078114">
      <w:bodyDiv w:val="1"/>
      <w:marLeft w:val="0"/>
      <w:marRight w:val="0"/>
      <w:marTop w:val="0"/>
      <w:marBottom w:val="0"/>
      <w:divBdr>
        <w:top w:val="none" w:sz="0" w:space="0" w:color="auto"/>
        <w:left w:val="none" w:sz="0" w:space="0" w:color="auto"/>
        <w:bottom w:val="none" w:sz="0" w:space="0" w:color="auto"/>
        <w:right w:val="none" w:sz="0" w:space="0" w:color="auto"/>
      </w:divBdr>
    </w:div>
    <w:div w:id="804276552">
      <w:bodyDiv w:val="1"/>
      <w:marLeft w:val="0"/>
      <w:marRight w:val="0"/>
      <w:marTop w:val="0"/>
      <w:marBottom w:val="0"/>
      <w:divBdr>
        <w:top w:val="none" w:sz="0" w:space="0" w:color="auto"/>
        <w:left w:val="none" w:sz="0" w:space="0" w:color="auto"/>
        <w:bottom w:val="none" w:sz="0" w:space="0" w:color="auto"/>
        <w:right w:val="none" w:sz="0" w:space="0" w:color="auto"/>
      </w:divBdr>
    </w:div>
    <w:div w:id="804277519">
      <w:bodyDiv w:val="1"/>
      <w:marLeft w:val="0"/>
      <w:marRight w:val="0"/>
      <w:marTop w:val="0"/>
      <w:marBottom w:val="0"/>
      <w:divBdr>
        <w:top w:val="none" w:sz="0" w:space="0" w:color="auto"/>
        <w:left w:val="none" w:sz="0" w:space="0" w:color="auto"/>
        <w:bottom w:val="none" w:sz="0" w:space="0" w:color="auto"/>
        <w:right w:val="none" w:sz="0" w:space="0" w:color="auto"/>
      </w:divBdr>
    </w:div>
    <w:div w:id="804353394">
      <w:bodyDiv w:val="1"/>
      <w:marLeft w:val="0"/>
      <w:marRight w:val="0"/>
      <w:marTop w:val="0"/>
      <w:marBottom w:val="0"/>
      <w:divBdr>
        <w:top w:val="none" w:sz="0" w:space="0" w:color="auto"/>
        <w:left w:val="none" w:sz="0" w:space="0" w:color="auto"/>
        <w:bottom w:val="none" w:sz="0" w:space="0" w:color="auto"/>
        <w:right w:val="none" w:sz="0" w:space="0" w:color="auto"/>
      </w:divBdr>
    </w:div>
    <w:div w:id="804659343">
      <w:bodyDiv w:val="1"/>
      <w:marLeft w:val="0"/>
      <w:marRight w:val="0"/>
      <w:marTop w:val="0"/>
      <w:marBottom w:val="0"/>
      <w:divBdr>
        <w:top w:val="none" w:sz="0" w:space="0" w:color="auto"/>
        <w:left w:val="none" w:sz="0" w:space="0" w:color="auto"/>
        <w:bottom w:val="none" w:sz="0" w:space="0" w:color="auto"/>
        <w:right w:val="none" w:sz="0" w:space="0" w:color="auto"/>
      </w:divBdr>
    </w:div>
    <w:div w:id="804734669">
      <w:bodyDiv w:val="1"/>
      <w:marLeft w:val="0"/>
      <w:marRight w:val="0"/>
      <w:marTop w:val="0"/>
      <w:marBottom w:val="0"/>
      <w:divBdr>
        <w:top w:val="none" w:sz="0" w:space="0" w:color="auto"/>
        <w:left w:val="none" w:sz="0" w:space="0" w:color="auto"/>
        <w:bottom w:val="none" w:sz="0" w:space="0" w:color="auto"/>
        <w:right w:val="none" w:sz="0" w:space="0" w:color="auto"/>
      </w:divBdr>
    </w:div>
    <w:div w:id="804851968">
      <w:bodyDiv w:val="1"/>
      <w:marLeft w:val="0"/>
      <w:marRight w:val="0"/>
      <w:marTop w:val="0"/>
      <w:marBottom w:val="0"/>
      <w:divBdr>
        <w:top w:val="none" w:sz="0" w:space="0" w:color="auto"/>
        <w:left w:val="none" w:sz="0" w:space="0" w:color="auto"/>
        <w:bottom w:val="none" w:sz="0" w:space="0" w:color="auto"/>
        <w:right w:val="none" w:sz="0" w:space="0" w:color="auto"/>
      </w:divBdr>
    </w:div>
    <w:div w:id="804853526">
      <w:bodyDiv w:val="1"/>
      <w:marLeft w:val="0"/>
      <w:marRight w:val="0"/>
      <w:marTop w:val="0"/>
      <w:marBottom w:val="0"/>
      <w:divBdr>
        <w:top w:val="none" w:sz="0" w:space="0" w:color="auto"/>
        <w:left w:val="none" w:sz="0" w:space="0" w:color="auto"/>
        <w:bottom w:val="none" w:sz="0" w:space="0" w:color="auto"/>
        <w:right w:val="none" w:sz="0" w:space="0" w:color="auto"/>
      </w:divBdr>
    </w:div>
    <w:div w:id="805314700">
      <w:bodyDiv w:val="1"/>
      <w:marLeft w:val="0"/>
      <w:marRight w:val="0"/>
      <w:marTop w:val="0"/>
      <w:marBottom w:val="0"/>
      <w:divBdr>
        <w:top w:val="none" w:sz="0" w:space="0" w:color="auto"/>
        <w:left w:val="none" w:sz="0" w:space="0" w:color="auto"/>
        <w:bottom w:val="none" w:sz="0" w:space="0" w:color="auto"/>
        <w:right w:val="none" w:sz="0" w:space="0" w:color="auto"/>
      </w:divBdr>
    </w:div>
    <w:div w:id="805514074">
      <w:bodyDiv w:val="1"/>
      <w:marLeft w:val="0"/>
      <w:marRight w:val="0"/>
      <w:marTop w:val="0"/>
      <w:marBottom w:val="0"/>
      <w:divBdr>
        <w:top w:val="none" w:sz="0" w:space="0" w:color="auto"/>
        <w:left w:val="none" w:sz="0" w:space="0" w:color="auto"/>
        <w:bottom w:val="none" w:sz="0" w:space="0" w:color="auto"/>
        <w:right w:val="none" w:sz="0" w:space="0" w:color="auto"/>
      </w:divBdr>
    </w:div>
    <w:div w:id="805588931">
      <w:bodyDiv w:val="1"/>
      <w:marLeft w:val="0"/>
      <w:marRight w:val="0"/>
      <w:marTop w:val="0"/>
      <w:marBottom w:val="0"/>
      <w:divBdr>
        <w:top w:val="none" w:sz="0" w:space="0" w:color="auto"/>
        <w:left w:val="none" w:sz="0" w:space="0" w:color="auto"/>
        <w:bottom w:val="none" w:sz="0" w:space="0" w:color="auto"/>
        <w:right w:val="none" w:sz="0" w:space="0" w:color="auto"/>
      </w:divBdr>
    </w:div>
    <w:div w:id="805702841">
      <w:bodyDiv w:val="1"/>
      <w:marLeft w:val="0"/>
      <w:marRight w:val="0"/>
      <w:marTop w:val="0"/>
      <w:marBottom w:val="0"/>
      <w:divBdr>
        <w:top w:val="none" w:sz="0" w:space="0" w:color="auto"/>
        <w:left w:val="none" w:sz="0" w:space="0" w:color="auto"/>
        <w:bottom w:val="none" w:sz="0" w:space="0" w:color="auto"/>
        <w:right w:val="none" w:sz="0" w:space="0" w:color="auto"/>
      </w:divBdr>
    </w:div>
    <w:div w:id="806052096">
      <w:bodyDiv w:val="1"/>
      <w:marLeft w:val="0"/>
      <w:marRight w:val="0"/>
      <w:marTop w:val="0"/>
      <w:marBottom w:val="0"/>
      <w:divBdr>
        <w:top w:val="none" w:sz="0" w:space="0" w:color="auto"/>
        <w:left w:val="none" w:sz="0" w:space="0" w:color="auto"/>
        <w:bottom w:val="none" w:sz="0" w:space="0" w:color="auto"/>
        <w:right w:val="none" w:sz="0" w:space="0" w:color="auto"/>
      </w:divBdr>
    </w:div>
    <w:div w:id="806052128">
      <w:bodyDiv w:val="1"/>
      <w:marLeft w:val="0"/>
      <w:marRight w:val="0"/>
      <w:marTop w:val="0"/>
      <w:marBottom w:val="0"/>
      <w:divBdr>
        <w:top w:val="none" w:sz="0" w:space="0" w:color="auto"/>
        <w:left w:val="none" w:sz="0" w:space="0" w:color="auto"/>
        <w:bottom w:val="none" w:sz="0" w:space="0" w:color="auto"/>
        <w:right w:val="none" w:sz="0" w:space="0" w:color="auto"/>
      </w:divBdr>
    </w:div>
    <w:div w:id="806119568">
      <w:bodyDiv w:val="1"/>
      <w:marLeft w:val="0"/>
      <w:marRight w:val="0"/>
      <w:marTop w:val="0"/>
      <w:marBottom w:val="0"/>
      <w:divBdr>
        <w:top w:val="none" w:sz="0" w:space="0" w:color="auto"/>
        <w:left w:val="none" w:sz="0" w:space="0" w:color="auto"/>
        <w:bottom w:val="none" w:sz="0" w:space="0" w:color="auto"/>
        <w:right w:val="none" w:sz="0" w:space="0" w:color="auto"/>
      </w:divBdr>
    </w:div>
    <w:div w:id="806319464">
      <w:bodyDiv w:val="1"/>
      <w:marLeft w:val="0"/>
      <w:marRight w:val="0"/>
      <w:marTop w:val="0"/>
      <w:marBottom w:val="0"/>
      <w:divBdr>
        <w:top w:val="none" w:sz="0" w:space="0" w:color="auto"/>
        <w:left w:val="none" w:sz="0" w:space="0" w:color="auto"/>
        <w:bottom w:val="none" w:sz="0" w:space="0" w:color="auto"/>
        <w:right w:val="none" w:sz="0" w:space="0" w:color="auto"/>
      </w:divBdr>
    </w:div>
    <w:div w:id="806361323">
      <w:bodyDiv w:val="1"/>
      <w:marLeft w:val="0"/>
      <w:marRight w:val="0"/>
      <w:marTop w:val="0"/>
      <w:marBottom w:val="0"/>
      <w:divBdr>
        <w:top w:val="none" w:sz="0" w:space="0" w:color="auto"/>
        <w:left w:val="none" w:sz="0" w:space="0" w:color="auto"/>
        <w:bottom w:val="none" w:sz="0" w:space="0" w:color="auto"/>
        <w:right w:val="none" w:sz="0" w:space="0" w:color="auto"/>
      </w:divBdr>
    </w:div>
    <w:div w:id="806895925">
      <w:bodyDiv w:val="1"/>
      <w:marLeft w:val="0"/>
      <w:marRight w:val="0"/>
      <w:marTop w:val="0"/>
      <w:marBottom w:val="0"/>
      <w:divBdr>
        <w:top w:val="none" w:sz="0" w:space="0" w:color="auto"/>
        <w:left w:val="none" w:sz="0" w:space="0" w:color="auto"/>
        <w:bottom w:val="none" w:sz="0" w:space="0" w:color="auto"/>
        <w:right w:val="none" w:sz="0" w:space="0" w:color="auto"/>
      </w:divBdr>
    </w:div>
    <w:div w:id="806968603">
      <w:bodyDiv w:val="1"/>
      <w:marLeft w:val="0"/>
      <w:marRight w:val="0"/>
      <w:marTop w:val="0"/>
      <w:marBottom w:val="0"/>
      <w:divBdr>
        <w:top w:val="none" w:sz="0" w:space="0" w:color="auto"/>
        <w:left w:val="none" w:sz="0" w:space="0" w:color="auto"/>
        <w:bottom w:val="none" w:sz="0" w:space="0" w:color="auto"/>
        <w:right w:val="none" w:sz="0" w:space="0" w:color="auto"/>
      </w:divBdr>
    </w:div>
    <w:div w:id="806969219">
      <w:bodyDiv w:val="1"/>
      <w:marLeft w:val="0"/>
      <w:marRight w:val="0"/>
      <w:marTop w:val="0"/>
      <w:marBottom w:val="0"/>
      <w:divBdr>
        <w:top w:val="none" w:sz="0" w:space="0" w:color="auto"/>
        <w:left w:val="none" w:sz="0" w:space="0" w:color="auto"/>
        <w:bottom w:val="none" w:sz="0" w:space="0" w:color="auto"/>
        <w:right w:val="none" w:sz="0" w:space="0" w:color="auto"/>
      </w:divBdr>
    </w:div>
    <w:div w:id="806974551">
      <w:bodyDiv w:val="1"/>
      <w:marLeft w:val="0"/>
      <w:marRight w:val="0"/>
      <w:marTop w:val="0"/>
      <w:marBottom w:val="0"/>
      <w:divBdr>
        <w:top w:val="none" w:sz="0" w:space="0" w:color="auto"/>
        <w:left w:val="none" w:sz="0" w:space="0" w:color="auto"/>
        <w:bottom w:val="none" w:sz="0" w:space="0" w:color="auto"/>
        <w:right w:val="none" w:sz="0" w:space="0" w:color="auto"/>
      </w:divBdr>
    </w:div>
    <w:div w:id="806975972">
      <w:bodyDiv w:val="1"/>
      <w:marLeft w:val="0"/>
      <w:marRight w:val="0"/>
      <w:marTop w:val="0"/>
      <w:marBottom w:val="0"/>
      <w:divBdr>
        <w:top w:val="none" w:sz="0" w:space="0" w:color="auto"/>
        <w:left w:val="none" w:sz="0" w:space="0" w:color="auto"/>
        <w:bottom w:val="none" w:sz="0" w:space="0" w:color="auto"/>
        <w:right w:val="none" w:sz="0" w:space="0" w:color="auto"/>
      </w:divBdr>
    </w:div>
    <w:div w:id="807017964">
      <w:bodyDiv w:val="1"/>
      <w:marLeft w:val="0"/>
      <w:marRight w:val="0"/>
      <w:marTop w:val="0"/>
      <w:marBottom w:val="0"/>
      <w:divBdr>
        <w:top w:val="none" w:sz="0" w:space="0" w:color="auto"/>
        <w:left w:val="none" w:sz="0" w:space="0" w:color="auto"/>
        <w:bottom w:val="none" w:sz="0" w:space="0" w:color="auto"/>
        <w:right w:val="none" w:sz="0" w:space="0" w:color="auto"/>
      </w:divBdr>
    </w:div>
    <w:div w:id="807094347">
      <w:bodyDiv w:val="1"/>
      <w:marLeft w:val="0"/>
      <w:marRight w:val="0"/>
      <w:marTop w:val="0"/>
      <w:marBottom w:val="0"/>
      <w:divBdr>
        <w:top w:val="none" w:sz="0" w:space="0" w:color="auto"/>
        <w:left w:val="none" w:sz="0" w:space="0" w:color="auto"/>
        <w:bottom w:val="none" w:sz="0" w:space="0" w:color="auto"/>
        <w:right w:val="none" w:sz="0" w:space="0" w:color="auto"/>
      </w:divBdr>
    </w:div>
    <w:div w:id="807170488">
      <w:bodyDiv w:val="1"/>
      <w:marLeft w:val="0"/>
      <w:marRight w:val="0"/>
      <w:marTop w:val="0"/>
      <w:marBottom w:val="0"/>
      <w:divBdr>
        <w:top w:val="none" w:sz="0" w:space="0" w:color="auto"/>
        <w:left w:val="none" w:sz="0" w:space="0" w:color="auto"/>
        <w:bottom w:val="none" w:sz="0" w:space="0" w:color="auto"/>
        <w:right w:val="none" w:sz="0" w:space="0" w:color="auto"/>
      </w:divBdr>
    </w:div>
    <w:div w:id="807210451">
      <w:bodyDiv w:val="1"/>
      <w:marLeft w:val="0"/>
      <w:marRight w:val="0"/>
      <w:marTop w:val="0"/>
      <w:marBottom w:val="0"/>
      <w:divBdr>
        <w:top w:val="none" w:sz="0" w:space="0" w:color="auto"/>
        <w:left w:val="none" w:sz="0" w:space="0" w:color="auto"/>
        <w:bottom w:val="none" w:sz="0" w:space="0" w:color="auto"/>
        <w:right w:val="none" w:sz="0" w:space="0" w:color="auto"/>
      </w:divBdr>
    </w:div>
    <w:div w:id="807236558">
      <w:bodyDiv w:val="1"/>
      <w:marLeft w:val="0"/>
      <w:marRight w:val="0"/>
      <w:marTop w:val="0"/>
      <w:marBottom w:val="0"/>
      <w:divBdr>
        <w:top w:val="none" w:sz="0" w:space="0" w:color="auto"/>
        <w:left w:val="none" w:sz="0" w:space="0" w:color="auto"/>
        <w:bottom w:val="none" w:sz="0" w:space="0" w:color="auto"/>
        <w:right w:val="none" w:sz="0" w:space="0" w:color="auto"/>
      </w:divBdr>
    </w:div>
    <w:div w:id="807362551">
      <w:bodyDiv w:val="1"/>
      <w:marLeft w:val="0"/>
      <w:marRight w:val="0"/>
      <w:marTop w:val="0"/>
      <w:marBottom w:val="0"/>
      <w:divBdr>
        <w:top w:val="none" w:sz="0" w:space="0" w:color="auto"/>
        <w:left w:val="none" w:sz="0" w:space="0" w:color="auto"/>
        <w:bottom w:val="none" w:sz="0" w:space="0" w:color="auto"/>
        <w:right w:val="none" w:sz="0" w:space="0" w:color="auto"/>
      </w:divBdr>
    </w:div>
    <w:div w:id="807472428">
      <w:bodyDiv w:val="1"/>
      <w:marLeft w:val="0"/>
      <w:marRight w:val="0"/>
      <w:marTop w:val="0"/>
      <w:marBottom w:val="0"/>
      <w:divBdr>
        <w:top w:val="none" w:sz="0" w:space="0" w:color="auto"/>
        <w:left w:val="none" w:sz="0" w:space="0" w:color="auto"/>
        <w:bottom w:val="none" w:sz="0" w:space="0" w:color="auto"/>
        <w:right w:val="none" w:sz="0" w:space="0" w:color="auto"/>
      </w:divBdr>
    </w:div>
    <w:div w:id="807477264">
      <w:bodyDiv w:val="1"/>
      <w:marLeft w:val="0"/>
      <w:marRight w:val="0"/>
      <w:marTop w:val="0"/>
      <w:marBottom w:val="0"/>
      <w:divBdr>
        <w:top w:val="none" w:sz="0" w:space="0" w:color="auto"/>
        <w:left w:val="none" w:sz="0" w:space="0" w:color="auto"/>
        <w:bottom w:val="none" w:sz="0" w:space="0" w:color="auto"/>
        <w:right w:val="none" w:sz="0" w:space="0" w:color="auto"/>
      </w:divBdr>
    </w:div>
    <w:div w:id="807481507">
      <w:bodyDiv w:val="1"/>
      <w:marLeft w:val="0"/>
      <w:marRight w:val="0"/>
      <w:marTop w:val="0"/>
      <w:marBottom w:val="0"/>
      <w:divBdr>
        <w:top w:val="none" w:sz="0" w:space="0" w:color="auto"/>
        <w:left w:val="none" w:sz="0" w:space="0" w:color="auto"/>
        <w:bottom w:val="none" w:sz="0" w:space="0" w:color="auto"/>
        <w:right w:val="none" w:sz="0" w:space="0" w:color="auto"/>
      </w:divBdr>
    </w:div>
    <w:div w:id="807555346">
      <w:bodyDiv w:val="1"/>
      <w:marLeft w:val="0"/>
      <w:marRight w:val="0"/>
      <w:marTop w:val="0"/>
      <w:marBottom w:val="0"/>
      <w:divBdr>
        <w:top w:val="none" w:sz="0" w:space="0" w:color="auto"/>
        <w:left w:val="none" w:sz="0" w:space="0" w:color="auto"/>
        <w:bottom w:val="none" w:sz="0" w:space="0" w:color="auto"/>
        <w:right w:val="none" w:sz="0" w:space="0" w:color="auto"/>
      </w:divBdr>
    </w:div>
    <w:div w:id="807816102">
      <w:bodyDiv w:val="1"/>
      <w:marLeft w:val="0"/>
      <w:marRight w:val="0"/>
      <w:marTop w:val="0"/>
      <w:marBottom w:val="0"/>
      <w:divBdr>
        <w:top w:val="none" w:sz="0" w:space="0" w:color="auto"/>
        <w:left w:val="none" w:sz="0" w:space="0" w:color="auto"/>
        <w:bottom w:val="none" w:sz="0" w:space="0" w:color="auto"/>
        <w:right w:val="none" w:sz="0" w:space="0" w:color="auto"/>
      </w:divBdr>
    </w:div>
    <w:div w:id="807823011">
      <w:bodyDiv w:val="1"/>
      <w:marLeft w:val="0"/>
      <w:marRight w:val="0"/>
      <w:marTop w:val="0"/>
      <w:marBottom w:val="0"/>
      <w:divBdr>
        <w:top w:val="none" w:sz="0" w:space="0" w:color="auto"/>
        <w:left w:val="none" w:sz="0" w:space="0" w:color="auto"/>
        <w:bottom w:val="none" w:sz="0" w:space="0" w:color="auto"/>
        <w:right w:val="none" w:sz="0" w:space="0" w:color="auto"/>
      </w:divBdr>
    </w:div>
    <w:div w:id="807867246">
      <w:bodyDiv w:val="1"/>
      <w:marLeft w:val="0"/>
      <w:marRight w:val="0"/>
      <w:marTop w:val="0"/>
      <w:marBottom w:val="0"/>
      <w:divBdr>
        <w:top w:val="none" w:sz="0" w:space="0" w:color="auto"/>
        <w:left w:val="none" w:sz="0" w:space="0" w:color="auto"/>
        <w:bottom w:val="none" w:sz="0" w:space="0" w:color="auto"/>
        <w:right w:val="none" w:sz="0" w:space="0" w:color="auto"/>
      </w:divBdr>
    </w:div>
    <w:div w:id="808325868">
      <w:bodyDiv w:val="1"/>
      <w:marLeft w:val="0"/>
      <w:marRight w:val="0"/>
      <w:marTop w:val="0"/>
      <w:marBottom w:val="0"/>
      <w:divBdr>
        <w:top w:val="none" w:sz="0" w:space="0" w:color="auto"/>
        <w:left w:val="none" w:sz="0" w:space="0" w:color="auto"/>
        <w:bottom w:val="none" w:sz="0" w:space="0" w:color="auto"/>
        <w:right w:val="none" w:sz="0" w:space="0" w:color="auto"/>
      </w:divBdr>
    </w:div>
    <w:div w:id="808327392">
      <w:bodyDiv w:val="1"/>
      <w:marLeft w:val="0"/>
      <w:marRight w:val="0"/>
      <w:marTop w:val="0"/>
      <w:marBottom w:val="0"/>
      <w:divBdr>
        <w:top w:val="none" w:sz="0" w:space="0" w:color="auto"/>
        <w:left w:val="none" w:sz="0" w:space="0" w:color="auto"/>
        <w:bottom w:val="none" w:sz="0" w:space="0" w:color="auto"/>
        <w:right w:val="none" w:sz="0" w:space="0" w:color="auto"/>
      </w:divBdr>
    </w:div>
    <w:div w:id="808746534">
      <w:bodyDiv w:val="1"/>
      <w:marLeft w:val="0"/>
      <w:marRight w:val="0"/>
      <w:marTop w:val="0"/>
      <w:marBottom w:val="0"/>
      <w:divBdr>
        <w:top w:val="none" w:sz="0" w:space="0" w:color="auto"/>
        <w:left w:val="none" w:sz="0" w:space="0" w:color="auto"/>
        <w:bottom w:val="none" w:sz="0" w:space="0" w:color="auto"/>
        <w:right w:val="none" w:sz="0" w:space="0" w:color="auto"/>
      </w:divBdr>
    </w:div>
    <w:div w:id="808865281">
      <w:bodyDiv w:val="1"/>
      <w:marLeft w:val="0"/>
      <w:marRight w:val="0"/>
      <w:marTop w:val="0"/>
      <w:marBottom w:val="0"/>
      <w:divBdr>
        <w:top w:val="none" w:sz="0" w:space="0" w:color="auto"/>
        <w:left w:val="none" w:sz="0" w:space="0" w:color="auto"/>
        <w:bottom w:val="none" w:sz="0" w:space="0" w:color="auto"/>
        <w:right w:val="none" w:sz="0" w:space="0" w:color="auto"/>
      </w:divBdr>
    </w:div>
    <w:div w:id="809203600">
      <w:bodyDiv w:val="1"/>
      <w:marLeft w:val="0"/>
      <w:marRight w:val="0"/>
      <w:marTop w:val="0"/>
      <w:marBottom w:val="0"/>
      <w:divBdr>
        <w:top w:val="none" w:sz="0" w:space="0" w:color="auto"/>
        <w:left w:val="none" w:sz="0" w:space="0" w:color="auto"/>
        <w:bottom w:val="none" w:sz="0" w:space="0" w:color="auto"/>
        <w:right w:val="none" w:sz="0" w:space="0" w:color="auto"/>
      </w:divBdr>
    </w:div>
    <w:div w:id="809244737">
      <w:bodyDiv w:val="1"/>
      <w:marLeft w:val="0"/>
      <w:marRight w:val="0"/>
      <w:marTop w:val="0"/>
      <w:marBottom w:val="0"/>
      <w:divBdr>
        <w:top w:val="none" w:sz="0" w:space="0" w:color="auto"/>
        <w:left w:val="none" w:sz="0" w:space="0" w:color="auto"/>
        <w:bottom w:val="none" w:sz="0" w:space="0" w:color="auto"/>
        <w:right w:val="none" w:sz="0" w:space="0" w:color="auto"/>
      </w:divBdr>
    </w:div>
    <w:div w:id="809252695">
      <w:bodyDiv w:val="1"/>
      <w:marLeft w:val="0"/>
      <w:marRight w:val="0"/>
      <w:marTop w:val="0"/>
      <w:marBottom w:val="0"/>
      <w:divBdr>
        <w:top w:val="none" w:sz="0" w:space="0" w:color="auto"/>
        <w:left w:val="none" w:sz="0" w:space="0" w:color="auto"/>
        <w:bottom w:val="none" w:sz="0" w:space="0" w:color="auto"/>
        <w:right w:val="none" w:sz="0" w:space="0" w:color="auto"/>
      </w:divBdr>
    </w:div>
    <w:div w:id="809438685">
      <w:bodyDiv w:val="1"/>
      <w:marLeft w:val="0"/>
      <w:marRight w:val="0"/>
      <w:marTop w:val="0"/>
      <w:marBottom w:val="0"/>
      <w:divBdr>
        <w:top w:val="none" w:sz="0" w:space="0" w:color="auto"/>
        <w:left w:val="none" w:sz="0" w:space="0" w:color="auto"/>
        <w:bottom w:val="none" w:sz="0" w:space="0" w:color="auto"/>
        <w:right w:val="none" w:sz="0" w:space="0" w:color="auto"/>
      </w:divBdr>
    </w:div>
    <w:div w:id="809520006">
      <w:bodyDiv w:val="1"/>
      <w:marLeft w:val="0"/>
      <w:marRight w:val="0"/>
      <w:marTop w:val="0"/>
      <w:marBottom w:val="0"/>
      <w:divBdr>
        <w:top w:val="none" w:sz="0" w:space="0" w:color="auto"/>
        <w:left w:val="none" w:sz="0" w:space="0" w:color="auto"/>
        <w:bottom w:val="none" w:sz="0" w:space="0" w:color="auto"/>
        <w:right w:val="none" w:sz="0" w:space="0" w:color="auto"/>
      </w:divBdr>
    </w:div>
    <w:div w:id="809709812">
      <w:bodyDiv w:val="1"/>
      <w:marLeft w:val="0"/>
      <w:marRight w:val="0"/>
      <w:marTop w:val="0"/>
      <w:marBottom w:val="0"/>
      <w:divBdr>
        <w:top w:val="none" w:sz="0" w:space="0" w:color="auto"/>
        <w:left w:val="none" w:sz="0" w:space="0" w:color="auto"/>
        <w:bottom w:val="none" w:sz="0" w:space="0" w:color="auto"/>
        <w:right w:val="none" w:sz="0" w:space="0" w:color="auto"/>
      </w:divBdr>
    </w:div>
    <w:div w:id="809784499">
      <w:bodyDiv w:val="1"/>
      <w:marLeft w:val="0"/>
      <w:marRight w:val="0"/>
      <w:marTop w:val="0"/>
      <w:marBottom w:val="0"/>
      <w:divBdr>
        <w:top w:val="none" w:sz="0" w:space="0" w:color="auto"/>
        <w:left w:val="none" w:sz="0" w:space="0" w:color="auto"/>
        <w:bottom w:val="none" w:sz="0" w:space="0" w:color="auto"/>
        <w:right w:val="none" w:sz="0" w:space="0" w:color="auto"/>
      </w:divBdr>
    </w:div>
    <w:div w:id="809902232">
      <w:bodyDiv w:val="1"/>
      <w:marLeft w:val="0"/>
      <w:marRight w:val="0"/>
      <w:marTop w:val="0"/>
      <w:marBottom w:val="0"/>
      <w:divBdr>
        <w:top w:val="none" w:sz="0" w:space="0" w:color="auto"/>
        <w:left w:val="none" w:sz="0" w:space="0" w:color="auto"/>
        <w:bottom w:val="none" w:sz="0" w:space="0" w:color="auto"/>
        <w:right w:val="none" w:sz="0" w:space="0" w:color="auto"/>
      </w:divBdr>
    </w:div>
    <w:div w:id="809906678">
      <w:bodyDiv w:val="1"/>
      <w:marLeft w:val="0"/>
      <w:marRight w:val="0"/>
      <w:marTop w:val="0"/>
      <w:marBottom w:val="0"/>
      <w:divBdr>
        <w:top w:val="none" w:sz="0" w:space="0" w:color="auto"/>
        <w:left w:val="none" w:sz="0" w:space="0" w:color="auto"/>
        <w:bottom w:val="none" w:sz="0" w:space="0" w:color="auto"/>
        <w:right w:val="none" w:sz="0" w:space="0" w:color="auto"/>
      </w:divBdr>
    </w:div>
    <w:div w:id="810515608">
      <w:bodyDiv w:val="1"/>
      <w:marLeft w:val="0"/>
      <w:marRight w:val="0"/>
      <w:marTop w:val="0"/>
      <w:marBottom w:val="0"/>
      <w:divBdr>
        <w:top w:val="none" w:sz="0" w:space="0" w:color="auto"/>
        <w:left w:val="none" w:sz="0" w:space="0" w:color="auto"/>
        <w:bottom w:val="none" w:sz="0" w:space="0" w:color="auto"/>
        <w:right w:val="none" w:sz="0" w:space="0" w:color="auto"/>
      </w:divBdr>
    </w:div>
    <w:div w:id="810556846">
      <w:bodyDiv w:val="1"/>
      <w:marLeft w:val="0"/>
      <w:marRight w:val="0"/>
      <w:marTop w:val="0"/>
      <w:marBottom w:val="0"/>
      <w:divBdr>
        <w:top w:val="none" w:sz="0" w:space="0" w:color="auto"/>
        <w:left w:val="none" w:sz="0" w:space="0" w:color="auto"/>
        <w:bottom w:val="none" w:sz="0" w:space="0" w:color="auto"/>
        <w:right w:val="none" w:sz="0" w:space="0" w:color="auto"/>
      </w:divBdr>
    </w:div>
    <w:div w:id="810563713">
      <w:bodyDiv w:val="1"/>
      <w:marLeft w:val="0"/>
      <w:marRight w:val="0"/>
      <w:marTop w:val="0"/>
      <w:marBottom w:val="0"/>
      <w:divBdr>
        <w:top w:val="none" w:sz="0" w:space="0" w:color="auto"/>
        <w:left w:val="none" w:sz="0" w:space="0" w:color="auto"/>
        <w:bottom w:val="none" w:sz="0" w:space="0" w:color="auto"/>
        <w:right w:val="none" w:sz="0" w:space="0" w:color="auto"/>
      </w:divBdr>
    </w:div>
    <w:div w:id="810638825">
      <w:bodyDiv w:val="1"/>
      <w:marLeft w:val="0"/>
      <w:marRight w:val="0"/>
      <w:marTop w:val="0"/>
      <w:marBottom w:val="0"/>
      <w:divBdr>
        <w:top w:val="none" w:sz="0" w:space="0" w:color="auto"/>
        <w:left w:val="none" w:sz="0" w:space="0" w:color="auto"/>
        <w:bottom w:val="none" w:sz="0" w:space="0" w:color="auto"/>
        <w:right w:val="none" w:sz="0" w:space="0" w:color="auto"/>
      </w:divBdr>
    </w:div>
    <w:div w:id="810638965">
      <w:bodyDiv w:val="1"/>
      <w:marLeft w:val="0"/>
      <w:marRight w:val="0"/>
      <w:marTop w:val="0"/>
      <w:marBottom w:val="0"/>
      <w:divBdr>
        <w:top w:val="none" w:sz="0" w:space="0" w:color="auto"/>
        <w:left w:val="none" w:sz="0" w:space="0" w:color="auto"/>
        <w:bottom w:val="none" w:sz="0" w:space="0" w:color="auto"/>
        <w:right w:val="none" w:sz="0" w:space="0" w:color="auto"/>
      </w:divBdr>
    </w:div>
    <w:div w:id="810758067">
      <w:bodyDiv w:val="1"/>
      <w:marLeft w:val="0"/>
      <w:marRight w:val="0"/>
      <w:marTop w:val="0"/>
      <w:marBottom w:val="0"/>
      <w:divBdr>
        <w:top w:val="none" w:sz="0" w:space="0" w:color="auto"/>
        <w:left w:val="none" w:sz="0" w:space="0" w:color="auto"/>
        <w:bottom w:val="none" w:sz="0" w:space="0" w:color="auto"/>
        <w:right w:val="none" w:sz="0" w:space="0" w:color="auto"/>
      </w:divBdr>
    </w:div>
    <w:div w:id="810829604">
      <w:bodyDiv w:val="1"/>
      <w:marLeft w:val="0"/>
      <w:marRight w:val="0"/>
      <w:marTop w:val="0"/>
      <w:marBottom w:val="0"/>
      <w:divBdr>
        <w:top w:val="none" w:sz="0" w:space="0" w:color="auto"/>
        <w:left w:val="none" w:sz="0" w:space="0" w:color="auto"/>
        <w:bottom w:val="none" w:sz="0" w:space="0" w:color="auto"/>
        <w:right w:val="none" w:sz="0" w:space="0" w:color="auto"/>
      </w:divBdr>
    </w:div>
    <w:div w:id="810948621">
      <w:bodyDiv w:val="1"/>
      <w:marLeft w:val="0"/>
      <w:marRight w:val="0"/>
      <w:marTop w:val="0"/>
      <w:marBottom w:val="0"/>
      <w:divBdr>
        <w:top w:val="none" w:sz="0" w:space="0" w:color="auto"/>
        <w:left w:val="none" w:sz="0" w:space="0" w:color="auto"/>
        <w:bottom w:val="none" w:sz="0" w:space="0" w:color="auto"/>
        <w:right w:val="none" w:sz="0" w:space="0" w:color="auto"/>
      </w:divBdr>
    </w:div>
    <w:div w:id="811335710">
      <w:bodyDiv w:val="1"/>
      <w:marLeft w:val="0"/>
      <w:marRight w:val="0"/>
      <w:marTop w:val="0"/>
      <w:marBottom w:val="0"/>
      <w:divBdr>
        <w:top w:val="none" w:sz="0" w:space="0" w:color="auto"/>
        <w:left w:val="none" w:sz="0" w:space="0" w:color="auto"/>
        <w:bottom w:val="none" w:sz="0" w:space="0" w:color="auto"/>
        <w:right w:val="none" w:sz="0" w:space="0" w:color="auto"/>
      </w:divBdr>
    </w:div>
    <w:div w:id="811598464">
      <w:bodyDiv w:val="1"/>
      <w:marLeft w:val="0"/>
      <w:marRight w:val="0"/>
      <w:marTop w:val="0"/>
      <w:marBottom w:val="0"/>
      <w:divBdr>
        <w:top w:val="none" w:sz="0" w:space="0" w:color="auto"/>
        <w:left w:val="none" w:sz="0" w:space="0" w:color="auto"/>
        <w:bottom w:val="none" w:sz="0" w:space="0" w:color="auto"/>
        <w:right w:val="none" w:sz="0" w:space="0" w:color="auto"/>
      </w:divBdr>
    </w:div>
    <w:div w:id="811599184">
      <w:bodyDiv w:val="1"/>
      <w:marLeft w:val="0"/>
      <w:marRight w:val="0"/>
      <w:marTop w:val="0"/>
      <w:marBottom w:val="0"/>
      <w:divBdr>
        <w:top w:val="none" w:sz="0" w:space="0" w:color="auto"/>
        <w:left w:val="none" w:sz="0" w:space="0" w:color="auto"/>
        <w:bottom w:val="none" w:sz="0" w:space="0" w:color="auto"/>
        <w:right w:val="none" w:sz="0" w:space="0" w:color="auto"/>
      </w:divBdr>
    </w:div>
    <w:div w:id="811869758">
      <w:bodyDiv w:val="1"/>
      <w:marLeft w:val="0"/>
      <w:marRight w:val="0"/>
      <w:marTop w:val="0"/>
      <w:marBottom w:val="0"/>
      <w:divBdr>
        <w:top w:val="none" w:sz="0" w:space="0" w:color="auto"/>
        <w:left w:val="none" w:sz="0" w:space="0" w:color="auto"/>
        <w:bottom w:val="none" w:sz="0" w:space="0" w:color="auto"/>
        <w:right w:val="none" w:sz="0" w:space="0" w:color="auto"/>
      </w:divBdr>
    </w:div>
    <w:div w:id="812210331">
      <w:bodyDiv w:val="1"/>
      <w:marLeft w:val="0"/>
      <w:marRight w:val="0"/>
      <w:marTop w:val="0"/>
      <w:marBottom w:val="0"/>
      <w:divBdr>
        <w:top w:val="none" w:sz="0" w:space="0" w:color="auto"/>
        <w:left w:val="none" w:sz="0" w:space="0" w:color="auto"/>
        <w:bottom w:val="none" w:sz="0" w:space="0" w:color="auto"/>
        <w:right w:val="none" w:sz="0" w:space="0" w:color="auto"/>
      </w:divBdr>
    </w:div>
    <w:div w:id="812331161">
      <w:bodyDiv w:val="1"/>
      <w:marLeft w:val="0"/>
      <w:marRight w:val="0"/>
      <w:marTop w:val="0"/>
      <w:marBottom w:val="0"/>
      <w:divBdr>
        <w:top w:val="none" w:sz="0" w:space="0" w:color="auto"/>
        <w:left w:val="none" w:sz="0" w:space="0" w:color="auto"/>
        <w:bottom w:val="none" w:sz="0" w:space="0" w:color="auto"/>
        <w:right w:val="none" w:sz="0" w:space="0" w:color="auto"/>
      </w:divBdr>
    </w:div>
    <w:div w:id="812796224">
      <w:bodyDiv w:val="1"/>
      <w:marLeft w:val="0"/>
      <w:marRight w:val="0"/>
      <w:marTop w:val="0"/>
      <w:marBottom w:val="0"/>
      <w:divBdr>
        <w:top w:val="none" w:sz="0" w:space="0" w:color="auto"/>
        <w:left w:val="none" w:sz="0" w:space="0" w:color="auto"/>
        <w:bottom w:val="none" w:sz="0" w:space="0" w:color="auto"/>
        <w:right w:val="none" w:sz="0" w:space="0" w:color="auto"/>
      </w:divBdr>
    </w:div>
    <w:div w:id="813183188">
      <w:bodyDiv w:val="1"/>
      <w:marLeft w:val="0"/>
      <w:marRight w:val="0"/>
      <w:marTop w:val="0"/>
      <w:marBottom w:val="0"/>
      <w:divBdr>
        <w:top w:val="none" w:sz="0" w:space="0" w:color="auto"/>
        <w:left w:val="none" w:sz="0" w:space="0" w:color="auto"/>
        <w:bottom w:val="none" w:sz="0" w:space="0" w:color="auto"/>
        <w:right w:val="none" w:sz="0" w:space="0" w:color="auto"/>
      </w:divBdr>
    </w:div>
    <w:div w:id="813252382">
      <w:bodyDiv w:val="1"/>
      <w:marLeft w:val="0"/>
      <w:marRight w:val="0"/>
      <w:marTop w:val="0"/>
      <w:marBottom w:val="0"/>
      <w:divBdr>
        <w:top w:val="none" w:sz="0" w:space="0" w:color="auto"/>
        <w:left w:val="none" w:sz="0" w:space="0" w:color="auto"/>
        <w:bottom w:val="none" w:sz="0" w:space="0" w:color="auto"/>
        <w:right w:val="none" w:sz="0" w:space="0" w:color="auto"/>
      </w:divBdr>
    </w:div>
    <w:div w:id="813303865">
      <w:bodyDiv w:val="1"/>
      <w:marLeft w:val="0"/>
      <w:marRight w:val="0"/>
      <w:marTop w:val="0"/>
      <w:marBottom w:val="0"/>
      <w:divBdr>
        <w:top w:val="none" w:sz="0" w:space="0" w:color="auto"/>
        <w:left w:val="none" w:sz="0" w:space="0" w:color="auto"/>
        <w:bottom w:val="none" w:sz="0" w:space="0" w:color="auto"/>
        <w:right w:val="none" w:sz="0" w:space="0" w:color="auto"/>
      </w:divBdr>
    </w:div>
    <w:div w:id="813448037">
      <w:bodyDiv w:val="1"/>
      <w:marLeft w:val="0"/>
      <w:marRight w:val="0"/>
      <w:marTop w:val="0"/>
      <w:marBottom w:val="0"/>
      <w:divBdr>
        <w:top w:val="none" w:sz="0" w:space="0" w:color="auto"/>
        <w:left w:val="none" w:sz="0" w:space="0" w:color="auto"/>
        <w:bottom w:val="none" w:sz="0" w:space="0" w:color="auto"/>
        <w:right w:val="none" w:sz="0" w:space="0" w:color="auto"/>
      </w:divBdr>
    </w:div>
    <w:div w:id="813450560">
      <w:bodyDiv w:val="1"/>
      <w:marLeft w:val="0"/>
      <w:marRight w:val="0"/>
      <w:marTop w:val="0"/>
      <w:marBottom w:val="0"/>
      <w:divBdr>
        <w:top w:val="none" w:sz="0" w:space="0" w:color="auto"/>
        <w:left w:val="none" w:sz="0" w:space="0" w:color="auto"/>
        <w:bottom w:val="none" w:sz="0" w:space="0" w:color="auto"/>
        <w:right w:val="none" w:sz="0" w:space="0" w:color="auto"/>
      </w:divBdr>
    </w:div>
    <w:div w:id="813642413">
      <w:bodyDiv w:val="1"/>
      <w:marLeft w:val="0"/>
      <w:marRight w:val="0"/>
      <w:marTop w:val="0"/>
      <w:marBottom w:val="0"/>
      <w:divBdr>
        <w:top w:val="none" w:sz="0" w:space="0" w:color="auto"/>
        <w:left w:val="none" w:sz="0" w:space="0" w:color="auto"/>
        <w:bottom w:val="none" w:sz="0" w:space="0" w:color="auto"/>
        <w:right w:val="none" w:sz="0" w:space="0" w:color="auto"/>
      </w:divBdr>
    </w:div>
    <w:div w:id="813643344">
      <w:bodyDiv w:val="1"/>
      <w:marLeft w:val="0"/>
      <w:marRight w:val="0"/>
      <w:marTop w:val="0"/>
      <w:marBottom w:val="0"/>
      <w:divBdr>
        <w:top w:val="none" w:sz="0" w:space="0" w:color="auto"/>
        <w:left w:val="none" w:sz="0" w:space="0" w:color="auto"/>
        <w:bottom w:val="none" w:sz="0" w:space="0" w:color="auto"/>
        <w:right w:val="none" w:sz="0" w:space="0" w:color="auto"/>
      </w:divBdr>
    </w:div>
    <w:div w:id="813985356">
      <w:bodyDiv w:val="1"/>
      <w:marLeft w:val="0"/>
      <w:marRight w:val="0"/>
      <w:marTop w:val="0"/>
      <w:marBottom w:val="0"/>
      <w:divBdr>
        <w:top w:val="none" w:sz="0" w:space="0" w:color="auto"/>
        <w:left w:val="none" w:sz="0" w:space="0" w:color="auto"/>
        <w:bottom w:val="none" w:sz="0" w:space="0" w:color="auto"/>
        <w:right w:val="none" w:sz="0" w:space="0" w:color="auto"/>
      </w:divBdr>
    </w:div>
    <w:div w:id="814025187">
      <w:bodyDiv w:val="1"/>
      <w:marLeft w:val="0"/>
      <w:marRight w:val="0"/>
      <w:marTop w:val="0"/>
      <w:marBottom w:val="0"/>
      <w:divBdr>
        <w:top w:val="none" w:sz="0" w:space="0" w:color="auto"/>
        <w:left w:val="none" w:sz="0" w:space="0" w:color="auto"/>
        <w:bottom w:val="none" w:sz="0" w:space="0" w:color="auto"/>
        <w:right w:val="none" w:sz="0" w:space="0" w:color="auto"/>
      </w:divBdr>
    </w:div>
    <w:div w:id="814219322">
      <w:bodyDiv w:val="1"/>
      <w:marLeft w:val="0"/>
      <w:marRight w:val="0"/>
      <w:marTop w:val="0"/>
      <w:marBottom w:val="0"/>
      <w:divBdr>
        <w:top w:val="none" w:sz="0" w:space="0" w:color="auto"/>
        <w:left w:val="none" w:sz="0" w:space="0" w:color="auto"/>
        <w:bottom w:val="none" w:sz="0" w:space="0" w:color="auto"/>
        <w:right w:val="none" w:sz="0" w:space="0" w:color="auto"/>
      </w:divBdr>
    </w:div>
    <w:div w:id="814225425">
      <w:bodyDiv w:val="1"/>
      <w:marLeft w:val="0"/>
      <w:marRight w:val="0"/>
      <w:marTop w:val="0"/>
      <w:marBottom w:val="0"/>
      <w:divBdr>
        <w:top w:val="none" w:sz="0" w:space="0" w:color="auto"/>
        <w:left w:val="none" w:sz="0" w:space="0" w:color="auto"/>
        <w:bottom w:val="none" w:sz="0" w:space="0" w:color="auto"/>
        <w:right w:val="none" w:sz="0" w:space="0" w:color="auto"/>
      </w:divBdr>
    </w:div>
    <w:div w:id="814491608">
      <w:bodyDiv w:val="1"/>
      <w:marLeft w:val="0"/>
      <w:marRight w:val="0"/>
      <w:marTop w:val="0"/>
      <w:marBottom w:val="0"/>
      <w:divBdr>
        <w:top w:val="none" w:sz="0" w:space="0" w:color="auto"/>
        <w:left w:val="none" w:sz="0" w:space="0" w:color="auto"/>
        <w:bottom w:val="none" w:sz="0" w:space="0" w:color="auto"/>
        <w:right w:val="none" w:sz="0" w:space="0" w:color="auto"/>
      </w:divBdr>
    </w:div>
    <w:div w:id="814563269">
      <w:bodyDiv w:val="1"/>
      <w:marLeft w:val="0"/>
      <w:marRight w:val="0"/>
      <w:marTop w:val="0"/>
      <w:marBottom w:val="0"/>
      <w:divBdr>
        <w:top w:val="none" w:sz="0" w:space="0" w:color="auto"/>
        <w:left w:val="none" w:sz="0" w:space="0" w:color="auto"/>
        <w:bottom w:val="none" w:sz="0" w:space="0" w:color="auto"/>
        <w:right w:val="none" w:sz="0" w:space="0" w:color="auto"/>
      </w:divBdr>
    </w:div>
    <w:div w:id="814564726">
      <w:bodyDiv w:val="1"/>
      <w:marLeft w:val="0"/>
      <w:marRight w:val="0"/>
      <w:marTop w:val="0"/>
      <w:marBottom w:val="0"/>
      <w:divBdr>
        <w:top w:val="none" w:sz="0" w:space="0" w:color="auto"/>
        <w:left w:val="none" w:sz="0" w:space="0" w:color="auto"/>
        <w:bottom w:val="none" w:sz="0" w:space="0" w:color="auto"/>
        <w:right w:val="none" w:sz="0" w:space="0" w:color="auto"/>
      </w:divBdr>
    </w:div>
    <w:div w:id="814642742">
      <w:bodyDiv w:val="1"/>
      <w:marLeft w:val="0"/>
      <w:marRight w:val="0"/>
      <w:marTop w:val="0"/>
      <w:marBottom w:val="0"/>
      <w:divBdr>
        <w:top w:val="none" w:sz="0" w:space="0" w:color="auto"/>
        <w:left w:val="none" w:sz="0" w:space="0" w:color="auto"/>
        <w:bottom w:val="none" w:sz="0" w:space="0" w:color="auto"/>
        <w:right w:val="none" w:sz="0" w:space="0" w:color="auto"/>
      </w:divBdr>
    </w:div>
    <w:div w:id="814688659">
      <w:bodyDiv w:val="1"/>
      <w:marLeft w:val="0"/>
      <w:marRight w:val="0"/>
      <w:marTop w:val="0"/>
      <w:marBottom w:val="0"/>
      <w:divBdr>
        <w:top w:val="none" w:sz="0" w:space="0" w:color="auto"/>
        <w:left w:val="none" w:sz="0" w:space="0" w:color="auto"/>
        <w:bottom w:val="none" w:sz="0" w:space="0" w:color="auto"/>
        <w:right w:val="none" w:sz="0" w:space="0" w:color="auto"/>
      </w:divBdr>
    </w:div>
    <w:div w:id="814833991">
      <w:bodyDiv w:val="1"/>
      <w:marLeft w:val="0"/>
      <w:marRight w:val="0"/>
      <w:marTop w:val="0"/>
      <w:marBottom w:val="0"/>
      <w:divBdr>
        <w:top w:val="none" w:sz="0" w:space="0" w:color="auto"/>
        <w:left w:val="none" w:sz="0" w:space="0" w:color="auto"/>
        <w:bottom w:val="none" w:sz="0" w:space="0" w:color="auto"/>
        <w:right w:val="none" w:sz="0" w:space="0" w:color="auto"/>
      </w:divBdr>
    </w:div>
    <w:div w:id="814881562">
      <w:bodyDiv w:val="1"/>
      <w:marLeft w:val="0"/>
      <w:marRight w:val="0"/>
      <w:marTop w:val="0"/>
      <w:marBottom w:val="0"/>
      <w:divBdr>
        <w:top w:val="none" w:sz="0" w:space="0" w:color="auto"/>
        <w:left w:val="none" w:sz="0" w:space="0" w:color="auto"/>
        <w:bottom w:val="none" w:sz="0" w:space="0" w:color="auto"/>
        <w:right w:val="none" w:sz="0" w:space="0" w:color="auto"/>
      </w:divBdr>
    </w:div>
    <w:div w:id="815025561">
      <w:bodyDiv w:val="1"/>
      <w:marLeft w:val="0"/>
      <w:marRight w:val="0"/>
      <w:marTop w:val="0"/>
      <w:marBottom w:val="0"/>
      <w:divBdr>
        <w:top w:val="none" w:sz="0" w:space="0" w:color="auto"/>
        <w:left w:val="none" w:sz="0" w:space="0" w:color="auto"/>
        <w:bottom w:val="none" w:sz="0" w:space="0" w:color="auto"/>
        <w:right w:val="none" w:sz="0" w:space="0" w:color="auto"/>
      </w:divBdr>
    </w:div>
    <w:div w:id="815613317">
      <w:bodyDiv w:val="1"/>
      <w:marLeft w:val="0"/>
      <w:marRight w:val="0"/>
      <w:marTop w:val="0"/>
      <w:marBottom w:val="0"/>
      <w:divBdr>
        <w:top w:val="none" w:sz="0" w:space="0" w:color="auto"/>
        <w:left w:val="none" w:sz="0" w:space="0" w:color="auto"/>
        <w:bottom w:val="none" w:sz="0" w:space="0" w:color="auto"/>
        <w:right w:val="none" w:sz="0" w:space="0" w:color="auto"/>
      </w:divBdr>
    </w:div>
    <w:div w:id="815685133">
      <w:bodyDiv w:val="1"/>
      <w:marLeft w:val="0"/>
      <w:marRight w:val="0"/>
      <w:marTop w:val="0"/>
      <w:marBottom w:val="0"/>
      <w:divBdr>
        <w:top w:val="none" w:sz="0" w:space="0" w:color="auto"/>
        <w:left w:val="none" w:sz="0" w:space="0" w:color="auto"/>
        <w:bottom w:val="none" w:sz="0" w:space="0" w:color="auto"/>
        <w:right w:val="none" w:sz="0" w:space="0" w:color="auto"/>
      </w:divBdr>
    </w:div>
    <w:div w:id="815688309">
      <w:bodyDiv w:val="1"/>
      <w:marLeft w:val="0"/>
      <w:marRight w:val="0"/>
      <w:marTop w:val="0"/>
      <w:marBottom w:val="0"/>
      <w:divBdr>
        <w:top w:val="none" w:sz="0" w:space="0" w:color="auto"/>
        <w:left w:val="none" w:sz="0" w:space="0" w:color="auto"/>
        <w:bottom w:val="none" w:sz="0" w:space="0" w:color="auto"/>
        <w:right w:val="none" w:sz="0" w:space="0" w:color="auto"/>
      </w:divBdr>
    </w:div>
    <w:div w:id="816191019">
      <w:bodyDiv w:val="1"/>
      <w:marLeft w:val="0"/>
      <w:marRight w:val="0"/>
      <w:marTop w:val="0"/>
      <w:marBottom w:val="0"/>
      <w:divBdr>
        <w:top w:val="none" w:sz="0" w:space="0" w:color="auto"/>
        <w:left w:val="none" w:sz="0" w:space="0" w:color="auto"/>
        <w:bottom w:val="none" w:sz="0" w:space="0" w:color="auto"/>
        <w:right w:val="none" w:sz="0" w:space="0" w:color="auto"/>
      </w:divBdr>
    </w:div>
    <w:div w:id="816268580">
      <w:bodyDiv w:val="1"/>
      <w:marLeft w:val="0"/>
      <w:marRight w:val="0"/>
      <w:marTop w:val="0"/>
      <w:marBottom w:val="0"/>
      <w:divBdr>
        <w:top w:val="none" w:sz="0" w:space="0" w:color="auto"/>
        <w:left w:val="none" w:sz="0" w:space="0" w:color="auto"/>
        <w:bottom w:val="none" w:sz="0" w:space="0" w:color="auto"/>
        <w:right w:val="none" w:sz="0" w:space="0" w:color="auto"/>
      </w:divBdr>
    </w:div>
    <w:div w:id="816606602">
      <w:bodyDiv w:val="1"/>
      <w:marLeft w:val="0"/>
      <w:marRight w:val="0"/>
      <w:marTop w:val="0"/>
      <w:marBottom w:val="0"/>
      <w:divBdr>
        <w:top w:val="none" w:sz="0" w:space="0" w:color="auto"/>
        <w:left w:val="none" w:sz="0" w:space="0" w:color="auto"/>
        <w:bottom w:val="none" w:sz="0" w:space="0" w:color="auto"/>
        <w:right w:val="none" w:sz="0" w:space="0" w:color="auto"/>
      </w:divBdr>
    </w:div>
    <w:div w:id="816847064">
      <w:bodyDiv w:val="1"/>
      <w:marLeft w:val="0"/>
      <w:marRight w:val="0"/>
      <w:marTop w:val="0"/>
      <w:marBottom w:val="0"/>
      <w:divBdr>
        <w:top w:val="none" w:sz="0" w:space="0" w:color="auto"/>
        <w:left w:val="none" w:sz="0" w:space="0" w:color="auto"/>
        <w:bottom w:val="none" w:sz="0" w:space="0" w:color="auto"/>
        <w:right w:val="none" w:sz="0" w:space="0" w:color="auto"/>
      </w:divBdr>
    </w:div>
    <w:div w:id="816847711">
      <w:bodyDiv w:val="1"/>
      <w:marLeft w:val="0"/>
      <w:marRight w:val="0"/>
      <w:marTop w:val="0"/>
      <w:marBottom w:val="0"/>
      <w:divBdr>
        <w:top w:val="none" w:sz="0" w:space="0" w:color="auto"/>
        <w:left w:val="none" w:sz="0" w:space="0" w:color="auto"/>
        <w:bottom w:val="none" w:sz="0" w:space="0" w:color="auto"/>
        <w:right w:val="none" w:sz="0" w:space="0" w:color="auto"/>
      </w:divBdr>
    </w:div>
    <w:div w:id="816872693">
      <w:bodyDiv w:val="1"/>
      <w:marLeft w:val="0"/>
      <w:marRight w:val="0"/>
      <w:marTop w:val="0"/>
      <w:marBottom w:val="0"/>
      <w:divBdr>
        <w:top w:val="none" w:sz="0" w:space="0" w:color="auto"/>
        <w:left w:val="none" w:sz="0" w:space="0" w:color="auto"/>
        <w:bottom w:val="none" w:sz="0" w:space="0" w:color="auto"/>
        <w:right w:val="none" w:sz="0" w:space="0" w:color="auto"/>
      </w:divBdr>
    </w:div>
    <w:div w:id="817185605">
      <w:bodyDiv w:val="1"/>
      <w:marLeft w:val="0"/>
      <w:marRight w:val="0"/>
      <w:marTop w:val="0"/>
      <w:marBottom w:val="0"/>
      <w:divBdr>
        <w:top w:val="none" w:sz="0" w:space="0" w:color="auto"/>
        <w:left w:val="none" w:sz="0" w:space="0" w:color="auto"/>
        <w:bottom w:val="none" w:sz="0" w:space="0" w:color="auto"/>
        <w:right w:val="none" w:sz="0" w:space="0" w:color="auto"/>
      </w:divBdr>
    </w:div>
    <w:div w:id="817264739">
      <w:bodyDiv w:val="1"/>
      <w:marLeft w:val="0"/>
      <w:marRight w:val="0"/>
      <w:marTop w:val="0"/>
      <w:marBottom w:val="0"/>
      <w:divBdr>
        <w:top w:val="none" w:sz="0" w:space="0" w:color="auto"/>
        <w:left w:val="none" w:sz="0" w:space="0" w:color="auto"/>
        <w:bottom w:val="none" w:sz="0" w:space="0" w:color="auto"/>
        <w:right w:val="none" w:sz="0" w:space="0" w:color="auto"/>
      </w:divBdr>
    </w:div>
    <w:div w:id="817378316">
      <w:bodyDiv w:val="1"/>
      <w:marLeft w:val="0"/>
      <w:marRight w:val="0"/>
      <w:marTop w:val="0"/>
      <w:marBottom w:val="0"/>
      <w:divBdr>
        <w:top w:val="none" w:sz="0" w:space="0" w:color="auto"/>
        <w:left w:val="none" w:sz="0" w:space="0" w:color="auto"/>
        <w:bottom w:val="none" w:sz="0" w:space="0" w:color="auto"/>
        <w:right w:val="none" w:sz="0" w:space="0" w:color="auto"/>
      </w:divBdr>
    </w:div>
    <w:div w:id="817528261">
      <w:bodyDiv w:val="1"/>
      <w:marLeft w:val="0"/>
      <w:marRight w:val="0"/>
      <w:marTop w:val="0"/>
      <w:marBottom w:val="0"/>
      <w:divBdr>
        <w:top w:val="none" w:sz="0" w:space="0" w:color="auto"/>
        <w:left w:val="none" w:sz="0" w:space="0" w:color="auto"/>
        <w:bottom w:val="none" w:sz="0" w:space="0" w:color="auto"/>
        <w:right w:val="none" w:sz="0" w:space="0" w:color="auto"/>
      </w:divBdr>
    </w:div>
    <w:div w:id="817572634">
      <w:bodyDiv w:val="1"/>
      <w:marLeft w:val="0"/>
      <w:marRight w:val="0"/>
      <w:marTop w:val="0"/>
      <w:marBottom w:val="0"/>
      <w:divBdr>
        <w:top w:val="none" w:sz="0" w:space="0" w:color="auto"/>
        <w:left w:val="none" w:sz="0" w:space="0" w:color="auto"/>
        <w:bottom w:val="none" w:sz="0" w:space="0" w:color="auto"/>
        <w:right w:val="none" w:sz="0" w:space="0" w:color="auto"/>
      </w:divBdr>
    </w:div>
    <w:div w:id="817771732">
      <w:bodyDiv w:val="1"/>
      <w:marLeft w:val="0"/>
      <w:marRight w:val="0"/>
      <w:marTop w:val="0"/>
      <w:marBottom w:val="0"/>
      <w:divBdr>
        <w:top w:val="none" w:sz="0" w:space="0" w:color="auto"/>
        <w:left w:val="none" w:sz="0" w:space="0" w:color="auto"/>
        <w:bottom w:val="none" w:sz="0" w:space="0" w:color="auto"/>
        <w:right w:val="none" w:sz="0" w:space="0" w:color="auto"/>
      </w:divBdr>
    </w:div>
    <w:div w:id="818038328">
      <w:bodyDiv w:val="1"/>
      <w:marLeft w:val="0"/>
      <w:marRight w:val="0"/>
      <w:marTop w:val="0"/>
      <w:marBottom w:val="0"/>
      <w:divBdr>
        <w:top w:val="none" w:sz="0" w:space="0" w:color="auto"/>
        <w:left w:val="none" w:sz="0" w:space="0" w:color="auto"/>
        <w:bottom w:val="none" w:sz="0" w:space="0" w:color="auto"/>
        <w:right w:val="none" w:sz="0" w:space="0" w:color="auto"/>
      </w:divBdr>
    </w:div>
    <w:div w:id="818232940">
      <w:bodyDiv w:val="1"/>
      <w:marLeft w:val="0"/>
      <w:marRight w:val="0"/>
      <w:marTop w:val="0"/>
      <w:marBottom w:val="0"/>
      <w:divBdr>
        <w:top w:val="none" w:sz="0" w:space="0" w:color="auto"/>
        <w:left w:val="none" w:sz="0" w:space="0" w:color="auto"/>
        <w:bottom w:val="none" w:sz="0" w:space="0" w:color="auto"/>
        <w:right w:val="none" w:sz="0" w:space="0" w:color="auto"/>
      </w:divBdr>
    </w:div>
    <w:div w:id="818234241">
      <w:bodyDiv w:val="1"/>
      <w:marLeft w:val="0"/>
      <w:marRight w:val="0"/>
      <w:marTop w:val="0"/>
      <w:marBottom w:val="0"/>
      <w:divBdr>
        <w:top w:val="none" w:sz="0" w:space="0" w:color="auto"/>
        <w:left w:val="none" w:sz="0" w:space="0" w:color="auto"/>
        <w:bottom w:val="none" w:sz="0" w:space="0" w:color="auto"/>
        <w:right w:val="none" w:sz="0" w:space="0" w:color="auto"/>
      </w:divBdr>
    </w:div>
    <w:div w:id="818576108">
      <w:bodyDiv w:val="1"/>
      <w:marLeft w:val="0"/>
      <w:marRight w:val="0"/>
      <w:marTop w:val="0"/>
      <w:marBottom w:val="0"/>
      <w:divBdr>
        <w:top w:val="none" w:sz="0" w:space="0" w:color="auto"/>
        <w:left w:val="none" w:sz="0" w:space="0" w:color="auto"/>
        <w:bottom w:val="none" w:sz="0" w:space="0" w:color="auto"/>
        <w:right w:val="none" w:sz="0" w:space="0" w:color="auto"/>
      </w:divBdr>
    </w:div>
    <w:div w:id="818620878">
      <w:bodyDiv w:val="1"/>
      <w:marLeft w:val="0"/>
      <w:marRight w:val="0"/>
      <w:marTop w:val="0"/>
      <w:marBottom w:val="0"/>
      <w:divBdr>
        <w:top w:val="none" w:sz="0" w:space="0" w:color="auto"/>
        <w:left w:val="none" w:sz="0" w:space="0" w:color="auto"/>
        <w:bottom w:val="none" w:sz="0" w:space="0" w:color="auto"/>
        <w:right w:val="none" w:sz="0" w:space="0" w:color="auto"/>
      </w:divBdr>
    </w:div>
    <w:div w:id="818960589">
      <w:bodyDiv w:val="1"/>
      <w:marLeft w:val="0"/>
      <w:marRight w:val="0"/>
      <w:marTop w:val="0"/>
      <w:marBottom w:val="0"/>
      <w:divBdr>
        <w:top w:val="none" w:sz="0" w:space="0" w:color="auto"/>
        <w:left w:val="none" w:sz="0" w:space="0" w:color="auto"/>
        <w:bottom w:val="none" w:sz="0" w:space="0" w:color="auto"/>
        <w:right w:val="none" w:sz="0" w:space="0" w:color="auto"/>
      </w:divBdr>
    </w:div>
    <w:div w:id="819031319">
      <w:bodyDiv w:val="1"/>
      <w:marLeft w:val="0"/>
      <w:marRight w:val="0"/>
      <w:marTop w:val="0"/>
      <w:marBottom w:val="0"/>
      <w:divBdr>
        <w:top w:val="none" w:sz="0" w:space="0" w:color="auto"/>
        <w:left w:val="none" w:sz="0" w:space="0" w:color="auto"/>
        <w:bottom w:val="none" w:sz="0" w:space="0" w:color="auto"/>
        <w:right w:val="none" w:sz="0" w:space="0" w:color="auto"/>
      </w:divBdr>
    </w:div>
    <w:div w:id="819075867">
      <w:bodyDiv w:val="1"/>
      <w:marLeft w:val="0"/>
      <w:marRight w:val="0"/>
      <w:marTop w:val="0"/>
      <w:marBottom w:val="0"/>
      <w:divBdr>
        <w:top w:val="none" w:sz="0" w:space="0" w:color="auto"/>
        <w:left w:val="none" w:sz="0" w:space="0" w:color="auto"/>
        <w:bottom w:val="none" w:sz="0" w:space="0" w:color="auto"/>
        <w:right w:val="none" w:sz="0" w:space="0" w:color="auto"/>
      </w:divBdr>
    </w:div>
    <w:div w:id="819349830">
      <w:bodyDiv w:val="1"/>
      <w:marLeft w:val="0"/>
      <w:marRight w:val="0"/>
      <w:marTop w:val="0"/>
      <w:marBottom w:val="0"/>
      <w:divBdr>
        <w:top w:val="none" w:sz="0" w:space="0" w:color="auto"/>
        <w:left w:val="none" w:sz="0" w:space="0" w:color="auto"/>
        <w:bottom w:val="none" w:sz="0" w:space="0" w:color="auto"/>
        <w:right w:val="none" w:sz="0" w:space="0" w:color="auto"/>
      </w:divBdr>
    </w:div>
    <w:div w:id="819660607">
      <w:bodyDiv w:val="1"/>
      <w:marLeft w:val="0"/>
      <w:marRight w:val="0"/>
      <w:marTop w:val="0"/>
      <w:marBottom w:val="0"/>
      <w:divBdr>
        <w:top w:val="none" w:sz="0" w:space="0" w:color="auto"/>
        <w:left w:val="none" w:sz="0" w:space="0" w:color="auto"/>
        <w:bottom w:val="none" w:sz="0" w:space="0" w:color="auto"/>
        <w:right w:val="none" w:sz="0" w:space="0" w:color="auto"/>
      </w:divBdr>
    </w:div>
    <w:div w:id="819661328">
      <w:bodyDiv w:val="1"/>
      <w:marLeft w:val="0"/>
      <w:marRight w:val="0"/>
      <w:marTop w:val="0"/>
      <w:marBottom w:val="0"/>
      <w:divBdr>
        <w:top w:val="none" w:sz="0" w:space="0" w:color="auto"/>
        <w:left w:val="none" w:sz="0" w:space="0" w:color="auto"/>
        <w:bottom w:val="none" w:sz="0" w:space="0" w:color="auto"/>
        <w:right w:val="none" w:sz="0" w:space="0" w:color="auto"/>
      </w:divBdr>
    </w:div>
    <w:div w:id="819732932">
      <w:bodyDiv w:val="1"/>
      <w:marLeft w:val="0"/>
      <w:marRight w:val="0"/>
      <w:marTop w:val="0"/>
      <w:marBottom w:val="0"/>
      <w:divBdr>
        <w:top w:val="none" w:sz="0" w:space="0" w:color="auto"/>
        <w:left w:val="none" w:sz="0" w:space="0" w:color="auto"/>
        <w:bottom w:val="none" w:sz="0" w:space="0" w:color="auto"/>
        <w:right w:val="none" w:sz="0" w:space="0" w:color="auto"/>
      </w:divBdr>
    </w:div>
    <w:div w:id="819737470">
      <w:bodyDiv w:val="1"/>
      <w:marLeft w:val="0"/>
      <w:marRight w:val="0"/>
      <w:marTop w:val="0"/>
      <w:marBottom w:val="0"/>
      <w:divBdr>
        <w:top w:val="none" w:sz="0" w:space="0" w:color="auto"/>
        <w:left w:val="none" w:sz="0" w:space="0" w:color="auto"/>
        <w:bottom w:val="none" w:sz="0" w:space="0" w:color="auto"/>
        <w:right w:val="none" w:sz="0" w:space="0" w:color="auto"/>
      </w:divBdr>
    </w:div>
    <w:div w:id="819922872">
      <w:bodyDiv w:val="1"/>
      <w:marLeft w:val="0"/>
      <w:marRight w:val="0"/>
      <w:marTop w:val="0"/>
      <w:marBottom w:val="0"/>
      <w:divBdr>
        <w:top w:val="none" w:sz="0" w:space="0" w:color="auto"/>
        <w:left w:val="none" w:sz="0" w:space="0" w:color="auto"/>
        <w:bottom w:val="none" w:sz="0" w:space="0" w:color="auto"/>
        <w:right w:val="none" w:sz="0" w:space="0" w:color="auto"/>
      </w:divBdr>
    </w:div>
    <w:div w:id="819930589">
      <w:bodyDiv w:val="1"/>
      <w:marLeft w:val="0"/>
      <w:marRight w:val="0"/>
      <w:marTop w:val="0"/>
      <w:marBottom w:val="0"/>
      <w:divBdr>
        <w:top w:val="none" w:sz="0" w:space="0" w:color="auto"/>
        <w:left w:val="none" w:sz="0" w:space="0" w:color="auto"/>
        <w:bottom w:val="none" w:sz="0" w:space="0" w:color="auto"/>
        <w:right w:val="none" w:sz="0" w:space="0" w:color="auto"/>
      </w:divBdr>
    </w:div>
    <w:div w:id="820005317">
      <w:bodyDiv w:val="1"/>
      <w:marLeft w:val="0"/>
      <w:marRight w:val="0"/>
      <w:marTop w:val="0"/>
      <w:marBottom w:val="0"/>
      <w:divBdr>
        <w:top w:val="none" w:sz="0" w:space="0" w:color="auto"/>
        <w:left w:val="none" w:sz="0" w:space="0" w:color="auto"/>
        <w:bottom w:val="none" w:sz="0" w:space="0" w:color="auto"/>
        <w:right w:val="none" w:sz="0" w:space="0" w:color="auto"/>
      </w:divBdr>
    </w:div>
    <w:div w:id="820388715">
      <w:bodyDiv w:val="1"/>
      <w:marLeft w:val="0"/>
      <w:marRight w:val="0"/>
      <w:marTop w:val="0"/>
      <w:marBottom w:val="0"/>
      <w:divBdr>
        <w:top w:val="none" w:sz="0" w:space="0" w:color="auto"/>
        <w:left w:val="none" w:sz="0" w:space="0" w:color="auto"/>
        <w:bottom w:val="none" w:sz="0" w:space="0" w:color="auto"/>
        <w:right w:val="none" w:sz="0" w:space="0" w:color="auto"/>
      </w:divBdr>
    </w:div>
    <w:div w:id="820462798">
      <w:bodyDiv w:val="1"/>
      <w:marLeft w:val="0"/>
      <w:marRight w:val="0"/>
      <w:marTop w:val="0"/>
      <w:marBottom w:val="0"/>
      <w:divBdr>
        <w:top w:val="none" w:sz="0" w:space="0" w:color="auto"/>
        <w:left w:val="none" w:sz="0" w:space="0" w:color="auto"/>
        <w:bottom w:val="none" w:sz="0" w:space="0" w:color="auto"/>
        <w:right w:val="none" w:sz="0" w:space="0" w:color="auto"/>
      </w:divBdr>
    </w:div>
    <w:div w:id="820662354">
      <w:bodyDiv w:val="1"/>
      <w:marLeft w:val="0"/>
      <w:marRight w:val="0"/>
      <w:marTop w:val="0"/>
      <w:marBottom w:val="0"/>
      <w:divBdr>
        <w:top w:val="none" w:sz="0" w:space="0" w:color="auto"/>
        <w:left w:val="none" w:sz="0" w:space="0" w:color="auto"/>
        <w:bottom w:val="none" w:sz="0" w:space="0" w:color="auto"/>
        <w:right w:val="none" w:sz="0" w:space="0" w:color="auto"/>
      </w:divBdr>
    </w:div>
    <w:div w:id="820662527">
      <w:bodyDiv w:val="1"/>
      <w:marLeft w:val="0"/>
      <w:marRight w:val="0"/>
      <w:marTop w:val="0"/>
      <w:marBottom w:val="0"/>
      <w:divBdr>
        <w:top w:val="none" w:sz="0" w:space="0" w:color="auto"/>
        <w:left w:val="none" w:sz="0" w:space="0" w:color="auto"/>
        <w:bottom w:val="none" w:sz="0" w:space="0" w:color="auto"/>
        <w:right w:val="none" w:sz="0" w:space="0" w:color="auto"/>
      </w:divBdr>
    </w:div>
    <w:div w:id="820930070">
      <w:bodyDiv w:val="1"/>
      <w:marLeft w:val="0"/>
      <w:marRight w:val="0"/>
      <w:marTop w:val="0"/>
      <w:marBottom w:val="0"/>
      <w:divBdr>
        <w:top w:val="none" w:sz="0" w:space="0" w:color="auto"/>
        <w:left w:val="none" w:sz="0" w:space="0" w:color="auto"/>
        <w:bottom w:val="none" w:sz="0" w:space="0" w:color="auto"/>
        <w:right w:val="none" w:sz="0" w:space="0" w:color="auto"/>
      </w:divBdr>
    </w:div>
    <w:div w:id="821040732">
      <w:bodyDiv w:val="1"/>
      <w:marLeft w:val="0"/>
      <w:marRight w:val="0"/>
      <w:marTop w:val="0"/>
      <w:marBottom w:val="0"/>
      <w:divBdr>
        <w:top w:val="none" w:sz="0" w:space="0" w:color="auto"/>
        <w:left w:val="none" w:sz="0" w:space="0" w:color="auto"/>
        <w:bottom w:val="none" w:sz="0" w:space="0" w:color="auto"/>
        <w:right w:val="none" w:sz="0" w:space="0" w:color="auto"/>
      </w:divBdr>
    </w:div>
    <w:div w:id="821434699">
      <w:bodyDiv w:val="1"/>
      <w:marLeft w:val="0"/>
      <w:marRight w:val="0"/>
      <w:marTop w:val="0"/>
      <w:marBottom w:val="0"/>
      <w:divBdr>
        <w:top w:val="none" w:sz="0" w:space="0" w:color="auto"/>
        <w:left w:val="none" w:sz="0" w:space="0" w:color="auto"/>
        <w:bottom w:val="none" w:sz="0" w:space="0" w:color="auto"/>
        <w:right w:val="none" w:sz="0" w:space="0" w:color="auto"/>
      </w:divBdr>
    </w:div>
    <w:div w:id="821505609">
      <w:bodyDiv w:val="1"/>
      <w:marLeft w:val="0"/>
      <w:marRight w:val="0"/>
      <w:marTop w:val="0"/>
      <w:marBottom w:val="0"/>
      <w:divBdr>
        <w:top w:val="none" w:sz="0" w:space="0" w:color="auto"/>
        <w:left w:val="none" w:sz="0" w:space="0" w:color="auto"/>
        <w:bottom w:val="none" w:sz="0" w:space="0" w:color="auto"/>
        <w:right w:val="none" w:sz="0" w:space="0" w:color="auto"/>
      </w:divBdr>
    </w:div>
    <w:div w:id="821771672">
      <w:bodyDiv w:val="1"/>
      <w:marLeft w:val="0"/>
      <w:marRight w:val="0"/>
      <w:marTop w:val="0"/>
      <w:marBottom w:val="0"/>
      <w:divBdr>
        <w:top w:val="none" w:sz="0" w:space="0" w:color="auto"/>
        <w:left w:val="none" w:sz="0" w:space="0" w:color="auto"/>
        <w:bottom w:val="none" w:sz="0" w:space="0" w:color="auto"/>
        <w:right w:val="none" w:sz="0" w:space="0" w:color="auto"/>
      </w:divBdr>
    </w:div>
    <w:div w:id="822043516">
      <w:bodyDiv w:val="1"/>
      <w:marLeft w:val="0"/>
      <w:marRight w:val="0"/>
      <w:marTop w:val="0"/>
      <w:marBottom w:val="0"/>
      <w:divBdr>
        <w:top w:val="none" w:sz="0" w:space="0" w:color="auto"/>
        <w:left w:val="none" w:sz="0" w:space="0" w:color="auto"/>
        <w:bottom w:val="none" w:sz="0" w:space="0" w:color="auto"/>
        <w:right w:val="none" w:sz="0" w:space="0" w:color="auto"/>
      </w:divBdr>
    </w:div>
    <w:div w:id="822046759">
      <w:bodyDiv w:val="1"/>
      <w:marLeft w:val="0"/>
      <w:marRight w:val="0"/>
      <w:marTop w:val="0"/>
      <w:marBottom w:val="0"/>
      <w:divBdr>
        <w:top w:val="none" w:sz="0" w:space="0" w:color="auto"/>
        <w:left w:val="none" w:sz="0" w:space="0" w:color="auto"/>
        <w:bottom w:val="none" w:sz="0" w:space="0" w:color="auto"/>
        <w:right w:val="none" w:sz="0" w:space="0" w:color="auto"/>
      </w:divBdr>
    </w:div>
    <w:div w:id="822085709">
      <w:bodyDiv w:val="1"/>
      <w:marLeft w:val="0"/>
      <w:marRight w:val="0"/>
      <w:marTop w:val="0"/>
      <w:marBottom w:val="0"/>
      <w:divBdr>
        <w:top w:val="none" w:sz="0" w:space="0" w:color="auto"/>
        <w:left w:val="none" w:sz="0" w:space="0" w:color="auto"/>
        <w:bottom w:val="none" w:sz="0" w:space="0" w:color="auto"/>
        <w:right w:val="none" w:sz="0" w:space="0" w:color="auto"/>
      </w:divBdr>
    </w:div>
    <w:div w:id="822938706">
      <w:bodyDiv w:val="1"/>
      <w:marLeft w:val="0"/>
      <w:marRight w:val="0"/>
      <w:marTop w:val="0"/>
      <w:marBottom w:val="0"/>
      <w:divBdr>
        <w:top w:val="none" w:sz="0" w:space="0" w:color="auto"/>
        <w:left w:val="none" w:sz="0" w:space="0" w:color="auto"/>
        <w:bottom w:val="none" w:sz="0" w:space="0" w:color="auto"/>
        <w:right w:val="none" w:sz="0" w:space="0" w:color="auto"/>
      </w:divBdr>
    </w:div>
    <w:div w:id="823282118">
      <w:bodyDiv w:val="1"/>
      <w:marLeft w:val="0"/>
      <w:marRight w:val="0"/>
      <w:marTop w:val="0"/>
      <w:marBottom w:val="0"/>
      <w:divBdr>
        <w:top w:val="none" w:sz="0" w:space="0" w:color="auto"/>
        <w:left w:val="none" w:sz="0" w:space="0" w:color="auto"/>
        <w:bottom w:val="none" w:sz="0" w:space="0" w:color="auto"/>
        <w:right w:val="none" w:sz="0" w:space="0" w:color="auto"/>
      </w:divBdr>
    </w:div>
    <w:div w:id="823349608">
      <w:bodyDiv w:val="1"/>
      <w:marLeft w:val="0"/>
      <w:marRight w:val="0"/>
      <w:marTop w:val="0"/>
      <w:marBottom w:val="0"/>
      <w:divBdr>
        <w:top w:val="none" w:sz="0" w:space="0" w:color="auto"/>
        <w:left w:val="none" w:sz="0" w:space="0" w:color="auto"/>
        <w:bottom w:val="none" w:sz="0" w:space="0" w:color="auto"/>
        <w:right w:val="none" w:sz="0" w:space="0" w:color="auto"/>
      </w:divBdr>
    </w:div>
    <w:div w:id="823549179">
      <w:bodyDiv w:val="1"/>
      <w:marLeft w:val="0"/>
      <w:marRight w:val="0"/>
      <w:marTop w:val="0"/>
      <w:marBottom w:val="0"/>
      <w:divBdr>
        <w:top w:val="none" w:sz="0" w:space="0" w:color="auto"/>
        <w:left w:val="none" w:sz="0" w:space="0" w:color="auto"/>
        <w:bottom w:val="none" w:sz="0" w:space="0" w:color="auto"/>
        <w:right w:val="none" w:sz="0" w:space="0" w:color="auto"/>
      </w:divBdr>
    </w:div>
    <w:div w:id="823664385">
      <w:bodyDiv w:val="1"/>
      <w:marLeft w:val="0"/>
      <w:marRight w:val="0"/>
      <w:marTop w:val="0"/>
      <w:marBottom w:val="0"/>
      <w:divBdr>
        <w:top w:val="none" w:sz="0" w:space="0" w:color="auto"/>
        <w:left w:val="none" w:sz="0" w:space="0" w:color="auto"/>
        <w:bottom w:val="none" w:sz="0" w:space="0" w:color="auto"/>
        <w:right w:val="none" w:sz="0" w:space="0" w:color="auto"/>
      </w:divBdr>
    </w:div>
    <w:div w:id="823818605">
      <w:bodyDiv w:val="1"/>
      <w:marLeft w:val="0"/>
      <w:marRight w:val="0"/>
      <w:marTop w:val="0"/>
      <w:marBottom w:val="0"/>
      <w:divBdr>
        <w:top w:val="none" w:sz="0" w:space="0" w:color="auto"/>
        <w:left w:val="none" w:sz="0" w:space="0" w:color="auto"/>
        <w:bottom w:val="none" w:sz="0" w:space="0" w:color="auto"/>
        <w:right w:val="none" w:sz="0" w:space="0" w:color="auto"/>
      </w:divBdr>
    </w:div>
    <w:div w:id="824130820">
      <w:bodyDiv w:val="1"/>
      <w:marLeft w:val="0"/>
      <w:marRight w:val="0"/>
      <w:marTop w:val="0"/>
      <w:marBottom w:val="0"/>
      <w:divBdr>
        <w:top w:val="none" w:sz="0" w:space="0" w:color="auto"/>
        <w:left w:val="none" w:sz="0" w:space="0" w:color="auto"/>
        <w:bottom w:val="none" w:sz="0" w:space="0" w:color="auto"/>
        <w:right w:val="none" w:sz="0" w:space="0" w:color="auto"/>
      </w:divBdr>
    </w:div>
    <w:div w:id="824198875">
      <w:bodyDiv w:val="1"/>
      <w:marLeft w:val="0"/>
      <w:marRight w:val="0"/>
      <w:marTop w:val="0"/>
      <w:marBottom w:val="0"/>
      <w:divBdr>
        <w:top w:val="none" w:sz="0" w:space="0" w:color="auto"/>
        <w:left w:val="none" w:sz="0" w:space="0" w:color="auto"/>
        <w:bottom w:val="none" w:sz="0" w:space="0" w:color="auto"/>
        <w:right w:val="none" w:sz="0" w:space="0" w:color="auto"/>
      </w:divBdr>
    </w:div>
    <w:div w:id="824202347">
      <w:bodyDiv w:val="1"/>
      <w:marLeft w:val="0"/>
      <w:marRight w:val="0"/>
      <w:marTop w:val="0"/>
      <w:marBottom w:val="0"/>
      <w:divBdr>
        <w:top w:val="none" w:sz="0" w:space="0" w:color="auto"/>
        <w:left w:val="none" w:sz="0" w:space="0" w:color="auto"/>
        <w:bottom w:val="none" w:sz="0" w:space="0" w:color="auto"/>
        <w:right w:val="none" w:sz="0" w:space="0" w:color="auto"/>
      </w:divBdr>
    </w:div>
    <w:div w:id="824247621">
      <w:bodyDiv w:val="1"/>
      <w:marLeft w:val="0"/>
      <w:marRight w:val="0"/>
      <w:marTop w:val="0"/>
      <w:marBottom w:val="0"/>
      <w:divBdr>
        <w:top w:val="none" w:sz="0" w:space="0" w:color="auto"/>
        <w:left w:val="none" w:sz="0" w:space="0" w:color="auto"/>
        <w:bottom w:val="none" w:sz="0" w:space="0" w:color="auto"/>
        <w:right w:val="none" w:sz="0" w:space="0" w:color="auto"/>
      </w:divBdr>
    </w:div>
    <w:div w:id="824324669">
      <w:bodyDiv w:val="1"/>
      <w:marLeft w:val="0"/>
      <w:marRight w:val="0"/>
      <w:marTop w:val="0"/>
      <w:marBottom w:val="0"/>
      <w:divBdr>
        <w:top w:val="none" w:sz="0" w:space="0" w:color="auto"/>
        <w:left w:val="none" w:sz="0" w:space="0" w:color="auto"/>
        <w:bottom w:val="none" w:sz="0" w:space="0" w:color="auto"/>
        <w:right w:val="none" w:sz="0" w:space="0" w:color="auto"/>
      </w:divBdr>
    </w:div>
    <w:div w:id="824397249">
      <w:bodyDiv w:val="1"/>
      <w:marLeft w:val="0"/>
      <w:marRight w:val="0"/>
      <w:marTop w:val="0"/>
      <w:marBottom w:val="0"/>
      <w:divBdr>
        <w:top w:val="none" w:sz="0" w:space="0" w:color="auto"/>
        <w:left w:val="none" w:sz="0" w:space="0" w:color="auto"/>
        <w:bottom w:val="none" w:sz="0" w:space="0" w:color="auto"/>
        <w:right w:val="none" w:sz="0" w:space="0" w:color="auto"/>
      </w:divBdr>
    </w:div>
    <w:div w:id="824397494">
      <w:bodyDiv w:val="1"/>
      <w:marLeft w:val="0"/>
      <w:marRight w:val="0"/>
      <w:marTop w:val="0"/>
      <w:marBottom w:val="0"/>
      <w:divBdr>
        <w:top w:val="none" w:sz="0" w:space="0" w:color="auto"/>
        <w:left w:val="none" w:sz="0" w:space="0" w:color="auto"/>
        <w:bottom w:val="none" w:sz="0" w:space="0" w:color="auto"/>
        <w:right w:val="none" w:sz="0" w:space="0" w:color="auto"/>
      </w:divBdr>
    </w:div>
    <w:div w:id="824398348">
      <w:bodyDiv w:val="1"/>
      <w:marLeft w:val="0"/>
      <w:marRight w:val="0"/>
      <w:marTop w:val="0"/>
      <w:marBottom w:val="0"/>
      <w:divBdr>
        <w:top w:val="none" w:sz="0" w:space="0" w:color="auto"/>
        <w:left w:val="none" w:sz="0" w:space="0" w:color="auto"/>
        <w:bottom w:val="none" w:sz="0" w:space="0" w:color="auto"/>
        <w:right w:val="none" w:sz="0" w:space="0" w:color="auto"/>
      </w:divBdr>
    </w:div>
    <w:div w:id="824469653">
      <w:bodyDiv w:val="1"/>
      <w:marLeft w:val="0"/>
      <w:marRight w:val="0"/>
      <w:marTop w:val="0"/>
      <w:marBottom w:val="0"/>
      <w:divBdr>
        <w:top w:val="none" w:sz="0" w:space="0" w:color="auto"/>
        <w:left w:val="none" w:sz="0" w:space="0" w:color="auto"/>
        <w:bottom w:val="none" w:sz="0" w:space="0" w:color="auto"/>
        <w:right w:val="none" w:sz="0" w:space="0" w:color="auto"/>
      </w:divBdr>
    </w:div>
    <w:div w:id="824469910">
      <w:bodyDiv w:val="1"/>
      <w:marLeft w:val="0"/>
      <w:marRight w:val="0"/>
      <w:marTop w:val="0"/>
      <w:marBottom w:val="0"/>
      <w:divBdr>
        <w:top w:val="none" w:sz="0" w:space="0" w:color="auto"/>
        <w:left w:val="none" w:sz="0" w:space="0" w:color="auto"/>
        <w:bottom w:val="none" w:sz="0" w:space="0" w:color="auto"/>
        <w:right w:val="none" w:sz="0" w:space="0" w:color="auto"/>
      </w:divBdr>
    </w:div>
    <w:div w:id="824976394">
      <w:bodyDiv w:val="1"/>
      <w:marLeft w:val="0"/>
      <w:marRight w:val="0"/>
      <w:marTop w:val="0"/>
      <w:marBottom w:val="0"/>
      <w:divBdr>
        <w:top w:val="none" w:sz="0" w:space="0" w:color="auto"/>
        <w:left w:val="none" w:sz="0" w:space="0" w:color="auto"/>
        <w:bottom w:val="none" w:sz="0" w:space="0" w:color="auto"/>
        <w:right w:val="none" w:sz="0" w:space="0" w:color="auto"/>
      </w:divBdr>
    </w:div>
    <w:div w:id="825315198">
      <w:bodyDiv w:val="1"/>
      <w:marLeft w:val="0"/>
      <w:marRight w:val="0"/>
      <w:marTop w:val="0"/>
      <w:marBottom w:val="0"/>
      <w:divBdr>
        <w:top w:val="none" w:sz="0" w:space="0" w:color="auto"/>
        <w:left w:val="none" w:sz="0" w:space="0" w:color="auto"/>
        <w:bottom w:val="none" w:sz="0" w:space="0" w:color="auto"/>
        <w:right w:val="none" w:sz="0" w:space="0" w:color="auto"/>
      </w:divBdr>
    </w:div>
    <w:div w:id="825432921">
      <w:bodyDiv w:val="1"/>
      <w:marLeft w:val="0"/>
      <w:marRight w:val="0"/>
      <w:marTop w:val="0"/>
      <w:marBottom w:val="0"/>
      <w:divBdr>
        <w:top w:val="none" w:sz="0" w:space="0" w:color="auto"/>
        <w:left w:val="none" w:sz="0" w:space="0" w:color="auto"/>
        <w:bottom w:val="none" w:sz="0" w:space="0" w:color="auto"/>
        <w:right w:val="none" w:sz="0" w:space="0" w:color="auto"/>
      </w:divBdr>
    </w:div>
    <w:div w:id="825435959">
      <w:bodyDiv w:val="1"/>
      <w:marLeft w:val="0"/>
      <w:marRight w:val="0"/>
      <w:marTop w:val="0"/>
      <w:marBottom w:val="0"/>
      <w:divBdr>
        <w:top w:val="none" w:sz="0" w:space="0" w:color="auto"/>
        <w:left w:val="none" w:sz="0" w:space="0" w:color="auto"/>
        <w:bottom w:val="none" w:sz="0" w:space="0" w:color="auto"/>
        <w:right w:val="none" w:sz="0" w:space="0" w:color="auto"/>
      </w:divBdr>
    </w:div>
    <w:div w:id="825439594">
      <w:bodyDiv w:val="1"/>
      <w:marLeft w:val="0"/>
      <w:marRight w:val="0"/>
      <w:marTop w:val="0"/>
      <w:marBottom w:val="0"/>
      <w:divBdr>
        <w:top w:val="none" w:sz="0" w:space="0" w:color="auto"/>
        <w:left w:val="none" w:sz="0" w:space="0" w:color="auto"/>
        <w:bottom w:val="none" w:sz="0" w:space="0" w:color="auto"/>
        <w:right w:val="none" w:sz="0" w:space="0" w:color="auto"/>
      </w:divBdr>
    </w:div>
    <w:div w:id="825559305">
      <w:bodyDiv w:val="1"/>
      <w:marLeft w:val="0"/>
      <w:marRight w:val="0"/>
      <w:marTop w:val="0"/>
      <w:marBottom w:val="0"/>
      <w:divBdr>
        <w:top w:val="none" w:sz="0" w:space="0" w:color="auto"/>
        <w:left w:val="none" w:sz="0" w:space="0" w:color="auto"/>
        <w:bottom w:val="none" w:sz="0" w:space="0" w:color="auto"/>
        <w:right w:val="none" w:sz="0" w:space="0" w:color="auto"/>
      </w:divBdr>
    </w:div>
    <w:div w:id="825782519">
      <w:bodyDiv w:val="1"/>
      <w:marLeft w:val="0"/>
      <w:marRight w:val="0"/>
      <w:marTop w:val="0"/>
      <w:marBottom w:val="0"/>
      <w:divBdr>
        <w:top w:val="none" w:sz="0" w:space="0" w:color="auto"/>
        <w:left w:val="none" w:sz="0" w:space="0" w:color="auto"/>
        <w:bottom w:val="none" w:sz="0" w:space="0" w:color="auto"/>
        <w:right w:val="none" w:sz="0" w:space="0" w:color="auto"/>
      </w:divBdr>
    </w:div>
    <w:div w:id="825828451">
      <w:bodyDiv w:val="1"/>
      <w:marLeft w:val="0"/>
      <w:marRight w:val="0"/>
      <w:marTop w:val="0"/>
      <w:marBottom w:val="0"/>
      <w:divBdr>
        <w:top w:val="none" w:sz="0" w:space="0" w:color="auto"/>
        <w:left w:val="none" w:sz="0" w:space="0" w:color="auto"/>
        <w:bottom w:val="none" w:sz="0" w:space="0" w:color="auto"/>
        <w:right w:val="none" w:sz="0" w:space="0" w:color="auto"/>
      </w:divBdr>
      <w:divsChild>
        <w:div w:id="146552894">
          <w:marLeft w:val="0"/>
          <w:marRight w:val="0"/>
          <w:marTop w:val="0"/>
          <w:marBottom w:val="0"/>
          <w:divBdr>
            <w:top w:val="none" w:sz="0" w:space="0" w:color="auto"/>
            <w:left w:val="none" w:sz="0" w:space="0" w:color="auto"/>
            <w:bottom w:val="none" w:sz="0" w:space="0" w:color="auto"/>
            <w:right w:val="none" w:sz="0" w:space="0" w:color="auto"/>
          </w:divBdr>
        </w:div>
        <w:div w:id="173694458">
          <w:marLeft w:val="0"/>
          <w:marRight w:val="0"/>
          <w:marTop w:val="0"/>
          <w:marBottom w:val="0"/>
          <w:divBdr>
            <w:top w:val="none" w:sz="0" w:space="0" w:color="auto"/>
            <w:left w:val="none" w:sz="0" w:space="0" w:color="auto"/>
            <w:bottom w:val="none" w:sz="0" w:space="0" w:color="auto"/>
            <w:right w:val="none" w:sz="0" w:space="0" w:color="auto"/>
          </w:divBdr>
        </w:div>
        <w:div w:id="339086131">
          <w:marLeft w:val="0"/>
          <w:marRight w:val="0"/>
          <w:marTop w:val="0"/>
          <w:marBottom w:val="0"/>
          <w:divBdr>
            <w:top w:val="none" w:sz="0" w:space="0" w:color="auto"/>
            <w:left w:val="none" w:sz="0" w:space="0" w:color="auto"/>
            <w:bottom w:val="none" w:sz="0" w:space="0" w:color="auto"/>
            <w:right w:val="none" w:sz="0" w:space="0" w:color="auto"/>
          </w:divBdr>
        </w:div>
        <w:div w:id="340160856">
          <w:marLeft w:val="0"/>
          <w:marRight w:val="0"/>
          <w:marTop w:val="0"/>
          <w:marBottom w:val="0"/>
          <w:divBdr>
            <w:top w:val="none" w:sz="0" w:space="0" w:color="auto"/>
            <w:left w:val="none" w:sz="0" w:space="0" w:color="auto"/>
            <w:bottom w:val="none" w:sz="0" w:space="0" w:color="auto"/>
            <w:right w:val="none" w:sz="0" w:space="0" w:color="auto"/>
          </w:divBdr>
        </w:div>
        <w:div w:id="400248538">
          <w:marLeft w:val="0"/>
          <w:marRight w:val="0"/>
          <w:marTop w:val="0"/>
          <w:marBottom w:val="0"/>
          <w:divBdr>
            <w:top w:val="none" w:sz="0" w:space="0" w:color="auto"/>
            <w:left w:val="none" w:sz="0" w:space="0" w:color="auto"/>
            <w:bottom w:val="none" w:sz="0" w:space="0" w:color="auto"/>
            <w:right w:val="none" w:sz="0" w:space="0" w:color="auto"/>
          </w:divBdr>
        </w:div>
        <w:div w:id="445854478">
          <w:marLeft w:val="0"/>
          <w:marRight w:val="0"/>
          <w:marTop w:val="0"/>
          <w:marBottom w:val="0"/>
          <w:divBdr>
            <w:top w:val="none" w:sz="0" w:space="0" w:color="auto"/>
            <w:left w:val="none" w:sz="0" w:space="0" w:color="auto"/>
            <w:bottom w:val="none" w:sz="0" w:space="0" w:color="auto"/>
            <w:right w:val="none" w:sz="0" w:space="0" w:color="auto"/>
          </w:divBdr>
        </w:div>
        <w:div w:id="525797069">
          <w:marLeft w:val="0"/>
          <w:marRight w:val="0"/>
          <w:marTop w:val="0"/>
          <w:marBottom w:val="0"/>
          <w:divBdr>
            <w:top w:val="none" w:sz="0" w:space="0" w:color="auto"/>
            <w:left w:val="none" w:sz="0" w:space="0" w:color="auto"/>
            <w:bottom w:val="none" w:sz="0" w:space="0" w:color="auto"/>
            <w:right w:val="none" w:sz="0" w:space="0" w:color="auto"/>
          </w:divBdr>
        </w:div>
        <w:div w:id="565722066">
          <w:marLeft w:val="0"/>
          <w:marRight w:val="0"/>
          <w:marTop w:val="0"/>
          <w:marBottom w:val="0"/>
          <w:divBdr>
            <w:top w:val="none" w:sz="0" w:space="0" w:color="auto"/>
            <w:left w:val="none" w:sz="0" w:space="0" w:color="auto"/>
            <w:bottom w:val="none" w:sz="0" w:space="0" w:color="auto"/>
            <w:right w:val="none" w:sz="0" w:space="0" w:color="auto"/>
          </w:divBdr>
        </w:div>
        <w:div w:id="717583467">
          <w:marLeft w:val="0"/>
          <w:marRight w:val="0"/>
          <w:marTop w:val="0"/>
          <w:marBottom w:val="0"/>
          <w:divBdr>
            <w:top w:val="none" w:sz="0" w:space="0" w:color="auto"/>
            <w:left w:val="none" w:sz="0" w:space="0" w:color="auto"/>
            <w:bottom w:val="none" w:sz="0" w:space="0" w:color="auto"/>
            <w:right w:val="none" w:sz="0" w:space="0" w:color="auto"/>
          </w:divBdr>
        </w:div>
        <w:div w:id="808475598">
          <w:marLeft w:val="0"/>
          <w:marRight w:val="0"/>
          <w:marTop w:val="0"/>
          <w:marBottom w:val="0"/>
          <w:divBdr>
            <w:top w:val="none" w:sz="0" w:space="0" w:color="auto"/>
            <w:left w:val="none" w:sz="0" w:space="0" w:color="auto"/>
            <w:bottom w:val="none" w:sz="0" w:space="0" w:color="auto"/>
            <w:right w:val="none" w:sz="0" w:space="0" w:color="auto"/>
          </w:divBdr>
        </w:div>
        <w:div w:id="855771183">
          <w:marLeft w:val="0"/>
          <w:marRight w:val="0"/>
          <w:marTop w:val="0"/>
          <w:marBottom w:val="0"/>
          <w:divBdr>
            <w:top w:val="none" w:sz="0" w:space="0" w:color="auto"/>
            <w:left w:val="none" w:sz="0" w:space="0" w:color="auto"/>
            <w:bottom w:val="none" w:sz="0" w:space="0" w:color="auto"/>
            <w:right w:val="none" w:sz="0" w:space="0" w:color="auto"/>
          </w:divBdr>
        </w:div>
        <w:div w:id="1008093598">
          <w:marLeft w:val="0"/>
          <w:marRight w:val="0"/>
          <w:marTop w:val="0"/>
          <w:marBottom w:val="0"/>
          <w:divBdr>
            <w:top w:val="none" w:sz="0" w:space="0" w:color="auto"/>
            <w:left w:val="none" w:sz="0" w:space="0" w:color="auto"/>
            <w:bottom w:val="none" w:sz="0" w:space="0" w:color="auto"/>
            <w:right w:val="none" w:sz="0" w:space="0" w:color="auto"/>
          </w:divBdr>
        </w:div>
        <w:div w:id="1009333987">
          <w:marLeft w:val="0"/>
          <w:marRight w:val="0"/>
          <w:marTop w:val="0"/>
          <w:marBottom w:val="0"/>
          <w:divBdr>
            <w:top w:val="none" w:sz="0" w:space="0" w:color="auto"/>
            <w:left w:val="none" w:sz="0" w:space="0" w:color="auto"/>
            <w:bottom w:val="none" w:sz="0" w:space="0" w:color="auto"/>
            <w:right w:val="none" w:sz="0" w:space="0" w:color="auto"/>
          </w:divBdr>
        </w:div>
        <w:div w:id="1071268260">
          <w:marLeft w:val="0"/>
          <w:marRight w:val="0"/>
          <w:marTop w:val="0"/>
          <w:marBottom w:val="0"/>
          <w:divBdr>
            <w:top w:val="none" w:sz="0" w:space="0" w:color="auto"/>
            <w:left w:val="none" w:sz="0" w:space="0" w:color="auto"/>
            <w:bottom w:val="none" w:sz="0" w:space="0" w:color="auto"/>
            <w:right w:val="none" w:sz="0" w:space="0" w:color="auto"/>
          </w:divBdr>
        </w:div>
        <w:div w:id="1085762406">
          <w:marLeft w:val="0"/>
          <w:marRight w:val="0"/>
          <w:marTop w:val="0"/>
          <w:marBottom w:val="0"/>
          <w:divBdr>
            <w:top w:val="none" w:sz="0" w:space="0" w:color="auto"/>
            <w:left w:val="none" w:sz="0" w:space="0" w:color="auto"/>
            <w:bottom w:val="none" w:sz="0" w:space="0" w:color="auto"/>
            <w:right w:val="none" w:sz="0" w:space="0" w:color="auto"/>
          </w:divBdr>
        </w:div>
        <w:div w:id="1093210126">
          <w:marLeft w:val="0"/>
          <w:marRight w:val="0"/>
          <w:marTop w:val="0"/>
          <w:marBottom w:val="0"/>
          <w:divBdr>
            <w:top w:val="none" w:sz="0" w:space="0" w:color="auto"/>
            <w:left w:val="none" w:sz="0" w:space="0" w:color="auto"/>
            <w:bottom w:val="none" w:sz="0" w:space="0" w:color="auto"/>
            <w:right w:val="none" w:sz="0" w:space="0" w:color="auto"/>
          </w:divBdr>
        </w:div>
        <w:div w:id="1110971345">
          <w:marLeft w:val="0"/>
          <w:marRight w:val="0"/>
          <w:marTop w:val="0"/>
          <w:marBottom w:val="0"/>
          <w:divBdr>
            <w:top w:val="none" w:sz="0" w:space="0" w:color="auto"/>
            <w:left w:val="none" w:sz="0" w:space="0" w:color="auto"/>
            <w:bottom w:val="none" w:sz="0" w:space="0" w:color="auto"/>
            <w:right w:val="none" w:sz="0" w:space="0" w:color="auto"/>
          </w:divBdr>
        </w:div>
        <w:div w:id="1143308226">
          <w:marLeft w:val="0"/>
          <w:marRight w:val="0"/>
          <w:marTop w:val="0"/>
          <w:marBottom w:val="0"/>
          <w:divBdr>
            <w:top w:val="none" w:sz="0" w:space="0" w:color="auto"/>
            <w:left w:val="none" w:sz="0" w:space="0" w:color="auto"/>
            <w:bottom w:val="none" w:sz="0" w:space="0" w:color="auto"/>
            <w:right w:val="none" w:sz="0" w:space="0" w:color="auto"/>
          </w:divBdr>
        </w:div>
        <w:div w:id="1187674621">
          <w:marLeft w:val="0"/>
          <w:marRight w:val="0"/>
          <w:marTop w:val="0"/>
          <w:marBottom w:val="0"/>
          <w:divBdr>
            <w:top w:val="none" w:sz="0" w:space="0" w:color="auto"/>
            <w:left w:val="none" w:sz="0" w:space="0" w:color="auto"/>
            <w:bottom w:val="none" w:sz="0" w:space="0" w:color="auto"/>
            <w:right w:val="none" w:sz="0" w:space="0" w:color="auto"/>
          </w:divBdr>
        </w:div>
        <w:div w:id="1409227531">
          <w:marLeft w:val="0"/>
          <w:marRight w:val="0"/>
          <w:marTop w:val="0"/>
          <w:marBottom w:val="0"/>
          <w:divBdr>
            <w:top w:val="none" w:sz="0" w:space="0" w:color="auto"/>
            <w:left w:val="none" w:sz="0" w:space="0" w:color="auto"/>
            <w:bottom w:val="none" w:sz="0" w:space="0" w:color="auto"/>
            <w:right w:val="none" w:sz="0" w:space="0" w:color="auto"/>
          </w:divBdr>
        </w:div>
        <w:div w:id="1491019189">
          <w:marLeft w:val="0"/>
          <w:marRight w:val="0"/>
          <w:marTop w:val="0"/>
          <w:marBottom w:val="0"/>
          <w:divBdr>
            <w:top w:val="none" w:sz="0" w:space="0" w:color="auto"/>
            <w:left w:val="none" w:sz="0" w:space="0" w:color="auto"/>
            <w:bottom w:val="none" w:sz="0" w:space="0" w:color="auto"/>
            <w:right w:val="none" w:sz="0" w:space="0" w:color="auto"/>
          </w:divBdr>
        </w:div>
        <w:div w:id="1496337150">
          <w:marLeft w:val="0"/>
          <w:marRight w:val="0"/>
          <w:marTop w:val="0"/>
          <w:marBottom w:val="0"/>
          <w:divBdr>
            <w:top w:val="none" w:sz="0" w:space="0" w:color="auto"/>
            <w:left w:val="none" w:sz="0" w:space="0" w:color="auto"/>
            <w:bottom w:val="none" w:sz="0" w:space="0" w:color="auto"/>
            <w:right w:val="none" w:sz="0" w:space="0" w:color="auto"/>
          </w:divBdr>
        </w:div>
        <w:div w:id="1626816386">
          <w:marLeft w:val="0"/>
          <w:marRight w:val="0"/>
          <w:marTop w:val="0"/>
          <w:marBottom w:val="0"/>
          <w:divBdr>
            <w:top w:val="none" w:sz="0" w:space="0" w:color="auto"/>
            <w:left w:val="none" w:sz="0" w:space="0" w:color="auto"/>
            <w:bottom w:val="none" w:sz="0" w:space="0" w:color="auto"/>
            <w:right w:val="none" w:sz="0" w:space="0" w:color="auto"/>
          </w:divBdr>
        </w:div>
        <w:div w:id="1648318589">
          <w:marLeft w:val="0"/>
          <w:marRight w:val="0"/>
          <w:marTop w:val="0"/>
          <w:marBottom w:val="0"/>
          <w:divBdr>
            <w:top w:val="none" w:sz="0" w:space="0" w:color="auto"/>
            <w:left w:val="none" w:sz="0" w:space="0" w:color="auto"/>
            <w:bottom w:val="none" w:sz="0" w:space="0" w:color="auto"/>
            <w:right w:val="none" w:sz="0" w:space="0" w:color="auto"/>
          </w:divBdr>
        </w:div>
        <w:div w:id="1788771784">
          <w:marLeft w:val="0"/>
          <w:marRight w:val="0"/>
          <w:marTop w:val="0"/>
          <w:marBottom w:val="0"/>
          <w:divBdr>
            <w:top w:val="none" w:sz="0" w:space="0" w:color="auto"/>
            <w:left w:val="none" w:sz="0" w:space="0" w:color="auto"/>
            <w:bottom w:val="none" w:sz="0" w:space="0" w:color="auto"/>
            <w:right w:val="none" w:sz="0" w:space="0" w:color="auto"/>
          </w:divBdr>
        </w:div>
        <w:div w:id="1891771800">
          <w:marLeft w:val="0"/>
          <w:marRight w:val="0"/>
          <w:marTop w:val="0"/>
          <w:marBottom w:val="0"/>
          <w:divBdr>
            <w:top w:val="none" w:sz="0" w:space="0" w:color="auto"/>
            <w:left w:val="none" w:sz="0" w:space="0" w:color="auto"/>
            <w:bottom w:val="none" w:sz="0" w:space="0" w:color="auto"/>
            <w:right w:val="none" w:sz="0" w:space="0" w:color="auto"/>
          </w:divBdr>
        </w:div>
        <w:div w:id="1912619729">
          <w:marLeft w:val="0"/>
          <w:marRight w:val="0"/>
          <w:marTop w:val="0"/>
          <w:marBottom w:val="0"/>
          <w:divBdr>
            <w:top w:val="none" w:sz="0" w:space="0" w:color="auto"/>
            <w:left w:val="none" w:sz="0" w:space="0" w:color="auto"/>
            <w:bottom w:val="none" w:sz="0" w:space="0" w:color="auto"/>
            <w:right w:val="none" w:sz="0" w:space="0" w:color="auto"/>
          </w:divBdr>
        </w:div>
        <w:div w:id="1918977141">
          <w:marLeft w:val="0"/>
          <w:marRight w:val="0"/>
          <w:marTop w:val="0"/>
          <w:marBottom w:val="0"/>
          <w:divBdr>
            <w:top w:val="none" w:sz="0" w:space="0" w:color="auto"/>
            <w:left w:val="none" w:sz="0" w:space="0" w:color="auto"/>
            <w:bottom w:val="none" w:sz="0" w:space="0" w:color="auto"/>
            <w:right w:val="none" w:sz="0" w:space="0" w:color="auto"/>
          </w:divBdr>
        </w:div>
        <w:div w:id="1939680693">
          <w:marLeft w:val="0"/>
          <w:marRight w:val="0"/>
          <w:marTop w:val="0"/>
          <w:marBottom w:val="0"/>
          <w:divBdr>
            <w:top w:val="none" w:sz="0" w:space="0" w:color="auto"/>
            <w:left w:val="none" w:sz="0" w:space="0" w:color="auto"/>
            <w:bottom w:val="none" w:sz="0" w:space="0" w:color="auto"/>
            <w:right w:val="none" w:sz="0" w:space="0" w:color="auto"/>
          </w:divBdr>
        </w:div>
        <w:div w:id="2009669103">
          <w:marLeft w:val="0"/>
          <w:marRight w:val="0"/>
          <w:marTop w:val="0"/>
          <w:marBottom w:val="0"/>
          <w:divBdr>
            <w:top w:val="none" w:sz="0" w:space="0" w:color="auto"/>
            <w:left w:val="none" w:sz="0" w:space="0" w:color="auto"/>
            <w:bottom w:val="none" w:sz="0" w:space="0" w:color="auto"/>
            <w:right w:val="none" w:sz="0" w:space="0" w:color="auto"/>
          </w:divBdr>
        </w:div>
        <w:div w:id="2077050669">
          <w:marLeft w:val="0"/>
          <w:marRight w:val="0"/>
          <w:marTop w:val="0"/>
          <w:marBottom w:val="0"/>
          <w:divBdr>
            <w:top w:val="none" w:sz="0" w:space="0" w:color="auto"/>
            <w:left w:val="none" w:sz="0" w:space="0" w:color="auto"/>
            <w:bottom w:val="none" w:sz="0" w:space="0" w:color="auto"/>
            <w:right w:val="none" w:sz="0" w:space="0" w:color="auto"/>
          </w:divBdr>
        </w:div>
        <w:div w:id="2088725786">
          <w:marLeft w:val="0"/>
          <w:marRight w:val="0"/>
          <w:marTop w:val="0"/>
          <w:marBottom w:val="0"/>
          <w:divBdr>
            <w:top w:val="none" w:sz="0" w:space="0" w:color="auto"/>
            <w:left w:val="none" w:sz="0" w:space="0" w:color="auto"/>
            <w:bottom w:val="none" w:sz="0" w:space="0" w:color="auto"/>
            <w:right w:val="none" w:sz="0" w:space="0" w:color="auto"/>
          </w:divBdr>
        </w:div>
      </w:divsChild>
    </w:div>
    <w:div w:id="826020245">
      <w:bodyDiv w:val="1"/>
      <w:marLeft w:val="0"/>
      <w:marRight w:val="0"/>
      <w:marTop w:val="0"/>
      <w:marBottom w:val="0"/>
      <w:divBdr>
        <w:top w:val="none" w:sz="0" w:space="0" w:color="auto"/>
        <w:left w:val="none" w:sz="0" w:space="0" w:color="auto"/>
        <w:bottom w:val="none" w:sz="0" w:space="0" w:color="auto"/>
        <w:right w:val="none" w:sz="0" w:space="0" w:color="auto"/>
      </w:divBdr>
    </w:div>
    <w:div w:id="826097176">
      <w:bodyDiv w:val="1"/>
      <w:marLeft w:val="0"/>
      <w:marRight w:val="0"/>
      <w:marTop w:val="0"/>
      <w:marBottom w:val="0"/>
      <w:divBdr>
        <w:top w:val="none" w:sz="0" w:space="0" w:color="auto"/>
        <w:left w:val="none" w:sz="0" w:space="0" w:color="auto"/>
        <w:bottom w:val="none" w:sz="0" w:space="0" w:color="auto"/>
        <w:right w:val="none" w:sz="0" w:space="0" w:color="auto"/>
      </w:divBdr>
    </w:div>
    <w:div w:id="826287106">
      <w:bodyDiv w:val="1"/>
      <w:marLeft w:val="0"/>
      <w:marRight w:val="0"/>
      <w:marTop w:val="0"/>
      <w:marBottom w:val="0"/>
      <w:divBdr>
        <w:top w:val="none" w:sz="0" w:space="0" w:color="auto"/>
        <w:left w:val="none" w:sz="0" w:space="0" w:color="auto"/>
        <w:bottom w:val="none" w:sz="0" w:space="0" w:color="auto"/>
        <w:right w:val="none" w:sz="0" w:space="0" w:color="auto"/>
      </w:divBdr>
    </w:div>
    <w:div w:id="826290381">
      <w:bodyDiv w:val="1"/>
      <w:marLeft w:val="0"/>
      <w:marRight w:val="0"/>
      <w:marTop w:val="0"/>
      <w:marBottom w:val="0"/>
      <w:divBdr>
        <w:top w:val="none" w:sz="0" w:space="0" w:color="auto"/>
        <w:left w:val="none" w:sz="0" w:space="0" w:color="auto"/>
        <w:bottom w:val="none" w:sz="0" w:space="0" w:color="auto"/>
        <w:right w:val="none" w:sz="0" w:space="0" w:color="auto"/>
      </w:divBdr>
    </w:div>
    <w:div w:id="826359705">
      <w:bodyDiv w:val="1"/>
      <w:marLeft w:val="0"/>
      <w:marRight w:val="0"/>
      <w:marTop w:val="0"/>
      <w:marBottom w:val="0"/>
      <w:divBdr>
        <w:top w:val="none" w:sz="0" w:space="0" w:color="auto"/>
        <w:left w:val="none" w:sz="0" w:space="0" w:color="auto"/>
        <w:bottom w:val="none" w:sz="0" w:space="0" w:color="auto"/>
        <w:right w:val="none" w:sz="0" w:space="0" w:color="auto"/>
      </w:divBdr>
    </w:div>
    <w:div w:id="826360469">
      <w:bodyDiv w:val="1"/>
      <w:marLeft w:val="0"/>
      <w:marRight w:val="0"/>
      <w:marTop w:val="0"/>
      <w:marBottom w:val="0"/>
      <w:divBdr>
        <w:top w:val="none" w:sz="0" w:space="0" w:color="auto"/>
        <w:left w:val="none" w:sz="0" w:space="0" w:color="auto"/>
        <w:bottom w:val="none" w:sz="0" w:space="0" w:color="auto"/>
        <w:right w:val="none" w:sz="0" w:space="0" w:color="auto"/>
      </w:divBdr>
    </w:div>
    <w:div w:id="826435846">
      <w:bodyDiv w:val="1"/>
      <w:marLeft w:val="0"/>
      <w:marRight w:val="0"/>
      <w:marTop w:val="0"/>
      <w:marBottom w:val="0"/>
      <w:divBdr>
        <w:top w:val="none" w:sz="0" w:space="0" w:color="auto"/>
        <w:left w:val="none" w:sz="0" w:space="0" w:color="auto"/>
        <w:bottom w:val="none" w:sz="0" w:space="0" w:color="auto"/>
        <w:right w:val="none" w:sz="0" w:space="0" w:color="auto"/>
      </w:divBdr>
    </w:div>
    <w:div w:id="826702477">
      <w:bodyDiv w:val="1"/>
      <w:marLeft w:val="0"/>
      <w:marRight w:val="0"/>
      <w:marTop w:val="0"/>
      <w:marBottom w:val="0"/>
      <w:divBdr>
        <w:top w:val="none" w:sz="0" w:space="0" w:color="auto"/>
        <w:left w:val="none" w:sz="0" w:space="0" w:color="auto"/>
        <w:bottom w:val="none" w:sz="0" w:space="0" w:color="auto"/>
        <w:right w:val="none" w:sz="0" w:space="0" w:color="auto"/>
      </w:divBdr>
    </w:div>
    <w:div w:id="826751102">
      <w:bodyDiv w:val="1"/>
      <w:marLeft w:val="0"/>
      <w:marRight w:val="0"/>
      <w:marTop w:val="0"/>
      <w:marBottom w:val="0"/>
      <w:divBdr>
        <w:top w:val="none" w:sz="0" w:space="0" w:color="auto"/>
        <w:left w:val="none" w:sz="0" w:space="0" w:color="auto"/>
        <w:bottom w:val="none" w:sz="0" w:space="0" w:color="auto"/>
        <w:right w:val="none" w:sz="0" w:space="0" w:color="auto"/>
      </w:divBdr>
    </w:div>
    <w:div w:id="826897780">
      <w:bodyDiv w:val="1"/>
      <w:marLeft w:val="0"/>
      <w:marRight w:val="0"/>
      <w:marTop w:val="0"/>
      <w:marBottom w:val="0"/>
      <w:divBdr>
        <w:top w:val="none" w:sz="0" w:space="0" w:color="auto"/>
        <w:left w:val="none" w:sz="0" w:space="0" w:color="auto"/>
        <w:bottom w:val="none" w:sz="0" w:space="0" w:color="auto"/>
        <w:right w:val="none" w:sz="0" w:space="0" w:color="auto"/>
      </w:divBdr>
    </w:div>
    <w:div w:id="827014995">
      <w:bodyDiv w:val="1"/>
      <w:marLeft w:val="0"/>
      <w:marRight w:val="0"/>
      <w:marTop w:val="0"/>
      <w:marBottom w:val="0"/>
      <w:divBdr>
        <w:top w:val="none" w:sz="0" w:space="0" w:color="auto"/>
        <w:left w:val="none" w:sz="0" w:space="0" w:color="auto"/>
        <w:bottom w:val="none" w:sz="0" w:space="0" w:color="auto"/>
        <w:right w:val="none" w:sz="0" w:space="0" w:color="auto"/>
      </w:divBdr>
    </w:div>
    <w:div w:id="827088535">
      <w:bodyDiv w:val="1"/>
      <w:marLeft w:val="0"/>
      <w:marRight w:val="0"/>
      <w:marTop w:val="0"/>
      <w:marBottom w:val="0"/>
      <w:divBdr>
        <w:top w:val="none" w:sz="0" w:space="0" w:color="auto"/>
        <w:left w:val="none" w:sz="0" w:space="0" w:color="auto"/>
        <w:bottom w:val="none" w:sz="0" w:space="0" w:color="auto"/>
        <w:right w:val="none" w:sz="0" w:space="0" w:color="auto"/>
      </w:divBdr>
    </w:div>
    <w:div w:id="827131813">
      <w:bodyDiv w:val="1"/>
      <w:marLeft w:val="0"/>
      <w:marRight w:val="0"/>
      <w:marTop w:val="0"/>
      <w:marBottom w:val="0"/>
      <w:divBdr>
        <w:top w:val="none" w:sz="0" w:space="0" w:color="auto"/>
        <w:left w:val="none" w:sz="0" w:space="0" w:color="auto"/>
        <w:bottom w:val="none" w:sz="0" w:space="0" w:color="auto"/>
        <w:right w:val="none" w:sz="0" w:space="0" w:color="auto"/>
      </w:divBdr>
    </w:div>
    <w:div w:id="827401053">
      <w:bodyDiv w:val="1"/>
      <w:marLeft w:val="0"/>
      <w:marRight w:val="0"/>
      <w:marTop w:val="0"/>
      <w:marBottom w:val="0"/>
      <w:divBdr>
        <w:top w:val="none" w:sz="0" w:space="0" w:color="auto"/>
        <w:left w:val="none" w:sz="0" w:space="0" w:color="auto"/>
        <w:bottom w:val="none" w:sz="0" w:space="0" w:color="auto"/>
        <w:right w:val="none" w:sz="0" w:space="0" w:color="auto"/>
      </w:divBdr>
    </w:div>
    <w:div w:id="827404629">
      <w:bodyDiv w:val="1"/>
      <w:marLeft w:val="0"/>
      <w:marRight w:val="0"/>
      <w:marTop w:val="0"/>
      <w:marBottom w:val="0"/>
      <w:divBdr>
        <w:top w:val="none" w:sz="0" w:space="0" w:color="auto"/>
        <w:left w:val="none" w:sz="0" w:space="0" w:color="auto"/>
        <w:bottom w:val="none" w:sz="0" w:space="0" w:color="auto"/>
        <w:right w:val="none" w:sz="0" w:space="0" w:color="auto"/>
      </w:divBdr>
    </w:div>
    <w:div w:id="827673061">
      <w:bodyDiv w:val="1"/>
      <w:marLeft w:val="0"/>
      <w:marRight w:val="0"/>
      <w:marTop w:val="0"/>
      <w:marBottom w:val="0"/>
      <w:divBdr>
        <w:top w:val="none" w:sz="0" w:space="0" w:color="auto"/>
        <w:left w:val="none" w:sz="0" w:space="0" w:color="auto"/>
        <w:bottom w:val="none" w:sz="0" w:space="0" w:color="auto"/>
        <w:right w:val="none" w:sz="0" w:space="0" w:color="auto"/>
      </w:divBdr>
    </w:div>
    <w:div w:id="827861911">
      <w:bodyDiv w:val="1"/>
      <w:marLeft w:val="0"/>
      <w:marRight w:val="0"/>
      <w:marTop w:val="0"/>
      <w:marBottom w:val="0"/>
      <w:divBdr>
        <w:top w:val="none" w:sz="0" w:space="0" w:color="auto"/>
        <w:left w:val="none" w:sz="0" w:space="0" w:color="auto"/>
        <w:bottom w:val="none" w:sz="0" w:space="0" w:color="auto"/>
        <w:right w:val="none" w:sz="0" w:space="0" w:color="auto"/>
      </w:divBdr>
    </w:div>
    <w:div w:id="827864849">
      <w:bodyDiv w:val="1"/>
      <w:marLeft w:val="0"/>
      <w:marRight w:val="0"/>
      <w:marTop w:val="0"/>
      <w:marBottom w:val="0"/>
      <w:divBdr>
        <w:top w:val="none" w:sz="0" w:space="0" w:color="auto"/>
        <w:left w:val="none" w:sz="0" w:space="0" w:color="auto"/>
        <w:bottom w:val="none" w:sz="0" w:space="0" w:color="auto"/>
        <w:right w:val="none" w:sz="0" w:space="0" w:color="auto"/>
      </w:divBdr>
    </w:div>
    <w:div w:id="827865092">
      <w:bodyDiv w:val="1"/>
      <w:marLeft w:val="0"/>
      <w:marRight w:val="0"/>
      <w:marTop w:val="0"/>
      <w:marBottom w:val="0"/>
      <w:divBdr>
        <w:top w:val="none" w:sz="0" w:space="0" w:color="auto"/>
        <w:left w:val="none" w:sz="0" w:space="0" w:color="auto"/>
        <w:bottom w:val="none" w:sz="0" w:space="0" w:color="auto"/>
        <w:right w:val="none" w:sz="0" w:space="0" w:color="auto"/>
      </w:divBdr>
    </w:div>
    <w:div w:id="828056835">
      <w:bodyDiv w:val="1"/>
      <w:marLeft w:val="0"/>
      <w:marRight w:val="0"/>
      <w:marTop w:val="0"/>
      <w:marBottom w:val="0"/>
      <w:divBdr>
        <w:top w:val="none" w:sz="0" w:space="0" w:color="auto"/>
        <w:left w:val="none" w:sz="0" w:space="0" w:color="auto"/>
        <w:bottom w:val="none" w:sz="0" w:space="0" w:color="auto"/>
        <w:right w:val="none" w:sz="0" w:space="0" w:color="auto"/>
      </w:divBdr>
    </w:div>
    <w:div w:id="828135074">
      <w:bodyDiv w:val="1"/>
      <w:marLeft w:val="0"/>
      <w:marRight w:val="0"/>
      <w:marTop w:val="0"/>
      <w:marBottom w:val="0"/>
      <w:divBdr>
        <w:top w:val="none" w:sz="0" w:space="0" w:color="auto"/>
        <w:left w:val="none" w:sz="0" w:space="0" w:color="auto"/>
        <w:bottom w:val="none" w:sz="0" w:space="0" w:color="auto"/>
        <w:right w:val="none" w:sz="0" w:space="0" w:color="auto"/>
      </w:divBdr>
    </w:div>
    <w:div w:id="828406687">
      <w:bodyDiv w:val="1"/>
      <w:marLeft w:val="0"/>
      <w:marRight w:val="0"/>
      <w:marTop w:val="0"/>
      <w:marBottom w:val="0"/>
      <w:divBdr>
        <w:top w:val="none" w:sz="0" w:space="0" w:color="auto"/>
        <w:left w:val="none" w:sz="0" w:space="0" w:color="auto"/>
        <w:bottom w:val="none" w:sz="0" w:space="0" w:color="auto"/>
        <w:right w:val="none" w:sz="0" w:space="0" w:color="auto"/>
      </w:divBdr>
    </w:div>
    <w:div w:id="828449013">
      <w:bodyDiv w:val="1"/>
      <w:marLeft w:val="0"/>
      <w:marRight w:val="0"/>
      <w:marTop w:val="0"/>
      <w:marBottom w:val="0"/>
      <w:divBdr>
        <w:top w:val="none" w:sz="0" w:space="0" w:color="auto"/>
        <w:left w:val="none" w:sz="0" w:space="0" w:color="auto"/>
        <w:bottom w:val="none" w:sz="0" w:space="0" w:color="auto"/>
        <w:right w:val="none" w:sz="0" w:space="0" w:color="auto"/>
      </w:divBdr>
    </w:div>
    <w:div w:id="828864901">
      <w:bodyDiv w:val="1"/>
      <w:marLeft w:val="0"/>
      <w:marRight w:val="0"/>
      <w:marTop w:val="0"/>
      <w:marBottom w:val="0"/>
      <w:divBdr>
        <w:top w:val="none" w:sz="0" w:space="0" w:color="auto"/>
        <w:left w:val="none" w:sz="0" w:space="0" w:color="auto"/>
        <w:bottom w:val="none" w:sz="0" w:space="0" w:color="auto"/>
        <w:right w:val="none" w:sz="0" w:space="0" w:color="auto"/>
      </w:divBdr>
    </w:div>
    <w:div w:id="829062638">
      <w:bodyDiv w:val="1"/>
      <w:marLeft w:val="0"/>
      <w:marRight w:val="0"/>
      <w:marTop w:val="0"/>
      <w:marBottom w:val="0"/>
      <w:divBdr>
        <w:top w:val="none" w:sz="0" w:space="0" w:color="auto"/>
        <w:left w:val="none" w:sz="0" w:space="0" w:color="auto"/>
        <w:bottom w:val="none" w:sz="0" w:space="0" w:color="auto"/>
        <w:right w:val="none" w:sz="0" w:space="0" w:color="auto"/>
      </w:divBdr>
    </w:div>
    <w:div w:id="829099768">
      <w:bodyDiv w:val="1"/>
      <w:marLeft w:val="0"/>
      <w:marRight w:val="0"/>
      <w:marTop w:val="0"/>
      <w:marBottom w:val="0"/>
      <w:divBdr>
        <w:top w:val="none" w:sz="0" w:space="0" w:color="auto"/>
        <w:left w:val="none" w:sz="0" w:space="0" w:color="auto"/>
        <w:bottom w:val="none" w:sz="0" w:space="0" w:color="auto"/>
        <w:right w:val="none" w:sz="0" w:space="0" w:color="auto"/>
      </w:divBdr>
    </w:div>
    <w:div w:id="829172152">
      <w:bodyDiv w:val="1"/>
      <w:marLeft w:val="0"/>
      <w:marRight w:val="0"/>
      <w:marTop w:val="0"/>
      <w:marBottom w:val="0"/>
      <w:divBdr>
        <w:top w:val="none" w:sz="0" w:space="0" w:color="auto"/>
        <w:left w:val="none" w:sz="0" w:space="0" w:color="auto"/>
        <w:bottom w:val="none" w:sz="0" w:space="0" w:color="auto"/>
        <w:right w:val="none" w:sz="0" w:space="0" w:color="auto"/>
      </w:divBdr>
    </w:div>
    <w:div w:id="829371117">
      <w:bodyDiv w:val="1"/>
      <w:marLeft w:val="0"/>
      <w:marRight w:val="0"/>
      <w:marTop w:val="0"/>
      <w:marBottom w:val="0"/>
      <w:divBdr>
        <w:top w:val="none" w:sz="0" w:space="0" w:color="auto"/>
        <w:left w:val="none" w:sz="0" w:space="0" w:color="auto"/>
        <w:bottom w:val="none" w:sz="0" w:space="0" w:color="auto"/>
        <w:right w:val="none" w:sz="0" w:space="0" w:color="auto"/>
      </w:divBdr>
    </w:div>
    <w:div w:id="829449429">
      <w:bodyDiv w:val="1"/>
      <w:marLeft w:val="0"/>
      <w:marRight w:val="0"/>
      <w:marTop w:val="0"/>
      <w:marBottom w:val="0"/>
      <w:divBdr>
        <w:top w:val="none" w:sz="0" w:space="0" w:color="auto"/>
        <w:left w:val="none" w:sz="0" w:space="0" w:color="auto"/>
        <w:bottom w:val="none" w:sz="0" w:space="0" w:color="auto"/>
        <w:right w:val="none" w:sz="0" w:space="0" w:color="auto"/>
      </w:divBdr>
    </w:div>
    <w:div w:id="829752897">
      <w:bodyDiv w:val="1"/>
      <w:marLeft w:val="0"/>
      <w:marRight w:val="0"/>
      <w:marTop w:val="0"/>
      <w:marBottom w:val="0"/>
      <w:divBdr>
        <w:top w:val="none" w:sz="0" w:space="0" w:color="auto"/>
        <w:left w:val="none" w:sz="0" w:space="0" w:color="auto"/>
        <w:bottom w:val="none" w:sz="0" w:space="0" w:color="auto"/>
        <w:right w:val="none" w:sz="0" w:space="0" w:color="auto"/>
      </w:divBdr>
    </w:div>
    <w:div w:id="829906954">
      <w:bodyDiv w:val="1"/>
      <w:marLeft w:val="0"/>
      <w:marRight w:val="0"/>
      <w:marTop w:val="0"/>
      <w:marBottom w:val="0"/>
      <w:divBdr>
        <w:top w:val="none" w:sz="0" w:space="0" w:color="auto"/>
        <w:left w:val="none" w:sz="0" w:space="0" w:color="auto"/>
        <w:bottom w:val="none" w:sz="0" w:space="0" w:color="auto"/>
        <w:right w:val="none" w:sz="0" w:space="0" w:color="auto"/>
      </w:divBdr>
    </w:div>
    <w:div w:id="830025841">
      <w:bodyDiv w:val="1"/>
      <w:marLeft w:val="0"/>
      <w:marRight w:val="0"/>
      <w:marTop w:val="0"/>
      <w:marBottom w:val="0"/>
      <w:divBdr>
        <w:top w:val="none" w:sz="0" w:space="0" w:color="auto"/>
        <w:left w:val="none" w:sz="0" w:space="0" w:color="auto"/>
        <w:bottom w:val="none" w:sz="0" w:space="0" w:color="auto"/>
        <w:right w:val="none" w:sz="0" w:space="0" w:color="auto"/>
      </w:divBdr>
    </w:div>
    <w:div w:id="830100533">
      <w:bodyDiv w:val="1"/>
      <w:marLeft w:val="0"/>
      <w:marRight w:val="0"/>
      <w:marTop w:val="0"/>
      <w:marBottom w:val="0"/>
      <w:divBdr>
        <w:top w:val="none" w:sz="0" w:space="0" w:color="auto"/>
        <w:left w:val="none" w:sz="0" w:space="0" w:color="auto"/>
        <w:bottom w:val="none" w:sz="0" w:space="0" w:color="auto"/>
        <w:right w:val="none" w:sz="0" w:space="0" w:color="auto"/>
      </w:divBdr>
    </w:div>
    <w:div w:id="830213358">
      <w:bodyDiv w:val="1"/>
      <w:marLeft w:val="0"/>
      <w:marRight w:val="0"/>
      <w:marTop w:val="0"/>
      <w:marBottom w:val="0"/>
      <w:divBdr>
        <w:top w:val="none" w:sz="0" w:space="0" w:color="auto"/>
        <w:left w:val="none" w:sz="0" w:space="0" w:color="auto"/>
        <w:bottom w:val="none" w:sz="0" w:space="0" w:color="auto"/>
        <w:right w:val="none" w:sz="0" w:space="0" w:color="auto"/>
      </w:divBdr>
    </w:div>
    <w:div w:id="830488109">
      <w:bodyDiv w:val="1"/>
      <w:marLeft w:val="0"/>
      <w:marRight w:val="0"/>
      <w:marTop w:val="0"/>
      <w:marBottom w:val="0"/>
      <w:divBdr>
        <w:top w:val="none" w:sz="0" w:space="0" w:color="auto"/>
        <w:left w:val="none" w:sz="0" w:space="0" w:color="auto"/>
        <w:bottom w:val="none" w:sz="0" w:space="0" w:color="auto"/>
        <w:right w:val="none" w:sz="0" w:space="0" w:color="auto"/>
      </w:divBdr>
    </w:div>
    <w:div w:id="830559364">
      <w:bodyDiv w:val="1"/>
      <w:marLeft w:val="0"/>
      <w:marRight w:val="0"/>
      <w:marTop w:val="0"/>
      <w:marBottom w:val="0"/>
      <w:divBdr>
        <w:top w:val="none" w:sz="0" w:space="0" w:color="auto"/>
        <w:left w:val="none" w:sz="0" w:space="0" w:color="auto"/>
        <w:bottom w:val="none" w:sz="0" w:space="0" w:color="auto"/>
        <w:right w:val="none" w:sz="0" w:space="0" w:color="auto"/>
      </w:divBdr>
    </w:div>
    <w:div w:id="830677574">
      <w:bodyDiv w:val="1"/>
      <w:marLeft w:val="0"/>
      <w:marRight w:val="0"/>
      <w:marTop w:val="0"/>
      <w:marBottom w:val="0"/>
      <w:divBdr>
        <w:top w:val="none" w:sz="0" w:space="0" w:color="auto"/>
        <w:left w:val="none" w:sz="0" w:space="0" w:color="auto"/>
        <w:bottom w:val="none" w:sz="0" w:space="0" w:color="auto"/>
        <w:right w:val="none" w:sz="0" w:space="0" w:color="auto"/>
      </w:divBdr>
    </w:div>
    <w:div w:id="830680474">
      <w:bodyDiv w:val="1"/>
      <w:marLeft w:val="0"/>
      <w:marRight w:val="0"/>
      <w:marTop w:val="0"/>
      <w:marBottom w:val="0"/>
      <w:divBdr>
        <w:top w:val="none" w:sz="0" w:space="0" w:color="auto"/>
        <w:left w:val="none" w:sz="0" w:space="0" w:color="auto"/>
        <w:bottom w:val="none" w:sz="0" w:space="0" w:color="auto"/>
        <w:right w:val="none" w:sz="0" w:space="0" w:color="auto"/>
      </w:divBdr>
    </w:div>
    <w:div w:id="831138778">
      <w:bodyDiv w:val="1"/>
      <w:marLeft w:val="0"/>
      <w:marRight w:val="0"/>
      <w:marTop w:val="0"/>
      <w:marBottom w:val="0"/>
      <w:divBdr>
        <w:top w:val="none" w:sz="0" w:space="0" w:color="auto"/>
        <w:left w:val="none" w:sz="0" w:space="0" w:color="auto"/>
        <w:bottom w:val="none" w:sz="0" w:space="0" w:color="auto"/>
        <w:right w:val="none" w:sz="0" w:space="0" w:color="auto"/>
      </w:divBdr>
    </w:div>
    <w:div w:id="831142900">
      <w:bodyDiv w:val="1"/>
      <w:marLeft w:val="0"/>
      <w:marRight w:val="0"/>
      <w:marTop w:val="0"/>
      <w:marBottom w:val="0"/>
      <w:divBdr>
        <w:top w:val="none" w:sz="0" w:space="0" w:color="auto"/>
        <w:left w:val="none" w:sz="0" w:space="0" w:color="auto"/>
        <w:bottom w:val="none" w:sz="0" w:space="0" w:color="auto"/>
        <w:right w:val="none" w:sz="0" w:space="0" w:color="auto"/>
      </w:divBdr>
    </w:div>
    <w:div w:id="831217571">
      <w:bodyDiv w:val="1"/>
      <w:marLeft w:val="0"/>
      <w:marRight w:val="0"/>
      <w:marTop w:val="0"/>
      <w:marBottom w:val="0"/>
      <w:divBdr>
        <w:top w:val="none" w:sz="0" w:space="0" w:color="auto"/>
        <w:left w:val="none" w:sz="0" w:space="0" w:color="auto"/>
        <w:bottom w:val="none" w:sz="0" w:space="0" w:color="auto"/>
        <w:right w:val="none" w:sz="0" w:space="0" w:color="auto"/>
      </w:divBdr>
    </w:div>
    <w:div w:id="831334357">
      <w:bodyDiv w:val="1"/>
      <w:marLeft w:val="0"/>
      <w:marRight w:val="0"/>
      <w:marTop w:val="0"/>
      <w:marBottom w:val="0"/>
      <w:divBdr>
        <w:top w:val="none" w:sz="0" w:space="0" w:color="auto"/>
        <w:left w:val="none" w:sz="0" w:space="0" w:color="auto"/>
        <w:bottom w:val="none" w:sz="0" w:space="0" w:color="auto"/>
        <w:right w:val="none" w:sz="0" w:space="0" w:color="auto"/>
      </w:divBdr>
    </w:div>
    <w:div w:id="831406135">
      <w:bodyDiv w:val="1"/>
      <w:marLeft w:val="0"/>
      <w:marRight w:val="0"/>
      <w:marTop w:val="0"/>
      <w:marBottom w:val="0"/>
      <w:divBdr>
        <w:top w:val="none" w:sz="0" w:space="0" w:color="auto"/>
        <w:left w:val="none" w:sz="0" w:space="0" w:color="auto"/>
        <w:bottom w:val="none" w:sz="0" w:space="0" w:color="auto"/>
        <w:right w:val="none" w:sz="0" w:space="0" w:color="auto"/>
      </w:divBdr>
    </w:div>
    <w:div w:id="831485123">
      <w:bodyDiv w:val="1"/>
      <w:marLeft w:val="0"/>
      <w:marRight w:val="0"/>
      <w:marTop w:val="0"/>
      <w:marBottom w:val="0"/>
      <w:divBdr>
        <w:top w:val="none" w:sz="0" w:space="0" w:color="auto"/>
        <w:left w:val="none" w:sz="0" w:space="0" w:color="auto"/>
        <w:bottom w:val="none" w:sz="0" w:space="0" w:color="auto"/>
        <w:right w:val="none" w:sz="0" w:space="0" w:color="auto"/>
      </w:divBdr>
    </w:div>
    <w:div w:id="831487284">
      <w:bodyDiv w:val="1"/>
      <w:marLeft w:val="0"/>
      <w:marRight w:val="0"/>
      <w:marTop w:val="0"/>
      <w:marBottom w:val="0"/>
      <w:divBdr>
        <w:top w:val="none" w:sz="0" w:space="0" w:color="auto"/>
        <w:left w:val="none" w:sz="0" w:space="0" w:color="auto"/>
        <w:bottom w:val="none" w:sz="0" w:space="0" w:color="auto"/>
        <w:right w:val="none" w:sz="0" w:space="0" w:color="auto"/>
      </w:divBdr>
    </w:div>
    <w:div w:id="831599592">
      <w:bodyDiv w:val="1"/>
      <w:marLeft w:val="0"/>
      <w:marRight w:val="0"/>
      <w:marTop w:val="0"/>
      <w:marBottom w:val="0"/>
      <w:divBdr>
        <w:top w:val="none" w:sz="0" w:space="0" w:color="auto"/>
        <w:left w:val="none" w:sz="0" w:space="0" w:color="auto"/>
        <w:bottom w:val="none" w:sz="0" w:space="0" w:color="auto"/>
        <w:right w:val="none" w:sz="0" w:space="0" w:color="auto"/>
      </w:divBdr>
    </w:div>
    <w:div w:id="831600133">
      <w:bodyDiv w:val="1"/>
      <w:marLeft w:val="0"/>
      <w:marRight w:val="0"/>
      <w:marTop w:val="0"/>
      <w:marBottom w:val="0"/>
      <w:divBdr>
        <w:top w:val="none" w:sz="0" w:space="0" w:color="auto"/>
        <w:left w:val="none" w:sz="0" w:space="0" w:color="auto"/>
        <w:bottom w:val="none" w:sz="0" w:space="0" w:color="auto"/>
        <w:right w:val="none" w:sz="0" w:space="0" w:color="auto"/>
      </w:divBdr>
    </w:div>
    <w:div w:id="831606778">
      <w:bodyDiv w:val="1"/>
      <w:marLeft w:val="0"/>
      <w:marRight w:val="0"/>
      <w:marTop w:val="0"/>
      <w:marBottom w:val="0"/>
      <w:divBdr>
        <w:top w:val="none" w:sz="0" w:space="0" w:color="auto"/>
        <w:left w:val="none" w:sz="0" w:space="0" w:color="auto"/>
        <w:bottom w:val="none" w:sz="0" w:space="0" w:color="auto"/>
        <w:right w:val="none" w:sz="0" w:space="0" w:color="auto"/>
      </w:divBdr>
    </w:div>
    <w:div w:id="832187296">
      <w:bodyDiv w:val="1"/>
      <w:marLeft w:val="0"/>
      <w:marRight w:val="0"/>
      <w:marTop w:val="0"/>
      <w:marBottom w:val="0"/>
      <w:divBdr>
        <w:top w:val="none" w:sz="0" w:space="0" w:color="auto"/>
        <w:left w:val="none" w:sz="0" w:space="0" w:color="auto"/>
        <w:bottom w:val="none" w:sz="0" w:space="0" w:color="auto"/>
        <w:right w:val="none" w:sz="0" w:space="0" w:color="auto"/>
      </w:divBdr>
    </w:div>
    <w:div w:id="832259177">
      <w:bodyDiv w:val="1"/>
      <w:marLeft w:val="0"/>
      <w:marRight w:val="0"/>
      <w:marTop w:val="0"/>
      <w:marBottom w:val="0"/>
      <w:divBdr>
        <w:top w:val="none" w:sz="0" w:space="0" w:color="auto"/>
        <w:left w:val="none" w:sz="0" w:space="0" w:color="auto"/>
        <w:bottom w:val="none" w:sz="0" w:space="0" w:color="auto"/>
        <w:right w:val="none" w:sz="0" w:space="0" w:color="auto"/>
      </w:divBdr>
    </w:div>
    <w:div w:id="832260947">
      <w:bodyDiv w:val="1"/>
      <w:marLeft w:val="0"/>
      <w:marRight w:val="0"/>
      <w:marTop w:val="0"/>
      <w:marBottom w:val="0"/>
      <w:divBdr>
        <w:top w:val="none" w:sz="0" w:space="0" w:color="auto"/>
        <w:left w:val="none" w:sz="0" w:space="0" w:color="auto"/>
        <w:bottom w:val="none" w:sz="0" w:space="0" w:color="auto"/>
        <w:right w:val="none" w:sz="0" w:space="0" w:color="auto"/>
      </w:divBdr>
    </w:div>
    <w:div w:id="832261977">
      <w:bodyDiv w:val="1"/>
      <w:marLeft w:val="0"/>
      <w:marRight w:val="0"/>
      <w:marTop w:val="0"/>
      <w:marBottom w:val="0"/>
      <w:divBdr>
        <w:top w:val="none" w:sz="0" w:space="0" w:color="auto"/>
        <w:left w:val="none" w:sz="0" w:space="0" w:color="auto"/>
        <w:bottom w:val="none" w:sz="0" w:space="0" w:color="auto"/>
        <w:right w:val="none" w:sz="0" w:space="0" w:color="auto"/>
      </w:divBdr>
    </w:div>
    <w:div w:id="832644924">
      <w:bodyDiv w:val="1"/>
      <w:marLeft w:val="0"/>
      <w:marRight w:val="0"/>
      <w:marTop w:val="0"/>
      <w:marBottom w:val="0"/>
      <w:divBdr>
        <w:top w:val="none" w:sz="0" w:space="0" w:color="auto"/>
        <w:left w:val="none" w:sz="0" w:space="0" w:color="auto"/>
        <w:bottom w:val="none" w:sz="0" w:space="0" w:color="auto"/>
        <w:right w:val="none" w:sz="0" w:space="0" w:color="auto"/>
      </w:divBdr>
    </w:div>
    <w:div w:id="833034723">
      <w:bodyDiv w:val="1"/>
      <w:marLeft w:val="0"/>
      <w:marRight w:val="0"/>
      <w:marTop w:val="0"/>
      <w:marBottom w:val="0"/>
      <w:divBdr>
        <w:top w:val="none" w:sz="0" w:space="0" w:color="auto"/>
        <w:left w:val="none" w:sz="0" w:space="0" w:color="auto"/>
        <w:bottom w:val="none" w:sz="0" w:space="0" w:color="auto"/>
        <w:right w:val="none" w:sz="0" w:space="0" w:color="auto"/>
      </w:divBdr>
    </w:div>
    <w:div w:id="833104476">
      <w:bodyDiv w:val="1"/>
      <w:marLeft w:val="0"/>
      <w:marRight w:val="0"/>
      <w:marTop w:val="0"/>
      <w:marBottom w:val="0"/>
      <w:divBdr>
        <w:top w:val="none" w:sz="0" w:space="0" w:color="auto"/>
        <w:left w:val="none" w:sz="0" w:space="0" w:color="auto"/>
        <w:bottom w:val="none" w:sz="0" w:space="0" w:color="auto"/>
        <w:right w:val="none" w:sz="0" w:space="0" w:color="auto"/>
      </w:divBdr>
    </w:div>
    <w:div w:id="833379578">
      <w:bodyDiv w:val="1"/>
      <w:marLeft w:val="0"/>
      <w:marRight w:val="0"/>
      <w:marTop w:val="0"/>
      <w:marBottom w:val="0"/>
      <w:divBdr>
        <w:top w:val="none" w:sz="0" w:space="0" w:color="auto"/>
        <w:left w:val="none" w:sz="0" w:space="0" w:color="auto"/>
        <w:bottom w:val="none" w:sz="0" w:space="0" w:color="auto"/>
        <w:right w:val="none" w:sz="0" w:space="0" w:color="auto"/>
      </w:divBdr>
    </w:div>
    <w:div w:id="833381292">
      <w:bodyDiv w:val="1"/>
      <w:marLeft w:val="0"/>
      <w:marRight w:val="0"/>
      <w:marTop w:val="0"/>
      <w:marBottom w:val="0"/>
      <w:divBdr>
        <w:top w:val="none" w:sz="0" w:space="0" w:color="auto"/>
        <w:left w:val="none" w:sz="0" w:space="0" w:color="auto"/>
        <w:bottom w:val="none" w:sz="0" w:space="0" w:color="auto"/>
        <w:right w:val="none" w:sz="0" w:space="0" w:color="auto"/>
      </w:divBdr>
    </w:div>
    <w:div w:id="833571241">
      <w:bodyDiv w:val="1"/>
      <w:marLeft w:val="0"/>
      <w:marRight w:val="0"/>
      <w:marTop w:val="0"/>
      <w:marBottom w:val="0"/>
      <w:divBdr>
        <w:top w:val="none" w:sz="0" w:space="0" w:color="auto"/>
        <w:left w:val="none" w:sz="0" w:space="0" w:color="auto"/>
        <w:bottom w:val="none" w:sz="0" w:space="0" w:color="auto"/>
        <w:right w:val="none" w:sz="0" w:space="0" w:color="auto"/>
      </w:divBdr>
    </w:div>
    <w:div w:id="833880916">
      <w:bodyDiv w:val="1"/>
      <w:marLeft w:val="0"/>
      <w:marRight w:val="0"/>
      <w:marTop w:val="0"/>
      <w:marBottom w:val="0"/>
      <w:divBdr>
        <w:top w:val="none" w:sz="0" w:space="0" w:color="auto"/>
        <w:left w:val="none" w:sz="0" w:space="0" w:color="auto"/>
        <w:bottom w:val="none" w:sz="0" w:space="0" w:color="auto"/>
        <w:right w:val="none" w:sz="0" w:space="0" w:color="auto"/>
      </w:divBdr>
    </w:div>
    <w:div w:id="834152214">
      <w:bodyDiv w:val="1"/>
      <w:marLeft w:val="0"/>
      <w:marRight w:val="0"/>
      <w:marTop w:val="0"/>
      <w:marBottom w:val="0"/>
      <w:divBdr>
        <w:top w:val="none" w:sz="0" w:space="0" w:color="auto"/>
        <w:left w:val="none" w:sz="0" w:space="0" w:color="auto"/>
        <w:bottom w:val="none" w:sz="0" w:space="0" w:color="auto"/>
        <w:right w:val="none" w:sz="0" w:space="0" w:color="auto"/>
      </w:divBdr>
    </w:div>
    <w:div w:id="834225875">
      <w:bodyDiv w:val="1"/>
      <w:marLeft w:val="0"/>
      <w:marRight w:val="0"/>
      <w:marTop w:val="0"/>
      <w:marBottom w:val="0"/>
      <w:divBdr>
        <w:top w:val="none" w:sz="0" w:space="0" w:color="auto"/>
        <w:left w:val="none" w:sz="0" w:space="0" w:color="auto"/>
        <w:bottom w:val="none" w:sz="0" w:space="0" w:color="auto"/>
        <w:right w:val="none" w:sz="0" w:space="0" w:color="auto"/>
      </w:divBdr>
    </w:div>
    <w:div w:id="834302629">
      <w:bodyDiv w:val="1"/>
      <w:marLeft w:val="0"/>
      <w:marRight w:val="0"/>
      <w:marTop w:val="0"/>
      <w:marBottom w:val="0"/>
      <w:divBdr>
        <w:top w:val="none" w:sz="0" w:space="0" w:color="auto"/>
        <w:left w:val="none" w:sz="0" w:space="0" w:color="auto"/>
        <w:bottom w:val="none" w:sz="0" w:space="0" w:color="auto"/>
        <w:right w:val="none" w:sz="0" w:space="0" w:color="auto"/>
      </w:divBdr>
    </w:div>
    <w:div w:id="834421153">
      <w:bodyDiv w:val="1"/>
      <w:marLeft w:val="0"/>
      <w:marRight w:val="0"/>
      <w:marTop w:val="0"/>
      <w:marBottom w:val="0"/>
      <w:divBdr>
        <w:top w:val="none" w:sz="0" w:space="0" w:color="auto"/>
        <w:left w:val="none" w:sz="0" w:space="0" w:color="auto"/>
        <w:bottom w:val="none" w:sz="0" w:space="0" w:color="auto"/>
        <w:right w:val="none" w:sz="0" w:space="0" w:color="auto"/>
      </w:divBdr>
    </w:div>
    <w:div w:id="834611287">
      <w:bodyDiv w:val="1"/>
      <w:marLeft w:val="0"/>
      <w:marRight w:val="0"/>
      <w:marTop w:val="0"/>
      <w:marBottom w:val="0"/>
      <w:divBdr>
        <w:top w:val="none" w:sz="0" w:space="0" w:color="auto"/>
        <w:left w:val="none" w:sz="0" w:space="0" w:color="auto"/>
        <w:bottom w:val="none" w:sz="0" w:space="0" w:color="auto"/>
        <w:right w:val="none" w:sz="0" w:space="0" w:color="auto"/>
      </w:divBdr>
    </w:div>
    <w:div w:id="834762018">
      <w:bodyDiv w:val="1"/>
      <w:marLeft w:val="0"/>
      <w:marRight w:val="0"/>
      <w:marTop w:val="0"/>
      <w:marBottom w:val="0"/>
      <w:divBdr>
        <w:top w:val="none" w:sz="0" w:space="0" w:color="auto"/>
        <w:left w:val="none" w:sz="0" w:space="0" w:color="auto"/>
        <w:bottom w:val="none" w:sz="0" w:space="0" w:color="auto"/>
        <w:right w:val="none" w:sz="0" w:space="0" w:color="auto"/>
      </w:divBdr>
    </w:div>
    <w:div w:id="834809515">
      <w:bodyDiv w:val="1"/>
      <w:marLeft w:val="0"/>
      <w:marRight w:val="0"/>
      <w:marTop w:val="0"/>
      <w:marBottom w:val="0"/>
      <w:divBdr>
        <w:top w:val="none" w:sz="0" w:space="0" w:color="auto"/>
        <w:left w:val="none" w:sz="0" w:space="0" w:color="auto"/>
        <w:bottom w:val="none" w:sz="0" w:space="0" w:color="auto"/>
        <w:right w:val="none" w:sz="0" w:space="0" w:color="auto"/>
      </w:divBdr>
    </w:div>
    <w:div w:id="834879797">
      <w:bodyDiv w:val="1"/>
      <w:marLeft w:val="0"/>
      <w:marRight w:val="0"/>
      <w:marTop w:val="0"/>
      <w:marBottom w:val="0"/>
      <w:divBdr>
        <w:top w:val="none" w:sz="0" w:space="0" w:color="auto"/>
        <w:left w:val="none" w:sz="0" w:space="0" w:color="auto"/>
        <w:bottom w:val="none" w:sz="0" w:space="0" w:color="auto"/>
        <w:right w:val="none" w:sz="0" w:space="0" w:color="auto"/>
      </w:divBdr>
    </w:div>
    <w:div w:id="834995484">
      <w:bodyDiv w:val="1"/>
      <w:marLeft w:val="0"/>
      <w:marRight w:val="0"/>
      <w:marTop w:val="0"/>
      <w:marBottom w:val="0"/>
      <w:divBdr>
        <w:top w:val="none" w:sz="0" w:space="0" w:color="auto"/>
        <w:left w:val="none" w:sz="0" w:space="0" w:color="auto"/>
        <w:bottom w:val="none" w:sz="0" w:space="0" w:color="auto"/>
        <w:right w:val="none" w:sz="0" w:space="0" w:color="auto"/>
      </w:divBdr>
    </w:div>
    <w:div w:id="835610109">
      <w:bodyDiv w:val="1"/>
      <w:marLeft w:val="0"/>
      <w:marRight w:val="0"/>
      <w:marTop w:val="0"/>
      <w:marBottom w:val="0"/>
      <w:divBdr>
        <w:top w:val="none" w:sz="0" w:space="0" w:color="auto"/>
        <w:left w:val="none" w:sz="0" w:space="0" w:color="auto"/>
        <w:bottom w:val="none" w:sz="0" w:space="0" w:color="auto"/>
        <w:right w:val="none" w:sz="0" w:space="0" w:color="auto"/>
      </w:divBdr>
    </w:div>
    <w:div w:id="835850084">
      <w:bodyDiv w:val="1"/>
      <w:marLeft w:val="0"/>
      <w:marRight w:val="0"/>
      <w:marTop w:val="0"/>
      <w:marBottom w:val="0"/>
      <w:divBdr>
        <w:top w:val="none" w:sz="0" w:space="0" w:color="auto"/>
        <w:left w:val="none" w:sz="0" w:space="0" w:color="auto"/>
        <w:bottom w:val="none" w:sz="0" w:space="0" w:color="auto"/>
        <w:right w:val="none" w:sz="0" w:space="0" w:color="auto"/>
      </w:divBdr>
    </w:div>
    <w:div w:id="835996565">
      <w:bodyDiv w:val="1"/>
      <w:marLeft w:val="0"/>
      <w:marRight w:val="0"/>
      <w:marTop w:val="0"/>
      <w:marBottom w:val="0"/>
      <w:divBdr>
        <w:top w:val="none" w:sz="0" w:space="0" w:color="auto"/>
        <w:left w:val="none" w:sz="0" w:space="0" w:color="auto"/>
        <w:bottom w:val="none" w:sz="0" w:space="0" w:color="auto"/>
        <w:right w:val="none" w:sz="0" w:space="0" w:color="auto"/>
      </w:divBdr>
    </w:div>
    <w:div w:id="836001038">
      <w:bodyDiv w:val="1"/>
      <w:marLeft w:val="0"/>
      <w:marRight w:val="0"/>
      <w:marTop w:val="0"/>
      <w:marBottom w:val="0"/>
      <w:divBdr>
        <w:top w:val="none" w:sz="0" w:space="0" w:color="auto"/>
        <w:left w:val="none" w:sz="0" w:space="0" w:color="auto"/>
        <w:bottom w:val="none" w:sz="0" w:space="0" w:color="auto"/>
        <w:right w:val="none" w:sz="0" w:space="0" w:color="auto"/>
      </w:divBdr>
    </w:div>
    <w:div w:id="836002260">
      <w:bodyDiv w:val="1"/>
      <w:marLeft w:val="0"/>
      <w:marRight w:val="0"/>
      <w:marTop w:val="0"/>
      <w:marBottom w:val="0"/>
      <w:divBdr>
        <w:top w:val="none" w:sz="0" w:space="0" w:color="auto"/>
        <w:left w:val="none" w:sz="0" w:space="0" w:color="auto"/>
        <w:bottom w:val="none" w:sz="0" w:space="0" w:color="auto"/>
        <w:right w:val="none" w:sz="0" w:space="0" w:color="auto"/>
      </w:divBdr>
    </w:div>
    <w:div w:id="836114091">
      <w:bodyDiv w:val="1"/>
      <w:marLeft w:val="0"/>
      <w:marRight w:val="0"/>
      <w:marTop w:val="0"/>
      <w:marBottom w:val="0"/>
      <w:divBdr>
        <w:top w:val="none" w:sz="0" w:space="0" w:color="auto"/>
        <w:left w:val="none" w:sz="0" w:space="0" w:color="auto"/>
        <w:bottom w:val="none" w:sz="0" w:space="0" w:color="auto"/>
        <w:right w:val="none" w:sz="0" w:space="0" w:color="auto"/>
      </w:divBdr>
    </w:div>
    <w:div w:id="836188670">
      <w:bodyDiv w:val="1"/>
      <w:marLeft w:val="0"/>
      <w:marRight w:val="0"/>
      <w:marTop w:val="0"/>
      <w:marBottom w:val="0"/>
      <w:divBdr>
        <w:top w:val="none" w:sz="0" w:space="0" w:color="auto"/>
        <w:left w:val="none" w:sz="0" w:space="0" w:color="auto"/>
        <w:bottom w:val="none" w:sz="0" w:space="0" w:color="auto"/>
        <w:right w:val="none" w:sz="0" w:space="0" w:color="auto"/>
      </w:divBdr>
    </w:div>
    <w:div w:id="836531358">
      <w:bodyDiv w:val="1"/>
      <w:marLeft w:val="0"/>
      <w:marRight w:val="0"/>
      <w:marTop w:val="0"/>
      <w:marBottom w:val="0"/>
      <w:divBdr>
        <w:top w:val="none" w:sz="0" w:space="0" w:color="auto"/>
        <w:left w:val="none" w:sz="0" w:space="0" w:color="auto"/>
        <w:bottom w:val="none" w:sz="0" w:space="0" w:color="auto"/>
        <w:right w:val="none" w:sz="0" w:space="0" w:color="auto"/>
      </w:divBdr>
    </w:div>
    <w:div w:id="836577212">
      <w:bodyDiv w:val="1"/>
      <w:marLeft w:val="0"/>
      <w:marRight w:val="0"/>
      <w:marTop w:val="0"/>
      <w:marBottom w:val="0"/>
      <w:divBdr>
        <w:top w:val="none" w:sz="0" w:space="0" w:color="auto"/>
        <w:left w:val="none" w:sz="0" w:space="0" w:color="auto"/>
        <w:bottom w:val="none" w:sz="0" w:space="0" w:color="auto"/>
        <w:right w:val="none" w:sz="0" w:space="0" w:color="auto"/>
      </w:divBdr>
    </w:div>
    <w:div w:id="836650610">
      <w:bodyDiv w:val="1"/>
      <w:marLeft w:val="0"/>
      <w:marRight w:val="0"/>
      <w:marTop w:val="0"/>
      <w:marBottom w:val="0"/>
      <w:divBdr>
        <w:top w:val="none" w:sz="0" w:space="0" w:color="auto"/>
        <w:left w:val="none" w:sz="0" w:space="0" w:color="auto"/>
        <w:bottom w:val="none" w:sz="0" w:space="0" w:color="auto"/>
        <w:right w:val="none" w:sz="0" w:space="0" w:color="auto"/>
      </w:divBdr>
    </w:div>
    <w:div w:id="836729149">
      <w:bodyDiv w:val="1"/>
      <w:marLeft w:val="0"/>
      <w:marRight w:val="0"/>
      <w:marTop w:val="0"/>
      <w:marBottom w:val="0"/>
      <w:divBdr>
        <w:top w:val="none" w:sz="0" w:space="0" w:color="auto"/>
        <w:left w:val="none" w:sz="0" w:space="0" w:color="auto"/>
        <w:bottom w:val="none" w:sz="0" w:space="0" w:color="auto"/>
        <w:right w:val="none" w:sz="0" w:space="0" w:color="auto"/>
      </w:divBdr>
    </w:div>
    <w:div w:id="836960401">
      <w:bodyDiv w:val="1"/>
      <w:marLeft w:val="0"/>
      <w:marRight w:val="0"/>
      <w:marTop w:val="0"/>
      <w:marBottom w:val="0"/>
      <w:divBdr>
        <w:top w:val="none" w:sz="0" w:space="0" w:color="auto"/>
        <w:left w:val="none" w:sz="0" w:space="0" w:color="auto"/>
        <w:bottom w:val="none" w:sz="0" w:space="0" w:color="auto"/>
        <w:right w:val="none" w:sz="0" w:space="0" w:color="auto"/>
      </w:divBdr>
    </w:div>
    <w:div w:id="836963189">
      <w:bodyDiv w:val="1"/>
      <w:marLeft w:val="0"/>
      <w:marRight w:val="0"/>
      <w:marTop w:val="0"/>
      <w:marBottom w:val="0"/>
      <w:divBdr>
        <w:top w:val="none" w:sz="0" w:space="0" w:color="auto"/>
        <w:left w:val="none" w:sz="0" w:space="0" w:color="auto"/>
        <w:bottom w:val="none" w:sz="0" w:space="0" w:color="auto"/>
        <w:right w:val="none" w:sz="0" w:space="0" w:color="auto"/>
      </w:divBdr>
    </w:div>
    <w:div w:id="837159738">
      <w:bodyDiv w:val="1"/>
      <w:marLeft w:val="0"/>
      <w:marRight w:val="0"/>
      <w:marTop w:val="0"/>
      <w:marBottom w:val="0"/>
      <w:divBdr>
        <w:top w:val="none" w:sz="0" w:space="0" w:color="auto"/>
        <w:left w:val="none" w:sz="0" w:space="0" w:color="auto"/>
        <w:bottom w:val="none" w:sz="0" w:space="0" w:color="auto"/>
        <w:right w:val="none" w:sz="0" w:space="0" w:color="auto"/>
      </w:divBdr>
    </w:div>
    <w:div w:id="837162071">
      <w:bodyDiv w:val="1"/>
      <w:marLeft w:val="0"/>
      <w:marRight w:val="0"/>
      <w:marTop w:val="0"/>
      <w:marBottom w:val="0"/>
      <w:divBdr>
        <w:top w:val="none" w:sz="0" w:space="0" w:color="auto"/>
        <w:left w:val="none" w:sz="0" w:space="0" w:color="auto"/>
        <w:bottom w:val="none" w:sz="0" w:space="0" w:color="auto"/>
        <w:right w:val="none" w:sz="0" w:space="0" w:color="auto"/>
      </w:divBdr>
    </w:div>
    <w:div w:id="837187794">
      <w:bodyDiv w:val="1"/>
      <w:marLeft w:val="0"/>
      <w:marRight w:val="0"/>
      <w:marTop w:val="0"/>
      <w:marBottom w:val="0"/>
      <w:divBdr>
        <w:top w:val="none" w:sz="0" w:space="0" w:color="auto"/>
        <w:left w:val="none" w:sz="0" w:space="0" w:color="auto"/>
        <w:bottom w:val="none" w:sz="0" w:space="0" w:color="auto"/>
        <w:right w:val="none" w:sz="0" w:space="0" w:color="auto"/>
      </w:divBdr>
    </w:div>
    <w:div w:id="837308457">
      <w:bodyDiv w:val="1"/>
      <w:marLeft w:val="0"/>
      <w:marRight w:val="0"/>
      <w:marTop w:val="0"/>
      <w:marBottom w:val="0"/>
      <w:divBdr>
        <w:top w:val="none" w:sz="0" w:space="0" w:color="auto"/>
        <w:left w:val="none" w:sz="0" w:space="0" w:color="auto"/>
        <w:bottom w:val="none" w:sz="0" w:space="0" w:color="auto"/>
        <w:right w:val="none" w:sz="0" w:space="0" w:color="auto"/>
      </w:divBdr>
    </w:div>
    <w:div w:id="837311969">
      <w:bodyDiv w:val="1"/>
      <w:marLeft w:val="0"/>
      <w:marRight w:val="0"/>
      <w:marTop w:val="0"/>
      <w:marBottom w:val="0"/>
      <w:divBdr>
        <w:top w:val="none" w:sz="0" w:space="0" w:color="auto"/>
        <w:left w:val="none" w:sz="0" w:space="0" w:color="auto"/>
        <w:bottom w:val="none" w:sz="0" w:space="0" w:color="auto"/>
        <w:right w:val="none" w:sz="0" w:space="0" w:color="auto"/>
      </w:divBdr>
    </w:div>
    <w:div w:id="837503356">
      <w:bodyDiv w:val="1"/>
      <w:marLeft w:val="0"/>
      <w:marRight w:val="0"/>
      <w:marTop w:val="0"/>
      <w:marBottom w:val="0"/>
      <w:divBdr>
        <w:top w:val="none" w:sz="0" w:space="0" w:color="auto"/>
        <w:left w:val="none" w:sz="0" w:space="0" w:color="auto"/>
        <w:bottom w:val="none" w:sz="0" w:space="0" w:color="auto"/>
        <w:right w:val="none" w:sz="0" w:space="0" w:color="auto"/>
      </w:divBdr>
    </w:div>
    <w:div w:id="837579305">
      <w:bodyDiv w:val="1"/>
      <w:marLeft w:val="0"/>
      <w:marRight w:val="0"/>
      <w:marTop w:val="0"/>
      <w:marBottom w:val="0"/>
      <w:divBdr>
        <w:top w:val="none" w:sz="0" w:space="0" w:color="auto"/>
        <w:left w:val="none" w:sz="0" w:space="0" w:color="auto"/>
        <w:bottom w:val="none" w:sz="0" w:space="0" w:color="auto"/>
        <w:right w:val="none" w:sz="0" w:space="0" w:color="auto"/>
      </w:divBdr>
    </w:div>
    <w:div w:id="837620168">
      <w:bodyDiv w:val="1"/>
      <w:marLeft w:val="0"/>
      <w:marRight w:val="0"/>
      <w:marTop w:val="0"/>
      <w:marBottom w:val="0"/>
      <w:divBdr>
        <w:top w:val="none" w:sz="0" w:space="0" w:color="auto"/>
        <w:left w:val="none" w:sz="0" w:space="0" w:color="auto"/>
        <w:bottom w:val="none" w:sz="0" w:space="0" w:color="auto"/>
        <w:right w:val="none" w:sz="0" w:space="0" w:color="auto"/>
      </w:divBdr>
    </w:div>
    <w:div w:id="837964883">
      <w:bodyDiv w:val="1"/>
      <w:marLeft w:val="0"/>
      <w:marRight w:val="0"/>
      <w:marTop w:val="0"/>
      <w:marBottom w:val="0"/>
      <w:divBdr>
        <w:top w:val="none" w:sz="0" w:space="0" w:color="auto"/>
        <w:left w:val="none" w:sz="0" w:space="0" w:color="auto"/>
        <w:bottom w:val="none" w:sz="0" w:space="0" w:color="auto"/>
        <w:right w:val="none" w:sz="0" w:space="0" w:color="auto"/>
      </w:divBdr>
    </w:div>
    <w:div w:id="838077934">
      <w:bodyDiv w:val="1"/>
      <w:marLeft w:val="0"/>
      <w:marRight w:val="0"/>
      <w:marTop w:val="0"/>
      <w:marBottom w:val="0"/>
      <w:divBdr>
        <w:top w:val="none" w:sz="0" w:space="0" w:color="auto"/>
        <w:left w:val="none" w:sz="0" w:space="0" w:color="auto"/>
        <w:bottom w:val="none" w:sz="0" w:space="0" w:color="auto"/>
        <w:right w:val="none" w:sz="0" w:space="0" w:color="auto"/>
      </w:divBdr>
    </w:div>
    <w:div w:id="838236834">
      <w:bodyDiv w:val="1"/>
      <w:marLeft w:val="0"/>
      <w:marRight w:val="0"/>
      <w:marTop w:val="0"/>
      <w:marBottom w:val="0"/>
      <w:divBdr>
        <w:top w:val="none" w:sz="0" w:space="0" w:color="auto"/>
        <w:left w:val="none" w:sz="0" w:space="0" w:color="auto"/>
        <w:bottom w:val="none" w:sz="0" w:space="0" w:color="auto"/>
        <w:right w:val="none" w:sz="0" w:space="0" w:color="auto"/>
      </w:divBdr>
    </w:div>
    <w:div w:id="838426512">
      <w:bodyDiv w:val="1"/>
      <w:marLeft w:val="0"/>
      <w:marRight w:val="0"/>
      <w:marTop w:val="0"/>
      <w:marBottom w:val="0"/>
      <w:divBdr>
        <w:top w:val="none" w:sz="0" w:space="0" w:color="auto"/>
        <w:left w:val="none" w:sz="0" w:space="0" w:color="auto"/>
        <w:bottom w:val="none" w:sz="0" w:space="0" w:color="auto"/>
        <w:right w:val="none" w:sz="0" w:space="0" w:color="auto"/>
      </w:divBdr>
    </w:div>
    <w:div w:id="838429643">
      <w:bodyDiv w:val="1"/>
      <w:marLeft w:val="0"/>
      <w:marRight w:val="0"/>
      <w:marTop w:val="0"/>
      <w:marBottom w:val="0"/>
      <w:divBdr>
        <w:top w:val="none" w:sz="0" w:space="0" w:color="auto"/>
        <w:left w:val="none" w:sz="0" w:space="0" w:color="auto"/>
        <w:bottom w:val="none" w:sz="0" w:space="0" w:color="auto"/>
        <w:right w:val="none" w:sz="0" w:space="0" w:color="auto"/>
      </w:divBdr>
    </w:div>
    <w:div w:id="838694433">
      <w:bodyDiv w:val="1"/>
      <w:marLeft w:val="0"/>
      <w:marRight w:val="0"/>
      <w:marTop w:val="0"/>
      <w:marBottom w:val="0"/>
      <w:divBdr>
        <w:top w:val="none" w:sz="0" w:space="0" w:color="auto"/>
        <w:left w:val="none" w:sz="0" w:space="0" w:color="auto"/>
        <w:bottom w:val="none" w:sz="0" w:space="0" w:color="auto"/>
        <w:right w:val="none" w:sz="0" w:space="0" w:color="auto"/>
      </w:divBdr>
    </w:div>
    <w:div w:id="838813349">
      <w:bodyDiv w:val="1"/>
      <w:marLeft w:val="0"/>
      <w:marRight w:val="0"/>
      <w:marTop w:val="0"/>
      <w:marBottom w:val="0"/>
      <w:divBdr>
        <w:top w:val="none" w:sz="0" w:space="0" w:color="auto"/>
        <w:left w:val="none" w:sz="0" w:space="0" w:color="auto"/>
        <w:bottom w:val="none" w:sz="0" w:space="0" w:color="auto"/>
        <w:right w:val="none" w:sz="0" w:space="0" w:color="auto"/>
      </w:divBdr>
    </w:div>
    <w:div w:id="838882990">
      <w:bodyDiv w:val="1"/>
      <w:marLeft w:val="0"/>
      <w:marRight w:val="0"/>
      <w:marTop w:val="0"/>
      <w:marBottom w:val="0"/>
      <w:divBdr>
        <w:top w:val="none" w:sz="0" w:space="0" w:color="auto"/>
        <w:left w:val="none" w:sz="0" w:space="0" w:color="auto"/>
        <w:bottom w:val="none" w:sz="0" w:space="0" w:color="auto"/>
        <w:right w:val="none" w:sz="0" w:space="0" w:color="auto"/>
      </w:divBdr>
    </w:div>
    <w:div w:id="838933918">
      <w:bodyDiv w:val="1"/>
      <w:marLeft w:val="0"/>
      <w:marRight w:val="0"/>
      <w:marTop w:val="0"/>
      <w:marBottom w:val="0"/>
      <w:divBdr>
        <w:top w:val="none" w:sz="0" w:space="0" w:color="auto"/>
        <w:left w:val="none" w:sz="0" w:space="0" w:color="auto"/>
        <w:bottom w:val="none" w:sz="0" w:space="0" w:color="auto"/>
        <w:right w:val="none" w:sz="0" w:space="0" w:color="auto"/>
      </w:divBdr>
    </w:div>
    <w:div w:id="839003318">
      <w:bodyDiv w:val="1"/>
      <w:marLeft w:val="0"/>
      <w:marRight w:val="0"/>
      <w:marTop w:val="0"/>
      <w:marBottom w:val="0"/>
      <w:divBdr>
        <w:top w:val="none" w:sz="0" w:space="0" w:color="auto"/>
        <w:left w:val="none" w:sz="0" w:space="0" w:color="auto"/>
        <w:bottom w:val="none" w:sz="0" w:space="0" w:color="auto"/>
        <w:right w:val="none" w:sz="0" w:space="0" w:color="auto"/>
      </w:divBdr>
    </w:div>
    <w:div w:id="839005491">
      <w:bodyDiv w:val="1"/>
      <w:marLeft w:val="0"/>
      <w:marRight w:val="0"/>
      <w:marTop w:val="0"/>
      <w:marBottom w:val="0"/>
      <w:divBdr>
        <w:top w:val="none" w:sz="0" w:space="0" w:color="auto"/>
        <w:left w:val="none" w:sz="0" w:space="0" w:color="auto"/>
        <w:bottom w:val="none" w:sz="0" w:space="0" w:color="auto"/>
        <w:right w:val="none" w:sz="0" w:space="0" w:color="auto"/>
      </w:divBdr>
    </w:div>
    <w:div w:id="839193980">
      <w:bodyDiv w:val="1"/>
      <w:marLeft w:val="0"/>
      <w:marRight w:val="0"/>
      <w:marTop w:val="0"/>
      <w:marBottom w:val="0"/>
      <w:divBdr>
        <w:top w:val="none" w:sz="0" w:space="0" w:color="auto"/>
        <w:left w:val="none" w:sz="0" w:space="0" w:color="auto"/>
        <w:bottom w:val="none" w:sz="0" w:space="0" w:color="auto"/>
        <w:right w:val="none" w:sz="0" w:space="0" w:color="auto"/>
      </w:divBdr>
    </w:div>
    <w:div w:id="839348087">
      <w:bodyDiv w:val="1"/>
      <w:marLeft w:val="0"/>
      <w:marRight w:val="0"/>
      <w:marTop w:val="0"/>
      <w:marBottom w:val="0"/>
      <w:divBdr>
        <w:top w:val="none" w:sz="0" w:space="0" w:color="auto"/>
        <w:left w:val="none" w:sz="0" w:space="0" w:color="auto"/>
        <w:bottom w:val="none" w:sz="0" w:space="0" w:color="auto"/>
        <w:right w:val="none" w:sz="0" w:space="0" w:color="auto"/>
      </w:divBdr>
    </w:div>
    <w:div w:id="839348695">
      <w:bodyDiv w:val="1"/>
      <w:marLeft w:val="0"/>
      <w:marRight w:val="0"/>
      <w:marTop w:val="0"/>
      <w:marBottom w:val="0"/>
      <w:divBdr>
        <w:top w:val="none" w:sz="0" w:space="0" w:color="auto"/>
        <w:left w:val="none" w:sz="0" w:space="0" w:color="auto"/>
        <w:bottom w:val="none" w:sz="0" w:space="0" w:color="auto"/>
        <w:right w:val="none" w:sz="0" w:space="0" w:color="auto"/>
      </w:divBdr>
    </w:div>
    <w:div w:id="839349634">
      <w:bodyDiv w:val="1"/>
      <w:marLeft w:val="0"/>
      <w:marRight w:val="0"/>
      <w:marTop w:val="0"/>
      <w:marBottom w:val="0"/>
      <w:divBdr>
        <w:top w:val="none" w:sz="0" w:space="0" w:color="auto"/>
        <w:left w:val="none" w:sz="0" w:space="0" w:color="auto"/>
        <w:bottom w:val="none" w:sz="0" w:space="0" w:color="auto"/>
        <w:right w:val="none" w:sz="0" w:space="0" w:color="auto"/>
      </w:divBdr>
    </w:div>
    <w:div w:id="839467281">
      <w:bodyDiv w:val="1"/>
      <w:marLeft w:val="0"/>
      <w:marRight w:val="0"/>
      <w:marTop w:val="0"/>
      <w:marBottom w:val="0"/>
      <w:divBdr>
        <w:top w:val="none" w:sz="0" w:space="0" w:color="auto"/>
        <w:left w:val="none" w:sz="0" w:space="0" w:color="auto"/>
        <w:bottom w:val="none" w:sz="0" w:space="0" w:color="auto"/>
        <w:right w:val="none" w:sz="0" w:space="0" w:color="auto"/>
      </w:divBdr>
    </w:div>
    <w:div w:id="839613803">
      <w:bodyDiv w:val="1"/>
      <w:marLeft w:val="0"/>
      <w:marRight w:val="0"/>
      <w:marTop w:val="0"/>
      <w:marBottom w:val="0"/>
      <w:divBdr>
        <w:top w:val="none" w:sz="0" w:space="0" w:color="auto"/>
        <w:left w:val="none" w:sz="0" w:space="0" w:color="auto"/>
        <w:bottom w:val="none" w:sz="0" w:space="0" w:color="auto"/>
        <w:right w:val="none" w:sz="0" w:space="0" w:color="auto"/>
      </w:divBdr>
    </w:div>
    <w:div w:id="839732820">
      <w:bodyDiv w:val="1"/>
      <w:marLeft w:val="0"/>
      <w:marRight w:val="0"/>
      <w:marTop w:val="0"/>
      <w:marBottom w:val="0"/>
      <w:divBdr>
        <w:top w:val="none" w:sz="0" w:space="0" w:color="auto"/>
        <w:left w:val="none" w:sz="0" w:space="0" w:color="auto"/>
        <w:bottom w:val="none" w:sz="0" w:space="0" w:color="auto"/>
        <w:right w:val="none" w:sz="0" w:space="0" w:color="auto"/>
      </w:divBdr>
    </w:div>
    <w:div w:id="839780350">
      <w:bodyDiv w:val="1"/>
      <w:marLeft w:val="0"/>
      <w:marRight w:val="0"/>
      <w:marTop w:val="0"/>
      <w:marBottom w:val="0"/>
      <w:divBdr>
        <w:top w:val="none" w:sz="0" w:space="0" w:color="auto"/>
        <w:left w:val="none" w:sz="0" w:space="0" w:color="auto"/>
        <w:bottom w:val="none" w:sz="0" w:space="0" w:color="auto"/>
        <w:right w:val="none" w:sz="0" w:space="0" w:color="auto"/>
      </w:divBdr>
    </w:div>
    <w:div w:id="839781882">
      <w:bodyDiv w:val="1"/>
      <w:marLeft w:val="0"/>
      <w:marRight w:val="0"/>
      <w:marTop w:val="0"/>
      <w:marBottom w:val="0"/>
      <w:divBdr>
        <w:top w:val="none" w:sz="0" w:space="0" w:color="auto"/>
        <w:left w:val="none" w:sz="0" w:space="0" w:color="auto"/>
        <w:bottom w:val="none" w:sz="0" w:space="0" w:color="auto"/>
        <w:right w:val="none" w:sz="0" w:space="0" w:color="auto"/>
      </w:divBdr>
    </w:div>
    <w:div w:id="839856117">
      <w:bodyDiv w:val="1"/>
      <w:marLeft w:val="0"/>
      <w:marRight w:val="0"/>
      <w:marTop w:val="0"/>
      <w:marBottom w:val="0"/>
      <w:divBdr>
        <w:top w:val="none" w:sz="0" w:space="0" w:color="auto"/>
        <w:left w:val="none" w:sz="0" w:space="0" w:color="auto"/>
        <w:bottom w:val="none" w:sz="0" w:space="0" w:color="auto"/>
        <w:right w:val="none" w:sz="0" w:space="0" w:color="auto"/>
      </w:divBdr>
    </w:div>
    <w:div w:id="840000545">
      <w:bodyDiv w:val="1"/>
      <w:marLeft w:val="0"/>
      <w:marRight w:val="0"/>
      <w:marTop w:val="0"/>
      <w:marBottom w:val="0"/>
      <w:divBdr>
        <w:top w:val="none" w:sz="0" w:space="0" w:color="auto"/>
        <w:left w:val="none" w:sz="0" w:space="0" w:color="auto"/>
        <w:bottom w:val="none" w:sz="0" w:space="0" w:color="auto"/>
        <w:right w:val="none" w:sz="0" w:space="0" w:color="auto"/>
      </w:divBdr>
    </w:div>
    <w:div w:id="840002207">
      <w:bodyDiv w:val="1"/>
      <w:marLeft w:val="0"/>
      <w:marRight w:val="0"/>
      <w:marTop w:val="0"/>
      <w:marBottom w:val="0"/>
      <w:divBdr>
        <w:top w:val="none" w:sz="0" w:space="0" w:color="auto"/>
        <w:left w:val="none" w:sz="0" w:space="0" w:color="auto"/>
        <w:bottom w:val="none" w:sz="0" w:space="0" w:color="auto"/>
        <w:right w:val="none" w:sz="0" w:space="0" w:color="auto"/>
      </w:divBdr>
    </w:div>
    <w:div w:id="840122486">
      <w:bodyDiv w:val="1"/>
      <w:marLeft w:val="0"/>
      <w:marRight w:val="0"/>
      <w:marTop w:val="0"/>
      <w:marBottom w:val="0"/>
      <w:divBdr>
        <w:top w:val="none" w:sz="0" w:space="0" w:color="auto"/>
        <w:left w:val="none" w:sz="0" w:space="0" w:color="auto"/>
        <w:bottom w:val="none" w:sz="0" w:space="0" w:color="auto"/>
        <w:right w:val="none" w:sz="0" w:space="0" w:color="auto"/>
      </w:divBdr>
    </w:div>
    <w:div w:id="840389458">
      <w:bodyDiv w:val="1"/>
      <w:marLeft w:val="0"/>
      <w:marRight w:val="0"/>
      <w:marTop w:val="0"/>
      <w:marBottom w:val="0"/>
      <w:divBdr>
        <w:top w:val="none" w:sz="0" w:space="0" w:color="auto"/>
        <w:left w:val="none" w:sz="0" w:space="0" w:color="auto"/>
        <w:bottom w:val="none" w:sz="0" w:space="0" w:color="auto"/>
        <w:right w:val="none" w:sz="0" w:space="0" w:color="auto"/>
      </w:divBdr>
    </w:div>
    <w:div w:id="840776438">
      <w:bodyDiv w:val="1"/>
      <w:marLeft w:val="0"/>
      <w:marRight w:val="0"/>
      <w:marTop w:val="0"/>
      <w:marBottom w:val="0"/>
      <w:divBdr>
        <w:top w:val="none" w:sz="0" w:space="0" w:color="auto"/>
        <w:left w:val="none" w:sz="0" w:space="0" w:color="auto"/>
        <w:bottom w:val="none" w:sz="0" w:space="0" w:color="auto"/>
        <w:right w:val="none" w:sz="0" w:space="0" w:color="auto"/>
      </w:divBdr>
    </w:div>
    <w:div w:id="840849130">
      <w:bodyDiv w:val="1"/>
      <w:marLeft w:val="0"/>
      <w:marRight w:val="0"/>
      <w:marTop w:val="0"/>
      <w:marBottom w:val="0"/>
      <w:divBdr>
        <w:top w:val="none" w:sz="0" w:space="0" w:color="auto"/>
        <w:left w:val="none" w:sz="0" w:space="0" w:color="auto"/>
        <w:bottom w:val="none" w:sz="0" w:space="0" w:color="auto"/>
        <w:right w:val="none" w:sz="0" w:space="0" w:color="auto"/>
      </w:divBdr>
    </w:div>
    <w:div w:id="840851428">
      <w:bodyDiv w:val="1"/>
      <w:marLeft w:val="0"/>
      <w:marRight w:val="0"/>
      <w:marTop w:val="0"/>
      <w:marBottom w:val="0"/>
      <w:divBdr>
        <w:top w:val="none" w:sz="0" w:space="0" w:color="auto"/>
        <w:left w:val="none" w:sz="0" w:space="0" w:color="auto"/>
        <w:bottom w:val="none" w:sz="0" w:space="0" w:color="auto"/>
        <w:right w:val="none" w:sz="0" w:space="0" w:color="auto"/>
      </w:divBdr>
    </w:div>
    <w:div w:id="840853620">
      <w:bodyDiv w:val="1"/>
      <w:marLeft w:val="0"/>
      <w:marRight w:val="0"/>
      <w:marTop w:val="0"/>
      <w:marBottom w:val="0"/>
      <w:divBdr>
        <w:top w:val="none" w:sz="0" w:space="0" w:color="auto"/>
        <w:left w:val="none" w:sz="0" w:space="0" w:color="auto"/>
        <w:bottom w:val="none" w:sz="0" w:space="0" w:color="auto"/>
        <w:right w:val="none" w:sz="0" w:space="0" w:color="auto"/>
      </w:divBdr>
    </w:div>
    <w:div w:id="840966602">
      <w:bodyDiv w:val="1"/>
      <w:marLeft w:val="0"/>
      <w:marRight w:val="0"/>
      <w:marTop w:val="0"/>
      <w:marBottom w:val="0"/>
      <w:divBdr>
        <w:top w:val="none" w:sz="0" w:space="0" w:color="auto"/>
        <w:left w:val="none" w:sz="0" w:space="0" w:color="auto"/>
        <w:bottom w:val="none" w:sz="0" w:space="0" w:color="auto"/>
        <w:right w:val="none" w:sz="0" w:space="0" w:color="auto"/>
      </w:divBdr>
    </w:div>
    <w:div w:id="841234764">
      <w:bodyDiv w:val="1"/>
      <w:marLeft w:val="0"/>
      <w:marRight w:val="0"/>
      <w:marTop w:val="0"/>
      <w:marBottom w:val="0"/>
      <w:divBdr>
        <w:top w:val="none" w:sz="0" w:space="0" w:color="auto"/>
        <w:left w:val="none" w:sz="0" w:space="0" w:color="auto"/>
        <w:bottom w:val="none" w:sz="0" w:space="0" w:color="auto"/>
        <w:right w:val="none" w:sz="0" w:space="0" w:color="auto"/>
      </w:divBdr>
    </w:div>
    <w:div w:id="841240765">
      <w:bodyDiv w:val="1"/>
      <w:marLeft w:val="0"/>
      <w:marRight w:val="0"/>
      <w:marTop w:val="0"/>
      <w:marBottom w:val="0"/>
      <w:divBdr>
        <w:top w:val="none" w:sz="0" w:space="0" w:color="auto"/>
        <w:left w:val="none" w:sz="0" w:space="0" w:color="auto"/>
        <w:bottom w:val="none" w:sz="0" w:space="0" w:color="auto"/>
        <w:right w:val="none" w:sz="0" w:space="0" w:color="auto"/>
      </w:divBdr>
    </w:div>
    <w:div w:id="841361947">
      <w:bodyDiv w:val="1"/>
      <w:marLeft w:val="0"/>
      <w:marRight w:val="0"/>
      <w:marTop w:val="0"/>
      <w:marBottom w:val="0"/>
      <w:divBdr>
        <w:top w:val="none" w:sz="0" w:space="0" w:color="auto"/>
        <w:left w:val="none" w:sz="0" w:space="0" w:color="auto"/>
        <w:bottom w:val="none" w:sz="0" w:space="0" w:color="auto"/>
        <w:right w:val="none" w:sz="0" w:space="0" w:color="auto"/>
      </w:divBdr>
    </w:div>
    <w:div w:id="841429217">
      <w:bodyDiv w:val="1"/>
      <w:marLeft w:val="0"/>
      <w:marRight w:val="0"/>
      <w:marTop w:val="0"/>
      <w:marBottom w:val="0"/>
      <w:divBdr>
        <w:top w:val="none" w:sz="0" w:space="0" w:color="auto"/>
        <w:left w:val="none" w:sz="0" w:space="0" w:color="auto"/>
        <w:bottom w:val="none" w:sz="0" w:space="0" w:color="auto"/>
        <w:right w:val="none" w:sz="0" w:space="0" w:color="auto"/>
      </w:divBdr>
    </w:div>
    <w:div w:id="841698452">
      <w:bodyDiv w:val="1"/>
      <w:marLeft w:val="0"/>
      <w:marRight w:val="0"/>
      <w:marTop w:val="0"/>
      <w:marBottom w:val="0"/>
      <w:divBdr>
        <w:top w:val="none" w:sz="0" w:space="0" w:color="auto"/>
        <w:left w:val="none" w:sz="0" w:space="0" w:color="auto"/>
        <w:bottom w:val="none" w:sz="0" w:space="0" w:color="auto"/>
        <w:right w:val="none" w:sz="0" w:space="0" w:color="auto"/>
      </w:divBdr>
    </w:div>
    <w:div w:id="841745611">
      <w:bodyDiv w:val="1"/>
      <w:marLeft w:val="0"/>
      <w:marRight w:val="0"/>
      <w:marTop w:val="0"/>
      <w:marBottom w:val="0"/>
      <w:divBdr>
        <w:top w:val="none" w:sz="0" w:space="0" w:color="auto"/>
        <w:left w:val="none" w:sz="0" w:space="0" w:color="auto"/>
        <w:bottom w:val="none" w:sz="0" w:space="0" w:color="auto"/>
        <w:right w:val="none" w:sz="0" w:space="0" w:color="auto"/>
      </w:divBdr>
    </w:div>
    <w:div w:id="841941000">
      <w:bodyDiv w:val="1"/>
      <w:marLeft w:val="0"/>
      <w:marRight w:val="0"/>
      <w:marTop w:val="0"/>
      <w:marBottom w:val="0"/>
      <w:divBdr>
        <w:top w:val="none" w:sz="0" w:space="0" w:color="auto"/>
        <w:left w:val="none" w:sz="0" w:space="0" w:color="auto"/>
        <w:bottom w:val="none" w:sz="0" w:space="0" w:color="auto"/>
        <w:right w:val="none" w:sz="0" w:space="0" w:color="auto"/>
      </w:divBdr>
    </w:div>
    <w:div w:id="841971548">
      <w:bodyDiv w:val="1"/>
      <w:marLeft w:val="0"/>
      <w:marRight w:val="0"/>
      <w:marTop w:val="0"/>
      <w:marBottom w:val="0"/>
      <w:divBdr>
        <w:top w:val="none" w:sz="0" w:space="0" w:color="auto"/>
        <w:left w:val="none" w:sz="0" w:space="0" w:color="auto"/>
        <w:bottom w:val="none" w:sz="0" w:space="0" w:color="auto"/>
        <w:right w:val="none" w:sz="0" w:space="0" w:color="auto"/>
      </w:divBdr>
    </w:div>
    <w:div w:id="841973550">
      <w:bodyDiv w:val="1"/>
      <w:marLeft w:val="0"/>
      <w:marRight w:val="0"/>
      <w:marTop w:val="0"/>
      <w:marBottom w:val="0"/>
      <w:divBdr>
        <w:top w:val="none" w:sz="0" w:space="0" w:color="auto"/>
        <w:left w:val="none" w:sz="0" w:space="0" w:color="auto"/>
        <w:bottom w:val="none" w:sz="0" w:space="0" w:color="auto"/>
        <w:right w:val="none" w:sz="0" w:space="0" w:color="auto"/>
      </w:divBdr>
    </w:div>
    <w:div w:id="842086828">
      <w:bodyDiv w:val="1"/>
      <w:marLeft w:val="0"/>
      <w:marRight w:val="0"/>
      <w:marTop w:val="0"/>
      <w:marBottom w:val="0"/>
      <w:divBdr>
        <w:top w:val="none" w:sz="0" w:space="0" w:color="auto"/>
        <w:left w:val="none" w:sz="0" w:space="0" w:color="auto"/>
        <w:bottom w:val="none" w:sz="0" w:space="0" w:color="auto"/>
        <w:right w:val="none" w:sz="0" w:space="0" w:color="auto"/>
      </w:divBdr>
    </w:div>
    <w:div w:id="842208254">
      <w:bodyDiv w:val="1"/>
      <w:marLeft w:val="0"/>
      <w:marRight w:val="0"/>
      <w:marTop w:val="0"/>
      <w:marBottom w:val="0"/>
      <w:divBdr>
        <w:top w:val="none" w:sz="0" w:space="0" w:color="auto"/>
        <w:left w:val="none" w:sz="0" w:space="0" w:color="auto"/>
        <w:bottom w:val="none" w:sz="0" w:space="0" w:color="auto"/>
        <w:right w:val="none" w:sz="0" w:space="0" w:color="auto"/>
      </w:divBdr>
    </w:div>
    <w:div w:id="842234307">
      <w:bodyDiv w:val="1"/>
      <w:marLeft w:val="0"/>
      <w:marRight w:val="0"/>
      <w:marTop w:val="0"/>
      <w:marBottom w:val="0"/>
      <w:divBdr>
        <w:top w:val="none" w:sz="0" w:space="0" w:color="auto"/>
        <w:left w:val="none" w:sz="0" w:space="0" w:color="auto"/>
        <w:bottom w:val="none" w:sz="0" w:space="0" w:color="auto"/>
        <w:right w:val="none" w:sz="0" w:space="0" w:color="auto"/>
      </w:divBdr>
    </w:div>
    <w:div w:id="842352177">
      <w:bodyDiv w:val="1"/>
      <w:marLeft w:val="0"/>
      <w:marRight w:val="0"/>
      <w:marTop w:val="0"/>
      <w:marBottom w:val="0"/>
      <w:divBdr>
        <w:top w:val="none" w:sz="0" w:space="0" w:color="auto"/>
        <w:left w:val="none" w:sz="0" w:space="0" w:color="auto"/>
        <w:bottom w:val="none" w:sz="0" w:space="0" w:color="auto"/>
        <w:right w:val="none" w:sz="0" w:space="0" w:color="auto"/>
      </w:divBdr>
    </w:div>
    <w:div w:id="842358052">
      <w:bodyDiv w:val="1"/>
      <w:marLeft w:val="0"/>
      <w:marRight w:val="0"/>
      <w:marTop w:val="0"/>
      <w:marBottom w:val="0"/>
      <w:divBdr>
        <w:top w:val="none" w:sz="0" w:space="0" w:color="auto"/>
        <w:left w:val="none" w:sz="0" w:space="0" w:color="auto"/>
        <w:bottom w:val="none" w:sz="0" w:space="0" w:color="auto"/>
        <w:right w:val="none" w:sz="0" w:space="0" w:color="auto"/>
      </w:divBdr>
    </w:div>
    <w:div w:id="842554591">
      <w:bodyDiv w:val="1"/>
      <w:marLeft w:val="0"/>
      <w:marRight w:val="0"/>
      <w:marTop w:val="0"/>
      <w:marBottom w:val="0"/>
      <w:divBdr>
        <w:top w:val="none" w:sz="0" w:space="0" w:color="auto"/>
        <w:left w:val="none" w:sz="0" w:space="0" w:color="auto"/>
        <w:bottom w:val="none" w:sz="0" w:space="0" w:color="auto"/>
        <w:right w:val="none" w:sz="0" w:space="0" w:color="auto"/>
      </w:divBdr>
    </w:div>
    <w:div w:id="842667110">
      <w:bodyDiv w:val="1"/>
      <w:marLeft w:val="0"/>
      <w:marRight w:val="0"/>
      <w:marTop w:val="0"/>
      <w:marBottom w:val="0"/>
      <w:divBdr>
        <w:top w:val="none" w:sz="0" w:space="0" w:color="auto"/>
        <w:left w:val="none" w:sz="0" w:space="0" w:color="auto"/>
        <w:bottom w:val="none" w:sz="0" w:space="0" w:color="auto"/>
        <w:right w:val="none" w:sz="0" w:space="0" w:color="auto"/>
      </w:divBdr>
    </w:div>
    <w:div w:id="842740071">
      <w:bodyDiv w:val="1"/>
      <w:marLeft w:val="0"/>
      <w:marRight w:val="0"/>
      <w:marTop w:val="0"/>
      <w:marBottom w:val="0"/>
      <w:divBdr>
        <w:top w:val="none" w:sz="0" w:space="0" w:color="auto"/>
        <w:left w:val="none" w:sz="0" w:space="0" w:color="auto"/>
        <w:bottom w:val="none" w:sz="0" w:space="0" w:color="auto"/>
        <w:right w:val="none" w:sz="0" w:space="0" w:color="auto"/>
      </w:divBdr>
    </w:div>
    <w:div w:id="842741664">
      <w:bodyDiv w:val="1"/>
      <w:marLeft w:val="0"/>
      <w:marRight w:val="0"/>
      <w:marTop w:val="0"/>
      <w:marBottom w:val="0"/>
      <w:divBdr>
        <w:top w:val="none" w:sz="0" w:space="0" w:color="auto"/>
        <w:left w:val="none" w:sz="0" w:space="0" w:color="auto"/>
        <w:bottom w:val="none" w:sz="0" w:space="0" w:color="auto"/>
        <w:right w:val="none" w:sz="0" w:space="0" w:color="auto"/>
      </w:divBdr>
    </w:div>
    <w:div w:id="842743414">
      <w:bodyDiv w:val="1"/>
      <w:marLeft w:val="0"/>
      <w:marRight w:val="0"/>
      <w:marTop w:val="0"/>
      <w:marBottom w:val="0"/>
      <w:divBdr>
        <w:top w:val="none" w:sz="0" w:space="0" w:color="auto"/>
        <w:left w:val="none" w:sz="0" w:space="0" w:color="auto"/>
        <w:bottom w:val="none" w:sz="0" w:space="0" w:color="auto"/>
        <w:right w:val="none" w:sz="0" w:space="0" w:color="auto"/>
      </w:divBdr>
    </w:div>
    <w:div w:id="842937046">
      <w:bodyDiv w:val="1"/>
      <w:marLeft w:val="0"/>
      <w:marRight w:val="0"/>
      <w:marTop w:val="0"/>
      <w:marBottom w:val="0"/>
      <w:divBdr>
        <w:top w:val="none" w:sz="0" w:space="0" w:color="auto"/>
        <w:left w:val="none" w:sz="0" w:space="0" w:color="auto"/>
        <w:bottom w:val="none" w:sz="0" w:space="0" w:color="auto"/>
        <w:right w:val="none" w:sz="0" w:space="0" w:color="auto"/>
      </w:divBdr>
    </w:div>
    <w:div w:id="843128459">
      <w:bodyDiv w:val="1"/>
      <w:marLeft w:val="0"/>
      <w:marRight w:val="0"/>
      <w:marTop w:val="0"/>
      <w:marBottom w:val="0"/>
      <w:divBdr>
        <w:top w:val="none" w:sz="0" w:space="0" w:color="auto"/>
        <w:left w:val="none" w:sz="0" w:space="0" w:color="auto"/>
        <w:bottom w:val="none" w:sz="0" w:space="0" w:color="auto"/>
        <w:right w:val="none" w:sz="0" w:space="0" w:color="auto"/>
      </w:divBdr>
    </w:div>
    <w:div w:id="843397266">
      <w:bodyDiv w:val="1"/>
      <w:marLeft w:val="0"/>
      <w:marRight w:val="0"/>
      <w:marTop w:val="0"/>
      <w:marBottom w:val="0"/>
      <w:divBdr>
        <w:top w:val="none" w:sz="0" w:space="0" w:color="auto"/>
        <w:left w:val="none" w:sz="0" w:space="0" w:color="auto"/>
        <w:bottom w:val="none" w:sz="0" w:space="0" w:color="auto"/>
        <w:right w:val="none" w:sz="0" w:space="0" w:color="auto"/>
      </w:divBdr>
    </w:div>
    <w:div w:id="843856031">
      <w:bodyDiv w:val="1"/>
      <w:marLeft w:val="0"/>
      <w:marRight w:val="0"/>
      <w:marTop w:val="0"/>
      <w:marBottom w:val="0"/>
      <w:divBdr>
        <w:top w:val="none" w:sz="0" w:space="0" w:color="auto"/>
        <w:left w:val="none" w:sz="0" w:space="0" w:color="auto"/>
        <w:bottom w:val="none" w:sz="0" w:space="0" w:color="auto"/>
        <w:right w:val="none" w:sz="0" w:space="0" w:color="auto"/>
      </w:divBdr>
    </w:div>
    <w:div w:id="843859023">
      <w:bodyDiv w:val="1"/>
      <w:marLeft w:val="0"/>
      <w:marRight w:val="0"/>
      <w:marTop w:val="0"/>
      <w:marBottom w:val="0"/>
      <w:divBdr>
        <w:top w:val="none" w:sz="0" w:space="0" w:color="auto"/>
        <w:left w:val="none" w:sz="0" w:space="0" w:color="auto"/>
        <w:bottom w:val="none" w:sz="0" w:space="0" w:color="auto"/>
        <w:right w:val="none" w:sz="0" w:space="0" w:color="auto"/>
      </w:divBdr>
    </w:div>
    <w:div w:id="843979056">
      <w:bodyDiv w:val="1"/>
      <w:marLeft w:val="0"/>
      <w:marRight w:val="0"/>
      <w:marTop w:val="0"/>
      <w:marBottom w:val="0"/>
      <w:divBdr>
        <w:top w:val="none" w:sz="0" w:space="0" w:color="auto"/>
        <w:left w:val="none" w:sz="0" w:space="0" w:color="auto"/>
        <w:bottom w:val="none" w:sz="0" w:space="0" w:color="auto"/>
        <w:right w:val="none" w:sz="0" w:space="0" w:color="auto"/>
      </w:divBdr>
    </w:div>
    <w:div w:id="844176316">
      <w:bodyDiv w:val="1"/>
      <w:marLeft w:val="0"/>
      <w:marRight w:val="0"/>
      <w:marTop w:val="0"/>
      <w:marBottom w:val="0"/>
      <w:divBdr>
        <w:top w:val="none" w:sz="0" w:space="0" w:color="auto"/>
        <w:left w:val="none" w:sz="0" w:space="0" w:color="auto"/>
        <w:bottom w:val="none" w:sz="0" w:space="0" w:color="auto"/>
        <w:right w:val="none" w:sz="0" w:space="0" w:color="auto"/>
      </w:divBdr>
    </w:div>
    <w:div w:id="844444214">
      <w:bodyDiv w:val="1"/>
      <w:marLeft w:val="0"/>
      <w:marRight w:val="0"/>
      <w:marTop w:val="0"/>
      <w:marBottom w:val="0"/>
      <w:divBdr>
        <w:top w:val="none" w:sz="0" w:space="0" w:color="auto"/>
        <w:left w:val="none" w:sz="0" w:space="0" w:color="auto"/>
        <w:bottom w:val="none" w:sz="0" w:space="0" w:color="auto"/>
        <w:right w:val="none" w:sz="0" w:space="0" w:color="auto"/>
      </w:divBdr>
    </w:div>
    <w:div w:id="844511212">
      <w:bodyDiv w:val="1"/>
      <w:marLeft w:val="0"/>
      <w:marRight w:val="0"/>
      <w:marTop w:val="0"/>
      <w:marBottom w:val="0"/>
      <w:divBdr>
        <w:top w:val="none" w:sz="0" w:space="0" w:color="auto"/>
        <w:left w:val="none" w:sz="0" w:space="0" w:color="auto"/>
        <w:bottom w:val="none" w:sz="0" w:space="0" w:color="auto"/>
        <w:right w:val="none" w:sz="0" w:space="0" w:color="auto"/>
      </w:divBdr>
    </w:div>
    <w:div w:id="844899788">
      <w:bodyDiv w:val="1"/>
      <w:marLeft w:val="0"/>
      <w:marRight w:val="0"/>
      <w:marTop w:val="0"/>
      <w:marBottom w:val="0"/>
      <w:divBdr>
        <w:top w:val="none" w:sz="0" w:space="0" w:color="auto"/>
        <w:left w:val="none" w:sz="0" w:space="0" w:color="auto"/>
        <w:bottom w:val="none" w:sz="0" w:space="0" w:color="auto"/>
        <w:right w:val="none" w:sz="0" w:space="0" w:color="auto"/>
      </w:divBdr>
    </w:div>
    <w:div w:id="844978035">
      <w:bodyDiv w:val="1"/>
      <w:marLeft w:val="0"/>
      <w:marRight w:val="0"/>
      <w:marTop w:val="0"/>
      <w:marBottom w:val="0"/>
      <w:divBdr>
        <w:top w:val="none" w:sz="0" w:space="0" w:color="auto"/>
        <w:left w:val="none" w:sz="0" w:space="0" w:color="auto"/>
        <w:bottom w:val="none" w:sz="0" w:space="0" w:color="auto"/>
        <w:right w:val="none" w:sz="0" w:space="0" w:color="auto"/>
      </w:divBdr>
    </w:div>
    <w:div w:id="845166921">
      <w:bodyDiv w:val="1"/>
      <w:marLeft w:val="0"/>
      <w:marRight w:val="0"/>
      <w:marTop w:val="0"/>
      <w:marBottom w:val="0"/>
      <w:divBdr>
        <w:top w:val="none" w:sz="0" w:space="0" w:color="auto"/>
        <w:left w:val="none" w:sz="0" w:space="0" w:color="auto"/>
        <w:bottom w:val="none" w:sz="0" w:space="0" w:color="auto"/>
        <w:right w:val="none" w:sz="0" w:space="0" w:color="auto"/>
      </w:divBdr>
    </w:div>
    <w:div w:id="845285036">
      <w:bodyDiv w:val="1"/>
      <w:marLeft w:val="0"/>
      <w:marRight w:val="0"/>
      <w:marTop w:val="0"/>
      <w:marBottom w:val="0"/>
      <w:divBdr>
        <w:top w:val="none" w:sz="0" w:space="0" w:color="auto"/>
        <w:left w:val="none" w:sz="0" w:space="0" w:color="auto"/>
        <w:bottom w:val="none" w:sz="0" w:space="0" w:color="auto"/>
        <w:right w:val="none" w:sz="0" w:space="0" w:color="auto"/>
      </w:divBdr>
    </w:div>
    <w:div w:id="845439022">
      <w:bodyDiv w:val="1"/>
      <w:marLeft w:val="0"/>
      <w:marRight w:val="0"/>
      <w:marTop w:val="0"/>
      <w:marBottom w:val="0"/>
      <w:divBdr>
        <w:top w:val="none" w:sz="0" w:space="0" w:color="auto"/>
        <w:left w:val="none" w:sz="0" w:space="0" w:color="auto"/>
        <w:bottom w:val="none" w:sz="0" w:space="0" w:color="auto"/>
        <w:right w:val="none" w:sz="0" w:space="0" w:color="auto"/>
      </w:divBdr>
    </w:div>
    <w:div w:id="845486461">
      <w:bodyDiv w:val="1"/>
      <w:marLeft w:val="0"/>
      <w:marRight w:val="0"/>
      <w:marTop w:val="0"/>
      <w:marBottom w:val="0"/>
      <w:divBdr>
        <w:top w:val="none" w:sz="0" w:space="0" w:color="auto"/>
        <w:left w:val="none" w:sz="0" w:space="0" w:color="auto"/>
        <w:bottom w:val="none" w:sz="0" w:space="0" w:color="auto"/>
        <w:right w:val="none" w:sz="0" w:space="0" w:color="auto"/>
      </w:divBdr>
    </w:div>
    <w:div w:id="845897463">
      <w:bodyDiv w:val="1"/>
      <w:marLeft w:val="0"/>
      <w:marRight w:val="0"/>
      <w:marTop w:val="0"/>
      <w:marBottom w:val="0"/>
      <w:divBdr>
        <w:top w:val="none" w:sz="0" w:space="0" w:color="auto"/>
        <w:left w:val="none" w:sz="0" w:space="0" w:color="auto"/>
        <w:bottom w:val="none" w:sz="0" w:space="0" w:color="auto"/>
        <w:right w:val="none" w:sz="0" w:space="0" w:color="auto"/>
      </w:divBdr>
    </w:div>
    <w:div w:id="845898643">
      <w:bodyDiv w:val="1"/>
      <w:marLeft w:val="0"/>
      <w:marRight w:val="0"/>
      <w:marTop w:val="0"/>
      <w:marBottom w:val="0"/>
      <w:divBdr>
        <w:top w:val="none" w:sz="0" w:space="0" w:color="auto"/>
        <w:left w:val="none" w:sz="0" w:space="0" w:color="auto"/>
        <w:bottom w:val="none" w:sz="0" w:space="0" w:color="auto"/>
        <w:right w:val="none" w:sz="0" w:space="0" w:color="auto"/>
      </w:divBdr>
    </w:div>
    <w:div w:id="846139553">
      <w:bodyDiv w:val="1"/>
      <w:marLeft w:val="0"/>
      <w:marRight w:val="0"/>
      <w:marTop w:val="0"/>
      <w:marBottom w:val="0"/>
      <w:divBdr>
        <w:top w:val="none" w:sz="0" w:space="0" w:color="auto"/>
        <w:left w:val="none" w:sz="0" w:space="0" w:color="auto"/>
        <w:bottom w:val="none" w:sz="0" w:space="0" w:color="auto"/>
        <w:right w:val="none" w:sz="0" w:space="0" w:color="auto"/>
      </w:divBdr>
    </w:div>
    <w:div w:id="846141745">
      <w:bodyDiv w:val="1"/>
      <w:marLeft w:val="0"/>
      <w:marRight w:val="0"/>
      <w:marTop w:val="0"/>
      <w:marBottom w:val="0"/>
      <w:divBdr>
        <w:top w:val="none" w:sz="0" w:space="0" w:color="auto"/>
        <w:left w:val="none" w:sz="0" w:space="0" w:color="auto"/>
        <w:bottom w:val="none" w:sz="0" w:space="0" w:color="auto"/>
        <w:right w:val="none" w:sz="0" w:space="0" w:color="auto"/>
      </w:divBdr>
    </w:div>
    <w:div w:id="846406043">
      <w:bodyDiv w:val="1"/>
      <w:marLeft w:val="0"/>
      <w:marRight w:val="0"/>
      <w:marTop w:val="0"/>
      <w:marBottom w:val="0"/>
      <w:divBdr>
        <w:top w:val="none" w:sz="0" w:space="0" w:color="auto"/>
        <w:left w:val="none" w:sz="0" w:space="0" w:color="auto"/>
        <w:bottom w:val="none" w:sz="0" w:space="0" w:color="auto"/>
        <w:right w:val="none" w:sz="0" w:space="0" w:color="auto"/>
      </w:divBdr>
    </w:div>
    <w:div w:id="846560634">
      <w:bodyDiv w:val="1"/>
      <w:marLeft w:val="0"/>
      <w:marRight w:val="0"/>
      <w:marTop w:val="0"/>
      <w:marBottom w:val="0"/>
      <w:divBdr>
        <w:top w:val="none" w:sz="0" w:space="0" w:color="auto"/>
        <w:left w:val="none" w:sz="0" w:space="0" w:color="auto"/>
        <w:bottom w:val="none" w:sz="0" w:space="0" w:color="auto"/>
        <w:right w:val="none" w:sz="0" w:space="0" w:color="auto"/>
      </w:divBdr>
    </w:div>
    <w:div w:id="846670786">
      <w:bodyDiv w:val="1"/>
      <w:marLeft w:val="0"/>
      <w:marRight w:val="0"/>
      <w:marTop w:val="0"/>
      <w:marBottom w:val="0"/>
      <w:divBdr>
        <w:top w:val="none" w:sz="0" w:space="0" w:color="auto"/>
        <w:left w:val="none" w:sz="0" w:space="0" w:color="auto"/>
        <w:bottom w:val="none" w:sz="0" w:space="0" w:color="auto"/>
        <w:right w:val="none" w:sz="0" w:space="0" w:color="auto"/>
      </w:divBdr>
    </w:div>
    <w:div w:id="846796166">
      <w:bodyDiv w:val="1"/>
      <w:marLeft w:val="0"/>
      <w:marRight w:val="0"/>
      <w:marTop w:val="0"/>
      <w:marBottom w:val="0"/>
      <w:divBdr>
        <w:top w:val="none" w:sz="0" w:space="0" w:color="auto"/>
        <w:left w:val="none" w:sz="0" w:space="0" w:color="auto"/>
        <w:bottom w:val="none" w:sz="0" w:space="0" w:color="auto"/>
        <w:right w:val="none" w:sz="0" w:space="0" w:color="auto"/>
      </w:divBdr>
    </w:div>
    <w:div w:id="846796494">
      <w:bodyDiv w:val="1"/>
      <w:marLeft w:val="0"/>
      <w:marRight w:val="0"/>
      <w:marTop w:val="0"/>
      <w:marBottom w:val="0"/>
      <w:divBdr>
        <w:top w:val="none" w:sz="0" w:space="0" w:color="auto"/>
        <w:left w:val="none" w:sz="0" w:space="0" w:color="auto"/>
        <w:bottom w:val="none" w:sz="0" w:space="0" w:color="auto"/>
        <w:right w:val="none" w:sz="0" w:space="0" w:color="auto"/>
      </w:divBdr>
    </w:div>
    <w:div w:id="847257547">
      <w:bodyDiv w:val="1"/>
      <w:marLeft w:val="0"/>
      <w:marRight w:val="0"/>
      <w:marTop w:val="0"/>
      <w:marBottom w:val="0"/>
      <w:divBdr>
        <w:top w:val="none" w:sz="0" w:space="0" w:color="auto"/>
        <w:left w:val="none" w:sz="0" w:space="0" w:color="auto"/>
        <w:bottom w:val="none" w:sz="0" w:space="0" w:color="auto"/>
        <w:right w:val="none" w:sz="0" w:space="0" w:color="auto"/>
      </w:divBdr>
    </w:div>
    <w:div w:id="847331172">
      <w:bodyDiv w:val="1"/>
      <w:marLeft w:val="0"/>
      <w:marRight w:val="0"/>
      <w:marTop w:val="0"/>
      <w:marBottom w:val="0"/>
      <w:divBdr>
        <w:top w:val="none" w:sz="0" w:space="0" w:color="auto"/>
        <w:left w:val="none" w:sz="0" w:space="0" w:color="auto"/>
        <w:bottom w:val="none" w:sz="0" w:space="0" w:color="auto"/>
        <w:right w:val="none" w:sz="0" w:space="0" w:color="auto"/>
      </w:divBdr>
    </w:div>
    <w:div w:id="847477531">
      <w:bodyDiv w:val="1"/>
      <w:marLeft w:val="0"/>
      <w:marRight w:val="0"/>
      <w:marTop w:val="0"/>
      <w:marBottom w:val="0"/>
      <w:divBdr>
        <w:top w:val="none" w:sz="0" w:space="0" w:color="auto"/>
        <w:left w:val="none" w:sz="0" w:space="0" w:color="auto"/>
        <w:bottom w:val="none" w:sz="0" w:space="0" w:color="auto"/>
        <w:right w:val="none" w:sz="0" w:space="0" w:color="auto"/>
      </w:divBdr>
    </w:div>
    <w:div w:id="847599032">
      <w:bodyDiv w:val="1"/>
      <w:marLeft w:val="0"/>
      <w:marRight w:val="0"/>
      <w:marTop w:val="0"/>
      <w:marBottom w:val="0"/>
      <w:divBdr>
        <w:top w:val="none" w:sz="0" w:space="0" w:color="auto"/>
        <w:left w:val="none" w:sz="0" w:space="0" w:color="auto"/>
        <w:bottom w:val="none" w:sz="0" w:space="0" w:color="auto"/>
        <w:right w:val="none" w:sz="0" w:space="0" w:color="auto"/>
      </w:divBdr>
    </w:div>
    <w:div w:id="847795363">
      <w:bodyDiv w:val="1"/>
      <w:marLeft w:val="0"/>
      <w:marRight w:val="0"/>
      <w:marTop w:val="0"/>
      <w:marBottom w:val="0"/>
      <w:divBdr>
        <w:top w:val="none" w:sz="0" w:space="0" w:color="auto"/>
        <w:left w:val="none" w:sz="0" w:space="0" w:color="auto"/>
        <w:bottom w:val="none" w:sz="0" w:space="0" w:color="auto"/>
        <w:right w:val="none" w:sz="0" w:space="0" w:color="auto"/>
      </w:divBdr>
    </w:div>
    <w:div w:id="847986799">
      <w:bodyDiv w:val="1"/>
      <w:marLeft w:val="0"/>
      <w:marRight w:val="0"/>
      <w:marTop w:val="0"/>
      <w:marBottom w:val="0"/>
      <w:divBdr>
        <w:top w:val="none" w:sz="0" w:space="0" w:color="auto"/>
        <w:left w:val="none" w:sz="0" w:space="0" w:color="auto"/>
        <w:bottom w:val="none" w:sz="0" w:space="0" w:color="auto"/>
        <w:right w:val="none" w:sz="0" w:space="0" w:color="auto"/>
      </w:divBdr>
    </w:div>
    <w:div w:id="847990046">
      <w:bodyDiv w:val="1"/>
      <w:marLeft w:val="0"/>
      <w:marRight w:val="0"/>
      <w:marTop w:val="0"/>
      <w:marBottom w:val="0"/>
      <w:divBdr>
        <w:top w:val="none" w:sz="0" w:space="0" w:color="auto"/>
        <w:left w:val="none" w:sz="0" w:space="0" w:color="auto"/>
        <w:bottom w:val="none" w:sz="0" w:space="0" w:color="auto"/>
        <w:right w:val="none" w:sz="0" w:space="0" w:color="auto"/>
      </w:divBdr>
    </w:div>
    <w:div w:id="848062246">
      <w:bodyDiv w:val="1"/>
      <w:marLeft w:val="0"/>
      <w:marRight w:val="0"/>
      <w:marTop w:val="0"/>
      <w:marBottom w:val="0"/>
      <w:divBdr>
        <w:top w:val="none" w:sz="0" w:space="0" w:color="auto"/>
        <w:left w:val="none" w:sz="0" w:space="0" w:color="auto"/>
        <w:bottom w:val="none" w:sz="0" w:space="0" w:color="auto"/>
        <w:right w:val="none" w:sz="0" w:space="0" w:color="auto"/>
      </w:divBdr>
    </w:div>
    <w:div w:id="848176790">
      <w:bodyDiv w:val="1"/>
      <w:marLeft w:val="0"/>
      <w:marRight w:val="0"/>
      <w:marTop w:val="0"/>
      <w:marBottom w:val="0"/>
      <w:divBdr>
        <w:top w:val="none" w:sz="0" w:space="0" w:color="auto"/>
        <w:left w:val="none" w:sz="0" w:space="0" w:color="auto"/>
        <w:bottom w:val="none" w:sz="0" w:space="0" w:color="auto"/>
        <w:right w:val="none" w:sz="0" w:space="0" w:color="auto"/>
      </w:divBdr>
    </w:div>
    <w:div w:id="848250449">
      <w:bodyDiv w:val="1"/>
      <w:marLeft w:val="0"/>
      <w:marRight w:val="0"/>
      <w:marTop w:val="0"/>
      <w:marBottom w:val="0"/>
      <w:divBdr>
        <w:top w:val="none" w:sz="0" w:space="0" w:color="auto"/>
        <w:left w:val="none" w:sz="0" w:space="0" w:color="auto"/>
        <w:bottom w:val="none" w:sz="0" w:space="0" w:color="auto"/>
        <w:right w:val="none" w:sz="0" w:space="0" w:color="auto"/>
      </w:divBdr>
    </w:div>
    <w:div w:id="848298231">
      <w:bodyDiv w:val="1"/>
      <w:marLeft w:val="0"/>
      <w:marRight w:val="0"/>
      <w:marTop w:val="0"/>
      <w:marBottom w:val="0"/>
      <w:divBdr>
        <w:top w:val="none" w:sz="0" w:space="0" w:color="auto"/>
        <w:left w:val="none" w:sz="0" w:space="0" w:color="auto"/>
        <w:bottom w:val="none" w:sz="0" w:space="0" w:color="auto"/>
        <w:right w:val="none" w:sz="0" w:space="0" w:color="auto"/>
      </w:divBdr>
    </w:div>
    <w:div w:id="848330627">
      <w:bodyDiv w:val="1"/>
      <w:marLeft w:val="0"/>
      <w:marRight w:val="0"/>
      <w:marTop w:val="0"/>
      <w:marBottom w:val="0"/>
      <w:divBdr>
        <w:top w:val="none" w:sz="0" w:space="0" w:color="auto"/>
        <w:left w:val="none" w:sz="0" w:space="0" w:color="auto"/>
        <w:bottom w:val="none" w:sz="0" w:space="0" w:color="auto"/>
        <w:right w:val="none" w:sz="0" w:space="0" w:color="auto"/>
      </w:divBdr>
    </w:div>
    <w:div w:id="848375625">
      <w:bodyDiv w:val="1"/>
      <w:marLeft w:val="0"/>
      <w:marRight w:val="0"/>
      <w:marTop w:val="0"/>
      <w:marBottom w:val="0"/>
      <w:divBdr>
        <w:top w:val="none" w:sz="0" w:space="0" w:color="auto"/>
        <w:left w:val="none" w:sz="0" w:space="0" w:color="auto"/>
        <w:bottom w:val="none" w:sz="0" w:space="0" w:color="auto"/>
        <w:right w:val="none" w:sz="0" w:space="0" w:color="auto"/>
      </w:divBdr>
    </w:div>
    <w:div w:id="848452066">
      <w:bodyDiv w:val="1"/>
      <w:marLeft w:val="0"/>
      <w:marRight w:val="0"/>
      <w:marTop w:val="0"/>
      <w:marBottom w:val="0"/>
      <w:divBdr>
        <w:top w:val="none" w:sz="0" w:space="0" w:color="auto"/>
        <w:left w:val="none" w:sz="0" w:space="0" w:color="auto"/>
        <w:bottom w:val="none" w:sz="0" w:space="0" w:color="auto"/>
        <w:right w:val="none" w:sz="0" w:space="0" w:color="auto"/>
      </w:divBdr>
    </w:div>
    <w:div w:id="848560916">
      <w:bodyDiv w:val="1"/>
      <w:marLeft w:val="0"/>
      <w:marRight w:val="0"/>
      <w:marTop w:val="0"/>
      <w:marBottom w:val="0"/>
      <w:divBdr>
        <w:top w:val="none" w:sz="0" w:space="0" w:color="auto"/>
        <w:left w:val="none" w:sz="0" w:space="0" w:color="auto"/>
        <w:bottom w:val="none" w:sz="0" w:space="0" w:color="auto"/>
        <w:right w:val="none" w:sz="0" w:space="0" w:color="auto"/>
      </w:divBdr>
    </w:div>
    <w:div w:id="848564483">
      <w:bodyDiv w:val="1"/>
      <w:marLeft w:val="0"/>
      <w:marRight w:val="0"/>
      <w:marTop w:val="0"/>
      <w:marBottom w:val="0"/>
      <w:divBdr>
        <w:top w:val="none" w:sz="0" w:space="0" w:color="auto"/>
        <w:left w:val="none" w:sz="0" w:space="0" w:color="auto"/>
        <w:bottom w:val="none" w:sz="0" w:space="0" w:color="auto"/>
        <w:right w:val="none" w:sz="0" w:space="0" w:color="auto"/>
      </w:divBdr>
    </w:div>
    <w:div w:id="848913332">
      <w:bodyDiv w:val="1"/>
      <w:marLeft w:val="0"/>
      <w:marRight w:val="0"/>
      <w:marTop w:val="0"/>
      <w:marBottom w:val="0"/>
      <w:divBdr>
        <w:top w:val="none" w:sz="0" w:space="0" w:color="auto"/>
        <w:left w:val="none" w:sz="0" w:space="0" w:color="auto"/>
        <w:bottom w:val="none" w:sz="0" w:space="0" w:color="auto"/>
        <w:right w:val="none" w:sz="0" w:space="0" w:color="auto"/>
      </w:divBdr>
    </w:div>
    <w:div w:id="849031267">
      <w:bodyDiv w:val="1"/>
      <w:marLeft w:val="0"/>
      <w:marRight w:val="0"/>
      <w:marTop w:val="0"/>
      <w:marBottom w:val="0"/>
      <w:divBdr>
        <w:top w:val="none" w:sz="0" w:space="0" w:color="auto"/>
        <w:left w:val="none" w:sz="0" w:space="0" w:color="auto"/>
        <w:bottom w:val="none" w:sz="0" w:space="0" w:color="auto"/>
        <w:right w:val="none" w:sz="0" w:space="0" w:color="auto"/>
      </w:divBdr>
    </w:div>
    <w:div w:id="849181330">
      <w:bodyDiv w:val="1"/>
      <w:marLeft w:val="0"/>
      <w:marRight w:val="0"/>
      <w:marTop w:val="0"/>
      <w:marBottom w:val="0"/>
      <w:divBdr>
        <w:top w:val="none" w:sz="0" w:space="0" w:color="auto"/>
        <w:left w:val="none" w:sz="0" w:space="0" w:color="auto"/>
        <w:bottom w:val="none" w:sz="0" w:space="0" w:color="auto"/>
        <w:right w:val="none" w:sz="0" w:space="0" w:color="auto"/>
      </w:divBdr>
    </w:div>
    <w:div w:id="849485230">
      <w:bodyDiv w:val="1"/>
      <w:marLeft w:val="0"/>
      <w:marRight w:val="0"/>
      <w:marTop w:val="0"/>
      <w:marBottom w:val="0"/>
      <w:divBdr>
        <w:top w:val="none" w:sz="0" w:space="0" w:color="auto"/>
        <w:left w:val="none" w:sz="0" w:space="0" w:color="auto"/>
        <w:bottom w:val="none" w:sz="0" w:space="0" w:color="auto"/>
        <w:right w:val="none" w:sz="0" w:space="0" w:color="auto"/>
      </w:divBdr>
    </w:div>
    <w:div w:id="849568586">
      <w:bodyDiv w:val="1"/>
      <w:marLeft w:val="0"/>
      <w:marRight w:val="0"/>
      <w:marTop w:val="0"/>
      <w:marBottom w:val="0"/>
      <w:divBdr>
        <w:top w:val="none" w:sz="0" w:space="0" w:color="auto"/>
        <w:left w:val="none" w:sz="0" w:space="0" w:color="auto"/>
        <w:bottom w:val="none" w:sz="0" w:space="0" w:color="auto"/>
        <w:right w:val="none" w:sz="0" w:space="0" w:color="auto"/>
      </w:divBdr>
    </w:div>
    <w:div w:id="849805624">
      <w:bodyDiv w:val="1"/>
      <w:marLeft w:val="0"/>
      <w:marRight w:val="0"/>
      <w:marTop w:val="0"/>
      <w:marBottom w:val="0"/>
      <w:divBdr>
        <w:top w:val="none" w:sz="0" w:space="0" w:color="auto"/>
        <w:left w:val="none" w:sz="0" w:space="0" w:color="auto"/>
        <w:bottom w:val="none" w:sz="0" w:space="0" w:color="auto"/>
        <w:right w:val="none" w:sz="0" w:space="0" w:color="auto"/>
      </w:divBdr>
    </w:div>
    <w:div w:id="849836615">
      <w:bodyDiv w:val="1"/>
      <w:marLeft w:val="0"/>
      <w:marRight w:val="0"/>
      <w:marTop w:val="0"/>
      <w:marBottom w:val="0"/>
      <w:divBdr>
        <w:top w:val="none" w:sz="0" w:space="0" w:color="auto"/>
        <w:left w:val="none" w:sz="0" w:space="0" w:color="auto"/>
        <w:bottom w:val="none" w:sz="0" w:space="0" w:color="auto"/>
        <w:right w:val="none" w:sz="0" w:space="0" w:color="auto"/>
      </w:divBdr>
    </w:div>
    <w:div w:id="849837598">
      <w:bodyDiv w:val="1"/>
      <w:marLeft w:val="0"/>
      <w:marRight w:val="0"/>
      <w:marTop w:val="0"/>
      <w:marBottom w:val="0"/>
      <w:divBdr>
        <w:top w:val="none" w:sz="0" w:space="0" w:color="auto"/>
        <w:left w:val="none" w:sz="0" w:space="0" w:color="auto"/>
        <w:bottom w:val="none" w:sz="0" w:space="0" w:color="auto"/>
        <w:right w:val="none" w:sz="0" w:space="0" w:color="auto"/>
      </w:divBdr>
    </w:div>
    <w:div w:id="849877166">
      <w:bodyDiv w:val="1"/>
      <w:marLeft w:val="0"/>
      <w:marRight w:val="0"/>
      <w:marTop w:val="0"/>
      <w:marBottom w:val="0"/>
      <w:divBdr>
        <w:top w:val="none" w:sz="0" w:space="0" w:color="auto"/>
        <w:left w:val="none" w:sz="0" w:space="0" w:color="auto"/>
        <w:bottom w:val="none" w:sz="0" w:space="0" w:color="auto"/>
        <w:right w:val="none" w:sz="0" w:space="0" w:color="auto"/>
      </w:divBdr>
    </w:div>
    <w:div w:id="850030910">
      <w:bodyDiv w:val="1"/>
      <w:marLeft w:val="0"/>
      <w:marRight w:val="0"/>
      <w:marTop w:val="0"/>
      <w:marBottom w:val="0"/>
      <w:divBdr>
        <w:top w:val="none" w:sz="0" w:space="0" w:color="auto"/>
        <w:left w:val="none" w:sz="0" w:space="0" w:color="auto"/>
        <w:bottom w:val="none" w:sz="0" w:space="0" w:color="auto"/>
        <w:right w:val="none" w:sz="0" w:space="0" w:color="auto"/>
      </w:divBdr>
    </w:div>
    <w:div w:id="850142847">
      <w:bodyDiv w:val="1"/>
      <w:marLeft w:val="0"/>
      <w:marRight w:val="0"/>
      <w:marTop w:val="0"/>
      <w:marBottom w:val="0"/>
      <w:divBdr>
        <w:top w:val="none" w:sz="0" w:space="0" w:color="auto"/>
        <w:left w:val="none" w:sz="0" w:space="0" w:color="auto"/>
        <w:bottom w:val="none" w:sz="0" w:space="0" w:color="auto"/>
        <w:right w:val="none" w:sz="0" w:space="0" w:color="auto"/>
      </w:divBdr>
    </w:div>
    <w:div w:id="850295341">
      <w:bodyDiv w:val="1"/>
      <w:marLeft w:val="0"/>
      <w:marRight w:val="0"/>
      <w:marTop w:val="0"/>
      <w:marBottom w:val="0"/>
      <w:divBdr>
        <w:top w:val="none" w:sz="0" w:space="0" w:color="auto"/>
        <w:left w:val="none" w:sz="0" w:space="0" w:color="auto"/>
        <w:bottom w:val="none" w:sz="0" w:space="0" w:color="auto"/>
        <w:right w:val="none" w:sz="0" w:space="0" w:color="auto"/>
      </w:divBdr>
    </w:div>
    <w:div w:id="850490894">
      <w:bodyDiv w:val="1"/>
      <w:marLeft w:val="0"/>
      <w:marRight w:val="0"/>
      <w:marTop w:val="0"/>
      <w:marBottom w:val="0"/>
      <w:divBdr>
        <w:top w:val="none" w:sz="0" w:space="0" w:color="auto"/>
        <w:left w:val="none" w:sz="0" w:space="0" w:color="auto"/>
        <w:bottom w:val="none" w:sz="0" w:space="0" w:color="auto"/>
        <w:right w:val="none" w:sz="0" w:space="0" w:color="auto"/>
      </w:divBdr>
    </w:div>
    <w:div w:id="850527980">
      <w:bodyDiv w:val="1"/>
      <w:marLeft w:val="0"/>
      <w:marRight w:val="0"/>
      <w:marTop w:val="0"/>
      <w:marBottom w:val="0"/>
      <w:divBdr>
        <w:top w:val="none" w:sz="0" w:space="0" w:color="auto"/>
        <w:left w:val="none" w:sz="0" w:space="0" w:color="auto"/>
        <w:bottom w:val="none" w:sz="0" w:space="0" w:color="auto"/>
        <w:right w:val="none" w:sz="0" w:space="0" w:color="auto"/>
      </w:divBdr>
    </w:div>
    <w:div w:id="850727962">
      <w:bodyDiv w:val="1"/>
      <w:marLeft w:val="0"/>
      <w:marRight w:val="0"/>
      <w:marTop w:val="0"/>
      <w:marBottom w:val="0"/>
      <w:divBdr>
        <w:top w:val="none" w:sz="0" w:space="0" w:color="auto"/>
        <w:left w:val="none" w:sz="0" w:space="0" w:color="auto"/>
        <w:bottom w:val="none" w:sz="0" w:space="0" w:color="auto"/>
        <w:right w:val="none" w:sz="0" w:space="0" w:color="auto"/>
      </w:divBdr>
    </w:div>
    <w:div w:id="850872866">
      <w:bodyDiv w:val="1"/>
      <w:marLeft w:val="0"/>
      <w:marRight w:val="0"/>
      <w:marTop w:val="0"/>
      <w:marBottom w:val="0"/>
      <w:divBdr>
        <w:top w:val="none" w:sz="0" w:space="0" w:color="auto"/>
        <w:left w:val="none" w:sz="0" w:space="0" w:color="auto"/>
        <w:bottom w:val="none" w:sz="0" w:space="0" w:color="auto"/>
        <w:right w:val="none" w:sz="0" w:space="0" w:color="auto"/>
      </w:divBdr>
    </w:div>
    <w:div w:id="850876666">
      <w:bodyDiv w:val="1"/>
      <w:marLeft w:val="0"/>
      <w:marRight w:val="0"/>
      <w:marTop w:val="0"/>
      <w:marBottom w:val="0"/>
      <w:divBdr>
        <w:top w:val="none" w:sz="0" w:space="0" w:color="auto"/>
        <w:left w:val="none" w:sz="0" w:space="0" w:color="auto"/>
        <w:bottom w:val="none" w:sz="0" w:space="0" w:color="auto"/>
        <w:right w:val="none" w:sz="0" w:space="0" w:color="auto"/>
      </w:divBdr>
    </w:div>
    <w:div w:id="850996813">
      <w:bodyDiv w:val="1"/>
      <w:marLeft w:val="0"/>
      <w:marRight w:val="0"/>
      <w:marTop w:val="0"/>
      <w:marBottom w:val="0"/>
      <w:divBdr>
        <w:top w:val="none" w:sz="0" w:space="0" w:color="auto"/>
        <w:left w:val="none" w:sz="0" w:space="0" w:color="auto"/>
        <w:bottom w:val="none" w:sz="0" w:space="0" w:color="auto"/>
        <w:right w:val="none" w:sz="0" w:space="0" w:color="auto"/>
      </w:divBdr>
    </w:div>
    <w:div w:id="851069345">
      <w:bodyDiv w:val="1"/>
      <w:marLeft w:val="0"/>
      <w:marRight w:val="0"/>
      <w:marTop w:val="0"/>
      <w:marBottom w:val="0"/>
      <w:divBdr>
        <w:top w:val="none" w:sz="0" w:space="0" w:color="auto"/>
        <w:left w:val="none" w:sz="0" w:space="0" w:color="auto"/>
        <w:bottom w:val="none" w:sz="0" w:space="0" w:color="auto"/>
        <w:right w:val="none" w:sz="0" w:space="0" w:color="auto"/>
      </w:divBdr>
    </w:div>
    <w:div w:id="851144406">
      <w:bodyDiv w:val="1"/>
      <w:marLeft w:val="0"/>
      <w:marRight w:val="0"/>
      <w:marTop w:val="0"/>
      <w:marBottom w:val="0"/>
      <w:divBdr>
        <w:top w:val="none" w:sz="0" w:space="0" w:color="auto"/>
        <w:left w:val="none" w:sz="0" w:space="0" w:color="auto"/>
        <w:bottom w:val="none" w:sz="0" w:space="0" w:color="auto"/>
        <w:right w:val="none" w:sz="0" w:space="0" w:color="auto"/>
      </w:divBdr>
    </w:div>
    <w:div w:id="851257980">
      <w:bodyDiv w:val="1"/>
      <w:marLeft w:val="0"/>
      <w:marRight w:val="0"/>
      <w:marTop w:val="0"/>
      <w:marBottom w:val="0"/>
      <w:divBdr>
        <w:top w:val="none" w:sz="0" w:space="0" w:color="auto"/>
        <w:left w:val="none" w:sz="0" w:space="0" w:color="auto"/>
        <w:bottom w:val="none" w:sz="0" w:space="0" w:color="auto"/>
        <w:right w:val="none" w:sz="0" w:space="0" w:color="auto"/>
      </w:divBdr>
    </w:div>
    <w:div w:id="851409483">
      <w:bodyDiv w:val="1"/>
      <w:marLeft w:val="0"/>
      <w:marRight w:val="0"/>
      <w:marTop w:val="0"/>
      <w:marBottom w:val="0"/>
      <w:divBdr>
        <w:top w:val="none" w:sz="0" w:space="0" w:color="auto"/>
        <w:left w:val="none" w:sz="0" w:space="0" w:color="auto"/>
        <w:bottom w:val="none" w:sz="0" w:space="0" w:color="auto"/>
        <w:right w:val="none" w:sz="0" w:space="0" w:color="auto"/>
      </w:divBdr>
    </w:div>
    <w:div w:id="851576749">
      <w:bodyDiv w:val="1"/>
      <w:marLeft w:val="0"/>
      <w:marRight w:val="0"/>
      <w:marTop w:val="0"/>
      <w:marBottom w:val="0"/>
      <w:divBdr>
        <w:top w:val="none" w:sz="0" w:space="0" w:color="auto"/>
        <w:left w:val="none" w:sz="0" w:space="0" w:color="auto"/>
        <w:bottom w:val="none" w:sz="0" w:space="0" w:color="auto"/>
        <w:right w:val="none" w:sz="0" w:space="0" w:color="auto"/>
      </w:divBdr>
    </w:div>
    <w:div w:id="851577276">
      <w:bodyDiv w:val="1"/>
      <w:marLeft w:val="0"/>
      <w:marRight w:val="0"/>
      <w:marTop w:val="0"/>
      <w:marBottom w:val="0"/>
      <w:divBdr>
        <w:top w:val="none" w:sz="0" w:space="0" w:color="auto"/>
        <w:left w:val="none" w:sz="0" w:space="0" w:color="auto"/>
        <w:bottom w:val="none" w:sz="0" w:space="0" w:color="auto"/>
        <w:right w:val="none" w:sz="0" w:space="0" w:color="auto"/>
      </w:divBdr>
    </w:div>
    <w:div w:id="851722522">
      <w:bodyDiv w:val="1"/>
      <w:marLeft w:val="0"/>
      <w:marRight w:val="0"/>
      <w:marTop w:val="0"/>
      <w:marBottom w:val="0"/>
      <w:divBdr>
        <w:top w:val="none" w:sz="0" w:space="0" w:color="auto"/>
        <w:left w:val="none" w:sz="0" w:space="0" w:color="auto"/>
        <w:bottom w:val="none" w:sz="0" w:space="0" w:color="auto"/>
        <w:right w:val="none" w:sz="0" w:space="0" w:color="auto"/>
      </w:divBdr>
    </w:div>
    <w:div w:id="851840036">
      <w:bodyDiv w:val="1"/>
      <w:marLeft w:val="0"/>
      <w:marRight w:val="0"/>
      <w:marTop w:val="0"/>
      <w:marBottom w:val="0"/>
      <w:divBdr>
        <w:top w:val="none" w:sz="0" w:space="0" w:color="auto"/>
        <w:left w:val="none" w:sz="0" w:space="0" w:color="auto"/>
        <w:bottom w:val="none" w:sz="0" w:space="0" w:color="auto"/>
        <w:right w:val="none" w:sz="0" w:space="0" w:color="auto"/>
      </w:divBdr>
    </w:div>
    <w:div w:id="851842632">
      <w:bodyDiv w:val="1"/>
      <w:marLeft w:val="0"/>
      <w:marRight w:val="0"/>
      <w:marTop w:val="0"/>
      <w:marBottom w:val="0"/>
      <w:divBdr>
        <w:top w:val="none" w:sz="0" w:space="0" w:color="auto"/>
        <w:left w:val="none" w:sz="0" w:space="0" w:color="auto"/>
        <w:bottom w:val="none" w:sz="0" w:space="0" w:color="auto"/>
        <w:right w:val="none" w:sz="0" w:space="0" w:color="auto"/>
      </w:divBdr>
    </w:div>
    <w:div w:id="851842954">
      <w:bodyDiv w:val="1"/>
      <w:marLeft w:val="0"/>
      <w:marRight w:val="0"/>
      <w:marTop w:val="0"/>
      <w:marBottom w:val="0"/>
      <w:divBdr>
        <w:top w:val="none" w:sz="0" w:space="0" w:color="auto"/>
        <w:left w:val="none" w:sz="0" w:space="0" w:color="auto"/>
        <w:bottom w:val="none" w:sz="0" w:space="0" w:color="auto"/>
        <w:right w:val="none" w:sz="0" w:space="0" w:color="auto"/>
      </w:divBdr>
    </w:div>
    <w:div w:id="852037385">
      <w:bodyDiv w:val="1"/>
      <w:marLeft w:val="0"/>
      <w:marRight w:val="0"/>
      <w:marTop w:val="0"/>
      <w:marBottom w:val="0"/>
      <w:divBdr>
        <w:top w:val="none" w:sz="0" w:space="0" w:color="auto"/>
        <w:left w:val="none" w:sz="0" w:space="0" w:color="auto"/>
        <w:bottom w:val="none" w:sz="0" w:space="0" w:color="auto"/>
        <w:right w:val="none" w:sz="0" w:space="0" w:color="auto"/>
      </w:divBdr>
    </w:div>
    <w:div w:id="852303041">
      <w:bodyDiv w:val="1"/>
      <w:marLeft w:val="0"/>
      <w:marRight w:val="0"/>
      <w:marTop w:val="0"/>
      <w:marBottom w:val="0"/>
      <w:divBdr>
        <w:top w:val="none" w:sz="0" w:space="0" w:color="auto"/>
        <w:left w:val="none" w:sz="0" w:space="0" w:color="auto"/>
        <w:bottom w:val="none" w:sz="0" w:space="0" w:color="auto"/>
        <w:right w:val="none" w:sz="0" w:space="0" w:color="auto"/>
      </w:divBdr>
    </w:div>
    <w:div w:id="852305946">
      <w:bodyDiv w:val="1"/>
      <w:marLeft w:val="0"/>
      <w:marRight w:val="0"/>
      <w:marTop w:val="0"/>
      <w:marBottom w:val="0"/>
      <w:divBdr>
        <w:top w:val="none" w:sz="0" w:space="0" w:color="auto"/>
        <w:left w:val="none" w:sz="0" w:space="0" w:color="auto"/>
        <w:bottom w:val="none" w:sz="0" w:space="0" w:color="auto"/>
        <w:right w:val="none" w:sz="0" w:space="0" w:color="auto"/>
      </w:divBdr>
    </w:div>
    <w:div w:id="852452784">
      <w:bodyDiv w:val="1"/>
      <w:marLeft w:val="0"/>
      <w:marRight w:val="0"/>
      <w:marTop w:val="0"/>
      <w:marBottom w:val="0"/>
      <w:divBdr>
        <w:top w:val="none" w:sz="0" w:space="0" w:color="auto"/>
        <w:left w:val="none" w:sz="0" w:space="0" w:color="auto"/>
        <w:bottom w:val="none" w:sz="0" w:space="0" w:color="auto"/>
        <w:right w:val="none" w:sz="0" w:space="0" w:color="auto"/>
      </w:divBdr>
    </w:div>
    <w:div w:id="852570080">
      <w:bodyDiv w:val="1"/>
      <w:marLeft w:val="0"/>
      <w:marRight w:val="0"/>
      <w:marTop w:val="0"/>
      <w:marBottom w:val="0"/>
      <w:divBdr>
        <w:top w:val="none" w:sz="0" w:space="0" w:color="auto"/>
        <w:left w:val="none" w:sz="0" w:space="0" w:color="auto"/>
        <w:bottom w:val="none" w:sz="0" w:space="0" w:color="auto"/>
        <w:right w:val="none" w:sz="0" w:space="0" w:color="auto"/>
      </w:divBdr>
    </w:div>
    <w:div w:id="853035524">
      <w:bodyDiv w:val="1"/>
      <w:marLeft w:val="0"/>
      <w:marRight w:val="0"/>
      <w:marTop w:val="0"/>
      <w:marBottom w:val="0"/>
      <w:divBdr>
        <w:top w:val="none" w:sz="0" w:space="0" w:color="auto"/>
        <w:left w:val="none" w:sz="0" w:space="0" w:color="auto"/>
        <w:bottom w:val="none" w:sz="0" w:space="0" w:color="auto"/>
        <w:right w:val="none" w:sz="0" w:space="0" w:color="auto"/>
      </w:divBdr>
    </w:div>
    <w:div w:id="853223916">
      <w:bodyDiv w:val="1"/>
      <w:marLeft w:val="0"/>
      <w:marRight w:val="0"/>
      <w:marTop w:val="0"/>
      <w:marBottom w:val="0"/>
      <w:divBdr>
        <w:top w:val="none" w:sz="0" w:space="0" w:color="auto"/>
        <w:left w:val="none" w:sz="0" w:space="0" w:color="auto"/>
        <w:bottom w:val="none" w:sz="0" w:space="0" w:color="auto"/>
        <w:right w:val="none" w:sz="0" w:space="0" w:color="auto"/>
      </w:divBdr>
    </w:div>
    <w:div w:id="853543457">
      <w:bodyDiv w:val="1"/>
      <w:marLeft w:val="0"/>
      <w:marRight w:val="0"/>
      <w:marTop w:val="0"/>
      <w:marBottom w:val="0"/>
      <w:divBdr>
        <w:top w:val="none" w:sz="0" w:space="0" w:color="auto"/>
        <w:left w:val="none" w:sz="0" w:space="0" w:color="auto"/>
        <w:bottom w:val="none" w:sz="0" w:space="0" w:color="auto"/>
        <w:right w:val="none" w:sz="0" w:space="0" w:color="auto"/>
      </w:divBdr>
    </w:div>
    <w:div w:id="853611163">
      <w:bodyDiv w:val="1"/>
      <w:marLeft w:val="0"/>
      <w:marRight w:val="0"/>
      <w:marTop w:val="0"/>
      <w:marBottom w:val="0"/>
      <w:divBdr>
        <w:top w:val="none" w:sz="0" w:space="0" w:color="auto"/>
        <w:left w:val="none" w:sz="0" w:space="0" w:color="auto"/>
        <w:bottom w:val="none" w:sz="0" w:space="0" w:color="auto"/>
        <w:right w:val="none" w:sz="0" w:space="0" w:color="auto"/>
      </w:divBdr>
    </w:div>
    <w:div w:id="854273995">
      <w:bodyDiv w:val="1"/>
      <w:marLeft w:val="0"/>
      <w:marRight w:val="0"/>
      <w:marTop w:val="0"/>
      <w:marBottom w:val="0"/>
      <w:divBdr>
        <w:top w:val="none" w:sz="0" w:space="0" w:color="auto"/>
        <w:left w:val="none" w:sz="0" w:space="0" w:color="auto"/>
        <w:bottom w:val="none" w:sz="0" w:space="0" w:color="auto"/>
        <w:right w:val="none" w:sz="0" w:space="0" w:color="auto"/>
      </w:divBdr>
    </w:div>
    <w:div w:id="854346061">
      <w:bodyDiv w:val="1"/>
      <w:marLeft w:val="0"/>
      <w:marRight w:val="0"/>
      <w:marTop w:val="0"/>
      <w:marBottom w:val="0"/>
      <w:divBdr>
        <w:top w:val="none" w:sz="0" w:space="0" w:color="auto"/>
        <w:left w:val="none" w:sz="0" w:space="0" w:color="auto"/>
        <w:bottom w:val="none" w:sz="0" w:space="0" w:color="auto"/>
        <w:right w:val="none" w:sz="0" w:space="0" w:color="auto"/>
      </w:divBdr>
    </w:div>
    <w:div w:id="854616912">
      <w:bodyDiv w:val="1"/>
      <w:marLeft w:val="0"/>
      <w:marRight w:val="0"/>
      <w:marTop w:val="0"/>
      <w:marBottom w:val="0"/>
      <w:divBdr>
        <w:top w:val="none" w:sz="0" w:space="0" w:color="auto"/>
        <w:left w:val="none" w:sz="0" w:space="0" w:color="auto"/>
        <w:bottom w:val="none" w:sz="0" w:space="0" w:color="auto"/>
        <w:right w:val="none" w:sz="0" w:space="0" w:color="auto"/>
      </w:divBdr>
    </w:div>
    <w:div w:id="854655621">
      <w:bodyDiv w:val="1"/>
      <w:marLeft w:val="0"/>
      <w:marRight w:val="0"/>
      <w:marTop w:val="0"/>
      <w:marBottom w:val="0"/>
      <w:divBdr>
        <w:top w:val="none" w:sz="0" w:space="0" w:color="auto"/>
        <w:left w:val="none" w:sz="0" w:space="0" w:color="auto"/>
        <w:bottom w:val="none" w:sz="0" w:space="0" w:color="auto"/>
        <w:right w:val="none" w:sz="0" w:space="0" w:color="auto"/>
      </w:divBdr>
    </w:div>
    <w:div w:id="854687260">
      <w:bodyDiv w:val="1"/>
      <w:marLeft w:val="0"/>
      <w:marRight w:val="0"/>
      <w:marTop w:val="0"/>
      <w:marBottom w:val="0"/>
      <w:divBdr>
        <w:top w:val="none" w:sz="0" w:space="0" w:color="auto"/>
        <w:left w:val="none" w:sz="0" w:space="0" w:color="auto"/>
        <w:bottom w:val="none" w:sz="0" w:space="0" w:color="auto"/>
        <w:right w:val="none" w:sz="0" w:space="0" w:color="auto"/>
      </w:divBdr>
    </w:div>
    <w:div w:id="854728317">
      <w:bodyDiv w:val="1"/>
      <w:marLeft w:val="0"/>
      <w:marRight w:val="0"/>
      <w:marTop w:val="0"/>
      <w:marBottom w:val="0"/>
      <w:divBdr>
        <w:top w:val="none" w:sz="0" w:space="0" w:color="auto"/>
        <w:left w:val="none" w:sz="0" w:space="0" w:color="auto"/>
        <w:bottom w:val="none" w:sz="0" w:space="0" w:color="auto"/>
        <w:right w:val="none" w:sz="0" w:space="0" w:color="auto"/>
      </w:divBdr>
    </w:div>
    <w:div w:id="854810777">
      <w:bodyDiv w:val="1"/>
      <w:marLeft w:val="0"/>
      <w:marRight w:val="0"/>
      <w:marTop w:val="0"/>
      <w:marBottom w:val="0"/>
      <w:divBdr>
        <w:top w:val="none" w:sz="0" w:space="0" w:color="auto"/>
        <w:left w:val="none" w:sz="0" w:space="0" w:color="auto"/>
        <w:bottom w:val="none" w:sz="0" w:space="0" w:color="auto"/>
        <w:right w:val="none" w:sz="0" w:space="0" w:color="auto"/>
      </w:divBdr>
    </w:div>
    <w:div w:id="854921324">
      <w:bodyDiv w:val="1"/>
      <w:marLeft w:val="0"/>
      <w:marRight w:val="0"/>
      <w:marTop w:val="0"/>
      <w:marBottom w:val="0"/>
      <w:divBdr>
        <w:top w:val="none" w:sz="0" w:space="0" w:color="auto"/>
        <w:left w:val="none" w:sz="0" w:space="0" w:color="auto"/>
        <w:bottom w:val="none" w:sz="0" w:space="0" w:color="auto"/>
        <w:right w:val="none" w:sz="0" w:space="0" w:color="auto"/>
      </w:divBdr>
    </w:div>
    <w:div w:id="854997416">
      <w:bodyDiv w:val="1"/>
      <w:marLeft w:val="0"/>
      <w:marRight w:val="0"/>
      <w:marTop w:val="0"/>
      <w:marBottom w:val="0"/>
      <w:divBdr>
        <w:top w:val="none" w:sz="0" w:space="0" w:color="auto"/>
        <w:left w:val="none" w:sz="0" w:space="0" w:color="auto"/>
        <w:bottom w:val="none" w:sz="0" w:space="0" w:color="auto"/>
        <w:right w:val="none" w:sz="0" w:space="0" w:color="auto"/>
      </w:divBdr>
    </w:div>
    <w:div w:id="854999293">
      <w:bodyDiv w:val="1"/>
      <w:marLeft w:val="0"/>
      <w:marRight w:val="0"/>
      <w:marTop w:val="0"/>
      <w:marBottom w:val="0"/>
      <w:divBdr>
        <w:top w:val="none" w:sz="0" w:space="0" w:color="auto"/>
        <w:left w:val="none" w:sz="0" w:space="0" w:color="auto"/>
        <w:bottom w:val="none" w:sz="0" w:space="0" w:color="auto"/>
        <w:right w:val="none" w:sz="0" w:space="0" w:color="auto"/>
      </w:divBdr>
    </w:div>
    <w:div w:id="855073135">
      <w:bodyDiv w:val="1"/>
      <w:marLeft w:val="0"/>
      <w:marRight w:val="0"/>
      <w:marTop w:val="0"/>
      <w:marBottom w:val="0"/>
      <w:divBdr>
        <w:top w:val="none" w:sz="0" w:space="0" w:color="auto"/>
        <w:left w:val="none" w:sz="0" w:space="0" w:color="auto"/>
        <w:bottom w:val="none" w:sz="0" w:space="0" w:color="auto"/>
        <w:right w:val="none" w:sz="0" w:space="0" w:color="auto"/>
      </w:divBdr>
    </w:div>
    <w:div w:id="855073805">
      <w:bodyDiv w:val="1"/>
      <w:marLeft w:val="0"/>
      <w:marRight w:val="0"/>
      <w:marTop w:val="0"/>
      <w:marBottom w:val="0"/>
      <w:divBdr>
        <w:top w:val="none" w:sz="0" w:space="0" w:color="auto"/>
        <w:left w:val="none" w:sz="0" w:space="0" w:color="auto"/>
        <w:bottom w:val="none" w:sz="0" w:space="0" w:color="auto"/>
        <w:right w:val="none" w:sz="0" w:space="0" w:color="auto"/>
      </w:divBdr>
    </w:div>
    <w:div w:id="855193983">
      <w:bodyDiv w:val="1"/>
      <w:marLeft w:val="0"/>
      <w:marRight w:val="0"/>
      <w:marTop w:val="0"/>
      <w:marBottom w:val="0"/>
      <w:divBdr>
        <w:top w:val="none" w:sz="0" w:space="0" w:color="auto"/>
        <w:left w:val="none" w:sz="0" w:space="0" w:color="auto"/>
        <w:bottom w:val="none" w:sz="0" w:space="0" w:color="auto"/>
        <w:right w:val="none" w:sz="0" w:space="0" w:color="auto"/>
      </w:divBdr>
    </w:div>
    <w:div w:id="855265355">
      <w:bodyDiv w:val="1"/>
      <w:marLeft w:val="0"/>
      <w:marRight w:val="0"/>
      <w:marTop w:val="0"/>
      <w:marBottom w:val="0"/>
      <w:divBdr>
        <w:top w:val="none" w:sz="0" w:space="0" w:color="auto"/>
        <w:left w:val="none" w:sz="0" w:space="0" w:color="auto"/>
        <w:bottom w:val="none" w:sz="0" w:space="0" w:color="auto"/>
        <w:right w:val="none" w:sz="0" w:space="0" w:color="auto"/>
      </w:divBdr>
    </w:div>
    <w:div w:id="855311984">
      <w:bodyDiv w:val="1"/>
      <w:marLeft w:val="0"/>
      <w:marRight w:val="0"/>
      <w:marTop w:val="0"/>
      <w:marBottom w:val="0"/>
      <w:divBdr>
        <w:top w:val="none" w:sz="0" w:space="0" w:color="auto"/>
        <w:left w:val="none" w:sz="0" w:space="0" w:color="auto"/>
        <w:bottom w:val="none" w:sz="0" w:space="0" w:color="auto"/>
        <w:right w:val="none" w:sz="0" w:space="0" w:color="auto"/>
      </w:divBdr>
    </w:div>
    <w:div w:id="855658150">
      <w:bodyDiv w:val="1"/>
      <w:marLeft w:val="0"/>
      <w:marRight w:val="0"/>
      <w:marTop w:val="0"/>
      <w:marBottom w:val="0"/>
      <w:divBdr>
        <w:top w:val="none" w:sz="0" w:space="0" w:color="auto"/>
        <w:left w:val="none" w:sz="0" w:space="0" w:color="auto"/>
        <w:bottom w:val="none" w:sz="0" w:space="0" w:color="auto"/>
        <w:right w:val="none" w:sz="0" w:space="0" w:color="auto"/>
      </w:divBdr>
    </w:div>
    <w:div w:id="855844144">
      <w:bodyDiv w:val="1"/>
      <w:marLeft w:val="0"/>
      <w:marRight w:val="0"/>
      <w:marTop w:val="0"/>
      <w:marBottom w:val="0"/>
      <w:divBdr>
        <w:top w:val="none" w:sz="0" w:space="0" w:color="auto"/>
        <w:left w:val="none" w:sz="0" w:space="0" w:color="auto"/>
        <w:bottom w:val="none" w:sz="0" w:space="0" w:color="auto"/>
        <w:right w:val="none" w:sz="0" w:space="0" w:color="auto"/>
      </w:divBdr>
    </w:div>
    <w:div w:id="855846439">
      <w:bodyDiv w:val="1"/>
      <w:marLeft w:val="0"/>
      <w:marRight w:val="0"/>
      <w:marTop w:val="0"/>
      <w:marBottom w:val="0"/>
      <w:divBdr>
        <w:top w:val="none" w:sz="0" w:space="0" w:color="auto"/>
        <w:left w:val="none" w:sz="0" w:space="0" w:color="auto"/>
        <w:bottom w:val="none" w:sz="0" w:space="0" w:color="auto"/>
        <w:right w:val="none" w:sz="0" w:space="0" w:color="auto"/>
      </w:divBdr>
    </w:div>
    <w:div w:id="855968338">
      <w:bodyDiv w:val="1"/>
      <w:marLeft w:val="0"/>
      <w:marRight w:val="0"/>
      <w:marTop w:val="0"/>
      <w:marBottom w:val="0"/>
      <w:divBdr>
        <w:top w:val="none" w:sz="0" w:space="0" w:color="auto"/>
        <w:left w:val="none" w:sz="0" w:space="0" w:color="auto"/>
        <w:bottom w:val="none" w:sz="0" w:space="0" w:color="auto"/>
        <w:right w:val="none" w:sz="0" w:space="0" w:color="auto"/>
      </w:divBdr>
    </w:div>
    <w:div w:id="856044452">
      <w:bodyDiv w:val="1"/>
      <w:marLeft w:val="0"/>
      <w:marRight w:val="0"/>
      <w:marTop w:val="0"/>
      <w:marBottom w:val="0"/>
      <w:divBdr>
        <w:top w:val="none" w:sz="0" w:space="0" w:color="auto"/>
        <w:left w:val="none" w:sz="0" w:space="0" w:color="auto"/>
        <w:bottom w:val="none" w:sz="0" w:space="0" w:color="auto"/>
        <w:right w:val="none" w:sz="0" w:space="0" w:color="auto"/>
      </w:divBdr>
    </w:div>
    <w:div w:id="856887830">
      <w:bodyDiv w:val="1"/>
      <w:marLeft w:val="0"/>
      <w:marRight w:val="0"/>
      <w:marTop w:val="0"/>
      <w:marBottom w:val="0"/>
      <w:divBdr>
        <w:top w:val="none" w:sz="0" w:space="0" w:color="auto"/>
        <w:left w:val="none" w:sz="0" w:space="0" w:color="auto"/>
        <w:bottom w:val="none" w:sz="0" w:space="0" w:color="auto"/>
        <w:right w:val="none" w:sz="0" w:space="0" w:color="auto"/>
      </w:divBdr>
    </w:div>
    <w:div w:id="857423304">
      <w:bodyDiv w:val="1"/>
      <w:marLeft w:val="0"/>
      <w:marRight w:val="0"/>
      <w:marTop w:val="0"/>
      <w:marBottom w:val="0"/>
      <w:divBdr>
        <w:top w:val="none" w:sz="0" w:space="0" w:color="auto"/>
        <w:left w:val="none" w:sz="0" w:space="0" w:color="auto"/>
        <w:bottom w:val="none" w:sz="0" w:space="0" w:color="auto"/>
        <w:right w:val="none" w:sz="0" w:space="0" w:color="auto"/>
      </w:divBdr>
    </w:div>
    <w:div w:id="857502818">
      <w:bodyDiv w:val="1"/>
      <w:marLeft w:val="0"/>
      <w:marRight w:val="0"/>
      <w:marTop w:val="0"/>
      <w:marBottom w:val="0"/>
      <w:divBdr>
        <w:top w:val="none" w:sz="0" w:space="0" w:color="auto"/>
        <w:left w:val="none" w:sz="0" w:space="0" w:color="auto"/>
        <w:bottom w:val="none" w:sz="0" w:space="0" w:color="auto"/>
        <w:right w:val="none" w:sz="0" w:space="0" w:color="auto"/>
      </w:divBdr>
    </w:div>
    <w:div w:id="858008713">
      <w:bodyDiv w:val="1"/>
      <w:marLeft w:val="0"/>
      <w:marRight w:val="0"/>
      <w:marTop w:val="0"/>
      <w:marBottom w:val="0"/>
      <w:divBdr>
        <w:top w:val="none" w:sz="0" w:space="0" w:color="auto"/>
        <w:left w:val="none" w:sz="0" w:space="0" w:color="auto"/>
        <w:bottom w:val="none" w:sz="0" w:space="0" w:color="auto"/>
        <w:right w:val="none" w:sz="0" w:space="0" w:color="auto"/>
      </w:divBdr>
    </w:div>
    <w:div w:id="858279451">
      <w:bodyDiv w:val="1"/>
      <w:marLeft w:val="0"/>
      <w:marRight w:val="0"/>
      <w:marTop w:val="0"/>
      <w:marBottom w:val="0"/>
      <w:divBdr>
        <w:top w:val="none" w:sz="0" w:space="0" w:color="auto"/>
        <w:left w:val="none" w:sz="0" w:space="0" w:color="auto"/>
        <w:bottom w:val="none" w:sz="0" w:space="0" w:color="auto"/>
        <w:right w:val="none" w:sz="0" w:space="0" w:color="auto"/>
      </w:divBdr>
    </w:div>
    <w:div w:id="858398747">
      <w:bodyDiv w:val="1"/>
      <w:marLeft w:val="0"/>
      <w:marRight w:val="0"/>
      <w:marTop w:val="0"/>
      <w:marBottom w:val="0"/>
      <w:divBdr>
        <w:top w:val="none" w:sz="0" w:space="0" w:color="auto"/>
        <w:left w:val="none" w:sz="0" w:space="0" w:color="auto"/>
        <w:bottom w:val="none" w:sz="0" w:space="0" w:color="auto"/>
        <w:right w:val="none" w:sz="0" w:space="0" w:color="auto"/>
      </w:divBdr>
    </w:div>
    <w:div w:id="858809853">
      <w:bodyDiv w:val="1"/>
      <w:marLeft w:val="0"/>
      <w:marRight w:val="0"/>
      <w:marTop w:val="0"/>
      <w:marBottom w:val="0"/>
      <w:divBdr>
        <w:top w:val="none" w:sz="0" w:space="0" w:color="auto"/>
        <w:left w:val="none" w:sz="0" w:space="0" w:color="auto"/>
        <w:bottom w:val="none" w:sz="0" w:space="0" w:color="auto"/>
        <w:right w:val="none" w:sz="0" w:space="0" w:color="auto"/>
      </w:divBdr>
    </w:div>
    <w:div w:id="858813604">
      <w:bodyDiv w:val="1"/>
      <w:marLeft w:val="0"/>
      <w:marRight w:val="0"/>
      <w:marTop w:val="0"/>
      <w:marBottom w:val="0"/>
      <w:divBdr>
        <w:top w:val="none" w:sz="0" w:space="0" w:color="auto"/>
        <w:left w:val="none" w:sz="0" w:space="0" w:color="auto"/>
        <w:bottom w:val="none" w:sz="0" w:space="0" w:color="auto"/>
        <w:right w:val="none" w:sz="0" w:space="0" w:color="auto"/>
      </w:divBdr>
    </w:div>
    <w:div w:id="859197829">
      <w:bodyDiv w:val="1"/>
      <w:marLeft w:val="0"/>
      <w:marRight w:val="0"/>
      <w:marTop w:val="0"/>
      <w:marBottom w:val="0"/>
      <w:divBdr>
        <w:top w:val="none" w:sz="0" w:space="0" w:color="auto"/>
        <w:left w:val="none" w:sz="0" w:space="0" w:color="auto"/>
        <w:bottom w:val="none" w:sz="0" w:space="0" w:color="auto"/>
        <w:right w:val="none" w:sz="0" w:space="0" w:color="auto"/>
      </w:divBdr>
    </w:div>
    <w:div w:id="859320210">
      <w:bodyDiv w:val="1"/>
      <w:marLeft w:val="0"/>
      <w:marRight w:val="0"/>
      <w:marTop w:val="0"/>
      <w:marBottom w:val="0"/>
      <w:divBdr>
        <w:top w:val="none" w:sz="0" w:space="0" w:color="auto"/>
        <w:left w:val="none" w:sz="0" w:space="0" w:color="auto"/>
        <w:bottom w:val="none" w:sz="0" w:space="0" w:color="auto"/>
        <w:right w:val="none" w:sz="0" w:space="0" w:color="auto"/>
      </w:divBdr>
    </w:div>
    <w:div w:id="859660010">
      <w:bodyDiv w:val="1"/>
      <w:marLeft w:val="0"/>
      <w:marRight w:val="0"/>
      <w:marTop w:val="0"/>
      <w:marBottom w:val="0"/>
      <w:divBdr>
        <w:top w:val="none" w:sz="0" w:space="0" w:color="auto"/>
        <w:left w:val="none" w:sz="0" w:space="0" w:color="auto"/>
        <w:bottom w:val="none" w:sz="0" w:space="0" w:color="auto"/>
        <w:right w:val="none" w:sz="0" w:space="0" w:color="auto"/>
      </w:divBdr>
    </w:div>
    <w:div w:id="859971165">
      <w:bodyDiv w:val="1"/>
      <w:marLeft w:val="0"/>
      <w:marRight w:val="0"/>
      <w:marTop w:val="0"/>
      <w:marBottom w:val="0"/>
      <w:divBdr>
        <w:top w:val="none" w:sz="0" w:space="0" w:color="auto"/>
        <w:left w:val="none" w:sz="0" w:space="0" w:color="auto"/>
        <w:bottom w:val="none" w:sz="0" w:space="0" w:color="auto"/>
        <w:right w:val="none" w:sz="0" w:space="0" w:color="auto"/>
      </w:divBdr>
    </w:div>
    <w:div w:id="860053119">
      <w:bodyDiv w:val="1"/>
      <w:marLeft w:val="0"/>
      <w:marRight w:val="0"/>
      <w:marTop w:val="0"/>
      <w:marBottom w:val="0"/>
      <w:divBdr>
        <w:top w:val="none" w:sz="0" w:space="0" w:color="auto"/>
        <w:left w:val="none" w:sz="0" w:space="0" w:color="auto"/>
        <w:bottom w:val="none" w:sz="0" w:space="0" w:color="auto"/>
        <w:right w:val="none" w:sz="0" w:space="0" w:color="auto"/>
      </w:divBdr>
    </w:div>
    <w:div w:id="860508848">
      <w:bodyDiv w:val="1"/>
      <w:marLeft w:val="0"/>
      <w:marRight w:val="0"/>
      <w:marTop w:val="0"/>
      <w:marBottom w:val="0"/>
      <w:divBdr>
        <w:top w:val="none" w:sz="0" w:space="0" w:color="auto"/>
        <w:left w:val="none" w:sz="0" w:space="0" w:color="auto"/>
        <w:bottom w:val="none" w:sz="0" w:space="0" w:color="auto"/>
        <w:right w:val="none" w:sz="0" w:space="0" w:color="auto"/>
      </w:divBdr>
    </w:div>
    <w:div w:id="860584581">
      <w:bodyDiv w:val="1"/>
      <w:marLeft w:val="0"/>
      <w:marRight w:val="0"/>
      <w:marTop w:val="0"/>
      <w:marBottom w:val="0"/>
      <w:divBdr>
        <w:top w:val="none" w:sz="0" w:space="0" w:color="auto"/>
        <w:left w:val="none" w:sz="0" w:space="0" w:color="auto"/>
        <w:bottom w:val="none" w:sz="0" w:space="0" w:color="auto"/>
        <w:right w:val="none" w:sz="0" w:space="0" w:color="auto"/>
      </w:divBdr>
    </w:div>
    <w:div w:id="860892948">
      <w:bodyDiv w:val="1"/>
      <w:marLeft w:val="0"/>
      <w:marRight w:val="0"/>
      <w:marTop w:val="0"/>
      <w:marBottom w:val="0"/>
      <w:divBdr>
        <w:top w:val="none" w:sz="0" w:space="0" w:color="auto"/>
        <w:left w:val="none" w:sz="0" w:space="0" w:color="auto"/>
        <w:bottom w:val="none" w:sz="0" w:space="0" w:color="auto"/>
        <w:right w:val="none" w:sz="0" w:space="0" w:color="auto"/>
      </w:divBdr>
    </w:div>
    <w:div w:id="861088027">
      <w:bodyDiv w:val="1"/>
      <w:marLeft w:val="0"/>
      <w:marRight w:val="0"/>
      <w:marTop w:val="0"/>
      <w:marBottom w:val="0"/>
      <w:divBdr>
        <w:top w:val="none" w:sz="0" w:space="0" w:color="auto"/>
        <w:left w:val="none" w:sz="0" w:space="0" w:color="auto"/>
        <w:bottom w:val="none" w:sz="0" w:space="0" w:color="auto"/>
        <w:right w:val="none" w:sz="0" w:space="0" w:color="auto"/>
      </w:divBdr>
    </w:div>
    <w:div w:id="861094217">
      <w:bodyDiv w:val="1"/>
      <w:marLeft w:val="0"/>
      <w:marRight w:val="0"/>
      <w:marTop w:val="0"/>
      <w:marBottom w:val="0"/>
      <w:divBdr>
        <w:top w:val="none" w:sz="0" w:space="0" w:color="auto"/>
        <w:left w:val="none" w:sz="0" w:space="0" w:color="auto"/>
        <w:bottom w:val="none" w:sz="0" w:space="0" w:color="auto"/>
        <w:right w:val="none" w:sz="0" w:space="0" w:color="auto"/>
      </w:divBdr>
    </w:div>
    <w:div w:id="861285154">
      <w:bodyDiv w:val="1"/>
      <w:marLeft w:val="0"/>
      <w:marRight w:val="0"/>
      <w:marTop w:val="0"/>
      <w:marBottom w:val="0"/>
      <w:divBdr>
        <w:top w:val="none" w:sz="0" w:space="0" w:color="auto"/>
        <w:left w:val="none" w:sz="0" w:space="0" w:color="auto"/>
        <w:bottom w:val="none" w:sz="0" w:space="0" w:color="auto"/>
        <w:right w:val="none" w:sz="0" w:space="0" w:color="auto"/>
      </w:divBdr>
    </w:div>
    <w:div w:id="861288527">
      <w:bodyDiv w:val="1"/>
      <w:marLeft w:val="0"/>
      <w:marRight w:val="0"/>
      <w:marTop w:val="0"/>
      <w:marBottom w:val="0"/>
      <w:divBdr>
        <w:top w:val="none" w:sz="0" w:space="0" w:color="auto"/>
        <w:left w:val="none" w:sz="0" w:space="0" w:color="auto"/>
        <w:bottom w:val="none" w:sz="0" w:space="0" w:color="auto"/>
        <w:right w:val="none" w:sz="0" w:space="0" w:color="auto"/>
      </w:divBdr>
    </w:div>
    <w:div w:id="861554834">
      <w:bodyDiv w:val="1"/>
      <w:marLeft w:val="0"/>
      <w:marRight w:val="0"/>
      <w:marTop w:val="0"/>
      <w:marBottom w:val="0"/>
      <w:divBdr>
        <w:top w:val="none" w:sz="0" w:space="0" w:color="auto"/>
        <w:left w:val="none" w:sz="0" w:space="0" w:color="auto"/>
        <w:bottom w:val="none" w:sz="0" w:space="0" w:color="auto"/>
        <w:right w:val="none" w:sz="0" w:space="0" w:color="auto"/>
      </w:divBdr>
    </w:div>
    <w:div w:id="861895811">
      <w:bodyDiv w:val="1"/>
      <w:marLeft w:val="0"/>
      <w:marRight w:val="0"/>
      <w:marTop w:val="0"/>
      <w:marBottom w:val="0"/>
      <w:divBdr>
        <w:top w:val="none" w:sz="0" w:space="0" w:color="auto"/>
        <w:left w:val="none" w:sz="0" w:space="0" w:color="auto"/>
        <w:bottom w:val="none" w:sz="0" w:space="0" w:color="auto"/>
        <w:right w:val="none" w:sz="0" w:space="0" w:color="auto"/>
      </w:divBdr>
    </w:div>
    <w:div w:id="861896506">
      <w:bodyDiv w:val="1"/>
      <w:marLeft w:val="0"/>
      <w:marRight w:val="0"/>
      <w:marTop w:val="0"/>
      <w:marBottom w:val="0"/>
      <w:divBdr>
        <w:top w:val="none" w:sz="0" w:space="0" w:color="auto"/>
        <w:left w:val="none" w:sz="0" w:space="0" w:color="auto"/>
        <w:bottom w:val="none" w:sz="0" w:space="0" w:color="auto"/>
        <w:right w:val="none" w:sz="0" w:space="0" w:color="auto"/>
      </w:divBdr>
    </w:div>
    <w:div w:id="861944400">
      <w:bodyDiv w:val="1"/>
      <w:marLeft w:val="0"/>
      <w:marRight w:val="0"/>
      <w:marTop w:val="0"/>
      <w:marBottom w:val="0"/>
      <w:divBdr>
        <w:top w:val="none" w:sz="0" w:space="0" w:color="auto"/>
        <w:left w:val="none" w:sz="0" w:space="0" w:color="auto"/>
        <w:bottom w:val="none" w:sz="0" w:space="0" w:color="auto"/>
        <w:right w:val="none" w:sz="0" w:space="0" w:color="auto"/>
      </w:divBdr>
    </w:div>
    <w:div w:id="862087763">
      <w:bodyDiv w:val="1"/>
      <w:marLeft w:val="0"/>
      <w:marRight w:val="0"/>
      <w:marTop w:val="0"/>
      <w:marBottom w:val="0"/>
      <w:divBdr>
        <w:top w:val="none" w:sz="0" w:space="0" w:color="auto"/>
        <w:left w:val="none" w:sz="0" w:space="0" w:color="auto"/>
        <w:bottom w:val="none" w:sz="0" w:space="0" w:color="auto"/>
        <w:right w:val="none" w:sz="0" w:space="0" w:color="auto"/>
      </w:divBdr>
    </w:div>
    <w:div w:id="862128647">
      <w:bodyDiv w:val="1"/>
      <w:marLeft w:val="0"/>
      <w:marRight w:val="0"/>
      <w:marTop w:val="0"/>
      <w:marBottom w:val="0"/>
      <w:divBdr>
        <w:top w:val="none" w:sz="0" w:space="0" w:color="auto"/>
        <w:left w:val="none" w:sz="0" w:space="0" w:color="auto"/>
        <w:bottom w:val="none" w:sz="0" w:space="0" w:color="auto"/>
        <w:right w:val="none" w:sz="0" w:space="0" w:color="auto"/>
      </w:divBdr>
    </w:div>
    <w:div w:id="862129816">
      <w:bodyDiv w:val="1"/>
      <w:marLeft w:val="0"/>
      <w:marRight w:val="0"/>
      <w:marTop w:val="0"/>
      <w:marBottom w:val="0"/>
      <w:divBdr>
        <w:top w:val="none" w:sz="0" w:space="0" w:color="auto"/>
        <w:left w:val="none" w:sz="0" w:space="0" w:color="auto"/>
        <w:bottom w:val="none" w:sz="0" w:space="0" w:color="auto"/>
        <w:right w:val="none" w:sz="0" w:space="0" w:color="auto"/>
      </w:divBdr>
    </w:div>
    <w:div w:id="862597548">
      <w:bodyDiv w:val="1"/>
      <w:marLeft w:val="0"/>
      <w:marRight w:val="0"/>
      <w:marTop w:val="0"/>
      <w:marBottom w:val="0"/>
      <w:divBdr>
        <w:top w:val="none" w:sz="0" w:space="0" w:color="auto"/>
        <w:left w:val="none" w:sz="0" w:space="0" w:color="auto"/>
        <w:bottom w:val="none" w:sz="0" w:space="0" w:color="auto"/>
        <w:right w:val="none" w:sz="0" w:space="0" w:color="auto"/>
      </w:divBdr>
    </w:div>
    <w:div w:id="862674191">
      <w:bodyDiv w:val="1"/>
      <w:marLeft w:val="0"/>
      <w:marRight w:val="0"/>
      <w:marTop w:val="0"/>
      <w:marBottom w:val="0"/>
      <w:divBdr>
        <w:top w:val="none" w:sz="0" w:space="0" w:color="auto"/>
        <w:left w:val="none" w:sz="0" w:space="0" w:color="auto"/>
        <w:bottom w:val="none" w:sz="0" w:space="0" w:color="auto"/>
        <w:right w:val="none" w:sz="0" w:space="0" w:color="auto"/>
      </w:divBdr>
    </w:div>
    <w:div w:id="862741254">
      <w:bodyDiv w:val="1"/>
      <w:marLeft w:val="0"/>
      <w:marRight w:val="0"/>
      <w:marTop w:val="0"/>
      <w:marBottom w:val="0"/>
      <w:divBdr>
        <w:top w:val="none" w:sz="0" w:space="0" w:color="auto"/>
        <w:left w:val="none" w:sz="0" w:space="0" w:color="auto"/>
        <w:bottom w:val="none" w:sz="0" w:space="0" w:color="auto"/>
        <w:right w:val="none" w:sz="0" w:space="0" w:color="auto"/>
      </w:divBdr>
    </w:div>
    <w:div w:id="862745748">
      <w:bodyDiv w:val="1"/>
      <w:marLeft w:val="0"/>
      <w:marRight w:val="0"/>
      <w:marTop w:val="0"/>
      <w:marBottom w:val="0"/>
      <w:divBdr>
        <w:top w:val="none" w:sz="0" w:space="0" w:color="auto"/>
        <w:left w:val="none" w:sz="0" w:space="0" w:color="auto"/>
        <w:bottom w:val="none" w:sz="0" w:space="0" w:color="auto"/>
        <w:right w:val="none" w:sz="0" w:space="0" w:color="auto"/>
      </w:divBdr>
    </w:div>
    <w:div w:id="862859248">
      <w:bodyDiv w:val="1"/>
      <w:marLeft w:val="0"/>
      <w:marRight w:val="0"/>
      <w:marTop w:val="0"/>
      <w:marBottom w:val="0"/>
      <w:divBdr>
        <w:top w:val="none" w:sz="0" w:space="0" w:color="auto"/>
        <w:left w:val="none" w:sz="0" w:space="0" w:color="auto"/>
        <w:bottom w:val="none" w:sz="0" w:space="0" w:color="auto"/>
        <w:right w:val="none" w:sz="0" w:space="0" w:color="auto"/>
      </w:divBdr>
    </w:div>
    <w:div w:id="863131647">
      <w:bodyDiv w:val="1"/>
      <w:marLeft w:val="0"/>
      <w:marRight w:val="0"/>
      <w:marTop w:val="0"/>
      <w:marBottom w:val="0"/>
      <w:divBdr>
        <w:top w:val="none" w:sz="0" w:space="0" w:color="auto"/>
        <w:left w:val="none" w:sz="0" w:space="0" w:color="auto"/>
        <w:bottom w:val="none" w:sz="0" w:space="0" w:color="auto"/>
        <w:right w:val="none" w:sz="0" w:space="0" w:color="auto"/>
      </w:divBdr>
    </w:div>
    <w:div w:id="863206598">
      <w:bodyDiv w:val="1"/>
      <w:marLeft w:val="0"/>
      <w:marRight w:val="0"/>
      <w:marTop w:val="0"/>
      <w:marBottom w:val="0"/>
      <w:divBdr>
        <w:top w:val="none" w:sz="0" w:space="0" w:color="auto"/>
        <w:left w:val="none" w:sz="0" w:space="0" w:color="auto"/>
        <w:bottom w:val="none" w:sz="0" w:space="0" w:color="auto"/>
        <w:right w:val="none" w:sz="0" w:space="0" w:color="auto"/>
      </w:divBdr>
    </w:div>
    <w:div w:id="863590064">
      <w:bodyDiv w:val="1"/>
      <w:marLeft w:val="0"/>
      <w:marRight w:val="0"/>
      <w:marTop w:val="0"/>
      <w:marBottom w:val="0"/>
      <w:divBdr>
        <w:top w:val="none" w:sz="0" w:space="0" w:color="auto"/>
        <w:left w:val="none" w:sz="0" w:space="0" w:color="auto"/>
        <w:bottom w:val="none" w:sz="0" w:space="0" w:color="auto"/>
        <w:right w:val="none" w:sz="0" w:space="0" w:color="auto"/>
      </w:divBdr>
    </w:div>
    <w:div w:id="863592582">
      <w:bodyDiv w:val="1"/>
      <w:marLeft w:val="0"/>
      <w:marRight w:val="0"/>
      <w:marTop w:val="0"/>
      <w:marBottom w:val="0"/>
      <w:divBdr>
        <w:top w:val="none" w:sz="0" w:space="0" w:color="auto"/>
        <w:left w:val="none" w:sz="0" w:space="0" w:color="auto"/>
        <w:bottom w:val="none" w:sz="0" w:space="0" w:color="auto"/>
        <w:right w:val="none" w:sz="0" w:space="0" w:color="auto"/>
      </w:divBdr>
    </w:div>
    <w:div w:id="863593055">
      <w:bodyDiv w:val="1"/>
      <w:marLeft w:val="0"/>
      <w:marRight w:val="0"/>
      <w:marTop w:val="0"/>
      <w:marBottom w:val="0"/>
      <w:divBdr>
        <w:top w:val="none" w:sz="0" w:space="0" w:color="auto"/>
        <w:left w:val="none" w:sz="0" w:space="0" w:color="auto"/>
        <w:bottom w:val="none" w:sz="0" w:space="0" w:color="auto"/>
        <w:right w:val="none" w:sz="0" w:space="0" w:color="auto"/>
      </w:divBdr>
    </w:div>
    <w:div w:id="863976648">
      <w:bodyDiv w:val="1"/>
      <w:marLeft w:val="0"/>
      <w:marRight w:val="0"/>
      <w:marTop w:val="0"/>
      <w:marBottom w:val="0"/>
      <w:divBdr>
        <w:top w:val="none" w:sz="0" w:space="0" w:color="auto"/>
        <w:left w:val="none" w:sz="0" w:space="0" w:color="auto"/>
        <w:bottom w:val="none" w:sz="0" w:space="0" w:color="auto"/>
        <w:right w:val="none" w:sz="0" w:space="0" w:color="auto"/>
      </w:divBdr>
    </w:div>
    <w:div w:id="863982573">
      <w:bodyDiv w:val="1"/>
      <w:marLeft w:val="0"/>
      <w:marRight w:val="0"/>
      <w:marTop w:val="0"/>
      <w:marBottom w:val="0"/>
      <w:divBdr>
        <w:top w:val="none" w:sz="0" w:space="0" w:color="auto"/>
        <w:left w:val="none" w:sz="0" w:space="0" w:color="auto"/>
        <w:bottom w:val="none" w:sz="0" w:space="0" w:color="auto"/>
        <w:right w:val="none" w:sz="0" w:space="0" w:color="auto"/>
      </w:divBdr>
    </w:div>
    <w:div w:id="864174511">
      <w:bodyDiv w:val="1"/>
      <w:marLeft w:val="0"/>
      <w:marRight w:val="0"/>
      <w:marTop w:val="0"/>
      <w:marBottom w:val="0"/>
      <w:divBdr>
        <w:top w:val="none" w:sz="0" w:space="0" w:color="auto"/>
        <w:left w:val="none" w:sz="0" w:space="0" w:color="auto"/>
        <w:bottom w:val="none" w:sz="0" w:space="0" w:color="auto"/>
        <w:right w:val="none" w:sz="0" w:space="0" w:color="auto"/>
      </w:divBdr>
    </w:div>
    <w:div w:id="864177622">
      <w:bodyDiv w:val="1"/>
      <w:marLeft w:val="0"/>
      <w:marRight w:val="0"/>
      <w:marTop w:val="0"/>
      <w:marBottom w:val="0"/>
      <w:divBdr>
        <w:top w:val="none" w:sz="0" w:space="0" w:color="auto"/>
        <w:left w:val="none" w:sz="0" w:space="0" w:color="auto"/>
        <w:bottom w:val="none" w:sz="0" w:space="0" w:color="auto"/>
        <w:right w:val="none" w:sz="0" w:space="0" w:color="auto"/>
      </w:divBdr>
    </w:div>
    <w:div w:id="864246281">
      <w:bodyDiv w:val="1"/>
      <w:marLeft w:val="0"/>
      <w:marRight w:val="0"/>
      <w:marTop w:val="0"/>
      <w:marBottom w:val="0"/>
      <w:divBdr>
        <w:top w:val="none" w:sz="0" w:space="0" w:color="auto"/>
        <w:left w:val="none" w:sz="0" w:space="0" w:color="auto"/>
        <w:bottom w:val="none" w:sz="0" w:space="0" w:color="auto"/>
        <w:right w:val="none" w:sz="0" w:space="0" w:color="auto"/>
      </w:divBdr>
    </w:div>
    <w:div w:id="864248476">
      <w:bodyDiv w:val="1"/>
      <w:marLeft w:val="0"/>
      <w:marRight w:val="0"/>
      <w:marTop w:val="0"/>
      <w:marBottom w:val="0"/>
      <w:divBdr>
        <w:top w:val="none" w:sz="0" w:space="0" w:color="auto"/>
        <w:left w:val="none" w:sz="0" w:space="0" w:color="auto"/>
        <w:bottom w:val="none" w:sz="0" w:space="0" w:color="auto"/>
        <w:right w:val="none" w:sz="0" w:space="0" w:color="auto"/>
      </w:divBdr>
    </w:div>
    <w:div w:id="864364079">
      <w:bodyDiv w:val="1"/>
      <w:marLeft w:val="0"/>
      <w:marRight w:val="0"/>
      <w:marTop w:val="0"/>
      <w:marBottom w:val="0"/>
      <w:divBdr>
        <w:top w:val="none" w:sz="0" w:space="0" w:color="auto"/>
        <w:left w:val="none" w:sz="0" w:space="0" w:color="auto"/>
        <w:bottom w:val="none" w:sz="0" w:space="0" w:color="auto"/>
        <w:right w:val="none" w:sz="0" w:space="0" w:color="auto"/>
      </w:divBdr>
    </w:div>
    <w:div w:id="864563675">
      <w:bodyDiv w:val="1"/>
      <w:marLeft w:val="0"/>
      <w:marRight w:val="0"/>
      <w:marTop w:val="0"/>
      <w:marBottom w:val="0"/>
      <w:divBdr>
        <w:top w:val="none" w:sz="0" w:space="0" w:color="auto"/>
        <w:left w:val="none" w:sz="0" w:space="0" w:color="auto"/>
        <w:bottom w:val="none" w:sz="0" w:space="0" w:color="auto"/>
        <w:right w:val="none" w:sz="0" w:space="0" w:color="auto"/>
      </w:divBdr>
    </w:div>
    <w:div w:id="864635466">
      <w:bodyDiv w:val="1"/>
      <w:marLeft w:val="0"/>
      <w:marRight w:val="0"/>
      <w:marTop w:val="0"/>
      <w:marBottom w:val="0"/>
      <w:divBdr>
        <w:top w:val="none" w:sz="0" w:space="0" w:color="auto"/>
        <w:left w:val="none" w:sz="0" w:space="0" w:color="auto"/>
        <w:bottom w:val="none" w:sz="0" w:space="0" w:color="auto"/>
        <w:right w:val="none" w:sz="0" w:space="0" w:color="auto"/>
      </w:divBdr>
    </w:div>
    <w:div w:id="864753200">
      <w:bodyDiv w:val="1"/>
      <w:marLeft w:val="0"/>
      <w:marRight w:val="0"/>
      <w:marTop w:val="0"/>
      <w:marBottom w:val="0"/>
      <w:divBdr>
        <w:top w:val="none" w:sz="0" w:space="0" w:color="auto"/>
        <w:left w:val="none" w:sz="0" w:space="0" w:color="auto"/>
        <w:bottom w:val="none" w:sz="0" w:space="0" w:color="auto"/>
        <w:right w:val="none" w:sz="0" w:space="0" w:color="auto"/>
      </w:divBdr>
    </w:div>
    <w:div w:id="865287097">
      <w:bodyDiv w:val="1"/>
      <w:marLeft w:val="0"/>
      <w:marRight w:val="0"/>
      <w:marTop w:val="0"/>
      <w:marBottom w:val="0"/>
      <w:divBdr>
        <w:top w:val="none" w:sz="0" w:space="0" w:color="auto"/>
        <w:left w:val="none" w:sz="0" w:space="0" w:color="auto"/>
        <w:bottom w:val="none" w:sz="0" w:space="0" w:color="auto"/>
        <w:right w:val="none" w:sz="0" w:space="0" w:color="auto"/>
      </w:divBdr>
    </w:div>
    <w:div w:id="865366396">
      <w:bodyDiv w:val="1"/>
      <w:marLeft w:val="0"/>
      <w:marRight w:val="0"/>
      <w:marTop w:val="0"/>
      <w:marBottom w:val="0"/>
      <w:divBdr>
        <w:top w:val="none" w:sz="0" w:space="0" w:color="auto"/>
        <w:left w:val="none" w:sz="0" w:space="0" w:color="auto"/>
        <w:bottom w:val="none" w:sz="0" w:space="0" w:color="auto"/>
        <w:right w:val="none" w:sz="0" w:space="0" w:color="auto"/>
      </w:divBdr>
    </w:div>
    <w:div w:id="865756824">
      <w:bodyDiv w:val="1"/>
      <w:marLeft w:val="0"/>
      <w:marRight w:val="0"/>
      <w:marTop w:val="0"/>
      <w:marBottom w:val="0"/>
      <w:divBdr>
        <w:top w:val="none" w:sz="0" w:space="0" w:color="auto"/>
        <w:left w:val="none" w:sz="0" w:space="0" w:color="auto"/>
        <w:bottom w:val="none" w:sz="0" w:space="0" w:color="auto"/>
        <w:right w:val="none" w:sz="0" w:space="0" w:color="auto"/>
      </w:divBdr>
    </w:div>
    <w:div w:id="865870813">
      <w:bodyDiv w:val="1"/>
      <w:marLeft w:val="0"/>
      <w:marRight w:val="0"/>
      <w:marTop w:val="0"/>
      <w:marBottom w:val="0"/>
      <w:divBdr>
        <w:top w:val="none" w:sz="0" w:space="0" w:color="auto"/>
        <w:left w:val="none" w:sz="0" w:space="0" w:color="auto"/>
        <w:bottom w:val="none" w:sz="0" w:space="0" w:color="auto"/>
        <w:right w:val="none" w:sz="0" w:space="0" w:color="auto"/>
      </w:divBdr>
    </w:div>
    <w:div w:id="866405553">
      <w:bodyDiv w:val="1"/>
      <w:marLeft w:val="0"/>
      <w:marRight w:val="0"/>
      <w:marTop w:val="0"/>
      <w:marBottom w:val="0"/>
      <w:divBdr>
        <w:top w:val="none" w:sz="0" w:space="0" w:color="auto"/>
        <w:left w:val="none" w:sz="0" w:space="0" w:color="auto"/>
        <w:bottom w:val="none" w:sz="0" w:space="0" w:color="auto"/>
        <w:right w:val="none" w:sz="0" w:space="0" w:color="auto"/>
      </w:divBdr>
    </w:div>
    <w:div w:id="866985393">
      <w:bodyDiv w:val="1"/>
      <w:marLeft w:val="0"/>
      <w:marRight w:val="0"/>
      <w:marTop w:val="0"/>
      <w:marBottom w:val="0"/>
      <w:divBdr>
        <w:top w:val="none" w:sz="0" w:space="0" w:color="auto"/>
        <w:left w:val="none" w:sz="0" w:space="0" w:color="auto"/>
        <w:bottom w:val="none" w:sz="0" w:space="0" w:color="auto"/>
        <w:right w:val="none" w:sz="0" w:space="0" w:color="auto"/>
      </w:divBdr>
    </w:div>
    <w:div w:id="867259588">
      <w:bodyDiv w:val="1"/>
      <w:marLeft w:val="0"/>
      <w:marRight w:val="0"/>
      <w:marTop w:val="0"/>
      <w:marBottom w:val="0"/>
      <w:divBdr>
        <w:top w:val="none" w:sz="0" w:space="0" w:color="auto"/>
        <w:left w:val="none" w:sz="0" w:space="0" w:color="auto"/>
        <w:bottom w:val="none" w:sz="0" w:space="0" w:color="auto"/>
        <w:right w:val="none" w:sz="0" w:space="0" w:color="auto"/>
      </w:divBdr>
    </w:div>
    <w:div w:id="867522175">
      <w:bodyDiv w:val="1"/>
      <w:marLeft w:val="0"/>
      <w:marRight w:val="0"/>
      <w:marTop w:val="0"/>
      <w:marBottom w:val="0"/>
      <w:divBdr>
        <w:top w:val="none" w:sz="0" w:space="0" w:color="auto"/>
        <w:left w:val="none" w:sz="0" w:space="0" w:color="auto"/>
        <w:bottom w:val="none" w:sz="0" w:space="0" w:color="auto"/>
        <w:right w:val="none" w:sz="0" w:space="0" w:color="auto"/>
      </w:divBdr>
    </w:div>
    <w:div w:id="867597628">
      <w:bodyDiv w:val="1"/>
      <w:marLeft w:val="0"/>
      <w:marRight w:val="0"/>
      <w:marTop w:val="0"/>
      <w:marBottom w:val="0"/>
      <w:divBdr>
        <w:top w:val="none" w:sz="0" w:space="0" w:color="auto"/>
        <w:left w:val="none" w:sz="0" w:space="0" w:color="auto"/>
        <w:bottom w:val="none" w:sz="0" w:space="0" w:color="auto"/>
        <w:right w:val="none" w:sz="0" w:space="0" w:color="auto"/>
      </w:divBdr>
    </w:div>
    <w:div w:id="868177713">
      <w:bodyDiv w:val="1"/>
      <w:marLeft w:val="0"/>
      <w:marRight w:val="0"/>
      <w:marTop w:val="0"/>
      <w:marBottom w:val="0"/>
      <w:divBdr>
        <w:top w:val="none" w:sz="0" w:space="0" w:color="auto"/>
        <w:left w:val="none" w:sz="0" w:space="0" w:color="auto"/>
        <w:bottom w:val="none" w:sz="0" w:space="0" w:color="auto"/>
        <w:right w:val="none" w:sz="0" w:space="0" w:color="auto"/>
      </w:divBdr>
    </w:div>
    <w:div w:id="868252688">
      <w:bodyDiv w:val="1"/>
      <w:marLeft w:val="0"/>
      <w:marRight w:val="0"/>
      <w:marTop w:val="0"/>
      <w:marBottom w:val="0"/>
      <w:divBdr>
        <w:top w:val="none" w:sz="0" w:space="0" w:color="auto"/>
        <w:left w:val="none" w:sz="0" w:space="0" w:color="auto"/>
        <w:bottom w:val="none" w:sz="0" w:space="0" w:color="auto"/>
        <w:right w:val="none" w:sz="0" w:space="0" w:color="auto"/>
      </w:divBdr>
    </w:div>
    <w:div w:id="868839277">
      <w:bodyDiv w:val="1"/>
      <w:marLeft w:val="0"/>
      <w:marRight w:val="0"/>
      <w:marTop w:val="0"/>
      <w:marBottom w:val="0"/>
      <w:divBdr>
        <w:top w:val="none" w:sz="0" w:space="0" w:color="auto"/>
        <w:left w:val="none" w:sz="0" w:space="0" w:color="auto"/>
        <w:bottom w:val="none" w:sz="0" w:space="0" w:color="auto"/>
        <w:right w:val="none" w:sz="0" w:space="0" w:color="auto"/>
      </w:divBdr>
    </w:div>
    <w:div w:id="868880929">
      <w:bodyDiv w:val="1"/>
      <w:marLeft w:val="0"/>
      <w:marRight w:val="0"/>
      <w:marTop w:val="0"/>
      <w:marBottom w:val="0"/>
      <w:divBdr>
        <w:top w:val="none" w:sz="0" w:space="0" w:color="auto"/>
        <w:left w:val="none" w:sz="0" w:space="0" w:color="auto"/>
        <w:bottom w:val="none" w:sz="0" w:space="0" w:color="auto"/>
        <w:right w:val="none" w:sz="0" w:space="0" w:color="auto"/>
      </w:divBdr>
    </w:div>
    <w:div w:id="869034195">
      <w:bodyDiv w:val="1"/>
      <w:marLeft w:val="0"/>
      <w:marRight w:val="0"/>
      <w:marTop w:val="0"/>
      <w:marBottom w:val="0"/>
      <w:divBdr>
        <w:top w:val="none" w:sz="0" w:space="0" w:color="auto"/>
        <w:left w:val="none" w:sz="0" w:space="0" w:color="auto"/>
        <w:bottom w:val="none" w:sz="0" w:space="0" w:color="auto"/>
        <w:right w:val="none" w:sz="0" w:space="0" w:color="auto"/>
      </w:divBdr>
    </w:div>
    <w:div w:id="869146933">
      <w:bodyDiv w:val="1"/>
      <w:marLeft w:val="0"/>
      <w:marRight w:val="0"/>
      <w:marTop w:val="0"/>
      <w:marBottom w:val="0"/>
      <w:divBdr>
        <w:top w:val="none" w:sz="0" w:space="0" w:color="auto"/>
        <w:left w:val="none" w:sz="0" w:space="0" w:color="auto"/>
        <w:bottom w:val="none" w:sz="0" w:space="0" w:color="auto"/>
        <w:right w:val="none" w:sz="0" w:space="0" w:color="auto"/>
      </w:divBdr>
    </w:div>
    <w:div w:id="869152111">
      <w:bodyDiv w:val="1"/>
      <w:marLeft w:val="0"/>
      <w:marRight w:val="0"/>
      <w:marTop w:val="0"/>
      <w:marBottom w:val="0"/>
      <w:divBdr>
        <w:top w:val="none" w:sz="0" w:space="0" w:color="auto"/>
        <w:left w:val="none" w:sz="0" w:space="0" w:color="auto"/>
        <w:bottom w:val="none" w:sz="0" w:space="0" w:color="auto"/>
        <w:right w:val="none" w:sz="0" w:space="0" w:color="auto"/>
      </w:divBdr>
    </w:div>
    <w:div w:id="869298989">
      <w:bodyDiv w:val="1"/>
      <w:marLeft w:val="0"/>
      <w:marRight w:val="0"/>
      <w:marTop w:val="0"/>
      <w:marBottom w:val="0"/>
      <w:divBdr>
        <w:top w:val="none" w:sz="0" w:space="0" w:color="auto"/>
        <w:left w:val="none" w:sz="0" w:space="0" w:color="auto"/>
        <w:bottom w:val="none" w:sz="0" w:space="0" w:color="auto"/>
        <w:right w:val="none" w:sz="0" w:space="0" w:color="auto"/>
      </w:divBdr>
    </w:div>
    <w:div w:id="869337892">
      <w:bodyDiv w:val="1"/>
      <w:marLeft w:val="0"/>
      <w:marRight w:val="0"/>
      <w:marTop w:val="0"/>
      <w:marBottom w:val="0"/>
      <w:divBdr>
        <w:top w:val="none" w:sz="0" w:space="0" w:color="auto"/>
        <w:left w:val="none" w:sz="0" w:space="0" w:color="auto"/>
        <w:bottom w:val="none" w:sz="0" w:space="0" w:color="auto"/>
        <w:right w:val="none" w:sz="0" w:space="0" w:color="auto"/>
      </w:divBdr>
    </w:div>
    <w:div w:id="869532896">
      <w:bodyDiv w:val="1"/>
      <w:marLeft w:val="0"/>
      <w:marRight w:val="0"/>
      <w:marTop w:val="0"/>
      <w:marBottom w:val="0"/>
      <w:divBdr>
        <w:top w:val="none" w:sz="0" w:space="0" w:color="auto"/>
        <w:left w:val="none" w:sz="0" w:space="0" w:color="auto"/>
        <w:bottom w:val="none" w:sz="0" w:space="0" w:color="auto"/>
        <w:right w:val="none" w:sz="0" w:space="0" w:color="auto"/>
      </w:divBdr>
    </w:div>
    <w:div w:id="869534980">
      <w:bodyDiv w:val="1"/>
      <w:marLeft w:val="0"/>
      <w:marRight w:val="0"/>
      <w:marTop w:val="0"/>
      <w:marBottom w:val="0"/>
      <w:divBdr>
        <w:top w:val="none" w:sz="0" w:space="0" w:color="auto"/>
        <w:left w:val="none" w:sz="0" w:space="0" w:color="auto"/>
        <w:bottom w:val="none" w:sz="0" w:space="0" w:color="auto"/>
        <w:right w:val="none" w:sz="0" w:space="0" w:color="auto"/>
      </w:divBdr>
    </w:div>
    <w:div w:id="869537771">
      <w:bodyDiv w:val="1"/>
      <w:marLeft w:val="0"/>
      <w:marRight w:val="0"/>
      <w:marTop w:val="0"/>
      <w:marBottom w:val="0"/>
      <w:divBdr>
        <w:top w:val="none" w:sz="0" w:space="0" w:color="auto"/>
        <w:left w:val="none" w:sz="0" w:space="0" w:color="auto"/>
        <w:bottom w:val="none" w:sz="0" w:space="0" w:color="auto"/>
        <w:right w:val="none" w:sz="0" w:space="0" w:color="auto"/>
      </w:divBdr>
    </w:div>
    <w:div w:id="869610875">
      <w:bodyDiv w:val="1"/>
      <w:marLeft w:val="0"/>
      <w:marRight w:val="0"/>
      <w:marTop w:val="0"/>
      <w:marBottom w:val="0"/>
      <w:divBdr>
        <w:top w:val="none" w:sz="0" w:space="0" w:color="auto"/>
        <w:left w:val="none" w:sz="0" w:space="0" w:color="auto"/>
        <w:bottom w:val="none" w:sz="0" w:space="0" w:color="auto"/>
        <w:right w:val="none" w:sz="0" w:space="0" w:color="auto"/>
      </w:divBdr>
    </w:div>
    <w:div w:id="869730864">
      <w:bodyDiv w:val="1"/>
      <w:marLeft w:val="0"/>
      <w:marRight w:val="0"/>
      <w:marTop w:val="0"/>
      <w:marBottom w:val="0"/>
      <w:divBdr>
        <w:top w:val="none" w:sz="0" w:space="0" w:color="auto"/>
        <w:left w:val="none" w:sz="0" w:space="0" w:color="auto"/>
        <w:bottom w:val="none" w:sz="0" w:space="0" w:color="auto"/>
        <w:right w:val="none" w:sz="0" w:space="0" w:color="auto"/>
      </w:divBdr>
    </w:div>
    <w:div w:id="869873915">
      <w:bodyDiv w:val="1"/>
      <w:marLeft w:val="0"/>
      <w:marRight w:val="0"/>
      <w:marTop w:val="0"/>
      <w:marBottom w:val="0"/>
      <w:divBdr>
        <w:top w:val="none" w:sz="0" w:space="0" w:color="auto"/>
        <w:left w:val="none" w:sz="0" w:space="0" w:color="auto"/>
        <w:bottom w:val="none" w:sz="0" w:space="0" w:color="auto"/>
        <w:right w:val="none" w:sz="0" w:space="0" w:color="auto"/>
      </w:divBdr>
    </w:div>
    <w:div w:id="869953813">
      <w:bodyDiv w:val="1"/>
      <w:marLeft w:val="0"/>
      <w:marRight w:val="0"/>
      <w:marTop w:val="0"/>
      <w:marBottom w:val="0"/>
      <w:divBdr>
        <w:top w:val="none" w:sz="0" w:space="0" w:color="auto"/>
        <w:left w:val="none" w:sz="0" w:space="0" w:color="auto"/>
        <w:bottom w:val="none" w:sz="0" w:space="0" w:color="auto"/>
        <w:right w:val="none" w:sz="0" w:space="0" w:color="auto"/>
      </w:divBdr>
    </w:div>
    <w:div w:id="870218181">
      <w:bodyDiv w:val="1"/>
      <w:marLeft w:val="0"/>
      <w:marRight w:val="0"/>
      <w:marTop w:val="0"/>
      <w:marBottom w:val="0"/>
      <w:divBdr>
        <w:top w:val="none" w:sz="0" w:space="0" w:color="auto"/>
        <w:left w:val="none" w:sz="0" w:space="0" w:color="auto"/>
        <w:bottom w:val="none" w:sz="0" w:space="0" w:color="auto"/>
        <w:right w:val="none" w:sz="0" w:space="0" w:color="auto"/>
      </w:divBdr>
    </w:div>
    <w:div w:id="870411340">
      <w:bodyDiv w:val="1"/>
      <w:marLeft w:val="0"/>
      <w:marRight w:val="0"/>
      <w:marTop w:val="0"/>
      <w:marBottom w:val="0"/>
      <w:divBdr>
        <w:top w:val="none" w:sz="0" w:space="0" w:color="auto"/>
        <w:left w:val="none" w:sz="0" w:space="0" w:color="auto"/>
        <w:bottom w:val="none" w:sz="0" w:space="0" w:color="auto"/>
        <w:right w:val="none" w:sz="0" w:space="0" w:color="auto"/>
      </w:divBdr>
    </w:div>
    <w:div w:id="870534205">
      <w:bodyDiv w:val="1"/>
      <w:marLeft w:val="0"/>
      <w:marRight w:val="0"/>
      <w:marTop w:val="0"/>
      <w:marBottom w:val="0"/>
      <w:divBdr>
        <w:top w:val="none" w:sz="0" w:space="0" w:color="auto"/>
        <w:left w:val="none" w:sz="0" w:space="0" w:color="auto"/>
        <w:bottom w:val="none" w:sz="0" w:space="0" w:color="auto"/>
        <w:right w:val="none" w:sz="0" w:space="0" w:color="auto"/>
      </w:divBdr>
    </w:div>
    <w:div w:id="870846282">
      <w:bodyDiv w:val="1"/>
      <w:marLeft w:val="0"/>
      <w:marRight w:val="0"/>
      <w:marTop w:val="0"/>
      <w:marBottom w:val="0"/>
      <w:divBdr>
        <w:top w:val="none" w:sz="0" w:space="0" w:color="auto"/>
        <w:left w:val="none" w:sz="0" w:space="0" w:color="auto"/>
        <w:bottom w:val="none" w:sz="0" w:space="0" w:color="auto"/>
        <w:right w:val="none" w:sz="0" w:space="0" w:color="auto"/>
      </w:divBdr>
    </w:div>
    <w:div w:id="870920793">
      <w:bodyDiv w:val="1"/>
      <w:marLeft w:val="0"/>
      <w:marRight w:val="0"/>
      <w:marTop w:val="0"/>
      <w:marBottom w:val="0"/>
      <w:divBdr>
        <w:top w:val="none" w:sz="0" w:space="0" w:color="auto"/>
        <w:left w:val="none" w:sz="0" w:space="0" w:color="auto"/>
        <w:bottom w:val="none" w:sz="0" w:space="0" w:color="auto"/>
        <w:right w:val="none" w:sz="0" w:space="0" w:color="auto"/>
      </w:divBdr>
    </w:div>
    <w:div w:id="870993142">
      <w:bodyDiv w:val="1"/>
      <w:marLeft w:val="0"/>
      <w:marRight w:val="0"/>
      <w:marTop w:val="0"/>
      <w:marBottom w:val="0"/>
      <w:divBdr>
        <w:top w:val="none" w:sz="0" w:space="0" w:color="auto"/>
        <w:left w:val="none" w:sz="0" w:space="0" w:color="auto"/>
        <w:bottom w:val="none" w:sz="0" w:space="0" w:color="auto"/>
        <w:right w:val="none" w:sz="0" w:space="0" w:color="auto"/>
      </w:divBdr>
    </w:div>
    <w:div w:id="871384925">
      <w:bodyDiv w:val="1"/>
      <w:marLeft w:val="0"/>
      <w:marRight w:val="0"/>
      <w:marTop w:val="0"/>
      <w:marBottom w:val="0"/>
      <w:divBdr>
        <w:top w:val="none" w:sz="0" w:space="0" w:color="auto"/>
        <w:left w:val="none" w:sz="0" w:space="0" w:color="auto"/>
        <w:bottom w:val="none" w:sz="0" w:space="0" w:color="auto"/>
        <w:right w:val="none" w:sz="0" w:space="0" w:color="auto"/>
      </w:divBdr>
    </w:div>
    <w:div w:id="871958672">
      <w:bodyDiv w:val="1"/>
      <w:marLeft w:val="0"/>
      <w:marRight w:val="0"/>
      <w:marTop w:val="0"/>
      <w:marBottom w:val="0"/>
      <w:divBdr>
        <w:top w:val="none" w:sz="0" w:space="0" w:color="auto"/>
        <w:left w:val="none" w:sz="0" w:space="0" w:color="auto"/>
        <w:bottom w:val="none" w:sz="0" w:space="0" w:color="auto"/>
        <w:right w:val="none" w:sz="0" w:space="0" w:color="auto"/>
      </w:divBdr>
    </w:div>
    <w:div w:id="871960336">
      <w:bodyDiv w:val="1"/>
      <w:marLeft w:val="0"/>
      <w:marRight w:val="0"/>
      <w:marTop w:val="0"/>
      <w:marBottom w:val="0"/>
      <w:divBdr>
        <w:top w:val="none" w:sz="0" w:space="0" w:color="auto"/>
        <w:left w:val="none" w:sz="0" w:space="0" w:color="auto"/>
        <w:bottom w:val="none" w:sz="0" w:space="0" w:color="auto"/>
        <w:right w:val="none" w:sz="0" w:space="0" w:color="auto"/>
      </w:divBdr>
    </w:div>
    <w:div w:id="872116214">
      <w:bodyDiv w:val="1"/>
      <w:marLeft w:val="0"/>
      <w:marRight w:val="0"/>
      <w:marTop w:val="0"/>
      <w:marBottom w:val="0"/>
      <w:divBdr>
        <w:top w:val="none" w:sz="0" w:space="0" w:color="auto"/>
        <w:left w:val="none" w:sz="0" w:space="0" w:color="auto"/>
        <w:bottom w:val="none" w:sz="0" w:space="0" w:color="auto"/>
        <w:right w:val="none" w:sz="0" w:space="0" w:color="auto"/>
      </w:divBdr>
    </w:div>
    <w:div w:id="872499548">
      <w:bodyDiv w:val="1"/>
      <w:marLeft w:val="0"/>
      <w:marRight w:val="0"/>
      <w:marTop w:val="0"/>
      <w:marBottom w:val="0"/>
      <w:divBdr>
        <w:top w:val="none" w:sz="0" w:space="0" w:color="auto"/>
        <w:left w:val="none" w:sz="0" w:space="0" w:color="auto"/>
        <w:bottom w:val="none" w:sz="0" w:space="0" w:color="auto"/>
        <w:right w:val="none" w:sz="0" w:space="0" w:color="auto"/>
      </w:divBdr>
    </w:div>
    <w:div w:id="872620472">
      <w:bodyDiv w:val="1"/>
      <w:marLeft w:val="0"/>
      <w:marRight w:val="0"/>
      <w:marTop w:val="0"/>
      <w:marBottom w:val="0"/>
      <w:divBdr>
        <w:top w:val="none" w:sz="0" w:space="0" w:color="auto"/>
        <w:left w:val="none" w:sz="0" w:space="0" w:color="auto"/>
        <w:bottom w:val="none" w:sz="0" w:space="0" w:color="auto"/>
        <w:right w:val="none" w:sz="0" w:space="0" w:color="auto"/>
      </w:divBdr>
    </w:div>
    <w:div w:id="872808475">
      <w:bodyDiv w:val="1"/>
      <w:marLeft w:val="0"/>
      <w:marRight w:val="0"/>
      <w:marTop w:val="0"/>
      <w:marBottom w:val="0"/>
      <w:divBdr>
        <w:top w:val="none" w:sz="0" w:space="0" w:color="auto"/>
        <w:left w:val="none" w:sz="0" w:space="0" w:color="auto"/>
        <w:bottom w:val="none" w:sz="0" w:space="0" w:color="auto"/>
        <w:right w:val="none" w:sz="0" w:space="0" w:color="auto"/>
      </w:divBdr>
    </w:div>
    <w:div w:id="873077869">
      <w:bodyDiv w:val="1"/>
      <w:marLeft w:val="0"/>
      <w:marRight w:val="0"/>
      <w:marTop w:val="0"/>
      <w:marBottom w:val="0"/>
      <w:divBdr>
        <w:top w:val="none" w:sz="0" w:space="0" w:color="auto"/>
        <w:left w:val="none" w:sz="0" w:space="0" w:color="auto"/>
        <w:bottom w:val="none" w:sz="0" w:space="0" w:color="auto"/>
        <w:right w:val="none" w:sz="0" w:space="0" w:color="auto"/>
      </w:divBdr>
    </w:div>
    <w:div w:id="873079252">
      <w:bodyDiv w:val="1"/>
      <w:marLeft w:val="0"/>
      <w:marRight w:val="0"/>
      <w:marTop w:val="0"/>
      <w:marBottom w:val="0"/>
      <w:divBdr>
        <w:top w:val="none" w:sz="0" w:space="0" w:color="auto"/>
        <w:left w:val="none" w:sz="0" w:space="0" w:color="auto"/>
        <w:bottom w:val="none" w:sz="0" w:space="0" w:color="auto"/>
        <w:right w:val="none" w:sz="0" w:space="0" w:color="auto"/>
      </w:divBdr>
    </w:div>
    <w:div w:id="873227630">
      <w:bodyDiv w:val="1"/>
      <w:marLeft w:val="0"/>
      <w:marRight w:val="0"/>
      <w:marTop w:val="0"/>
      <w:marBottom w:val="0"/>
      <w:divBdr>
        <w:top w:val="none" w:sz="0" w:space="0" w:color="auto"/>
        <w:left w:val="none" w:sz="0" w:space="0" w:color="auto"/>
        <w:bottom w:val="none" w:sz="0" w:space="0" w:color="auto"/>
        <w:right w:val="none" w:sz="0" w:space="0" w:color="auto"/>
      </w:divBdr>
    </w:div>
    <w:div w:id="873229876">
      <w:bodyDiv w:val="1"/>
      <w:marLeft w:val="0"/>
      <w:marRight w:val="0"/>
      <w:marTop w:val="0"/>
      <w:marBottom w:val="0"/>
      <w:divBdr>
        <w:top w:val="none" w:sz="0" w:space="0" w:color="auto"/>
        <w:left w:val="none" w:sz="0" w:space="0" w:color="auto"/>
        <w:bottom w:val="none" w:sz="0" w:space="0" w:color="auto"/>
        <w:right w:val="none" w:sz="0" w:space="0" w:color="auto"/>
      </w:divBdr>
    </w:div>
    <w:div w:id="873466069">
      <w:bodyDiv w:val="1"/>
      <w:marLeft w:val="0"/>
      <w:marRight w:val="0"/>
      <w:marTop w:val="0"/>
      <w:marBottom w:val="0"/>
      <w:divBdr>
        <w:top w:val="none" w:sz="0" w:space="0" w:color="auto"/>
        <w:left w:val="none" w:sz="0" w:space="0" w:color="auto"/>
        <w:bottom w:val="none" w:sz="0" w:space="0" w:color="auto"/>
        <w:right w:val="none" w:sz="0" w:space="0" w:color="auto"/>
      </w:divBdr>
    </w:div>
    <w:div w:id="873663097">
      <w:bodyDiv w:val="1"/>
      <w:marLeft w:val="0"/>
      <w:marRight w:val="0"/>
      <w:marTop w:val="0"/>
      <w:marBottom w:val="0"/>
      <w:divBdr>
        <w:top w:val="none" w:sz="0" w:space="0" w:color="auto"/>
        <w:left w:val="none" w:sz="0" w:space="0" w:color="auto"/>
        <w:bottom w:val="none" w:sz="0" w:space="0" w:color="auto"/>
        <w:right w:val="none" w:sz="0" w:space="0" w:color="auto"/>
      </w:divBdr>
    </w:div>
    <w:div w:id="873732446">
      <w:bodyDiv w:val="1"/>
      <w:marLeft w:val="0"/>
      <w:marRight w:val="0"/>
      <w:marTop w:val="0"/>
      <w:marBottom w:val="0"/>
      <w:divBdr>
        <w:top w:val="none" w:sz="0" w:space="0" w:color="auto"/>
        <w:left w:val="none" w:sz="0" w:space="0" w:color="auto"/>
        <w:bottom w:val="none" w:sz="0" w:space="0" w:color="auto"/>
        <w:right w:val="none" w:sz="0" w:space="0" w:color="auto"/>
      </w:divBdr>
    </w:div>
    <w:div w:id="873928519">
      <w:bodyDiv w:val="1"/>
      <w:marLeft w:val="0"/>
      <w:marRight w:val="0"/>
      <w:marTop w:val="0"/>
      <w:marBottom w:val="0"/>
      <w:divBdr>
        <w:top w:val="none" w:sz="0" w:space="0" w:color="auto"/>
        <w:left w:val="none" w:sz="0" w:space="0" w:color="auto"/>
        <w:bottom w:val="none" w:sz="0" w:space="0" w:color="auto"/>
        <w:right w:val="none" w:sz="0" w:space="0" w:color="auto"/>
      </w:divBdr>
    </w:div>
    <w:div w:id="873998683">
      <w:bodyDiv w:val="1"/>
      <w:marLeft w:val="0"/>
      <w:marRight w:val="0"/>
      <w:marTop w:val="0"/>
      <w:marBottom w:val="0"/>
      <w:divBdr>
        <w:top w:val="none" w:sz="0" w:space="0" w:color="auto"/>
        <w:left w:val="none" w:sz="0" w:space="0" w:color="auto"/>
        <w:bottom w:val="none" w:sz="0" w:space="0" w:color="auto"/>
        <w:right w:val="none" w:sz="0" w:space="0" w:color="auto"/>
      </w:divBdr>
    </w:div>
    <w:div w:id="874001941">
      <w:bodyDiv w:val="1"/>
      <w:marLeft w:val="0"/>
      <w:marRight w:val="0"/>
      <w:marTop w:val="0"/>
      <w:marBottom w:val="0"/>
      <w:divBdr>
        <w:top w:val="none" w:sz="0" w:space="0" w:color="auto"/>
        <w:left w:val="none" w:sz="0" w:space="0" w:color="auto"/>
        <w:bottom w:val="none" w:sz="0" w:space="0" w:color="auto"/>
        <w:right w:val="none" w:sz="0" w:space="0" w:color="auto"/>
      </w:divBdr>
    </w:div>
    <w:div w:id="874077299">
      <w:bodyDiv w:val="1"/>
      <w:marLeft w:val="0"/>
      <w:marRight w:val="0"/>
      <w:marTop w:val="0"/>
      <w:marBottom w:val="0"/>
      <w:divBdr>
        <w:top w:val="none" w:sz="0" w:space="0" w:color="auto"/>
        <w:left w:val="none" w:sz="0" w:space="0" w:color="auto"/>
        <w:bottom w:val="none" w:sz="0" w:space="0" w:color="auto"/>
        <w:right w:val="none" w:sz="0" w:space="0" w:color="auto"/>
      </w:divBdr>
    </w:div>
    <w:div w:id="874125227">
      <w:bodyDiv w:val="1"/>
      <w:marLeft w:val="0"/>
      <w:marRight w:val="0"/>
      <w:marTop w:val="0"/>
      <w:marBottom w:val="0"/>
      <w:divBdr>
        <w:top w:val="none" w:sz="0" w:space="0" w:color="auto"/>
        <w:left w:val="none" w:sz="0" w:space="0" w:color="auto"/>
        <w:bottom w:val="none" w:sz="0" w:space="0" w:color="auto"/>
        <w:right w:val="none" w:sz="0" w:space="0" w:color="auto"/>
      </w:divBdr>
    </w:div>
    <w:div w:id="874467585">
      <w:bodyDiv w:val="1"/>
      <w:marLeft w:val="0"/>
      <w:marRight w:val="0"/>
      <w:marTop w:val="0"/>
      <w:marBottom w:val="0"/>
      <w:divBdr>
        <w:top w:val="none" w:sz="0" w:space="0" w:color="auto"/>
        <w:left w:val="none" w:sz="0" w:space="0" w:color="auto"/>
        <w:bottom w:val="none" w:sz="0" w:space="0" w:color="auto"/>
        <w:right w:val="none" w:sz="0" w:space="0" w:color="auto"/>
      </w:divBdr>
    </w:div>
    <w:div w:id="874927660">
      <w:bodyDiv w:val="1"/>
      <w:marLeft w:val="0"/>
      <w:marRight w:val="0"/>
      <w:marTop w:val="0"/>
      <w:marBottom w:val="0"/>
      <w:divBdr>
        <w:top w:val="none" w:sz="0" w:space="0" w:color="auto"/>
        <w:left w:val="none" w:sz="0" w:space="0" w:color="auto"/>
        <w:bottom w:val="none" w:sz="0" w:space="0" w:color="auto"/>
        <w:right w:val="none" w:sz="0" w:space="0" w:color="auto"/>
      </w:divBdr>
    </w:div>
    <w:div w:id="874927979">
      <w:bodyDiv w:val="1"/>
      <w:marLeft w:val="0"/>
      <w:marRight w:val="0"/>
      <w:marTop w:val="0"/>
      <w:marBottom w:val="0"/>
      <w:divBdr>
        <w:top w:val="none" w:sz="0" w:space="0" w:color="auto"/>
        <w:left w:val="none" w:sz="0" w:space="0" w:color="auto"/>
        <w:bottom w:val="none" w:sz="0" w:space="0" w:color="auto"/>
        <w:right w:val="none" w:sz="0" w:space="0" w:color="auto"/>
      </w:divBdr>
    </w:div>
    <w:div w:id="874971141">
      <w:bodyDiv w:val="1"/>
      <w:marLeft w:val="0"/>
      <w:marRight w:val="0"/>
      <w:marTop w:val="0"/>
      <w:marBottom w:val="0"/>
      <w:divBdr>
        <w:top w:val="none" w:sz="0" w:space="0" w:color="auto"/>
        <w:left w:val="none" w:sz="0" w:space="0" w:color="auto"/>
        <w:bottom w:val="none" w:sz="0" w:space="0" w:color="auto"/>
        <w:right w:val="none" w:sz="0" w:space="0" w:color="auto"/>
      </w:divBdr>
    </w:div>
    <w:div w:id="874972594">
      <w:bodyDiv w:val="1"/>
      <w:marLeft w:val="0"/>
      <w:marRight w:val="0"/>
      <w:marTop w:val="0"/>
      <w:marBottom w:val="0"/>
      <w:divBdr>
        <w:top w:val="none" w:sz="0" w:space="0" w:color="auto"/>
        <w:left w:val="none" w:sz="0" w:space="0" w:color="auto"/>
        <w:bottom w:val="none" w:sz="0" w:space="0" w:color="auto"/>
        <w:right w:val="none" w:sz="0" w:space="0" w:color="auto"/>
      </w:divBdr>
    </w:div>
    <w:div w:id="874999880">
      <w:bodyDiv w:val="1"/>
      <w:marLeft w:val="0"/>
      <w:marRight w:val="0"/>
      <w:marTop w:val="0"/>
      <w:marBottom w:val="0"/>
      <w:divBdr>
        <w:top w:val="none" w:sz="0" w:space="0" w:color="auto"/>
        <w:left w:val="none" w:sz="0" w:space="0" w:color="auto"/>
        <w:bottom w:val="none" w:sz="0" w:space="0" w:color="auto"/>
        <w:right w:val="none" w:sz="0" w:space="0" w:color="auto"/>
      </w:divBdr>
    </w:div>
    <w:div w:id="875193337">
      <w:bodyDiv w:val="1"/>
      <w:marLeft w:val="0"/>
      <w:marRight w:val="0"/>
      <w:marTop w:val="0"/>
      <w:marBottom w:val="0"/>
      <w:divBdr>
        <w:top w:val="none" w:sz="0" w:space="0" w:color="auto"/>
        <w:left w:val="none" w:sz="0" w:space="0" w:color="auto"/>
        <w:bottom w:val="none" w:sz="0" w:space="0" w:color="auto"/>
        <w:right w:val="none" w:sz="0" w:space="0" w:color="auto"/>
      </w:divBdr>
    </w:div>
    <w:div w:id="875197591">
      <w:bodyDiv w:val="1"/>
      <w:marLeft w:val="0"/>
      <w:marRight w:val="0"/>
      <w:marTop w:val="0"/>
      <w:marBottom w:val="0"/>
      <w:divBdr>
        <w:top w:val="none" w:sz="0" w:space="0" w:color="auto"/>
        <w:left w:val="none" w:sz="0" w:space="0" w:color="auto"/>
        <w:bottom w:val="none" w:sz="0" w:space="0" w:color="auto"/>
        <w:right w:val="none" w:sz="0" w:space="0" w:color="auto"/>
      </w:divBdr>
    </w:div>
    <w:div w:id="875312305">
      <w:bodyDiv w:val="1"/>
      <w:marLeft w:val="0"/>
      <w:marRight w:val="0"/>
      <w:marTop w:val="0"/>
      <w:marBottom w:val="0"/>
      <w:divBdr>
        <w:top w:val="none" w:sz="0" w:space="0" w:color="auto"/>
        <w:left w:val="none" w:sz="0" w:space="0" w:color="auto"/>
        <w:bottom w:val="none" w:sz="0" w:space="0" w:color="auto"/>
        <w:right w:val="none" w:sz="0" w:space="0" w:color="auto"/>
      </w:divBdr>
    </w:div>
    <w:div w:id="875314449">
      <w:bodyDiv w:val="1"/>
      <w:marLeft w:val="0"/>
      <w:marRight w:val="0"/>
      <w:marTop w:val="0"/>
      <w:marBottom w:val="0"/>
      <w:divBdr>
        <w:top w:val="none" w:sz="0" w:space="0" w:color="auto"/>
        <w:left w:val="none" w:sz="0" w:space="0" w:color="auto"/>
        <w:bottom w:val="none" w:sz="0" w:space="0" w:color="auto"/>
        <w:right w:val="none" w:sz="0" w:space="0" w:color="auto"/>
      </w:divBdr>
    </w:div>
    <w:div w:id="875510850">
      <w:bodyDiv w:val="1"/>
      <w:marLeft w:val="0"/>
      <w:marRight w:val="0"/>
      <w:marTop w:val="0"/>
      <w:marBottom w:val="0"/>
      <w:divBdr>
        <w:top w:val="none" w:sz="0" w:space="0" w:color="auto"/>
        <w:left w:val="none" w:sz="0" w:space="0" w:color="auto"/>
        <w:bottom w:val="none" w:sz="0" w:space="0" w:color="auto"/>
        <w:right w:val="none" w:sz="0" w:space="0" w:color="auto"/>
      </w:divBdr>
    </w:div>
    <w:div w:id="875584762">
      <w:bodyDiv w:val="1"/>
      <w:marLeft w:val="0"/>
      <w:marRight w:val="0"/>
      <w:marTop w:val="0"/>
      <w:marBottom w:val="0"/>
      <w:divBdr>
        <w:top w:val="none" w:sz="0" w:space="0" w:color="auto"/>
        <w:left w:val="none" w:sz="0" w:space="0" w:color="auto"/>
        <w:bottom w:val="none" w:sz="0" w:space="0" w:color="auto"/>
        <w:right w:val="none" w:sz="0" w:space="0" w:color="auto"/>
      </w:divBdr>
    </w:div>
    <w:div w:id="875852736">
      <w:bodyDiv w:val="1"/>
      <w:marLeft w:val="0"/>
      <w:marRight w:val="0"/>
      <w:marTop w:val="0"/>
      <w:marBottom w:val="0"/>
      <w:divBdr>
        <w:top w:val="none" w:sz="0" w:space="0" w:color="auto"/>
        <w:left w:val="none" w:sz="0" w:space="0" w:color="auto"/>
        <w:bottom w:val="none" w:sz="0" w:space="0" w:color="auto"/>
        <w:right w:val="none" w:sz="0" w:space="0" w:color="auto"/>
      </w:divBdr>
    </w:div>
    <w:div w:id="876351260">
      <w:bodyDiv w:val="1"/>
      <w:marLeft w:val="0"/>
      <w:marRight w:val="0"/>
      <w:marTop w:val="0"/>
      <w:marBottom w:val="0"/>
      <w:divBdr>
        <w:top w:val="none" w:sz="0" w:space="0" w:color="auto"/>
        <w:left w:val="none" w:sz="0" w:space="0" w:color="auto"/>
        <w:bottom w:val="none" w:sz="0" w:space="0" w:color="auto"/>
        <w:right w:val="none" w:sz="0" w:space="0" w:color="auto"/>
      </w:divBdr>
    </w:div>
    <w:div w:id="876358560">
      <w:bodyDiv w:val="1"/>
      <w:marLeft w:val="0"/>
      <w:marRight w:val="0"/>
      <w:marTop w:val="0"/>
      <w:marBottom w:val="0"/>
      <w:divBdr>
        <w:top w:val="none" w:sz="0" w:space="0" w:color="auto"/>
        <w:left w:val="none" w:sz="0" w:space="0" w:color="auto"/>
        <w:bottom w:val="none" w:sz="0" w:space="0" w:color="auto"/>
        <w:right w:val="none" w:sz="0" w:space="0" w:color="auto"/>
      </w:divBdr>
    </w:div>
    <w:div w:id="876820495">
      <w:bodyDiv w:val="1"/>
      <w:marLeft w:val="0"/>
      <w:marRight w:val="0"/>
      <w:marTop w:val="0"/>
      <w:marBottom w:val="0"/>
      <w:divBdr>
        <w:top w:val="none" w:sz="0" w:space="0" w:color="auto"/>
        <w:left w:val="none" w:sz="0" w:space="0" w:color="auto"/>
        <w:bottom w:val="none" w:sz="0" w:space="0" w:color="auto"/>
        <w:right w:val="none" w:sz="0" w:space="0" w:color="auto"/>
      </w:divBdr>
    </w:div>
    <w:div w:id="876890662">
      <w:bodyDiv w:val="1"/>
      <w:marLeft w:val="0"/>
      <w:marRight w:val="0"/>
      <w:marTop w:val="0"/>
      <w:marBottom w:val="0"/>
      <w:divBdr>
        <w:top w:val="none" w:sz="0" w:space="0" w:color="auto"/>
        <w:left w:val="none" w:sz="0" w:space="0" w:color="auto"/>
        <w:bottom w:val="none" w:sz="0" w:space="0" w:color="auto"/>
        <w:right w:val="none" w:sz="0" w:space="0" w:color="auto"/>
      </w:divBdr>
    </w:div>
    <w:div w:id="876891130">
      <w:bodyDiv w:val="1"/>
      <w:marLeft w:val="0"/>
      <w:marRight w:val="0"/>
      <w:marTop w:val="0"/>
      <w:marBottom w:val="0"/>
      <w:divBdr>
        <w:top w:val="none" w:sz="0" w:space="0" w:color="auto"/>
        <w:left w:val="none" w:sz="0" w:space="0" w:color="auto"/>
        <w:bottom w:val="none" w:sz="0" w:space="0" w:color="auto"/>
        <w:right w:val="none" w:sz="0" w:space="0" w:color="auto"/>
      </w:divBdr>
    </w:div>
    <w:div w:id="876964001">
      <w:bodyDiv w:val="1"/>
      <w:marLeft w:val="0"/>
      <w:marRight w:val="0"/>
      <w:marTop w:val="0"/>
      <w:marBottom w:val="0"/>
      <w:divBdr>
        <w:top w:val="none" w:sz="0" w:space="0" w:color="auto"/>
        <w:left w:val="none" w:sz="0" w:space="0" w:color="auto"/>
        <w:bottom w:val="none" w:sz="0" w:space="0" w:color="auto"/>
        <w:right w:val="none" w:sz="0" w:space="0" w:color="auto"/>
      </w:divBdr>
    </w:div>
    <w:div w:id="877355248">
      <w:bodyDiv w:val="1"/>
      <w:marLeft w:val="0"/>
      <w:marRight w:val="0"/>
      <w:marTop w:val="0"/>
      <w:marBottom w:val="0"/>
      <w:divBdr>
        <w:top w:val="none" w:sz="0" w:space="0" w:color="auto"/>
        <w:left w:val="none" w:sz="0" w:space="0" w:color="auto"/>
        <w:bottom w:val="none" w:sz="0" w:space="0" w:color="auto"/>
        <w:right w:val="none" w:sz="0" w:space="0" w:color="auto"/>
      </w:divBdr>
    </w:div>
    <w:div w:id="877357527">
      <w:bodyDiv w:val="1"/>
      <w:marLeft w:val="0"/>
      <w:marRight w:val="0"/>
      <w:marTop w:val="0"/>
      <w:marBottom w:val="0"/>
      <w:divBdr>
        <w:top w:val="none" w:sz="0" w:space="0" w:color="auto"/>
        <w:left w:val="none" w:sz="0" w:space="0" w:color="auto"/>
        <w:bottom w:val="none" w:sz="0" w:space="0" w:color="auto"/>
        <w:right w:val="none" w:sz="0" w:space="0" w:color="auto"/>
      </w:divBdr>
    </w:div>
    <w:div w:id="877473360">
      <w:bodyDiv w:val="1"/>
      <w:marLeft w:val="0"/>
      <w:marRight w:val="0"/>
      <w:marTop w:val="0"/>
      <w:marBottom w:val="0"/>
      <w:divBdr>
        <w:top w:val="none" w:sz="0" w:space="0" w:color="auto"/>
        <w:left w:val="none" w:sz="0" w:space="0" w:color="auto"/>
        <w:bottom w:val="none" w:sz="0" w:space="0" w:color="auto"/>
        <w:right w:val="none" w:sz="0" w:space="0" w:color="auto"/>
      </w:divBdr>
    </w:div>
    <w:div w:id="877820678">
      <w:bodyDiv w:val="1"/>
      <w:marLeft w:val="0"/>
      <w:marRight w:val="0"/>
      <w:marTop w:val="0"/>
      <w:marBottom w:val="0"/>
      <w:divBdr>
        <w:top w:val="none" w:sz="0" w:space="0" w:color="auto"/>
        <w:left w:val="none" w:sz="0" w:space="0" w:color="auto"/>
        <w:bottom w:val="none" w:sz="0" w:space="0" w:color="auto"/>
        <w:right w:val="none" w:sz="0" w:space="0" w:color="auto"/>
      </w:divBdr>
    </w:div>
    <w:div w:id="878127924">
      <w:bodyDiv w:val="1"/>
      <w:marLeft w:val="0"/>
      <w:marRight w:val="0"/>
      <w:marTop w:val="0"/>
      <w:marBottom w:val="0"/>
      <w:divBdr>
        <w:top w:val="none" w:sz="0" w:space="0" w:color="auto"/>
        <w:left w:val="none" w:sz="0" w:space="0" w:color="auto"/>
        <w:bottom w:val="none" w:sz="0" w:space="0" w:color="auto"/>
        <w:right w:val="none" w:sz="0" w:space="0" w:color="auto"/>
      </w:divBdr>
    </w:div>
    <w:div w:id="878519004">
      <w:bodyDiv w:val="1"/>
      <w:marLeft w:val="0"/>
      <w:marRight w:val="0"/>
      <w:marTop w:val="0"/>
      <w:marBottom w:val="0"/>
      <w:divBdr>
        <w:top w:val="none" w:sz="0" w:space="0" w:color="auto"/>
        <w:left w:val="none" w:sz="0" w:space="0" w:color="auto"/>
        <w:bottom w:val="none" w:sz="0" w:space="0" w:color="auto"/>
        <w:right w:val="none" w:sz="0" w:space="0" w:color="auto"/>
      </w:divBdr>
    </w:div>
    <w:div w:id="878857392">
      <w:bodyDiv w:val="1"/>
      <w:marLeft w:val="0"/>
      <w:marRight w:val="0"/>
      <w:marTop w:val="0"/>
      <w:marBottom w:val="0"/>
      <w:divBdr>
        <w:top w:val="none" w:sz="0" w:space="0" w:color="auto"/>
        <w:left w:val="none" w:sz="0" w:space="0" w:color="auto"/>
        <w:bottom w:val="none" w:sz="0" w:space="0" w:color="auto"/>
        <w:right w:val="none" w:sz="0" w:space="0" w:color="auto"/>
      </w:divBdr>
    </w:div>
    <w:div w:id="878976187">
      <w:bodyDiv w:val="1"/>
      <w:marLeft w:val="0"/>
      <w:marRight w:val="0"/>
      <w:marTop w:val="0"/>
      <w:marBottom w:val="0"/>
      <w:divBdr>
        <w:top w:val="none" w:sz="0" w:space="0" w:color="auto"/>
        <w:left w:val="none" w:sz="0" w:space="0" w:color="auto"/>
        <w:bottom w:val="none" w:sz="0" w:space="0" w:color="auto"/>
        <w:right w:val="none" w:sz="0" w:space="0" w:color="auto"/>
      </w:divBdr>
    </w:div>
    <w:div w:id="878976268">
      <w:bodyDiv w:val="1"/>
      <w:marLeft w:val="0"/>
      <w:marRight w:val="0"/>
      <w:marTop w:val="0"/>
      <w:marBottom w:val="0"/>
      <w:divBdr>
        <w:top w:val="none" w:sz="0" w:space="0" w:color="auto"/>
        <w:left w:val="none" w:sz="0" w:space="0" w:color="auto"/>
        <w:bottom w:val="none" w:sz="0" w:space="0" w:color="auto"/>
        <w:right w:val="none" w:sz="0" w:space="0" w:color="auto"/>
      </w:divBdr>
    </w:div>
    <w:div w:id="879167341">
      <w:bodyDiv w:val="1"/>
      <w:marLeft w:val="0"/>
      <w:marRight w:val="0"/>
      <w:marTop w:val="0"/>
      <w:marBottom w:val="0"/>
      <w:divBdr>
        <w:top w:val="none" w:sz="0" w:space="0" w:color="auto"/>
        <w:left w:val="none" w:sz="0" w:space="0" w:color="auto"/>
        <w:bottom w:val="none" w:sz="0" w:space="0" w:color="auto"/>
        <w:right w:val="none" w:sz="0" w:space="0" w:color="auto"/>
      </w:divBdr>
    </w:div>
    <w:div w:id="879174399">
      <w:bodyDiv w:val="1"/>
      <w:marLeft w:val="0"/>
      <w:marRight w:val="0"/>
      <w:marTop w:val="0"/>
      <w:marBottom w:val="0"/>
      <w:divBdr>
        <w:top w:val="none" w:sz="0" w:space="0" w:color="auto"/>
        <w:left w:val="none" w:sz="0" w:space="0" w:color="auto"/>
        <w:bottom w:val="none" w:sz="0" w:space="0" w:color="auto"/>
        <w:right w:val="none" w:sz="0" w:space="0" w:color="auto"/>
      </w:divBdr>
    </w:div>
    <w:div w:id="879241395">
      <w:bodyDiv w:val="1"/>
      <w:marLeft w:val="0"/>
      <w:marRight w:val="0"/>
      <w:marTop w:val="0"/>
      <w:marBottom w:val="0"/>
      <w:divBdr>
        <w:top w:val="none" w:sz="0" w:space="0" w:color="auto"/>
        <w:left w:val="none" w:sz="0" w:space="0" w:color="auto"/>
        <w:bottom w:val="none" w:sz="0" w:space="0" w:color="auto"/>
        <w:right w:val="none" w:sz="0" w:space="0" w:color="auto"/>
      </w:divBdr>
    </w:div>
    <w:div w:id="879247446">
      <w:bodyDiv w:val="1"/>
      <w:marLeft w:val="0"/>
      <w:marRight w:val="0"/>
      <w:marTop w:val="0"/>
      <w:marBottom w:val="0"/>
      <w:divBdr>
        <w:top w:val="none" w:sz="0" w:space="0" w:color="auto"/>
        <w:left w:val="none" w:sz="0" w:space="0" w:color="auto"/>
        <w:bottom w:val="none" w:sz="0" w:space="0" w:color="auto"/>
        <w:right w:val="none" w:sz="0" w:space="0" w:color="auto"/>
      </w:divBdr>
    </w:div>
    <w:div w:id="879365571">
      <w:bodyDiv w:val="1"/>
      <w:marLeft w:val="0"/>
      <w:marRight w:val="0"/>
      <w:marTop w:val="0"/>
      <w:marBottom w:val="0"/>
      <w:divBdr>
        <w:top w:val="none" w:sz="0" w:space="0" w:color="auto"/>
        <w:left w:val="none" w:sz="0" w:space="0" w:color="auto"/>
        <w:bottom w:val="none" w:sz="0" w:space="0" w:color="auto"/>
        <w:right w:val="none" w:sz="0" w:space="0" w:color="auto"/>
      </w:divBdr>
    </w:div>
    <w:div w:id="879441533">
      <w:bodyDiv w:val="1"/>
      <w:marLeft w:val="0"/>
      <w:marRight w:val="0"/>
      <w:marTop w:val="0"/>
      <w:marBottom w:val="0"/>
      <w:divBdr>
        <w:top w:val="none" w:sz="0" w:space="0" w:color="auto"/>
        <w:left w:val="none" w:sz="0" w:space="0" w:color="auto"/>
        <w:bottom w:val="none" w:sz="0" w:space="0" w:color="auto"/>
        <w:right w:val="none" w:sz="0" w:space="0" w:color="auto"/>
      </w:divBdr>
    </w:div>
    <w:div w:id="879898954">
      <w:bodyDiv w:val="1"/>
      <w:marLeft w:val="0"/>
      <w:marRight w:val="0"/>
      <w:marTop w:val="0"/>
      <w:marBottom w:val="0"/>
      <w:divBdr>
        <w:top w:val="none" w:sz="0" w:space="0" w:color="auto"/>
        <w:left w:val="none" w:sz="0" w:space="0" w:color="auto"/>
        <w:bottom w:val="none" w:sz="0" w:space="0" w:color="auto"/>
        <w:right w:val="none" w:sz="0" w:space="0" w:color="auto"/>
      </w:divBdr>
    </w:div>
    <w:div w:id="879972352">
      <w:bodyDiv w:val="1"/>
      <w:marLeft w:val="0"/>
      <w:marRight w:val="0"/>
      <w:marTop w:val="0"/>
      <w:marBottom w:val="0"/>
      <w:divBdr>
        <w:top w:val="none" w:sz="0" w:space="0" w:color="auto"/>
        <w:left w:val="none" w:sz="0" w:space="0" w:color="auto"/>
        <w:bottom w:val="none" w:sz="0" w:space="0" w:color="auto"/>
        <w:right w:val="none" w:sz="0" w:space="0" w:color="auto"/>
      </w:divBdr>
    </w:div>
    <w:div w:id="879974702">
      <w:bodyDiv w:val="1"/>
      <w:marLeft w:val="0"/>
      <w:marRight w:val="0"/>
      <w:marTop w:val="0"/>
      <w:marBottom w:val="0"/>
      <w:divBdr>
        <w:top w:val="none" w:sz="0" w:space="0" w:color="auto"/>
        <w:left w:val="none" w:sz="0" w:space="0" w:color="auto"/>
        <w:bottom w:val="none" w:sz="0" w:space="0" w:color="auto"/>
        <w:right w:val="none" w:sz="0" w:space="0" w:color="auto"/>
      </w:divBdr>
    </w:div>
    <w:div w:id="880091076">
      <w:bodyDiv w:val="1"/>
      <w:marLeft w:val="0"/>
      <w:marRight w:val="0"/>
      <w:marTop w:val="0"/>
      <w:marBottom w:val="0"/>
      <w:divBdr>
        <w:top w:val="none" w:sz="0" w:space="0" w:color="auto"/>
        <w:left w:val="none" w:sz="0" w:space="0" w:color="auto"/>
        <w:bottom w:val="none" w:sz="0" w:space="0" w:color="auto"/>
        <w:right w:val="none" w:sz="0" w:space="0" w:color="auto"/>
      </w:divBdr>
    </w:div>
    <w:div w:id="880091558">
      <w:bodyDiv w:val="1"/>
      <w:marLeft w:val="0"/>
      <w:marRight w:val="0"/>
      <w:marTop w:val="0"/>
      <w:marBottom w:val="0"/>
      <w:divBdr>
        <w:top w:val="none" w:sz="0" w:space="0" w:color="auto"/>
        <w:left w:val="none" w:sz="0" w:space="0" w:color="auto"/>
        <w:bottom w:val="none" w:sz="0" w:space="0" w:color="auto"/>
        <w:right w:val="none" w:sz="0" w:space="0" w:color="auto"/>
      </w:divBdr>
    </w:div>
    <w:div w:id="880093629">
      <w:bodyDiv w:val="1"/>
      <w:marLeft w:val="0"/>
      <w:marRight w:val="0"/>
      <w:marTop w:val="0"/>
      <w:marBottom w:val="0"/>
      <w:divBdr>
        <w:top w:val="none" w:sz="0" w:space="0" w:color="auto"/>
        <w:left w:val="none" w:sz="0" w:space="0" w:color="auto"/>
        <w:bottom w:val="none" w:sz="0" w:space="0" w:color="auto"/>
        <w:right w:val="none" w:sz="0" w:space="0" w:color="auto"/>
      </w:divBdr>
    </w:div>
    <w:div w:id="880241393">
      <w:bodyDiv w:val="1"/>
      <w:marLeft w:val="0"/>
      <w:marRight w:val="0"/>
      <w:marTop w:val="0"/>
      <w:marBottom w:val="0"/>
      <w:divBdr>
        <w:top w:val="none" w:sz="0" w:space="0" w:color="auto"/>
        <w:left w:val="none" w:sz="0" w:space="0" w:color="auto"/>
        <w:bottom w:val="none" w:sz="0" w:space="0" w:color="auto"/>
        <w:right w:val="none" w:sz="0" w:space="0" w:color="auto"/>
      </w:divBdr>
    </w:div>
    <w:div w:id="880284965">
      <w:bodyDiv w:val="1"/>
      <w:marLeft w:val="0"/>
      <w:marRight w:val="0"/>
      <w:marTop w:val="0"/>
      <w:marBottom w:val="0"/>
      <w:divBdr>
        <w:top w:val="none" w:sz="0" w:space="0" w:color="auto"/>
        <w:left w:val="none" w:sz="0" w:space="0" w:color="auto"/>
        <w:bottom w:val="none" w:sz="0" w:space="0" w:color="auto"/>
        <w:right w:val="none" w:sz="0" w:space="0" w:color="auto"/>
      </w:divBdr>
    </w:div>
    <w:div w:id="880287397">
      <w:bodyDiv w:val="1"/>
      <w:marLeft w:val="0"/>
      <w:marRight w:val="0"/>
      <w:marTop w:val="0"/>
      <w:marBottom w:val="0"/>
      <w:divBdr>
        <w:top w:val="none" w:sz="0" w:space="0" w:color="auto"/>
        <w:left w:val="none" w:sz="0" w:space="0" w:color="auto"/>
        <w:bottom w:val="none" w:sz="0" w:space="0" w:color="auto"/>
        <w:right w:val="none" w:sz="0" w:space="0" w:color="auto"/>
      </w:divBdr>
    </w:div>
    <w:div w:id="880289495">
      <w:bodyDiv w:val="1"/>
      <w:marLeft w:val="0"/>
      <w:marRight w:val="0"/>
      <w:marTop w:val="0"/>
      <w:marBottom w:val="0"/>
      <w:divBdr>
        <w:top w:val="none" w:sz="0" w:space="0" w:color="auto"/>
        <w:left w:val="none" w:sz="0" w:space="0" w:color="auto"/>
        <w:bottom w:val="none" w:sz="0" w:space="0" w:color="auto"/>
        <w:right w:val="none" w:sz="0" w:space="0" w:color="auto"/>
      </w:divBdr>
    </w:div>
    <w:div w:id="880678450">
      <w:bodyDiv w:val="1"/>
      <w:marLeft w:val="0"/>
      <w:marRight w:val="0"/>
      <w:marTop w:val="0"/>
      <w:marBottom w:val="0"/>
      <w:divBdr>
        <w:top w:val="none" w:sz="0" w:space="0" w:color="auto"/>
        <w:left w:val="none" w:sz="0" w:space="0" w:color="auto"/>
        <w:bottom w:val="none" w:sz="0" w:space="0" w:color="auto"/>
        <w:right w:val="none" w:sz="0" w:space="0" w:color="auto"/>
      </w:divBdr>
    </w:div>
    <w:div w:id="880824924">
      <w:bodyDiv w:val="1"/>
      <w:marLeft w:val="0"/>
      <w:marRight w:val="0"/>
      <w:marTop w:val="0"/>
      <w:marBottom w:val="0"/>
      <w:divBdr>
        <w:top w:val="none" w:sz="0" w:space="0" w:color="auto"/>
        <w:left w:val="none" w:sz="0" w:space="0" w:color="auto"/>
        <w:bottom w:val="none" w:sz="0" w:space="0" w:color="auto"/>
        <w:right w:val="none" w:sz="0" w:space="0" w:color="auto"/>
      </w:divBdr>
    </w:div>
    <w:div w:id="880827888">
      <w:bodyDiv w:val="1"/>
      <w:marLeft w:val="0"/>
      <w:marRight w:val="0"/>
      <w:marTop w:val="0"/>
      <w:marBottom w:val="0"/>
      <w:divBdr>
        <w:top w:val="none" w:sz="0" w:space="0" w:color="auto"/>
        <w:left w:val="none" w:sz="0" w:space="0" w:color="auto"/>
        <w:bottom w:val="none" w:sz="0" w:space="0" w:color="auto"/>
        <w:right w:val="none" w:sz="0" w:space="0" w:color="auto"/>
      </w:divBdr>
    </w:div>
    <w:div w:id="880870017">
      <w:bodyDiv w:val="1"/>
      <w:marLeft w:val="0"/>
      <w:marRight w:val="0"/>
      <w:marTop w:val="0"/>
      <w:marBottom w:val="0"/>
      <w:divBdr>
        <w:top w:val="none" w:sz="0" w:space="0" w:color="auto"/>
        <w:left w:val="none" w:sz="0" w:space="0" w:color="auto"/>
        <w:bottom w:val="none" w:sz="0" w:space="0" w:color="auto"/>
        <w:right w:val="none" w:sz="0" w:space="0" w:color="auto"/>
      </w:divBdr>
    </w:div>
    <w:div w:id="881281808">
      <w:bodyDiv w:val="1"/>
      <w:marLeft w:val="0"/>
      <w:marRight w:val="0"/>
      <w:marTop w:val="0"/>
      <w:marBottom w:val="0"/>
      <w:divBdr>
        <w:top w:val="none" w:sz="0" w:space="0" w:color="auto"/>
        <w:left w:val="none" w:sz="0" w:space="0" w:color="auto"/>
        <w:bottom w:val="none" w:sz="0" w:space="0" w:color="auto"/>
        <w:right w:val="none" w:sz="0" w:space="0" w:color="auto"/>
      </w:divBdr>
    </w:div>
    <w:div w:id="881284174">
      <w:bodyDiv w:val="1"/>
      <w:marLeft w:val="0"/>
      <w:marRight w:val="0"/>
      <w:marTop w:val="0"/>
      <w:marBottom w:val="0"/>
      <w:divBdr>
        <w:top w:val="none" w:sz="0" w:space="0" w:color="auto"/>
        <w:left w:val="none" w:sz="0" w:space="0" w:color="auto"/>
        <w:bottom w:val="none" w:sz="0" w:space="0" w:color="auto"/>
        <w:right w:val="none" w:sz="0" w:space="0" w:color="auto"/>
      </w:divBdr>
    </w:div>
    <w:div w:id="881329896">
      <w:bodyDiv w:val="1"/>
      <w:marLeft w:val="0"/>
      <w:marRight w:val="0"/>
      <w:marTop w:val="0"/>
      <w:marBottom w:val="0"/>
      <w:divBdr>
        <w:top w:val="none" w:sz="0" w:space="0" w:color="auto"/>
        <w:left w:val="none" w:sz="0" w:space="0" w:color="auto"/>
        <w:bottom w:val="none" w:sz="0" w:space="0" w:color="auto"/>
        <w:right w:val="none" w:sz="0" w:space="0" w:color="auto"/>
      </w:divBdr>
    </w:div>
    <w:div w:id="881481921">
      <w:bodyDiv w:val="1"/>
      <w:marLeft w:val="0"/>
      <w:marRight w:val="0"/>
      <w:marTop w:val="0"/>
      <w:marBottom w:val="0"/>
      <w:divBdr>
        <w:top w:val="none" w:sz="0" w:space="0" w:color="auto"/>
        <w:left w:val="none" w:sz="0" w:space="0" w:color="auto"/>
        <w:bottom w:val="none" w:sz="0" w:space="0" w:color="auto"/>
        <w:right w:val="none" w:sz="0" w:space="0" w:color="auto"/>
      </w:divBdr>
    </w:div>
    <w:div w:id="881671726">
      <w:bodyDiv w:val="1"/>
      <w:marLeft w:val="0"/>
      <w:marRight w:val="0"/>
      <w:marTop w:val="0"/>
      <w:marBottom w:val="0"/>
      <w:divBdr>
        <w:top w:val="none" w:sz="0" w:space="0" w:color="auto"/>
        <w:left w:val="none" w:sz="0" w:space="0" w:color="auto"/>
        <w:bottom w:val="none" w:sz="0" w:space="0" w:color="auto"/>
        <w:right w:val="none" w:sz="0" w:space="0" w:color="auto"/>
      </w:divBdr>
    </w:div>
    <w:div w:id="881752180">
      <w:bodyDiv w:val="1"/>
      <w:marLeft w:val="0"/>
      <w:marRight w:val="0"/>
      <w:marTop w:val="0"/>
      <w:marBottom w:val="0"/>
      <w:divBdr>
        <w:top w:val="none" w:sz="0" w:space="0" w:color="auto"/>
        <w:left w:val="none" w:sz="0" w:space="0" w:color="auto"/>
        <w:bottom w:val="none" w:sz="0" w:space="0" w:color="auto"/>
        <w:right w:val="none" w:sz="0" w:space="0" w:color="auto"/>
      </w:divBdr>
    </w:div>
    <w:div w:id="882132936">
      <w:bodyDiv w:val="1"/>
      <w:marLeft w:val="0"/>
      <w:marRight w:val="0"/>
      <w:marTop w:val="0"/>
      <w:marBottom w:val="0"/>
      <w:divBdr>
        <w:top w:val="none" w:sz="0" w:space="0" w:color="auto"/>
        <w:left w:val="none" w:sz="0" w:space="0" w:color="auto"/>
        <w:bottom w:val="none" w:sz="0" w:space="0" w:color="auto"/>
        <w:right w:val="none" w:sz="0" w:space="0" w:color="auto"/>
      </w:divBdr>
    </w:div>
    <w:div w:id="882715435">
      <w:bodyDiv w:val="1"/>
      <w:marLeft w:val="0"/>
      <w:marRight w:val="0"/>
      <w:marTop w:val="0"/>
      <w:marBottom w:val="0"/>
      <w:divBdr>
        <w:top w:val="none" w:sz="0" w:space="0" w:color="auto"/>
        <w:left w:val="none" w:sz="0" w:space="0" w:color="auto"/>
        <w:bottom w:val="none" w:sz="0" w:space="0" w:color="auto"/>
        <w:right w:val="none" w:sz="0" w:space="0" w:color="auto"/>
      </w:divBdr>
    </w:div>
    <w:div w:id="883100630">
      <w:bodyDiv w:val="1"/>
      <w:marLeft w:val="0"/>
      <w:marRight w:val="0"/>
      <w:marTop w:val="0"/>
      <w:marBottom w:val="0"/>
      <w:divBdr>
        <w:top w:val="none" w:sz="0" w:space="0" w:color="auto"/>
        <w:left w:val="none" w:sz="0" w:space="0" w:color="auto"/>
        <w:bottom w:val="none" w:sz="0" w:space="0" w:color="auto"/>
        <w:right w:val="none" w:sz="0" w:space="0" w:color="auto"/>
      </w:divBdr>
    </w:div>
    <w:div w:id="883179835">
      <w:bodyDiv w:val="1"/>
      <w:marLeft w:val="0"/>
      <w:marRight w:val="0"/>
      <w:marTop w:val="0"/>
      <w:marBottom w:val="0"/>
      <w:divBdr>
        <w:top w:val="none" w:sz="0" w:space="0" w:color="auto"/>
        <w:left w:val="none" w:sz="0" w:space="0" w:color="auto"/>
        <w:bottom w:val="none" w:sz="0" w:space="0" w:color="auto"/>
        <w:right w:val="none" w:sz="0" w:space="0" w:color="auto"/>
      </w:divBdr>
    </w:div>
    <w:div w:id="883326400">
      <w:bodyDiv w:val="1"/>
      <w:marLeft w:val="0"/>
      <w:marRight w:val="0"/>
      <w:marTop w:val="0"/>
      <w:marBottom w:val="0"/>
      <w:divBdr>
        <w:top w:val="none" w:sz="0" w:space="0" w:color="auto"/>
        <w:left w:val="none" w:sz="0" w:space="0" w:color="auto"/>
        <w:bottom w:val="none" w:sz="0" w:space="0" w:color="auto"/>
        <w:right w:val="none" w:sz="0" w:space="0" w:color="auto"/>
      </w:divBdr>
    </w:div>
    <w:div w:id="883370473">
      <w:bodyDiv w:val="1"/>
      <w:marLeft w:val="0"/>
      <w:marRight w:val="0"/>
      <w:marTop w:val="0"/>
      <w:marBottom w:val="0"/>
      <w:divBdr>
        <w:top w:val="none" w:sz="0" w:space="0" w:color="auto"/>
        <w:left w:val="none" w:sz="0" w:space="0" w:color="auto"/>
        <w:bottom w:val="none" w:sz="0" w:space="0" w:color="auto"/>
        <w:right w:val="none" w:sz="0" w:space="0" w:color="auto"/>
      </w:divBdr>
    </w:div>
    <w:div w:id="883492075">
      <w:bodyDiv w:val="1"/>
      <w:marLeft w:val="0"/>
      <w:marRight w:val="0"/>
      <w:marTop w:val="0"/>
      <w:marBottom w:val="0"/>
      <w:divBdr>
        <w:top w:val="none" w:sz="0" w:space="0" w:color="auto"/>
        <w:left w:val="none" w:sz="0" w:space="0" w:color="auto"/>
        <w:bottom w:val="none" w:sz="0" w:space="0" w:color="auto"/>
        <w:right w:val="none" w:sz="0" w:space="0" w:color="auto"/>
      </w:divBdr>
    </w:div>
    <w:div w:id="883561803">
      <w:bodyDiv w:val="1"/>
      <w:marLeft w:val="0"/>
      <w:marRight w:val="0"/>
      <w:marTop w:val="0"/>
      <w:marBottom w:val="0"/>
      <w:divBdr>
        <w:top w:val="none" w:sz="0" w:space="0" w:color="auto"/>
        <w:left w:val="none" w:sz="0" w:space="0" w:color="auto"/>
        <w:bottom w:val="none" w:sz="0" w:space="0" w:color="auto"/>
        <w:right w:val="none" w:sz="0" w:space="0" w:color="auto"/>
      </w:divBdr>
    </w:div>
    <w:div w:id="883909403">
      <w:bodyDiv w:val="1"/>
      <w:marLeft w:val="0"/>
      <w:marRight w:val="0"/>
      <w:marTop w:val="0"/>
      <w:marBottom w:val="0"/>
      <w:divBdr>
        <w:top w:val="none" w:sz="0" w:space="0" w:color="auto"/>
        <w:left w:val="none" w:sz="0" w:space="0" w:color="auto"/>
        <w:bottom w:val="none" w:sz="0" w:space="0" w:color="auto"/>
        <w:right w:val="none" w:sz="0" w:space="0" w:color="auto"/>
      </w:divBdr>
    </w:div>
    <w:div w:id="884025202">
      <w:bodyDiv w:val="1"/>
      <w:marLeft w:val="0"/>
      <w:marRight w:val="0"/>
      <w:marTop w:val="0"/>
      <w:marBottom w:val="0"/>
      <w:divBdr>
        <w:top w:val="none" w:sz="0" w:space="0" w:color="auto"/>
        <w:left w:val="none" w:sz="0" w:space="0" w:color="auto"/>
        <w:bottom w:val="none" w:sz="0" w:space="0" w:color="auto"/>
        <w:right w:val="none" w:sz="0" w:space="0" w:color="auto"/>
      </w:divBdr>
    </w:div>
    <w:div w:id="884215998">
      <w:bodyDiv w:val="1"/>
      <w:marLeft w:val="0"/>
      <w:marRight w:val="0"/>
      <w:marTop w:val="0"/>
      <w:marBottom w:val="0"/>
      <w:divBdr>
        <w:top w:val="none" w:sz="0" w:space="0" w:color="auto"/>
        <w:left w:val="none" w:sz="0" w:space="0" w:color="auto"/>
        <w:bottom w:val="none" w:sz="0" w:space="0" w:color="auto"/>
        <w:right w:val="none" w:sz="0" w:space="0" w:color="auto"/>
      </w:divBdr>
    </w:div>
    <w:div w:id="884366618">
      <w:bodyDiv w:val="1"/>
      <w:marLeft w:val="0"/>
      <w:marRight w:val="0"/>
      <w:marTop w:val="0"/>
      <w:marBottom w:val="0"/>
      <w:divBdr>
        <w:top w:val="none" w:sz="0" w:space="0" w:color="auto"/>
        <w:left w:val="none" w:sz="0" w:space="0" w:color="auto"/>
        <w:bottom w:val="none" w:sz="0" w:space="0" w:color="auto"/>
        <w:right w:val="none" w:sz="0" w:space="0" w:color="auto"/>
      </w:divBdr>
    </w:div>
    <w:div w:id="884485265">
      <w:bodyDiv w:val="1"/>
      <w:marLeft w:val="0"/>
      <w:marRight w:val="0"/>
      <w:marTop w:val="0"/>
      <w:marBottom w:val="0"/>
      <w:divBdr>
        <w:top w:val="none" w:sz="0" w:space="0" w:color="auto"/>
        <w:left w:val="none" w:sz="0" w:space="0" w:color="auto"/>
        <w:bottom w:val="none" w:sz="0" w:space="0" w:color="auto"/>
        <w:right w:val="none" w:sz="0" w:space="0" w:color="auto"/>
      </w:divBdr>
    </w:div>
    <w:div w:id="884563130">
      <w:bodyDiv w:val="1"/>
      <w:marLeft w:val="0"/>
      <w:marRight w:val="0"/>
      <w:marTop w:val="0"/>
      <w:marBottom w:val="0"/>
      <w:divBdr>
        <w:top w:val="none" w:sz="0" w:space="0" w:color="auto"/>
        <w:left w:val="none" w:sz="0" w:space="0" w:color="auto"/>
        <w:bottom w:val="none" w:sz="0" w:space="0" w:color="auto"/>
        <w:right w:val="none" w:sz="0" w:space="0" w:color="auto"/>
      </w:divBdr>
    </w:div>
    <w:div w:id="884606166">
      <w:bodyDiv w:val="1"/>
      <w:marLeft w:val="0"/>
      <w:marRight w:val="0"/>
      <w:marTop w:val="0"/>
      <w:marBottom w:val="0"/>
      <w:divBdr>
        <w:top w:val="none" w:sz="0" w:space="0" w:color="auto"/>
        <w:left w:val="none" w:sz="0" w:space="0" w:color="auto"/>
        <w:bottom w:val="none" w:sz="0" w:space="0" w:color="auto"/>
        <w:right w:val="none" w:sz="0" w:space="0" w:color="auto"/>
      </w:divBdr>
    </w:div>
    <w:div w:id="884679273">
      <w:bodyDiv w:val="1"/>
      <w:marLeft w:val="0"/>
      <w:marRight w:val="0"/>
      <w:marTop w:val="0"/>
      <w:marBottom w:val="0"/>
      <w:divBdr>
        <w:top w:val="none" w:sz="0" w:space="0" w:color="auto"/>
        <w:left w:val="none" w:sz="0" w:space="0" w:color="auto"/>
        <w:bottom w:val="none" w:sz="0" w:space="0" w:color="auto"/>
        <w:right w:val="none" w:sz="0" w:space="0" w:color="auto"/>
      </w:divBdr>
    </w:div>
    <w:div w:id="884757610">
      <w:bodyDiv w:val="1"/>
      <w:marLeft w:val="0"/>
      <w:marRight w:val="0"/>
      <w:marTop w:val="0"/>
      <w:marBottom w:val="0"/>
      <w:divBdr>
        <w:top w:val="none" w:sz="0" w:space="0" w:color="auto"/>
        <w:left w:val="none" w:sz="0" w:space="0" w:color="auto"/>
        <w:bottom w:val="none" w:sz="0" w:space="0" w:color="auto"/>
        <w:right w:val="none" w:sz="0" w:space="0" w:color="auto"/>
      </w:divBdr>
    </w:div>
    <w:div w:id="885071060">
      <w:bodyDiv w:val="1"/>
      <w:marLeft w:val="0"/>
      <w:marRight w:val="0"/>
      <w:marTop w:val="0"/>
      <w:marBottom w:val="0"/>
      <w:divBdr>
        <w:top w:val="none" w:sz="0" w:space="0" w:color="auto"/>
        <w:left w:val="none" w:sz="0" w:space="0" w:color="auto"/>
        <w:bottom w:val="none" w:sz="0" w:space="0" w:color="auto"/>
        <w:right w:val="none" w:sz="0" w:space="0" w:color="auto"/>
      </w:divBdr>
    </w:div>
    <w:div w:id="885143774">
      <w:bodyDiv w:val="1"/>
      <w:marLeft w:val="0"/>
      <w:marRight w:val="0"/>
      <w:marTop w:val="0"/>
      <w:marBottom w:val="0"/>
      <w:divBdr>
        <w:top w:val="none" w:sz="0" w:space="0" w:color="auto"/>
        <w:left w:val="none" w:sz="0" w:space="0" w:color="auto"/>
        <w:bottom w:val="none" w:sz="0" w:space="0" w:color="auto"/>
        <w:right w:val="none" w:sz="0" w:space="0" w:color="auto"/>
      </w:divBdr>
    </w:div>
    <w:div w:id="885339721">
      <w:bodyDiv w:val="1"/>
      <w:marLeft w:val="0"/>
      <w:marRight w:val="0"/>
      <w:marTop w:val="0"/>
      <w:marBottom w:val="0"/>
      <w:divBdr>
        <w:top w:val="none" w:sz="0" w:space="0" w:color="auto"/>
        <w:left w:val="none" w:sz="0" w:space="0" w:color="auto"/>
        <w:bottom w:val="none" w:sz="0" w:space="0" w:color="auto"/>
        <w:right w:val="none" w:sz="0" w:space="0" w:color="auto"/>
      </w:divBdr>
    </w:div>
    <w:div w:id="885457699">
      <w:bodyDiv w:val="1"/>
      <w:marLeft w:val="0"/>
      <w:marRight w:val="0"/>
      <w:marTop w:val="0"/>
      <w:marBottom w:val="0"/>
      <w:divBdr>
        <w:top w:val="none" w:sz="0" w:space="0" w:color="auto"/>
        <w:left w:val="none" w:sz="0" w:space="0" w:color="auto"/>
        <w:bottom w:val="none" w:sz="0" w:space="0" w:color="auto"/>
        <w:right w:val="none" w:sz="0" w:space="0" w:color="auto"/>
      </w:divBdr>
    </w:div>
    <w:div w:id="885526198">
      <w:bodyDiv w:val="1"/>
      <w:marLeft w:val="0"/>
      <w:marRight w:val="0"/>
      <w:marTop w:val="0"/>
      <w:marBottom w:val="0"/>
      <w:divBdr>
        <w:top w:val="none" w:sz="0" w:space="0" w:color="auto"/>
        <w:left w:val="none" w:sz="0" w:space="0" w:color="auto"/>
        <w:bottom w:val="none" w:sz="0" w:space="0" w:color="auto"/>
        <w:right w:val="none" w:sz="0" w:space="0" w:color="auto"/>
      </w:divBdr>
    </w:div>
    <w:div w:id="885683928">
      <w:bodyDiv w:val="1"/>
      <w:marLeft w:val="0"/>
      <w:marRight w:val="0"/>
      <w:marTop w:val="0"/>
      <w:marBottom w:val="0"/>
      <w:divBdr>
        <w:top w:val="none" w:sz="0" w:space="0" w:color="auto"/>
        <w:left w:val="none" w:sz="0" w:space="0" w:color="auto"/>
        <w:bottom w:val="none" w:sz="0" w:space="0" w:color="auto"/>
        <w:right w:val="none" w:sz="0" w:space="0" w:color="auto"/>
      </w:divBdr>
    </w:div>
    <w:div w:id="885793928">
      <w:bodyDiv w:val="1"/>
      <w:marLeft w:val="0"/>
      <w:marRight w:val="0"/>
      <w:marTop w:val="0"/>
      <w:marBottom w:val="0"/>
      <w:divBdr>
        <w:top w:val="none" w:sz="0" w:space="0" w:color="auto"/>
        <w:left w:val="none" w:sz="0" w:space="0" w:color="auto"/>
        <w:bottom w:val="none" w:sz="0" w:space="0" w:color="auto"/>
        <w:right w:val="none" w:sz="0" w:space="0" w:color="auto"/>
      </w:divBdr>
    </w:div>
    <w:div w:id="885873746">
      <w:bodyDiv w:val="1"/>
      <w:marLeft w:val="0"/>
      <w:marRight w:val="0"/>
      <w:marTop w:val="0"/>
      <w:marBottom w:val="0"/>
      <w:divBdr>
        <w:top w:val="none" w:sz="0" w:space="0" w:color="auto"/>
        <w:left w:val="none" w:sz="0" w:space="0" w:color="auto"/>
        <w:bottom w:val="none" w:sz="0" w:space="0" w:color="auto"/>
        <w:right w:val="none" w:sz="0" w:space="0" w:color="auto"/>
      </w:divBdr>
    </w:div>
    <w:div w:id="885944628">
      <w:bodyDiv w:val="1"/>
      <w:marLeft w:val="0"/>
      <w:marRight w:val="0"/>
      <w:marTop w:val="0"/>
      <w:marBottom w:val="0"/>
      <w:divBdr>
        <w:top w:val="none" w:sz="0" w:space="0" w:color="auto"/>
        <w:left w:val="none" w:sz="0" w:space="0" w:color="auto"/>
        <w:bottom w:val="none" w:sz="0" w:space="0" w:color="auto"/>
        <w:right w:val="none" w:sz="0" w:space="0" w:color="auto"/>
      </w:divBdr>
    </w:div>
    <w:div w:id="885947992">
      <w:bodyDiv w:val="1"/>
      <w:marLeft w:val="0"/>
      <w:marRight w:val="0"/>
      <w:marTop w:val="0"/>
      <w:marBottom w:val="0"/>
      <w:divBdr>
        <w:top w:val="none" w:sz="0" w:space="0" w:color="auto"/>
        <w:left w:val="none" w:sz="0" w:space="0" w:color="auto"/>
        <w:bottom w:val="none" w:sz="0" w:space="0" w:color="auto"/>
        <w:right w:val="none" w:sz="0" w:space="0" w:color="auto"/>
      </w:divBdr>
    </w:div>
    <w:div w:id="886186676">
      <w:bodyDiv w:val="1"/>
      <w:marLeft w:val="0"/>
      <w:marRight w:val="0"/>
      <w:marTop w:val="0"/>
      <w:marBottom w:val="0"/>
      <w:divBdr>
        <w:top w:val="none" w:sz="0" w:space="0" w:color="auto"/>
        <w:left w:val="none" w:sz="0" w:space="0" w:color="auto"/>
        <w:bottom w:val="none" w:sz="0" w:space="0" w:color="auto"/>
        <w:right w:val="none" w:sz="0" w:space="0" w:color="auto"/>
      </w:divBdr>
    </w:div>
    <w:div w:id="886187260">
      <w:bodyDiv w:val="1"/>
      <w:marLeft w:val="0"/>
      <w:marRight w:val="0"/>
      <w:marTop w:val="0"/>
      <w:marBottom w:val="0"/>
      <w:divBdr>
        <w:top w:val="none" w:sz="0" w:space="0" w:color="auto"/>
        <w:left w:val="none" w:sz="0" w:space="0" w:color="auto"/>
        <w:bottom w:val="none" w:sz="0" w:space="0" w:color="auto"/>
        <w:right w:val="none" w:sz="0" w:space="0" w:color="auto"/>
      </w:divBdr>
    </w:div>
    <w:div w:id="886332241">
      <w:bodyDiv w:val="1"/>
      <w:marLeft w:val="0"/>
      <w:marRight w:val="0"/>
      <w:marTop w:val="0"/>
      <w:marBottom w:val="0"/>
      <w:divBdr>
        <w:top w:val="none" w:sz="0" w:space="0" w:color="auto"/>
        <w:left w:val="none" w:sz="0" w:space="0" w:color="auto"/>
        <w:bottom w:val="none" w:sz="0" w:space="0" w:color="auto"/>
        <w:right w:val="none" w:sz="0" w:space="0" w:color="auto"/>
      </w:divBdr>
    </w:div>
    <w:div w:id="886333304">
      <w:bodyDiv w:val="1"/>
      <w:marLeft w:val="0"/>
      <w:marRight w:val="0"/>
      <w:marTop w:val="0"/>
      <w:marBottom w:val="0"/>
      <w:divBdr>
        <w:top w:val="none" w:sz="0" w:space="0" w:color="auto"/>
        <w:left w:val="none" w:sz="0" w:space="0" w:color="auto"/>
        <w:bottom w:val="none" w:sz="0" w:space="0" w:color="auto"/>
        <w:right w:val="none" w:sz="0" w:space="0" w:color="auto"/>
      </w:divBdr>
    </w:div>
    <w:div w:id="886378640">
      <w:bodyDiv w:val="1"/>
      <w:marLeft w:val="0"/>
      <w:marRight w:val="0"/>
      <w:marTop w:val="0"/>
      <w:marBottom w:val="0"/>
      <w:divBdr>
        <w:top w:val="none" w:sz="0" w:space="0" w:color="auto"/>
        <w:left w:val="none" w:sz="0" w:space="0" w:color="auto"/>
        <w:bottom w:val="none" w:sz="0" w:space="0" w:color="auto"/>
        <w:right w:val="none" w:sz="0" w:space="0" w:color="auto"/>
      </w:divBdr>
    </w:div>
    <w:div w:id="886573877">
      <w:bodyDiv w:val="1"/>
      <w:marLeft w:val="0"/>
      <w:marRight w:val="0"/>
      <w:marTop w:val="0"/>
      <w:marBottom w:val="0"/>
      <w:divBdr>
        <w:top w:val="none" w:sz="0" w:space="0" w:color="auto"/>
        <w:left w:val="none" w:sz="0" w:space="0" w:color="auto"/>
        <w:bottom w:val="none" w:sz="0" w:space="0" w:color="auto"/>
        <w:right w:val="none" w:sz="0" w:space="0" w:color="auto"/>
      </w:divBdr>
    </w:div>
    <w:div w:id="886719010">
      <w:bodyDiv w:val="1"/>
      <w:marLeft w:val="0"/>
      <w:marRight w:val="0"/>
      <w:marTop w:val="0"/>
      <w:marBottom w:val="0"/>
      <w:divBdr>
        <w:top w:val="none" w:sz="0" w:space="0" w:color="auto"/>
        <w:left w:val="none" w:sz="0" w:space="0" w:color="auto"/>
        <w:bottom w:val="none" w:sz="0" w:space="0" w:color="auto"/>
        <w:right w:val="none" w:sz="0" w:space="0" w:color="auto"/>
      </w:divBdr>
    </w:div>
    <w:div w:id="886722040">
      <w:bodyDiv w:val="1"/>
      <w:marLeft w:val="0"/>
      <w:marRight w:val="0"/>
      <w:marTop w:val="0"/>
      <w:marBottom w:val="0"/>
      <w:divBdr>
        <w:top w:val="none" w:sz="0" w:space="0" w:color="auto"/>
        <w:left w:val="none" w:sz="0" w:space="0" w:color="auto"/>
        <w:bottom w:val="none" w:sz="0" w:space="0" w:color="auto"/>
        <w:right w:val="none" w:sz="0" w:space="0" w:color="auto"/>
      </w:divBdr>
    </w:div>
    <w:div w:id="886724421">
      <w:bodyDiv w:val="1"/>
      <w:marLeft w:val="0"/>
      <w:marRight w:val="0"/>
      <w:marTop w:val="0"/>
      <w:marBottom w:val="0"/>
      <w:divBdr>
        <w:top w:val="none" w:sz="0" w:space="0" w:color="auto"/>
        <w:left w:val="none" w:sz="0" w:space="0" w:color="auto"/>
        <w:bottom w:val="none" w:sz="0" w:space="0" w:color="auto"/>
        <w:right w:val="none" w:sz="0" w:space="0" w:color="auto"/>
      </w:divBdr>
    </w:div>
    <w:div w:id="886793516">
      <w:bodyDiv w:val="1"/>
      <w:marLeft w:val="0"/>
      <w:marRight w:val="0"/>
      <w:marTop w:val="0"/>
      <w:marBottom w:val="0"/>
      <w:divBdr>
        <w:top w:val="none" w:sz="0" w:space="0" w:color="auto"/>
        <w:left w:val="none" w:sz="0" w:space="0" w:color="auto"/>
        <w:bottom w:val="none" w:sz="0" w:space="0" w:color="auto"/>
        <w:right w:val="none" w:sz="0" w:space="0" w:color="auto"/>
      </w:divBdr>
    </w:div>
    <w:div w:id="887257786">
      <w:bodyDiv w:val="1"/>
      <w:marLeft w:val="0"/>
      <w:marRight w:val="0"/>
      <w:marTop w:val="0"/>
      <w:marBottom w:val="0"/>
      <w:divBdr>
        <w:top w:val="none" w:sz="0" w:space="0" w:color="auto"/>
        <w:left w:val="none" w:sz="0" w:space="0" w:color="auto"/>
        <w:bottom w:val="none" w:sz="0" w:space="0" w:color="auto"/>
        <w:right w:val="none" w:sz="0" w:space="0" w:color="auto"/>
      </w:divBdr>
    </w:div>
    <w:div w:id="887373057">
      <w:bodyDiv w:val="1"/>
      <w:marLeft w:val="0"/>
      <w:marRight w:val="0"/>
      <w:marTop w:val="0"/>
      <w:marBottom w:val="0"/>
      <w:divBdr>
        <w:top w:val="none" w:sz="0" w:space="0" w:color="auto"/>
        <w:left w:val="none" w:sz="0" w:space="0" w:color="auto"/>
        <w:bottom w:val="none" w:sz="0" w:space="0" w:color="auto"/>
        <w:right w:val="none" w:sz="0" w:space="0" w:color="auto"/>
      </w:divBdr>
    </w:div>
    <w:div w:id="887573302">
      <w:bodyDiv w:val="1"/>
      <w:marLeft w:val="0"/>
      <w:marRight w:val="0"/>
      <w:marTop w:val="0"/>
      <w:marBottom w:val="0"/>
      <w:divBdr>
        <w:top w:val="none" w:sz="0" w:space="0" w:color="auto"/>
        <w:left w:val="none" w:sz="0" w:space="0" w:color="auto"/>
        <w:bottom w:val="none" w:sz="0" w:space="0" w:color="auto"/>
        <w:right w:val="none" w:sz="0" w:space="0" w:color="auto"/>
      </w:divBdr>
    </w:div>
    <w:div w:id="887648317">
      <w:bodyDiv w:val="1"/>
      <w:marLeft w:val="0"/>
      <w:marRight w:val="0"/>
      <w:marTop w:val="0"/>
      <w:marBottom w:val="0"/>
      <w:divBdr>
        <w:top w:val="none" w:sz="0" w:space="0" w:color="auto"/>
        <w:left w:val="none" w:sz="0" w:space="0" w:color="auto"/>
        <w:bottom w:val="none" w:sz="0" w:space="0" w:color="auto"/>
        <w:right w:val="none" w:sz="0" w:space="0" w:color="auto"/>
      </w:divBdr>
    </w:div>
    <w:div w:id="887764246">
      <w:bodyDiv w:val="1"/>
      <w:marLeft w:val="0"/>
      <w:marRight w:val="0"/>
      <w:marTop w:val="0"/>
      <w:marBottom w:val="0"/>
      <w:divBdr>
        <w:top w:val="none" w:sz="0" w:space="0" w:color="auto"/>
        <w:left w:val="none" w:sz="0" w:space="0" w:color="auto"/>
        <w:bottom w:val="none" w:sz="0" w:space="0" w:color="auto"/>
        <w:right w:val="none" w:sz="0" w:space="0" w:color="auto"/>
      </w:divBdr>
    </w:div>
    <w:div w:id="888298298">
      <w:bodyDiv w:val="1"/>
      <w:marLeft w:val="0"/>
      <w:marRight w:val="0"/>
      <w:marTop w:val="0"/>
      <w:marBottom w:val="0"/>
      <w:divBdr>
        <w:top w:val="none" w:sz="0" w:space="0" w:color="auto"/>
        <w:left w:val="none" w:sz="0" w:space="0" w:color="auto"/>
        <w:bottom w:val="none" w:sz="0" w:space="0" w:color="auto"/>
        <w:right w:val="none" w:sz="0" w:space="0" w:color="auto"/>
      </w:divBdr>
    </w:div>
    <w:div w:id="888421655">
      <w:bodyDiv w:val="1"/>
      <w:marLeft w:val="0"/>
      <w:marRight w:val="0"/>
      <w:marTop w:val="0"/>
      <w:marBottom w:val="0"/>
      <w:divBdr>
        <w:top w:val="none" w:sz="0" w:space="0" w:color="auto"/>
        <w:left w:val="none" w:sz="0" w:space="0" w:color="auto"/>
        <w:bottom w:val="none" w:sz="0" w:space="0" w:color="auto"/>
        <w:right w:val="none" w:sz="0" w:space="0" w:color="auto"/>
      </w:divBdr>
    </w:div>
    <w:div w:id="888540493">
      <w:bodyDiv w:val="1"/>
      <w:marLeft w:val="0"/>
      <w:marRight w:val="0"/>
      <w:marTop w:val="0"/>
      <w:marBottom w:val="0"/>
      <w:divBdr>
        <w:top w:val="none" w:sz="0" w:space="0" w:color="auto"/>
        <w:left w:val="none" w:sz="0" w:space="0" w:color="auto"/>
        <w:bottom w:val="none" w:sz="0" w:space="0" w:color="auto"/>
        <w:right w:val="none" w:sz="0" w:space="0" w:color="auto"/>
      </w:divBdr>
    </w:div>
    <w:div w:id="889222091">
      <w:bodyDiv w:val="1"/>
      <w:marLeft w:val="0"/>
      <w:marRight w:val="0"/>
      <w:marTop w:val="0"/>
      <w:marBottom w:val="0"/>
      <w:divBdr>
        <w:top w:val="none" w:sz="0" w:space="0" w:color="auto"/>
        <w:left w:val="none" w:sz="0" w:space="0" w:color="auto"/>
        <w:bottom w:val="none" w:sz="0" w:space="0" w:color="auto"/>
        <w:right w:val="none" w:sz="0" w:space="0" w:color="auto"/>
      </w:divBdr>
    </w:div>
    <w:div w:id="889222123">
      <w:bodyDiv w:val="1"/>
      <w:marLeft w:val="0"/>
      <w:marRight w:val="0"/>
      <w:marTop w:val="0"/>
      <w:marBottom w:val="0"/>
      <w:divBdr>
        <w:top w:val="none" w:sz="0" w:space="0" w:color="auto"/>
        <w:left w:val="none" w:sz="0" w:space="0" w:color="auto"/>
        <w:bottom w:val="none" w:sz="0" w:space="0" w:color="auto"/>
        <w:right w:val="none" w:sz="0" w:space="0" w:color="auto"/>
      </w:divBdr>
    </w:div>
    <w:div w:id="889458664">
      <w:bodyDiv w:val="1"/>
      <w:marLeft w:val="0"/>
      <w:marRight w:val="0"/>
      <w:marTop w:val="0"/>
      <w:marBottom w:val="0"/>
      <w:divBdr>
        <w:top w:val="none" w:sz="0" w:space="0" w:color="auto"/>
        <w:left w:val="none" w:sz="0" w:space="0" w:color="auto"/>
        <w:bottom w:val="none" w:sz="0" w:space="0" w:color="auto"/>
        <w:right w:val="none" w:sz="0" w:space="0" w:color="auto"/>
      </w:divBdr>
    </w:div>
    <w:div w:id="890191039">
      <w:bodyDiv w:val="1"/>
      <w:marLeft w:val="0"/>
      <w:marRight w:val="0"/>
      <w:marTop w:val="0"/>
      <w:marBottom w:val="0"/>
      <w:divBdr>
        <w:top w:val="none" w:sz="0" w:space="0" w:color="auto"/>
        <w:left w:val="none" w:sz="0" w:space="0" w:color="auto"/>
        <w:bottom w:val="none" w:sz="0" w:space="0" w:color="auto"/>
        <w:right w:val="none" w:sz="0" w:space="0" w:color="auto"/>
      </w:divBdr>
    </w:div>
    <w:div w:id="890307969">
      <w:bodyDiv w:val="1"/>
      <w:marLeft w:val="0"/>
      <w:marRight w:val="0"/>
      <w:marTop w:val="0"/>
      <w:marBottom w:val="0"/>
      <w:divBdr>
        <w:top w:val="none" w:sz="0" w:space="0" w:color="auto"/>
        <w:left w:val="none" w:sz="0" w:space="0" w:color="auto"/>
        <w:bottom w:val="none" w:sz="0" w:space="0" w:color="auto"/>
        <w:right w:val="none" w:sz="0" w:space="0" w:color="auto"/>
      </w:divBdr>
    </w:div>
    <w:div w:id="890386892">
      <w:bodyDiv w:val="1"/>
      <w:marLeft w:val="0"/>
      <w:marRight w:val="0"/>
      <w:marTop w:val="0"/>
      <w:marBottom w:val="0"/>
      <w:divBdr>
        <w:top w:val="none" w:sz="0" w:space="0" w:color="auto"/>
        <w:left w:val="none" w:sz="0" w:space="0" w:color="auto"/>
        <w:bottom w:val="none" w:sz="0" w:space="0" w:color="auto"/>
        <w:right w:val="none" w:sz="0" w:space="0" w:color="auto"/>
      </w:divBdr>
    </w:div>
    <w:div w:id="890388718">
      <w:bodyDiv w:val="1"/>
      <w:marLeft w:val="0"/>
      <w:marRight w:val="0"/>
      <w:marTop w:val="0"/>
      <w:marBottom w:val="0"/>
      <w:divBdr>
        <w:top w:val="none" w:sz="0" w:space="0" w:color="auto"/>
        <w:left w:val="none" w:sz="0" w:space="0" w:color="auto"/>
        <w:bottom w:val="none" w:sz="0" w:space="0" w:color="auto"/>
        <w:right w:val="none" w:sz="0" w:space="0" w:color="auto"/>
      </w:divBdr>
    </w:div>
    <w:div w:id="890456138">
      <w:bodyDiv w:val="1"/>
      <w:marLeft w:val="0"/>
      <w:marRight w:val="0"/>
      <w:marTop w:val="0"/>
      <w:marBottom w:val="0"/>
      <w:divBdr>
        <w:top w:val="none" w:sz="0" w:space="0" w:color="auto"/>
        <w:left w:val="none" w:sz="0" w:space="0" w:color="auto"/>
        <w:bottom w:val="none" w:sz="0" w:space="0" w:color="auto"/>
        <w:right w:val="none" w:sz="0" w:space="0" w:color="auto"/>
      </w:divBdr>
    </w:div>
    <w:div w:id="890461858">
      <w:bodyDiv w:val="1"/>
      <w:marLeft w:val="0"/>
      <w:marRight w:val="0"/>
      <w:marTop w:val="0"/>
      <w:marBottom w:val="0"/>
      <w:divBdr>
        <w:top w:val="none" w:sz="0" w:space="0" w:color="auto"/>
        <w:left w:val="none" w:sz="0" w:space="0" w:color="auto"/>
        <w:bottom w:val="none" w:sz="0" w:space="0" w:color="auto"/>
        <w:right w:val="none" w:sz="0" w:space="0" w:color="auto"/>
      </w:divBdr>
    </w:div>
    <w:div w:id="890731565">
      <w:bodyDiv w:val="1"/>
      <w:marLeft w:val="0"/>
      <w:marRight w:val="0"/>
      <w:marTop w:val="0"/>
      <w:marBottom w:val="0"/>
      <w:divBdr>
        <w:top w:val="none" w:sz="0" w:space="0" w:color="auto"/>
        <w:left w:val="none" w:sz="0" w:space="0" w:color="auto"/>
        <w:bottom w:val="none" w:sz="0" w:space="0" w:color="auto"/>
        <w:right w:val="none" w:sz="0" w:space="0" w:color="auto"/>
      </w:divBdr>
    </w:div>
    <w:div w:id="890844893">
      <w:bodyDiv w:val="1"/>
      <w:marLeft w:val="0"/>
      <w:marRight w:val="0"/>
      <w:marTop w:val="0"/>
      <w:marBottom w:val="0"/>
      <w:divBdr>
        <w:top w:val="none" w:sz="0" w:space="0" w:color="auto"/>
        <w:left w:val="none" w:sz="0" w:space="0" w:color="auto"/>
        <w:bottom w:val="none" w:sz="0" w:space="0" w:color="auto"/>
        <w:right w:val="none" w:sz="0" w:space="0" w:color="auto"/>
      </w:divBdr>
    </w:div>
    <w:div w:id="890848890">
      <w:bodyDiv w:val="1"/>
      <w:marLeft w:val="0"/>
      <w:marRight w:val="0"/>
      <w:marTop w:val="0"/>
      <w:marBottom w:val="0"/>
      <w:divBdr>
        <w:top w:val="none" w:sz="0" w:space="0" w:color="auto"/>
        <w:left w:val="none" w:sz="0" w:space="0" w:color="auto"/>
        <w:bottom w:val="none" w:sz="0" w:space="0" w:color="auto"/>
        <w:right w:val="none" w:sz="0" w:space="0" w:color="auto"/>
      </w:divBdr>
    </w:div>
    <w:div w:id="890849981">
      <w:bodyDiv w:val="1"/>
      <w:marLeft w:val="0"/>
      <w:marRight w:val="0"/>
      <w:marTop w:val="0"/>
      <w:marBottom w:val="0"/>
      <w:divBdr>
        <w:top w:val="none" w:sz="0" w:space="0" w:color="auto"/>
        <w:left w:val="none" w:sz="0" w:space="0" w:color="auto"/>
        <w:bottom w:val="none" w:sz="0" w:space="0" w:color="auto"/>
        <w:right w:val="none" w:sz="0" w:space="0" w:color="auto"/>
      </w:divBdr>
    </w:div>
    <w:div w:id="890920789">
      <w:bodyDiv w:val="1"/>
      <w:marLeft w:val="0"/>
      <w:marRight w:val="0"/>
      <w:marTop w:val="0"/>
      <w:marBottom w:val="0"/>
      <w:divBdr>
        <w:top w:val="none" w:sz="0" w:space="0" w:color="auto"/>
        <w:left w:val="none" w:sz="0" w:space="0" w:color="auto"/>
        <w:bottom w:val="none" w:sz="0" w:space="0" w:color="auto"/>
        <w:right w:val="none" w:sz="0" w:space="0" w:color="auto"/>
      </w:divBdr>
    </w:div>
    <w:div w:id="891505692">
      <w:bodyDiv w:val="1"/>
      <w:marLeft w:val="0"/>
      <w:marRight w:val="0"/>
      <w:marTop w:val="0"/>
      <w:marBottom w:val="0"/>
      <w:divBdr>
        <w:top w:val="none" w:sz="0" w:space="0" w:color="auto"/>
        <w:left w:val="none" w:sz="0" w:space="0" w:color="auto"/>
        <w:bottom w:val="none" w:sz="0" w:space="0" w:color="auto"/>
        <w:right w:val="none" w:sz="0" w:space="0" w:color="auto"/>
      </w:divBdr>
    </w:div>
    <w:div w:id="891691620">
      <w:bodyDiv w:val="1"/>
      <w:marLeft w:val="0"/>
      <w:marRight w:val="0"/>
      <w:marTop w:val="0"/>
      <w:marBottom w:val="0"/>
      <w:divBdr>
        <w:top w:val="none" w:sz="0" w:space="0" w:color="auto"/>
        <w:left w:val="none" w:sz="0" w:space="0" w:color="auto"/>
        <w:bottom w:val="none" w:sz="0" w:space="0" w:color="auto"/>
        <w:right w:val="none" w:sz="0" w:space="0" w:color="auto"/>
      </w:divBdr>
    </w:div>
    <w:div w:id="891699266">
      <w:bodyDiv w:val="1"/>
      <w:marLeft w:val="0"/>
      <w:marRight w:val="0"/>
      <w:marTop w:val="0"/>
      <w:marBottom w:val="0"/>
      <w:divBdr>
        <w:top w:val="none" w:sz="0" w:space="0" w:color="auto"/>
        <w:left w:val="none" w:sz="0" w:space="0" w:color="auto"/>
        <w:bottom w:val="none" w:sz="0" w:space="0" w:color="auto"/>
        <w:right w:val="none" w:sz="0" w:space="0" w:color="auto"/>
      </w:divBdr>
    </w:div>
    <w:div w:id="891885021">
      <w:bodyDiv w:val="1"/>
      <w:marLeft w:val="0"/>
      <w:marRight w:val="0"/>
      <w:marTop w:val="0"/>
      <w:marBottom w:val="0"/>
      <w:divBdr>
        <w:top w:val="none" w:sz="0" w:space="0" w:color="auto"/>
        <w:left w:val="none" w:sz="0" w:space="0" w:color="auto"/>
        <w:bottom w:val="none" w:sz="0" w:space="0" w:color="auto"/>
        <w:right w:val="none" w:sz="0" w:space="0" w:color="auto"/>
      </w:divBdr>
    </w:div>
    <w:div w:id="892305132">
      <w:bodyDiv w:val="1"/>
      <w:marLeft w:val="0"/>
      <w:marRight w:val="0"/>
      <w:marTop w:val="0"/>
      <w:marBottom w:val="0"/>
      <w:divBdr>
        <w:top w:val="none" w:sz="0" w:space="0" w:color="auto"/>
        <w:left w:val="none" w:sz="0" w:space="0" w:color="auto"/>
        <w:bottom w:val="none" w:sz="0" w:space="0" w:color="auto"/>
        <w:right w:val="none" w:sz="0" w:space="0" w:color="auto"/>
      </w:divBdr>
    </w:div>
    <w:div w:id="892500175">
      <w:bodyDiv w:val="1"/>
      <w:marLeft w:val="0"/>
      <w:marRight w:val="0"/>
      <w:marTop w:val="0"/>
      <w:marBottom w:val="0"/>
      <w:divBdr>
        <w:top w:val="none" w:sz="0" w:space="0" w:color="auto"/>
        <w:left w:val="none" w:sz="0" w:space="0" w:color="auto"/>
        <w:bottom w:val="none" w:sz="0" w:space="0" w:color="auto"/>
        <w:right w:val="none" w:sz="0" w:space="0" w:color="auto"/>
      </w:divBdr>
    </w:div>
    <w:div w:id="892930705">
      <w:bodyDiv w:val="1"/>
      <w:marLeft w:val="0"/>
      <w:marRight w:val="0"/>
      <w:marTop w:val="0"/>
      <w:marBottom w:val="0"/>
      <w:divBdr>
        <w:top w:val="none" w:sz="0" w:space="0" w:color="auto"/>
        <w:left w:val="none" w:sz="0" w:space="0" w:color="auto"/>
        <w:bottom w:val="none" w:sz="0" w:space="0" w:color="auto"/>
        <w:right w:val="none" w:sz="0" w:space="0" w:color="auto"/>
      </w:divBdr>
    </w:div>
    <w:div w:id="893003266">
      <w:bodyDiv w:val="1"/>
      <w:marLeft w:val="0"/>
      <w:marRight w:val="0"/>
      <w:marTop w:val="0"/>
      <w:marBottom w:val="0"/>
      <w:divBdr>
        <w:top w:val="none" w:sz="0" w:space="0" w:color="auto"/>
        <w:left w:val="none" w:sz="0" w:space="0" w:color="auto"/>
        <w:bottom w:val="none" w:sz="0" w:space="0" w:color="auto"/>
        <w:right w:val="none" w:sz="0" w:space="0" w:color="auto"/>
      </w:divBdr>
    </w:div>
    <w:div w:id="893083620">
      <w:bodyDiv w:val="1"/>
      <w:marLeft w:val="0"/>
      <w:marRight w:val="0"/>
      <w:marTop w:val="0"/>
      <w:marBottom w:val="0"/>
      <w:divBdr>
        <w:top w:val="none" w:sz="0" w:space="0" w:color="auto"/>
        <w:left w:val="none" w:sz="0" w:space="0" w:color="auto"/>
        <w:bottom w:val="none" w:sz="0" w:space="0" w:color="auto"/>
        <w:right w:val="none" w:sz="0" w:space="0" w:color="auto"/>
      </w:divBdr>
    </w:div>
    <w:div w:id="893126841">
      <w:bodyDiv w:val="1"/>
      <w:marLeft w:val="0"/>
      <w:marRight w:val="0"/>
      <w:marTop w:val="0"/>
      <w:marBottom w:val="0"/>
      <w:divBdr>
        <w:top w:val="none" w:sz="0" w:space="0" w:color="auto"/>
        <w:left w:val="none" w:sz="0" w:space="0" w:color="auto"/>
        <w:bottom w:val="none" w:sz="0" w:space="0" w:color="auto"/>
        <w:right w:val="none" w:sz="0" w:space="0" w:color="auto"/>
      </w:divBdr>
    </w:div>
    <w:div w:id="893153252">
      <w:bodyDiv w:val="1"/>
      <w:marLeft w:val="0"/>
      <w:marRight w:val="0"/>
      <w:marTop w:val="0"/>
      <w:marBottom w:val="0"/>
      <w:divBdr>
        <w:top w:val="none" w:sz="0" w:space="0" w:color="auto"/>
        <w:left w:val="none" w:sz="0" w:space="0" w:color="auto"/>
        <w:bottom w:val="none" w:sz="0" w:space="0" w:color="auto"/>
        <w:right w:val="none" w:sz="0" w:space="0" w:color="auto"/>
      </w:divBdr>
    </w:div>
    <w:div w:id="893350581">
      <w:bodyDiv w:val="1"/>
      <w:marLeft w:val="0"/>
      <w:marRight w:val="0"/>
      <w:marTop w:val="0"/>
      <w:marBottom w:val="0"/>
      <w:divBdr>
        <w:top w:val="none" w:sz="0" w:space="0" w:color="auto"/>
        <w:left w:val="none" w:sz="0" w:space="0" w:color="auto"/>
        <w:bottom w:val="none" w:sz="0" w:space="0" w:color="auto"/>
        <w:right w:val="none" w:sz="0" w:space="0" w:color="auto"/>
      </w:divBdr>
    </w:div>
    <w:div w:id="893614969">
      <w:bodyDiv w:val="1"/>
      <w:marLeft w:val="0"/>
      <w:marRight w:val="0"/>
      <w:marTop w:val="0"/>
      <w:marBottom w:val="0"/>
      <w:divBdr>
        <w:top w:val="none" w:sz="0" w:space="0" w:color="auto"/>
        <w:left w:val="none" w:sz="0" w:space="0" w:color="auto"/>
        <w:bottom w:val="none" w:sz="0" w:space="0" w:color="auto"/>
        <w:right w:val="none" w:sz="0" w:space="0" w:color="auto"/>
      </w:divBdr>
    </w:div>
    <w:div w:id="893853644">
      <w:bodyDiv w:val="1"/>
      <w:marLeft w:val="0"/>
      <w:marRight w:val="0"/>
      <w:marTop w:val="0"/>
      <w:marBottom w:val="0"/>
      <w:divBdr>
        <w:top w:val="none" w:sz="0" w:space="0" w:color="auto"/>
        <w:left w:val="none" w:sz="0" w:space="0" w:color="auto"/>
        <w:bottom w:val="none" w:sz="0" w:space="0" w:color="auto"/>
        <w:right w:val="none" w:sz="0" w:space="0" w:color="auto"/>
      </w:divBdr>
    </w:div>
    <w:div w:id="894121304">
      <w:bodyDiv w:val="1"/>
      <w:marLeft w:val="0"/>
      <w:marRight w:val="0"/>
      <w:marTop w:val="0"/>
      <w:marBottom w:val="0"/>
      <w:divBdr>
        <w:top w:val="none" w:sz="0" w:space="0" w:color="auto"/>
        <w:left w:val="none" w:sz="0" w:space="0" w:color="auto"/>
        <w:bottom w:val="none" w:sz="0" w:space="0" w:color="auto"/>
        <w:right w:val="none" w:sz="0" w:space="0" w:color="auto"/>
      </w:divBdr>
    </w:div>
    <w:div w:id="894202020">
      <w:bodyDiv w:val="1"/>
      <w:marLeft w:val="0"/>
      <w:marRight w:val="0"/>
      <w:marTop w:val="0"/>
      <w:marBottom w:val="0"/>
      <w:divBdr>
        <w:top w:val="none" w:sz="0" w:space="0" w:color="auto"/>
        <w:left w:val="none" w:sz="0" w:space="0" w:color="auto"/>
        <w:bottom w:val="none" w:sz="0" w:space="0" w:color="auto"/>
        <w:right w:val="none" w:sz="0" w:space="0" w:color="auto"/>
      </w:divBdr>
    </w:div>
    <w:div w:id="894242022">
      <w:bodyDiv w:val="1"/>
      <w:marLeft w:val="0"/>
      <w:marRight w:val="0"/>
      <w:marTop w:val="0"/>
      <w:marBottom w:val="0"/>
      <w:divBdr>
        <w:top w:val="none" w:sz="0" w:space="0" w:color="auto"/>
        <w:left w:val="none" w:sz="0" w:space="0" w:color="auto"/>
        <w:bottom w:val="none" w:sz="0" w:space="0" w:color="auto"/>
        <w:right w:val="none" w:sz="0" w:space="0" w:color="auto"/>
      </w:divBdr>
    </w:div>
    <w:div w:id="894387804">
      <w:bodyDiv w:val="1"/>
      <w:marLeft w:val="0"/>
      <w:marRight w:val="0"/>
      <w:marTop w:val="0"/>
      <w:marBottom w:val="0"/>
      <w:divBdr>
        <w:top w:val="none" w:sz="0" w:space="0" w:color="auto"/>
        <w:left w:val="none" w:sz="0" w:space="0" w:color="auto"/>
        <w:bottom w:val="none" w:sz="0" w:space="0" w:color="auto"/>
        <w:right w:val="none" w:sz="0" w:space="0" w:color="auto"/>
      </w:divBdr>
    </w:div>
    <w:div w:id="894463882">
      <w:bodyDiv w:val="1"/>
      <w:marLeft w:val="0"/>
      <w:marRight w:val="0"/>
      <w:marTop w:val="0"/>
      <w:marBottom w:val="0"/>
      <w:divBdr>
        <w:top w:val="none" w:sz="0" w:space="0" w:color="auto"/>
        <w:left w:val="none" w:sz="0" w:space="0" w:color="auto"/>
        <w:bottom w:val="none" w:sz="0" w:space="0" w:color="auto"/>
        <w:right w:val="none" w:sz="0" w:space="0" w:color="auto"/>
      </w:divBdr>
    </w:div>
    <w:div w:id="894968341">
      <w:bodyDiv w:val="1"/>
      <w:marLeft w:val="0"/>
      <w:marRight w:val="0"/>
      <w:marTop w:val="0"/>
      <w:marBottom w:val="0"/>
      <w:divBdr>
        <w:top w:val="none" w:sz="0" w:space="0" w:color="auto"/>
        <w:left w:val="none" w:sz="0" w:space="0" w:color="auto"/>
        <w:bottom w:val="none" w:sz="0" w:space="0" w:color="auto"/>
        <w:right w:val="none" w:sz="0" w:space="0" w:color="auto"/>
      </w:divBdr>
    </w:div>
    <w:div w:id="895119600">
      <w:bodyDiv w:val="1"/>
      <w:marLeft w:val="0"/>
      <w:marRight w:val="0"/>
      <w:marTop w:val="0"/>
      <w:marBottom w:val="0"/>
      <w:divBdr>
        <w:top w:val="none" w:sz="0" w:space="0" w:color="auto"/>
        <w:left w:val="none" w:sz="0" w:space="0" w:color="auto"/>
        <w:bottom w:val="none" w:sz="0" w:space="0" w:color="auto"/>
        <w:right w:val="none" w:sz="0" w:space="0" w:color="auto"/>
      </w:divBdr>
    </w:div>
    <w:div w:id="895163753">
      <w:bodyDiv w:val="1"/>
      <w:marLeft w:val="0"/>
      <w:marRight w:val="0"/>
      <w:marTop w:val="0"/>
      <w:marBottom w:val="0"/>
      <w:divBdr>
        <w:top w:val="none" w:sz="0" w:space="0" w:color="auto"/>
        <w:left w:val="none" w:sz="0" w:space="0" w:color="auto"/>
        <w:bottom w:val="none" w:sz="0" w:space="0" w:color="auto"/>
        <w:right w:val="none" w:sz="0" w:space="0" w:color="auto"/>
      </w:divBdr>
    </w:div>
    <w:div w:id="895240877">
      <w:bodyDiv w:val="1"/>
      <w:marLeft w:val="0"/>
      <w:marRight w:val="0"/>
      <w:marTop w:val="0"/>
      <w:marBottom w:val="0"/>
      <w:divBdr>
        <w:top w:val="none" w:sz="0" w:space="0" w:color="auto"/>
        <w:left w:val="none" w:sz="0" w:space="0" w:color="auto"/>
        <w:bottom w:val="none" w:sz="0" w:space="0" w:color="auto"/>
        <w:right w:val="none" w:sz="0" w:space="0" w:color="auto"/>
      </w:divBdr>
    </w:div>
    <w:div w:id="895243743">
      <w:bodyDiv w:val="1"/>
      <w:marLeft w:val="0"/>
      <w:marRight w:val="0"/>
      <w:marTop w:val="0"/>
      <w:marBottom w:val="0"/>
      <w:divBdr>
        <w:top w:val="none" w:sz="0" w:space="0" w:color="auto"/>
        <w:left w:val="none" w:sz="0" w:space="0" w:color="auto"/>
        <w:bottom w:val="none" w:sz="0" w:space="0" w:color="auto"/>
        <w:right w:val="none" w:sz="0" w:space="0" w:color="auto"/>
      </w:divBdr>
    </w:div>
    <w:div w:id="895318100">
      <w:bodyDiv w:val="1"/>
      <w:marLeft w:val="0"/>
      <w:marRight w:val="0"/>
      <w:marTop w:val="0"/>
      <w:marBottom w:val="0"/>
      <w:divBdr>
        <w:top w:val="none" w:sz="0" w:space="0" w:color="auto"/>
        <w:left w:val="none" w:sz="0" w:space="0" w:color="auto"/>
        <w:bottom w:val="none" w:sz="0" w:space="0" w:color="auto"/>
        <w:right w:val="none" w:sz="0" w:space="0" w:color="auto"/>
      </w:divBdr>
    </w:div>
    <w:div w:id="895438525">
      <w:bodyDiv w:val="1"/>
      <w:marLeft w:val="0"/>
      <w:marRight w:val="0"/>
      <w:marTop w:val="0"/>
      <w:marBottom w:val="0"/>
      <w:divBdr>
        <w:top w:val="none" w:sz="0" w:space="0" w:color="auto"/>
        <w:left w:val="none" w:sz="0" w:space="0" w:color="auto"/>
        <w:bottom w:val="none" w:sz="0" w:space="0" w:color="auto"/>
        <w:right w:val="none" w:sz="0" w:space="0" w:color="auto"/>
      </w:divBdr>
    </w:div>
    <w:div w:id="895505063">
      <w:bodyDiv w:val="1"/>
      <w:marLeft w:val="0"/>
      <w:marRight w:val="0"/>
      <w:marTop w:val="0"/>
      <w:marBottom w:val="0"/>
      <w:divBdr>
        <w:top w:val="none" w:sz="0" w:space="0" w:color="auto"/>
        <w:left w:val="none" w:sz="0" w:space="0" w:color="auto"/>
        <w:bottom w:val="none" w:sz="0" w:space="0" w:color="auto"/>
        <w:right w:val="none" w:sz="0" w:space="0" w:color="auto"/>
      </w:divBdr>
    </w:div>
    <w:div w:id="895554142">
      <w:bodyDiv w:val="1"/>
      <w:marLeft w:val="0"/>
      <w:marRight w:val="0"/>
      <w:marTop w:val="0"/>
      <w:marBottom w:val="0"/>
      <w:divBdr>
        <w:top w:val="none" w:sz="0" w:space="0" w:color="auto"/>
        <w:left w:val="none" w:sz="0" w:space="0" w:color="auto"/>
        <w:bottom w:val="none" w:sz="0" w:space="0" w:color="auto"/>
        <w:right w:val="none" w:sz="0" w:space="0" w:color="auto"/>
      </w:divBdr>
    </w:div>
    <w:div w:id="895555628">
      <w:bodyDiv w:val="1"/>
      <w:marLeft w:val="0"/>
      <w:marRight w:val="0"/>
      <w:marTop w:val="0"/>
      <w:marBottom w:val="0"/>
      <w:divBdr>
        <w:top w:val="none" w:sz="0" w:space="0" w:color="auto"/>
        <w:left w:val="none" w:sz="0" w:space="0" w:color="auto"/>
        <w:bottom w:val="none" w:sz="0" w:space="0" w:color="auto"/>
        <w:right w:val="none" w:sz="0" w:space="0" w:color="auto"/>
      </w:divBdr>
    </w:div>
    <w:div w:id="895580908">
      <w:bodyDiv w:val="1"/>
      <w:marLeft w:val="0"/>
      <w:marRight w:val="0"/>
      <w:marTop w:val="0"/>
      <w:marBottom w:val="0"/>
      <w:divBdr>
        <w:top w:val="none" w:sz="0" w:space="0" w:color="auto"/>
        <w:left w:val="none" w:sz="0" w:space="0" w:color="auto"/>
        <w:bottom w:val="none" w:sz="0" w:space="0" w:color="auto"/>
        <w:right w:val="none" w:sz="0" w:space="0" w:color="auto"/>
      </w:divBdr>
    </w:div>
    <w:div w:id="895973310">
      <w:bodyDiv w:val="1"/>
      <w:marLeft w:val="0"/>
      <w:marRight w:val="0"/>
      <w:marTop w:val="0"/>
      <w:marBottom w:val="0"/>
      <w:divBdr>
        <w:top w:val="none" w:sz="0" w:space="0" w:color="auto"/>
        <w:left w:val="none" w:sz="0" w:space="0" w:color="auto"/>
        <w:bottom w:val="none" w:sz="0" w:space="0" w:color="auto"/>
        <w:right w:val="none" w:sz="0" w:space="0" w:color="auto"/>
      </w:divBdr>
    </w:div>
    <w:div w:id="896086436">
      <w:bodyDiv w:val="1"/>
      <w:marLeft w:val="0"/>
      <w:marRight w:val="0"/>
      <w:marTop w:val="0"/>
      <w:marBottom w:val="0"/>
      <w:divBdr>
        <w:top w:val="none" w:sz="0" w:space="0" w:color="auto"/>
        <w:left w:val="none" w:sz="0" w:space="0" w:color="auto"/>
        <w:bottom w:val="none" w:sz="0" w:space="0" w:color="auto"/>
        <w:right w:val="none" w:sz="0" w:space="0" w:color="auto"/>
      </w:divBdr>
    </w:div>
    <w:div w:id="896279386">
      <w:bodyDiv w:val="1"/>
      <w:marLeft w:val="0"/>
      <w:marRight w:val="0"/>
      <w:marTop w:val="0"/>
      <w:marBottom w:val="0"/>
      <w:divBdr>
        <w:top w:val="none" w:sz="0" w:space="0" w:color="auto"/>
        <w:left w:val="none" w:sz="0" w:space="0" w:color="auto"/>
        <w:bottom w:val="none" w:sz="0" w:space="0" w:color="auto"/>
        <w:right w:val="none" w:sz="0" w:space="0" w:color="auto"/>
      </w:divBdr>
    </w:div>
    <w:div w:id="896473148">
      <w:bodyDiv w:val="1"/>
      <w:marLeft w:val="0"/>
      <w:marRight w:val="0"/>
      <w:marTop w:val="0"/>
      <w:marBottom w:val="0"/>
      <w:divBdr>
        <w:top w:val="none" w:sz="0" w:space="0" w:color="auto"/>
        <w:left w:val="none" w:sz="0" w:space="0" w:color="auto"/>
        <w:bottom w:val="none" w:sz="0" w:space="0" w:color="auto"/>
        <w:right w:val="none" w:sz="0" w:space="0" w:color="auto"/>
      </w:divBdr>
    </w:div>
    <w:div w:id="896625123">
      <w:bodyDiv w:val="1"/>
      <w:marLeft w:val="0"/>
      <w:marRight w:val="0"/>
      <w:marTop w:val="0"/>
      <w:marBottom w:val="0"/>
      <w:divBdr>
        <w:top w:val="none" w:sz="0" w:space="0" w:color="auto"/>
        <w:left w:val="none" w:sz="0" w:space="0" w:color="auto"/>
        <w:bottom w:val="none" w:sz="0" w:space="0" w:color="auto"/>
        <w:right w:val="none" w:sz="0" w:space="0" w:color="auto"/>
      </w:divBdr>
    </w:div>
    <w:div w:id="896630391">
      <w:bodyDiv w:val="1"/>
      <w:marLeft w:val="0"/>
      <w:marRight w:val="0"/>
      <w:marTop w:val="0"/>
      <w:marBottom w:val="0"/>
      <w:divBdr>
        <w:top w:val="none" w:sz="0" w:space="0" w:color="auto"/>
        <w:left w:val="none" w:sz="0" w:space="0" w:color="auto"/>
        <w:bottom w:val="none" w:sz="0" w:space="0" w:color="auto"/>
        <w:right w:val="none" w:sz="0" w:space="0" w:color="auto"/>
      </w:divBdr>
    </w:div>
    <w:div w:id="896664057">
      <w:bodyDiv w:val="1"/>
      <w:marLeft w:val="0"/>
      <w:marRight w:val="0"/>
      <w:marTop w:val="0"/>
      <w:marBottom w:val="0"/>
      <w:divBdr>
        <w:top w:val="none" w:sz="0" w:space="0" w:color="auto"/>
        <w:left w:val="none" w:sz="0" w:space="0" w:color="auto"/>
        <w:bottom w:val="none" w:sz="0" w:space="0" w:color="auto"/>
        <w:right w:val="none" w:sz="0" w:space="0" w:color="auto"/>
      </w:divBdr>
    </w:div>
    <w:div w:id="896742855">
      <w:bodyDiv w:val="1"/>
      <w:marLeft w:val="0"/>
      <w:marRight w:val="0"/>
      <w:marTop w:val="0"/>
      <w:marBottom w:val="0"/>
      <w:divBdr>
        <w:top w:val="none" w:sz="0" w:space="0" w:color="auto"/>
        <w:left w:val="none" w:sz="0" w:space="0" w:color="auto"/>
        <w:bottom w:val="none" w:sz="0" w:space="0" w:color="auto"/>
        <w:right w:val="none" w:sz="0" w:space="0" w:color="auto"/>
      </w:divBdr>
    </w:div>
    <w:div w:id="896819004">
      <w:bodyDiv w:val="1"/>
      <w:marLeft w:val="0"/>
      <w:marRight w:val="0"/>
      <w:marTop w:val="0"/>
      <w:marBottom w:val="0"/>
      <w:divBdr>
        <w:top w:val="none" w:sz="0" w:space="0" w:color="auto"/>
        <w:left w:val="none" w:sz="0" w:space="0" w:color="auto"/>
        <w:bottom w:val="none" w:sz="0" w:space="0" w:color="auto"/>
        <w:right w:val="none" w:sz="0" w:space="0" w:color="auto"/>
      </w:divBdr>
    </w:div>
    <w:div w:id="896819652">
      <w:bodyDiv w:val="1"/>
      <w:marLeft w:val="0"/>
      <w:marRight w:val="0"/>
      <w:marTop w:val="0"/>
      <w:marBottom w:val="0"/>
      <w:divBdr>
        <w:top w:val="none" w:sz="0" w:space="0" w:color="auto"/>
        <w:left w:val="none" w:sz="0" w:space="0" w:color="auto"/>
        <w:bottom w:val="none" w:sz="0" w:space="0" w:color="auto"/>
        <w:right w:val="none" w:sz="0" w:space="0" w:color="auto"/>
      </w:divBdr>
    </w:div>
    <w:div w:id="896861549">
      <w:bodyDiv w:val="1"/>
      <w:marLeft w:val="0"/>
      <w:marRight w:val="0"/>
      <w:marTop w:val="0"/>
      <w:marBottom w:val="0"/>
      <w:divBdr>
        <w:top w:val="none" w:sz="0" w:space="0" w:color="auto"/>
        <w:left w:val="none" w:sz="0" w:space="0" w:color="auto"/>
        <w:bottom w:val="none" w:sz="0" w:space="0" w:color="auto"/>
        <w:right w:val="none" w:sz="0" w:space="0" w:color="auto"/>
      </w:divBdr>
    </w:div>
    <w:div w:id="897128413">
      <w:bodyDiv w:val="1"/>
      <w:marLeft w:val="0"/>
      <w:marRight w:val="0"/>
      <w:marTop w:val="0"/>
      <w:marBottom w:val="0"/>
      <w:divBdr>
        <w:top w:val="none" w:sz="0" w:space="0" w:color="auto"/>
        <w:left w:val="none" w:sz="0" w:space="0" w:color="auto"/>
        <w:bottom w:val="none" w:sz="0" w:space="0" w:color="auto"/>
        <w:right w:val="none" w:sz="0" w:space="0" w:color="auto"/>
      </w:divBdr>
    </w:div>
    <w:div w:id="897201779">
      <w:bodyDiv w:val="1"/>
      <w:marLeft w:val="0"/>
      <w:marRight w:val="0"/>
      <w:marTop w:val="0"/>
      <w:marBottom w:val="0"/>
      <w:divBdr>
        <w:top w:val="none" w:sz="0" w:space="0" w:color="auto"/>
        <w:left w:val="none" w:sz="0" w:space="0" w:color="auto"/>
        <w:bottom w:val="none" w:sz="0" w:space="0" w:color="auto"/>
        <w:right w:val="none" w:sz="0" w:space="0" w:color="auto"/>
      </w:divBdr>
    </w:div>
    <w:div w:id="897279447">
      <w:bodyDiv w:val="1"/>
      <w:marLeft w:val="0"/>
      <w:marRight w:val="0"/>
      <w:marTop w:val="0"/>
      <w:marBottom w:val="0"/>
      <w:divBdr>
        <w:top w:val="none" w:sz="0" w:space="0" w:color="auto"/>
        <w:left w:val="none" w:sz="0" w:space="0" w:color="auto"/>
        <w:bottom w:val="none" w:sz="0" w:space="0" w:color="auto"/>
        <w:right w:val="none" w:sz="0" w:space="0" w:color="auto"/>
      </w:divBdr>
    </w:div>
    <w:div w:id="897326433">
      <w:bodyDiv w:val="1"/>
      <w:marLeft w:val="0"/>
      <w:marRight w:val="0"/>
      <w:marTop w:val="0"/>
      <w:marBottom w:val="0"/>
      <w:divBdr>
        <w:top w:val="none" w:sz="0" w:space="0" w:color="auto"/>
        <w:left w:val="none" w:sz="0" w:space="0" w:color="auto"/>
        <w:bottom w:val="none" w:sz="0" w:space="0" w:color="auto"/>
        <w:right w:val="none" w:sz="0" w:space="0" w:color="auto"/>
      </w:divBdr>
    </w:div>
    <w:div w:id="897402786">
      <w:bodyDiv w:val="1"/>
      <w:marLeft w:val="0"/>
      <w:marRight w:val="0"/>
      <w:marTop w:val="0"/>
      <w:marBottom w:val="0"/>
      <w:divBdr>
        <w:top w:val="none" w:sz="0" w:space="0" w:color="auto"/>
        <w:left w:val="none" w:sz="0" w:space="0" w:color="auto"/>
        <w:bottom w:val="none" w:sz="0" w:space="0" w:color="auto"/>
        <w:right w:val="none" w:sz="0" w:space="0" w:color="auto"/>
      </w:divBdr>
    </w:div>
    <w:div w:id="897472527">
      <w:bodyDiv w:val="1"/>
      <w:marLeft w:val="0"/>
      <w:marRight w:val="0"/>
      <w:marTop w:val="0"/>
      <w:marBottom w:val="0"/>
      <w:divBdr>
        <w:top w:val="none" w:sz="0" w:space="0" w:color="auto"/>
        <w:left w:val="none" w:sz="0" w:space="0" w:color="auto"/>
        <w:bottom w:val="none" w:sz="0" w:space="0" w:color="auto"/>
        <w:right w:val="none" w:sz="0" w:space="0" w:color="auto"/>
      </w:divBdr>
    </w:div>
    <w:div w:id="897742391">
      <w:bodyDiv w:val="1"/>
      <w:marLeft w:val="0"/>
      <w:marRight w:val="0"/>
      <w:marTop w:val="0"/>
      <w:marBottom w:val="0"/>
      <w:divBdr>
        <w:top w:val="none" w:sz="0" w:space="0" w:color="auto"/>
        <w:left w:val="none" w:sz="0" w:space="0" w:color="auto"/>
        <w:bottom w:val="none" w:sz="0" w:space="0" w:color="auto"/>
        <w:right w:val="none" w:sz="0" w:space="0" w:color="auto"/>
      </w:divBdr>
    </w:div>
    <w:div w:id="897744607">
      <w:bodyDiv w:val="1"/>
      <w:marLeft w:val="0"/>
      <w:marRight w:val="0"/>
      <w:marTop w:val="0"/>
      <w:marBottom w:val="0"/>
      <w:divBdr>
        <w:top w:val="none" w:sz="0" w:space="0" w:color="auto"/>
        <w:left w:val="none" w:sz="0" w:space="0" w:color="auto"/>
        <w:bottom w:val="none" w:sz="0" w:space="0" w:color="auto"/>
        <w:right w:val="none" w:sz="0" w:space="0" w:color="auto"/>
      </w:divBdr>
    </w:div>
    <w:div w:id="897936566">
      <w:bodyDiv w:val="1"/>
      <w:marLeft w:val="0"/>
      <w:marRight w:val="0"/>
      <w:marTop w:val="0"/>
      <w:marBottom w:val="0"/>
      <w:divBdr>
        <w:top w:val="none" w:sz="0" w:space="0" w:color="auto"/>
        <w:left w:val="none" w:sz="0" w:space="0" w:color="auto"/>
        <w:bottom w:val="none" w:sz="0" w:space="0" w:color="auto"/>
        <w:right w:val="none" w:sz="0" w:space="0" w:color="auto"/>
      </w:divBdr>
    </w:div>
    <w:div w:id="897977064">
      <w:bodyDiv w:val="1"/>
      <w:marLeft w:val="0"/>
      <w:marRight w:val="0"/>
      <w:marTop w:val="0"/>
      <w:marBottom w:val="0"/>
      <w:divBdr>
        <w:top w:val="none" w:sz="0" w:space="0" w:color="auto"/>
        <w:left w:val="none" w:sz="0" w:space="0" w:color="auto"/>
        <w:bottom w:val="none" w:sz="0" w:space="0" w:color="auto"/>
        <w:right w:val="none" w:sz="0" w:space="0" w:color="auto"/>
      </w:divBdr>
    </w:div>
    <w:div w:id="898127414">
      <w:bodyDiv w:val="1"/>
      <w:marLeft w:val="0"/>
      <w:marRight w:val="0"/>
      <w:marTop w:val="0"/>
      <w:marBottom w:val="0"/>
      <w:divBdr>
        <w:top w:val="none" w:sz="0" w:space="0" w:color="auto"/>
        <w:left w:val="none" w:sz="0" w:space="0" w:color="auto"/>
        <w:bottom w:val="none" w:sz="0" w:space="0" w:color="auto"/>
        <w:right w:val="none" w:sz="0" w:space="0" w:color="auto"/>
      </w:divBdr>
    </w:div>
    <w:div w:id="898328077">
      <w:bodyDiv w:val="1"/>
      <w:marLeft w:val="0"/>
      <w:marRight w:val="0"/>
      <w:marTop w:val="0"/>
      <w:marBottom w:val="0"/>
      <w:divBdr>
        <w:top w:val="none" w:sz="0" w:space="0" w:color="auto"/>
        <w:left w:val="none" w:sz="0" w:space="0" w:color="auto"/>
        <w:bottom w:val="none" w:sz="0" w:space="0" w:color="auto"/>
        <w:right w:val="none" w:sz="0" w:space="0" w:color="auto"/>
      </w:divBdr>
    </w:div>
    <w:div w:id="898591652">
      <w:bodyDiv w:val="1"/>
      <w:marLeft w:val="0"/>
      <w:marRight w:val="0"/>
      <w:marTop w:val="0"/>
      <w:marBottom w:val="0"/>
      <w:divBdr>
        <w:top w:val="none" w:sz="0" w:space="0" w:color="auto"/>
        <w:left w:val="none" w:sz="0" w:space="0" w:color="auto"/>
        <w:bottom w:val="none" w:sz="0" w:space="0" w:color="auto"/>
        <w:right w:val="none" w:sz="0" w:space="0" w:color="auto"/>
      </w:divBdr>
    </w:div>
    <w:div w:id="898634632">
      <w:bodyDiv w:val="1"/>
      <w:marLeft w:val="0"/>
      <w:marRight w:val="0"/>
      <w:marTop w:val="0"/>
      <w:marBottom w:val="0"/>
      <w:divBdr>
        <w:top w:val="none" w:sz="0" w:space="0" w:color="auto"/>
        <w:left w:val="none" w:sz="0" w:space="0" w:color="auto"/>
        <w:bottom w:val="none" w:sz="0" w:space="0" w:color="auto"/>
        <w:right w:val="none" w:sz="0" w:space="0" w:color="auto"/>
      </w:divBdr>
    </w:div>
    <w:div w:id="898635654">
      <w:bodyDiv w:val="1"/>
      <w:marLeft w:val="0"/>
      <w:marRight w:val="0"/>
      <w:marTop w:val="0"/>
      <w:marBottom w:val="0"/>
      <w:divBdr>
        <w:top w:val="none" w:sz="0" w:space="0" w:color="auto"/>
        <w:left w:val="none" w:sz="0" w:space="0" w:color="auto"/>
        <w:bottom w:val="none" w:sz="0" w:space="0" w:color="auto"/>
        <w:right w:val="none" w:sz="0" w:space="0" w:color="auto"/>
      </w:divBdr>
    </w:div>
    <w:div w:id="898783505">
      <w:bodyDiv w:val="1"/>
      <w:marLeft w:val="0"/>
      <w:marRight w:val="0"/>
      <w:marTop w:val="0"/>
      <w:marBottom w:val="0"/>
      <w:divBdr>
        <w:top w:val="none" w:sz="0" w:space="0" w:color="auto"/>
        <w:left w:val="none" w:sz="0" w:space="0" w:color="auto"/>
        <w:bottom w:val="none" w:sz="0" w:space="0" w:color="auto"/>
        <w:right w:val="none" w:sz="0" w:space="0" w:color="auto"/>
      </w:divBdr>
    </w:div>
    <w:div w:id="898788292">
      <w:bodyDiv w:val="1"/>
      <w:marLeft w:val="0"/>
      <w:marRight w:val="0"/>
      <w:marTop w:val="0"/>
      <w:marBottom w:val="0"/>
      <w:divBdr>
        <w:top w:val="none" w:sz="0" w:space="0" w:color="auto"/>
        <w:left w:val="none" w:sz="0" w:space="0" w:color="auto"/>
        <w:bottom w:val="none" w:sz="0" w:space="0" w:color="auto"/>
        <w:right w:val="none" w:sz="0" w:space="0" w:color="auto"/>
      </w:divBdr>
    </w:div>
    <w:div w:id="898830378">
      <w:bodyDiv w:val="1"/>
      <w:marLeft w:val="0"/>
      <w:marRight w:val="0"/>
      <w:marTop w:val="0"/>
      <w:marBottom w:val="0"/>
      <w:divBdr>
        <w:top w:val="none" w:sz="0" w:space="0" w:color="auto"/>
        <w:left w:val="none" w:sz="0" w:space="0" w:color="auto"/>
        <w:bottom w:val="none" w:sz="0" w:space="0" w:color="auto"/>
        <w:right w:val="none" w:sz="0" w:space="0" w:color="auto"/>
      </w:divBdr>
    </w:div>
    <w:div w:id="899023508">
      <w:bodyDiv w:val="1"/>
      <w:marLeft w:val="0"/>
      <w:marRight w:val="0"/>
      <w:marTop w:val="0"/>
      <w:marBottom w:val="0"/>
      <w:divBdr>
        <w:top w:val="none" w:sz="0" w:space="0" w:color="auto"/>
        <w:left w:val="none" w:sz="0" w:space="0" w:color="auto"/>
        <w:bottom w:val="none" w:sz="0" w:space="0" w:color="auto"/>
        <w:right w:val="none" w:sz="0" w:space="0" w:color="auto"/>
      </w:divBdr>
    </w:div>
    <w:div w:id="899173142">
      <w:bodyDiv w:val="1"/>
      <w:marLeft w:val="0"/>
      <w:marRight w:val="0"/>
      <w:marTop w:val="0"/>
      <w:marBottom w:val="0"/>
      <w:divBdr>
        <w:top w:val="none" w:sz="0" w:space="0" w:color="auto"/>
        <w:left w:val="none" w:sz="0" w:space="0" w:color="auto"/>
        <w:bottom w:val="none" w:sz="0" w:space="0" w:color="auto"/>
        <w:right w:val="none" w:sz="0" w:space="0" w:color="auto"/>
      </w:divBdr>
    </w:div>
    <w:div w:id="899513611">
      <w:bodyDiv w:val="1"/>
      <w:marLeft w:val="0"/>
      <w:marRight w:val="0"/>
      <w:marTop w:val="0"/>
      <w:marBottom w:val="0"/>
      <w:divBdr>
        <w:top w:val="none" w:sz="0" w:space="0" w:color="auto"/>
        <w:left w:val="none" w:sz="0" w:space="0" w:color="auto"/>
        <w:bottom w:val="none" w:sz="0" w:space="0" w:color="auto"/>
        <w:right w:val="none" w:sz="0" w:space="0" w:color="auto"/>
      </w:divBdr>
    </w:div>
    <w:div w:id="899707920">
      <w:bodyDiv w:val="1"/>
      <w:marLeft w:val="0"/>
      <w:marRight w:val="0"/>
      <w:marTop w:val="0"/>
      <w:marBottom w:val="0"/>
      <w:divBdr>
        <w:top w:val="none" w:sz="0" w:space="0" w:color="auto"/>
        <w:left w:val="none" w:sz="0" w:space="0" w:color="auto"/>
        <w:bottom w:val="none" w:sz="0" w:space="0" w:color="auto"/>
        <w:right w:val="none" w:sz="0" w:space="0" w:color="auto"/>
      </w:divBdr>
    </w:div>
    <w:div w:id="899831550">
      <w:bodyDiv w:val="1"/>
      <w:marLeft w:val="0"/>
      <w:marRight w:val="0"/>
      <w:marTop w:val="0"/>
      <w:marBottom w:val="0"/>
      <w:divBdr>
        <w:top w:val="none" w:sz="0" w:space="0" w:color="auto"/>
        <w:left w:val="none" w:sz="0" w:space="0" w:color="auto"/>
        <w:bottom w:val="none" w:sz="0" w:space="0" w:color="auto"/>
        <w:right w:val="none" w:sz="0" w:space="0" w:color="auto"/>
      </w:divBdr>
    </w:div>
    <w:div w:id="899906506">
      <w:bodyDiv w:val="1"/>
      <w:marLeft w:val="0"/>
      <w:marRight w:val="0"/>
      <w:marTop w:val="0"/>
      <w:marBottom w:val="0"/>
      <w:divBdr>
        <w:top w:val="none" w:sz="0" w:space="0" w:color="auto"/>
        <w:left w:val="none" w:sz="0" w:space="0" w:color="auto"/>
        <w:bottom w:val="none" w:sz="0" w:space="0" w:color="auto"/>
        <w:right w:val="none" w:sz="0" w:space="0" w:color="auto"/>
      </w:divBdr>
    </w:div>
    <w:div w:id="900092513">
      <w:bodyDiv w:val="1"/>
      <w:marLeft w:val="0"/>
      <w:marRight w:val="0"/>
      <w:marTop w:val="0"/>
      <w:marBottom w:val="0"/>
      <w:divBdr>
        <w:top w:val="none" w:sz="0" w:space="0" w:color="auto"/>
        <w:left w:val="none" w:sz="0" w:space="0" w:color="auto"/>
        <w:bottom w:val="none" w:sz="0" w:space="0" w:color="auto"/>
        <w:right w:val="none" w:sz="0" w:space="0" w:color="auto"/>
      </w:divBdr>
    </w:div>
    <w:div w:id="900169570">
      <w:bodyDiv w:val="1"/>
      <w:marLeft w:val="0"/>
      <w:marRight w:val="0"/>
      <w:marTop w:val="0"/>
      <w:marBottom w:val="0"/>
      <w:divBdr>
        <w:top w:val="none" w:sz="0" w:space="0" w:color="auto"/>
        <w:left w:val="none" w:sz="0" w:space="0" w:color="auto"/>
        <w:bottom w:val="none" w:sz="0" w:space="0" w:color="auto"/>
        <w:right w:val="none" w:sz="0" w:space="0" w:color="auto"/>
      </w:divBdr>
    </w:div>
    <w:div w:id="900212958">
      <w:bodyDiv w:val="1"/>
      <w:marLeft w:val="0"/>
      <w:marRight w:val="0"/>
      <w:marTop w:val="0"/>
      <w:marBottom w:val="0"/>
      <w:divBdr>
        <w:top w:val="none" w:sz="0" w:space="0" w:color="auto"/>
        <w:left w:val="none" w:sz="0" w:space="0" w:color="auto"/>
        <w:bottom w:val="none" w:sz="0" w:space="0" w:color="auto"/>
        <w:right w:val="none" w:sz="0" w:space="0" w:color="auto"/>
      </w:divBdr>
    </w:div>
    <w:div w:id="900361389">
      <w:bodyDiv w:val="1"/>
      <w:marLeft w:val="0"/>
      <w:marRight w:val="0"/>
      <w:marTop w:val="0"/>
      <w:marBottom w:val="0"/>
      <w:divBdr>
        <w:top w:val="none" w:sz="0" w:space="0" w:color="auto"/>
        <w:left w:val="none" w:sz="0" w:space="0" w:color="auto"/>
        <w:bottom w:val="none" w:sz="0" w:space="0" w:color="auto"/>
        <w:right w:val="none" w:sz="0" w:space="0" w:color="auto"/>
      </w:divBdr>
    </w:div>
    <w:div w:id="900942674">
      <w:bodyDiv w:val="1"/>
      <w:marLeft w:val="0"/>
      <w:marRight w:val="0"/>
      <w:marTop w:val="0"/>
      <w:marBottom w:val="0"/>
      <w:divBdr>
        <w:top w:val="none" w:sz="0" w:space="0" w:color="auto"/>
        <w:left w:val="none" w:sz="0" w:space="0" w:color="auto"/>
        <w:bottom w:val="none" w:sz="0" w:space="0" w:color="auto"/>
        <w:right w:val="none" w:sz="0" w:space="0" w:color="auto"/>
      </w:divBdr>
    </w:div>
    <w:div w:id="901257246">
      <w:bodyDiv w:val="1"/>
      <w:marLeft w:val="0"/>
      <w:marRight w:val="0"/>
      <w:marTop w:val="0"/>
      <w:marBottom w:val="0"/>
      <w:divBdr>
        <w:top w:val="none" w:sz="0" w:space="0" w:color="auto"/>
        <w:left w:val="none" w:sz="0" w:space="0" w:color="auto"/>
        <w:bottom w:val="none" w:sz="0" w:space="0" w:color="auto"/>
        <w:right w:val="none" w:sz="0" w:space="0" w:color="auto"/>
      </w:divBdr>
    </w:div>
    <w:div w:id="901597173">
      <w:bodyDiv w:val="1"/>
      <w:marLeft w:val="0"/>
      <w:marRight w:val="0"/>
      <w:marTop w:val="0"/>
      <w:marBottom w:val="0"/>
      <w:divBdr>
        <w:top w:val="none" w:sz="0" w:space="0" w:color="auto"/>
        <w:left w:val="none" w:sz="0" w:space="0" w:color="auto"/>
        <w:bottom w:val="none" w:sz="0" w:space="0" w:color="auto"/>
        <w:right w:val="none" w:sz="0" w:space="0" w:color="auto"/>
      </w:divBdr>
    </w:div>
    <w:div w:id="901714851">
      <w:bodyDiv w:val="1"/>
      <w:marLeft w:val="0"/>
      <w:marRight w:val="0"/>
      <w:marTop w:val="0"/>
      <w:marBottom w:val="0"/>
      <w:divBdr>
        <w:top w:val="none" w:sz="0" w:space="0" w:color="auto"/>
        <w:left w:val="none" w:sz="0" w:space="0" w:color="auto"/>
        <w:bottom w:val="none" w:sz="0" w:space="0" w:color="auto"/>
        <w:right w:val="none" w:sz="0" w:space="0" w:color="auto"/>
      </w:divBdr>
    </w:div>
    <w:div w:id="901989122">
      <w:bodyDiv w:val="1"/>
      <w:marLeft w:val="0"/>
      <w:marRight w:val="0"/>
      <w:marTop w:val="0"/>
      <w:marBottom w:val="0"/>
      <w:divBdr>
        <w:top w:val="none" w:sz="0" w:space="0" w:color="auto"/>
        <w:left w:val="none" w:sz="0" w:space="0" w:color="auto"/>
        <w:bottom w:val="none" w:sz="0" w:space="0" w:color="auto"/>
        <w:right w:val="none" w:sz="0" w:space="0" w:color="auto"/>
      </w:divBdr>
    </w:div>
    <w:div w:id="902332378">
      <w:bodyDiv w:val="1"/>
      <w:marLeft w:val="0"/>
      <w:marRight w:val="0"/>
      <w:marTop w:val="0"/>
      <w:marBottom w:val="0"/>
      <w:divBdr>
        <w:top w:val="none" w:sz="0" w:space="0" w:color="auto"/>
        <w:left w:val="none" w:sz="0" w:space="0" w:color="auto"/>
        <w:bottom w:val="none" w:sz="0" w:space="0" w:color="auto"/>
        <w:right w:val="none" w:sz="0" w:space="0" w:color="auto"/>
      </w:divBdr>
    </w:div>
    <w:div w:id="902566384">
      <w:bodyDiv w:val="1"/>
      <w:marLeft w:val="0"/>
      <w:marRight w:val="0"/>
      <w:marTop w:val="0"/>
      <w:marBottom w:val="0"/>
      <w:divBdr>
        <w:top w:val="none" w:sz="0" w:space="0" w:color="auto"/>
        <w:left w:val="none" w:sz="0" w:space="0" w:color="auto"/>
        <w:bottom w:val="none" w:sz="0" w:space="0" w:color="auto"/>
        <w:right w:val="none" w:sz="0" w:space="0" w:color="auto"/>
      </w:divBdr>
    </w:div>
    <w:div w:id="903299175">
      <w:bodyDiv w:val="1"/>
      <w:marLeft w:val="0"/>
      <w:marRight w:val="0"/>
      <w:marTop w:val="0"/>
      <w:marBottom w:val="0"/>
      <w:divBdr>
        <w:top w:val="none" w:sz="0" w:space="0" w:color="auto"/>
        <w:left w:val="none" w:sz="0" w:space="0" w:color="auto"/>
        <w:bottom w:val="none" w:sz="0" w:space="0" w:color="auto"/>
        <w:right w:val="none" w:sz="0" w:space="0" w:color="auto"/>
      </w:divBdr>
    </w:div>
    <w:div w:id="903300185">
      <w:bodyDiv w:val="1"/>
      <w:marLeft w:val="0"/>
      <w:marRight w:val="0"/>
      <w:marTop w:val="0"/>
      <w:marBottom w:val="0"/>
      <w:divBdr>
        <w:top w:val="none" w:sz="0" w:space="0" w:color="auto"/>
        <w:left w:val="none" w:sz="0" w:space="0" w:color="auto"/>
        <w:bottom w:val="none" w:sz="0" w:space="0" w:color="auto"/>
        <w:right w:val="none" w:sz="0" w:space="0" w:color="auto"/>
      </w:divBdr>
    </w:div>
    <w:div w:id="903495089">
      <w:bodyDiv w:val="1"/>
      <w:marLeft w:val="0"/>
      <w:marRight w:val="0"/>
      <w:marTop w:val="0"/>
      <w:marBottom w:val="0"/>
      <w:divBdr>
        <w:top w:val="none" w:sz="0" w:space="0" w:color="auto"/>
        <w:left w:val="none" w:sz="0" w:space="0" w:color="auto"/>
        <w:bottom w:val="none" w:sz="0" w:space="0" w:color="auto"/>
        <w:right w:val="none" w:sz="0" w:space="0" w:color="auto"/>
      </w:divBdr>
    </w:div>
    <w:div w:id="903564099">
      <w:bodyDiv w:val="1"/>
      <w:marLeft w:val="0"/>
      <w:marRight w:val="0"/>
      <w:marTop w:val="0"/>
      <w:marBottom w:val="0"/>
      <w:divBdr>
        <w:top w:val="none" w:sz="0" w:space="0" w:color="auto"/>
        <w:left w:val="none" w:sz="0" w:space="0" w:color="auto"/>
        <w:bottom w:val="none" w:sz="0" w:space="0" w:color="auto"/>
        <w:right w:val="none" w:sz="0" w:space="0" w:color="auto"/>
      </w:divBdr>
    </w:div>
    <w:div w:id="903564471">
      <w:bodyDiv w:val="1"/>
      <w:marLeft w:val="0"/>
      <w:marRight w:val="0"/>
      <w:marTop w:val="0"/>
      <w:marBottom w:val="0"/>
      <w:divBdr>
        <w:top w:val="none" w:sz="0" w:space="0" w:color="auto"/>
        <w:left w:val="none" w:sz="0" w:space="0" w:color="auto"/>
        <w:bottom w:val="none" w:sz="0" w:space="0" w:color="auto"/>
        <w:right w:val="none" w:sz="0" w:space="0" w:color="auto"/>
      </w:divBdr>
    </w:div>
    <w:div w:id="903683349">
      <w:bodyDiv w:val="1"/>
      <w:marLeft w:val="0"/>
      <w:marRight w:val="0"/>
      <w:marTop w:val="0"/>
      <w:marBottom w:val="0"/>
      <w:divBdr>
        <w:top w:val="none" w:sz="0" w:space="0" w:color="auto"/>
        <w:left w:val="none" w:sz="0" w:space="0" w:color="auto"/>
        <w:bottom w:val="none" w:sz="0" w:space="0" w:color="auto"/>
        <w:right w:val="none" w:sz="0" w:space="0" w:color="auto"/>
      </w:divBdr>
    </w:div>
    <w:div w:id="903755906">
      <w:bodyDiv w:val="1"/>
      <w:marLeft w:val="0"/>
      <w:marRight w:val="0"/>
      <w:marTop w:val="0"/>
      <w:marBottom w:val="0"/>
      <w:divBdr>
        <w:top w:val="none" w:sz="0" w:space="0" w:color="auto"/>
        <w:left w:val="none" w:sz="0" w:space="0" w:color="auto"/>
        <w:bottom w:val="none" w:sz="0" w:space="0" w:color="auto"/>
        <w:right w:val="none" w:sz="0" w:space="0" w:color="auto"/>
      </w:divBdr>
    </w:div>
    <w:div w:id="903879844">
      <w:bodyDiv w:val="1"/>
      <w:marLeft w:val="0"/>
      <w:marRight w:val="0"/>
      <w:marTop w:val="0"/>
      <w:marBottom w:val="0"/>
      <w:divBdr>
        <w:top w:val="none" w:sz="0" w:space="0" w:color="auto"/>
        <w:left w:val="none" w:sz="0" w:space="0" w:color="auto"/>
        <w:bottom w:val="none" w:sz="0" w:space="0" w:color="auto"/>
        <w:right w:val="none" w:sz="0" w:space="0" w:color="auto"/>
      </w:divBdr>
    </w:div>
    <w:div w:id="903948241">
      <w:bodyDiv w:val="1"/>
      <w:marLeft w:val="0"/>
      <w:marRight w:val="0"/>
      <w:marTop w:val="0"/>
      <w:marBottom w:val="0"/>
      <w:divBdr>
        <w:top w:val="none" w:sz="0" w:space="0" w:color="auto"/>
        <w:left w:val="none" w:sz="0" w:space="0" w:color="auto"/>
        <w:bottom w:val="none" w:sz="0" w:space="0" w:color="auto"/>
        <w:right w:val="none" w:sz="0" w:space="0" w:color="auto"/>
      </w:divBdr>
    </w:div>
    <w:div w:id="904025538">
      <w:bodyDiv w:val="1"/>
      <w:marLeft w:val="0"/>
      <w:marRight w:val="0"/>
      <w:marTop w:val="0"/>
      <w:marBottom w:val="0"/>
      <w:divBdr>
        <w:top w:val="none" w:sz="0" w:space="0" w:color="auto"/>
        <w:left w:val="none" w:sz="0" w:space="0" w:color="auto"/>
        <w:bottom w:val="none" w:sz="0" w:space="0" w:color="auto"/>
        <w:right w:val="none" w:sz="0" w:space="0" w:color="auto"/>
      </w:divBdr>
    </w:div>
    <w:div w:id="904145314">
      <w:bodyDiv w:val="1"/>
      <w:marLeft w:val="0"/>
      <w:marRight w:val="0"/>
      <w:marTop w:val="0"/>
      <w:marBottom w:val="0"/>
      <w:divBdr>
        <w:top w:val="none" w:sz="0" w:space="0" w:color="auto"/>
        <w:left w:val="none" w:sz="0" w:space="0" w:color="auto"/>
        <w:bottom w:val="none" w:sz="0" w:space="0" w:color="auto"/>
        <w:right w:val="none" w:sz="0" w:space="0" w:color="auto"/>
      </w:divBdr>
    </w:div>
    <w:div w:id="904724495">
      <w:bodyDiv w:val="1"/>
      <w:marLeft w:val="0"/>
      <w:marRight w:val="0"/>
      <w:marTop w:val="0"/>
      <w:marBottom w:val="0"/>
      <w:divBdr>
        <w:top w:val="none" w:sz="0" w:space="0" w:color="auto"/>
        <w:left w:val="none" w:sz="0" w:space="0" w:color="auto"/>
        <w:bottom w:val="none" w:sz="0" w:space="0" w:color="auto"/>
        <w:right w:val="none" w:sz="0" w:space="0" w:color="auto"/>
      </w:divBdr>
    </w:div>
    <w:div w:id="904804245">
      <w:bodyDiv w:val="1"/>
      <w:marLeft w:val="0"/>
      <w:marRight w:val="0"/>
      <w:marTop w:val="0"/>
      <w:marBottom w:val="0"/>
      <w:divBdr>
        <w:top w:val="none" w:sz="0" w:space="0" w:color="auto"/>
        <w:left w:val="none" w:sz="0" w:space="0" w:color="auto"/>
        <w:bottom w:val="none" w:sz="0" w:space="0" w:color="auto"/>
        <w:right w:val="none" w:sz="0" w:space="0" w:color="auto"/>
      </w:divBdr>
    </w:div>
    <w:div w:id="905267125">
      <w:bodyDiv w:val="1"/>
      <w:marLeft w:val="0"/>
      <w:marRight w:val="0"/>
      <w:marTop w:val="0"/>
      <w:marBottom w:val="0"/>
      <w:divBdr>
        <w:top w:val="none" w:sz="0" w:space="0" w:color="auto"/>
        <w:left w:val="none" w:sz="0" w:space="0" w:color="auto"/>
        <w:bottom w:val="none" w:sz="0" w:space="0" w:color="auto"/>
        <w:right w:val="none" w:sz="0" w:space="0" w:color="auto"/>
      </w:divBdr>
    </w:div>
    <w:div w:id="905333607">
      <w:bodyDiv w:val="1"/>
      <w:marLeft w:val="0"/>
      <w:marRight w:val="0"/>
      <w:marTop w:val="0"/>
      <w:marBottom w:val="0"/>
      <w:divBdr>
        <w:top w:val="none" w:sz="0" w:space="0" w:color="auto"/>
        <w:left w:val="none" w:sz="0" w:space="0" w:color="auto"/>
        <w:bottom w:val="none" w:sz="0" w:space="0" w:color="auto"/>
        <w:right w:val="none" w:sz="0" w:space="0" w:color="auto"/>
      </w:divBdr>
    </w:div>
    <w:div w:id="905333909">
      <w:bodyDiv w:val="1"/>
      <w:marLeft w:val="0"/>
      <w:marRight w:val="0"/>
      <w:marTop w:val="0"/>
      <w:marBottom w:val="0"/>
      <w:divBdr>
        <w:top w:val="none" w:sz="0" w:space="0" w:color="auto"/>
        <w:left w:val="none" w:sz="0" w:space="0" w:color="auto"/>
        <w:bottom w:val="none" w:sz="0" w:space="0" w:color="auto"/>
        <w:right w:val="none" w:sz="0" w:space="0" w:color="auto"/>
      </w:divBdr>
    </w:div>
    <w:div w:id="905803980">
      <w:bodyDiv w:val="1"/>
      <w:marLeft w:val="0"/>
      <w:marRight w:val="0"/>
      <w:marTop w:val="0"/>
      <w:marBottom w:val="0"/>
      <w:divBdr>
        <w:top w:val="none" w:sz="0" w:space="0" w:color="auto"/>
        <w:left w:val="none" w:sz="0" w:space="0" w:color="auto"/>
        <w:bottom w:val="none" w:sz="0" w:space="0" w:color="auto"/>
        <w:right w:val="none" w:sz="0" w:space="0" w:color="auto"/>
      </w:divBdr>
    </w:div>
    <w:div w:id="905919459">
      <w:bodyDiv w:val="1"/>
      <w:marLeft w:val="0"/>
      <w:marRight w:val="0"/>
      <w:marTop w:val="0"/>
      <w:marBottom w:val="0"/>
      <w:divBdr>
        <w:top w:val="none" w:sz="0" w:space="0" w:color="auto"/>
        <w:left w:val="none" w:sz="0" w:space="0" w:color="auto"/>
        <w:bottom w:val="none" w:sz="0" w:space="0" w:color="auto"/>
        <w:right w:val="none" w:sz="0" w:space="0" w:color="auto"/>
      </w:divBdr>
    </w:div>
    <w:div w:id="905920164">
      <w:bodyDiv w:val="1"/>
      <w:marLeft w:val="0"/>
      <w:marRight w:val="0"/>
      <w:marTop w:val="0"/>
      <w:marBottom w:val="0"/>
      <w:divBdr>
        <w:top w:val="none" w:sz="0" w:space="0" w:color="auto"/>
        <w:left w:val="none" w:sz="0" w:space="0" w:color="auto"/>
        <w:bottom w:val="none" w:sz="0" w:space="0" w:color="auto"/>
        <w:right w:val="none" w:sz="0" w:space="0" w:color="auto"/>
      </w:divBdr>
    </w:div>
    <w:div w:id="906110119">
      <w:bodyDiv w:val="1"/>
      <w:marLeft w:val="0"/>
      <w:marRight w:val="0"/>
      <w:marTop w:val="0"/>
      <w:marBottom w:val="0"/>
      <w:divBdr>
        <w:top w:val="none" w:sz="0" w:space="0" w:color="auto"/>
        <w:left w:val="none" w:sz="0" w:space="0" w:color="auto"/>
        <w:bottom w:val="none" w:sz="0" w:space="0" w:color="auto"/>
        <w:right w:val="none" w:sz="0" w:space="0" w:color="auto"/>
      </w:divBdr>
    </w:div>
    <w:div w:id="906184875">
      <w:bodyDiv w:val="1"/>
      <w:marLeft w:val="0"/>
      <w:marRight w:val="0"/>
      <w:marTop w:val="0"/>
      <w:marBottom w:val="0"/>
      <w:divBdr>
        <w:top w:val="none" w:sz="0" w:space="0" w:color="auto"/>
        <w:left w:val="none" w:sz="0" w:space="0" w:color="auto"/>
        <w:bottom w:val="none" w:sz="0" w:space="0" w:color="auto"/>
        <w:right w:val="none" w:sz="0" w:space="0" w:color="auto"/>
      </w:divBdr>
    </w:div>
    <w:div w:id="906302558">
      <w:bodyDiv w:val="1"/>
      <w:marLeft w:val="0"/>
      <w:marRight w:val="0"/>
      <w:marTop w:val="0"/>
      <w:marBottom w:val="0"/>
      <w:divBdr>
        <w:top w:val="none" w:sz="0" w:space="0" w:color="auto"/>
        <w:left w:val="none" w:sz="0" w:space="0" w:color="auto"/>
        <w:bottom w:val="none" w:sz="0" w:space="0" w:color="auto"/>
        <w:right w:val="none" w:sz="0" w:space="0" w:color="auto"/>
      </w:divBdr>
    </w:div>
    <w:div w:id="906306640">
      <w:bodyDiv w:val="1"/>
      <w:marLeft w:val="0"/>
      <w:marRight w:val="0"/>
      <w:marTop w:val="0"/>
      <w:marBottom w:val="0"/>
      <w:divBdr>
        <w:top w:val="none" w:sz="0" w:space="0" w:color="auto"/>
        <w:left w:val="none" w:sz="0" w:space="0" w:color="auto"/>
        <w:bottom w:val="none" w:sz="0" w:space="0" w:color="auto"/>
        <w:right w:val="none" w:sz="0" w:space="0" w:color="auto"/>
      </w:divBdr>
    </w:div>
    <w:div w:id="906452855">
      <w:bodyDiv w:val="1"/>
      <w:marLeft w:val="0"/>
      <w:marRight w:val="0"/>
      <w:marTop w:val="0"/>
      <w:marBottom w:val="0"/>
      <w:divBdr>
        <w:top w:val="none" w:sz="0" w:space="0" w:color="auto"/>
        <w:left w:val="none" w:sz="0" w:space="0" w:color="auto"/>
        <w:bottom w:val="none" w:sz="0" w:space="0" w:color="auto"/>
        <w:right w:val="none" w:sz="0" w:space="0" w:color="auto"/>
      </w:divBdr>
    </w:div>
    <w:div w:id="906459246">
      <w:bodyDiv w:val="1"/>
      <w:marLeft w:val="0"/>
      <w:marRight w:val="0"/>
      <w:marTop w:val="0"/>
      <w:marBottom w:val="0"/>
      <w:divBdr>
        <w:top w:val="none" w:sz="0" w:space="0" w:color="auto"/>
        <w:left w:val="none" w:sz="0" w:space="0" w:color="auto"/>
        <w:bottom w:val="none" w:sz="0" w:space="0" w:color="auto"/>
        <w:right w:val="none" w:sz="0" w:space="0" w:color="auto"/>
      </w:divBdr>
    </w:div>
    <w:div w:id="906459437">
      <w:bodyDiv w:val="1"/>
      <w:marLeft w:val="0"/>
      <w:marRight w:val="0"/>
      <w:marTop w:val="0"/>
      <w:marBottom w:val="0"/>
      <w:divBdr>
        <w:top w:val="none" w:sz="0" w:space="0" w:color="auto"/>
        <w:left w:val="none" w:sz="0" w:space="0" w:color="auto"/>
        <w:bottom w:val="none" w:sz="0" w:space="0" w:color="auto"/>
        <w:right w:val="none" w:sz="0" w:space="0" w:color="auto"/>
      </w:divBdr>
    </w:div>
    <w:div w:id="906842788">
      <w:bodyDiv w:val="1"/>
      <w:marLeft w:val="0"/>
      <w:marRight w:val="0"/>
      <w:marTop w:val="0"/>
      <w:marBottom w:val="0"/>
      <w:divBdr>
        <w:top w:val="none" w:sz="0" w:space="0" w:color="auto"/>
        <w:left w:val="none" w:sz="0" w:space="0" w:color="auto"/>
        <w:bottom w:val="none" w:sz="0" w:space="0" w:color="auto"/>
        <w:right w:val="none" w:sz="0" w:space="0" w:color="auto"/>
      </w:divBdr>
    </w:div>
    <w:div w:id="906844573">
      <w:bodyDiv w:val="1"/>
      <w:marLeft w:val="0"/>
      <w:marRight w:val="0"/>
      <w:marTop w:val="0"/>
      <w:marBottom w:val="0"/>
      <w:divBdr>
        <w:top w:val="none" w:sz="0" w:space="0" w:color="auto"/>
        <w:left w:val="none" w:sz="0" w:space="0" w:color="auto"/>
        <w:bottom w:val="none" w:sz="0" w:space="0" w:color="auto"/>
        <w:right w:val="none" w:sz="0" w:space="0" w:color="auto"/>
      </w:divBdr>
    </w:div>
    <w:div w:id="906919640">
      <w:bodyDiv w:val="1"/>
      <w:marLeft w:val="0"/>
      <w:marRight w:val="0"/>
      <w:marTop w:val="0"/>
      <w:marBottom w:val="0"/>
      <w:divBdr>
        <w:top w:val="none" w:sz="0" w:space="0" w:color="auto"/>
        <w:left w:val="none" w:sz="0" w:space="0" w:color="auto"/>
        <w:bottom w:val="none" w:sz="0" w:space="0" w:color="auto"/>
        <w:right w:val="none" w:sz="0" w:space="0" w:color="auto"/>
      </w:divBdr>
    </w:div>
    <w:div w:id="906962790">
      <w:bodyDiv w:val="1"/>
      <w:marLeft w:val="0"/>
      <w:marRight w:val="0"/>
      <w:marTop w:val="0"/>
      <w:marBottom w:val="0"/>
      <w:divBdr>
        <w:top w:val="none" w:sz="0" w:space="0" w:color="auto"/>
        <w:left w:val="none" w:sz="0" w:space="0" w:color="auto"/>
        <w:bottom w:val="none" w:sz="0" w:space="0" w:color="auto"/>
        <w:right w:val="none" w:sz="0" w:space="0" w:color="auto"/>
      </w:divBdr>
    </w:div>
    <w:div w:id="907153159">
      <w:bodyDiv w:val="1"/>
      <w:marLeft w:val="0"/>
      <w:marRight w:val="0"/>
      <w:marTop w:val="0"/>
      <w:marBottom w:val="0"/>
      <w:divBdr>
        <w:top w:val="none" w:sz="0" w:space="0" w:color="auto"/>
        <w:left w:val="none" w:sz="0" w:space="0" w:color="auto"/>
        <w:bottom w:val="none" w:sz="0" w:space="0" w:color="auto"/>
        <w:right w:val="none" w:sz="0" w:space="0" w:color="auto"/>
      </w:divBdr>
    </w:div>
    <w:div w:id="907225095">
      <w:bodyDiv w:val="1"/>
      <w:marLeft w:val="0"/>
      <w:marRight w:val="0"/>
      <w:marTop w:val="0"/>
      <w:marBottom w:val="0"/>
      <w:divBdr>
        <w:top w:val="none" w:sz="0" w:space="0" w:color="auto"/>
        <w:left w:val="none" w:sz="0" w:space="0" w:color="auto"/>
        <w:bottom w:val="none" w:sz="0" w:space="0" w:color="auto"/>
        <w:right w:val="none" w:sz="0" w:space="0" w:color="auto"/>
      </w:divBdr>
    </w:div>
    <w:div w:id="907611384">
      <w:bodyDiv w:val="1"/>
      <w:marLeft w:val="0"/>
      <w:marRight w:val="0"/>
      <w:marTop w:val="0"/>
      <w:marBottom w:val="0"/>
      <w:divBdr>
        <w:top w:val="none" w:sz="0" w:space="0" w:color="auto"/>
        <w:left w:val="none" w:sz="0" w:space="0" w:color="auto"/>
        <w:bottom w:val="none" w:sz="0" w:space="0" w:color="auto"/>
        <w:right w:val="none" w:sz="0" w:space="0" w:color="auto"/>
      </w:divBdr>
    </w:div>
    <w:div w:id="907689226">
      <w:bodyDiv w:val="1"/>
      <w:marLeft w:val="0"/>
      <w:marRight w:val="0"/>
      <w:marTop w:val="0"/>
      <w:marBottom w:val="0"/>
      <w:divBdr>
        <w:top w:val="none" w:sz="0" w:space="0" w:color="auto"/>
        <w:left w:val="none" w:sz="0" w:space="0" w:color="auto"/>
        <w:bottom w:val="none" w:sz="0" w:space="0" w:color="auto"/>
        <w:right w:val="none" w:sz="0" w:space="0" w:color="auto"/>
      </w:divBdr>
    </w:div>
    <w:div w:id="908003438">
      <w:bodyDiv w:val="1"/>
      <w:marLeft w:val="0"/>
      <w:marRight w:val="0"/>
      <w:marTop w:val="0"/>
      <w:marBottom w:val="0"/>
      <w:divBdr>
        <w:top w:val="none" w:sz="0" w:space="0" w:color="auto"/>
        <w:left w:val="none" w:sz="0" w:space="0" w:color="auto"/>
        <w:bottom w:val="none" w:sz="0" w:space="0" w:color="auto"/>
        <w:right w:val="none" w:sz="0" w:space="0" w:color="auto"/>
      </w:divBdr>
    </w:div>
    <w:div w:id="908467779">
      <w:bodyDiv w:val="1"/>
      <w:marLeft w:val="0"/>
      <w:marRight w:val="0"/>
      <w:marTop w:val="0"/>
      <w:marBottom w:val="0"/>
      <w:divBdr>
        <w:top w:val="none" w:sz="0" w:space="0" w:color="auto"/>
        <w:left w:val="none" w:sz="0" w:space="0" w:color="auto"/>
        <w:bottom w:val="none" w:sz="0" w:space="0" w:color="auto"/>
        <w:right w:val="none" w:sz="0" w:space="0" w:color="auto"/>
      </w:divBdr>
    </w:div>
    <w:div w:id="908468413">
      <w:bodyDiv w:val="1"/>
      <w:marLeft w:val="0"/>
      <w:marRight w:val="0"/>
      <w:marTop w:val="0"/>
      <w:marBottom w:val="0"/>
      <w:divBdr>
        <w:top w:val="none" w:sz="0" w:space="0" w:color="auto"/>
        <w:left w:val="none" w:sz="0" w:space="0" w:color="auto"/>
        <w:bottom w:val="none" w:sz="0" w:space="0" w:color="auto"/>
        <w:right w:val="none" w:sz="0" w:space="0" w:color="auto"/>
      </w:divBdr>
    </w:div>
    <w:div w:id="908881085">
      <w:bodyDiv w:val="1"/>
      <w:marLeft w:val="0"/>
      <w:marRight w:val="0"/>
      <w:marTop w:val="0"/>
      <w:marBottom w:val="0"/>
      <w:divBdr>
        <w:top w:val="none" w:sz="0" w:space="0" w:color="auto"/>
        <w:left w:val="none" w:sz="0" w:space="0" w:color="auto"/>
        <w:bottom w:val="none" w:sz="0" w:space="0" w:color="auto"/>
        <w:right w:val="none" w:sz="0" w:space="0" w:color="auto"/>
      </w:divBdr>
    </w:div>
    <w:div w:id="909001340">
      <w:bodyDiv w:val="1"/>
      <w:marLeft w:val="0"/>
      <w:marRight w:val="0"/>
      <w:marTop w:val="0"/>
      <w:marBottom w:val="0"/>
      <w:divBdr>
        <w:top w:val="none" w:sz="0" w:space="0" w:color="auto"/>
        <w:left w:val="none" w:sz="0" w:space="0" w:color="auto"/>
        <w:bottom w:val="none" w:sz="0" w:space="0" w:color="auto"/>
        <w:right w:val="none" w:sz="0" w:space="0" w:color="auto"/>
      </w:divBdr>
    </w:div>
    <w:div w:id="909269188">
      <w:bodyDiv w:val="1"/>
      <w:marLeft w:val="0"/>
      <w:marRight w:val="0"/>
      <w:marTop w:val="0"/>
      <w:marBottom w:val="0"/>
      <w:divBdr>
        <w:top w:val="none" w:sz="0" w:space="0" w:color="auto"/>
        <w:left w:val="none" w:sz="0" w:space="0" w:color="auto"/>
        <w:bottom w:val="none" w:sz="0" w:space="0" w:color="auto"/>
        <w:right w:val="none" w:sz="0" w:space="0" w:color="auto"/>
      </w:divBdr>
    </w:div>
    <w:div w:id="909537911">
      <w:bodyDiv w:val="1"/>
      <w:marLeft w:val="0"/>
      <w:marRight w:val="0"/>
      <w:marTop w:val="0"/>
      <w:marBottom w:val="0"/>
      <w:divBdr>
        <w:top w:val="none" w:sz="0" w:space="0" w:color="auto"/>
        <w:left w:val="none" w:sz="0" w:space="0" w:color="auto"/>
        <w:bottom w:val="none" w:sz="0" w:space="0" w:color="auto"/>
        <w:right w:val="none" w:sz="0" w:space="0" w:color="auto"/>
      </w:divBdr>
    </w:div>
    <w:div w:id="909774148">
      <w:bodyDiv w:val="1"/>
      <w:marLeft w:val="0"/>
      <w:marRight w:val="0"/>
      <w:marTop w:val="0"/>
      <w:marBottom w:val="0"/>
      <w:divBdr>
        <w:top w:val="none" w:sz="0" w:space="0" w:color="auto"/>
        <w:left w:val="none" w:sz="0" w:space="0" w:color="auto"/>
        <w:bottom w:val="none" w:sz="0" w:space="0" w:color="auto"/>
        <w:right w:val="none" w:sz="0" w:space="0" w:color="auto"/>
      </w:divBdr>
    </w:div>
    <w:div w:id="909778935">
      <w:bodyDiv w:val="1"/>
      <w:marLeft w:val="0"/>
      <w:marRight w:val="0"/>
      <w:marTop w:val="0"/>
      <w:marBottom w:val="0"/>
      <w:divBdr>
        <w:top w:val="none" w:sz="0" w:space="0" w:color="auto"/>
        <w:left w:val="none" w:sz="0" w:space="0" w:color="auto"/>
        <w:bottom w:val="none" w:sz="0" w:space="0" w:color="auto"/>
        <w:right w:val="none" w:sz="0" w:space="0" w:color="auto"/>
      </w:divBdr>
    </w:div>
    <w:div w:id="909920605">
      <w:bodyDiv w:val="1"/>
      <w:marLeft w:val="0"/>
      <w:marRight w:val="0"/>
      <w:marTop w:val="0"/>
      <w:marBottom w:val="0"/>
      <w:divBdr>
        <w:top w:val="none" w:sz="0" w:space="0" w:color="auto"/>
        <w:left w:val="none" w:sz="0" w:space="0" w:color="auto"/>
        <w:bottom w:val="none" w:sz="0" w:space="0" w:color="auto"/>
        <w:right w:val="none" w:sz="0" w:space="0" w:color="auto"/>
      </w:divBdr>
    </w:div>
    <w:div w:id="909923079">
      <w:bodyDiv w:val="1"/>
      <w:marLeft w:val="0"/>
      <w:marRight w:val="0"/>
      <w:marTop w:val="0"/>
      <w:marBottom w:val="0"/>
      <w:divBdr>
        <w:top w:val="none" w:sz="0" w:space="0" w:color="auto"/>
        <w:left w:val="none" w:sz="0" w:space="0" w:color="auto"/>
        <w:bottom w:val="none" w:sz="0" w:space="0" w:color="auto"/>
        <w:right w:val="none" w:sz="0" w:space="0" w:color="auto"/>
      </w:divBdr>
    </w:div>
    <w:div w:id="909997809">
      <w:bodyDiv w:val="1"/>
      <w:marLeft w:val="0"/>
      <w:marRight w:val="0"/>
      <w:marTop w:val="0"/>
      <w:marBottom w:val="0"/>
      <w:divBdr>
        <w:top w:val="none" w:sz="0" w:space="0" w:color="auto"/>
        <w:left w:val="none" w:sz="0" w:space="0" w:color="auto"/>
        <w:bottom w:val="none" w:sz="0" w:space="0" w:color="auto"/>
        <w:right w:val="none" w:sz="0" w:space="0" w:color="auto"/>
      </w:divBdr>
    </w:div>
    <w:div w:id="910041928">
      <w:bodyDiv w:val="1"/>
      <w:marLeft w:val="0"/>
      <w:marRight w:val="0"/>
      <w:marTop w:val="0"/>
      <w:marBottom w:val="0"/>
      <w:divBdr>
        <w:top w:val="none" w:sz="0" w:space="0" w:color="auto"/>
        <w:left w:val="none" w:sz="0" w:space="0" w:color="auto"/>
        <w:bottom w:val="none" w:sz="0" w:space="0" w:color="auto"/>
        <w:right w:val="none" w:sz="0" w:space="0" w:color="auto"/>
      </w:divBdr>
    </w:div>
    <w:div w:id="910117844">
      <w:bodyDiv w:val="1"/>
      <w:marLeft w:val="0"/>
      <w:marRight w:val="0"/>
      <w:marTop w:val="0"/>
      <w:marBottom w:val="0"/>
      <w:divBdr>
        <w:top w:val="none" w:sz="0" w:space="0" w:color="auto"/>
        <w:left w:val="none" w:sz="0" w:space="0" w:color="auto"/>
        <w:bottom w:val="none" w:sz="0" w:space="0" w:color="auto"/>
        <w:right w:val="none" w:sz="0" w:space="0" w:color="auto"/>
      </w:divBdr>
    </w:div>
    <w:div w:id="910312239">
      <w:bodyDiv w:val="1"/>
      <w:marLeft w:val="0"/>
      <w:marRight w:val="0"/>
      <w:marTop w:val="0"/>
      <w:marBottom w:val="0"/>
      <w:divBdr>
        <w:top w:val="none" w:sz="0" w:space="0" w:color="auto"/>
        <w:left w:val="none" w:sz="0" w:space="0" w:color="auto"/>
        <w:bottom w:val="none" w:sz="0" w:space="0" w:color="auto"/>
        <w:right w:val="none" w:sz="0" w:space="0" w:color="auto"/>
      </w:divBdr>
    </w:div>
    <w:div w:id="910431171">
      <w:bodyDiv w:val="1"/>
      <w:marLeft w:val="0"/>
      <w:marRight w:val="0"/>
      <w:marTop w:val="0"/>
      <w:marBottom w:val="0"/>
      <w:divBdr>
        <w:top w:val="none" w:sz="0" w:space="0" w:color="auto"/>
        <w:left w:val="none" w:sz="0" w:space="0" w:color="auto"/>
        <w:bottom w:val="none" w:sz="0" w:space="0" w:color="auto"/>
        <w:right w:val="none" w:sz="0" w:space="0" w:color="auto"/>
      </w:divBdr>
    </w:div>
    <w:div w:id="910581798">
      <w:bodyDiv w:val="1"/>
      <w:marLeft w:val="0"/>
      <w:marRight w:val="0"/>
      <w:marTop w:val="0"/>
      <w:marBottom w:val="0"/>
      <w:divBdr>
        <w:top w:val="none" w:sz="0" w:space="0" w:color="auto"/>
        <w:left w:val="none" w:sz="0" w:space="0" w:color="auto"/>
        <w:bottom w:val="none" w:sz="0" w:space="0" w:color="auto"/>
        <w:right w:val="none" w:sz="0" w:space="0" w:color="auto"/>
      </w:divBdr>
    </w:div>
    <w:div w:id="910625760">
      <w:bodyDiv w:val="1"/>
      <w:marLeft w:val="0"/>
      <w:marRight w:val="0"/>
      <w:marTop w:val="0"/>
      <w:marBottom w:val="0"/>
      <w:divBdr>
        <w:top w:val="none" w:sz="0" w:space="0" w:color="auto"/>
        <w:left w:val="none" w:sz="0" w:space="0" w:color="auto"/>
        <w:bottom w:val="none" w:sz="0" w:space="0" w:color="auto"/>
        <w:right w:val="none" w:sz="0" w:space="0" w:color="auto"/>
      </w:divBdr>
    </w:div>
    <w:div w:id="910891493">
      <w:bodyDiv w:val="1"/>
      <w:marLeft w:val="0"/>
      <w:marRight w:val="0"/>
      <w:marTop w:val="0"/>
      <w:marBottom w:val="0"/>
      <w:divBdr>
        <w:top w:val="none" w:sz="0" w:space="0" w:color="auto"/>
        <w:left w:val="none" w:sz="0" w:space="0" w:color="auto"/>
        <w:bottom w:val="none" w:sz="0" w:space="0" w:color="auto"/>
        <w:right w:val="none" w:sz="0" w:space="0" w:color="auto"/>
      </w:divBdr>
    </w:div>
    <w:div w:id="911156296">
      <w:bodyDiv w:val="1"/>
      <w:marLeft w:val="0"/>
      <w:marRight w:val="0"/>
      <w:marTop w:val="0"/>
      <w:marBottom w:val="0"/>
      <w:divBdr>
        <w:top w:val="none" w:sz="0" w:space="0" w:color="auto"/>
        <w:left w:val="none" w:sz="0" w:space="0" w:color="auto"/>
        <w:bottom w:val="none" w:sz="0" w:space="0" w:color="auto"/>
        <w:right w:val="none" w:sz="0" w:space="0" w:color="auto"/>
      </w:divBdr>
    </w:div>
    <w:div w:id="911353807">
      <w:bodyDiv w:val="1"/>
      <w:marLeft w:val="0"/>
      <w:marRight w:val="0"/>
      <w:marTop w:val="0"/>
      <w:marBottom w:val="0"/>
      <w:divBdr>
        <w:top w:val="none" w:sz="0" w:space="0" w:color="auto"/>
        <w:left w:val="none" w:sz="0" w:space="0" w:color="auto"/>
        <w:bottom w:val="none" w:sz="0" w:space="0" w:color="auto"/>
        <w:right w:val="none" w:sz="0" w:space="0" w:color="auto"/>
      </w:divBdr>
    </w:div>
    <w:div w:id="911353927">
      <w:bodyDiv w:val="1"/>
      <w:marLeft w:val="0"/>
      <w:marRight w:val="0"/>
      <w:marTop w:val="0"/>
      <w:marBottom w:val="0"/>
      <w:divBdr>
        <w:top w:val="none" w:sz="0" w:space="0" w:color="auto"/>
        <w:left w:val="none" w:sz="0" w:space="0" w:color="auto"/>
        <w:bottom w:val="none" w:sz="0" w:space="0" w:color="auto"/>
        <w:right w:val="none" w:sz="0" w:space="0" w:color="auto"/>
      </w:divBdr>
    </w:div>
    <w:div w:id="911542009">
      <w:bodyDiv w:val="1"/>
      <w:marLeft w:val="0"/>
      <w:marRight w:val="0"/>
      <w:marTop w:val="0"/>
      <w:marBottom w:val="0"/>
      <w:divBdr>
        <w:top w:val="none" w:sz="0" w:space="0" w:color="auto"/>
        <w:left w:val="none" w:sz="0" w:space="0" w:color="auto"/>
        <w:bottom w:val="none" w:sz="0" w:space="0" w:color="auto"/>
        <w:right w:val="none" w:sz="0" w:space="0" w:color="auto"/>
      </w:divBdr>
    </w:div>
    <w:div w:id="911544675">
      <w:bodyDiv w:val="1"/>
      <w:marLeft w:val="0"/>
      <w:marRight w:val="0"/>
      <w:marTop w:val="0"/>
      <w:marBottom w:val="0"/>
      <w:divBdr>
        <w:top w:val="none" w:sz="0" w:space="0" w:color="auto"/>
        <w:left w:val="none" w:sz="0" w:space="0" w:color="auto"/>
        <w:bottom w:val="none" w:sz="0" w:space="0" w:color="auto"/>
        <w:right w:val="none" w:sz="0" w:space="0" w:color="auto"/>
      </w:divBdr>
    </w:div>
    <w:div w:id="911694847">
      <w:bodyDiv w:val="1"/>
      <w:marLeft w:val="0"/>
      <w:marRight w:val="0"/>
      <w:marTop w:val="0"/>
      <w:marBottom w:val="0"/>
      <w:divBdr>
        <w:top w:val="none" w:sz="0" w:space="0" w:color="auto"/>
        <w:left w:val="none" w:sz="0" w:space="0" w:color="auto"/>
        <w:bottom w:val="none" w:sz="0" w:space="0" w:color="auto"/>
        <w:right w:val="none" w:sz="0" w:space="0" w:color="auto"/>
      </w:divBdr>
    </w:div>
    <w:div w:id="912007408">
      <w:bodyDiv w:val="1"/>
      <w:marLeft w:val="0"/>
      <w:marRight w:val="0"/>
      <w:marTop w:val="0"/>
      <w:marBottom w:val="0"/>
      <w:divBdr>
        <w:top w:val="none" w:sz="0" w:space="0" w:color="auto"/>
        <w:left w:val="none" w:sz="0" w:space="0" w:color="auto"/>
        <w:bottom w:val="none" w:sz="0" w:space="0" w:color="auto"/>
        <w:right w:val="none" w:sz="0" w:space="0" w:color="auto"/>
      </w:divBdr>
    </w:div>
    <w:div w:id="912156395">
      <w:bodyDiv w:val="1"/>
      <w:marLeft w:val="0"/>
      <w:marRight w:val="0"/>
      <w:marTop w:val="0"/>
      <w:marBottom w:val="0"/>
      <w:divBdr>
        <w:top w:val="none" w:sz="0" w:space="0" w:color="auto"/>
        <w:left w:val="none" w:sz="0" w:space="0" w:color="auto"/>
        <w:bottom w:val="none" w:sz="0" w:space="0" w:color="auto"/>
        <w:right w:val="none" w:sz="0" w:space="0" w:color="auto"/>
      </w:divBdr>
    </w:div>
    <w:div w:id="912399994">
      <w:bodyDiv w:val="1"/>
      <w:marLeft w:val="0"/>
      <w:marRight w:val="0"/>
      <w:marTop w:val="0"/>
      <w:marBottom w:val="0"/>
      <w:divBdr>
        <w:top w:val="none" w:sz="0" w:space="0" w:color="auto"/>
        <w:left w:val="none" w:sz="0" w:space="0" w:color="auto"/>
        <w:bottom w:val="none" w:sz="0" w:space="0" w:color="auto"/>
        <w:right w:val="none" w:sz="0" w:space="0" w:color="auto"/>
      </w:divBdr>
    </w:div>
    <w:div w:id="912545501">
      <w:bodyDiv w:val="1"/>
      <w:marLeft w:val="0"/>
      <w:marRight w:val="0"/>
      <w:marTop w:val="0"/>
      <w:marBottom w:val="0"/>
      <w:divBdr>
        <w:top w:val="none" w:sz="0" w:space="0" w:color="auto"/>
        <w:left w:val="none" w:sz="0" w:space="0" w:color="auto"/>
        <w:bottom w:val="none" w:sz="0" w:space="0" w:color="auto"/>
        <w:right w:val="none" w:sz="0" w:space="0" w:color="auto"/>
      </w:divBdr>
    </w:div>
    <w:div w:id="912589960">
      <w:bodyDiv w:val="1"/>
      <w:marLeft w:val="0"/>
      <w:marRight w:val="0"/>
      <w:marTop w:val="0"/>
      <w:marBottom w:val="0"/>
      <w:divBdr>
        <w:top w:val="none" w:sz="0" w:space="0" w:color="auto"/>
        <w:left w:val="none" w:sz="0" w:space="0" w:color="auto"/>
        <w:bottom w:val="none" w:sz="0" w:space="0" w:color="auto"/>
        <w:right w:val="none" w:sz="0" w:space="0" w:color="auto"/>
      </w:divBdr>
    </w:div>
    <w:div w:id="912618458">
      <w:bodyDiv w:val="1"/>
      <w:marLeft w:val="0"/>
      <w:marRight w:val="0"/>
      <w:marTop w:val="0"/>
      <w:marBottom w:val="0"/>
      <w:divBdr>
        <w:top w:val="none" w:sz="0" w:space="0" w:color="auto"/>
        <w:left w:val="none" w:sz="0" w:space="0" w:color="auto"/>
        <w:bottom w:val="none" w:sz="0" w:space="0" w:color="auto"/>
        <w:right w:val="none" w:sz="0" w:space="0" w:color="auto"/>
      </w:divBdr>
    </w:div>
    <w:div w:id="912929306">
      <w:bodyDiv w:val="1"/>
      <w:marLeft w:val="0"/>
      <w:marRight w:val="0"/>
      <w:marTop w:val="0"/>
      <w:marBottom w:val="0"/>
      <w:divBdr>
        <w:top w:val="none" w:sz="0" w:space="0" w:color="auto"/>
        <w:left w:val="none" w:sz="0" w:space="0" w:color="auto"/>
        <w:bottom w:val="none" w:sz="0" w:space="0" w:color="auto"/>
        <w:right w:val="none" w:sz="0" w:space="0" w:color="auto"/>
      </w:divBdr>
    </w:div>
    <w:div w:id="913080039">
      <w:bodyDiv w:val="1"/>
      <w:marLeft w:val="0"/>
      <w:marRight w:val="0"/>
      <w:marTop w:val="0"/>
      <w:marBottom w:val="0"/>
      <w:divBdr>
        <w:top w:val="none" w:sz="0" w:space="0" w:color="auto"/>
        <w:left w:val="none" w:sz="0" w:space="0" w:color="auto"/>
        <w:bottom w:val="none" w:sz="0" w:space="0" w:color="auto"/>
        <w:right w:val="none" w:sz="0" w:space="0" w:color="auto"/>
      </w:divBdr>
    </w:div>
    <w:div w:id="913274347">
      <w:bodyDiv w:val="1"/>
      <w:marLeft w:val="0"/>
      <w:marRight w:val="0"/>
      <w:marTop w:val="0"/>
      <w:marBottom w:val="0"/>
      <w:divBdr>
        <w:top w:val="none" w:sz="0" w:space="0" w:color="auto"/>
        <w:left w:val="none" w:sz="0" w:space="0" w:color="auto"/>
        <w:bottom w:val="none" w:sz="0" w:space="0" w:color="auto"/>
        <w:right w:val="none" w:sz="0" w:space="0" w:color="auto"/>
      </w:divBdr>
    </w:div>
    <w:div w:id="913710622">
      <w:bodyDiv w:val="1"/>
      <w:marLeft w:val="0"/>
      <w:marRight w:val="0"/>
      <w:marTop w:val="0"/>
      <w:marBottom w:val="0"/>
      <w:divBdr>
        <w:top w:val="none" w:sz="0" w:space="0" w:color="auto"/>
        <w:left w:val="none" w:sz="0" w:space="0" w:color="auto"/>
        <w:bottom w:val="none" w:sz="0" w:space="0" w:color="auto"/>
        <w:right w:val="none" w:sz="0" w:space="0" w:color="auto"/>
      </w:divBdr>
    </w:div>
    <w:div w:id="913785337">
      <w:bodyDiv w:val="1"/>
      <w:marLeft w:val="0"/>
      <w:marRight w:val="0"/>
      <w:marTop w:val="0"/>
      <w:marBottom w:val="0"/>
      <w:divBdr>
        <w:top w:val="none" w:sz="0" w:space="0" w:color="auto"/>
        <w:left w:val="none" w:sz="0" w:space="0" w:color="auto"/>
        <w:bottom w:val="none" w:sz="0" w:space="0" w:color="auto"/>
        <w:right w:val="none" w:sz="0" w:space="0" w:color="auto"/>
      </w:divBdr>
    </w:div>
    <w:div w:id="913852628">
      <w:bodyDiv w:val="1"/>
      <w:marLeft w:val="0"/>
      <w:marRight w:val="0"/>
      <w:marTop w:val="0"/>
      <w:marBottom w:val="0"/>
      <w:divBdr>
        <w:top w:val="none" w:sz="0" w:space="0" w:color="auto"/>
        <w:left w:val="none" w:sz="0" w:space="0" w:color="auto"/>
        <w:bottom w:val="none" w:sz="0" w:space="0" w:color="auto"/>
        <w:right w:val="none" w:sz="0" w:space="0" w:color="auto"/>
      </w:divBdr>
    </w:div>
    <w:div w:id="913902090">
      <w:bodyDiv w:val="1"/>
      <w:marLeft w:val="0"/>
      <w:marRight w:val="0"/>
      <w:marTop w:val="0"/>
      <w:marBottom w:val="0"/>
      <w:divBdr>
        <w:top w:val="none" w:sz="0" w:space="0" w:color="auto"/>
        <w:left w:val="none" w:sz="0" w:space="0" w:color="auto"/>
        <w:bottom w:val="none" w:sz="0" w:space="0" w:color="auto"/>
        <w:right w:val="none" w:sz="0" w:space="0" w:color="auto"/>
      </w:divBdr>
    </w:div>
    <w:div w:id="914439894">
      <w:bodyDiv w:val="1"/>
      <w:marLeft w:val="0"/>
      <w:marRight w:val="0"/>
      <w:marTop w:val="0"/>
      <w:marBottom w:val="0"/>
      <w:divBdr>
        <w:top w:val="none" w:sz="0" w:space="0" w:color="auto"/>
        <w:left w:val="none" w:sz="0" w:space="0" w:color="auto"/>
        <w:bottom w:val="none" w:sz="0" w:space="0" w:color="auto"/>
        <w:right w:val="none" w:sz="0" w:space="0" w:color="auto"/>
      </w:divBdr>
    </w:div>
    <w:div w:id="914633609">
      <w:bodyDiv w:val="1"/>
      <w:marLeft w:val="0"/>
      <w:marRight w:val="0"/>
      <w:marTop w:val="0"/>
      <w:marBottom w:val="0"/>
      <w:divBdr>
        <w:top w:val="none" w:sz="0" w:space="0" w:color="auto"/>
        <w:left w:val="none" w:sz="0" w:space="0" w:color="auto"/>
        <w:bottom w:val="none" w:sz="0" w:space="0" w:color="auto"/>
        <w:right w:val="none" w:sz="0" w:space="0" w:color="auto"/>
      </w:divBdr>
    </w:div>
    <w:div w:id="914978001">
      <w:bodyDiv w:val="1"/>
      <w:marLeft w:val="0"/>
      <w:marRight w:val="0"/>
      <w:marTop w:val="0"/>
      <w:marBottom w:val="0"/>
      <w:divBdr>
        <w:top w:val="none" w:sz="0" w:space="0" w:color="auto"/>
        <w:left w:val="none" w:sz="0" w:space="0" w:color="auto"/>
        <w:bottom w:val="none" w:sz="0" w:space="0" w:color="auto"/>
        <w:right w:val="none" w:sz="0" w:space="0" w:color="auto"/>
      </w:divBdr>
    </w:div>
    <w:div w:id="914978610">
      <w:bodyDiv w:val="1"/>
      <w:marLeft w:val="0"/>
      <w:marRight w:val="0"/>
      <w:marTop w:val="0"/>
      <w:marBottom w:val="0"/>
      <w:divBdr>
        <w:top w:val="none" w:sz="0" w:space="0" w:color="auto"/>
        <w:left w:val="none" w:sz="0" w:space="0" w:color="auto"/>
        <w:bottom w:val="none" w:sz="0" w:space="0" w:color="auto"/>
        <w:right w:val="none" w:sz="0" w:space="0" w:color="auto"/>
      </w:divBdr>
    </w:div>
    <w:div w:id="915014551">
      <w:bodyDiv w:val="1"/>
      <w:marLeft w:val="0"/>
      <w:marRight w:val="0"/>
      <w:marTop w:val="0"/>
      <w:marBottom w:val="0"/>
      <w:divBdr>
        <w:top w:val="none" w:sz="0" w:space="0" w:color="auto"/>
        <w:left w:val="none" w:sz="0" w:space="0" w:color="auto"/>
        <w:bottom w:val="none" w:sz="0" w:space="0" w:color="auto"/>
        <w:right w:val="none" w:sz="0" w:space="0" w:color="auto"/>
      </w:divBdr>
    </w:div>
    <w:div w:id="915474051">
      <w:bodyDiv w:val="1"/>
      <w:marLeft w:val="0"/>
      <w:marRight w:val="0"/>
      <w:marTop w:val="0"/>
      <w:marBottom w:val="0"/>
      <w:divBdr>
        <w:top w:val="none" w:sz="0" w:space="0" w:color="auto"/>
        <w:left w:val="none" w:sz="0" w:space="0" w:color="auto"/>
        <w:bottom w:val="none" w:sz="0" w:space="0" w:color="auto"/>
        <w:right w:val="none" w:sz="0" w:space="0" w:color="auto"/>
      </w:divBdr>
    </w:div>
    <w:div w:id="915479975">
      <w:bodyDiv w:val="1"/>
      <w:marLeft w:val="0"/>
      <w:marRight w:val="0"/>
      <w:marTop w:val="0"/>
      <w:marBottom w:val="0"/>
      <w:divBdr>
        <w:top w:val="none" w:sz="0" w:space="0" w:color="auto"/>
        <w:left w:val="none" w:sz="0" w:space="0" w:color="auto"/>
        <w:bottom w:val="none" w:sz="0" w:space="0" w:color="auto"/>
        <w:right w:val="none" w:sz="0" w:space="0" w:color="auto"/>
      </w:divBdr>
    </w:div>
    <w:div w:id="915549682">
      <w:bodyDiv w:val="1"/>
      <w:marLeft w:val="0"/>
      <w:marRight w:val="0"/>
      <w:marTop w:val="0"/>
      <w:marBottom w:val="0"/>
      <w:divBdr>
        <w:top w:val="none" w:sz="0" w:space="0" w:color="auto"/>
        <w:left w:val="none" w:sz="0" w:space="0" w:color="auto"/>
        <w:bottom w:val="none" w:sz="0" w:space="0" w:color="auto"/>
        <w:right w:val="none" w:sz="0" w:space="0" w:color="auto"/>
      </w:divBdr>
    </w:div>
    <w:div w:id="915557768">
      <w:bodyDiv w:val="1"/>
      <w:marLeft w:val="0"/>
      <w:marRight w:val="0"/>
      <w:marTop w:val="0"/>
      <w:marBottom w:val="0"/>
      <w:divBdr>
        <w:top w:val="none" w:sz="0" w:space="0" w:color="auto"/>
        <w:left w:val="none" w:sz="0" w:space="0" w:color="auto"/>
        <w:bottom w:val="none" w:sz="0" w:space="0" w:color="auto"/>
        <w:right w:val="none" w:sz="0" w:space="0" w:color="auto"/>
      </w:divBdr>
    </w:div>
    <w:div w:id="915675992">
      <w:bodyDiv w:val="1"/>
      <w:marLeft w:val="0"/>
      <w:marRight w:val="0"/>
      <w:marTop w:val="0"/>
      <w:marBottom w:val="0"/>
      <w:divBdr>
        <w:top w:val="none" w:sz="0" w:space="0" w:color="auto"/>
        <w:left w:val="none" w:sz="0" w:space="0" w:color="auto"/>
        <w:bottom w:val="none" w:sz="0" w:space="0" w:color="auto"/>
        <w:right w:val="none" w:sz="0" w:space="0" w:color="auto"/>
      </w:divBdr>
    </w:div>
    <w:div w:id="915750605">
      <w:bodyDiv w:val="1"/>
      <w:marLeft w:val="0"/>
      <w:marRight w:val="0"/>
      <w:marTop w:val="0"/>
      <w:marBottom w:val="0"/>
      <w:divBdr>
        <w:top w:val="none" w:sz="0" w:space="0" w:color="auto"/>
        <w:left w:val="none" w:sz="0" w:space="0" w:color="auto"/>
        <w:bottom w:val="none" w:sz="0" w:space="0" w:color="auto"/>
        <w:right w:val="none" w:sz="0" w:space="0" w:color="auto"/>
      </w:divBdr>
    </w:div>
    <w:div w:id="916012421">
      <w:bodyDiv w:val="1"/>
      <w:marLeft w:val="0"/>
      <w:marRight w:val="0"/>
      <w:marTop w:val="0"/>
      <w:marBottom w:val="0"/>
      <w:divBdr>
        <w:top w:val="none" w:sz="0" w:space="0" w:color="auto"/>
        <w:left w:val="none" w:sz="0" w:space="0" w:color="auto"/>
        <w:bottom w:val="none" w:sz="0" w:space="0" w:color="auto"/>
        <w:right w:val="none" w:sz="0" w:space="0" w:color="auto"/>
      </w:divBdr>
    </w:div>
    <w:div w:id="916208540">
      <w:bodyDiv w:val="1"/>
      <w:marLeft w:val="0"/>
      <w:marRight w:val="0"/>
      <w:marTop w:val="0"/>
      <w:marBottom w:val="0"/>
      <w:divBdr>
        <w:top w:val="none" w:sz="0" w:space="0" w:color="auto"/>
        <w:left w:val="none" w:sz="0" w:space="0" w:color="auto"/>
        <w:bottom w:val="none" w:sz="0" w:space="0" w:color="auto"/>
        <w:right w:val="none" w:sz="0" w:space="0" w:color="auto"/>
      </w:divBdr>
    </w:div>
    <w:div w:id="916210957">
      <w:bodyDiv w:val="1"/>
      <w:marLeft w:val="0"/>
      <w:marRight w:val="0"/>
      <w:marTop w:val="0"/>
      <w:marBottom w:val="0"/>
      <w:divBdr>
        <w:top w:val="none" w:sz="0" w:space="0" w:color="auto"/>
        <w:left w:val="none" w:sz="0" w:space="0" w:color="auto"/>
        <w:bottom w:val="none" w:sz="0" w:space="0" w:color="auto"/>
        <w:right w:val="none" w:sz="0" w:space="0" w:color="auto"/>
      </w:divBdr>
    </w:div>
    <w:div w:id="917057590">
      <w:bodyDiv w:val="1"/>
      <w:marLeft w:val="0"/>
      <w:marRight w:val="0"/>
      <w:marTop w:val="0"/>
      <w:marBottom w:val="0"/>
      <w:divBdr>
        <w:top w:val="none" w:sz="0" w:space="0" w:color="auto"/>
        <w:left w:val="none" w:sz="0" w:space="0" w:color="auto"/>
        <w:bottom w:val="none" w:sz="0" w:space="0" w:color="auto"/>
        <w:right w:val="none" w:sz="0" w:space="0" w:color="auto"/>
      </w:divBdr>
    </w:div>
    <w:div w:id="917255348">
      <w:bodyDiv w:val="1"/>
      <w:marLeft w:val="0"/>
      <w:marRight w:val="0"/>
      <w:marTop w:val="0"/>
      <w:marBottom w:val="0"/>
      <w:divBdr>
        <w:top w:val="none" w:sz="0" w:space="0" w:color="auto"/>
        <w:left w:val="none" w:sz="0" w:space="0" w:color="auto"/>
        <w:bottom w:val="none" w:sz="0" w:space="0" w:color="auto"/>
        <w:right w:val="none" w:sz="0" w:space="0" w:color="auto"/>
      </w:divBdr>
    </w:div>
    <w:div w:id="917598161">
      <w:bodyDiv w:val="1"/>
      <w:marLeft w:val="0"/>
      <w:marRight w:val="0"/>
      <w:marTop w:val="0"/>
      <w:marBottom w:val="0"/>
      <w:divBdr>
        <w:top w:val="none" w:sz="0" w:space="0" w:color="auto"/>
        <w:left w:val="none" w:sz="0" w:space="0" w:color="auto"/>
        <w:bottom w:val="none" w:sz="0" w:space="0" w:color="auto"/>
        <w:right w:val="none" w:sz="0" w:space="0" w:color="auto"/>
      </w:divBdr>
    </w:div>
    <w:div w:id="917707978">
      <w:bodyDiv w:val="1"/>
      <w:marLeft w:val="0"/>
      <w:marRight w:val="0"/>
      <w:marTop w:val="0"/>
      <w:marBottom w:val="0"/>
      <w:divBdr>
        <w:top w:val="none" w:sz="0" w:space="0" w:color="auto"/>
        <w:left w:val="none" w:sz="0" w:space="0" w:color="auto"/>
        <w:bottom w:val="none" w:sz="0" w:space="0" w:color="auto"/>
        <w:right w:val="none" w:sz="0" w:space="0" w:color="auto"/>
      </w:divBdr>
    </w:div>
    <w:div w:id="917788979">
      <w:bodyDiv w:val="1"/>
      <w:marLeft w:val="0"/>
      <w:marRight w:val="0"/>
      <w:marTop w:val="0"/>
      <w:marBottom w:val="0"/>
      <w:divBdr>
        <w:top w:val="none" w:sz="0" w:space="0" w:color="auto"/>
        <w:left w:val="none" w:sz="0" w:space="0" w:color="auto"/>
        <w:bottom w:val="none" w:sz="0" w:space="0" w:color="auto"/>
        <w:right w:val="none" w:sz="0" w:space="0" w:color="auto"/>
      </w:divBdr>
    </w:div>
    <w:div w:id="918057347">
      <w:bodyDiv w:val="1"/>
      <w:marLeft w:val="0"/>
      <w:marRight w:val="0"/>
      <w:marTop w:val="0"/>
      <w:marBottom w:val="0"/>
      <w:divBdr>
        <w:top w:val="none" w:sz="0" w:space="0" w:color="auto"/>
        <w:left w:val="none" w:sz="0" w:space="0" w:color="auto"/>
        <w:bottom w:val="none" w:sz="0" w:space="0" w:color="auto"/>
        <w:right w:val="none" w:sz="0" w:space="0" w:color="auto"/>
      </w:divBdr>
    </w:div>
    <w:div w:id="918171442">
      <w:bodyDiv w:val="1"/>
      <w:marLeft w:val="0"/>
      <w:marRight w:val="0"/>
      <w:marTop w:val="0"/>
      <w:marBottom w:val="0"/>
      <w:divBdr>
        <w:top w:val="none" w:sz="0" w:space="0" w:color="auto"/>
        <w:left w:val="none" w:sz="0" w:space="0" w:color="auto"/>
        <w:bottom w:val="none" w:sz="0" w:space="0" w:color="auto"/>
        <w:right w:val="none" w:sz="0" w:space="0" w:color="auto"/>
      </w:divBdr>
    </w:div>
    <w:div w:id="918291795">
      <w:bodyDiv w:val="1"/>
      <w:marLeft w:val="0"/>
      <w:marRight w:val="0"/>
      <w:marTop w:val="0"/>
      <w:marBottom w:val="0"/>
      <w:divBdr>
        <w:top w:val="none" w:sz="0" w:space="0" w:color="auto"/>
        <w:left w:val="none" w:sz="0" w:space="0" w:color="auto"/>
        <w:bottom w:val="none" w:sz="0" w:space="0" w:color="auto"/>
        <w:right w:val="none" w:sz="0" w:space="0" w:color="auto"/>
      </w:divBdr>
    </w:div>
    <w:div w:id="918297349">
      <w:bodyDiv w:val="1"/>
      <w:marLeft w:val="0"/>
      <w:marRight w:val="0"/>
      <w:marTop w:val="0"/>
      <w:marBottom w:val="0"/>
      <w:divBdr>
        <w:top w:val="none" w:sz="0" w:space="0" w:color="auto"/>
        <w:left w:val="none" w:sz="0" w:space="0" w:color="auto"/>
        <w:bottom w:val="none" w:sz="0" w:space="0" w:color="auto"/>
        <w:right w:val="none" w:sz="0" w:space="0" w:color="auto"/>
      </w:divBdr>
    </w:div>
    <w:div w:id="918565471">
      <w:bodyDiv w:val="1"/>
      <w:marLeft w:val="0"/>
      <w:marRight w:val="0"/>
      <w:marTop w:val="0"/>
      <w:marBottom w:val="0"/>
      <w:divBdr>
        <w:top w:val="none" w:sz="0" w:space="0" w:color="auto"/>
        <w:left w:val="none" w:sz="0" w:space="0" w:color="auto"/>
        <w:bottom w:val="none" w:sz="0" w:space="0" w:color="auto"/>
        <w:right w:val="none" w:sz="0" w:space="0" w:color="auto"/>
      </w:divBdr>
    </w:div>
    <w:div w:id="918711881">
      <w:bodyDiv w:val="1"/>
      <w:marLeft w:val="0"/>
      <w:marRight w:val="0"/>
      <w:marTop w:val="0"/>
      <w:marBottom w:val="0"/>
      <w:divBdr>
        <w:top w:val="none" w:sz="0" w:space="0" w:color="auto"/>
        <w:left w:val="none" w:sz="0" w:space="0" w:color="auto"/>
        <w:bottom w:val="none" w:sz="0" w:space="0" w:color="auto"/>
        <w:right w:val="none" w:sz="0" w:space="0" w:color="auto"/>
      </w:divBdr>
    </w:div>
    <w:div w:id="918757472">
      <w:bodyDiv w:val="1"/>
      <w:marLeft w:val="0"/>
      <w:marRight w:val="0"/>
      <w:marTop w:val="0"/>
      <w:marBottom w:val="0"/>
      <w:divBdr>
        <w:top w:val="none" w:sz="0" w:space="0" w:color="auto"/>
        <w:left w:val="none" w:sz="0" w:space="0" w:color="auto"/>
        <w:bottom w:val="none" w:sz="0" w:space="0" w:color="auto"/>
        <w:right w:val="none" w:sz="0" w:space="0" w:color="auto"/>
      </w:divBdr>
    </w:div>
    <w:div w:id="918901819">
      <w:bodyDiv w:val="1"/>
      <w:marLeft w:val="0"/>
      <w:marRight w:val="0"/>
      <w:marTop w:val="0"/>
      <w:marBottom w:val="0"/>
      <w:divBdr>
        <w:top w:val="none" w:sz="0" w:space="0" w:color="auto"/>
        <w:left w:val="none" w:sz="0" w:space="0" w:color="auto"/>
        <w:bottom w:val="none" w:sz="0" w:space="0" w:color="auto"/>
        <w:right w:val="none" w:sz="0" w:space="0" w:color="auto"/>
      </w:divBdr>
    </w:div>
    <w:div w:id="919294212">
      <w:bodyDiv w:val="1"/>
      <w:marLeft w:val="0"/>
      <w:marRight w:val="0"/>
      <w:marTop w:val="0"/>
      <w:marBottom w:val="0"/>
      <w:divBdr>
        <w:top w:val="none" w:sz="0" w:space="0" w:color="auto"/>
        <w:left w:val="none" w:sz="0" w:space="0" w:color="auto"/>
        <w:bottom w:val="none" w:sz="0" w:space="0" w:color="auto"/>
        <w:right w:val="none" w:sz="0" w:space="0" w:color="auto"/>
      </w:divBdr>
    </w:div>
    <w:div w:id="919485400">
      <w:bodyDiv w:val="1"/>
      <w:marLeft w:val="0"/>
      <w:marRight w:val="0"/>
      <w:marTop w:val="0"/>
      <w:marBottom w:val="0"/>
      <w:divBdr>
        <w:top w:val="none" w:sz="0" w:space="0" w:color="auto"/>
        <w:left w:val="none" w:sz="0" w:space="0" w:color="auto"/>
        <w:bottom w:val="none" w:sz="0" w:space="0" w:color="auto"/>
        <w:right w:val="none" w:sz="0" w:space="0" w:color="auto"/>
      </w:divBdr>
    </w:div>
    <w:div w:id="919556050">
      <w:bodyDiv w:val="1"/>
      <w:marLeft w:val="0"/>
      <w:marRight w:val="0"/>
      <w:marTop w:val="0"/>
      <w:marBottom w:val="0"/>
      <w:divBdr>
        <w:top w:val="none" w:sz="0" w:space="0" w:color="auto"/>
        <w:left w:val="none" w:sz="0" w:space="0" w:color="auto"/>
        <w:bottom w:val="none" w:sz="0" w:space="0" w:color="auto"/>
        <w:right w:val="none" w:sz="0" w:space="0" w:color="auto"/>
      </w:divBdr>
    </w:div>
    <w:div w:id="919754906">
      <w:bodyDiv w:val="1"/>
      <w:marLeft w:val="0"/>
      <w:marRight w:val="0"/>
      <w:marTop w:val="0"/>
      <w:marBottom w:val="0"/>
      <w:divBdr>
        <w:top w:val="none" w:sz="0" w:space="0" w:color="auto"/>
        <w:left w:val="none" w:sz="0" w:space="0" w:color="auto"/>
        <w:bottom w:val="none" w:sz="0" w:space="0" w:color="auto"/>
        <w:right w:val="none" w:sz="0" w:space="0" w:color="auto"/>
      </w:divBdr>
    </w:div>
    <w:div w:id="919869973">
      <w:bodyDiv w:val="1"/>
      <w:marLeft w:val="0"/>
      <w:marRight w:val="0"/>
      <w:marTop w:val="0"/>
      <w:marBottom w:val="0"/>
      <w:divBdr>
        <w:top w:val="none" w:sz="0" w:space="0" w:color="auto"/>
        <w:left w:val="none" w:sz="0" w:space="0" w:color="auto"/>
        <w:bottom w:val="none" w:sz="0" w:space="0" w:color="auto"/>
        <w:right w:val="none" w:sz="0" w:space="0" w:color="auto"/>
      </w:divBdr>
    </w:div>
    <w:div w:id="919949918">
      <w:bodyDiv w:val="1"/>
      <w:marLeft w:val="0"/>
      <w:marRight w:val="0"/>
      <w:marTop w:val="0"/>
      <w:marBottom w:val="0"/>
      <w:divBdr>
        <w:top w:val="none" w:sz="0" w:space="0" w:color="auto"/>
        <w:left w:val="none" w:sz="0" w:space="0" w:color="auto"/>
        <w:bottom w:val="none" w:sz="0" w:space="0" w:color="auto"/>
        <w:right w:val="none" w:sz="0" w:space="0" w:color="auto"/>
      </w:divBdr>
    </w:div>
    <w:div w:id="920020873">
      <w:bodyDiv w:val="1"/>
      <w:marLeft w:val="0"/>
      <w:marRight w:val="0"/>
      <w:marTop w:val="0"/>
      <w:marBottom w:val="0"/>
      <w:divBdr>
        <w:top w:val="none" w:sz="0" w:space="0" w:color="auto"/>
        <w:left w:val="none" w:sz="0" w:space="0" w:color="auto"/>
        <w:bottom w:val="none" w:sz="0" w:space="0" w:color="auto"/>
        <w:right w:val="none" w:sz="0" w:space="0" w:color="auto"/>
      </w:divBdr>
    </w:div>
    <w:div w:id="920218260">
      <w:bodyDiv w:val="1"/>
      <w:marLeft w:val="0"/>
      <w:marRight w:val="0"/>
      <w:marTop w:val="0"/>
      <w:marBottom w:val="0"/>
      <w:divBdr>
        <w:top w:val="none" w:sz="0" w:space="0" w:color="auto"/>
        <w:left w:val="none" w:sz="0" w:space="0" w:color="auto"/>
        <w:bottom w:val="none" w:sz="0" w:space="0" w:color="auto"/>
        <w:right w:val="none" w:sz="0" w:space="0" w:color="auto"/>
      </w:divBdr>
    </w:div>
    <w:div w:id="920335908">
      <w:bodyDiv w:val="1"/>
      <w:marLeft w:val="0"/>
      <w:marRight w:val="0"/>
      <w:marTop w:val="0"/>
      <w:marBottom w:val="0"/>
      <w:divBdr>
        <w:top w:val="none" w:sz="0" w:space="0" w:color="auto"/>
        <w:left w:val="none" w:sz="0" w:space="0" w:color="auto"/>
        <w:bottom w:val="none" w:sz="0" w:space="0" w:color="auto"/>
        <w:right w:val="none" w:sz="0" w:space="0" w:color="auto"/>
      </w:divBdr>
    </w:div>
    <w:div w:id="920482275">
      <w:bodyDiv w:val="1"/>
      <w:marLeft w:val="0"/>
      <w:marRight w:val="0"/>
      <w:marTop w:val="0"/>
      <w:marBottom w:val="0"/>
      <w:divBdr>
        <w:top w:val="none" w:sz="0" w:space="0" w:color="auto"/>
        <w:left w:val="none" w:sz="0" w:space="0" w:color="auto"/>
        <w:bottom w:val="none" w:sz="0" w:space="0" w:color="auto"/>
        <w:right w:val="none" w:sz="0" w:space="0" w:color="auto"/>
      </w:divBdr>
    </w:div>
    <w:div w:id="921066776">
      <w:bodyDiv w:val="1"/>
      <w:marLeft w:val="0"/>
      <w:marRight w:val="0"/>
      <w:marTop w:val="0"/>
      <w:marBottom w:val="0"/>
      <w:divBdr>
        <w:top w:val="none" w:sz="0" w:space="0" w:color="auto"/>
        <w:left w:val="none" w:sz="0" w:space="0" w:color="auto"/>
        <w:bottom w:val="none" w:sz="0" w:space="0" w:color="auto"/>
        <w:right w:val="none" w:sz="0" w:space="0" w:color="auto"/>
      </w:divBdr>
    </w:div>
    <w:div w:id="921139635">
      <w:bodyDiv w:val="1"/>
      <w:marLeft w:val="0"/>
      <w:marRight w:val="0"/>
      <w:marTop w:val="0"/>
      <w:marBottom w:val="0"/>
      <w:divBdr>
        <w:top w:val="none" w:sz="0" w:space="0" w:color="auto"/>
        <w:left w:val="none" w:sz="0" w:space="0" w:color="auto"/>
        <w:bottom w:val="none" w:sz="0" w:space="0" w:color="auto"/>
        <w:right w:val="none" w:sz="0" w:space="0" w:color="auto"/>
      </w:divBdr>
    </w:div>
    <w:div w:id="921568868">
      <w:bodyDiv w:val="1"/>
      <w:marLeft w:val="0"/>
      <w:marRight w:val="0"/>
      <w:marTop w:val="0"/>
      <w:marBottom w:val="0"/>
      <w:divBdr>
        <w:top w:val="none" w:sz="0" w:space="0" w:color="auto"/>
        <w:left w:val="none" w:sz="0" w:space="0" w:color="auto"/>
        <w:bottom w:val="none" w:sz="0" w:space="0" w:color="auto"/>
        <w:right w:val="none" w:sz="0" w:space="0" w:color="auto"/>
      </w:divBdr>
    </w:div>
    <w:div w:id="921715471">
      <w:bodyDiv w:val="1"/>
      <w:marLeft w:val="0"/>
      <w:marRight w:val="0"/>
      <w:marTop w:val="0"/>
      <w:marBottom w:val="0"/>
      <w:divBdr>
        <w:top w:val="none" w:sz="0" w:space="0" w:color="auto"/>
        <w:left w:val="none" w:sz="0" w:space="0" w:color="auto"/>
        <w:bottom w:val="none" w:sz="0" w:space="0" w:color="auto"/>
        <w:right w:val="none" w:sz="0" w:space="0" w:color="auto"/>
      </w:divBdr>
    </w:div>
    <w:div w:id="921719372">
      <w:bodyDiv w:val="1"/>
      <w:marLeft w:val="0"/>
      <w:marRight w:val="0"/>
      <w:marTop w:val="0"/>
      <w:marBottom w:val="0"/>
      <w:divBdr>
        <w:top w:val="none" w:sz="0" w:space="0" w:color="auto"/>
        <w:left w:val="none" w:sz="0" w:space="0" w:color="auto"/>
        <w:bottom w:val="none" w:sz="0" w:space="0" w:color="auto"/>
        <w:right w:val="none" w:sz="0" w:space="0" w:color="auto"/>
      </w:divBdr>
    </w:div>
    <w:div w:id="921721070">
      <w:bodyDiv w:val="1"/>
      <w:marLeft w:val="0"/>
      <w:marRight w:val="0"/>
      <w:marTop w:val="0"/>
      <w:marBottom w:val="0"/>
      <w:divBdr>
        <w:top w:val="none" w:sz="0" w:space="0" w:color="auto"/>
        <w:left w:val="none" w:sz="0" w:space="0" w:color="auto"/>
        <w:bottom w:val="none" w:sz="0" w:space="0" w:color="auto"/>
        <w:right w:val="none" w:sz="0" w:space="0" w:color="auto"/>
      </w:divBdr>
    </w:div>
    <w:div w:id="921837465">
      <w:bodyDiv w:val="1"/>
      <w:marLeft w:val="0"/>
      <w:marRight w:val="0"/>
      <w:marTop w:val="0"/>
      <w:marBottom w:val="0"/>
      <w:divBdr>
        <w:top w:val="none" w:sz="0" w:space="0" w:color="auto"/>
        <w:left w:val="none" w:sz="0" w:space="0" w:color="auto"/>
        <w:bottom w:val="none" w:sz="0" w:space="0" w:color="auto"/>
        <w:right w:val="none" w:sz="0" w:space="0" w:color="auto"/>
      </w:divBdr>
    </w:div>
    <w:div w:id="922030594">
      <w:bodyDiv w:val="1"/>
      <w:marLeft w:val="0"/>
      <w:marRight w:val="0"/>
      <w:marTop w:val="0"/>
      <w:marBottom w:val="0"/>
      <w:divBdr>
        <w:top w:val="none" w:sz="0" w:space="0" w:color="auto"/>
        <w:left w:val="none" w:sz="0" w:space="0" w:color="auto"/>
        <w:bottom w:val="none" w:sz="0" w:space="0" w:color="auto"/>
        <w:right w:val="none" w:sz="0" w:space="0" w:color="auto"/>
      </w:divBdr>
    </w:div>
    <w:div w:id="922102944">
      <w:bodyDiv w:val="1"/>
      <w:marLeft w:val="0"/>
      <w:marRight w:val="0"/>
      <w:marTop w:val="0"/>
      <w:marBottom w:val="0"/>
      <w:divBdr>
        <w:top w:val="none" w:sz="0" w:space="0" w:color="auto"/>
        <w:left w:val="none" w:sz="0" w:space="0" w:color="auto"/>
        <w:bottom w:val="none" w:sz="0" w:space="0" w:color="auto"/>
        <w:right w:val="none" w:sz="0" w:space="0" w:color="auto"/>
      </w:divBdr>
    </w:div>
    <w:div w:id="922301719">
      <w:bodyDiv w:val="1"/>
      <w:marLeft w:val="0"/>
      <w:marRight w:val="0"/>
      <w:marTop w:val="0"/>
      <w:marBottom w:val="0"/>
      <w:divBdr>
        <w:top w:val="none" w:sz="0" w:space="0" w:color="auto"/>
        <w:left w:val="none" w:sz="0" w:space="0" w:color="auto"/>
        <w:bottom w:val="none" w:sz="0" w:space="0" w:color="auto"/>
        <w:right w:val="none" w:sz="0" w:space="0" w:color="auto"/>
      </w:divBdr>
    </w:div>
    <w:div w:id="922375618">
      <w:bodyDiv w:val="1"/>
      <w:marLeft w:val="0"/>
      <w:marRight w:val="0"/>
      <w:marTop w:val="0"/>
      <w:marBottom w:val="0"/>
      <w:divBdr>
        <w:top w:val="none" w:sz="0" w:space="0" w:color="auto"/>
        <w:left w:val="none" w:sz="0" w:space="0" w:color="auto"/>
        <w:bottom w:val="none" w:sz="0" w:space="0" w:color="auto"/>
        <w:right w:val="none" w:sz="0" w:space="0" w:color="auto"/>
      </w:divBdr>
    </w:div>
    <w:div w:id="922449948">
      <w:bodyDiv w:val="1"/>
      <w:marLeft w:val="0"/>
      <w:marRight w:val="0"/>
      <w:marTop w:val="0"/>
      <w:marBottom w:val="0"/>
      <w:divBdr>
        <w:top w:val="none" w:sz="0" w:space="0" w:color="auto"/>
        <w:left w:val="none" w:sz="0" w:space="0" w:color="auto"/>
        <w:bottom w:val="none" w:sz="0" w:space="0" w:color="auto"/>
        <w:right w:val="none" w:sz="0" w:space="0" w:color="auto"/>
      </w:divBdr>
    </w:div>
    <w:div w:id="922450539">
      <w:bodyDiv w:val="1"/>
      <w:marLeft w:val="0"/>
      <w:marRight w:val="0"/>
      <w:marTop w:val="0"/>
      <w:marBottom w:val="0"/>
      <w:divBdr>
        <w:top w:val="none" w:sz="0" w:space="0" w:color="auto"/>
        <w:left w:val="none" w:sz="0" w:space="0" w:color="auto"/>
        <w:bottom w:val="none" w:sz="0" w:space="0" w:color="auto"/>
        <w:right w:val="none" w:sz="0" w:space="0" w:color="auto"/>
      </w:divBdr>
    </w:div>
    <w:div w:id="922568667">
      <w:bodyDiv w:val="1"/>
      <w:marLeft w:val="0"/>
      <w:marRight w:val="0"/>
      <w:marTop w:val="0"/>
      <w:marBottom w:val="0"/>
      <w:divBdr>
        <w:top w:val="none" w:sz="0" w:space="0" w:color="auto"/>
        <w:left w:val="none" w:sz="0" w:space="0" w:color="auto"/>
        <w:bottom w:val="none" w:sz="0" w:space="0" w:color="auto"/>
        <w:right w:val="none" w:sz="0" w:space="0" w:color="auto"/>
      </w:divBdr>
    </w:div>
    <w:div w:id="923028884">
      <w:bodyDiv w:val="1"/>
      <w:marLeft w:val="0"/>
      <w:marRight w:val="0"/>
      <w:marTop w:val="0"/>
      <w:marBottom w:val="0"/>
      <w:divBdr>
        <w:top w:val="none" w:sz="0" w:space="0" w:color="auto"/>
        <w:left w:val="none" w:sz="0" w:space="0" w:color="auto"/>
        <w:bottom w:val="none" w:sz="0" w:space="0" w:color="auto"/>
        <w:right w:val="none" w:sz="0" w:space="0" w:color="auto"/>
      </w:divBdr>
    </w:div>
    <w:div w:id="923297626">
      <w:bodyDiv w:val="1"/>
      <w:marLeft w:val="0"/>
      <w:marRight w:val="0"/>
      <w:marTop w:val="0"/>
      <w:marBottom w:val="0"/>
      <w:divBdr>
        <w:top w:val="none" w:sz="0" w:space="0" w:color="auto"/>
        <w:left w:val="none" w:sz="0" w:space="0" w:color="auto"/>
        <w:bottom w:val="none" w:sz="0" w:space="0" w:color="auto"/>
        <w:right w:val="none" w:sz="0" w:space="0" w:color="auto"/>
      </w:divBdr>
    </w:div>
    <w:div w:id="923298945">
      <w:bodyDiv w:val="1"/>
      <w:marLeft w:val="0"/>
      <w:marRight w:val="0"/>
      <w:marTop w:val="0"/>
      <w:marBottom w:val="0"/>
      <w:divBdr>
        <w:top w:val="none" w:sz="0" w:space="0" w:color="auto"/>
        <w:left w:val="none" w:sz="0" w:space="0" w:color="auto"/>
        <w:bottom w:val="none" w:sz="0" w:space="0" w:color="auto"/>
        <w:right w:val="none" w:sz="0" w:space="0" w:color="auto"/>
      </w:divBdr>
    </w:div>
    <w:div w:id="923300466">
      <w:bodyDiv w:val="1"/>
      <w:marLeft w:val="0"/>
      <w:marRight w:val="0"/>
      <w:marTop w:val="0"/>
      <w:marBottom w:val="0"/>
      <w:divBdr>
        <w:top w:val="none" w:sz="0" w:space="0" w:color="auto"/>
        <w:left w:val="none" w:sz="0" w:space="0" w:color="auto"/>
        <w:bottom w:val="none" w:sz="0" w:space="0" w:color="auto"/>
        <w:right w:val="none" w:sz="0" w:space="0" w:color="auto"/>
      </w:divBdr>
    </w:div>
    <w:div w:id="923489299">
      <w:bodyDiv w:val="1"/>
      <w:marLeft w:val="0"/>
      <w:marRight w:val="0"/>
      <w:marTop w:val="0"/>
      <w:marBottom w:val="0"/>
      <w:divBdr>
        <w:top w:val="none" w:sz="0" w:space="0" w:color="auto"/>
        <w:left w:val="none" w:sz="0" w:space="0" w:color="auto"/>
        <w:bottom w:val="none" w:sz="0" w:space="0" w:color="auto"/>
        <w:right w:val="none" w:sz="0" w:space="0" w:color="auto"/>
      </w:divBdr>
    </w:div>
    <w:div w:id="923564079">
      <w:bodyDiv w:val="1"/>
      <w:marLeft w:val="0"/>
      <w:marRight w:val="0"/>
      <w:marTop w:val="0"/>
      <w:marBottom w:val="0"/>
      <w:divBdr>
        <w:top w:val="none" w:sz="0" w:space="0" w:color="auto"/>
        <w:left w:val="none" w:sz="0" w:space="0" w:color="auto"/>
        <w:bottom w:val="none" w:sz="0" w:space="0" w:color="auto"/>
        <w:right w:val="none" w:sz="0" w:space="0" w:color="auto"/>
      </w:divBdr>
    </w:div>
    <w:div w:id="923684965">
      <w:bodyDiv w:val="1"/>
      <w:marLeft w:val="0"/>
      <w:marRight w:val="0"/>
      <w:marTop w:val="0"/>
      <w:marBottom w:val="0"/>
      <w:divBdr>
        <w:top w:val="none" w:sz="0" w:space="0" w:color="auto"/>
        <w:left w:val="none" w:sz="0" w:space="0" w:color="auto"/>
        <w:bottom w:val="none" w:sz="0" w:space="0" w:color="auto"/>
        <w:right w:val="none" w:sz="0" w:space="0" w:color="auto"/>
      </w:divBdr>
    </w:div>
    <w:div w:id="924149016">
      <w:bodyDiv w:val="1"/>
      <w:marLeft w:val="0"/>
      <w:marRight w:val="0"/>
      <w:marTop w:val="0"/>
      <w:marBottom w:val="0"/>
      <w:divBdr>
        <w:top w:val="none" w:sz="0" w:space="0" w:color="auto"/>
        <w:left w:val="none" w:sz="0" w:space="0" w:color="auto"/>
        <w:bottom w:val="none" w:sz="0" w:space="0" w:color="auto"/>
        <w:right w:val="none" w:sz="0" w:space="0" w:color="auto"/>
      </w:divBdr>
    </w:div>
    <w:div w:id="924261800">
      <w:bodyDiv w:val="1"/>
      <w:marLeft w:val="0"/>
      <w:marRight w:val="0"/>
      <w:marTop w:val="0"/>
      <w:marBottom w:val="0"/>
      <w:divBdr>
        <w:top w:val="none" w:sz="0" w:space="0" w:color="auto"/>
        <w:left w:val="none" w:sz="0" w:space="0" w:color="auto"/>
        <w:bottom w:val="none" w:sz="0" w:space="0" w:color="auto"/>
        <w:right w:val="none" w:sz="0" w:space="0" w:color="auto"/>
      </w:divBdr>
    </w:div>
    <w:div w:id="924341610">
      <w:bodyDiv w:val="1"/>
      <w:marLeft w:val="0"/>
      <w:marRight w:val="0"/>
      <w:marTop w:val="0"/>
      <w:marBottom w:val="0"/>
      <w:divBdr>
        <w:top w:val="none" w:sz="0" w:space="0" w:color="auto"/>
        <w:left w:val="none" w:sz="0" w:space="0" w:color="auto"/>
        <w:bottom w:val="none" w:sz="0" w:space="0" w:color="auto"/>
        <w:right w:val="none" w:sz="0" w:space="0" w:color="auto"/>
      </w:divBdr>
    </w:div>
    <w:div w:id="925188079">
      <w:bodyDiv w:val="1"/>
      <w:marLeft w:val="0"/>
      <w:marRight w:val="0"/>
      <w:marTop w:val="0"/>
      <w:marBottom w:val="0"/>
      <w:divBdr>
        <w:top w:val="none" w:sz="0" w:space="0" w:color="auto"/>
        <w:left w:val="none" w:sz="0" w:space="0" w:color="auto"/>
        <w:bottom w:val="none" w:sz="0" w:space="0" w:color="auto"/>
        <w:right w:val="none" w:sz="0" w:space="0" w:color="auto"/>
      </w:divBdr>
    </w:div>
    <w:div w:id="925188556">
      <w:bodyDiv w:val="1"/>
      <w:marLeft w:val="0"/>
      <w:marRight w:val="0"/>
      <w:marTop w:val="0"/>
      <w:marBottom w:val="0"/>
      <w:divBdr>
        <w:top w:val="none" w:sz="0" w:space="0" w:color="auto"/>
        <w:left w:val="none" w:sz="0" w:space="0" w:color="auto"/>
        <w:bottom w:val="none" w:sz="0" w:space="0" w:color="auto"/>
        <w:right w:val="none" w:sz="0" w:space="0" w:color="auto"/>
      </w:divBdr>
    </w:div>
    <w:div w:id="925265731">
      <w:bodyDiv w:val="1"/>
      <w:marLeft w:val="0"/>
      <w:marRight w:val="0"/>
      <w:marTop w:val="0"/>
      <w:marBottom w:val="0"/>
      <w:divBdr>
        <w:top w:val="none" w:sz="0" w:space="0" w:color="auto"/>
        <w:left w:val="none" w:sz="0" w:space="0" w:color="auto"/>
        <w:bottom w:val="none" w:sz="0" w:space="0" w:color="auto"/>
        <w:right w:val="none" w:sz="0" w:space="0" w:color="auto"/>
      </w:divBdr>
    </w:div>
    <w:div w:id="925268715">
      <w:bodyDiv w:val="1"/>
      <w:marLeft w:val="0"/>
      <w:marRight w:val="0"/>
      <w:marTop w:val="0"/>
      <w:marBottom w:val="0"/>
      <w:divBdr>
        <w:top w:val="none" w:sz="0" w:space="0" w:color="auto"/>
        <w:left w:val="none" w:sz="0" w:space="0" w:color="auto"/>
        <w:bottom w:val="none" w:sz="0" w:space="0" w:color="auto"/>
        <w:right w:val="none" w:sz="0" w:space="0" w:color="auto"/>
      </w:divBdr>
    </w:div>
    <w:div w:id="925269573">
      <w:bodyDiv w:val="1"/>
      <w:marLeft w:val="0"/>
      <w:marRight w:val="0"/>
      <w:marTop w:val="0"/>
      <w:marBottom w:val="0"/>
      <w:divBdr>
        <w:top w:val="none" w:sz="0" w:space="0" w:color="auto"/>
        <w:left w:val="none" w:sz="0" w:space="0" w:color="auto"/>
        <w:bottom w:val="none" w:sz="0" w:space="0" w:color="auto"/>
        <w:right w:val="none" w:sz="0" w:space="0" w:color="auto"/>
      </w:divBdr>
    </w:div>
    <w:div w:id="925578817">
      <w:bodyDiv w:val="1"/>
      <w:marLeft w:val="0"/>
      <w:marRight w:val="0"/>
      <w:marTop w:val="0"/>
      <w:marBottom w:val="0"/>
      <w:divBdr>
        <w:top w:val="none" w:sz="0" w:space="0" w:color="auto"/>
        <w:left w:val="none" w:sz="0" w:space="0" w:color="auto"/>
        <w:bottom w:val="none" w:sz="0" w:space="0" w:color="auto"/>
        <w:right w:val="none" w:sz="0" w:space="0" w:color="auto"/>
      </w:divBdr>
    </w:div>
    <w:div w:id="925654817">
      <w:bodyDiv w:val="1"/>
      <w:marLeft w:val="0"/>
      <w:marRight w:val="0"/>
      <w:marTop w:val="0"/>
      <w:marBottom w:val="0"/>
      <w:divBdr>
        <w:top w:val="none" w:sz="0" w:space="0" w:color="auto"/>
        <w:left w:val="none" w:sz="0" w:space="0" w:color="auto"/>
        <w:bottom w:val="none" w:sz="0" w:space="0" w:color="auto"/>
        <w:right w:val="none" w:sz="0" w:space="0" w:color="auto"/>
      </w:divBdr>
    </w:div>
    <w:div w:id="925764856">
      <w:bodyDiv w:val="1"/>
      <w:marLeft w:val="0"/>
      <w:marRight w:val="0"/>
      <w:marTop w:val="0"/>
      <w:marBottom w:val="0"/>
      <w:divBdr>
        <w:top w:val="none" w:sz="0" w:space="0" w:color="auto"/>
        <w:left w:val="none" w:sz="0" w:space="0" w:color="auto"/>
        <w:bottom w:val="none" w:sz="0" w:space="0" w:color="auto"/>
        <w:right w:val="none" w:sz="0" w:space="0" w:color="auto"/>
      </w:divBdr>
    </w:div>
    <w:div w:id="925768926">
      <w:bodyDiv w:val="1"/>
      <w:marLeft w:val="0"/>
      <w:marRight w:val="0"/>
      <w:marTop w:val="0"/>
      <w:marBottom w:val="0"/>
      <w:divBdr>
        <w:top w:val="none" w:sz="0" w:space="0" w:color="auto"/>
        <w:left w:val="none" w:sz="0" w:space="0" w:color="auto"/>
        <w:bottom w:val="none" w:sz="0" w:space="0" w:color="auto"/>
        <w:right w:val="none" w:sz="0" w:space="0" w:color="auto"/>
      </w:divBdr>
    </w:div>
    <w:div w:id="925849502">
      <w:bodyDiv w:val="1"/>
      <w:marLeft w:val="0"/>
      <w:marRight w:val="0"/>
      <w:marTop w:val="0"/>
      <w:marBottom w:val="0"/>
      <w:divBdr>
        <w:top w:val="none" w:sz="0" w:space="0" w:color="auto"/>
        <w:left w:val="none" w:sz="0" w:space="0" w:color="auto"/>
        <w:bottom w:val="none" w:sz="0" w:space="0" w:color="auto"/>
        <w:right w:val="none" w:sz="0" w:space="0" w:color="auto"/>
      </w:divBdr>
    </w:div>
    <w:div w:id="926423527">
      <w:bodyDiv w:val="1"/>
      <w:marLeft w:val="0"/>
      <w:marRight w:val="0"/>
      <w:marTop w:val="0"/>
      <w:marBottom w:val="0"/>
      <w:divBdr>
        <w:top w:val="none" w:sz="0" w:space="0" w:color="auto"/>
        <w:left w:val="none" w:sz="0" w:space="0" w:color="auto"/>
        <w:bottom w:val="none" w:sz="0" w:space="0" w:color="auto"/>
        <w:right w:val="none" w:sz="0" w:space="0" w:color="auto"/>
      </w:divBdr>
    </w:div>
    <w:div w:id="926499316">
      <w:bodyDiv w:val="1"/>
      <w:marLeft w:val="0"/>
      <w:marRight w:val="0"/>
      <w:marTop w:val="0"/>
      <w:marBottom w:val="0"/>
      <w:divBdr>
        <w:top w:val="none" w:sz="0" w:space="0" w:color="auto"/>
        <w:left w:val="none" w:sz="0" w:space="0" w:color="auto"/>
        <w:bottom w:val="none" w:sz="0" w:space="0" w:color="auto"/>
        <w:right w:val="none" w:sz="0" w:space="0" w:color="auto"/>
      </w:divBdr>
    </w:div>
    <w:div w:id="926504641">
      <w:bodyDiv w:val="1"/>
      <w:marLeft w:val="0"/>
      <w:marRight w:val="0"/>
      <w:marTop w:val="0"/>
      <w:marBottom w:val="0"/>
      <w:divBdr>
        <w:top w:val="none" w:sz="0" w:space="0" w:color="auto"/>
        <w:left w:val="none" w:sz="0" w:space="0" w:color="auto"/>
        <w:bottom w:val="none" w:sz="0" w:space="0" w:color="auto"/>
        <w:right w:val="none" w:sz="0" w:space="0" w:color="auto"/>
      </w:divBdr>
    </w:div>
    <w:div w:id="926773253">
      <w:bodyDiv w:val="1"/>
      <w:marLeft w:val="0"/>
      <w:marRight w:val="0"/>
      <w:marTop w:val="0"/>
      <w:marBottom w:val="0"/>
      <w:divBdr>
        <w:top w:val="none" w:sz="0" w:space="0" w:color="auto"/>
        <w:left w:val="none" w:sz="0" w:space="0" w:color="auto"/>
        <w:bottom w:val="none" w:sz="0" w:space="0" w:color="auto"/>
        <w:right w:val="none" w:sz="0" w:space="0" w:color="auto"/>
      </w:divBdr>
    </w:div>
    <w:div w:id="926957200">
      <w:bodyDiv w:val="1"/>
      <w:marLeft w:val="0"/>
      <w:marRight w:val="0"/>
      <w:marTop w:val="0"/>
      <w:marBottom w:val="0"/>
      <w:divBdr>
        <w:top w:val="none" w:sz="0" w:space="0" w:color="auto"/>
        <w:left w:val="none" w:sz="0" w:space="0" w:color="auto"/>
        <w:bottom w:val="none" w:sz="0" w:space="0" w:color="auto"/>
        <w:right w:val="none" w:sz="0" w:space="0" w:color="auto"/>
      </w:divBdr>
    </w:div>
    <w:div w:id="926958669">
      <w:bodyDiv w:val="1"/>
      <w:marLeft w:val="0"/>
      <w:marRight w:val="0"/>
      <w:marTop w:val="0"/>
      <w:marBottom w:val="0"/>
      <w:divBdr>
        <w:top w:val="none" w:sz="0" w:space="0" w:color="auto"/>
        <w:left w:val="none" w:sz="0" w:space="0" w:color="auto"/>
        <w:bottom w:val="none" w:sz="0" w:space="0" w:color="auto"/>
        <w:right w:val="none" w:sz="0" w:space="0" w:color="auto"/>
      </w:divBdr>
    </w:div>
    <w:div w:id="927230839">
      <w:bodyDiv w:val="1"/>
      <w:marLeft w:val="0"/>
      <w:marRight w:val="0"/>
      <w:marTop w:val="0"/>
      <w:marBottom w:val="0"/>
      <w:divBdr>
        <w:top w:val="none" w:sz="0" w:space="0" w:color="auto"/>
        <w:left w:val="none" w:sz="0" w:space="0" w:color="auto"/>
        <w:bottom w:val="none" w:sz="0" w:space="0" w:color="auto"/>
        <w:right w:val="none" w:sz="0" w:space="0" w:color="auto"/>
      </w:divBdr>
    </w:div>
    <w:div w:id="927232095">
      <w:bodyDiv w:val="1"/>
      <w:marLeft w:val="0"/>
      <w:marRight w:val="0"/>
      <w:marTop w:val="0"/>
      <w:marBottom w:val="0"/>
      <w:divBdr>
        <w:top w:val="none" w:sz="0" w:space="0" w:color="auto"/>
        <w:left w:val="none" w:sz="0" w:space="0" w:color="auto"/>
        <w:bottom w:val="none" w:sz="0" w:space="0" w:color="auto"/>
        <w:right w:val="none" w:sz="0" w:space="0" w:color="auto"/>
      </w:divBdr>
    </w:div>
    <w:div w:id="927347269">
      <w:bodyDiv w:val="1"/>
      <w:marLeft w:val="0"/>
      <w:marRight w:val="0"/>
      <w:marTop w:val="0"/>
      <w:marBottom w:val="0"/>
      <w:divBdr>
        <w:top w:val="none" w:sz="0" w:space="0" w:color="auto"/>
        <w:left w:val="none" w:sz="0" w:space="0" w:color="auto"/>
        <w:bottom w:val="none" w:sz="0" w:space="0" w:color="auto"/>
        <w:right w:val="none" w:sz="0" w:space="0" w:color="auto"/>
      </w:divBdr>
    </w:div>
    <w:div w:id="927420671">
      <w:bodyDiv w:val="1"/>
      <w:marLeft w:val="0"/>
      <w:marRight w:val="0"/>
      <w:marTop w:val="0"/>
      <w:marBottom w:val="0"/>
      <w:divBdr>
        <w:top w:val="none" w:sz="0" w:space="0" w:color="auto"/>
        <w:left w:val="none" w:sz="0" w:space="0" w:color="auto"/>
        <w:bottom w:val="none" w:sz="0" w:space="0" w:color="auto"/>
        <w:right w:val="none" w:sz="0" w:space="0" w:color="auto"/>
      </w:divBdr>
    </w:div>
    <w:div w:id="927468244">
      <w:bodyDiv w:val="1"/>
      <w:marLeft w:val="0"/>
      <w:marRight w:val="0"/>
      <w:marTop w:val="0"/>
      <w:marBottom w:val="0"/>
      <w:divBdr>
        <w:top w:val="none" w:sz="0" w:space="0" w:color="auto"/>
        <w:left w:val="none" w:sz="0" w:space="0" w:color="auto"/>
        <w:bottom w:val="none" w:sz="0" w:space="0" w:color="auto"/>
        <w:right w:val="none" w:sz="0" w:space="0" w:color="auto"/>
      </w:divBdr>
    </w:div>
    <w:div w:id="927469312">
      <w:bodyDiv w:val="1"/>
      <w:marLeft w:val="0"/>
      <w:marRight w:val="0"/>
      <w:marTop w:val="0"/>
      <w:marBottom w:val="0"/>
      <w:divBdr>
        <w:top w:val="none" w:sz="0" w:space="0" w:color="auto"/>
        <w:left w:val="none" w:sz="0" w:space="0" w:color="auto"/>
        <w:bottom w:val="none" w:sz="0" w:space="0" w:color="auto"/>
        <w:right w:val="none" w:sz="0" w:space="0" w:color="auto"/>
      </w:divBdr>
    </w:div>
    <w:div w:id="927470321">
      <w:bodyDiv w:val="1"/>
      <w:marLeft w:val="0"/>
      <w:marRight w:val="0"/>
      <w:marTop w:val="0"/>
      <w:marBottom w:val="0"/>
      <w:divBdr>
        <w:top w:val="none" w:sz="0" w:space="0" w:color="auto"/>
        <w:left w:val="none" w:sz="0" w:space="0" w:color="auto"/>
        <w:bottom w:val="none" w:sz="0" w:space="0" w:color="auto"/>
        <w:right w:val="none" w:sz="0" w:space="0" w:color="auto"/>
      </w:divBdr>
    </w:div>
    <w:div w:id="927471258">
      <w:bodyDiv w:val="1"/>
      <w:marLeft w:val="0"/>
      <w:marRight w:val="0"/>
      <w:marTop w:val="0"/>
      <w:marBottom w:val="0"/>
      <w:divBdr>
        <w:top w:val="none" w:sz="0" w:space="0" w:color="auto"/>
        <w:left w:val="none" w:sz="0" w:space="0" w:color="auto"/>
        <w:bottom w:val="none" w:sz="0" w:space="0" w:color="auto"/>
        <w:right w:val="none" w:sz="0" w:space="0" w:color="auto"/>
      </w:divBdr>
    </w:div>
    <w:div w:id="927497750">
      <w:bodyDiv w:val="1"/>
      <w:marLeft w:val="0"/>
      <w:marRight w:val="0"/>
      <w:marTop w:val="0"/>
      <w:marBottom w:val="0"/>
      <w:divBdr>
        <w:top w:val="none" w:sz="0" w:space="0" w:color="auto"/>
        <w:left w:val="none" w:sz="0" w:space="0" w:color="auto"/>
        <w:bottom w:val="none" w:sz="0" w:space="0" w:color="auto"/>
        <w:right w:val="none" w:sz="0" w:space="0" w:color="auto"/>
      </w:divBdr>
    </w:div>
    <w:div w:id="927612977">
      <w:bodyDiv w:val="1"/>
      <w:marLeft w:val="0"/>
      <w:marRight w:val="0"/>
      <w:marTop w:val="0"/>
      <w:marBottom w:val="0"/>
      <w:divBdr>
        <w:top w:val="none" w:sz="0" w:space="0" w:color="auto"/>
        <w:left w:val="none" w:sz="0" w:space="0" w:color="auto"/>
        <w:bottom w:val="none" w:sz="0" w:space="0" w:color="auto"/>
        <w:right w:val="none" w:sz="0" w:space="0" w:color="auto"/>
      </w:divBdr>
    </w:div>
    <w:div w:id="927689148">
      <w:bodyDiv w:val="1"/>
      <w:marLeft w:val="0"/>
      <w:marRight w:val="0"/>
      <w:marTop w:val="0"/>
      <w:marBottom w:val="0"/>
      <w:divBdr>
        <w:top w:val="none" w:sz="0" w:space="0" w:color="auto"/>
        <w:left w:val="none" w:sz="0" w:space="0" w:color="auto"/>
        <w:bottom w:val="none" w:sz="0" w:space="0" w:color="auto"/>
        <w:right w:val="none" w:sz="0" w:space="0" w:color="auto"/>
      </w:divBdr>
    </w:div>
    <w:div w:id="927887126">
      <w:bodyDiv w:val="1"/>
      <w:marLeft w:val="0"/>
      <w:marRight w:val="0"/>
      <w:marTop w:val="0"/>
      <w:marBottom w:val="0"/>
      <w:divBdr>
        <w:top w:val="none" w:sz="0" w:space="0" w:color="auto"/>
        <w:left w:val="none" w:sz="0" w:space="0" w:color="auto"/>
        <w:bottom w:val="none" w:sz="0" w:space="0" w:color="auto"/>
        <w:right w:val="none" w:sz="0" w:space="0" w:color="auto"/>
      </w:divBdr>
    </w:div>
    <w:div w:id="928152782">
      <w:bodyDiv w:val="1"/>
      <w:marLeft w:val="0"/>
      <w:marRight w:val="0"/>
      <w:marTop w:val="0"/>
      <w:marBottom w:val="0"/>
      <w:divBdr>
        <w:top w:val="none" w:sz="0" w:space="0" w:color="auto"/>
        <w:left w:val="none" w:sz="0" w:space="0" w:color="auto"/>
        <w:bottom w:val="none" w:sz="0" w:space="0" w:color="auto"/>
        <w:right w:val="none" w:sz="0" w:space="0" w:color="auto"/>
      </w:divBdr>
    </w:div>
    <w:div w:id="928200922">
      <w:bodyDiv w:val="1"/>
      <w:marLeft w:val="0"/>
      <w:marRight w:val="0"/>
      <w:marTop w:val="0"/>
      <w:marBottom w:val="0"/>
      <w:divBdr>
        <w:top w:val="none" w:sz="0" w:space="0" w:color="auto"/>
        <w:left w:val="none" w:sz="0" w:space="0" w:color="auto"/>
        <w:bottom w:val="none" w:sz="0" w:space="0" w:color="auto"/>
        <w:right w:val="none" w:sz="0" w:space="0" w:color="auto"/>
      </w:divBdr>
    </w:div>
    <w:div w:id="928270273">
      <w:bodyDiv w:val="1"/>
      <w:marLeft w:val="0"/>
      <w:marRight w:val="0"/>
      <w:marTop w:val="0"/>
      <w:marBottom w:val="0"/>
      <w:divBdr>
        <w:top w:val="none" w:sz="0" w:space="0" w:color="auto"/>
        <w:left w:val="none" w:sz="0" w:space="0" w:color="auto"/>
        <w:bottom w:val="none" w:sz="0" w:space="0" w:color="auto"/>
        <w:right w:val="none" w:sz="0" w:space="0" w:color="auto"/>
      </w:divBdr>
    </w:div>
    <w:div w:id="928464671">
      <w:bodyDiv w:val="1"/>
      <w:marLeft w:val="0"/>
      <w:marRight w:val="0"/>
      <w:marTop w:val="0"/>
      <w:marBottom w:val="0"/>
      <w:divBdr>
        <w:top w:val="none" w:sz="0" w:space="0" w:color="auto"/>
        <w:left w:val="none" w:sz="0" w:space="0" w:color="auto"/>
        <w:bottom w:val="none" w:sz="0" w:space="0" w:color="auto"/>
        <w:right w:val="none" w:sz="0" w:space="0" w:color="auto"/>
      </w:divBdr>
    </w:div>
    <w:div w:id="928467452">
      <w:bodyDiv w:val="1"/>
      <w:marLeft w:val="0"/>
      <w:marRight w:val="0"/>
      <w:marTop w:val="0"/>
      <w:marBottom w:val="0"/>
      <w:divBdr>
        <w:top w:val="none" w:sz="0" w:space="0" w:color="auto"/>
        <w:left w:val="none" w:sz="0" w:space="0" w:color="auto"/>
        <w:bottom w:val="none" w:sz="0" w:space="0" w:color="auto"/>
        <w:right w:val="none" w:sz="0" w:space="0" w:color="auto"/>
      </w:divBdr>
    </w:div>
    <w:div w:id="929000955">
      <w:bodyDiv w:val="1"/>
      <w:marLeft w:val="0"/>
      <w:marRight w:val="0"/>
      <w:marTop w:val="0"/>
      <w:marBottom w:val="0"/>
      <w:divBdr>
        <w:top w:val="none" w:sz="0" w:space="0" w:color="auto"/>
        <w:left w:val="none" w:sz="0" w:space="0" w:color="auto"/>
        <w:bottom w:val="none" w:sz="0" w:space="0" w:color="auto"/>
        <w:right w:val="none" w:sz="0" w:space="0" w:color="auto"/>
      </w:divBdr>
    </w:div>
    <w:div w:id="929318019">
      <w:bodyDiv w:val="1"/>
      <w:marLeft w:val="0"/>
      <w:marRight w:val="0"/>
      <w:marTop w:val="0"/>
      <w:marBottom w:val="0"/>
      <w:divBdr>
        <w:top w:val="none" w:sz="0" w:space="0" w:color="auto"/>
        <w:left w:val="none" w:sz="0" w:space="0" w:color="auto"/>
        <w:bottom w:val="none" w:sz="0" w:space="0" w:color="auto"/>
        <w:right w:val="none" w:sz="0" w:space="0" w:color="auto"/>
      </w:divBdr>
    </w:div>
    <w:div w:id="929434680">
      <w:bodyDiv w:val="1"/>
      <w:marLeft w:val="0"/>
      <w:marRight w:val="0"/>
      <w:marTop w:val="0"/>
      <w:marBottom w:val="0"/>
      <w:divBdr>
        <w:top w:val="none" w:sz="0" w:space="0" w:color="auto"/>
        <w:left w:val="none" w:sz="0" w:space="0" w:color="auto"/>
        <w:bottom w:val="none" w:sz="0" w:space="0" w:color="auto"/>
        <w:right w:val="none" w:sz="0" w:space="0" w:color="auto"/>
      </w:divBdr>
    </w:div>
    <w:div w:id="929630102">
      <w:bodyDiv w:val="1"/>
      <w:marLeft w:val="0"/>
      <w:marRight w:val="0"/>
      <w:marTop w:val="0"/>
      <w:marBottom w:val="0"/>
      <w:divBdr>
        <w:top w:val="none" w:sz="0" w:space="0" w:color="auto"/>
        <w:left w:val="none" w:sz="0" w:space="0" w:color="auto"/>
        <w:bottom w:val="none" w:sz="0" w:space="0" w:color="auto"/>
        <w:right w:val="none" w:sz="0" w:space="0" w:color="auto"/>
      </w:divBdr>
    </w:div>
    <w:div w:id="929775602">
      <w:bodyDiv w:val="1"/>
      <w:marLeft w:val="0"/>
      <w:marRight w:val="0"/>
      <w:marTop w:val="0"/>
      <w:marBottom w:val="0"/>
      <w:divBdr>
        <w:top w:val="none" w:sz="0" w:space="0" w:color="auto"/>
        <w:left w:val="none" w:sz="0" w:space="0" w:color="auto"/>
        <w:bottom w:val="none" w:sz="0" w:space="0" w:color="auto"/>
        <w:right w:val="none" w:sz="0" w:space="0" w:color="auto"/>
      </w:divBdr>
    </w:div>
    <w:div w:id="930167427">
      <w:bodyDiv w:val="1"/>
      <w:marLeft w:val="0"/>
      <w:marRight w:val="0"/>
      <w:marTop w:val="0"/>
      <w:marBottom w:val="0"/>
      <w:divBdr>
        <w:top w:val="none" w:sz="0" w:space="0" w:color="auto"/>
        <w:left w:val="none" w:sz="0" w:space="0" w:color="auto"/>
        <w:bottom w:val="none" w:sz="0" w:space="0" w:color="auto"/>
        <w:right w:val="none" w:sz="0" w:space="0" w:color="auto"/>
      </w:divBdr>
    </w:div>
    <w:div w:id="930503754">
      <w:bodyDiv w:val="1"/>
      <w:marLeft w:val="0"/>
      <w:marRight w:val="0"/>
      <w:marTop w:val="0"/>
      <w:marBottom w:val="0"/>
      <w:divBdr>
        <w:top w:val="none" w:sz="0" w:space="0" w:color="auto"/>
        <w:left w:val="none" w:sz="0" w:space="0" w:color="auto"/>
        <w:bottom w:val="none" w:sz="0" w:space="0" w:color="auto"/>
        <w:right w:val="none" w:sz="0" w:space="0" w:color="auto"/>
      </w:divBdr>
    </w:div>
    <w:div w:id="930816812">
      <w:bodyDiv w:val="1"/>
      <w:marLeft w:val="0"/>
      <w:marRight w:val="0"/>
      <w:marTop w:val="0"/>
      <w:marBottom w:val="0"/>
      <w:divBdr>
        <w:top w:val="none" w:sz="0" w:space="0" w:color="auto"/>
        <w:left w:val="none" w:sz="0" w:space="0" w:color="auto"/>
        <w:bottom w:val="none" w:sz="0" w:space="0" w:color="auto"/>
        <w:right w:val="none" w:sz="0" w:space="0" w:color="auto"/>
      </w:divBdr>
    </w:div>
    <w:div w:id="931158230">
      <w:bodyDiv w:val="1"/>
      <w:marLeft w:val="0"/>
      <w:marRight w:val="0"/>
      <w:marTop w:val="0"/>
      <w:marBottom w:val="0"/>
      <w:divBdr>
        <w:top w:val="none" w:sz="0" w:space="0" w:color="auto"/>
        <w:left w:val="none" w:sz="0" w:space="0" w:color="auto"/>
        <w:bottom w:val="none" w:sz="0" w:space="0" w:color="auto"/>
        <w:right w:val="none" w:sz="0" w:space="0" w:color="auto"/>
      </w:divBdr>
    </w:div>
    <w:div w:id="931165474">
      <w:bodyDiv w:val="1"/>
      <w:marLeft w:val="0"/>
      <w:marRight w:val="0"/>
      <w:marTop w:val="0"/>
      <w:marBottom w:val="0"/>
      <w:divBdr>
        <w:top w:val="none" w:sz="0" w:space="0" w:color="auto"/>
        <w:left w:val="none" w:sz="0" w:space="0" w:color="auto"/>
        <w:bottom w:val="none" w:sz="0" w:space="0" w:color="auto"/>
        <w:right w:val="none" w:sz="0" w:space="0" w:color="auto"/>
      </w:divBdr>
    </w:div>
    <w:div w:id="931202247">
      <w:bodyDiv w:val="1"/>
      <w:marLeft w:val="0"/>
      <w:marRight w:val="0"/>
      <w:marTop w:val="0"/>
      <w:marBottom w:val="0"/>
      <w:divBdr>
        <w:top w:val="none" w:sz="0" w:space="0" w:color="auto"/>
        <w:left w:val="none" w:sz="0" w:space="0" w:color="auto"/>
        <w:bottom w:val="none" w:sz="0" w:space="0" w:color="auto"/>
        <w:right w:val="none" w:sz="0" w:space="0" w:color="auto"/>
      </w:divBdr>
    </w:div>
    <w:div w:id="931471439">
      <w:bodyDiv w:val="1"/>
      <w:marLeft w:val="0"/>
      <w:marRight w:val="0"/>
      <w:marTop w:val="0"/>
      <w:marBottom w:val="0"/>
      <w:divBdr>
        <w:top w:val="none" w:sz="0" w:space="0" w:color="auto"/>
        <w:left w:val="none" w:sz="0" w:space="0" w:color="auto"/>
        <w:bottom w:val="none" w:sz="0" w:space="0" w:color="auto"/>
        <w:right w:val="none" w:sz="0" w:space="0" w:color="auto"/>
      </w:divBdr>
    </w:div>
    <w:div w:id="931472423">
      <w:bodyDiv w:val="1"/>
      <w:marLeft w:val="0"/>
      <w:marRight w:val="0"/>
      <w:marTop w:val="0"/>
      <w:marBottom w:val="0"/>
      <w:divBdr>
        <w:top w:val="none" w:sz="0" w:space="0" w:color="auto"/>
        <w:left w:val="none" w:sz="0" w:space="0" w:color="auto"/>
        <w:bottom w:val="none" w:sz="0" w:space="0" w:color="auto"/>
        <w:right w:val="none" w:sz="0" w:space="0" w:color="auto"/>
      </w:divBdr>
    </w:div>
    <w:div w:id="931664068">
      <w:bodyDiv w:val="1"/>
      <w:marLeft w:val="0"/>
      <w:marRight w:val="0"/>
      <w:marTop w:val="0"/>
      <w:marBottom w:val="0"/>
      <w:divBdr>
        <w:top w:val="none" w:sz="0" w:space="0" w:color="auto"/>
        <w:left w:val="none" w:sz="0" w:space="0" w:color="auto"/>
        <w:bottom w:val="none" w:sz="0" w:space="0" w:color="auto"/>
        <w:right w:val="none" w:sz="0" w:space="0" w:color="auto"/>
      </w:divBdr>
    </w:div>
    <w:div w:id="932012660">
      <w:bodyDiv w:val="1"/>
      <w:marLeft w:val="0"/>
      <w:marRight w:val="0"/>
      <w:marTop w:val="0"/>
      <w:marBottom w:val="0"/>
      <w:divBdr>
        <w:top w:val="none" w:sz="0" w:space="0" w:color="auto"/>
        <w:left w:val="none" w:sz="0" w:space="0" w:color="auto"/>
        <w:bottom w:val="none" w:sz="0" w:space="0" w:color="auto"/>
        <w:right w:val="none" w:sz="0" w:space="0" w:color="auto"/>
      </w:divBdr>
    </w:div>
    <w:div w:id="932014665">
      <w:bodyDiv w:val="1"/>
      <w:marLeft w:val="0"/>
      <w:marRight w:val="0"/>
      <w:marTop w:val="0"/>
      <w:marBottom w:val="0"/>
      <w:divBdr>
        <w:top w:val="none" w:sz="0" w:space="0" w:color="auto"/>
        <w:left w:val="none" w:sz="0" w:space="0" w:color="auto"/>
        <w:bottom w:val="none" w:sz="0" w:space="0" w:color="auto"/>
        <w:right w:val="none" w:sz="0" w:space="0" w:color="auto"/>
      </w:divBdr>
    </w:div>
    <w:div w:id="932126329">
      <w:bodyDiv w:val="1"/>
      <w:marLeft w:val="0"/>
      <w:marRight w:val="0"/>
      <w:marTop w:val="0"/>
      <w:marBottom w:val="0"/>
      <w:divBdr>
        <w:top w:val="none" w:sz="0" w:space="0" w:color="auto"/>
        <w:left w:val="none" w:sz="0" w:space="0" w:color="auto"/>
        <w:bottom w:val="none" w:sz="0" w:space="0" w:color="auto"/>
        <w:right w:val="none" w:sz="0" w:space="0" w:color="auto"/>
      </w:divBdr>
    </w:div>
    <w:div w:id="932275129">
      <w:bodyDiv w:val="1"/>
      <w:marLeft w:val="0"/>
      <w:marRight w:val="0"/>
      <w:marTop w:val="0"/>
      <w:marBottom w:val="0"/>
      <w:divBdr>
        <w:top w:val="none" w:sz="0" w:space="0" w:color="auto"/>
        <w:left w:val="none" w:sz="0" w:space="0" w:color="auto"/>
        <w:bottom w:val="none" w:sz="0" w:space="0" w:color="auto"/>
        <w:right w:val="none" w:sz="0" w:space="0" w:color="auto"/>
      </w:divBdr>
    </w:div>
    <w:div w:id="932319406">
      <w:bodyDiv w:val="1"/>
      <w:marLeft w:val="0"/>
      <w:marRight w:val="0"/>
      <w:marTop w:val="0"/>
      <w:marBottom w:val="0"/>
      <w:divBdr>
        <w:top w:val="none" w:sz="0" w:space="0" w:color="auto"/>
        <w:left w:val="none" w:sz="0" w:space="0" w:color="auto"/>
        <w:bottom w:val="none" w:sz="0" w:space="0" w:color="auto"/>
        <w:right w:val="none" w:sz="0" w:space="0" w:color="auto"/>
      </w:divBdr>
    </w:div>
    <w:div w:id="932396258">
      <w:bodyDiv w:val="1"/>
      <w:marLeft w:val="0"/>
      <w:marRight w:val="0"/>
      <w:marTop w:val="0"/>
      <w:marBottom w:val="0"/>
      <w:divBdr>
        <w:top w:val="none" w:sz="0" w:space="0" w:color="auto"/>
        <w:left w:val="none" w:sz="0" w:space="0" w:color="auto"/>
        <w:bottom w:val="none" w:sz="0" w:space="0" w:color="auto"/>
        <w:right w:val="none" w:sz="0" w:space="0" w:color="auto"/>
      </w:divBdr>
    </w:div>
    <w:div w:id="932469864">
      <w:bodyDiv w:val="1"/>
      <w:marLeft w:val="0"/>
      <w:marRight w:val="0"/>
      <w:marTop w:val="0"/>
      <w:marBottom w:val="0"/>
      <w:divBdr>
        <w:top w:val="none" w:sz="0" w:space="0" w:color="auto"/>
        <w:left w:val="none" w:sz="0" w:space="0" w:color="auto"/>
        <w:bottom w:val="none" w:sz="0" w:space="0" w:color="auto"/>
        <w:right w:val="none" w:sz="0" w:space="0" w:color="auto"/>
      </w:divBdr>
    </w:div>
    <w:div w:id="932475866">
      <w:bodyDiv w:val="1"/>
      <w:marLeft w:val="0"/>
      <w:marRight w:val="0"/>
      <w:marTop w:val="0"/>
      <w:marBottom w:val="0"/>
      <w:divBdr>
        <w:top w:val="none" w:sz="0" w:space="0" w:color="auto"/>
        <w:left w:val="none" w:sz="0" w:space="0" w:color="auto"/>
        <w:bottom w:val="none" w:sz="0" w:space="0" w:color="auto"/>
        <w:right w:val="none" w:sz="0" w:space="0" w:color="auto"/>
      </w:divBdr>
    </w:div>
    <w:div w:id="932516541">
      <w:bodyDiv w:val="1"/>
      <w:marLeft w:val="0"/>
      <w:marRight w:val="0"/>
      <w:marTop w:val="0"/>
      <w:marBottom w:val="0"/>
      <w:divBdr>
        <w:top w:val="none" w:sz="0" w:space="0" w:color="auto"/>
        <w:left w:val="none" w:sz="0" w:space="0" w:color="auto"/>
        <w:bottom w:val="none" w:sz="0" w:space="0" w:color="auto"/>
        <w:right w:val="none" w:sz="0" w:space="0" w:color="auto"/>
      </w:divBdr>
    </w:div>
    <w:div w:id="932591748">
      <w:bodyDiv w:val="1"/>
      <w:marLeft w:val="0"/>
      <w:marRight w:val="0"/>
      <w:marTop w:val="0"/>
      <w:marBottom w:val="0"/>
      <w:divBdr>
        <w:top w:val="none" w:sz="0" w:space="0" w:color="auto"/>
        <w:left w:val="none" w:sz="0" w:space="0" w:color="auto"/>
        <w:bottom w:val="none" w:sz="0" w:space="0" w:color="auto"/>
        <w:right w:val="none" w:sz="0" w:space="0" w:color="auto"/>
      </w:divBdr>
    </w:div>
    <w:div w:id="932708838">
      <w:bodyDiv w:val="1"/>
      <w:marLeft w:val="0"/>
      <w:marRight w:val="0"/>
      <w:marTop w:val="0"/>
      <w:marBottom w:val="0"/>
      <w:divBdr>
        <w:top w:val="none" w:sz="0" w:space="0" w:color="auto"/>
        <w:left w:val="none" w:sz="0" w:space="0" w:color="auto"/>
        <w:bottom w:val="none" w:sz="0" w:space="0" w:color="auto"/>
        <w:right w:val="none" w:sz="0" w:space="0" w:color="auto"/>
      </w:divBdr>
    </w:div>
    <w:div w:id="932711159">
      <w:bodyDiv w:val="1"/>
      <w:marLeft w:val="0"/>
      <w:marRight w:val="0"/>
      <w:marTop w:val="0"/>
      <w:marBottom w:val="0"/>
      <w:divBdr>
        <w:top w:val="none" w:sz="0" w:space="0" w:color="auto"/>
        <w:left w:val="none" w:sz="0" w:space="0" w:color="auto"/>
        <w:bottom w:val="none" w:sz="0" w:space="0" w:color="auto"/>
        <w:right w:val="none" w:sz="0" w:space="0" w:color="auto"/>
      </w:divBdr>
    </w:div>
    <w:div w:id="932933230">
      <w:bodyDiv w:val="1"/>
      <w:marLeft w:val="0"/>
      <w:marRight w:val="0"/>
      <w:marTop w:val="0"/>
      <w:marBottom w:val="0"/>
      <w:divBdr>
        <w:top w:val="none" w:sz="0" w:space="0" w:color="auto"/>
        <w:left w:val="none" w:sz="0" w:space="0" w:color="auto"/>
        <w:bottom w:val="none" w:sz="0" w:space="0" w:color="auto"/>
        <w:right w:val="none" w:sz="0" w:space="0" w:color="auto"/>
      </w:divBdr>
    </w:div>
    <w:div w:id="933051615">
      <w:bodyDiv w:val="1"/>
      <w:marLeft w:val="0"/>
      <w:marRight w:val="0"/>
      <w:marTop w:val="0"/>
      <w:marBottom w:val="0"/>
      <w:divBdr>
        <w:top w:val="none" w:sz="0" w:space="0" w:color="auto"/>
        <w:left w:val="none" w:sz="0" w:space="0" w:color="auto"/>
        <w:bottom w:val="none" w:sz="0" w:space="0" w:color="auto"/>
        <w:right w:val="none" w:sz="0" w:space="0" w:color="auto"/>
      </w:divBdr>
    </w:div>
    <w:div w:id="933243244">
      <w:bodyDiv w:val="1"/>
      <w:marLeft w:val="0"/>
      <w:marRight w:val="0"/>
      <w:marTop w:val="0"/>
      <w:marBottom w:val="0"/>
      <w:divBdr>
        <w:top w:val="none" w:sz="0" w:space="0" w:color="auto"/>
        <w:left w:val="none" w:sz="0" w:space="0" w:color="auto"/>
        <w:bottom w:val="none" w:sz="0" w:space="0" w:color="auto"/>
        <w:right w:val="none" w:sz="0" w:space="0" w:color="auto"/>
      </w:divBdr>
    </w:div>
    <w:div w:id="933322165">
      <w:bodyDiv w:val="1"/>
      <w:marLeft w:val="0"/>
      <w:marRight w:val="0"/>
      <w:marTop w:val="0"/>
      <w:marBottom w:val="0"/>
      <w:divBdr>
        <w:top w:val="none" w:sz="0" w:space="0" w:color="auto"/>
        <w:left w:val="none" w:sz="0" w:space="0" w:color="auto"/>
        <w:bottom w:val="none" w:sz="0" w:space="0" w:color="auto"/>
        <w:right w:val="none" w:sz="0" w:space="0" w:color="auto"/>
      </w:divBdr>
    </w:div>
    <w:div w:id="933393460">
      <w:bodyDiv w:val="1"/>
      <w:marLeft w:val="0"/>
      <w:marRight w:val="0"/>
      <w:marTop w:val="0"/>
      <w:marBottom w:val="0"/>
      <w:divBdr>
        <w:top w:val="none" w:sz="0" w:space="0" w:color="auto"/>
        <w:left w:val="none" w:sz="0" w:space="0" w:color="auto"/>
        <w:bottom w:val="none" w:sz="0" w:space="0" w:color="auto"/>
        <w:right w:val="none" w:sz="0" w:space="0" w:color="auto"/>
      </w:divBdr>
    </w:div>
    <w:div w:id="933395613">
      <w:bodyDiv w:val="1"/>
      <w:marLeft w:val="0"/>
      <w:marRight w:val="0"/>
      <w:marTop w:val="0"/>
      <w:marBottom w:val="0"/>
      <w:divBdr>
        <w:top w:val="none" w:sz="0" w:space="0" w:color="auto"/>
        <w:left w:val="none" w:sz="0" w:space="0" w:color="auto"/>
        <w:bottom w:val="none" w:sz="0" w:space="0" w:color="auto"/>
        <w:right w:val="none" w:sz="0" w:space="0" w:color="auto"/>
      </w:divBdr>
    </w:div>
    <w:div w:id="933703343">
      <w:bodyDiv w:val="1"/>
      <w:marLeft w:val="0"/>
      <w:marRight w:val="0"/>
      <w:marTop w:val="0"/>
      <w:marBottom w:val="0"/>
      <w:divBdr>
        <w:top w:val="none" w:sz="0" w:space="0" w:color="auto"/>
        <w:left w:val="none" w:sz="0" w:space="0" w:color="auto"/>
        <w:bottom w:val="none" w:sz="0" w:space="0" w:color="auto"/>
        <w:right w:val="none" w:sz="0" w:space="0" w:color="auto"/>
      </w:divBdr>
    </w:div>
    <w:div w:id="933779987">
      <w:bodyDiv w:val="1"/>
      <w:marLeft w:val="0"/>
      <w:marRight w:val="0"/>
      <w:marTop w:val="0"/>
      <w:marBottom w:val="0"/>
      <w:divBdr>
        <w:top w:val="none" w:sz="0" w:space="0" w:color="auto"/>
        <w:left w:val="none" w:sz="0" w:space="0" w:color="auto"/>
        <w:bottom w:val="none" w:sz="0" w:space="0" w:color="auto"/>
        <w:right w:val="none" w:sz="0" w:space="0" w:color="auto"/>
      </w:divBdr>
    </w:div>
    <w:div w:id="934707018">
      <w:bodyDiv w:val="1"/>
      <w:marLeft w:val="0"/>
      <w:marRight w:val="0"/>
      <w:marTop w:val="0"/>
      <w:marBottom w:val="0"/>
      <w:divBdr>
        <w:top w:val="none" w:sz="0" w:space="0" w:color="auto"/>
        <w:left w:val="none" w:sz="0" w:space="0" w:color="auto"/>
        <w:bottom w:val="none" w:sz="0" w:space="0" w:color="auto"/>
        <w:right w:val="none" w:sz="0" w:space="0" w:color="auto"/>
      </w:divBdr>
    </w:div>
    <w:div w:id="934946880">
      <w:bodyDiv w:val="1"/>
      <w:marLeft w:val="0"/>
      <w:marRight w:val="0"/>
      <w:marTop w:val="0"/>
      <w:marBottom w:val="0"/>
      <w:divBdr>
        <w:top w:val="none" w:sz="0" w:space="0" w:color="auto"/>
        <w:left w:val="none" w:sz="0" w:space="0" w:color="auto"/>
        <w:bottom w:val="none" w:sz="0" w:space="0" w:color="auto"/>
        <w:right w:val="none" w:sz="0" w:space="0" w:color="auto"/>
      </w:divBdr>
    </w:div>
    <w:div w:id="934947173">
      <w:bodyDiv w:val="1"/>
      <w:marLeft w:val="0"/>
      <w:marRight w:val="0"/>
      <w:marTop w:val="0"/>
      <w:marBottom w:val="0"/>
      <w:divBdr>
        <w:top w:val="none" w:sz="0" w:space="0" w:color="auto"/>
        <w:left w:val="none" w:sz="0" w:space="0" w:color="auto"/>
        <w:bottom w:val="none" w:sz="0" w:space="0" w:color="auto"/>
        <w:right w:val="none" w:sz="0" w:space="0" w:color="auto"/>
      </w:divBdr>
    </w:div>
    <w:div w:id="935290038">
      <w:bodyDiv w:val="1"/>
      <w:marLeft w:val="0"/>
      <w:marRight w:val="0"/>
      <w:marTop w:val="0"/>
      <w:marBottom w:val="0"/>
      <w:divBdr>
        <w:top w:val="none" w:sz="0" w:space="0" w:color="auto"/>
        <w:left w:val="none" w:sz="0" w:space="0" w:color="auto"/>
        <w:bottom w:val="none" w:sz="0" w:space="0" w:color="auto"/>
        <w:right w:val="none" w:sz="0" w:space="0" w:color="auto"/>
      </w:divBdr>
    </w:div>
    <w:div w:id="935330803">
      <w:bodyDiv w:val="1"/>
      <w:marLeft w:val="0"/>
      <w:marRight w:val="0"/>
      <w:marTop w:val="0"/>
      <w:marBottom w:val="0"/>
      <w:divBdr>
        <w:top w:val="none" w:sz="0" w:space="0" w:color="auto"/>
        <w:left w:val="none" w:sz="0" w:space="0" w:color="auto"/>
        <w:bottom w:val="none" w:sz="0" w:space="0" w:color="auto"/>
        <w:right w:val="none" w:sz="0" w:space="0" w:color="auto"/>
      </w:divBdr>
    </w:div>
    <w:div w:id="935553807">
      <w:bodyDiv w:val="1"/>
      <w:marLeft w:val="0"/>
      <w:marRight w:val="0"/>
      <w:marTop w:val="0"/>
      <w:marBottom w:val="0"/>
      <w:divBdr>
        <w:top w:val="none" w:sz="0" w:space="0" w:color="auto"/>
        <w:left w:val="none" w:sz="0" w:space="0" w:color="auto"/>
        <w:bottom w:val="none" w:sz="0" w:space="0" w:color="auto"/>
        <w:right w:val="none" w:sz="0" w:space="0" w:color="auto"/>
      </w:divBdr>
    </w:div>
    <w:div w:id="935673345">
      <w:bodyDiv w:val="1"/>
      <w:marLeft w:val="0"/>
      <w:marRight w:val="0"/>
      <w:marTop w:val="0"/>
      <w:marBottom w:val="0"/>
      <w:divBdr>
        <w:top w:val="none" w:sz="0" w:space="0" w:color="auto"/>
        <w:left w:val="none" w:sz="0" w:space="0" w:color="auto"/>
        <w:bottom w:val="none" w:sz="0" w:space="0" w:color="auto"/>
        <w:right w:val="none" w:sz="0" w:space="0" w:color="auto"/>
      </w:divBdr>
    </w:div>
    <w:div w:id="935864406">
      <w:bodyDiv w:val="1"/>
      <w:marLeft w:val="0"/>
      <w:marRight w:val="0"/>
      <w:marTop w:val="0"/>
      <w:marBottom w:val="0"/>
      <w:divBdr>
        <w:top w:val="none" w:sz="0" w:space="0" w:color="auto"/>
        <w:left w:val="none" w:sz="0" w:space="0" w:color="auto"/>
        <w:bottom w:val="none" w:sz="0" w:space="0" w:color="auto"/>
        <w:right w:val="none" w:sz="0" w:space="0" w:color="auto"/>
      </w:divBdr>
    </w:div>
    <w:div w:id="936057975">
      <w:bodyDiv w:val="1"/>
      <w:marLeft w:val="0"/>
      <w:marRight w:val="0"/>
      <w:marTop w:val="0"/>
      <w:marBottom w:val="0"/>
      <w:divBdr>
        <w:top w:val="none" w:sz="0" w:space="0" w:color="auto"/>
        <w:left w:val="none" w:sz="0" w:space="0" w:color="auto"/>
        <w:bottom w:val="none" w:sz="0" w:space="0" w:color="auto"/>
        <w:right w:val="none" w:sz="0" w:space="0" w:color="auto"/>
      </w:divBdr>
    </w:div>
    <w:div w:id="936139617">
      <w:bodyDiv w:val="1"/>
      <w:marLeft w:val="0"/>
      <w:marRight w:val="0"/>
      <w:marTop w:val="0"/>
      <w:marBottom w:val="0"/>
      <w:divBdr>
        <w:top w:val="none" w:sz="0" w:space="0" w:color="auto"/>
        <w:left w:val="none" w:sz="0" w:space="0" w:color="auto"/>
        <w:bottom w:val="none" w:sz="0" w:space="0" w:color="auto"/>
        <w:right w:val="none" w:sz="0" w:space="0" w:color="auto"/>
      </w:divBdr>
    </w:div>
    <w:div w:id="936324236">
      <w:bodyDiv w:val="1"/>
      <w:marLeft w:val="0"/>
      <w:marRight w:val="0"/>
      <w:marTop w:val="0"/>
      <w:marBottom w:val="0"/>
      <w:divBdr>
        <w:top w:val="none" w:sz="0" w:space="0" w:color="auto"/>
        <w:left w:val="none" w:sz="0" w:space="0" w:color="auto"/>
        <w:bottom w:val="none" w:sz="0" w:space="0" w:color="auto"/>
        <w:right w:val="none" w:sz="0" w:space="0" w:color="auto"/>
      </w:divBdr>
    </w:div>
    <w:div w:id="936328400">
      <w:bodyDiv w:val="1"/>
      <w:marLeft w:val="0"/>
      <w:marRight w:val="0"/>
      <w:marTop w:val="0"/>
      <w:marBottom w:val="0"/>
      <w:divBdr>
        <w:top w:val="none" w:sz="0" w:space="0" w:color="auto"/>
        <w:left w:val="none" w:sz="0" w:space="0" w:color="auto"/>
        <w:bottom w:val="none" w:sz="0" w:space="0" w:color="auto"/>
        <w:right w:val="none" w:sz="0" w:space="0" w:color="auto"/>
      </w:divBdr>
    </w:div>
    <w:div w:id="936523936">
      <w:bodyDiv w:val="1"/>
      <w:marLeft w:val="0"/>
      <w:marRight w:val="0"/>
      <w:marTop w:val="0"/>
      <w:marBottom w:val="0"/>
      <w:divBdr>
        <w:top w:val="none" w:sz="0" w:space="0" w:color="auto"/>
        <w:left w:val="none" w:sz="0" w:space="0" w:color="auto"/>
        <w:bottom w:val="none" w:sz="0" w:space="0" w:color="auto"/>
        <w:right w:val="none" w:sz="0" w:space="0" w:color="auto"/>
      </w:divBdr>
    </w:div>
    <w:div w:id="936868388">
      <w:bodyDiv w:val="1"/>
      <w:marLeft w:val="0"/>
      <w:marRight w:val="0"/>
      <w:marTop w:val="0"/>
      <w:marBottom w:val="0"/>
      <w:divBdr>
        <w:top w:val="none" w:sz="0" w:space="0" w:color="auto"/>
        <w:left w:val="none" w:sz="0" w:space="0" w:color="auto"/>
        <w:bottom w:val="none" w:sz="0" w:space="0" w:color="auto"/>
        <w:right w:val="none" w:sz="0" w:space="0" w:color="auto"/>
      </w:divBdr>
    </w:div>
    <w:div w:id="936980604">
      <w:bodyDiv w:val="1"/>
      <w:marLeft w:val="0"/>
      <w:marRight w:val="0"/>
      <w:marTop w:val="0"/>
      <w:marBottom w:val="0"/>
      <w:divBdr>
        <w:top w:val="none" w:sz="0" w:space="0" w:color="auto"/>
        <w:left w:val="none" w:sz="0" w:space="0" w:color="auto"/>
        <w:bottom w:val="none" w:sz="0" w:space="0" w:color="auto"/>
        <w:right w:val="none" w:sz="0" w:space="0" w:color="auto"/>
      </w:divBdr>
    </w:div>
    <w:div w:id="937375325">
      <w:bodyDiv w:val="1"/>
      <w:marLeft w:val="0"/>
      <w:marRight w:val="0"/>
      <w:marTop w:val="0"/>
      <w:marBottom w:val="0"/>
      <w:divBdr>
        <w:top w:val="none" w:sz="0" w:space="0" w:color="auto"/>
        <w:left w:val="none" w:sz="0" w:space="0" w:color="auto"/>
        <w:bottom w:val="none" w:sz="0" w:space="0" w:color="auto"/>
        <w:right w:val="none" w:sz="0" w:space="0" w:color="auto"/>
      </w:divBdr>
    </w:div>
    <w:div w:id="937492963">
      <w:bodyDiv w:val="1"/>
      <w:marLeft w:val="0"/>
      <w:marRight w:val="0"/>
      <w:marTop w:val="0"/>
      <w:marBottom w:val="0"/>
      <w:divBdr>
        <w:top w:val="none" w:sz="0" w:space="0" w:color="auto"/>
        <w:left w:val="none" w:sz="0" w:space="0" w:color="auto"/>
        <w:bottom w:val="none" w:sz="0" w:space="0" w:color="auto"/>
        <w:right w:val="none" w:sz="0" w:space="0" w:color="auto"/>
      </w:divBdr>
    </w:div>
    <w:div w:id="937519451">
      <w:bodyDiv w:val="1"/>
      <w:marLeft w:val="0"/>
      <w:marRight w:val="0"/>
      <w:marTop w:val="0"/>
      <w:marBottom w:val="0"/>
      <w:divBdr>
        <w:top w:val="none" w:sz="0" w:space="0" w:color="auto"/>
        <w:left w:val="none" w:sz="0" w:space="0" w:color="auto"/>
        <w:bottom w:val="none" w:sz="0" w:space="0" w:color="auto"/>
        <w:right w:val="none" w:sz="0" w:space="0" w:color="auto"/>
      </w:divBdr>
    </w:div>
    <w:div w:id="937566268">
      <w:bodyDiv w:val="1"/>
      <w:marLeft w:val="0"/>
      <w:marRight w:val="0"/>
      <w:marTop w:val="0"/>
      <w:marBottom w:val="0"/>
      <w:divBdr>
        <w:top w:val="none" w:sz="0" w:space="0" w:color="auto"/>
        <w:left w:val="none" w:sz="0" w:space="0" w:color="auto"/>
        <w:bottom w:val="none" w:sz="0" w:space="0" w:color="auto"/>
        <w:right w:val="none" w:sz="0" w:space="0" w:color="auto"/>
      </w:divBdr>
    </w:div>
    <w:div w:id="937641531">
      <w:bodyDiv w:val="1"/>
      <w:marLeft w:val="0"/>
      <w:marRight w:val="0"/>
      <w:marTop w:val="0"/>
      <w:marBottom w:val="0"/>
      <w:divBdr>
        <w:top w:val="none" w:sz="0" w:space="0" w:color="auto"/>
        <w:left w:val="none" w:sz="0" w:space="0" w:color="auto"/>
        <w:bottom w:val="none" w:sz="0" w:space="0" w:color="auto"/>
        <w:right w:val="none" w:sz="0" w:space="0" w:color="auto"/>
      </w:divBdr>
    </w:div>
    <w:div w:id="937717799">
      <w:bodyDiv w:val="1"/>
      <w:marLeft w:val="0"/>
      <w:marRight w:val="0"/>
      <w:marTop w:val="0"/>
      <w:marBottom w:val="0"/>
      <w:divBdr>
        <w:top w:val="none" w:sz="0" w:space="0" w:color="auto"/>
        <w:left w:val="none" w:sz="0" w:space="0" w:color="auto"/>
        <w:bottom w:val="none" w:sz="0" w:space="0" w:color="auto"/>
        <w:right w:val="none" w:sz="0" w:space="0" w:color="auto"/>
      </w:divBdr>
    </w:div>
    <w:div w:id="937906366">
      <w:bodyDiv w:val="1"/>
      <w:marLeft w:val="0"/>
      <w:marRight w:val="0"/>
      <w:marTop w:val="0"/>
      <w:marBottom w:val="0"/>
      <w:divBdr>
        <w:top w:val="none" w:sz="0" w:space="0" w:color="auto"/>
        <w:left w:val="none" w:sz="0" w:space="0" w:color="auto"/>
        <w:bottom w:val="none" w:sz="0" w:space="0" w:color="auto"/>
        <w:right w:val="none" w:sz="0" w:space="0" w:color="auto"/>
      </w:divBdr>
    </w:div>
    <w:div w:id="938559964">
      <w:bodyDiv w:val="1"/>
      <w:marLeft w:val="0"/>
      <w:marRight w:val="0"/>
      <w:marTop w:val="0"/>
      <w:marBottom w:val="0"/>
      <w:divBdr>
        <w:top w:val="none" w:sz="0" w:space="0" w:color="auto"/>
        <w:left w:val="none" w:sz="0" w:space="0" w:color="auto"/>
        <w:bottom w:val="none" w:sz="0" w:space="0" w:color="auto"/>
        <w:right w:val="none" w:sz="0" w:space="0" w:color="auto"/>
      </w:divBdr>
    </w:div>
    <w:div w:id="938606831">
      <w:bodyDiv w:val="1"/>
      <w:marLeft w:val="0"/>
      <w:marRight w:val="0"/>
      <w:marTop w:val="0"/>
      <w:marBottom w:val="0"/>
      <w:divBdr>
        <w:top w:val="none" w:sz="0" w:space="0" w:color="auto"/>
        <w:left w:val="none" w:sz="0" w:space="0" w:color="auto"/>
        <w:bottom w:val="none" w:sz="0" w:space="0" w:color="auto"/>
        <w:right w:val="none" w:sz="0" w:space="0" w:color="auto"/>
      </w:divBdr>
    </w:div>
    <w:div w:id="938756116">
      <w:bodyDiv w:val="1"/>
      <w:marLeft w:val="0"/>
      <w:marRight w:val="0"/>
      <w:marTop w:val="0"/>
      <w:marBottom w:val="0"/>
      <w:divBdr>
        <w:top w:val="none" w:sz="0" w:space="0" w:color="auto"/>
        <w:left w:val="none" w:sz="0" w:space="0" w:color="auto"/>
        <w:bottom w:val="none" w:sz="0" w:space="0" w:color="auto"/>
        <w:right w:val="none" w:sz="0" w:space="0" w:color="auto"/>
      </w:divBdr>
    </w:div>
    <w:div w:id="938872249">
      <w:bodyDiv w:val="1"/>
      <w:marLeft w:val="0"/>
      <w:marRight w:val="0"/>
      <w:marTop w:val="0"/>
      <w:marBottom w:val="0"/>
      <w:divBdr>
        <w:top w:val="none" w:sz="0" w:space="0" w:color="auto"/>
        <w:left w:val="none" w:sz="0" w:space="0" w:color="auto"/>
        <w:bottom w:val="none" w:sz="0" w:space="0" w:color="auto"/>
        <w:right w:val="none" w:sz="0" w:space="0" w:color="auto"/>
      </w:divBdr>
    </w:div>
    <w:div w:id="938879259">
      <w:bodyDiv w:val="1"/>
      <w:marLeft w:val="0"/>
      <w:marRight w:val="0"/>
      <w:marTop w:val="0"/>
      <w:marBottom w:val="0"/>
      <w:divBdr>
        <w:top w:val="none" w:sz="0" w:space="0" w:color="auto"/>
        <w:left w:val="none" w:sz="0" w:space="0" w:color="auto"/>
        <w:bottom w:val="none" w:sz="0" w:space="0" w:color="auto"/>
        <w:right w:val="none" w:sz="0" w:space="0" w:color="auto"/>
      </w:divBdr>
    </w:div>
    <w:div w:id="939025694">
      <w:bodyDiv w:val="1"/>
      <w:marLeft w:val="0"/>
      <w:marRight w:val="0"/>
      <w:marTop w:val="0"/>
      <w:marBottom w:val="0"/>
      <w:divBdr>
        <w:top w:val="none" w:sz="0" w:space="0" w:color="auto"/>
        <w:left w:val="none" w:sz="0" w:space="0" w:color="auto"/>
        <w:bottom w:val="none" w:sz="0" w:space="0" w:color="auto"/>
        <w:right w:val="none" w:sz="0" w:space="0" w:color="auto"/>
      </w:divBdr>
    </w:div>
    <w:div w:id="939262954">
      <w:bodyDiv w:val="1"/>
      <w:marLeft w:val="0"/>
      <w:marRight w:val="0"/>
      <w:marTop w:val="0"/>
      <w:marBottom w:val="0"/>
      <w:divBdr>
        <w:top w:val="none" w:sz="0" w:space="0" w:color="auto"/>
        <w:left w:val="none" w:sz="0" w:space="0" w:color="auto"/>
        <w:bottom w:val="none" w:sz="0" w:space="0" w:color="auto"/>
        <w:right w:val="none" w:sz="0" w:space="0" w:color="auto"/>
      </w:divBdr>
    </w:div>
    <w:div w:id="939335049">
      <w:bodyDiv w:val="1"/>
      <w:marLeft w:val="0"/>
      <w:marRight w:val="0"/>
      <w:marTop w:val="0"/>
      <w:marBottom w:val="0"/>
      <w:divBdr>
        <w:top w:val="none" w:sz="0" w:space="0" w:color="auto"/>
        <w:left w:val="none" w:sz="0" w:space="0" w:color="auto"/>
        <w:bottom w:val="none" w:sz="0" w:space="0" w:color="auto"/>
        <w:right w:val="none" w:sz="0" w:space="0" w:color="auto"/>
      </w:divBdr>
    </w:div>
    <w:div w:id="939414315">
      <w:bodyDiv w:val="1"/>
      <w:marLeft w:val="0"/>
      <w:marRight w:val="0"/>
      <w:marTop w:val="0"/>
      <w:marBottom w:val="0"/>
      <w:divBdr>
        <w:top w:val="none" w:sz="0" w:space="0" w:color="auto"/>
        <w:left w:val="none" w:sz="0" w:space="0" w:color="auto"/>
        <w:bottom w:val="none" w:sz="0" w:space="0" w:color="auto"/>
        <w:right w:val="none" w:sz="0" w:space="0" w:color="auto"/>
      </w:divBdr>
    </w:div>
    <w:div w:id="939605355">
      <w:bodyDiv w:val="1"/>
      <w:marLeft w:val="0"/>
      <w:marRight w:val="0"/>
      <w:marTop w:val="0"/>
      <w:marBottom w:val="0"/>
      <w:divBdr>
        <w:top w:val="none" w:sz="0" w:space="0" w:color="auto"/>
        <w:left w:val="none" w:sz="0" w:space="0" w:color="auto"/>
        <w:bottom w:val="none" w:sz="0" w:space="0" w:color="auto"/>
        <w:right w:val="none" w:sz="0" w:space="0" w:color="auto"/>
      </w:divBdr>
    </w:div>
    <w:div w:id="939751571">
      <w:bodyDiv w:val="1"/>
      <w:marLeft w:val="0"/>
      <w:marRight w:val="0"/>
      <w:marTop w:val="0"/>
      <w:marBottom w:val="0"/>
      <w:divBdr>
        <w:top w:val="none" w:sz="0" w:space="0" w:color="auto"/>
        <w:left w:val="none" w:sz="0" w:space="0" w:color="auto"/>
        <w:bottom w:val="none" w:sz="0" w:space="0" w:color="auto"/>
        <w:right w:val="none" w:sz="0" w:space="0" w:color="auto"/>
      </w:divBdr>
    </w:div>
    <w:div w:id="939798018">
      <w:bodyDiv w:val="1"/>
      <w:marLeft w:val="0"/>
      <w:marRight w:val="0"/>
      <w:marTop w:val="0"/>
      <w:marBottom w:val="0"/>
      <w:divBdr>
        <w:top w:val="none" w:sz="0" w:space="0" w:color="auto"/>
        <w:left w:val="none" w:sz="0" w:space="0" w:color="auto"/>
        <w:bottom w:val="none" w:sz="0" w:space="0" w:color="auto"/>
        <w:right w:val="none" w:sz="0" w:space="0" w:color="auto"/>
      </w:divBdr>
    </w:div>
    <w:div w:id="939921395">
      <w:bodyDiv w:val="1"/>
      <w:marLeft w:val="0"/>
      <w:marRight w:val="0"/>
      <w:marTop w:val="0"/>
      <w:marBottom w:val="0"/>
      <w:divBdr>
        <w:top w:val="none" w:sz="0" w:space="0" w:color="auto"/>
        <w:left w:val="none" w:sz="0" w:space="0" w:color="auto"/>
        <w:bottom w:val="none" w:sz="0" w:space="0" w:color="auto"/>
        <w:right w:val="none" w:sz="0" w:space="0" w:color="auto"/>
      </w:divBdr>
    </w:div>
    <w:div w:id="940063496">
      <w:bodyDiv w:val="1"/>
      <w:marLeft w:val="0"/>
      <w:marRight w:val="0"/>
      <w:marTop w:val="0"/>
      <w:marBottom w:val="0"/>
      <w:divBdr>
        <w:top w:val="none" w:sz="0" w:space="0" w:color="auto"/>
        <w:left w:val="none" w:sz="0" w:space="0" w:color="auto"/>
        <w:bottom w:val="none" w:sz="0" w:space="0" w:color="auto"/>
        <w:right w:val="none" w:sz="0" w:space="0" w:color="auto"/>
      </w:divBdr>
    </w:div>
    <w:div w:id="940069780">
      <w:bodyDiv w:val="1"/>
      <w:marLeft w:val="0"/>
      <w:marRight w:val="0"/>
      <w:marTop w:val="0"/>
      <w:marBottom w:val="0"/>
      <w:divBdr>
        <w:top w:val="none" w:sz="0" w:space="0" w:color="auto"/>
        <w:left w:val="none" w:sz="0" w:space="0" w:color="auto"/>
        <w:bottom w:val="none" w:sz="0" w:space="0" w:color="auto"/>
        <w:right w:val="none" w:sz="0" w:space="0" w:color="auto"/>
      </w:divBdr>
    </w:div>
    <w:div w:id="940143327">
      <w:bodyDiv w:val="1"/>
      <w:marLeft w:val="0"/>
      <w:marRight w:val="0"/>
      <w:marTop w:val="0"/>
      <w:marBottom w:val="0"/>
      <w:divBdr>
        <w:top w:val="none" w:sz="0" w:space="0" w:color="auto"/>
        <w:left w:val="none" w:sz="0" w:space="0" w:color="auto"/>
        <w:bottom w:val="none" w:sz="0" w:space="0" w:color="auto"/>
        <w:right w:val="none" w:sz="0" w:space="0" w:color="auto"/>
      </w:divBdr>
    </w:div>
    <w:div w:id="940262506">
      <w:bodyDiv w:val="1"/>
      <w:marLeft w:val="0"/>
      <w:marRight w:val="0"/>
      <w:marTop w:val="0"/>
      <w:marBottom w:val="0"/>
      <w:divBdr>
        <w:top w:val="none" w:sz="0" w:space="0" w:color="auto"/>
        <w:left w:val="none" w:sz="0" w:space="0" w:color="auto"/>
        <w:bottom w:val="none" w:sz="0" w:space="0" w:color="auto"/>
        <w:right w:val="none" w:sz="0" w:space="0" w:color="auto"/>
      </w:divBdr>
    </w:div>
    <w:div w:id="940331061">
      <w:bodyDiv w:val="1"/>
      <w:marLeft w:val="0"/>
      <w:marRight w:val="0"/>
      <w:marTop w:val="0"/>
      <w:marBottom w:val="0"/>
      <w:divBdr>
        <w:top w:val="none" w:sz="0" w:space="0" w:color="auto"/>
        <w:left w:val="none" w:sz="0" w:space="0" w:color="auto"/>
        <w:bottom w:val="none" w:sz="0" w:space="0" w:color="auto"/>
        <w:right w:val="none" w:sz="0" w:space="0" w:color="auto"/>
      </w:divBdr>
    </w:div>
    <w:div w:id="940334138">
      <w:bodyDiv w:val="1"/>
      <w:marLeft w:val="0"/>
      <w:marRight w:val="0"/>
      <w:marTop w:val="0"/>
      <w:marBottom w:val="0"/>
      <w:divBdr>
        <w:top w:val="none" w:sz="0" w:space="0" w:color="auto"/>
        <w:left w:val="none" w:sz="0" w:space="0" w:color="auto"/>
        <w:bottom w:val="none" w:sz="0" w:space="0" w:color="auto"/>
        <w:right w:val="none" w:sz="0" w:space="0" w:color="auto"/>
      </w:divBdr>
    </w:div>
    <w:div w:id="941186988">
      <w:bodyDiv w:val="1"/>
      <w:marLeft w:val="0"/>
      <w:marRight w:val="0"/>
      <w:marTop w:val="0"/>
      <w:marBottom w:val="0"/>
      <w:divBdr>
        <w:top w:val="none" w:sz="0" w:space="0" w:color="auto"/>
        <w:left w:val="none" w:sz="0" w:space="0" w:color="auto"/>
        <w:bottom w:val="none" w:sz="0" w:space="0" w:color="auto"/>
        <w:right w:val="none" w:sz="0" w:space="0" w:color="auto"/>
      </w:divBdr>
    </w:div>
    <w:div w:id="941456561">
      <w:bodyDiv w:val="1"/>
      <w:marLeft w:val="0"/>
      <w:marRight w:val="0"/>
      <w:marTop w:val="0"/>
      <w:marBottom w:val="0"/>
      <w:divBdr>
        <w:top w:val="none" w:sz="0" w:space="0" w:color="auto"/>
        <w:left w:val="none" w:sz="0" w:space="0" w:color="auto"/>
        <w:bottom w:val="none" w:sz="0" w:space="0" w:color="auto"/>
        <w:right w:val="none" w:sz="0" w:space="0" w:color="auto"/>
      </w:divBdr>
    </w:div>
    <w:div w:id="941692617">
      <w:bodyDiv w:val="1"/>
      <w:marLeft w:val="0"/>
      <w:marRight w:val="0"/>
      <w:marTop w:val="0"/>
      <w:marBottom w:val="0"/>
      <w:divBdr>
        <w:top w:val="none" w:sz="0" w:space="0" w:color="auto"/>
        <w:left w:val="none" w:sz="0" w:space="0" w:color="auto"/>
        <w:bottom w:val="none" w:sz="0" w:space="0" w:color="auto"/>
        <w:right w:val="none" w:sz="0" w:space="0" w:color="auto"/>
      </w:divBdr>
    </w:div>
    <w:div w:id="942031289">
      <w:bodyDiv w:val="1"/>
      <w:marLeft w:val="0"/>
      <w:marRight w:val="0"/>
      <w:marTop w:val="0"/>
      <w:marBottom w:val="0"/>
      <w:divBdr>
        <w:top w:val="none" w:sz="0" w:space="0" w:color="auto"/>
        <w:left w:val="none" w:sz="0" w:space="0" w:color="auto"/>
        <w:bottom w:val="none" w:sz="0" w:space="0" w:color="auto"/>
        <w:right w:val="none" w:sz="0" w:space="0" w:color="auto"/>
      </w:divBdr>
    </w:div>
    <w:div w:id="942228994">
      <w:bodyDiv w:val="1"/>
      <w:marLeft w:val="0"/>
      <w:marRight w:val="0"/>
      <w:marTop w:val="0"/>
      <w:marBottom w:val="0"/>
      <w:divBdr>
        <w:top w:val="none" w:sz="0" w:space="0" w:color="auto"/>
        <w:left w:val="none" w:sz="0" w:space="0" w:color="auto"/>
        <w:bottom w:val="none" w:sz="0" w:space="0" w:color="auto"/>
        <w:right w:val="none" w:sz="0" w:space="0" w:color="auto"/>
      </w:divBdr>
    </w:div>
    <w:div w:id="942302242">
      <w:bodyDiv w:val="1"/>
      <w:marLeft w:val="0"/>
      <w:marRight w:val="0"/>
      <w:marTop w:val="0"/>
      <w:marBottom w:val="0"/>
      <w:divBdr>
        <w:top w:val="none" w:sz="0" w:space="0" w:color="auto"/>
        <w:left w:val="none" w:sz="0" w:space="0" w:color="auto"/>
        <w:bottom w:val="none" w:sz="0" w:space="0" w:color="auto"/>
        <w:right w:val="none" w:sz="0" w:space="0" w:color="auto"/>
      </w:divBdr>
    </w:div>
    <w:div w:id="942567086">
      <w:bodyDiv w:val="1"/>
      <w:marLeft w:val="0"/>
      <w:marRight w:val="0"/>
      <w:marTop w:val="0"/>
      <w:marBottom w:val="0"/>
      <w:divBdr>
        <w:top w:val="none" w:sz="0" w:space="0" w:color="auto"/>
        <w:left w:val="none" w:sz="0" w:space="0" w:color="auto"/>
        <w:bottom w:val="none" w:sz="0" w:space="0" w:color="auto"/>
        <w:right w:val="none" w:sz="0" w:space="0" w:color="auto"/>
      </w:divBdr>
    </w:div>
    <w:div w:id="942614804">
      <w:bodyDiv w:val="1"/>
      <w:marLeft w:val="0"/>
      <w:marRight w:val="0"/>
      <w:marTop w:val="0"/>
      <w:marBottom w:val="0"/>
      <w:divBdr>
        <w:top w:val="none" w:sz="0" w:space="0" w:color="auto"/>
        <w:left w:val="none" w:sz="0" w:space="0" w:color="auto"/>
        <w:bottom w:val="none" w:sz="0" w:space="0" w:color="auto"/>
        <w:right w:val="none" w:sz="0" w:space="0" w:color="auto"/>
      </w:divBdr>
    </w:div>
    <w:div w:id="942805305">
      <w:bodyDiv w:val="1"/>
      <w:marLeft w:val="0"/>
      <w:marRight w:val="0"/>
      <w:marTop w:val="0"/>
      <w:marBottom w:val="0"/>
      <w:divBdr>
        <w:top w:val="none" w:sz="0" w:space="0" w:color="auto"/>
        <w:left w:val="none" w:sz="0" w:space="0" w:color="auto"/>
        <w:bottom w:val="none" w:sz="0" w:space="0" w:color="auto"/>
        <w:right w:val="none" w:sz="0" w:space="0" w:color="auto"/>
      </w:divBdr>
    </w:div>
    <w:div w:id="942959160">
      <w:bodyDiv w:val="1"/>
      <w:marLeft w:val="0"/>
      <w:marRight w:val="0"/>
      <w:marTop w:val="0"/>
      <w:marBottom w:val="0"/>
      <w:divBdr>
        <w:top w:val="none" w:sz="0" w:space="0" w:color="auto"/>
        <w:left w:val="none" w:sz="0" w:space="0" w:color="auto"/>
        <w:bottom w:val="none" w:sz="0" w:space="0" w:color="auto"/>
        <w:right w:val="none" w:sz="0" w:space="0" w:color="auto"/>
      </w:divBdr>
    </w:div>
    <w:div w:id="943154919">
      <w:bodyDiv w:val="1"/>
      <w:marLeft w:val="0"/>
      <w:marRight w:val="0"/>
      <w:marTop w:val="0"/>
      <w:marBottom w:val="0"/>
      <w:divBdr>
        <w:top w:val="none" w:sz="0" w:space="0" w:color="auto"/>
        <w:left w:val="none" w:sz="0" w:space="0" w:color="auto"/>
        <w:bottom w:val="none" w:sz="0" w:space="0" w:color="auto"/>
        <w:right w:val="none" w:sz="0" w:space="0" w:color="auto"/>
      </w:divBdr>
    </w:div>
    <w:div w:id="943195033">
      <w:bodyDiv w:val="1"/>
      <w:marLeft w:val="0"/>
      <w:marRight w:val="0"/>
      <w:marTop w:val="0"/>
      <w:marBottom w:val="0"/>
      <w:divBdr>
        <w:top w:val="none" w:sz="0" w:space="0" w:color="auto"/>
        <w:left w:val="none" w:sz="0" w:space="0" w:color="auto"/>
        <w:bottom w:val="none" w:sz="0" w:space="0" w:color="auto"/>
        <w:right w:val="none" w:sz="0" w:space="0" w:color="auto"/>
      </w:divBdr>
    </w:div>
    <w:div w:id="943224805">
      <w:bodyDiv w:val="1"/>
      <w:marLeft w:val="0"/>
      <w:marRight w:val="0"/>
      <w:marTop w:val="0"/>
      <w:marBottom w:val="0"/>
      <w:divBdr>
        <w:top w:val="none" w:sz="0" w:space="0" w:color="auto"/>
        <w:left w:val="none" w:sz="0" w:space="0" w:color="auto"/>
        <w:bottom w:val="none" w:sz="0" w:space="0" w:color="auto"/>
        <w:right w:val="none" w:sz="0" w:space="0" w:color="auto"/>
      </w:divBdr>
    </w:div>
    <w:div w:id="943271812">
      <w:bodyDiv w:val="1"/>
      <w:marLeft w:val="0"/>
      <w:marRight w:val="0"/>
      <w:marTop w:val="0"/>
      <w:marBottom w:val="0"/>
      <w:divBdr>
        <w:top w:val="none" w:sz="0" w:space="0" w:color="auto"/>
        <w:left w:val="none" w:sz="0" w:space="0" w:color="auto"/>
        <w:bottom w:val="none" w:sz="0" w:space="0" w:color="auto"/>
        <w:right w:val="none" w:sz="0" w:space="0" w:color="auto"/>
      </w:divBdr>
    </w:div>
    <w:div w:id="943417219">
      <w:bodyDiv w:val="1"/>
      <w:marLeft w:val="0"/>
      <w:marRight w:val="0"/>
      <w:marTop w:val="0"/>
      <w:marBottom w:val="0"/>
      <w:divBdr>
        <w:top w:val="none" w:sz="0" w:space="0" w:color="auto"/>
        <w:left w:val="none" w:sz="0" w:space="0" w:color="auto"/>
        <w:bottom w:val="none" w:sz="0" w:space="0" w:color="auto"/>
        <w:right w:val="none" w:sz="0" w:space="0" w:color="auto"/>
      </w:divBdr>
    </w:div>
    <w:div w:id="943535447">
      <w:bodyDiv w:val="1"/>
      <w:marLeft w:val="0"/>
      <w:marRight w:val="0"/>
      <w:marTop w:val="0"/>
      <w:marBottom w:val="0"/>
      <w:divBdr>
        <w:top w:val="none" w:sz="0" w:space="0" w:color="auto"/>
        <w:left w:val="none" w:sz="0" w:space="0" w:color="auto"/>
        <w:bottom w:val="none" w:sz="0" w:space="0" w:color="auto"/>
        <w:right w:val="none" w:sz="0" w:space="0" w:color="auto"/>
      </w:divBdr>
    </w:div>
    <w:div w:id="943926010">
      <w:bodyDiv w:val="1"/>
      <w:marLeft w:val="0"/>
      <w:marRight w:val="0"/>
      <w:marTop w:val="0"/>
      <w:marBottom w:val="0"/>
      <w:divBdr>
        <w:top w:val="none" w:sz="0" w:space="0" w:color="auto"/>
        <w:left w:val="none" w:sz="0" w:space="0" w:color="auto"/>
        <w:bottom w:val="none" w:sz="0" w:space="0" w:color="auto"/>
        <w:right w:val="none" w:sz="0" w:space="0" w:color="auto"/>
      </w:divBdr>
    </w:div>
    <w:div w:id="944046174">
      <w:bodyDiv w:val="1"/>
      <w:marLeft w:val="0"/>
      <w:marRight w:val="0"/>
      <w:marTop w:val="0"/>
      <w:marBottom w:val="0"/>
      <w:divBdr>
        <w:top w:val="none" w:sz="0" w:space="0" w:color="auto"/>
        <w:left w:val="none" w:sz="0" w:space="0" w:color="auto"/>
        <w:bottom w:val="none" w:sz="0" w:space="0" w:color="auto"/>
        <w:right w:val="none" w:sz="0" w:space="0" w:color="auto"/>
      </w:divBdr>
    </w:div>
    <w:div w:id="944266756">
      <w:bodyDiv w:val="1"/>
      <w:marLeft w:val="0"/>
      <w:marRight w:val="0"/>
      <w:marTop w:val="0"/>
      <w:marBottom w:val="0"/>
      <w:divBdr>
        <w:top w:val="none" w:sz="0" w:space="0" w:color="auto"/>
        <w:left w:val="none" w:sz="0" w:space="0" w:color="auto"/>
        <w:bottom w:val="none" w:sz="0" w:space="0" w:color="auto"/>
        <w:right w:val="none" w:sz="0" w:space="0" w:color="auto"/>
      </w:divBdr>
    </w:div>
    <w:div w:id="944457817">
      <w:bodyDiv w:val="1"/>
      <w:marLeft w:val="0"/>
      <w:marRight w:val="0"/>
      <w:marTop w:val="0"/>
      <w:marBottom w:val="0"/>
      <w:divBdr>
        <w:top w:val="none" w:sz="0" w:space="0" w:color="auto"/>
        <w:left w:val="none" w:sz="0" w:space="0" w:color="auto"/>
        <w:bottom w:val="none" w:sz="0" w:space="0" w:color="auto"/>
        <w:right w:val="none" w:sz="0" w:space="0" w:color="auto"/>
      </w:divBdr>
    </w:div>
    <w:div w:id="944462624">
      <w:bodyDiv w:val="1"/>
      <w:marLeft w:val="0"/>
      <w:marRight w:val="0"/>
      <w:marTop w:val="0"/>
      <w:marBottom w:val="0"/>
      <w:divBdr>
        <w:top w:val="none" w:sz="0" w:space="0" w:color="auto"/>
        <w:left w:val="none" w:sz="0" w:space="0" w:color="auto"/>
        <w:bottom w:val="none" w:sz="0" w:space="0" w:color="auto"/>
        <w:right w:val="none" w:sz="0" w:space="0" w:color="auto"/>
      </w:divBdr>
    </w:div>
    <w:div w:id="944579601">
      <w:bodyDiv w:val="1"/>
      <w:marLeft w:val="0"/>
      <w:marRight w:val="0"/>
      <w:marTop w:val="0"/>
      <w:marBottom w:val="0"/>
      <w:divBdr>
        <w:top w:val="none" w:sz="0" w:space="0" w:color="auto"/>
        <w:left w:val="none" w:sz="0" w:space="0" w:color="auto"/>
        <w:bottom w:val="none" w:sz="0" w:space="0" w:color="auto"/>
        <w:right w:val="none" w:sz="0" w:space="0" w:color="auto"/>
      </w:divBdr>
    </w:div>
    <w:div w:id="944728303">
      <w:bodyDiv w:val="1"/>
      <w:marLeft w:val="0"/>
      <w:marRight w:val="0"/>
      <w:marTop w:val="0"/>
      <w:marBottom w:val="0"/>
      <w:divBdr>
        <w:top w:val="none" w:sz="0" w:space="0" w:color="auto"/>
        <w:left w:val="none" w:sz="0" w:space="0" w:color="auto"/>
        <w:bottom w:val="none" w:sz="0" w:space="0" w:color="auto"/>
        <w:right w:val="none" w:sz="0" w:space="0" w:color="auto"/>
      </w:divBdr>
    </w:div>
    <w:div w:id="944733441">
      <w:bodyDiv w:val="1"/>
      <w:marLeft w:val="0"/>
      <w:marRight w:val="0"/>
      <w:marTop w:val="0"/>
      <w:marBottom w:val="0"/>
      <w:divBdr>
        <w:top w:val="none" w:sz="0" w:space="0" w:color="auto"/>
        <w:left w:val="none" w:sz="0" w:space="0" w:color="auto"/>
        <w:bottom w:val="none" w:sz="0" w:space="0" w:color="auto"/>
        <w:right w:val="none" w:sz="0" w:space="0" w:color="auto"/>
      </w:divBdr>
    </w:div>
    <w:div w:id="944921256">
      <w:bodyDiv w:val="1"/>
      <w:marLeft w:val="0"/>
      <w:marRight w:val="0"/>
      <w:marTop w:val="0"/>
      <w:marBottom w:val="0"/>
      <w:divBdr>
        <w:top w:val="none" w:sz="0" w:space="0" w:color="auto"/>
        <w:left w:val="none" w:sz="0" w:space="0" w:color="auto"/>
        <w:bottom w:val="none" w:sz="0" w:space="0" w:color="auto"/>
        <w:right w:val="none" w:sz="0" w:space="0" w:color="auto"/>
      </w:divBdr>
    </w:div>
    <w:div w:id="944993637">
      <w:bodyDiv w:val="1"/>
      <w:marLeft w:val="0"/>
      <w:marRight w:val="0"/>
      <w:marTop w:val="0"/>
      <w:marBottom w:val="0"/>
      <w:divBdr>
        <w:top w:val="none" w:sz="0" w:space="0" w:color="auto"/>
        <w:left w:val="none" w:sz="0" w:space="0" w:color="auto"/>
        <w:bottom w:val="none" w:sz="0" w:space="0" w:color="auto"/>
        <w:right w:val="none" w:sz="0" w:space="0" w:color="auto"/>
      </w:divBdr>
    </w:div>
    <w:div w:id="945036933">
      <w:bodyDiv w:val="1"/>
      <w:marLeft w:val="0"/>
      <w:marRight w:val="0"/>
      <w:marTop w:val="0"/>
      <w:marBottom w:val="0"/>
      <w:divBdr>
        <w:top w:val="none" w:sz="0" w:space="0" w:color="auto"/>
        <w:left w:val="none" w:sz="0" w:space="0" w:color="auto"/>
        <w:bottom w:val="none" w:sz="0" w:space="0" w:color="auto"/>
        <w:right w:val="none" w:sz="0" w:space="0" w:color="auto"/>
      </w:divBdr>
    </w:div>
    <w:div w:id="945114652">
      <w:bodyDiv w:val="1"/>
      <w:marLeft w:val="0"/>
      <w:marRight w:val="0"/>
      <w:marTop w:val="0"/>
      <w:marBottom w:val="0"/>
      <w:divBdr>
        <w:top w:val="none" w:sz="0" w:space="0" w:color="auto"/>
        <w:left w:val="none" w:sz="0" w:space="0" w:color="auto"/>
        <w:bottom w:val="none" w:sz="0" w:space="0" w:color="auto"/>
        <w:right w:val="none" w:sz="0" w:space="0" w:color="auto"/>
      </w:divBdr>
    </w:div>
    <w:div w:id="945189965">
      <w:bodyDiv w:val="1"/>
      <w:marLeft w:val="0"/>
      <w:marRight w:val="0"/>
      <w:marTop w:val="0"/>
      <w:marBottom w:val="0"/>
      <w:divBdr>
        <w:top w:val="none" w:sz="0" w:space="0" w:color="auto"/>
        <w:left w:val="none" w:sz="0" w:space="0" w:color="auto"/>
        <w:bottom w:val="none" w:sz="0" w:space="0" w:color="auto"/>
        <w:right w:val="none" w:sz="0" w:space="0" w:color="auto"/>
      </w:divBdr>
    </w:div>
    <w:div w:id="945307035">
      <w:bodyDiv w:val="1"/>
      <w:marLeft w:val="0"/>
      <w:marRight w:val="0"/>
      <w:marTop w:val="0"/>
      <w:marBottom w:val="0"/>
      <w:divBdr>
        <w:top w:val="none" w:sz="0" w:space="0" w:color="auto"/>
        <w:left w:val="none" w:sz="0" w:space="0" w:color="auto"/>
        <w:bottom w:val="none" w:sz="0" w:space="0" w:color="auto"/>
        <w:right w:val="none" w:sz="0" w:space="0" w:color="auto"/>
      </w:divBdr>
    </w:div>
    <w:div w:id="945621997">
      <w:bodyDiv w:val="1"/>
      <w:marLeft w:val="0"/>
      <w:marRight w:val="0"/>
      <w:marTop w:val="0"/>
      <w:marBottom w:val="0"/>
      <w:divBdr>
        <w:top w:val="none" w:sz="0" w:space="0" w:color="auto"/>
        <w:left w:val="none" w:sz="0" w:space="0" w:color="auto"/>
        <w:bottom w:val="none" w:sz="0" w:space="0" w:color="auto"/>
        <w:right w:val="none" w:sz="0" w:space="0" w:color="auto"/>
      </w:divBdr>
    </w:div>
    <w:div w:id="945622331">
      <w:bodyDiv w:val="1"/>
      <w:marLeft w:val="0"/>
      <w:marRight w:val="0"/>
      <w:marTop w:val="0"/>
      <w:marBottom w:val="0"/>
      <w:divBdr>
        <w:top w:val="none" w:sz="0" w:space="0" w:color="auto"/>
        <w:left w:val="none" w:sz="0" w:space="0" w:color="auto"/>
        <w:bottom w:val="none" w:sz="0" w:space="0" w:color="auto"/>
        <w:right w:val="none" w:sz="0" w:space="0" w:color="auto"/>
      </w:divBdr>
    </w:div>
    <w:div w:id="945768998">
      <w:bodyDiv w:val="1"/>
      <w:marLeft w:val="0"/>
      <w:marRight w:val="0"/>
      <w:marTop w:val="0"/>
      <w:marBottom w:val="0"/>
      <w:divBdr>
        <w:top w:val="none" w:sz="0" w:space="0" w:color="auto"/>
        <w:left w:val="none" w:sz="0" w:space="0" w:color="auto"/>
        <w:bottom w:val="none" w:sz="0" w:space="0" w:color="auto"/>
        <w:right w:val="none" w:sz="0" w:space="0" w:color="auto"/>
      </w:divBdr>
    </w:div>
    <w:div w:id="946038308">
      <w:bodyDiv w:val="1"/>
      <w:marLeft w:val="0"/>
      <w:marRight w:val="0"/>
      <w:marTop w:val="0"/>
      <w:marBottom w:val="0"/>
      <w:divBdr>
        <w:top w:val="none" w:sz="0" w:space="0" w:color="auto"/>
        <w:left w:val="none" w:sz="0" w:space="0" w:color="auto"/>
        <w:bottom w:val="none" w:sz="0" w:space="0" w:color="auto"/>
        <w:right w:val="none" w:sz="0" w:space="0" w:color="auto"/>
      </w:divBdr>
    </w:div>
    <w:div w:id="946040209">
      <w:bodyDiv w:val="1"/>
      <w:marLeft w:val="0"/>
      <w:marRight w:val="0"/>
      <w:marTop w:val="0"/>
      <w:marBottom w:val="0"/>
      <w:divBdr>
        <w:top w:val="none" w:sz="0" w:space="0" w:color="auto"/>
        <w:left w:val="none" w:sz="0" w:space="0" w:color="auto"/>
        <w:bottom w:val="none" w:sz="0" w:space="0" w:color="auto"/>
        <w:right w:val="none" w:sz="0" w:space="0" w:color="auto"/>
      </w:divBdr>
    </w:div>
    <w:div w:id="946156676">
      <w:bodyDiv w:val="1"/>
      <w:marLeft w:val="0"/>
      <w:marRight w:val="0"/>
      <w:marTop w:val="0"/>
      <w:marBottom w:val="0"/>
      <w:divBdr>
        <w:top w:val="none" w:sz="0" w:space="0" w:color="auto"/>
        <w:left w:val="none" w:sz="0" w:space="0" w:color="auto"/>
        <w:bottom w:val="none" w:sz="0" w:space="0" w:color="auto"/>
        <w:right w:val="none" w:sz="0" w:space="0" w:color="auto"/>
      </w:divBdr>
    </w:div>
    <w:div w:id="946231287">
      <w:bodyDiv w:val="1"/>
      <w:marLeft w:val="0"/>
      <w:marRight w:val="0"/>
      <w:marTop w:val="0"/>
      <w:marBottom w:val="0"/>
      <w:divBdr>
        <w:top w:val="none" w:sz="0" w:space="0" w:color="auto"/>
        <w:left w:val="none" w:sz="0" w:space="0" w:color="auto"/>
        <w:bottom w:val="none" w:sz="0" w:space="0" w:color="auto"/>
        <w:right w:val="none" w:sz="0" w:space="0" w:color="auto"/>
      </w:divBdr>
    </w:div>
    <w:div w:id="946346764">
      <w:bodyDiv w:val="1"/>
      <w:marLeft w:val="0"/>
      <w:marRight w:val="0"/>
      <w:marTop w:val="0"/>
      <w:marBottom w:val="0"/>
      <w:divBdr>
        <w:top w:val="none" w:sz="0" w:space="0" w:color="auto"/>
        <w:left w:val="none" w:sz="0" w:space="0" w:color="auto"/>
        <w:bottom w:val="none" w:sz="0" w:space="0" w:color="auto"/>
        <w:right w:val="none" w:sz="0" w:space="0" w:color="auto"/>
      </w:divBdr>
    </w:div>
    <w:div w:id="946347848">
      <w:bodyDiv w:val="1"/>
      <w:marLeft w:val="0"/>
      <w:marRight w:val="0"/>
      <w:marTop w:val="0"/>
      <w:marBottom w:val="0"/>
      <w:divBdr>
        <w:top w:val="none" w:sz="0" w:space="0" w:color="auto"/>
        <w:left w:val="none" w:sz="0" w:space="0" w:color="auto"/>
        <w:bottom w:val="none" w:sz="0" w:space="0" w:color="auto"/>
        <w:right w:val="none" w:sz="0" w:space="0" w:color="auto"/>
      </w:divBdr>
    </w:div>
    <w:div w:id="946352387">
      <w:bodyDiv w:val="1"/>
      <w:marLeft w:val="0"/>
      <w:marRight w:val="0"/>
      <w:marTop w:val="0"/>
      <w:marBottom w:val="0"/>
      <w:divBdr>
        <w:top w:val="none" w:sz="0" w:space="0" w:color="auto"/>
        <w:left w:val="none" w:sz="0" w:space="0" w:color="auto"/>
        <w:bottom w:val="none" w:sz="0" w:space="0" w:color="auto"/>
        <w:right w:val="none" w:sz="0" w:space="0" w:color="auto"/>
      </w:divBdr>
    </w:div>
    <w:div w:id="946498202">
      <w:bodyDiv w:val="1"/>
      <w:marLeft w:val="0"/>
      <w:marRight w:val="0"/>
      <w:marTop w:val="0"/>
      <w:marBottom w:val="0"/>
      <w:divBdr>
        <w:top w:val="none" w:sz="0" w:space="0" w:color="auto"/>
        <w:left w:val="none" w:sz="0" w:space="0" w:color="auto"/>
        <w:bottom w:val="none" w:sz="0" w:space="0" w:color="auto"/>
        <w:right w:val="none" w:sz="0" w:space="0" w:color="auto"/>
      </w:divBdr>
    </w:div>
    <w:div w:id="946548578">
      <w:bodyDiv w:val="1"/>
      <w:marLeft w:val="0"/>
      <w:marRight w:val="0"/>
      <w:marTop w:val="0"/>
      <w:marBottom w:val="0"/>
      <w:divBdr>
        <w:top w:val="none" w:sz="0" w:space="0" w:color="auto"/>
        <w:left w:val="none" w:sz="0" w:space="0" w:color="auto"/>
        <w:bottom w:val="none" w:sz="0" w:space="0" w:color="auto"/>
        <w:right w:val="none" w:sz="0" w:space="0" w:color="auto"/>
      </w:divBdr>
    </w:div>
    <w:div w:id="946691028">
      <w:bodyDiv w:val="1"/>
      <w:marLeft w:val="0"/>
      <w:marRight w:val="0"/>
      <w:marTop w:val="0"/>
      <w:marBottom w:val="0"/>
      <w:divBdr>
        <w:top w:val="none" w:sz="0" w:space="0" w:color="auto"/>
        <w:left w:val="none" w:sz="0" w:space="0" w:color="auto"/>
        <w:bottom w:val="none" w:sz="0" w:space="0" w:color="auto"/>
        <w:right w:val="none" w:sz="0" w:space="0" w:color="auto"/>
      </w:divBdr>
    </w:div>
    <w:div w:id="946810203">
      <w:bodyDiv w:val="1"/>
      <w:marLeft w:val="0"/>
      <w:marRight w:val="0"/>
      <w:marTop w:val="0"/>
      <w:marBottom w:val="0"/>
      <w:divBdr>
        <w:top w:val="none" w:sz="0" w:space="0" w:color="auto"/>
        <w:left w:val="none" w:sz="0" w:space="0" w:color="auto"/>
        <w:bottom w:val="none" w:sz="0" w:space="0" w:color="auto"/>
        <w:right w:val="none" w:sz="0" w:space="0" w:color="auto"/>
      </w:divBdr>
    </w:div>
    <w:div w:id="947127282">
      <w:bodyDiv w:val="1"/>
      <w:marLeft w:val="0"/>
      <w:marRight w:val="0"/>
      <w:marTop w:val="0"/>
      <w:marBottom w:val="0"/>
      <w:divBdr>
        <w:top w:val="none" w:sz="0" w:space="0" w:color="auto"/>
        <w:left w:val="none" w:sz="0" w:space="0" w:color="auto"/>
        <w:bottom w:val="none" w:sz="0" w:space="0" w:color="auto"/>
        <w:right w:val="none" w:sz="0" w:space="0" w:color="auto"/>
      </w:divBdr>
    </w:div>
    <w:div w:id="947272725">
      <w:bodyDiv w:val="1"/>
      <w:marLeft w:val="0"/>
      <w:marRight w:val="0"/>
      <w:marTop w:val="0"/>
      <w:marBottom w:val="0"/>
      <w:divBdr>
        <w:top w:val="none" w:sz="0" w:space="0" w:color="auto"/>
        <w:left w:val="none" w:sz="0" w:space="0" w:color="auto"/>
        <w:bottom w:val="none" w:sz="0" w:space="0" w:color="auto"/>
        <w:right w:val="none" w:sz="0" w:space="0" w:color="auto"/>
      </w:divBdr>
    </w:div>
    <w:div w:id="947279592">
      <w:bodyDiv w:val="1"/>
      <w:marLeft w:val="0"/>
      <w:marRight w:val="0"/>
      <w:marTop w:val="0"/>
      <w:marBottom w:val="0"/>
      <w:divBdr>
        <w:top w:val="none" w:sz="0" w:space="0" w:color="auto"/>
        <w:left w:val="none" w:sz="0" w:space="0" w:color="auto"/>
        <w:bottom w:val="none" w:sz="0" w:space="0" w:color="auto"/>
        <w:right w:val="none" w:sz="0" w:space="0" w:color="auto"/>
      </w:divBdr>
    </w:div>
    <w:div w:id="947391334">
      <w:bodyDiv w:val="1"/>
      <w:marLeft w:val="0"/>
      <w:marRight w:val="0"/>
      <w:marTop w:val="0"/>
      <w:marBottom w:val="0"/>
      <w:divBdr>
        <w:top w:val="none" w:sz="0" w:space="0" w:color="auto"/>
        <w:left w:val="none" w:sz="0" w:space="0" w:color="auto"/>
        <w:bottom w:val="none" w:sz="0" w:space="0" w:color="auto"/>
        <w:right w:val="none" w:sz="0" w:space="0" w:color="auto"/>
      </w:divBdr>
    </w:div>
    <w:div w:id="947615862">
      <w:bodyDiv w:val="1"/>
      <w:marLeft w:val="0"/>
      <w:marRight w:val="0"/>
      <w:marTop w:val="0"/>
      <w:marBottom w:val="0"/>
      <w:divBdr>
        <w:top w:val="none" w:sz="0" w:space="0" w:color="auto"/>
        <w:left w:val="none" w:sz="0" w:space="0" w:color="auto"/>
        <w:bottom w:val="none" w:sz="0" w:space="0" w:color="auto"/>
        <w:right w:val="none" w:sz="0" w:space="0" w:color="auto"/>
      </w:divBdr>
    </w:div>
    <w:div w:id="947813025">
      <w:bodyDiv w:val="1"/>
      <w:marLeft w:val="0"/>
      <w:marRight w:val="0"/>
      <w:marTop w:val="0"/>
      <w:marBottom w:val="0"/>
      <w:divBdr>
        <w:top w:val="none" w:sz="0" w:space="0" w:color="auto"/>
        <w:left w:val="none" w:sz="0" w:space="0" w:color="auto"/>
        <w:bottom w:val="none" w:sz="0" w:space="0" w:color="auto"/>
        <w:right w:val="none" w:sz="0" w:space="0" w:color="auto"/>
      </w:divBdr>
    </w:div>
    <w:div w:id="948201199">
      <w:bodyDiv w:val="1"/>
      <w:marLeft w:val="0"/>
      <w:marRight w:val="0"/>
      <w:marTop w:val="0"/>
      <w:marBottom w:val="0"/>
      <w:divBdr>
        <w:top w:val="none" w:sz="0" w:space="0" w:color="auto"/>
        <w:left w:val="none" w:sz="0" w:space="0" w:color="auto"/>
        <w:bottom w:val="none" w:sz="0" w:space="0" w:color="auto"/>
        <w:right w:val="none" w:sz="0" w:space="0" w:color="auto"/>
      </w:divBdr>
    </w:div>
    <w:div w:id="948246563">
      <w:bodyDiv w:val="1"/>
      <w:marLeft w:val="0"/>
      <w:marRight w:val="0"/>
      <w:marTop w:val="0"/>
      <w:marBottom w:val="0"/>
      <w:divBdr>
        <w:top w:val="none" w:sz="0" w:space="0" w:color="auto"/>
        <w:left w:val="none" w:sz="0" w:space="0" w:color="auto"/>
        <w:bottom w:val="none" w:sz="0" w:space="0" w:color="auto"/>
        <w:right w:val="none" w:sz="0" w:space="0" w:color="auto"/>
      </w:divBdr>
    </w:div>
    <w:div w:id="948317525">
      <w:bodyDiv w:val="1"/>
      <w:marLeft w:val="0"/>
      <w:marRight w:val="0"/>
      <w:marTop w:val="0"/>
      <w:marBottom w:val="0"/>
      <w:divBdr>
        <w:top w:val="none" w:sz="0" w:space="0" w:color="auto"/>
        <w:left w:val="none" w:sz="0" w:space="0" w:color="auto"/>
        <w:bottom w:val="none" w:sz="0" w:space="0" w:color="auto"/>
        <w:right w:val="none" w:sz="0" w:space="0" w:color="auto"/>
      </w:divBdr>
    </w:div>
    <w:div w:id="948319259">
      <w:bodyDiv w:val="1"/>
      <w:marLeft w:val="0"/>
      <w:marRight w:val="0"/>
      <w:marTop w:val="0"/>
      <w:marBottom w:val="0"/>
      <w:divBdr>
        <w:top w:val="none" w:sz="0" w:space="0" w:color="auto"/>
        <w:left w:val="none" w:sz="0" w:space="0" w:color="auto"/>
        <w:bottom w:val="none" w:sz="0" w:space="0" w:color="auto"/>
        <w:right w:val="none" w:sz="0" w:space="0" w:color="auto"/>
      </w:divBdr>
    </w:div>
    <w:div w:id="948585306">
      <w:bodyDiv w:val="1"/>
      <w:marLeft w:val="0"/>
      <w:marRight w:val="0"/>
      <w:marTop w:val="0"/>
      <w:marBottom w:val="0"/>
      <w:divBdr>
        <w:top w:val="none" w:sz="0" w:space="0" w:color="auto"/>
        <w:left w:val="none" w:sz="0" w:space="0" w:color="auto"/>
        <w:bottom w:val="none" w:sz="0" w:space="0" w:color="auto"/>
        <w:right w:val="none" w:sz="0" w:space="0" w:color="auto"/>
      </w:divBdr>
    </w:div>
    <w:div w:id="948774291">
      <w:bodyDiv w:val="1"/>
      <w:marLeft w:val="0"/>
      <w:marRight w:val="0"/>
      <w:marTop w:val="0"/>
      <w:marBottom w:val="0"/>
      <w:divBdr>
        <w:top w:val="none" w:sz="0" w:space="0" w:color="auto"/>
        <w:left w:val="none" w:sz="0" w:space="0" w:color="auto"/>
        <w:bottom w:val="none" w:sz="0" w:space="0" w:color="auto"/>
        <w:right w:val="none" w:sz="0" w:space="0" w:color="auto"/>
      </w:divBdr>
    </w:div>
    <w:div w:id="948897690">
      <w:bodyDiv w:val="1"/>
      <w:marLeft w:val="0"/>
      <w:marRight w:val="0"/>
      <w:marTop w:val="0"/>
      <w:marBottom w:val="0"/>
      <w:divBdr>
        <w:top w:val="none" w:sz="0" w:space="0" w:color="auto"/>
        <w:left w:val="none" w:sz="0" w:space="0" w:color="auto"/>
        <w:bottom w:val="none" w:sz="0" w:space="0" w:color="auto"/>
        <w:right w:val="none" w:sz="0" w:space="0" w:color="auto"/>
      </w:divBdr>
    </w:div>
    <w:div w:id="949044877">
      <w:bodyDiv w:val="1"/>
      <w:marLeft w:val="0"/>
      <w:marRight w:val="0"/>
      <w:marTop w:val="0"/>
      <w:marBottom w:val="0"/>
      <w:divBdr>
        <w:top w:val="none" w:sz="0" w:space="0" w:color="auto"/>
        <w:left w:val="none" w:sz="0" w:space="0" w:color="auto"/>
        <w:bottom w:val="none" w:sz="0" w:space="0" w:color="auto"/>
        <w:right w:val="none" w:sz="0" w:space="0" w:color="auto"/>
      </w:divBdr>
    </w:div>
    <w:div w:id="949044890">
      <w:bodyDiv w:val="1"/>
      <w:marLeft w:val="0"/>
      <w:marRight w:val="0"/>
      <w:marTop w:val="0"/>
      <w:marBottom w:val="0"/>
      <w:divBdr>
        <w:top w:val="none" w:sz="0" w:space="0" w:color="auto"/>
        <w:left w:val="none" w:sz="0" w:space="0" w:color="auto"/>
        <w:bottom w:val="none" w:sz="0" w:space="0" w:color="auto"/>
        <w:right w:val="none" w:sz="0" w:space="0" w:color="auto"/>
      </w:divBdr>
    </w:div>
    <w:div w:id="949050613">
      <w:bodyDiv w:val="1"/>
      <w:marLeft w:val="0"/>
      <w:marRight w:val="0"/>
      <w:marTop w:val="0"/>
      <w:marBottom w:val="0"/>
      <w:divBdr>
        <w:top w:val="none" w:sz="0" w:space="0" w:color="auto"/>
        <w:left w:val="none" w:sz="0" w:space="0" w:color="auto"/>
        <w:bottom w:val="none" w:sz="0" w:space="0" w:color="auto"/>
        <w:right w:val="none" w:sz="0" w:space="0" w:color="auto"/>
      </w:divBdr>
    </w:div>
    <w:div w:id="949162287">
      <w:bodyDiv w:val="1"/>
      <w:marLeft w:val="0"/>
      <w:marRight w:val="0"/>
      <w:marTop w:val="0"/>
      <w:marBottom w:val="0"/>
      <w:divBdr>
        <w:top w:val="none" w:sz="0" w:space="0" w:color="auto"/>
        <w:left w:val="none" w:sz="0" w:space="0" w:color="auto"/>
        <w:bottom w:val="none" w:sz="0" w:space="0" w:color="auto"/>
        <w:right w:val="none" w:sz="0" w:space="0" w:color="auto"/>
      </w:divBdr>
    </w:div>
    <w:div w:id="949167368">
      <w:bodyDiv w:val="1"/>
      <w:marLeft w:val="0"/>
      <w:marRight w:val="0"/>
      <w:marTop w:val="0"/>
      <w:marBottom w:val="0"/>
      <w:divBdr>
        <w:top w:val="none" w:sz="0" w:space="0" w:color="auto"/>
        <w:left w:val="none" w:sz="0" w:space="0" w:color="auto"/>
        <w:bottom w:val="none" w:sz="0" w:space="0" w:color="auto"/>
        <w:right w:val="none" w:sz="0" w:space="0" w:color="auto"/>
      </w:divBdr>
    </w:div>
    <w:div w:id="949241047">
      <w:bodyDiv w:val="1"/>
      <w:marLeft w:val="0"/>
      <w:marRight w:val="0"/>
      <w:marTop w:val="0"/>
      <w:marBottom w:val="0"/>
      <w:divBdr>
        <w:top w:val="none" w:sz="0" w:space="0" w:color="auto"/>
        <w:left w:val="none" w:sz="0" w:space="0" w:color="auto"/>
        <w:bottom w:val="none" w:sz="0" w:space="0" w:color="auto"/>
        <w:right w:val="none" w:sz="0" w:space="0" w:color="auto"/>
      </w:divBdr>
    </w:div>
    <w:div w:id="949431059">
      <w:bodyDiv w:val="1"/>
      <w:marLeft w:val="0"/>
      <w:marRight w:val="0"/>
      <w:marTop w:val="0"/>
      <w:marBottom w:val="0"/>
      <w:divBdr>
        <w:top w:val="none" w:sz="0" w:space="0" w:color="auto"/>
        <w:left w:val="none" w:sz="0" w:space="0" w:color="auto"/>
        <w:bottom w:val="none" w:sz="0" w:space="0" w:color="auto"/>
        <w:right w:val="none" w:sz="0" w:space="0" w:color="auto"/>
      </w:divBdr>
    </w:div>
    <w:div w:id="949436213">
      <w:bodyDiv w:val="1"/>
      <w:marLeft w:val="0"/>
      <w:marRight w:val="0"/>
      <w:marTop w:val="0"/>
      <w:marBottom w:val="0"/>
      <w:divBdr>
        <w:top w:val="none" w:sz="0" w:space="0" w:color="auto"/>
        <w:left w:val="none" w:sz="0" w:space="0" w:color="auto"/>
        <w:bottom w:val="none" w:sz="0" w:space="0" w:color="auto"/>
        <w:right w:val="none" w:sz="0" w:space="0" w:color="auto"/>
      </w:divBdr>
    </w:div>
    <w:div w:id="949510915">
      <w:bodyDiv w:val="1"/>
      <w:marLeft w:val="0"/>
      <w:marRight w:val="0"/>
      <w:marTop w:val="0"/>
      <w:marBottom w:val="0"/>
      <w:divBdr>
        <w:top w:val="none" w:sz="0" w:space="0" w:color="auto"/>
        <w:left w:val="none" w:sz="0" w:space="0" w:color="auto"/>
        <w:bottom w:val="none" w:sz="0" w:space="0" w:color="auto"/>
        <w:right w:val="none" w:sz="0" w:space="0" w:color="auto"/>
      </w:divBdr>
    </w:div>
    <w:div w:id="949582847">
      <w:bodyDiv w:val="1"/>
      <w:marLeft w:val="0"/>
      <w:marRight w:val="0"/>
      <w:marTop w:val="0"/>
      <w:marBottom w:val="0"/>
      <w:divBdr>
        <w:top w:val="none" w:sz="0" w:space="0" w:color="auto"/>
        <w:left w:val="none" w:sz="0" w:space="0" w:color="auto"/>
        <w:bottom w:val="none" w:sz="0" w:space="0" w:color="auto"/>
        <w:right w:val="none" w:sz="0" w:space="0" w:color="auto"/>
      </w:divBdr>
    </w:div>
    <w:div w:id="949631934">
      <w:bodyDiv w:val="1"/>
      <w:marLeft w:val="0"/>
      <w:marRight w:val="0"/>
      <w:marTop w:val="0"/>
      <w:marBottom w:val="0"/>
      <w:divBdr>
        <w:top w:val="none" w:sz="0" w:space="0" w:color="auto"/>
        <w:left w:val="none" w:sz="0" w:space="0" w:color="auto"/>
        <w:bottom w:val="none" w:sz="0" w:space="0" w:color="auto"/>
        <w:right w:val="none" w:sz="0" w:space="0" w:color="auto"/>
      </w:divBdr>
    </w:div>
    <w:div w:id="949778961">
      <w:bodyDiv w:val="1"/>
      <w:marLeft w:val="0"/>
      <w:marRight w:val="0"/>
      <w:marTop w:val="0"/>
      <w:marBottom w:val="0"/>
      <w:divBdr>
        <w:top w:val="none" w:sz="0" w:space="0" w:color="auto"/>
        <w:left w:val="none" w:sz="0" w:space="0" w:color="auto"/>
        <w:bottom w:val="none" w:sz="0" w:space="0" w:color="auto"/>
        <w:right w:val="none" w:sz="0" w:space="0" w:color="auto"/>
      </w:divBdr>
    </w:div>
    <w:div w:id="949897960">
      <w:bodyDiv w:val="1"/>
      <w:marLeft w:val="0"/>
      <w:marRight w:val="0"/>
      <w:marTop w:val="0"/>
      <w:marBottom w:val="0"/>
      <w:divBdr>
        <w:top w:val="none" w:sz="0" w:space="0" w:color="auto"/>
        <w:left w:val="none" w:sz="0" w:space="0" w:color="auto"/>
        <w:bottom w:val="none" w:sz="0" w:space="0" w:color="auto"/>
        <w:right w:val="none" w:sz="0" w:space="0" w:color="auto"/>
      </w:divBdr>
    </w:div>
    <w:div w:id="950018263">
      <w:bodyDiv w:val="1"/>
      <w:marLeft w:val="0"/>
      <w:marRight w:val="0"/>
      <w:marTop w:val="0"/>
      <w:marBottom w:val="0"/>
      <w:divBdr>
        <w:top w:val="none" w:sz="0" w:space="0" w:color="auto"/>
        <w:left w:val="none" w:sz="0" w:space="0" w:color="auto"/>
        <w:bottom w:val="none" w:sz="0" w:space="0" w:color="auto"/>
        <w:right w:val="none" w:sz="0" w:space="0" w:color="auto"/>
      </w:divBdr>
    </w:div>
    <w:div w:id="950282634">
      <w:bodyDiv w:val="1"/>
      <w:marLeft w:val="0"/>
      <w:marRight w:val="0"/>
      <w:marTop w:val="0"/>
      <w:marBottom w:val="0"/>
      <w:divBdr>
        <w:top w:val="none" w:sz="0" w:space="0" w:color="auto"/>
        <w:left w:val="none" w:sz="0" w:space="0" w:color="auto"/>
        <w:bottom w:val="none" w:sz="0" w:space="0" w:color="auto"/>
        <w:right w:val="none" w:sz="0" w:space="0" w:color="auto"/>
      </w:divBdr>
    </w:div>
    <w:div w:id="950284138">
      <w:bodyDiv w:val="1"/>
      <w:marLeft w:val="0"/>
      <w:marRight w:val="0"/>
      <w:marTop w:val="0"/>
      <w:marBottom w:val="0"/>
      <w:divBdr>
        <w:top w:val="none" w:sz="0" w:space="0" w:color="auto"/>
        <w:left w:val="none" w:sz="0" w:space="0" w:color="auto"/>
        <w:bottom w:val="none" w:sz="0" w:space="0" w:color="auto"/>
        <w:right w:val="none" w:sz="0" w:space="0" w:color="auto"/>
      </w:divBdr>
    </w:div>
    <w:div w:id="950357552">
      <w:bodyDiv w:val="1"/>
      <w:marLeft w:val="0"/>
      <w:marRight w:val="0"/>
      <w:marTop w:val="0"/>
      <w:marBottom w:val="0"/>
      <w:divBdr>
        <w:top w:val="none" w:sz="0" w:space="0" w:color="auto"/>
        <w:left w:val="none" w:sz="0" w:space="0" w:color="auto"/>
        <w:bottom w:val="none" w:sz="0" w:space="0" w:color="auto"/>
        <w:right w:val="none" w:sz="0" w:space="0" w:color="auto"/>
      </w:divBdr>
    </w:div>
    <w:div w:id="950361388">
      <w:bodyDiv w:val="1"/>
      <w:marLeft w:val="0"/>
      <w:marRight w:val="0"/>
      <w:marTop w:val="0"/>
      <w:marBottom w:val="0"/>
      <w:divBdr>
        <w:top w:val="none" w:sz="0" w:space="0" w:color="auto"/>
        <w:left w:val="none" w:sz="0" w:space="0" w:color="auto"/>
        <w:bottom w:val="none" w:sz="0" w:space="0" w:color="auto"/>
        <w:right w:val="none" w:sz="0" w:space="0" w:color="auto"/>
      </w:divBdr>
    </w:div>
    <w:div w:id="950867627">
      <w:bodyDiv w:val="1"/>
      <w:marLeft w:val="0"/>
      <w:marRight w:val="0"/>
      <w:marTop w:val="0"/>
      <w:marBottom w:val="0"/>
      <w:divBdr>
        <w:top w:val="none" w:sz="0" w:space="0" w:color="auto"/>
        <w:left w:val="none" w:sz="0" w:space="0" w:color="auto"/>
        <w:bottom w:val="none" w:sz="0" w:space="0" w:color="auto"/>
        <w:right w:val="none" w:sz="0" w:space="0" w:color="auto"/>
      </w:divBdr>
    </w:div>
    <w:div w:id="951090199">
      <w:bodyDiv w:val="1"/>
      <w:marLeft w:val="0"/>
      <w:marRight w:val="0"/>
      <w:marTop w:val="0"/>
      <w:marBottom w:val="0"/>
      <w:divBdr>
        <w:top w:val="none" w:sz="0" w:space="0" w:color="auto"/>
        <w:left w:val="none" w:sz="0" w:space="0" w:color="auto"/>
        <w:bottom w:val="none" w:sz="0" w:space="0" w:color="auto"/>
        <w:right w:val="none" w:sz="0" w:space="0" w:color="auto"/>
      </w:divBdr>
    </w:div>
    <w:div w:id="951210780">
      <w:bodyDiv w:val="1"/>
      <w:marLeft w:val="0"/>
      <w:marRight w:val="0"/>
      <w:marTop w:val="0"/>
      <w:marBottom w:val="0"/>
      <w:divBdr>
        <w:top w:val="none" w:sz="0" w:space="0" w:color="auto"/>
        <w:left w:val="none" w:sz="0" w:space="0" w:color="auto"/>
        <w:bottom w:val="none" w:sz="0" w:space="0" w:color="auto"/>
        <w:right w:val="none" w:sz="0" w:space="0" w:color="auto"/>
      </w:divBdr>
    </w:div>
    <w:div w:id="951329139">
      <w:bodyDiv w:val="1"/>
      <w:marLeft w:val="0"/>
      <w:marRight w:val="0"/>
      <w:marTop w:val="0"/>
      <w:marBottom w:val="0"/>
      <w:divBdr>
        <w:top w:val="none" w:sz="0" w:space="0" w:color="auto"/>
        <w:left w:val="none" w:sz="0" w:space="0" w:color="auto"/>
        <w:bottom w:val="none" w:sz="0" w:space="0" w:color="auto"/>
        <w:right w:val="none" w:sz="0" w:space="0" w:color="auto"/>
      </w:divBdr>
    </w:div>
    <w:div w:id="951398040">
      <w:bodyDiv w:val="1"/>
      <w:marLeft w:val="0"/>
      <w:marRight w:val="0"/>
      <w:marTop w:val="0"/>
      <w:marBottom w:val="0"/>
      <w:divBdr>
        <w:top w:val="none" w:sz="0" w:space="0" w:color="auto"/>
        <w:left w:val="none" w:sz="0" w:space="0" w:color="auto"/>
        <w:bottom w:val="none" w:sz="0" w:space="0" w:color="auto"/>
        <w:right w:val="none" w:sz="0" w:space="0" w:color="auto"/>
      </w:divBdr>
    </w:div>
    <w:div w:id="951399488">
      <w:bodyDiv w:val="1"/>
      <w:marLeft w:val="0"/>
      <w:marRight w:val="0"/>
      <w:marTop w:val="0"/>
      <w:marBottom w:val="0"/>
      <w:divBdr>
        <w:top w:val="none" w:sz="0" w:space="0" w:color="auto"/>
        <w:left w:val="none" w:sz="0" w:space="0" w:color="auto"/>
        <w:bottom w:val="none" w:sz="0" w:space="0" w:color="auto"/>
        <w:right w:val="none" w:sz="0" w:space="0" w:color="auto"/>
      </w:divBdr>
    </w:div>
    <w:div w:id="951404063">
      <w:bodyDiv w:val="1"/>
      <w:marLeft w:val="0"/>
      <w:marRight w:val="0"/>
      <w:marTop w:val="0"/>
      <w:marBottom w:val="0"/>
      <w:divBdr>
        <w:top w:val="none" w:sz="0" w:space="0" w:color="auto"/>
        <w:left w:val="none" w:sz="0" w:space="0" w:color="auto"/>
        <w:bottom w:val="none" w:sz="0" w:space="0" w:color="auto"/>
        <w:right w:val="none" w:sz="0" w:space="0" w:color="auto"/>
      </w:divBdr>
    </w:div>
    <w:div w:id="951522092">
      <w:bodyDiv w:val="1"/>
      <w:marLeft w:val="0"/>
      <w:marRight w:val="0"/>
      <w:marTop w:val="0"/>
      <w:marBottom w:val="0"/>
      <w:divBdr>
        <w:top w:val="none" w:sz="0" w:space="0" w:color="auto"/>
        <w:left w:val="none" w:sz="0" w:space="0" w:color="auto"/>
        <w:bottom w:val="none" w:sz="0" w:space="0" w:color="auto"/>
        <w:right w:val="none" w:sz="0" w:space="0" w:color="auto"/>
      </w:divBdr>
    </w:div>
    <w:div w:id="951590482">
      <w:bodyDiv w:val="1"/>
      <w:marLeft w:val="0"/>
      <w:marRight w:val="0"/>
      <w:marTop w:val="0"/>
      <w:marBottom w:val="0"/>
      <w:divBdr>
        <w:top w:val="none" w:sz="0" w:space="0" w:color="auto"/>
        <w:left w:val="none" w:sz="0" w:space="0" w:color="auto"/>
        <w:bottom w:val="none" w:sz="0" w:space="0" w:color="auto"/>
        <w:right w:val="none" w:sz="0" w:space="0" w:color="auto"/>
      </w:divBdr>
    </w:div>
    <w:div w:id="951667127">
      <w:bodyDiv w:val="1"/>
      <w:marLeft w:val="0"/>
      <w:marRight w:val="0"/>
      <w:marTop w:val="0"/>
      <w:marBottom w:val="0"/>
      <w:divBdr>
        <w:top w:val="none" w:sz="0" w:space="0" w:color="auto"/>
        <w:left w:val="none" w:sz="0" w:space="0" w:color="auto"/>
        <w:bottom w:val="none" w:sz="0" w:space="0" w:color="auto"/>
        <w:right w:val="none" w:sz="0" w:space="0" w:color="auto"/>
      </w:divBdr>
    </w:div>
    <w:div w:id="951667860">
      <w:bodyDiv w:val="1"/>
      <w:marLeft w:val="0"/>
      <w:marRight w:val="0"/>
      <w:marTop w:val="0"/>
      <w:marBottom w:val="0"/>
      <w:divBdr>
        <w:top w:val="none" w:sz="0" w:space="0" w:color="auto"/>
        <w:left w:val="none" w:sz="0" w:space="0" w:color="auto"/>
        <w:bottom w:val="none" w:sz="0" w:space="0" w:color="auto"/>
        <w:right w:val="none" w:sz="0" w:space="0" w:color="auto"/>
      </w:divBdr>
    </w:div>
    <w:div w:id="951862051">
      <w:bodyDiv w:val="1"/>
      <w:marLeft w:val="0"/>
      <w:marRight w:val="0"/>
      <w:marTop w:val="0"/>
      <w:marBottom w:val="0"/>
      <w:divBdr>
        <w:top w:val="none" w:sz="0" w:space="0" w:color="auto"/>
        <w:left w:val="none" w:sz="0" w:space="0" w:color="auto"/>
        <w:bottom w:val="none" w:sz="0" w:space="0" w:color="auto"/>
        <w:right w:val="none" w:sz="0" w:space="0" w:color="auto"/>
      </w:divBdr>
    </w:div>
    <w:div w:id="951981050">
      <w:bodyDiv w:val="1"/>
      <w:marLeft w:val="0"/>
      <w:marRight w:val="0"/>
      <w:marTop w:val="0"/>
      <w:marBottom w:val="0"/>
      <w:divBdr>
        <w:top w:val="none" w:sz="0" w:space="0" w:color="auto"/>
        <w:left w:val="none" w:sz="0" w:space="0" w:color="auto"/>
        <w:bottom w:val="none" w:sz="0" w:space="0" w:color="auto"/>
        <w:right w:val="none" w:sz="0" w:space="0" w:color="auto"/>
      </w:divBdr>
    </w:div>
    <w:div w:id="952133253">
      <w:bodyDiv w:val="1"/>
      <w:marLeft w:val="0"/>
      <w:marRight w:val="0"/>
      <w:marTop w:val="0"/>
      <w:marBottom w:val="0"/>
      <w:divBdr>
        <w:top w:val="none" w:sz="0" w:space="0" w:color="auto"/>
        <w:left w:val="none" w:sz="0" w:space="0" w:color="auto"/>
        <w:bottom w:val="none" w:sz="0" w:space="0" w:color="auto"/>
        <w:right w:val="none" w:sz="0" w:space="0" w:color="auto"/>
      </w:divBdr>
    </w:div>
    <w:div w:id="952204362">
      <w:bodyDiv w:val="1"/>
      <w:marLeft w:val="0"/>
      <w:marRight w:val="0"/>
      <w:marTop w:val="0"/>
      <w:marBottom w:val="0"/>
      <w:divBdr>
        <w:top w:val="none" w:sz="0" w:space="0" w:color="auto"/>
        <w:left w:val="none" w:sz="0" w:space="0" w:color="auto"/>
        <w:bottom w:val="none" w:sz="0" w:space="0" w:color="auto"/>
        <w:right w:val="none" w:sz="0" w:space="0" w:color="auto"/>
      </w:divBdr>
    </w:div>
    <w:div w:id="952324522">
      <w:bodyDiv w:val="1"/>
      <w:marLeft w:val="0"/>
      <w:marRight w:val="0"/>
      <w:marTop w:val="0"/>
      <w:marBottom w:val="0"/>
      <w:divBdr>
        <w:top w:val="none" w:sz="0" w:space="0" w:color="auto"/>
        <w:left w:val="none" w:sz="0" w:space="0" w:color="auto"/>
        <w:bottom w:val="none" w:sz="0" w:space="0" w:color="auto"/>
        <w:right w:val="none" w:sz="0" w:space="0" w:color="auto"/>
      </w:divBdr>
    </w:div>
    <w:div w:id="952592905">
      <w:bodyDiv w:val="1"/>
      <w:marLeft w:val="0"/>
      <w:marRight w:val="0"/>
      <w:marTop w:val="0"/>
      <w:marBottom w:val="0"/>
      <w:divBdr>
        <w:top w:val="none" w:sz="0" w:space="0" w:color="auto"/>
        <w:left w:val="none" w:sz="0" w:space="0" w:color="auto"/>
        <w:bottom w:val="none" w:sz="0" w:space="0" w:color="auto"/>
        <w:right w:val="none" w:sz="0" w:space="0" w:color="auto"/>
      </w:divBdr>
    </w:div>
    <w:div w:id="952789425">
      <w:bodyDiv w:val="1"/>
      <w:marLeft w:val="0"/>
      <w:marRight w:val="0"/>
      <w:marTop w:val="0"/>
      <w:marBottom w:val="0"/>
      <w:divBdr>
        <w:top w:val="none" w:sz="0" w:space="0" w:color="auto"/>
        <w:left w:val="none" w:sz="0" w:space="0" w:color="auto"/>
        <w:bottom w:val="none" w:sz="0" w:space="0" w:color="auto"/>
        <w:right w:val="none" w:sz="0" w:space="0" w:color="auto"/>
      </w:divBdr>
    </w:div>
    <w:div w:id="953248168">
      <w:bodyDiv w:val="1"/>
      <w:marLeft w:val="0"/>
      <w:marRight w:val="0"/>
      <w:marTop w:val="0"/>
      <w:marBottom w:val="0"/>
      <w:divBdr>
        <w:top w:val="none" w:sz="0" w:space="0" w:color="auto"/>
        <w:left w:val="none" w:sz="0" w:space="0" w:color="auto"/>
        <w:bottom w:val="none" w:sz="0" w:space="0" w:color="auto"/>
        <w:right w:val="none" w:sz="0" w:space="0" w:color="auto"/>
      </w:divBdr>
    </w:div>
    <w:div w:id="953291146">
      <w:bodyDiv w:val="1"/>
      <w:marLeft w:val="0"/>
      <w:marRight w:val="0"/>
      <w:marTop w:val="0"/>
      <w:marBottom w:val="0"/>
      <w:divBdr>
        <w:top w:val="none" w:sz="0" w:space="0" w:color="auto"/>
        <w:left w:val="none" w:sz="0" w:space="0" w:color="auto"/>
        <w:bottom w:val="none" w:sz="0" w:space="0" w:color="auto"/>
        <w:right w:val="none" w:sz="0" w:space="0" w:color="auto"/>
      </w:divBdr>
    </w:div>
    <w:div w:id="953294355">
      <w:bodyDiv w:val="1"/>
      <w:marLeft w:val="0"/>
      <w:marRight w:val="0"/>
      <w:marTop w:val="0"/>
      <w:marBottom w:val="0"/>
      <w:divBdr>
        <w:top w:val="none" w:sz="0" w:space="0" w:color="auto"/>
        <w:left w:val="none" w:sz="0" w:space="0" w:color="auto"/>
        <w:bottom w:val="none" w:sz="0" w:space="0" w:color="auto"/>
        <w:right w:val="none" w:sz="0" w:space="0" w:color="auto"/>
      </w:divBdr>
    </w:div>
    <w:div w:id="953361626">
      <w:bodyDiv w:val="1"/>
      <w:marLeft w:val="0"/>
      <w:marRight w:val="0"/>
      <w:marTop w:val="0"/>
      <w:marBottom w:val="0"/>
      <w:divBdr>
        <w:top w:val="none" w:sz="0" w:space="0" w:color="auto"/>
        <w:left w:val="none" w:sz="0" w:space="0" w:color="auto"/>
        <w:bottom w:val="none" w:sz="0" w:space="0" w:color="auto"/>
        <w:right w:val="none" w:sz="0" w:space="0" w:color="auto"/>
      </w:divBdr>
    </w:div>
    <w:div w:id="953439394">
      <w:bodyDiv w:val="1"/>
      <w:marLeft w:val="0"/>
      <w:marRight w:val="0"/>
      <w:marTop w:val="0"/>
      <w:marBottom w:val="0"/>
      <w:divBdr>
        <w:top w:val="none" w:sz="0" w:space="0" w:color="auto"/>
        <w:left w:val="none" w:sz="0" w:space="0" w:color="auto"/>
        <w:bottom w:val="none" w:sz="0" w:space="0" w:color="auto"/>
        <w:right w:val="none" w:sz="0" w:space="0" w:color="auto"/>
      </w:divBdr>
    </w:div>
    <w:div w:id="953749784">
      <w:bodyDiv w:val="1"/>
      <w:marLeft w:val="0"/>
      <w:marRight w:val="0"/>
      <w:marTop w:val="0"/>
      <w:marBottom w:val="0"/>
      <w:divBdr>
        <w:top w:val="none" w:sz="0" w:space="0" w:color="auto"/>
        <w:left w:val="none" w:sz="0" w:space="0" w:color="auto"/>
        <w:bottom w:val="none" w:sz="0" w:space="0" w:color="auto"/>
        <w:right w:val="none" w:sz="0" w:space="0" w:color="auto"/>
      </w:divBdr>
    </w:div>
    <w:div w:id="953757471">
      <w:bodyDiv w:val="1"/>
      <w:marLeft w:val="0"/>
      <w:marRight w:val="0"/>
      <w:marTop w:val="0"/>
      <w:marBottom w:val="0"/>
      <w:divBdr>
        <w:top w:val="none" w:sz="0" w:space="0" w:color="auto"/>
        <w:left w:val="none" w:sz="0" w:space="0" w:color="auto"/>
        <w:bottom w:val="none" w:sz="0" w:space="0" w:color="auto"/>
        <w:right w:val="none" w:sz="0" w:space="0" w:color="auto"/>
      </w:divBdr>
    </w:div>
    <w:div w:id="953828698">
      <w:bodyDiv w:val="1"/>
      <w:marLeft w:val="0"/>
      <w:marRight w:val="0"/>
      <w:marTop w:val="0"/>
      <w:marBottom w:val="0"/>
      <w:divBdr>
        <w:top w:val="none" w:sz="0" w:space="0" w:color="auto"/>
        <w:left w:val="none" w:sz="0" w:space="0" w:color="auto"/>
        <w:bottom w:val="none" w:sz="0" w:space="0" w:color="auto"/>
        <w:right w:val="none" w:sz="0" w:space="0" w:color="auto"/>
      </w:divBdr>
    </w:div>
    <w:div w:id="953942609">
      <w:bodyDiv w:val="1"/>
      <w:marLeft w:val="0"/>
      <w:marRight w:val="0"/>
      <w:marTop w:val="0"/>
      <w:marBottom w:val="0"/>
      <w:divBdr>
        <w:top w:val="none" w:sz="0" w:space="0" w:color="auto"/>
        <w:left w:val="none" w:sz="0" w:space="0" w:color="auto"/>
        <w:bottom w:val="none" w:sz="0" w:space="0" w:color="auto"/>
        <w:right w:val="none" w:sz="0" w:space="0" w:color="auto"/>
      </w:divBdr>
    </w:div>
    <w:div w:id="954018178">
      <w:bodyDiv w:val="1"/>
      <w:marLeft w:val="0"/>
      <w:marRight w:val="0"/>
      <w:marTop w:val="0"/>
      <w:marBottom w:val="0"/>
      <w:divBdr>
        <w:top w:val="none" w:sz="0" w:space="0" w:color="auto"/>
        <w:left w:val="none" w:sz="0" w:space="0" w:color="auto"/>
        <w:bottom w:val="none" w:sz="0" w:space="0" w:color="auto"/>
        <w:right w:val="none" w:sz="0" w:space="0" w:color="auto"/>
      </w:divBdr>
    </w:div>
    <w:div w:id="954022220">
      <w:bodyDiv w:val="1"/>
      <w:marLeft w:val="0"/>
      <w:marRight w:val="0"/>
      <w:marTop w:val="0"/>
      <w:marBottom w:val="0"/>
      <w:divBdr>
        <w:top w:val="none" w:sz="0" w:space="0" w:color="auto"/>
        <w:left w:val="none" w:sz="0" w:space="0" w:color="auto"/>
        <w:bottom w:val="none" w:sz="0" w:space="0" w:color="auto"/>
        <w:right w:val="none" w:sz="0" w:space="0" w:color="auto"/>
      </w:divBdr>
    </w:div>
    <w:div w:id="954099129">
      <w:bodyDiv w:val="1"/>
      <w:marLeft w:val="0"/>
      <w:marRight w:val="0"/>
      <w:marTop w:val="0"/>
      <w:marBottom w:val="0"/>
      <w:divBdr>
        <w:top w:val="none" w:sz="0" w:space="0" w:color="auto"/>
        <w:left w:val="none" w:sz="0" w:space="0" w:color="auto"/>
        <w:bottom w:val="none" w:sz="0" w:space="0" w:color="auto"/>
        <w:right w:val="none" w:sz="0" w:space="0" w:color="auto"/>
      </w:divBdr>
    </w:div>
    <w:div w:id="954100990">
      <w:bodyDiv w:val="1"/>
      <w:marLeft w:val="0"/>
      <w:marRight w:val="0"/>
      <w:marTop w:val="0"/>
      <w:marBottom w:val="0"/>
      <w:divBdr>
        <w:top w:val="none" w:sz="0" w:space="0" w:color="auto"/>
        <w:left w:val="none" w:sz="0" w:space="0" w:color="auto"/>
        <w:bottom w:val="none" w:sz="0" w:space="0" w:color="auto"/>
        <w:right w:val="none" w:sz="0" w:space="0" w:color="auto"/>
      </w:divBdr>
    </w:div>
    <w:div w:id="954411468">
      <w:bodyDiv w:val="1"/>
      <w:marLeft w:val="0"/>
      <w:marRight w:val="0"/>
      <w:marTop w:val="0"/>
      <w:marBottom w:val="0"/>
      <w:divBdr>
        <w:top w:val="none" w:sz="0" w:space="0" w:color="auto"/>
        <w:left w:val="none" w:sz="0" w:space="0" w:color="auto"/>
        <w:bottom w:val="none" w:sz="0" w:space="0" w:color="auto"/>
        <w:right w:val="none" w:sz="0" w:space="0" w:color="auto"/>
      </w:divBdr>
    </w:div>
    <w:div w:id="954480249">
      <w:bodyDiv w:val="1"/>
      <w:marLeft w:val="0"/>
      <w:marRight w:val="0"/>
      <w:marTop w:val="0"/>
      <w:marBottom w:val="0"/>
      <w:divBdr>
        <w:top w:val="none" w:sz="0" w:space="0" w:color="auto"/>
        <w:left w:val="none" w:sz="0" w:space="0" w:color="auto"/>
        <w:bottom w:val="none" w:sz="0" w:space="0" w:color="auto"/>
        <w:right w:val="none" w:sz="0" w:space="0" w:color="auto"/>
      </w:divBdr>
    </w:div>
    <w:div w:id="954754338">
      <w:bodyDiv w:val="1"/>
      <w:marLeft w:val="0"/>
      <w:marRight w:val="0"/>
      <w:marTop w:val="0"/>
      <w:marBottom w:val="0"/>
      <w:divBdr>
        <w:top w:val="none" w:sz="0" w:space="0" w:color="auto"/>
        <w:left w:val="none" w:sz="0" w:space="0" w:color="auto"/>
        <w:bottom w:val="none" w:sz="0" w:space="0" w:color="auto"/>
        <w:right w:val="none" w:sz="0" w:space="0" w:color="auto"/>
      </w:divBdr>
    </w:div>
    <w:div w:id="954755761">
      <w:bodyDiv w:val="1"/>
      <w:marLeft w:val="0"/>
      <w:marRight w:val="0"/>
      <w:marTop w:val="0"/>
      <w:marBottom w:val="0"/>
      <w:divBdr>
        <w:top w:val="none" w:sz="0" w:space="0" w:color="auto"/>
        <w:left w:val="none" w:sz="0" w:space="0" w:color="auto"/>
        <w:bottom w:val="none" w:sz="0" w:space="0" w:color="auto"/>
        <w:right w:val="none" w:sz="0" w:space="0" w:color="auto"/>
      </w:divBdr>
    </w:div>
    <w:div w:id="955019915">
      <w:bodyDiv w:val="1"/>
      <w:marLeft w:val="0"/>
      <w:marRight w:val="0"/>
      <w:marTop w:val="0"/>
      <w:marBottom w:val="0"/>
      <w:divBdr>
        <w:top w:val="none" w:sz="0" w:space="0" w:color="auto"/>
        <w:left w:val="none" w:sz="0" w:space="0" w:color="auto"/>
        <w:bottom w:val="none" w:sz="0" w:space="0" w:color="auto"/>
        <w:right w:val="none" w:sz="0" w:space="0" w:color="auto"/>
      </w:divBdr>
    </w:div>
    <w:div w:id="955409885">
      <w:bodyDiv w:val="1"/>
      <w:marLeft w:val="0"/>
      <w:marRight w:val="0"/>
      <w:marTop w:val="0"/>
      <w:marBottom w:val="0"/>
      <w:divBdr>
        <w:top w:val="none" w:sz="0" w:space="0" w:color="auto"/>
        <w:left w:val="none" w:sz="0" w:space="0" w:color="auto"/>
        <w:bottom w:val="none" w:sz="0" w:space="0" w:color="auto"/>
        <w:right w:val="none" w:sz="0" w:space="0" w:color="auto"/>
      </w:divBdr>
    </w:div>
    <w:div w:id="955675184">
      <w:bodyDiv w:val="1"/>
      <w:marLeft w:val="0"/>
      <w:marRight w:val="0"/>
      <w:marTop w:val="0"/>
      <w:marBottom w:val="0"/>
      <w:divBdr>
        <w:top w:val="none" w:sz="0" w:space="0" w:color="auto"/>
        <w:left w:val="none" w:sz="0" w:space="0" w:color="auto"/>
        <w:bottom w:val="none" w:sz="0" w:space="0" w:color="auto"/>
        <w:right w:val="none" w:sz="0" w:space="0" w:color="auto"/>
      </w:divBdr>
    </w:div>
    <w:div w:id="955719405">
      <w:bodyDiv w:val="1"/>
      <w:marLeft w:val="0"/>
      <w:marRight w:val="0"/>
      <w:marTop w:val="0"/>
      <w:marBottom w:val="0"/>
      <w:divBdr>
        <w:top w:val="none" w:sz="0" w:space="0" w:color="auto"/>
        <w:left w:val="none" w:sz="0" w:space="0" w:color="auto"/>
        <w:bottom w:val="none" w:sz="0" w:space="0" w:color="auto"/>
        <w:right w:val="none" w:sz="0" w:space="0" w:color="auto"/>
      </w:divBdr>
    </w:div>
    <w:div w:id="955795226">
      <w:bodyDiv w:val="1"/>
      <w:marLeft w:val="0"/>
      <w:marRight w:val="0"/>
      <w:marTop w:val="0"/>
      <w:marBottom w:val="0"/>
      <w:divBdr>
        <w:top w:val="none" w:sz="0" w:space="0" w:color="auto"/>
        <w:left w:val="none" w:sz="0" w:space="0" w:color="auto"/>
        <w:bottom w:val="none" w:sz="0" w:space="0" w:color="auto"/>
        <w:right w:val="none" w:sz="0" w:space="0" w:color="auto"/>
      </w:divBdr>
    </w:div>
    <w:div w:id="956065027">
      <w:bodyDiv w:val="1"/>
      <w:marLeft w:val="0"/>
      <w:marRight w:val="0"/>
      <w:marTop w:val="0"/>
      <w:marBottom w:val="0"/>
      <w:divBdr>
        <w:top w:val="none" w:sz="0" w:space="0" w:color="auto"/>
        <w:left w:val="none" w:sz="0" w:space="0" w:color="auto"/>
        <w:bottom w:val="none" w:sz="0" w:space="0" w:color="auto"/>
        <w:right w:val="none" w:sz="0" w:space="0" w:color="auto"/>
      </w:divBdr>
    </w:div>
    <w:div w:id="956065978">
      <w:bodyDiv w:val="1"/>
      <w:marLeft w:val="0"/>
      <w:marRight w:val="0"/>
      <w:marTop w:val="0"/>
      <w:marBottom w:val="0"/>
      <w:divBdr>
        <w:top w:val="none" w:sz="0" w:space="0" w:color="auto"/>
        <w:left w:val="none" w:sz="0" w:space="0" w:color="auto"/>
        <w:bottom w:val="none" w:sz="0" w:space="0" w:color="auto"/>
        <w:right w:val="none" w:sz="0" w:space="0" w:color="auto"/>
      </w:divBdr>
    </w:div>
    <w:div w:id="956451202">
      <w:bodyDiv w:val="1"/>
      <w:marLeft w:val="0"/>
      <w:marRight w:val="0"/>
      <w:marTop w:val="0"/>
      <w:marBottom w:val="0"/>
      <w:divBdr>
        <w:top w:val="none" w:sz="0" w:space="0" w:color="auto"/>
        <w:left w:val="none" w:sz="0" w:space="0" w:color="auto"/>
        <w:bottom w:val="none" w:sz="0" w:space="0" w:color="auto"/>
        <w:right w:val="none" w:sz="0" w:space="0" w:color="auto"/>
      </w:divBdr>
    </w:div>
    <w:div w:id="956907579">
      <w:bodyDiv w:val="1"/>
      <w:marLeft w:val="0"/>
      <w:marRight w:val="0"/>
      <w:marTop w:val="0"/>
      <w:marBottom w:val="0"/>
      <w:divBdr>
        <w:top w:val="none" w:sz="0" w:space="0" w:color="auto"/>
        <w:left w:val="none" w:sz="0" w:space="0" w:color="auto"/>
        <w:bottom w:val="none" w:sz="0" w:space="0" w:color="auto"/>
        <w:right w:val="none" w:sz="0" w:space="0" w:color="auto"/>
      </w:divBdr>
    </w:div>
    <w:div w:id="956982160">
      <w:bodyDiv w:val="1"/>
      <w:marLeft w:val="0"/>
      <w:marRight w:val="0"/>
      <w:marTop w:val="0"/>
      <w:marBottom w:val="0"/>
      <w:divBdr>
        <w:top w:val="none" w:sz="0" w:space="0" w:color="auto"/>
        <w:left w:val="none" w:sz="0" w:space="0" w:color="auto"/>
        <w:bottom w:val="none" w:sz="0" w:space="0" w:color="auto"/>
        <w:right w:val="none" w:sz="0" w:space="0" w:color="auto"/>
      </w:divBdr>
    </w:div>
    <w:div w:id="956988930">
      <w:bodyDiv w:val="1"/>
      <w:marLeft w:val="0"/>
      <w:marRight w:val="0"/>
      <w:marTop w:val="0"/>
      <w:marBottom w:val="0"/>
      <w:divBdr>
        <w:top w:val="none" w:sz="0" w:space="0" w:color="auto"/>
        <w:left w:val="none" w:sz="0" w:space="0" w:color="auto"/>
        <w:bottom w:val="none" w:sz="0" w:space="0" w:color="auto"/>
        <w:right w:val="none" w:sz="0" w:space="0" w:color="auto"/>
      </w:divBdr>
    </w:div>
    <w:div w:id="957298355">
      <w:bodyDiv w:val="1"/>
      <w:marLeft w:val="0"/>
      <w:marRight w:val="0"/>
      <w:marTop w:val="0"/>
      <w:marBottom w:val="0"/>
      <w:divBdr>
        <w:top w:val="none" w:sz="0" w:space="0" w:color="auto"/>
        <w:left w:val="none" w:sz="0" w:space="0" w:color="auto"/>
        <w:bottom w:val="none" w:sz="0" w:space="0" w:color="auto"/>
        <w:right w:val="none" w:sz="0" w:space="0" w:color="auto"/>
      </w:divBdr>
    </w:div>
    <w:div w:id="957300359">
      <w:bodyDiv w:val="1"/>
      <w:marLeft w:val="0"/>
      <w:marRight w:val="0"/>
      <w:marTop w:val="0"/>
      <w:marBottom w:val="0"/>
      <w:divBdr>
        <w:top w:val="none" w:sz="0" w:space="0" w:color="auto"/>
        <w:left w:val="none" w:sz="0" w:space="0" w:color="auto"/>
        <w:bottom w:val="none" w:sz="0" w:space="0" w:color="auto"/>
        <w:right w:val="none" w:sz="0" w:space="0" w:color="auto"/>
      </w:divBdr>
    </w:div>
    <w:div w:id="957444559">
      <w:bodyDiv w:val="1"/>
      <w:marLeft w:val="0"/>
      <w:marRight w:val="0"/>
      <w:marTop w:val="0"/>
      <w:marBottom w:val="0"/>
      <w:divBdr>
        <w:top w:val="none" w:sz="0" w:space="0" w:color="auto"/>
        <w:left w:val="none" w:sz="0" w:space="0" w:color="auto"/>
        <w:bottom w:val="none" w:sz="0" w:space="0" w:color="auto"/>
        <w:right w:val="none" w:sz="0" w:space="0" w:color="auto"/>
      </w:divBdr>
    </w:div>
    <w:div w:id="957447273">
      <w:bodyDiv w:val="1"/>
      <w:marLeft w:val="0"/>
      <w:marRight w:val="0"/>
      <w:marTop w:val="0"/>
      <w:marBottom w:val="0"/>
      <w:divBdr>
        <w:top w:val="none" w:sz="0" w:space="0" w:color="auto"/>
        <w:left w:val="none" w:sz="0" w:space="0" w:color="auto"/>
        <w:bottom w:val="none" w:sz="0" w:space="0" w:color="auto"/>
        <w:right w:val="none" w:sz="0" w:space="0" w:color="auto"/>
      </w:divBdr>
    </w:div>
    <w:div w:id="957492584">
      <w:bodyDiv w:val="1"/>
      <w:marLeft w:val="0"/>
      <w:marRight w:val="0"/>
      <w:marTop w:val="0"/>
      <w:marBottom w:val="0"/>
      <w:divBdr>
        <w:top w:val="none" w:sz="0" w:space="0" w:color="auto"/>
        <w:left w:val="none" w:sz="0" w:space="0" w:color="auto"/>
        <w:bottom w:val="none" w:sz="0" w:space="0" w:color="auto"/>
        <w:right w:val="none" w:sz="0" w:space="0" w:color="auto"/>
      </w:divBdr>
    </w:div>
    <w:div w:id="957494877">
      <w:bodyDiv w:val="1"/>
      <w:marLeft w:val="0"/>
      <w:marRight w:val="0"/>
      <w:marTop w:val="0"/>
      <w:marBottom w:val="0"/>
      <w:divBdr>
        <w:top w:val="none" w:sz="0" w:space="0" w:color="auto"/>
        <w:left w:val="none" w:sz="0" w:space="0" w:color="auto"/>
        <w:bottom w:val="none" w:sz="0" w:space="0" w:color="auto"/>
        <w:right w:val="none" w:sz="0" w:space="0" w:color="auto"/>
      </w:divBdr>
    </w:div>
    <w:div w:id="957565626">
      <w:bodyDiv w:val="1"/>
      <w:marLeft w:val="0"/>
      <w:marRight w:val="0"/>
      <w:marTop w:val="0"/>
      <w:marBottom w:val="0"/>
      <w:divBdr>
        <w:top w:val="none" w:sz="0" w:space="0" w:color="auto"/>
        <w:left w:val="none" w:sz="0" w:space="0" w:color="auto"/>
        <w:bottom w:val="none" w:sz="0" w:space="0" w:color="auto"/>
        <w:right w:val="none" w:sz="0" w:space="0" w:color="auto"/>
      </w:divBdr>
    </w:div>
    <w:div w:id="957637669">
      <w:bodyDiv w:val="1"/>
      <w:marLeft w:val="0"/>
      <w:marRight w:val="0"/>
      <w:marTop w:val="0"/>
      <w:marBottom w:val="0"/>
      <w:divBdr>
        <w:top w:val="none" w:sz="0" w:space="0" w:color="auto"/>
        <w:left w:val="none" w:sz="0" w:space="0" w:color="auto"/>
        <w:bottom w:val="none" w:sz="0" w:space="0" w:color="auto"/>
        <w:right w:val="none" w:sz="0" w:space="0" w:color="auto"/>
      </w:divBdr>
    </w:div>
    <w:div w:id="957642504">
      <w:bodyDiv w:val="1"/>
      <w:marLeft w:val="0"/>
      <w:marRight w:val="0"/>
      <w:marTop w:val="0"/>
      <w:marBottom w:val="0"/>
      <w:divBdr>
        <w:top w:val="none" w:sz="0" w:space="0" w:color="auto"/>
        <w:left w:val="none" w:sz="0" w:space="0" w:color="auto"/>
        <w:bottom w:val="none" w:sz="0" w:space="0" w:color="auto"/>
        <w:right w:val="none" w:sz="0" w:space="0" w:color="auto"/>
      </w:divBdr>
    </w:div>
    <w:div w:id="957680972">
      <w:bodyDiv w:val="1"/>
      <w:marLeft w:val="0"/>
      <w:marRight w:val="0"/>
      <w:marTop w:val="0"/>
      <w:marBottom w:val="0"/>
      <w:divBdr>
        <w:top w:val="none" w:sz="0" w:space="0" w:color="auto"/>
        <w:left w:val="none" w:sz="0" w:space="0" w:color="auto"/>
        <w:bottom w:val="none" w:sz="0" w:space="0" w:color="auto"/>
        <w:right w:val="none" w:sz="0" w:space="0" w:color="auto"/>
      </w:divBdr>
    </w:div>
    <w:div w:id="957682005">
      <w:bodyDiv w:val="1"/>
      <w:marLeft w:val="0"/>
      <w:marRight w:val="0"/>
      <w:marTop w:val="0"/>
      <w:marBottom w:val="0"/>
      <w:divBdr>
        <w:top w:val="none" w:sz="0" w:space="0" w:color="auto"/>
        <w:left w:val="none" w:sz="0" w:space="0" w:color="auto"/>
        <w:bottom w:val="none" w:sz="0" w:space="0" w:color="auto"/>
        <w:right w:val="none" w:sz="0" w:space="0" w:color="auto"/>
      </w:divBdr>
    </w:div>
    <w:div w:id="957831931">
      <w:bodyDiv w:val="1"/>
      <w:marLeft w:val="0"/>
      <w:marRight w:val="0"/>
      <w:marTop w:val="0"/>
      <w:marBottom w:val="0"/>
      <w:divBdr>
        <w:top w:val="none" w:sz="0" w:space="0" w:color="auto"/>
        <w:left w:val="none" w:sz="0" w:space="0" w:color="auto"/>
        <w:bottom w:val="none" w:sz="0" w:space="0" w:color="auto"/>
        <w:right w:val="none" w:sz="0" w:space="0" w:color="auto"/>
      </w:divBdr>
    </w:div>
    <w:div w:id="958028745">
      <w:bodyDiv w:val="1"/>
      <w:marLeft w:val="0"/>
      <w:marRight w:val="0"/>
      <w:marTop w:val="0"/>
      <w:marBottom w:val="0"/>
      <w:divBdr>
        <w:top w:val="none" w:sz="0" w:space="0" w:color="auto"/>
        <w:left w:val="none" w:sz="0" w:space="0" w:color="auto"/>
        <w:bottom w:val="none" w:sz="0" w:space="0" w:color="auto"/>
        <w:right w:val="none" w:sz="0" w:space="0" w:color="auto"/>
      </w:divBdr>
    </w:div>
    <w:div w:id="958679406">
      <w:bodyDiv w:val="1"/>
      <w:marLeft w:val="0"/>
      <w:marRight w:val="0"/>
      <w:marTop w:val="0"/>
      <w:marBottom w:val="0"/>
      <w:divBdr>
        <w:top w:val="none" w:sz="0" w:space="0" w:color="auto"/>
        <w:left w:val="none" w:sz="0" w:space="0" w:color="auto"/>
        <w:bottom w:val="none" w:sz="0" w:space="0" w:color="auto"/>
        <w:right w:val="none" w:sz="0" w:space="0" w:color="auto"/>
      </w:divBdr>
    </w:div>
    <w:div w:id="958728082">
      <w:bodyDiv w:val="1"/>
      <w:marLeft w:val="0"/>
      <w:marRight w:val="0"/>
      <w:marTop w:val="0"/>
      <w:marBottom w:val="0"/>
      <w:divBdr>
        <w:top w:val="none" w:sz="0" w:space="0" w:color="auto"/>
        <w:left w:val="none" w:sz="0" w:space="0" w:color="auto"/>
        <w:bottom w:val="none" w:sz="0" w:space="0" w:color="auto"/>
        <w:right w:val="none" w:sz="0" w:space="0" w:color="auto"/>
      </w:divBdr>
    </w:div>
    <w:div w:id="958730396">
      <w:bodyDiv w:val="1"/>
      <w:marLeft w:val="0"/>
      <w:marRight w:val="0"/>
      <w:marTop w:val="0"/>
      <w:marBottom w:val="0"/>
      <w:divBdr>
        <w:top w:val="none" w:sz="0" w:space="0" w:color="auto"/>
        <w:left w:val="none" w:sz="0" w:space="0" w:color="auto"/>
        <w:bottom w:val="none" w:sz="0" w:space="0" w:color="auto"/>
        <w:right w:val="none" w:sz="0" w:space="0" w:color="auto"/>
      </w:divBdr>
    </w:div>
    <w:div w:id="958881574">
      <w:bodyDiv w:val="1"/>
      <w:marLeft w:val="0"/>
      <w:marRight w:val="0"/>
      <w:marTop w:val="0"/>
      <w:marBottom w:val="0"/>
      <w:divBdr>
        <w:top w:val="none" w:sz="0" w:space="0" w:color="auto"/>
        <w:left w:val="none" w:sz="0" w:space="0" w:color="auto"/>
        <w:bottom w:val="none" w:sz="0" w:space="0" w:color="auto"/>
        <w:right w:val="none" w:sz="0" w:space="0" w:color="auto"/>
      </w:divBdr>
    </w:div>
    <w:div w:id="958950484">
      <w:bodyDiv w:val="1"/>
      <w:marLeft w:val="0"/>
      <w:marRight w:val="0"/>
      <w:marTop w:val="0"/>
      <w:marBottom w:val="0"/>
      <w:divBdr>
        <w:top w:val="none" w:sz="0" w:space="0" w:color="auto"/>
        <w:left w:val="none" w:sz="0" w:space="0" w:color="auto"/>
        <w:bottom w:val="none" w:sz="0" w:space="0" w:color="auto"/>
        <w:right w:val="none" w:sz="0" w:space="0" w:color="auto"/>
      </w:divBdr>
    </w:div>
    <w:div w:id="959217622">
      <w:bodyDiv w:val="1"/>
      <w:marLeft w:val="0"/>
      <w:marRight w:val="0"/>
      <w:marTop w:val="0"/>
      <w:marBottom w:val="0"/>
      <w:divBdr>
        <w:top w:val="none" w:sz="0" w:space="0" w:color="auto"/>
        <w:left w:val="none" w:sz="0" w:space="0" w:color="auto"/>
        <w:bottom w:val="none" w:sz="0" w:space="0" w:color="auto"/>
        <w:right w:val="none" w:sz="0" w:space="0" w:color="auto"/>
      </w:divBdr>
    </w:div>
    <w:div w:id="959385350">
      <w:bodyDiv w:val="1"/>
      <w:marLeft w:val="0"/>
      <w:marRight w:val="0"/>
      <w:marTop w:val="0"/>
      <w:marBottom w:val="0"/>
      <w:divBdr>
        <w:top w:val="none" w:sz="0" w:space="0" w:color="auto"/>
        <w:left w:val="none" w:sz="0" w:space="0" w:color="auto"/>
        <w:bottom w:val="none" w:sz="0" w:space="0" w:color="auto"/>
        <w:right w:val="none" w:sz="0" w:space="0" w:color="auto"/>
      </w:divBdr>
    </w:div>
    <w:div w:id="959456810">
      <w:bodyDiv w:val="1"/>
      <w:marLeft w:val="0"/>
      <w:marRight w:val="0"/>
      <w:marTop w:val="0"/>
      <w:marBottom w:val="0"/>
      <w:divBdr>
        <w:top w:val="none" w:sz="0" w:space="0" w:color="auto"/>
        <w:left w:val="none" w:sz="0" w:space="0" w:color="auto"/>
        <w:bottom w:val="none" w:sz="0" w:space="0" w:color="auto"/>
        <w:right w:val="none" w:sz="0" w:space="0" w:color="auto"/>
      </w:divBdr>
    </w:div>
    <w:div w:id="959579512">
      <w:bodyDiv w:val="1"/>
      <w:marLeft w:val="0"/>
      <w:marRight w:val="0"/>
      <w:marTop w:val="0"/>
      <w:marBottom w:val="0"/>
      <w:divBdr>
        <w:top w:val="none" w:sz="0" w:space="0" w:color="auto"/>
        <w:left w:val="none" w:sz="0" w:space="0" w:color="auto"/>
        <w:bottom w:val="none" w:sz="0" w:space="0" w:color="auto"/>
        <w:right w:val="none" w:sz="0" w:space="0" w:color="auto"/>
      </w:divBdr>
    </w:div>
    <w:div w:id="959721727">
      <w:bodyDiv w:val="1"/>
      <w:marLeft w:val="0"/>
      <w:marRight w:val="0"/>
      <w:marTop w:val="0"/>
      <w:marBottom w:val="0"/>
      <w:divBdr>
        <w:top w:val="none" w:sz="0" w:space="0" w:color="auto"/>
        <w:left w:val="none" w:sz="0" w:space="0" w:color="auto"/>
        <w:bottom w:val="none" w:sz="0" w:space="0" w:color="auto"/>
        <w:right w:val="none" w:sz="0" w:space="0" w:color="auto"/>
      </w:divBdr>
    </w:div>
    <w:div w:id="959915436">
      <w:bodyDiv w:val="1"/>
      <w:marLeft w:val="0"/>
      <w:marRight w:val="0"/>
      <w:marTop w:val="0"/>
      <w:marBottom w:val="0"/>
      <w:divBdr>
        <w:top w:val="none" w:sz="0" w:space="0" w:color="auto"/>
        <w:left w:val="none" w:sz="0" w:space="0" w:color="auto"/>
        <w:bottom w:val="none" w:sz="0" w:space="0" w:color="auto"/>
        <w:right w:val="none" w:sz="0" w:space="0" w:color="auto"/>
      </w:divBdr>
    </w:div>
    <w:div w:id="960111351">
      <w:bodyDiv w:val="1"/>
      <w:marLeft w:val="0"/>
      <w:marRight w:val="0"/>
      <w:marTop w:val="0"/>
      <w:marBottom w:val="0"/>
      <w:divBdr>
        <w:top w:val="none" w:sz="0" w:space="0" w:color="auto"/>
        <w:left w:val="none" w:sz="0" w:space="0" w:color="auto"/>
        <w:bottom w:val="none" w:sz="0" w:space="0" w:color="auto"/>
        <w:right w:val="none" w:sz="0" w:space="0" w:color="auto"/>
      </w:divBdr>
    </w:div>
    <w:div w:id="960112255">
      <w:bodyDiv w:val="1"/>
      <w:marLeft w:val="0"/>
      <w:marRight w:val="0"/>
      <w:marTop w:val="0"/>
      <w:marBottom w:val="0"/>
      <w:divBdr>
        <w:top w:val="none" w:sz="0" w:space="0" w:color="auto"/>
        <w:left w:val="none" w:sz="0" w:space="0" w:color="auto"/>
        <w:bottom w:val="none" w:sz="0" w:space="0" w:color="auto"/>
        <w:right w:val="none" w:sz="0" w:space="0" w:color="auto"/>
      </w:divBdr>
    </w:div>
    <w:div w:id="960189979">
      <w:bodyDiv w:val="1"/>
      <w:marLeft w:val="0"/>
      <w:marRight w:val="0"/>
      <w:marTop w:val="0"/>
      <w:marBottom w:val="0"/>
      <w:divBdr>
        <w:top w:val="none" w:sz="0" w:space="0" w:color="auto"/>
        <w:left w:val="none" w:sz="0" w:space="0" w:color="auto"/>
        <w:bottom w:val="none" w:sz="0" w:space="0" w:color="auto"/>
        <w:right w:val="none" w:sz="0" w:space="0" w:color="auto"/>
      </w:divBdr>
    </w:div>
    <w:div w:id="960376782">
      <w:bodyDiv w:val="1"/>
      <w:marLeft w:val="0"/>
      <w:marRight w:val="0"/>
      <w:marTop w:val="0"/>
      <w:marBottom w:val="0"/>
      <w:divBdr>
        <w:top w:val="none" w:sz="0" w:space="0" w:color="auto"/>
        <w:left w:val="none" w:sz="0" w:space="0" w:color="auto"/>
        <w:bottom w:val="none" w:sz="0" w:space="0" w:color="auto"/>
        <w:right w:val="none" w:sz="0" w:space="0" w:color="auto"/>
      </w:divBdr>
    </w:div>
    <w:div w:id="960653526">
      <w:bodyDiv w:val="1"/>
      <w:marLeft w:val="0"/>
      <w:marRight w:val="0"/>
      <w:marTop w:val="0"/>
      <w:marBottom w:val="0"/>
      <w:divBdr>
        <w:top w:val="none" w:sz="0" w:space="0" w:color="auto"/>
        <w:left w:val="none" w:sz="0" w:space="0" w:color="auto"/>
        <w:bottom w:val="none" w:sz="0" w:space="0" w:color="auto"/>
        <w:right w:val="none" w:sz="0" w:space="0" w:color="auto"/>
      </w:divBdr>
    </w:div>
    <w:div w:id="960957991">
      <w:bodyDiv w:val="1"/>
      <w:marLeft w:val="0"/>
      <w:marRight w:val="0"/>
      <w:marTop w:val="0"/>
      <w:marBottom w:val="0"/>
      <w:divBdr>
        <w:top w:val="none" w:sz="0" w:space="0" w:color="auto"/>
        <w:left w:val="none" w:sz="0" w:space="0" w:color="auto"/>
        <w:bottom w:val="none" w:sz="0" w:space="0" w:color="auto"/>
        <w:right w:val="none" w:sz="0" w:space="0" w:color="auto"/>
      </w:divBdr>
    </w:div>
    <w:div w:id="961300944">
      <w:bodyDiv w:val="1"/>
      <w:marLeft w:val="0"/>
      <w:marRight w:val="0"/>
      <w:marTop w:val="0"/>
      <w:marBottom w:val="0"/>
      <w:divBdr>
        <w:top w:val="none" w:sz="0" w:space="0" w:color="auto"/>
        <w:left w:val="none" w:sz="0" w:space="0" w:color="auto"/>
        <w:bottom w:val="none" w:sz="0" w:space="0" w:color="auto"/>
        <w:right w:val="none" w:sz="0" w:space="0" w:color="auto"/>
      </w:divBdr>
    </w:div>
    <w:div w:id="961305221">
      <w:bodyDiv w:val="1"/>
      <w:marLeft w:val="0"/>
      <w:marRight w:val="0"/>
      <w:marTop w:val="0"/>
      <w:marBottom w:val="0"/>
      <w:divBdr>
        <w:top w:val="none" w:sz="0" w:space="0" w:color="auto"/>
        <w:left w:val="none" w:sz="0" w:space="0" w:color="auto"/>
        <w:bottom w:val="none" w:sz="0" w:space="0" w:color="auto"/>
        <w:right w:val="none" w:sz="0" w:space="0" w:color="auto"/>
      </w:divBdr>
    </w:div>
    <w:div w:id="961348550">
      <w:bodyDiv w:val="1"/>
      <w:marLeft w:val="0"/>
      <w:marRight w:val="0"/>
      <w:marTop w:val="0"/>
      <w:marBottom w:val="0"/>
      <w:divBdr>
        <w:top w:val="none" w:sz="0" w:space="0" w:color="auto"/>
        <w:left w:val="none" w:sz="0" w:space="0" w:color="auto"/>
        <w:bottom w:val="none" w:sz="0" w:space="0" w:color="auto"/>
        <w:right w:val="none" w:sz="0" w:space="0" w:color="auto"/>
      </w:divBdr>
    </w:div>
    <w:div w:id="961419005">
      <w:bodyDiv w:val="1"/>
      <w:marLeft w:val="0"/>
      <w:marRight w:val="0"/>
      <w:marTop w:val="0"/>
      <w:marBottom w:val="0"/>
      <w:divBdr>
        <w:top w:val="none" w:sz="0" w:space="0" w:color="auto"/>
        <w:left w:val="none" w:sz="0" w:space="0" w:color="auto"/>
        <w:bottom w:val="none" w:sz="0" w:space="0" w:color="auto"/>
        <w:right w:val="none" w:sz="0" w:space="0" w:color="auto"/>
      </w:divBdr>
    </w:div>
    <w:div w:id="961419844">
      <w:bodyDiv w:val="1"/>
      <w:marLeft w:val="0"/>
      <w:marRight w:val="0"/>
      <w:marTop w:val="0"/>
      <w:marBottom w:val="0"/>
      <w:divBdr>
        <w:top w:val="none" w:sz="0" w:space="0" w:color="auto"/>
        <w:left w:val="none" w:sz="0" w:space="0" w:color="auto"/>
        <w:bottom w:val="none" w:sz="0" w:space="0" w:color="auto"/>
        <w:right w:val="none" w:sz="0" w:space="0" w:color="auto"/>
      </w:divBdr>
    </w:div>
    <w:div w:id="961687377">
      <w:bodyDiv w:val="1"/>
      <w:marLeft w:val="0"/>
      <w:marRight w:val="0"/>
      <w:marTop w:val="0"/>
      <w:marBottom w:val="0"/>
      <w:divBdr>
        <w:top w:val="none" w:sz="0" w:space="0" w:color="auto"/>
        <w:left w:val="none" w:sz="0" w:space="0" w:color="auto"/>
        <w:bottom w:val="none" w:sz="0" w:space="0" w:color="auto"/>
        <w:right w:val="none" w:sz="0" w:space="0" w:color="auto"/>
      </w:divBdr>
    </w:div>
    <w:div w:id="961764431">
      <w:bodyDiv w:val="1"/>
      <w:marLeft w:val="0"/>
      <w:marRight w:val="0"/>
      <w:marTop w:val="0"/>
      <w:marBottom w:val="0"/>
      <w:divBdr>
        <w:top w:val="none" w:sz="0" w:space="0" w:color="auto"/>
        <w:left w:val="none" w:sz="0" w:space="0" w:color="auto"/>
        <w:bottom w:val="none" w:sz="0" w:space="0" w:color="auto"/>
        <w:right w:val="none" w:sz="0" w:space="0" w:color="auto"/>
      </w:divBdr>
    </w:div>
    <w:div w:id="962156261">
      <w:bodyDiv w:val="1"/>
      <w:marLeft w:val="0"/>
      <w:marRight w:val="0"/>
      <w:marTop w:val="0"/>
      <w:marBottom w:val="0"/>
      <w:divBdr>
        <w:top w:val="none" w:sz="0" w:space="0" w:color="auto"/>
        <w:left w:val="none" w:sz="0" w:space="0" w:color="auto"/>
        <w:bottom w:val="none" w:sz="0" w:space="0" w:color="auto"/>
        <w:right w:val="none" w:sz="0" w:space="0" w:color="auto"/>
      </w:divBdr>
    </w:div>
    <w:div w:id="962271725">
      <w:bodyDiv w:val="1"/>
      <w:marLeft w:val="0"/>
      <w:marRight w:val="0"/>
      <w:marTop w:val="0"/>
      <w:marBottom w:val="0"/>
      <w:divBdr>
        <w:top w:val="none" w:sz="0" w:space="0" w:color="auto"/>
        <w:left w:val="none" w:sz="0" w:space="0" w:color="auto"/>
        <w:bottom w:val="none" w:sz="0" w:space="0" w:color="auto"/>
        <w:right w:val="none" w:sz="0" w:space="0" w:color="auto"/>
      </w:divBdr>
    </w:div>
    <w:div w:id="962462323">
      <w:bodyDiv w:val="1"/>
      <w:marLeft w:val="0"/>
      <w:marRight w:val="0"/>
      <w:marTop w:val="0"/>
      <w:marBottom w:val="0"/>
      <w:divBdr>
        <w:top w:val="none" w:sz="0" w:space="0" w:color="auto"/>
        <w:left w:val="none" w:sz="0" w:space="0" w:color="auto"/>
        <w:bottom w:val="none" w:sz="0" w:space="0" w:color="auto"/>
        <w:right w:val="none" w:sz="0" w:space="0" w:color="auto"/>
      </w:divBdr>
    </w:div>
    <w:div w:id="962612333">
      <w:bodyDiv w:val="1"/>
      <w:marLeft w:val="0"/>
      <w:marRight w:val="0"/>
      <w:marTop w:val="0"/>
      <w:marBottom w:val="0"/>
      <w:divBdr>
        <w:top w:val="none" w:sz="0" w:space="0" w:color="auto"/>
        <w:left w:val="none" w:sz="0" w:space="0" w:color="auto"/>
        <w:bottom w:val="none" w:sz="0" w:space="0" w:color="auto"/>
        <w:right w:val="none" w:sz="0" w:space="0" w:color="auto"/>
      </w:divBdr>
    </w:div>
    <w:div w:id="962736292">
      <w:bodyDiv w:val="1"/>
      <w:marLeft w:val="0"/>
      <w:marRight w:val="0"/>
      <w:marTop w:val="0"/>
      <w:marBottom w:val="0"/>
      <w:divBdr>
        <w:top w:val="none" w:sz="0" w:space="0" w:color="auto"/>
        <w:left w:val="none" w:sz="0" w:space="0" w:color="auto"/>
        <w:bottom w:val="none" w:sz="0" w:space="0" w:color="auto"/>
        <w:right w:val="none" w:sz="0" w:space="0" w:color="auto"/>
      </w:divBdr>
    </w:div>
    <w:div w:id="962805081">
      <w:bodyDiv w:val="1"/>
      <w:marLeft w:val="0"/>
      <w:marRight w:val="0"/>
      <w:marTop w:val="0"/>
      <w:marBottom w:val="0"/>
      <w:divBdr>
        <w:top w:val="none" w:sz="0" w:space="0" w:color="auto"/>
        <w:left w:val="none" w:sz="0" w:space="0" w:color="auto"/>
        <w:bottom w:val="none" w:sz="0" w:space="0" w:color="auto"/>
        <w:right w:val="none" w:sz="0" w:space="0" w:color="auto"/>
      </w:divBdr>
    </w:div>
    <w:div w:id="963079658">
      <w:bodyDiv w:val="1"/>
      <w:marLeft w:val="0"/>
      <w:marRight w:val="0"/>
      <w:marTop w:val="0"/>
      <w:marBottom w:val="0"/>
      <w:divBdr>
        <w:top w:val="none" w:sz="0" w:space="0" w:color="auto"/>
        <w:left w:val="none" w:sz="0" w:space="0" w:color="auto"/>
        <w:bottom w:val="none" w:sz="0" w:space="0" w:color="auto"/>
        <w:right w:val="none" w:sz="0" w:space="0" w:color="auto"/>
      </w:divBdr>
    </w:div>
    <w:div w:id="963120771">
      <w:bodyDiv w:val="1"/>
      <w:marLeft w:val="0"/>
      <w:marRight w:val="0"/>
      <w:marTop w:val="0"/>
      <w:marBottom w:val="0"/>
      <w:divBdr>
        <w:top w:val="none" w:sz="0" w:space="0" w:color="auto"/>
        <w:left w:val="none" w:sz="0" w:space="0" w:color="auto"/>
        <w:bottom w:val="none" w:sz="0" w:space="0" w:color="auto"/>
        <w:right w:val="none" w:sz="0" w:space="0" w:color="auto"/>
      </w:divBdr>
    </w:div>
    <w:div w:id="963266397">
      <w:bodyDiv w:val="1"/>
      <w:marLeft w:val="0"/>
      <w:marRight w:val="0"/>
      <w:marTop w:val="0"/>
      <w:marBottom w:val="0"/>
      <w:divBdr>
        <w:top w:val="none" w:sz="0" w:space="0" w:color="auto"/>
        <w:left w:val="none" w:sz="0" w:space="0" w:color="auto"/>
        <w:bottom w:val="none" w:sz="0" w:space="0" w:color="auto"/>
        <w:right w:val="none" w:sz="0" w:space="0" w:color="auto"/>
      </w:divBdr>
    </w:div>
    <w:div w:id="963270255">
      <w:bodyDiv w:val="1"/>
      <w:marLeft w:val="0"/>
      <w:marRight w:val="0"/>
      <w:marTop w:val="0"/>
      <w:marBottom w:val="0"/>
      <w:divBdr>
        <w:top w:val="none" w:sz="0" w:space="0" w:color="auto"/>
        <w:left w:val="none" w:sz="0" w:space="0" w:color="auto"/>
        <w:bottom w:val="none" w:sz="0" w:space="0" w:color="auto"/>
        <w:right w:val="none" w:sz="0" w:space="0" w:color="auto"/>
      </w:divBdr>
    </w:div>
    <w:div w:id="963271445">
      <w:bodyDiv w:val="1"/>
      <w:marLeft w:val="0"/>
      <w:marRight w:val="0"/>
      <w:marTop w:val="0"/>
      <w:marBottom w:val="0"/>
      <w:divBdr>
        <w:top w:val="none" w:sz="0" w:space="0" w:color="auto"/>
        <w:left w:val="none" w:sz="0" w:space="0" w:color="auto"/>
        <w:bottom w:val="none" w:sz="0" w:space="0" w:color="auto"/>
        <w:right w:val="none" w:sz="0" w:space="0" w:color="auto"/>
      </w:divBdr>
    </w:div>
    <w:div w:id="963272270">
      <w:bodyDiv w:val="1"/>
      <w:marLeft w:val="0"/>
      <w:marRight w:val="0"/>
      <w:marTop w:val="0"/>
      <w:marBottom w:val="0"/>
      <w:divBdr>
        <w:top w:val="none" w:sz="0" w:space="0" w:color="auto"/>
        <w:left w:val="none" w:sz="0" w:space="0" w:color="auto"/>
        <w:bottom w:val="none" w:sz="0" w:space="0" w:color="auto"/>
        <w:right w:val="none" w:sz="0" w:space="0" w:color="auto"/>
      </w:divBdr>
    </w:div>
    <w:div w:id="963345983">
      <w:bodyDiv w:val="1"/>
      <w:marLeft w:val="0"/>
      <w:marRight w:val="0"/>
      <w:marTop w:val="0"/>
      <w:marBottom w:val="0"/>
      <w:divBdr>
        <w:top w:val="none" w:sz="0" w:space="0" w:color="auto"/>
        <w:left w:val="none" w:sz="0" w:space="0" w:color="auto"/>
        <w:bottom w:val="none" w:sz="0" w:space="0" w:color="auto"/>
        <w:right w:val="none" w:sz="0" w:space="0" w:color="auto"/>
      </w:divBdr>
    </w:div>
    <w:div w:id="963468457">
      <w:bodyDiv w:val="1"/>
      <w:marLeft w:val="0"/>
      <w:marRight w:val="0"/>
      <w:marTop w:val="0"/>
      <w:marBottom w:val="0"/>
      <w:divBdr>
        <w:top w:val="none" w:sz="0" w:space="0" w:color="auto"/>
        <w:left w:val="none" w:sz="0" w:space="0" w:color="auto"/>
        <w:bottom w:val="none" w:sz="0" w:space="0" w:color="auto"/>
        <w:right w:val="none" w:sz="0" w:space="0" w:color="auto"/>
      </w:divBdr>
    </w:div>
    <w:div w:id="963921330">
      <w:bodyDiv w:val="1"/>
      <w:marLeft w:val="0"/>
      <w:marRight w:val="0"/>
      <w:marTop w:val="0"/>
      <w:marBottom w:val="0"/>
      <w:divBdr>
        <w:top w:val="none" w:sz="0" w:space="0" w:color="auto"/>
        <w:left w:val="none" w:sz="0" w:space="0" w:color="auto"/>
        <w:bottom w:val="none" w:sz="0" w:space="0" w:color="auto"/>
        <w:right w:val="none" w:sz="0" w:space="0" w:color="auto"/>
      </w:divBdr>
    </w:div>
    <w:div w:id="964046200">
      <w:bodyDiv w:val="1"/>
      <w:marLeft w:val="0"/>
      <w:marRight w:val="0"/>
      <w:marTop w:val="0"/>
      <w:marBottom w:val="0"/>
      <w:divBdr>
        <w:top w:val="none" w:sz="0" w:space="0" w:color="auto"/>
        <w:left w:val="none" w:sz="0" w:space="0" w:color="auto"/>
        <w:bottom w:val="none" w:sz="0" w:space="0" w:color="auto"/>
        <w:right w:val="none" w:sz="0" w:space="0" w:color="auto"/>
      </w:divBdr>
    </w:div>
    <w:div w:id="964190390">
      <w:bodyDiv w:val="1"/>
      <w:marLeft w:val="0"/>
      <w:marRight w:val="0"/>
      <w:marTop w:val="0"/>
      <w:marBottom w:val="0"/>
      <w:divBdr>
        <w:top w:val="none" w:sz="0" w:space="0" w:color="auto"/>
        <w:left w:val="none" w:sz="0" w:space="0" w:color="auto"/>
        <w:bottom w:val="none" w:sz="0" w:space="0" w:color="auto"/>
        <w:right w:val="none" w:sz="0" w:space="0" w:color="auto"/>
      </w:divBdr>
    </w:div>
    <w:div w:id="964195450">
      <w:bodyDiv w:val="1"/>
      <w:marLeft w:val="0"/>
      <w:marRight w:val="0"/>
      <w:marTop w:val="0"/>
      <w:marBottom w:val="0"/>
      <w:divBdr>
        <w:top w:val="none" w:sz="0" w:space="0" w:color="auto"/>
        <w:left w:val="none" w:sz="0" w:space="0" w:color="auto"/>
        <w:bottom w:val="none" w:sz="0" w:space="0" w:color="auto"/>
        <w:right w:val="none" w:sz="0" w:space="0" w:color="auto"/>
      </w:divBdr>
    </w:div>
    <w:div w:id="964432925">
      <w:bodyDiv w:val="1"/>
      <w:marLeft w:val="0"/>
      <w:marRight w:val="0"/>
      <w:marTop w:val="0"/>
      <w:marBottom w:val="0"/>
      <w:divBdr>
        <w:top w:val="none" w:sz="0" w:space="0" w:color="auto"/>
        <w:left w:val="none" w:sz="0" w:space="0" w:color="auto"/>
        <w:bottom w:val="none" w:sz="0" w:space="0" w:color="auto"/>
        <w:right w:val="none" w:sz="0" w:space="0" w:color="auto"/>
      </w:divBdr>
    </w:div>
    <w:div w:id="964504112">
      <w:bodyDiv w:val="1"/>
      <w:marLeft w:val="0"/>
      <w:marRight w:val="0"/>
      <w:marTop w:val="0"/>
      <w:marBottom w:val="0"/>
      <w:divBdr>
        <w:top w:val="none" w:sz="0" w:space="0" w:color="auto"/>
        <w:left w:val="none" w:sz="0" w:space="0" w:color="auto"/>
        <w:bottom w:val="none" w:sz="0" w:space="0" w:color="auto"/>
        <w:right w:val="none" w:sz="0" w:space="0" w:color="auto"/>
      </w:divBdr>
    </w:div>
    <w:div w:id="964698827">
      <w:bodyDiv w:val="1"/>
      <w:marLeft w:val="0"/>
      <w:marRight w:val="0"/>
      <w:marTop w:val="0"/>
      <w:marBottom w:val="0"/>
      <w:divBdr>
        <w:top w:val="none" w:sz="0" w:space="0" w:color="auto"/>
        <w:left w:val="none" w:sz="0" w:space="0" w:color="auto"/>
        <w:bottom w:val="none" w:sz="0" w:space="0" w:color="auto"/>
        <w:right w:val="none" w:sz="0" w:space="0" w:color="auto"/>
      </w:divBdr>
    </w:div>
    <w:div w:id="964700854">
      <w:bodyDiv w:val="1"/>
      <w:marLeft w:val="0"/>
      <w:marRight w:val="0"/>
      <w:marTop w:val="0"/>
      <w:marBottom w:val="0"/>
      <w:divBdr>
        <w:top w:val="none" w:sz="0" w:space="0" w:color="auto"/>
        <w:left w:val="none" w:sz="0" w:space="0" w:color="auto"/>
        <w:bottom w:val="none" w:sz="0" w:space="0" w:color="auto"/>
        <w:right w:val="none" w:sz="0" w:space="0" w:color="auto"/>
      </w:divBdr>
    </w:div>
    <w:div w:id="965695432">
      <w:bodyDiv w:val="1"/>
      <w:marLeft w:val="0"/>
      <w:marRight w:val="0"/>
      <w:marTop w:val="0"/>
      <w:marBottom w:val="0"/>
      <w:divBdr>
        <w:top w:val="none" w:sz="0" w:space="0" w:color="auto"/>
        <w:left w:val="none" w:sz="0" w:space="0" w:color="auto"/>
        <w:bottom w:val="none" w:sz="0" w:space="0" w:color="auto"/>
        <w:right w:val="none" w:sz="0" w:space="0" w:color="auto"/>
      </w:divBdr>
    </w:div>
    <w:div w:id="965699174">
      <w:bodyDiv w:val="1"/>
      <w:marLeft w:val="0"/>
      <w:marRight w:val="0"/>
      <w:marTop w:val="0"/>
      <w:marBottom w:val="0"/>
      <w:divBdr>
        <w:top w:val="none" w:sz="0" w:space="0" w:color="auto"/>
        <w:left w:val="none" w:sz="0" w:space="0" w:color="auto"/>
        <w:bottom w:val="none" w:sz="0" w:space="0" w:color="auto"/>
        <w:right w:val="none" w:sz="0" w:space="0" w:color="auto"/>
      </w:divBdr>
    </w:div>
    <w:div w:id="965700543">
      <w:bodyDiv w:val="1"/>
      <w:marLeft w:val="0"/>
      <w:marRight w:val="0"/>
      <w:marTop w:val="0"/>
      <w:marBottom w:val="0"/>
      <w:divBdr>
        <w:top w:val="none" w:sz="0" w:space="0" w:color="auto"/>
        <w:left w:val="none" w:sz="0" w:space="0" w:color="auto"/>
        <w:bottom w:val="none" w:sz="0" w:space="0" w:color="auto"/>
        <w:right w:val="none" w:sz="0" w:space="0" w:color="auto"/>
      </w:divBdr>
    </w:div>
    <w:div w:id="965745600">
      <w:bodyDiv w:val="1"/>
      <w:marLeft w:val="0"/>
      <w:marRight w:val="0"/>
      <w:marTop w:val="0"/>
      <w:marBottom w:val="0"/>
      <w:divBdr>
        <w:top w:val="none" w:sz="0" w:space="0" w:color="auto"/>
        <w:left w:val="none" w:sz="0" w:space="0" w:color="auto"/>
        <w:bottom w:val="none" w:sz="0" w:space="0" w:color="auto"/>
        <w:right w:val="none" w:sz="0" w:space="0" w:color="auto"/>
      </w:divBdr>
    </w:div>
    <w:div w:id="965818764">
      <w:bodyDiv w:val="1"/>
      <w:marLeft w:val="0"/>
      <w:marRight w:val="0"/>
      <w:marTop w:val="0"/>
      <w:marBottom w:val="0"/>
      <w:divBdr>
        <w:top w:val="none" w:sz="0" w:space="0" w:color="auto"/>
        <w:left w:val="none" w:sz="0" w:space="0" w:color="auto"/>
        <w:bottom w:val="none" w:sz="0" w:space="0" w:color="auto"/>
        <w:right w:val="none" w:sz="0" w:space="0" w:color="auto"/>
      </w:divBdr>
    </w:div>
    <w:div w:id="965935370">
      <w:bodyDiv w:val="1"/>
      <w:marLeft w:val="0"/>
      <w:marRight w:val="0"/>
      <w:marTop w:val="0"/>
      <w:marBottom w:val="0"/>
      <w:divBdr>
        <w:top w:val="none" w:sz="0" w:space="0" w:color="auto"/>
        <w:left w:val="none" w:sz="0" w:space="0" w:color="auto"/>
        <w:bottom w:val="none" w:sz="0" w:space="0" w:color="auto"/>
        <w:right w:val="none" w:sz="0" w:space="0" w:color="auto"/>
      </w:divBdr>
    </w:div>
    <w:div w:id="966010420">
      <w:bodyDiv w:val="1"/>
      <w:marLeft w:val="0"/>
      <w:marRight w:val="0"/>
      <w:marTop w:val="0"/>
      <w:marBottom w:val="0"/>
      <w:divBdr>
        <w:top w:val="none" w:sz="0" w:space="0" w:color="auto"/>
        <w:left w:val="none" w:sz="0" w:space="0" w:color="auto"/>
        <w:bottom w:val="none" w:sz="0" w:space="0" w:color="auto"/>
        <w:right w:val="none" w:sz="0" w:space="0" w:color="auto"/>
      </w:divBdr>
    </w:div>
    <w:div w:id="966282904">
      <w:bodyDiv w:val="1"/>
      <w:marLeft w:val="0"/>
      <w:marRight w:val="0"/>
      <w:marTop w:val="0"/>
      <w:marBottom w:val="0"/>
      <w:divBdr>
        <w:top w:val="none" w:sz="0" w:space="0" w:color="auto"/>
        <w:left w:val="none" w:sz="0" w:space="0" w:color="auto"/>
        <w:bottom w:val="none" w:sz="0" w:space="0" w:color="auto"/>
        <w:right w:val="none" w:sz="0" w:space="0" w:color="auto"/>
      </w:divBdr>
    </w:div>
    <w:div w:id="966424018">
      <w:bodyDiv w:val="1"/>
      <w:marLeft w:val="0"/>
      <w:marRight w:val="0"/>
      <w:marTop w:val="0"/>
      <w:marBottom w:val="0"/>
      <w:divBdr>
        <w:top w:val="none" w:sz="0" w:space="0" w:color="auto"/>
        <w:left w:val="none" w:sz="0" w:space="0" w:color="auto"/>
        <w:bottom w:val="none" w:sz="0" w:space="0" w:color="auto"/>
        <w:right w:val="none" w:sz="0" w:space="0" w:color="auto"/>
      </w:divBdr>
    </w:div>
    <w:div w:id="966468605">
      <w:bodyDiv w:val="1"/>
      <w:marLeft w:val="0"/>
      <w:marRight w:val="0"/>
      <w:marTop w:val="0"/>
      <w:marBottom w:val="0"/>
      <w:divBdr>
        <w:top w:val="none" w:sz="0" w:space="0" w:color="auto"/>
        <w:left w:val="none" w:sz="0" w:space="0" w:color="auto"/>
        <w:bottom w:val="none" w:sz="0" w:space="0" w:color="auto"/>
        <w:right w:val="none" w:sz="0" w:space="0" w:color="auto"/>
      </w:divBdr>
    </w:div>
    <w:div w:id="966859627">
      <w:bodyDiv w:val="1"/>
      <w:marLeft w:val="0"/>
      <w:marRight w:val="0"/>
      <w:marTop w:val="0"/>
      <w:marBottom w:val="0"/>
      <w:divBdr>
        <w:top w:val="none" w:sz="0" w:space="0" w:color="auto"/>
        <w:left w:val="none" w:sz="0" w:space="0" w:color="auto"/>
        <w:bottom w:val="none" w:sz="0" w:space="0" w:color="auto"/>
        <w:right w:val="none" w:sz="0" w:space="0" w:color="auto"/>
      </w:divBdr>
    </w:div>
    <w:div w:id="967125705">
      <w:bodyDiv w:val="1"/>
      <w:marLeft w:val="0"/>
      <w:marRight w:val="0"/>
      <w:marTop w:val="0"/>
      <w:marBottom w:val="0"/>
      <w:divBdr>
        <w:top w:val="none" w:sz="0" w:space="0" w:color="auto"/>
        <w:left w:val="none" w:sz="0" w:space="0" w:color="auto"/>
        <w:bottom w:val="none" w:sz="0" w:space="0" w:color="auto"/>
        <w:right w:val="none" w:sz="0" w:space="0" w:color="auto"/>
      </w:divBdr>
    </w:div>
    <w:div w:id="967131129">
      <w:bodyDiv w:val="1"/>
      <w:marLeft w:val="0"/>
      <w:marRight w:val="0"/>
      <w:marTop w:val="0"/>
      <w:marBottom w:val="0"/>
      <w:divBdr>
        <w:top w:val="none" w:sz="0" w:space="0" w:color="auto"/>
        <w:left w:val="none" w:sz="0" w:space="0" w:color="auto"/>
        <w:bottom w:val="none" w:sz="0" w:space="0" w:color="auto"/>
        <w:right w:val="none" w:sz="0" w:space="0" w:color="auto"/>
      </w:divBdr>
    </w:div>
    <w:div w:id="967204841">
      <w:bodyDiv w:val="1"/>
      <w:marLeft w:val="0"/>
      <w:marRight w:val="0"/>
      <w:marTop w:val="0"/>
      <w:marBottom w:val="0"/>
      <w:divBdr>
        <w:top w:val="none" w:sz="0" w:space="0" w:color="auto"/>
        <w:left w:val="none" w:sz="0" w:space="0" w:color="auto"/>
        <w:bottom w:val="none" w:sz="0" w:space="0" w:color="auto"/>
        <w:right w:val="none" w:sz="0" w:space="0" w:color="auto"/>
      </w:divBdr>
    </w:div>
    <w:div w:id="967323950">
      <w:bodyDiv w:val="1"/>
      <w:marLeft w:val="0"/>
      <w:marRight w:val="0"/>
      <w:marTop w:val="0"/>
      <w:marBottom w:val="0"/>
      <w:divBdr>
        <w:top w:val="none" w:sz="0" w:space="0" w:color="auto"/>
        <w:left w:val="none" w:sz="0" w:space="0" w:color="auto"/>
        <w:bottom w:val="none" w:sz="0" w:space="0" w:color="auto"/>
        <w:right w:val="none" w:sz="0" w:space="0" w:color="auto"/>
      </w:divBdr>
    </w:div>
    <w:div w:id="967587593">
      <w:bodyDiv w:val="1"/>
      <w:marLeft w:val="0"/>
      <w:marRight w:val="0"/>
      <w:marTop w:val="0"/>
      <w:marBottom w:val="0"/>
      <w:divBdr>
        <w:top w:val="none" w:sz="0" w:space="0" w:color="auto"/>
        <w:left w:val="none" w:sz="0" w:space="0" w:color="auto"/>
        <w:bottom w:val="none" w:sz="0" w:space="0" w:color="auto"/>
        <w:right w:val="none" w:sz="0" w:space="0" w:color="auto"/>
      </w:divBdr>
    </w:div>
    <w:div w:id="967589716">
      <w:bodyDiv w:val="1"/>
      <w:marLeft w:val="0"/>
      <w:marRight w:val="0"/>
      <w:marTop w:val="0"/>
      <w:marBottom w:val="0"/>
      <w:divBdr>
        <w:top w:val="none" w:sz="0" w:space="0" w:color="auto"/>
        <w:left w:val="none" w:sz="0" w:space="0" w:color="auto"/>
        <w:bottom w:val="none" w:sz="0" w:space="0" w:color="auto"/>
        <w:right w:val="none" w:sz="0" w:space="0" w:color="auto"/>
      </w:divBdr>
    </w:div>
    <w:div w:id="967707543">
      <w:bodyDiv w:val="1"/>
      <w:marLeft w:val="0"/>
      <w:marRight w:val="0"/>
      <w:marTop w:val="0"/>
      <w:marBottom w:val="0"/>
      <w:divBdr>
        <w:top w:val="none" w:sz="0" w:space="0" w:color="auto"/>
        <w:left w:val="none" w:sz="0" w:space="0" w:color="auto"/>
        <w:bottom w:val="none" w:sz="0" w:space="0" w:color="auto"/>
        <w:right w:val="none" w:sz="0" w:space="0" w:color="auto"/>
      </w:divBdr>
    </w:div>
    <w:div w:id="967779666">
      <w:bodyDiv w:val="1"/>
      <w:marLeft w:val="0"/>
      <w:marRight w:val="0"/>
      <w:marTop w:val="0"/>
      <w:marBottom w:val="0"/>
      <w:divBdr>
        <w:top w:val="none" w:sz="0" w:space="0" w:color="auto"/>
        <w:left w:val="none" w:sz="0" w:space="0" w:color="auto"/>
        <w:bottom w:val="none" w:sz="0" w:space="0" w:color="auto"/>
        <w:right w:val="none" w:sz="0" w:space="0" w:color="auto"/>
      </w:divBdr>
    </w:div>
    <w:div w:id="968047398">
      <w:bodyDiv w:val="1"/>
      <w:marLeft w:val="0"/>
      <w:marRight w:val="0"/>
      <w:marTop w:val="0"/>
      <w:marBottom w:val="0"/>
      <w:divBdr>
        <w:top w:val="none" w:sz="0" w:space="0" w:color="auto"/>
        <w:left w:val="none" w:sz="0" w:space="0" w:color="auto"/>
        <w:bottom w:val="none" w:sz="0" w:space="0" w:color="auto"/>
        <w:right w:val="none" w:sz="0" w:space="0" w:color="auto"/>
      </w:divBdr>
    </w:div>
    <w:div w:id="968047433">
      <w:bodyDiv w:val="1"/>
      <w:marLeft w:val="0"/>
      <w:marRight w:val="0"/>
      <w:marTop w:val="0"/>
      <w:marBottom w:val="0"/>
      <w:divBdr>
        <w:top w:val="none" w:sz="0" w:space="0" w:color="auto"/>
        <w:left w:val="none" w:sz="0" w:space="0" w:color="auto"/>
        <w:bottom w:val="none" w:sz="0" w:space="0" w:color="auto"/>
        <w:right w:val="none" w:sz="0" w:space="0" w:color="auto"/>
      </w:divBdr>
    </w:div>
    <w:div w:id="968319996">
      <w:bodyDiv w:val="1"/>
      <w:marLeft w:val="0"/>
      <w:marRight w:val="0"/>
      <w:marTop w:val="0"/>
      <w:marBottom w:val="0"/>
      <w:divBdr>
        <w:top w:val="none" w:sz="0" w:space="0" w:color="auto"/>
        <w:left w:val="none" w:sz="0" w:space="0" w:color="auto"/>
        <w:bottom w:val="none" w:sz="0" w:space="0" w:color="auto"/>
        <w:right w:val="none" w:sz="0" w:space="0" w:color="auto"/>
      </w:divBdr>
    </w:div>
    <w:div w:id="968825442">
      <w:bodyDiv w:val="1"/>
      <w:marLeft w:val="0"/>
      <w:marRight w:val="0"/>
      <w:marTop w:val="0"/>
      <w:marBottom w:val="0"/>
      <w:divBdr>
        <w:top w:val="none" w:sz="0" w:space="0" w:color="auto"/>
        <w:left w:val="none" w:sz="0" w:space="0" w:color="auto"/>
        <w:bottom w:val="none" w:sz="0" w:space="0" w:color="auto"/>
        <w:right w:val="none" w:sz="0" w:space="0" w:color="auto"/>
      </w:divBdr>
    </w:div>
    <w:div w:id="968898295">
      <w:bodyDiv w:val="1"/>
      <w:marLeft w:val="0"/>
      <w:marRight w:val="0"/>
      <w:marTop w:val="0"/>
      <w:marBottom w:val="0"/>
      <w:divBdr>
        <w:top w:val="none" w:sz="0" w:space="0" w:color="auto"/>
        <w:left w:val="none" w:sz="0" w:space="0" w:color="auto"/>
        <w:bottom w:val="none" w:sz="0" w:space="0" w:color="auto"/>
        <w:right w:val="none" w:sz="0" w:space="0" w:color="auto"/>
      </w:divBdr>
    </w:div>
    <w:div w:id="969016494">
      <w:bodyDiv w:val="1"/>
      <w:marLeft w:val="0"/>
      <w:marRight w:val="0"/>
      <w:marTop w:val="0"/>
      <w:marBottom w:val="0"/>
      <w:divBdr>
        <w:top w:val="none" w:sz="0" w:space="0" w:color="auto"/>
        <w:left w:val="none" w:sz="0" w:space="0" w:color="auto"/>
        <w:bottom w:val="none" w:sz="0" w:space="0" w:color="auto"/>
        <w:right w:val="none" w:sz="0" w:space="0" w:color="auto"/>
      </w:divBdr>
    </w:div>
    <w:div w:id="969238512">
      <w:bodyDiv w:val="1"/>
      <w:marLeft w:val="0"/>
      <w:marRight w:val="0"/>
      <w:marTop w:val="0"/>
      <w:marBottom w:val="0"/>
      <w:divBdr>
        <w:top w:val="none" w:sz="0" w:space="0" w:color="auto"/>
        <w:left w:val="none" w:sz="0" w:space="0" w:color="auto"/>
        <w:bottom w:val="none" w:sz="0" w:space="0" w:color="auto"/>
        <w:right w:val="none" w:sz="0" w:space="0" w:color="auto"/>
      </w:divBdr>
    </w:div>
    <w:div w:id="969553701">
      <w:bodyDiv w:val="1"/>
      <w:marLeft w:val="0"/>
      <w:marRight w:val="0"/>
      <w:marTop w:val="0"/>
      <w:marBottom w:val="0"/>
      <w:divBdr>
        <w:top w:val="none" w:sz="0" w:space="0" w:color="auto"/>
        <w:left w:val="none" w:sz="0" w:space="0" w:color="auto"/>
        <w:bottom w:val="none" w:sz="0" w:space="0" w:color="auto"/>
        <w:right w:val="none" w:sz="0" w:space="0" w:color="auto"/>
      </w:divBdr>
    </w:div>
    <w:div w:id="969818972">
      <w:bodyDiv w:val="1"/>
      <w:marLeft w:val="0"/>
      <w:marRight w:val="0"/>
      <w:marTop w:val="0"/>
      <w:marBottom w:val="0"/>
      <w:divBdr>
        <w:top w:val="none" w:sz="0" w:space="0" w:color="auto"/>
        <w:left w:val="none" w:sz="0" w:space="0" w:color="auto"/>
        <w:bottom w:val="none" w:sz="0" w:space="0" w:color="auto"/>
        <w:right w:val="none" w:sz="0" w:space="0" w:color="auto"/>
      </w:divBdr>
    </w:div>
    <w:div w:id="969822698">
      <w:bodyDiv w:val="1"/>
      <w:marLeft w:val="0"/>
      <w:marRight w:val="0"/>
      <w:marTop w:val="0"/>
      <w:marBottom w:val="0"/>
      <w:divBdr>
        <w:top w:val="none" w:sz="0" w:space="0" w:color="auto"/>
        <w:left w:val="none" w:sz="0" w:space="0" w:color="auto"/>
        <w:bottom w:val="none" w:sz="0" w:space="0" w:color="auto"/>
        <w:right w:val="none" w:sz="0" w:space="0" w:color="auto"/>
      </w:divBdr>
    </w:div>
    <w:div w:id="970552619">
      <w:bodyDiv w:val="1"/>
      <w:marLeft w:val="0"/>
      <w:marRight w:val="0"/>
      <w:marTop w:val="0"/>
      <w:marBottom w:val="0"/>
      <w:divBdr>
        <w:top w:val="none" w:sz="0" w:space="0" w:color="auto"/>
        <w:left w:val="none" w:sz="0" w:space="0" w:color="auto"/>
        <w:bottom w:val="none" w:sz="0" w:space="0" w:color="auto"/>
        <w:right w:val="none" w:sz="0" w:space="0" w:color="auto"/>
      </w:divBdr>
    </w:div>
    <w:div w:id="970593848">
      <w:bodyDiv w:val="1"/>
      <w:marLeft w:val="0"/>
      <w:marRight w:val="0"/>
      <w:marTop w:val="0"/>
      <w:marBottom w:val="0"/>
      <w:divBdr>
        <w:top w:val="none" w:sz="0" w:space="0" w:color="auto"/>
        <w:left w:val="none" w:sz="0" w:space="0" w:color="auto"/>
        <w:bottom w:val="none" w:sz="0" w:space="0" w:color="auto"/>
        <w:right w:val="none" w:sz="0" w:space="0" w:color="auto"/>
      </w:divBdr>
    </w:div>
    <w:div w:id="970747921">
      <w:bodyDiv w:val="1"/>
      <w:marLeft w:val="0"/>
      <w:marRight w:val="0"/>
      <w:marTop w:val="0"/>
      <w:marBottom w:val="0"/>
      <w:divBdr>
        <w:top w:val="none" w:sz="0" w:space="0" w:color="auto"/>
        <w:left w:val="none" w:sz="0" w:space="0" w:color="auto"/>
        <w:bottom w:val="none" w:sz="0" w:space="0" w:color="auto"/>
        <w:right w:val="none" w:sz="0" w:space="0" w:color="auto"/>
      </w:divBdr>
    </w:div>
    <w:div w:id="970786076">
      <w:bodyDiv w:val="1"/>
      <w:marLeft w:val="0"/>
      <w:marRight w:val="0"/>
      <w:marTop w:val="0"/>
      <w:marBottom w:val="0"/>
      <w:divBdr>
        <w:top w:val="none" w:sz="0" w:space="0" w:color="auto"/>
        <w:left w:val="none" w:sz="0" w:space="0" w:color="auto"/>
        <w:bottom w:val="none" w:sz="0" w:space="0" w:color="auto"/>
        <w:right w:val="none" w:sz="0" w:space="0" w:color="auto"/>
      </w:divBdr>
    </w:div>
    <w:div w:id="970867602">
      <w:bodyDiv w:val="1"/>
      <w:marLeft w:val="0"/>
      <w:marRight w:val="0"/>
      <w:marTop w:val="0"/>
      <w:marBottom w:val="0"/>
      <w:divBdr>
        <w:top w:val="none" w:sz="0" w:space="0" w:color="auto"/>
        <w:left w:val="none" w:sz="0" w:space="0" w:color="auto"/>
        <w:bottom w:val="none" w:sz="0" w:space="0" w:color="auto"/>
        <w:right w:val="none" w:sz="0" w:space="0" w:color="auto"/>
      </w:divBdr>
    </w:div>
    <w:div w:id="971058796">
      <w:bodyDiv w:val="1"/>
      <w:marLeft w:val="0"/>
      <w:marRight w:val="0"/>
      <w:marTop w:val="0"/>
      <w:marBottom w:val="0"/>
      <w:divBdr>
        <w:top w:val="none" w:sz="0" w:space="0" w:color="auto"/>
        <w:left w:val="none" w:sz="0" w:space="0" w:color="auto"/>
        <w:bottom w:val="none" w:sz="0" w:space="0" w:color="auto"/>
        <w:right w:val="none" w:sz="0" w:space="0" w:color="auto"/>
      </w:divBdr>
    </w:div>
    <w:div w:id="971206000">
      <w:bodyDiv w:val="1"/>
      <w:marLeft w:val="0"/>
      <w:marRight w:val="0"/>
      <w:marTop w:val="0"/>
      <w:marBottom w:val="0"/>
      <w:divBdr>
        <w:top w:val="none" w:sz="0" w:space="0" w:color="auto"/>
        <w:left w:val="none" w:sz="0" w:space="0" w:color="auto"/>
        <w:bottom w:val="none" w:sz="0" w:space="0" w:color="auto"/>
        <w:right w:val="none" w:sz="0" w:space="0" w:color="auto"/>
      </w:divBdr>
    </w:div>
    <w:div w:id="971209729">
      <w:bodyDiv w:val="1"/>
      <w:marLeft w:val="0"/>
      <w:marRight w:val="0"/>
      <w:marTop w:val="0"/>
      <w:marBottom w:val="0"/>
      <w:divBdr>
        <w:top w:val="none" w:sz="0" w:space="0" w:color="auto"/>
        <w:left w:val="none" w:sz="0" w:space="0" w:color="auto"/>
        <w:bottom w:val="none" w:sz="0" w:space="0" w:color="auto"/>
        <w:right w:val="none" w:sz="0" w:space="0" w:color="auto"/>
      </w:divBdr>
    </w:div>
    <w:div w:id="971640008">
      <w:bodyDiv w:val="1"/>
      <w:marLeft w:val="0"/>
      <w:marRight w:val="0"/>
      <w:marTop w:val="0"/>
      <w:marBottom w:val="0"/>
      <w:divBdr>
        <w:top w:val="none" w:sz="0" w:space="0" w:color="auto"/>
        <w:left w:val="none" w:sz="0" w:space="0" w:color="auto"/>
        <w:bottom w:val="none" w:sz="0" w:space="0" w:color="auto"/>
        <w:right w:val="none" w:sz="0" w:space="0" w:color="auto"/>
      </w:divBdr>
    </w:div>
    <w:div w:id="971715917">
      <w:bodyDiv w:val="1"/>
      <w:marLeft w:val="0"/>
      <w:marRight w:val="0"/>
      <w:marTop w:val="0"/>
      <w:marBottom w:val="0"/>
      <w:divBdr>
        <w:top w:val="none" w:sz="0" w:space="0" w:color="auto"/>
        <w:left w:val="none" w:sz="0" w:space="0" w:color="auto"/>
        <w:bottom w:val="none" w:sz="0" w:space="0" w:color="auto"/>
        <w:right w:val="none" w:sz="0" w:space="0" w:color="auto"/>
      </w:divBdr>
    </w:div>
    <w:div w:id="971860821">
      <w:bodyDiv w:val="1"/>
      <w:marLeft w:val="0"/>
      <w:marRight w:val="0"/>
      <w:marTop w:val="0"/>
      <w:marBottom w:val="0"/>
      <w:divBdr>
        <w:top w:val="none" w:sz="0" w:space="0" w:color="auto"/>
        <w:left w:val="none" w:sz="0" w:space="0" w:color="auto"/>
        <w:bottom w:val="none" w:sz="0" w:space="0" w:color="auto"/>
        <w:right w:val="none" w:sz="0" w:space="0" w:color="auto"/>
      </w:divBdr>
    </w:div>
    <w:div w:id="971864731">
      <w:bodyDiv w:val="1"/>
      <w:marLeft w:val="0"/>
      <w:marRight w:val="0"/>
      <w:marTop w:val="0"/>
      <w:marBottom w:val="0"/>
      <w:divBdr>
        <w:top w:val="none" w:sz="0" w:space="0" w:color="auto"/>
        <w:left w:val="none" w:sz="0" w:space="0" w:color="auto"/>
        <w:bottom w:val="none" w:sz="0" w:space="0" w:color="auto"/>
        <w:right w:val="none" w:sz="0" w:space="0" w:color="auto"/>
      </w:divBdr>
    </w:div>
    <w:div w:id="972061592">
      <w:bodyDiv w:val="1"/>
      <w:marLeft w:val="0"/>
      <w:marRight w:val="0"/>
      <w:marTop w:val="0"/>
      <w:marBottom w:val="0"/>
      <w:divBdr>
        <w:top w:val="none" w:sz="0" w:space="0" w:color="auto"/>
        <w:left w:val="none" w:sz="0" w:space="0" w:color="auto"/>
        <w:bottom w:val="none" w:sz="0" w:space="0" w:color="auto"/>
        <w:right w:val="none" w:sz="0" w:space="0" w:color="auto"/>
      </w:divBdr>
    </w:div>
    <w:div w:id="972246899">
      <w:bodyDiv w:val="1"/>
      <w:marLeft w:val="0"/>
      <w:marRight w:val="0"/>
      <w:marTop w:val="0"/>
      <w:marBottom w:val="0"/>
      <w:divBdr>
        <w:top w:val="none" w:sz="0" w:space="0" w:color="auto"/>
        <w:left w:val="none" w:sz="0" w:space="0" w:color="auto"/>
        <w:bottom w:val="none" w:sz="0" w:space="0" w:color="auto"/>
        <w:right w:val="none" w:sz="0" w:space="0" w:color="auto"/>
      </w:divBdr>
    </w:div>
    <w:div w:id="972248748">
      <w:bodyDiv w:val="1"/>
      <w:marLeft w:val="0"/>
      <w:marRight w:val="0"/>
      <w:marTop w:val="0"/>
      <w:marBottom w:val="0"/>
      <w:divBdr>
        <w:top w:val="none" w:sz="0" w:space="0" w:color="auto"/>
        <w:left w:val="none" w:sz="0" w:space="0" w:color="auto"/>
        <w:bottom w:val="none" w:sz="0" w:space="0" w:color="auto"/>
        <w:right w:val="none" w:sz="0" w:space="0" w:color="auto"/>
      </w:divBdr>
    </w:div>
    <w:div w:id="972251876">
      <w:bodyDiv w:val="1"/>
      <w:marLeft w:val="0"/>
      <w:marRight w:val="0"/>
      <w:marTop w:val="0"/>
      <w:marBottom w:val="0"/>
      <w:divBdr>
        <w:top w:val="none" w:sz="0" w:space="0" w:color="auto"/>
        <w:left w:val="none" w:sz="0" w:space="0" w:color="auto"/>
        <w:bottom w:val="none" w:sz="0" w:space="0" w:color="auto"/>
        <w:right w:val="none" w:sz="0" w:space="0" w:color="auto"/>
      </w:divBdr>
    </w:div>
    <w:div w:id="972713829">
      <w:bodyDiv w:val="1"/>
      <w:marLeft w:val="0"/>
      <w:marRight w:val="0"/>
      <w:marTop w:val="0"/>
      <w:marBottom w:val="0"/>
      <w:divBdr>
        <w:top w:val="none" w:sz="0" w:space="0" w:color="auto"/>
        <w:left w:val="none" w:sz="0" w:space="0" w:color="auto"/>
        <w:bottom w:val="none" w:sz="0" w:space="0" w:color="auto"/>
        <w:right w:val="none" w:sz="0" w:space="0" w:color="auto"/>
      </w:divBdr>
    </w:div>
    <w:div w:id="972752869">
      <w:bodyDiv w:val="1"/>
      <w:marLeft w:val="0"/>
      <w:marRight w:val="0"/>
      <w:marTop w:val="0"/>
      <w:marBottom w:val="0"/>
      <w:divBdr>
        <w:top w:val="none" w:sz="0" w:space="0" w:color="auto"/>
        <w:left w:val="none" w:sz="0" w:space="0" w:color="auto"/>
        <w:bottom w:val="none" w:sz="0" w:space="0" w:color="auto"/>
        <w:right w:val="none" w:sz="0" w:space="0" w:color="auto"/>
      </w:divBdr>
    </w:div>
    <w:div w:id="972980157">
      <w:bodyDiv w:val="1"/>
      <w:marLeft w:val="0"/>
      <w:marRight w:val="0"/>
      <w:marTop w:val="0"/>
      <w:marBottom w:val="0"/>
      <w:divBdr>
        <w:top w:val="none" w:sz="0" w:space="0" w:color="auto"/>
        <w:left w:val="none" w:sz="0" w:space="0" w:color="auto"/>
        <w:bottom w:val="none" w:sz="0" w:space="0" w:color="auto"/>
        <w:right w:val="none" w:sz="0" w:space="0" w:color="auto"/>
      </w:divBdr>
    </w:div>
    <w:div w:id="973364018">
      <w:bodyDiv w:val="1"/>
      <w:marLeft w:val="0"/>
      <w:marRight w:val="0"/>
      <w:marTop w:val="0"/>
      <w:marBottom w:val="0"/>
      <w:divBdr>
        <w:top w:val="none" w:sz="0" w:space="0" w:color="auto"/>
        <w:left w:val="none" w:sz="0" w:space="0" w:color="auto"/>
        <w:bottom w:val="none" w:sz="0" w:space="0" w:color="auto"/>
        <w:right w:val="none" w:sz="0" w:space="0" w:color="auto"/>
      </w:divBdr>
    </w:div>
    <w:div w:id="973411435">
      <w:bodyDiv w:val="1"/>
      <w:marLeft w:val="0"/>
      <w:marRight w:val="0"/>
      <w:marTop w:val="0"/>
      <w:marBottom w:val="0"/>
      <w:divBdr>
        <w:top w:val="none" w:sz="0" w:space="0" w:color="auto"/>
        <w:left w:val="none" w:sz="0" w:space="0" w:color="auto"/>
        <w:bottom w:val="none" w:sz="0" w:space="0" w:color="auto"/>
        <w:right w:val="none" w:sz="0" w:space="0" w:color="auto"/>
      </w:divBdr>
    </w:div>
    <w:div w:id="973606244">
      <w:bodyDiv w:val="1"/>
      <w:marLeft w:val="0"/>
      <w:marRight w:val="0"/>
      <w:marTop w:val="0"/>
      <w:marBottom w:val="0"/>
      <w:divBdr>
        <w:top w:val="none" w:sz="0" w:space="0" w:color="auto"/>
        <w:left w:val="none" w:sz="0" w:space="0" w:color="auto"/>
        <w:bottom w:val="none" w:sz="0" w:space="0" w:color="auto"/>
        <w:right w:val="none" w:sz="0" w:space="0" w:color="auto"/>
      </w:divBdr>
    </w:div>
    <w:div w:id="973943807">
      <w:bodyDiv w:val="1"/>
      <w:marLeft w:val="0"/>
      <w:marRight w:val="0"/>
      <w:marTop w:val="0"/>
      <w:marBottom w:val="0"/>
      <w:divBdr>
        <w:top w:val="none" w:sz="0" w:space="0" w:color="auto"/>
        <w:left w:val="none" w:sz="0" w:space="0" w:color="auto"/>
        <w:bottom w:val="none" w:sz="0" w:space="0" w:color="auto"/>
        <w:right w:val="none" w:sz="0" w:space="0" w:color="auto"/>
      </w:divBdr>
    </w:div>
    <w:div w:id="974140852">
      <w:bodyDiv w:val="1"/>
      <w:marLeft w:val="0"/>
      <w:marRight w:val="0"/>
      <w:marTop w:val="0"/>
      <w:marBottom w:val="0"/>
      <w:divBdr>
        <w:top w:val="none" w:sz="0" w:space="0" w:color="auto"/>
        <w:left w:val="none" w:sz="0" w:space="0" w:color="auto"/>
        <w:bottom w:val="none" w:sz="0" w:space="0" w:color="auto"/>
        <w:right w:val="none" w:sz="0" w:space="0" w:color="auto"/>
      </w:divBdr>
    </w:div>
    <w:div w:id="974532162">
      <w:bodyDiv w:val="1"/>
      <w:marLeft w:val="0"/>
      <w:marRight w:val="0"/>
      <w:marTop w:val="0"/>
      <w:marBottom w:val="0"/>
      <w:divBdr>
        <w:top w:val="none" w:sz="0" w:space="0" w:color="auto"/>
        <w:left w:val="none" w:sz="0" w:space="0" w:color="auto"/>
        <w:bottom w:val="none" w:sz="0" w:space="0" w:color="auto"/>
        <w:right w:val="none" w:sz="0" w:space="0" w:color="auto"/>
      </w:divBdr>
    </w:div>
    <w:div w:id="974719484">
      <w:bodyDiv w:val="1"/>
      <w:marLeft w:val="0"/>
      <w:marRight w:val="0"/>
      <w:marTop w:val="0"/>
      <w:marBottom w:val="0"/>
      <w:divBdr>
        <w:top w:val="none" w:sz="0" w:space="0" w:color="auto"/>
        <w:left w:val="none" w:sz="0" w:space="0" w:color="auto"/>
        <w:bottom w:val="none" w:sz="0" w:space="0" w:color="auto"/>
        <w:right w:val="none" w:sz="0" w:space="0" w:color="auto"/>
      </w:divBdr>
    </w:div>
    <w:div w:id="974725371">
      <w:bodyDiv w:val="1"/>
      <w:marLeft w:val="0"/>
      <w:marRight w:val="0"/>
      <w:marTop w:val="0"/>
      <w:marBottom w:val="0"/>
      <w:divBdr>
        <w:top w:val="none" w:sz="0" w:space="0" w:color="auto"/>
        <w:left w:val="none" w:sz="0" w:space="0" w:color="auto"/>
        <w:bottom w:val="none" w:sz="0" w:space="0" w:color="auto"/>
        <w:right w:val="none" w:sz="0" w:space="0" w:color="auto"/>
      </w:divBdr>
    </w:div>
    <w:div w:id="974791798">
      <w:bodyDiv w:val="1"/>
      <w:marLeft w:val="0"/>
      <w:marRight w:val="0"/>
      <w:marTop w:val="0"/>
      <w:marBottom w:val="0"/>
      <w:divBdr>
        <w:top w:val="none" w:sz="0" w:space="0" w:color="auto"/>
        <w:left w:val="none" w:sz="0" w:space="0" w:color="auto"/>
        <w:bottom w:val="none" w:sz="0" w:space="0" w:color="auto"/>
        <w:right w:val="none" w:sz="0" w:space="0" w:color="auto"/>
      </w:divBdr>
    </w:div>
    <w:div w:id="974793562">
      <w:bodyDiv w:val="1"/>
      <w:marLeft w:val="0"/>
      <w:marRight w:val="0"/>
      <w:marTop w:val="0"/>
      <w:marBottom w:val="0"/>
      <w:divBdr>
        <w:top w:val="none" w:sz="0" w:space="0" w:color="auto"/>
        <w:left w:val="none" w:sz="0" w:space="0" w:color="auto"/>
        <w:bottom w:val="none" w:sz="0" w:space="0" w:color="auto"/>
        <w:right w:val="none" w:sz="0" w:space="0" w:color="auto"/>
      </w:divBdr>
    </w:div>
    <w:div w:id="975259109">
      <w:bodyDiv w:val="1"/>
      <w:marLeft w:val="0"/>
      <w:marRight w:val="0"/>
      <w:marTop w:val="0"/>
      <w:marBottom w:val="0"/>
      <w:divBdr>
        <w:top w:val="none" w:sz="0" w:space="0" w:color="auto"/>
        <w:left w:val="none" w:sz="0" w:space="0" w:color="auto"/>
        <w:bottom w:val="none" w:sz="0" w:space="0" w:color="auto"/>
        <w:right w:val="none" w:sz="0" w:space="0" w:color="auto"/>
      </w:divBdr>
    </w:div>
    <w:div w:id="975984806">
      <w:bodyDiv w:val="1"/>
      <w:marLeft w:val="0"/>
      <w:marRight w:val="0"/>
      <w:marTop w:val="0"/>
      <w:marBottom w:val="0"/>
      <w:divBdr>
        <w:top w:val="none" w:sz="0" w:space="0" w:color="auto"/>
        <w:left w:val="none" w:sz="0" w:space="0" w:color="auto"/>
        <w:bottom w:val="none" w:sz="0" w:space="0" w:color="auto"/>
        <w:right w:val="none" w:sz="0" w:space="0" w:color="auto"/>
      </w:divBdr>
    </w:div>
    <w:div w:id="975988549">
      <w:bodyDiv w:val="1"/>
      <w:marLeft w:val="0"/>
      <w:marRight w:val="0"/>
      <w:marTop w:val="0"/>
      <w:marBottom w:val="0"/>
      <w:divBdr>
        <w:top w:val="none" w:sz="0" w:space="0" w:color="auto"/>
        <w:left w:val="none" w:sz="0" w:space="0" w:color="auto"/>
        <w:bottom w:val="none" w:sz="0" w:space="0" w:color="auto"/>
        <w:right w:val="none" w:sz="0" w:space="0" w:color="auto"/>
      </w:divBdr>
    </w:div>
    <w:div w:id="976304639">
      <w:bodyDiv w:val="1"/>
      <w:marLeft w:val="0"/>
      <w:marRight w:val="0"/>
      <w:marTop w:val="0"/>
      <w:marBottom w:val="0"/>
      <w:divBdr>
        <w:top w:val="none" w:sz="0" w:space="0" w:color="auto"/>
        <w:left w:val="none" w:sz="0" w:space="0" w:color="auto"/>
        <w:bottom w:val="none" w:sz="0" w:space="0" w:color="auto"/>
        <w:right w:val="none" w:sz="0" w:space="0" w:color="auto"/>
      </w:divBdr>
    </w:div>
    <w:div w:id="976490764">
      <w:bodyDiv w:val="1"/>
      <w:marLeft w:val="0"/>
      <w:marRight w:val="0"/>
      <w:marTop w:val="0"/>
      <w:marBottom w:val="0"/>
      <w:divBdr>
        <w:top w:val="none" w:sz="0" w:space="0" w:color="auto"/>
        <w:left w:val="none" w:sz="0" w:space="0" w:color="auto"/>
        <w:bottom w:val="none" w:sz="0" w:space="0" w:color="auto"/>
        <w:right w:val="none" w:sz="0" w:space="0" w:color="auto"/>
      </w:divBdr>
    </w:div>
    <w:div w:id="976565783">
      <w:bodyDiv w:val="1"/>
      <w:marLeft w:val="0"/>
      <w:marRight w:val="0"/>
      <w:marTop w:val="0"/>
      <w:marBottom w:val="0"/>
      <w:divBdr>
        <w:top w:val="none" w:sz="0" w:space="0" w:color="auto"/>
        <w:left w:val="none" w:sz="0" w:space="0" w:color="auto"/>
        <w:bottom w:val="none" w:sz="0" w:space="0" w:color="auto"/>
        <w:right w:val="none" w:sz="0" w:space="0" w:color="auto"/>
      </w:divBdr>
    </w:div>
    <w:div w:id="976570880">
      <w:bodyDiv w:val="1"/>
      <w:marLeft w:val="0"/>
      <w:marRight w:val="0"/>
      <w:marTop w:val="0"/>
      <w:marBottom w:val="0"/>
      <w:divBdr>
        <w:top w:val="none" w:sz="0" w:space="0" w:color="auto"/>
        <w:left w:val="none" w:sz="0" w:space="0" w:color="auto"/>
        <w:bottom w:val="none" w:sz="0" w:space="0" w:color="auto"/>
        <w:right w:val="none" w:sz="0" w:space="0" w:color="auto"/>
      </w:divBdr>
    </w:div>
    <w:div w:id="976689436">
      <w:bodyDiv w:val="1"/>
      <w:marLeft w:val="0"/>
      <w:marRight w:val="0"/>
      <w:marTop w:val="0"/>
      <w:marBottom w:val="0"/>
      <w:divBdr>
        <w:top w:val="none" w:sz="0" w:space="0" w:color="auto"/>
        <w:left w:val="none" w:sz="0" w:space="0" w:color="auto"/>
        <w:bottom w:val="none" w:sz="0" w:space="0" w:color="auto"/>
        <w:right w:val="none" w:sz="0" w:space="0" w:color="auto"/>
      </w:divBdr>
    </w:div>
    <w:div w:id="976880226">
      <w:bodyDiv w:val="1"/>
      <w:marLeft w:val="0"/>
      <w:marRight w:val="0"/>
      <w:marTop w:val="0"/>
      <w:marBottom w:val="0"/>
      <w:divBdr>
        <w:top w:val="none" w:sz="0" w:space="0" w:color="auto"/>
        <w:left w:val="none" w:sz="0" w:space="0" w:color="auto"/>
        <w:bottom w:val="none" w:sz="0" w:space="0" w:color="auto"/>
        <w:right w:val="none" w:sz="0" w:space="0" w:color="auto"/>
      </w:divBdr>
    </w:div>
    <w:div w:id="977228418">
      <w:bodyDiv w:val="1"/>
      <w:marLeft w:val="0"/>
      <w:marRight w:val="0"/>
      <w:marTop w:val="0"/>
      <w:marBottom w:val="0"/>
      <w:divBdr>
        <w:top w:val="none" w:sz="0" w:space="0" w:color="auto"/>
        <w:left w:val="none" w:sz="0" w:space="0" w:color="auto"/>
        <w:bottom w:val="none" w:sz="0" w:space="0" w:color="auto"/>
        <w:right w:val="none" w:sz="0" w:space="0" w:color="auto"/>
      </w:divBdr>
    </w:div>
    <w:div w:id="977228969">
      <w:bodyDiv w:val="1"/>
      <w:marLeft w:val="0"/>
      <w:marRight w:val="0"/>
      <w:marTop w:val="0"/>
      <w:marBottom w:val="0"/>
      <w:divBdr>
        <w:top w:val="none" w:sz="0" w:space="0" w:color="auto"/>
        <w:left w:val="none" w:sz="0" w:space="0" w:color="auto"/>
        <w:bottom w:val="none" w:sz="0" w:space="0" w:color="auto"/>
        <w:right w:val="none" w:sz="0" w:space="0" w:color="auto"/>
      </w:divBdr>
    </w:div>
    <w:div w:id="977296192">
      <w:bodyDiv w:val="1"/>
      <w:marLeft w:val="0"/>
      <w:marRight w:val="0"/>
      <w:marTop w:val="0"/>
      <w:marBottom w:val="0"/>
      <w:divBdr>
        <w:top w:val="none" w:sz="0" w:space="0" w:color="auto"/>
        <w:left w:val="none" w:sz="0" w:space="0" w:color="auto"/>
        <w:bottom w:val="none" w:sz="0" w:space="0" w:color="auto"/>
        <w:right w:val="none" w:sz="0" w:space="0" w:color="auto"/>
      </w:divBdr>
    </w:div>
    <w:div w:id="977344433">
      <w:bodyDiv w:val="1"/>
      <w:marLeft w:val="0"/>
      <w:marRight w:val="0"/>
      <w:marTop w:val="0"/>
      <w:marBottom w:val="0"/>
      <w:divBdr>
        <w:top w:val="none" w:sz="0" w:space="0" w:color="auto"/>
        <w:left w:val="none" w:sz="0" w:space="0" w:color="auto"/>
        <w:bottom w:val="none" w:sz="0" w:space="0" w:color="auto"/>
        <w:right w:val="none" w:sz="0" w:space="0" w:color="auto"/>
      </w:divBdr>
    </w:div>
    <w:div w:id="977421252">
      <w:bodyDiv w:val="1"/>
      <w:marLeft w:val="0"/>
      <w:marRight w:val="0"/>
      <w:marTop w:val="0"/>
      <w:marBottom w:val="0"/>
      <w:divBdr>
        <w:top w:val="none" w:sz="0" w:space="0" w:color="auto"/>
        <w:left w:val="none" w:sz="0" w:space="0" w:color="auto"/>
        <w:bottom w:val="none" w:sz="0" w:space="0" w:color="auto"/>
        <w:right w:val="none" w:sz="0" w:space="0" w:color="auto"/>
      </w:divBdr>
    </w:div>
    <w:div w:id="977566247">
      <w:bodyDiv w:val="1"/>
      <w:marLeft w:val="0"/>
      <w:marRight w:val="0"/>
      <w:marTop w:val="0"/>
      <w:marBottom w:val="0"/>
      <w:divBdr>
        <w:top w:val="none" w:sz="0" w:space="0" w:color="auto"/>
        <w:left w:val="none" w:sz="0" w:space="0" w:color="auto"/>
        <w:bottom w:val="none" w:sz="0" w:space="0" w:color="auto"/>
        <w:right w:val="none" w:sz="0" w:space="0" w:color="auto"/>
      </w:divBdr>
    </w:div>
    <w:div w:id="977806291">
      <w:bodyDiv w:val="1"/>
      <w:marLeft w:val="0"/>
      <w:marRight w:val="0"/>
      <w:marTop w:val="0"/>
      <w:marBottom w:val="0"/>
      <w:divBdr>
        <w:top w:val="none" w:sz="0" w:space="0" w:color="auto"/>
        <w:left w:val="none" w:sz="0" w:space="0" w:color="auto"/>
        <w:bottom w:val="none" w:sz="0" w:space="0" w:color="auto"/>
        <w:right w:val="none" w:sz="0" w:space="0" w:color="auto"/>
      </w:divBdr>
    </w:div>
    <w:div w:id="977806430">
      <w:bodyDiv w:val="1"/>
      <w:marLeft w:val="0"/>
      <w:marRight w:val="0"/>
      <w:marTop w:val="0"/>
      <w:marBottom w:val="0"/>
      <w:divBdr>
        <w:top w:val="none" w:sz="0" w:space="0" w:color="auto"/>
        <w:left w:val="none" w:sz="0" w:space="0" w:color="auto"/>
        <w:bottom w:val="none" w:sz="0" w:space="0" w:color="auto"/>
        <w:right w:val="none" w:sz="0" w:space="0" w:color="auto"/>
      </w:divBdr>
    </w:div>
    <w:div w:id="978152028">
      <w:bodyDiv w:val="1"/>
      <w:marLeft w:val="0"/>
      <w:marRight w:val="0"/>
      <w:marTop w:val="0"/>
      <w:marBottom w:val="0"/>
      <w:divBdr>
        <w:top w:val="none" w:sz="0" w:space="0" w:color="auto"/>
        <w:left w:val="none" w:sz="0" w:space="0" w:color="auto"/>
        <w:bottom w:val="none" w:sz="0" w:space="0" w:color="auto"/>
        <w:right w:val="none" w:sz="0" w:space="0" w:color="auto"/>
      </w:divBdr>
    </w:div>
    <w:div w:id="978221430">
      <w:bodyDiv w:val="1"/>
      <w:marLeft w:val="0"/>
      <w:marRight w:val="0"/>
      <w:marTop w:val="0"/>
      <w:marBottom w:val="0"/>
      <w:divBdr>
        <w:top w:val="none" w:sz="0" w:space="0" w:color="auto"/>
        <w:left w:val="none" w:sz="0" w:space="0" w:color="auto"/>
        <w:bottom w:val="none" w:sz="0" w:space="0" w:color="auto"/>
        <w:right w:val="none" w:sz="0" w:space="0" w:color="auto"/>
      </w:divBdr>
    </w:div>
    <w:div w:id="978537238">
      <w:bodyDiv w:val="1"/>
      <w:marLeft w:val="0"/>
      <w:marRight w:val="0"/>
      <w:marTop w:val="0"/>
      <w:marBottom w:val="0"/>
      <w:divBdr>
        <w:top w:val="none" w:sz="0" w:space="0" w:color="auto"/>
        <w:left w:val="none" w:sz="0" w:space="0" w:color="auto"/>
        <w:bottom w:val="none" w:sz="0" w:space="0" w:color="auto"/>
        <w:right w:val="none" w:sz="0" w:space="0" w:color="auto"/>
      </w:divBdr>
    </w:div>
    <w:div w:id="978992641">
      <w:bodyDiv w:val="1"/>
      <w:marLeft w:val="0"/>
      <w:marRight w:val="0"/>
      <w:marTop w:val="0"/>
      <w:marBottom w:val="0"/>
      <w:divBdr>
        <w:top w:val="none" w:sz="0" w:space="0" w:color="auto"/>
        <w:left w:val="none" w:sz="0" w:space="0" w:color="auto"/>
        <w:bottom w:val="none" w:sz="0" w:space="0" w:color="auto"/>
        <w:right w:val="none" w:sz="0" w:space="0" w:color="auto"/>
      </w:divBdr>
    </w:div>
    <w:div w:id="979193843">
      <w:bodyDiv w:val="1"/>
      <w:marLeft w:val="0"/>
      <w:marRight w:val="0"/>
      <w:marTop w:val="0"/>
      <w:marBottom w:val="0"/>
      <w:divBdr>
        <w:top w:val="none" w:sz="0" w:space="0" w:color="auto"/>
        <w:left w:val="none" w:sz="0" w:space="0" w:color="auto"/>
        <w:bottom w:val="none" w:sz="0" w:space="0" w:color="auto"/>
        <w:right w:val="none" w:sz="0" w:space="0" w:color="auto"/>
      </w:divBdr>
    </w:div>
    <w:div w:id="979306921">
      <w:bodyDiv w:val="1"/>
      <w:marLeft w:val="0"/>
      <w:marRight w:val="0"/>
      <w:marTop w:val="0"/>
      <w:marBottom w:val="0"/>
      <w:divBdr>
        <w:top w:val="none" w:sz="0" w:space="0" w:color="auto"/>
        <w:left w:val="none" w:sz="0" w:space="0" w:color="auto"/>
        <w:bottom w:val="none" w:sz="0" w:space="0" w:color="auto"/>
        <w:right w:val="none" w:sz="0" w:space="0" w:color="auto"/>
      </w:divBdr>
    </w:div>
    <w:div w:id="979337012">
      <w:bodyDiv w:val="1"/>
      <w:marLeft w:val="0"/>
      <w:marRight w:val="0"/>
      <w:marTop w:val="0"/>
      <w:marBottom w:val="0"/>
      <w:divBdr>
        <w:top w:val="none" w:sz="0" w:space="0" w:color="auto"/>
        <w:left w:val="none" w:sz="0" w:space="0" w:color="auto"/>
        <w:bottom w:val="none" w:sz="0" w:space="0" w:color="auto"/>
        <w:right w:val="none" w:sz="0" w:space="0" w:color="auto"/>
      </w:divBdr>
    </w:div>
    <w:div w:id="979456897">
      <w:bodyDiv w:val="1"/>
      <w:marLeft w:val="0"/>
      <w:marRight w:val="0"/>
      <w:marTop w:val="0"/>
      <w:marBottom w:val="0"/>
      <w:divBdr>
        <w:top w:val="none" w:sz="0" w:space="0" w:color="auto"/>
        <w:left w:val="none" w:sz="0" w:space="0" w:color="auto"/>
        <w:bottom w:val="none" w:sz="0" w:space="0" w:color="auto"/>
        <w:right w:val="none" w:sz="0" w:space="0" w:color="auto"/>
      </w:divBdr>
    </w:div>
    <w:div w:id="979530642">
      <w:bodyDiv w:val="1"/>
      <w:marLeft w:val="0"/>
      <w:marRight w:val="0"/>
      <w:marTop w:val="0"/>
      <w:marBottom w:val="0"/>
      <w:divBdr>
        <w:top w:val="none" w:sz="0" w:space="0" w:color="auto"/>
        <w:left w:val="none" w:sz="0" w:space="0" w:color="auto"/>
        <w:bottom w:val="none" w:sz="0" w:space="0" w:color="auto"/>
        <w:right w:val="none" w:sz="0" w:space="0" w:color="auto"/>
      </w:divBdr>
    </w:div>
    <w:div w:id="979581418">
      <w:bodyDiv w:val="1"/>
      <w:marLeft w:val="0"/>
      <w:marRight w:val="0"/>
      <w:marTop w:val="0"/>
      <w:marBottom w:val="0"/>
      <w:divBdr>
        <w:top w:val="none" w:sz="0" w:space="0" w:color="auto"/>
        <w:left w:val="none" w:sz="0" w:space="0" w:color="auto"/>
        <w:bottom w:val="none" w:sz="0" w:space="0" w:color="auto"/>
        <w:right w:val="none" w:sz="0" w:space="0" w:color="auto"/>
      </w:divBdr>
    </w:div>
    <w:div w:id="979966599">
      <w:bodyDiv w:val="1"/>
      <w:marLeft w:val="0"/>
      <w:marRight w:val="0"/>
      <w:marTop w:val="0"/>
      <w:marBottom w:val="0"/>
      <w:divBdr>
        <w:top w:val="none" w:sz="0" w:space="0" w:color="auto"/>
        <w:left w:val="none" w:sz="0" w:space="0" w:color="auto"/>
        <w:bottom w:val="none" w:sz="0" w:space="0" w:color="auto"/>
        <w:right w:val="none" w:sz="0" w:space="0" w:color="auto"/>
      </w:divBdr>
    </w:div>
    <w:div w:id="979968158">
      <w:bodyDiv w:val="1"/>
      <w:marLeft w:val="0"/>
      <w:marRight w:val="0"/>
      <w:marTop w:val="0"/>
      <w:marBottom w:val="0"/>
      <w:divBdr>
        <w:top w:val="none" w:sz="0" w:space="0" w:color="auto"/>
        <w:left w:val="none" w:sz="0" w:space="0" w:color="auto"/>
        <w:bottom w:val="none" w:sz="0" w:space="0" w:color="auto"/>
        <w:right w:val="none" w:sz="0" w:space="0" w:color="auto"/>
      </w:divBdr>
    </w:div>
    <w:div w:id="980037605">
      <w:bodyDiv w:val="1"/>
      <w:marLeft w:val="0"/>
      <w:marRight w:val="0"/>
      <w:marTop w:val="0"/>
      <w:marBottom w:val="0"/>
      <w:divBdr>
        <w:top w:val="none" w:sz="0" w:space="0" w:color="auto"/>
        <w:left w:val="none" w:sz="0" w:space="0" w:color="auto"/>
        <w:bottom w:val="none" w:sz="0" w:space="0" w:color="auto"/>
        <w:right w:val="none" w:sz="0" w:space="0" w:color="auto"/>
      </w:divBdr>
    </w:div>
    <w:div w:id="980229587">
      <w:bodyDiv w:val="1"/>
      <w:marLeft w:val="0"/>
      <w:marRight w:val="0"/>
      <w:marTop w:val="0"/>
      <w:marBottom w:val="0"/>
      <w:divBdr>
        <w:top w:val="none" w:sz="0" w:space="0" w:color="auto"/>
        <w:left w:val="none" w:sz="0" w:space="0" w:color="auto"/>
        <w:bottom w:val="none" w:sz="0" w:space="0" w:color="auto"/>
        <w:right w:val="none" w:sz="0" w:space="0" w:color="auto"/>
      </w:divBdr>
    </w:div>
    <w:div w:id="980647189">
      <w:bodyDiv w:val="1"/>
      <w:marLeft w:val="0"/>
      <w:marRight w:val="0"/>
      <w:marTop w:val="0"/>
      <w:marBottom w:val="0"/>
      <w:divBdr>
        <w:top w:val="none" w:sz="0" w:space="0" w:color="auto"/>
        <w:left w:val="none" w:sz="0" w:space="0" w:color="auto"/>
        <w:bottom w:val="none" w:sz="0" w:space="0" w:color="auto"/>
        <w:right w:val="none" w:sz="0" w:space="0" w:color="auto"/>
      </w:divBdr>
    </w:div>
    <w:div w:id="980885453">
      <w:bodyDiv w:val="1"/>
      <w:marLeft w:val="0"/>
      <w:marRight w:val="0"/>
      <w:marTop w:val="0"/>
      <w:marBottom w:val="0"/>
      <w:divBdr>
        <w:top w:val="none" w:sz="0" w:space="0" w:color="auto"/>
        <w:left w:val="none" w:sz="0" w:space="0" w:color="auto"/>
        <w:bottom w:val="none" w:sz="0" w:space="0" w:color="auto"/>
        <w:right w:val="none" w:sz="0" w:space="0" w:color="auto"/>
      </w:divBdr>
    </w:div>
    <w:div w:id="981008793">
      <w:bodyDiv w:val="1"/>
      <w:marLeft w:val="0"/>
      <w:marRight w:val="0"/>
      <w:marTop w:val="0"/>
      <w:marBottom w:val="0"/>
      <w:divBdr>
        <w:top w:val="none" w:sz="0" w:space="0" w:color="auto"/>
        <w:left w:val="none" w:sz="0" w:space="0" w:color="auto"/>
        <w:bottom w:val="none" w:sz="0" w:space="0" w:color="auto"/>
        <w:right w:val="none" w:sz="0" w:space="0" w:color="auto"/>
      </w:divBdr>
    </w:div>
    <w:div w:id="981151123">
      <w:bodyDiv w:val="1"/>
      <w:marLeft w:val="0"/>
      <w:marRight w:val="0"/>
      <w:marTop w:val="0"/>
      <w:marBottom w:val="0"/>
      <w:divBdr>
        <w:top w:val="none" w:sz="0" w:space="0" w:color="auto"/>
        <w:left w:val="none" w:sz="0" w:space="0" w:color="auto"/>
        <w:bottom w:val="none" w:sz="0" w:space="0" w:color="auto"/>
        <w:right w:val="none" w:sz="0" w:space="0" w:color="auto"/>
      </w:divBdr>
    </w:div>
    <w:div w:id="981425142">
      <w:bodyDiv w:val="1"/>
      <w:marLeft w:val="0"/>
      <w:marRight w:val="0"/>
      <w:marTop w:val="0"/>
      <w:marBottom w:val="0"/>
      <w:divBdr>
        <w:top w:val="none" w:sz="0" w:space="0" w:color="auto"/>
        <w:left w:val="none" w:sz="0" w:space="0" w:color="auto"/>
        <w:bottom w:val="none" w:sz="0" w:space="0" w:color="auto"/>
        <w:right w:val="none" w:sz="0" w:space="0" w:color="auto"/>
      </w:divBdr>
    </w:div>
    <w:div w:id="981813900">
      <w:bodyDiv w:val="1"/>
      <w:marLeft w:val="0"/>
      <w:marRight w:val="0"/>
      <w:marTop w:val="0"/>
      <w:marBottom w:val="0"/>
      <w:divBdr>
        <w:top w:val="none" w:sz="0" w:space="0" w:color="auto"/>
        <w:left w:val="none" w:sz="0" w:space="0" w:color="auto"/>
        <w:bottom w:val="none" w:sz="0" w:space="0" w:color="auto"/>
        <w:right w:val="none" w:sz="0" w:space="0" w:color="auto"/>
      </w:divBdr>
    </w:div>
    <w:div w:id="981884847">
      <w:bodyDiv w:val="1"/>
      <w:marLeft w:val="0"/>
      <w:marRight w:val="0"/>
      <w:marTop w:val="0"/>
      <w:marBottom w:val="0"/>
      <w:divBdr>
        <w:top w:val="none" w:sz="0" w:space="0" w:color="auto"/>
        <w:left w:val="none" w:sz="0" w:space="0" w:color="auto"/>
        <w:bottom w:val="none" w:sz="0" w:space="0" w:color="auto"/>
        <w:right w:val="none" w:sz="0" w:space="0" w:color="auto"/>
      </w:divBdr>
    </w:div>
    <w:div w:id="982003197">
      <w:bodyDiv w:val="1"/>
      <w:marLeft w:val="0"/>
      <w:marRight w:val="0"/>
      <w:marTop w:val="0"/>
      <w:marBottom w:val="0"/>
      <w:divBdr>
        <w:top w:val="none" w:sz="0" w:space="0" w:color="auto"/>
        <w:left w:val="none" w:sz="0" w:space="0" w:color="auto"/>
        <w:bottom w:val="none" w:sz="0" w:space="0" w:color="auto"/>
        <w:right w:val="none" w:sz="0" w:space="0" w:color="auto"/>
      </w:divBdr>
    </w:div>
    <w:div w:id="982198929">
      <w:bodyDiv w:val="1"/>
      <w:marLeft w:val="0"/>
      <w:marRight w:val="0"/>
      <w:marTop w:val="0"/>
      <w:marBottom w:val="0"/>
      <w:divBdr>
        <w:top w:val="none" w:sz="0" w:space="0" w:color="auto"/>
        <w:left w:val="none" w:sz="0" w:space="0" w:color="auto"/>
        <w:bottom w:val="none" w:sz="0" w:space="0" w:color="auto"/>
        <w:right w:val="none" w:sz="0" w:space="0" w:color="auto"/>
      </w:divBdr>
    </w:div>
    <w:div w:id="982273406">
      <w:bodyDiv w:val="1"/>
      <w:marLeft w:val="0"/>
      <w:marRight w:val="0"/>
      <w:marTop w:val="0"/>
      <w:marBottom w:val="0"/>
      <w:divBdr>
        <w:top w:val="none" w:sz="0" w:space="0" w:color="auto"/>
        <w:left w:val="none" w:sz="0" w:space="0" w:color="auto"/>
        <w:bottom w:val="none" w:sz="0" w:space="0" w:color="auto"/>
        <w:right w:val="none" w:sz="0" w:space="0" w:color="auto"/>
      </w:divBdr>
    </w:div>
    <w:div w:id="982319499">
      <w:bodyDiv w:val="1"/>
      <w:marLeft w:val="0"/>
      <w:marRight w:val="0"/>
      <w:marTop w:val="0"/>
      <w:marBottom w:val="0"/>
      <w:divBdr>
        <w:top w:val="none" w:sz="0" w:space="0" w:color="auto"/>
        <w:left w:val="none" w:sz="0" w:space="0" w:color="auto"/>
        <w:bottom w:val="none" w:sz="0" w:space="0" w:color="auto"/>
        <w:right w:val="none" w:sz="0" w:space="0" w:color="auto"/>
      </w:divBdr>
    </w:div>
    <w:div w:id="982345523">
      <w:bodyDiv w:val="1"/>
      <w:marLeft w:val="0"/>
      <w:marRight w:val="0"/>
      <w:marTop w:val="0"/>
      <w:marBottom w:val="0"/>
      <w:divBdr>
        <w:top w:val="none" w:sz="0" w:space="0" w:color="auto"/>
        <w:left w:val="none" w:sz="0" w:space="0" w:color="auto"/>
        <w:bottom w:val="none" w:sz="0" w:space="0" w:color="auto"/>
        <w:right w:val="none" w:sz="0" w:space="0" w:color="auto"/>
      </w:divBdr>
    </w:div>
    <w:div w:id="982350993">
      <w:bodyDiv w:val="1"/>
      <w:marLeft w:val="0"/>
      <w:marRight w:val="0"/>
      <w:marTop w:val="0"/>
      <w:marBottom w:val="0"/>
      <w:divBdr>
        <w:top w:val="none" w:sz="0" w:space="0" w:color="auto"/>
        <w:left w:val="none" w:sz="0" w:space="0" w:color="auto"/>
        <w:bottom w:val="none" w:sz="0" w:space="0" w:color="auto"/>
        <w:right w:val="none" w:sz="0" w:space="0" w:color="auto"/>
      </w:divBdr>
    </w:div>
    <w:div w:id="982390415">
      <w:bodyDiv w:val="1"/>
      <w:marLeft w:val="0"/>
      <w:marRight w:val="0"/>
      <w:marTop w:val="0"/>
      <w:marBottom w:val="0"/>
      <w:divBdr>
        <w:top w:val="none" w:sz="0" w:space="0" w:color="auto"/>
        <w:left w:val="none" w:sz="0" w:space="0" w:color="auto"/>
        <w:bottom w:val="none" w:sz="0" w:space="0" w:color="auto"/>
        <w:right w:val="none" w:sz="0" w:space="0" w:color="auto"/>
      </w:divBdr>
    </w:div>
    <w:div w:id="982662088">
      <w:bodyDiv w:val="1"/>
      <w:marLeft w:val="0"/>
      <w:marRight w:val="0"/>
      <w:marTop w:val="0"/>
      <w:marBottom w:val="0"/>
      <w:divBdr>
        <w:top w:val="none" w:sz="0" w:space="0" w:color="auto"/>
        <w:left w:val="none" w:sz="0" w:space="0" w:color="auto"/>
        <w:bottom w:val="none" w:sz="0" w:space="0" w:color="auto"/>
        <w:right w:val="none" w:sz="0" w:space="0" w:color="auto"/>
      </w:divBdr>
    </w:div>
    <w:div w:id="982809706">
      <w:bodyDiv w:val="1"/>
      <w:marLeft w:val="0"/>
      <w:marRight w:val="0"/>
      <w:marTop w:val="0"/>
      <w:marBottom w:val="0"/>
      <w:divBdr>
        <w:top w:val="none" w:sz="0" w:space="0" w:color="auto"/>
        <w:left w:val="none" w:sz="0" w:space="0" w:color="auto"/>
        <w:bottom w:val="none" w:sz="0" w:space="0" w:color="auto"/>
        <w:right w:val="none" w:sz="0" w:space="0" w:color="auto"/>
      </w:divBdr>
    </w:div>
    <w:div w:id="983310505">
      <w:bodyDiv w:val="1"/>
      <w:marLeft w:val="0"/>
      <w:marRight w:val="0"/>
      <w:marTop w:val="0"/>
      <w:marBottom w:val="0"/>
      <w:divBdr>
        <w:top w:val="none" w:sz="0" w:space="0" w:color="auto"/>
        <w:left w:val="none" w:sz="0" w:space="0" w:color="auto"/>
        <w:bottom w:val="none" w:sz="0" w:space="0" w:color="auto"/>
        <w:right w:val="none" w:sz="0" w:space="0" w:color="auto"/>
      </w:divBdr>
    </w:div>
    <w:div w:id="983513106">
      <w:bodyDiv w:val="1"/>
      <w:marLeft w:val="0"/>
      <w:marRight w:val="0"/>
      <w:marTop w:val="0"/>
      <w:marBottom w:val="0"/>
      <w:divBdr>
        <w:top w:val="none" w:sz="0" w:space="0" w:color="auto"/>
        <w:left w:val="none" w:sz="0" w:space="0" w:color="auto"/>
        <w:bottom w:val="none" w:sz="0" w:space="0" w:color="auto"/>
        <w:right w:val="none" w:sz="0" w:space="0" w:color="auto"/>
      </w:divBdr>
    </w:div>
    <w:div w:id="983697833">
      <w:bodyDiv w:val="1"/>
      <w:marLeft w:val="0"/>
      <w:marRight w:val="0"/>
      <w:marTop w:val="0"/>
      <w:marBottom w:val="0"/>
      <w:divBdr>
        <w:top w:val="none" w:sz="0" w:space="0" w:color="auto"/>
        <w:left w:val="none" w:sz="0" w:space="0" w:color="auto"/>
        <w:bottom w:val="none" w:sz="0" w:space="0" w:color="auto"/>
        <w:right w:val="none" w:sz="0" w:space="0" w:color="auto"/>
      </w:divBdr>
    </w:div>
    <w:div w:id="984121343">
      <w:bodyDiv w:val="1"/>
      <w:marLeft w:val="0"/>
      <w:marRight w:val="0"/>
      <w:marTop w:val="0"/>
      <w:marBottom w:val="0"/>
      <w:divBdr>
        <w:top w:val="none" w:sz="0" w:space="0" w:color="auto"/>
        <w:left w:val="none" w:sz="0" w:space="0" w:color="auto"/>
        <w:bottom w:val="none" w:sz="0" w:space="0" w:color="auto"/>
        <w:right w:val="none" w:sz="0" w:space="0" w:color="auto"/>
      </w:divBdr>
    </w:div>
    <w:div w:id="984629446">
      <w:bodyDiv w:val="1"/>
      <w:marLeft w:val="0"/>
      <w:marRight w:val="0"/>
      <w:marTop w:val="0"/>
      <w:marBottom w:val="0"/>
      <w:divBdr>
        <w:top w:val="none" w:sz="0" w:space="0" w:color="auto"/>
        <w:left w:val="none" w:sz="0" w:space="0" w:color="auto"/>
        <w:bottom w:val="none" w:sz="0" w:space="0" w:color="auto"/>
        <w:right w:val="none" w:sz="0" w:space="0" w:color="auto"/>
      </w:divBdr>
    </w:div>
    <w:div w:id="984630203">
      <w:bodyDiv w:val="1"/>
      <w:marLeft w:val="0"/>
      <w:marRight w:val="0"/>
      <w:marTop w:val="0"/>
      <w:marBottom w:val="0"/>
      <w:divBdr>
        <w:top w:val="none" w:sz="0" w:space="0" w:color="auto"/>
        <w:left w:val="none" w:sz="0" w:space="0" w:color="auto"/>
        <w:bottom w:val="none" w:sz="0" w:space="0" w:color="auto"/>
        <w:right w:val="none" w:sz="0" w:space="0" w:color="auto"/>
      </w:divBdr>
    </w:div>
    <w:div w:id="984774666">
      <w:bodyDiv w:val="1"/>
      <w:marLeft w:val="0"/>
      <w:marRight w:val="0"/>
      <w:marTop w:val="0"/>
      <w:marBottom w:val="0"/>
      <w:divBdr>
        <w:top w:val="none" w:sz="0" w:space="0" w:color="auto"/>
        <w:left w:val="none" w:sz="0" w:space="0" w:color="auto"/>
        <w:bottom w:val="none" w:sz="0" w:space="0" w:color="auto"/>
        <w:right w:val="none" w:sz="0" w:space="0" w:color="auto"/>
      </w:divBdr>
    </w:div>
    <w:div w:id="984894067">
      <w:bodyDiv w:val="1"/>
      <w:marLeft w:val="0"/>
      <w:marRight w:val="0"/>
      <w:marTop w:val="0"/>
      <w:marBottom w:val="0"/>
      <w:divBdr>
        <w:top w:val="none" w:sz="0" w:space="0" w:color="auto"/>
        <w:left w:val="none" w:sz="0" w:space="0" w:color="auto"/>
        <w:bottom w:val="none" w:sz="0" w:space="0" w:color="auto"/>
        <w:right w:val="none" w:sz="0" w:space="0" w:color="auto"/>
      </w:divBdr>
    </w:div>
    <w:div w:id="985016583">
      <w:bodyDiv w:val="1"/>
      <w:marLeft w:val="0"/>
      <w:marRight w:val="0"/>
      <w:marTop w:val="0"/>
      <w:marBottom w:val="0"/>
      <w:divBdr>
        <w:top w:val="none" w:sz="0" w:space="0" w:color="auto"/>
        <w:left w:val="none" w:sz="0" w:space="0" w:color="auto"/>
        <w:bottom w:val="none" w:sz="0" w:space="0" w:color="auto"/>
        <w:right w:val="none" w:sz="0" w:space="0" w:color="auto"/>
      </w:divBdr>
    </w:div>
    <w:div w:id="985402732">
      <w:bodyDiv w:val="1"/>
      <w:marLeft w:val="0"/>
      <w:marRight w:val="0"/>
      <w:marTop w:val="0"/>
      <w:marBottom w:val="0"/>
      <w:divBdr>
        <w:top w:val="none" w:sz="0" w:space="0" w:color="auto"/>
        <w:left w:val="none" w:sz="0" w:space="0" w:color="auto"/>
        <w:bottom w:val="none" w:sz="0" w:space="0" w:color="auto"/>
        <w:right w:val="none" w:sz="0" w:space="0" w:color="auto"/>
      </w:divBdr>
    </w:div>
    <w:div w:id="985403583">
      <w:bodyDiv w:val="1"/>
      <w:marLeft w:val="0"/>
      <w:marRight w:val="0"/>
      <w:marTop w:val="0"/>
      <w:marBottom w:val="0"/>
      <w:divBdr>
        <w:top w:val="none" w:sz="0" w:space="0" w:color="auto"/>
        <w:left w:val="none" w:sz="0" w:space="0" w:color="auto"/>
        <w:bottom w:val="none" w:sz="0" w:space="0" w:color="auto"/>
        <w:right w:val="none" w:sz="0" w:space="0" w:color="auto"/>
      </w:divBdr>
    </w:div>
    <w:div w:id="985427837">
      <w:bodyDiv w:val="1"/>
      <w:marLeft w:val="0"/>
      <w:marRight w:val="0"/>
      <w:marTop w:val="0"/>
      <w:marBottom w:val="0"/>
      <w:divBdr>
        <w:top w:val="none" w:sz="0" w:space="0" w:color="auto"/>
        <w:left w:val="none" w:sz="0" w:space="0" w:color="auto"/>
        <w:bottom w:val="none" w:sz="0" w:space="0" w:color="auto"/>
        <w:right w:val="none" w:sz="0" w:space="0" w:color="auto"/>
      </w:divBdr>
    </w:div>
    <w:div w:id="985815874">
      <w:bodyDiv w:val="1"/>
      <w:marLeft w:val="0"/>
      <w:marRight w:val="0"/>
      <w:marTop w:val="0"/>
      <w:marBottom w:val="0"/>
      <w:divBdr>
        <w:top w:val="none" w:sz="0" w:space="0" w:color="auto"/>
        <w:left w:val="none" w:sz="0" w:space="0" w:color="auto"/>
        <w:bottom w:val="none" w:sz="0" w:space="0" w:color="auto"/>
        <w:right w:val="none" w:sz="0" w:space="0" w:color="auto"/>
      </w:divBdr>
    </w:div>
    <w:div w:id="986086003">
      <w:bodyDiv w:val="1"/>
      <w:marLeft w:val="0"/>
      <w:marRight w:val="0"/>
      <w:marTop w:val="0"/>
      <w:marBottom w:val="0"/>
      <w:divBdr>
        <w:top w:val="none" w:sz="0" w:space="0" w:color="auto"/>
        <w:left w:val="none" w:sz="0" w:space="0" w:color="auto"/>
        <w:bottom w:val="none" w:sz="0" w:space="0" w:color="auto"/>
        <w:right w:val="none" w:sz="0" w:space="0" w:color="auto"/>
      </w:divBdr>
    </w:div>
    <w:div w:id="986131911">
      <w:bodyDiv w:val="1"/>
      <w:marLeft w:val="0"/>
      <w:marRight w:val="0"/>
      <w:marTop w:val="0"/>
      <w:marBottom w:val="0"/>
      <w:divBdr>
        <w:top w:val="none" w:sz="0" w:space="0" w:color="auto"/>
        <w:left w:val="none" w:sz="0" w:space="0" w:color="auto"/>
        <w:bottom w:val="none" w:sz="0" w:space="0" w:color="auto"/>
        <w:right w:val="none" w:sz="0" w:space="0" w:color="auto"/>
      </w:divBdr>
    </w:div>
    <w:div w:id="986204553">
      <w:bodyDiv w:val="1"/>
      <w:marLeft w:val="0"/>
      <w:marRight w:val="0"/>
      <w:marTop w:val="0"/>
      <w:marBottom w:val="0"/>
      <w:divBdr>
        <w:top w:val="none" w:sz="0" w:space="0" w:color="auto"/>
        <w:left w:val="none" w:sz="0" w:space="0" w:color="auto"/>
        <w:bottom w:val="none" w:sz="0" w:space="0" w:color="auto"/>
        <w:right w:val="none" w:sz="0" w:space="0" w:color="auto"/>
      </w:divBdr>
    </w:div>
    <w:div w:id="986318906">
      <w:bodyDiv w:val="1"/>
      <w:marLeft w:val="0"/>
      <w:marRight w:val="0"/>
      <w:marTop w:val="0"/>
      <w:marBottom w:val="0"/>
      <w:divBdr>
        <w:top w:val="none" w:sz="0" w:space="0" w:color="auto"/>
        <w:left w:val="none" w:sz="0" w:space="0" w:color="auto"/>
        <w:bottom w:val="none" w:sz="0" w:space="0" w:color="auto"/>
        <w:right w:val="none" w:sz="0" w:space="0" w:color="auto"/>
      </w:divBdr>
    </w:div>
    <w:div w:id="986327026">
      <w:bodyDiv w:val="1"/>
      <w:marLeft w:val="0"/>
      <w:marRight w:val="0"/>
      <w:marTop w:val="0"/>
      <w:marBottom w:val="0"/>
      <w:divBdr>
        <w:top w:val="none" w:sz="0" w:space="0" w:color="auto"/>
        <w:left w:val="none" w:sz="0" w:space="0" w:color="auto"/>
        <w:bottom w:val="none" w:sz="0" w:space="0" w:color="auto"/>
        <w:right w:val="none" w:sz="0" w:space="0" w:color="auto"/>
      </w:divBdr>
    </w:div>
    <w:div w:id="986399005">
      <w:bodyDiv w:val="1"/>
      <w:marLeft w:val="0"/>
      <w:marRight w:val="0"/>
      <w:marTop w:val="0"/>
      <w:marBottom w:val="0"/>
      <w:divBdr>
        <w:top w:val="none" w:sz="0" w:space="0" w:color="auto"/>
        <w:left w:val="none" w:sz="0" w:space="0" w:color="auto"/>
        <w:bottom w:val="none" w:sz="0" w:space="0" w:color="auto"/>
        <w:right w:val="none" w:sz="0" w:space="0" w:color="auto"/>
      </w:divBdr>
    </w:div>
    <w:div w:id="986977635">
      <w:bodyDiv w:val="1"/>
      <w:marLeft w:val="0"/>
      <w:marRight w:val="0"/>
      <w:marTop w:val="0"/>
      <w:marBottom w:val="0"/>
      <w:divBdr>
        <w:top w:val="none" w:sz="0" w:space="0" w:color="auto"/>
        <w:left w:val="none" w:sz="0" w:space="0" w:color="auto"/>
        <w:bottom w:val="none" w:sz="0" w:space="0" w:color="auto"/>
        <w:right w:val="none" w:sz="0" w:space="0" w:color="auto"/>
      </w:divBdr>
    </w:div>
    <w:div w:id="987051245">
      <w:bodyDiv w:val="1"/>
      <w:marLeft w:val="0"/>
      <w:marRight w:val="0"/>
      <w:marTop w:val="0"/>
      <w:marBottom w:val="0"/>
      <w:divBdr>
        <w:top w:val="none" w:sz="0" w:space="0" w:color="auto"/>
        <w:left w:val="none" w:sz="0" w:space="0" w:color="auto"/>
        <w:bottom w:val="none" w:sz="0" w:space="0" w:color="auto"/>
        <w:right w:val="none" w:sz="0" w:space="0" w:color="auto"/>
      </w:divBdr>
    </w:div>
    <w:div w:id="987057582">
      <w:bodyDiv w:val="1"/>
      <w:marLeft w:val="0"/>
      <w:marRight w:val="0"/>
      <w:marTop w:val="0"/>
      <w:marBottom w:val="0"/>
      <w:divBdr>
        <w:top w:val="none" w:sz="0" w:space="0" w:color="auto"/>
        <w:left w:val="none" w:sz="0" w:space="0" w:color="auto"/>
        <w:bottom w:val="none" w:sz="0" w:space="0" w:color="auto"/>
        <w:right w:val="none" w:sz="0" w:space="0" w:color="auto"/>
      </w:divBdr>
    </w:div>
    <w:div w:id="987250989">
      <w:bodyDiv w:val="1"/>
      <w:marLeft w:val="0"/>
      <w:marRight w:val="0"/>
      <w:marTop w:val="0"/>
      <w:marBottom w:val="0"/>
      <w:divBdr>
        <w:top w:val="none" w:sz="0" w:space="0" w:color="auto"/>
        <w:left w:val="none" w:sz="0" w:space="0" w:color="auto"/>
        <w:bottom w:val="none" w:sz="0" w:space="0" w:color="auto"/>
        <w:right w:val="none" w:sz="0" w:space="0" w:color="auto"/>
      </w:divBdr>
    </w:div>
    <w:div w:id="987325784">
      <w:bodyDiv w:val="1"/>
      <w:marLeft w:val="0"/>
      <w:marRight w:val="0"/>
      <w:marTop w:val="0"/>
      <w:marBottom w:val="0"/>
      <w:divBdr>
        <w:top w:val="none" w:sz="0" w:space="0" w:color="auto"/>
        <w:left w:val="none" w:sz="0" w:space="0" w:color="auto"/>
        <w:bottom w:val="none" w:sz="0" w:space="0" w:color="auto"/>
        <w:right w:val="none" w:sz="0" w:space="0" w:color="auto"/>
      </w:divBdr>
    </w:div>
    <w:div w:id="988244442">
      <w:bodyDiv w:val="1"/>
      <w:marLeft w:val="0"/>
      <w:marRight w:val="0"/>
      <w:marTop w:val="0"/>
      <w:marBottom w:val="0"/>
      <w:divBdr>
        <w:top w:val="none" w:sz="0" w:space="0" w:color="auto"/>
        <w:left w:val="none" w:sz="0" w:space="0" w:color="auto"/>
        <w:bottom w:val="none" w:sz="0" w:space="0" w:color="auto"/>
        <w:right w:val="none" w:sz="0" w:space="0" w:color="auto"/>
      </w:divBdr>
    </w:div>
    <w:div w:id="988366685">
      <w:bodyDiv w:val="1"/>
      <w:marLeft w:val="0"/>
      <w:marRight w:val="0"/>
      <w:marTop w:val="0"/>
      <w:marBottom w:val="0"/>
      <w:divBdr>
        <w:top w:val="none" w:sz="0" w:space="0" w:color="auto"/>
        <w:left w:val="none" w:sz="0" w:space="0" w:color="auto"/>
        <w:bottom w:val="none" w:sz="0" w:space="0" w:color="auto"/>
        <w:right w:val="none" w:sz="0" w:space="0" w:color="auto"/>
      </w:divBdr>
    </w:div>
    <w:div w:id="988560706">
      <w:bodyDiv w:val="1"/>
      <w:marLeft w:val="0"/>
      <w:marRight w:val="0"/>
      <w:marTop w:val="0"/>
      <w:marBottom w:val="0"/>
      <w:divBdr>
        <w:top w:val="none" w:sz="0" w:space="0" w:color="auto"/>
        <w:left w:val="none" w:sz="0" w:space="0" w:color="auto"/>
        <w:bottom w:val="none" w:sz="0" w:space="0" w:color="auto"/>
        <w:right w:val="none" w:sz="0" w:space="0" w:color="auto"/>
      </w:divBdr>
    </w:div>
    <w:div w:id="989093677">
      <w:bodyDiv w:val="1"/>
      <w:marLeft w:val="0"/>
      <w:marRight w:val="0"/>
      <w:marTop w:val="0"/>
      <w:marBottom w:val="0"/>
      <w:divBdr>
        <w:top w:val="none" w:sz="0" w:space="0" w:color="auto"/>
        <w:left w:val="none" w:sz="0" w:space="0" w:color="auto"/>
        <w:bottom w:val="none" w:sz="0" w:space="0" w:color="auto"/>
        <w:right w:val="none" w:sz="0" w:space="0" w:color="auto"/>
      </w:divBdr>
    </w:div>
    <w:div w:id="989137330">
      <w:bodyDiv w:val="1"/>
      <w:marLeft w:val="0"/>
      <w:marRight w:val="0"/>
      <w:marTop w:val="0"/>
      <w:marBottom w:val="0"/>
      <w:divBdr>
        <w:top w:val="none" w:sz="0" w:space="0" w:color="auto"/>
        <w:left w:val="none" w:sz="0" w:space="0" w:color="auto"/>
        <w:bottom w:val="none" w:sz="0" w:space="0" w:color="auto"/>
        <w:right w:val="none" w:sz="0" w:space="0" w:color="auto"/>
      </w:divBdr>
    </w:div>
    <w:div w:id="989358600">
      <w:bodyDiv w:val="1"/>
      <w:marLeft w:val="0"/>
      <w:marRight w:val="0"/>
      <w:marTop w:val="0"/>
      <w:marBottom w:val="0"/>
      <w:divBdr>
        <w:top w:val="none" w:sz="0" w:space="0" w:color="auto"/>
        <w:left w:val="none" w:sz="0" w:space="0" w:color="auto"/>
        <w:bottom w:val="none" w:sz="0" w:space="0" w:color="auto"/>
        <w:right w:val="none" w:sz="0" w:space="0" w:color="auto"/>
      </w:divBdr>
    </w:div>
    <w:div w:id="989362667">
      <w:bodyDiv w:val="1"/>
      <w:marLeft w:val="0"/>
      <w:marRight w:val="0"/>
      <w:marTop w:val="0"/>
      <w:marBottom w:val="0"/>
      <w:divBdr>
        <w:top w:val="none" w:sz="0" w:space="0" w:color="auto"/>
        <w:left w:val="none" w:sz="0" w:space="0" w:color="auto"/>
        <w:bottom w:val="none" w:sz="0" w:space="0" w:color="auto"/>
        <w:right w:val="none" w:sz="0" w:space="0" w:color="auto"/>
      </w:divBdr>
    </w:div>
    <w:div w:id="989554362">
      <w:bodyDiv w:val="1"/>
      <w:marLeft w:val="0"/>
      <w:marRight w:val="0"/>
      <w:marTop w:val="0"/>
      <w:marBottom w:val="0"/>
      <w:divBdr>
        <w:top w:val="none" w:sz="0" w:space="0" w:color="auto"/>
        <w:left w:val="none" w:sz="0" w:space="0" w:color="auto"/>
        <w:bottom w:val="none" w:sz="0" w:space="0" w:color="auto"/>
        <w:right w:val="none" w:sz="0" w:space="0" w:color="auto"/>
      </w:divBdr>
    </w:div>
    <w:div w:id="989795516">
      <w:bodyDiv w:val="1"/>
      <w:marLeft w:val="0"/>
      <w:marRight w:val="0"/>
      <w:marTop w:val="0"/>
      <w:marBottom w:val="0"/>
      <w:divBdr>
        <w:top w:val="none" w:sz="0" w:space="0" w:color="auto"/>
        <w:left w:val="none" w:sz="0" w:space="0" w:color="auto"/>
        <w:bottom w:val="none" w:sz="0" w:space="0" w:color="auto"/>
        <w:right w:val="none" w:sz="0" w:space="0" w:color="auto"/>
      </w:divBdr>
    </w:div>
    <w:div w:id="990254159">
      <w:bodyDiv w:val="1"/>
      <w:marLeft w:val="0"/>
      <w:marRight w:val="0"/>
      <w:marTop w:val="0"/>
      <w:marBottom w:val="0"/>
      <w:divBdr>
        <w:top w:val="none" w:sz="0" w:space="0" w:color="auto"/>
        <w:left w:val="none" w:sz="0" w:space="0" w:color="auto"/>
        <w:bottom w:val="none" w:sz="0" w:space="0" w:color="auto"/>
        <w:right w:val="none" w:sz="0" w:space="0" w:color="auto"/>
      </w:divBdr>
    </w:div>
    <w:div w:id="990408825">
      <w:bodyDiv w:val="1"/>
      <w:marLeft w:val="0"/>
      <w:marRight w:val="0"/>
      <w:marTop w:val="0"/>
      <w:marBottom w:val="0"/>
      <w:divBdr>
        <w:top w:val="none" w:sz="0" w:space="0" w:color="auto"/>
        <w:left w:val="none" w:sz="0" w:space="0" w:color="auto"/>
        <w:bottom w:val="none" w:sz="0" w:space="0" w:color="auto"/>
        <w:right w:val="none" w:sz="0" w:space="0" w:color="auto"/>
      </w:divBdr>
    </w:div>
    <w:div w:id="990478111">
      <w:bodyDiv w:val="1"/>
      <w:marLeft w:val="0"/>
      <w:marRight w:val="0"/>
      <w:marTop w:val="0"/>
      <w:marBottom w:val="0"/>
      <w:divBdr>
        <w:top w:val="none" w:sz="0" w:space="0" w:color="auto"/>
        <w:left w:val="none" w:sz="0" w:space="0" w:color="auto"/>
        <w:bottom w:val="none" w:sz="0" w:space="0" w:color="auto"/>
        <w:right w:val="none" w:sz="0" w:space="0" w:color="auto"/>
      </w:divBdr>
    </w:div>
    <w:div w:id="990478138">
      <w:bodyDiv w:val="1"/>
      <w:marLeft w:val="0"/>
      <w:marRight w:val="0"/>
      <w:marTop w:val="0"/>
      <w:marBottom w:val="0"/>
      <w:divBdr>
        <w:top w:val="none" w:sz="0" w:space="0" w:color="auto"/>
        <w:left w:val="none" w:sz="0" w:space="0" w:color="auto"/>
        <w:bottom w:val="none" w:sz="0" w:space="0" w:color="auto"/>
        <w:right w:val="none" w:sz="0" w:space="0" w:color="auto"/>
      </w:divBdr>
    </w:div>
    <w:div w:id="990719483">
      <w:bodyDiv w:val="1"/>
      <w:marLeft w:val="0"/>
      <w:marRight w:val="0"/>
      <w:marTop w:val="0"/>
      <w:marBottom w:val="0"/>
      <w:divBdr>
        <w:top w:val="none" w:sz="0" w:space="0" w:color="auto"/>
        <w:left w:val="none" w:sz="0" w:space="0" w:color="auto"/>
        <w:bottom w:val="none" w:sz="0" w:space="0" w:color="auto"/>
        <w:right w:val="none" w:sz="0" w:space="0" w:color="auto"/>
      </w:divBdr>
    </w:div>
    <w:div w:id="990869704">
      <w:bodyDiv w:val="1"/>
      <w:marLeft w:val="0"/>
      <w:marRight w:val="0"/>
      <w:marTop w:val="0"/>
      <w:marBottom w:val="0"/>
      <w:divBdr>
        <w:top w:val="none" w:sz="0" w:space="0" w:color="auto"/>
        <w:left w:val="none" w:sz="0" w:space="0" w:color="auto"/>
        <w:bottom w:val="none" w:sz="0" w:space="0" w:color="auto"/>
        <w:right w:val="none" w:sz="0" w:space="0" w:color="auto"/>
      </w:divBdr>
    </w:div>
    <w:div w:id="990910972">
      <w:bodyDiv w:val="1"/>
      <w:marLeft w:val="0"/>
      <w:marRight w:val="0"/>
      <w:marTop w:val="0"/>
      <w:marBottom w:val="0"/>
      <w:divBdr>
        <w:top w:val="none" w:sz="0" w:space="0" w:color="auto"/>
        <w:left w:val="none" w:sz="0" w:space="0" w:color="auto"/>
        <w:bottom w:val="none" w:sz="0" w:space="0" w:color="auto"/>
        <w:right w:val="none" w:sz="0" w:space="0" w:color="auto"/>
      </w:divBdr>
    </w:div>
    <w:div w:id="990913178">
      <w:bodyDiv w:val="1"/>
      <w:marLeft w:val="0"/>
      <w:marRight w:val="0"/>
      <w:marTop w:val="0"/>
      <w:marBottom w:val="0"/>
      <w:divBdr>
        <w:top w:val="none" w:sz="0" w:space="0" w:color="auto"/>
        <w:left w:val="none" w:sz="0" w:space="0" w:color="auto"/>
        <w:bottom w:val="none" w:sz="0" w:space="0" w:color="auto"/>
        <w:right w:val="none" w:sz="0" w:space="0" w:color="auto"/>
      </w:divBdr>
    </w:div>
    <w:div w:id="990913460">
      <w:bodyDiv w:val="1"/>
      <w:marLeft w:val="0"/>
      <w:marRight w:val="0"/>
      <w:marTop w:val="0"/>
      <w:marBottom w:val="0"/>
      <w:divBdr>
        <w:top w:val="none" w:sz="0" w:space="0" w:color="auto"/>
        <w:left w:val="none" w:sz="0" w:space="0" w:color="auto"/>
        <w:bottom w:val="none" w:sz="0" w:space="0" w:color="auto"/>
        <w:right w:val="none" w:sz="0" w:space="0" w:color="auto"/>
      </w:divBdr>
    </w:div>
    <w:div w:id="990984911">
      <w:bodyDiv w:val="1"/>
      <w:marLeft w:val="0"/>
      <w:marRight w:val="0"/>
      <w:marTop w:val="0"/>
      <w:marBottom w:val="0"/>
      <w:divBdr>
        <w:top w:val="none" w:sz="0" w:space="0" w:color="auto"/>
        <w:left w:val="none" w:sz="0" w:space="0" w:color="auto"/>
        <w:bottom w:val="none" w:sz="0" w:space="0" w:color="auto"/>
        <w:right w:val="none" w:sz="0" w:space="0" w:color="auto"/>
      </w:divBdr>
    </w:div>
    <w:div w:id="991061515">
      <w:bodyDiv w:val="1"/>
      <w:marLeft w:val="0"/>
      <w:marRight w:val="0"/>
      <w:marTop w:val="0"/>
      <w:marBottom w:val="0"/>
      <w:divBdr>
        <w:top w:val="none" w:sz="0" w:space="0" w:color="auto"/>
        <w:left w:val="none" w:sz="0" w:space="0" w:color="auto"/>
        <w:bottom w:val="none" w:sz="0" w:space="0" w:color="auto"/>
        <w:right w:val="none" w:sz="0" w:space="0" w:color="auto"/>
      </w:divBdr>
    </w:div>
    <w:div w:id="991131812">
      <w:bodyDiv w:val="1"/>
      <w:marLeft w:val="0"/>
      <w:marRight w:val="0"/>
      <w:marTop w:val="0"/>
      <w:marBottom w:val="0"/>
      <w:divBdr>
        <w:top w:val="none" w:sz="0" w:space="0" w:color="auto"/>
        <w:left w:val="none" w:sz="0" w:space="0" w:color="auto"/>
        <w:bottom w:val="none" w:sz="0" w:space="0" w:color="auto"/>
        <w:right w:val="none" w:sz="0" w:space="0" w:color="auto"/>
      </w:divBdr>
    </w:div>
    <w:div w:id="991175160">
      <w:bodyDiv w:val="1"/>
      <w:marLeft w:val="0"/>
      <w:marRight w:val="0"/>
      <w:marTop w:val="0"/>
      <w:marBottom w:val="0"/>
      <w:divBdr>
        <w:top w:val="none" w:sz="0" w:space="0" w:color="auto"/>
        <w:left w:val="none" w:sz="0" w:space="0" w:color="auto"/>
        <w:bottom w:val="none" w:sz="0" w:space="0" w:color="auto"/>
        <w:right w:val="none" w:sz="0" w:space="0" w:color="auto"/>
      </w:divBdr>
    </w:div>
    <w:div w:id="991248813">
      <w:bodyDiv w:val="1"/>
      <w:marLeft w:val="0"/>
      <w:marRight w:val="0"/>
      <w:marTop w:val="0"/>
      <w:marBottom w:val="0"/>
      <w:divBdr>
        <w:top w:val="none" w:sz="0" w:space="0" w:color="auto"/>
        <w:left w:val="none" w:sz="0" w:space="0" w:color="auto"/>
        <w:bottom w:val="none" w:sz="0" w:space="0" w:color="auto"/>
        <w:right w:val="none" w:sz="0" w:space="0" w:color="auto"/>
      </w:divBdr>
    </w:div>
    <w:div w:id="991328536">
      <w:bodyDiv w:val="1"/>
      <w:marLeft w:val="0"/>
      <w:marRight w:val="0"/>
      <w:marTop w:val="0"/>
      <w:marBottom w:val="0"/>
      <w:divBdr>
        <w:top w:val="none" w:sz="0" w:space="0" w:color="auto"/>
        <w:left w:val="none" w:sz="0" w:space="0" w:color="auto"/>
        <w:bottom w:val="none" w:sz="0" w:space="0" w:color="auto"/>
        <w:right w:val="none" w:sz="0" w:space="0" w:color="auto"/>
      </w:divBdr>
    </w:div>
    <w:div w:id="991370944">
      <w:bodyDiv w:val="1"/>
      <w:marLeft w:val="0"/>
      <w:marRight w:val="0"/>
      <w:marTop w:val="0"/>
      <w:marBottom w:val="0"/>
      <w:divBdr>
        <w:top w:val="none" w:sz="0" w:space="0" w:color="auto"/>
        <w:left w:val="none" w:sz="0" w:space="0" w:color="auto"/>
        <w:bottom w:val="none" w:sz="0" w:space="0" w:color="auto"/>
        <w:right w:val="none" w:sz="0" w:space="0" w:color="auto"/>
      </w:divBdr>
    </w:div>
    <w:div w:id="991372083">
      <w:bodyDiv w:val="1"/>
      <w:marLeft w:val="0"/>
      <w:marRight w:val="0"/>
      <w:marTop w:val="0"/>
      <w:marBottom w:val="0"/>
      <w:divBdr>
        <w:top w:val="none" w:sz="0" w:space="0" w:color="auto"/>
        <w:left w:val="none" w:sz="0" w:space="0" w:color="auto"/>
        <w:bottom w:val="none" w:sz="0" w:space="0" w:color="auto"/>
        <w:right w:val="none" w:sz="0" w:space="0" w:color="auto"/>
      </w:divBdr>
    </w:div>
    <w:div w:id="991443408">
      <w:bodyDiv w:val="1"/>
      <w:marLeft w:val="0"/>
      <w:marRight w:val="0"/>
      <w:marTop w:val="0"/>
      <w:marBottom w:val="0"/>
      <w:divBdr>
        <w:top w:val="none" w:sz="0" w:space="0" w:color="auto"/>
        <w:left w:val="none" w:sz="0" w:space="0" w:color="auto"/>
        <w:bottom w:val="none" w:sz="0" w:space="0" w:color="auto"/>
        <w:right w:val="none" w:sz="0" w:space="0" w:color="auto"/>
      </w:divBdr>
    </w:div>
    <w:div w:id="991525333">
      <w:bodyDiv w:val="1"/>
      <w:marLeft w:val="0"/>
      <w:marRight w:val="0"/>
      <w:marTop w:val="0"/>
      <w:marBottom w:val="0"/>
      <w:divBdr>
        <w:top w:val="none" w:sz="0" w:space="0" w:color="auto"/>
        <w:left w:val="none" w:sz="0" w:space="0" w:color="auto"/>
        <w:bottom w:val="none" w:sz="0" w:space="0" w:color="auto"/>
        <w:right w:val="none" w:sz="0" w:space="0" w:color="auto"/>
      </w:divBdr>
    </w:div>
    <w:div w:id="991715257">
      <w:bodyDiv w:val="1"/>
      <w:marLeft w:val="0"/>
      <w:marRight w:val="0"/>
      <w:marTop w:val="0"/>
      <w:marBottom w:val="0"/>
      <w:divBdr>
        <w:top w:val="none" w:sz="0" w:space="0" w:color="auto"/>
        <w:left w:val="none" w:sz="0" w:space="0" w:color="auto"/>
        <w:bottom w:val="none" w:sz="0" w:space="0" w:color="auto"/>
        <w:right w:val="none" w:sz="0" w:space="0" w:color="auto"/>
      </w:divBdr>
    </w:div>
    <w:div w:id="991760538">
      <w:bodyDiv w:val="1"/>
      <w:marLeft w:val="0"/>
      <w:marRight w:val="0"/>
      <w:marTop w:val="0"/>
      <w:marBottom w:val="0"/>
      <w:divBdr>
        <w:top w:val="none" w:sz="0" w:space="0" w:color="auto"/>
        <w:left w:val="none" w:sz="0" w:space="0" w:color="auto"/>
        <w:bottom w:val="none" w:sz="0" w:space="0" w:color="auto"/>
        <w:right w:val="none" w:sz="0" w:space="0" w:color="auto"/>
      </w:divBdr>
    </w:div>
    <w:div w:id="992026998">
      <w:bodyDiv w:val="1"/>
      <w:marLeft w:val="0"/>
      <w:marRight w:val="0"/>
      <w:marTop w:val="0"/>
      <w:marBottom w:val="0"/>
      <w:divBdr>
        <w:top w:val="none" w:sz="0" w:space="0" w:color="auto"/>
        <w:left w:val="none" w:sz="0" w:space="0" w:color="auto"/>
        <w:bottom w:val="none" w:sz="0" w:space="0" w:color="auto"/>
        <w:right w:val="none" w:sz="0" w:space="0" w:color="auto"/>
      </w:divBdr>
    </w:div>
    <w:div w:id="992222493">
      <w:bodyDiv w:val="1"/>
      <w:marLeft w:val="0"/>
      <w:marRight w:val="0"/>
      <w:marTop w:val="0"/>
      <w:marBottom w:val="0"/>
      <w:divBdr>
        <w:top w:val="none" w:sz="0" w:space="0" w:color="auto"/>
        <w:left w:val="none" w:sz="0" w:space="0" w:color="auto"/>
        <w:bottom w:val="none" w:sz="0" w:space="0" w:color="auto"/>
        <w:right w:val="none" w:sz="0" w:space="0" w:color="auto"/>
      </w:divBdr>
    </w:div>
    <w:div w:id="992292781">
      <w:bodyDiv w:val="1"/>
      <w:marLeft w:val="0"/>
      <w:marRight w:val="0"/>
      <w:marTop w:val="0"/>
      <w:marBottom w:val="0"/>
      <w:divBdr>
        <w:top w:val="none" w:sz="0" w:space="0" w:color="auto"/>
        <w:left w:val="none" w:sz="0" w:space="0" w:color="auto"/>
        <w:bottom w:val="none" w:sz="0" w:space="0" w:color="auto"/>
        <w:right w:val="none" w:sz="0" w:space="0" w:color="auto"/>
      </w:divBdr>
    </w:div>
    <w:div w:id="992441704">
      <w:bodyDiv w:val="1"/>
      <w:marLeft w:val="0"/>
      <w:marRight w:val="0"/>
      <w:marTop w:val="0"/>
      <w:marBottom w:val="0"/>
      <w:divBdr>
        <w:top w:val="none" w:sz="0" w:space="0" w:color="auto"/>
        <w:left w:val="none" w:sz="0" w:space="0" w:color="auto"/>
        <w:bottom w:val="none" w:sz="0" w:space="0" w:color="auto"/>
        <w:right w:val="none" w:sz="0" w:space="0" w:color="auto"/>
      </w:divBdr>
    </w:div>
    <w:div w:id="992486380">
      <w:bodyDiv w:val="1"/>
      <w:marLeft w:val="0"/>
      <w:marRight w:val="0"/>
      <w:marTop w:val="0"/>
      <w:marBottom w:val="0"/>
      <w:divBdr>
        <w:top w:val="none" w:sz="0" w:space="0" w:color="auto"/>
        <w:left w:val="none" w:sz="0" w:space="0" w:color="auto"/>
        <w:bottom w:val="none" w:sz="0" w:space="0" w:color="auto"/>
        <w:right w:val="none" w:sz="0" w:space="0" w:color="auto"/>
      </w:divBdr>
    </w:div>
    <w:div w:id="992637692">
      <w:bodyDiv w:val="1"/>
      <w:marLeft w:val="0"/>
      <w:marRight w:val="0"/>
      <w:marTop w:val="0"/>
      <w:marBottom w:val="0"/>
      <w:divBdr>
        <w:top w:val="none" w:sz="0" w:space="0" w:color="auto"/>
        <w:left w:val="none" w:sz="0" w:space="0" w:color="auto"/>
        <w:bottom w:val="none" w:sz="0" w:space="0" w:color="auto"/>
        <w:right w:val="none" w:sz="0" w:space="0" w:color="auto"/>
      </w:divBdr>
    </w:div>
    <w:div w:id="992762050">
      <w:bodyDiv w:val="1"/>
      <w:marLeft w:val="0"/>
      <w:marRight w:val="0"/>
      <w:marTop w:val="0"/>
      <w:marBottom w:val="0"/>
      <w:divBdr>
        <w:top w:val="none" w:sz="0" w:space="0" w:color="auto"/>
        <w:left w:val="none" w:sz="0" w:space="0" w:color="auto"/>
        <w:bottom w:val="none" w:sz="0" w:space="0" w:color="auto"/>
        <w:right w:val="none" w:sz="0" w:space="0" w:color="auto"/>
      </w:divBdr>
    </w:div>
    <w:div w:id="992953925">
      <w:bodyDiv w:val="1"/>
      <w:marLeft w:val="0"/>
      <w:marRight w:val="0"/>
      <w:marTop w:val="0"/>
      <w:marBottom w:val="0"/>
      <w:divBdr>
        <w:top w:val="none" w:sz="0" w:space="0" w:color="auto"/>
        <w:left w:val="none" w:sz="0" w:space="0" w:color="auto"/>
        <w:bottom w:val="none" w:sz="0" w:space="0" w:color="auto"/>
        <w:right w:val="none" w:sz="0" w:space="0" w:color="auto"/>
      </w:divBdr>
    </w:div>
    <w:div w:id="993147114">
      <w:bodyDiv w:val="1"/>
      <w:marLeft w:val="0"/>
      <w:marRight w:val="0"/>
      <w:marTop w:val="0"/>
      <w:marBottom w:val="0"/>
      <w:divBdr>
        <w:top w:val="none" w:sz="0" w:space="0" w:color="auto"/>
        <w:left w:val="none" w:sz="0" w:space="0" w:color="auto"/>
        <w:bottom w:val="none" w:sz="0" w:space="0" w:color="auto"/>
        <w:right w:val="none" w:sz="0" w:space="0" w:color="auto"/>
      </w:divBdr>
    </w:div>
    <w:div w:id="993223530">
      <w:bodyDiv w:val="1"/>
      <w:marLeft w:val="0"/>
      <w:marRight w:val="0"/>
      <w:marTop w:val="0"/>
      <w:marBottom w:val="0"/>
      <w:divBdr>
        <w:top w:val="none" w:sz="0" w:space="0" w:color="auto"/>
        <w:left w:val="none" w:sz="0" w:space="0" w:color="auto"/>
        <w:bottom w:val="none" w:sz="0" w:space="0" w:color="auto"/>
        <w:right w:val="none" w:sz="0" w:space="0" w:color="auto"/>
      </w:divBdr>
    </w:div>
    <w:div w:id="993289950">
      <w:bodyDiv w:val="1"/>
      <w:marLeft w:val="0"/>
      <w:marRight w:val="0"/>
      <w:marTop w:val="0"/>
      <w:marBottom w:val="0"/>
      <w:divBdr>
        <w:top w:val="none" w:sz="0" w:space="0" w:color="auto"/>
        <w:left w:val="none" w:sz="0" w:space="0" w:color="auto"/>
        <w:bottom w:val="none" w:sz="0" w:space="0" w:color="auto"/>
        <w:right w:val="none" w:sz="0" w:space="0" w:color="auto"/>
      </w:divBdr>
    </w:div>
    <w:div w:id="993533387">
      <w:bodyDiv w:val="1"/>
      <w:marLeft w:val="0"/>
      <w:marRight w:val="0"/>
      <w:marTop w:val="0"/>
      <w:marBottom w:val="0"/>
      <w:divBdr>
        <w:top w:val="none" w:sz="0" w:space="0" w:color="auto"/>
        <w:left w:val="none" w:sz="0" w:space="0" w:color="auto"/>
        <w:bottom w:val="none" w:sz="0" w:space="0" w:color="auto"/>
        <w:right w:val="none" w:sz="0" w:space="0" w:color="auto"/>
      </w:divBdr>
    </w:div>
    <w:div w:id="993876912">
      <w:bodyDiv w:val="1"/>
      <w:marLeft w:val="0"/>
      <w:marRight w:val="0"/>
      <w:marTop w:val="0"/>
      <w:marBottom w:val="0"/>
      <w:divBdr>
        <w:top w:val="none" w:sz="0" w:space="0" w:color="auto"/>
        <w:left w:val="none" w:sz="0" w:space="0" w:color="auto"/>
        <w:bottom w:val="none" w:sz="0" w:space="0" w:color="auto"/>
        <w:right w:val="none" w:sz="0" w:space="0" w:color="auto"/>
      </w:divBdr>
    </w:div>
    <w:div w:id="993877224">
      <w:bodyDiv w:val="1"/>
      <w:marLeft w:val="0"/>
      <w:marRight w:val="0"/>
      <w:marTop w:val="0"/>
      <w:marBottom w:val="0"/>
      <w:divBdr>
        <w:top w:val="none" w:sz="0" w:space="0" w:color="auto"/>
        <w:left w:val="none" w:sz="0" w:space="0" w:color="auto"/>
        <w:bottom w:val="none" w:sz="0" w:space="0" w:color="auto"/>
        <w:right w:val="none" w:sz="0" w:space="0" w:color="auto"/>
      </w:divBdr>
    </w:div>
    <w:div w:id="994072553">
      <w:bodyDiv w:val="1"/>
      <w:marLeft w:val="0"/>
      <w:marRight w:val="0"/>
      <w:marTop w:val="0"/>
      <w:marBottom w:val="0"/>
      <w:divBdr>
        <w:top w:val="none" w:sz="0" w:space="0" w:color="auto"/>
        <w:left w:val="none" w:sz="0" w:space="0" w:color="auto"/>
        <w:bottom w:val="none" w:sz="0" w:space="0" w:color="auto"/>
        <w:right w:val="none" w:sz="0" w:space="0" w:color="auto"/>
      </w:divBdr>
    </w:div>
    <w:div w:id="994333580">
      <w:bodyDiv w:val="1"/>
      <w:marLeft w:val="0"/>
      <w:marRight w:val="0"/>
      <w:marTop w:val="0"/>
      <w:marBottom w:val="0"/>
      <w:divBdr>
        <w:top w:val="none" w:sz="0" w:space="0" w:color="auto"/>
        <w:left w:val="none" w:sz="0" w:space="0" w:color="auto"/>
        <w:bottom w:val="none" w:sz="0" w:space="0" w:color="auto"/>
        <w:right w:val="none" w:sz="0" w:space="0" w:color="auto"/>
      </w:divBdr>
    </w:div>
    <w:div w:id="994575951">
      <w:bodyDiv w:val="1"/>
      <w:marLeft w:val="0"/>
      <w:marRight w:val="0"/>
      <w:marTop w:val="0"/>
      <w:marBottom w:val="0"/>
      <w:divBdr>
        <w:top w:val="none" w:sz="0" w:space="0" w:color="auto"/>
        <w:left w:val="none" w:sz="0" w:space="0" w:color="auto"/>
        <w:bottom w:val="none" w:sz="0" w:space="0" w:color="auto"/>
        <w:right w:val="none" w:sz="0" w:space="0" w:color="auto"/>
      </w:divBdr>
    </w:div>
    <w:div w:id="994651451">
      <w:bodyDiv w:val="1"/>
      <w:marLeft w:val="0"/>
      <w:marRight w:val="0"/>
      <w:marTop w:val="0"/>
      <w:marBottom w:val="0"/>
      <w:divBdr>
        <w:top w:val="none" w:sz="0" w:space="0" w:color="auto"/>
        <w:left w:val="none" w:sz="0" w:space="0" w:color="auto"/>
        <w:bottom w:val="none" w:sz="0" w:space="0" w:color="auto"/>
        <w:right w:val="none" w:sz="0" w:space="0" w:color="auto"/>
      </w:divBdr>
    </w:div>
    <w:div w:id="994722526">
      <w:bodyDiv w:val="1"/>
      <w:marLeft w:val="0"/>
      <w:marRight w:val="0"/>
      <w:marTop w:val="0"/>
      <w:marBottom w:val="0"/>
      <w:divBdr>
        <w:top w:val="none" w:sz="0" w:space="0" w:color="auto"/>
        <w:left w:val="none" w:sz="0" w:space="0" w:color="auto"/>
        <w:bottom w:val="none" w:sz="0" w:space="0" w:color="auto"/>
        <w:right w:val="none" w:sz="0" w:space="0" w:color="auto"/>
      </w:divBdr>
    </w:div>
    <w:div w:id="994912801">
      <w:bodyDiv w:val="1"/>
      <w:marLeft w:val="0"/>
      <w:marRight w:val="0"/>
      <w:marTop w:val="0"/>
      <w:marBottom w:val="0"/>
      <w:divBdr>
        <w:top w:val="none" w:sz="0" w:space="0" w:color="auto"/>
        <w:left w:val="none" w:sz="0" w:space="0" w:color="auto"/>
        <w:bottom w:val="none" w:sz="0" w:space="0" w:color="auto"/>
        <w:right w:val="none" w:sz="0" w:space="0" w:color="auto"/>
      </w:divBdr>
    </w:div>
    <w:div w:id="994988386">
      <w:bodyDiv w:val="1"/>
      <w:marLeft w:val="0"/>
      <w:marRight w:val="0"/>
      <w:marTop w:val="0"/>
      <w:marBottom w:val="0"/>
      <w:divBdr>
        <w:top w:val="none" w:sz="0" w:space="0" w:color="auto"/>
        <w:left w:val="none" w:sz="0" w:space="0" w:color="auto"/>
        <w:bottom w:val="none" w:sz="0" w:space="0" w:color="auto"/>
        <w:right w:val="none" w:sz="0" w:space="0" w:color="auto"/>
      </w:divBdr>
    </w:div>
    <w:div w:id="995188079">
      <w:bodyDiv w:val="1"/>
      <w:marLeft w:val="0"/>
      <w:marRight w:val="0"/>
      <w:marTop w:val="0"/>
      <w:marBottom w:val="0"/>
      <w:divBdr>
        <w:top w:val="none" w:sz="0" w:space="0" w:color="auto"/>
        <w:left w:val="none" w:sz="0" w:space="0" w:color="auto"/>
        <w:bottom w:val="none" w:sz="0" w:space="0" w:color="auto"/>
        <w:right w:val="none" w:sz="0" w:space="0" w:color="auto"/>
      </w:divBdr>
    </w:div>
    <w:div w:id="995496703">
      <w:bodyDiv w:val="1"/>
      <w:marLeft w:val="0"/>
      <w:marRight w:val="0"/>
      <w:marTop w:val="0"/>
      <w:marBottom w:val="0"/>
      <w:divBdr>
        <w:top w:val="none" w:sz="0" w:space="0" w:color="auto"/>
        <w:left w:val="none" w:sz="0" w:space="0" w:color="auto"/>
        <w:bottom w:val="none" w:sz="0" w:space="0" w:color="auto"/>
        <w:right w:val="none" w:sz="0" w:space="0" w:color="auto"/>
      </w:divBdr>
    </w:div>
    <w:div w:id="995647737">
      <w:bodyDiv w:val="1"/>
      <w:marLeft w:val="0"/>
      <w:marRight w:val="0"/>
      <w:marTop w:val="0"/>
      <w:marBottom w:val="0"/>
      <w:divBdr>
        <w:top w:val="none" w:sz="0" w:space="0" w:color="auto"/>
        <w:left w:val="none" w:sz="0" w:space="0" w:color="auto"/>
        <w:bottom w:val="none" w:sz="0" w:space="0" w:color="auto"/>
        <w:right w:val="none" w:sz="0" w:space="0" w:color="auto"/>
      </w:divBdr>
    </w:div>
    <w:div w:id="995842681">
      <w:bodyDiv w:val="1"/>
      <w:marLeft w:val="0"/>
      <w:marRight w:val="0"/>
      <w:marTop w:val="0"/>
      <w:marBottom w:val="0"/>
      <w:divBdr>
        <w:top w:val="none" w:sz="0" w:space="0" w:color="auto"/>
        <w:left w:val="none" w:sz="0" w:space="0" w:color="auto"/>
        <w:bottom w:val="none" w:sz="0" w:space="0" w:color="auto"/>
        <w:right w:val="none" w:sz="0" w:space="0" w:color="auto"/>
      </w:divBdr>
    </w:div>
    <w:div w:id="995956784">
      <w:bodyDiv w:val="1"/>
      <w:marLeft w:val="0"/>
      <w:marRight w:val="0"/>
      <w:marTop w:val="0"/>
      <w:marBottom w:val="0"/>
      <w:divBdr>
        <w:top w:val="none" w:sz="0" w:space="0" w:color="auto"/>
        <w:left w:val="none" w:sz="0" w:space="0" w:color="auto"/>
        <w:bottom w:val="none" w:sz="0" w:space="0" w:color="auto"/>
        <w:right w:val="none" w:sz="0" w:space="0" w:color="auto"/>
      </w:divBdr>
    </w:div>
    <w:div w:id="995958673">
      <w:bodyDiv w:val="1"/>
      <w:marLeft w:val="0"/>
      <w:marRight w:val="0"/>
      <w:marTop w:val="0"/>
      <w:marBottom w:val="0"/>
      <w:divBdr>
        <w:top w:val="none" w:sz="0" w:space="0" w:color="auto"/>
        <w:left w:val="none" w:sz="0" w:space="0" w:color="auto"/>
        <w:bottom w:val="none" w:sz="0" w:space="0" w:color="auto"/>
        <w:right w:val="none" w:sz="0" w:space="0" w:color="auto"/>
      </w:divBdr>
    </w:div>
    <w:div w:id="996105900">
      <w:bodyDiv w:val="1"/>
      <w:marLeft w:val="0"/>
      <w:marRight w:val="0"/>
      <w:marTop w:val="0"/>
      <w:marBottom w:val="0"/>
      <w:divBdr>
        <w:top w:val="none" w:sz="0" w:space="0" w:color="auto"/>
        <w:left w:val="none" w:sz="0" w:space="0" w:color="auto"/>
        <w:bottom w:val="none" w:sz="0" w:space="0" w:color="auto"/>
        <w:right w:val="none" w:sz="0" w:space="0" w:color="auto"/>
      </w:divBdr>
    </w:div>
    <w:div w:id="996110052">
      <w:bodyDiv w:val="1"/>
      <w:marLeft w:val="0"/>
      <w:marRight w:val="0"/>
      <w:marTop w:val="0"/>
      <w:marBottom w:val="0"/>
      <w:divBdr>
        <w:top w:val="none" w:sz="0" w:space="0" w:color="auto"/>
        <w:left w:val="none" w:sz="0" w:space="0" w:color="auto"/>
        <w:bottom w:val="none" w:sz="0" w:space="0" w:color="auto"/>
        <w:right w:val="none" w:sz="0" w:space="0" w:color="auto"/>
      </w:divBdr>
    </w:div>
    <w:div w:id="996374639">
      <w:bodyDiv w:val="1"/>
      <w:marLeft w:val="0"/>
      <w:marRight w:val="0"/>
      <w:marTop w:val="0"/>
      <w:marBottom w:val="0"/>
      <w:divBdr>
        <w:top w:val="none" w:sz="0" w:space="0" w:color="auto"/>
        <w:left w:val="none" w:sz="0" w:space="0" w:color="auto"/>
        <w:bottom w:val="none" w:sz="0" w:space="0" w:color="auto"/>
        <w:right w:val="none" w:sz="0" w:space="0" w:color="auto"/>
      </w:divBdr>
    </w:div>
    <w:div w:id="996416872">
      <w:bodyDiv w:val="1"/>
      <w:marLeft w:val="0"/>
      <w:marRight w:val="0"/>
      <w:marTop w:val="0"/>
      <w:marBottom w:val="0"/>
      <w:divBdr>
        <w:top w:val="none" w:sz="0" w:space="0" w:color="auto"/>
        <w:left w:val="none" w:sz="0" w:space="0" w:color="auto"/>
        <w:bottom w:val="none" w:sz="0" w:space="0" w:color="auto"/>
        <w:right w:val="none" w:sz="0" w:space="0" w:color="auto"/>
      </w:divBdr>
    </w:div>
    <w:div w:id="996542626">
      <w:bodyDiv w:val="1"/>
      <w:marLeft w:val="0"/>
      <w:marRight w:val="0"/>
      <w:marTop w:val="0"/>
      <w:marBottom w:val="0"/>
      <w:divBdr>
        <w:top w:val="none" w:sz="0" w:space="0" w:color="auto"/>
        <w:left w:val="none" w:sz="0" w:space="0" w:color="auto"/>
        <w:bottom w:val="none" w:sz="0" w:space="0" w:color="auto"/>
        <w:right w:val="none" w:sz="0" w:space="0" w:color="auto"/>
      </w:divBdr>
    </w:div>
    <w:div w:id="996613255">
      <w:bodyDiv w:val="1"/>
      <w:marLeft w:val="0"/>
      <w:marRight w:val="0"/>
      <w:marTop w:val="0"/>
      <w:marBottom w:val="0"/>
      <w:divBdr>
        <w:top w:val="none" w:sz="0" w:space="0" w:color="auto"/>
        <w:left w:val="none" w:sz="0" w:space="0" w:color="auto"/>
        <w:bottom w:val="none" w:sz="0" w:space="0" w:color="auto"/>
        <w:right w:val="none" w:sz="0" w:space="0" w:color="auto"/>
      </w:divBdr>
    </w:div>
    <w:div w:id="997266367">
      <w:bodyDiv w:val="1"/>
      <w:marLeft w:val="0"/>
      <w:marRight w:val="0"/>
      <w:marTop w:val="0"/>
      <w:marBottom w:val="0"/>
      <w:divBdr>
        <w:top w:val="none" w:sz="0" w:space="0" w:color="auto"/>
        <w:left w:val="none" w:sz="0" w:space="0" w:color="auto"/>
        <w:bottom w:val="none" w:sz="0" w:space="0" w:color="auto"/>
        <w:right w:val="none" w:sz="0" w:space="0" w:color="auto"/>
      </w:divBdr>
    </w:div>
    <w:div w:id="997416212">
      <w:bodyDiv w:val="1"/>
      <w:marLeft w:val="0"/>
      <w:marRight w:val="0"/>
      <w:marTop w:val="0"/>
      <w:marBottom w:val="0"/>
      <w:divBdr>
        <w:top w:val="none" w:sz="0" w:space="0" w:color="auto"/>
        <w:left w:val="none" w:sz="0" w:space="0" w:color="auto"/>
        <w:bottom w:val="none" w:sz="0" w:space="0" w:color="auto"/>
        <w:right w:val="none" w:sz="0" w:space="0" w:color="auto"/>
      </w:divBdr>
    </w:div>
    <w:div w:id="997683582">
      <w:bodyDiv w:val="1"/>
      <w:marLeft w:val="0"/>
      <w:marRight w:val="0"/>
      <w:marTop w:val="0"/>
      <w:marBottom w:val="0"/>
      <w:divBdr>
        <w:top w:val="none" w:sz="0" w:space="0" w:color="auto"/>
        <w:left w:val="none" w:sz="0" w:space="0" w:color="auto"/>
        <w:bottom w:val="none" w:sz="0" w:space="0" w:color="auto"/>
        <w:right w:val="none" w:sz="0" w:space="0" w:color="auto"/>
      </w:divBdr>
    </w:div>
    <w:div w:id="997729018">
      <w:bodyDiv w:val="1"/>
      <w:marLeft w:val="0"/>
      <w:marRight w:val="0"/>
      <w:marTop w:val="0"/>
      <w:marBottom w:val="0"/>
      <w:divBdr>
        <w:top w:val="none" w:sz="0" w:space="0" w:color="auto"/>
        <w:left w:val="none" w:sz="0" w:space="0" w:color="auto"/>
        <w:bottom w:val="none" w:sz="0" w:space="0" w:color="auto"/>
        <w:right w:val="none" w:sz="0" w:space="0" w:color="auto"/>
      </w:divBdr>
    </w:div>
    <w:div w:id="997929097">
      <w:bodyDiv w:val="1"/>
      <w:marLeft w:val="0"/>
      <w:marRight w:val="0"/>
      <w:marTop w:val="0"/>
      <w:marBottom w:val="0"/>
      <w:divBdr>
        <w:top w:val="none" w:sz="0" w:space="0" w:color="auto"/>
        <w:left w:val="none" w:sz="0" w:space="0" w:color="auto"/>
        <w:bottom w:val="none" w:sz="0" w:space="0" w:color="auto"/>
        <w:right w:val="none" w:sz="0" w:space="0" w:color="auto"/>
      </w:divBdr>
    </w:div>
    <w:div w:id="998113583">
      <w:bodyDiv w:val="1"/>
      <w:marLeft w:val="0"/>
      <w:marRight w:val="0"/>
      <w:marTop w:val="0"/>
      <w:marBottom w:val="0"/>
      <w:divBdr>
        <w:top w:val="none" w:sz="0" w:space="0" w:color="auto"/>
        <w:left w:val="none" w:sz="0" w:space="0" w:color="auto"/>
        <w:bottom w:val="none" w:sz="0" w:space="0" w:color="auto"/>
        <w:right w:val="none" w:sz="0" w:space="0" w:color="auto"/>
      </w:divBdr>
    </w:div>
    <w:div w:id="998116447">
      <w:bodyDiv w:val="1"/>
      <w:marLeft w:val="0"/>
      <w:marRight w:val="0"/>
      <w:marTop w:val="0"/>
      <w:marBottom w:val="0"/>
      <w:divBdr>
        <w:top w:val="none" w:sz="0" w:space="0" w:color="auto"/>
        <w:left w:val="none" w:sz="0" w:space="0" w:color="auto"/>
        <w:bottom w:val="none" w:sz="0" w:space="0" w:color="auto"/>
        <w:right w:val="none" w:sz="0" w:space="0" w:color="auto"/>
      </w:divBdr>
    </w:div>
    <w:div w:id="998119790">
      <w:bodyDiv w:val="1"/>
      <w:marLeft w:val="0"/>
      <w:marRight w:val="0"/>
      <w:marTop w:val="0"/>
      <w:marBottom w:val="0"/>
      <w:divBdr>
        <w:top w:val="none" w:sz="0" w:space="0" w:color="auto"/>
        <w:left w:val="none" w:sz="0" w:space="0" w:color="auto"/>
        <w:bottom w:val="none" w:sz="0" w:space="0" w:color="auto"/>
        <w:right w:val="none" w:sz="0" w:space="0" w:color="auto"/>
      </w:divBdr>
    </w:div>
    <w:div w:id="998120716">
      <w:bodyDiv w:val="1"/>
      <w:marLeft w:val="0"/>
      <w:marRight w:val="0"/>
      <w:marTop w:val="0"/>
      <w:marBottom w:val="0"/>
      <w:divBdr>
        <w:top w:val="none" w:sz="0" w:space="0" w:color="auto"/>
        <w:left w:val="none" w:sz="0" w:space="0" w:color="auto"/>
        <w:bottom w:val="none" w:sz="0" w:space="0" w:color="auto"/>
        <w:right w:val="none" w:sz="0" w:space="0" w:color="auto"/>
      </w:divBdr>
    </w:div>
    <w:div w:id="998265180">
      <w:bodyDiv w:val="1"/>
      <w:marLeft w:val="0"/>
      <w:marRight w:val="0"/>
      <w:marTop w:val="0"/>
      <w:marBottom w:val="0"/>
      <w:divBdr>
        <w:top w:val="none" w:sz="0" w:space="0" w:color="auto"/>
        <w:left w:val="none" w:sz="0" w:space="0" w:color="auto"/>
        <w:bottom w:val="none" w:sz="0" w:space="0" w:color="auto"/>
        <w:right w:val="none" w:sz="0" w:space="0" w:color="auto"/>
      </w:divBdr>
    </w:div>
    <w:div w:id="998389707">
      <w:bodyDiv w:val="1"/>
      <w:marLeft w:val="0"/>
      <w:marRight w:val="0"/>
      <w:marTop w:val="0"/>
      <w:marBottom w:val="0"/>
      <w:divBdr>
        <w:top w:val="none" w:sz="0" w:space="0" w:color="auto"/>
        <w:left w:val="none" w:sz="0" w:space="0" w:color="auto"/>
        <w:bottom w:val="none" w:sz="0" w:space="0" w:color="auto"/>
        <w:right w:val="none" w:sz="0" w:space="0" w:color="auto"/>
      </w:divBdr>
    </w:div>
    <w:div w:id="998579995">
      <w:bodyDiv w:val="1"/>
      <w:marLeft w:val="0"/>
      <w:marRight w:val="0"/>
      <w:marTop w:val="0"/>
      <w:marBottom w:val="0"/>
      <w:divBdr>
        <w:top w:val="none" w:sz="0" w:space="0" w:color="auto"/>
        <w:left w:val="none" w:sz="0" w:space="0" w:color="auto"/>
        <w:bottom w:val="none" w:sz="0" w:space="0" w:color="auto"/>
        <w:right w:val="none" w:sz="0" w:space="0" w:color="auto"/>
      </w:divBdr>
    </w:div>
    <w:div w:id="998580255">
      <w:bodyDiv w:val="1"/>
      <w:marLeft w:val="0"/>
      <w:marRight w:val="0"/>
      <w:marTop w:val="0"/>
      <w:marBottom w:val="0"/>
      <w:divBdr>
        <w:top w:val="none" w:sz="0" w:space="0" w:color="auto"/>
        <w:left w:val="none" w:sz="0" w:space="0" w:color="auto"/>
        <w:bottom w:val="none" w:sz="0" w:space="0" w:color="auto"/>
        <w:right w:val="none" w:sz="0" w:space="0" w:color="auto"/>
      </w:divBdr>
    </w:div>
    <w:div w:id="998775487">
      <w:bodyDiv w:val="1"/>
      <w:marLeft w:val="0"/>
      <w:marRight w:val="0"/>
      <w:marTop w:val="0"/>
      <w:marBottom w:val="0"/>
      <w:divBdr>
        <w:top w:val="none" w:sz="0" w:space="0" w:color="auto"/>
        <w:left w:val="none" w:sz="0" w:space="0" w:color="auto"/>
        <w:bottom w:val="none" w:sz="0" w:space="0" w:color="auto"/>
        <w:right w:val="none" w:sz="0" w:space="0" w:color="auto"/>
      </w:divBdr>
    </w:div>
    <w:div w:id="998928119">
      <w:bodyDiv w:val="1"/>
      <w:marLeft w:val="0"/>
      <w:marRight w:val="0"/>
      <w:marTop w:val="0"/>
      <w:marBottom w:val="0"/>
      <w:divBdr>
        <w:top w:val="none" w:sz="0" w:space="0" w:color="auto"/>
        <w:left w:val="none" w:sz="0" w:space="0" w:color="auto"/>
        <w:bottom w:val="none" w:sz="0" w:space="0" w:color="auto"/>
        <w:right w:val="none" w:sz="0" w:space="0" w:color="auto"/>
      </w:divBdr>
    </w:div>
    <w:div w:id="999036855">
      <w:bodyDiv w:val="1"/>
      <w:marLeft w:val="0"/>
      <w:marRight w:val="0"/>
      <w:marTop w:val="0"/>
      <w:marBottom w:val="0"/>
      <w:divBdr>
        <w:top w:val="none" w:sz="0" w:space="0" w:color="auto"/>
        <w:left w:val="none" w:sz="0" w:space="0" w:color="auto"/>
        <w:bottom w:val="none" w:sz="0" w:space="0" w:color="auto"/>
        <w:right w:val="none" w:sz="0" w:space="0" w:color="auto"/>
      </w:divBdr>
    </w:div>
    <w:div w:id="999118303">
      <w:bodyDiv w:val="1"/>
      <w:marLeft w:val="0"/>
      <w:marRight w:val="0"/>
      <w:marTop w:val="0"/>
      <w:marBottom w:val="0"/>
      <w:divBdr>
        <w:top w:val="none" w:sz="0" w:space="0" w:color="auto"/>
        <w:left w:val="none" w:sz="0" w:space="0" w:color="auto"/>
        <w:bottom w:val="none" w:sz="0" w:space="0" w:color="auto"/>
        <w:right w:val="none" w:sz="0" w:space="0" w:color="auto"/>
      </w:divBdr>
    </w:div>
    <w:div w:id="999239343">
      <w:bodyDiv w:val="1"/>
      <w:marLeft w:val="0"/>
      <w:marRight w:val="0"/>
      <w:marTop w:val="0"/>
      <w:marBottom w:val="0"/>
      <w:divBdr>
        <w:top w:val="none" w:sz="0" w:space="0" w:color="auto"/>
        <w:left w:val="none" w:sz="0" w:space="0" w:color="auto"/>
        <w:bottom w:val="none" w:sz="0" w:space="0" w:color="auto"/>
        <w:right w:val="none" w:sz="0" w:space="0" w:color="auto"/>
      </w:divBdr>
    </w:div>
    <w:div w:id="999307742">
      <w:bodyDiv w:val="1"/>
      <w:marLeft w:val="0"/>
      <w:marRight w:val="0"/>
      <w:marTop w:val="0"/>
      <w:marBottom w:val="0"/>
      <w:divBdr>
        <w:top w:val="none" w:sz="0" w:space="0" w:color="auto"/>
        <w:left w:val="none" w:sz="0" w:space="0" w:color="auto"/>
        <w:bottom w:val="none" w:sz="0" w:space="0" w:color="auto"/>
        <w:right w:val="none" w:sz="0" w:space="0" w:color="auto"/>
      </w:divBdr>
    </w:div>
    <w:div w:id="999383085">
      <w:bodyDiv w:val="1"/>
      <w:marLeft w:val="0"/>
      <w:marRight w:val="0"/>
      <w:marTop w:val="0"/>
      <w:marBottom w:val="0"/>
      <w:divBdr>
        <w:top w:val="none" w:sz="0" w:space="0" w:color="auto"/>
        <w:left w:val="none" w:sz="0" w:space="0" w:color="auto"/>
        <w:bottom w:val="none" w:sz="0" w:space="0" w:color="auto"/>
        <w:right w:val="none" w:sz="0" w:space="0" w:color="auto"/>
      </w:divBdr>
    </w:div>
    <w:div w:id="999579914">
      <w:bodyDiv w:val="1"/>
      <w:marLeft w:val="0"/>
      <w:marRight w:val="0"/>
      <w:marTop w:val="0"/>
      <w:marBottom w:val="0"/>
      <w:divBdr>
        <w:top w:val="none" w:sz="0" w:space="0" w:color="auto"/>
        <w:left w:val="none" w:sz="0" w:space="0" w:color="auto"/>
        <w:bottom w:val="none" w:sz="0" w:space="0" w:color="auto"/>
        <w:right w:val="none" w:sz="0" w:space="0" w:color="auto"/>
      </w:divBdr>
    </w:div>
    <w:div w:id="999583157">
      <w:bodyDiv w:val="1"/>
      <w:marLeft w:val="0"/>
      <w:marRight w:val="0"/>
      <w:marTop w:val="0"/>
      <w:marBottom w:val="0"/>
      <w:divBdr>
        <w:top w:val="none" w:sz="0" w:space="0" w:color="auto"/>
        <w:left w:val="none" w:sz="0" w:space="0" w:color="auto"/>
        <w:bottom w:val="none" w:sz="0" w:space="0" w:color="auto"/>
        <w:right w:val="none" w:sz="0" w:space="0" w:color="auto"/>
      </w:divBdr>
    </w:div>
    <w:div w:id="999961599">
      <w:bodyDiv w:val="1"/>
      <w:marLeft w:val="0"/>
      <w:marRight w:val="0"/>
      <w:marTop w:val="0"/>
      <w:marBottom w:val="0"/>
      <w:divBdr>
        <w:top w:val="none" w:sz="0" w:space="0" w:color="auto"/>
        <w:left w:val="none" w:sz="0" w:space="0" w:color="auto"/>
        <w:bottom w:val="none" w:sz="0" w:space="0" w:color="auto"/>
        <w:right w:val="none" w:sz="0" w:space="0" w:color="auto"/>
      </w:divBdr>
    </w:div>
    <w:div w:id="999965829">
      <w:bodyDiv w:val="1"/>
      <w:marLeft w:val="0"/>
      <w:marRight w:val="0"/>
      <w:marTop w:val="0"/>
      <w:marBottom w:val="0"/>
      <w:divBdr>
        <w:top w:val="none" w:sz="0" w:space="0" w:color="auto"/>
        <w:left w:val="none" w:sz="0" w:space="0" w:color="auto"/>
        <w:bottom w:val="none" w:sz="0" w:space="0" w:color="auto"/>
        <w:right w:val="none" w:sz="0" w:space="0" w:color="auto"/>
      </w:divBdr>
    </w:div>
    <w:div w:id="1000154767">
      <w:bodyDiv w:val="1"/>
      <w:marLeft w:val="0"/>
      <w:marRight w:val="0"/>
      <w:marTop w:val="0"/>
      <w:marBottom w:val="0"/>
      <w:divBdr>
        <w:top w:val="none" w:sz="0" w:space="0" w:color="auto"/>
        <w:left w:val="none" w:sz="0" w:space="0" w:color="auto"/>
        <w:bottom w:val="none" w:sz="0" w:space="0" w:color="auto"/>
        <w:right w:val="none" w:sz="0" w:space="0" w:color="auto"/>
      </w:divBdr>
    </w:div>
    <w:div w:id="1000277420">
      <w:bodyDiv w:val="1"/>
      <w:marLeft w:val="0"/>
      <w:marRight w:val="0"/>
      <w:marTop w:val="0"/>
      <w:marBottom w:val="0"/>
      <w:divBdr>
        <w:top w:val="none" w:sz="0" w:space="0" w:color="auto"/>
        <w:left w:val="none" w:sz="0" w:space="0" w:color="auto"/>
        <w:bottom w:val="none" w:sz="0" w:space="0" w:color="auto"/>
        <w:right w:val="none" w:sz="0" w:space="0" w:color="auto"/>
      </w:divBdr>
    </w:div>
    <w:div w:id="1000348552">
      <w:bodyDiv w:val="1"/>
      <w:marLeft w:val="0"/>
      <w:marRight w:val="0"/>
      <w:marTop w:val="0"/>
      <w:marBottom w:val="0"/>
      <w:divBdr>
        <w:top w:val="none" w:sz="0" w:space="0" w:color="auto"/>
        <w:left w:val="none" w:sz="0" w:space="0" w:color="auto"/>
        <w:bottom w:val="none" w:sz="0" w:space="0" w:color="auto"/>
        <w:right w:val="none" w:sz="0" w:space="0" w:color="auto"/>
      </w:divBdr>
    </w:div>
    <w:div w:id="1000619697">
      <w:bodyDiv w:val="1"/>
      <w:marLeft w:val="0"/>
      <w:marRight w:val="0"/>
      <w:marTop w:val="0"/>
      <w:marBottom w:val="0"/>
      <w:divBdr>
        <w:top w:val="none" w:sz="0" w:space="0" w:color="auto"/>
        <w:left w:val="none" w:sz="0" w:space="0" w:color="auto"/>
        <w:bottom w:val="none" w:sz="0" w:space="0" w:color="auto"/>
        <w:right w:val="none" w:sz="0" w:space="0" w:color="auto"/>
      </w:divBdr>
    </w:div>
    <w:div w:id="1000619777">
      <w:bodyDiv w:val="1"/>
      <w:marLeft w:val="0"/>
      <w:marRight w:val="0"/>
      <w:marTop w:val="0"/>
      <w:marBottom w:val="0"/>
      <w:divBdr>
        <w:top w:val="none" w:sz="0" w:space="0" w:color="auto"/>
        <w:left w:val="none" w:sz="0" w:space="0" w:color="auto"/>
        <w:bottom w:val="none" w:sz="0" w:space="0" w:color="auto"/>
        <w:right w:val="none" w:sz="0" w:space="0" w:color="auto"/>
      </w:divBdr>
    </w:div>
    <w:div w:id="1000960604">
      <w:bodyDiv w:val="1"/>
      <w:marLeft w:val="0"/>
      <w:marRight w:val="0"/>
      <w:marTop w:val="0"/>
      <w:marBottom w:val="0"/>
      <w:divBdr>
        <w:top w:val="none" w:sz="0" w:space="0" w:color="auto"/>
        <w:left w:val="none" w:sz="0" w:space="0" w:color="auto"/>
        <w:bottom w:val="none" w:sz="0" w:space="0" w:color="auto"/>
        <w:right w:val="none" w:sz="0" w:space="0" w:color="auto"/>
      </w:divBdr>
    </w:div>
    <w:div w:id="1001003380">
      <w:bodyDiv w:val="1"/>
      <w:marLeft w:val="0"/>
      <w:marRight w:val="0"/>
      <w:marTop w:val="0"/>
      <w:marBottom w:val="0"/>
      <w:divBdr>
        <w:top w:val="none" w:sz="0" w:space="0" w:color="auto"/>
        <w:left w:val="none" w:sz="0" w:space="0" w:color="auto"/>
        <w:bottom w:val="none" w:sz="0" w:space="0" w:color="auto"/>
        <w:right w:val="none" w:sz="0" w:space="0" w:color="auto"/>
      </w:divBdr>
    </w:div>
    <w:div w:id="1001086117">
      <w:bodyDiv w:val="1"/>
      <w:marLeft w:val="0"/>
      <w:marRight w:val="0"/>
      <w:marTop w:val="0"/>
      <w:marBottom w:val="0"/>
      <w:divBdr>
        <w:top w:val="none" w:sz="0" w:space="0" w:color="auto"/>
        <w:left w:val="none" w:sz="0" w:space="0" w:color="auto"/>
        <w:bottom w:val="none" w:sz="0" w:space="0" w:color="auto"/>
        <w:right w:val="none" w:sz="0" w:space="0" w:color="auto"/>
      </w:divBdr>
    </w:div>
    <w:div w:id="1001202174">
      <w:bodyDiv w:val="1"/>
      <w:marLeft w:val="0"/>
      <w:marRight w:val="0"/>
      <w:marTop w:val="0"/>
      <w:marBottom w:val="0"/>
      <w:divBdr>
        <w:top w:val="none" w:sz="0" w:space="0" w:color="auto"/>
        <w:left w:val="none" w:sz="0" w:space="0" w:color="auto"/>
        <w:bottom w:val="none" w:sz="0" w:space="0" w:color="auto"/>
        <w:right w:val="none" w:sz="0" w:space="0" w:color="auto"/>
      </w:divBdr>
    </w:div>
    <w:div w:id="1001349666">
      <w:bodyDiv w:val="1"/>
      <w:marLeft w:val="0"/>
      <w:marRight w:val="0"/>
      <w:marTop w:val="0"/>
      <w:marBottom w:val="0"/>
      <w:divBdr>
        <w:top w:val="none" w:sz="0" w:space="0" w:color="auto"/>
        <w:left w:val="none" w:sz="0" w:space="0" w:color="auto"/>
        <w:bottom w:val="none" w:sz="0" w:space="0" w:color="auto"/>
        <w:right w:val="none" w:sz="0" w:space="0" w:color="auto"/>
      </w:divBdr>
    </w:div>
    <w:div w:id="1001472055">
      <w:bodyDiv w:val="1"/>
      <w:marLeft w:val="0"/>
      <w:marRight w:val="0"/>
      <w:marTop w:val="0"/>
      <w:marBottom w:val="0"/>
      <w:divBdr>
        <w:top w:val="none" w:sz="0" w:space="0" w:color="auto"/>
        <w:left w:val="none" w:sz="0" w:space="0" w:color="auto"/>
        <w:bottom w:val="none" w:sz="0" w:space="0" w:color="auto"/>
        <w:right w:val="none" w:sz="0" w:space="0" w:color="auto"/>
      </w:divBdr>
    </w:div>
    <w:div w:id="1001472062">
      <w:bodyDiv w:val="1"/>
      <w:marLeft w:val="0"/>
      <w:marRight w:val="0"/>
      <w:marTop w:val="0"/>
      <w:marBottom w:val="0"/>
      <w:divBdr>
        <w:top w:val="none" w:sz="0" w:space="0" w:color="auto"/>
        <w:left w:val="none" w:sz="0" w:space="0" w:color="auto"/>
        <w:bottom w:val="none" w:sz="0" w:space="0" w:color="auto"/>
        <w:right w:val="none" w:sz="0" w:space="0" w:color="auto"/>
      </w:divBdr>
    </w:div>
    <w:div w:id="1001615647">
      <w:bodyDiv w:val="1"/>
      <w:marLeft w:val="0"/>
      <w:marRight w:val="0"/>
      <w:marTop w:val="0"/>
      <w:marBottom w:val="0"/>
      <w:divBdr>
        <w:top w:val="none" w:sz="0" w:space="0" w:color="auto"/>
        <w:left w:val="none" w:sz="0" w:space="0" w:color="auto"/>
        <w:bottom w:val="none" w:sz="0" w:space="0" w:color="auto"/>
        <w:right w:val="none" w:sz="0" w:space="0" w:color="auto"/>
      </w:divBdr>
    </w:div>
    <w:div w:id="1001615705">
      <w:bodyDiv w:val="1"/>
      <w:marLeft w:val="0"/>
      <w:marRight w:val="0"/>
      <w:marTop w:val="0"/>
      <w:marBottom w:val="0"/>
      <w:divBdr>
        <w:top w:val="none" w:sz="0" w:space="0" w:color="auto"/>
        <w:left w:val="none" w:sz="0" w:space="0" w:color="auto"/>
        <w:bottom w:val="none" w:sz="0" w:space="0" w:color="auto"/>
        <w:right w:val="none" w:sz="0" w:space="0" w:color="auto"/>
      </w:divBdr>
    </w:div>
    <w:div w:id="1001665390">
      <w:bodyDiv w:val="1"/>
      <w:marLeft w:val="0"/>
      <w:marRight w:val="0"/>
      <w:marTop w:val="0"/>
      <w:marBottom w:val="0"/>
      <w:divBdr>
        <w:top w:val="none" w:sz="0" w:space="0" w:color="auto"/>
        <w:left w:val="none" w:sz="0" w:space="0" w:color="auto"/>
        <w:bottom w:val="none" w:sz="0" w:space="0" w:color="auto"/>
        <w:right w:val="none" w:sz="0" w:space="0" w:color="auto"/>
      </w:divBdr>
    </w:div>
    <w:div w:id="1001734340">
      <w:bodyDiv w:val="1"/>
      <w:marLeft w:val="0"/>
      <w:marRight w:val="0"/>
      <w:marTop w:val="0"/>
      <w:marBottom w:val="0"/>
      <w:divBdr>
        <w:top w:val="none" w:sz="0" w:space="0" w:color="auto"/>
        <w:left w:val="none" w:sz="0" w:space="0" w:color="auto"/>
        <w:bottom w:val="none" w:sz="0" w:space="0" w:color="auto"/>
        <w:right w:val="none" w:sz="0" w:space="0" w:color="auto"/>
      </w:divBdr>
    </w:div>
    <w:div w:id="1001737489">
      <w:bodyDiv w:val="1"/>
      <w:marLeft w:val="0"/>
      <w:marRight w:val="0"/>
      <w:marTop w:val="0"/>
      <w:marBottom w:val="0"/>
      <w:divBdr>
        <w:top w:val="none" w:sz="0" w:space="0" w:color="auto"/>
        <w:left w:val="none" w:sz="0" w:space="0" w:color="auto"/>
        <w:bottom w:val="none" w:sz="0" w:space="0" w:color="auto"/>
        <w:right w:val="none" w:sz="0" w:space="0" w:color="auto"/>
      </w:divBdr>
    </w:div>
    <w:div w:id="1001857195">
      <w:bodyDiv w:val="1"/>
      <w:marLeft w:val="0"/>
      <w:marRight w:val="0"/>
      <w:marTop w:val="0"/>
      <w:marBottom w:val="0"/>
      <w:divBdr>
        <w:top w:val="none" w:sz="0" w:space="0" w:color="auto"/>
        <w:left w:val="none" w:sz="0" w:space="0" w:color="auto"/>
        <w:bottom w:val="none" w:sz="0" w:space="0" w:color="auto"/>
        <w:right w:val="none" w:sz="0" w:space="0" w:color="auto"/>
      </w:divBdr>
    </w:div>
    <w:div w:id="1001860537">
      <w:bodyDiv w:val="1"/>
      <w:marLeft w:val="0"/>
      <w:marRight w:val="0"/>
      <w:marTop w:val="0"/>
      <w:marBottom w:val="0"/>
      <w:divBdr>
        <w:top w:val="none" w:sz="0" w:space="0" w:color="auto"/>
        <w:left w:val="none" w:sz="0" w:space="0" w:color="auto"/>
        <w:bottom w:val="none" w:sz="0" w:space="0" w:color="auto"/>
        <w:right w:val="none" w:sz="0" w:space="0" w:color="auto"/>
      </w:divBdr>
    </w:div>
    <w:div w:id="1002196103">
      <w:bodyDiv w:val="1"/>
      <w:marLeft w:val="0"/>
      <w:marRight w:val="0"/>
      <w:marTop w:val="0"/>
      <w:marBottom w:val="0"/>
      <w:divBdr>
        <w:top w:val="none" w:sz="0" w:space="0" w:color="auto"/>
        <w:left w:val="none" w:sz="0" w:space="0" w:color="auto"/>
        <w:bottom w:val="none" w:sz="0" w:space="0" w:color="auto"/>
        <w:right w:val="none" w:sz="0" w:space="0" w:color="auto"/>
      </w:divBdr>
    </w:div>
    <w:div w:id="1002202504">
      <w:bodyDiv w:val="1"/>
      <w:marLeft w:val="0"/>
      <w:marRight w:val="0"/>
      <w:marTop w:val="0"/>
      <w:marBottom w:val="0"/>
      <w:divBdr>
        <w:top w:val="none" w:sz="0" w:space="0" w:color="auto"/>
        <w:left w:val="none" w:sz="0" w:space="0" w:color="auto"/>
        <w:bottom w:val="none" w:sz="0" w:space="0" w:color="auto"/>
        <w:right w:val="none" w:sz="0" w:space="0" w:color="auto"/>
      </w:divBdr>
    </w:div>
    <w:div w:id="1002319742">
      <w:bodyDiv w:val="1"/>
      <w:marLeft w:val="0"/>
      <w:marRight w:val="0"/>
      <w:marTop w:val="0"/>
      <w:marBottom w:val="0"/>
      <w:divBdr>
        <w:top w:val="none" w:sz="0" w:space="0" w:color="auto"/>
        <w:left w:val="none" w:sz="0" w:space="0" w:color="auto"/>
        <w:bottom w:val="none" w:sz="0" w:space="0" w:color="auto"/>
        <w:right w:val="none" w:sz="0" w:space="0" w:color="auto"/>
      </w:divBdr>
    </w:div>
    <w:div w:id="1002583150">
      <w:bodyDiv w:val="1"/>
      <w:marLeft w:val="0"/>
      <w:marRight w:val="0"/>
      <w:marTop w:val="0"/>
      <w:marBottom w:val="0"/>
      <w:divBdr>
        <w:top w:val="none" w:sz="0" w:space="0" w:color="auto"/>
        <w:left w:val="none" w:sz="0" w:space="0" w:color="auto"/>
        <w:bottom w:val="none" w:sz="0" w:space="0" w:color="auto"/>
        <w:right w:val="none" w:sz="0" w:space="0" w:color="auto"/>
      </w:divBdr>
    </w:div>
    <w:div w:id="1002778586">
      <w:bodyDiv w:val="1"/>
      <w:marLeft w:val="0"/>
      <w:marRight w:val="0"/>
      <w:marTop w:val="0"/>
      <w:marBottom w:val="0"/>
      <w:divBdr>
        <w:top w:val="none" w:sz="0" w:space="0" w:color="auto"/>
        <w:left w:val="none" w:sz="0" w:space="0" w:color="auto"/>
        <w:bottom w:val="none" w:sz="0" w:space="0" w:color="auto"/>
        <w:right w:val="none" w:sz="0" w:space="0" w:color="auto"/>
      </w:divBdr>
    </w:div>
    <w:div w:id="1002851848">
      <w:bodyDiv w:val="1"/>
      <w:marLeft w:val="0"/>
      <w:marRight w:val="0"/>
      <w:marTop w:val="0"/>
      <w:marBottom w:val="0"/>
      <w:divBdr>
        <w:top w:val="none" w:sz="0" w:space="0" w:color="auto"/>
        <w:left w:val="none" w:sz="0" w:space="0" w:color="auto"/>
        <w:bottom w:val="none" w:sz="0" w:space="0" w:color="auto"/>
        <w:right w:val="none" w:sz="0" w:space="0" w:color="auto"/>
      </w:divBdr>
    </w:div>
    <w:div w:id="1003243325">
      <w:bodyDiv w:val="1"/>
      <w:marLeft w:val="0"/>
      <w:marRight w:val="0"/>
      <w:marTop w:val="0"/>
      <w:marBottom w:val="0"/>
      <w:divBdr>
        <w:top w:val="none" w:sz="0" w:space="0" w:color="auto"/>
        <w:left w:val="none" w:sz="0" w:space="0" w:color="auto"/>
        <w:bottom w:val="none" w:sz="0" w:space="0" w:color="auto"/>
        <w:right w:val="none" w:sz="0" w:space="0" w:color="auto"/>
      </w:divBdr>
    </w:div>
    <w:div w:id="1003312499">
      <w:bodyDiv w:val="1"/>
      <w:marLeft w:val="0"/>
      <w:marRight w:val="0"/>
      <w:marTop w:val="0"/>
      <w:marBottom w:val="0"/>
      <w:divBdr>
        <w:top w:val="none" w:sz="0" w:space="0" w:color="auto"/>
        <w:left w:val="none" w:sz="0" w:space="0" w:color="auto"/>
        <w:bottom w:val="none" w:sz="0" w:space="0" w:color="auto"/>
        <w:right w:val="none" w:sz="0" w:space="0" w:color="auto"/>
      </w:divBdr>
    </w:div>
    <w:div w:id="1003316130">
      <w:bodyDiv w:val="1"/>
      <w:marLeft w:val="0"/>
      <w:marRight w:val="0"/>
      <w:marTop w:val="0"/>
      <w:marBottom w:val="0"/>
      <w:divBdr>
        <w:top w:val="none" w:sz="0" w:space="0" w:color="auto"/>
        <w:left w:val="none" w:sz="0" w:space="0" w:color="auto"/>
        <w:bottom w:val="none" w:sz="0" w:space="0" w:color="auto"/>
        <w:right w:val="none" w:sz="0" w:space="0" w:color="auto"/>
      </w:divBdr>
    </w:div>
    <w:div w:id="1003781992">
      <w:bodyDiv w:val="1"/>
      <w:marLeft w:val="0"/>
      <w:marRight w:val="0"/>
      <w:marTop w:val="0"/>
      <w:marBottom w:val="0"/>
      <w:divBdr>
        <w:top w:val="none" w:sz="0" w:space="0" w:color="auto"/>
        <w:left w:val="none" w:sz="0" w:space="0" w:color="auto"/>
        <w:bottom w:val="none" w:sz="0" w:space="0" w:color="auto"/>
        <w:right w:val="none" w:sz="0" w:space="0" w:color="auto"/>
      </w:divBdr>
    </w:div>
    <w:div w:id="1003898287">
      <w:bodyDiv w:val="1"/>
      <w:marLeft w:val="0"/>
      <w:marRight w:val="0"/>
      <w:marTop w:val="0"/>
      <w:marBottom w:val="0"/>
      <w:divBdr>
        <w:top w:val="none" w:sz="0" w:space="0" w:color="auto"/>
        <w:left w:val="none" w:sz="0" w:space="0" w:color="auto"/>
        <w:bottom w:val="none" w:sz="0" w:space="0" w:color="auto"/>
        <w:right w:val="none" w:sz="0" w:space="0" w:color="auto"/>
      </w:divBdr>
    </w:div>
    <w:div w:id="1003976223">
      <w:bodyDiv w:val="1"/>
      <w:marLeft w:val="0"/>
      <w:marRight w:val="0"/>
      <w:marTop w:val="0"/>
      <w:marBottom w:val="0"/>
      <w:divBdr>
        <w:top w:val="none" w:sz="0" w:space="0" w:color="auto"/>
        <w:left w:val="none" w:sz="0" w:space="0" w:color="auto"/>
        <w:bottom w:val="none" w:sz="0" w:space="0" w:color="auto"/>
        <w:right w:val="none" w:sz="0" w:space="0" w:color="auto"/>
      </w:divBdr>
    </w:div>
    <w:div w:id="1004168851">
      <w:bodyDiv w:val="1"/>
      <w:marLeft w:val="0"/>
      <w:marRight w:val="0"/>
      <w:marTop w:val="0"/>
      <w:marBottom w:val="0"/>
      <w:divBdr>
        <w:top w:val="none" w:sz="0" w:space="0" w:color="auto"/>
        <w:left w:val="none" w:sz="0" w:space="0" w:color="auto"/>
        <w:bottom w:val="none" w:sz="0" w:space="0" w:color="auto"/>
        <w:right w:val="none" w:sz="0" w:space="0" w:color="auto"/>
      </w:divBdr>
    </w:div>
    <w:div w:id="1004211961">
      <w:bodyDiv w:val="1"/>
      <w:marLeft w:val="0"/>
      <w:marRight w:val="0"/>
      <w:marTop w:val="0"/>
      <w:marBottom w:val="0"/>
      <w:divBdr>
        <w:top w:val="none" w:sz="0" w:space="0" w:color="auto"/>
        <w:left w:val="none" w:sz="0" w:space="0" w:color="auto"/>
        <w:bottom w:val="none" w:sz="0" w:space="0" w:color="auto"/>
        <w:right w:val="none" w:sz="0" w:space="0" w:color="auto"/>
      </w:divBdr>
    </w:div>
    <w:div w:id="1004359133">
      <w:bodyDiv w:val="1"/>
      <w:marLeft w:val="0"/>
      <w:marRight w:val="0"/>
      <w:marTop w:val="0"/>
      <w:marBottom w:val="0"/>
      <w:divBdr>
        <w:top w:val="none" w:sz="0" w:space="0" w:color="auto"/>
        <w:left w:val="none" w:sz="0" w:space="0" w:color="auto"/>
        <w:bottom w:val="none" w:sz="0" w:space="0" w:color="auto"/>
        <w:right w:val="none" w:sz="0" w:space="0" w:color="auto"/>
      </w:divBdr>
    </w:div>
    <w:div w:id="1004361625">
      <w:bodyDiv w:val="1"/>
      <w:marLeft w:val="0"/>
      <w:marRight w:val="0"/>
      <w:marTop w:val="0"/>
      <w:marBottom w:val="0"/>
      <w:divBdr>
        <w:top w:val="none" w:sz="0" w:space="0" w:color="auto"/>
        <w:left w:val="none" w:sz="0" w:space="0" w:color="auto"/>
        <w:bottom w:val="none" w:sz="0" w:space="0" w:color="auto"/>
        <w:right w:val="none" w:sz="0" w:space="0" w:color="auto"/>
      </w:divBdr>
    </w:div>
    <w:div w:id="1004437076">
      <w:bodyDiv w:val="1"/>
      <w:marLeft w:val="0"/>
      <w:marRight w:val="0"/>
      <w:marTop w:val="0"/>
      <w:marBottom w:val="0"/>
      <w:divBdr>
        <w:top w:val="none" w:sz="0" w:space="0" w:color="auto"/>
        <w:left w:val="none" w:sz="0" w:space="0" w:color="auto"/>
        <w:bottom w:val="none" w:sz="0" w:space="0" w:color="auto"/>
        <w:right w:val="none" w:sz="0" w:space="0" w:color="auto"/>
      </w:divBdr>
    </w:div>
    <w:div w:id="1004477986">
      <w:bodyDiv w:val="1"/>
      <w:marLeft w:val="0"/>
      <w:marRight w:val="0"/>
      <w:marTop w:val="0"/>
      <w:marBottom w:val="0"/>
      <w:divBdr>
        <w:top w:val="none" w:sz="0" w:space="0" w:color="auto"/>
        <w:left w:val="none" w:sz="0" w:space="0" w:color="auto"/>
        <w:bottom w:val="none" w:sz="0" w:space="0" w:color="auto"/>
        <w:right w:val="none" w:sz="0" w:space="0" w:color="auto"/>
      </w:divBdr>
    </w:div>
    <w:div w:id="1004744619">
      <w:bodyDiv w:val="1"/>
      <w:marLeft w:val="0"/>
      <w:marRight w:val="0"/>
      <w:marTop w:val="0"/>
      <w:marBottom w:val="0"/>
      <w:divBdr>
        <w:top w:val="none" w:sz="0" w:space="0" w:color="auto"/>
        <w:left w:val="none" w:sz="0" w:space="0" w:color="auto"/>
        <w:bottom w:val="none" w:sz="0" w:space="0" w:color="auto"/>
        <w:right w:val="none" w:sz="0" w:space="0" w:color="auto"/>
      </w:divBdr>
    </w:div>
    <w:div w:id="1004822623">
      <w:bodyDiv w:val="1"/>
      <w:marLeft w:val="0"/>
      <w:marRight w:val="0"/>
      <w:marTop w:val="0"/>
      <w:marBottom w:val="0"/>
      <w:divBdr>
        <w:top w:val="none" w:sz="0" w:space="0" w:color="auto"/>
        <w:left w:val="none" w:sz="0" w:space="0" w:color="auto"/>
        <w:bottom w:val="none" w:sz="0" w:space="0" w:color="auto"/>
        <w:right w:val="none" w:sz="0" w:space="0" w:color="auto"/>
      </w:divBdr>
    </w:div>
    <w:div w:id="1004824803">
      <w:bodyDiv w:val="1"/>
      <w:marLeft w:val="0"/>
      <w:marRight w:val="0"/>
      <w:marTop w:val="0"/>
      <w:marBottom w:val="0"/>
      <w:divBdr>
        <w:top w:val="none" w:sz="0" w:space="0" w:color="auto"/>
        <w:left w:val="none" w:sz="0" w:space="0" w:color="auto"/>
        <w:bottom w:val="none" w:sz="0" w:space="0" w:color="auto"/>
        <w:right w:val="none" w:sz="0" w:space="0" w:color="auto"/>
      </w:divBdr>
    </w:div>
    <w:div w:id="1004892682">
      <w:bodyDiv w:val="1"/>
      <w:marLeft w:val="0"/>
      <w:marRight w:val="0"/>
      <w:marTop w:val="0"/>
      <w:marBottom w:val="0"/>
      <w:divBdr>
        <w:top w:val="none" w:sz="0" w:space="0" w:color="auto"/>
        <w:left w:val="none" w:sz="0" w:space="0" w:color="auto"/>
        <w:bottom w:val="none" w:sz="0" w:space="0" w:color="auto"/>
        <w:right w:val="none" w:sz="0" w:space="0" w:color="auto"/>
      </w:divBdr>
    </w:div>
    <w:div w:id="1005018798">
      <w:bodyDiv w:val="1"/>
      <w:marLeft w:val="0"/>
      <w:marRight w:val="0"/>
      <w:marTop w:val="0"/>
      <w:marBottom w:val="0"/>
      <w:divBdr>
        <w:top w:val="none" w:sz="0" w:space="0" w:color="auto"/>
        <w:left w:val="none" w:sz="0" w:space="0" w:color="auto"/>
        <w:bottom w:val="none" w:sz="0" w:space="0" w:color="auto"/>
        <w:right w:val="none" w:sz="0" w:space="0" w:color="auto"/>
      </w:divBdr>
    </w:div>
    <w:div w:id="1005209054">
      <w:bodyDiv w:val="1"/>
      <w:marLeft w:val="0"/>
      <w:marRight w:val="0"/>
      <w:marTop w:val="0"/>
      <w:marBottom w:val="0"/>
      <w:divBdr>
        <w:top w:val="none" w:sz="0" w:space="0" w:color="auto"/>
        <w:left w:val="none" w:sz="0" w:space="0" w:color="auto"/>
        <w:bottom w:val="none" w:sz="0" w:space="0" w:color="auto"/>
        <w:right w:val="none" w:sz="0" w:space="0" w:color="auto"/>
      </w:divBdr>
    </w:div>
    <w:div w:id="1005280646">
      <w:bodyDiv w:val="1"/>
      <w:marLeft w:val="0"/>
      <w:marRight w:val="0"/>
      <w:marTop w:val="0"/>
      <w:marBottom w:val="0"/>
      <w:divBdr>
        <w:top w:val="none" w:sz="0" w:space="0" w:color="auto"/>
        <w:left w:val="none" w:sz="0" w:space="0" w:color="auto"/>
        <w:bottom w:val="none" w:sz="0" w:space="0" w:color="auto"/>
        <w:right w:val="none" w:sz="0" w:space="0" w:color="auto"/>
      </w:divBdr>
    </w:div>
    <w:div w:id="1005281460">
      <w:bodyDiv w:val="1"/>
      <w:marLeft w:val="0"/>
      <w:marRight w:val="0"/>
      <w:marTop w:val="0"/>
      <w:marBottom w:val="0"/>
      <w:divBdr>
        <w:top w:val="none" w:sz="0" w:space="0" w:color="auto"/>
        <w:left w:val="none" w:sz="0" w:space="0" w:color="auto"/>
        <w:bottom w:val="none" w:sz="0" w:space="0" w:color="auto"/>
        <w:right w:val="none" w:sz="0" w:space="0" w:color="auto"/>
      </w:divBdr>
    </w:div>
    <w:div w:id="1005396275">
      <w:bodyDiv w:val="1"/>
      <w:marLeft w:val="0"/>
      <w:marRight w:val="0"/>
      <w:marTop w:val="0"/>
      <w:marBottom w:val="0"/>
      <w:divBdr>
        <w:top w:val="none" w:sz="0" w:space="0" w:color="auto"/>
        <w:left w:val="none" w:sz="0" w:space="0" w:color="auto"/>
        <w:bottom w:val="none" w:sz="0" w:space="0" w:color="auto"/>
        <w:right w:val="none" w:sz="0" w:space="0" w:color="auto"/>
      </w:divBdr>
    </w:div>
    <w:div w:id="1005403130">
      <w:bodyDiv w:val="1"/>
      <w:marLeft w:val="0"/>
      <w:marRight w:val="0"/>
      <w:marTop w:val="0"/>
      <w:marBottom w:val="0"/>
      <w:divBdr>
        <w:top w:val="none" w:sz="0" w:space="0" w:color="auto"/>
        <w:left w:val="none" w:sz="0" w:space="0" w:color="auto"/>
        <w:bottom w:val="none" w:sz="0" w:space="0" w:color="auto"/>
        <w:right w:val="none" w:sz="0" w:space="0" w:color="auto"/>
      </w:divBdr>
    </w:div>
    <w:div w:id="1005519237">
      <w:bodyDiv w:val="1"/>
      <w:marLeft w:val="0"/>
      <w:marRight w:val="0"/>
      <w:marTop w:val="0"/>
      <w:marBottom w:val="0"/>
      <w:divBdr>
        <w:top w:val="none" w:sz="0" w:space="0" w:color="auto"/>
        <w:left w:val="none" w:sz="0" w:space="0" w:color="auto"/>
        <w:bottom w:val="none" w:sz="0" w:space="0" w:color="auto"/>
        <w:right w:val="none" w:sz="0" w:space="0" w:color="auto"/>
      </w:divBdr>
    </w:div>
    <w:div w:id="1005548854">
      <w:bodyDiv w:val="1"/>
      <w:marLeft w:val="0"/>
      <w:marRight w:val="0"/>
      <w:marTop w:val="0"/>
      <w:marBottom w:val="0"/>
      <w:divBdr>
        <w:top w:val="none" w:sz="0" w:space="0" w:color="auto"/>
        <w:left w:val="none" w:sz="0" w:space="0" w:color="auto"/>
        <w:bottom w:val="none" w:sz="0" w:space="0" w:color="auto"/>
        <w:right w:val="none" w:sz="0" w:space="0" w:color="auto"/>
      </w:divBdr>
    </w:div>
    <w:div w:id="1005550451">
      <w:bodyDiv w:val="1"/>
      <w:marLeft w:val="0"/>
      <w:marRight w:val="0"/>
      <w:marTop w:val="0"/>
      <w:marBottom w:val="0"/>
      <w:divBdr>
        <w:top w:val="none" w:sz="0" w:space="0" w:color="auto"/>
        <w:left w:val="none" w:sz="0" w:space="0" w:color="auto"/>
        <w:bottom w:val="none" w:sz="0" w:space="0" w:color="auto"/>
        <w:right w:val="none" w:sz="0" w:space="0" w:color="auto"/>
      </w:divBdr>
    </w:div>
    <w:div w:id="1005593403">
      <w:bodyDiv w:val="1"/>
      <w:marLeft w:val="0"/>
      <w:marRight w:val="0"/>
      <w:marTop w:val="0"/>
      <w:marBottom w:val="0"/>
      <w:divBdr>
        <w:top w:val="none" w:sz="0" w:space="0" w:color="auto"/>
        <w:left w:val="none" w:sz="0" w:space="0" w:color="auto"/>
        <w:bottom w:val="none" w:sz="0" w:space="0" w:color="auto"/>
        <w:right w:val="none" w:sz="0" w:space="0" w:color="auto"/>
      </w:divBdr>
    </w:div>
    <w:div w:id="1006009697">
      <w:bodyDiv w:val="1"/>
      <w:marLeft w:val="0"/>
      <w:marRight w:val="0"/>
      <w:marTop w:val="0"/>
      <w:marBottom w:val="0"/>
      <w:divBdr>
        <w:top w:val="none" w:sz="0" w:space="0" w:color="auto"/>
        <w:left w:val="none" w:sz="0" w:space="0" w:color="auto"/>
        <w:bottom w:val="none" w:sz="0" w:space="0" w:color="auto"/>
        <w:right w:val="none" w:sz="0" w:space="0" w:color="auto"/>
      </w:divBdr>
    </w:div>
    <w:div w:id="1006054711">
      <w:bodyDiv w:val="1"/>
      <w:marLeft w:val="0"/>
      <w:marRight w:val="0"/>
      <w:marTop w:val="0"/>
      <w:marBottom w:val="0"/>
      <w:divBdr>
        <w:top w:val="none" w:sz="0" w:space="0" w:color="auto"/>
        <w:left w:val="none" w:sz="0" w:space="0" w:color="auto"/>
        <w:bottom w:val="none" w:sz="0" w:space="0" w:color="auto"/>
        <w:right w:val="none" w:sz="0" w:space="0" w:color="auto"/>
      </w:divBdr>
    </w:div>
    <w:div w:id="1006130557">
      <w:bodyDiv w:val="1"/>
      <w:marLeft w:val="0"/>
      <w:marRight w:val="0"/>
      <w:marTop w:val="0"/>
      <w:marBottom w:val="0"/>
      <w:divBdr>
        <w:top w:val="none" w:sz="0" w:space="0" w:color="auto"/>
        <w:left w:val="none" w:sz="0" w:space="0" w:color="auto"/>
        <w:bottom w:val="none" w:sz="0" w:space="0" w:color="auto"/>
        <w:right w:val="none" w:sz="0" w:space="0" w:color="auto"/>
      </w:divBdr>
    </w:div>
    <w:div w:id="1006322678">
      <w:bodyDiv w:val="1"/>
      <w:marLeft w:val="0"/>
      <w:marRight w:val="0"/>
      <w:marTop w:val="0"/>
      <w:marBottom w:val="0"/>
      <w:divBdr>
        <w:top w:val="none" w:sz="0" w:space="0" w:color="auto"/>
        <w:left w:val="none" w:sz="0" w:space="0" w:color="auto"/>
        <w:bottom w:val="none" w:sz="0" w:space="0" w:color="auto"/>
        <w:right w:val="none" w:sz="0" w:space="0" w:color="auto"/>
      </w:divBdr>
    </w:div>
    <w:div w:id="1006401213">
      <w:bodyDiv w:val="1"/>
      <w:marLeft w:val="0"/>
      <w:marRight w:val="0"/>
      <w:marTop w:val="0"/>
      <w:marBottom w:val="0"/>
      <w:divBdr>
        <w:top w:val="none" w:sz="0" w:space="0" w:color="auto"/>
        <w:left w:val="none" w:sz="0" w:space="0" w:color="auto"/>
        <w:bottom w:val="none" w:sz="0" w:space="0" w:color="auto"/>
        <w:right w:val="none" w:sz="0" w:space="0" w:color="auto"/>
      </w:divBdr>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006785241">
      <w:bodyDiv w:val="1"/>
      <w:marLeft w:val="0"/>
      <w:marRight w:val="0"/>
      <w:marTop w:val="0"/>
      <w:marBottom w:val="0"/>
      <w:divBdr>
        <w:top w:val="none" w:sz="0" w:space="0" w:color="auto"/>
        <w:left w:val="none" w:sz="0" w:space="0" w:color="auto"/>
        <w:bottom w:val="none" w:sz="0" w:space="0" w:color="auto"/>
        <w:right w:val="none" w:sz="0" w:space="0" w:color="auto"/>
      </w:divBdr>
    </w:div>
    <w:div w:id="1006788546">
      <w:bodyDiv w:val="1"/>
      <w:marLeft w:val="0"/>
      <w:marRight w:val="0"/>
      <w:marTop w:val="0"/>
      <w:marBottom w:val="0"/>
      <w:divBdr>
        <w:top w:val="none" w:sz="0" w:space="0" w:color="auto"/>
        <w:left w:val="none" w:sz="0" w:space="0" w:color="auto"/>
        <w:bottom w:val="none" w:sz="0" w:space="0" w:color="auto"/>
        <w:right w:val="none" w:sz="0" w:space="0" w:color="auto"/>
      </w:divBdr>
    </w:div>
    <w:div w:id="1006907119">
      <w:bodyDiv w:val="1"/>
      <w:marLeft w:val="0"/>
      <w:marRight w:val="0"/>
      <w:marTop w:val="0"/>
      <w:marBottom w:val="0"/>
      <w:divBdr>
        <w:top w:val="none" w:sz="0" w:space="0" w:color="auto"/>
        <w:left w:val="none" w:sz="0" w:space="0" w:color="auto"/>
        <w:bottom w:val="none" w:sz="0" w:space="0" w:color="auto"/>
        <w:right w:val="none" w:sz="0" w:space="0" w:color="auto"/>
      </w:divBdr>
    </w:div>
    <w:div w:id="1006978742">
      <w:bodyDiv w:val="1"/>
      <w:marLeft w:val="0"/>
      <w:marRight w:val="0"/>
      <w:marTop w:val="0"/>
      <w:marBottom w:val="0"/>
      <w:divBdr>
        <w:top w:val="none" w:sz="0" w:space="0" w:color="auto"/>
        <w:left w:val="none" w:sz="0" w:space="0" w:color="auto"/>
        <w:bottom w:val="none" w:sz="0" w:space="0" w:color="auto"/>
        <w:right w:val="none" w:sz="0" w:space="0" w:color="auto"/>
      </w:divBdr>
    </w:div>
    <w:div w:id="1007251722">
      <w:bodyDiv w:val="1"/>
      <w:marLeft w:val="0"/>
      <w:marRight w:val="0"/>
      <w:marTop w:val="0"/>
      <w:marBottom w:val="0"/>
      <w:divBdr>
        <w:top w:val="none" w:sz="0" w:space="0" w:color="auto"/>
        <w:left w:val="none" w:sz="0" w:space="0" w:color="auto"/>
        <w:bottom w:val="none" w:sz="0" w:space="0" w:color="auto"/>
        <w:right w:val="none" w:sz="0" w:space="0" w:color="auto"/>
      </w:divBdr>
    </w:div>
    <w:div w:id="1007756622">
      <w:bodyDiv w:val="1"/>
      <w:marLeft w:val="0"/>
      <w:marRight w:val="0"/>
      <w:marTop w:val="0"/>
      <w:marBottom w:val="0"/>
      <w:divBdr>
        <w:top w:val="none" w:sz="0" w:space="0" w:color="auto"/>
        <w:left w:val="none" w:sz="0" w:space="0" w:color="auto"/>
        <w:bottom w:val="none" w:sz="0" w:space="0" w:color="auto"/>
        <w:right w:val="none" w:sz="0" w:space="0" w:color="auto"/>
      </w:divBdr>
    </w:div>
    <w:div w:id="1007830225">
      <w:bodyDiv w:val="1"/>
      <w:marLeft w:val="0"/>
      <w:marRight w:val="0"/>
      <w:marTop w:val="0"/>
      <w:marBottom w:val="0"/>
      <w:divBdr>
        <w:top w:val="none" w:sz="0" w:space="0" w:color="auto"/>
        <w:left w:val="none" w:sz="0" w:space="0" w:color="auto"/>
        <w:bottom w:val="none" w:sz="0" w:space="0" w:color="auto"/>
        <w:right w:val="none" w:sz="0" w:space="0" w:color="auto"/>
      </w:divBdr>
    </w:div>
    <w:div w:id="1007832509">
      <w:bodyDiv w:val="1"/>
      <w:marLeft w:val="0"/>
      <w:marRight w:val="0"/>
      <w:marTop w:val="0"/>
      <w:marBottom w:val="0"/>
      <w:divBdr>
        <w:top w:val="none" w:sz="0" w:space="0" w:color="auto"/>
        <w:left w:val="none" w:sz="0" w:space="0" w:color="auto"/>
        <w:bottom w:val="none" w:sz="0" w:space="0" w:color="auto"/>
        <w:right w:val="none" w:sz="0" w:space="0" w:color="auto"/>
      </w:divBdr>
    </w:div>
    <w:div w:id="1008025399">
      <w:bodyDiv w:val="1"/>
      <w:marLeft w:val="0"/>
      <w:marRight w:val="0"/>
      <w:marTop w:val="0"/>
      <w:marBottom w:val="0"/>
      <w:divBdr>
        <w:top w:val="none" w:sz="0" w:space="0" w:color="auto"/>
        <w:left w:val="none" w:sz="0" w:space="0" w:color="auto"/>
        <w:bottom w:val="none" w:sz="0" w:space="0" w:color="auto"/>
        <w:right w:val="none" w:sz="0" w:space="0" w:color="auto"/>
      </w:divBdr>
    </w:div>
    <w:div w:id="1008171004">
      <w:bodyDiv w:val="1"/>
      <w:marLeft w:val="0"/>
      <w:marRight w:val="0"/>
      <w:marTop w:val="0"/>
      <w:marBottom w:val="0"/>
      <w:divBdr>
        <w:top w:val="none" w:sz="0" w:space="0" w:color="auto"/>
        <w:left w:val="none" w:sz="0" w:space="0" w:color="auto"/>
        <w:bottom w:val="none" w:sz="0" w:space="0" w:color="auto"/>
        <w:right w:val="none" w:sz="0" w:space="0" w:color="auto"/>
      </w:divBdr>
    </w:div>
    <w:div w:id="1008214936">
      <w:bodyDiv w:val="1"/>
      <w:marLeft w:val="0"/>
      <w:marRight w:val="0"/>
      <w:marTop w:val="0"/>
      <w:marBottom w:val="0"/>
      <w:divBdr>
        <w:top w:val="none" w:sz="0" w:space="0" w:color="auto"/>
        <w:left w:val="none" w:sz="0" w:space="0" w:color="auto"/>
        <w:bottom w:val="none" w:sz="0" w:space="0" w:color="auto"/>
        <w:right w:val="none" w:sz="0" w:space="0" w:color="auto"/>
      </w:divBdr>
    </w:div>
    <w:div w:id="1008293014">
      <w:bodyDiv w:val="1"/>
      <w:marLeft w:val="0"/>
      <w:marRight w:val="0"/>
      <w:marTop w:val="0"/>
      <w:marBottom w:val="0"/>
      <w:divBdr>
        <w:top w:val="none" w:sz="0" w:space="0" w:color="auto"/>
        <w:left w:val="none" w:sz="0" w:space="0" w:color="auto"/>
        <w:bottom w:val="none" w:sz="0" w:space="0" w:color="auto"/>
        <w:right w:val="none" w:sz="0" w:space="0" w:color="auto"/>
      </w:divBdr>
    </w:div>
    <w:div w:id="1008361644">
      <w:bodyDiv w:val="1"/>
      <w:marLeft w:val="0"/>
      <w:marRight w:val="0"/>
      <w:marTop w:val="0"/>
      <w:marBottom w:val="0"/>
      <w:divBdr>
        <w:top w:val="none" w:sz="0" w:space="0" w:color="auto"/>
        <w:left w:val="none" w:sz="0" w:space="0" w:color="auto"/>
        <w:bottom w:val="none" w:sz="0" w:space="0" w:color="auto"/>
        <w:right w:val="none" w:sz="0" w:space="0" w:color="auto"/>
      </w:divBdr>
    </w:div>
    <w:div w:id="1008410159">
      <w:bodyDiv w:val="1"/>
      <w:marLeft w:val="0"/>
      <w:marRight w:val="0"/>
      <w:marTop w:val="0"/>
      <w:marBottom w:val="0"/>
      <w:divBdr>
        <w:top w:val="none" w:sz="0" w:space="0" w:color="auto"/>
        <w:left w:val="none" w:sz="0" w:space="0" w:color="auto"/>
        <w:bottom w:val="none" w:sz="0" w:space="0" w:color="auto"/>
        <w:right w:val="none" w:sz="0" w:space="0" w:color="auto"/>
      </w:divBdr>
    </w:div>
    <w:div w:id="1008412353">
      <w:bodyDiv w:val="1"/>
      <w:marLeft w:val="0"/>
      <w:marRight w:val="0"/>
      <w:marTop w:val="0"/>
      <w:marBottom w:val="0"/>
      <w:divBdr>
        <w:top w:val="none" w:sz="0" w:space="0" w:color="auto"/>
        <w:left w:val="none" w:sz="0" w:space="0" w:color="auto"/>
        <w:bottom w:val="none" w:sz="0" w:space="0" w:color="auto"/>
        <w:right w:val="none" w:sz="0" w:space="0" w:color="auto"/>
      </w:divBdr>
    </w:div>
    <w:div w:id="1008757308">
      <w:bodyDiv w:val="1"/>
      <w:marLeft w:val="0"/>
      <w:marRight w:val="0"/>
      <w:marTop w:val="0"/>
      <w:marBottom w:val="0"/>
      <w:divBdr>
        <w:top w:val="none" w:sz="0" w:space="0" w:color="auto"/>
        <w:left w:val="none" w:sz="0" w:space="0" w:color="auto"/>
        <w:bottom w:val="none" w:sz="0" w:space="0" w:color="auto"/>
        <w:right w:val="none" w:sz="0" w:space="0" w:color="auto"/>
      </w:divBdr>
    </w:div>
    <w:div w:id="1008798858">
      <w:bodyDiv w:val="1"/>
      <w:marLeft w:val="0"/>
      <w:marRight w:val="0"/>
      <w:marTop w:val="0"/>
      <w:marBottom w:val="0"/>
      <w:divBdr>
        <w:top w:val="none" w:sz="0" w:space="0" w:color="auto"/>
        <w:left w:val="none" w:sz="0" w:space="0" w:color="auto"/>
        <w:bottom w:val="none" w:sz="0" w:space="0" w:color="auto"/>
        <w:right w:val="none" w:sz="0" w:space="0" w:color="auto"/>
      </w:divBdr>
    </w:div>
    <w:div w:id="1008825468">
      <w:bodyDiv w:val="1"/>
      <w:marLeft w:val="0"/>
      <w:marRight w:val="0"/>
      <w:marTop w:val="0"/>
      <w:marBottom w:val="0"/>
      <w:divBdr>
        <w:top w:val="none" w:sz="0" w:space="0" w:color="auto"/>
        <w:left w:val="none" w:sz="0" w:space="0" w:color="auto"/>
        <w:bottom w:val="none" w:sz="0" w:space="0" w:color="auto"/>
        <w:right w:val="none" w:sz="0" w:space="0" w:color="auto"/>
      </w:divBdr>
    </w:div>
    <w:div w:id="1008941111">
      <w:bodyDiv w:val="1"/>
      <w:marLeft w:val="0"/>
      <w:marRight w:val="0"/>
      <w:marTop w:val="0"/>
      <w:marBottom w:val="0"/>
      <w:divBdr>
        <w:top w:val="none" w:sz="0" w:space="0" w:color="auto"/>
        <w:left w:val="none" w:sz="0" w:space="0" w:color="auto"/>
        <w:bottom w:val="none" w:sz="0" w:space="0" w:color="auto"/>
        <w:right w:val="none" w:sz="0" w:space="0" w:color="auto"/>
      </w:divBdr>
    </w:div>
    <w:div w:id="1009023014">
      <w:bodyDiv w:val="1"/>
      <w:marLeft w:val="0"/>
      <w:marRight w:val="0"/>
      <w:marTop w:val="0"/>
      <w:marBottom w:val="0"/>
      <w:divBdr>
        <w:top w:val="none" w:sz="0" w:space="0" w:color="auto"/>
        <w:left w:val="none" w:sz="0" w:space="0" w:color="auto"/>
        <w:bottom w:val="none" w:sz="0" w:space="0" w:color="auto"/>
        <w:right w:val="none" w:sz="0" w:space="0" w:color="auto"/>
      </w:divBdr>
    </w:div>
    <w:div w:id="1009066283">
      <w:bodyDiv w:val="1"/>
      <w:marLeft w:val="0"/>
      <w:marRight w:val="0"/>
      <w:marTop w:val="0"/>
      <w:marBottom w:val="0"/>
      <w:divBdr>
        <w:top w:val="none" w:sz="0" w:space="0" w:color="auto"/>
        <w:left w:val="none" w:sz="0" w:space="0" w:color="auto"/>
        <w:bottom w:val="none" w:sz="0" w:space="0" w:color="auto"/>
        <w:right w:val="none" w:sz="0" w:space="0" w:color="auto"/>
      </w:divBdr>
    </w:div>
    <w:div w:id="1009135239">
      <w:bodyDiv w:val="1"/>
      <w:marLeft w:val="0"/>
      <w:marRight w:val="0"/>
      <w:marTop w:val="0"/>
      <w:marBottom w:val="0"/>
      <w:divBdr>
        <w:top w:val="none" w:sz="0" w:space="0" w:color="auto"/>
        <w:left w:val="none" w:sz="0" w:space="0" w:color="auto"/>
        <w:bottom w:val="none" w:sz="0" w:space="0" w:color="auto"/>
        <w:right w:val="none" w:sz="0" w:space="0" w:color="auto"/>
      </w:divBdr>
    </w:div>
    <w:div w:id="1009285333">
      <w:bodyDiv w:val="1"/>
      <w:marLeft w:val="0"/>
      <w:marRight w:val="0"/>
      <w:marTop w:val="0"/>
      <w:marBottom w:val="0"/>
      <w:divBdr>
        <w:top w:val="none" w:sz="0" w:space="0" w:color="auto"/>
        <w:left w:val="none" w:sz="0" w:space="0" w:color="auto"/>
        <w:bottom w:val="none" w:sz="0" w:space="0" w:color="auto"/>
        <w:right w:val="none" w:sz="0" w:space="0" w:color="auto"/>
      </w:divBdr>
    </w:div>
    <w:div w:id="1009287003">
      <w:bodyDiv w:val="1"/>
      <w:marLeft w:val="0"/>
      <w:marRight w:val="0"/>
      <w:marTop w:val="0"/>
      <w:marBottom w:val="0"/>
      <w:divBdr>
        <w:top w:val="none" w:sz="0" w:space="0" w:color="auto"/>
        <w:left w:val="none" w:sz="0" w:space="0" w:color="auto"/>
        <w:bottom w:val="none" w:sz="0" w:space="0" w:color="auto"/>
        <w:right w:val="none" w:sz="0" w:space="0" w:color="auto"/>
      </w:divBdr>
    </w:div>
    <w:div w:id="1009525602">
      <w:bodyDiv w:val="1"/>
      <w:marLeft w:val="0"/>
      <w:marRight w:val="0"/>
      <w:marTop w:val="0"/>
      <w:marBottom w:val="0"/>
      <w:divBdr>
        <w:top w:val="none" w:sz="0" w:space="0" w:color="auto"/>
        <w:left w:val="none" w:sz="0" w:space="0" w:color="auto"/>
        <w:bottom w:val="none" w:sz="0" w:space="0" w:color="auto"/>
        <w:right w:val="none" w:sz="0" w:space="0" w:color="auto"/>
      </w:divBdr>
    </w:div>
    <w:div w:id="1009910033">
      <w:bodyDiv w:val="1"/>
      <w:marLeft w:val="0"/>
      <w:marRight w:val="0"/>
      <w:marTop w:val="0"/>
      <w:marBottom w:val="0"/>
      <w:divBdr>
        <w:top w:val="none" w:sz="0" w:space="0" w:color="auto"/>
        <w:left w:val="none" w:sz="0" w:space="0" w:color="auto"/>
        <w:bottom w:val="none" w:sz="0" w:space="0" w:color="auto"/>
        <w:right w:val="none" w:sz="0" w:space="0" w:color="auto"/>
      </w:divBdr>
    </w:div>
    <w:div w:id="1009984109">
      <w:bodyDiv w:val="1"/>
      <w:marLeft w:val="0"/>
      <w:marRight w:val="0"/>
      <w:marTop w:val="0"/>
      <w:marBottom w:val="0"/>
      <w:divBdr>
        <w:top w:val="none" w:sz="0" w:space="0" w:color="auto"/>
        <w:left w:val="none" w:sz="0" w:space="0" w:color="auto"/>
        <w:bottom w:val="none" w:sz="0" w:space="0" w:color="auto"/>
        <w:right w:val="none" w:sz="0" w:space="0" w:color="auto"/>
      </w:divBdr>
    </w:div>
    <w:div w:id="1009992641">
      <w:bodyDiv w:val="1"/>
      <w:marLeft w:val="0"/>
      <w:marRight w:val="0"/>
      <w:marTop w:val="0"/>
      <w:marBottom w:val="0"/>
      <w:divBdr>
        <w:top w:val="none" w:sz="0" w:space="0" w:color="auto"/>
        <w:left w:val="none" w:sz="0" w:space="0" w:color="auto"/>
        <w:bottom w:val="none" w:sz="0" w:space="0" w:color="auto"/>
        <w:right w:val="none" w:sz="0" w:space="0" w:color="auto"/>
      </w:divBdr>
    </w:div>
    <w:div w:id="1010137487">
      <w:bodyDiv w:val="1"/>
      <w:marLeft w:val="0"/>
      <w:marRight w:val="0"/>
      <w:marTop w:val="0"/>
      <w:marBottom w:val="0"/>
      <w:divBdr>
        <w:top w:val="none" w:sz="0" w:space="0" w:color="auto"/>
        <w:left w:val="none" w:sz="0" w:space="0" w:color="auto"/>
        <w:bottom w:val="none" w:sz="0" w:space="0" w:color="auto"/>
        <w:right w:val="none" w:sz="0" w:space="0" w:color="auto"/>
      </w:divBdr>
    </w:div>
    <w:div w:id="1010378829">
      <w:bodyDiv w:val="1"/>
      <w:marLeft w:val="0"/>
      <w:marRight w:val="0"/>
      <w:marTop w:val="0"/>
      <w:marBottom w:val="0"/>
      <w:divBdr>
        <w:top w:val="none" w:sz="0" w:space="0" w:color="auto"/>
        <w:left w:val="none" w:sz="0" w:space="0" w:color="auto"/>
        <w:bottom w:val="none" w:sz="0" w:space="0" w:color="auto"/>
        <w:right w:val="none" w:sz="0" w:space="0" w:color="auto"/>
      </w:divBdr>
    </w:div>
    <w:div w:id="1010647120">
      <w:bodyDiv w:val="1"/>
      <w:marLeft w:val="0"/>
      <w:marRight w:val="0"/>
      <w:marTop w:val="0"/>
      <w:marBottom w:val="0"/>
      <w:divBdr>
        <w:top w:val="none" w:sz="0" w:space="0" w:color="auto"/>
        <w:left w:val="none" w:sz="0" w:space="0" w:color="auto"/>
        <w:bottom w:val="none" w:sz="0" w:space="0" w:color="auto"/>
        <w:right w:val="none" w:sz="0" w:space="0" w:color="auto"/>
      </w:divBdr>
    </w:div>
    <w:div w:id="1010989433">
      <w:bodyDiv w:val="1"/>
      <w:marLeft w:val="0"/>
      <w:marRight w:val="0"/>
      <w:marTop w:val="0"/>
      <w:marBottom w:val="0"/>
      <w:divBdr>
        <w:top w:val="none" w:sz="0" w:space="0" w:color="auto"/>
        <w:left w:val="none" w:sz="0" w:space="0" w:color="auto"/>
        <w:bottom w:val="none" w:sz="0" w:space="0" w:color="auto"/>
        <w:right w:val="none" w:sz="0" w:space="0" w:color="auto"/>
      </w:divBdr>
    </w:div>
    <w:div w:id="1011488728">
      <w:bodyDiv w:val="1"/>
      <w:marLeft w:val="0"/>
      <w:marRight w:val="0"/>
      <w:marTop w:val="0"/>
      <w:marBottom w:val="0"/>
      <w:divBdr>
        <w:top w:val="none" w:sz="0" w:space="0" w:color="auto"/>
        <w:left w:val="none" w:sz="0" w:space="0" w:color="auto"/>
        <w:bottom w:val="none" w:sz="0" w:space="0" w:color="auto"/>
        <w:right w:val="none" w:sz="0" w:space="0" w:color="auto"/>
      </w:divBdr>
    </w:div>
    <w:div w:id="1011684312">
      <w:bodyDiv w:val="1"/>
      <w:marLeft w:val="0"/>
      <w:marRight w:val="0"/>
      <w:marTop w:val="0"/>
      <w:marBottom w:val="0"/>
      <w:divBdr>
        <w:top w:val="none" w:sz="0" w:space="0" w:color="auto"/>
        <w:left w:val="none" w:sz="0" w:space="0" w:color="auto"/>
        <w:bottom w:val="none" w:sz="0" w:space="0" w:color="auto"/>
        <w:right w:val="none" w:sz="0" w:space="0" w:color="auto"/>
      </w:divBdr>
    </w:div>
    <w:div w:id="1011761158">
      <w:bodyDiv w:val="1"/>
      <w:marLeft w:val="0"/>
      <w:marRight w:val="0"/>
      <w:marTop w:val="0"/>
      <w:marBottom w:val="0"/>
      <w:divBdr>
        <w:top w:val="none" w:sz="0" w:space="0" w:color="auto"/>
        <w:left w:val="none" w:sz="0" w:space="0" w:color="auto"/>
        <w:bottom w:val="none" w:sz="0" w:space="0" w:color="auto"/>
        <w:right w:val="none" w:sz="0" w:space="0" w:color="auto"/>
      </w:divBdr>
    </w:div>
    <w:div w:id="1011950913">
      <w:bodyDiv w:val="1"/>
      <w:marLeft w:val="0"/>
      <w:marRight w:val="0"/>
      <w:marTop w:val="0"/>
      <w:marBottom w:val="0"/>
      <w:divBdr>
        <w:top w:val="none" w:sz="0" w:space="0" w:color="auto"/>
        <w:left w:val="none" w:sz="0" w:space="0" w:color="auto"/>
        <w:bottom w:val="none" w:sz="0" w:space="0" w:color="auto"/>
        <w:right w:val="none" w:sz="0" w:space="0" w:color="auto"/>
      </w:divBdr>
    </w:div>
    <w:div w:id="1011954328">
      <w:bodyDiv w:val="1"/>
      <w:marLeft w:val="0"/>
      <w:marRight w:val="0"/>
      <w:marTop w:val="0"/>
      <w:marBottom w:val="0"/>
      <w:divBdr>
        <w:top w:val="none" w:sz="0" w:space="0" w:color="auto"/>
        <w:left w:val="none" w:sz="0" w:space="0" w:color="auto"/>
        <w:bottom w:val="none" w:sz="0" w:space="0" w:color="auto"/>
        <w:right w:val="none" w:sz="0" w:space="0" w:color="auto"/>
      </w:divBdr>
    </w:div>
    <w:div w:id="1012224460">
      <w:bodyDiv w:val="1"/>
      <w:marLeft w:val="0"/>
      <w:marRight w:val="0"/>
      <w:marTop w:val="0"/>
      <w:marBottom w:val="0"/>
      <w:divBdr>
        <w:top w:val="none" w:sz="0" w:space="0" w:color="auto"/>
        <w:left w:val="none" w:sz="0" w:space="0" w:color="auto"/>
        <w:bottom w:val="none" w:sz="0" w:space="0" w:color="auto"/>
        <w:right w:val="none" w:sz="0" w:space="0" w:color="auto"/>
      </w:divBdr>
    </w:div>
    <w:div w:id="1012300493">
      <w:bodyDiv w:val="1"/>
      <w:marLeft w:val="0"/>
      <w:marRight w:val="0"/>
      <w:marTop w:val="0"/>
      <w:marBottom w:val="0"/>
      <w:divBdr>
        <w:top w:val="none" w:sz="0" w:space="0" w:color="auto"/>
        <w:left w:val="none" w:sz="0" w:space="0" w:color="auto"/>
        <w:bottom w:val="none" w:sz="0" w:space="0" w:color="auto"/>
        <w:right w:val="none" w:sz="0" w:space="0" w:color="auto"/>
      </w:divBdr>
    </w:div>
    <w:div w:id="1012338033">
      <w:bodyDiv w:val="1"/>
      <w:marLeft w:val="0"/>
      <w:marRight w:val="0"/>
      <w:marTop w:val="0"/>
      <w:marBottom w:val="0"/>
      <w:divBdr>
        <w:top w:val="none" w:sz="0" w:space="0" w:color="auto"/>
        <w:left w:val="none" w:sz="0" w:space="0" w:color="auto"/>
        <w:bottom w:val="none" w:sz="0" w:space="0" w:color="auto"/>
        <w:right w:val="none" w:sz="0" w:space="0" w:color="auto"/>
      </w:divBdr>
    </w:div>
    <w:div w:id="1012802898">
      <w:bodyDiv w:val="1"/>
      <w:marLeft w:val="0"/>
      <w:marRight w:val="0"/>
      <w:marTop w:val="0"/>
      <w:marBottom w:val="0"/>
      <w:divBdr>
        <w:top w:val="none" w:sz="0" w:space="0" w:color="auto"/>
        <w:left w:val="none" w:sz="0" w:space="0" w:color="auto"/>
        <w:bottom w:val="none" w:sz="0" w:space="0" w:color="auto"/>
        <w:right w:val="none" w:sz="0" w:space="0" w:color="auto"/>
      </w:divBdr>
    </w:div>
    <w:div w:id="1013071241">
      <w:bodyDiv w:val="1"/>
      <w:marLeft w:val="0"/>
      <w:marRight w:val="0"/>
      <w:marTop w:val="0"/>
      <w:marBottom w:val="0"/>
      <w:divBdr>
        <w:top w:val="none" w:sz="0" w:space="0" w:color="auto"/>
        <w:left w:val="none" w:sz="0" w:space="0" w:color="auto"/>
        <w:bottom w:val="none" w:sz="0" w:space="0" w:color="auto"/>
        <w:right w:val="none" w:sz="0" w:space="0" w:color="auto"/>
      </w:divBdr>
    </w:div>
    <w:div w:id="1013264242">
      <w:bodyDiv w:val="1"/>
      <w:marLeft w:val="0"/>
      <w:marRight w:val="0"/>
      <w:marTop w:val="0"/>
      <w:marBottom w:val="0"/>
      <w:divBdr>
        <w:top w:val="none" w:sz="0" w:space="0" w:color="auto"/>
        <w:left w:val="none" w:sz="0" w:space="0" w:color="auto"/>
        <w:bottom w:val="none" w:sz="0" w:space="0" w:color="auto"/>
        <w:right w:val="none" w:sz="0" w:space="0" w:color="auto"/>
      </w:divBdr>
    </w:div>
    <w:div w:id="1013343019">
      <w:bodyDiv w:val="1"/>
      <w:marLeft w:val="0"/>
      <w:marRight w:val="0"/>
      <w:marTop w:val="0"/>
      <w:marBottom w:val="0"/>
      <w:divBdr>
        <w:top w:val="none" w:sz="0" w:space="0" w:color="auto"/>
        <w:left w:val="none" w:sz="0" w:space="0" w:color="auto"/>
        <w:bottom w:val="none" w:sz="0" w:space="0" w:color="auto"/>
        <w:right w:val="none" w:sz="0" w:space="0" w:color="auto"/>
      </w:divBdr>
    </w:div>
    <w:div w:id="1013413039">
      <w:bodyDiv w:val="1"/>
      <w:marLeft w:val="0"/>
      <w:marRight w:val="0"/>
      <w:marTop w:val="0"/>
      <w:marBottom w:val="0"/>
      <w:divBdr>
        <w:top w:val="none" w:sz="0" w:space="0" w:color="auto"/>
        <w:left w:val="none" w:sz="0" w:space="0" w:color="auto"/>
        <w:bottom w:val="none" w:sz="0" w:space="0" w:color="auto"/>
        <w:right w:val="none" w:sz="0" w:space="0" w:color="auto"/>
      </w:divBdr>
    </w:div>
    <w:div w:id="1013454855">
      <w:bodyDiv w:val="1"/>
      <w:marLeft w:val="0"/>
      <w:marRight w:val="0"/>
      <w:marTop w:val="0"/>
      <w:marBottom w:val="0"/>
      <w:divBdr>
        <w:top w:val="none" w:sz="0" w:space="0" w:color="auto"/>
        <w:left w:val="none" w:sz="0" w:space="0" w:color="auto"/>
        <w:bottom w:val="none" w:sz="0" w:space="0" w:color="auto"/>
        <w:right w:val="none" w:sz="0" w:space="0" w:color="auto"/>
      </w:divBdr>
    </w:div>
    <w:div w:id="1013533639">
      <w:bodyDiv w:val="1"/>
      <w:marLeft w:val="0"/>
      <w:marRight w:val="0"/>
      <w:marTop w:val="0"/>
      <w:marBottom w:val="0"/>
      <w:divBdr>
        <w:top w:val="none" w:sz="0" w:space="0" w:color="auto"/>
        <w:left w:val="none" w:sz="0" w:space="0" w:color="auto"/>
        <w:bottom w:val="none" w:sz="0" w:space="0" w:color="auto"/>
        <w:right w:val="none" w:sz="0" w:space="0" w:color="auto"/>
      </w:divBdr>
    </w:div>
    <w:div w:id="1013607993">
      <w:bodyDiv w:val="1"/>
      <w:marLeft w:val="0"/>
      <w:marRight w:val="0"/>
      <w:marTop w:val="0"/>
      <w:marBottom w:val="0"/>
      <w:divBdr>
        <w:top w:val="none" w:sz="0" w:space="0" w:color="auto"/>
        <w:left w:val="none" w:sz="0" w:space="0" w:color="auto"/>
        <w:bottom w:val="none" w:sz="0" w:space="0" w:color="auto"/>
        <w:right w:val="none" w:sz="0" w:space="0" w:color="auto"/>
      </w:divBdr>
    </w:div>
    <w:div w:id="1013610397">
      <w:bodyDiv w:val="1"/>
      <w:marLeft w:val="0"/>
      <w:marRight w:val="0"/>
      <w:marTop w:val="0"/>
      <w:marBottom w:val="0"/>
      <w:divBdr>
        <w:top w:val="none" w:sz="0" w:space="0" w:color="auto"/>
        <w:left w:val="none" w:sz="0" w:space="0" w:color="auto"/>
        <w:bottom w:val="none" w:sz="0" w:space="0" w:color="auto"/>
        <w:right w:val="none" w:sz="0" w:space="0" w:color="auto"/>
      </w:divBdr>
    </w:div>
    <w:div w:id="1014188586">
      <w:bodyDiv w:val="1"/>
      <w:marLeft w:val="0"/>
      <w:marRight w:val="0"/>
      <w:marTop w:val="0"/>
      <w:marBottom w:val="0"/>
      <w:divBdr>
        <w:top w:val="none" w:sz="0" w:space="0" w:color="auto"/>
        <w:left w:val="none" w:sz="0" w:space="0" w:color="auto"/>
        <w:bottom w:val="none" w:sz="0" w:space="0" w:color="auto"/>
        <w:right w:val="none" w:sz="0" w:space="0" w:color="auto"/>
      </w:divBdr>
    </w:div>
    <w:div w:id="1014265410">
      <w:bodyDiv w:val="1"/>
      <w:marLeft w:val="0"/>
      <w:marRight w:val="0"/>
      <w:marTop w:val="0"/>
      <w:marBottom w:val="0"/>
      <w:divBdr>
        <w:top w:val="none" w:sz="0" w:space="0" w:color="auto"/>
        <w:left w:val="none" w:sz="0" w:space="0" w:color="auto"/>
        <w:bottom w:val="none" w:sz="0" w:space="0" w:color="auto"/>
        <w:right w:val="none" w:sz="0" w:space="0" w:color="auto"/>
      </w:divBdr>
    </w:div>
    <w:div w:id="1014301420">
      <w:bodyDiv w:val="1"/>
      <w:marLeft w:val="0"/>
      <w:marRight w:val="0"/>
      <w:marTop w:val="0"/>
      <w:marBottom w:val="0"/>
      <w:divBdr>
        <w:top w:val="none" w:sz="0" w:space="0" w:color="auto"/>
        <w:left w:val="none" w:sz="0" w:space="0" w:color="auto"/>
        <w:bottom w:val="none" w:sz="0" w:space="0" w:color="auto"/>
        <w:right w:val="none" w:sz="0" w:space="0" w:color="auto"/>
      </w:divBdr>
    </w:div>
    <w:div w:id="1014527221">
      <w:bodyDiv w:val="1"/>
      <w:marLeft w:val="0"/>
      <w:marRight w:val="0"/>
      <w:marTop w:val="0"/>
      <w:marBottom w:val="0"/>
      <w:divBdr>
        <w:top w:val="none" w:sz="0" w:space="0" w:color="auto"/>
        <w:left w:val="none" w:sz="0" w:space="0" w:color="auto"/>
        <w:bottom w:val="none" w:sz="0" w:space="0" w:color="auto"/>
        <w:right w:val="none" w:sz="0" w:space="0" w:color="auto"/>
      </w:divBdr>
    </w:div>
    <w:div w:id="1014646111">
      <w:bodyDiv w:val="1"/>
      <w:marLeft w:val="0"/>
      <w:marRight w:val="0"/>
      <w:marTop w:val="0"/>
      <w:marBottom w:val="0"/>
      <w:divBdr>
        <w:top w:val="none" w:sz="0" w:space="0" w:color="auto"/>
        <w:left w:val="none" w:sz="0" w:space="0" w:color="auto"/>
        <w:bottom w:val="none" w:sz="0" w:space="0" w:color="auto"/>
        <w:right w:val="none" w:sz="0" w:space="0" w:color="auto"/>
      </w:divBdr>
    </w:div>
    <w:div w:id="1014890810">
      <w:bodyDiv w:val="1"/>
      <w:marLeft w:val="0"/>
      <w:marRight w:val="0"/>
      <w:marTop w:val="0"/>
      <w:marBottom w:val="0"/>
      <w:divBdr>
        <w:top w:val="none" w:sz="0" w:space="0" w:color="auto"/>
        <w:left w:val="none" w:sz="0" w:space="0" w:color="auto"/>
        <w:bottom w:val="none" w:sz="0" w:space="0" w:color="auto"/>
        <w:right w:val="none" w:sz="0" w:space="0" w:color="auto"/>
      </w:divBdr>
    </w:div>
    <w:div w:id="1015114555">
      <w:bodyDiv w:val="1"/>
      <w:marLeft w:val="0"/>
      <w:marRight w:val="0"/>
      <w:marTop w:val="0"/>
      <w:marBottom w:val="0"/>
      <w:divBdr>
        <w:top w:val="none" w:sz="0" w:space="0" w:color="auto"/>
        <w:left w:val="none" w:sz="0" w:space="0" w:color="auto"/>
        <w:bottom w:val="none" w:sz="0" w:space="0" w:color="auto"/>
        <w:right w:val="none" w:sz="0" w:space="0" w:color="auto"/>
      </w:divBdr>
    </w:div>
    <w:div w:id="1015226219">
      <w:bodyDiv w:val="1"/>
      <w:marLeft w:val="0"/>
      <w:marRight w:val="0"/>
      <w:marTop w:val="0"/>
      <w:marBottom w:val="0"/>
      <w:divBdr>
        <w:top w:val="none" w:sz="0" w:space="0" w:color="auto"/>
        <w:left w:val="none" w:sz="0" w:space="0" w:color="auto"/>
        <w:bottom w:val="none" w:sz="0" w:space="0" w:color="auto"/>
        <w:right w:val="none" w:sz="0" w:space="0" w:color="auto"/>
      </w:divBdr>
    </w:div>
    <w:div w:id="1015230981">
      <w:bodyDiv w:val="1"/>
      <w:marLeft w:val="0"/>
      <w:marRight w:val="0"/>
      <w:marTop w:val="0"/>
      <w:marBottom w:val="0"/>
      <w:divBdr>
        <w:top w:val="none" w:sz="0" w:space="0" w:color="auto"/>
        <w:left w:val="none" w:sz="0" w:space="0" w:color="auto"/>
        <w:bottom w:val="none" w:sz="0" w:space="0" w:color="auto"/>
        <w:right w:val="none" w:sz="0" w:space="0" w:color="auto"/>
      </w:divBdr>
    </w:div>
    <w:div w:id="1015306337">
      <w:bodyDiv w:val="1"/>
      <w:marLeft w:val="0"/>
      <w:marRight w:val="0"/>
      <w:marTop w:val="0"/>
      <w:marBottom w:val="0"/>
      <w:divBdr>
        <w:top w:val="none" w:sz="0" w:space="0" w:color="auto"/>
        <w:left w:val="none" w:sz="0" w:space="0" w:color="auto"/>
        <w:bottom w:val="none" w:sz="0" w:space="0" w:color="auto"/>
        <w:right w:val="none" w:sz="0" w:space="0" w:color="auto"/>
      </w:divBdr>
    </w:div>
    <w:div w:id="1015422348">
      <w:bodyDiv w:val="1"/>
      <w:marLeft w:val="0"/>
      <w:marRight w:val="0"/>
      <w:marTop w:val="0"/>
      <w:marBottom w:val="0"/>
      <w:divBdr>
        <w:top w:val="none" w:sz="0" w:space="0" w:color="auto"/>
        <w:left w:val="none" w:sz="0" w:space="0" w:color="auto"/>
        <w:bottom w:val="none" w:sz="0" w:space="0" w:color="auto"/>
        <w:right w:val="none" w:sz="0" w:space="0" w:color="auto"/>
      </w:divBdr>
    </w:div>
    <w:div w:id="1015692766">
      <w:bodyDiv w:val="1"/>
      <w:marLeft w:val="0"/>
      <w:marRight w:val="0"/>
      <w:marTop w:val="0"/>
      <w:marBottom w:val="0"/>
      <w:divBdr>
        <w:top w:val="none" w:sz="0" w:space="0" w:color="auto"/>
        <w:left w:val="none" w:sz="0" w:space="0" w:color="auto"/>
        <w:bottom w:val="none" w:sz="0" w:space="0" w:color="auto"/>
        <w:right w:val="none" w:sz="0" w:space="0" w:color="auto"/>
      </w:divBdr>
    </w:div>
    <w:div w:id="1016224649">
      <w:bodyDiv w:val="1"/>
      <w:marLeft w:val="0"/>
      <w:marRight w:val="0"/>
      <w:marTop w:val="0"/>
      <w:marBottom w:val="0"/>
      <w:divBdr>
        <w:top w:val="none" w:sz="0" w:space="0" w:color="auto"/>
        <w:left w:val="none" w:sz="0" w:space="0" w:color="auto"/>
        <w:bottom w:val="none" w:sz="0" w:space="0" w:color="auto"/>
        <w:right w:val="none" w:sz="0" w:space="0" w:color="auto"/>
      </w:divBdr>
    </w:div>
    <w:div w:id="1016465835">
      <w:bodyDiv w:val="1"/>
      <w:marLeft w:val="0"/>
      <w:marRight w:val="0"/>
      <w:marTop w:val="0"/>
      <w:marBottom w:val="0"/>
      <w:divBdr>
        <w:top w:val="none" w:sz="0" w:space="0" w:color="auto"/>
        <w:left w:val="none" w:sz="0" w:space="0" w:color="auto"/>
        <w:bottom w:val="none" w:sz="0" w:space="0" w:color="auto"/>
        <w:right w:val="none" w:sz="0" w:space="0" w:color="auto"/>
      </w:divBdr>
    </w:div>
    <w:div w:id="1016540251">
      <w:bodyDiv w:val="1"/>
      <w:marLeft w:val="0"/>
      <w:marRight w:val="0"/>
      <w:marTop w:val="0"/>
      <w:marBottom w:val="0"/>
      <w:divBdr>
        <w:top w:val="none" w:sz="0" w:space="0" w:color="auto"/>
        <w:left w:val="none" w:sz="0" w:space="0" w:color="auto"/>
        <w:bottom w:val="none" w:sz="0" w:space="0" w:color="auto"/>
        <w:right w:val="none" w:sz="0" w:space="0" w:color="auto"/>
      </w:divBdr>
    </w:div>
    <w:div w:id="1016882275">
      <w:bodyDiv w:val="1"/>
      <w:marLeft w:val="0"/>
      <w:marRight w:val="0"/>
      <w:marTop w:val="0"/>
      <w:marBottom w:val="0"/>
      <w:divBdr>
        <w:top w:val="none" w:sz="0" w:space="0" w:color="auto"/>
        <w:left w:val="none" w:sz="0" w:space="0" w:color="auto"/>
        <w:bottom w:val="none" w:sz="0" w:space="0" w:color="auto"/>
        <w:right w:val="none" w:sz="0" w:space="0" w:color="auto"/>
      </w:divBdr>
    </w:div>
    <w:div w:id="1017078275">
      <w:bodyDiv w:val="1"/>
      <w:marLeft w:val="0"/>
      <w:marRight w:val="0"/>
      <w:marTop w:val="0"/>
      <w:marBottom w:val="0"/>
      <w:divBdr>
        <w:top w:val="none" w:sz="0" w:space="0" w:color="auto"/>
        <w:left w:val="none" w:sz="0" w:space="0" w:color="auto"/>
        <w:bottom w:val="none" w:sz="0" w:space="0" w:color="auto"/>
        <w:right w:val="none" w:sz="0" w:space="0" w:color="auto"/>
      </w:divBdr>
    </w:div>
    <w:div w:id="1017119616">
      <w:bodyDiv w:val="1"/>
      <w:marLeft w:val="0"/>
      <w:marRight w:val="0"/>
      <w:marTop w:val="0"/>
      <w:marBottom w:val="0"/>
      <w:divBdr>
        <w:top w:val="none" w:sz="0" w:space="0" w:color="auto"/>
        <w:left w:val="none" w:sz="0" w:space="0" w:color="auto"/>
        <w:bottom w:val="none" w:sz="0" w:space="0" w:color="auto"/>
        <w:right w:val="none" w:sz="0" w:space="0" w:color="auto"/>
      </w:divBdr>
    </w:div>
    <w:div w:id="1017271827">
      <w:bodyDiv w:val="1"/>
      <w:marLeft w:val="0"/>
      <w:marRight w:val="0"/>
      <w:marTop w:val="0"/>
      <w:marBottom w:val="0"/>
      <w:divBdr>
        <w:top w:val="none" w:sz="0" w:space="0" w:color="auto"/>
        <w:left w:val="none" w:sz="0" w:space="0" w:color="auto"/>
        <w:bottom w:val="none" w:sz="0" w:space="0" w:color="auto"/>
        <w:right w:val="none" w:sz="0" w:space="0" w:color="auto"/>
      </w:divBdr>
    </w:div>
    <w:div w:id="1017317352">
      <w:bodyDiv w:val="1"/>
      <w:marLeft w:val="0"/>
      <w:marRight w:val="0"/>
      <w:marTop w:val="0"/>
      <w:marBottom w:val="0"/>
      <w:divBdr>
        <w:top w:val="none" w:sz="0" w:space="0" w:color="auto"/>
        <w:left w:val="none" w:sz="0" w:space="0" w:color="auto"/>
        <w:bottom w:val="none" w:sz="0" w:space="0" w:color="auto"/>
        <w:right w:val="none" w:sz="0" w:space="0" w:color="auto"/>
      </w:divBdr>
    </w:div>
    <w:div w:id="1017578603">
      <w:bodyDiv w:val="1"/>
      <w:marLeft w:val="0"/>
      <w:marRight w:val="0"/>
      <w:marTop w:val="0"/>
      <w:marBottom w:val="0"/>
      <w:divBdr>
        <w:top w:val="none" w:sz="0" w:space="0" w:color="auto"/>
        <w:left w:val="none" w:sz="0" w:space="0" w:color="auto"/>
        <w:bottom w:val="none" w:sz="0" w:space="0" w:color="auto"/>
        <w:right w:val="none" w:sz="0" w:space="0" w:color="auto"/>
      </w:divBdr>
    </w:div>
    <w:div w:id="1017733365">
      <w:bodyDiv w:val="1"/>
      <w:marLeft w:val="0"/>
      <w:marRight w:val="0"/>
      <w:marTop w:val="0"/>
      <w:marBottom w:val="0"/>
      <w:divBdr>
        <w:top w:val="none" w:sz="0" w:space="0" w:color="auto"/>
        <w:left w:val="none" w:sz="0" w:space="0" w:color="auto"/>
        <w:bottom w:val="none" w:sz="0" w:space="0" w:color="auto"/>
        <w:right w:val="none" w:sz="0" w:space="0" w:color="auto"/>
      </w:divBdr>
    </w:div>
    <w:div w:id="1018048270">
      <w:bodyDiv w:val="1"/>
      <w:marLeft w:val="0"/>
      <w:marRight w:val="0"/>
      <w:marTop w:val="0"/>
      <w:marBottom w:val="0"/>
      <w:divBdr>
        <w:top w:val="none" w:sz="0" w:space="0" w:color="auto"/>
        <w:left w:val="none" w:sz="0" w:space="0" w:color="auto"/>
        <w:bottom w:val="none" w:sz="0" w:space="0" w:color="auto"/>
        <w:right w:val="none" w:sz="0" w:space="0" w:color="auto"/>
      </w:divBdr>
    </w:div>
    <w:div w:id="1018236579">
      <w:bodyDiv w:val="1"/>
      <w:marLeft w:val="0"/>
      <w:marRight w:val="0"/>
      <w:marTop w:val="0"/>
      <w:marBottom w:val="0"/>
      <w:divBdr>
        <w:top w:val="none" w:sz="0" w:space="0" w:color="auto"/>
        <w:left w:val="none" w:sz="0" w:space="0" w:color="auto"/>
        <w:bottom w:val="none" w:sz="0" w:space="0" w:color="auto"/>
        <w:right w:val="none" w:sz="0" w:space="0" w:color="auto"/>
      </w:divBdr>
    </w:div>
    <w:div w:id="1018309918">
      <w:bodyDiv w:val="1"/>
      <w:marLeft w:val="0"/>
      <w:marRight w:val="0"/>
      <w:marTop w:val="0"/>
      <w:marBottom w:val="0"/>
      <w:divBdr>
        <w:top w:val="none" w:sz="0" w:space="0" w:color="auto"/>
        <w:left w:val="none" w:sz="0" w:space="0" w:color="auto"/>
        <w:bottom w:val="none" w:sz="0" w:space="0" w:color="auto"/>
        <w:right w:val="none" w:sz="0" w:space="0" w:color="auto"/>
      </w:divBdr>
    </w:div>
    <w:div w:id="1018505500">
      <w:bodyDiv w:val="1"/>
      <w:marLeft w:val="0"/>
      <w:marRight w:val="0"/>
      <w:marTop w:val="0"/>
      <w:marBottom w:val="0"/>
      <w:divBdr>
        <w:top w:val="none" w:sz="0" w:space="0" w:color="auto"/>
        <w:left w:val="none" w:sz="0" w:space="0" w:color="auto"/>
        <w:bottom w:val="none" w:sz="0" w:space="0" w:color="auto"/>
        <w:right w:val="none" w:sz="0" w:space="0" w:color="auto"/>
      </w:divBdr>
    </w:div>
    <w:div w:id="1018585413">
      <w:bodyDiv w:val="1"/>
      <w:marLeft w:val="0"/>
      <w:marRight w:val="0"/>
      <w:marTop w:val="0"/>
      <w:marBottom w:val="0"/>
      <w:divBdr>
        <w:top w:val="none" w:sz="0" w:space="0" w:color="auto"/>
        <w:left w:val="none" w:sz="0" w:space="0" w:color="auto"/>
        <w:bottom w:val="none" w:sz="0" w:space="0" w:color="auto"/>
        <w:right w:val="none" w:sz="0" w:space="0" w:color="auto"/>
      </w:divBdr>
    </w:div>
    <w:div w:id="1018853193">
      <w:bodyDiv w:val="1"/>
      <w:marLeft w:val="0"/>
      <w:marRight w:val="0"/>
      <w:marTop w:val="0"/>
      <w:marBottom w:val="0"/>
      <w:divBdr>
        <w:top w:val="none" w:sz="0" w:space="0" w:color="auto"/>
        <w:left w:val="none" w:sz="0" w:space="0" w:color="auto"/>
        <w:bottom w:val="none" w:sz="0" w:space="0" w:color="auto"/>
        <w:right w:val="none" w:sz="0" w:space="0" w:color="auto"/>
      </w:divBdr>
    </w:div>
    <w:div w:id="1018970785">
      <w:bodyDiv w:val="1"/>
      <w:marLeft w:val="0"/>
      <w:marRight w:val="0"/>
      <w:marTop w:val="0"/>
      <w:marBottom w:val="0"/>
      <w:divBdr>
        <w:top w:val="none" w:sz="0" w:space="0" w:color="auto"/>
        <w:left w:val="none" w:sz="0" w:space="0" w:color="auto"/>
        <w:bottom w:val="none" w:sz="0" w:space="0" w:color="auto"/>
        <w:right w:val="none" w:sz="0" w:space="0" w:color="auto"/>
      </w:divBdr>
    </w:div>
    <w:div w:id="1019045573">
      <w:bodyDiv w:val="1"/>
      <w:marLeft w:val="0"/>
      <w:marRight w:val="0"/>
      <w:marTop w:val="0"/>
      <w:marBottom w:val="0"/>
      <w:divBdr>
        <w:top w:val="none" w:sz="0" w:space="0" w:color="auto"/>
        <w:left w:val="none" w:sz="0" w:space="0" w:color="auto"/>
        <w:bottom w:val="none" w:sz="0" w:space="0" w:color="auto"/>
        <w:right w:val="none" w:sz="0" w:space="0" w:color="auto"/>
      </w:divBdr>
    </w:div>
    <w:div w:id="1019156936">
      <w:bodyDiv w:val="1"/>
      <w:marLeft w:val="0"/>
      <w:marRight w:val="0"/>
      <w:marTop w:val="0"/>
      <w:marBottom w:val="0"/>
      <w:divBdr>
        <w:top w:val="none" w:sz="0" w:space="0" w:color="auto"/>
        <w:left w:val="none" w:sz="0" w:space="0" w:color="auto"/>
        <w:bottom w:val="none" w:sz="0" w:space="0" w:color="auto"/>
        <w:right w:val="none" w:sz="0" w:space="0" w:color="auto"/>
      </w:divBdr>
    </w:div>
    <w:div w:id="1019620168">
      <w:bodyDiv w:val="1"/>
      <w:marLeft w:val="0"/>
      <w:marRight w:val="0"/>
      <w:marTop w:val="0"/>
      <w:marBottom w:val="0"/>
      <w:divBdr>
        <w:top w:val="none" w:sz="0" w:space="0" w:color="auto"/>
        <w:left w:val="none" w:sz="0" w:space="0" w:color="auto"/>
        <w:bottom w:val="none" w:sz="0" w:space="0" w:color="auto"/>
        <w:right w:val="none" w:sz="0" w:space="0" w:color="auto"/>
      </w:divBdr>
    </w:div>
    <w:div w:id="1019621623">
      <w:bodyDiv w:val="1"/>
      <w:marLeft w:val="0"/>
      <w:marRight w:val="0"/>
      <w:marTop w:val="0"/>
      <w:marBottom w:val="0"/>
      <w:divBdr>
        <w:top w:val="none" w:sz="0" w:space="0" w:color="auto"/>
        <w:left w:val="none" w:sz="0" w:space="0" w:color="auto"/>
        <w:bottom w:val="none" w:sz="0" w:space="0" w:color="auto"/>
        <w:right w:val="none" w:sz="0" w:space="0" w:color="auto"/>
      </w:divBdr>
    </w:div>
    <w:div w:id="1019895350">
      <w:bodyDiv w:val="1"/>
      <w:marLeft w:val="0"/>
      <w:marRight w:val="0"/>
      <w:marTop w:val="0"/>
      <w:marBottom w:val="0"/>
      <w:divBdr>
        <w:top w:val="none" w:sz="0" w:space="0" w:color="auto"/>
        <w:left w:val="none" w:sz="0" w:space="0" w:color="auto"/>
        <w:bottom w:val="none" w:sz="0" w:space="0" w:color="auto"/>
        <w:right w:val="none" w:sz="0" w:space="0" w:color="auto"/>
      </w:divBdr>
    </w:div>
    <w:div w:id="1019966284">
      <w:bodyDiv w:val="1"/>
      <w:marLeft w:val="0"/>
      <w:marRight w:val="0"/>
      <w:marTop w:val="0"/>
      <w:marBottom w:val="0"/>
      <w:divBdr>
        <w:top w:val="none" w:sz="0" w:space="0" w:color="auto"/>
        <w:left w:val="none" w:sz="0" w:space="0" w:color="auto"/>
        <w:bottom w:val="none" w:sz="0" w:space="0" w:color="auto"/>
        <w:right w:val="none" w:sz="0" w:space="0" w:color="auto"/>
      </w:divBdr>
    </w:div>
    <w:div w:id="1020200280">
      <w:bodyDiv w:val="1"/>
      <w:marLeft w:val="0"/>
      <w:marRight w:val="0"/>
      <w:marTop w:val="0"/>
      <w:marBottom w:val="0"/>
      <w:divBdr>
        <w:top w:val="none" w:sz="0" w:space="0" w:color="auto"/>
        <w:left w:val="none" w:sz="0" w:space="0" w:color="auto"/>
        <w:bottom w:val="none" w:sz="0" w:space="0" w:color="auto"/>
        <w:right w:val="none" w:sz="0" w:space="0" w:color="auto"/>
      </w:divBdr>
    </w:div>
    <w:div w:id="1020202268">
      <w:bodyDiv w:val="1"/>
      <w:marLeft w:val="0"/>
      <w:marRight w:val="0"/>
      <w:marTop w:val="0"/>
      <w:marBottom w:val="0"/>
      <w:divBdr>
        <w:top w:val="none" w:sz="0" w:space="0" w:color="auto"/>
        <w:left w:val="none" w:sz="0" w:space="0" w:color="auto"/>
        <w:bottom w:val="none" w:sz="0" w:space="0" w:color="auto"/>
        <w:right w:val="none" w:sz="0" w:space="0" w:color="auto"/>
      </w:divBdr>
    </w:div>
    <w:div w:id="1020397601">
      <w:bodyDiv w:val="1"/>
      <w:marLeft w:val="0"/>
      <w:marRight w:val="0"/>
      <w:marTop w:val="0"/>
      <w:marBottom w:val="0"/>
      <w:divBdr>
        <w:top w:val="none" w:sz="0" w:space="0" w:color="auto"/>
        <w:left w:val="none" w:sz="0" w:space="0" w:color="auto"/>
        <w:bottom w:val="none" w:sz="0" w:space="0" w:color="auto"/>
        <w:right w:val="none" w:sz="0" w:space="0" w:color="auto"/>
      </w:divBdr>
    </w:div>
    <w:div w:id="1020469115">
      <w:bodyDiv w:val="1"/>
      <w:marLeft w:val="0"/>
      <w:marRight w:val="0"/>
      <w:marTop w:val="0"/>
      <w:marBottom w:val="0"/>
      <w:divBdr>
        <w:top w:val="none" w:sz="0" w:space="0" w:color="auto"/>
        <w:left w:val="none" w:sz="0" w:space="0" w:color="auto"/>
        <w:bottom w:val="none" w:sz="0" w:space="0" w:color="auto"/>
        <w:right w:val="none" w:sz="0" w:space="0" w:color="auto"/>
      </w:divBdr>
    </w:div>
    <w:div w:id="1020812026">
      <w:bodyDiv w:val="1"/>
      <w:marLeft w:val="0"/>
      <w:marRight w:val="0"/>
      <w:marTop w:val="0"/>
      <w:marBottom w:val="0"/>
      <w:divBdr>
        <w:top w:val="none" w:sz="0" w:space="0" w:color="auto"/>
        <w:left w:val="none" w:sz="0" w:space="0" w:color="auto"/>
        <w:bottom w:val="none" w:sz="0" w:space="0" w:color="auto"/>
        <w:right w:val="none" w:sz="0" w:space="0" w:color="auto"/>
      </w:divBdr>
    </w:div>
    <w:div w:id="1020820453">
      <w:bodyDiv w:val="1"/>
      <w:marLeft w:val="0"/>
      <w:marRight w:val="0"/>
      <w:marTop w:val="0"/>
      <w:marBottom w:val="0"/>
      <w:divBdr>
        <w:top w:val="none" w:sz="0" w:space="0" w:color="auto"/>
        <w:left w:val="none" w:sz="0" w:space="0" w:color="auto"/>
        <w:bottom w:val="none" w:sz="0" w:space="0" w:color="auto"/>
        <w:right w:val="none" w:sz="0" w:space="0" w:color="auto"/>
      </w:divBdr>
    </w:div>
    <w:div w:id="1021199099">
      <w:bodyDiv w:val="1"/>
      <w:marLeft w:val="0"/>
      <w:marRight w:val="0"/>
      <w:marTop w:val="0"/>
      <w:marBottom w:val="0"/>
      <w:divBdr>
        <w:top w:val="none" w:sz="0" w:space="0" w:color="auto"/>
        <w:left w:val="none" w:sz="0" w:space="0" w:color="auto"/>
        <w:bottom w:val="none" w:sz="0" w:space="0" w:color="auto"/>
        <w:right w:val="none" w:sz="0" w:space="0" w:color="auto"/>
      </w:divBdr>
    </w:div>
    <w:div w:id="1021247808">
      <w:bodyDiv w:val="1"/>
      <w:marLeft w:val="0"/>
      <w:marRight w:val="0"/>
      <w:marTop w:val="0"/>
      <w:marBottom w:val="0"/>
      <w:divBdr>
        <w:top w:val="none" w:sz="0" w:space="0" w:color="auto"/>
        <w:left w:val="none" w:sz="0" w:space="0" w:color="auto"/>
        <w:bottom w:val="none" w:sz="0" w:space="0" w:color="auto"/>
        <w:right w:val="none" w:sz="0" w:space="0" w:color="auto"/>
      </w:divBdr>
    </w:div>
    <w:div w:id="1021322223">
      <w:bodyDiv w:val="1"/>
      <w:marLeft w:val="0"/>
      <w:marRight w:val="0"/>
      <w:marTop w:val="0"/>
      <w:marBottom w:val="0"/>
      <w:divBdr>
        <w:top w:val="none" w:sz="0" w:space="0" w:color="auto"/>
        <w:left w:val="none" w:sz="0" w:space="0" w:color="auto"/>
        <w:bottom w:val="none" w:sz="0" w:space="0" w:color="auto"/>
        <w:right w:val="none" w:sz="0" w:space="0" w:color="auto"/>
      </w:divBdr>
    </w:div>
    <w:div w:id="1021324000">
      <w:bodyDiv w:val="1"/>
      <w:marLeft w:val="0"/>
      <w:marRight w:val="0"/>
      <w:marTop w:val="0"/>
      <w:marBottom w:val="0"/>
      <w:divBdr>
        <w:top w:val="none" w:sz="0" w:space="0" w:color="auto"/>
        <w:left w:val="none" w:sz="0" w:space="0" w:color="auto"/>
        <w:bottom w:val="none" w:sz="0" w:space="0" w:color="auto"/>
        <w:right w:val="none" w:sz="0" w:space="0" w:color="auto"/>
      </w:divBdr>
    </w:div>
    <w:div w:id="1021470002">
      <w:bodyDiv w:val="1"/>
      <w:marLeft w:val="0"/>
      <w:marRight w:val="0"/>
      <w:marTop w:val="0"/>
      <w:marBottom w:val="0"/>
      <w:divBdr>
        <w:top w:val="none" w:sz="0" w:space="0" w:color="auto"/>
        <w:left w:val="none" w:sz="0" w:space="0" w:color="auto"/>
        <w:bottom w:val="none" w:sz="0" w:space="0" w:color="auto"/>
        <w:right w:val="none" w:sz="0" w:space="0" w:color="auto"/>
      </w:divBdr>
    </w:div>
    <w:div w:id="1021474588">
      <w:bodyDiv w:val="1"/>
      <w:marLeft w:val="0"/>
      <w:marRight w:val="0"/>
      <w:marTop w:val="0"/>
      <w:marBottom w:val="0"/>
      <w:divBdr>
        <w:top w:val="none" w:sz="0" w:space="0" w:color="auto"/>
        <w:left w:val="none" w:sz="0" w:space="0" w:color="auto"/>
        <w:bottom w:val="none" w:sz="0" w:space="0" w:color="auto"/>
        <w:right w:val="none" w:sz="0" w:space="0" w:color="auto"/>
      </w:divBdr>
    </w:div>
    <w:div w:id="1021861221">
      <w:bodyDiv w:val="1"/>
      <w:marLeft w:val="0"/>
      <w:marRight w:val="0"/>
      <w:marTop w:val="0"/>
      <w:marBottom w:val="0"/>
      <w:divBdr>
        <w:top w:val="none" w:sz="0" w:space="0" w:color="auto"/>
        <w:left w:val="none" w:sz="0" w:space="0" w:color="auto"/>
        <w:bottom w:val="none" w:sz="0" w:space="0" w:color="auto"/>
        <w:right w:val="none" w:sz="0" w:space="0" w:color="auto"/>
      </w:divBdr>
    </w:div>
    <w:div w:id="1021933938">
      <w:bodyDiv w:val="1"/>
      <w:marLeft w:val="0"/>
      <w:marRight w:val="0"/>
      <w:marTop w:val="0"/>
      <w:marBottom w:val="0"/>
      <w:divBdr>
        <w:top w:val="none" w:sz="0" w:space="0" w:color="auto"/>
        <w:left w:val="none" w:sz="0" w:space="0" w:color="auto"/>
        <w:bottom w:val="none" w:sz="0" w:space="0" w:color="auto"/>
        <w:right w:val="none" w:sz="0" w:space="0" w:color="auto"/>
      </w:divBdr>
    </w:div>
    <w:div w:id="1022127035">
      <w:bodyDiv w:val="1"/>
      <w:marLeft w:val="0"/>
      <w:marRight w:val="0"/>
      <w:marTop w:val="0"/>
      <w:marBottom w:val="0"/>
      <w:divBdr>
        <w:top w:val="none" w:sz="0" w:space="0" w:color="auto"/>
        <w:left w:val="none" w:sz="0" w:space="0" w:color="auto"/>
        <w:bottom w:val="none" w:sz="0" w:space="0" w:color="auto"/>
        <w:right w:val="none" w:sz="0" w:space="0" w:color="auto"/>
      </w:divBdr>
    </w:div>
    <w:div w:id="1022169557">
      <w:bodyDiv w:val="1"/>
      <w:marLeft w:val="0"/>
      <w:marRight w:val="0"/>
      <w:marTop w:val="0"/>
      <w:marBottom w:val="0"/>
      <w:divBdr>
        <w:top w:val="none" w:sz="0" w:space="0" w:color="auto"/>
        <w:left w:val="none" w:sz="0" w:space="0" w:color="auto"/>
        <w:bottom w:val="none" w:sz="0" w:space="0" w:color="auto"/>
        <w:right w:val="none" w:sz="0" w:space="0" w:color="auto"/>
      </w:divBdr>
    </w:div>
    <w:div w:id="1022316789">
      <w:bodyDiv w:val="1"/>
      <w:marLeft w:val="0"/>
      <w:marRight w:val="0"/>
      <w:marTop w:val="0"/>
      <w:marBottom w:val="0"/>
      <w:divBdr>
        <w:top w:val="none" w:sz="0" w:space="0" w:color="auto"/>
        <w:left w:val="none" w:sz="0" w:space="0" w:color="auto"/>
        <w:bottom w:val="none" w:sz="0" w:space="0" w:color="auto"/>
        <w:right w:val="none" w:sz="0" w:space="0" w:color="auto"/>
      </w:divBdr>
    </w:div>
    <w:div w:id="1022321982">
      <w:bodyDiv w:val="1"/>
      <w:marLeft w:val="0"/>
      <w:marRight w:val="0"/>
      <w:marTop w:val="0"/>
      <w:marBottom w:val="0"/>
      <w:divBdr>
        <w:top w:val="none" w:sz="0" w:space="0" w:color="auto"/>
        <w:left w:val="none" w:sz="0" w:space="0" w:color="auto"/>
        <w:bottom w:val="none" w:sz="0" w:space="0" w:color="auto"/>
        <w:right w:val="none" w:sz="0" w:space="0" w:color="auto"/>
      </w:divBdr>
    </w:div>
    <w:div w:id="1022710440">
      <w:bodyDiv w:val="1"/>
      <w:marLeft w:val="0"/>
      <w:marRight w:val="0"/>
      <w:marTop w:val="0"/>
      <w:marBottom w:val="0"/>
      <w:divBdr>
        <w:top w:val="none" w:sz="0" w:space="0" w:color="auto"/>
        <w:left w:val="none" w:sz="0" w:space="0" w:color="auto"/>
        <w:bottom w:val="none" w:sz="0" w:space="0" w:color="auto"/>
        <w:right w:val="none" w:sz="0" w:space="0" w:color="auto"/>
      </w:divBdr>
    </w:div>
    <w:div w:id="1022973015">
      <w:bodyDiv w:val="1"/>
      <w:marLeft w:val="0"/>
      <w:marRight w:val="0"/>
      <w:marTop w:val="0"/>
      <w:marBottom w:val="0"/>
      <w:divBdr>
        <w:top w:val="none" w:sz="0" w:space="0" w:color="auto"/>
        <w:left w:val="none" w:sz="0" w:space="0" w:color="auto"/>
        <w:bottom w:val="none" w:sz="0" w:space="0" w:color="auto"/>
        <w:right w:val="none" w:sz="0" w:space="0" w:color="auto"/>
      </w:divBdr>
    </w:div>
    <w:div w:id="1022979954">
      <w:bodyDiv w:val="1"/>
      <w:marLeft w:val="0"/>
      <w:marRight w:val="0"/>
      <w:marTop w:val="0"/>
      <w:marBottom w:val="0"/>
      <w:divBdr>
        <w:top w:val="none" w:sz="0" w:space="0" w:color="auto"/>
        <w:left w:val="none" w:sz="0" w:space="0" w:color="auto"/>
        <w:bottom w:val="none" w:sz="0" w:space="0" w:color="auto"/>
        <w:right w:val="none" w:sz="0" w:space="0" w:color="auto"/>
      </w:divBdr>
    </w:div>
    <w:div w:id="1023046378">
      <w:bodyDiv w:val="1"/>
      <w:marLeft w:val="0"/>
      <w:marRight w:val="0"/>
      <w:marTop w:val="0"/>
      <w:marBottom w:val="0"/>
      <w:divBdr>
        <w:top w:val="none" w:sz="0" w:space="0" w:color="auto"/>
        <w:left w:val="none" w:sz="0" w:space="0" w:color="auto"/>
        <w:bottom w:val="none" w:sz="0" w:space="0" w:color="auto"/>
        <w:right w:val="none" w:sz="0" w:space="0" w:color="auto"/>
      </w:divBdr>
    </w:div>
    <w:div w:id="1023046841">
      <w:bodyDiv w:val="1"/>
      <w:marLeft w:val="0"/>
      <w:marRight w:val="0"/>
      <w:marTop w:val="0"/>
      <w:marBottom w:val="0"/>
      <w:divBdr>
        <w:top w:val="none" w:sz="0" w:space="0" w:color="auto"/>
        <w:left w:val="none" w:sz="0" w:space="0" w:color="auto"/>
        <w:bottom w:val="none" w:sz="0" w:space="0" w:color="auto"/>
        <w:right w:val="none" w:sz="0" w:space="0" w:color="auto"/>
      </w:divBdr>
    </w:div>
    <w:div w:id="1023244732">
      <w:bodyDiv w:val="1"/>
      <w:marLeft w:val="0"/>
      <w:marRight w:val="0"/>
      <w:marTop w:val="0"/>
      <w:marBottom w:val="0"/>
      <w:divBdr>
        <w:top w:val="none" w:sz="0" w:space="0" w:color="auto"/>
        <w:left w:val="none" w:sz="0" w:space="0" w:color="auto"/>
        <w:bottom w:val="none" w:sz="0" w:space="0" w:color="auto"/>
        <w:right w:val="none" w:sz="0" w:space="0" w:color="auto"/>
      </w:divBdr>
    </w:div>
    <w:div w:id="1023245983">
      <w:bodyDiv w:val="1"/>
      <w:marLeft w:val="0"/>
      <w:marRight w:val="0"/>
      <w:marTop w:val="0"/>
      <w:marBottom w:val="0"/>
      <w:divBdr>
        <w:top w:val="none" w:sz="0" w:space="0" w:color="auto"/>
        <w:left w:val="none" w:sz="0" w:space="0" w:color="auto"/>
        <w:bottom w:val="none" w:sz="0" w:space="0" w:color="auto"/>
        <w:right w:val="none" w:sz="0" w:space="0" w:color="auto"/>
      </w:divBdr>
    </w:div>
    <w:div w:id="1023357759">
      <w:bodyDiv w:val="1"/>
      <w:marLeft w:val="0"/>
      <w:marRight w:val="0"/>
      <w:marTop w:val="0"/>
      <w:marBottom w:val="0"/>
      <w:divBdr>
        <w:top w:val="none" w:sz="0" w:space="0" w:color="auto"/>
        <w:left w:val="none" w:sz="0" w:space="0" w:color="auto"/>
        <w:bottom w:val="none" w:sz="0" w:space="0" w:color="auto"/>
        <w:right w:val="none" w:sz="0" w:space="0" w:color="auto"/>
      </w:divBdr>
    </w:div>
    <w:div w:id="1023361314">
      <w:bodyDiv w:val="1"/>
      <w:marLeft w:val="0"/>
      <w:marRight w:val="0"/>
      <w:marTop w:val="0"/>
      <w:marBottom w:val="0"/>
      <w:divBdr>
        <w:top w:val="none" w:sz="0" w:space="0" w:color="auto"/>
        <w:left w:val="none" w:sz="0" w:space="0" w:color="auto"/>
        <w:bottom w:val="none" w:sz="0" w:space="0" w:color="auto"/>
        <w:right w:val="none" w:sz="0" w:space="0" w:color="auto"/>
      </w:divBdr>
    </w:div>
    <w:div w:id="1023634930">
      <w:bodyDiv w:val="1"/>
      <w:marLeft w:val="0"/>
      <w:marRight w:val="0"/>
      <w:marTop w:val="0"/>
      <w:marBottom w:val="0"/>
      <w:divBdr>
        <w:top w:val="none" w:sz="0" w:space="0" w:color="auto"/>
        <w:left w:val="none" w:sz="0" w:space="0" w:color="auto"/>
        <w:bottom w:val="none" w:sz="0" w:space="0" w:color="auto"/>
        <w:right w:val="none" w:sz="0" w:space="0" w:color="auto"/>
      </w:divBdr>
    </w:div>
    <w:div w:id="1023821394">
      <w:bodyDiv w:val="1"/>
      <w:marLeft w:val="0"/>
      <w:marRight w:val="0"/>
      <w:marTop w:val="0"/>
      <w:marBottom w:val="0"/>
      <w:divBdr>
        <w:top w:val="none" w:sz="0" w:space="0" w:color="auto"/>
        <w:left w:val="none" w:sz="0" w:space="0" w:color="auto"/>
        <w:bottom w:val="none" w:sz="0" w:space="0" w:color="auto"/>
        <w:right w:val="none" w:sz="0" w:space="0" w:color="auto"/>
      </w:divBdr>
    </w:div>
    <w:div w:id="1023898938">
      <w:bodyDiv w:val="1"/>
      <w:marLeft w:val="0"/>
      <w:marRight w:val="0"/>
      <w:marTop w:val="0"/>
      <w:marBottom w:val="0"/>
      <w:divBdr>
        <w:top w:val="none" w:sz="0" w:space="0" w:color="auto"/>
        <w:left w:val="none" w:sz="0" w:space="0" w:color="auto"/>
        <w:bottom w:val="none" w:sz="0" w:space="0" w:color="auto"/>
        <w:right w:val="none" w:sz="0" w:space="0" w:color="auto"/>
      </w:divBdr>
    </w:div>
    <w:div w:id="1024014272">
      <w:bodyDiv w:val="1"/>
      <w:marLeft w:val="0"/>
      <w:marRight w:val="0"/>
      <w:marTop w:val="0"/>
      <w:marBottom w:val="0"/>
      <w:divBdr>
        <w:top w:val="none" w:sz="0" w:space="0" w:color="auto"/>
        <w:left w:val="none" w:sz="0" w:space="0" w:color="auto"/>
        <w:bottom w:val="none" w:sz="0" w:space="0" w:color="auto"/>
        <w:right w:val="none" w:sz="0" w:space="0" w:color="auto"/>
      </w:divBdr>
    </w:div>
    <w:div w:id="1024131659">
      <w:bodyDiv w:val="1"/>
      <w:marLeft w:val="0"/>
      <w:marRight w:val="0"/>
      <w:marTop w:val="0"/>
      <w:marBottom w:val="0"/>
      <w:divBdr>
        <w:top w:val="none" w:sz="0" w:space="0" w:color="auto"/>
        <w:left w:val="none" w:sz="0" w:space="0" w:color="auto"/>
        <w:bottom w:val="none" w:sz="0" w:space="0" w:color="auto"/>
        <w:right w:val="none" w:sz="0" w:space="0" w:color="auto"/>
      </w:divBdr>
    </w:div>
    <w:div w:id="1024134429">
      <w:bodyDiv w:val="1"/>
      <w:marLeft w:val="0"/>
      <w:marRight w:val="0"/>
      <w:marTop w:val="0"/>
      <w:marBottom w:val="0"/>
      <w:divBdr>
        <w:top w:val="none" w:sz="0" w:space="0" w:color="auto"/>
        <w:left w:val="none" w:sz="0" w:space="0" w:color="auto"/>
        <w:bottom w:val="none" w:sz="0" w:space="0" w:color="auto"/>
        <w:right w:val="none" w:sz="0" w:space="0" w:color="auto"/>
      </w:divBdr>
    </w:div>
    <w:div w:id="1024398914">
      <w:bodyDiv w:val="1"/>
      <w:marLeft w:val="0"/>
      <w:marRight w:val="0"/>
      <w:marTop w:val="0"/>
      <w:marBottom w:val="0"/>
      <w:divBdr>
        <w:top w:val="none" w:sz="0" w:space="0" w:color="auto"/>
        <w:left w:val="none" w:sz="0" w:space="0" w:color="auto"/>
        <w:bottom w:val="none" w:sz="0" w:space="0" w:color="auto"/>
        <w:right w:val="none" w:sz="0" w:space="0" w:color="auto"/>
      </w:divBdr>
    </w:div>
    <w:div w:id="1024676456">
      <w:bodyDiv w:val="1"/>
      <w:marLeft w:val="0"/>
      <w:marRight w:val="0"/>
      <w:marTop w:val="0"/>
      <w:marBottom w:val="0"/>
      <w:divBdr>
        <w:top w:val="none" w:sz="0" w:space="0" w:color="auto"/>
        <w:left w:val="none" w:sz="0" w:space="0" w:color="auto"/>
        <w:bottom w:val="none" w:sz="0" w:space="0" w:color="auto"/>
        <w:right w:val="none" w:sz="0" w:space="0" w:color="auto"/>
      </w:divBdr>
    </w:div>
    <w:div w:id="1024938125">
      <w:bodyDiv w:val="1"/>
      <w:marLeft w:val="0"/>
      <w:marRight w:val="0"/>
      <w:marTop w:val="0"/>
      <w:marBottom w:val="0"/>
      <w:divBdr>
        <w:top w:val="none" w:sz="0" w:space="0" w:color="auto"/>
        <w:left w:val="none" w:sz="0" w:space="0" w:color="auto"/>
        <w:bottom w:val="none" w:sz="0" w:space="0" w:color="auto"/>
        <w:right w:val="none" w:sz="0" w:space="0" w:color="auto"/>
      </w:divBdr>
    </w:div>
    <w:div w:id="1025129849">
      <w:bodyDiv w:val="1"/>
      <w:marLeft w:val="0"/>
      <w:marRight w:val="0"/>
      <w:marTop w:val="0"/>
      <w:marBottom w:val="0"/>
      <w:divBdr>
        <w:top w:val="none" w:sz="0" w:space="0" w:color="auto"/>
        <w:left w:val="none" w:sz="0" w:space="0" w:color="auto"/>
        <w:bottom w:val="none" w:sz="0" w:space="0" w:color="auto"/>
        <w:right w:val="none" w:sz="0" w:space="0" w:color="auto"/>
      </w:divBdr>
    </w:div>
    <w:div w:id="1025205299">
      <w:bodyDiv w:val="1"/>
      <w:marLeft w:val="0"/>
      <w:marRight w:val="0"/>
      <w:marTop w:val="0"/>
      <w:marBottom w:val="0"/>
      <w:divBdr>
        <w:top w:val="none" w:sz="0" w:space="0" w:color="auto"/>
        <w:left w:val="none" w:sz="0" w:space="0" w:color="auto"/>
        <w:bottom w:val="none" w:sz="0" w:space="0" w:color="auto"/>
        <w:right w:val="none" w:sz="0" w:space="0" w:color="auto"/>
      </w:divBdr>
    </w:div>
    <w:div w:id="1025248867">
      <w:bodyDiv w:val="1"/>
      <w:marLeft w:val="0"/>
      <w:marRight w:val="0"/>
      <w:marTop w:val="0"/>
      <w:marBottom w:val="0"/>
      <w:divBdr>
        <w:top w:val="none" w:sz="0" w:space="0" w:color="auto"/>
        <w:left w:val="none" w:sz="0" w:space="0" w:color="auto"/>
        <w:bottom w:val="none" w:sz="0" w:space="0" w:color="auto"/>
        <w:right w:val="none" w:sz="0" w:space="0" w:color="auto"/>
      </w:divBdr>
    </w:div>
    <w:div w:id="1025251607">
      <w:bodyDiv w:val="1"/>
      <w:marLeft w:val="0"/>
      <w:marRight w:val="0"/>
      <w:marTop w:val="0"/>
      <w:marBottom w:val="0"/>
      <w:divBdr>
        <w:top w:val="none" w:sz="0" w:space="0" w:color="auto"/>
        <w:left w:val="none" w:sz="0" w:space="0" w:color="auto"/>
        <w:bottom w:val="none" w:sz="0" w:space="0" w:color="auto"/>
        <w:right w:val="none" w:sz="0" w:space="0" w:color="auto"/>
      </w:divBdr>
    </w:div>
    <w:div w:id="1025327939">
      <w:bodyDiv w:val="1"/>
      <w:marLeft w:val="0"/>
      <w:marRight w:val="0"/>
      <w:marTop w:val="0"/>
      <w:marBottom w:val="0"/>
      <w:divBdr>
        <w:top w:val="none" w:sz="0" w:space="0" w:color="auto"/>
        <w:left w:val="none" w:sz="0" w:space="0" w:color="auto"/>
        <w:bottom w:val="none" w:sz="0" w:space="0" w:color="auto"/>
        <w:right w:val="none" w:sz="0" w:space="0" w:color="auto"/>
      </w:divBdr>
    </w:div>
    <w:div w:id="1025518042">
      <w:bodyDiv w:val="1"/>
      <w:marLeft w:val="0"/>
      <w:marRight w:val="0"/>
      <w:marTop w:val="0"/>
      <w:marBottom w:val="0"/>
      <w:divBdr>
        <w:top w:val="none" w:sz="0" w:space="0" w:color="auto"/>
        <w:left w:val="none" w:sz="0" w:space="0" w:color="auto"/>
        <w:bottom w:val="none" w:sz="0" w:space="0" w:color="auto"/>
        <w:right w:val="none" w:sz="0" w:space="0" w:color="auto"/>
      </w:divBdr>
    </w:div>
    <w:div w:id="1025985178">
      <w:bodyDiv w:val="1"/>
      <w:marLeft w:val="0"/>
      <w:marRight w:val="0"/>
      <w:marTop w:val="0"/>
      <w:marBottom w:val="0"/>
      <w:divBdr>
        <w:top w:val="none" w:sz="0" w:space="0" w:color="auto"/>
        <w:left w:val="none" w:sz="0" w:space="0" w:color="auto"/>
        <w:bottom w:val="none" w:sz="0" w:space="0" w:color="auto"/>
        <w:right w:val="none" w:sz="0" w:space="0" w:color="auto"/>
      </w:divBdr>
    </w:div>
    <w:div w:id="1026053617">
      <w:bodyDiv w:val="1"/>
      <w:marLeft w:val="0"/>
      <w:marRight w:val="0"/>
      <w:marTop w:val="0"/>
      <w:marBottom w:val="0"/>
      <w:divBdr>
        <w:top w:val="none" w:sz="0" w:space="0" w:color="auto"/>
        <w:left w:val="none" w:sz="0" w:space="0" w:color="auto"/>
        <w:bottom w:val="none" w:sz="0" w:space="0" w:color="auto"/>
        <w:right w:val="none" w:sz="0" w:space="0" w:color="auto"/>
      </w:divBdr>
    </w:div>
    <w:div w:id="1026061807">
      <w:bodyDiv w:val="1"/>
      <w:marLeft w:val="0"/>
      <w:marRight w:val="0"/>
      <w:marTop w:val="0"/>
      <w:marBottom w:val="0"/>
      <w:divBdr>
        <w:top w:val="none" w:sz="0" w:space="0" w:color="auto"/>
        <w:left w:val="none" w:sz="0" w:space="0" w:color="auto"/>
        <w:bottom w:val="none" w:sz="0" w:space="0" w:color="auto"/>
        <w:right w:val="none" w:sz="0" w:space="0" w:color="auto"/>
      </w:divBdr>
    </w:div>
    <w:div w:id="1026249152">
      <w:bodyDiv w:val="1"/>
      <w:marLeft w:val="0"/>
      <w:marRight w:val="0"/>
      <w:marTop w:val="0"/>
      <w:marBottom w:val="0"/>
      <w:divBdr>
        <w:top w:val="none" w:sz="0" w:space="0" w:color="auto"/>
        <w:left w:val="none" w:sz="0" w:space="0" w:color="auto"/>
        <w:bottom w:val="none" w:sz="0" w:space="0" w:color="auto"/>
        <w:right w:val="none" w:sz="0" w:space="0" w:color="auto"/>
      </w:divBdr>
    </w:div>
    <w:div w:id="1026249174">
      <w:bodyDiv w:val="1"/>
      <w:marLeft w:val="0"/>
      <w:marRight w:val="0"/>
      <w:marTop w:val="0"/>
      <w:marBottom w:val="0"/>
      <w:divBdr>
        <w:top w:val="none" w:sz="0" w:space="0" w:color="auto"/>
        <w:left w:val="none" w:sz="0" w:space="0" w:color="auto"/>
        <w:bottom w:val="none" w:sz="0" w:space="0" w:color="auto"/>
        <w:right w:val="none" w:sz="0" w:space="0" w:color="auto"/>
      </w:divBdr>
    </w:div>
    <w:div w:id="1026295322">
      <w:bodyDiv w:val="1"/>
      <w:marLeft w:val="0"/>
      <w:marRight w:val="0"/>
      <w:marTop w:val="0"/>
      <w:marBottom w:val="0"/>
      <w:divBdr>
        <w:top w:val="none" w:sz="0" w:space="0" w:color="auto"/>
        <w:left w:val="none" w:sz="0" w:space="0" w:color="auto"/>
        <w:bottom w:val="none" w:sz="0" w:space="0" w:color="auto"/>
        <w:right w:val="none" w:sz="0" w:space="0" w:color="auto"/>
      </w:divBdr>
    </w:div>
    <w:div w:id="1026440282">
      <w:bodyDiv w:val="1"/>
      <w:marLeft w:val="0"/>
      <w:marRight w:val="0"/>
      <w:marTop w:val="0"/>
      <w:marBottom w:val="0"/>
      <w:divBdr>
        <w:top w:val="none" w:sz="0" w:space="0" w:color="auto"/>
        <w:left w:val="none" w:sz="0" w:space="0" w:color="auto"/>
        <w:bottom w:val="none" w:sz="0" w:space="0" w:color="auto"/>
        <w:right w:val="none" w:sz="0" w:space="0" w:color="auto"/>
      </w:divBdr>
    </w:div>
    <w:div w:id="1026490626">
      <w:bodyDiv w:val="1"/>
      <w:marLeft w:val="0"/>
      <w:marRight w:val="0"/>
      <w:marTop w:val="0"/>
      <w:marBottom w:val="0"/>
      <w:divBdr>
        <w:top w:val="none" w:sz="0" w:space="0" w:color="auto"/>
        <w:left w:val="none" w:sz="0" w:space="0" w:color="auto"/>
        <w:bottom w:val="none" w:sz="0" w:space="0" w:color="auto"/>
        <w:right w:val="none" w:sz="0" w:space="0" w:color="auto"/>
      </w:divBdr>
    </w:div>
    <w:div w:id="1026491799">
      <w:bodyDiv w:val="1"/>
      <w:marLeft w:val="0"/>
      <w:marRight w:val="0"/>
      <w:marTop w:val="0"/>
      <w:marBottom w:val="0"/>
      <w:divBdr>
        <w:top w:val="none" w:sz="0" w:space="0" w:color="auto"/>
        <w:left w:val="none" w:sz="0" w:space="0" w:color="auto"/>
        <w:bottom w:val="none" w:sz="0" w:space="0" w:color="auto"/>
        <w:right w:val="none" w:sz="0" w:space="0" w:color="auto"/>
      </w:divBdr>
    </w:div>
    <w:div w:id="1026519255">
      <w:bodyDiv w:val="1"/>
      <w:marLeft w:val="0"/>
      <w:marRight w:val="0"/>
      <w:marTop w:val="0"/>
      <w:marBottom w:val="0"/>
      <w:divBdr>
        <w:top w:val="none" w:sz="0" w:space="0" w:color="auto"/>
        <w:left w:val="none" w:sz="0" w:space="0" w:color="auto"/>
        <w:bottom w:val="none" w:sz="0" w:space="0" w:color="auto"/>
        <w:right w:val="none" w:sz="0" w:space="0" w:color="auto"/>
      </w:divBdr>
    </w:div>
    <w:div w:id="1026559567">
      <w:bodyDiv w:val="1"/>
      <w:marLeft w:val="0"/>
      <w:marRight w:val="0"/>
      <w:marTop w:val="0"/>
      <w:marBottom w:val="0"/>
      <w:divBdr>
        <w:top w:val="none" w:sz="0" w:space="0" w:color="auto"/>
        <w:left w:val="none" w:sz="0" w:space="0" w:color="auto"/>
        <w:bottom w:val="none" w:sz="0" w:space="0" w:color="auto"/>
        <w:right w:val="none" w:sz="0" w:space="0" w:color="auto"/>
      </w:divBdr>
    </w:div>
    <w:div w:id="1026954203">
      <w:bodyDiv w:val="1"/>
      <w:marLeft w:val="0"/>
      <w:marRight w:val="0"/>
      <w:marTop w:val="0"/>
      <w:marBottom w:val="0"/>
      <w:divBdr>
        <w:top w:val="none" w:sz="0" w:space="0" w:color="auto"/>
        <w:left w:val="none" w:sz="0" w:space="0" w:color="auto"/>
        <w:bottom w:val="none" w:sz="0" w:space="0" w:color="auto"/>
        <w:right w:val="none" w:sz="0" w:space="0" w:color="auto"/>
      </w:divBdr>
    </w:div>
    <w:div w:id="1027023284">
      <w:bodyDiv w:val="1"/>
      <w:marLeft w:val="0"/>
      <w:marRight w:val="0"/>
      <w:marTop w:val="0"/>
      <w:marBottom w:val="0"/>
      <w:divBdr>
        <w:top w:val="none" w:sz="0" w:space="0" w:color="auto"/>
        <w:left w:val="none" w:sz="0" w:space="0" w:color="auto"/>
        <w:bottom w:val="none" w:sz="0" w:space="0" w:color="auto"/>
        <w:right w:val="none" w:sz="0" w:space="0" w:color="auto"/>
      </w:divBdr>
    </w:div>
    <w:div w:id="1027026708">
      <w:bodyDiv w:val="1"/>
      <w:marLeft w:val="0"/>
      <w:marRight w:val="0"/>
      <w:marTop w:val="0"/>
      <w:marBottom w:val="0"/>
      <w:divBdr>
        <w:top w:val="none" w:sz="0" w:space="0" w:color="auto"/>
        <w:left w:val="none" w:sz="0" w:space="0" w:color="auto"/>
        <w:bottom w:val="none" w:sz="0" w:space="0" w:color="auto"/>
        <w:right w:val="none" w:sz="0" w:space="0" w:color="auto"/>
      </w:divBdr>
    </w:div>
    <w:div w:id="1027096829">
      <w:bodyDiv w:val="1"/>
      <w:marLeft w:val="0"/>
      <w:marRight w:val="0"/>
      <w:marTop w:val="0"/>
      <w:marBottom w:val="0"/>
      <w:divBdr>
        <w:top w:val="none" w:sz="0" w:space="0" w:color="auto"/>
        <w:left w:val="none" w:sz="0" w:space="0" w:color="auto"/>
        <w:bottom w:val="none" w:sz="0" w:space="0" w:color="auto"/>
        <w:right w:val="none" w:sz="0" w:space="0" w:color="auto"/>
      </w:divBdr>
    </w:div>
    <w:div w:id="1027372662">
      <w:bodyDiv w:val="1"/>
      <w:marLeft w:val="0"/>
      <w:marRight w:val="0"/>
      <w:marTop w:val="0"/>
      <w:marBottom w:val="0"/>
      <w:divBdr>
        <w:top w:val="none" w:sz="0" w:space="0" w:color="auto"/>
        <w:left w:val="none" w:sz="0" w:space="0" w:color="auto"/>
        <w:bottom w:val="none" w:sz="0" w:space="0" w:color="auto"/>
        <w:right w:val="none" w:sz="0" w:space="0" w:color="auto"/>
      </w:divBdr>
    </w:div>
    <w:div w:id="1027485702">
      <w:bodyDiv w:val="1"/>
      <w:marLeft w:val="0"/>
      <w:marRight w:val="0"/>
      <w:marTop w:val="0"/>
      <w:marBottom w:val="0"/>
      <w:divBdr>
        <w:top w:val="none" w:sz="0" w:space="0" w:color="auto"/>
        <w:left w:val="none" w:sz="0" w:space="0" w:color="auto"/>
        <w:bottom w:val="none" w:sz="0" w:space="0" w:color="auto"/>
        <w:right w:val="none" w:sz="0" w:space="0" w:color="auto"/>
      </w:divBdr>
    </w:div>
    <w:div w:id="1027489666">
      <w:bodyDiv w:val="1"/>
      <w:marLeft w:val="0"/>
      <w:marRight w:val="0"/>
      <w:marTop w:val="0"/>
      <w:marBottom w:val="0"/>
      <w:divBdr>
        <w:top w:val="none" w:sz="0" w:space="0" w:color="auto"/>
        <w:left w:val="none" w:sz="0" w:space="0" w:color="auto"/>
        <w:bottom w:val="none" w:sz="0" w:space="0" w:color="auto"/>
        <w:right w:val="none" w:sz="0" w:space="0" w:color="auto"/>
      </w:divBdr>
    </w:div>
    <w:div w:id="1027676003">
      <w:bodyDiv w:val="1"/>
      <w:marLeft w:val="0"/>
      <w:marRight w:val="0"/>
      <w:marTop w:val="0"/>
      <w:marBottom w:val="0"/>
      <w:divBdr>
        <w:top w:val="none" w:sz="0" w:space="0" w:color="auto"/>
        <w:left w:val="none" w:sz="0" w:space="0" w:color="auto"/>
        <w:bottom w:val="none" w:sz="0" w:space="0" w:color="auto"/>
        <w:right w:val="none" w:sz="0" w:space="0" w:color="auto"/>
      </w:divBdr>
    </w:div>
    <w:div w:id="1027951972">
      <w:bodyDiv w:val="1"/>
      <w:marLeft w:val="0"/>
      <w:marRight w:val="0"/>
      <w:marTop w:val="0"/>
      <w:marBottom w:val="0"/>
      <w:divBdr>
        <w:top w:val="none" w:sz="0" w:space="0" w:color="auto"/>
        <w:left w:val="none" w:sz="0" w:space="0" w:color="auto"/>
        <w:bottom w:val="none" w:sz="0" w:space="0" w:color="auto"/>
        <w:right w:val="none" w:sz="0" w:space="0" w:color="auto"/>
      </w:divBdr>
    </w:div>
    <w:div w:id="1028028455">
      <w:bodyDiv w:val="1"/>
      <w:marLeft w:val="0"/>
      <w:marRight w:val="0"/>
      <w:marTop w:val="0"/>
      <w:marBottom w:val="0"/>
      <w:divBdr>
        <w:top w:val="none" w:sz="0" w:space="0" w:color="auto"/>
        <w:left w:val="none" w:sz="0" w:space="0" w:color="auto"/>
        <w:bottom w:val="none" w:sz="0" w:space="0" w:color="auto"/>
        <w:right w:val="none" w:sz="0" w:space="0" w:color="auto"/>
      </w:divBdr>
    </w:div>
    <w:div w:id="1028213311">
      <w:bodyDiv w:val="1"/>
      <w:marLeft w:val="0"/>
      <w:marRight w:val="0"/>
      <w:marTop w:val="0"/>
      <w:marBottom w:val="0"/>
      <w:divBdr>
        <w:top w:val="none" w:sz="0" w:space="0" w:color="auto"/>
        <w:left w:val="none" w:sz="0" w:space="0" w:color="auto"/>
        <w:bottom w:val="none" w:sz="0" w:space="0" w:color="auto"/>
        <w:right w:val="none" w:sz="0" w:space="0" w:color="auto"/>
      </w:divBdr>
    </w:div>
    <w:div w:id="1028216686">
      <w:bodyDiv w:val="1"/>
      <w:marLeft w:val="0"/>
      <w:marRight w:val="0"/>
      <w:marTop w:val="0"/>
      <w:marBottom w:val="0"/>
      <w:divBdr>
        <w:top w:val="none" w:sz="0" w:space="0" w:color="auto"/>
        <w:left w:val="none" w:sz="0" w:space="0" w:color="auto"/>
        <w:bottom w:val="none" w:sz="0" w:space="0" w:color="auto"/>
        <w:right w:val="none" w:sz="0" w:space="0" w:color="auto"/>
      </w:divBdr>
    </w:div>
    <w:div w:id="1029138316">
      <w:bodyDiv w:val="1"/>
      <w:marLeft w:val="0"/>
      <w:marRight w:val="0"/>
      <w:marTop w:val="0"/>
      <w:marBottom w:val="0"/>
      <w:divBdr>
        <w:top w:val="none" w:sz="0" w:space="0" w:color="auto"/>
        <w:left w:val="none" w:sz="0" w:space="0" w:color="auto"/>
        <w:bottom w:val="none" w:sz="0" w:space="0" w:color="auto"/>
        <w:right w:val="none" w:sz="0" w:space="0" w:color="auto"/>
      </w:divBdr>
    </w:div>
    <w:div w:id="1029185114">
      <w:bodyDiv w:val="1"/>
      <w:marLeft w:val="0"/>
      <w:marRight w:val="0"/>
      <w:marTop w:val="0"/>
      <w:marBottom w:val="0"/>
      <w:divBdr>
        <w:top w:val="none" w:sz="0" w:space="0" w:color="auto"/>
        <w:left w:val="none" w:sz="0" w:space="0" w:color="auto"/>
        <w:bottom w:val="none" w:sz="0" w:space="0" w:color="auto"/>
        <w:right w:val="none" w:sz="0" w:space="0" w:color="auto"/>
      </w:divBdr>
    </w:div>
    <w:div w:id="1029187283">
      <w:bodyDiv w:val="1"/>
      <w:marLeft w:val="0"/>
      <w:marRight w:val="0"/>
      <w:marTop w:val="0"/>
      <w:marBottom w:val="0"/>
      <w:divBdr>
        <w:top w:val="none" w:sz="0" w:space="0" w:color="auto"/>
        <w:left w:val="none" w:sz="0" w:space="0" w:color="auto"/>
        <w:bottom w:val="none" w:sz="0" w:space="0" w:color="auto"/>
        <w:right w:val="none" w:sz="0" w:space="0" w:color="auto"/>
      </w:divBdr>
    </w:div>
    <w:div w:id="1029529768">
      <w:bodyDiv w:val="1"/>
      <w:marLeft w:val="0"/>
      <w:marRight w:val="0"/>
      <w:marTop w:val="0"/>
      <w:marBottom w:val="0"/>
      <w:divBdr>
        <w:top w:val="none" w:sz="0" w:space="0" w:color="auto"/>
        <w:left w:val="none" w:sz="0" w:space="0" w:color="auto"/>
        <w:bottom w:val="none" w:sz="0" w:space="0" w:color="auto"/>
        <w:right w:val="none" w:sz="0" w:space="0" w:color="auto"/>
      </w:divBdr>
    </w:div>
    <w:div w:id="1029842295">
      <w:bodyDiv w:val="1"/>
      <w:marLeft w:val="0"/>
      <w:marRight w:val="0"/>
      <w:marTop w:val="0"/>
      <w:marBottom w:val="0"/>
      <w:divBdr>
        <w:top w:val="none" w:sz="0" w:space="0" w:color="auto"/>
        <w:left w:val="none" w:sz="0" w:space="0" w:color="auto"/>
        <w:bottom w:val="none" w:sz="0" w:space="0" w:color="auto"/>
        <w:right w:val="none" w:sz="0" w:space="0" w:color="auto"/>
      </w:divBdr>
    </w:div>
    <w:div w:id="1029993929">
      <w:bodyDiv w:val="1"/>
      <w:marLeft w:val="0"/>
      <w:marRight w:val="0"/>
      <w:marTop w:val="0"/>
      <w:marBottom w:val="0"/>
      <w:divBdr>
        <w:top w:val="none" w:sz="0" w:space="0" w:color="auto"/>
        <w:left w:val="none" w:sz="0" w:space="0" w:color="auto"/>
        <w:bottom w:val="none" w:sz="0" w:space="0" w:color="auto"/>
        <w:right w:val="none" w:sz="0" w:space="0" w:color="auto"/>
      </w:divBdr>
    </w:div>
    <w:div w:id="1030032397">
      <w:bodyDiv w:val="1"/>
      <w:marLeft w:val="0"/>
      <w:marRight w:val="0"/>
      <w:marTop w:val="0"/>
      <w:marBottom w:val="0"/>
      <w:divBdr>
        <w:top w:val="none" w:sz="0" w:space="0" w:color="auto"/>
        <w:left w:val="none" w:sz="0" w:space="0" w:color="auto"/>
        <w:bottom w:val="none" w:sz="0" w:space="0" w:color="auto"/>
        <w:right w:val="none" w:sz="0" w:space="0" w:color="auto"/>
      </w:divBdr>
    </w:div>
    <w:div w:id="1030449483">
      <w:bodyDiv w:val="1"/>
      <w:marLeft w:val="0"/>
      <w:marRight w:val="0"/>
      <w:marTop w:val="0"/>
      <w:marBottom w:val="0"/>
      <w:divBdr>
        <w:top w:val="none" w:sz="0" w:space="0" w:color="auto"/>
        <w:left w:val="none" w:sz="0" w:space="0" w:color="auto"/>
        <w:bottom w:val="none" w:sz="0" w:space="0" w:color="auto"/>
        <w:right w:val="none" w:sz="0" w:space="0" w:color="auto"/>
      </w:divBdr>
    </w:div>
    <w:div w:id="1030881820">
      <w:bodyDiv w:val="1"/>
      <w:marLeft w:val="0"/>
      <w:marRight w:val="0"/>
      <w:marTop w:val="0"/>
      <w:marBottom w:val="0"/>
      <w:divBdr>
        <w:top w:val="none" w:sz="0" w:space="0" w:color="auto"/>
        <w:left w:val="none" w:sz="0" w:space="0" w:color="auto"/>
        <w:bottom w:val="none" w:sz="0" w:space="0" w:color="auto"/>
        <w:right w:val="none" w:sz="0" w:space="0" w:color="auto"/>
      </w:divBdr>
    </w:div>
    <w:div w:id="1031301869">
      <w:bodyDiv w:val="1"/>
      <w:marLeft w:val="0"/>
      <w:marRight w:val="0"/>
      <w:marTop w:val="0"/>
      <w:marBottom w:val="0"/>
      <w:divBdr>
        <w:top w:val="none" w:sz="0" w:space="0" w:color="auto"/>
        <w:left w:val="none" w:sz="0" w:space="0" w:color="auto"/>
        <w:bottom w:val="none" w:sz="0" w:space="0" w:color="auto"/>
        <w:right w:val="none" w:sz="0" w:space="0" w:color="auto"/>
      </w:divBdr>
    </w:div>
    <w:div w:id="1031343206">
      <w:bodyDiv w:val="1"/>
      <w:marLeft w:val="0"/>
      <w:marRight w:val="0"/>
      <w:marTop w:val="0"/>
      <w:marBottom w:val="0"/>
      <w:divBdr>
        <w:top w:val="none" w:sz="0" w:space="0" w:color="auto"/>
        <w:left w:val="none" w:sz="0" w:space="0" w:color="auto"/>
        <w:bottom w:val="none" w:sz="0" w:space="0" w:color="auto"/>
        <w:right w:val="none" w:sz="0" w:space="0" w:color="auto"/>
      </w:divBdr>
    </w:div>
    <w:div w:id="1031494882">
      <w:bodyDiv w:val="1"/>
      <w:marLeft w:val="0"/>
      <w:marRight w:val="0"/>
      <w:marTop w:val="0"/>
      <w:marBottom w:val="0"/>
      <w:divBdr>
        <w:top w:val="none" w:sz="0" w:space="0" w:color="auto"/>
        <w:left w:val="none" w:sz="0" w:space="0" w:color="auto"/>
        <w:bottom w:val="none" w:sz="0" w:space="0" w:color="auto"/>
        <w:right w:val="none" w:sz="0" w:space="0" w:color="auto"/>
      </w:divBdr>
    </w:div>
    <w:div w:id="1031568047">
      <w:bodyDiv w:val="1"/>
      <w:marLeft w:val="0"/>
      <w:marRight w:val="0"/>
      <w:marTop w:val="0"/>
      <w:marBottom w:val="0"/>
      <w:divBdr>
        <w:top w:val="none" w:sz="0" w:space="0" w:color="auto"/>
        <w:left w:val="none" w:sz="0" w:space="0" w:color="auto"/>
        <w:bottom w:val="none" w:sz="0" w:space="0" w:color="auto"/>
        <w:right w:val="none" w:sz="0" w:space="0" w:color="auto"/>
      </w:divBdr>
    </w:div>
    <w:div w:id="1031610189">
      <w:bodyDiv w:val="1"/>
      <w:marLeft w:val="0"/>
      <w:marRight w:val="0"/>
      <w:marTop w:val="0"/>
      <w:marBottom w:val="0"/>
      <w:divBdr>
        <w:top w:val="none" w:sz="0" w:space="0" w:color="auto"/>
        <w:left w:val="none" w:sz="0" w:space="0" w:color="auto"/>
        <w:bottom w:val="none" w:sz="0" w:space="0" w:color="auto"/>
        <w:right w:val="none" w:sz="0" w:space="0" w:color="auto"/>
      </w:divBdr>
    </w:div>
    <w:div w:id="1031615956">
      <w:bodyDiv w:val="1"/>
      <w:marLeft w:val="0"/>
      <w:marRight w:val="0"/>
      <w:marTop w:val="0"/>
      <w:marBottom w:val="0"/>
      <w:divBdr>
        <w:top w:val="none" w:sz="0" w:space="0" w:color="auto"/>
        <w:left w:val="none" w:sz="0" w:space="0" w:color="auto"/>
        <w:bottom w:val="none" w:sz="0" w:space="0" w:color="auto"/>
        <w:right w:val="none" w:sz="0" w:space="0" w:color="auto"/>
      </w:divBdr>
    </w:div>
    <w:div w:id="1031683631">
      <w:bodyDiv w:val="1"/>
      <w:marLeft w:val="0"/>
      <w:marRight w:val="0"/>
      <w:marTop w:val="0"/>
      <w:marBottom w:val="0"/>
      <w:divBdr>
        <w:top w:val="none" w:sz="0" w:space="0" w:color="auto"/>
        <w:left w:val="none" w:sz="0" w:space="0" w:color="auto"/>
        <w:bottom w:val="none" w:sz="0" w:space="0" w:color="auto"/>
        <w:right w:val="none" w:sz="0" w:space="0" w:color="auto"/>
      </w:divBdr>
    </w:div>
    <w:div w:id="1032070227">
      <w:bodyDiv w:val="1"/>
      <w:marLeft w:val="0"/>
      <w:marRight w:val="0"/>
      <w:marTop w:val="0"/>
      <w:marBottom w:val="0"/>
      <w:divBdr>
        <w:top w:val="none" w:sz="0" w:space="0" w:color="auto"/>
        <w:left w:val="none" w:sz="0" w:space="0" w:color="auto"/>
        <w:bottom w:val="none" w:sz="0" w:space="0" w:color="auto"/>
        <w:right w:val="none" w:sz="0" w:space="0" w:color="auto"/>
      </w:divBdr>
    </w:div>
    <w:div w:id="1032077534">
      <w:bodyDiv w:val="1"/>
      <w:marLeft w:val="0"/>
      <w:marRight w:val="0"/>
      <w:marTop w:val="0"/>
      <w:marBottom w:val="0"/>
      <w:divBdr>
        <w:top w:val="none" w:sz="0" w:space="0" w:color="auto"/>
        <w:left w:val="none" w:sz="0" w:space="0" w:color="auto"/>
        <w:bottom w:val="none" w:sz="0" w:space="0" w:color="auto"/>
        <w:right w:val="none" w:sz="0" w:space="0" w:color="auto"/>
      </w:divBdr>
    </w:div>
    <w:div w:id="1032194482">
      <w:bodyDiv w:val="1"/>
      <w:marLeft w:val="0"/>
      <w:marRight w:val="0"/>
      <w:marTop w:val="0"/>
      <w:marBottom w:val="0"/>
      <w:divBdr>
        <w:top w:val="none" w:sz="0" w:space="0" w:color="auto"/>
        <w:left w:val="none" w:sz="0" w:space="0" w:color="auto"/>
        <w:bottom w:val="none" w:sz="0" w:space="0" w:color="auto"/>
        <w:right w:val="none" w:sz="0" w:space="0" w:color="auto"/>
      </w:divBdr>
    </w:div>
    <w:div w:id="1032728534">
      <w:bodyDiv w:val="1"/>
      <w:marLeft w:val="0"/>
      <w:marRight w:val="0"/>
      <w:marTop w:val="0"/>
      <w:marBottom w:val="0"/>
      <w:divBdr>
        <w:top w:val="none" w:sz="0" w:space="0" w:color="auto"/>
        <w:left w:val="none" w:sz="0" w:space="0" w:color="auto"/>
        <w:bottom w:val="none" w:sz="0" w:space="0" w:color="auto"/>
        <w:right w:val="none" w:sz="0" w:space="0" w:color="auto"/>
      </w:divBdr>
    </w:div>
    <w:div w:id="1032731092">
      <w:bodyDiv w:val="1"/>
      <w:marLeft w:val="0"/>
      <w:marRight w:val="0"/>
      <w:marTop w:val="0"/>
      <w:marBottom w:val="0"/>
      <w:divBdr>
        <w:top w:val="none" w:sz="0" w:space="0" w:color="auto"/>
        <w:left w:val="none" w:sz="0" w:space="0" w:color="auto"/>
        <w:bottom w:val="none" w:sz="0" w:space="0" w:color="auto"/>
        <w:right w:val="none" w:sz="0" w:space="0" w:color="auto"/>
      </w:divBdr>
    </w:div>
    <w:div w:id="1032998838">
      <w:bodyDiv w:val="1"/>
      <w:marLeft w:val="0"/>
      <w:marRight w:val="0"/>
      <w:marTop w:val="0"/>
      <w:marBottom w:val="0"/>
      <w:divBdr>
        <w:top w:val="none" w:sz="0" w:space="0" w:color="auto"/>
        <w:left w:val="none" w:sz="0" w:space="0" w:color="auto"/>
        <w:bottom w:val="none" w:sz="0" w:space="0" w:color="auto"/>
        <w:right w:val="none" w:sz="0" w:space="0" w:color="auto"/>
      </w:divBdr>
    </w:div>
    <w:div w:id="1032999067">
      <w:bodyDiv w:val="1"/>
      <w:marLeft w:val="0"/>
      <w:marRight w:val="0"/>
      <w:marTop w:val="0"/>
      <w:marBottom w:val="0"/>
      <w:divBdr>
        <w:top w:val="none" w:sz="0" w:space="0" w:color="auto"/>
        <w:left w:val="none" w:sz="0" w:space="0" w:color="auto"/>
        <w:bottom w:val="none" w:sz="0" w:space="0" w:color="auto"/>
        <w:right w:val="none" w:sz="0" w:space="0" w:color="auto"/>
      </w:divBdr>
    </w:div>
    <w:div w:id="1033535180">
      <w:bodyDiv w:val="1"/>
      <w:marLeft w:val="0"/>
      <w:marRight w:val="0"/>
      <w:marTop w:val="0"/>
      <w:marBottom w:val="0"/>
      <w:divBdr>
        <w:top w:val="none" w:sz="0" w:space="0" w:color="auto"/>
        <w:left w:val="none" w:sz="0" w:space="0" w:color="auto"/>
        <w:bottom w:val="none" w:sz="0" w:space="0" w:color="auto"/>
        <w:right w:val="none" w:sz="0" w:space="0" w:color="auto"/>
      </w:divBdr>
    </w:div>
    <w:div w:id="1033580404">
      <w:bodyDiv w:val="1"/>
      <w:marLeft w:val="0"/>
      <w:marRight w:val="0"/>
      <w:marTop w:val="0"/>
      <w:marBottom w:val="0"/>
      <w:divBdr>
        <w:top w:val="none" w:sz="0" w:space="0" w:color="auto"/>
        <w:left w:val="none" w:sz="0" w:space="0" w:color="auto"/>
        <w:bottom w:val="none" w:sz="0" w:space="0" w:color="auto"/>
        <w:right w:val="none" w:sz="0" w:space="0" w:color="auto"/>
      </w:divBdr>
    </w:div>
    <w:div w:id="1033769285">
      <w:bodyDiv w:val="1"/>
      <w:marLeft w:val="0"/>
      <w:marRight w:val="0"/>
      <w:marTop w:val="0"/>
      <w:marBottom w:val="0"/>
      <w:divBdr>
        <w:top w:val="none" w:sz="0" w:space="0" w:color="auto"/>
        <w:left w:val="none" w:sz="0" w:space="0" w:color="auto"/>
        <w:bottom w:val="none" w:sz="0" w:space="0" w:color="auto"/>
        <w:right w:val="none" w:sz="0" w:space="0" w:color="auto"/>
      </w:divBdr>
    </w:div>
    <w:div w:id="1033849548">
      <w:bodyDiv w:val="1"/>
      <w:marLeft w:val="0"/>
      <w:marRight w:val="0"/>
      <w:marTop w:val="0"/>
      <w:marBottom w:val="0"/>
      <w:divBdr>
        <w:top w:val="none" w:sz="0" w:space="0" w:color="auto"/>
        <w:left w:val="none" w:sz="0" w:space="0" w:color="auto"/>
        <w:bottom w:val="none" w:sz="0" w:space="0" w:color="auto"/>
        <w:right w:val="none" w:sz="0" w:space="0" w:color="auto"/>
      </w:divBdr>
    </w:div>
    <w:div w:id="1034038041">
      <w:bodyDiv w:val="1"/>
      <w:marLeft w:val="0"/>
      <w:marRight w:val="0"/>
      <w:marTop w:val="0"/>
      <w:marBottom w:val="0"/>
      <w:divBdr>
        <w:top w:val="none" w:sz="0" w:space="0" w:color="auto"/>
        <w:left w:val="none" w:sz="0" w:space="0" w:color="auto"/>
        <w:bottom w:val="none" w:sz="0" w:space="0" w:color="auto"/>
        <w:right w:val="none" w:sz="0" w:space="0" w:color="auto"/>
      </w:divBdr>
    </w:div>
    <w:div w:id="1034043148">
      <w:bodyDiv w:val="1"/>
      <w:marLeft w:val="0"/>
      <w:marRight w:val="0"/>
      <w:marTop w:val="0"/>
      <w:marBottom w:val="0"/>
      <w:divBdr>
        <w:top w:val="none" w:sz="0" w:space="0" w:color="auto"/>
        <w:left w:val="none" w:sz="0" w:space="0" w:color="auto"/>
        <w:bottom w:val="none" w:sz="0" w:space="0" w:color="auto"/>
        <w:right w:val="none" w:sz="0" w:space="0" w:color="auto"/>
      </w:divBdr>
    </w:div>
    <w:div w:id="1034160489">
      <w:bodyDiv w:val="1"/>
      <w:marLeft w:val="0"/>
      <w:marRight w:val="0"/>
      <w:marTop w:val="0"/>
      <w:marBottom w:val="0"/>
      <w:divBdr>
        <w:top w:val="none" w:sz="0" w:space="0" w:color="auto"/>
        <w:left w:val="none" w:sz="0" w:space="0" w:color="auto"/>
        <w:bottom w:val="none" w:sz="0" w:space="0" w:color="auto"/>
        <w:right w:val="none" w:sz="0" w:space="0" w:color="auto"/>
      </w:divBdr>
    </w:div>
    <w:div w:id="1034424575">
      <w:bodyDiv w:val="1"/>
      <w:marLeft w:val="0"/>
      <w:marRight w:val="0"/>
      <w:marTop w:val="0"/>
      <w:marBottom w:val="0"/>
      <w:divBdr>
        <w:top w:val="none" w:sz="0" w:space="0" w:color="auto"/>
        <w:left w:val="none" w:sz="0" w:space="0" w:color="auto"/>
        <w:bottom w:val="none" w:sz="0" w:space="0" w:color="auto"/>
        <w:right w:val="none" w:sz="0" w:space="0" w:color="auto"/>
      </w:divBdr>
    </w:div>
    <w:div w:id="1034424657">
      <w:bodyDiv w:val="1"/>
      <w:marLeft w:val="0"/>
      <w:marRight w:val="0"/>
      <w:marTop w:val="0"/>
      <w:marBottom w:val="0"/>
      <w:divBdr>
        <w:top w:val="none" w:sz="0" w:space="0" w:color="auto"/>
        <w:left w:val="none" w:sz="0" w:space="0" w:color="auto"/>
        <w:bottom w:val="none" w:sz="0" w:space="0" w:color="auto"/>
        <w:right w:val="none" w:sz="0" w:space="0" w:color="auto"/>
      </w:divBdr>
    </w:div>
    <w:div w:id="1034425830">
      <w:bodyDiv w:val="1"/>
      <w:marLeft w:val="0"/>
      <w:marRight w:val="0"/>
      <w:marTop w:val="0"/>
      <w:marBottom w:val="0"/>
      <w:divBdr>
        <w:top w:val="none" w:sz="0" w:space="0" w:color="auto"/>
        <w:left w:val="none" w:sz="0" w:space="0" w:color="auto"/>
        <w:bottom w:val="none" w:sz="0" w:space="0" w:color="auto"/>
        <w:right w:val="none" w:sz="0" w:space="0" w:color="auto"/>
      </w:divBdr>
    </w:div>
    <w:div w:id="1034500047">
      <w:bodyDiv w:val="1"/>
      <w:marLeft w:val="0"/>
      <w:marRight w:val="0"/>
      <w:marTop w:val="0"/>
      <w:marBottom w:val="0"/>
      <w:divBdr>
        <w:top w:val="none" w:sz="0" w:space="0" w:color="auto"/>
        <w:left w:val="none" w:sz="0" w:space="0" w:color="auto"/>
        <w:bottom w:val="none" w:sz="0" w:space="0" w:color="auto"/>
        <w:right w:val="none" w:sz="0" w:space="0" w:color="auto"/>
      </w:divBdr>
    </w:div>
    <w:div w:id="1034502481">
      <w:bodyDiv w:val="1"/>
      <w:marLeft w:val="0"/>
      <w:marRight w:val="0"/>
      <w:marTop w:val="0"/>
      <w:marBottom w:val="0"/>
      <w:divBdr>
        <w:top w:val="none" w:sz="0" w:space="0" w:color="auto"/>
        <w:left w:val="none" w:sz="0" w:space="0" w:color="auto"/>
        <w:bottom w:val="none" w:sz="0" w:space="0" w:color="auto"/>
        <w:right w:val="none" w:sz="0" w:space="0" w:color="auto"/>
      </w:divBdr>
    </w:div>
    <w:div w:id="1034766076">
      <w:bodyDiv w:val="1"/>
      <w:marLeft w:val="0"/>
      <w:marRight w:val="0"/>
      <w:marTop w:val="0"/>
      <w:marBottom w:val="0"/>
      <w:divBdr>
        <w:top w:val="none" w:sz="0" w:space="0" w:color="auto"/>
        <w:left w:val="none" w:sz="0" w:space="0" w:color="auto"/>
        <w:bottom w:val="none" w:sz="0" w:space="0" w:color="auto"/>
        <w:right w:val="none" w:sz="0" w:space="0" w:color="auto"/>
      </w:divBdr>
    </w:div>
    <w:div w:id="1035232081">
      <w:bodyDiv w:val="1"/>
      <w:marLeft w:val="0"/>
      <w:marRight w:val="0"/>
      <w:marTop w:val="0"/>
      <w:marBottom w:val="0"/>
      <w:divBdr>
        <w:top w:val="none" w:sz="0" w:space="0" w:color="auto"/>
        <w:left w:val="none" w:sz="0" w:space="0" w:color="auto"/>
        <w:bottom w:val="none" w:sz="0" w:space="0" w:color="auto"/>
        <w:right w:val="none" w:sz="0" w:space="0" w:color="auto"/>
      </w:divBdr>
    </w:div>
    <w:div w:id="1035352993">
      <w:bodyDiv w:val="1"/>
      <w:marLeft w:val="0"/>
      <w:marRight w:val="0"/>
      <w:marTop w:val="0"/>
      <w:marBottom w:val="0"/>
      <w:divBdr>
        <w:top w:val="none" w:sz="0" w:space="0" w:color="auto"/>
        <w:left w:val="none" w:sz="0" w:space="0" w:color="auto"/>
        <w:bottom w:val="none" w:sz="0" w:space="0" w:color="auto"/>
        <w:right w:val="none" w:sz="0" w:space="0" w:color="auto"/>
      </w:divBdr>
    </w:div>
    <w:div w:id="1035428276">
      <w:bodyDiv w:val="1"/>
      <w:marLeft w:val="0"/>
      <w:marRight w:val="0"/>
      <w:marTop w:val="0"/>
      <w:marBottom w:val="0"/>
      <w:divBdr>
        <w:top w:val="none" w:sz="0" w:space="0" w:color="auto"/>
        <w:left w:val="none" w:sz="0" w:space="0" w:color="auto"/>
        <w:bottom w:val="none" w:sz="0" w:space="0" w:color="auto"/>
        <w:right w:val="none" w:sz="0" w:space="0" w:color="auto"/>
      </w:divBdr>
    </w:div>
    <w:div w:id="1035538938">
      <w:bodyDiv w:val="1"/>
      <w:marLeft w:val="0"/>
      <w:marRight w:val="0"/>
      <w:marTop w:val="0"/>
      <w:marBottom w:val="0"/>
      <w:divBdr>
        <w:top w:val="none" w:sz="0" w:space="0" w:color="auto"/>
        <w:left w:val="none" w:sz="0" w:space="0" w:color="auto"/>
        <w:bottom w:val="none" w:sz="0" w:space="0" w:color="auto"/>
        <w:right w:val="none" w:sz="0" w:space="0" w:color="auto"/>
      </w:divBdr>
    </w:div>
    <w:div w:id="1035695839">
      <w:bodyDiv w:val="1"/>
      <w:marLeft w:val="0"/>
      <w:marRight w:val="0"/>
      <w:marTop w:val="0"/>
      <w:marBottom w:val="0"/>
      <w:divBdr>
        <w:top w:val="none" w:sz="0" w:space="0" w:color="auto"/>
        <w:left w:val="none" w:sz="0" w:space="0" w:color="auto"/>
        <w:bottom w:val="none" w:sz="0" w:space="0" w:color="auto"/>
        <w:right w:val="none" w:sz="0" w:space="0" w:color="auto"/>
      </w:divBdr>
    </w:div>
    <w:div w:id="1035889561">
      <w:bodyDiv w:val="1"/>
      <w:marLeft w:val="0"/>
      <w:marRight w:val="0"/>
      <w:marTop w:val="0"/>
      <w:marBottom w:val="0"/>
      <w:divBdr>
        <w:top w:val="none" w:sz="0" w:space="0" w:color="auto"/>
        <w:left w:val="none" w:sz="0" w:space="0" w:color="auto"/>
        <w:bottom w:val="none" w:sz="0" w:space="0" w:color="auto"/>
        <w:right w:val="none" w:sz="0" w:space="0" w:color="auto"/>
      </w:divBdr>
    </w:div>
    <w:div w:id="1036197913">
      <w:bodyDiv w:val="1"/>
      <w:marLeft w:val="0"/>
      <w:marRight w:val="0"/>
      <w:marTop w:val="0"/>
      <w:marBottom w:val="0"/>
      <w:divBdr>
        <w:top w:val="none" w:sz="0" w:space="0" w:color="auto"/>
        <w:left w:val="none" w:sz="0" w:space="0" w:color="auto"/>
        <w:bottom w:val="none" w:sz="0" w:space="0" w:color="auto"/>
        <w:right w:val="none" w:sz="0" w:space="0" w:color="auto"/>
      </w:divBdr>
    </w:div>
    <w:div w:id="1036200541">
      <w:bodyDiv w:val="1"/>
      <w:marLeft w:val="0"/>
      <w:marRight w:val="0"/>
      <w:marTop w:val="0"/>
      <w:marBottom w:val="0"/>
      <w:divBdr>
        <w:top w:val="none" w:sz="0" w:space="0" w:color="auto"/>
        <w:left w:val="none" w:sz="0" w:space="0" w:color="auto"/>
        <w:bottom w:val="none" w:sz="0" w:space="0" w:color="auto"/>
        <w:right w:val="none" w:sz="0" w:space="0" w:color="auto"/>
      </w:divBdr>
    </w:div>
    <w:div w:id="1036391818">
      <w:bodyDiv w:val="1"/>
      <w:marLeft w:val="0"/>
      <w:marRight w:val="0"/>
      <w:marTop w:val="0"/>
      <w:marBottom w:val="0"/>
      <w:divBdr>
        <w:top w:val="none" w:sz="0" w:space="0" w:color="auto"/>
        <w:left w:val="none" w:sz="0" w:space="0" w:color="auto"/>
        <w:bottom w:val="none" w:sz="0" w:space="0" w:color="auto"/>
        <w:right w:val="none" w:sz="0" w:space="0" w:color="auto"/>
      </w:divBdr>
    </w:div>
    <w:div w:id="1036540376">
      <w:bodyDiv w:val="1"/>
      <w:marLeft w:val="0"/>
      <w:marRight w:val="0"/>
      <w:marTop w:val="0"/>
      <w:marBottom w:val="0"/>
      <w:divBdr>
        <w:top w:val="none" w:sz="0" w:space="0" w:color="auto"/>
        <w:left w:val="none" w:sz="0" w:space="0" w:color="auto"/>
        <w:bottom w:val="none" w:sz="0" w:space="0" w:color="auto"/>
        <w:right w:val="none" w:sz="0" w:space="0" w:color="auto"/>
      </w:divBdr>
    </w:div>
    <w:div w:id="1036658670">
      <w:bodyDiv w:val="1"/>
      <w:marLeft w:val="0"/>
      <w:marRight w:val="0"/>
      <w:marTop w:val="0"/>
      <w:marBottom w:val="0"/>
      <w:divBdr>
        <w:top w:val="none" w:sz="0" w:space="0" w:color="auto"/>
        <w:left w:val="none" w:sz="0" w:space="0" w:color="auto"/>
        <w:bottom w:val="none" w:sz="0" w:space="0" w:color="auto"/>
        <w:right w:val="none" w:sz="0" w:space="0" w:color="auto"/>
      </w:divBdr>
    </w:div>
    <w:div w:id="1037006188">
      <w:bodyDiv w:val="1"/>
      <w:marLeft w:val="0"/>
      <w:marRight w:val="0"/>
      <w:marTop w:val="0"/>
      <w:marBottom w:val="0"/>
      <w:divBdr>
        <w:top w:val="none" w:sz="0" w:space="0" w:color="auto"/>
        <w:left w:val="none" w:sz="0" w:space="0" w:color="auto"/>
        <w:bottom w:val="none" w:sz="0" w:space="0" w:color="auto"/>
        <w:right w:val="none" w:sz="0" w:space="0" w:color="auto"/>
      </w:divBdr>
    </w:div>
    <w:div w:id="1037119611">
      <w:bodyDiv w:val="1"/>
      <w:marLeft w:val="0"/>
      <w:marRight w:val="0"/>
      <w:marTop w:val="0"/>
      <w:marBottom w:val="0"/>
      <w:divBdr>
        <w:top w:val="none" w:sz="0" w:space="0" w:color="auto"/>
        <w:left w:val="none" w:sz="0" w:space="0" w:color="auto"/>
        <w:bottom w:val="none" w:sz="0" w:space="0" w:color="auto"/>
        <w:right w:val="none" w:sz="0" w:space="0" w:color="auto"/>
      </w:divBdr>
    </w:div>
    <w:div w:id="1037200061">
      <w:bodyDiv w:val="1"/>
      <w:marLeft w:val="0"/>
      <w:marRight w:val="0"/>
      <w:marTop w:val="0"/>
      <w:marBottom w:val="0"/>
      <w:divBdr>
        <w:top w:val="none" w:sz="0" w:space="0" w:color="auto"/>
        <w:left w:val="none" w:sz="0" w:space="0" w:color="auto"/>
        <w:bottom w:val="none" w:sz="0" w:space="0" w:color="auto"/>
        <w:right w:val="none" w:sz="0" w:space="0" w:color="auto"/>
      </w:divBdr>
    </w:div>
    <w:div w:id="1037388967">
      <w:bodyDiv w:val="1"/>
      <w:marLeft w:val="0"/>
      <w:marRight w:val="0"/>
      <w:marTop w:val="0"/>
      <w:marBottom w:val="0"/>
      <w:divBdr>
        <w:top w:val="none" w:sz="0" w:space="0" w:color="auto"/>
        <w:left w:val="none" w:sz="0" w:space="0" w:color="auto"/>
        <w:bottom w:val="none" w:sz="0" w:space="0" w:color="auto"/>
        <w:right w:val="none" w:sz="0" w:space="0" w:color="auto"/>
      </w:divBdr>
    </w:div>
    <w:div w:id="1037467239">
      <w:bodyDiv w:val="1"/>
      <w:marLeft w:val="0"/>
      <w:marRight w:val="0"/>
      <w:marTop w:val="0"/>
      <w:marBottom w:val="0"/>
      <w:divBdr>
        <w:top w:val="none" w:sz="0" w:space="0" w:color="auto"/>
        <w:left w:val="none" w:sz="0" w:space="0" w:color="auto"/>
        <w:bottom w:val="none" w:sz="0" w:space="0" w:color="auto"/>
        <w:right w:val="none" w:sz="0" w:space="0" w:color="auto"/>
      </w:divBdr>
    </w:div>
    <w:div w:id="1037512462">
      <w:bodyDiv w:val="1"/>
      <w:marLeft w:val="0"/>
      <w:marRight w:val="0"/>
      <w:marTop w:val="0"/>
      <w:marBottom w:val="0"/>
      <w:divBdr>
        <w:top w:val="none" w:sz="0" w:space="0" w:color="auto"/>
        <w:left w:val="none" w:sz="0" w:space="0" w:color="auto"/>
        <w:bottom w:val="none" w:sz="0" w:space="0" w:color="auto"/>
        <w:right w:val="none" w:sz="0" w:space="0" w:color="auto"/>
      </w:divBdr>
    </w:div>
    <w:div w:id="1037655094">
      <w:bodyDiv w:val="1"/>
      <w:marLeft w:val="0"/>
      <w:marRight w:val="0"/>
      <w:marTop w:val="0"/>
      <w:marBottom w:val="0"/>
      <w:divBdr>
        <w:top w:val="none" w:sz="0" w:space="0" w:color="auto"/>
        <w:left w:val="none" w:sz="0" w:space="0" w:color="auto"/>
        <w:bottom w:val="none" w:sz="0" w:space="0" w:color="auto"/>
        <w:right w:val="none" w:sz="0" w:space="0" w:color="auto"/>
      </w:divBdr>
    </w:div>
    <w:div w:id="1037702930">
      <w:bodyDiv w:val="1"/>
      <w:marLeft w:val="0"/>
      <w:marRight w:val="0"/>
      <w:marTop w:val="0"/>
      <w:marBottom w:val="0"/>
      <w:divBdr>
        <w:top w:val="none" w:sz="0" w:space="0" w:color="auto"/>
        <w:left w:val="none" w:sz="0" w:space="0" w:color="auto"/>
        <w:bottom w:val="none" w:sz="0" w:space="0" w:color="auto"/>
        <w:right w:val="none" w:sz="0" w:space="0" w:color="auto"/>
      </w:divBdr>
    </w:div>
    <w:div w:id="1037894612">
      <w:bodyDiv w:val="1"/>
      <w:marLeft w:val="0"/>
      <w:marRight w:val="0"/>
      <w:marTop w:val="0"/>
      <w:marBottom w:val="0"/>
      <w:divBdr>
        <w:top w:val="none" w:sz="0" w:space="0" w:color="auto"/>
        <w:left w:val="none" w:sz="0" w:space="0" w:color="auto"/>
        <w:bottom w:val="none" w:sz="0" w:space="0" w:color="auto"/>
        <w:right w:val="none" w:sz="0" w:space="0" w:color="auto"/>
      </w:divBdr>
    </w:div>
    <w:div w:id="1037894786">
      <w:bodyDiv w:val="1"/>
      <w:marLeft w:val="0"/>
      <w:marRight w:val="0"/>
      <w:marTop w:val="0"/>
      <w:marBottom w:val="0"/>
      <w:divBdr>
        <w:top w:val="none" w:sz="0" w:space="0" w:color="auto"/>
        <w:left w:val="none" w:sz="0" w:space="0" w:color="auto"/>
        <w:bottom w:val="none" w:sz="0" w:space="0" w:color="auto"/>
        <w:right w:val="none" w:sz="0" w:space="0" w:color="auto"/>
      </w:divBdr>
    </w:div>
    <w:div w:id="1037900495">
      <w:bodyDiv w:val="1"/>
      <w:marLeft w:val="0"/>
      <w:marRight w:val="0"/>
      <w:marTop w:val="0"/>
      <w:marBottom w:val="0"/>
      <w:divBdr>
        <w:top w:val="none" w:sz="0" w:space="0" w:color="auto"/>
        <w:left w:val="none" w:sz="0" w:space="0" w:color="auto"/>
        <w:bottom w:val="none" w:sz="0" w:space="0" w:color="auto"/>
        <w:right w:val="none" w:sz="0" w:space="0" w:color="auto"/>
      </w:divBdr>
    </w:div>
    <w:div w:id="1038049053">
      <w:bodyDiv w:val="1"/>
      <w:marLeft w:val="0"/>
      <w:marRight w:val="0"/>
      <w:marTop w:val="0"/>
      <w:marBottom w:val="0"/>
      <w:divBdr>
        <w:top w:val="none" w:sz="0" w:space="0" w:color="auto"/>
        <w:left w:val="none" w:sz="0" w:space="0" w:color="auto"/>
        <w:bottom w:val="none" w:sz="0" w:space="0" w:color="auto"/>
        <w:right w:val="none" w:sz="0" w:space="0" w:color="auto"/>
      </w:divBdr>
    </w:div>
    <w:div w:id="1038166911">
      <w:bodyDiv w:val="1"/>
      <w:marLeft w:val="0"/>
      <w:marRight w:val="0"/>
      <w:marTop w:val="0"/>
      <w:marBottom w:val="0"/>
      <w:divBdr>
        <w:top w:val="none" w:sz="0" w:space="0" w:color="auto"/>
        <w:left w:val="none" w:sz="0" w:space="0" w:color="auto"/>
        <w:bottom w:val="none" w:sz="0" w:space="0" w:color="auto"/>
        <w:right w:val="none" w:sz="0" w:space="0" w:color="auto"/>
      </w:divBdr>
    </w:div>
    <w:div w:id="1038242643">
      <w:bodyDiv w:val="1"/>
      <w:marLeft w:val="0"/>
      <w:marRight w:val="0"/>
      <w:marTop w:val="0"/>
      <w:marBottom w:val="0"/>
      <w:divBdr>
        <w:top w:val="none" w:sz="0" w:space="0" w:color="auto"/>
        <w:left w:val="none" w:sz="0" w:space="0" w:color="auto"/>
        <w:bottom w:val="none" w:sz="0" w:space="0" w:color="auto"/>
        <w:right w:val="none" w:sz="0" w:space="0" w:color="auto"/>
      </w:divBdr>
    </w:div>
    <w:div w:id="1038581534">
      <w:bodyDiv w:val="1"/>
      <w:marLeft w:val="0"/>
      <w:marRight w:val="0"/>
      <w:marTop w:val="0"/>
      <w:marBottom w:val="0"/>
      <w:divBdr>
        <w:top w:val="none" w:sz="0" w:space="0" w:color="auto"/>
        <w:left w:val="none" w:sz="0" w:space="0" w:color="auto"/>
        <w:bottom w:val="none" w:sz="0" w:space="0" w:color="auto"/>
        <w:right w:val="none" w:sz="0" w:space="0" w:color="auto"/>
      </w:divBdr>
    </w:div>
    <w:div w:id="1038745971">
      <w:bodyDiv w:val="1"/>
      <w:marLeft w:val="0"/>
      <w:marRight w:val="0"/>
      <w:marTop w:val="0"/>
      <w:marBottom w:val="0"/>
      <w:divBdr>
        <w:top w:val="none" w:sz="0" w:space="0" w:color="auto"/>
        <w:left w:val="none" w:sz="0" w:space="0" w:color="auto"/>
        <w:bottom w:val="none" w:sz="0" w:space="0" w:color="auto"/>
        <w:right w:val="none" w:sz="0" w:space="0" w:color="auto"/>
      </w:divBdr>
    </w:div>
    <w:div w:id="1038774867">
      <w:bodyDiv w:val="1"/>
      <w:marLeft w:val="0"/>
      <w:marRight w:val="0"/>
      <w:marTop w:val="0"/>
      <w:marBottom w:val="0"/>
      <w:divBdr>
        <w:top w:val="none" w:sz="0" w:space="0" w:color="auto"/>
        <w:left w:val="none" w:sz="0" w:space="0" w:color="auto"/>
        <w:bottom w:val="none" w:sz="0" w:space="0" w:color="auto"/>
        <w:right w:val="none" w:sz="0" w:space="0" w:color="auto"/>
      </w:divBdr>
    </w:div>
    <w:div w:id="1038892463">
      <w:bodyDiv w:val="1"/>
      <w:marLeft w:val="0"/>
      <w:marRight w:val="0"/>
      <w:marTop w:val="0"/>
      <w:marBottom w:val="0"/>
      <w:divBdr>
        <w:top w:val="none" w:sz="0" w:space="0" w:color="auto"/>
        <w:left w:val="none" w:sz="0" w:space="0" w:color="auto"/>
        <w:bottom w:val="none" w:sz="0" w:space="0" w:color="auto"/>
        <w:right w:val="none" w:sz="0" w:space="0" w:color="auto"/>
      </w:divBdr>
    </w:div>
    <w:div w:id="1039089997">
      <w:bodyDiv w:val="1"/>
      <w:marLeft w:val="0"/>
      <w:marRight w:val="0"/>
      <w:marTop w:val="0"/>
      <w:marBottom w:val="0"/>
      <w:divBdr>
        <w:top w:val="none" w:sz="0" w:space="0" w:color="auto"/>
        <w:left w:val="none" w:sz="0" w:space="0" w:color="auto"/>
        <w:bottom w:val="none" w:sz="0" w:space="0" w:color="auto"/>
        <w:right w:val="none" w:sz="0" w:space="0" w:color="auto"/>
      </w:divBdr>
    </w:div>
    <w:div w:id="1039358029">
      <w:bodyDiv w:val="1"/>
      <w:marLeft w:val="0"/>
      <w:marRight w:val="0"/>
      <w:marTop w:val="0"/>
      <w:marBottom w:val="0"/>
      <w:divBdr>
        <w:top w:val="none" w:sz="0" w:space="0" w:color="auto"/>
        <w:left w:val="none" w:sz="0" w:space="0" w:color="auto"/>
        <w:bottom w:val="none" w:sz="0" w:space="0" w:color="auto"/>
        <w:right w:val="none" w:sz="0" w:space="0" w:color="auto"/>
      </w:divBdr>
    </w:div>
    <w:div w:id="1039624638">
      <w:bodyDiv w:val="1"/>
      <w:marLeft w:val="0"/>
      <w:marRight w:val="0"/>
      <w:marTop w:val="0"/>
      <w:marBottom w:val="0"/>
      <w:divBdr>
        <w:top w:val="none" w:sz="0" w:space="0" w:color="auto"/>
        <w:left w:val="none" w:sz="0" w:space="0" w:color="auto"/>
        <w:bottom w:val="none" w:sz="0" w:space="0" w:color="auto"/>
        <w:right w:val="none" w:sz="0" w:space="0" w:color="auto"/>
      </w:divBdr>
    </w:div>
    <w:div w:id="1039668231">
      <w:bodyDiv w:val="1"/>
      <w:marLeft w:val="0"/>
      <w:marRight w:val="0"/>
      <w:marTop w:val="0"/>
      <w:marBottom w:val="0"/>
      <w:divBdr>
        <w:top w:val="none" w:sz="0" w:space="0" w:color="auto"/>
        <w:left w:val="none" w:sz="0" w:space="0" w:color="auto"/>
        <w:bottom w:val="none" w:sz="0" w:space="0" w:color="auto"/>
        <w:right w:val="none" w:sz="0" w:space="0" w:color="auto"/>
      </w:divBdr>
    </w:div>
    <w:div w:id="1039668811">
      <w:bodyDiv w:val="1"/>
      <w:marLeft w:val="0"/>
      <w:marRight w:val="0"/>
      <w:marTop w:val="0"/>
      <w:marBottom w:val="0"/>
      <w:divBdr>
        <w:top w:val="none" w:sz="0" w:space="0" w:color="auto"/>
        <w:left w:val="none" w:sz="0" w:space="0" w:color="auto"/>
        <w:bottom w:val="none" w:sz="0" w:space="0" w:color="auto"/>
        <w:right w:val="none" w:sz="0" w:space="0" w:color="auto"/>
      </w:divBdr>
    </w:div>
    <w:div w:id="1039738926">
      <w:bodyDiv w:val="1"/>
      <w:marLeft w:val="0"/>
      <w:marRight w:val="0"/>
      <w:marTop w:val="0"/>
      <w:marBottom w:val="0"/>
      <w:divBdr>
        <w:top w:val="none" w:sz="0" w:space="0" w:color="auto"/>
        <w:left w:val="none" w:sz="0" w:space="0" w:color="auto"/>
        <w:bottom w:val="none" w:sz="0" w:space="0" w:color="auto"/>
        <w:right w:val="none" w:sz="0" w:space="0" w:color="auto"/>
      </w:divBdr>
    </w:div>
    <w:div w:id="1040126533">
      <w:bodyDiv w:val="1"/>
      <w:marLeft w:val="0"/>
      <w:marRight w:val="0"/>
      <w:marTop w:val="0"/>
      <w:marBottom w:val="0"/>
      <w:divBdr>
        <w:top w:val="none" w:sz="0" w:space="0" w:color="auto"/>
        <w:left w:val="none" w:sz="0" w:space="0" w:color="auto"/>
        <w:bottom w:val="none" w:sz="0" w:space="0" w:color="auto"/>
        <w:right w:val="none" w:sz="0" w:space="0" w:color="auto"/>
      </w:divBdr>
    </w:div>
    <w:div w:id="1040401559">
      <w:bodyDiv w:val="1"/>
      <w:marLeft w:val="0"/>
      <w:marRight w:val="0"/>
      <w:marTop w:val="0"/>
      <w:marBottom w:val="0"/>
      <w:divBdr>
        <w:top w:val="none" w:sz="0" w:space="0" w:color="auto"/>
        <w:left w:val="none" w:sz="0" w:space="0" w:color="auto"/>
        <w:bottom w:val="none" w:sz="0" w:space="0" w:color="auto"/>
        <w:right w:val="none" w:sz="0" w:space="0" w:color="auto"/>
      </w:divBdr>
    </w:div>
    <w:div w:id="1040470354">
      <w:bodyDiv w:val="1"/>
      <w:marLeft w:val="0"/>
      <w:marRight w:val="0"/>
      <w:marTop w:val="0"/>
      <w:marBottom w:val="0"/>
      <w:divBdr>
        <w:top w:val="none" w:sz="0" w:space="0" w:color="auto"/>
        <w:left w:val="none" w:sz="0" w:space="0" w:color="auto"/>
        <w:bottom w:val="none" w:sz="0" w:space="0" w:color="auto"/>
        <w:right w:val="none" w:sz="0" w:space="0" w:color="auto"/>
      </w:divBdr>
    </w:div>
    <w:div w:id="1040515875">
      <w:bodyDiv w:val="1"/>
      <w:marLeft w:val="0"/>
      <w:marRight w:val="0"/>
      <w:marTop w:val="0"/>
      <w:marBottom w:val="0"/>
      <w:divBdr>
        <w:top w:val="none" w:sz="0" w:space="0" w:color="auto"/>
        <w:left w:val="none" w:sz="0" w:space="0" w:color="auto"/>
        <w:bottom w:val="none" w:sz="0" w:space="0" w:color="auto"/>
        <w:right w:val="none" w:sz="0" w:space="0" w:color="auto"/>
      </w:divBdr>
    </w:div>
    <w:div w:id="1040590442">
      <w:bodyDiv w:val="1"/>
      <w:marLeft w:val="0"/>
      <w:marRight w:val="0"/>
      <w:marTop w:val="0"/>
      <w:marBottom w:val="0"/>
      <w:divBdr>
        <w:top w:val="none" w:sz="0" w:space="0" w:color="auto"/>
        <w:left w:val="none" w:sz="0" w:space="0" w:color="auto"/>
        <w:bottom w:val="none" w:sz="0" w:space="0" w:color="auto"/>
        <w:right w:val="none" w:sz="0" w:space="0" w:color="auto"/>
      </w:divBdr>
    </w:div>
    <w:div w:id="1040714730">
      <w:bodyDiv w:val="1"/>
      <w:marLeft w:val="0"/>
      <w:marRight w:val="0"/>
      <w:marTop w:val="0"/>
      <w:marBottom w:val="0"/>
      <w:divBdr>
        <w:top w:val="none" w:sz="0" w:space="0" w:color="auto"/>
        <w:left w:val="none" w:sz="0" w:space="0" w:color="auto"/>
        <w:bottom w:val="none" w:sz="0" w:space="0" w:color="auto"/>
        <w:right w:val="none" w:sz="0" w:space="0" w:color="auto"/>
      </w:divBdr>
    </w:div>
    <w:div w:id="1040739862">
      <w:bodyDiv w:val="1"/>
      <w:marLeft w:val="0"/>
      <w:marRight w:val="0"/>
      <w:marTop w:val="0"/>
      <w:marBottom w:val="0"/>
      <w:divBdr>
        <w:top w:val="none" w:sz="0" w:space="0" w:color="auto"/>
        <w:left w:val="none" w:sz="0" w:space="0" w:color="auto"/>
        <w:bottom w:val="none" w:sz="0" w:space="0" w:color="auto"/>
        <w:right w:val="none" w:sz="0" w:space="0" w:color="auto"/>
      </w:divBdr>
    </w:div>
    <w:div w:id="1040739981">
      <w:bodyDiv w:val="1"/>
      <w:marLeft w:val="0"/>
      <w:marRight w:val="0"/>
      <w:marTop w:val="0"/>
      <w:marBottom w:val="0"/>
      <w:divBdr>
        <w:top w:val="none" w:sz="0" w:space="0" w:color="auto"/>
        <w:left w:val="none" w:sz="0" w:space="0" w:color="auto"/>
        <w:bottom w:val="none" w:sz="0" w:space="0" w:color="auto"/>
        <w:right w:val="none" w:sz="0" w:space="0" w:color="auto"/>
      </w:divBdr>
    </w:div>
    <w:div w:id="1040856887">
      <w:bodyDiv w:val="1"/>
      <w:marLeft w:val="0"/>
      <w:marRight w:val="0"/>
      <w:marTop w:val="0"/>
      <w:marBottom w:val="0"/>
      <w:divBdr>
        <w:top w:val="none" w:sz="0" w:space="0" w:color="auto"/>
        <w:left w:val="none" w:sz="0" w:space="0" w:color="auto"/>
        <w:bottom w:val="none" w:sz="0" w:space="0" w:color="auto"/>
        <w:right w:val="none" w:sz="0" w:space="0" w:color="auto"/>
      </w:divBdr>
    </w:div>
    <w:div w:id="1040981547">
      <w:bodyDiv w:val="1"/>
      <w:marLeft w:val="0"/>
      <w:marRight w:val="0"/>
      <w:marTop w:val="0"/>
      <w:marBottom w:val="0"/>
      <w:divBdr>
        <w:top w:val="none" w:sz="0" w:space="0" w:color="auto"/>
        <w:left w:val="none" w:sz="0" w:space="0" w:color="auto"/>
        <w:bottom w:val="none" w:sz="0" w:space="0" w:color="auto"/>
        <w:right w:val="none" w:sz="0" w:space="0" w:color="auto"/>
      </w:divBdr>
    </w:div>
    <w:div w:id="1041049824">
      <w:bodyDiv w:val="1"/>
      <w:marLeft w:val="0"/>
      <w:marRight w:val="0"/>
      <w:marTop w:val="0"/>
      <w:marBottom w:val="0"/>
      <w:divBdr>
        <w:top w:val="none" w:sz="0" w:space="0" w:color="auto"/>
        <w:left w:val="none" w:sz="0" w:space="0" w:color="auto"/>
        <w:bottom w:val="none" w:sz="0" w:space="0" w:color="auto"/>
        <w:right w:val="none" w:sz="0" w:space="0" w:color="auto"/>
      </w:divBdr>
    </w:div>
    <w:div w:id="1041124815">
      <w:bodyDiv w:val="1"/>
      <w:marLeft w:val="0"/>
      <w:marRight w:val="0"/>
      <w:marTop w:val="0"/>
      <w:marBottom w:val="0"/>
      <w:divBdr>
        <w:top w:val="none" w:sz="0" w:space="0" w:color="auto"/>
        <w:left w:val="none" w:sz="0" w:space="0" w:color="auto"/>
        <w:bottom w:val="none" w:sz="0" w:space="0" w:color="auto"/>
        <w:right w:val="none" w:sz="0" w:space="0" w:color="auto"/>
      </w:divBdr>
    </w:div>
    <w:div w:id="1041133408">
      <w:bodyDiv w:val="1"/>
      <w:marLeft w:val="0"/>
      <w:marRight w:val="0"/>
      <w:marTop w:val="0"/>
      <w:marBottom w:val="0"/>
      <w:divBdr>
        <w:top w:val="none" w:sz="0" w:space="0" w:color="auto"/>
        <w:left w:val="none" w:sz="0" w:space="0" w:color="auto"/>
        <w:bottom w:val="none" w:sz="0" w:space="0" w:color="auto"/>
        <w:right w:val="none" w:sz="0" w:space="0" w:color="auto"/>
      </w:divBdr>
    </w:div>
    <w:div w:id="1041200624">
      <w:bodyDiv w:val="1"/>
      <w:marLeft w:val="0"/>
      <w:marRight w:val="0"/>
      <w:marTop w:val="0"/>
      <w:marBottom w:val="0"/>
      <w:divBdr>
        <w:top w:val="none" w:sz="0" w:space="0" w:color="auto"/>
        <w:left w:val="none" w:sz="0" w:space="0" w:color="auto"/>
        <w:bottom w:val="none" w:sz="0" w:space="0" w:color="auto"/>
        <w:right w:val="none" w:sz="0" w:space="0" w:color="auto"/>
      </w:divBdr>
    </w:div>
    <w:div w:id="1041322058">
      <w:bodyDiv w:val="1"/>
      <w:marLeft w:val="0"/>
      <w:marRight w:val="0"/>
      <w:marTop w:val="0"/>
      <w:marBottom w:val="0"/>
      <w:divBdr>
        <w:top w:val="none" w:sz="0" w:space="0" w:color="auto"/>
        <w:left w:val="none" w:sz="0" w:space="0" w:color="auto"/>
        <w:bottom w:val="none" w:sz="0" w:space="0" w:color="auto"/>
        <w:right w:val="none" w:sz="0" w:space="0" w:color="auto"/>
      </w:divBdr>
    </w:div>
    <w:div w:id="1041396068">
      <w:bodyDiv w:val="1"/>
      <w:marLeft w:val="0"/>
      <w:marRight w:val="0"/>
      <w:marTop w:val="0"/>
      <w:marBottom w:val="0"/>
      <w:divBdr>
        <w:top w:val="none" w:sz="0" w:space="0" w:color="auto"/>
        <w:left w:val="none" w:sz="0" w:space="0" w:color="auto"/>
        <w:bottom w:val="none" w:sz="0" w:space="0" w:color="auto"/>
        <w:right w:val="none" w:sz="0" w:space="0" w:color="auto"/>
      </w:divBdr>
    </w:div>
    <w:div w:id="1041445566">
      <w:bodyDiv w:val="1"/>
      <w:marLeft w:val="0"/>
      <w:marRight w:val="0"/>
      <w:marTop w:val="0"/>
      <w:marBottom w:val="0"/>
      <w:divBdr>
        <w:top w:val="none" w:sz="0" w:space="0" w:color="auto"/>
        <w:left w:val="none" w:sz="0" w:space="0" w:color="auto"/>
        <w:bottom w:val="none" w:sz="0" w:space="0" w:color="auto"/>
        <w:right w:val="none" w:sz="0" w:space="0" w:color="auto"/>
      </w:divBdr>
    </w:div>
    <w:div w:id="1041636720">
      <w:bodyDiv w:val="1"/>
      <w:marLeft w:val="0"/>
      <w:marRight w:val="0"/>
      <w:marTop w:val="0"/>
      <w:marBottom w:val="0"/>
      <w:divBdr>
        <w:top w:val="none" w:sz="0" w:space="0" w:color="auto"/>
        <w:left w:val="none" w:sz="0" w:space="0" w:color="auto"/>
        <w:bottom w:val="none" w:sz="0" w:space="0" w:color="auto"/>
        <w:right w:val="none" w:sz="0" w:space="0" w:color="auto"/>
      </w:divBdr>
    </w:div>
    <w:div w:id="1041708795">
      <w:bodyDiv w:val="1"/>
      <w:marLeft w:val="0"/>
      <w:marRight w:val="0"/>
      <w:marTop w:val="0"/>
      <w:marBottom w:val="0"/>
      <w:divBdr>
        <w:top w:val="none" w:sz="0" w:space="0" w:color="auto"/>
        <w:left w:val="none" w:sz="0" w:space="0" w:color="auto"/>
        <w:bottom w:val="none" w:sz="0" w:space="0" w:color="auto"/>
        <w:right w:val="none" w:sz="0" w:space="0" w:color="auto"/>
      </w:divBdr>
    </w:div>
    <w:div w:id="1041785802">
      <w:bodyDiv w:val="1"/>
      <w:marLeft w:val="0"/>
      <w:marRight w:val="0"/>
      <w:marTop w:val="0"/>
      <w:marBottom w:val="0"/>
      <w:divBdr>
        <w:top w:val="none" w:sz="0" w:space="0" w:color="auto"/>
        <w:left w:val="none" w:sz="0" w:space="0" w:color="auto"/>
        <w:bottom w:val="none" w:sz="0" w:space="0" w:color="auto"/>
        <w:right w:val="none" w:sz="0" w:space="0" w:color="auto"/>
      </w:divBdr>
    </w:div>
    <w:div w:id="1041975830">
      <w:bodyDiv w:val="1"/>
      <w:marLeft w:val="0"/>
      <w:marRight w:val="0"/>
      <w:marTop w:val="0"/>
      <w:marBottom w:val="0"/>
      <w:divBdr>
        <w:top w:val="none" w:sz="0" w:space="0" w:color="auto"/>
        <w:left w:val="none" w:sz="0" w:space="0" w:color="auto"/>
        <w:bottom w:val="none" w:sz="0" w:space="0" w:color="auto"/>
        <w:right w:val="none" w:sz="0" w:space="0" w:color="auto"/>
      </w:divBdr>
    </w:div>
    <w:div w:id="1042023891">
      <w:bodyDiv w:val="1"/>
      <w:marLeft w:val="0"/>
      <w:marRight w:val="0"/>
      <w:marTop w:val="0"/>
      <w:marBottom w:val="0"/>
      <w:divBdr>
        <w:top w:val="none" w:sz="0" w:space="0" w:color="auto"/>
        <w:left w:val="none" w:sz="0" w:space="0" w:color="auto"/>
        <w:bottom w:val="none" w:sz="0" w:space="0" w:color="auto"/>
        <w:right w:val="none" w:sz="0" w:space="0" w:color="auto"/>
      </w:divBdr>
    </w:div>
    <w:div w:id="1042099276">
      <w:bodyDiv w:val="1"/>
      <w:marLeft w:val="0"/>
      <w:marRight w:val="0"/>
      <w:marTop w:val="0"/>
      <w:marBottom w:val="0"/>
      <w:divBdr>
        <w:top w:val="none" w:sz="0" w:space="0" w:color="auto"/>
        <w:left w:val="none" w:sz="0" w:space="0" w:color="auto"/>
        <w:bottom w:val="none" w:sz="0" w:space="0" w:color="auto"/>
        <w:right w:val="none" w:sz="0" w:space="0" w:color="auto"/>
      </w:divBdr>
    </w:div>
    <w:div w:id="1042363233">
      <w:bodyDiv w:val="1"/>
      <w:marLeft w:val="0"/>
      <w:marRight w:val="0"/>
      <w:marTop w:val="0"/>
      <w:marBottom w:val="0"/>
      <w:divBdr>
        <w:top w:val="none" w:sz="0" w:space="0" w:color="auto"/>
        <w:left w:val="none" w:sz="0" w:space="0" w:color="auto"/>
        <w:bottom w:val="none" w:sz="0" w:space="0" w:color="auto"/>
        <w:right w:val="none" w:sz="0" w:space="0" w:color="auto"/>
      </w:divBdr>
    </w:div>
    <w:div w:id="1042629714">
      <w:bodyDiv w:val="1"/>
      <w:marLeft w:val="0"/>
      <w:marRight w:val="0"/>
      <w:marTop w:val="0"/>
      <w:marBottom w:val="0"/>
      <w:divBdr>
        <w:top w:val="none" w:sz="0" w:space="0" w:color="auto"/>
        <w:left w:val="none" w:sz="0" w:space="0" w:color="auto"/>
        <w:bottom w:val="none" w:sz="0" w:space="0" w:color="auto"/>
        <w:right w:val="none" w:sz="0" w:space="0" w:color="auto"/>
      </w:divBdr>
    </w:div>
    <w:div w:id="1042631505">
      <w:bodyDiv w:val="1"/>
      <w:marLeft w:val="0"/>
      <w:marRight w:val="0"/>
      <w:marTop w:val="0"/>
      <w:marBottom w:val="0"/>
      <w:divBdr>
        <w:top w:val="none" w:sz="0" w:space="0" w:color="auto"/>
        <w:left w:val="none" w:sz="0" w:space="0" w:color="auto"/>
        <w:bottom w:val="none" w:sz="0" w:space="0" w:color="auto"/>
        <w:right w:val="none" w:sz="0" w:space="0" w:color="auto"/>
      </w:divBdr>
    </w:div>
    <w:div w:id="1042680598">
      <w:bodyDiv w:val="1"/>
      <w:marLeft w:val="0"/>
      <w:marRight w:val="0"/>
      <w:marTop w:val="0"/>
      <w:marBottom w:val="0"/>
      <w:divBdr>
        <w:top w:val="none" w:sz="0" w:space="0" w:color="auto"/>
        <w:left w:val="none" w:sz="0" w:space="0" w:color="auto"/>
        <w:bottom w:val="none" w:sz="0" w:space="0" w:color="auto"/>
        <w:right w:val="none" w:sz="0" w:space="0" w:color="auto"/>
      </w:divBdr>
    </w:div>
    <w:div w:id="1042830074">
      <w:bodyDiv w:val="1"/>
      <w:marLeft w:val="0"/>
      <w:marRight w:val="0"/>
      <w:marTop w:val="0"/>
      <w:marBottom w:val="0"/>
      <w:divBdr>
        <w:top w:val="none" w:sz="0" w:space="0" w:color="auto"/>
        <w:left w:val="none" w:sz="0" w:space="0" w:color="auto"/>
        <w:bottom w:val="none" w:sz="0" w:space="0" w:color="auto"/>
        <w:right w:val="none" w:sz="0" w:space="0" w:color="auto"/>
      </w:divBdr>
    </w:div>
    <w:div w:id="1042903781">
      <w:bodyDiv w:val="1"/>
      <w:marLeft w:val="0"/>
      <w:marRight w:val="0"/>
      <w:marTop w:val="0"/>
      <w:marBottom w:val="0"/>
      <w:divBdr>
        <w:top w:val="none" w:sz="0" w:space="0" w:color="auto"/>
        <w:left w:val="none" w:sz="0" w:space="0" w:color="auto"/>
        <w:bottom w:val="none" w:sz="0" w:space="0" w:color="auto"/>
        <w:right w:val="none" w:sz="0" w:space="0" w:color="auto"/>
      </w:divBdr>
    </w:div>
    <w:div w:id="1042940605">
      <w:bodyDiv w:val="1"/>
      <w:marLeft w:val="0"/>
      <w:marRight w:val="0"/>
      <w:marTop w:val="0"/>
      <w:marBottom w:val="0"/>
      <w:divBdr>
        <w:top w:val="none" w:sz="0" w:space="0" w:color="auto"/>
        <w:left w:val="none" w:sz="0" w:space="0" w:color="auto"/>
        <w:bottom w:val="none" w:sz="0" w:space="0" w:color="auto"/>
        <w:right w:val="none" w:sz="0" w:space="0" w:color="auto"/>
      </w:divBdr>
    </w:div>
    <w:div w:id="1043672777">
      <w:bodyDiv w:val="1"/>
      <w:marLeft w:val="0"/>
      <w:marRight w:val="0"/>
      <w:marTop w:val="0"/>
      <w:marBottom w:val="0"/>
      <w:divBdr>
        <w:top w:val="none" w:sz="0" w:space="0" w:color="auto"/>
        <w:left w:val="none" w:sz="0" w:space="0" w:color="auto"/>
        <w:bottom w:val="none" w:sz="0" w:space="0" w:color="auto"/>
        <w:right w:val="none" w:sz="0" w:space="0" w:color="auto"/>
      </w:divBdr>
    </w:div>
    <w:div w:id="1043749238">
      <w:bodyDiv w:val="1"/>
      <w:marLeft w:val="0"/>
      <w:marRight w:val="0"/>
      <w:marTop w:val="0"/>
      <w:marBottom w:val="0"/>
      <w:divBdr>
        <w:top w:val="none" w:sz="0" w:space="0" w:color="auto"/>
        <w:left w:val="none" w:sz="0" w:space="0" w:color="auto"/>
        <w:bottom w:val="none" w:sz="0" w:space="0" w:color="auto"/>
        <w:right w:val="none" w:sz="0" w:space="0" w:color="auto"/>
      </w:divBdr>
    </w:div>
    <w:div w:id="1043755319">
      <w:bodyDiv w:val="1"/>
      <w:marLeft w:val="0"/>
      <w:marRight w:val="0"/>
      <w:marTop w:val="0"/>
      <w:marBottom w:val="0"/>
      <w:divBdr>
        <w:top w:val="none" w:sz="0" w:space="0" w:color="auto"/>
        <w:left w:val="none" w:sz="0" w:space="0" w:color="auto"/>
        <w:bottom w:val="none" w:sz="0" w:space="0" w:color="auto"/>
        <w:right w:val="none" w:sz="0" w:space="0" w:color="auto"/>
      </w:divBdr>
    </w:div>
    <w:div w:id="1044063118">
      <w:bodyDiv w:val="1"/>
      <w:marLeft w:val="0"/>
      <w:marRight w:val="0"/>
      <w:marTop w:val="0"/>
      <w:marBottom w:val="0"/>
      <w:divBdr>
        <w:top w:val="none" w:sz="0" w:space="0" w:color="auto"/>
        <w:left w:val="none" w:sz="0" w:space="0" w:color="auto"/>
        <w:bottom w:val="none" w:sz="0" w:space="0" w:color="auto"/>
        <w:right w:val="none" w:sz="0" w:space="0" w:color="auto"/>
      </w:divBdr>
    </w:div>
    <w:div w:id="1044065796">
      <w:bodyDiv w:val="1"/>
      <w:marLeft w:val="0"/>
      <w:marRight w:val="0"/>
      <w:marTop w:val="0"/>
      <w:marBottom w:val="0"/>
      <w:divBdr>
        <w:top w:val="none" w:sz="0" w:space="0" w:color="auto"/>
        <w:left w:val="none" w:sz="0" w:space="0" w:color="auto"/>
        <w:bottom w:val="none" w:sz="0" w:space="0" w:color="auto"/>
        <w:right w:val="none" w:sz="0" w:space="0" w:color="auto"/>
      </w:divBdr>
    </w:div>
    <w:div w:id="1044136539">
      <w:bodyDiv w:val="1"/>
      <w:marLeft w:val="0"/>
      <w:marRight w:val="0"/>
      <w:marTop w:val="0"/>
      <w:marBottom w:val="0"/>
      <w:divBdr>
        <w:top w:val="none" w:sz="0" w:space="0" w:color="auto"/>
        <w:left w:val="none" w:sz="0" w:space="0" w:color="auto"/>
        <w:bottom w:val="none" w:sz="0" w:space="0" w:color="auto"/>
        <w:right w:val="none" w:sz="0" w:space="0" w:color="auto"/>
      </w:divBdr>
    </w:div>
    <w:div w:id="1044255385">
      <w:bodyDiv w:val="1"/>
      <w:marLeft w:val="0"/>
      <w:marRight w:val="0"/>
      <w:marTop w:val="0"/>
      <w:marBottom w:val="0"/>
      <w:divBdr>
        <w:top w:val="none" w:sz="0" w:space="0" w:color="auto"/>
        <w:left w:val="none" w:sz="0" w:space="0" w:color="auto"/>
        <w:bottom w:val="none" w:sz="0" w:space="0" w:color="auto"/>
        <w:right w:val="none" w:sz="0" w:space="0" w:color="auto"/>
      </w:divBdr>
    </w:div>
    <w:div w:id="1044867411">
      <w:bodyDiv w:val="1"/>
      <w:marLeft w:val="0"/>
      <w:marRight w:val="0"/>
      <w:marTop w:val="0"/>
      <w:marBottom w:val="0"/>
      <w:divBdr>
        <w:top w:val="none" w:sz="0" w:space="0" w:color="auto"/>
        <w:left w:val="none" w:sz="0" w:space="0" w:color="auto"/>
        <w:bottom w:val="none" w:sz="0" w:space="0" w:color="auto"/>
        <w:right w:val="none" w:sz="0" w:space="0" w:color="auto"/>
      </w:divBdr>
    </w:div>
    <w:div w:id="1045059824">
      <w:bodyDiv w:val="1"/>
      <w:marLeft w:val="0"/>
      <w:marRight w:val="0"/>
      <w:marTop w:val="0"/>
      <w:marBottom w:val="0"/>
      <w:divBdr>
        <w:top w:val="none" w:sz="0" w:space="0" w:color="auto"/>
        <w:left w:val="none" w:sz="0" w:space="0" w:color="auto"/>
        <w:bottom w:val="none" w:sz="0" w:space="0" w:color="auto"/>
        <w:right w:val="none" w:sz="0" w:space="0" w:color="auto"/>
      </w:divBdr>
    </w:div>
    <w:div w:id="1045065687">
      <w:bodyDiv w:val="1"/>
      <w:marLeft w:val="0"/>
      <w:marRight w:val="0"/>
      <w:marTop w:val="0"/>
      <w:marBottom w:val="0"/>
      <w:divBdr>
        <w:top w:val="none" w:sz="0" w:space="0" w:color="auto"/>
        <w:left w:val="none" w:sz="0" w:space="0" w:color="auto"/>
        <w:bottom w:val="none" w:sz="0" w:space="0" w:color="auto"/>
        <w:right w:val="none" w:sz="0" w:space="0" w:color="auto"/>
      </w:divBdr>
    </w:div>
    <w:div w:id="1045377036">
      <w:bodyDiv w:val="1"/>
      <w:marLeft w:val="0"/>
      <w:marRight w:val="0"/>
      <w:marTop w:val="0"/>
      <w:marBottom w:val="0"/>
      <w:divBdr>
        <w:top w:val="none" w:sz="0" w:space="0" w:color="auto"/>
        <w:left w:val="none" w:sz="0" w:space="0" w:color="auto"/>
        <w:bottom w:val="none" w:sz="0" w:space="0" w:color="auto"/>
        <w:right w:val="none" w:sz="0" w:space="0" w:color="auto"/>
      </w:divBdr>
    </w:div>
    <w:div w:id="1045526305">
      <w:bodyDiv w:val="1"/>
      <w:marLeft w:val="0"/>
      <w:marRight w:val="0"/>
      <w:marTop w:val="0"/>
      <w:marBottom w:val="0"/>
      <w:divBdr>
        <w:top w:val="none" w:sz="0" w:space="0" w:color="auto"/>
        <w:left w:val="none" w:sz="0" w:space="0" w:color="auto"/>
        <w:bottom w:val="none" w:sz="0" w:space="0" w:color="auto"/>
        <w:right w:val="none" w:sz="0" w:space="0" w:color="auto"/>
      </w:divBdr>
    </w:div>
    <w:div w:id="1045567665">
      <w:bodyDiv w:val="1"/>
      <w:marLeft w:val="0"/>
      <w:marRight w:val="0"/>
      <w:marTop w:val="0"/>
      <w:marBottom w:val="0"/>
      <w:divBdr>
        <w:top w:val="none" w:sz="0" w:space="0" w:color="auto"/>
        <w:left w:val="none" w:sz="0" w:space="0" w:color="auto"/>
        <w:bottom w:val="none" w:sz="0" w:space="0" w:color="auto"/>
        <w:right w:val="none" w:sz="0" w:space="0" w:color="auto"/>
      </w:divBdr>
    </w:div>
    <w:div w:id="1045638992">
      <w:bodyDiv w:val="1"/>
      <w:marLeft w:val="0"/>
      <w:marRight w:val="0"/>
      <w:marTop w:val="0"/>
      <w:marBottom w:val="0"/>
      <w:divBdr>
        <w:top w:val="none" w:sz="0" w:space="0" w:color="auto"/>
        <w:left w:val="none" w:sz="0" w:space="0" w:color="auto"/>
        <w:bottom w:val="none" w:sz="0" w:space="0" w:color="auto"/>
        <w:right w:val="none" w:sz="0" w:space="0" w:color="auto"/>
      </w:divBdr>
    </w:div>
    <w:div w:id="1045762619">
      <w:bodyDiv w:val="1"/>
      <w:marLeft w:val="0"/>
      <w:marRight w:val="0"/>
      <w:marTop w:val="0"/>
      <w:marBottom w:val="0"/>
      <w:divBdr>
        <w:top w:val="none" w:sz="0" w:space="0" w:color="auto"/>
        <w:left w:val="none" w:sz="0" w:space="0" w:color="auto"/>
        <w:bottom w:val="none" w:sz="0" w:space="0" w:color="auto"/>
        <w:right w:val="none" w:sz="0" w:space="0" w:color="auto"/>
      </w:divBdr>
    </w:div>
    <w:div w:id="1045981031">
      <w:bodyDiv w:val="1"/>
      <w:marLeft w:val="0"/>
      <w:marRight w:val="0"/>
      <w:marTop w:val="0"/>
      <w:marBottom w:val="0"/>
      <w:divBdr>
        <w:top w:val="none" w:sz="0" w:space="0" w:color="auto"/>
        <w:left w:val="none" w:sz="0" w:space="0" w:color="auto"/>
        <w:bottom w:val="none" w:sz="0" w:space="0" w:color="auto"/>
        <w:right w:val="none" w:sz="0" w:space="0" w:color="auto"/>
      </w:divBdr>
    </w:div>
    <w:div w:id="1045987312">
      <w:bodyDiv w:val="1"/>
      <w:marLeft w:val="0"/>
      <w:marRight w:val="0"/>
      <w:marTop w:val="0"/>
      <w:marBottom w:val="0"/>
      <w:divBdr>
        <w:top w:val="none" w:sz="0" w:space="0" w:color="auto"/>
        <w:left w:val="none" w:sz="0" w:space="0" w:color="auto"/>
        <w:bottom w:val="none" w:sz="0" w:space="0" w:color="auto"/>
        <w:right w:val="none" w:sz="0" w:space="0" w:color="auto"/>
      </w:divBdr>
    </w:div>
    <w:div w:id="1046028236">
      <w:bodyDiv w:val="1"/>
      <w:marLeft w:val="0"/>
      <w:marRight w:val="0"/>
      <w:marTop w:val="0"/>
      <w:marBottom w:val="0"/>
      <w:divBdr>
        <w:top w:val="none" w:sz="0" w:space="0" w:color="auto"/>
        <w:left w:val="none" w:sz="0" w:space="0" w:color="auto"/>
        <w:bottom w:val="none" w:sz="0" w:space="0" w:color="auto"/>
        <w:right w:val="none" w:sz="0" w:space="0" w:color="auto"/>
      </w:divBdr>
    </w:div>
    <w:div w:id="1046028836">
      <w:bodyDiv w:val="1"/>
      <w:marLeft w:val="0"/>
      <w:marRight w:val="0"/>
      <w:marTop w:val="0"/>
      <w:marBottom w:val="0"/>
      <w:divBdr>
        <w:top w:val="none" w:sz="0" w:space="0" w:color="auto"/>
        <w:left w:val="none" w:sz="0" w:space="0" w:color="auto"/>
        <w:bottom w:val="none" w:sz="0" w:space="0" w:color="auto"/>
        <w:right w:val="none" w:sz="0" w:space="0" w:color="auto"/>
      </w:divBdr>
    </w:div>
    <w:div w:id="1046293135">
      <w:bodyDiv w:val="1"/>
      <w:marLeft w:val="0"/>
      <w:marRight w:val="0"/>
      <w:marTop w:val="0"/>
      <w:marBottom w:val="0"/>
      <w:divBdr>
        <w:top w:val="none" w:sz="0" w:space="0" w:color="auto"/>
        <w:left w:val="none" w:sz="0" w:space="0" w:color="auto"/>
        <w:bottom w:val="none" w:sz="0" w:space="0" w:color="auto"/>
        <w:right w:val="none" w:sz="0" w:space="0" w:color="auto"/>
      </w:divBdr>
    </w:div>
    <w:div w:id="1046417667">
      <w:bodyDiv w:val="1"/>
      <w:marLeft w:val="0"/>
      <w:marRight w:val="0"/>
      <w:marTop w:val="0"/>
      <w:marBottom w:val="0"/>
      <w:divBdr>
        <w:top w:val="none" w:sz="0" w:space="0" w:color="auto"/>
        <w:left w:val="none" w:sz="0" w:space="0" w:color="auto"/>
        <w:bottom w:val="none" w:sz="0" w:space="0" w:color="auto"/>
        <w:right w:val="none" w:sz="0" w:space="0" w:color="auto"/>
      </w:divBdr>
    </w:div>
    <w:div w:id="1046444236">
      <w:bodyDiv w:val="1"/>
      <w:marLeft w:val="0"/>
      <w:marRight w:val="0"/>
      <w:marTop w:val="0"/>
      <w:marBottom w:val="0"/>
      <w:divBdr>
        <w:top w:val="none" w:sz="0" w:space="0" w:color="auto"/>
        <w:left w:val="none" w:sz="0" w:space="0" w:color="auto"/>
        <w:bottom w:val="none" w:sz="0" w:space="0" w:color="auto"/>
        <w:right w:val="none" w:sz="0" w:space="0" w:color="auto"/>
      </w:divBdr>
    </w:div>
    <w:div w:id="1046566124">
      <w:bodyDiv w:val="1"/>
      <w:marLeft w:val="0"/>
      <w:marRight w:val="0"/>
      <w:marTop w:val="0"/>
      <w:marBottom w:val="0"/>
      <w:divBdr>
        <w:top w:val="none" w:sz="0" w:space="0" w:color="auto"/>
        <w:left w:val="none" w:sz="0" w:space="0" w:color="auto"/>
        <w:bottom w:val="none" w:sz="0" w:space="0" w:color="auto"/>
        <w:right w:val="none" w:sz="0" w:space="0" w:color="auto"/>
      </w:divBdr>
    </w:div>
    <w:div w:id="1046567865">
      <w:bodyDiv w:val="1"/>
      <w:marLeft w:val="0"/>
      <w:marRight w:val="0"/>
      <w:marTop w:val="0"/>
      <w:marBottom w:val="0"/>
      <w:divBdr>
        <w:top w:val="none" w:sz="0" w:space="0" w:color="auto"/>
        <w:left w:val="none" w:sz="0" w:space="0" w:color="auto"/>
        <w:bottom w:val="none" w:sz="0" w:space="0" w:color="auto"/>
        <w:right w:val="none" w:sz="0" w:space="0" w:color="auto"/>
      </w:divBdr>
    </w:div>
    <w:div w:id="1046679082">
      <w:bodyDiv w:val="1"/>
      <w:marLeft w:val="0"/>
      <w:marRight w:val="0"/>
      <w:marTop w:val="0"/>
      <w:marBottom w:val="0"/>
      <w:divBdr>
        <w:top w:val="none" w:sz="0" w:space="0" w:color="auto"/>
        <w:left w:val="none" w:sz="0" w:space="0" w:color="auto"/>
        <w:bottom w:val="none" w:sz="0" w:space="0" w:color="auto"/>
        <w:right w:val="none" w:sz="0" w:space="0" w:color="auto"/>
      </w:divBdr>
    </w:div>
    <w:div w:id="1046687277">
      <w:bodyDiv w:val="1"/>
      <w:marLeft w:val="0"/>
      <w:marRight w:val="0"/>
      <w:marTop w:val="0"/>
      <w:marBottom w:val="0"/>
      <w:divBdr>
        <w:top w:val="none" w:sz="0" w:space="0" w:color="auto"/>
        <w:left w:val="none" w:sz="0" w:space="0" w:color="auto"/>
        <w:bottom w:val="none" w:sz="0" w:space="0" w:color="auto"/>
        <w:right w:val="none" w:sz="0" w:space="0" w:color="auto"/>
      </w:divBdr>
    </w:div>
    <w:div w:id="1046761653">
      <w:bodyDiv w:val="1"/>
      <w:marLeft w:val="0"/>
      <w:marRight w:val="0"/>
      <w:marTop w:val="0"/>
      <w:marBottom w:val="0"/>
      <w:divBdr>
        <w:top w:val="none" w:sz="0" w:space="0" w:color="auto"/>
        <w:left w:val="none" w:sz="0" w:space="0" w:color="auto"/>
        <w:bottom w:val="none" w:sz="0" w:space="0" w:color="auto"/>
        <w:right w:val="none" w:sz="0" w:space="0" w:color="auto"/>
      </w:divBdr>
    </w:div>
    <w:div w:id="1047024873">
      <w:bodyDiv w:val="1"/>
      <w:marLeft w:val="0"/>
      <w:marRight w:val="0"/>
      <w:marTop w:val="0"/>
      <w:marBottom w:val="0"/>
      <w:divBdr>
        <w:top w:val="none" w:sz="0" w:space="0" w:color="auto"/>
        <w:left w:val="none" w:sz="0" w:space="0" w:color="auto"/>
        <w:bottom w:val="none" w:sz="0" w:space="0" w:color="auto"/>
        <w:right w:val="none" w:sz="0" w:space="0" w:color="auto"/>
      </w:divBdr>
    </w:div>
    <w:div w:id="1047031475">
      <w:bodyDiv w:val="1"/>
      <w:marLeft w:val="0"/>
      <w:marRight w:val="0"/>
      <w:marTop w:val="0"/>
      <w:marBottom w:val="0"/>
      <w:divBdr>
        <w:top w:val="none" w:sz="0" w:space="0" w:color="auto"/>
        <w:left w:val="none" w:sz="0" w:space="0" w:color="auto"/>
        <w:bottom w:val="none" w:sz="0" w:space="0" w:color="auto"/>
        <w:right w:val="none" w:sz="0" w:space="0" w:color="auto"/>
      </w:divBdr>
    </w:div>
    <w:div w:id="1047412249">
      <w:bodyDiv w:val="1"/>
      <w:marLeft w:val="0"/>
      <w:marRight w:val="0"/>
      <w:marTop w:val="0"/>
      <w:marBottom w:val="0"/>
      <w:divBdr>
        <w:top w:val="none" w:sz="0" w:space="0" w:color="auto"/>
        <w:left w:val="none" w:sz="0" w:space="0" w:color="auto"/>
        <w:bottom w:val="none" w:sz="0" w:space="0" w:color="auto"/>
        <w:right w:val="none" w:sz="0" w:space="0" w:color="auto"/>
      </w:divBdr>
    </w:div>
    <w:div w:id="1047795950">
      <w:bodyDiv w:val="1"/>
      <w:marLeft w:val="0"/>
      <w:marRight w:val="0"/>
      <w:marTop w:val="0"/>
      <w:marBottom w:val="0"/>
      <w:divBdr>
        <w:top w:val="none" w:sz="0" w:space="0" w:color="auto"/>
        <w:left w:val="none" w:sz="0" w:space="0" w:color="auto"/>
        <w:bottom w:val="none" w:sz="0" w:space="0" w:color="auto"/>
        <w:right w:val="none" w:sz="0" w:space="0" w:color="auto"/>
      </w:divBdr>
    </w:div>
    <w:div w:id="1048723768">
      <w:bodyDiv w:val="1"/>
      <w:marLeft w:val="0"/>
      <w:marRight w:val="0"/>
      <w:marTop w:val="0"/>
      <w:marBottom w:val="0"/>
      <w:divBdr>
        <w:top w:val="none" w:sz="0" w:space="0" w:color="auto"/>
        <w:left w:val="none" w:sz="0" w:space="0" w:color="auto"/>
        <w:bottom w:val="none" w:sz="0" w:space="0" w:color="auto"/>
        <w:right w:val="none" w:sz="0" w:space="0" w:color="auto"/>
      </w:divBdr>
    </w:div>
    <w:div w:id="1048846672">
      <w:bodyDiv w:val="1"/>
      <w:marLeft w:val="0"/>
      <w:marRight w:val="0"/>
      <w:marTop w:val="0"/>
      <w:marBottom w:val="0"/>
      <w:divBdr>
        <w:top w:val="none" w:sz="0" w:space="0" w:color="auto"/>
        <w:left w:val="none" w:sz="0" w:space="0" w:color="auto"/>
        <w:bottom w:val="none" w:sz="0" w:space="0" w:color="auto"/>
        <w:right w:val="none" w:sz="0" w:space="0" w:color="auto"/>
      </w:divBdr>
    </w:div>
    <w:div w:id="1049186665">
      <w:bodyDiv w:val="1"/>
      <w:marLeft w:val="0"/>
      <w:marRight w:val="0"/>
      <w:marTop w:val="0"/>
      <w:marBottom w:val="0"/>
      <w:divBdr>
        <w:top w:val="none" w:sz="0" w:space="0" w:color="auto"/>
        <w:left w:val="none" w:sz="0" w:space="0" w:color="auto"/>
        <w:bottom w:val="none" w:sz="0" w:space="0" w:color="auto"/>
        <w:right w:val="none" w:sz="0" w:space="0" w:color="auto"/>
      </w:divBdr>
    </w:div>
    <w:div w:id="1049382362">
      <w:bodyDiv w:val="1"/>
      <w:marLeft w:val="0"/>
      <w:marRight w:val="0"/>
      <w:marTop w:val="0"/>
      <w:marBottom w:val="0"/>
      <w:divBdr>
        <w:top w:val="none" w:sz="0" w:space="0" w:color="auto"/>
        <w:left w:val="none" w:sz="0" w:space="0" w:color="auto"/>
        <w:bottom w:val="none" w:sz="0" w:space="0" w:color="auto"/>
        <w:right w:val="none" w:sz="0" w:space="0" w:color="auto"/>
      </w:divBdr>
    </w:div>
    <w:div w:id="1049498627">
      <w:bodyDiv w:val="1"/>
      <w:marLeft w:val="0"/>
      <w:marRight w:val="0"/>
      <w:marTop w:val="0"/>
      <w:marBottom w:val="0"/>
      <w:divBdr>
        <w:top w:val="none" w:sz="0" w:space="0" w:color="auto"/>
        <w:left w:val="none" w:sz="0" w:space="0" w:color="auto"/>
        <w:bottom w:val="none" w:sz="0" w:space="0" w:color="auto"/>
        <w:right w:val="none" w:sz="0" w:space="0" w:color="auto"/>
      </w:divBdr>
    </w:div>
    <w:div w:id="1049572147">
      <w:bodyDiv w:val="1"/>
      <w:marLeft w:val="0"/>
      <w:marRight w:val="0"/>
      <w:marTop w:val="0"/>
      <w:marBottom w:val="0"/>
      <w:divBdr>
        <w:top w:val="none" w:sz="0" w:space="0" w:color="auto"/>
        <w:left w:val="none" w:sz="0" w:space="0" w:color="auto"/>
        <w:bottom w:val="none" w:sz="0" w:space="0" w:color="auto"/>
        <w:right w:val="none" w:sz="0" w:space="0" w:color="auto"/>
      </w:divBdr>
    </w:div>
    <w:div w:id="1049768773">
      <w:bodyDiv w:val="1"/>
      <w:marLeft w:val="0"/>
      <w:marRight w:val="0"/>
      <w:marTop w:val="0"/>
      <w:marBottom w:val="0"/>
      <w:divBdr>
        <w:top w:val="none" w:sz="0" w:space="0" w:color="auto"/>
        <w:left w:val="none" w:sz="0" w:space="0" w:color="auto"/>
        <w:bottom w:val="none" w:sz="0" w:space="0" w:color="auto"/>
        <w:right w:val="none" w:sz="0" w:space="0" w:color="auto"/>
      </w:divBdr>
    </w:div>
    <w:div w:id="1049770752">
      <w:bodyDiv w:val="1"/>
      <w:marLeft w:val="0"/>
      <w:marRight w:val="0"/>
      <w:marTop w:val="0"/>
      <w:marBottom w:val="0"/>
      <w:divBdr>
        <w:top w:val="none" w:sz="0" w:space="0" w:color="auto"/>
        <w:left w:val="none" w:sz="0" w:space="0" w:color="auto"/>
        <w:bottom w:val="none" w:sz="0" w:space="0" w:color="auto"/>
        <w:right w:val="none" w:sz="0" w:space="0" w:color="auto"/>
      </w:divBdr>
    </w:div>
    <w:div w:id="1049915819">
      <w:bodyDiv w:val="1"/>
      <w:marLeft w:val="0"/>
      <w:marRight w:val="0"/>
      <w:marTop w:val="0"/>
      <w:marBottom w:val="0"/>
      <w:divBdr>
        <w:top w:val="none" w:sz="0" w:space="0" w:color="auto"/>
        <w:left w:val="none" w:sz="0" w:space="0" w:color="auto"/>
        <w:bottom w:val="none" w:sz="0" w:space="0" w:color="auto"/>
        <w:right w:val="none" w:sz="0" w:space="0" w:color="auto"/>
      </w:divBdr>
    </w:div>
    <w:div w:id="1049917265">
      <w:bodyDiv w:val="1"/>
      <w:marLeft w:val="0"/>
      <w:marRight w:val="0"/>
      <w:marTop w:val="0"/>
      <w:marBottom w:val="0"/>
      <w:divBdr>
        <w:top w:val="none" w:sz="0" w:space="0" w:color="auto"/>
        <w:left w:val="none" w:sz="0" w:space="0" w:color="auto"/>
        <w:bottom w:val="none" w:sz="0" w:space="0" w:color="auto"/>
        <w:right w:val="none" w:sz="0" w:space="0" w:color="auto"/>
      </w:divBdr>
    </w:div>
    <w:div w:id="1049962155">
      <w:bodyDiv w:val="1"/>
      <w:marLeft w:val="0"/>
      <w:marRight w:val="0"/>
      <w:marTop w:val="0"/>
      <w:marBottom w:val="0"/>
      <w:divBdr>
        <w:top w:val="none" w:sz="0" w:space="0" w:color="auto"/>
        <w:left w:val="none" w:sz="0" w:space="0" w:color="auto"/>
        <w:bottom w:val="none" w:sz="0" w:space="0" w:color="auto"/>
        <w:right w:val="none" w:sz="0" w:space="0" w:color="auto"/>
      </w:divBdr>
    </w:div>
    <w:div w:id="1050031418">
      <w:bodyDiv w:val="1"/>
      <w:marLeft w:val="0"/>
      <w:marRight w:val="0"/>
      <w:marTop w:val="0"/>
      <w:marBottom w:val="0"/>
      <w:divBdr>
        <w:top w:val="none" w:sz="0" w:space="0" w:color="auto"/>
        <w:left w:val="none" w:sz="0" w:space="0" w:color="auto"/>
        <w:bottom w:val="none" w:sz="0" w:space="0" w:color="auto"/>
        <w:right w:val="none" w:sz="0" w:space="0" w:color="auto"/>
      </w:divBdr>
    </w:div>
    <w:div w:id="1050109159">
      <w:bodyDiv w:val="1"/>
      <w:marLeft w:val="0"/>
      <w:marRight w:val="0"/>
      <w:marTop w:val="0"/>
      <w:marBottom w:val="0"/>
      <w:divBdr>
        <w:top w:val="none" w:sz="0" w:space="0" w:color="auto"/>
        <w:left w:val="none" w:sz="0" w:space="0" w:color="auto"/>
        <w:bottom w:val="none" w:sz="0" w:space="0" w:color="auto"/>
        <w:right w:val="none" w:sz="0" w:space="0" w:color="auto"/>
      </w:divBdr>
    </w:div>
    <w:div w:id="1050110910">
      <w:bodyDiv w:val="1"/>
      <w:marLeft w:val="0"/>
      <w:marRight w:val="0"/>
      <w:marTop w:val="0"/>
      <w:marBottom w:val="0"/>
      <w:divBdr>
        <w:top w:val="none" w:sz="0" w:space="0" w:color="auto"/>
        <w:left w:val="none" w:sz="0" w:space="0" w:color="auto"/>
        <w:bottom w:val="none" w:sz="0" w:space="0" w:color="auto"/>
        <w:right w:val="none" w:sz="0" w:space="0" w:color="auto"/>
      </w:divBdr>
    </w:div>
    <w:div w:id="1050113951">
      <w:bodyDiv w:val="1"/>
      <w:marLeft w:val="0"/>
      <w:marRight w:val="0"/>
      <w:marTop w:val="0"/>
      <w:marBottom w:val="0"/>
      <w:divBdr>
        <w:top w:val="none" w:sz="0" w:space="0" w:color="auto"/>
        <w:left w:val="none" w:sz="0" w:space="0" w:color="auto"/>
        <w:bottom w:val="none" w:sz="0" w:space="0" w:color="auto"/>
        <w:right w:val="none" w:sz="0" w:space="0" w:color="auto"/>
      </w:divBdr>
    </w:div>
    <w:div w:id="1050154675">
      <w:bodyDiv w:val="1"/>
      <w:marLeft w:val="0"/>
      <w:marRight w:val="0"/>
      <w:marTop w:val="0"/>
      <w:marBottom w:val="0"/>
      <w:divBdr>
        <w:top w:val="none" w:sz="0" w:space="0" w:color="auto"/>
        <w:left w:val="none" w:sz="0" w:space="0" w:color="auto"/>
        <w:bottom w:val="none" w:sz="0" w:space="0" w:color="auto"/>
        <w:right w:val="none" w:sz="0" w:space="0" w:color="auto"/>
      </w:divBdr>
    </w:div>
    <w:div w:id="1050155223">
      <w:bodyDiv w:val="1"/>
      <w:marLeft w:val="0"/>
      <w:marRight w:val="0"/>
      <w:marTop w:val="0"/>
      <w:marBottom w:val="0"/>
      <w:divBdr>
        <w:top w:val="none" w:sz="0" w:space="0" w:color="auto"/>
        <w:left w:val="none" w:sz="0" w:space="0" w:color="auto"/>
        <w:bottom w:val="none" w:sz="0" w:space="0" w:color="auto"/>
        <w:right w:val="none" w:sz="0" w:space="0" w:color="auto"/>
      </w:divBdr>
    </w:div>
    <w:div w:id="1050299774">
      <w:bodyDiv w:val="1"/>
      <w:marLeft w:val="0"/>
      <w:marRight w:val="0"/>
      <w:marTop w:val="0"/>
      <w:marBottom w:val="0"/>
      <w:divBdr>
        <w:top w:val="none" w:sz="0" w:space="0" w:color="auto"/>
        <w:left w:val="none" w:sz="0" w:space="0" w:color="auto"/>
        <w:bottom w:val="none" w:sz="0" w:space="0" w:color="auto"/>
        <w:right w:val="none" w:sz="0" w:space="0" w:color="auto"/>
      </w:divBdr>
    </w:div>
    <w:div w:id="1050373771">
      <w:bodyDiv w:val="1"/>
      <w:marLeft w:val="0"/>
      <w:marRight w:val="0"/>
      <w:marTop w:val="0"/>
      <w:marBottom w:val="0"/>
      <w:divBdr>
        <w:top w:val="none" w:sz="0" w:space="0" w:color="auto"/>
        <w:left w:val="none" w:sz="0" w:space="0" w:color="auto"/>
        <w:bottom w:val="none" w:sz="0" w:space="0" w:color="auto"/>
        <w:right w:val="none" w:sz="0" w:space="0" w:color="auto"/>
      </w:divBdr>
    </w:div>
    <w:div w:id="1050494954">
      <w:bodyDiv w:val="1"/>
      <w:marLeft w:val="0"/>
      <w:marRight w:val="0"/>
      <w:marTop w:val="0"/>
      <w:marBottom w:val="0"/>
      <w:divBdr>
        <w:top w:val="none" w:sz="0" w:space="0" w:color="auto"/>
        <w:left w:val="none" w:sz="0" w:space="0" w:color="auto"/>
        <w:bottom w:val="none" w:sz="0" w:space="0" w:color="auto"/>
        <w:right w:val="none" w:sz="0" w:space="0" w:color="auto"/>
      </w:divBdr>
    </w:div>
    <w:div w:id="1050614536">
      <w:bodyDiv w:val="1"/>
      <w:marLeft w:val="0"/>
      <w:marRight w:val="0"/>
      <w:marTop w:val="0"/>
      <w:marBottom w:val="0"/>
      <w:divBdr>
        <w:top w:val="none" w:sz="0" w:space="0" w:color="auto"/>
        <w:left w:val="none" w:sz="0" w:space="0" w:color="auto"/>
        <w:bottom w:val="none" w:sz="0" w:space="0" w:color="auto"/>
        <w:right w:val="none" w:sz="0" w:space="0" w:color="auto"/>
      </w:divBdr>
    </w:div>
    <w:div w:id="1051030737">
      <w:bodyDiv w:val="1"/>
      <w:marLeft w:val="0"/>
      <w:marRight w:val="0"/>
      <w:marTop w:val="0"/>
      <w:marBottom w:val="0"/>
      <w:divBdr>
        <w:top w:val="none" w:sz="0" w:space="0" w:color="auto"/>
        <w:left w:val="none" w:sz="0" w:space="0" w:color="auto"/>
        <w:bottom w:val="none" w:sz="0" w:space="0" w:color="auto"/>
        <w:right w:val="none" w:sz="0" w:space="0" w:color="auto"/>
      </w:divBdr>
    </w:div>
    <w:div w:id="1051075723">
      <w:bodyDiv w:val="1"/>
      <w:marLeft w:val="0"/>
      <w:marRight w:val="0"/>
      <w:marTop w:val="0"/>
      <w:marBottom w:val="0"/>
      <w:divBdr>
        <w:top w:val="none" w:sz="0" w:space="0" w:color="auto"/>
        <w:left w:val="none" w:sz="0" w:space="0" w:color="auto"/>
        <w:bottom w:val="none" w:sz="0" w:space="0" w:color="auto"/>
        <w:right w:val="none" w:sz="0" w:space="0" w:color="auto"/>
      </w:divBdr>
    </w:div>
    <w:div w:id="1051076482">
      <w:bodyDiv w:val="1"/>
      <w:marLeft w:val="0"/>
      <w:marRight w:val="0"/>
      <w:marTop w:val="0"/>
      <w:marBottom w:val="0"/>
      <w:divBdr>
        <w:top w:val="none" w:sz="0" w:space="0" w:color="auto"/>
        <w:left w:val="none" w:sz="0" w:space="0" w:color="auto"/>
        <w:bottom w:val="none" w:sz="0" w:space="0" w:color="auto"/>
        <w:right w:val="none" w:sz="0" w:space="0" w:color="auto"/>
      </w:divBdr>
    </w:div>
    <w:div w:id="1051464435">
      <w:bodyDiv w:val="1"/>
      <w:marLeft w:val="0"/>
      <w:marRight w:val="0"/>
      <w:marTop w:val="0"/>
      <w:marBottom w:val="0"/>
      <w:divBdr>
        <w:top w:val="none" w:sz="0" w:space="0" w:color="auto"/>
        <w:left w:val="none" w:sz="0" w:space="0" w:color="auto"/>
        <w:bottom w:val="none" w:sz="0" w:space="0" w:color="auto"/>
        <w:right w:val="none" w:sz="0" w:space="0" w:color="auto"/>
      </w:divBdr>
    </w:div>
    <w:div w:id="1051657969">
      <w:bodyDiv w:val="1"/>
      <w:marLeft w:val="0"/>
      <w:marRight w:val="0"/>
      <w:marTop w:val="0"/>
      <w:marBottom w:val="0"/>
      <w:divBdr>
        <w:top w:val="none" w:sz="0" w:space="0" w:color="auto"/>
        <w:left w:val="none" w:sz="0" w:space="0" w:color="auto"/>
        <w:bottom w:val="none" w:sz="0" w:space="0" w:color="auto"/>
        <w:right w:val="none" w:sz="0" w:space="0" w:color="auto"/>
      </w:divBdr>
    </w:div>
    <w:div w:id="1051804479">
      <w:bodyDiv w:val="1"/>
      <w:marLeft w:val="0"/>
      <w:marRight w:val="0"/>
      <w:marTop w:val="0"/>
      <w:marBottom w:val="0"/>
      <w:divBdr>
        <w:top w:val="none" w:sz="0" w:space="0" w:color="auto"/>
        <w:left w:val="none" w:sz="0" w:space="0" w:color="auto"/>
        <w:bottom w:val="none" w:sz="0" w:space="0" w:color="auto"/>
        <w:right w:val="none" w:sz="0" w:space="0" w:color="auto"/>
      </w:divBdr>
    </w:div>
    <w:div w:id="1052002395">
      <w:bodyDiv w:val="1"/>
      <w:marLeft w:val="0"/>
      <w:marRight w:val="0"/>
      <w:marTop w:val="0"/>
      <w:marBottom w:val="0"/>
      <w:divBdr>
        <w:top w:val="none" w:sz="0" w:space="0" w:color="auto"/>
        <w:left w:val="none" w:sz="0" w:space="0" w:color="auto"/>
        <w:bottom w:val="none" w:sz="0" w:space="0" w:color="auto"/>
        <w:right w:val="none" w:sz="0" w:space="0" w:color="auto"/>
      </w:divBdr>
    </w:div>
    <w:div w:id="1052191242">
      <w:bodyDiv w:val="1"/>
      <w:marLeft w:val="0"/>
      <w:marRight w:val="0"/>
      <w:marTop w:val="0"/>
      <w:marBottom w:val="0"/>
      <w:divBdr>
        <w:top w:val="none" w:sz="0" w:space="0" w:color="auto"/>
        <w:left w:val="none" w:sz="0" w:space="0" w:color="auto"/>
        <w:bottom w:val="none" w:sz="0" w:space="0" w:color="auto"/>
        <w:right w:val="none" w:sz="0" w:space="0" w:color="auto"/>
      </w:divBdr>
    </w:div>
    <w:div w:id="1052193305">
      <w:bodyDiv w:val="1"/>
      <w:marLeft w:val="0"/>
      <w:marRight w:val="0"/>
      <w:marTop w:val="0"/>
      <w:marBottom w:val="0"/>
      <w:divBdr>
        <w:top w:val="none" w:sz="0" w:space="0" w:color="auto"/>
        <w:left w:val="none" w:sz="0" w:space="0" w:color="auto"/>
        <w:bottom w:val="none" w:sz="0" w:space="0" w:color="auto"/>
        <w:right w:val="none" w:sz="0" w:space="0" w:color="auto"/>
      </w:divBdr>
    </w:div>
    <w:div w:id="1052342940">
      <w:bodyDiv w:val="1"/>
      <w:marLeft w:val="0"/>
      <w:marRight w:val="0"/>
      <w:marTop w:val="0"/>
      <w:marBottom w:val="0"/>
      <w:divBdr>
        <w:top w:val="none" w:sz="0" w:space="0" w:color="auto"/>
        <w:left w:val="none" w:sz="0" w:space="0" w:color="auto"/>
        <w:bottom w:val="none" w:sz="0" w:space="0" w:color="auto"/>
        <w:right w:val="none" w:sz="0" w:space="0" w:color="auto"/>
      </w:divBdr>
    </w:div>
    <w:div w:id="1052463842">
      <w:bodyDiv w:val="1"/>
      <w:marLeft w:val="0"/>
      <w:marRight w:val="0"/>
      <w:marTop w:val="0"/>
      <w:marBottom w:val="0"/>
      <w:divBdr>
        <w:top w:val="none" w:sz="0" w:space="0" w:color="auto"/>
        <w:left w:val="none" w:sz="0" w:space="0" w:color="auto"/>
        <w:bottom w:val="none" w:sz="0" w:space="0" w:color="auto"/>
        <w:right w:val="none" w:sz="0" w:space="0" w:color="auto"/>
      </w:divBdr>
    </w:div>
    <w:div w:id="1052652295">
      <w:bodyDiv w:val="1"/>
      <w:marLeft w:val="0"/>
      <w:marRight w:val="0"/>
      <w:marTop w:val="0"/>
      <w:marBottom w:val="0"/>
      <w:divBdr>
        <w:top w:val="none" w:sz="0" w:space="0" w:color="auto"/>
        <w:left w:val="none" w:sz="0" w:space="0" w:color="auto"/>
        <w:bottom w:val="none" w:sz="0" w:space="0" w:color="auto"/>
        <w:right w:val="none" w:sz="0" w:space="0" w:color="auto"/>
      </w:divBdr>
    </w:div>
    <w:div w:id="1053045430">
      <w:bodyDiv w:val="1"/>
      <w:marLeft w:val="0"/>
      <w:marRight w:val="0"/>
      <w:marTop w:val="0"/>
      <w:marBottom w:val="0"/>
      <w:divBdr>
        <w:top w:val="none" w:sz="0" w:space="0" w:color="auto"/>
        <w:left w:val="none" w:sz="0" w:space="0" w:color="auto"/>
        <w:bottom w:val="none" w:sz="0" w:space="0" w:color="auto"/>
        <w:right w:val="none" w:sz="0" w:space="0" w:color="auto"/>
      </w:divBdr>
    </w:div>
    <w:div w:id="1053113452">
      <w:bodyDiv w:val="1"/>
      <w:marLeft w:val="0"/>
      <w:marRight w:val="0"/>
      <w:marTop w:val="0"/>
      <w:marBottom w:val="0"/>
      <w:divBdr>
        <w:top w:val="none" w:sz="0" w:space="0" w:color="auto"/>
        <w:left w:val="none" w:sz="0" w:space="0" w:color="auto"/>
        <w:bottom w:val="none" w:sz="0" w:space="0" w:color="auto"/>
        <w:right w:val="none" w:sz="0" w:space="0" w:color="auto"/>
      </w:divBdr>
    </w:div>
    <w:div w:id="1053232978">
      <w:bodyDiv w:val="1"/>
      <w:marLeft w:val="0"/>
      <w:marRight w:val="0"/>
      <w:marTop w:val="0"/>
      <w:marBottom w:val="0"/>
      <w:divBdr>
        <w:top w:val="none" w:sz="0" w:space="0" w:color="auto"/>
        <w:left w:val="none" w:sz="0" w:space="0" w:color="auto"/>
        <w:bottom w:val="none" w:sz="0" w:space="0" w:color="auto"/>
        <w:right w:val="none" w:sz="0" w:space="0" w:color="auto"/>
      </w:divBdr>
    </w:div>
    <w:div w:id="1053308776">
      <w:bodyDiv w:val="1"/>
      <w:marLeft w:val="0"/>
      <w:marRight w:val="0"/>
      <w:marTop w:val="0"/>
      <w:marBottom w:val="0"/>
      <w:divBdr>
        <w:top w:val="none" w:sz="0" w:space="0" w:color="auto"/>
        <w:left w:val="none" w:sz="0" w:space="0" w:color="auto"/>
        <w:bottom w:val="none" w:sz="0" w:space="0" w:color="auto"/>
        <w:right w:val="none" w:sz="0" w:space="0" w:color="auto"/>
      </w:divBdr>
    </w:div>
    <w:div w:id="1053312253">
      <w:bodyDiv w:val="1"/>
      <w:marLeft w:val="0"/>
      <w:marRight w:val="0"/>
      <w:marTop w:val="0"/>
      <w:marBottom w:val="0"/>
      <w:divBdr>
        <w:top w:val="none" w:sz="0" w:space="0" w:color="auto"/>
        <w:left w:val="none" w:sz="0" w:space="0" w:color="auto"/>
        <w:bottom w:val="none" w:sz="0" w:space="0" w:color="auto"/>
        <w:right w:val="none" w:sz="0" w:space="0" w:color="auto"/>
      </w:divBdr>
    </w:div>
    <w:div w:id="1053387628">
      <w:bodyDiv w:val="1"/>
      <w:marLeft w:val="0"/>
      <w:marRight w:val="0"/>
      <w:marTop w:val="0"/>
      <w:marBottom w:val="0"/>
      <w:divBdr>
        <w:top w:val="none" w:sz="0" w:space="0" w:color="auto"/>
        <w:left w:val="none" w:sz="0" w:space="0" w:color="auto"/>
        <w:bottom w:val="none" w:sz="0" w:space="0" w:color="auto"/>
        <w:right w:val="none" w:sz="0" w:space="0" w:color="auto"/>
      </w:divBdr>
    </w:div>
    <w:div w:id="1053502353">
      <w:bodyDiv w:val="1"/>
      <w:marLeft w:val="0"/>
      <w:marRight w:val="0"/>
      <w:marTop w:val="0"/>
      <w:marBottom w:val="0"/>
      <w:divBdr>
        <w:top w:val="none" w:sz="0" w:space="0" w:color="auto"/>
        <w:left w:val="none" w:sz="0" w:space="0" w:color="auto"/>
        <w:bottom w:val="none" w:sz="0" w:space="0" w:color="auto"/>
        <w:right w:val="none" w:sz="0" w:space="0" w:color="auto"/>
      </w:divBdr>
    </w:div>
    <w:div w:id="1053651196">
      <w:bodyDiv w:val="1"/>
      <w:marLeft w:val="0"/>
      <w:marRight w:val="0"/>
      <w:marTop w:val="0"/>
      <w:marBottom w:val="0"/>
      <w:divBdr>
        <w:top w:val="none" w:sz="0" w:space="0" w:color="auto"/>
        <w:left w:val="none" w:sz="0" w:space="0" w:color="auto"/>
        <w:bottom w:val="none" w:sz="0" w:space="0" w:color="auto"/>
        <w:right w:val="none" w:sz="0" w:space="0" w:color="auto"/>
      </w:divBdr>
    </w:div>
    <w:div w:id="1053819480">
      <w:bodyDiv w:val="1"/>
      <w:marLeft w:val="0"/>
      <w:marRight w:val="0"/>
      <w:marTop w:val="0"/>
      <w:marBottom w:val="0"/>
      <w:divBdr>
        <w:top w:val="none" w:sz="0" w:space="0" w:color="auto"/>
        <w:left w:val="none" w:sz="0" w:space="0" w:color="auto"/>
        <w:bottom w:val="none" w:sz="0" w:space="0" w:color="auto"/>
        <w:right w:val="none" w:sz="0" w:space="0" w:color="auto"/>
      </w:divBdr>
    </w:div>
    <w:div w:id="1053887950">
      <w:bodyDiv w:val="1"/>
      <w:marLeft w:val="0"/>
      <w:marRight w:val="0"/>
      <w:marTop w:val="0"/>
      <w:marBottom w:val="0"/>
      <w:divBdr>
        <w:top w:val="none" w:sz="0" w:space="0" w:color="auto"/>
        <w:left w:val="none" w:sz="0" w:space="0" w:color="auto"/>
        <w:bottom w:val="none" w:sz="0" w:space="0" w:color="auto"/>
        <w:right w:val="none" w:sz="0" w:space="0" w:color="auto"/>
      </w:divBdr>
    </w:div>
    <w:div w:id="1053963637">
      <w:bodyDiv w:val="1"/>
      <w:marLeft w:val="0"/>
      <w:marRight w:val="0"/>
      <w:marTop w:val="0"/>
      <w:marBottom w:val="0"/>
      <w:divBdr>
        <w:top w:val="none" w:sz="0" w:space="0" w:color="auto"/>
        <w:left w:val="none" w:sz="0" w:space="0" w:color="auto"/>
        <w:bottom w:val="none" w:sz="0" w:space="0" w:color="auto"/>
        <w:right w:val="none" w:sz="0" w:space="0" w:color="auto"/>
      </w:divBdr>
    </w:div>
    <w:div w:id="1054037597">
      <w:bodyDiv w:val="1"/>
      <w:marLeft w:val="0"/>
      <w:marRight w:val="0"/>
      <w:marTop w:val="0"/>
      <w:marBottom w:val="0"/>
      <w:divBdr>
        <w:top w:val="none" w:sz="0" w:space="0" w:color="auto"/>
        <w:left w:val="none" w:sz="0" w:space="0" w:color="auto"/>
        <w:bottom w:val="none" w:sz="0" w:space="0" w:color="auto"/>
        <w:right w:val="none" w:sz="0" w:space="0" w:color="auto"/>
      </w:divBdr>
    </w:div>
    <w:div w:id="1054087736">
      <w:bodyDiv w:val="1"/>
      <w:marLeft w:val="0"/>
      <w:marRight w:val="0"/>
      <w:marTop w:val="0"/>
      <w:marBottom w:val="0"/>
      <w:divBdr>
        <w:top w:val="none" w:sz="0" w:space="0" w:color="auto"/>
        <w:left w:val="none" w:sz="0" w:space="0" w:color="auto"/>
        <w:bottom w:val="none" w:sz="0" w:space="0" w:color="auto"/>
        <w:right w:val="none" w:sz="0" w:space="0" w:color="auto"/>
      </w:divBdr>
    </w:div>
    <w:div w:id="1054696361">
      <w:bodyDiv w:val="1"/>
      <w:marLeft w:val="0"/>
      <w:marRight w:val="0"/>
      <w:marTop w:val="0"/>
      <w:marBottom w:val="0"/>
      <w:divBdr>
        <w:top w:val="none" w:sz="0" w:space="0" w:color="auto"/>
        <w:left w:val="none" w:sz="0" w:space="0" w:color="auto"/>
        <w:bottom w:val="none" w:sz="0" w:space="0" w:color="auto"/>
        <w:right w:val="none" w:sz="0" w:space="0" w:color="auto"/>
      </w:divBdr>
    </w:div>
    <w:div w:id="1055080385">
      <w:bodyDiv w:val="1"/>
      <w:marLeft w:val="0"/>
      <w:marRight w:val="0"/>
      <w:marTop w:val="0"/>
      <w:marBottom w:val="0"/>
      <w:divBdr>
        <w:top w:val="none" w:sz="0" w:space="0" w:color="auto"/>
        <w:left w:val="none" w:sz="0" w:space="0" w:color="auto"/>
        <w:bottom w:val="none" w:sz="0" w:space="0" w:color="auto"/>
        <w:right w:val="none" w:sz="0" w:space="0" w:color="auto"/>
      </w:divBdr>
    </w:div>
    <w:div w:id="1055200355">
      <w:bodyDiv w:val="1"/>
      <w:marLeft w:val="0"/>
      <w:marRight w:val="0"/>
      <w:marTop w:val="0"/>
      <w:marBottom w:val="0"/>
      <w:divBdr>
        <w:top w:val="none" w:sz="0" w:space="0" w:color="auto"/>
        <w:left w:val="none" w:sz="0" w:space="0" w:color="auto"/>
        <w:bottom w:val="none" w:sz="0" w:space="0" w:color="auto"/>
        <w:right w:val="none" w:sz="0" w:space="0" w:color="auto"/>
      </w:divBdr>
    </w:div>
    <w:div w:id="1055350322">
      <w:bodyDiv w:val="1"/>
      <w:marLeft w:val="0"/>
      <w:marRight w:val="0"/>
      <w:marTop w:val="0"/>
      <w:marBottom w:val="0"/>
      <w:divBdr>
        <w:top w:val="none" w:sz="0" w:space="0" w:color="auto"/>
        <w:left w:val="none" w:sz="0" w:space="0" w:color="auto"/>
        <w:bottom w:val="none" w:sz="0" w:space="0" w:color="auto"/>
        <w:right w:val="none" w:sz="0" w:space="0" w:color="auto"/>
      </w:divBdr>
    </w:div>
    <w:div w:id="1055661024">
      <w:bodyDiv w:val="1"/>
      <w:marLeft w:val="0"/>
      <w:marRight w:val="0"/>
      <w:marTop w:val="0"/>
      <w:marBottom w:val="0"/>
      <w:divBdr>
        <w:top w:val="none" w:sz="0" w:space="0" w:color="auto"/>
        <w:left w:val="none" w:sz="0" w:space="0" w:color="auto"/>
        <w:bottom w:val="none" w:sz="0" w:space="0" w:color="auto"/>
        <w:right w:val="none" w:sz="0" w:space="0" w:color="auto"/>
      </w:divBdr>
    </w:div>
    <w:div w:id="1055664985">
      <w:bodyDiv w:val="1"/>
      <w:marLeft w:val="0"/>
      <w:marRight w:val="0"/>
      <w:marTop w:val="0"/>
      <w:marBottom w:val="0"/>
      <w:divBdr>
        <w:top w:val="none" w:sz="0" w:space="0" w:color="auto"/>
        <w:left w:val="none" w:sz="0" w:space="0" w:color="auto"/>
        <w:bottom w:val="none" w:sz="0" w:space="0" w:color="auto"/>
        <w:right w:val="none" w:sz="0" w:space="0" w:color="auto"/>
      </w:divBdr>
    </w:div>
    <w:div w:id="1055858869">
      <w:bodyDiv w:val="1"/>
      <w:marLeft w:val="0"/>
      <w:marRight w:val="0"/>
      <w:marTop w:val="0"/>
      <w:marBottom w:val="0"/>
      <w:divBdr>
        <w:top w:val="none" w:sz="0" w:space="0" w:color="auto"/>
        <w:left w:val="none" w:sz="0" w:space="0" w:color="auto"/>
        <w:bottom w:val="none" w:sz="0" w:space="0" w:color="auto"/>
        <w:right w:val="none" w:sz="0" w:space="0" w:color="auto"/>
      </w:divBdr>
    </w:div>
    <w:div w:id="1056272572">
      <w:bodyDiv w:val="1"/>
      <w:marLeft w:val="0"/>
      <w:marRight w:val="0"/>
      <w:marTop w:val="0"/>
      <w:marBottom w:val="0"/>
      <w:divBdr>
        <w:top w:val="none" w:sz="0" w:space="0" w:color="auto"/>
        <w:left w:val="none" w:sz="0" w:space="0" w:color="auto"/>
        <w:bottom w:val="none" w:sz="0" w:space="0" w:color="auto"/>
        <w:right w:val="none" w:sz="0" w:space="0" w:color="auto"/>
      </w:divBdr>
    </w:div>
    <w:div w:id="1056510271">
      <w:bodyDiv w:val="1"/>
      <w:marLeft w:val="0"/>
      <w:marRight w:val="0"/>
      <w:marTop w:val="0"/>
      <w:marBottom w:val="0"/>
      <w:divBdr>
        <w:top w:val="none" w:sz="0" w:space="0" w:color="auto"/>
        <w:left w:val="none" w:sz="0" w:space="0" w:color="auto"/>
        <w:bottom w:val="none" w:sz="0" w:space="0" w:color="auto"/>
        <w:right w:val="none" w:sz="0" w:space="0" w:color="auto"/>
      </w:divBdr>
    </w:div>
    <w:div w:id="1056707454">
      <w:bodyDiv w:val="1"/>
      <w:marLeft w:val="0"/>
      <w:marRight w:val="0"/>
      <w:marTop w:val="0"/>
      <w:marBottom w:val="0"/>
      <w:divBdr>
        <w:top w:val="none" w:sz="0" w:space="0" w:color="auto"/>
        <w:left w:val="none" w:sz="0" w:space="0" w:color="auto"/>
        <w:bottom w:val="none" w:sz="0" w:space="0" w:color="auto"/>
        <w:right w:val="none" w:sz="0" w:space="0" w:color="auto"/>
      </w:divBdr>
    </w:div>
    <w:div w:id="1057045905">
      <w:bodyDiv w:val="1"/>
      <w:marLeft w:val="0"/>
      <w:marRight w:val="0"/>
      <w:marTop w:val="0"/>
      <w:marBottom w:val="0"/>
      <w:divBdr>
        <w:top w:val="none" w:sz="0" w:space="0" w:color="auto"/>
        <w:left w:val="none" w:sz="0" w:space="0" w:color="auto"/>
        <w:bottom w:val="none" w:sz="0" w:space="0" w:color="auto"/>
        <w:right w:val="none" w:sz="0" w:space="0" w:color="auto"/>
      </w:divBdr>
    </w:div>
    <w:div w:id="1057703182">
      <w:bodyDiv w:val="1"/>
      <w:marLeft w:val="0"/>
      <w:marRight w:val="0"/>
      <w:marTop w:val="0"/>
      <w:marBottom w:val="0"/>
      <w:divBdr>
        <w:top w:val="none" w:sz="0" w:space="0" w:color="auto"/>
        <w:left w:val="none" w:sz="0" w:space="0" w:color="auto"/>
        <w:bottom w:val="none" w:sz="0" w:space="0" w:color="auto"/>
        <w:right w:val="none" w:sz="0" w:space="0" w:color="auto"/>
      </w:divBdr>
    </w:div>
    <w:div w:id="1057704427">
      <w:bodyDiv w:val="1"/>
      <w:marLeft w:val="0"/>
      <w:marRight w:val="0"/>
      <w:marTop w:val="0"/>
      <w:marBottom w:val="0"/>
      <w:divBdr>
        <w:top w:val="none" w:sz="0" w:space="0" w:color="auto"/>
        <w:left w:val="none" w:sz="0" w:space="0" w:color="auto"/>
        <w:bottom w:val="none" w:sz="0" w:space="0" w:color="auto"/>
        <w:right w:val="none" w:sz="0" w:space="0" w:color="auto"/>
      </w:divBdr>
    </w:div>
    <w:div w:id="1057709068">
      <w:bodyDiv w:val="1"/>
      <w:marLeft w:val="0"/>
      <w:marRight w:val="0"/>
      <w:marTop w:val="0"/>
      <w:marBottom w:val="0"/>
      <w:divBdr>
        <w:top w:val="none" w:sz="0" w:space="0" w:color="auto"/>
        <w:left w:val="none" w:sz="0" w:space="0" w:color="auto"/>
        <w:bottom w:val="none" w:sz="0" w:space="0" w:color="auto"/>
        <w:right w:val="none" w:sz="0" w:space="0" w:color="auto"/>
      </w:divBdr>
    </w:div>
    <w:div w:id="1057897832">
      <w:bodyDiv w:val="1"/>
      <w:marLeft w:val="0"/>
      <w:marRight w:val="0"/>
      <w:marTop w:val="0"/>
      <w:marBottom w:val="0"/>
      <w:divBdr>
        <w:top w:val="none" w:sz="0" w:space="0" w:color="auto"/>
        <w:left w:val="none" w:sz="0" w:space="0" w:color="auto"/>
        <w:bottom w:val="none" w:sz="0" w:space="0" w:color="auto"/>
        <w:right w:val="none" w:sz="0" w:space="0" w:color="auto"/>
      </w:divBdr>
    </w:div>
    <w:div w:id="1057973309">
      <w:bodyDiv w:val="1"/>
      <w:marLeft w:val="0"/>
      <w:marRight w:val="0"/>
      <w:marTop w:val="0"/>
      <w:marBottom w:val="0"/>
      <w:divBdr>
        <w:top w:val="none" w:sz="0" w:space="0" w:color="auto"/>
        <w:left w:val="none" w:sz="0" w:space="0" w:color="auto"/>
        <w:bottom w:val="none" w:sz="0" w:space="0" w:color="auto"/>
        <w:right w:val="none" w:sz="0" w:space="0" w:color="auto"/>
      </w:divBdr>
    </w:div>
    <w:div w:id="1058088229">
      <w:bodyDiv w:val="1"/>
      <w:marLeft w:val="0"/>
      <w:marRight w:val="0"/>
      <w:marTop w:val="0"/>
      <w:marBottom w:val="0"/>
      <w:divBdr>
        <w:top w:val="none" w:sz="0" w:space="0" w:color="auto"/>
        <w:left w:val="none" w:sz="0" w:space="0" w:color="auto"/>
        <w:bottom w:val="none" w:sz="0" w:space="0" w:color="auto"/>
        <w:right w:val="none" w:sz="0" w:space="0" w:color="auto"/>
      </w:divBdr>
    </w:div>
    <w:div w:id="1058165978">
      <w:bodyDiv w:val="1"/>
      <w:marLeft w:val="0"/>
      <w:marRight w:val="0"/>
      <w:marTop w:val="0"/>
      <w:marBottom w:val="0"/>
      <w:divBdr>
        <w:top w:val="none" w:sz="0" w:space="0" w:color="auto"/>
        <w:left w:val="none" w:sz="0" w:space="0" w:color="auto"/>
        <w:bottom w:val="none" w:sz="0" w:space="0" w:color="auto"/>
        <w:right w:val="none" w:sz="0" w:space="0" w:color="auto"/>
      </w:divBdr>
    </w:div>
    <w:div w:id="1058241184">
      <w:bodyDiv w:val="1"/>
      <w:marLeft w:val="0"/>
      <w:marRight w:val="0"/>
      <w:marTop w:val="0"/>
      <w:marBottom w:val="0"/>
      <w:divBdr>
        <w:top w:val="none" w:sz="0" w:space="0" w:color="auto"/>
        <w:left w:val="none" w:sz="0" w:space="0" w:color="auto"/>
        <w:bottom w:val="none" w:sz="0" w:space="0" w:color="auto"/>
        <w:right w:val="none" w:sz="0" w:space="0" w:color="auto"/>
      </w:divBdr>
    </w:div>
    <w:div w:id="1058285318">
      <w:bodyDiv w:val="1"/>
      <w:marLeft w:val="0"/>
      <w:marRight w:val="0"/>
      <w:marTop w:val="0"/>
      <w:marBottom w:val="0"/>
      <w:divBdr>
        <w:top w:val="none" w:sz="0" w:space="0" w:color="auto"/>
        <w:left w:val="none" w:sz="0" w:space="0" w:color="auto"/>
        <w:bottom w:val="none" w:sz="0" w:space="0" w:color="auto"/>
        <w:right w:val="none" w:sz="0" w:space="0" w:color="auto"/>
      </w:divBdr>
    </w:div>
    <w:div w:id="1058285922">
      <w:bodyDiv w:val="1"/>
      <w:marLeft w:val="0"/>
      <w:marRight w:val="0"/>
      <w:marTop w:val="0"/>
      <w:marBottom w:val="0"/>
      <w:divBdr>
        <w:top w:val="none" w:sz="0" w:space="0" w:color="auto"/>
        <w:left w:val="none" w:sz="0" w:space="0" w:color="auto"/>
        <w:bottom w:val="none" w:sz="0" w:space="0" w:color="auto"/>
        <w:right w:val="none" w:sz="0" w:space="0" w:color="auto"/>
      </w:divBdr>
    </w:div>
    <w:div w:id="1058434327">
      <w:bodyDiv w:val="1"/>
      <w:marLeft w:val="0"/>
      <w:marRight w:val="0"/>
      <w:marTop w:val="0"/>
      <w:marBottom w:val="0"/>
      <w:divBdr>
        <w:top w:val="none" w:sz="0" w:space="0" w:color="auto"/>
        <w:left w:val="none" w:sz="0" w:space="0" w:color="auto"/>
        <w:bottom w:val="none" w:sz="0" w:space="0" w:color="auto"/>
        <w:right w:val="none" w:sz="0" w:space="0" w:color="auto"/>
      </w:divBdr>
    </w:div>
    <w:div w:id="1058750907">
      <w:bodyDiv w:val="1"/>
      <w:marLeft w:val="0"/>
      <w:marRight w:val="0"/>
      <w:marTop w:val="0"/>
      <w:marBottom w:val="0"/>
      <w:divBdr>
        <w:top w:val="none" w:sz="0" w:space="0" w:color="auto"/>
        <w:left w:val="none" w:sz="0" w:space="0" w:color="auto"/>
        <w:bottom w:val="none" w:sz="0" w:space="0" w:color="auto"/>
        <w:right w:val="none" w:sz="0" w:space="0" w:color="auto"/>
      </w:divBdr>
    </w:div>
    <w:div w:id="1059014446">
      <w:bodyDiv w:val="1"/>
      <w:marLeft w:val="0"/>
      <w:marRight w:val="0"/>
      <w:marTop w:val="0"/>
      <w:marBottom w:val="0"/>
      <w:divBdr>
        <w:top w:val="none" w:sz="0" w:space="0" w:color="auto"/>
        <w:left w:val="none" w:sz="0" w:space="0" w:color="auto"/>
        <w:bottom w:val="none" w:sz="0" w:space="0" w:color="auto"/>
        <w:right w:val="none" w:sz="0" w:space="0" w:color="auto"/>
      </w:divBdr>
    </w:div>
    <w:div w:id="1059278931">
      <w:bodyDiv w:val="1"/>
      <w:marLeft w:val="0"/>
      <w:marRight w:val="0"/>
      <w:marTop w:val="0"/>
      <w:marBottom w:val="0"/>
      <w:divBdr>
        <w:top w:val="none" w:sz="0" w:space="0" w:color="auto"/>
        <w:left w:val="none" w:sz="0" w:space="0" w:color="auto"/>
        <w:bottom w:val="none" w:sz="0" w:space="0" w:color="auto"/>
        <w:right w:val="none" w:sz="0" w:space="0" w:color="auto"/>
      </w:divBdr>
    </w:div>
    <w:div w:id="1059547591">
      <w:bodyDiv w:val="1"/>
      <w:marLeft w:val="0"/>
      <w:marRight w:val="0"/>
      <w:marTop w:val="0"/>
      <w:marBottom w:val="0"/>
      <w:divBdr>
        <w:top w:val="none" w:sz="0" w:space="0" w:color="auto"/>
        <w:left w:val="none" w:sz="0" w:space="0" w:color="auto"/>
        <w:bottom w:val="none" w:sz="0" w:space="0" w:color="auto"/>
        <w:right w:val="none" w:sz="0" w:space="0" w:color="auto"/>
      </w:divBdr>
    </w:div>
    <w:div w:id="1059549433">
      <w:bodyDiv w:val="1"/>
      <w:marLeft w:val="0"/>
      <w:marRight w:val="0"/>
      <w:marTop w:val="0"/>
      <w:marBottom w:val="0"/>
      <w:divBdr>
        <w:top w:val="none" w:sz="0" w:space="0" w:color="auto"/>
        <w:left w:val="none" w:sz="0" w:space="0" w:color="auto"/>
        <w:bottom w:val="none" w:sz="0" w:space="0" w:color="auto"/>
        <w:right w:val="none" w:sz="0" w:space="0" w:color="auto"/>
      </w:divBdr>
    </w:div>
    <w:div w:id="1059549601">
      <w:bodyDiv w:val="1"/>
      <w:marLeft w:val="0"/>
      <w:marRight w:val="0"/>
      <w:marTop w:val="0"/>
      <w:marBottom w:val="0"/>
      <w:divBdr>
        <w:top w:val="none" w:sz="0" w:space="0" w:color="auto"/>
        <w:left w:val="none" w:sz="0" w:space="0" w:color="auto"/>
        <w:bottom w:val="none" w:sz="0" w:space="0" w:color="auto"/>
        <w:right w:val="none" w:sz="0" w:space="0" w:color="auto"/>
      </w:divBdr>
    </w:div>
    <w:div w:id="1059670158">
      <w:bodyDiv w:val="1"/>
      <w:marLeft w:val="0"/>
      <w:marRight w:val="0"/>
      <w:marTop w:val="0"/>
      <w:marBottom w:val="0"/>
      <w:divBdr>
        <w:top w:val="none" w:sz="0" w:space="0" w:color="auto"/>
        <w:left w:val="none" w:sz="0" w:space="0" w:color="auto"/>
        <w:bottom w:val="none" w:sz="0" w:space="0" w:color="auto"/>
        <w:right w:val="none" w:sz="0" w:space="0" w:color="auto"/>
      </w:divBdr>
    </w:div>
    <w:div w:id="1059785224">
      <w:bodyDiv w:val="1"/>
      <w:marLeft w:val="0"/>
      <w:marRight w:val="0"/>
      <w:marTop w:val="0"/>
      <w:marBottom w:val="0"/>
      <w:divBdr>
        <w:top w:val="none" w:sz="0" w:space="0" w:color="auto"/>
        <w:left w:val="none" w:sz="0" w:space="0" w:color="auto"/>
        <w:bottom w:val="none" w:sz="0" w:space="0" w:color="auto"/>
        <w:right w:val="none" w:sz="0" w:space="0" w:color="auto"/>
      </w:divBdr>
    </w:div>
    <w:div w:id="1059863276">
      <w:bodyDiv w:val="1"/>
      <w:marLeft w:val="0"/>
      <w:marRight w:val="0"/>
      <w:marTop w:val="0"/>
      <w:marBottom w:val="0"/>
      <w:divBdr>
        <w:top w:val="none" w:sz="0" w:space="0" w:color="auto"/>
        <w:left w:val="none" w:sz="0" w:space="0" w:color="auto"/>
        <w:bottom w:val="none" w:sz="0" w:space="0" w:color="auto"/>
        <w:right w:val="none" w:sz="0" w:space="0" w:color="auto"/>
      </w:divBdr>
    </w:div>
    <w:div w:id="1059868022">
      <w:bodyDiv w:val="1"/>
      <w:marLeft w:val="0"/>
      <w:marRight w:val="0"/>
      <w:marTop w:val="0"/>
      <w:marBottom w:val="0"/>
      <w:divBdr>
        <w:top w:val="none" w:sz="0" w:space="0" w:color="auto"/>
        <w:left w:val="none" w:sz="0" w:space="0" w:color="auto"/>
        <w:bottom w:val="none" w:sz="0" w:space="0" w:color="auto"/>
        <w:right w:val="none" w:sz="0" w:space="0" w:color="auto"/>
      </w:divBdr>
    </w:div>
    <w:div w:id="1060052924">
      <w:bodyDiv w:val="1"/>
      <w:marLeft w:val="0"/>
      <w:marRight w:val="0"/>
      <w:marTop w:val="0"/>
      <w:marBottom w:val="0"/>
      <w:divBdr>
        <w:top w:val="none" w:sz="0" w:space="0" w:color="auto"/>
        <w:left w:val="none" w:sz="0" w:space="0" w:color="auto"/>
        <w:bottom w:val="none" w:sz="0" w:space="0" w:color="auto"/>
        <w:right w:val="none" w:sz="0" w:space="0" w:color="auto"/>
      </w:divBdr>
    </w:div>
    <w:div w:id="1060135209">
      <w:bodyDiv w:val="1"/>
      <w:marLeft w:val="0"/>
      <w:marRight w:val="0"/>
      <w:marTop w:val="0"/>
      <w:marBottom w:val="0"/>
      <w:divBdr>
        <w:top w:val="none" w:sz="0" w:space="0" w:color="auto"/>
        <w:left w:val="none" w:sz="0" w:space="0" w:color="auto"/>
        <w:bottom w:val="none" w:sz="0" w:space="0" w:color="auto"/>
        <w:right w:val="none" w:sz="0" w:space="0" w:color="auto"/>
      </w:divBdr>
    </w:div>
    <w:div w:id="1060249185">
      <w:bodyDiv w:val="1"/>
      <w:marLeft w:val="0"/>
      <w:marRight w:val="0"/>
      <w:marTop w:val="0"/>
      <w:marBottom w:val="0"/>
      <w:divBdr>
        <w:top w:val="none" w:sz="0" w:space="0" w:color="auto"/>
        <w:left w:val="none" w:sz="0" w:space="0" w:color="auto"/>
        <w:bottom w:val="none" w:sz="0" w:space="0" w:color="auto"/>
        <w:right w:val="none" w:sz="0" w:space="0" w:color="auto"/>
      </w:divBdr>
    </w:div>
    <w:div w:id="1060372863">
      <w:bodyDiv w:val="1"/>
      <w:marLeft w:val="0"/>
      <w:marRight w:val="0"/>
      <w:marTop w:val="0"/>
      <w:marBottom w:val="0"/>
      <w:divBdr>
        <w:top w:val="none" w:sz="0" w:space="0" w:color="auto"/>
        <w:left w:val="none" w:sz="0" w:space="0" w:color="auto"/>
        <w:bottom w:val="none" w:sz="0" w:space="0" w:color="auto"/>
        <w:right w:val="none" w:sz="0" w:space="0" w:color="auto"/>
      </w:divBdr>
    </w:div>
    <w:div w:id="1060517670">
      <w:bodyDiv w:val="1"/>
      <w:marLeft w:val="0"/>
      <w:marRight w:val="0"/>
      <w:marTop w:val="0"/>
      <w:marBottom w:val="0"/>
      <w:divBdr>
        <w:top w:val="none" w:sz="0" w:space="0" w:color="auto"/>
        <w:left w:val="none" w:sz="0" w:space="0" w:color="auto"/>
        <w:bottom w:val="none" w:sz="0" w:space="0" w:color="auto"/>
        <w:right w:val="none" w:sz="0" w:space="0" w:color="auto"/>
      </w:divBdr>
    </w:div>
    <w:div w:id="1060665148">
      <w:bodyDiv w:val="1"/>
      <w:marLeft w:val="0"/>
      <w:marRight w:val="0"/>
      <w:marTop w:val="0"/>
      <w:marBottom w:val="0"/>
      <w:divBdr>
        <w:top w:val="none" w:sz="0" w:space="0" w:color="auto"/>
        <w:left w:val="none" w:sz="0" w:space="0" w:color="auto"/>
        <w:bottom w:val="none" w:sz="0" w:space="0" w:color="auto"/>
        <w:right w:val="none" w:sz="0" w:space="0" w:color="auto"/>
      </w:divBdr>
    </w:div>
    <w:div w:id="1060859593">
      <w:bodyDiv w:val="1"/>
      <w:marLeft w:val="0"/>
      <w:marRight w:val="0"/>
      <w:marTop w:val="0"/>
      <w:marBottom w:val="0"/>
      <w:divBdr>
        <w:top w:val="none" w:sz="0" w:space="0" w:color="auto"/>
        <w:left w:val="none" w:sz="0" w:space="0" w:color="auto"/>
        <w:bottom w:val="none" w:sz="0" w:space="0" w:color="auto"/>
        <w:right w:val="none" w:sz="0" w:space="0" w:color="auto"/>
      </w:divBdr>
    </w:div>
    <w:div w:id="1060908791">
      <w:bodyDiv w:val="1"/>
      <w:marLeft w:val="0"/>
      <w:marRight w:val="0"/>
      <w:marTop w:val="0"/>
      <w:marBottom w:val="0"/>
      <w:divBdr>
        <w:top w:val="none" w:sz="0" w:space="0" w:color="auto"/>
        <w:left w:val="none" w:sz="0" w:space="0" w:color="auto"/>
        <w:bottom w:val="none" w:sz="0" w:space="0" w:color="auto"/>
        <w:right w:val="none" w:sz="0" w:space="0" w:color="auto"/>
      </w:divBdr>
    </w:div>
    <w:div w:id="1060985635">
      <w:bodyDiv w:val="1"/>
      <w:marLeft w:val="0"/>
      <w:marRight w:val="0"/>
      <w:marTop w:val="0"/>
      <w:marBottom w:val="0"/>
      <w:divBdr>
        <w:top w:val="none" w:sz="0" w:space="0" w:color="auto"/>
        <w:left w:val="none" w:sz="0" w:space="0" w:color="auto"/>
        <w:bottom w:val="none" w:sz="0" w:space="0" w:color="auto"/>
        <w:right w:val="none" w:sz="0" w:space="0" w:color="auto"/>
      </w:divBdr>
    </w:div>
    <w:div w:id="1061097807">
      <w:bodyDiv w:val="1"/>
      <w:marLeft w:val="0"/>
      <w:marRight w:val="0"/>
      <w:marTop w:val="0"/>
      <w:marBottom w:val="0"/>
      <w:divBdr>
        <w:top w:val="none" w:sz="0" w:space="0" w:color="auto"/>
        <w:left w:val="none" w:sz="0" w:space="0" w:color="auto"/>
        <w:bottom w:val="none" w:sz="0" w:space="0" w:color="auto"/>
        <w:right w:val="none" w:sz="0" w:space="0" w:color="auto"/>
      </w:divBdr>
    </w:div>
    <w:div w:id="1061364323">
      <w:bodyDiv w:val="1"/>
      <w:marLeft w:val="0"/>
      <w:marRight w:val="0"/>
      <w:marTop w:val="0"/>
      <w:marBottom w:val="0"/>
      <w:divBdr>
        <w:top w:val="none" w:sz="0" w:space="0" w:color="auto"/>
        <w:left w:val="none" w:sz="0" w:space="0" w:color="auto"/>
        <w:bottom w:val="none" w:sz="0" w:space="0" w:color="auto"/>
        <w:right w:val="none" w:sz="0" w:space="0" w:color="auto"/>
      </w:divBdr>
    </w:div>
    <w:div w:id="1061489281">
      <w:bodyDiv w:val="1"/>
      <w:marLeft w:val="0"/>
      <w:marRight w:val="0"/>
      <w:marTop w:val="0"/>
      <w:marBottom w:val="0"/>
      <w:divBdr>
        <w:top w:val="none" w:sz="0" w:space="0" w:color="auto"/>
        <w:left w:val="none" w:sz="0" w:space="0" w:color="auto"/>
        <w:bottom w:val="none" w:sz="0" w:space="0" w:color="auto"/>
        <w:right w:val="none" w:sz="0" w:space="0" w:color="auto"/>
      </w:divBdr>
    </w:div>
    <w:div w:id="1061636881">
      <w:bodyDiv w:val="1"/>
      <w:marLeft w:val="0"/>
      <w:marRight w:val="0"/>
      <w:marTop w:val="0"/>
      <w:marBottom w:val="0"/>
      <w:divBdr>
        <w:top w:val="none" w:sz="0" w:space="0" w:color="auto"/>
        <w:left w:val="none" w:sz="0" w:space="0" w:color="auto"/>
        <w:bottom w:val="none" w:sz="0" w:space="0" w:color="auto"/>
        <w:right w:val="none" w:sz="0" w:space="0" w:color="auto"/>
      </w:divBdr>
    </w:div>
    <w:div w:id="1061636921">
      <w:bodyDiv w:val="1"/>
      <w:marLeft w:val="0"/>
      <w:marRight w:val="0"/>
      <w:marTop w:val="0"/>
      <w:marBottom w:val="0"/>
      <w:divBdr>
        <w:top w:val="none" w:sz="0" w:space="0" w:color="auto"/>
        <w:left w:val="none" w:sz="0" w:space="0" w:color="auto"/>
        <w:bottom w:val="none" w:sz="0" w:space="0" w:color="auto"/>
        <w:right w:val="none" w:sz="0" w:space="0" w:color="auto"/>
      </w:divBdr>
    </w:div>
    <w:div w:id="1061825005">
      <w:bodyDiv w:val="1"/>
      <w:marLeft w:val="0"/>
      <w:marRight w:val="0"/>
      <w:marTop w:val="0"/>
      <w:marBottom w:val="0"/>
      <w:divBdr>
        <w:top w:val="none" w:sz="0" w:space="0" w:color="auto"/>
        <w:left w:val="none" w:sz="0" w:space="0" w:color="auto"/>
        <w:bottom w:val="none" w:sz="0" w:space="0" w:color="auto"/>
        <w:right w:val="none" w:sz="0" w:space="0" w:color="auto"/>
      </w:divBdr>
    </w:div>
    <w:div w:id="1062101537">
      <w:bodyDiv w:val="1"/>
      <w:marLeft w:val="0"/>
      <w:marRight w:val="0"/>
      <w:marTop w:val="0"/>
      <w:marBottom w:val="0"/>
      <w:divBdr>
        <w:top w:val="none" w:sz="0" w:space="0" w:color="auto"/>
        <w:left w:val="none" w:sz="0" w:space="0" w:color="auto"/>
        <w:bottom w:val="none" w:sz="0" w:space="0" w:color="auto"/>
        <w:right w:val="none" w:sz="0" w:space="0" w:color="auto"/>
      </w:divBdr>
    </w:div>
    <w:div w:id="1062213793">
      <w:bodyDiv w:val="1"/>
      <w:marLeft w:val="0"/>
      <w:marRight w:val="0"/>
      <w:marTop w:val="0"/>
      <w:marBottom w:val="0"/>
      <w:divBdr>
        <w:top w:val="none" w:sz="0" w:space="0" w:color="auto"/>
        <w:left w:val="none" w:sz="0" w:space="0" w:color="auto"/>
        <w:bottom w:val="none" w:sz="0" w:space="0" w:color="auto"/>
        <w:right w:val="none" w:sz="0" w:space="0" w:color="auto"/>
      </w:divBdr>
    </w:div>
    <w:div w:id="1062290792">
      <w:bodyDiv w:val="1"/>
      <w:marLeft w:val="0"/>
      <w:marRight w:val="0"/>
      <w:marTop w:val="0"/>
      <w:marBottom w:val="0"/>
      <w:divBdr>
        <w:top w:val="none" w:sz="0" w:space="0" w:color="auto"/>
        <w:left w:val="none" w:sz="0" w:space="0" w:color="auto"/>
        <w:bottom w:val="none" w:sz="0" w:space="0" w:color="auto"/>
        <w:right w:val="none" w:sz="0" w:space="0" w:color="auto"/>
      </w:divBdr>
    </w:div>
    <w:div w:id="1062408500">
      <w:bodyDiv w:val="1"/>
      <w:marLeft w:val="0"/>
      <w:marRight w:val="0"/>
      <w:marTop w:val="0"/>
      <w:marBottom w:val="0"/>
      <w:divBdr>
        <w:top w:val="none" w:sz="0" w:space="0" w:color="auto"/>
        <w:left w:val="none" w:sz="0" w:space="0" w:color="auto"/>
        <w:bottom w:val="none" w:sz="0" w:space="0" w:color="auto"/>
        <w:right w:val="none" w:sz="0" w:space="0" w:color="auto"/>
      </w:divBdr>
    </w:div>
    <w:div w:id="1062681173">
      <w:bodyDiv w:val="1"/>
      <w:marLeft w:val="0"/>
      <w:marRight w:val="0"/>
      <w:marTop w:val="0"/>
      <w:marBottom w:val="0"/>
      <w:divBdr>
        <w:top w:val="none" w:sz="0" w:space="0" w:color="auto"/>
        <w:left w:val="none" w:sz="0" w:space="0" w:color="auto"/>
        <w:bottom w:val="none" w:sz="0" w:space="0" w:color="auto"/>
        <w:right w:val="none" w:sz="0" w:space="0" w:color="auto"/>
      </w:divBdr>
    </w:div>
    <w:div w:id="1063135715">
      <w:bodyDiv w:val="1"/>
      <w:marLeft w:val="0"/>
      <w:marRight w:val="0"/>
      <w:marTop w:val="0"/>
      <w:marBottom w:val="0"/>
      <w:divBdr>
        <w:top w:val="none" w:sz="0" w:space="0" w:color="auto"/>
        <w:left w:val="none" w:sz="0" w:space="0" w:color="auto"/>
        <w:bottom w:val="none" w:sz="0" w:space="0" w:color="auto"/>
        <w:right w:val="none" w:sz="0" w:space="0" w:color="auto"/>
      </w:divBdr>
    </w:div>
    <w:div w:id="1063137750">
      <w:bodyDiv w:val="1"/>
      <w:marLeft w:val="0"/>
      <w:marRight w:val="0"/>
      <w:marTop w:val="0"/>
      <w:marBottom w:val="0"/>
      <w:divBdr>
        <w:top w:val="none" w:sz="0" w:space="0" w:color="auto"/>
        <w:left w:val="none" w:sz="0" w:space="0" w:color="auto"/>
        <w:bottom w:val="none" w:sz="0" w:space="0" w:color="auto"/>
        <w:right w:val="none" w:sz="0" w:space="0" w:color="auto"/>
      </w:divBdr>
    </w:div>
    <w:div w:id="1063411243">
      <w:bodyDiv w:val="1"/>
      <w:marLeft w:val="0"/>
      <w:marRight w:val="0"/>
      <w:marTop w:val="0"/>
      <w:marBottom w:val="0"/>
      <w:divBdr>
        <w:top w:val="none" w:sz="0" w:space="0" w:color="auto"/>
        <w:left w:val="none" w:sz="0" w:space="0" w:color="auto"/>
        <w:bottom w:val="none" w:sz="0" w:space="0" w:color="auto"/>
        <w:right w:val="none" w:sz="0" w:space="0" w:color="auto"/>
      </w:divBdr>
    </w:div>
    <w:div w:id="1063453383">
      <w:bodyDiv w:val="1"/>
      <w:marLeft w:val="0"/>
      <w:marRight w:val="0"/>
      <w:marTop w:val="0"/>
      <w:marBottom w:val="0"/>
      <w:divBdr>
        <w:top w:val="none" w:sz="0" w:space="0" w:color="auto"/>
        <w:left w:val="none" w:sz="0" w:space="0" w:color="auto"/>
        <w:bottom w:val="none" w:sz="0" w:space="0" w:color="auto"/>
        <w:right w:val="none" w:sz="0" w:space="0" w:color="auto"/>
      </w:divBdr>
    </w:div>
    <w:div w:id="1063527953">
      <w:bodyDiv w:val="1"/>
      <w:marLeft w:val="0"/>
      <w:marRight w:val="0"/>
      <w:marTop w:val="0"/>
      <w:marBottom w:val="0"/>
      <w:divBdr>
        <w:top w:val="none" w:sz="0" w:space="0" w:color="auto"/>
        <w:left w:val="none" w:sz="0" w:space="0" w:color="auto"/>
        <w:bottom w:val="none" w:sz="0" w:space="0" w:color="auto"/>
        <w:right w:val="none" w:sz="0" w:space="0" w:color="auto"/>
      </w:divBdr>
    </w:div>
    <w:div w:id="1063672629">
      <w:bodyDiv w:val="1"/>
      <w:marLeft w:val="0"/>
      <w:marRight w:val="0"/>
      <w:marTop w:val="0"/>
      <w:marBottom w:val="0"/>
      <w:divBdr>
        <w:top w:val="none" w:sz="0" w:space="0" w:color="auto"/>
        <w:left w:val="none" w:sz="0" w:space="0" w:color="auto"/>
        <w:bottom w:val="none" w:sz="0" w:space="0" w:color="auto"/>
        <w:right w:val="none" w:sz="0" w:space="0" w:color="auto"/>
      </w:divBdr>
    </w:div>
    <w:div w:id="1063719182">
      <w:bodyDiv w:val="1"/>
      <w:marLeft w:val="0"/>
      <w:marRight w:val="0"/>
      <w:marTop w:val="0"/>
      <w:marBottom w:val="0"/>
      <w:divBdr>
        <w:top w:val="none" w:sz="0" w:space="0" w:color="auto"/>
        <w:left w:val="none" w:sz="0" w:space="0" w:color="auto"/>
        <w:bottom w:val="none" w:sz="0" w:space="0" w:color="auto"/>
        <w:right w:val="none" w:sz="0" w:space="0" w:color="auto"/>
      </w:divBdr>
    </w:div>
    <w:div w:id="1063723781">
      <w:bodyDiv w:val="1"/>
      <w:marLeft w:val="0"/>
      <w:marRight w:val="0"/>
      <w:marTop w:val="0"/>
      <w:marBottom w:val="0"/>
      <w:divBdr>
        <w:top w:val="none" w:sz="0" w:space="0" w:color="auto"/>
        <w:left w:val="none" w:sz="0" w:space="0" w:color="auto"/>
        <w:bottom w:val="none" w:sz="0" w:space="0" w:color="auto"/>
        <w:right w:val="none" w:sz="0" w:space="0" w:color="auto"/>
      </w:divBdr>
    </w:div>
    <w:div w:id="1063942285">
      <w:bodyDiv w:val="1"/>
      <w:marLeft w:val="0"/>
      <w:marRight w:val="0"/>
      <w:marTop w:val="0"/>
      <w:marBottom w:val="0"/>
      <w:divBdr>
        <w:top w:val="none" w:sz="0" w:space="0" w:color="auto"/>
        <w:left w:val="none" w:sz="0" w:space="0" w:color="auto"/>
        <w:bottom w:val="none" w:sz="0" w:space="0" w:color="auto"/>
        <w:right w:val="none" w:sz="0" w:space="0" w:color="auto"/>
      </w:divBdr>
    </w:div>
    <w:div w:id="1064185380">
      <w:bodyDiv w:val="1"/>
      <w:marLeft w:val="0"/>
      <w:marRight w:val="0"/>
      <w:marTop w:val="0"/>
      <w:marBottom w:val="0"/>
      <w:divBdr>
        <w:top w:val="none" w:sz="0" w:space="0" w:color="auto"/>
        <w:left w:val="none" w:sz="0" w:space="0" w:color="auto"/>
        <w:bottom w:val="none" w:sz="0" w:space="0" w:color="auto"/>
        <w:right w:val="none" w:sz="0" w:space="0" w:color="auto"/>
      </w:divBdr>
    </w:div>
    <w:div w:id="1064329129">
      <w:bodyDiv w:val="1"/>
      <w:marLeft w:val="0"/>
      <w:marRight w:val="0"/>
      <w:marTop w:val="0"/>
      <w:marBottom w:val="0"/>
      <w:divBdr>
        <w:top w:val="none" w:sz="0" w:space="0" w:color="auto"/>
        <w:left w:val="none" w:sz="0" w:space="0" w:color="auto"/>
        <w:bottom w:val="none" w:sz="0" w:space="0" w:color="auto"/>
        <w:right w:val="none" w:sz="0" w:space="0" w:color="auto"/>
      </w:divBdr>
    </w:div>
    <w:div w:id="1064454030">
      <w:bodyDiv w:val="1"/>
      <w:marLeft w:val="0"/>
      <w:marRight w:val="0"/>
      <w:marTop w:val="0"/>
      <w:marBottom w:val="0"/>
      <w:divBdr>
        <w:top w:val="none" w:sz="0" w:space="0" w:color="auto"/>
        <w:left w:val="none" w:sz="0" w:space="0" w:color="auto"/>
        <w:bottom w:val="none" w:sz="0" w:space="0" w:color="auto"/>
        <w:right w:val="none" w:sz="0" w:space="0" w:color="auto"/>
      </w:divBdr>
    </w:div>
    <w:div w:id="1064528462">
      <w:bodyDiv w:val="1"/>
      <w:marLeft w:val="0"/>
      <w:marRight w:val="0"/>
      <w:marTop w:val="0"/>
      <w:marBottom w:val="0"/>
      <w:divBdr>
        <w:top w:val="none" w:sz="0" w:space="0" w:color="auto"/>
        <w:left w:val="none" w:sz="0" w:space="0" w:color="auto"/>
        <w:bottom w:val="none" w:sz="0" w:space="0" w:color="auto"/>
        <w:right w:val="none" w:sz="0" w:space="0" w:color="auto"/>
      </w:divBdr>
    </w:div>
    <w:div w:id="1064645132">
      <w:bodyDiv w:val="1"/>
      <w:marLeft w:val="0"/>
      <w:marRight w:val="0"/>
      <w:marTop w:val="0"/>
      <w:marBottom w:val="0"/>
      <w:divBdr>
        <w:top w:val="none" w:sz="0" w:space="0" w:color="auto"/>
        <w:left w:val="none" w:sz="0" w:space="0" w:color="auto"/>
        <w:bottom w:val="none" w:sz="0" w:space="0" w:color="auto"/>
        <w:right w:val="none" w:sz="0" w:space="0" w:color="auto"/>
      </w:divBdr>
    </w:div>
    <w:div w:id="1064791716">
      <w:bodyDiv w:val="1"/>
      <w:marLeft w:val="0"/>
      <w:marRight w:val="0"/>
      <w:marTop w:val="0"/>
      <w:marBottom w:val="0"/>
      <w:divBdr>
        <w:top w:val="none" w:sz="0" w:space="0" w:color="auto"/>
        <w:left w:val="none" w:sz="0" w:space="0" w:color="auto"/>
        <w:bottom w:val="none" w:sz="0" w:space="0" w:color="auto"/>
        <w:right w:val="none" w:sz="0" w:space="0" w:color="auto"/>
      </w:divBdr>
    </w:div>
    <w:div w:id="1064833479">
      <w:bodyDiv w:val="1"/>
      <w:marLeft w:val="0"/>
      <w:marRight w:val="0"/>
      <w:marTop w:val="0"/>
      <w:marBottom w:val="0"/>
      <w:divBdr>
        <w:top w:val="none" w:sz="0" w:space="0" w:color="auto"/>
        <w:left w:val="none" w:sz="0" w:space="0" w:color="auto"/>
        <w:bottom w:val="none" w:sz="0" w:space="0" w:color="auto"/>
        <w:right w:val="none" w:sz="0" w:space="0" w:color="auto"/>
      </w:divBdr>
    </w:div>
    <w:div w:id="1064911904">
      <w:bodyDiv w:val="1"/>
      <w:marLeft w:val="0"/>
      <w:marRight w:val="0"/>
      <w:marTop w:val="0"/>
      <w:marBottom w:val="0"/>
      <w:divBdr>
        <w:top w:val="none" w:sz="0" w:space="0" w:color="auto"/>
        <w:left w:val="none" w:sz="0" w:space="0" w:color="auto"/>
        <w:bottom w:val="none" w:sz="0" w:space="0" w:color="auto"/>
        <w:right w:val="none" w:sz="0" w:space="0" w:color="auto"/>
      </w:divBdr>
    </w:div>
    <w:div w:id="1065030046">
      <w:bodyDiv w:val="1"/>
      <w:marLeft w:val="0"/>
      <w:marRight w:val="0"/>
      <w:marTop w:val="0"/>
      <w:marBottom w:val="0"/>
      <w:divBdr>
        <w:top w:val="none" w:sz="0" w:space="0" w:color="auto"/>
        <w:left w:val="none" w:sz="0" w:space="0" w:color="auto"/>
        <w:bottom w:val="none" w:sz="0" w:space="0" w:color="auto"/>
        <w:right w:val="none" w:sz="0" w:space="0" w:color="auto"/>
      </w:divBdr>
    </w:div>
    <w:div w:id="1065033727">
      <w:bodyDiv w:val="1"/>
      <w:marLeft w:val="0"/>
      <w:marRight w:val="0"/>
      <w:marTop w:val="0"/>
      <w:marBottom w:val="0"/>
      <w:divBdr>
        <w:top w:val="none" w:sz="0" w:space="0" w:color="auto"/>
        <w:left w:val="none" w:sz="0" w:space="0" w:color="auto"/>
        <w:bottom w:val="none" w:sz="0" w:space="0" w:color="auto"/>
        <w:right w:val="none" w:sz="0" w:space="0" w:color="auto"/>
      </w:divBdr>
    </w:div>
    <w:div w:id="1065180704">
      <w:bodyDiv w:val="1"/>
      <w:marLeft w:val="0"/>
      <w:marRight w:val="0"/>
      <w:marTop w:val="0"/>
      <w:marBottom w:val="0"/>
      <w:divBdr>
        <w:top w:val="none" w:sz="0" w:space="0" w:color="auto"/>
        <w:left w:val="none" w:sz="0" w:space="0" w:color="auto"/>
        <w:bottom w:val="none" w:sz="0" w:space="0" w:color="auto"/>
        <w:right w:val="none" w:sz="0" w:space="0" w:color="auto"/>
      </w:divBdr>
    </w:div>
    <w:div w:id="1065451256">
      <w:bodyDiv w:val="1"/>
      <w:marLeft w:val="0"/>
      <w:marRight w:val="0"/>
      <w:marTop w:val="0"/>
      <w:marBottom w:val="0"/>
      <w:divBdr>
        <w:top w:val="none" w:sz="0" w:space="0" w:color="auto"/>
        <w:left w:val="none" w:sz="0" w:space="0" w:color="auto"/>
        <w:bottom w:val="none" w:sz="0" w:space="0" w:color="auto"/>
        <w:right w:val="none" w:sz="0" w:space="0" w:color="auto"/>
      </w:divBdr>
    </w:div>
    <w:div w:id="1065488450">
      <w:bodyDiv w:val="1"/>
      <w:marLeft w:val="0"/>
      <w:marRight w:val="0"/>
      <w:marTop w:val="0"/>
      <w:marBottom w:val="0"/>
      <w:divBdr>
        <w:top w:val="none" w:sz="0" w:space="0" w:color="auto"/>
        <w:left w:val="none" w:sz="0" w:space="0" w:color="auto"/>
        <w:bottom w:val="none" w:sz="0" w:space="0" w:color="auto"/>
        <w:right w:val="none" w:sz="0" w:space="0" w:color="auto"/>
      </w:divBdr>
    </w:div>
    <w:div w:id="1065570030">
      <w:bodyDiv w:val="1"/>
      <w:marLeft w:val="0"/>
      <w:marRight w:val="0"/>
      <w:marTop w:val="0"/>
      <w:marBottom w:val="0"/>
      <w:divBdr>
        <w:top w:val="none" w:sz="0" w:space="0" w:color="auto"/>
        <w:left w:val="none" w:sz="0" w:space="0" w:color="auto"/>
        <w:bottom w:val="none" w:sz="0" w:space="0" w:color="auto"/>
        <w:right w:val="none" w:sz="0" w:space="0" w:color="auto"/>
      </w:divBdr>
    </w:div>
    <w:div w:id="1065949863">
      <w:bodyDiv w:val="1"/>
      <w:marLeft w:val="0"/>
      <w:marRight w:val="0"/>
      <w:marTop w:val="0"/>
      <w:marBottom w:val="0"/>
      <w:divBdr>
        <w:top w:val="none" w:sz="0" w:space="0" w:color="auto"/>
        <w:left w:val="none" w:sz="0" w:space="0" w:color="auto"/>
        <w:bottom w:val="none" w:sz="0" w:space="0" w:color="auto"/>
        <w:right w:val="none" w:sz="0" w:space="0" w:color="auto"/>
      </w:divBdr>
    </w:div>
    <w:div w:id="1066149336">
      <w:bodyDiv w:val="1"/>
      <w:marLeft w:val="0"/>
      <w:marRight w:val="0"/>
      <w:marTop w:val="0"/>
      <w:marBottom w:val="0"/>
      <w:divBdr>
        <w:top w:val="none" w:sz="0" w:space="0" w:color="auto"/>
        <w:left w:val="none" w:sz="0" w:space="0" w:color="auto"/>
        <w:bottom w:val="none" w:sz="0" w:space="0" w:color="auto"/>
        <w:right w:val="none" w:sz="0" w:space="0" w:color="auto"/>
      </w:divBdr>
    </w:div>
    <w:div w:id="1066225098">
      <w:bodyDiv w:val="1"/>
      <w:marLeft w:val="0"/>
      <w:marRight w:val="0"/>
      <w:marTop w:val="0"/>
      <w:marBottom w:val="0"/>
      <w:divBdr>
        <w:top w:val="none" w:sz="0" w:space="0" w:color="auto"/>
        <w:left w:val="none" w:sz="0" w:space="0" w:color="auto"/>
        <w:bottom w:val="none" w:sz="0" w:space="0" w:color="auto"/>
        <w:right w:val="none" w:sz="0" w:space="0" w:color="auto"/>
      </w:divBdr>
    </w:div>
    <w:div w:id="1066225797">
      <w:bodyDiv w:val="1"/>
      <w:marLeft w:val="0"/>
      <w:marRight w:val="0"/>
      <w:marTop w:val="0"/>
      <w:marBottom w:val="0"/>
      <w:divBdr>
        <w:top w:val="none" w:sz="0" w:space="0" w:color="auto"/>
        <w:left w:val="none" w:sz="0" w:space="0" w:color="auto"/>
        <w:bottom w:val="none" w:sz="0" w:space="0" w:color="auto"/>
        <w:right w:val="none" w:sz="0" w:space="0" w:color="auto"/>
      </w:divBdr>
    </w:div>
    <w:div w:id="1066487511">
      <w:bodyDiv w:val="1"/>
      <w:marLeft w:val="0"/>
      <w:marRight w:val="0"/>
      <w:marTop w:val="0"/>
      <w:marBottom w:val="0"/>
      <w:divBdr>
        <w:top w:val="none" w:sz="0" w:space="0" w:color="auto"/>
        <w:left w:val="none" w:sz="0" w:space="0" w:color="auto"/>
        <w:bottom w:val="none" w:sz="0" w:space="0" w:color="auto"/>
        <w:right w:val="none" w:sz="0" w:space="0" w:color="auto"/>
      </w:divBdr>
    </w:div>
    <w:div w:id="1066494029">
      <w:bodyDiv w:val="1"/>
      <w:marLeft w:val="0"/>
      <w:marRight w:val="0"/>
      <w:marTop w:val="0"/>
      <w:marBottom w:val="0"/>
      <w:divBdr>
        <w:top w:val="none" w:sz="0" w:space="0" w:color="auto"/>
        <w:left w:val="none" w:sz="0" w:space="0" w:color="auto"/>
        <w:bottom w:val="none" w:sz="0" w:space="0" w:color="auto"/>
        <w:right w:val="none" w:sz="0" w:space="0" w:color="auto"/>
      </w:divBdr>
    </w:div>
    <w:div w:id="1066536249">
      <w:bodyDiv w:val="1"/>
      <w:marLeft w:val="0"/>
      <w:marRight w:val="0"/>
      <w:marTop w:val="0"/>
      <w:marBottom w:val="0"/>
      <w:divBdr>
        <w:top w:val="none" w:sz="0" w:space="0" w:color="auto"/>
        <w:left w:val="none" w:sz="0" w:space="0" w:color="auto"/>
        <w:bottom w:val="none" w:sz="0" w:space="0" w:color="auto"/>
        <w:right w:val="none" w:sz="0" w:space="0" w:color="auto"/>
      </w:divBdr>
    </w:div>
    <w:div w:id="1066609751">
      <w:bodyDiv w:val="1"/>
      <w:marLeft w:val="0"/>
      <w:marRight w:val="0"/>
      <w:marTop w:val="0"/>
      <w:marBottom w:val="0"/>
      <w:divBdr>
        <w:top w:val="none" w:sz="0" w:space="0" w:color="auto"/>
        <w:left w:val="none" w:sz="0" w:space="0" w:color="auto"/>
        <w:bottom w:val="none" w:sz="0" w:space="0" w:color="auto"/>
        <w:right w:val="none" w:sz="0" w:space="0" w:color="auto"/>
      </w:divBdr>
    </w:div>
    <w:div w:id="1066805163">
      <w:bodyDiv w:val="1"/>
      <w:marLeft w:val="0"/>
      <w:marRight w:val="0"/>
      <w:marTop w:val="0"/>
      <w:marBottom w:val="0"/>
      <w:divBdr>
        <w:top w:val="none" w:sz="0" w:space="0" w:color="auto"/>
        <w:left w:val="none" w:sz="0" w:space="0" w:color="auto"/>
        <w:bottom w:val="none" w:sz="0" w:space="0" w:color="auto"/>
        <w:right w:val="none" w:sz="0" w:space="0" w:color="auto"/>
      </w:divBdr>
    </w:div>
    <w:div w:id="1066877043">
      <w:bodyDiv w:val="1"/>
      <w:marLeft w:val="0"/>
      <w:marRight w:val="0"/>
      <w:marTop w:val="0"/>
      <w:marBottom w:val="0"/>
      <w:divBdr>
        <w:top w:val="none" w:sz="0" w:space="0" w:color="auto"/>
        <w:left w:val="none" w:sz="0" w:space="0" w:color="auto"/>
        <w:bottom w:val="none" w:sz="0" w:space="0" w:color="auto"/>
        <w:right w:val="none" w:sz="0" w:space="0" w:color="auto"/>
      </w:divBdr>
    </w:div>
    <w:div w:id="1066878579">
      <w:bodyDiv w:val="1"/>
      <w:marLeft w:val="0"/>
      <w:marRight w:val="0"/>
      <w:marTop w:val="0"/>
      <w:marBottom w:val="0"/>
      <w:divBdr>
        <w:top w:val="none" w:sz="0" w:space="0" w:color="auto"/>
        <w:left w:val="none" w:sz="0" w:space="0" w:color="auto"/>
        <w:bottom w:val="none" w:sz="0" w:space="0" w:color="auto"/>
        <w:right w:val="none" w:sz="0" w:space="0" w:color="auto"/>
      </w:divBdr>
    </w:div>
    <w:div w:id="1067067313">
      <w:bodyDiv w:val="1"/>
      <w:marLeft w:val="0"/>
      <w:marRight w:val="0"/>
      <w:marTop w:val="0"/>
      <w:marBottom w:val="0"/>
      <w:divBdr>
        <w:top w:val="none" w:sz="0" w:space="0" w:color="auto"/>
        <w:left w:val="none" w:sz="0" w:space="0" w:color="auto"/>
        <w:bottom w:val="none" w:sz="0" w:space="0" w:color="auto"/>
        <w:right w:val="none" w:sz="0" w:space="0" w:color="auto"/>
      </w:divBdr>
    </w:div>
    <w:div w:id="1067456995">
      <w:bodyDiv w:val="1"/>
      <w:marLeft w:val="0"/>
      <w:marRight w:val="0"/>
      <w:marTop w:val="0"/>
      <w:marBottom w:val="0"/>
      <w:divBdr>
        <w:top w:val="none" w:sz="0" w:space="0" w:color="auto"/>
        <w:left w:val="none" w:sz="0" w:space="0" w:color="auto"/>
        <w:bottom w:val="none" w:sz="0" w:space="0" w:color="auto"/>
        <w:right w:val="none" w:sz="0" w:space="0" w:color="auto"/>
      </w:divBdr>
    </w:div>
    <w:div w:id="1067535131">
      <w:bodyDiv w:val="1"/>
      <w:marLeft w:val="0"/>
      <w:marRight w:val="0"/>
      <w:marTop w:val="0"/>
      <w:marBottom w:val="0"/>
      <w:divBdr>
        <w:top w:val="none" w:sz="0" w:space="0" w:color="auto"/>
        <w:left w:val="none" w:sz="0" w:space="0" w:color="auto"/>
        <w:bottom w:val="none" w:sz="0" w:space="0" w:color="auto"/>
        <w:right w:val="none" w:sz="0" w:space="0" w:color="auto"/>
      </w:divBdr>
    </w:div>
    <w:div w:id="1067648537">
      <w:bodyDiv w:val="1"/>
      <w:marLeft w:val="0"/>
      <w:marRight w:val="0"/>
      <w:marTop w:val="0"/>
      <w:marBottom w:val="0"/>
      <w:divBdr>
        <w:top w:val="none" w:sz="0" w:space="0" w:color="auto"/>
        <w:left w:val="none" w:sz="0" w:space="0" w:color="auto"/>
        <w:bottom w:val="none" w:sz="0" w:space="0" w:color="auto"/>
        <w:right w:val="none" w:sz="0" w:space="0" w:color="auto"/>
      </w:divBdr>
    </w:div>
    <w:div w:id="1067723165">
      <w:bodyDiv w:val="1"/>
      <w:marLeft w:val="0"/>
      <w:marRight w:val="0"/>
      <w:marTop w:val="0"/>
      <w:marBottom w:val="0"/>
      <w:divBdr>
        <w:top w:val="none" w:sz="0" w:space="0" w:color="auto"/>
        <w:left w:val="none" w:sz="0" w:space="0" w:color="auto"/>
        <w:bottom w:val="none" w:sz="0" w:space="0" w:color="auto"/>
        <w:right w:val="none" w:sz="0" w:space="0" w:color="auto"/>
      </w:divBdr>
    </w:div>
    <w:div w:id="1068726987">
      <w:bodyDiv w:val="1"/>
      <w:marLeft w:val="0"/>
      <w:marRight w:val="0"/>
      <w:marTop w:val="0"/>
      <w:marBottom w:val="0"/>
      <w:divBdr>
        <w:top w:val="none" w:sz="0" w:space="0" w:color="auto"/>
        <w:left w:val="none" w:sz="0" w:space="0" w:color="auto"/>
        <w:bottom w:val="none" w:sz="0" w:space="0" w:color="auto"/>
        <w:right w:val="none" w:sz="0" w:space="0" w:color="auto"/>
      </w:divBdr>
    </w:div>
    <w:div w:id="1068765286">
      <w:bodyDiv w:val="1"/>
      <w:marLeft w:val="0"/>
      <w:marRight w:val="0"/>
      <w:marTop w:val="0"/>
      <w:marBottom w:val="0"/>
      <w:divBdr>
        <w:top w:val="none" w:sz="0" w:space="0" w:color="auto"/>
        <w:left w:val="none" w:sz="0" w:space="0" w:color="auto"/>
        <w:bottom w:val="none" w:sz="0" w:space="0" w:color="auto"/>
        <w:right w:val="none" w:sz="0" w:space="0" w:color="auto"/>
      </w:divBdr>
    </w:div>
    <w:div w:id="1069042206">
      <w:bodyDiv w:val="1"/>
      <w:marLeft w:val="0"/>
      <w:marRight w:val="0"/>
      <w:marTop w:val="0"/>
      <w:marBottom w:val="0"/>
      <w:divBdr>
        <w:top w:val="none" w:sz="0" w:space="0" w:color="auto"/>
        <w:left w:val="none" w:sz="0" w:space="0" w:color="auto"/>
        <w:bottom w:val="none" w:sz="0" w:space="0" w:color="auto"/>
        <w:right w:val="none" w:sz="0" w:space="0" w:color="auto"/>
      </w:divBdr>
    </w:div>
    <w:div w:id="1069614075">
      <w:bodyDiv w:val="1"/>
      <w:marLeft w:val="0"/>
      <w:marRight w:val="0"/>
      <w:marTop w:val="0"/>
      <w:marBottom w:val="0"/>
      <w:divBdr>
        <w:top w:val="none" w:sz="0" w:space="0" w:color="auto"/>
        <w:left w:val="none" w:sz="0" w:space="0" w:color="auto"/>
        <w:bottom w:val="none" w:sz="0" w:space="0" w:color="auto"/>
        <w:right w:val="none" w:sz="0" w:space="0" w:color="auto"/>
      </w:divBdr>
    </w:div>
    <w:div w:id="1069697178">
      <w:bodyDiv w:val="1"/>
      <w:marLeft w:val="0"/>
      <w:marRight w:val="0"/>
      <w:marTop w:val="0"/>
      <w:marBottom w:val="0"/>
      <w:divBdr>
        <w:top w:val="none" w:sz="0" w:space="0" w:color="auto"/>
        <w:left w:val="none" w:sz="0" w:space="0" w:color="auto"/>
        <w:bottom w:val="none" w:sz="0" w:space="0" w:color="auto"/>
        <w:right w:val="none" w:sz="0" w:space="0" w:color="auto"/>
      </w:divBdr>
    </w:div>
    <w:div w:id="1069765922">
      <w:bodyDiv w:val="1"/>
      <w:marLeft w:val="0"/>
      <w:marRight w:val="0"/>
      <w:marTop w:val="0"/>
      <w:marBottom w:val="0"/>
      <w:divBdr>
        <w:top w:val="none" w:sz="0" w:space="0" w:color="auto"/>
        <w:left w:val="none" w:sz="0" w:space="0" w:color="auto"/>
        <w:bottom w:val="none" w:sz="0" w:space="0" w:color="auto"/>
        <w:right w:val="none" w:sz="0" w:space="0" w:color="auto"/>
      </w:divBdr>
    </w:div>
    <w:div w:id="1070007889">
      <w:bodyDiv w:val="1"/>
      <w:marLeft w:val="0"/>
      <w:marRight w:val="0"/>
      <w:marTop w:val="0"/>
      <w:marBottom w:val="0"/>
      <w:divBdr>
        <w:top w:val="none" w:sz="0" w:space="0" w:color="auto"/>
        <w:left w:val="none" w:sz="0" w:space="0" w:color="auto"/>
        <w:bottom w:val="none" w:sz="0" w:space="0" w:color="auto"/>
        <w:right w:val="none" w:sz="0" w:space="0" w:color="auto"/>
      </w:divBdr>
    </w:div>
    <w:div w:id="1070228298">
      <w:bodyDiv w:val="1"/>
      <w:marLeft w:val="0"/>
      <w:marRight w:val="0"/>
      <w:marTop w:val="0"/>
      <w:marBottom w:val="0"/>
      <w:divBdr>
        <w:top w:val="none" w:sz="0" w:space="0" w:color="auto"/>
        <w:left w:val="none" w:sz="0" w:space="0" w:color="auto"/>
        <w:bottom w:val="none" w:sz="0" w:space="0" w:color="auto"/>
        <w:right w:val="none" w:sz="0" w:space="0" w:color="auto"/>
      </w:divBdr>
    </w:div>
    <w:div w:id="1070349978">
      <w:bodyDiv w:val="1"/>
      <w:marLeft w:val="0"/>
      <w:marRight w:val="0"/>
      <w:marTop w:val="0"/>
      <w:marBottom w:val="0"/>
      <w:divBdr>
        <w:top w:val="none" w:sz="0" w:space="0" w:color="auto"/>
        <w:left w:val="none" w:sz="0" w:space="0" w:color="auto"/>
        <w:bottom w:val="none" w:sz="0" w:space="0" w:color="auto"/>
        <w:right w:val="none" w:sz="0" w:space="0" w:color="auto"/>
      </w:divBdr>
    </w:div>
    <w:div w:id="1070616804">
      <w:bodyDiv w:val="1"/>
      <w:marLeft w:val="0"/>
      <w:marRight w:val="0"/>
      <w:marTop w:val="0"/>
      <w:marBottom w:val="0"/>
      <w:divBdr>
        <w:top w:val="none" w:sz="0" w:space="0" w:color="auto"/>
        <w:left w:val="none" w:sz="0" w:space="0" w:color="auto"/>
        <w:bottom w:val="none" w:sz="0" w:space="0" w:color="auto"/>
        <w:right w:val="none" w:sz="0" w:space="0" w:color="auto"/>
      </w:divBdr>
    </w:div>
    <w:div w:id="1070617797">
      <w:bodyDiv w:val="1"/>
      <w:marLeft w:val="0"/>
      <w:marRight w:val="0"/>
      <w:marTop w:val="0"/>
      <w:marBottom w:val="0"/>
      <w:divBdr>
        <w:top w:val="none" w:sz="0" w:space="0" w:color="auto"/>
        <w:left w:val="none" w:sz="0" w:space="0" w:color="auto"/>
        <w:bottom w:val="none" w:sz="0" w:space="0" w:color="auto"/>
        <w:right w:val="none" w:sz="0" w:space="0" w:color="auto"/>
      </w:divBdr>
    </w:div>
    <w:div w:id="1070931715">
      <w:bodyDiv w:val="1"/>
      <w:marLeft w:val="0"/>
      <w:marRight w:val="0"/>
      <w:marTop w:val="0"/>
      <w:marBottom w:val="0"/>
      <w:divBdr>
        <w:top w:val="none" w:sz="0" w:space="0" w:color="auto"/>
        <w:left w:val="none" w:sz="0" w:space="0" w:color="auto"/>
        <w:bottom w:val="none" w:sz="0" w:space="0" w:color="auto"/>
        <w:right w:val="none" w:sz="0" w:space="0" w:color="auto"/>
      </w:divBdr>
    </w:div>
    <w:div w:id="1070932040">
      <w:bodyDiv w:val="1"/>
      <w:marLeft w:val="0"/>
      <w:marRight w:val="0"/>
      <w:marTop w:val="0"/>
      <w:marBottom w:val="0"/>
      <w:divBdr>
        <w:top w:val="none" w:sz="0" w:space="0" w:color="auto"/>
        <w:left w:val="none" w:sz="0" w:space="0" w:color="auto"/>
        <w:bottom w:val="none" w:sz="0" w:space="0" w:color="auto"/>
        <w:right w:val="none" w:sz="0" w:space="0" w:color="auto"/>
      </w:divBdr>
    </w:div>
    <w:div w:id="1071150329">
      <w:bodyDiv w:val="1"/>
      <w:marLeft w:val="0"/>
      <w:marRight w:val="0"/>
      <w:marTop w:val="0"/>
      <w:marBottom w:val="0"/>
      <w:divBdr>
        <w:top w:val="none" w:sz="0" w:space="0" w:color="auto"/>
        <w:left w:val="none" w:sz="0" w:space="0" w:color="auto"/>
        <w:bottom w:val="none" w:sz="0" w:space="0" w:color="auto"/>
        <w:right w:val="none" w:sz="0" w:space="0" w:color="auto"/>
      </w:divBdr>
    </w:div>
    <w:div w:id="1071198123">
      <w:bodyDiv w:val="1"/>
      <w:marLeft w:val="0"/>
      <w:marRight w:val="0"/>
      <w:marTop w:val="0"/>
      <w:marBottom w:val="0"/>
      <w:divBdr>
        <w:top w:val="none" w:sz="0" w:space="0" w:color="auto"/>
        <w:left w:val="none" w:sz="0" w:space="0" w:color="auto"/>
        <w:bottom w:val="none" w:sz="0" w:space="0" w:color="auto"/>
        <w:right w:val="none" w:sz="0" w:space="0" w:color="auto"/>
      </w:divBdr>
    </w:div>
    <w:div w:id="1071275111">
      <w:bodyDiv w:val="1"/>
      <w:marLeft w:val="0"/>
      <w:marRight w:val="0"/>
      <w:marTop w:val="0"/>
      <w:marBottom w:val="0"/>
      <w:divBdr>
        <w:top w:val="none" w:sz="0" w:space="0" w:color="auto"/>
        <w:left w:val="none" w:sz="0" w:space="0" w:color="auto"/>
        <w:bottom w:val="none" w:sz="0" w:space="0" w:color="auto"/>
        <w:right w:val="none" w:sz="0" w:space="0" w:color="auto"/>
      </w:divBdr>
    </w:div>
    <w:div w:id="1071275931">
      <w:bodyDiv w:val="1"/>
      <w:marLeft w:val="0"/>
      <w:marRight w:val="0"/>
      <w:marTop w:val="0"/>
      <w:marBottom w:val="0"/>
      <w:divBdr>
        <w:top w:val="none" w:sz="0" w:space="0" w:color="auto"/>
        <w:left w:val="none" w:sz="0" w:space="0" w:color="auto"/>
        <w:bottom w:val="none" w:sz="0" w:space="0" w:color="auto"/>
        <w:right w:val="none" w:sz="0" w:space="0" w:color="auto"/>
      </w:divBdr>
    </w:div>
    <w:div w:id="1071384871">
      <w:bodyDiv w:val="1"/>
      <w:marLeft w:val="0"/>
      <w:marRight w:val="0"/>
      <w:marTop w:val="0"/>
      <w:marBottom w:val="0"/>
      <w:divBdr>
        <w:top w:val="none" w:sz="0" w:space="0" w:color="auto"/>
        <w:left w:val="none" w:sz="0" w:space="0" w:color="auto"/>
        <w:bottom w:val="none" w:sz="0" w:space="0" w:color="auto"/>
        <w:right w:val="none" w:sz="0" w:space="0" w:color="auto"/>
      </w:divBdr>
    </w:div>
    <w:div w:id="1071656850">
      <w:bodyDiv w:val="1"/>
      <w:marLeft w:val="0"/>
      <w:marRight w:val="0"/>
      <w:marTop w:val="0"/>
      <w:marBottom w:val="0"/>
      <w:divBdr>
        <w:top w:val="none" w:sz="0" w:space="0" w:color="auto"/>
        <w:left w:val="none" w:sz="0" w:space="0" w:color="auto"/>
        <w:bottom w:val="none" w:sz="0" w:space="0" w:color="auto"/>
        <w:right w:val="none" w:sz="0" w:space="0" w:color="auto"/>
      </w:divBdr>
    </w:div>
    <w:div w:id="1071854914">
      <w:bodyDiv w:val="1"/>
      <w:marLeft w:val="0"/>
      <w:marRight w:val="0"/>
      <w:marTop w:val="0"/>
      <w:marBottom w:val="0"/>
      <w:divBdr>
        <w:top w:val="none" w:sz="0" w:space="0" w:color="auto"/>
        <w:left w:val="none" w:sz="0" w:space="0" w:color="auto"/>
        <w:bottom w:val="none" w:sz="0" w:space="0" w:color="auto"/>
        <w:right w:val="none" w:sz="0" w:space="0" w:color="auto"/>
      </w:divBdr>
    </w:div>
    <w:div w:id="1071922591">
      <w:bodyDiv w:val="1"/>
      <w:marLeft w:val="0"/>
      <w:marRight w:val="0"/>
      <w:marTop w:val="0"/>
      <w:marBottom w:val="0"/>
      <w:divBdr>
        <w:top w:val="none" w:sz="0" w:space="0" w:color="auto"/>
        <w:left w:val="none" w:sz="0" w:space="0" w:color="auto"/>
        <w:bottom w:val="none" w:sz="0" w:space="0" w:color="auto"/>
        <w:right w:val="none" w:sz="0" w:space="0" w:color="auto"/>
      </w:divBdr>
    </w:div>
    <w:div w:id="1071929182">
      <w:bodyDiv w:val="1"/>
      <w:marLeft w:val="0"/>
      <w:marRight w:val="0"/>
      <w:marTop w:val="0"/>
      <w:marBottom w:val="0"/>
      <w:divBdr>
        <w:top w:val="none" w:sz="0" w:space="0" w:color="auto"/>
        <w:left w:val="none" w:sz="0" w:space="0" w:color="auto"/>
        <w:bottom w:val="none" w:sz="0" w:space="0" w:color="auto"/>
        <w:right w:val="none" w:sz="0" w:space="0" w:color="auto"/>
      </w:divBdr>
    </w:div>
    <w:div w:id="1072122527">
      <w:bodyDiv w:val="1"/>
      <w:marLeft w:val="0"/>
      <w:marRight w:val="0"/>
      <w:marTop w:val="0"/>
      <w:marBottom w:val="0"/>
      <w:divBdr>
        <w:top w:val="none" w:sz="0" w:space="0" w:color="auto"/>
        <w:left w:val="none" w:sz="0" w:space="0" w:color="auto"/>
        <w:bottom w:val="none" w:sz="0" w:space="0" w:color="auto"/>
        <w:right w:val="none" w:sz="0" w:space="0" w:color="auto"/>
      </w:divBdr>
    </w:div>
    <w:div w:id="1072125041">
      <w:bodyDiv w:val="1"/>
      <w:marLeft w:val="0"/>
      <w:marRight w:val="0"/>
      <w:marTop w:val="0"/>
      <w:marBottom w:val="0"/>
      <w:divBdr>
        <w:top w:val="none" w:sz="0" w:space="0" w:color="auto"/>
        <w:left w:val="none" w:sz="0" w:space="0" w:color="auto"/>
        <w:bottom w:val="none" w:sz="0" w:space="0" w:color="auto"/>
        <w:right w:val="none" w:sz="0" w:space="0" w:color="auto"/>
      </w:divBdr>
    </w:div>
    <w:div w:id="1072391894">
      <w:bodyDiv w:val="1"/>
      <w:marLeft w:val="0"/>
      <w:marRight w:val="0"/>
      <w:marTop w:val="0"/>
      <w:marBottom w:val="0"/>
      <w:divBdr>
        <w:top w:val="none" w:sz="0" w:space="0" w:color="auto"/>
        <w:left w:val="none" w:sz="0" w:space="0" w:color="auto"/>
        <w:bottom w:val="none" w:sz="0" w:space="0" w:color="auto"/>
        <w:right w:val="none" w:sz="0" w:space="0" w:color="auto"/>
      </w:divBdr>
    </w:div>
    <w:div w:id="1072463641">
      <w:bodyDiv w:val="1"/>
      <w:marLeft w:val="0"/>
      <w:marRight w:val="0"/>
      <w:marTop w:val="0"/>
      <w:marBottom w:val="0"/>
      <w:divBdr>
        <w:top w:val="none" w:sz="0" w:space="0" w:color="auto"/>
        <w:left w:val="none" w:sz="0" w:space="0" w:color="auto"/>
        <w:bottom w:val="none" w:sz="0" w:space="0" w:color="auto"/>
        <w:right w:val="none" w:sz="0" w:space="0" w:color="auto"/>
      </w:divBdr>
    </w:div>
    <w:div w:id="1073043259">
      <w:bodyDiv w:val="1"/>
      <w:marLeft w:val="0"/>
      <w:marRight w:val="0"/>
      <w:marTop w:val="0"/>
      <w:marBottom w:val="0"/>
      <w:divBdr>
        <w:top w:val="none" w:sz="0" w:space="0" w:color="auto"/>
        <w:left w:val="none" w:sz="0" w:space="0" w:color="auto"/>
        <w:bottom w:val="none" w:sz="0" w:space="0" w:color="auto"/>
        <w:right w:val="none" w:sz="0" w:space="0" w:color="auto"/>
      </w:divBdr>
    </w:div>
    <w:div w:id="1073048542">
      <w:bodyDiv w:val="1"/>
      <w:marLeft w:val="0"/>
      <w:marRight w:val="0"/>
      <w:marTop w:val="0"/>
      <w:marBottom w:val="0"/>
      <w:divBdr>
        <w:top w:val="none" w:sz="0" w:space="0" w:color="auto"/>
        <w:left w:val="none" w:sz="0" w:space="0" w:color="auto"/>
        <w:bottom w:val="none" w:sz="0" w:space="0" w:color="auto"/>
        <w:right w:val="none" w:sz="0" w:space="0" w:color="auto"/>
      </w:divBdr>
    </w:div>
    <w:div w:id="1073117855">
      <w:bodyDiv w:val="1"/>
      <w:marLeft w:val="0"/>
      <w:marRight w:val="0"/>
      <w:marTop w:val="0"/>
      <w:marBottom w:val="0"/>
      <w:divBdr>
        <w:top w:val="none" w:sz="0" w:space="0" w:color="auto"/>
        <w:left w:val="none" w:sz="0" w:space="0" w:color="auto"/>
        <w:bottom w:val="none" w:sz="0" w:space="0" w:color="auto"/>
        <w:right w:val="none" w:sz="0" w:space="0" w:color="auto"/>
      </w:divBdr>
    </w:div>
    <w:div w:id="1073313689">
      <w:bodyDiv w:val="1"/>
      <w:marLeft w:val="0"/>
      <w:marRight w:val="0"/>
      <w:marTop w:val="0"/>
      <w:marBottom w:val="0"/>
      <w:divBdr>
        <w:top w:val="none" w:sz="0" w:space="0" w:color="auto"/>
        <w:left w:val="none" w:sz="0" w:space="0" w:color="auto"/>
        <w:bottom w:val="none" w:sz="0" w:space="0" w:color="auto"/>
        <w:right w:val="none" w:sz="0" w:space="0" w:color="auto"/>
      </w:divBdr>
    </w:div>
    <w:div w:id="1073352085">
      <w:bodyDiv w:val="1"/>
      <w:marLeft w:val="0"/>
      <w:marRight w:val="0"/>
      <w:marTop w:val="0"/>
      <w:marBottom w:val="0"/>
      <w:divBdr>
        <w:top w:val="none" w:sz="0" w:space="0" w:color="auto"/>
        <w:left w:val="none" w:sz="0" w:space="0" w:color="auto"/>
        <w:bottom w:val="none" w:sz="0" w:space="0" w:color="auto"/>
        <w:right w:val="none" w:sz="0" w:space="0" w:color="auto"/>
      </w:divBdr>
    </w:div>
    <w:div w:id="1073432465">
      <w:bodyDiv w:val="1"/>
      <w:marLeft w:val="0"/>
      <w:marRight w:val="0"/>
      <w:marTop w:val="0"/>
      <w:marBottom w:val="0"/>
      <w:divBdr>
        <w:top w:val="none" w:sz="0" w:space="0" w:color="auto"/>
        <w:left w:val="none" w:sz="0" w:space="0" w:color="auto"/>
        <w:bottom w:val="none" w:sz="0" w:space="0" w:color="auto"/>
        <w:right w:val="none" w:sz="0" w:space="0" w:color="auto"/>
      </w:divBdr>
    </w:div>
    <w:div w:id="1073623204">
      <w:bodyDiv w:val="1"/>
      <w:marLeft w:val="0"/>
      <w:marRight w:val="0"/>
      <w:marTop w:val="0"/>
      <w:marBottom w:val="0"/>
      <w:divBdr>
        <w:top w:val="none" w:sz="0" w:space="0" w:color="auto"/>
        <w:left w:val="none" w:sz="0" w:space="0" w:color="auto"/>
        <w:bottom w:val="none" w:sz="0" w:space="0" w:color="auto"/>
        <w:right w:val="none" w:sz="0" w:space="0" w:color="auto"/>
      </w:divBdr>
    </w:div>
    <w:div w:id="1073625140">
      <w:bodyDiv w:val="1"/>
      <w:marLeft w:val="0"/>
      <w:marRight w:val="0"/>
      <w:marTop w:val="0"/>
      <w:marBottom w:val="0"/>
      <w:divBdr>
        <w:top w:val="none" w:sz="0" w:space="0" w:color="auto"/>
        <w:left w:val="none" w:sz="0" w:space="0" w:color="auto"/>
        <w:bottom w:val="none" w:sz="0" w:space="0" w:color="auto"/>
        <w:right w:val="none" w:sz="0" w:space="0" w:color="auto"/>
      </w:divBdr>
    </w:div>
    <w:div w:id="1073815333">
      <w:bodyDiv w:val="1"/>
      <w:marLeft w:val="0"/>
      <w:marRight w:val="0"/>
      <w:marTop w:val="0"/>
      <w:marBottom w:val="0"/>
      <w:divBdr>
        <w:top w:val="none" w:sz="0" w:space="0" w:color="auto"/>
        <w:left w:val="none" w:sz="0" w:space="0" w:color="auto"/>
        <w:bottom w:val="none" w:sz="0" w:space="0" w:color="auto"/>
        <w:right w:val="none" w:sz="0" w:space="0" w:color="auto"/>
      </w:divBdr>
    </w:div>
    <w:div w:id="1073890630">
      <w:bodyDiv w:val="1"/>
      <w:marLeft w:val="0"/>
      <w:marRight w:val="0"/>
      <w:marTop w:val="0"/>
      <w:marBottom w:val="0"/>
      <w:divBdr>
        <w:top w:val="none" w:sz="0" w:space="0" w:color="auto"/>
        <w:left w:val="none" w:sz="0" w:space="0" w:color="auto"/>
        <w:bottom w:val="none" w:sz="0" w:space="0" w:color="auto"/>
        <w:right w:val="none" w:sz="0" w:space="0" w:color="auto"/>
      </w:divBdr>
    </w:div>
    <w:div w:id="1073971187">
      <w:bodyDiv w:val="1"/>
      <w:marLeft w:val="0"/>
      <w:marRight w:val="0"/>
      <w:marTop w:val="0"/>
      <w:marBottom w:val="0"/>
      <w:divBdr>
        <w:top w:val="none" w:sz="0" w:space="0" w:color="auto"/>
        <w:left w:val="none" w:sz="0" w:space="0" w:color="auto"/>
        <w:bottom w:val="none" w:sz="0" w:space="0" w:color="auto"/>
        <w:right w:val="none" w:sz="0" w:space="0" w:color="auto"/>
      </w:divBdr>
    </w:div>
    <w:div w:id="1074007703">
      <w:bodyDiv w:val="1"/>
      <w:marLeft w:val="0"/>
      <w:marRight w:val="0"/>
      <w:marTop w:val="0"/>
      <w:marBottom w:val="0"/>
      <w:divBdr>
        <w:top w:val="none" w:sz="0" w:space="0" w:color="auto"/>
        <w:left w:val="none" w:sz="0" w:space="0" w:color="auto"/>
        <w:bottom w:val="none" w:sz="0" w:space="0" w:color="auto"/>
        <w:right w:val="none" w:sz="0" w:space="0" w:color="auto"/>
      </w:divBdr>
    </w:div>
    <w:div w:id="1074207948">
      <w:bodyDiv w:val="1"/>
      <w:marLeft w:val="0"/>
      <w:marRight w:val="0"/>
      <w:marTop w:val="0"/>
      <w:marBottom w:val="0"/>
      <w:divBdr>
        <w:top w:val="none" w:sz="0" w:space="0" w:color="auto"/>
        <w:left w:val="none" w:sz="0" w:space="0" w:color="auto"/>
        <w:bottom w:val="none" w:sz="0" w:space="0" w:color="auto"/>
        <w:right w:val="none" w:sz="0" w:space="0" w:color="auto"/>
      </w:divBdr>
    </w:div>
    <w:div w:id="1074350730">
      <w:bodyDiv w:val="1"/>
      <w:marLeft w:val="0"/>
      <w:marRight w:val="0"/>
      <w:marTop w:val="0"/>
      <w:marBottom w:val="0"/>
      <w:divBdr>
        <w:top w:val="none" w:sz="0" w:space="0" w:color="auto"/>
        <w:left w:val="none" w:sz="0" w:space="0" w:color="auto"/>
        <w:bottom w:val="none" w:sz="0" w:space="0" w:color="auto"/>
        <w:right w:val="none" w:sz="0" w:space="0" w:color="auto"/>
      </w:divBdr>
    </w:div>
    <w:div w:id="1074399756">
      <w:bodyDiv w:val="1"/>
      <w:marLeft w:val="0"/>
      <w:marRight w:val="0"/>
      <w:marTop w:val="0"/>
      <w:marBottom w:val="0"/>
      <w:divBdr>
        <w:top w:val="none" w:sz="0" w:space="0" w:color="auto"/>
        <w:left w:val="none" w:sz="0" w:space="0" w:color="auto"/>
        <w:bottom w:val="none" w:sz="0" w:space="0" w:color="auto"/>
        <w:right w:val="none" w:sz="0" w:space="0" w:color="auto"/>
      </w:divBdr>
    </w:div>
    <w:div w:id="1074621916">
      <w:bodyDiv w:val="1"/>
      <w:marLeft w:val="0"/>
      <w:marRight w:val="0"/>
      <w:marTop w:val="0"/>
      <w:marBottom w:val="0"/>
      <w:divBdr>
        <w:top w:val="none" w:sz="0" w:space="0" w:color="auto"/>
        <w:left w:val="none" w:sz="0" w:space="0" w:color="auto"/>
        <w:bottom w:val="none" w:sz="0" w:space="0" w:color="auto"/>
        <w:right w:val="none" w:sz="0" w:space="0" w:color="auto"/>
      </w:divBdr>
    </w:div>
    <w:div w:id="1074662995">
      <w:bodyDiv w:val="1"/>
      <w:marLeft w:val="0"/>
      <w:marRight w:val="0"/>
      <w:marTop w:val="0"/>
      <w:marBottom w:val="0"/>
      <w:divBdr>
        <w:top w:val="none" w:sz="0" w:space="0" w:color="auto"/>
        <w:left w:val="none" w:sz="0" w:space="0" w:color="auto"/>
        <w:bottom w:val="none" w:sz="0" w:space="0" w:color="auto"/>
        <w:right w:val="none" w:sz="0" w:space="0" w:color="auto"/>
      </w:divBdr>
    </w:div>
    <w:div w:id="1074665221">
      <w:bodyDiv w:val="1"/>
      <w:marLeft w:val="0"/>
      <w:marRight w:val="0"/>
      <w:marTop w:val="0"/>
      <w:marBottom w:val="0"/>
      <w:divBdr>
        <w:top w:val="none" w:sz="0" w:space="0" w:color="auto"/>
        <w:left w:val="none" w:sz="0" w:space="0" w:color="auto"/>
        <w:bottom w:val="none" w:sz="0" w:space="0" w:color="auto"/>
        <w:right w:val="none" w:sz="0" w:space="0" w:color="auto"/>
      </w:divBdr>
    </w:div>
    <w:div w:id="1074746206">
      <w:bodyDiv w:val="1"/>
      <w:marLeft w:val="0"/>
      <w:marRight w:val="0"/>
      <w:marTop w:val="0"/>
      <w:marBottom w:val="0"/>
      <w:divBdr>
        <w:top w:val="none" w:sz="0" w:space="0" w:color="auto"/>
        <w:left w:val="none" w:sz="0" w:space="0" w:color="auto"/>
        <w:bottom w:val="none" w:sz="0" w:space="0" w:color="auto"/>
        <w:right w:val="none" w:sz="0" w:space="0" w:color="auto"/>
      </w:divBdr>
    </w:div>
    <w:div w:id="1074815315">
      <w:bodyDiv w:val="1"/>
      <w:marLeft w:val="0"/>
      <w:marRight w:val="0"/>
      <w:marTop w:val="0"/>
      <w:marBottom w:val="0"/>
      <w:divBdr>
        <w:top w:val="none" w:sz="0" w:space="0" w:color="auto"/>
        <w:left w:val="none" w:sz="0" w:space="0" w:color="auto"/>
        <w:bottom w:val="none" w:sz="0" w:space="0" w:color="auto"/>
        <w:right w:val="none" w:sz="0" w:space="0" w:color="auto"/>
      </w:divBdr>
    </w:div>
    <w:div w:id="1074817192">
      <w:bodyDiv w:val="1"/>
      <w:marLeft w:val="0"/>
      <w:marRight w:val="0"/>
      <w:marTop w:val="0"/>
      <w:marBottom w:val="0"/>
      <w:divBdr>
        <w:top w:val="none" w:sz="0" w:space="0" w:color="auto"/>
        <w:left w:val="none" w:sz="0" w:space="0" w:color="auto"/>
        <w:bottom w:val="none" w:sz="0" w:space="0" w:color="auto"/>
        <w:right w:val="none" w:sz="0" w:space="0" w:color="auto"/>
      </w:divBdr>
    </w:div>
    <w:div w:id="1074861630">
      <w:bodyDiv w:val="1"/>
      <w:marLeft w:val="0"/>
      <w:marRight w:val="0"/>
      <w:marTop w:val="0"/>
      <w:marBottom w:val="0"/>
      <w:divBdr>
        <w:top w:val="none" w:sz="0" w:space="0" w:color="auto"/>
        <w:left w:val="none" w:sz="0" w:space="0" w:color="auto"/>
        <w:bottom w:val="none" w:sz="0" w:space="0" w:color="auto"/>
        <w:right w:val="none" w:sz="0" w:space="0" w:color="auto"/>
      </w:divBdr>
    </w:div>
    <w:div w:id="1074930704">
      <w:bodyDiv w:val="1"/>
      <w:marLeft w:val="0"/>
      <w:marRight w:val="0"/>
      <w:marTop w:val="0"/>
      <w:marBottom w:val="0"/>
      <w:divBdr>
        <w:top w:val="none" w:sz="0" w:space="0" w:color="auto"/>
        <w:left w:val="none" w:sz="0" w:space="0" w:color="auto"/>
        <w:bottom w:val="none" w:sz="0" w:space="0" w:color="auto"/>
        <w:right w:val="none" w:sz="0" w:space="0" w:color="auto"/>
      </w:divBdr>
    </w:div>
    <w:div w:id="1075006493">
      <w:bodyDiv w:val="1"/>
      <w:marLeft w:val="0"/>
      <w:marRight w:val="0"/>
      <w:marTop w:val="0"/>
      <w:marBottom w:val="0"/>
      <w:divBdr>
        <w:top w:val="none" w:sz="0" w:space="0" w:color="auto"/>
        <w:left w:val="none" w:sz="0" w:space="0" w:color="auto"/>
        <w:bottom w:val="none" w:sz="0" w:space="0" w:color="auto"/>
        <w:right w:val="none" w:sz="0" w:space="0" w:color="auto"/>
      </w:divBdr>
    </w:div>
    <w:div w:id="1075131029">
      <w:bodyDiv w:val="1"/>
      <w:marLeft w:val="0"/>
      <w:marRight w:val="0"/>
      <w:marTop w:val="0"/>
      <w:marBottom w:val="0"/>
      <w:divBdr>
        <w:top w:val="none" w:sz="0" w:space="0" w:color="auto"/>
        <w:left w:val="none" w:sz="0" w:space="0" w:color="auto"/>
        <w:bottom w:val="none" w:sz="0" w:space="0" w:color="auto"/>
        <w:right w:val="none" w:sz="0" w:space="0" w:color="auto"/>
      </w:divBdr>
    </w:div>
    <w:div w:id="1075202839">
      <w:bodyDiv w:val="1"/>
      <w:marLeft w:val="0"/>
      <w:marRight w:val="0"/>
      <w:marTop w:val="0"/>
      <w:marBottom w:val="0"/>
      <w:divBdr>
        <w:top w:val="none" w:sz="0" w:space="0" w:color="auto"/>
        <w:left w:val="none" w:sz="0" w:space="0" w:color="auto"/>
        <w:bottom w:val="none" w:sz="0" w:space="0" w:color="auto"/>
        <w:right w:val="none" w:sz="0" w:space="0" w:color="auto"/>
      </w:divBdr>
    </w:div>
    <w:div w:id="1075275047">
      <w:bodyDiv w:val="1"/>
      <w:marLeft w:val="0"/>
      <w:marRight w:val="0"/>
      <w:marTop w:val="0"/>
      <w:marBottom w:val="0"/>
      <w:divBdr>
        <w:top w:val="none" w:sz="0" w:space="0" w:color="auto"/>
        <w:left w:val="none" w:sz="0" w:space="0" w:color="auto"/>
        <w:bottom w:val="none" w:sz="0" w:space="0" w:color="auto"/>
        <w:right w:val="none" w:sz="0" w:space="0" w:color="auto"/>
      </w:divBdr>
    </w:div>
    <w:div w:id="1075275133">
      <w:bodyDiv w:val="1"/>
      <w:marLeft w:val="0"/>
      <w:marRight w:val="0"/>
      <w:marTop w:val="0"/>
      <w:marBottom w:val="0"/>
      <w:divBdr>
        <w:top w:val="none" w:sz="0" w:space="0" w:color="auto"/>
        <w:left w:val="none" w:sz="0" w:space="0" w:color="auto"/>
        <w:bottom w:val="none" w:sz="0" w:space="0" w:color="auto"/>
        <w:right w:val="none" w:sz="0" w:space="0" w:color="auto"/>
      </w:divBdr>
    </w:div>
    <w:div w:id="1075469861">
      <w:bodyDiv w:val="1"/>
      <w:marLeft w:val="0"/>
      <w:marRight w:val="0"/>
      <w:marTop w:val="0"/>
      <w:marBottom w:val="0"/>
      <w:divBdr>
        <w:top w:val="none" w:sz="0" w:space="0" w:color="auto"/>
        <w:left w:val="none" w:sz="0" w:space="0" w:color="auto"/>
        <w:bottom w:val="none" w:sz="0" w:space="0" w:color="auto"/>
        <w:right w:val="none" w:sz="0" w:space="0" w:color="auto"/>
      </w:divBdr>
    </w:div>
    <w:div w:id="1075514321">
      <w:bodyDiv w:val="1"/>
      <w:marLeft w:val="0"/>
      <w:marRight w:val="0"/>
      <w:marTop w:val="0"/>
      <w:marBottom w:val="0"/>
      <w:divBdr>
        <w:top w:val="none" w:sz="0" w:space="0" w:color="auto"/>
        <w:left w:val="none" w:sz="0" w:space="0" w:color="auto"/>
        <w:bottom w:val="none" w:sz="0" w:space="0" w:color="auto"/>
        <w:right w:val="none" w:sz="0" w:space="0" w:color="auto"/>
      </w:divBdr>
    </w:div>
    <w:div w:id="1075660668">
      <w:bodyDiv w:val="1"/>
      <w:marLeft w:val="0"/>
      <w:marRight w:val="0"/>
      <w:marTop w:val="0"/>
      <w:marBottom w:val="0"/>
      <w:divBdr>
        <w:top w:val="none" w:sz="0" w:space="0" w:color="auto"/>
        <w:left w:val="none" w:sz="0" w:space="0" w:color="auto"/>
        <w:bottom w:val="none" w:sz="0" w:space="0" w:color="auto"/>
        <w:right w:val="none" w:sz="0" w:space="0" w:color="auto"/>
      </w:divBdr>
    </w:div>
    <w:div w:id="1075668514">
      <w:bodyDiv w:val="1"/>
      <w:marLeft w:val="0"/>
      <w:marRight w:val="0"/>
      <w:marTop w:val="0"/>
      <w:marBottom w:val="0"/>
      <w:divBdr>
        <w:top w:val="none" w:sz="0" w:space="0" w:color="auto"/>
        <w:left w:val="none" w:sz="0" w:space="0" w:color="auto"/>
        <w:bottom w:val="none" w:sz="0" w:space="0" w:color="auto"/>
        <w:right w:val="none" w:sz="0" w:space="0" w:color="auto"/>
      </w:divBdr>
    </w:div>
    <w:div w:id="1076052194">
      <w:bodyDiv w:val="1"/>
      <w:marLeft w:val="0"/>
      <w:marRight w:val="0"/>
      <w:marTop w:val="0"/>
      <w:marBottom w:val="0"/>
      <w:divBdr>
        <w:top w:val="none" w:sz="0" w:space="0" w:color="auto"/>
        <w:left w:val="none" w:sz="0" w:space="0" w:color="auto"/>
        <w:bottom w:val="none" w:sz="0" w:space="0" w:color="auto"/>
        <w:right w:val="none" w:sz="0" w:space="0" w:color="auto"/>
      </w:divBdr>
    </w:div>
    <w:div w:id="1076124226">
      <w:bodyDiv w:val="1"/>
      <w:marLeft w:val="0"/>
      <w:marRight w:val="0"/>
      <w:marTop w:val="0"/>
      <w:marBottom w:val="0"/>
      <w:divBdr>
        <w:top w:val="none" w:sz="0" w:space="0" w:color="auto"/>
        <w:left w:val="none" w:sz="0" w:space="0" w:color="auto"/>
        <w:bottom w:val="none" w:sz="0" w:space="0" w:color="auto"/>
        <w:right w:val="none" w:sz="0" w:space="0" w:color="auto"/>
      </w:divBdr>
    </w:div>
    <w:div w:id="1076322976">
      <w:bodyDiv w:val="1"/>
      <w:marLeft w:val="0"/>
      <w:marRight w:val="0"/>
      <w:marTop w:val="0"/>
      <w:marBottom w:val="0"/>
      <w:divBdr>
        <w:top w:val="none" w:sz="0" w:space="0" w:color="auto"/>
        <w:left w:val="none" w:sz="0" w:space="0" w:color="auto"/>
        <w:bottom w:val="none" w:sz="0" w:space="0" w:color="auto"/>
        <w:right w:val="none" w:sz="0" w:space="0" w:color="auto"/>
      </w:divBdr>
    </w:div>
    <w:div w:id="1076437527">
      <w:bodyDiv w:val="1"/>
      <w:marLeft w:val="0"/>
      <w:marRight w:val="0"/>
      <w:marTop w:val="0"/>
      <w:marBottom w:val="0"/>
      <w:divBdr>
        <w:top w:val="none" w:sz="0" w:space="0" w:color="auto"/>
        <w:left w:val="none" w:sz="0" w:space="0" w:color="auto"/>
        <w:bottom w:val="none" w:sz="0" w:space="0" w:color="auto"/>
        <w:right w:val="none" w:sz="0" w:space="0" w:color="auto"/>
      </w:divBdr>
    </w:div>
    <w:div w:id="1076779815">
      <w:bodyDiv w:val="1"/>
      <w:marLeft w:val="0"/>
      <w:marRight w:val="0"/>
      <w:marTop w:val="0"/>
      <w:marBottom w:val="0"/>
      <w:divBdr>
        <w:top w:val="none" w:sz="0" w:space="0" w:color="auto"/>
        <w:left w:val="none" w:sz="0" w:space="0" w:color="auto"/>
        <w:bottom w:val="none" w:sz="0" w:space="0" w:color="auto"/>
        <w:right w:val="none" w:sz="0" w:space="0" w:color="auto"/>
      </w:divBdr>
    </w:div>
    <w:div w:id="1076826043">
      <w:bodyDiv w:val="1"/>
      <w:marLeft w:val="0"/>
      <w:marRight w:val="0"/>
      <w:marTop w:val="0"/>
      <w:marBottom w:val="0"/>
      <w:divBdr>
        <w:top w:val="none" w:sz="0" w:space="0" w:color="auto"/>
        <w:left w:val="none" w:sz="0" w:space="0" w:color="auto"/>
        <w:bottom w:val="none" w:sz="0" w:space="0" w:color="auto"/>
        <w:right w:val="none" w:sz="0" w:space="0" w:color="auto"/>
      </w:divBdr>
    </w:div>
    <w:div w:id="1076976949">
      <w:bodyDiv w:val="1"/>
      <w:marLeft w:val="0"/>
      <w:marRight w:val="0"/>
      <w:marTop w:val="0"/>
      <w:marBottom w:val="0"/>
      <w:divBdr>
        <w:top w:val="none" w:sz="0" w:space="0" w:color="auto"/>
        <w:left w:val="none" w:sz="0" w:space="0" w:color="auto"/>
        <w:bottom w:val="none" w:sz="0" w:space="0" w:color="auto"/>
        <w:right w:val="none" w:sz="0" w:space="0" w:color="auto"/>
      </w:divBdr>
    </w:div>
    <w:div w:id="1077020159">
      <w:bodyDiv w:val="1"/>
      <w:marLeft w:val="0"/>
      <w:marRight w:val="0"/>
      <w:marTop w:val="0"/>
      <w:marBottom w:val="0"/>
      <w:divBdr>
        <w:top w:val="none" w:sz="0" w:space="0" w:color="auto"/>
        <w:left w:val="none" w:sz="0" w:space="0" w:color="auto"/>
        <w:bottom w:val="none" w:sz="0" w:space="0" w:color="auto"/>
        <w:right w:val="none" w:sz="0" w:space="0" w:color="auto"/>
      </w:divBdr>
    </w:div>
    <w:div w:id="1077050203">
      <w:bodyDiv w:val="1"/>
      <w:marLeft w:val="0"/>
      <w:marRight w:val="0"/>
      <w:marTop w:val="0"/>
      <w:marBottom w:val="0"/>
      <w:divBdr>
        <w:top w:val="none" w:sz="0" w:space="0" w:color="auto"/>
        <w:left w:val="none" w:sz="0" w:space="0" w:color="auto"/>
        <w:bottom w:val="none" w:sz="0" w:space="0" w:color="auto"/>
        <w:right w:val="none" w:sz="0" w:space="0" w:color="auto"/>
      </w:divBdr>
    </w:div>
    <w:div w:id="1077166892">
      <w:bodyDiv w:val="1"/>
      <w:marLeft w:val="0"/>
      <w:marRight w:val="0"/>
      <w:marTop w:val="0"/>
      <w:marBottom w:val="0"/>
      <w:divBdr>
        <w:top w:val="none" w:sz="0" w:space="0" w:color="auto"/>
        <w:left w:val="none" w:sz="0" w:space="0" w:color="auto"/>
        <w:bottom w:val="none" w:sz="0" w:space="0" w:color="auto"/>
        <w:right w:val="none" w:sz="0" w:space="0" w:color="auto"/>
      </w:divBdr>
    </w:div>
    <w:div w:id="1077240544">
      <w:bodyDiv w:val="1"/>
      <w:marLeft w:val="0"/>
      <w:marRight w:val="0"/>
      <w:marTop w:val="0"/>
      <w:marBottom w:val="0"/>
      <w:divBdr>
        <w:top w:val="none" w:sz="0" w:space="0" w:color="auto"/>
        <w:left w:val="none" w:sz="0" w:space="0" w:color="auto"/>
        <w:bottom w:val="none" w:sz="0" w:space="0" w:color="auto"/>
        <w:right w:val="none" w:sz="0" w:space="0" w:color="auto"/>
      </w:divBdr>
    </w:div>
    <w:div w:id="1077282374">
      <w:bodyDiv w:val="1"/>
      <w:marLeft w:val="0"/>
      <w:marRight w:val="0"/>
      <w:marTop w:val="0"/>
      <w:marBottom w:val="0"/>
      <w:divBdr>
        <w:top w:val="none" w:sz="0" w:space="0" w:color="auto"/>
        <w:left w:val="none" w:sz="0" w:space="0" w:color="auto"/>
        <w:bottom w:val="none" w:sz="0" w:space="0" w:color="auto"/>
        <w:right w:val="none" w:sz="0" w:space="0" w:color="auto"/>
      </w:divBdr>
    </w:div>
    <w:div w:id="1077434489">
      <w:bodyDiv w:val="1"/>
      <w:marLeft w:val="0"/>
      <w:marRight w:val="0"/>
      <w:marTop w:val="0"/>
      <w:marBottom w:val="0"/>
      <w:divBdr>
        <w:top w:val="none" w:sz="0" w:space="0" w:color="auto"/>
        <w:left w:val="none" w:sz="0" w:space="0" w:color="auto"/>
        <w:bottom w:val="none" w:sz="0" w:space="0" w:color="auto"/>
        <w:right w:val="none" w:sz="0" w:space="0" w:color="auto"/>
      </w:divBdr>
    </w:div>
    <w:div w:id="1077938204">
      <w:bodyDiv w:val="1"/>
      <w:marLeft w:val="0"/>
      <w:marRight w:val="0"/>
      <w:marTop w:val="0"/>
      <w:marBottom w:val="0"/>
      <w:divBdr>
        <w:top w:val="none" w:sz="0" w:space="0" w:color="auto"/>
        <w:left w:val="none" w:sz="0" w:space="0" w:color="auto"/>
        <w:bottom w:val="none" w:sz="0" w:space="0" w:color="auto"/>
        <w:right w:val="none" w:sz="0" w:space="0" w:color="auto"/>
      </w:divBdr>
    </w:div>
    <w:div w:id="1077944925">
      <w:bodyDiv w:val="1"/>
      <w:marLeft w:val="0"/>
      <w:marRight w:val="0"/>
      <w:marTop w:val="0"/>
      <w:marBottom w:val="0"/>
      <w:divBdr>
        <w:top w:val="none" w:sz="0" w:space="0" w:color="auto"/>
        <w:left w:val="none" w:sz="0" w:space="0" w:color="auto"/>
        <w:bottom w:val="none" w:sz="0" w:space="0" w:color="auto"/>
        <w:right w:val="none" w:sz="0" w:space="0" w:color="auto"/>
      </w:divBdr>
    </w:div>
    <w:div w:id="1078093399">
      <w:bodyDiv w:val="1"/>
      <w:marLeft w:val="0"/>
      <w:marRight w:val="0"/>
      <w:marTop w:val="0"/>
      <w:marBottom w:val="0"/>
      <w:divBdr>
        <w:top w:val="none" w:sz="0" w:space="0" w:color="auto"/>
        <w:left w:val="none" w:sz="0" w:space="0" w:color="auto"/>
        <w:bottom w:val="none" w:sz="0" w:space="0" w:color="auto"/>
        <w:right w:val="none" w:sz="0" w:space="0" w:color="auto"/>
      </w:divBdr>
    </w:div>
    <w:div w:id="1078139469">
      <w:bodyDiv w:val="1"/>
      <w:marLeft w:val="0"/>
      <w:marRight w:val="0"/>
      <w:marTop w:val="0"/>
      <w:marBottom w:val="0"/>
      <w:divBdr>
        <w:top w:val="none" w:sz="0" w:space="0" w:color="auto"/>
        <w:left w:val="none" w:sz="0" w:space="0" w:color="auto"/>
        <w:bottom w:val="none" w:sz="0" w:space="0" w:color="auto"/>
        <w:right w:val="none" w:sz="0" w:space="0" w:color="auto"/>
      </w:divBdr>
    </w:div>
    <w:div w:id="1078163628">
      <w:bodyDiv w:val="1"/>
      <w:marLeft w:val="0"/>
      <w:marRight w:val="0"/>
      <w:marTop w:val="0"/>
      <w:marBottom w:val="0"/>
      <w:divBdr>
        <w:top w:val="none" w:sz="0" w:space="0" w:color="auto"/>
        <w:left w:val="none" w:sz="0" w:space="0" w:color="auto"/>
        <w:bottom w:val="none" w:sz="0" w:space="0" w:color="auto"/>
        <w:right w:val="none" w:sz="0" w:space="0" w:color="auto"/>
      </w:divBdr>
    </w:div>
    <w:div w:id="1078212714">
      <w:bodyDiv w:val="1"/>
      <w:marLeft w:val="0"/>
      <w:marRight w:val="0"/>
      <w:marTop w:val="0"/>
      <w:marBottom w:val="0"/>
      <w:divBdr>
        <w:top w:val="none" w:sz="0" w:space="0" w:color="auto"/>
        <w:left w:val="none" w:sz="0" w:space="0" w:color="auto"/>
        <w:bottom w:val="none" w:sz="0" w:space="0" w:color="auto"/>
        <w:right w:val="none" w:sz="0" w:space="0" w:color="auto"/>
      </w:divBdr>
    </w:div>
    <w:div w:id="1078358618">
      <w:bodyDiv w:val="1"/>
      <w:marLeft w:val="0"/>
      <w:marRight w:val="0"/>
      <w:marTop w:val="0"/>
      <w:marBottom w:val="0"/>
      <w:divBdr>
        <w:top w:val="none" w:sz="0" w:space="0" w:color="auto"/>
        <w:left w:val="none" w:sz="0" w:space="0" w:color="auto"/>
        <w:bottom w:val="none" w:sz="0" w:space="0" w:color="auto"/>
        <w:right w:val="none" w:sz="0" w:space="0" w:color="auto"/>
      </w:divBdr>
    </w:div>
    <w:div w:id="1078790987">
      <w:bodyDiv w:val="1"/>
      <w:marLeft w:val="0"/>
      <w:marRight w:val="0"/>
      <w:marTop w:val="0"/>
      <w:marBottom w:val="0"/>
      <w:divBdr>
        <w:top w:val="none" w:sz="0" w:space="0" w:color="auto"/>
        <w:left w:val="none" w:sz="0" w:space="0" w:color="auto"/>
        <w:bottom w:val="none" w:sz="0" w:space="0" w:color="auto"/>
        <w:right w:val="none" w:sz="0" w:space="0" w:color="auto"/>
      </w:divBdr>
    </w:div>
    <w:div w:id="1078869822">
      <w:bodyDiv w:val="1"/>
      <w:marLeft w:val="0"/>
      <w:marRight w:val="0"/>
      <w:marTop w:val="0"/>
      <w:marBottom w:val="0"/>
      <w:divBdr>
        <w:top w:val="none" w:sz="0" w:space="0" w:color="auto"/>
        <w:left w:val="none" w:sz="0" w:space="0" w:color="auto"/>
        <w:bottom w:val="none" w:sz="0" w:space="0" w:color="auto"/>
        <w:right w:val="none" w:sz="0" w:space="0" w:color="auto"/>
      </w:divBdr>
    </w:div>
    <w:div w:id="1079207188">
      <w:bodyDiv w:val="1"/>
      <w:marLeft w:val="0"/>
      <w:marRight w:val="0"/>
      <w:marTop w:val="0"/>
      <w:marBottom w:val="0"/>
      <w:divBdr>
        <w:top w:val="none" w:sz="0" w:space="0" w:color="auto"/>
        <w:left w:val="none" w:sz="0" w:space="0" w:color="auto"/>
        <w:bottom w:val="none" w:sz="0" w:space="0" w:color="auto"/>
        <w:right w:val="none" w:sz="0" w:space="0" w:color="auto"/>
      </w:divBdr>
    </w:div>
    <w:div w:id="1079253498">
      <w:bodyDiv w:val="1"/>
      <w:marLeft w:val="0"/>
      <w:marRight w:val="0"/>
      <w:marTop w:val="0"/>
      <w:marBottom w:val="0"/>
      <w:divBdr>
        <w:top w:val="none" w:sz="0" w:space="0" w:color="auto"/>
        <w:left w:val="none" w:sz="0" w:space="0" w:color="auto"/>
        <w:bottom w:val="none" w:sz="0" w:space="0" w:color="auto"/>
        <w:right w:val="none" w:sz="0" w:space="0" w:color="auto"/>
      </w:divBdr>
    </w:div>
    <w:div w:id="1079401974">
      <w:bodyDiv w:val="1"/>
      <w:marLeft w:val="0"/>
      <w:marRight w:val="0"/>
      <w:marTop w:val="0"/>
      <w:marBottom w:val="0"/>
      <w:divBdr>
        <w:top w:val="none" w:sz="0" w:space="0" w:color="auto"/>
        <w:left w:val="none" w:sz="0" w:space="0" w:color="auto"/>
        <w:bottom w:val="none" w:sz="0" w:space="0" w:color="auto"/>
        <w:right w:val="none" w:sz="0" w:space="0" w:color="auto"/>
      </w:divBdr>
    </w:div>
    <w:div w:id="1079592735">
      <w:bodyDiv w:val="1"/>
      <w:marLeft w:val="0"/>
      <w:marRight w:val="0"/>
      <w:marTop w:val="0"/>
      <w:marBottom w:val="0"/>
      <w:divBdr>
        <w:top w:val="none" w:sz="0" w:space="0" w:color="auto"/>
        <w:left w:val="none" w:sz="0" w:space="0" w:color="auto"/>
        <w:bottom w:val="none" w:sz="0" w:space="0" w:color="auto"/>
        <w:right w:val="none" w:sz="0" w:space="0" w:color="auto"/>
      </w:divBdr>
    </w:div>
    <w:div w:id="1079597013">
      <w:bodyDiv w:val="1"/>
      <w:marLeft w:val="0"/>
      <w:marRight w:val="0"/>
      <w:marTop w:val="0"/>
      <w:marBottom w:val="0"/>
      <w:divBdr>
        <w:top w:val="none" w:sz="0" w:space="0" w:color="auto"/>
        <w:left w:val="none" w:sz="0" w:space="0" w:color="auto"/>
        <w:bottom w:val="none" w:sz="0" w:space="0" w:color="auto"/>
        <w:right w:val="none" w:sz="0" w:space="0" w:color="auto"/>
      </w:divBdr>
    </w:div>
    <w:div w:id="1079719762">
      <w:bodyDiv w:val="1"/>
      <w:marLeft w:val="0"/>
      <w:marRight w:val="0"/>
      <w:marTop w:val="0"/>
      <w:marBottom w:val="0"/>
      <w:divBdr>
        <w:top w:val="none" w:sz="0" w:space="0" w:color="auto"/>
        <w:left w:val="none" w:sz="0" w:space="0" w:color="auto"/>
        <w:bottom w:val="none" w:sz="0" w:space="0" w:color="auto"/>
        <w:right w:val="none" w:sz="0" w:space="0" w:color="auto"/>
      </w:divBdr>
    </w:div>
    <w:div w:id="1079789922">
      <w:bodyDiv w:val="1"/>
      <w:marLeft w:val="0"/>
      <w:marRight w:val="0"/>
      <w:marTop w:val="0"/>
      <w:marBottom w:val="0"/>
      <w:divBdr>
        <w:top w:val="none" w:sz="0" w:space="0" w:color="auto"/>
        <w:left w:val="none" w:sz="0" w:space="0" w:color="auto"/>
        <w:bottom w:val="none" w:sz="0" w:space="0" w:color="auto"/>
        <w:right w:val="none" w:sz="0" w:space="0" w:color="auto"/>
      </w:divBdr>
    </w:div>
    <w:div w:id="1080054195">
      <w:bodyDiv w:val="1"/>
      <w:marLeft w:val="0"/>
      <w:marRight w:val="0"/>
      <w:marTop w:val="0"/>
      <w:marBottom w:val="0"/>
      <w:divBdr>
        <w:top w:val="none" w:sz="0" w:space="0" w:color="auto"/>
        <w:left w:val="none" w:sz="0" w:space="0" w:color="auto"/>
        <w:bottom w:val="none" w:sz="0" w:space="0" w:color="auto"/>
        <w:right w:val="none" w:sz="0" w:space="0" w:color="auto"/>
      </w:divBdr>
    </w:div>
    <w:div w:id="1080101242">
      <w:bodyDiv w:val="1"/>
      <w:marLeft w:val="0"/>
      <w:marRight w:val="0"/>
      <w:marTop w:val="0"/>
      <w:marBottom w:val="0"/>
      <w:divBdr>
        <w:top w:val="none" w:sz="0" w:space="0" w:color="auto"/>
        <w:left w:val="none" w:sz="0" w:space="0" w:color="auto"/>
        <w:bottom w:val="none" w:sz="0" w:space="0" w:color="auto"/>
        <w:right w:val="none" w:sz="0" w:space="0" w:color="auto"/>
      </w:divBdr>
    </w:div>
    <w:div w:id="1080175678">
      <w:bodyDiv w:val="1"/>
      <w:marLeft w:val="0"/>
      <w:marRight w:val="0"/>
      <w:marTop w:val="0"/>
      <w:marBottom w:val="0"/>
      <w:divBdr>
        <w:top w:val="none" w:sz="0" w:space="0" w:color="auto"/>
        <w:left w:val="none" w:sz="0" w:space="0" w:color="auto"/>
        <w:bottom w:val="none" w:sz="0" w:space="0" w:color="auto"/>
        <w:right w:val="none" w:sz="0" w:space="0" w:color="auto"/>
      </w:divBdr>
    </w:div>
    <w:div w:id="1080298060">
      <w:bodyDiv w:val="1"/>
      <w:marLeft w:val="0"/>
      <w:marRight w:val="0"/>
      <w:marTop w:val="0"/>
      <w:marBottom w:val="0"/>
      <w:divBdr>
        <w:top w:val="none" w:sz="0" w:space="0" w:color="auto"/>
        <w:left w:val="none" w:sz="0" w:space="0" w:color="auto"/>
        <w:bottom w:val="none" w:sz="0" w:space="0" w:color="auto"/>
        <w:right w:val="none" w:sz="0" w:space="0" w:color="auto"/>
      </w:divBdr>
    </w:div>
    <w:div w:id="1080715804">
      <w:bodyDiv w:val="1"/>
      <w:marLeft w:val="0"/>
      <w:marRight w:val="0"/>
      <w:marTop w:val="0"/>
      <w:marBottom w:val="0"/>
      <w:divBdr>
        <w:top w:val="none" w:sz="0" w:space="0" w:color="auto"/>
        <w:left w:val="none" w:sz="0" w:space="0" w:color="auto"/>
        <w:bottom w:val="none" w:sz="0" w:space="0" w:color="auto"/>
        <w:right w:val="none" w:sz="0" w:space="0" w:color="auto"/>
      </w:divBdr>
    </w:div>
    <w:div w:id="1081174834">
      <w:bodyDiv w:val="1"/>
      <w:marLeft w:val="0"/>
      <w:marRight w:val="0"/>
      <w:marTop w:val="0"/>
      <w:marBottom w:val="0"/>
      <w:divBdr>
        <w:top w:val="none" w:sz="0" w:space="0" w:color="auto"/>
        <w:left w:val="none" w:sz="0" w:space="0" w:color="auto"/>
        <w:bottom w:val="none" w:sz="0" w:space="0" w:color="auto"/>
        <w:right w:val="none" w:sz="0" w:space="0" w:color="auto"/>
      </w:divBdr>
    </w:div>
    <w:div w:id="1081222038">
      <w:bodyDiv w:val="1"/>
      <w:marLeft w:val="0"/>
      <w:marRight w:val="0"/>
      <w:marTop w:val="0"/>
      <w:marBottom w:val="0"/>
      <w:divBdr>
        <w:top w:val="none" w:sz="0" w:space="0" w:color="auto"/>
        <w:left w:val="none" w:sz="0" w:space="0" w:color="auto"/>
        <w:bottom w:val="none" w:sz="0" w:space="0" w:color="auto"/>
        <w:right w:val="none" w:sz="0" w:space="0" w:color="auto"/>
      </w:divBdr>
    </w:div>
    <w:div w:id="1081297622">
      <w:bodyDiv w:val="1"/>
      <w:marLeft w:val="0"/>
      <w:marRight w:val="0"/>
      <w:marTop w:val="0"/>
      <w:marBottom w:val="0"/>
      <w:divBdr>
        <w:top w:val="none" w:sz="0" w:space="0" w:color="auto"/>
        <w:left w:val="none" w:sz="0" w:space="0" w:color="auto"/>
        <w:bottom w:val="none" w:sz="0" w:space="0" w:color="auto"/>
        <w:right w:val="none" w:sz="0" w:space="0" w:color="auto"/>
      </w:divBdr>
    </w:div>
    <w:div w:id="1081369446">
      <w:bodyDiv w:val="1"/>
      <w:marLeft w:val="0"/>
      <w:marRight w:val="0"/>
      <w:marTop w:val="0"/>
      <w:marBottom w:val="0"/>
      <w:divBdr>
        <w:top w:val="none" w:sz="0" w:space="0" w:color="auto"/>
        <w:left w:val="none" w:sz="0" w:space="0" w:color="auto"/>
        <w:bottom w:val="none" w:sz="0" w:space="0" w:color="auto"/>
        <w:right w:val="none" w:sz="0" w:space="0" w:color="auto"/>
      </w:divBdr>
    </w:div>
    <w:div w:id="1081564300">
      <w:bodyDiv w:val="1"/>
      <w:marLeft w:val="0"/>
      <w:marRight w:val="0"/>
      <w:marTop w:val="0"/>
      <w:marBottom w:val="0"/>
      <w:divBdr>
        <w:top w:val="none" w:sz="0" w:space="0" w:color="auto"/>
        <w:left w:val="none" w:sz="0" w:space="0" w:color="auto"/>
        <w:bottom w:val="none" w:sz="0" w:space="0" w:color="auto"/>
        <w:right w:val="none" w:sz="0" w:space="0" w:color="auto"/>
      </w:divBdr>
    </w:div>
    <w:div w:id="1081833452">
      <w:bodyDiv w:val="1"/>
      <w:marLeft w:val="0"/>
      <w:marRight w:val="0"/>
      <w:marTop w:val="0"/>
      <w:marBottom w:val="0"/>
      <w:divBdr>
        <w:top w:val="none" w:sz="0" w:space="0" w:color="auto"/>
        <w:left w:val="none" w:sz="0" w:space="0" w:color="auto"/>
        <w:bottom w:val="none" w:sz="0" w:space="0" w:color="auto"/>
        <w:right w:val="none" w:sz="0" w:space="0" w:color="auto"/>
      </w:divBdr>
    </w:div>
    <w:div w:id="1081876662">
      <w:bodyDiv w:val="1"/>
      <w:marLeft w:val="0"/>
      <w:marRight w:val="0"/>
      <w:marTop w:val="0"/>
      <w:marBottom w:val="0"/>
      <w:divBdr>
        <w:top w:val="none" w:sz="0" w:space="0" w:color="auto"/>
        <w:left w:val="none" w:sz="0" w:space="0" w:color="auto"/>
        <w:bottom w:val="none" w:sz="0" w:space="0" w:color="auto"/>
        <w:right w:val="none" w:sz="0" w:space="0" w:color="auto"/>
      </w:divBdr>
    </w:div>
    <w:div w:id="1082071746">
      <w:bodyDiv w:val="1"/>
      <w:marLeft w:val="0"/>
      <w:marRight w:val="0"/>
      <w:marTop w:val="0"/>
      <w:marBottom w:val="0"/>
      <w:divBdr>
        <w:top w:val="none" w:sz="0" w:space="0" w:color="auto"/>
        <w:left w:val="none" w:sz="0" w:space="0" w:color="auto"/>
        <w:bottom w:val="none" w:sz="0" w:space="0" w:color="auto"/>
        <w:right w:val="none" w:sz="0" w:space="0" w:color="auto"/>
      </w:divBdr>
    </w:div>
    <w:div w:id="1082145384">
      <w:bodyDiv w:val="1"/>
      <w:marLeft w:val="0"/>
      <w:marRight w:val="0"/>
      <w:marTop w:val="0"/>
      <w:marBottom w:val="0"/>
      <w:divBdr>
        <w:top w:val="none" w:sz="0" w:space="0" w:color="auto"/>
        <w:left w:val="none" w:sz="0" w:space="0" w:color="auto"/>
        <w:bottom w:val="none" w:sz="0" w:space="0" w:color="auto"/>
        <w:right w:val="none" w:sz="0" w:space="0" w:color="auto"/>
      </w:divBdr>
    </w:div>
    <w:div w:id="1082213568">
      <w:bodyDiv w:val="1"/>
      <w:marLeft w:val="0"/>
      <w:marRight w:val="0"/>
      <w:marTop w:val="0"/>
      <w:marBottom w:val="0"/>
      <w:divBdr>
        <w:top w:val="none" w:sz="0" w:space="0" w:color="auto"/>
        <w:left w:val="none" w:sz="0" w:space="0" w:color="auto"/>
        <w:bottom w:val="none" w:sz="0" w:space="0" w:color="auto"/>
        <w:right w:val="none" w:sz="0" w:space="0" w:color="auto"/>
      </w:divBdr>
    </w:div>
    <w:div w:id="1082409806">
      <w:bodyDiv w:val="1"/>
      <w:marLeft w:val="0"/>
      <w:marRight w:val="0"/>
      <w:marTop w:val="0"/>
      <w:marBottom w:val="0"/>
      <w:divBdr>
        <w:top w:val="none" w:sz="0" w:space="0" w:color="auto"/>
        <w:left w:val="none" w:sz="0" w:space="0" w:color="auto"/>
        <w:bottom w:val="none" w:sz="0" w:space="0" w:color="auto"/>
        <w:right w:val="none" w:sz="0" w:space="0" w:color="auto"/>
      </w:divBdr>
    </w:div>
    <w:div w:id="1082414339">
      <w:bodyDiv w:val="1"/>
      <w:marLeft w:val="0"/>
      <w:marRight w:val="0"/>
      <w:marTop w:val="0"/>
      <w:marBottom w:val="0"/>
      <w:divBdr>
        <w:top w:val="none" w:sz="0" w:space="0" w:color="auto"/>
        <w:left w:val="none" w:sz="0" w:space="0" w:color="auto"/>
        <w:bottom w:val="none" w:sz="0" w:space="0" w:color="auto"/>
        <w:right w:val="none" w:sz="0" w:space="0" w:color="auto"/>
      </w:divBdr>
    </w:div>
    <w:div w:id="1082682065">
      <w:bodyDiv w:val="1"/>
      <w:marLeft w:val="0"/>
      <w:marRight w:val="0"/>
      <w:marTop w:val="0"/>
      <w:marBottom w:val="0"/>
      <w:divBdr>
        <w:top w:val="none" w:sz="0" w:space="0" w:color="auto"/>
        <w:left w:val="none" w:sz="0" w:space="0" w:color="auto"/>
        <w:bottom w:val="none" w:sz="0" w:space="0" w:color="auto"/>
        <w:right w:val="none" w:sz="0" w:space="0" w:color="auto"/>
      </w:divBdr>
    </w:div>
    <w:div w:id="1082994530">
      <w:bodyDiv w:val="1"/>
      <w:marLeft w:val="0"/>
      <w:marRight w:val="0"/>
      <w:marTop w:val="0"/>
      <w:marBottom w:val="0"/>
      <w:divBdr>
        <w:top w:val="none" w:sz="0" w:space="0" w:color="auto"/>
        <w:left w:val="none" w:sz="0" w:space="0" w:color="auto"/>
        <w:bottom w:val="none" w:sz="0" w:space="0" w:color="auto"/>
        <w:right w:val="none" w:sz="0" w:space="0" w:color="auto"/>
      </w:divBdr>
    </w:div>
    <w:div w:id="1083185062">
      <w:bodyDiv w:val="1"/>
      <w:marLeft w:val="0"/>
      <w:marRight w:val="0"/>
      <w:marTop w:val="0"/>
      <w:marBottom w:val="0"/>
      <w:divBdr>
        <w:top w:val="none" w:sz="0" w:space="0" w:color="auto"/>
        <w:left w:val="none" w:sz="0" w:space="0" w:color="auto"/>
        <w:bottom w:val="none" w:sz="0" w:space="0" w:color="auto"/>
        <w:right w:val="none" w:sz="0" w:space="0" w:color="auto"/>
      </w:divBdr>
    </w:div>
    <w:div w:id="1083187472">
      <w:bodyDiv w:val="1"/>
      <w:marLeft w:val="0"/>
      <w:marRight w:val="0"/>
      <w:marTop w:val="0"/>
      <w:marBottom w:val="0"/>
      <w:divBdr>
        <w:top w:val="none" w:sz="0" w:space="0" w:color="auto"/>
        <w:left w:val="none" w:sz="0" w:space="0" w:color="auto"/>
        <w:bottom w:val="none" w:sz="0" w:space="0" w:color="auto"/>
        <w:right w:val="none" w:sz="0" w:space="0" w:color="auto"/>
      </w:divBdr>
    </w:div>
    <w:div w:id="1083378386">
      <w:bodyDiv w:val="1"/>
      <w:marLeft w:val="0"/>
      <w:marRight w:val="0"/>
      <w:marTop w:val="0"/>
      <w:marBottom w:val="0"/>
      <w:divBdr>
        <w:top w:val="none" w:sz="0" w:space="0" w:color="auto"/>
        <w:left w:val="none" w:sz="0" w:space="0" w:color="auto"/>
        <w:bottom w:val="none" w:sz="0" w:space="0" w:color="auto"/>
        <w:right w:val="none" w:sz="0" w:space="0" w:color="auto"/>
      </w:divBdr>
    </w:div>
    <w:div w:id="1083380149">
      <w:bodyDiv w:val="1"/>
      <w:marLeft w:val="0"/>
      <w:marRight w:val="0"/>
      <w:marTop w:val="0"/>
      <w:marBottom w:val="0"/>
      <w:divBdr>
        <w:top w:val="none" w:sz="0" w:space="0" w:color="auto"/>
        <w:left w:val="none" w:sz="0" w:space="0" w:color="auto"/>
        <w:bottom w:val="none" w:sz="0" w:space="0" w:color="auto"/>
        <w:right w:val="none" w:sz="0" w:space="0" w:color="auto"/>
      </w:divBdr>
    </w:div>
    <w:div w:id="1083604826">
      <w:bodyDiv w:val="1"/>
      <w:marLeft w:val="0"/>
      <w:marRight w:val="0"/>
      <w:marTop w:val="0"/>
      <w:marBottom w:val="0"/>
      <w:divBdr>
        <w:top w:val="none" w:sz="0" w:space="0" w:color="auto"/>
        <w:left w:val="none" w:sz="0" w:space="0" w:color="auto"/>
        <w:bottom w:val="none" w:sz="0" w:space="0" w:color="auto"/>
        <w:right w:val="none" w:sz="0" w:space="0" w:color="auto"/>
      </w:divBdr>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017">
      <w:bodyDiv w:val="1"/>
      <w:marLeft w:val="0"/>
      <w:marRight w:val="0"/>
      <w:marTop w:val="0"/>
      <w:marBottom w:val="0"/>
      <w:divBdr>
        <w:top w:val="none" w:sz="0" w:space="0" w:color="auto"/>
        <w:left w:val="none" w:sz="0" w:space="0" w:color="auto"/>
        <w:bottom w:val="none" w:sz="0" w:space="0" w:color="auto"/>
        <w:right w:val="none" w:sz="0" w:space="0" w:color="auto"/>
      </w:divBdr>
    </w:div>
    <w:div w:id="1084111711">
      <w:bodyDiv w:val="1"/>
      <w:marLeft w:val="0"/>
      <w:marRight w:val="0"/>
      <w:marTop w:val="0"/>
      <w:marBottom w:val="0"/>
      <w:divBdr>
        <w:top w:val="none" w:sz="0" w:space="0" w:color="auto"/>
        <w:left w:val="none" w:sz="0" w:space="0" w:color="auto"/>
        <w:bottom w:val="none" w:sz="0" w:space="0" w:color="auto"/>
        <w:right w:val="none" w:sz="0" w:space="0" w:color="auto"/>
      </w:divBdr>
    </w:div>
    <w:div w:id="1084378269">
      <w:bodyDiv w:val="1"/>
      <w:marLeft w:val="0"/>
      <w:marRight w:val="0"/>
      <w:marTop w:val="0"/>
      <w:marBottom w:val="0"/>
      <w:divBdr>
        <w:top w:val="none" w:sz="0" w:space="0" w:color="auto"/>
        <w:left w:val="none" w:sz="0" w:space="0" w:color="auto"/>
        <w:bottom w:val="none" w:sz="0" w:space="0" w:color="auto"/>
        <w:right w:val="none" w:sz="0" w:space="0" w:color="auto"/>
      </w:divBdr>
    </w:div>
    <w:div w:id="1084378934">
      <w:bodyDiv w:val="1"/>
      <w:marLeft w:val="0"/>
      <w:marRight w:val="0"/>
      <w:marTop w:val="0"/>
      <w:marBottom w:val="0"/>
      <w:divBdr>
        <w:top w:val="none" w:sz="0" w:space="0" w:color="auto"/>
        <w:left w:val="none" w:sz="0" w:space="0" w:color="auto"/>
        <w:bottom w:val="none" w:sz="0" w:space="0" w:color="auto"/>
        <w:right w:val="none" w:sz="0" w:space="0" w:color="auto"/>
      </w:divBdr>
    </w:div>
    <w:div w:id="1084570997">
      <w:bodyDiv w:val="1"/>
      <w:marLeft w:val="0"/>
      <w:marRight w:val="0"/>
      <w:marTop w:val="0"/>
      <w:marBottom w:val="0"/>
      <w:divBdr>
        <w:top w:val="none" w:sz="0" w:space="0" w:color="auto"/>
        <w:left w:val="none" w:sz="0" w:space="0" w:color="auto"/>
        <w:bottom w:val="none" w:sz="0" w:space="0" w:color="auto"/>
        <w:right w:val="none" w:sz="0" w:space="0" w:color="auto"/>
      </w:divBdr>
    </w:div>
    <w:div w:id="1084648233">
      <w:bodyDiv w:val="1"/>
      <w:marLeft w:val="0"/>
      <w:marRight w:val="0"/>
      <w:marTop w:val="0"/>
      <w:marBottom w:val="0"/>
      <w:divBdr>
        <w:top w:val="none" w:sz="0" w:space="0" w:color="auto"/>
        <w:left w:val="none" w:sz="0" w:space="0" w:color="auto"/>
        <w:bottom w:val="none" w:sz="0" w:space="0" w:color="auto"/>
        <w:right w:val="none" w:sz="0" w:space="0" w:color="auto"/>
      </w:divBdr>
    </w:div>
    <w:div w:id="1085146862">
      <w:bodyDiv w:val="1"/>
      <w:marLeft w:val="0"/>
      <w:marRight w:val="0"/>
      <w:marTop w:val="0"/>
      <w:marBottom w:val="0"/>
      <w:divBdr>
        <w:top w:val="none" w:sz="0" w:space="0" w:color="auto"/>
        <w:left w:val="none" w:sz="0" w:space="0" w:color="auto"/>
        <w:bottom w:val="none" w:sz="0" w:space="0" w:color="auto"/>
        <w:right w:val="none" w:sz="0" w:space="0" w:color="auto"/>
      </w:divBdr>
    </w:div>
    <w:div w:id="1085154883">
      <w:bodyDiv w:val="1"/>
      <w:marLeft w:val="0"/>
      <w:marRight w:val="0"/>
      <w:marTop w:val="0"/>
      <w:marBottom w:val="0"/>
      <w:divBdr>
        <w:top w:val="none" w:sz="0" w:space="0" w:color="auto"/>
        <w:left w:val="none" w:sz="0" w:space="0" w:color="auto"/>
        <w:bottom w:val="none" w:sz="0" w:space="0" w:color="auto"/>
        <w:right w:val="none" w:sz="0" w:space="0" w:color="auto"/>
      </w:divBdr>
    </w:div>
    <w:div w:id="1085342758">
      <w:bodyDiv w:val="1"/>
      <w:marLeft w:val="0"/>
      <w:marRight w:val="0"/>
      <w:marTop w:val="0"/>
      <w:marBottom w:val="0"/>
      <w:divBdr>
        <w:top w:val="none" w:sz="0" w:space="0" w:color="auto"/>
        <w:left w:val="none" w:sz="0" w:space="0" w:color="auto"/>
        <w:bottom w:val="none" w:sz="0" w:space="0" w:color="auto"/>
        <w:right w:val="none" w:sz="0" w:space="0" w:color="auto"/>
      </w:divBdr>
    </w:div>
    <w:div w:id="1085490047">
      <w:bodyDiv w:val="1"/>
      <w:marLeft w:val="0"/>
      <w:marRight w:val="0"/>
      <w:marTop w:val="0"/>
      <w:marBottom w:val="0"/>
      <w:divBdr>
        <w:top w:val="none" w:sz="0" w:space="0" w:color="auto"/>
        <w:left w:val="none" w:sz="0" w:space="0" w:color="auto"/>
        <w:bottom w:val="none" w:sz="0" w:space="0" w:color="auto"/>
        <w:right w:val="none" w:sz="0" w:space="0" w:color="auto"/>
      </w:divBdr>
    </w:div>
    <w:div w:id="1085807090">
      <w:bodyDiv w:val="1"/>
      <w:marLeft w:val="0"/>
      <w:marRight w:val="0"/>
      <w:marTop w:val="0"/>
      <w:marBottom w:val="0"/>
      <w:divBdr>
        <w:top w:val="none" w:sz="0" w:space="0" w:color="auto"/>
        <w:left w:val="none" w:sz="0" w:space="0" w:color="auto"/>
        <w:bottom w:val="none" w:sz="0" w:space="0" w:color="auto"/>
        <w:right w:val="none" w:sz="0" w:space="0" w:color="auto"/>
      </w:divBdr>
    </w:div>
    <w:div w:id="1085883402">
      <w:bodyDiv w:val="1"/>
      <w:marLeft w:val="0"/>
      <w:marRight w:val="0"/>
      <w:marTop w:val="0"/>
      <w:marBottom w:val="0"/>
      <w:divBdr>
        <w:top w:val="none" w:sz="0" w:space="0" w:color="auto"/>
        <w:left w:val="none" w:sz="0" w:space="0" w:color="auto"/>
        <w:bottom w:val="none" w:sz="0" w:space="0" w:color="auto"/>
        <w:right w:val="none" w:sz="0" w:space="0" w:color="auto"/>
      </w:divBdr>
    </w:div>
    <w:div w:id="1085959630">
      <w:bodyDiv w:val="1"/>
      <w:marLeft w:val="0"/>
      <w:marRight w:val="0"/>
      <w:marTop w:val="0"/>
      <w:marBottom w:val="0"/>
      <w:divBdr>
        <w:top w:val="none" w:sz="0" w:space="0" w:color="auto"/>
        <w:left w:val="none" w:sz="0" w:space="0" w:color="auto"/>
        <w:bottom w:val="none" w:sz="0" w:space="0" w:color="auto"/>
        <w:right w:val="none" w:sz="0" w:space="0" w:color="auto"/>
      </w:divBdr>
    </w:div>
    <w:div w:id="1086152421">
      <w:bodyDiv w:val="1"/>
      <w:marLeft w:val="0"/>
      <w:marRight w:val="0"/>
      <w:marTop w:val="0"/>
      <w:marBottom w:val="0"/>
      <w:divBdr>
        <w:top w:val="none" w:sz="0" w:space="0" w:color="auto"/>
        <w:left w:val="none" w:sz="0" w:space="0" w:color="auto"/>
        <w:bottom w:val="none" w:sz="0" w:space="0" w:color="auto"/>
        <w:right w:val="none" w:sz="0" w:space="0" w:color="auto"/>
      </w:divBdr>
    </w:div>
    <w:div w:id="1086271918">
      <w:bodyDiv w:val="1"/>
      <w:marLeft w:val="0"/>
      <w:marRight w:val="0"/>
      <w:marTop w:val="0"/>
      <w:marBottom w:val="0"/>
      <w:divBdr>
        <w:top w:val="none" w:sz="0" w:space="0" w:color="auto"/>
        <w:left w:val="none" w:sz="0" w:space="0" w:color="auto"/>
        <w:bottom w:val="none" w:sz="0" w:space="0" w:color="auto"/>
        <w:right w:val="none" w:sz="0" w:space="0" w:color="auto"/>
      </w:divBdr>
    </w:div>
    <w:div w:id="1086652988">
      <w:bodyDiv w:val="1"/>
      <w:marLeft w:val="0"/>
      <w:marRight w:val="0"/>
      <w:marTop w:val="0"/>
      <w:marBottom w:val="0"/>
      <w:divBdr>
        <w:top w:val="none" w:sz="0" w:space="0" w:color="auto"/>
        <w:left w:val="none" w:sz="0" w:space="0" w:color="auto"/>
        <w:bottom w:val="none" w:sz="0" w:space="0" w:color="auto"/>
        <w:right w:val="none" w:sz="0" w:space="0" w:color="auto"/>
      </w:divBdr>
    </w:div>
    <w:div w:id="1086684370">
      <w:bodyDiv w:val="1"/>
      <w:marLeft w:val="0"/>
      <w:marRight w:val="0"/>
      <w:marTop w:val="0"/>
      <w:marBottom w:val="0"/>
      <w:divBdr>
        <w:top w:val="none" w:sz="0" w:space="0" w:color="auto"/>
        <w:left w:val="none" w:sz="0" w:space="0" w:color="auto"/>
        <w:bottom w:val="none" w:sz="0" w:space="0" w:color="auto"/>
        <w:right w:val="none" w:sz="0" w:space="0" w:color="auto"/>
      </w:divBdr>
    </w:div>
    <w:div w:id="1086879121">
      <w:bodyDiv w:val="1"/>
      <w:marLeft w:val="0"/>
      <w:marRight w:val="0"/>
      <w:marTop w:val="0"/>
      <w:marBottom w:val="0"/>
      <w:divBdr>
        <w:top w:val="none" w:sz="0" w:space="0" w:color="auto"/>
        <w:left w:val="none" w:sz="0" w:space="0" w:color="auto"/>
        <w:bottom w:val="none" w:sz="0" w:space="0" w:color="auto"/>
        <w:right w:val="none" w:sz="0" w:space="0" w:color="auto"/>
      </w:divBdr>
    </w:div>
    <w:div w:id="1087000727">
      <w:bodyDiv w:val="1"/>
      <w:marLeft w:val="0"/>
      <w:marRight w:val="0"/>
      <w:marTop w:val="0"/>
      <w:marBottom w:val="0"/>
      <w:divBdr>
        <w:top w:val="none" w:sz="0" w:space="0" w:color="auto"/>
        <w:left w:val="none" w:sz="0" w:space="0" w:color="auto"/>
        <w:bottom w:val="none" w:sz="0" w:space="0" w:color="auto"/>
        <w:right w:val="none" w:sz="0" w:space="0" w:color="auto"/>
      </w:divBdr>
    </w:div>
    <w:div w:id="1087187752">
      <w:bodyDiv w:val="1"/>
      <w:marLeft w:val="0"/>
      <w:marRight w:val="0"/>
      <w:marTop w:val="0"/>
      <w:marBottom w:val="0"/>
      <w:divBdr>
        <w:top w:val="none" w:sz="0" w:space="0" w:color="auto"/>
        <w:left w:val="none" w:sz="0" w:space="0" w:color="auto"/>
        <w:bottom w:val="none" w:sz="0" w:space="0" w:color="auto"/>
        <w:right w:val="none" w:sz="0" w:space="0" w:color="auto"/>
      </w:divBdr>
    </w:div>
    <w:div w:id="1087457308">
      <w:bodyDiv w:val="1"/>
      <w:marLeft w:val="0"/>
      <w:marRight w:val="0"/>
      <w:marTop w:val="0"/>
      <w:marBottom w:val="0"/>
      <w:divBdr>
        <w:top w:val="none" w:sz="0" w:space="0" w:color="auto"/>
        <w:left w:val="none" w:sz="0" w:space="0" w:color="auto"/>
        <w:bottom w:val="none" w:sz="0" w:space="0" w:color="auto"/>
        <w:right w:val="none" w:sz="0" w:space="0" w:color="auto"/>
      </w:divBdr>
    </w:div>
    <w:div w:id="1087461626">
      <w:bodyDiv w:val="1"/>
      <w:marLeft w:val="0"/>
      <w:marRight w:val="0"/>
      <w:marTop w:val="0"/>
      <w:marBottom w:val="0"/>
      <w:divBdr>
        <w:top w:val="none" w:sz="0" w:space="0" w:color="auto"/>
        <w:left w:val="none" w:sz="0" w:space="0" w:color="auto"/>
        <w:bottom w:val="none" w:sz="0" w:space="0" w:color="auto"/>
        <w:right w:val="none" w:sz="0" w:space="0" w:color="auto"/>
      </w:divBdr>
    </w:div>
    <w:div w:id="1087507292">
      <w:bodyDiv w:val="1"/>
      <w:marLeft w:val="0"/>
      <w:marRight w:val="0"/>
      <w:marTop w:val="0"/>
      <w:marBottom w:val="0"/>
      <w:divBdr>
        <w:top w:val="none" w:sz="0" w:space="0" w:color="auto"/>
        <w:left w:val="none" w:sz="0" w:space="0" w:color="auto"/>
        <w:bottom w:val="none" w:sz="0" w:space="0" w:color="auto"/>
        <w:right w:val="none" w:sz="0" w:space="0" w:color="auto"/>
      </w:divBdr>
    </w:div>
    <w:div w:id="1087768799">
      <w:bodyDiv w:val="1"/>
      <w:marLeft w:val="0"/>
      <w:marRight w:val="0"/>
      <w:marTop w:val="0"/>
      <w:marBottom w:val="0"/>
      <w:divBdr>
        <w:top w:val="none" w:sz="0" w:space="0" w:color="auto"/>
        <w:left w:val="none" w:sz="0" w:space="0" w:color="auto"/>
        <w:bottom w:val="none" w:sz="0" w:space="0" w:color="auto"/>
        <w:right w:val="none" w:sz="0" w:space="0" w:color="auto"/>
      </w:divBdr>
    </w:div>
    <w:div w:id="1087845133">
      <w:bodyDiv w:val="1"/>
      <w:marLeft w:val="0"/>
      <w:marRight w:val="0"/>
      <w:marTop w:val="0"/>
      <w:marBottom w:val="0"/>
      <w:divBdr>
        <w:top w:val="none" w:sz="0" w:space="0" w:color="auto"/>
        <w:left w:val="none" w:sz="0" w:space="0" w:color="auto"/>
        <w:bottom w:val="none" w:sz="0" w:space="0" w:color="auto"/>
        <w:right w:val="none" w:sz="0" w:space="0" w:color="auto"/>
      </w:divBdr>
    </w:div>
    <w:div w:id="1088309177">
      <w:bodyDiv w:val="1"/>
      <w:marLeft w:val="0"/>
      <w:marRight w:val="0"/>
      <w:marTop w:val="0"/>
      <w:marBottom w:val="0"/>
      <w:divBdr>
        <w:top w:val="none" w:sz="0" w:space="0" w:color="auto"/>
        <w:left w:val="none" w:sz="0" w:space="0" w:color="auto"/>
        <w:bottom w:val="none" w:sz="0" w:space="0" w:color="auto"/>
        <w:right w:val="none" w:sz="0" w:space="0" w:color="auto"/>
      </w:divBdr>
    </w:div>
    <w:div w:id="1088696147">
      <w:bodyDiv w:val="1"/>
      <w:marLeft w:val="0"/>
      <w:marRight w:val="0"/>
      <w:marTop w:val="0"/>
      <w:marBottom w:val="0"/>
      <w:divBdr>
        <w:top w:val="none" w:sz="0" w:space="0" w:color="auto"/>
        <w:left w:val="none" w:sz="0" w:space="0" w:color="auto"/>
        <w:bottom w:val="none" w:sz="0" w:space="0" w:color="auto"/>
        <w:right w:val="none" w:sz="0" w:space="0" w:color="auto"/>
      </w:divBdr>
    </w:div>
    <w:div w:id="1088844221">
      <w:bodyDiv w:val="1"/>
      <w:marLeft w:val="0"/>
      <w:marRight w:val="0"/>
      <w:marTop w:val="0"/>
      <w:marBottom w:val="0"/>
      <w:divBdr>
        <w:top w:val="none" w:sz="0" w:space="0" w:color="auto"/>
        <w:left w:val="none" w:sz="0" w:space="0" w:color="auto"/>
        <w:bottom w:val="none" w:sz="0" w:space="0" w:color="auto"/>
        <w:right w:val="none" w:sz="0" w:space="0" w:color="auto"/>
      </w:divBdr>
    </w:div>
    <w:div w:id="1089154821">
      <w:bodyDiv w:val="1"/>
      <w:marLeft w:val="0"/>
      <w:marRight w:val="0"/>
      <w:marTop w:val="0"/>
      <w:marBottom w:val="0"/>
      <w:divBdr>
        <w:top w:val="none" w:sz="0" w:space="0" w:color="auto"/>
        <w:left w:val="none" w:sz="0" w:space="0" w:color="auto"/>
        <w:bottom w:val="none" w:sz="0" w:space="0" w:color="auto"/>
        <w:right w:val="none" w:sz="0" w:space="0" w:color="auto"/>
      </w:divBdr>
    </w:div>
    <w:div w:id="1089161972">
      <w:bodyDiv w:val="1"/>
      <w:marLeft w:val="0"/>
      <w:marRight w:val="0"/>
      <w:marTop w:val="0"/>
      <w:marBottom w:val="0"/>
      <w:divBdr>
        <w:top w:val="none" w:sz="0" w:space="0" w:color="auto"/>
        <w:left w:val="none" w:sz="0" w:space="0" w:color="auto"/>
        <w:bottom w:val="none" w:sz="0" w:space="0" w:color="auto"/>
        <w:right w:val="none" w:sz="0" w:space="0" w:color="auto"/>
      </w:divBdr>
    </w:div>
    <w:div w:id="1089429132">
      <w:bodyDiv w:val="1"/>
      <w:marLeft w:val="0"/>
      <w:marRight w:val="0"/>
      <w:marTop w:val="0"/>
      <w:marBottom w:val="0"/>
      <w:divBdr>
        <w:top w:val="none" w:sz="0" w:space="0" w:color="auto"/>
        <w:left w:val="none" w:sz="0" w:space="0" w:color="auto"/>
        <w:bottom w:val="none" w:sz="0" w:space="0" w:color="auto"/>
        <w:right w:val="none" w:sz="0" w:space="0" w:color="auto"/>
      </w:divBdr>
    </w:div>
    <w:div w:id="1089430832">
      <w:bodyDiv w:val="1"/>
      <w:marLeft w:val="0"/>
      <w:marRight w:val="0"/>
      <w:marTop w:val="0"/>
      <w:marBottom w:val="0"/>
      <w:divBdr>
        <w:top w:val="none" w:sz="0" w:space="0" w:color="auto"/>
        <w:left w:val="none" w:sz="0" w:space="0" w:color="auto"/>
        <w:bottom w:val="none" w:sz="0" w:space="0" w:color="auto"/>
        <w:right w:val="none" w:sz="0" w:space="0" w:color="auto"/>
      </w:divBdr>
    </w:div>
    <w:div w:id="1089540654">
      <w:bodyDiv w:val="1"/>
      <w:marLeft w:val="0"/>
      <w:marRight w:val="0"/>
      <w:marTop w:val="0"/>
      <w:marBottom w:val="0"/>
      <w:divBdr>
        <w:top w:val="none" w:sz="0" w:space="0" w:color="auto"/>
        <w:left w:val="none" w:sz="0" w:space="0" w:color="auto"/>
        <w:bottom w:val="none" w:sz="0" w:space="0" w:color="auto"/>
        <w:right w:val="none" w:sz="0" w:space="0" w:color="auto"/>
      </w:divBdr>
    </w:div>
    <w:div w:id="1089544110">
      <w:bodyDiv w:val="1"/>
      <w:marLeft w:val="0"/>
      <w:marRight w:val="0"/>
      <w:marTop w:val="0"/>
      <w:marBottom w:val="0"/>
      <w:divBdr>
        <w:top w:val="none" w:sz="0" w:space="0" w:color="auto"/>
        <w:left w:val="none" w:sz="0" w:space="0" w:color="auto"/>
        <w:bottom w:val="none" w:sz="0" w:space="0" w:color="auto"/>
        <w:right w:val="none" w:sz="0" w:space="0" w:color="auto"/>
      </w:divBdr>
    </w:div>
    <w:div w:id="1089623632">
      <w:bodyDiv w:val="1"/>
      <w:marLeft w:val="0"/>
      <w:marRight w:val="0"/>
      <w:marTop w:val="0"/>
      <w:marBottom w:val="0"/>
      <w:divBdr>
        <w:top w:val="none" w:sz="0" w:space="0" w:color="auto"/>
        <w:left w:val="none" w:sz="0" w:space="0" w:color="auto"/>
        <w:bottom w:val="none" w:sz="0" w:space="0" w:color="auto"/>
        <w:right w:val="none" w:sz="0" w:space="0" w:color="auto"/>
      </w:divBdr>
    </w:div>
    <w:div w:id="1089808280">
      <w:bodyDiv w:val="1"/>
      <w:marLeft w:val="0"/>
      <w:marRight w:val="0"/>
      <w:marTop w:val="0"/>
      <w:marBottom w:val="0"/>
      <w:divBdr>
        <w:top w:val="none" w:sz="0" w:space="0" w:color="auto"/>
        <w:left w:val="none" w:sz="0" w:space="0" w:color="auto"/>
        <w:bottom w:val="none" w:sz="0" w:space="0" w:color="auto"/>
        <w:right w:val="none" w:sz="0" w:space="0" w:color="auto"/>
      </w:divBdr>
    </w:div>
    <w:div w:id="1089888746">
      <w:bodyDiv w:val="1"/>
      <w:marLeft w:val="0"/>
      <w:marRight w:val="0"/>
      <w:marTop w:val="0"/>
      <w:marBottom w:val="0"/>
      <w:divBdr>
        <w:top w:val="none" w:sz="0" w:space="0" w:color="auto"/>
        <w:left w:val="none" w:sz="0" w:space="0" w:color="auto"/>
        <w:bottom w:val="none" w:sz="0" w:space="0" w:color="auto"/>
        <w:right w:val="none" w:sz="0" w:space="0" w:color="auto"/>
      </w:divBdr>
    </w:div>
    <w:div w:id="1090080047">
      <w:bodyDiv w:val="1"/>
      <w:marLeft w:val="0"/>
      <w:marRight w:val="0"/>
      <w:marTop w:val="0"/>
      <w:marBottom w:val="0"/>
      <w:divBdr>
        <w:top w:val="none" w:sz="0" w:space="0" w:color="auto"/>
        <w:left w:val="none" w:sz="0" w:space="0" w:color="auto"/>
        <w:bottom w:val="none" w:sz="0" w:space="0" w:color="auto"/>
        <w:right w:val="none" w:sz="0" w:space="0" w:color="auto"/>
      </w:divBdr>
    </w:div>
    <w:div w:id="1090391336">
      <w:bodyDiv w:val="1"/>
      <w:marLeft w:val="0"/>
      <w:marRight w:val="0"/>
      <w:marTop w:val="0"/>
      <w:marBottom w:val="0"/>
      <w:divBdr>
        <w:top w:val="none" w:sz="0" w:space="0" w:color="auto"/>
        <w:left w:val="none" w:sz="0" w:space="0" w:color="auto"/>
        <w:bottom w:val="none" w:sz="0" w:space="0" w:color="auto"/>
        <w:right w:val="none" w:sz="0" w:space="0" w:color="auto"/>
      </w:divBdr>
    </w:div>
    <w:div w:id="1090464616">
      <w:bodyDiv w:val="1"/>
      <w:marLeft w:val="0"/>
      <w:marRight w:val="0"/>
      <w:marTop w:val="0"/>
      <w:marBottom w:val="0"/>
      <w:divBdr>
        <w:top w:val="none" w:sz="0" w:space="0" w:color="auto"/>
        <w:left w:val="none" w:sz="0" w:space="0" w:color="auto"/>
        <w:bottom w:val="none" w:sz="0" w:space="0" w:color="auto"/>
        <w:right w:val="none" w:sz="0" w:space="0" w:color="auto"/>
      </w:divBdr>
    </w:div>
    <w:div w:id="1090615901">
      <w:bodyDiv w:val="1"/>
      <w:marLeft w:val="0"/>
      <w:marRight w:val="0"/>
      <w:marTop w:val="0"/>
      <w:marBottom w:val="0"/>
      <w:divBdr>
        <w:top w:val="none" w:sz="0" w:space="0" w:color="auto"/>
        <w:left w:val="none" w:sz="0" w:space="0" w:color="auto"/>
        <w:bottom w:val="none" w:sz="0" w:space="0" w:color="auto"/>
        <w:right w:val="none" w:sz="0" w:space="0" w:color="auto"/>
      </w:divBdr>
    </w:div>
    <w:div w:id="1090734450">
      <w:bodyDiv w:val="1"/>
      <w:marLeft w:val="0"/>
      <w:marRight w:val="0"/>
      <w:marTop w:val="0"/>
      <w:marBottom w:val="0"/>
      <w:divBdr>
        <w:top w:val="none" w:sz="0" w:space="0" w:color="auto"/>
        <w:left w:val="none" w:sz="0" w:space="0" w:color="auto"/>
        <w:bottom w:val="none" w:sz="0" w:space="0" w:color="auto"/>
        <w:right w:val="none" w:sz="0" w:space="0" w:color="auto"/>
      </w:divBdr>
    </w:div>
    <w:div w:id="1090783519">
      <w:bodyDiv w:val="1"/>
      <w:marLeft w:val="0"/>
      <w:marRight w:val="0"/>
      <w:marTop w:val="0"/>
      <w:marBottom w:val="0"/>
      <w:divBdr>
        <w:top w:val="none" w:sz="0" w:space="0" w:color="auto"/>
        <w:left w:val="none" w:sz="0" w:space="0" w:color="auto"/>
        <w:bottom w:val="none" w:sz="0" w:space="0" w:color="auto"/>
        <w:right w:val="none" w:sz="0" w:space="0" w:color="auto"/>
      </w:divBdr>
    </w:div>
    <w:div w:id="1090851677">
      <w:bodyDiv w:val="1"/>
      <w:marLeft w:val="0"/>
      <w:marRight w:val="0"/>
      <w:marTop w:val="0"/>
      <w:marBottom w:val="0"/>
      <w:divBdr>
        <w:top w:val="none" w:sz="0" w:space="0" w:color="auto"/>
        <w:left w:val="none" w:sz="0" w:space="0" w:color="auto"/>
        <w:bottom w:val="none" w:sz="0" w:space="0" w:color="auto"/>
        <w:right w:val="none" w:sz="0" w:space="0" w:color="auto"/>
      </w:divBdr>
    </w:div>
    <w:div w:id="1090855485">
      <w:bodyDiv w:val="1"/>
      <w:marLeft w:val="0"/>
      <w:marRight w:val="0"/>
      <w:marTop w:val="0"/>
      <w:marBottom w:val="0"/>
      <w:divBdr>
        <w:top w:val="none" w:sz="0" w:space="0" w:color="auto"/>
        <w:left w:val="none" w:sz="0" w:space="0" w:color="auto"/>
        <w:bottom w:val="none" w:sz="0" w:space="0" w:color="auto"/>
        <w:right w:val="none" w:sz="0" w:space="0" w:color="auto"/>
      </w:divBdr>
    </w:div>
    <w:div w:id="1090933807">
      <w:bodyDiv w:val="1"/>
      <w:marLeft w:val="0"/>
      <w:marRight w:val="0"/>
      <w:marTop w:val="0"/>
      <w:marBottom w:val="0"/>
      <w:divBdr>
        <w:top w:val="none" w:sz="0" w:space="0" w:color="auto"/>
        <w:left w:val="none" w:sz="0" w:space="0" w:color="auto"/>
        <w:bottom w:val="none" w:sz="0" w:space="0" w:color="auto"/>
        <w:right w:val="none" w:sz="0" w:space="0" w:color="auto"/>
      </w:divBdr>
    </w:div>
    <w:div w:id="1091507092">
      <w:bodyDiv w:val="1"/>
      <w:marLeft w:val="0"/>
      <w:marRight w:val="0"/>
      <w:marTop w:val="0"/>
      <w:marBottom w:val="0"/>
      <w:divBdr>
        <w:top w:val="none" w:sz="0" w:space="0" w:color="auto"/>
        <w:left w:val="none" w:sz="0" w:space="0" w:color="auto"/>
        <w:bottom w:val="none" w:sz="0" w:space="0" w:color="auto"/>
        <w:right w:val="none" w:sz="0" w:space="0" w:color="auto"/>
      </w:divBdr>
    </w:div>
    <w:div w:id="1091706440">
      <w:bodyDiv w:val="1"/>
      <w:marLeft w:val="0"/>
      <w:marRight w:val="0"/>
      <w:marTop w:val="0"/>
      <w:marBottom w:val="0"/>
      <w:divBdr>
        <w:top w:val="none" w:sz="0" w:space="0" w:color="auto"/>
        <w:left w:val="none" w:sz="0" w:space="0" w:color="auto"/>
        <w:bottom w:val="none" w:sz="0" w:space="0" w:color="auto"/>
        <w:right w:val="none" w:sz="0" w:space="0" w:color="auto"/>
      </w:divBdr>
    </w:div>
    <w:div w:id="1091900319">
      <w:bodyDiv w:val="1"/>
      <w:marLeft w:val="0"/>
      <w:marRight w:val="0"/>
      <w:marTop w:val="0"/>
      <w:marBottom w:val="0"/>
      <w:divBdr>
        <w:top w:val="none" w:sz="0" w:space="0" w:color="auto"/>
        <w:left w:val="none" w:sz="0" w:space="0" w:color="auto"/>
        <w:bottom w:val="none" w:sz="0" w:space="0" w:color="auto"/>
        <w:right w:val="none" w:sz="0" w:space="0" w:color="auto"/>
      </w:divBdr>
    </w:div>
    <w:div w:id="1092093317">
      <w:bodyDiv w:val="1"/>
      <w:marLeft w:val="0"/>
      <w:marRight w:val="0"/>
      <w:marTop w:val="0"/>
      <w:marBottom w:val="0"/>
      <w:divBdr>
        <w:top w:val="none" w:sz="0" w:space="0" w:color="auto"/>
        <w:left w:val="none" w:sz="0" w:space="0" w:color="auto"/>
        <w:bottom w:val="none" w:sz="0" w:space="0" w:color="auto"/>
        <w:right w:val="none" w:sz="0" w:space="0" w:color="auto"/>
      </w:divBdr>
    </w:div>
    <w:div w:id="1092163939">
      <w:bodyDiv w:val="1"/>
      <w:marLeft w:val="0"/>
      <w:marRight w:val="0"/>
      <w:marTop w:val="0"/>
      <w:marBottom w:val="0"/>
      <w:divBdr>
        <w:top w:val="none" w:sz="0" w:space="0" w:color="auto"/>
        <w:left w:val="none" w:sz="0" w:space="0" w:color="auto"/>
        <w:bottom w:val="none" w:sz="0" w:space="0" w:color="auto"/>
        <w:right w:val="none" w:sz="0" w:space="0" w:color="auto"/>
      </w:divBdr>
    </w:div>
    <w:div w:id="1092242913">
      <w:bodyDiv w:val="1"/>
      <w:marLeft w:val="0"/>
      <w:marRight w:val="0"/>
      <w:marTop w:val="0"/>
      <w:marBottom w:val="0"/>
      <w:divBdr>
        <w:top w:val="none" w:sz="0" w:space="0" w:color="auto"/>
        <w:left w:val="none" w:sz="0" w:space="0" w:color="auto"/>
        <w:bottom w:val="none" w:sz="0" w:space="0" w:color="auto"/>
        <w:right w:val="none" w:sz="0" w:space="0" w:color="auto"/>
      </w:divBdr>
    </w:div>
    <w:div w:id="1092434287">
      <w:bodyDiv w:val="1"/>
      <w:marLeft w:val="0"/>
      <w:marRight w:val="0"/>
      <w:marTop w:val="0"/>
      <w:marBottom w:val="0"/>
      <w:divBdr>
        <w:top w:val="none" w:sz="0" w:space="0" w:color="auto"/>
        <w:left w:val="none" w:sz="0" w:space="0" w:color="auto"/>
        <w:bottom w:val="none" w:sz="0" w:space="0" w:color="auto"/>
        <w:right w:val="none" w:sz="0" w:space="0" w:color="auto"/>
      </w:divBdr>
    </w:div>
    <w:div w:id="1092552060">
      <w:bodyDiv w:val="1"/>
      <w:marLeft w:val="0"/>
      <w:marRight w:val="0"/>
      <w:marTop w:val="0"/>
      <w:marBottom w:val="0"/>
      <w:divBdr>
        <w:top w:val="none" w:sz="0" w:space="0" w:color="auto"/>
        <w:left w:val="none" w:sz="0" w:space="0" w:color="auto"/>
        <w:bottom w:val="none" w:sz="0" w:space="0" w:color="auto"/>
        <w:right w:val="none" w:sz="0" w:space="0" w:color="auto"/>
      </w:divBdr>
    </w:div>
    <w:div w:id="1092555757">
      <w:bodyDiv w:val="1"/>
      <w:marLeft w:val="0"/>
      <w:marRight w:val="0"/>
      <w:marTop w:val="0"/>
      <w:marBottom w:val="0"/>
      <w:divBdr>
        <w:top w:val="none" w:sz="0" w:space="0" w:color="auto"/>
        <w:left w:val="none" w:sz="0" w:space="0" w:color="auto"/>
        <w:bottom w:val="none" w:sz="0" w:space="0" w:color="auto"/>
        <w:right w:val="none" w:sz="0" w:space="0" w:color="auto"/>
      </w:divBdr>
    </w:div>
    <w:div w:id="1092580584">
      <w:bodyDiv w:val="1"/>
      <w:marLeft w:val="0"/>
      <w:marRight w:val="0"/>
      <w:marTop w:val="0"/>
      <w:marBottom w:val="0"/>
      <w:divBdr>
        <w:top w:val="none" w:sz="0" w:space="0" w:color="auto"/>
        <w:left w:val="none" w:sz="0" w:space="0" w:color="auto"/>
        <w:bottom w:val="none" w:sz="0" w:space="0" w:color="auto"/>
        <w:right w:val="none" w:sz="0" w:space="0" w:color="auto"/>
      </w:divBdr>
    </w:div>
    <w:div w:id="1092778900">
      <w:bodyDiv w:val="1"/>
      <w:marLeft w:val="0"/>
      <w:marRight w:val="0"/>
      <w:marTop w:val="0"/>
      <w:marBottom w:val="0"/>
      <w:divBdr>
        <w:top w:val="none" w:sz="0" w:space="0" w:color="auto"/>
        <w:left w:val="none" w:sz="0" w:space="0" w:color="auto"/>
        <w:bottom w:val="none" w:sz="0" w:space="0" w:color="auto"/>
        <w:right w:val="none" w:sz="0" w:space="0" w:color="auto"/>
      </w:divBdr>
    </w:div>
    <w:div w:id="1092896280">
      <w:bodyDiv w:val="1"/>
      <w:marLeft w:val="0"/>
      <w:marRight w:val="0"/>
      <w:marTop w:val="0"/>
      <w:marBottom w:val="0"/>
      <w:divBdr>
        <w:top w:val="none" w:sz="0" w:space="0" w:color="auto"/>
        <w:left w:val="none" w:sz="0" w:space="0" w:color="auto"/>
        <w:bottom w:val="none" w:sz="0" w:space="0" w:color="auto"/>
        <w:right w:val="none" w:sz="0" w:space="0" w:color="auto"/>
      </w:divBdr>
    </w:div>
    <w:div w:id="1093161615">
      <w:bodyDiv w:val="1"/>
      <w:marLeft w:val="0"/>
      <w:marRight w:val="0"/>
      <w:marTop w:val="0"/>
      <w:marBottom w:val="0"/>
      <w:divBdr>
        <w:top w:val="none" w:sz="0" w:space="0" w:color="auto"/>
        <w:left w:val="none" w:sz="0" w:space="0" w:color="auto"/>
        <w:bottom w:val="none" w:sz="0" w:space="0" w:color="auto"/>
        <w:right w:val="none" w:sz="0" w:space="0" w:color="auto"/>
      </w:divBdr>
    </w:div>
    <w:div w:id="1093280328">
      <w:bodyDiv w:val="1"/>
      <w:marLeft w:val="0"/>
      <w:marRight w:val="0"/>
      <w:marTop w:val="0"/>
      <w:marBottom w:val="0"/>
      <w:divBdr>
        <w:top w:val="none" w:sz="0" w:space="0" w:color="auto"/>
        <w:left w:val="none" w:sz="0" w:space="0" w:color="auto"/>
        <w:bottom w:val="none" w:sz="0" w:space="0" w:color="auto"/>
        <w:right w:val="none" w:sz="0" w:space="0" w:color="auto"/>
      </w:divBdr>
    </w:div>
    <w:div w:id="1093281836">
      <w:bodyDiv w:val="1"/>
      <w:marLeft w:val="0"/>
      <w:marRight w:val="0"/>
      <w:marTop w:val="0"/>
      <w:marBottom w:val="0"/>
      <w:divBdr>
        <w:top w:val="none" w:sz="0" w:space="0" w:color="auto"/>
        <w:left w:val="none" w:sz="0" w:space="0" w:color="auto"/>
        <w:bottom w:val="none" w:sz="0" w:space="0" w:color="auto"/>
        <w:right w:val="none" w:sz="0" w:space="0" w:color="auto"/>
      </w:divBdr>
    </w:div>
    <w:div w:id="1093355066">
      <w:bodyDiv w:val="1"/>
      <w:marLeft w:val="0"/>
      <w:marRight w:val="0"/>
      <w:marTop w:val="0"/>
      <w:marBottom w:val="0"/>
      <w:divBdr>
        <w:top w:val="none" w:sz="0" w:space="0" w:color="auto"/>
        <w:left w:val="none" w:sz="0" w:space="0" w:color="auto"/>
        <w:bottom w:val="none" w:sz="0" w:space="0" w:color="auto"/>
        <w:right w:val="none" w:sz="0" w:space="0" w:color="auto"/>
      </w:divBdr>
    </w:div>
    <w:div w:id="1094135423">
      <w:bodyDiv w:val="1"/>
      <w:marLeft w:val="0"/>
      <w:marRight w:val="0"/>
      <w:marTop w:val="0"/>
      <w:marBottom w:val="0"/>
      <w:divBdr>
        <w:top w:val="none" w:sz="0" w:space="0" w:color="auto"/>
        <w:left w:val="none" w:sz="0" w:space="0" w:color="auto"/>
        <w:bottom w:val="none" w:sz="0" w:space="0" w:color="auto"/>
        <w:right w:val="none" w:sz="0" w:space="0" w:color="auto"/>
      </w:divBdr>
    </w:div>
    <w:div w:id="1094281554">
      <w:bodyDiv w:val="1"/>
      <w:marLeft w:val="0"/>
      <w:marRight w:val="0"/>
      <w:marTop w:val="0"/>
      <w:marBottom w:val="0"/>
      <w:divBdr>
        <w:top w:val="none" w:sz="0" w:space="0" w:color="auto"/>
        <w:left w:val="none" w:sz="0" w:space="0" w:color="auto"/>
        <w:bottom w:val="none" w:sz="0" w:space="0" w:color="auto"/>
        <w:right w:val="none" w:sz="0" w:space="0" w:color="auto"/>
      </w:divBdr>
    </w:div>
    <w:div w:id="1094328897">
      <w:bodyDiv w:val="1"/>
      <w:marLeft w:val="0"/>
      <w:marRight w:val="0"/>
      <w:marTop w:val="0"/>
      <w:marBottom w:val="0"/>
      <w:divBdr>
        <w:top w:val="none" w:sz="0" w:space="0" w:color="auto"/>
        <w:left w:val="none" w:sz="0" w:space="0" w:color="auto"/>
        <w:bottom w:val="none" w:sz="0" w:space="0" w:color="auto"/>
        <w:right w:val="none" w:sz="0" w:space="0" w:color="auto"/>
      </w:divBdr>
    </w:div>
    <w:div w:id="1094478741">
      <w:bodyDiv w:val="1"/>
      <w:marLeft w:val="0"/>
      <w:marRight w:val="0"/>
      <w:marTop w:val="0"/>
      <w:marBottom w:val="0"/>
      <w:divBdr>
        <w:top w:val="none" w:sz="0" w:space="0" w:color="auto"/>
        <w:left w:val="none" w:sz="0" w:space="0" w:color="auto"/>
        <w:bottom w:val="none" w:sz="0" w:space="0" w:color="auto"/>
        <w:right w:val="none" w:sz="0" w:space="0" w:color="auto"/>
      </w:divBdr>
    </w:div>
    <w:div w:id="1094739885">
      <w:bodyDiv w:val="1"/>
      <w:marLeft w:val="0"/>
      <w:marRight w:val="0"/>
      <w:marTop w:val="0"/>
      <w:marBottom w:val="0"/>
      <w:divBdr>
        <w:top w:val="none" w:sz="0" w:space="0" w:color="auto"/>
        <w:left w:val="none" w:sz="0" w:space="0" w:color="auto"/>
        <w:bottom w:val="none" w:sz="0" w:space="0" w:color="auto"/>
        <w:right w:val="none" w:sz="0" w:space="0" w:color="auto"/>
      </w:divBdr>
    </w:div>
    <w:div w:id="1095134688">
      <w:bodyDiv w:val="1"/>
      <w:marLeft w:val="0"/>
      <w:marRight w:val="0"/>
      <w:marTop w:val="0"/>
      <w:marBottom w:val="0"/>
      <w:divBdr>
        <w:top w:val="none" w:sz="0" w:space="0" w:color="auto"/>
        <w:left w:val="none" w:sz="0" w:space="0" w:color="auto"/>
        <w:bottom w:val="none" w:sz="0" w:space="0" w:color="auto"/>
        <w:right w:val="none" w:sz="0" w:space="0" w:color="auto"/>
      </w:divBdr>
    </w:div>
    <w:div w:id="1095174134">
      <w:bodyDiv w:val="1"/>
      <w:marLeft w:val="0"/>
      <w:marRight w:val="0"/>
      <w:marTop w:val="0"/>
      <w:marBottom w:val="0"/>
      <w:divBdr>
        <w:top w:val="none" w:sz="0" w:space="0" w:color="auto"/>
        <w:left w:val="none" w:sz="0" w:space="0" w:color="auto"/>
        <w:bottom w:val="none" w:sz="0" w:space="0" w:color="auto"/>
        <w:right w:val="none" w:sz="0" w:space="0" w:color="auto"/>
      </w:divBdr>
    </w:div>
    <w:div w:id="1095440718">
      <w:bodyDiv w:val="1"/>
      <w:marLeft w:val="0"/>
      <w:marRight w:val="0"/>
      <w:marTop w:val="0"/>
      <w:marBottom w:val="0"/>
      <w:divBdr>
        <w:top w:val="none" w:sz="0" w:space="0" w:color="auto"/>
        <w:left w:val="none" w:sz="0" w:space="0" w:color="auto"/>
        <w:bottom w:val="none" w:sz="0" w:space="0" w:color="auto"/>
        <w:right w:val="none" w:sz="0" w:space="0" w:color="auto"/>
      </w:divBdr>
    </w:div>
    <w:div w:id="1096092094">
      <w:bodyDiv w:val="1"/>
      <w:marLeft w:val="0"/>
      <w:marRight w:val="0"/>
      <w:marTop w:val="0"/>
      <w:marBottom w:val="0"/>
      <w:divBdr>
        <w:top w:val="none" w:sz="0" w:space="0" w:color="auto"/>
        <w:left w:val="none" w:sz="0" w:space="0" w:color="auto"/>
        <w:bottom w:val="none" w:sz="0" w:space="0" w:color="auto"/>
        <w:right w:val="none" w:sz="0" w:space="0" w:color="auto"/>
      </w:divBdr>
    </w:div>
    <w:div w:id="1096092706">
      <w:bodyDiv w:val="1"/>
      <w:marLeft w:val="0"/>
      <w:marRight w:val="0"/>
      <w:marTop w:val="0"/>
      <w:marBottom w:val="0"/>
      <w:divBdr>
        <w:top w:val="none" w:sz="0" w:space="0" w:color="auto"/>
        <w:left w:val="none" w:sz="0" w:space="0" w:color="auto"/>
        <w:bottom w:val="none" w:sz="0" w:space="0" w:color="auto"/>
        <w:right w:val="none" w:sz="0" w:space="0" w:color="auto"/>
      </w:divBdr>
    </w:div>
    <w:div w:id="1096438040">
      <w:bodyDiv w:val="1"/>
      <w:marLeft w:val="0"/>
      <w:marRight w:val="0"/>
      <w:marTop w:val="0"/>
      <w:marBottom w:val="0"/>
      <w:divBdr>
        <w:top w:val="none" w:sz="0" w:space="0" w:color="auto"/>
        <w:left w:val="none" w:sz="0" w:space="0" w:color="auto"/>
        <w:bottom w:val="none" w:sz="0" w:space="0" w:color="auto"/>
        <w:right w:val="none" w:sz="0" w:space="0" w:color="auto"/>
      </w:divBdr>
    </w:div>
    <w:div w:id="1096631675">
      <w:bodyDiv w:val="1"/>
      <w:marLeft w:val="0"/>
      <w:marRight w:val="0"/>
      <w:marTop w:val="0"/>
      <w:marBottom w:val="0"/>
      <w:divBdr>
        <w:top w:val="none" w:sz="0" w:space="0" w:color="auto"/>
        <w:left w:val="none" w:sz="0" w:space="0" w:color="auto"/>
        <w:bottom w:val="none" w:sz="0" w:space="0" w:color="auto"/>
        <w:right w:val="none" w:sz="0" w:space="0" w:color="auto"/>
      </w:divBdr>
    </w:div>
    <w:div w:id="1096679896">
      <w:bodyDiv w:val="1"/>
      <w:marLeft w:val="0"/>
      <w:marRight w:val="0"/>
      <w:marTop w:val="0"/>
      <w:marBottom w:val="0"/>
      <w:divBdr>
        <w:top w:val="none" w:sz="0" w:space="0" w:color="auto"/>
        <w:left w:val="none" w:sz="0" w:space="0" w:color="auto"/>
        <w:bottom w:val="none" w:sz="0" w:space="0" w:color="auto"/>
        <w:right w:val="none" w:sz="0" w:space="0" w:color="auto"/>
      </w:divBdr>
    </w:div>
    <w:div w:id="1096747292">
      <w:bodyDiv w:val="1"/>
      <w:marLeft w:val="0"/>
      <w:marRight w:val="0"/>
      <w:marTop w:val="0"/>
      <w:marBottom w:val="0"/>
      <w:divBdr>
        <w:top w:val="none" w:sz="0" w:space="0" w:color="auto"/>
        <w:left w:val="none" w:sz="0" w:space="0" w:color="auto"/>
        <w:bottom w:val="none" w:sz="0" w:space="0" w:color="auto"/>
        <w:right w:val="none" w:sz="0" w:space="0" w:color="auto"/>
      </w:divBdr>
    </w:div>
    <w:div w:id="1097017533">
      <w:bodyDiv w:val="1"/>
      <w:marLeft w:val="0"/>
      <w:marRight w:val="0"/>
      <w:marTop w:val="0"/>
      <w:marBottom w:val="0"/>
      <w:divBdr>
        <w:top w:val="none" w:sz="0" w:space="0" w:color="auto"/>
        <w:left w:val="none" w:sz="0" w:space="0" w:color="auto"/>
        <w:bottom w:val="none" w:sz="0" w:space="0" w:color="auto"/>
        <w:right w:val="none" w:sz="0" w:space="0" w:color="auto"/>
      </w:divBdr>
    </w:div>
    <w:div w:id="1097023985">
      <w:bodyDiv w:val="1"/>
      <w:marLeft w:val="0"/>
      <w:marRight w:val="0"/>
      <w:marTop w:val="0"/>
      <w:marBottom w:val="0"/>
      <w:divBdr>
        <w:top w:val="none" w:sz="0" w:space="0" w:color="auto"/>
        <w:left w:val="none" w:sz="0" w:space="0" w:color="auto"/>
        <w:bottom w:val="none" w:sz="0" w:space="0" w:color="auto"/>
        <w:right w:val="none" w:sz="0" w:space="0" w:color="auto"/>
      </w:divBdr>
    </w:div>
    <w:div w:id="1097412102">
      <w:bodyDiv w:val="1"/>
      <w:marLeft w:val="0"/>
      <w:marRight w:val="0"/>
      <w:marTop w:val="0"/>
      <w:marBottom w:val="0"/>
      <w:divBdr>
        <w:top w:val="none" w:sz="0" w:space="0" w:color="auto"/>
        <w:left w:val="none" w:sz="0" w:space="0" w:color="auto"/>
        <w:bottom w:val="none" w:sz="0" w:space="0" w:color="auto"/>
        <w:right w:val="none" w:sz="0" w:space="0" w:color="auto"/>
      </w:divBdr>
    </w:div>
    <w:div w:id="1097482819">
      <w:bodyDiv w:val="1"/>
      <w:marLeft w:val="0"/>
      <w:marRight w:val="0"/>
      <w:marTop w:val="0"/>
      <w:marBottom w:val="0"/>
      <w:divBdr>
        <w:top w:val="none" w:sz="0" w:space="0" w:color="auto"/>
        <w:left w:val="none" w:sz="0" w:space="0" w:color="auto"/>
        <w:bottom w:val="none" w:sz="0" w:space="0" w:color="auto"/>
        <w:right w:val="none" w:sz="0" w:space="0" w:color="auto"/>
      </w:divBdr>
    </w:div>
    <w:div w:id="1097752331">
      <w:bodyDiv w:val="1"/>
      <w:marLeft w:val="0"/>
      <w:marRight w:val="0"/>
      <w:marTop w:val="0"/>
      <w:marBottom w:val="0"/>
      <w:divBdr>
        <w:top w:val="none" w:sz="0" w:space="0" w:color="auto"/>
        <w:left w:val="none" w:sz="0" w:space="0" w:color="auto"/>
        <w:bottom w:val="none" w:sz="0" w:space="0" w:color="auto"/>
        <w:right w:val="none" w:sz="0" w:space="0" w:color="auto"/>
      </w:divBdr>
    </w:div>
    <w:div w:id="1097796089">
      <w:bodyDiv w:val="1"/>
      <w:marLeft w:val="0"/>
      <w:marRight w:val="0"/>
      <w:marTop w:val="0"/>
      <w:marBottom w:val="0"/>
      <w:divBdr>
        <w:top w:val="none" w:sz="0" w:space="0" w:color="auto"/>
        <w:left w:val="none" w:sz="0" w:space="0" w:color="auto"/>
        <w:bottom w:val="none" w:sz="0" w:space="0" w:color="auto"/>
        <w:right w:val="none" w:sz="0" w:space="0" w:color="auto"/>
      </w:divBdr>
    </w:div>
    <w:div w:id="1097822840">
      <w:bodyDiv w:val="1"/>
      <w:marLeft w:val="0"/>
      <w:marRight w:val="0"/>
      <w:marTop w:val="0"/>
      <w:marBottom w:val="0"/>
      <w:divBdr>
        <w:top w:val="none" w:sz="0" w:space="0" w:color="auto"/>
        <w:left w:val="none" w:sz="0" w:space="0" w:color="auto"/>
        <w:bottom w:val="none" w:sz="0" w:space="0" w:color="auto"/>
        <w:right w:val="none" w:sz="0" w:space="0" w:color="auto"/>
      </w:divBdr>
    </w:div>
    <w:div w:id="1097865409">
      <w:bodyDiv w:val="1"/>
      <w:marLeft w:val="0"/>
      <w:marRight w:val="0"/>
      <w:marTop w:val="0"/>
      <w:marBottom w:val="0"/>
      <w:divBdr>
        <w:top w:val="none" w:sz="0" w:space="0" w:color="auto"/>
        <w:left w:val="none" w:sz="0" w:space="0" w:color="auto"/>
        <w:bottom w:val="none" w:sz="0" w:space="0" w:color="auto"/>
        <w:right w:val="none" w:sz="0" w:space="0" w:color="auto"/>
      </w:divBdr>
    </w:div>
    <w:div w:id="1097872707">
      <w:bodyDiv w:val="1"/>
      <w:marLeft w:val="0"/>
      <w:marRight w:val="0"/>
      <w:marTop w:val="0"/>
      <w:marBottom w:val="0"/>
      <w:divBdr>
        <w:top w:val="none" w:sz="0" w:space="0" w:color="auto"/>
        <w:left w:val="none" w:sz="0" w:space="0" w:color="auto"/>
        <w:bottom w:val="none" w:sz="0" w:space="0" w:color="auto"/>
        <w:right w:val="none" w:sz="0" w:space="0" w:color="auto"/>
      </w:divBdr>
    </w:div>
    <w:div w:id="1097940713">
      <w:bodyDiv w:val="1"/>
      <w:marLeft w:val="0"/>
      <w:marRight w:val="0"/>
      <w:marTop w:val="0"/>
      <w:marBottom w:val="0"/>
      <w:divBdr>
        <w:top w:val="none" w:sz="0" w:space="0" w:color="auto"/>
        <w:left w:val="none" w:sz="0" w:space="0" w:color="auto"/>
        <w:bottom w:val="none" w:sz="0" w:space="0" w:color="auto"/>
        <w:right w:val="none" w:sz="0" w:space="0" w:color="auto"/>
      </w:divBdr>
    </w:div>
    <w:div w:id="1098137245">
      <w:bodyDiv w:val="1"/>
      <w:marLeft w:val="0"/>
      <w:marRight w:val="0"/>
      <w:marTop w:val="0"/>
      <w:marBottom w:val="0"/>
      <w:divBdr>
        <w:top w:val="none" w:sz="0" w:space="0" w:color="auto"/>
        <w:left w:val="none" w:sz="0" w:space="0" w:color="auto"/>
        <w:bottom w:val="none" w:sz="0" w:space="0" w:color="auto"/>
        <w:right w:val="none" w:sz="0" w:space="0" w:color="auto"/>
      </w:divBdr>
    </w:div>
    <w:div w:id="1098257845">
      <w:bodyDiv w:val="1"/>
      <w:marLeft w:val="0"/>
      <w:marRight w:val="0"/>
      <w:marTop w:val="0"/>
      <w:marBottom w:val="0"/>
      <w:divBdr>
        <w:top w:val="none" w:sz="0" w:space="0" w:color="auto"/>
        <w:left w:val="none" w:sz="0" w:space="0" w:color="auto"/>
        <w:bottom w:val="none" w:sz="0" w:space="0" w:color="auto"/>
        <w:right w:val="none" w:sz="0" w:space="0" w:color="auto"/>
      </w:divBdr>
    </w:div>
    <w:div w:id="1098326319">
      <w:bodyDiv w:val="1"/>
      <w:marLeft w:val="0"/>
      <w:marRight w:val="0"/>
      <w:marTop w:val="0"/>
      <w:marBottom w:val="0"/>
      <w:divBdr>
        <w:top w:val="none" w:sz="0" w:space="0" w:color="auto"/>
        <w:left w:val="none" w:sz="0" w:space="0" w:color="auto"/>
        <w:bottom w:val="none" w:sz="0" w:space="0" w:color="auto"/>
        <w:right w:val="none" w:sz="0" w:space="0" w:color="auto"/>
      </w:divBdr>
    </w:div>
    <w:div w:id="1098527535">
      <w:bodyDiv w:val="1"/>
      <w:marLeft w:val="0"/>
      <w:marRight w:val="0"/>
      <w:marTop w:val="0"/>
      <w:marBottom w:val="0"/>
      <w:divBdr>
        <w:top w:val="none" w:sz="0" w:space="0" w:color="auto"/>
        <w:left w:val="none" w:sz="0" w:space="0" w:color="auto"/>
        <w:bottom w:val="none" w:sz="0" w:space="0" w:color="auto"/>
        <w:right w:val="none" w:sz="0" w:space="0" w:color="auto"/>
      </w:divBdr>
    </w:div>
    <w:div w:id="1098873122">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8985420">
      <w:bodyDiv w:val="1"/>
      <w:marLeft w:val="0"/>
      <w:marRight w:val="0"/>
      <w:marTop w:val="0"/>
      <w:marBottom w:val="0"/>
      <w:divBdr>
        <w:top w:val="none" w:sz="0" w:space="0" w:color="auto"/>
        <w:left w:val="none" w:sz="0" w:space="0" w:color="auto"/>
        <w:bottom w:val="none" w:sz="0" w:space="0" w:color="auto"/>
        <w:right w:val="none" w:sz="0" w:space="0" w:color="auto"/>
      </w:divBdr>
    </w:div>
    <w:div w:id="1099065446">
      <w:bodyDiv w:val="1"/>
      <w:marLeft w:val="0"/>
      <w:marRight w:val="0"/>
      <w:marTop w:val="0"/>
      <w:marBottom w:val="0"/>
      <w:divBdr>
        <w:top w:val="none" w:sz="0" w:space="0" w:color="auto"/>
        <w:left w:val="none" w:sz="0" w:space="0" w:color="auto"/>
        <w:bottom w:val="none" w:sz="0" w:space="0" w:color="auto"/>
        <w:right w:val="none" w:sz="0" w:space="0" w:color="auto"/>
      </w:divBdr>
    </w:div>
    <w:div w:id="1099178801">
      <w:bodyDiv w:val="1"/>
      <w:marLeft w:val="0"/>
      <w:marRight w:val="0"/>
      <w:marTop w:val="0"/>
      <w:marBottom w:val="0"/>
      <w:divBdr>
        <w:top w:val="none" w:sz="0" w:space="0" w:color="auto"/>
        <w:left w:val="none" w:sz="0" w:space="0" w:color="auto"/>
        <w:bottom w:val="none" w:sz="0" w:space="0" w:color="auto"/>
        <w:right w:val="none" w:sz="0" w:space="0" w:color="auto"/>
      </w:divBdr>
    </w:div>
    <w:div w:id="1099331684">
      <w:bodyDiv w:val="1"/>
      <w:marLeft w:val="0"/>
      <w:marRight w:val="0"/>
      <w:marTop w:val="0"/>
      <w:marBottom w:val="0"/>
      <w:divBdr>
        <w:top w:val="none" w:sz="0" w:space="0" w:color="auto"/>
        <w:left w:val="none" w:sz="0" w:space="0" w:color="auto"/>
        <w:bottom w:val="none" w:sz="0" w:space="0" w:color="auto"/>
        <w:right w:val="none" w:sz="0" w:space="0" w:color="auto"/>
      </w:divBdr>
    </w:div>
    <w:div w:id="1099448812">
      <w:bodyDiv w:val="1"/>
      <w:marLeft w:val="0"/>
      <w:marRight w:val="0"/>
      <w:marTop w:val="0"/>
      <w:marBottom w:val="0"/>
      <w:divBdr>
        <w:top w:val="none" w:sz="0" w:space="0" w:color="auto"/>
        <w:left w:val="none" w:sz="0" w:space="0" w:color="auto"/>
        <w:bottom w:val="none" w:sz="0" w:space="0" w:color="auto"/>
        <w:right w:val="none" w:sz="0" w:space="0" w:color="auto"/>
      </w:divBdr>
    </w:div>
    <w:div w:id="1099563187">
      <w:bodyDiv w:val="1"/>
      <w:marLeft w:val="0"/>
      <w:marRight w:val="0"/>
      <w:marTop w:val="0"/>
      <w:marBottom w:val="0"/>
      <w:divBdr>
        <w:top w:val="none" w:sz="0" w:space="0" w:color="auto"/>
        <w:left w:val="none" w:sz="0" w:space="0" w:color="auto"/>
        <w:bottom w:val="none" w:sz="0" w:space="0" w:color="auto"/>
        <w:right w:val="none" w:sz="0" w:space="0" w:color="auto"/>
      </w:divBdr>
    </w:div>
    <w:div w:id="1099639158">
      <w:bodyDiv w:val="1"/>
      <w:marLeft w:val="0"/>
      <w:marRight w:val="0"/>
      <w:marTop w:val="0"/>
      <w:marBottom w:val="0"/>
      <w:divBdr>
        <w:top w:val="none" w:sz="0" w:space="0" w:color="auto"/>
        <w:left w:val="none" w:sz="0" w:space="0" w:color="auto"/>
        <w:bottom w:val="none" w:sz="0" w:space="0" w:color="auto"/>
        <w:right w:val="none" w:sz="0" w:space="0" w:color="auto"/>
      </w:divBdr>
    </w:div>
    <w:div w:id="1099981457">
      <w:bodyDiv w:val="1"/>
      <w:marLeft w:val="0"/>
      <w:marRight w:val="0"/>
      <w:marTop w:val="0"/>
      <w:marBottom w:val="0"/>
      <w:divBdr>
        <w:top w:val="none" w:sz="0" w:space="0" w:color="auto"/>
        <w:left w:val="none" w:sz="0" w:space="0" w:color="auto"/>
        <w:bottom w:val="none" w:sz="0" w:space="0" w:color="auto"/>
        <w:right w:val="none" w:sz="0" w:space="0" w:color="auto"/>
      </w:divBdr>
    </w:div>
    <w:div w:id="1100101282">
      <w:bodyDiv w:val="1"/>
      <w:marLeft w:val="0"/>
      <w:marRight w:val="0"/>
      <w:marTop w:val="0"/>
      <w:marBottom w:val="0"/>
      <w:divBdr>
        <w:top w:val="none" w:sz="0" w:space="0" w:color="auto"/>
        <w:left w:val="none" w:sz="0" w:space="0" w:color="auto"/>
        <w:bottom w:val="none" w:sz="0" w:space="0" w:color="auto"/>
        <w:right w:val="none" w:sz="0" w:space="0" w:color="auto"/>
      </w:divBdr>
    </w:div>
    <w:div w:id="1100176769">
      <w:bodyDiv w:val="1"/>
      <w:marLeft w:val="0"/>
      <w:marRight w:val="0"/>
      <w:marTop w:val="0"/>
      <w:marBottom w:val="0"/>
      <w:divBdr>
        <w:top w:val="none" w:sz="0" w:space="0" w:color="auto"/>
        <w:left w:val="none" w:sz="0" w:space="0" w:color="auto"/>
        <w:bottom w:val="none" w:sz="0" w:space="0" w:color="auto"/>
        <w:right w:val="none" w:sz="0" w:space="0" w:color="auto"/>
      </w:divBdr>
    </w:div>
    <w:div w:id="1100225595">
      <w:bodyDiv w:val="1"/>
      <w:marLeft w:val="0"/>
      <w:marRight w:val="0"/>
      <w:marTop w:val="0"/>
      <w:marBottom w:val="0"/>
      <w:divBdr>
        <w:top w:val="none" w:sz="0" w:space="0" w:color="auto"/>
        <w:left w:val="none" w:sz="0" w:space="0" w:color="auto"/>
        <w:bottom w:val="none" w:sz="0" w:space="0" w:color="auto"/>
        <w:right w:val="none" w:sz="0" w:space="0" w:color="auto"/>
      </w:divBdr>
    </w:div>
    <w:div w:id="1100488756">
      <w:bodyDiv w:val="1"/>
      <w:marLeft w:val="0"/>
      <w:marRight w:val="0"/>
      <w:marTop w:val="0"/>
      <w:marBottom w:val="0"/>
      <w:divBdr>
        <w:top w:val="none" w:sz="0" w:space="0" w:color="auto"/>
        <w:left w:val="none" w:sz="0" w:space="0" w:color="auto"/>
        <w:bottom w:val="none" w:sz="0" w:space="0" w:color="auto"/>
        <w:right w:val="none" w:sz="0" w:space="0" w:color="auto"/>
      </w:divBdr>
    </w:div>
    <w:div w:id="1100562913">
      <w:bodyDiv w:val="1"/>
      <w:marLeft w:val="0"/>
      <w:marRight w:val="0"/>
      <w:marTop w:val="0"/>
      <w:marBottom w:val="0"/>
      <w:divBdr>
        <w:top w:val="none" w:sz="0" w:space="0" w:color="auto"/>
        <w:left w:val="none" w:sz="0" w:space="0" w:color="auto"/>
        <w:bottom w:val="none" w:sz="0" w:space="0" w:color="auto"/>
        <w:right w:val="none" w:sz="0" w:space="0" w:color="auto"/>
      </w:divBdr>
    </w:div>
    <w:div w:id="1100567396">
      <w:bodyDiv w:val="1"/>
      <w:marLeft w:val="0"/>
      <w:marRight w:val="0"/>
      <w:marTop w:val="0"/>
      <w:marBottom w:val="0"/>
      <w:divBdr>
        <w:top w:val="none" w:sz="0" w:space="0" w:color="auto"/>
        <w:left w:val="none" w:sz="0" w:space="0" w:color="auto"/>
        <w:bottom w:val="none" w:sz="0" w:space="0" w:color="auto"/>
        <w:right w:val="none" w:sz="0" w:space="0" w:color="auto"/>
      </w:divBdr>
    </w:div>
    <w:div w:id="1100637622">
      <w:bodyDiv w:val="1"/>
      <w:marLeft w:val="0"/>
      <w:marRight w:val="0"/>
      <w:marTop w:val="0"/>
      <w:marBottom w:val="0"/>
      <w:divBdr>
        <w:top w:val="none" w:sz="0" w:space="0" w:color="auto"/>
        <w:left w:val="none" w:sz="0" w:space="0" w:color="auto"/>
        <w:bottom w:val="none" w:sz="0" w:space="0" w:color="auto"/>
        <w:right w:val="none" w:sz="0" w:space="0" w:color="auto"/>
      </w:divBdr>
    </w:div>
    <w:div w:id="1101098805">
      <w:bodyDiv w:val="1"/>
      <w:marLeft w:val="0"/>
      <w:marRight w:val="0"/>
      <w:marTop w:val="0"/>
      <w:marBottom w:val="0"/>
      <w:divBdr>
        <w:top w:val="none" w:sz="0" w:space="0" w:color="auto"/>
        <w:left w:val="none" w:sz="0" w:space="0" w:color="auto"/>
        <w:bottom w:val="none" w:sz="0" w:space="0" w:color="auto"/>
        <w:right w:val="none" w:sz="0" w:space="0" w:color="auto"/>
      </w:divBdr>
    </w:div>
    <w:div w:id="1101684464">
      <w:bodyDiv w:val="1"/>
      <w:marLeft w:val="0"/>
      <w:marRight w:val="0"/>
      <w:marTop w:val="0"/>
      <w:marBottom w:val="0"/>
      <w:divBdr>
        <w:top w:val="none" w:sz="0" w:space="0" w:color="auto"/>
        <w:left w:val="none" w:sz="0" w:space="0" w:color="auto"/>
        <w:bottom w:val="none" w:sz="0" w:space="0" w:color="auto"/>
        <w:right w:val="none" w:sz="0" w:space="0" w:color="auto"/>
      </w:divBdr>
    </w:div>
    <w:div w:id="1101757554">
      <w:bodyDiv w:val="1"/>
      <w:marLeft w:val="0"/>
      <w:marRight w:val="0"/>
      <w:marTop w:val="0"/>
      <w:marBottom w:val="0"/>
      <w:divBdr>
        <w:top w:val="none" w:sz="0" w:space="0" w:color="auto"/>
        <w:left w:val="none" w:sz="0" w:space="0" w:color="auto"/>
        <w:bottom w:val="none" w:sz="0" w:space="0" w:color="auto"/>
        <w:right w:val="none" w:sz="0" w:space="0" w:color="auto"/>
      </w:divBdr>
    </w:div>
    <w:div w:id="1102186276">
      <w:bodyDiv w:val="1"/>
      <w:marLeft w:val="0"/>
      <w:marRight w:val="0"/>
      <w:marTop w:val="0"/>
      <w:marBottom w:val="0"/>
      <w:divBdr>
        <w:top w:val="none" w:sz="0" w:space="0" w:color="auto"/>
        <w:left w:val="none" w:sz="0" w:space="0" w:color="auto"/>
        <w:bottom w:val="none" w:sz="0" w:space="0" w:color="auto"/>
        <w:right w:val="none" w:sz="0" w:space="0" w:color="auto"/>
      </w:divBdr>
    </w:div>
    <w:div w:id="1102336032">
      <w:bodyDiv w:val="1"/>
      <w:marLeft w:val="0"/>
      <w:marRight w:val="0"/>
      <w:marTop w:val="0"/>
      <w:marBottom w:val="0"/>
      <w:divBdr>
        <w:top w:val="none" w:sz="0" w:space="0" w:color="auto"/>
        <w:left w:val="none" w:sz="0" w:space="0" w:color="auto"/>
        <w:bottom w:val="none" w:sz="0" w:space="0" w:color="auto"/>
        <w:right w:val="none" w:sz="0" w:space="0" w:color="auto"/>
      </w:divBdr>
    </w:div>
    <w:div w:id="1102456383">
      <w:bodyDiv w:val="1"/>
      <w:marLeft w:val="0"/>
      <w:marRight w:val="0"/>
      <w:marTop w:val="0"/>
      <w:marBottom w:val="0"/>
      <w:divBdr>
        <w:top w:val="none" w:sz="0" w:space="0" w:color="auto"/>
        <w:left w:val="none" w:sz="0" w:space="0" w:color="auto"/>
        <w:bottom w:val="none" w:sz="0" w:space="0" w:color="auto"/>
        <w:right w:val="none" w:sz="0" w:space="0" w:color="auto"/>
      </w:divBdr>
    </w:div>
    <w:div w:id="1102652110">
      <w:bodyDiv w:val="1"/>
      <w:marLeft w:val="0"/>
      <w:marRight w:val="0"/>
      <w:marTop w:val="0"/>
      <w:marBottom w:val="0"/>
      <w:divBdr>
        <w:top w:val="none" w:sz="0" w:space="0" w:color="auto"/>
        <w:left w:val="none" w:sz="0" w:space="0" w:color="auto"/>
        <w:bottom w:val="none" w:sz="0" w:space="0" w:color="auto"/>
        <w:right w:val="none" w:sz="0" w:space="0" w:color="auto"/>
      </w:divBdr>
    </w:div>
    <w:div w:id="1102914496">
      <w:bodyDiv w:val="1"/>
      <w:marLeft w:val="0"/>
      <w:marRight w:val="0"/>
      <w:marTop w:val="0"/>
      <w:marBottom w:val="0"/>
      <w:divBdr>
        <w:top w:val="none" w:sz="0" w:space="0" w:color="auto"/>
        <w:left w:val="none" w:sz="0" w:space="0" w:color="auto"/>
        <w:bottom w:val="none" w:sz="0" w:space="0" w:color="auto"/>
        <w:right w:val="none" w:sz="0" w:space="0" w:color="auto"/>
      </w:divBdr>
    </w:div>
    <w:div w:id="1102997774">
      <w:bodyDiv w:val="1"/>
      <w:marLeft w:val="0"/>
      <w:marRight w:val="0"/>
      <w:marTop w:val="0"/>
      <w:marBottom w:val="0"/>
      <w:divBdr>
        <w:top w:val="none" w:sz="0" w:space="0" w:color="auto"/>
        <w:left w:val="none" w:sz="0" w:space="0" w:color="auto"/>
        <w:bottom w:val="none" w:sz="0" w:space="0" w:color="auto"/>
        <w:right w:val="none" w:sz="0" w:space="0" w:color="auto"/>
      </w:divBdr>
    </w:div>
    <w:div w:id="1103572580">
      <w:bodyDiv w:val="1"/>
      <w:marLeft w:val="0"/>
      <w:marRight w:val="0"/>
      <w:marTop w:val="0"/>
      <w:marBottom w:val="0"/>
      <w:divBdr>
        <w:top w:val="none" w:sz="0" w:space="0" w:color="auto"/>
        <w:left w:val="none" w:sz="0" w:space="0" w:color="auto"/>
        <w:bottom w:val="none" w:sz="0" w:space="0" w:color="auto"/>
        <w:right w:val="none" w:sz="0" w:space="0" w:color="auto"/>
      </w:divBdr>
    </w:div>
    <w:div w:id="1103577759">
      <w:bodyDiv w:val="1"/>
      <w:marLeft w:val="0"/>
      <w:marRight w:val="0"/>
      <w:marTop w:val="0"/>
      <w:marBottom w:val="0"/>
      <w:divBdr>
        <w:top w:val="none" w:sz="0" w:space="0" w:color="auto"/>
        <w:left w:val="none" w:sz="0" w:space="0" w:color="auto"/>
        <w:bottom w:val="none" w:sz="0" w:space="0" w:color="auto"/>
        <w:right w:val="none" w:sz="0" w:space="0" w:color="auto"/>
      </w:divBdr>
    </w:div>
    <w:div w:id="1103693386">
      <w:bodyDiv w:val="1"/>
      <w:marLeft w:val="0"/>
      <w:marRight w:val="0"/>
      <w:marTop w:val="0"/>
      <w:marBottom w:val="0"/>
      <w:divBdr>
        <w:top w:val="none" w:sz="0" w:space="0" w:color="auto"/>
        <w:left w:val="none" w:sz="0" w:space="0" w:color="auto"/>
        <w:bottom w:val="none" w:sz="0" w:space="0" w:color="auto"/>
        <w:right w:val="none" w:sz="0" w:space="0" w:color="auto"/>
      </w:divBdr>
    </w:div>
    <w:div w:id="1103771077">
      <w:bodyDiv w:val="1"/>
      <w:marLeft w:val="0"/>
      <w:marRight w:val="0"/>
      <w:marTop w:val="0"/>
      <w:marBottom w:val="0"/>
      <w:divBdr>
        <w:top w:val="none" w:sz="0" w:space="0" w:color="auto"/>
        <w:left w:val="none" w:sz="0" w:space="0" w:color="auto"/>
        <w:bottom w:val="none" w:sz="0" w:space="0" w:color="auto"/>
        <w:right w:val="none" w:sz="0" w:space="0" w:color="auto"/>
      </w:divBdr>
    </w:div>
    <w:div w:id="1103918714">
      <w:bodyDiv w:val="1"/>
      <w:marLeft w:val="0"/>
      <w:marRight w:val="0"/>
      <w:marTop w:val="0"/>
      <w:marBottom w:val="0"/>
      <w:divBdr>
        <w:top w:val="none" w:sz="0" w:space="0" w:color="auto"/>
        <w:left w:val="none" w:sz="0" w:space="0" w:color="auto"/>
        <w:bottom w:val="none" w:sz="0" w:space="0" w:color="auto"/>
        <w:right w:val="none" w:sz="0" w:space="0" w:color="auto"/>
      </w:divBdr>
    </w:div>
    <w:div w:id="1103957534">
      <w:bodyDiv w:val="1"/>
      <w:marLeft w:val="0"/>
      <w:marRight w:val="0"/>
      <w:marTop w:val="0"/>
      <w:marBottom w:val="0"/>
      <w:divBdr>
        <w:top w:val="none" w:sz="0" w:space="0" w:color="auto"/>
        <w:left w:val="none" w:sz="0" w:space="0" w:color="auto"/>
        <w:bottom w:val="none" w:sz="0" w:space="0" w:color="auto"/>
        <w:right w:val="none" w:sz="0" w:space="0" w:color="auto"/>
      </w:divBdr>
    </w:div>
    <w:div w:id="1104036050">
      <w:bodyDiv w:val="1"/>
      <w:marLeft w:val="0"/>
      <w:marRight w:val="0"/>
      <w:marTop w:val="0"/>
      <w:marBottom w:val="0"/>
      <w:divBdr>
        <w:top w:val="none" w:sz="0" w:space="0" w:color="auto"/>
        <w:left w:val="none" w:sz="0" w:space="0" w:color="auto"/>
        <w:bottom w:val="none" w:sz="0" w:space="0" w:color="auto"/>
        <w:right w:val="none" w:sz="0" w:space="0" w:color="auto"/>
      </w:divBdr>
    </w:div>
    <w:div w:id="1104039180">
      <w:bodyDiv w:val="1"/>
      <w:marLeft w:val="0"/>
      <w:marRight w:val="0"/>
      <w:marTop w:val="0"/>
      <w:marBottom w:val="0"/>
      <w:divBdr>
        <w:top w:val="none" w:sz="0" w:space="0" w:color="auto"/>
        <w:left w:val="none" w:sz="0" w:space="0" w:color="auto"/>
        <w:bottom w:val="none" w:sz="0" w:space="0" w:color="auto"/>
        <w:right w:val="none" w:sz="0" w:space="0" w:color="auto"/>
      </w:divBdr>
    </w:div>
    <w:div w:id="1104299543">
      <w:bodyDiv w:val="1"/>
      <w:marLeft w:val="0"/>
      <w:marRight w:val="0"/>
      <w:marTop w:val="0"/>
      <w:marBottom w:val="0"/>
      <w:divBdr>
        <w:top w:val="none" w:sz="0" w:space="0" w:color="auto"/>
        <w:left w:val="none" w:sz="0" w:space="0" w:color="auto"/>
        <w:bottom w:val="none" w:sz="0" w:space="0" w:color="auto"/>
        <w:right w:val="none" w:sz="0" w:space="0" w:color="auto"/>
      </w:divBdr>
    </w:div>
    <w:div w:id="1104492699">
      <w:bodyDiv w:val="1"/>
      <w:marLeft w:val="0"/>
      <w:marRight w:val="0"/>
      <w:marTop w:val="0"/>
      <w:marBottom w:val="0"/>
      <w:divBdr>
        <w:top w:val="none" w:sz="0" w:space="0" w:color="auto"/>
        <w:left w:val="none" w:sz="0" w:space="0" w:color="auto"/>
        <w:bottom w:val="none" w:sz="0" w:space="0" w:color="auto"/>
        <w:right w:val="none" w:sz="0" w:space="0" w:color="auto"/>
      </w:divBdr>
    </w:div>
    <w:div w:id="1104611466">
      <w:bodyDiv w:val="1"/>
      <w:marLeft w:val="0"/>
      <w:marRight w:val="0"/>
      <w:marTop w:val="0"/>
      <w:marBottom w:val="0"/>
      <w:divBdr>
        <w:top w:val="none" w:sz="0" w:space="0" w:color="auto"/>
        <w:left w:val="none" w:sz="0" w:space="0" w:color="auto"/>
        <w:bottom w:val="none" w:sz="0" w:space="0" w:color="auto"/>
        <w:right w:val="none" w:sz="0" w:space="0" w:color="auto"/>
      </w:divBdr>
    </w:div>
    <w:div w:id="1104766941">
      <w:bodyDiv w:val="1"/>
      <w:marLeft w:val="0"/>
      <w:marRight w:val="0"/>
      <w:marTop w:val="0"/>
      <w:marBottom w:val="0"/>
      <w:divBdr>
        <w:top w:val="none" w:sz="0" w:space="0" w:color="auto"/>
        <w:left w:val="none" w:sz="0" w:space="0" w:color="auto"/>
        <w:bottom w:val="none" w:sz="0" w:space="0" w:color="auto"/>
        <w:right w:val="none" w:sz="0" w:space="0" w:color="auto"/>
      </w:divBdr>
    </w:div>
    <w:div w:id="1104812462">
      <w:bodyDiv w:val="1"/>
      <w:marLeft w:val="0"/>
      <w:marRight w:val="0"/>
      <w:marTop w:val="0"/>
      <w:marBottom w:val="0"/>
      <w:divBdr>
        <w:top w:val="none" w:sz="0" w:space="0" w:color="auto"/>
        <w:left w:val="none" w:sz="0" w:space="0" w:color="auto"/>
        <w:bottom w:val="none" w:sz="0" w:space="0" w:color="auto"/>
        <w:right w:val="none" w:sz="0" w:space="0" w:color="auto"/>
      </w:divBdr>
    </w:div>
    <w:div w:id="1105005245">
      <w:bodyDiv w:val="1"/>
      <w:marLeft w:val="0"/>
      <w:marRight w:val="0"/>
      <w:marTop w:val="0"/>
      <w:marBottom w:val="0"/>
      <w:divBdr>
        <w:top w:val="none" w:sz="0" w:space="0" w:color="auto"/>
        <w:left w:val="none" w:sz="0" w:space="0" w:color="auto"/>
        <w:bottom w:val="none" w:sz="0" w:space="0" w:color="auto"/>
        <w:right w:val="none" w:sz="0" w:space="0" w:color="auto"/>
      </w:divBdr>
    </w:div>
    <w:div w:id="1105464708">
      <w:bodyDiv w:val="1"/>
      <w:marLeft w:val="0"/>
      <w:marRight w:val="0"/>
      <w:marTop w:val="0"/>
      <w:marBottom w:val="0"/>
      <w:divBdr>
        <w:top w:val="none" w:sz="0" w:space="0" w:color="auto"/>
        <w:left w:val="none" w:sz="0" w:space="0" w:color="auto"/>
        <w:bottom w:val="none" w:sz="0" w:space="0" w:color="auto"/>
        <w:right w:val="none" w:sz="0" w:space="0" w:color="auto"/>
      </w:divBdr>
    </w:div>
    <w:div w:id="1105728839">
      <w:bodyDiv w:val="1"/>
      <w:marLeft w:val="0"/>
      <w:marRight w:val="0"/>
      <w:marTop w:val="0"/>
      <w:marBottom w:val="0"/>
      <w:divBdr>
        <w:top w:val="none" w:sz="0" w:space="0" w:color="auto"/>
        <w:left w:val="none" w:sz="0" w:space="0" w:color="auto"/>
        <w:bottom w:val="none" w:sz="0" w:space="0" w:color="auto"/>
        <w:right w:val="none" w:sz="0" w:space="0" w:color="auto"/>
      </w:divBdr>
    </w:div>
    <w:div w:id="1106003424">
      <w:bodyDiv w:val="1"/>
      <w:marLeft w:val="0"/>
      <w:marRight w:val="0"/>
      <w:marTop w:val="0"/>
      <w:marBottom w:val="0"/>
      <w:divBdr>
        <w:top w:val="none" w:sz="0" w:space="0" w:color="auto"/>
        <w:left w:val="none" w:sz="0" w:space="0" w:color="auto"/>
        <w:bottom w:val="none" w:sz="0" w:space="0" w:color="auto"/>
        <w:right w:val="none" w:sz="0" w:space="0" w:color="auto"/>
      </w:divBdr>
    </w:div>
    <w:div w:id="1106272510">
      <w:bodyDiv w:val="1"/>
      <w:marLeft w:val="0"/>
      <w:marRight w:val="0"/>
      <w:marTop w:val="0"/>
      <w:marBottom w:val="0"/>
      <w:divBdr>
        <w:top w:val="none" w:sz="0" w:space="0" w:color="auto"/>
        <w:left w:val="none" w:sz="0" w:space="0" w:color="auto"/>
        <w:bottom w:val="none" w:sz="0" w:space="0" w:color="auto"/>
        <w:right w:val="none" w:sz="0" w:space="0" w:color="auto"/>
      </w:divBdr>
    </w:div>
    <w:div w:id="1106313732">
      <w:bodyDiv w:val="1"/>
      <w:marLeft w:val="0"/>
      <w:marRight w:val="0"/>
      <w:marTop w:val="0"/>
      <w:marBottom w:val="0"/>
      <w:divBdr>
        <w:top w:val="none" w:sz="0" w:space="0" w:color="auto"/>
        <w:left w:val="none" w:sz="0" w:space="0" w:color="auto"/>
        <w:bottom w:val="none" w:sz="0" w:space="0" w:color="auto"/>
        <w:right w:val="none" w:sz="0" w:space="0" w:color="auto"/>
      </w:divBdr>
    </w:div>
    <w:div w:id="1106510017">
      <w:bodyDiv w:val="1"/>
      <w:marLeft w:val="0"/>
      <w:marRight w:val="0"/>
      <w:marTop w:val="0"/>
      <w:marBottom w:val="0"/>
      <w:divBdr>
        <w:top w:val="none" w:sz="0" w:space="0" w:color="auto"/>
        <w:left w:val="none" w:sz="0" w:space="0" w:color="auto"/>
        <w:bottom w:val="none" w:sz="0" w:space="0" w:color="auto"/>
        <w:right w:val="none" w:sz="0" w:space="0" w:color="auto"/>
      </w:divBdr>
    </w:div>
    <w:div w:id="1106777024">
      <w:bodyDiv w:val="1"/>
      <w:marLeft w:val="0"/>
      <w:marRight w:val="0"/>
      <w:marTop w:val="0"/>
      <w:marBottom w:val="0"/>
      <w:divBdr>
        <w:top w:val="none" w:sz="0" w:space="0" w:color="auto"/>
        <w:left w:val="none" w:sz="0" w:space="0" w:color="auto"/>
        <w:bottom w:val="none" w:sz="0" w:space="0" w:color="auto"/>
        <w:right w:val="none" w:sz="0" w:space="0" w:color="auto"/>
      </w:divBdr>
    </w:div>
    <w:div w:id="1106804385">
      <w:bodyDiv w:val="1"/>
      <w:marLeft w:val="0"/>
      <w:marRight w:val="0"/>
      <w:marTop w:val="0"/>
      <w:marBottom w:val="0"/>
      <w:divBdr>
        <w:top w:val="none" w:sz="0" w:space="0" w:color="auto"/>
        <w:left w:val="none" w:sz="0" w:space="0" w:color="auto"/>
        <w:bottom w:val="none" w:sz="0" w:space="0" w:color="auto"/>
        <w:right w:val="none" w:sz="0" w:space="0" w:color="auto"/>
      </w:divBdr>
    </w:div>
    <w:div w:id="1106929878">
      <w:bodyDiv w:val="1"/>
      <w:marLeft w:val="0"/>
      <w:marRight w:val="0"/>
      <w:marTop w:val="0"/>
      <w:marBottom w:val="0"/>
      <w:divBdr>
        <w:top w:val="none" w:sz="0" w:space="0" w:color="auto"/>
        <w:left w:val="none" w:sz="0" w:space="0" w:color="auto"/>
        <w:bottom w:val="none" w:sz="0" w:space="0" w:color="auto"/>
        <w:right w:val="none" w:sz="0" w:space="0" w:color="auto"/>
      </w:divBdr>
    </w:div>
    <w:div w:id="1107189151">
      <w:bodyDiv w:val="1"/>
      <w:marLeft w:val="0"/>
      <w:marRight w:val="0"/>
      <w:marTop w:val="0"/>
      <w:marBottom w:val="0"/>
      <w:divBdr>
        <w:top w:val="none" w:sz="0" w:space="0" w:color="auto"/>
        <w:left w:val="none" w:sz="0" w:space="0" w:color="auto"/>
        <w:bottom w:val="none" w:sz="0" w:space="0" w:color="auto"/>
        <w:right w:val="none" w:sz="0" w:space="0" w:color="auto"/>
      </w:divBdr>
    </w:div>
    <w:div w:id="1107189969">
      <w:bodyDiv w:val="1"/>
      <w:marLeft w:val="0"/>
      <w:marRight w:val="0"/>
      <w:marTop w:val="0"/>
      <w:marBottom w:val="0"/>
      <w:divBdr>
        <w:top w:val="none" w:sz="0" w:space="0" w:color="auto"/>
        <w:left w:val="none" w:sz="0" w:space="0" w:color="auto"/>
        <w:bottom w:val="none" w:sz="0" w:space="0" w:color="auto"/>
        <w:right w:val="none" w:sz="0" w:space="0" w:color="auto"/>
      </w:divBdr>
    </w:div>
    <w:div w:id="1107383932">
      <w:bodyDiv w:val="1"/>
      <w:marLeft w:val="0"/>
      <w:marRight w:val="0"/>
      <w:marTop w:val="0"/>
      <w:marBottom w:val="0"/>
      <w:divBdr>
        <w:top w:val="none" w:sz="0" w:space="0" w:color="auto"/>
        <w:left w:val="none" w:sz="0" w:space="0" w:color="auto"/>
        <w:bottom w:val="none" w:sz="0" w:space="0" w:color="auto"/>
        <w:right w:val="none" w:sz="0" w:space="0" w:color="auto"/>
      </w:divBdr>
    </w:div>
    <w:div w:id="1107389636">
      <w:bodyDiv w:val="1"/>
      <w:marLeft w:val="0"/>
      <w:marRight w:val="0"/>
      <w:marTop w:val="0"/>
      <w:marBottom w:val="0"/>
      <w:divBdr>
        <w:top w:val="none" w:sz="0" w:space="0" w:color="auto"/>
        <w:left w:val="none" w:sz="0" w:space="0" w:color="auto"/>
        <w:bottom w:val="none" w:sz="0" w:space="0" w:color="auto"/>
        <w:right w:val="none" w:sz="0" w:space="0" w:color="auto"/>
      </w:divBdr>
    </w:div>
    <w:div w:id="1107390906">
      <w:bodyDiv w:val="1"/>
      <w:marLeft w:val="0"/>
      <w:marRight w:val="0"/>
      <w:marTop w:val="0"/>
      <w:marBottom w:val="0"/>
      <w:divBdr>
        <w:top w:val="none" w:sz="0" w:space="0" w:color="auto"/>
        <w:left w:val="none" w:sz="0" w:space="0" w:color="auto"/>
        <w:bottom w:val="none" w:sz="0" w:space="0" w:color="auto"/>
        <w:right w:val="none" w:sz="0" w:space="0" w:color="auto"/>
      </w:divBdr>
    </w:div>
    <w:div w:id="1107428005">
      <w:bodyDiv w:val="1"/>
      <w:marLeft w:val="0"/>
      <w:marRight w:val="0"/>
      <w:marTop w:val="0"/>
      <w:marBottom w:val="0"/>
      <w:divBdr>
        <w:top w:val="none" w:sz="0" w:space="0" w:color="auto"/>
        <w:left w:val="none" w:sz="0" w:space="0" w:color="auto"/>
        <w:bottom w:val="none" w:sz="0" w:space="0" w:color="auto"/>
        <w:right w:val="none" w:sz="0" w:space="0" w:color="auto"/>
      </w:divBdr>
    </w:div>
    <w:div w:id="1107850379">
      <w:bodyDiv w:val="1"/>
      <w:marLeft w:val="0"/>
      <w:marRight w:val="0"/>
      <w:marTop w:val="0"/>
      <w:marBottom w:val="0"/>
      <w:divBdr>
        <w:top w:val="none" w:sz="0" w:space="0" w:color="auto"/>
        <w:left w:val="none" w:sz="0" w:space="0" w:color="auto"/>
        <w:bottom w:val="none" w:sz="0" w:space="0" w:color="auto"/>
        <w:right w:val="none" w:sz="0" w:space="0" w:color="auto"/>
      </w:divBdr>
    </w:div>
    <w:div w:id="1107888799">
      <w:bodyDiv w:val="1"/>
      <w:marLeft w:val="0"/>
      <w:marRight w:val="0"/>
      <w:marTop w:val="0"/>
      <w:marBottom w:val="0"/>
      <w:divBdr>
        <w:top w:val="none" w:sz="0" w:space="0" w:color="auto"/>
        <w:left w:val="none" w:sz="0" w:space="0" w:color="auto"/>
        <w:bottom w:val="none" w:sz="0" w:space="0" w:color="auto"/>
        <w:right w:val="none" w:sz="0" w:space="0" w:color="auto"/>
      </w:divBdr>
    </w:div>
    <w:div w:id="1108039659">
      <w:bodyDiv w:val="1"/>
      <w:marLeft w:val="0"/>
      <w:marRight w:val="0"/>
      <w:marTop w:val="0"/>
      <w:marBottom w:val="0"/>
      <w:divBdr>
        <w:top w:val="none" w:sz="0" w:space="0" w:color="auto"/>
        <w:left w:val="none" w:sz="0" w:space="0" w:color="auto"/>
        <w:bottom w:val="none" w:sz="0" w:space="0" w:color="auto"/>
        <w:right w:val="none" w:sz="0" w:space="0" w:color="auto"/>
      </w:divBdr>
    </w:div>
    <w:div w:id="1108045235">
      <w:bodyDiv w:val="1"/>
      <w:marLeft w:val="0"/>
      <w:marRight w:val="0"/>
      <w:marTop w:val="0"/>
      <w:marBottom w:val="0"/>
      <w:divBdr>
        <w:top w:val="none" w:sz="0" w:space="0" w:color="auto"/>
        <w:left w:val="none" w:sz="0" w:space="0" w:color="auto"/>
        <w:bottom w:val="none" w:sz="0" w:space="0" w:color="auto"/>
        <w:right w:val="none" w:sz="0" w:space="0" w:color="auto"/>
      </w:divBdr>
    </w:div>
    <w:div w:id="1108240459">
      <w:bodyDiv w:val="1"/>
      <w:marLeft w:val="0"/>
      <w:marRight w:val="0"/>
      <w:marTop w:val="0"/>
      <w:marBottom w:val="0"/>
      <w:divBdr>
        <w:top w:val="none" w:sz="0" w:space="0" w:color="auto"/>
        <w:left w:val="none" w:sz="0" w:space="0" w:color="auto"/>
        <w:bottom w:val="none" w:sz="0" w:space="0" w:color="auto"/>
        <w:right w:val="none" w:sz="0" w:space="0" w:color="auto"/>
      </w:divBdr>
    </w:div>
    <w:div w:id="1108355407">
      <w:bodyDiv w:val="1"/>
      <w:marLeft w:val="0"/>
      <w:marRight w:val="0"/>
      <w:marTop w:val="0"/>
      <w:marBottom w:val="0"/>
      <w:divBdr>
        <w:top w:val="none" w:sz="0" w:space="0" w:color="auto"/>
        <w:left w:val="none" w:sz="0" w:space="0" w:color="auto"/>
        <w:bottom w:val="none" w:sz="0" w:space="0" w:color="auto"/>
        <w:right w:val="none" w:sz="0" w:space="0" w:color="auto"/>
      </w:divBdr>
    </w:div>
    <w:div w:id="1108424753">
      <w:bodyDiv w:val="1"/>
      <w:marLeft w:val="0"/>
      <w:marRight w:val="0"/>
      <w:marTop w:val="0"/>
      <w:marBottom w:val="0"/>
      <w:divBdr>
        <w:top w:val="none" w:sz="0" w:space="0" w:color="auto"/>
        <w:left w:val="none" w:sz="0" w:space="0" w:color="auto"/>
        <w:bottom w:val="none" w:sz="0" w:space="0" w:color="auto"/>
        <w:right w:val="none" w:sz="0" w:space="0" w:color="auto"/>
      </w:divBdr>
    </w:div>
    <w:div w:id="1108695872">
      <w:bodyDiv w:val="1"/>
      <w:marLeft w:val="0"/>
      <w:marRight w:val="0"/>
      <w:marTop w:val="0"/>
      <w:marBottom w:val="0"/>
      <w:divBdr>
        <w:top w:val="none" w:sz="0" w:space="0" w:color="auto"/>
        <w:left w:val="none" w:sz="0" w:space="0" w:color="auto"/>
        <w:bottom w:val="none" w:sz="0" w:space="0" w:color="auto"/>
        <w:right w:val="none" w:sz="0" w:space="0" w:color="auto"/>
      </w:divBdr>
    </w:div>
    <w:div w:id="1108818555">
      <w:bodyDiv w:val="1"/>
      <w:marLeft w:val="0"/>
      <w:marRight w:val="0"/>
      <w:marTop w:val="0"/>
      <w:marBottom w:val="0"/>
      <w:divBdr>
        <w:top w:val="none" w:sz="0" w:space="0" w:color="auto"/>
        <w:left w:val="none" w:sz="0" w:space="0" w:color="auto"/>
        <w:bottom w:val="none" w:sz="0" w:space="0" w:color="auto"/>
        <w:right w:val="none" w:sz="0" w:space="0" w:color="auto"/>
      </w:divBdr>
    </w:div>
    <w:div w:id="1109008349">
      <w:bodyDiv w:val="1"/>
      <w:marLeft w:val="0"/>
      <w:marRight w:val="0"/>
      <w:marTop w:val="0"/>
      <w:marBottom w:val="0"/>
      <w:divBdr>
        <w:top w:val="none" w:sz="0" w:space="0" w:color="auto"/>
        <w:left w:val="none" w:sz="0" w:space="0" w:color="auto"/>
        <w:bottom w:val="none" w:sz="0" w:space="0" w:color="auto"/>
        <w:right w:val="none" w:sz="0" w:space="0" w:color="auto"/>
      </w:divBdr>
    </w:div>
    <w:div w:id="1109352191">
      <w:bodyDiv w:val="1"/>
      <w:marLeft w:val="0"/>
      <w:marRight w:val="0"/>
      <w:marTop w:val="0"/>
      <w:marBottom w:val="0"/>
      <w:divBdr>
        <w:top w:val="none" w:sz="0" w:space="0" w:color="auto"/>
        <w:left w:val="none" w:sz="0" w:space="0" w:color="auto"/>
        <w:bottom w:val="none" w:sz="0" w:space="0" w:color="auto"/>
        <w:right w:val="none" w:sz="0" w:space="0" w:color="auto"/>
      </w:divBdr>
    </w:div>
    <w:div w:id="1109547535">
      <w:bodyDiv w:val="1"/>
      <w:marLeft w:val="0"/>
      <w:marRight w:val="0"/>
      <w:marTop w:val="0"/>
      <w:marBottom w:val="0"/>
      <w:divBdr>
        <w:top w:val="none" w:sz="0" w:space="0" w:color="auto"/>
        <w:left w:val="none" w:sz="0" w:space="0" w:color="auto"/>
        <w:bottom w:val="none" w:sz="0" w:space="0" w:color="auto"/>
        <w:right w:val="none" w:sz="0" w:space="0" w:color="auto"/>
      </w:divBdr>
    </w:div>
    <w:div w:id="1109734874">
      <w:bodyDiv w:val="1"/>
      <w:marLeft w:val="0"/>
      <w:marRight w:val="0"/>
      <w:marTop w:val="0"/>
      <w:marBottom w:val="0"/>
      <w:divBdr>
        <w:top w:val="none" w:sz="0" w:space="0" w:color="auto"/>
        <w:left w:val="none" w:sz="0" w:space="0" w:color="auto"/>
        <w:bottom w:val="none" w:sz="0" w:space="0" w:color="auto"/>
        <w:right w:val="none" w:sz="0" w:space="0" w:color="auto"/>
      </w:divBdr>
    </w:div>
    <w:div w:id="1109815834">
      <w:bodyDiv w:val="1"/>
      <w:marLeft w:val="0"/>
      <w:marRight w:val="0"/>
      <w:marTop w:val="0"/>
      <w:marBottom w:val="0"/>
      <w:divBdr>
        <w:top w:val="none" w:sz="0" w:space="0" w:color="auto"/>
        <w:left w:val="none" w:sz="0" w:space="0" w:color="auto"/>
        <w:bottom w:val="none" w:sz="0" w:space="0" w:color="auto"/>
        <w:right w:val="none" w:sz="0" w:space="0" w:color="auto"/>
      </w:divBdr>
    </w:div>
    <w:div w:id="1110052604">
      <w:bodyDiv w:val="1"/>
      <w:marLeft w:val="0"/>
      <w:marRight w:val="0"/>
      <w:marTop w:val="0"/>
      <w:marBottom w:val="0"/>
      <w:divBdr>
        <w:top w:val="none" w:sz="0" w:space="0" w:color="auto"/>
        <w:left w:val="none" w:sz="0" w:space="0" w:color="auto"/>
        <w:bottom w:val="none" w:sz="0" w:space="0" w:color="auto"/>
        <w:right w:val="none" w:sz="0" w:space="0" w:color="auto"/>
      </w:divBdr>
    </w:div>
    <w:div w:id="1110124191">
      <w:bodyDiv w:val="1"/>
      <w:marLeft w:val="0"/>
      <w:marRight w:val="0"/>
      <w:marTop w:val="0"/>
      <w:marBottom w:val="0"/>
      <w:divBdr>
        <w:top w:val="none" w:sz="0" w:space="0" w:color="auto"/>
        <w:left w:val="none" w:sz="0" w:space="0" w:color="auto"/>
        <w:bottom w:val="none" w:sz="0" w:space="0" w:color="auto"/>
        <w:right w:val="none" w:sz="0" w:space="0" w:color="auto"/>
      </w:divBdr>
    </w:div>
    <w:div w:id="1110666091">
      <w:bodyDiv w:val="1"/>
      <w:marLeft w:val="0"/>
      <w:marRight w:val="0"/>
      <w:marTop w:val="0"/>
      <w:marBottom w:val="0"/>
      <w:divBdr>
        <w:top w:val="none" w:sz="0" w:space="0" w:color="auto"/>
        <w:left w:val="none" w:sz="0" w:space="0" w:color="auto"/>
        <w:bottom w:val="none" w:sz="0" w:space="0" w:color="auto"/>
        <w:right w:val="none" w:sz="0" w:space="0" w:color="auto"/>
      </w:divBdr>
    </w:div>
    <w:div w:id="1110852381">
      <w:bodyDiv w:val="1"/>
      <w:marLeft w:val="0"/>
      <w:marRight w:val="0"/>
      <w:marTop w:val="0"/>
      <w:marBottom w:val="0"/>
      <w:divBdr>
        <w:top w:val="none" w:sz="0" w:space="0" w:color="auto"/>
        <w:left w:val="none" w:sz="0" w:space="0" w:color="auto"/>
        <w:bottom w:val="none" w:sz="0" w:space="0" w:color="auto"/>
        <w:right w:val="none" w:sz="0" w:space="0" w:color="auto"/>
      </w:divBdr>
    </w:div>
    <w:div w:id="1110969738">
      <w:bodyDiv w:val="1"/>
      <w:marLeft w:val="0"/>
      <w:marRight w:val="0"/>
      <w:marTop w:val="0"/>
      <w:marBottom w:val="0"/>
      <w:divBdr>
        <w:top w:val="none" w:sz="0" w:space="0" w:color="auto"/>
        <w:left w:val="none" w:sz="0" w:space="0" w:color="auto"/>
        <w:bottom w:val="none" w:sz="0" w:space="0" w:color="auto"/>
        <w:right w:val="none" w:sz="0" w:space="0" w:color="auto"/>
      </w:divBdr>
    </w:div>
    <w:div w:id="1110973726">
      <w:bodyDiv w:val="1"/>
      <w:marLeft w:val="0"/>
      <w:marRight w:val="0"/>
      <w:marTop w:val="0"/>
      <w:marBottom w:val="0"/>
      <w:divBdr>
        <w:top w:val="none" w:sz="0" w:space="0" w:color="auto"/>
        <w:left w:val="none" w:sz="0" w:space="0" w:color="auto"/>
        <w:bottom w:val="none" w:sz="0" w:space="0" w:color="auto"/>
        <w:right w:val="none" w:sz="0" w:space="0" w:color="auto"/>
      </w:divBdr>
    </w:div>
    <w:div w:id="1111054240">
      <w:bodyDiv w:val="1"/>
      <w:marLeft w:val="0"/>
      <w:marRight w:val="0"/>
      <w:marTop w:val="0"/>
      <w:marBottom w:val="0"/>
      <w:divBdr>
        <w:top w:val="none" w:sz="0" w:space="0" w:color="auto"/>
        <w:left w:val="none" w:sz="0" w:space="0" w:color="auto"/>
        <w:bottom w:val="none" w:sz="0" w:space="0" w:color="auto"/>
        <w:right w:val="none" w:sz="0" w:space="0" w:color="auto"/>
      </w:divBdr>
    </w:div>
    <w:div w:id="1111121333">
      <w:bodyDiv w:val="1"/>
      <w:marLeft w:val="0"/>
      <w:marRight w:val="0"/>
      <w:marTop w:val="0"/>
      <w:marBottom w:val="0"/>
      <w:divBdr>
        <w:top w:val="none" w:sz="0" w:space="0" w:color="auto"/>
        <w:left w:val="none" w:sz="0" w:space="0" w:color="auto"/>
        <w:bottom w:val="none" w:sz="0" w:space="0" w:color="auto"/>
        <w:right w:val="none" w:sz="0" w:space="0" w:color="auto"/>
      </w:divBdr>
    </w:div>
    <w:div w:id="1111507912">
      <w:bodyDiv w:val="1"/>
      <w:marLeft w:val="0"/>
      <w:marRight w:val="0"/>
      <w:marTop w:val="0"/>
      <w:marBottom w:val="0"/>
      <w:divBdr>
        <w:top w:val="none" w:sz="0" w:space="0" w:color="auto"/>
        <w:left w:val="none" w:sz="0" w:space="0" w:color="auto"/>
        <w:bottom w:val="none" w:sz="0" w:space="0" w:color="auto"/>
        <w:right w:val="none" w:sz="0" w:space="0" w:color="auto"/>
      </w:divBdr>
    </w:div>
    <w:div w:id="1111513035">
      <w:bodyDiv w:val="1"/>
      <w:marLeft w:val="0"/>
      <w:marRight w:val="0"/>
      <w:marTop w:val="0"/>
      <w:marBottom w:val="0"/>
      <w:divBdr>
        <w:top w:val="none" w:sz="0" w:space="0" w:color="auto"/>
        <w:left w:val="none" w:sz="0" w:space="0" w:color="auto"/>
        <w:bottom w:val="none" w:sz="0" w:space="0" w:color="auto"/>
        <w:right w:val="none" w:sz="0" w:space="0" w:color="auto"/>
      </w:divBdr>
    </w:div>
    <w:div w:id="1111515248">
      <w:bodyDiv w:val="1"/>
      <w:marLeft w:val="0"/>
      <w:marRight w:val="0"/>
      <w:marTop w:val="0"/>
      <w:marBottom w:val="0"/>
      <w:divBdr>
        <w:top w:val="none" w:sz="0" w:space="0" w:color="auto"/>
        <w:left w:val="none" w:sz="0" w:space="0" w:color="auto"/>
        <w:bottom w:val="none" w:sz="0" w:space="0" w:color="auto"/>
        <w:right w:val="none" w:sz="0" w:space="0" w:color="auto"/>
      </w:divBdr>
    </w:div>
    <w:div w:id="1111707306">
      <w:bodyDiv w:val="1"/>
      <w:marLeft w:val="0"/>
      <w:marRight w:val="0"/>
      <w:marTop w:val="0"/>
      <w:marBottom w:val="0"/>
      <w:divBdr>
        <w:top w:val="none" w:sz="0" w:space="0" w:color="auto"/>
        <w:left w:val="none" w:sz="0" w:space="0" w:color="auto"/>
        <w:bottom w:val="none" w:sz="0" w:space="0" w:color="auto"/>
        <w:right w:val="none" w:sz="0" w:space="0" w:color="auto"/>
      </w:divBdr>
    </w:div>
    <w:div w:id="1111781117">
      <w:bodyDiv w:val="1"/>
      <w:marLeft w:val="0"/>
      <w:marRight w:val="0"/>
      <w:marTop w:val="0"/>
      <w:marBottom w:val="0"/>
      <w:divBdr>
        <w:top w:val="none" w:sz="0" w:space="0" w:color="auto"/>
        <w:left w:val="none" w:sz="0" w:space="0" w:color="auto"/>
        <w:bottom w:val="none" w:sz="0" w:space="0" w:color="auto"/>
        <w:right w:val="none" w:sz="0" w:space="0" w:color="auto"/>
      </w:divBdr>
    </w:div>
    <w:div w:id="1111969245">
      <w:bodyDiv w:val="1"/>
      <w:marLeft w:val="0"/>
      <w:marRight w:val="0"/>
      <w:marTop w:val="0"/>
      <w:marBottom w:val="0"/>
      <w:divBdr>
        <w:top w:val="none" w:sz="0" w:space="0" w:color="auto"/>
        <w:left w:val="none" w:sz="0" w:space="0" w:color="auto"/>
        <w:bottom w:val="none" w:sz="0" w:space="0" w:color="auto"/>
        <w:right w:val="none" w:sz="0" w:space="0" w:color="auto"/>
      </w:divBdr>
    </w:div>
    <w:div w:id="1112287693">
      <w:bodyDiv w:val="1"/>
      <w:marLeft w:val="0"/>
      <w:marRight w:val="0"/>
      <w:marTop w:val="0"/>
      <w:marBottom w:val="0"/>
      <w:divBdr>
        <w:top w:val="none" w:sz="0" w:space="0" w:color="auto"/>
        <w:left w:val="none" w:sz="0" w:space="0" w:color="auto"/>
        <w:bottom w:val="none" w:sz="0" w:space="0" w:color="auto"/>
        <w:right w:val="none" w:sz="0" w:space="0" w:color="auto"/>
      </w:divBdr>
    </w:div>
    <w:div w:id="1112436803">
      <w:bodyDiv w:val="1"/>
      <w:marLeft w:val="0"/>
      <w:marRight w:val="0"/>
      <w:marTop w:val="0"/>
      <w:marBottom w:val="0"/>
      <w:divBdr>
        <w:top w:val="none" w:sz="0" w:space="0" w:color="auto"/>
        <w:left w:val="none" w:sz="0" w:space="0" w:color="auto"/>
        <w:bottom w:val="none" w:sz="0" w:space="0" w:color="auto"/>
        <w:right w:val="none" w:sz="0" w:space="0" w:color="auto"/>
      </w:divBdr>
    </w:div>
    <w:div w:id="1112477180">
      <w:bodyDiv w:val="1"/>
      <w:marLeft w:val="0"/>
      <w:marRight w:val="0"/>
      <w:marTop w:val="0"/>
      <w:marBottom w:val="0"/>
      <w:divBdr>
        <w:top w:val="none" w:sz="0" w:space="0" w:color="auto"/>
        <w:left w:val="none" w:sz="0" w:space="0" w:color="auto"/>
        <w:bottom w:val="none" w:sz="0" w:space="0" w:color="auto"/>
        <w:right w:val="none" w:sz="0" w:space="0" w:color="auto"/>
      </w:divBdr>
    </w:div>
    <w:div w:id="1112557862">
      <w:bodyDiv w:val="1"/>
      <w:marLeft w:val="0"/>
      <w:marRight w:val="0"/>
      <w:marTop w:val="0"/>
      <w:marBottom w:val="0"/>
      <w:divBdr>
        <w:top w:val="none" w:sz="0" w:space="0" w:color="auto"/>
        <w:left w:val="none" w:sz="0" w:space="0" w:color="auto"/>
        <w:bottom w:val="none" w:sz="0" w:space="0" w:color="auto"/>
        <w:right w:val="none" w:sz="0" w:space="0" w:color="auto"/>
      </w:divBdr>
    </w:div>
    <w:div w:id="1112868825">
      <w:bodyDiv w:val="1"/>
      <w:marLeft w:val="0"/>
      <w:marRight w:val="0"/>
      <w:marTop w:val="0"/>
      <w:marBottom w:val="0"/>
      <w:divBdr>
        <w:top w:val="none" w:sz="0" w:space="0" w:color="auto"/>
        <w:left w:val="none" w:sz="0" w:space="0" w:color="auto"/>
        <w:bottom w:val="none" w:sz="0" w:space="0" w:color="auto"/>
        <w:right w:val="none" w:sz="0" w:space="0" w:color="auto"/>
      </w:divBdr>
    </w:div>
    <w:div w:id="1112893354">
      <w:bodyDiv w:val="1"/>
      <w:marLeft w:val="0"/>
      <w:marRight w:val="0"/>
      <w:marTop w:val="0"/>
      <w:marBottom w:val="0"/>
      <w:divBdr>
        <w:top w:val="none" w:sz="0" w:space="0" w:color="auto"/>
        <w:left w:val="none" w:sz="0" w:space="0" w:color="auto"/>
        <w:bottom w:val="none" w:sz="0" w:space="0" w:color="auto"/>
        <w:right w:val="none" w:sz="0" w:space="0" w:color="auto"/>
      </w:divBdr>
    </w:div>
    <w:div w:id="1113090207">
      <w:bodyDiv w:val="1"/>
      <w:marLeft w:val="0"/>
      <w:marRight w:val="0"/>
      <w:marTop w:val="0"/>
      <w:marBottom w:val="0"/>
      <w:divBdr>
        <w:top w:val="none" w:sz="0" w:space="0" w:color="auto"/>
        <w:left w:val="none" w:sz="0" w:space="0" w:color="auto"/>
        <w:bottom w:val="none" w:sz="0" w:space="0" w:color="auto"/>
        <w:right w:val="none" w:sz="0" w:space="0" w:color="auto"/>
      </w:divBdr>
    </w:div>
    <w:div w:id="1113207193">
      <w:bodyDiv w:val="1"/>
      <w:marLeft w:val="0"/>
      <w:marRight w:val="0"/>
      <w:marTop w:val="0"/>
      <w:marBottom w:val="0"/>
      <w:divBdr>
        <w:top w:val="none" w:sz="0" w:space="0" w:color="auto"/>
        <w:left w:val="none" w:sz="0" w:space="0" w:color="auto"/>
        <w:bottom w:val="none" w:sz="0" w:space="0" w:color="auto"/>
        <w:right w:val="none" w:sz="0" w:space="0" w:color="auto"/>
      </w:divBdr>
    </w:div>
    <w:div w:id="1113398825">
      <w:bodyDiv w:val="1"/>
      <w:marLeft w:val="0"/>
      <w:marRight w:val="0"/>
      <w:marTop w:val="0"/>
      <w:marBottom w:val="0"/>
      <w:divBdr>
        <w:top w:val="none" w:sz="0" w:space="0" w:color="auto"/>
        <w:left w:val="none" w:sz="0" w:space="0" w:color="auto"/>
        <w:bottom w:val="none" w:sz="0" w:space="0" w:color="auto"/>
        <w:right w:val="none" w:sz="0" w:space="0" w:color="auto"/>
      </w:divBdr>
    </w:div>
    <w:div w:id="1113591559">
      <w:bodyDiv w:val="1"/>
      <w:marLeft w:val="0"/>
      <w:marRight w:val="0"/>
      <w:marTop w:val="0"/>
      <w:marBottom w:val="0"/>
      <w:divBdr>
        <w:top w:val="none" w:sz="0" w:space="0" w:color="auto"/>
        <w:left w:val="none" w:sz="0" w:space="0" w:color="auto"/>
        <w:bottom w:val="none" w:sz="0" w:space="0" w:color="auto"/>
        <w:right w:val="none" w:sz="0" w:space="0" w:color="auto"/>
      </w:divBdr>
    </w:div>
    <w:div w:id="1114010724">
      <w:bodyDiv w:val="1"/>
      <w:marLeft w:val="0"/>
      <w:marRight w:val="0"/>
      <w:marTop w:val="0"/>
      <w:marBottom w:val="0"/>
      <w:divBdr>
        <w:top w:val="none" w:sz="0" w:space="0" w:color="auto"/>
        <w:left w:val="none" w:sz="0" w:space="0" w:color="auto"/>
        <w:bottom w:val="none" w:sz="0" w:space="0" w:color="auto"/>
        <w:right w:val="none" w:sz="0" w:space="0" w:color="auto"/>
      </w:divBdr>
    </w:div>
    <w:div w:id="1114053405">
      <w:bodyDiv w:val="1"/>
      <w:marLeft w:val="0"/>
      <w:marRight w:val="0"/>
      <w:marTop w:val="0"/>
      <w:marBottom w:val="0"/>
      <w:divBdr>
        <w:top w:val="none" w:sz="0" w:space="0" w:color="auto"/>
        <w:left w:val="none" w:sz="0" w:space="0" w:color="auto"/>
        <w:bottom w:val="none" w:sz="0" w:space="0" w:color="auto"/>
        <w:right w:val="none" w:sz="0" w:space="0" w:color="auto"/>
      </w:divBdr>
    </w:div>
    <w:div w:id="1114128729">
      <w:bodyDiv w:val="1"/>
      <w:marLeft w:val="0"/>
      <w:marRight w:val="0"/>
      <w:marTop w:val="0"/>
      <w:marBottom w:val="0"/>
      <w:divBdr>
        <w:top w:val="none" w:sz="0" w:space="0" w:color="auto"/>
        <w:left w:val="none" w:sz="0" w:space="0" w:color="auto"/>
        <w:bottom w:val="none" w:sz="0" w:space="0" w:color="auto"/>
        <w:right w:val="none" w:sz="0" w:space="0" w:color="auto"/>
      </w:divBdr>
    </w:div>
    <w:div w:id="1114792698">
      <w:bodyDiv w:val="1"/>
      <w:marLeft w:val="0"/>
      <w:marRight w:val="0"/>
      <w:marTop w:val="0"/>
      <w:marBottom w:val="0"/>
      <w:divBdr>
        <w:top w:val="none" w:sz="0" w:space="0" w:color="auto"/>
        <w:left w:val="none" w:sz="0" w:space="0" w:color="auto"/>
        <w:bottom w:val="none" w:sz="0" w:space="0" w:color="auto"/>
        <w:right w:val="none" w:sz="0" w:space="0" w:color="auto"/>
      </w:divBdr>
    </w:div>
    <w:div w:id="1114860056">
      <w:bodyDiv w:val="1"/>
      <w:marLeft w:val="0"/>
      <w:marRight w:val="0"/>
      <w:marTop w:val="0"/>
      <w:marBottom w:val="0"/>
      <w:divBdr>
        <w:top w:val="none" w:sz="0" w:space="0" w:color="auto"/>
        <w:left w:val="none" w:sz="0" w:space="0" w:color="auto"/>
        <w:bottom w:val="none" w:sz="0" w:space="0" w:color="auto"/>
        <w:right w:val="none" w:sz="0" w:space="0" w:color="auto"/>
      </w:divBdr>
    </w:div>
    <w:div w:id="1114861345">
      <w:bodyDiv w:val="1"/>
      <w:marLeft w:val="0"/>
      <w:marRight w:val="0"/>
      <w:marTop w:val="0"/>
      <w:marBottom w:val="0"/>
      <w:divBdr>
        <w:top w:val="none" w:sz="0" w:space="0" w:color="auto"/>
        <w:left w:val="none" w:sz="0" w:space="0" w:color="auto"/>
        <w:bottom w:val="none" w:sz="0" w:space="0" w:color="auto"/>
        <w:right w:val="none" w:sz="0" w:space="0" w:color="auto"/>
      </w:divBdr>
    </w:div>
    <w:div w:id="1114910416">
      <w:bodyDiv w:val="1"/>
      <w:marLeft w:val="0"/>
      <w:marRight w:val="0"/>
      <w:marTop w:val="0"/>
      <w:marBottom w:val="0"/>
      <w:divBdr>
        <w:top w:val="none" w:sz="0" w:space="0" w:color="auto"/>
        <w:left w:val="none" w:sz="0" w:space="0" w:color="auto"/>
        <w:bottom w:val="none" w:sz="0" w:space="0" w:color="auto"/>
        <w:right w:val="none" w:sz="0" w:space="0" w:color="auto"/>
      </w:divBdr>
    </w:div>
    <w:div w:id="1114981446">
      <w:bodyDiv w:val="1"/>
      <w:marLeft w:val="0"/>
      <w:marRight w:val="0"/>
      <w:marTop w:val="0"/>
      <w:marBottom w:val="0"/>
      <w:divBdr>
        <w:top w:val="none" w:sz="0" w:space="0" w:color="auto"/>
        <w:left w:val="none" w:sz="0" w:space="0" w:color="auto"/>
        <w:bottom w:val="none" w:sz="0" w:space="0" w:color="auto"/>
        <w:right w:val="none" w:sz="0" w:space="0" w:color="auto"/>
      </w:divBdr>
    </w:div>
    <w:div w:id="1115172170">
      <w:bodyDiv w:val="1"/>
      <w:marLeft w:val="0"/>
      <w:marRight w:val="0"/>
      <w:marTop w:val="0"/>
      <w:marBottom w:val="0"/>
      <w:divBdr>
        <w:top w:val="none" w:sz="0" w:space="0" w:color="auto"/>
        <w:left w:val="none" w:sz="0" w:space="0" w:color="auto"/>
        <w:bottom w:val="none" w:sz="0" w:space="0" w:color="auto"/>
        <w:right w:val="none" w:sz="0" w:space="0" w:color="auto"/>
      </w:divBdr>
    </w:div>
    <w:div w:id="1115520750">
      <w:bodyDiv w:val="1"/>
      <w:marLeft w:val="0"/>
      <w:marRight w:val="0"/>
      <w:marTop w:val="0"/>
      <w:marBottom w:val="0"/>
      <w:divBdr>
        <w:top w:val="none" w:sz="0" w:space="0" w:color="auto"/>
        <w:left w:val="none" w:sz="0" w:space="0" w:color="auto"/>
        <w:bottom w:val="none" w:sz="0" w:space="0" w:color="auto"/>
        <w:right w:val="none" w:sz="0" w:space="0" w:color="auto"/>
      </w:divBdr>
    </w:div>
    <w:div w:id="1115753233">
      <w:bodyDiv w:val="1"/>
      <w:marLeft w:val="0"/>
      <w:marRight w:val="0"/>
      <w:marTop w:val="0"/>
      <w:marBottom w:val="0"/>
      <w:divBdr>
        <w:top w:val="none" w:sz="0" w:space="0" w:color="auto"/>
        <w:left w:val="none" w:sz="0" w:space="0" w:color="auto"/>
        <w:bottom w:val="none" w:sz="0" w:space="0" w:color="auto"/>
        <w:right w:val="none" w:sz="0" w:space="0" w:color="auto"/>
      </w:divBdr>
    </w:div>
    <w:div w:id="1115832205">
      <w:bodyDiv w:val="1"/>
      <w:marLeft w:val="0"/>
      <w:marRight w:val="0"/>
      <w:marTop w:val="0"/>
      <w:marBottom w:val="0"/>
      <w:divBdr>
        <w:top w:val="none" w:sz="0" w:space="0" w:color="auto"/>
        <w:left w:val="none" w:sz="0" w:space="0" w:color="auto"/>
        <w:bottom w:val="none" w:sz="0" w:space="0" w:color="auto"/>
        <w:right w:val="none" w:sz="0" w:space="0" w:color="auto"/>
      </w:divBdr>
    </w:div>
    <w:div w:id="1116101751">
      <w:bodyDiv w:val="1"/>
      <w:marLeft w:val="0"/>
      <w:marRight w:val="0"/>
      <w:marTop w:val="0"/>
      <w:marBottom w:val="0"/>
      <w:divBdr>
        <w:top w:val="none" w:sz="0" w:space="0" w:color="auto"/>
        <w:left w:val="none" w:sz="0" w:space="0" w:color="auto"/>
        <w:bottom w:val="none" w:sz="0" w:space="0" w:color="auto"/>
        <w:right w:val="none" w:sz="0" w:space="0" w:color="auto"/>
      </w:divBdr>
    </w:div>
    <w:div w:id="1116295320">
      <w:bodyDiv w:val="1"/>
      <w:marLeft w:val="0"/>
      <w:marRight w:val="0"/>
      <w:marTop w:val="0"/>
      <w:marBottom w:val="0"/>
      <w:divBdr>
        <w:top w:val="none" w:sz="0" w:space="0" w:color="auto"/>
        <w:left w:val="none" w:sz="0" w:space="0" w:color="auto"/>
        <w:bottom w:val="none" w:sz="0" w:space="0" w:color="auto"/>
        <w:right w:val="none" w:sz="0" w:space="0" w:color="auto"/>
      </w:divBdr>
    </w:div>
    <w:div w:id="1116371373">
      <w:bodyDiv w:val="1"/>
      <w:marLeft w:val="0"/>
      <w:marRight w:val="0"/>
      <w:marTop w:val="0"/>
      <w:marBottom w:val="0"/>
      <w:divBdr>
        <w:top w:val="none" w:sz="0" w:space="0" w:color="auto"/>
        <w:left w:val="none" w:sz="0" w:space="0" w:color="auto"/>
        <w:bottom w:val="none" w:sz="0" w:space="0" w:color="auto"/>
        <w:right w:val="none" w:sz="0" w:space="0" w:color="auto"/>
      </w:divBdr>
    </w:div>
    <w:div w:id="1116485593">
      <w:bodyDiv w:val="1"/>
      <w:marLeft w:val="0"/>
      <w:marRight w:val="0"/>
      <w:marTop w:val="0"/>
      <w:marBottom w:val="0"/>
      <w:divBdr>
        <w:top w:val="none" w:sz="0" w:space="0" w:color="auto"/>
        <w:left w:val="none" w:sz="0" w:space="0" w:color="auto"/>
        <w:bottom w:val="none" w:sz="0" w:space="0" w:color="auto"/>
        <w:right w:val="none" w:sz="0" w:space="0" w:color="auto"/>
      </w:divBdr>
    </w:div>
    <w:div w:id="1116489316">
      <w:bodyDiv w:val="1"/>
      <w:marLeft w:val="0"/>
      <w:marRight w:val="0"/>
      <w:marTop w:val="0"/>
      <w:marBottom w:val="0"/>
      <w:divBdr>
        <w:top w:val="none" w:sz="0" w:space="0" w:color="auto"/>
        <w:left w:val="none" w:sz="0" w:space="0" w:color="auto"/>
        <w:bottom w:val="none" w:sz="0" w:space="0" w:color="auto"/>
        <w:right w:val="none" w:sz="0" w:space="0" w:color="auto"/>
      </w:divBdr>
    </w:div>
    <w:div w:id="1116559780">
      <w:bodyDiv w:val="1"/>
      <w:marLeft w:val="0"/>
      <w:marRight w:val="0"/>
      <w:marTop w:val="0"/>
      <w:marBottom w:val="0"/>
      <w:divBdr>
        <w:top w:val="none" w:sz="0" w:space="0" w:color="auto"/>
        <w:left w:val="none" w:sz="0" w:space="0" w:color="auto"/>
        <w:bottom w:val="none" w:sz="0" w:space="0" w:color="auto"/>
        <w:right w:val="none" w:sz="0" w:space="0" w:color="auto"/>
      </w:divBdr>
    </w:div>
    <w:div w:id="1116602669">
      <w:bodyDiv w:val="1"/>
      <w:marLeft w:val="0"/>
      <w:marRight w:val="0"/>
      <w:marTop w:val="0"/>
      <w:marBottom w:val="0"/>
      <w:divBdr>
        <w:top w:val="none" w:sz="0" w:space="0" w:color="auto"/>
        <w:left w:val="none" w:sz="0" w:space="0" w:color="auto"/>
        <w:bottom w:val="none" w:sz="0" w:space="0" w:color="auto"/>
        <w:right w:val="none" w:sz="0" w:space="0" w:color="auto"/>
      </w:divBdr>
    </w:div>
    <w:div w:id="1116633446">
      <w:bodyDiv w:val="1"/>
      <w:marLeft w:val="0"/>
      <w:marRight w:val="0"/>
      <w:marTop w:val="0"/>
      <w:marBottom w:val="0"/>
      <w:divBdr>
        <w:top w:val="none" w:sz="0" w:space="0" w:color="auto"/>
        <w:left w:val="none" w:sz="0" w:space="0" w:color="auto"/>
        <w:bottom w:val="none" w:sz="0" w:space="0" w:color="auto"/>
        <w:right w:val="none" w:sz="0" w:space="0" w:color="auto"/>
      </w:divBdr>
    </w:div>
    <w:div w:id="1116826673">
      <w:bodyDiv w:val="1"/>
      <w:marLeft w:val="0"/>
      <w:marRight w:val="0"/>
      <w:marTop w:val="0"/>
      <w:marBottom w:val="0"/>
      <w:divBdr>
        <w:top w:val="none" w:sz="0" w:space="0" w:color="auto"/>
        <w:left w:val="none" w:sz="0" w:space="0" w:color="auto"/>
        <w:bottom w:val="none" w:sz="0" w:space="0" w:color="auto"/>
        <w:right w:val="none" w:sz="0" w:space="0" w:color="auto"/>
      </w:divBdr>
    </w:div>
    <w:div w:id="1117093447">
      <w:bodyDiv w:val="1"/>
      <w:marLeft w:val="0"/>
      <w:marRight w:val="0"/>
      <w:marTop w:val="0"/>
      <w:marBottom w:val="0"/>
      <w:divBdr>
        <w:top w:val="none" w:sz="0" w:space="0" w:color="auto"/>
        <w:left w:val="none" w:sz="0" w:space="0" w:color="auto"/>
        <w:bottom w:val="none" w:sz="0" w:space="0" w:color="auto"/>
        <w:right w:val="none" w:sz="0" w:space="0" w:color="auto"/>
      </w:divBdr>
    </w:div>
    <w:div w:id="1117485219">
      <w:bodyDiv w:val="1"/>
      <w:marLeft w:val="0"/>
      <w:marRight w:val="0"/>
      <w:marTop w:val="0"/>
      <w:marBottom w:val="0"/>
      <w:divBdr>
        <w:top w:val="none" w:sz="0" w:space="0" w:color="auto"/>
        <w:left w:val="none" w:sz="0" w:space="0" w:color="auto"/>
        <w:bottom w:val="none" w:sz="0" w:space="0" w:color="auto"/>
        <w:right w:val="none" w:sz="0" w:space="0" w:color="auto"/>
      </w:divBdr>
    </w:div>
    <w:div w:id="1117523797">
      <w:bodyDiv w:val="1"/>
      <w:marLeft w:val="0"/>
      <w:marRight w:val="0"/>
      <w:marTop w:val="0"/>
      <w:marBottom w:val="0"/>
      <w:divBdr>
        <w:top w:val="none" w:sz="0" w:space="0" w:color="auto"/>
        <w:left w:val="none" w:sz="0" w:space="0" w:color="auto"/>
        <w:bottom w:val="none" w:sz="0" w:space="0" w:color="auto"/>
        <w:right w:val="none" w:sz="0" w:space="0" w:color="auto"/>
      </w:divBdr>
    </w:div>
    <w:div w:id="1117601977">
      <w:bodyDiv w:val="1"/>
      <w:marLeft w:val="0"/>
      <w:marRight w:val="0"/>
      <w:marTop w:val="0"/>
      <w:marBottom w:val="0"/>
      <w:divBdr>
        <w:top w:val="none" w:sz="0" w:space="0" w:color="auto"/>
        <w:left w:val="none" w:sz="0" w:space="0" w:color="auto"/>
        <w:bottom w:val="none" w:sz="0" w:space="0" w:color="auto"/>
        <w:right w:val="none" w:sz="0" w:space="0" w:color="auto"/>
      </w:divBdr>
    </w:div>
    <w:div w:id="1117799472">
      <w:bodyDiv w:val="1"/>
      <w:marLeft w:val="0"/>
      <w:marRight w:val="0"/>
      <w:marTop w:val="0"/>
      <w:marBottom w:val="0"/>
      <w:divBdr>
        <w:top w:val="none" w:sz="0" w:space="0" w:color="auto"/>
        <w:left w:val="none" w:sz="0" w:space="0" w:color="auto"/>
        <w:bottom w:val="none" w:sz="0" w:space="0" w:color="auto"/>
        <w:right w:val="none" w:sz="0" w:space="0" w:color="auto"/>
      </w:divBdr>
    </w:div>
    <w:div w:id="1118373729">
      <w:bodyDiv w:val="1"/>
      <w:marLeft w:val="0"/>
      <w:marRight w:val="0"/>
      <w:marTop w:val="0"/>
      <w:marBottom w:val="0"/>
      <w:divBdr>
        <w:top w:val="none" w:sz="0" w:space="0" w:color="auto"/>
        <w:left w:val="none" w:sz="0" w:space="0" w:color="auto"/>
        <w:bottom w:val="none" w:sz="0" w:space="0" w:color="auto"/>
        <w:right w:val="none" w:sz="0" w:space="0" w:color="auto"/>
      </w:divBdr>
    </w:div>
    <w:div w:id="1118523791">
      <w:bodyDiv w:val="1"/>
      <w:marLeft w:val="0"/>
      <w:marRight w:val="0"/>
      <w:marTop w:val="0"/>
      <w:marBottom w:val="0"/>
      <w:divBdr>
        <w:top w:val="none" w:sz="0" w:space="0" w:color="auto"/>
        <w:left w:val="none" w:sz="0" w:space="0" w:color="auto"/>
        <w:bottom w:val="none" w:sz="0" w:space="0" w:color="auto"/>
        <w:right w:val="none" w:sz="0" w:space="0" w:color="auto"/>
      </w:divBdr>
    </w:div>
    <w:div w:id="1118529019">
      <w:bodyDiv w:val="1"/>
      <w:marLeft w:val="0"/>
      <w:marRight w:val="0"/>
      <w:marTop w:val="0"/>
      <w:marBottom w:val="0"/>
      <w:divBdr>
        <w:top w:val="none" w:sz="0" w:space="0" w:color="auto"/>
        <w:left w:val="none" w:sz="0" w:space="0" w:color="auto"/>
        <w:bottom w:val="none" w:sz="0" w:space="0" w:color="auto"/>
        <w:right w:val="none" w:sz="0" w:space="0" w:color="auto"/>
      </w:divBdr>
    </w:div>
    <w:div w:id="1118640058">
      <w:bodyDiv w:val="1"/>
      <w:marLeft w:val="0"/>
      <w:marRight w:val="0"/>
      <w:marTop w:val="0"/>
      <w:marBottom w:val="0"/>
      <w:divBdr>
        <w:top w:val="none" w:sz="0" w:space="0" w:color="auto"/>
        <w:left w:val="none" w:sz="0" w:space="0" w:color="auto"/>
        <w:bottom w:val="none" w:sz="0" w:space="0" w:color="auto"/>
        <w:right w:val="none" w:sz="0" w:space="0" w:color="auto"/>
      </w:divBdr>
    </w:div>
    <w:div w:id="1118641963">
      <w:bodyDiv w:val="1"/>
      <w:marLeft w:val="0"/>
      <w:marRight w:val="0"/>
      <w:marTop w:val="0"/>
      <w:marBottom w:val="0"/>
      <w:divBdr>
        <w:top w:val="none" w:sz="0" w:space="0" w:color="auto"/>
        <w:left w:val="none" w:sz="0" w:space="0" w:color="auto"/>
        <w:bottom w:val="none" w:sz="0" w:space="0" w:color="auto"/>
        <w:right w:val="none" w:sz="0" w:space="0" w:color="auto"/>
      </w:divBdr>
    </w:div>
    <w:div w:id="1118716668">
      <w:bodyDiv w:val="1"/>
      <w:marLeft w:val="0"/>
      <w:marRight w:val="0"/>
      <w:marTop w:val="0"/>
      <w:marBottom w:val="0"/>
      <w:divBdr>
        <w:top w:val="none" w:sz="0" w:space="0" w:color="auto"/>
        <w:left w:val="none" w:sz="0" w:space="0" w:color="auto"/>
        <w:bottom w:val="none" w:sz="0" w:space="0" w:color="auto"/>
        <w:right w:val="none" w:sz="0" w:space="0" w:color="auto"/>
      </w:divBdr>
    </w:div>
    <w:div w:id="1118909474">
      <w:bodyDiv w:val="1"/>
      <w:marLeft w:val="0"/>
      <w:marRight w:val="0"/>
      <w:marTop w:val="0"/>
      <w:marBottom w:val="0"/>
      <w:divBdr>
        <w:top w:val="none" w:sz="0" w:space="0" w:color="auto"/>
        <w:left w:val="none" w:sz="0" w:space="0" w:color="auto"/>
        <w:bottom w:val="none" w:sz="0" w:space="0" w:color="auto"/>
        <w:right w:val="none" w:sz="0" w:space="0" w:color="auto"/>
      </w:divBdr>
    </w:div>
    <w:div w:id="1118917447">
      <w:bodyDiv w:val="1"/>
      <w:marLeft w:val="0"/>
      <w:marRight w:val="0"/>
      <w:marTop w:val="0"/>
      <w:marBottom w:val="0"/>
      <w:divBdr>
        <w:top w:val="none" w:sz="0" w:space="0" w:color="auto"/>
        <w:left w:val="none" w:sz="0" w:space="0" w:color="auto"/>
        <w:bottom w:val="none" w:sz="0" w:space="0" w:color="auto"/>
        <w:right w:val="none" w:sz="0" w:space="0" w:color="auto"/>
      </w:divBdr>
    </w:div>
    <w:div w:id="1119107245">
      <w:bodyDiv w:val="1"/>
      <w:marLeft w:val="0"/>
      <w:marRight w:val="0"/>
      <w:marTop w:val="0"/>
      <w:marBottom w:val="0"/>
      <w:divBdr>
        <w:top w:val="none" w:sz="0" w:space="0" w:color="auto"/>
        <w:left w:val="none" w:sz="0" w:space="0" w:color="auto"/>
        <w:bottom w:val="none" w:sz="0" w:space="0" w:color="auto"/>
        <w:right w:val="none" w:sz="0" w:space="0" w:color="auto"/>
      </w:divBdr>
    </w:div>
    <w:div w:id="1119108354">
      <w:bodyDiv w:val="1"/>
      <w:marLeft w:val="0"/>
      <w:marRight w:val="0"/>
      <w:marTop w:val="0"/>
      <w:marBottom w:val="0"/>
      <w:divBdr>
        <w:top w:val="none" w:sz="0" w:space="0" w:color="auto"/>
        <w:left w:val="none" w:sz="0" w:space="0" w:color="auto"/>
        <w:bottom w:val="none" w:sz="0" w:space="0" w:color="auto"/>
        <w:right w:val="none" w:sz="0" w:space="0" w:color="auto"/>
      </w:divBdr>
    </w:div>
    <w:div w:id="1119179045">
      <w:bodyDiv w:val="1"/>
      <w:marLeft w:val="0"/>
      <w:marRight w:val="0"/>
      <w:marTop w:val="0"/>
      <w:marBottom w:val="0"/>
      <w:divBdr>
        <w:top w:val="none" w:sz="0" w:space="0" w:color="auto"/>
        <w:left w:val="none" w:sz="0" w:space="0" w:color="auto"/>
        <w:bottom w:val="none" w:sz="0" w:space="0" w:color="auto"/>
        <w:right w:val="none" w:sz="0" w:space="0" w:color="auto"/>
      </w:divBdr>
    </w:div>
    <w:div w:id="1119183281">
      <w:bodyDiv w:val="1"/>
      <w:marLeft w:val="0"/>
      <w:marRight w:val="0"/>
      <w:marTop w:val="0"/>
      <w:marBottom w:val="0"/>
      <w:divBdr>
        <w:top w:val="none" w:sz="0" w:space="0" w:color="auto"/>
        <w:left w:val="none" w:sz="0" w:space="0" w:color="auto"/>
        <w:bottom w:val="none" w:sz="0" w:space="0" w:color="auto"/>
        <w:right w:val="none" w:sz="0" w:space="0" w:color="auto"/>
      </w:divBdr>
    </w:div>
    <w:div w:id="1119255538">
      <w:bodyDiv w:val="1"/>
      <w:marLeft w:val="0"/>
      <w:marRight w:val="0"/>
      <w:marTop w:val="0"/>
      <w:marBottom w:val="0"/>
      <w:divBdr>
        <w:top w:val="none" w:sz="0" w:space="0" w:color="auto"/>
        <w:left w:val="none" w:sz="0" w:space="0" w:color="auto"/>
        <w:bottom w:val="none" w:sz="0" w:space="0" w:color="auto"/>
        <w:right w:val="none" w:sz="0" w:space="0" w:color="auto"/>
      </w:divBdr>
    </w:div>
    <w:div w:id="1119378035">
      <w:bodyDiv w:val="1"/>
      <w:marLeft w:val="0"/>
      <w:marRight w:val="0"/>
      <w:marTop w:val="0"/>
      <w:marBottom w:val="0"/>
      <w:divBdr>
        <w:top w:val="none" w:sz="0" w:space="0" w:color="auto"/>
        <w:left w:val="none" w:sz="0" w:space="0" w:color="auto"/>
        <w:bottom w:val="none" w:sz="0" w:space="0" w:color="auto"/>
        <w:right w:val="none" w:sz="0" w:space="0" w:color="auto"/>
      </w:divBdr>
    </w:div>
    <w:div w:id="1119566901">
      <w:bodyDiv w:val="1"/>
      <w:marLeft w:val="0"/>
      <w:marRight w:val="0"/>
      <w:marTop w:val="0"/>
      <w:marBottom w:val="0"/>
      <w:divBdr>
        <w:top w:val="none" w:sz="0" w:space="0" w:color="auto"/>
        <w:left w:val="none" w:sz="0" w:space="0" w:color="auto"/>
        <w:bottom w:val="none" w:sz="0" w:space="0" w:color="auto"/>
        <w:right w:val="none" w:sz="0" w:space="0" w:color="auto"/>
      </w:divBdr>
    </w:div>
    <w:div w:id="1120145912">
      <w:bodyDiv w:val="1"/>
      <w:marLeft w:val="0"/>
      <w:marRight w:val="0"/>
      <w:marTop w:val="0"/>
      <w:marBottom w:val="0"/>
      <w:divBdr>
        <w:top w:val="none" w:sz="0" w:space="0" w:color="auto"/>
        <w:left w:val="none" w:sz="0" w:space="0" w:color="auto"/>
        <w:bottom w:val="none" w:sz="0" w:space="0" w:color="auto"/>
        <w:right w:val="none" w:sz="0" w:space="0" w:color="auto"/>
      </w:divBdr>
    </w:div>
    <w:div w:id="1120148102">
      <w:bodyDiv w:val="1"/>
      <w:marLeft w:val="0"/>
      <w:marRight w:val="0"/>
      <w:marTop w:val="0"/>
      <w:marBottom w:val="0"/>
      <w:divBdr>
        <w:top w:val="none" w:sz="0" w:space="0" w:color="auto"/>
        <w:left w:val="none" w:sz="0" w:space="0" w:color="auto"/>
        <w:bottom w:val="none" w:sz="0" w:space="0" w:color="auto"/>
        <w:right w:val="none" w:sz="0" w:space="0" w:color="auto"/>
      </w:divBdr>
    </w:div>
    <w:div w:id="1120152534">
      <w:bodyDiv w:val="1"/>
      <w:marLeft w:val="0"/>
      <w:marRight w:val="0"/>
      <w:marTop w:val="0"/>
      <w:marBottom w:val="0"/>
      <w:divBdr>
        <w:top w:val="none" w:sz="0" w:space="0" w:color="auto"/>
        <w:left w:val="none" w:sz="0" w:space="0" w:color="auto"/>
        <w:bottom w:val="none" w:sz="0" w:space="0" w:color="auto"/>
        <w:right w:val="none" w:sz="0" w:space="0" w:color="auto"/>
      </w:divBdr>
    </w:div>
    <w:div w:id="1120343982">
      <w:bodyDiv w:val="1"/>
      <w:marLeft w:val="0"/>
      <w:marRight w:val="0"/>
      <w:marTop w:val="0"/>
      <w:marBottom w:val="0"/>
      <w:divBdr>
        <w:top w:val="none" w:sz="0" w:space="0" w:color="auto"/>
        <w:left w:val="none" w:sz="0" w:space="0" w:color="auto"/>
        <w:bottom w:val="none" w:sz="0" w:space="0" w:color="auto"/>
        <w:right w:val="none" w:sz="0" w:space="0" w:color="auto"/>
      </w:divBdr>
    </w:div>
    <w:div w:id="1120417212">
      <w:bodyDiv w:val="1"/>
      <w:marLeft w:val="0"/>
      <w:marRight w:val="0"/>
      <w:marTop w:val="0"/>
      <w:marBottom w:val="0"/>
      <w:divBdr>
        <w:top w:val="none" w:sz="0" w:space="0" w:color="auto"/>
        <w:left w:val="none" w:sz="0" w:space="0" w:color="auto"/>
        <w:bottom w:val="none" w:sz="0" w:space="0" w:color="auto"/>
        <w:right w:val="none" w:sz="0" w:space="0" w:color="auto"/>
      </w:divBdr>
    </w:div>
    <w:div w:id="1120417381">
      <w:bodyDiv w:val="1"/>
      <w:marLeft w:val="0"/>
      <w:marRight w:val="0"/>
      <w:marTop w:val="0"/>
      <w:marBottom w:val="0"/>
      <w:divBdr>
        <w:top w:val="none" w:sz="0" w:space="0" w:color="auto"/>
        <w:left w:val="none" w:sz="0" w:space="0" w:color="auto"/>
        <w:bottom w:val="none" w:sz="0" w:space="0" w:color="auto"/>
        <w:right w:val="none" w:sz="0" w:space="0" w:color="auto"/>
      </w:divBdr>
    </w:div>
    <w:div w:id="1120681480">
      <w:bodyDiv w:val="1"/>
      <w:marLeft w:val="0"/>
      <w:marRight w:val="0"/>
      <w:marTop w:val="0"/>
      <w:marBottom w:val="0"/>
      <w:divBdr>
        <w:top w:val="none" w:sz="0" w:space="0" w:color="auto"/>
        <w:left w:val="none" w:sz="0" w:space="0" w:color="auto"/>
        <w:bottom w:val="none" w:sz="0" w:space="0" w:color="auto"/>
        <w:right w:val="none" w:sz="0" w:space="0" w:color="auto"/>
      </w:divBdr>
    </w:div>
    <w:div w:id="1120998579">
      <w:bodyDiv w:val="1"/>
      <w:marLeft w:val="0"/>
      <w:marRight w:val="0"/>
      <w:marTop w:val="0"/>
      <w:marBottom w:val="0"/>
      <w:divBdr>
        <w:top w:val="none" w:sz="0" w:space="0" w:color="auto"/>
        <w:left w:val="none" w:sz="0" w:space="0" w:color="auto"/>
        <w:bottom w:val="none" w:sz="0" w:space="0" w:color="auto"/>
        <w:right w:val="none" w:sz="0" w:space="0" w:color="auto"/>
      </w:divBdr>
    </w:div>
    <w:div w:id="1120999132">
      <w:bodyDiv w:val="1"/>
      <w:marLeft w:val="0"/>
      <w:marRight w:val="0"/>
      <w:marTop w:val="0"/>
      <w:marBottom w:val="0"/>
      <w:divBdr>
        <w:top w:val="none" w:sz="0" w:space="0" w:color="auto"/>
        <w:left w:val="none" w:sz="0" w:space="0" w:color="auto"/>
        <w:bottom w:val="none" w:sz="0" w:space="0" w:color="auto"/>
        <w:right w:val="none" w:sz="0" w:space="0" w:color="auto"/>
      </w:divBdr>
    </w:div>
    <w:div w:id="1121077113">
      <w:bodyDiv w:val="1"/>
      <w:marLeft w:val="0"/>
      <w:marRight w:val="0"/>
      <w:marTop w:val="0"/>
      <w:marBottom w:val="0"/>
      <w:divBdr>
        <w:top w:val="none" w:sz="0" w:space="0" w:color="auto"/>
        <w:left w:val="none" w:sz="0" w:space="0" w:color="auto"/>
        <w:bottom w:val="none" w:sz="0" w:space="0" w:color="auto"/>
        <w:right w:val="none" w:sz="0" w:space="0" w:color="auto"/>
      </w:divBdr>
    </w:div>
    <w:div w:id="1121269065">
      <w:bodyDiv w:val="1"/>
      <w:marLeft w:val="0"/>
      <w:marRight w:val="0"/>
      <w:marTop w:val="0"/>
      <w:marBottom w:val="0"/>
      <w:divBdr>
        <w:top w:val="none" w:sz="0" w:space="0" w:color="auto"/>
        <w:left w:val="none" w:sz="0" w:space="0" w:color="auto"/>
        <w:bottom w:val="none" w:sz="0" w:space="0" w:color="auto"/>
        <w:right w:val="none" w:sz="0" w:space="0" w:color="auto"/>
      </w:divBdr>
    </w:div>
    <w:div w:id="1121414000">
      <w:bodyDiv w:val="1"/>
      <w:marLeft w:val="0"/>
      <w:marRight w:val="0"/>
      <w:marTop w:val="0"/>
      <w:marBottom w:val="0"/>
      <w:divBdr>
        <w:top w:val="none" w:sz="0" w:space="0" w:color="auto"/>
        <w:left w:val="none" w:sz="0" w:space="0" w:color="auto"/>
        <w:bottom w:val="none" w:sz="0" w:space="0" w:color="auto"/>
        <w:right w:val="none" w:sz="0" w:space="0" w:color="auto"/>
      </w:divBdr>
    </w:div>
    <w:div w:id="1121459164">
      <w:bodyDiv w:val="1"/>
      <w:marLeft w:val="0"/>
      <w:marRight w:val="0"/>
      <w:marTop w:val="0"/>
      <w:marBottom w:val="0"/>
      <w:divBdr>
        <w:top w:val="none" w:sz="0" w:space="0" w:color="auto"/>
        <w:left w:val="none" w:sz="0" w:space="0" w:color="auto"/>
        <w:bottom w:val="none" w:sz="0" w:space="0" w:color="auto"/>
        <w:right w:val="none" w:sz="0" w:space="0" w:color="auto"/>
      </w:divBdr>
    </w:div>
    <w:div w:id="1122378544">
      <w:bodyDiv w:val="1"/>
      <w:marLeft w:val="0"/>
      <w:marRight w:val="0"/>
      <w:marTop w:val="0"/>
      <w:marBottom w:val="0"/>
      <w:divBdr>
        <w:top w:val="none" w:sz="0" w:space="0" w:color="auto"/>
        <w:left w:val="none" w:sz="0" w:space="0" w:color="auto"/>
        <w:bottom w:val="none" w:sz="0" w:space="0" w:color="auto"/>
        <w:right w:val="none" w:sz="0" w:space="0" w:color="auto"/>
      </w:divBdr>
    </w:div>
    <w:div w:id="1122381441">
      <w:bodyDiv w:val="1"/>
      <w:marLeft w:val="0"/>
      <w:marRight w:val="0"/>
      <w:marTop w:val="0"/>
      <w:marBottom w:val="0"/>
      <w:divBdr>
        <w:top w:val="none" w:sz="0" w:space="0" w:color="auto"/>
        <w:left w:val="none" w:sz="0" w:space="0" w:color="auto"/>
        <w:bottom w:val="none" w:sz="0" w:space="0" w:color="auto"/>
        <w:right w:val="none" w:sz="0" w:space="0" w:color="auto"/>
      </w:divBdr>
    </w:div>
    <w:div w:id="1122386549">
      <w:bodyDiv w:val="1"/>
      <w:marLeft w:val="0"/>
      <w:marRight w:val="0"/>
      <w:marTop w:val="0"/>
      <w:marBottom w:val="0"/>
      <w:divBdr>
        <w:top w:val="none" w:sz="0" w:space="0" w:color="auto"/>
        <w:left w:val="none" w:sz="0" w:space="0" w:color="auto"/>
        <w:bottom w:val="none" w:sz="0" w:space="0" w:color="auto"/>
        <w:right w:val="none" w:sz="0" w:space="0" w:color="auto"/>
      </w:divBdr>
    </w:div>
    <w:div w:id="1122764782">
      <w:bodyDiv w:val="1"/>
      <w:marLeft w:val="0"/>
      <w:marRight w:val="0"/>
      <w:marTop w:val="0"/>
      <w:marBottom w:val="0"/>
      <w:divBdr>
        <w:top w:val="none" w:sz="0" w:space="0" w:color="auto"/>
        <w:left w:val="none" w:sz="0" w:space="0" w:color="auto"/>
        <w:bottom w:val="none" w:sz="0" w:space="0" w:color="auto"/>
        <w:right w:val="none" w:sz="0" w:space="0" w:color="auto"/>
      </w:divBdr>
    </w:div>
    <w:div w:id="1122771308">
      <w:bodyDiv w:val="1"/>
      <w:marLeft w:val="0"/>
      <w:marRight w:val="0"/>
      <w:marTop w:val="0"/>
      <w:marBottom w:val="0"/>
      <w:divBdr>
        <w:top w:val="none" w:sz="0" w:space="0" w:color="auto"/>
        <w:left w:val="none" w:sz="0" w:space="0" w:color="auto"/>
        <w:bottom w:val="none" w:sz="0" w:space="0" w:color="auto"/>
        <w:right w:val="none" w:sz="0" w:space="0" w:color="auto"/>
      </w:divBdr>
    </w:div>
    <w:div w:id="1122920569">
      <w:bodyDiv w:val="1"/>
      <w:marLeft w:val="0"/>
      <w:marRight w:val="0"/>
      <w:marTop w:val="0"/>
      <w:marBottom w:val="0"/>
      <w:divBdr>
        <w:top w:val="none" w:sz="0" w:space="0" w:color="auto"/>
        <w:left w:val="none" w:sz="0" w:space="0" w:color="auto"/>
        <w:bottom w:val="none" w:sz="0" w:space="0" w:color="auto"/>
        <w:right w:val="none" w:sz="0" w:space="0" w:color="auto"/>
      </w:divBdr>
    </w:div>
    <w:div w:id="1122962462">
      <w:bodyDiv w:val="1"/>
      <w:marLeft w:val="0"/>
      <w:marRight w:val="0"/>
      <w:marTop w:val="0"/>
      <w:marBottom w:val="0"/>
      <w:divBdr>
        <w:top w:val="none" w:sz="0" w:space="0" w:color="auto"/>
        <w:left w:val="none" w:sz="0" w:space="0" w:color="auto"/>
        <w:bottom w:val="none" w:sz="0" w:space="0" w:color="auto"/>
        <w:right w:val="none" w:sz="0" w:space="0" w:color="auto"/>
      </w:divBdr>
    </w:div>
    <w:div w:id="1123035953">
      <w:bodyDiv w:val="1"/>
      <w:marLeft w:val="0"/>
      <w:marRight w:val="0"/>
      <w:marTop w:val="0"/>
      <w:marBottom w:val="0"/>
      <w:divBdr>
        <w:top w:val="none" w:sz="0" w:space="0" w:color="auto"/>
        <w:left w:val="none" w:sz="0" w:space="0" w:color="auto"/>
        <w:bottom w:val="none" w:sz="0" w:space="0" w:color="auto"/>
        <w:right w:val="none" w:sz="0" w:space="0" w:color="auto"/>
      </w:divBdr>
    </w:div>
    <w:div w:id="1123159842">
      <w:bodyDiv w:val="1"/>
      <w:marLeft w:val="0"/>
      <w:marRight w:val="0"/>
      <w:marTop w:val="0"/>
      <w:marBottom w:val="0"/>
      <w:divBdr>
        <w:top w:val="none" w:sz="0" w:space="0" w:color="auto"/>
        <w:left w:val="none" w:sz="0" w:space="0" w:color="auto"/>
        <w:bottom w:val="none" w:sz="0" w:space="0" w:color="auto"/>
        <w:right w:val="none" w:sz="0" w:space="0" w:color="auto"/>
      </w:divBdr>
    </w:div>
    <w:div w:id="1123227991">
      <w:bodyDiv w:val="1"/>
      <w:marLeft w:val="0"/>
      <w:marRight w:val="0"/>
      <w:marTop w:val="0"/>
      <w:marBottom w:val="0"/>
      <w:divBdr>
        <w:top w:val="none" w:sz="0" w:space="0" w:color="auto"/>
        <w:left w:val="none" w:sz="0" w:space="0" w:color="auto"/>
        <w:bottom w:val="none" w:sz="0" w:space="0" w:color="auto"/>
        <w:right w:val="none" w:sz="0" w:space="0" w:color="auto"/>
      </w:divBdr>
    </w:div>
    <w:div w:id="1123427207">
      <w:bodyDiv w:val="1"/>
      <w:marLeft w:val="0"/>
      <w:marRight w:val="0"/>
      <w:marTop w:val="0"/>
      <w:marBottom w:val="0"/>
      <w:divBdr>
        <w:top w:val="none" w:sz="0" w:space="0" w:color="auto"/>
        <w:left w:val="none" w:sz="0" w:space="0" w:color="auto"/>
        <w:bottom w:val="none" w:sz="0" w:space="0" w:color="auto"/>
        <w:right w:val="none" w:sz="0" w:space="0" w:color="auto"/>
      </w:divBdr>
    </w:div>
    <w:div w:id="1123498254">
      <w:bodyDiv w:val="1"/>
      <w:marLeft w:val="0"/>
      <w:marRight w:val="0"/>
      <w:marTop w:val="0"/>
      <w:marBottom w:val="0"/>
      <w:divBdr>
        <w:top w:val="none" w:sz="0" w:space="0" w:color="auto"/>
        <w:left w:val="none" w:sz="0" w:space="0" w:color="auto"/>
        <w:bottom w:val="none" w:sz="0" w:space="0" w:color="auto"/>
        <w:right w:val="none" w:sz="0" w:space="0" w:color="auto"/>
      </w:divBdr>
    </w:div>
    <w:div w:id="1123574420">
      <w:bodyDiv w:val="1"/>
      <w:marLeft w:val="0"/>
      <w:marRight w:val="0"/>
      <w:marTop w:val="0"/>
      <w:marBottom w:val="0"/>
      <w:divBdr>
        <w:top w:val="none" w:sz="0" w:space="0" w:color="auto"/>
        <w:left w:val="none" w:sz="0" w:space="0" w:color="auto"/>
        <w:bottom w:val="none" w:sz="0" w:space="0" w:color="auto"/>
        <w:right w:val="none" w:sz="0" w:space="0" w:color="auto"/>
      </w:divBdr>
    </w:div>
    <w:div w:id="1123578250">
      <w:bodyDiv w:val="1"/>
      <w:marLeft w:val="0"/>
      <w:marRight w:val="0"/>
      <w:marTop w:val="0"/>
      <w:marBottom w:val="0"/>
      <w:divBdr>
        <w:top w:val="none" w:sz="0" w:space="0" w:color="auto"/>
        <w:left w:val="none" w:sz="0" w:space="0" w:color="auto"/>
        <w:bottom w:val="none" w:sz="0" w:space="0" w:color="auto"/>
        <w:right w:val="none" w:sz="0" w:space="0" w:color="auto"/>
      </w:divBdr>
    </w:div>
    <w:div w:id="1123696386">
      <w:bodyDiv w:val="1"/>
      <w:marLeft w:val="0"/>
      <w:marRight w:val="0"/>
      <w:marTop w:val="0"/>
      <w:marBottom w:val="0"/>
      <w:divBdr>
        <w:top w:val="none" w:sz="0" w:space="0" w:color="auto"/>
        <w:left w:val="none" w:sz="0" w:space="0" w:color="auto"/>
        <w:bottom w:val="none" w:sz="0" w:space="0" w:color="auto"/>
        <w:right w:val="none" w:sz="0" w:space="0" w:color="auto"/>
      </w:divBdr>
    </w:div>
    <w:div w:id="1123890839">
      <w:bodyDiv w:val="1"/>
      <w:marLeft w:val="0"/>
      <w:marRight w:val="0"/>
      <w:marTop w:val="0"/>
      <w:marBottom w:val="0"/>
      <w:divBdr>
        <w:top w:val="none" w:sz="0" w:space="0" w:color="auto"/>
        <w:left w:val="none" w:sz="0" w:space="0" w:color="auto"/>
        <w:bottom w:val="none" w:sz="0" w:space="0" w:color="auto"/>
        <w:right w:val="none" w:sz="0" w:space="0" w:color="auto"/>
      </w:divBdr>
    </w:div>
    <w:div w:id="1124036953">
      <w:bodyDiv w:val="1"/>
      <w:marLeft w:val="0"/>
      <w:marRight w:val="0"/>
      <w:marTop w:val="0"/>
      <w:marBottom w:val="0"/>
      <w:divBdr>
        <w:top w:val="none" w:sz="0" w:space="0" w:color="auto"/>
        <w:left w:val="none" w:sz="0" w:space="0" w:color="auto"/>
        <w:bottom w:val="none" w:sz="0" w:space="0" w:color="auto"/>
        <w:right w:val="none" w:sz="0" w:space="0" w:color="auto"/>
      </w:divBdr>
    </w:div>
    <w:div w:id="1124156275">
      <w:bodyDiv w:val="1"/>
      <w:marLeft w:val="0"/>
      <w:marRight w:val="0"/>
      <w:marTop w:val="0"/>
      <w:marBottom w:val="0"/>
      <w:divBdr>
        <w:top w:val="none" w:sz="0" w:space="0" w:color="auto"/>
        <w:left w:val="none" w:sz="0" w:space="0" w:color="auto"/>
        <w:bottom w:val="none" w:sz="0" w:space="0" w:color="auto"/>
        <w:right w:val="none" w:sz="0" w:space="0" w:color="auto"/>
      </w:divBdr>
    </w:div>
    <w:div w:id="1124693975">
      <w:bodyDiv w:val="1"/>
      <w:marLeft w:val="0"/>
      <w:marRight w:val="0"/>
      <w:marTop w:val="0"/>
      <w:marBottom w:val="0"/>
      <w:divBdr>
        <w:top w:val="none" w:sz="0" w:space="0" w:color="auto"/>
        <w:left w:val="none" w:sz="0" w:space="0" w:color="auto"/>
        <w:bottom w:val="none" w:sz="0" w:space="0" w:color="auto"/>
        <w:right w:val="none" w:sz="0" w:space="0" w:color="auto"/>
      </w:divBdr>
    </w:div>
    <w:div w:id="1124807841">
      <w:bodyDiv w:val="1"/>
      <w:marLeft w:val="0"/>
      <w:marRight w:val="0"/>
      <w:marTop w:val="0"/>
      <w:marBottom w:val="0"/>
      <w:divBdr>
        <w:top w:val="none" w:sz="0" w:space="0" w:color="auto"/>
        <w:left w:val="none" w:sz="0" w:space="0" w:color="auto"/>
        <w:bottom w:val="none" w:sz="0" w:space="0" w:color="auto"/>
        <w:right w:val="none" w:sz="0" w:space="0" w:color="auto"/>
      </w:divBdr>
    </w:div>
    <w:div w:id="1124884149">
      <w:bodyDiv w:val="1"/>
      <w:marLeft w:val="0"/>
      <w:marRight w:val="0"/>
      <w:marTop w:val="0"/>
      <w:marBottom w:val="0"/>
      <w:divBdr>
        <w:top w:val="none" w:sz="0" w:space="0" w:color="auto"/>
        <w:left w:val="none" w:sz="0" w:space="0" w:color="auto"/>
        <w:bottom w:val="none" w:sz="0" w:space="0" w:color="auto"/>
        <w:right w:val="none" w:sz="0" w:space="0" w:color="auto"/>
      </w:divBdr>
    </w:div>
    <w:div w:id="1124930429">
      <w:bodyDiv w:val="1"/>
      <w:marLeft w:val="0"/>
      <w:marRight w:val="0"/>
      <w:marTop w:val="0"/>
      <w:marBottom w:val="0"/>
      <w:divBdr>
        <w:top w:val="none" w:sz="0" w:space="0" w:color="auto"/>
        <w:left w:val="none" w:sz="0" w:space="0" w:color="auto"/>
        <w:bottom w:val="none" w:sz="0" w:space="0" w:color="auto"/>
        <w:right w:val="none" w:sz="0" w:space="0" w:color="auto"/>
      </w:divBdr>
    </w:div>
    <w:div w:id="1124958164">
      <w:bodyDiv w:val="1"/>
      <w:marLeft w:val="0"/>
      <w:marRight w:val="0"/>
      <w:marTop w:val="0"/>
      <w:marBottom w:val="0"/>
      <w:divBdr>
        <w:top w:val="none" w:sz="0" w:space="0" w:color="auto"/>
        <w:left w:val="none" w:sz="0" w:space="0" w:color="auto"/>
        <w:bottom w:val="none" w:sz="0" w:space="0" w:color="auto"/>
        <w:right w:val="none" w:sz="0" w:space="0" w:color="auto"/>
      </w:divBdr>
    </w:div>
    <w:div w:id="1125738526">
      <w:bodyDiv w:val="1"/>
      <w:marLeft w:val="0"/>
      <w:marRight w:val="0"/>
      <w:marTop w:val="0"/>
      <w:marBottom w:val="0"/>
      <w:divBdr>
        <w:top w:val="none" w:sz="0" w:space="0" w:color="auto"/>
        <w:left w:val="none" w:sz="0" w:space="0" w:color="auto"/>
        <w:bottom w:val="none" w:sz="0" w:space="0" w:color="auto"/>
        <w:right w:val="none" w:sz="0" w:space="0" w:color="auto"/>
      </w:divBdr>
    </w:div>
    <w:div w:id="1126004002">
      <w:bodyDiv w:val="1"/>
      <w:marLeft w:val="0"/>
      <w:marRight w:val="0"/>
      <w:marTop w:val="0"/>
      <w:marBottom w:val="0"/>
      <w:divBdr>
        <w:top w:val="none" w:sz="0" w:space="0" w:color="auto"/>
        <w:left w:val="none" w:sz="0" w:space="0" w:color="auto"/>
        <w:bottom w:val="none" w:sz="0" w:space="0" w:color="auto"/>
        <w:right w:val="none" w:sz="0" w:space="0" w:color="auto"/>
      </w:divBdr>
    </w:div>
    <w:div w:id="1126118136">
      <w:bodyDiv w:val="1"/>
      <w:marLeft w:val="0"/>
      <w:marRight w:val="0"/>
      <w:marTop w:val="0"/>
      <w:marBottom w:val="0"/>
      <w:divBdr>
        <w:top w:val="none" w:sz="0" w:space="0" w:color="auto"/>
        <w:left w:val="none" w:sz="0" w:space="0" w:color="auto"/>
        <w:bottom w:val="none" w:sz="0" w:space="0" w:color="auto"/>
        <w:right w:val="none" w:sz="0" w:space="0" w:color="auto"/>
      </w:divBdr>
    </w:div>
    <w:div w:id="1126194669">
      <w:bodyDiv w:val="1"/>
      <w:marLeft w:val="0"/>
      <w:marRight w:val="0"/>
      <w:marTop w:val="0"/>
      <w:marBottom w:val="0"/>
      <w:divBdr>
        <w:top w:val="none" w:sz="0" w:space="0" w:color="auto"/>
        <w:left w:val="none" w:sz="0" w:space="0" w:color="auto"/>
        <w:bottom w:val="none" w:sz="0" w:space="0" w:color="auto"/>
        <w:right w:val="none" w:sz="0" w:space="0" w:color="auto"/>
      </w:divBdr>
    </w:div>
    <w:div w:id="1126313335">
      <w:bodyDiv w:val="1"/>
      <w:marLeft w:val="0"/>
      <w:marRight w:val="0"/>
      <w:marTop w:val="0"/>
      <w:marBottom w:val="0"/>
      <w:divBdr>
        <w:top w:val="none" w:sz="0" w:space="0" w:color="auto"/>
        <w:left w:val="none" w:sz="0" w:space="0" w:color="auto"/>
        <w:bottom w:val="none" w:sz="0" w:space="0" w:color="auto"/>
        <w:right w:val="none" w:sz="0" w:space="0" w:color="auto"/>
      </w:divBdr>
    </w:div>
    <w:div w:id="1126318892">
      <w:bodyDiv w:val="1"/>
      <w:marLeft w:val="0"/>
      <w:marRight w:val="0"/>
      <w:marTop w:val="0"/>
      <w:marBottom w:val="0"/>
      <w:divBdr>
        <w:top w:val="none" w:sz="0" w:space="0" w:color="auto"/>
        <w:left w:val="none" w:sz="0" w:space="0" w:color="auto"/>
        <w:bottom w:val="none" w:sz="0" w:space="0" w:color="auto"/>
        <w:right w:val="none" w:sz="0" w:space="0" w:color="auto"/>
      </w:divBdr>
    </w:div>
    <w:div w:id="1126388281">
      <w:bodyDiv w:val="1"/>
      <w:marLeft w:val="0"/>
      <w:marRight w:val="0"/>
      <w:marTop w:val="0"/>
      <w:marBottom w:val="0"/>
      <w:divBdr>
        <w:top w:val="none" w:sz="0" w:space="0" w:color="auto"/>
        <w:left w:val="none" w:sz="0" w:space="0" w:color="auto"/>
        <w:bottom w:val="none" w:sz="0" w:space="0" w:color="auto"/>
        <w:right w:val="none" w:sz="0" w:space="0" w:color="auto"/>
      </w:divBdr>
    </w:div>
    <w:div w:id="1126388649">
      <w:bodyDiv w:val="1"/>
      <w:marLeft w:val="0"/>
      <w:marRight w:val="0"/>
      <w:marTop w:val="0"/>
      <w:marBottom w:val="0"/>
      <w:divBdr>
        <w:top w:val="none" w:sz="0" w:space="0" w:color="auto"/>
        <w:left w:val="none" w:sz="0" w:space="0" w:color="auto"/>
        <w:bottom w:val="none" w:sz="0" w:space="0" w:color="auto"/>
        <w:right w:val="none" w:sz="0" w:space="0" w:color="auto"/>
      </w:divBdr>
    </w:div>
    <w:div w:id="1126506875">
      <w:bodyDiv w:val="1"/>
      <w:marLeft w:val="0"/>
      <w:marRight w:val="0"/>
      <w:marTop w:val="0"/>
      <w:marBottom w:val="0"/>
      <w:divBdr>
        <w:top w:val="none" w:sz="0" w:space="0" w:color="auto"/>
        <w:left w:val="none" w:sz="0" w:space="0" w:color="auto"/>
        <w:bottom w:val="none" w:sz="0" w:space="0" w:color="auto"/>
        <w:right w:val="none" w:sz="0" w:space="0" w:color="auto"/>
      </w:divBdr>
    </w:div>
    <w:div w:id="1126512157">
      <w:bodyDiv w:val="1"/>
      <w:marLeft w:val="0"/>
      <w:marRight w:val="0"/>
      <w:marTop w:val="0"/>
      <w:marBottom w:val="0"/>
      <w:divBdr>
        <w:top w:val="none" w:sz="0" w:space="0" w:color="auto"/>
        <w:left w:val="none" w:sz="0" w:space="0" w:color="auto"/>
        <w:bottom w:val="none" w:sz="0" w:space="0" w:color="auto"/>
        <w:right w:val="none" w:sz="0" w:space="0" w:color="auto"/>
      </w:divBdr>
    </w:div>
    <w:div w:id="1126583728">
      <w:bodyDiv w:val="1"/>
      <w:marLeft w:val="0"/>
      <w:marRight w:val="0"/>
      <w:marTop w:val="0"/>
      <w:marBottom w:val="0"/>
      <w:divBdr>
        <w:top w:val="none" w:sz="0" w:space="0" w:color="auto"/>
        <w:left w:val="none" w:sz="0" w:space="0" w:color="auto"/>
        <w:bottom w:val="none" w:sz="0" w:space="0" w:color="auto"/>
        <w:right w:val="none" w:sz="0" w:space="0" w:color="auto"/>
      </w:divBdr>
    </w:div>
    <w:div w:id="1126655211">
      <w:bodyDiv w:val="1"/>
      <w:marLeft w:val="0"/>
      <w:marRight w:val="0"/>
      <w:marTop w:val="0"/>
      <w:marBottom w:val="0"/>
      <w:divBdr>
        <w:top w:val="none" w:sz="0" w:space="0" w:color="auto"/>
        <w:left w:val="none" w:sz="0" w:space="0" w:color="auto"/>
        <w:bottom w:val="none" w:sz="0" w:space="0" w:color="auto"/>
        <w:right w:val="none" w:sz="0" w:space="0" w:color="auto"/>
      </w:divBdr>
    </w:div>
    <w:div w:id="1126777790">
      <w:bodyDiv w:val="1"/>
      <w:marLeft w:val="0"/>
      <w:marRight w:val="0"/>
      <w:marTop w:val="0"/>
      <w:marBottom w:val="0"/>
      <w:divBdr>
        <w:top w:val="none" w:sz="0" w:space="0" w:color="auto"/>
        <w:left w:val="none" w:sz="0" w:space="0" w:color="auto"/>
        <w:bottom w:val="none" w:sz="0" w:space="0" w:color="auto"/>
        <w:right w:val="none" w:sz="0" w:space="0" w:color="auto"/>
      </w:divBdr>
    </w:div>
    <w:div w:id="1127358183">
      <w:bodyDiv w:val="1"/>
      <w:marLeft w:val="0"/>
      <w:marRight w:val="0"/>
      <w:marTop w:val="0"/>
      <w:marBottom w:val="0"/>
      <w:divBdr>
        <w:top w:val="none" w:sz="0" w:space="0" w:color="auto"/>
        <w:left w:val="none" w:sz="0" w:space="0" w:color="auto"/>
        <w:bottom w:val="none" w:sz="0" w:space="0" w:color="auto"/>
        <w:right w:val="none" w:sz="0" w:space="0" w:color="auto"/>
      </w:divBdr>
    </w:div>
    <w:div w:id="1127429623">
      <w:bodyDiv w:val="1"/>
      <w:marLeft w:val="0"/>
      <w:marRight w:val="0"/>
      <w:marTop w:val="0"/>
      <w:marBottom w:val="0"/>
      <w:divBdr>
        <w:top w:val="none" w:sz="0" w:space="0" w:color="auto"/>
        <w:left w:val="none" w:sz="0" w:space="0" w:color="auto"/>
        <w:bottom w:val="none" w:sz="0" w:space="0" w:color="auto"/>
        <w:right w:val="none" w:sz="0" w:space="0" w:color="auto"/>
      </w:divBdr>
    </w:div>
    <w:div w:id="1127624348">
      <w:bodyDiv w:val="1"/>
      <w:marLeft w:val="0"/>
      <w:marRight w:val="0"/>
      <w:marTop w:val="0"/>
      <w:marBottom w:val="0"/>
      <w:divBdr>
        <w:top w:val="none" w:sz="0" w:space="0" w:color="auto"/>
        <w:left w:val="none" w:sz="0" w:space="0" w:color="auto"/>
        <w:bottom w:val="none" w:sz="0" w:space="0" w:color="auto"/>
        <w:right w:val="none" w:sz="0" w:space="0" w:color="auto"/>
      </w:divBdr>
    </w:div>
    <w:div w:id="1127822816">
      <w:bodyDiv w:val="1"/>
      <w:marLeft w:val="0"/>
      <w:marRight w:val="0"/>
      <w:marTop w:val="0"/>
      <w:marBottom w:val="0"/>
      <w:divBdr>
        <w:top w:val="none" w:sz="0" w:space="0" w:color="auto"/>
        <w:left w:val="none" w:sz="0" w:space="0" w:color="auto"/>
        <w:bottom w:val="none" w:sz="0" w:space="0" w:color="auto"/>
        <w:right w:val="none" w:sz="0" w:space="0" w:color="auto"/>
      </w:divBdr>
    </w:div>
    <w:div w:id="1127967718">
      <w:bodyDiv w:val="1"/>
      <w:marLeft w:val="0"/>
      <w:marRight w:val="0"/>
      <w:marTop w:val="0"/>
      <w:marBottom w:val="0"/>
      <w:divBdr>
        <w:top w:val="none" w:sz="0" w:space="0" w:color="auto"/>
        <w:left w:val="none" w:sz="0" w:space="0" w:color="auto"/>
        <w:bottom w:val="none" w:sz="0" w:space="0" w:color="auto"/>
        <w:right w:val="none" w:sz="0" w:space="0" w:color="auto"/>
      </w:divBdr>
    </w:div>
    <w:div w:id="1128091460">
      <w:bodyDiv w:val="1"/>
      <w:marLeft w:val="0"/>
      <w:marRight w:val="0"/>
      <w:marTop w:val="0"/>
      <w:marBottom w:val="0"/>
      <w:divBdr>
        <w:top w:val="none" w:sz="0" w:space="0" w:color="auto"/>
        <w:left w:val="none" w:sz="0" w:space="0" w:color="auto"/>
        <w:bottom w:val="none" w:sz="0" w:space="0" w:color="auto"/>
        <w:right w:val="none" w:sz="0" w:space="0" w:color="auto"/>
      </w:divBdr>
    </w:div>
    <w:div w:id="1128161920">
      <w:bodyDiv w:val="1"/>
      <w:marLeft w:val="0"/>
      <w:marRight w:val="0"/>
      <w:marTop w:val="0"/>
      <w:marBottom w:val="0"/>
      <w:divBdr>
        <w:top w:val="none" w:sz="0" w:space="0" w:color="auto"/>
        <w:left w:val="none" w:sz="0" w:space="0" w:color="auto"/>
        <w:bottom w:val="none" w:sz="0" w:space="0" w:color="auto"/>
        <w:right w:val="none" w:sz="0" w:space="0" w:color="auto"/>
      </w:divBdr>
    </w:div>
    <w:div w:id="1128209300">
      <w:bodyDiv w:val="1"/>
      <w:marLeft w:val="0"/>
      <w:marRight w:val="0"/>
      <w:marTop w:val="0"/>
      <w:marBottom w:val="0"/>
      <w:divBdr>
        <w:top w:val="none" w:sz="0" w:space="0" w:color="auto"/>
        <w:left w:val="none" w:sz="0" w:space="0" w:color="auto"/>
        <w:bottom w:val="none" w:sz="0" w:space="0" w:color="auto"/>
        <w:right w:val="none" w:sz="0" w:space="0" w:color="auto"/>
      </w:divBdr>
    </w:div>
    <w:div w:id="1128280810">
      <w:bodyDiv w:val="1"/>
      <w:marLeft w:val="0"/>
      <w:marRight w:val="0"/>
      <w:marTop w:val="0"/>
      <w:marBottom w:val="0"/>
      <w:divBdr>
        <w:top w:val="none" w:sz="0" w:space="0" w:color="auto"/>
        <w:left w:val="none" w:sz="0" w:space="0" w:color="auto"/>
        <w:bottom w:val="none" w:sz="0" w:space="0" w:color="auto"/>
        <w:right w:val="none" w:sz="0" w:space="0" w:color="auto"/>
      </w:divBdr>
    </w:div>
    <w:div w:id="1128350754">
      <w:bodyDiv w:val="1"/>
      <w:marLeft w:val="0"/>
      <w:marRight w:val="0"/>
      <w:marTop w:val="0"/>
      <w:marBottom w:val="0"/>
      <w:divBdr>
        <w:top w:val="none" w:sz="0" w:space="0" w:color="auto"/>
        <w:left w:val="none" w:sz="0" w:space="0" w:color="auto"/>
        <w:bottom w:val="none" w:sz="0" w:space="0" w:color="auto"/>
        <w:right w:val="none" w:sz="0" w:space="0" w:color="auto"/>
      </w:divBdr>
    </w:div>
    <w:div w:id="1128545246">
      <w:bodyDiv w:val="1"/>
      <w:marLeft w:val="0"/>
      <w:marRight w:val="0"/>
      <w:marTop w:val="0"/>
      <w:marBottom w:val="0"/>
      <w:divBdr>
        <w:top w:val="none" w:sz="0" w:space="0" w:color="auto"/>
        <w:left w:val="none" w:sz="0" w:space="0" w:color="auto"/>
        <w:bottom w:val="none" w:sz="0" w:space="0" w:color="auto"/>
        <w:right w:val="none" w:sz="0" w:space="0" w:color="auto"/>
      </w:divBdr>
    </w:div>
    <w:div w:id="1129010950">
      <w:bodyDiv w:val="1"/>
      <w:marLeft w:val="0"/>
      <w:marRight w:val="0"/>
      <w:marTop w:val="0"/>
      <w:marBottom w:val="0"/>
      <w:divBdr>
        <w:top w:val="none" w:sz="0" w:space="0" w:color="auto"/>
        <w:left w:val="none" w:sz="0" w:space="0" w:color="auto"/>
        <w:bottom w:val="none" w:sz="0" w:space="0" w:color="auto"/>
        <w:right w:val="none" w:sz="0" w:space="0" w:color="auto"/>
      </w:divBdr>
    </w:div>
    <w:div w:id="1129401295">
      <w:bodyDiv w:val="1"/>
      <w:marLeft w:val="0"/>
      <w:marRight w:val="0"/>
      <w:marTop w:val="0"/>
      <w:marBottom w:val="0"/>
      <w:divBdr>
        <w:top w:val="none" w:sz="0" w:space="0" w:color="auto"/>
        <w:left w:val="none" w:sz="0" w:space="0" w:color="auto"/>
        <w:bottom w:val="none" w:sz="0" w:space="0" w:color="auto"/>
        <w:right w:val="none" w:sz="0" w:space="0" w:color="auto"/>
      </w:divBdr>
    </w:div>
    <w:div w:id="1129586545">
      <w:bodyDiv w:val="1"/>
      <w:marLeft w:val="0"/>
      <w:marRight w:val="0"/>
      <w:marTop w:val="0"/>
      <w:marBottom w:val="0"/>
      <w:divBdr>
        <w:top w:val="none" w:sz="0" w:space="0" w:color="auto"/>
        <w:left w:val="none" w:sz="0" w:space="0" w:color="auto"/>
        <w:bottom w:val="none" w:sz="0" w:space="0" w:color="auto"/>
        <w:right w:val="none" w:sz="0" w:space="0" w:color="auto"/>
      </w:divBdr>
    </w:div>
    <w:div w:id="1129665871">
      <w:bodyDiv w:val="1"/>
      <w:marLeft w:val="0"/>
      <w:marRight w:val="0"/>
      <w:marTop w:val="0"/>
      <w:marBottom w:val="0"/>
      <w:divBdr>
        <w:top w:val="none" w:sz="0" w:space="0" w:color="auto"/>
        <w:left w:val="none" w:sz="0" w:space="0" w:color="auto"/>
        <w:bottom w:val="none" w:sz="0" w:space="0" w:color="auto"/>
        <w:right w:val="none" w:sz="0" w:space="0" w:color="auto"/>
      </w:divBdr>
    </w:div>
    <w:div w:id="1129737207">
      <w:bodyDiv w:val="1"/>
      <w:marLeft w:val="0"/>
      <w:marRight w:val="0"/>
      <w:marTop w:val="0"/>
      <w:marBottom w:val="0"/>
      <w:divBdr>
        <w:top w:val="none" w:sz="0" w:space="0" w:color="auto"/>
        <w:left w:val="none" w:sz="0" w:space="0" w:color="auto"/>
        <w:bottom w:val="none" w:sz="0" w:space="0" w:color="auto"/>
        <w:right w:val="none" w:sz="0" w:space="0" w:color="auto"/>
      </w:divBdr>
    </w:div>
    <w:div w:id="1129861901">
      <w:bodyDiv w:val="1"/>
      <w:marLeft w:val="0"/>
      <w:marRight w:val="0"/>
      <w:marTop w:val="0"/>
      <w:marBottom w:val="0"/>
      <w:divBdr>
        <w:top w:val="none" w:sz="0" w:space="0" w:color="auto"/>
        <w:left w:val="none" w:sz="0" w:space="0" w:color="auto"/>
        <w:bottom w:val="none" w:sz="0" w:space="0" w:color="auto"/>
        <w:right w:val="none" w:sz="0" w:space="0" w:color="auto"/>
      </w:divBdr>
    </w:div>
    <w:div w:id="1129862797">
      <w:bodyDiv w:val="1"/>
      <w:marLeft w:val="0"/>
      <w:marRight w:val="0"/>
      <w:marTop w:val="0"/>
      <w:marBottom w:val="0"/>
      <w:divBdr>
        <w:top w:val="none" w:sz="0" w:space="0" w:color="auto"/>
        <w:left w:val="none" w:sz="0" w:space="0" w:color="auto"/>
        <w:bottom w:val="none" w:sz="0" w:space="0" w:color="auto"/>
        <w:right w:val="none" w:sz="0" w:space="0" w:color="auto"/>
      </w:divBdr>
    </w:div>
    <w:div w:id="1129981884">
      <w:bodyDiv w:val="1"/>
      <w:marLeft w:val="0"/>
      <w:marRight w:val="0"/>
      <w:marTop w:val="0"/>
      <w:marBottom w:val="0"/>
      <w:divBdr>
        <w:top w:val="none" w:sz="0" w:space="0" w:color="auto"/>
        <w:left w:val="none" w:sz="0" w:space="0" w:color="auto"/>
        <w:bottom w:val="none" w:sz="0" w:space="0" w:color="auto"/>
        <w:right w:val="none" w:sz="0" w:space="0" w:color="auto"/>
      </w:divBdr>
    </w:div>
    <w:div w:id="1130131547">
      <w:bodyDiv w:val="1"/>
      <w:marLeft w:val="0"/>
      <w:marRight w:val="0"/>
      <w:marTop w:val="0"/>
      <w:marBottom w:val="0"/>
      <w:divBdr>
        <w:top w:val="none" w:sz="0" w:space="0" w:color="auto"/>
        <w:left w:val="none" w:sz="0" w:space="0" w:color="auto"/>
        <w:bottom w:val="none" w:sz="0" w:space="0" w:color="auto"/>
        <w:right w:val="none" w:sz="0" w:space="0" w:color="auto"/>
      </w:divBdr>
    </w:div>
    <w:div w:id="1130249405">
      <w:bodyDiv w:val="1"/>
      <w:marLeft w:val="0"/>
      <w:marRight w:val="0"/>
      <w:marTop w:val="0"/>
      <w:marBottom w:val="0"/>
      <w:divBdr>
        <w:top w:val="none" w:sz="0" w:space="0" w:color="auto"/>
        <w:left w:val="none" w:sz="0" w:space="0" w:color="auto"/>
        <w:bottom w:val="none" w:sz="0" w:space="0" w:color="auto"/>
        <w:right w:val="none" w:sz="0" w:space="0" w:color="auto"/>
      </w:divBdr>
    </w:div>
    <w:div w:id="1131097693">
      <w:bodyDiv w:val="1"/>
      <w:marLeft w:val="0"/>
      <w:marRight w:val="0"/>
      <w:marTop w:val="0"/>
      <w:marBottom w:val="0"/>
      <w:divBdr>
        <w:top w:val="none" w:sz="0" w:space="0" w:color="auto"/>
        <w:left w:val="none" w:sz="0" w:space="0" w:color="auto"/>
        <w:bottom w:val="none" w:sz="0" w:space="0" w:color="auto"/>
        <w:right w:val="none" w:sz="0" w:space="0" w:color="auto"/>
      </w:divBdr>
    </w:div>
    <w:div w:id="1131168173">
      <w:bodyDiv w:val="1"/>
      <w:marLeft w:val="0"/>
      <w:marRight w:val="0"/>
      <w:marTop w:val="0"/>
      <w:marBottom w:val="0"/>
      <w:divBdr>
        <w:top w:val="none" w:sz="0" w:space="0" w:color="auto"/>
        <w:left w:val="none" w:sz="0" w:space="0" w:color="auto"/>
        <w:bottom w:val="none" w:sz="0" w:space="0" w:color="auto"/>
        <w:right w:val="none" w:sz="0" w:space="0" w:color="auto"/>
      </w:divBdr>
    </w:div>
    <w:div w:id="1131359804">
      <w:bodyDiv w:val="1"/>
      <w:marLeft w:val="0"/>
      <w:marRight w:val="0"/>
      <w:marTop w:val="0"/>
      <w:marBottom w:val="0"/>
      <w:divBdr>
        <w:top w:val="none" w:sz="0" w:space="0" w:color="auto"/>
        <w:left w:val="none" w:sz="0" w:space="0" w:color="auto"/>
        <w:bottom w:val="none" w:sz="0" w:space="0" w:color="auto"/>
        <w:right w:val="none" w:sz="0" w:space="0" w:color="auto"/>
      </w:divBdr>
    </w:div>
    <w:div w:id="1131367816">
      <w:bodyDiv w:val="1"/>
      <w:marLeft w:val="0"/>
      <w:marRight w:val="0"/>
      <w:marTop w:val="0"/>
      <w:marBottom w:val="0"/>
      <w:divBdr>
        <w:top w:val="none" w:sz="0" w:space="0" w:color="auto"/>
        <w:left w:val="none" w:sz="0" w:space="0" w:color="auto"/>
        <w:bottom w:val="none" w:sz="0" w:space="0" w:color="auto"/>
        <w:right w:val="none" w:sz="0" w:space="0" w:color="auto"/>
      </w:divBdr>
    </w:div>
    <w:div w:id="1131554646">
      <w:bodyDiv w:val="1"/>
      <w:marLeft w:val="0"/>
      <w:marRight w:val="0"/>
      <w:marTop w:val="0"/>
      <w:marBottom w:val="0"/>
      <w:divBdr>
        <w:top w:val="none" w:sz="0" w:space="0" w:color="auto"/>
        <w:left w:val="none" w:sz="0" w:space="0" w:color="auto"/>
        <w:bottom w:val="none" w:sz="0" w:space="0" w:color="auto"/>
        <w:right w:val="none" w:sz="0" w:space="0" w:color="auto"/>
      </w:divBdr>
    </w:div>
    <w:div w:id="1131631324">
      <w:bodyDiv w:val="1"/>
      <w:marLeft w:val="0"/>
      <w:marRight w:val="0"/>
      <w:marTop w:val="0"/>
      <w:marBottom w:val="0"/>
      <w:divBdr>
        <w:top w:val="none" w:sz="0" w:space="0" w:color="auto"/>
        <w:left w:val="none" w:sz="0" w:space="0" w:color="auto"/>
        <w:bottom w:val="none" w:sz="0" w:space="0" w:color="auto"/>
        <w:right w:val="none" w:sz="0" w:space="0" w:color="auto"/>
      </w:divBdr>
    </w:div>
    <w:div w:id="1131704748">
      <w:bodyDiv w:val="1"/>
      <w:marLeft w:val="0"/>
      <w:marRight w:val="0"/>
      <w:marTop w:val="0"/>
      <w:marBottom w:val="0"/>
      <w:divBdr>
        <w:top w:val="none" w:sz="0" w:space="0" w:color="auto"/>
        <w:left w:val="none" w:sz="0" w:space="0" w:color="auto"/>
        <w:bottom w:val="none" w:sz="0" w:space="0" w:color="auto"/>
        <w:right w:val="none" w:sz="0" w:space="0" w:color="auto"/>
      </w:divBdr>
    </w:div>
    <w:div w:id="1132140306">
      <w:bodyDiv w:val="1"/>
      <w:marLeft w:val="0"/>
      <w:marRight w:val="0"/>
      <w:marTop w:val="0"/>
      <w:marBottom w:val="0"/>
      <w:divBdr>
        <w:top w:val="none" w:sz="0" w:space="0" w:color="auto"/>
        <w:left w:val="none" w:sz="0" w:space="0" w:color="auto"/>
        <w:bottom w:val="none" w:sz="0" w:space="0" w:color="auto"/>
        <w:right w:val="none" w:sz="0" w:space="0" w:color="auto"/>
      </w:divBdr>
    </w:div>
    <w:div w:id="1132405233">
      <w:bodyDiv w:val="1"/>
      <w:marLeft w:val="0"/>
      <w:marRight w:val="0"/>
      <w:marTop w:val="0"/>
      <w:marBottom w:val="0"/>
      <w:divBdr>
        <w:top w:val="none" w:sz="0" w:space="0" w:color="auto"/>
        <w:left w:val="none" w:sz="0" w:space="0" w:color="auto"/>
        <w:bottom w:val="none" w:sz="0" w:space="0" w:color="auto"/>
        <w:right w:val="none" w:sz="0" w:space="0" w:color="auto"/>
      </w:divBdr>
    </w:div>
    <w:div w:id="1132557470">
      <w:bodyDiv w:val="1"/>
      <w:marLeft w:val="0"/>
      <w:marRight w:val="0"/>
      <w:marTop w:val="0"/>
      <w:marBottom w:val="0"/>
      <w:divBdr>
        <w:top w:val="none" w:sz="0" w:space="0" w:color="auto"/>
        <w:left w:val="none" w:sz="0" w:space="0" w:color="auto"/>
        <w:bottom w:val="none" w:sz="0" w:space="0" w:color="auto"/>
        <w:right w:val="none" w:sz="0" w:space="0" w:color="auto"/>
      </w:divBdr>
    </w:div>
    <w:div w:id="1132676854">
      <w:bodyDiv w:val="1"/>
      <w:marLeft w:val="0"/>
      <w:marRight w:val="0"/>
      <w:marTop w:val="0"/>
      <w:marBottom w:val="0"/>
      <w:divBdr>
        <w:top w:val="none" w:sz="0" w:space="0" w:color="auto"/>
        <w:left w:val="none" w:sz="0" w:space="0" w:color="auto"/>
        <w:bottom w:val="none" w:sz="0" w:space="0" w:color="auto"/>
        <w:right w:val="none" w:sz="0" w:space="0" w:color="auto"/>
      </w:divBdr>
    </w:div>
    <w:div w:id="1132864865">
      <w:bodyDiv w:val="1"/>
      <w:marLeft w:val="0"/>
      <w:marRight w:val="0"/>
      <w:marTop w:val="0"/>
      <w:marBottom w:val="0"/>
      <w:divBdr>
        <w:top w:val="none" w:sz="0" w:space="0" w:color="auto"/>
        <w:left w:val="none" w:sz="0" w:space="0" w:color="auto"/>
        <w:bottom w:val="none" w:sz="0" w:space="0" w:color="auto"/>
        <w:right w:val="none" w:sz="0" w:space="0" w:color="auto"/>
      </w:divBdr>
    </w:div>
    <w:div w:id="1132870992">
      <w:bodyDiv w:val="1"/>
      <w:marLeft w:val="0"/>
      <w:marRight w:val="0"/>
      <w:marTop w:val="0"/>
      <w:marBottom w:val="0"/>
      <w:divBdr>
        <w:top w:val="none" w:sz="0" w:space="0" w:color="auto"/>
        <w:left w:val="none" w:sz="0" w:space="0" w:color="auto"/>
        <w:bottom w:val="none" w:sz="0" w:space="0" w:color="auto"/>
        <w:right w:val="none" w:sz="0" w:space="0" w:color="auto"/>
      </w:divBdr>
    </w:div>
    <w:div w:id="1132940805">
      <w:bodyDiv w:val="1"/>
      <w:marLeft w:val="0"/>
      <w:marRight w:val="0"/>
      <w:marTop w:val="0"/>
      <w:marBottom w:val="0"/>
      <w:divBdr>
        <w:top w:val="none" w:sz="0" w:space="0" w:color="auto"/>
        <w:left w:val="none" w:sz="0" w:space="0" w:color="auto"/>
        <w:bottom w:val="none" w:sz="0" w:space="0" w:color="auto"/>
        <w:right w:val="none" w:sz="0" w:space="0" w:color="auto"/>
      </w:divBdr>
    </w:div>
    <w:div w:id="1132943098">
      <w:bodyDiv w:val="1"/>
      <w:marLeft w:val="0"/>
      <w:marRight w:val="0"/>
      <w:marTop w:val="0"/>
      <w:marBottom w:val="0"/>
      <w:divBdr>
        <w:top w:val="none" w:sz="0" w:space="0" w:color="auto"/>
        <w:left w:val="none" w:sz="0" w:space="0" w:color="auto"/>
        <w:bottom w:val="none" w:sz="0" w:space="0" w:color="auto"/>
        <w:right w:val="none" w:sz="0" w:space="0" w:color="auto"/>
      </w:divBdr>
    </w:div>
    <w:div w:id="1133062028">
      <w:bodyDiv w:val="1"/>
      <w:marLeft w:val="0"/>
      <w:marRight w:val="0"/>
      <w:marTop w:val="0"/>
      <w:marBottom w:val="0"/>
      <w:divBdr>
        <w:top w:val="none" w:sz="0" w:space="0" w:color="auto"/>
        <w:left w:val="none" w:sz="0" w:space="0" w:color="auto"/>
        <w:bottom w:val="none" w:sz="0" w:space="0" w:color="auto"/>
        <w:right w:val="none" w:sz="0" w:space="0" w:color="auto"/>
      </w:divBdr>
    </w:div>
    <w:div w:id="1133135153">
      <w:bodyDiv w:val="1"/>
      <w:marLeft w:val="0"/>
      <w:marRight w:val="0"/>
      <w:marTop w:val="0"/>
      <w:marBottom w:val="0"/>
      <w:divBdr>
        <w:top w:val="none" w:sz="0" w:space="0" w:color="auto"/>
        <w:left w:val="none" w:sz="0" w:space="0" w:color="auto"/>
        <w:bottom w:val="none" w:sz="0" w:space="0" w:color="auto"/>
        <w:right w:val="none" w:sz="0" w:space="0" w:color="auto"/>
      </w:divBdr>
    </w:div>
    <w:div w:id="1133208237">
      <w:bodyDiv w:val="1"/>
      <w:marLeft w:val="0"/>
      <w:marRight w:val="0"/>
      <w:marTop w:val="0"/>
      <w:marBottom w:val="0"/>
      <w:divBdr>
        <w:top w:val="none" w:sz="0" w:space="0" w:color="auto"/>
        <w:left w:val="none" w:sz="0" w:space="0" w:color="auto"/>
        <w:bottom w:val="none" w:sz="0" w:space="0" w:color="auto"/>
        <w:right w:val="none" w:sz="0" w:space="0" w:color="auto"/>
      </w:divBdr>
    </w:div>
    <w:div w:id="1133251119">
      <w:bodyDiv w:val="1"/>
      <w:marLeft w:val="0"/>
      <w:marRight w:val="0"/>
      <w:marTop w:val="0"/>
      <w:marBottom w:val="0"/>
      <w:divBdr>
        <w:top w:val="none" w:sz="0" w:space="0" w:color="auto"/>
        <w:left w:val="none" w:sz="0" w:space="0" w:color="auto"/>
        <w:bottom w:val="none" w:sz="0" w:space="0" w:color="auto"/>
        <w:right w:val="none" w:sz="0" w:space="0" w:color="auto"/>
      </w:divBdr>
    </w:div>
    <w:div w:id="1133399755">
      <w:bodyDiv w:val="1"/>
      <w:marLeft w:val="0"/>
      <w:marRight w:val="0"/>
      <w:marTop w:val="0"/>
      <w:marBottom w:val="0"/>
      <w:divBdr>
        <w:top w:val="none" w:sz="0" w:space="0" w:color="auto"/>
        <w:left w:val="none" w:sz="0" w:space="0" w:color="auto"/>
        <w:bottom w:val="none" w:sz="0" w:space="0" w:color="auto"/>
        <w:right w:val="none" w:sz="0" w:space="0" w:color="auto"/>
      </w:divBdr>
    </w:div>
    <w:div w:id="1133644846">
      <w:bodyDiv w:val="1"/>
      <w:marLeft w:val="0"/>
      <w:marRight w:val="0"/>
      <w:marTop w:val="0"/>
      <w:marBottom w:val="0"/>
      <w:divBdr>
        <w:top w:val="none" w:sz="0" w:space="0" w:color="auto"/>
        <w:left w:val="none" w:sz="0" w:space="0" w:color="auto"/>
        <w:bottom w:val="none" w:sz="0" w:space="0" w:color="auto"/>
        <w:right w:val="none" w:sz="0" w:space="0" w:color="auto"/>
      </w:divBdr>
    </w:div>
    <w:div w:id="1133786722">
      <w:bodyDiv w:val="1"/>
      <w:marLeft w:val="0"/>
      <w:marRight w:val="0"/>
      <w:marTop w:val="0"/>
      <w:marBottom w:val="0"/>
      <w:divBdr>
        <w:top w:val="none" w:sz="0" w:space="0" w:color="auto"/>
        <w:left w:val="none" w:sz="0" w:space="0" w:color="auto"/>
        <w:bottom w:val="none" w:sz="0" w:space="0" w:color="auto"/>
        <w:right w:val="none" w:sz="0" w:space="0" w:color="auto"/>
      </w:divBdr>
    </w:div>
    <w:div w:id="1133790512">
      <w:bodyDiv w:val="1"/>
      <w:marLeft w:val="0"/>
      <w:marRight w:val="0"/>
      <w:marTop w:val="0"/>
      <w:marBottom w:val="0"/>
      <w:divBdr>
        <w:top w:val="none" w:sz="0" w:space="0" w:color="auto"/>
        <w:left w:val="none" w:sz="0" w:space="0" w:color="auto"/>
        <w:bottom w:val="none" w:sz="0" w:space="0" w:color="auto"/>
        <w:right w:val="none" w:sz="0" w:space="0" w:color="auto"/>
      </w:divBdr>
    </w:div>
    <w:div w:id="1133863574">
      <w:bodyDiv w:val="1"/>
      <w:marLeft w:val="0"/>
      <w:marRight w:val="0"/>
      <w:marTop w:val="0"/>
      <w:marBottom w:val="0"/>
      <w:divBdr>
        <w:top w:val="none" w:sz="0" w:space="0" w:color="auto"/>
        <w:left w:val="none" w:sz="0" w:space="0" w:color="auto"/>
        <w:bottom w:val="none" w:sz="0" w:space="0" w:color="auto"/>
        <w:right w:val="none" w:sz="0" w:space="0" w:color="auto"/>
      </w:divBdr>
    </w:div>
    <w:div w:id="1134058940">
      <w:bodyDiv w:val="1"/>
      <w:marLeft w:val="0"/>
      <w:marRight w:val="0"/>
      <w:marTop w:val="0"/>
      <w:marBottom w:val="0"/>
      <w:divBdr>
        <w:top w:val="none" w:sz="0" w:space="0" w:color="auto"/>
        <w:left w:val="none" w:sz="0" w:space="0" w:color="auto"/>
        <w:bottom w:val="none" w:sz="0" w:space="0" w:color="auto"/>
        <w:right w:val="none" w:sz="0" w:space="0" w:color="auto"/>
      </w:divBdr>
    </w:div>
    <w:div w:id="1134103732">
      <w:bodyDiv w:val="1"/>
      <w:marLeft w:val="0"/>
      <w:marRight w:val="0"/>
      <w:marTop w:val="0"/>
      <w:marBottom w:val="0"/>
      <w:divBdr>
        <w:top w:val="none" w:sz="0" w:space="0" w:color="auto"/>
        <w:left w:val="none" w:sz="0" w:space="0" w:color="auto"/>
        <w:bottom w:val="none" w:sz="0" w:space="0" w:color="auto"/>
        <w:right w:val="none" w:sz="0" w:space="0" w:color="auto"/>
      </w:divBdr>
    </w:div>
    <w:div w:id="1134178556">
      <w:bodyDiv w:val="1"/>
      <w:marLeft w:val="0"/>
      <w:marRight w:val="0"/>
      <w:marTop w:val="0"/>
      <w:marBottom w:val="0"/>
      <w:divBdr>
        <w:top w:val="none" w:sz="0" w:space="0" w:color="auto"/>
        <w:left w:val="none" w:sz="0" w:space="0" w:color="auto"/>
        <w:bottom w:val="none" w:sz="0" w:space="0" w:color="auto"/>
        <w:right w:val="none" w:sz="0" w:space="0" w:color="auto"/>
      </w:divBdr>
    </w:div>
    <w:div w:id="1134441427">
      <w:bodyDiv w:val="1"/>
      <w:marLeft w:val="0"/>
      <w:marRight w:val="0"/>
      <w:marTop w:val="0"/>
      <w:marBottom w:val="0"/>
      <w:divBdr>
        <w:top w:val="none" w:sz="0" w:space="0" w:color="auto"/>
        <w:left w:val="none" w:sz="0" w:space="0" w:color="auto"/>
        <w:bottom w:val="none" w:sz="0" w:space="0" w:color="auto"/>
        <w:right w:val="none" w:sz="0" w:space="0" w:color="auto"/>
      </w:divBdr>
    </w:div>
    <w:div w:id="1134447798">
      <w:bodyDiv w:val="1"/>
      <w:marLeft w:val="0"/>
      <w:marRight w:val="0"/>
      <w:marTop w:val="0"/>
      <w:marBottom w:val="0"/>
      <w:divBdr>
        <w:top w:val="none" w:sz="0" w:space="0" w:color="auto"/>
        <w:left w:val="none" w:sz="0" w:space="0" w:color="auto"/>
        <w:bottom w:val="none" w:sz="0" w:space="0" w:color="auto"/>
        <w:right w:val="none" w:sz="0" w:space="0" w:color="auto"/>
      </w:divBdr>
    </w:div>
    <w:div w:id="1134713195">
      <w:bodyDiv w:val="1"/>
      <w:marLeft w:val="0"/>
      <w:marRight w:val="0"/>
      <w:marTop w:val="0"/>
      <w:marBottom w:val="0"/>
      <w:divBdr>
        <w:top w:val="none" w:sz="0" w:space="0" w:color="auto"/>
        <w:left w:val="none" w:sz="0" w:space="0" w:color="auto"/>
        <w:bottom w:val="none" w:sz="0" w:space="0" w:color="auto"/>
        <w:right w:val="none" w:sz="0" w:space="0" w:color="auto"/>
      </w:divBdr>
    </w:div>
    <w:div w:id="1134830052">
      <w:bodyDiv w:val="1"/>
      <w:marLeft w:val="0"/>
      <w:marRight w:val="0"/>
      <w:marTop w:val="0"/>
      <w:marBottom w:val="0"/>
      <w:divBdr>
        <w:top w:val="none" w:sz="0" w:space="0" w:color="auto"/>
        <w:left w:val="none" w:sz="0" w:space="0" w:color="auto"/>
        <w:bottom w:val="none" w:sz="0" w:space="0" w:color="auto"/>
        <w:right w:val="none" w:sz="0" w:space="0" w:color="auto"/>
      </w:divBdr>
    </w:div>
    <w:div w:id="1134984362">
      <w:bodyDiv w:val="1"/>
      <w:marLeft w:val="0"/>
      <w:marRight w:val="0"/>
      <w:marTop w:val="0"/>
      <w:marBottom w:val="0"/>
      <w:divBdr>
        <w:top w:val="none" w:sz="0" w:space="0" w:color="auto"/>
        <w:left w:val="none" w:sz="0" w:space="0" w:color="auto"/>
        <w:bottom w:val="none" w:sz="0" w:space="0" w:color="auto"/>
        <w:right w:val="none" w:sz="0" w:space="0" w:color="auto"/>
      </w:divBdr>
    </w:div>
    <w:div w:id="1134985011">
      <w:bodyDiv w:val="1"/>
      <w:marLeft w:val="0"/>
      <w:marRight w:val="0"/>
      <w:marTop w:val="0"/>
      <w:marBottom w:val="0"/>
      <w:divBdr>
        <w:top w:val="none" w:sz="0" w:space="0" w:color="auto"/>
        <w:left w:val="none" w:sz="0" w:space="0" w:color="auto"/>
        <w:bottom w:val="none" w:sz="0" w:space="0" w:color="auto"/>
        <w:right w:val="none" w:sz="0" w:space="0" w:color="auto"/>
      </w:divBdr>
    </w:div>
    <w:div w:id="1135098323">
      <w:bodyDiv w:val="1"/>
      <w:marLeft w:val="0"/>
      <w:marRight w:val="0"/>
      <w:marTop w:val="0"/>
      <w:marBottom w:val="0"/>
      <w:divBdr>
        <w:top w:val="none" w:sz="0" w:space="0" w:color="auto"/>
        <w:left w:val="none" w:sz="0" w:space="0" w:color="auto"/>
        <w:bottom w:val="none" w:sz="0" w:space="0" w:color="auto"/>
        <w:right w:val="none" w:sz="0" w:space="0" w:color="auto"/>
      </w:divBdr>
    </w:div>
    <w:div w:id="1135105763">
      <w:bodyDiv w:val="1"/>
      <w:marLeft w:val="0"/>
      <w:marRight w:val="0"/>
      <w:marTop w:val="0"/>
      <w:marBottom w:val="0"/>
      <w:divBdr>
        <w:top w:val="none" w:sz="0" w:space="0" w:color="auto"/>
        <w:left w:val="none" w:sz="0" w:space="0" w:color="auto"/>
        <w:bottom w:val="none" w:sz="0" w:space="0" w:color="auto"/>
        <w:right w:val="none" w:sz="0" w:space="0" w:color="auto"/>
      </w:divBdr>
    </w:div>
    <w:div w:id="1135222602">
      <w:bodyDiv w:val="1"/>
      <w:marLeft w:val="0"/>
      <w:marRight w:val="0"/>
      <w:marTop w:val="0"/>
      <w:marBottom w:val="0"/>
      <w:divBdr>
        <w:top w:val="none" w:sz="0" w:space="0" w:color="auto"/>
        <w:left w:val="none" w:sz="0" w:space="0" w:color="auto"/>
        <w:bottom w:val="none" w:sz="0" w:space="0" w:color="auto"/>
        <w:right w:val="none" w:sz="0" w:space="0" w:color="auto"/>
      </w:divBdr>
    </w:div>
    <w:div w:id="1135366777">
      <w:bodyDiv w:val="1"/>
      <w:marLeft w:val="0"/>
      <w:marRight w:val="0"/>
      <w:marTop w:val="0"/>
      <w:marBottom w:val="0"/>
      <w:divBdr>
        <w:top w:val="none" w:sz="0" w:space="0" w:color="auto"/>
        <w:left w:val="none" w:sz="0" w:space="0" w:color="auto"/>
        <w:bottom w:val="none" w:sz="0" w:space="0" w:color="auto"/>
        <w:right w:val="none" w:sz="0" w:space="0" w:color="auto"/>
      </w:divBdr>
    </w:div>
    <w:div w:id="1135369387">
      <w:bodyDiv w:val="1"/>
      <w:marLeft w:val="0"/>
      <w:marRight w:val="0"/>
      <w:marTop w:val="0"/>
      <w:marBottom w:val="0"/>
      <w:divBdr>
        <w:top w:val="none" w:sz="0" w:space="0" w:color="auto"/>
        <w:left w:val="none" w:sz="0" w:space="0" w:color="auto"/>
        <w:bottom w:val="none" w:sz="0" w:space="0" w:color="auto"/>
        <w:right w:val="none" w:sz="0" w:space="0" w:color="auto"/>
      </w:divBdr>
    </w:div>
    <w:div w:id="1135415541">
      <w:bodyDiv w:val="1"/>
      <w:marLeft w:val="0"/>
      <w:marRight w:val="0"/>
      <w:marTop w:val="0"/>
      <w:marBottom w:val="0"/>
      <w:divBdr>
        <w:top w:val="none" w:sz="0" w:space="0" w:color="auto"/>
        <w:left w:val="none" w:sz="0" w:space="0" w:color="auto"/>
        <w:bottom w:val="none" w:sz="0" w:space="0" w:color="auto"/>
        <w:right w:val="none" w:sz="0" w:space="0" w:color="auto"/>
      </w:divBdr>
    </w:div>
    <w:div w:id="1135417646">
      <w:bodyDiv w:val="1"/>
      <w:marLeft w:val="0"/>
      <w:marRight w:val="0"/>
      <w:marTop w:val="0"/>
      <w:marBottom w:val="0"/>
      <w:divBdr>
        <w:top w:val="none" w:sz="0" w:space="0" w:color="auto"/>
        <w:left w:val="none" w:sz="0" w:space="0" w:color="auto"/>
        <w:bottom w:val="none" w:sz="0" w:space="0" w:color="auto"/>
        <w:right w:val="none" w:sz="0" w:space="0" w:color="auto"/>
      </w:divBdr>
    </w:div>
    <w:div w:id="1135946395">
      <w:bodyDiv w:val="1"/>
      <w:marLeft w:val="0"/>
      <w:marRight w:val="0"/>
      <w:marTop w:val="0"/>
      <w:marBottom w:val="0"/>
      <w:divBdr>
        <w:top w:val="none" w:sz="0" w:space="0" w:color="auto"/>
        <w:left w:val="none" w:sz="0" w:space="0" w:color="auto"/>
        <w:bottom w:val="none" w:sz="0" w:space="0" w:color="auto"/>
        <w:right w:val="none" w:sz="0" w:space="0" w:color="auto"/>
      </w:divBdr>
    </w:div>
    <w:div w:id="1135953347">
      <w:bodyDiv w:val="1"/>
      <w:marLeft w:val="0"/>
      <w:marRight w:val="0"/>
      <w:marTop w:val="0"/>
      <w:marBottom w:val="0"/>
      <w:divBdr>
        <w:top w:val="none" w:sz="0" w:space="0" w:color="auto"/>
        <w:left w:val="none" w:sz="0" w:space="0" w:color="auto"/>
        <w:bottom w:val="none" w:sz="0" w:space="0" w:color="auto"/>
        <w:right w:val="none" w:sz="0" w:space="0" w:color="auto"/>
      </w:divBdr>
    </w:div>
    <w:div w:id="1136096563">
      <w:bodyDiv w:val="1"/>
      <w:marLeft w:val="0"/>
      <w:marRight w:val="0"/>
      <w:marTop w:val="0"/>
      <w:marBottom w:val="0"/>
      <w:divBdr>
        <w:top w:val="none" w:sz="0" w:space="0" w:color="auto"/>
        <w:left w:val="none" w:sz="0" w:space="0" w:color="auto"/>
        <w:bottom w:val="none" w:sz="0" w:space="0" w:color="auto"/>
        <w:right w:val="none" w:sz="0" w:space="0" w:color="auto"/>
      </w:divBdr>
    </w:div>
    <w:div w:id="1136221339">
      <w:bodyDiv w:val="1"/>
      <w:marLeft w:val="0"/>
      <w:marRight w:val="0"/>
      <w:marTop w:val="0"/>
      <w:marBottom w:val="0"/>
      <w:divBdr>
        <w:top w:val="none" w:sz="0" w:space="0" w:color="auto"/>
        <w:left w:val="none" w:sz="0" w:space="0" w:color="auto"/>
        <w:bottom w:val="none" w:sz="0" w:space="0" w:color="auto"/>
        <w:right w:val="none" w:sz="0" w:space="0" w:color="auto"/>
      </w:divBdr>
    </w:div>
    <w:div w:id="1136264752">
      <w:bodyDiv w:val="1"/>
      <w:marLeft w:val="0"/>
      <w:marRight w:val="0"/>
      <w:marTop w:val="0"/>
      <w:marBottom w:val="0"/>
      <w:divBdr>
        <w:top w:val="none" w:sz="0" w:space="0" w:color="auto"/>
        <w:left w:val="none" w:sz="0" w:space="0" w:color="auto"/>
        <w:bottom w:val="none" w:sz="0" w:space="0" w:color="auto"/>
        <w:right w:val="none" w:sz="0" w:space="0" w:color="auto"/>
      </w:divBdr>
    </w:div>
    <w:div w:id="1136407836">
      <w:bodyDiv w:val="1"/>
      <w:marLeft w:val="0"/>
      <w:marRight w:val="0"/>
      <w:marTop w:val="0"/>
      <w:marBottom w:val="0"/>
      <w:divBdr>
        <w:top w:val="none" w:sz="0" w:space="0" w:color="auto"/>
        <w:left w:val="none" w:sz="0" w:space="0" w:color="auto"/>
        <w:bottom w:val="none" w:sz="0" w:space="0" w:color="auto"/>
        <w:right w:val="none" w:sz="0" w:space="0" w:color="auto"/>
      </w:divBdr>
    </w:div>
    <w:div w:id="1136526401">
      <w:bodyDiv w:val="1"/>
      <w:marLeft w:val="0"/>
      <w:marRight w:val="0"/>
      <w:marTop w:val="0"/>
      <w:marBottom w:val="0"/>
      <w:divBdr>
        <w:top w:val="none" w:sz="0" w:space="0" w:color="auto"/>
        <w:left w:val="none" w:sz="0" w:space="0" w:color="auto"/>
        <w:bottom w:val="none" w:sz="0" w:space="0" w:color="auto"/>
        <w:right w:val="none" w:sz="0" w:space="0" w:color="auto"/>
      </w:divBdr>
    </w:div>
    <w:div w:id="1136683640">
      <w:bodyDiv w:val="1"/>
      <w:marLeft w:val="0"/>
      <w:marRight w:val="0"/>
      <w:marTop w:val="0"/>
      <w:marBottom w:val="0"/>
      <w:divBdr>
        <w:top w:val="none" w:sz="0" w:space="0" w:color="auto"/>
        <w:left w:val="none" w:sz="0" w:space="0" w:color="auto"/>
        <w:bottom w:val="none" w:sz="0" w:space="0" w:color="auto"/>
        <w:right w:val="none" w:sz="0" w:space="0" w:color="auto"/>
      </w:divBdr>
    </w:div>
    <w:div w:id="1136946225">
      <w:bodyDiv w:val="1"/>
      <w:marLeft w:val="0"/>
      <w:marRight w:val="0"/>
      <w:marTop w:val="0"/>
      <w:marBottom w:val="0"/>
      <w:divBdr>
        <w:top w:val="none" w:sz="0" w:space="0" w:color="auto"/>
        <w:left w:val="none" w:sz="0" w:space="0" w:color="auto"/>
        <w:bottom w:val="none" w:sz="0" w:space="0" w:color="auto"/>
        <w:right w:val="none" w:sz="0" w:space="0" w:color="auto"/>
      </w:divBdr>
    </w:div>
    <w:div w:id="1136946340">
      <w:bodyDiv w:val="1"/>
      <w:marLeft w:val="0"/>
      <w:marRight w:val="0"/>
      <w:marTop w:val="0"/>
      <w:marBottom w:val="0"/>
      <w:divBdr>
        <w:top w:val="none" w:sz="0" w:space="0" w:color="auto"/>
        <w:left w:val="none" w:sz="0" w:space="0" w:color="auto"/>
        <w:bottom w:val="none" w:sz="0" w:space="0" w:color="auto"/>
        <w:right w:val="none" w:sz="0" w:space="0" w:color="auto"/>
      </w:divBdr>
    </w:div>
    <w:div w:id="1137258132">
      <w:bodyDiv w:val="1"/>
      <w:marLeft w:val="0"/>
      <w:marRight w:val="0"/>
      <w:marTop w:val="0"/>
      <w:marBottom w:val="0"/>
      <w:divBdr>
        <w:top w:val="none" w:sz="0" w:space="0" w:color="auto"/>
        <w:left w:val="none" w:sz="0" w:space="0" w:color="auto"/>
        <w:bottom w:val="none" w:sz="0" w:space="0" w:color="auto"/>
        <w:right w:val="none" w:sz="0" w:space="0" w:color="auto"/>
      </w:divBdr>
    </w:div>
    <w:div w:id="1137262291">
      <w:bodyDiv w:val="1"/>
      <w:marLeft w:val="0"/>
      <w:marRight w:val="0"/>
      <w:marTop w:val="0"/>
      <w:marBottom w:val="0"/>
      <w:divBdr>
        <w:top w:val="none" w:sz="0" w:space="0" w:color="auto"/>
        <w:left w:val="none" w:sz="0" w:space="0" w:color="auto"/>
        <w:bottom w:val="none" w:sz="0" w:space="0" w:color="auto"/>
        <w:right w:val="none" w:sz="0" w:space="0" w:color="auto"/>
      </w:divBdr>
    </w:div>
    <w:div w:id="1137382327">
      <w:bodyDiv w:val="1"/>
      <w:marLeft w:val="0"/>
      <w:marRight w:val="0"/>
      <w:marTop w:val="0"/>
      <w:marBottom w:val="0"/>
      <w:divBdr>
        <w:top w:val="none" w:sz="0" w:space="0" w:color="auto"/>
        <w:left w:val="none" w:sz="0" w:space="0" w:color="auto"/>
        <w:bottom w:val="none" w:sz="0" w:space="0" w:color="auto"/>
        <w:right w:val="none" w:sz="0" w:space="0" w:color="auto"/>
      </w:divBdr>
    </w:div>
    <w:div w:id="1137407189">
      <w:bodyDiv w:val="1"/>
      <w:marLeft w:val="0"/>
      <w:marRight w:val="0"/>
      <w:marTop w:val="0"/>
      <w:marBottom w:val="0"/>
      <w:divBdr>
        <w:top w:val="none" w:sz="0" w:space="0" w:color="auto"/>
        <w:left w:val="none" w:sz="0" w:space="0" w:color="auto"/>
        <w:bottom w:val="none" w:sz="0" w:space="0" w:color="auto"/>
        <w:right w:val="none" w:sz="0" w:space="0" w:color="auto"/>
      </w:divBdr>
    </w:div>
    <w:div w:id="1137407220">
      <w:bodyDiv w:val="1"/>
      <w:marLeft w:val="0"/>
      <w:marRight w:val="0"/>
      <w:marTop w:val="0"/>
      <w:marBottom w:val="0"/>
      <w:divBdr>
        <w:top w:val="none" w:sz="0" w:space="0" w:color="auto"/>
        <w:left w:val="none" w:sz="0" w:space="0" w:color="auto"/>
        <w:bottom w:val="none" w:sz="0" w:space="0" w:color="auto"/>
        <w:right w:val="none" w:sz="0" w:space="0" w:color="auto"/>
      </w:divBdr>
    </w:div>
    <w:div w:id="1137458264">
      <w:bodyDiv w:val="1"/>
      <w:marLeft w:val="0"/>
      <w:marRight w:val="0"/>
      <w:marTop w:val="0"/>
      <w:marBottom w:val="0"/>
      <w:divBdr>
        <w:top w:val="none" w:sz="0" w:space="0" w:color="auto"/>
        <w:left w:val="none" w:sz="0" w:space="0" w:color="auto"/>
        <w:bottom w:val="none" w:sz="0" w:space="0" w:color="auto"/>
        <w:right w:val="none" w:sz="0" w:space="0" w:color="auto"/>
      </w:divBdr>
    </w:div>
    <w:div w:id="1137723111">
      <w:bodyDiv w:val="1"/>
      <w:marLeft w:val="0"/>
      <w:marRight w:val="0"/>
      <w:marTop w:val="0"/>
      <w:marBottom w:val="0"/>
      <w:divBdr>
        <w:top w:val="none" w:sz="0" w:space="0" w:color="auto"/>
        <w:left w:val="none" w:sz="0" w:space="0" w:color="auto"/>
        <w:bottom w:val="none" w:sz="0" w:space="0" w:color="auto"/>
        <w:right w:val="none" w:sz="0" w:space="0" w:color="auto"/>
      </w:divBdr>
    </w:div>
    <w:div w:id="1137841913">
      <w:bodyDiv w:val="1"/>
      <w:marLeft w:val="0"/>
      <w:marRight w:val="0"/>
      <w:marTop w:val="0"/>
      <w:marBottom w:val="0"/>
      <w:divBdr>
        <w:top w:val="none" w:sz="0" w:space="0" w:color="auto"/>
        <w:left w:val="none" w:sz="0" w:space="0" w:color="auto"/>
        <w:bottom w:val="none" w:sz="0" w:space="0" w:color="auto"/>
        <w:right w:val="none" w:sz="0" w:space="0" w:color="auto"/>
      </w:divBdr>
    </w:div>
    <w:div w:id="1138036949">
      <w:bodyDiv w:val="1"/>
      <w:marLeft w:val="0"/>
      <w:marRight w:val="0"/>
      <w:marTop w:val="0"/>
      <w:marBottom w:val="0"/>
      <w:divBdr>
        <w:top w:val="none" w:sz="0" w:space="0" w:color="auto"/>
        <w:left w:val="none" w:sz="0" w:space="0" w:color="auto"/>
        <w:bottom w:val="none" w:sz="0" w:space="0" w:color="auto"/>
        <w:right w:val="none" w:sz="0" w:space="0" w:color="auto"/>
      </w:divBdr>
    </w:div>
    <w:div w:id="1138064049">
      <w:bodyDiv w:val="1"/>
      <w:marLeft w:val="0"/>
      <w:marRight w:val="0"/>
      <w:marTop w:val="0"/>
      <w:marBottom w:val="0"/>
      <w:divBdr>
        <w:top w:val="none" w:sz="0" w:space="0" w:color="auto"/>
        <w:left w:val="none" w:sz="0" w:space="0" w:color="auto"/>
        <w:bottom w:val="none" w:sz="0" w:space="0" w:color="auto"/>
        <w:right w:val="none" w:sz="0" w:space="0" w:color="auto"/>
      </w:divBdr>
    </w:div>
    <w:div w:id="1138109435">
      <w:bodyDiv w:val="1"/>
      <w:marLeft w:val="0"/>
      <w:marRight w:val="0"/>
      <w:marTop w:val="0"/>
      <w:marBottom w:val="0"/>
      <w:divBdr>
        <w:top w:val="none" w:sz="0" w:space="0" w:color="auto"/>
        <w:left w:val="none" w:sz="0" w:space="0" w:color="auto"/>
        <w:bottom w:val="none" w:sz="0" w:space="0" w:color="auto"/>
        <w:right w:val="none" w:sz="0" w:space="0" w:color="auto"/>
      </w:divBdr>
    </w:div>
    <w:div w:id="1138180292">
      <w:bodyDiv w:val="1"/>
      <w:marLeft w:val="0"/>
      <w:marRight w:val="0"/>
      <w:marTop w:val="0"/>
      <w:marBottom w:val="0"/>
      <w:divBdr>
        <w:top w:val="none" w:sz="0" w:space="0" w:color="auto"/>
        <w:left w:val="none" w:sz="0" w:space="0" w:color="auto"/>
        <w:bottom w:val="none" w:sz="0" w:space="0" w:color="auto"/>
        <w:right w:val="none" w:sz="0" w:space="0" w:color="auto"/>
      </w:divBdr>
    </w:div>
    <w:div w:id="1138187181">
      <w:bodyDiv w:val="1"/>
      <w:marLeft w:val="0"/>
      <w:marRight w:val="0"/>
      <w:marTop w:val="0"/>
      <w:marBottom w:val="0"/>
      <w:divBdr>
        <w:top w:val="none" w:sz="0" w:space="0" w:color="auto"/>
        <w:left w:val="none" w:sz="0" w:space="0" w:color="auto"/>
        <w:bottom w:val="none" w:sz="0" w:space="0" w:color="auto"/>
        <w:right w:val="none" w:sz="0" w:space="0" w:color="auto"/>
      </w:divBdr>
    </w:div>
    <w:div w:id="1138260751">
      <w:bodyDiv w:val="1"/>
      <w:marLeft w:val="0"/>
      <w:marRight w:val="0"/>
      <w:marTop w:val="0"/>
      <w:marBottom w:val="0"/>
      <w:divBdr>
        <w:top w:val="none" w:sz="0" w:space="0" w:color="auto"/>
        <w:left w:val="none" w:sz="0" w:space="0" w:color="auto"/>
        <w:bottom w:val="none" w:sz="0" w:space="0" w:color="auto"/>
        <w:right w:val="none" w:sz="0" w:space="0" w:color="auto"/>
      </w:divBdr>
    </w:div>
    <w:div w:id="1138456820">
      <w:bodyDiv w:val="1"/>
      <w:marLeft w:val="0"/>
      <w:marRight w:val="0"/>
      <w:marTop w:val="0"/>
      <w:marBottom w:val="0"/>
      <w:divBdr>
        <w:top w:val="none" w:sz="0" w:space="0" w:color="auto"/>
        <w:left w:val="none" w:sz="0" w:space="0" w:color="auto"/>
        <w:bottom w:val="none" w:sz="0" w:space="0" w:color="auto"/>
        <w:right w:val="none" w:sz="0" w:space="0" w:color="auto"/>
      </w:divBdr>
    </w:div>
    <w:div w:id="1138887207">
      <w:bodyDiv w:val="1"/>
      <w:marLeft w:val="0"/>
      <w:marRight w:val="0"/>
      <w:marTop w:val="0"/>
      <w:marBottom w:val="0"/>
      <w:divBdr>
        <w:top w:val="none" w:sz="0" w:space="0" w:color="auto"/>
        <w:left w:val="none" w:sz="0" w:space="0" w:color="auto"/>
        <w:bottom w:val="none" w:sz="0" w:space="0" w:color="auto"/>
        <w:right w:val="none" w:sz="0" w:space="0" w:color="auto"/>
      </w:divBdr>
    </w:div>
    <w:div w:id="1139033108">
      <w:bodyDiv w:val="1"/>
      <w:marLeft w:val="0"/>
      <w:marRight w:val="0"/>
      <w:marTop w:val="0"/>
      <w:marBottom w:val="0"/>
      <w:divBdr>
        <w:top w:val="none" w:sz="0" w:space="0" w:color="auto"/>
        <w:left w:val="none" w:sz="0" w:space="0" w:color="auto"/>
        <w:bottom w:val="none" w:sz="0" w:space="0" w:color="auto"/>
        <w:right w:val="none" w:sz="0" w:space="0" w:color="auto"/>
      </w:divBdr>
    </w:div>
    <w:div w:id="1139111739">
      <w:bodyDiv w:val="1"/>
      <w:marLeft w:val="0"/>
      <w:marRight w:val="0"/>
      <w:marTop w:val="0"/>
      <w:marBottom w:val="0"/>
      <w:divBdr>
        <w:top w:val="none" w:sz="0" w:space="0" w:color="auto"/>
        <w:left w:val="none" w:sz="0" w:space="0" w:color="auto"/>
        <w:bottom w:val="none" w:sz="0" w:space="0" w:color="auto"/>
        <w:right w:val="none" w:sz="0" w:space="0" w:color="auto"/>
      </w:divBdr>
    </w:div>
    <w:div w:id="1139149592">
      <w:bodyDiv w:val="1"/>
      <w:marLeft w:val="0"/>
      <w:marRight w:val="0"/>
      <w:marTop w:val="0"/>
      <w:marBottom w:val="0"/>
      <w:divBdr>
        <w:top w:val="none" w:sz="0" w:space="0" w:color="auto"/>
        <w:left w:val="none" w:sz="0" w:space="0" w:color="auto"/>
        <w:bottom w:val="none" w:sz="0" w:space="0" w:color="auto"/>
        <w:right w:val="none" w:sz="0" w:space="0" w:color="auto"/>
      </w:divBdr>
    </w:div>
    <w:div w:id="1139424122">
      <w:bodyDiv w:val="1"/>
      <w:marLeft w:val="0"/>
      <w:marRight w:val="0"/>
      <w:marTop w:val="0"/>
      <w:marBottom w:val="0"/>
      <w:divBdr>
        <w:top w:val="none" w:sz="0" w:space="0" w:color="auto"/>
        <w:left w:val="none" w:sz="0" w:space="0" w:color="auto"/>
        <w:bottom w:val="none" w:sz="0" w:space="0" w:color="auto"/>
        <w:right w:val="none" w:sz="0" w:space="0" w:color="auto"/>
      </w:divBdr>
    </w:div>
    <w:div w:id="1139566778">
      <w:bodyDiv w:val="1"/>
      <w:marLeft w:val="0"/>
      <w:marRight w:val="0"/>
      <w:marTop w:val="0"/>
      <w:marBottom w:val="0"/>
      <w:divBdr>
        <w:top w:val="none" w:sz="0" w:space="0" w:color="auto"/>
        <w:left w:val="none" w:sz="0" w:space="0" w:color="auto"/>
        <w:bottom w:val="none" w:sz="0" w:space="0" w:color="auto"/>
        <w:right w:val="none" w:sz="0" w:space="0" w:color="auto"/>
      </w:divBdr>
    </w:div>
    <w:div w:id="1139568731">
      <w:bodyDiv w:val="1"/>
      <w:marLeft w:val="0"/>
      <w:marRight w:val="0"/>
      <w:marTop w:val="0"/>
      <w:marBottom w:val="0"/>
      <w:divBdr>
        <w:top w:val="none" w:sz="0" w:space="0" w:color="auto"/>
        <w:left w:val="none" w:sz="0" w:space="0" w:color="auto"/>
        <w:bottom w:val="none" w:sz="0" w:space="0" w:color="auto"/>
        <w:right w:val="none" w:sz="0" w:space="0" w:color="auto"/>
      </w:divBdr>
    </w:div>
    <w:div w:id="1139609659">
      <w:bodyDiv w:val="1"/>
      <w:marLeft w:val="0"/>
      <w:marRight w:val="0"/>
      <w:marTop w:val="0"/>
      <w:marBottom w:val="0"/>
      <w:divBdr>
        <w:top w:val="none" w:sz="0" w:space="0" w:color="auto"/>
        <w:left w:val="none" w:sz="0" w:space="0" w:color="auto"/>
        <w:bottom w:val="none" w:sz="0" w:space="0" w:color="auto"/>
        <w:right w:val="none" w:sz="0" w:space="0" w:color="auto"/>
      </w:divBdr>
    </w:div>
    <w:div w:id="1140028909">
      <w:bodyDiv w:val="1"/>
      <w:marLeft w:val="0"/>
      <w:marRight w:val="0"/>
      <w:marTop w:val="0"/>
      <w:marBottom w:val="0"/>
      <w:divBdr>
        <w:top w:val="none" w:sz="0" w:space="0" w:color="auto"/>
        <w:left w:val="none" w:sz="0" w:space="0" w:color="auto"/>
        <w:bottom w:val="none" w:sz="0" w:space="0" w:color="auto"/>
        <w:right w:val="none" w:sz="0" w:space="0" w:color="auto"/>
      </w:divBdr>
    </w:div>
    <w:div w:id="1140197575">
      <w:bodyDiv w:val="1"/>
      <w:marLeft w:val="0"/>
      <w:marRight w:val="0"/>
      <w:marTop w:val="0"/>
      <w:marBottom w:val="0"/>
      <w:divBdr>
        <w:top w:val="none" w:sz="0" w:space="0" w:color="auto"/>
        <w:left w:val="none" w:sz="0" w:space="0" w:color="auto"/>
        <w:bottom w:val="none" w:sz="0" w:space="0" w:color="auto"/>
        <w:right w:val="none" w:sz="0" w:space="0" w:color="auto"/>
      </w:divBdr>
    </w:div>
    <w:div w:id="1140339783">
      <w:bodyDiv w:val="1"/>
      <w:marLeft w:val="0"/>
      <w:marRight w:val="0"/>
      <w:marTop w:val="0"/>
      <w:marBottom w:val="0"/>
      <w:divBdr>
        <w:top w:val="none" w:sz="0" w:space="0" w:color="auto"/>
        <w:left w:val="none" w:sz="0" w:space="0" w:color="auto"/>
        <w:bottom w:val="none" w:sz="0" w:space="0" w:color="auto"/>
        <w:right w:val="none" w:sz="0" w:space="0" w:color="auto"/>
      </w:divBdr>
    </w:div>
    <w:div w:id="1140536585">
      <w:bodyDiv w:val="1"/>
      <w:marLeft w:val="0"/>
      <w:marRight w:val="0"/>
      <w:marTop w:val="0"/>
      <w:marBottom w:val="0"/>
      <w:divBdr>
        <w:top w:val="none" w:sz="0" w:space="0" w:color="auto"/>
        <w:left w:val="none" w:sz="0" w:space="0" w:color="auto"/>
        <w:bottom w:val="none" w:sz="0" w:space="0" w:color="auto"/>
        <w:right w:val="none" w:sz="0" w:space="0" w:color="auto"/>
      </w:divBdr>
    </w:div>
    <w:div w:id="1140607935">
      <w:bodyDiv w:val="1"/>
      <w:marLeft w:val="0"/>
      <w:marRight w:val="0"/>
      <w:marTop w:val="0"/>
      <w:marBottom w:val="0"/>
      <w:divBdr>
        <w:top w:val="none" w:sz="0" w:space="0" w:color="auto"/>
        <w:left w:val="none" w:sz="0" w:space="0" w:color="auto"/>
        <w:bottom w:val="none" w:sz="0" w:space="0" w:color="auto"/>
        <w:right w:val="none" w:sz="0" w:space="0" w:color="auto"/>
      </w:divBdr>
    </w:div>
    <w:div w:id="1140655104">
      <w:bodyDiv w:val="1"/>
      <w:marLeft w:val="0"/>
      <w:marRight w:val="0"/>
      <w:marTop w:val="0"/>
      <w:marBottom w:val="0"/>
      <w:divBdr>
        <w:top w:val="none" w:sz="0" w:space="0" w:color="auto"/>
        <w:left w:val="none" w:sz="0" w:space="0" w:color="auto"/>
        <w:bottom w:val="none" w:sz="0" w:space="0" w:color="auto"/>
        <w:right w:val="none" w:sz="0" w:space="0" w:color="auto"/>
      </w:divBdr>
    </w:div>
    <w:div w:id="1140879563">
      <w:bodyDiv w:val="1"/>
      <w:marLeft w:val="0"/>
      <w:marRight w:val="0"/>
      <w:marTop w:val="0"/>
      <w:marBottom w:val="0"/>
      <w:divBdr>
        <w:top w:val="none" w:sz="0" w:space="0" w:color="auto"/>
        <w:left w:val="none" w:sz="0" w:space="0" w:color="auto"/>
        <w:bottom w:val="none" w:sz="0" w:space="0" w:color="auto"/>
        <w:right w:val="none" w:sz="0" w:space="0" w:color="auto"/>
      </w:divBdr>
    </w:div>
    <w:div w:id="1140995968">
      <w:bodyDiv w:val="1"/>
      <w:marLeft w:val="0"/>
      <w:marRight w:val="0"/>
      <w:marTop w:val="0"/>
      <w:marBottom w:val="0"/>
      <w:divBdr>
        <w:top w:val="none" w:sz="0" w:space="0" w:color="auto"/>
        <w:left w:val="none" w:sz="0" w:space="0" w:color="auto"/>
        <w:bottom w:val="none" w:sz="0" w:space="0" w:color="auto"/>
        <w:right w:val="none" w:sz="0" w:space="0" w:color="auto"/>
      </w:divBdr>
    </w:div>
    <w:div w:id="1141267939">
      <w:bodyDiv w:val="1"/>
      <w:marLeft w:val="0"/>
      <w:marRight w:val="0"/>
      <w:marTop w:val="0"/>
      <w:marBottom w:val="0"/>
      <w:divBdr>
        <w:top w:val="none" w:sz="0" w:space="0" w:color="auto"/>
        <w:left w:val="none" w:sz="0" w:space="0" w:color="auto"/>
        <w:bottom w:val="none" w:sz="0" w:space="0" w:color="auto"/>
        <w:right w:val="none" w:sz="0" w:space="0" w:color="auto"/>
      </w:divBdr>
    </w:div>
    <w:div w:id="1141340027">
      <w:bodyDiv w:val="1"/>
      <w:marLeft w:val="0"/>
      <w:marRight w:val="0"/>
      <w:marTop w:val="0"/>
      <w:marBottom w:val="0"/>
      <w:divBdr>
        <w:top w:val="none" w:sz="0" w:space="0" w:color="auto"/>
        <w:left w:val="none" w:sz="0" w:space="0" w:color="auto"/>
        <w:bottom w:val="none" w:sz="0" w:space="0" w:color="auto"/>
        <w:right w:val="none" w:sz="0" w:space="0" w:color="auto"/>
      </w:divBdr>
    </w:div>
    <w:div w:id="1141340669">
      <w:bodyDiv w:val="1"/>
      <w:marLeft w:val="0"/>
      <w:marRight w:val="0"/>
      <w:marTop w:val="0"/>
      <w:marBottom w:val="0"/>
      <w:divBdr>
        <w:top w:val="none" w:sz="0" w:space="0" w:color="auto"/>
        <w:left w:val="none" w:sz="0" w:space="0" w:color="auto"/>
        <w:bottom w:val="none" w:sz="0" w:space="0" w:color="auto"/>
        <w:right w:val="none" w:sz="0" w:space="0" w:color="auto"/>
      </w:divBdr>
    </w:div>
    <w:div w:id="1141342120">
      <w:bodyDiv w:val="1"/>
      <w:marLeft w:val="0"/>
      <w:marRight w:val="0"/>
      <w:marTop w:val="0"/>
      <w:marBottom w:val="0"/>
      <w:divBdr>
        <w:top w:val="none" w:sz="0" w:space="0" w:color="auto"/>
        <w:left w:val="none" w:sz="0" w:space="0" w:color="auto"/>
        <w:bottom w:val="none" w:sz="0" w:space="0" w:color="auto"/>
        <w:right w:val="none" w:sz="0" w:space="0" w:color="auto"/>
      </w:divBdr>
    </w:div>
    <w:div w:id="1141769774">
      <w:bodyDiv w:val="1"/>
      <w:marLeft w:val="0"/>
      <w:marRight w:val="0"/>
      <w:marTop w:val="0"/>
      <w:marBottom w:val="0"/>
      <w:divBdr>
        <w:top w:val="none" w:sz="0" w:space="0" w:color="auto"/>
        <w:left w:val="none" w:sz="0" w:space="0" w:color="auto"/>
        <w:bottom w:val="none" w:sz="0" w:space="0" w:color="auto"/>
        <w:right w:val="none" w:sz="0" w:space="0" w:color="auto"/>
      </w:divBdr>
    </w:div>
    <w:div w:id="1141918260">
      <w:bodyDiv w:val="1"/>
      <w:marLeft w:val="0"/>
      <w:marRight w:val="0"/>
      <w:marTop w:val="0"/>
      <w:marBottom w:val="0"/>
      <w:divBdr>
        <w:top w:val="none" w:sz="0" w:space="0" w:color="auto"/>
        <w:left w:val="none" w:sz="0" w:space="0" w:color="auto"/>
        <w:bottom w:val="none" w:sz="0" w:space="0" w:color="auto"/>
        <w:right w:val="none" w:sz="0" w:space="0" w:color="auto"/>
      </w:divBdr>
    </w:div>
    <w:div w:id="1141921999">
      <w:bodyDiv w:val="1"/>
      <w:marLeft w:val="0"/>
      <w:marRight w:val="0"/>
      <w:marTop w:val="0"/>
      <w:marBottom w:val="0"/>
      <w:divBdr>
        <w:top w:val="none" w:sz="0" w:space="0" w:color="auto"/>
        <w:left w:val="none" w:sz="0" w:space="0" w:color="auto"/>
        <w:bottom w:val="none" w:sz="0" w:space="0" w:color="auto"/>
        <w:right w:val="none" w:sz="0" w:space="0" w:color="auto"/>
      </w:divBdr>
    </w:div>
    <w:div w:id="1141925634">
      <w:bodyDiv w:val="1"/>
      <w:marLeft w:val="0"/>
      <w:marRight w:val="0"/>
      <w:marTop w:val="0"/>
      <w:marBottom w:val="0"/>
      <w:divBdr>
        <w:top w:val="none" w:sz="0" w:space="0" w:color="auto"/>
        <w:left w:val="none" w:sz="0" w:space="0" w:color="auto"/>
        <w:bottom w:val="none" w:sz="0" w:space="0" w:color="auto"/>
        <w:right w:val="none" w:sz="0" w:space="0" w:color="auto"/>
      </w:divBdr>
    </w:div>
    <w:div w:id="1142117334">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187067">
      <w:bodyDiv w:val="1"/>
      <w:marLeft w:val="0"/>
      <w:marRight w:val="0"/>
      <w:marTop w:val="0"/>
      <w:marBottom w:val="0"/>
      <w:divBdr>
        <w:top w:val="none" w:sz="0" w:space="0" w:color="auto"/>
        <w:left w:val="none" w:sz="0" w:space="0" w:color="auto"/>
        <w:bottom w:val="none" w:sz="0" w:space="0" w:color="auto"/>
        <w:right w:val="none" w:sz="0" w:space="0" w:color="auto"/>
      </w:divBdr>
    </w:div>
    <w:div w:id="1142187544">
      <w:bodyDiv w:val="1"/>
      <w:marLeft w:val="0"/>
      <w:marRight w:val="0"/>
      <w:marTop w:val="0"/>
      <w:marBottom w:val="0"/>
      <w:divBdr>
        <w:top w:val="none" w:sz="0" w:space="0" w:color="auto"/>
        <w:left w:val="none" w:sz="0" w:space="0" w:color="auto"/>
        <w:bottom w:val="none" w:sz="0" w:space="0" w:color="auto"/>
        <w:right w:val="none" w:sz="0" w:space="0" w:color="auto"/>
      </w:divBdr>
    </w:div>
    <w:div w:id="1142314061">
      <w:bodyDiv w:val="1"/>
      <w:marLeft w:val="0"/>
      <w:marRight w:val="0"/>
      <w:marTop w:val="0"/>
      <w:marBottom w:val="0"/>
      <w:divBdr>
        <w:top w:val="none" w:sz="0" w:space="0" w:color="auto"/>
        <w:left w:val="none" w:sz="0" w:space="0" w:color="auto"/>
        <w:bottom w:val="none" w:sz="0" w:space="0" w:color="auto"/>
        <w:right w:val="none" w:sz="0" w:space="0" w:color="auto"/>
      </w:divBdr>
    </w:div>
    <w:div w:id="1142426340">
      <w:bodyDiv w:val="1"/>
      <w:marLeft w:val="0"/>
      <w:marRight w:val="0"/>
      <w:marTop w:val="0"/>
      <w:marBottom w:val="0"/>
      <w:divBdr>
        <w:top w:val="none" w:sz="0" w:space="0" w:color="auto"/>
        <w:left w:val="none" w:sz="0" w:space="0" w:color="auto"/>
        <w:bottom w:val="none" w:sz="0" w:space="0" w:color="auto"/>
        <w:right w:val="none" w:sz="0" w:space="0" w:color="auto"/>
      </w:divBdr>
    </w:div>
    <w:div w:id="1142649118">
      <w:bodyDiv w:val="1"/>
      <w:marLeft w:val="0"/>
      <w:marRight w:val="0"/>
      <w:marTop w:val="0"/>
      <w:marBottom w:val="0"/>
      <w:divBdr>
        <w:top w:val="none" w:sz="0" w:space="0" w:color="auto"/>
        <w:left w:val="none" w:sz="0" w:space="0" w:color="auto"/>
        <w:bottom w:val="none" w:sz="0" w:space="0" w:color="auto"/>
        <w:right w:val="none" w:sz="0" w:space="0" w:color="auto"/>
      </w:divBdr>
    </w:div>
    <w:div w:id="1142770350">
      <w:bodyDiv w:val="1"/>
      <w:marLeft w:val="0"/>
      <w:marRight w:val="0"/>
      <w:marTop w:val="0"/>
      <w:marBottom w:val="0"/>
      <w:divBdr>
        <w:top w:val="none" w:sz="0" w:space="0" w:color="auto"/>
        <w:left w:val="none" w:sz="0" w:space="0" w:color="auto"/>
        <w:bottom w:val="none" w:sz="0" w:space="0" w:color="auto"/>
        <w:right w:val="none" w:sz="0" w:space="0" w:color="auto"/>
      </w:divBdr>
    </w:div>
    <w:div w:id="1142844553">
      <w:bodyDiv w:val="1"/>
      <w:marLeft w:val="0"/>
      <w:marRight w:val="0"/>
      <w:marTop w:val="0"/>
      <w:marBottom w:val="0"/>
      <w:divBdr>
        <w:top w:val="none" w:sz="0" w:space="0" w:color="auto"/>
        <w:left w:val="none" w:sz="0" w:space="0" w:color="auto"/>
        <w:bottom w:val="none" w:sz="0" w:space="0" w:color="auto"/>
        <w:right w:val="none" w:sz="0" w:space="0" w:color="auto"/>
      </w:divBdr>
    </w:div>
    <w:div w:id="1142969629">
      <w:bodyDiv w:val="1"/>
      <w:marLeft w:val="0"/>
      <w:marRight w:val="0"/>
      <w:marTop w:val="0"/>
      <w:marBottom w:val="0"/>
      <w:divBdr>
        <w:top w:val="none" w:sz="0" w:space="0" w:color="auto"/>
        <w:left w:val="none" w:sz="0" w:space="0" w:color="auto"/>
        <w:bottom w:val="none" w:sz="0" w:space="0" w:color="auto"/>
        <w:right w:val="none" w:sz="0" w:space="0" w:color="auto"/>
      </w:divBdr>
    </w:div>
    <w:div w:id="1143039583">
      <w:bodyDiv w:val="1"/>
      <w:marLeft w:val="0"/>
      <w:marRight w:val="0"/>
      <w:marTop w:val="0"/>
      <w:marBottom w:val="0"/>
      <w:divBdr>
        <w:top w:val="none" w:sz="0" w:space="0" w:color="auto"/>
        <w:left w:val="none" w:sz="0" w:space="0" w:color="auto"/>
        <w:bottom w:val="none" w:sz="0" w:space="0" w:color="auto"/>
        <w:right w:val="none" w:sz="0" w:space="0" w:color="auto"/>
      </w:divBdr>
    </w:div>
    <w:div w:id="1143304296">
      <w:bodyDiv w:val="1"/>
      <w:marLeft w:val="0"/>
      <w:marRight w:val="0"/>
      <w:marTop w:val="0"/>
      <w:marBottom w:val="0"/>
      <w:divBdr>
        <w:top w:val="none" w:sz="0" w:space="0" w:color="auto"/>
        <w:left w:val="none" w:sz="0" w:space="0" w:color="auto"/>
        <w:bottom w:val="none" w:sz="0" w:space="0" w:color="auto"/>
        <w:right w:val="none" w:sz="0" w:space="0" w:color="auto"/>
      </w:divBdr>
    </w:div>
    <w:div w:id="1143426614">
      <w:bodyDiv w:val="1"/>
      <w:marLeft w:val="0"/>
      <w:marRight w:val="0"/>
      <w:marTop w:val="0"/>
      <w:marBottom w:val="0"/>
      <w:divBdr>
        <w:top w:val="none" w:sz="0" w:space="0" w:color="auto"/>
        <w:left w:val="none" w:sz="0" w:space="0" w:color="auto"/>
        <w:bottom w:val="none" w:sz="0" w:space="0" w:color="auto"/>
        <w:right w:val="none" w:sz="0" w:space="0" w:color="auto"/>
      </w:divBdr>
    </w:div>
    <w:div w:id="1143473588">
      <w:bodyDiv w:val="1"/>
      <w:marLeft w:val="0"/>
      <w:marRight w:val="0"/>
      <w:marTop w:val="0"/>
      <w:marBottom w:val="0"/>
      <w:divBdr>
        <w:top w:val="none" w:sz="0" w:space="0" w:color="auto"/>
        <w:left w:val="none" w:sz="0" w:space="0" w:color="auto"/>
        <w:bottom w:val="none" w:sz="0" w:space="0" w:color="auto"/>
        <w:right w:val="none" w:sz="0" w:space="0" w:color="auto"/>
      </w:divBdr>
    </w:div>
    <w:div w:id="1143545754">
      <w:bodyDiv w:val="1"/>
      <w:marLeft w:val="0"/>
      <w:marRight w:val="0"/>
      <w:marTop w:val="0"/>
      <w:marBottom w:val="0"/>
      <w:divBdr>
        <w:top w:val="none" w:sz="0" w:space="0" w:color="auto"/>
        <w:left w:val="none" w:sz="0" w:space="0" w:color="auto"/>
        <w:bottom w:val="none" w:sz="0" w:space="0" w:color="auto"/>
        <w:right w:val="none" w:sz="0" w:space="0" w:color="auto"/>
      </w:divBdr>
    </w:div>
    <w:div w:id="1143817054">
      <w:bodyDiv w:val="1"/>
      <w:marLeft w:val="0"/>
      <w:marRight w:val="0"/>
      <w:marTop w:val="0"/>
      <w:marBottom w:val="0"/>
      <w:divBdr>
        <w:top w:val="none" w:sz="0" w:space="0" w:color="auto"/>
        <w:left w:val="none" w:sz="0" w:space="0" w:color="auto"/>
        <w:bottom w:val="none" w:sz="0" w:space="0" w:color="auto"/>
        <w:right w:val="none" w:sz="0" w:space="0" w:color="auto"/>
      </w:divBdr>
    </w:div>
    <w:div w:id="1144393255">
      <w:bodyDiv w:val="1"/>
      <w:marLeft w:val="0"/>
      <w:marRight w:val="0"/>
      <w:marTop w:val="0"/>
      <w:marBottom w:val="0"/>
      <w:divBdr>
        <w:top w:val="none" w:sz="0" w:space="0" w:color="auto"/>
        <w:left w:val="none" w:sz="0" w:space="0" w:color="auto"/>
        <w:bottom w:val="none" w:sz="0" w:space="0" w:color="auto"/>
        <w:right w:val="none" w:sz="0" w:space="0" w:color="auto"/>
      </w:divBdr>
    </w:div>
    <w:div w:id="1144464782">
      <w:bodyDiv w:val="1"/>
      <w:marLeft w:val="0"/>
      <w:marRight w:val="0"/>
      <w:marTop w:val="0"/>
      <w:marBottom w:val="0"/>
      <w:divBdr>
        <w:top w:val="none" w:sz="0" w:space="0" w:color="auto"/>
        <w:left w:val="none" w:sz="0" w:space="0" w:color="auto"/>
        <w:bottom w:val="none" w:sz="0" w:space="0" w:color="auto"/>
        <w:right w:val="none" w:sz="0" w:space="0" w:color="auto"/>
      </w:divBdr>
    </w:div>
    <w:div w:id="1144658951">
      <w:bodyDiv w:val="1"/>
      <w:marLeft w:val="0"/>
      <w:marRight w:val="0"/>
      <w:marTop w:val="0"/>
      <w:marBottom w:val="0"/>
      <w:divBdr>
        <w:top w:val="none" w:sz="0" w:space="0" w:color="auto"/>
        <w:left w:val="none" w:sz="0" w:space="0" w:color="auto"/>
        <w:bottom w:val="none" w:sz="0" w:space="0" w:color="auto"/>
        <w:right w:val="none" w:sz="0" w:space="0" w:color="auto"/>
      </w:divBdr>
    </w:div>
    <w:div w:id="1144850945">
      <w:bodyDiv w:val="1"/>
      <w:marLeft w:val="0"/>
      <w:marRight w:val="0"/>
      <w:marTop w:val="0"/>
      <w:marBottom w:val="0"/>
      <w:divBdr>
        <w:top w:val="none" w:sz="0" w:space="0" w:color="auto"/>
        <w:left w:val="none" w:sz="0" w:space="0" w:color="auto"/>
        <w:bottom w:val="none" w:sz="0" w:space="0" w:color="auto"/>
        <w:right w:val="none" w:sz="0" w:space="0" w:color="auto"/>
      </w:divBdr>
    </w:div>
    <w:div w:id="1144853344">
      <w:bodyDiv w:val="1"/>
      <w:marLeft w:val="0"/>
      <w:marRight w:val="0"/>
      <w:marTop w:val="0"/>
      <w:marBottom w:val="0"/>
      <w:divBdr>
        <w:top w:val="none" w:sz="0" w:space="0" w:color="auto"/>
        <w:left w:val="none" w:sz="0" w:space="0" w:color="auto"/>
        <w:bottom w:val="none" w:sz="0" w:space="0" w:color="auto"/>
        <w:right w:val="none" w:sz="0" w:space="0" w:color="auto"/>
      </w:divBdr>
    </w:div>
    <w:div w:id="1144928388">
      <w:bodyDiv w:val="1"/>
      <w:marLeft w:val="0"/>
      <w:marRight w:val="0"/>
      <w:marTop w:val="0"/>
      <w:marBottom w:val="0"/>
      <w:divBdr>
        <w:top w:val="none" w:sz="0" w:space="0" w:color="auto"/>
        <w:left w:val="none" w:sz="0" w:space="0" w:color="auto"/>
        <w:bottom w:val="none" w:sz="0" w:space="0" w:color="auto"/>
        <w:right w:val="none" w:sz="0" w:space="0" w:color="auto"/>
      </w:divBdr>
    </w:div>
    <w:div w:id="1145003502">
      <w:bodyDiv w:val="1"/>
      <w:marLeft w:val="0"/>
      <w:marRight w:val="0"/>
      <w:marTop w:val="0"/>
      <w:marBottom w:val="0"/>
      <w:divBdr>
        <w:top w:val="none" w:sz="0" w:space="0" w:color="auto"/>
        <w:left w:val="none" w:sz="0" w:space="0" w:color="auto"/>
        <w:bottom w:val="none" w:sz="0" w:space="0" w:color="auto"/>
        <w:right w:val="none" w:sz="0" w:space="0" w:color="auto"/>
      </w:divBdr>
    </w:div>
    <w:div w:id="1145198758">
      <w:bodyDiv w:val="1"/>
      <w:marLeft w:val="0"/>
      <w:marRight w:val="0"/>
      <w:marTop w:val="0"/>
      <w:marBottom w:val="0"/>
      <w:divBdr>
        <w:top w:val="none" w:sz="0" w:space="0" w:color="auto"/>
        <w:left w:val="none" w:sz="0" w:space="0" w:color="auto"/>
        <w:bottom w:val="none" w:sz="0" w:space="0" w:color="auto"/>
        <w:right w:val="none" w:sz="0" w:space="0" w:color="auto"/>
      </w:divBdr>
    </w:div>
    <w:div w:id="1145581586">
      <w:bodyDiv w:val="1"/>
      <w:marLeft w:val="0"/>
      <w:marRight w:val="0"/>
      <w:marTop w:val="0"/>
      <w:marBottom w:val="0"/>
      <w:divBdr>
        <w:top w:val="none" w:sz="0" w:space="0" w:color="auto"/>
        <w:left w:val="none" w:sz="0" w:space="0" w:color="auto"/>
        <w:bottom w:val="none" w:sz="0" w:space="0" w:color="auto"/>
        <w:right w:val="none" w:sz="0" w:space="0" w:color="auto"/>
      </w:divBdr>
    </w:div>
    <w:div w:id="1145589986">
      <w:bodyDiv w:val="1"/>
      <w:marLeft w:val="0"/>
      <w:marRight w:val="0"/>
      <w:marTop w:val="0"/>
      <w:marBottom w:val="0"/>
      <w:divBdr>
        <w:top w:val="none" w:sz="0" w:space="0" w:color="auto"/>
        <w:left w:val="none" w:sz="0" w:space="0" w:color="auto"/>
        <w:bottom w:val="none" w:sz="0" w:space="0" w:color="auto"/>
        <w:right w:val="none" w:sz="0" w:space="0" w:color="auto"/>
      </w:divBdr>
    </w:div>
    <w:div w:id="1145702434">
      <w:bodyDiv w:val="1"/>
      <w:marLeft w:val="0"/>
      <w:marRight w:val="0"/>
      <w:marTop w:val="0"/>
      <w:marBottom w:val="0"/>
      <w:divBdr>
        <w:top w:val="none" w:sz="0" w:space="0" w:color="auto"/>
        <w:left w:val="none" w:sz="0" w:space="0" w:color="auto"/>
        <w:bottom w:val="none" w:sz="0" w:space="0" w:color="auto"/>
        <w:right w:val="none" w:sz="0" w:space="0" w:color="auto"/>
      </w:divBdr>
    </w:div>
    <w:div w:id="1145778501">
      <w:bodyDiv w:val="1"/>
      <w:marLeft w:val="0"/>
      <w:marRight w:val="0"/>
      <w:marTop w:val="0"/>
      <w:marBottom w:val="0"/>
      <w:divBdr>
        <w:top w:val="none" w:sz="0" w:space="0" w:color="auto"/>
        <w:left w:val="none" w:sz="0" w:space="0" w:color="auto"/>
        <w:bottom w:val="none" w:sz="0" w:space="0" w:color="auto"/>
        <w:right w:val="none" w:sz="0" w:space="0" w:color="auto"/>
      </w:divBdr>
    </w:div>
    <w:div w:id="1145850297">
      <w:bodyDiv w:val="1"/>
      <w:marLeft w:val="0"/>
      <w:marRight w:val="0"/>
      <w:marTop w:val="0"/>
      <w:marBottom w:val="0"/>
      <w:divBdr>
        <w:top w:val="none" w:sz="0" w:space="0" w:color="auto"/>
        <w:left w:val="none" w:sz="0" w:space="0" w:color="auto"/>
        <w:bottom w:val="none" w:sz="0" w:space="0" w:color="auto"/>
        <w:right w:val="none" w:sz="0" w:space="0" w:color="auto"/>
      </w:divBdr>
    </w:div>
    <w:div w:id="1145851561">
      <w:bodyDiv w:val="1"/>
      <w:marLeft w:val="0"/>
      <w:marRight w:val="0"/>
      <w:marTop w:val="0"/>
      <w:marBottom w:val="0"/>
      <w:divBdr>
        <w:top w:val="none" w:sz="0" w:space="0" w:color="auto"/>
        <w:left w:val="none" w:sz="0" w:space="0" w:color="auto"/>
        <w:bottom w:val="none" w:sz="0" w:space="0" w:color="auto"/>
        <w:right w:val="none" w:sz="0" w:space="0" w:color="auto"/>
      </w:divBdr>
    </w:div>
    <w:div w:id="1145855561">
      <w:bodyDiv w:val="1"/>
      <w:marLeft w:val="0"/>
      <w:marRight w:val="0"/>
      <w:marTop w:val="0"/>
      <w:marBottom w:val="0"/>
      <w:divBdr>
        <w:top w:val="none" w:sz="0" w:space="0" w:color="auto"/>
        <w:left w:val="none" w:sz="0" w:space="0" w:color="auto"/>
        <w:bottom w:val="none" w:sz="0" w:space="0" w:color="auto"/>
        <w:right w:val="none" w:sz="0" w:space="0" w:color="auto"/>
      </w:divBdr>
    </w:div>
    <w:div w:id="1145972602">
      <w:bodyDiv w:val="1"/>
      <w:marLeft w:val="0"/>
      <w:marRight w:val="0"/>
      <w:marTop w:val="0"/>
      <w:marBottom w:val="0"/>
      <w:divBdr>
        <w:top w:val="none" w:sz="0" w:space="0" w:color="auto"/>
        <w:left w:val="none" w:sz="0" w:space="0" w:color="auto"/>
        <w:bottom w:val="none" w:sz="0" w:space="0" w:color="auto"/>
        <w:right w:val="none" w:sz="0" w:space="0" w:color="auto"/>
      </w:divBdr>
    </w:div>
    <w:div w:id="1146313014">
      <w:bodyDiv w:val="1"/>
      <w:marLeft w:val="0"/>
      <w:marRight w:val="0"/>
      <w:marTop w:val="0"/>
      <w:marBottom w:val="0"/>
      <w:divBdr>
        <w:top w:val="none" w:sz="0" w:space="0" w:color="auto"/>
        <w:left w:val="none" w:sz="0" w:space="0" w:color="auto"/>
        <w:bottom w:val="none" w:sz="0" w:space="0" w:color="auto"/>
        <w:right w:val="none" w:sz="0" w:space="0" w:color="auto"/>
      </w:divBdr>
    </w:div>
    <w:div w:id="1146313497">
      <w:bodyDiv w:val="1"/>
      <w:marLeft w:val="0"/>
      <w:marRight w:val="0"/>
      <w:marTop w:val="0"/>
      <w:marBottom w:val="0"/>
      <w:divBdr>
        <w:top w:val="none" w:sz="0" w:space="0" w:color="auto"/>
        <w:left w:val="none" w:sz="0" w:space="0" w:color="auto"/>
        <w:bottom w:val="none" w:sz="0" w:space="0" w:color="auto"/>
        <w:right w:val="none" w:sz="0" w:space="0" w:color="auto"/>
      </w:divBdr>
    </w:div>
    <w:div w:id="1146360098">
      <w:bodyDiv w:val="1"/>
      <w:marLeft w:val="0"/>
      <w:marRight w:val="0"/>
      <w:marTop w:val="0"/>
      <w:marBottom w:val="0"/>
      <w:divBdr>
        <w:top w:val="none" w:sz="0" w:space="0" w:color="auto"/>
        <w:left w:val="none" w:sz="0" w:space="0" w:color="auto"/>
        <w:bottom w:val="none" w:sz="0" w:space="0" w:color="auto"/>
        <w:right w:val="none" w:sz="0" w:space="0" w:color="auto"/>
      </w:divBdr>
    </w:div>
    <w:div w:id="1146555881">
      <w:bodyDiv w:val="1"/>
      <w:marLeft w:val="0"/>
      <w:marRight w:val="0"/>
      <w:marTop w:val="0"/>
      <w:marBottom w:val="0"/>
      <w:divBdr>
        <w:top w:val="none" w:sz="0" w:space="0" w:color="auto"/>
        <w:left w:val="none" w:sz="0" w:space="0" w:color="auto"/>
        <w:bottom w:val="none" w:sz="0" w:space="0" w:color="auto"/>
        <w:right w:val="none" w:sz="0" w:space="0" w:color="auto"/>
      </w:divBdr>
    </w:div>
    <w:div w:id="1147086811">
      <w:bodyDiv w:val="1"/>
      <w:marLeft w:val="0"/>
      <w:marRight w:val="0"/>
      <w:marTop w:val="0"/>
      <w:marBottom w:val="0"/>
      <w:divBdr>
        <w:top w:val="none" w:sz="0" w:space="0" w:color="auto"/>
        <w:left w:val="none" w:sz="0" w:space="0" w:color="auto"/>
        <w:bottom w:val="none" w:sz="0" w:space="0" w:color="auto"/>
        <w:right w:val="none" w:sz="0" w:space="0" w:color="auto"/>
      </w:divBdr>
    </w:div>
    <w:div w:id="1147089866">
      <w:bodyDiv w:val="1"/>
      <w:marLeft w:val="0"/>
      <w:marRight w:val="0"/>
      <w:marTop w:val="0"/>
      <w:marBottom w:val="0"/>
      <w:divBdr>
        <w:top w:val="none" w:sz="0" w:space="0" w:color="auto"/>
        <w:left w:val="none" w:sz="0" w:space="0" w:color="auto"/>
        <w:bottom w:val="none" w:sz="0" w:space="0" w:color="auto"/>
        <w:right w:val="none" w:sz="0" w:space="0" w:color="auto"/>
      </w:divBdr>
    </w:div>
    <w:div w:id="1147362706">
      <w:bodyDiv w:val="1"/>
      <w:marLeft w:val="0"/>
      <w:marRight w:val="0"/>
      <w:marTop w:val="0"/>
      <w:marBottom w:val="0"/>
      <w:divBdr>
        <w:top w:val="none" w:sz="0" w:space="0" w:color="auto"/>
        <w:left w:val="none" w:sz="0" w:space="0" w:color="auto"/>
        <w:bottom w:val="none" w:sz="0" w:space="0" w:color="auto"/>
        <w:right w:val="none" w:sz="0" w:space="0" w:color="auto"/>
      </w:divBdr>
    </w:div>
    <w:div w:id="1147472206">
      <w:bodyDiv w:val="1"/>
      <w:marLeft w:val="0"/>
      <w:marRight w:val="0"/>
      <w:marTop w:val="0"/>
      <w:marBottom w:val="0"/>
      <w:divBdr>
        <w:top w:val="none" w:sz="0" w:space="0" w:color="auto"/>
        <w:left w:val="none" w:sz="0" w:space="0" w:color="auto"/>
        <w:bottom w:val="none" w:sz="0" w:space="0" w:color="auto"/>
        <w:right w:val="none" w:sz="0" w:space="0" w:color="auto"/>
      </w:divBdr>
    </w:div>
    <w:div w:id="1147669218">
      <w:bodyDiv w:val="1"/>
      <w:marLeft w:val="0"/>
      <w:marRight w:val="0"/>
      <w:marTop w:val="0"/>
      <w:marBottom w:val="0"/>
      <w:divBdr>
        <w:top w:val="none" w:sz="0" w:space="0" w:color="auto"/>
        <w:left w:val="none" w:sz="0" w:space="0" w:color="auto"/>
        <w:bottom w:val="none" w:sz="0" w:space="0" w:color="auto"/>
        <w:right w:val="none" w:sz="0" w:space="0" w:color="auto"/>
      </w:divBdr>
    </w:div>
    <w:div w:id="1148282243">
      <w:bodyDiv w:val="1"/>
      <w:marLeft w:val="0"/>
      <w:marRight w:val="0"/>
      <w:marTop w:val="0"/>
      <w:marBottom w:val="0"/>
      <w:divBdr>
        <w:top w:val="none" w:sz="0" w:space="0" w:color="auto"/>
        <w:left w:val="none" w:sz="0" w:space="0" w:color="auto"/>
        <w:bottom w:val="none" w:sz="0" w:space="0" w:color="auto"/>
        <w:right w:val="none" w:sz="0" w:space="0" w:color="auto"/>
      </w:divBdr>
    </w:div>
    <w:div w:id="1148401800">
      <w:bodyDiv w:val="1"/>
      <w:marLeft w:val="0"/>
      <w:marRight w:val="0"/>
      <w:marTop w:val="0"/>
      <w:marBottom w:val="0"/>
      <w:divBdr>
        <w:top w:val="none" w:sz="0" w:space="0" w:color="auto"/>
        <w:left w:val="none" w:sz="0" w:space="0" w:color="auto"/>
        <w:bottom w:val="none" w:sz="0" w:space="0" w:color="auto"/>
        <w:right w:val="none" w:sz="0" w:space="0" w:color="auto"/>
      </w:divBdr>
    </w:div>
    <w:div w:id="1148670841">
      <w:bodyDiv w:val="1"/>
      <w:marLeft w:val="0"/>
      <w:marRight w:val="0"/>
      <w:marTop w:val="0"/>
      <w:marBottom w:val="0"/>
      <w:divBdr>
        <w:top w:val="none" w:sz="0" w:space="0" w:color="auto"/>
        <w:left w:val="none" w:sz="0" w:space="0" w:color="auto"/>
        <w:bottom w:val="none" w:sz="0" w:space="0" w:color="auto"/>
        <w:right w:val="none" w:sz="0" w:space="0" w:color="auto"/>
      </w:divBdr>
    </w:div>
    <w:div w:id="1148715396">
      <w:bodyDiv w:val="1"/>
      <w:marLeft w:val="0"/>
      <w:marRight w:val="0"/>
      <w:marTop w:val="0"/>
      <w:marBottom w:val="0"/>
      <w:divBdr>
        <w:top w:val="none" w:sz="0" w:space="0" w:color="auto"/>
        <w:left w:val="none" w:sz="0" w:space="0" w:color="auto"/>
        <w:bottom w:val="none" w:sz="0" w:space="0" w:color="auto"/>
        <w:right w:val="none" w:sz="0" w:space="0" w:color="auto"/>
      </w:divBdr>
    </w:div>
    <w:div w:id="1148783191">
      <w:bodyDiv w:val="1"/>
      <w:marLeft w:val="0"/>
      <w:marRight w:val="0"/>
      <w:marTop w:val="0"/>
      <w:marBottom w:val="0"/>
      <w:divBdr>
        <w:top w:val="none" w:sz="0" w:space="0" w:color="auto"/>
        <w:left w:val="none" w:sz="0" w:space="0" w:color="auto"/>
        <w:bottom w:val="none" w:sz="0" w:space="0" w:color="auto"/>
        <w:right w:val="none" w:sz="0" w:space="0" w:color="auto"/>
      </w:divBdr>
    </w:div>
    <w:div w:id="1149127691">
      <w:bodyDiv w:val="1"/>
      <w:marLeft w:val="0"/>
      <w:marRight w:val="0"/>
      <w:marTop w:val="0"/>
      <w:marBottom w:val="0"/>
      <w:divBdr>
        <w:top w:val="none" w:sz="0" w:space="0" w:color="auto"/>
        <w:left w:val="none" w:sz="0" w:space="0" w:color="auto"/>
        <w:bottom w:val="none" w:sz="0" w:space="0" w:color="auto"/>
        <w:right w:val="none" w:sz="0" w:space="0" w:color="auto"/>
      </w:divBdr>
    </w:div>
    <w:div w:id="1149128760">
      <w:bodyDiv w:val="1"/>
      <w:marLeft w:val="0"/>
      <w:marRight w:val="0"/>
      <w:marTop w:val="0"/>
      <w:marBottom w:val="0"/>
      <w:divBdr>
        <w:top w:val="none" w:sz="0" w:space="0" w:color="auto"/>
        <w:left w:val="none" w:sz="0" w:space="0" w:color="auto"/>
        <w:bottom w:val="none" w:sz="0" w:space="0" w:color="auto"/>
        <w:right w:val="none" w:sz="0" w:space="0" w:color="auto"/>
      </w:divBdr>
    </w:div>
    <w:div w:id="1149134289">
      <w:bodyDiv w:val="1"/>
      <w:marLeft w:val="0"/>
      <w:marRight w:val="0"/>
      <w:marTop w:val="0"/>
      <w:marBottom w:val="0"/>
      <w:divBdr>
        <w:top w:val="none" w:sz="0" w:space="0" w:color="auto"/>
        <w:left w:val="none" w:sz="0" w:space="0" w:color="auto"/>
        <w:bottom w:val="none" w:sz="0" w:space="0" w:color="auto"/>
        <w:right w:val="none" w:sz="0" w:space="0" w:color="auto"/>
      </w:divBdr>
    </w:div>
    <w:div w:id="1149204264">
      <w:bodyDiv w:val="1"/>
      <w:marLeft w:val="0"/>
      <w:marRight w:val="0"/>
      <w:marTop w:val="0"/>
      <w:marBottom w:val="0"/>
      <w:divBdr>
        <w:top w:val="none" w:sz="0" w:space="0" w:color="auto"/>
        <w:left w:val="none" w:sz="0" w:space="0" w:color="auto"/>
        <w:bottom w:val="none" w:sz="0" w:space="0" w:color="auto"/>
        <w:right w:val="none" w:sz="0" w:space="0" w:color="auto"/>
      </w:divBdr>
    </w:div>
    <w:div w:id="1149250076">
      <w:bodyDiv w:val="1"/>
      <w:marLeft w:val="0"/>
      <w:marRight w:val="0"/>
      <w:marTop w:val="0"/>
      <w:marBottom w:val="0"/>
      <w:divBdr>
        <w:top w:val="none" w:sz="0" w:space="0" w:color="auto"/>
        <w:left w:val="none" w:sz="0" w:space="0" w:color="auto"/>
        <w:bottom w:val="none" w:sz="0" w:space="0" w:color="auto"/>
        <w:right w:val="none" w:sz="0" w:space="0" w:color="auto"/>
      </w:divBdr>
    </w:div>
    <w:div w:id="1149325080">
      <w:bodyDiv w:val="1"/>
      <w:marLeft w:val="0"/>
      <w:marRight w:val="0"/>
      <w:marTop w:val="0"/>
      <w:marBottom w:val="0"/>
      <w:divBdr>
        <w:top w:val="none" w:sz="0" w:space="0" w:color="auto"/>
        <w:left w:val="none" w:sz="0" w:space="0" w:color="auto"/>
        <w:bottom w:val="none" w:sz="0" w:space="0" w:color="auto"/>
        <w:right w:val="none" w:sz="0" w:space="0" w:color="auto"/>
      </w:divBdr>
    </w:div>
    <w:div w:id="1149326876">
      <w:bodyDiv w:val="1"/>
      <w:marLeft w:val="0"/>
      <w:marRight w:val="0"/>
      <w:marTop w:val="0"/>
      <w:marBottom w:val="0"/>
      <w:divBdr>
        <w:top w:val="none" w:sz="0" w:space="0" w:color="auto"/>
        <w:left w:val="none" w:sz="0" w:space="0" w:color="auto"/>
        <w:bottom w:val="none" w:sz="0" w:space="0" w:color="auto"/>
        <w:right w:val="none" w:sz="0" w:space="0" w:color="auto"/>
      </w:divBdr>
    </w:div>
    <w:div w:id="1149401168">
      <w:bodyDiv w:val="1"/>
      <w:marLeft w:val="0"/>
      <w:marRight w:val="0"/>
      <w:marTop w:val="0"/>
      <w:marBottom w:val="0"/>
      <w:divBdr>
        <w:top w:val="none" w:sz="0" w:space="0" w:color="auto"/>
        <w:left w:val="none" w:sz="0" w:space="0" w:color="auto"/>
        <w:bottom w:val="none" w:sz="0" w:space="0" w:color="auto"/>
        <w:right w:val="none" w:sz="0" w:space="0" w:color="auto"/>
      </w:divBdr>
    </w:div>
    <w:div w:id="1149517057">
      <w:bodyDiv w:val="1"/>
      <w:marLeft w:val="0"/>
      <w:marRight w:val="0"/>
      <w:marTop w:val="0"/>
      <w:marBottom w:val="0"/>
      <w:divBdr>
        <w:top w:val="none" w:sz="0" w:space="0" w:color="auto"/>
        <w:left w:val="none" w:sz="0" w:space="0" w:color="auto"/>
        <w:bottom w:val="none" w:sz="0" w:space="0" w:color="auto"/>
        <w:right w:val="none" w:sz="0" w:space="0" w:color="auto"/>
      </w:divBdr>
    </w:div>
    <w:div w:id="1149711310">
      <w:bodyDiv w:val="1"/>
      <w:marLeft w:val="0"/>
      <w:marRight w:val="0"/>
      <w:marTop w:val="0"/>
      <w:marBottom w:val="0"/>
      <w:divBdr>
        <w:top w:val="none" w:sz="0" w:space="0" w:color="auto"/>
        <w:left w:val="none" w:sz="0" w:space="0" w:color="auto"/>
        <w:bottom w:val="none" w:sz="0" w:space="0" w:color="auto"/>
        <w:right w:val="none" w:sz="0" w:space="0" w:color="auto"/>
      </w:divBdr>
    </w:div>
    <w:div w:id="1149789912">
      <w:bodyDiv w:val="1"/>
      <w:marLeft w:val="0"/>
      <w:marRight w:val="0"/>
      <w:marTop w:val="0"/>
      <w:marBottom w:val="0"/>
      <w:divBdr>
        <w:top w:val="none" w:sz="0" w:space="0" w:color="auto"/>
        <w:left w:val="none" w:sz="0" w:space="0" w:color="auto"/>
        <w:bottom w:val="none" w:sz="0" w:space="0" w:color="auto"/>
        <w:right w:val="none" w:sz="0" w:space="0" w:color="auto"/>
      </w:divBdr>
    </w:div>
    <w:div w:id="1149832269">
      <w:bodyDiv w:val="1"/>
      <w:marLeft w:val="0"/>
      <w:marRight w:val="0"/>
      <w:marTop w:val="0"/>
      <w:marBottom w:val="0"/>
      <w:divBdr>
        <w:top w:val="none" w:sz="0" w:space="0" w:color="auto"/>
        <w:left w:val="none" w:sz="0" w:space="0" w:color="auto"/>
        <w:bottom w:val="none" w:sz="0" w:space="0" w:color="auto"/>
        <w:right w:val="none" w:sz="0" w:space="0" w:color="auto"/>
      </w:divBdr>
    </w:div>
    <w:div w:id="1149859826">
      <w:bodyDiv w:val="1"/>
      <w:marLeft w:val="0"/>
      <w:marRight w:val="0"/>
      <w:marTop w:val="0"/>
      <w:marBottom w:val="0"/>
      <w:divBdr>
        <w:top w:val="none" w:sz="0" w:space="0" w:color="auto"/>
        <w:left w:val="none" w:sz="0" w:space="0" w:color="auto"/>
        <w:bottom w:val="none" w:sz="0" w:space="0" w:color="auto"/>
        <w:right w:val="none" w:sz="0" w:space="0" w:color="auto"/>
      </w:divBdr>
    </w:div>
    <w:div w:id="1149859947">
      <w:bodyDiv w:val="1"/>
      <w:marLeft w:val="0"/>
      <w:marRight w:val="0"/>
      <w:marTop w:val="0"/>
      <w:marBottom w:val="0"/>
      <w:divBdr>
        <w:top w:val="none" w:sz="0" w:space="0" w:color="auto"/>
        <w:left w:val="none" w:sz="0" w:space="0" w:color="auto"/>
        <w:bottom w:val="none" w:sz="0" w:space="0" w:color="auto"/>
        <w:right w:val="none" w:sz="0" w:space="0" w:color="auto"/>
      </w:divBdr>
    </w:div>
    <w:div w:id="1149860987">
      <w:bodyDiv w:val="1"/>
      <w:marLeft w:val="0"/>
      <w:marRight w:val="0"/>
      <w:marTop w:val="0"/>
      <w:marBottom w:val="0"/>
      <w:divBdr>
        <w:top w:val="none" w:sz="0" w:space="0" w:color="auto"/>
        <w:left w:val="none" w:sz="0" w:space="0" w:color="auto"/>
        <w:bottom w:val="none" w:sz="0" w:space="0" w:color="auto"/>
        <w:right w:val="none" w:sz="0" w:space="0" w:color="auto"/>
      </w:divBdr>
    </w:div>
    <w:div w:id="1150097574">
      <w:bodyDiv w:val="1"/>
      <w:marLeft w:val="0"/>
      <w:marRight w:val="0"/>
      <w:marTop w:val="0"/>
      <w:marBottom w:val="0"/>
      <w:divBdr>
        <w:top w:val="none" w:sz="0" w:space="0" w:color="auto"/>
        <w:left w:val="none" w:sz="0" w:space="0" w:color="auto"/>
        <w:bottom w:val="none" w:sz="0" w:space="0" w:color="auto"/>
        <w:right w:val="none" w:sz="0" w:space="0" w:color="auto"/>
      </w:divBdr>
    </w:div>
    <w:div w:id="1150169853">
      <w:bodyDiv w:val="1"/>
      <w:marLeft w:val="0"/>
      <w:marRight w:val="0"/>
      <w:marTop w:val="0"/>
      <w:marBottom w:val="0"/>
      <w:divBdr>
        <w:top w:val="none" w:sz="0" w:space="0" w:color="auto"/>
        <w:left w:val="none" w:sz="0" w:space="0" w:color="auto"/>
        <w:bottom w:val="none" w:sz="0" w:space="0" w:color="auto"/>
        <w:right w:val="none" w:sz="0" w:space="0" w:color="auto"/>
      </w:divBdr>
    </w:div>
    <w:div w:id="1150248589">
      <w:bodyDiv w:val="1"/>
      <w:marLeft w:val="0"/>
      <w:marRight w:val="0"/>
      <w:marTop w:val="0"/>
      <w:marBottom w:val="0"/>
      <w:divBdr>
        <w:top w:val="none" w:sz="0" w:space="0" w:color="auto"/>
        <w:left w:val="none" w:sz="0" w:space="0" w:color="auto"/>
        <w:bottom w:val="none" w:sz="0" w:space="0" w:color="auto"/>
        <w:right w:val="none" w:sz="0" w:space="0" w:color="auto"/>
      </w:divBdr>
    </w:div>
    <w:div w:id="1150320029">
      <w:bodyDiv w:val="1"/>
      <w:marLeft w:val="0"/>
      <w:marRight w:val="0"/>
      <w:marTop w:val="0"/>
      <w:marBottom w:val="0"/>
      <w:divBdr>
        <w:top w:val="none" w:sz="0" w:space="0" w:color="auto"/>
        <w:left w:val="none" w:sz="0" w:space="0" w:color="auto"/>
        <w:bottom w:val="none" w:sz="0" w:space="0" w:color="auto"/>
        <w:right w:val="none" w:sz="0" w:space="0" w:color="auto"/>
      </w:divBdr>
    </w:div>
    <w:div w:id="1150516697">
      <w:bodyDiv w:val="1"/>
      <w:marLeft w:val="0"/>
      <w:marRight w:val="0"/>
      <w:marTop w:val="0"/>
      <w:marBottom w:val="0"/>
      <w:divBdr>
        <w:top w:val="none" w:sz="0" w:space="0" w:color="auto"/>
        <w:left w:val="none" w:sz="0" w:space="0" w:color="auto"/>
        <w:bottom w:val="none" w:sz="0" w:space="0" w:color="auto"/>
        <w:right w:val="none" w:sz="0" w:space="0" w:color="auto"/>
      </w:divBdr>
    </w:div>
    <w:div w:id="1150556038">
      <w:bodyDiv w:val="1"/>
      <w:marLeft w:val="0"/>
      <w:marRight w:val="0"/>
      <w:marTop w:val="0"/>
      <w:marBottom w:val="0"/>
      <w:divBdr>
        <w:top w:val="none" w:sz="0" w:space="0" w:color="auto"/>
        <w:left w:val="none" w:sz="0" w:space="0" w:color="auto"/>
        <w:bottom w:val="none" w:sz="0" w:space="0" w:color="auto"/>
        <w:right w:val="none" w:sz="0" w:space="0" w:color="auto"/>
      </w:divBdr>
    </w:div>
    <w:div w:id="1150558148">
      <w:bodyDiv w:val="1"/>
      <w:marLeft w:val="0"/>
      <w:marRight w:val="0"/>
      <w:marTop w:val="0"/>
      <w:marBottom w:val="0"/>
      <w:divBdr>
        <w:top w:val="none" w:sz="0" w:space="0" w:color="auto"/>
        <w:left w:val="none" w:sz="0" w:space="0" w:color="auto"/>
        <w:bottom w:val="none" w:sz="0" w:space="0" w:color="auto"/>
        <w:right w:val="none" w:sz="0" w:space="0" w:color="auto"/>
      </w:divBdr>
    </w:div>
    <w:div w:id="1150631503">
      <w:bodyDiv w:val="1"/>
      <w:marLeft w:val="0"/>
      <w:marRight w:val="0"/>
      <w:marTop w:val="0"/>
      <w:marBottom w:val="0"/>
      <w:divBdr>
        <w:top w:val="none" w:sz="0" w:space="0" w:color="auto"/>
        <w:left w:val="none" w:sz="0" w:space="0" w:color="auto"/>
        <w:bottom w:val="none" w:sz="0" w:space="0" w:color="auto"/>
        <w:right w:val="none" w:sz="0" w:space="0" w:color="auto"/>
      </w:divBdr>
    </w:div>
    <w:div w:id="1150634375">
      <w:bodyDiv w:val="1"/>
      <w:marLeft w:val="0"/>
      <w:marRight w:val="0"/>
      <w:marTop w:val="0"/>
      <w:marBottom w:val="0"/>
      <w:divBdr>
        <w:top w:val="none" w:sz="0" w:space="0" w:color="auto"/>
        <w:left w:val="none" w:sz="0" w:space="0" w:color="auto"/>
        <w:bottom w:val="none" w:sz="0" w:space="0" w:color="auto"/>
        <w:right w:val="none" w:sz="0" w:space="0" w:color="auto"/>
      </w:divBdr>
    </w:div>
    <w:div w:id="1150755777">
      <w:bodyDiv w:val="1"/>
      <w:marLeft w:val="0"/>
      <w:marRight w:val="0"/>
      <w:marTop w:val="0"/>
      <w:marBottom w:val="0"/>
      <w:divBdr>
        <w:top w:val="none" w:sz="0" w:space="0" w:color="auto"/>
        <w:left w:val="none" w:sz="0" w:space="0" w:color="auto"/>
        <w:bottom w:val="none" w:sz="0" w:space="0" w:color="auto"/>
        <w:right w:val="none" w:sz="0" w:space="0" w:color="auto"/>
      </w:divBdr>
    </w:div>
    <w:div w:id="1151095193">
      <w:bodyDiv w:val="1"/>
      <w:marLeft w:val="0"/>
      <w:marRight w:val="0"/>
      <w:marTop w:val="0"/>
      <w:marBottom w:val="0"/>
      <w:divBdr>
        <w:top w:val="none" w:sz="0" w:space="0" w:color="auto"/>
        <w:left w:val="none" w:sz="0" w:space="0" w:color="auto"/>
        <w:bottom w:val="none" w:sz="0" w:space="0" w:color="auto"/>
        <w:right w:val="none" w:sz="0" w:space="0" w:color="auto"/>
      </w:divBdr>
    </w:div>
    <w:div w:id="1151286651">
      <w:bodyDiv w:val="1"/>
      <w:marLeft w:val="0"/>
      <w:marRight w:val="0"/>
      <w:marTop w:val="0"/>
      <w:marBottom w:val="0"/>
      <w:divBdr>
        <w:top w:val="none" w:sz="0" w:space="0" w:color="auto"/>
        <w:left w:val="none" w:sz="0" w:space="0" w:color="auto"/>
        <w:bottom w:val="none" w:sz="0" w:space="0" w:color="auto"/>
        <w:right w:val="none" w:sz="0" w:space="0" w:color="auto"/>
      </w:divBdr>
    </w:div>
    <w:div w:id="1151407249">
      <w:bodyDiv w:val="1"/>
      <w:marLeft w:val="0"/>
      <w:marRight w:val="0"/>
      <w:marTop w:val="0"/>
      <w:marBottom w:val="0"/>
      <w:divBdr>
        <w:top w:val="none" w:sz="0" w:space="0" w:color="auto"/>
        <w:left w:val="none" w:sz="0" w:space="0" w:color="auto"/>
        <w:bottom w:val="none" w:sz="0" w:space="0" w:color="auto"/>
        <w:right w:val="none" w:sz="0" w:space="0" w:color="auto"/>
      </w:divBdr>
    </w:div>
    <w:div w:id="1151408968">
      <w:bodyDiv w:val="1"/>
      <w:marLeft w:val="0"/>
      <w:marRight w:val="0"/>
      <w:marTop w:val="0"/>
      <w:marBottom w:val="0"/>
      <w:divBdr>
        <w:top w:val="none" w:sz="0" w:space="0" w:color="auto"/>
        <w:left w:val="none" w:sz="0" w:space="0" w:color="auto"/>
        <w:bottom w:val="none" w:sz="0" w:space="0" w:color="auto"/>
        <w:right w:val="none" w:sz="0" w:space="0" w:color="auto"/>
      </w:divBdr>
    </w:div>
    <w:div w:id="1151600445">
      <w:bodyDiv w:val="1"/>
      <w:marLeft w:val="0"/>
      <w:marRight w:val="0"/>
      <w:marTop w:val="0"/>
      <w:marBottom w:val="0"/>
      <w:divBdr>
        <w:top w:val="none" w:sz="0" w:space="0" w:color="auto"/>
        <w:left w:val="none" w:sz="0" w:space="0" w:color="auto"/>
        <w:bottom w:val="none" w:sz="0" w:space="0" w:color="auto"/>
        <w:right w:val="none" w:sz="0" w:space="0" w:color="auto"/>
      </w:divBdr>
    </w:div>
    <w:div w:id="1152067597">
      <w:bodyDiv w:val="1"/>
      <w:marLeft w:val="0"/>
      <w:marRight w:val="0"/>
      <w:marTop w:val="0"/>
      <w:marBottom w:val="0"/>
      <w:divBdr>
        <w:top w:val="none" w:sz="0" w:space="0" w:color="auto"/>
        <w:left w:val="none" w:sz="0" w:space="0" w:color="auto"/>
        <w:bottom w:val="none" w:sz="0" w:space="0" w:color="auto"/>
        <w:right w:val="none" w:sz="0" w:space="0" w:color="auto"/>
      </w:divBdr>
    </w:div>
    <w:div w:id="1152067971">
      <w:bodyDiv w:val="1"/>
      <w:marLeft w:val="0"/>
      <w:marRight w:val="0"/>
      <w:marTop w:val="0"/>
      <w:marBottom w:val="0"/>
      <w:divBdr>
        <w:top w:val="none" w:sz="0" w:space="0" w:color="auto"/>
        <w:left w:val="none" w:sz="0" w:space="0" w:color="auto"/>
        <w:bottom w:val="none" w:sz="0" w:space="0" w:color="auto"/>
        <w:right w:val="none" w:sz="0" w:space="0" w:color="auto"/>
      </w:divBdr>
    </w:div>
    <w:div w:id="1152137885">
      <w:bodyDiv w:val="1"/>
      <w:marLeft w:val="0"/>
      <w:marRight w:val="0"/>
      <w:marTop w:val="0"/>
      <w:marBottom w:val="0"/>
      <w:divBdr>
        <w:top w:val="none" w:sz="0" w:space="0" w:color="auto"/>
        <w:left w:val="none" w:sz="0" w:space="0" w:color="auto"/>
        <w:bottom w:val="none" w:sz="0" w:space="0" w:color="auto"/>
        <w:right w:val="none" w:sz="0" w:space="0" w:color="auto"/>
      </w:divBdr>
    </w:div>
    <w:div w:id="1152210709">
      <w:bodyDiv w:val="1"/>
      <w:marLeft w:val="0"/>
      <w:marRight w:val="0"/>
      <w:marTop w:val="0"/>
      <w:marBottom w:val="0"/>
      <w:divBdr>
        <w:top w:val="none" w:sz="0" w:space="0" w:color="auto"/>
        <w:left w:val="none" w:sz="0" w:space="0" w:color="auto"/>
        <w:bottom w:val="none" w:sz="0" w:space="0" w:color="auto"/>
        <w:right w:val="none" w:sz="0" w:space="0" w:color="auto"/>
      </w:divBdr>
    </w:div>
    <w:div w:id="1152257666">
      <w:bodyDiv w:val="1"/>
      <w:marLeft w:val="0"/>
      <w:marRight w:val="0"/>
      <w:marTop w:val="0"/>
      <w:marBottom w:val="0"/>
      <w:divBdr>
        <w:top w:val="none" w:sz="0" w:space="0" w:color="auto"/>
        <w:left w:val="none" w:sz="0" w:space="0" w:color="auto"/>
        <w:bottom w:val="none" w:sz="0" w:space="0" w:color="auto"/>
        <w:right w:val="none" w:sz="0" w:space="0" w:color="auto"/>
      </w:divBdr>
    </w:div>
    <w:div w:id="1152599594">
      <w:bodyDiv w:val="1"/>
      <w:marLeft w:val="0"/>
      <w:marRight w:val="0"/>
      <w:marTop w:val="0"/>
      <w:marBottom w:val="0"/>
      <w:divBdr>
        <w:top w:val="none" w:sz="0" w:space="0" w:color="auto"/>
        <w:left w:val="none" w:sz="0" w:space="0" w:color="auto"/>
        <w:bottom w:val="none" w:sz="0" w:space="0" w:color="auto"/>
        <w:right w:val="none" w:sz="0" w:space="0" w:color="auto"/>
      </w:divBdr>
    </w:div>
    <w:div w:id="1152717236">
      <w:bodyDiv w:val="1"/>
      <w:marLeft w:val="0"/>
      <w:marRight w:val="0"/>
      <w:marTop w:val="0"/>
      <w:marBottom w:val="0"/>
      <w:divBdr>
        <w:top w:val="none" w:sz="0" w:space="0" w:color="auto"/>
        <w:left w:val="none" w:sz="0" w:space="0" w:color="auto"/>
        <w:bottom w:val="none" w:sz="0" w:space="0" w:color="auto"/>
        <w:right w:val="none" w:sz="0" w:space="0" w:color="auto"/>
      </w:divBdr>
    </w:div>
    <w:div w:id="1152796434">
      <w:bodyDiv w:val="1"/>
      <w:marLeft w:val="0"/>
      <w:marRight w:val="0"/>
      <w:marTop w:val="0"/>
      <w:marBottom w:val="0"/>
      <w:divBdr>
        <w:top w:val="none" w:sz="0" w:space="0" w:color="auto"/>
        <w:left w:val="none" w:sz="0" w:space="0" w:color="auto"/>
        <w:bottom w:val="none" w:sz="0" w:space="0" w:color="auto"/>
        <w:right w:val="none" w:sz="0" w:space="0" w:color="auto"/>
      </w:divBdr>
    </w:div>
    <w:div w:id="1153135593">
      <w:bodyDiv w:val="1"/>
      <w:marLeft w:val="0"/>
      <w:marRight w:val="0"/>
      <w:marTop w:val="0"/>
      <w:marBottom w:val="0"/>
      <w:divBdr>
        <w:top w:val="none" w:sz="0" w:space="0" w:color="auto"/>
        <w:left w:val="none" w:sz="0" w:space="0" w:color="auto"/>
        <w:bottom w:val="none" w:sz="0" w:space="0" w:color="auto"/>
        <w:right w:val="none" w:sz="0" w:space="0" w:color="auto"/>
      </w:divBdr>
    </w:div>
    <w:div w:id="1153175708">
      <w:bodyDiv w:val="1"/>
      <w:marLeft w:val="0"/>
      <w:marRight w:val="0"/>
      <w:marTop w:val="0"/>
      <w:marBottom w:val="0"/>
      <w:divBdr>
        <w:top w:val="none" w:sz="0" w:space="0" w:color="auto"/>
        <w:left w:val="none" w:sz="0" w:space="0" w:color="auto"/>
        <w:bottom w:val="none" w:sz="0" w:space="0" w:color="auto"/>
        <w:right w:val="none" w:sz="0" w:space="0" w:color="auto"/>
      </w:divBdr>
    </w:div>
    <w:div w:id="1153832895">
      <w:bodyDiv w:val="1"/>
      <w:marLeft w:val="0"/>
      <w:marRight w:val="0"/>
      <w:marTop w:val="0"/>
      <w:marBottom w:val="0"/>
      <w:divBdr>
        <w:top w:val="none" w:sz="0" w:space="0" w:color="auto"/>
        <w:left w:val="none" w:sz="0" w:space="0" w:color="auto"/>
        <w:bottom w:val="none" w:sz="0" w:space="0" w:color="auto"/>
        <w:right w:val="none" w:sz="0" w:space="0" w:color="auto"/>
      </w:divBdr>
    </w:div>
    <w:div w:id="1153982681">
      <w:bodyDiv w:val="1"/>
      <w:marLeft w:val="0"/>
      <w:marRight w:val="0"/>
      <w:marTop w:val="0"/>
      <w:marBottom w:val="0"/>
      <w:divBdr>
        <w:top w:val="none" w:sz="0" w:space="0" w:color="auto"/>
        <w:left w:val="none" w:sz="0" w:space="0" w:color="auto"/>
        <w:bottom w:val="none" w:sz="0" w:space="0" w:color="auto"/>
        <w:right w:val="none" w:sz="0" w:space="0" w:color="auto"/>
      </w:divBdr>
    </w:div>
    <w:div w:id="1154027734">
      <w:bodyDiv w:val="1"/>
      <w:marLeft w:val="0"/>
      <w:marRight w:val="0"/>
      <w:marTop w:val="0"/>
      <w:marBottom w:val="0"/>
      <w:divBdr>
        <w:top w:val="none" w:sz="0" w:space="0" w:color="auto"/>
        <w:left w:val="none" w:sz="0" w:space="0" w:color="auto"/>
        <w:bottom w:val="none" w:sz="0" w:space="0" w:color="auto"/>
        <w:right w:val="none" w:sz="0" w:space="0" w:color="auto"/>
      </w:divBdr>
    </w:div>
    <w:div w:id="1154103124">
      <w:bodyDiv w:val="1"/>
      <w:marLeft w:val="0"/>
      <w:marRight w:val="0"/>
      <w:marTop w:val="0"/>
      <w:marBottom w:val="0"/>
      <w:divBdr>
        <w:top w:val="none" w:sz="0" w:space="0" w:color="auto"/>
        <w:left w:val="none" w:sz="0" w:space="0" w:color="auto"/>
        <w:bottom w:val="none" w:sz="0" w:space="0" w:color="auto"/>
        <w:right w:val="none" w:sz="0" w:space="0" w:color="auto"/>
      </w:divBdr>
    </w:div>
    <w:div w:id="1154296155">
      <w:bodyDiv w:val="1"/>
      <w:marLeft w:val="0"/>
      <w:marRight w:val="0"/>
      <w:marTop w:val="0"/>
      <w:marBottom w:val="0"/>
      <w:divBdr>
        <w:top w:val="none" w:sz="0" w:space="0" w:color="auto"/>
        <w:left w:val="none" w:sz="0" w:space="0" w:color="auto"/>
        <w:bottom w:val="none" w:sz="0" w:space="0" w:color="auto"/>
        <w:right w:val="none" w:sz="0" w:space="0" w:color="auto"/>
      </w:divBdr>
    </w:div>
    <w:div w:id="1154371143">
      <w:bodyDiv w:val="1"/>
      <w:marLeft w:val="0"/>
      <w:marRight w:val="0"/>
      <w:marTop w:val="0"/>
      <w:marBottom w:val="0"/>
      <w:divBdr>
        <w:top w:val="none" w:sz="0" w:space="0" w:color="auto"/>
        <w:left w:val="none" w:sz="0" w:space="0" w:color="auto"/>
        <w:bottom w:val="none" w:sz="0" w:space="0" w:color="auto"/>
        <w:right w:val="none" w:sz="0" w:space="0" w:color="auto"/>
      </w:divBdr>
    </w:div>
    <w:div w:id="1154376170">
      <w:bodyDiv w:val="1"/>
      <w:marLeft w:val="0"/>
      <w:marRight w:val="0"/>
      <w:marTop w:val="0"/>
      <w:marBottom w:val="0"/>
      <w:divBdr>
        <w:top w:val="none" w:sz="0" w:space="0" w:color="auto"/>
        <w:left w:val="none" w:sz="0" w:space="0" w:color="auto"/>
        <w:bottom w:val="none" w:sz="0" w:space="0" w:color="auto"/>
        <w:right w:val="none" w:sz="0" w:space="0" w:color="auto"/>
      </w:divBdr>
    </w:div>
    <w:div w:id="1154494762">
      <w:bodyDiv w:val="1"/>
      <w:marLeft w:val="0"/>
      <w:marRight w:val="0"/>
      <w:marTop w:val="0"/>
      <w:marBottom w:val="0"/>
      <w:divBdr>
        <w:top w:val="none" w:sz="0" w:space="0" w:color="auto"/>
        <w:left w:val="none" w:sz="0" w:space="0" w:color="auto"/>
        <w:bottom w:val="none" w:sz="0" w:space="0" w:color="auto"/>
        <w:right w:val="none" w:sz="0" w:space="0" w:color="auto"/>
      </w:divBdr>
    </w:div>
    <w:div w:id="1154907847">
      <w:bodyDiv w:val="1"/>
      <w:marLeft w:val="0"/>
      <w:marRight w:val="0"/>
      <w:marTop w:val="0"/>
      <w:marBottom w:val="0"/>
      <w:divBdr>
        <w:top w:val="none" w:sz="0" w:space="0" w:color="auto"/>
        <w:left w:val="none" w:sz="0" w:space="0" w:color="auto"/>
        <w:bottom w:val="none" w:sz="0" w:space="0" w:color="auto"/>
        <w:right w:val="none" w:sz="0" w:space="0" w:color="auto"/>
      </w:divBdr>
    </w:div>
    <w:div w:id="1155219965">
      <w:bodyDiv w:val="1"/>
      <w:marLeft w:val="0"/>
      <w:marRight w:val="0"/>
      <w:marTop w:val="0"/>
      <w:marBottom w:val="0"/>
      <w:divBdr>
        <w:top w:val="none" w:sz="0" w:space="0" w:color="auto"/>
        <w:left w:val="none" w:sz="0" w:space="0" w:color="auto"/>
        <w:bottom w:val="none" w:sz="0" w:space="0" w:color="auto"/>
        <w:right w:val="none" w:sz="0" w:space="0" w:color="auto"/>
      </w:divBdr>
    </w:div>
    <w:div w:id="1155487193">
      <w:bodyDiv w:val="1"/>
      <w:marLeft w:val="0"/>
      <w:marRight w:val="0"/>
      <w:marTop w:val="0"/>
      <w:marBottom w:val="0"/>
      <w:divBdr>
        <w:top w:val="none" w:sz="0" w:space="0" w:color="auto"/>
        <w:left w:val="none" w:sz="0" w:space="0" w:color="auto"/>
        <w:bottom w:val="none" w:sz="0" w:space="0" w:color="auto"/>
        <w:right w:val="none" w:sz="0" w:space="0" w:color="auto"/>
      </w:divBdr>
    </w:div>
    <w:div w:id="1155533565">
      <w:bodyDiv w:val="1"/>
      <w:marLeft w:val="0"/>
      <w:marRight w:val="0"/>
      <w:marTop w:val="0"/>
      <w:marBottom w:val="0"/>
      <w:divBdr>
        <w:top w:val="none" w:sz="0" w:space="0" w:color="auto"/>
        <w:left w:val="none" w:sz="0" w:space="0" w:color="auto"/>
        <w:bottom w:val="none" w:sz="0" w:space="0" w:color="auto"/>
        <w:right w:val="none" w:sz="0" w:space="0" w:color="auto"/>
      </w:divBdr>
    </w:div>
    <w:div w:id="1155682284">
      <w:bodyDiv w:val="1"/>
      <w:marLeft w:val="0"/>
      <w:marRight w:val="0"/>
      <w:marTop w:val="0"/>
      <w:marBottom w:val="0"/>
      <w:divBdr>
        <w:top w:val="none" w:sz="0" w:space="0" w:color="auto"/>
        <w:left w:val="none" w:sz="0" w:space="0" w:color="auto"/>
        <w:bottom w:val="none" w:sz="0" w:space="0" w:color="auto"/>
        <w:right w:val="none" w:sz="0" w:space="0" w:color="auto"/>
      </w:divBdr>
    </w:div>
    <w:div w:id="1155687518">
      <w:bodyDiv w:val="1"/>
      <w:marLeft w:val="0"/>
      <w:marRight w:val="0"/>
      <w:marTop w:val="0"/>
      <w:marBottom w:val="0"/>
      <w:divBdr>
        <w:top w:val="none" w:sz="0" w:space="0" w:color="auto"/>
        <w:left w:val="none" w:sz="0" w:space="0" w:color="auto"/>
        <w:bottom w:val="none" w:sz="0" w:space="0" w:color="auto"/>
        <w:right w:val="none" w:sz="0" w:space="0" w:color="auto"/>
      </w:divBdr>
    </w:div>
    <w:div w:id="1155874901">
      <w:bodyDiv w:val="1"/>
      <w:marLeft w:val="0"/>
      <w:marRight w:val="0"/>
      <w:marTop w:val="0"/>
      <w:marBottom w:val="0"/>
      <w:divBdr>
        <w:top w:val="none" w:sz="0" w:space="0" w:color="auto"/>
        <w:left w:val="none" w:sz="0" w:space="0" w:color="auto"/>
        <w:bottom w:val="none" w:sz="0" w:space="0" w:color="auto"/>
        <w:right w:val="none" w:sz="0" w:space="0" w:color="auto"/>
      </w:divBdr>
    </w:div>
    <w:div w:id="1155948562">
      <w:bodyDiv w:val="1"/>
      <w:marLeft w:val="0"/>
      <w:marRight w:val="0"/>
      <w:marTop w:val="0"/>
      <w:marBottom w:val="0"/>
      <w:divBdr>
        <w:top w:val="none" w:sz="0" w:space="0" w:color="auto"/>
        <w:left w:val="none" w:sz="0" w:space="0" w:color="auto"/>
        <w:bottom w:val="none" w:sz="0" w:space="0" w:color="auto"/>
        <w:right w:val="none" w:sz="0" w:space="0" w:color="auto"/>
      </w:divBdr>
    </w:div>
    <w:div w:id="1156187445">
      <w:bodyDiv w:val="1"/>
      <w:marLeft w:val="0"/>
      <w:marRight w:val="0"/>
      <w:marTop w:val="0"/>
      <w:marBottom w:val="0"/>
      <w:divBdr>
        <w:top w:val="none" w:sz="0" w:space="0" w:color="auto"/>
        <w:left w:val="none" w:sz="0" w:space="0" w:color="auto"/>
        <w:bottom w:val="none" w:sz="0" w:space="0" w:color="auto"/>
        <w:right w:val="none" w:sz="0" w:space="0" w:color="auto"/>
      </w:divBdr>
    </w:div>
    <w:div w:id="1156190816">
      <w:bodyDiv w:val="1"/>
      <w:marLeft w:val="0"/>
      <w:marRight w:val="0"/>
      <w:marTop w:val="0"/>
      <w:marBottom w:val="0"/>
      <w:divBdr>
        <w:top w:val="none" w:sz="0" w:space="0" w:color="auto"/>
        <w:left w:val="none" w:sz="0" w:space="0" w:color="auto"/>
        <w:bottom w:val="none" w:sz="0" w:space="0" w:color="auto"/>
        <w:right w:val="none" w:sz="0" w:space="0" w:color="auto"/>
      </w:divBdr>
    </w:div>
    <w:div w:id="1156266479">
      <w:bodyDiv w:val="1"/>
      <w:marLeft w:val="0"/>
      <w:marRight w:val="0"/>
      <w:marTop w:val="0"/>
      <w:marBottom w:val="0"/>
      <w:divBdr>
        <w:top w:val="none" w:sz="0" w:space="0" w:color="auto"/>
        <w:left w:val="none" w:sz="0" w:space="0" w:color="auto"/>
        <w:bottom w:val="none" w:sz="0" w:space="0" w:color="auto"/>
        <w:right w:val="none" w:sz="0" w:space="0" w:color="auto"/>
      </w:divBdr>
    </w:div>
    <w:div w:id="1156452040">
      <w:bodyDiv w:val="1"/>
      <w:marLeft w:val="0"/>
      <w:marRight w:val="0"/>
      <w:marTop w:val="0"/>
      <w:marBottom w:val="0"/>
      <w:divBdr>
        <w:top w:val="none" w:sz="0" w:space="0" w:color="auto"/>
        <w:left w:val="none" w:sz="0" w:space="0" w:color="auto"/>
        <w:bottom w:val="none" w:sz="0" w:space="0" w:color="auto"/>
        <w:right w:val="none" w:sz="0" w:space="0" w:color="auto"/>
      </w:divBdr>
    </w:div>
    <w:div w:id="1156646192">
      <w:bodyDiv w:val="1"/>
      <w:marLeft w:val="0"/>
      <w:marRight w:val="0"/>
      <w:marTop w:val="0"/>
      <w:marBottom w:val="0"/>
      <w:divBdr>
        <w:top w:val="none" w:sz="0" w:space="0" w:color="auto"/>
        <w:left w:val="none" w:sz="0" w:space="0" w:color="auto"/>
        <w:bottom w:val="none" w:sz="0" w:space="0" w:color="auto"/>
        <w:right w:val="none" w:sz="0" w:space="0" w:color="auto"/>
      </w:divBdr>
    </w:div>
    <w:div w:id="1156842835">
      <w:bodyDiv w:val="1"/>
      <w:marLeft w:val="0"/>
      <w:marRight w:val="0"/>
      <w:marTop w:val="0"/>
      <w:marBottom w:val="0"/>
      <w:divBdr>
        <w:top w:val="none" w:sz="0" w:space="0" w:color="auto"/>
        <w:left w:val="none" w:sz="0" w:space="0" w:color="auto"/>
        <w:bottom w:val="none" w:sz="0" w:space="0" w:color="auto"/>
        <w:right w:val="none" w:sz="0" w:space="0" w:color="auto"/>
      </w:divBdr>
    </w:div>
    <w:div w:id="1156843403">
      <w:bodyDiv w:val="1"/>
      <w:marLeft w:val="0"/>
      <w:marRight w:val="0"/>
      <w:marTop w:val="0"/>
      <w:marBottom w:val="0"/>
      <w:divBdr>
        <w:top w:val="none" w:sz="0" w:space="0" w:color="auto"/>
        <w:left w:val="none" w:sz="0" w:space="0" w:color="auto"/>
        <w:bottom w:val="none" w:sz="0" w:space="0" w:color="auto"/>
        <w:right w:val="none" w:sz="0" w:space="0" w:color="auto"/>
      </w:divBdr>
    </w:div>
    <w:div w:id="1157303668">
      <w:bodyDiv w:val="1"/>
      <w:marLeft w:val="0"/>
      <w:marRight w:val="0"/>
      <w:marTop w:val="0"/>
      <w:marBottom w:val="0"/>
      <w:divBdr>
        <w:top w:val="none" w:sz="0" w:space="0" w:color="auto"/>
        <w:left w:val="none" w:sz="0" w:space="0" w:color="auto"/>
        <w:bottom w:val="none" w:sz="0" w:space="0" w:color="auto"/>
        <w:right w:val="none" w:sz="0" w:space="0" w:color="auto"/>
      </w:divBdr>
    </w:div>
    <w:div w:id="1157694991">
      <w:bodyDiv w:val="1"/>
      <w:marLeft w:val="0"/>
      <w:marRight w:val="0"/>
      <w:marTop w:val="0"/>
      <w:marBottom w:val="0"/>
      <w:divBdr>
        <w:top w:val="none" w:sz="0" w:space="0" w:color="auto"/>
        <w:left w:val="none" w:sz="0" w:space="0" w:color="auto"/>
        <w:bottom w:val="none" w:sz="0" w:space="0" w:color="auto"/>
        <w:right w:val="none" w:sz="0" w:space="0" w:color="auto"/>
      </w:divBdr>
    </w:div>
    <w:div w:id="1158106825">
      <w:bodyDiv w:val="1"/>
      <w:marLeft w:val="0"/>
      <w:marRight w:val="0"/>
      <w:marTop w:val="0"/>
      <w:marBottom w:val="0"/>
      <w:divBdr>
        <w:top w:val="none" w:sz="0" w:space="0" w:color="auto"/>
        <w:left w:val="none" w:sz="0" w:space="0" w:color="auto"/>
        <w:bottom w:val="none" w:sz="0" w:space="0" w:color="auto"/>
        <w:right w:val="none" w:sz="0" w:space="0" w:color="auto"/>
      </w:divBdr>
    </w:div>
    <w:div w:id="1158182821">
      <w:bodyDiv w:val="1"/>
      <w:marLeft w:val="0"/>
      <w:marRight w:val="0"/>
      <w:marTop w:val="0"/>
      <w:marBottom w:val="0"/>
      <w:divBdr>
        <w:top w:val="none" w:sz="0" w:space="0" w:color="auto"/>
        <w:left w:val="none" w:sz="0" w:space="0" w:color="auto"/>
        <w:bottom w:val="none" w:sz="0" w:space="0" w:color="auto"/>
        <w:right w:val="none" w:sz="0" w:space="0" w:color="auto"/>
      </w:divBdr>
    </w:div>
    <w:div w:id="1158182882">
      <w:bodyDiv w:val="1"/>
      <w:marLeft w:val="0"/>
      <w:marRight w:val="0"/>
      <w:marTop w:val="0"/>
      <w:marBottom w:val="0"/>
      <w:divBdr>
        <w:top w:val="none" w:sz="0" w:space="0" w:color="auto"/>
        <w:left w:val="none" w:sz="0" w:space="0" w:color="auto"/>
        <w:bottom w:val="none" w:sz="0" w:space="0" w:color="auto"/>
        <w:right w:val="none" w:sz="0" w:space="0" w:color="auto"/>
      </w:divBdr>
    </w:div>
    <w:div w:id="1158302760">
      <w:bodyDiv w:val="1"/>
      <w:marLeft w:val="0"/>
      <w:marRight w:val="0"/>
      <w:marTop w:val="0"/>
      <w:marBottom w:val="0"/>
      <w:divBdr>
        <w:top w:val="none" w:sz="0" w:space="0" w:color="auto"/>
        <w:left w:val="none" w:sz="0" w:space="0" w:color="auto"/>
        <w:bottom w:val="none" w:sz="0" w:space="0" w:color="auto"/>
        <w:right w:val="none" w:sz="0" w:space="0" w:color="auto"/>
      </w:divBdr>
    </w:div>
    <w:div w:id="1158811717">
      <w:bodyDiv w:val="1"/>
      <w:marLeft w:val="0"/>
      <w:marRight w:val="0"/>
      <w:marTop w:val="0"/>
      <w:marBottom w:val="0"/>
      <w:divBdr>
        <w:top w:val="none" w:sz="0" w:space="0" w:color="auto"/>
        <w:left w:val="none" w:sz="0" w:space="0" w:color="auto"/>
        <w:bottom w:val="none" w:sz="0" w:space="0" w:color="auto"/>
        <w:right w:val="none" w:sz="0" w:space="0" w:color="auto"/>
      </w:divBdr>
    </w:div>
    <w:div w:id="1158960850">
      <w:bodyDiv w:val="1"/>
      <w:marLeft w:val="0"/>
      <w:marRight w:val="0"/>
      <w:marTop w:val="0"/>
      <w:marBottom w:val="0"/>
      <w:divBdr>
        <w:top w:val="none" w:sz="0" w:space="0" w:color="auto"/>
        <w:left w:val="none" w:sz="0" w:space="0" w:color="auto"/>
        <w:bottom w:val="none" w:sz="0" w:space="0" w:color="auto"/>
        <w:right w:val="none" w:sz="0" w:space="0" w:color="auto"/>
      </w:divBdr>
    </w:div>
    <w:div w:id="1159032726">
      <w:bodyDiv w:val="1"/>
      <w:marLeft w:val="0"/>
      <w:marRight w:val="0"/>
      <w:marTop w:val="0"/>
      <w:marBottom w:val="0"/>
      <w:divBdr>
        <w:top w:val="none" w:sz="0" w:space="0" w:color="auto"/>
        <w:left w:val="none" w:sz="0" w:space="0" w:color="auto"/>
        <w:bottom w:val="none" w:sz="0" w:space="0" w:color="auto"/>
        <w:right w:val="none" w:sz="0" w:space="0" w:color="auto"/>
      </w:divBdr>
    </w:div>
    <w:div w:id="1159034883">
      <w:bodyDiv w:val="1"/>
      <w:marLeft w:val="0"/>
      <w:marRight w:val="0"/>
      <w:marTop w:val="0"/>
      <w:marBottom w:val="0"/>
      <w:divBdr>
        <w:top w:val="none" w:sz="0" w:space="0" w:color="auto"/>
        <w:left w:val="none" w:sz="0" w:space="0" w:color="auto"/>
        <w:bottom w:val="none" w:sz="0" w:space="0" w:color="auto"/>
        <w:right w:val="none" w:sz="0" w:space="0" w:color="auto"/>
      </w:divBdr>
    </w:div>
    <w:div w:id="1159076650">
      <w:bodyDiv w:val="1"/>
      <w:marLeft w:val="0"/>
      <w:marRight w:val="0"/>
      <w:marTop w:val="0"/>
      <w:marBottom w:val="0"/>
      <w:divBdr>
        <w:top w:val="none" w:sz="0" w:space="0" w:color="auto"/>
        <w:left w:val="none" w:sz="0" w:space="0" w:color="auto"/>
        <w:bottom w:val="none" w:sz="0" w:space="0" w:color="auto"/>
        <w:right w:val="none" w:sz="0" w:space="0" w:color="auto"/>
      </w:divBdr>
    </w:div>
    <w:div w:id="1159078088">
      <w:bodyDiv w:val="1"/>
      <w:marLeft w:val="0"/>
      <w:marRight w:val="0"/>
      <w:marTop w:val="0"/>
      <w:marBottom w:val="0"/>
      <w:divBdr>
        <w:top w:val="none" w:sz="0" w:space="0" w:color="auto"/>
        <w:left w:val="none" w:sz="0" w:space="0" w:color="auto"/>
        <w:bottom w:val="none" w:sz="0" w:space="0" w:color="auto"/>
        <w:right w:val="none" w:sz="0" w:space="0" w:color="auto"/>
      </w:divBdr>
    </w:div>
    <w:div w:id="1159081842">
      <w:bodyDiv w:val="1"/>
      <w:marLeft w:val="0"/>
      <w:marRight w:val="0"/>
      <w:marTop w:val="0"/>
      <w:marBottom w:val="0"/>
      <w:divBdr>
        <w:top w:val="none" w:sz="0" w:space="0" w:color="auto"/>
        <w:left w:val="none" w:sz="0" w:space="0" w:color="auto"/>
        <w:bottom w:val="none" w:sz="0" w:space="0" w:color="auto"/>
        <w:right w:val="none" w:sz="0" w:space="0" w:color="auto"/>
      </w:divBdr>
    </w:div>
    <w:div w:id="1159273528">
      <w:bodyDiv w:val="1"/>
      <w:marLeft w:val="0"/>
      <w:marRight w:val="0"/>
      <w:marTop w:val="0"/>
      <w:marBottom w:val="0"/>
      <w:divBdr>
        <w:top w:val="none" w:sz="0" w:space="0" w:color="auto"/>
        <w:left w:val="none" w:sz="0" w:space="0" w:color="auto"/>
        <w:bottom w:val="none" w:sz="0" w:space="0" w:color="auto"/>
        <w:right w:val="none" w:sz="0" w:space="0" w:color="auto"/>
      </w:divBdr>
    </w:div>
    <w:div w:id="1159342660">
      <w:bodyDiv w:val="1"/>
      <w:marLeft w:val="0"/>
      <w:marRight w:val="0"/>
      <w:marTop w:val="0"/>
      <w:marBottom w:val="0"/>
      <w:divBdr>
        <w:top w:val="none" w:sz="0" w:space="0" w:color="auto"/>
        <w:left w:val="none" w:sz="0" w:space="0" w:color="auto"/>
        <w:bottom w:val="none" w:sz="0" w:space="0" w:color="auto"/>
        <w:right w:val="none" w:sz="0" w:space="0" w:color="auto"/>
      </w:divBdr>
    </w:div>
    <w:div w:id="1159422581">
      <w:bodyDiv w:val="1"/>
      <w:marLeft w:val="0"/>
      <w:marRight w:val="0"/>
      <w:marTop w:val="0"/>
      <w:marBottom w:val="0"/>
      <w:divBdr>
        <w:top w:val="none" w:sz="0" w:space="0" w:color="auto"/>
        <w:left w:val="none" w:sz="0" w:space="0" w:color="auto"/>
        <w:bottom w:val="none" w:sz="0" w:space="0" w:color="auto"/>
        <w:right w:val="none" w:sz="0" w:space="0" w:color="auto"/>
      </w:divBdr>
    </w:div>
    <w:div w:id="1159619139">
      <w:bodyDiv w:val="1"/>
      <w:marLeft w:val="0"/>
      <w:marRight w:val="0"/>
      <w:marTop w:val="0"/>
      <w:marBottom w:val="0"/>
      <w:divBdr>
        <w:top w:val="none" w:sz="0" w:space="0" w:color="auto"/>
        <w:left w:val="none" w:sz="0" w:space="0" w:color="auto"/>
        <w:bottom w:val="none" w:sz="0" w:space="0" w:color="auto"/>
        <w:right w:val="none" w:sz="0" w:space="0" w:color="auto"/>
      </w:divBdr>
    </w:div>
    <w:div w:id="1159807395">
      <w:bodyDiv w:val="1"/>
      <w:marLeft w:val="0"/>
      <w:marRight w:val="0"/>
      <w:marTop w:val="0"/>
      <w:marBottom w:val="0"/>
      <w:divBdr>
        <w:top w:val="none" w:sz="0" w:space="0" w:color="auto"/>
        <w:left w:val="none" w:sz="0" w:space="0" w:color="auto"/>
        <w:bottom w:val="none" w:sz="0" w:space="0" w:color="auto"/>
        <w:right w:val="none" w:sz="0" w:space="0" w:color="auto"/>
      </w:divBdr>
    </w:div>
    <w:div w:id="1159884288">
      <w:bodyDiv w:val="1"/>
      <w:marLeft w:val="0"/>
      <w:marRight w:val="0"/>
      <w:marTop w:val="0"/>
      <w:marBottom w:val="0"/>
      <w:divBdr>
        <w:top w:val="none" w:sz="0" w:space="0" w:color="auto"/>
        <w:left w:val="none" w:sz="0" w:space="0" w:color="auto"/>
        <w:bottom w:val="none" w:sz="0" w:space="0" w:color="auto"/>
        <w:right w:val="none" w:sz="0" w:space="0" w:color="auto"/>
      </w:divBdr>
    </w:div>
    <w:div w:id="1159930896">
      <w:bodyDiv w:val="1"/>
      <w:marLeft w:val="0"/>
      <w:marRight w:val="0"/>
      <w:marTop w:val="0"/>
      <w:marBottom w:val="0"/>
      <w:divBdr>
        <w:top w:val="none" w:sz="0" w:space="0" w:color="auto"/>
        <w:left w:val="none" w:sz="0" w:space="0" w:color="auto"/>
        <w:bottom w:val="none" w:sz="0" w:space="0" w:color="auto"/>
        <w:right w:val="none" w:sz="0" w:space="0" w:color="auto"/>
      </w:divBdr>
    </w:div>
    <w:div w:id="1160535983">
      <w:bodyDiv w:val="1"/>
      <w:marLeft w:val="0"/>
      <w:marRight w:val="0"/>
      <w:marTop w:val="0"/>
      <w:marBottom w:val="0"/>
      <w:divBdr>
        <w:top w:val="none" w:sz="0" w:space="0" w:color="auto"/>
        <w:left w:val="none" w:sz="0" w:space="0" w:color="auto"/>
        <w:bottom w:val="none" w:sz="0" w:space="0" w:color="auto"/>
        <w:right w:val="none" w:sz="0" w:space="0" w:color="auto"/>
      </w:divBdr>
    </w:div>
    <w:div w:id="1160734669">
      <w:bodyDiv w:val="1"/>
      <w:marLeft w:val="0"/>
      <w:marRight w:val="0"/>
      <w:marTop w:val="0"/>
      <w:marBottom w:val="0"/>
      <w:divBdr>
        <w:top w:val="none" w:sz="0" w:space="0" w:color="auto"/>
        <w:left w:val="none" w:sz="0" w:space="0" w:color="auto"/>
        <w:bottom w:val="none" w:sz="0" w:space="0" w:color="auto"/>
        <w:right w:val="none" w:sz="0" w:space="0" w:color="auto"/>
      </w:divBdr>
    </w:div>
    <w:div w:id="1160972997">
      <w:bodyDiv w:val="1"/>
      <w:marLeft w:val="0"/>
      <w:marRight w:val="0"/>
      <w:marTop w:val="0"/>
      <w:marBottom w:val="0"/>
      <w:divBdr>
        <w:top w:val="none" w:sz="0" w:space="0" w:color="auto"/>
        <w:left w:val="none" w:sz="0" w:space="0" w:color="auto"/>
        <w:bottom w:val="none" w:sz="0" w:space="0" w:color="auto"/>
        <w:right w:val="none" w:sz="0" w:space="0" w:color="auto"/>
      </w:divBdr>
    </w:div>
    <w:div w:id="1161043464">
      <w:bodyDiv w:val="1"/>
      <w:marLeft w:val="0"/>
      <w:marRight w:val="0"/>
      <w:marTop w:val="0"/>
      <w:marBottom w:val="0"/>
      <w:divBdr>
        <w:top w:val="none" w:sz="0" w:space="0" w:color="auto"/>
        <w:left w:val="none" w:sz="0" w:space="0" w:color="auto"/>
        <w:bottom w:val="none" w:sz="0" w:space="0" w:color="auto"/>
        <w:right w:val="none" w:sz="0" w:space="0" w:color="auto"/>
      </w:divBdr>
    </w:div>
    <w:div w:id="1161047955">
      <w:bodyDiv w:val="1"/>
      <w:marLeft w:val="0"/>
      <w:marRight w:val="0"/>
      <w:marTop w:val="0"/>
      <w:marBottom w:val="0"/>
      <w:divBdr>
        <w:top w:val="none" w:sz="0" w:space="0" w:color="auto"/>
        <w:left w:val="none" w:sz="0" w:space="0" w:color="auto"/>
        <w:bottom w:val="none" w:sz="0" w:space="0" w:color="auto"/>
        <w:right w:val="none" w:sz="0" w:space="0" w:color="auto"/>
      </w:divBdr>
    </w:div>
    <w:div w:id="1161310155">
      <w:bodyDiv w:val="1"/>
      <w:marLeft w:val="0"/>
      <w:marRight w:val="0"/>
      <w:marTop w:val="0"/>
      <w:marBottom w:val="0"/>
      <w:divBdr>
        <w:top w:val="none" w:sz="0" w:space="0" w:color="auto"/>
        <w:left w:val="none" w:sz="0" w:space="0" w:color="auto"/>
        <w:bottom w:val="none" w:sz="0" w:space="0" w:color="auto"/>
        <w:right w:val="none" w:sz="0" w:space="0" w:color="auto"/>
      </w:divBdr>
    </w:div>
    <w:div w:id="1161429255">
      <w:bodyDiv w:val="1"/>
      <w:marLeft w:val="0"/>
      <w:marRight w:val="0"/>
      <w:marTop w:val="0"/>
      <w:marBottom w:val="0"/>
      <w:divBdr>
        <w:top w:val="none" w:sz="0" w:space="0" w:color="auto"/>
        <w:left w:val="none" w:sz="0" w:space="0" w:color="auto"/>
        <w:bottom w:val="none" w:sz="0" w:space="0" w:color="auto"/>
        <w:right w:val="none" w:sz="0" w:space="0" w:color="auto"/>
      </w:divBdr>
    </w:div>
    <w:div w:id="1161461154">
      <w:bodyDiv w:val="1"/>
      <w:marLeft w:val="0"/>
      <w:marRight w:val="0"/>
      <w:marTop w:val="0"/>
      <w:marBottom w:val="0"/>
      <w:divBdr>
        <w:top w:val="none" w:sz="0" w:space="0" w:color="auto"/>
        <w:left w:val="none" w:sz="0" w:space="0" w:color="auto"/>
        <w:bottom w:val="none" w:sz="0" w:space="0" w:color="auto"/>
        <w:right w:val="none" w:sz="0" w:space="0" w:color="auto"/>
      </w:divBdr>
    </w:div>
    <w:div w:id="1162163076">
      <w:bodyDiv w:val="1"/>
      <w:marLeft w:val="0"/>
      <w:marRight w:val="0"/>
      <w:marTop w:val="0"/>
      <w:marBottom w:val="0"/>
      <w:divBdr>
        <w:top w:val="none" w:sz="0" w:space="0" w:color="auto"/>
        <w:left w:val="none" w:sz="0" w:space="0" w:color="auto"/>
        <w:bottom w:val="none" w:sz="0" w:space="0" w:color="auto"/>
        <w:right w:val="none" w:sz="0" w:space="0" w:color="auto"/>
      </w:divBdr>
    </w:div>
    <w:div w:id="1162235799">
      <w:bodyDiv w:val="1"/>
      <w:marLeft w:val="0"/>
      <w:marRight w:val="0"/>
      <w:marTop w:val="0"/>
      <w:marBottom w:val="0"/>
      <w:divBdr>
        <w:top w:val="none" w:sz="0" w:space="0" w:color="auto"/>
        <w:left w:val="none" w:sz="0" w:space="0" w:color="auto"/>
        <w:bottom w:val="none" w:sz="0" w:space="0" w:color="auto"/>
        <w:right w:val="none" w:sz="0" w:space="0" w:color="auto"/>
      </w:divBdr>
    </w:div>
    <w:div w:id="1162428902">
      <w:bodyDiv w:val="1"/>
      <w:marLeft w:val="0"/>
      <w:marRight w:val="0"/>
      <w:marTop w:val="0"/>
      <w:marBottom w:val="0"/>
      <w:divBdr>
        <w:top w:val="none" w:sz="0" w:space="0" w:color="auto"/>
        <w:left w:val="none" w:sz="0" w:space="0" w:color="auto"/>
        <w:bottom w:val="none" w:sz="0" w:space="0" w:color="auto"/>
        <w:right w:val="none" w:sz="0" w:space="0" w:color="auto"/>
      </w:divBdr>
    </w:div>
    <w:div w:id="1162547056">
      <w:bodyDiv w:val="1"/>
      <w:marLeft w:val="0"/>
      <w:marRight w:val="0"/>
      <w:marTop w:val="0"/>
      <w:marBottom w:val="0"/>
      <w:divBdr>
        <w:top w:val="none" w:sz="0" w:space="0" w:color="auto"/>
        <w:left w:val="none" w:sz="0" w:space="0" w:color="auto"/>
        <w:bottom w:val="none" w:sz="0" w:space="0" w:color="auto"/>
        <w:right w:val="none" w:sz="0" w:space="0" w:color="auto"/>
      </w:divBdr>
    </w:div>
    <w:div w:id="1163200027">
      <w:bodyDiv w:val="1"/>
      <w:marLeft w:val="0"/>
      <w:marRight w:val="0"/>
      <w:marTop w:val="0"/>
      <w:marBottom w:val="0"/>
      <w:divBdr>
        <w:top w:val="none" w:sz="0" w:space="0" w:color="auto"/>
        <w:left w:val="none" w:sz="0" w:space="0" w:color="auto"/>
        <w:bottom w:val="none" w:sz="0" w:space="0" w:color="auto"/>
        <w:right w:val="none" w:sz="0" w:space="0" w:color="auto"/>
      </w:divBdr>
    </w:div>
    <w:div w:id="1163350954">
      <w:bodyDiv w:val="1"/>
      <w:marLeft w:val="0"/>
      <w:marRight w:val="0"/>
      <w:marTop w:val="0"/>
      <w:marBottom w:val="0"/>
      <w:divBdr>
        <w:top w:val="none" w:sz="0" w:space="0" w:color="auto"/>
        <w:left w:val="none" w:sz="0" w:space="0" w:color="auto"/>
        <w:bottom w:val="none" w:sz="0" w:space="0" w:color="auto"/>
        <w:right w:val="none" w:sz="0" w:space="0" w:color="auto"/>
      </w:divBdr>
    </w:div>
    <w:div w:id="1163351090">
      <w:bodyDiv w:val="1"/>
      <w:marLeft w:val="0"/>
      <w:marRight w:val="0"/>
      <w:marTop w:val="0"/>
      <w:marBottom w:val="0"/>
      <w:divBdr>
        <w:top w:val="none" w:sz="0" w:space="0" w:color="auto"/>
        <w:left w:val="none" w:sz="0" w:space="0" w:color="auto"/>
        <w:bottom w:val="none" w:sz="0" w:space="0" w:color="auto"/>
        <w:right w:val="none" w:sz="0" w:space="0" w:color="auto"/>
      </w:divBdr>
    </w:div>
    <w:div w:id="1163399344">
      <w:bodyDiv w:val="1"/>
      <w:marLeft w:val="0"/>
      <w:marRight w:val="0"/>
      <w:marTop w:val="0"/>
      <w:marBottom w:val="0"/>
      <w:divBdr>
        <w:top w:val="none" w:sz="0" w:space="0" w:color="auto"/>
        <w:left w:val="none" w:sz="0" w:space="0" w:color="auto"/>
        <w:bottom w:val="none" w:sz="0" w:space="0" w:color="auto"/>
        <w:right w:val="none" w:sz="0" w:space="0" w:color="auto"/>
      </w:divBdr>
    </w:div>
    <w:div w:id="1163424262">
      <w:bodyDiv w:val="1"/>
      <w:marLeft w:val="0"/>
      <w:marRight w:val="0"/>
      <w:marTop w:val="0"/>
      <w:marBottom w:val="0"/>
      <w:divBdr>
        <w:top w:val="none" w:sz="0" w:space="0" w:color="auto"/>
        <w:left w:val="none" w:sz="0" w:space="0" w:color="auto"/>
        <w:bottom w:val="none" w:sz="0" w:space="0" w:color="auto"/>
        <w:right w:val="none" w:sz="0" w:space="0" w:color="auto"/>
      </w:divBdr>
    </w:div>
    <w:div w:id="1163546623">
      <w:bodyDiv w:val="1"/>
      <w:marLeft w:val="0"/>
      <w:marRight w:val="0"/>
      <w:marTop w:val="0"/>
      <w:marBottom w:val="0"/>
      <w:divBdr>
        <w:top w:val="none" w:sz="0" w:space="0" w:color="auto"/>
        <w:left w:val="none" w:sz="0" w:space="0" w:color="auto"/>
        <w:bottom w:val="none" w:sz="0" w:space="0" w:color="auto"/>
        <w:right w:val="none" w:sz="0" w:space="0" w:color="auto"/>
      </w:divBdr>
    </w:div>
    <w:div w:id="1163736302">
      <w:bodyDiv w:val="1"/>
      <w:marLeft w:val="0"/>
      <w:marRight w:val="0"/>
      <w:marTop w:val="0"/>
      <w:marBottom w:val="0"/>
      <w:divBdr>
        <w:top w:val="none" w:sz="0" w:space="0" w:color="auto"/>
        <w:left w:val="none" w:sz="0" w:space="0" w:color="auto"/>
        <w:bottom w:val="none" w:sz="0" w:space="0" w:color="auto"/>
        <w:right w:val="none" w:sz="0" w:space="0" w:color="auto"/>
      </w:divBdr>
    </w:div>
    <w:div w:id="1164273812">
      <w:bodyDiv w:val="1"/>
      <w:marLeft w:val="0"/>
      <w:marRight w:val="0"/>
      <w:marTop w:val="0"/>
      <w:marBottom w:val="0"/>
      <w:divBdr>
        <w:top w:val="none" w:sz="0" w:space="0" w:color="auto"/>
        <w:left w:val="none" w:sz="0" w:space="0" w:color="auto"/>
        <w:bottom w:val="none" w:sz="0" w:space="0" w:color="auto"/>
        <w:right w:val="none" w:sz="0" w:space="0" w:color="auto"/>
      </w:divBdr>
    </w:div>
    <w:div w:id="1164276937">
      <w:bodyDiv w:val="1"/>
      <w:marLeft w:val="0"/>
      <w:marRight w:val="0"/>
      <w:marTop w:val="0"/>
      <w:marBottom w:val="0"/>
      <w:divBdr>
        <w:top w:val="none" w:sz="0" w:space="0" w:color="auto"/>
        <w:left w:val="none" w:sz="0" w:space="0" w:color="auto"/>
        <w:bottom w:val="none" w:sz="0" w:space="0" w:color="auto"/>
        <w:right w:val="none" w:sz="0" w:space="0" w:color="auto"/>
      </w:divBdr>
    </w:div>
    <w:div w:id="1164400165">
      <w:bodyDiv w:val="1"/>
      <w:marLeft w:val="0"/>
      <w:marRight w:val="0"/>
      <w:marTop w:val="0"/>
      <w:marBottom w:val="0"/>
      <w:divBdr>
        <w:top w:val="none" w:sz="0" w:space="0" w:color="auto"/>
        <w:left w:val="none" w:sz="0" w:space="0" w:color="auto"/>
        <w:bottom w:val="none" w:sz="0" w:space="0" w:color="auto"/>
        <w:right w:val="none" w:sz="0" w:space="0" w:color="auto"/>
      </w:divBdr>
    </w:div>
    <w:div w:id="1164467913">
      <w:bodyDiv w:val="1"/>
      <w:marLeft w:val="0"/>
      <w:marRight w:val="0"/>
      <w:marTop w:val="0"/>
      <w:marBottom w:val="0"/>
      <w:divBdr>
        <w:top w:val="none" w:sz="0" w:space="0" w:color="auto"/>
        <w:left w:val="none" w:sz="0" w:space="0" w:color="auto"/>
        <w:bottom w:val="none" w:sz="0" w:space="0" w:color="auto"/>
        <w:right w:val="none" w:sz="0" w:space="0" w:color="auto"/>
      </w:divBdr>
    </w:div>
    <w:div w:id="1164474312">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64590380">
      <w:bodyDiv w:val="1"/>
      <w:marLeft w:val="0"/>
      <w:marRight w:val="0"/>
      <w:marTop w:val="0"/>
      <w:marBottom w:val="0"/>
      <w:divBdr>
        <w:top w:val="none" w:sz="0" w:space="0" w:color="auto"/>
        <w:left w:val="none" w:sz="0" w:space="0" w:color="auto"/>
        <w:bottom w:val="none" w:sz="0" w:space="0" w:color="auto"/>
        <w:right w:val="none" w:sz="0" w:space="0" w:color="auto"/>
      </w:divBdr>
    </w:div>
    <w:div w:id="1164781556">
      <w:bodyDiv w:val="1"/>
      <w:marLeft w:val="0"/>
      <w:marRight w:val="0"/>
      <w:marTop w:val="0"/>
      <w:marBottom w:val="0"/>
      <w:divBdr>
        <w:top w:val="none" w:sz="0" w:space="0" w:color="auto"/>
        <w:left w:val="none" w:sz="0" w:space="0" w:color="auto"/>
        <w:bottom w:val="none" w:sz="0" w:space="0" w:color="auto"/>
        <w:right w:val="none" w:sz="0" w:space="0" w:color="auto"/>
      </w:divBdr>
    </w:div>
    <w:div w:id="1164932850">
      <w:bodyDiv w:val="1"/>
      <w:marLeft w:val="0"/>
      <w:marRight w:val="0"/>
      <w:marTop w:val="0"/>
      <w:marBottom w:val="0"/>
      <w:divBdr>
        <w:top w:val="none" w:sz="0" w:space="0" w:color="auto"/>
        <w:left w:val="none" w:sz="0" w:space="0" w:color="auto"/>
        <w:bottom w:val="none" w:sz="0" w:space="0" w:color="auto"/>
        <w:right w:val="none" w:sz="0" w:space="0" w:color="auto"/>
      </w:divBdr>
    </w:div>
    <w:div w:id="1165434071">
      <w:bodyDiv w:val="1"/>
      <w:marLeft w:val="0"/>
      <w:marRight w:val="0"/>
      <w:marTop w:val="0"/>
      <w:marBottom w:val="0"/>
      <w:divBdr>
        <w:top w:val="none" w:sz="0" w:space="0" w:color="auto"/>
        <w:left w:val="none" w:sz="0" w:space="0" w:color="auto"/>
        <w:bottom w:val="none" w:sz="0" w:space="0" w:color="auto"/>
        <w:right w:val="none" w:sz="0" w:space="0" w:color="auto"/>
      </w:divBdr>
    </w:div>
    <w:div w:id="1165589306">
      <w:bodyDiv w:val="1"/>
      <w:marLeft w:val="0"/>
      <w:marRight w:val="0"/>
      <w:marTop w:val="0"/>
      <w:marBottom w:val="0"/>
      <w:divBdr>
        <w:top w:val="none" w:sz="0" w:space="0" w:color="auto"/>
        <w:left w:val="none" w:sz="0" w:space="0" w:color="auto"/>
        <w:bottom w:val="none" w:sz="0" w:space="0" w:color="auto"/>
        <w:right w:val="none" w:sz="0" w:space="0" w:color="auto"/>
      </w:divBdr>
    </w:div>
    <w:div w:id="1165631546">
      <w:bodyDiv w:val="1"/>
      <w:marLeft w:val="0"/>
      <w:marRight w:val="0"/>
      <w:marTop w:val="0"/>
      <w:marBottom w:val="0"/>
      <w:divBdr>
        <w:top w:val="none" w:sz="0" w:space="0" w:color="auto"/>
        <w:left w:val="none" w:sz="0" w:space="0" w:color="auto"/>
        <w:bottom w:val="none" w:sz="0" w:space="0" w:color="auto"/>
        <w:right w:val="none" w:sz="0" w:space="0" w:color="auto"/>
      </w:divBdr>
    </w:div>
    <w:div w:id="1165632854">
      <w:bodyDiv w:val="1"/>
      <w:marLeft w:val="0"/>
      <w:marRight w:val="0"/>
      <w:marTop w:val="0"/>
      <w:marBottom w:val="0"/>
      <w:divBdr>
        <w:top w:val="none" w:sz="0" w:space="0" w:color="auto"/>
        <w:left w:val="none" w:sz="0" w:space="0" w:color="auto"/>
        <w:bottom w:val="none" w:sz="0" w:space="0" w:color="auto"/>
        <w:right w:val="none" w:sz="0" w:space="0" w:color="auto"/>
      </w:divBdr>
    </w:div>
    <w:div w:id="1165703393">
      <w:bodyDiv w:val="1"/>
      <w:marLeft w:val="0"/>
      <w:marRight w:val="0"/>
      <w:marTop w:val="0"/>
      <w:marBottom w:val="0"/>
      <w:divBdr>
        <w:top w:val="none" w:sz="0" w:space="0" w:color="auto"/>
        <w:left w:val="none" w:sz="0" w:space="0" w:color="auto"/>
        <w:bottom w:val="none" w:sz="0" w:space="0" w:color="auto"/>
        <w:right w:val="none" w:sz="0" w:space="0" w:color="auto"/>
      </w:divBdr>
    </w:div>
    <w:div w:id="1165706600">
      <w:bodyDiv w:val="1"/>
      <w:marLeft w:val="0"/>
      <w:marRight w:val="0"/>
      <w:marTop w:val="0"/>
      <w:marBottom w:val="0"/>
      <w:divBdr>
        <w:top w:val="none" w:sz="0" w:space="0" w:color="auto"/>
        <w:left w:val="none" w:sz="0" w:space="0" w:color="auto"/>
        <w:bottom w:val="none" w:sz="0" w:space="0" w:color="auto"/>
        <w:right w:val="none" w:sz="0" w:space="0" w:color="auto"/>
      </w:divBdr>
    </w:div>
    <w:div w:id="1165779904">
      <w:bodyDiv w:val="1"/>
      <w:marLeft w:val="0"/>
      <w:marRight w:val="0"/>
      <w:marTop w:val="0"/>
      <w:marBottom w:val="0"/>
      <w:divBdr>
        <w:top w:val="none" w:sz="0" w:space="0" w:color="auto"/>
        <w:left w:val="none" w:sz="0" w:space="0" w:color="auto"/>
        <w:bottom w:val="none" w:sz="0" w:space="0" w:color="auto"/>
        <w:right w:val="none" w:sz="0" w:space="0" w:color="auto"/>
      </w:divBdr>
    </w:div>
    <w:div w:id="1166021724">
      <w:bodyDiv w:val="1"/>
      <w:marLeft w:val="0"/>
      <w:marRight w:val="0"/>
      <w:marTop w:val="0"/>
      <w:marBottom w:val="0"/>
      <w:divBdr>
        <w:top w:val="none" w:sz="0" w:space="0" w:color="auto"/>
        <w:left w:val="none" w:sz="0" w:space="0" w:color="auto"/>
        <w:bottom w:val="none" w:sz="0" w:space="0" w:color="auto"/>
        <w:right w:val="none" w:sz="0" w:space="0" w:color="auto"/>
      </w:divBdr>
    </w:div>
    <w:div w:id="1166089951">
      <w:bodyDiv w:val="1"/>
      <w:marLeft w:val="0"/>
      <w:marRight w:val="0"/>
      <w:marTop w:val="0"/>
      <w:marBottom w:val="0"/>
      <w:divBdr>
        <w:top w:val="none" w:sz="0" w:space="0" w:color="auto"/>
        <w:left w:val="none" w:sz="0" w:space="0" w:color="auto"/>
        <w:bottom w:val="none" w:sz="0" w:space="0" w:color="auto"/>
        <w:right w:val="none" w:sz="0" w:space="0" w:color="auto"/>
      </w:divBdr>
    </w:div>
    <w:div w:id="1166242671">
      <w:bodyDiv w:val="1"/>
      <w:marLeft w:val="0"/>
      <w:marRight w:val="0"/>
      <w:marTop w:val="0"/>
      <w:marBottom w:val="0"/>
      <w:divBdr>
        <w:top w:val="none" w:sz="0" w:space="0" w:color="auto"/>
        <w:left w:val="none" w:sz="0" w:space="0" w:color="auto"/>
        <w:bottom w:val="none" w:sz="0" w:space="0" w:color="auto"/>
        <w:right w:val="none" w:sz="0" w:space="0" w:color="auto"/>
      </w:divBdr>
    </w:div>
    <w:div w:id="1166281724">
      <w:bodyDiv w:val="1"/>
      <w:marLeft w:val="0"/>
      <w:marRight w:val="0"/>
      <w:marTop w:val="0"/>
      <w:marBottom w:val="0"/>
      <w:divBdr>
        <w:top w:val="none" w:sz="0" w:space="0" w:color="auto"/>
        <w:left w:val="none" w:sz="0" w:space="0" w:color="auto"/>
        <w:bottom w:val="none" w:sz="0" w:space="0" w:color="auto"/>
        <w:right w:val="none" w:sz="0" w:space="0" w:color="auto"/>
      </w:divBdr>
    </w:div>
    <w:div w:id="1166289674">
      <w:bodyDiv w:val="1"/>
      <w:marLeft w:val="0"/>
      <w:marRight w:val="0"/>
      <w:marTop w:val="0"/>
      <w:marBottom w:val="0"/>
      <w:divBdr>
        <w:top w:val="none" w:sz="0" w:space="0" w:color="auto"/>
        <w:left w:val="none" w:sz="0" w:space="0" w:color="auto"/>
        <w:bottom w:val="none" w:sz="0" w:space="0" w:color="auto"/>
        <w:right w:val="none" w:sz="0" w:space="0" w:color="auto"/>
      </w:divBdr>
    </w:div>
    <w:div w:id="1166556388">
      <w:bodyDiv w:val="1"/>
      <w:marLeft w:val="0"/>
      <w:marRight w:val="0"/>
      <w:marTop w:val="0"/>
      <w:marBottom w:val="0"/>
      <w:divBdr>
        <w:top w:val="none" w:sz="0" w:space="0" w:color="auto"/>
        <w:left w:val="none" w:sz="0" w:space="0" w:color="auto"/>
        <w:bottom w:val="none" w:sz="0" w:space="0" w:color="auto"/>
        <w:right w:val="none" w:sz="0" w:space="0" w:color="auto"/>
      </w:divBdr>
    </w:div>
    <w:div w:id="1166703973">
      <w:bodyDiv w:val="1"/>
      <w:marLeft w:val="0"/>
      <w:marRight w:val="0"/>
      <w:marTop w:val="0"/>
      <w:marBottom w:val="0"/>
      <w:divBdr>
        <w:top w:val="none" w:sz="0" w:space="0" w:color="auto"/>
        <w:left w:val="none" w:sz="0" w:space="0" w:color="auto"/>
        <w:bottom w:val="none" w:sz="0" w:space="0" w:color="auto"/>
        <w:right w:val="none" w:sz="0" w:space="0" w:color="auto"/>
      </w:divBdr>
    </w:div>
    <w:div w:id="1166704222">
      <w:bodyDiv w:val="1"/>
      <w:marLeft w:val="0"/>
      <w:marRight w:val="0"/>
      <w:marTop w:val="0"/>
      <w:marBottom w:val="0"/>
      <w:divBdr>
        <w:top w:val="none" w:sz="0" w:space="0" w:color="auto"/>
        <w:left w:val="none" w:sz="0" w:space="0" w:color="auto"/>
        <w:bottom w:val="none" w:sz="0" w:space="0" w:color="auto"/>
        <w:right w:val="none" w:sz="0" w:space="0" w:color="auto"/>
      </w:divBdr>
    </w:div>
    <w:div w:id="1166870035">
      <w:bodyDiv w:val="1"/>
      <w:marLeft w:val="0"/>
      <w:marRight w:val="0"/>
      <w:marTop w:val="0"/>
      <w:marBottom w:val="0"/>
      <w:divBdr>
        <w:top w:val="none" w:sz="0" w:space="0" w:color="auto"/>
        <w:left w:val="none" w:sz="0" w:space="0" w:color="auto"/>
        <w:bottom w:val="none" w:sz="0" w:space="0" w:color="auto"/>
        <w:right w:val="none" w:sz="0" w:space="0" w:color="auto"/>
      </w:divBdr>
    </w:div>
    <w:div w:id="1167137209">
      <w:bodyDiv w:val="1"/>
      <w:marLeft w:val="0"/>
      <w:marRight w:val="0"/>
      <w:marTop w:val="0"/>
      <w:marBottom w:val="0"/>
      <w:divBdr>
        <w:top w:val="none" w:sz="0" w:space="0" w:color="auto"/>
        <w:left w:val="none" w:sz="0" w:space="0" w:color="auto"/>
        <w:bottom w:val="none" w:sz="0" w:space="0" w:color="auto"/>
        <w:right w:val="none" w:sz="0" w:space="0" w:color="auto"/>
      </w:divBdr>
    </w:div>
    <w:div w:id="1167591567">
      <w:bodyDiv w:val="1"/>
      <w:marLeft w:val="0"/>
      <w:marRight w:val="0"/>
      <w:marTop w:val="0"/>
      <w:marBottom w:val="0"/>
      <w:divBdr>
        <w:top w:val="none" w:sz="0" w:space="0" w:color="auto"/>
        <w:left w:val="none" w:sz="0" w:space="0" w:color="auto"/>
        <w:bottom w:val="none" w:sz="0" w:space="0" w:color="auto"/>
        <w:right w:val="none" w:sz="0" w:space="0" w:color="auto"/>
      </w:divBdr>
    </w:div>
    <w:div w:id="1167862700">
      <w:bodyDiv w:val="1"/>
      <w:marLeft w:val="0"/>
      <w:marRight w:val="0"/>
      <w:marTop w:val="0"/>
      <w:marBottom w:val="0"/>
      <w:divBdr>
        <w:top w:val="none" w:sz="0" w:space="0" w:color="auto"/>
        <w:left w:val="none" w:sz="0" w:space="0" w:color="auto"/>
        <w:bottom w:val="none" w:sz="0" w:space="0" w:color="auto"/>
        <w:right w:val="none" w:sz="0" w:space="0" w:color="auto"/>
      </w:divBdr>
    </w:div>
    <w:div w:id="1167868828">
      <w:bodyDiv w:val="1"/>
      <w:marLeft w:val="0"/>
      <w:marRight w:val="0"/>
      <w:marTop w:val="0"/>
      <w:marBottom w:val="0"/>
      <w:divBdr>
        <w:top w:val="none" w:sz="0" w:space="0" w:color="auto"/>
        <w:left w:val="none" w:sz="0" w:space="0" w:color="auto"/>
        <w:bottom w:val="none" w:sz="0" w:space="0" w:color="auto"/>
        <w:right w:val="none" w:sz="0" w:space="0" w:color="auto"/>
      </w:divBdr>
    </w:div>
    <w:div w:id="1167944391">
      <w:bodyDiv w:val="1"/>
      <w:marLeft w:val="0"/>
      <w:marRight w:val="0"/>
      <w:marTop w:val="0"/>
      <w:marBottom w:val="0"/>
      <w:divBdr>
        <w:top w:val="none" w:sz="0" w:space="0" w:color="auto"/>
        <w:left w:val="none" w:sz="0" w:space="0" w:color="auto"/>
        <w:bottom w:val="none" w:sz="0" w:space="0" w:color="auto"/>
        <w:right w:val="none" w:sz="0" w:space="0" w:color="auto"/>
      </w:divBdr>
    </w:div>
    <w:div w:id="1168210007">
      <w:bodyDiv w:val="1"/>
      <w:marLeft w:val="0"/>
      <w:marRight w:val="0"/>
      <w:marTop w:val="0"/>
      <w:marBottom w:val="0"/>
      <w:divBdr>
        <w:top w:val="none" w:sz="0" w:space="0" w:color="auto"/>
        <w:left w:val="none" w:sz="0" w:space="0" w:color="auto"/>
        <w:bottom w:val="none" w:sz="0" w:space="0" w:color="auto"/>
        <w:right w:val="none" w:sz="0" w:space="0" w:color="auto"/>
      </w:divBdr>
    </w:div>
    <w:div w:id="1168211045">
      <w:bodyDiv w:val="1"/>
      <w:marLeft w:val="0"/>
      <w:marRight w:val="0"/>
      <w:marTop w:val="0"/>
      <w:marBottom w:val="0"/>
      <w:divBdr>
        <w:top w:val="none" w:sz="0" w:space="0" w:color="auto"/>
        <w:left w:val="none" w:sz="0" w:space="0" w:color="auto"/>
        <w:bottom w:val="none" w:sz="0" w:space="0" w:color="auto"/>
        <w:right w:val="none" w:sz="0" w:space="0" w:color="auto"/>
      </w:divBdr>
    </w:div>
    <w:div w:id="1168248272">
      <w:bodyDiv w:val="1"/>
      <w:marLeft w:val="0"/>
      <w:marRight w:val="0"/>
      <w:marTop w:val="0"/>
      <w:marBottom w:val="0"/>
      <w:divBdr>
        <w:top w:val="none" w:sz="0" w:space="0" w:color="auto"/>
        <w:left w:val="none" w:sz="0" w:space="0" w:color="auto"/>
        <w:bottom w:val="none" w:sz="0" w:space="0" w:color="auto"/>
        <w:right w:val="none" w:sz="0" w:space="0" w:color="auto"/>
      </w:divBdr>
    </w:div>
    <w:div w:id="1168248914">
      <w:bodyDiv w:val="1"/>
      <w:marLeft w:val="0"/>
      <w:marRight w:val="0"/>
      <w:marTop w:val="0"/>
      <w:marBottom w:val="0"/>
      <w:divBdr>
        <w:top w:val="none" w:sz="0" w:space="0" w:color="auto"/>
        <w:left w:val="none" w:sz="0" w:space="0" w:color="auto"/>
        <w:bottom w:val="none" w:sz="0" w:space="0" w:color="auto"/>
        <w:right w:val="none" w:sz="0" w:space="0" w:color="auto"/>
      </w:divBdr>
    </w:div>
    <w:div w:id="1168323683">
      <w:bodyDiv w:val="1"/>
      <w:marLeft w:val="0"/>
      <w:marRight w:val="0"/>
      <w:marTop w:val="0"/>
      <w:marBottom w:val="0"/>
      <w:divBdr>
        <w:top w:val="none" w:sz="0" w:space="0" w:color="auto"/>
        <w:left w:val="none" w:sz="0" w:space="0" w:color="auto"/>
        <w:bottom w:val="none" w:sz="0" w:space="0" w:color="auto"/>
        <w:right w:val="none" w:sz="0" w:space="0" w:color="auto"/>
      </w:divBdr>
    </w:div>
    <w:div w:id="1168441612">
      <w:bodyDiv w:val="1"/>
      <w:marLeft w:val="0"/>
      <w:marRight w:val="0"/>
      <w:marTop w:val="0"/>
      <w:marBottom w:val="0"/>
      <w:divBdr>
        <w:top w:val="none" w:sz="0" w:space="0" w:color="auto"/>
        <w:left w:val="none" w:sz="0" w:space="0" w:color="auto"/>
        <w:bottom w:val="none" w:sz="0" w:space="0" w:color="auto"/>
        <w:right w:val="none" w:sz="0" w:space="0" w:color="auto"/>
      </w:divBdr>
    </w:div>
    <w:div w:id="1168445249">
      <w:bodyDiv w:val="1"/>
      <w:marLeft w:val="0"/>
      <w:marRight w:val="0"/>
      <w:marTop w:val="0"/>
      <w:marBottom w:val="0"/>
      <w:divBdr>
        <w:top w:val="none" w:sz="0" w:space="0" w:color="auto"/>
        <w:left w:val="none" w:sz="0" w:space="0" w:color="auto"/>
        <w:bottom w:val="none" w:sz="0" w:space="0" w:color="auto"/>
        <w:right w:val="none" w:sz="0" w:space="0" w:color="auto"/>
      </w:divBdr>
    </w:div>
    <w:div w:id="1168516756">
      <w:bodyDiv w:val="1"/>
      <w:marLeft w:val="0"/>
      <w:marRight w:val="0"/>
      <w:marTop w:val="0"/>
      <w:marBottom w:val="0"/>
      <w:divBdr>
        <w:top w:val="none" w:sz="0" w:space="0" w:color="auto"/>
        <w:left w:val="none" w:sz="0" w:space="0" w:color="auto"/>
        <w:bottom w:val="none" w:sz="0" w:space="0" w:color="auto"/>
        <w:right w:val="none" w:sz="0" w:space="0" w:color="auto"/>
      </w:divBdr>
    </w:div>
    <w:div w:id="1168520827">
      <w:bodyDiv w:val="1"/>
      <w:marLeft w:val="0"/>
      <w:marRight w:val="0"/>
      <w:marTop w:val="0"/>
      <w:marBottom w:val="0"/>
      <w:divBdr>
        <w:top w:val="none" w:sz="0" w:space="0" w:color="auto"/>
        <w:left w:val="none" w:sz="0" w:space="0" w:color="auto"/>
        <w:bottom w:val="none" w:sz="0" w:space="0" w:color="auto"/>
        <w:right w:val="none" w:sz="0" w:space="0" w:color="auto"/>
      </w:divBdr>
    </w:div>
    <w:div w:id="1169248620">
      <w:bodyDiv w:val="1"/>
      <w:marLeft w:val="0"/>
      <w:marRight w:val="0"/>
      <w:marTop w:val="0"/>
      <w:marBottom w:val="0"/>
      <w:divBdr>
        <w:top w:val="none" w:sz="0" w:space="0" w:color="auto"/>
        <w:left w:val="none" w:sz="0" w:space="0" w:color="auto"/>
        <w:bottom w:val="none" w:sz="0" w:space="0" w:color="auto"/>
        <w:right w:val="none" w:sz="0" w:space="0" w:color="auto"/>
      </w:divBdr>
    </w:div>
    <w:div w:id="1169370065">
      <w:bodyDiv w:val="1"/>
      <w:marLeft w:val="0"/>
      <w:marRight w:val="0"/>
      <w:marTop w:val="0"/>
      <w:marBottom w:val="0"/>
      <w:divBdr>
        <w:top w:val="none" w:sz="0" w:space="0" w:color="auto"/>
        <w:left w:val="none" w:sz="0" w:space="0" w:color="auto"/>
        <w:bottom w:val="none" w:sz="0" w:space="0" w:color="auto"/>
        <w:right w:val="none" w:sz="0" w:space="0" w:color="auto"/>
      </w:divBdr>
    </w:div>
    <w:div w:id="1169447445">
      <w:bodyDiv w:val="1"/>
      <w:marLeft w:val="0"/>
      <w:marRight w:val="0"/>
      <w:marTop w:val="0"/>
      <w:marBottom w:val="0"/>
      <w:divBdr>
        <w:top w:val="none" w:sz="0" w:space="0" w:color="auto"/>
        <w:left w:val="none" w:sz="0" w:space="0" w:color="auto"/>
        <w:bottom w:val="none" w:sz="0" w:space="0" w:color="auto"/>
        <w:right w:val="none" w:sz="0" w:space="0" w:color="auto"/>
      </w:divBdr>
    </w:div>
    <w:div w:id="1169558396">
      <w:bodyDiv w:val="1"/>
      <w:marLeft w:val="0"/>
      <w:marRight w:val="0"/>
      <w:marTop w:val="0"/>
      <w:marBottom w:val="0"/>
      <w:divBdr>
        <w:top w:val="none" w:sz="0" w:space="0" w:color="auto"/>
        <w:left w:val="none" w:sz="0" w:space="0" w:color="auto"/>
        <w:bottom w:val="none" w:sz="0" w:space="0" w:color="auto"/>
        <w:right w:val="none" w:sz="0" w:space="0" w:color="auto"/>
      </w:divBdr>
    </w:div>
    <w:div w:id="1169564265">
      <w:bodyDiv w:val="1"/>
      <w:marLeft w:val="0"/>
      <w:marRight w:val="0"/>
      <w:marTop w:val="0"/>
      <w:marBottom w:val="0"/>
      <w:divBdr>
        <w:top w:val="none" w:sz="0" w:space="0" w:color="auto"/>
        <w:left w:val="none" w:sz="0" w:space="0" w:color="auto"/>
        <w:bottom w:val="none" w:sz="0" w:space="0" w:color="auto"/>
        <w:right w:val="none" w:sz="0" w:space="0" w:color="auto"/>
      </w:divBdr>
    </w:div>
    <w:div w:id="1169566514">
      <w:bodyDiv w:val="1"/>
      <w:marLeft w:val="0"/>
      <w:marRight w:val="0"/>
      <w:marTop w:val="0"/>
      <w:marBottom w:val="0"/>
      <w:divBdr>
        <w:top w:val="none" w:sz="0" w:space="0" w:color="auto"/>
        <w:left w:val="none" w:sz="0" w:space="0" w:color="auto"/>
        <w:bottom w:val="none" w:sz="0" w:space="0" w:color="auto"/>
        <w:right w:val="none" w:sz="0" w:space="0" w:color="auto"/>
      </w:divBdr>
    </w:div>
    <w:div w:id="1169566861">
      <w:bodyDiv w:val="1"/>
      <w:marLeft w:val="0"/>
      <w:marRight w:val="0"/>
      <w:marTop w:val="0"/>
      <w:marBottom w:val="0"/>
      <w:divBdr>
        <w:top w:val="none" w:sz="0" w:space="0" w:color="auto"/>
        <w:left w:val="none" w:sz="0" w:space="0" w:color="auto"/>
        <w:bottom w:val="none" w:sz="0" w:space="0" w:color="auto"/>
        <w:right w:val="none" w:sz="0" w:space="0" w:color="auto"/>
      </w:divBdr>
    </w:div>
    <w:div w:id="1169783387">
      <w:bodyDiv w:val="1"/>
      <w:marLeft w:val="0"/>
      <w:marRight w:val="0"/>
      <w:marTop w:val="0"/>
      <w:marBottom w:val="0"/>
      <w:divBdr>
        <w:top w:val="none" w:sz="0" w:space="0" w:color="auto"/>
        <w:left w:val="none" w:sz="0" w:space="0" w:color="auto"/>
        <w:bottom w:val="none" w:sz="0" w:space="0" w:color="auto"/>
        <w:right w:val="none" w:sz="0" w:space="0" w:color="auto"/>
      </w:divBdr>
    </w:div>
    <w:div w:id="1169828534">
      <w:bodyDiv w:val="1"/>
      <w:marLeft w:val="0"/>
      <w:marRight w:val="0"/>
      <w:marTop w:val="0"/>
      <w:marBottom w:val="0"/>
      <w:divBdr>
        <w:top w:val="none" w:sz="0" w:space="0" w:color="auto"/>
        <w:left w:val="none" w:sz="0" w:space="0" w:color="auto"/>
        <w:bottom w:val="none" w:sz="0" w:space="0" w:color="auto"/>
        <w:right w:val="none" w:sz="0" w:space="0" w:color="auto"/>
      </w:divBdr>
    </w:div>
    <w:div w:id="1170096105">
      <w:bodyDiv w:val="1"/>
      <w:marLeft w:val="0"/>
      <w:marRight w:val="0"/>
      <w:marTop w:val="0"/>
      <w:marBottom w:val="0"/>
      <w:divBdr>
        <w:top w:val="none" w:sz="0" w:space="0" w:color="auto"/>
        <w:left w:val="none" w:sz="0" w:space="0" w:color="auto"/>
        <w:bottom w:val="none" w:sz="0" w:space="0" w:color="auto"/>
        <w:right w:val="none" w:sz="0" w:space="0" w:color="auto"/>
      </w:divBdr>
    </w:div>
    <w:div w:id="1170177167">
      <w:bodyDiv w:val="1"/>
      <w:marLeft w:val="0"/>
      <w:marRight w:val="0"/>
      <w:marTop w:val="0"/>
      <w:marBottom w:val="0"/>
      <w:divBdr>
        <w:top w:val="none" w:sz="0" w:space="0" w:color="auto"/>
        <w:left w:val="none" w:sz="0" w:space="0" w:color="auto"/>
        <w:bottom w:val="none" w:sz="0" w:space="0" w:color="auto"/>
        <w:right w:val="none" w:sz="0" w:space="0" w:color="auto"/>
      </w:divBdr>
    </w:div>
    <w:div w:id="1170177209">
      <w:bodyDiv w:val="1"/>
      <w:marLeft w:val="0"/>
      <w:marRight w:val="0"/>
      <w:marTop w:val="0"/>
      <w:marBottom w:val="0"/>
      <w:divBdr>
        <w:top w:val="none" w:sz="0" w:space="0" w:color="auto"/>
        <w:left w:val="none" w:sz="0" w:space="0" w:color="auto"/>
        <w:bottom w:val="none" w:sz="0" w:space="0" w:color="auto"/>
        <w:right w:val="none" w:sz="0" w:space="0" w:color="auto"/>
      </w:divBdr>
    </w:div>
    <w:div w:id="1170372391">
      <w:bodyDiv w:val="1"/>
      <w:marLeft w:val="0"/>
      <w:marRight w:val="0"/>
      <w:marTop w:val="0"/>
      <w:marBottom w:val="0"/>
      <w:divBdr>
        <w:top w:val="none" w:sz="0" w:space="0" w:color="auto"/>
        <w:left w:val="none" w:sz="0" w:space="0" w:color="auto"/>
        <w:bottom w:val="none" w:sz="0" w:space="0" w:color="auto"/>
        <w:right w:val="none" w:sz="0" w:space="0" w:color="auto"/>
      </w:divBdr>
    </w:div>
    <w:div w:id="1170483853">
      <w:bodyDiv w:val="1"/>
      <w:marLeft w:val="0"/>
      <w:marRight w:val="0"/>
      <w:marTop w:val="0"/>
      <w:marBottom w:val="0"/>
      <w:divBdr>
        <w:top w:val="none" w:sz="0" w:space="0" w:color="auto"/>
        <w:left w:val="none" w:sz="0" w:space="0" w:color="auto"/>
        <w:bottom w:val="none" w:sz="0" w:space="0" w:color="auto"/>
        <w:right w:val="none" w:sz="0" w:space="0" w:color="auto"/>
      </w:divBdr>
    </w:div>
    <w:div w:id="1170561829">
      <w:bodyDiv w:val="1"/>
      <w:marLeft w:val="0"/>
      <w:marRight w:val="0"/>
      <w:marTop w:val="0"/>
      <w:marBottom w:val="0"/>
      <w:divBdr>
        <w:top w:val="none" w:sz="0" w:space="0" w:color="auto"/>
        <w:left w:val="none" w:sz="0" w:space="0" w:color="auto"/>
        <w:bottom w:val="none" w:sz="0" w:space="0" w:color="auto"/>
        <w:right w:val="none" w:sz="0" w:space="0" w:color="auto"/>
      </w:divBdr>
    </w:div>
    <w:div w:id="1170634482">
      <w:bodyDiv w:val="1"/>
      <w:marLeft w:val="0"/>
      <w:marRight w:val="0"/>
      <w:marTop w:val="0"/>
      <w:marBottom w:val="0"/>
      <w:divBdr>
        <w:top w:val="none" w:sz="0" w:space="0" w:color="auto"/>
        <w:left w:val="none" w:sz="0" w:space="0" w:color="auto"/>
        <w:bottom w:val="none" w:sz="0" w:space="0" w:color="auto"/>
        <w:right w:val="none" w:sz="0" w:space="0" w:color="auto"/>
      </w:divBdr>
    </w:div>
    <w:div w:id="1170683938">
      <w:bodyDiv w:val="1"/>
      <w:marLeft w:val="0"/>
      <w:marRight w:val="0"/>
      <w:marTop w:val="0"/>
      <w:marBottom w:val="0"/>
      <w:divBdr>
        <w:top w:val="none" w:sz="0" w:space="0" w:color="auto"/>
        <w:left w:val="none" w:sz="0" w:space="0" w:color="auto"/>
        <w:bottom w:val="none" w:sz="0" w:space="0" w:color="auto"/>
        <w:right w:val="none" w:sz="0" w:space="0" w:color="auto"/>
      </w:divBdr>
    </w:div>
    <w:div w:id="1170873968">
      <w:bodyDiv w:val="1"/>
      <w:marLeft w:val="0"/>
      <w:marRight w:val="0"/>
      <w:marTop w:val="0"/>
      <w:marBottom w:val="0"/>
      <w:divBdr>
        <w:top w:val="none" w:sz="0" w:space="0" w:color="auto"/>
        <w:left w:val="none" w:sz="0" w:space="0" w:color="auto"/>
        <w:bottom w:val="none" w:sz="0" w:space="0" w:color="auto"/>
        <w:right w:val="none" w:sz="0" w:space="0" w:color="auto"/>
      </w:divBdr>
    </w:div>
    <w:div w:id="1170950181">
      <w:bodyDiv w:val="1"/>
      <w:marLeft w:val="0"/>
      <w:marRight w:val="0"/>
      <w:marTop w:val="0"/>
      <w:marBottom w:val="0"/>
      <w:divBdr>
        <w:top w:val="none" w:sz="0" w:space="0" w:color="auto"/>
        <w:left w:val="none" w:sz="0" w:space="0" w:color="auto"/>
        <w:bottom w:val="none" w:sz="0" w:space="0" w:color="auto"/>
        <w:right w:val="none" w:sz="0" w:space="0" w:color="auto"/>
      </w:divBdr>
    </w:div>
    <w:div w:id="1171024335">
      <w:bodyDiv w:val="1"/>
      <w:marLeft w:val="0"/>
      <w:marRight w:val="0"/>
      <w:marTop w:val="0"/>
      <w:marBottom w:val="0"/>
      <w:divBdr>
        <w:top w:val="none" w:sz="0" w:space="0" w:color="auto"/>
        <w:left w:val="none" w:sz="0" w:space="0" w:color="auto"/>
        <w:bottom w:val="none" w:sz="0" w:space="0" w:color="auto"/>
        <w:right w:val="none" w:sz="0" w:space="0" w:color="auto"/>
      </w:divBdr>
    </w:div>
    <w:div w:id="1171259984">
      <w:bodyDiv w:val="1"/>
      <w:marLeft w:val="0"/>
      <w:marRight w:val="0"/>
      <w:marTop w:val="0"/>
      <w:marBottom w:val="0"/>
      <w:divBdr>
        <w:top w:val="none" w:sz="0" w:space="0" w:color="auto"/>
        <w:left w:val="none" w:sz="0" w:space="0" w:color="auto"/>
        <w:bottom w:val="none" w:sz="0" w:space="0" w:color="auto"/>
        <w:right w:val="none" w:sz="0" w:space="0" w:color="auto"/>
      </w:divBdr>
    </w:div>
    <w:div w:id="1171482531">
      <w:bodyDiv w:val="1"/>
      <w:marLeft w:val="0"/>
      <w:marRight w:val="0"/>
      <w:marTop w:val="0"/>
      <w:marBottom w:val="0"/>
      <w:divBdr>
        <w:top w:val="none" w:sz="0" w:space="0" w:color="auto"/>
        <w:left w:val="none" w:sz="0" w:space="0" w:color="auto"/>
        <w:bottom w:val="none" w:sz="0" w:space="0" w:color="auto"/>
        <w:right w:val="none" w:sz="0" w:space="0" w:color="auto"/>
      </w:divBdr>
    </w:div>
    <w:div w:id="1171483244">
      <w:bodyDiv w:val="1"/>
      <w:marLeft w:val="0"/>
      <w:marRight w:val="0"/>
      <w:marTop w:val="0"/>
      <w:marBottom w:val="0"/>
      <w:divBdr>
        <w:top w:val="none" w:sz="0" w:space="0" w:color="auto"/>
        <w:left w:val="none" w:sz="0" w:space="0" w:color="auto"/>
        <w:bottom w:val="none" w:sz="0" w:space="0" w:color="auto"/>
        <w:right w:val="none" w:sz="0" w:space="0" w:color="auto"/>
      </w:divBdr>
    </w:div>
    <w:div w:id="1171486034">
      <w:bodyDiv w:val="1"/>
      <w:marLeft w:val="0"/>
      <w:marRight w:val="0"/>
      <w:marTop w:val="0"/>
      <w:marBottom w:val="0"/>
      <w:divBdr>
        <w:top w:val="none" w:sz="0" w:space="0" w:color="auto"/>
        <w:left w:val="none" w:sz="0" w:space="0" w:color="auto"/>
        <w:bottom w:val="none" w:sz="0" w:space="0" w:color="auto"/>
        <w:right w:val="none" w:sz="0" w:space="0" w:color="auto"/>
      </w:divBdr>
    </w:div>
    <w:div w:id="1171608234">
      <w:bodyDiv w:val="1"/>
      <w:marLeft w:val="0"/>
      <w:marRight w:val="0"/>
      <w:marTop w:val="0"/>
      <w:marBottom w:val="0"/>
      <w:divBdr>
        <w:top w:val="none" w:sz="0" w:space="0" w:color="auto"/>
        <w:left w:val="none" w:sz="0" w:space="0" w:color="auto"/>
        <w:bottom w:val="none" w:sz="0" w:space="0" w:color="auto"/>
        <w:right w:val="none" w:sz="0" w:space="0" w:color="auto"/>
      </w:divBdr>
    </w:div>
    <w:div w:id="1171750622">
      <w:bodyDiv w:val="1"/>
      <w:marLeft w:val="0"/>
      <w:marRight w:val="0"/>
      <w:marTop w:val="0"/>
      <w:marBottom w:val="0"/>
      <w:divBdr>
        <w:top w:val="none" w:sz="0" w:space="0" w:color="auto"/>
        <w:left w:val="none" w:sz="0" w:space="0" w:color="auto"/>
        <w:bottom w:val="none" w:sz="0" w:space="0" w:color="auto"/>
        <w:right w:val="none" w:sz="0" w:space="0" w:color="auto"/>
      </w:divBdr>
    </w:div>
    <w:div w:id="1171800286">
      <w:bodyDiv w:val="1"/>
      <w:marLeft w:val="0"/>
      <w:marRight w:val="0"/>
      <w:marTop w:val="0"/>
      <w:marBottom w:val="0"/>
      <w:divBdr>
        <w:top w:val="none" w:sz="0" w:space="0" w:color="auto"/>
        <w:left w:val="none" w:sz="0" w:space="0" w:color="auto"/>
        <w:bottom w:val="none" w:sz="0" w:space="0" w:color="auto"/>
        <w:right w:val="none" w:sz="0" w:space="0" w:color="auto"/>
      </w:divBdr>
    </w:div>
    <w:div w:id="1171992547">
      <w:bodyDiv w:val="1"/>
      <w:marLeft w:val="0"/>
      <w:marRight w:val="0"/>
      <w:marTop w:val="0"/>
      <w:marBottom w:val="0"/>
      <w:divBdr>
        <w:top w:val="none" w:sz="0" w:space="0" w:color="auto"/>
        <w:left w:val="none" w:sz="0" w:space="0" w:color="auto"/>
        <w:bottom w:val="none" w:sz="0" w:space="0" w:color="auto"/>
        <w:right w:val="none" w:sz="0" w:space="0" w:color="auto"/>
      </w:divBdr>
    </w:div>
    <w:div w:id="1172334289">
      <w:bodyDiv w:val="1"/>
      <w:marLeft w:val="0"/>
      <w:marRight w:val="0"/>
      <w:marTop w:val="0"/>
      <w:marBottom w:val="0"/>
      <w:divBdr>
        <w:top w:val="none" w:sz="0" w:space="0" w:color="auto"/>
        <w:left w:val="none" w:sz="0" w:space="0" w:color="auto"/>
        <w:bottom w:val="none" w:sz="0" w:space="0" w:color="auto"/>
        <w:right w:val="none" w:sz="0" w:space="0" w:color="auto"/>
      </w:divBdr>
    </w:div>
    <w:div w:id="1172523569">
      <w:bodyDiv w:val="1"/>
      <w:marLeft w:val="0"/>
      <w:marRight w:val="0"/>
      <w:marTop w:val="0"/>
      <w:marBottom w:val="0"/>
      <w:divBdr>
        <w:top w:val="none" w:sz="0" w:space="0" w:color="auto"/>
        <w:left w:val="none" w:sz="0" w:space="0" w:color="auto"/>
        <w:bottom w:val="none" w:sz="0" w:space="0" w:color="auto"/>
        <w:right w:val="none" w:sz="0" w:space="0" w:color="auto"/>
      </w:divBdr>
    </w:div>
    <w:div w:id="1172527855">
      <w:bodyDiv w:val="1"/>
      <w:marLeft w:val="0"/>
      <w:marRight w:val="0"/>
      <w:marTop w:val="0"/>
      <w:marBottom w:val="0"/>
      <w:divBdr>
        <w:top w:val="none" w:sz="0" w:space="0" w:color="auto"/>
        <w:left w:val="none" w:sz="0" w:space="0" w:color="auto"/>
        <w:bottom w:val="none" w:sz="0" w:space="0" w:color="auto"/>
        <w:right w:val="none" w:sz="0" w:space="0" w:color="auto"/>
      </w:divBdr>
    </w:div>
    <w:div w:id="1172792480">
      <w:bodyDiv w:val="1"/>
      <w:marLeft w:val="0"/>
      <w:marRight w:val="0"/>
      <w:marTop w:val="0"/>
      <w:marBottom w:val="0"/>
      <w:divBdr>
        <w:top w:val="none" w:sz="0" w:space="0" w:color="auto"/>
        <w:left w:val="none" w:sz="0" w:space="0" w:color="auto"/>
        <w:bottom w:val="none" w:sz="0" w:space="0" w:color="auto"/>
        <w:right w:val="none" w:sz="0" w:space="0" w:color="auto"/>
      </w:divBdr>
    </w:div>
    <w:div w:id="1172843082">
      <w:bodyDiv w:val="1"/>
      <w:marLeft w:val="0"/>
      <w:marRight w:val="0"/>
      <w:marTop w:val="0"/>
      <w:marBottom w:val="0"/>
      <w:divBdr>
        <w:top w:val="none" w:sz="0" w:space="0" w:color="auto"/>
        <w:left w:val="none" w:sz="0" w:space="0" w:color="auto"/>
        <w:bottom w:val="none" w:sz="0" w:space="0" w:color="auto"/>
        <w:right w:val="none" w:sz="0" w:space="0" w:color="auto"/>
      </w:divBdr>
    </w:div>
    <w:div w:id="1172915774">
      <w:bodyDiv w:val="1"/>
      <w:marLeft w:val="0"/>
      <w:marRight w:val="0"/>
      <w:marTop w:val="0"/>
      <w:marBottom w:val="0"/>
      <w:divBdr>
        <w:top w:val="none" w:sz="0" w:space="0" w:color="auto"/>
        <w:left w:val="none" w:sz="0" w:space="0" w:color="auto"/>
        <w:bottom w:val="none" w:sz="0" w:space="0" w:color="auto"/>
        <w:right w:val="none" w:sz="0" w:space="0" w:color="auto"/>
      </w:divBdr>
    </w:div>
    <w:div w:id="1172917126">
      <w:bodyDiv w:val="1"/>
      <w:marLeft w:val="0"/>
      <w:marRight w:val="0"/>
      <w:marTop w:val="0"/>
      <w:marBottom w:val="0"/>
      <w:divBdr>
        <w:top w:val="none" w:sz="0" w:space="0" w:color="auto"/>
        <w:left w:val="none" w:sz="0" w:space="0" w:color="auto"/>
        <w:bottom w:val="none" w:sz="0" w:space="0" w:color="auto"/>
        <w:right w:val="none" w:sz="0" w:space="0" w:color="auto"/>
      </w:divBdr>
    </w:div>
    <w:div w:id="1172985082">
      <w:bodyDiv w:val="1"/>
      <w:marLeft w:val="0"/>
      <w:marRight w:val="0"/>
      <w:marTop w:val="0"/>
      <w:marBottom w:val="0"/>
      <w:divBdr>
        <w:top w:val="none" w:sz="0" w:space="0" w:color="auto"/>
        <w:left w:val="none" w:sz="0" w:space="0" w:color="auto"/>
        <w:bottom w:val="none" w:sz="0" w:space="0" w:color="auto"/>
        <w:right w:val="none" w:sz="0" w:space="0" w:color="auto"/>
      </w:divBdr>
    </w:div>
    <w:div w:id="1173035354">
      <w:bodyDiv w:val="1"/>
      <w:marLeft w:val="0"/>
      <w:marRight w:val="0"/>
      <w:marTop w:val="0"/>
      <w:marBottom w:val="0"/>
      <w:divBdr>
        <w:top w:val="none" w:sz="0" w:space="0" w:color="auto"/>
        <w:left w:val="none" w:sz="0" w:space="0" w:color="auto"/>
        <w:bottom w:val="none" w:sz="0" w:space="0" w:color="auto"/>
        <w:right w:val="none" w:sz="0" w:space="0" w:color="auto"/>
      </w:divBdr>
    </w:div>
    <w:div w:id="1173110761">
      <w:bodyDiv w:val="1"/>
      <w:marLeft w:val="0"/>
      <w:marRight w:val="0"/>
      <w:marTop w:val="0"/>
      <w:marBottom w:val="0"/>
      <w:divBdr>
        <w:top w:val="none" w:sz="0" w:space="0" w:color="auto"/>
        <w:left w:val="none" w:sz="0" w:space="0" w:color="auto"/>
        <w:bottom w:val="none" w:sz="0" w:space="0" w:color="auto"/>
        <w:right w:val="none" w:sz="0" w:space="0" w:color="auto"/>
      </w:divBdr>
    </w:div>
    <w:div w:id="1173179497">
      <w:bodyDiv w:val="1"/>
      <w:marLeft w:val="0"/>
      <w:marRight w:val="0"/>
      <w:marTop w:val="0"/>
      <w:marBottom w:val="0"/>
      <w:divBdr>
        <w:top w:val="none" w:sz="0" w:space="0" w:color="auto"/>
        <w:left w:val="none" w:sz="0" w:space="0" w:color="auto"/>
        <w:bottom w:val="none" w:sz="0" w:space="0" w:color="auto"/>
        <w:right w:val="none" w:sz="0" w:space="0" w:color="auto"/>
      </w:divBdr>
    </w:div>
    <w:div w:id="1173186732">
      <w:bodyDiv w:val="1"/>
      <w:marLeft w:val="0"/>
      <w:marRight w:val="0"/>
      <w:marTop w:val="0"/>
      <w:marBottom w:val="0"/>
      <w:divBdr>
        <w:top w:val="none" w:sz="0" w:space="0" w:color="auto"/>
        <w:left w:val="none" w:sz="0" w:space="0" w:color="auto"/>
        <w:bottom w:val="none" w:sz="0" w:space="0" w:color="auto"/>
        <w:right w:val="none" w:sz="0" w:space="0" w:color="auto"/>
      </w:divBdr>
    </w:div>
    <w:div w:id="1173253911">
      <w:bodyDiv w:val="1"/>
      <w:marLeft w:val="0"/>
      <w:marRight w:val="0"/>
      <w:marTop w:val="0"/>
      <w:marBottom w:val="0"/>
      <w:divBdr>
        <w:top w:val="none" w:sz="0" w:space="0" w:color="auto"/>
        <w:left w:val="none" w:sz="0" w:space="0" w:color="auto"/>
        <w:bottom w:val="none" w:sz="0" w:space="0" w:color="auto"/>
        <w:right w:val="none" w:sz="0" w:space="0" w:color="auto"/>
      </w:divBdr>
    </w:div>
    <w:div w:id="1173297845">
      <w:bodyDiv w:val="1"/>
      <w:marLeft w:val="0"/>
      <w:marRight w:val="0"/>
      <w:marTop w:val="0"/>
      <w:marBottom w:val="0"/>
      <w:divBdr>
        <w:top w:val="none" w:sz="0" w:space="0" w:color="auto"/>
        <w:left w:val="none" w:sz="0" w:space="0" w:color="auto"/>
        <w:bottom w:val="none" w:sz="0" w:space="0" w:color="auto"/>
        <w:right w:val="none" w:sz="0" w:space="0" w:color="auto"/>
      </w:divBdr>
    </w:div>
    <w:div w:id="1173300316">
      <w:bodyDiv w:val="1"/>
      <w:marLeft w:val="0"/>
      <w:marRight w:val="0"/>
      <w:marTop w:val="0"/>
      <w:marBottom w:val="0"/>
      <w:divBdr>
        <w:top w:val="none" w:sz="0" w:space="0" w:color="auto"/>
        <w:left w:val="none" w:sz="0" w:space="0" w:color="auto"/>
        <w:bottom w:val="none" w:sz="0" w:space="0" w:color="auto"/>
        <w:right w:val="none" w:sz="0" w:space="0" w:color="auto"/>
      </w:divBdr>
    </w:div>
    <w:div w:id="1173303323">
      <w:bodyDiv w:val="1"/>
      <w:marLeft w:val="0"/>
      <w:marRight w:val="0"/>
      <w:marTop w:val="0"/>
      <w:marBottom w:val="0"/>
      <w:divBdr>
        <w:top w:val="none" w:sz="0" w:space="0" w:color="auto"/>
        <w:left w:val="none" w:sz="0" w:space="0" w:color="auto"/>
        <w:bottom w:val="none" w:sz="0" w:space="0" w:color="auto"/>
        <w:right w:val="none" w:sz="0" w:space="0" w:color="auto"/>
      </w:divBdr>
    </w:div>
    <w:div w:id="1173450926">
      <w:bodyDiv w:val="1"/>
      <w:marLeft w:val="0"/>
      <w:marRight w:val="0"/>
      <w:marTop w:val="0"/>
      <w:marBottom w:val="0"/>
      <w:divBdr>
        <w:top w:val="none" w:sz="0" w:space="0" w:color="auto"/>
        <w:left w:val="none" w:sz="0" w:space="0" w:color="auto"/>
        <w:bottom w:val="none" w:sz="0" w:space="0" w:color="auto"/>
        <w:right w:val="none" w:sz="0" w:space="0" w:color="auto"/>
      </w:divBdr>
    </w:div>
    <w:div w:id="1173453088">
      <w:bodyDiv w:val="1"/>
      <w:marLeft w:val="0"/>
      <w:marRight w:val="0"/>
      <w:marTop w:val="0"/>
      <w:marBottom w:val="0"/>
      <w:divBdr>
        <w:top w:val="none" w:sz="0" w:space="0" w:color="auto"/>
        <w:left w:val="none" w:sz="0" w:space="0" w:color="auto"/>
        <w:bottom w:val="none" w:sz="0" w:space="0" w:color="auto"/>
        <w:right w:val="none" w:sz="0" w:space="0" w:color="auto"/>
      </w:divBdr>
    </w:div>
    <w:div w:id="1173569249">
      <w:bodyDiv w:val="1"/>
      <w:marLeft w:val="0"/>
      <w:marRight w:val="0"/>
      <w:marTop w:val="0"/>
      <w:marBottom w:val="0"/>
      <w:divBdr>
        <w:top w:val="none" w:sz="0" w:space="0" w:color="auto"/>
        <w:left w:val="none" w:sz="0" w:space="0" w:color="auto"/>
        <w:bottom w:val="none" w:sz="0" w:space="0" w:color="auto"/>
        <w:right w:val="none" w:sz="0" w:space="0" w:color="auto"/>
      </w:divBdr>
    </w:div>
    <w:div w:id="1173644097">
      <w:bodyDiv w:val="1"/>
      <w:marLeft w:val="0"/>
      <w:marRight w:val="0"/>
      <w:marTop w:val="0"/>
      <w:marBottom w:val="0"/>
      <w:divBdr>
        <w:top w:val="none" w:sz="0" w:space="0" w:color="auto"/>
        <w:left w:val="none" w:sz="0" w:space="0" w:color="auto"/>
        <w:bottom w:val="none" w:sz="0" w:space="0" w:color="auto"/>
        <w:right w:val="none" w:sz="0" w:space="0" w:color="auto"/>
      </w:divBdr>
    </w:div>
    <w:div w:id="1173645173">
      <w:bodyDiv w:val="1"/>
      <w:marLeft w:val="0"/>
      <w:marRight w:val="0"/>
      <w:marTop w:val="0"/>
      <w:marBottom w:val="0"/>
      <w:divBdr>
        <w:top w:val="none" w:sz="0" w:space="0" w:color="auto"/>
        <w:left w:val="none" w:sz="0" w:space="0" w:color="auto"/>
        <w:bottom w:val="none" w:sz="0" w:space="0" w:color="auto"/>
        <w:right w:val="none" w:sz="0" w:space="0" w:color="auto"/>
      </w:divBdr>
    </w:div>
    <w:div w:id="1173685935">
      <w:bodyDiv w:val="1"/>
      <w:marLeft w:val="0"/>
      <w:marRight w:val="0"/>
      <w:marTop w:val="0"/>
      <w:marBottom w:val="0"/>
      <w:divBdr>
        <w:top w:val="none" w:sz="0" w:space="0" w:color="auto"/>
        <w:left w:val="none" w:sz="0" w:space="0" w:color="auto"/>
        <w:bottom w:val="none" w:sz="0" w:space="0" w:color="auto"/>
        <w:right w:val="none" w:sz="0" w:space="0" w:color="auto"/>
      </w:divBdr>
    </w:div>
    <w:div w:id="1174802367">
      <w:bodyDiv w:val="1"/>
      <w:marLeft w:val="0"/>
      <w:marRight w:val="0"/>
      <w:marTop w:val="0"/>
      <w:marBottom w:val="0"/>
      <w:divBdr>
        <w:top w:val="none" w:sz="0" w:space="0" w:color="auto"/>
        <w:left w:val="none" w:sz="0" w:space="0" w:color="auto"/>
        <w:bottom w:val="none" w:sz="0" w:space="0" w:color="auto"/>
        <w:right w:val="none" w:sz="0" w:space="0" w:color="auto"/>
      </w:divBdr>
    </w:div>
    <w:div w:id="1174882139">
      <w:bodyDiv w:val="1"/>
      <w:marLeft w:val="0"/>
      <w:marRight w:val="0"/>
      <w:marTop w:val="0"/>
      <w:marBottom w:val="0"/>
      <w:divBdr>
        <w:top w:val="none" w:sz="0" w:space="0" w:color="auto"/>
        <w:left w:val="none" w:sz="0" w:space="0" w:color="auto"/>
        <w:bottom w:val="none" w:sz="0" w:space="0" w:color="auto"/>
        <w:right w:val="none" w:sz="0" w:space="0" w:color="auto"/>
      </w:divBdr>
    </w:div>
    <w:div w:id="1175025536">
      <w:bodyDiv w:val="1"/>
      <w:marLeft w:val="0"/>
      <w:marRight w:val="0"/>
      <w:marTop w:val="0"/>
      <w:marBottom w:val="0"/>
      <w:divBdr>
        <w:top w:val="none" w:sz="0" w:space="0" w:color="auto"/>
        <w:left w:val="none" w:sz="0" w:space="0" w:color="auto"/>
        <w:bottom w:val="none" w:sz="0" w:space="0" w:color="auto"/>
        <w:right w:val="none" w:sz="0" w:space="0" w:color="auto"/>
      </w:divBdr>
    </w:div>
    <w:div w:id="1175068412">
      <w:bodyDiv w:val="1"/>
      <w:marLeft w:val="0"/>
      <w:marRight w:val="0"/>
      <w:marTop w:val="0"/>
      <w:marBottom w:val="0"/>
      <w:divBdr>
        <w:top w:val="none" w:sz="0" w:space="0" w:color="auto"/>
        <w:left w:val="none" w:sz="0" w:space="0" w:color="auto"/>
        <w:bottom w:val="none" w:sz="0" w:space="0" w:color="auto"/>
        <w:right w:val="none" w:sz="0" w:space="0" w:color="auto"/>
      </w:divBdr>
    </w:div>
    <w:div w:id="1175144571">
      <w:bodyDiv w:val="1"/>
      <w:marLeft w:val="0"/>
      <w:marRight w:val="0"/>
      <w:marTop w:val="0"/>
      <w:marBottom w:val="0"/>
      <w:divBdr>
        <w:top w:val="none" w:sz="0" w:space="0" w:color="auto"/>
        <w:left w:val="none" w:sz="0" w:space="0" w:color="auto"/>
        <w:bottom w:val="none" w:sz="0" w:space="0" w:color="auto"/>
        <w:right w:val="none" w:sz="0" w:space="0" w:color="auto"/>
      </w:divBdr>
    </w:div>
    <w:div w:id="1175195776">
      <w:bodyDiv w:val="1"/>
      <w:marLeft w:val="0"/>
      <w:marRight w:val="0"/>
      <w:marTop w:val="0"/>
      <w:marBottom w:val="0"/>
      <w:divBdr>
        <w:top w:val="none" w:sz="0" w:space="0" w:color="auto"/>
        <w:left w:val="none" w:sz="0" w:space="0" w:color="auto"/>
        <w:bottom w:val="none" w:sz="0" w:space="0" w:color="auto"/>
        <w:right w:val="none" w:sz="0" w:space="0" w:color="auto"/>
      </w:divBdr>
    </w:div>
    <w:div w:id="1175342557">
      <w:bodyDiv w:val="1"/>
      <w:marLeft w:val="0"/>
      <w:marRight w:val="0"/>
      <w:marTop w:val="0"/>
      <w:marBottom w:val="0"/>
      <w:divBdr>
        <w:top w:val="none" w:sz="0" w:space="0" w:color="auto"/>
        <w:left w:val="none" w:sz="0" w:space="0" w:color="auto"/>
        <w:bottom w:val="none" w:sz="0" w:space="0" w:color="auto"/>
        <w:right w:val="none" w:sz="0" w:space="0" w:color="auto"/>
      </w:divBdr>
    </w:div>
    <w:div w:id="1175418576">
      <w:bodyDiv w:val="1"/>
      <w:marLeft w:val="0"/>
      <w:marRight w:val="0"/>
      <w:marTop w:val="0"/>
      <w:marBottom w:val="0"/>
      <w:divBdr>
        <w:top w:val="none" w:sz="0" w:space="0" w:color="auto"/>
        <w:left w:val="none" w:sz="0" w:space="0" w:color="auto"/>
        <w:bottom w:val="none" w:sz="0" w:space="0" w:color="auto"/>
        <w:right w:val="none" w:sz="0" w:space="0" w:color="auto"/>
      </w:divBdr>
    </w:div>
    <w:div w:id="1175463246">
      <w:bodyDiv w:val="1"/>
      <w:marLeft w:val="0"/>
      <w:marRight w:val="0"/>
      <w:marTop w:val="0"/>
      <w:marBottom w:val="0"/>
      <w:divBdr>
        <w:top w:val="none" w:sz="0" w:space="0" w:color="auto"/>
        <w:left w:val="none" w:sz="0" w:space="0" w:color="auto"/>
        <w:bottom w:val="none" w:sz="0" w:space="0" w:color="auto"/>
        <w:right w:val="none" w:sz="0" w:space="0" w:color="auto"/>
      </w:divBdr>
    </w:div>
    <w:div w:id="1175652018">
      <w:bodyDiv w:val="1"/>
      <w:marLeft w:val="0"/>
      <w:marRight w:val="0"/>
      <w:marTop w:val="0"/>
      <w:marBottom w:val="0"/>
      <w:divBdr>
        <w:top w:val="none" w:sz="0" w:space="0" w:color="auto"/>
        <w:left w:val="none" w:sz="0" w:space="0" w:color="auto"/>
        <w:bottom w:val="none" w:sz="0" w:space="0" w:color="auto"/>
        <w:right w:val="none" w:sz="0" w:space="0" w:color="auto"/>
      </w:divBdr>
    </w:div>
    <w:div w:id="1175848980">
      <w:bodyDiv w:val="1"/>
      <w:marLeft w:val="0"/>
      <w:marRight w:val="0"/>
      <w:marTop w:val="0"/>
      <w:marBottom w:val="0"/>
      <w:divBdr>
        <w:top w:val="none" w:sz="0" w:space="0" w:color="auto"/>
        <w:left w:val="none" w:sz="0" w:space="0" w:color="auto"/>
        <w:bottom w:val="none" w:sz="0" w:space="0" w:color="auto"/>
        <w:right w:val="none" w:sz="0" w:space="0" w:color="auto"/>
      </w:divBdr>
    </w:div>
    <w:div w:id="1175878812">
      <w:bodyDiv w:val="1"/>
      <w:marLeft w:val="0"/>
      <w:marRight w:val="0"/>
      <w:marTop w:val="0"/>
      <w:marBottom w:val="0"/>
      <w:divBdr>
        <w:top w:val="none" w:sz="0" w:space="0" w:color="auto"/>
        <w:left w:val="none" w:sz="0" w:space="0" w:color="auto"/>
        <w:bottom w:val="none" w:sz="0" w:space="0" w:color="auto"/>
        <w:right w:val="none" w:sz="0" w:space="0" w:color="auto"/>
      </w:divBdr>
    </w:div>
    <w:div w:id="1175918582">
      <w:bodyDiv w:val="1"/>
      <w:marLeft w:val="0"/>
      <w:marRight w:val="0"/>
      <w:marTop w:val="0"/>
      <w:marBottom w:val="0"/>
      <w:divBdr>
        <w:top w:val="none" w:sz="0" w:space="0" w:color="auto"/>
        <w:left w:val="none" w:sz="0" w:space="0" w:color="auto"/>
        <w:bottom w:val="none" w:sz="0" w:space="0" w:color="auto"/>
        <w:right w:val="none" w:sz="0" w:space="0" w:color="auto"/>
      </w:divBdr>
    </w:div>
    <w:div w:id="1176116048">
      <w:bodyDiv w:val="1"/>
      <w:marLeft w:val="0"/>
      <w:marRight w:val="0"/>
      <w:marTop w:val="0"/>
      <w:marBottom w:val="0"/>
      <w:divBdr>
        <w:top w:val="none" w:sz="0" w:space="0" w:color="auto"/>
        <w:left w:val="none" w:sz="0" w:space="0" w:color="auto"/>
        <w:bottom w:val="none" w:sz="0" w:space="0" w:color="auto"/>
        <w:right w:val="none" w:sz="0" w:space="0" w:color="auto"/>
      </w:divBdr>
    </w:div>
    <w:div w:id="1176189441">
      <w:bodyDiv w:val="1"/>
      <w:marLeft w:val="0"/>
      <w:marRight w:val="0"/>
      <w:marTop w:val="0"/>
      <w:marBottom w:val="0"/>
      <w:divBdr>
        <w:top w:val="none" w:sz="0" w:space="0" w:color="auto"/>
        <w:left w:val="none" w:sz="0" w:space="0" w:color="auto"/>
        <w:bottom w:val="none" w:sz="0" w:space="0" w:color="auto"/>
        <w:right w:val="none" w:sz="0" w:space="0" w:color="auto"/>
      </w:divBdr>
    </w:div>
    <w:div w:id="1176261380">
      <w:bodyDiv w:val="1"/>
      <w:marLeft w:val="0"/>
      <w:marRight w:val="0"/>
      <w:marTop w:val="0"/>
      <w:marBottom w:val="0"/>
      <w:divBdr>
        <w:top w:val="none" w:sz="0" w:space="0" w:color="auto"/>
        <w:left w:val="none" w:sz="0" w:space="0" w:color="auto"/>
        <w:bottom w:val="none" w:sz="0" w:space="0" w:color="auto"/>
        <w:right w:val="none" w:sz="0" w:space="0" w:color="auto"/>
      </w:divBdr>
    </w:div>
    <w:div w:id="1176380401">
      <w:bodyDiv w:val="1"/>
      <w:marLeft w:val="0"/>
      <w:marRight w:val="0"/>
      <w:marTop w:val="0"/>
      <w:marBottom w:val="0"/>
      <w:divBdr>
        <w:top w:val="none" w:sz="0" w:space="0" w:color="auto"/>
        <w:left w:val="none" w:sz="0" w:space="0" w:color="auto"/>
        <w:bottom w:val="none" w:sz="0" w:space="0" w:color="auto"/>
        <w:right w:val="none" w:sz="0" w:space="0" w:color="auto"/>
      </w:divBdr>
    </w:div>
    <w:div w:id="1176383035">
      <w:bodyDiv w:val="1"/>
      <w:marLeft w:val="0"/>
      <w:marRight w:val="0"/>
      <w:marTop w:val="0"/>
      <w:marBottom w:val="0"/>
      <w:divBdr>
        <w:top w:val="none" w:sz="0" w:space="0" w:color="auto"/>
        <w:left w:val="none" w:sz="0" w:space="0" w:color="auto"/>
        <w:bottom w:val="none" w:sz="0" w:space="0" w:color="auto"/>
        <w:right w:val="none" w:sz="0" w:space="0" w:color="auto"/>
      </w:divBdr>
    </w:div>
    <w:div w:id="1176454871">
      <w:bodyDiv w:val="1"/>
      <w:marLeft w:val="0"/>
      <w:marRight w:val="0"/>
      <w:marTop w:val="0"/>
      <w:marBottom w:val="0"/>
      <w:divBdr>
        <w:top w:val="none" w:sz="0" w:space="0" w:color="auto"/>
        <w:left w:val="none" w:sz="0" w:space="0" w:color="auto"/>
        <w:bottom w:val="none" w:sz="0" w:space="0" w:color="auto"/>
        <w:right w:val="none" w:sz="0" w:space="0" w:color="auto"/>
      </w:divBdr>
    </w:div>
    <w:div w:id="1176698944">
      <w:bodyDiv w:val="1"/>
      <w:marLeft w:val="0"/>
      <w:marRight w:val="0"/>
      <w:marTop w:val="0"/>
      <w:marBottom w:val="0"/>
      <w:divBdr>
        <w:top w:val="none" w:sz="0" w:space="0" w:color="auto"/>
        <w:left w:val="none" w:sz="0" w:space="0" w:color="auto"/>
        <w:bottom w:val="none" w:sz="0" w:space="0" w:color="auto"/>
        <w:right w:val="none" w:sz="0" w:space="0" w:color="auto"/>
      </w:divBdr>
    </w:div>
    <w:div w:id="1176843288">
      <w:bodyDiv w:val="1"/>
      <w:marLeft w:val="0"/>
      <w:marRight w:val="0"/>
      <w:marTop w:val="0"/>
      <w:marBottom w:val="0"/>
      <w:divBdr>
        <w:top w:val="none" w:sz="0" w:space="0" w:color="auto"/>
        <w:left w:val="none" w:sz="0" w:space="0" w:color="auto"/>
        <w:bottom w:val="none" w:sz="0" w:space="0" w:color="auto"/>
        <w:right w:val="none" w:sz="0" w:space="0" w:color="auto"/>
      </w:divBdr>
    </w:div>
    <w:div w:id="1176849858">
      <w:bodyDiv w:val="1"/>
      <w:marLeft w:val="0"/>
      <w:marRight w:val="0"/>
      <w:marTop w:val="0"/>
      <w:marBottom w:val="0"/>
      <w:divBdr>
        <w:top w:val="none" w:sz="0" w:space="0" w:color="auto"/>
        <w:left w:val="none" w:sz="0" w:space="0" w:color="auto"/>
        <w:bottom w:val="none" w:sz="0" w:space="0" w:color="auto"/>
        <w:right w:val="none" w:sz="0" w:space="0" w:color="auto"/>
      </w:divBdr>
    </w:div>
    <w:div w:id="1177116459">
      <w:bodyDiv w:val="1"/>
      <w:marLeft w:val="0"/>
      <w:marRight w:val="0"/>
      <w:marTop w:val="0"/>
      <w:marBottom w:val="0"/>
      <w:divBdr>
        <w:top w:val="none" w:sz="0" w:space="0" w:color="auto"/>
        <w:left w:val="none" w:sz="0" w:space="0" w:color="auto"/>
        <w:bottom w:val="none" w:sz="0" w:space="0" w:color="auto"/>
        <w:right w:val="none" w:sz="0" w:space="0" w:color="auto"/>
      </w:divBdr>
    </w:div>
    <w:div w:id="1177231217">
      <w:bodyDiv w:val="1"/>
      <w:marLeft w:val="0"/>
      <w:marRight w:val="0"/>
      <w:marTop w:val="0"/>
      <w:marBottom w:val="0"/>
      <w:divBdr>
        <w:top w:val="none" w:sz="0" w:space="0" w:color="auto"/>
        <w:left w:val="none" w:sz="0" w:space="0" w:color="auto"/>
        <w:bottom w:val="none" w:sz="0" w:space="0" w:color="auto"/>
        <w:right w:val="none" w:sz="0" w:space="0" w:color="auto"/>
      </w:divBdr>
    </w:div>
    <w:div w:id="1177304382">
      <w:bodyDiv w:val="1"/>
      <w:marLeft w:val="0"/>
      <w:marRight w:val="0"/>
      <w:marTop w:val="0"/>
      <w:marBottom w:val="0"/>
      <w:divBdr>
        <w:top w:val="none" w:sz="0" w:space="0" w:color="auto"/>
        <w:left w:val="none" w:sz="0" w:space="0" w:color="auto"/>
        <w:bottom w:val="none" w:sz="0" w:space="0" w:color="auto"/>
        <w:right w:val="none" w:sz="0" w:space="0" w:color="auto"/>
      </w:divBdr>
    </w:div>
    <w:div w:id="1177306495">
      <w:bodyDiv w:val="1"/>
      <w:marLeft w:val="0"/>
      <w:marRight w:val="0"/>
      <w:marTop w:val="0"/>
      <w:marBottom w:val="0"/>
      <w:divBdr>
        <w:top w:val="none" w:sz="0" w:space="0" w:color="auto"/>
        <w:left w:val="none" w:sz="0" w:space="0" w:color="auto"/>
        <w:bottom w:val="none" w:sz="0" w:space="0" w:color="auto"/>
        <w:right w:val="none" w:sz="0" w:space="0" w:color="auto"/>
      </w:divBdr>
    </w:div>
    <w:div w:id="1177307040">
      <w:bodyDiv w:val="1"/>
      <w:marLeft w:val="0"/>
      <w:marRight w:val="0"/>
      <w:marTop w:val="0"/>
      <w:marBottom w:val="0"/>
      <w:divBdr>
        <w:top w:val="none" w:sz="0" w:space="0" w:color="auto"/>
        <w:left w:val="none" w:sz="0" w:space="0" w:color="auto"/>
        <w:bottom w:val="none" w:sz="0" w:space="0" w:color="auto"/>
        <w:right w:val="none" w:sz="0" w:space="0" w:color="auto"/>
      </w:divBdr>
    </w:div>
    <w:div w:id="1177421972">
      <w:bodyDiv w:val="1"/>
      <w:marLeft w:val="0"/>
      <w:marRight w:val="0"/>
      <w:marTop w:val="0"/>
      <w:marBottom w:val="0"/>
      <w:divBdr>
        <w:top w:val="none" w:sz="0" w:space="0" w:color="auto"/>
        <w:left w:val="none" w:sz="0" w:space="0" w:color="auto"/>
        <w:bottom w:val="none" w:sz="0" w:space="0" w:color="auto"/>
        <w:right w:val="none" w:sz="0" w:space="0" w:color="auto"/>
      </w:divBdr>
    </w:div>
    <w:div w:id="1177886866">
      <w:bodyDiv w:val="1"/>
      <w:marLeft w:val="0"/>
      <w:marRight w:val="0"/>
      <w:marTop w:val="0"/>
      <w:marBottom w:val="0"/>
      <w:divBdr>
        <w:top w:val="none" w:sz="0" w:space="0" w:color="auto"/>
        <w:left w:val="none" w:sz="0" w:space="0" w:color="auto"/>
        <w:bottom w:val="none" w:sz="0" w:space="0" w:color="auto"/>
        <w:right w:val="none" w:sz="0" w:space="0" w:color="auto"/>
      </w:divBdr>
    </w:div>
    <w:div w:id="1178276896">
      <w:bodyDiv w:val="1"/>
      <w:marLeft w:val="0"/>
      <w:marRight w:val="0"/>
      <w:marTop w:val="0"/>
      <w:marBottom w:val="0"/>
      <w:divBdr>
        <w:top w:val="none" w:sz="0" w:space="0" w:color="auto"/>
        <w:left w:val="none" w:sz="0" w:space="0" w:color="auto"/>
        <w:bottom w:val="none" w:sz="0" w:space="0" w:color="auto"/>
        <w:right w:val="none" w:sz="0" w:space="0" w:color="auto"/>
      </w:divBdr>
    </w:div>
    <w:div w:id="1178350841">
      <w:bodyDiv w:val="1"/>
      <w:marLeft w:val="0"/>
      <w:marRight w:val="0"/>
      <w:marTop w:val="0"/>
      <w:marBottom w:val="0"/>
      <w:divBdr>
        <w:top w:val="none" w:sz="0" w:space="0" w:color="auto"/>
        <w:left w:val="none" w:sz="0" w:space="0" w:color="auto"/>
        <w:bottom w:val="none" w:sz="0" w:space="0" w:color="auto"/>
        <w:right w:val="none" w:sz="0" w:space="0" w:color="auto"/>
      </w:divBdr>
    </w:div>
    <w:div w:id="1178425219">
      <w:bodyDiv w:val="1"/>
      <w:marLeft w:val="0"/>
      <w:marRight w:val="0"/>
      <w:marTop w:val="0"/>
      <w:marBottom w:val="0"/>
      <w:divBdr>
        <w:top w:val="none" w:sz="0" w:space="0" w:color="auto"/>
        <w:left w:val="none" w:sz="0" w:space="0" w:color="auto"/>
        <w:bottom w:val="none" w:sz="0" w:space="0" w:color="auto"/>
        <w:right w:val="none" w:sz="0" w:space="0" w:color="auto"/>
      </w:divBdr>
    </w:div>
    <w:div w:id="1178665373">
      <w:bodyDiv w:val="1"/>
      <w:marLeft w:val="0"/>
      <w:marRight w:val="0"/>
      <w:marTop w:val="0"/>
      <w:marBottom w:val="0"/>
      <w:divBdr>
        <w:top w:val="none" w:sz="0" w:space="0" w:color="auto"/>
        <w:left w:val="none" w:sz="0" w:space="0" w:color="auto"/>
        <w:bottom w:val="none" w:sz="0" w:space="0" w:color="auto"/>
        <w:right w:val="none" w:sz="0" w:space="0" w:color="auto"/>
      </w:divBdr>
    </w:div>
    <w:div w:id="1178692307">
      <w:bodyDiv w:val="1"/>
      <w:marLeft w:val="0"/>
      <w:marRight w:val="0"/>
      <w:marTop w:val="0"/>
      <w:marBottom w:val="0"/>
      <w:divBdr>
        <w:top w:val="none" w:sz="0" w:space="0" w:color="auto"/>
        <w:left w:val="none" w:sz="0" w:space="0" w:color="auto"/>
        <w:bottom w:val="none" w:sz="0" w:space="0" w:color="auto"/>
        <w:right w:val="none" w:sz="0" w:space="0" w:color="auto"/>
      </w:divBdr>
    </w:div>
    <w:div w:id="1178736529">
      <w:bodyDiv w:val="1"/>
      <w:marLeft w:val="0"/>
      <w:marRight w:val="0"/>
      <w:marTop w:val="0"/>
      <w:marBottom w:val="0"/>
      <w:divBdr>
        <w:top w:val="none" w:sz="0" w:space="0" w:color="auto"/>
        <w:left w:val="none" w:sz="0" w:space="0" w:color="auto"/>
        <w:bottom w:val="none" w:sz="0" w:space="0" w:color="auto"/>
        <w:right w:val="none" w:sz="0" w:space="0" w:color="auto"/>
      </w:divBdr>
    </w:div>
    <w:div w:id="1179080429">
      <w:bodyDiv w:val="1"/>
      <w:marLeft w:val="0"/>
      <w:marRight w:val="0"/>
      <w:marTop w:val="0"/>
      <w:marBottom w:val="0"/>
      <w:divBdr>
        <w:top w:val="none" w:sz="0" w:space="0" w:color="auto"/>
        <w:left w:val="none" w:sz="0" w:space="0" w:color="auto"/>
        <w:bottom w:val="none" w:sz="0" w:space="0" w:color="auto"/>
        <w:right w:val="none" w:sz="0" w:space="0" w:color="auto"/>
      </w:divBdr>
    </w:div>
    <w:div w:id="1179152167">
      <w:bodyDiv w:val="1"/>
      <w:marLeft w:val="0"/>
      <w:marRight w:val="0"/>
      <w:marTop w:val="0"/>
      <w:marBottom w:val="0"/>
      <w:divBdr>
        <w:top w:val="none" w:sz="0" w:space="0" w:color="auto"/>
        <w:left w:val="none" w:sz="0" w:space="0" w:color="auto"/>
        <w:bottom w:val="none" w:sz="0" w:space="0" w:color="auto"/>
        <w:right w:val="none" w:sz="0" w:space="0" w:color="auto"/>
      </w:divBdr>
    </w:div>
    <w:div w:id="1179156467">
      <w:bodyDiv w:val="1"/>
      <w:marLeft w:val="0"/>
      <w:marRight w:val="0"/>
      <w:marTop w:val="0"/>
      <w:marBottom w:val="0"/>
      <w:divBdr>
        <w:top w:val="none" w:sz="0" w:space="0" w:color="auto"/>
        <w:left w:val="none" w:sz="0" w:space="0" w:color="auto"/>
        <w:bottom w:val="none" w:sz="0" w:space="0" w:color="auto"/>
        <w:right w:val="none" w:sz="0" w:space="0" w:color="auto"/>
      </w:divBdr>
    </w:div>
    <w:div w:id="1179388406">
      <w:bodyDiv w:val="1"/>
      <w:marLeft w:val="0"/>
      <w:marRight w:val="0"/>
      <w:marTop w:val="0"/>
      <w:marBottom w:val="0"/>
      <w:divBdr>
        <w:top w:val="none" w:sz="0" w:space="0" w:color="auto"/>
        <w:left w:val="none" w:sz="0" w:space="0" w:color="auto"/>
        <w:bottom w:val="none" w:sz="0" w:space="0" w:color="auto"/>
        <w:right w:val="none" w:sz="0" w:space="0" w:color="auto"/>
      </w:divBdr>
    </w:div>
    <w:div w:id="1179466725">
      <w:bodyDiv w:val="1"/>
      <w:marLeft w:val="0"/>
      <w:marRight w:val="0"/>
      <w:marTop w:val="0"/>
      <w:marBottom w:val="0"/>
      <w:divBdr>
        <w:top w:val="none" w:sz="0" w:space="0" w:color="auto"/>
        <w:left w:val="none" w:sz="0" w:space="0" w:color="auto"/>
        <w:bottom w:val="none" w:sz="0" w:space="0" w:color="auto"/>
        <w:right w:val="none" w:sz="0" w:space="0" w:color="auto"/>
      </w:divBdr>
    </w:div>
    <w:div w:id="1179467837">
      <w:bodyDiv w:val="1"/>
      <w:marLeft w:val="0"/>
      <w:marRight w:val="0"/>
      <w:marTop w:val="0"/>
      <w:marBottom w:val="0"/>
      <w:divBdr>
        <w:top w:val="none" w:sz="0" w:space="0" w:color="auto"/>
        <w:left w:val="none" w:sz="0" w:space="0" w:color="auto"/>
        <w:bottom w:val="none" w:sz="0" w:space="0" w:color="auto"/>
        <w:right w:val="none" w:sz="0" w:space="0" w:color="auto"/>
      </w:divBdr>
    </w:div>
    <w:div w:id="1179587197">
      <w:bodyDiv w:val="1"/>
      <w:marLeft w:val="0"/>
      <w:marRight w:val="0"/>
      <w:marTop w:val="0"/>
      <w:marBottom w:val="0"/>
      <w:divBdr>
        <w:top w:val="none" w:sz="0" w:space="0" w:color="auto"/>
        <w:left w:val="none" w:sz="0" w:space="0" w:color="auto"/>
        <w:bottom w:val="none" w:sz="0" w:space="0" w:color="auto"/>
        <w:right w:val="none" w:sz="0" w:space="0" w:color="auto"/>
      </w:divBdr>
    </w:div>
    <w:div w:id="1179657520">
      <w:bodyDiv w:val="1"/>
      <w:marLeft w:val="0"/>
      <w:marRight w:val="0"/>
      <w:marTop w:val="0"/>
      <w:marBottom w:val="0"/>
      <w:divBdr>
        <w:top w:val="none" w:sz="0" w:space="0" w:color="auto"/>
        <w:left w:val="none" w:sz="0" w:space="0" w:color="auto"/>
        <w:bottom w:val="none" w:sz="0" w:space="0" w:color="auto"/>
        <w:right w:val="none" w:sz="0" w:space="0" w:color="auto"/>
      </w:divBdr>
    </w:div>
    <w:div w:id="1180121953">
      <w:bodyDiv w:val="1"/>
      <w:marLeft w:val="0"/>
      <w:marRight w:val="0"/>
      <w:marTop w:val="0"/>
      <w:marBottom w:val="0"/>
      <w:divBdr>
        <w:top w:val="none" w:sz="0" w:space="0" w:color="auto"/>
        <w:left w:val="none" w:sz="0" w:space="0" w:color="auto"/>
        <w:bottom w:val="none" w:sz="0" w:space="0" w:color="auto"/>
        <w:right w:val="none" w:sz="0" w:space="0" w:color="auto"/>
      </w:divBdr>
    </w:div>
    <w:div w:id="1180126620">
      <w:bodyDiv w:val="1"/>
      <w:marLeft w:val="0"/>
      <w:marRight w:val="0"/>
      <w:marTop w:val="0"/>
      <w:marBottom w:val="0"/>
      <w:divBdr>
        <w:top w:val="none" w:sz="0" w:space="0" w:color="auto"/>
        <w:left w:val="none" w:sz="0" w:space="0" w:color="auto"/>
        <w:bottom w:val="none" w:sz="0" w:space="0" w:color="auto"/>
        <w:right w:val="none" w:sz="0" w:space="0" w:color="auto"/>
      </w:divBdr>
    </w:div>
    <w:div w:id="1180197996">
      <w:bodyDiv w:val="1"/>
      <w:marLeft w:val="0"/>
      <w:marRight w:val="0"/>
      <w:marTop w:val="0"/>
      <w:marBottom w:val="0"/>
      <w:divBdr>
        <w:top w:val="none" w:sz="0" w:space="0" w:color="auto"/>
        <w:left w:val="none" w:sz="0" w:space="0" w:color="auto"/>
        <w:bottom w:val="none" w:sz="0" w:space="0" w:color="auto"/>
        <w:right w:val="none" w:sz="0" w:space="0" w:color="auto"/>
      </w:divBdr>
    </w:div>
    <w:div w:id="1180856622">
      <w:bodyDiv w:val="1"/>
      <w:marLeft w:val="0"/>
      <w:marRight w:val="0"/>
      <w:marTop w:val="0"/>
      <w:marBottom w:val="0"/>
      <w:divBdr>
        <w:top w:val="none" w:sz="0" w:space="0" w:color="auto"/>
        <w:left w:val="none" w:sz="0" w:space="0" w:color="auto"/>
        <w:bottom w:val="none" w:sz="0" w:space="0" w:color="auto"/>
        <w:right w:val="none" w:sz="0" w:space="0" w:color="auto"/>
      </w:divBdr>
    </w:div>
    <w:div w:id="1180894874">
      <w:bodyDiv w:val="1"/>
      <w:marLeft w:val="0"/>
      <w:marRight w:val="0"/>
      <w:marTop w:val="0"/>
      <w:marBottom w:val="0"/>
      <w:divBdr>
        <w:top w:val="none" w:sz="0" w:space="0" w:color="auto"/>
        <w:left w:val="none" w:sz="0" w:space="0" w:color="auto"/>
        <w:bottom w:val="none" w:sz="0" w:space="0" w:color="auto"/>
        <w:right w:val="none" w:sz="0" w:space="0" w:color="auto"/>
      </w:divBdr>
    </w:div>
    <w:div w:id="1181620977">
      <w:bodyDiv w:val="1"/>
      <w:marLeft w:val="0"/>
      <w:marRight w:val="0"/>
      <w:marTop w:val="0"/>
      <w:marBottom w:val="0"/>
      <w:divBdr>
        <w:top w:val="none" w:sz="0" w:space="0" w:color="auto"/>
        <w:left w:val="none" w:sz="0" w:space="0" w:color="auto"/>
        <w:bottom w:val="none" w:sz="0" w:space="0" w:color="auto"/>
        <w:right w:val="none" w:sz="0" w:space="0" w:color="auto"/>
      </w:divBdr>
    </w:div>
    <w:div w:id="1181816124">
      <w:bodyDiv w:val="1"/>
      <w:marLeft w:val="0"/>
      <w:marRight w:val="0"/>
      <w:marTop w:val="0"/>
      <w:marBottom w:val="0"/>
      <w:divBdr>
        <w:top w:val="none" w:sz="0" w:space="0" w:color="auto"/>
        <w:left w:val="none" w:sz="0" w:space="0" w:color="auto"/>
        <w:bottom w:val="none" w:sz="0" w:space="0" w:color="auto"/>
        <w:right w:val="none" w:sz="0" w:space="0" w:color="auto"/>
      </w:divBdr>
    </w:div>
    <w:div w:id="1182084899">
      <w:bodyDiv w:val="1"/>
      <w:marLeft w:val="0"/>
      <w:marRight w:val="0"/>
      <w:marTop w:val="0"/>
      <w:marBottom w:val="0"/>
      <w:divBdr>
        <w:top w:val="none" w:sz="0" w:space="0" w:color="auto"/>
        <w:left w:val="none" w:sz="0" w:space="0" w:color="auto"/>
        <w:bottom w:val="none" w:sz="0" w:space="0" w:color="auto"/>
        <w:right w:val="none" w:sz="0" w:space="0" w:color="auto"/>
      </w:divBdr>
    </w:div>
    <w:div w:id="1182550123">
      <w:bodyDiv w:val="1"/>
      <w:marLeft w:val="0"/>
      <w:marRight w:val="0"/>
      <w:marTop w:val="0"/>
      <w:marBottom w:val="0"/>
      <w:divBdr>
        <w:top w:val="none" w:sz="0" w:space="0" w:color="auto"/>
        <w:left w:val="none" w:sz="0" w:space="0" w:color="auto"/>
        <w:bottom w:val="none" w:sz="0" w:space="0" w:color="auto"/>
        <w:right w:val="none" w:sz="0" w:space="0" w:color="auto"/>
      </w:divBdr>
    </w:div>
    <w:div w:id="1182936475">
      <w:bodyDiv w:val="1"/>
      <w:marLeft w:val="0"/>
      <w:marRight w:val="0"/>
      <w:marTop w:val="0"/>
      <w:marBottom w:val="0"/>
      <w:divBdr>
        <w:top w:val="none" w:sz="0" w:space="0" w:color="auto"/>
        <w:left w:val="none" w:sz="0" w:space="0" w:color="auto"/>
        <w:bottom w:val="none" w:sz="0" w:space="0" w:color="auto"/>
        <w:right w:val="none" w:sz="0" w:space="0" w:color="auto"/>
      </w:divBdr>
    </w:div>
    <w:div w:id="1183125719">
      <w:bodyDiv w:val="1"/>
      <w:marLeft w:val="0"/>
      <w:marRight w:val="0"/>
      <w:marTop w:val="0"/>
      <w:marBottom w:val="0"/>
      <w:divBdr>
        <w:top w:val="none" w:sz="0" w:space="0" w:color="auto"/>
        <w:left w:val="none" w:sz="0" w:space="0" w:color="auto"/>
        <w:bottom w:val="none" w:sz="0" w:space="0" w:color="auto"/>
        <w:right w:val="none" w:sz="0" w:space="0" w:color="auto"/>
      </w:divBdr>
    </w:div>
    <w:div w:id="1183318248">
      <w:bodyDiv w:val="1"/>
      <w:marLeft w:val="0"/>
      <w:marRight w:val="0"/>
      <w:marTop w:val="0"/>
      <w:marBottom w:val="0"/>
      <w:divBdr>
        <w:top w:val="none" w:sz="0" w:space="0" w:color="auto"/>
        <w:left w:val="none" w:sz="0" w:space="0" w:color="auto"/>
        <w:bottom w:val="none" w:sz="0" w:space="0" w:color="auto"/>
        <w:right w:val="none" w:sz="0" w:space="0" w:color="auto"/>
      </w:divBdr>
    </w:div>
    <w:div w:id="1183662503">
      <w:bodyDiv w:val="1"/>
      <w:marLeft w:val="0"/>
      <w:marRight w:val="0"/>
      <w:marTop w:val="0"/>
      <w:marBottom w:val="0"/>
      <w:divBdr>
        <w:top w:val="none" w:sz="0" w:space="0" w:color="auto"/>
        <w:left w:val="none" w:sz="0" w:space="0" w:color="auto"/>
        <w:bottom w:val="none" w:sz="0" w:space="0" w:color="auto"/>
        <w:right w:val="none" w:sz="0" w:space="0" w:color="auto"/>
      </w:divBdr>
    </w:div>
    <w:div w:id="1183931266">
      <w:bodyDiv w:val="1"/>
      <w:marLeft w:val="0"/>
      <w:marRight w:val="0"/>
      <w:marTop w:val="0"/>
      <w:marBottom w:val="0"/>
      <w:divBdr>
        <w:top w:val="none" w:sz="0" w:space="0" w:color="auto"/>
        <w:left w:val="none" w:sz="0" w:space="0" w:color="auto"/>
        <w:bottom w:val="none" w:sz="0" w:space="0" w:color="auto"/>
        <w:right w:val="none" w:sz="0" w:space="0" w:color="auto"/>
      </w:divBdr>
    </w:div>
    <w:div w:id="1183974037">
      <w:bodyDiv w:val="1"/>
      <w:marLeft w:val="0"/>
      <w:marRight w:val="0"/>
      <w:marTop w:val="0"/>
      <w:marBottom w:val="0"/>
      <w:divBdr>
        <w:top w:val="none" w:sz="0" w:space="0" w:color="auto"/>
        <w:left w:val="none" w:sz="0" w:space="0" w:color="auto"/>
        <w:bottom w:val="none" w:sz="0" w:space="0" w:color="auto"/>
        <w:right w:val="none" w:sz="0" w:space="0" w:color="auto"/>
      </w:divBdr>
    </w:div>
    <w:div w:id="1184123936">
      <w:bodyDiv w:val="1"/>
      <w:marLeft w:val="0"/>
      <w:marRight w:val="0"/>
      <w:marTop w:val="0"/>
      <w:marBottom w:val="0"/>
      <w:divBdr>
        <w:top w:val="none" w:sz="0" w:space="0" w:color="auto"/>
        <w:left w:val="none" w:sz="0" w:space="0" w:color="auto"/>
        <w:bottom w:val="none" w:sz="0" w:space="0" w:color="auto"/>
        <w:right w:val="none" w:sz="0" w:space="0" w:color="auto"/>
      </w:divBdr>
    </w:div>
    <w:div w:id="1184201847">
      <w:bodyDiv w:val="1"/>
      <w:marLeft w:val="0"/>
      <w:marRight w:val="0"/>
      <w:marTop w:val="0"/>
      <w:marBottom w:val="0"/>
      <w:divBdr>
        <w:top w:val="none" w:sz="0" w:space="0" w:color="auto"/>
        <w:left w:val="none" w:sz="0" w:space="0" w:color="auto"/>
        <w:bottom w:val="none" w:sz="0" w:space="0" w:color="auto"/>
        <w:right w:val="none" w:sz="0" w:space="0" w:color="auto"/>
      </w:divBdr>
    </w:div>
    <w:div w:id="1184325868">
      <w:bodyDiv w:val="1"/>
      <w:marLeft w:val="0"/>
      <w:marRight w:val="0"/>
      <w:marTop w:val="0"/>
      <w:marBottom w:val="0"/>
      <w:divBdr>
        <w:top w:val="none" w:sz="0" w:space="0" w:color="auto"/>
        <w:left w:val="none" w:sz="0" w:space="0" w:color="auto"/>
        <w:bottom w:val="none" w:sz="0" w:space="0" w:color="auto"/>
        <w:right w:val="none" w:sz="0" w:space="0" w:color="auto"/>
      </w:divBdr>
    </w:div>
    <w:div w:id="1184592174">
      <w:bodyDiv w:val="1"/>
      <w:marLeft w:val="0"/>
      <w:marRight w:val="0"/>
      <w:marTop w:val="0"/>
      <w:marBottom w:val="0"/>
      <w:divBdr>
        <w:top w:val="none" w:sz="0" w:space="0" w:color="auto"/>
        <w:left w:val="none" w:sz="0" w:space="0" w:color="auto"/>
        <w:bottom w:val="none" w:sz="0" w:space="0" w:color="auto"/>
        <w:right w:val="none" w:sz="0" w:space="0" w:color="auto"/>
      </w:divBdr>
    </w:div>
    <w:div w:id="1184827881">
      <w:bodyDiv w:val="1"/>
      <w:marLeft w:val="0"/>
      <w:marRight w:val="0"/>
      <w:marTop w:val="0"/>
      <w:marBottom w:val="0"/>
      <w:divBdr>
        <w:top w:val="none" w:sz="0" w:space="0" w:color="auto"/>
        <w:left w:val="none" w:sz="0" w:space="0" w:color="auto"/>
        <w:bottom w:val="none" w:sz="0" w:space="0" w:color="auto"/>
        <w:right w:val="none" w:sz="0" w:space="0" w:color="auto"/>
      </w:divBdr>
    </w:div>
    <w:div w:id="1185048695">
      <w:bodyDiv w:val="1"/>
      <w:marLeft w:val="0"/>
      <w:marRight w:val="0"/>
      <w:marTop w:val="0"/>
      <w:marBottom w:val="0"/>
      <w:divBdr>
        <w:top w:val="none" w:sz="0" w:space="0" w:color="auto"/>
        <w:left w:val="none" w:sz="0" w:space="0" w:color="auto"/>
        <w:bottom w:val="none" w:sz="0" w:space="0" w:color="auto"/>
        <w:right w:val="none" w:sz="0" w:space="0" w:color="auto"/>
      </w:divBdr>
    </w:div>
    <w:div w:id="1185098909">
      <w:bodyDiv w:val="1"/>
      <w:marLeft w:val="0"/>
      <w:marRight w:val="0"/>
      <w:marTop w:val="0"/>
      <w:marBottom w:val="0"/>
      <w:divBdr>
        <w:top w:val="none" w:sz="0" w:space="0" w:color="auto"/>
        <w:left w:val="none" w:sz="0" w:space="0" w:color="auto"/>
        <w:bottom w:val="none" w:sz="0" w:space="0" w:color="auto"/>
        <w:right w:val="none" w:sz="0" w:space="0" w:color="auto"/>
      </w:divBdr>
    </w:div>
    <w:div w:id="1185099870">
      <w:bodyDiv w:val="1"/>
      <w:marLeft w:val="0"/>
      <w:marRight w:val="0"/>
      <w:marTop w:val="0"/>
      <w:marBottom w:val="0"/>
      <w:divBdr>
        <w:top w:val="none" w:sz="0" w:space="0" w:color="auto"/>
        <w:left w:val="none" w:sz="0" w:space="0" w:color="auto"/>
        <w:bottom w:val="none" w:sz="0" w:space="0" w:color="auto"/>
        <w:right w:val="none" w:sz="0" w:space="0" w:color="auto"/>
      </w:divBdr>
    </w:div>
    <w:div w:id="1185439607">
      <w:bodyDiv w:val="1"/>
      <w:marLeft w:val="0"/>
      <w:marRight w:val="0"/>
      <w:marTop w:val="0"/>
      <w:marBottom w:val="0"/>
      <w:divBdr>
        <w:top w:val="none" w:sz="0" w:space="0" w:color="auto"/>
        <w:left w:val="none" w:sz="0" w:space="0" w:color="auto"/>
        <w:bottom w:val="none" w:sz="0" w:space="0" w:color="auto"/>
        <w:right w:val="none" w:sz="0" w:space="0" w:color="auto"/>
      </w:divBdr>
    </w:div>
    <w:div w:id="1185557602">
      <w:bodyDiv w:val="1"/>
      <w:marLeft w:val="0"/>
      <w:marRight w:val="0"/>
      <w:marTop w:val="0"/>
      <w:marBottom w:val="0"/>
      <w:divBdr>
        <w:top w:val="none" w:sz="0" w:space="0" w:color="auto"/>
        <w:left w:val="none" w:sz="0" w:space="0" w:color="auto"/>
        <w:bottom w:val="none" w:sz="0" w:space="0" w:color="auto"/>
        <w:right w:val="none" w:sz="0" w:space="0" w:color="auto"/>
      </w:divBdr>
    </w:div>
    <w:div w:id="1185825338">
      <w:bodyDiv w:val="1"/>
      <w:marLeft w:val="0"/>
      <w:marRight w:val="0"/>
      <w:marTop w:val="0"/>
      <w:marBottom w:val="0"/>
      <w:divBdr>
        <w:top w:val="none" w:sz="0" w:space="0" w:color="auto"/>
        <w:left w:val="none" w:sz="0" w:space="0" w:color="auto"/>
        <w:bottom w:val="none" w:sz="0" w:space="0" w:color="auto"/>
        <w:right w:val="none" w:sz="0" w:space="0" w:color="auto"/>
      </w:divBdr>
    </w:div>
    <w:div w:id="1185948021">
      <w:bodyDiv w:val="1"/>
      <w:marLeft w:val="0"/>
      <w:marRight w:val="0"/>
      <w:marTop w:val="0"/>
      <w:marBottom w:val="0"/>
      <w:divBdr>
        <w:top w:val="none" w:sz="0" w:space="0" w:color="auto"/>
        <w:left w:val="none" w:sz="0" w:space="0" w:color="auto"/>
        <w:bottom w:val="none" w:sz="0" w:space="0" w:color="auto"/>
        <w:right w:val="none" w:sz="0" w:space="0" w:color="auto"/>
      </w:divBdr>
    </w:div>
    <w:div w:id="1186140233">
      <w:bodyDiv w:val="1"/>
      <w:marLeft w:val="0"/>
      <w:marRight w:val="0"/>
      <w:marTop w:val="0"/>
      <w:marBottom w:val="0"/>
      <w:divBdr>
        <w:top w:val="none" w:sz="0" w:space="0" w:color="auto"/>
        <w:left w:val="none" w:sz="0" w:space="0" w:color="auto"/>
        <w:bottom w:val="none" w:sz="0" w:space="0" w:color="auto"/>
        <w:right w:val="none" w:sz="0" w:space="0" w:color="auto"/>
      </w:divBdr>
    </w:div>
    <w:div w:id="1186217147">
      <w:bodyDiv w:val="1"/>
      <w:marLeft w:val="0"/>
      <w:marRight w:val="0"/>
      <w:marTop w:val="0"/>
      <w:marBottom w:val="0"/>
      <w:divBdr>
        <w:top w:val="none" w:sz="0" w:space="0" w:color="auto"/>
        <w:left w:val="none" w:sz="0" w:space="0" w:color="auto"/>
        <w:bottom w:val="none" w:sz="0" w:space="0" w:color="auto"/>
        <w:right w:val="none" w:sz="0" w:space="0" w:color="auto"/>
      </w:divBdr>
    </w:div>
    <w:div w:id="1186362263">
      <w:bodyDiv w:val="1"/>
      <w:marLeft w:val="0"/>
      <w:marRight w:val="0"/>
      <w:marTop w:val="0"/>
      <w:marBottom w:val="0"/>
      <w:divBdr>
        <w:top w:val="none" w:sz="0" w:space="0" w:color="auto"/>
        <w:left w:val="none" w:sz="0" w:space="0" w:color="auto"/>
        <w:bottom w:val="none" w:sz="0" w:space="0" w:color="auto"/>
        <w:right w:val="none" w:sz="0" w:space="0" w:color="auto"/>
      </w:divBdr>
    </w:div>
    <w:div w:id="1186552028">
      <w:bodyDiv w:val="1"/>
      <w:marLeft w:val="0"/>
      <w:marRight w:val="0"/>
      <w:marTop w:val="0"/>
      <w:marBottom w:val="0"/>
      <w:divBdr>
        <w:top w:val="none" w:sz="0" w:space="0" w:color="auto"/>
        <w:left w:val="none" w:sz="0" w:space="0" w:color="auto"/>
        <w:bottom w:val="none" w:sz="0" w:space="0" w:color="auto"/>
        <w:right w:val="none" w:sz="0" w:space="0" w:color="auto"/>
      </w:divBdr>
    </w:div>
    <w:div w:id="1186558865">
      <w:bodyDiv w:val="1"/>
      <w:marLeft w:val="0"/>
      <w:marRight w:val="0"/>
      <w:marTop w:val="0"/>
      <w:marBottom w:val="0"/>
      <w:divBdr>
        <w:top w:val="none" w:sz="0" w:space="0" w:color="auto"/>
        <w:left w:val="none" w:sz="0" w:space="0" w:color="auto"/>
        <w:bottom w:val="none" w:sz="0" w:space="0" w:color="auto"/>
        <w:right w:val="none" w:sz="0" w:space="0" w:color="auto"/>
      </w:divBdr>
    </w:div>
    <w:div w:id="1186745232">
      <w:bodyDiv w:val="1"/>
      <w:marLeft w:val="0"/>
      <w:marRight w:val="0"/>
      <w:marTop w:val="0"/>
      <w:marBottom w:val="0"/>
      <w:divBdr>
        <w:top w:val="none" w:sz="0" w:space="0" w:color="auto"/>
        <w:left w:val="none" w:sz="0" w:space="0" w:color="auto"/>
        <w:bottom w:val="none" w:sz="0" w:space="0" w:color="auto"/>
        <w:right w:val="none" w:sz="0" w:space="0" w:color="auto"/>
      </w:divBdr>
    </w:div>
    <w:div w:id="1186822925">
      <w:bodyDiv w:val="1"/>
      <w:marLeft w:val="0"/>
      <w:marRight w:val="0"/>
      <w:marTop w:val="0"/>
      <w:marBottom w:val="0"/>
      <w:divBdr>
        <w:top w:val="none" w:sz="0" w:space="0" w:color="auto"/>
        <w:left w:val="none" w:sz="0" w:space="0" w:color="auto"/>
        <w:bottom w:val="none" w:sz="0" w:space="0" w:color="auto"/>
        <w:right w:val="none" w:sz="0" w:space="0" w:color="auto"/>
      </w:divBdr>
    </w:div>
    <w:div w:id="1187016160">
      <w:bodyDiv w:val="1"/>
      <w:marLeft w:val="0"/>
      <w:marRight w:val="0"/>
      <w:marTop w:val="0"/>
      <w:marBottom w:val="0"/>
      <w:divBdr>
        <w:top w:val="none" w:sz="0" w:space="0" w:color="auto"/>
        <w:left w:val="none" w:sz="0" w:space="0" w:color="auto"/>
        <w:bottom w:val="none" w:sz="0" w:space="0" w:color="auto"/>
        <w:right w:val="none" w:sz="0" w:space="0" w:color="auto"/>
      </w:divBdr>
    </w:div>
    <w:div w:id="1187134401">
      <w:bodyDiv w:val="1"/>
      <w:marLeft w:val="0"/>
      <w:marRight w:val="0"/>
      <w:marTop w:val="0"/>
      <w:marBottom w:val="0"/>
      <w:divBdr>
        <w:top w:val="none" w:sz="0" w:space="0" w:color="auto"/>
        <w:left w:val="none" w:sz="0" w:space="0" w:color="auto"/>
        <w:bottom w:val="none" w:sz="0" w:space="0" w:color="auto"/>
        <w:right w:val="none" w:sz="0" w:space="0" w:color="auto"/>
      </w:divBdr>
    </w:div>
    <w:div w:id="1187402768">
      <w:bodyDiv w:val="1"/>
      <w:marLeft w:val="0"/>
      <w:marRight w:val="0"/>
      <w:marTop w:val="0"/>
      <w:marBottom w:val="0"/>
      <w:divBdr>
        <w:top w:val="none" w:sz="0" w:space="0" w:color="auto"/>
        <w:left w:val="none" w:sz="0" w:space="0" w:color="auto"/>
        <w:bottom w:val="none" w:sz="0" w:space="0" w:color="auto"/>
        <w:right w:val="none" w:sz="0" w:space="0" w:color="auto"/>
      </w:divBdr>
    </w:div>
    <w:div w:id="1187405090">
      <w:bodyDiv w:val="1"/>
      <w:marLeft w:val="0"/>
      <w:marRight w:val="0"/>
      <w:marTop w:val="0"/>
      <w:marBottom w:val="0"/>
      <w:divBdr>
        <w:top w:val="none" w:sz="0" w:space="0" w:color="auto"/>
        <w:left w:val="none" w:sz="0" w:space="0" w:color="auto"/>
        <w:bottom w:val="none" w:sz="0" w:space="0" w:color="auto"/>
        <w:right w:val="none" w:sz="0" w:space="0" w:color="auto"/>
      </w:divBdr>
    </w:div>
    <w:div w:id="1187670611">
      <w:bodyDiv w:val="1"/>
      <w:marLeft w:val="0"/>
      <w:marRight w:val="0"/>
      <w:marTop w:val="0"/>
      <w:marBottom w:val="0"/>
      <w:divBdr>
        <w:top w:val="none" w:sz="0" w:space="0" w:color="auto"/>
        <w:left w:val="none" w:sz="0" w:space="0" w:color="auto"/>
        <w:bottom w:val="none" w:sz="0" w:space="0" w:color="auto"/>
        <w:right w:val="none" w:sz="0" w:space="0" w:color="auto"/>
      </w:divBdr>
    </w:div>
    <w:div w:id="1187671854">
      <w:bodyDiv w:val="1"/>
      <w:marLeft w:val="0"/>
      <w:marRight w:val="0"/>
      <w:marTop w:val="0"/>
      <w:marBottom w:val="0"/>
      <w:divBdr>
        <w:top w:val="none" w:sz="0" w:space="0" w:color="auto"/>
        <w:left w:val="none" w:sz="0" w:space="0" w:color="auto"/>
        <w:bottom w:val="none" w:sz="0" w:space="0" w:color="auto"/>
        <w:right w:val="none" w:sz="0" w:space="0" w:color="auto"/>
      </w:divBdr>
    </w:div>
    <w:div w:id="1187867142">
      <w:bodyDiv w:val="1"/>
      <w:marLeft w:val="0"/>
      <w:marRight w:val="0"/>
      <w:marTop w:val="0"/>
      <w:marBottom w:val="0"/>
      <w:divBdr>
        <w:top w:val="none" w:sz="0" w:space="0" w:color="auto"/>
        <w:left w:val="none" w:sz="0" w:space="0" w:color="auto"/>
        <w:bottom w:val="none" w:sz="0" w:space="0" w:color="auto"/>
        <w:right w:val="none" w:sz="0" w:space="0" w:color="auto"/>
      </w:divBdr>
    </w:div>
    <w:div w:id="1187905778">
      <w:bodyDiv w:val="1"/>
      <w:marLeft w:val="0"/>
      <w:marRight w:val="0"/>
      <w:marTop w:val="0"/>
      <w:marBottom w:val="0"/>
      <w:divBdr>
        <w:top w:val="none" w:sz="0" w:space="0" w:color="auto"/>
        <w:left w:val="none" w:sz="0" w:space="0" w:color="auto"/>
        <w:bottom w:val="none" w:sz="0" w:space="0" w:color="auto"/>
        <w:right w:val="none" w:sz="0" w:space="0" w:color="auto"/>
      </w:divBdr>
    </w:div>
    <w:div w:id="1187909830">
      <w:bodyDiv w:val="1"/>
      <w:marLeft w:val="0"/>
      <w:marRight w:val="0"/>
      <w:marTop w:val="0"/>
      <w:marBottom w:val="0"/>
      <w:divBdr>
        <w:top w:val="none" w:sz="0" w:space="0" w:color="auto"/>
        <w:left w:val="none" w:sz="0" w:space="0" w:color="auto"/>
        <w:bottom w:val="none" w:sz="0" w:space="0" w:color="auto"/>
        <w:right w:val="none" w:sz="0" w:space="0" w:color="auto"/>
      </w:divBdr>
    </w:div>
    <w:div w:id="1188056653">
      <w:bodyDiv w:val="1"/>
      <w:marLeft w:val="0"/>
      <w:marRight w:val="0"/>
      <w:marTop w:val="0"/>
      <w:marBottom w:val="0"/>
      <w:divBdr>
        <w:top w:val="none" w:sz="0" w:space="0" w:color="auto"/>
        <w:left w:val="none" w:sz="0" w:space="0" w:color="auto"/>
        <w:bottom w:val="none" w:sz="0" w:space="0" w:color="auto"/>
        <w:right w:val="none" w:sz="0" w:space="0" w:color="auto"/>
      </w:divBdr>
    </w:div>
    <w:div w:id="1188103780">
      <w:bodyDiv w:val="1"/>
      <w:marLeft w:val="0"/>
      <w:marRight w:val="0"/>
      <w:marTop w:val="0"/>
      <w:marBottom w:val="0"/>
      <w:divBdr>
        <w:top w:val="none" w:sz="0" w:space="0" w:color="auto"/>
        <w:left w:val="none" w:sz="0" w:space="0" w:color="auto"/>
        <w:bottom w:val="none" w:sz="0" w:space="0" w:color="auto"/>
        <w:right w:val="none" w:sz="0" w:space="0" w:color="auto"/>
      </w:divBdr>
    </w:div>
    <w:div w:id="1188257871">
      <w:bodyDiv w:val="1"/>
      <w:marLeft w:val="0"/>
      <w:marRight w:val="0"/>
      <w:marTop w:val="0"/>
      <w:marBottom w:val="0"/>
      <w:divBdr>
        <w:top w:val="none" w:sz="0" w:space="0" w:color="auto"/>
        <w:left w:val="none" w:sz="0" w:space="0" w:color="auto"/>
        <w:bottom w:val="none" w:sz="0" w:space="0" w:color="auto"/>
        <w:right w:val="none" w:sz="0" w:space="0" w:color="auto"/>
      </w:divBdr>
    </w:div>
    <w:div w:id="1188298979">
      <w:bodyDiv w:val="1"/>
      <w:marLeft w:val="0"/>
      <w:marRight w:val="0"/>
      <w:marTop w:val="0"/>
      <w:marBottom w:val="0"/>
      <w:divBdr>
        <w:top w:val="none" w:sz="0" w:space="0" w:color="auto"/>
        <w:left w:val="none" w:sz="0" w:space="0" w:color="auto"/>
        <w:bottom w:val="none" w:sz="0" w:space="0" w:color="auto"/>
        <w:right w:val="none" w:sz="0" w:space="0" w:color="auto"/>
      </w:divBdr>
    </w:div>
    <w:div w:id="1188327970">
      <w:bodyDiv w:val="1"/>
      <w:marLeft w:val="0"/>
      <w:marRight w:val="0"/>
      <w:marTop w:val="0"/>
      <w:marBottom w:val="0"/>
      <w:divBdr>
        <w:top w:val="none" w:sz="0" w:space="0" w:color="auto"/>
        <w:left w:val="none" w:sz="0" w:space="0" w:color="auto"/>
        <w:bottom w:val="none" w:sz="0" w:space="0" w:color="auto"/>
        <w:right w:val="none" w:sz="0" w:space="0" w:color="auto"/>
      </w:divBdr>
    </w:div>
    <w:div w:id="1188451836">
      <w:bodyDiv w:val="1"/>
      <w:marLeft w:val="0"/>
      <w:marRight w:val="0"/>
      <w:marTop w:val="0"/>
      <w:marBottom w:val="0"/>
      <w:divBdr>
        <w:top w:val="none" w:sz="0" w:space="0" w:color="auto"/>
        <w:left w:val="none" w:sz="0" w:space="0" w:color="auto"/>
        <w:bottom w:val="none" w:sz="0" w:space="0" w:color="auto"/>
        <w:right w:val="none" w:sz="0" w:space="0" w:color="auto"/>
      </w:divBdr>
    </w:div>
    <w:div w:id="1188526210">
      <w:bodyDiv w:val="1"/>
      <w:marLeft w:val="0"/>
      <w:marRight w:val="0"/>
      <w:marTop w:val="0"/>
      <w:marBottom w:val="0"/>
      <w:divBdr>
        <w:top w:val="none" w:sz="0" w:space="0" w:color="auto"/>
        <w:left w:val="none" w:sz="0" w:space="0" w:color="auto"/>
        <w:bottom w:val="none" w:sz="0" w:space="0" w:color="auto"/>
        <w:right w:val="none" w:sz="0" w:space="0" w:color="auto"/>
      </w:divBdr>
    </w:div>
    <w:div w:id="1188526383">
      <w:bodyDiv w:val="1"/>
      <w:marLeft w:val="0"/>
      <w:marRight w:val="0"/>
      <w:marTop w:val="0"/>
      <w:marBottom w:val="0"/>
      <w:divBdr>
        <w:top w:val="none" w:sz="0" w:space="0" w:color="auto"/>
        <w:left w:val="none" w:sz="0" w:space="0" w:color="auto"/>
        <w:bottom w:val="none" w:sz="0" w:space="0" w:color="auto"/>
        <w:right w:val="none" w:sz="0" w:space="0" w:color="auto"/>
      </w:divBdr>
    </w:div>
    <w:div w:id="1188638794">
      <w:bodyDiv w:val="1"/>
      <w:marLeft w:val="0"/>
      <w:marRight w:val="0"/>
      <w:marTop w:val="0"/>
      <w:marBottom w:val="0"/>
      <w:divBdr>
        <w:top w:val="none" w:sz="0" w:space="0" w:color="auto"/>
        <w:left w:val="none" w:sz="0" w:space="0" w:color="auto"/>
        <w:bottom w:val="none" w:sz="0" w:space="0" w:color="auto"/>
        <w:right w:val="none" w:sz="0" w:space="0" w:color="auto"/>
      </w:divBdr>
    </w:div>
    <w:div w:id="1188757563">
      <w:bodyDiv w:val="1"/>
      <w:marLeft w:val="0"/>
      <w:marRight w:val="0"/>
      <w:marTop w:val="0"/>
      <w:marBottom w:val="0"/>
      <w:divBdr>
        <w:top w:val="none" w:sz="0" w:space="0" w:color="auto"/>
        <w:left w:val="none" w:sz="0" w:space="0" w:color="auto"/>
        <w:bottom w:val="none" w:sz="0" w:space="0" w:color="auto"/>
        <w:right w:val="none" w:sz="0" w:space="0" w:color="auto"/>
      </w:divBdr>
    </w:div>
    <w:div w:id="1188762826">
      <w:bodyDiv w:val="1"/>
      <w:marLeft w:val="0"/>
      <w:marRight w:val="0"/>
      <w:marTop w:val="0"/>
      <w:marBottom w:val="0"/>
      <w:divBdr>
        <w:top w:val="none" w:sz="0" w:space="0" w:color="auto"/>
        <w:left w:val="none" w:sz="0" w:space="0" w:color="auto"/>
        <w:bottom w:val="none" w:sz="0" w:space="0" w:color="auto"/>
        <w:right w:val="none" w:sz="0" w:space="0" w:color="auto"/>
      </w:divBdr>
    </w:div>
    <w:div w:id="1188762849">
      <w:bodyDiv w:val="1"/>
      <w:marLeft w:val="0"/>
      <w:marRight w:val="0"/>
      <w:marTop w:val="0"/>
      <w:marBottom w:val="0"/>
      <w:divBdr>
        <w:top w:val="none" w:sz="0" w:space="0" w:color="auto"/>
        <w:left w:val="none" w:sz="0" w:space="0" w:color="auto"/>
        <w:bottom w:val="none" w:sz="0" w:space="0" w:color="auto"/>
        <w:right w:val="none" w:sz="0" w:space="0" w:color="auto"/>
      </w:divBdr>
    </w:div>
    <w:div w:id="1188834141">
      <w:bodyDiv w:val="1"/>
      <w:marLeft w:val="0"/>
      <w:marRight w:val="0"/>
      <w:marTop w:val="0"/>
      <w:marBottom w:val="0"/>
      <w:divBdr>
        <w:top w:val="none" w:sz="0" w:space="0" w:color="auto"/>
        <w:left w:val="none" w:sz="0" w:space="0" w:color="auto"/>
        <w:bottom w:val="none" w:sz="0" w:space="0" w:color="auto"/>
        <w:right w:val="none" w:sz="0" w:space="0" w:color="auto"/>
      </w:divBdr>
    </w:div>
    <w:div w:id="1189025474">
      <w:bodyDiv w:val="1"/>
      <w:marLeft w:val="0"/>
      <w:marRight w:val="0"/>
      <w:marTop w:val="0"/>
      <w:marBottom w:val="0"/>
      <w:divBdr>
        <w:top w:val="none" w:sz="0" w:space="0" w:color="auto"/>
        <w:left w:val="none" w:sz="0" w:space="0" w:color="auto"/>
        <w:bottom w:val="none" w:sz="0" w:space="0" w:color="auto"/>
        <w:right w:val="none" w:sz="0" w:space="0" w:color="auto"/>
      </w:divBdr>
    </w:div>
    <w:div w:id="1189100974">
      <w:bodyDiv w:val="1"/>
      <w:marLeft w:val="0"/>
      <w:marRight w:val="0"/>
      <w:marTop w:val="0"/>
      <w:marBottom w:val="0"/>
      <w:divBdr>
        <w:top w:val="none" w:sz="0" w:space="0" w:color="auto"/>
        <w:left w:val="none" w:sz="0" w:space="0" w:color="auto"/>
        <w:bottom w:val="none" w:sz="0" w:space="0" w:color="auto"/>
        <w:right w:val="none" w:sz="0" w:space="0" w:color="auto"/>
      </w:divBdr>
    </w:div>
    <w:div w:id="1189948991">
      <w:bodyDiv w:val="1"/>
      <w:marLeft w:val="0"/>
      <w:marRight w:val="0"/>
      <w:marTop w:val="0"/>
      <w:marBottom w:val="0"/>
      <w:divBdr>
        <w:top w:val="none" w:sz="0" w:space="0" w:color="auto"/>
        <w:left w:val="none" w:sz="0" w:space="0" w:color="auto"/>
        <w:bottom w:val="none" w:sz="0" w:space="0" w:color="auto"/>
        <w:right w:val="none" w:sz="0" w:space="0" w:color="auto"/>
      </w:divBdr>
    </w:div>
    <w:div w:id="1190028957">
      <w:bodyDiv w:val="1"/>
      <w:marLeft w:val="0"/>
      <w:marRight w:val="0"/>
      <w:marTop w:val="0"/>
      <w:marBottom w:val="0"/>
      <w:divBdr>
        <w:top w:val="none" w:sz="0" w:space="0" w:color="auto"/>
        <w:left w:val="none" w:sz="0" w:space="0" w:color="auto"/>
        <w:bottom w:val="none" w:sz="0" w:space="0" w:color="auto"/>
        <w:right w:val="none" w:sz="0" w:space="0" w:color="auto"/>
      </w:divBdr>
    </w:div>
    <w:div w:id="1190099398">
      <w:bodyDiv w:val="1"/>
      <w:marLeft w:val="0"/>
      <w:marRight w:val="0"/>
      <w:marTop w:val="0"/>
      <w:marBottom w:val="0"/>
      <w:divBdr>
        <w:top w:val="none" w:sz="0" w:space="0" w:color="auto"/>
        <w:left w:val="none" w:sz="0" w:space="0" w:color="auto"/>
        <w:bottom w:val="none" w:sz="0" w:space="0" w:color="auto"/>
        <w:right w:val="none" w:sz="0" w:space="0" w:color="auto"/>
      </w:divBdr>
    </w:div>
    <w:div w:id="1190223645">
      <w:bodyDiv w:val="1"/>
      <w:marLeft w:val="0"/>
      <w:marRight w:val="0"/>
      <w:marTop w:val="0"/>
      <w:marBottom w:val="0"/>
      <w:divBdr>
        <w:top w:val="none" w:sz="0" w:space="0" w:color="auto"/>
        <w:left w:val="none" w:sz="0" w:space="0" w:color="auto"/>
        <w:bottom w:val="none" w:sz="0" w:space="0" w:color="auto"/>
        <w:right w:val="none" w:sz="0" w:space="0" w:color="auto"/>
      </w:divBdr>
    </w:div>
    <w:div w:id="1190486195">
      <w:bodyDiv w:val="1"/>
      <w:marLeft w:val="0"/>
      <w:marRight w:val="0"/>
      <w:marTop w:val="0"/>
      <w:marBottom w:val="0"/>
      <w:divBdr>
        <w:top w:val="none" w:sz="0" w:space="0" w:color="auto"/>
        <w:left w:val="none" w:sz="0" w:space="0" w:color="auto"/>
        <w:bottom w:val="none" w:sz="0" w:space="0" w:color="auto"/>
        <w:right w:val="none" w:sz="0" w:space="0" w:color="auto"/>
      </w:divBdr>
    </w:div>
    <w:div w:id="1190875048">
      <w:bodyDiv w:val="1"/>
      <w:marLeft w:val="0"/>
      <w:marRight w:val="0"/>
      <w:marTop w:val="0"/>
      <w:marBottom w:val="0"/>
      <w:divBdr>
        <w:top w:val="none" w:sz="0" w:space="0" w:color="auto"/>
        <w:left w:val="none" w:sz="0" w:space="0" w:color="auto"/>
        <w:bottom w:val="none" w:sz="0" w:space="0" w:color="auto"/>
        <w:right w:val="none" w:sz="0" w:space="0" w:color="auto"/>
      </w:divBdr>
    </w:div>
    <w:div w:id="1191147046">
      <w:bodyDiv w:val="1"/>
      <w:marLeft w:val="0"/>
      <w:marRight w:val="0"/>
      <w:marTop w:val="0"/>
      <w:marBottom w:val="0"/>
      <w:divBdr>
        <w:top w:val="none" w:sz="0" w:space="0" w:color="auto"/>
        <w:left w:val="none" w:sz="0" w:space="0" w:color="auto"/>
        <w:bottom w:val="none" w:sz="0" w:space="0" w:color="auto"/>
        <w:right w:val="none" w:sz="0" w:space="0" w:color="auto"/>
      </w:divBdr>
    </w:div>
    <w:div w:id="1191257126">
      <w:bodyDiv w:val="1"/>
      <w:marLeft w:val="0"/>
      <w:marRight w:val="0"/>
      <w:marTop w:val="0"/>
      <w:marBottom w:val="0"/>
      <w:divBdr>
        <w:top w:val="none" w:sz="0" w:space="0" w:color="auto"/>
        <w:left w:val="none" w:sz="0" w:space="0" w:color="auto"/>
        <w:bottom w:val="none" w:sz="0" w:space="0" w:color="auto"/>
        <w:right w:val="none" w:sz="0" w:space="0" w:color="auto"/>
      </w:divBdr>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
    <w:div w:id="1191525851">
      <w:bodyDiv w:val="1"/>
      <w:marLeft w:val="0"/>
      <w:marRight w:val="0"/>
      <w:marTop w:val="0"/>
      <w:marBottom w:val="0"/>
      <w:divBdr>
        <w:top w:val="none" w:sz="0" w:space="0" w:color="auto"/>
        <w:left w:val="none" w:sz="0" w:space="0" w:color="auto"/>
        <w:bottom w:val="none" w:sz="0" w:space="0" w:color="auto"/>
        <w:right w:val="none" w:sz="0" w:space="0" w:color="auto"/>
      </w:divBdr>
    </w:div>
    <w:div w:id="1191602301">
      <w:bodyDiv w:val="1"/>
      <w:marLeft w:val="0"/>
      <w:marRight w:val="0"/>
      <w:marTop w:val="0"/>
      <w:marBottom w:val="0"/>
      <w:divBdr>
        <w:top w:val="none" w:sz="0" w:space="0" w:color="auto"/>
        <w:left w:val="none" w:sz="0" w:space="0" w:color="auto"/>
        <w:bottom w:val="none" w:sz="0" w:space="0" w:color="auto"/>
        <w:right w:val="none" w:sz="0" w:space="0" w:color="auto"/>
      </w:divBdr>
    </w:div>
    <w:div w:id="1191723729">
      <w:bodyDiv w:val="1"/>
      <w:marLeft w:val="0"/>
      <w:marRight w:val="0"/>
      <w:marTop w:val="0"/>
      <w:marBottom w:val="0"/>
      <w:divBdr>
        <w:top w:val="none" w:sz="0" w:space="0" w:color="auto"/>
        <w:left w:val="none" w:sz="0" w:space="0" w:color="auto"/>
        <w:bottom w:val="none" w:sz="0" w:space="0" w:color="auto"/>
        <w:right w:val="none" w:sz="0" w:space="0" w:color="auto"/>
      </w:divBdr>
    </w:div>
    <w:div w:id="1191798225">
      <w:bodyDiv w:val="1"/>
      <w:marLeft w:val="0"/>
      <w:marRight w:val="0"/>
      <w:marTop w:val="0"/>
      <w:marBottom w:val="0"/>
      <w:divBdr>
        <w:top w:val="none" w:sz="0" w:space="0" w:color="auto"/>
        <w:left w:val="none" w:sz="0" w:space="0" w:color="auto"/>
        <w:bottom w:val="none" w:sz="0" w:space="0" w:color="auto"/>
        <w:right w:val="none" w:sz="0" w:space="0" w:color="auto"/>
      </w:divBdr>
    </w:div>
    <w:div w:id="1191838027">
      <w:bodyDiv w:val="1"/>
      <w:marLeft w:val="0"/>
      <w:marRight w:val="0"/>
      <w:marTop w:val="0"/>
      <w:marBottom w:val="0"/>
      <w:divBdr>
        <w:top w:val="none" w:sz="0" w:space="0" w:color="auto"/>
        <w:left w:val="none" w:sz="0" w:space="0" w:color="auto"/>
        <w:bottom w:val="none" w:sz="0" w:space="0" w:color="auto"/>
        <w:right w:val="none" w:sz="0" w:space="0" w:color="auto"/>
      </w:divBdr>
    </w:div>
    <w:div w:id="1191916894">
      <w:bodyDiv w:val="1"/>
      <w:marLeft w:val="0"/>
      <w:marRight w:val="0"/>
      <w:marTop w:val="0"/>
      <w:marBottom w:val="0"/>
      <w:divBdr>
        <w:top w:val="none" w:sz="0" w:space="0" w:color="auto"/>
        <w:left w:val="none" w:sz="0" w:space="0" w:color="auto"/>
        <w:bottom w:val="none" w:sz="0" w:space="0" w:color="auto"/>
        <w:right w:val="none" w:sz="0" w:space="0" w:color="auto"/>
      </w:divBdr>
    </w:div>
    <w:div w:id="1192035560">
      <w:bodyDiv w:val="1"/>
      <w:marLeft w:val="0"/>
      <w:marRight w:val="0"/>
      <w:marTop w:val="0"/>
      <w:marBottom w:val="0"/>
      <w:divBdr>
        <w:top w:val="none" w:sz="0" w:space="0" w:color="auto"/>
        <w:left w:val="none" w:sz="0" w:space="0" w:color="auto"/>
        <w:bottom w:val="none" w:sz="0" w:space="0" w:color="auto"/>
        <w:right w:val="none" w:sz="0" w:space="0" w:color="auto"/>
      </w:divBdr>
    </w:div>
    <w:div w:id="1192036131">
      <w:bodyDiv w:val="1"/>
      <w:marLeft w:val="0"/>
      <w:marRight w:val="0"/>
      <w:marTop w:val="0"/>
      <w:marBottom w:val="0"/>
      <w:divBdr>
        <w:top w:val="none" w:sz="0" w:space="0" w:color="auto"/>
        <w:left w:val="none" w:sz="0" w:space="0" w:color="auto"/>
        <w:bottom w:val="none" w:sz="0" w:space="0" w:color="auto"/>
        <w:right w:val="none" w:sz="0" w:space="0" w:color="auto"/>
      </w:divBdr>
    </w:div>
    <w:div w:id="1192110919">
      <w:bodyDiv w:val="1"/>
      <w:marLeft w:val="0"/>
      <w:marRight w:val="0"/>
      <w:marTop w:val="0"/>
      <w:marBottom w:val="0"/>
      <w:divBdr>
        <w:top w:val="none" w:sz="0" w:space="0" w:color="auto"/>
        <w:left w:val="none" w:sz="0" w:space="0" w:color="auto"/>
        <w:bottom w:val="none" w:sz="0" w:space="0" w:color="auto"/>
        <w:right w:val="none" w:sz="0" w:space="0" w:color="auto"/>
      </w:divBdr>
    </w:div>
    <w:div w:id="1192114853">
      <w:bodyDiv w:val="1"/>
      <w:marLeft w:val="0"/>
      <w:marRight w:val="0"/>
      <w:marTop w:val="0"/>
      <w:marBottom w:val="0"/>
      <w:divBdr>
        <w:top w:val="none" w:sz="0" w:space="0" w:color="auto"/>
        <w:left w:val="none" w:sz="0" w:space="0" w:color="auto"/>
        <w:bottom w:val="none" w:sz="0" w:space="0" w:color="auto"/>
        <w:right w:val="none" w:sz="0" w:space="0" w:color="auto"/>
      </w:divBdr>
    </w:div>
    <w:div w:id="1192183653">
      <w:bodyDiv w:val="1"/>
      <w:marLeft w:val="0"/>
      <w:marRight w:val="0"/>
      <w:marTop w:val="0"/>
      <w:marBottom w:val="0"/>
      <w:divBdr>
        <w:top w:val="none" w:sz="0" w:space="0" w:color="auto"/>
        <w:left w:val="none" w:sz="0" w:space="0" w:color="auto"/>
        <w:bottom w:val="none" w:sz="0" w:space="0" w:color="auto"/>
        <w:right w:val="none" w:sz="0" w:space="0" w:color="auto"/>
      </w:divBdr>
    </w:div>
    <w:div w:id="1192187685">
      <w:bodyDiv w:val="1"/>
      <w:marLeft w:val="0"/>
      <w:marRight w:val="0"/>
      <w:marTop w:val="0"/>
      <w:marBottom w:val="0"/>
      <w:divBdr>
        <w:top w:val="none" w:sz="0" w:space="0" w:color="auto"/>
        <w:left w:val="none" w:sz="0" w:space="0" w:color="auto"/>
        <w:bottom w:val="none" w:sz="0" w:space="0" w:color="auto"/>
        <w:right w:val="none" w:sz="0" w:space="0" w:color="auto"/>
      </w:divBdr>
    </w:div>
    <w:div w:id="1192569025">
      <w:bodyDiv w:val="1"/>
      <w:marLeft w:val="0"/>
      <w:marRight w:val="0"/>
      <w:marTop w:val="0"/>
      <w:marBottom w:val="0"/>
      <w:divBdr>
        <w:top w:val="none" w:sz="0" w:space="0" w:color="auto"/>
        <w:left w:val="none" w:sz="0" w:space="0" w:color="auto"/>
        <w:bottom w:val="none" w:sz="0" w:space="0" w:color="auto"/>
        <w:right w:val="none" w:sz="0" w:space="0" w:color="auto"/>
      </w:divBdr>
    </w:div>
    <w:div w:id="1192643749">
      <w:bodyDiv w:val="1"/>
      <w:marLeft w:val="0"/>
      <w:marRight w:val="0"/>
      <w:marTop w:val="0"/>
      <w:marBottom w:val="0"/>
      <w:divBdr>
        <w:top w:val="none" w:sz="0" w:space="0" w:color="auto"/>
        <w:left w:val="none" w:sz="0" w:space="0" w:color="auto"/>
        <w:bottom w:val="none" w:sz="0" w:space="0" w:color="auto"/>
        <w:right w:val="none" w:sz="0" w:space="0" w:color="auto"/>
      </w:divBdr>
    </w:div>
    <w:div w:id="1192720747">
      <w:bodyDiv w:val="1"/>
      <w:marLeft w:val="0"/>
      <w:marRight w:val="0"/>
      <w:marTop w:val="0"/>
      <w:marBottom w:val="0"/>
      <w:divBdr>
        <w:top w:val="none" w:sz="0" w:space="0" w:color="auto"/>
        <w:left w:val="none" w:sz="0" w:space="0" w:color="auto"/>
        <w:bottom w:val="none" w:sz="0" w:space="0" w:color="auto"/>
        <w:right w:val="none" w:sz="0" w:space="0" w:color="auto"/>
      </w:divBdr>
    </w:div>
    <w:div w:id="1192957369">
      <w:bodyDiv w:val="1"/>
      <w:marLeft w:val="0"/>
      <w:marRight w:val="0"/>
      <w:marTop w:val="0"/>
      <w:marBottom w:val="0"/>
      <w:divBdr>
        <w:top w:val="none" w:sz="0" w:space="0" w:color="auto"/>
        <w:left w:val="none" w:sz="0" w:space="0" w:color="auto"/>
        <w:bottom w:val="none" w:sz="0" w:space="0" w:color="auto"/>
        <w:right w:val="none" w:sz="0" w:space="0" w:color="auto"/>
      </w:divBdr>
    </w:div>
    <w:div w:id="1193107516">
      <w:bodyDiv w:val="1"/>
      <w:marLeft w:val="0"/>
      <w:marRight w:val="0"/>
      <w:marTop w:val="0"/>
      <w:marBottom w:val="0"/>
      <w:divBdr>
        <w:top w:val="none" w:sz="0" w:space="0" w:color="auto"/>
        <w:left w:val="none" w:sz="0" w:space="0" w:color="auto"/>
        <w:bottom w:val="none" w:sz="0" w:space="0" w:color="auto"/>
        <w:right w:val="none" w:sz="0" w:space="0" w:color="auto"/>
      </w:divBdr>
    </w:div>
    <w:div w:id="1193151838">
      <w:bodyDiv w:val="1"/>
      <w:marLeft w:val="0"/>
      <w:marRight w:val="0"/>
      <w:marTop w:val="0"/>
      <w:marBottom w:val="0"/>
      <w:divBdr>
        <w:top w:val="none" w:sz="0" w:space="0" w:color="auto"/>
        <w:left w:val="none" w:sz="0" w:space="0" w:color="auto"/>
        <w:bottom w:val="none" w:sz="0" w:space="0" w:color="auto"/>
        <w:right w:val="none" w:sz="0" w:space="0" w:color="auto"/>
      </w:divBdr>
    </w:div>
    <w:div w:id="1193299966">
      <w:bodyDiv w:val="1"/>
      <w:marLeft w:val="0"/>
      <w:marRight w:val="0"/>
      <w:marTop w:val="0"/>
      <w:marBottom w:val="0"/>
      <w:divBdr>
        <w:top w:val="none" w:sz="0" w:space="0" w:color="auto"/>
        <w:left w:val="none" w:sz="0" w:space="0" w:color="auto"/>
        <w:bottom w:val="none" w:sz="0" w:space="0" w:color="auto"/>
        <w:right w:val="none" w:sz="0" w:space="0" w:color="auto"/>
      </w:divBdr>
    </w:div>
    <w:div w:id="1193418632">
      <w:bodyDiv w:val="1"/>
      <w:marLeft w:val="0"/>
      <w:marRight w:val="0"/>
      <w:marTop w:val="0"/>
      <w:marBottom w:val="0"/>
      <w:divBdr>
        <w:top w:val="none" w:sz="0" w:space="0" w:color="auto"/>
        <w:left w:val="none" w:sz="0" w:space="0" w:color="auto"/>
        <w:bottom w:val="none" w:sz="0" w:space="0" w:color="auto"/>
        <w:right w:val="none" w:sz="0" w:space="0" w:color="auto"/>
      </w:divBdr>
    </w:div>
    <w:div w:id="1193612323">
      <w:bodyDiv w:val="1"/>
      <w:marLeft w:val="0"/>
      <w:marRight w:val="0"/>
      <w:marTop w:val="0"/>
      <w:marBottom w:val="0"/>
      <w:divBdr>
        <w:top w:val="none" w:sz="0" w:space="0" w:color="auto"/>
        <w:left w:val="none" w:sz="0" w:space="0" w:color="auto"/>
        <w:bottom w:val="none" w:sz="0" w:space="0" w:color="auto"/>
        <w:right w:val="none" w:sz="0" w:space="0" w:color="auto"/>
      </w:divBdr>
    </w:div>
    <w:div w:id="1193808704">
      <w:bodyDiv w:val="1"/>
      <w:marLeft w:val="0"/>
      <w:marRight w:val="0"/>
      <w:marTop w:val="0"/>
      <w:marBottom w:val="0"/>
      <w:divBdr>
        <w:top w:val="none" w:sz="0" w:space="0" w:color="auto"/>
        <w:left w:val="none" w:sz="0" w:space="0" w:color="auto"/>
        <w:bottom w:val="none" w:sz="0" w:space="0" w:color="auto"/>
        <w:right w:val="none" w:sz="0" w:space="0" w:color="auto"/>
      </w:divBdr>
    </w:div>
    <w:div w:id="1193811511">
      <w:bodyDiv w:val="1"/>
      <w:marLeft w:val="0"/>
      <w:marRight w:val="0"/>
      <w:marTop w:val="0"/>
      <w:marBottom w:val="0"/>
      <w:divBdr>
        <w:top w:val="none" w:sz="0" w:space="0" w:color="auto"/>
        <w:left w:val="none" w:sz="0" w:space="0" w:color="auto"/>
        <w:bottom w:val="none" w:sz="0" w:space="0" w:color="auto"/>
        <w:right w:val="none" w:sz="0" w:space="0" w:color="auto"/>
      </w:divBdr>
    </w:div>
    <w:div w:id="1193884769">
      <w:bodyDiv w:val="1"/>
      <w:marLeft w:val="0"/>
      <w:marRight w:val="0"/>
      <w:marTop w:val="0"/>
      <w:marBottom w:val="0"/>
      <w:divBdr>
        <w:top w:val="none" w:sz="0" w:space="0" w:color="auto"/>
        <w:left w:val="none" w:sz="0" w:space="0" w:color="auto"/>
        <w:bottom w:val="none" w:sz="0" w:space="0" w:color="auto"/>
        <w:right w:val="none" w:sz="0" w:space="0" w:color="auto"/>
      </w:divBdr>
    </w:div>
    <w:div w:id="1194146551">
      <w:bodyDiv w:val="1"/>
      <w:marLeft w:val="0"/>
      <w:marRight w:val="0"/>
      <w:marTop w:val="0"/>
      <w:marBottom w:val="0"/>
      <w:divBdr>
        <w:top w:val="none" w:sz="0" w:space="0" w:color="auto"/>
        <w:left w:val="none" w:sz="0" w:space="0" w:color="auto"/>
        <w:bottom w:val="none" w:sz="0" w:space="0" w:color="auto"/>
        <w:right w:val="none" w:sz="0" w:space="0" w:color="auto"/>
      </w:divBdr>
    </w:div>
    <w:div w:id="1194155776">
      <w:bodyDiv w:val="1"/>
      <w:marLeft w:val="0"/>
      <w:marRight w:val="0"/>
      <w:marTop w:val="0"/>
      <w:marBottom w:val="0"/>
      <w:divBdr>
        <w:top w:val="none" w:sz="0" w:space="0" w:color="auto"/>
        <w:left w:val="none" w:sz="0" w:space="0" w:color="auto"/>
        <w:bottom w:val="none" w:sz="0" w:space="0" w:color="auto"/>
        <w:right w:val="none" w:sz="0" w:space="0" w:color="auto"/>
      </w:divBdr>
    </w:div>
    <w:div w:id="1194346356">
      <w:bodyDiv w:val="1"/>
      <w:marLeft w:val="0"/>
      <w:marRight w:val="0"/>
      <w:marTop w:val="0"/>
      <w:marBottom w:val="0"/>
      <w:divBdr>
        <w:top w:val="none" w:sz="0" w:space="0" w:color="auto"/>
        <w:left w:val="none" w:sz="0" w:space="0" w:color="auto"/>
        <w:bottom w:val="none" w:sz="0" w:space="0" w:color="auto"/>
        <w:right w:val="none" w:sz="0" w:space="0" w:color="auto"/>
      </w:divBdr>
    </w:div>
    <w:div w:id="1194347456">
      <w:bodyDiv w:val="1"/>
      <w:marLeft w:val="0"/>
      <w:marRight w:val="0"/>
      <w:marTop w:val="0"/>
      <w:marBottom w:val="0"/>
      <w:divBdr>
        <w:top w:val="none" w:sz="0" w:space="0" w:color="auto"/>
        <w:left w:val="none" w:sz="0" w:space="0" w:color="auto"/>
        <w:bottom w:val="none" w:sz="0" w:space="0" w:color="auto"/>
        <w:right w:val="none" w:sz="0" w:space="0" w:color="auto"/>
      </w:divBdr>
    </w:div>
    <w:div w:id="1194420063">
      <w:bodyDiv w:val="1"/>
      <w:marLeft w:val="0"/>
      <w:marRight w:val="0"/>
      <w:marTop w:val="0"/>
      <w:marBottom w:val="0"/>
      <w:divBdr>
        <w:top w:val="none" w:sz="0" w:space="0" w:color="auto"/>
        <w:left w:val="none" w:sz="0" w:space="0" w:color="auto"/>
        <w:bottom w:val="none" w:sz="0" w:space="0" w:color="auto"/>
        <w:right w:val="none" w:sz="0" w:space="0" w:color="auto"/>
      </w:divBdr>
    </w:div>
    <w:div w:id="1194422396">
      <w:bodyDiv w:val="1"/>
      <w:marLeft w:val="0"/>
      <w:marRight w:val="0"/>
      <w:marTop w:val="0"/>
      <w:marBottom w:val="0"/>
      <w:divBdr>
        <w:top w:val="none" w:sz="0" w:space="0" w:color="auto"/>
        <w:left w:val="none" w:sz="0" w:space="0" w:color="auto"/>
        <w:bottom w:val="none" w:sz="0" w:space="0" w:color="auto"/>
        <w:right w:val="none" w:sz="0" w:space="0" w:color="auto"/>
      </w:divBdr>
    </w:div>
    <w:div w:id="1194537822">
      <w:bodyDiv w:val="1"/>
      <w:marLeft w:val="0"/>
      <w:marRight w:val="0"/>
      <w:marTop w:val="0"/>
      <w:marBottom w:val="0"/>
      <w:divBdr>
        <w:top w:val="none" w:sz="0" w:space="0" w:color="auto"/>
        <w:left w:val="none" w:sz="0" w:space="0" w:color="auto"/>
        <w:bottom w:val="none" w:sz="0" w:space="0" w:color="auto"/>
        <w:right w:val="none" w:sz="0" w:space="0" w:color="auto"/>
      </w:divBdr>
    </w:div>
    <w:div w:id="1194541114">
      <w:bodyDiv w:val="1"/>
      <w:marLeft w:val="0"/>
      <w:marRight w:val="0"/>
      <w:marTop w:val="0"/>
      <w:marBottom w:val="0"/>
      <w:divBdr>
        <w:top w:val="none" w:sz="0" w:space="0" w:color="auto"/>
        <w:left w:val="none" w:sz="0" w:space="0" w:color="auto"/>
        <w:bottom w:val="none" w:sz="0" w:space="0" w:color="auto"/>
        <w:right w:val="none" w:sz="0" w:space="0" w:color="auto"/>
      </w:divBdr>
    </w:div>
    <w:div w:id="1194878810">
      <w:bodyDiv w:val="1"/>
      <w:marLeft w:val="0"/>
      <w:marRight w:val="0"/>
      <w:marTop w:val="0"/>
      <w:marBottom w:val="0"/>
      <w:divBdr>
        <w:top w:val="none" w:sz="0" w:space="0" w:color="auto"/>
        <w:left w:val="none" w:sz="0" w:space="0" w:color="auto"/>
        <w:bottom w:val="none" w:sz="0" w:space="0" w:color="auto"/>
        <w:right w:val="none" w:sz="0" w:space="0" w:color="auto"/>
      </w:divBdr>
    </w:div>
    <w:div w:id="1195001708">
      <w:bodyDiv w:val="1"/>
      <w:marLeft w:val="0"/>
      <w:marRight w:val="0"/>
      <w:marTop w:val="0"/>
      <w:marBottom w:val="0"/>
      <w:divBdr>
        <w:top w:val="none" w:sz="0" w:space="0" w:color="auto"/>
        <w:left w:val="none" w:sz="0" w:space="0" w:color="auto"/>
        <w:bottom w:val="none" w:sz="0" w:space="0" w:color="auto"/>
        <w:right w:val="none" w:sz="0" w:space="0" w:color="auto"/>
      </w:divBdr>
    </w:div>
    <w:div w:id="1195074432">
      <w:bodyDiv w:val="1"/>
      <w:marLeft w:val="0"/>
      <w:marRight w:val="0"/>
      <w:marTop w:val="0"/>
      <w:marBottom w:val="0"/>
      <w:divBdr>
        <w:top w:val="none" w:sz="0" w:space="0" w:color="auto"/>
        <w:left w:val="none" w:sz="0" w:space="0" w:color="auto"/>
        <w:bottom w:val="none" w:sz="0" w:space="0" w:color="auto"/>
        <w:right w:val="none" w:sz="0" w:space="0" w:color="auto"/>
      </w:divBdr>
    </w:div>
    <w:div w:id="1195121747">
      <w:bodyDiv w:val="1"/>
      <w:marLeft w:val="0"/>
      <w:marRight w:val="0"/>
      <w:marTop w:val="0"/>
      <w:marBottom w:val="0"/>
      <w:divBdr>
        <w:top w:val="none" w:sz="0" w:space="0" w:color="auto"/>
        <w:left w:val="none" w:sz="0" w:space="0" w:color="auto"/>
        <w:bottom w:val="none" w:sz="0" w:space="0" w:color="auto"/>
        <w:right w:val="none" w:sz="0" w:space="0" w:color="auto"/>
      </w:divBdr>
    </w:div>
    <w:div w:id="1195343707">
      <w:bodyDiv w:val="1"/>
      <w:marLeft w:val="0"/>
      <w:marRight w:val="0"/>
      <w:marTop w:val="0"/>
      <w:marBottom w:val="0"/>
      <w:divBdr>
        <w:top w:val="none" w:sz="0" w:space="0" w:color="auto"/>
        <w:left w:val="none" w:sz="0" w:space="0" w:color="auto"/>
        <w:bottom w:val="none" w:sz="0" w:space="0" w:color="auto"/>
        <w:right w:val="none" w:sz="0" w:space="0" w:color="auto"/>
      </w:divBdr>
    </w:div>
    <w:div w:id="1195386626">
      <w:bodyDiv w:val="1"/>
      <w:marLeft w:val="0"/>
      <w:marRight w:val="0"/>
      <w:marTop w:val="0"/>
      <w:marBottom w:val="0"/>
      <w:divBdr>
        <w:top w:val="none" w:sz="0" w:space="0" w:color="auto"/>
        <w:left w:val="none" w:sz="0" w:space="0" w:color="auto"/>
        <w:bottom w:val="none" w:sz="0" w:space="0" w:color="auto"/>
        <w:right w:val="none" w:sz="0" w:space="0" w:color="auto"/>
      </w:divBdr>
    </w:div>
    <w:div w:id="1195735076">
      <w:bodyDiv w:val="1"/>
      <w:marLeft w:val="0"/>
      <w:marRight w:val="0"/>
      <w:marTop w:val="0"/>
      <w:marBottom w:val="0"/>
      <w:divBdr>
        <w:top w:val="none" w:sz="0" w:space="0" w:color="auto"/>
        <w:left w:val="none" w:sz="0" w:space="0" w:color="auto"/>
        <w:bottom w:val="none" w:sz="0" w:space="0" w:color="auto"/>
        <w:right w:val="none" w:sz="0" w:space="0" w:color="auto"/>
      </w:divBdr>
    </w:div>
    <w:div w:id="1195773512">
      <w:bodyDiv w:val="1"/>
      <w:marLeft w:val="0"/>
      <w:marRight w:val="0"/>
      <w:marTop w:val="0"/>
      <w:marBottom w:val="0"/>
      <w:divBdr>
        <w:top w:val="none" w:sz="0" w:space="0" w:color="auto"/>
        <w:left w:val="none" w:sz="0" w:space="0" w:color="auto"/>
        <w:bottom w:val="none" w:sz="0" w:space="0" w:color="auto"/>
        <w:right w:val="none" w:sz="0" w:space="0" w:color="auto"/>
      </w:divBdr>
    </w:div>
    <w:div w:id="1196308674">
      <w:bodyDiv w:val="1"/>
      <w:marLeft w:val="0"/>
      <w:marRight w:val="0"/>
      <w:marTop w:val="0"/>
      <w:marBottom w:val="0"/>
      <w:divBdr>
        <w:top w:val="none" w:sz="0" w:space="0" w:color="auto"/>
        <w:left w:val="none" w:sz="0" w:space="0" w:color="auto"/>
        <w:bottom w:val="none" w:sz="0" w:space="0" w:color="auto"/>
        <w:right w:val="none" w:sz="0" w:space="0" w:color="auto"/>
      </w:divBdr>
    </w:div>
    <w:div w:id="1196381428">
      <w:bodyDiv w:val="1"/>
      <w:marLeft w:val="0"/>
      <w:marRight w:val="0"/>
      <w:marTop w:val="0"/>
      <w:marBottom w:val="0"/>
      <w:divBdr>
        <w:top w:val="none" w:sz="0" w:space="0" w:color="auto"/>
        <w:left w:val="none" w:sz="0" w:space="0" w:color="auto"/>
        <w:bottom w:val="none" w:sz="0" w:space="0" w:color="auto"/>
        <w:right w:val="none" w:sz="0" w:space="0" w:color="auto"/>
      </w:divBdr>
    </w:div>
    <w:div w:id="1196381647">
      <w:bodyDiv w:val="1"/>
      <w:marLeft w:val="0"/>
      <w:marRight w:val="0"/>
      <w:marTop w:val="0"/>
      <w:marBottom w:val="0"/>
      <w:divBdr>
        <w:top w:val="none" w:sz="0" w:space="0" w:color="auto"/>
        <w:left w:val="none" w:sz="0" w:space="0" w:color="auto"/>
        <w:bottom w:val="none" w:sz="0" w:space="0" w:color="auto"/>
        <w:right w:val="none" w:sz="0" w:space="0" w:color="auto"/>
      </w:divBdr>
    </w:div>
    <w:div w:id="1196456367">
      <w:bodyDiv w:val="1"/>
      <w:marLeft w:val="0"/>
      <w:marRight w:val="0"/>
      <w:marTop w:val="0"/>
      <w:marBottom w:val="0"/>
      <w:divBdr>
        <w:top w:val="none" w:sz="0" w:space="0" w:color="auto"/>
        <w:left w:val="none" w:sz="0" w:space="0" w:color="auto"/>
        <w:bottom w:val="none" w:sz="0" w:space="0" w:color="auto"/>
        <w:right w:val="none" w:sz="0" w:space="0" w:color="auto"/>
      </w:divBdr>
    </w:div>
    <w:div w:id="1196773339">
      <w:bodyDiv w:val="1"/>
      <w:marLeft w:val="0"/>
      <w:marRight w:val="0"/>
      <w:marTop w:val="0"/>
      <w:marBottom w:val="0"/>
      <w:divBdr>
        <w:top w:val="none" w:sz="0" w:space="0" w:color="auto"/>
        <w:left w:val="none" w:sz="0" w:space="0" w:color="auto"/>
        <w:bottom w:val="none" w:sz="0" w:space="0" w:color="auto"/>
        <w:right w:val="none" w:sz="0" w:space="0" w:color="auto"/>
      </w:divBdr>
    </w:div>
    <w:div w:id="1196775346">
      <w:bodyDiv w:val="1"/>
      <w:marLeft w:val="0"/>
      <w:marRight w:val="0"/>
      <w:marTop w:val="0"/>
      <w:marBottom w:val="0"/>
      <w:divBdr>
        <w:top w:val="none" w:sz="0" w:space="0" w:color="auto"/>
        <w:left w:val="none" w:sz="0" w:space="0" w:color="auto"/>
        <w:bottom w:val="none" w:sz="0" w:space="0" w:color="auto"/>
        <w:right w:val="none" w:sz="0" w:space="0" w:color="auto"/>
      </w:divBdr>
    </w:div>
    <w:div w:id="1196818512">
      <w:bodyDiv w:val="1"/>
      <w:marLeft w:val="0"/>
      <w:marRight w:val="0"/>
      <w:marTop w:val="0"/>
      <w:marBottom w:val="0"/>
      <w:divBdr>
        <w:top w:val="none" w:sz="0" w:space="0" w:color="auto"/>
        <w:left w:val="none" w:sz="0" w:space="0" w:color="auto"/>
        <w:bottom w:val="none" w:sz="0" w:space="0" w:color="auto"/>
        <w:right w:val="none" w:sz="0" w:space="0" w:color="auto"/>
      </w:divBdr>
    </w:div>
    <w:div w:id="1196850898">
      <w:bodyDiv w:val="1"/>
      <w:marLeft w:val="0"/>
      <w:marRight w:val="0"/>
      <w:marTop w:val="0"/>
      <w:marBottom w:val="0"/>
      <w:divBdr>
        <w:top w:val="none" w:sz="0" w:space="0" w:color="auto"/>
        <w:left w:val="none" w:sz="0" w:space="0" w:color="auto"/>
        <w:bottom w:val="none" w:sz="0" w:space="0" w:color="auto"/>
        <w:right w:val="none" w:sz="0" w:space="0" w:color="auto"/>
      </w:divBdr>
    </w:div>
    <w:div w:id="1197045261">
      <w:bodyDiv w:val="1"/>
      <w:marLeft w:val="0"/>
      <w:marRight w:val="0"/>
      <w:marTop w:val="0"/>
      <w:marBottom w:val="0"/>
      <w:divBdr>
        <w:top w:val="none" w:sz="0" w:space="0" w:color="auto"/>
        <w:left w:val="none" w:sz="0" w:space="0" w:color="auto"/>
        <w:bottom w:val="none" w:sz="0" w:space="0" w:color="auto"/>
        <w:right w:val="none" w:sz="0" w:space="0" w:color="auto"/>
      </w:divBdr>
    </w:div>
    <w:div w:id="1197233268">
      <w:bodyDiv w:val="1"/>
      <w:marLeft w:val="0"/>
      <w:marRight w:val="0"/>
      <w:marTop w:val="0"/>
      <w:marBottom w:val="0"/>
      <w:divBdr>
        <w:top w:val="none" w:sz="0" w:space="0" w:color="auto"/>
        <w:left w:val="none" w:sz="0" w:space="0" w:color="auto"/>
        <w:bottom w:val="none" w:sz="0" w:space="0" w:color="auto"/>
        <w:right w:val="none" w:sz="0" w:space="0" w:color="auto"/>
      </w:divBdr>
    </w:div>
    <w:div w:id="1197235877">
      <w:bodyDiv w:val="1"/>
      <w:marLeft w:val="0"/>
      <w:marRight w:val="0"/>
      <w:marTop w:val="0"/>
      <w:marBottom w:val="0"/>
      <w:divBdr>
        <w:top w:val="none" w:sz="0" w:space="0" w:color="auto"/>
        <w:left w:val="none" w:sz="0" w:space="0" w:color="auto"/>
        <w:bottom w:val="none" w:sz="0" w:space="0" w:color="auto"/>
        <w:right w:val="none" w:sz="0" w:space="0" w:color="auto"/>
      </w:divBdr>
    </w:div>
    <w:div w:id="1197356758">
      <w:bodyDiv w:val="1"/>
      <w:marLeft w:val="0"/>
      <w:marRight w:val="0"/>
      <w:marTop w:val="0"/>
      <w:marBottom w:val="0"/>
      <w:divBdr>
        <w:top w:val="none" w:sz="0" w:space="0" w:color="auto"/>
        <w:left w:val="none" w:sz="0" w:space="0" w:color="auto"/>
        <w:bottom w:val="none" w:sz="0" w:space="0" w:color="auto"/>
        <w:right w:val="none" w:sz="0" w:space="0" w:color="auto"/>
      </w:divBdr>
    </w:div>
    <w:div w:id="1197431486">
      <w:bodyDiv w:val="1"/>
      <w:marLeft w:val="0"/>
      <w:marRight w:val="0"/>
      <w:marTop w:val="0"/>
      <w:marBottom w:val="0"/>
      <w:divBdr>
        <w:top w:val="none" w:sz="0" w:space="0" w:color="auto"/>
        <w:left w:val="none" w:sz="0" w:space="0" w:color="auto"/>
        <w:bottom w:val="none" w:sz="0" w:space="0" w:color="auto"/>
        <w:right w:val="none" w:sz="0" w:space="0" w:color="auto"/>
      </w:divBdr>
    </w:div>
    <w:div w:id="1197505177">
      <w:bodyDiv w:val="1"/>
      <w:marLeft w:val="0"/>
      <w:marRight w:val="0"/>
      <w:marTop w:val="0"/>
      <w:marBottom w:val="0"/>
      <w:divBdr>
        <w:top w:val="none" w:sz="0" w:space="0" w:color="auto"/>
        <w:left w:val="none" w:sz="0" w:space="0" w:color="auto"/>
        <w:bottom w:val="none" w:sz="0" w:space="0" w:color="auto"/>
        <w:right w:val="none" w:sz="0" w:space="0" w:color="auto"/>
      </w:divBdr>
    </w:div>
    <w:div w:id="1197548534">
      <w:bodyDiv w:val="1"/>
      <w:marLeft w:val="0"/>
      <w:marRight w:val="0"/>
      <w:marTop w:val="0"/>
      <w:marBottom w:val="0"/>
      <w:divBdr>
        <w:top w:val="none" w:sz="0" w:space="0" w:color="auto"/>
        <w:left w:val="none" w:sz="0" w:space="0" w:color="auto"/>
        <w:bottom w:val="none" w:sz="0" w:space="0" w:color="auto"/>
        <w:right w:val="none" w:sz="0" w:space="0" w:color="auto"/>
      </w:divBdr>
    </w:div>
    <w:div w:id="1197616801">
      <w:bodyDiv w:val="1"/>
      <w:marLeft w:val="0"/>
      <w:marRight w:val="0"/>
      <w:marTop w:val="0"/>
      <w:marBottom w:val="0"/>
      <w:divBdr>
        <w:top w:val="none" w:sz="0" w:space="0" w:color="auto"/>
        <w:left w:val="none" w:sz="0" w:space="0" w:color="auto"/>
        <w:bottom w:val="none" w:sz="0" w:space="0" w:color="auto"/>
        <w:right w:val="none" w:sz="0" w:space="0" w:color="auto"/>
      </w:divBdr>
    </w:div>
    <w:div w:id="1197890974">
      <w:bodyDiv w:val="1"/>
      <w:marLeft w:val="0"/>
      <w:marRight w:val="0"/>
      <w:marTop w:val="0"/>
      <w:marBottom w:val="0"/>
      <w:divBdr>
        <w:top w:val="none" w:sz="0" w:space="0" w:color="auto"/>
        <w:left w:val="none" w:sz="0" w:space="0" w:color="auto"/>
        <w:bottom w:val="none" w:sz="0" w:space="0" w:color="auto"/>
        <w:right w:val="none" w:sz="0" w:space="0" w:color="auto"/>
      </w:divBdr>
    </w:div>
    <w:div w:id="1198197701">
      <w:bodyDiv w:val="1"/>
      <w:marLeft w:val="0"/>
      <w:marRight w:val="0"/>
      <w:marTop w:val="0"/>
      <w:marBottom w:val="0"/>
      <w:divBdr>
        <w:top w:val="none" w:sz="0" w:space="0" w:color="auto"/>
        <w:left w:val="none" w:sz="0" w:space="0" w:color="auto"/>
        <w:bottom w:val="none" w:sz="0" w:space="0" w:color="auto"/>
        <w:right w:val="none" w:sz="0" w:space="0" w:color="auto"/>
      </w:divBdr>
    </w:div>
    <w:div w:id="1198352464">
      <w:bodyDiv w:val="1"/>
      <w:marLeft w:val="0"/>
      <w:marRight w:val="0"/>
      <w:marTop w:val="0"/>
      <w:marBottom w:val="0"/>
      <w:divBdr>
        <w:top w:val="none" w:sz="0" w:space="0" w:color="auto"/>
        <w:left w:val="none" w:sz="0" w:space="0" w:color="auto"/>
        <w:bottom w:val="none" w:sz="0" w:space="0" w:color="auto"/>
        <w:right w:val="none" w:sz="0" w:space="0" w:color="auto"/>
      </w:divBdr>
    </w:div>
    <w:div w:id="1198423692">
      <w:bodyDiv w:val="1"/>
      <w:marLeft w:val="0"/>
      <w:marRight w:val="0"/>
      <w:marTop w:val="0"/>
      <w:marBottom w:val="0"/>
      <w:divBdr>
        <w:top w:val="none" w:sz="0" w:space="0" w:color="auto"/>
        <w:left w:val="none" w:sz="0" w:space="0" w:color="auto"/>
        <w:bottom w:val="none" w:sz="0" w:space="0" w:color="auto"/>
        <w:right w:val="none" w:sz="0" w:space="0" w:color="auto"/>
      </w:divBdr>
    </w:div>
    <w:div w:id="1198469247">
      <w:bodyDiv w:val="1"/>
      <w:marLeft w:val="0"/>
      <w:marRight w:val="0"/>
      <w:marTop w:val="0"/>
      <w:marBottom w:val="0"/>
      <w:divBdr>
        <w:top w:val="none" w:sz="0" w:space="0" w:color="auto"/>
        <w:left w:val="none" w:sz="0" w:space="0" w:color="auto"/>
        <w:bottom w:val="none" w:sz="0" w:space="0" w:color="auto"/>
        <w:right w:val="none" w:sz="0" w:space="0" w:color="auto"/>
      </w:divBdr>
    </w:div>
    <w:div w:id="1198733183">
      <w:bodyDiv w:val="1"/>
      <w:marLeft w:val="0"/>
      <w:marRight w:val="0"/>
      <w:marTop w:val="0"/>
      <w:marBottom w:val="0"/>
      <w:divBdr>
        <w:top w:val="none" w:sz="0" w:space="0" w:color="auto"/>
        <w:left w:val="none" w:sz="0" w:space="0" w:color="auto"/>
        <w:bottom w:val="none" w:sz="0" w:space="0" w:color="auto"/>
        <w:right w:val="none" w:sz="0" w:space="0" w:color="auto"/>
      </w:divBdr>
    </w:div>
    <w:div w:id="1198735464">
      <w:bodyDiv w:val="1"/>
      <w:marLeft w:val="0"/>
      <w:marRight w:val="0"/>
      <w:marTop w:val="0"/>
      <w:marBottom w:val="0"/>
      <w:divBdr>
        <w:top w:val="none" w:sz="0" w:space="0" w:color="auto"/>
        <w:left w:val="none" w:sz="0" w:space="0" w:color="auto"/>
        <w:bottom w:val="none" w:sz="0" w:space="0" w:color="auto"/>
        <w:right w:val="none" w:sz="0" w:space="0" w:color="auto"/>
      </w:divBdr>
    </w:div>
    <w:div w:id="1199003513">
      <w:bodyDiv w:val="1"/>
      <w:marLeft w:val="0"/>
      <w:marRight w:val="0"/>
      <w:marTop w:val="0"/>
      <w:marBottom w:val="0"/>
      <w:divBdr>
        <w:top w:val="none" w:sz="0" w:space="0" w:color="auto"/>
        <w:left w:val="none" w:sz="0" w:space="0" w:color="auto"/>
        <w:bottom w:val="none" w:sz="0" w:space="0" w:color="auto"/>
        <w:right w:val="none" w:sz="0" w:space="0" w:color="auto"/>
      </w:divBdr>
    </w:div>
    <w:div w:id="1199245596">
      <w:bodyDiv w:val="1"/>
      <w:marLeft w:val="0"/>
      <w:marRight w:val="0"/>
      <w:marTop w:val="0"/>
      <w:marBottom w:val="0"/>
      <w:divBdr>
        <w:top w:val="none" w:sz="0" w:space="0" w:color="auto"/>
        <w:left w:val="none" w:sz="0" w:space="0" w:color="auto"/>
        <w:bottom w:val="none" w:sz="0" w:space="0" w:color="auto"/>
        <w:right w:val="none" w:sz="0" w:space="0" w:color="auto"/>
      </w:divBdr>
    </w:div>
    <w:div w:id="1199512674">
      <w:bodyDiv w:val="1"/>
      <w:marLeft w:val="0"/>
      <w:marRight w:val="0"/>
      <w:marTop w:val="0"/>
      <w:marBottom w:val="0"/>
      <w:divBdr>
        <w:top w:val="none" w:sz="0" w:space="0" w:color="auto"/>
        <w:left w:val="none" w:sz="0" w:space="0" w:color="auto"/>
        <w:bottom w:val="none" w:sz="0" w:space="0" w:color="auto"/>
        <w:right w:val="none" w:sz="0" w:space="0" w:color="auto"/>
      </w:divBdr>
    </w:div>
    <w:div w:id="1199590883">
      <w:bodyDiv w:val="1"/>
      <w:marLeft w:val="0"/>
      <w:marRight w:val="0"/>
      <w:marTop w:val="0"/>
      <w:marBottom w:val="0"/>
      <w:divBdr>
        <w:top w:val="none" w:sz="0" w:space="0" w:color="auto"/>
        <w:left w:val="none" w:sz="0" w:space="0" w:color="auto"/>
        <w:bottom w:val="none" w:sz="0" w:space="0" w:color="auto"/>
        <w:right w:val="none" w:sz="0" w:space="0" w:color="auto"/>
      </w:divBdr>
    </w:div>
    <w:div w:id="1199665842">
      <w:bodyDiv w:val="1"/>
      <w:marLeft w:val="0"/>
      <w:marRight w:val="0"/>
      <w:marTop w:val="0"/>
      <w:marBottom w:val="0"/>
      <w:divBdr>
        <w:top w:val="none" w:sz="0" w:space="0" w:color="auto"/>
        <w:left w:val="none" w:sz="0" w:space="0" w:color="auto"/>
        <w:bottom w:val="none" w:sz="0" w:space="0" w:color="auto"/>
        <w:right w:val="none" w:sz="0" w:space="0" w:color="auto"/>
      </w:divBdr>
    </w:div>
    <w:div w:id="1199780893">
      <w:bodyDiv w:val="1"/>
      <w:marLeft w:val="0"/>
      <w:marRight w:val="0"/>
      <w:marTop w:val="0"/>
      <w:marBottom w:val="0"/>
      <w:divBdr>
        <w:top w:val="none" w:sz="0" w:space="0" w:color="auto"/>
        <w:left w:val="none" w:sz="0" w:space="0" w:color="auto"/>
        <w:bottom w:val="none" w:sz="0" w:space="0" w:color="auto"/>
        <w:right w:val="none" w:sz="0" w:space="0" w:color="auto"/>
      </w:divBdr>
    </w:div>
    <w:div w:id="1200045627">
      <w:bodyDiv w:val="1"/>
      <w:marLeft w:val="0"/>
      <w:marRight w:val="0"/>
      <w:marTop w:val="0"/>
      <w:marBottom w:val="0"/>
      <w:divBdr>
        <w:top w:val="none" w:sz="0" w:space="0" w:color="auto"/>
        <w:left w:val="none" w:sz="0" w:space="0" w:color="auto"/>
        <w:bottom w:val="none" w:sz="0" w:space="0" w:color="auto"/>
        <w:right w:val="none" w:sz="0" w:space="0" w:color="auto"/>
      </w:divBdr>
    </w:div>
    <w:div w:id="1200119847">
      <w:bodyDiv w:val="1"/>
      <w:marLeft w:val="0"/>
      <w:marRight w:val="0"/>
      <w:marTop w:val="0"/>
      <w:marBottom w:val="0"/>
      <w:divBdr>
        <w:top w:val="none" w:sz="0" w:space="0" w:color="auto"/>
        <w:left w:val="none" w:sz="0" w:space="0" w:color="auto"/>
        <w:bottom w:val="none" w:sz="0" w:space="0" w:color="auto"/>
        <w:right w:val="none" w:sz="0" w:space="0" w:color="auto"/>
      </w:divBdr>
    </w:div>
    <w:div w:id="1200124631">
      <w:bodyDiv w:val="1"/>
      <w:marLeft w:val="0"/>
      <w:marRight w:val="0"/>
      <w:marTop w:val="0"/>
      <w:marBottom w:val="0"/>
      <w:divBdr>
        <w:top w:val="none" w:sz="0" w:space="0" w:color="auto"/>
        <w:left w:val="none" w:sz="0" w:space="0" w:color="auto"/>
        <w:bottom w:val="none" w:sz="0" w:space="0" w:color="auto"/>
        <w:right w:val="none" w:sz="0" w:space="0" w:color="auto"/>
      </w:divBdr>
    </w:div>
    <w:div w:id="1200360963">
      <w:bodyDiv w:val="1"/>
      <w:marLeft w:val="0"/>
      <w:marRight w:val="0"/>
      <w:marTop w:val="0"/>
      <w:marBottom w:val="0"/>
      <w:divBdr>
        <w:top w:val="none" w:sz="0" w:space="0" w:color="auto"/>
        <w:left w:val="none" w:sz="0" w:space="0" w:color="auto"/>
        <w:bottom w:val="none" w:sz="0" w:space="0" w:color="auto"/>
        <w:right w:val="none" w:sz="0" w:space="0" w:color="auto"/>
      </w:divBdr>
    </w:div>
    <w:div w:id="1200433641">
      <w:bodyDiv w:val="1"/>
      <w:marLeft w:val="0"/>
      <w:marRight w:val="0"/>
      <w:marTop w:val="0"/>
      <w:marBottom w:val="0"/>
      <w:divBdr>
        <w:top w:val="none" w:sz="0" w:space="0" w:color="auto"/>
        <w:left w:val="none" w:sz="0" w:space="0" w:color="auto"/>
        <w:bottom w:val="none" w:sz="0" w:space="0" w:color="auto"/>
        <w:right w:val="none" w:sz="0" w:space="0" w:color="auto"/>
      </w:divBdr>
    </w:div>
    <w:div w:id="1200582677">
      <w:bodyDiv w:val="1"/>
      <w:marLeft w:val="0"/>
      <w:marRight w:val="0"/>
      <w:marTop w:val="0"/>
      <w:marBottom w:val="0"/>
      <w:divBdr>
        <w:top w:val="none" w:sz="0" w:space="0" w:color="auto"/>
        <w:left w:val="none" w:sz="0" w:space="0" w:color="auto"/>
        <w:bottom w:val="none" w:sz="0" w:space="0" w:color="auto"/>
        <w:right w:val="none" w:sz="0" w:space="0" w:color="auto"/>
      </w:divBdr>
    </w:div>
    <w:div w:id="1200777626">
      <w:bodyDiv w:val="1"/>
      <w:marLeft w:val="0"/>
      <w:marRight w:val="0"/>
      <w:marTop w:val="0"/>
      <w:marBottom w:val="0"/>
      <w:divBdr>
        <w:top w:val="none" w:sz="0" w:space="0" w:color="auto"/>
        <w:left w:val="none" w:sz="0" w:space="0" w:color="auto"/>
        <w:bottom w:val="none" w:sz="0" w:space="0" w:color="auto"/>
        <w:right w:val="none" w:sz="0" w:space="0" w:color="auto"/>
      </w:divBdr>
    </w:div>
    <w:div w:id="1201167165">
      <w:bodyDiv w:val="1"/>
      <w:marLeft w:val="0"/>
      <w:marRight w:val="0"/>
      <w:marTop w:val="0"/>
      <w:marBottom w:val="0"/>
      <w:divBdr>
        <w:top w:val="none" w:sz="0" w:space="0" w:color="auto"/>
        <w:left w:val="none" w:sz="0" w:space="0" w:color="auto"/>
        <w:bottom w:val="none" w:sz="0" w:space="0" w:color="auto"/>
        <w:right w:val="none" w:sz="0" w:space="0" w:color="auto"/>
      </w:divBdr>
    </w:div>
    <w:div w:id="1201169529">
      <w:bodyDiv w:val="1"/>
      <w:marLeft w:val="0"/>
      <w:marRight w:val="0"/>
      <w:marTop w:val="0"/>
      <w:marBottom w:val="0"/>
      <w:divBdr>
        <w:top w:val="none" w:sz="0" w:space="0" w:color="auto"/>
        <w:left w:val="none" w:sz="0" w:space="0" w:color="auto"/>
        <w:bottom w:val="none" w:sz="0" w:space="0" w:color="auto"/>
        <w:right w:val="none" w:sz="0" w:space="0" w:color="auto"/>
      </w:divBdr>
    </w:div>
    <w:div w:id="1201358942">
      <w:bodyDiv w:val="1"/>
      <w:marLeft w:val="0"/>
      <w:marRight w:val="0"/>
      <w:marTop w:val="0"/>
      <w:marBottom w:val="0"/>
      <w:divBdr>
        <w:top w:val="none" w:sz="0" w:space="0" w:color="auto"/>
        <w:left w:val="none" w:sz="0" w:space="0" w:color="auto"/>
        <w:bottom w:val="none" w:sz="0" w:space="0" w:color="auto"/>
        <w:right w:val="none" w:sz="0" w:space="0" w:color="auto"/>
      </w:divBdr>
    </w:div>
    <w:div w:id="1201478373">
      <w:bodyDiv w:val="1"/>
      <w:marLeft w:val="0"/>
      <w:marRight w:val="0"/>
      <w:marTop w:val="0"/>
      <w:marBottom w:val="0"/>
      <w:divBdr>
        <w:top w:val="none" w:sz="0" w:space="0" w:color="auto"/>
        <w:left w:val="none" w:sz="0" w:space="0" w:color="auto"/>
        <w:bottom w:val="none" w:sz="0" w:space="0" w:color="auto"/>
        <w:right w:val="none" w:sz="0" w:space="0" w:color="auto"/>
      </w:divBdr>
    </w:div>
    <w:div w:id="1201671475">
      <w:bodyDiv w:val="1"/>
      <w:marLeft w:val="0"/>
      <w:marRight w:val="0"/>
      <w:marTop w:val="0"/>
      <w:marBottom w:val="0"/>
      <w:divBdr>
        <w:top w:val="none" w:sz="0" w:space="0" w:color="auto"/>
        <w:left w:val="none" w:sz="0" w:space="0" w:color="auto"/>
        <w:bottom w:val="none" w:sz="0" w:space="0" w:color="auto"/>
        <w:right w:val="none" w:sz="0" w:space="0" w:color="auto"/>
      </w:divBdr>
    </w:div>
    <w:div w:id="1201743787">
      <w:bodyDiv w:val="1"/>
      <w:marLeft w:val="0"/>
      <w:marRight w:val="0"/>
      <w:marTop w:val="0"/>
      <w:marBottom w:val="0"/>
      <w:divBdr>
        <w:top w:val="none" w:sz="0" w:space="0" w:color="auto"/>
        <w:left w:val="none" w:sz="0" w:space="0" w:color="auto"/>
        <w:bottom w:val="none" w:sz="0" w:space="0" w:color="auto"/>
        <w:right w:val="none" w:sz="0" w:space="0" w:color="auto"/>
      </w:divBdr>
    </w:div>
    <w:div w:id="1201816256">
      <w:bodyDiv w:val="1"/>
      <w:marLeft w:val="0"/>
      <w:marRight w:val="0"/>
      <w:marTop w:val="0"/>
      <w:marBottom w:val="0"/>
      <w:divBdr>
        <w:top w:val="none" w:sz="0" w:space="0" w:color="auto"/>
        <w:left w:val="none" w:sz="0" w:space="0" w:color="auto"/>
        <w:bottom w:val="none" w:sz="0" w:space="0" w:color="auto"/>
        <w:right w:val="none" w:sz="0" w:space="0" w:color="auto"/>
      </w:divBdr>
    </w:div>
    <w:div w:id="1202091508">
      <w:bodyDiv w:val="1"/>
      <w:marLeft w:val="0"/>
      <w:marRight w:val="0"/>
      <w:marTop w:val="0"/>
      <w:marBottom w:val="0"/>
      <w:divBdr>
        <w:top w:val="none" w:sz="0" w:space="0" w:color="auto"/>
        <w:left w:val="none" w:sz="0" w:space="0" w:color="auto"/>
        <w:bottom w:val="none" w:sz="0" w:space="0" w:color="auto"/>
        <w:right w:val="none" w:sz="0" w:space="0" w:color="auto"/>
      </w:divBdr>
    </w:div>
    <w:div w:id="1202593843">
      <w:bodyDiv w:val="1"/>
      <w:marLeft w:val="0"/>
      <w:marRight w:val="0"/>
      <w:marTop w:val="0"/>
      <w:marBottom w:val="0"/>
      <w:divBdr>
        <w:top w:val="none" w:sz="0" w:space="0" w:color="auto"/>
        <w:left w:val="none" w:sz="0" w:space="0" w:color="auto"/>
        <w:bottom w:val="none" w:sz="0" w:space="0" w:color="auto"/>
        <w:right w:val="none" w:sz="0" w:space="0" w:color="auto"/>
      </w:divBdr>
    </w:div>
    <w:div w:id="1202669896">
      <w:bodyDiv w:val="1"/>
      <w:marLeft w:val="0"/>
      <w:marRight w:val="0"/>
      <w:marTop w:val="0"/>
      <w:marBottom w:val="0"/>
      <w:divBdr>
        <w:top w:val="none" w:sz="0" w:space="0" w:color="auto"/>
        <w:left w:val="none" w:sz="0" w:space="0" w:color="auto"/>
        <w:bottom w:val="none" w:sz="0" w:space="0" w:color="auto"/>
        <w:right w:val="none" w:sz="0" w:space="0" w:color="auto"/>
      </w:divBdr>
    </w:div>
    <w:div w:id="1202980367">
      <w:bodyDiv w:val="1"/>
      <w:marLeft w:val="0"/>
      <w:marRight w:val="0"/>
      <w:marTop w:val="0"/>
      <w:marBottom w:val="0"/>
      <w:divBdr>
        <w:top w:val="none" w:sz="0" w:space="0" w:color="auto"/>
        <w:left w:val="none" w:sz="0" w:space="0" w:color="auto"/>
        <w:bottom w:val="none" w:sz="0" w:space="0" w:color="auto"/>
        <w:right w:val="none" w:sz="0" w:space="0" w:color="auto"/>
      </w:divBdr>
    </w:div>
    <w:div w:id="1203053712">
      <w:bodyDiv w:val="1"/>
      <w:marLeft w:val="0"/>
      <w:marRight w:val="0"/>
      <w:marTop w:val="0"/>
      <w:marBottom w:val="0"/>
      <w:divBdr>
        <w:top w:val="none" w:sz="0" w:space="0" w:color="auto"/>
        <w:left w:val="none" w:sz="0" w:space="0" w:color="auto"/>
        <w:bottom w:val="none" w:sz="0" w:space="0" w:color="auto"/>
        <w:right w:val="none" w:sz="0" w:space="0" w:color="auto"/>
      </w:divBdr>
    </w:div>
    <w:div w:id="1203245393">
      <w:bodyDiv w:val="1"/>
      <w:marLeft w:val="0"/>
      <w:marRight w:val="0"/>
      <w:marTop w:val="0"/>
      <w:marBottom w:val="0"/>
      <w:divBdr>
        <w:top w:val="none" w:sz="0" w:space="0" w:color="auto"/>
        <w:left w:val="none" w:sz="0" w:space="0" w:color="auto"/>
        <w:bottom w:val="none" w:sz="0" w:space="0" w:color="auto"/>
        <w:right w:val="none" w:sz="0" w:space="0" w:color="auto"/>
      </w:divBdr>
    </w:div>
    <w:div w:id="1203250344">
      <w:bodyDiv w:val="1"/>
      <w:marLeft w:val="0"/>
      <w:marRight w:val="0"/>
      <w:marTop w:val="0"/>
      <w:marBottom w:val="0"/>
      <w:divBdr>
        <w:top w:val="none" w:sz="0" w:space="0" w:color="auto"/>
        <w:left w:val="none" w:sz="0" w:space="0" w:color="auto"/>
        <w:bottom w:val="none" w:sz="0" w:space="0" w:color="auto"/>
        <w:right w:val="none" w:sz="0" w:space="0" w:color="auto"/>
      </w:divBdr>
    </w:div>
    <w:div w:id="1203326809">
      <w:bodyDiv w:val="1"/>
      <w:marLeft w:val="0"/>
      <w:marRight w:val="0"/>
      <w:marTop w:val="0"/>
      <w:marBottom w:val="0"/>
      <w:divBdr>
        <w:top w:val="none" w:sz="0" w:space="0" w:color="auto"/>
        <w:left w:val="none" w:sz="0" w:space="0" w:color="auto"/>
        <w:bottom w:val="none" w:sz="0" w:space="0" w:color="auto"/>
        <w:right w:val="none" w:sz="0" w:space="0" w:color="auto"/>
      </w:divBdr>
    </w:div>
    <w:div w:id="1203590954">
      <w:bodyDiv w:val="1"/>
      <w:marLeft w:val="0"/>
      <w:marRight w:val="0"/>
      <w:marTop w:val="0"/>
      <w:marBottom w:val="0"/>
      <w:divBdr>
        <w:top w:val="none" w:sz="0" w:space="0" w:color="auto"/>
        <w:left w:val="none" w:sz="0" w:space="0" w:color="auto"/>
        <w:bottom w:val="none" w:sz="0" w:space="0" w:color="auto"/>
        <w:right w:val="none" w:sz="0" w:space="0" w:color="auto"/>
      </w:divBdr>
    </w:div>
    <w:div w:id="1203594012">
      <w:bodyDiv w:val="1"/>
      <w:marLeft w:val="0"/>
      <w:marRight w:val="0"/>
      <w:marTop w:val="0"/>
      <w:marBottom w:val="0"/>
      <w:divBdr>
        <w:top w:val="none" w:sz="0" w:space="0" w:color="auto"/>
        <w:left w:val="none" w:sz="0" w:space="0" w:color="auto"/>
        <w:bottom w:val="none" w:sz="0" w:space="0" w:color="auto"/>
        <w:right w:val="none" w:sz="0" w:space="0" w:color="auto"/>
      </w:divBdr>
    </w:div>
    <w:div w:id="1203598247">
      <w:bodyDiv w:val="1"/>
      <w:marLeft w:val="0"/>
      <w:marRight w:val="0"/>
      <w:marTop w:val="0"/>
      <w:marBottom w:val="0"/>
      <w:divBdr>
        <w:top w:val="none" w:sz="0" w:space="0" w:color="auto"/>
        <w:left w:val="none" w:sz="0" w:space="0" w:color="auto"/>
        <w:bottom w:val="none" w:sz="0" w:space="0" w:color="auto"/>
        <w:right w:val="none" w:sz="0" w:space="0" w:color="auto"/>
      </w:divBdr>
    </w:div>
    <w:div w:id="1203636551">
      <w:bodyDiv w:val="1"/>
      <w:marLeft w:val="0"/>
      <w:marRight w:val="0"/>
      <w:marTop w:val="0"/>
      <w:marBottom w:val="0"/>
      <w:divBdr>
        <w:top w:val="none" w:sz="0" w:space="0" w:color="auto"/>
        <w:left w:val="none" w:sz="0" w:space="0" w:color="auto"/>
        <w:bottom w:val="none" w:sz="0" w:space="0" w:color="auto"/>
        <w:right w:val="none" w:sz="0" w:space="0" w:color="auto"/>
      </w:divBdr>
    </w:div>
    <w:div w:id="1203857730">
      <w:bodyDiv w:val="1"/>
      <w:marLeft w:val="0"/>
      <w:marRight w:val="0"/>
      <w:marTop w:val="0"/>
      <w:marBottom w:val="0"/>
      <w:divBdr>
        <w:top w:val="none" w:sz="0" w:space="0" w:color="auto"/>
        <w:left w:val="none" w:sz="0" w:space="0" w:color="auto"/>
        <w:bottom w:val="none" w:sz="0" w:space="0" w:color="auto"/>
        <w:right w:val="none" w:sz="0" w:space="0" w:color="auto"/>
      </w:divBdr>
    </w:div>
    <w:div w:id="1203858727">
      <w:bodyDiv w:val="1"/>
      <w:marLeft w:val="0"/>
      <w:marRight w:val="0"/>
      <w:marTop w:val="0"/>
      <w:marBottom w:val="0"/>
      <w:divBdr>
        <w:top w:val="none" w:sz="0" w:space="0" w:color="auto"/>
        <w:left w:val="none" w:sz="0" w:space="0" w:color="auto"/>
        <w:bottom w:val="none" w:sz="0" w:space="0" w:color="auto"/>
        <w:right w:val="none" w:sz="0" w:space="0" w:color="auto"/>
      </w:divBdr>
    </w:div>
    <w:div w:id="1204098384">
      <w:bodyDiv w:val="1"/>
      <w:marLeft w:val="0"/>
      <w:marRight w:val="0"/>
      <w:marTop w:val="0"/>
      <w:marBottom w:val="0"/>
      <w:divBdr>
        <w:top w:val="none" w:sz="0" w:space="0" w:color="auto"/>
        <w:left w:val="none" w:sz="0" w:space="0" w:color="auto"/>
        <w:bottom w:val="none" w:sz="0" w:space="0" w:color="auto"/>
        <w:right w:val="none" w:sz="0" w:space="0" w:color="auto"/>
      </w:divBdr>
    </w:div>
    <w:div w:id="1204171558">
      <w:bodyDiv w:val="1"/>
      <w:marLeft w:val="0"/>
      <w:marRight w:val="0"/>
      <w:marTop w:val="0"/>
      <w:marBottom w:val="0"/>
      <w:divBdr>
        <w:top w:val="none" w:sz="0" w:space="0" w:color="auto"/>
        <w:left w:val="none" w:sz="0" w:space="0" w:color="auto"/>
        <w:bottom w:val="none" w:sz="0" w:space="0" w:color="auto"/>
        <w:right w:val="none" w:sz="0" w:space="0" w:color="auto"/>
      </w:divBdr>
    </w:div>
    <w:div w:id="1204176271">
      <w:bodyDiv w:val="1"/>
      <w:marLeft w:val="0"/>
      <w:marRight w:val="0"/>
      <w:marTop w:val="0"/>
      <w:marBottom w:val="0"/>
      <w:divBdr>
        <w:top w:val="none" w:sz="0" w:space="0" w:color="auto"/>
        <w:left w:val="none" w:sz="0" w:space="0" w:color="auto"/>
        <w:bottom w:val="none" w:sz="0" w:space="0" w:color="auto"/>
        <w:right w:val="none" w:sz="0" w:space="0" w:color="auto"/>
      </w:divBdr>
    </w:div>
    <w:div w:id="1204290997">
      <w:bodyDiv w:val="1"/>
      <w:marLeft w:val="0"/>
      <w:marRight w:val="0"/>
      <w:marTop w:val="0"/>
      <w:marBottom w:val="0"/>
      <w:divBdr>
        <w:top w:val="none" w:sz="0" w:space="0" w:color="auto"/>
        <w:left w:val="none" w:sz="0" w:space="0" w:color="auto"/>
        <w:bottom w:val="none" w:sz="0" w:space="0" w:color="auto"/>
        <w:right w:val="none" w:sz="0" w:space="0" w:color="auto"/>
      </w:divBdr>
    </w:div>
    <w:div w:id="1204365230">
      <w:bodyDiv w:val="1"/>
      <w:marLeft w:val="0"/>
      <w:marRight w:val="0"/>
      <w:marTop w:val="0"/>
      <w:marBottom w:val="0"/>
      <w:divBdr>
        <w:top w:val="none" w:sz="0" w:space="0" w:color="auto"/>
        <w:left w:val="none" w:sz="0" w:space="0" w:color="auto"/>
        <w:bottom w:val="none" w:sz="0" w:space="0" w:color="auto"/>
        <w:right w:val="none" w:sz="0" w:space="0" w:color="auto"/>
      </w:divBdr>
    </w:div>
    <w:div w:id="1204369289">
      <w:bodyDiv w:val="1"/>
      <w:marLeft w:val="0"/>
      <w:marRight w:val="0"/>
      <w:marTop w:val="0"/>
      <w:marBottom w:val="0"/>
      <w:divBdr>
        <w:top w:val="none" w:sz="0" w:space="0" w:color="auto"/>
        <w:left w:val="none" w:sz="0" w:space="0" w:color="auto"/>
        <w:bottom w:val="none" w:sz="0" w:space="0" w:color="auto"/>
        <w:right w:val="none" w:sz="0" w:space="0" w:color="auto"/>
      </w:divBdr>
    </w:div>
    <w:div w:id="1204638336">
      <w:bodyDiv w:val="1"/>
      <w:marLeft w:val="0"/>
      <w:marRight w:val="0"/>
      <w:marTop w:val="0"/>
      <w:marBottom w:val="0"/>
      <w:divBdr>
        <w:top w:val="none" w:sz="0" w:space="0" w:color="auto"/>
        <w:left w:val="none" w:sz="0" w:space="0" w:color="auto"/>
        <w:bottom w:val="none" w:sz="0" w:space="0" w:color="auto"/>
        <w:right w:val="none" w:sz="0" w:space="0" w:color="auto"/>
      </w:divBdr>
    </w:div>
    <w:div w:id="1204708087">
      <w:bodyDiv w:val="1"/>
      <w:marLeft w:val="0"/>
      <w:marRight w:val="0"/>
      <w:marTop w:val="0"/>
      <w:marBottom w:val="0"/>
      <w:divBdr>
        <w:top w:val="none" w:sz="0" w:space="0" w:color="auto"/>
        <w:left w:val="none" w:sz="0" w:space="0" w:color="auto"/>
        <w:bottom w:val="none" w:sz="0" w:space="0" w:color="auto"/>
        <w:right w:val="none" w:sz="0" w:space="0" w:color="auto"/>
      </w:divBdr>
    </w:div>
    <w:div w:id="1204752553">
      <w:bodyDiv w:val="1"/>
      <w:marLeft w:val="0"/>
      <w:marRight w:val="0"/>
      <w:marTop w:val="0"/>
      <w:marBottom w:val="0"/>
      <w:divBdr>
        <w:top w:val="none" w:sz="0" w:space="0" w:color="auto"/>
        <w:left w:val="none" w:sz="0" w:space="0" w:color="auto"/>
        <w:bottom w:val="none" w:sz="0" w:space="0" w:color="auto"/>
        <w:right w:val="none" w:sz="0" w:space="0" w:color="auto"/>
      </w:divBdr>
    </w:div>
    <w:div w:id="1204829543">
      <w:bodyDiv w:val="1"/>
      <w:marLeft w:val="0"/>
      <w:marRight w:val="0"/>
      <w:marTop w:val="0"/>
      <w:marBottom w:val="0"/>
      <w:divBdr>
        <w:top w:val="none" w:sz="0" w:space="0" w:color="auto"/>
        <w:left w:val="none" w:sz="0" w:space="0" w:color="auto"/>
        <w:bottom w:val="none" w:sz="0" w:space="0" w:color="auto"/>
        <w:right w:val="none" w:sz="0" w:space="0" w:color="auto"/>
      </w:divBdr>
    </w:div>
    <w:div w:id="1205407965">
      <w:bodyDiv w:val="1"/>
      <w:marLeft w:val="0"/>
      <w:marRight w:val="0"/>
      <w:marTop w:val="0"/>
      <w:marBottom w:val="0"/>
      <w:divBdr>
        <w:top w:val="none" w:sz="0" w:space="0" w:color="auto"/>
        <w:left w:val="none" w:sz="0" w:space="0" w:color="auto"/>
        <w:bottom w:val="none" w:sz="0" w:space="0" w:color="auto"/>
        <w:right w:val="none" w:sz="0" w:space="0" w:color="auto"/>
      </w:divBdr>
    </w:div>
    <w:div w:id="1205410362">
      <w:bodyDiv w:val="1"/>
      <w:marLeft w:val="0"/>
      <w:marRight w:val="0"/>
      <w:marTop w:val="0"/>
      <w:marBottom w:val="0"/>
      <w:divBdr>
        <w:top w:val="none" w:sz="0" w:space="0" w:color="auto"/>
        <w:left w:val="none" w:sz="0" w:space="0" w:color="auto"/>
        <w:bottom w:val="none" w:sz="0" w:space="0" w:color="auto"/>
        <w:right w:val="none" w:sz="0" w:space="0" w:color="auto"/>
      </w:divBdr>
    </w:div>
    <w:div w:id="1205679114">
      <w:bodyDiv w:val="1"/>
      <w:marLeft w:val="0"/>
      <w:marRight w:val="0"/>
      <w:marTop w:val="0"/>
      <w:marBottom w:val="0"/>
      <w:divBdr>
        <w:top w:val="none" w:sz="0" w:space="0" w:color="auto"/>
        <w:left w:val="none" w:sz="0" w:space="0" w:color="auto"/>
        <w:bottom w:val="none" w:sz="0" w:space="0" w:color="auto"/>
        <w:right w:val="none" w:sz="0" w:space="0" w:color="auto"/>
      </w:divBdr>
    </w:div>
    <w:div w:id="1205754006">
      <w:bodyDiv w:val="1"/>
      <w:marLeft w:val="0"/>
      <w:marRight w:val="0"/>
      <w:marTop w:val="0"/>
      <w:marBottom w:val="0"/>
      <w:divBdr>
        <w:top w:val="none" w:sz="0" w:space="0" w:color="auto"/>
        <w:left w:val="none" w:sz="0" w:space="0" w:color="auto"/>
        <w:bottom w:val="none" w:sz="0" w:space="0" w:color="auto"/>
        <w:right w:val="none" w:sz="0" w:space="0" w:color="auto"/>
      </w:divBdr>
    </w:div>
    <w:div w:id="1206065164">
      <w:bodyDiv w:val="1"/>
      <w:marLeft w:val="0"/>
      <w:marRight w:val="0"/>
      <w:marTop w:val="0"/>
      <w:marBottom w:val="0"/>
      <w:divBdr>
        <w:top w:val="none" w:sz="0" w:space="0" w:color="auto"/>
        <w:left w:val="none" w:sz="0" w:space="0" w:color="auto"/>
        <w:bottom w:val="none" w:sz="0" w:space="0" w:color="auto"/>
        <w:right w:val="none" w:sz="0" w:space="0" w:color="auto"/>
      </w:divBdr>
    </w:div>
    <w:div w:id="1206257782">
      <w:bodyDiv w:val="1"/>
      <w:marLeft w:val="0"/>
      <w:marRight w:val="0"/>
      <w:marTop w:val="0"/>
      <w:marBottom w:val="0"/>
      <w:divBdr>
        <w:top w:val="none" w:sz="0" w:space="0" w:color="auto"/>
        <w:left w:val="none" w:sz="0" w:space="0" w:color="auto"/>
        <w:bottom w:val="none" w:sz="0" w:space="0" w:color="auto"/>
        <w:right w:val="none" w:sz="0" w:space="0" w:color="auto"/>
      </w:divBdr>
    </w:div>
    <w:div w:id="1206679453">
      <w:bodyDiv w:val="1"/>
      <w:marLeft w:val="0"/>
      <w:marRight w:val="0"/>
      <w:marTop w:val="0"/>
      <w:marBottom w:val="0"/>
      <w:divBdr>
        <w:top w:val="none" w:sz="0" w:space="0" w:color="auto"/>
        <w:left w:val="none" w:sz="0" w:space="0" w:color="auto"/>
        <w:bottom w:val="none" w:sz="0" w:space="0" w:color="auto"/>
        <w:right w:val="none" w:sz="0" w:space="0" w:color="auto"/>
      </w:divBdr>
    </w:div>
    <w:div w:id="1207066563">
      <w:bodyDiv w:val="1"/>
      <w:marLeft w:val="0"/>
      <w:marRight w:val="0"/>
      <w:marTop w:val="0"/>
      <w:marBottom w:val="0"/>
      <w:divBdr>
        <w:top w:val="none" w:sz="0" w:space="0" w:color="auto"/>
        <w:left w:val="none" w:sz="0" w:space="0" w:color="auto"/>
        <w:bottom w:val="none" w:sz="0" w:space="0" w:color="auto"/>
        <w:right w:val="none" w:sz="0" w:space="0" w:color="auto"/>
      </w:divBdr>
    </w:div>
    <w:div w:id="1207183992">
      <w:bodyDiv w:val="1"/>
      <w:marLeft w:val="0"/>
      <w:marRight w:val="0"/>
      <w:marTop w:val="0"/>
      <w:marBottom w:val="0"/>
      <w:divBdr>
        <w:top w:val="none" w:sz="0" w:space="0" w:color="auto"/>
        <w:left w:val="none" w:sz="0" w:space="0" w:color="auto"/>
        <w:bottom w:val="none" w:sz="0" w:space="0" w:color="auto"/>
        <w:right w:val="none" w:sz="0" w:space="0" w:color="auto"/>
      </w:divBdr>
    </w:div>
    <w:div w:id="1207327344">
      <w:bodyDiv w:val="1"/>
      <w:marLeft w:val="0"/>
      <w:marRight w:val="0"/>
      <w:marTop w:val="0"/>
      <w:marBottom w:val="0"/>
      <w:divBdr>
        <w:top w:val="none" w:sz="0" w:space="0" w:color="auto"/>
        <w:left w:val="none" w:sz="0" w:space="0" w:color="auto"/>
        <w:bottom w:val="none" w:sz="0" w:space="0" w:color="auto"/>
        <w:right w:val="none" w:sz="0" w:space="0" w:color="auto"/>
      </w:divBdr>
    </w:div>
    <w:div w:id="1207529346">
      <w:bodyDiv w:val="1"/>
      <w:marLeft w:val="0"/>
      <w:marRight w:val="0"/>
      <w:marTop w:val="0"/>
      <w:marBottom w:val="0"/>
      <w:divBdr>
        <w:top w:val="none" w:sz="0" w:space="0" w:color="auto"/>
        <w:left w:val="none" w:sz="0" w:space="0" w:color="auto"/>
        <w:bottom w:val="none" w:sz="0" w:space="0" w:color="auto"/>
        <w:right w:val="none" w:sz="0" w:space="0" w:color="auto"/>
      </w:divBdr>
    </w:div>
    <w:div w:id="1207912276">
      <w:bodyDiv w:val="1"/>
      <w:marLeft w:val="0"/>
      <w:marRight w:val="0"/>
      <w:marTop w:val="0"/>
      <w:marBottom w:val="0"/>
      <w:divBdr>
        <w:top w:val="none" w:sz="0" w:space="0" w:color="auto"/>
        <w:left w:val="none" w:sz="0" w:space="0" w:color="auto"/>
        <w:bottom w:val="none" w:sz="0" w:space="0" w:color="auto"/>
        <w:right w:val="none" w:sz="0" w:space="0" w:color="auto"/>
      </w:divBdr>
    </w:div>
    <w:div w:id="1208031977">
      <w:bodyDiv w:val="1"/>
      <w:marLeft w:val="0"/>
      <w:marRight w:val="0"/>
      <w:marTop w:val="0"/>
      <w:marBottom w:val="0"/>
      <w:divBdr>
        <w:top w:val="none" w:sz="0" w:space="0" w:color="auto"/>
        <w:left w:val="none" w:sz="0" w:space="0" w:color="auto"/>
        <w:bottom w:val="none" w:sz="0" w:space="0" w:color="auto"/>
        <w:right w:val="none" w:sz="0" w:space="0" w:color="auto"/>
      </w:divBdr>
    </w:div>
    <w:div w:id="1208420796">
      <w:bodyDiv w:val="1"/>
      <w:marLeft w:val="0"/>
      <w:marRight w:val="0"/>
      <w:marTop w:val="0"/>
      <w:marBottom w:val="0"/>
      <w:divBdr>
        <w:top w:val="none" w:sz="0" w:space="0" w:color="auto"/>
        <w:left w:val="none" w:sz="0" w:space="0" w:color="auto"/>
        <w:bottom w:val="none" w:sz="0" w:space="0" w:color="auto"/>
        <w:right w:val="none" w:sz="0" w:space="0" w:color="auto"/>
      </w:divBdr>
    </w:div>
    <w:div w:id="1208950236">
      <w:bodyDiv w:val="1"/>
      <w:marLeft w:val="0"/>
      <w:marRight w:val="0"/>
      <w:marTop w:val="0"/>
      <w:marBottom w:val="0"/>
      <w:divBdr>
        <w:top w:val="none" w:sz="0" w:space="0" w:color="auto"/>
        <w:left w:val="none" w:sz="0" w:space="0" w:color="auto"/>
        <w:bottom w:val="none" w:sz="0" w:space="0" w:color="auto"/>
        <w:right w:val="none" w:sz="0" w:space="0" w:color="auto"/>
      </w:divBdr>
    </w:div>
    <w:div w:id="1209144735">
      <w:bodyDiv w:val="1"/>
      <w:marLeft w:val="0"/>
      <w:marRight w:val="0"/>
      <w:marTop w:val="0"/>
      <w:marBottom w:val="0"/>
      <w:divBdr>
        <w:top w:val="none" w:sz="0" w:space="0" w:color="auto"/>
        <w:left w:val="none" w:sz="0" w:space="0" w:color="auto"/>
        <w:bottom w:val="none" w:sz="0" w:space="0" w:color="auto"/>
        <w:right w:val="none" w:sz="0" w:space="0" w:color="auto"/>
      </w:divBdr>
    </w:div>
    <w:div w:id="1209562019">
      <w:bodyDiv w:val="1"/>
      <w:marLeft w:val="0"/>
      <w:marRight w:val="0"/>
      <w:marTop w:val="0"/>
      <w:marBottom w:val="0"/>
      <w:divBdr>
        <w:top w:val="none" w:sz="0" w:space="0" w:color="auto"/>
        <w:left w:val="none" w:sz="0" w:space="0" w:color="auto"/>
        <w:bottom w:val="none" w:sz="0" w:space="0" w:color="auto"/>
        <w:right w:val="none" w:sz="0" w:space="0" w:color="auto"/>
      </w:divBdr>
    </w:div>
    <w:div w:id="1209755497">
      <w:bodyDiv w:val="1"/>
      <w:marLeft w:val="0"/>
      <w:marRight w:val="0"/>
      <w:marTop w:val="0"/>
      <w:marBottom w:val="0"/>
      <w:divBdr>
        <w:top w:val="none" w:sz="0" w:space="0" w:color="auto"/>
        <w:left w:val="none" w:sz="0" w:space="0" w:color="auto"/>
        <w:bottom w:val="none" w:sz="0" w:space="0" w:color="auto"/>
        <w:right w:val="none" w:sz="0" w:space="0" w:color="auto"/>
      </w:divBdr>
    </w:div>
    <w:div w:id="1210189378">
      <w:bodyDiv w:val="1"/>
      <w:marLeft w:val="0"/>
      <w:marRight w:val="0"/>
      <w:marTop w:val="0"/>
      <w:marBottom w:val="0"/>
      <w:divBdr>
        <w:top w:val="none" w:sz="0" w:space="0" w:color="auto"/>
        <w:left w:val="none" w:sz="0" w:space="0" w:color="auto"/>
        <w:bottom w:val="none" w:sz="0" w:space="0" w:color="auto"/>
        <w:right w:val="none" w:sz="0" w:space="0" w:color="auto"/>
      </w:divBdr>
    </w:div>
    <w:div w:id="1210193031">
      <w:bodyDiv w:val="1"/>
      <w:marLeft w:val="0"/>
      <w:marRight w:val="0"/>
      <w:marTop w:val="0"/>
      <w:marBottom w:val="0"/>
      <w:divBdr>
        <w:top w:val="none" w:sz="0" w:space="0" w:color="auto"/>
        <w:left w:val="none" w:sz="0" w:space="0" w:color="auto"/>
        <w:bottom w:val="none" w:sz="0" w:space="0" w:color="auto"/>
        <w:right w:val="none" w:sz="0" w:space="0" w:color="auto"/>
      </w:divBdr>
    </w:div>
    <w:div w:id="1210262969">
      <w:bodyDiv w:val="1"/>
      <w:marLeft w:val="0"/>
      <w:marRight w:val="0"/>
      <w:marTop w:val="0"/>
      <w:marBottom w:val="0"/>
      <w:divBdr>
        <w:top w:val="none" w:sz="0" w:space="0" w:color="auto"/>
        <w:left w:val="none" w:sz="0" w:space="0" w:color="auto"/>
        <w:bottom w:val="none" w:sz="0" w:space="0" w:color="auto"/>
        <w:right w:val="none" w:sz="0" w:space="0" w:color="auto"/>
      </w:divBdr>
    </w:div>
    <w:div w:id="1210529150">
      <w:bodyDiv w:val="1"/>
      <w:marLeft w:val="0"/>
      <w:marRight w:val="0"/>
      <w:marTop w:val="0"/>
      <w:marBottom w:val="0"/>
      <w:divBdr>
        <w:top w:val="none" w:sz="0" w:space="0" w:color="auto"/>
        <w:left w:val="none" w:sz="0" w:space="0" w:color="auto"/>
        <w:bottom w:val="none" w:sz="0" w:space="0" w:color="auto"/>
        <w:right w:val="none" w:sz="0" w:space="0" w:color="auto"/>
      </w:divBdr>
    </w:div>
    <w:div w:id="1210532713">
      <w:bodyDiv w:val="1"/>
      <w:marLeft w:val="0"/>
      <w:marRight w:val="0"/>
      <w:marTop w:val="0"/>
      <w:marBottom w:val="0"/>
      <w:divBdr>
        <w:top w:val="none" w:sz="0" w:space="0" w:color="auto"/>
        <w:left w:val="none" w:sz="0" w:space="0" w:color="auto"/>
        <w:bottom w:val="none" w:sz="0" w:space="0" w:color="auto"/>
        <w:right w:val="none" w:sz="0" w:space="0" w:color="auto"/>
      </w:divBdr>
    </w:div>
    <w:div w:id="1210848385">
      <w:bodyDiv w:val="1"/>
      <w:marLeft w:val="0"/>
      <w:marRight w:val="0"/>
      <w:marTop w:val="0"/>
      <w:marBottom w:val="0"/>
      <w:divBdr>
        <w:top w:val="none" w:sz="0" w:space="0" w:color="auto"/>
        <w:left w:val="none" w:sz="0" w:space="0" w:color="auto"/>
        <w:bottom w:val="none" w:sz="0" w:space="0" w:color="auto"/>
        <w:right w:val="none" w:sz="0" w:space="0" w:color="auto"/>
      </w:divBdr>
    </w:div>
    <w:div w:id="1211303710">
      <w:bodyDiv w:val="1"/>
      <w:marLeft w:val="0"/>
      <w:marRight w:val="0"/>
      <w:marTop w:val="0"/>
      <w:marBottom w:val="0"/>
      <w:divBdr>
        <w:top w:val="none" w:sz="0" w:space="0" w:color="auto"/>
        <w:left w:val="none" w:sz="0" w:space="0" w:color="auto"/>
        <w:bottom w:val="none" w:sz="0" w:space="0" w:color="auto"/>
        <w:right w:val="none" w:sz="0" w:space="0" w:color="auto"/>
      </w:divBdr>
    </w:div>
    <w:div w:id="1211378851">
      <w:bodyDiv w:val="1"/>
      <w:marLeft w:val="0"/>
      <w:marRight w:val="0"/>
      <w:marTop w:val="0"/>
      <w:marBottom w:val="0"/>
      <w:divBdr>
        <w:top w:val="none" w:sz="0" w:space="0" w:color="auto"/>
        <w:left w:val="none" w:sz="0" w:space="0" w:color="auto"/>
        <w:bottom w:val="none" w:sz="0" w:space="0" w:color="auto"/>
        <w:right w:val="none" w:sz="0" w:space="0" w:color="auto"/>
      </w:divBdr>
    </w:div>
    <w:div w:id="1211766262">
      <w:bodyDiv w:val="1"/>
      <w:marLeft w:val="0"/>
      <w:marRight w:val="0"/>
      <w:marTop w:val="0"/>
      <w:marBottom w:val="0"/>
      <w:divBdr>
        <w:top w:val="none" w:sz="0" w:space="0" w:color="auto"/>
        <w:left w:val="none" w:sz="0" w:space="0" w:color="auto"/>
        <w:bottom w:val="none" w:sz="0" w:space="0" w:color="auto"/>
        <w:right w:val="none" w:sz="0" w:space="0" w:color="auto"/>
      </w:divBdr>
    </w:div>
    <w:div w:id="1211922267">
      <w:bodyDiv w:val="1"/>
      <w:marLeft w:val="0"/>
      <w:marRight w:val="0"/>
      <w:marTop w:val="0"/>
      <w:marBottom w:val="0"/>
      <w:divBdr>
        <w:top w:val="none" w:sz="0" w:space="0" w:color="auto"/>
        <w:left w:val="none" w:sz="0" w:space="0" w:color="auto"/>
        <w:bottom w:val="none" w:sz="0" w:space="0" w:color="auto"/>
        <w:right w:val="none" w:sz="0" w:space="0" w:color="auto"/>
      </w:divBdr>
    </w:div>
    <w:div w:id="1212036615">
      <w:bodyDiv w:val="1"/>
      <w:marLeft w:val="0"/>
      <w:marRight w:val="0"/>
      <w:marTop w:val="0"/>
      <w:marBottom w:val="0"/>
      <w:divBdr>
        <w:top w:val="none" w:sz="0" w:space="0" w:color="auto"/>
        <w:left w:val="none" w:sz="0" w:space="0" w:color="auto"/>
        <w:bottom w:val="none" w:sz="0" w:space="0" w:color="auto"/>
        <w:right w:val="none" w:sz="0" w:space="0" w:color="auto"/>
      </w:divBdr>
    </w:div>
    <w:div w:id="1212309463">
      <w:bodyDiv w:val="1"/>
      <w:marLeft w:val="0"/>
      <w:marRight w:val="0"/>
      <w:marTop w:val="0"/>
      <w:marBottom w:val="0"/>
      <w:divBdr>
        <w:top w:val="none" w:sz="0" w:space="0" w:color="auto"/>
        <w:left w:val="none" w:sz="0" w:space="0" w:color="auto"/>
        <w:bottom w:val="none" w:sz="0" w:space="0" w:color="auto"/>
        <w:right w:val="none" w:sz="0" w:space="0" w:color="auto"/>
      </w:divBdr>
    </w:div>
    <w:div w:id="1212426430">
      <w:bodyDiv w:val="1"/>
      <w:marLeft w:val="0"/>
      <w:marRight w:val="0"/>
      <w:marTop w:val="0"/>
      <w:marBottom w:val="0"/>
      <w:divBdr>
        <w:top w:val="none" w:sz="0" w:space="0" w:color="auto"/>
        <w:left w:val="none" w:sz="0" w:space="0" w:color="auto"/>
        <w:bottom w:val="none" w:sz="0" w:space="0" w:color="auto"/>
        <w:right w:val="none" w:sz="0" w:space="0" w:color="auto"/>
      </w:divBdr>
    </w:div>
    <w:div w:id="1212499014">
      <w:bodyDiv w:val="1"/>
      <w:marLeft w:val="0"/>
      <w:marRight w:val="0"/>
      <w:marTop w:val="0"/>
      <w:marBottom w:val="0"/>
      <w:divBdr>
        <w:top w:val="none" w:sz="0" w:space="0" w:color="auto"/>
        <w:left w:val="none" w:sz="0" w:space="0" w:color="auto"/>
        <w:bottom w:val="none" w:sz="0" w:space="0" w:color="auto"/>
        <w:right w:val="none" w:sz="0" w:space="0" w:color="auto"/>
      </w:divBdr>
    </w:div>
    <w:div w:id="1212688069">
      <w:bodyDiv w:val="1"/>
      <w:marLeft w:val="0"/>
      <w:marRight w:val="0"/>
      <w:marTop w:val="0"/>
      <w:marBottom w:val="0"/>
      <w:divBdr>
        <w:top w:val="none" w:sz="0" w:space="0" w:color="auto"/>
        <w:left w:val="none" w:sz="0" w:space="0" w:color="auto"/>
        <w:bottom w:val="none" w:sz="0" w:space="0" w:color="auto"/>
        <w:right w:val="none" w:sz="0" w:space="0" w:color="auto"/>
      </w:divBdr>
    </w:div>
    <w:div w:id="1212694274">
      <w:bodyDiv w:val="1"/>
      <w:marLeft w:val="0"/>
      <w:marRight w:val="0"/>
      <w:marTop w:val="0"/>
      <w:marBottom w:val="0"/>
      <w:divBdr>
        <w:top w:val="none" w:sz="0" w:space="0" w:color="auto"/>
        <w:left w:val="none" w:sz="0" w:space="0" w:color="auto"/>
        <w:bottom w:val="none" w:sz="0" w:space="0" w:color="auto"/>
        <w:right w:val="none" w:sz="0" w:space="0" w:color="auto"/>
      </w:divBdr>
    </w:div>
    <w:div w:id="1212882293">
      <w:bodyDiv w:val="1"/>
      <w:marLeft w:val="0"/>
      <w:marRight w:val="0"/>
      <w:marTop w:val="0"/>
      <w:marBottom w:val="0"/>
      <w:divBdr>
        <w:top w:val="none" w:sz="0" w:space="0" w:color="auto"/>
        <w:left w:val="none" w:sz="0" w:space="0" w:color="auto"/>
        <w:bottom w:val="none" w:sz="0" w:space="0" w:color="auto"/>
        <w:right w:val="none" w:sz="0" w:space="0" w:color="auto"/>
      </w:divBdr>
    </w:div>
    <w:div w:id="1213423501">
      <w:bodyDiv w:val="1"/>
      <w:marLeft w:val="0"/>
      <w:marRight w:val="0"/>
      <w:marTop w:val="0"/>
      <w:marBottom w:val="0"/>
      <w:divBdr>
        <w:top w:val="none" w:sz="0" w:space="0" w:color="auto"/>
        <w:left w:val="none" w:sz="0" w:space="0" w:color="auto"/>
        <w:bottom w:val="none" w:sz="0" w:space="0" w:color="auto"/>
        <w:right w:val="none" w:sz="0" w:space="0" w:color="auto"/>
      </w:divBdr>
    </w:div>
    <w:div w:id="1213813952">
      <w:bodyDiv w:val="1"/>
      <w:marLeft w:val="0"/>
      <w:marRight w:val="0"/>
      <w:marTop w:val="0"/>
      <w:marBottom w:val="0"/>
      <w:divBdr>
        <w:top w:val="none" w:sz="0" w:space="0" w:color="auto"/>
        <w:left w:val="none" w:sz="0" w:space="0" w:color="auto"/>
        <w:bottom w:val="none" w:sz="0" w:space="0" w:color="auto"/>
        <w:right w:val="none" w:sz="0" w:space="0" w:color="auto"/>
      </w:divBdr>
    </w:div>
    <w:div w:id="1214074682">
      <w:bodyDiv w:val="1"/>
      <w:marLeft w:val="0"/>
      <w:marRight w:val="0"/>
      <w:marTop w:val="0"/>
      <w:marBottom w:val="0"/>
      <w:divBdr>
        <w:top w:val="none" w:sz="0" w:space="0" w:color="auto"/>
        <w:left w:val="none" w:sz="0" w:space="0" w:color="auto"/>
        <w:bottom w:val="none" w:sz="0" w:space="0" w:color="auto"/>
        <w:right w:val="none" w:sz="0" w:space="0" w:color="auto"/>
      </w:divBdr>
    </w:div>
    <w:div w:id="1214120247">
      <w:bodyDiv w:val="1"/>
      <w:marLeft w:val="0"/>
      <w:marRight w:val="0"/>
      <w:marTop w:val="0"/>
      <w:marBottom w:val="0"/>
      <w:divBdr>
        <w:top w:val="none" w:sz="0" w:space="0" w:color="auto"/>
        <w:left w:val="none" w:sz="0" w:space="0" w:color="auto"/>
        <w:bottom w:val="none" w:sz="0" w:space="0" w:color="auto"/>
        <w:right w:val="none" w:sz="0" w:space="0" w:color="auto"/>
      </w:divBdr>
    </w:div>
    <w:div w:id="1214148496">
      <w:bodyDiv w:val="1"/>
      <w:marLeft w:val="0"/>
      <w:marRight w:val="0"/>
      <w:marTop w:val="0"/>
      <w:marBottom w:val="0"/>
      <w:divBdr>
        <w:top w:val="none" w:sz="0" w:space="0" w:color="auto"/>
        <w:left w:val="none" w:sz="0" w:space="0" w:color="auto"/>
        <w:bottom w:val="none" w:sz="0" w:space="0" w:color="auto"/>
        <w:right w:val="none" w:sz="0" w:space="0" w:color="auto"/>
      </w:divBdr>
    </w:div>
    <w:div w:id="1214468402">
      <w:bodyDiv w:val="1"/>
      <w:marLeft w:val="0"/>
      <w:marRight w:val="0"/>
      <w:marTop w:val="0"/>
      <w:marBottom w:val="0"/>
      <w:divBdr>
        <w:top w:val="none" w:sz="0" w:space="0" w:color="auto"/>
        <w:left w:val="none" w:sz="0" w:space="0" w:color="auto"/>
        <w:bottom w:val="none" w:sz="0" w:space="0" w:color="auto"/>
        <w:right w:val="none" w:sz="0" w:space="0" w:color="auto"/>
      </w:divBdr>
    </w:div>
    <w:div w:id="1214581593">
      <w:bodyDiv w:val="1"/>
      <w:marLeft w:val="0"/>
      <w:marRight w:val="0"/>
      <w:marTop w:val="0"/>
      <w:marBottom w:val="0"/>
      <w:divBdr>
        <w:top w:val="none" w:sz="0" w:space="0" w:color="auto"/>
        <w:left w:val="none" w:sz="0" w:space="0" w:color="auto"/>
        <w:bottom w:val="none" w:sz="0" w:space="0" w:color="auto"/>
        <w:right w:val="none" w:sz="0" w:space="0" w:color="auto"/>
      </w:divBdr>
    </w:div>
    <w:div w:id="1215197763">
      <w:bodyDiv w:val="1"/>
      <w:marLeft w:val="0"/>
      <w:marRight w:val="0"/>
      <w:marTop w:val="0"/>
      <w:marBottom w:val="0"/>
      <w:divBdr>
        <w:top w:val="none" w:sz="0" w:space="0" w:color="auto"/>
        <w:left w:val="none" w:sz="0" w:space="0" w:color="auto"/>
        <w:bottom w:val="none" w:sz="0" w:space="0" w:color="auto"/>
        <w:right w:val="none" w:sz="0" w:space="0" w:color="auto"/>
      </w:divBdr>
    </w:div>
    <w:div w:id="1215236225">
      <w:bodyDiv w:val="1"/>
      <w:marLeft w:val="0"/>
      <w:marRight w:val="0"/>
      <w:marTop w:val="0"/>
      <w:marBottom w:val="0"/>
      <w:divBdr>
        <w:top w:val="none" w:sz="0" w:space="0" w:color="auto"/>
        <w:left w:val="none" w:sz="0" w:space="0" w:color="auto"/>
        <w:bottom w:val="none" w:sz="0" w:space="0" w:color="auto"/>
        <w:right w:val="none" w:sz="0" w:space="0" w:color="auto"/>
      </w:divBdr>
    </w:div>
    <w:div w:id="1215316023">
      <w:bodyDiv w:val="1"/>
      <w:marLeft w:val="0"/>
      <w:marRight w:val="0"/>
      <w:marTop w:val="0"/>
      <w:marBottom w:val="0"/>
      <w:divBdr>
        <w:top w:val="none" w:sz="0" w:space="0" w:color="auto"/>
        <w:left w:val="none" w:sz="0" w:space="0" w:color="auto"/>
        <w:bottom w:val="none" w:sz="0" w:space="0" w:color="auto"/>
        <w:right w:val="none" w:sz="0" w:space="0" w:color="auto"/>
      </w:divBdr>
    </w:div>
    <w:div w:id="1215391132">
      <w:bodyDiv w:val="1"/>
      <w:marLeft w:val="0"/>
      <w:marRight w:val="0"/>
      <w:marTop w:val="0"/>
      <w:marBottom w:val="0"/>
      <w:divBdr>
        <w:top w:val="none" w:sz="0" w:space="0" w:color="auto"/>
        <w:left w:val="none" w:sz="0" w:space="0" w:color="auto"/>
        <w:bottom w:val="none" w:sz="0" w:space="0" w:color="auto"/>
        <w:right w:val="none" w:sz="0" w:space="0" w:color="auto"/>
      </w:divBdr>
    </w:div>
    <w:div w:id="1215463188">
      <w:bodyDiv w:val="1"/>
      <w:marLeft w:val="0"/>
      <w:marRight w:val="0"/>
      <w:marTop w:val="0"/>
      <w:marBottom w:val="0"/>
      <w:divBdr>
        <w:top w:val="none" w:sz="0" w:space="0" w:color="auto"/>
        <w:left w:val="none" w:sz="0" w:space="0" w:color="auto"/>
        <w:bottom w:val="none" w:sz="0" w:space="0" w:color="auto"/>
        <w:right w:val="none" w:sz="0" w:space="0" w:color="auto"/>
      </w:divBdr>
    </w:div>
    <w:div w:id="1215582149">
      <w:bodyDiv w:val="1"/>
      <w:marLeft w:val="0"/>
      <w:marRight w:val="0"/>
      <w:marTop w:val="0"/>
      <w:marBottom w:val="0"/>
      <w:divBdr>
        <w:top w:val="none" w:sz="0" w:space="0" w:color="auto"/>
        <w:left w:val="none" w:sz="0" w:space="0" w:color="auto"/>
        <w:bottom w:val="none" w:sz="0" w:space="0" w:color="auto"/>
        <w:right w:val="none" w:sz="0" w:space="0" w:color="auto"/>
      </w:divBdr>
    </w:div>
    <w:div w:id="1215629076">
      <w:bodyDiv w:val="1"/>
      <w:marLeft w:val="0"/>
      <w:marRight w:val="0"/>
      <w:marTop w:val="0"/>
      <w:marBottom w:val="0"/>
      <w:divBdr>
        <w:top w:val="none" w:sz="0" w:space="0" w:color="auto"/>
        <w:left w:val="none" w:sz="0" w:space="0" w:color="auto"/>
        <w:bottom w:val="none" w:sz="0" w:space="0" w:color="auto"/>
        <w:right w:val="none" w:sz="0" w:space="0" w:color="auto"/>
      </w:divBdr>
    </w:div>
    <w:div w:id="1215659492">
      <w:bodyDiv w:val="1"/>
      <w:marLeft w:val="0"/>
      <w:marRight w:val="0"/>
      <w:marTop w:val="0"/>
      <w:marBottom w:val="0"/>
      <w:divBdr>
        <w:top w:val="none" w:sz="0" w:space="0" w:color="auto"/>
        <w:left w:val="none" w:sz="0" w:space="0" w:color="auto"/>
        <w:bottom w:val="none" w:sz="0" w:space="0" w:color="auto"/>
        <w:right w:val="none" w:sz="0" w:space="0" w:color="auto"/>
      </w:divBdr>
    </w:div>
    <w:div w:id="1215700221">
      <w:bodyDiv w:val="1"/>
      <w:marLeft w:val="0"/>
      <w:marRight w:val="0"/>
      <w:marTop w:val="0"/>
      <w:marBottom w:val="0"/>
      <w:divBdr>
        <w:top w:val="none" w:sz="0" w:space="0" w:color="auto"/>
        <w:left w:val="none" w:sz="0" w:space="0" w:color="auto"/>
        <w:bottom w:val="none" w:sz="0" w:space="0" w:color="auto"/>
        <w:right w:val="none" w:sz="0" w:space="0" w:color="auto"/>
      </w:divBdr>
    </w:div>
    <w:div w:id="1215774395">
      <w:bodyDiv w:val="1"/>
      <w:marLeft w:val="0"/>
      <w:marRight w:val="0"/>
      <w:marTop w:val="0"/>
      <w:marBottom w:val="0"/>
      <w:divBdr>
        <w:top w:val="none" w:sz="0" w:space="0" w:color="auto"/>
        <w:left w:val="none" w:sz="0" w:space="0" w:color="auto"/>
        <w:bottom w:val="none" w:sz="0" w:space="0" w:color="auto"/>
        <w:right w:val="none" w:sz="0" w:space="0" w:color="auto"/>
      </w:divBdr>
    </w:div>
    <w:div w:id="1215963547">
      <w:bodyDiv w:val="1"/>
      <w:marLeft w:val="0"/>
      <w:marRight w:val="0"/>
      <w:marTop w:val="0"/>
      <w:marBottom w:val="0"/>
      <w:divBdr>
        <w:top w:val="none" w:sz="0" w:space="0" w:color="auto"/>
        <w:left w:val="none" w:sz="0" w:space="0" w:color="auto"/>
        <w:bottom w:val="none" w:sz="0" w:space="0" w:color="auto"/>
        <w:right w:val="none" w:sz="0" w:space="0" w:color="auto"/>
      </w:divBdr>
    </w:div>
    <w:div w:id="1216308007">
      <w:bodyDiv w:val="1"/>
      <w:marLeft w:val="0"/>
      <w:marRight w:val="0"/>
      <w:marTop w:val="0"/>
      <w:marBottom w:val="0"/>
      <w:divBdr>
        <w:top w:val="none" w:sz="0" w:space="0" w:color="auto"/>
        <w:left w:val="none" w:sz="0" w:space="0" w:color="auto"/>
        <w:bottom w:val="none" w:sz="0" w:space="0" w:color="auto"/>
        <w:right w:val="none" w:sz="0" w:space="0" w:color="auto"/>
      </w:divBdr>
    </w:div>
    <w:div w:id="1216351941">
      <w:bodyDiv w:val="1"/>
      <w:marLeft w:val="0"/>
      <w:marRight w:val="0"/>
      <w:marTop w:val="0"/>
      <w:marBottom w:val="0"/>
      <w:divBdr>
        <w:top w:val="none" w:sz="0" w:space="0" w:color="auto"/>
        <w:left w:val="none" w:sz="0" w:space="0" w:color="auto"/>
        <w:bottom w:val="none" w:sz="0" w:space="0" w:color="auto"/>
        <w:right w:val="none" w:sz="0" w:space="0" w:color="auto"/>
      </w:divBdr>
    </w:div>
    <w:div w:id="1216353078">
      <w:bodyDiv w:val="1"/>
      <w:marLeft w:val="0"/>
      <w:marRight w:val="0"/>
      <w:marTop w:val="0"/>
      <w:marBottom w:val="0"/>
      <w:divBdr>
        <w:top w:val="none" w:sz="0" w:space="0" w:color="auto"/>
        <w:left w:val="none" w:sz="0" w:space="0" w:color="auto"/>
        <w:bottom w:val="none" w:sz="0" w:space="0" w:color="auto"/>
        <w:right w:val="none" w:sz="0" w:space="0" w:color="auto"/>
      </w:divBdr>
    </w:div>
    <w:div w:id="1216890015">
      <w:bodyDiv w:val="1"/>
      <w:marLeft w:val="0"/>
      <w:marRight w:val="0"/>
      <w:marTop w:val="0"/>
      <w:marBottom w:val="0"/>
      <w:divBdr>
        <w:top w:val="none" w:sz="0" w:space="0" w:color="auto"/>
        <w:left w:val="none" w:sz="0" w:space="0" w:color="auto"/>
        <w:bottom w:val="none" w:sz="0" w:space="0" w:color="auto"/>
        <w:right w:val="none" w:sz="0" w:space="0" w:color="auto"/>
      </w:divBdr>
    </w:div>
    <w:div w:id="1217160702">
      <w:bodyDiv w:val="1"/>
      <w:marLeft w:val="0"/>
      <w:marRight w:val="0"/>
      <w:marTop w:val="0"/>
      <w:marBottom w:val="0"/>
      <w:divBdr>
        <w:top w:val="none" w:sz="0" w:space="0" w:color="auto"/>
        <w:left w:val="none" w:sz="0" w:space="0" w:color="auto"/>
        <w:bottom w:val="none" w:sz="0" w:space="0" w:color="auto"/>
        <w:right w:val="none" w:sz="0" w:space="0" w:color="auto"/>
      </w:divBdr>
    </w:div>
    <w:div w:id="1217353002">
      <w:bodyDiv w:val="1"/>
      <w:marLeft w:val="0"/>
      <w:marRight w:val="0"/>
      <w:marTop w:val="0"/>
      <w:marBottom w:val="0"/>
      <w:divBdr>
        <w:top w:val="none" w:sz="0" w:space="0" w:color="auto"/>
        <w:left w:val="none" w:sz="0" w:space="0" w:color="auto"/>
        <w:bottom w:val="none" w:sz="0" w:space="0" w:color="auto"/>
        <w:right w:val="none" w:sz="0" w:space="0" w:color="auto"/>
      </w:divBdr>
    </w:div>
    <w:div w:id="1217471015">
      <w:bodyDiv w:val="1"/>
      <w:marLeft w:val="0"/>
      <w:marRight w:val="0"/>
      <w:marTop w:val="0"/>
      <w:marBottom w:val="0"/>
      <w:divBdr>
        <w:top w:val="none" w:sz="0" w:space="0" w:color="auto"/>
        <w:left w:val="none" w:sz="0" w:space="0" w:color="auto"/>
        <w:bottom w:val="none" w:sz="0" w:space="0" w:color="auto"/>
        <w:right w:val="none" w:sz="0" w:space="0" w:color="auto"/>
      </w:divBdr>
    </w:div>
    <w:div w:id="1218055600">
      <w:bodyDiv w:val="1"/>
      <w:marLeft w:val="0"/>
      <w:marRight w:val="0"/>
      <w:marTop w:val="0"/>
      <w:marBottom w:val="0"/>
      <w:divBdr>
        <w:top w:val="none" w:sz="0" w:space="0" w:color="auto"/>
        <w:left w:val="none" w:sz="0" w:space="0" w:color="auto"/>
        <w:bottom w:val="none" w:sz="0" w:space="0" w:color="auto"/>
        <w:right w:val="none" w:sz="0" w:space="0" w:color="auto"/>
      </w:divBdr>
    </w:div>
    <w:div w:id="1218202769">
      <w:bodyDiv w:val="1"/>
      <w:marLeft w:val="0"/>
      <w:marRight w:val="0"/>
      <w:marTop w:val="0"/>
      <w:marBottom w:val="0"/>
      <w:divBdr>
        <w:top w:val="none" w:sz="0" w:space="0" w:color="auto"/>
        <w:left w:val="none" w:sz="0" w:space="0" w:color="auto"/>
        <w:bottom w:val="none" w:sz="0" w:space="0" w:color="auto"/>
        <w:right w:val="none" w:sz="0" w:space="0" w:color="auto"/>
      </w:divBdr>
    </w:div>
    <w:div w:id="1218206723">
      <w:bodyDiv w:val="1"/>
      <w:marLeft w:val="0"/>
      <w:marRight w:val="0"/>
      <w:marTop w:val="0"/>
      <w:marBottom w:val="0"/>
      <w:divBdr>
        <w:top w:val="none" w:sz="0" w:space="0" w:color="auto"/>
        <w:left w:val="none" w:sz="0" w:space="0" w:color="auto"/>
        <w:bottom w:val="none" w:sz="0" w:space="0" w:color="auto"/>
        <w:right w:val="none" w:sz="0" w:space="0" w:color="auto"/>
      </w:divBdr>
    </w:div>
    <w:div w:id="1218273980">
      <w:bodyDiv w:val="1"/>
      <w:marLeft w:val="0"/>
      <w:marRight w:val="0"/>
      <w:marTop w:val="0"/>
      <w:marBottom w:val="0"/>
      <w:divBdr>
        <w:top w:val="none" w:sz="0" w:space="0" w:color="auto"/>
        <w:left w:val="none" w:sz="0" w:space="0" w:color="auto"/>
        <w:bottom w:val="none" w:sz="0" w:space="0" w:color="auto"/>
        <w:right w:val="none" w:sz="0" w:space="0" w:color="auto"/>
      </w:divBdr>
    </w:div>
    <w:div w:id="1218274996">
      <w:bodyDiv w:val="1"/>
      <w:marLeft w:val="0"/>
      <w:marRight w:val="0"/>
      <w:marTop w:val="0"/>
      <w:marBottom w:val="0"/>
      <w:divBdr>
        <w:top w:val="none" w:sz="0" w:space="0" w:color="auto"/>
        <w:left w:val="none" w:sz="0" w:space="0" w:color="auto"/>
        <w:bottom w:val="none" w:sz="0" w:space="0" w:color="auto"/>
        <w:right w:val="none" w:sz="0" w:space="0" w:color="auto"/>
      </w:divBdr>
    </w:div>
    <w:div w:id="1218514463">
      <w:bodyDiv w:val="1"/>
      <w:marLeft w:val="0"/>
      <w:marRight w:val="0"/>
      <w:marTop w:val="0"/>
      <w:marBottom w:val="0"/>
      <w:divBdr>
        <w:top w:val="none" w:sz="0" w:space="0" w:color="auto"/>
        <w:left w:val="none" w:sz="0" w:space="0" w:color="auto"/>
        <w:bottom w:val="none" w:sz="0" w:space="0" w:color="auto"/>
        <w:right w:val="none" w:sz="0" w:space="0" w:color="auto"/>
      </w:divBdr>
    </w:div>
    <w:div w:id="1218779537">
      <w:bodyDiv w:val="1"/>
      <w:marLeft w:val="0"/>
      <w:marRight w:val="0"/>
      <w:marTop w:val="0"/>
      <w:marBottom w:val="0"/>
      <w:divBdr>
        <w:top w:val="none" w:sz="0" w:space="0" w:color="auto"/>
        <w:left w:val="none" w:sz="0" w:space="0" w:color="auto"/>
        <w:bottom w:val="none" w:sz="0" w:space="0" w:color="auto"/>
        <w:right w:val="none" w:sz="0" w:space="0" w:color="auto"/>
      </w:divBdr>
    </w:div>
    <w:div w:id="1218782827">
      <w:bodyDiv w:val="1"/>
      <w:marLeft w:val="0"/>
      <w:marRight w:val="0"/>
      <w:marTop w:val="0"/>
      <w:marBottom w:val="0"/>
      <w:divBdr>
        <w:top w:val="none" w:sz="0" w:space="0" w:color="auto"/>
        <w:left w:val="none" w:sz="0" w:space="0" w:color="auto"/>
        <w:bottom w:val="none" w:sz="0" w:space="0" w:color="auto"/>
        <w:right w:val="none" w:sz="0" w:space="0" w:color="auto"/>
      </w:divBdr>
    </w:div>
    <w:div w:id="1218855714">
      <w:bodyDiv w:val="1"/>
      <w:marLeft w:val="0"/>
      <w:marRight w:val="0"/>
      <w:marTop w:val="0"/>
      <w:marBottom w:val="0"/>
      <w:divBdr>
        <w:top w:val="none" w:sz="0" w:space="0" w:color="auto"/>
        <w:left w:val="none" w:sz="0" w:space="0" w:color="auto"/>
        <w:bottom w:val="none" w:sz="0" w:space="0" w:color="auto"/>
        <w:right w:val="none" w:sz="0" w:space="0" w:color="auto"/>
      </w:divBdr>
    </w:div>
    <w:div w:id="1219167908">
      <w:bodyDiv w:val="1"/>
      <w:marLeft w:val="0"/>
      <w:marRight w:val="0"/>
      <w:marTop w:val="0"/>
      <w:marBottom w:val="0"/>
      <w:divBdr>
        <w:top w:val="none" w:sz="0" w:space="0" w:color="auto"/>
        <w:left w:val="none" w:sz="0" w:space="0" w:color="auto"/>
        <w:bottom w:val="none" w:sz="0" w:space="0" w:color="auto"/>
        <w:right w:val="none" w:sz="0" w:space="0" w:color="auto"/>
      </w:divBdr>
    </w:div>
    <w:div w:id="1219197994">
      <w:bodyDiv w:val="1"/>
      <w:marLeft w:val="0"/>
      <w:marRight w:val="0"/>
      <w:marTop w:val="0"/>
      <w:marBottom w:val="0"/>
      <w:divBdr>
        <w:top w:val="none" w:sz="0" w:space="0" w:color="auto"/>
        <w:left w:val="none" w:sz="0" w:space="0" w:color="auto"/>
        <w:bottom w:val="none" w:sz="0" w:space="0" w:color="auto"/>
        <w:right w:val="none" w:sz="0" w:space="0" w:color="auto"/>
      </w:divBdr>
    </w:div>
    <w:div w:id="1219316602">
      <w:bodyDiv w:val="1"/>
      <w:marLeft w:val="0"/>
      <w:marRight w:val="0"/>
      <w:marTop w:val="0"/>
      <w:marBottom w:val="0"/>
      <w:divBdr>
        <w:top w:val="none" w:sz="0" w:space="0" w:color="auto"/>
        <w:left w:val="none" w:sz="0" w:space="0" w:color="auto"/>
        <w:bottom w:val="none" w:sz="0" w:space="0" w:color="auto"/>
        <w:right w:val="none" w:sz="0" w:space="0" w:color="auto"/>
      </w:divBdr>
    </w:div>
    <w:div w:id="1219518125">
      <w:bodyDiv w:val="1"/>
      <w:marLeft w:val="0"/>
      <w:marRight w:val="0"/>
      <w:marTop w:val="0"/>
      <w:marBottom w:val="0"/>
      <w:divBdr>
        <w:top w:val="none" w:sz="0" w:space="0" w:color="auto"/>
        <w:left w:val="none" w:sz="0" w:space="0" w:color="auto"/>
        <w:bottom w:val="none" w:sz="0" w:space="0" w:color="auto"/>
        <w:right w:val="none" w:sz="0" w:space="0" w:color="auto"/>
      </w:divBdr>
    </w:div>
    <w:div w:id="1219779323">
      <w:bodyDiv w:val="1"/>
      <w:marLeft w:val="0"/>
      <w:marRight w:val="0"/>
      <w:marTop w:val="0"/>
      <w:marBottom w:val="0"/>
      <w:divBdr>
        <w:top w:val="none" w:sz="0" w:space="0" w:color="auto"/>
        <w:left w:val="none" w:sz="0" w:space="0" w:color="auto"/>
        <w:bottom w:val="none" w:sz="0" w:space="0" w:color="auto"/>
        <w:right w:val="none" w:sz="0" w:space="0" w:color="auto"/>
      </w:divBdr>
    </w:div>
    <w:div w:id="1219823140">
      <w:bodyDiv w:val="1"/>
      <w:marLeft w:val="0"/>
      <w:marRight w:val="0"/>
      <w:marTop w:val="0"/>
      <w:marBottom w:val="0"/>
      <w:divBdr>
        <w:top w:val="none" w:sz="0" w:space="0" w:color="auto"/>
        <w:left w:val="none" w:sz="0" w:space="0" w:color="auto"/>
        <w:bottom w:val="none" w:sz="0" w:space="0" w:color="auto"/>
        <w:right w:val="none" w:sz="0" w:space="0" w:color="auto"/>
      </w:divBdr>
    </w:div>
    <w:div w:id="1219904334">
      <w:bodyDiv w:val="1"/>
      <w:marLeft w:val="0"/>
      <w:marRight w:val="0"/>
      <w:marTop w:val="0"/>
      <w:marBottom w:val="0"/>
      <w:divBdr>
        <w:top w:val="none" w:sz="0" w:space="0" w:color="auto"/>
        <w:left w:val="none" w:sz="0" w:space="0" w:color="auto"/>
        <w:bottom w:val="none" w:sz="0" w:space="0" w:color="auto"/>
        <w:right w:val="none" w:sz="0" w:space="0" w:color="auto"/>
      </w:divBdr>
    </w:div>
    <w:div w:id="1220173215">
      <w:bodyDiv w:val="1"/>
      <w:marLeft w:val="0"/>
      <w:marRight w:val="0"/>
      <w:marTop w:val="0"/>
      <w:marBottom w:val="0"/>
      <w:divBdr>
        <w:top w:val="none" w:sz="0" w:space="0" w:color="auto"/>
        <w:left w:val="none" w:sz="0" w:space="0" w:color="auto"/>
        <w:bottom w:val="none" w:sz="0" w:space="0" w:color="auto"/>
        <w:right w:val="none" w:sz="0" w:space="0" w:color="auto"/>
      </w:divBdr>
    </w:div>
    <w:div w:id="1220239537">
      <w:bodyDiv w:val="1"/>
      <w:marLeft w:val="0"/>
      <w:marRight w:val="0"/>
      <w:marTop w:val="0"/>
      <w:marBottom w:val="0"/>
      <w:divBdr>
        <w:top w:val="none" w:sz="0" w:space="0" w:color="auto"/>
        <w:left w:val="none" w:sz="0" w:space="0" w:color="auto"/>
        <w:bottom w:val="none" w:sz="0" w:space="0" w:color="auto"/>
        <w:right w:val="none" w:sz="0" w:space="0" w:color="auto"/>
      </w:divBdr>
    </w:div>
    <w:div w:id="1220358023">
      <w:bodyDiv w:val="1"/>
      <w:marLeft w:val="0"/>
      <w:marRight w:val="0"/>
      <w:marTop w:val="0"/>
      <w:marBottom w:val="0"/>
      <w:divBdr>
        <w:top w:val="none" w:sz="0" w:space="0" w:color="auto"/>
        <w:left w:val="none" w:sz="0" w:space="0" w:color="auto"/>
        <w:bottom w:val="none" w:sz="0" w:space="0" w:color="auto"/>
        <w:right w:val="none" w:sz="0" w:space="0" w:color="auto"/>
      </w:divBdr>
    </w:div>
    <w:div w:id="1220360686">
      <w:bodyDiv w:val="1"/>
      <w:marLeft w:val="0"/>
      <w:marRight w:val="0"/>
      <w:marTop w:val="0"/>
      <w:marBottom w:val="0"/>
      <w:divBdr>
        <w:top w:val="none" w:sz="0" w:space="0" w:color="auto"/>
        <w:left w:val="none" w:sz="0" w:space="0" w:color="auto"/>
        <w:bottom w:val="none" w:sz="0" w:space="0" w:color="auto"/>
        <w:right w:val="none" w:sz="0" w:space="0" w:color="auto"/>
      </w:divBdr>
    </w:div>
    <w:div w:id="1220437868">
      <w:bodyDiv w:val="1"/>
      <w:marLeft w:val="0"/>
      <w:marRight w:val="0"/>
      <w:marTop w:val="0"/>
      <w:marBottom w:val="0"/>
      <w:divBdr>
        <w:top w:val="none" w:sz="0" w:space="0" w:color="auto"/>
        <w:left w:val="none" w:sz="0" w:space="0" w:color="auto"/>
        <w:bottom w:val="none" w:sz="0" w:space="0" w:color="auto"/>
        <w:right w:val="none" w:sz="0" w:space="0" w:color="auto"/>
      </w:divBdr>
    </w:div>
    <w:div w:id="1220820403">
      <w:bodyDiv w:val="1"/>
      <w:marLeft w:val="0"/>
      <w:marRight w:val="0"/>
      <w:marTop w:val="0"/>
      <w:marBottom w:val="0"/>
      <w:divBdr>
        <w:top w:val="none" w:sz="0" w:space="0" w:color="auto"/>
        <w:left w:val="none" w:sz="0" w:space="0" w:color="auto"/>
        <w:bottom w:val="none" w:sz="0" w:space="0" w:color="auto"/>
        <w:right w:val="none" w:sz="0" w:space="0" w:color="auto"/>
      </w:divBdr>
    </w:div>
    <w:div w:id="1220826091">
      <w:bodyDiv w:val="1"/>
      <w:marLeft w:val="0"/>
      <w:marRight w:val="0"/>
      <w:marTop w:val="0"/>
      <w:marBottom w:val="0"/>
      <w:divBdr>
        <w:top w:val="none" w:sz="0" w:space="0" w:color="auto"/>
        <w:left w:val="none" w:sz="0" w:space="0" w:color="auto"/>
        <w:bottom w:val="none" w:sz="0" w:space="0" w:color="auto"/>
        <w:right w:val="none" w:sz="0" w:space="0" w:color="auto"/>
      </w:divBdr>
    </w:div>
    <w:div w:id="1221015506">
      <w:bodyDiv w:val="1"/>
      <w:marLeft w:val="0"/>
      <w:marRight w:val="0"/>
      <w:marTop w:val="0"/>
      <w:marBottom w:val="0"/>
      <w:divBdr>
        <w:top w:val="none" w:sz="0" w:space="0" w:color="auto"/>
        <w:left w:val="none" w:sz="0" w:space="0" w:color="auto"/>
        <w:bottom w:val="none" w:sz="0" w:space="0" w:color="auto"/>
        <w:right w:val="none" w:sz="0" w:space="0" w:color="auto"/>
      </w:divBdr>
    </w:div>
    <w:div w:id="1221088837">
      <w:bodyDiv w:val="1"/>
      <w:marLeft w:val="0"/>
      <w:marRight w:val="0"/>
      <w:marTop w:val="0"/>
      <w:marBottom w:val="0"/>
      <w:divBdr>
        <w:top w:val="none" w:sz="0" w:space="0" w:color="auto"/>
        <w:left w:val="none" w:sz="0" w:space="0" w:color="auto"/>
        <w:bottom w:val="none" w:sz="0" w:space="0" w:color="auto"/>
        <w:right w:val="none" w:sz="0" w:space="0" w:color="auto"/>
      </w:divBdr>
    </w:div>
    <w:div w:id="1221209616">
      <w:bodyDiv w:val="1"/>
      <w:marLeft w:val="0"/>
      <w:marRight w:val="0"/>
      <w:marTop w:val="0"/>
      <w:marBottom w:val="0"/>
      <w:divBdr>
        <w:top w:val="none" w:sz="0" w:space="0" w:color="auto"/>
        <w:left w:val="none" w:sz="0" w:space="0" w:color="auto"/>
        <w:bottom w:val="none" w:sz="0" w:space="0" w:color="auto"/>
        <w:right w:val="none" w:sz="0" w:space="0" w:color="auto"/>
      </w:divBdr>
    </w:div>
    <w:div w:id="1221399595">
      <w:bodyDiv w:val="1"/>
      <w:marLeft w:val="0"/>
      <w:marRight w:val="0"/>
      <w:marTop w:val="0"/>
      <w:marBottom w:val="0"/>
      <w:divBdr>
        <w:top w:val="none" w:sz="0" w:space="0" w:color="auto"/>
        <w:left w:val="none" w:sz="0" w:space="0" w:color="auto"/>
        <w:bottom w:val="none" w:sz="0" w:space="0" w:color="auto"/>
        <w:right w:val="none" w:sz="0" w:space="0" w:color="auto"/>
      </w:divBdr>
    </w:div>
    <w:div w:id="1221406224">
      <w:bodyDiv w:val="1"/>
      <w:marLeft w:val="0"/>
      <w:marRight w:val="0"/>
      <w:marTop w:val="0"/>
      <w:marBottom w:val="0"/>
      <w:divBdr>
        <w:top w:val="none" w:sz="0" w:space="0" w:color="auto"/>
        <w:left w:val="none" w:sz="0" w:space="0" w:color="auto"/>
        <w:bottom w:val="none" w:sz="0" w:space="0" w:color="auto"/>
        <w:right w:val="none" w:sz="0" w:space="0" w:color="auto"/>
      </w:divBdr>
    </w:div>
    <w:div w:id="1221940941">
      <w:bodyDiv w:val="1"/>
      <w:marLeft w:val="0"/>
      <w:marRight w:val="0"/>
      <w:marTop w:val="0"/>
      <w:marBottom w:val="0"/>
      <w:divBdr>
        <w:top w:val="none" w:sz="0" w:space="0" w:color="auto"/>
        <w:left w:val="none" w:sz="0" w:space="0" w:color="auto"/>
        <w:bottom w:val="none" w:sz="0" w:space="0" w:color="auto"/>
        <w:right w:val="none" w:sz="0" w:space="0" w:color="auto"/>
      </w:divBdr>
    </w:div>
    <w:div w:id="1222133896">
      <w:bodyDiv w:val="1"/>
      <w:marLeft w:val="0"/>
      <w:marRight w:val="0"/>
      <w:marTop w:val="0"/>
      <w:marBottom w:val="0"/>
      <w:divBdr>
        <w:top w:val="none" w:sz="0" w:space="0" w:color="auto"/>
        <w:left w:val="none" w:sz="0" w:space="0" w:color="auto"/>
        <w:bottom w:val="none" w:sz="0" w:space="0" w:color="auto"/>
        <w:right w:val="none" w:sz="0" w:space="0" w:color="auto"/>
      </w:divBdr>
    </w:div>
    <w:div w:id="1222406097">
      <w:bodyDiv w:val="1"/>
      <w:marLeft w:val="0"/>
      <w:marRight w:val="0"/>
      <w:marTop w:val="0"/>
      <w:marBottom w:val="0"/>
      <w:divBdr>
        <w:top w:val="none" w:sz="0" w:space="0" w:color="auto"/>
        <w:left w:val="none" w:sz="0" w:space="0" w:color="auto"/>
        <w:bottom w:val="none" w:sz="0" w:space="0" w:color="auto"/>
        <w:right w:val="none" w:sz="0" w:space="0" w:color="auto"/>
      </w:divBdr>
    </w:div>
    <w:div w:id="1222407532">
      <w:bodyDiv w:val="1"/>
      <w:marLeft w:val="0"/>
      <w:marRight w:val="0"/>
      <w:marTop w:val="0"/>
      <w:marBottom w:val="0"/>
      <w:divBdr>
        <w:top w:val="none" w:sz="0" w:space="0" w:color="auto"/>
        <w:left w:val="none" w:sz="0" w:space="0" w:color="auto"/>
        <w:bottom w:val="none" w:sz="0" w:space="0" w:color="auto"/>
        <w:right w:val="none" w:sz="0" w:space="0" w:color="auto"/>
      </w:divBdr>
    </w:div>
    <w:div w:id="1222593164">
      <w:bodyDiv w:val="1"/>
      <w:marLeft w:val="0"/>
      <w:marRight w:val="0"/>
      <w:marTop w:val="0"/>
      <w:marBottom w:val="0"/>
      <w:divBdr>
        <w:top w:val="none" w:sz="0" w:space="0" w:color="auto"/>
        <w:left w:val="none" w:sz="0" w:space="0" w:color="auto"/>
        <w:bottom w:val="none" w:sz="0" w:space="0" w:color="auto"/>
        <w:right w:val="none" w:sz="0" w:space="0" w:color="auto"/>
      </w:divBdr>
    </w:div>
    <w:div w:id="1222599456">
      <w:bodyDiv w:val="1"/>
      <w:marLeft w:val="0"/>
      <w:marRight w:val="0"/>
      <w:marTop w:val="0"/>
      <w:marBottom w:val="0"/>
      <w:divBdr>
        <w:top w:val="none" w:sz="0" w:space="0" w:color="auto"/>
        <w:left w:val="none" w:sz="0" w:space="0" w:color="auto"/>
        <w:bottom w:val="none" w:sz="0" w:space="0" w:color="auto"/>
        <w:right w:val="none" w:sz="0" w:space="0" w:color="auto"/>
      </w:divBdr>
    </w:div>
    <w:div w:id="1222669363">
      <w:bodyDiv w:val="1"/>
      <w:marLeft w:val="0"/>
      <w:marRight w:val="0"/>
      <w:marTop w:val="0"/>
      <w:marBottom w:val="0"/>
      <w:divBdr>
        <w:top w:val="none" w:sz="0" w:space="0" w:color="auto"/>
        <w:left w:val="none" w:sz="0" w:space="0" w:color="auto"/>
        <w:bottom w:val="none" w:sz="0" w:space="0" w:color="auto"/>
        <w:right w:val="none" w:sz="0" w:space="0" w:color="auto"/>
      </w:divBdr>
    </w:div>
    <w:div w:id="1222715693">
      <w:bodyDiv w:val="1"/>
      <w:marLeft w:val="0"/>
      <w:marRight w:val="0"/>
      <w:marTop w:val="0"/>
      <w:marBottom w:val="0"/>
      <w:divBdr>
        <w:top w:val="none" w:sz="0" w:space="0" w:color="auto"/>
        <w:left w:val="none" w:sz="0" w:space="0" w:color="auto"/>
        <w:bottom w:val="none" w:sz="0" w:space="0" w:color="auto"/>
        <w:right w:val="none" w:sz="0" w:space="0" w:color="auto"/>
      </w:divBdr>
    </w:div>
    <w:div w:id="1222836319">
      <w:bodyDiv w:val="1"/>
      <w:marLeft w:val="0"/>
      <w:marRight w:val="0"/>
      <w:marTop w:val="0"/>
      <w:marBottom w:val="0"/>
      <w:divBdr>
        <w:top w:val="none" w:sz="0" w:space="0" w:color="auto"/>
        <w:left w:val="none" w:sz="0" w:space="0" w:color="auto"/>
        <w:bottom w:val="none" w:sz="0" w:space="0" w:color="auto"/>
        <w:right w:val="none" w:sz="0" w:space="0" w:color="auto"/>
      </w:divBdr>
    </w:div>
    <w:div w:id="1223062196">
      <w:bodyDiv w:val="1"/>
      <w:marLeft w:val="0"/>
      <w:marRight w:val="0"/>
      <w:marTop w:val="0"/>
      <w:marBottom w:val="0"/>
      <w:divBdr>
        <w:top w:val="none" w:sz="0" w:space="0" w:color="auto"/>
        <w:left w:val="none" w:sz="0" w:space="0" w:color="auto"/>
        <w:bottom w:val="none" w:sz="0" w:space="0" w:color="auto"/>
        <w:right w:val="none" w:sz="0" w:space="0" w:color="auto"/>
      </w:divBdr>
    </w:div>
    <w:div w:id="1223248760">
      <w:bodyDiv w:val="1"/>
      <w:marLeft w:val="0"/>
      <w:marRight w:val="0"/>
      <w:marTop w:val="0"/>
      <w:marBottom w:val="0"/>
      <w:divBdr>
        <w:top w:val="none" w:sz="0" w:space="0" w:color="auto"/>
        <w:left w:val="none" w:sz="0" w:space="0" w:color="auto"/>
        <w:bottom w:val="none" w:sz="0" w:space="0" w:color="auto"/>
        <w:right w:val="none" w:sz="0" w:space="0" w:color="auto"/>
      </w:divBdr>
    </w:div>
    <w:div w:id="1223252151">
      <w:bodyDiv w:val="1"/>
      <w:marLeft w:val="0"/>
      <w:marRight w:val="0"/>
      <w:marTop w:val="0"/>
      <w:marBottom w:val="0"/>
      <w:divBdr>
        <w:top w:val="none" w:sz="0" w:space="0" w:color="auto"/>
        <w:left w:val="none" w:sz="0" w:space="0" w:color="auto"/>
        <w:bottom w:val="none" w:sz="0" w:space="0" w:color="auto"/>
        <w:right w:val="none" w:sz="0" w:space="0" w:color="auto"/>
      </w:divBdr>
    </w:div>
    <w:div w:id="1223373070">
      <w:bodyDiv w:val="1"/>
      <w:marLeft w:val="0"/>
      <w:marRight w:val="0"/>
      <w:marTop w:val="0"/>
      <w:marBottom w:val="0"/>
      <w:divBdr>
        <w:top w:val="none" w:sz="0" w:space="0" w:color="auto"/>
        <w:left w:val="none" w:sz="0" w:space="0" w:color="auto"/>
        <w:bottom w:val="none" w:sz="0" w:space="0" w:color="auto"/>
        <w:right w:val="none" w:sz="0" w:space="0" w:color="auto"/>
      </w:divBdr>
    </w:div>
    <w:div w:id="1223634199">
      <w:bodyDiv w:val="1"/>
      <w:marLeft w:val="0"/>
      <w:marRight w:val="0"/>
      <w:marTop w:val="0"/>
      <w:marBottom w:val="0"/>
      <w:divBdr>
        <w:top w:val="none" w:sz="0" w:space="0" w:color="auto"/>
        <w:left w:val="none" w:sz="0" w:space="0" w:color="auto"/>
        <w:bottom w:val="none" w:sz="0" w:space="0" w:color="auto"/>
        <w:right w:val="none" w:sz="0" w:space="0" w:color="auto"/>
      </w:divBdr>
    </w:div>
    <w:div w:id="1223709131">
      <w:bodyDiv w:val="1"/>
      <w:marLeft w:val="0"/>
      <w:marRight w:val="0"/>
      <w:marTop w:val="0"/>
      <w:marBottom w:val="0"/>
      <w:divBdr>
        <w:top w:val="none" w:sz="0" w:space="0" w:color="auto"/>
        <w:left w:val="none" w:sz="0" w:space="0" w:color="auto"/>
        <w:bottom w:val="none" w:sz="0" w:space="0" w:color="auto"/>
        <w:right w:val="none" w:sz="0" w:space="0" w:color="auto"/>
      </w:divBdr>
    </w:div>
    <w:div w:id="1223911615">
      <w:bodyDiv w:val="1"/>
      <w:marLeft w:val="0"/>
      <w:marRight w:val="0"/>
      <w:marTop w:val="0"/>
      <w:marBottom w:val="0"/>
      <w:divBdr>
        <w:top w:val="none" w:sz="0" w:space="0" w:color="auto"/>
        <w:left w:val="none" w:sz="0" w:space="0" w:color="auto"/>
        <w:bottom w:val="none" w:sz="0" w:space="0" w:color="auto"/>
        <w:right w:val="none" w:sz="0" w:space="0" w:color="auto"/>
      </w:divBdr>
    </w:div>
    <w:div w:id="1224095413">
      <w:bodyDiv w:val="1"/>
      <w:marLeft w:val="0"/>
      <w:marRight w:val="0"/>
      <w:marTop w:val="0"/>
      <w:marBottom w:val="0"/>
      <w:divBdr>
        <w:top w:val="none" w:sz="0" w:space="0" w:color="auto"/>
        <w:left w:val="none" w:sz="0" w:space="0" w:color="auto"/>
        <w:bottom w:val="none" w:sz="0" w:space="0" w:color="auto"/>
        <w:right w:val="none" w:sz="0" w:space="0" w:color="auto"/>
      </w:divBdr>
    </w:div>
    <w:div w:id="1224220910">
      <w:bodyDiv w:val="1"/>
      <w:marLeft w:val="0"/>
      <w:marRight w:val="0"/>
      <w:marTop w:val="0"/>
      <w:marBottom w:val="0"/>
      <w:divBdr>
        <w:top w:val="none" w:sz="0" w:space="0" w:color="auto"/>
        <w:left w:val="none" w:sz="0" w:space="0" w:color="auto"/>
        <w:bottom w:val="none" w:sz="0" w:space="0" w:color="auto"/>
        <w:right w:val="none" w:sz="0" w:space="0" w:color="auto"/>
      </w:divBdr>
    </w:div>
    <w:div w:id="1224367066">
      <w:bodyDiv w:val="1"/>
      <w:marLeft w:val="0"/>
      <w:marRight w:val="0"/>
      <w:marTop w:val="0"/>
      <w:marBottom w:val="0"/>
      <w:divBdr>
        <w:top w:val="none" w:sz="0" w:space="0" w:color="auto"/>
        <w:left w:val="none" w:sz="0" w:space="0" w:color="auto"/>
        <w:bottom w:val="none" w:sz="0" w:space="0" w:color="auto"/>
        <w:right w:val="none" w:sz="0" w:space="0" w:color="auto"/>
      </w:divBdr>
    </w:div>
    <w:div w:id="1224411999">
      <w:bodyDiv w:val="1"/>
      <w:marLeft w:val="0"/>
      <w:marRight w:val="0"/>
      <w:marTop w:val="0"/>
      <w:marBottom w:val="0"/>
      <w:divBdr>
        <w:top w:val="none" w:sz="0" w:space="0" w:color="auto"/>
        <w:left w:val="none" w:sz="0" w:space="0" w:color="auto"/>
        <w:bottom w:val="none" w:sz="0" w:space="0" w:color="auto"/>
        <w:right w:val="none" w:sz="0" w:space="0" w:color="auto"/>
      </w:divBdr>
    </w:div>
    <w:div w:id="1224490753">
      <w:bodyDiv w:val="1"/>
      <w:marLeft w:val="0"/>
      <w:marRight w:val="0"/>
      <w:marTop w:val="0"/>
      <w:marBottom w:val="0"/>
      <w:divBdr>
        <w:top w:val="none" w:sz="0" w:space="0" w:color="auto"/>
        <w:left w:val="none" w:sz="0" w:space="0" w:color="auto"/>
        <w:bottom w:val="none" w:sz="0" w:space="0" w:color="auto"/>
        <w:right w:val="none" w:sz="0" w:space="0" w:color="auto"/>
      </w:divBdr>
    </w:div>
    <w:div w:id="1224756734">
      <w:bodyDiv w:val="1"/>
      <w:marLeft w:val="0"/>
      <w:marRight w:val="0"/>
      <w:marTop w:val="0"/>
      <w:marBottom w:val="0"/>
      <w:divBdr>
        <w:top w:val="none" w:sz="0" w:space="0" w:color="auto"/>
        <w:left w:val="none" w:sz="0" w:space="0" w:color="auto"/>
        <w:bottom w:val="none" w:sz="0" w:space="0" w:color="auto"/>
        <w:right w:val="none" w:sz="0" w:space="0" w:color="auto"/>
      </w:divBdr>
    </w:div>
    <w:div w:id="1225138648">
      <w:bodyDiv w:val="1"/>
      <w:marLeft w:val="0"/>
      <w:marRight w:val="0"/>
      <w:marTop w:val="0"/>
      <w:marBottom w:val="0"/>
      <w:divBdr>
        <w:top w:val="none" w:sz="0" w:space="0" w:color="auto"/>
        <w:left w:val="none" w:sz="0" w:space="0" w:color="auto"/>
        <w:bottom w:val="none" w:sz="0" w:space="0" w:color="auto"/>
        <w:right w:val="none" w:sz="0" w:space="0" w:color="auto"/>
      </w:divBdr>
    </w:div>
    <w:div w:id="1225141284">
      <w:bodyDiv w:val="1"/>
      <w:marLeft w:val="0"/>
      <w:marRight w:val="0"/>
      <w:marTop w:val="0"/>
      <w:marBottom w:val="0"/>
      <w:divBdr>
        <w:top w:val="none" w:sz="0" w:space="0" w:color="auto"/>
        <w:left w:val="none" w:sz="0" w:space="0" w:color="auto"/>
        <w:bottom w:val="none" w:sz="0" w:space="0" w:color="auto"/>
        <w:right w:val="none" w:sz="0" w:space="0" w:color="auto"/>
      </w:divBdr>
    </w:div>
    <w:div w:id="1225406171">
      <w:bodyDiv w:val="1"/>
      <w:marLeft w:val="0"/>
      <w:marRight w:val="0"/>
      <w:marTop w:val="0"/>
      <w:marBottom w:val="0"/>
      <w:divBdr>
        <w:top w:val="none" w:sz="0" w:space="0" w:color="auto"/>
        <w:left w:val="none" w:sz="0" w:space="0" w:color="auto"/>
        <w:bottom w:val="none" w:sz="0" w:space="0" w:color="auto"/>
        <w:right w:val="none" w:sz="0" w:space="0" w:color="auto"/>
      </w:divBdr>
    </w:div>
    <w:div w:id="1225604541">
      <w:bodyDiv w:val="1"/>
      <w:marLeft w:val="0"/>
      <w:marRight w:val="0"/>
      <w:marTop w:val="0"/>
      <w:marBottom w:val="0"/>
      <w:divBdr>
        <w:top w:val="none" w:sz="0" w:space="0" w:color="auto"/>
        <w:left w:val="none" w:sz="0" w:space="0" w:color="auto"/>
        <w:bottom w:val="none" w:sz="0" w:space="0" w:color="auto"/>
        <w:right w:val="none" w:sz="0" w:space="0" w:color="auto"/>
      </w:divBdr>
    </w:div>
    <w:div w:id="1225801052">
      <w:bodyDiv w:val="1"/>
      <w:marLeft w:val="0"/>
      <w:marRight w:val="0"/>
      <w:marTop w:val="0"/>
      <w:marBottom w:val="0"/>
      <w:divBdr>
        <w:top w:val="none" w:sz="0" w:space="0" w:color="auto"/>
        <w:left w:val="none" w:sz="0" w:space="0" w:color="auto"/>
        <w:bottom w:val="none" w:sz="0" w:space="0" w:color="auto"/>
        <w:right w:val="none" w:sz="0" w:space="0" w:color="auto"/>
      </w:divBdr>
    </w:div>
    <w:div w:id="1225993131">
      <w:bodyDiv w:val="1"/>
      <w:marLeft w:val="0"/>
      <w:marRight w:val="0"/>
      <w:marTop w:val="0"/>
      <w:marBottom w:val="0"/>
      <w:divBdr>
        <w:top w:val="none" w:sz="0" w:space="0" w:color="auto"/>
        <w:left w:val="none" w:sz="0" w:space="0" w:color="auto"/>
        <w:bottom w:val="none" w:sz="0" w:space="0" w:color="auto"/>
        <w:right w:val="none" w:sz="0" w:space="0" w:color="auto"/>
      </w:divBdr>
    </w:div>
    <w:div w:id="1225994822">
      <w:bodyDiv w:val="1"/>
      <w:marLeft w:val="0"/>
      <w:marRight w:val="0"/>
      <w:marTop w:val="0"/>
      <w:marBottom w:val="0"/>
      <w:divBdr>
        <w:top w:val="none" w:sz="0" w:space="0" w:color="auto"/>
        <w:left w:val="none" w:sz="0" w:space="0" w:color="auto"/>
        <w:bottom w:val="none" w:sz="0" w:space="0" w:color="auto"/>
        <w:right w:val="none" w:sz="0" w:space="0" w:color="auto"/>
      </w:divBdr>
    </w:div>
    <w:div w:id="1226064093">
      <w:bodyDiv w:val="1"/>
      <w:marLeft w:val="0"/>
      <w:marRight w:val="0"/>
      <w:marTop w:val="0"/>
      <w:marBottom w:val="0"/>
      <w:divBdr>
        <w:top w:val="none" w:sz="0" w:space="0" w:color="auto"/>
        <w:left w:val="none" w:sz="0" w:space="0" w:color="auto"/>
        <w:bottom w:val="none" w:sz="0" w:space="0" w:color="auto"/>
        <w:right w:val="none" w:sz="0" w:space="0" w:color="auto"/>
      </w:divBdr>
    </w:div>
    <w:div w:id="1226144356">
      <w:bodyDiv w:val="1"/>
      <w:marLeft w:val="0"/>
      <w:marRight w:val="0"/>
      <w:marTop w:val="0"/>
      <w:marBottom w:val="0"/>
      <w:divBdr>
        <w:top w:val="none" w:sz="0" w:space="0" w:color="auto"/>
        <w:left w:val="none" w:sz="0" w:space="0" w:color="auto"/>
        <w:bottom w:val="none" w:sz="0" w:space="0" w:color="auto"/>
        <w:right w:val="none" w:sz="0" w:space="0" w:color="auto"/>
      </w:divBdr>
    </w:div>
    <w:div w:id="1226449111">
      <w:bodyDiv w:val="1"/>
      <w:marLeft w:val="0"/>
      <w:marRight w:val="0"/>
      <w:marTop w:val="0"/>
      <w:marBottom w:val="0"/>
      <w:divBdr>
        <w:top w:val="none" w:sz="0" w:space="0" w:color="auto"/>
        <w:left w:val="none" w:sz="0" w:space="0" w:color="auto"/>
        <w:bottom w:val="none" w:sz="0" w:space="0" w:color="auto"/>
        <w:right w:val="none" w:sz="0" w:space="0" w:color="auto"/>
      </w:divBdr>
    </w:div>
    <w:div w:id="1226530668">
      <w:bodyDiv w:val="1"/>
      <w:marLeft w:val="0"/>
      <w:marRight w:val="0"/>
      <w:marTop w:val="0"/>
      <w:marBottom w:val="0"/>
      <w:divBdr>
        <w:top w:val="none" w:sz="0" w:space="0" w:color="auto"/>
        <w:left w:val="none" w:sz="0" w:space="0" w:color="auto"/>
        <w:bottom w:val="none" w:sz="0" w:space="0" w:color="auto"/>
        <w:right w:val="none" w:sz="0" w:space="0" w:color="auto"/>
      </w:divBdr>
    </w:div>
    <w:div w:id="1226985412">
      <w:bodyDiv w:val="1"/>
      <w:marLeft w:val="0"/>
      <w:marRight w:val="0"/>
      <w:marTop w:val="0"/>
      <w:marBottom w:val="0"/>
      <w:divBdr>
        <w:top w:val="none" w:sz="0" w:space="0" w:color="auto"/>
        <w:left w:val="none" w:sz="0" w:space="0" w:color="auto"/>
        <w:bottom w:val="none" w:sz="0" w:space="0" w:color="auto"/>
        <w:right w:val="none" w:sz="0" w:space="0" w:color="auto"/>
      </w:divBdr>
    </w:div>
    <w:div w:id="1227030943">
      <w:bodyDiv w:val="1"/>
      <w:marLeft w:val="0"/>
      <w:marRight w:val="0"/>
      <w:marTop w:val="0"/>
      <w:marBottom w:val="0"/>
      <w:divBdr>
        <w:top w:val="none" w:sz="0" w:space="0" w:color="auto"/>
        <w:left w:val="none" w:sz="0" w:space="0" w:color="auto"/>
        <w:bottom w:val="none" w:sz="0" w:space="0" w:color="auto"/>
        <w:right w:val="none" w:sz="0" w:space="0" w:color="auto"/>
      </w:divBdr>
    </w:div>
    <w:div w:id="1227105597">
      <w:bodyDiv w:val="1"/>
      <w:marLeft w:val="0"/>
      <w:marRight w:val="0"/>
      <w:marTop w:val="0"/>
      <w:marBottom w:val="0"/>
      <w:divBdr>
        <w:top w:val="none" w:sz="0" w:space="0" w:color="auto"/>
        <w:left w:val="none" w:sz="0" w:space="0" w:color="auto"/>
        <w:bottom w:val="none" w:sz="0" w:space="0" w:color="auto"/>
        <w:right w:val="none" w:sz="0" w:space="0" w:color="auto"/>
      </w:divBdr>
    </w:div>
    <w:div w:id="1227112563">
      <w:bodyDiv w:val="1"/>
      <w:marLeft w:val="0"/>
      <w:marRight w:val="0"/>
      <w:marTop w:val="0"/>
      <w:marBottom w:val="0"/>
      <w:divBdr>
        <w:top w:val="none" w:sz="0" w:space="0" w:color="auto"/>
        <w:left w:val="none" w:sz="0" w:space="0" w:color="auto"/>
        <w:bottom w:val="none" w:sz="0" w:space="0" w:color="auto"/>
        <w:right w:val="none" w:sz="0" w:space="0" w:color="auto"/>
      </w:divBdr>
    </w:div>
    <w:div w:id="1227374996">
      <w:bodyDiv w:val="1"/>
      <w:marLeft w:val="0"/>
      <w:marRight w:val="0"/>
      <w:marTop w:val="0"/>
      <w:marBottom w:val="0"/>
      <w:divBdr>
        <w:top w:val="none" w:sz="0" w:space="0" w:color="auto"/>
        <w:left w:val="none" w:sz="0" w:space="0" w:color="auto"/>
        <w:bottom w:val="none" w:sz="0" w:space="0" w:color="auto"/>
        <w:right w:val="none" w:sz="0" w:space="0" w:color="auto"/>
      </w:divBdr>
    </w:div>
    <w:div w:id="1227378805">
      <w:bodyDiv w:val="1"/>
      <w:marLeft w:val="0"/>
      <w:marRight w:val="0"/>
      <w:marTop w:val="0"/>
      <w:marBottom w:val="0"/>
      <w:divBdr>
        <w:top w:val="none" w:sz="0" w:space="0" w:color="auto"/>
        <w:left w:val="none" w:sz="0" w:space="0" w:color="auto"/>
        <w:bottom w:val="none" w:sz="0" w:space="0" w:color="auto"/>
        <w:right w:val="none" w:sz="0" w:space="0" w:color="auto"/>
      </w:divBdr>
    </w:div>
    <w:div w:id="1227448149">
      <w:bodyDiv w:val="1"/>
      <w:marLeft w:val="0"/>
      <w:marRight w:val="0"/>
      <w:marTop w:val="0"/>
      <w:marBottom w:val="0"/>
      <w:divBdr>
        <w:top w:val="none" w:sz="0" w:space="0" w:color="auto"/>
        <w:left w:val="none" w:sz="0" w:space="0" w:color="auto"/>
        <w:bottom w:val="none" w:sz="0" w:space="0" w:color="auto"/>
        <w:right w:val="none" w:sz="0" w:space="0" w:color="auto"/>
      </w:divBdr>
    </w:div>
    <w:div w:id="1227495091">
      <w:bodyDiv w:val="1"/>
      <w:marLeft w:val="0"/>
      <w:marRight w:val="0"/>
      <w:marTop w:val="0"/>
      <w:marBottom w:val="0"/>
      <w:divBdr>
        <w:top w:val="none" w:sz="0" w:space="0" w:color="auto"/>
        <w:left w:val="none" w:sz="0" w:space="0" w:color="auto"/>
        <w:bottom w:val="none" w:sz="0" w:space="0" w:color="auto"/>
        <w:right w:val="none" w:sz="0" w:space="0" w:color="auto"/>
      </w:divBdr>
    </w:div>
    <w:div w:id="1227686538">
      <w:bodyDiv w:val="1"/>
      <w:marLeft w:val="0"/>
      <w:marRight w:val="0"/>
      <w:marTop w:val="0"/>
      <w:marBottom w:val="0"/>
      <w:divBdr>
        <w:top w:val="none" w:sz="0" w:space="0" w:color="auto"/>
        <w:left w:val="none" w:sz="0" w:space="0" w:color="auto"/>
        <w:bottom w:val="none" w:sz="0" w:space="0" w:color="auto"/>
        <w:right w:val="none" w:sz="0" w:space="0" w:color="auto"/>
      </w:divBdr>
    </w:div>
    <w:div w:id="1227687144">
      <w:bodyDiv w:val="1"/>
      <w:marLeft w:val="0"/>
      <w:marRight w:val="0"/>
      <w:marTop w:val="0"/>
      <w:marBottom w:val="0"/>
      <w:divBdr>
        <w:top w:val="none" w:sz="0" w:space="0" w:color="auto"/>
        <w:left w:val="none" w:sz="0" w:space="0" w:color="auto"/>
        <w:bottom w:val="none" w:sz="0" w:space="0" w:color="auto"/>
        <w:right w:val="none" w:sz="0" w:space="0" w:color="auto"/>
      </w:divBdr>
    </w:div>
    <w:div w:id="1227687624">
      <w:bodyDiv w:val="1"/>
      <w:marLeft w:val="0"/>
      <w:marRight w:val="0"/>
      <w:marTop w:val="0"/>
      <w:marBottom w:val="0"/>
      <w:divBdr>
        <w:top w:val="none" w:sz="0" w:space="0" w:color="auto"/>
        <w:left w:val="none" w:sz="0" w:space="0" w:color="auto"/>
        <w:bottom w:val="none" w:sz="0" w:space="0" w:color="auto"/>
        <w:right w:val="none" w:sz="0" w:space="0" w:color="auto"/>
      </w:divBdr>
    </w:div>
    <w:div w:id="1227882675">
      <w:bodyDiv w:val="1"/>
      <w:marLeft w:val="0"/>
      <w:marRight w:val="0"/>
      <w:marTop w:val="0"/>
      <w:marBottom w:val="0"/>
      <w:divBdr>
        <w:top w:val="none" w:sz="0" w:space="0" w:color="auto"/>
        <w:left w:val="none" w:sz="0" w:space="0" w:color="auto"/>
        <w:bottom w:val="none" w:sz="0" w:space="0" w:color="auto"/>
        <w:right w:val="none" w:sz="0" w:space="0" w:color="auto"/>
      </w:divBdr>
    </w:div>
    <w:div w:id="1228222706">
      <w:bodyDiv w:val="1"/>
      <w:marLeft w:val="0"/>
      <w:marRight w:val="0"/>
      <w:marTop w:val="0"/>
      <w:marBottom w:val="0"/>
      <w:divBdr>
        <w:top w:val="none" w:sz="0" w:space="0" w:color="auto"/>
        <w:left w:val="none" w:sz="0" w:space="0" w:color="auto"/>
        <w:bottom w:val="none" w:sz="0" w:space="0" w:color="auto"/>
        <w:right w:val="none" w:sz="0" w:space="0" w:color="auto"/>
      </w:divBdr>
    </w:div>
    <w:div w:id="1228569704">
      <w:bodyDiv w:val="1"/>
      <w:marLeft w:val="0"/>
      <w:marRight w:val="0"/>
      <w:marTop w:val="0"/>
      <w:marBottom w:val="0"/>
      <w:divBdr>
        <w:top w:val="none" w:sz="0" w:space="0" w:color="auto"/>
        <w:left w:val="none" w:sz="0" w:space="0" w:color="auto"/>
        <w:bottom w:val="none" w:sz="0" w:space="0" w:color="auto"/>
        <w:right w:val="none" w:sz="0" w:space="0" w:color="auto"/>
      </w:divBdr>
    </w:div>
    <w:div w:id="1228955235">
      <w:bodyDiv w:val="1"/>
      <w:marLeft w:val="0"/>
      <w:marRight w:val="0"/>
      <w:marTop w:val="0"/>
      <w:marBottom w:val="0"/>
      <w:divBdr>
        <w:top w:val="none" w:sz="0" w:space="0" w:color="auto"/>
        <w:left w:val="none" w:sz="0" w:space="0" w:color="auto"/>
        <w:bottom w:val="none" w:sz="0" w:space="0" w:color="auto"/>
        <w:right w:val="none" w:sz="0" w:space="0" w:color="auto"/>
      </w:divBdr>
    </w:div>
    <w:div w:id="1229219853">
      <w:bodyDiv w:val="1"/>
      <w:marLeft w:val="0"/>
      <w:marRight w:val="0"/>
      <w:marTop w:val="0"/>
      <w:marBottom w:val="0"/>
      <w:divBdr>
        <w:top w:val="none" w:sz="0" w:space="0" w:color="auto"/>
        <w:left w:val="none" w:sz="0" w:space="0" w:color="auto"/>
        <w:bottom w:val="none" w:sz="0" w:space="0" w:color="auto"/>
        <w:right w:val="none" w:sz="0" w:space="0" w:color="auto"/>
      </w:divBdr>
    </w:div>
    <w:div w:id="1229262259">
      <w:bodyDiv w:val="1"/>
      <w:marLeft w:val="0"/>
      <w:marRight w:val="0"/>
      <w:marTop w:val="0"/>
      <w:marBottom w:val="0"/>
      <w:divBdr>
        <w:top w:val="none" w:sz="0" w:space="0" w:color="auto"/>
        <w:left w:val="none" w:sz="0" w:space="0" w:color="auto"/>
        <w:bottom w:val="none" w:sz="0" w:space="0" w:color="auto"/>
        <w:right w:val="none" w:sz="0" w:space="0" w:color="auto"/>
      </w:divBdr>
    </w:div>
    <w:div w:id="1229262612">
      <w:bodyDiv w:val="1"/>
      <w:marLeft w:val="0"/>
      <w:marRight w:val="0"/>
      <w:marTop w:val="0"/>
      <w:marBottom w:val="0"/>
      <w:divBdr>
        <w:top w:val="none" w:sz="0" w:space="0" w:color="auto"/>
        <w:left w:val="none" w:sz="0" w:space="0" w:color="auto"/>
        <w:bottom w:val="none" w:sz="0" w:space="0" w:color="auto"/>
        <w:right w:val="none" w:sz="0" w:space="0" w:color="auto"/>
      </w:divBdr>
    </w:div>
    <w:div w:id="1229265094">
      <w:bodyDiv w:val="1"/>
      <w:marLeft w:val="0"/>
      <w:marRight w:val="0"/>
      <w:marTop w:val="0"/>
      <w:marBottom w:val="0"/>
      <w:divBdr>
        <w:top w:val="none" w:sz="0" w:space="0" w:color="auto"/>
        <w:left w:val="none" w:sz="0" w:space="0" w:color="auto"/>
        <w:bottom w:val="none" w:sz="0" w:space="0" w:color="auto"/>
        <w:right w:val="none" w:sz="0" w:space="0" w:color="auto"/>
      </w:divBdr>
    </w:div>
    <w:div w:id="1229347261">
      <w:bodyDiv w:val="1"/>
      <w:marLeft w:val="0"/>
      <w:marRight w:val="0"/>
      <w:marTop w:val="0"/>
      <w:marBottom w:val="0"/>
      <w:divBdr>
        <w:top w:val="none" w:sz="0" w:space="0" w:color="auto"/>
        <w:left w:val="none" w:sz="0" w:space="0" w:color="auto"/>
        <w:bottom w:val="none" w:sz="0" w:space="0" w:color="auto"/>
        <w:right w:val="none" w:sz="0" w:space="0" w:color="auto"/>
      </w:divBdr>
    </w:div>
    <w:div w:id="1229535054">
      <w:bodyDiv w:val="1"/>
      <w:marLeft w:val="0"/>
      <w:marRight w:val="0"/>
      <w:marTop w:val="0"/>
      <w:marBottom w:val="0"/>
      <w:divBdr>
        <w:top w:val="none" w:sz="0" w:space="0" w:color="auto"/>
        <w:left w:val="none" w:sz="0" w:space="0" w:color="auto"/>
        <w:bottom w:val="none" w:sz="0" w:space="0" w:color="auto"/>
        <w:right w:val="none" w:sz="0" w:space="0" w:color="auto"/>
      </w:divBdr>
    </w:div>
    <w:div w:id="1229728722">
      <w:bodyDiv w:val="1"/>
      <w:marLeft w:val="0"/>
      <w:marRight w:val="0"/>
      <w:marTop w:val="0"/>
      <w:marBottom w:val="0"/>
      <w:divBdr>
        <w:top w:val="none" w:sz="0" w:space="0" w:color="auto"/>
        <w:left w:val="none" w:sz="0" w:space="0" w:color="auto"/>
        <w:bottom w:val="none" w:sz="0" w:space="0" w:color="auto"/>
        <w:right w:val="none" w:sz="0" w:space="0" w:color="auto"/>
      </w:divBdr>
    </w:div>
    <w:div w:id="1229851612">
      <w:bodyDiv w:val="1"/>
      <w:marLeft w:val="0"/>
      <w:marRight w:val="0"/>
      <w:marTop w:val="0"/>
      <w:marBottom w:val="0"/>
      <w:divBdr>
        <w:top w:val="none" w:sz="0" w:space="0" w:color="auto"/>
        <w:left w:val="none" w:sz="0" w:space="0" w:color="auto"/>
        <w:bottom w:val="none" w:sz="0" w:space="0" w:color="auto"/>
        <w:right w:val="none" w:sz="0" w:space="0" w:color="auto"/>
      </w:divBdr>
    </w:div>
    <w:div w:id="1230188448">
      <w:bodyDiv w:val="1"/>
      <w:marLeft w:val="0"/>
      <w:marRight w:val="0"/>
      <w:marTop w:val="0"/>
      <w:marBottom w:val="0"/>
      <w:divBdr>
        <w:top w:val="none" w:sz="0" w:space="0" w:color="auto"/>
        <w:left w:val="none" w:sz="0" w:space="0" w:color="auto"/>
        <w:bottom w:val="none" w:sz="0" w:space="0" w:color="auto"/>
        <w:right w:val="none" w:sz="0" w:space="0" w:color="auto"/>
      </w:divBdr>
    </w:div>
    <w:div w:id="1230190787">
      <w:bodyDiv w:val="1"/>
      <w:marLeft w:val="0"/>
      <w:marRight w:val="0"/>
      <w:marTop w:val="0"/>
      <w:marBottom w:val="0"/>
      <w:divBdr>
        <w:top w:val="none" w:sz="0" w:space="0" w:color="auto"/>
        <w:left w:val="none" w:sz="0" w:space="0" w:color="auto"/>
        <w:bottom w:val="none" w:sz="0" w:space="0" w:color="auto"/>
        <w:right w:val="none" w:sz="0" w:space="0" w:color="auto"/>
      </w:divBdr>
    </w:div>
    <w:div w:id="1230338127">
      <w:bodyDiv w:val="1"/>
      <w:marLeft w:val="0"/>
      <w:marRight w:val="0"/>
      <w:marTop w:val="0"/>
      <w:marBottom w:val="0"/>
      <w:divBdr>
        <w:top w:val="none" w:sz="0" w:space="0" w:color="auto"/>
        <w:left w:val="none" w:sz="0" w:space="0" w:color="auto"/>
        <w:bottom w:val="none" w:sz="0" w:space="0" w:color="auto"/>
        <w:right w:val="none" w:sz="0" w:space="0" w:color="auto"/>
      </w:divBdr>
    </w:div>
    <w:div w:id="1230572697">
      <w:bodyDiv w:val="1"/>
      <w:marLeft w:val="0"/>
      <w:marRight w:val="0"/>
      <w:marTop w:val="0"/>
      <w:marBottom w:val="0"/>
      <w:divBdr>
        <w:top w:val="none" w:sz="0" w:space="0" w:color="auto"/>
        <w:left w:val="none" w:sz="0" w:space="0" w:color="auto"/>
        <w:bottom w:val="none" w:sz="0" w:space="0" w:color="auto"/>
        <w:right w:val="none" w:sz="0" w:space="0" w:color="auto"/>
      </w:divBdr>
    </w:div>
    <w:div w:id="1230572825">
      <w:bodyDiv w:val="1"/>
      <w:marLeft w:val="0"/>
      <w:marRight w:val="0"/>
      <w:marTop w:val="0"/>
      <w:marBottom w:val="0"/>
      <w:divBdr>
        <w:top w:val="none" w:sz="0" w:space="0" w:color="auto"/>
        <w:left w:val="none" w:sz="0" w:space="0" w:color="auto"/>
        <w:bottom w:val="none" w:sz="0" w:space="0" w:color="auto"/>
        <w:right w:val="none" w:sz="0" w:space="0" w:color="auto"/>
      </w:divBdr>
    </w:div>
    <w:div w:id="1230728799">
      <w:bodyDiv w:val="1"/>
      <w:marLeft w:val="0"/>
      <w:marRight w:val="0"/>
      <w:marTop w:val="0"/>
      <w:marBottom w:val="0"/>
      <w:divBdr>
        <w:top w:val="none" w:sz="0" w:space="0" w:color="auto"/>
        <w:left w:val="none" w:sz="0" w:space="0" w:color="auto"/>
        <w:bottom w:val="none" w:sz="0" w:space="0" w:color="auto"/>
        <w:right w:val="none" w:sz="0" w:space="0" w:color="auto"/>
      </w:divBdr>
    </w:div>
    <w:div w:id="1230847939">
      <w:bodyDiv w:val="1"/>
      <w:marLeft w:val="0"/>
      <w:marRight w:val="0"/>
      <w:marTop w:val="0"/>
      <w:marBottom w:val="0"/>
      <w:divBdr>
        <w:top w:val="none" w:sz="0" w:space="0" w:color="auto"/>
        <w:left w:val="none" w:sz="0" w:space="0" w:color="auto"/>
        <w:bottom w:val="none" w:sz="0" w:space="0" w:color="auto"/>
        <w:right w:val="none" w:sz="0" w:space="0" w:color="auto"/>
      </w:divBdr>
    </w:div>
    <w:div w:id="1231114397">
      <w:bodyDiv w:val="1"/>
      <w:marLeft w:val="0"/>
      <w:marRight w:val="0"/>
      <w:marTop w:val="0"/>
      <w:marBottom w:val="0"/>
      <w:divBdr>
        <w:top w:val="none" w:sz="0" w:space="0" w:color="auto"/>
        <w:left w:val="none" w:sz="0" w:space="0" w:color="auto"/>
        <w:bottom w:val="none" w:sz="0" w:space="0" w:color="auto"/>
        <w:right w:val="none" w:sz="0" w:space="0" w:color="auto"/>
      </w:divBdr>
    </w:div>
    <w:div w:id="1231190034">
      <w:bodyDiv w:val="1"/>
      <w:marLeft w:val="0"/>
      <w:marRight w:val="0"/>
      <w:marTop w:val="0"/>
      <w:marBottom w:val="0"/>
      <w:divBdr>
        <w:top w:val="none" w:sz="0" w:space="0" w:color="auto"/>
        <w:left w:val="none" w:sz="0" w:space="0" w:color="auto"/>
        <w:bottom w:val="none" w:sz="0" w:space="0" w:color="auto"/>
        <w:right w:val="none" w:sz="0" w:space="0" w:color="auto"/>
      </w:divBdr>
    </w:div>
    <w:div w:id="1231236375">
      <w:bodyDiv w:val="1"/>
      <w:marLeft w:val="0"/>
      <w:marRight w:val="0"/>
      <w:marTop w:val="0"/>
      <w:marBottom w:val="0"/>
      <w:divBdr>
        <w:top w:val="none" w:sz="0" w:space="0" w:color="auto"/>
        <w:left w:val="none" w:sz="0" w:space="0" w:color="auto"/>
        <w:bottom w:val="none" w:sz="0" w:space="0" w:color="auto"/>
        <w:right w:val="none" w:sz="0" w:space="0" w:color="auto"/>
      </w:divBdr>
    </w:div>
    <w:div w:id="1231310768">
      <w:bodyDiv w:val="1"/>
      <w:marLeft w:val="0"/>
      <w:marRight w:val="0"/>
      <w:marTop w:val="0"/>
      <w:marBottom w:val="0"/>
      <w:divBdr>
        <w:top w:val="none" w:sz="0" w:space="0" w:color="auto"/>
        <w:left w:val="none" w:sz="0" w:space="0" w:color="auto"/>
        <w:bottom w:val="none" w:sz="0" w:space="0" w:color="auto"/>
        <w:right w:val="none" w:sz="0" w:space="0" w:color="auto"/>
      </w:divBdr>
    </w:div>
    <w:div w:id="1231421553">
      <w:bodyDiv w:val="1"/>
      <w:marLeft w:val="0"/>
      <w:marRight w:val="0"/>
      <w:marTop w:val="0"/>
      <w:marBottom w:val="0"/>
      <w:divBdr>
        <w:top w:val="none" w:sz="0" w:space="0" w:color="auto"/>
        <w:left w:val="none" w:sz="0" w:space="0" w:color="auto"/>
        <w:bottom w:val="none" w:sz="0" w:space="0" w:color="auto"/>
        <w:right w:val="none" w:sz="0" w:space="0" w:color="auto"/>
      </w:divBdr>
    </w:div>
    <w:div w:id="1231428424">
      <w:bodyDiv w:val="1"/>
      <w:marLeft w:val="0"/>
      <w:marRight w:val="0"/>
      <w:marTop w:val="0"/>
      <w:marBottom w:val="0"/>
      <w:divBdr>
        <w:top w:val="none" w:sz="0" w:space="0" w:color="auto"/>
        <w:left w:val="none" w:sz="0" w:space="0" w:color="auto"/>
        <w:bottom w:val="none" w:sz="0" w:space="0" w:color="auto"/>
        <w:right w:val="none" w:sz="0" w:space="0" w:color="auto"/>
      </w:divBdr>
    </w:div>
    <w:div w:id="1231504011">
      <w:bodyDiv w:val="1"/>
      <w:marLeft w:val="0"/>
      <w:marRight w:val="0"/>
      <w:marTop w:val="0"/>
      <w:marBottom w:val="0"/>
      <w:divBdr>
        <w:top w:val="none" w:sz="0" w:space="0" w:color="auto"/>
        <w:left w:val="none" w:sz="0" w:space="0" w:color="auto"/>
        <w:bottom w:val="none" w:sz="0" w:space="0" w:color="auto"/>
        <w:right w:val="none" w:sz="0" w:space="0" w:color="auto"/>
      </w:divBdr>
    </w:div>
    <w:div w:id="1231579372">
      <w:bodyDiv w:val="1"/>
      <w:marLeft w:val="0"/>
      <w:marRight w:val="0"/>
      <w:marTop w:val="0"/>
      <w:marBottom w:val="0"/>
      <w:divBdr>
        <w:top w:val="none" w:sz="0" w:space="0" w:color="auto"/>
        <w:left w:val="none" w:sz="0" w:space="0" w:color="auto"/>
        <w:bottom w:val="none" w:sz="0" w:space="0" w:color="auto"/>
        <w:right w:val="none" w:sz="0" w:space="0" w:color="auto"/>
      </w:divBdr>
    </w:div>
    <w:div w:id="1231618339">
      <w:bodyDiv w:val="1"/>
      <w:marLeft w:val="0"/>
      <w:marRight w:val="0"/>
      <w:marTop w:val="0"/>
      <w:marBottom w:val="0"/>
      <w:divBdr>
        <w:top w:val="none" w:sz="0" w:space="0" w:color="auto"/>
        <w:left w:val="none" w:sz="0" w:space="0" w:color="auto"/>
        <w:bottom w:val="none" w:sz="0" w:space="0" w:color="auto"/>
        <w:right w:val="none" w:sz="0" w:space="0" w:color="auto"/>
      </w:divBdr>
    </w:div>
    <w:div w:id="1231966479">
      <w:bodyDiv w:val="1"/>
      <w:marLeft w:val="0"/>
      <w:marRight w:val="0"/>
      <w:marTop w:val="0"/>
      <w:marBottom w:val="0"/>
      <w:divBdr>
        <w:top w:val="none" w:sz="0" w:space="0" w:color="auto"/>
        <w:left w:val="none" w:sz="0" w:space="0" w:color="auto"/>
        <w:bottom w:val="none" w:sz="0" w:space="0" w:color="auto"/>
        <w:right w:val="none" w:sz="0" w:space="0" w:color="auto"/>
      </w:divBdr>
    </w:div>
    <w:div w:id="1232035046">
      <w:bodyDiv w:val="1"/>
      <w:marLeft w:val="0"/>
      <w:marRight w:val="0"/>
      <w:marTop w:val="0"/>
      <w:marBottom w:val="0"/>
      <w:divBdr>
        <w:top w:val="none" w:sz="0" w:space="0" w:color="auto"/>
        <w:left w:val="none" w:sz="0" w:space="0" w:color="auto"/>
        <w:bottom w:val="none" w:sz="0" w:space="0" w:color="auto"/>
        <w:right w:val="none" w:sz="0" w:space="0" w:color="auto"/>
      </w:divBdr>
    </w:div>
    <w:div w:id="1232083232">
      <w:bodyDiv w:val="1"/>
      <w:marLeft w:val="0"/>
      <w:marRight w:val="0"/>
      <w:marTop w:val="0"/>
      <w:marBottom w:val="0"/>
      <w:divBdr>
        <w:top w:val="none" w:sz="0" w:space="0" w:color="auto"/>
        <w:left w:val="none" w:sz="0" w:space="0" w:color="auto"/>
        <w:bottom w:val="none" w:sz="0" w:space="0" w:color="auto"/>
        <w:right w:val="none" w:sz="0" w:space="0" w:color="auto"/>
      </w:divBdr>
    </w:div>
    <w:div w:id="1232347672">
      <w:bodyDiv w:val="1"/>
      <w:marLeft w:val="0"/>
      <w:marRight w:val="0"/>
      <w:marTop w:val="0"/>
      <w:marBottom w:val="0"/>
      <w:divBdr>
        <w:top w:val="none" w:sz="0" w:space="0" w:color="auto"/>
        <w:left w:val="none" w:sz="0" w:space="0" w:color="auto"/>
        <w:bottom w:val="none" w:sz="0" w:space="0" w:color="auto"/>
        <w:right w:val="none" w:sz="0" w:space="0" w:color="auto"/>
      </w:divBdr>
    </w:div>
    <w:div w:id="1232425515">
      <w:bodyDiv w:val="1"/>
      <w:marLeft w:val="0"/>
      <w:marRight w:val="0"/>
      <w:marTop w:val="0"/>
      <w:marBottom w:val="0"/>
      <w:divBdr>
        <w:top w:val="none" w:sz="0" w:space="0" w:color="auto"/>
        <w:left w:val="none" w:sz="0" w:space="0" w:color="auto"/>
        <w:bottom w:val="none" w:sz="0" w:space="0" w:color="auto"/>
        <w:right w:val="none" w:sz="0" w:space="0" w:color="auto"/>
      </w:divBdr>
    </w:div>
    <w:div w:id="1232497799">
      <w:bodyDiv w:val="1"/>
      <w:marLeft w:val="0"/>
      <w:marRight w:val="0"/>
      <w:marTop w:val="0"/>
      <w:marBottom w:val="0"/>
      <w:divBdr>
        <w:top w:val="none" w:sz="0" w:space="0" w:color="auto"/>
        <w:left w:val="none" w:sz="0" w:space="0" w:color="auto"/>
        <w:bottom w:val="none" w:sz="0" w:space="0" w:color="auto"/>
        <w:right w:val="none" w:sz="0" w:space="0" w:color="auto"/>
      </w:divBdr>
    </w:div>
    <w:div w:id="1232732301">
      <w:bodyDiv w:val="1"/>
      <w:marLeft w:val="0"/>
      <w:marRight w:val="0"/>
      <w:marTop w:val="0"/>
      <w:marBottom w:val="0"/>
      <w:divBdr>
        <w:top w:val="none" w:sz="0" w:space="0" w:color="auto"/>
        <w:left w:val="none" w:sz="0" w:space="0" w:color="auto"/>
        <w:bottom w:val="none" w:sz="0" w:space="0" w:color="auto"/>
        <w:right w:val="none" w:sz="0" w:space="0" w:color="auto"/>
      </w:divBdr>
    </w:div>
    <w:div w:id="1232736538">
      <w:bodyDiv w:val="1"/>
      <w:marLeft w:val="0"/>
      <w:marRight w:val="0"/>
      <w:marTop w:val="0"/>
      <w:marBottom w:val="0"/>
      <w:divBdr>
        <w:top w:val="none" w:sz="0" w:space="0" w:color="auto"/>
        <w:left w:val="none" w:sz="0" w:space="0" w:color="auto"/>
        <w:bottom w:val="none" w:sz="0" w:space="0" w:color="auto"/>
        <w:right w:val="none" w:sz="0" w:space="0" w:color="auto"/>
      </w:divBdr>
    </w:div>
    <w:div w:id="1232740829">
      <w:bodyDiv w:val="1"/>
      <w:marLeft w:val="0"/>
      <w:marRight w:val="0"/>
      <w:marTop w:val="0"/>
      <w:marBottom w:val="0"/>
      <w:divBdr>
        <w:top w:val="none" w:sz="0" w:space="0" w:color="auto"/>
        <w:left w:val="none" w:sz="0" w:space="0" w:color="auto"/>
        <w:bottom w:val="none" w:sz="0" w:space="0" w:color="auto"/>
        <w:right w:val="none" w:sz="0" w:space="0" w:color="auto"/>
      </w:divBdr>
    </w:div>
    <w:div w:id="1232883993">
      <w:bodyDiv w:val="1"/>
      <w:marLeft w:val="0"/>
      <w:marRight w:val="0"/>
      <w:marTop w:val="0"/>
      <w:marBottom w:val="0"/>
      <w:divBdr>
        <w:top w:val="none" w:sz="0" w:space="0" w:color="auto"/>
        <w:left w:val="none" w:sz="0" w:space="0" w:color="auto"/>
        <w:bottom w:val="none" w:sz="0" w:space="0" w:color="auto"/>
        <w:right w:val="none" w:sz="0" w:space="0" w:color="auto"/>
      </w:divBdr>
    </w:div>
    <w:div w:id="1232886612">
      <w:bodyDiv w:val="1"/>
      <w:marLeft w:val="0"/>
      <w:marRight w:val="0"/>
      <w:marTop w:val="0"/>
      <w:marBottom w:val="0"/>
      <w:divBdr>
        <w:top w:val="none" w:sz="0" w:space="0" w:color="auto"/>
        <w:left w:val="none" w:sz="0" w:space="0" w:color="auto"/>
        <w:bottom w:val="none" w:sz="0" w:space="0" w:color="auto"/>
        <w:right w:val="none" w:sz="0" w:space="0" w:color="auto"/>
      </w:divBdr>
    </w:div>
    <w:div w:id="1233008848">
      <w:bodyDiv w:val="1"/>
      <w:marLeft w:val="0"/>
      <w:marRight w:val="0"/>
      <w:marTop w:val="0"/>
      <w:marBottom w:val="0"/>
      <w:divBdr>
        <w:top w:val="none" w:sz="0" w:space="0" w:color="auto"/>
        <w:left w:val="none" w:sz="0" w:space="0" w:color="auto"/>
        <w:bottom w:val="none" w:sz="0" w:space="0" w:color="auto"/>
        <w:right w:val="none" w:sz="0" w:space="0" w:color="auto"/>
      </w:divBdr>
    </w:div>
    <w:div w:id="1233077824">
      <w:bodyDiv w:val="1"/>
      <w:marLeft w:val="0"/>
      <w:marRight w:val="0"/>
      <w:marTop w:val="0"/>
      <w:marBottom w:val="0"/>
      <w:divBdr>
        <w:top w:val="none" w:sz="0" w:space="0" w:color="auto"/>
        <w:left w:val="none" w:sz="0" w:space="0" w:color="auto"/>
        <w:bottom w:val="none" w:sz="0" w:space="0" w:color="auto"/>
        <w:right w:val="none" w:sz="0" w:space="0" w:color="auto"/>
      </w:divBdr>
    </w:div>
    <w:div w:id="1233470037">
      <w:bodyDiv w:val="1"/>
      <w:marLeft w:val="0"/>
      <w:marRight w:val="0"/>
      <w:marTop w:val="0"/>
      <w:marBottom w:val="0"/>
      <w:divBdr>
        <w:top w:val="none" w:sz="0" w:space="0" w:color="auto"/>
        <w:left w:val="none" w:sz="0" w:space="0" w:color="auto"/>
        <w:bottom w:val="none" w:sz="0" w:space="0" w:color="auto"/>
        <w:right w:val="none" w:sz="0" w:space="0" w:color="auto"/>
      </w:divBdr>
    </w:div>
    <w:div w:id="1233587810">
      <w:bodyDiv w:val="1"/>
      <w:marLeft w:val="0"/>
      <w:marRight w:val="0"/>
      <w:marTop w:val="0"/>
      <w:marBottom w:val="0"/>
      <w:divBdr>
        <w:top w:val="none" w:sz="0" w:space="0" w:color="auto"/>
        <w:left w:val="none" w:sz="0" w:space="0" w:color="auto"/>
        <w:bottom w:val="none" w:sz="0" w:space="0" w:color="auto"/>
        <w:right w:val="none" w:sz="0" w:space="0" w:color="auto"/>
      </w:divBdr>
    </w:div>
    <w:div w:id="1233657944">
      <w:bodyDiv w:val="1"/>
      <w:marLeft w:val="0"/>
      <w:marRight w:val="0"/>
      <w:marTop w:val="0"/>
      <w:marBottom w:val="0"/>
      <w:divBdr>
        <w:top w:val="none" w:sz="0" w:space="0" w:color="auto"/>
        <w:left w:val="none" w:sz="0" w:space="0" w:color="auto"/>
        <w:bottom w:val="none" w:sz="0" w:space="0" w:color="auto"/>
        <w:right w:val="none" w:sz="0" w:space="0" w:color="auto"/>
      </w:divBdr>
    </w:div>
    <w:div w:id="1234004520">
      <w:bodyDiv w:val="1"/>
      <w:marLeft w:val="0"/>
      <w:marRight w:val="0"/>
      <w:marTop w:val="0"/>
      <w:marBottom w:val="0"/>
      <w:divBdr>
        <w:top w:val="none" w:sz="0" w:space="0" w:color="auto"/>
        <w:left w:val="none" w:sz="0" w:space="0" w:color="auto"/>
        <w:bottom w:val="none" w:sz="0" w:space="0" w:color="auto"/>
        <w:right w:val="none" w:sz="0" w:space="0" w:color="auto"/>
      </w:divBdr>
    </w:div>
    <w:div w:id="1234271056">
      <w:bodyDiv w:val="1"/>
      <w:marLeft w:val="0"/>
      <w:marRight w:val="0"/>
      <w:marTop w:val="0"/>
      <w:marBottom w:val="0"/>
      <w:divBdr>
        <w:top w:val="none" w:sz="0" w:space="0" w:color="auto"/>
        <w:left w:val="none" w:sz="0" w:space="0" w:color="auto"/>
        <w:bottom w:val="none" w:sz="0" w:space="0" w:color="auto"/>
        <w:right w:val="none" w:sz="0" w:space="0" w:color="auto"/>
      </w:divBdr>
    </w:div>
    <w:div w:id="1234314539">
      <w:bodyDiv w:val="1"/>
      <w:marLeft w:val="0"/>
      <w:marRight w:val="0"/>
      <w:marTop w:val="0"/>
      <w:marBottom w:val="0"/>
      <w:divBdr>
        <w:top w:val="none" w:sz="0" w:space="0" w:color="auto"/>
        <w:left w:val="none" w:sz="0" w:space="0" w:color="auto"/>
        <w:bottom w:val="none" w:sz="0" w:space="0" w:color="auto"/>
        <w:right w:val="none" w:sz="0" w:space="0" w:color="auto"/>
      </w:divBdr>
    </w:div>
    <w:div w:id="1234655628">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59282">
      <w:bodyDiv w:val="1"/>
      <w:marLeft w:val="0"/>
      <w:marRight w:val="0"/>
      <w:marTop w:val="0"/>
      <w:marBottom w:val="0"/>
      <w:divBdr>
        <w:top w:val="none" w:sz="0" w:space="0" w:color="auto"/>
        <w:left w:val="none" w:sz="0" w:space="0" w:color="auto"/>
        <w:bottom w:val="none" w:sz="0" w:space="0" w:color="auto"/>
        <w:right w:val="none" w:sz="0" w:space="0" w:color="auto"/>
      </w:divBdr>
    </w:div>
    <w:div w:id="1234663126">
      <w:bodyDiv w:val="1"/>
      <w:marLeft w:val="0"/>
      <w:marRight w:val="0"/>
      <w:marTop w:val="0"/>
      <w:marBottom w:val="0"/>
      <w:divBdr>
        <w:top w:val="none" w:sz="0" w:space="0" w:color="auto"/>
        <w:left w:val="none" w:sz="0" w:space="0" w:color="auto"/>
        <w:bottom w:val="none" w:sz="0" w:space="0" w:color="auto"/>
        <w:right w:val="none" w:sz="0" w:space="0" w:color="auto"/>
      </w:divBdr>
    </w:div>
    <w:div w:id="1234773069">
      <w:bodyDiv w:val="1"/>
      <w:marLeft w:val="0"/>
      <w:marRight w:val="0"/>
      <w:marTop w:val="0"/>
      <w:marBottom w:val="0"/>
      <w:divBdr>
        <w:top w:val="none" w:sz="0" w:space="0" w:color="auto"/>
        <w:left w:val="none" w:sz="0" w:space="0" w:color="auto"/>
        <w:bottom w:val="none" w:sz="0" w:space="0" w:color="auto"/>
        <w:right w:val="none" w:sz="0" w:space="0" w:color="auto"/>
      </w:divBdr>
    </w:div>
    <w:div w:id="1234848892">
      <w:bodyDiv w:val="1"/>
      <w:marLeft w:val="0"/>
      <w:marRight w:val="0"/>
      <w:marTop w:val="0"/>
      <w:marBottom w:val="0"/>
      <w:divBdr>
        <w:top w:val="none" w:sz="0" w:space="0" w:color="auto"/>
        <w:left w:val="none" w:sz="0" w:space="0" w:color="auto"/>
        <w:bottom w:val="none" w:sz="0" w:space="0" w:color="auto"/>
        <w:right w:val="none" w:sz="0" w:space="0" w:color="auto"/>
      </w:divBdr>
    </w:div>
    <w:div w:id="1235048511">
      <w:bodyDiv w:val="1"/>
      <w:marLeft w:val="0"/>
      <w:marRight w:val="0"/>
      <w:marTop w:val="0"/>
      <w:marBottom w:val="0"/>
      <w:divBdr>
        <w:top w:val="none" w:sz="0" w:space="0" w:color="auto"/>
        <w:left w:val="none" w:sz="0" w:space="0" w:color="auto"/>
        <w:bottom w:val="none" w:sz="0" w:space="0" w:color="auto"/>
        <w:right w:val="none" w:sz="0" w:space="0" w:color="auto"/>
      </w:divBdr>
    </w:div>
    <w:div w:id="1235166888">
      <w:bodyDiv w:val="1"/>
      <w:marLeft w:val="0"/>
      <w:marRight w:val="0"/>
      <w:marTop w:val="0"/>
      <w:marBottom w:val="0"/>
      <w:divBdr>
        <w:top w:val="none" w:sz="0" w:space="0" w:color="auto"/>
        <w:left w:val="none" w:sz="0" w:space="0" w:color="auto"/>
        <w:bottom w:val="none" w:sz="0" w:space="0" w:color="auto"/>
        <w:right w:val="none" w:sz="0" w:space="0" w:color="auto"/>
      </w:divBdr>
    </w:div>
    <w:div w:id="1235312368">
      <w:bodyDiv w:val="1"/>
      <w:marLeft w:val="0"/>
      <w:marRight w:val="0"/>
      <w:marTop w:val="0"/>
      <w:marBottom w:val="0"/>
      <w:divBdr>
        <w:top w:val="none" w:sz="0" w:space="0" w:color="auto"/>
        <w:left w:val="none" w:sz="0" w:space="0" w:color="auto"/>
        <w:bottom w:val="none" w:sz="0" w:space="0" w:color="auto"/>
        <w:right w:val="none" w:sz="0" w:space="0" w:color="auto"/>
      </w:divBdr>
    </w:div>
    <w:div w:id="1235315272">
      <w:bodyDiv w:val="1"/>
      <w:marLeft w:val="0"/>
      <w:marRight w:val="0"/>
      <w:marTop w:val="0"/>
      <w:marBottom w:val="0"/>
      <w:divBdr>
        <w:top w:val="none" w:sz="0" w:space="0" w:color="auto"/>
        <w:left w:val="none" w:sz="0" w:space="0" w:color="auto"/>
        <w:bottom w:val="none" w:sz="0" w:space="0" w:color="auto"/>
        <w:right w:val="none" w:sz="0" w:space="0" w:color="auto"/>
      </w:divBdr>
    </w:div>
    <w:div w:id="1235356859">
      <w:bodyDiv w:val="1"/>
      <w:marLeft w:val="0"/>
      <w:marRight w:val="0"/>
      <w:marTop w:val="0"/>
      <w:marBottom w:val="0"/>
      <w:divBdr>
        <w:top w:val="none" w:sz="0" w:space="0" w:color="auto"/>
        <w:left w:val="none" w:sz="0" w:space="0" w:color="auto"/>
        <w:bottom w:val="none" w:sz="0" w:space="0" w:color="auto"/>
        <w:right w:val="none" w:sz="0" w:space="0" w:color="auto"/>
      </w:divBdr>
    </w:div>
    <w:div w:id="1236087866">
      <w:bodyDiv w:val="1"/>
      <w:marLeft w:val="0"/>
      <w:marRight w:val="0"/>
      <w:marTop w:val="0"/>
      <w:marBottom w:val="0"/>
      <w:divBdr>
        <w:top w:val="none" w:sz="0" w:space="0" w:color="auto"/>
        <w:left w:val="none" w:sz="0" w:space="0" w:color="auto"/>
        <w:bottom w:val="none" w:sz="0" w:space="0" w:color="auto"/>
        <w:right w:val="none" w:sz="0" w:space="0" w:color="auto"/>
      </w:divBdr>
    </w:div>
    <w:div w:id="1236434921">
      <w:bodyDiv w:val="1"/>
      <w:marLeft w:val="0"/>
      <w:marRight w:val="0"/>
      <w:marTop w:val="0"/>
      <w:marBottom w:val="0"/>
      <w:divBdr>
        <w:top w:val="none" w:sz="0" w:space="0" w:color="auto"/>
        <w:left w:val="none" w:sz="0" w:space="0" w:color="auto"/>
        <w:bottom w:val="none" w:sz="0" w:space="0" w:color="auto"/>
        <w:right w:val="none" w:sz="0" w:space="0" w:color="auto"/>
      </w:divBdr>
    </w:div>
    <w:div w:id="1236624547">
      <w:bodyDiv w:val="1"/>
      <w:marLeft w:val="0"/>
      <w:marRight w:val="0"/>
      <w:marTop w:val="0"/>
      <w:marBottom w:val="0"/>
      <w:divBdr>
        <w:top w:val="none" w:sz="0" w:space="0" w:color="auto"/>
        <w:left w:val="none" w:sz="0" w:space="0" w:color="auto"/>
        <w:bottom w:val="none" w:sz="0" w:space="0" w:color="auto"/>
        <w:right w:val="none" w:sz="0" w:space="0" w:color="auto"/>
      </w:divBdr>
    </w:div>
    <w:div w:id="1236821452">
      <w:bodyDiv w:val="1"/>
      <w:marLeft w:val="0"/>
      <w:marRight w:val="0"/>
      <w:marTop w:val="0"/>
      <w:marBottom w:val="0"/>
      <w:divBdr>
        <w:top w:val="none" w:sz="0" w:space="0" w:color="auto"/>
        <w:left w:val="none" w:sz="0" w:space="0" w:color="auto"/>
        <w:bottom w:val="none" w:sz="0" w:space="0" w:color="auto"/>
        <w:right w:val="none" w:sz="0" w:space="0" w:color="auto"/>
      </w:divBdr>
    </w:div>
    <w:div w:id="1236936452">
      <w:bodyDiv w:val="1"/>
      <w:marLeft w:val="0"/>
      <w:marRight w:val="0"/>
      <w:marTop w:val="0"/>
      <w:marBottom w:val="0"/>
      <w:divBdr>
        <w:top w:val="none" w:sz="0" w:space="0" w:color="auto"/>
        <w:left w:val="none" w:sz="0" w:space="0" w:color="auto"/>
        <w:bottom w:val="none" w:sz="0" w:space="0" w:color="auto"/>
        <w:right w:val="none" w:sz="0" w:space="0" w:color="auto"/>
      </w:divBdr>
    </w:div>
    <w:div w:id="1236938859">
      <w:bodyDiv w:val="1"/>
      <w:marLeft w:val="0"/>
      <w:marRight w:val="0"/>
      <w:marTop w:val="0"/>
      <w:marBottom w:val="0"/>
      <w:divBdr>
        <w:top w:val="none" w:sz="0" w:space="0" w:color="auto"/>
        <w:left w:val="none" w:sz="0" w:space="0" w:color="auto"/>
        <w:bottom w:val="none" w:sz="0" w:space="0" w:color="auto"/>
        <w:right w:val="none" w:sz="0" w:space="0" w:color="auto"/>
      </w:divBdr>
    </w:div>
    <w:div w:id="1237284254">
      <w:bodyDiv w:val="1"/>
      <w:marLeft w:val="0"/>
      <w:marRight w:val="0"/>
      <w:marTop w:val="0"/>
      <w:marBottom w:val="0"/>
      <w:divBdr>
        <w:top w:val="none" w:sz="0" w:space="0" w:color="auto"/>
        <w:left w:val="none" w:sz="0" w:space="0" w:color="auto"/>
        <w:bottom w:val="none" w:sz="0" w:space="0" w:color="auto"/>
        <w:right w:val="none" w:sz="0" w:space="0" w:color="auto"/>
      </w:divBdr>
    </w:div>
    <w:div w:id="1237469585">
      <w:bodyDiv w:val="1"/>
      <w:marLeft w:val="0"/>
      <w:marRight w:val="0"/>
      <w:marTop w:val="0"/>
      <w:marBottom w:val="0"/>
      <w:divBdr>
        <w:top w:val="none" w:sz="0" w:space="0" w:color="auto"/>
        <w:left w:val="none" w:sz="0" w:space="0" w:color="auto"/>
        <w:bottom w:val="none" w:sz="0" w:space="0" w:color="auto"/>
        <w:right w:val="none" w:sz="0" w:space="0" w:color="auto"/>
      </w:divBdr>
    </w:div>
    <w:div w:id="1237742030">
      <w:bodyDiv w:val="1"/>
      <w:marLeft w:val="0"/>
      <w:marRight w:val="0"/>
      <w:marTop w:val="0"/>
      <w:marBottom w:val="0"/>
      <w:divBdr>
        <w:top w:val="none" w:sz="0" w:space="0" w:color="auto"/>
        <w:left w:val="none" w:sz="0" w:space="0" w:color="auto"/>
        <w:bottom w:val="none" w:sz="0" w:space="0" w:color="auto"/>
        <w:right w:val="none" w:sz="0" w:space="0" w:color="auto"/>
      </w:divBdr>
    </w:div>
    <w:div w:id="1237743347">
      <w:bodyDiv w:val="1"/>
      <w:marLeft w:val="0"/>
      <w:marRight w:val="0"/>
      <w:marTop w:val="0"/>
      <w:marBottom w:val="0"/>
      <w:divBdr>
        <w:top w:val="none" w:sz="0" w:space="0" w:color="auto"/>
        <w:left w:val="none" w:sz="0" w:space="0" w:color="auto"/>
        <w:bottom w:val="none" w:sz="0" w:space="0" w:color="auto"/>
        <w:right w:val="none" w:sz="0" w:space="0" w:color="auto"/>
      </w:divBdr>
    </w:div>
    <w:div w:id="1237975143">
      <w:bodyDiv w:val="1"/>
      <w:marLeft w:val="0"/>
      <w:marRight w:val="0"/>
      <w:marTop w:val="0"/>
      <w:marBottom w:val="0"/>
      <w:divBdr>
        <w:top w:val="none" w:sz="0" w:space="0" w:color="auto"/>
        <w:left w:val="none" w:sz="0" w:space="0" w:color="auto"/>
        <w:bottom w:val="none" w:sz="0" w:space="0" w:color="auto"/>
        <w:right w:val="none" w:sz="0" w:space="0" w:color="auto"/>
      </w:divBdr>
    </w:div>
    <w:div w:id="1237978295">
      <w:bodyDiv w:val="1"/>
      <w:marLeft w:val="0"/>
      <w:marRight w:val="0"/>
      <w:marTop w:val="0"/>
      <w:marBottom w:val="0"/>
      <w:divBdr>
        <w:top w:val="none" w:sz="0" w:space="0" w:color="auto"/>
        <w:left w:val="none" w:sz="0" w:space="0" w:color="auto"/>
        <w:bottom w:val="none" w:sz="0" w:space="0" w:color="auto"/>
        <w:right w:val="none" w:sz="0" w:space="0" w:color="auto"/>
      </w:divBdr>
    </w:div>
    <w:div w:id="1238055692">
      <w:bodyDiv w:val="1"/>
      <w:marLeft w:val="0"/>
      <w:marRight w:val="0"/>
      <w:marTop w:val="0"/>
      <w:marBottom w:val="0"/>
      <w:divBdr>
        <w:top w:val="none" w:sz="0" w:space="0" w:color="auto"/>
        <w:left w:val="none" w:sz="0" w:space="0" w:color="auto"/>
        <w:bottom w:val="none" w:sz="0" w:space="0" w:color="auto"/>
        <w:right w:val="none" w:sz="0" w:space="0" w:color="auto"/>
      </w:divBdr>
    </w:div>
    <w:div w:id="1238125719">
      <w:bodyDiv w:val="1"/>
      <w:marLeft w:val="0"/>
      <w:marRight w:val="0"/>
      <w:marTop w:val="0"/>
      <w:marBottom w:val="0"/>
      <w:divBdr>
        <w:top w:val="none" w:sz="0" w:space="0" w:color="auto"/>
        <w:left w:val="none" w:sz="0" w:space="0" w:color="auto"/>
        <w:bottom w:val="none" w:sz="0" w:space="0" w:color="auto"/>
        <w:right w:val="none" w:sz="0" w:space="0" w:color="auto"/>
      </w:divBdr>
    </w:div>
    <w:div w:id="1238132700">
      <w:bodyDiv w:val="1"/>
      <w:marLeft w:val="0"/>
      <w:marRight w:val="0"/>
      <w:marTop w:val="0"/>
      <w:marBottom w:val="0"/>
      <w:divBdr>
        <w:top w:val="none" w:sz="0" w:space="0" w:color="auto"/>
        <w:left w:val="none" w:sz="0" w:space="0" w:color="auto"/>
        <w:bottom w:val="none" w:sz="0" w:space="0" w:color="auto"/>
        <w:right w:val="none" w:sz="0" w:space="0" w:color="auto"/>
      </w:divBdr>
    </w:div>
    <w:div w:id="1238250503">
      <w:bodyDiv w:val="1"/>
      <w:marLeft w:val="0"/>
      <w:marRight w:val="0"/>
      <w:marTop w:val="0"/>
      <w:marBottom w:val="0"/>
      <w:divBdr>
        <w:top w:val="none" w:sz="0" w:space="0" w:color="auto"/>
        <w:left w:val="none" w:sz="0" w:space="0" w:color="auto"/>
        <w:bottom w:val="none" w:sz="0" w:space="0" w:color="auto"/>
        <w:right w:val="none" w:sz="0" w:space="0" w:color="auto"/>
      </w:divBdr>
    </w:div>
    <w:div w:id="1238324965">
      <w:bodyDiv w:val="1"/>
      <w:marLeft w:val="0"/>
      <w:marRight w:val="0"/>
      <w:marTop w:val="0"/>
      <w:marBottom w:val="0"/>
      <w:divBdr>
        <w:top w:val="none" w:sz="0" w:space="0" w:color="auto"/>
        <w:left w:val="none" w:sz="0" w:space="0" w:color="auto"/>
        <w:bottom w:val="none" w:sz="0" w:space="0" w:color="auto"/>
        <w:right w:val="none" w:sz="0" w:space="0" w:color="auto"/>
      </w:divBdr>
    </w:div>
    <w:div w:id="1238437052">
      <w:bodyDiv w:val="1"/>
      <w:marLeft w:val="0"/>
      <w:marRight w:val="0"/>
      <w:marTop w:val="0"/>
      <w:marBottom w:val="0"/>
      <w:divBdr>
        <w:top w:val="none" w:sz="0" w:space="0" w:color="auto"/>
        <w:left w:val="none" w:sz="0" w:space="0" w:color="auto"/>
        <w:bottom w:val="none" w:sz="0" w:space="0" w:color="auto"/>
        <w:right w:val="none" w:sz="0" w:space="0" w:color="auto"/>
      </w:divBdr>
    </w:div>
    <w:div w:id="1238438499">
      <w:bodyDiv w:val="1"/>
      <w:marLeft w:val="0"/>
      <w:marRight w:val="0"/>
      <w:marTop w:val="0"/>
      <w:marBottom w:val="0"/>
      <w:divBdr>
        <w:top w:val="none" w:sz="0" w:space="0" w:color="auto"/>
        <w:left w:val="none" w:sz="0" w:space="0" w:color="auto"/>
        <w:bottom w:val="none" w:sz="0" w:space="0" w:color="auto"/>
        <w:right w:val="none" w:sz="0" w:space="0" w:color="auto"/>
      </w:divBdr>
    </w:div>
    <w:div w:id="1238594949">
      <w:bodyDiv w:val="1"/>
      <w:marLeft w:val="0"/>
      <w:marRight w:val="0"/>
      <w:marTop w:val="0"/>
      <w:marBottom w:val="0"/>
      <w:divBdr>
        <w:top w:val="none" w:sz="0" w:space="0" w:color="auto"/>
        <w:left w:val="none" w:sz="0" w:space="0" w:color="auto"/>
        <w:bottom w:val="none" w:sz="0" w:space="0" w:color="auto"/>
        <w:right w:val="none" w:sz="0" w:space="0" w:color="auto"/>
      </w:divBdr>
    </w:div>
    <w:div w:id="1239053621">
      <w:bodyDiv w:val="1"/>
      <w:marLeft w:val="0"/>
      <w:marRight w:val="0"/>
      <w:marTop w:val="0"/>
      <w:marBottom w:val="0"/>
      <w:divBdr>
        <w:top w:val="none" w:sz="0" w:space="0" w:color="auto"/>
        <w:left w:val="none" w:sz="0" w:space="0" w:color="auto"/>
        <w:bottom w:val="none" w:sz="0" w:space="0" w:color="auto"/>
        <w:right w:val="none" w:sz="0" w:space="0" w:color="auto"/>
      </w:divBdr>
    </w:div>
    <w:div w:id="1239055497">
      <w:bodyDiv w:val="1"/>
      <w:marLeft w:val="0"/>
      <w:marRight w:val="0"/>
      <w:marTop w:val="0"/>
      <w:marBottom w:val="0"/>
      <w:divBdr>
        <w:top w:val="none" w:sz="0" w:space="0" w:color="auto"/>
        <w:left w:val="none" w:sz="0" w:space="0" w:color="auto"/>
        <w:bottom w:val="none" w:sz="0" w:space="0" w:color="auto"/>
        <w:right w:val="none" w:sz="0" w:space="0" w:color="auto"/>
      </w:divBdr>
    </w:div>
    <w:div w:id="1239091899">
      <w:bodyDiv w:val="1"/>
      <w:marLeft w:val="0"/>
      <w:marRight w:val="0"/>
      <w:marTop w:val="0"/>
      <w:marBottom w:val="0"/>
      <w:divBdr>
        <w:top w:val="none" w:sz="0" w:space="0" w:color="auto"/>
        <w:left w:val="none" w:sz="0" w:space="0" w:color="auto"/>
        <w:bottom w:val="none" w:sz="0" w:space="0" w:color="auto"/>
        <w:right w:val="none" w:sz="0" w:space="0" w:color="auto"/>
      </w:divBdr>
    </w:div>
    <w:div w:id="1239168410">
      <w:bodyDiv w:val="1"/>
      <w:marLeft w:val="0"/>
      <w:marRight w:val="0"/>
      <w:marTop w:val="0"/>
      <w:marBottom w:val="0"/>
      <w:divBdr>
        <w:top w:val="none" w:sz="0" w:space="0" w:color="auto"/>
        <w:left w:val="none" w:sz="0" w:space="0" w:color="auto"/>
        <w:bottom w:val="none" w:sz="0" w:space="0" w:color="auto"/>
        <w:right w:val="none" w:sz="0" w:space="0" w:color="auto"/>
      </w:divBdr>
    </w:div>
    <w:div w:id="1239291567">
      <w:bodyDiv w:val="1"/>
      <w:marLeft w:val="0"/>
      <w:marRight w:val="0"/>
      <w:marTop w:val="0"/>
      <w:marBottom w:val="0"/>
      <w:divBdr>
        <w:top w:val="none" w:sz="0" w:space="0" w:color="auto"/>
        <w:left w:val="none" w:sz="0" w:space="0" w:color="auto"/>
        <w:bottom w:val="none" w:sz="0" w:space="0" w:color="auto"/>
        <w:right w:val="none" w:sz="0" w:space="0" w:color="auto"/>
      </w:divBdr>
    </w:div>
    <w:div w:id="1239560883">
      <w:bodyDiv w:val="1"/>
      <w:marLeft w:val="0"/>
      <w:marRight w:val="0"/>
      <w:marTop w:val="0"/>
      <w:marBottom w:val="0"/>
      <w:divBdr>
        <w:top w:val="none" w:sz="0" w:space="0" w:color="auto"/>
        <w:left w:val="none" w:sz="0" w:space="0" w:color="auto"/>
        <w:bottom w:val="none" w:sz="0" w:space="0" w:color="auto"/>
        <w:right w:val="none" w:sz="0" w:space="0" w:color="auto"/>
      </w:divBdr>
    </w:div>
    <w:div w:id="1239562214">
      <w:bodyDiv w:val="1"/>
      <w:marLeft w:val="0"/>
      <w:marRight w:val="0"/>
      <w:marTop w:val="0"/>
      <w:marBottom w:val="0"/>
      <w:divBdr>
        <w:top w:val="none" w:sz="0" w:space="0" w:color="auto"/>
        <w:left w:val="none" w:sz="0" w:space="0" w:color="auto"/>
        <w:bottom w:val="none" w:sz="0" w:space="0" w:color="auto"/>
        <w:right w:val="none" w:sz="0" w:space="0" w:color="auto"/>
      </w:divBdr>
    </w:div>
    <w:div w:id="1239748051">
      <w:bodyDiv w:val="1"/>
      <w:marLeft w:val="0"/>
      <w:marRight w:val="0"/>
      <w:marTop w:val="0"/>
      <w:marBottom w:val="0"/>
      <w:divBdr>
        <w:top w:val="none" w:sz="0" w:space="0" w:color="auto"/>
        <w:left w:val="none" w:sz="0" w:space="0" w:color="auto"/>
        <w:bottom w:val="none" w:sz="0" w:space="0" w:color="auto"/>
        <w:right w:val="none" w:sz="0" w:space="0" w:color="auto"/>
      </w:divBdr>
    </w:div>
    <w:div w:id="1239972788">
      <w:bodyDiv w:val="1"/>
      <w:marLeft w:val="0"/>
      <w:marRight w:val="0"/>
      <w:marTop w:val="0"/>
      <w:marBottom w:val="0"/>
      <w:divBdr>
        <w:top w:val="none" w:sz="0" w:space="0" w:color="auto"/>
        <w:left w:val="none" w:sz="0" w:space="0" w:color="auto"/>
        <w:bottom w:val="none" w:sz="0" w:space="0" w:color="auto"/>
        <w:right w:val="none" w:sz="0" w:space="0" w:color="auto"/>
      </w:divBdr>
    </w:div>
    <w:div w:id="1240018962">
      <w:bodyDiv w:val="1"/>
      <w:marLeft w:val="0"/>
      <w:marRight w:val="0"/>
      <w:marTop w:val="0"/>
      <w:marBottom w:val="0"/>
      <w:divBdr>
        <w:top w:val="none" w:sz="0" w:space="0" w:color="auto"/>
        <w:left w:val="none" w:sz="0" w:space="0" w:color="auto"/>
        <w:bottom w:val="none" w:sz="0" w:space="0" w:color="auto"/>
        <w:right w:val="none" w:sz="0" w:space="0" w:color="auto"/>
      </w:divBdr>
    </w:div>
    <w:div w:id="1240215961">
      <w:bodyDiv w:val="1"/>
      <w:marLeft w:val="0"/>
      <w:marRight w:val="0"/>
      <w:marTop w:val="0"/>
      <w:marBottom w:val="0"/>
      <w:divBdr>
        <w:top w:val="none" w:sz="0" w:space="0" w:color="auto"/>
        <w:left w:val="none" w:sz="0" w:space="0" w:color="auto"/>
        <w:bottom w:val="none" w:sz="0" w:space="0" w:color="auto"/>
        <w:right w:val="none" w:sz="0" w:space="0" w:color="auto"/>
      </w:divBdr>
    </w:div>
    <w:div w:id="1240361399">
      <w:bodyDiv w:val="1"/>
      <w:marLeft w:val="0"/>
      <w:marRight w:val="0"/>
      <w:marTop w:val="0"/>
      <w:marBottom w:val="0"/>
      <w:divBdr>
        <w:top w:val="none" w:sz="0" w:space="0" w:color="auto"/>
        <w:left w:val="none" w:sz="0" w:space="0" w:color="auto"/>
        <w:bottom w:val="none" w:sz="0" w:space="0" w:color="auto"/>
        <w:right w:val="none" w:sz="0" w:space="0" w:color="auto"/>
      </w:divBdr>
    </w:div>
    <w:div w:id="1240409616">
      <w:bodyDiv w:val="1"/>
      <w:marLeft w:val="0"/>
      <w:marRight w:val="0"/>
      <w:marTop w:val="0"/>
      <w:marBottom w:val="0"/>
      <w:divBdr>
        <w:top w:val="none" w:sz="0" w:space="0" w:color="auto"/>
        <w:left w:val="none" w:sz="0" w:space="0" w:color="auto"/>
        <w:bottom w:val="none" w:sz="0" w:space="0" w:color="auto"/>
        <w:right w:val="none" w:sz="0" w:space="0" w:color="auto"/>
      </w:divBdr>
    </w:div>
    <w:div w:id="1240598408">
      <w:bodyDiv w:val="1"/>
      <w:marLeft w:val="0"/>
      <w:marRight w:val="0"/>
      <w:marTop w:val="0"/>
      <w:marBottom w:val="0"/>
      <w:divBdr>
        <w:top w:val="none" w:sz="0" w:space="0" w:color="auto"/>
        <w:left w:val="none" w:sz="0" w:space="0" w:color="auto"/>
        <w:bottom w:val="none" w:sz="0" w:space="0" w:color="auto"/>
        <w:right w:val="none" w:sz="0" w:space="0" w:color="auto"/>
      </w:divBdr>
    </w:div>
    <w:div w:id="1240821429">
      <w:bodyDiv w:val="1"/>
      <w:marLeft w:val="0"/>
      <w:marRight w:val="0"/>
      <w:marTop w:val="0"/>
      <w:marBottom w:val="0"/>
      <w:divBdr>
        <w:top w:val="none" w:sz="0" w:space="0" w:color="auto"/>
        <w:left w:val="none" w:sz="0" w:space="0" w:color="auto"/>
        <w:bottom w:val="none" w:sz="0" w:space="0" w:color="auto"/>
        <w:right w:val="none" w:sz="0" w:space="0" w:color="auto"/>
      </w:divBdr>
    </w:div>
    <w:div w:id="1241134634">
      <w:bodyDiv w:val="1"/>
      <w:marLeft w:val="0"/>
      <w:marRight w:val="0"/>
      <w:marTop w:val="0"/>
      <w:marBottom w:val="0"/>
      <w:divBdr>
        <w:top w:val="none" w:sz="0" w:space="0" w:color="auto"/>
        <w:left w:val="none" w:sz="0" w:space="0" w:color="auto"/>
        <w:bottom w:val="none" w:sz="0" w:space="0" w:color="auto"/>
        <w:right w:val="none" w:sz="0" w:space="0" w:color="auto"/>
      </w:divBdr>
    </w:div>
    <w:div w:id="1241526392">
      <w:bodyDiv w:val="1"/>
      <w:marLeft w:val="0"/>
      <w:marRight w:val="0"/>
      <w:marTop w:val="0"/>
      <w:marBottom w:val="0"/>
      <w:divBdr>
        <w:top w:val="none" w:sz="0" w:space="0" w:color="auto"/>
        <w:left w:val="none" w:sz="0" w:space="0" w:color="auto"/>
        <w:bottom w:val="none" w:sz="0" w:space="0" w:color="auto"/>
        <w:right w:val="none" w:sz="0" w:space="0" w:color="auto"/>
      </w:divBdr>
    </w:div>
    <w:div w:id="1241528068">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
    <w:div w:id="1242178218">
      <w:bodyDiv w:val="1"/>
      <w:marLeft w:val="0"/>
      <w:marRight w:val="0"/>
      <w:marTop w:val="0"/>
      <w:marBottom w:val="0"/>
      <w:divBdr>
        <w:top w:val="none" w:sz="0" w:space="0" w:color="auto"/>
        <w:left w:val="none" w:sz="0" w:space="0" w:color="auto"/>
        <w:bottom w:val="none" w:sz="0" w:space="0" w:color="auto"/>
        <w:right w:val="none" w:sz="0" w:space="0" w:color="auto"/>
      </w:divBdr>
    </w:div>
    <w:div w:id="1242249802">
      <w:bodyDiv w:val="1"/>
      <w:marLeft w:val="0"/>
      <w:marRight w:val="0"/>
      <w:marTop w:val="0"/>
      <w:marBottom w:val="0"/>
      <w:divBdr>
        <w:top w:val="none" w:sz="0" w:space="0" w:color="auto"/>
        <w:left w:val="none" w:sz="0" w:space="0" w:color="auto"/>
        <w:bottom w:val="none" w:sz="0" w:space="0" w:color="auto"/>
        <w:right w:val="none" w:sz="0" w:space="0" w:color="auto"/>
      </w:divBdr>
    </w:div>
    <w:div w:id="1242326473">
      <w:bodyDiv w:val="1"/>
      <w:marLeft w:val="0"/>
      <w:marRight w:val="0"/>
      <w:marTop w:val="0"/>
      <w:marBottom w:val="0"/>
      <w:divBdr>
        <w:top w:val="none" w:sz="0" w:space="0" w:color="auto"/>
        <w:left w:val="none" w:sz="0" w:space="0" w:color="auto"/>
        <w:bottom w:val="none" w:sz="0" w:space="0" w:color="auto"/>
        <w:right w:val="none" w:sz="0" w:space="0" w:color="auto"/>
      </w:divBdr>
    </w:div>
    <w:div w:id="1242715483">
      <w:bodyDiv w:val="1"/>
      <w:marLeft w:val="0"/>
      <w:marRight w:val="0"/>
      <w:marTop w:val="0"/>
      <w:marBottom w:val="0"/>
      <w:divBdr>
        <w:top w:val="none" w:sz="0" w:space="0" w:color="auto"/>
        <w:left w:val="none" w:sz="0" w:space="0" w:color="auto"/>
        <w:bottom w:val="none" w:sz="0" w:space="0" w:color="auto"/>
        <w:right w:val="none" w:sz="0" w:space="0" w:color="auto"/>
      </w:divBdr>
    </w:div>
    <w:div w:id="1242718165">
      <w:bodyDiv w:val="1"/>
      <w:marLeft w:val="0"/>
      <w:marRight w:val="0"/>
      <w:marTop w:val="0"/>
      <w:marBottom w:val="0"/>
      <w:divBdr>
        <w:top w:val="none" w:sz="0" w:space="0" w:color="auto"/>
        <w:left w:val="none" w:sz="0" w:space="0" w:color="auto"/>
        <w:bottom w:val="none" w:sz="0" w:space="0" w:color="auto"/>
        <w:right w:val="none" w:sz="0" w:space="0" w:color="auto"/>
      </w:divBdr>
    </w:div>
    <w:div w:id="1242905443">
      <w:bodyDiv w:val="1"/>
      <w:marLeft w:val="0"/>
      <w:marRight w:val="0"/>
      <w:marTop w:val="0"/>
      <w:marBottom w:val="0"/>
      <w:divBdr>
        <w:top w:val="none" w:sz="0" w:space="0" w:color="auto"/>
        <w:left w:val="none" w:sz="0" w:space="0" w:color="auto"/>
        <w:bottom w:val="none" w:sz="0" w:space="0" w:color="auto"/>
        <w:right w:val="none" w:sz="0" w:space="0" w:color="auto"/>
      </w:divBdr>
    </w:div>
    <w:div w:id="1243101089">
      <w:bodyDiv w:val="1"/>
      <w:marLeft w:val="0"/>
      <w:marRight w:val="0"/>
      <w:marTop w:val="0"/>
      <w:marBottom w:val="0"/>
      <w:divBdr>
        <w:top w:val="none" w:sz="0" w:space="0" w:color="auto"/>
        <w:left w:val="none" w:sz="0" w:space="0" w:color="auto"/>
        <w:bottom w:val="none" w:sz="0" w:space="0" w:color="auto"/>
        <w:right w:val="none" w:sz="0" w:space="0" w:color="auto"/>
      </w:divBdr>
    </w:div>
    <w:div w:id="1243756511">
      <w:bodyDiv w:val="1"/>
      <w:marLeft w:val="0"/>
      <w:marRight w:val="0"/>
      <w:marTop w:val="0"/>
      <w:marBottom w:val="0"/>
      <w:divBdr>
        <w:top w:val="none" w:sz="0" w:space="0" w:color="auto"/>
        <w:left w:val="none" w:sz="0" w:space="0" w:color="auto"/>
        <w:bottom w:val="none" w:sz="0" w:space="0" w:color="auto"/>
        <w:right w:val="none" w:sz="0" w:space="0" w:color="auto"/>
      </w:divBdr>
    </w:div>
    <w:div w:id="1243761224">
      <w:bodyDiv w:val="1"/>
      <w:marLeft w:val="0"/>
      <w:marRight w:val="0"/>
      <w:marTop w:val="0"/>
      <w:marBottom w:val="0"/>
      <w:divBdr>
        <w:top w:val="none" w:sz="0" w:space="0" w:color="auto"/>
        <w:left w:val="none" w:sz="0" w:space="0" w:color="auto"/>
        <w:bottom w:val="none" w:sz="0" w:space="0" w:color="auto"/>
        <w:right w:val="none" w:sz="0" w:space="0" w:color="auto"/>
      </w:divBdr>
    </w:div>
    <w:div w:id="1243954420">
      <w:bodyDiv w:val="1"/>
      <w:marLeft w:val="0"/>
      <w:marRight w:val="0"/>
      <w:marTop w:val="0"/>
      <w:marBottom w:val="0"/>
      <w:divBdr>
        <w:top w:val="none" w:sz="0" w:space="0" w:color="auto"/>
        <w:left w:val="none" w:sz="0" w:space="0" w:color="auto"/>
        <w:bottom w:val="none" w:sz="0" w:space="0" w:color="auto"/>
        <w:right w:val="none" w:sz="0" w:space="0" w:color="auto"/>
      </w:divBdr>
    </w:div>
    <w:div w:id="1244024982">
      <w:bodyDiv w:val="1"/>
      <w:marLeft w:val="0"/>
      <w:marRight w:val="0"/>
      <w:marTop w:val="0"/>
      <w:marBottom w:val="0"/>
      <w:divBdr>
        <w:top w:val="none" w:sz="0" w:space="0" w:color="auto"/>
        <w:left w:val="none" w:sz="0" w:space="0" w:color="auto"/>
        <w:bottom w:val="none" w:sz="0" w:space="0" w:color="auto"/>
        <w:right w:val="none" w:sz="0" w:space="0" w:color="auto"/>
      </w:divBdr>
    </w:div>
    <w:div w:id="1244416074">
      <w:bodyDiv w:val="1"/>
      <w:marLeft w:val="0"/>
      <w:marRight w:val="0"/>
      <w:marTop w:val="0"/>
      <w:marBottom w:val="0"/>
      <w:divBdr>
        <w:top w:val="none" w:sz="0" w:space="0" w:color="auto"/>
        <w:left w:val="none" w:sz="0" w:space="0" w:color="auto"/>
        <w:bottom w:val="none" w:sz="0" w:space="0" w:color="auto"/>
        <w:right w:val="none" w:sz="0" w:space="0" w:color="auto"/>
      </w:divBdr>
    </w:div>
    <w:div w:id="1244559802">
      <w:bodyDiv w:val="1"/>
      <w:marLeft w:val="0"/>
      <w:marRight w:val="0"/>
      <w:marTop w:val="0"/>
      <w:marBottom w:val="0"/>
      <w:divBdr>
        <w:top w:val="none" w:sz="0" w:space="0" w:color="auto"/>
        <w:left w:val="none" w:sz="0" w:space="0" w:color="auto"/>
        <w:bottom w:val="none" w:sz="0" w:space="0" w:color="auto"/>
        <w:right w:val="none" w:sz="0" w:space="0" w:color="auto"/>
      </w:divBdr>
    </w:div>
    <w:div w:id="1244684709">
      <w:bodyDiv w:val="1"/>
      <w:marLeft w:val="0"/>
      <w:marRight w:val="0"/>
      <w:marTop w:val="0"/>
      <w:marBottom w:val="0"/>
      <w:divBdr>
        <w:top w:val="none" w:sz="0" w:space="0" w:color="auto"/>
        <w:left w:val="none" w:sz="0" w:space="0" w:color="auto"/>
        <w:bottom w:val="none" w:sz="0" w:space="0" w:color="auto"/>
        <w:right w:val="none" w:sz="0" w:space="0" w:color="auto"/>
      </w:divBdr>
    </w:div>
    <w:div w:id="1244873441">
      <w:bodyDiv w:val="1"/>
      <w:marLeft w:val="0"/>
      <w:marRight w:val="0"/>
      <w:marTop w:val="0"/>
      <w:marBottom w:val="0"/>
      <w:divBdr>
        <w:top w:val="none" w:sz="0" w:space="0" w:color="auto"/>
        <w:left w:val="none" w:sz="0" w:space="0" w:color="auto"/>
        <w:bottom w:val="none" w:sz="0" w:space="0" w:color="auto"/>
        <w:right w:val="none" w:sz="0" w:space="0" w:color="auto"/>
      </w:divBdr>
    </w:div>
    <w:div w:id="1244878946">
      <w:bodyDiv w:val="1"/>
      <w:marLeft w:val="0"/>
      <w:marRight w:val="0"/>
      <w:marTop w:val="0"/>
      <w:marBottom w:val="0"/>
      <w:divBdr>
        <w:top w:val="none" w:sz="0" w:space="0" w:color="auto"/>
        <w:left w:val="none" w:sz="0" w:space="0" w:color="auto"/>
        <w:bottom w:val="none" w:sz="0" w:space="0" w:color="auto"/>
        <w:right w:val="none" w:sz="0" w:space="0" w:color="auto"/>
      </w:divBdr>
    </w:div>
    <w:div w:id="1245146417">
      <w:bodyDiv w:val="1"/>
      <w:marLeft w:val="0"/>
      <w:marRight w:val="0"/>
      <w:marTop w:val="0"/>
      <w:marBottom w:val="0"/>
      <w:divBdr>
        <w:top w:val="none" w:sz="0" w:space="0" w:color="auto"/>
        <w:left w:val="none" w:sz="0" w:space="0" w:color="auto"/>
        <w:bottom w:val="none" w:sz="0" w:space="0" w:color="auto"/>
        <w:right w:val="none" w:sz="0" w:space="0" w:color="auto"/>
      </w:divBdr>
    </w:div>
    <w:div w:id="1245190425">
      <w:bodyDiv w:val="1"/>
      <w:marLeft w:val="0"/>
      <w:marRight w:val="0"/>
      <w:marTop w:val="0"/>
      <w:marBottom w:val="0"/>
      <w:divBdr>
        <w:top w:val="none" w:sz="0" w:space="0" w:color="auto"/>
        <w:left w:val="none" w:sz="0" w:space="0" w:color="auto"/>
        <w:bottom w:val="none" w:sz="0" w:space="0" w:color="auto"/>
        <w:right w:val="none" w:sz="0" w:space="0" w:color="auto"/>
      </w:divBdr>
    </w:div>
    <w:div w:id="1245653581">
      <w:bodyDiv w:val="1"/>
      <w:marLeft w:val="0"/>
      <w:marRight w:val="0"/>
      <w:marTop w:val="0"/>
      <w:marBottom w:val="0"/>
      <w:divBdr>
        <w:top w:val="none" w:sz="0" w:space="0" w:color="auto"/>
        <w:left w:val="none" w:sz="0" w:space="0" w:color="auto"/>
        <w:bottom w:val="none" w:sz="0" w:space="0" w:color="auto"/>
        <w:right w:val="none" w:sz="0" w:space="0" w:color="auto"/>
      </w:divBdr>
    </w:div>
    <w:div w:id="1245872117">
      <w:bodyDiv w:val="1"/>
      <w:marLeft w:val="0"/>
      <w:marRight w:val="0"/>
      <w:marTop w:val="0"/>
      <w:marBottom w:val="0"/>
      <w:divBdr>
        <w:top w:val="none" w:sz="0" w:space="0" w:color="auto"/>
        <w:left w:val="none" w:sz="0" w:space="0" w:color="auto"/>
        <w:bottom w:val="none" w:sz="0" w:space="0" w:color="auto"/>
        <w:right w:val="none" w:sz="0" w:space="0" w:color="auto"/>
      </w:divBdr>
    </w:div>
    <w:div w:id="1245912706">
      <w:bodyDiv w:val="1"/>
      <w:marLeft w:val="0"/>
      <w:marRight w:val="0"/>
      <w:marTop w:val="0"/>
      <w:marBottom w:val="0"/>
      <w:divBdr>
        <w:top w:val="none" w:sz="0" w:space="0" w:color="auto"/>
        <w:left w:val="none" w:sz="0" w:space="0" w:color="auto"/>
        <w:bottom w:val="none" w:sz="0" w:space="0" w:color="auto"/>
        <w:right w:val="none" w:sz="0" w:space="0" w:color="auto"/>
      </w:divBdr>
    </w:div>
    <w:div w:id="1245919543">
      <w:bodyDiv w:val="1"/>
      <w:marLeft w:val="0"/>
      <w:marRight w:val="0"/>
      <w:marTop w:val="0"/>
      <w:marBottom w:val="0"/>
      <w:divBdr>
        <w:top w:val="none" w:sz="0" w:space="0" w:color="auto"/>
        <w:left w:val="none" w:sz="0" w:space="0" w:color="auto"/>
        <w:bottom w:val="none" w:sz="0" w:space="0" w:color="auto"/>
        <w:right w:val="none" w:sz="0" w:space="0" w:color="auto"/>
      </w:divBdr>
    </w:div>
    <w:div w:id="1246064681">
      <w:bodyDiv w:val="1"/>
      <w:marLeft w:val="0"/>
      <w:marRight w:val="0"/>
      <w:marTop w:val="0"/>
      <w:marBottom w:val="0"/>
      <w:divBdr>
        <w:top w:val="none" w:sz="0" w:space="0" w:color="auto"/>
        <w:left w:val="none" w:sz="0" w:space="0" w:color="auto"/>
        <w:bottom w:val="none" w:sz="0" w:space="0" w:color="auto"/>
        <w:right w:val="none" w:sz="0" w:space="0" w:color="auto"/>
      </w:divBdr>
    </w:div>
    <w:div w:id="1246185208">
      <w:bodyDiv w:val="1"/>
      <w:marLeft w:val="0"/>
      <w:marRight w:val="0"/>
      <w:marTop w:val="0"/>
      <w:marBottom w:val="0"/>
      <w:divBdr>
        <w:top w:val="none" w:sz="0" w:space="0" w:color="auto"/>
        <w:left w:val="none" w:sz="0" w:space="0" w:color="auto"/>
        <w:bottom w:val="none" w:sz="0" w:space="0" w:color="auto"/>
        <w:right w:val="none" w:sz="0" w:space="0" w:color="auto"/>
      </w:divBdr>
    </w:div>
    <w:div w:id="1246258232">
      <w:bodyDiv w:val="1"/>
      <w:marLeft w:val="0"/>
      <w:marRight w:val="0"/>
      <w:marTop w:val="0"/>
      <w:marBottom w:val="0"/>
      <w:divBdr>
        <w:top w:val="none" w:sz="0" w:space="0" w:color="auto"/>
        <w:left w:val="none" w:sz="0" w:space="0" w:color="auto"/>
        <w:bottom w:val="none" w:sz="0" w:space="0" w:color="auto"/>
        <w:right w:val="none" w:sz="0" w:space="0" w:color="auto"/>
      </w:divBdr>
    </w:div>
    <w:div w:id="1246259742">
      <w:bodyDiv w:val="1"/>
      <w:marLeft w:val="0"/>
      <w:marRight w:val="0"/>
      <w:marTop w:val="0"/>
      <w:marBottom w:val="0"/>
      <w:divBdr>
        <w:top w:val="none" w:sz="0" w:space="0" w:color="auto"/>
        <w:left w:val="none" w:sz="0" w:space="0" w:color="auto"/>
        <w:bottom w:val="none" w:sz="0" w:space="0" w:color="auto"/>
        <w:right w:val="none" w:sz="0" w:space="0" w:color="auto"/>
      </w:divBdr>
    </w:div>
    <w:div w:id="1246376118">
      <w:bodyDiv w:val="1"/>
      <w:marLeft w:val="0"/>
      <w:marRight w:val="0"/>
      <w:marTop w:val="0"/>
      <w:marBottom w:val="0"/>
      <w:divBdr>
        <w:top w:val="none" w:sz="0" w:space="0" w:color="auto"/>
        <w:left w:val="none" w:sz="0" w:space="0" w:color="auto"/>
        <w:bottom w:val="none" w:sz="0" w:space="0" w:color="auto"/>
        <w:right w:val="none" w:sz="0" w:space="0" w:color="auto"/>
      </w:divBdr>
    </w:div>
    <w:div w:id="1246499728">
      <w:bodyDiv w:val="1"/>
      <w:marLeft w:val="0"/>
      <w:marRight w:val="0"/>
      <w:marTop w:val="0"/>
      <w:marBottom w:val="0"/>
      <w:divBdr>
        <w:top w:val="none" w:sz="0" w:space="0" w:color="auto"/>
        <w:left w:val="none" w:sz="0" w:space="0" w:color="auto"/>
        <w:bottom w:val="none" w:sz="0" w:space="0" w:color="auto"/>
        <w:right w:val="none" w:sz="0" w:space="0" w:color="auto"/>
      </w:divBdr>
    </w:div>
    <w:div w:id="1246644596">
      <w:bodyDiv w:val="1"/>
      <w:marLeft w:val="0"/>
      <w:marRight w:val="0"/>
      <w:marTop w:val="0"/>
      <w:marBottom w:val="0"/>
      <w:divBdr>
        <w:top w:val="none" w:sz="0" w:space="0" w:color="auto"/>
        <w:left w:val="none" w:sz="0" w:space="0" w:color="auto"/>
        <w:bottom w:val="none" w:sz="0" w:space="0" w:color="auto"/>
        <w:right w:val="none" w:sz="0" w:space="0" w:color="auto"/>
      </w:divBdr>
    </w:div>
    <w:div w:id="1246845142">
      <w:bodyDiv w:val="1"/>
      <w:marLeft w:val="0"/>
      <w:marRight w:val="0"/>
      <w:marTop w:val="0"/>
      <w:marBottom w:val="0"/>
      <w:divBdr>
        <w:top w:val="none" w:sz="0" w:space="0" w:color="auto"/>
        <w:left w:val="none" w:sz="0" w:space="0" w:color="auto"/>
        <w:bottom w:val="none" w:sz="0" w:space="0" w:color="auto"/>
        <w:right w:val="none" w:sz="0" w:space="0" w:color="auto"/>
      </w:divBdr>
    </w:div>
    <w:div w:id="1247180846">
      <w:bodyDiv w:val="1"/>
      <w:marLeft w:val="0"/>
      <w:marRight w:val="0"/>
      <w:marTop w:val="0"/>
      <w:marBottom w:val="0"/>
      <w:divBdr>
        <w:top w:val="none" w:sz="0" w:space="0" w:color="auto"/>
        <w:left w:val="none" w:sz="0" w:space="0" w:color="auto"/>
        <w:bottom w:val="none" w:sz="0" w:space="0" w:color="auto"/>
        <w:right w:val="none" w:sz="0" w:space="0" w:color="auto"/>
      </w:divBdr>
    </w:div>
    <w:div w:id="1247495343">
      <w:bodyDiv w:val="1"/>
      <w:marLeft w:val="0"/>
      <w:marRight w:val="0"/>
      <w:marTop w:val="0"/>
      <w:marBottom w:val="0"/>
      <w:divBdr>
        <w:top w:val="none" w:sz="0" w:space="0" w:color="auto"/>
        <w:left w:val="none" w:sz="0" w:space="0" w:color="auto"/>
        <w:bottom w:val="none" w:sz="0" w:space="0" w:color="auto"/>
        <w:right w:val="none" w:sz="0" w:space="0" w:color="auto"/>
      </w:divBdr>
    </w:div>
    <w:div w:id="1247691780">
      <w:bodyDiv w:val="1"/>
      <w:marLeft w:val="0"/>
      <w:marRight w:val="0"/>
      <w:marTop w:val="0"/>
      <w:marBottom w:val="0"/>
      <w:divBdr>
        <w:top w:val="none" w:sz="0" w:space="0" w:color="auto"/>
        <w:left w:val="none" w:sz="0" w:space="0" w:color="auto"/>
        <w:bottom w:val="none" w:sz="0" w:space="0" w:color="auto"/>
        <w:right w:val="none" w:sz="0" w:space="0" w:color="auto"/>
      </w:divBdr>
    </w:div>
    <w:div w:id="1247812409">
      <w:bodyDiv w:val="1"/>
      <w:marLeft w:val="0"/>
      <w:marRight w:val="0"/>
      <w:marTop w:val="0"/>
      <w:marBottom w:val="0"/>
      <w:divBdr>
        <w:top w:val="none" w:sz="0" w:space="0" w:color="auto"/>
        <w:left w:val="none" w:sz="0" w:space="0" w:color="auto"/>
        <w:bottom w:val="none" w:sz="0" w:space="0" w:color="auto"/>
        <w:right w:val="none" w:sz="0" w:space="0" w:color="auto"/>
      </w:divBdr>
    </w:div>
    <w:div w:id="1248029031">
      <w:bodyDiv w:val="1"/>
      <w:marLeft w:val="0"/>
      <w:marRight w:val="0"/>
      <w:marTop w:val="0"/>
      <w:marBottom w:val="0"/>
      <w:divBdr>
        <w:top w:val="none" w:sz="0" w:space="0" w:color="auto"/>
        <w:left w:val="none" w:sz="0" w:space="0" w:color="auto"/>
        <w:bottom w:val="none" w:sz="0" w:space="0" w:color="auto"/>
        <w:right w:val="none" w:sz="0" w:space="0" w:color="auto"/>
      </w:divBdr>
    </w:div>
    <w:div w:id="1248340482">
      <w:bodyDiv w:val="1"/>
      <w:marLeft w:val="0"/>
      <w:marRight w:val="0"/>
      <w:marTop w:val="0"/>
      <w:marBottom w:val="0"/>
      <w:divBdr>
        <w:top w:val="none" w:sz="0" w:space="0" w:color="auto"/>
        <w:left w:val="none" w:sz="0" w:space="0" w:color="auto"/>
        <w:bottom w:val="none" w:sz="0" w:space="0" w:color="auto"/>
        <w:right w:val="none" w:sz="0" w:space="0" w:color="auto"/>
      </w:divBdr>
    </w:div>
    <w:div w:id="1248348006">
      <w:bodyDiv w:val="1"/>
      <w:marLeft w:val="0"/>
      <w:marRight w:val="0"/>
      <w:marTop w:val="0"/>
      <w:marBottom w:val="0"/>
      <w:divBdr>
        <w:top w:val="none" w:sz="0" w:space="0" w:color="auto"/>
        <w:left w:val="none" w:sz="0" w:space="0" w:color="auto"/>
        <w:bottom w:val="none" w:sz="0" w:space="0" w:color="auto"/>
        <w:right w:val="none" w:sz="0" w:space="0" w:color="auto"/>
      </w:divBdr>
    </w:div>
    <w:div w:id="1248416890">
      <w:bodyDiv w:val="1"/>
      <w:marLeft w:val="0"/>
      <w:marRight w:val="0"/>
      <w:marTop w:val="0"/>
      <w:marBottom w:val="0"/>
      <w:divBdr>
        <w:top w:val="none" w:sz="0" w:space="0" w:color="auto"/>
        <w:left w:val="none" w:sz="0" w:space="0" w:color="auto"/>
        <w:bottom w:val="none" w:sz="0" w:space="0" w:color="auto"/>
        <w:right w:val="none" w:sz="0" w:space="0" w:color="auto"/>
      </w:divBdr>
    </w:div>
    <w:div w:id="1249004176">
      <w:bodyDiv w:val="1"/>
      <w:marLeft w:val="0"/>
      <w:marRight w:val="0"/>
      <w:marTop w:val="0"/>
      <w:marBottom w:val="0"/>
      <w:divBdr>
        <w:top w:val="none" w:sz="0" w:space="0" w:color="auto"/>
        <w:left w:val="none" w:sz="0" w:space="0" w:color="auto"/>
        <w:bottom w:val="none" w:sz="0" w:space="0" w:color="auto"/>
        <w:right w:val="none" w:sz="0" w:space="0" w:color="auto"/>
      </w:divBdr>
    </w:div>
    <w:div w:id="1249117723">
      <w:bodyDiv w:val="1"/>
      <w:marLeft w:val="0"/>
      <w:marRight w:val="0"/>
      <w:marTop w:val="0"/>
      <w:marBottom w:val="0"/>
      <w:divBdr>
        <w:top w:val="none" w:sz="0" w:space="0" w:color="auto"/>
        <w:left w:val="none" w:sz="0" w:space="0" w:color="auto"/>
        <w:bottom w:val="none" w:sz="0" w:space="0" w:color="auto"/>
        <w:right w:val="none" w:sz="0" w:space="0" w:color="auto"/>
      </w:divBdr>
    </w:div>
    <w:div w:id="1249271135">
      <w:bodyDiv w:val="1"/>
      <w:marLeft w:val="0"/>
      <w:marRight w:val="0"/>
      <w:marTop w:val="0"/>
      <w:marBottom w:val="0"/>
      <w:divBdr>
        <w:top w:val="none" w:sz="0" w:space="0" w:color="auto"/>
        <w:left w:val="none" w:sz="0" w:space="0" w:color="auto"/>
        <w:bottom w:val="none" w:sz="0" w:space="0" w:color="auto"/>
        <w:right w:val="none" w:sz="0" w:space="0" w:color="auto"/>
      </w:divBdr>
    </w:div>
    <w:div w:id="1249313242">
      <w:bodyDiv w:val="1"/>
      <w:marLeft w:val="0"/>
      <w:marRight w:val="0"/>
      <w:marTop w:val="0"/>
      <w:marBottom w:val="0"/>
      <w:divBdr>
        <w:top w:val="none" w:sz="0" w:space="0" w:color="auto"/>
        <w:left w:val="none" w:sz="0" w:space="0" w:color="auto"/>
        <w:bottom w:val="none" w:sz="0" w:space="0" w:color="auto"/>
        <w:right w:val="none" w:sz="0" w:space="0" w:color="auto"/>
      </w:divBdr>
    </w:div>
    <w:div w:id="1249341752">
      <w:bodyDiv w:val="1"/>
      <w:marLeft w:val="0"/>
      <w:marRight w:val="0"/>
      <w:marTop w:val="0"/>
      <w:marBottom w:val="0"/>
      <w:divBdr>
        <w:top w:val="none" w:sz="0" w:space="0" w:color="auto"/>
        <w:left w:val="none" w:sz="0" w:space="0" w:color="auto"/>
        <w:bottom w:val="none" w:sz="0" w:space="0" w:color="auto"/>
        <w:right w:val="none" w:sz="0" w:space="0" w:color="auto"/>
      </w:divBdr>
    </w:div>
    <w:div w:id="1249578442">
      <w:bodyDiv w:val="1"/>
      <w:marLeft w:val="0"/>
      <w:marRight w:val="0"/>
      <w:marTop w:val="0"/>
      <w:marBottom w:val="0"/>
      <w:divBdr>
        <w:top w:val="none" w:sz="0" w:space="0" w:color="auto"/>
        <w:left w:val="none" w:sz="0" w:space="0" w:color="auto"/>
        <w:bottom w:val="none" w:sz="0" w:space="0" w:color="auto"/>
        <w:right w:val="none" w:sz="0" w:space="0" w:color="auto"/>
      </w:divBdr>
    </w:div>
    <w:div w:id="1249585150">
      <w:bodyDiv w:val="1"/>
      <w:marLeft w:val="0"/>
      <w:marRight w:val="0"/>
      <w:marTop w:val="0"/>
      <w:marBottom w:val="0"/>
      <w:divBdr>
        <w:top w:val="none" w:sz="0" w:space="0" w:color="auto"/>
        <w:left w:val="none" w:sz="0" w:space="0" w:color="auto"/>
        <w:bottom w:val="none" w:sz="0" w:space="0" w:color="auto"/>
        <w:right w:val="none" w:sz="0" w:space="0" w:color="auto"/>
      </w:divBdr>
    </w:div>
    <w:div w:id="1249727523">
      <w:bodyDiv w:val="1"/>
      <w:marLeft w:val="0"/>
      <w:marRight w:val="0"/>
      <w:marTop w:val="0"/>
      <w:marBottom w:val="0"/>
      <w:divBdr>
        <w:top w:val="none" w:sz="0" w:space="0" w:color="auto"/>
        <w:left w:val="none" w:sz="0" w:space="0" w:color="auto"/>
        <w:bottom w:val="none" w:sz="0" w:space="0" w:color="auto"/>
        <w:right w:val="none" w:sz="0" w:space="0" w:color="auto"/>
      </w:divBdr>
    </w:div>
    <w:div w:id="1249845626">
      <w:bodyDiv w:val="1"/>
      <w:marLeft w:val="0"/>
      <w:marRight w:val="0"/>
      <w:marTop w:val="0"/>
      <w:marBottom w:val="0"/>
      <w:divBdr>
        <w:top w:val="none" w:sz="0" w:space="0" w:color="auto"/>
        <w:left w:val="none" w:sz="0" w:space="0" w:color="auto"/>
        <w:bottom w:val="none" w:sz="0" w:space="0" w:color="auto"/>
        <w:right w:val="none" w:sz="0" w:space="0" w:color="auto"/>
      </w:divBdr>
    </w:div>
    <w:div w:id="1249969527">
      <w:bodyDiv w:val="1"/>
      <w:marLeft w:val="0"/>
      <w:marRight w:val="0"/>
      <w:marTop w:val="0"/>
      <w:marBottom w:val="0"/>
      <w:divBdr>
        <w:top w:val="none" w:sz="0" w:space="0" w:color="auto"/>
        <w:left w:val="none" w:sz="0" w:space="0" w:color="auto"/>
        <w:bottom w:val="none" w:sz="0" w:space="0" w:color="auto"/>
        <w:right w:val="none" w:sz="0" w:space="0" w:color="auto"/>
      </w:divBdr>
    </w:div>
    <w:div w:id="1249996019">
      <w:bodyDiv w:val="1"/>
      <w:marLeft w:val="0"/>
      <w:marRight w:val="0"/>
      <w:marTop w:val="0"/>
      <w:marBottom w:val="0"/>
      <w:divBdr>
        <w:top w:val="none" w:sz="0" w:space="0" w:color="auto"/>
        <w:left w:val="none" w:sz="0" w:space="0" w:color="auto"/>
        <w:bottom w:val="none" w:sz="0" w:space="0" w:color="auto"/>
        <w:right w:val="none" w:sz="0" w:space="0" w:color="auto"/>
      </w:divBdr>
    </w:div>
    <w:div w:id="1250237610">
      <w:bodyDiv w:val="1"/>
      <w:marLeft w:val="0"/>
      <w:marRight w:val="0"/>
      <w:marTop w:val="0"/>
      <w:marBottom w:val="0"/>
      <w:divBdr>
        <w:top w:val="none" w:sz="0" w:space="0" w:color="auto"/>
        <w:left w:val="none" w:sz="0" w:space="0" w:color="auto"/>
        <w:bottom w:val="none" w:sz="0" w:space="0" w:color="auto"/>
        <w:right w:val="none" w:sz="0" w:space="0" w:color="auto"/>
      </w:divBdr>
    </w:div>
    <w:div w:id="1250307063">
      <w:bodyDiv w:val="1"/>
      <w:marLeft w:val="0"/>
      <w:marRight w:val="0"/>
      <w:marTop w:val="0"/>
      <w:marBottom w:val="0"/>
      <w:divBdr>
        <w:top w:val="none" w:sz="0" w:space="0" w:color="auto"/>
        <w:left w:val="none" w:sz="0" w:space="0" w:color="auto"/>
        <w:bottom w:val="none" w:sz="0" w:space="0" w:color="auto"/>
        <w:right w:val="none" w:sz="0" w:space="0" w:color="auto"/>
      </w:divBdr>
    </w:div>
    <w:div w:id="1250432446">
      <w:bodyDiv w:val="1"/>
      <w:marLeft w:val="0"/>
      <w:marRight w:val="0"/>
      <w:marTop w:val="0"/>
      <w:marBottom w:val="0"/>
      <w:divBdr>
        <w:top w:val="none" w:sz="0" w:space="0" w:color="auto"/>
        <w:left w:val="none" w:sz="0" w:space="0" w:color="auto"/>
        <w:bottom w:val="none" w:sz="0" w:space="0" w:color="auto"/>
        <w:right w:val="none" w:sz="0" w:space="0" w:color="auto"/>
      </w:divBdr>
    </w:div>
    <w:div w:id="1250505769">
      <w:bodyDiv w:val="1"/>
      <w:marLeft w:val="0"/>
      <w:marRight w:val="0"/>
      <w:marTop w:val="0"/>
      <w:marBottom w:val="0"/>
      <w:divBdr>
        <w:top w:val="none" w:sz="0" w:space="0" w:color="auto"/>
        <w:left w:val="none" w:sz="0" w:space="0" w:color="auto"/>
        <w:bottom w:val="none" w:sz="0" w:space="0" w:color="auto"/>
        <w:right w:val="none" w:sz="0" w:space="0" w:color="auto"/>
      </w:divBdr>
    </w:div>
    <w:div w:id="1250770161">
      <w:bodyDiv w:val="1"/>
      <w:marLeft w:val="0"/>
      <w:marRight w:val="0"/>
      <w:marTop w:val="0"/>
      <w:marBottom w:val="0"/>
      <w:divBdr>
        <w:top w:val="none" w:sz="0" w:space="0" w:color="auto"/>
        <w:left w:val="none" w:sz="0" w:space="0" w:color="auto"/>
        <w:bottom w:val="none" w:sz="0" w:space="0" w:color="auto"/>
        <w:right w:val="none" w:sz="0" w:space="0" w:color="auto"/>
      </w:divBdr>
    </w:div>
    <w:div w:id="1250771967">
      <w:bodyDiv w:val="1"/>
      <w:marLeft w:val="0"/>
      <w:marRight w:val="0"/>
      <w:marTop w:val="0"/>
      <w:marBottom w:val="0"/>
      <w:divBdr>
        <w:top w:val="none" w:sz="0" w:space="0" w:color="auto"/>
        <w:left w:val="none" w:sz="0" w:space="0" w:color="auto"/>
        <w:bottom w:val="none" w:sz="0" w:space="0" w:color="auto"/>
        <w:right w:val="none" w:sz="0" w:space="0" w:color="auto"/>
      </w:divBdr>
    </w:div>
    <w:div w:id="1251306541">
      <w:bodyDiv w:val="1"/>
      <w:marLeft w:val="0"/>
      <w:marRight w:val="0"/>
      <w:marTop w:val="0"/>
      <w:marBottom w:val="0"/>
      <w:divBdr>
        <w:top w:val="none" w:sz="0" w:space="0" w:color="auto"/>
        <w:left w:val="none" w:sz="0" w:space="0" w:color="auto"/>
        <w:bottom w:val="none" w:sz="0" w:space="0" w:color="auto"/>
        <w:right w:val="none" w:sz="0" w:space="0" w:color="auto"/>
      </w:divBdr>
    </w:div>
    <w:div w:id="1251350646">
      <w:bodyDiv w:val="1"/>
      <w:marLeft w:val="0"/>
      <w:marRight w:val="0"/>
      <w:marTop w:val="0"/>
      <w:marBottom w:val="0"/>
      <w:divBdr>
        <w:top w:val="none" w:sz="0" w:space="0" w:color="auto"/>
        <w:left w:val="none" w:sz="0" w:space="0" w:color="auto"/>
        <w:bottom w:val="none" w:sz="0" w:space="0" w:color="auto"/>
        <w:right w:val="none" w:sz="0" w:space="0" w:color="auto"/>
      </w:divBdr>
    </w:div>
    <w:div w:id="1251427159">
      <w:bodyDiv w:val="1"/>
      <w:marLeft w:val="0"/>
      <w:marRight w:val="0"/>
      <w:marTop w:val="0"/>
      <w:marBottom w:val="0"/>
      <w:divBdr>
        <w:top w:val="none" w:sz="0" w:space="0" w:color="auto"/>
        <w:left w:val="none" w:sz="0" w:space="0" w:color="auto"/>
        <w:bottom w:val="none" w:sz="0" w:space="0" w:color="auto"/>
        <w:right w:val="none" w:sz="0" w:space="0" w:color="auto"/>
      </w:divBdr>
    </w:div>
    <w:div w:id="1251694656">
      <w:bodyDiv w:val="1"/>
      <w:marLeft w:val="0"/>
      <w:marRight w:val="0"/>
      <w:marTop w:val="0"/>
      <w:marBottom w:val="0"/>
      <w:divBdr>
        <w:top w:val="none" w:sz="0" w:space="0" w:color="auto"/>
        <w:left w:val="none" w:sz="0" w:space="0" w:color="auto"/>
        <w:bottom w:val="none" w:sz="0" w:space="0" w:color="auto"/>
        <w:right w:val="none" w:sz="0" w:space="0" w:color="auto"/>
      </w:divBdr>
    </w:div>
    <w:div w:id="1251698001">
      <w:bodyDiv w:val="1"/>
      <w:marLeft w:val="0"/>
      <w:marRight w:val="0"/>
      <w:marTop w:val="0"/>
      <w:marBottom w:val="0"/>
      <w:divBdr>
        <w:top w:val="none" w:sz="0" w:space="0" w:color="auto"/>
        <w:left w:val="none" w:sz="0" w:space="0" w:color="auto"/>
        <w:bottom w:val="none" w:sz="0" w:space="0" w:color="auto"/>
        <w:right w:val="none" w:sz="0" w:space="0" w:color="auto"/>
      </w:divBdr>
    </w:div>
    <w:div w:id="1251965564">
      <w:bodyDiv w:val="1"/>
      <w:marLeft w:val="0"/>
      <w:marRight w:val="0"/>
      <w:marTop w:val="0"/>
      <w:marBottom w:val="0"/>
      <w:divBdr>
        <w:top w:val="none" w:sz="0" w:space="0" w:color="auto"/>
        <w:left w:val="none" w:sz="0" w:space="0" w:color="auto"/>
        <w:bottom w:val="none" w:sz="0" w:space="0" w:color="auto"/>
        <w:right w:val="none" w:sz="0" w:space="0" w:color="auto"/>
      </w:divBdr>
    </w:div>
    <w:div w:id="1252154545">
      <w:bodyDiv w:val="1"/>
      <w:marLeft w:val="0"/>
      <w:marRight w:val="0"/>
      <w:marTop w:val="0"/>
      <w:marBottom w:val="0"/>
      <w:divBdr>
        <w:top w:val="none" w:sz="0" w:space="0" w:color="auto"/>
        <w:left w:val="none" w:sz="0" w:space="0" w:color="auto"/>
        <w:bottom w:val="none" w:sz="0" w:space="0" w:color="auto"/>
        <w:right w:val="none" w:sz="0" w:space="0" w:color="auto"/>
      </w:divBdr>
    </w:div>
    <w:div w:id="1252349245">
      <w:bodyDiv w:val="1"/>
      <w:marLeft w:val="0"/>
      <w:marRight w:val="0"/>
      <w:marTop w:val="0"/>
      <w:marBottom w:val="0"/>
      <w:divBdr>
        <w:top w:val="none" w:sz="0" w:space="0" w:color="auto"/>
        <w:left w:val="none" w:sz="0" w:space="0" w:color="auto"/>
        <w:bottom w:val="none" w:sz="0" w:space="0" w:color="auto"/>
        <w:right w:val="none" w:sz="0" w:space="0" w:color="auto"/>
      </w:divBdr>
    </w:div>
    <w:div w:id="1253049522">
      <w:bodyDiv w:val="1"/>
      <w:marLeft w:val="0"/>
      <w:marRight w:val="0"/>
      <w:marTop w:val="0"/>
      <w:marBottom w:val="0"/>
      <w:divBdr>
        <w:top w:val="none" w:sz="0" w:space="0" w:color="auto"/>
        <w:left w:val="none" w:sz="0" w:space="0" w:color="auto"/>
        <w:bottom w:val="none" w:sz="0" w:space="0" w:color="auto"/>
        <w:right w:val="none" w:sz="0" w:space="0" w:color="auto"/>
      </w:divBdr>
    </w:div>
    <w:div w:id="1253054320">
      <w:bodyDiv w:val="1"/>
      <w:marLeft w:val="0"/>
      <w:marRight w:val="0"/>
      <w:marTop w:val="0"/>
      <w:marBottom w:val="0"/>
      <w:divBdr>
        <w:top w:val="none" w:sz="0" w:space="0" w:color="auto"/>
        <w:left w:val="none" w:sz="0" w:space="0" w:color="auto"/>
        <w:bottom w:val="none" w:sz="0" w:space="0" w:color="auto"/>
        <w:right w:val="none" w:sz="0" w:space="0" w:color="auto"/>
      </w:divBdr>
    </w:div>
    <w:div w:id="1253471440">
      <w:bodyDiv w:val="1"/>
      <w:marLeft w:val="0"/>
      <w:marRight w:val="0"/>
      <w:marTop w:val="0"/>
      <w:marBottom w:val="0"/>
      <w:divBdr>
        <w:top w:val="none" w:sz="0" w:space="0" w:color="auto"/>
        <w:left w:val="none" w:sz="0" w:space="0" w:color="auto"/>
        <w:bottom w:val="none" w:sz="0" w:space="0" w:color="auto"/>
        <w:right w:val="none" w:sz="0" w:space="0" w:color="auto"/>
      </w:divBdr>
    </w:div>
    <w:div w:id="1253508190">
      <w:bodyDiv w:val="1"/>
      <w:marLeft w:val="0"/>
      <w:marRight w:val="0"/>
      <w:marTop w:val="0"/>
      <w:marBottom w:val="0"/>
      <w:divBdr>
        <w:top w:val="none" w:sz="0" w:space="0" w:color="auto"/>
        <w:left w:val="none" w:sz="0" w:space="0" w:color="auto"/>
        <w:bottom w:val="none" w:sz="0" w:space="0" w:color="auto"/>
        <w:right w:val="none" w:sz="0" w:space="0" w:color="auto"/>
      </w:divBdr>
    </w:div>
    <w:div w:id="1253704681">
      <w:bodyDiv w:val="1"/>
      <w:marLeft w:val="0"/>
      <w:marRight w:val="0"/>
      <w:marTop w:val="0"/>
      <w:marBottom w:val="0"/>
      <w:divBdr>
        <w:top w:val="none" w:sz="0" w:space="0" w:color="auto"/>
        <w:left w:val="none" w:sz="0" w:space="0" w:color="auto"/>
        <w:bottom w:val="none" w:sz="0" w:space="0" w:color="auto"/>
        <w:right w:val="none" w:sz="0" w:space="0" w:color="auto"/>
      </w:divBdr>
    </w:div>
    <w:div w:id="1253710067">
      <w:bodyDiv w:val="1"/>
      <w:marLeft w:val="0"/>
      <w:marRight w:val="0"/>
      <w:marTop w:val="0"/>
      <w:marBottom w:val="0"/>
      <w:divBdr>
        <w:top w:val="none" w:sz="0" w:space="0" w:color="auto"/>
        <w:left w:val="none" w:sz="0" w:space="0" w:color="auto"/>
        <w:bottom w:val="none" w:sz="0" w:space="0" w:color="auto"/>
        <w:right w:val="none" w:sz="0" w:space="0" w:color="auto"/>
      </w:divBdr>
    </w:div>
    <w:div w:id="1254164085">
      <w:bodyDiv w:val="1"/>
      <w:marLeft w:val="0"/>
      <w:marRight w:val="0"/>
      <w:marTop w:val="0"/>
      <w:marBottom w:val="0"/>
      <w:divBdr>
        <w:top w:val="none" w:sz="0" w:space="0" w:color="auto"/>
        <w:left w:val="none" w:sz="0" w:space="0" w:color="auto"/>
        <w:bottom w:val="none" w:sz="0" w:space="0" w:color="auto"/>
        <w:right w:val="none" w:sz="0" w:space="0" w:color="auto"/>
      </w:divBdr>
    </w:div>
    <w:div w:id="1254388575">
      <w:bodyDiv w:val="1"/>
      <w:marLeft w:val="0"/>
      <w:marRight w:val="0"/>
      <w:marTop w:val="0"/>
      <w:marBottom w:val="0"/>
      <w:divBdr>
        <w:top w:val="none" w:sz="0" w:space="0" w:color="auto"/>
        <w:left w:val="none" w:sz="0" w:space="0" w:color="auto"/>
        <w:bottom w:val="none" w:sz="0" w:space="0" w:color="auto"/>
        <w:right w:val="none" w:sz="0" w:space="0" w:color="auto"/>
      </w:divBdr>
    </w:div>
    <w:div w:id="1254440456">
      <w:bodyDiv w:val="1"/>
      <w:marLeft w:val="0"/>
      <w:marRight w:val="0"/>
      <w:marTop w:val="0"/>
      <w:marBottom w:val="0"/>
      <w:divBdr>
        <w:top w:val="none" w:sz="0" w:space="0" w:color="auto"/>
        <w:left w:val="none" w:sz="0" w:space="0" w:color="auto"/>
        <w:bottom w:val="none" w:sz="0" w:space="0" w:color="auto"/>
        <w:right w:val="none" w:sz="0" w:space="0" w:color="auto"/>
      </w:divBdr>
    </w:div>
    <w:div w:id="1254440748">
      <w:bodyDiv w:val="1"/>
      <w:marLeft w:val="0"/>
      <w:marRight w:val="0"/>
      <w:marTop w:val="0"/>
      <w:marBottom w:val="0"/>
      <w:divBdr>
        <w:top w:val="none" w:sz="0" w:space="0" w:color="auto"/>
        <w:left w:val="none" w:sz="0" w:space="0" w:color="auto"/>
        <w:bottom w:val="none" w:sz="0" w:space="0" w:color="auto"/>
        <w:right w:val="none" w:sz="0" w:space="0" w:color="auto"/>
      </w:divBdr>
    </w:div>
    <w:div w:id="1254783242">
      <w:bodyDiv w:val="1"/>
      <w:marLeft w:val="0"/>
      <w:marRight w:val="0"/>
      <w:marTop w:val="0"/>
      <w:marBottom w:val="0"/>
      <w:divBdr>
        <w:top w:val="none" w:sz="0" w:space="0" w:color="auto"/>
        <w:left w:val="none" w:sz="0" w:space="0" w:color="auto"/>
        <w:bottom w:val="none" w:sz="0" w:space="0" w:color="auto"/>
        <w:right w:val="none" w:sz="0" w:space="0" w:color="auto"/>
      </w:divBdr>
    </w:div>
    <w:div w:id="1254971353">
      <w:bodyDiv w:val="1"/>
      <w:marLeft w:val="0"/>
      <w:marRight w:val="0"/>
      <w:marTop w:val="0"/>
      <w:marBottom w:val="0"/>
      <w:divBdr>
        <w:top w:val="none" w:sz="0" w:space="0" w:color="auto"/>
        <w:left w:val="none" w:sz="0" w:space="0" w:color="auto"/>
        <w:bottom w:val="none" w:sz="0" w:space="0" w:color="auto"/>
        <w:right w:val="none" w:sz="0" w:space="0" w:color="auto"/>
      </w:divBdr>
    </w:div>
    <w:div w:id="1255433440">
      <w:bodyDiv w:val="1"/>
      <w:marLeft w:val="0"/>
      <w:marRight w:val="0"/>
      <w:marTop w:val="0"/>
      <w:marBottom w:val="0"/>
      <w:divBdr>
        <w:top w:val="none" w:sz="0" w:space="0" w:color="auto"/>
        <w:left w:val="none" w:sz="0" w:space="0" w:color="auto"/>
        <w:bottom w:val="none" w:sz="0" w:space="0" w:color="auto"/>
        <w:right w:val="none" w:sz="0" w:space="0" w:color="auto"/>
      </w:divBdr>
    </w:div>
    <w:div w:id="1255702132">
      <w:bodyDiv w:val="1"/>
      <w:marLeft w:val="0"/>
      <w:marRight w:val="0"/>
      <w:marTop w:val="0"/>
      <w:marBottom w:val="0"/>
      <w:divBdr>
        <w:top w:val="none" w:sz="0" w:space="0" w:color="auto"/>
        <w:left w:val="none" w:sz="0" w:space="0" w:color="auto"/>
        <w:bottom w:val="none" w:sz="0" w:space="0" w:color="auto"/>
        <w:right w:val="none" w:sz="0" w:space="0" w:color="auto"/>
      </w:divBdr>
    </w:div>
    <w:div w:id="1256087879">
      <w:bodyDiv w:val="1"/>
      <w:marLeft w:val="0"/>
      <w:marRight w:val="0"/>
      <w:marTop w:val="0"/>
      <w:marBottom w:val="0"/>
      <w:divBdr>
        <w:top w:val="none" w:sz="0" w:space="0" w:color="auto"/>
        <w:left w:val="none" w:sz="0" w:space="0" w:color="auto"/>
        <w:bottom w:val="none" w:sz="0" w:space="0" w:color="auto"/>
        <w:right w:val="none" w:sz="0" w:space="0" w:color="auto"/>
      </w:divBdr>
    </w:div>
    <w:div w:id="1256325372">
      <w:bodyDiv w:val="1"/>
      <w:marLeft w:val="0"/>
      <w:marRight w:val="0"/>
      <w:marTop w:val="0"/>
      <w:marBottom w:val="0"/>
      <w:divBdr>
        <w:top w:val="none" w:sz="0" w:space="0" w:color="auto"/>
        <w:left w:val="none" w:sz="0" w:space="0" w:color="auto"/>
        <w:bottom w:val="none" w:sz="0" w:space="0" w:color="auto"/>
        <w:right w:val="none" w:sz="0" w:space="0" w:color="auto"/>
      </w:divBdr>
    </w:div>
    <w:div w:id="1256330860">
      <w:bodyDiv w:val="1"/>
      <w:marLeft w:val="0"/>
      <w:marRight w:val="0"/>
      <w:marTop w:val="0"/>
      <w:marBottom w:val="0"/>
      <w:divBdr>
        <w:top w:val="none" w:sz="0" w:space="0" w:color="auto"/>
        <w:left w:val="none" w:sz="0" w:space="0" w:color="auto"/>
        <w:bottom w:val="none" w:sz="0" w:space="0" w:color="auto"/>
        <w:right w:val="none" w:sz="0" w:space="0" w:color="auto"/>
      </w:divBdr>
    </w:div>
    <w:div w:id="1256599492">
      <w:bodyDiv w:val="1"/>
      <w:marLeft w:val="0"/>
      <w:marRight w:val="0"/>
      <w:marTop w:val="0"/>
      <w:marBottom w:val="0"/>
      <w:divBdr>
        <w:top w:val="none" w:sz="0" w:space="0" w:color="auto"/>
        <w:left w:val="none" w:sz="0" w:space="0" w:color="auto"/>
        <w:bottom w:val="none" w:sz="0" w:space="0" w:color="auto"/>
        <w:right w:val="none" w:sz="0" w:space="0" w:color="auto"/>
      </w:divBdr>
    </w:div>
    <w:div w:id="1256671656">
      <w:bodyDiv w:val="1"/>
      <w:marLeft w:val="0"/>
      <w:marRight w:val="0"/>
      <w:marTop w:val="0"/>
      <w:marBottom w:val="0"/>
      <w:divBdr>
        <w:top w:val="none" w:sz="0" w:space="0" w:color="auto"/>
        <w:left w:val="none" w:sz="0" w:space="0" w:color="auto"/>
        <w:bottom w:val="none" w:sz="0" w:space="0" w:color="auto"/>
        <w:right w:val="none" w:sz="0" w:space="0" w:color="auto"/>
      </w:divBdr>
    </w:div>
    <w:div w:id="1256673642">
      <w:bodyDiv w:val="1"/>
      <w:marLeft w:val="0"/>
      <w:marRight w:val="0"/>
      <w:marTop w:val="0"/>
      <w:marBottom w:val="0"/>
      <w:divBdr>
        <w:top w:val="none" w:sz="0" w:space="0" w:color="auto"/>
        <w:left w:val="none" w:sz="0" w:space="0" w:color="auto"/>
        <w:bottom w:val="none" w:sz="0" w:space="0" w:color="auto"/>
        <w:right w:val="none" w:sz="0" w:space="0" w:color="auto"/>
      </w:divBdr>
    </w:div>
    <w:div w:id="1256741323">
      <w:bodyDiv w:val="1"/>
      <w:marLeft w:val="0"/>
      <w:marRight w:val="0"/>
      <w:marTop w:val="0"/>
      <w:marBottom w:val="0"/>
      <w:divBdr>
        <w:top w:val="none" w:sz="0" w:space="0" w:color="auto"/>
        <w:left w:val="none" w:sz="0" w:space="0" w:color="auto"/>
        <w:bottom w:val="none" w:sz="0" w:space="0" w:color="auto"/>
        <w:right w:val="none" w:sz="0" w:space="0" w:color="auto"/>
      </w:divBdr>
    </w:div>
    <w:div w:id="1256743224">
      <w:bodyDiv w:val="1"/>
      <w:marLeft w:val="0"/>
      <w:marRight w:val="0"/>
      <w:marTop w:val="0"/>
      <w:marBottom w:val="0"/>
      <w:divBdr>
        <w:top w:val="none" w:sz="0" w:space="0" w:color="auto"/>
        <w:left w:val="none" w:sz="0" w:space="0" w:color="auto"/>
        <w:bottom w:val="none" w:sz="0" w:space="0" w:color="auto"/>
        <w:right w:val="none" w:sz="0" w:space="0" w:color="auto"/>
      </w:divBdr>
    </w:div>
    <w:div w:id="1256792487">
      <w:bodyDiv w:val="1"/>
      <w:marLeft w:val="0"/>
      <w:marRight w:val="0"/>
      <w:marTop w:val="0"/>
      <w:marBottom w:val="0"/>
      <w:divBdr>
        <w:top w:val="none" w:sz="0" w:space="0" w:color="auto"/>
        <w:left w:val="none" w:sz="0" w:space="0" w:color="auto"/>
        <w:bottom w:val="none" w:sz="0" w:space="0" w:color="auto"/>
        <w:right w:val="none" w:sz="0" w:space="0" w:color="auto"/>
      </w:divBdr>
    </w:div>
    <w:div w:id="1256861996">
      <w:bodyDiv w:val="1"/>
      <w:marLeft w:val="0"/>
      <w:marRight w:val="0"/>
      <w:marTop w:val="0"/>
      <w:marBottom w:val="0"/>
      <w:divBdr>
        <w:top w:val="none" w:sz="0" w:space="0" w:color="auto"/>
        <w:left w:val="none" w:sz="0" w:space="0" w:color="auto"/>
        <w:bottom w:val="none" w:sz="0" w:space="0" w:color="auto"/>
        <w:right w:val="none" w:sz="0" w:space="0" w:color="auto"/>
      </w:divBdr>
    </w:div>
    <w:div w:id="1256940672">
      <w:bodyDiv w:val="1"/>
      <w:marLeft w:val="0"/>
      <w:marRight w:val="0"/>
      <w:marTop w:val="0"/>
      <w:marBottom w:val="0"/>
      <w:divBdr>
        <w:top w:val="none" w:sz="0" w:space="0" w:color="auto"/>
        <w:left w:val="none" w:sz="0" w:space="0" w:color="auto"/>
        <w:bottom w:val="none" w:sz="0" w:space="0" w:color="auto"/>
        <w:right w:val="none" w:sz="0" w:space="0" w:color="auto"/>
      </w:divBdr>
    </w:div>
    <w:div w:id="1257208143">
      <w:bodyDiv w:val="1"/>
      <w:marLeft w:val="0"/>
      <w:marRight w:val="0"/>
      <w:marTop w:val="0"/>
      <w:marBottom w:val="0"/>
      <w:divBdr>
        <w:top w:val="none" w:sz="0" w:space="0" w:color="auto"/>
        <w:left w:val="none" w:sz="0" w:space="0" w:color="auto"/>
        <w:bottom w:val="none" w:sz="0" w:space="0" w:color="auto"/>
        <w:right w:val="none" w:sz="0" w:space="0" w:color="auto"/>
      </w:divBdr>
    </w:div>
    <w:div w:id="1257254208">
      <w:bodyDiv w:val="1"/>
      <w:marLeft w:val="0"/>
      <w:marRight w:val="0"/>
      <w:marTop w:val="0"/>
      <w:marBottom w:val="0"/>
      <w:divBdr>
        <w:top w:val="none" w:sz="0" w:space="0" w:color="auto"/>
        <w:left w:val="none" w:sz="0" w:space="0" w:color="auto"/>
        <w:bottom w:val="none" w:sz="0" w:space="0" w:color="auto"/>
        <w:right w:val="none" w:sz="0" w:space="0" w:color="auto"/>
      </w:divBdr>
    </w:div>
    <w:div w:id="1257404577">
      <w:bodyDiv w:val="1"/>
      <w:marLeft w:val="0"/>
      <w:marRight w:val="0"/>
      <w:marTop w:val="0"/>
      <w:marBottom w:val="0"/>
      <w:divBdr>
        <w:top w:val="none" w:sz="0" w:space="0" w:color="auto"/>
        <w:left w:val="none" w:sz="0" w:space="0" w:color="auto"/>
        <w:bottom w:val="none" w:sz="0" w:space="0" w:color="auto"/>
        <w:right w:val="none" w:sz="0" w:space="0" w:color="auto"/>
      </w:divBdr>
    </w:div>
    <w:div w:id="1257439551">
      <w:bodyDiv w:val="1"/>
      <w:marLeft w:val="0"/>
      <w:marRight w:val="0"/>
      <w:marTop w:val="0"/>
      <w:marBottom w:val="0"/>
      <w:divBdr>
        <w:top w:val="none" w:sz="0" w:space="0" w:color="auto"/>
        <w:left w:val="none" w:sz="0" w:space="0" w:color="auto"/>
        <w:bottom w:val="none" w:sz="0" w:space="0" w:color="auto"/>
        <w:right w:val="none" w:sz="0" w:space="0" w:color="auto"/>
      </w:divBdr>
    </w:div>
    <w:div w:id="1257442653">
      <w:bodyDiv w:val="1"/>
      <w:marLeft w:val="0"/>
      <w:marRight w:val="0"/>
      <w:marTop w:val="0"/>
      <w:marBottom w:val="0"/>
      <w:divBdr>
        <w:top w:val="none" w:sz="0" w:space="0" w:color="auto"/>
        <w:left w:val="none" w:sz="0" w:space="0" w:color="auto"/>
        <w:bottom w:val="none" w:sz="0" w:space="0" w:color="auto"/>
        <w:right w:val="none" w:sz="0" w:space="0" w:color="auto"/>
      </w:divBdr>
    </w:div>
    <w:div w:id="1257445123">
      <w:bodyDiv w:val="1"/>
      <w:marLeft w:val="0"/>
      <w:marRight w:val="0"/>
      <w:marTop w:val="0"/>
      <w:marBottom w:val="0"/>
      <w:divBdr>
        <w:top w:val="none" w:sz="0" w:space="0" w:color="auto"/>
        <w:left w:val="none" w:sz="0" w:space="0" w:color="auto"/>
        <w:bottom w:val="none" w:sz="0" w:space="0" w:color="auto"/>
        <w:right w:val="none" w:sz="0" w:space="0" w:color="auto"/>
      </w:divBdr>
    </w:div>
    <w:div w:id="1257638430">
      <w:bodyDiv w:val="1"/>
      <w:marLeft w:val="0"/>
      <w:marRight w:val="0"/>
      <w:marTop w:val="0"/>
      <w:marBottom w:val="0"/>
      <w:divBdr>
        <w:top w:val="none" w:sz="0" w:space="0" w:color="auto"/>
        <w:left w:val="none" w:sz="0" w:space="0" w:color="auto"/>
        <w:bottom w:val="none" w:sz="0" w:space="0" w:color="auto"/>
        <w:right w:val="none" w:sz="0" w:space="0" w:color="auto"/>
      </w:divBdr>
    </w:div>
    <w:div w:id="1257976908">
      <w:bodyDiv w:val="1"/>
      <w:marLeft w:val="0"/>
      <w:marRight w:val="0"/>
      <w:marTop w:val="0"/>
      <w:marBottom w:val="0"/>
      <w:divBdr>
        <w:top w:val="none" w:sz="0" w:space="0" w:color="auto"/>
        <w:left w:val="none" w:sz="0" w:space="0" w:color="auto"/>
        <w:bottom w:val="none" w:sz="0" w:space="0" w:color="auto"/>
        <w:right w:val="none" w:sz="0" w:space="0" w:color="auto"/>
      </w:divBdr>
    </w:div>
    <w:div w:id="1258094773">
      <w:bodyDiv w:val="1"/>
      <w:marLeft w:val="0"/>
      <w:marRight w:val="0"/>
      <w:marTop w:val="0"/>
      <w:marBottom w:val="0"/>
      <w:divBdr>
        <w:top w:val="none" w:sz="0" w:space="0" w:color="auto"/>
        <w:left w:val="none" w:sz="0" w:space="0" w:color="auto"/>
        <w:bottom w:val="none" w:sz="0" w:space="0" w:color="auto"/>
        <w:right w:val="none" w:sz="0" w:space="0" w:color="auto"/>
      </w:divBdr>
    </w:div>
    <w:div w:id="1258251557">
      <w:bodyDiv w:val="1"/>
      <w:marLeft w:val="0"/>
      <w:marRight w:val="0"/>
      <w:marTop w:val="0"/>
      <w:marBottom w:val="0"/>
      <w:divBdr>
        <w:top w:val="none" w:sz="0" w:space="0" w:color="auto"/>
        <w:left w:val="none" w:sz="0" w:space="0" w:color="auto"/>
        <w:bottom w:val="none" w:sz="0" w:space="0" w:color="auto"/>
        <w:right w:val="none" w:sz="0" w:space="0" w:color="auto"/>
      </w:divBdr>
    </w:div>
    <w:div w:id="1258489480">
      <w:bodyDiv w:val="1"/>
      <w:marLeft w:val="0"/>
      <w:marRight w:val="0"/>
      <w:marTop w:val="0"/>
      <w:marBottom w:val="0"/>
      <w:divBdr>
        <w:top w:val="none" w:sz="0" w:space="0" w:color="auto"/>
        <w:left w:val="none" w:sz="0" w:space="0" w:color="auto"/>
        <w:bottom w:val="none" w:sz="0" w:space="0" w:color="auto"/>
        <w:right w:val="none" w:sz="0" w:space="0" w:color="auto"/>
      </w:divBdr>
    </w:div>
    <w:div w:id="1258490271">
      <w:bodyDiv w:val="1"/>
      <w:marLeft w:val="0"/>
      <w:marRight w:val="0"/>
      <w:marTop w:val="0"/>
      <w:marBottom w:val="0"/>
      <w:divBdr>
        <w:top w:val="none" w:sz="0" w:space="0" w:color="auto"/>
        <w:left w:val="none" w:sz="0" w:space="0" w:color="auto"/>
        <w:bottom w:val="none" w:sz="0" w:space="0" w:color="auto"/>
        <w:right w:val="none" w:sz="0" w:space="0" w:color="auto"/>
      </w:divBdr>
    </w:div>
    <w:div w:id="1259605948">
      <w:bodyDiv w:val="1"/>
      <w:marLeft w:val="0"/>
      <w:marRight w:val="0"/>
      <w:marTop w:val="0"/>
      <w:marBottom w:val="0"/>
      <w:divBdr>
        <w:top w:val="none" w:sz="0" w:space="0" w:color="auto"/>
        <w:left w:val="none" w:sz="0" w:space="0" w:color="auto"/>
        <w:bottom w:val="none" w:sz="0" w:space="0" w:color="auto"/>
        <w:right w:val="none" w:sz="0" w:space="0" w:color="auto"/>
      </w:divBdr>
    </w:div>
    <w:div w:id="1260019247">
      <w:bodyDiv w:val="1"/>
      <w:marLeft w:val="0"/>
      <w:marRight w:val="0"/>
      <w:marTop w:val="0"/>
      <w:marBottom w:val="0"/>
      <w:divBdr>
        <w:top w:val="none" w:sz="0" w:space="0" w:color="auto"/>
        <w:left w:val="none" w:sz="0" w:space="0" w:color="auto"/>
        <w:bottom w:val="none" w:sz="0" w:space="0" w:color="auto"/>
        <w:right w:val="none" w:sz="0" w:space="0" w:color="auto"/>
      </w:divBdr>
    </w:div>
    <w:div w:id="1260210828">
      <w:bodyDiv w:val="1"/>
      <w:marLeft w:val="0"/>
      <w:marRight w:val="0"/>
      <w:marTop w:val="0"/>
      <w:marBottom w:val="0"/>
      <w:divBdr>
        <w:top w:val="none" w:sz="0" w:space="0" w:color="auto"/>
        <w:left w:val="none" w:sz="0" w:space="0" w:color="auto"/>
        <w:bottom w:val="none" w:sz="0" w:space="0" w:color="auto"/>
        <w:right w:val="none" w:sz="0" w:space="0" w:color="auto"/>
      </w:divBdr>
    </w:div>
    <w:div w:id="1260287706">
      <w:bodyDiv w:val="1"/>
      <w:marLeft w:val="0"/>
      <w:marRight w:val="0"/>
      <w:marTop w:val="0"/>
      <w:marBottom w:val="0"/>
      <w:divBdr>
        <w:top w:val="none" w:sz="0" w:space="0" w:color="auto"/>
        <w:left w:val="none" w:sz="0" w:space="0" w:color="auto"/>
        <w:bottom w:val="none" w:sz="0" w:space="0" w:color="auto"/>
        <w:right w:val="none" w:sz="0" w:space="0" w:color="auto"/>
      </w:divBdr>
    </w:div>
    <w:div w:id="1260404738">
      <w:bodyDiv w:val="1"/>
      <w:marLeft w:val="0"/>
      <w:marRight w:val="0"/>
      <w:marTop w:val="0"/>
      <w:marBottom w:val="0"/>
      <w:divBdr>
        <w:top w:val="none" w:sz="0" w:space="0" w:color="auto"/>
        <w:left w:val="none" w:sz="0" w:space="0" w:color="auto"/>
        <w:bottom w:val="none" w:sz="0" w:space="0" w:color="auto"/>
        <w:right w:val="none" w:sz="0" w:space="0" w:color="auto"/>
      </w:divBdr>
    </w:div>
    <w:div w:id="1260405720">
      <w:bodyDiv w:val="1"/>
      <w:marLeft w:val="0"/>
      <w:marRight w:val="0"/>
      <w:marTop w:val="0"/>
      <w:marBottom w:val="0"/>
      <w:divBdr>
        <w:top w:val="none" w:sz="0" w:space="0" w:color="auto"/>
        <w:left w:val="none" w:sz="0" w:space="0" w:color="auto"/>
        <w:bottom w:val="none" w:sz="0" w:space="0" w:color="auto"/>
        <w:right w:val="none" w:sz="0" w:space="0" w:color="auto"/>
      </w:divBdr>
    </w:div>
    <w:div w:id="1260872913">
      <w:bodyDiv w:val="1"/>
      <w:marLeft w:val="0"/>
      <w:marRight w:val="0"/>
      <w:marTop w:val="0"/>
      <w:marBottom w:val="0"/>
      <w:divBdr>
        <w:top w:val="none" w:sz="0" w:space="0" w:color="auto"/>
        <w:left w:val="none" w:sz="0" w:space="0" w:color="auto"/>
        <w:bottom w:val="none" w:sz="0" w:space="0" w:color="auto"/>
        <w:right w:val="none" w:sz="0" w:space="0" w:color="auto"/>
      </w:divBdr>
    </w:div>
    <w:div w:id="1260987659">
      <w:bodyDiv w:val="1"/>
      <w:marLeft w:val="0"/>
      <w:marRight w:val="0"/>
      <w:marTop w:val="0"/>
      <w:marBottom w:val="0"/>
      <w:divBdr>
        <w:top w:val="none" w:sz="0" w:space="0" w:color="auto"/>
        <w:left w:val="none" w:sz="0" w:space="0" w:color="auto"/>
        <w:bottom w:val="none" w:sz="0" w:space="0" w:color="auto"/>
        <w:right w:val="none" w:sz="0" w:space="0" w:color="auto"/>
      </w:divBdr>
    </w:div>
    <w:div w:id="1260991430">
      <w:bodyDiv w:val="1"/>
      <w:marLeft w:val="0"/>
      <w:marRight w:val="0"/>
      <w:marTop w:val="0"/>
      <w:marBottom w:val="0"/>
      <w:divBdr>
        <w:top w:val="none" w:sz="0" w:space="0" w:color="auto"/>
        <w:left w:val="none" w:sz="0" w:space="0" w:color="auto"/>
        <w:bottom w:val="none" w:sz="0" w:space="0" w:color="auto"/>
        <w:right w:val="none" w:sz="0" w:space="0" w:color="auto"/>
      </w:divBdr>
    </w:div>
    <w:div w:id="1261064325">
      <w:bodyDiv w:val="1"/>
      <w:marLeft w:val="0"/>
      <w:marRight w:val="0"/>
      <w:marTop w:val="0"/>
      <w:marBottom w:val="0"/>
      <w:divBdr>
        <w:top w:val="none" w:sz="0" w:space="0" w:color="auto"/>
        <w:left w:val="none" w:sz="0" w:space="0" w:color="auto"/>
        <w:bottom w:val="none" w:sz="0" w:space="0" w:color="auto"/>
        <w:right w:val="none" w:sz="0" w:space="0" w:color="auto"/>
      </w:divBdr>
    </w:div>
    <w:div w:id="1261137378">
      <w:bodyDiv w:val="1"/>
      <w:marLeft w:val="0"/>
      <w:marRight w:val="0"/>
      <w:marTop w:val="0"/>
      <w:marBottom w:val="0"/>
      <w:divBdr>
        <w:top w:val="none" w:sz="0" w:space="0" w:color="auto"/>
        <w:left w:val="none" w:sz="0" w:space="0" w:color="auto"/>
        <w:bottom w:val="none" w:sz="0" w:space="0" w:color="auto"/>
        <w:right w:val="none" w:sz="0" w:space="0" w:color="auto"/>
      </w:divBdr>
    </w:div>
    <w:div w:id="1261525577">
      <w:bodyDiv w:val="1"/>
      <w:marLeft w:val="0"/>
      <w:marRight w:val="0"/>
      <w:marTop w:val="0"/>
      <w:marBottom w:val="0"/>
      <w:divBdr>
        <w:top w:val="none" w:sz="0" w:space="0" w:color="auto"/>
        <w:left w:val="none" w:sz="0" w:space="0" w:color="auto"/>
        <w:bottom w:val="none" w:sz="0" w:space="0" w:color="auto"/>
        <w:right w:val="none" w:sz="0" w:space="0" w:color="auto"/>
      </w:divBdr>
    </w:div>
    <w:div w:id="1261528656">
      <w:bodyDiv w:val="1"/>
      <w:marLeft w:val="0"/>
      <w:marRight w:val="0"/>
      <w:marTop w:val="0"/>
      <w:marBottom w:val="0"/>
      <w:divBdr>
        <w:top w:val="none" w:sz="0" w:space="0" w:color="auto"/>
        <w:left w:val="none" w:sz="0" w:space="0" w:color="auto"/>
        <w:bottom w:val="none" w:sz="0" w:space="0" w:color="auto"/>
        <w:right w:val="none" w:sz="0" w:space="0" w:color="auto"/>
      </w:divBdr>
    </w:div>
    <w:div w:id="1261832649">
      <w:bodyDiv w:val="1"/>
      <w:marLeft w:val="0"/>
      <w:marRight w:val="0"/>
      <w:marTop w:val="0"/>
      <w:marBottom w:val="0"/>
      <w:divBdr>
        <w:top w:val="none" w:sz="0" w:space="0" w:color="auto"/>
        <w:left w:val="none" w:sz="0" w:space="0" w:color="auto"/>
        <w:bottom w:val="none" w:sz="0" w:space="0" w:color="auto"/>
        <w:right w:val="none" w:sz="0" w:space="0" w:color="auto"/>
      </w:divBdr>
    </w:div>
    <w:div w:id="1261836295">
      <w:bodyDiv w:val="1"/>
      <w:marLeft w:val="0"/>
      <w:marRight w:val="0"/>
      <w:marTop w:val="0"/>
      <w:marBottom w:val="0"/>
      <w:divBdr>
        <w:top w:val="none" w:sz="0" w:space="0" w:color="auto"/>
        <w:left w:val="none" w:sz="0" w:space="0" w:color="auto"/>
        <w:bottom w:val="none" w:sz="0" w:space="0" w:color="auto"/>
        <w:right w:val="none" w:sz="0" w:space="0" w:color="auto"/>
      </w:divBdr>
    </w:div>
    <w:div w:id="1262058661">
      <w:bodyDiv w:val="1"/>
      <w:marLeft w:val="0"/>
      <w:marRight w:val="0"/>
      <w:marTop w:val="0"/>
      <w:marBottom w:val="0"/>
      <w:divBdr>
        <w:top w:val="none" w:sz="0" w:space="0" w:color="auto"/>
        <w:left w:val="none" w:sz="0" w:space="0" w:color="auto"/>
        <w:bottom w:val="none" w:sz="0" w:space="0" w:color="auto"/>
        <w:right w:val="none" w:sz="0" w:space="0" w:color="auto"/>
      </w:divBdr>
    </w:div>
    <w:div w:id="1262376528">
      <w:bodyDiv w:val="1"/>
      <w:marLeft w:val="0"/>
      <w:marRight w:val="0"/>
      <w:marTop w:val="0"/>
      <w:marBottom w:val="0"/>
      <w:divBdr>
        <w:top w:val="none" w:sz="0" w:space="0" w:color="auto"/>
        <w:left w:val="none" w:sz="0" w:space="0" w:color="auto"/>
        <w:bottom w:val="none" w:sz="0" w:space="0" w:color="auto"/>
        <w:right w:val="none" w:sz="0" w:space="0" w:color="auto"/>
      </w:divBdr>
    </w:div>
    <w:div w:id="1262488499">
      <w:bodyDiv w:val="1"/>
      <w:marLeft w:val="0"/>
      <w:marRight w:val="0"/>
      <w:marTop w:val="0"/>
      <w:marBottom w:val="0"/>
      <w:divBdr>
        <w:top w:val="none" w:sz="0" w:space="0" w:color="auto"/>
        <w:left w:val="none" w:sz="0" w:space="0" w:color="auto"/>
        <w:bottom w:val="none" w:sz="0" w:space="0" w:color="auto"/>
        <w:right w:val="none" w:sz="0" w:space="0" w:color="auto"/>
      </w:divBdr>
    </w:div>
    <w:div w:id="1262763361">
      <w:bodyDiv w:val="1"/>
      <w:marLeft w:val="0"/>
      <w:marRight w:val="0"/>
      <w:marTop w:val="0"/>
      <w:marBottom w:val="0"/>
      <w:divBdr>
        <w:top w:val="none" w:sz="0" w:space="0" w:color="auto"/>
        <w:left w:val="none" w:sz="0" w:space="0" w:color="auto"/>
        <w:bottom w:val="none" w:sz="0" w:space="0" w:color="auto"/>
        <w:right w:val="none" w:sz="0" w:space="0" w:color="auto"/>
      </w:divBdr>
    </w:div>
    <w:div w:id="1263225917">
      <w:bodyDiv w:val="1"/>
      <w:marLeft w:val="0"/>
      <w:marRight w:val="0"/>
      <w:marTop w:val="0"/>
      <w:marBottom w:val="0"/>
      <w:divBdr>
        <w:top w:val="none" w:sz="0" w:space="0" w:color="auto"/>
        <w:left w:val="none" w:sz="0" w:space="0" w:color="auto"/>
        <w:bottom w:val="none" w:sz="0" w:space="0" w:color="auto"/>
        <w:right w:val="none" w:sz="0" w:space="0" w:color="auto"/>
      </w:divBdr>
    </w:div>
    <w:div w:id="1263418307">
      <w:bodyDiv w:val="1"/>
      <w:marLeft w:val="0"/>
      <w:marRight w:val="0"/>
      <w:marTop w:val="0"/>
      <w:marBottom w:val="0"/>
      <w:divBdr>
        <w:top w:val="none" w:sz="0" w:space="0" w:color="auto"/>
        <w:left w:val="none" w:sz="0" w:space="0" w:color="auto"/>
        <w:bottom w:val="none" w:sz="0" w:space="0" w:color="auto"/>
        <w:right w:val="none" w:sz="0" w:space="0" w:color="auto"/>
      </w:divBdr>
    </w:div>
    <w:div w:id="1263488252">
      <w:bodyDiv w:val="1"/>
      <w:marLeft w:val="0"/>
      <w:marRight w:val="0"/>
      <w:marTop w:val="0"/>
      <w:marBottom w:val="0"/>
      <w:divBdr>
        <w:top w:val="none" w:sz="0" w:space="0" w:color="auto"/>
        <w:left w:val="none" w:sz="0" w:space="0" w:color="auto"/>
        <w:bottom w:val="none" w:sz="0" w:space="0" w:color="auto"/>
        <w:right w:val="none" w:sz="0" w:space="0" w:color="auto"/>
      </w:divBdr>
    </w:div>
    <w:div w:id="1263491019">
      <w:bodyDiv w:val="1"/>
      <w:marLeft w:val="0"/>
      <w:marRight w:val="0"/>
      <w:marTop w:val="0"/>
      <w:marBottom w:val="0"/>
      <w:divBdr>
        <w:top w:val="none" w:sz="0" w:space="0" w:color="auto"/>
        <w:left w:val="none" w:sz="0" w:space="0" w:color="auto"/>
        <w:bottom w:val="none" w:sz="0" w:space="0" w:color="auto"/>
        <w:right w:val="none" w:sz="0" w:space="0" w:color="auto"/>
      </w:divBdr>
    </w:div>
    <w:div w:id="1263495434">
      <w:bodyDiv w:val="1"/>
      <w:marLeft w:val="0"/>
      <w:marRight w:val="0"/>
      <w:marTop w:val="0"/>
      <w:marBottom w:val="0"/>
      <w:divBdr>
        <w:top w:val="none" w:sz="0" w:space="0" w:color="auto"/>
        <w:left w:val="none" w:sz="0" w:space="0" w:color="auto"/>
        <w:bottom w:val="none" w:sz="0" w:space="0" w:color="auto"/>
        <w:right w:val="none" w:sz="0" w:space="0" w:color="auto"/>
      </w:divBdr>
    </w:div>
    <w:div w:id="1263606614">
      <w:bodyDiv w:val="1"/>
      <w:marLeft w:val="0"/>
      <w:marRight w:val="0"/>
      <w:marTop w:val="0"/>
      <w:marBottom w:val="0"/>
      <w:divBdr>
        <w:top w:val="none" w:sz="0" w:space="0" w:color="auto"/>
        <w:left w:val="none" w:sz="0" w:space="0" w:color="auto"/>
        <w:bottom w:val="none" w:sz="0" w:space="0" w:color="auto"/>
        <w:right w:val="none" w:sz="0" w:space="0" w:color="auto"/>
      </w:divBdr>
    </w:div>
    <w:div w:id="1263730973">
      <w:bodyDiv w:val="1"/>
      <w:marLeft w:val="0"/>
      <w:marRight w:val="0"/>
      <w:marTop w:val="0"/>
      <w:marBottom w:val="0"/>
      <w:divBdr>
        <w:top w:val="none" w:sz="0" w:space="0" w:color="auto"/>
        <w:left w:val="none" w:sz="0" w:space="0" w:color="auto"/>
        <w:bottom w:val="none" w:sz="0" w:space="0" w:color="auto"/>
        <w:right w:val="none" w:sz="0" w:space="0" w:color="auto"/>
      </w:divBdr>
    </w:div>
    <w:div w:id="1263874235">
      <w:bodyDiv w:val="1"/>
      <w:marLeft w:val="0"/>
      <w:marRight w:val="0"/>
      <w:marTop w:val="0"/>
      <w:marBottom w:val="0"/>
      <w:divBdr>
        <w:top w:val="none" w:sz="0" w:space="0" w:color="auto"/>
        <w:left w:val="none" w:sz="0" w:space="0" w:color="auto"/>
        <w:bottom w:val="none" w:sz="0" w:space="0" w:color="auto"/>
        <w:right w:val="none" w:sz="0" w:space="0" w:color="auto"/>
      </w:divBdr>
    </w:div>
    <w:div w:id="1264025554">
      <w:bodyDiv w:val="1"/>
      <w:marLeft w:val="0"/>
      <w:marRight w:val="0"/>
      <w:marTop w:val="0"/>
      <w:marBottom w:val="0"/>
      <w:divBdr>
        <w:top w:val="none" w:sz="0" w:space="0" w:color="auto"/>
        <w:left w:val="none" w:sz="0" w:space="0" w:color="auto"/>
        <w:bottom w:val="none" w:sz="0" w:space="0" w:color="auto"/>
        <w:right w:val="none" w:sz="0" w:space="0" w:color="auto"/>
      </w:divBdr>
    </w:div>
    <w:div w:id="1264190896">
      <w:bodyDiv w:val="1"/>
      <w:marLeft w:val="0"/>
      <w:marRight w:val="0"/>
      <w:marTop w:val="0"/>
      <w:marBottom w:val="0"/>
      <w:divBdr>
        <w:top w:val="none" w:sz="0" w:space="0" w:color="auto"/>
        <w:left w:val="none" w:sz="0" w:space="0" w:color="auto"/>
        <w:bottom w:val="none" w:sz="0" w:space="0" w:color="auto"/>
        <w:right w:val="none" w:sz="0" w:space="0" w:color="auto"/>
      </w:divBdr>
    </w:div>
    <w:div w:id="1264262873">
      <w:bodyDiv w:val="1"/>
      <w:marLeft w:val="0"/>
      <w:marRight w:val="0"/>
      <w:marTop w:val="0"/>
      <w:marBottom w:val="0"/>
      <w:divBdr>
        <w:top w:val="none" w:sz="0" w:space="0" w:color="auto"/>
        <w:left w:val="none" w:sz="0" w:space="0" w:color="auto"/>
        <w:bottom w:val="none" w:sz="0" w:space="0" w:color="auto"/>
        <w:right w:val="none" w:sz="0" w:space="0" w:color="auto"/>
      </w:divBdr>
    </w:div>
    <w:div w:id="1264454246">
      <w:bodyDiv w:val="1"/>
      <w:marLeft w:val="0"/>
      <w:marRight w:val="0"/>
      <w:marTop w:val="0"/>
      <w:marBottom w:val="0"/>
      <w:divBdr>
        <w:top w:val="none" w:sz="0" w:space="0" w:color="auto"/>
        <w:left w:val="none" w:sz="0" w:space="0" w:color="auto"/>
        <w:bottom w:val="none" w:sz="0" w:space="0" w:color="auto"/>
        <w:right w:val="none" w:sz="0" w:space="0" w:color="auto"/>
      </w:divBdr>
    </w:div>
    <w:div w:id="1264454316">
      <w:bodyDiv w:val="1"/>
      <w:marLeft w:val="0"/>
      <w:marRight w:val="0"/>
      <w:marTop w:val="0"/>
      <w:marBottom w:val="0"/>
      <w:divBdr>
        <w:top w:val="none" w:sz="0" w:space="0" w:color="auto"/>
        <w:left w:val="none" w:sz="0" w:space="0" w:color="auto"/>
        <w:bottom w:val="none" w:sz="0" w:space="0" w:color="auto"/>
        <w:right w:val="none" w:sz="0" w:space="0" w:color="auto"/>
      </w:divBdr>
    </w:div>
    <w:div w:id="1264456091">
      <w:bodyDiv w:val="1"/>
      <w:marLeft w:val="0"/>
      <w:marRight w:val="0"/>
      <w:marTop w:val="0"/>
      <w:marBottom w:val="0"/>
      <w:divBdr>
        <w:top w:val="none" w:sz="0" w:space="0" w:color="auto"/>
        <w:left w:val="none" w:sz="0" w:space="0" w:color="auto"/>
        <w:bottom w:val="none" w:sz="0" w:space="0" w:color="auto"/>
        <w:right w:val="none" w:sz="0" w:space="0" w:color="auto"/>
      </w:divBdr>
    </w:div>
    <w:div w:id="1264534115">
      <w:bodyDiv w:val="1"/>
      <w:marLeft w:val="0"/>
      <w:marRight w:val="0"/>
      <w:marTop w:val="0"/>
      <w:marBottom w:val="0"/>
      <w:divBdr>
        <w:top w:val="none" w:sz="0" w:space="0" w:color="auto"/>
        <w:left w:val="none" w:sz="0" w:space="0" w:color="auto"/>
        <w:bottom w:val="none" w:sz="0" w:space="0" w:color="auto"/>
        <w:right w:val="none" w:sz="0" w:space="0" w:color="auto"/>
      </w:divBdr>
    </w:div>
    <w:div w:id="1264728415">
      <w:bodyDiv w:val="1"/>
      <w:marLeft w:val="0"/>
      <w:marRight w:val="0"/>
      <w:marTop w:val="0"/>
      <w:marBottom w:val="0"/>
      <w:divBdr>
        <w:top w:val="none" w:sz="0" w:space="0" w:color="auto"/>
        <w:left w:val="none" w:sz="0" w:space="0" w:color="auto"/>
        <w:bottom w:val="none" w:sz="0" w:space="0" w:color="auto"/>
        <w:right w:val="none" w:sz="0" w:space="0" w:color="auto"/>
      </w:divBdr>
    </w:div>
    <w:div w:id="1264848858">
      <w:bodyDiv w:val="1"/>
      <w:marLeft w:val="0"/>
      <w:marRight w:val="0"/>
      <w:marTop w:val="0"/>
      <w:marBottom w:val="0"/>
      <w:divBdr>
        <w:top w:val="none" w:sz="0" w:space="0" w:color="auto"/>
        <w:left w:val="none" w:sz="0" w:space="0" w:color="auto"/>
        <w:bottom w:val="none" w:sz="0" w:space="0" w:color="auto"/>
        <w:right w:val="none" w:sz="0" w:space="0" w:color="auto"/>
      </w:divBdr>
    </w:div>
    <w:div w:id="1264849559">
      <w:bodyDiv w:val="1"/>
      <w:marLeft w:val="0"/>
      <w:marRight w:val="0"/>
      <w:marTop w:val="0"/>
      <w:marBottom w:val="0"/>
      <w:divBdr>
        <w:top w:val="none" w:sz="0" w:space="0" w:color="auto"/>
        <w:left w:val="none" w:sz="0" w:space="0" w:color="auto"/>
        <w:bottom w:val="none" w:sz="0" w:space="0" w:color="auto"/>
        <w:right w:val="none" w:sz="0" w:space="0" w:color="auto"/>
      </w:divBdr>
    </w:div>
    <w:div w:id="1264874459">
      <w:bodyDiv w:val="1"/>
      <w:marLeft w:val="0"/>
      <w:marRight w:val="0"/>
      <w:marTop w:val="0"/>
      <w:marBottom w:val="0"/>
      <w:divBdr>
        <w:top w:val="none" w:sz="0" w:space="0" w:color="auto"/>
        <w:left w:val="none" w:sz="0" w:space="0" w:color="auto"/>
        <w:bottom w:val="none" w:sz="0" w:space="0" w:color="auto"/>
        <w:right w:val="none" w:sz="0" w:space="0" w:color="auto"/>
      </w:divBdr>
    </w:div>
    <w:div w:id="1265260344">
      <w:bodyDiv w:val="1"/>
      <w:marLeft w:val="0"/>
      <w:marRight w:val="0"/>
      <w:marTop w:val="0"/>
      <w:marBottom w:val="0"/>
      <w:divBdr>
        <w:top w:val="none" w:sz="0" w:space="0" w:color="auto"/>
        <w:left w:val="none" w:sz="0" w:space="0" w:color="auto"/>
        <w:bottom w:val="none" w:sz="0" w:space="0" w:color="auto"/>
        <w:right w:val="none" w:sz="0" w:space="0" w:color="auto"/>
      </w:divBdr>
    </w:div>
    <w:div w:id="1265265301">
      <w:bodyDiv w:val="1"/>
      <w:marLeft w:val="0"/>
      <w:marRight w:val="0"/>
      <w:marTop w:val="0"/>
      <w:marBottom w:val="0"/>
      <w:divBdr>
        <w:top w:val="none" w:sz="0" w:space="0" w:color="auto"/>
        <w:left w:val="none" w:sz="0" w:space="0" w:color="auto"/>
        <w:bottom w:val="none" w:sz="0" w:space="0" w:color="auto"/>
        <w:right w:val="none" w:sz="0" w:space="0" w:color="auto"/>
      </w:divBdr>
    </w:div>
    <w:div w:id="1265502768">
      <w:bodyDiv w:val="1"/>
      <w:marLeft w:val="0"/>
      <w:marRight w:val="0"/>
      <w:marTop w:val="0"/>
      <w:marBottom w:val="0"/>
      <w:divBdr>
        <w:top w:val="none" w:sz="0" w:space="0" w:color="auto"/>
        <w:left w:val="none" w:sz="0" w:space="0" w:color="auto"/>
        <w:bottom w:val="none" w:sz="0" w:space="0" w:color="auto"/>
        <w:right w:val="none" w:sz="0" w:space="0" w:color="auto"/>
      </w:divBdr>
    </w:div>
    <w:div w:id="1265650393">
      <w:bodyDiv w:val="1"/>
      <w:marLeft w:val="0"/>
      <w:marRight w:val="0"/>
      <w:marTop w:val="0"/>
      <w:marBottom w:val="0"/>
      <w:divBdr>
        <w:top w:val="none" w:sz="0" w:space="0" w:color="auto"/>
        <w:left w:val="none" w:sz="0" w:space="0" w:color="auto"/>
        <w:bottom w:val="none" w:sz="0" w:space="0" w:color="auto"/>
        <w:right w:val="none" w:sz="0" w:space="0" w:color="auto"/>
      </w:divBdr>
    </w:div>
    <w:div w:id="1265846573">
      <w:bodyDiv w:val="1"/>
      <w:marLeft w:val="0"/>
      <w:marRight w:val="0"/>
      <w:marTop w:val="0"/>
      <w:marBottom w:val="0"/>
      <w:divBdr>
        <w:top w:val="none" w:sz="0" w:space="0" w:color="auto"/>
        <w:left w:val="none" w:sz="0" w:space="0" w:color="auto"/>
        <w:bottom w:val="none" w:sz="0" w:space="0" w:color="auto"/>
        <w:right w:val="none" w:sz="0" w:space="0" w:color="auto"/>
      </w:divBdr>
    </w:div>
    <w:div w:id="1265918378">
      <w:bodyDiv w:val="1"/>
      <w:marLeft w:val="0"/>
      <w:marRight w:val="0"/>
      <w:marTop w:val="0"/>
      <w:marBottom w:val="0"/>
      <w:divBdr>
        <w:top w:val="none" w:sz="0" w:space="0" w:color="auto"/>
        <w:left w:val="none" w:sz="0" w:space="0" w:color="auto"/>
        <w:bottom w:val="none" w:sz="0" w:space="0" w:color="auto"/>
        <w:right w:val="none" w:sz="0" w:space="0" w:color="auto"/>
      </w:divBdr>
    </w:div>
    <w:div w:id="1266032584">
      <w:bodyDiv w:val="1"/>
      <w:marLeft w:val="0"/>
      <w:marRight w:val="0"/>
      <w:marTop w:val="0"/>
      <w:marBottom w:val="0"/>
      <w:divBdr>
        <w:top w:val="none" w:sz="0" w:space="0" w:color="auto"/>
        <w:left w:val="none" w:sz="0" w:space="0" w:color="auto"/>
        <w:bottom w:val="none" w:sz="0" w:space="0" w:color="auto"/>
        <w:right w:val="none" w:sz="0" w:space="0" w:color="auto"/>
      </w:divBdr>
    </w:div>
    <w:div w:id="1266184009">
      <w:bodyDiv w:val="1"/>
      <w:marLeft w:val="0"/>
      <w:marRight w:val="0"/>
      <w:marTop w:val="0"/>
      <w:marBottom w:val="0"/>
      <w:divBdr>
        <w:top w:val="none" w:sz="0" w:space="0" w:color="auto"/>
        <w:left w:val="none" w:sz="0" w:space="0" w:color="auto"/>
        <w:bottom w:val="none" w:sz="0" w:space="0" w:color="auto"/>
        <w:right w:val="none" w:sz="0" w:space="0" w:color="auto"/>
      </w:divBdr>
    </w:div>
    <w:div w:id="1266377742">
      <w:bodyDiv w:val="1"/>
      <w:marLeft w:val="0"/>
      <w:marRight w:val="0"/>
      <w:marTop w:val="0"/>
      <w:marBottom w:val="0"/>
      <w:divBdr>
        <w:top w:val="none" w:sz="0" w:space="0" w:color="auto"/>
        <w:left w:val="none" w:sz="0" w:space="0" w:color="auto"/>
        <w:bottom w:val="none" w:sz="0" w:space="0" w:color="auto"/>
        <w:right w:val="none" w:sz="0" w:space="0" w:color="auto"/>
      </w:divBdr>
    </w:div>
    <w:div w:id="1266379584">
      <w:bodyDiv w:val="1"/>
      <w:marLeft w:val="0"/>
      <w:marRight w:val="0"/>
      <w:marTop w:val="0"/>
      <w:marBottom w:val="0"/>
      <w:divBdr>
        <w:top w:val="none" w:sz="0" w:space="0" w:color="auto"/>
        <w:left w:val="none" w:sz="0" w:space="0" w:color="auto"/>
        <w:bottom w:val="none" w:sz="0" w:space="0" w:color="auto"/>
        <w:right w:val="none" w:sz="0" w:space="0" w:color="auto"/>
      </w:divBdr>
    </w:div>
    <w:div w:id="1266427210">
      <w:bodyDiv w:val="1"/>
      <w:marLeft w:val="0"/>
      <w:marRight w:val="0"/>
      <w:marTop w:val="0"/>
      <w:marBottom w:val="0"/>
      <w:divBdr>
        <w:top w:val="none" w:sz="0" w:space="0" w:color="auto"/>
        <w:left w:val="none" w:sz="0" w:space="0" w:color="auto"/>
        <w:bottom w:val="none" w:sz="0" w:space="0" w:color="auto"/>
        <w:right w:val="none" w:sz="0" w:space="0" w:color="auto"/>
      </w:divBdr>
    </w:div>
    <w:div w:id="1266577152">
      <w:bodyDiv w:val="1"/>
      <w:marLeft w:val="0"/>
      <w:marRight w:val="0"/>
      <w:marTop w:val="0"/>
      <w:marBottom w:val="0"/>
      <w:divBdr>
        <w:top w:val="none" w:sz="0" w:space="0" w:color="auto"/>
        <w:left w:val="none" w:sz="0" w:space="0" w:color="auto"/>
        <w:bottom w:val="none" w:sz="0" w:space="0" w:color="auto"/>
        <w:right w:val="none" w:sz="0" w:space="0" w:color="auto"/>
      </w:divBdr>
    </w:div>
    <w:div w:id="1266693037">
      <w:bodyDiv w:val="1"/>
      <w:marLeft w:val="0"/>
      <w:marRight w:val="0"/>
      <w:marTop w:val="0"/>
      <w:marBottom w:val="0"/>
      <w:divBdr>
        <w:top w:val="none" w:sz="0" w:space="0" w:color="auto"/>
        <w:left w:val="none" w:sz="0" w:space="0" w:color="auto"/>
        <w:bottom w:val="none" w:sz="0" w:space="0" w:color="auto"/>
        <w:right w:val="none" w:sz="0" w:space="0" w:color="auto"/>
      </w:divBdr>
    </w:div>
    <w:div w:id="1266696303">
      <w:bodyDiv w:val="1"/>
      <w:marLeft w:val="0"/>
      <w:marRight w:val="0"/>
      <w:marTop w:val="0"/>
      <w:marBottom w:val="0"/>
      <w:divBdr>
        <w:top w:val="none" w:sz="0" w:space="0" w:color="auto"/>
        <w:left w:val="none" w:sz="0" w:space="0" w:color="auto"/>
        <w:bottom w:val="none" w:sz="0" w:space="0" w:color="auto"/>
        <w:right w:val="none" w:sz="0" w:space="0" w:color="auto"/>
      </w:divBdr>
    </w:div>
    <w:div w:id="1266764469">
      <w:bodyDiv w:val="1"/>
      <w:marLeft w:val="0"/>
      <w:marRight w:val="0"/>
      <w:marTop w:val="0"/>
      <w:marBottom w:val="0"/>
      <w:divBdr>
        <w:top w:val="none" w:sz="0" w:space="0" w:color="auto"/>
        <w:left w:val="none" w:sz="0" w:space="0" w:color="auto"/>
        <w:bottom w:val="none" w:sz="0" w:space="0" w:color="auto"/>
        <w:right w:val="none" w:sz="0" w:space="0" w:color="auto"/>
      </w:divBdr>
    </w:div>
    <w:div w:id="1267036767">
      <w:bodyDiv w:val="1"/>
      <w:marLeft w:val="0"/>
      <w:marRight w:val="0"/>
      <w:marTop w:val="0"/>
      <w:marBottom w:val="0"/>
      <w:divBdr>
        <w:top w:val="none" w:sz="0" w:space="0" w:color="auto"/>
        <w:left w:val="none" w:sz="0" w:space="0" w:color="auto"/>
        <w:bottom w:val="none" w:sz="0" w:space="0" w:color="auto"/>
        <w:right w:val="none" w:sz="0" w:space="0" w:color="auto"/>
      </w:divBdr>
    </w:div>
    <w:div w:id="1267080888">
      <w:bodyDiv w:val="1"/>
      <w:marLeft w:val="0"/>
      <w:marRight w:val="0"/>
      <w:marTop w:val="0"/>
      <w:marBottom w:val="0"/>
      <w:divBdr>
        <w:top w:val="none" w:sz="0" w:space="0" w:color="auto"/>
        <w:left w:val="none" w:sz="0" w:space="0" w:color="auto"/>
        <w:bottom w:val="none" w:sz="0" w:space="0" w:color="auto"/>
        <w:right w:val="none" w:sz="0" w:space="0" w:color="auto"/>
      </w:divBdr>
    </w:div>
    <w:div w:id="1267080948">
      <w:bodyDiv w:val="1"/>
      <w:marLeft w:val="0"/>
      <w:marRight w:val="0"/>
      <w:marTop w:val="0"/>
      <w:marBottom w:val="0"/>
      <w:divBdr>
        <w:top w:val="none" w:sz="0" w:space="0" w:color="auto"/>
        <w:left w:val="none" w:sz="0" w:space="0" w:color="auto"/>
        <w:bottom w:val="none" w:sz="0" w:space="0" w:color="auto"/>
        <w:right w:val="none" w:sz="0" w:space="0" w:color="auto"/>
      </w:divBdr>
    </w:div>
    <w:div w:id="1267270291">
      <w:bodyDiv w:val="1"/>
      <w:marLeft w:val="0"/>
      <w:marRight w:val="0"/>
      <w:marTop w:val="0"/>
      <w:marBottom w:val="0"/>
      <w:divBdr>
        <w:top w:val="none" w:sz="0" w:space="0" w:color="auto"/>
        <w:left w:val="none" w:sz="0" w:space="0" w:color="auto"/>
        <w:bottom w:val="none" w:sz="0" w:space="0" w:color="auto"/>
        <w:right w:val="none" w:sz="0" w:space="0" w:color="auto"/>
      </w:divBdr>
    </w:div>
    <w:div w:id="1267420811">
      <w:bodyDiv w:val="1"/>
      <w:marLeft w:val="0"/>
      <w:marRight w:val="0"/>
      <w:marTop w:val="0"/>
      <w:marBottom w:val="0"/>
      <w:divBdr>
        <w:top w:val="none" w:sz="0" w:space="0" w:color="auto"/>
        <w:left w:val="none" w:sz="0" w:space="0" w:color="auto"/>
        <w:bottom w:val="none" w:sz="0" w:space="0" w:color="auto"/>
        <w:right w:val="none" w:sz="0" w:space="0" w:color="auto"/>
      </w:divBdr>
    </w:div>
    <w:div w:id="1267538579">
      <w:bodyDiv w:val="1"/>
      <w:marLeft w:val="0"/>
      <w:marRight w:val="0"/>
      <w:marTop w:val="0"/>
      <w:marBottom w:val="0"/>
      <w:divBdr>
        <w:top w:val="none" w:sz="0" w:space="0" w:color="auto"/>
        <w:left w:val="none" w:sz="0" w:space="0" w:color="auto"/>
        <w:bottom w:val="none" w:sz="0" w:space="0" w:color="auto"/>
        <w:right w:val="none" w:sz="0" w:space="0" w:color="auto"/>
      </w:divBdr>
    </w:div>
    <w:div w:id="1267807910">
      <w:bodyDiv w:val="1"/>
      <w:marLeft w:val="0"/>
      <w:marRight w:val="0"/>
      <w:marTop w:val="0"/>
      <w:marBottom w:val="0"/>
      <w:divBdr>
        <w:top w:val="none" w:sz="0" w:space="0" w:color="auto"/>
        <w:left w:val="none" w:sz="0" w:space="0" w:color="auto"/>
        <w:bottom w:val="none" w:sz="0" w:space="0" w:color="auto"/>
        <w:right w:val="none" w:sz="0" w:space="0" w:color="auto"/>
      </w:divBdr>
    </w:div>
    <w:div w:id="1267810548">
      <w:bodyDiv w:val="1"/>
      <w:marLeft w:val="0"/>
      <w:marRight w:val="0"/>
      <w:marTop w:val="0"/>
      <w:marBottom w:val="0"/>
      <w:divBdr>
        <w:top w:val="none" w:sz="0" w:space="0" w:color="auto"/>
        <w:left w:val="none" w:sz="0" w:space="0" w:color="auto"/>
        <w:bottom w:val="none" w:sz="0" w:space="0" w:color="auto"/>
        <w:right w:val="none" w:sz="0" w:space="0" w:color="auto"/>
      </w:divBdr>
    </w:div>
    <w:div w:id="1267880514">
      <w:bodyDiv w:val="1"/>
      <w:marLeft w:val="0"/>
      <w:marRight w:val="0"/>
      <w:marTop w:val="0"/>
      <w:marBottom w:val="0"/>
      <w:divBdr>
        <w:top w:val="none" w:sz="0" w:space="0" w:color="auto"/>
        <w:left w:val="none" w:sz="0" w:space="0" w:color="auto"/>
        <w:bottom w:val="none" w:sz="0" w:space="0" w:color="auto"/>
        <w:right w:val="none" w:sz="0" w:space="0" w:color="auto"/>
      </w:divBdr>
    </w:div>
    <w:div w:id="1267885663">
      <w:bodyDiv w:val="1"/>
      <w:marLeft w:val="0"/>
      <w:marRight w:val="0"/>
      <w:marTop w:val="0"/>
      <w:marBottom w:val="0"/>
      <w:divBdr>
        <w:top w:val="none" w:sz="0" w:space="0" w:color="auto"/>
        <w:left w:val="none" w:sz="0" w:space="0" w:color="auto"/>
        <w:bottom w:val="none" w:sz="0" w:space="0" w:color="auto"/>
        <w:right w:val="none" w:sz="0" w:space="0" w:color="auto"/>
      </w:divBdr>
    </w:div>
    <w:div w:id="1267886875">
      <w:bodyDiv w:val="1"/>
      <w:marLeft w:val="0"/>
      <w:marRight w:val="0"/>
      <w:marTop w:val="0"/>
      <w:marBottom w:val="0"/>
      <w:divBdr>
        <w:top w:val="none" w:sz="0" w:space="0" w:color="auto"/>
        <w:left w:val="none" w:sz="0" w:space="0" w:color="auto"/>
        <w:bottom w:val="none" w:sz="0" w:space="0" w:color="auto"/>
        <w:right w:val="none" w:sz="0" w:space="0" w:color="auto"/>
      </w:divBdr>
    </w:div>
    <w:div w:id="1268122786">
      <w:bodyDiv w:val="1"/>
      <w:marLeft w:val="0"/>
      <w:marRight w:val="0"/>
      <w:marTop w:val="0"/>
      <w:marBottom w:val="0"/>
      <w:divBdr>
        <w:top w:val="none" w:sz="0" w:space="0" w:color="auto"/>
        <w:left w:val="none" w:sz="0" w:space="0" w:color="auto"/>
        <w:bottom w:val="none" w:sz="0" w:space="0" w:color="auto"/>
        <w:right w:val="none" w:sz="0" w:space="0" w:color="auto"/>
      </w:divBdr>
    </w:div>
    <w:div w:id="1268152029">
      <w:bodyDiv w:val="1"/>
      <w:marLeft w:val="0"/>
      <w:marRight w:val="0"/>
      <w:marTop w:val="0"/>
      <w:marBottom w:val="0"/>
      <w:divBdr>
        <w:top w:val="none" w:sz="0" w:space="0" w:color="auto"/>
        <w:left w:val="none" w:sz="0" w:space="0" w:color="auto"/>
        <w:bottom w:val="none" w:sz="0" w:space="0" w:color="auto"/>
        <w:right w:val="none" w:sz="0" w:space="0" w:color="auto"/>
      </w:divBdr>
    </w:div>
    <w:div w:id="1268270798">
      <w:bodyDiv w:val="1"/>
      <w:marLeft w:val="0"/>
      <w:marRight w:val="0"/>
      <w:marTop w:val="0"/>
      <w:marBottom w:val="0"/>
      <w:divBdr>
        <w:top w:val="none" w:sz="0" w:space="0" w:color="auto"/>
        <w:left w:val="none" w:sz="0" w:space="0" w:color="auto"/>
        <w:bottom w:val="none" w:sz="0" w:space="0" w:color="auto"/>
        <w:right w:val="none" w:sz="0" w:space="0" w:color="auto"/>
      </w:divBdr>
    </w:div>
    <w:div w:id="1268271446">
      <w:bodyDiv w:val="1"/>
      <w:marLeft w:val="0"/>
      <w:marRight w:val="0"/>
      <w:marTop w:val="0"/>
      <w:marBottom w:val="0"/>
      <w:divBdr>
        <w:top w:val="none" w:sz="0" w:space="0" w:color="auto"/>
        <w:left w:val="none" w:sz="0" w:space="0" w:color="auto"/>
        <w:bottom w:val="none" w:sz="0" w:space="0" w:color="auto"/>
        <w:right w:val="none" w:sz="0" w:space="0" w:color="auto"/>
      </w:divBdr>
    </w:div>
    <w:div w:id="1268460960">
      <w:bodyDiv w:val="1"/>
      <w:marLeft w:val="0"/>
      <w:marRight w:val="0"/>
      <w:marTop w:val="0"/>
      <w:marBottom w:val="0"/>
      <w:divBdr>
        <w:top w:val="none" w:sz="0" w:space="0" w:color="auto"/>
        <w:left w:val="none" w:sz="0" w:space="0" w:color="auto"/>
        <w:bottom w:val="none" w:sz="0" w:space="0" w:color="auto"/>
        <w:right w:val="none" w:sz="0" w:space="0" w:color="auto"/>
      </w:divBdr>
    </w:div>
    <w:div w:id="1268536796">
      <w:bodyDiv w:val="1"/>
      <w:marLeft w:val="0"/>
      <w:marRight w:val="0"/>
      <w:marTop w:val="0"/>
      <w:marBottom w:val="0"/>
      <w:divBdr>
        <w:top w:val="none" w:sz="0" w:space="0" w:color="auto"/>
        <w:left w:val="none" w:sz="0" w:space="0" w:color="auto"/>
        <w:bottom w:val="none" w:sz="0" w:space="0" w:color="auto"/>
        <w:right w:val="none" w:sz="0" w:space="0" w:color="auto"/>
      </w:divBdr>
    </w:div>
    <w:div w:id="1268851372">
      <w:bodyDiv w:val="1"/>
      <w:marLeft w:val="0"/>
      <w:marRight w:val="0"/>
      <w:marTop w:val="0"/>
      <w:marBottom w:val="0"/>
      <w:divBdr>
        <w:top w:val="none" w:sz="0" w:space="0" w:color="auto"/>
        <w:left w:val="none" w:sz="0" w:space="0" w:color="auto"/>
        <w:bottom w:val="none" w:sz="0" w:space="0" w:color="auto"/>
        <w:right w:val="none" w:sz="0" w:space="0" w:color="auto"/>
      </w:divBdr>
    </w:div>
    <w:div w:id="1269045801">
      <w:bodyDiv w:val="1"/>
      <w:marLeft w:val="0"/>
      <w:marRight w:val="0"/>
      <w:marTop w:val="0"/>
      <w:marBottom w:val="0"/>
      <w:divBdr>
        <w:top w:val="none" w:sz="0" w:space="0" w:color="auto"/>
        <w:left w:val="none" w:sz="0" w:space="0" w:color="auto"/>
        <w:bottom w:val="none" w:sz="0" w:space="0" w:color="auto"/>
        <w:right w:val="none" w:sz="0" w:space="0" w:color="auto"/>
      </w:divBdr>
    </w:div>
    <w:div w:id="1269193167">
      <w:bodyDiv w:val="1"/>
      <w:marLeft w:val="0"/>
      <w:marRight w:val="0"/>
      <w:marTop w:val="0"/>
      <w:marBottom w:val="0"/>
      <w:divBdr>
        <w:top w:val="none" w:sz="0" w:space="0" w:color="auto"/>
        <w:left w:val="none" w:sz="0" w:space="0" w:color="auto"/>
        <w:bottom w:val="none" w:sz="0" w:space="0" w:color="auto"/>
        <w:right w:val="none" w:sz="0" w:space="0" w:color="auto"/>
      </w:divBdr>
    </w:div>
    <w:div w:id="1269196317">
      <w:bodyDiv w:val="1"/>
      <w:marLeft w:val="0"/>
      <w:marRight w:val="0"/>
      <w:marTop w:val="0"/>
      <w:marBottom w:val="0"/>
      <w:divBdr>
        <w:top w:val="none" w:sz="0" w:space="0" w:color="auto"/>
        <w:left w:val="none" w:sz="0" w:space="0" w:color="auto"/>
        <w:bottom w:val="none" w:sz="0" w:space="0" w:color="auto"/>
        <w:right w:val="none" w:sz="0" w:space="0" w:color="auto"/>
      </w:divBdr>
    </w:div>
    <w:div w:id="1269241199">
      <w:bodyDiv w:val="1"/>
      <w:marLeft w:val="0"/>
      <w:marRight w:val="0"/>
      <w:marTop w:val="0"/>
      <w:marBottom w:val="0"/>
      <w:divBdr>
        <w:top w:val="none" w:sz="0" w:space="0" w:color="auto"/>
        <w:left w:val="none" w:sz="0" w:space="0" w:color="auto"/>
        <w:bottom w:val="none" w:sz="0" w:space="0" w:color="auto"/>
        <w:right w:val="none" w:sz="0" w:space="0" w:color="auto"/>
      </w:divBdr>
    </w:div>
    <w:div w:id="1269309273">
      <w:bodyDiv w:val="1"/>
      <w:marLeft w:val="0"/>
      <w:marRight w:val="0"/>
      <w:marTop w:val="0"/>
      <w:marBottom w:val="0"/>
      <w:divBdr>
        <w:top w:val="none" w:sz="0" w:space="0" w:color="auto"/>
        <w:left w:val="none" w:sz="0" w:space="0" w:color="auto"/>
        <w:bottom w:val="none" w:sz="0" w:space="0" w:color="auto"/>
        <w:right w:val="none" w:sz="0" w:space="0" w:color="auto"/>
      </w:divBdr>
    </w:div>
    <w:div w:id="1269388218">
      <w:bodyDiv w:val="1"/>
      <w:marLeft w:val="0"/>
      <w:marRight w:val="0"/>
      <w:marTop w:val="0"/>
      <w:marBottom w:val="0"/>
      <w:divBdr>
        <w:top w:val="none" w:sz="0" w:space="0" w:color="auto"/>
        <w:left w:val="none" w:sz="0" w:space="0" w:color="auto"/>
        <w:bottom w:val="none" w:sz="0" w:space="0" w:color="auto"/>
        <w:right w:val="none" w:sz="0" w:space="0" w:color="auto"/>
      </w:divBdr>
    </w:div>
    <w:div w:id="1269388253">
      <w:bodyDiv w:val="1"/>
      <w:marLeft w:val="0"/>
      <w:marRight w:val="0"/>
      <w:marTop w:val="0"/>
      <w:marBottom w:val="0"/>
      <w:divBdr>
        <w:top w:val="none" w:sz="0" w:space="0" w:color="auto"/>
        <w:left w:val="none" w:sz="0" w:space="0" w:color="auto"/>
        <w:bottom w:val="none" w:sz="0" w:space="0" w:color="auto"/>
        <w:right w:val="none" w:sz="0" w:space="0" w:color="auto"/>
      </w:divBdr>
    </w:div>
    <w:div w:id="1269510643">
      <w:bodyDiv w:val="1"/>
      <w:marLeft w:val="0"/>
      <w:marRight w:val="0"/>
      <w:marTop w:val="0"/>
      <w:marBottom w:val="0"/>
      <w:divBdr>
        <w:top w:val="none" w:sz="0" w:space="0" w:color="auto"/>
        <w:left w:val="none" w:sz="0" w:space="0" w:color="auto"/>
        <w:bottom w:val="none" w:sz="0" w:space="0" w:color="auto"/>
        <w:right w:val="none" w:sz="0" w:space="0" w:color="auto"/>
      </w:divBdr>
    </w:div>
    <w:div w:id="1269847417">
      <w:bodyDiv w:val="1"/>
      <w:marLeft w:val="0"/>
      <w:marRight w:val="0"/>
      <w:marTop w:val="0"/>
      <w:marBottom w:val="0"/>
      <w:divBdr>
        <w:top w:val="none" w:sz="0" w:space="0" w:color="auto"/>
        <w:left w:val="none" w:sz="0" w:space="0" w:color="auto"/>
        <w:bottom w:val="none" w:sz="0" w:space="0" w:color="auto"/>
        <w:right w:val="none" w:sz="0" w:space="0" w:color="auto"/>
      </w:divBdr>
    </w:div>
    <w:div w:id="1269966956">
      <w:bodyDiv w:val="1"/>
      <w:marLeft w:val="0"/>
      <w:marRight w:val="0"/>
      <w:marTop w:val="0"/>
      <w:marBottom w:val="0"/>
      <w:divBdr>
        <w:top w:val="none" w:sz="0" w:space="0" w:color="auto"/>
        <w:left w:val="none" w:sz="0" w:space="0" w:color="auto"/>
        <w:bottom w:val="none" w:sz="0" w:space="0" w:color="auto"/>
        <w:right w:val="none" w:sz="0" w:space="0" w:color="auto"/>
      </w:divBdr>
    </w:div>
    <w:div w:id="1269967797">
      <w:bodyDiv w:val="1"/>
      <w:marLeft w:val="0"/>
      <w:marRight w:val="0"/>
      <w:marTop w:val="0"/>
      <w:marBottom w:val="0"/>
      <w:divBdr>
        <w:top w:val="none" w:sz="0" w:space="0" w:color="auto"/>
        <w:left w:val="none" w:sz="0" w:space="0" w:color="auto"/>
        <w:bottom w:val="none" w:sz="0" w:space="0" w:color="auto"/>
        <w:right w:val="none" w:sz="0" w:space="0" w:color="auto"/>
      </w:divBdr>
    </w:div>
    <w:div w:id="1269970219">
      <w:bodyDiv w:val="1"/>
      <w:marLeft w:val="0"/>
      <w:marRight w:val="0"/>
      <w:marTop w:val="0"/>
      <w:marBottom w:val="0"/>
      <w:divBdr>
        <w:top w:val="none" w:sz="0" w:space="0" w:color="auto"/>
        <w:left w:val="none" w:sz="0" w:space="0" w:color="auto"/>
        <w:bottom w:val="none" w:sz="0" w:space="0" w:color="auto"/>
        <w:right w:val="none" w:sz="0" w:space="0" w:color="auto"/>
      </w:divBdr>
    </w:div>
    <w:div w:id="1270165986">
      <w:bodyDiv w:val="1"/>
      <w:marLeft w:val="0"/>
      <w:marRight w:val="0"/>
      <w:marTop w:val="0"/>
      <w:marBottom w:val="0"/>
      <w:divBdr>
        <w:top w:val="none" w:sz="0" w:space="0" w:color="auto"/>
        <w:left w:val="none" w:sz="0" w:space="0" w:color="auto"/>
        <w:bottom w:val="none" w:sz="0" w:space="0" w:color="auto"/>
        <w:right w:val="none" w:sz="0" w:space="0" w:color="auto"/>
      </w:divBdr>
    </w:div>
    <w:div w:id="1270434062">
      <w:bodyDiv w:val="1"/>
      <w:marLeft w:val="0"/>
      <w:marRight w:val="0"/>
      <w:marTop w:val="0"/>
      <w:marBottom w:val="0"/>
      <w:divBdr>
        <w:top w:val="none" w:sz="0" w:space="0" w:color="auto"/>
        <w:left w:val="none" w:sz="0" w:space="0" w:color="auto"/>
        <w:bottom w:val="none" w:sz="0" w:space="0" w:color="auto"/>
        <w:right w:val="none" w:sz="0" w:space="0" w:color="auto"/>
      </w:divBdr>
    </w:div>
    <w:div w:id="1270619773">
      <w:bodyDiv w:val="1"/>
      <w:marLeft w:val="0"/>
      <w:marRight w:val="0"/>
      <w:marTop w:val="0"/>
      <w:marBottom w:val="0"/>
      <w:divBdr>
        <w:top w:val="none" w:sz="0" w:space="0" w:color="auto"/>
        <w:left w:val="none" w:sz="0" w:space="0" w:color="auto"/>
        <w:bottom w:val="none" w:sz="0" w:space="0" w:color="auto"/>
        <w:right w:val="none" w:sz="0" w:space="0" w:color="auto"/>
      </w:divBdr>
    </w:div>
    <w:div w:id="1270745830">
      <w:bodyDiv w:val="1"/>
      <w:marLeft w:val="0"/>
      <w:marRight w:val="0"/>
      <w:marTop w:val="0"/>
      <w:marBottom w:val="0"/>
      <w:divBdr>
        <w:top w:val="none" w:sz="0" w:space="0" w:color="auto"/>
        <w:left w:val="none" w:sz="0" w:space="0" w:color="auto"/>
        <w:bottom w:val="none" w:sz="0" w:space="0" w:color="auto"/>
        <w:right w:val="none" w:sz="0" w:space="0" w:color="auto"/>
      </w:divBdr>
    </w:div>
    <w:div w:id="1270770947">
      <w:bodyDiv w:val="1"/>
      <w:marLeft w:val="0"/>
      <w:marRight w:val="0"/>
      <w:marTop w:val="0"/>
      <w:marBottom w:val="0"/>
      <w:divBdr>
        <w:top w:val="none" w:sz="0" w:space="0" w:color="auto"/>
        <w:left w:val="none" w:sz="0" w:space="0" w:color="auto"/>
        <w:bottom w:val="none" w:sz="0" w:space="0" w:color="auto"/>
        <w:right w:val="none" w:sz="0" w:space="0" w:color="auto"/>
      </w:divBdr>
    </w:div>
    <w:div w:id="1270772492">
      <w:bodyDiv w:val="1"/>
      <w:marLeft w:val="0"/>
      <w:marRight w:val="0"/>
      <w:marTop w:val="0"/>
      <w:marBottom w:val="0"/>
      <w:divBdr>
        <w:top w:val="none" w:sz="0" w:space="0" w:color="auto"/>
        <w:left w:val="none" w:sz="0" w:space="0" w:color="auto"/>
        <w:bottom w:val="none" w:sz="0" w:space="0" w:color="auto"/>
        <w:right w:val="none" w:sz="0" w:space="0" w:color="auto"/>
      </w:divBdr>
    </w:div>
    <w:div w:id="1271013954">
      <w:bodyDiv w:val="1"/>
      <w:marLeft w:val="0"/>
      <w:marRight w:val="0"/>
      <w:marTop w:val="0"/>
      <w:marBottom w:val="0"/>
      <w:divBdr>
        <w:top w:val="none" w:sz="0" w:space="0" w:color="auto"/>
        <w:left w:val="none" w:sz="0" w:space="0" w:color="auto"/>
        <w:bottom w:val="none" w:sz="0" w:space="0" w:color="auto"/>
        <w:right w:val="none" w:sz="0" w:space="0" w:color="auto"/>
      </w:divBdr>
    </w:div>
    <w:div w:id="1271203595">
      <w:bodyDiv w:val="1"/>
      <w:marLeft w:val="0"/>
      <w:marRight w:val="0"/>
      <w:marTop w:val="0"/>
      <w:marBottom w:val="0"/>
      <w:divBdr>
        <w:top w:val="none" w:sz="0" w:space="0" w:color="auto"/>
        <w:left w:val="none" w:sz="0" w:space="0" w:color="auto"/>
        <w:bottom w:val="none" w:sz="0" w:space="0" w:color="auto"/>
        <w:right w:val="none" w:sz="0" w:space="0" w:color="auto"/>
      </w:divBdr>
    </w:div>
    <w:div w:id="1271283965">
      <w:bodyDiv w:val="1"/>
      <w:marLeft w:val="0"/>
      <w:marRight w:val="0"/>
      <w:marTop w:val="0"/>
      <w:marBottom w:val="0"/>
      <w:divBdr>
        <w:top w:val="none" w:sz="0" w:space="0" w:color="auto"/>
        <w:left w:val="none" w:sz="0" w:space="0" w:color="auto"/>
        <w:bottom w:val="none" w:sz="0" w:space="0" w:color="auto"/>
        <w:right w:val="none" w:sz="0" w:space="0" w:color="auto"/>
      </w:divBdr>
    </w:div>
    <w:div w:id="1271427322">
      <w:bodyDiv w:val="1"/>
      <w:marLeft w:val="0"/>
      <w:marRight w:val="0"/>
      <w:marTop w:val="0"/>
      <w:marBottom w:val="0"/>
      <w:divBdr>
        <w:top w:val="none" w:sz="0" w:space="0" w:color="auto"/>
        <w:left w:val="none" w:sz="0" w:space="0" w:color="auto"/>
        <w:bottom w:val="none" w:sz="0" w:space="0" w:color="auto"/>
        <w:right w:val="none" w:sz="0" w:space="0" w:color="auto"/>
      </w:divBdr>
    </w:div>
    <w:div w:id="1271551837">
      <w:bodyDiv w:val="1"/>
      <w:marLeft w:val="0"/>
      <w:marRight w:val="0"/>
      <w:marTop w:val="0"/>
      <w:marBottom w:val="0"/>
      <w:divBdr>
        <w:top w:val="none" w:sz="0" w:space="0" w:color="auto"/>
        <w:left w:val="none" w:sz="0" w:space="0" w:color="auto"/>
        <w:bottom w:val="none" w:sz="0" w:space="0" w:color="auto"/>
        <w:right w:val="none" w:sz="0" w:space="0" w:color="auto"/>
      </w:divBdr>
    </w:div>
    <w:div w:id="1271668263">
      <w:bodyDiv w:val="1"/>
      <w:marLeft w:val="0"/>
      <w:marRight w:val="0"/>
      <w:marTop w:val="0"/>
      <w:marBottom w:val="0"/>
      <w:divBdr>
        <w:top w:val="none" w:sz="0" w:space="0" w:color="auto"/>
        <w:left w:val="none" w:sz="0" w:space="0" w:color="auto"/>
        <w:bottom w:val="none" w:sz="0" w:space="0" w:color="auto"/>
        <w:right w:val="none" w:sz="0" w:space="0" w:color="auto"/>
      </w:divBdr>
    </w:div>
    <w:div w:id="1271821206">
      <w:bodyDiv w:val="1"/>
      <w:marLeft w:val="0"/>
      <w:marRight w:val="0"/>
      <w:marTop w:val="0"/>
      <w:marBottom w:val="0"/>
      <w:divBdr>
        <w:top w:val="none" w:sz="0" w:space="0" w:color="auto"/>
        <w:left w:val="none" w:sz="0" w:space="0" w:color="auto"/>
        <w:bottom w:val="none" w:sz="0" w:space="0" w:color="auto"/>
        <w:right w:val="none" w:sz="0" w:space="0" w:color="auto"/>
      </w:divBdr>
    </w:div>
    <w:div w:id="1271938074">
      <w:bodyDiv w:val="1"/>
      <w:marLeft w:val="0"/>
      <w:marRight w:val="0"/>
      <w:marTop w:val="0"/>
      <w:marBottom w:val="0"/>
      <w:divBdr>
        <w:top w:val="none" w:sz="0" w:space="0" w:color="auto"/>
        <w:left w:val="none" w:sz="0" w:space="0" w:color="auto"/>
        <w:bottom w:val="none" w:sz="0" w:space="0" w:color="auto"/>
        <w:right w:val="none" w:sz="0" w:space="0" w:color="auto"/>
      </w:divBdr>
    </w:div>
    <w:div w:id="1272012641">
      <w:bodyDiv w:val="1"/>
      <w:marLeft w:val="0"/>
      <w:marRight w:val="0"/>
      <w:marTop w:val="0"/>
      <w:marBottom w:val="0"/>
      <w:divBdr>
        <w:top w:val="none" w:sz="0" w:space="0" w:color="auto"/>
        <w:left w:val="none" w:sz="0" w:space="0" w:color="auto"/>
        <w:bottom w:val="none" w:sz="0" w:space="0" w:color="auto"/>
        <w:right w:val="none" w:sz="0" w:space="0" w:color="auto"/>
      </w:divBdr>
    </w:div>
    <w:div w:id="1272207049">
      <w:bodyDiv w:val="1"/>
      <w:marLeft w:val="0"/>
      <w:marRight w:val="0"/>
      <w:marTop w:val="0"/>
      <w:marBottom w:val="0"/>
      <w:divBdr>
        <w:top w:val="none" w:sz="0" w:space="0" w:color="auto"/>
        <w:left w:val="none" w:sz="0" w:space="0" w:color="auto"/>
        <w:bottom w:val="none" w:sz="0" w:space="0" w:color="auto"/>
        <w:right w:val="none" w:sz="0" w:space="0" w:color="auto"/>
      </w:divBdr>
    </w:div>
    <w:div w:id="1272513093">
      <w:bodyDiv w:val="1"/>
      <w:marLeft w:val="0"/>
      <w:marRight w:val="0"/>
      <w:marTop w:val="0"/>
      <w:marBottom w:val="0"/>
      <w:divBdr>
        <w:top w:val="none" w:sz="0" w:space="0" w:color="auto"/>
        <w:left w:val="none" w:sz="0" w:space="0" w:color="auto"/>
        <w:bottom w:val="none" w:sz="0" w:space="0" w:color="auto"/>
        <w:right w:val="none" w:sz="0" w:space="0" w:color="auto"/>
      </w:divBdr>
    </w:div>
    <w:div w:id="1273054969">
      <w:bodyDiv w:val="1"/>
      <w:marLeft w:val="0"/>
      <w:marRight w:val="0"/>
      <w:marTop w:val="0"/>
      <w:marBottom w:val="0"/>
      <w:divBdr>
        <w:top w:val="none" w:sz="0" w:space="0" w:color="auto"/>
        <w:left w:val="none" w:sz="0" w:space="0" w:color="auto"/>
        <w:bottom w:val="none" w:sz="0" w:space="0" w:color="auto"/>
        <w:right w:val="none" w:sz="0" w:space="0" w:color="auto"/>
      </w:divBdr>
    </w:div>
    <w:div w:id="1273125791">
      <w:bodyDiv w:val="1"/>
      <w:marLeft w:val="0"/>
      <w:marRight w:val="0"/>
      <w:marTop w:val="0"/>
      <w:marBottom w:val="0"/>
      <w:divBdr>
        <w:top w:val="none" w:sz="0" w:space="0" w:color="auto"/>
        <w:left w:val="none" w:sz="0" w:space="0" w:color="auto"/>
        <w:bottom w:val="none" w:sz="0" w:space="0" w:color="auto"/>
        <w:right w:val="none" w:sz="0" w:space="0" w:color="auto"/>
      </w:divBdr>
    </w:div>
    <w:div w:id="1273171043">
      <w:bodyDiv w:val="1"/>
      <w:marLeft w:val="0"/>
      <w:marRight w:val="0"/>
      <w:marTop w:val="0"/>
      <w:marBottom w:val="0"/>
      <w:divBdr>
        <w:top w:val="none" w:sz="0" w:space="0" w:color="auto"/>
        <w:left w:val="none" w:sz="0" w:space="0" w:color="auto"/>
        <w:bottom w:val="none" w:sz="0" w:space="0" w:color="auto"/>
        <w:right w:val="none" w:sz="0" w:space="0" w:color="auto"/>
      </w:divBdr>
    </w:div>
    <w:div w:id="1273243571">
      <w:bodyDiv w:val="1"/>
      <w:marLeft w:val="0"/>
      <w:marRight w:val="0"/>
      <w:marTop w:val="0"/>
      <w:marBottom w:val="0"/>
      <w:divBdr>
        <w:top w:val="none" w:sz="0" w:space="0" w:color="auto"/>
        <w:left w:val="none" w:sz="0" w:space="0" w:color="auto"/>
        <w:bottom w:val="none" w:sz="0" w:space="0" w:color="auto"/>
        <w:right w:val="none" w:sz="0" w:space="0" w:color="auto"/>
      </w:divBdr>
    </w:div>
    <w:div w:id="1273434923">
      <w:bodyDiv w:val="1"/>
      <w:marLeft w:val="0"/>
      <w:marRight w:val="0"/>
      <w:marTop w:val="0"/>
      <w:marBottom w:val="0"/>
      <w:divBdr>
        <w:top w:val="none" w:sz="0" w:space="0" w:color="auto"/>
        <w:left w:val="none" w:sz="0" w:space="0" w:color="auto"/>
        <w:bottom w:val="none" w:sz="0" w:space="0" w:color="auto"/>
        <w:right w:val="none" w:sz="0" w:space="0" w:color="auto"/>
      </w:divBdr>
    </w:div>
    <w:div w:id="1273636291">
      <w:bodyDiv w:val="1"/>
      <w:marLeft w:val="0"/>
      <w:marRight w:val="0"/>
      <w:marTop w:val="0"/>
      <w:marBottom w:val="0"/>
      <w:divBdr>
        <w:top w:val="none" w:sz="0" w:space="0" w:color="auto"/>
        <w:left w:val="none" w:sz="0" w:space="0" w:color="auto"/>
        <w:bottom w:val="none" w:sz="0" w:space="0" w:color="auto"/>
        <w:right w:val="none" w:sz="0" w:space="0" w:color="auto"/>
      </w:divBdr>
    </w:div>
    <w:div w:id="1273902598">
      <w:bodyDiv w:val="1"/>
      <w:marLeft w:val="0"/>
      <w:marRight w:val="0"/>
      <w:marTop w:val="0"/>
      <w:marBottom w:val="0"/>
      <w:divBdr>
        <w:top w:val="none" w:sz="0" w:space="0" w:color="auto"/>
        <w:left w:val="none" w:sz="0" w:space="0" w:color="auto"/>
        <w:bottom w:val="none" w:sz="0" w:space="0" w:color="auto"/>
        <w:right w:val="none" w:sz="0" w:space="0" w:color="auto"/>
      </w:divBdr>
    </w:div>
    <w:div w:id="1273971721">
      <w:bodyDiv w:val="1"/>
      <w:marLeft w:val="0"/>
      <w:marRight w:val="0"/>
      <w:marTop w:val="0"/>
      <w:marBottom w:val="0"/>
      <w:divBdr>
        <w:top w:val="none" w:sz="0" w:space="0" w:color="auto"/>
        <w:left w:val="none" w:sz="0" w:space="0" w:color="auto"/>
        <w:bottom w:val="none" w:sz="0" w:space="0" w:color="auto"/>
        <w:right w:val="none" w:sz="0" w:space="0" w:color="auto"/>
      </w:divBdr>
    </w:div>
    <w:div w:id="1273975908">
      <w:bodyDiv w:val="1"/>
      <w:marLeft w:val="0"/>
      <w:marRight w:val="0"/>
      <w:marTop w:val="0"/>
      <w:marBottom w:val="0"/>
      <w:divBdr>
        <w:top w:val="none" w:sz="0" w:space="0" w:color="auto"/>
        <w:left w:val="none" w:sz="0" w:space="0" w:color="auto"/>
        <w:bottom w:val="none" w:sz="0" w:space="0" w:color="auto"/>
        <w:right w:val="none" w:sz="0" w:space="0" w:color="auto"/>
      </w:divBdr>
    </w:div>
    <w:div w:id="1274628937">
      <w:bodyDiv w:val="1"/>
      <w:marLeft w:val="0"/>
      <w:marRight w:val="0"/>
      <w:marTop w:val="0"/>
      <w:marBottom w:val="0"/>
      <w:divBdr>
        <w:top w:val="none" w:sz="0" w:space="0" w:color="auto"/>
        <w:left w:val="none" w:sz="0" w:space="0" w:color="auto"/>
        <w:bottom w:val="none" w:sz="0" w:space="0" w:color="auto"/>
        <w:right w:val="none" w:sz="0" w:space="0" w:color="auto"/>
      </w:divBdr>
    </w:div>
    <w:div w:id="1274631048">
      <w:bodyDiv w:val="1"/>
      <w:marLeft w:val="0"/>
      <w:marRight w:val="0"/>
      <w:marTop w:val="0"/>
      <w:marBottom w:val="0"/>
      <w:divBdr>
        <w:top w:val="none" w:sz="0" w:space="0" w:color="auto"/>
        <w:left w:val="none" w:sz="0" w:space="0" w:color="auto"/>
        <w:bottom w:val="none" w:sz="0" w:space="0" w:color="auto"/>
        <w:right w:val="none" w:sz="0" w:space="0" w:color="auto"/>
      </w:divBdr>
    </w:div>
    <w:div w:id="1274702222">
      <w:bodyDiv w:val="1"/>
      <w:marLeft w:val="0"/>
      <w:marRight w:val="0"/>
      <w:marTop w:val="0"/>
      <w:marBottom w:val="0"/>
      <w:divBdr>
        <w:top w:val="none" w:sz="0" w:space="0" w:color="auto"/>
        <w:left w:val="none" w:sz="0" w:space="0" w:color="auto"/>
        <w:bottom w:val="none" w:sz="0" w:space="0" w:color="auto"/>
        <w:right w:val="none" w:sz="0" w:space="0" w:color="auto"/>
      </w:divBdr>
    </w:div>
    <w:div w:id="1274753490">
      <w:bodyDiv w:val="1"/>
      <w:marLeft w:val="0"/>
      <w:marRight w:val="0"/>
      <w:marTop w:val="0"/>
      <w:marBottom w:val="0"/>
      <w:divBdr>
        <w:top w:val="none" w:sz="0" w:space="0" w:color="auto"/>
        <w:left w:val="none" w:sz="0" w:space="0" w:color="auto"/>
        <w:bottom w:val="none" w:sz="0" w:space="0" w:color="auto"/>
        <w:right w:val="none" w:sz="0" w:space="0" w:color="auto"/>
      </w:divBdr>
    </w:div>
    <w:div w:id="1274821212">
      <w:bodyDiv w:val="1"/>
      <w:marLeft w:val="0"/>
      <w:marRight w:val="0"/>
      <w:marTop w:val="0"/>
      <w:marBottom w:val="0"/>
      <w:divBdr>
        <w:top w:val="none" w:sz="0" w:space="0" w:color="auto"/>
        <w:left w:val="none" w:sz="0" w:space="0" w:color="auto"/>
        <w:bottom w:val="none" w:sz="0" w:space="0" w:color="auto"/>
        <w:right w:val="none" w:sz="0" w:space="0" w:color="auto"/>
      </w:divBdr>
    </w:div>
    <w:div w:id="1274942513">
      <w:bodyDiv w:val="1"/>
      <w:marLeft w:val="0"/>
      <w:marRight w:val="0"/>
      <w:marTop w:val="0"/>
      <w:marBottom w:val="0"/>
      <w:divBdr>
        <w:top w:val="none" w:sz="0" w:space="0" w:color="auto"/>
        <w:left w:val="none" w:sz="0" w:space="0" w:color="auto"/>
        <w:bottom w:val="none" w:sz="0" w:space="0" w:color="auto"/>
        <w:right w:val="none" w:sz="0" w:space="0" w:color="auto"/>
      </w:divBdr>
    </w:div>
    <w:div w:id="1275745458">
      <w:bodyDiv w:val="1"/>
      <w:marLeft w:val="0"/>
      <w:marRight w:val="0"/>
      <w:marTop w:val="0"/>
      <w:marBottom w:val="0"/>
      <w:divBdr>
        <w:top w:val="none" w:sz="0" w:space="0" w:color="auto"/>
        <w:left w:val="none" w:sz="0" w:space="0" w:color="auto"/>
        <w:bottom w:val="none" w:sz="0" w:space="0" w:color="auto"/>
        <w:right w:val="none" w:sz="0" w:space="0" w:color="auto"/>
      </w:divBdr>
    </w:div>
    <w:div w:id="1275819146">
      <w:bodyDiv w:val="1"/>
      <w:marLeft w:val="0"/>
      <w:marRight w:val="0"/>
      <w:marTop w:val="0"/>
      <w:marBottom w:val="0"/>
      <w:divBdr>
        <w:top w:val="none" w:sz="0" w:space="0" w:color="auto"/>
        <w:left w:val="none" w:sz="0" w:space="0" w:color="auto"/>
        <w:bottom w:val="none" w:sz="0" w:space="0" w:color="auto"/>
        <w:right w:val="none" w:sz="0" w:space="0" w:color="auto"/>
      </w:divBdr>
    </w:div>
    <w:div w:id="1276399164">
      <w:bodyDiv w:val="1"/>
      <w:marLeft w:val="0"/>
      <w:marRight w:val="0"/>
      <w:marTop w:val="0"/>
      <w:marBottom w:val="0"/>
      <w:divBdr>
        <w:top w:val="none" w:sz="0" w:space="0" w:color="auto"/>
        <w:left w:val="none" w:sz="0" w:space="0" w:color="auto"/>
        <w:bottom w:val="none" w:sz="0" w:space="0" w:color="auto"/>
        <w:right w:val="none" w:sz="0" w:space="0" w:color="auto"/>
      </w:divBdr>
    </w:div>
    <w:div w:id="1276402238">
      <w:bodyDiv w:val="1"/>
      <w:marLeft w:val="0"/>
      <w:marRight w:val="0"/>
      <w:marTop w:val="0"/>
      <w:marBottom w:val="0"/>
      <w:divBdr>
        <w:top w:val="none" w:sz="0" w:space="0" w:color="auto"/>
        <w:left w:val="none" w:sz="0" w:space="0" w:color="auto"/>
        <w:bottom w:val="none" w:sz="0" w:space="0" w:color="auto"/>
        <w:right w:val="none" w:sz="0" w:space="0" w:color="auto"/>
      </w:divBdr>
    </w:div>
    <w:div w:id="1276476586">
      <w:bodyDiv w:val="1"/>
      <w:marLeft w:val="0"/>
      <w:marRight w:val="0"/>
      <w:marTop w:val="0"/>
      <w:marBottom w:val="0"/>
      <w:divBdr>
        <w:top w:val="none" w:sz="0" w:space="0" w:color="auto"/>
        <w:left w:val="none" w:sz="0" w:space="0" w:color="auto"/>
        <w:bottom w:val="none" w:sz="0" w:space="0" w:color="auto"/>
        <w:right w:val="none" w:sz="0" w:space="0" w:color="auto"/>
      </w:divBdr>
    </w:div>
    <w:div w:id="1276517485">
      <w:bodyDiv w:val="1"/>
      <w:marLeft w:val="0"/>
      <w:marRight w:val="0"/>
      <w:marTop w:val="0"/>
      <w:marBottom w:val="0"/>
      <w:divBdr>
        <w:top w:val="none" w:sz="0" w:space="0" w:color="auto"/>
        <w:left w:val="none" w:sz="0" w:space="0" w:color="auto"/>
        <w:bottom w:val="none" w:sz="0" w:space="0" w:color="auto"/>
        <w:right w:val="none" w:sz="0" w:space="0" w:color="auto"/>
      </w:divBdr>
    </w:div>
    <w:div w:id="1276596078">
      <w:bodyDiv w:val="1"/>
      <w:marLeft w:val="0"/>
      <w:marRight w:val="0"/>
      <w:marTop w:val="0"/>
      <w:marBottom w:val="0"/>
      <w:divBdr>
        <w:top w:val="none" w:sz="0" w:space="0" w:color="auto"/>
        <w:left w:val="none" w:sz="0" w:space="0" w:color="auto"/>
        <w:bottom w:val="none" w:sz="0" w:space="0" w:color="auto"/>
        <w:right w:val="none" w:sz="0" w:space="0" w:color="auto"/>
      </w:divBdr>
    </w:div>
    <w:div w:id="1276643851">
      <w:bodyDiv w:val="1"/>
      <w:marLeft w:val="0"/>
      <w:marRight w:val="0"/>
      <w:marTop w:val="0"/>
      <w:marBottom w:val="0"/>
      <w:divBdr>
        <w:top w:val="none" w:sz="0" w:space="0" w:color="auto"/>
        <w:left w:val="none" w:sz="0" w:space="0" w:color="auto"/>
        <w:bottom w:val="none" w:sz="0" w:space="0" w:color="auto"/>
        <w:right w:val="none" w:sz="0" w:space="0" w:color="auto"/>
      </w:divBdr>
    </w:div>
    <w:div w:id="1276668553">
      <w:bodyDiv w:val="1"/>
      <w:marLeft w:val="0"/>
      <w:marRight w:val="0"/>
      <w:marTop w:val="0"/>
      <w:marBottom w:val="0"/>
      <w:divBdr>
        <w:top w:val="none" w:sz="0" w:space="0" w:color="auto"/>
        <w:left w:val="none" w:sz="0" w:space="0" w:color="auto"/>
        <w:bottom w:val="none" w:sz="0" w:space="0" w:color="auto"/>
        <w:right w:val="none" w:sz="0" w:space="0" w:color="auto"/>
      </w:divBdr>
    </w:div>
    <w:div w:id="1276669486">
      <w:bodyDiv w:val="1"/>
      <w:marLeft w:val="0"/>
      <w:marRight w:val="0"/>
      <w:marTop w:val="0"/>
      <w:marBottom w:val="0"/>
      <w:divBdr>
        <w:top w:val="none" w:sz="0" w:space="0" w:color="auto"/>
        <w:left w:val="none" w:sz="0" w:space="0" w:color="auto"/>
        <w:bottom w:val="none" w:sz="0" w:space="0" w:color="auto"/>
        <w:right w:val="none" w:sz="0" w:space="0" w:color="auto"/>
      </w:divBdr>
    </w:div>
    <w:div w:id="1276789707">
      <w:bodyDiv w:val="1"/>
      <w:marLeft w:val="0"/>
      <w:marRight w:val="0"/>
      <w:marTop w:val="0"/>
      <w:marBottom w:val="0"/>
      <w:divBdr>
        <w:top w:val="none" w:sz="0" w:space="0" w:color="auto"/>
        <w:left w:val="none" w:sz="0" w:space="0" w:color="auto"/>
        <w:bottom w:val="none" w:sz="0" w:space="0" w:color="auto"/>
        <w:right w:val="none" w:sz="0" w:space="0" w:color="auto"/>
      </w:divBdr>
    </w:div>
    <w:div w:id="1276792702">
      <w:bodyDiv w:val="1"/>
      <w:marLeft w:val="0"/>
      <w:marRight w:val="0"/>
      <w:marTop w:val="0"/>
      <w:marBottom w:val="0"/>
      <w:divBdr>
        <w:top w:val="none" w:sz="0" w:space="0" w:color="auto"/>
        <w:left w:val="none" w:sz="0" w:space="0" w:color="auto"/>
        <w:bottom w:val="none" w:sz="0" w:space="0" w:color="auto"/>
        <w:right w:val="none" w:sz="0" w:space="0" w:color="auto"/>
      </w:divBdr>
    </w:div>
    <w:div w:id="1277180667">
      <w:bodyDiv w:val="1"/>
      <w:marLeft w:val="0"/>
      <w:marRight w:val="0"/>
      <w:marTop w:val="0"/>
      <w:marBottom w:val="0"/>
      <w:divBdr>
        <w:top w:val="none" w:sz="0" w:space="0" w:color="auto"/>
        <w:left w:val="none" w:sz="0" w:space="0" w:color="auto"/>
        <w:bottom w:val="none" w:sz="0" w:space="0" w:color="auto"/>
        <w:right w:val="none" w:sz="0" w:space="0" w:color="auto"/>
      </w:divBdr>
    </w:div>
    <w:div w:id="1277296827">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8172519">
      <w:bodyDiv w:val="1"/>
      <w:marLeft w:val="0"/>
      <w:marRight w:val="0"/>
      <w:marTop w:val="0"/>
      <w:marBottom w:val="0"/>
      <w:divBdr>
        <w:top w:val="none" w:sz="0" w:space="0" w:color="auto"/>
        <w:left w:val="none" w:sz="0" w:space="0" w:color="auto"/>
        <w:bottom w:val="none" w:sz="0" w:space="0" w:color="auto"/>
        <w:right w:val="none" w:sz="0" w:space="0" w:color="auto"/>
      </w:divBdr>
    </w:div>
    <w:div w:id="1278220628">
      <w:bodyDiv w:val="1"/>
      <w:marLeft w:val="0"/>
      <w:marRight w:val="0"/>
      <w:marTop w:val="0"/>
      <w:marBottom w:val="0"/>
      <w:divBdr>
        <w:top w:val="none" w:sz="0" w:space="0" w:color="auto"/>
        <w:left w:val="none" w:sz="0" w:space="0" w:color="auto"/>
        <w:bottom w:val="none" w:sz="0" w:space="0" w:color="auto"/>
        <w:right w:val="none" w:sz="0" w:space="0" w:color="auto"/>
      </w:divBdr>
    </w:div>
    <w:div w:id="1278295993">
      <w:bodyDiv w:val="1"/>
      <w:marLeft w:val="0"/>
      <w:marRight w:val="0"/>
      <w:marTop w:val="0"/>
      <w:marBottom w:val="0"/>
      <w:divBdr>
        <w:top w:val="none" w:sz="0" w:space="0" w:color="auto"/>
        <w:left w:val="none" w:sz="0" w:space="0" w:color="auto"/>
        <w:bottom w:val="none" w:sz="0" w:space="0" w:color="auto"/>
        <w:right w:val="none" w:sz="0" w:space="0" w:color="auto"/>
      </w:divBdr>
    </w:div>
    <w:div w:id="1278369951">
      <w:bodyDiv w:val="1"/>
      <w:marLeft w:val="0"/>
      <w:marRight w:val="0"/>
      <w:marTop w:val="0"/>
      <w:marBottom w:val="0"/>
      <w:divBdr>
        <w:top w:val="none" w:sz="0" w:space="0" w:color="auto"/>
        <w:left w:val="none" w:sz="0" w:space="0" w:color="auto"/>
        <w:bottom w:val="none" w:sz="0" w:space="0" w:color="auto"/>
        <w:right w:val="none" w:sz="0" w:space="0" w:color="auto"/>
      </w:divBdr>
    </w:div>
    <w:div w:id="1278414180">
      <w:bodyDiv w:val="1"/>
      <w:marLeft w:val="0"/>
      <w:marRight w:val="0"/>
      <w:marTop w:val="0"/>
      <w:marBottom w:val="0"/>
      <w:divBdr>
        <w:top w:val="none" w:sz="0" w:space="0" w:color="auto"/>
        <w:left w:val="none" w:sz="0" w:space="0" w:color="auto"/>
        <w:bottom w:val="none" w:sz="0" w:space="0" w:color="auto"/>
        <w:right w:val="none" w:sz="0" w:space="0" w:color="auto"/>
      </w:divBdr>
    </w:div>
    <w:div w:id="1278755090">
      <w:bodyDiv w:val="1"/>
      <w:marLeft w:val="0"/>
      <w:marRight w:val="0"/>
      <w:marTop w:val="0"/>
      <w:marBottom w:val="0"/>
      <w:divBdr>
        <w:top w:val="none" w:sz="0" w:space="0" w:color="auto"/>
        <w:left w:val="none" w:sz="0" w:space="0" w:color="auto"/>
        <w:bottom w:val="none" w:sz="0" w:space="0" w:color="auto"/>
        <w:right w:val="none" w:sz="0" w:space="0" w:color="auto"/>
      </w:divBdr>
    </w:div>
    <w:div w:id="1278947451">
      <w:bodyDiv w:val="1"/>
      <w:marLeft w:val="0"/>
      <w:marRight w:val="0"/>
      <w:marTop w:val="0"/>
      <w:marBottom w:val="0"/>
      <w:divBdr>
        <w:top w:val="none" w:sz="0" w:space="0" w:color="auto"/>
        <w:left w:val="none" w:sz="0" w:space="0" w:color="auto"/>
        <w:bottom w:val="none" w:sz="0" w:space="0" w:color="auto"/>
        <w:right w:val="none" w:sz="0" w:space="0" w:color="auto"/>
      </w:divBdr>
    </w:div>
    <w:div w:id="1279020700">
      <w:bodyDiv w:val="1"/>
      <w:marLeft w:val="0"/>
      <w:marRight w:val="0"/>
      <w:marTop w:val="0"/>
      <w:marBottom w:val="0"/>
      <w:divBdr>
        <w:top w:val="none" w:sz="0" w:space="0" w:color="auto"/>
        <w:left w:val="none" w:sz="0" w:space="0" w:color="auto"/>
        <w:bottom w:val="none" w:sz="0" w:space="0" w:color="auto"/>
        <w:right w:val="none" w:sz="0" w:space="0" w:color="auto"/>
      </w:divBdr>
    </w:div>
    <w:div w:id="1279335884">
      <w:bodyDiv w:val="1"/>
      <w:marLeft w:val="0"/>
      <w:marRight w:val="0"/>
      <w:marTop w:val="0"/>
      <w:marBottom w:val="0"/>
      <w:divBdr>
        <w:top w:val="none" w:sz="0" w:space="0" w:color="auto"/>
        <w:left w:val="none" w:sz="0" w:space="0" w:color="auto"/>
        <w:bottom w:val="none" w:sz="0" w:space="0" w:color="auto"/>
        <w:right w:val="none" w:sz="0" w:space="0" w:color="auto"/>
      </w:divBdr>
    </w:div>
    <w:div w:id="1279337795">
      <w:bodyDiv w:val="1"/>
      <w:marLeft w:val="0"/>
      <w:marRight w:val="0"/>
      <w:marTop w:val="0"/>
      <w:marBottom w:val="0"/>
      <w:divBdr>
        <w:top w:val="none" w:sz="0" w:space="0" w:color="auto"/>
        <w:left w:val="none" w:sz="0" w:space="0" w:color="auto"/>
        <w:bottom w:val="none" w:sz="0" w:space="0" w:color="auto"/>
        <w:right w:val="none" w:sz="0" w:space="0" w:color="auto"/>
      </w:divBdr>
    </w:div>
    <w:div w:id="1279531227">
      <w:bodyDiv w:val="1"/>
      <w:marLeft w:val="0"/>
      <w:marRight w:val="0"/>
      <w:marTop w:val="0"/>
      <w:marBottom w:val="0"/>
      <w:divBdr>
        <w:top w:val="none" w:sz="0" w:space="0" w:color="auto"/>
        <w:left w:val="none" w:sz="0" w:space="0" w:color="auto"/>
        <w:bottom w:val="none" w:sz="0" w:space="0" w:color="auto"/>
        <w:right w:val="none" w:sz="0" w:space="0" w:color="auto"/>
      </w:divBdr>
    </w:div>
    <w:div w:id="1279875106">
      <w:bodyDiv w:val="1"/>
      <w:marLeft w:val="0"/>
      <w:marRight w:val="0"/>
      <w:marTop w:val="0"/>
      <w:marBottom w:val="0"/>
      <w:divBdr>
        <w:top w:val="none" w:sz="0" w:space="0" w:color="auto"/>
        <w:left w:val="none" w:sz="0" w:space="0" w:color="auto"/>
        <w:bottom w:val="none" w:sz="0" w:space="0" w:color="auto"/>
        <w:right w:val="none" w:sz="0" w:space="0" w:color="auto"/>
      </w:divBdr>
    </w:div>
    <w:div w:id="1279991874">
      <w:bodyDiv w:val="1"/>
      <w:marLeft w:val="0"/>
      <w:marRight w:val="0"/>
      <w:marTop w:val="0"/>
      <w:marBottom w:val="0"/>
      <w:divBdr>
        <w:top w:val="none" w:sz="0" w:space="0" w:color="auto"/>
        <w:left w:val="none" w:sz="0" w:space="0" w:color="auto"/>
        <w:bottom w:val="none" w:sz="0" w:space="0" w:color="auto"/>
        <w:right w:val="none" w:sz="0" w:space="0" w:color="auto"/>
      </w:divBdr>
    </w:div>
    <w:div w:id="1280068326">
      <w:bodyDiv w:val="1"/>
      <w:marLeft w:val="0"/>
      <w:marRight w:val="0"/>
      <w:marTop w:val="0"/>
      <w:marBottom w:val="0"/>
      <w:divBdr>
        <w:top w:val="none" w:sz="0" w:space="0" w:color="auto"/>
        <w:left w:val="none" w:sz="0" w:space="0" w:color="auto"/>
        <w:bottom w:val="none" w:sz="0" w:space="0" w:color="auto"/>
        <w:right w:val="none" w:sz="0" w:space="0" w:color="auto"/>
      </w:divBdr>
    </w:div>
    <w:div w:id="1280453590">
      <w:bodyDiv w:val="1"/>
      <w:marLeft w:val="0"/>
      <w:marRight w:val="0"/>
      <w:marTop w:val="0"/>
      <w:marBottom w:val="0"/>
      <w:divBdr>
        <w:top w:val="none" w:sz="0" w:space="0" w:color="auto"/>
        <w:left w:val="none" w:sz="0" w:space="0" w:color="auto"/>
        <w:bottom w:val="none" w:sz="0" w:space="0" w:color="auto"/>
        <w:right w:val="none" w:sz="0" w:space="0" w:color="auto"/>
      </w:divBdr>
    </w:div>
    <w:div w:id="1280455346">
      <w:bodyDiv w:val="1"/>
      <w:marLeft w:val="0"/>
      <w:marRight w:val="0"/>
      <w:marTop w:val="0"/>
      <w:marBottom w:val="0"/>
      <w:divBdr>
        <w:top w:val="none" w:sz="0" w:space="0" w:color="auto"/>
        <w:left w:val="none" w:sz="0" w:space="0" w:color="auto"/>
        <w:bottom w:val="none" w:sz="0" w:space="0" w:color="auto"/>
        <w:right w:val="none" w:sz="0" w:space="0" w:color="auto"/>
      </w:divBdr>
    </w:div>
    <w:div w:id="1280724135">
      <w:bodyDiv w:val="1"/>
      <w:marLeft w:val="0"/>
      <w:marRight w:val="0"/>
      <w:marTop w:val="0"/>
      <w:marBottom w:val="0"/>
      <w:divBdr>
        <w:top w:val="none" w:sz="0" w:space="0" w:color="auto"/>
        <w:left w:val="none" w:sz="0" w:space="0" w:color="auto"/>
        <w:bottom w:val="none" w:sz="0" w:space="0" w:color="auto"/>
        <w:right w:val="none" w:sz="0" w:space="0" w:color="auto"/>
      </w:divBdr>
    </w:div>
    <w:div w:id="1280910861">
      <w:bodyDiv w:val="1"/>
      <w:marLeft w:val="0"/>
      <w:marRight w:val="0"/>
      <w:marTop w:val="0"/>
      <w:marBottom w:val="0"/>
      <w:divBdr>
        <w:top w:val="none" w:sz="0" w:space="0" w:color="auto"/>
        <w:left w:val="none" w:sz="0" w:space="0" w:color="auto"/>
        <w:bottom w:val="none" w:sz="0" w:space="0" w:color="auto"/>
        <w:right w:val="none" w:sz="0" w:space="0" w:color="auto"/>
      </w:divBdr>
    </w:div>
    <w:div w:id="1280913498">
      <w:bodyDiv w:val="1"/>
      <w:marLeft w:val="0"/>
      <w:marRight w:val="0"/>
      <w:marTop w:val="0"/>
      <w:marBottom w:val="0"/>
      <w:divBdr>
        <w:top w:val="none" w:sz="0" w:space="0" w:color="auto"/>
        <w:left w:val="none" w:sz="0" w:space="0" w:color="auto"/>
        <w:bottom w:val="none" w:sz="0" w:space="0" w:color="auto"/>
        <w:right w:val="none" w:sz="0" w:space="0" w:color="auto"/>
      </w:divBdr>
    </w:div>
    <w:div w:id="1281372547">
      <w:bodyDiv w:val="1"/>
      <w:marLeft w:val="0"/>
      <w:marRight w:val="0"/>
      <w:marTop w:val="0"/>
      <w:marBottom w:val="0"/>
      <w:divBdr>
        <w:top w:val="none" w:sz="0" w:space="0" w:color="auto"/>
        <w:left w:val="none" w:sz="0" w:space="0" w:color="auto"/>
        <w:bottom w:val="none" w:sz="0" w:space="0" w:color="auto"/>
        <w:right w:val="none" w:sz="0" w:space="0" w:color="auto"/>
      </w:divBdr>
    </w:div>
    <w:div w:id="1281456938">
      <w:bodyDiv w:val="1"/>
      <w:marLeft w:val="0"/>
      <w:marRight w:val="0"/>
      <w:marTop w:val="0"/>
      <w:marBottom w:val="0"/>
      <w:divBdr>
        <w:top w:val="none" w:sz="0" w:space="0" w:color="auto"/>
        <w:left w:val="none" w:sz="0" w:space="0" w:color="auto"/>
        <w:bottom w:val="none" w:sz="0" w:space="0" w:color="auto"/>
        <w:right w:val="none" w:sz="0" w:space="0" w:color="auto"/>
      </w:divBdr>
    </w:div>
    <w:div w:id="1281566590">
      <w:bodyDiv w:val="1"/>
      <w:marLeft w:val="0"/>
      <w:marRight w:val="0"/>
      <w:marTop w:val="0"/>
      <w:marBottom w:val="0"/>
      <w:divBdr>
        <w:top w:val="none" w:sz="0" w:space="0" w:color="auto"/>
        <w:left w:val="none" w:sz="0" w:space="0" w:color="auto"/>
        <w:bottom w:val="none" w:sz="0" w:space="0" w:color="auto"/>
        <w:right w:val="none" w:sz="0" w:space="0" w:color="auto"/>
      </w:divBdr>
    </w:div>
    <w:div w:id="1281569613">
      <w:bodyDiv w:val="1"/>
      <w:marLeft w:val="0"/>
      <w:marRight w:val="0"/>
      <w:marTop w:val="0"/>
      <w:marBottom w:val="0"/>
      <w:divBdr>
        <w:top w:val="none" w:sz="0" w:space="0" w:color="auto"/>
        <w:left w:val="none" w:sz="0" w:space="0" w:color="auto"/>
        <w:bottom w:val="none" w:sz="0" w:space="0" w:color="auto"/>
        <w:right w:val="none" w:sz="0" w:space="0" w:color="auto"/>
      </w:divBdr>
    </w:div>
    <w:div w:id="1281760641">
      <w:bodyDiv w:val="1"/>
      <w:marLeft w:val="0"/>
      <w:marRight w:val="0"/>
      <w:marTop w:val="0"/>
      <w:marBottom w:val="0"/>
      <w:divBdr>
        <w:top w:val="none" w:sz="0" w:space="0" w:color="auto"/>
        <w:left w:val="none" w:sz="0" w:space="0" w:color="auto"/>
        <w:bottom w:val="none" w:sz="0" w:space="0" w:color="auto"/>
        <w:right w:val="none" w:sz="0" w:space="0" w:color="auto"/>
      </w:divBdr>
    </w:div>
    <w:div w:id="1281765818">
      <w:bodyDiv w:val="1"/>
      <w:marLeft w:val="0"/>
      <w:marRight w:val="0"/>
      <w:marTop w:val="0"/>
      <w:marBottom w:val="0"/>
      <w:divBdr>
        <w:top w:val="none" w:sz="0" w:space="0" w:color="auto"/>
        <w:left w:val="none" w:sz="0" w:space="0" w:color="auto"/>
        <w:bottom w:val="none" w:sz="0" w:space="0" w:color="auto"/>
        <w:right w:val="none" w:sz="0" w:space="0" w:color="auto"/>
      </w:divBdr>
    </w:div>
    <w:div w:id="1281913435">
      <w:bodyDiv w:val="1"/>
      <w:marLeft w:val="0"/>
      <w:marRight w:val="0"/>
      <w:marTop w:val="0"/>
      <w:marBottom w:val="0"/>
      <w:divBdr>
        <w:top w:val="none" w:sz="0" w:space="0" w:color="auto"/>
        <w:left w:val="none" w:sz="0" w:space="0" w:color="auto"/>
        <w:bottom w:val="none" w:sz="0" w:space="0" w:color="auto"/>
        <w:right w:val="none" w:sz="0" w:space="0" w:color="auto"/>
      </w:divBdr>
    </w:div>
    <w:div w:id="1282146969">
      <w:bodyDiv w:val="1"/>
      <w:marLeft w:val="0"/>
      <w:marRight w:val="0"/>
      <w:marTop w:val="0"/>
      <w:marBottom w:val="0"/>
      <w:divBdr>
        <w:top w:val="none" w:sz="0" w:space="0" w:color="auto"/>
        <w:left w:val="none" w:sz="0" w:space="0" w:color="auto"/>
        <w:bottom w:val="none" w:sz="0" w:space="0" w:color="auto"/>
        <w:right w:val="none" w:sz="0" w:space="0" w:color="auto"/>
      </w:divBdr>
    </w:div>
    <w:div w:id="1282419063">
      <w:bodyDiv w:val="1"/>
      <w:marLeft w:val="0"/>
      <w:marRight w:val="0"/>
      <w:marTop w:val="0"/>
      <w:marBottom w:val="0"/>
      <w:divBdr>
        <w:top w:val="none" w:sz="0" w:space="0" w:color="auto"/>
        <w:left w:val="none" w:sz="0" w:space="0" w:color="auto"/>
        <w:bottom w:val="none" w:sz="0" w:space="0" w:color="auto"/>
        <w:right w:val="none" w:sz="0" w:space="0" w:color="auto"/>
      </w:divBdr>
    </w:div>
    <w:div w:id="1282419345">
      <w:bodyDiv w:val="1"/>
      <w:marLeft w:val="0"/>
      <w:marRight w:val="0"/>
      <w:marTop w:val="0"/>
      <w:marBottom w:val="0"/>
      <w:divBdr>
        <w:top w:val="none" w:sz="0" w:space="0" w:color="auto"/>
        <w:left w:val="none" w:sz="0" w:space="0" w:color="auto"/>
        <w:bottom w:val="none" w:sz="0" w:space="0" w:color="auto"/>
        <w:right w:val="none" w:sz="0" w:space="0" w:color="auto"/>
      </w:divBdr>
    </w:div>
    <w:div w:id="1282683130">
      <w:bodyDiv w:val="1"/>
      <w:marLeft w:val="0"/>
      <w:marRight w:val="0"/>
      <w:marTop w:val="0"/>
      <w:marBottom w:val="0"/>
      <w:divBdr>
        <w:top w:val="none" w:sz="0" w:space="0" w:color="auto"/>
        <w:left w:val="none" w:sz="0" w:space="0" w:color="auto"/>
        <w:bottom w:val="none" w:sz="0" w:space="0" w:color="auto"/>
        <w:right w:val="none" w:sz="0" w:space="0" w:color="auto"/>
      </w:divBdr>
    </w:div>
    <w:div w:id="1282761130">
      <w:bodyDiv w:val="1"/>
      <w:marLeft w:val="0"/>
      <w:marRight w:val="0"/>
      <w:marTop w:val="0"/>
      <w:marBottom w:val="0"/>
      <w:divBdr>
        <w:top w:val="none" w:sz="0" w:space="0" w:color="auto"/>
        <w:left w:val="none" w:sz="0" w:space="0" w:color="auto"/>
        <w:bottom w:val="none" w:sz="0" w:space="0" w:color="auto"/>
        <w:right w:val="none" w:sz="0" w:space="0" w:color="auto"/>
      </w:divBdr>
    </w:div>
    <w:div w:id="1283195407">
      <w:bodyDiv w:val="1"/>
      <w:marLeft w:val="0"/>
      <w:marRight w:val="0"/>
      <w:marTop w:val="0"/>
      <w:marBottom w:val="0"/>
      <w:divBdr>
        <w:top w:val="none" w:sz="0" w:space="0" w:color="auto"/>
        <w:left w:val="none" w:sz="0" w:space="0" w:color="auto"/>
        <w:bottom w:val="none" w:sz="0" w:space="0" w:color="auto"/>
        <w:right w:val="none" w:sz="0" w:space="0" w:color="auto"/>
      </w:divBdr>
    </w:div>
    <w:div w:id="1283221331">
      <w:bodyDiv w:val="1"/>
      <w:marLeft w:val="0"/>
      <w:marRight w:val="0"/>
      <w:marTop w:val="0"/>
      <w:marBottom w:val="0"/>
      <w:divBdr>
        <w:top w:val="none" w:sz="0" w:space="0" w:color="auto"/>
        <w:left w:val="none" w:sz="0" w:space="0" w:color="auto"/>
        <w:bottom w:val="none" w:sz="0" w:space="0" w:color="auto"/>
        <w:right w:val="none" w:sz="0" w:space="0" w:color="auto"/>
      </w:divBdr>
    </w:div>
    <w:div w:id="1283338202">
      <w:bodyDiv w:val="1"/>
      <w:marLeft w:val="0"/>
      <w:marRight w:val="0"/>
      <w:marTop w:val="0"/>
      <w:marBottom w:val="0"/>
      <w:divBdr>
        <w:top w:val="none" w:sz="0" w:space="0" w:color="auto"/>
        <w:left w:val="none" w:sz="0" w:space="0" w:color="auto"/>
        <w:bottom w:val="none" w:sz="0" w:space="0" w:color="auto"/>
        <w:right w:val="none" w:sz="0" w:space="0" w:color="auto"/>
      </w:divBdr>
    </w:div>
    <w:div w:id="1283532452">
      <w:bodyDiv w:val="1"/>
      <w:marLeft w:val="0"/>
      <w:marRight w:val="0"/>
      <w:marTop w:val="0"/>
      <w:marBottom w:val="0"/>
      <w:divBdr>
        <w:top w:val="none" w:sz="0" w:space="0" w:color="auto"/>
        <w:left w:val="none" w:sz="0" w:space="0" w:color="auto"/>
        <w:bottom w:val="none" w:sz="0" w:space="0" w:color="auto"/>
        <w:right w:val="none" w:sz="0" w:space="0" w:color="auto"/>
      </w:divBdr>
    </w:div>
    <w:div w:id="1283614050">
      <w:bodyDiv w:val="1"/>
      <w:marLeft w:val="0"/>
      <w:marRight w:val="0"/>
      <w:marTop w:val="0"/>
      <w:marBottom w:val="0"/>
      <w:divBdr>
        <w:top w:val="none" w:sz="0" w:space="0" w:color="auto"/>
        <w:left w:val="none" w:sz="0" w:space="0" w:color="auto"/>
        <w:bottom w:val="none" w:sz="0" w:space="0" w:color="auto"/>
        <w:right w:val="none" w:sz="0" w:space="0" w:color="auto"/>
      </w:divBdr>
    </w:div>
    <w:div w:id="1283732379">
      <w:bodyDiv w:val="1"/>
      <w:marLeft w:val="0"/>
      <w:marRight w:val="0"/>
      <w:marTop w:val="0"/>
      <w:marBottom w:val="0"/>
      <w:divBdr>
        <w:top w:val="none" w:sz="0" w:space="0" w:color="auto"/>
        <w:left w:val="none" w:sz="0" w:space="0" w:color="auto"/>
        <w:bottom w:val="none" w:sz="0" w:space="0" w:color="auto"/>
        <w:right w:val="none" w:sz="0" w:space="0" w:color="auto"/>
      </w:divBdr>
    </w:div>
    <w:div w:id="1284193513">
      <w:bodyDiv w:val="1"/>
      <w:marLeft w:val="0"/>
      <w:marRight w:val="0"/>
      <w:marTop w:val="0"/>
      <w:marBottom w:val="0"/>
      <w:divBdr>
        <w:top w:val="none" w:sz="0" w:space="0" w:color="auto"/>
        <w:left w:val="none" w:sz="0" w:space="0" w:color="auto"/>
        <w:bottom w:val="none" w:sz="0" w:space="0" w:color="auto"/>
        <w:right w:val="none" w:sz="0" w:space="0" w:color="auto"/>
      </w:divBdr>
    </w:div>
    <w:div w:id="1284382531">
      <w:bodyDiv w:val="1"/>
      <w:marLeft w:val="0"/>
      <w:marRight w:val="0"/>
      <w:marTop w:val="0"/>
      <w:marBottom w:val="0"/>
      <w:divBdr>
        <w:top w:val="none" w:sz="0" w:space="0" w:color="auto"/>
        <w:left w:val="none" w:sz="0" w:space="0" w:color="auto"/>
        <w:bottom w:val="none" w:sz="0" w:space="0" w:color="auto"/>
        <w:right w:val="none" w:sz="0" w:space="0" w:color="auto"/>
      </w:divBdr>
    </w:div>
    <w:div w:id="1284577562">
      <w:bodyDiv w:val="1"/>
      <w:marLeft w:val="0"/>
      <w:marRight w:val="0"/>
      <w:marTop w:val="0"/>
      <w:marBottom w:val="0"/>
      <w:divBdr>
        <w:top w:val="none" w:sz="0" w:space="0" w:color="auto"/>
        <w:left w:val="none" w:sz="0" w:space="0" w:color="auto"/>
        <w:bottom w:val="none" w:sz="0" w:space="0" w:color="auto"/>
        <w:right w:val="none" w:sz="0" w:space="0" w:color="auto"/>
      </w:divBdr>
    </w:div>
    <w:div w:id="1284771303">
      <w:bodyDiv w:val="1"/>
      <w:marLeft w:val="0"/>
      <w:marRight w:val="0"/>
      <w:marTop w:val="0"/>
      <w:marBottom w:val="0"/>
      <w:divBdr>
        <w:top w:val="none" w:sz="0" w:space="0" w:color="auto"/>
        <w:left w:val="none" w:sz="0" w:space="0" w:color="auto"/>
        <w:bottom w:val="none" w:sz="0" w:space="0" w:color="auto"/>
        <w:right w:val="none" w:sz="0" w:space="0" w:color="auto"/>
      </w:divBdr>
    </w:div>
    <w:div w:id="1284917820">
      <w:bodyDiv w:val="1"/>
      <w:marLeft w:val="0"/>
      <w:marRight w:val="0"/>
      <w:marTop w:val="0"/>
      <w:marBottom w:val="0"/>
      <w:divBdr>
        <w:top w:val="none" w:sz="0" w:space="0" w:color="auto"/>
        <w:left w:val="none" w:sz="0" w:space="0" w:color="auto"/>
        <w:bottom w:val="none" w:sz="0" w:space="0" w:color="auto"/>
        <w:right w:val="none" w:sz="0" w:space="0" w:color="auto"/>
      </w:divBdr>
    </w:div>
    <w:div w:id="1284918869">
      <w:bodyDiv w:val="1"/>
      <w:marLeft w:val="0"/>
      <w:marRight w:val="0"/>
      <w:marTop w:val="0"/>
      <w:marBottom w:val="0"/>
      <w:divBdr>
        <w:top w:val="none" w:sz="0" w:space="0" w:color="auto"/>
        <w:left w:val="none" w:sz="0" w:space="0" w:color="auto"/>
        <w:bottom w:val="none" w:sz="0" w:space="0" w:color="auto"/>
        <w:right w:val="none" w:sz="0" w:space="0" w:color="auto"/>
      </w:divBdr>
    </w:div>
    <w:div w:id="1284968373">
      <w:bodyDiv w:val="1"/>
      <w:marLeft w:val="0"/>
      <w:marRight w:val="0"/>
      <w:marTop w:val="0"/>
      <w:marBottom w:val="0"/>
      <w:divBdr>
        <w:top w:val="none" w:sz="0" w:space="0" w:color="auto"/>
        <w:left w:val="none" w:sz="0" w:space="0" w:color="auto"/>
        <w:bottom w:val="none" w:sz="0" w:space="0" w:color="auto"/>
        <w:right w:val="none" w:sz="0" w:space="0" w:color="auto"/>
      </w:divBdr>
    </w:div>
    <w:div w:id="1285043300">
      <w:bodyDiv w:val="1"/>
      <w:marLeft w:val="0"/>
      <w:marRight w:val="0"/>
      <w:marTop w:val="0"/>
      <w:marBottom w:val="0"/>
      <w:divBdr>
        <w:top w:val="none" w:sz="0" w:space="0" w:color="auto"/>
        <w:left w:val="none" w:sz="0" w:space="0" w:color="auto"/>
        <w:bottom w:val="none" w:sz="0" w:space="0" w:color="auto"/>
        <w:right w:val="none" w:sz="0" w:space="0" w:color="auto"/>
      </w:divBdr>
    </w:div>
    <w:div w:id="1285430793">
      <w:bodyDiv w:val="1"/>
      <w:marLeft w:val="0"/>
      <w:marRight w:val="0"/>
      <w:marTop w:val="0"/>
      <w:marBottom w:val="0"/>
      <w:divBdr>
        <w:top w:val="none" w:sz="0" w:space="0" w:color="auto"/>
        <w:left w:val="none" w:sz="0" w:space="0" w:color="auto"/>
        <w:bottom w:val="none" w:sz="0" w:space="0" w:color="auto"/>
        <w:right w:val="none" w:sz="0" w:space="0" w:color="auto"/>
      </w:divBdr>
    </w:div>
    <w:div w:id="1286036495">
      <w:bodyDiv w:val="1"/>
      <w:marLeft w:val="0"/>
      <w:marRight w:val="0"/>
      <w:marTop w:val="0"/>
      <w:marBottom w:val="0"/>
      <w:divBdr>
        <w:top w:val="none" w:sz="0" w:space="0" w:color="auto"/>
        <w:left w:val="none" w:sz="0" w:space="0" w:color="auto"/>
        <w:bottom w:val="none" w:sz="0" w:space="0" w:color="auto"/>
        <w:right w:val="none" w:sz="0" w:space="0" w:color="auto"/>
      </w:divBdr>
    </w:div>
    <w:div w:id="1286087015">
      <w:bodyDiv w:val="1"/>
      <w:marLeft w:val="0"/>
      <w:marRight w:val="0"/>
      <w:marTop w:val="0"/>
      <w:marBottom w:val="0"/>
      <w:divBdr>
        <w:top w:val="none" w:sz="0" w:space="0" w:color="auto"/>
        <w:left w:val="none" w:sz="0" w:space="0" w:color="auto"/>
        <w:bottom w:val="none" w:sz="0" w:space="0" w:color="auto"/>
        <w:right w:val="none" w:sz="0" w:space="0" w:color="auto"/>
      </w:divBdr>
    </w:div>
    <w:div w:id="1286426447">
      <w:bodyDiv w:val="1"/>
      <w:marLeft w:val="0"/>
      <w:marRight w:val="0"/>
      <w:marTop w:val="0"/>
      <w:marBottom w:val="0"/>
      <w:divBdr>
        <w:top w:val="none" w:sz="0" w:space="0" w:color="auto"/>
        <w:left w:val="none" w:sz="0" w:space="0" w:color="auto"/>
        <w:bottom w:val="none" w:sz="0" w:space="0" w:color="auto"/>
        <w:right w:val="none" w:sz="0" w:space="0" w:color="auto"/>
      </w:divBdr>
    </w:div>
    <w:div w:id="1286623309">
      <w:bodyDiv w:val="1"/>
      <w:marLeft w:val="0"/>
      <w:marRight w:val="0"/>
      <w:marTop w:val="0"/>
      <w:marBottom w:val="0"/>
      <w:divBdr>
        <w:top w:val="none" w:sz="0" w:space="0" w:color="auto"/>
        <w:left w:val="none" w:sz="0" w:space="0" w:color="auto"/>
        <w:bottom w:val="none" w:sz="0" w:space="0" w:color="auto"/>
        <w:right w:val="none" w:sz="0" w:space="0" w:color="auto"/>
      </w:divBdr>
    </w:div>
    <w:div w:id="1286734051">
      <w:bodyDiv w:val="1"/>
      <w:marLeft w:val="0"/>
      <w:marRight w:val="0"/>
      <w:marTop w:val="0"/>
      <w:marBottom w:val="0"/>
      <w:divBdr>
        <w:top w:val="none" w:sz="0" w:space="0" w:color="auto"/>
        <w:left w:val="none" w:sz="0" w:space="0" w:color="auto"/>
        <w:bottom w:val="none" w:sz="0" w:space="0" w:color="auto"/>
        <w:right w:val="none" w:sz="0" w:space="0" w:color="auto"/>
      </w:divBdr>
    </w:div>
    <w:div w:id="1286741560">
      <w:bodyDiv w:val="1"/>
      <w:marLeft w:val="0"/>
      <w:marRight w:val="0"/>
      <w:marTop w:val="0"/>
      <w:marBottom w:val="0"/>
      <w:divBdr>
        <w:top w:val="none" w:sz="0" w:space="0" w:color="auto"/>
        <w:left w:val="none" w:sz="0" w:space="0" w:color="auto"/>
        <w:bottom w:val="none" w:sz="0" w:space="0" w:color="auto"/>
        <w:right w:val="none" w:sz="0" w:space="0" w:color="auto"/>
      </w:divBdr>
    </w:div>
    <w:div w:id="1286960266">
      <w:bodyDiv w:val="1"/>
      <w:marLeft w:val="0"/>
      <w:marRight w:val="0"/>
      <w:marTop w:val="0"/>
      <w:marBottom w:val="0"/>
      <w:divBdr>
        <w:top w:val="none" w:sz="0" w:space="0" w:color="auto"/>
        <w:left w:val="none" w:sz="0" w:space="0" w:color="auto"/>
        <w:bottom w:val="none" w:sz="0" w:space="0" w:color="auto"/>
        <w:right w:val="none" w:sz="0" w:space="0" w:color="auto"/>
      </w:divBdr>
    </w:div>
    <w:div w:id="1287080503">
      <w:bodyDiv w:val="1"/>
      <w:marLeft w:val="0"/>
      <w:marRight w:val="0"/>
      <w:marTop w:val="0"/>
      <w:marBottom w:val="0"/>
      <w:divBdr>
        <w:top w:val="none" w:sz="0" w:space="0" w:color="auto"/>
        <w:left w:val="none" w:sz="0" w:space="0" w:color="auto"/>
        <w:bottom w:val="none" w:sz="0" w:space="0" w:color="auto"/>
        <w:right w:val="none" w:sz="0" w:space="0" w:color="auto"/>
      </w:divBdr>
    </w:div>
    <w:div w:id="1287083807">
      <w:bodyDiv w:val="1"/>
      <w:marLeft w:val="0"/>
      <w:marRight w:val="0"/>
      <w:marTop w:val="0"/>
      <w:marBottom w:val="0"/>
      <w:divBdr>
        <w:top w:val="none" w:sz="0" w:space="0" w:color="auto"/>
        <w:left w:val="none" w:sz="0" w:space="0" w:color="auto"/>
        <w:bottom w:val="none" w:sz="0" w:space="0" w:color="auto"/>
        <w:right w:val="none" w:sz="0" w:space="0" w:color="auto"/>
      </w:divBdr>
    </w:div>
    <w:div w:id="1287199429">
      <w:bodyDiv w:val="1"/>
      <w:marLeft w:val="0"/>
      <w:marRight w:val="0"/>
      <w:marTop w:val="0"/>
      <w:marBottom w:val="0"/>
      <w:divBdr>
        <w:top w:val="none" w:sz="0" w:space="0" w:color="auto"/>
        <w:left w:val="none" w:sz="0" w:space="0" w:color="auto"/>
        <w:bottom w:val="none" w:sz="0" w:space="0" w:color="auto"/>
        <w:right w:val="none" w:sz="0" w:space="0" w:color="auto"/>
      </w:divBdr>
    </w:div>
    <w:div w:id="1287273141">
      <w:bodyDiv w:val="1"/>
      <w:marLeft w:val="0"/>
      <w:marRight w:val="0"/>
      <w:marTop w:val="0"/>
      <w:marBottom w:val="0"/>
      <w:divBdr>
        <w:top w:val="none" w:sz="0" w:space="0" w:color="auto"/>
        <w:left w:val="none" w:sz="0" w:space="0" w:color="auto"/>
        <w:bottom w:val="none" w:sz="0" w:space="0" w:color="auto"/>
        <w:right w:val="none" w:sz="0" w:space="0" w:color="auto"/>
      </w:divBdr>
    </w:div>
    <w:div w:id="1287276719">
      <w:bodyDiv w:val="1"/>
      <w:marLeft w:val="0"/>
      <w:marRight w:val="0"/>
      <w:marTop w:val="0"/>
      <w:marBottom w:val="0"/>
      <w:divBdr>
        <w:top w:val="none" w:sz="0" w:space="0" w:color="auto"/>
        <w:left w:val="none" w:sz="0" w:space="0" w:color="auto"/>
        <w:bottom w:val="none" w:sz="0" w:space="0" w:color="auto"/>
        <w:right w:val="none" w:sz="0" w:space="0" w:color="auto"/>
      </w:divBdr>
    </w:div>
    <w:div w:id="1287350268">
      <w:bodyDiv w:val="1"/>
      <w:marLeft w:val="0"/>
      <w:marRight w:val="0"/>
      <w:marTop w:val="0"/>
      <w:marBottom w:val="0"/>
      <w:divBdr>
        <w:top w:val="none" w:sz="0" w:space="0" w:color="auto"/>
        <w:left w:val="none" w:sz="0" w:space="0" w:color="auto"/>
        <w:bottom w:val="none" w:sz="0" w:space="0" w:color="auto"/>
        <w:right w:val="none" w:sz="0" w:space="0" w:color="auto"/>
      </w:divBdr>
    </w:div>
    <w:div w:id="1287852021">
      <w:bodyDiv w:val="1"/>
      <w:marLeft w:val="0"/>
      <w:marRight w:val="0"/>
      <w:marTop w:val="0"/>
      <w:marBottom w:val="0"/>
      <w:divBdr>
        <w:top w:val="none" w:sz="0" w:space="0" w:color="auto"/>
        <w:left w:val="none" w:sz="0" w:space="0" w:color="auto"/>
        <w:bottom w:val="none" w:sz="0" w:space="0" w:color="auto"/>
        <w:right w:val="none" w:sz="0" w:space="0" w:color="auto"/>
      </w:divBdr>
    </w:div>
    <w:div w:id="1287932645">
      <w:bodyDiv w:val="1"/>
      <w:marLeft w:val="0"/>
      <w:marRight w:val="0"/>
      <w:marTop w:val="0"/>
      <w:marBottom w:val="0"/>
      <w:divBdr>
        <w:top w:val="none" w:sz="0" w:space="0" w:color="auto"/>
        <w:left w:val="none" w:sz="0" w:space="0" w:color="auto"/>
        <w:bottom w:val="none" w:sz="0" w:space="0" w:color="auto"/>
        <w:right w:val="none" w:sz="0" w:space="0" w:color="auto"/>
      </w:divBdr>
    </w:div>
    <w:div w:id="1287934598">
      <w:bodyDiv w:val="1"/>
      <w:marLeft w:val="0"/>
      <w:marRight w:val="0"/>
      <w:marTop w:val="0"/>
      <w:marBottom w:val="0"/>
      <w:divBdr>
        <w:top w:val="none" w:sz="0" w:space="0" w:color="auto"/>
        <w:left w:val="none" w:sz="0" w:space="0" w:color="auto"/>
        <w:bottom w:val="none" w:sz="0" w:space="0" w:color="auto"/>
        <w:right w:val="none" w:sz="0" w:space="0" w:color="auto"/>
      </w:divBdr>
    </w:div>
    <w:div w:id="1288049790">
      <w:bodyDiv w:val="1"/>
      <w:marLeft w:val="0"/>
      <w:marRight w:val="0"/>
      <w:marTop w:val="0"/>
      <w:marBottom w:val="0"/>
      <w:divBdr>
        <w:top w:val="none" w:sz="0" w:space="0" w:color="auto"/>
        <w:left w:val="none" w:sz="0" w:space="0" w:color="auto"/>
        <w:bottom w:val="none" w:sz="0" w:space="0" w:color="auto"/>
        <w:right w:val="none" w:sz="0" w:space="0" w:color="auto"/>
      </w:divBdr>
    </w:div>
    <w:div w:id="1288123197">
      <w:bodyDiv w:val="1"/>
      <w:marLeft w:val="0"/>
      <w:marRight w:val="0"/>
      <w:marTop w:val="0"/>
      <w:marBottom w:val="0"/>
      <w:divBdr>
        <w:top w:val="none" w:sz="0" w:space="0" w:color="auto"/>
        <w:left w:val="none" w:sz="0" w:space="0" w:color="auto"/>
        <w:bottom w:val="none" w:sz="0" w:space="0" w:color="auto"/>
        <w:right w:val="none" w:sz="0" w:space="0" w:color="auto"/>
      </w:divBdr>
    </w:div>
    <w:div w:id="1288317834">
      <w:bodyDiv w:val="1"/>
      <w:marLeft w:val="0"/>
      <w:marRight w:val="0"/>
      <w:marTop w:val="0"/>
      <w:marBottom w:val="0"/>
      <w:divBdr>
        <w:top w:val="none" w:sz="0" w:space="0" w:color="auto"/>
        <w:left w:val="none" w:sz="0" w:space="0" w:color="auto"/>
        <w:bottom w:val="none" w:sz="0" w:space="0" w:color="auto"/>
        <w:right w:val="none" w:sz="0" w:space="0" w:color="auto"/>
      </w:divBdr>
    </w:div>
    <w:div w:id="1288509503">
      <w:bodyDiv w:val="1"/>
      <w:marLeft w:val="0"/>
      <w:marRight w:val="0"/>
      <w:marTop w:val="0"/>
      <w:marBottom w:val="0"/>
      <w:divBdr>
        <w:top w:val="none" w:sz="0" w:space="0" w:color="auto"/>
        <w:left w:val="none" w:sz="0" w:space="0" w:color="auto"/>
        <w:bottom w:val="none" w:sz="0" w:space="0" w:color="auto"/>
        <w:right w:val="none" w:sz="0" w:space="0" w:color="auto"/>
      </w:divBdr>
    </w:div>
    <w:div w:id="1288511587">
      <w:bodyDiv w:val="1"/>
      <w:marLeft w:val="0"/>
      <w:marRight w:val="0"/>
      <w:marTop w:val="0"/>
      <w:marBottom w:val="0"/>
      <w:divBdr>
        <w:top w:val="none" w:sz="0" w:space="0" w:color="auto"/>
        <w:left w:val="none" w:sz="0" w:space="0" w:color="auto"/>
        <w:bottom w:val="none" w:sz="0" w:space="0" w:color="auto"/>
        <w:right w:val="none" w:sz="0" w:space="0" w:color="auto"/>
      </w:divBdr>
    </w:div>
    <w:div w:id="1288585419">
      <w:bodyDiv w:val="1"/>
      <w:marLeft w:val="0"/>
      <w:marRight w:val="0"/>
      <w:marTop w:val="0"/>
      <w:marBottom w:val="0"/>
      <w:divBdr>
        <w:top w:val="none" w:sz="0" w:space="0" w:color="auto"/>
        <w:left w:val="none" w:sz="0" w:space="0" w:color="auto"/>
        <w:bottom w:val="none" w:sz="0" w:space="0" w:color="auto"/>
        <w:right w:val="none" w:sz="0" w:space="0" w:color="auto"/>
      </w:divBdr>
    </w:div>
    <w:div w:id="1288975233">
      <w:bodyDiv w:val="1"/>
      <w:marLeft w:val="0"/>
      <w:marRight w:val="0"/>
      <w:marTop w:val="0"/>
      <w:marBottom w:val="0"/>
      <w:divBdr>
        <w:top w:val="none" w:sz="0" w:space="0" w:color="auto"/>
        <w:left w:val="none" w:sz="0" w:space="0" w:color="auto"/>
        <w:bottom w:val="none" w:sz="0" w:space="0" w:color="auto"/>
        <w:right w:val="none" w:sz="0" w:space="0" w:color="auto"/>
      </w:divBdr>
    </w:div>
    <w:div w:id="1289046014">
      <w:bodyDiv w:val="1"/>
      <w:marLeft w:val="0"/>
      <w:marRight w:val="0"/>
      <w:marTop w:val="0"/>
      <w:marBottom w:val="0"/>
      <w:divBdr>
        <w:top w:val="none" w:sz="0" w:space="0" w:color="auto"/>
        <w:left w:val="none" w:sz="0" w:space="0" w:color="auto"/>
        <w:bottom w:val="none" w:sz="0" w:space="0" w:color="auto"/>
        <w:right w:val="none" w:sz="0" w:space="0" w:color="auto"/>
      </w:divBdr>
    </w:div>
    <w:div w:id="1289167009">
      <w:bodyDiv w:val="1"/>
      <w:marLeft w:val="0"/>
      <w:marRight w:val="0"/>
      <w:marTop w:val="0"/>
      <w:marBottom w:val="0"/>
      <w:divBdr>
        <w:top w:val="none" w:sz="0" w:space="0" w:color="auto"/>
        <w:left w:val="none" w:sz="0" w:space="0" w:color="auto"/>
        <w:bottom w:val="none" w:sz="0" w:space="0" w:color="auto"/>
        <w:right w:val="none" w:sz="0" w:space="0" w:color="auto"/>
      </w:divBdr>
    </w:div>
    <w:div w:id="1289314733">
      <w:bodyDiv w:val="1"/>
      <w:marLeft w:val="0"/>
      <w:marRight w:val="0"/>
      <w:marTop w:val="0"/>
      <w:marBottom w:val="0"/>
      <w:divBdr>
        <w:top w:val="none" w:sz="0" w:space="0" w:color="auto"/>
        <w:left w:val="none" w:sz="0" w:space="0" w:color="auto"/>
        <w:bottom w:val="none" w:sz="0" w:space="0" w:color="auto"/>
        <w:right w:val="none" w:sz="0" w:space="0" w:color="auto"/>
      </w:divBdr>
    </w:div>
    <w:div w:id="1289629080">
      <w:bodyDiv w:val="1"/>
      <w:marLeft w:val="0"/>
      <w:marRight w:val="0"/>
      <w:marTop w:val="0"/>
      <w:marBottom w:val="0"/>
      <w:divBdr>
        <w:top w:val="none" w:sz="0" w:space="0" w:color="auto"/>
        <w:left w:val="none" w:sz="0" w:space="0" w:color="auto"/>
        <w:bottom w:val="none" w:sz="0" w:space="0" w:color="auto"/>
        <w:right w:val="none" w:sz="0" w:space="0" w:color="auto"/>
      </w:divBdr>
    </w:div>
    <w:div w:id="1289705150">
      <w:bodyDiv w:val="1"/>
      <w:marLeft w:val="0"/>
      <w:marRight w:val="0"/>
      <w:marTop w:val="0"/>
      <w:marBottom w:val="0"/>
      <w:divBdr>
        <w:top w:val="none" w:sz="0" w:space="0" w:color="auto"/>
        <w:left w:val="none" w:sz="0" w:space="0" w:color="auto"/>
        <w:bottom w:val="none" w:sz="0" w:space="0" w:color="auto"/>
        <w:right w:val="none" w:sz="0" w:space="0" w:color="auto"/>
      </w:divBdr>
    </w:div>
    <w:div w:id="1289816794">
      <w:bodyDiv w:val="1"/>
      <w:marLeft w:val="0"/>
      <w:marRight w:val="0"/>
      <w:marTop w:val="0"/>
      <w:marBottom w:val="0"/>
      <w:divBdr>
        <w:top w:val="none" w:sz="0" w:space="0" w:color="auto"/>
        <w:left w:val="none" w:sz="0" w:space="0" w:color="auto"/>
        <w:bottom w:val="none" w:sz="0" w:space="0" w:color="auto"/>
        <w:right w:val="none" w:sz="0" w:space="0" w:color="auto"/>
      </w:divBdr>
    </w:div>
    <w:div w:id="1289896452">
      <w:bodyDiv w:val="1"/>
      <w:marLeft w:val="0"/>
      <w:marRight w:val="0"/>
      <w:marTop w:val="0"/>
      <w:marBottom w:val="0"/>
      <w:divBdr>
        <w:top w:val="none" w:sz="0" w:space="0" w:color="auto"/>
        <w:left w:val="none" w:sz="0" w:space="0" w:color="auto"/>
        <w:bottom w:val="none" w:sz="0" w:space="0" w:color="auto"/>
        <w:right w:val="none" w:sz="0" w:space="0" w:color="auto"/>
      </w:divBdr>
    </w:div>
    <w:div w:id="1290207453">
      <w:bodyDiv w:val="1"/>
      <w:marLeft w:val="0"/>
      <w:marRight w:val="0"/>
      <w:marTop w:val="0"/>
      <w:marBottom w:val="0"/>
      <w:divBdr>
        <w:top w:val="none" w:sz="0" w:space="0" w:color="auto"/>
        <w:left w:val="none" w:sz="0" w:space="0" w:color="auto"/>
        <w:bottom w:val="none" w:sz="0" w:space="0" w:color="auto"/>
        <w:right w:val="none" w:sz="0" w:space="0" w:color="auto"/>
      </w:divBdr>
    </w:div>
    <w:div w:id="1290208163">
      <w:bodyDiv w:val="1"/>
      <w:marLeft w:val="0"/>
      <w:marRight w:val="0"/>
      <w:marTop w:val="0"/>
      <w:marBottom w:val="0"/>
      <w:divBdr>
        <w:top w:val="none" w:sz="0" w:space="0" w:color="auto"/>
        <w:left w:val="none" w:sz="0" w:space="0" w:color="auto"/>
        <w:bottom w:val="none" w:sz="0" w:space="0" w:color="auto"/>
        <w:right w:val="none" w:sz="0" w:space="0" w:color="auto"/>
      </w:divBdr>
    </w:div>
    <w:div w:id="1290209331">
      <w:bodyDiv w:val="1"/>
      <w:marLeft w:val="0"/>
      <w:marRight w:val="0"/>
      <w:marTop w:val="0"/>
      <w:marBottom w:val="0"/>
      <w:divBdr>
        <w:top w:val="none" w:sz="0" w:space="0" w:color="auto"/>
        <w:left w:val="none" w:sz="0" w:space="0" w:color="auto"/>
        <w:bottom w:val="none" w:sz="0" w:space="0" w:color="auto"/>
        <w:right w:val="none" w:sz="0" w:space="0" w:color="auto"/>
      </w:divBdr>
    </w:div>
    <w:div w:id="1290280238">
      <w:bodyDiv w:val="1"/>
      <w:marLeft w:val="0"/>
      <w:marRight w:val="0"/>
      <w:marTop w:val="0"/>
      <w:marBottom w:val="0"/>
      <w:divBdr>
        <w:top w:val="none" w:sz="0" w:space="0" w:color="auto"/>
        <w:left w:val="none" w:sz="0" w:space="0" w:color="auto"/>
        <w:bottom w:val="none" w:sz="0" w:space="0" w:color="auto"/>
        <w:right w:val="none" w:sz="0" w:space="0" w:color="auto"/>
      </w:divBdr>
    </w:div>
    <w:div w:id="1290353991">
      <w:bodyDiv w:val="1"/>
      <w:marLeft w:val="0"/>
      <w:marRight w:val="0"/>
      <w:marTop w:val="0"/>
      <w:marBottom w:val="0"/>
      <w:divBdr>
        <w:top w:val="none" w:sz="0" w:space="0" w:color="auto"/>
        <w:left w:val="none" w:sz="0" w:space="0" w:color="auto"/>
        <w:bottom w:val="none" w:sz="0" w:space="0" w:color="auto"/>
        <w:right w:val="none" w:sz="0" w:space="0" w:color="auto"/>
      </w:divBdr>
    </w:div>
    <w:div w:id="1290671649">
      <w:bodyDiv w:val="1"/>
      <w:marLeft w:val="0"/>
      <w:marRight w:val="0"/>
      <w:marTop w:val="0"/>
      <w:marBottom w:val="0"/>
      <w:divBdr>
        <w:top w:val="none" w:sz="0" w:space="0" w:color="auto"/>
        <w:left w:val="none" w:sz="0" w:space="0" w:color="auto"/>
        <w:bottom w:val="none" w:sz="0" w:space="0" w:color="auto"/>
        <w:right w:val="none" w:sz="0" w:space="0" w:color="auto"/>
      </w:divBdr>
    </w:div>
    <w:div w:id="1290741073">
      <w:bodyDiv w:val="1"/>
      <w:marLeft w:val="0"/>
      <w:marRight w:val="0"/>
      <w:marTop w:val="0"/>
      <w:marBottom w:val="0"/>
      <w:divBdr>
        <w:top w:val="none" w:sz="0" w:space="0" w:color="auto"/>
        <w:left w:val="none" w:sz="0" w:space="0" w:color="auto"/>
        <w:bottom w:val="none" w:sz="0" w:space="0" w:color="auto"/>
        <w:right w:val="none" w:sz="0" w:space="0" w:color="auto"/>
      </w:divBdr>
    </w:div>
    <w:div w:id="1290815617">
      <w:bodyDiv w:val="1"/>
      <w:marLeft w:val="0"/>
      <w:marRight w:val="0"/>
      <w:marTop w:val="0"/>
      <w:marBottom w:val="0"/>
      <w:divBdr>
        <w:top w:val="none" w:sz="0" w:space="0" w:color="auto"/>
        <w:left w:val="none" w:sz="0" w:space="0" w:color="auto"/>
        <w:bottom w:val="none" w:sz="0" w:space="0" w:color="auto"/>
        <w:right w:val="none" w:sz="0" w:space="0" w:color="auto"/>
      </w:divBdr>
    </w:div>
    <w:div w:id="1290893538">
      <w:bodyDiv w:val="1"/>
      <w:marLeft w:val="0"/>
      <w:marRight w:val="0"/>
      <w:marTop w:val="0"/>
      <w:marBottom w:val="0"/>
      <w:divBdr>
        <w:top w:val="none" w:sz="0" w:space="0" w:color="auto"/>
        <w:left w:val="none" w:sz="0" w:space="0" w:color="auto"/>
        <w:bottom w:val="none" w:sz="0" w:space="0" w:color="auto"/>
        <w:right w:val="none" w:sz="0" w:space="0" w:color="auto"/>
      </w:divBdr>
    </w:div>
    <w:div w:id="1290940620">
      <w:bodyDiv w:val="1"/>
      <w:marLeft w:val="0"/>
      <w:marRight w:val="0"/>
      <w:marTop w:val="0"/>
      <w:marBottom w:val="0"/>
      <w:divBdr>
        <w:top w:val="none" w:sz="0" w:space="0" w:color="auto"/>
        <w:left w:val="none" w:sz="0" w:space="0" w:color="auto"/>
        <w:bottom w:val="none" w:sz="0" w:space="0" w:color="auto"/>
        <w:right w:val="none" w:sz="0" w:space="0" w:color="auto"/>
      </w:divBdr>
    </w:div>
    <w:div w:id="1291133570">
      <w:bodyDiv w:val="1"/>
      <w:marLeft w:val="0"/>
      <w:marRight w:val="0"/>
      <w:marTop w:val="0"/>
      <w:marBottom w:val="0"/>
      <w:divBdr>
        <w:top w:val="none" w:sz="0" w:space="0" w:color="auto"/>
        <w:left w:val="none" w:sz="0" w:space="0" w:color="auto"/>
        <w:bottom w:val="none" w:sz="0" w:space="0" w:color="auto"/>
        <w:right w:val="none" w:sz="0" w:space="0" w:color="auto"/>
      </w:divBdr>
    </w:div>
    <w:div w:id="1291546767">
      <w:bodyDiv w:val="1"/>
      <w:marLeft w:val="0"/>
      <w:marRight w:val="0"/>
      <w:marTop w:val="0"/>
      <w:marBottom w:val="0"/>
      <w:divBdr>
        <w:top w:val="none" w:sz="0" w:space="0" w:color="auto"/>
        <w:left w:val="none" w:sz="0" w:space="0" w:color="auto"/>
        <w:bottom w:val="none" w:sz="0" w:space="0" w:color="auto"/>
        <w:right w:val="none" w:sz="0" w:space="0" w:color="auto"/>
      </w:divBdr>
    </w:div>
    <w:div w:id="1291670034">
      <w:bodyDiv w:val="1"/>
      <w:marLeft w:val="0"/>
      <w:marRight w:val="0"/>
      <w:marTop w:val="0"/>
      <w:marBottom w:val="0"/>
      <w:divBdr>
        <w:top w:val="none" w:sz="0" w:space="0" w:color="auto"/>
        <w:left w:val="none" w:sz="0" w:space="0" w:color="auto"/>
        <w:bottom w:val="none" w:sz="0" w:space="0" w:color="auto"/>
        <w:right w:val="none" w:sz="0" w:space="0" w:color="auto"/>
      </w:divBdr>
    </w:div>
    <w:div w:id="1292129097">
      <w:bodyDiv w:val="1"/>
      <w:marLeft w:val="0"/>
      <w:marRight w:val="0"/>
      <w:marTop w:val="0"/>
      <w:marBottom w:val="0"/>
      <w:divBdr>
        <w:top w:val="none" w:sz="0" w:space="0" w:color="auto"/>
        <w:left w:val="none" w:sz="0" w:space="0" w:color="auto"/>
        <w:bottom w:val="none" w:sz="0" w:space="0" w:color="auto"/>
        <w:right w:val="none" w:sz="0" w:space="0" w:color="auto"/>
      </w:divBdr>
    </w:div>
    <w:div w:id="1292707522">
      <w:bodyDiv w:val="1"/>
      <w:marLeft w:val="0"/>
      <w:marRight w:val="0"/>
      <w:marTop w:val="0"/>
      <w:marBottom w:val="0"/>
      <w:divBdr>
        <w:top w:val="none" w:sz="0" w:space="0" w:color="auto"/>
        <w:left w:val="none" w:sz="0" w:space="0" w:color="auto"/>
        <w:bottom w:val="none" w:sz="0" w:space="0" w:color="auto"/>
        <w:right w:val="none" w:sz="0" w:space="0" w:color="auto"/>
      </w:divBdr>
    </w:div>
    <w:div w:id="1292783982">
      <w:bodyDiv w:val="1"/>
      <w:marLeft w:val="0"/>
      <w:marRight w:val="0"/>
      <w:marTop w:val="0"/>
      <w:marBottom w:val="0"/>
      <w:divBdr>
        <w:top w:val="none" w:sz="0" w:space="0" w:color="auto"/>
        <w:left w:val="none" w:sz="0" w:space="0" w:color="auto"/>
        <w:bottom w:val="none" w:sz="0" w:space="0" w:color="auto"/>
        <w:right w:val="none" w:sz="0" w:space="0" w:color="auto"/>
      </w:divBdr>
    </w:div>
    <w:div w:id="1292907144">
      <w:bodyDiv w:val="1"/>
      <w:marLeft w:val="0"/>
      <w:marRight w:val="0"/>
      <w:marTop w:val="0"/>
      <w:marBottom w:val="0"/>
      <w:divBdr>
        <w:top w:val="none" w:sz="0" w:space="0" w:color="auto"/>
        <w:left w:val="none" w:sz="0" w:space="0" w:color="auto"/>
        <w:bottom w:val="none" w:sz="0" w:space="0" w:color="auto"/>
        <w:right w:val="none" w:sz="0" w:space="0" w:color="auto"/>
      </w:divBdr>
    </w:div>
    <w:div w:id="1292973933">
      <w:bodyDiv w:val="1"/>
      <w:marLeft w:val="0"/>
      <w:marRight w:val="0"/>
      <w:marTop w:val="0"/>
      <w:marBottom w:val="0"/>
      <w:divBdr>
        <w:top w:val="none" w:sz="0" w:space="0" w:color="auto"/>
        <w:left w:val="none" w:sz="0" w:space="0" w:color="auto"/>
        <w:bottom w:val="none" w:sz="0" w:space="0" w:color="auto"/>
        <w:right w:val="none" w:sz="0" w:space="0" w:color="auto"/>
      </w:divBdr>
    </w:div>
    <w:div w:id="1293053684">
      <w:bodyDiv w:val="1"/>
      <w:marLeft w:val="0"/>
      <w:marRight w:val="0"/>
      <w:marTop w:val="0"/>
      <w:marBottom w:val="0"/>
      <w:divBdr>
        <w:top w:val="none" w:sz="0" w:space="0" w:color="auto"/>
        <w:left w:val="none" w:sz="0" w:space="0" w:color="auto"/>
        <w:bottom w:val="none" w:sz="0" w:space="0" w:color="auto"/>
        <w:right w:val="none" w:sz="0" w:space="0" w:color="auto"/>
      </w:divBdr>
    </w:div>
    <w:div w:id="1293438166">
      <w:bodyDiv w:val="1"/>
      <w:marLeft w:val="0"/>
      <w:marRight w:val="0"/>
      <w:marTop w:val="0"/>
      <w:marBottom w:val="0"/>
      <w:divBdr>
        <w:top w:val="none" w:sz="0" w:space="0" w:color="auto"/>
        <w:left w:val="none" w:sz="0" w:space="0" w:color="auto"/>
        <w:bottom w:val="none" w:sz="0" w:space="0" w:color="auto"/>
        <w:right w:val="none" w:sz="0" w:space="0" w:color="auto"/>
      </w:divBdr>
    </w:div>
    <w:div w:id="1293440332">
      <w:bodyDiv w:val="1"/>
      <w:marLeft w:val="0"/>
      <w:marRight w:val="0"/>
      <w:marTop w:val="0"/>
      <w:marBottom w:val="0"/>
      <w:divBdr>
        <w:top w:val="none" w:sz="0" w:space="0" w:color="auto"/>
        <w:left w:val="none" w:sz="0" w:space="0" w:color="auto"/>
        <w:bottom w:val="none" w:sz="0" w:space="0" w:color="auto"/>
        <w:right w:val="none" w:sz="0" w:space="0" w:color="auto"/>
      </w:divBdr>
    </w:div>
    <w:div w:id="1293563326">
      <w:bodyDiv w:val="1"/>
      <w:marLeft w:val="0"/>
      <w:marRight w:val="0"/>
      <w:marTop w:val="0"/>
      <w:marBottom w:val="0"/>
      <w:divBdr>
        <w:top w:val="none" w:sz="0" w:space="0" w:color="auto"/>
        <w:left w:val="none" w:sz="0" w:space="0" w:color="auto"/>
        <w:bottom w:val="none" w:sz="0" w:space="0" w:color="auto"/>
        <w:right w:val="none" w:sz="0" w:space="0" w:color="auto"/>
      </w:divBdr>
    </w:div>
    <w:div w:id="1293822567">
      <w:bodyDiv w:val="1"/>
      <w:marLeft w:val="0"/>
      <w:marRight w:val="0"/>
      <w:marTop w:val="0"/>
      <w:marBottom w:val="0"/>
      <w:divBdr>
        <w:top w:val="none" w:sz="0" w:space="0" w:color="auto"/>
        <w:left w:val="none" w:sz="0" w:space="0" w:color="auto"/>
        <w:bottom w:val="none" w:sz="0" w:space="0" w:color="auto"/>
        <w:right w:val="none" w:sz="0" w:space="0" w:color="auto"/>
      </w:divBdr>
    </w:div>
    <w:div w:id="1293900473">
      <w:bodyDiv w:val="1"/>
      <w:marLeft w:val="0"/>
      <w:marRight w:val="0"/>
      <w:marTop w:val="0"/>
      <w:marBottom w:val="0"/>
      <w:divBdr>
        <w:top w:val="none" w:sz="0" w:space="0" w:color="auto"/>
        <w:left w:val="none" w:sz="0" w:space="0" w:color="auto"/>
        <w:bottom w:val="none" w:sz="0" w:space="0" w:color="auto"/>
        <w:right w:val="none" w:sz="0" w:space="0" w:color="auto"/>
      </w:divBdr>
    </w:div>
    <w:div w:id="1294015941">
      <w:bodyDiv w:val="1"/>
      <w:marLeft w:val="0"/>
      <w:marRight w:val="0"/>
      <w:marTop w:val="0"/>
      <w:marBottom w:val="0"/>
      <w:divBdr>
        <w:top w:val="none" w:sz="0" w:space="0" w:color="auto"/>
        <w:left w:val="none" w:sz="0" w:space="0" w:color="auto"/>
        <w:bottom w:val="none" w:sz="0" w:space="0" w:color="auto"/>
        <w:right w:val="none" w:sz="0" w:space="0" w:color="auto"/>
      </w:divBdr>
    </w:div>
    <w:div w:id="1294406654">
      <w:bodyDiv w:val="1"/>
      <w:marLeft w:val="0"/>
      <w:marRight w:val="0"/>
      <w:marTop w:val="0"/>
      <w:marBottom w:val="0"/>
      <w:divBdr>
        <w:top w:val="none" w:sz="0" w:space="0" w:color="auto"/>
        <w:left w:val="none" w:sz="0" w:space="0" w:color="auto"/>
        <w:bottom w:val="none" w:sz="0" w:space="0" w:color="auto"/>
        <w:right w:val="none" w:sz="0" w:space="0" w:color="auto"/>
      </w:divBdr>
    </w:div>
    <w:div w:id="1294484664">
      <w:bodyDiv w:val="1"/>
      <w:marLeft w:val="0"/>
      <w:marRight w:val="0"/>
      <w:marTop w:val="0"/>
      <w:marBottom w:val="0"/>
      <w:divBdr>
        <w:top w:val="none" w:sz="0" w:space="0" w:color="auto"/>
        <w:left w:val="none" w:sz="0" w:space="0" w:color="auto"/>
        <w:bottom w:val="none" w:sz="0" w:space="0" w:color="auto"/>
        <w:right w:val="none" w:sz="0" w:space="0" w:color="auto"/>
      </w:divBdr>
    </w:div>
    <w:div w:id="1294755526">
      <w:bodyDiv w:val="1"/>
      <w:marLeft w:val="0"/>
      <w:marRight w:val="0"/>
      <w:marTop w:val="0"/>
      <w:marBottom w:val="0"/>
      <w:divBdr>
        <w:top w:val="none" w:sz="0" w:space="0" w:color="auto"/>
        <w:left w:val="none" w:sz="0" w:space="0" w:color="auto"/>
        <w:bottom w:val="none" w:sz="0" w:space="0" w:color="auto"/>
        <w:right w:val="none" w:sz="0" w:space="0" w:color="auto"/>
      </w:divBdr>
    </w:div>
    <w:div w:id="1294798460">
      <w:bodyDiv w:val="1"/>
      <w:marLeft w:val="0"/>
      <w:marRight w:val="0"/>
      <w:marTop w:val="0"/>
      <w:marBottom w:val="0"/>
      <w:divBdr>
        <w:top w:val="none" w:sz="0" w:space="0" w:color="auto"/>
        <w:left w:val="none" w:sz="0" w:space="0" w:color="auto"/>
        <w:bottom w:val="none" w:sz="0" w:space="0" w:color="auto"/>
        <w:right w:val="none" w:sz="0" w:space="0" w:color="auto"/>
      </w:divBdr>
    </w:div>
    <w:div w:id="1294867822">
      <w:bodyDiv w:val="1"/>
      <w:marLeft w:val="0"/>
      <w:marRight w:val="0"/>
      <w:marTop w:val="0"/>
      <w:marBottom w:val="0"/>
      <w:divBdr>
        <w:top w:val="none" w:sz="0" w:space="0" w:color="auto"/>
        <w:left w:val="none" w:sz="0" w:space="0" w:color="auto"/>
        <w:bottom w:val="none" w:sz="0" w:space="0" w:color="auto"/>
        <w:right w:val="none" w:sz="0" w:space="0" w:color="auto"/>
      </w:divBdr>
    </w:div>
    <w:div w:id="1295209035">
      <w:bodyDiv w:val="1"/>
      <w:marLeft w:val="0"/>
      <w:marRight w:val="0"/>
      <w:marTop w:val="0"/>
      <w:marBottom w:val="0"/>
      <w:divBdr>
        <w:top w:val="none" w:sz="0" w:space="0" w:color="auto"/>
        <w:left w:val="none" w:sz="0" w:space="0" w:color="auto"/>
        <w:bottom w:val="none" w:sz="0" w:space="0" w:color="auto"/>
        <w:right w:val="none" w:sz="0" w:space="0" w:color="auto"/>
      </w:divBdr>
    </w:div>
    <w:div w:id="1295214746">
      <w:bodyDiv w:val="1"/>
      <w:marLeft w:val="0"/>
      <w:marRight w:val="0"/>
      <w:marTop w:val="0"/>
      <w:marBottom w:val="0"/>
      <w:divBdr>
        <w:top w:val="none" w:sz="0" w:space="0" w:color="auto"/>
        <w:left w:val="none" w:sz="0" w:space="0" w:color="auto"/>
        <w:bottom w:val="none" w:sz="0" w:space="0" w:color="auto"/>
        <w:right w:val="none" w:sz="0" w:space="0" w:color="auto"/>
      </w:divBdr>
    </w:div>
    <w:div w:id="1295402327">
      <w:bodyDiv w:val="1"/>
      <w:marLeft w:val="0"/>
      <w:marRight w:val="0"/>
      <w:marTop w:val="0"/>
      <w:marBottom w:val="0"/>
      <w:divBdr>
        <w:top w:val="none" w:sz="0" w:space="0" w:color="auto"/>
        <w:left w:val="none" w:sz="0" w:space="0" w:color="auto"/>
        <w:bottom w:val="none" w:sz="0" w:space="0" w:color="auto"/>
        <w:right w:val="none" w:sz="0" w:space="0" w:color="auto"/>
      </w:divBdr>
    </w:div>
    <w:div w:id="1295407846">
      <w:bodyDiv w:val="1"/>
      <w:marLeft w:val="0"/>
      <w:marRight w:val="0"/>
      <w:marTop w:val="0"/>
      <w:marBottom w:val="0"/>
      <w:divBdr>
        <w:top w:val="none" w:sz="0" w:space="0" w:color="auto"/>
        <w:left w:val="none" w:sz="0" w:space="0" w:color="auto"/>
        <w:bottom w:val="none" w:sz="0" w:space="0" w:color="auto"/>
        <w:right w:val="none" w:sz="0" w:space="0" w:color="auto"/>
      </w:divBdr>
    </w:div>
    <w:div w:id="1295718890">
      <w:bodyDiv w:val="1"/>
      <w:marLeft w:val="0"/>
      <w:marRight w:val="0"/>
      <w:marTop w:val="0"/>
      <w:marBottom w:val="0"/>
      <w:divBdr>
        <w:top w:val="none" w:sz="0" w:space="0" w:color="auto"/>
        <w:left w:val="none" w:sz="0" w:space="0" w:color="auto"/>
        <w:bottom w:val="none" w:sz="0" w:space="0" w:color="auto"/>
        <w:right w:val="none" w:sz="0" w:space="0" w:color="auto"/>
      </w:divBdr>
    </w:div>
    <w:div w:id="1295720456">
      <w:bodyDiv w:val="1"/>
      <w:marLeft w:val="0"/>
      <w:marRight w:val="0"/>
      <w:marTop w:val="0"/>
      <w:marBottom w:val="0"/>
      <w:divBdr>
        <w:top w:val="none" w:sz="0" w:space="0" w:color="auto"/>
        <w:left w:val="none" w:sz="0" w:space="0" w:color="auto"/>
        <w:bottom w:val="none" w:sz="0" w:space="0" w:color="auto"/>
        <w:right w:val="none" w:sz="0" w:space="0" w:color="auto"/>
      </w:divBdr>
    </w:div>
    <w:div w:id="1296059268">
      <w:bodyDiv w:val="1"/>
      <w:marLeft w:val="0"/>
      <w:marRight w:val="0"/>
      <w:marTop w:val="0"/>
      <w:marBottom w:val="0"/>
      <w:divBdr>
        <w:top w:val="none" w:sz="0" w:space="0" w:color="auto"/>
        <w:left w:val="none" w:sz="0" w:space="0" w:color="auto"/>
        <w:bottom w:val="none" w:sz="0" w:space="0" w:color="auto"/>
        <w:right w:val="none" w:sz="0" w:space="0" w:color="auto"/>
      </w:divBdr>
    </w:div>
    <w:div w:id="1296059882">
      <w:bodyDiv w:val="1"/>
      <w:marLeft w:val="0"/>
      <w:marRight w:val="0"/>
      <w:marTop w:val="0"/>
      <w:marBottom w:val="0"/>
      <w:divBdr>
        <w:top w:val="none" w:sz="0" w:space="0" w:color="auto"/>
        <w:left w:val="none" w:sz="0" w:space="0" w:color="auto"/>
        <w:bottom w:val="none" w:sz="0" w:space="0" w:color="auto"/>
        <w:right w:val="none" w:sz="0" w:space="0" w:color="auto"/>
      </w:divBdr>
    </w:div>
    <w:div w:id="1296178804">
      <w:bodyDiv w:val="1"/>
      <w:marLeft w:val="0"/>
      <w:marRight w:val="0"/>
      <w:marTop w:val="0"/>
      <w:marBottom w:val="0"/>
      <w:divBdr>
        <w:top w:val="none" w:sz="0" w:space="0" w:color="auto"/>
        <w:left w:val="none" w:sz="0" w:space="0" w:color="auto"/>
        <w:bottom w:val="none" w:sz="0" w:space="0" w:color="auto"/>
        <w:right w:val="none" w:sz="0" w:space="0" w:color="auto"/>
      </w:divBdr>
    </w:div>
    <w:div w:id="1296716934">
      <w:bodyDiv w:val="1"/>
      <w:marLeft w:val="0"/>
      <w:marRight w:val="0"/>
      <w:marTop w:val="0"/>
      <w:marBottom w:val="0"/>
      <w:divBdr>
        <w:top w:val="none" w:sz="0" w:space="0" w:color="auto"/>
        <w:left w:val="none" w:sz="0" w:space="0" w:color="auto"/>
        <w:bottom w:val="none" w:sz="0" w:space="0" w:color="auto"/>
        <w:right w:val="none" w:sz="0" w:space="0" w:color="auto"/>
      </w:divBdr>
    </w:div>
    <w:div w:id="1296835685">
      <w:bodyDiv w:val="1"/>
      <w:marLeft w:val="0"/>
      <w:marRight w:val="0"/>
      <w:marTop w:val="0"/>
      <w:marBottom w:val="0"/>
      <w:divBdr>
        <w:top w:val="none" w:sz="0" w:space="0" w:color="auto"/>
        <w:left w:val="none" w:sz="0" w:space="0" w:color="auto"/>
        <w:bottom w:val="none" w:sz="0" w:space="0" w:color="auto"/>
        <w:right w:val="none" w:sz="0" w:space="0" w:color="auto"/>
      </w:divBdr>
    </w:div>
    <w:div w:id="1296909738">
      <w:bodyDiv w:val="1"/>
      <w:marLeft w:val="0"/>
      <w:marRight w:val="0"/>
      <w:marTop w:val="0"/>
      <w:marBottom w:val="0"/>
      <w:divBdr>
        <w:top w:val="none" w:sz="0" w:space="0" w:color="auto"/>
        <w:left w:val="none" w:sz="0" w:space="0" w:color="auto"/>
        <w:bottom w:val="none" w:sz="0" w:space="0" w:color="auto"/>
        <w:right w:val="none" w:sz="0" w:space="0" w:color="auto"/>
      </w:divBdr>
    </w:div>
    <w:div w:id="1296983734">
      <w:bodyDiv w:val="1"/>
      <w:marLeft w:val="0"/>
      <w:marRight w:val="0"/>
      <w:marTop w:val="0"/>
      <w:marBottom w:val="0"/>
      <w:divBdr>
        <w:top w:val="none" w:sz="0" w:space="0" w:color="auto"/>
        <w:left w:val="none" w:sz="0" w:space="0" w:color="auto"/>
        <w:bottom w:val="none" w:sz="0" w:space="0" w:color="auto"/>
        <w:right w:val="none" w:sz="0" w:space="0" w:color="auto"/>
      </w:divBdr>
    </w:div>
    <w:div w:id="1297301147">
      <w:bodyDiv w:val="1"/>
      <w:marLeft w:val="0"/>
      <w:marRight w:val="0"/>
      <w:marTop w:val="0"/>
      <w:marBottom w:val="0"/>
      <w:divBdr>
        <w:top w:val="none" w:sz="0" w:space="0" w:color="auto"/>
        <w:left w:val="none" w:sz="0" w:space="0" w:color="auto"/>
        <w:bottom w:val="none" w:sz="0" w:space="0" w:color="auto"/>
        <w:right w:val="none" w:sz="0" w:space="0" w:color="auto"/>
      </w:divBdr>
    </w:div>
    <w:div w:id="1297371228">
      <w:bodyDiv w:val="1"/>
      <w:marLeft w:val="0"/>
      <w:marRight w:val="0"/>
      <w:marTop w:val="0"/>
      <w:marBottom w:val="0"/>
      <w:divBdr>
        <w:top w:val="none" w:sz="0" w:space="0" w:color="auto"/>
        <w:left w:val="none" w:sz="0" w:space="0" w:color="auto"/>
        <w:bottom w:val="none" w:sz="0" w:space="0" w:color="auto"/>
        <w:right w:val="none" w:sz="0" w:space="0" w:color="auto"/>
      </w:divBdr>
    </w:div>
    <w:div w:id="1297416902">
      <w:bodyDiv w:val="1"/>
      <w:marLeft w:val="0"/>
      <w:marRight w:val="0"/>
      <w:marTop w:val="0"/>
      <w:marBottom w:val="0"/>
      <w:divBdr>
        <w:top w:val="none" w:sz="0" w:space="0" w:color="auto"/>
        <w:left w:val="none" w:sz="0" w:space="0" w:color="auto"/>
        <w:bottom w:val="none" w:sz="0" w:space="0" w:color="auto"/>
        <w:right w:val="none" w:sz="0" w:space="0" w:color="auto"/>
      </w:divBdr>
    </w:div>
    <w:div w:id="1297417398">
      <w:bodyDiv w:val="1"/>
      <w:marLeft w:val="0"/>
      <w:marRight w:val="0"/>
      <w:marTop w:val="0"/>
      <w:marBottom w:val="0"/>
      <w:divBdr>
        <w:top w:val="none" w:sz="0" w:space="0" w:color="auto"/>
        <w:left w:val="none" w:sz="0" w:space="0" w:color="auto"/>
        <w:bottom w:val="none" w:sz="0" w:space="0" w:color="auto"/>
        <w:right w:val="none" w:sz="0" w:space="0" w:color="auto"/>
      </w:divBdr>
    </w:div>
    <w:div w:id="1297448407">
      <w:bodyDiv w:val="1"/>
      <w:marLeft w:val="0"/>
      <w:marRight w:val="0"/>
      <w:marTop w:val="0"/>
      <w:marBottom w:val="0"/>
      <w:divBdr>
        <w:top w:val="none" w:sz="0" w:space="0" w:color="auto"/>
        <w:left w:val="none" w:sz="0" w:space="0" w:color="auto"/>
        <w:bottom w:val="none" w:sz="0" w:space="0" w:color="auto"/>
        <w:right w:val="none" w:sz="0" w:space="0" w:color="auto"/>
      </w:divBdr>
    </w:div>
    <w:div w:id="1297639882">
      <w:bodyDiv w:val="1"/>
      <w:marLeft w:val="0"/>
      <w:marRight w:val="0"/>
      <w:marTop w:val="0"/>
      <w:marBottom w:val="0"/>
      <w:divBdr>
        <w:top w:val="none" w:sz="0" w:space="0" w:color="auto"/>
        <w:left w:val="none" w:sz="0" w:space="0" w:color="auto"/>
        <w:bottom w:val="none" w:sz="0" w:space="0" w:color="auto"/>
        <w:right w:val="none" w:sz="0" w:space="0" w:color="auto"/>
      </w:divBdr>
    </w:div>
    <w:div w:id="1297881189">
      <w:bodyDiv w:val="1"/>
      <w:marLeft w:val="0"/>
      <w:marRight w:val="0"/>
      <w:marTop w:val="0"/>
      <w:marBottom w:val="0"/>
      <w:divBdr>
        <w:top w:val="none" w:sz="0" w:space="0" w:color="auto"/>
        <w:left w:val="none" w:sz="0" w:space="0" w:color="auto"/>
        <w:bottom w:val="none" w:sz="0" w:space="0" w:color="auto"/>
        <w:right w:val="none" w:sz="0" w:space="0" w:color="auto"/>
      </w:divBdr>
    </w:div>
    <w:div w:id="1297956089">
      <w:bodyDiv w:val="1"/>
      <w:marLeft w:val="0"/>
      <w:marRight w:val="0"/>
      <w:marTop w:val="0"/>
      <w:marBottom w:val="0"/>
      <w:divBdr>
        <w:top w:val="none" w:sz="0" w:space="0" w:color="auto"/>
        <w:left w:val="none" w:sz="0" w:space="0" w:color="auto"/>
        <w:bottom w:val="none" w:sz="0" w:space="0" w:color="auto"/>
        <w:right w:val="none" w:sz="0" w:space="0" w:color="auto"/>
      </w:divBdr>
    </w:div>
    <w:div w:id="1298028750">
      <w:bodyDiv w:val="1"/>
      <w:marLeft w:val="0"/>
      <w:marRight w:val="0"/>
      <w:marTop w:val="0"/>
      <w:marBottom w:val="0"/>
      <w:divBdr>
        <w:top w:val="none" w:sz="0" w:space="0" w:color="auto"/>
        <w:left w:val="none" w:sz="0" w:space="0" w:color="auto"/>
        <w:bottom w:val="none" w:sz="0" w:space="0" w:color="auto"/>
        <w:right w:val="none" w:sz="0" w:space="0" w:color="auto"/>
      </w:divBdr>
    </w:div>
    <w:div w:id="1298222392">
      <w:bodyDiv w:val="1"/>
      <w:marLeft w:val="0"/>
      <w:marRight w:val="0"/>
      <w:marTop w:val="0"/>
      <w:marBottom w:val="0"/>
      <w:divBdr>
        <w:top w:val="none" w:sz="0" w:space="0" w:color="auto"/>
        <w:left w:val="none" w:sz="0" w:space="0" w:color="auto"/>
        <w:bottom w:val="none" w:sz="0" w:space="0" w:color="auto"/>
        <w:right w:val="none" w:sz="0" w:space="0" w:color="auto"/>
      </w:divBdr>
    </w:div>
    <w:div w:id="1298343114">
      <w:bodyDiv w:val="1"/>
      <w:marLeft w:val="0"/>
      <w:marRight w:val="0"/>
      <w:marTop w:val="0"/>
      <w:marBottom w:val="0"/>
      <w:divBdr>
        <w:top w:val="none" w:sz="0" w:space="0" w:color="auto"/>
        <w:left w:val="none" w:sz="0" w:space="0" w:color="auto"/>
        <w:bottom w:val="none" w:sz="0" w:space="0" w:color="auto"/>
        <w:right w:val="none" w:sz="0" w:space="0" w:color="auto"/>
      </w:divBdr>
    </w:div>
    <w:div w:id="1298411298">
      <w:bodyDiv w:val="1"/>
      <w:marLeft w:val="0"/>
      <w:marRight w:val="0"/>
      <w:marTop w:val="0"/>
      <w:marBottom w:val="0"/>
      <w:divBdr>
        <w:top w:val="none" w:sz="0" w:space="0" w:color="auto"/>
        <w:left w:val="none" w:sz="0" w:space="0" w:color="auto"/>
        <w:bottom w:val="none" w:sz="0" w:space="0" w:color="auto"/>
        <w:right w:val="none" w:sz="0" w:space="0" w:color="auto"/>
      </w:divBdr>
    </w:div>
    <w:div w:id="1298411869">
      <w:bodyDiv w:val="1"/>
      <w:marLeft w:val="0"/>
      <w:marRight w:val="0"/>
      <w:marTop w:val="0"/>
      <w:marBottom w:val="0"/>
      <w:divBdr>
        <w:top w:val="none" w:sz="0" w:space="0" w:color="auto"/>
        <w:left w:val="none" w:sz="0" w:space="0" w:color="auto"/>
        <w:bottom w:val="none" w:sz="0" w:space="0" w:color="auto"/>
        <w:right w:val="none" w:sz="0" w:space="0" w:color="auto"/>
      </w:divBdr>
    </w:div>
    <w:div w:id="1298531374">
      <w:bodyDiv w:val="1"/>
      <w:marLeft w:val="0"/>
      <w:marRight w:val="0"/>
      <w:marTop w:val="0"/>
      <w:marBottom w:val="0"/>
      <w:divBdr>
        <w:top w:val="none" w:sz="0" w:space="0" w:color="auto"/>
        <w:left w:val="none" w:sz="0" w:space="0" w:color="auto"/>
        <w:bottom w:val="none" w:sz="0" w:space="0" w:color="auto"/>
        <w:right w:val="none" w:sz="0" w:space="0" w:color="auto"/>
      </w:divBdr>
    </w:div>
    <w:div w:id="1298606961">
      <w:bodyDiv w:val="1"/>
      <w:marLeft w:val="0"/>
      <w:marRight w:val="0"/>
      <w:marTop w:val="0"/>
      <w:marBottom w:val="0"/>
      <w:divBdr>
        <w:top w:val="none" w:sz="0" w:space="0" w:color="auto"/>
        <w:left w:val="none" w:sz="0" w:space="0" w:color="auto"/>
        <w:bottom w:val="none" w:sz="0" w:space="0" w:color="auto"/>
        <w:right w:val="none" w:sz="0" w:space="0" w:color="auto"/>
      </w:divBdr>
    </w:div>
    <w:div w:id="1298757659">
      <w:bodyDiv w:val="1"/>
      <w:marLeft w:val="0"/>
      <w:marRight w:val="0"/>
      <w:marTop w:val="0"/>
      <w:marBottom w:val="0"/>
      <w:divBdr>
        <w:top w:val="none" w:sz="0" w:space="0" w:color="auto"/>
        <w:left w:val="none" w:sz="0" w:space="0" w:color="auto"/>
        <w:bottom w:val="none" w:sz="0" w:space="0" w:color="auto"/>
        <w:right w:val="none" w:sz="0" w:space="0" w:color="auto"/>
      </w:divBdr>
    </w:div>
    <w:div w:id="1298874125">
      <w:bodyDiv w:val="1"/>
      <w:marLeft w:val="0"/>
      <w:marRight w:val="0"/>
      <w:marTop w:val="0"/>
      <w:marBottom w:val="0"/>
      <w:divBdr>
        <w:top w:val="none" w:sz="0" w:space="0" w:color="auto"/>
        <w:left w:val="none" w:sz="0" w:space="0" w:color="auto"/>
        <w:bottom w:val="none" w:sz="0" w:space="0" w:color="auto"/>
        <w:right w:val="none" w:sz="0" w:space="0" w:color="auto"/>
      </w:divBdr>
    </w:div>
    <w:div w:id="1298877287">
      <w:bodyDiv w:val="1"/>
      <w:marLeft w:val="0"/>
      <w:marRight w:val="0"/>
      <w:marTop w:val="0"/>
      <w:marBottom w:val="0"/>
      <w:divBdr>
        <w:top w:val="none" w:sz="0" w:space="0" w:color="auto"/>
        <w:left w:val="none" w:sz="0" w:space="0" w:color="auto"/>
        <w:bottom w:val="none" w:sz="0" w:space="0" w:color="auto"/>
        <w:right w:val="none" w:sz="0" w:space="0" w:color="auto"/>
      </w:divBdr>
    </w:div>
    <w:div w:id="1298953095">
      <w:bodyDiv w:val="1"/>
      <w:marLeft w:val="0"/>
      <w:marRight w:val="0"/>
      <w:marTop w:val="0"/>
      <w:marBottom w:val="0"/>
      <w:divBdr>
        <w:top w:val="none" w:sz="0" w:space="0" w:color="auto"/>
        <w:left w:val="none" w:sz="0" w:space="0" w:color="auto"/>
        <w:bottom w:val="none" w:sz="0" w:space="0" w:color="auto"/>
        <w:right w:val="none" w:sz="0" w:space="0" w:color="auto"/>
      </w:divBdr>
    </w:div>
    <w:div w:id="1299261762">
      <w:bodyDiv w:val="1"/>
      <w:marLeft w:val="0"/>
      <w:marRight w:val="0"/>
      <w:marTop w:val="0"/>
      <w:marBottom w:val="0"/>
      <w:divBdr>
        <w:top w:val="none" w:sz="0" w:space="0" w:color="auto"/>
        <w:left w:val="none" w:sz="0" w:space="0" w:color="auto"/>
        <w:bottom w:val="none" w:sz="0" w:space="0" w:color="auto"/>
        <w:right w:val="none" w:sz="0" w:space="0" w:color="auto"/>
      </w:divBdr>
    </w:div>
    <w:div w:id="1299267053">
      <w:bodyDiv w:val="1"/>
      <w:marLeft w:val="0"/>
      <w:marRight w:val="0"/>
      <w:marTop w:val="0"/>
      <w:marBottom w:val="0"/>
      <w:divBdr>
        <w:top w:val="none" w:sz="0" w:space="0" w:color="auto"/>
        <w:left w:val="none" w:sz="0" w:space="0" w:color="auto"/>
        <w:bottom w:val="none" w:sz="0" w:space="0" w:color="auto"/>
        <w:right w:val="none" w:sz="0" w:space="0" w:color="auto"/>
      </w:divBdr>
    </w:div>
    <w:div w:id="1299458149">
      <w:bodyDiv w:val="1"/>
      <w:marLeft w:val="0"/>
      <w:marRight w:val="0"/>
      <w:marTop w:val="0"/>
      <w:marBottom w:val="0"/>
      <w:divBdr>
        <w:top w:val="none" w:sz="0" w:space="0" w:color="auto"/>
        <w:left w:val="none" w:sz="0" w:space="0" w:color="auto"/>
        <w:bottom w:val="none" w:sz="0" w:space="0" w:color="auto"/>
        <w:right w:val="none" w:sz="0" w:space="0" w:color="auto"/>
      </w:divBdr>
    </w:div>
    <w:div w:id="1299603381">
      <w:bodyDiv w:val="1"/>
      <w:marLeft w:val="0"/>
      <w:marRight w:val="0"/>
      <w:marTop w:val="0"/>
      <w:marBottom w:val="0"/>
      <w:divBdr>
        <w:top w:val="none" w:sz="0" w:space="0" w:color="auto"/>
        <w:left w:val="none" w:sz="0" w:space="0" w:color="auto"/>
        <w:bottom w:val="none" w:sz="0" w:space="0" w:color="auto"/>
        <w:right w:val="none" w:sz="0" w:space="0" w:color="auto"/>
      </w:divBdr>
    </w:div>
    <w:div w:id="1299651367">
      <w:bodyDiv w:val="1"/>
      <w:marLeft w:val="0"/>
      <w:marRight w:val="0"/>
      <w:marTop w:val="0"/>
      <w:marBottom w:val="0"/>
      <w:divBdr>
        <w:top w:val="none" w:sz="0" w:space="0" w:color="auto"/>
        <w:left w:val="none" w:sz="0" w:space="0" w:color="auto"/>
        <w:bottom w:val="none" w:sz="0" w:space="0" w:color="auto"/>
        <w:right w:val="none" w:sz="0" w:space="0" w:color="auto"/>
      </w:divBdr>
    </w:div>
    <w:div w:id="1299795282">
      <w:bodyDiv w:val="1"/>
      <w:marLeft w:val="0"/>
      <w:marRight w:val="0"/>
      <w:marTop w:val="0"/>
      <w:marBottom w:val="0"/>
      <w:divBdr>
        <w:top w:val="none" w:sz="0" w:space="0" w:color="auto"/>
        <w:left w:val="none" w:sz="0" w:space="0" w:color="auto"/>
        <w:bottom w:val="none" w:sz="0" w:space="0" w:color="auto"/>
        <w:right w:val="none" w:sz="0" w:space="0" w:color="auto"/>
      </w:divBdr>
    </w:div>
    <w:div w:id="1299802314">
      <w:bodyDiv w:val="1"/>
      <w:marLeft w:val="0"/>
      <w:marRight w:val="0"/>
      <w:marTop w:val="0"/>
      <w:marBottom w:val="0"/>
      <w:divBdr>
        <w:top w:val="none" w:sz="0" w:space="0" w:color="auto"/>
        <w:left w:val="none" w:sz="0" w:space="0" w:color="auto"/>
        <w:bottom w:val="none" w:sz="0" w:space="0" w:color="auto"/>
        <w:right w:val="none" w:sz="0" w:space="0" w:color="auto"/>
      </w:divBdr>
    </w:div>
    <w:div w:id="1299990703">
      <w:bodyDiv w:val="1"/>
      <w:marLeft w:val="0"/>
      <w:marRight w:val="0"/>
      <w:marTop w:val="0"/>
      <w:marBottom w:val="0"/>
      <w:divBdr>
        <w:top w:val="none" w:sz="0" w:space="0" w:color="auto"/>
        <w:left w:val="none" w:sz="0" w:space="0" w:color="auto"/>
        <w:bottom w:val="none" w:sz="0" w:space="0" w:color="auto"/>
        <w:right w:val="none" w:sz="0" w:space="0" w:color="auto"/>
      </w:divBdr>
    </w:div>
    <w:div w:id="1300111889">
      <w:bodyDiv w:val="1"/>
      <w:marLeft w:val="0"/>
      <w:marRight w:val="0"/>
      <w:marTop w:val="0"/>
      <w:marBottom w:val="0"/>
      <w:divBdr>
        <w:top w:val="none" w:sz="0" w:space="0" w:color="auto"/>
        <w:left w:val="none" w:sz="0" w:space="0" w:color="auto"/>
        <w:bottom w:val="none" w:sz="0" w:space="0" w:color="auto"/>
        <w:right w:val="none" w:sz="0" w:space="0" w:color="auto"/>
      </w:divBdr>
    </w:div>
    <w:div w:id="1300115182">
      <w:bodyDiv w:val="1"/>
      <w:marLeft w:val="0"/>
      <w:marRight w:val="0"/>
      <w:marTop w:val="0"/>
      <w:marBottom w:val="0"/>
      <w:divBdr>
        <w:top w:val="none" w:sz="0" w:space="0" w:color="auto"/>
        <w:left w:val="none" w:sz="0" w:space="0" w:color="auto"/>
        <w:bottom w:val="none" w:sz="0" w:space="0" w:color="auto"/>
        <w:right w:val="none" w:sz="0" w:space="0" w:color="auto"/>
      </w:divBdr>
    </w:div>
    <w:div w:id="1300455777">
      <w:bodyDiv w:val="1"/>
      <w:marLeft w:val="0"/>
      <w:marRight w:val="0"/>
      <w:marTop w:val="0"/>
      <w:marBottom w:val="0"/>
      <w:divBdr>
        <w:top w:val="none" w:sz="0" w:space="0" w:color="auto"/>
        <w:left w:val="none" w:sz="0" w:space="0" w:color="auto"/>
        <w:bottom w:val="none" w:sz="0" w:space="0" w:color="auto"/>
        <w:right w:val="none" w:sz="0" w:space="0" w:color="auto"/>
      </w:divBdr>
    </w:div>
    <w:div w:id="1300458986">
      <w:bodyDiv w:val="1"/>
      <w:marLeft w:val="0"/>
      <w:marRight w:val="0"/>
      <w:marTop w:val="0"/>
      <w:marBottom w:val="0"/>
      <w:divBdr>
        <w:top w:val="none" w:sz="0" w:space="0" w:color="auto"/>
        <w:left w:val="none" w:sz="0" w:space="0" w:color="auto"/>
        <w:bottom w:val="none" w:sz="0" w:space="0" w:color="auto"/>
        <w:right w:val="none" w:sz="0" w:space="0" w:color="auto"/>
      </w:divBdr>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0839699">
      <w:bodyDiv w:val="1"/>
      <w:marLeft w:val="0"/>
      <w:marRight w:val="0"/>
      <w:marTop w:val="0"/>
      <w:marBottom w:val="0"/>
      <w:divBdr>
        <w:top w:val="none" w:sz="0" w:space="0" w:color="auto"/>
        <w:left w:val="none" w:sz="0" w:space="0" w:color="auto"/>
        <w:bottom w:val="none" w:sz="0" w:space="0" w:color="auto"/>
        <w:right w:val="none" w:sz="0" w:space="0" w:color="auto"/>
      </w:divBdr>
    </w:div>
    <w:div w:id="1300912816">
      <w:bodyDiv w:val="1"/>
      <w:marLeft w:val="0"/>
      <w:marRight w:val="0"/>
      <w:marTop w:val="0"/>
      <w:marBottom w:val="0"/>
      <w:divBdr>
        <w:top w:val="none" w:sz="0" w:space="0" w:color="auto"/>
        <w:left w:val="none" w:sz="0" w:space="0" w:color="auto"/>
        <w:bottom w:val="none" w:sz="0" w:space="0" w:color="auto"/>
        <w:right w:val="none" w:sz="0" w:space="0" w:color="auto"/>
      </w:divBdr>
    </w:div>
    <w:div w:id="1300959683">
      <w:bodyDiv w:val="1"/>
      <w:marLeft w:val="0"/>
      <w:marRight w:val="0"/>
      <w:marTop w:val="0"/>
      <w:marBottom w:val="0"/>
      <w:divBdr>
        <w:top w:val="none" w:sz="0" w:space="0" w:color="auto"/>
        <w:left w:val="none" w:sz="0" w:space="0" w:color="auto"/>
        <w:bottom w:val="none" w:sz="0" w:space="0" w:color="auto"/>
        <w:right w:val="none" w:sz="0" w:space="0" w:color="auto"/>
      </w:divBdr>
    </w:div>
    <w:div w:id="1301110559">
      <w:bodyDiv w:val="1"/>
      <w:marLeft w:val="0"/>
      <w:marRight w:val="0"/>
      <w:marTop w:val="0"/>
      <w:marBottom w:val="0"/>
      <w:divBdr>
        <w:top w:val="none" w:sz="0" w:space="0" w:color="auto"/>
        <w:left w:val="none" w:sz="0" w:space="0" w:color="auto"/>
        <w:bottom w:val="none" w:sz="0" w:space="0" w:color="auto"/>
        <w:right w:val="none" w:sz="0" w:space="0" w:color="auto"/>
      </w:divBdr>
    </w:div>
    <w:div w:id="1301157819">
      <w:bodyDiv w:val="1"/>
      <w:marLeft w:val="0"/>
      <w:marRight w:val="0"/>
      <w:marTop w:val="0"/>
      <w:marBottom w:val="0"/>
      <w:divBdr>
        <w:top w:val="none" w:sz="0" w:space="0" w:color="auto"/>
        <w:left w:val="none" w:sz="0" w:space="0" w:color="auto"/>
        <w:bottom w:val="none" w:sz="0" w:space="0" w:color="auto"/>
        <w:right w:val="none" w:sz="0" w:space="0" w:color="auto"/>
      </w:divBdr>
    </w:div>
    <w:div w:id="1301183317">
      <w:bodyDiv w:val="1"/>
      <w:marLeft w:val="0"/>
      <w:marRight w:val="0"/>
      <w:marTop w:val="0"/>
      <w:marBottom w:val="0"/>
      <w:divBdr>
        <w:top w:val="none" w:sz="0" w:space="0" w:color="auto"/>
        <w:left w:val="none" w:sz="0" w:space="0" w:color="auto"/>
        <w:bottom w:val="none" w:sz="0" w:space="0" w:color="auto"/>
        <w:right w:val="none" w:sz="0" w:space="0" w:color="auto"/>
      </w:divBdr>
    </w:div>
    <w:div w:id="1301300139">
      <w:bodyDiv w:val="1"/>
      <w:marLeft w:val="0"/>
      <w:marRight w:val="0"/>
      <w:marTop w:val="0"/>
      <w:marBottom w:val="0"/>
      <w:divBdr>
        <w:top w:val="none" w:sz="0" w:space="0" w:color="auto"/>
        <w:left w:val="none" w:sz="0" w:space="0" w:color="auto"/>
        <w:bottom w:val="none" w:sz="0" w:space="0" w:color="auto"/>
        <w:right w:val="none" w:sz="0" w:space="0" w:color="auto"/>
      </w:divBdr>
    </w:div>
    <w:div w:id="1301351167">
      <w:bodyDiv w:val="1"/>
      <w:marLeft w:val="0"/>
      <w:marRight w:val="0"/>
      <w:marTop w:val="0"/>
      <w:marBottom w:val="0"/>
      <w:divBdr>
        <w:top w:val="none" w:sz="0" w:space="0" w:color="auto"/>
        <w:left w:val="none" w:sz="0" w:space="0" w:color="auto"/>
        <w:bottom w:val="none" w:sz="0" w:space="0" w:color="auto"/>
        <w:right w:val="none" w:sz="0" w:space="0" w:color="auto"/>
      </w:divBdr>
    </w:div>
    <w:div w:id="1301375668">
      <w:bodyDiv w:val="1"/>
      <w:marLeft w:val="0"/>
      <w:marRight w:val="0"/>
      <w:marTop w:val="0"/>
      <w:marBottom w:val="0"/>
      <w:divBdr>
        <w:top w:val="none" w:sz="0" w:space="0" w:color="auto"/>
        <w:left w:val="none" w:sz="0" w:space="0" w:color="auto"/>
        <w:bottom w:val="none" w:sz="0" w:space="0" w:color="auto"/>
        <w:right w:val="none" w:sz="0" w:space="0" w:color="auto"/>
      </w:divBdr>
    </w:div>
    <w:div w:id="1301377357">
      <w:bodyDiv w:val="1"/>
      <w:marLeft w:val="0"/>
      <w:marRight w:val="0"/>
      <w:marTop w:val="0"/>
      <w:marBottom w:val="0"/>
      <w:divBdr>
        <w:top w:val="none" w:sz="0" w:space="0" w:color="auto"/>
        <w:left w:val="none" w:sz="0" w:space="0" w:color="auto"/>
        <w:bottom w:val="none" w:sz="0" w:space="0" w:color="auto"/>
        <w:right w:val="none" w:sz="0" w:space="0" w:color="auto"/>
      </w:divBdr>
    </w:div>
    <w:div w:id="1301695405">
      <w:bodyDiv w:val="1"/>
      <w:marLeft w:val="0"/>
      <w:marRight w:val="0"/>
      <w:marTop w:val="0"/>
      <w:marBottom w:val="0"/>
      <w:divBdr>
        <w:top w:val="none" w:sz="0" w:space="0" w:color="auto"/>
        <w:left w:val="none" w:sz="0" w:space="0" w:color="auto"/>
        <w:bottom w:val="none" w:sz="0" w:space="0" w:color="auto"/>
        <w:right w:val="none" w:sz="0" w:space="0" w:color="auto"/>
      </w:divBdr>
    </w:div>
    <w:div w:id="1301956031">
      <w:bodyDiv w:val="1"/>
      <w:marLeft w:val="0"/>
      <w:marRight w:val="0"/>
      <w:marTop w:val="0"/>
      <w:marBottom w:val="0"/>
      <w:divBdr>
        <w:top w:val="none" w:sz="0" w:space="0" w:color="auto"/>
        <w:left w:val="none" w:sz="0" w:space="0" w:color="auto"/>
        <w:bottom w:val="none" w:sz="0" w:space="0" w:color="auto"/>
        <w:right w:val="none" w:sz="0" w:space="0" w:color="auto"/>
      </w:divBdr>
    </w:div>
    <w:div w:id="1302232237">
      <w:bodyDiv w:val="1"/>
      <w:marLeft w:val="0"/>
      <w:marRight w:val="0"/>
      <w:marTop w:val="0"/>
      <w:marBottom w:val="0"/>
      <w:divBdr>
        <w:top w:val="none" w:sz="0" w:space="0" w:color="auto"/>
        <w:left w:val="none" w:sz="0" w:space="0" w:color="auto"/>
        <w:bottom w:val="none" w:sz="0" w:space="0" w:color="auto"/>
        <w:right w:val="none" w:sz="0" w:space="0" w:color="auto"/>
      </w:divBdr>
    </w:div>
    <w:div w:id="1302691455">
      <w:bodyDiv w:val="1"/>
      <w:marLeft w:val="0"/>
      <w:marRight w:val="0"/>
      <w:marTop w:val="0"/>
      <w:marBottom w:val="0"/>
      <w:divBdr>
        <w:top w:val="none" w:sz="0" w:space="0" w:color="auto"/>
        <w:left w:val="none" w:sz="0" w:space="0" w:color="auto"/>
        <w:bottom w:val="none" w:sz="0" w:space="0" w:color="auto"/>
        <w:right w:val="none" w:sz="0" w:space="0" w:color="auto"/>
      </w:divBdr>
    </w:div>
    <w:div w:id="1302923853">
      <w:bodyDiv w:val="1"/>
      <w:marLeft w:val="0"/>
      <w:marRight w:val="0"/>
      <w:marTop w:val="0"/>
      <w:marBottom w:val="0"/>
      <w:divBdr>
        <w:top w:val="none" w:sz="0" w:space="0" w:color="auto"/>
        <w:left w:val="none" w:sz="0" w:space="0" w:color="auto"/>
        <w:bottom w:val="none" w:sz="0" w:space="0" w:color="auto"/>
        <w:right w:val="none" w:sz="0" w:space="0" w:color="auto"/>
      </w:divBdr>
    </w:div>
    <w:div w:id="1303347047">
      <w:bodyDiv w:val="1"/>
      <w:marLeft w:val="0"/>
      <w:marRight w:val="0"/>
      <w:marTop w:val="0"/>
      <w:marBottom w:val="0"/>
      <w:divBdr>
        <w:top w:val="none" w:sz="0" w:space="0" w:color="auto"/>
        <w:left w:val="none" w:sz="0" w:space="0" w:color="auto"/>
        <w:bottom w:val="none" w:sz="0" w:space="0" w:color="auto"/>
        <w:right w:val="none" w:sz="0" w:space="0" w:color="auto"/>
      </w:divBdr>
    </w:div>
    <w:div w:id="1303537456">
      <w:bodyDiv w:val="1"/>
      <w:marLeft w:val="0"/>
      <w:marRight w:val="0"/>
      <w:marTop w:val="0"/>
      <w:marBottom w:val="0"/>
      <w:divBdr>
        <w:top w:val="none" w:sz="0" w:space="0" w:color="auto"/>
        <w:left w:val="none" w:sz="0" w:space="0" w:color="auto"/>
        <w:bottom w:val="none" w:sz="0" w:space="0" w:color="auto"/>
        <w:right w:val="none" w:sz="0" w:space="0" w:color="auto"/>
      </w:divBdr>
    </w:div>
    <w:div w:id="1303582557">
      <w:bodyDiv w:val="1"/>
      <w:marLeft w:val="0"/>
      <w:marRight w:val="0"/>
      <w:marTop w:val="0"/>
      <w:marBottom w:val="0"/>
      <w:divBdr>
        <w:top w:val="none" w:sz="0" w:space="0" w:color="auto"/>
        <w:left w:val="none" w:sz="0" w:space="0" w:color="auto"/>
        <w:bottom w:val="none" w:sz="0" w:space="0" w:color="auto"/>
        <w:right w:val="none" w:sz="0" w:space="0" w:color="auto"/>
      </w:divBdr>
    </w:div>
    <w:div w:id="1303654206">
      <w:bodyDiv w:val="1"/>
      <w:marLeft w:val="0"/>
      <w:marRight w:val="0"/>
      <w:marTop w:val="0"/>
      <w:marBottom w:val="0"/>
      <w:divBdr>
        <w:top w:val="none" w:sz="0" w:space="0" w:color="auto"/>
        <w:left w:val="none" w:sz="0" w:space="0" w:color="auto"/>
        <w:bottom w:val="none" w:sz="0" w:space="0" w:color="auto"/>
        <w:right w:val="none" w:sz="0" w:space="0" w:color="auto"/>
      </w:divBdr>
    </w:div>
    <w:div w:id="1303773570">
      <w:bodyDiv w:val="1"/>
      <w:marLeft w:val="0"/>
      <w:marRight w:val="0"/>
      <w:marTop w:val="0"/>
      <w:marBottom w:val="0"/>
      <w:divBdr>
        <w:top w:val="none" w:sz="0" w:space="0" w:color="auto"/>
        <w:left w:val="none" w:sz="0" w:space="0" w:color="auto"/>
        <w:bottom w:val="none" w:sz="0" w:space="0" w:color="auto"/>
        <w:right w:val="none" w:sz="0" w:space="0" w:color="auto"/>
      </w:divBdr>
    </w:div>
    <w:div w:id="1304000859">
      <w:bodyDiv w:val="1"/>
      <w:marLeft w:val="0"/>
      <w:marRight w:val="0"/>
      <w:marTop w:val="0"/>
      <w:marBottom w:val="0"/>
      <w:divBdr>
        <w:top w:val="none" w:sz="0" w:space="0" w:color="auto"/>
        <w:left w:val="none" w:sz="0" w:space="0" w:color="auto"/>
        <w:bottom w:val="none" w:sz="0" w:space="0" w:color="auto"/>
        <w:right w:val="none" w:sz="0" w:space="0" w:color="auto"/>
      </w:divBdr>
    </w:div>
    <w:div w:id="1304001414">
      <w:bodyDiv w:val="1"/>
      <w:marLeft w:val="0"/>
      <w:marRight w:val="0"/>
      <w:marTop w:val="0"/>
      <w:marBottom w:val="0"/>
      <w:divBdr>
        <w:top w:val="none" w:sz="0" w:space="0" w:color="auto"/>
        <w:left w:val="none" w:sz="0" w:space="0" w:color="auto"/>
        <w:bottom w:val="none" w:sz="0" w:space="0" w:color="auto"/>
        <w:right w:val="none" w:sz="0" w:space="0" w:color="auto"/>
      </w:divBdr>
    </w:div>
    <w:div w:id="1304038368">
      <w:bodyDiv w:val="1"/>
      <w:marLeft w:val="0"/>
      <w:marRight w:val="0"/>
      <w:marTop w:val="0"/>
      <w:marBottom w:val="0"/>
      <w:divBdr>
        <w:top w:val="none" w:sz="0" w:space="0" w:color="auto"/>
        <w:left w:val="none" w:sz="0" w:space="0" w:color="auto"/>
        <w:bottom w:val="none" w:sz="0" w:space="0" w:color="auto"/>
        <w:right w:val="none" w:sz="0" w:space="0" w:color="auto"/>
      </w:divBdr>
    </w:div>
    <w:div w:id="1304121864">
      <w:bodyDiv w:val="1"/>
      <w:marLeft w:val="0"/>
      <w:marRight w:val="0"/>
      <w:marTop w:val="0"/>
      <w:marBottom w:val="0"/>
      <w:divBdr>
        <w:top w:val="none" w:sz="0" w:space="0" w:color="auto"/>
        <w:left w:val="none" w:sz="0" w:space="0" w:color="auto"/>
        <w:bottom w:val="none" w:sz="0" w:space="0" w:color="auto"/>
        <w:right w:val="none" w:sz="0" w:space="0" w:color="auto"/>
      </w:divBdr>
    </w:div>
    <w:div w:id="1304384015">
      <w:bodyDiv w:val="1"/>
      <w:marLeft w:val="0"/>
      <w:marRight w:val="0"/>
      <w:marTop w:val="0"/>
      <w:marBottom w:val="0"/>
      <w:divBdr>
        <w:top w:val="none" w:sz="0" w:space="0" w:color="auto"/>
        <w:left w:val="none" w:sz="0" w:space="0" w:color="auto"/>
        <w:bottom w:val="none" w:sz="0" w:space="0" w:color="auto"/>
        <w:right w:val="none" w:sz="0" w:space="0" w:color="auto"/>
      </w:divBdr>
    </w:div>
    <w:div w:id="1304384719">
      <w:bodyDiv w:val="1"/>
      <w:marLeft w:val="0"/>
      <w:marRight w:val="0"/>
      <w:marTop w:val="0"/>
      <w:marBottom w:val="0"/>
      <w:divBdr>
        <w:top w:val="none" w:sz="0" w:space="0" w:color="auto"/>
        <w:left w:val="none" w:sz="0" w:space="0" w:color="auto"/>
        <w:bottom w:val="none" w:sz="0" w:space="0" w:color="auto"/>
        <w:right w:val="none" w:sz="0" w:space="0" w:color="auto"/>
      </w:divBdr>
    </w:div>
    <w:div w:id="1304655844">
      <w:bodyDiv w:val="1"/>
      <w:marLeft w:val="0"/>
      <w:marRight w:val="0"/>
      <w:marTop w:val="0"/>
      <w:marBottom w:val="0"/>
      <w:divBdr>
        <w:top w:val="none" w:sz="0" w:space="0" w:color="auto"/>
        <w:left w:val="none" w:sz="0" w:space="0" w:color="auto"/>
        <w:bottom w:val="none" w:sz="0" w:space="0" w:color="auto"/>
        <w:right w:val="none" w:sz="0" w:space="0" w:color="auto"/>
      </w:divBdr>
    </w:div>
    <w:div w:id="1304700040">
      <w:bodyDiv w:val="1"/>
      <w:marLeft w:val="0"/>
      <w:marRight w:val="0"/>
      <w:marTop w:val="0"/>
      <w:marBottom w:val="0"/>
      <w:divBdr>
        <w:top w:val="none" w:sz="0" w:space="0" w:color="auto"/>
        <w:left w:val="none" w:sz="0" w:space="0" w:color="auto"/>
        <w:bottom w:val="none" w:sz="0" w:space="0" w:color="auto"/>
        <w:right w:val="none" w:sz="0" w:space="0" w:color="auto"/>
      </w:divBdr>
    </w:div>
    <w:div w:id="1304771582">
      <w:bodyDiv w:val="1"/>
      <w:marLeft w:val="0"/>
      <w:marRight w:val="0"/>
      <w:marTop w:val="0"/>
      <w:marBottom w:val="0"/>
      <w:divBdr>
        <w:top w:val="none" w:sz="0" w:space="0" w:color="auto"/>
        <w:left w:val="none" w:sz="0" w:space="0" w:color="auto"/>
        <w:bottom w:val="none" w:sz="0" w:space="0" w:color="auto"/>
        <w:right w:val="none" w:sz="0" w:space="0" w:color="auto"/>
      </w:divBdr>
    </w:div>
    <w:div w:id="1305113355">
      <w:bodyDiv w:val="1"/>
      <w:marLeft w:val="0"/>
      <w:marRight w:val="0"/>
      <w:marTop w:val="0"/>
      <w:marBottom w:val="0"/>
      <w:divBdr>
        <w:top w:val="none" w:sz="0" w:space="0" w:color="auto"/>
        <w:left w:val="none" w:sz="0" w:space="0" w:color="auto"/>
        <w:bottom w:val="none" w:sz="0" w:space="0" w:color="auto"/>
        <w:right w:val="none" w:sz="0" w:space="0" w:color="auto"/>
      </w:divBdr>
    </w:div>
    <w:div w:id="1305549166">
      <w:bodyDiv w:val="1"/>
      <w:marLeft w:val="0"/>
      <w:marRight w:val="0"/>
      <w:marTop w:val="0"/>
      <w:marBottom w:val="0"/>
      <w:divBdr>
        <w:top w:val="none" w:sz="0" w:space="0" w:color="auto"/>
        <w:left w:val="none" w:sz="0" w:space="0" w:color="auto"/>
        <w:bottom w:val="none" w:sz="0" w:space="0" w:color="auto"/>
        <w:right w:val="none" w:sz="0" w:space="0" w:color="auto"/>
      </w:divBdr>
    </w:div>
    <w:div w:id="130562210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965004">
      <w:bodyDiv w:val="1"/>
      <w:marLeft w:val="0"/>
      <w:marRight w:val="0"/>
      <w:marTop w:val="0"/>
      <w:marBottom w:val="0"/>
      <w:divBdr>
        <w:top w:val="none" w:sz="0" w:space="0" w:color="auto"/>
        <w:left w:val="none" w:sz="0" w:space="0" w:color="auto"/>
        <w:bottom w:val="none" w:sz="0" w:space="0" w:color="auto"/>
        <w:right w:val="none" w:sz="0" w:space="0" w:color="auto"/>
      </w:divBdr>
    </w:div>
    <w:div w:id="1306008817">
      <w:bodyDiv w:val="1"/>
      <w:marLeft w:val="0"/>
      <w:marRight w:val="0"/>
      <w:marTop w:val="0"/>
      <w:marBottom w:val="0"/>
      <w:divBdr>
        <w:top w:val="none" w:sz="0" w:space="0" w:color="auto"/>
        <w:left w:val="none" w:sz="0" w:space="0" w:color="auto"/>
        <w:bottom w:val="none" w:sz="0" w:space="0" w:color="auto"/>
        <w:right w:val="none" w:sz="0" w:space="0" w:color="auto"/>
      </w:divBdr>
    </w:div>
    <w:div w:id="1306086032">
      <w:bodyDiv w:val="1"/>
      <w:marLeft w:val="0"/>
      <w:marRight w:val="0"/>
      <w:marTop w:val="0"/>
      <w:marBottom w:val="0"/>
      <w:divBdr>
        <w:top w:val="none" w:sz="0" w:space="0" w:color="auto"/>
        <w:left w:val="none" w:sz="0" w:space="0" w:color="auto"/>
        <w:bottom w:val="none" w:sz="0" w:space="0" w:color="auto"/>
        <w:right w:val="none" w:sz="0" w:space="0" w:color="auto"/>
      </w:divBdr>
    </w:div>
    <w:div w:id="1306201290">
      <w:bodyDiv w:val="1"/>
      <w:marLeft w:val="0"/>
      <w:marRight w:val="0"/>
      <w:marTop w:val="0"/>
      <w:marBottom w:val="0"/>
      <w:divBdr>
        <w:top w:val="none" w:sz="0" w:space="0" w:color="auto"/>
        <w:left w:val="none" w:sz="0" w:space="0" w:color="auto"/>
        <w:bottom w:val="none" w:sz="0" w:space="0" w:color="auto"/>
        <w:right w:val="none" w:sz="0" w:space="0" w:color="auto"/>
      </w:divBdr>
    </w:div>
    <w:div w:id="1306230210">
      <w:bodyDiv w:val="1"/>
      <w:marLeft w:val="0"/>
      <w:marRight w:val="0"/>
      <w:marTop w:val="0"/>
      <w:marBottom w:val="0"/>
      <w:divBdr>
        <w:top w:val="none" w:sz="0" w:space="0" w:color="auto"/>
        <w:left w:val="none" w:sz="0" w:space="0" w:color="auto"/>
        <w:bottom w:val="none" w:sz="0" w:space="0" w:color="auto"/>
        <w:right w:val="none" w:sz="0" w:space="0" w:color="auto"/>
      </w:divBdr>
    </w:div>
    <w:div w:id="1306426651">
      <w:bodyDiv w:val="1"/>
      <w:marLeft w:val="0"/>
      <w:marRight w:val="0"/>
      <w:marTop w:val="0"/>
      <w:marBottom w:val="0"/>
      <w:divBdr>
        <w:top w:val="none" w:sz="0" w:space="0" w:color="auto"/>
        <w:left w:val="none" w:sz="0" w:space="0" w:color="auto"/>
        <w:bottom w:val="none" w:sz="0" w:space="0" w:color="auto"/>
        <w:right w:val="none" w:sz="0" w:space="0" w:color="auto"/>
      </w:divBdr>
    </w:div>
    <w:div w:id="1306467143">
      <w:bodyDiv w:val="1"/>
      <w:marLeft w:val="0"/>
      <w:marRight w:val="0"/>
      <w:marTop w:val="0"/>
      <w:marBottom w:val="0"/>
      <w:divBdr>
        <w:top w:val="none" w:sz="0" w:space="0" w:color="auto"/>
        <w:left w:val="none" w:sz="0" w:space="0" w:color="auto"/>
        <w:bottom w:val="none" w:sz="0" w:space="0" w:color="auto"/>
        <w:right w:val="none" w:sz="0" w:space="0" w:color="auto"/>
      </w:divBdr>
    </w:div>
    <w:div w:id="1306737483">
      <w:bodyDiv w:val="1"/>
      <w:marLeft w:val="0"/>
      <w:marRight w:val="0"/>
      <w:marTop w:val="0"/>
      <w:marBottom w:val="0"/>
      <w:divBdr>
        <w:top w:val="none" w:sz="0" w:space="0" w:color="auto"/>
        <w:left w:val="none" w:sz="0" w:space="0" w:color="auto"/>
        <w:bottom w:val="none" w:sz="0" w:space="0" w:color="auto"/>
        <w:right w:val="none" w:sz="0" w:space="0" w:color="auto"/>
      </w:divBdr>
    </w:div>
    <w:div w:id="1306812640">
      <w:bodyDiv w:val="1"/>
      <w:marLeft w:val="0"/>
      <w:marRight w:val="0"/>
      <w:marTop w:val="0"/>
      <w:marBottom w:val="0"/>
      <w:divBdr>
        <w:top w:val="none" w:sz="0" w:space="0" w:color="auto"/>
        <w:left w:val="none" w:sz="0" w:space="0" w:color="auto"/>
        <w:bottom w:val="none" w:sz="0" w:space="0" w:color="auto"/>
        <w:right w:val="none" w:sz="0" w:space="0" w:color="auto"/>
      </w:divBdr>
    </w:div>
    <w:div w:id="1307012251">
      <w:bodyDiv w:val="1"/>
      <w:marLeft w:val="0"/>
      <w:marRight w:val="0"/>
      <w:marTop w:val="0"/>
      <w:marBottom w:val="0"/>
      <w:divBdr>
        <w:top w:val="none" w:sz="0" w:space="0" w:color="auto"/>
        <w:left w:val="none" w:sz="0" w:space="0" w:color="auto"/>
        <w:bottom w:val="none" w:sz="0" w:space="0" w:color="auto"/>
        <w:right w:val="none" w:sz="0" w:space="0" w:color="auto"/>
      </w:divBdr>
    </w:div>
    <w:div w:id="1307051384">
      <w:bodyDiv w:val="1"/>
      <w:marLeft w:val="0"/>
      <w:marRight w:val="0"/>
      <w:marTop w:val="0"/>
      <w:marBottom w:val="0"/>
      <w:divBdr>
        <w:top w:val="none" w:sz="0" w:space="0" w:color="auto"/>
        <w:left w:val="none" w:sz="0" w:space="0" w:color="auto"/>
        <w:bottom w:val="none" w:sz="0" w:space="0" w:color="auto"/>
        <w:right w:val="none" w:sz="0" w:space="0" w:color="auto"/>
      </w:divBdr>
    </w:div>
    <w:div w:id="1307053329">
      <w:bodyDiv w:val="1"/>
      <w:marLeft w:val="0"/>
      <w:marRight w:val="0"/>
      <w:marTop w:val="0"/>
      <w:marBottom w:val="0"/>
      <w:divBdr>
        <w:top w:val="none" w:sz="0" w:space="0" w:color="auto"/>
        <w:left w:val="none" w:sz="0" w:space="0" w:color="auto"/>
        <w:bottom w:val="none" w:sz="0" w:space="0" w:color="auto"/>
        <w:right w:val="none" w:sz="0" w:space="0" w:color="auto"/>
      </w:divBdr>
    </w:div>
    <w:div w:id="1307315505">
      <w:bodyDiv w:val="1"/>
      <w:marLeft w:val="0"/>
      <w:marRight w:val="0"/>
      <w:marTop w:val="0"/>
      <w:marBottom w:val="0"/>
      <w:divBdr>
        <w:top w:val="none" w:sz="0" w:space="0" w:color="auto"/>
        <w:left w:val="none" w:sz="0" w:space="0" w:color="auto"/>
        <w:bottom w:val="none" w:sz="0" w:space="0" w:color="auto"/>
        <w:right w:val="none" w:sz="0" w:space="0" w:color="auto"/>
      </w:divBdr>
    </w:div>
    <w:div w:id="1307392114">
      <w:bodyDiv w:val="1"/>
      <w:marLeft w:val="0"/>
      <w:marRight w:val="0"/>
      <w:marTop w:val="0"/>
      <w:marBottom w:val="0"/>
      <w:divBdr>
        <w:top w:val="none" w:sz="0" w:space="0" w:color="auto"/>
        <w:left w:val="none" w:sz="0" w:space="0" w:color="auto"/>
        <w:bottom w:val="none" w:sz="0" w:space="0" w:color="auto"/>
        <w:right w:val="none" w:sz="0" w:space="0" w:color="auto"/>
      </w:divBdr>
    </w:div>
    <w:div w:id="1307474459">
      <w:bodyDiv w:val="1"/>
      <w:marLeft w:val="0"/>
      <w:marRight w:val="0"/>
      <w:marTop w:val="0"/>
      <w:marBottom w:val="0"/>
      <w:divBdr>
        <w:top w:val="none" w:sz="0" w:space="0" w:color="auto"/>
        <w:left w:val="none" w:sz="0" w:space="0" w:color="auto"/>
        <w:bottom w:val="none" w:sz="0" w:space="0" w:color="auto"/>
        <w:right w:val="none" w:sz="0" w:space="0" w:color="auto"/>
      </w:divBdr>
    </w:div>
    <w:div w:id="1307512339">
      <w:bodyDiv w:val="1"/>
      <w:marLeft w:val="0"/>
      <w:marRight w:val="0"/>
      <w:marTop w:val="0"/>
      <w:marBottom w:val="0"/>
      <w:divBdr>
        <w:top w:val="none" w:sz="0" w:space="0" w:color="auto"/>
        <w:left w:val="none" w:sz="0" w:space="0" w:color="auto"/>
        <w:bottom w:val="none" w:sz="0" w:space="0" w:color="auto"/>
        <w:right w:val="none" w:sz="0" w:space="0" w:color="auto"/>
      </w:divBdr>
    </w:div>
    <w:div w:id="1307514743">
      <w:bodyDiv w:val="1"/>
      <w:marLeft w:val="0"/>
      <w:marRight w:val="0"/>
      <w:marTop w:val="0"/>
      <w:marBottom w:val="0"/>
      <w:divBdr>
        <w:top w:val="none" w:sz="0" w:space="0" w:color="auto"/>
        <w:left w:val="none" w:sz="0" w:space="0" w:color="auto"/>
        <w:bottom w:val="none" w:sz="0" w:space="0" w:color="auto"/>
        <w:right w:val="none" w:sz="0" w:space="0" w:color="auto"/>
      </w:divBdr>
    </w:div>
    <w:div w:id="1307516934">
      <w:bodyDiv w:val="1"/>
      <w:marLeft w:val="0"/>
      <w:marRight w:val="0"/>
      <w:marTop w:val="0"/>
      <w:marBottom w:val="0"/>
      <w:divBdr>
        <w:top w:val="none" w:sz="0" w:space="0" w:color="auto"/>
        <w:left w:val="none" w:sz="0" w:space="0" w:color="auto"/>
        <w:bottom w:val="none" w:sz="0" w:space="0" w:color="auto"/>
        <w:right w:val="none" w:sz="0" w:space="0" w:color="auto"/>
      </w:divBdr>
    </w:div>
    <w:div w:id="1307584638">
      <w:bodyDiv w:val="1"/>
      <w:marLeft w:val="0"/>
      <w:marRight w:val="0"/>
      <w:marTop w:val="0"/>
      <w:marBottom w:val="0"/>
      <w:divBdr>
        <w:top w:val="none" w:sz="0" w:space="0" w:color="auto"/>
        <w:left w:val="none" w:sz="0" w:space="0" w:color="auto"/>
        <w:bottom w:val="none" w:sz="0" w:space="0" w:color="auto"/>
        <w:right w:val="none" w:sz="0" w:space="0" w:color="auto"/>
      </w:divBdr>
    </w:div>
    <w:div w:id="1307587142">
      <w:bodyDiv w:val="1"/>
      <w:marLeft w:val="0"/>
      <w:marRight w:val="0"/>
      <w:marTop w:val="0"/>
      <w:marBottom w:val="0"/>
      <w:divBdr>
        <w:top w:val="none" w:sz="0" w:space="0" w:color="auto"/>
        <w:left w:val="none" w:sz="0" w:space="0" w:color="auto"/>
        <w:bottom w:val="none" w:sz="0" w:space="0" w:color="auto"/>
        <w:right w:val="none" w:sz="0" w:space="0" w:color="auto"/>
      </w:divBdr>
    </w:div>
    <w:div w:id="1307785102">
      <w:bodyDiv w:val="1"/>
      <w:marLeft w:val="0"/>
      <w:marRight w:val="0"/>
      <w:marTop w:val="0"/>
      <w:marBottom w:val="0"/>
      <w:divBdr>
        <w:top w:val="none" w:sz="0" w:space="0" w:color="auto"/>
        <w:left w:val="none" w:sz="0" w:space="0" w:color="auto"/>
        <w:bottom w:val="none" w:sz="0" w:space="0" w:color="auto"/>
        <w:right w:val="none" w:sz="0" w:space="0" w:color="auto"/>
      </w:divBdr>
    </w:div>
    <w:div w:id="1307858414">
      <w:bodyDiv w:val="1"/>
      <w:marLeft w:val="0"/>
      <w:marRight w:val="0"/>
      <w:marTop w:val="0"/>
      <w:marBottom w:val="0"/>
      <w:divBdr>
        <w:top w:val="none" w:sz="0" w:space="0" w:color="auto"/>
        <w:left w:val="none" w:sz="0" w:space="0" w:color="auto"/>
        <w:bottom w:val="none" w:sz="0" w:space="0" w:color="auto"/>
        <w:right w:val="none" w:sz="0" w:space="0" w:color="auto"/>
      </w:divBdr>
    </w:div>
    <w:div w:id="1308315674">
      <w:bodyDiv w:val="1"/>
      <w:marLeft w:val="0"/>
      <w:marRight w:val="0"/>
      <w:marTop w:val="0"/>
      <w:marBottom w:val="0"/>
      <w:divBdr>
        <w:top w:val="none" w:sz="0" w:space="0" w:color="auto"/>
        <w:left w:val="none" w:sz="0" w:space="0" w:color="auto"/>
        <w:bottom w:val="none" w:sz="0" w:space="0" w:color="auto"/>
        <w:right w:val="none" w:sz="0" w:space="0" w:color="auto"/>
      </w:divBdr>
    </w:div>
    <w:div w:id="1308323487">
      <w:bodyDiv w:val="1"/>
      <w:marLeft w:val="0"/>
      <w:marRight w:val="0"/>
      <w:marTop w:val="0"/>
      <w:marBottom w:val="0"/>
      <w:divBdr>
        <w:top w:val="none" w:sz="0" w:space="0" w:color="auto"/>
        <w:left w:val="none" w:sz="0" w:space="0" w:color="auto"/>
        <w:bottom w:val="none" w:sz="0" w:space="0" w:color="auto"/>
        <w:right w:val="none" w:sz="0" w:space="0" w:color="auto"/>
      </w:divBdr>
    </w:div>
    <w:div w:id="1308583473">
      <w:bodyDiv w:val="1"/>
      <w:marLeft w:val="0"/>
      <w:marRight w:val="0"/>
      <w:marTop w:val="0"/>
      <w:marBottom w:val="0"/>
      <w:divBdr>
        <w:top w:val="none" w:sz="0" w:space="0" w:color="auto"/>
        <w:left w:val="none" w:sz="0" w:space="0" w:color="auto"/>
        <w:bottom w:val="none" w:sz="0" w:space="0" w:color="auto"/>
        <w:right w:val="none" w:sz="0" w:space="0" w:color="auto"/>
      </w:divBdr>
    </w:div>
    <w:div w:id="1308633491">
      <w:bodyDiv w:val="1"/>
      <w:marLeft w:val="0"/>
      <w:marRight w:val="0"/>
      <w:marTop w:val="0"/>
      <w:marBottom w:val="0"/>
      <w:divBdr>
        <w:top w:val="none" w:sz="0" w:space="0" w:color="auto"/>
        <w:left w:val="none" w:sz="0" w:space="0" w:color="auto"/>
        <w:bottom w:val="none" w:sz="0" w:space="0" w:color="auto"/>
        <w:right w:val="none" w:sz="0" w:space="0" w:color="auto"/>
      </w:divBdr>
    </w:div>
    <w:div w:id="1308851654">
      <w:bodyDiv w:val="1"/>
      <w:marLeft w:val="0"/>
      <w:marRight w:val="0"/>
      <w:marTop w:val="0"/>
      <w:marBottom w:val="0"/>
      <w:divBdr>
        <w:top w:val="none" w:sz="0" w:space="0" w:color="auto"/>
        <w:left w:val="none" w:sz="0" w:space="0" w:color="auto"/>
        <w:bottom w:val="none" w:sz="0" w:space="0" w:color="auto"/>
        <w:right w:val="none" w:sz="0" w:space="0" w:color="auto"/>
      </w:divBdr>
    </w:div>
    <w:div w:id="1308972611">
      <w:bodyDiv w:val="1"/>
      <w:marLeft w:val="0"/>
      <w:marRight w:val="0"/>
      <w:marTop w:val="0"/>
      <w:marBottom w:val="0"/>
      <w:divBdr>
        <w:top w:val="none" w:sz="0" w:space="0" w:color="auto"/>
        <w:left w:val="none" w:sz="0" w:space="0" w:color="auto"/>
        <w:bottom w:val="none" w:sz="0" w:space="0" w:color="auto"/>
        <w:right w:val="none" w:sz="0" w:space="0" w:color="auto"/>
      </w:divBdr>
    </w:div>
    <w:div w:id="1309088957">
      <w:bodyDiv w:val="1"/>
      <w:marLeft w:val="0"/>
      <w:marRight w:val="0"/>
      <w:marTop w:val="0"/>
      <w:marBottom w:val="0"/>
      <w:divBdr>
        <w:top w:val="none" w:sz="0" w:space="0" w:color="auto"/>
        <w:left w:val="none" w:sz="0" w:space="0" w:color="auto"/>
        <w:bottom w:val="none" w:sz="0" w:space="0" w:color="auto"/>
        <w:right w:val="none" w:sz="0" w:space="0" w:color="auto"/>
      </w:divBdr>
    </w:div>
    <w:div w:id="1309631238">
      <w:bodyDiv w:val="1"/>
      <w:marLeft w:val="0"/>
      <w:marRight w:val="0"/>
      <w:marTop w:val="0"/>
      <w:marBottom w:val="0"/>
      <w:divBdr>
        <w:top w:val="none" w:sz="0" w:space="0" w:color="auto"/>
        <w:left w:val="none" w:sz="0" w:space="0" w:color="auto"/>
        <w:bottom w:val="none" w:sz="0" w:space="0" w:color="auto"/>
        <w:right w:val="none" w:sz="0" w:space="0" w:color="auto"/>
      </w:divBdr>
    </w:div>
    <w:div w:id="1309942879">
      <w:bodyDiv w:val="1"/>
      <w:marLeft w:val="0"/>
      <w:marRight w:val="0"/>
      <w:marTop w:val="0"/>
      <w:marBottom w:val="0"/>
      <w:divBdr>
        <w:top w:val="none" w:sz="0" w:space="0" w:color="auto"/>
        <w:left w:val="none" w:sz="0" w:space="0" w:color="auto"/>
        <w:bottom w:val="none" w:sz="0" w:space="0" w:color="auto"/>
        <w:right w:val="none" w:sz="0" w:space="0" w:color="auto"/>
      </w:divBdr>
    </w:div>
    <w:div w:id="1310087244">
      <w:bodyDiv w:val="1"/>
      <w:marLeft w:val="0"/>
      <w:marRight w:val="0"/>
      <w:marTop w:val="0"/>
      <w:marBottom w:val="0"/>
      <w:divBdr>
        <w:top w:val="none" w:sz="0" w:space="0" w:color="auto"/>
        <w:left w:val="none" w:sz="0" w:space="0" w:color="auto"/>
        <w:bottom w:val="none" w:sz="0" w:space="0" w:color="auto"/>
        <w:right w:val="none" w:sz="0" w:space="0" w:color="auto"/>
      </w:divBdr>
    </w:div>
    <w:div w:id="1310207895">
      <w:bodyDiv w:val="1"/>
      <w:marLeft w:val="0"/>
      <w:marRight w:val="0"/>
      <w:marTop w:val="0"/>
      <w:marBottom w:val="0"/>
      <w:divBdr>
        <w:top w:val="none" w:sz="0" w:space="0" w:color="auto"/>
        <w:left w:val="none" w:sz="0" w:space="0" w:color="auto"/>
        <w:bottom w:val="none" w:sz="0" w:space="0" w:color="auto"/>
        <w:right w:val="none" w:sz="0" w:space="0" w:color="auto"/>
      </w:divBdr>
    </w:div>
    <w:div w:id="1310549320">
      <w:bodyDiv w:val="1"/>
      <w:marLeft w:val="0"/>
      <w:marRight w:val="0"/>
      <w:marTop w:val="0"/>
      <w:marBottom w:val="0"/>
      <w:divBdr>
        <w:top w:val="none" w:sz="0" w:space="0" w:color="auto"/>
        <w:left w:val="none" w:sz="0" w:space="0" w:color="auto"/>
        <w:bottom w:val="none" w:sz="0" w:space="0" w:color="auto"/>
        <w:right w:val="none" w:sz="0" w:space="0" w:color="auto"/>
      </w:divBdr>
    </w:div>
    <w:div w:id="1310859618">
      <w:bodyDiv w:val="1"/>
      <w:marLeft w:val="0"/>
      <w:marRight w:val="0"/>
      <w:marTop w:val="0"/>
      <w:marBottom w:val="0"/>
      <w:divBdr>
        <w:top w:val="none" w:sz="0" w:space="0" w:color="auto"/>
        <w:left w:val="none" w:sz="0" w:space="0" w:color="auto"/>
        <w:bottom w:val="none" w:sz="0" w:space="0" w:color="auto"/>
        <w:right w:val="none" w:sz="0" w:space="0" w:color="auto"/>
      </w:divBdr>
    </w:div>
    <w:div w:id="1310935899">
      <w:bodyDiv w:val="1"/>
      <w:marLeft w:val="0"/>
      <w:marRight w:val="0"/>
      <w:marTop w:val="0"/>
      <w:marBottom w:val="0"/>
      <w:divBdr>
        <w:top w:val="none" w:sz="0" w:space="0" w:color="auto"/>
        <w:left w:val="none" w:sz="0" w:space="0" w:color="auto"/>
        <w:bottom w:val="none" w:sz="0" w:space="0" w:color="auto"/>
        <w:right w:val="none" w:sz="0" w:space="0" w:color="auto"/>
      </w:divBdr>
    </w:div>
    <w:div w:id="1310939092">
      <w:bodyDiv w:val="1"/>
      <w:marLeft w:val="0"/>
      <w:marRight w:val="0"/>
      <w:marTop w:val="0"/>
      <w:marBottom w:val="0"/>
      <w:divBdr>
        <w:top w:val="none" w:sz="0" w:space="0" w:color="auto"/>
        <w:left w:val="none" w:sz="0" w:space="0" w:color="auto"/>
        <w:bottom w:val="none" w:sz="0" w:space="0" w:color="auto"/>
        <w:right w:val="none" w:sz="0" w:space="0" w:color="auto"/>
      </w:divBdr>
    </w:div>
    <w:div w:id="1310982970">
      <w:bodyDiv w:val="1"/>
      <w:marLeft w:val="0"/>
      <w:marRight w:val="0"/>
      <w:marTop w:val="0"/>
      <w:marBottom w:val="0"/>
      <w:divBdr>
        <w:top w:val="none" w:sz="0" w:space="0" w:color="auto"/>
        <w:left w:val="none" w:sz="0" w:space="0" w:color="auto"/>
        <w:bottom w:val="none" w:sz="0" w:space="0" w:color="auto"/>
        <w:right w:val="none" w:sz="0" w:space="0" w:color="auto"/>
      </w:divBdr>
    </w:div>
    <w:div w:id="1311012946">
      <w:bodyDiv w:val="1"/>
      <w:marLeft w:val="0"/>
      <w:marRight w:val="0"/>
      <w:marTop w:val="0"/>
      <w:marBottom w:val="0"/>
      <w:divBdr>
        <w:top w:val="none" w:sz="0" w:space="0" w:color="auto"/>
        <w:left w:val="none" w:sz="0" w:space="0" w:color="auto"/>
        <w:bottom w:val="none" w:sz="0" w:space="0" w:color="auto"/>
        <w:right w:val="none" w:sz="0" w:space="0" w:color="auto"/>
      </w:divBdr>
    </w:div>
    <w:div w:id="1311058961">
      <w:bodyDiv w:val="1"/>
      <w:marLeft w:val="0"/>
      <w:marRight w:val="0"/>
      <w:marTop w:val="0"/>
      <w:marBottom w:val="0"/>
      <w:divBdr>
        <w:top w:val="none" w:sz="0" w:space="0" w:color="auto"/>
        <w:left w:val="none" w:sz="0" w:space="0" w:color="auto"/>
        <w:bottom w:val="none" w:sz="0" w:space="0" w:color="auto"/>
        <w:right w:val="none" w:sz="0" w:space="0" w:color="auto"/>
      </w:divBdr>
    </w:div>
    <w:div w:id="1311134109">
      <w:bodyDiv w:val="1"/>
      <w:marLeft w:val="0"/>
      <w:marRight w:val="0"/>
      <w:marTop w:val="0"/>
      <w:marBottom w:val="0"/>
      <w:divBdr>
        <w:top w:val="none" w:sz="0" w:space="0" w:color="auto"/>
        <w:left w:val="none" w:sz="0" w:space="0" w:color="auto"/>
        <w:bottom w:val="none" w:sz="0" w:space="0" w:color="auto"/>
        <w:right w:val="none" w:sz="0" w:space="0" w:color="auto"/>
      </w:divBdr>
    </w:div>
    <w:div w:id="1311593935">
      <w:bodyDiv w:val="1"/>
      <w:marLeft w:val="0"/>
      <w:marRight w:val="0"/>
      <w:marTop w:val="0"/>
      <w:marBottom w:val="0"/>
      <w:divBdr>
        <w:top w:val="none" w:sz="0" w:space="0" w:color="auto"/>
        <w:left w:val="none" w:sz="0" w:space="0" w:color="auto"/>
        <w:bottom w:val="none" w:sz="0" w:space="0" w:color="auto"/>
        <w:right w:val="none" w:sz="0" w:space="0" w:color="auto"/>
      </w:divBdr>
    </w:div>
    <w:div w:id="1311712220">
      <w:bodyDiv w:val="1"/>
      <w:marLeft w:val="0"/>
      <w:marRight w:val="0"/>
      <w:marTop w:val="0"/>
      <w:marBottom w:val="0"/>
      <w:divBdr>
        <w:top w:val="none" w:sz="0" w:space="0" w:color="auto"/>
        <w:left w:val="none" w:sz="0" w:space="0" w:color="auto"/>
        <w:bottom w:val="none" w:sz="0" w:space="0" w:color="auto"/>
        <w:right w:val="none" w:sz="0" w:space="0" w:color="auto"/>
      </w:divBdr>
    </w:div>
    <w:div w:id="1312101181">
      <w:bodyDiv w:val="1"/>
      <w:marLeft w:val="0"/>
      <w:marRight w:val="0"/>
      <w:marTop w:val="0"/>
      <w:marBottom w:val="0"/>
      <w:divBdr>
        <w:top w:val="none" w:sz="0" w:space="0" w:color="auto"/>
        <w:left w:val="none" w:sz="0" w:space="0" w:color="auto"/>
        <w:bottom w:val="none" w:sz="0" w:space="0" w:color="auto"/>
        <w:right w:val="none" w:sz="0" w:space="0" w:color="auto"/>
      </w:divBdr>
    </w:div>
    <w:div w:id="1312252451">
      <w:bodyDiv w:val="1"/>
      <w:marLeft w:val="0"/>
      <w:marRight w:val="0"/>
      <w:marTop w:val="0"/>
      <w:marBottom w:val="0"/>
      <w:divBdr>
        <w:top w:val="none" w:sz="0" w:space="0" w:color="auto"/>
        <w:left w:val="none" w:sz="0" w:space="0" w:color="auto"/>
        <w:bottom w:val="none" w:sz="0" w:space="0" w:color="auto"/>
        <w:right w:val="none" w:sz="0" w:space="0" w:color="auto"/>
      </w:divBdr>
    </w:div>
    <w:div w:id="1312564326">
      <w:bodyDiv w:val="1"/>
      <w:marLeft w:val="0"/>
      <w:marRight w:val="0"/>
      <w:marTop w:val="0"/>
      <w:marBottom w:val="0"/>
      <w:divBdr>
        <w:top w:val="none" w:sz="0" w:space="0" w:color="auto"/>
        <w:left w:val="none" w:sz="0" w:space="0" w:color="auto"/>
        <w:bottom w:val="none" w:sz="0" w:space="0" w:color="auto"/>
        <w:right w:val="none" w:sz="0" w:space="0" w:color="auto"/>
      </w:divBdr>
    </w:div>
    <w:div w:id="1312714032">
      <w:bodyDiv w:val="1"/>
      <w:marLeft w:val="0"/>
      <w:marRight w:val="0"/>
      <w:marTop w:val="0"/>
      <w:marBottom w:val="0"/>
      <w:divBdr>
        <w:top w:val="none" w:sz="0" w:space="0" w:color="auto"/>
        <w:left w:val="none" w:sz="0" w:space="0" w:color="auto"/>
        <w:bottom w:val="none" w:sz="0" w:space="0" w:color="auto"/>
        <w:right w:val="none" w:sz="0" w:space="0" w:color="auto"/>
      </w:divBdr>
    </w:div>
    <w:div w:id="1312714999">
      <w:bodyDiv w:val="1"/>
      <w:marLeft w:val="0"/>
      <w:marRight w:val="0"/>
      <w:marTop w:val="0"/>
      <w:marBottom w:val="0"/>
      <w:divBdr>
        <w:top w:val="none" w:sz="0" w:space="0" w:color="auto"/>
        <w:left w:val="none" w:sz="0" w:space="0" w:color="auto"/>
        <w:bottom w:val="none" w:sz="0" w:space="0" w:color="auto"/>
        <w:right w:val="none" w:sz="0" w:space="0" w:color="auto"/>
      </w:divBdr>
    </w:div>
    <w:div w:id="1312752514">
      <w:bodyDiv w:val="1"/>
      <w:marLeft w:val="0"/>
      <w:marRight w:val="0"/>
      <w:marTop w:val="0"/>
      <w:marBottom w:val="0"/>
      <w:divBdr>
        <w:top w:val="none" w:sz="0" w:space="0" w:color="auto"/>
        <w:left w:val="none" w:sz="0" w:space="0" w:color="auto"/>
        <w:bottom w:val="none" w:sz="0" w:space="0" w:color="auto"/>
        <w:right w:val="none" w:sz="0" w:space="0" w:color="auto"/>
      </w:divBdr>
    </w:div>
    <w:div w:id="1312756939">
      <w:bodyDiv w:val="1"/>
      <w:marLeft w:val="0"/>
      <w:marRight w:val="0"/>
      <w:marTop w:val="0"/>
      <w:marBottom w:val="0"/>
      <w:divBdr>
        <w:top w:val="none" w:sz="0" w:space="0" w:color="auto"/>
        <w:left w:val="none" w:sz="0" w:space="0" w:color="auto"/>
        <w:bottom w:val="none" w:sz="0" w:space="0" w:color="auto"/>
        <w:right w:val="none" w:sz="0" w:space="0" w:color="auto"/>
      </w:divBdr>
    </w:div>
    <w:div w:id="1312834450">
      <w:bodyDiv w:val="1"/>
      <w:marLeft w:val="0"/>
      <w:marRight w:val="0"/>
      <w:marTop w:val="0"/>
      <w:marBottom w:val="0"/>
      <w:divBdr>
        <w:top w:val="none" w:sz="0" w:space="0" w:color="auto"/>
        <w:left w:val="none" w:sz="0" w:space="0" w:color="auto"/>
        <w:bottom w:val="none" w:sz="0" w:space="0" w:color="auto"/>
        <w:right w:val="none" w:sz="0" w:space="0" w:color="auto"/>
      </w:divBdr>
    </w:div>
    <w:div w:id="1312901942">
      <w:bodyDiv w:val="1"/>
      <w:marLeft w:val="0"/>
      <w:marRight w:val="0"/>
      <w:marTop w:val="0"/>
      <w:marBottom w:val="0"/>
      <w:divBdr>
        <w:top w:val="none" w:sz="0" w:space="0" w:color="auto"/>
        <w:left w:val="none" w:sz="0" w:space="0" w:color="auto"/>
        <w:bottom w:val="none" w:sz="0" w:space="0" w:color="auto"/>
        <w:right w:val="none" w:sz="0" w:space="0" w:color="auto"/>
      </w:divBdr>
    </w:div>
    <w:div w:id="1312904003">
      <w:bodyDiv w:val="1"/>
      <w:marLeft w:val="0"/>
      <w:marRight w:val="0"/>
      <w:marTop w:val="0"/>
      <w:marBottom w:val="0"/>
      <w:divBdr>
        <w:top w:val="none" w:sz="0" w:space="0" w:color="auto"/>
        <w:left w:val="none" w:sz="0" w:space="0" w:color="auto"/>
        <w:bottom w:val="none" w:sz="0" w:space="0" w:color="auto"/>
        <w:right w:val="none" w:sz="0" w:space="0" w:color="auto"/>
      </w:divBdr>
    </w:div>
    <w:div w:id="1313096828">
      <w:bodyDiv w:val="1"/>
      <w:marLeft w:val="0"/>
      <w:marRight w:val="0"/>
      <w:marTop w:val="0"/>
      <w:marBottom w:val="0"/>
      <w:divBdr>
        <w:top w:val="none" w:sz="0" w:space="0" w:color="auto"/>
        <w:left w:val="none" w:sz="0" w:space="0" w:color="auto"/>
        <w:bottom w:val="none" w:sz="0" w:space="0" w:color="auto"/>
        <w:right w:val="none" w:sz="0" w:space="0" w:color="auto"/>
      </w:divBdr>
    </w:div>
    <w:div w:id="1313287533">
      <w:bodyDiv w:val="1"/>
      <w:marLeft w:val="0"/>
      <w:marRight w:val="0"/>
      <w:marTop w:val="0"/>
      <w:marBottom w:val="0"/>
      <w:divBdr>
        <w:top w:val="none" w:sz="0" w:space="0" w:color="auto"/>
        <w:left w:val="none" w:sz="0" w:space="0" w:color="auto"/>
        <w:bottom w:val="none" w:sz="0" w:space="0" w:color="auto"/>
        <w:right w:val="none" w:sz="0" w:space="0" w:color="auto"/>
      </w:divBdr>
    </w:div>
    <w:div w:id="1313408308">
      <w:bodyDiv w:val="1"/>
      <w:marLeft w:val="0"/>
      <w:marRight w:val="0"/>
      <w:marTop w:val="0"/>
      <w:marBottom w:val="0"/>
      <w:divBdr>
        <w:top w:val="none" w:sz="0" w:space="0" w:color="auto"/>
        <w:left w:val="none" w:sz="0" w:space="0" w:color="auto"/>
        <w:bottom w:val="none" w:sz="0" w:space="0" w:color="auto"/>
        <w:right w:val="none" w:sz="0" w:space="0" w:color="auto"/>
      </w:divBdr>
    </w:div>
    <w:div w:id="1313758900">
      <w:bodyDiv w:val="1"/>
      <w:marLeft w:val="0"/>
      <w:marRight w:val="0"/>
      <w:marTop w:val="0"/>
      <w:marBottom w:val="0"/>
      <w:divBdr>
        <w:top w:val="none" w:sz="0" w:space="0" w:color="auto"/>
        <w:left w:val="none" w:sz="0" w:space="0" w:color="auto"/>
        <w:bottom w:val="none" w:sz="0" w:space="0" w:color="auto"/>
        <w:right w:val="none" w:sz="0" w:space="0" w:color="auto"/>
      </w:divBdr>
    </w:div>
    <w:div w:id="1314067257">
      <w:bodyDiv w:val="1"/>
      <w:marLeft w:val="0"/>
      <w:marRight w:val="0"/>
      <w:marTop w:val="0"/>
      <w:marBottom w:val="0"/>
      <w:divBdr>
        <w:top w:val="none" w:sz="0" w:space="0" w:color="auto"/>
        <w:left w:val="none" w:sz="0" w:space="0" w:color="auto"/>
        <w:bottom w:val="none" w:sz="0" w:space="0" w:color="auto"/>
        <w:right w:val="none" w:sz="0" w:space="0" w:color="auto"/>
      </w:divBdr>
    </w:div>
    <w:div w:id="1314068963">
      <w:bodyDiv w:val="1"/>
      <w:marLeft w:val="0"/>
      <w:marRight w:val="0"/>
      <w:marTop w:val="0"/>
      <w:marBottom w:val="0"/>
      <w:divBdr>
        <w:top w:val="none" w:sz="0" w:space="0" w:color="auto"/>
        <w:left w:val="none" w:sz="0" w:space="0" w:color="auto"/>
        <w:bottom w:val="none" w:sz="0" w:space="0" w:color="auto"/>
        <w:right w:val="none" w:sz="0" w:space="0" w:color="auto"/>
      </w:divBdr>
    </w:div>
    <w:div w:id="1314069716">
      <w:bodyDiv w:val="1"/>
      <w:marLeft w:val="0"/>
      <w:marRight w:val="0"/>
      <w:marTop w:val="0"/>
      <w:marBottom w:val="0"/>
      <w:divBdr>
        <w:top w:val="none" w:sz="0" w:space="0" w:color="auto"/>
        <w:left w:val="none" w:sz="0" w:space="0" w:color="auto"/>
        <w:bottom w:val="none" w:sz="0" w:space="0" w:color="auto"/>
        <w:right w:val="none" w:sz="0" w:space="0" w:color="auto"/>
      </w:divBdr>
    </w:div>
    <w:div w:id="1314093539">
      <w:bodyDiv w:val="1"/>
      <w:marLeft w:val="0"/>
      <w:marRight w:val="0"/>
      <w:marTop w:val="0"/>
      <w:marBottom w:val="0"/>
      <w:divBdr>
        <w:top w:val="none" w:sz="0" w:space="0" w:color="auto"/>
        <w:left w:val="none" w:sz="0" w:space="0" w:color="auto"/>
        <w:bottom w:val="none" w:sz="0" w:space="0" w:color="auto"/>
        <w:right w:val="none" w:sz="0" w:space="0" w:color="auto"/>
      </w:divBdr>
    </w:div>
    <w:div w:id="1314137129">
      <w:bodyDiv w:val="1"/>
      <w:marLeft w:val="0"/>
      <w:marRight w:val="0"/>
      <w:marTop w:val="0"/>
      <w:marBottom w:val="0"/>
      <w:divBdr>
        <w:top w:val="none" w:sz="0" w:space="0" w:color="auto"/>
        <w:left w:val="none" w:sz="0" w:space="0" w:color="auto"/>
        <w:bottom w:val="none" w:sz="0" w:space="0" w:color="auto"/>
        <w:right w:val="none" w:sz="0" w:space="0" w:color="auto"/>
      </w:divBdr>
    </w:div>
    <w:div w:id="1314261548">
      <w:bodyDiv w:val="1"/>
      <w:marLeft w:val="0"/>
      <w:marRight w:val="0"/>
      <w:marTop w:val="0"/>
      <w:marBottom w:val="0"/>
      <w:divBdr>
        <w:top w:val="none" w:sz="0" w:space="0" w:color="auto"/>
        <w:left w:val="none" w:sz="0" w:space="0" w:color="auto"/>
        <w:bottom w:val="none" w:sz="0" w:space="0" w:color="auto"/>
        <w:right w:val="none" w:sz="0" w:space="0" w:color="auto"/>
      </w:divBdr>
    </w:div>
    <w:div w:id="1314406368">
      <w:bodyDiv w:val="1"/>
      <w:marLeft w:val="0"/>
      <w:marRight w:val="0"/>
      <w:marTop w:val="0"/>
      <w:marBottom w:val="0"/>
      <w:divBdr>
        <w:top w:val="none" w:sz="0" w:space="0" w:color="auto"/>
        <w:left w:val="none" w:sz="0" w:space="0" w:color="auto"/>
        <w:bottom w:val="none" w:sz="0" w:space="0" w:color="auto"/>
        <w:right w:val="none" w:sz="0" w:space="0" w:color="auto"/>
      </w:divBdr>
    </w:div>
    <w:div w:id="1314406376">
      <w:bodyDiv w:val="1"/>
      <w:marLeft w:val="0"/>
      <w:marRight w:val="0"/>
      <w:marTop w:val="0"/>
      <w:marBottom w:val="0"/>
      <w:divBdr>
        <w:top w:val="none" w:sz="0" w:space="0" w:color="auto"/>
        <w:left w:val="none" w:sz="0" w:space="0" w:color="auto"/>
        <w:bottom w:val="none" w:sz="0" w:space="0" w:color="auto"/>
        <w:right w:val="none" w:sz="0" w:space="0" w:color="auto"/>
      </w:divBdr>
    </w:div>
    <w:div w:id="1314486501">
      <w:bodyDiv w:val="1"/>
      <w:marLeft w:val="0"/>
      <w:marRight w:val="0"/>
      <w:marTop w:val="0"/>
      <w:marBottom w:val="0"/>
      <w:divBdr>
        <w:top w:val="none" w:sz="0" w:space="0" w:color="auto"/>
        <w:left w:val="none" w:sz="0" w:space="0" w:color="auto"/>
        <w:bottom w:val="none" w:sz="0" w:space="0" w:color="auto"/>
        <w:right w:val="none" w:sz="0" w:space="0" w:color="auto"/>
      </w:divBdr>
    </w:div>
    <w:div w:id="1314599418">
      <w:bodyDiv w:val="1"/>
      <w:marLeft w:val="0"/>
      <w:marRight w:val="0"/>
      <w:marTop w:val="0"/>
      <w:marBottom w:val="0"/>
      <w:divBdr>
        <w:top w:val="none" w:sz="0" w:space="0" w:color="auto"/>
        <w:left w:val="none" w:sz="0" w:space="0" w:color="auto"/>
        <w:bottom w:val="none" w:sz="0" w:space="0" w:color="auto"/>
        <w:right w:val="none" w:sz="0" w:space="0" w:color="auto"/>
      </w:divBdr>
    </w:div>
    <w:div w:id="1314605097">
      <w:bodyDiv w:val="1"/>
      <w:marLeft w:val="0"/>
      <w:marRight w:val="0"/>
      <w:marTop w:val="0"/>
      <w:marBottom w:val="0"/>
      <w:divBdr>
        <w:top w:val="none" w:sz="0" w:space="0" w:color="auto"/>
        <w:left w:val="none" w:sz="0" w:space="0" w:color="auto"/>
        <w:bottom w:val="none" w:sz="0" w:space="0" w:color="auto"/>
        <w:right w:val="none" w:sz="0" w:space="0" w:color="auto"/>
      </w:divBdr>
    </w:div>
    <w:div w:id="1314719610">
      <w:bodyDiv w:val="1"/>
      <w:marLeft w:val="0"/>
      <w:marRight w:val="0"/>
      <w:marTop w:val="0"/>
      <w:marBottom w:val="0"/>
      <w:divBdr>
        <w:top w:val="none" w:sz="0" w:space="0" w:color="auto"/>
        <w:left w:val="none" w:sz="0" w:space="0" w:color="auto"/>
        <w:bottom w:val="none" w:sz="0" w:space="0" w:color="auto"/>
        <w:right w:val="none" w:sz="0" w:space="0" w:color="auto"/>
      </w:divBdr>
    </w:div>
    <w:div w:id="1314721956">
      <w:bodyDiv w:val="1"/>
      <w:marLeft w:val="0"/>
      <w:marRight w:val="0"/>
      <w:marTop w:val="0"/>
      <w:marBottom w:val="0"/>
      <w:divBdr>
        <w:top w:val="none" w:sz="0" w:space="0" w:color="auto"/>
        <w:left w:val="none" w:sz="0" w:space="0" w:color="auto"/>
        <w:bottom w:val="none" w:sz="0" w:space="0" w:color="auto"/>
        <w:right w:val="none" w:sz="0" w:space="0" w:color="auto"/>
      </w:divBdr>
    </w:div>
    <w:div w:id="1314943969">
      <w:bodyDiv w:val="1"/>
      <w:marLeft w:val="0"/>
      <w:marRight w:val="0"/>
      <w:marTop w:val="0"/>
      <w:marBottom w:val="0"/>
      <w:divBdr>
        <w:top w:val="none" w:sz="0" w:space="0" w:color="auto"/>
        <w:left w:val="none" w:sz="0" w:space="0" w:color="auto"/>
        <w:bottom w:val="none" w:sz="0" w:space="0" w:color="auto"/>
        <w:right w:val="none" w:sz="0" w:space="0" w:color="auto"/>
      </w:divBdr>
    </w:div>
    <w:div w:id="1315177729">
      <w:bodyDiv w:val="1"/>
      <w:marLeft w:val="0"/>
      <w:marRight w:val="0"/>
      <w:marTop w:val="0"/>
      <w:marBottom w:val="0"/>
      <w:divBdr>
        <w:top w:val="none" w:sz="0" w:space="0" w:color="auto"/>
        <w:left w:val="none" w:sz="0" w:space="0" w:color="auto"/>
        <w:bottom w:val="none" w:sz="0" w:space="0" w:color="auto"/>
        <w:right w:val="none" w:sz="0" w:space="0" w:color="auto"/>
      </w:divBdr>
    </w:div>
    <w:div w:id="1315647258">
      <w:bodyDiv w:val="1"/>
      <w:marLeft w:val="0"/>
      <w:marRight w:val="0"/>
      <w:marTop w:val="0"/>
      <w:marBottom w:val="0"/>
      <w:divBdr>
        <w:top w:val="none" w:sz="0" w:space="0" w:color="auto"/>
        <w:left w:val="none" w:sz="0" w:space="0" w:color="auto"/>
        <w:bottom w:val="none" w:sz="0" w:space="0" w:color="auto"/>
        <w:right w:val="none" w:sz="0" w:space="0" w:color="auto"/>
      </w:divBdr>
    </w:div>
    <w:div w:id="1315718097">
      <w:bodyDiv w:val="1"/>
      <w:marLeft w:val="0"/>
      <w:marRight w:val="0"/>
      <w:marTop w:val="0"/>
      <w:marBottom w:val="0"/>
      <w:divBdr>
        <w:top w:val="none" w:sz="0" w:space="0" w:color="auto"/>
        <w:left w:val="none" w:sz="0" w:space="0" w:color="auto"/>
        <w:bottom w:val="none" w:sz="0" w:space="0" w:color="auto"/>
        <w:right w:val="none" w:sz="0" w:space="0" w:color="auto"/>
      </w:divBdr>
    </w:div>
    <w:div w:id="1315766796">
      <w:bodyDiv w:val="1"/>
      <w:marLeft w:val="0"/>
      <w:marRight w:val="0"/>
      <w:marTop w:val="0"/>
      <w:marBottom w:val="0"/>
      <w:divBdr>
        <w:top w:val="none" w:sz="0" w:space="0" w:color="auto"/>
        <w:left w:val="none" w:sz="0" w:space="0" w:color="auto"/>
        <w:bottom w:val="none" w:sz="0" w:space="0" w:color="auto"/>
        <w:right w:val="none" w:sz="0" w:space="0" w:color="auto"/>
      </w:divBdr>
    </w:div>
    <w:div w:id="1315841126">
      <w:bodyDiv w:val="1"/>
      <w:marLeft w:val="0"/>
      <w:marRight w:val="0"/>
      <w:marTop w:val="0"/>
      <w:marBottom w:val="0"/>
      <w:divBdr>
        <w:top w:val="none" w:sz="0" w:space="0" w:color="auto"/>
        <w:left w:val="none" w:sz="0" w:space="0" w:color="auto"/>
        <w:bottom w:val="none" w:sz="0" w:space="0" w:color="auto"/>
        <w:right w:val="none" w:sz="0" w:space="0" w:color="auto"/>
      </w:divBdr>
    </w:div>
    <w:div w:id="1315987478">
      <w:bodyDiv w:val="1"/>
      <w:marLeft w:val="0"/>
      <w:marRight w:val="0"/>
      <w:marTop w:val="0"/>
      <w:marBottom w:val="0"/>
      <w:divBdr>
        <w:top w:val="none" w:sz="0" w:space="0" w:color="auto"/>
        <w:left w:val="none" w:sz="0" w:space="0" w:color="auto"/>
        <w:bottom w:val="none" w:sz="0" w:space="0" w:color="auto"/>
        <w:right w:val="none" w:sz="0" w:space="0" w:color="auto"/>
      </w:divBdr>
    </w:div>
    <w:div w:id="1316108918">
      <w:bodyDiv w:val="1"/>
      <w:marLeft w:val="0"/>
      <w:marRight w:val="0"/>
      <w:marTop w:val="0"/>
      <w:marBottom w:val="0"/>
      <w:divBdr>
        <w:top w:val="none" w:sz="0" w:space="0" w:color="auto"/>
        <w:left w:val="none" w:sz="0" w:space="0" w:color="auto"/>
        <w:bottom w:val="none" w:sz="0" w:space="0" w:color="auto"/>
        <w:right w:val="none" w:sz="0" w:space="0" w:color="auto"/>
      </w:divBdr>
    </w:div>
    <w:div w:id="1316178133">
      <w:bodyDiv w:val="1"/>
      <w:marLeft w:val="0"/>
      <w:marRight w:val="0"/>
      <w:marTop w:val="0"/>
      <w:marBottom w:val="0"/>
      <w:divBdr>
        <w:top w:val="none" w:sz="0" w:space="0" w:color="auto"/>
        <w:left w:val="none" w:sz="0" w:space="0" w:color="auto"/>
        <w:bottom w:val="none" w:sz="0" w:space="0" w:color="auto"/>
        <w:right w:val="none" w:sz="0" w:space="0" w:color="auto"/>
      </w:divBdr>
    </w:div>
    <w:div w:id="1316372761">
      <w:bodyDiv w:val="1"/>
      <w:marLeft w:val="0"/>
      <w:marRight w:val="0"/>
      <w:marTop w:val="0"/>
      <w:marBottom w:val="0"/>
      <w:divBdr>
        <w:top w:val="none" w:sz="0" w:space="0" w:color="auto"/>
        <w:left w:val="none" w:sz="0" w:space="0" w:color="auto"/>
        <w:bottom w:val="none" w:sz="0" w:space="0" w:color="auto"/>
        <w:right w:val="none" w:sz="0" w:space="0" w:color="auto"/>
      </w:divBdr>
    </w:div>
    <w:div w:id="1316374388">
      <w:bodyDiv w:val="1"/>
      <w:marLeft w:val="0"/>
      <w:marRight w:val="0"/>
      <w:marTop w:val="0"/>
      <w:marBottom w:val="0"/>
      <w:divBdr>
        <w:top w:val="none" w:sz="0" w:space="0" w:color="auto"/>
        <w:left w:val="none" w:sz="0" w:space="0" w:color="auto"/>
        <w:bottom w:val="none" w:sz="0" w:space="0" w:color="auto"/>
        <w:right w:val="none" w:sz="0" w:space="0" w:color="auto"/>
      </w:divBdr>
    </w:div>
    <w:div w:id="1316490407">
      <w:bodyDiv w:val="1"/>
      <w:marLeft w:val="0"/>
      <w:marRight w:val="0"/>
      <w:marTop w:val="0"/>
      <w:marBottom w:val="0"/>
      <w:divBdr>
        <w:top w:val="none" w:sz="0" w:space="0" w:color="auto"/>
        <w:left w:val="none" w:sz="0" w:space="0" w:color="auto"/>
        <w:bottom w:val="none" w:sz="0" w:space="0" w:color="auto"/>
        <w:right w:val="none" w:sz="0" w:space="0" w:color="auto"/>
      </w:divBdr>
    </w:div>
    <w:div w:id="1316493052">
      <w:bodyDiv w:val="1"/>
      <w:marLeft w:val="0"/>
      <w:marRight w:val="0"/>
      <w:marTop w:val="0"/>
      <w:marBottom w:val="0"/>
      <w:divBdr>
        <w:top w:val="none" w:sz="0" w:space="0" w:color="auto"/>
        <w:left w:val="none" w:sz="0" w:space="0" w:color="auto"/>
        <w:bottom w:val="none" w:sz="0" w:space="0" w:color="auto"/>
        <w:right w:val="none" w:sz="0" w:space="0" w:color="auto"/>
      </w:divBdr>
    </w:div>
    <w:div w:id="1316569930">
      <w:bodyDiv w:val="1"/>
      <w:marLeft w:val="0"/>
      <w:marRight w:val="0"/>
      <w:marTop w:val="0"/>
      <w:marBottom w:val="0"/>
      <w:divBdr>
        <w:top w:val="none" w:sz="0" w:space="0" w:color="auto"/>
        <w:left w:val="none" w:sz="0" w:space="0" w:color="auto"/>
        <w:bottom w:val="none" w:sz="0" w:space="0" w:color="auto"/>
        <w:right w:val="none" w:sz="0" w:space="0" w:color="auto"/>
      </w:divBdr>
    </w:div>
    <w:div w:id="1316908958">
      <w:bodyDiv w:val="1"/>
      <w:marLeft w:val="0"/>
      <w:marRight w:val="0"/>
      <w:marTop w:val="0"/>
      <w:marBottom w:val="0"/>
      <w:divBdr>
        <w:top w:val="none" w:sz="0" w:space="0" w:color="auto"/>
        <w:left w:val="none" w:sz="0" w:space="0" w:color="auto"/>
        <w:bottom w:val="none" w:sz="0" w:space="0" w:color="auto"/>
        <w:right w:val="none" w:sz="0" w:space="0" w:color="auto"/>
      </w:divBdr>
    </w:div>
    <w:div w:id="1316952106">
      <w:bodyDiv w:val="1"/>
      <w:marLeft w:val="0"/>
      <w:marRight w:val="0"/>
      <w:marTop w:val="0"/>
      <w:marBottom w:val="0"/>
      <w:divBdr>
        <w:top w:val="none" w:sz="0" w:space="0" w:color="auto"/>
        <w:left w:val="none" w:sz="0" w:space="0" w:color="auto"/>
        <w:bottom w:val="none" w:sz="0" w:space="0" w:color="auto"/>
        <w:right w:val="none" w:sz="0" w:space="0" w:color="auto"/>
      </w:divBdr>
    </w:div>
    <w:div w:id="1317077679">
      <w:bodyDiv w:val="1"/>
      <w:marLeft w:val="0"/>
      <w:marRight w:val="0"/>
      <w:marTop w:val="0"/>
      <w:marBottom w:val="0"/>
      <w:divBdr>
        <w:top w:val="none" w:sz="0" w:space="0" w:color="auto"/>
        <w:left w:val="none" w:sz="0" w:space="0" w:color="auto"/>
        <w:bottom w:val="none" w:sz="0" w:space="0" w:color="auto"/>
        <w:right w:val="none" w:sz="0" w:space="0" w:color="auto"/>
      </w:divBdr>
    </w:div>
    <w:div w:id="1317341352">
      <w:bodyDiv w:val="1"/>
      <w:marLeft w:val="0"/>
      <w:marRight w:val="0"/>
      <w:marTop w:val="0"/>
      <w:marBottom w:val="0"/>
      <w:divBdr>
        <w:top w:val="none" w:sz="0" w:space="0" w:color="auto"/>
        <w:left w:val="none" w:sz="0" w:space="0" w:color="auto"/>
        <w:bottom w:val="none" w:sz="0" w:space="0" w:color="auto"/>
        <w:right w:val="none" w:sz="0" w:space="0" w:color="auto"/>
      </w:divBdr>
    </w:div>
    <w:div w:id="1317804109">
      <w:bodyDiv w:val="1"/>
      <w:marLeft w:val="0"/>
      <w:marRight w:val="0"/>
      <w:marTop w:val="0"/>
      <w:marBottom w:val="0"/>
      <w:divBdr>
        <w:top w:val="none" w:sz="0" w:space="0" w:color="auto"/>
        <w:left w:val="none" w:sz="0" w:space="0" w:color="auto"/>
        <w:bottom w:val="none" w:sz="0" w:space="0" w:color="auto"/>
        <w:right w:val="none" w:sz="0" w:space="0" w:color="auto"/>
      </w:divBdr>
    </w:div>
    <w:div w:id="1317875572">
      <w:bodyDiv w:val="1"/>
      <w:marLeft w:val="0"/>
      <w:marRight w:val="0"/>
      <w:marTop w:val="0"/>
      <w:marBottom w:val="0"/>
      <w:divBdr>
        <w:top w:val="none" w:sz="0" w:space="0" w:color="auto"/>
        <w:left w:val="none" w:sz="0" w:space="0" w:color="auto"/>
        <w:bottom w:val="none" w:sz="0" w:space="0" w:color="auto"/>
        <w:right w:val="none" w:sz="0" w:space="0" w:color="auto"/>
      </w:divBdr>
    </w:div>
    <w:div w:id="1318191529">
      <w:bodyDiv w:val="1"/>
      <w:marLeft w:val="0"/>
      <w:marRight w:val="0"/>
      <w:marTop w:val="0"/>
      <w:marBottom w:val="0"/>
      <w:divBdr>
        <w:top w:val="none" w:sz="0" w:space="0" w:color="auto"/>
        <w:left w:val="none" w:sz="0" w:space="0" w:color="auto"/>
        <w:bottom w:val="none" w:sz="0" w:space="0" w:color="auto"/>
        <w:right w:val="none" w:sz="0" w:space="0" w:color="auto"/>
      </w:divBdr>
    </w:div>
    <w:div w:id="1318342752">
      <w:bodyDiv w:val="1"/>
      <w:marLeft w:val="0"/>
      <w:marRight w:val="0"/>
      <w:marTop w:val="0"/>
      <w:marBottom w:val="0"/>
      <w:divBdr>
        <w:top w:val="none" w:sz="0" w:space="0" w:color="auto"/>
        <w:left w:val="none" w:sz="0" w:space="0" w:color="auto"/>
        <w:bottom w:val="none" w:sz="0" w:space="0" w:color="auto"/>
        <w:right w:val="none" w:sz="0" w:space="0" w:color="auto"/>
      </w:divBdr>
    </w:div>
    <w:div w:id="1318413743">
      <w:bodyDiv w:val="1"/>
      <w:marLeft w:val="0"/>
      <w:marRight w:val="0"/>
      <w:marTop w:val="0"/>
      <w:marBottom w:val="0"/>
      <w:divBdr>
        <w:top w:val="none" w:sz="0" w:space="0" w:color="auto"/>
        <w:left w:val="none" w:sz="0" w:space="0" w:color="auto"/>
        <w:bottom w:val="none" w:sz="0" w:space="0" w:color="auto"/>
        <w:right w:val="none" w:sz="0" w:space="0" w:color="auto"/>
      </w:divBdr>
    </w:div>
    <w:div w:id="1318535040">
      <w:bodyDiv w:val="1"/>
      <w:marLeft w:val="0"/>
      <w:marRight w:val="0"/>
      <w:marTop w:val="0"/>
      <w:marBottom w:val="0"/>
      <w:divBdr>
        <w:top w:val="none" w:sz="0" w:space="0" w:color="auto"/>
        <w:left w:val="none" w:sz="0" w:space="0" w:color="auto"/>
        <w:bottom w:val="none" w:sz="0" w:space="0" w:color="auto"/>
        <w:right w:val="none" w:sz="0" w:space="0" w:color="auto"/>
      </w:divBdr>
    </w:div>
    <w:div w:id="1318655836">
      <w:bodyDiv w:val="1"/>
      <w:marLeft w:val="0"/>
      <w:marRight w:val="0"/>
      <w:marTop w:val="0"/>
      <w:marBottom w:val="0"/>
      <w:divBdr>
        <w:top w:val="none" w:sz="0" w:space="0" w:color="auto"/>
        <w:left w:val="none" w:sz="0" w:space="0" w:color="auto"/>
        <w:bottom w:val="none" w:sz="0" w:space="0" w:color="auto"/>
        <w:right w:val="none" w:sz="0" w:space="0" w:color="auto"/>
      </w:divBdr>
    </w:div>
    <w:div w:id="1318918022">
      <w:bodyDiv w:val="1"/>
      <w:marLeft w:val="0"/>
      <w:marRight w:val="0"/>
      <w:marTop w:val="0"/>
      <w:marBottom w:val="0"/>
      <w:divBdr>
        <w:top w:val="none" w:sz="0" w:space="0" w:color="auto"/>
        <w:left w:val="none" w:sz="0" w:space="0" w:color="auto"/>
        <w:bottom w:val="none" w:sz="0" w:space="0" w:color="auto"/>
        <w:right w:val="none" w:sz="0" w:space="0" w:color="auto"/>
      </w:divBdr>
    </w:div>
    <w:div w:id="1318922937">
      <w:bodyDiv w:val="1"/>
      <w:marLeft w:val="0"/>
      <w:marRight w:val="0"/>
      <w:marTop w:val="0"/>
      <w:marBottom w:val="0"/>
      <w:divBdr>
        <w:top w:val="none" w:sz="0" w:space="0" w:color="auto"/>
        <w:left w:val="none" w:sz="0" w:space="0" w:color="auto"/>
        <w:bottom w:val="none" w:sz="0" w:space="0" w:color="auto"/>
        <w:right w:val="none" w:sz="0" w:space="0" w:color="auto"/>
      </w:divBdr>
    </w:div>
    <w:div w:id="1318924210">
      <w:bodyDiv w:val="1"/>
      <w:marLeft w:val="0"/>
      <w:marRight w:val="0"/>
      <w:marTop w:val="0"/>
      <w:marBottom w:val="0"/>
      <w:divBdr>
        <w:top w:val="none" w:sz="0" w:space="0" w:color="auto"/>
        <w:left w:val="none" w:sz="0" w:space="0" w:color="auto"/>
        <w:bottom w:val="none" w:sz="0" w:space="0" w:color="auto"/>
        <w:right w:val="none" w:sz="0" w:space="0" w:color="auto"/>
      </w:divBdr>
    </w:div>
    <w:div w:id="1319075096">
      <w:bodyDiv w:val="1"/>
      <w:marLeft w:val="0"/>
      <w:marRight w:val="0"/>
      <w:marTop w:val="0"/>
      <w:marBottom w:val="0"/>
      <w:divBdr>
        <w:top w:val="none" w:sz="0" w:space="0" w:color="auto"/>
        <w:left w:val="none" w:sz="0" w:space="0" w:color="auto"/>
        <w:bottom w:val="none" w:sz="0" w:space="0" w:color="auto"/>
        <w:right w:val="none" w:sz="0" w:space="0" w:color="auto"/>
      </w:divBdr>
    </w:div>
    <w:div w:id="1319306785">
      <w:bodyDiv w:val="1"/>
      <w:marLeft w:val="0"/>
      <w:marRight w:val="0"/>
      <w:marTop w:val="0"/>
      <w:marBottom w:val="0"/>
      <w:divBdr>
        <w:top w:val="none" w:sz="0" w:space="0" w:color="auto"/>
        <w:left w:val="none" w:sz="0" w:space="0" w:color="auto"/>
        <w:bottom w:val="none" w:sz="0" w:space="0" w:color="auto"/>
        <w:right w:val="none" w:sz="0" w:space="0" w:color="auto"/>
      </w:divBdr>
    </w:div>
    <w:div w:id="1319383122">
      <w:bodyDiv w:val="1"/>
      <w:marLeft w:val="0"/>
      <w:marRight w:val="0"/>
      <w:marTop w:val="0"/>
      <w:marBottom w:val="0"/>
      <w:divBdr>
        <w:top w:val="none" w:sz="0" w:space="0" w:color="auto"/>
        <w:left w:val="none" w:sz="0" w:space="0" w:color="auto"/>
        <w:bottom w:val="none" w:sz="0" w:space="0" w:color="auto"/>
        <w:right w:val="none" w:sz="0" w:space="0" w:color="auto"/>
      </w:divBdr>
    </w:div>
    <w:div w:id="1319964473">
      <w:bodyDiv w:val="1"/>
      <w:marLeft w:val="0"/>
      <w:marRight w:val="0"/>
      <w:marTop w:val="0"/>
      <w:marBottom w:val="0"/>
      <w:divBdr>
        <w:top w:val="none" w:sz="0" w:space="0" w:color="auto"/>
        <w:left w:val="none" w:sz="0" w:space="0" w:color="auto"/>
        <w:bottom w:val="none" w:sz="0" w:space="0" w:color="auto"/>
        <w:right w:val="none" w:sz="0" w:space="0" w:color="auto"/>
      </w:divBdr>
    </w:div>
    <w:div w:id="1320038149">
      <w:bodyDiv w:val="1"/>
      <w:marLeft w:val="0"/>
      <w:marRight w:val="0"/>
      <w:marTop w:val="0"/>
      <w:marBottom w:val="0"/>
      <w:divBdr>
        <w:top w:val="none" w:sz="0" w:space="0" w:color="auto"/>
        <w:left w:val="none" w:sz="0" w:space="0" w:color="auto"/>
        <w:bottom w:val="none" w:sz="0" w:space="0" w:color="auto"/>
        <w:right w:val="none" w:sz="0" w:space="0" w:color="auto"/>
      </w:divBdr>
    </w:div>
    <w:div w:id="1320114865">
      <w:bodyDiv w:val="1"/>
      <w:marLeft w:val="0"/>
      <w:marRight w:val="0"/>
      <w:marTop w:val="0"/>
      <w:marBottom w:val="0"/>
      <w:divBdr>
        <w:top w:val="none" w:sz="0" w:space="0" w:color="auto"/>
        <w:left w:val="none" w:sz="0" w:space="0" w:color="auto"/>
        <w:bottom w:val="none" w:sz="0" w:space="0" w:color="auto"/>
        <w:right w:val="none" w:sz="0" w:space="0" w:color="auto"/>
      </w:divBdr>
    </w:div>
    <w:div w:id="1320839949">
      <w:bodyDiv w:val="1"/>
      <w:marLeft w:val="0"/>
      <w:marRight w:val="0"/>
      <w:marTop w:val="0"/>
      <w:marBottom w:val="0"/>
      <w:divBdr>
        <w:top w:val="none" w:sz="0" w:space="0" w:color="auto"/>
        <w:left w:val="none" w:sz="0" w:space="0" w:color="auto"/>
        <w:bottom w:val="none" w:sz="0" w:space="0" w:color="auto"/>
        <w:right w:val="none" w:sz="0" w:space="0" w:color="auto"/>
      </w:divBdr>
    </w:div>
    <w:div w:id="1320882094">
      <w:bodyDiv w:val="1"/>
      <w:marLeft w:val="0"/>
      <w:marRight w:val="0"/>
      <w:marTop w:val="0"/>
      <w:marBottom w:val="0"/>
      <w:divBdr>
        <w:top w:val="none" w:sz="0" w:space="0" w:color="auto"/>
        <w:left w:val="none" w:sz="0" w:space="0" w:color="auto"/>
        <w:bottom w:val="none" w:sz="0" w:space="0" w:color="auto"/>
        <w:right w:val="none" w:sz="0" w:space="0" w:color="auto"/>
      </w:divBdr>
    </w:div>
    <w:div w:id="1320888817">
      <w:bodyDiv w:val="1"/>
      <w:marLeft w:val="0"/>
      <w:marRight w:val="0"/>
      <w:marTop w:val="0"/>
      <w:marBottom w:val="0"/>
      <w:divBdr>
        <w:top w:val="none" w:sz="0" w:space="0" w:color="auto"/>
        <w:left w:val="none" w:sz="0" w:space="0" w:color="auto"/>
        <w:bottom w:val="none" w:sz="0" w:space="0" w:color="auto"/>
        <w:right w:val="none" w:sz="0" w:space="0" w:color="auto"/>
      </w:divBdr>
    </w:div>
    <w:div w:id="1321274337">
      <w:bodyDiv w:val="1"/>
      <w:marLeft w:val="0"/>
      <w:marRight w:val="0"/>
      <w:marTop w:val="0"/>
      <w:marBottom w:val="0"/>
      <w:divBdr>
        <w:top w:val="none" w:sz="0" w:space="0" w:color="auto"/>
        <w:left w:val="none" w:sz="0" w:space="0" w:color="auto"/>
        <w:bottom w:val="none" w:sz="0" w:space="0" w:color="auto"/>
        <w:right w:val="none" w:sz="0" w:space="0" w:color="auto"/>
      </w:divBdr>
    </w:div>
    <w:div w:id="1321275940">
      <w:bodyDiv w:val="1"/>
      <w:marLeft w:val="0"/>
      <w:marRight w:val="0"/>
      <w:marTop w:val="0"/>
      <w:marBottom w:val="0"/>
      <w:divBdr>
        <w:top w:val="none" w:sz="0" w:space="0" w:color="auto"/>
        <w:left w:val="none" w:sz="0" w:space="0" w:color="auto"/>
        <w:bottom w:val="none" w:sz="0" w:space="0" w:color="auto"/>
        <w:right w:val="none" w:sz="0" w:space="0" w:color="auto"/>
      </w:divBdr>
    </w:div>
    <w:div w:id="1321426594">
      <w:bodyDiv w:val="1"/>
      <w:marLeft w:val="0"/>
      <w:marRight w:val="0"/>
      <w:marTop w:val="0"/>
      <w:marBottom w:val="0"/>
      <w:divBdr>
        <w:top w:val="none" w:sz="0" w:space="0" w:color="auto"/>
        <w:left w:val="none" w:sz="0" w:space="0" w:color="auto"/>
        <w:bottom w:val="none" w:sz="0" w:space="0" w:color="auto"/>
        <w:right w:val="none" w:sz="0" w:space="0" w:color="auto"/>
      </w:divBdr>
    </w:div>
    <w:div w:id="1322000148">
      <w:bodyDiv w:val="1"/>
      <w:marLeft w:val="0"/>
      <w:marRight w:val="0"/>
      <w:marTop w:val="0"/>
      <w:marBottom w:val="0"/>
      <w:divBdr>
        <w:top w:val="none" w:sz="0" w:space="0" w:color="auto"/>
        <w:left w:val="none" w:sz="0" w:space="0" w:color="auto"/>
        <w:bottom w:val="none" w:sz="0" w:space="0" w:color="auto"/>
        <w:right w:val="none" w:sz="0" w:space="0" w:color="auto"/>
      </w:divBdr>
    </w:div>
    <w:div w:id="1322004464">
      <w:bodyDiv w:val="1"/>
      <w:marLeft w:val="0"/>
      <w:marRight w:val="0"/>
      <w:marTop w:val="0"/>
      <w:marBottom w:val="0"/>
      <w:divBdr>
        <w:top w:val="none" w:sz="0" w:space="0" w:color="auto"/>
        <w:left w:val="none" w:sz="0" w:space="0" w:color="auto"/>
        <w:bottom w:val="none" w:sz="0" w:space="0" w:color="auto"/>
        <w:right w:val="none" w:sz="0" w:space="0" w:color="auto"/>
      </w:divBdr>
    </w:div>
    <w:div w:id="1322125484">
      <w:bodyDiv w:val="1"/>
      <w:marLeft w:val="0"/>
      <w:marRight w:val="0"/>
      <w:marTop w:val="0"/>
      <w:marBottom w:val="0"/>
      <w:divBdr>
        <w:top w:val="none" w:sz="0" w:space="0" w:color="auto"/>
        <w:left w:val="none" w:sz="0" w:space="0" w:color="auto"/>
        <w:bottom w:val="none" w:sz="0" w:space="0" w:color="auto"/>
        <w:right w:val="none" w:sz="0" w:space="0" w:color="auto"/>
      </w:divBdr>
    </w:div>
    <w:div w:id="1322197447">
      <w:bodyDiv w:val="1"/>
      <w:marLeft w:val="0"/>
      <w:marRight w:val="0"/>
      <w:marTop w:val="0"/>
      <w:marBottom w:val="0"/>
      <w:divBdr>
        <w:top w:val="none" w:sz="0" w:space="0" w:color="auto"/>
        <w:left w:val="none" w:sz="0" w:space="0" w:color="auto"/>
        <w:bottom w:val="none" w:sz="0" w:space="0" w:color="auto"/>
        <w:right w:val="none" w:sz="0" w:space="0" w:color="auto"/>
      </w:divBdr>
    </w:div>
    <w:div w:id="1322270893">
      <w:bodyDiv w:val="1"/>
      <w:marLeft w:val="0"/>
      <w:marRight w:val="0"/>
      <w:marTop w:val="0"/>
      <w:marBottom w:val="0"/>
      <w:divBdr>
        <w:top w:val="none" w:sz="0" w:space="0" w:color="auto"/>
        <w:left w:val="none" w:sz="0" w:space="0" w:color="auto"/>
        <w:bottom w:val="none" w:sz="0" w:space="0" w:color="auto"/>
        <w:right w:val="none" w:sz="0" w:space="0" w:color="auto"/>
      </w:divBdr>
    </w:div>
    <w:div w:id="1322350959">
      <w:bodyDiv w:val="1"/>
      <w:marLeft w:val="0"/>
      <w:marRight w:val="0"/>
      <w:marTop w:val="0"/>
      <w:marBottom w:val="0"/>
      <w:divBdr>
        <w:top w:val="none" w:sz="0" w:space="0" w:color="auto"/>
        <w:left w:val="none" w:sz="0" w:space="0" w:color="auto"/>
        <w:bottom w:val="none" w:sz="0" w:space="0" w:color="auto"/>
        <w:right w:val="none" w:sz="0" w:space="0" w:color="auto"/>
      </w:divBdr>
    </w:div>
    <w:div w:id="1322463097">
      <w:bodyDiv w:val="1"/>
      <w:marLeft w:val="0"/>
      <w:marRight w:val="0"/>
      <w:marTop w:val="0"/>
      <w:marBottom w:val="0"/>
      <w:divBdr>
        <w:top w:val="none" w:sz="0" w:space="0" w:color="auto"/>
        <w:left w:val="none" w:sz="0" w:space="0" w:color="auto"/>
        <w:bottom w:val="none" w:sz="0" w:space="0" w:color="auto"/>
        <w:right w:val="none" w:sz="0" w:space="0" w:color="auto"/>
      </w:divBdr>
    </w:div>
    <w:div w:id="1322538845">
      <w:bodyDiv w:val="1"/>
      <w:marLeft w:val="0"/>
      <w:marRight w:val="0"/>
      <w:marTop w:val="0"/>
      <w:marBottom w:val="0"/>
      <w:divBdr>
        <w:top w:val="none" w:sz="0" w:space="0" w:color="auto"/>
        <w:left w:val="none" w:sz="0" w:space="0" w:color="auto"/>
        <w:bottom w:val="none" w:sz="0" w:space="0" w:color="auto"/>
        <w:right w:val="none" w:sz="0" w:space="0" w:color="auto"/>
      </w:divBdr>
    </w:div>
    <w:div w:id="1322586519">
      <w:bodyDiv w:val="1"/>
      <w:marLeft w:val="0"/>
      <w:marRight w:val="0"/>
      <w:marTop w:val="0"/>
      <w:marBottom w:val="0"/>
      <w:divBdr>
        <w:top w:val="none" w:sz="0" w:space="0" w:color="auto"/>
        <w:left w:val="none" w:sz="0" w:space="0" w:color="auto"/>
        <w:bottom w:val="none" w:sz="0" w:space="0" w:color="auto"/>
        <w:right w:val="none" w:sz="0" w:space="0" w:color="auto"/>
      </w:divBdr>
    </w:div>
    <w:div w:id="1322932740">
      <w:bodyDiv w:val="1"/>
      <w:marLeft w:val="0"/>
      <w:marRight w:val="0"/>
      <w:marTop w:val="0"/>
      <w:marBottom w:val="0"/>
      <w:divBdr>
        <w:top w:val="none" w:sz="0" w:space="0" w:color="auto"/>
        <w:left w:val="none" w:sz="0" w:space="0" w:color="auto"/>
        <w:bottom w:val="none" w:sz="0" w:space="0" w:color="auto"/>
        <w:right w:val="none" w:sz="0" w:space="0" w:color="auto"/>
      </w:divBdr>
    </w:div>
    <w:div w:id="1323394101">
      <w:bodyDiv w:val="1"/>
      <w:marLeft w:val="0"/>
      <w:marRight w:val="0"/>
      <w:marTop w:val="0"/>
      <w:marBottom w:val="0"/>
      <w:divBdr>
        <w:top w:val="none" w:sz="0" w:space="0" w:color="auto"/>
        <w:left w:val="none" w:sz="0" w:space="0" w:color="auto"/>
        <w:bottom w:val="none" w:sz="0" w:space="0" w:color="auto"/>
        <w:right w:val="none" w:sz="0" w:space="0" w:color="auto"/>
      </w:divBdr>
    </w:div>
    <w:div w:id="1323465204">
      <w:bodyDiv w:val="1"/>
      <w:marLeft w:val="0"/>
      <w:marRight w:val="0"/>
      <w:marTop w:val="0"/>
      <w:marBottom w:val="0"/>
      <w:divBdr>
        <w:top w:val="none" w:sz="0" w:space="0" w:color="auto"/>
        <w:left w:val="none" w:sz="0" w:space="0" w:color="auto"/>
        <w:bottom w:val="none" w:sz="0" w:space="0" w:color="auto"/>
        <w:right w:val="none" w:sz="0" w:space="0" w:color="auto"/>
      </w:divBdr>
    </w:div>
    <w:div w:id="1323507589">
      <w:bodyDiv w:val="1"/>
      <w:marLeft w:val="0"/>
      <w:marRight w:val="0"/>
      <w:marTop w:val="0"/>
      <w:marBottom w:val="0"/>
      <w:divBdr>
        <w:top w:val="none" w:sz="0" w:space="0" w:color="auto"/>
        <w:left w:val="none" w:sz="0" w:space="0" w:color="auto"/>
        <w:bottom w:val="none" w:sz="0" w:space="0" w:color="auto"/>
        <w:right w:val="none" w:sz="0" w:space="0" w:color="auto"/>
      </w:divBdr>
    </w:div>
    <w:div w:id="1323854293">
      <w:bodyDiv w:val="1"/>
      <w:marLeft w:val="0"/>
      <w:marRight w:val="0"/>
      <w:marTop w:val="0"/>
      <w:marBottom w:val="0"/>
      <w:divBdr>
        <w:top w:val="none" w:sz="0" w:space="0" w:color="auto"/>
        <w:left w:val="none" w:sz="0" w:space="0" w:color="auto"/>
        <w:bottom w:val="none" w:sz="0" w:space="0" w:color="auto"/>
        <w:right w:val="none" w:sz="0" w:space="0" w:color="auto"/>
      </w:divBdr>
    </w:div>
    <w:div w:id="1323965842">
      <w:bodyDiv w:val="1"/>
      <w:marLeft w:val="0"/>
      <w:marRight w:val="0"/>
      <w:marTop w:val="0"/>
      <w:marBottom w:val="0"/>
      <w:divBdr>
        <w:top w:val="none" w:sz="0" w:space="0" w:color="auto"/>
        <w:left w:val="none" w:sz="0" w:space="0" w:color="auto"/>
        <w:bottom w:val="none" w:sz="0" w:space="0" w:color="auto"/>
        <w:right w:val="none" w:sz="0" w:space="0" w:color="auto"/>
      </w:divBdr>
    </w:div>
    <w:div w:id="1323974270">
      <w:bodyDiv w:val="1"/>
      <w:marLeft w:val="0"/>
      <w:marRight w:val="0"/>
      <w:marTop w:val="0"/>
      <w:marBottom w:val="0"/>
      <w:divBdr>
        <w:top w:val="none" w:sz="0" w:space="0" w:color="auto"/>
        <w:left w:val="none" w:sz="0" w:space="0" w:color="auto"/>
        <w:bottom w:val="none" w:sz="0" w:space="0" w:color="auto"/>
        <w:right w:val="none" w:sz="0" w:space="0" w:color="auto"/>
      </w:divBdr>
    </w:div>
    <w:div w:id="1324167889">
      <w:bodyDiv w:val="1"/>
      <w:marLeft w:val="0"/>
      <w:marRight w:val="0"/>
      <w:marTop w:val="0"/>
      <w:marBottom w:val="0"/>
      <w:divBdr>
        <w:top w:val="none" w:sz="0" w:space="0" w:color="auto"/>
        <w:left w:val="none" w:sz="0" w:space="0" w:color="auto"/>
        <w:bottom w:val="none" w:sz="0" w:space="0" w:color="auto"/>
        <w:right w:val="none" w:sz="0" w:space="0" w:color="auto"/>
      </w:divBdr>
    </w:div>
    <w:div w:id="1324313840">
      <w:bodyDiv w:val="1"/>
      <w:marLeft w:val="0"/>
      <w:marRight w:val="0"/>
      <w:marTop w:val="0"/>
      <w:marBottom w:val="0"/>
      <w:divBdr>
        <w:top w:val="none" w:sz="0" w:space="0" w:color="auto"/>
        <w:left w:val="none" w:sz="0" w:space="0" w:color="auto"/>
        <w:bottom w:val="none" w:sz="0" w:space="0" w:color="auto"/>
        <w:right w:val="none" w:sz="0" w:space="0" w:color="auto"/>
      </w:divBdr>
    </w:div>
    <w:div w:id="1324318564">
      <w:bodyDiv w:val="1"/>
      <w:marLeft w:val="0"/>
      <w:marRight w:val="0"/>
      <w:marTop w:val="0"/>
      <w:marBottom w:val="0"/>
      <w:divBdr>
        <w:top w:val="none" w:sz="0" w:space="0" w:color="auto"/>
        <w:left w:val="none" w:sz="0" w:space="0" w:color="auto"/>
        <w:bottom w:val="none" w:sz="0" w:space="0" w:color="auto"/>
        <w:right w:val="none" w:sz="0" w:space="0" w:color="auto"/>
      </w:divBdr>
    </w:div>
    <w:div w:id="1324506399">
      <w:bodyDiv w:val="1"/>
      <w:marLeft w:val="0"/>
      <w:marRight w:val="0"/>
      <w:marTop w:val="0"/>
      <w:marBottom w:val="0"/>
      <w:divBdr>
        <w:top w:val="none" w:sz="0" w:space="0" w:color="auto"/>
        <w:left w:val="none" w:sz="0" w:space="0" w:color="auto"/>
        <w:bottom w:val="none" w:sz="0" w:space="0" w:color="auto"/>
        <w:right w:val="none" w:sz="0" w:space="0" w:color="auto"/>
      </w:divBdr>
    </w:div>
    <w:div w:id="1324549996">
      <w:bodyDiv w:val="1"/>
      <w:marLeft w:val="0"/>
      <w:marRight w:val="0"/>
      <w:marTop w:val="0"/>
      <w:marBottom w:val="0"/>
      <w:divBdr>
        <w:top w:val="none" w:sz="0" w:space="0" w:color="auto"/>
        <w:left w:val="none" w:sz="0" w:space="0" w:color="auto"/>
        <w:bottom w:val="none" w:sz="0" w:space="0" w:color="auto"/>
        <w:right w:val="none" w:sz="0" w:space="0" w:color="auto"/>
      </w:divBdr>
    </w:div>
    <w:div w:id="1324696147">
      <w:bodyDiv w:val="1"/>
      <w:marLeft w:val="0"/>
      <w:marRight w:val="0"/>
      <w:marTop w:val="0"/>
      <w:marBottom w:val="0"/>
      <w:divBdr>
        <w:top w:val="none" w:sz="0" w:space="0" w:color="auto"/>
        <w:left w:val="none" w:sz="0" w:space="0" w:color="auto"/>
        <w:bottom w:val="none" w:sz="0" w:space="0" w:color="auto"/>
        <w:right w:val="none" w:sz="0" w:space="0" w:color="auto"/>
      </w:divBdr>
    </w:div>
    <w:div w:id="1324747728">
      <w:bodyDiv w:val="1"/>
      <w:marLeft w:val="0"/>
      <w:marRight w:val="0"/>
      <w:marTop w:val="0"/>
      <w:marBottom w:val="0"/>
      <w:divBdr>
        <w:top w:val="none" w:sz="0" w:space="0" w:color="auto"/>
        <w:left w:val="none" w:sz="0" w:space="0" w:color="auto"/>
        <w:bottom w:val="none" w:sz="0" w:space="0" w:color="auto"/>
        <w:right w:val="none" w:sz="0" w:space="0" w:color="auto"/>
      </w:divBdr>
    </w:div>
    <w:div w:id="1324776894">
      <w:bodyDiv w:val="1"/>
      <w:marLeft w:val="0"/>
      <w:marRight w:val="0"/>
      <w:marTop w:val="0"/>
      <w:marBottom w:val="0"/>
      <w:divBdr>
        <w:top w:val="none" w:sz="0" w:space="0" w:color="auto"/>
        <w:left w:val="none" w:sz="0" w:space="0" w:color="auto"/>
        <w:bottom w:val="none" w:sz="0" w:space="0" w:color="auto"/>
        <w:right w:val="none" w:sz="0" w:space="0" w:color="auto"/>
      </w:divBdr>
    </w:div>
    <w:div w:id="1324819491">
      <w:bodyDiv w:val="1"/>
      <w:marLeft w:val="0"/>
      <w:marRight w:val="0"/>
      <w:marTop w:val="0"/>
      <w:marBottom w:val="0"/>
      <w:divBdr>
        <w:top w:val="none" w:sz="0" w:space="0" w:color="auto"/>
        <w:left w:val="none" w:sz="0" w:space="0" w:color="auto"/>
        <w:bottom w:val="none" w:sz="0" w:space="0" w:color="auto"/>
        <w:right w:val="none" w:sz="0" w:space="0" w:color="auto"/>
      </w:divBdr>
    </w:div>
    <w:div w:id="1324972614">
      <w:bodyDiv w:val="1"/>
      <w:marLeft w:val="0"/>
      <w:marRight w:val="0"/>
      <w:marTop w:val="0"/>
      <w:marBottom w:val="0"/>
      <w:divBdr>
        <w:top w:val="none" w:sz="0" w:space="0" w:color="auto"/>
        <w:left w:val="none" w:sz="0" w:space="0" w:color="auto"/>
        <w:bottom w:val="none" w:sz="0" w:space="0" w:color="auto"/>
        <w:right w:val="none" w:sz="0" w:space="0" w:color="auto"/>
      </w:divBdr>
    </w:div>
    <w:div w:id="1325164572">
      <w:bodyDiv w:val="1"/>
      <w:marLeft w:val="0"/>
      <w:marRight w:val="0"/>
      <w:marTop w:val="0"/>
      <w:marBottom w:val="0"/>
      <w:divBdr>
        <w:top w:val="none" w:sz="0" w:space="0" w:color="auto"/>
        <w:left w:val="none" w:sz="0" w:space="0" w:color="auto"/>
        <w:bottom w:val="none" w:sz="0" w:space="0" w:color="auto"/>
        <w:right w:val="none" w:sz="0" w:space="0" w:color="auto"/>
      </w:divBdr>
    </w:div>
    <w:div w:id="1325209580">
      <w:bodyDiv w:val="1"/>
      <w:marLeft w:val="0"/>
      <w:marRight w:val="0"/>
      <w:marTop w:val="0"/>
      <w:marBottom w:val="0"/>
      <w:divBdr>
        <w:top w:val="none" w:sz="0" w:space="0" w:color="auto"/>
        <w:left w:val="none" w:sz="0" w:space="0" w:color="auto"/>
        <w:bottom w:val="none" w:sz="0" w:space="0" w:color="auto"/>
        <w:right w:val="none" w:sz="0" w:space="0" w:color="auto"/>
      </w:divBdr>
    </w:div>
    <w:div w:id="1325553375">
      <w:bodyDiv w:val="1"/>
      <w:marLeft w:val="0"/>
      <w:marRight w:val="0"/>
      <w:marTop w:val="0"/>
      <w:marBottom w:val="0"/>
      <w:divBdr>
        <w:top w:val="none" w:sz="0" w:space="0" w:color="auto"/>
        <w:left w:val="none" w:sz="0" w:space="0" w:color="auto"/>
        <w:bottom w:val="none" w:sz="0" w:space="0" w:color="auto"/>
        <w:right w:val="none" w:sz="0" w:space="0" w:color="auto"/>
      </w:divBdr>
    </w:div>
    <w:div w:id="1325664704">
      <w:bodyDiv w:val="1"/>
      <w:marLeft w:val="0"/>
      <w:marRight w:val="0"/>
      <w:marTop w:val="0"/>
      <w:marBottom w:val="0"/>
      <w:divBdr>
        <w:top w:val="none" w:sz="0" w:space="0" w:color="auto"/>
        <w:left w:val="none" w:sz="0" w:space="0" w:color="auto"/>
        <w:bottom w:val="none" w:sz="0" w:space="0" w:color="auto"/>
        <w:right w:val="none" w:sz="0" w:space="0" w:color="auto"/>
      </w:divBdr>
    </w:div>
    <w:div w:id="1325745963">
      <w:bodyDiv w:val="1"/>
      <w:marLeft w:val="0"/>
      <w:marRight w:val="0"/>
      <w:marTop w:val="0"/>
      <w:marBottom w:val="0"/>
      <w:divBdr>
        <w:top w:val="none" w:sz="0" w:space="0" w:color="auto"/>
        <w:left w:val="none" w:sz="0" w:space="0" w:color="auto"/>
        <w:bottom w:val="none" w:sz="0" w:space="0" w:color="auto"/>
        <w:right w:val="none" w:sz="0" w:space="0" w:color="auto"/>
      </w:divBdr>
    </w:div>
    <w:div w:id="1325938405">
      <w:bodyDiv w:val="1"/>
      <w:marLeft w:val="0"/>
      <w:marRight w:val="0"/>
      <w:marTop w:val="0"/>
      <w:marBottom w:val="0"/>
      <w:divBdr>
        <w:top w:val="none" w:sz="0" w:space="0" w:color="auto"/>
        <w:left w:val="none" w:sz="0" w:space="0" w:color="auto"/>
        <w:bottom w:val="none" w:sz="0" w:space="0" w:color="auto"/>
        <w:right w:val="none" w:sz="0" w:space="0" w:color="auto"/>
      </w:divBdr>
    </w:div>
    <w:div w:id="1326781917">
      <w:bodyDiv w:val="1"/>
      <w:marLeft w:val="0"/>
      <w:marRight w:val="0"/>
      <w:marTop w:val="0"/>
      <w:marBottom w:val="0"/>
      <w:divBdr>
        <w:top w:val="none" w:sz="0" w:space="0" w:color="auto"/>
        <w:left w:val="none" w:sz="0" w:space="0" w:color="auto"/>
        <w:bottom w:val="none" w:sz="0" w:space="0" w:color="auto"/>
        <w:right w:val="none" w:sz="0" w:space="0" w:color="auto"/>
      </w:divBdr>
    </w:div>
    <w:div w:id="1326860785">
      <w:bodyDiv w:val="1"/>
      <w:marLeft w:val="0"/>
      <w:marRight w:val="0"/>
      <w:marTop w:val="0"/>
      <w:marBottom w:val="0"/>
      <w:divBdr>
        <w:top w:val="none" w:sz="0" w:space="0" w:color="auto"/>
        <w:left w:val="none" w:sz="0" w:space="0" w:color="auto"/>
        <w:bottom w:val="none" w:sz="0" w:space="0" w:color="auto"/>
        <w:right w:val="none" w:sz="0" w:space="0" w:color="auto"/>
      </w:divBdr>
    </w:div>
    <w:div w:id="1326981141">
      <w:bodyDiv w:val="1"/>
      <w:marLeft w:val="0"/>
      <w:marRight w:val="0"/>
      <w:marTop w:val="0"/>
      <w:marBottom w:val="0"/>
      <w:divBdr>
        <w:top w:val="none" w:sz="0" w:space="0" w:color="auto"/>
        <w:left w:val="none" w:sz="0" w:space="0" w:color="auto"/>
        <w:bottom w:val="none" w:sz="0" w:space="0" w:color="auto"/>
        <w:right w:val="none" w:sz="0" w:space="0" w:color="auto"/>
      </w:divBdr>
    </w:div>
    <w:div w:id="1327128268">
      <w:bodyDiv w:val="1"/>
      <w:marLeft w:val="0"/>
      <w:marRight w:val="0"/>
      <w:marTop w:val="0"/>
      <w:marBottom w:val="0"/>
      <w:divBdr>
        <w:top w:val="none" w:sz="0" w:space="0" w:color="auto"/>
        <w:left w:val="none" w:sz="0" w:space="0" w:color="auto"/>
        <w:bottom w:val="none" w:sz="0" w:space="0" w:color="auto"/>
        <w:right w:val="none" w:sz="0" w:space="0" w:color="auto"/>
      </w:divBdr>
    </w:div>
    <w:div w:id="1327250635">
      <w:bodyDiv w:val="1"/>
      <w:marLeft w:val="0"/>
      <w:marRight w:val="0"/>
      <w:marTop w:val="0"/>
      <w:marBottom w:val="0"/>
      <w:divBdr>
        <w:top w:val="none" w:sz="0" w:space="0" w:color="auto"/>
        <w:left w:val="none" w:sz="0" w:space="0" w:color="auto"/>
        <w:bottom w:val="none" w:sz="0" w:space="0" w:color="auto"/>
        <w:right w:val="none" w:sz="0" w:space="0" w:color="auto"/>
      </w:divBdr>
    </w:div>
    <w:div w:id="1327510664">
      <w:bodyDiv w:val="1"/>
      <w:marLeft w:val="0"/>
      <w:marRight w:val="0"/>
      <w:marTop w:val="0"/>
      <w:marBottom w:val="0"/>
      <w:divBdr>
        <w:top w:val="none" w:sz="0" w:space="0" w:color="auto"/>
        <w:left w:val="none" w:sz="0" w:space="0" w:color="auto"/>
        <w:bottom w:val="none" w:sz="0" w:space="0" w:color="auto"/>
        <w:right w:val="none" w:sz="0" w:space="0" w:color="auto"/>
      </w:divBdr>
    </w:div>
    <w:div w:id="1328437497">
      <w:bodyDiv w:val="1"/>
      <w:marLeft w:val="0"/>
      <w:marRight w:val="0"/>
      <w:marTop w:val="0"/>
      <w:marBottom w:val="0"/>
      <w:divBdr>
        <w:top w:val="none" w:sz="0" w:space="0" w:color="auto"/>
        <w:left w:val="none" w:sz="0" w:space="0" w:color="auto"/>
        <w:bottom w:val="none" w:sz="0" w:space="0" w:color="auto"/>
        <w:right w:val="none" w:sz="0" w:space="0" w:color="auto"/>
      </w:divBdr>
    </w:div>
    <w:div w:id="1328552333">
      <w:bodyDiv w:val="1"/>
      <w:marLeft w:val="0"/>
      <w:marRight w:val="0"/>
      <w:marTop w:val="0"/>
      <w:marBottom w:val="0"/>
      <w:divBdr>
        <w:top w:val="none" w:sz="0" w:space="0" w:color="auto"/>
        <w:left w:val="none" w:sz="0" w:space="0" w:color="auto"/>
        <w:bottom w:val="none" w:sz="0" w:space="0" w:color="auto"/>
        <w:right w:val="none" w:sz="0" w:space="0" w:color="auto"/>
      </w:divBdr>
    </w:div>
    <w:div w:id="1328628781">
      <w:bodyDiv w:val="1"/>
      <w:marLeft w:val="0"/>
      <w:marRight w:val="0"/>
      <w:marTop w:val="0"/>
      <w:marBottom w:val="0"/>
      <w:divBdr>
        <w:top w:val="none" w:sz="0" w:space="0" w:color="auto"/>
        <w:left w:val="none" w:sz="0" w:space="0" w:color="auto"/>
        <w:bottom w:val="none" w:sz="0" w:space="0" w:color="auto"/>
        <w:right w:val="none" w:sz="0" w:space="0" w:color="auto"/>
      </w:divBdr>
    </w:div>
    <w:div w:id="1328705357">
      <w:bodyDiv w:val="1"/>
      <w:marLeft w:val="0"/>
      <w:marRight w:val="0"/>
      <w:marTop w:val="0"/>
      <w:marBottom w:val="0"/>
      <w:divBdr>
        <w:top w:val="none" w:sz="0" w:space="0" w:color="auto"/>
        <w:left w:val="none" w:sz="0" w:space="0" w:color="auto"/>
        <w:bottom w:val="none" w:sz="0" w:space="0" w:color="auto"/>
        <w:right w:val="none" w:sz="0" w:space="0" w:color="auto"/>
      </w:divBdr>
    </w:div>
    <w:div w:id="1328820921">
      <w:bodyDiv w:val="1"/>
      <w:marLeft w:val="0"/>
      <w:marRight w:val="0"/>
      <w:marTop w:val="0"/>
      <w:marBottom w:val="0"/>
      <w:divBdr>
        <w:top w:val="none" w:sz="0" w:space="0" w:color="auto"/>
        <w:left w:val="none" w:sz="0" w:space="0" w:color="auto"/>
        <w:bottom w:val="none" w:sz="0" w:space="0" w:color="auto"/>
        <w:right w:val="none" w:sz="0" w:space="0" w:color="auto"/>
      </w:divBdr>
    </w:div>
    <w:div w:id="1328824086">
      <w:bodyDiv w:val="1"/>
      <w:marLeft w:val="0"/>
      <w:marRight w:val="0"/>
      <w:marTop w:val="0"/>
      <w:marBottom w:val="0"/>
      <w:divBdr>
        <w:top w:val="none" w:sz="0" w:space="0" w:color="auto"/>
        <w:left w:val="none" w:sz="0" w:space="0" w:color="auto"/>
        <w:bottom w:val="none" w:sz="0" w:space="0" w:color="auto"/>
        <w:right w:val="none" w:sz="0" w:space="0" w:color="auto"/>
      </w:divBdr>
    </w:div>
    <w:div w:id="1328903165">
      <w:bodyDiv w:val="1"/>
      <w:marLeft w:val="0"/>
      <w:marRight w:val="0"/>
      <w:marTop w:val="0"/>
      <w:marBottom w:val="0"/>
      <w:divBdr>
        <w:top w:val="none" w:sz="0" w:space="0" w:color="auto"/>
        <w:left w:val="none" w:sz="0" w:space="0" w:color="auto"/>
        <w:bottom w:val="none" w:sz="0" w:space="0" w:color="auto"/>
        <w:right w:val="none" w:sz="0" w:space="0" w:color="auto"/>
      </w:divBdr>
    </w:div>
    <w:div w:id="1329211690">
      <w:bodyDiv w:val="1"/>
      <w:marLeft w:val="0"/>
      <w:marRight w:val="0"/>
      <w:marTop w:val="0"/>
      <w:marBottom w:val="0"/>
      <w:divBdr>
        <w:top w:val="none" w:sz="0" w:space="0" w:color="auto"/>
        <w:left w:val="none" w:sz="0" w:space="0" w:color="auto"/>
        <w:bottom w:val="none" w:sz="0" w:space="0" w:color="auto"/>
        <w:right w:val="none" w:sz="0" w:space="0" w:color="auto"/>
      </w:divBdr>
    </w:div>
    <w:div w:id="1329285591">
      <w:bodyDiv w:val="1"/>
      <w:marLeft w:val="0"/>
      <w:marRight w:val="0"/>
      <w:marTop w:val="0"/>
      <w:marBottom w:val="0"/>
      <w:divBdr>
        <w:top w:val="none" w:sz="0" w:space="0" w:color="auto"/>
        <w:left w:val="none" w:sz="0" w:space="0" w:color="auto"/>
        <w:bottom w:val="none" w:sz="0" w:space="0" w:color="auto"/>
        <w:right w:val="none" w:sz="0" w:space="0" w:color="auto"/>
      </w:divBdr>
    </w:div>
    <w:div w:id="1329334302">
      <w:bodyDiv w:val="1"/>
      <w:marLeft w:val="0"/>
      <w:marRight w:val="0"/>
      <w:marTop w:val="0"/>
      <w:marBottom w:val="0"/>
      <w:divBdr>
        <w:top w:val="none" w:sz="0" w:space="0" w:color="auto"/>
        <w:left w:val="none" w:sz="0" w:space="0" w:color="auto"/>
        <w:bottom w:val="none" w:sz="0" w:space="0" w:color="auto"/>
        <w:right w:val="none" w:sz="0" w:space="0" w:color="auto"/>
      </w:divBdr>
    </w:div>
    <w:div w:id="1329485364">
      <w:bodyDiv w:val="1"/>
      <w:marLeft w:val="0"/>
      <w:marRight w:val="0"/>
      <w:marTop w:val="0"/>
      <w:marBottom w:val="0"/>
      <w:divBdr>
        <w:top w:val="none" w:sz="0" w:space="0" w:color="auto"/>
        <w:left w:val="none" w:sz="0" w:space="0" w:color="auto"/>
        <w:bottom w:val="none" w:sz="0" w:space="0" w:color="auto"/>
        <w:right w:val="none" w:sz="0" w:space="0" w:color="auto"/>
      </w:divBdr>
    </w:div>
    <w:div w:id="1329792398">
      <w:bodyDiv w:val="1"/>
      <w:marLeft w:val="0"/>
      <w:marRight w:val="0"/>
      <w:marTop w:val="0"/>
      <w:marBottom w:val="0"/>
      <w:divBdr>
        <w:top w:val="none" w:sz="0" w:space="0" w:color="auto"/>
        <w:left w:val="none" w:sz="0" w:space="0" w:color="auto"/>
        <w:bottom w:val="none" w:sz="0" w:space="0" w:color="auto"/>
        <w:right w:val="none" w:sz="0" w:space="0" w:color="auto"/>
      </w:divBdr>
    </w:div>
    <w:div w:id="1329795093">
      <w:bodyDiv w:val="1"/>
      <w:marLeft w:val="0"/>
      <w:marRight w:val="0"/>
      <w:marTop w:val="0"/>
      <w:marBottom w:val="0"/>
      <w:divBdr>
        <w:top w:val="none" w:sz="0" w:space="0" w:color="auto"/>
        <w:left w:val="none" w:sz="0" w:space="0" w:color="auto"/>
        <w:bottom w:val="none" w:sz="0" w:space="0" w:color="auto"/>
        <w:right w:val="none" w:sz="0" w:space="0" w:color="auto"/>
      </w:divBdr>
    </w:div>
    <w:div w:id="1329821389">
      <w:bodyDiv w:val="1"/>
      <w:marLeft w:val="0"/>
      <w:marRight w:val="0"/>
      <w:marTop w:val="0"/>
      <w:marBottom w:val="0"/>
      <w:divBdr>
        <w:top w:val="none" w:sz="0" w:space="0" w:color="auto"/>
        <w:left w:val="none" w:sz="0" w:space="0" w:color="auto"/>
        <w:bottom w:val="none" w:sz="0" w:space="0" w:color="auto"/>
        <w:right w:val="none" w:sz="0" w:space="0" w:color="auto"/>
      </w:divBdr>
    </w:div>
    <w:div w:id="1329940220">
      <w:bodyDiv w:val="1"/>
      <w:marLeft w:val="0"/>
      <w:marRight w:val="0"/>
      <w:marTop w:val="0"/>
      <w:marBottom w:val="0"/>
      <w:divBdr>
        <w:top w:val="none" w:sz="0" w:space="0" w:color="auto"/>
        <w:left w:val="none" w:sz="0" w:space="0" w:color="auto"/>
        <w:bottom w:val="none" w:sz="0" w:space="0" w:color="auto"/>
        <w:right w:val="none" w:sz="0" w:space="0" w:color="auto"/>
      </w:divBdr>
    </w:div>
    <w:div w:id="1329941415">
      <w:bodyDiv w:val="1"/>
      <w:marLeft w:val="0"/>
      <w:marRight w:val="0"/>
      <w:marTop w:val="0"/>
      <w:marBottom w:val="0"/>
      <w:divBdr>
        <w:top w:val="none" w:sz="0" w:space="0" w:color="auto"/>
        <w:left w:val="none" w:sz="0" w:space="0" w:color="auto"/>
        <w:bottom w:val="none" w:sz="0" w:space="0" w:color="auto"/>
        <w:right w:val="none" w:sz="0" w:space="0" w:color="auto"/>
      </w:divBdr>
    </w:div>
    <w:div w:id="1330056364">
      <w:bodyDiv w:val="1"/>
      <w:marLeft w:val="0"/>
      <w:marRight w:val="0"/>
      <w:marTop w:val="0"/>
      <w:marBottom w:val="0"/>
      <w:divBdr>
        <w:top w:val="none" w:sz="0" w:space="0" w:color="auto"/>
        <w:left w:val="none" w:sz="0" w:space="0" w:color="auto"/>
        <w:bottom w:val="none" w:sz="0" w:space="0" w:color="auto"/>
        <w:right w:val="none" w:sz="0" w:space="0" w:color="auto"/>
      </w:divBdr>
    </w:div>
    <w:div w:id="1330282262">
      <w:bodyDiv w:val="1"/>
      <w:marLeft w:val="0"/>
      <w:marRight w:val="0"/>
      <w:marTop w:val="0"/>
      <w:marBottom w:val="0"/>
      <w:divBdr>
        <w:top w:val="none" w:sz="0" w:space="0" w:color="auto"/>
        <w:left w:val="none" w:sz="0" w:space="0" w:color="auto"/>
        <w:bottom w:val="none" w:sz="0" w:space="0" w:color="auto"/>
        <w:right w:val="none" w:sz="0" w:space="0" w:color="auto"/>
      </w:divBdr>
    </w:div>
    <w:div w:id="1330332033">
      <w:bodyDiv w:val="1"/>
      <w:marLeft w:val="0"/>
      <w:marRight w:val="0"/>
      <w:marTop w:val="0"/>
      <w:marBottom w:val="0"/>
      <w:divBdr>
        <w:top w:val="none" w:sz="0" w:space="0" w:color="auto"/>
        <w:left w:val="none" w:sz="0" w:space="0" w:color="auto"/>
        <w:bottom w:val="none" w:sz="0" w:space="0" w:color="auto"/>
        <w:right w:val="none" w:sz="0" w:space="0" w:color="auto"/>
      </w:divBdr>
    </w:div>
    <w:div w:id="1330450309">
      <w:bodyDiv w:val="1"/>
      <w:marLeft w:val="0"/>
      <w:marRight w:val="0"/>
      <w:marTop w:val="0"/>
      <w:marBottom w:val="0"/>
      <w:divBdr>
        <w:top w:val="none" w:sz="0" w:space="0" w:color="auto"/>
        <w:left w:val="none" w:sz="0" w:space="0" w:color="auto"/>
        <w:bottom w:val="none" w:sz="0" w:space="0" w:color="auto"/>
        <w:right w:val="none" w:sz="0" w:space="0" w:color="auto"/>
      </w:divBdr>
    </w:div>
    <w:div w:id="1330475336">
      <w:bodyDiv w:val="1"/>
      <w:marLeft w:val="0"/>
      <w:marRight w:val="0"/>
      <w:marTop w:val="0"/>
      <w:marBottom w:val="0"/>
      <w:divBdr>
        <w:top w:val="none" w:sz="0" w:space="0" w:color="auto"/>
        <w:left w:val="none" w:sz="0" w:space="0" w:color="auto"/>
        <w:bottom w:val="none" w:sz="0" w:space="0" w:color="auto"/>
        <w:right w:val="none" w:sz="0" w:space="0" w:color="auto"/>
      </w:divBdr>
    </w:div>
    <w:div w:id="1330599219">
      <w:bodyDiv w:val="1"/>
      <w:marLeft w:val="0"/>
      <w:marRight w:val="0"/>
      <w:marTop w:val="0"/>
      <w:marBottom w:val="0"/>
      <w:divBdr>
        <w:top w:val="none" w:sz="0" w:space="0" w:color="auto"/>
        <w:left w:val="none" w:sz="0" w:space="0" w:color="auto"/>
        <w:bottom w:val="none" w:sz="0" w:space="0" w:color="auto"/>
        <w:right w:val="none" w:sz="0" w:space="0" w:color="auto"/>
      </w:divBdr>
    </w:div>
    <w:div w:id="1330913052">
      <w:bodyDiv w:val="1"/>
      <w:marLeft w:val="0"/>
      <w:marRight w:val="0"/>
      <w:marTop w:val="0"/>
      <w:marBottom w:val="0"/>
      <w:divBdr>
        <w:top w:val="none" w:sz="0" w:space="0" w:color="auto"/>
        <w:left w:val="none" w:sz="0" w:space="0" w:color="auto"/>
        <w:bottom w:val="none" w:sz="0" w:space="0" w:color="auto"/>
        <w:right w:val="none" w:sz="0" w:space="0" w:color="auto"/>
      </w:divBdr>
    </w:div>
    <w:div w:id="1331374901">
      <w:bodyDiv w:val="1"/>
      <w:marLeft w:val="0"/>
      <w:marRight w:val="0"/>
      <w:marTop w:val="0"/>
      <w:marBottom w:val="0"/>
      <w:divBdr>
        <w:top w:val="none" w:sz="0" w:space="0" w:color="auto"/>
        <w:left w:val="none" w:sz="0" w:space="0" w:color="auto"/>
        <w:bottom w:val="none" w:sz="0" w:space="0" w:color="auto"/>
        <w:right w:val="none" w:sz="0" w:space="0" w:color="auto"/>
      </w:divBdr>
    </w:div>
    <w:div w:id="1332367473">
      <w:bodyDiv w:val="1"/>
      <w:marLeft w:val="0"/>
      <w:marRight w:val="0"/>
      <w:marTop w:val="0"/>
      <w:marBottom w:val="0"/>
      <w:divBdr>
        <w:top w:val="none" w:sz="0" w:space="0" w:color="auto"/>
        <w:left w:val="none" w:sz="0" w:space="0" w:color="auto"/>
        <w:bottom w:val="none" w:sz="0" w:space="0" w:color="auto"/>
        <w:right w:val="none" w:sz="0" w:space="0" w:color="auto"/>
      </w:divBdr>
    </w:div>
    <w:div w:id="1332415378">
      <w:bodyDiv w:val="1"/>
      <w:marLeft w:val="0"/>
      <w:marRight w:val="0"/>
      <w:marTop w:val="0"/>
      <w:marBottom w:val="0"/>
      <w:divBdr>
        <w:top w:val="none" w:sz="0" w:space="0" w:color="auto"/>
        <w:left w:val="none" w:sz="0" w:space="0" w:color="auto"/>
        <w:bottom w:val="none" w:sz="0" w:space="0" w:color="auto"/>
        <w:right w:val="none" w:sz="0" w:space="0" w:color="auto"/>
      </w:divBdr>
    </w:div>
    <w:div w:id="1333215731">
      <w:bodyDiv w:val="1"/>
      <w:marLeft w:val="0"/>
      <w:marRight w:val="0"/>
      <w:marTop w:val="0"/>
      <w:marBottom w:val="0"/>
      <w:divBdr>
        <w:top w:val="none" w:sz="0" w:space="0" w:color="auto"/>
        <w:left w:val="none" w:sz="0" w:space="0" w:color="auto"/>
        <w:bottom w:val="none" w:sz="0" w:space="0" w:color="auto"/>
        <w:right w:val="none" w:sz="0" w:space="0" w:color="auto"/>
      </w:divBdr>
    </w:div>
    <w:div w:id="1333294008">
      <w:bodyDiv w:val="1"/>
      <w:marLeft w:val="0"/>
      <w:marRight w:val="0"/>
      <w:marTop w:val="0"/>
      <w:marBottom w:val="0"/>
      <w:divBdr>
        <w:top w:val="none" w:sz="0" w:space="0" w:color="auto"/>
        <w:left w:val="none" w:sz="0" w:space="0" w:color="auto"/>
        <w:bottom w:val="none" w:sz="0" w:space="0" w:color="auto"/>
        <w:right w:val="none" w:sz="0" w:space="0" w:color="auto"/>
      </w:divBdr>
    </w:div>
    <w:div w:id="1333483026">
      <w:bodyDiv w:val="1"/>
      <w:marLeft w:val="0"/>
      <w:marRight w:val="0"/>
      <w:marTop w:val="0"/>
      <w:marBottom w:val="0"/>
      <w:divBdr>
        <w:top w:val="none" w:sz="0" w:space="0" w:color="auto"/>
        <w:left w:val="none" w:sz="0" w:space="0" w:color="auto"/>
        <w:bottom w:val="none" w:sz="0" w:space="0" w:color="auto"/>
        <w:right w:val="none" w:sz="0" w:space="0" w:color="auto"/>
      </w:divBdr>
    </w:div>
    <w:div w:id="1333490436">
      <w:bodyDiv w:val="1"/>
      <w:marLeft w:val="0"/>
      <w:marRight w:val="0"/>
      <w:marTop w:val="0"/>
      <w:marBottom w:val="0"/>
      <w:divBdr>
        <w:top w:val="none" w:sz="0" w:space="0" w:color="auto"/>
        <w:left w:val="none" w:sz="0" w:space="0" w:color="auto"/>
        <w:bottom w:val="none" w:sz="0" w:space="0" w:color="auto"/>
        <w:right w:val="none" w:sz="0" w:space="0" w:color="auto"/>
      </w:divBdr>
    </w:div>
    <w:div w:id="1333559063">
      <w:bodyDiv w:val="1"/>
      <w:marLeft w:val="0"/>
      <w:marRight w:val="0"/>
      <w:marTop w:val="0"/>
      <w:marBottom w:val="0"/>
      <w:divBdr>
        <w:top w:val="none" w:sz="0" w:space="0" w:color="auto"/>
        <w:left w:val="none" w:sz="0" w:space="0" w:color="auto"/>
        <w:bottom w:val="none" w:sz="0" w:space="0" w:color="auto"/>
        <w:right w:val="none" w:sz="0" w:space="0" w:color="auto"/>
      </w:divBdr>
    </w:div>
    <w:div w:id="1334065128">
      <w:bodyDiv w:val="1"/>
      <w:marLeft w:val="0"/>
      <w:marRight w:val="0"/>
      <w:marTop w:val="0"/>
      <w:marBottom w:val="0"/>
      <w:divBdr>
        <w:top w:val="none" w:sz="0" w:space="0" w:color="auto"/>
        <w:left w:val="none" w:sz="0" w:space="0" w:color="auto"/>
        <w:bottom w:val="none" w:sz="0" w:space="0" w:color="auto"/>
        <w:right w:val="none" w:sz="0" w:space="0" w:color="auto"/>
      </w:divBdr>
    </w:div>
    <w:div w:id="1334534307">
      <w:bodyDiv w:val="1"/>
      <w:marLeft w:val="0"/>
      <w:marRight w:val="0"/>
      <w:marTop w:val="0"/>
      <w:marBottom w:val="0"/>
      <w:divBdr>
        <w:top w:val="none" w:sz="0" w:space="0" w:color="auto"/>
        <w:left w:val="none" w:sz="0" w:space="0" w:color="auto"/>
        <w:bottom w:val="none" w:sz="0" w:space="0" w:color="auto"/>
        <w:right w:val="none" w:sz="0" w:space="0" w:color="auto"/>
      </w:divBdr>
    </w:div>
    <w:div w:id="1334793862">
      <w:bodyDiv w:val="1"/>
      <w:marLeft w:val="0"/>
      <w:marRight w:val="0"/>
      <w:marTop w:val="0"/>
      <w:marBottom w:val="0"/>
      <w:divBdr>
        <w:top w:val="none" w:sz="0" w:space="0" w:color="auto"/>
        <w:left w:val="none" w:sz="0" w:space="0" w:color="auto"/>
        <w:bottom w:val="none" w:sz="0" w:space="0" w:color="auto"/>
        <w:right w:val="none" w:sz="0" w:space="0" w:color="auto"/>
      </w:divBdr>
    </w:div>
    <w:div w:id="1335108047">
      <w:bodyDiv w:val="1"/>
      <w:marLeft w:val="0"/>
      <w:marRight w:val="0"/>
      <w:marTop w:val="0"/>
      <w:marBottom w:val="0"/>
      <w:divBdr>
        <w:top w:val="none" w:sz="0" w:space="0" w:color="auto"/>
        <w:left w:val="none" w:sz="0" w:space="0" w:color="auto"/>
        <w:bottom w:val="none" w:sz="0" w:space="0" w:color="auto"/>
        <w:right w:val="none" w:sz="0" w:space="0" w:color="auto"/>
      </w:divBdr>
    </w:div>
    <w:div w:id="1335183551">
      <w:bodyDiv w:val="1"/>
      <w:marLeft w:val="0"/>
      <w:marRight w:val="0"/>
      <w:marTop w:val="0"/>
      <w:marBottom w:val="0"/>
      <w:divBdr>
        <w:top w:val="none" w:sz="0" w:space="0" w:color="auto"/>
        <w:left w:val="none" w:sz="0" w:space="0" w:color="auto"/>
        <w:bottom w:val="none" w:sz="0" w:space="0" w:color="auto"/>
        <w:right w:val="none" w:sz="0" w:space="0" w:color="auto"/>
      </w:divBdr>
    </w:div>
    <w:div w:id="1335304367">
      <w:bodyDiv w:val="1"/>
      <w:marLeft w:val="0"/>
      <w:marRight w:val="0"/>
      <w:marTop w:val="0"/>
      <w:marBottom w:val="0"/>
      <w:divBdr>
        <w:top w:val="none" w:sz="0" w:space="0" w:color="auto"/>
        <w:left w:val="none" w:sz="0" w:space="0" w:color="auto"/>
        <w:bottom w:val="none" w:sz="0" w:space="0" w:color="auto"/>
        <w:right w:val="none" w:sz="0" w:space="0" w:color="auto"/>
      </w:divBdr>
    </w:div>
    <w:div w:id="1335304884">
      <w:bodyDiv w:val="1"/>
      <w:marLeft w:val="0"/>
      <w:marRight w:val="0"/>
      <w:marTop w:val="0"/>
      <w:marBottom w:val="0"/>
      <w:divBdr>
        <w:top w:val="none" w:sz="0" w:space="0" w:color="auto"/>
        <w:left w:val="none" w:sz="0" w:space="0" w:color="auto"/>
        <w:bottom w:val="none" w:sz="0" w:space="0" w:color="auto"/>
        <w:right w:val="none" w:sz="0" w:space="0" w:color="auto"/>
      </w:divBdr>
    </w:div>
    <w:div w:id="1335307424">
      <w:bodyDiv w:val="1"/>
      <w:marLeft w:val="0"/>
      <w:marRight w:val="0"/>
      <w:marTop w:val="0"/>
      <w:marBottom w:val="0"/>
      <w:divBdr>
        <w:top w:val="none" w:sz="0" w:space="0" w:color="auto"/>
        <w:left w:val="none" w:sz="0" w:space="0" w:color="auto"/>
        <w:bottom w:val="none" w:sz="0" w:space="0" w:color="auto"/>
        <w:right w:val="none" w:sz="0" w:space="0" w:color="auto"/>
      </w:divBdr>
    </w:div>
    <w:div w:id="1335456079">
      <w:bodyDiv w:val="1"/>
      <w:marLeft w:val="0"/>
      <w:marRight w:val="0"/>
      <w:marTop w:val="0"/>
      <w:marBottom w:val="0"/>
      <w:divBdr>
        <w:top w:val="none" w:sz="0" w:space="0" w:color="auto"/>
        <w:left w:val="none" w:sz="0" w:space="0" w:color="auto"/>
        <w:bottom w:val="none" w:sz="0" w:space="0" w:color="auto"/>
        <w:right w:val="none" w:sz="0" w:space="0" w:color="auto"/>
      </w:divBdr>
    </w:div>
    <w:div w:id="1335642401">
      <w:bodyDiv w:val="1"/>
      <w:marLeft w:val="0"/>
      <w:marRight w:val="0"/>
      <w:marTop w:val="0"/>
      <w:marBottom w:val="0"/>
      <w:divBdr>
        <w:top w:val="none" w:sz="0" w:space="0" w:color="auto"/>
        <w:left w:val="none" w:sz="0" w:space="0" w:color="auto"/>
        <w:bottom w:val="none" w:sz="0" w:space="0" w:color="auto"/>
        <w:right w:val="none" w:sz="0" w:space="0" w:color="auto"/>
      </w:divBdr>
    </w:div>
    <w:div w:id="1335761788">
      <w:bodyDiv w:val="1"/>
      <w:marLeft w:val="0"/>
      <w:marRight w:val="0"/>
      <w:marTop w:val="0"/>
      <w:marBottom w:val="0"/>
      <w:divBdr>
        <w:top w:val="none" w:sz="0" w:space="0" w:color="auto"/>
        <w:left w:val="none" w:sz="0" w:space="0" w:color="auto"/>
        <w:bottom w:val="none" w:sz="0" w:space="0" w:color="auto"/>
        <w:right w:val="none" w:sz="0" w:space="0" w:color="auto"/>
      </w:divBdr>
    </w:div>
    <w:div w:id="1336303568">
      <w:bodyDiv w:val="1"/>
      <w:marLeft w:val="0"/>
      <w:marRight w:val="0"/>
      <w:marTop w:val="0"/>
      <w:marBottom w:val="0"/>
      <w:divBdr>
        <w:top w:val="none" w:sz="0" w:space="0" w:color="auto"/>
        <w:left w:val="none" w:sz="0" w:space="0" w:color="auto"/>
        <w:bottom w:val="none" w:sz="0" w:space="0" w:color="auto"/>
        <w:right w:val="none" w:sz="0" w:space="0" w:color="auto"/>
      </w:divBdr>
    </w:div>
    <w:div w:id="1336418802">
      <w:bodyDiv w:val="1"/>
      <w:marLeft w:val="0"/>
      <w:marRight w:val="0"/>
      <w:marTop w:val="0"/>
      <w:marBottom w:val="0"/>
      <w:divBdr>
        <w:top w:val="none" w:sz="0" w:space="0" w:color="auto"/>
        <w:left w:val="none" w:sz="0" w:space="0" w:color="auto"/>
        <w:bottom w:val="none" w:sz="0" w:space="0" w:color="auto"/>
        <w:right w:val="none" w:sz="0" w:space="0" w:color="auto"/>
      </w:divBdr>
    </w:div>
    <w:div w:id="1336422416">
      <w:bodyDiv w:val="1"/>
      <w:marLeft w:val="0"/>
      <w:marRight w:val="0"/>
      <w:marTop w:val="0"/>
      <w:marBottom w:val="0"/>
      <w:divBdr>
        <w:top w:val="none" w:sz="0" w:space="0" w:color="auto"/>
        <w:left w:val="none" w:sz="0" w:space="0" w:color="auto"/>
        <w:bottom w:val="none" w:sz="0" w:space="0" w:color="auto"/>
        <w:right w:val="none" w:sz="0" w:space="0" w:color="auto"/>
      </w:divBdr>
    </w:div>
    <w:div w:id="1336496017">
      <w:bodyDiv w:val="1"/>
      <w:marLeft w:val="0"/>
      <w:marRight w:val="0"/>
      <w:marTop w:val="0"/>
      <w:marBottom w:val="0"/>
      <w:divBdr>
        <w:top w:val="none" w:sz="0" w:space="0" w:color="auto"/>
        <w:left w:val="none" w:sz="0" w:space="0" w:color="auto"/>
        <w:bottom w:val="none" w:sz="0" w:space="0" w:color="auto"/>
        <w:right w:val="none" w:sz="0" w:space="0" w:color="auto"/>
      </w:divBdr>
    </w:div>
    <w:div w:id="1336689403">
      <w:bodyDiv w:val="1"/>
      <w:marLeft w:val="0"/>
      <w:marRight w:val="0"/>
      <w:marTop w:val="0"/>
      <w:marBottom w:val="0"/>
      <w:divBdr>
        <w:top w:val="none" w:sz="0" w:space="0" w:color="auto"/>
        <w:left w:val="none" w:sz="0" w:space="0" w:color="auto"/>
        <w:bottom w:val="none" w:sz="0" w:space="0" w:color="auto"/>
        <w:right w:val="none" w:sz="0" w:space="0" w:color="auto"/>
      </w:divBdr>
    </w:div>
    <w:div w:id="1336766171">
      <w:bodyDiv w:val="1"/>
      <w:marLeft w:val="0"/>
      <w:marRight w:val="0"/>
      <w:marTop w:val="0"/>
      <w:marBottom w:val="0"/>
      <w:divBdr>
        <w:top w:val="none" w:sz="0" w:space="0" w:color="auto"/>
        <w:left w:val="none" w:sz="0" w:space="0" w:color="auto"/>
        <w:bottom w:val="none" w:sz="0" w:space="0" w:color="auto"/>
        <w:right w:val="none" w:sz="0" w:space="0" w:color="auto"/>
      </w:divBdr>
    </w:div>
    <w:div w:id="1336835667">
      <w:bodyDiv w:val="1"/>
      <w:marLeft w:val="0"/>
      <w:marRight w:val="0"/>
      <w:marTop w:val="0"/>
      <w:marBottom w:val="0"/>
      <w:divBdr>
        <w:top w:val="none" w:sz="0" w:space="0" w:color="auto"/>
        <w:left w:val="none" w:sz="0" w:space="0" w:color="auto"/>
        <w:bottom w:val="none" w:sz="0" w:space="0" w:color="auto"/>
        <w:right w:val="none" w:sz="0" w:space="0" w:color="auto"/>
      </w:divBdr>
    </w:div>
    <w:div w:id="1337148036">
      <w:bodyDiv w:val="1"/>
      <w:marLeft w:val="0"/>
      <w:marRight w:val="0"/>
      <w:marTop w:val="0"/>
      <w:marBottom w:val="0"/>
      <w:divBdr>
        <w:top w:val="none" w:sz="0" w:space="0" w:color="auto"/>
        <w:left w:val="none" w:sz="0" w:space="0" w:color="auto"/>
        <w:bottom w:val="none" w:sz="0" w:space="0" w:color="auto"/>
        <w:right w:val="none" w:sz="0" w:space="0" w:color="auto"/>
      </w:divBdr>
    </w:div>
    <w:div w:id="1337155206">
      <w:bodyDiv w:val="1"/>
      <w:marLeft w:val="0"/>
      <w:marRight w:val="0"/>
      <w:marTop w:val="0"/>
      <w:marBottom w:val="0"/>
      <w:divBdr>
        <w:top w:val="none" w:sz="0" w:space="0" w:color="auto"/>
        <w:left w:val="none" w:sz="0" w:space="0" w:color="auto"/>
        <w:bottom w:val="none" w:sz="0" w:space="0" w:color="auto"/>
        <w:right w:val="none" w:sz="0" w:space="0" w:color="auto"/>
      </w:divBdr>
    </w:div>
    <w:div w:id="1337225414">
      <w:bodyDiv w:val="1"/>
      <w:marLeft w:val="0"/>
      <w:marRight w:val="0"/>
      <w:marTop w:val="0"/>
      <w:marBottom w:val="0"/>
      <w:divBdr>
        <w:top w:val="none" w:sz="0" w:space="0" w:color="auto"/>
        <w:left w:val="none" w:sz="0" w:space="0" w:color="auto"/>
        <w:bottom w:val="none" w:sz="0" w:space="0" w:color="auto"/>
        <w:right w:val="none" w:sz="0" w:space="0" w:color="auto"/>
      </w:divBdr>
    </w:div>
    <w:div w:id="1337418803">
      <w:bodyDiv w:val="1"/>
      <w:marLeft w:val="0"/>
      <w:marRight w:val="0"/>
      <w:marTop w:val="0"/>
      <w:marBottom w:val="0"/>
      <w:divBdr>
        <w:top w:val="none" w:sz="0" w:space="0" w:color="auto"/>
        <w:left w:val="none" w:sz="0" w:space="0" w:color="auto"/>
        <w:bottom w:val="none" w:sz="0" w:space="0" w:color="auto"/>
        <w:right w:val="none" w:sz="0" w:space="0" w:color="auto"/>
      </w:divBdr>
    </w:div>
    <w:div w:id="1337466644">
      <w:bodyDiv w:val="1"/>
      <w:marLeft w:val="0"/>
      <w:marRight w:val="0"/>
      <w:marTop w:val="0"/>
      <w:marBottom w:val="0"/>
      <w:divBdr>
        <w:top w:val="none" w:sz="0" w:space="0" w:color="auto"/>
        <w:left w:val="none" w:sz="0" w:space="0" w:color="auto"/>
        <w:bottom w:val="none" w:sz="0" w:space="0" w:color="auto"/>
        <w:right w:val="none" w:sz="0" w:space="0" w:color="auto"/>
      </w:divBdr>
    </w:div>
    <w:div w:id="1337882770">
      <w:bodyDiv w:val="1"/>
      <w:marLeft w:val="0"/>
      <w:marRight w:val="0"/>
      <w:marTop w:val="0"/>
      <w:marBottom w:val="0"/>
      <w:divBdr>
        <w:top w:val="none" w:sz="0" w:space="0" w:color="auto"/>
        <w:left w:val="none" w:sz="0" w:space="0" w:color="auto"/>
        <w:bottom w:val="none" w:sz="0" w:space="0" w:color="auto"/>
        <w:right w:val="none" w:sz="0" w:space="0" w:color="auto"/>
      </w:divBdr>
    </w:div>
    <w:div w:id="1338076281">
      <w:bodyDiv w:val="1"/>
      <w:marLeft w:val="0"/>
      <w:marRight w:val="0"/>
      <w:marTop w:val="0"/>
      <w:marBottom w:val="0"/>
      <w:divBdr>
        <w:top w:val="none" w:sz="0" w:space="0" w:color="auto"/>
        <w:left w:val="none" w:sz="0" w:space="0" w:color="auto"/>
        <w:bottom w:val="none" w:sz="0" w:space="0" w:color="auto"/>
        <w:right w:val="none" w:sz="0" w:space="0" w:color="auto"/>
      </w:divBdr>
    </w:div>
    <w:div w:id="1338194373">
      <w:bodyDiv w:val="1"/>
      <w:marLeft w:val="0"/>
      <w:marRight w:val="0"/>
      <w:marTop w:val="0"/>
      <w:marBottom w:val="0"/>
      <w:divBdr>
        <w:top w:val="none" w:sz="0" w:space="0" w:color="auto"/>
        <w:left w:val="none" w:sz="0" w:space="0" w:color="auto"/>
        <w:bottom w:val="none" w:sz="0" w:space="0" w:color="auto"/>
        <w:right w:val="none" w:sz="0" w:space="0" w:color="auto"/>
      </w:divBdr>
    </w:div>
    <w:div w:id="1338532294">
      <w:bodyDiv w:val="1"/>
      <w:marLeft w:val="0"/>
      <w:marRight w:val="0"/>
      <w:marTop w:val="0"/>
      <w:marBottom w:val="0"/>
      <w:divBdr>
        <w:top w:val="none" w:sz="0" w:space="0" w:color="auto"/>
        <w:left w:val="none" w:sz="0" w:space="0" w:color="auto"/>
        <w:bottom w:val="none" w:sz="0" w:space="0" w:color="auto"/>
        <w:right w:val="none" w:sz="0" w:space="0" w:color="auto"/>
      </w:divBdr>
    </w:div>
    <w:div w:id="1338576272">
      <w:bodyDiv w:val="1"/>
      <w:marLeft w:val="0"/>
      <w:marRight w:val="0"/>
      <w:marTop w:val="0"/>
      <w:marBottom w:val="0"/>
      <w:divBdr>
        <w:top w:val="none" w:sz="0" w:space="0" w:color="auto"/>
        <w:left w:val="none" w:sz="0" w:space="0" w:color="auto"/>
        <w:bottom w:val="none" w:sz="0" w:space="0" w:color="auto"/>
        <w:right w:val="none" w:sz="0" w:space="0" w:color="auto"/>
      </w:divBdr>
    </w:div>
    <w:div w:id="1338655483">
      <w:bodyDiv w:val="1"/>
      <w:marLeft w:val="0"/>
      <w:marRight w:val="0"/>
      <w:marTop w:val="0"/>
      <w:marBottom w:val="0"/>
      <w:divBdr>
        <w:top w:val="none" w:sz="0" w:space="0" w:color="auto"/>
        <w:left w:val="none" w:sz="0" w:space="0" w:color="auto"/>
        <w:bottom w:val="none" w:sz="0" w:space="0" w:color="auto"/>
        <w:right w:val="none" w:sz="0" w:space="0" w:color="auto"/>
      </w:divBdr>
    </w:div>
    <w:div w:id="1338970124">
      <w:bodyDiv w:val="1"/>
      <w:marLeft w:val="0"/>
      <w:marRight w:val="0"/>
      <w:marTop w:val="0"/>
      <w:marBottom w:val="0"/>
      <w:divBdr>
        <w:top w:val="none" w:sz="0" w:space="0" w:color="auto"/>
        <w:left w:val="none" w:sz="0" w:space="0" w:color="auto"/>
        <w:bottom w:val="none" w:sz="0" w:space="0" w:color="auto"/>
        <w:right w:val="none" w:sz="0" w:space="0" w:color="auto"/>
      </w:divBdr>
    </w:div>
    <w:div w:id="1339309777">
      <w:bodyDiv w:val="1"/>
      <w:marLeft w:val="0"/>
      <w:marRight w:val="0"/>
      <w:marTop w:val="0"/>
      <w:marBottom w:val="0"/>
      <w:divBdr>
        <w:top w:val="none" w:sz="0" w:space="0" w:color="auto"/>
        <w:left w:val="none" w:sz="0" w:space="0" w:color="auto"/>
        <w:bottom w:val="none" w:sz="0" w:space="0" w:color="auto"/>
        <w:right w:val="none" w:sz="0" w:space="0" w:color="auto"/>
      </w:divBdr>
    </w:div>
    <w:div w:id="1339382576">
      <w:bodyDiv w:val="1"/>
      <w:marLeft w:val="0"/>
      <w:marRight w:val="0"/>
      <w:marTop w:val="0"/>
      <w:marBottom w:val="0"/>
      <w:divBdr>
        <w:top w:val="none" w:sz="0" w:space="0" w:color="auto"/>
        <w:left w:val="none" w:sz="0" w:space="0" w:color="auto"/>
        <w:bottom w:val="none" w:sz="0" w:space="0" w:color="auto"/>
        <w:right w:val="none" w:sz="0" w:space="0" w:color="auto"/>
      </w:divBdr>
    </w:div>
    <w:div w:id="1339382993">
      <w:bodyDiv w:val="1"/>
      <w:marLeft w:val="0"/>
      <w:marRight w:val="0"/>
      <w:marTop w:val="0"/>
      <w:marBottom w:val="0"/>
      <w:divBdr>
        <w:top w:val="none" w:sz="0" w:space="0" w:color="auto"/>
        <w:left w:val="none" w:sz="0" w:space="0" w:color="auto"/>
        <w:bottom w:val="none" w:sz="0" w:space="0" w:color="auto"/>
        <w:right w:val="none" w:sz="0" w:space="0" w:color="auto"/>
      </w:divBdr>
    </w:div>
    <w:div w:id="1339574351">
      <w:bodyDiv w:val="1"/>
      <w:marLeft w:val="0"/>
      <w:marRight w:val="0"/>
      <w:marTop w:val="0"/>
      <w:marBottom w:val="0"/>
      <w:divBdr>
        <w:top w:val="none" w:sz="0" w:space="0" w:color="auto"/>
        <w:left w:val="none" w:sz="0" w:space="0" w:color="auto"/>
        <w:bottom w:val="none" w:sz="0" w:space="0" w:color="auto"/>
        <w:right w:val="none" w:sz="0" w:space="0" w:color="auto"/>
      </w:divBdr>
    </w:div>
    <w:div w:id="1339578092">
      <w:bodyDiv w:val="1"/>
      <w:marLeft w:val="0"/>
      <w:marRight w:val="0"/>
      <w:marTop w:val="0"/>
      <w:marBottom w:val="0"/>
      <w:divBdr>
        <w:top w:val="none" w:sz="0" w:space="0" w:color="auto"/>
        <w:left w:val="none" w:sz="0" w:space="0" w:color="auto"/>
        <w:bottom w:val="none" w:sz="0" w:space="0" w:color="auto"/>
        <w:right w:val="none" w:sz="0" w:space="0" w:color="auto"/>
      </w:divBdr>
    </w:div>
    <w:div w:id="1339623781">
      <w:bodyDiv w:val="1"/>
      <w:marLeft w:val="0"/>
      <w:marRight w:val="0"/>
      <w:marTop w:val="0"/>
      <w:marBottom w:val="0"/>
      <w:divBdr>
        <w:top w:val="none" w:sz="0" w:space="0" w:color="auto"/>
        <w:left w:val="none" w:sz="0" w:space="0" w:color="auto"/>
        <w:bottom w:val="none" w:sz="0" w:space="0" w:color="auto"/>
        <w:right w:val="none" w:sz="0" w:space="0" w:color="auto"/>
      </w:divBdr>
    </w:div>
    <w:div w:id="1340035842">
      <w:bodyDiv w:val="1"/>
      <w:marLeft w:val="0"/>
      <w:marRight w:val="0"/>
      <w:marTop w:val="0"/>
      <w:marBottom w:val="0"/>
      <w:divBdr>
        <w:top w:val="none" w:sz="0" w:space="0" w:color="auto"/>
        <w:left w:val="none" w:sz="0" w:space="0" w:color="auto"/>
        <w:bottom w:val="none" w:sz="0" w:space="0" w:color="auto"/>
        <w:right w:val="none" w:sz="0" w:space="0" w:color="auto"/>
      </w:divBdr>
    </w:div>
    <w:div w:id="1340154219">
      <w:bodyDiv w:val="1"/>
      <w:marLeft w:val="0"/>
      <w:marRight w:val="0"/>
      <w:marTop w:val="0"/>
      <w:marBottom w:val="0"/>
      <w:divBdr>
        <w:top w:val="none" w:sz="0" w:space="0" w:color="auto"/>
        <w:left w:val="none" w:sz="0" w:space="0" w:color="auto"/>
        <w:bottom w:val="none" w:sz="0" w:space="0" w:color="auto"/>
        <w:right w:val="none" w:sz="0" w:space="0" w:color="auto"/>
      </w:divBdr>
    </w:div>
    <w:div w:id="1340160177">
      <w:bodyDiv w:val="1"/>
      <w:marLeft w:val="0"/>
      <w:marRight w:val="0"/>
      <w:marTop w:val="0"/>
      <w:marBottom w:val="0"/>
      <w:divBdr>
        <w:top w:val="none" w:sz="0" w:space="0" w:color="auto"/>
        <w:left w:val="none" w:sz="0" w:space="0" w:color="auto"/>
        <w:bottom w:val="none" w:sz="0" w:space="0" w:color="auto"/>
        <w:right w:val="none" w:sz="0" w:space="0" w:color="auto"/>
      </w:divBdr>
    </w:div>
    <w:div w:id="1340423857">
      <w:bodyDiv w:val="1"/>
      <w:marLeft w:val="0"/>
      <w:marRight w:val="0"/>
      <w:marTop w:val="0"/>
      <w:marBottom w:val="0"/>
      <w:divBdr>
        <w:top w:val="none" w:sz="0" w:space="0" w:color="auto"/>
        <w:left w:val="none" w:sz="0" w:space="0" w:color="auto"/>
        <w:bottom w:val="none" w:sz="0" w:space="0" w:color="auto"/>
        <w:right w:val="none" w:sz="0" w:space="0" w:color="auto"/>
      </w:divBdr>
    </w:div>
    <w:div w:id="1340890845">
      <w:bodyDiv w:val="1"/>
      <w:marLeft w:val="0"/>
      <w:marRight w:val="0"/>
      <w:marTop w:val="0"/>
      <w:marBottom w:val="0"/>
      <w:divBdr>
        <w:top w:val="none" w:sz="0" w:space="0" w:color="auto"/>
        <w:left w:val="none" w:sz="0" w:space="0" w:color="auto"/>
        <w:bottom w:val="none" w:sz="0" w:space="0" w:color="auto"/>
        <w:right w:val="none" w:sz="0" w:space="0" w:color="auto"/>
      </w:divBdr>
    </w:div>
    <w:div w:id="1340935303">
      <w:bodyDiv w:val="1"/>
      <w:marLeft w:val="0"/>
      <w:marRight w:val="0"/>
      <w:marTop w:val="0"/>
      <w:marBottom w:val="0"/>
      <w:divBdr>
        <w:top w:val="none" w:sz="0" w:space="0" w:color="auto"/>
        <w:left w:val="none" w:sz="0" w:space="0" w:color="auto"/>
        <w:bottom w:val="none" w:sz="0" w:space="0" w:color="auto"/>
        <w:right w:val="none" w:sz="0" w:space="0" w:color="auto"/>
      </w:divBdr>
    </w:div>
    <w:div w:id="1341466711">
      <w:bodyDiv w:val="1"/>
      <w:marLeft w:val="0"/>
      <w:marRight w:val="0"/>
      <w:marTop w:val="0"/>
      <w:marBottom w:val="0"/>
      <w:divBdr>
        <w:top w:val="none" w:sz="0" w:space="0" w:color="auto"/>
        <w:left w:val="none" w:sz="0" w:space="0" w:color="auto"/>
        <w:bottom w:val="none" w:sz="0" w:space="0" w:color="auto"/>
        <w:right w:val="none" w:sz="0" w:space="0" w:color="auto"/>
      </w:divBdr>
    </w:div>
    <w:div w:id="1341469906">
      <w:bodyDiv w:val="1"/>
      <w:marLeft w:val="0"/>
      <w:marRight w:val="0"/>
      <w:marTop w:val="0"/>
      <w:marBottom w:val="0"/>
      <w:divBdr>
        <w:top w:val="none" w:sz="0" w:space="0" w:color="auto"/>
        <w:left w:val="none" w:sz="0" w:space="0" w:color="auto"/>
        <w:bottom w:val="none" w:sz="0" w:space="0" w:color="auto"/>
        <w:right w:val="none" w:sz="0" w:space="0" w:color="auto"/>
      </w:divBdr>
    </w:div>
    <w:div w:id="1341618048">
      <w:bodyDiv w:val="1"/>
      <w:marLeft w:val="0"/>
      <w:marRight w:val="0"/>
      <w:marTop w:val="0"/>
      <w:marBottom w:val="0"/>
      <w:divBdr>
        <w:top w:val="none" w:sz="0" w:space="0" w:color="auto"/>
        <w:left w:val="none" w:sz="0" w:space="0" w:color="auto"/>
        <w:bottom w:val="none" w:sz="0" w:space="0" w:color="auto"/>
        <w:right w:val="none" w:sz="0" w:space="0" w:color="auto"/>
      </w:divBdr>
    </w:div>
    <w:div w:id="1341663170">
      <w:bodyDiv w:val="1"/>
      <w:marLeft w:val="0"/>
      <w:marRight w:val="0"/>
      <w:marTop w:val="0"/>
      <w:marBottom w:val="0"/>
      <w:divBdr>
        <w:top w:val="none" w:sz="0" w:space="0" w:color="auto"/>
        <w:left w:val="none" w:sz="0" w:space="0" w:color="auto"/>
        <w:bottom w:val="none" w:sz="0" w:space="0" w:color="auto"/>
        <w:right w:val="none" w:sz="0" w:space="0" w:color="auto"/>
      </w:divBdr>
    </w:div>
    <w:div w:id="1341733781">
      <w:bodyDiv w:val="1"/>
      <w:marLeft w:val="0"/>
      <w:marRight w:val="0"/>
      <w:marTop w:val="0"/>
      <w:marBottom w:val="0"/>
      <w:divBdr>
        <w:top w:val="none" w:sz="0" w:space="0" w:color="auto"/>
        <w:left w:val="none" w:sz="0" w:space="0" w:color="auto"/>
        <w:bottom w:val="none" w:sz="0" w:space="0" w:color="auto"/>
        <w:right w:val="none" w:sz="0" w:space="0" w:color="auto"/>
      </w:divBdr>
    </w:div>
    <w:div w:id="1341734326">
      <w:bodyDiv w:val="1"/>
      <w:marLeft w:val="0"/>
      <w:marRight w:val="0"/>
      <w:marTop w:val="0"/>
      <w:marBottom w:val="0"/>
      <w:divBdr>
        <w:top w:val="none" w:sz="0" w:space="0" w:color="auto"/>
        <w:left w:val="none" w:sz="0" w:space="0" w:color="auto"/>
        <w:bottom w:val="none" w:sz="0" w:space="0" w:color="auto"/>
        <w:right w:val="none" w:sz="0" w:space="0" w:color="auto"/>
      </w:divBdr>
    </w:div>
    <w:div w:id="1341812401">
      <w:bodyDiv w:val="1"/>
      <w:marLeft w:val="0"/>
      <w:marRight w:val="0"/>
      <w:marTop w:val="0"/>
      <w:marBottom w:val="0"/>
      <w:divBdr>
        <w:top w:val="none" w:sz="0" w:space="0" w:color="auto"/>
        <w:left w:val="none" w:sz="0" w:space="0" w:color="auto"/>
        <w:bottom w:val="none" w:sz="0" w:space="0" w:color="auto"/>
        <w:right w:val="none" w:sz="0" w:space="0" w:color="auto"/>
      </w:divBdr>
    </w:div>
    <w:div w:id="1341929589">
      <w:bodyDiv w:val="1"/>
      <w:marLeft w:val="0"/>
      <w:marRight w:val="0"/>
      <w:marTop w:val="0"/>
      <w:marBottom w:val="0"/>
      <w:divBdr>
        <w:top w:val="none" w:sz="0" w:space="0" w:color="auto"/>
        <w:left w:val="none" w:sz="0" w:space="0" w:color="auto"/>
        <w:bottom w:val="none" w:sz="0" w:space="0" w:color="auto"/>
        <w:right w:val="none" w:sz="0" w:space="0" w:color="auto"/>
      </w:divBdr>
    </w:div>
    <w:div w:id="1342005283">
      <w:bodyDiv w:val="1"/>
      <w:marLeft w:val="0"/>
      <w:marRight w:val="0"/>
      <w:marTop w:val="0"/>
      <w:marBottom w:val="0"/>
      <w:divBdr>
        <w:top w:val="none" w:sz="0" w:space="0" w:color="auto"/>
        <w:left w:val="none" w:sz="0" w:space="0" w:color="auto"/>
        <w:bottom w:val="none" w:sz="0" w:space="0" w:color="auto"/>
        <w:right w:val="none" w:sz="0" w:space="0" w:color="auto"/>
      </w:divBdr>
    </w:div>
    <w:div w:id="1342047975">
      <w:bodyDiv w:val="1"/>
      <w:marLeft w:val="0"/>
      <w:marRight w:val="0"/>
      <w:marTop w:val="0"/>
      <w:marBottom w:val="0"/>
      <w:divBdr>
        <w:top w:val="none" w:sz="0" w:space="0" w:color="auto"/>
        <w:left w:val="none" w:sz="0" w:space="0" w:color="auto"/>
        <w:bottom w:val="none" w:sz="0" w:space="0" w:color="auto"/>
        <w:right w:val="none" w:sz="0" w:space="0" w:color="auto"/>
      </w:divBdr>
    </w:div>
    <w:div w:id="1342468663">
      <w:bodyDiv w:val="1"/>
      <w:marLeft w:val="0"/>
      <w:marRight w:val="0"/>
      <w:marTop w:val="0"/>
      <w:marBottom w:val="0"/>
      <w:divBdr>
        <w:top w:val="none" w:sz="0" w:space="0" w:color="auto"/>
        <w:left w:val="none" w:sz="0" w:space="0" w:color="auto"/>
        <w:bottom w:val="none" w:sz="0" w:space="0" w:color="auto"/>
        <w:right w:val="none" w:sz="0" w:space="0" w:color="auto"/>
      </w:divBdr>
    </w:div>
    <w:div w:id="1342659087">
      <w:bodyDiv w:val="1"/>
      <w:marLeft w:val="0"/>
      <w:marRight w:val="0"/>
      <w:marTop w:val="0"/>
      <w:marBottom w:val="0"/>
      <w:divBdr>
        <w:top w:val="none" w:sz="0" w:space="0" w:color="auto"/>
        <w:left w:val="none" w:sz="0" w:space="0" w:color="auto"/>
        <w:bottom w:val="none" w:sz="0" w:space="0" w:color="auto"/>
        <w:right w:val="none" w:sz="0" w:space="0" w:color="auto"/>
      </w:divBdr>
    </w:div>
    <w:div w:id="1342706562">
      <w:bodyDiv w:val="1"/>
      <w:marLeft w:val="0"/>
      <w:marRight w:val="0"/>
      <w:marTop w:val="0"/>
      <w:marBottom w:val="0"/>
      <w:divBdr>
        <w:top w:val="none" w:sz="0" w:space="0" w:color="auto"/>
        <w:left w:val="none" w:sz="0" w:space="0" w:color="auto"/>
        <w:bottom w:val="none" w:sz="0" w:space="0" w:color="auto"/>
        <w:right w:val="none" w:sz="0" w:space="0" w:color="auto"/>
      </w:divBdr>
    </w:div>
    <w:div w:id="1342968707">
      <w:bodyDiv w:val="1"/>
      <w:marLeft w:val="0"/>
      <w:marRight w:val="0"/>
      <w:marTop w:val="0"/>
      <w:marBottom w:val="0"/>
      <w:divBdr>
        <w:top w:val="none" w:sz="0" w:space="0" w:color="auto"/>
        <w:left w:val="none" w:sz="0" w:space="0" w:color="auto"/>
        <w:bottom w:val="none" w:sz="0" w:space="0" w:color="auto"/>
        <w:right w:val="none" w:sz="0" w:space="0" w:color="auto"/>
      </w:divBdr>
    </w:div>
    <w:div w:id="1342970399">
      <w:bodyDiv w:val="1"/>
      <w:marLeft w:val="0"/>
      <w:marRight w:val="0"/>
      <w:marTop w:val="0"/>
      <w:marBottom w:val="0"/>
      <w:divBdr>
        <w:top w:val="none" w:sz="0" w:space="0" w:color="auto"/>
        <w:left w:val="none" w:sz="0" w:space="0" w:color="auto"/>
        <w:bottom w:val="none" w:sz="0" w:space="0" w:color="auto"/>
        <w:right w:val="none" w:sz="0" w:space="0" w:color="auto"/>
      </w:divBdr>
    </w:div>
    <w:div w:id="1343048599">
      <w:bodyDiv w:val="1"/>
      <w:marLeft w:val="0"/>
      <w:marRight w:val="0"/>
      <w:marTop w:val="0"/>
      <w:marBottom w:val="0"/>
      <w:divBdr>
        <w:top w:val="none" w:sz="0" w:space="0" w:color="auto"/>
        <w:left w:val="none" w:sz="0" w:space="0" w:color="auto"/>
        <w:bottom w:val="none" w:sz="0" w:space="0" w:color="auto"/>
        <w:right w:val="none" w:sz="0" w:space="0" w:color="auto"/>
      </w:divBdr>
    </w:div>
    <w:div w:id="1343317847">
      <w:bodyDiv w:val="1"/>
      <w:marLeft w:val="0"/>
      <w:marRight w:val="0"/>
      <w:marTop w:val="0"/>
      <w:marBottom w:val="0"/>
      <w:divBdr>
        <w:top w:val="none" w:sz="0" w:space="0" w:color="auto"/>
        <w:left w:val="none" w:sz="0" w:space="0" w:color="auto"/>
        <w:bottom w:val="none" w:sz="0" w:space="0" w:color="auto"/>
        <w:right w:val="none" w:sz="0" w:space="0" w:color="auto"/>
      </w:divBdr>
    </w:div>
    <w:div w:id="1343580828">
      <w:bodyDiv w:val="1"/>
      <w:marLeft w:val="0"/>
      <w:marRight w:val="0"/>
      <w:marTop w:val="0"/>
      <w:marBottom w:val="0"/>
      <w:divBdr>
        <w:top w:val="none" w:sz="0" w:space="0" w:color="auto"/>
        <w:left w:val="none" w:sz="0" w:space="0" w:color="auto"/>
        <w:bottom w:val="none" w:sz="0" w:space="0" w:color="auto"/>
        <w:right w:val="none" w:sz="0" w:space="0" w:color="auto"/>
      </w:divBdr>
    </w:div>
    <w:div w:id="1343773670">
      <w:bodyDiv w:val="1"/>
      <w:marLeft w:val="0"/>
      <w:marRight w:val="0"/>
      <w:marTop w:val="0"/>
      <w:marBottom w:val="0"/>
      <w:divBdr>
        <w:top w:val="none" w:sz="0" w:space="0" w:color="auto"/>
        <w:left w:val="none" w:sz="0" w:space="0" w:color="auto"/>
        <w:bottom w:val="none" w:sz="0" w:space="0" w:color="auto"/>
        <w:right w:val="none" w:sz="0" w:space="0" w:color="auto"/>
      </w:divBdr>
    </w:div>
    <w:div w:id="1343821573">
      <w:bodyDiv w:val="1"/>
      <w:marLeft w:val="0"/>
      <w:marRight w:val="0"/>
      <w:marTop w:val="0"/>
      <w:marBottom w:val="0"/>
      <w:divBdr>
        <w:top w:val="none" w:sz="0" w:space="0" w:color="auto"/>
        <w:left w:val="none" w:sz="0" w:space="0" w:color="auto"/>
        <w:bottom w:val="none" w:sz="0" w:space="0" w:color="auto"/>
        <w:right w:val="none" w:sz="0" w:space="0" w:color="auto"/>
      </w:divBdr>
    </w:div>
    <w:div w:id="1344013226">
      <w:bodyDiv w:val="1"/>
      <w:marLeft w:val="0"/>
      <w:marRight w:val="0"/>
      <w:marTop w:val="0"/>
      <w:marBottom w:val="0"/>
      <w:divBdr>
        <w:top w:val="none" w:sz="0" w:space="0" w:color="auto"/>
        <w:left w:val="none" w:sz="0" w:space="0" w:color="auto"/>
        <w:bottom w:val="none" w:sz="0" w:space="0" w:color="auto"/>
        <w:right w:val="none" w:sz="0" w:space="0" w:color="auto"/>
      </w:divBdr>
    </w:div>
    <w:div w:id="1344359187">
      <w:bodyDiv w:val="1"/>
      <w:marLeft w:val="0"/>
      <w:marRight w:val="0"/>
      <w:marTop w:val="0"/>
      <w:marBottom w:val="0"/>
      <w:divBdr>
        <w:top w:val="none" w:sz="0" w:space="0" w:color="auto"/>
        <w:left w:val="none" w:sz="0" w:space="0" w:color="auto"/>
        <w:bottom w:val="none" w:sz="0" w:space="0" w:color="auto"/>
        <w:right w:val="none" w:sz="0" w:space="0" w:color="auto"/>
      </w:divBdr>
    </w:div>
    <w:div w:id="1344405600">
      <w:bodyDiv w:val="1"/>
      <w:marLeft w:val="0"/>
      <w:marRight w:val="0"/>
      <w:marTop w:val="0"/>
      <w:marBottom w:val="0"/>
      <w:divBdr>
        <w:top w:val="none" w:sz="0" w:space="0" w:color="auto"/>
        <w:left w:val="none" w:sz="0" w:space="0" w:color="auto"/>
        <w:bottom w:val="none" w:sz="0" w:space="0" w:color="auto"/>
        <w:right w:val="none" w:sz="0" w:space="0" w:color="auto"/>
      </w:divBdr>
    </w:div>
    <w:div w:id="1344474332">
      <w:bodyDiv w:val="1"/>
      <w:marLeft w:val="0"/>
      <w:marRight w:val="0"/>
      <w:marTop w:val="0"/>
      <w:marBottom w:val="0"/>
      <w:divBdr>
        <w:top w:val="none" w:sz="0" w:space="0" w:color="auto"/>
        <w:left w:val="none" w:sz="0" w:space="0" w:color="auto"/>
        <w:bottom w:val="none" w:sz="0" w:space="0" w:color="auto"/>
        <w:right w:val="none" w:sz="0" w:space="0" w:color="auto"/>
      </w:divBdr>
    </w:div>
    <w:div w:id="1344552186">
      <w:bodyDiv w:val="1"/>
      <w:marLeft w:val="0"/>
      <w:marRight w:val="0"/>
      <w:marTop w:val="0"/>
      <w:marBottom w:val="0"/>
      <w:divBdr>
        <w:top w:val="none" w:sz="0" w:space="0" w:color="auto"/>
        <w:left w:val="none" w:sz="0" w:space="0" w:color="auto"/>
        <w:bottom w:val="none" w:sz="0" w:space="0" w:color="auto"/>
        <w:right w:val="none" w:sz="0" w:space="0" w:color="auto"/>
      </w:divBdr>
    </w:div>
    <w:div w:id="1344939803">
      <w:bodyDiv w:val="1"/>
      <w:marLeft w:val="0"/>
      <w:marRight w:val="0"/>
      <w:marTop w:val="0"/>
      <w:marBottom w:val="0"/>
      <w:divBdr>
        <w:top w:val="none" w:sz="0" w:space="0" w:color="auto"/>
        <w:left w:val="none" w:sz="0" w:space="0" w:color="auto"/>
        <w:bottom w:val="none" w:sz="0" w:space="0" w:color="auto"/>
        <w:right w:val="none" w:sz="0" w:space="0" w:color="auto"/>
      </w:divBdr>
    </w:div>
    <w:div w:id="1344940243">
      <w:bodyDiv w:val="1"/>
      <w:marLeft w:val="0"/>
      <w:marRight w:val="0"/>
      <w:marTop w:val="0"/>
      <w:marBottom w:val="0"/>
      <w:divBdr>
        <w:top w:val="none" w:sz="0" w:space="0" w:color="auto"/>
        <w:left w:val="none" w:sz="0" w:space="0" w:color="auto"/>
        <w:bottom w:val="none" w:sz="0" w:space="0" w:color="auto"/>
        <w:right w:val="none" w:sz="0" w:space="0" w:color="auto"/>
      </w:divBdr>
    </w:div>
    <w:div w:id="1345084492">
      <w:bodyDiv w:val="1"/>
      <w:marLeft w:val="0"/>
      <w:marRight w:val="0"/>
      <w:marTop w:val="0"/>
      <w:marBottom w:val="0"/>
      <w:divBdr>
        <w:top w:val="none" w:sz="0" w:space="0" w:color="auto"/>
        <w:left w:val="none" w:sz="0" w:space="0" w:color="auto"/>
        <w:bottom w:val="none" w:sz="0" w:space="0" w:color="auto"/>
        <w:right w:val="none" w:sz="0" w:space="0" w:color="auto"/>
      </w:divBdr>
    </w:div>
    <w:div w:id="1345091878">
      <w:bodyDiv w:val="1"/>
      <w:marLeft w:val="0"/>
      <w:marRight w:val="0"/>
      <w:marTop w:val="0"/>
      <w:marBottom w:val="0"/>
      <w:divBdr>
        <w:top w:val="none" w:sz="0" w:space="0" w:color="auto"/>
        <w:left w:val="none" w:sz="0" w:space="0" w:color="auto"/>
        <w:bottom w:val="none" w:sz="0" w:space="0" w:color="auto"/>
        <w:right w:val="none" w:sz="0" w:space="0" w:color="auto"/>
      </w:divBdr>
    </w:div>
    <w:div w:id="1345283057">
      <w:bodyDiv w:val="1"/>
      <w:marLeft w:val="0"/>
      <w:marRight w:val="0"/>
      <w:marTop w:val="0"/>
      <w:marBottom w:val="0"/>
      <w:divBdr>
        <w:top w:val="none" w:sz="0" w:space="0" w:color="auto"/>
        <w:left w:val="none" w:sz="0" w:space="0" w:color="auto"/>
        <w:bottom w:val="none" w:sz="0" w:space="0" w:color="auto"/>
        <w:right w:val="none" w:sz="0" w:space="0" w:color="auto"/>
      </w:divBdr>
    </w:div>
    <w:div w:id="1345324509">
      <w:bodyDiv w:val="1"/>
      <w:marLeft w:val="0"/>
      <w:marRight w:val="0"/>
      <w:marTop w:val="0"/>
      <w:marBottom w:val="0"/>
      <w:divBdr>
        <w:top w:val="none" w:sz="0" w:space="0" w:color="auto"/>
        <w:left w:val="none" w:sz="0" w:space="0" w:color="auto"/>
        <w:bottom w:val="none" w:sz="0" w:space="0" w:color="auto"/>
        <w:right w:val="none" w:sz="0" w:space="0" w:color="auto"/>
      </w:divBdr>
    </w:div>
    <w:div w:id="1346132760">
      <w:bodyDiv w:val="1"/>
      <w:marLeft w:val="0"/>
      <w:marRight w:val="0"/>
      <w:marTop w:val="0"/>
      <w:marBottom w:val="0"/>
      <w:divBdr>
        <w:top w:val="none" w:sz="0" w:space="0" w:color="auto"/>
        <w:left w:val="none" w:sz="0" w:space="0" w:color="auto"/>
        <w:bottom w:val="none" w:sz="0" w:space="0" w:color="auto"/>
        <w:right w:val="none" w:sz="0" w:space="0" w:color="auto"/>
      </w:divBdr>
    </w:div>
    <w:div w:id="1346203227">
      <w:bodyDiv w:val="1"/>
      <w:marLeft w:val="0"/>
      <w:marRight w:val="0"/>
      <w:marTop w:val="0"/>
      <w:marBottom w:val="0"/>
      <w:divBdr>
        <w:top w:val="none" w:sz="0" w:space="0" w:color="auto"/>
        <w:left w:val="none" w:sz="0" w:space="0" w:color="auto"/>
        <w:bottom w:val="none" w:sz="0" w:space="0" w:color="auto"/>
        <w:right w:val="none" w:sz="0" w:space="0" w:color="auto"/>
      </w:divBdr>
    </w:div>
    <w:div w:id="1346324355">
      <w:bodyDiv w:val="1"/>
      <w:marLeft w:val="0"/>
      <w:marRight w:val="0"/>
      <w:marTop w:val="0"/>
      <w:marBottom w:val="0"/>
      <w:divBdr>
        <w:top w:val="none" w:sz="0" w:space="0" w:color="auto"/>
        <w:left w:val="none" w:sz="0" w:space="0" w:color="auto"/>
        <w:bottom w:val="none" w:sz="0" w:space="0" w:color="auto"/>
        <w:right w:val="none" w:sz="0" w:space="0" w:color="auto"/>
      </w:divBdr>
    </w:div>
    <w:div w:id="1346440577">
      <w:bodyDiv w:val="1"/>
      <w:marLeft w:val="0"/>
      <w:marRight w:val="0"/>
      <w:marTop w:val="0"/>
      <w:marBottom w:val="0"/>
      <w:divBdr>
        <w:top w:val="none" w:sz="0" w:space="0" w:color="auto"/>
        <w:left w:val="none" w:sz="0" w:space="0" w:color="auto"/>
        <w:bottom w:val="none" w:sz="0" w:space="0" w:color="auto"/>
        <w:right w:val="none" w:sz="0" w:space="0" w:color="auto"/>
      </w:divBdr>
    </w:div>
    <w:div w:id="1346442533">
      <w:bodyDiv w:val="1"/>
      <w:marLeft w:val="0"/>
      <w:marRight w:val="0"/>
      <w:marTop w:val="0"/>
      <w:marBottom w:val="0"/>
      <w:divBdr>
        <w:top w:val="none" w:sz="0" w:space="0" w:color="auto"/>
        <w:left w:val="none" w:sz="0" w:space="0" w:color="auto"/>
        <w:bottom w:val="none" w:sz="0" w:space="0" w:color="auto"/>
        <w:right w:val="none" w:sz="0" w:space="0" w:color="auto"/>
      </w:divBdr>
    </w:div>
    <w:div w:id="1346446211">
      <w:bodyDiv w:val="1"/>
      <w:marLeft w:val="0"/>
      <w:marRight w:val="0"/>
      <w:marTop w:val="0"/>
      <w:marBottom w:val="0"/>
      <w:divBdr>
        <w:top w:val="none" w:sz="0" w:space="0" w:color="auto"/>
        <w:left w:val="none" w:sz="0" w:space="0" w:color="auto"/>
        <w:bottom w:val="none" w:sz="0" w:space="0" w:color="auto"/>
        <w:right w:val="none" w:sz="0" w:space="0" w:color="auto"/>
      </w:divBdr>
    </w:div>
    <w:div w:id="1346521077">
      <w:bodyDiv w:val="1"/>
      <w:marLeft w:val="0"/>
      <w:marRight w:val="0"/>
      <w:marTop w:val="0"/>
      <w:marBottom w:val="0"/>
      <w:divBdr>
        <w:top w:val="none" w:sz="0" w:space="0" w:color="auto"/>
        <w:left w:val="none" w:sz="0" w:space="0" w:color="auto"/>
        <w:bottom w:val="none" w:sz="0" w:space="0" w:color="auto"/>
        <w:right w:val="none" w:sz="0" w:space="0" w:color="auto"/>
      </w:divBdr>
    </w:div>
    <w:div w:id="1346635012">
      <w:bodyDiv w:val="1"/>
      <w:marLeft w:val="0"/>
      <w:marRight w:val="0"/>
      <w:marTop w:val="0"/>
      <w:marBottom w:val="0"/>
      <w:divBdr>
        <w:top w:val="none" w:sz="0" w:space="0" w:color="auto"/>
        <w:left w:val="none" w:sz="0" w:space="0" w:color="auto"/>
        <w:bottom w:val="none" w:sz="0" w:space="0" w:color="auto"/>
        <w:right w:val="none" w:sz="0" w:space="0" w:color="auto"/>
      </w:divBdr>
    </w:div>
    <w:div w:id="1346782995">
      <w:bodyDiv w:val="1"/>
      <w:marLeft w:val="0"/>
      <w:marRight w:val="0"/>
      <w:marTop w:val="0"/>
      <w:marBottom w:val="0"/>
      <w:divBdr>
        <w:top w:val="none" w:sz="0" w:space="0" w:color="auto"/>
        <w:left w:val="none" w:sz="0" w:space="0" w:color="auto"/>
        <w:bottom w:val="none" w:sz="0" w:space="0" w:color="auto"/>
        <w:right w:val="none" w:sz="0" w:space="0" w:color="auto"/>
      </w:divBdr>
    </w:div>
    <w:div w:id="1346901871">
      <w:bodyDiv w:val="1"/>
      <w:marLeft w:val="0"/>
      <w:marRight w:val="0"/>
      <w:marTop w:val="0"/>
      <w:marBottom w:val="0"/>
      <w:divBdr>
        <w:top w:val="none" w:sz="0" w:space="0" w:color="auto"/>
        <w:left w:val="none" w:sz="0" w:space="0" w:color="auto"/>
        <w:bottom w:val="none" w:sz="0" w:space="0" w:color="auto"/>
        <w:right w:val="none" w:sz="0" w:space="0" w:color="auto"/>
      </w:divBdr>
    </w:div>
    <w:div w:id="1346902118">
      <w:bodyDiv w:val="1"/>
      <w:marLeft w:val="0"/>
      <w:marRight w:val="0"/>
      <w:marTop w:val="0"/>
      <w:marBottom w:val="0"/>
      <w:divBdr>
        <w:top w:val="none" w:sz="0" w:space="0" w:color="auto"/>
        <w:left w:val="none" w:sz="0" w:space="0" w:color="auto"/>
        <w:bottom w:val="none" w:sz="0" w:space="0" w:color="auto"/>
        <w:right w:val="none" w:sz="0" w:space="0" w:color="auto"/>
      </w:divBdr>
    </w:div>
    <w:div w:id="1347056180">
      <w:bodyDiv w:val="1"/>
      <w:marLeft w:val="0"/>
      <w:marRight w:val="0"/>
      <w:marTop w:val="0"/>
      <w:marBottom w:val="0"/>
      <w:divBdr>
        <w:top w:val="none" w:sz="0" w:space="0" w:color="auto"/>
        <w:left w:val="none" w:sz="0" w:space="0" w:color="auto"/>
        <w:bottom w:val="none" w:sz="0" w:space="0" w:color="auto"/>
        <w:right w:val="none" w:sz="0" w:space="0" w:color="auto"/>
      </w:divBdr>
    </w:div>
    <w:div w:id="1347097001">
      <w:bodyDiv w:val="1"/>
      <w:marLeft w:val="0"/>
      <w:marRight w:val="0"/>
      <w:marTop w:val="0"/>
      <w:marBottom w:val="0"/>
      <w:divBdr>
        <w:top w:val="none" w:sz="0" w:space="0" w:color="auto"/>
        <w:left w:val="none" w:sz="0" w:space="0" w:color="auto"/>
        <w:bottom w:val="none" w:sz="0" w:space="0" w:color="auto"/>
        <w:right w:val="none" w:sz="0" w:space="0" w:color="auto"/>
      </w:divBdr>
    </w:div>
    <w:div w:id="1347294584">
      <w:bodyDiv w:val="1"/>
      <w:marLeft w:val="0"/>
      <w:marRight w:val="0"/>
      <w:marTop w:val="0"/>
      <w:marBottom w:val="0"/>
      <w:divBdr>
        <w:top w:val="none" w:sz="0" w:space="0" w:color="auto"/>
        <w:left w:val="none" w:sz="0" w:space="0" w:color="auto"/>
        <w:bottom w:val="none" w:sz="0" w:space="0" w:color="auto"/>
        <w:right w:val="none" w:sz="0" w:space="0" w:color="auto"/>
      </w:divBdr>
    </w:div>
    <w:div w:id="1347436851">
      <w:bodyDiv w:val="1"/>
      <w:marLeft w:val="0"/>
      <w:marRight w:val="0"/>
      <w:marTop w:val="0"/>
      <w:marBottom w:val="0"/>
      <w:divBdr>
        <w:top w:val="none" w:sz="0" w:space="0" w:color="auto"/>
        <w:left w:val="none" w:sz="0" w:space="0" w:color="auto"/>
        <w:bottom w:val="none" w:sz="0" w:space="0" w:color="auto"/>
        <w:right w:val="none" w:sz="0" w:space="0" w:color="auto"/>
      </w:divBdr>
    </w:div>
    <w:div w:id="1347440254">
      <w:bodyDiv w:val="1"/>
      <w:marLeft w:val="0"/>
      <w:marRight w:val="0"/>
      <w:marTop w:val="0"/>
      <w:marBottom w:val="0"/>
      <w:divBdr>
        <w:top w:val="none" w:sz="0" w:space="0" w:color="auto"/>
        <w:left w:val="none" w:sz="0" w:space="0" w:color="auto"/>
        <w:bottom w:val="none" w:sz="0" w:space="0" w:color="auto"/>
        <w:right w:val="none" w:sz="0" w:space="0" w:color="auto"/>
      </w:divBdr>
    </w:div>
    <w:div w:id="1347554923">
      <w:bodyDiv w:val="1"/>
      <w:marLeft w:val="0"/>
      <w:marRight w:val="0"/>
      <w:marTop w:val="0"/>
      <w:marBottom w:val="0"/>
      <w:divBdr>
        <w:top w:val="none" w:sz="0" w:space="0" w:color="auto"/>
        <w:left w:val="none" w:sz="0" w:space="0" w:color="auto"/>
        <w:bottom w:val="none" w:sz="0" w:space="0" w:color="auto"/>
        <w:right w:val="none" w:sz="0" w:space="0" w:color="auto"/>
      </w:divBdr>
    </w:div>
    <w:div w:id="1347629915">
      <w:bodyDiv w:val="1"/>
      <w:marLeft w:val="0"/>
      <w:marRight w:val="0"/>
      <w:marTop w:val="0"/>
      <w:marBottom w:val="0"/>
      <w:divBdr>
        <w:top w:val="none" w:sz="0" w:space="0" w:color="auto"/>
        <w:left w:val="none" w:sz="0" w:space="0" w:color="auto"/>
        <w:bottom w:val="none" w:sz="0" w:space="0" w:color="auto"/>
        <w:right w:val="none" w:sz="0" w:space="0" w:color="auto"/>
      </w:divBdr>
    </w:div>
    <w:div w:id="1347707042">
      <w:bodyDiv w:val="1"/>
      <w:marLeft w:val="0"/>
      <w:marRight w:val="0"/>
      <w:marTop w:val="0"/>
      <w:marBottom w:val="0"/>
      <w:divBdr>
        <w:top w:val="none" w:sz="0" w:space="0" w:color="auto"/>
        <w:left w:val="none" w:sz="0" w:space="0" w:color="auto"/>
        <w:bottom w:val="none" w:sz="0" w:space="0" w:color="auto"/>
        <w:right w:val="none" w:sz="0" w:space="0" w:color="auto"/>
      </w:divBdr>
    </w:div>
    <w:div w:id="1347750088">
      <w:bodyDiv w:val="1"/>
      <w:marLeft w:val="0"/>
      <w:marRight w:val="0"/>
      <w:marTop w:val="0"/>
      <w:marBottom w:val="0"/>
      <w:divBdr>
        <w:top w:val="none" w:sz="0" w:space="0" w:color="auto"/>
        <w:left w:val="none" w:sz="0" w:space="0" w:color="auto"/>
        <w:bottom w:val="none" w:sz="0" w:space="0" w:color="auto"/>
        <w:right w:val="none" w:sz="0" w:space="0" w:color="auto"/>
      </w:divBdr>
    </w:div>
    <w:div w:id="1347905555">
      <w:bodyDiv w:val="1"/>
      <w:marLeft w:val="0"/>
      <w:marRight w:val="0"/>
      <w:marTop w:val="0"/>
      <w:marBottom w:val="0"/>
      <w:divBdr>
        <w:top w:val="none" w:sz="0" w:space="0" w:color="auto"/>
        <w:left w:val="none" w:sz="0" w:space="0" w:color="auto"/>
        <w:bottom w:val="none" w:sz="0" w:space="0" w:color="auto"/>
        <w:right w:val="none" w:sz="0" w:space="0" w:color="auto"/>
      </w:divBdr>
    </w:div>
    <w:div w:id="1348285311">
      <w:bodyDiv w:val="1"/>
      <w:marLeft w:val="0"/>
      <w:marRight w:val="0"/>
      <w:marTop w:val="0"/>
      <w:marBottom w:val="0"/>
      <w:divBdr>
        <w:top w:val="none" w:sz="0" w:space="0" w:color="auto"/>
        <w:left w:val="none" w:sz="0" w:space="0" w:color="auto"/>
        <w:bottom w:val="none" w:sz="0" w:space="0" w:color="auto"/>
        <w:right w:val="none" w:sz="0" w:space="0" w:color="auto"/>
      </w:divBdr>
    </w:div>
    <w:div w:id="1348404622">
      <w:bodyDiv w:val="1"/>
      <w:marLeft w:val="0"/>
      <w:marRight w:val="0"/>
      <w:marTop w:val="0"/>
      <w:marBottom w:val="0"/>
      <w:divBdr>
        <w:top w:val="none" w:sz="0" w:space="0" w:color="auto"/>
        <w:left w:val="none" w:sz="0" w:space="0" w:color="auto"/>
        <w:bottom w:val="none" w:sz="0" w:space="0" w:color="auto"/>
        <w:right w:val="none" w:sz="0" w:space="0" w:color="auto"/>
      </w:divBdr>
    </w:div>
    <w:div w:id="1348408892">
      <w:bodyDiv w:val="1"/>
      <w:marLeft w:val="0"/>
      <w:marRight w:val="0"/>
      <w:marTop w:val="0"/>
      <w:marBottom w:val="0"/>
      <w:divBdr>
        <w:top w:val="none" w:sz="0" w:space="0" w:color="auto"/>
        <w:left w:val="none" w:sz="0" w:space="0" w:color="auto"/>
        <w:bottom w:val="none" w:sz="0" w:space="0" w:color="auto"/>
        <w:right w:val="none" w:sz="0" w:space="0" w:color="auto"/>
      </w:divBdr>
    </w:div>
    <w:div w:id="1348412576">
      <w:bodyDiv w:val="1"/>
      <w:marLeft w:val="0"/>
      <w:marRight w:val="0"/>
      <w:marTop w:val="0"/>
      <w:marBottom w:val="0"/>
      <w:divBdr>
        <w:top w:val="none" w:sz="0" w:space="0" w:color="auto"/>
        <w:left w:val="none" w:sz="0" w:space="0" w:color="auto"/>
        <w:bottom w:val="none" w:sz="0" w:space="0" w:color="auto"/>
        <w:right w:val="none" w:sz="0" w:space="0" w:color="auto"/>
      </w:divBdr>
    </w:div>
    <w:div w:id="1348555234">
      <w:bodyDiv w:val="1"/>
      <w:marLeft w:val="0"/>
      <w:marRight w:val="0"/>
      <w:marTop w:val="0"/>
      <w:marBottom w:val="0"/>
      <w:divBdr>
        <w:top w:val="none" w:sz="0" w:space="0" w:color="auto"/>
        <w:left w:val="none" w:sz="0" w:space="0" w:color="auto"/>
        <w:bottom w:val="none" w:sz="0" w:space="0" w:color="auto"/>
        <w:right w:val="none" w:sz="0" w:space="0" w:color="auto"/>
      </w:divBdr>
    </w:div>
    <w:div w:id="1348562294">
      <w:bodyDiv w:val="1"/>
      <w:marLeft w:val="0"/>
      <w:marRight w:val="0"/>
      <w:marTop w:val="0"/>
      <w:marBottom w:val="0"/>
      <w:divBdr>
        <w:top w:val="none" w:sz="0" w:space="0" w:color="auto"/>
        <w:left w:val="none" w:sz="0" w:space="0" w:color="auto"/>
        <w:bottom w:val="none" w:sz="0" w:space="0" w:color="auto"/>
        <w:right w:val="none" w:sz="0" w:space="0" w:color="auto"/>
      </w:divBdr>
    </w:div>
    <w:div w:id="1348747355">
      <w:bodyDiv w:val="1"/>
      <w:marLeft w:val="0"/>
      <w:marRight w:val="0"/>
      <w:marTop w:val="0"/>
      <w:marBottom w:val="0"/>
      <w:divBdr>
        <w:top w:val="none" w:sz="0" w:space="0" w:color="auto"/>
        <w:left w:val="none" w:sz="0" w:space="0" w:color="auto"/>
        <w:bottom w:val="none" w:sz="0" w:space="0" w:color="auto"/>
        <w:right w:val="none" w:sz="0" w:space="0" w:color="auto"/>
      </w:divBdr>
    </w:div>
    <w:div w:id="1348872250">
      <w:bodyDiv w:val="1"/>
      <w:marLeft w:val="0"/>
      <w:marRight w:val="0"/>
      <w:marTop w:val="0"/>
      <w:marBottom w:val="0"/>
      <w:divBdr>
        <w:top w:val="none" w:sz="0" w:space="0" w:color="auto"/>
        <w:left w:val="none" w:sz="0" w:space="0" w:color="auto"/>
        <w:bottom w:val="none" w:sz="0" w:space="0" w:color="auto"/>
        <w:right w:val="none" w:sz="0" w:space="0" w:color="auto"/>
      </w:divBdr>
    </w:div>
    <w:div w:id="1349210297">
      <w:bodyDiv w:val="1"/>
      <w:marLeft w:val="0"/>
      <w:marRight w:val="0"/>
      <w:marTop w:val="0"/>
      <w:marBottom w:val="0"/>
      <w:divBdr>
        <w:top w:val="none" w:sz="0" w:space="0" w:color="auto"/>
        <w:left w:val="none" w:sz="0" w:space="0" w:color="auto"/>
        <w:bottom w:val="none" w:sz="0" w:space="0" w:color="auto"/>
        <w:right w:val="none" w:sz="0" w:space="0" w:color="auto"/>
      </w:divBdr>
    </w:div>
    <w:div w:id="1349210502">
      <w:bodyDiv w:val="1"/>
      <w:marLeft w:val="0"/>
      <w:marRight w:val="0"/>
      <w:marTop w:val="0"/>
      <w:marBottom w:val="0"/>
      <w:divBdr>
        <w:top w:val="none" w:sz="0" w:space="0" w:color="auto"/>
        <w:left w:val="none" w:sz="0" w:space="0" w:color="auto"/>
        <w:bottom w:val="none" w:sz="0" w:space="0" w:color="auto"/>
        <w:right w:val="none" w:sz="0" w:space="0" w:color="auto"/>
      </w:divBdr>
    </w:div>
    <w:div w:id="1349284965">
      <w:bodyDiv w:val="1"/>
      <w:marLeft w:val="0"/>
      <w:marRight w:val="0"/>
      <w:marTop w:val="0"/>
      <w:marBottom w:val="0"/>
      <w:divBdr>
        <w:top w:val="none" w:sz="0" w:space="0" w:color="auto"/>
        <w:left w:val="none" w:sz="0" w:space="0" w:color="auto"/>
        <w:bottom w:val="none" w:sz="0" w:space="0" w:color="auto"/>
        <w:right w:val="none" w:sz="0" w:space="0" w:color="auto"/>
      </w:divBdr>
    </w:div>
    <w:div w:id="1349334935">
      <w:bodyDiv w:val="1"/>
      <w:marLeft w:val="0"/>
      <w:marRight w:val="0"/>
      <w:marTop w:val="0"/>
      <w:marBottom w:val="0"/>
      <w:divBdr>
        <w:top w:val="none" w:sz="0" w:space="0" w:color="auto"/>
        <w:left w:val="none" w:sz="0" w:space="0" w:color="auto"/>
        <w:bottom w:val="none" w:sz="0" w:space="0" w:color="auto"/>
        <w:right w:val="none" w:sz="0" w:space="0" w:color="auto"/>
      </w:divBdr>
    </w:div>
    <w:div w:id="1349452299">
      <w:bodyDiv w:val="1"/>
      <w:marLeft w:val="0"/>
      <w:marRight w:val="0"/>
      <w:marTop w:val="0"/>
      <w:marBottom w:val="0"/>
      <w:divBdr>
        <w:top w:val="none" w:sz="0" w:space="0" w:color="auto"/>
        <w:left w:val="none" w:sz="0" w:space="0" w:color="auto"/>
        <w:bottom w:val="none" w:sz="0" w:space="0" w:color="auto"/>
        <w:right w:val="none" w:sz="0" w:space="0" w:color="auto"/>
      </w:divBdr>
    </w:div>
    <w:div w:id="1349528536">
      <w:bodyDiv w:val="1"/>
      <w:marLeft w:val="0"/>
      <w:marRight w:val="0"/>
      <w:marTop w:val="0"/>
      <w:marBottom w:val="0"/>
      <w:divBdr>
        <w:top w:val="none" w:sz="0" w:space="0" w:color="auto"/>
        <w:left w:val="none" w:sz="0" w:space="0" w:color="auto"/>
        <w:bottom w:val="none" w:sz="0" w:space="0" w:color="auto"/>
        <w:right w:val="none" w:sz="0" w:space="0" w:color="auto"/>
      </w:divBdr>
    </w:div>
    <w:div w:id="1349715626">
      <w:bodyDiv w:val="1"/>
      <w:marLeft w:val="0"/>
      <w:marRight w:val="0"/>
      <w:marTop w:val="0"/>
      <w:marBottom w:val="0"/>
      <w:divBdr>
        <w:top w:val="none" w:sz="0" w:space="0" w:color="auto"/>
        <w:left w:val="none" w:sz="0" w:space="0" w:color="auto"/>
        <w:bottom w:val="none" w:sz="0" w:space="0" w:color="auto"/>
        <w:right w:val="none" w:sz="0" w:space="0" w:color="auto"/>
      </w:divBdr>
    </w:div>
    <w:div w:id="1349794840">
      <w:bodyDiv w:val="1"/>
      <w:marLeft w:val="0"/>
      <w:marRight w:val="0"/>
      <w:marTop w:val="0"/>
      <w:marBottom w:val="0"/>
      <w:divBdr>
        <w:top w:val="none" w:sz="0" w:space="0" w:color="auto"/>
        <w:left w:val="none" w:sz="0" w:space="0" w:color="auto"/>
        <w:bottom w:val="none" w:sz="0" w:space="0" w:color="auto"/>
        <w:right w:val="none" w:sz="0" w:space="0" w:color="auto"/>
      </w:divBdr>
    </w:div>
    <w:div w:id="1349941898">
      <w:bodyDiv w:val="1"/>
      <w:marLeft w:val="0"/>
      <w:marRight w:val="0"/>
      <w:marTop w:val="0"/>
      <w:marBottom w:val="0"/>
      <w:divBdr>
        <w:top w:val="none" w:sz="0" w:space="0" w:color="auto"/>
        <w:left w:val="none" w:sz="0" w:space="0" w:color="auto"/>
        <w:bottom w:val="none" w:sz="0" w:space="0" w:color="auto"/>
        <w:right w:val="none" w:sz="0" w:space="0" w:color="auto"/>
      </w:divBdr>
    </w:div>
    <w:div w:id="1350060039">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
    <w:div w:id="1350180927">
      <w:bodyDiv w:val="1"/>
      <w:marLeft w:val="0"/>
      <w:marRight w:val="0"/>
      <w:marTop w:val="0"/>
      <w:marBottom w:val="0"/>
      <w:divBdr>
        <w:top w:val="none" w:sz="0" w:space="0" w:color="auto"/>
        <w:left w:val="none" w:sz="0" w:space="0" w:color="auto"/>
        <w:bottom w:val="none" w:sz="0" w:space="0" w:color="auto"/>
        <w:right w:val="none" w:sz="0" w:space="0" w:color="auto"/>
      </w:divBdr>
    </w:div>
    <w:div w:id="1350377669">
      <w:bodyDiv w:val="1"/>
      <w:marLeft w:val="0"/>
      <w:marRight w:val="0"/>
      <w:marTop w:val="0"/>
      <w:marBottom w:val="0"/>
      <w:divBdr>
        <w:top w:val="none" w:sz="0" w:space="0" w:color="auto"/>
        <w:left w:val="none" w:sz="0" w:space="0" w:color="auto"/>
        <w:bottom w:val="none" w:sz="0" w:space="0" w:color="auto"/>
        <w:right w:val="none" w:sz="0" w:space="0" w:color="auto"/>
      </w:divBdr>
    </w:div>
    <w:div w:id="1350447808">
      <w:bodyDiv w:val="1"/>
      <w:marLeft w:val="0"/>
      <w:marRight w:val="0"/>
      <w:marTop w:val="0"/>
      <w:marBottom w:val="0"/>
      <w:divBdr>
        <w:top w:val="none" w:sz="0" w:space="0" w:color="auto"/>
        <w:left w:val="none" w:sz="0" w:space="0" w:color="auto"/>
        <w:bottom w:val="none" w:sz="0" w:space="0" w:color="auto"/>
        <w:right w:val="none" w:sz="0" w:space="0" w:color="auto"/>
      </w:divBdr>
    </w:div>
    <w:div w:id="1350451722">
      <w:bodyDiv w:val="1"/>
      <w:marLeft w:val="0"/>
      <w:marRight w:val="0"/>
      <w:marTop w:val="0"/>
      <w:marBottom w:val="0"/>
      <w:divBdr>
        <w:top w:val="none" w:sz="0" w:space="0" w:color="auto"/>
        <w:left w:val="none" w:sz="0" w:space="0" w:color="auto"/>
        <w:bottom w:val="none" w:sz="0" w:space="0" w:color="auto"/>
        <w:right w:val="none" w:sz="0" w:space="0" w:color="auto"/>
      </w:divBdr>
    </w:div>
    <w:div w:id="1350528714">
      <w:bodyDiv w:val="1"/>
      <w:marLeft w:val="0"/>
      <w:marRight w:val="0"/>
      <w:marTop w:val="0"/>
      <w:marBottom w:val="0"/>
      <w:divBdr>
        <w:top w:val="none" w:sz="0" w:space="0" w:color="auto"/>
        <w:left w:val="none" w:sz="0" w:space="0" w:color="auto"/>
        <w:bottom w:val="none" w:sz="0" w:space="0" w:color="auto"/>
        <w:right w:val="none" w:sz="0" w:space="0" w:color="auto"/>
      </w:divBdr>
    </w:div>
    <w:div w:id="1350762571">
      <w:bodyDiv w:val="1"/>
      <w:marLeft w:val="0"/>
      <w:marRight w:val="0"/>
      <w:marTop w:val="0"/>
      <w:marBottom w:val="0"/>
      <w:divBdr>
        <w:top w:val="none" w:sz="0" w:space="0" w:color="auto"/>
        <w:left w:val="none" w:sz="0" w:space="0" w:color="auto"/>
        <w:bottom w:val="none" w:sz="0" w:space="0" w:color="auto"/>
        <w:right w:val="none" w:sz="0" w:space="0" w:color="auto"/>
      </w:divBdr>
    </w:div>
    <w:div w:id="1350833689">
      <w:bodyDiv w:val="1"/>
      <w:marLeft w:val="0"/>
      <w:marRight w:val="0"/>
      <w:marTop w:val="0"/>
      <w:marBottom w:val="0"/>
      <w:divBdr>
        <w:top w:val="none" w:sz="0" w:space="0" w:color="auto"/>
        <w:left w:val="none" w:sz="0" w:space="0" w:color="auto"/>
        <w:bottom w:val="none" w:sz="0" w:space="0" w:color="auto"/>
        <w:right w:val="none" w:sz="0" w:space="0" w:color="auto"/>
      </w:divBdr>
    </w:div>
    <w:div w:id="1350990197">
      <w:bodyDiv w:val="1"/>
      <w:marLeft w:val="0"/>
      <w:marRight w:val="0"/>
      <w:marTop w:val="0"/>
      <w:marBottom w:val="0"/>
      <w:divBdr>
        <w:top w:val="none" w:sz="0" w:space="0" w:color="auto"/>
        <w:left w:val="none" w:sz="0" w:space="0" w:color="auto"/>
        <w:bottom w:val="none" w:sz="0" w:space="0" w:color="auto"/>
        <w:right w:val="none" w:sz="0" w:space="0" w:color="auto"/>
      </w:divBdr>
    </w:div>
    <w:div w:id="1351099836">
      <w:bodyDiv w:val="1"/>
      <w:marLeft w:val="0"/>
      <w:marRight w:val="0"/>
      <w:marTop w:val="0"/>
      <w:marBottom w:val="0"/>
      <w:divBdr>
        <w:top w:val="none" w:sz="0" w:space="0" w:color="auto"/>
        <w:left w:val="none" w:sz="0" w:space="0" w:color="auto"/>
        <w:bottom w:val="none" w:sz="0" w:space="0" w:color="auto"/>
        <w:right w:val="none" w:sz="0" w:space="0" w:color="auto"/>
      </w:divBdr>
    </w:div>
    <w:div w:id="1351108501">
      <w:bodyDiv w:val="1"/>
      <w:marLeft w:val="0"/>
      <w:marRight w:val="0"/>
      <w:marTop w:val="0"/>
      <w:marBottom w:val="0"/>
      <w:divBdr>
        <w:top w:val="none" w:sz="0" w:space="0" w:color="auto"/>
        <w:left w:val="none" w:sz="0" w:space="0" w:color="auto"/>
        <w:bottom w:val="none" w:sz="0" w:space="0" w:color="auto"/>
        <w:right w:val="none" w:sz="0" w:space="0" w:color="auto"/>
      </w:divBdr>
    </w:div>
    <w:div w:id="1351176078">
      <w:bodyDiv w:val="1"/>
      <w:marLeft w:val="0"/>
      <w:marRight w:val="0"/>
      <w:marTop w:val="0"/>
      <w:marBottom w:val="0"/>
      <w:divBdr>
        <w:top w:val="none" w:sz="0" w:space="0" w:color="auto"/>
        <w:left w:val="none" w:sz="0" w:space="0" w:color="auto"/>
        <w:bottom w:val="none" w:sz="0" w:space="0" w:color="auto"/>
        <w:right w:val="none" w:sz="0" w:space="0" w:color="auto"/>
      </w:divBdr>
    </w:div>
    <w:div w:id="1351222813">
      <w:bodyDiv w:val="1"/>
      <w:marLeft w:val="0"/>
      <w:marRight w:val="0"/>
      <w:marTop w:val="0"/>
      <w:marBottom w:val="0"/>
      <w:divBdr>
        <w:top w:val="none" w:sz="0" w:space="0" w:color="auto"/>
        <w:left w:val="none" w:sz="0" w:space="0" w:color="auto"/>
        <w:bottom w:val="none" w:sz="0" w:space="0" w:color="auto"/>
        <w:right w:val="none" w:sz="0" w:space="0" w:color="auto"/>
      </w:divBdr>
    </w:div>
    <w:div w:id="1351224643">
      <w:bodyDiv w:val="1"/>
      <w:marLeft w:val="0"/>
      <w:marRight w:val="0"/>
      <w:marTop w:val="0"/>
      <w:marBottom w:val="0"/>
      <w:divBdr>
        <w:top w:val="none" w:sz="0" w:space="0" w:color="auto"/>
        <w:left w:val="none" w:sz="0" w:space="0" w:color="auto"/>
        <w:bottom w:val="none" w:sz="0" w:space="0" w:color="auto"/>
        <w:right w:val="none" w:sz="0" w:space="0" w:color="auto"/>
      </w:divBdr>
    </w:div>
    <w:div w:id="1351253485">
      <w:bodyDiv w:val="1"/>
      <w:marLeft w:val="0"/>
      <w:marRight w:val="0"/>
      <w:marTop w:val="0"/>
      <w:marBottom w:val="0"/>
      <w:divBdr>
        <w:top w:val="none" w:sz="0" w:space="0" w:color="auto"/>
        <w:left w:val="none" w:sz="0" w:space="0" w:color="auto"/>
        <w:bottom w:val="none" w:sz="0" w:space="0" w:color="auto"/>
        <w:right w:val="none" w:sz="0" w:space="0" w:color="auto"/>
      </w:divBdr>
    </w:div>
    <w:div w:id="1351443691">
      <w:bodyDiv w:val="1"/>
      <w:marLeft w:val="0"/>
      <w:marRight w:val="0"/>
      <w:marTop w:val="0"/>
      <w:marBottom w:val="0"/>
      <w:divBdr>
        <w:top w:val="none" w:sz="0" w:space="0" w:color="auto"/>
        <w:left w:val="none" w:sz="0" w:space="0" w:color="auto"/>
        <w:bottom w:val="none" w:sz="0" w:space="0" w:color="auto"/>
        <w:right w:val="none" w:sz="0" w:space="0" w:color="auto"/>
      </w:divBdr>
    </w:div>
    <w:div w:id="1351570616">
      <w:bodyDiv w:val="1"/>
      <w:marLeft w:val="0"/>
      <w:marRight w:val="0"/>
      <w:marTop w:val="0"/>
      <w:marBottom w:val="0"/>
      <w:divBdr>
        <w:top w:val="none" w:sz="0" w:space="0" w:color="auto"/>
        <w:left w:val="none" w:sz="0" w:space="0" w:color="auto"/>
        <w:bottom w:val="none" w:sz="0" w:space="0" w:color="auto"/>
        <w:right w:val="none" w:sz="0" w:space="0" w:color="auto"/>
      </w:divBdr>
    </w:div>
    <w:div w:id="1351685577">
      <w:bodyDiv w:val="1"/>
      <w:marLeft w:val="0"/>
      <w:marRight w:val="0"/>
      <w:marTop w:val="0"/>
      <w:marBottom w:val="0"/>
      <w:divBdr>
        <w:top w:val="none" w:sz="0" w:space="0" w:color="auto"/>
        <w:left w:val="none" w:sz="0" w:space="0" w:color="auto"/>
        <w:bottom w:val="none" w:sz="0" w:space="0" w:color="auto"/>
        <w:right w:val="none" w:sz="0" w:space="0" w:color="auto"/>
      </w:divBdr>
    </w:div>
    <w:div w:id="1351758805">
      <w:bodyDiv w:val="1"/>
      <w:marLeft w:val="0"/>
      <w:marRight w:val="0"/>
      <w:marTop w:val="0"/>
      <w:marBottom w:val="0"/>
      <w:divBdr>
        <w:top w:val="none" w:sz="0" w:space="0" w:color="auto"/>
        <w:left w:val="none" w:sz="0" w:space="0" w:color="auto"/>
        <w:bottom w:val="none" w:sz="0" w:space="0" w:color="auto"/>
        <w:right w:val="none" w:sz="0" w:space="0" w:color="auto"/>
      </w:divBdr>
    </w:div>
    <w:div w:id="1351834620">
      <w:bodyDiv w:val="1"/>
      <w:marLeft w:val="0"/>
      <w:marRight w:val="0"/>
      <w:marTop w:val="0"/>
      <w:marBottom w:val="0"/>
      <w:divBdr>
        <w:top w:val="none" w:sz="0" w:space="0" w:color="auto"/>
        <w:left w:val="none" w:sz="0" w:space="0" w:color="auto"/>
        <w:bottom w:val="none" w:sz="0" w:space="0" w:color="auto"/>
        <w:right w:val="none" w:sz="0" w:space="0" w:color="auto"/>
      </w:divBdr>
    </w:div>
    <w:div w:id="1351878615">
      <w:bodyDiv w:val="1"/>
      <w:marLeft w:val="0"/>
      <w:marRight w:val="0"/>
      <w:marTop w:val="0"/>
      <w:marBottom w:val="0"/>
      <w:divBdr>
        <w:top w:val="none" w:sz="0" w:space="0" w:color="auto"/>
        <w:left w:val="none" w:sz="0" w:space="0" w:color="auto"/>
        <w:bottom w:val="none" w:sz="0" w:space="0" w:color="auto"/>
        <w:right w:val="none" w:sz="0" w:space="0" w:color="auto"/>
      </w:divBdr>
    </w:div>
    <w:div w:id="1352075215">
      <w:bodyDiv w:val="1"/>
      <w:marLeft w:val="0"/>
      <w:marRight w:val="0"/>
      <w:marTop w:val="0"/>
      <w:marBottom w:val="0"/>
      <w:divBdr>
        <w:top w:val="none" w:sz="0" w:space="0" w:color="auto"/>
        <w:left w:val="none" w:sz="0" w:space="0" w:color="auto"/>
        <w:bottom w:val="none" w:sz="0" w:space="0" w:color="auto"/>
        <w:right w:val="none" w:sz="0" w:space="0" w:color="auto"/>
      </w:divBdr>
    </w:div>
    <w:div w:id="1352216886">
      <w:bodyDiv w:val="1"/>
      <w:marLeft w:val="0"/>
      <w:marRight w:val="0"/>
      <w:marTop w:val="0"/>
      <w:marBottom w:val="0"/>
      <w:divBdr>
        <w:top w:val="none" w:sz="0" w:space="0" w:color="auto"/>
        <w:left w:val="none" w:sz="0" w:space="0" w:color="auto"/>
        <w:bottom w:val="none" w:sz="0" w:space="0" w:color="auto"/>
        <w:right w:val="none" w:sz="0" w:space="0" w:color="auto"/>
      </w:divBdr>
    </w:div>
    <w:div w:id="1352223894">
      <w:bodyDiv w:val="1"/>
      <w:marLeft w:val="0"/>
      <w:marRight w:val="0"/>
      <w:marTop w:val="0"/>
      <w:marBottom w:val="0"/>
      <w:divBdr>
        <w:top w:val="none" w:sz="0" w:space="0" w:color="auto"/>
        <w:left w:val="none" w:sz="0" w:space="0" w:color="auto"/>
        <w:bottom w:val="none" w:sz="0" w:space="0" w:color="auto"/>
        <w:right w:val="none" w:sz="0" w:space="0" w:color="auto"/>
      </w:divBdr>
    </w:div>
    <w:div w:id="1352994895">
      <w:bodyDiv w:val="1"/>
      <w:marLeft w:val="0"/>
      <w:marRight w:val="0"/>
      <w:marTop w:val="0"/>
      <w:marBottom w:val="0"/>
      <w:divBdr>
        <w:top w:val="none" w:sz="0" w:space="0" w:color="auto"/>
        <w:left w:val="none" w:sz="0" w:space="0" w:color="auto"/>
        <w:bottom w:val="none" w:sz="0" w:space="0" w:color="auto"/>
        <w:right w:val="none" w:sz="0" w:space="0" w:color="auto"/>
      </w:divBdr>
    </w:div>
    <w:div w:id="1353145977">
      <w:bodyDiv w:val="1"/>
      <w:marLeft w:val="0"/>
      <w:marRight w:val="0"/>
      <w:marTop w:val="0"/>
      <w:marBottom w:val="0"/>
      <w:divBdr>
        <w:top w:val="none" w:sz="0" w:space="0" w:color="auto"/>
        <w:left w:val="none" w:sz="0" w:space="0" w:color="auto"/>
        <w:bottom w:val="none" w:sz="0" w:space="0" w:color="auto"/>
        <w:right w:val="none" w:sz="0" w:space="0" w:color="auto"/>
      </w:divBdr>
    </w:div>
    <w:div w:id="1353147294">
      <w:bodyDiv w:val="1"/>
      <w:marLeft w:val="0"/>
      <w:marRight w:val="0"/>
      <w:marTop w:val="0"/>
      <w:marBottom w:val="0"/>
      <w:divBdr>
        <w:top w:val="none" w:sz="0" w:space="0" w:color="auto"/>
        <w:left w:val="none" w:sz="0" w:space="0" w:color="auto"/>
        <w:bottom w:val="none" w:sz="0" w:space="0" w:color="auto"/>
        <w:right w:val="none" w:sz="0" w:space="0" w:color="auto"/>
      </w:divBdr>
    </w:div>
    <w:div w:id="1353187846">
      <w:bodyDiv w:val="1"/>
      <w:marLeft w:val="0"/>
      <w:marRight w:val="0"/>
      <w:marTop w:val="0"/>
      <w:marBottom w:val="0"/>
      <w:divBdr>
        <w:top w:val="none" w:sz="0" w:space="0" w:color="auto"/>
        <w:left w:val="none" w:sz="0" w:space="0" w:color="auto"/>
        <w:bottom w:val="none" w:sz="0" w:space="0" w:color="auto"/>
        <w:right w:val="none" w:sz="0" w:space="0" w:color="auto"/>
      </w:divBdr>
    </w:div>
    <w:div w:id="1353336405">
      <w:bodyDiv w:val="1"/>
      <w:marLeft w:val="0"/>
      <w:marRight w:val="0"/>
      <w:marTop w:val="0"/>
      <w:marBottom w:val="0"/>
      <w:divBdr>
        <w:top w:val="none" w:sz="0" w:space="0" w:color="auto"/>
        <w:left w:val="none" w:sz="0" w:space="0" w:color="auto"/>
        <w:bottom w:val="none" w:sz="0" w:space="0" w:color="auto"/>
        <w:right w:val="none" w:sz="0" w:space="0" w:color="auto"/>
      </w:divBdr>
    </w:div>
    <w:div w:id="1353341197">
      <w:bodyDiv w:val="1"/>
      <w:marLeft w:val="0"/>
      <w:marRight w:val="0"/>
      <w:marTop w:val="0"/>
      <w:marBottom w:val="0"/>
      <w:divBdr>
        <w:top w:val="none" w:sz="0" w:space="0" w:color="auto"/>
        <w:left w:val="none" w:sz="0" w:space="0" w:color="auto"/>
        <w:bottom w:val="none" w:sz="0" w:space="0" w:color="auto"/>
        <w:right w:val="none" w:sz="0" w:space="0" w:color="auto"/>
      </w:divBdr>
    </w:div>
    <w:div w:id="1353452792">
      <w:bodyDiv w:val="1"/>
      <w:marLeft w:val="0"/>
      <w:marRight w:val="0"/>
      <w:marTop w:val="0"/>
      <w:marBottom w:val="0"/>
      <w:divBdr>
        <w:top w:val="none" w:sz="0" w:space="0" w:color="auto"/>
        <w:left w:val="none" w:sz="0" w:space="0" w:color="auto"/>
        <w:bottom w:val="none" w:sz="0" w:space="0" w:color="auto"/>
        <w:right w:val="none" w:sz="0" w:space="0" w:color="auto"/>
      </w:divBdr>
    </w:div>
    <w:div w:id="1353454877">
      <w:bodyDiv w:val="1"/>
      <w:marLeft w:val="0"/>
      <w:marRight w:val="0"/>
      <w:marTop w:val="0"/>
      <w:marBottom w:val="0"/>
      <w:divBdr>
        <w:top w:val="none" w:sz="0" w:space="0" w:color="auto"/>
        <w:left w:val="none" w:sz="0" w:space="0" w:color="auto"/>
        <w:bottom w:val="none" w:sz="0" w:space="0" w:color="auto"/>
        <w:right w:val="none" w:sz="0" w:space="0" w:color="auto"/>
      </w:divBdr>
    </w:div>
    <w:div w:id="1353647068">
      <w:bodyDiv w:val="1"/>
      <w:marLeft w:val="0"/>
      <w:marRight w:val="0"/>
      <w:marTop w:val="0"/>
      <w:marBottom w:val="0"/>
      <w:divBdr>
        <w:top w:val="none" w:sz="0" w:space="0" w:color="auto"/>
        <w:left w:val="none" w:sz="0" w:space="0" w:color="auto"/>
        <w:bottom w:val="none" w:sz="0" w:space="0" w:color="auto"/>
        <w:right w:val="none" w:sz="0" w:space="0" w:color="auto"/>
      </w:divBdr>
    </w:div>
    <w:div w:id="1354187310">
      <w:bodyDiv w:val="1"/>
      <w:marLeft w:val="0"/>
      <w:marRight w:val="0"/>
      <w:marTop w:val="0"/>
      <w:marBottom w:val="0"/>
      <w:divBdr>
        <w:top w:val="none" w:sz="0" w:space="0" w:color="auto"/>
        <w:left w:val="none" w:sz="0" w:space="0" w:color="auto"/>
        <w:bottom w:val="none" w:sz="0" w:space="0" w:color="auto"/>
        <w:right w:val="none" w:sz="0" w:space="0" w:color="auto"/>
      </w:divBdr>
    </w:div>
    <w:div w:id="1354190748">
      <w:bodyDiv w:val="1"/>
      <w:marLeft w:val="0"/>
      <w:marRight w:val="0"/>
      <w:marTop w:val="0"/>
      <w:marBottom w:val="0"/>
      <w:divBdr>
        <w:top w:val="none" w:sz="0" w:space="0" w:color="auto"/>
        <w:left w:val="none" w:sz="0" w:space="0" w:color="auto"/>
        <w:bottom w:val="none" w:sz="0" w:space="0" w:color="auto"/>
        <w:right w:val="none" w:sz="0" w:space="0" w:color="auto"/>
      </w:divBdr>
    </w:div>
    <w:div w:id="1354191138">
      <w:bodyDiv w:val="1"/>
      <w:marLeft w:val="0"/>
      <w:marRight w:val="0"/>
      <w:marTop w:val="0"/>
      <w:marBottom w:val="0"/>
      <w:divBdr>
        <w:top w:val="none" w:sz="0" w:space="0" w:color="auto"/>
        <w:left w:val="none" w:sz="0" w:space="0" w:color="auto"/>
        <w:bottom w:val="none" w:sz="0" w:space="0" w:color="auto"/>
        <w:right w:val="none" w:sz="0" w:space="0" w:color="auto"/>
      </w:divBdr>
    </w:div>
    <w:div w:id="1354267401">
      <w:bodyDiv w:val="1"/>
      <w:marLeft w:val="0"/>
      <w:marRight w:val="0"/>
      <w:marTop w:val="0"/>
      <w:marBottom w:val="0"/>
      <w:divBdr>
        <w:top w:val="none" w:sz="0" w:space="0" w:color="auto"/>
        <w:left w:val="none" w:sz="0" w:space="0" w:color="auto"/>
        <w:bottom w:val="none" w:sz="0" w:space="0" w:color="auto"/>
        <w:right w:val="none" w:sz="0" w:space="0" w:color="auto"/>
      </w:divBdr>
    </w:div>
    <w:div w:id="1354303879">
      <w:bodyDiv w:val="1"/>
      <w:marLeft w:val="0"/>
      <w:marRight w:val="0"/>
      <w:marTop w:val="0"/>
      <w:marBottom w:val="0"/>
      <w:divBdr>
        <w:top w:val="none" w:sz="0" w:space="0" w:color="auto"/>
        <w:left w:val="none" w:sz="0" w:space="0" w:color="auto"/>
        <w:bottom w:val="none" w:sz="0" w:space="0" w:color="auto"/>
        <w:right w:val="none" w:sz="0" w:space="0" w:color="auto"/>
      </w:divBdr>
    </w:div>
    <w:div w:id="1354376186">
      <w:bodyDiv w:val="1"/>
      <w:marLeft w:val="0"/>
      <w:marRight w:val="0"/>
      <w:marTop w:val="0"/>
      <w:marBottom w:val="0"/>
      <w:divBdr>
        <w:top w:val="none" w:sz="0" w:space="0" w:color="auto"/>
        <w:left w:val="none" w:sz="0" w:space="0" w:color="auto"/>
        <w:bottom w:val="none" w:sz="0" w:space="0" w:color="auto"/>
        <w:right w:val="none" w:sz="0" w:space="0" w:color="auto"/>
      </w:divBdr>
    </w:div>
    <w:div w:id="1354459855">
      <w:bodyDiv w:val="1"/>
      <w:marLeft w:val="0"/>
      <w:marRight w:val="0"/>
      <w:marTop w:val="0"/>
      <w:marBottom w:val="0"/>
      <w:divBdr>
        <w:top w:val="none" w:sz="0" w:space="0" w:color="auto"/>
        <w:left w:val="none" w:sz="0" w:space="0" w:color="auto"/>
        <w:bottom w:val="none" w:sz="0" w:space="0" w:color="auto"/>
        <w:right w:val="none" w:sz="0" w:space="0" w:color="auto"/>
      </w:divBdr>
    </w:div>
    <w:div w:id="1354575060">
      <w:bodyDiv w:val="1"/>
      <w:marLeft w:val="0"/>
      <w:marRight w:val="0"/>
      <w:marTop w:val="0"/>
      <w:marBottom w:val="0"/>
      <w:divBdr>
        <w:top w:val="none" w:sz="0" w:space="0" w:color="auto"/>
        <w:left w:val="none" w:sz="0" w:space="0" w:color="auto"/>
        <w:bottom w:val="none" w:sz="0" w:space="0" w:color="auto"/>
        <w:right w:val="none" w:sz="0" w:space="0" w:color="auto"/>
      </w:divBdr>
    </w:div>
    <w:div w:id="1354647913">
      <w:bodyDiv w:val="1"/>
      <w:marLeft w:val="0"/>
      <w:marRight w:val="0"/>
      <w:marTop w:val="0"/>
      <w:marBottom w:val="0"/>
      <w:divBdr>
        <w:top w:val="none" w:sz="0" w:space="0" w:color="auto"/>
        <w:left w:val="none" w:sz="0" w:space="0" w:color="auto"/>
        <w:bottom w:val="none" w:sz="0" w:space="0" w:color="auto"/>
        <w:right w:val="none" w:sz="0" w:space="0" w:color="auto"/>
      </w:divBdr>
    </w:div>
    <w:div w:id="1354914334">
      <w:bodyDiv w:val="1"/>
      <w:marLeft w:val="0"/>
      <w:marRight w:val="0"/>
      <w:marTop w:val="0"/>
      <w:marBottom w:val="0"/>
      <w:divBdr>
        <w:top w:val="none" w:sz="0" w:space="0" w:color="auto"/>
        <w:left w:val="none" w:sz="0" w:space="0" w:color="auto"/>
        <w:bottom w:val="none" w:sz="0" w:space="0" w:color="auto"/>
        <w:right w:val="none" w:sz="0" w:space="0" w:color="auto"/>
      </w:divBdr>
    </w:div>
    <w:div w:id="1355111844">
      <w:bodyDiv w:val="1"/>
      <w:marLeft w:val="0"/>
      <w:marRight w:val="0"/>
      <w:marTop w:val="0"/>
      <w:marBottom w:val="0"/>
      <w:divBdr>
        <w:top w:val="none" w:sz="0" w:space="0" w:color="auto"/>
        <w:left w:val="none" w:sz="0" w:space="0" w:color="auto"/>
        <w:bottom w:val="none" w:sz="0" w:space="0" w:color="auto"/>
        <w:right w:val="none" w:sz="0" w:space="0" w:color="auto"/>
      </w:divBdr>
    </w:div>
    <w:div w:id="1355303218">
      <w:bodyDiv w:val="1"/>
      <w:marLeft w:val="0"/>
      <w:marRight w:val="0"/>
      <w:marTop w:val="0"/>
      <w:marBottom w:val="0"/>
      <w:divBdr>
        <w:top w:val="none" w:sz="0" w:space="0" w:color="auto"/>
        <w:left w:val="none" w:sz="0" w:space="0" w:color="auto"/>
        <w:bottom w:val="none" w:sz="0" w:space="0" w:color="auto"/>
        <w:right w:val="none" w:sz="0" w:space="0" w:color="auto"/>
      </w:divBdr>
    </w:div>
    <w:div w:id="1355418296">
      <w:bodyDiv w:val="1"/>
      <w:marLeft w:val="0"/>
      <w:marRight w:val="0"/>
      <w:marTop w:val="0"/>
      <w:marBottom w:val="0"/>
      <w:divBdr>
        <w:top w:val="none" w:sz="0" w:space="0" w:color="auto"/>
        <w:left w:val="none" w:sz="0" w:space="0" w:color="auto"/>
        <w:bottom w:val="none" w:sz="0" w:space="0" w:color="auto"/>
        <w:right w:val="none" w:sz="0" w:space="0" w:color="auto"/>
      </w:divBdr>
    </w:div>
    <w:div w:id="1355425687">
      <w:bodyDiv w:val="1"/>
      <w:marLeft w:val="0"/>
      <w:marRight w:val="0"/>
      <w:marTop w:val="0"/>
      <w:marBottom w:val="0"/>
      <w:divBdr>
        <w:top w:val="none" w:sz="0" w:space="0" w:color="auto"/>
        <w:left w:val="none" w:sz="0" w:space="0" w:color="auto"/>
        <w:bottom w:val="none" w:sz="0" w:space="0" w:color="auto"/>
        <w:right w:val="none" w:sz="0" w:space="0" w:color="auto"/>
      </w:divBdr>
    </w:div>
    <w:div w:id="1355426888">
      <w:bodyDiv w:val="1"/>
      <w:marLeft w:val="0"/>
      <w:marRight w:val="0"/>
      <w:marTop w:val="0"/>
      <w:marBottom w:val="0"/>
      <w:divBdr>
        <w:top w:val="none" w:sz="0" w:space="0" w:color="auto"/>
        <w:left w:val="none" w:sz="0" w:space="0" w:color="auto"/>
        <w:bottom w:val="none" w:sz="0" w:space="0" w:color="auto"/>
        <w:right w:val="none" w:sz="0" w:space="0" w:color="auto"/>
      </w:divBdr>
    </w:div>
    <w:div w:id="1355693632">
      <w:bodyDiv w:val="1"/>
      <w:marLeft w:val="0"/>
      <w:marRight w:val="0"/>
      <w:marTop w:val="0"/>
      <w:marBottom w:val="0"/>
      <w:divBdr>
        <w:top w:val="none" w:sz="0" w:space="0" w:color="auto"/>
        <w:left w:val="none" w:sz="0" w:space="0" w:color="auto"/>
        <w:bottom w:val="none" w:sz="0" w:space="0" w:color="auto"/>
        <w:right w:val="none" w:sz="0" w:space="0" w:color="auto"/>
      </w:divBdr>
    </w:div>
    <w:div w:id="1355884591">
      <w:bodyDiv w:val="1"/>
      <w:marLeft w:val="0"/>
      <w:marRight w:val="0"/>
      <w:marTop w:val="0"/>
      <w:marBottom w:val="0"/>
      <w:divBdr>
        <w:top w:val="none" w:sz="0" w:space="0" w:color="auto"/>
        <w:left w:val="none" w:sz="0" w:space="0" w:color="auto"/>
        <w:bottom w:val="none" w:sz="0" w:space="0" w:color="auto"/>
        <w:right w:val="none" w:sz="0" w:space="0" w:color="auto"/>
      </w:divBdr>
    </w:div>
    <w:div w:id="1356076915">
      <w:bodyDiv w:val="1"/>
      <w:marLeft w:val="0"/>
      <w:marRight w:val="0"/>
      <w:marTop w:val="0"/>
      <w:marBottom w:val="0"/>
      <w:divBdr>
        <w:top w:val="none" w:sz="0" w:space="0" w:color="auto"/>
        <w:left w:val="none" w:sz="0" w:space="0" w:color="auto"/>
        <w:bottom w:val="none" w:sz="0" w:space="0" w:color="auto"/>
        <w:right w:val="none" w:sz="0" w:space="0" w:color="auto"/>
      </w:divBdr>
    </w:div>
    <w:div w:id="1356077028">
      <w:bodyDiv w:val="1"/>
      <w:marLeft w:val="0"/>
      <w:marRight w:val="0"/>
      <w:marTop w:val="0"/>
      <w:marBottom w:val="0"/>
      <w:divBdr>
        <w:top w:val="none" w:sz="0" w:space="0" w:color="auto"/>
        <w:left w:val="none" w:sz="0" w:space="0" w:color="auto"/>
        <w:bottom w:val="none" w:sz="0" w:space="0" w:color="auto"/>
        <w:right w:val="none" w:sz="0" w:space="0" w:color="auto"/>
      </w:divBdr>
    </w:div>
    <w:div w:id="1356226387">
      <w:bodyDiv w:val="1"/>
      <w:marLeft w:val="0"/>
      <w:marRight w:val="0"/>
      <w:marTop w:val="0"/>
      <w:marBottom w:val="0"/>
      <w:divBdr>
        <w:top w:val="none" w:sz="0" w:space="0" w:color="auto"/>
        <w:left w:val="none" w:sz="0" w:space="0" w:color="auto"/>
        <w:bottom w:val="none" w:sz="0" w:space="0" w:color="auto"/>
        <w:right w:val="none" w:sz="0" w:space="0" w:color="auto"/>
      </w:divBdr>
    </w:div>
    <w:div w:id="1356273691">
      <w:bodyDiv w:val="1"/>
      <w:marLeft w:val="0"/>
      <w:marRight w:val="0"/>
      <w:marTop w:val="0"/>
      <w:marBottom w:val="0"/>
      <w:divBdr>
        <w:top w:val="none" w:sz="0" w:space="0" w:color="auto"/>
        <w:left w:val="none" w:sz="0" w:space="0" w:color="auto"/>
        <w:bottom w:val="none" w:sz="0" w:space="0" w:color="auto"/>
        <w:right w:val="none" w:sz="0" w:space="0" w:color="auto"/>
      </w:divBdr>
    </w:div>
    <w:div w:id="1356495756">
      <w:bodyDiv w:val="1"/>
      <w:marLeft w:val="0"/>
      <w:marRight w:val="0"/>
      <w:marTop w:val="0"/>
      <w:marBottom w:val="0"/>
      <w:divBdr>
        <w:top w:val="none" w:sz="0" w:space="0" w:color="auto"/>
        <w:left w:val="none" w:sz="0" w:space="0" w:color="auto"/>
        <w:bottom w:val="none" w:sz="0" w:space="0" w:color="auto"/>
        <w:right w:val="none" w:sz="0" w:space="0" w:color="auto"/>
      </w:divBdr>
    </w:div>
    <w:div w:id="1356539469">
      <w:bodyDiv w:val="1"/>
      <w:marLeft w:val="0"/>
      <w:marRight w:val="0"/>
      <w:marTop w:val="0"/>
      <w:marBottom w:val="0"/>
      <w:divBdr>
        <w:top w:val="none" w:sz="0" w:space="0" w:color="auto"/>
        <w:left w:val="none" w:sz="0" w:space="0" w:color="auto"/>
        <w:bottom w:val="none" w:sz="0" w:space="0" w:color="auto"/>
        <w:right w:val="none" w:sz="0" w:space="0" w:color="auto"/>
      </w:divBdr>
    </w:div>
    <w:div w:id="1356612344">
      <w:bodyDiv w:val="1"/>
      <w:marLeft w:val="0"/>
      <w:marRight w:val="0"/>
      <w:marTop w:val="0"/>
      <w:marBottom w:val="0"/>
      <w:divBdr>
        <w:top w:val="none" w:sz="0" w:space="0" w:color="auto"/>
        <w:left w:val="none" w:sz="0" w:space="0" w:color="auto"/>
        <w:bottom w:val="none" w:sz="0" w:space="0" w:color="auto"/>
        <w:right w:val="none" w:sz="0" w:space="0" w:color="auto"/>
      </w:divBdr>
    </w:div>
    <w:div w:id="1356619380">
      <w:bodyDiv w:val="1"/>
      <w:marLeft w:val="0"/>
      <w:marRight w:val="0"/>
      <w:marTop w:val="0"/>
      <w:marBottom w:val="0"/>
      <w:divBdr>
        <w:top w:val="none" w:sz="0" w:space="0" w:color="auto"/>
        <w:left w:val="none" w:sz="0" w:space="0" w:color="auto"/>
        <w:bottom w:val="none" w:sz="0" w:space="0" w:color="auto"/>
        <w:right w:val="none" w:sz="0" w:space="0" w:color="auto"/>
      </w:divBdr>
    </w:div>
    <w:div w:id="1356879665">
      <w:bodyDiv w:val="1"/>
      <w:marLeft w:val="0"/>
      <w:marRight w:val="0"/>
      <w:marTop w:val="0"/>
      <w:marBottom w:val="0"/>
      <w:divBdr>
        <w:top w:val="none" w:sz="0" w:space="0" w:color="auto"/>
        <w:left w:val="none" w:sz="0" w:space="0" w:color="auto"/>
        <w:bottom w:val="none" w:sz="0" w:space="0" w:color="auto"/>
        <w:right w:val="none" w:sz="0" w:space="0" w:color="auto"/>
      </w:divBdr>
    </w:div>
    <w:div w:id="1356887195">
      <w:bodyDiv w:val="1"/>
      <w:marLeft w:val="0"/>
      <w:marRight w:val="0"/>
      <w:marTop w:val="0"/>
      <w:marBottom w:val="0"/>
      <w:divBdr>
        <w:top w:val="none" w:sz="0" w:space="0" w:color="auto"/>
        <w:left w:val="none" w:sz="0" w:space="0" w:color="auto"/>
        <w:bottom w:val="none" w:sz="0" w:space="0" w:color="auto"/>
        <w:right w:val="none" w:sz="0" w:space="0" w:color="auto"/>
      </w:divBdr>
    </w:div>
    <w:div w:id="1357149978">
      <w:bodyDiv w:val="1"/>
      <w:marLeft w:val="0"/>
      <w:marRight w:val="0"/>
      <w:marTop w:val="0"/>
      <w:marBottom w:val="0"/>
      <w:divBdr>
        <w:top w:val="none" w:sz="0" w:space="0" w:color="auto"/>
        <w:left w:val="none" w:sz="0" w:space="0" w:color="auto"/>
        <w:bottom w:val="none" w:sz="0" w:space="0" w:color="auto"/>
        <w:right w:val="none" w:sz="0" w:space="0" w:color="auto"/>
      </w:divBdr>
    </w:div>
    <w:div w:id="1357151491">
      <w:bodyDiv w:val="1"/>
      <w:marLeft w:val="0"/>
      <w:marRight w:val="0"/>
      <w:marTop w:val="0"/>
      <w:marBottom w:val="0"/>
      <w:divBdr>
        <w:top w:val="none" w:sz="0" w:space="0" w:color="auto"/>
        <w:left w:val="none" w:sz="0" w:space="0" w:color="auto"/>
        <w:bottom w:val="none" w:sz="0" w:space="0" w:color="auto"/>
        <w:right w:val="none" w:sz="0" w:space="0" w:color="auto"/>
      </w:divBdr>
    </w:div>
    <w:div w:id="1357273149">
      <w:bodyDiv w:val="1"/>
      <w:marLeft w:val="0"/>
      <w:marRight w:val="0"/>
      <w:marTop w:val="0"/>
      <w:marBottom w:val="0"/>
      <w:divBdr>
        <w:top w:val="none" w:sz="0" w:space="0" w:color="auto"/>
        <w:left w:val="none" w:sz="0" w:space="0" w:color="auto"/>
        <w:bottom w:val="none" w:sz="0" w:space="0" w:color="auto"/>
        <w:right w:val="none" w:sz="0" w:space="0" w:color="auto"/>
      </w:divBdr>
    </w:div>
    <w:div w:id="1357460849">
      <w:bodyDiv w:val="1"/>
      <w:marLeft w:val="0"/>
      <w:marRight w:val="0"/>
      <w:marTop w:val="0"/>
      <w:marBottom w:val="0"/>
      <w:divBdr>
        <w:top w:val="none" w:sz="0" w:space="0" w:color="auto"/>
        <w:left w:val="none" w:sz="0" w:space="0" w:color="auto"/>
        <w:bottom w:val="none" w:sz="0" w:space="0" w:color="auto"/>
        <w:right w:val="none" w:sz="0" w:space="0" w:color="auto"/>
      </w:divBdr>
    </w:div>
    <w:div w:id="1358119368">
      <w:bodyDiv w:val="1"/>
      <w:marLeft w:val="0"/>
      <w:marRight w:val="0"/>
      <w:marTop w:val="0"/>
      <w:marBottom w:val="0"/>
      <w:divBdr>
        <w:top w:val="none" w:sz="0" w:space="0" w:color="auto"/>
        <w:left w:val="none" w:sz="0" w:space="0" w:color="auto"/>
        <w:bottom w:val="none" w:sz="0" w:space="0" w:color="auto"/>
        <w:right w:val="none" w:sz="0" w:space="0" w:color="auto"/>
      </w:divBdr>
    </w:div>
    <w:div w:id="1358433141">
      <w:bodyDiv w:val="1"/>
      <w:marLeft w:val="0"/>
      <w:marRight w:val="0"/>
      <w:marTop w:val="0"/>
      <w:marBottom w:val="0"/>
      <w:divBdr>
        <w:top w:val="none" w:sz="0" w:space="0" w:color="auto"/>
        <w:left w:val="none" w:sz="0" w:space="0" w:color="auto"/>
        <w:bottom w:val="none" w:sz="0" w:space="0" w:color="auto"/>
        <w:right w:val="none" w:sz="0" w:space="0" w:color="auto"/>
      </w:divBdr>
    </w:div>
    <w:div w:id="1358435208">
      <w:bodyDiv w:val="1"/>
      <w:marLeft w:val="0"/>
      <w:marRight w:val="0"/>
      <w:marTop w:val="0"/>
      <w:marBottom w:val="0"/>
      <w:divBdr>
        <w:top w:val="none" w:sz="0" w:space="0" w:color="auto"/>
        <w:left w:val="none" w:sz="0" w:space="0" w:color="auto"/>
        <w:bottom w:val="none" w:sz="0" w:space="0" w:color="auto"/>
        <w:right w:val="none" w:sz="0" w:space="0" w:color="auto"/>
      </w:divBdr>
    </w:div>
    <w:div w:id="1358576339">
      <w:bodyDiv w:val="1"/>
      <w:marLeft w:val="0"/>
      <w:marRight w:val="0"/>
      <w:marTop w:val="0"/>
      <w:marBottom w:val="0"/>
      <w:divBdr>
        <w:top w:val="none" w:sz="0" w:space="0" w:color="auto"/>
        <w:left w:val="none" w:sz="0" w:space="0" w:color="auto"/>
        <w:bottom w:val="none" w:sz="0" w:space="0" w:color="auto"/>
        <w:right w:val="none" w:sz="0" w:space="0" w:color="auto"/>
      </w:divBdr>
    </w:div>
    <w:div w:id="1358848843">
      <w:bodyDiv w:val="1"/>
      <w:marLeft w:val="0"/>
      <w:marRight w:val="0"/>
      <w:marTop w:val="0"/>
      <w:marBottom w:val="0"/>
      <w:divBdr>
        <w:top w:val="none" w:sz="0" w:space="0" w:color="auto"/>
        <w:left w:val="none" w:sz="0" w:space="0" w:color="auto"/>
        <w:bottom w:val="none" w:sz="0" w:space="0" w:color="auto"/>
        <w:right w:val="none" w:sz="0" w:space="0" w:color="auto"/>
      </w:divBdr>
    </w:div>
    <w:div w:id="1359040461">
      <w:bodyDiv w:val="1"/>
      <w:marLeft w:val="0"/>
      <w:marRight w:val="0"/>
      <w:marTop w:val="0"/>
      <w:marBottom w:val="0"/>
      <w:divBdr>
        <w:top w:val="none" w:sz="0" w:space="0" w:color="auto"/>
        <w:left w:val="none" w:sz="0" w:space="0" w:color="auto"/>
        <w:bottom w:val="none" w:sz="0" w:space="0" w:color="auto"/>
        <w:right w:val="none" w:sz="0" w:space="0" w:color="auto"/>
      </w:divBdr>
    </w:div>
    <w:div w:id="1359089559">
      <w:bodyDiv w:val="1"/>
      <w:marLeft w:val="0"/>
      <w:marRight w:val="0"/>
      <w:marTop w:val="0"/>
      <w:marBottom w:val="0"/>
      <w:divBdr>
        <w:top w:val="none" w:sz="0" w:space="0" w:color="auto"/>
        <w:left w:val="none" w:sz="0" w:space="0" w:color="auto"/>
        <w:bottom w:val="none" w:sz="0" w:space="0" w:color="auto"/>
        <w:right w:val="none" w:sz="0" w:space="0" w:color="auto"/>
      </w:divBdr>
    </w:div>
    <w:div w:id="1359283378">
      <w:bodyDiv w:val="1"/>
      <w:marLeft w:val="0"/>
      <w:marRight w:val="0"/>
      <w:marTop w:val="0"/>
      <w:marBottom w:val="0"/>
      <w:divBdr>
        <w:top w:val="none" w:sz="0" w:space="0" w:color="auto"/>
        <w:left w:val="none" w:sz="0" w:space="0" w:color="auto"/>
        <w:bottom w:val="none" w:sz="0" w:space="0" w:color="auto"/>
        <w:right w:val="none" w:sz="0" w:space="0" w:color="auto"/>
      </w:divBdr>
    </w:div>
    <w:div w:id="1359352758">
      <w:bodyDiv w:val="1"/>
      <w:marLeft w:val="0"/>
      <w:marRight w:val="0"/>
      <w:marTop w:val="0"/>
      <w:marBottom w:val="0"/>
      <w:divBdr>
        <w:top w:val="none" w:sz="0" w:space="0" w:color="auto"/>
        <w:left w:val="none" w:sz="0" w:space="0" w:color="auto"/>
        <w:bottom w:val="none" w:sz="0" w:space="0" w:color="auto"/>
        <w:right w:val="none" w:sz="0" w:space="0" w:color="auto"/>
      </w:divBdr>
    </w:div>
    <w:div w:id="1359547561">
      <w:bodyDiv w:val="1"/>
      <w:marLeft w:val="0"/>
      <w:marRight w:val="0"/>
      <w:marTop w:val="0"/>
      <w:marBottom w:val="0"/>
      <w:divBdr>
        <w:top w:val="none" w:sz="0" w:space="0" w:color="auto"/>
        <w:left w:val="none" w:sz="0" w:space="0" w:color="auto"/>
        <w:bottom w:val="none" w:sz="0" w:space="0" w:color="auto"/>
        <w:right w:val="none" w:sz="0" w:space="0" w:color="auto"/>
      </w:divBdr>
    </w:div>
    <w:div w:id="1359548848">
      <w:bodyDiv w:val="1"/>
      <w:marLeft w:val="0"/>
      <w:marRight w:val="0"/>
      <w:marTop w:val="0"/>
      <w:marBottom w:val="0"/>
      <w:divBdr>
        <w:top w:val="none" w:sz="0" w:space="0" w:color="auto"/>
        <w:left w:val="none" w:sz="0" w:space="0" w:color="auto"/>
        <w:bottom w:val="none" w:sz="0" w:space="0" w:color="auto"/>
        <w:right w:val="none" w:sz="0" w:space="0" w:color="auto"/>
      </w:divBdr>
    </w:div>
    <w:div w:id="1359820330">
      <w:bodyDiv w:val="1"/>
      <w:marLeft w:val="0"/>
      <w:marRight w:val="0"/>
      <w:marTop w:val="0"/>
      <w:marBottom w:val="0"/>
      <w:divBdr>
        <w:top w:val="none" w:sz="0" w:space="0" w:color="auto"/>
        <w:left w:val="none" w:sz="0" w:space="0" w:color="auto"/>
        <w:bottom w:val="none" w:sz="0" w:space="0" w:color="auto"/>
        <w:right w:val="none" w:sz="0" w:space="0" w:color="auto"/>
      </w:divBdr>
    </w:div>
    <w:div w:id="1360205725">
      <w:bodyDiv w:val="1"/>
      <w:marLeft w:val="0"/>
      <w:marRight w:val="0"/>
      <w:marTop w:val="0"/>
      <w:marBottom w:val="0"/>
      <w:divBdr>
        <w:top w:val="none" w:sz="0" w:space="0" w:color="auto"/>
        <w:left w:val="none" w:sz="0" w:space="0" w:color="auto"/>
        <w:bottom w:val="none" w:sz="0" w:space="0" w:color="auto"/>
        <w:right w:val="none" w:sz="0" w:space="0" w:color="auto"/>
      </w:divBdr>
    </w:div>
    <w:div w:id="1360351932">
      <w:bodyDiv w:val="1"/>
      <w:marLeft w:val="0"/>
      <w:marRight w:val="0"/>
      <w:marTop w:val="0"/>
      <w:marBottom w:val="0"/>
      <w:divBdr>
        <w:top w:val="none" w:sz="0" w:space="0" w:color="auto"/>
        <w:left w:val="none" w:sz="0" w:space="0" w:color="auto"/>
        <w:bottom w:val="none" w:sz="0" w:space="0" w:color="auto"/>
        <w:right w:val="none" w:sz="0" w:space="0" w:color="auto"/>
      </w:divBdr>
    </w:div>
    <w:div w:id="1360551337">
      <w:bodyDiv w:val="1"/>
      <w:marLeft w:val="0"/>
      <w:marRight w:val="0"/>
      <w:marTop w:val="0"/>
      <w:marBottom w:val="0"/>
      <w:divBdr>
        <w:top w:val="none" w:sz="0" w:space="0" w:color="auto"/>
        <w:left w:val="none" w:sz="0" w:space="0" w:color="auto"/>
        <w:bottom w:val="none" w:sz="0" w:space="0" w:color="auto"/>
        <w:right w:val="none" w:sz="0" w:space="0" w:color="auto"/>
      </w:divBdr>
    </w:div>
    <w:div w:id="1360739661">
      <w:bodyDiv w:val="1"/>
      <w:marLeft w:val="0"/>
      <w:marRight w:val="0"/>
      <w:marTop w:val="0"/>
      <w:marBottom w:val="0"/>
      <w:divBdr>
        <w:top w:val="none" w:sz="0" w:space="0" w:color="auto"/>
        <w:left w:val="none" w:sz="0" w:space="0" w:color="auto"/>
        <w:bottom w:val="none" w:sz="0" w:space="0" w:color="auto"/>
        <w:right w:val="none" w:sz="0" w:space="0" w:color="auto"/>
      </w:divBdr>
    </w:div>
    <w:div w:id="1361279321">
      <w:bodyDiv w:val="1"/>
      <w:marLeft w:val="0"/>
      <w:marRight w:val="0"/>
      <w:marTop w:val="0"/>
      <w:marBottom w:val="0"/>
      <w:divBdr>
        <w:top w:val="none" w:sz="0" w:space="0" w:color="auto"/>
        <w:left w:val="none" w:sz="0" w:space="0" w:color="auto"/>
        <w:bottom w:val="none" w:sz="0" w:space="0" w:color="auto"/>
        <w:right w:val="none" w:sz="0" w:space="0" w:color="auto"/>
      </w:divBdr>
    </w:div>
    <w:div w:id="1361469283">
      <w:bodyDiv w:val="1"/>
      <w:marLeft w:val="0"/>
      <w:marRight w:val="0"/>
      <w:marTop w:val="0"/>
      <w:marBottom w:val="0"/>
      <w:divBdr>
        <w:top w:val="none" w:sz="0" w:space="0" w:color="auto"/>
        <w:left w:val="none" w:sz="0" w:space="0" w:color="auto"/>
        <w:bottom w:val="none" w:sz="0" w:space="0" w:color="auto"/>
        <w:right w:val="none" w:sz="0" w:space="0" w:color="auto"/>
      </w:divBdr>
    </w:div>
    <w:div w:id="1361512594">
      <w:bodyDiv w:val="1"/>
      <w:marLeft w:val="0"/>
      <w:marRight w:val="0"/>
      <w:marTop w:val="0"/>
      <w:marBottom w:val="0"/>
      <w:divBdr>
        <w:top w:val="none" w:sz="0" w:space="0" w:color="auto"/>
        <w:left w:val="none" w:sz="0" w:space="0" w:color="auto"/>
        <w:bottom w:val="none" w:sz="0" w:space="0" w:color="auto"/>
        <w:right w:val="none" w:sz="0" w:space="0" w:color="auto"/>
      </w:divBdr>
    </w:div>
    <w:div w:id="1361586005">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046518">
      <w:bodyDiv w:val="1"/>
      <w:marLeft w:val="0"/>
      <w:marRight w:val="0"/>
      <w:marTop w:val="0"/>
      <w:marBottom w:val="0"/>
      <w:divBdr>
        <w:top w:val="none" w:sz="0" w:space="0" w:color="auto"/>
        <w:left w:val="none" w:sz="0" w:space="0" w:color="auto"/>
        <w:bottom w:val="none" w:sz="0" w:space="0" w:color="auto"/>
        <w:right w:val="none" w:sz="0" w:space="0" w:color="auto"/>
      </w:divBdr>
    </w:div>
    <w:div w:id="1362127837">
      <w:bodyDiv w:val="1"/>
      <w:marLeft w:val="0"/>
      <w:marRight w:val="0"/>
      <w:marTop w:val="0"/>
      <w:marBottom w:val="0"/>
      <w:divBdr>
        <w:top w:val="none" w:sz="0" w:space="0" w:color="auto"/>
        <w:left w:val="none" w:sz="0" w:space="0" w:color="auto"/>
        <w:bottom w:val="none" w:sz="0" w:space="0" w:color="auto"/>
        <w:right w:val="none" w:sz="0" w:space="0" w:color="auto"/>
      </w:divBdr>
    </w:div>
    <w:div w:id="1362390079">
      <w:bodyDiv w:val="1"/>
      <w:marLeft w:val="0"/>
      <w:marRight w:val="0"/>
      <w:marTop w:val="0"/>
      <w:marBottom w:val="0"/>
      <w:divBdr>
        <w:top w:val="none" w:sz="0" w:space="0" w:color="auto"/>
        <w:left w:val="none" w:sz="0" w:space="0" w:color="auto"/>
        <w:bottom w:val="none" w:sz="0" w:space="0" w:color="auto"/>
        <w:right w:val="none" w:sz="0" w:space="0" w:color="auto"/>
      </w:divBdr>
    </w:div>
    <w:div w:id="1362439852">
      <w:bodyDiv w:val="1"/>
      <w:marLeft w:val="0"/>
      <w:marRight w:val="0"/>
      <w:marTop w:val="0"/>
      <w:marBottom w:val="0"/>
      <w:divBdr>
        <w:top w:val="none" w:sz="0" w:space="0" w:color="auto"/>
        <w:left w:val="none" w:sz="0" w:space="0" w:color="auto"/>
        <w:bottom w:val="none" w:sz="0" w:space="0" w:color="auto"/>
        <w:right w:val="none" w:sz="0" w:space="0" w:color="auto"/>
      </w:divBdr>
    </w:div>
    <w:div w:id="1362508065">
      <w:bodyDiv w:val="1"/>
      <w:marLeft w:val="0"/>
      <w:marRight w:val="0"/>
      <w:marTop w:val="0"/>
      <w:marBottom w:val="0"/>
      <w:divBdr>
        <w:top w:val="none" w:sz="0" w:space="0" w:color="auto"/>
        <w:left w:val="none" w:sz="0" w:space="0" w:color="auto"/>
        <w:bottom w:val="none" w:sz="0" w:space="0" w:color="auto"/>
        <w:right w:val="none" w:sz="0" w:space="0" w:color="auto"/>
      </w:divBdr>
    </w:div>
    <w:div w:id="1362630928">
      <w:bodyDiv w:val="1"/>
      <w:marLeft w:val="0"/>
      <w:marRight w:val="0"/>
      <w:marTop w:val="0"/>
      <w:marBottom w:val="0"/>
      <w:divBdr>
        <w:top w:val="none" w:sz="0" w:space="0" w:color="auto"/>
        <w:left w:val="none" w:sz="0" w:space="0" w:color="auto"/>
        <w:bottom w:val="none" w:sz="0" w:space="0" w:color="auto"/>
        <w:right w:val="none" w:sz="0" w:space="0" w:color="auto"/>
      </w:divBdr>
    </w:div>
    <w:div w:id="1362786063">
      <w:bodyDiv w:val="1"/>
      <w:marLeft w:val="0"/>
      <w:marRight w:val="0"/>
      <w:marTop w:val="0"/>
      <w:marBottom w:val="0"/>
      <w:divBdr>
        <w:top w:val="none" w:sz="0" w:space="0" w:color="auto"/>
        <w:left w:val="none" w:sz="0" w:space="0" w:color="auto"/>
        <w:bottom w:val="none" w:sz="0" w:space="0" w:color="auto"/>
        <w:right w:val="none" w:sz="0" w:space="0" w:color="auto"/>
      </w:divBdr>
    </w:div>
    <w:div w:id="1363170489">
      <w:bodyDiv w:val="1"/>
      <w:marLeft w:val="0"/>
      <w:marRight w:val="0"/>
      <w:marTop w:val="0"/>
      <w:marBottom w:val="0"/>
      <w:divBdr>
        <w:top w:val="none" w:sz="0" w:space="0" w:color="auto"/>
        <w:left w:val="none" w:sz="0" w:space="0" w:color="auto"/>
        <w:bottom w:val="none" w:sz="0" w:space="0" w:color="auto"/>
        <w:right w:val="none" w:sz="0" w:space="0" w:color="auto"/>
      </w:divBdr>
    </w:div>
    <w:div w:id="1363359478">
      <w:bodyDiv w:val="1"/>
      <w:marLeft w:val="0"/>
      <w:marRight w:val="0"/>
      <w:marTop w:val="0"/>
      <w:marBottom w:val="0"/>
      <w:divBdr>
        <w:top w:val="none" w:sz="0" w:space="0" w:color="auto"/>
        <w:left w:val="none" w:sz="0" w:space="0" w:color="auto"/>
        <w:bottom w:val="none" w:sz="0" w:space="0" w:color="auto"/>
        <w:right w:val="none" w:sz="0" w:space="0" w:color="auto"/>
      </w:divBdr>
    </w:div>
    <w:div w:id="1363437817">
      <w:bodyDiv w:val="1"/>
      <w:marLeft w:val="0"/>
      <w:marRight w:val="0"/>
      <w:marTop w:val="0"/>
      <w:marBottom w:val="0"/>
      <w:divBdr>
        <w:top w:val="none" w:sz="0" w:space="0" w:color="auto"/>
        <w:left w:val="none" w:sz="0" w:space="0" w:color="auto"/>
        <w:bottom w:val="none" w:sz="0" w:space="0" w:color="auto"/>
        <w:right w:val="none" w:sz="0" w:space="0" w:color="auto"/>
      </w:divBdr>
    </w:div>
    <w:div w:id="1363481498">
      <w:bodyDiv w:val="1"/>
      <w:marLeft w:val="0"/>
      <w:marRight w:val="0"/>
      <w:marTop w:val="0"/>
      <w:marBottom w:val="0"/>
      <w:divBdr>
        <w:top w:val="none" w:sz="0" w:space="0" w:color="auto"/>
        <w:left w:val="none" w:sz="0" w:space="0" w:color="auto"/>
        <w:bottom w:val="none" w:sz="0" w:space="0" w:color="auto"/>
        <w:right w:val="none" w:sz="0" w:space="0" w:color="auto"/>
      </w:divBdr>
    </w:div>
    <w:div w:id="1363550414">
      <w:bodyDiv w:val="1"/>
      <w:marLeft w:val="0"/>
      <w:marRight w:val="0"/>
      <w:marTop w:val="0"/>
      <w:marBottom w:val="0"/>
      <w:divBdr>
        <w:top w:val="none" w:sz="0" w:space="0" w:color="auto"/>
        <w:left w:val="none" w:sz="0" w:space="0" w:color="auto"/>
        <w:bottom w:val="none" w:sz="0" w:space="0" w:color="auto"/>
        <w:right w:val="none" w:sz="0" w:space="0" w:color="auto"/>
      </w:divBdr>
    </w:div>
    <w:div w:id="1363939621">
      <w:bodyDiv w:val="1"/>
      <w:marLeft w:val="0"/>
      <w:marRight w:val="0"/>
      <w:marTop w:val="0"/>
      <w:marBottom w:val="0"/>
      <w:divBdr>
        <w:top w:val="none" w:sz="0" w:space="0" w:color="auto"/>
        <w:left w:val="none" w:sz="0" w:space="0" w:color="auto"/>
        <w:bottom w:val="none" w:sz="0" w:space="0" w:color="auto"/>
        <w:right w:val="none" w:sz="0" w:space="0" w:color="auto"/>
      </w:divBdr>
    </w:div>
    <w:div w:id="1364204940">
      <w:bodyDiv w:val="1"/>
      <w:marLeft w:val="0"/>
      <w:marRight w:val="0"/>
      <w:marTop w:val="0"/>
      <w:marBottom w:val="0"/>
      <w:divBdr>
        <w:top w:val="none" w:sz="0" w:space="0" w:color="auto"/>
        <w:left w:val="none" w:sz="0" w:space="0" w:color="auto"/>
        <w:bottom w:val="none" w:sz="0" w:space="0" w:color="auto"/>
        <w:right w:val="none" w:sz="0" w:space="0" w:color="auto"/>
      </w:divBdr>
    </w:div>
    <w:div w:id="1364360424">
      <w:bodyDiv w:val="1"/>
      <w:marLeft w:val="0"/>
      <w:marRight w:val="0"/>
      <w:marTop w:val="0"/>
      <w:marBottom w:val="0"/>
      <w:divBdr>
        <w:top w:val="none" w:sz="0" w:space="0" w:color="auto"/>
        <w:left w:val="none" w:sz="0" w:space="0" w:color="auto"/>
        <w:bottom w:val="none" w:sz="0" w:space="0" w:color="auto"/>
        <w:right w:val="none" w:sz="0" w:space="0" w:color="auto"/>
      </w:divBdr>
    </w:div>
    <w:div w:id="1364399103">
      <w:bodyDiv w:val="1"/>
      <w:marLeft w:val="0"/>
      <w:marRight w:val="0"/>
      <w:marTop w:val="0"/>
      <w:marBottom w:val="0"/>
      <w:divBdr>
        <w:top w:val="none" w:sz="0" w:space="0" w:color="auto"/>
        <w:left w:val="none" w:sz="0" w:space="0" w:color="auto"/>
        <w:bottom w:val="none" w:sz="0" w:space="0" w:color="auto"/>
        <w:right w:val="none" w:sz="0" w:space="0" w:color="auto"/>
      </w:divBdr>
    </w:div>
    <w:div w:id="1364480339">
      <w:bodyDiv w:val="1"/>
      <w:marLeft w:val="0"/>
      <w:marRight w:val="0"/>
      <w:marTop w:val="0"/>
      <w:marBottom w:val="0"/>
      <w:divBdr>
        <w:top w:val="none" w:sz="0" w:space="0" w:color="auto"/>
        <w:left w:val="none" w:sz="0" w:space="0" w:color="auto"/>
        <w:bottom w:val="none" w:sz="0" w:space="0" w:color="auto"/>
        <w:right w:val="none" w:sz="0" w:space="0" w:color="auto"/>
      </w:divBdr>
    </w:div>
    <w:div w:id="1364480646">
      <w:bodyDiv w:val="1"/>
      <w:marLeft w:val="0"/>
      <w:marRight w:val="0"/>
      <w:marTop w:val="0"/>
      <w:marBottom w:val="0"/>
      <w:divBdr>
        <w:top w:val="none" w:sz="0" w:space="0" w:color="auto"/>
        <w:left w:val="none" w:sz="0" w:space="0" w:color="auto"/>
        <w:bottom w:val="none" w:sz="0" w:space="0" w:color="auto"/>
        <w:right w:val="none" w:sz="0" w:space="0" w:color="auto"/>
      </w:divBdr>
    </w:div>
    <w:div w:id="1364669465">
      <w:bodyDiv w:val="1"/>
      <w:marLeft w:val="0"/>
      <w:marRight w:val="0"/>
      <w:marTop w:val="0"/>
      <w:marBottom w:val="0"/>
      <w:divBdr>
        <w:top w:val="none" w:sz="0" w:space="0" w:color="auto"/>
        <w:left w:val="none" w:sz="0" w:space="0" w:color="auto"/>
        <w:bottom w:val="none" w:sz="0" w:space="0" w:color="auto"/>
        <w:right w:val="none" w:sz="0" w:space="0" w:color="auto"/>
      </w:divBdr>
    </w:div>
    <w:div w:id="1364676655">
      <w:bodyDiv w:val="1"/>
      <w:marLeft w:val="0"/>
      <w:marRight w:val="0"/>
      <w:marTop w:val="0"/>
      <w:marBottom w:val="0"/>
      <w:divBdr>
        <w:top w:val="none" w:sz="0" w:space="0" w:color="auto"/>
        <w:left w:val="none" w:sz="0" w:space="0" w:color="auto"/>
        <w:bottom w:val="none" w:sz="0" w:space="0" w:color="auto"/>
        <w:right w:val="none" w:sz="0" w:space="0" w:color="auto"/>
      </w:divBdr>
    </w:div>
    <w:div w:id="1364984145">
      <w:bodyDiv w:val="1"/>
      <w:marLeft w:val="0"/>
      <w:marRight w:val="0"/>
      <w:marTop w:val="0"/>
      <w:marBottom w:val="0"/>
      <w:divBdr>
        <w:top w:val="none" w:sz="0" w:space="0" w:color="auto"/>
        <w:left w:val="none" w:sz="0" w:space="0" w:color="auto"/>
        <w:bottom w:val="none" w:sz="0" w:space="0" w:color="auto"/>
        <w:right w:val="none" w:sz="0" w:space="0" w:color="auto"/>
      </w:divBdr>
    </w:div>
    <w:div w:id="1364984831">
      <w:bodyDiv w:val="1"/>
      <w:marLeft w:val="0"/>
      <w:marRight w:val="0"/>
      <w:marTop w:val="0"/>
      <w:marBottom w:val="0"/>
      <w:divBdr>
        <w:top w:val="none" w:sz="0" w:space="0" w:color="auto"/>
        <w:left w:val="none" w:sz="0" w:space="0" w:color="auto"/>
        <w:bottom w:val="none" w:sz="0" w:space="0" w:color="auto"/>
        <w:right w:val="none" w:sz="0" w:space="0" w:color="auto"/>
      </w:divBdr>
    </w:div>
    <w:div w:id="1365057826">
      <w:bodyDiv w:val="1"/>
      <w:marLeft w:val="0"/>
      <w:marRight w:val="0"/>
      <w:marTop w:val="0"/>
      <w:marBottom w:val="0"/>
      <w:divBdr>
        <w:top w:val="none" w:sz="0" w:space="0" w:color="auto"/>
        <w:left w:val="none" w:sz="0" w:space="0" w:color="auto"/>
        <w:bottom w:val="none" w:sz="0" w:space="0" w:color="auto"/>
        <w:right w:val="none" w:sz="0" w:space="0" w:color="auto"/>
      </w:divBdr>
    </w:div>
    <w:div w:id="1365401505">
      <w:bodyDiv w:val="1"/>
      <w:marLeft w:val="0"/>
      <w:marRight w:val="0"/>
      <w:marTop w:val="0"/>
      <w:marBottom w:val="0"/>
      <w:divBdr>
        <w:top w:val="none" w:sz="0" w:space="0" w:color="auto"/>
        <w:left w:val="none" w:sz="0" w:space="0" w:color="auto"/>
        <w:bottom w:val="none" w:sz="0" w:space="0" w:color="auto"/>
        <w:right w:val="none" w:sz="0" w:space="0" w:color="auto"/>
      </w:divBdr>
    </w:div>
    <w:div w:id="1365448567">
      <w:bodyDiv w:val="1"/>
      <w:marLeft w:val="0"/>
      <w:marRight w:val="0"/>
      <w:marTop w:val="0"/>
      <w:marBottom w:val="0"/>
      <w:divBdr>
        <w:top w:val="none" w:sz="0" w:space="0" w:color="auto"/>
        <w:left w:val="none" w:sz="0" w:space="0" w:color="auto"/>
        <w:bottom w:val="none" w:sz="0" w:space="0" w:color="auto"/>
        <w:right w:val="none" w:sz="0" w:space="0" w:color="auto"/>
      </w:divBdr>
    </w:div>
    <w:div w:id="1365594772">
      <w:bodyDiv w:val="1"/>
      <w:marLeft w:val="0"/>
      <w:marRight w:val="0"/>
      <w:marTop w:val="0"/>
      <w:marBottom w:val="0"/>
      <w:divBdr>
        <w:top w:val="none" w:sz="0" w:space="0" w:color="auto"/>
        <w:left w:val="none" w:sz="0" w:space="0" w:color="auto"/>
        <w:bottom w:val="none" w:sz="0" w:space="0" w:color="auto"/>
        <w:right w:val="none" w:sz="0" w:space="0" w:color="auto"/>
      </w:divBdr>
    </w:div>
    <w:div w:id="1365909936">
      <w:bodyDiv w:val="1"/>
      <w:marLeft w:val="0"/>
      <w:marRight w:val="0"/>
      <w:marTop w:val="0"/>
      <w:marBottom w:val="0"/>
      <w:divBdr>
        <w:top w:val="none" w:sz="0" w:space="0" w:color="auto"/>
        <w:left w:val="none" w:sz="0" w:space="0" w:color="auto"/>
        <w:bottom w:val="none" w:sz="0" w:space="0" w:color="auto"/>
        <w:right w:val="none" w:sz="0" w:space="0" w:color="auto"/>
      </w:divBdr>
    </w:div>
    <w:div w:id="1365980335">
      <w:bodyDiv w:val="1"/>
      <w:marLeft w:val="0"/>
      <w:marRight w:val="0"/>
      <w:marTop w:val="0"/>
      <w:marBottom w:val="0"/>
      <w:divBdr>
        <w:top w:val="none" w:sz="0" w:space="0" w:color="auto"/>
        <w:left w:val="none" w:sz="0" w:space="0" w:color="auto"/>
        <w:bottom w:val="none" w:sz="0" w:space="0" w:color="auto"/>
        <w:right w:val="none" w:sz="0" w:space="0" w:color="auto"/>
      </w:divBdr>
    </w:div>
    <w:div w:id="1366130129">
      <w:bodyDiv w:val="1"/>
      <w:marLeft w:val="0"/>
      <w:marRight w:val="0"/>
      <w:marTop w:val="0"/>
      <w:marBottom w:val="0"/>
      <w:divBdr>
        <w:top w:val="none" w:sz="0" w:space="0" w:color="auto"/>
        <w:left w:val="none" w:sz="0" w:space="0" w:color="auto"/>
        <w:bottom w:val="none" w:sz="0" w:space="0" w:color="auto"/>
        <w:right w:val="none" w:sz="0" w:space="0" w:color="auto"/>
      </w:divBdr>
    </w:div>
    <w:div w:id="1366173560">
      <w:bodyDiv w:val="1"/>
      <w:marLeft w:val="0"/>
      <w:marRight w:val="0"/>
      <w:marTop w:val="0"/>
      <w:marBottom w:val="0"/>
      <w:divBdr>
        <w:top w:val="none" w:sz="0" w:space="0" w:color="auto"/>
        <w:left w:val="none" w:sz="0" w:space="0" w:color="auto"/>
        <w:bottom w:val="none" w:sz="0" w:space="0" w:color="auto"/>
        <w:right w:val="none" w:sz="0" w:space="0" w:color="auto"/>
      </w:divBdr>
    </w:div>
    <w:div w:id="1366252513">
      <w:bodyDiv w:val="1"/>
      <w:marLeft w:val="0"/>
      <w:marRight w:val="0"/>
      <w:marTop w:val="0"/>
      <w:marBottom w:val="0"/>
      <w:divBdr>
        <w:top w:val="none" w:sz="0" w:space="0" w:color="auto"/>
        <w:left w:val="none" w:sz="0" w:space="0" w:color="auto"/>
        <w:bottom w:val="none" w:sz="0" w:space="0" w:color="auto"/>
        <w:right w:val="none" w:sz="0" w:space="0" w:color="auto"/>
      </w:divBdr>
    </w:div>
    <w:div w:id="1366367190">
      <w:bodyDiv w:val="1"/>
      <w:marLeft w:val="0"/>
      <w:marRight w:val="0"/>
      <w:marTop w:val="0"/>
      <w:marBottom w:val="0"/>
      <w:divBdr>
        <w:top w:val="none" w:sz="0" w:space="0" w:color="auto"/>
        <w:left w:val="none" w:sz="0" w:space="0" w:color="auto"/>
        <w:bottom w:val="none" w:sz="0" w:space="0" w:color="auto"/>
        <w:right w:val="none" w:sz="0" w:space="0" w:color="auto"/>
      </w:divBdr>
    </w:div>
    <w:div w:id="1366634835">
      <w:bodyDiv w:val="1"/>
      <w:marLeft w:val="0"/>
      <w:marRight w:val="0"/>
      <w:marTop w:val="0"/>
      <w:marBottom w:val="0"/>
      <w:divBdr>
        <w:top w:val="none" w:sz="0" w:space="0" w:color="auto"/>
        <w:left w:val="none" w:sz="0" w:space="0" w:color="auto"/>
        <w:bottom w:val="none" w:sz="0" w:space="0" w:color="auto"/>
        <w:right w:val="none" w:sz="0" w:space="0" w:color="auto"/>
      </w:divBdr>
    </w:div>
    <w:div w:id="1366636980">
      <w:bodyDiv w:val="1"/>
      <w:marLeft w:val="0"/>
      <w:marRight w:val="0"/>
      <w:marTop w:val="0"/>
      <w:marBottom w:val="0"/>
      <w:divBdr>
        <w:top w:val="none" w:sz="0" w:space="0" w:color="auto"/>
        <w:left w:val="none" w:sz="0" w:space="0" w:color="auto"/>
        <w:bottom w:val="none" w:sz="0" w:space="0" w:color="auto"/>
        <w:right w:val="none" w:sz="0" w:space="0" w:color="auto"/>
      </w:divBdr>
    </w:div>
    <w:div w:id="1366759033">
      <w:bodyDiv w:val="1"/>
      <w:marLeft w:val="0"/>
      <w:marRight w:val="0"/>
      <w:marTop w:val="0"/>
      <w:marBottom w:val="0"/>
      <w:divBdr>
        <w:top w:val="none" w:sz="0" w:space="0" w:color="auto"/>
        <w:left w:val="none" w:sz="0" w:space="0" w:color="auto"/>
        <w:bottom w:val="none" w:sz="0" w:space="0" w:color="auto"/>
        <w:right w:val="none" w:sz="0" w:space="0" w:color="auto"/>
      </w:divBdr>
    </w:div>
    <w:div w:id="1366826739">
      <w:bodyDiv w:val="1"/>
      <w:marLeft w:val="0"/>
      <w:marRight w:val="0"/>
      <w:marTop w:val="0"/>
      <w:marBottom w:val="0"/>
      <w:divBdr>
        <w:top w:val="none" w:sz="0" w:space="0" w:color="auto"/>
        <w:left w:val="none" w:sz="0" w:space="0" w:color="auto"/>
        <w:bottom w:val="none" w:sz="0" w:space="0" w:color="auto"/>
        <w:right w:val="none" w:sz="0" w:space="0" w:color="auto"/>
      </w:divBdr>
    </w:div>
    <w:div w:id="1367025661">
      <w:bodyDiv w:val="1"/>
      <w:marLeft w:val="0"/>
      <w:marRight w:val="0"/>
      <w:marTop w:val="0"/>
      <w:marBottom w:val="0"/>
      <w:divBdr>
        <w:top w:val="none" w:sz="0" w:space="0" w:color="auto"/>
        <w:left w:val="none" w:sz="0" w:space="0" w:color="auto"/>
        <w:bottom w:val="none" w:sz="0" w:space="0" w:color="auto"/>
        <w:right w:val="none" w:sz="0" w:space="0" w:color="auto"/>
      </w:divBdr>
    </w:div>
    <w:div w:id="1367025685">
      <w:bodyDiv w:val="1"/>
      <w:marLeft w:val="0"/>
      <w:marRight w:val="0"/>
      <w:marTop w:val="0"/>
      <w:marBottom w:val="0"/>
      <w:divBdr>
        <w:top w:val="none" w:sz="0" w:space="0" w:color="auto"/>
        <w:left w:val="none" w:sz="0" w:space="0" w:color="auto"/>
        <w:bottom w:val="none" w:sz="0" w:space="0" w:color="auto"/>
        <w:right w:val="none" w:sz="0" w:space="0" w:color="auto"/>
      </w:divBdr>
    </w:div>
    <w:div w:id="1367104301">
      <w:bodyDiv w:val="1"/>
      <w:marLeft w:val="0"/>
      <w:marRight w:val="0"/>
      <w:marTop w:val="0"/>
      <w:marBottom w:val="0"/>
      <w:divBdr>
        <w:top w:val="none" w:sz="0" w:space="0" w:color="auto"/>
        <w:left w:val="none" w:sz="0" w:space="0" w:color="auto"/>
        <w:bottom w:val="none" w:sz="0" w:space="0" w:color="auto"/>
        <w:right w:val="none" w:sz="0" w:space="0" w:color="auto"/>
      </w:divBdr>
    </w:div>
    <w:div w:id="1367172038">
      <w:bodyDiv w:val="1"/>
      <w:marLeft w:val="0"/>
      <w:marRight w:val="0"/>
      <w:marTop w:val="0"/>
      <w:marBottom w:val="0"/>
      <w:divBdr>
        <w:top w:val="none" w:sz="0" w:space="0" w:color="auto"/>
        <w:left w:val="none" w:sz="0" w:space="0" w:color="auto"/>
        <w:bottom w:val="none" w:sz="0" w:space="0" w:color="auto"/>
        <w:right w:val="none" w:sz="0" w:space="0" w:color="auto"/>
      </w:divBdr>
    </w:div>
    <w:div w:id="1367175333">
      <w:bodyDiv w:val="1"/>
      <w:marLeft w:val="0"/>
      <w:marRight w:val="0"/>
      <w:marTop w:val="0"/>
      <w:marBottom w:val="0"/>
      <w:divBdr>
        <w:top w:val="none" w:sz="0" w:space="0" w:color="auto"/>
        <w:left w:val="none" w:sz="0" w:space="0" w:color="auto"/>
        <w:bottom w:val="none" w:sz="0" w:space="0" w:color="auto"/>
        <w:right w:val="none" w:sz="0" w:space="0" w:color="auto"/>
      </w:divBdr>
    </w:div>
    <w:div w:id="1367369701">
      <w:bodyDiv w:val="1"/>
      <w:marLeft w:val="0"/>
      <w:marRight w:val="0"/>
      <w:marTop w:val="0"/>
      <w:marBottom w:val="0"/>
      <w:divBdr>
        <w:top w:val="none" w:sz="0" w:space="0" w:color="auto"/>
        <w:left w:val="none" w:sz="0" w:space="0" w:color="auto"/>
        <w:bottom w:val="none" w:sz="0" w:space="0" w:color="auto"/>
        <w:right w:val="none" w:sz="0" w:space="0" w:color="auto"/>
      </w:divBdr>
    </w:div>
    <w:div w:id="1368021397">
      <w:bodyDiv w:val="1"/>
      <w:marLeft w:val="0"/>
      <w:marRight w:val="0"/>
      <w:marTop w:val="0"/>
      <w:marBottom w:val="0"/>
      <w:divBdr>
        <w:top w:val="none" w:sz="0" w:space="0" w:color="auto"/>
        <w:left w:val="none" w:sz="0" w:space="0" w:color="auto"/>
        <w:bottom w:val="none" w:sz="0" w:space="0" w:color="auto"/>
        <w:right w:val="none" w:sz="0" w:space="0" w:color="auto"/>
      </w:divBdr>
    </w:div>
    <w:div w:id="1368025063">
      <w:bodyDiv w:val="1"/>
      <w:marLeft w:val="0"/>
      <w:marRight w:val="0"/>
      <w:marTop w:val="0"/>
      <w:marBottom w:val="0"/>
      <w:divBdr>
        <w:top w:val="none" w:sz="0" w:space="0" w:color="auto"/>
        <w:left w:val="none" w:sz="0" w:space="0" w:color="auto"/>
        <w:bottom w:val="none" w:sz="0" w:space="0" w:color="auto"/>
        <w:right w:val="none" w:sz="0" w:space="0" w:color="auto"/>
      </w:divBdr>
    </w:div>
    <w:div w:id="1368214653">
      <w:bodyDiv w:val="1"/>
      <w:marLeft w:val="0"/>
      <w:marRight w:val="0"/>
      <w:marTop w:val="0"/>
      <w:marBottom w:val="0"/>
      <w:divBdr>
        <w:top w:val="none" w:sz="0" w:space="0" w:color="auto"/>
        <w:left w:val="none" w:sz="0" w:space="0" w:color="auto"/>
        <w:bottom w:val="none" w:sz="0" w:space="0" w:color="auto"/>
        <w:right w:val="none" w:sz="0" w:space="0" w:color="auto"/>
      </w:divBdr>
    </w:div>
    <w:div w:id="1368262684">
      <w:bodyDiv w:val="1"/>
      <w:marLeft w:val="0"/>
      <w:marRight w:val="0"/>
      <w:marTop w:val="0"/>
      <w:marBottom w:val="0"/>
      <w:divBdr>
        <w:top w:val="none" w:sz="0" w:space="0" w:color="auto"/>
        <w:left w:val="none" w:sz="0" w:space="0" w:color="auto"/>
        <w:bottom w:val="none" w:sz="0" w:space="0" w:color="auto"/>
        <w:right w:val="none" w:sz="0" w:space="0" w:color="auto"/>
      </w:divBdr>
    </w:div>
    <w:div w:id="1368333678">
      <w:bodyDiv w:val="1"/>
      <w:marLeft w:val="0"/>
      <w:marRight w:val="0"/>
      <w:marTop w:val="0"/>
      <w:marBottom w:val="0"/>
      <w:divBdr>
        <w:top w:val="none" w:sz="0" w:space="0" w:color="auto"/>
        <w:left w:val="none" w:sz="0" w:space="0" w:color="auto"/>
        <w:bottom w:val="none" w:sz="0" w:space="0" w:color="auto"/>
        <w:right w:val="none" w:sz="0" w:space="0" w:color="auto"/>
      </w:divBdr>
    </w:div>
    <w:div w:id="1368529978">
      <w:bodyDiv w:val="1"/>
      <w:marLeft w:val="0"/>
      <w:marRight w:val="0"/>
      <w:marTop w:val="0"/>
      <w:marBottom w:val="0"/>
      <w:divBdr>
        <w:top w:val="none" w:sz="0" w:space="0" w:color="auto"/>
        <w:left w:val="none" w:sz="0" w:space="0" w:color="auto"/>
        <w:bottom w:val="none" w:sz="0" w:space="0" w:color="auto"/>
        <w:right w:val="none" w:sz="0" w:space="0" w:color="auto"/>
      </w:divBdr>
    </w:div>
    <w:div w:id="1368606318">
      <w:bodyDiv w:val="1"/>
      <w:marLeft w:val="0"/>
      <w:marRight w:val="0"/>
      <w:marTop w:val="0"/>
      <w:marBottom w:val="0"/>
      <w:divBdr>
        <w:top w:val="none" w:sz="0" w:space="0" w:color="auto"/>
        <w:left w:val="none" w:sz="0" w:space="0" w:color="auto"/>
        <w:bottom w:val="none" w:sz="0" w:space="0" w:color="auto"/>
        <w:right w:val="none" w:sz="0" w:space="0" w:color="auto"/>
      </w:divBdr>
    </w:div>
    <w:div w:id="1368676448">
      <w:bodyDiv w:val="1"/>
      <w:marLeft w:val="0"/>
      <w:marRight w:val="0"/>
      <w:marTop w:val="0"/>
      <w:marBottom w:val="0"/>
      <w:divBdr>
        <w:top w:val="none" w:sz="0" w:space="0" w:color="auto"/>
        <w:left w:val="none" w:sz="0" w:space="0" w:color="auto"/>
        <w:bottom w:val="none" w:sz="0" w:space="0" w:color="auto"/>
        <w:right w:val="none" w:sz="0" w:space="0" w:color="auto"/>
      </w:divBdr>
    </w:div>
    <w:div w:id="1368677737">
      <w:bodyDiv w:val="1"/>
      <w:marLeft w:val="0"/>
      <w:marRight w:val="0"/>
      <w:marTop w:val="0"/>
      <w:marBottom w:val="0"/>
      <w:divBdr>
        <w:top w:val="none" w:sz="0" w:space="0" w:color="auto"/>
        <w:left w:val="none" w:sz="0" w:space="0" w:color="auto"/>
        <w:bottom w:val="none" w:sz="0" w:space="0" w:color="auto"/>
        <w:right w:val="none" w:sz="0" w:space="0" w:color="auto"/>
      </w:divBdr>
    </w:div>
    <w:div w:id="1368799647">
      <w:bodyDiv w:val="1"/>
      <w:marLeft w:val="0"/>
      <w:marRight w:val="0"/>
      <w:marTop w:val="0"/>
      <w:marBottom w:val="0"/>
      <w:divBdr>
        <w:top w:val="none" w:sz="0" w:space="0" w:color="auto"/>
        <w:left w:val="none" w:sz="0" w:space="0" w:color="auto"/>
        <w:bottom w:val="none" w:sz="0" w:space="0" w:color="auto"/>
        <w:right w:val="none" w:sz="0" w:space="0" w:color="auto"/>
      </w:divBdr>
    </w:div>
    <w:div w:id="1368799942">
      <w:bodyDiv w:val="1"/>
      <w:marLeft w:val="0"/>
      <w:marRight w:val="0"/>
      <w:marTop w:val="0"/>
      <w:marBottom w:val="0"/>
      <w:divBdr>
        <w:top w:val="none" w:sz="0" w:space="0" w:color="auto"/>
        <w:left w:val="none" w:sz="0" w:space="0" w:color="auto"/>
        <w:bottom w:val="none" w:sz="0" w:space="0" w:color="auto"/>
        <w:right w:val="none" w:sz="0" w:space="0" w:color="auto"/>
      </w:divBdr>
    </w:div>
    <w:div w:id="1368918673">
      <w:bodyDiv w:val="1"/>
      <w:marLeft w:val="0"/>
      <w:marRight w:val="0"/>
      <w:marTop w:val="0"/>
      <w:marBottom w:val="0"/>
      <w:divBdr>
        <w:top w:val="none" w:sz="0" w:space="0" w:color="auto"/>
        <w:left w:val="none" w:sz="0" w:space="0" w:color="auto"/>
        <w:bottom w:val="none" w:sz="0" w:space="0" w:color="auto"/>
        <w:right w:val="none" w:sz="0" w:space="0" w:color="auto"/>
      </w:divBdr>
    </w:div>
    <w:div w:id="1368992487">
      <w:bodyDiv w:val="1"/>
      <w:marLeft w:val="0"/>
      <w:marRight w:val="0"/>
      <w:marTop w:val="0"/>
      <w:marBottom w:val="0"/>
      <w:divBdr>
        <w:top w:val="none" w:sz="0" w:space="0" w:color="auto"/>
        <w:left w:val="none" w:sz="0" w:space="0" w:color="auto"/>
        <w:bottom w:val="none" w:sz="0" w:space="0" w:color="auto"/>
        <w:right w:val="none" w:sz="0" w:space="0" w:color="auto"/>
      </w:divBdr>
    </w:div>
    <w:div w:id="1369184062">
      <w:bodyDiv w:val="1"/>
      <w:marLeft w:val="0"/>
      <w:marRight w:val="0"/>
      <w:marTop w:val="0"/>
      <w:marBottom w:val="0"/>
      <w:divBdr>
        <w:top w:val="none" w:sz="0" w:space="0" w:color="auto"/>
        <w:left w:val="none" w:sz="0" w:space="0" w:color="auto"/>
        <w:bottom w:val="none" w:sz="0" w:space="0" w:color="auto"/>
        <w:right w:val="none" w:sz="0" w:space="0" w:color="auto"/>
      </w:divBdr>
    </w:div>
    <w:div w:id="1369260036">
      <w:bodyDiv w:val="1"/>
      <w:marLeft w:val="0"/>
      <w:marRight w:val="0"/>
      <w:marTop w:val="0"/>
      <w:marBottom w:val="0"/>
      <w:divBdr>
        <w:top w:val="none" w:sz="0" w:space="0" w:color="auto"/>
        <w:left w:val="none" w:sz="0" w:space="0" w:color="auto"/>
        <w:bottom w:val="none" w:sz="0" w:space="0" w:color="auto"/>
        <w:right w:val="none" w:sz="0" w:space="0" w:color="auto"/>
      </w:divBdr>
    </w:div>
    <w:div w:id="1369378697">
      <w:bodyDiv w:val="1"/>
      <w:marLeft w:val="0"/>
      <w:marRight w:val="0"/>
      <w:marTop w:val="0"/>
      <w:marBottom w:val="0"/>
      <w:divBdr>
        <w:top w:val="none" w:sz="0" w:space="0" w:color="auto"/>
        <w:left w:val="none" w:sz="0" w:space="0" w:color="auto"/>
        <w:bottom w:val="none" w:sz="0" w:space="0" w:color="auto"/>
        <w:right w:val="none" w:sz="0" w:space="0" w:color="auto"/>
      </w:divBdr>
    </w:div>
    <w:div w:id="1369572676">
      <w:bodyDiv w:val="1"/>
      <w:marLeft w:val="0"/>
      <w:marRight w:val="0"/>
      <w:marTop w:val="0"/>
      <w:marBottom w:val="0"/>
      <w:divBdr>
        <w:top w:val="none" w:sz="0" w:space="0" w:color="auto"/>
        <w:left w:val="none" w:sz="0" w:space="0" w:color="auto"/>
        <w:bottom w:val="none" w:sz="0" w:space="0" w:color="auto"/>
        <w:right w:val="none" w:sz="0" w:space="0" w:color="auto"/>
      </w:divBdr>
    </w:div>
    <w:div w:id="1369915898">
      <w:bodyDiv w:val="1"/>
      <w:marLeft w:val="0"/>
      <w:marRight w:val="0"/>
      <w:marTop w:val="0"/>
      <w:marBottom w:val="0"/>
      <w:divBdr>
        <w:top w:val="none" w:sz="0" w:space="0" w:color="auto"/>
        <w:left w:val="none" w:sz="0" w:space="0" w:color="auto"/>
        <w:bottom w:val="none" w:sz="0" w:space="0" w:color="auto"/>
        <w:right w:val="none" w:sz="0" w:space="0" w:color="auto"/>
      </w:divBdr>
    </w:div>
    <w:div w:id="1369916145">
      <w:bodyDiv w:val="1"/>
      <w:marLeft w:val="0"/>
      <w:marRight w:val="0"/>
      <w:marTop w:val="0"/>
      <w:marBottom w:val="0"/>
      <w:divBdr>
        <w:top w:val="none" w:sz="0" w:space="0" w:color="auto"/>
        <w:left w:val="none" w:sz="0" w:space="0" w:color="auto"/>
        <w:bottom w:val="none" w:sz="0" w:space="0" w:color="auto"/>
        <w:right w:val="none" w:sz="0" w:space="0" w:color="auto"/>
      </w:divBdr>
    </w:div>
    <w:div w:id="1370301531">
      <w:bodyDiv w:val="1"/>
      <w:marLeft w:val="0"/>
      <w:marRight w:val="0"/>
      <w:marTop w:val="0"/>
      <w:marBottom w:val="0"/>
      <w:divBdr>
        <w:top w:val="none" w:sz="0" w:space="0" w:color="auto"/>
        <w:left w:val="none" w:sz="0" w:space="0" w:color="auto"/>
        <w:bottom w:val="none" w:sz="0" w:space="0" w:color="auto"/>
        <w:right w:val="none" w:sz="0" w:space="0" w:color="auto"/>
      </w:divBdr>
    </w:div>
    <w:div w:id="1370494865">
      <w:bodyDiv w:val="1"/>
      <w:marLeft w:val="0"/>
      <w:marRight w:val="0"/>
      <w:marTop w:val="0"/>
      <w:marBottom w:val="0"/>
      <w:divBdr>
        <w:top w:val="none" w:sz="0" w:space="0" w:color="auto"/>
        <w:left w:val="none" w:sz="0" w:space="0" w:color="auto"/>
        <w:bottom w:val="none" w:sz="0" w:space="0" w:color="auto"/>
        <w:right w:val="none" w:sz="0" w:space="0" w:color="auto"/>
      </w:divBdr>
    </w:div>
    <w:div w:id="1370565731">
      <w:bodyDiv w:val="1"/>
      <w:marLeft w:val="0"/>
      <w:marRight w:val="0"/>
      <w:marTop w:val="0"/>
      <w:marBottom w:val="0"/>
      <w:divBdr>
        <w:top w:val="none" w:sz="0" w:space="0" w:color="auto"/>
        <w:left w:val="none" w:sz="0" w:space="0" w:color="auto"/>
        <w:bottom w:val="none" w:sz="0" w:space="0" w:color="auto"/>
        <w:right w:val="none" w:sz="0" w:space="0" w:color="auto"/>
      </w:divBdr>
    </w:div>
    <w:div w:id="1370646464">
      <w:bodyDiv w:val="1"/>
      <w:marLeft w:val="0"/>
      <w:marRight w:val="0"/>
      <w:marTop w:val="0"/>
      <w:marBottom w:val="0"/>
      <w:divBdr>
        <w:top w:val="none" w:sz="0" w:space="0" w:color="auto"/>
        <w:left w:val="none" w:sz="0" w:space="0" w:color="auto"/>
        <w:bottom w:val="none" w:sz="0" w:space="0" w:color="auto"/>
        <w:right w:val="none" w:sz="0" w:space="0" w:color="auto"/>
      </w:divBdr>
    </w:div>
    <w:div w:id="1370911094">
      <w:bodyDiv w:val="1"/>
      <w:marLeft w:val="0"/>
      <w:marRight w:val="0"/>
      <w:marTop w:val="0"/>
      <w:marBottom w:val="0"/>
      <w:divBdr>
        <w:top w:val="none" w:sz="0" w:space="0" w:color="auto"/>
        <w:left w:val="none" w:sz="0" w:space="0" w:color="auto"/>
        <w:bottom w:val="none" w:sz="0" w:space="0" w:color="auto"/>
        <w:right w:val="none" w:sz="0" w:space="0" w:color="auto"/>
      </w:divBdr>
    </w:div>
    <w:div w:id="1370953452">
      <w:bodyDiv w:val="1"/>
      <w:marLeft w:val="0"/>
      <w:marRight w:val="0"/>
      <w:marTop w:val="0"/>
      <w:marBottom w:val="0"/>
      <w:divBdr>
        <w:top w:val="none" w:sz="0" w:space="0" w:color="auto"/>
        <w:left w:val="none" w:sz="0" w:space="0" w:color="auto"/>
        <w:bottom w:val="none" w:sz="0" w:space="0" w:color="auto"/>
        <w:right w:val="none" w:sz="0" w:space="0" w:color="auto"/>
      </w:divBdr>
    </w:div>
    <w:div w:id="1371106051">
      <w:bodyDiv w:val="1"/>
      <w:marLeft w:val="0"/>
      <w:marRight w:val="0"/>
      <w:marTop w:val="0"/>
      <w:marBottom w:val="0"/>
      <w:divBdr>
        <w:top w:val="none" w:sz="0" w:space="0" w:color="auto"/>
        <w:left w:val="none" w:sz="0" w:space="0" w:color="auto"/>
        <w:bottom w:val="none" w:sz="0" w:space="0" w:color="auto"/>
        <w:right w:val="none" w:sz="0" w:space="0" w:color="auto"/>
      </w:divBdr>
    </w:div>
    <w:div w:id="1371150527">
      <w:bodyDiv w:val="1"/>
      <w:marLeft w:val="0"/>
      <w:marRight w:val="0"/>
      <w:marTop w:val="0"/>
      <w:marBottom w:val="0"/>
      <w:divBdr>
        <w:top w:val="none" w:sz="0" w:space="0" w:color="auto"/>
        <w:left w:val="none" w:sz="0" w:space="0" w:color="auto"/>
        <w:bottom w:val="none" w:sz="0" w:space="0" w:color="auto"/>
        <w:right w:val="none" w:sz="0" w:space="0" w:color="auto"/>
      </w:divBdr>
    </w:div>
    <w:div w:id="1371346101">
      <w:bodyDiv w:val="1"/>
      <w:marLeft w:val="0"/>
      <w:marRight w:val="0"/>
      <w:marTop w:val="0"/>
      <w:marBottom w:val="0"/>
      <w:divBdr>
        <w:top w:val="none" w:sz="0" w:space="0" w:color="auto"/>
        <w:left w:val="none" w:sz="0" w:space="0" w:color="auto"/>
        <w:bottom w:val="none" w:sz="0" w:space="0" w:color="auto"/>
        <w:right w:val="none" w:sz="0" w:space="0" w:color="auto"/>
      </w:divBdr>
    </w:div>
    <w:div w:id="1371488822">
      <w:bodyDiv w:val="1"/>
      <w:marLeft w:val="0"/>
      <w:marRight w:val="0"/>
      <w:marTop w:val="0"/>
      <w:marBottom w:val="0"/>
      <w:divBdr>
        <w:top w:val="none" w:sz="0" w:space="0" w:color="auto"/>
        <w:left w:val="none" w:sz="0" w:space="0" w:color="auto"/>
        <w:bottom w:val="none" w:sz="0" w:space="0" w:color="auto"/>
        <w:right w:val="none" w:sz="0" w:space="0" w:color="auto"/>
      </w:divBdr>
    </w:div>
    <w:div w:id="1371612810">
      <w:bodyDiv w:val="1"/>
      <w:marLeft w:val="0"/>
      <w:marRight w:val="0"/>
      <w:marTop w:val="0"/>
      <w:marBottom w:val="0"/>
      <w:divBdr>
        <w:top w:val="none" w:sz="0" w:space="0" w:color="auto"/>
        <w:left w:val="none" w:sz="0" w:space="0" w:color="auto"/>
        <w:bottom w:val="none" w:sz="0" w:space="0" w:color="auto"/>
        <w:right w:val="none" w:sz="0" w:space="0" w:color="auto"/>
      </w:divBdr>
    </w:div>
    <w:div w:id="1371757335">
      <w:bodyDiv w:val="1"/>
      <w:marLeft w:val="0"/>
      <w:marRight w:val="0"/>
      <w:marTop w:val="0"/>
      <w:marBottom w:val="0"/>
      <w:divBdr>
        <w:top w:val="none" w:sz="0" w:space="0" w:color="auto"/>
        <w:left w:val="none" w:sz="0" w:space="0" w:color="auto"/>
        <w:bottom w:val="none" w:sz="0" w:space="0" w:color="auto"/>
        <w:right w:val="none" w:sz="0" w:space="0" w:color="auto"/>
      </w:divBdr>
    </w:div>
    <w:div w:id="1372149909">
      <w:bodyDiv w:val="1"/>
      <w:marLeft w:val="0"/>
      <w:marRight w:val="0"/>
      <w:marTop w:val="0"/>
      <w:marBottom w:val="0"/>
      <w:divBdr>
        <w:top w:val="none" w:sz="0" w:space="0" w:color="auto"/>
        <w:left w:val="none" w:sz="0" w:space="0" w:color="auto"/>
        <w:bottom w:val="none" w:sz="0" w:space="0" w:color="auto"/>
        <w:right w:val="none" w:sz="0" w:space="0" w:color="auto"/>
      </w:divBdr>
    </w:div>
    <w:div w:id="1372343251">
      <w:bodyDiv w:val="1"/>
      <w:marLeft w:val="0"/>
      <w:marRight w:val="0"/>
      <w:marTop w:val="0"/>
      <w:marBottom w:val="0"/>
      <w:divBdr>
        <w:top w:val="none" w:sz="0" w:space="0" w:color="auto"/>
        <w:left w:val="none" w:sz="0" w:space="0" w:color="auto"/>
        <w:bottom w:val="none" w:sz="0" w:space="0" w:color="auto"/>
        <w:right w:val="none" w:sz="0" w:space="0" w:color="auto"/>
      </w:divBdr>
    </w:div>
    <w:div w:id="1372416870">
      <w:bodyDiv w:val="1"/>
      <w:marLeft w:val="0"/>
      <w:marRight w:val="0"/>
      <w:marTop w:val="0"/>
      <w:marBottom w:val="0"/>
      <w:divBdr>
        <w:top w:val="none" w:sz="0" w:space="0" w:color="auto"/>
        <w:left w:val="none" w:sz="0" w:space="0" w:color="auto"/>
        <w:bottom w:val="none" w:sz="0" w:space="0" w:color="auto"/>
        <w:right w:val="none" w:sz="0" w:space="0" w:color="auto"/>
      </w:divBdr>
    </w:div>
    <w:div w:id="1372420691">
      <w:bodyDiv w:val="1"/>
      <w:marLeft w:val="0"/>
      <w:marRight w:val="0"/>
      <w:marTop w:val="0"/>
      <w:marBottom w:val="0"/>
      <w:divBdr>
        <w:top w:val="none" w:sz="0" w:space="0" w:color="auto"/>
        <w:left w:val="none" w:sz="0" w:space="0" w:color="auto"/>
        <w:bottom w:val="none" w:sz="0" w:space="0" w:color="auto"/>
        <w:right w:val="none" w:sz="0" w:space="0" w:color="auto"/>
      </w:divBdr>
    </w:div>
    <w:div w:id="1372458459">
      <w:bodyDiv w:val="1"/>
      <w:marLeft w:val="0"/>
      <w:marRight w:val="0"/>
      <w:marTop w:val="0"/>
      <w:marBottom w:val="0"/>
      <w:divBdr>
        <w:top w:val="none" w:sz="0" w:space="0" w:color="auto"/>
        <w:left w:val="none" w:sz="0" w:space="0" w:color="auto"/>
        <w:bottom w:val="none" w:sz="0" w:space="0" w:color="auto"/>
        <w:right w:val="none" w:sz="0" w:space="0" w:color="auto"/>
      </w:divBdr>
    </w:div>
    <w:div w:id="1372537915">
      <w:bodyDiv w:val="1"/>
      <w:marLeft w:val="0"/>
      <w:marRight w:val="0"/>
      <w:marTop w:val="0"/>
      <w:marBottom w:val="0"/>
      <w:divBdr>
        <w:top w:val="none" w:sz="0" w:space="0" w:color="auto"/>
        <w:left w:val="none" w:sz="0" w:space="0" w:color="auto"/>
        <w:bottom w:val="none" w:sz="0" w:space="0" w:color="auto"/>
        <w:right w:val="none" w:sz="0" w:space="0" w:color="auto"/>
      </w:divBdr>
    </w:div>
    <w:div w:id="1372614055">
      <w:bodyDiv w:val="1"/>
      <w:marLeft w:val="0"/>
      <w:marRight w:val="0"/>
      <w:marTop w:val="0"/>
      <w:marBottom w:val="0"/>
      <w:divBdr>
        <w:top w:val="none" w:sz="0" w:space="0" w:color="auto"/>
        <w:left w:val="none" w:sz="0" w:space="0" w:color="auto"/>
        <w:bottom w:val="none" w:sz="0" w:space="0" w:color="auto"/>
        <w:right w:val="none" w:sz="0" w:space="0" w:color="auto"/>
      </w:divBdr>
    </w:div>
    <w:div w:id="1372655739">
      <w:bodyDiv w:val="1"/>
      <w:marLeft w:val="0"/>
      <w:marRight w:val="0"/>
      <w:marTop w:val="0"/>
      <w:marBottom w:val="0"/>
      <w:divBdr>
        <w:top w:val="none" w:sz="0" w:space="0" w:color="auto"/>
        <w:left w:val="none" w:sz="0" w:space="0" w:color="auto"/>
        <w:bottom w:val="none" w:sz="0" w:space="0" w:color="auto"/>
        <w:right w:val="none" w:sz="0" w:space="0" w:color="auto"/>
      </w:divBdr>
    </w:div>
    <w:div w:id="1372799392">
      <w:bodyDiv w:val="1"/>
      <w:marLeft w:val="0"/>
      <w:marRight w:val="0"/>
      <w:marTop w:val="0"/>
      <w:marBottom w:val="0"/>
      <w:divBdr>
        <w:top w:val="none" w:sz="0" w:space="0" w:color="auto"/>
        <w:left w:val="none" w:sz="0" w:space="0" w:color="auto"/>
        <w:bottom w:val="none" w:sz="0" w:space="0" w:color="auto"/>
        <w:right w:val="none" w:sz="0" w:space="0" w:color="auto"/>
      </w:divBdr>
    </w:div>
    <w:div w:id="1373068001">
      <w:bodyDiv w:val="1"/>
      <w:marLeft w:val="0"/>
      <w:marRight w:val="0"/>
      <w:marTop w:val="0"/>
      <w:marBottom w:val="0"/>
      <w:divBdr>
        <w:top w:val="none" w:sz="0" w:space="0" w:color="auto"/>
        <w:left w:val="none" w:sz="0" w:space="0" w:color="auto"/>
        <w:bottom w:val="none" w:sz="0" w:space="0" w:color="auto"/>
        <w:right w:val="none" w:sz="0" w:space="0" w:color="auto"/>
      </w:divBdr>
    </w:div>
    <w:div w:id="1373385205">
      <w:bodyDiv w:val="1"/>
      <w:marLeft w:val="0"/>
      <w:marRight w:val="0"/>
      <w:marTop w:val="0"/>
      <w:marBottom w:val="0"/>
      <w:divBdr>
        <w:top w:val="none" w:sz="0" w:space="0" w:color="auto"/>
        <w:left w:val="none" w:sz="0" w:space="0" w:color="auto"/>
        <w:bottom w:val="none" w:sz="0" w:space="0" w:color="auto"/>
        <w:right w:val="none" w:sz="0" w:space="0" w:color="auto"/>
      </w:divBdr>
    </w:div>
    <w:div w:id="1373530981">
      <w:bodyDiv w:val="1"/>
      <w:marLeft w:val="0"/>
      <w:marRight w:val="0"/>
      <w:marTop w:val="0"/>
      <w:marBottom w:val="0"/>
      <w:divBdr>
        <w:top w:val="none" w:sz="0" w:space="0" w:color="auto"/>
        <w:left w:val="none" w:sz="0" w:space="0" w:color="auto"/>
        <w:bottom w:val="none" w:sz="0" w:space="0" w:color="auto"/>
        <w:right w:val="none" w:sz="0" w:space="0" w:color="auto"/>
      </w:divBdr>
    </w:div>
    <w:div w:id="1373533159">
      <w:bodyDiv w:val="1"/>
      <w:marLeft w:val="0"/>
      <w:marRight w:val="0"/>
      <w:marTop w:val="0"/>
      <w:marBottom w:val="0"/>
      <w:divBdr>
        <w:top w:val="none" w:sz="0" w:space="0" w:color="auto"/>
        <w:left w:val="none" w:sz="0" w:space="0" w:color="auto"/>
        <w:bottom w:val="none" w:sz="0" w:space="0" w:color="auto"/>
        <w:right w:val="none" w:sz="0" w:space="0" w:color="auto"/>
      </w:divBdr>
    </w:div>
    <w:div w:id="1373654682">
      <w:bodyDiv w:val="1"/>
      <w:marLeft w:val="0"/>
      <w:marRight w:val="0"/>
      <w:marTop w:val="0"/>
      <w:marBottom w:val="0"/>
      <w:divBdr>
        <w:top w:val="none" w:sz="0" w:space="0" w:color="auto"/>
        <w:left w:val="none" w:sz="0" w:space="0" w:color="auto"/>
        <w:bottom w:val="none" w:sz="0" w:space="0" w:color="auto"/>
        <w:right w:val="none" w:sz="0" w:space="0" w:color="auto"/>
      </w:divBdr>
    </w:div>
    <w:div w:id="1373843975">
      <w:bodyDiv w:val="1"/>
      <w:marLeft w:val="0"/>
      <w:marRight w:val="0"/>
      <w:marTop w:val="0"/>
      <w:marBottom w:val="0"/>
      <w:divBdr>
        <w:top w:val="none" w:sz="0" w:space="0" w:color="auto"/>
        <w:left w:val="none" w:sz="0" w:space="0" w:color="auto"/>
        <w:bottom w:val="none" w:sz="0" w:space="0" w:color="auto"/>
        <w:right w:val="none" w:sz="0" w:space="0" w:color="auto"/>
      </w:divBdr>
    </w:div>
    <w:div w:id="1373923418">
      <w:bodyDiv w:val="1"/>
      <w:marLeft w:val="0"/>
      <w:marRight w:val="0"/>
      <w:marTop w:val="0"/>
      <w:marBottom w:val="0"/>
      <w:divBdr>
        <w:top w:val="none" w:sz="0" w:space="0" w:color="auto"/>
        <w:left w:val="none" w:sz="0" w:space="0" w:color="auto"/>
        <w:bottom w:val="none" w:sz="0" w:space="0" w:color="auto"/>
        <w:right w:val="none" w:sz="0" w:space="0" w:color="auto"/>
      </w:divBdr>
    </w:div>
    <w:div w:id="1374112906">
      <w:bodyDiv w:val="1"/>
      <w:marLeft w:val="0"/>
      <w:marRight w:val="0"/>
      <w:marTop w:val="0"/>
      <w:marBottom w:val="0"/>
      <w:divBdr>
        <w:top w:val="none" w:sz="0" w:space="0" w:color="auto"/>
        <w:left w:val="none" w:sz="0" w:space="0" w:color="auto"/>
        <w:bottom w:val="none" w:sz="0" w:space="0" w:color="auto"/>
        <w:right w:val="none" w:sz="0" w:space="0" w:color="auto"/>
      </w:divBdr>
    </w:div>
    <w:div w:id="1374115195">
      <w:bodyDiv w:val="1"/>
      <w:marLeft w:val="0"/>
      <w:marRight w:val="0"/>
      <w:marTop w:val="0"/>
      <w:marBottom w:val="0"/>
      <w:divBdr>
        <w:top w:val="none" w:sz="0" w:space="0" w:color="auto"/>
        <w:left w:val="none" w:sz="0" w:space="0" w:color="auto"/>
        <w:bottom w:val="none" w:sz="0" w:space="0" w:color="auto"/>
        <w:right w:val="none" w:sz="0" w:space="0" w:color="auto"/>
      </w:divBdr>
    </w:div>
    <w:div w:id="1374233565">
      <w:bodyDiv w:val="1"/>
      <w:marLeft w:val="0"/>
      <w:marRight w:val="0"/>
      <w:marTop w:val="0"/>
      <w:marBottom w:val="0"/>
      <w:divBdr>
        <w:top w:val="none" w:sz="0" w:space="0" w:color="auto"/>
        <w:left w:val="none" w:sz="0" w:space="0" w:color="auto"/>
        <w:bottom w:val="none" w:sz="0" w:space="0" w:color="auto"/>
        <w:right w:val="none" w:sz="0" w:space="0" w:color="auto"/>
      </w:divBdr>
    </w:div>
    <w:div w:id="1374386652">
      <w:bodyDiv w:val="1"/>
      <w:marLeft w:val="0"/>
      <w:marRight w:val="0"/>
      <w:marTop w:val="0"/>
      <w:marBottom w:val="0"/>
      <w:divBdr>
        <w:top w:val="none" w:sz="0" w:space="0" w:color="auto"/>
        <w:left w:val="none" w:sz="0" w:space="0" w:color="auto"/>
        <w:bottom w:val="none" w:sz="0" w:space="0" w:color="auto"/>
        <w:right w:val="none" w:sz="0" w:space="0" w:color="auto"/>
      </w:divBdr>
    </w:div>
    <w:div w:id="1374422223">
      <w:bodyDiv w:val="1"/>
      <w:marLeft w:val="0"/>
      <w:marRight w:val="0"/>
      <w:marTop w:val="0"/>
      <w:marBottom w:val="0"/>
      <w:divBdr>
        <w:top w:val="none" w:sz="0" w:space="0" w:color="auto"/>
        <w:left w:val="none" w:sz="0" w:space="0" w:color="auto"/>
        <w:bottom w:val="none" w:sz="0" w:space="0" w:color="auto"/>
        <w:right w:val="none" w:sz="0" w:space="0" w:color="auto"/>
      </w:divBdr>
    </w:div>
    <w:div w:id="1375230771">
      <w:bodyDiv w:val="1"/>
      <w:marLeft w:val="0"/>
      <w:marRight w:val="0"/>
      <w:marTop w:val="0"/>
      <w:marBottom w:val="0"/>
      <w:divBdr>
        <w:top w:val="none" w:sz="0" w:space="0" w:color="auto"/>
        <w:left w:val="none" w:sz="0" w:space="0" w:color="auto"/>
        <w:bottom w:val="none" w:sz="0" w:space="0" w:color="auto"/>
        <w:right w:val="none" w:sz="0" w:space="0" w:color="auto"/>
      </w:divBdr>
    </w:div>
    <w:div w:id="1375345204">
      <w:bodyDiv w:val="1"/>
      <w:marLeft w:val="0"/>
      <w:marRight w:val="0"/>
      <w:marTop w:val="0"/>
      <w:marBottom w:val="0"/>
      <w:divBdr>
        <w:top w:val="none" w:sz="0" w:space="0" w:color="auto"/>
        <w:left w:val="none" w:sz="0" w:space="0" w:color="auto"/>
        <w:bottom w:val="none" w:sz="0" w:space="0" w:color="auto"/>
        <w:right w:val="none" w:sz="0" w:space="0" w:color="auto"/>
      </w:divBdr>
    </w:div>
    <w:div w:id="1375501809">
      <w:bodyDiv w:val="1"/>
      <w:marLeft w:val="0"/>
      <w:marRight w:val="0"/>
      <w:marTop w:val="0"/>
      <w:marBottom w:val="0"/>
      <w:divBdr>
        <w:top w:val="none" w:sz="0" w:space="0" w:color="auto"/>
        <w:left w:val="none" w:sz="0" w:space="0" w:color="auto"/>
        <w:bottom w:val="none" w:sz="0" w:space="0" w:color="auto"/>
        <w:right w:val="none" w:sz="0" w:space="0" w:color="auto"/>
      </w:divBdr>
    </w:div>
    <w:div w:id="1375540236">
      <w:bodyDiv w:val="1"/>
      <w:marLeft w:val="0"/>
      <w:marRight w:val="0"/>
      <w:marTop w:val="0"/>
      <w:marBottom w:val="0"/>
      <w:divBdr>
        <w:top w:val="none" w:sz="0" w:space="0" w:color="auto"/>
        <w:left w:val="none" w:sz="0" w:space="0" w:color="auto"/>
        <w:bottom w:val="none" w:sz="0" w:space="0" w:color="auto"/>
        <w:right w:val="none" w:sz="0" w:space="0" w:color="auto"/>
      </w:divBdr>
    </w:div>
    <w:div w:id="1375693251">
      <w:bodyDiv w:val="1"/>
      <w:marLeft w:val="0"/>
      <w:marRight w:val="0"/>
      <w:marTop w:val="0"/>
      <w:marBottom w:val="0"/>
      <w:divBdr>
        <w:top w:val="none" w:sz="0" w:space="0" w:color="auto"/>
        <w:left w:val="none" w:sz="0" w:space="0" w:color="auto"/>
        <w:bottom w:val="none" w:sz="0" w:space="0" w:color="auto"/>
        <w:right w:val="none" w:sz="0" w:space="0" w:color="auto"/>
      </w:divBdr>
    </w:div>
    <w:div w:id="1375810383">
      <w:bodyDiv w:val="1"/>
      <w:marLeft w:val="0"/>
      <w:marRight w:val="0"/>
      <w:marTop w:val="0"/>
      <w:marBottom w:val="0"/>
      <w:divBdr>
        <w:top w:val="none" w:sz="0" w:space="0" w:color="auto"/>
        <w:left w:val="none" w:sz="0" w:space="0" w:color="auto"/>
        <w:bottom w:val="none" w:sz="0" w:space="0" w:color="auto"/>
        <w:right w:val="none" w:sz="0" w:space="0" w:color="auto"/>
      </w:divBdr>
    </w:div>
    <w:div w:id="1375883440">
      <w:bodyDiv w:val="1"/>
      <w:marLeft w:val="0"/>
      <w:marRight w:val="0"/>
      <w:marTop w:val="0"/>
      <w:marBottom w:val="0"/>
      <w:divBdr>
        <w:top w:val="none" w:sz="0" w:space="0" w:color="auto"/>
        <w:left w:val="none" w:sz="0" w:space="0" w:color="auto"/>
        <w:bottom w:val="none" w:sz="0" w:space="0" w:color="auto"/>
        <w:right w:val="none" w:sz="0" w:space="0" w:color="auto"/>
      </w:divBdr>
    </w:div>
    <w:div w:id="1375884244">
      <w:bodyDiv w:val="1"/>
      <w:marLeft w:val="0"/>
      <w:marRight w:val="0"/>
      <w:marTop w:val="0"/>
      <w:marBottom w:val="0"/>
      <w:divBdr>
        <w:top w:val="none" w:sz="0" w:space="0" w:color="auto"/>
        <w:left w:val="none" w:sz="0" w:space="0" w:color="auto"/>
        <w:bottom w:val="none" w:sz="0" w:space="0" w:color="auto"/>
        <w:right w:val="none" w:sz="0" w:space="0" w:color="auto"/>
      </w:divBdr>
    </w:div>
    <w:div w:id="1375929955">
      <w:bodyDiv w:val="1"/>
      <w:marLeft w:val="0"/>
      <w:marRight w:val="0"/>
      <w:marTop w:val="0"/>
      <w:marBottom w:val="0"/>
      <w:divBdr>
        <w:top w:val="none" w:sz="0" w:space="0" w:color="auto"/>
        <w:left w:val="none" w:sz="0" w:space="0" w:color="auto"/>
        <w:bottom w:val="none" w:sz="0" w:space="0" w:color="auto"/>
        <w:right w:val="none" w:sz="0" w:space="0" w:color="auto"/>
      </w:divBdr>
    </w:div>
    <w:div w:id="1375957918">
      <w:bodyDiv w:val="1"/>
      <w:marLeft w:val="0"/>
      <w:marRight w:val="0"/>
      <w:marTop w:val="0"/>
      <w:marBottom w:val="0"/>
      <w:divBdr>
        <w:top w:val="none" w:sz="0" w:space="0" w:color="auto"/>
        <w:left w:val="none" w:sz="0" w:space="0" w:color="auto"/>
        <w:bottom w:val="none" w:sz="0" w:space="0" w:color="auto"/>
        <w:right w:val="none" w:sz="0" w:space="0" w:color="auto"/>
      </w:divBdr>
    </w:div>
    <w:div w:id="1376007431">
      <w:bodyDiv w:val="1"/>
      <w:marLeft w:val="0"/>
      <w:marRight w:val="0"/>
      <w:marTop w:val="0"/>
      <w:marBottom w:val="0"/>
      <w:divBdr>
        <w:top w:val="none" w:sz="0" w:space="0" w:color="auto"/>
        <w:left w:val="none" w:sz="0" w:space="0" w:color="auto"/>
        <w:bottom w:val="none" w:sz="0" w:space="0" w:color="auto"/>
        <w:right w:val="none" w:sz="0" w:space="0" w:color="auto"/>
      </w:divBdr>
    </w:div>
    <w:div w:id="1376345116">
      <w:bodyDiv w:val="1"/>
      <w:marLeft w:val="0"/>
      <w:marRight w:val="0"/>
      <w:marTop w:val="0"/>
      <w:marBottom w:val="0"/>
      <w:divBdr>
        <w:top w:val="none" w:sz="0" w:space="0" w:color="auto"/>
        <w:left w:val="none" w:sz="0" w:space="0" w:color="auto"/>
        <w:bottom w:val="none" w:sz="0" w:space="0" w:color="auto"/>
        <w:right w:val="none" w:sz="0" w:space="0" w:color="auto"/>
      </w:divBdr>
    </w:div>
    <w:div w:id="1376346174">
      <w:bodyDiv w:val="1"/>
      <w:marLeft w:val="0"/>
      <w:marRight w:val="0"/>
      <w:marTop w:val="0"/>
      <w:marBottom w:val="0"/>
      <w:divBdr>
        <w:top w:val="none" w:sz="0" w:space="0" w:color="auto"/>
        <w:left w:val="none" w:sz="0" w:space="0" w:color="auto"/>
        <w:bottom w:val="none" w:sz="0" w:space="0" w:color="auto"/>
        <w:right w:val="none" w:sz="0" w:space="0" w:color="auto"/>
      </w:divBdr>
    </w:div>
    <w:div w:id="1376467005">
      <w:bodyDiv w:val="1"/>
      <w:marLeft w:val="0"/>
      <w:marRight w:val="0"/>
      <w:marTop w:val="0"/>
      <w:marBottom w:val="0"/>
      <w:divBdr>
        <w:top w:val="none" w:sz="0" w:space="0" w:color="auto"/>
        <w:left w:val="none" w:sz="0" w:space="0" w:color="auto"/>
        <w:bottom w:val="none" w:sz="0" w:space="0" w:color="auto"/>
        <w:right w:val="none" w:sz="0" w:space="0" w:color="auto"/>
      </w:divBdr>
    </w:div>
    <w:div w:id="1376586388">
      <w:bodyDiv w:val="1"/>
      <w:marLeft w:val="0"/>
      <w:marRight w:val="0"/>
      <w:marTop w:val="0"/>
      <w:marBottom w:val="0"/>
      <w:divBdr>
        <w:top w:val="none" w:sz="0" w:space="0" w:color="auto"/>
        <w:left w:val="none" w:sz="0" w:space="0" w:color="auto"/>
        <w:bottom w:val="none" w:sz="0" w:space="0" w:color="auto"/>
        <w:right w:val="none" w:sz="0" w:space="0" w:color="auto"/>
      </w:divBdr>
    </w:div>
    <w:div w:id="1376737107">
      <w:bodyDiv w:val="1"/>
      <w:marLeft w:val="0"/>
      <w:marRight w:val="0"/>
      <w:marTop w:val="0"/>
      <w:marBottom w:val="0"/>
      <w:divBdr>
        <w:top w:val="none" w:sz="0" w:space="0" w:color="auto"/>
        <w:left w:val="none" w:sz="0" w:space="0" w:color="auto"/>
        <w:bottom w:val="none" w:sz="0" w:space="0" w:color="auto"/>
        <w:right w:val="none" w:sz="0" w:space="0" w:color="auto"/>
      </w:divBdr>
    </w:div>
    <w:div w:id="1377008402">
      <w:bodyDiv w:val="1"/>
      <w:marLeft w:val="0"/>
      <w:marRight w:val="0"/>
      <w:marTop w:val="0"/>
      <w:marBottom w:val="0"/>
      <w:divBdr>
        <w:top w:val="none" w:sz="0" w:space="0" w:color="auto"/>
        <w:left w:val="none" w:sz="0" w:space="0" w:color="auto"/>
        <w:bottom w:val="none" w:sz="0" w:space="0" w:color="auto"/>
        <w:right w:val="none" w:sz="0" w:space="0" w:color="auto"/>
      </w:divBdr>
    </w:div>
    <w:div w:id="1377043650">
      <w:bodyDiv w:val="1"/>
      <w:marLeft w:val="0"/>
      <w:marRight w:val="0"/>
      <w:marTop w:val="0"/>
      <w:marBottom w:val="0"/>
      <w:divBdr>
        <w:top w:val="none" w:sz="0" w:space="0" w:color="auto"/>
        <w:left w:val="none" w:sz="0" w:space="0" w:color="auto"/>
        <w:bottom w:val="none" w:sz="0" w:space="0" w:color="auto"/>
        <w:right w:val="none" w:sz="0" w:space="0" w:color="auto"/>
      </w:divBdr>
    </w:div>
    <w:div w:id="1377121881">
      <w:bodyDiv w:val="1"/>
      <w:marLeft w:val="0"/>
      <w:marRight w:val="0"/>
      <w:marTop w:val="0"/>
      <w:marBottom w:val="0"/>
      <w:divBdr>
        <w:top w:val="none" w:sz="0" w:space="0" w:color="auto"/>
        <w:left w:val="none" w:sz="0" w:space="0" w:color="auto"/>
        <w:bottom w:val="none" w:sz="0" w:space="0" w:color="auto"/>
        <w:right w:val="none" w:sz="0" w:space="0" w:color="auto"/>
      </w:divBdr>
    </w:div>
    <w:div w:id="1377122243">
      <w:bodyDiv w:val="1"/>
      <w:marLeft w:val="0"/>
      <w:marRight w:val="0"/>
      <w:marTop w:val="0"/>
      <w:marBottom w:val="0"/>
      <w:divBdr>
        <w:top w:val="none" w:sz="0" w:space="0" w:color="auto"/>
        <w:left w:val="none" w:sz="0" w:space="0" w:color="auto"/>
        <w:bottom w:val="none" w:sz="0" w:space="0" w:color="auto"/>
        <w:right w:val="none" w:sz="0" w:space="0" w:color="auto"/>
      </w:divBdr>
    </w:div>
    <w:div w:id="1377391011">
      <w:bodyDiv w:val="1"/>
      <w:marLeft w:val="0"/>
      <w:marRight w:val="0"/>
      <w:marTop w:val="0"/>
      <w:marBottom w:val="0"/>
      <w:divBdr>
        <w:top w:val="none" w:sz="0" w:space="0" w:color="auto"/>
        <w:left w:val="none" w:sz="0" w:space="0" w:color="auto"/>
        <w:bottom w:val="none" w:sz="0" w:space="0" w:color="auto"/>
        <w:right w:val="none" w:sz="0" w:space="0" w:color="auto"/>
      </w:divBdr>
    </w:div>
    <w:div w:id="1377512538">
      <w:bodyDiv w:val="1"/>
      <w:marLeft w:val="0"/>
      <w:marRight w:val="0"/>
      <w:marTop w:val="0"/>
      <w:marBottom w:val="0"/>
      <w:divBdr>
        <w:top w:val="none" w:sz="0" w:space="0" w:color="auto"/>
        <w:left w:val="none" w:sz="0" w:space="0" w:color="auto"/>
        <w:bottom w:val="none" w:sz="0" w:space="0" w:color="auto"/>
        <w:right w:val="none" w:sz="0" w:space="0" w:color="auto"/>
      </w:divBdr>
    </w:div>
    <w:div w:id="1377779222">
      <w:bodyDiv w:val="1"/>
      <w:marLeft w:val="0"/>
      <w:marRight w:val="0"/>
      <w:marTop w:val="0"/>
      <w:marBottom w:val="0"/>
      <w:divBdr>
        <w:top w:val="none" w:sz="0" w:space="0" w:color="auto"/>
        <w:left w:val="none" w:sz="0" w:space="0" w:color="auto"/>
        <w:bottom w:val="none" w:sz="0" w:space="0" w:color="auto"/>
        <w:right w:val="none" w:sz="0" w:space="0" w:color="auto"/>
      </w:divBdr>
    </w:div>
    <w:div w:id="1377967137">
      <w:bodyDiv w:val="1"/>
      <w:marLeft w:val="0"/>
      <w:marRight w:val="0"/>
      <w:marTop w:val="0"/>
      <w:marBottom w:val="0"/>
      <w:divBdr>
        <w:top w:val="none" w:sz="0" w:space="0" w:color="auto"/>
        <w:left w:val="none" w:sz="0" w:space="0" w:color="auto"/>
        <w:bottom w:val="none" w:sz="0" w:space="0" w:color="auto"/>
        <w:right w:val="none" w:sz="0" w:space="0" w:color="auto"/>
      </w:divBdr>
    </w:div>
    <w:div w:id="1378045392">
      <w:bodyDiv w:val="1"/>
      <w:marLeft w:val="0"/>
      <w:marRight w:val="0"/>
      <w:marTop w:val="0"/>
      <w:marBottom w:val="0"/>
      <w:divBdr>
        <w:top w:val="none" w:sz="0" w:space="0" w:color="auto"/>
        <w:left w:val="none" w:sz="0" w:space="0" w:color="auto"/>
        <w:bottom w:val="none" w:sz="0" w:space="0" w:color="auto"/>
        <w:right w:val="none" w:sz="0" w:space="0" w:color="auto"/>
      </w:divBdr>
    </w:div>
    <w:div w:id="1378121478">
      <w:bodyDiv w:val="1"/>
      <w:marLeft w:val="0"/>
      <w:marRight w:val="0"/>
      <w:marTop w:val="0"/>
      <w:marBottom w:val="0"/>
      <w:divBdr>
        <w:top w:val="none" w:sz="0" w:space="0" w:color="auto"/>
        <w:left w:val="none" w:sz="0" w:space="0" w:color="auto"/>
        <w:bottom w:val="none" w:sz="0" w:space="0" w:color="auto"/>
        <w:right w:val="none" w:sz="0" w:space="0" w:color="auto"/>
      </w:divBdr>
    </w:div>
    <w:div w:id="1378166772">
      <w:bodyDiv w:val="1"/>
      <w:marLeft w:val="0"/>
      <w:marRight w:val="0"/>
      <w:marTop w:val="0"/>
      <w:marBottom w:val="0"/>
      <w:divBdr>
        <w:top w:val="none" w:sz="0" w:space="0" w:color="auto"/>
        <w:left w:val="none" w:sz="0" w:space="0" w:color="auto"/>
        <w:bottom w:val="none" w:sz="0" w:space="0" w:color="auto"/>
        <w:right w:val="none" w:sz="0" w:space="0" w:color="auto"/>
      </w:divBdr>
    </w:div>
    <w:div w:id="1378507964">
      <w:bodyDiv w:val="1"/>
      <w:marLeft w:val="0"/>
      <w:marRight w:val="0"/>
      <w:marTop w:val="0"/>
      <w:marBottom w:val="0"/>
      <w:divBdr>
        <w:top w:val="none" w:sz="0" w:space="0" w:color="auto"/>
        <w:left w:val="none" w:sz="0" w:space="0" w:color="auto"/>
        <w:bottom w:val="none" w:sz="0" w:space="0" w:color="auto"/>
        <w:right w:val="none" w:sz="0" w:space="0" w:color="auto"/>
      </w:divBdr>
    </w:div>
    <w:div w:id="1378554724">
      <w:bodyDiv w:val="1"/>
      <w:marLeft w:val="0"/>
      <w:marRight w:val="0"/>
      <w:marTop w:val="0"/>
      <w:marBottom w:val="0"/>
      <w:divBdr>
        <w:top w:val="none" w:sz="0" w:space="0" w:color="auto"/>
        <w:left w:val="none" w:sz="0" w:space="0" w:color="auto"/>
        <w:bottom w:val="none" w:sz="0" w:space="0" w:color="auto"/>
        <w:right w:val="none" w:sz="0" w:space="0" w:color="auto"/>
      </w:divBdr>
    </w:div>
    <w:div w:id="1378702334">
      <w:bodyDiv w:val="1"/>
      <w:marLeft w:val="0"/>
      <w:marRight w:val="0"/>
      <w:marTop w:val="0"/>
      <w:marBottom w:val="0"/>
      <w:divBdr>
        <w:top w:val="none" w:sz="0" w:space="0" w:color="auto"/>
        <w:left w:val="none" w:sz="0" w:space="0" w:color="auto"/>
        <w:bottom w:val="none" w:sz="0" w:space="0" w:color="auto"/>
        <w:right w:val="none" w:sz="0" w:space="0" w:color="auto"/>
      </w:divBdr>
    </w:div>
    <w:div w:id="1378778512">
      <w:bodyDiv w:val="1"/>
      <w:marLeft w:val="0"/>
      <w:marRight w:val="0"/>
      <w:marTop w:val="0"/>
      <w:marBottom w:val="0"/>
      <w:divBdr>
        <w:top w:val="none" w:sz="0" w:space="0" w:color="auto"/>
        <w:left w:val="none" w:sz="0" w:space="0" w:color="auto"/>
        <w:bottom w:val="none" w:sz="0" w:space="0" w:color="auto"/>
        <w:right w:val="none" w:sz="0" w:space="0" w:color="auto"/>
      </w:divBdr>
    </w:div>
    <w:div w:id="1378815555">
      <w:bodyDiv w:val="1"/>
      <w:marLeft w:val="0"/>
      <w:marRight w:val="0"/>
      <w:marTop w:val="0"/>
      <w:marBottom w:val="0"/>
      <w:divBdr>
        <w:top w:val="none" w:sz="0" w:space="0" w:color="auto"/>
        <w:left w:val="none" w:sz="0" w:space="0" w:color="auto"/>
        <w:bottom w:val="none" w:sz="0" w:space="0" w:color="auto"/>
        <w:right w:val="none" w:sz="0" w:space="0" w:color="auto"/>
      </w:divBdr>
    </w:div>
    <w:div w:id="1378822166">
      <w:bodyDiv w:val="1"/>
      <w:marLeft w:val="0"/>
      <w:marRight w:val="0"/>
      <w:marTop w:val="0"/>
      <w:marBottom w:val="0"/>
      <w:divBdr>
        <w:top w:val="none" w:sz="0" w:space="0" w:color="auto"/>
        <w:left w:val="none" w:sz="0" w:space="0" w:color="auto"/>
        <w:bottom w:val="none" w:sz="0" w:space="0" w:color="auto"/>
        <w:right w:val="none" w:sz="0" w:space="0" w:color="auto"/>
      </w:divBdr>
    </w:div>
    <w:div w:id="1378822472">
      <w:bodyDiv w:val="1"/>
      <w:marLeft w:val="0"/>
      <w:marRight w:val="0"/>
      <w:marTop w:val="0"/>
      <w:marBottom w:val="0"/>
      <w:divBdr>
        <w:top w:val="none" w:sz="0" w:space="0" w:color="auto"/>
        <w:left w:val="none" w:sz="0" w:space="0" w:color="auto"/>
        <w:bottom w:val="none" w:sz="0" w:space="0" w:color="auto"/>
        <w:right w:val="none" w:sz="0" w:space="0" w:color="auto"/>
      </w:divBdr>
    </w:div>
    <w:div w:id="1378968201">
      <w:bodyDiv w:val="1"/>
      <w:marLeft w:val="0"/>
      <w:marRight w:val="0"/>
      <w:marTop w:val="0"/>
      <w:marBottom w:val="0"/>
      <w:divBdr>
        <w:top w:val="none" w:sz="0" w:space="0" w:color="auto"/>
        <w:left w:val="none" w:sz="0" w:space="0" w:color="auto"/>
        <w:bottom w:val="none" w:sz="0" w:space="0" w:color="auto"/>
        <w:right w:val="none" w:sz="0" w:space="0" w:color="auto"/>
      </w:divBdr>
    </w:div>
    <w:div w:id="1379351547">
      <w:bodyDiv w:val="1"/>
      <w:marLeft w:val="0"/>
      <w:marRight w:val="0"/>
      <w:marTop w:val="0"/>
      <w:marBottom w:val="0"/>
      <w:divBdr>
        <w:top w:val="none" w:sz="0" w:space="0" w:color="auto"/>
        <w:left w:val="none" w:sz="0" w:space="0" w:color="auto"/>
        <w:bottom w:val="none" w:sz="0" w:space="0" w:color="auto"/>
        <w:right w:val="none" w:sz="0" w:space="0" w:color="auto"/>
      </w:divBdr>
    </w:div>
    <w:div w:id="1379626922">
      <w:bodyDiv w:val="1"/>
      <w:marLeft w:val="0"/>
      <w:marRight w:val="0"/>
      <w:marTop w:val="0"/>
      <w:marBottom w:val="0"/>
      <w:divBdr>
        <w:top w:val="none" w:sz="0" w:space="0" w:color="auto"/>
        <w:left w:val="none" w:sz="0" w:space="0" w:color="auto"/>
        <w:bottom w:val="none" w:sz="0" w:space="0" w:color="auto"/>
        <w:right w:val="none" w:sz="0" w:space="0" w:color="auto"/>
      </w:divBdr>
    </w:div>
    <w:div w:id="1379666375">
      <w:bodyDiv w:val="1"/>
      <w:marLeft w:val="0"/>
      <w:marRight w:val="0"/>
      <w:marTop w:val="0"/>
      <w:marBottom w:val="0"/>
      <w:divBdr>
        <w:top w:val="none" w:sz="0" w:space="0" w:color="auto"/>
        <w:left w:val="none" w:sz="0" w:space="0" w:color="auto"/>
        <w:bottom w:val="none" w:sz="0" w:space="0" w:color="auto"/>
        <w:right w:val="none" w:sz="0" w:space="0" w:color="auto"/>
      </w:divBdr>
    </w:div>
    <w:div w:id="1379696242">
      <w:bodyDiv w:val="1"/>
      <w:marLeft w:val="0"/>
      <w:marRight w:val="0"/>
      <w:marTop w:val="0"/>
      <w:marBottom w:val="0"/>
      <w:divBdr>
        <w:top w:val="none" w:sz="0" w:space="0" w:color="auto"/>
        <w:left w:val="none" w:sz="0" w:space="0" w:color="auto"/>
        <w:bottom w:val="none" w:sz="0" w:space="0" w:color="auto"/>
        <w:right w:val="none" w:sz="0" w:space="0" w:color="auto"/>
      </w:divBdr>
    </w:div>
    <w:div w:id="1379889297">
      <w:bodyDiv w:val="1"/>
      <w:marLeft w:val="0"/>
      <w:marRight w:val="0"/>
      <w:marTop w:val="0"/>
      <w:marBottom w:val="0"/>
      <w:divBdr>
        <w:top w:val="none" w:sz="0" w:space="0" w:color="auto"/>
        <w:left w:val="none" w:sz="0" w:space="0" w:color="auto"/>
        <w:bottom w:val="none" w:sz="0" w:space="0" w:color="auto"/>
        <w:right w:val="none" w:sz="0" w:space="0" w:color="auto"/>
      </w:divBdr>
    </w:div>
    <w:div w:id="1379931829">
      <w:bodyDiv w:val="1"/>
      <w:marLeft w:val="0"/>
      <w:marRight w:val="0"/>
      <w:marTop w:val="0"/>
      <w:marBottom w:val="0"/>
      <w:divBdr>
        <w:top w:val="none" w:sz="0" w:space="0" w:color="auto"/>
        <w:left w:val="none" w:sz="0" w:space="0" w:color="auto"/>
        <w:bottom w:val="none" w:sz="0" w:space="0" w:color="auto"/>
        <w:right w:val="none" w:sz="0" w:space="0" w:color="auto"/>
      </w:divBdr>
    </w:div>
    <w:div w:id="1379934400">
      <w:bodyDiv w:val="1"/>
      <w:marLeft w:val="0"/>
      <w:marRight w:val="0"/>
      <w:marTop w:val="0"/>
      <w:marBottom w:val="0"/>
      <w:divBdr>
        <w:top w:val="none" w:sz="0" w:space="0" w:color="auto"/>
        <w:left w:val="none" w:sz="0" w:space="0" w:color="auto"/>
        <w:bottom w:val="none" w:sz="0" w:space="0" w:color="auto"/>
        <w:right w:val="none" w:sz="0" w:space="0" w:color="auto"/>
      </w:divBdr>
    </w:div>
    <w:div w:id="1380010446">
      <w:bodyDiv w:val="1"/>
      <w:marLeft w:val="0"/>
      <w:marRight w:val="0"/>
      <w:marTop w:val="0"/>
      <w:marBottom w:val="0"/>
      <w:divBdr>
        <w:top w:val="none" w:sz="0" w:space="0" w:color="auto"/>
        <w:left w:val="none" w:sz="0" w:space="0" w:color="auto"/>
        <w:bottom w:val="none" w:sz="0" w:space="0" w:color="auto"/>
        <w:right w:val="none" w:sz="0" w:space="0" w:color="auto"/>
      </w:divBdr>
    </w:div>
    <w:div w:id="1380014097">
      <w:bodyDiv w:val="1"/>
      <w:marLeft w:val="0"/>
      <w:marRight w:val="0"/>
      <w:marTop w:val="0"/>
      <w:marBottom w:val="0"/>
      <w:divBdr>
        <w:top w:val="none" w:sz="0" w:space="0" w:color="auto"/>
        <w:left w:val="none" w:sz="0" w:space="0" w:color="auto"/>
        <w:bottom w:val="none" w:sz="0" w:space="0" w:color="auto"/>
        <w:right w:val="none" w:sz="0" w:space="0" w:color="auto"/>
      </w:divBdr>
    </w:div>
    <w:div w:id="1380087111">
      <w:bodyDiv w:val="1"/>
      <w:marLeft w:val="0"/>
      <w:marRight w:val="0"/>
      <w:marTop w:val="0"/>
      <w:marBottom w:val="0"/>
      <w:divBdr>
        <w:top w:val="none" w:sz="0" w:space="0" w:color="auto"/>
        <w:left w:val="none" w:sz="0" w:space="0" w:color="auto"/>
        <w:bottom w:val="none" w:sz="0" w:space="0" w:color="auto"/>
        <w:right w:val="none" w:sz="0" w:space="0" w:color="auto"/>
      </w:divBdr>
    </w:div>
    <w:div w:id="1380126201">
      <w:bodyDiv w:val="1"/>
      <w:marLeft w:val="0"/>
      <w:marRight w:val="0"/>
      <w:marTop w:val="0"/>
      <w:marBottom w:val="0"/>
      <w:divBdr>
        <w:top w:val="none" w:sz="0" w:space="0" w:color="auto"/>
        <w:left w:val="none" w:sz="0" w:space="0" w:color="auto"/>
        <w:bottom w:val="none" w:sz="0" w:space="0" w:color="auto"/>
        <w:right w:val="none" w:sz="0" w:space="0" w:color="auto"/>
      </w:divBdr>
    </w:div>
    <w:div w:id="1380126695">
      <w:bodyDiv w:val="1"/>
      <w:marLeft w:val="0"/>
      <w:marRight w:val="0"/>
      <w:marTop w:val="0"/>
      <w:marBottom w:val="0"/>
      <w:divBdr>
        <w:top w:val="none" w:sz="0" w:space="0" w:color="auto"/>
        <w:left w:val="none" w:sz="0" w:space="0" w:color="auto"/>
        <w:bottom w:val="none" w:sz="0" w:space="0" w:color="auto"/>
        <w:right w:val="none" w:sz="0" w:space="0" w:color="auto"/>
      </w:divBdr>
    </w:div>
    <w:div w:id="1380322529">
      <w:bodyDiv w:val="1"/>
      <w:marLeft w:val="0"/>
      <w:marRight w:val="0"/>
      <w:marTop w:val="0"/>
      <w:marBottom w:val="0"/>
      <w:divBdr>
        <w:top w:val="none" w:sz="0" w:space="0" w:color="auto"/>
        <w:left w:val="none" w:sz="0" w:space="0" w:color="auto"/>
        <w:bottom w:val="none" w:sz="0" w:space="0" w:color="auto"/>
        <w:right w:val="none" w:sz="0" w:space="0" w:color="auto"/>
      </w:divBdr>
    </w:div>
    <w:div w:id="1380782276">
      <w:bodyDiv w:val="1"/>
      <w:marLeft w:val="0"/>
      <w:marRight w:val="0"/>
      <w:marTop w:val="0"/>
      <w:marBottom w:val="0"/>
      <w:divBdr>
        <w:top w:val="none" w:sz="0" w:space="0" w:color="auto"/>
        <w:left w:val="none" w:sz="0" w:space="0" w:color="auto"/>
        <w:bottom w:val="none" w:sz="0" w:space="0" w:color="auto"/>
        <w:right w:val="none" w:sz="0" w:space="0" w:color="auto"/>
      </w:divBdr>
    </w:div>
    <w:div w:id="1380939817">
      <w:bodyDiv w:val="1"/>
      <w:marLeft w:val="0"/>
      <w:marRight w:val="0"/>
      <w:marTop w:val="0"/>
      <w:marBottom w:val="0"/>
      <w:divBdr>
        <w:top w:val="none" w:sz="0" w:space="0" w:color="auto"/>
        <w:left w:val="none" w:sz="0" w:space="0" w:color="auto"/>
        <w:bottom w:val="none" w:sz="0" w:space="0" w:color="auto"/>
        <w:right w:val="none" w:sz="0" w:space="0" w:color="auto"/>
      </w:divBdr>
    </w:div>
    <w:div w:id="1380977484">
      <w:bodyDiv w:val="1"/>
      <w:marLeft w:val="0"/>
      <w:marRight w:val="0"/>
      <w:marTop w:val="0"/>
      <w:marBottom w:val="0"/>
      <w:divBdr>
        <w:top w:val="none" w:sz="0" w:space="0" w:color="auto"/>
        <w:left w:val="none" w:sz="0" w:space="0" w:color="auto"/>
        <w:bottom w:val="none" w:sz="0" w:space="0" w:color="auto"/>
        <w:right w:val="none" w:sz="0" w:space="0" w:color="auto"/>
      </w:divBdr>
    </w:div>
    <w:div w:id="1381124553">
      <w:bodyDiv w:val="1"/>
      <w:marLeft w:val="0"/>
      <w:marRight w:val="0"/>
      <w:marTop w:val="0"/>
      <w:marBottom w:val="0"/>
      <w:divBdr>
        <w:top w:val="none" w:sz="0" w:space="0" w:color="auto"/>
        <w:left w:val="none" w:sz="0" w:space="0" w:color="auto"/>
        <w:bottom w:val="none" w:sz="0" w:space="0" w:color="auto"/>
        <w:right w:val="none" w:sz="0" w:space="0" w:color="auto"/>
      </w:divBdr>
    </w:div>
    <w:div w:id="1381203359">
      <w:bodyDiv w:val="1"/>
      <w:marLeft w:val="0"/>
      <w:marRight w:val="0"/>
      <w:marTop w:val="0"/>
      <w:marBottom w:val="0"/>
      <w:divBdr>
        <w:top w:val="none" w:sz="0" w:space="0" w:color="auto"/>
        <w:left w:val="none" w:sz="0" w:space="0" w:color="auto"/>
        <w:bottom w:val="none" w:sz="0" w:space="0" w:color="auto"/>
        <w:right w:val="none" w:sz="0" w:space="0" w:color="auto"/>
      </w:divBdr>
    </w:div>
    <w:div w:id="1381319424">
      <w:bodyDiv w:val="1"/>
      <w:marLeft w:val="0"/>
      <w:marRight w:val="0"/>
      <w:marTop w:val="0"/>
      <w:marBottom w:val="0"/>
      <w:divBdr>
        <w:top w:val="none" w:sz="0" w:space="0" w:color="auto"/>
        <w:left w:val="none" w:sz="0" w:space="0" w:color="auto"/>
        <w:bottom w:val="none" w:sz="0" w:space="0" w:color="auto"/>
        <w:right w:val="none" w:sz="0" w:space="0" w:color="auto"/>
      </w:divBdr>
    </w:div>
    <w:div w:id="1381320771">
      <w:bodyDiv w:val="1"/>
      <w:marLeft w:val="0"/>
      <w:marRight w:val="0"/>
      <w:marTop w:val="0"/>
      <w:marBottom w:val="0"/>
      <w:divBdr>
        <w:top w:val="none" w:sz="0" w:space="0" w:color="auto"/>
        <w:left w:val="none" w:sz="0" w:space="0" w:color="auto"/>
        <w:bottom w:val="none" w:sz="0" w:space="0" w:color="auto"/>
        <w:right w:val="none" w:sz="0" w:space="0" w:color="auto"/>
      </w:divBdr>
    </w:div>
    <w:div w:id="1381393194">
      <w:bodyDiv w:val="1"/>
      <w:marLeft w:val="0"/>
      <w:marRight w:val="0"/>
      <w:marTop w:val="0"/>
      <w:marBottom w:val="0"/>
      <w:divBdr>
        <w:top w:val="none" w:sz="0" w:space="0" w:color="auto"/>
        <w:left w:val="none" w:sz="0" w:space="0" w:color="auto"/>
        <w:bottom w:val="none" w:sz="0" w:space="0" w:color="auto"/>
        <w:right w:val="none" w:sz="0" w:space="0" w:color="auto"/>
      </w:divBdr>
    </w:div>
    <w:div w:id="1381400569">
      <w:bodyDiv w:val="1"/>
      <w:marLeft w:val="0"/>
      <w:marRight w:val="0"/>
      <w:marTop w:val="0"/>
      <w:marBottom w:val="0"/>
      <w:divBdr>
        <w:top w:val="none" w:sz="0" w:space="0" w:color="auto"/>
        <w:left w:val="none" w:sz="0" w:space="0" w:color="auto"/>
        <w:bottom w:val="none" w:sz="0" w:space="0" w:color="auto"/>
        <w:right w:val="none" w:sz="0" w:space="0" w:color="auto"/>
      </w:divBdr>
    </w:div>
    <w:div w:id="1381826573">
      <w:bodyDiv w:val="1"/>
      <w:marLeft w:val="0"/>
      <w:marRight w:val="0"/>
      <w:marTop w:val="0"/>
      <w:marBottom w:val="0"/>
      <w:divBdr>
        <w:top w:val="none" w:sz="0" w:space="0" w:color="auto"/>
        <w:left w:val="none" w:sz="0" w:space="0" w:color="auto"/>
        <w:bottom w:val="none" w:sz="0" w:space="0" w:color="auto"/>
        <w:right w:val="none" w:sz="0" w:space="0" w:color="auto"/>
      </w:divBdr>
    </w:div>
    <w:div w:id="1381897258">
      <w:bodyDiv w:val="1"/>
      <w:marLeft w:val="0"/>
      <w:marRight w:val="0"/>
      <w:marTop w:val="0"/>
      <w:marBottom w:val="0"/>
      <w:divBdr>
        <w:top w:val="none" w:sz="0" w:space="0" w:color="auto"/>
        <w:left w:val="none" w:sz="0" w:space="0" w:color="auto"/>
        <w:bottom w:val="none" w:sz="0" w:space="0" w:color="auto"/>
        <w:right w:val="none" w:sz="0" w:space="0" w:color="auto"/>
      </w:divBdr>
    </w:div>
    <w:div w:id="1381980490">
      <w:bodyDiv w:val="1"/>
      <w:marLeft w:val="0"/>
      <w:marRight w:val="0"/>
      <w:marTop w:val="0"/>
      <w:marBottom w:val="0"/>
      <w:divBdr>
        <w:top w:val="none" w:sz="0" w:space="0" w:color="auto"/>
        <w:left w:val="none" w:sz="0" w:space="0" w:color="auto"/>
        <w:bottom w:val="none" w:sz="0" w:space="0" w:color="auto"/>
        <w:right w:val="none" w:sz="0" w:space="0" w:color="auto"/>
      </w:divBdr>
    </w:div>
    <w:div w:id="1382054017">
      <w:bodyDiv w:val="1"/>
      <w:marLeft w:val="0"/>
      <w:marRight w:val="0"/>
      <w:marTop w:val="0"/>
      <w:marBottom w:val="0"/>
      <w:divBdr>
        <w:top w:val="none" w:sz="0" w:space="0" w:color="auto"/>
        <w:left w:val="none" w:sz="0" w:space="0" w:color="auto"/>
        <w:bottom w:val="none" w:sz="0" w:space="0" w:color="auto"/>
        <w:right w:val="none" w:sz="0" w:space="0" w:color="auto"/>
      </w:divBdr>
    </w:div>
    <w:div w:id="1382092779">
      <w:bodyDiv w:val="1"/>
      <w:marLeft w:val="0"/>
      <w:marRight w:val="0"/>
      <w:marTop w:val="0"/>
      <w:marBottom w:val="0"/>
      <w:divBdr>
        <w:top w:val="none" w:sz="0" w:space="0" w:color="auto"/>
        <w:left w:val="none" w:sz="0" w:space="0" w:color="auto"/>
        <w:bottom w:val="none" w:sz="0" w:space="0" w:color="auto"/>
        <w:right w:val="none" w:sz="0" w:space="0" w:color="auto"/>
      </w:divBdr>
    </w:div>
    <w:div w:id="1382285742">
      <w:bodyDiv w:val="1"/>
      <w:marLeft w:val="0"/>
      <w:marRight w:val="0"/>
      <w:marTop w:val="0"/>
      <w:marBottom w:val="0"/>
      <w:divBdr>
        <w:top w:val="none" w:sz="0" w:space="0" w:color="auto"/>
        <w:left w:val="none" w:sz="0" w:space="0" w:color="auto"/>
        <w:bottom w:val="none" w:sz="0" w:space="0" w:color="auto"/>
        <w:right w:val="none" w:sz="0" w:space="0" w:color="auto"/>
      </w:divBdr>
    </w:div>
    <w:div w:id="1382635505">
      <w:bodyDiv w:val="1"/>
      <w:marLeft w:val="0"/>
      <w:marRight w:val="0"/>
      <w:marTop w:val="0"/>
      <w:marBottom w:val="0"/>
      <w:divBdr>
        <w:top w:val="none" w:sz="0" w:space="0" w:color="auto"/>
        <w:left w:val="none" w:sz="0" w:space="0" w:color="auto"/>
        <w:bottom w:val="none" w:sz="0" w:space="0" w:color="auto"/>
        <w:right w:val="none" w:sz="0" w:space="0" w:color="auto"/>
      </w:divBdr>
    </w:div>
    <w:div w:id="1382827741">
      <w:bodyDiv w:val="1"/>
      <w:marLeft w:val="0"/>
      <w:marRight w:val="0"/>
      <w:marTop w:val="0"/>
      <w:marBottom w:val="0"/>
      <w:divBdr>
        <w:top w:val="none" w:sz="0" w:space="0" w:color="auto"/>
        <w:left w:val="none" w:sz="0" w:space="0" w:color="auto"/>
        <w:bottom w:val="none" w:sz="0" w:space="0" w:color="auto"/>
        <w:right w:val="none" w:sz="0" w:space="0" w:color="auto"/>
      </w:divBdr>
    </w:div>
    <w:div w:id="1382942511">
      <w:bodyDiv w:val="1"/>
      <w:marLeft w:val="0"/>
      <w:marRight w:val="0"/>
      <w:marTop w:val="0"/>
      <w:marBottom w:val="0"/>
      <w:divBdr>
        <w:top w:val="none" w:sz="0" w:space="0" w:color="auto"/>
        <w:left w:val="none" w:sz="0" w:space="0" w:color="auto"/>
        <w:bottom w:val="none" w:sz="0" w:space="0" w:color="auto"/>
        <w:right w:val="none" w:sz="0" w:space="0" w:color="auto"/>
      </w:divBdr>
    </w:div>
    <w:div w:id="1383018560">
      <w:bodyDiv w:val="1"/>
      <w:marLeft w:val="0"/>
      <w:marRight w:val="0"/>
      <w:marTop w:val="0"/>
      <w:marBottom w:val="0"/>
      <w:divBdr>
        <w:top w:val="none" w:sz="0" w:space="0" w:color="auto"/>
        <w:left w:val="none" w:sz="0" w:space="0" w:color="auto"/>
        <w:bottom w:val="none" w:sz="0" w:space="0" w:color="auto"/>
        <w:right w:val="none" w:sz="0" w:space="0" w:color="auto"/>
      </w:divBdr>
    </w:div>
    <w:div w:id="1383365298">
      <w:bodyDiv w:val="1"/>
      <w:marLeft w:val="0"/>
      <w:marRight w:val="0"/>
      <w:marTop w:val="0"/>
      <w:marBottom w:val="0"/>
      <w:divBdr>
        <w:top w:val="none" w:sz="0" w:space="0" w:color="auto"/>
        <w:left w:val="none" w:sz="0" w:space="0" w:color="auto"/>
        <w:bottom w:val="none" w:sz="0" w:space="0" w:color="auto"/>
        <w:right w:val="none" w:sz="0" w:space="0" w:color="auto"/>
      </w:divBdr>
    </w:div>
    <w:div w:id="1383406680">
      <w:bodyDiv w:val="1"/>
      <w:marLeft w:val="0"/>
      <w:marRight w:val="0"/>
      <w:marTop w:val="0"/>
      <w:marBottom w:val="0"/>
      <w:divBdr>
        <w:top w:val="none" w:sz="0" w:space="0" w:color="auto"/>
        <w:left w:val="none" w:sz="0" w:space="0" w:color="auto"/>
        <w:bottom w:val="none" w:sz="0" w:space="0" w:color="auto"/>
        <w:right w:val="none" w:sz="0" w:space="0" w:color="auto"/>
      </w:divBdr>
    </w:div>
    <w:div w:id="1383628354">
      <w:bodyDiv w:val="1"/>
      <w:marLeft w:val="0"/>
      <w:marRight w:val="0"/>
      <w:marTop w:val="0"/>
      <w:marBottom w:val="0"/>
      <w:divBdr>
        <w:top w:val="none" w:sz="0" w:space="0" w:color="auto"/>
        <w:left w:val="none" w:sz="0" w:space="0" w:color="auto"/>
        <w:bottom w:val="none" w:sz="0" w:space="0" w:color="auto"/>
        <w:right w:val="none" w:sz="0" w:space="0" w:color="auto"/>
      </w:divBdr>
    </w:div>
    <w:div w:id="1383749008">
      <w:bodyDiv w:val="1"/>
      <w:marLeft w:val="0"/>
      <w:marRight w:val="0"/>
      <w:marTop w:val="0"/>
      <w:marBottom w:val="0"/>
      <w:divBdr>
        <w:top w:val="none" w:sz="0" w:space="0" w:color="auto"/>
        <w:left w:val="none" w:sz="0" w:space="0" w:color="auto"/>
        <w:bottom w:val="none" w:sz="0" w:space="0" w:color="auto"/>
        <w:right w:val="none" w:sz="0" w:space="0" w:color="auto"/>
      </w:divBdr>
    </w:div>
    <w:div w:id="1383824259">
      <w:bodyDiv w:val="1"/>
      <w:marLeft w:val="0"/>
      <w:marRight w:val="0"/>
      <w:marTop w:val="0"/>
      <w:marBottom w:val="0"/>
      <w:divBdr>
        <w:top w:val="none" w:sz="0" w:space="0" w:color="auto"/>
        <w:left w:val="none" w:sz="0" w:space="0" w:color="auto"/>
        <w:bottom w:val="none" w:sz="0" w:space="0" w:color="auto"/>
        <w:right w:val="none" w:sz="0" w:space="0" w:color="auto"/>
      </w:divBdr>
    </w:div>
    <w:div w:id="1383870577">
      <w:bodyDiv w:val="1"/>
      <w:marLeft w:val="0"/>
      <w:marRight w:val="0"/>
      <w:marTop w:val="0"/>
      <w:marBottom w:val="0"/>
      <w:divBdr>
        <w:top w:val="none" w:sz="0" w:space="0" w:color="auto"/>
        <w:left w:val="none" w:sz="0" w:space="0" w:color="auto"/>
        <w:bottom w:val="none" w:sz="0" w:space="0" w:color="auto"/>
        <w:right w:val="none" w:sz="0" w:space="0" w:color="auto"/>
      </w:divBdr>
    </w:div>
    <w:div w:id="1384014559">
      <w:bodyDiv w:val="1"/>
      <w:marLeft w:val="0"/>
      <w:marRight w:val="0"/>
      <w:marTop w:val="0"/>
      <w:marBottom w:val="0"/>
      <w:divBdr>
        <w:top w:val="none" w:sz="0" w:space="0" w:color="auto"/>
        <w:left w:val="none" w:sz="0" w:space="0" w:color="auto"/>
        <w:bottom w:val="none" w:sz="0" w:space="0" w:color="auto"/>
        <w:right w:val="none" w:sz="0" w:space="0" w:color="auto"/>
      </w:divBdr>
    </w:div>
    <w:div w:id="1384210617">
      <w:bodyDiv w:val="1"/>
      <w:marLeft w:val="0"/>
      <w:marRight w:val="0"/>
      <w:marTop w:val="0"/>
      <w:marBottom w:val="0"/>
      <w:divBdr>
        <w:top w:val="none" w:sz="0" w:space="0" w:color="auto"/>
        <w:left w:val="none" w:sz="0" w:space="0" w:color="auto"/>
        <w:bottom w:val="none" w:sz="0" w:space="0" w:color="auto"/>
        <w:right w:val="none" w:sz="0" w:space="0" w:color="auto"/>
      </w:divBdr>
    </w:div>
    <w:div w:id="1384329936">
      <w:bodyDiv w:val="1"/>
      <w:marLeft w:val="0"/>
      <w:marRight w:val="0"/>
      <w:marTop w:val="0"/>
      <w:marBottom w:val="0"/>
      <w:divBdr>
        <w:top w:val="none" w:sz="0" w:space="0" w:color="auto"/>
        <w:left w:val="none" w:sz="0" w:space="0" w:color="auto"/>
        <w:bottom w:val="none" w:sz="0" w:space="0" w:color="auto"/>
        <w:right w:val="none" w:sz="0" w:space="0" w:color="auto"/>
      </w:divBdr>
    </w:div>
    <w:div w:id="1384593963">
      <w:bodyDiv w:val="1"/>
      <w:marLeft w:val="0"/>
      <w:marRight w:val="0"/>
      <w:marTop w:val="0"/>
      <w:marBottom w:val="0"/>
      <w:divBdr>
        <w:top w:val="none" w:sz="0" w:space="0" w:color="auto"/>
        <w:left w:val="none" w:sz="0" w:space="0" w:color="auto"/>
        <w:bottom w:val="none" w:sz="0" w:space="0" w:color="auto"/>
        <w:right w:val="none" w:sz="0" w:space="0" w:color="auto"/>
      </w:divBdr>
    </w:div>
    <w:div w:id="1384596554">
      <w:bodyDiv w:val="1"/>
      <w:marLeft w:val="0"/>
      <w:marRight w:val="0"/>
      <w:marTop w:val="0"/>
      <w:marBottom w:val="0"/>
      <w:divBdr>
        <w:top w:val="none" w:sz="0" w:space="0" w:color="auto"/>
        <w:left w:val="none" w:sz="0" w:space="0" w:color="auto"/>
        <w:bottom w:val="none" w:sz="0" w:space="0" w:color="auto"/>
        <w:right w:val="none" w:sz="0" w:space="0" w:color="auto"/>
      </w:divBdr>
    </w:div>
    <w:div w:id="1384600482">
      <w:bodyDiv w:val="1"/>
      <w:marLeft w:val="0"/>
      <w:marRight w:val="0"/>
      <w:marTop w:val="0"/>
      <w:marBottom w:val="0"/>
      <w:divBdr>
        <w:top w:val="none" w:sz="0" w:space="0" w:color="auto"/>
        <w:left w:val="none" w:sz="0" w:space="0" w:color="auto"/>
        <w:bottom w:val="none" w:sz="0" w:space="0" w:color="auto"/>
        <w:right w:val="none" w:sz="0" w:space="0" w:color="auto"/>
      </w:divBdr>
    </w:div>
    <w:div w:id="1384789621">
      <w:bodyDiv w:val="1"/>
      <w:marLeft w:val="0"/>
      <w:marRight w:val="0"/>
      <w:marTop w:val="0"/>
      <w:marBottom w:val="0"/>
      <w:divBdr>
        <w:top w:val="none" w:sz="0" w:space="0" w:color="auto"/>
        <w:left w:val="none" w:sz="0" w:space="0" w:color="auto"/>
        <w:bottom w:val="none" w:sz="0" w:space="0" w:color="auto"/>
        <w:right w:val="none" w:sz="0" w:space="0" w:color="auto"/>
      </w:divBdr>
    </w:div>
    <w:div w:id="1384864784">
      <w:bodyDiv w:val="1"/>
      <w:marLeft w:val="0"/>
      <w:marRight w:val="0"/>
      <w:marTop w:val="0"/>
      <w:marBottom w:val="0"/>
      <w:divBdr>
        <w:top w:val="none" w:sz="0" w:space="0" w:color="auto"/>
        <w:left w:val="none" w:sz="0" w:space="0" w:color="auto"/>
        <w:bottom w:val="none" w:sz="0" w:space="0" w:color="auto"/>
        <w:right w:val="none" w:sz="0" w:space="0" w:color="auto"/>
      </w:divBdr>
    </w:div>
    <w:div w:id="1384910776">
      <w:bodyDiv w:val="1"/>
      <w:marLeft w:val="0"/>
      <w:marRight w:val="0"/>
      <w:marTop w:val="0"/>
      <w:marBottom w:val="0"/>
      <w:divBdr>
        <w:top w:val="none" w:sz="0" w:space="0" w:color="auto"/>
        <w:left w:val="none" w:sz="0" w:space="0" w:color="auto"/>
        <w:bottom w:val="none" w:sz="0" w:space="0" w:color="auto"/>
        <w:right w:val="none" w:sz="0" w:space="0" w:color="auto"/>
      </w:divBdr>
    </w:div>
    <w:div w:id="1385105887">
      <w:bodyDiv w:val="1"/>
      <w:marLeft w:val="0"/>
      <w:marRight w:val="0"/>
      <w:marTop w:val="0"/>
      <w:marBottom w:val="0"/>
      <w:divBdr>
        <w:top w:val="none" w:sz="0" w:space="0" w:color="auto"/>
        <w:left w:val="none" w:sz="0" w:space="0" w:color="auto"/>
        <w:bottom w:val="none" w:sz="0" w:space="0" w:color="auto"/>
        <w:right w:val="none" w:sz="0" w:space="0" w:color="auto"/>
      </w:divBdr>
    </w:div>
    <w:div w:id="1385179128">
      <w:bodyDiv w:val="1"/>
      <w:marLeft w:val="0"/>
      <w:marRight w:val="0"/>
      <w:marTop w:val="0"/>
      <w:marBottom w:val="0"/>
      <w:divBdr>
        <w:top w:val="none" w:sz="0" w:space="0" w:color="auto"/>
        <w:left w:val="none" w:sz="0" w:space="0" w:color="auto"/>
        <w:bottom w:val="none" w:sz="0" w:space="0" w:color="auto"/>
        <w:right w:val="none" w:sz="0" w:space="0" w:color="auto"/>
      </w:divBdr>
    </w:div>
    <w:div w:id="1385255647">
      <w:bodyDiv w:val="1"/>
      <w:marLeft w:val="0"/>
      <w:marRight w:val="0"/>
      <w:marTop w:val="0"/>
      <w:marBottom w:val="0"/>
      <w:divBdr>
        <w:top w:val="none" w:sz="0" w:space="0" w:color="auto"/>
        <w:left w:val="none" w:sz="0" w:space="0" w:color="auto"/>
        <w:bottom w:val="none" w:sz="0" w:space="0" w:color="auto"/>
        <w:right w:val="none" w:sz="0" w:space="0" w:color="auto"/>
      </w:divBdr>
    </w:div>
    <w:div w:id="1385719238">
      <w:bodyDiv w:val="1"/>
      <w:marLeft w:val="0"/>
      <w:marRight w:val="0"/>
      <w:marTop w:val="0"/>
      <w:marBottom w:val="0"/>
      <w:divBdr>
        <w:top w:val="none" w:sz="0" w:space="0" w:color="auto"/>
        <w:left w:val="none" w:sz="0" w:space="0" w:color="auto"/>
        <w:bottom w:val="none" w:sz="0" w:space="0" w:color="auto"/>
        <w:right w:val="none" w:sz="0" w:space="0" w:color="auto"/>
      </w:divBdr>
    </w:div>
    <w:div w:id="1385762661">
      <w:bodyDiv w:val="1"/>
      <w:marLeft w:val="0"/>
      <w:marRight w:val="0"/>
      <w:marTop w:val="0"/>
      <w:marBottom w:val="0"/>
      <w:divBdr>
        <w:top w:val="none" w:sz="0" w:space="0" w:color="auto"/>
        <w:left w:val="none" w:sz="0" w:space="0" w:color="auto"/>
        <w:bottom w:val="none" w:sz="0" w:space="0" w:color="auto"/>
        <w:right w:val="none" w:sz="0" w:space="0" w:color="auto"/>
      </w:divBdr>
    </w:div>
    <w:div w:id="1385788885">
      <w:bodyDiv w:val="1"/>
      <w:marLeft w:val="0"/>
      <w:marRight w:val="0"/>
      <w:marTop w:val="0"/>
      <w:marBottom w:val="0"/>
      <w:divBdr>
        <w:top w:val="none" w:sz="0" w:space="0" w:color="auto"/>
        <w:left w:val="none" w:sz="0" w:space="0" w:color="auto"/>
        <w:bottom w:val="none" w:sz="0" w:space="0" w:color="auto"/>
        <w:right w:val="none" w:sz="0" w:space="0" w:color="auto"/>
      </w:divBdr>
    </w:div>
    <w:div w:id="1385913435">
      <w:bodyDiv w:val="1"/>
      <w:marLeft w:val="0"/>
      <w:marRight w:val="0"/>
      <w:marTop w:val="0"/>
      <w:marBottom w:val="0"/>
      <w:divBdr>
        <w:top w:val="none" w:sz="0" w:space="0" w:color="auto"/>
        <w:left w:val="none" w:sz="0" w:space="0" w:color="auto"/>
        <w:bottom w:val="none" w:sz="0" w:space="0" w:color="auto"/>
        <w:right w:val="none" w:sz="0" w:space="0" w:color="auto"/>
      </w:divBdr>
    </w:div>
    <w:div w:id="1386299637">
      <w:bodyDiv w:val="1"/>
      <w:marLeft w:val="0"/>
      <w:marRight w:val="0"/>
      <w:marTop w:val="0"/>
      <w:marBottom w:val="0"/>
      <w:divBdr>
        <w:top w:val="none" w:sz="0" w:space="0" w:color="auto"/>
        <w:left w:val="none" w:sz="0" w:space="0" w:color="auto"/>
        <w:bottom w:val="none" w:sz="0" w:space="0" w:color="auto"/>
        <w:right w:val="none" w:sz="0" w:space="0" w:color="auto"/>
      </w:divBdr>
    </w:div>
    <w:div w:id="1386446256">
      <w:bodyDiv w:val="1"/>
      <w:marLeft w:val="0"/>
      <w:marRight w:val="0"/>
      <w:marTop w:val="0"/>
      <w:marBottom w:val="0"/>
      <w:divBdr>
        <w:top w:val="none" w:sz="0" w:space="0" w:color="auto"/>
        <w:left w:val="none" w:sz="0" w:space="0" w:color="auto"/>
        <w:bottom w:val="none" w:sz="0" w:space="0" w:color="auto"/>
        <w:right w:val="none" w:sz="0" w:space="0" w:color="auto"/>
      </w:divBdr>
    </w:div>
    <w:div w:id="1386446309">
      <w:bodyDiv w:val="1"/>
      <w:marLeft w:val="0"/>
      <w:marRight w:val="0"/>
      <w:marTop w:val="0"/>
      <w:marBottom w:val="0"/>
      <w:divBdr>
        <w:top w:val="none" w:sz="0" w:space="0" w:color="auto"/>
        <w:left w:val="none" w:sz="0" w:space="0" w:color="auto"/>
        <w:bottom w:val="none" w:sz="0" w:space="0" w:color="auto"/>
        <w:right w:val="none" w:sz="0" w:space="0" w:color="auto"/>
      </w:divBdr>
    </w:div>
    <w:div w:id="1386635599">
      <w:bodyDiv w:val="1"/>
      <w:marLeft w:val="0"/>
      <w:marRight w:val="0"/>
      <w:marTop w:val="0"/>
      <w:marBottom w:val="0"/>
      <w:divBdr>
        <w:top w:val="none" w:sz="0" w:space="0" w:color="auto"/>
        <w:left w:val="none" w:sz="0" w:space="0" w:color="auto"/>
        <w:bottom w:val="none" w:sz="0" w:space="0" w:color="auto"/>
        <w:right w:val="none" w:sz="0" w:space="0" w:color="auto"/>
      </w:divBdr>
    </w:div>
    <w:div w:id="1386641822">
      <w:bodyDiv w:val="1"/>
      <w:marLeft w:val="0"/>
      <w:marRight w:val="0"/>
      <w:marTop w:val="0"/>
      <w:marBottom w:val="0"/>
      <w:divBdr>
        <w:top w:val="none" w:sz="0" w:space="0" w:color="auto"/>
        <w:left w:val="none" w:sz="0" w:space="0" w:color="auto"/>
        <w:bottom w:val="none" w:sz="0" w:space="0" w:color="auto"/>
        <w:right w:val="none" w:sz="0" w:space="0" w:color="auto"/>
      </w:divBdr>
    </w:div>
    <w:div w:id="1386758388">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
    <w:div w:id="1386955843">
      <w:bodyDiv w:val="1"/>
      <w:marLeft w:val="0"/>
      <w:marRight w:val="0"/>
      <w:marTop w:val="0"/>
      <w:marBottom w:val="0"/>
      <w:divBdr>
        <w:top w:val="none" w:sz="0" w:space="0" w:color="auto"/>
        <w:left w:val="none" w:sz="0" w:space="0" w:color="auto"/>
        <w:bottom w:val="none" w:sz="0" w:space="0" w:color="auto"/>
        <w:right w:val="none" w:sz="0" w:space="0" w:color="auto"/>
      </w:divBdr>
    </w:div>
    <w:div w:id="1387028180">
      <w:bodyDiv w:val="1"/>
      <w:marLeft w:val="0"/>
      <w:marRight w:val="0"/>
      <w:marTop w:val="0"/>
      <w:marBottom w:val="0"/>
      <w:divBdr>
        <w:top w:val="none" w:sz="0" w:space="0" w:color="auto"/>
        <w:left w:val="none" w:sz="0" w:space="0" w:color="auto"/>
        <w:bottom w:val="none" w:sz="0" w:space="0" w:color="auto"/>
        <w:right w:val="none" w:sz="0" w:space="0" w:color="auto"/>
      </w:divBdr>
    </w:div>
    <w:div w:id="1387297254">
      <w:bodyDiv w:val="1"/>
      <w:marLeft w:val="0"/>
      <w:marRight w:val="0"/>
      <w:marTop w:val="0"/>
      <w:marBottom w:val="0"/>
      <w:divBdr>
        <w:top w:val="none" w:sz="0" w:space="0" w:color="auto"/>
        <w:left w:val="none" w:sz="0" w:space="0" w:color="auto"/>
        <w:bottom w:val="none" w:sz="0" w:space="0" w:color="auto"/>
        <w:right w:val="none" w:sz="0" w:space="0" w:color="auto"/>
      </w:divBdr>
    </w:div>
    <w:div w:id="1387678227">
      <w:bodyDiv w:val="1"/>
      <w:marLeft w:val="0"/>
      <w:marRight w:val="0"/>
      <w:marTop w:val="0"/>
      <w:marBottom w:val="0"/>
      <w:divBdr>
        <w:top w:val="none" w:sz="0" w:space="0" w:color="auto"/>
        <w:left w:val="none" w:sz="0" w:space="0" w:color="auto"/>
        <w:bottom w:val="none" w:sz="0" w:space="0" w:color="auto"/>
        <w:right w:val="none" w:sz="0" w:space="0" w:color="auto"/>
      </w:divBdr>
    </w:div>
    <w:div w:id="1387683697">
      <w:bodyDiv w:val="1"/>
      <w:marLeft w:val="0"/>
      <w:marRight w:val="0"/>
      <w:marTop w:val="0"/>
      <w:marBottom w:val="0"/>
      <w:divBdr>
        <w:top w:val="none" w:sz="0" w:space="0" w:color="auto"/>
        <w:left w:val="none" w:sz="0" w:space="0" w:color="auto"/>
        <w:bottom w:val="none" w:sz="0" w:space="0" w:color="auto"/>
        <w:right w:val="none" w:sz="0" w:space="0" w:color="auto"/>
      </w:divBdr>
    </w:div>
    <w:div w:id="1387728421">
      <w:bodyDiv w:val="1"/>
      <w:marLeft w:val="0"/>
      <w:marRight w:val="0"/>
      <w:marTop w:val="0"/>
      <w:marBottom w:val="0"/>
      <w:divBdr>
        <w:top w:val="none" w:sz="0" w:space="0" w:color="auto"/>
        <w:left w:val="none" w:sz="0" w:space="0" w:color="auto"/>
        <w:bottom w:val="none" w:sz="0" w:space="0" w:color="auto"/>
        <w:right w:val="none" w:sz="0" w:space="0" w:color="auto"/>
      </w:divBdr>
    </w:div>
    <w:div w:id="1387796710">
      <w:bodyDiv w:val="1"/>
      <w:marLeft w:val="0"/>
      <w:marRight w:val="0"/>
      <w:marTop w:val="0"/>
      <w:marBottom w:val="0"/>
      <w:divBdr>
        <w:top w:val="none" w:sz="0" w:space="0" w:color="auto"/>
        <w:left w:val="none" w:sz="0" w:space="0" w:color="auto"/>
        <w:bottom w:val="none" w:sz="0" w:space="0" w:color="auto"/>
        <w:right w:val="none" w:sz="0" w:space="0" w:color="auto"/>
      </w:divBdr>
    </w:div>
    <w:div w:id="1387877784">
      <w:bodyDiv w:val="1"/>
      <w:marLeft w:val="0"/>
      <w:marRight w:val="0"/>
      <w:marTop w:val="0"/>
      <w:marBottom w:val="0"/>
      <w:divBdr>
        <w:top w:val="none" w:sz="0" w:space="0" w:color="auto"/>
        <w:left w:val="none" w:sz="0" w:space="0" w:color="auto"/>
        <w:bottom w:val="none" w:sz="0" w:space="0" w:color="auto"/>
        <w:right w:val="none" w:sz="0" w:space="0" w:color="auto"/>
      </w:divBdr>
    </w:div>
    <w:div w:id="1387989338">
      <w:bodyDiv w:val="1"/>
      <w:marLeft w:val="0"/>
      <w:marRight w:val="0"/>
      <w:marTop w:val="0"/>
      <w:marBottom w:val="0"/>
      <w:divBdr>
        <w:top w:val="none" w:sz="0" w:space="0" w:color="auto"/>
        <w:left w:val="none" w:sz="0" w:space="0" w:color="auto"/>
        <w:bottom w:val="none" w:sz="0" w:space="0" w:color="auto"/>
        <w:right w:val="none" w:sz="0" w:space="0" w:color="auto"/>
      </w:divBdr>
    </w:div>
    <w:div w:id="1388068533">
      <w:bodyDiv w:val="1"/>
      <w:marLeft w:val="0"/>
      <w:marRight w:val="0"/>
      <w:marTop w:val="0"/>
      <w:marBottom w:val="0"/>
      <w:divBdr>
        <w:top w:val="none" w:sz="0" w:space="0" w:color="auto"/>
        <w:left w:val="none" w:sz="0" w:space="0" w:color="auto"/>
        <w:bottom w:val="none" w:sz="0" w:space="0" w:color="auto"/>
        <w:right w:val="none" w:sz="0" w:space="0" w:color="auto"/>
      </w:divBdr>
    </w:div>
    <w:div w:id="1388184006">
      <w:bodyDiv w:val="1"/>
      <w:marLeft w:val="0"/>
      <w:marRight w:val="0"/>
      <w:marTop w:val="0"/>
      <w:marBottom w:val="0"/>
      <w:divBdr>
        <w:top w:val="none" w:sz="0" w:space="0" w:color="auto"/>
        <w:left w:val="none" w:sz="0" w:space="0" w:color="auto"/>
        <w:bottom w:val="none" w:sz="0" w:space="0" w:color="auto"/>
        <w:right w:val="none" w:sz="0" w:space="0" w:color="auto"/>
      </w:divBdr>
    </w:div>
    <w:div w:id="1388265085">
      <w:bodyDiv w:val="1"/>
      <w:marLeft w:val="0"/>
      <w:marRight w:val="0"/>
      <w:marTop w:val="0"/>
      <w:marBottom w:val="0"/>
      <w:divBdr>
        <w:top w:val="none" w:sz="0" w:space="0" w:color="auto"/>
        <w:left w:val="none" w:sz="0" w:space="0" w:color="auto"/>
        <w:bottom w:val="none" w:sz="0" w:space="0" w:color="auto"/>
        <w:right w:val="none" w:sz="0" w:space="0" w:color="auto"/>
      </w:divBdr>
    </w:div>
    <w:div w:id="1388383269">
      <w:bodyDiv w:val="1"/>
      <w:marLeft w:val="0"/>
      <w:marRight w:val="0"/>
      <w:marTop w:val="0"/>
      <w:marBottom w:val="0"/>
      <w:divBdr>
        <w:top w:val="none" w:sz="0" w:space="0" w:color="auto"/>
        <w:left w:val="none" w:sz="0" w:space="0" w:color="auto"/>
        <w:bottom w:val="none" w:sz="0" w:space="0" w:color="auto"/>
        <w:right w:val="none" w:sz="0" w:space="0" w:color="auto"/>
      </w:divBdr>
    </w:div>
    <w:div w:id="1388457270">
      <w:bodyDiv w:val="1"/>
      <w:marLeft w:val="0"/>
      <w:marRight w:val="0"/>
      <w:marTop w:val="0"/>
      <w:marBottom w:val="0"/>
      <w:divBdr>
        <w:top w:val="none" w:sz="0" w:space="0" w:color="auto"/>
        <w:left w:val="none" w:sz="0" w:space="0" w:color="auto"/>
        <w:bottom w:val="none" w:sz="0" w:space="0" w:color="auto"/>
        <w:right w:val="none" w:sz="0" w:space="0" w:color="auto"/>
      </w:divBdr>
    </w:div>
    <w:div w:id="1388459400">
      <w:bodyDiv w:val="1"/>
      <w:marLeft w:val="0"/>
      <w:marRight w:val="0"/>
      <w:marTop w:val="0"/>
      <w:marBottom w:val="0"/>
      <w:divBdr>
        <w:top w:val="none" w:sz="0" w:space="0" w:color="auto"/>
        <w:left w:val="none" w:sz="0" w:space="0" w:color="auto"/>
        <w:bottom w:val="none" w:sz="0" w:space="0" w:color="auto"/>
        <w:right w:val="none" w:sz="0" w:space="0" w:color="auto"/>
      </w:divBdr>
    </w:div>
    <w:div w:id="1389064337">
      <w:bodyDiv w:val="1"/>
      <w:marLeft w:val="0"/>
      <w:marRight w:val="0"/>
      <w:marTop w:val="0"/>
      <w:marBottom w:val="0"/>
      <w:divBdr>
        <w:top w:val="none" w:sz="0" w:space="0" w:color="auto"/>
        <w:left w:val="none" w:sz="0" w:space="0" w:color="auto"/>
        <w:bottom w:val="none" w:sz="0" w:space="0" w:color="auto"/>
        <w:right w:val="none" w:sz="0" w:space="0" w:color="auto"/>
      </w:divBdr>
    </w:div>
    <w:div w:id="1389106914">
      <w:bodyDiv w:val="1"/>
      <w:marLeft w:val="0"/>
      <w:marRight w:val="0"/>
      <w:marTop w:val="0"/>
      <w:marBottom w:val="0"/>
      <w:divBdr>
        <w:top w:val="none" w:sz="0" w:space="0" w:color="auto"/>
        <w:left w:val="none" w:sz="0" w:space="0" w:color="auto"/>
        <w:bottom w:val="none" w:sz="0" w:space="0" w:color="auto"/>
        <w:right w:val="none" w:sz="0" w:space="0" w:color="auto"/>
      </w:divBdr>
    </w:div>
    <w:div w:id="1389107075">
      <w:bodyDiv w:val="1"/>
      <w:marLeft w:val="0"/>
      <w:marRight w:val="0"/>
      <w:marTop w:val="0"/>
      <w:marBottom w:val="0"/>
      <w:divBdr>
        <w:top w:val="none" w:sz="0" w:space="0" w:color="auto"/>
        <w:left w:val="none" w:sz="0" w:space="0" w:color="auto"/>
        <w:bottom w:val="none" w:sz="0" w:space="0" w:color="auto"/>
        <w:right w:val="none" w:sz="0" w:space="0" w:color="auto"/>
      </w:divBdr>
    </w:div>
    <w:div w:id="1389458192">
      <w:bodyDiv w:val="1"/>
      <w:marLeft w:val="0"/>
      <w:marRight w:val="0"/>
      <w:marTop w:val="0"/>
      <w:marBottom w:val="0"/>
      <w:divBdr>
        <w:top w:val="none" w:sz="0" w:space="0" w:color="auto"/>
        <w:left w:val="none" w:sz="0" w:space="0" w:color="auto"/>
        <w:bottom w:val="none" w:sz="0" w:space="0" w:color="auto"/>
        <w:right w:val="none" w:sz="0" w:space="0" w:color="auto"/>
      </w:divBdr>
    </w:div>
    <w:div w:id="1389765460">
      <w:bodyDiv w:val="1"/>
      <w:marLeft w:val="0"/>
      <w:marRight w:val="0"/>
      <w:marTop w:val="0"/>
      <w:marBottom w:val="0"/>
      <w:divBdr>
        <w:top w:val="none" w:sz="0" w:space="0" w:color="auto"/>
        <w:left w:val="none" w:sz="0" w:space="0" w:color="auto"/>
        <w:bottom w:val="none" w:sz="0" w:space="0" w:color="auto"/>
        <w:right w:val="none" w:sz="0" w:space="0" w:color="auto"/>
      </w:divBdr>
    </w:div>
    <w:div w:id="1389962694">
      <w:bodyDiv w:val="1"/>
      <w:marLeft w:val="0"/>
      <w:marRight w:val="0"/>
      <w:marTop w:val="0"/>
      <w:marBottom w:val="0"/>
      <w:divBdr>
        <w:top w:val="none" w:sz="0" w:space="0" w:color="auto"/>
        <w:left w:val="none" w:sz="0" w:space="0" w:color="auto"/>
        <w:bottom w:val="none" w:sz="0" w:space="0" w:color="auto"/>
        <w:right w:val="none" w:sz="0" w:space="0" w:color="auto"/>
      </w:divBdr>
    </w:div>
    <w:div w:id="1390033265">
      <w:bodyDiv w:val="1"/>
      <w:marLeft w:val="0"/>
      <w:marRight w:val="0"/>
      <w:marTop w:val="0"/>
      <w:marBottom w:val="0"/>
      <w:divBdr>
        <w:top w:val="none" w:sz="0" w:space="0" w:color="auto"/>
        <w:left w:val="none" w:sz="0" w:space="0" w:color="auto"/>
        <w:bottom w:val="none" w:sz="0" w:space="0" w:color="auto"/>
        <w:right w:val="none" w:sz="0" w:space="0" w:color="auto"/>
      </w:divBdr>
    </w:div>
    <w:div w:id="1390573985">
      <w:bodyDiv w:val="1"/>
      <w:marLeft w:val="0"/>
      <w:marRight w:val="0"/>
      <w:marTop w:val="0"/>
      <w:marBottom w:val="0"/>
      <w:divBdr>
        <w:top w:val="none" w:sz="0" w:space="0" w:color="auto"/>
        <w:left w:val="none" w:sz="0" w:space="0" w:color="auto"/>
        <w:bottom w:val="none" w:sz="0" w:space="0" w:color="auto"/>
        <w:right w:val="none" w:sz="0" w:space="0" w:color="auto"/>
      </w:divBdr>
    </w:div>
    <w:div w:id="1390690137">
      <w:bodyDiv w:val="1"/>
      <w:marLeft w:val="0"/>
      <w:marRight w:val="0"/>
      <w:marTop w:val="0"/>
      <w:marBottom w:val="0"/>
      <w:divBdr>
        <w:top w:val="none" w:sz="0" w:space="0" w:color="auto"/>
        <w:left w:val="none" w:sz="0" w:space="0" w:color="auto"/>
        <w:bottom w:val="none" w:sz="0" w:space="0" w:color="auto"/>
        <w:right w:val="none" w:sz="0" w:space="0" w:color="auto"/>
      </w:divBdr>
    </w:div>
    <w:div w:id="1390762294">
      <w:bodyDiv w:val="1"/>
      <w:marLeft w:val="0"/>
      <w:marRight w:val="0"/>
      <w:marTop w:val="0"/>
      <w:marBottom w:val="0"/>
      <w:divBdr>
        <w:top w:val="none" w:sz="0" w:space="0" w:color="auto"/>
        <w:left w:val="none" w:sz="0" w:space="0" w:color="auto"/>
        <w:bottom w:val="none" w:sz="0" w:space="0" w:color="auto"/>
        <w:right w:val="none" w:sz="0" w:space="0" w:color="auto"/>
      </w:divBdr>
    </w:div>
    <w:div w:id="1390836577">
      <w:bodyDiv w:val="1"/>
      <w:marLeft w:val="0"/>
      <w:marRight w:val="0"/>
      <w:marTop w:val="0"/>
      <w:marBottom w:val="0"/>
      <w:divBdr>
        <w:top w:val="none" w:sz="0" w:space="0" w:color="auto"/>
        <w:left w:val="none" w:sz="0" w:space="0" w:color="auto"/>
        <w:bottom w:val="none" w:sz="0" w:space="0" w:color="auto"/>
        <w:right w:val="none" w:sz="0" w:space="0" w:color="auto"/>
      </w:divBdr>
    </w:div>
    <w:div w:id="1391269340">
      <w:bodyDiv w:val="1"/>
      <w:marLeft w:val="0"/>
      <w:marRight w:val="0"/>
      <w:marTop w:val="0"/>
      <w:marBottom w:val="0"/>
      <w:divBdr>
        <w:top w:val="none" w:sz="0" w:space="0" w:color="auto"/>
        <w:left w:val="none" w:sz="0" w:space="0" w:color="auto"/>
        <w:bottom w:val="none" w:sz="0" w:space="0" w:color="auto"/>
        <w:right w:val="none" w:sz="0" w:space="0" w:color="auto"/>
      </w:divBdr>
    </w:div>
    <w:div w:id="1391416300">
      <w:bodyDiv w:val="1"/>
      <w:marLeft w:val="0"/>
      <w:marRight w:val="0"/>
      <w:marTop w:val="0"/>
      <w:marBottom w:val="0"/>
      <w:divBdr>
        <w:top w:val="none" w:sz="0" w:space="0" w:color="auto"/>
        <w:left w:val="none" w:sz="0" w:space="0" w:color="auto"/>
        <w:bottom w:val="none" w:sz="0" w:space="0" w:color="auto"/>
        <w:right w:val="none" w:sz="0" w:space="0" w:color="auto"/>
      </w:divBdr>
    </w:div>
    <w:div w:id="1392146343">
      <w:bodyDiv w:val="1"/>
      <w:marLeft w:val="0"/>
      <w:marRight w:val="0"/>
      <w:marTop w:val="0"/>
      <w:marBottom w:val="0"/>
      <w:divBdr>
        <w:top w:val="none" w:sz="0" w:space="0" w:color="auto"/>
        <w:left w:val="none" w:sz="0" w:space="0" w:color="auto"/>
        <w:bottom w:val="none" w:sz="0" w:space="0" w:color="auto"/>
        <w:right w:val="none" w:sz="0" w:space="0" w:color="auto"/>
      </w:divBdr>
    </w:div>
    <w:div w:id="1392459280">
      <w:bodyDiv w:val="1"/>
      <w:marLeft w:val="0"/>
      <w:marRight w:val="0"/>
      <w:marTop w:val="0"/>
      <w:marBottom w:val="0"/>
      <w:divBdr>
        <w:top w:val="none" w:sz="0" w:space="0" w:color="auto"/>
        <w:left w:val="none" w:sz="0" w:space="0" w:color="auto"/>
        <w:bottom w:val="none" w:sz="0" w:space="0" w:color="auto"/>
        <w:right w:val="none" w:sz="0" w:space="0" w:color="auto"/>
      </w:divBdr>
    </w:div>
    <w:div w:id="1392538516">
      <w:bodyDiv w:val="1"/>
      <w:marLeft w:val="0"/>
      <w:marRight w:val="0"/>
      <w:marTop w:val="0"/>
      <w:marBottom w:val="0"/>
      <w:divBdr>
        <w:top w:val="none" w:sz="0" w:space="0" w:color="auto"/>
        <w:left w:val="none" w:sz="0" w:space="0" w:color="auto"/>
        <w:bottom w:val="none" w:sz="0" w:space="0" w:color="auto"/>
        <w:right w:val="none" w:sz="0" w:space="0" w:color="auto"/>
      </w:divBdr>
    </w:div>
    <w:div w:id="1392657198">
      <w:bodyDiv w:val="1"/>
      <w:marLeft w:val="0"/>
      <w:marRight w:val="0"/>
      <w:marTop w:val="0"/>
      <w:marBottom w:val="0"/>
      <w:divBdr>
        <w:top w:val="none" w:sz="0" w:space="0" w:color="auto"/>
        <w:left w:val="none" w:sz="0" w:space="0" w:color="auto"/>
        <w:bottom w:val="none" w:sz="0" w:space="0" w:color="auto"/>
        <w:right w:val="none" w:sz="0" w:space="0" w:color="auto"/>
      </w:divBdr>
    </w:div>
    <w:div w:id="1393187828">
      <w:bodyDiv w:val="1"/>
      <w:marLeft w:val="0"/>
      <w:marRight w:val="0"/>
      <w:marTop w:val="0"/>
      <w:marBottom w:val="0"/>
      <w:divBdr>
        <w:top w:val="none" w:sz="0" w:space="0" w:color="auto"/>
        <w:left w:val="none" w:sz="0" w:space="0" w:color="auto"/>
        <w:bottom w:val="none" w:sz="0" w:space="0" w:color="auto"/>
        <w:right w:val="none" w:sz="0" w:space="0" w:color="auto"/>
      </w:divBdr>
    </w:div>
    <w:div w:id="1393190794">
      <w:bodyDiv w:val="1"/>
      <w:marLeft w:val="0"/>
      <w:marRight w:val="0"/>
      <w:marTop w:val="0"/>
      <w:marBottom w:val="0"/>
      <w:divBdr>
        <w:top w:val="none" w:sz="0" w:space="0" w:color="auto"/>
        <w:left w:val="none" w:sz="0" w:space="0" w:color="auto"/>
        <w:bottom w:val="none" w:sz="0" w:space="0" w:color="auto"/>
        <w:right w:val="none" w:sz="0" w:space="0" w:color="auto"/>
      </w:divBdr>
    </w:div>
    <w:div w:id="1393196278">
      <w:bodyDiv w:val="1"/>
      <w:marLeft w:val="0"/>
      <w:marRight w:val="0"/>
      <w:marTop w:val="0"/>
      <w:marBottom w:val="0"/>
      <w:divBdr>
        <w:top w:val="none" w:sz="0" w:space="0" w:color="auto"/>
        <w:left w:val="none" w:sz="0" w:space="0" w:color="auto"/>
        <w:bottom w:val="none" w:sz="0" w:space="0" w:color="auto"/>
        <w:right w:val="none" w:sz="0" w:space="0" w:color="auto"/>
      </w:divBdr>
    </w:div>
    <w:div w:id="1393233656">
      <w:bodyDiv w:val="1"/>
      <w:marLeft w:val="0"/>
      <w:marRight w:val="0"/>
      <w:marTop w:val="0"/>
      <w:marBottom w:val="0"/>
      <w:divBdr>
        <w:top w:val="none" w:sz="0" w:space="0" w:color="auto"/>
        <w:left w:val="none" w:sz="0" w:space="0" w:color="auto"/>
        <w:bottom w:val="none" w:sz="0" w:space="0" w:color="auto"/>
        <w:right w:val="none" w:sz="0" w:space="0" w:color="auto"/>
      </w:divBdr>
    </w:div>
    <w:div w:id="1393237052">
      <w:bodyDiv w:val="1"/>
      <w:marLeft w:val="0"/>
      <w:marRight w:val="0"/>
      <w:marTop w:val="0"/>
      <w:marBottom w:val="0"/>
      <w:divBdr>
        <w:top w:val="none" w:sz="0" w:space="0" w:color="auto"/>
        <w:left w:val="none" w:sz="0" w:space="0" w:color="auto"/>
        <w:bottom w:val="none" w:sz="0" w:space="0" w:color="auto"/>
        <w:right w:val="none" w:sz="0" w:space="0" w:color="auto"/>
      </w:divBdr>
    </w:div>
    <w:div w:id="1393238176">
      <w:bodyDiv w:val="1"/>
      <w:marLeft w:val="0"/>
      <w:marRight w:val="0"/>
      <w:marTop w:val="0"/>
      <w:marBottom w:val="0"/>
      <w:divBdr>
        <w:top w:val="none" w:sz="0" w:space="0" w:color="auto"/>
        <w:left w:val="none" w:sz="0" w:space="0" w:color="auto"/>
        <w:bottom w:val="none" w:sz="0" w:space="0" w:color="auto"/>
        <w:right w:val="none" w:sz="0" w:space="0" w:color="auto"/>
      </w:divBdr>
    </w:div>
    <w:div w:id="1393308784">
      <w:bodyDiv w:val="1"/>
      <w:marLeft w:val="0"/>
      <w:marRight w:val="0"/>
      <w:marTop w:val="0"/>
      <w:marBottom w:val="0"/>
      <w:divBdr>
        <w:top w:val="none" w:sz="0" w:space="0" w:color="auto"/>
        <w:left w:val="none" w:sz="0" w:space="0" w:color="auto"/>
        <w:bottom w:val="none" w:sz="0" w:space="0" w:color="auto"/>
        <w:right w:val="none" w:sz="0" w:space="0" w:color="auto"/>
      </w:divBdr>
    </w:div>
    <w:div w:id="1393309898">
      <w:bodyDiv w:val="1"/>
      <w:marLeft w:val="0"/>
      <w:marRight w:val="0"/>
      <w:marTop w:val="0"/>
      <w:marBottom w:val="0"/>
      <w:divBdr>
        <w:top w:val="none" w:sz="0" w:space="0" w:color="auto"/>
        <w:left w:val="none" w:sz="0" w:space="0" w:color="auto"/>
        <w:bottom w:val="none" w:sz="0" w:space="0" w:color="auto"/>
        <w:right w:val="none" w:sz="0" w:space="0" w:color="auto"/>
      </w:divBdr>
    </w:div>
    <w:div w:id="1393432260">
      <w:bodyDiv w:val="1"/>
      <w:marLeft w:val="0"/>
      <w:marRight w:val="0"/>
      <w:marTop w:val="0"/>
      <w:marBottom w:val="0"/>
      <w:divBdr>
        <w:top w:val="none" w:sz="0" w:space="0" w:color="auto"/>
        <w:left w:val="none" w:sz="0" w:space="0" w:color="auto"/>
        <w:bottom w:val="none" w:sz="0" w:space="0" w:color="auto"/>
        <w:right w:val="none" w:sz="0" w:space="0" w:color="auto"/>
      </w:divBdr>
    </w:div>
    <w:div w:id="1393501374">
      <w:bodyDiv w:val="1"/>
      <w:marLeft w:val="0"/>
      <w:marRight w:val="0"/>
      <w:marTop w:val="0"/>
      <w:marBottom w:val="0"/>
      <w:divBdr>
        <w:top w:val="none" w:sz="0" w:space="0" w:color="auto"/>
        <w:left w:val="none" w:sz="0" w:space="0" w:color="auto"/>
        <w:bottom w:val="none" w:sz="0" w:space="0" w:color="auto"/>
        <w:right w:val="none" w:sz="0" w:space="0" w:color="auto"/>
      </w:divBdr>
    </w:div>
    <w:div w:id="1393769126">
      <w:bodyDiv w:val="1"/>
      <w:marLeft w:val="0"/>
      <w:marRight w:val="0"/>
      <w:marTop w:val="0"/>
      <w:marBottom w:val="0"/>
      <w:divBdr>
        <w:top w:val="none" w:sz="0" w:space="0" w:color="auto"/>
        <w:left w:val="none" w:sz="0" w:space="0" w:color="auto"/>
        <w:bottom w:val="none" w:sz="0" w:space="0" w:color="auto"/>
        <w:right w:val="none" w:sz="0" w:space="0" w:color="auto"/>
      </w:divBdr>
    </w:div>
    <w:div w:id="1393774835">
      <w:bodyDiv w:val="1"/>
      <w:marLeft w:val="0"/>
      <w:marRight w:val="0"/>
      <w:marTop w:val="0"/>
      <w:marBottom w:val="0"/>
      <w:divBdr>
        <w:top w:val="none" w:sz="0" w:space="0" w:color="auto"/>
        <w:left w:val="none" w:sz="0" w:space="0" w:color="auto"/>
        <w:bottom w:val="none" w:sz="0" w:space="0" w:color="auto"/>
        <w:right w:val="none" w:sz="0" w:space="0" w:color="auto"/>
      </w:divBdr>
    </w:div>
    <w:div w:id="1394036568">
      <w:bodyDiv w:val="1"/>
      <w:marLeft w:val="0"/>
      <w:marRight w:val="0"/>
      <w:marTop w:val="0"/>
      <w:marBottom w:val="0"/>
      <w:divBdr>
        <w:top w:val="none" w:sz="0" w:space="0" w:color="auto"/>
        <w:left w:val="none" w:sz="0" w:space="0" w:color="auto"/>
        <w:bottom w:val="none" w:sz="0" w:space="0" w:color="auto"/>
        <w:right w:val="none" w:sz="0" w:space="0" w:color="auto"/>
      </w:divBdr>
    </w:div>
    <w:div w:id="1394159749">
      <w:bodyDiv w:val="1"/>
      <w:marLeft w:val="0"/>
      <w:marRight w:val="0"/>
      <w:marTop w:val="0"/>
      <w:marBottom w:val="0"/>
      <w:divBdr>
        <w:top w:val="none" w:sz="0" w:space="0" w:color="auto"/>
        <w:left w:val="none" w:sz="0" w:space="0" w:color="auto"/>
        <w:bottom w:val="none" w:sz="0" w:space="0" w:color="auto"/>
        <w:right w:val="none" w:sz="0" w:space="0" w:color="auto"/>
      </w:divBdr>
    </w:div>
    <w:div w:id="1394162751">
      <w:bodyDiv w:val="1"/>
      <w:marLeft w:val="0"/>
      <w:marRight w:val="0"/>
      <w:marTop w:val="0"/>
      <w:marBottom w:val="0"/>
      <w:divBdr>
        <w:top w:val="none" w:sz="0" w:space="0" w:color="auto"/>
        <w:left w:val="none" w:sz="0" w:space="0" w:color="auto"/>
        <w:bottom w:val="none" w:sz="0" w:space="0" w:color="auto"/>
        <w:right w:val="none" w:sz="0" w:space="0" w:color="auto"/>
      </w:divBdr>
    </w:div>
    <w:div w:id="1394430886">
      <w:bodyDiv w:val="1"/>
      <w:marLeft w:val="0"/>
      <w:marRight w:val="0"/>
      <w:marTop w:val="0"/>
      <w:marBottom w:val="0"/>
      <w:divBdr>
        <w:top w:val="none" w:sz="0" w:space="0" w:color="auto"/>
        <w:left w:val="none" w:sz="0" w:space="0" w:color="auto"/>
        <w:bottom w:val="none" w:sz="0" w:space="0" w:color="auto"/>
        <w:right w:val="none" w:sz="0" w:space="0" w:color="auto"/>
      </w:divBdr>
    </w:div>
    <w:div w:id="1394625069">
      <w:bodyDiv w:val="1"/>
      <w:marLeft w:val="0"/>
      <w:marRight w:val="0"/>
      <w:marTop w:val="0"/>
      <w:marBottom w:val="0"/>
      <w:divBdr>
        <w:top w:val="none" w:sz="0" w:space="0" w:color="auto"/>
        <w:left w:val="none" w:sz="0" w:space="0" w:color="auto"/>
        <w:bottom w:val="none" w:sz="0" w:space="0" w:color="auto"/>
        <w:right w:val="none" w:sz="0" w:space="0" w:color="auto"/>
      </w:divBdr>
    </w:div>
    <w:div w:id="1394742934">
      <w:bodyDiv w:val="1"/>
      <w:marLeft w:val="0"/>
      <w:marRight w:val="0"/>
      <w:marTop w:val="0"/>
      <w:marBottom w:val="0"/>
      <w:divBdr>
        <w:top w:val="none" w:sz="0" w:space="0" w:color="auto"/>
        <w:left w:val="none" w:sz="0" w:space="0" w:color="auto"/>
        <w:bottom w:val="none" w:sz="0" w:space="0" w:color="auto"/>
        <w:right w:val="none" w:sz="0" w:space="0" w:color="auto"/>
      </w:divBdr>
    </w:div>
    <w:div w:id="1394886442">
      <w:bodyDiv w:val="1"/>
      <w:marLeft w:val="0"/>
      <w:marRight w:val="0"/>
      <w:marTop w:val="0"/>
      <w:marBottom w:val="0"/>
      <w:divBdr>
        <w:top w:val="none" w:sz="0" w:space="0" w:color="auto"/>
        <w:left w:val="none" w:sz="0" w:space="0" w:color="auto"/>
        <w:bottom w:val="none" w:sz="0" w:space="0" w:color="auto"/>
        <w:right w:val="none" w:sz="0" w:space="0" w:color="auto"/>
      </w:divBdr>
    </w:div>
    <w:div w:id="1394890011">
      <w:bodyDiv w:val="1"/>
      <w:marLeft w:val="0"/>
      <w:marRight w:val="0"/>
      <w:marTop w:val="0"/>
      <w:marBottom w:val="0"/>
      <w:divBdr>
        <w:top w:val="none" w:sz="0" w:space="0" w:color="auto"/>
        <w:left w:val="none" w:sz="0" w:space="0" w:color="auto"/>
        <w:bottom w:val="none" w:sz="0" w:space="0" w:color="auto"/>
        <w:right w:val="none" w:sz="0" w:space="0" w:color="auto"/>
      </w:divBdr>
    </w:div>
    <w:div w:id="1394935319">
      <w:bodyDiv w:val="1"/>
      <w:marLeft w:val="0"/>
      <w:marRight w:val="0"/>
      <w:marTop w:val="0"/>
      <w:marBottom w:val="0"/>
      <w:divBdr>
        <w:top w:val="none" w:sz="0" w:space="0" w:color="auto"/>
        <w:left w:val="none" w:sz="0" w:space="0" w:color="auto"/>
        <w:bottom w:val="none" w:sz="0" w:space="0" w:color="auto"/>
        <w:right w:val="none" w:sz="0" w:space="0" w:color="auto"/>
      </w:divBdr>
    </w:div>
    <w:div w:id="1394963869">
      <w:bodyDiv w:val="1"/>
      <w:marLeft w:val="0"/>
      <w:marRight w:val="0"/>
      <w:marTop w:val="0"/>
      <w:marBottom w:val="0"/>
      <w:divBdr>
        <w:top w:val="none" w:sz="0" w:space="0" w:color="auto"/>
        <w:left w:val="none" w:sz="0" w:space="0" w:color="auto"/>
        <w:bottom w:val="none" w:sz="0" w:space="0" w:color="auto"/>
        <w:right w:val="none" w:sz="0" w:space="0" w:color="auto"/>
      </w:divBdr>
    </w:div>
    <w:div w:id="1394964106">
      <w:bodyDiv w:val="1"/>
      <w:marLeft w:val="0"/>
      <w:marRight w:val="0"/>
      <w:marTop w:val="0"/>
      <w:marBottom w:val="0"/>
      <w:divBdr>
        <w:top w:val="none" w:sz="0" w:space="0" w:color="auto"/>
        <w:left w:val="none" w:sz="0" w:space="0" w:color="auto"/>
        <w:bottom w:val="none" w:sz="0" w:space="0" w:color="auto"/>
        <w:right w:val="none" w:sz="0" w:space="0" w:color="auto"/>
      </w:divBdr>
    </w:div>
    <w:div w:id="1395199305">
      <w:bodyDiv w:val="1"/>
      <w:marLeft w:val="0"/>
      <w:marRight w:val="0"/>
      <w:marTop w:val="0"/>
      <w:marBottom w:val="0"/>
      <w:divBdr>
        <w:top w:val="none" w:sz="0" w:space="0" w:color="auto"/>
        <w:left w:val="none" w:sz="0" w:space="0" w:color="auto"/>
        <w:bottom w:val="none" w:sz="0" w:space="0" w:color="auto"/>
        <w:right w:val="none" w:sz="0" w:space="0" w:color="auto"/>
      </w:divBdr>
    </w:div>
    <w:div w:id="1395202453">
      <w:bodyDiv w:val="1"/>
      <w:marLeft w:val="0"/>
      <w:marRight w:val="0"/>
      <w:marTop w:val="0"/>
      <w:marBottom w:val="0"/>
      <w:divBdr>
        <w:top w:val="none" w:sz="0" w:space="0" w:color="auto"/>
        <w:left w:val="none" w:sz="0" w:space="0" w:color="auto"/>
        <w:bottom w:val="none" w:sz="0" w:space="0" w:color="auto"/>
        <w:right w:val="none" w:sz="0" w:space="0" w:color="auto"/>
      </w:divBdr>
    </w:div>
    <w:div w:id="1395544410">
      <w:bodyDiv w:val="1"/>
      <w:marLeft w:val="0"/>
      <w:marRight w:val="0"/>
      <w:marTop w:val="0"/>
      <w:marBottom w:val="0"/>
      <w:divBdr>
        <w:top w:val="none" w:sz="0" w:space="0" w:color="auto"/>
        <w:left w:val="none" w:sz="0" w:space="0" w:color="auto"/>
        <w:bottom w:val="none" w:sz="0" w:space="0" w:color="auto"/>
        <w:right w:val="none" w:sz="0" w:space="0" w:color="auto"/>
      </w:divBdr>
    </w:div>
    <w:div w:id="1395659362">
      <w:bodyDiv w:val="1"/>
      <w:marLeft w:val="0"/>
      <w:marRight w:val="0"/>
      <w:marTop w:val="0"/>
      <w:marBottom w:val="0"/>
      <w:divBdr>
        <w:top w:val="none" w:sz="0" w:space="0" w:color="auto"/>
        <w:left w:val="none" w:sz="0" w:space="0" w:color="auto"/>
        <w:bottom w:val="none" w:sz="0" w:space="0" w:color="auto"/>
        <w:right w:val="none" w:sz="0" w:space="0" w:color="auto"/>
      </w:divBdr>
    </w:div>
    <w:div w:id="1395660242">
      <w:bodyDiv w:val="1"/>
      <w:marLeft w:val="0"/>
      <w:marRight w:val="0"/>
      <w:marTop w:val="0"/>
      <w:marBottom w:val="0"/>
      <w:divBdr>
        <w:top w:val="none" w:sz="0" w:space="0" w:color="auto"/>
        <w:left w:val="none" w:sz="0" w:space="0" w:color="auto"/>
        <w:bottom w:val="none" w:sz="0" w:space="0" w:color="auto"/>
        <w:right w:val="none" w:sz="0" w:space="0" w:color="auto"/>
      </w:divBdr>
    </w:div>
    <w:div w:id="1395812700">
      <w:bodyDiv w:val="1"/>
      <w:marLeft w:val="0"/>
      <w:marRight w:val="0"/>
      <w:marTop w:val="0"/>
      <w:marBottom w:val="0"/>
      <w:divBdr>
        <w:top w:val="none" w:sz="0" w:space="0" w:color="auto"/>
        <w:left w:val="none" w:sz="0" w:space="0" w:color="auto"/>
        <w:bottom w:val="none" w:sz="0" w:space="0" w:color="auto"/>
        <w:right w:val="none" w:sz="0" w:space="0" w:color="auto"/>
      </w:divBdr>
    </w:div>
    <w:div w:id="1396050613">
      <w:bodyDiv w:val="1"/>
      <w:marLeft w:val="0"/>
      <w:marRight w:val="0"/>
      <w:marTop w:val="0"/>
      <w:marBottom w:val="0"/>
      <w:divBdr>
        <w:top w:val="none" w:sz="0" w:space="0" w:color="auto"/>
        <w:left w:val="none" w:sz="0" w:space="0" w:color="auto"/>
        <w:bottom w:val="none" w:sz="0" w:space="0" w:color="auto"/>
        <w:right w:val="none" w:sz="0" w:space="0" w:color="auto"/>
      </w:divBdr>
    </w:div>
    <w:div w:id="1396126826">
      <w:bodyDiv w:val="1"/>
      <w:marLeft w:val="0"/>
      <w:marRight w:val="0"/>
      <w:marTop w:val="0"/>
      <w:marBottom w:val="0"/>
      <w:divBdr>
        <w:top w:val="none" w:sz="0" w:space="0" w:color="auto"/>
        <w:left w:val="none" w:sz="0" w:space="0" w:color="auto"/>
        <w:bottom w:val="none" w:sz="0" w:space="0" w:color="auto"/>
        <w:right w:val="none" w:sz="0" w:space="0" w:color="auto"/>
      </w:divBdr>
    </w:div>
    <w:div w:id="1396469952">
      <w:bodyDiv w:val="1"/>
      <w:marLeft w:val="0"/>
      <w:marRight w:val="0"/>
      <w:marTop w:val="0"/>
      <w:marBottom w:val="0"/>
      <w:divBdr>
        <w:top w:val="none" w:sz="0" w:space="0" w:color="auto"/>
        <w:left w:val="none" w:sz="0" w:space="0" w:color="auto"/>
        <w:bottom w:val="none" w:sz="0" w:space="0" w:color="auto"/>
        <w:right w:val="none" w:sz="0" w:space="0" w:color="auto"/>
      </w:divBdr>
    </w:div>
    <w:div w:id="1396588275">
      <w:bodyDiv w:val="1"/>
      <w:marLeft w:val="0"/>
      <w:marRight w:val="0"/>
      <w:marTop w:val="0"/>
      <w:marBottom w:val="0"/>
      <w:divBdr>
        <w:top w:val="none" w:sz="0" w:space="0" w:color="auto"/>
        <w:left w:val="none" w:sz="0" w:space="0" w:color="auto"/>
        <w:bottom w:val="none" w:sz="0" w:space="0" w:color="auto"/>
        <w:right w:val="none" w:sz="0" w:space="0" w:color="auto"/>
      </w:divBdr>
    </w:div>
    <w:div w:id="1396708019">
      <w:bodyDiv w:val="1"/>
      <w:marLeft w:val="0"/>
      <w:marRight w:val="0"/>
      <w:marTop w:val="0"/>
      <w:marBottom w:val="0"/>
      <w:divBdr>
        <w:top w:val="none" w:sz="0" w:space="0" w:color="auto"/>
        <w:left w:val="none" w:sz="0" w:space="0" w:color="auto"/>
        <w:bottom w:val="none" w:sz="0" w:space="0" w:color="auto"/>
        <w:right w:val="none" w:sz="0" w:space="0" w:color="auto"/>
      </w:divBdr>
    </w:div>
    <w:div w:id="1396968681">
      <w:bodyDiv w:val="1"/>
      <w:marLeft w:val="0"/>
      <w:marRight w:val="0"/>
      <w:marTop w:val="0"/>
      <w:marBottom w:val="0"/>
      <w:divBdr>
        <w:top w:val="none" w:sz="0" w:space="0" w:color="auto"/>
        <w:left w:val="none" w:sz="0" w:space="0" w:color="auto"/>
        <w:bottom w:val="none" w:sz="0" w:space="0" w:color="auto"/>
        <w:right w:val="none" w:sz="0" w:space="0" w:color="auto"/>
      </w:divBdr>
    </w:div>
    <w:div w:id="1396974458">
      <w:bodyDiv w:val="1"/>
      <w:marLeft w:val="0"/>
      <w:marRight w:val="0"/>
      <w:marTop w:val="0"/>
      <w:marBottom w:val="0"/>
      <w:divBdr>
        <w:top w:val="none" w:sz="0" w:space="0" w:color="auto"/>
        <w:left w:val="none" w:sz="0" w:space="0" w:color="auto"/>
        <w:bottom w:val="none" w:sz="0" w:space="0" w:color="auto"/>
        <w:right w:val="none" w:sz="0" w:space="0" w:color="auto"/>
      </w:divBdr>
    </w:div>
    <w:div w:id="1397124796">
      <w:bodyDiv w:val="1"/>
      <w:marLeft w:val="0"/>
      <w:marRight w:val="0"/>
      <w:marTop w:val="0"/>
      <w:marBottom w:val="0"/>
      <w:divBdr>
        <w:top w:val="none" w:sz="0" w:space="0" w:color="auto"/>
        <w:left w:val="none" w:sz="0" w:space="0" w:color="auto"/>
        <w:bottom w:val="none" w:sz="0" w:space="0" w:color="auto"/>
        <w:right w:val="none" w:sz="0" w:space="0" w:color="auto"/>
      </w:divBdr>
    </w:div>
    <w:div w:id="1397162951">
      <w:bodyDiv w:val="1"/>
      <w:marLeft w:val="0"/>
      <w:marRight w:val="0"/>
      <w:marTop w:val="0"/>
      <w:marBottom w:val="0"/>
      <w:divBdr>
        <w:top w:val="none" w:sz="0" w:space="0" w:color="auto"/>
        <w:left w:val="none" w:sz="0" w:space="0" w:color="auto"/>
        <w:bottom w:val="none" w:sz="0" w:space="0" w:color="auto"/>
        <w:right w:val="none" w:sz="0" w:space="0" w:color="auto"/>
      </w:divBdr>
    </w:div>
    <w:div w:id="1397170897">
      <w:bodyDiv w:val="1"/>
      <w:marLeft w:val="0"/>
      <w:marRight w:val="0"/>
      <w:marTop w:val="0"/>
      <w:marBottom w:val="0"/>
      <w:divBdr>
        <w:top w:val="none" w:sz="0" w:space="0" w:color="auto"/>
        <w:left w:val="none" w:sz="0" w:space="0" w:color="auto"/>
        <w:bottom w:val="none" w:sz="0" w:space="0" w:color="auto"/>
        <w:right w:val="none" w:sz="0" w:space="0" w:color="auto"/>
      </w:divBdr>
    </w:div>
    <w:div w:id="1397239652">
      <w:bodyDiv w:val="1"/>
      <w:marLeft w:val="0"/>
      <w:marRight w:val="0"/>
      <w:marTop w:val="0"/>
      <w:marBottom w:val="0"/>
      <w:divBdr>
        <w:top w:val="none" w:sz="0" w:space="0" w:color="auto"/>
        <w:left w:val="none" w:sz="0" w:space="0" w:color="auto"/>
        <w:bottom w:val="none" w:sz="0" w:space="0" w:color="auto"/>
        <w:right w:val="none" w:sz="0" w:space="0" w:color="auto"/>
      </w:divBdr>
    </w:div>
    <w:div w:id="1397244692">
      <w:bodyDiv w:val="1"/>
      <w:marLeft w:val="0"/>
      <w:marRight w:val="0"/>
      <w:marTop w:val="0"/>
      <w:marBottom w:val="0"/>
      <w:divBdr>
        <w:top w:val="none" w:sz="0" w:space="0" w:color="auto"/>
        <w:left w:val="none" w:sz="0" w:space="0" w:color="auto"/>
        <w:bottom w:val="none" w:sz="0" w:space="0" w:color="auto"/>
        <w:right w:val="none" w:sz="0" w:space="0" w:color="auto"/>
      </w:divBdr>
    </w:div>
    <w:div w:id="1397512495">
      <w:bodyDiv w:val="1"/>
      <w:marLeft w:val="0"/>
      <w:marRight w:val="0"/>
      <w:marTop w:val="0"/>
      <w:marBottom w:val="0"/>
      <w:divBdr>
        <w:top w:val="none" w:sz="0" w:space="0" w:color="auto"/>
        <w:left w:val="none" w:sz="0" w:space="0" w:color="auto"/>
        <w:bottom w:val="none" w:sz="0" w:space="0" w:color="auto"/>
        <w:right w:val="none" w:sz="0" w:space="0" w:color="auto"/>
      </w:divBdr>
    </w:div>
    <w:div w:id="1397631023">
      <w:bodyDiv w:val="1"/>
      <w:marLeft w:val="0"/>
      <w:marRight w:val="0"/>
      <w:marTop w:val="0"/>
      <w:marBottom w:val="0"/>
      <w:divBdr>
        <w:top w:val="none" w:sz="0" w:space="0" w:color="auto"/>
        <w:left w:val="none" w:sz="0" w:space="0" w:color="auto"/>
        <w:bottom w:val="none" w:sz="0" w:space="0" w:color="auto"/>
        <w:right w:val="none" w:sz="0" w:space="0" w:color="auto"/>
      </w:divBdr>
    </w:div>
    <w:div w:id="1397817800">
      <w:bodyDiv w:val="1"/>
      <w:marLeft w:val="0"/>
      <w:marRight w:val="0"/>
      <w:marTop w:val="0"/>
      <w:marBottom w:val="0"/>
      <w:divBdr>
        <w:top w:val="none" w:sz="0" w:space="0" w:color="auto"/>
        <w:left w:val="none" w:sz="0" w:space="0" w:color="auto"/>
        <w:bottom w:val="none" w:sz="0" w:space="0" w:color="auto"/>
        <w:right w:val="none" w:sz="0" w:space="0" w:color="auto"/>
      </w:divBdr>
    </w:div>
    <w:div w:id="1397821617">
      <w:bodyDiv w:val="1"/>
      <w:marLeft w:val="0"/>
      <w:marRight w:val="0"/>
      <w:marTop w:val="0"/>
      <w:marBottom w:val="0"/>
      <w:divBdr>
        <w:top w:val="none" w:sz="0" w:space="0" w:color="auto"/>
        <w:left w:val="none" w:sz="0" w:space="0" w:color="auto"/>
        <w:bottom w:val="none" w:sz="0" w:space="0" w:color="auto"/>
        <w:right w:val="none" w:sz="0" w:space="0" w:color="auto"/>
      </w:divBdr>
    </w:div>
    <w:div w:id="1398167132">
      <w:bodyDiv w:val="1"/>
      <w:marLeft w:val="0"/>
      <w:marRight w:val="0"/>
      <w:marTop w:val="0"/>
      <w:marBottom w:val="0"/>
      <w:divBdr>
        <w:top w:val="none" w:sz="0" w:space="0" w:color="auto"/>
        <w:left w:val="none" w:sz="0" w:space="0" w:color="auto"/>
        <w:bottom w:val="none" w:sz="0" w:space="0" w:color="auto"/>
        <w:right w:val="none" w:sz="0" w:space="0" w:color="auto"/>
      </w:divBdr>
    </w:div>
    <w:div w:id="1398212243">
      <w:bodyDiv w:val="1"/>
      <w:marLeft w:val="0"/>
      <w:marRight w:val="0"/>
      <w:marTop w:val="0"/>
      <w:marBottom w:val="0"/>
      <w:divBdr>
        <w:top w:val="none" w:sz="0" w:space="0" w:color="auto"/>
        <w:left w:val="none" w:sz="0" w:space="0" w:color="auto"/>
        <w:bottom w:val="none" w:sz="0" w:space="0" w:color="auto"/>
        <w:right w:val="none" w:sz="0" w:space="0" w:color="auto"/>
      </w:divBdr>
    </w:div>
    <w:div w:id="1398287681">
      <w:bodyDiv w:val="1"/>
      <w:marLeft w:val="0"/>
      <w:marRight w:val="0"/>
      <w:marTop w:val="0"/>
      <w:marBottom w:val="0"/>
      <w:divBdr>
        <w:top w:val="none" w:sz="0" w:space="0" w:color="auto"/>
        <w:left w:val="none" w:sz="0" w:space="0" w:color="auto"/>
        <w:bottom w:val="none" w:sz="0" w:space="0" w:color="auto"/>
        <w:right w:val="none" w:sz="0" w:space="0" w:color="auto"/>
      </w:divBdr>
    </w:div>
    <w:div w:id="1398439431">
      <w:bodyDiv w:val="1"/>
      <w:marLeft w:val="0"/>
      <w:marRight w:val="0"/>
      <w:marTop w:val="0"/>
      <w:marBottom w:val="0"/>
      <w:divBdr>
        <w:top w:val="none" w:sz="0" w:space="0" w:color="auto"/>
        <w:left w:val="none" w:sz="0" w:space="0" w:color="auto"/>
        <w:bottom w:val="none" w:sz="0" w:space="0" w:color="auto"/>
        <w:right w:val="none" w:sz="0" w:space="0" w:color="auto"/>
      </w:divBdr>
    </w:div>
    <w:div w:id="1398748273">
      <w:bodyDiv w:val="1"/>
      <w:marLeft w:val="0"/>
      <w:marRight w:val="0"/>
      <w:marTop w:val="0"/>
      <w:marBottom w:val="0"/>
      <w:divBdr>
        <w:top w:val="none" w:sz="0" w:space="0" w:color="auto"/>
        <w:left w:val="none" w:sz="0" w:space="0" w:color="auto"/>
        <w:bottom w:val="none" w:sz="0" w:space="0" w:color="auto"/>
        <w:right w:val="none" w:sz="0" w:space="0" w:color="auto"/>
      </w:divBdr>
    </w:div>
    <w:div w:id="1399012178">
      <w:bodyDiv w:val="1"/>
      <w:marLeft w:val="0"/>
      <w:marRight w:val="0"/>
      <w:marTop w:val="0"/>
      <w:marBottom w:val="0"/>
      <w:divBdr>
        <w:top w:val="none" w:sz="0" w:space="0" w:color="auto"/>
        <w:left w:val="none" w:sz="0" w:space="0" w:color="auto"/>
        <w:bottom w:val="none" w:sz="0" w:space="0" w:color="auto"/>
        <w:right w:val="none" w:sz="0" w:space="0" w:color="auto"/>
      </w:divBdr>
    </w:div>
    <w:div w:id="1399742730">
      <w:bodyDiv w:val="1"/>
      <w:marLeft w:val="0"/>
      <w:marRight w:val="0"/>
      <w:marTop w:val="0"/>
      <w:marBottom w:val="0"/>
      <w:divBdr>
        <w:top w:val="none" w:sz="0" w:space="0" w:color="auto"/>
        <w:left w:val="none" w:sz="0" w:space="0" w:color="auto"/>
        <w:bottom w:val="none" w:sz="0" w:space="0" w:color="auto"/>
        <w:right w:val="none" w:sz="0" w:space="0" w:color="auto"/>
      </w:divBdr>
    </w:div>
    <w:div w:id="1399749095">
      <w:bodyDiv w:val="1"/>
      <w:marLeft w:val="0"/>
      <w:marRight w:val="0"/>
      <w:marTop w:val="0"/>
      <w:marBottom w:val="0"/>
      <w:divBdr>
        <w:top w:val="none" w:sz="0" w:space="0" w:color="auto"/>
        <w:left w:val="none" w:sz="0" w:space="0" w:color="auto"/>
        <w:bottom w:val="none" w:sz="0" w:space="0" w:color="auto"/>
        <w:right w:val="none" w:sz="0" w:space="0" w:color="auto"/>
      </w:divBdr>
    </w:div>
    <w:div w:id="1400248031">
      <w:bodyDiv w:val="1"/>
      <w:marLeft w:val="0"/>
      <w:marRight w:val="0"/>
      <w:marTop w:val="0"/>
      <w:marBottom w:val="0"/>
      <w:divBdr>
        <w:top w:val="none" w:sz="0" w:space="0" w:color="auto"/>
        <w:left w:val="none" w:sz="0" w:space="0" w:color="auto"/>
        <w:bottom w:val="none" w:sz="0" w:space="0" w:color="auto"/>
        <w:right w:val="none" w:sz="0" w:space="0" w:color="auto"/>
      </w:divBdr>
    </w:div>
    <w:div w:id="1400516843">
      <w:bodyDiv w:val="1"/>
      <w:marLeft w:val="0"/>
      <w:marRight w:val="0"/>
      <w:marTop w:val="0"/>
      <w:marBottom w:val="0"/>
      <w:divBdr>
        <w:top w:val="none" w:sz="0" w:space="0" w:color="auto"/>
        <w:left w:val="none" w:sz="0" w:space="0" w:color="auto"/>
        <w:bottom w:val="none" w:sz="0" w:space="0" w:color="auto"/>
        <w:right w:val="none" w:sz="0" w:space="0" w:color="auto"/>
      </w:divBdr>
    </w:div>
    <w:div w:id="1400594669">
      <w:bodyDiv w:val="1"/>
      <w:marLeft w:val="0"/>
      <w:marRight w:val="0"/>
      <w:marTop w:val="0"/>
      <w:marBottom w:val="0"/>
      <w:divBdr>
        <w:top w:val="none" w:sz="0" w:space="0" w:color="auto"/>
        <w:left w:val="none" w:sz="0" w:space="0" w:color="auto"/>
        <w:bottom w:val="none" w:sz="0" w:space="0" w:color="auto"/>
        <w:right w:val="none" w:sz="0" w:space="0" w:color="auto"/>
      </w:divBdr>
    </w:div>
    <w:div w:id="1400666572">
      <w:bodyDiv w:val="1"/>
      <w:marLeft w:val="0"/>
      <w:marRight w:val="0"/>
      <w:marTop w:val="0"/>
      <w:marBottom w:val="0"/>
      <w:divBdr>
        <w:top w:val="none" w:sz="0" w:space="0" w:color="auto"/>
        <w:left w:val="none" w:sz="0" w:space="0" w:color="auto"/>
        <w:bottom w:val="none" w:sz="0" w:space="0" w:color="auto"/>
        <w:right w:val="none" w:sz="0" w:space="0" w:color="auto"/>
      </w:divBdr>
    </w:div>
    <w:div w:id="1400782789">
      <w:bodyDiv w:val="1"/>
      <w:marLeft w:val="0"/>
      <w:marRight w:val="0"/>
      <w:marTop w:val="0"/>
      <w:marBottom w:val="0"/>
      <w:divBdr>
        <w:top w:val="none" w:sz="0" w:space="0" w:color="auto"/>
        <w:left w:val="none" w:sz="0" w:space="0" w:color="auto"/>
        <w:bottom w:val="none" w:sz="0" w:space="0" w:color="auto"/>
        <w:right w:val="none" w:sz="0" w:space="0" w:color="auto"/>
      </w:divBdr>
    </w:div>
    <w:div w:id="1401173692">
      <w:bodyDiv w:val="1"/>
      <w:marLeft w:val="0"/>
      <w:marRight w:val="0"/>
      <w:marTop w:val="0"/>
      <w:marBottom w:val="0"/>
      <w:divBdr>
        <w:top w:val="none" w:sz="0" w:space="0" w:color="auto"/>
        <w:left w:val="none" w:sz="0" w:space="0" w:color="auto"/>
        <w:bottom w:val="none" w:sz="0" w:space="0" w:color="auto"/>
        <w:right w:val="none" w:sz="0" w:space="0" w:color="auto"/>
      </w:divBdr>
    </w:div>
    <w:div w:id="1401177910">
      <w:bodyDiv w:val="1"/>
      <w:marLeft w:val="0"/>
      <w:marRight w:val="0"/>
      <w:marTop w:val="0"/>
      <w:marBottom w:val="0"/>
      <w:divBdr>
        <w:top w:val="none" w:sz="0" w:space="0" w:color="auto"/>
        <w:left w:val="none" w:sz="0" w:space="0" w:color="auto"/>
        <w:bottom w:val="none" w:sz="0" w:space="0" w:color="auto"/>
        <w:right w:val="none" w:sz="0" w:space="0" w:color="auto"/>
      </w:divBdr>
    </w:div>
    <w:div w:id="1401249071">
      <w:bodyDiv w:val="1"/>
      <w:marLeft w:val="0"/>
      <w:marRight w:val="0"/>
      <w:marTop w:val="0"/>
      <w:marBottom w:val="0"/>
      <w:divBdr>
        <w:top w:val="none" w:sz="0" w:space="0" w:color="auto"/>
        <w:left w:val="none" w:sz="0" w:space="0" w:color="auto"/>
        <w:bottom w:val="none" w:sz="0" w:space="0" w:color="auto"/>
        <w:right w:val="none" w:sz="0" w:space="0" w:color="auto"/>
      </w:divBdr>
    </w:div>
    <w:div w:id="1401365589">
      <w:bodyDiv w:val="1"/>
      <w:marLeft w:val="0"/>
      <w:marRight w:val="0"/>
      <w:marTop w:val="0"/>
      <w:marBottom w:val="0"/>
      <w:divBdr>
        <w:top w:val="none" w:sz="0" w:space="0" w:color="auto"/>
        <w:left w:val="none" w:sz="0" w:space="0" w:color="auto"/>
        <w:bottom w:val="none" w:sz="0" w:space="0" w:color="auto"/>
        <w:right w:val="none" w:sz="0" w:space="0" w:color="auto"/>
      </w:divBdr>
    </w:div>
    <w:div w:id="1401437777">
      <w:bodyDiv w:val="1"/>
      <w:marLeft w:val="0"/>
      <w:marRight w:val="0"/>
      <w:marTop w:val="0"/>
      <w:marBottom w:val="0"/>
      <w:divBdr>
        <w:top w:val="none" w:sz="0" w:space="0" w:color="auto"/>
        <w:left w:val="none" w:sz="0" w:space="0" w:color="auto"/>
        <w:bottom w:val="none" w:sz="0" w:space="0" w:color="auto"/>
        <w:right w:val="none" w:sz="0" w:space="0" w:color="auto"/>
      </w:divBdr>
    </w:div>
    <w:div w:id="1401632905">
      <w:bodyDiv w:val="1"/>
      <w:marLeft w:val="0"/>
      <w:marRight w:val="0"/>
      <w:marTop w:val="0"/>
      <w:marBottom w:val="0"/>
      <w:divBdr>
        <w:top w:val="none" w:sz="0" w:space="0" w:color="auto"/>
        <w:left w:val="none" w:sz="0" w:space="0" w:color="auto"/>
        <w:bottom w:val="none" w:sz="0" w:space="0" w:color="auto"/>
        <w:right w:val="none" w:sz="0" w:space="0" w:color="auto"/>
      </w:divBdr>
    </w:div>
    <w:div w:id="1401949153">
      <w:bodyDiv w:val="1"/>
      <w:marLeft w:val="0"/>
      <w:marRight w:val="0"/>
      <w:marTop w:val="0"/>
      <w:marBottom w:val="0"/>
      <w:divBdr>
        <w:top w:val="none" w:sz="0" w:space="0" w:color="auto"/>
        <w:left w:val="none" w:sz="0" w:space="0" w:color="auto"/>
        <w:bottom w:val="none" w:sz="0" w:space="0" w:color="auto"/>
        <w:right w:val="none" w:sz="0" w:space="0" w:color="auto"/>
      </w:divBdr>
    </w:div>
    <w:div w:id="1402096025">
      <w:bodyDiv w:val="1"/>
      <w:marLeft w:val="0"/>
      <w:marRight w:val="0"/>
      <w:marTop w:val="0"/>
      <w:marBottom w:val="0"/>
      <w:divBdr>
        <w:top w:val="none" w:sz="0" w:space="0" w:color="auto"/>
        <w:left w:val="none" w:sz="0" w:space="0" w:color="auto"/>
        <w:bottom w:val="none" w:sz="0" w:space="0" w:color="auto"/>
        <w:right w:val="none" w:sz="0" w:space="0" w:color="auto"/>
      </w:divBdr>
    </w:div>
    <w:div w:id="1402288071">
      <w:bodyDiv w:val="1"/>
      <w:marLeft w:val="0"/>
      <w:marRight w:val="0"/>
      <w:marTop w:val="0"/>
      <w:marBottom w:val="0"/>
      <w:divBdr>
        <w:top w:val="none" w:sz="0" w:space="0" w:color="auto"/>
        <w:left w:val="none" w:sz="0" w:space="0" w:color="auto"/>
        <w:bottom w:val="none" w:sz="0" w:space="0" w:color="auto"/>
        <w:right w:val="none" w:sz="0" w:space="0" w:color="auto"/>
      </w:divBdr>
    </w:div>
    <w:div w:id="1402367530">
      <w:bodyDiv w:val="1"/>
      <w:marLeft w:val="0"/>
      <w:marRight w:val="0"/>
      <w:marTop w:val="0"/>
      <w:marBottom w:val="0"/>
      <w:divBdr>
        <w:top w:val="none" w:sz="0" w:space="0" w:color="auto"/>
        <w:left w:val="none" w:sz="0" w:space="0" w:color="auto"/>
        <w:bottom w:val="none" w:sz="0" w:space="0" w:color="auto"/>
        <w:right w:val="none" w:sz="0" w:space="0" w:color="auto"/>
      </w:divBdr>
    </w:div>
    <w:div w:id="1402558441">
      <w:bodyDiv w:val="1"/>
      <w:marLeft w:val="0"/>
      <w:marRight w:val="0"/>
      <w:marTop w:val="0"/>
      <w:marBottom w:val="0"/>
      <w:divBdr>
        <w:top w:val="none" w:sz="0" w:space="0" w:color="auto"/>
        <w:left w:val="none" w:sz="0" w:space="0" w:color="auto"/>
        <w:bottom w:val="none" w:sz="0" w:space="0" w:color="auto"/>
        <w:right w:val="none" w:sz="0" w:space="0" w:color="auto"/>
      </w:divBdr>
    </w:div>
    <w:div w:id="1402605181">
      <w:bodyDiv w:val="1"/>
      <w:marLeft w:val="0"/>
      <w:marRight w:val="0"/>
      <w:marTop w:val="0"/>
      <w:marBottom w:val="0"/>
      <w:divBdr>
        <w:top w:val="none" w:sz="0" w:space="0" w:color="auto"/>
        <w:left w:val="none" w:sz="0" w:space="0" w:color="auto"/>
        <w:bottom w:val="none" w:sz="0" w:space="0" w:color="auto"/>
        <w:right w:val="none" w:sz="0" w:space="0" w:color="auto"/>
      </w:divBdr>
    </w:div>
    <w:div w:id="1402672828">
      <w:bodyDiv w:val="1"/>
      <w:marLeft w:val="0"/>
      <w:marRight w:val="0"/>
      <w:marTop w:val="0"/>
      <w:marBottom w:val="0"/>
      <w:divBdr>
        <w:top w:val="none" w:sz="0" w:space="0" w:color="auto"/>
        <w:left w:val="none" w:sz="0" w:space="0" w:color="auto"/>
        <w:bottom w:val="none" w:sz="0" w:space="0" w:color="auto"/>
        <w:right w:val="none" w:sz="0" w:space="0" w:color="auto"/>
      </w:divBdr>
    </w:div>
    <w:div w:id="1402868157">
      <w:bodyDiv w:val="1"/>
      <w:marLeft w:val="0"/>
      <w:marRight w:val="0"/>
      <w:marTop w:val="0"/>
      <w:marBottom w:val="0"/>
      <w:divBdr>
        <w:top w:val="none" w:sz="0" w:space="0" w:color="auto"/>
        <w:left w:val="none" w:sz="0" w:space="0" w:color="auto"/>
        <w:bottom w:val="none" w:sz="0" w:space="0" w:color="auto"/>
        <w:right w:val="none" w:sz="0" w:space="0" w:color="auto"/>
      </w:divBdr>
    </w:div>
    <w:div w:id="1402943625">
      <w:bodyDiv w:val="1"/>
      <w:marLeft w:val="0"/>
      <w:marRight w:val="0"/>
      <w:marTop w:val="0"/>
      <w:marBottom w:val="0"/>
      <w:divBdr>
        <w:top w:val="none" w:sz="0" w:space="0" w:color="auto"/>
        <w:left w:val="none" w:sz="0" w:space="0" w:color="auto"/>
        <w:bottom w:val="none" w:sz="0" w:space="0" w:color="auto"/>
        <w:right w:val="none" w:sz="0" w:space="0" w:color="auto"/>
      </w:divBdr>
    </w:div>
    <w:div w:id="1403016848">
      <w:bodyDiv w:val="1"/>
      <w:marLeft w:val="0"/>
      <w:marRight w:val="0"/>
      <w:marTop w:val="0"/>
      <w:marBottom w:val="0"/>
      <w:divBdr>
        <w:top w:val="none" w:sz="0" w:space="0" w:color="auto"/>
        <w:left w:val="none" w:sz="0" w:space="0" w:color="auto"/>
        <w:bottom w:val="none" w:sz="0" w:space="0" w:color="auto"/>
        <w:right w:val="none" w:sz="0" w:space="0" w:color="auto"/>
      </w:divBdr>
    </w:div>
    <w:div w:id="1403020256">
      <w:bodyDiv w:val="1"/>
      <w:marLeft w:val="0"/>
      <w:marRight w:val="0"/>
      <w:marTop w:val="0"/>
      <w:marBottom w:val="0"/>
      <w:divBdr>
        <w:top w:val="none" w:sz="0" w:space="0" w:color="auto"/>
        <w:left w:val="none" w:sz="0" w:space="0" w:color="auto"/>
        <w:bottom w:val="none" w:sz="0" w:space="0" w:color="auto"/>
        <w:right w:val="none" w:sz="0" w:space="0" w:color="auto"/>
      </w:divBdr>
    </w:div>
    <w:div w:id="1403218429">
      <w:bodyDiv w:val="1"/>
      <w:marLeft w:val="0"/>
      <w:marRight w:val="0"/>
      <w:marTop w:val="0"/>
      <w:marBottom w:val="0"/>
      <w:divBdr>
        <w:top w:val="none" w:sz="0" w:space="0" w:color="auto"/>
        <w:left w:val="none" w:sz="0" w:space="0" w:color="auto"/>
        <w:bottom w:val="none" w:sz="0" w:space="0" w:color="auto"/>
        <w:right w:val="none" w:sz="0" w:space="0" w:color="auto"/>
      </w:divBdr>
    </w:div>
    <w:div w:id="1403410634">
      <w:bodyDiv w:val="1"/>
      <w:marLeft w:val="0"/>
      <w:marRight w:val="0"/>
      <w:marTop w:val="0"/>
      <w:marBottom w:val="0"/>
      <w:divBdr>
        <w:top w:val="none" w:sz="0" w:space="0" w:color="auto"/>
        <w:left w:val="none" w:sz="0" w:space="0" w:color="auto"/>
        <w:bottom w:val="none" w:sz="0" w:space="0" w:color="auto"/>
        <w:right w:val="none" w:sz="0" w:space="0" w:color="auto"/>
      </w:divBdr>
    </w:div>
    <w:div w:id="1403524350">
      <w:bodyDiv w:val="1"/>
      <w:marLeft w:val="0"/>
      <w:marRight w:val="0"/>
      <w:marTop w:val="0"/>
      <w:marBottom w:val="0"/>
      <w:divBdr>
        <w:top w:val="none" w:sz="0" w:space="0" w:color="auto"/>
        <w:left w:val="none" w:sz="0" w:space="0" w:color="auto"/>
        <w:bottom w:val="none" w:sz="0" w:space="0" w:color="auto"/>
        <w:right w:val="none" w:sz="0" w:space="0" w:color="auto"/>
      </w:divBdr>
    </w:div>
    <w:div w:id="1403676427">
      <w:bodyDiv w:val="1"/>
      <w:marLeft w:val="0"/>
      <w:marRight w:val="0"/>
      <w:marTop w:val="0"/>
      <w:marBottom w:val="0"/>
      <w:divBdr>
        <w:top w:val="none" w:sz="0" w:space="0" w:color="auto"/>
        <w:left w:val="none" w:sz="0" w:space="0" w:color="auto"/>
        <w:bottom w:val="none" w:sz="0" w:space="0" w:color="auto"/>
        <w:right w:val="none" w:sz="0" w:space="0" w:color="auto"/>
      </w:divBdr>
    </w:div>
    <w:div w:id="1403798174">
      <w:bodyDiv w:val="1"/>
      <w:marLeft w:val="0"/>
      <w:marRight w:val="0"/>
      <w:marTop w:val="0"/>
      <w:marBottom w:val="0"/>
      <w:divBdr>
        <w:top w:val="none" w:sz="0" w:space="0" w:color="auto"/>
        <w:left w:val="none" w:sz="0" w:space="0" w:color="auto"/>
        <w:bottom w:val="none" w:sz="0" w:space="0" w:color="auto"/>
        <w:right w:val="none" w:sz="0" w:space="0" w:color="auto"/>
      </w:divBdr>
    </w:div>
    <w:div w:id="1403913040">
      <w:bodyDiv w:val="1"/>
      <w:marLeft w:val="0"/>
      <w:marRight w:val="0"/>
      <w:marTop w:val="0"/>
      <w:marBottom w:val="0"/>
      <w:divBdr>
        <w:top w:val="none" w:sz="0" w:space="0" w:color="auto"/>
        <w:left w:val="none" w:sz="0" w:space="0" w:color="auto"/>
        <w:bottom w:val="none" w:sz="0" w:space="0" w:color="auto"/>
        <w:right w:val="none" w:sz="0" w:space="0" w:color="auto"/>
      </w:divBdr>
    </w:div>
    <w:div w:id="1404109056">
      <w:bodyDiv w:val="1"/>
      <w:marLeft w:val="0"/>
      <w:marRight w:val="0"/>
      <w:marTop w:val="0"/>
      <w:marBottom w:val="0"/>
      <w:divBdr>
        <w:top w:val="none" w:sz="0" w:space="0" w:color="auto"/>
        <w:left w:val="none" w:sz="0" w:space="0" w:color="auto"/>
        <w:bottom w:val="none" w:sz="0" w:space="0" w:color="auto"/>
        <w:right w:val="none" w:sz="0" w:space="0" w:color="auto"/>
      </w:divBdr>
    </w:div>
    <w:div w:id="1404138729">
      <w:bodyDiv w:val="1"/>
      <w:marLeft w:val="0"/>
      <w:marRight w:val="0"/>
      <w:marTop w:val="0"/>
      <w:marBottom w:val="0"/>
      <w:divBdr>
        <w:top w:val="none" w:sz="0" w:space="0" w:color="auto"/>
        <w:left w:val="none" w:sz="0" w:space="0" w:color="auto"/>
        <w:bottom w:val="none" w:sz="0" w:space="0" w:color="auto"/>
        <w:right w:val="none" w:sz="0" w:space="0" w:color="auto"/>
      </w:divBdr>
    </w:div>
    <w:div w:id="1404182608">
      <w:bodyDiv w:val="1"/>
      <w:marLeft w:val="0"/>
      <w:marRight w:val="0"/>
      <w:marTop w:val="0"/>
      <w:marBottom w:val="0"/>
      <w:divBdr>
        <w:top w:val="none" w:sz="0" w:space="0" w:color="auto"/>
        <w:left w:val="none" w:sz="0" w:space="0" w:color="auto"/>
        <w:bottom w:val="none" w:sz="0" w:space="0" w:color="auto"/>
        <w:right w:val="none" w:sz="0" w:space="0" w:color="auto"/>
      </w:divBdr>
    </w:div>
    <w:div w:id="1404252678">
      <w:bodyDiv w:val="1"/>
      <w:marLeft w:val="0"/>
      <w:marRight w:val="0"/>
      <w:marTop w:val="0"/>
      <w:marBottom w:val="0"/>
      <w:divBdr>
        <w:top w:val="none" w:sz="0" w:space="0" w:color="auto"/>
        <w:left w:val="none" w:sz="0" w:space="0" w:color="auto"/>
        <w:bottom w:val="none" w:sz="0" w:space="0" w:color="auto"/>
        <w:right w:val="none" w:sz="0" w:space="0" w:color="auto"/>
      </w:divBdr>
    </w:div>
    <w:div w:id="1404254862">
      <w:bodyDiv w:val="1"/>
      <w:marLeft w:val="0"/>
      <w:marRight w:val="0"/>
      <w:marTop w:val="0"/>
      <w:marBottom w:val="0"/>
      <w:divBdr>
        <w:top w:val="none" w:sz="0" w:space="0" w:color="auto"/>
        <w:left w:val="none" w:sz="0" w:space="0" w:color="auto"/>
        <w:bottom w:val="none" w:sz="0" w:space="0" w:color="auto"/>
        <w:right w:val="none" w:sz="0" w:space="0" w:color="auto"/>
      </w:divBdr>
    </w:div>
    <w:div w:id="1404257141">
      <w:bodyDiv w:val="1"/>
      <w:marLeft w:val="0"/>
      <w:marRight w:val="0"/>
      <w:marTop w:val="0"/>
      <w:marBottom w:val="0"/>
      <w:divBdr>
        <w:top w:val="none" w:sz="0" w:space="0" w:color="auto"/>
        <w:left w:val="none" w:sz="0" w:space="0" w:color="auto"/>
        <w:bottom w:val="none" w:sz="0" w:space="0" w:color="auto"/>
        <w:right w:val="none" w:sz="0" w:space="0" w:color="auto"/>
      </w:divBdr>
    </w:div>
    <w:div w:id="1404793136">
      <w:bodyDiv w:val="1"/>
      <w:marLeft w:val="0"/>
      <w:marRight w:val="0"/>
      <w:marTop w:val="0"/>
      <w:marBottom w:val="0"/>
      <w:divBdr>
        <w:top w:val="none" w:sz="0" w:space="0" w:color="auto"/>
        <w:left w:val="none" w:sz="0" w:space="0" w:color="auto"/>
        <w:bottom w:val="none" w:sz="0" w:space="0" w:color="auto"/>
        <w:right w:val="none" w:sz="0" w:space="0" w:color="auto"/>
      </w:divBdr>
    </w:div>
    <w:div w:id="1404841370">
      <w:bodyDiv w:val="1"/>
      <w:marLeft w:val="0"/>
      <w:marRight w:val="0"/>
      <w:marTop w:val="0"/>
      <w:marBottom w:val="0"/>
      <w:divBdr>
        <w:top w:val="none" w:sz="0" w:space="0" w:color="auto"/>
        <w:left w:val="none" w:sz="0" w:space="0" w:color="auto"/>
        <w:bottom w:val="none" w:sz="0" w:space="0" w:color="auto"/>
        <w:right w:val="none" w:sz="0" w:space="0" w:color="auto"/>
      </w:divBdr>
    </w:div>
    <w:div w:id="1404911757">
      <w:bodyDiv w:val="1"/>
      <w:marLeft w:val="0"/>
      <w:marRight w:val="0"/>
      <w:marTop w:val="0"/>
      <w:marBottom w:val="0"/>
      <w:divBdr>
        <w:top w:val="none" w:sz="0" w:space="0" w:color="auto"/>
        <w:left w:val="none" w:sz="0" w:space="0" w:color="auto"/>
        <w:bottom w:val="none" w:sz="0" w:space="0" w:color="auto"/>
        <w:right w:val="none" w:sz="0" w:space="0" w:color="auto"/>
      </w:divBdr>
    </w:div>
    <w:div w:id="1404984976">
      <w:bodyDiv w:val="1"/>
      <w:marLeft w:val="0"/>
      <w:marRight w:val="0"/>
      <w:marTop w:val="0"/>
      <w:marBottom w:val="0"/>
      <w:divBdr>
        <w:top w:val="none" w:sz="0" w:space="0" w:color="auto"/>
        <w:left w:val="none" w:sz="0" w:space="0" w:color="auto"/>
        <w:bottom w:val="none" w:sz="0" w:space="0" w:color="auto"/>
        <w:right w:val="none" w:sz="0" w:space="0" w:color="auto"/>
      </w:divBdr>
    </w:div>
    <w:div w:id="1405227841">
      <w:bodyDiv w:val="1"/>
      <w:marLeft w:val="0"/>
      <w:marRight w:val="0"/>
      <w:marTop w:val="0"/>
      <w:marBottom w:val="0"/>
      <w:divBdr>
        <w:top w:val="none" w:sz="0" w:space="0" w:color="auto"/>
        <w:left w:val="none" w:sz="0" w:space="0" w:color="auto"/>
        <w:bottom w:val="none" w:sz="0" w:space="0" w:color="auto"/>
        <w:right w:val="none" w:sz="0" w:space="0" w:color="auto"/>
      </w:divBdr>
    </w:div>
    <w:div w:id="1405301237">
      <w:bodyDiv w:val="1"/>
      <w:marLeft w:val="0"/>
      <w:marRight w:val="0"/>
      <w:marTop w:val="0"/>
      <w:marBottom w:val="0"/>
      <w:divBdr>
        <w:top w:val="none" w:sz="0" w:space="0" w:color="auto"/>
        <w:left w:val="none" w:sz="0" w:space="0" w:color="auto"/>
        <w:bottom w:val="none" w:sz="0" w:space="0" w:color="auto"/>
        <w:right w:val="none" w:sz="0" w:space="0" w:color="auto"/>
      </w:divBdr>
    </w:div>
    <w:div w:id="1405451328">
      <w:bodyDiv w:val="1"/>
      <w:marLeft w:val="0"/>
      <w:marRight w:val="0"/>
      <w:marTop w:val="0"/>
      <w:marBottom w:val="0"/>
      <w:divBdr>
        <w:top w:val="none" w:sz="0" w:space="0" w:color="auto"/>
        <w:left w:val="none" w:sz="0" w:space="0" w:color="auto"/>
        <w:bottom w:val="none" w:sz="0" w:space="0" w:color="auto"/>
        <w:right w:val="none" w:sz="0" w:space="0" w:color="auto"/>
      </w:divBdr>
    </w:div>
    <w:div w:id="1405638123">
      <w:bodyDiv w:val="1"/>
      <w:marLeft w:val="0"/>
      <w:marRight w:val="0"/>
      <w:marTop w:val="0"/>
      <w:marBottom w:val="0"/>
      <w:divBdr>
        <w:top w:val="none" w:sz="0" w:space="0" w:color="auto"/>
        <w:left w:val="none" w:sz="0" w:space="0" w:color="auto"/>
        <w:bottom w:val="none" w:sz="0" w:space="0" w:color="auto"/>
        <w:right w:val="none" w:sz="0" w:space="0" w:color="auto"/>
      </w:divBdr>
    </w:div>
    <w:div w:id="1406025978">
      <w:bodyDiv w:val="1"/>
      <w:marLeft w:val="0"/>
      <w:marRight w:val="0"/>
      <w:marTop w:val="0"/>
      <w:marBottom w:val="0"/>
      <w:divBdr>
        <w:top w:val="none" w:sz="0" w:space="0" w:color="auto"/>
        <w:left w:val="none" w:sz="0" w:space="0" w:color="auto"/>
        <w:bottom w:val="none" w:sz="0" w:space="0" w:color="auto"/>
        <w:right w:val="none" w:sz="0" w:space="0" w:color="auto"/>
      </w:divBdr>
    </w:div>
    <w:div w:id="1406075006">
      <w:bodyDiv w:val="1"/>
      <w:marLeft w:val="0"/>
      <w:marRight w:val="0"/>
      <w:marTop w:val="0"/>
      <w:marBottom w:val="0"/>
      <w:divBdr>
        <w:top w:val="none" w:sz="0" w:space="0" w:color="auto"/>
        <w:left w:val="none" w:sz="0" w:space="0" w:color="auto"/>
        <w:bottom w:val="none" w:sz="0" w:space="0" w:color="auto"/>
        <w:right w:val="none" w:sz="0" w:space="0" w:color="auto"/>
      </w:divBdr>
    </w:div>
    <w:div w:id="1406103859">
      <w:bodyDiv w:val="1"/>
      <w:marLeft w:val="0"/>
      <w:marRight w:val="0"/>
      <w:marTop w:val="0"/>
      <w:marBottom w:val="0"/>
      <w:divBdr>
        <w:top w:val="none" w:sz="0" w:space="0" w:color="auto"/>
        <w:left w:val="none" w:sz="0" w:space="0" w:color="auto"/>
        <w:bottom w:val="none" w:sz="0" w:space="0" w:color="auto"/>
        <w:right w:val="none" w:sz="0" w:space="0" w:color="auto"/>
      </w:divBdr>
    </w:div>
    <w:div w:id="1406107411">
      <w:bodyDiv w:val="1"/>
      <w:marLeft w:val="0"/>
      <w:marRight w:val="0"/>
      <w:marTop w:val="0"/>
      <w:marBottom w:val="0"/>
      <w:divBdr>
        <w:top w:val="none" w:sz="0" w:space="0" w:color="auto"/>
        <w:left w:val="none" w:sz="0" w:space="0" w:color="auto"/>
        <w:bottom w:val="none" w:sz="0" w:space="0" w:color="auto"/>
        <w:right w:val="none" w:sz="0" w:space="0" w:color="auto"/>
      </w:divBdr>
    </w:div>
    <w:div w:id="1406222830">
      <w:bodyDiv w:val="1"/>
      <w:marLeft w:val="0"/>
      <w:marRight w:val="0"/>
      <w:marTop w:val="0"/>
      <w:marBottom w:val="0"/>
      <w:divBdr>
        <w:top w:val="none" w:sz="0" w:space="0" w:color="auto"/>
        <w:left w:val="none" w:sz="0" w:space="0" w:color="auto"/>
        <w:bottom w:val="none" w:sz="0" w:space="0" w:color="auto"/>
        <w:right w:val="none" w:sz="0" w:space="0" w:color="auto"/>
      </w:divBdr>
    </w:div>
    <w:div w:id="1406339923">
      <w:bodyDiv w:val="1"/>
      <w:marLeft w:val="0"/>
      <w:marRight w:val="0"/>
      <w:marTop w:val="0"/>
      <w:marBottom w:val="0"/>
      <w:divBdr>
        <w:top w:val="none" w:sz="0" w:space="0" w:color="auto"/>
        <w:left w:val="none" w:sz="0" w:space="0" w:color="auto"/>
        <w:bottom w:val="none" w:sz="0" w:space="0" w:color="auto"/>
        <w:right w:val="none" w:sz="0" w:space="0" w:color="auto"/>
      </w:divBdr>
    </w:div>
    <w:div w:id="1406412852">
      <w:bodyDiv w:val="1"/>
      <w:marLeft w:val="0"/>
      <w:marRight w:val="0"/>
      <w:marTop w:val="0"/>
      <w:marBottom w:val="0"/>
      <w:divBdr>
        <w:top w:val="none" w:sz="0" w:space="0" w:color="auto"/>
        <w:left w:val="none" w:sz="0" w:space="0" w:color="auto"/>
        <w:bottom w:val="none" w:sz="0" w:space="0" w:color="auto"/>
        <w:right w:val="none" w:sz="0" w:space="0" w:color="auto"/>
      </w:divBdr>
    </w:div>
    <w:div w:id="1406418546">
      <w:bodyDiv w:val="1"/>
      <w:marLeft w:val="0"/>
      <w:marRight w:val="0"/>
      <w:marTop w:val="0"/>
      <w:marBottom w:val="0"/>
      <w:divBdr>
        <w:top w:val="none" w:sz="0" w:space="0" w:color="auto"/>
        <w:left w:val="none" w:sz="0" w:space="0" w:color="auto"/>
        <w:bottom w:val="none" w:sz="0" w:space="0" w:color="auto"/>
        <w:right w:val="none" w:sz="0" w:space="0" w:color="auto"/>
      </w:divBdr>
    </w:div>
    <w:div w:id="1406419128">
      <w:bodyDiv w:val="1"/>
      <w:marLeft w:val="0"/>
      <w:marRight w:val="0"/>
      <w:marTop w:val="0"/>
      <w:marBottom w:val="0"/>
      <w:divBdr>
        <w:top w:val="none" w:sz="0" w:space="0" w:color="auto"/>
        <w:left w:val="none" w:sz="0" w:space="0" w:color="auto"/>
        <w:bottom w:val="none" w:sz="0" w:space="0" w:color="auto"/>
        <w:right w:val="none" w:sz="0" w:space="0" w:color="auto"/>
      </w:divBdr>
    </w:div>
    <w:div w:id="1406538554">
      <w:bodyDiv w:val="1"/>
      <w:marLeft w:val="0"/>
      <w:marRight w:val="0"/>
      <w:marTop w:val="0"/>
      <w:marBottom w:val="0"/>
      <w:divBdr>
        <w:top w:val="none" w:sz="0" w:space="0" w:color="auto"/>
        <w:left w:val="none" w:sz="0" w:space="0" w:color="auto"/>
        <w:bottom w:val="none" w:sz="0" w:space="0" w:color="auto"/>
        <w:right w:val="none" w:sz="0" w:space="0" w:color="auto"/>
      </w:divBdr>
    </w:div>
    <w:div w:id="1406565529">
      <w:bodyDiv w:val="1"/>
      <w:marLeft w:val="0"/>
      <w:marRight w:val="0"/>
      <w:marTop w:val="0"/>
      <w:marBottom w:val="0"/>
      <w:divBdr>
        <w:top w:val="none" w:sz="0" w:space="0" w:color="auto"/>
        <w:left w:val="none" w:sz="0" w:space="0" w:color="auto"/>
        <w:bottom w:val="none" w:sz="0" w:space="0" w:color="auto"/>
        <w:right w:val="none" w:sz="0" w:space="0" w:color="auto"/>
      </w:divBdr>
    </w:div>
    <w:div w:id="1406680654">
      <w:bodyDiv w:val="1"/>
      <w:marLeft w:val="0"/>
      <w:marRight w:val="0"/>
      <w:marTop w:val="0"/>
      <w:marBottom w:val="0"/>
      <w:divBdr>
        <w:top w:val="none" w:sz="0" w:space="0" w:color="auto"/>
        <w:left w:val="none" w:sz="0" w:space="0" w:color="auto"/>
        <w:bottom w:val="none" w:sz="0" w:space="0" w:color="auto"/>
        <w:right w:val="none" w:sz="0" w:space="0" w:color="auto"/>
      </w:divBdr>
    </w:div>
    <w:div w:id="1407219115">
      <w:bodyDiv w:val="1"/>
      <w:marLeft w:val="0"/>
      <w:marRight w:val="0"/>
      <w:marTop w:val="0"/>
      <w:marBottom w:val="0"/>
      <w:divBdr>
        <w:top w:val="none" w:sz="0" w:space="0" w:color="auto"/>
        <w:left w:val="none" w:sz="0" w:space="0" w:color="auto"/>
        <w:bottom w:val="none" w:sz="0" w:space="0" w:color="auto"/>
        <w:right w:val="none" w:sz="0" w:space="0" w:color="auto"/>
      </w:divBdr>
    </w:div>
    <w:div w:id="1407261429">
      <w:bodyDiv w:val="1"/>
      <w:marLeft w:val="0"/>
      <w:marRight w:val="0"/>
      <w:marTop w:val="0"/>
      <w:marBottom w:val="0"/>
      <w:divBdr>
        <w:top w:val="none" w:sz="0" w:space="0" w:color="auto"/>
        <w:left w:val="none" w:sz="0" w:space="0" w:color="auto"/>
        <w:bottom w:val="none" w:sz="0" w:space="0" w:color="auto"/>
        <w:right w:val="none" w:sz="0" w:space="0" w:color="auto"/>
      </w:divBdr>
    </w:div>
    <w:div w:id="1407417177">
      <w:bodyDiv w:val="1"/>
      <w:marLeft w:val="0"/>
      <w:marRight w:val="0"/>
      <w:marTop w:val="0"/>
      <w:marBottom w:val="0"/>
      <w:divBdr>
        <w:top w:val="none" w:sz="0" w:space="0" w:color="auto"/>
        <w:left w:val="none" w:sz="0" w:space="0" w:color="auto"/>
        <w:bottom w:val="none" w:sz="0" w:space="0" w:color="auto"/>
        <w:right w:val="none" w:sz="0" w:space="0" w:color="auto"/>
      </w:divBdr>
    </w:div>
    <w:div w:id="1407417194">
      <w:bodyDiv w:val="1"/>
      <w:marLeft w:val="0"/>
      <w:marRight w:val="0"/>
      <w:marTop w:val="0"/>
      <w:marBottom w:val="0"/>
      <w:divBdr>
        <w:top w:val="none" w:sz="0" w:space="0" w:color="auto"/>
        <w:left w:val="none" w:sz="0" w:space="0" w:color="auto"/>
        <w:bottom w:val="none" w:sz="0" w:space="0" w:color="auto"/>
        <w:right w:val="none" w:sz="0" w:space="0" w:color="auto"/>
      </w:divBdr>
    </w:div>
    <w:div w:id="1407997099">
      <w:bodyDiv w:val="1"/>
      <w:marLeft w:val="0"/>
      <w:marRight w:val="0"/>
      <w:marTop w:val="0"/>
      <w:marBottom w:val="0"/>
      <w:divBdr>
        <w:top w:val="none" w:sz="0" w:space="0" w:color="auto"/>
        <w:left w:val="none" w:sz="0" w:space="0" w:color="auto"/>
        <w:bottom w:val="none" w:sz="0" w:space="0" w:color="auto"/>
        <w:right w:val="none" w:sz="0" w:space="0" w:color="auto"/>
      </w:divBdr>
    </w:div>
    <w:div w:id="1408066351">
      <w:bodyDiv w:val="1"/>
      <w:marLeft w:val="0"/>
      <w:marRight w:val="0"/>
      <w:marTop w:val="0"/>
      <w:marBottom w:val="0"/>
      <w:divBdr>
        <w:top w:val="none" w:sz="0" w:space="0" w:color="auto"/>
        <w:left w:val="none" w:sz="0" w:space="0" w:color="auto"/>
        <w:bottom w:val="none" w:sz="0" w:space="0" w:color="auto"/>
        <w:right w:val="none" w:sz="0" w:space="0" w:color="auto"/>
      </w:divBdr>
    </w:div>
    <w:div w:id="1408072353">
      <w:bodyDiv w:val="1"/>
      <w:marLeft w:val="0"/>
      <w:marRight w:val="0"/>
      <w:marTop w:val="0"/>
      <w:marBottom w:val="0"/>
      <w:divBdr>
        <w:top w:val="none" w:sz="0" w:space="0" w:color="auto"/>
        <w:left w:val="none" w:sz="0" w:space="0" w:color="auto"/>
        <w:bottom w:val="none" w:sz="0" w:space="0" w:color="auto"/>
        <w:right w:val="none" w:sz="0" w:space="0" w:color="auto"/>
      </w:divBdr>
    </w:div>
    <w:div w:id="1408264614">
      <w:bodyDiv w:val="1"/>
      <w:marLeft w:val="0"/>
      <w:marRight w:val="0"/>
      <w:marTop w:val="0"/>
      <w:marBottom w:val="0"/>
      <w:divBdr>
        <w:top w:val="none" w:sz="0" w:space="0" w:color="auto"/>
        <w:left w:val="none" w:sz="0" w:space="0" w:color="auto"/>
        <w:bottom w:val="none" w:sz="0" w:space="0" w:color="auto"/>
        <w:right w:val="none" w:sz="0" w:space="0" w:color="auto"/>
      </w:divBdr>
    </w:div>
    <w:div w:id="1408454675">
      <w:bodyDiv w:val="1"/>
      <w:marLeft w:val="0"/>
      <w:marRight w:val="0"/>
      <w:marTop w:val="0"/>
      <w:marBottom w:val="0"/>
      <w:divBdr>
        <w:top w:val="none" w:sz="0" w:space="0" w:color="auto"/>
        <w:left w:val="none" w:sz="0" w:space="0" w:color="auto"/>
        <w:bottom w:val="none" w:sz="0" w:space="0" w:color="auto"/>
        <w:right w:val="none" w:sz="0" w:space="0" w:color="auto"/>
      </w:divBdr>
    </w:div>
    <w:div w:id="1408574866">
      <w:bodyDiv w:val="1"/>
      <w:marLeft w:val="0"/>
      <w:marRight w:val="0"/>
      <w:marTop w:val="0"/>
      <w:marBottom w:val="0"/>
      <w:divBdr>
        <w:top w:val="none" w:sz="0" w:space="0" w:color="auto"/>
        <w:left w:val="none" w:sz="0" w:space="0" w:color="auto"/>
        <w:bottom w:val="none" w:sz="0" w:space="0" w:color="auto"/>
        <w:right w:val="none" w:sz="0" w:space="0" w:color="auto"/>
      </w:divBdr>
    </w:div>
    <w:div w:id="1408839057">
      <w:bodyDiv w:val="1"/>
      <w:marLeft w:val="0"/>
      <w:marRight w:val="0"/>
      <w:marTop w:val="0"/>
      <w:marBottom w:val="0"/>
      <w:divBdr>
        <w:top w:val="none" w:sz="0" w:space="0" w:color="auto"/>
        <w:left w:val="none" w:sz="0" w:space="0" w:color="auto"/>
        <w:bottom w:val="none" w:sz="0" w:space="0" w:color="auto"/>
        <w:right w:val="none" w:sz="0" w:space="0" w:color="auto"/>
      </w:divBdr>
    </w:div>
    <w:div w:id="1408918454">
      <w:bodyDiv w:val="1"/>
      <w:marLeft w:val="0"/>
      <w:marRight w:val="0"/>
      <w:marTop w:val="0"/>
      <w:marBottom w:val="0"/>
      <w:divBdr>
        <w:top w:val="none" w:sz="0" w:space="0" w:color="auto"/>
        <w:left w:val="none" w:sz="0" w:space="0" w:color="auto"/>
        <w:bottom w:val="none" w:sz="0" w:space="0" w:color="auto"/>
        <w:right w:val="none" w:sz="0" w:space="0" w:color="auto"/>
      </w:divBdr>
    </w:div>
    <w:div w:id="1408962723">
      <w:bodyDiv w:val="1"/>
      <w:marLeft w:val="0"/>
      <w:marRight w:val="0"/>
      <w:marTop w:val="0"/>
      <w:marBottom w:val="0"/>
      <w:divBdr>
        <w:top w:val="none" w:sz="0" w:space="0" w:color="auto"/>
        <w:left w:val="none" w:sz="0" w:space="0" w:color="auto"/>
        <w:bottom w:val="none" w:sz="0" w:space="0" w:color="auto"/>
        <w:right w:val="none" w:sz="0" w:space="0" w:color="auto"/>
      </w:divBdr>
    </w:div>
    <w:div w:id="1409226283">
      <w:bodyDiv w:val="1"/>
      <w:marLeft w:val="0"/>
      <w:marRight w:val="0"/>
      <w:marTop w:val="0"/>
      <w:marBottom w:val="0"/>
      <w:divBdr>
        <w:top w:val="none" w:sz="0" w:space="0" w:color="auto"/>
        <w:left w:val="none" w:sz="0" w:space="0" w:color="auto"/>
        <w:bottom w:val="none" w:sz="0" w:space="0" w:color="auto"/>
        <w:right w:val="none" w:sz="0" w:space="0" w:color="auto"/>
      </w:divBdr>
    </w:div>
    <w:div w:id="1409426860">
      <w:bodyDiv w:val="1"/>
      <w:marLeft w:val="0"/>
      <w:marRight w:val="0"/>
      <w:marTop w:val="0"/>
      <w:marBottom w:val="0"/>
      <w:divBdr>
        <w:top w:val="none" w:sz="0" w:space="0" w:color="auto"/>
        <w:left w:val="none" w:sz="0" w:space="0" w:color="auto"/>
        <w:bottom w:val="none" w:sz="0" w:space="0" w:color="auto"/>
        <w:right w:val="none" w:sz="0" w:space="0" w:color="auto"/>
      </w:divBdr>
    </w:div>
    <w:div w:id="1409496484">
      <w:bodyDiv w:val="1"/>
      <w:marLeft w:val="0"/>
      <w:marRight w:val="0"/>
      <w:marTop w:val="0"/>
      <w:marBottom w:val="0"/>
      <w:divBdr>
        <w:top w:val="none" w:sz="0" w:space="0" w:color="auto"/>
        <w:left w:val="none" w:sz="0" w:space="0" w:color="auto"/>
        <w:bottom w:val="none" w:sz="0" w:space="0" w:color="auto"/>
        <w:right w:val="none" w:sz="0" w:space="0" w:color="auto"/>
      </w:divBdr>
    </w:div>
    <w:div w:id="1409616717">
      <w:bodyDiv w:val="1"/>
      <w:marLeft w:val="0"/>
      <w:marRight w:val="0"/>
      <w:marTop w:val="0"/>
      <w:marBottom w:val="0"/>
      <w:divBdr>
        <w:top w:val="none" w:sz="0" w:space="0" w:color="auto"/>
        <w:left w:val="none" w:sz="0" w:space="0" w:color="auto"/>
        <w:bottom w:val="none" w:sz="0" w:space="0" w:color="auto"/>
        <w:right w:val="none" w:sz="0" w:space="0" w:color="auto"/>
      </w:divBdr>
    </w:div>
    <w:div w:id="1409691211">
      <w:bodyDiv w:val="1"/>
      <w:marLeft w:val="0"/>
      <w:marRight w:val="0"/>
      <w:marTop w:val="0"/>
      <w:marBottom w:val="0"/>
      <w:divBdr>
        <w:top w:val="none" w:sz="0" w:space="0" w:color="auto"/>
        <w:left w:val="none" w:sz="0" w:space="0" w:color="auto"/>
        <w:bottom w:val="none" w:sz="0" w:space="0" w:color="auto"/>
        <w:right w:val="none" w:sz="0" w:space="0" w:color="auto"/>
      </w:divBdr>
    </w:div>
    <w:div w:id="1409764253">
      <w:bodyDiv w:val="1"/>
      <w:marLeft w:val="0"/>
      <w:marRight w:val="0"/>
      <w:marTop w:val="0"/>
      <w:marBottom w:val="0"/>
      <w:divBdr>
        <w:top w:val="none" w:sz="0" w:space="0" w:color="auto"/>
        <w:left w:val="none" w:sz="0" w:space="0" w:color="auto"/>
        <w:bottom w:val="none" w:sz="0" w:space="0" w:color="auto"/>
        <w:right w:val="none" w:sz="0" w:space="0" w:color="auto"/>
      </w:divBdr>
    </w:div>
    <w:div w:id="1409768538">
      <w:bodyDiv w:val="1"/>
      <w:marLeft w:val="0"/>
      <w:marRight w:val="0"/>
      <w:marTop w:val="0"/>
      <w:marBottom w:val="0"/>
      <w:divBdr>
        <w:top w:val="none" w:sz="0" w:space="0" w:color="auto"/>
        <w:left w:val="none" w:sz="0" w:space="0" w:color="auto"/>
        <w:bottom w:val="none" w:sz="0" w:space="0" w:color="auto"/>
        <w:right w:val="none" w:sz="0" w:space="0" w:color="auto"/>
      </w:divBdr>
    </w:div>
    <w:div w:id="1409888662">
      <w:bodyDiv w:val="1"/>
      <w:marLeft w:val="0"/>
      <w:marRight w:val="0"/>
      <w:marTop w:val="0"/>
      <w:marBottom w:val="0"/>
      <w:divBdr>
        <w:top w:val="none" w:sz="0" w:space="0" w:color="auto"/>
        <w:left w:val="none" w:sz="0" w:space="0" w:color="auto"/>
        <w:bottom w:val="none" w:sz="0" w:space="0" w:color="auto"/>
        <w:right w:val="none" w:sz="0" w:space="0" w:color="auto"/>
      </w:divBdr>
    </w:div>
    <w:div w:id="1409964461">
      <w:bodyDiv w:val="1"/>
      <w:marLeft w:val="0"/>
      <w:marRight w:val="0"/>
      <w:marTop w:val="0"/>
      <w:marBottom w:val="0"/>
      <w:divBdr>
        <w:top w:val="none" w:sz="0" w:space="0" w:color="auto"/>
        <w:left w:val="none" w:sz="0" w:space="0" w:color="auto"/>
        <w:bottom w:val="none" w:sz="0" w:space="0" w:color="auto"/>
        <w:right w:val="none" w:sz="0" w:space="0" w:color="auto"/>
      </w:divBdr>
    </w:div>
    <w:div w:id="1410034141">
      <w:bodyDiv w:val="1"/>
      <w:marLeft w:val="0"/>
      <w:marRight w:val="0"/>
      <w:marTop w:val="0"/>
      <w:marBottom w:val="0"/>
      <w:divBdr>
        <w:top w:val="none" w:sz="0" w:space="0" w:color="auto"/>
        <w:left w:val="none" w:sz="0" w:space="0" w:color="auto"/>
        <w:bottom w:val="none" w:sz="0" w:space="0" w:color="auto"/>
        <w:right w:val="none" w:sz="0" w:space="0" w:color="auto"/>
      </w:divBdr>
    </w:div>
    <w:div w:id="1410037585">
      <w:bodyDiv w:val="1"/>
      <w:marLeft w:val="0"/>
      <w:marRight w:val="0"/>
      <w:marTop w:val="0"/>
      <w:marBottom w:val="0"/>
      <w:divBdr>
        <w:top w:val="none" w:sz="0" w:space="0" w:color="auto"/>
        <w:left w:val="none" w:sz="0" w:space="0" w:color="auto"/>
        <w:bottom w:val="none" w:sz="0" w:space="0" w:color="auto"/>
        <w:right w:val="none" w:sz="0" w:space="0" w:color="auto"/>
      </w:divBdr>
    </w:div>
    <w:div w:id="1410230549">
      <w:bodyDiv w:val="1"/>
      <w:marLeft w:val="0"/>
      <w:marRight w:val="0"/>
      <w:marTop w:val="0"/>
      <w:marBottom w:val="0"/>
      <w:divBdr>
        <w:top w:val="none" w:sz="0" w:space="0" w:color="auto"/>
        <w:left w:val="none" w:sz="0" w:space="0" w:color="auto"/>
        <w:bottom w:val="none" w:sz="0" w:space="0" w:color="auto"/>
        <w:right w:val="none" w:sz="0" w:space="0" w:color="auto"/>
      </w:divBdr>
    </w:div>
    <w:div w:id="1410274997">
      <w:bodyDiv w:val="1"/>
      <w:marLeft w:val="0"/>
      <w:marRight w:val="0"/>
      <w:marTop w:val="0"/>
      <w:marBottom w:val="0"/>
      <w:divBdr>
        <w:top w:val="none" w:sz="0" w:space="0" w:color="auto"/>
        <w:left w:val="none" w:sz="0" w:space="0" w:color="auto"/>
        <w:bottom w:val="none" w:sz="0" w:space="0" w:color="auto"/>
        <w:right w:val="none" w:sz="0" w:space="0" w:color="auto"/>
      </w:divBdr>
    </w:div>
    <w:div w:id="1410351379">
      <w:bodyDiv w:val="1"/>
      <w:marLeft w:val="0"/>
      <w:marRight w:val="0"/>
      <w:marTop w:val="0"/>
      <w:marBottom w:val="0"/>
      <w:divBdr>
        <w:top w:val="none" w:sz="0" w:space="0" w:color="auto"/>
        <w:left w:val="none" w:sz="0" w:space="0" w:color="auto"/>
        <w:bottom w:val="none" w:sz="0" w:space="0" w:color="auto"/>
        <w:right w:val="none" w:sz="0" w:space="0" w:color="auto"/>
      </w:divBdr>
    </w:div>
    <w:div w:id="1410498287">
      <w:bodyDiv w:val="1"/>
      <w:marLeft w:val="0"/>
      <w:marRight w:val="0"/>
      <w:marTop w:val="0"/>
      <w:marBottom w:val="0"/>
      <w:divBdr>
        <w:top w:val="none" w:sz="0" w:space="0" w:color="auto"/>
        <w:left w:val="none" w:sz="0" w:space="0" w:color="auto"/>
        <w:bottom w:val="none" w:sz="0" w:space="0" w:color="auto"/>
        <w:right w:val="none" w:sz="0" w:space="0" w:color="auto"/>
      </w:divBdr>
    </w:div>
    <w:div w:id="1410690187">
      <w:bodyDiv w:val="1"/>
      <w:marLeft w:val="0"/>
      <w:marRight w:val="0"/>
      <w:marTop w:val="0"/>
      <w:marBottom w:val="0"/>
      <w:divBdr>
        <w:top w:val="none" w:sz="0" w:space="0" w:color="auto"/>
        <w:left w:val="none" w:sz="0" w:space="0" w:color="auto"/>
        <w:bottom w:val="none" w:sz="0" w:space="0" w:color="auto"/>
        <w:right w:val="none" w:sz="0" w:space="0" w:color="auto"/>
      </w:divBdr>
    </w:div>
    <w:div w:id="1410737557">
      <w:bodyDiv w:val="1"/>
      <w:marLeft w:val="0"/>
      <w:marRight w:val="0"/>
      <w:marTop w:val="0"/>
      <w:marBottom w:val="0"/>
      <w:divBdr>
        <w:top w:val="none" w:sz="0" w:space="0" w:color="auto"/>
        <w:left w:val="none" w:sz="0" w:space="0" w:color="auto"/>
        <w:bottom w:val="none" w:sz="0" w:space="0" w:color="auto"/>
        <w:right w:val="none" w:sz="0" w:space="0" w:color="auto"/>
      </w:divBdr>
    </w:div>
    <w:div w:id="1410925129">
      <w:bodyDiv w:val="1"/>
      <w:marLeft w:val="0"/>
      <w:marRight w:val="0"/>
      <w:marTop w:val="0"/>
      <w:marBottom w:val="0"/>
      <w:divBdr>
        <w:top w:val="none" w:sz="0" w:space="0" w:color="auto"/>
        <w:left w:val="none" w:sz="0" w:space="0" w:color="auto"/>
        <w:bottom w:val="none" w:sz="0" w:space="0" w:color="auto"/>
        <w:right w:val="none" w:sz="0" w:space="0" w:color="auto"/>
      </w:divBdr>
    </w:div>
    <w:div w:id="1411191624">
      <w:bodyDiv w:val="1"/>
      <w:marLeft w:val="0"/>
      <w:marRight w:val="0"/>
      <w:marTop w:val="0"/>
      <w:marBottom w:val="0"/>
      <w:divBdr>
        <w:top w:val="none" w:sz="0" w:space="0" w:color="auto"/>
        <w:left w:val="none" w:sz="0" w:space="0" w:color="auto"/>
        <w:bottom w:val="none" w:sz="0" w:space="0" w:color="auto"/>
        <w:right w:val="none" w:sz="0" w:space="0" w:color="auto"/>
      </w:divBdr>
    </w:div>
    <w:div w:id="1411346118">
      <w:bodyDiv w:val="1"/>
      <w:marLeft w:val="0"/>
      <w:marRight w:val="0"/>
      <w:marTop w:val="0"/>
      <w:marBottom w:val="0"/>
      <w:divBdr>
        <w:top w:val="none" w:sz="0" w:space="0" w:color="auto"/>
        <w:left w:val="none" w:sz="0" w:space="0" w:color="auto"/>
        <w:bottom w:val="none" w:sz="0" w:space="0" w:color="auto"/>
        <w:right w:val="none" w:sz="0" w:space="0" w:color="auto"/>
      </w:divBdr>
    </w:div>
    <w:div w:id="1411388463">
      <w:bodyDiv w:val="1"/>
      <w:marLeft w:val="0"/>
      <w:marRight w:val="0"/>
      <w:marTop w:val="0"/>
      <w:marBottom w:val="0"/>
      <w:divBdr>
        <w:top w:val="none" w:sz="0" w:space="0" w:color="auto"/>
        <w:left w:val="none" w:sz="0" w:space="0" w:color="auto"/>
        <w:bottom w:val="none" w:sz="0" w:space="0" w:color="auto"/>
        <w:right w:val="none" w:sz="0" w:space="0" w:color="auto"/>
      </w:divBdr>
    </w:div>
    <w:div w:id="1412044799">
      <w:bodyDiv w:val="1"/>
      <w:marLeft w:val="0"/>
      <w:marRight w:val="0"/>
      <w:marTop w:val="0"/>
      <w:marBottom w:val="0"/>
      <w:divBdr>
        <w:top w:val="none" w:sz="0" w:space="0" w:color="auto"/>
        <w:left w:val="none" w:sz="0" w:space="0" w:color="auto"/>
        <w:bottom w:val="none" w:sz="0" w:space="0" w:color="auto"/>
        <w:right w:val="none" w:sz="0" w:space="0" w:color="auto"/>
      </w:divBdr>
    </w:div>
    <w:div w:id="1412311247">
      <w:bodyDiv w:val="1"/>
      <w:marLeft w:val="0"/>
      <w:marRight w:val="0"/>
      <w:marTop w:val="0"/>
      <w:marBottom w:val="0"/>
      <w:divBdr>
        <w:top w:val="none" w:sz="0" w:space="0" w:color="auto"/>
        <w:left w:val="none" w:sz="0" w:space="0" w:color="auto"/>
        <w:bottom w:val="none" w:sz="0" w:space="0" w:color="auto"/>
        <w:right w:val="none" w:sz="0" w:space="0" w:color="auto"/>
      </w:divBdr>
    </w:div>
    <w:div w:id="1412313577">
      <w:bodyDiv w:val="1"/>
      <w:marLeft w:val="0"/>
      <w:marRight w:val="0"/>
      <w:marTop w:val="0"/>
      <w:marBottom w:val="0"/>
      <w:divBdr>
        <w:top w:val="none" w:sz="0" w:space="0" w:color="auto"/>
        <w:left w:val="none" w:sz="0" w:space="0" w:color="auto"/>
        <w:bottom w:val="none" w:sz="0" w:space="0" w:color="auto"/>
        <w:right w:val="none" w:sz="0" w:space="0" w:color="auto"/>
      </w:divBdr>
    </w:div>
    <w:div w:id="1412509562">
      <w:bodyDiv w:val="1"/>
      <w:marLeft w:val="0"/>
      <w:marRight w:val="0"/>
      <w:marTop w:val="0"/>
      <w:marBottom w:val="0"/>
      <w:divBdr>
        <w:top w:val="none" w:sz="0" w:space="0" w:color="auto"/>
        <w:left w:val="none" w:sz="0" w:space="0" w:color="auto"/>
        <w:bottom w:val="none" w:sz="0" w:space="0" w:color="auto"/>
        <w:right w:val="none" w:sz="0" w:space="0" w:color="auto"/>
      </w:divBdr>
    </w:div>
    <w:div w:id="1412698104">
      <w:bodyDiv w:val="1"/>
      <w:marLeft w:val="0"/>
      <w:marRight w:val="0"/>
      <w:marTop w:val="0"/>
      <w:marBottom w:val="0"/>
      <w:divBdr>
        <w:top w:val="none" w:sz="0" w:space="0" w:color="auto"/>
        <w:left w:val="none" w:sz="0" w:space="0" w:color="auto"/>
        <w:bottom w:val="none" w:sz="0" w:space="0" w:color="auto"/>
        <w:right w:val="none" w:sz="0" w:space="0" w:color="auto"/>
      </w:divBdr>
    </w:div>
    <w:div w:id="1412848822">
      <w:bodyDiv w:val="1"/>
      <w:marLeft w:val="0"/>
      <w:marRight w:val="0"/>
      <w:marTop w:val="0"/>
      <w:marBottom w:val="0"/>
      <w:divBdr>
        <w:top w:val="none" w:sz="0" w:space="0" w:color="auto"/>
        <w:left w:val="none" w:sz="0" w:space="0" w:color="auto"/>
        <w:bottom w:val="none" w:sz="0" w:space="0" w:color="auto"/>
        <w:right w:val="none" w:sz="0" w:space="0" w:color="auto"/>
      </w:divBdr>
    </w:div>
    <w:div w:id="1413357961">
      <w:bodyDiv w:val="1"/>
      <w:marLeft w:val="0"/>
      <w:marRight w:val="0"/>
      <w:marTop w:val="0"/>
      <w:marBottom w:val="0"/>
      <w:divBdr>
        <w:top w:val="none" w:sz="0" w:space="0" w:color="auto"/>
        <w:left w:val="none" w:sz="0" w:space="0" w:color="auto"/>
        <w:bottom w:val="none" w:sz="0" w:space="0" w:color="auto"/>
        <w:right w:val="none" w:sz="0" w:space="0" w:color="auto"/>
      </w:divBdr>
    </w:div>
    <w:div w:id="1413625898">
      <w:bodyDiv w:val="1"/>
      <w:marLeft w:val="0"/>
      <w:marRight w:val="0"/>
      <w:marTop w:val="0"/>
      <w:marBottom w:val="0"/>
      <w:divBdr>
        <w:top w:val="none" w:sz="0" w:space="0" w:color="auto"/>
        <w:left w:val="none" w:sz="0" w:space="0" w:color="auto"/>
        <w:bottom w:val="none" w:sz="0" w:space="0" w:color="auto"/>
        <w:right w:val="none" w:sz="0" w:space="0" w:color="auto"/>
      </w:divBdr>
    </w:div>
    <w:div w:id="1414401222">
      <w:bodyDiv w:val="1"/>
      <w:marLeft w:val="0"/>
      <w:marRight w:val="0"/>
      <w:marTop w:val="0"/>
      <w:marBottom w:val="0"/>
      <w:divBdr>
        <w:top w:val="none" w:sz="0" w:space="0" w:color="auto"/>
        <w:left w:val="none" w:sz="0" w:space="0" w:color="auto"/>
        <w:bottom w:val="none" w:sz="0" w:space="0" w:color="auto"/>
        <w:right w:val="none" w:sz="0" w:space="0" w:color="auto"/>
      </w:divBdr>
    </w:div>
    <w:div w:id="1414469904">
      <w:bodyDiv w:val="1"/>
      <w:marLeft w:val="0"/>
      <w:marRight w:val="0"/>
      <w:marTop w:val="0"/>
      <w:marBottom w:val="0"/>
      <w:divBdr>
        <w:top w:val="none" w:sz="0" w:space="0" w:color="auto"/>
        <w:left w:val="none" w:sz="0" w:space="0" w:color="auto"/>
        <w:bottom w:val="none" w:sz="0" w:space="0" w:color="auto"/>
        <w:right w:val="none" w:sz="0" w:space="0" w:color="auto"/>
      </w:divBdr>
    </w:div>
    <w:div w:id="1414548216">
      <w:bodyDiv w:val="1"/>
      <w:marLeft w:val="0"/>
      <w:marRight w:val="0"/>
      <w:marTop w:val="0"/>
      <w:marBottom w:val="0"/>
      <w:divBdr>
        <w:top w:val="none" w:sz="0" w:space="0" w:color="auto"/>
        <w:left w:val="none" w:sz="0" w:space="0" w:color="auto"/>
        <w:bottom w:val="none" w:sz="0" w:space="0" w:color="auto"/>
        <w:right w:val="none" w:sz="0" w:space="0" w:color="auto"/>
      </w:divBdr>
    </w:div>
    <w:div w:id="1414938600">
      <w:bodyDiv w:val="1"/>
      <w:marLeft w:val="0"/>
      <w:marRight w:val="0"/>
      <w:marTop w:val="0"/>
      <w:marBottom w:val="0"/>
      <w:divBdr>
        <w:top w:val="none" w:sz="0" w:space="0" w:color="auto"/>
        <w:left w:val="none" w:sz="0" w:space="0" w:color="auto"/>
        <w:bottom w:val="none" w:sz="0" w:space="0" w:color="auto"/>
        <w:right w:val="none" w:sz="0" w:space="0" w:color="auto"/>
      </w:divBdr>
    </w:div>
    <w:div w:id="1415127200">
      <w:bodyDiv w:val="1"/>
      <w:marLeft w:val="0"/>
      <w:marRight w:val="0"/>
      <w:marTop w:val="0"/>
      <w:marBottom w:val="0"/>
      <w:divBdr>
        <w:top w:val="none" w:sz="0" w:space="0" w:color="auto"/>
        <w:left w:val="none" w:sz="0" w:space="0" w:color="auto"/>
        <w:bottom w:val="none" w:sz="0" w:space="0" w:color="auto"/>
        <w:right w:val="none" w:sz="0" w:space="0" w:color="auto"/>
      </w:divBdr>
    </w:div>
    <w:div w:id="1415593029">
      <w:bodyDiv w:val="1"/>
      <w:marLeft w:val="0"/>
      <w:marRight w:val="0"/>
      <w:marTop w:val="0"/>
      <w:marBottom w:val="0"/>
      <w:divBdr>
        <w:top w:val="none" w:sz="0" w:space="0" w:color="auto"/>
        <w:left w:val="none" w:sz="0" w:space="0" w:color="auto"/>
        <w:bottom w:val="none" w:sz="0" w:space="0" w:color="auto"/>
        <w:right w:val="none" w:sz="0" w:space="0" w:color="auto"/>
      </w:divBdr>
    </w:div>
    <w:div w:id="1415593193">
      <w:bodyDiv w:val="1"/>
      <w:marLeft w:val="0"/>
      <w:marRight w:val="0"/>
      <w:marTop w:val="0"/>
      <w:marBottom w:val="0"/>
      <w:divBdr>
        <w:top w:val="none" w:sz="0" w:space="0" w:color="auto"/>
        <w:left w:val="none" w:sz="0" w:space="0" w:color="auto"/>
        <w:bottom w:val="none" w:sz="0" w:space="0" w:color="auto"/>
        <w:right w:val="none" w:sz="0" w:space="0" w:color="auto"/>
      </w:divBdr>
    </w:div>
    <w:div w:id="1415661998">
      <w:bodyDiv w:val="1"/>
      <w:marLeft w:val="0"/>
      <w:marRight w:val="0"/>
      <w:marTop w:val="0"/>
      <w:marBottom w:val="0"/>
      <w:divBdr>
        <w:top w:val="none" w:sz="0" w:space="0" w:color="auto"/>
        <w:left w:val="none" w:sz="0" w:space="0" w:color="auto"/>
        <w:bottom w:val="none" w:sz="0" w:space="0" w:color="auto"/>
        <w:right w:val="none" w:sz="0" w:space="0" w:color="auto"/>
      </w:divBdr>
    </w:div>
    <w:div w:id="1415862801">
      <w:bodyDiv w:val="1"/>
      <w:marLeft w:val="0"/>
      <w:marRight w:val="0"/>
      <w:marTop w:val="0"/>
      <w:marBottom w:val="0"/>
      <w:divBdr>
        <w:top w:val="none" w:sz="0" w:space="0" w:color="auto"/>
        <w:left w:val="none" w:sz="0" w:space="0" w:color="auto"/>
        <w:bottom w:val="none" w:sz="0" w:space="0" w:color="auto"/>
        <w:right w:val="none" w:sz="0" w:space="0" w:color="auto"/>
      </w:divBdr>
    </w:div>
    <w:div w:id="1415932586">
      <w:bodyDiv w:val="1"/>
      <w:marLeft w:val="0"/>
      <w:marRight w:val="0"/>
      <w:marTop w:val="0"/>
      <w:marBottom w:val="0"/>
      <w:divBdr>
        <w:top w:val="none" w:sz="0" w:space="0" w:color="auto"/>
        <w:left w:val="none" w:sz="0" w:space="0" w:color="auto"/>
        <w:bottom w:val="none" w:sz="0" w:space="0" w:color="auto"/>
        <w:right w:val="none" w:sz="0" w:space="0" w:color="auto"/>
      </w:divBdr>
    </w:div>
    <w:div w:id="1416131481">
      <w:bodyDiv w:val="1"/>
      <w:marLeft w:val="0"/>
      <w:marRight w:val="0"/>
      <w:marTop w:val="0"/>
      <w:marBottom w:val="0"/>
      <w:divBdr>
        <w:top w:val="none" w:sz="0" w:space="0" w:color="auto"/>
        <w:left w:val="none" w:sz="0" w:space="0" w:color="auto"/>
        <w:bottom w:val="none" w:sz="0" w:space="0" w:color="auto"/>
        <w:right w:val="none" w:sz="0" w:space="0" w:color="auto"/>
      </w:divBdr>
    </w:div>
    <w:div w:id="1416365090">
      <w:bodyDiv w:val="1"/>
      <w:marLeft w:val="0"/>
      <w:marRight w:val="0"/>
      <w:marTop w:val="0"/>
      <w:marBottom w:val="0"/>
      <w:divBdr>
        <w:top w:val="none" w:sz="0" w:space="0" w:color="auto"/>
        <w:left w:val="none" w:sz="0" w:space="0" w:color="auto"/>
        <w:bottom w:val="none" w:sz="0" w:space="0" w:color="auto"/>
        <w:right w:val="none" w:sz="0" w:space="0" w:color="auto"/>
      </w:divBdr>
    </w:div>
    <w:div w:id="1416509888">
      <w:bodyDiv w:val="1"/>
      <w:marLeft w:val="0"/>
      <w:marRight w:val="0"/>
      <w:marTop w:val="0"/>
      <w:marBottom w:val="0"/>
      <w:divBdr>
        <w:top w:val="none" w:sz="0" w:space="0" w:color="auto"/>
        <w:left w:val="none" w:sz="0" w:space="0" w:color="auto"/>
        <w:bottom w:val="none" w:sz="0" w:space="0" w:color="auto"/>
        <w:right w:val="none" w:sz="0" w:space="0" w:color="auto"/>
      </w:divBdr>
    </w:div>
    <w:div w:id="1416630925">
      <w:bodyDiv w:val="1"/>
      <w:marLeft w:val="0"/>
      <w:marRight w:val="0"/>
      <w:marTop w:val="0"/>
      <w:marBottom w:val="0"/>
      <w:divBdr>
        <w:top w:val="none" w:sz="0" w:space="0" w:color="auto"/>
        <w:left w:val="none" w:sz="0" w:space="0" w:color="auto"/>
        <w:bottom w:val="none" w:sz="0" w:space="0" w:color="auto"/>
        <w:right w:val="none" w:sz="0" w:space="0" w:color="auto"/>
      </w:divBdr>
    </w:div>
    <w:div w:id="1416708399">
      <w:bodyDiv w:val="1"/>
      <w:marLeft w:val="0"/>
      <w:marRight w:val="0"/>
      <w:marTop w:val="0"/>
      <w:marBottom w:val="0"/>
      <w:divBdr>
        <w:top w:val="none" w:sz="0" w:space="0" w:color="auto"/>
        <w:left w:val="none" w:sz="0" w:space="0" w:color="auto"/>
        <w:bottom w:val="none" w:sz="0" w:space="0" w:color="auto"/>
        <w:right w:val="none" w:sz="0" w:space="0" w:color="auto"/>
      </w:divBdr>
    </w:div>
    <w:div w:id="1416854032">
      <w:bodyDiv w:val="1"/>
      <w:marLeft w:val="0"/>
      <w:marRight w:val="0"/>
      <w:marTop w:val="0"/>
      <w:marBottom w:val="0"/>
      <w:divBdr>
        <w:top w:val="none" w:sz="0" w:space="0" w:color="auto"/>
        <w:left w:val="none" w:sz="0" w:space="0" w:color="auto"/>
        <w:bottom w:val="none" w:sz="0" w:space="0" w:color="auto"/>
        <w:right w:val="none" w:sz="0" w:space="0" w:color="auto"/>
      </w:divBdr>
    </w:div>
    <w:div w:id="1417048983">
      <w:bodyDiv w:val="1"/>
      <w:marLeft w:val="0"/>
      <w:marRight w:val="0"/>
      <w:marTop w:val="0"/>
      <w:marBottom w:val="0"/>
      <w:divBdr>
        <w:top w:val="none" w:sz="0" w:space="0" w:color="auto"/>
        <w:left w:val="none" w:sz="0" w:space="0" w:color="auto"/>
        <w:bottom w:val="none" w:sz="0" w:space="0" w:color="auto"/>
        <w:right w:val="none" w:sz="0" w:space="0" w:color="auto"/>
      </w:divBdr>
    </w:div>
    <w:div w:id="1417242204">
      <w:bodyDiv w:val="1"/>
      <w:marLeft w:val="0"/>
      <w:marRight w:val="0"/>
      <w:marTop w:val="0"/>
      <w:marBottom w:val="0"/>
      <w:divBdr>
        <w:top w:val="none" w:sz="0" w:space="0" w:color="auto"/>
        <w:left w:val="none" w:sz="0" w:space="0" w:color="auto"/>
        <w:bottom w:val="none" w:sz="0" w:space="0" w:color="auto"/>
        <w:right w:val="none" w:sz="0" w:space="0" w:color="auto"/>
      </w:divBdr>
    </w:div>
    <w:div w:id="1417819198">
      <w:bodyDiv w:val="1"/>
      <w:marLeft w:val="0"/>
      <w:marRight w:val="0"/>
      <w:marTop w:val="0"/>
      <w:marBottom w:val="0"/>
      <w:divBdr>
        <w:top w:val="none" w:sz="0" w:space="0" w:color="auto"/>
        <w:left w:val="none" w:sz="0" w:space="0" w:color="auto"/>
        <w:bottom w:val="none" w:sz="0" w:space="0" w:color="auto"/>
        <w:right w:val="none" w:sz="0" w:space="0" w:color="auto"/>
      </w:divBdr>
    </w:div>
    <w:div w:id="1417944868">
      <w:bodyDiv w:val="1"/>
      <w:marLeft w:val="0"/>
      <w:marRight w:val="0"/>
      <w:marTop w:val="0"/>
      <w:marBottom w:val="0"/>
      <w:divBdr>
        <w:top w:val="none" w:sz="0" w:space="0" w:color="auto"/>
        <w:left w:val="none" w:sz="0" w:space="0" w:color="auto"/>
        <w:bottom w:val="none" w:sz="0" w:space="0" w:color="auto"/>
        <w:right w:val="none" w:sz="0" w:space="0" w:color="auto"/>
      </w:divBdr>
    </w:div>
    <w:div w:id="1418012948">
      <w:bodyDiv w:val="1"/>
      <w:marLeft w:val="0"/>
      <w:marRight w:val="0"/>
      <w:marTop w:val="0"/>
      <w:marBottom w:val="0"/>
      <w:divBdr>
        <w:top w:val="none" w:sz="0" w:space="0" w:color="auto"/>
        <w:left w:val="none" w:sz="0" w:space="0" w:color="auto"/>
        <w:bottom w:val="none" w:sz="0" w:space="0" w:color="auto"/>
        <w:right w:val="none" w:sz="0" w:space="0" w:color="auto"/>
      </w:divBdr>
    </w:div>
    <w:div w:id="1418016795">
      <w:bodyDiv w:val="1"/>
      <w:marLeft w:val="0"/>
      <w:marRight w:val="0"/>
      <w:marTop w:val="0"/>
      <w:marBottom w:val="0"/>
      <w:divBdr>
        <w:top w:val="none" w:sz="0" w:space="0" w:color="auto"/>
        <w:left w:val="none" w:sz="0" w:space="0" w:color="auto"/>
        <w:bottom w:val="none" w:sz="0" w:space="0" w:color="auto"/>
        <w:right w:val="none" w:sz="0" w:space="0" w:color="auto"/>
      </w:divBdr>
    </w:div>
    <w:div w:id="1418017831">
      <w:bodyDiv w:val="1"/>
      <w:marLeft w:val="0"/>
      <w:marRight w:val="0"/>
      <w:marTop w:val="0"/>
      <w:marBottom w:val="0"/>
      <w:divBdr>
        <w:top w:val="none" w:sz="0" w:space="0" w:color="auto"/>
        <w:left w:val="none" w:sz="0" w:space="0" w:color="auto"/>
        <w:bottom w:val="none" w:sz="0" w:space="0" w:color="auto"/>
        <w:right w:val="none" w:sz="0" w:space="0" w:color="auto"/>
      </w:divBdr>
    </w:div>
    <w:div w:id="1418285592">
      <w:bodyDiv w:val="1"/>
      <w:marLeft w:val="0"/>
      <w:marRight w:val="0"/>
      <w:marTop w:val="0"/>
      <w:marBottom w:val="0"/>
      <w:divBdr>
        <w:top w:val="none" w:sz="0" w:space="0" w:color="auto"/>
        <w:left w:val="none" w:sz="0" w:space="0" w:color="auto"/>
        <w:bottom w:val="none" w:sz="0" w:space="0" w:color="auto"/>
        <w:right w:val="none" w:sz="0" w:space="0" w:color="auto"/>
      </w:divBdr>
    </w:div>
    <w:div w:id="1418357132">
      <w:bodyDiv w:val="1"/>
      <w:marLeft w:val="0"/>
      <w:marRight w:val="0"/>
      <w:marTop w:val="0"/>
      <w:marBottom w:val="0"/>
      <w:divBdr>
        <w:top w:val="none" w:sz="0" w:space="0" w:color="auto"/>
        <w:left w:val="none" w:sz="0" w:space="0" w:color="auto"/>
        <w:bottom w:val="none" w:sz="0" w:space="0" w:color="auto"/>
        <w:right w:val="none" w:sz="0" w:space="0" w:color="auto"/>
      </w:divBdr>
    </w:div>
    <w:div w:id="1418357854">
      <w:bodyDiv w:val="1"/>
      <w:marLeft w:val="0"/>
      <w:marRight w:val="0"/>
      <w:marTop w:val="0"/>
      <w:marBottom w:val="0"/>
      <w:divBdr>
        <w:top w:val="none" w:sz="0" w:space="0" w:color="auto"/>
        <w:left w:val="none" w:sz="0" w:space="0" w:color="auto"/>
        <w:bottom w:val="none" w:sz="0" w:space="0" w:color="auto"/>
        <w:right w:val="none" w:sz="0" w:space="0" w:color="auto"/>
      </w:divBdr>
    </w:div>
    <w:div w:id="1418861073">
      <w:bodyDiv w:val="1"/>
      <w:marLeft w:val="0"/>
      <w:marRight w:val="0"/>
      <w:marTop w:val="0"/>
      <w:marBottom w:val="0"/>
      <w:divBdr>
        <w:top w:val="none" w:sz="0" w:space="0" w:color="auto"/>
        <w:left w:val="none" w:sz="0" w:space="0" w:color="auto"/>
        <w:bottom w:val="none" w:sz="0" w:space="0" w:color="auto"/>
        <w:right w:val="none" w:sz="0" w:space="0" w:color="auto"/>
      </w:divBdr>
    </w:div>
    <w:div w:id="1418939702">
      <w:bodyDiv w:val="1"/>
      <w:marLeft w:val="0"/>
      <w:marRight w:val="0"/>
      <w:marTop w:val="0"/>
      <w:marBottom w:val="0"/>
      <w:divBdr>
        <w:top w:val="none" w:sz="0" w:space="0" w:color="auto"/>
        <w:left w:val="none" w:sz="0" w:space="0" w:color="auto"/>
        <w:bottom w:val="none" w:sz="0" w:space="0" w:color="auto"/>
        <w:right w:val="none" w:sz="0" w:space="0" w:color="auto"/>
      </w:divBdr>
    </w:div>
    <w:div w:id="1418940249">
      <w:bodyDiv w:val="1"/>
      <w:marLeft w:val="0"/>
      <w:marRight w:val="0"/>
      <w:marTop w:val="0"/>
      <w:marBottom w:val="0"/>
      <w:divBdr>
        <w:top w:val="none" w:sz="0" w:space="0" w:color="auto"/>
        <w:left w:val="none" w:sz="0" w:space="0" w:color="auto"/>
        <w:bottom w:val="none" w:sz="0" w:space="0" w:color="auto"/>
        <w:right w:val="none" w:sz="0" w:space="0" w:color="auto"/>
      </w:divBdr>
    </w:div>
    <w:div w:id="1418943453">
      <w:bodyDiv w:val="1"/>
      <w:marLeft w:val="0"/>
      <w:marRight w:val="0"/>
      <w:marTop w:val="0"/>
      <w:marBottom w:val="0"/>
      <w:divBdr>
        <w:top w:val="none" w:sz="0" w:space="0" w:color="auto"/>
        <w:left w:val="none" w:sz="0" w:space="0" w:color="auto"/>
        <w:bottom w:val="none" w:sz="0" w:space="0" w:color="auto"/>
        <w:right w:val="none" w:sz="0" w:space="0" w:color="auto"/>
      </w:divBdr>
    </w:div>
    <w:div w:id="1419131654">
      <w:bodyDiv w:val="1"/>
      <w:marLeft w:val="0"/>
      <w:marRight w:val="0"/>
      <w:marTop w:val="0"/>
      <w:marBottom w:val="0"/>
      <w:divBdr>
        <w:top w:val="none" w:sz="0" w:space="0" w:color="auto"/>
        <w:left w:val="none" w:sz="0" w:space="0" w:color="auto"/>
        <w:bottom w:val="none" w:sz="0" w:space="0" w:color="auto"/>
        <w:right w:val="none" w:sz="0" w:space="0" w:color="auto"/>
      </w:divBdr>
    </w:div>
    <w:div w:id="1419210336">
      <w:bodyDiv w:val="1"/>
      <w:marLeft w:val="0"/>
      <w:marRight w:val="0"/>
      <w:marTop w:val="0"/>
      <w:marBottom w:val="0"/>
      <w:divBdr>
        <w:top w:val="none" w:sz="0" w:space="0" w:color="auto"/>
        <w:left w:val="none" w:sz="0" w:space="0" w:color="auto"/>
        <w:bottom w:val="none" w:sz="0" w:space="0" w:color="auto"/>
        <w:right w:val="none" w:sz="0" w:space="0" w:color="auto"/>
      </w:divBdr>
    </w:div>
    <w:div w:id="1419254454">
      <w:bodyDiv w:val="1"/>
      <w:marLeft w:val="0"/>
      <w:marRight w:val="0"/>
      <w:marTop w:val="0"/>
      <w:marBottom w:val="0"/>
      <w:divBdr>
        <w:top w:val="none" w:sz="0" w:space="0" w:color="auto"/>
        <w:left w:val="none" w:sz="0" w:space="0" w:color="auto"/>
        <w:bottom w:val="none" w:sz="0" w:space="0" w:color="auto"/>
        <w:right w:val="none" w:sz="0" w:space="0" w:color="auto"/>
      </w:divBdr>
    </w:div>
    <w:div w:id="1419406857">
      <w:bodyDiv w:val="1"/>
      <w:marLeft w:val="0"/>
      <w:marRight w:val="0"/>
      <w:marTop w:val="0"/>
      <w:marBottom w:val="0"/>
      <w:divBdr>
        <w:top w:val="none" w:sz="0" w:space="0" w:color="auto"/>
        <w:left w:val="none" w:sz="0" w:space="0" w:color="auto"/>
        <w:bottom w:val="none" w:sz="0" w:space="0" w:color="auto"/>
        <w:right w:val="none" w:sz="0" w:space="0" w:color="auto"/>
      </w:divBdr>
    </w:div>
    <w:div w:id="1419475143">
      <w:bodyDiv w:val="1"/>
      <w:marLeft w:val="0"/>
      <w:marRight w:val="0"/>
      <w:marTop w:val="0"/>
      <w:marBottom w:val="0"/>
      <w:divBdr>
        <w:top w:val="none" w:sz="0" w:space="0" w:color="auto"/>
        <w:left w:val="none" w:sz="0" w:space="0" w:color="auto"/>
        <w:bottom w:val="none" w:sz="0" w:space="0" w:color="auto"/>
        <w:right w:val="none" w:sz="0" w:space="0" w:color="auto"/>
      </w:divBdr>
    </w:div>
    <w:div w:id="1419592517">
      <w:bodyDiv w:val="1"/>
      <w:marLeft w:val="0"/>
      <w:marRight w:val="0"/>
      <w:marTop w:val="0"/>
      <w:marBottom w:val="0"/>
      <w:divBdr>
        <w:top w:val="none" w:sz="0" w:space="0" w:color="auto"/>
        <w:left w:val="none" w:sz="0" w:space="0" w:color="auto"/>
        <w:bottom w:val="none" w:sz="0" w:space="0" w:color="auto"/>
        <w:right w:val="none" w:sz="0" w:space="0" w:color="auto"/>
      </w:divBdr>
    </w:div>
    <w:div w:id="1419596782">
      <w:bodyDiv w:val="1"/>
      <w:marLeft w:val="0"/>
      <w:marRight w:val="0"/>
      <w:marTop w:val="0"/>
      <w:marBottom w:val="0"/>
      <w:divBdr>
        <w:top w:val="none" w:sz="0" w:space="0" w:color="auto"/>
        <w:left w:val="none" w:sz="0" w:space="0" w:color="auto"/>
        <w:bottom w:val="none" w:sz="0" w:space="0" w:color="auto"/>
        <w:right w:val="none" w:sz="0" w:space="0" w:color="auto"/>
      </w:divBdr>
    </w:div>
    <w:div w:id="1420053903">
      <w:bodyDiv w:val="1"/>
      <w:marLeft w:val="0"/>
      <w:marRight w:val="0"/>
      <w:marTop w:val="0"/>
      <w:marBottom w:val="0"/>
      <w:divBdr>
        <w:top w:val="none" w:sz="0" w:space="0" w:color="auto"/>
        <w:left w:val="none" w:sz="0" w:space="0" w:color="auto"/>
        <w:bottom w:val="none" w:sz="0" w:space="0" w:color="auto"/>
        <w:right w:val="none" w:sz="0" w:space="0" w:color="auto"/>
      </w:divBdr>
    </w:div>
    <w:div w:id="1420063123">
      <w:bodyDiv w:val="1"/>
      <w:marLeft w:val="0"/>
      <w:marRight w:val="0"/>
      <w:marTop w:val="0"/>
      <w:marBottom w:val="0"/>
      <w:divBdr>
        <w:top w:val="none" w:sz="0" w:space="0" w:color="auto"/>
        <w:left w:val="none" w:sz="0" w:space="0" w:color="auto"/>
        <w:bottom w:val="none" w:sz="0" w:space="0" w:color="auto"/>
        <w:right w:val="none" w:sz="0" w:space="0" w:color="auto"/>
      </w:divBdr>
    </w:div>
    <w:div w:id="1420249171">
      <w:bodyDiv w:val="1"/>
      <w:marLeft w:val="0"/>
      <w:marRight w:val="0"/>
      <w:marTop w:val="0"/>
      <w:marBottom w:val="0"/>
      <w:divBdr>
        <w:top w:val="none" w:sz="0" w:space="0" w:color="auto"/>
        <w:left w:val="none" w:sz="0" w:space="0" w:color="auto"/>
        <w:bottom w:val="none" w:sz="0" w:space="0" w:color="auto"/>
        <w:right w:val="none" w:sz="0" w:space="0" w:color="auto"/>
      </w:divBdr>
    </w:div>
    <w:div w:id="1420566994">
      <w:bodyDiv w:val="1"/>
      <w:marLeft w:val="0"/>
      <w:marRight w:val="0"/>
      <w:marTop w:val="0"/>
      <w:marBottom w:val="0"/>
      <w:divBdr>
        <w:top w:val="none" w:sz="0" w:space="0" w:color="auto"/>
        <w:left w:val="none" w:sz="0" w:space="0" w:color="auto"/>
        <w:bottom w:val="none" w:sz="0" w:space="0" w:color="auto"/>
        <w:right w:val="none" w:sz="0" w:space="0" w:color="auto"/>
      </w:divBdr>
    </w:div>
    <w:div w:id="1420902416">
      <w:bodyDiv w:val="1"/>
      <w:marLeft w:val="0"/>
      <w:marRight w:val="0"/>
      <w:marTop w:val="0"/>
      <w:marBottom w:val="0"/>
      <w:divBdr>
        <w:top w:val="none" w:sz="0" w:space="0" w:color="auto"/>
        <w:left w:val="none" w:sz="0" w:space="0" w:color="auto"/>
        <w:bottom w:val="none" w:sz="0" w:space="0" w:color="auto"/>
        <w:right w:val="none" w:sz="0" w:space="0" w:color="auto"/>
      </w:divBdr>
    </w:div>
    <w:div w:id="1420903302">
      <w:bodyDiv w:val="1"/>
      <w:marLeft w:val="0"/>
      <w:marRight w:val="0"/>
      <w:marTop w:val="0"/>
      <w:marBottom w:val="0"/>
      <w:divBdr>
        <w:top w:val="none" w:sz="0" w:space="0" w:color="auto"/>
        <w:left w:val="none" w:sz="0" w:space="0" w:color="auto"/>
        <w:bottom w:val="none" w:sz="0" w:space="0" w:color="auto"/>
        <w:right w:val="none" w:sz="0" w:space="0" w:color="auto"/>
      </w:divBdr>
    </w:div>
    <w:div w:id="1421020229">
      <w:bodyDiv w:val="1"/>
      <w:marLeft w:val="0"/>
      <w:marRight w:val="0"/>
      <w:marTop w:val="0"/>
      <w:marBottom w:val="0"/>
      <w:divBdr>
        <w:top w:val="none" w:sz="0" w:space="0" w:color="auto"/>
        <w:left w:val="none" w:sz="0" w:space="0" w:color="auto"/>
        <w:bottom w:val="none" w:sz="0" w:space="0" w:color="auto"/>
        <w:right w:val="none" w:sz="0" w:space="0" w:color="auto"/>
      </w:divBdr>
    </w:div>
    <w:div w:id="1421025130">
      <w:bodyDiv w:val="1"/>
      <w:marLeft w:val="0"/>
      <w:marRight w:val="0"/>
      <w:marTop w:val="0"/>
      <w:marBottom w:val="0"/>
      <w:divBdr>
        <w:top w:val="none" w:sz="0" w:space="0" w:color="auto"/>
        <w:left w:val="none" w:sz="0" w:space="0" w:color="auto"/>
        <w:bottom w:val="none" w:sz="0" w:space="0" w:color="auto"/>
        <w:right w:val="none" w:sz="0" w:space="0" w:color="auto"/>
      </w:divBdr>
    </w:div>
    <w:div w:id="1421027355">
      <w:bodyDiv w:val="1"/>
      <w:marLeft w:val="0"/>
      <w:marRight w:val="0"/>
      <w:marTop w:val="0"/>
      <w:marBottom w:val="0"/>
      <w:divBdr>
        <w:top w:val="none" w:sz="0" w:space="0" w:color="auto"/>
        <w:left w:val="none" w:sz="0" w:space="0" w:color="auto"/>
        <w:bottom w:val="none" w:sz="0" w:space="0" w:color="auto"/>
        <w:right w:val="none" w:sz="0" w:space="0" w:color="auto"/>
      </w:divBdr>
    </w:div>
    <w:div w:id="1421102290">
      <w:bodyDiv w:val="1"/>
      <w:marLeft w:val="0"/>
      <w:marRight w:val="0"/>
      <w:marTop w:val="0"/>
      <w:marBottom w:val="0"/>
      <w:divBdr>
        <w:top w:val="none" w:sz="0" w:space="0" w:color="auto"/>
        <w:left w:val="none" w:sz="0" w:space="0" w:color="auto"/>
        <w:bottom w:val="none" w:sz="0" w:space="0" w:color="auto"/>
        <w:right w:val="none" w:sz="0" w:space="0" w:color="auto"/>
      </w:divBdr>
    </w:div>
    <w:div w:id="1421172655">
      <w:bodyDiv w:val="1"/>
      <w:marLeft w:val="0"/>
      <w:marRight w:val="0"/>
      <w:marTop w:val="0"/>
      <w:marBottom w:val="0"/>
      <w:divBdr>
        <w:top w:val="none" w:sz="0" w:space="0" w:color="auto"/>
        <w:left w:val="none" w:sz="0" w:space="0" w:color="auto"/>
        <w:bottom w:val="none" w:sz="0" w:space="0" w:color="auto"/>
        <w:right w:val="none" w:sz="0" w:space="0" w:color="auto"/>
      </w:divBdr>
    </w:div>
    <w:div w:id="1421410507">
      <w:bodyDiv w:val="1"/>
      <w:marLeft w:val="0"/>
      <w:marRight w:val="0"/>
      <w:marTop w:val="0"/>
      <w:marBottom w:val="0"/>
      <w:divBdr>
        <w:top w:val="none" w:sz="0" w:space="0" w:color="auto"/>
        <w:left w:val="none" w:sz="0" w:space="0" w:color="auto"/>
        <w:bottom w:val="none" w:sz="0" w:space="0" w:color="auto"/>
        <w:right w:val="none" w:sz="0" w:space="0" w:color="auto"/>
      </w:divBdr>
    </w:div>
    <w:div w:id="1421414581">
      <w:bodyDiv w:val="1"/>
      <w:marLeft w:val="0"/>
      <w:marRight w:val="0"/>
      <w:marTop w:val="0"/>
      <w:marBottom w:val="0"/>
      <w:divBdr>
        <w:top w:val="none" w:sz="0" w:space="0" w:color="auto"/>
        <w:left w:val="none" w:sz="0" w:space="0" w:color="auto"/>
        <w:bottom w:val="none" w:sz="0" w:space="0" w:color="auto"/>
        <w:right w:val="none" w:sz="0" w:space="0" w:color="auto"/>
      </w:divBdr>
    </w:div>
    <w:div w:id="1421636887">
      <w:bodyDiv w:val="1"/>
      <w:marLeft w:val="0"/>
      <w:marRight w:val="0"/>
      <w:marTop w:val="0"/>
      <w:marBottom w:val="0"/>
      <w:divBdr>
        <w:top w:val="none" w:sz="0" w:space="0" w:color="auto"/>
        <w:left w:val="none" w:sz="0" w:space="0" w:color="auto"/>
        <w:bottom w:val="none" w:sz="0" w:space="0" w:color="auto"/>
        <w:right w:val="none" w:sz="0" w:space="0" w:color="auto"/>
      </w:divBdr>
    </w:div>
    <w:div w:id="1421756080">
      <w:bodyDiv w:val="1"/>
      <w:marLeft w:val="0"/>
      <w:marRight w:val="0"/>
      <w:marTop w:val="0"/>
      <w:marBottom w:val="0"/>
      <w:divBdr>
        <w:top w:val="none" w:sz="0" w:space="0" w:color="auto"/>
        <w:left w:val="none" w:sz="0" w:space="0" w:color="auto"/>
        <w:bottom w:val="none" w:sz="0" w:space="0" w:color="auto"/>
        <w:right w:val="none" w:sz="0" w:space="0" w:color="auto"/>
      </w:divBdr>
    </w:div>
    <w:div w:id="1421947365">
      <w:bodyDiv w:val="1"/>
      <w:marLeft w:val="0"/>
      <w:marRight w:val="0"/>
      <w:marTop w:val="0"/>
      <w:marBottom w:val="0"/>
      <w:divBdr>
        <w:top w:val="none" w:sz="0" w:space="0" w:color="auto"/>
        <w:left w:val="none" w:sz="0" w:space="0" w:color="auto"/>
        <w:bottom w:val="none" w:sz="0" w:space="0" w:color="auto"/>
        <w:right w:val="none" w:sz="0" w:space="0" w:color="auto"/>
      </w:divBdr>
    </w:div>
    <w:div w:id="1421950543">
      <w:bodyDiv w:val="1"/>
      <w:marLeft w:val="0"/>
      <w:marRight w:val="0"/>
      <w:marTop w:val="0"/>
      <w:marBottom w:val="0"/>
      <w:divBdr>
        <w:top w:val="none" w:sz="0" w:space="0" w:color="auto"/>
        <w:left w:val="none" w:sz="0" w:space="0" w:color="auto"/>
        <w:bottom w:val="none" w:sz="0" w:space="0" w:color="auto"/>
        <w:right w:val="none" w:sz="0" w:space="0" w:color="auto"/>
      </w:divBdr>
    </w:div>
    <w:div w:id="1422023029">
      <w:bodyDiv w:val="1"/>
      <w:marLeft w:val="0"/>
      <w:marRight w:val="0"/>
      <w:marTop w:val="0"/>
      <w:marBottom w:val="0"/>
      <w:divBdr>
        <w:top w:val="none" w:sz="0" w:space="0" w:color="auto"/>
        <w:left w:val="none" w:sz="0" w:space="0" w:color="auto"/>
        <w:bottom w:val="none" w:sz="0" w:space="0" w:color="auto"/>
        <w:right w:val="none" w:sz="0" w:space="0" w:color="auto"/>
      </w:divBdr>
    </w:div>
    <w:div w:id="1422140451">
      <w:bodyDiv w:val="1"/>
      <w:marLeft w:val="0"/>
      <w:marRight w:val="0"/>
      <w:marTop w:val="0"/>
      <w:marBottom w:val="0"/>
      <w:divBdr>
        <w:top w:val="none" w:sz="0" w:space="0" w:color="auto"/>
        <w:left w:val="none" w:sz="0" w:space="0" w:color="auto"/>
        <w:bottom w:val="none" w:sz="0" w:space="0" w:color="auto"/>
        <w:right w:val="none" w:sz="0" w:space="0" w:color="auto"/>
      </w:divBdr>
    </w:div>
    <w:div w:id="1422144046">
      <w:bodyDiv w:val="1"/>
      <w:marLeft w:val="0"/>
      <w:marRight w:val="0"/>
      <w:marTop w:val="0"/>
      <w:marBottom w:val="0"/>
      <w:divBdr>
        <w:top w:val="none" w:sz="0" w:space="0" w:color="auto"/>
        <w:left w:val="none" w:sz="0" w:space="0" w:color="auto"/>
        <w:bottom w:val="none" w:sz="0" w:space="0" w:color="auto"/>
        <w:right w:val="none" w:sz="0" w:space="0" w:color="auto"/>
      </w:divBdr>
    </w:div>
    <w:div w:id="1422330572">
      <w:bodyDiv w:val="1"/>
      <w:marLeft w:val="0"/>
      <w:marRight w:val="0"/>
      <w:marTop w:val="0"/>
      <w:marBottom w:val="0"/>
      <w:divBdr>
        <w:top w:val="none" w:sz="0" w:space="0" w:color="auto"/>
        <w:left w:val="none" w:sz="0" w:space="0" w:color="auto"/>
        <w:bottom w:val="none" w:sz="0" w:space="0" w:color="auto"/>
        <w:right w:val="none" w:sz="0" w:space="0" w:color="auto"/>
      </w:divBdr>
    </w:div>
    <w:div w:id="1422337235">
      <w:bodyDiv w:val="1"/>
      <w:marLeft w:val="0"/>
      <w:marRight w:val="0"/>
      <w:marTop w:val="0"/>
      <w:marBottom w:val="0"/>
      <w:divBdr>
        <w:top w:val="none" w:sz="0" w:space="0" w:color="auto"/>
        <w:left w:val="none" w:sz="0" w:space="0" w:color="auto"/>
        <w:bottom w:val="none" w:sz="0" w:space="0" w:color="auto"/>
        <w:right w:val="none" w:sz="0" w:space="0" w:color="auto"/>
      </w:divBdr>
    </w:div>
    <w:div w:id="1422481578">
      <w:bodyDiv w:val="1"/>
      <w:marLeft w:val="0"/>
      <w:marRight w:val="0"/>
      <w:marTop w:val="0"/>
      <w:marBottom w:val="0"/>
      <w:divBdr>
        <w:top w:val="none" w:sz="0" w:space="0" w:color="auto"/>
        <w:left w:val="none" w:sz="0" w:space="0" w:color="auto"/>
        <w:bottom w:val="none" w:sz="0" w:space="0" w:color="auto"/>
        <w:right w:val="none" w:sz="0" w:space="0" w:color="auto"/>
      </w:divBdr>
    </w:div>
    <w:div w:id="1422726283">
      <w:bodyDiv w:val="1"/>
      <w:marLeft w:val="0"/>
      <w:marRight w:val="0"/>
      <w:marTop w:val="0"/>
      <w:marBottom w:val="0"/>
      <w:divBdr>
        <w:top w:val="none" w:sz="0" w:space="0" w:color="auto"/>
        <w:left w:val="none" w:sz="0" w:space="0" w:color="auto"/>
        <w:bottom w:val="none" w:sz="0" w:space="0" w:color="auto"/>
        <w:right w:val="none" w:sz="0" w:space="0" w:color="auto"/>
      </w:divBdr>
    </w:div>
    <w:div w:id="1422753702">
      <w:bodyDiv w:val="1"/>
      <w:marLeft w:val="0"/>
      <w:marRight w:val="0"/>
      <w:marTop w:val="0"/>
      <w:marBottom w:val="0"/>
      <w:divBdr>
        <w:top w:val="none" w:sz="0" w:space="0" w:color="auto"/>
        <w:left w:val="none" w:sz="0" w:space="0" w:color="auto"/>
        <w:bottom w:val="none" w:sz="0" w:space="0" w:color="auto"/>
        <w:right w:val="none" w:sz="0" w:space="0" w:color="auto"/>
      </w:divBdr>
    </w:div>
    <w:div w:id="1422995376">
      <w:bodyDiv w:val="1"/>
      <w:marLeft w:val="0"/>
      <w:marRight w:val="0"/>
      <w:marTop w:val="0"/>
      <w:marBottom w:val="0"/>
      <w:divBdr>
        <w:top w:val="none" w:sz="0" w:space="0" w:color="auto"/>
        <w:left w:val="none" w:sz="0" w:space="0" w:color="auto"/>
        <w:bottom w:val="none" w:sz="0" w:space="0" w:color="auto"/>
        <w:right w:val="none" w:sz="0" w:space="0" w:color="auto"/>
      </w:divBdr>
    </w:div>
    <w:div w:id="1423067298">
      <w:bodyDiv w:val="1"/>
      <w:marLeft w:val="0"/>
      <w:marRight w:val="0"/>
      <w:marTop w:val="0"/>
      <w:marBottom w:val="0"/>
      <w:divBdr>
        <w:top w:val="none" w:sz="0" w:space="0" w:color="auto"/>
        <w:left w:val="none" w:sz="0" w:space="0" w:color="auto"/>
        <w:bottom w:val="none" w:sz="0" w:space="0" w:color="auto"/>
        <w:right w:val="none" w:sz="0" w:space="0" w:color="auto"/>
      </w:divBdr>
    </w:div>
    <w:div w:id="1423186551">
      <w:bodyDiv w:val="1"/>
      <w:marLeft w:val="0"/>
      <w:marRight w:val="0"/>
      <w:marTop w:val="0"/>
      <w:marBottom w:val="0"/>
      <w:divBdr>
        <w:top w:val="none" w:sz="0" w:space="0" w:color="auto"/>
        <w:left w:val="none" w:sz="0" w:space="0" w:color="auto"/>
        <w:bottom w:val="none" w:sz="0" w:space="0" w:color="auto"/>
        <w:right w:val="none" w:sz="0" w:space="0" w:color="auto"/>
      </w:divBdr>
    </w:div>
    <w:div w:id="1423254898">
      <w:bodyDiv w:val="1"/>
      <w:marLeft w:val="0"/>
      <w:marRight w:val="0"/>
      <w:marTop w:val="0"/>
      <w:marBottom w:val="0"/>
      <w:divBdr>
        <w:top w:val="none" w:sz="0" w:space="0" w:color="auto"/>
        <w:left w:val="none" w:sz="0" w:space="0" w:color="auto"/>
        <w:bottom w:val="none" w:sz="0" w:space="0" w:color="auto"/>
        <w:right w:val="none" w:sz="0" w:space="0" w:color="auto"/>
      </w:divBdr>
    </w:div>
    <w:div w:id="1423338481">
      <w:bodyDiv w:val="1"/>
      <w:marLeft w:val="0"/>
      <w:marRight w:val="0"/>
      <w:marTop w:val="0"/>
      <w:marBottom w:val="0"/>
      <w:divBdr>
        <w:top w:val="none" w:sz="0" w:space="0" w:color="auto"/>
        <w:left w:val="none" w:sz="0" w:space="0" w:color="auto"/>
        <w:bottom w:val="none" w:sz="0" w:space="0" w:color="auto"/>
        <w:right w:val="none" w:sz="0" w:space="0" w:color="auto"/>
      </w:divBdr>
    </w:div>
    <w:div w:id="1423377347">
      <w:bodyDiv w:val="1"/>
      <w:marLeft w:val="0"/>
      <w:marRight w:val="0"/>
      <w:marTop w:val="0"/>
      <w:marBottom w:val="0"/>
      <w:divBdr>
        <w:top w:val="none" w:sz="0" w:space="0" w:color="auto"/>
        <w:left w:val="none" w:sz="0" w:space="0" w:color="auto"/>
        <w:bottom w:val="none" w:sz="0" w:space="0" w:color="auto"/>
        <w:right w:val="none" w:sz="0" w:space="0" w:color="auto"/>
      </w:divBdr>
    </w:div>
    <w:div w:id="1423377937">
      <w:bodyDiv w:val="1"/>
      <w:marLeft w:val="0"/>
      <w:marRight w:val="0"/>
      <w:marTop w:val="0"/>
      <w:marBottom w:val="0"/>
      <w:divBdr>
        <w:top w:val="none" w:sz="0" w:space="0" w:color="auto"/>
        <w:left w:val="none" w:sz="0" w:space="0" w:color="auto"/>
        <w:bottom w:val="none" w:sz="0" w:space="0" w:color="auto"/>
        <w:right w:val="none" w:sz="0" w:space="0" w:color="auto"/>
      </w:divBdr>
    </w:div>
    <w:div w:id="1423381752">
      <w:bodyDiv w:val="1"/>
      <w:marLeft w:val="0"/>
      <w:marRight w:val="0"/>
      <w:marTop w:val="0"/>
      <w:marBottom w:val="0"/>
      <w:divBdr>
        <w:top w:val="none" w:sz="0" w:space="0" w:color="auto"/>
        <w:left w:val="none" w:sz="0" w:space="0" w:color="auto"/>
        <w:bottom w:val="none" w:sz="0" w:space="0" w:color="auto"/>
        <w:right w:val="none" w:sz="0" w:space="0" w:color="auto"/>
      </w:divBdr>
    </w:div>
    <w:div w:id="1423406576">
      <w:bodyDiv w:val="1"/>
      <w:marLeft w:val="0"/>
      <w:marRight w:val="0"/>
      <w:marTop w:val="0"/>
      <w:marBottom w:val="0"/>
      <w:divBdr>
        <w:top w:val="none" w:sz="0" w:space="0" w:color="auto"/>
        <w:left w:val="none" w:sz="0" w:space="0" w:color="auto"/>
        <w:bottom w:val="none" w:sz="0" w:space="0" w:color="auto"/>
        <w:right w:val="none" w:sz="0" w:space="0" w:color="auto"/>
      </w:divBdr>
    </w:div>
    <w:div w:id="1423455390">
      <w:bodyDiv w:val="1"/>
      <w:marLeft w:val="0"/>
      <w:marRight w:val="0"/>
      <w:marTop w:val="0"/>
      <w:marBottom w:val="0"/>
      <w:divBdr>
        <w:top w:val="none" w:sz="0" w:space="0" w:color="auto"/>
        <w:left w:val="none" w:sz="0" w:space="0" w:color="auto"/>
        <w:bottom w:val="none" w:sz="0" w:space="0" w:color="auto"/>
        <w:right w:val="none" w:sz="0" w:space="0" w:color="auto"/>
      </w:divBdr>
    </w:div>
    <w:div w:id="1423524051">
      <w:bodyDiv w:val="1"/>
      <w:marLeft w:val="0"/>
      <w:marRight w:val="0"/>
      <w:marTop w:val="0"/>
      <w:marBottom w:val="0"/>
      <w:divBdr>
        <w:top w:val="none" w:sz="0" w:space="0" w:color="auto"/>
        <w:left w:val="none" w:sz="0" w:space="0" w:color="auto"/>
        <w:bottom w:val="none" w:sz="0" w:space="0" w:color="auto"/>
        <w:right w:val="none" w:sz="0" w:space="0" w:color="auto"/>
      </w:divBdr>
    </w:div>
    <w:div w:id="1423603870">
      <w:bodyDiv w:val="1"/>
      <w:marLeft w:val="0"/>
      <w:marRight w:val="0"/>
      <w:marTop w:val="0"/>
      <w:marBottom w:val="0"/>
      <w:divBdr>
        <w:top w:val="none" w:sz="0" w:space="0" w:color="auto"/>
        <w:left w:val="none" w:sz="0" w:space="0" w:color="auto"/>
        <w:bottom w:val="none" w:sz="0" w:space="0" w:color="auto"/>
        <w:right w:val="none" w:sz="0" w:space="0" w:color="auto"/>
      </w:divBdr>
    </w:div>
    <w:div w:id="1423718180">
      <w:bodyDiv w:val="1"/>
      <w:marLeft w:val="0"/>
      <w:marRight w:val="0"/>
      <w:marTop w:val="0"/>
      <w:marBottom w:val="0"/>
      <w:divBdr>
        <w:top w:val="none" w:sz="0" w:space="0" w:color="auto"/>
        <w:left w:val="none" w:sz="0" w:space="0" w:color="auto"/>
        <w:bottom w:val="none" w:sz="0" w:space="0" w:color="auto"/>
        <w:right w:val="none" w:sz="0" w:space="0" w:color="auto"/>
      </w:divBdr>
    </w:div>
    <w:div w:id="1424060513">
      <w:bodyDiv w:val="1"/>
      <w:marLeft w:val="0"/>
      <w:marRight w:val="0"/>
      <w:marTop w:val="0"/>
      <w:marBottom w:val="0"/>
      <w:divBdr>
        <w:top w:val="none" w:sz="0" w:space="0" w:color="auto"/>
        <w:left w:val="none" w:sz="0" w:space="0" w:color="auto"/>
        <w:bottom w:val="none" w:sz="0" w:space="0" w:color="auto"/>
        <w:right w:val="none" w:sz="0" w:space="0" w:color="auto"/>
      </w:divBdr>
    </w:div>
    <w:div w:id="1424188214">
      <w:bodyDiv w:val="1"/>
      <w:marLeft w:val="0"/>
      <w:marRight w:val="0"/>
      <w:marTop w:val="0"/>
      <w:marBottom w:val="0"/>
      <w:divBdr>
        <w:top w:val="none" w:sz="0" w:space="0" w:color="auto"/>
        <w:left w:val="none" w:sz="0" w:space="0" w:color="auto"/>
        <w:bottom w:val="none" w:sz="0" w:space="0" w:color="auto"/>
        <w:right w:val="none" w:sz="0" w:space="0" w:color="auto"/>
      </w:divBdr>
    </w:div>
    <w:div w:id="1424256578">
      <w:bodyDiv w:val="1"/>
      <w:marLeft w:val="0"/>
      <w:marRight w:val="0"/>
      <w:marTop w:val="0"/>
      <w:marBottom w:val="0"/>
      <w:divBdr>
        <w:top w:val="none" w:sz="0" w:space="0" w:color="auto"/>
        <w:left w:val="none" w:sz="0" w:space="0" w:color="auto"/>
        <w:bottom w:val="none" w:sz="0" w:space="0" w:color="auto"/>
        <w:right w:val="none" w:sz="0" w:space="0" w:color="auto"/>
      </w:divBdr>
    </w:div>
    <w:div w:id="1424258780">
      <w:bodyDiv w:val="1"/>
      <w:marLeft w:val="0"/>
      <w:marRight w:val="0"/>
      <w:marTop w:val="0"/>
      <w:marBottom w:val="0"/>
      <w:divBdr>
        <w:top w:val="none" w:sz="0" w:space="0" w:color="auto"/>
        <w:left w:val="none" w:sz="0" w:space="0" w:color="auto"/>
        <w:bottom w:val="none" w:sz="0" w:space="0" w:color="auto"/>
        <w:right w:val="none" w:sz="0" w:space="0" w:color="auto"/>
      </w:divBdr>
    </w:div>
    <w:div w:id="1424259013">
      <w:bodyDiv w:val="1"/>
      <w:marLeft w:val="0"/>
      <w:marRight w:val="0"/>
      <w:marTop w:val="0"/>
      <w:marBottom w:val="0"/>
      <w:divBdr>
        <w:top w:val="none" w:sz="0" w:space="0" w:color="auto"/>
        <w:left w:val="none" w:sz="0" w:space="0" w:color="auto"/>
        <w:bottom w:val="none" w:sz="0" w:space="0" w:color="auto"/>
        <w:right w:val="none" w:sz="0" w:space="0" w:color="auto"/>
      </w:divBdr>
    </w:div>
    <w:div w:id="1424297492">
      <w:bodyDiv w:val="1"/>
      <w:marLeft w:val="0"/>
      <w:marRight w:val="0"/>
      <w:marTop w:val="0"/>
      <w:marBottom w:val="0"/>
      <w:divBdr>
        <w:top w:val="none" w:sz="0" w:space="0" w:color="auto"/>
        <w:left w:val="none" w:sz="0" w:space="0" w:color="auto"/>
        <w:bottom w:val="none" w:sz="0" w:space="0" w:color="auto"/>
        <w:right w:val="none" w:sz="0" w:space="0" w:color="auto"/>
      </w:divBdr>
    </w:div>
    <w:div w:id="1424376045">
      <w:bodyDiv w:val="1"/>
      <w:marLeft w:val="0"/>
      <w:marRight w:val="0"/>
      <w:marTop w:val="0"/>
      <w:marBottom w:val="0"/>
      <w:divBdr>
        <w:top w:val="none" w:sz="0" w:space="0" w:color="auto"/>
        <w:left w:val="none" w:sz="0" w:space="0" w:color="auto"/>
        <w:bottom w:val="none" w:sz="0" w:space="0" w:color="auto"/>
        <w:right w:val="none" w:sz="0" w:space="0" w:color="auto"/>
      </w:divBdr>
    </w:div>
    <w:div w:id="1424381034">
      <w:bodyDiv w:val="1"/>
      <w:marLeft w:val="0"/>
      <w:marRight w:val="0"/>
      <w:marTop w:val="0"/>
      <w:marBottom w:val="0"/>
      <w:divBdr>
        <w:top w:val="none" w:sz="0" w:space="0" w:color="auto"/>
        <w:left w:val="none" w:sz="0" w:space="0" w:color="auto"/>
        <w:bottom w:val="none" w:sz="0" w:space="0" w:color="auto"/>
        <w:right w:val="none" w:sz="0" w:space="0" w:color="auto"/>
      </w:divBdr>
    </w:div>
    <w:div w:id="1424496496">
      <w:bodyDiv w:val="1"/>
      <w:marLeft w:val="0"/>
      <w:marRight w:val="0"/>
      <w:marTop w:val="0"/>
      <w:marBottom w:val="0"/>
      <w:divBdr>
        <w:top w:val="none" w:sz="0" w:space="0" w:color="auto"/>
        <w:left w:val="none" w:sz="0" w:space="0" w:color="auto"/>
        <w:bottom w:val="none" w:sz="0" w:space="0" w:color="auto"/>
        <w:right w:val="none" w:sz="0" w:space="0" w:color="auto"/>
      </w:divBdr>
    </w:div>
    <w:div w:id="1424758740">
      <w:bodyDiv w:val="1"/>
      <w:marLeft w:val="0"/>
      <w:marRight w:val="0"/>
      <w:marTop w:val="0"/>
      <w:marBottom w:val="0"/>
      <w:divBdr>
        <w:top w:val="none" w:sz="0" w:space="0" w:color="auto"/>
        <w:left w:val="none" w:sz="0" w:space="0" w:color="auto"/>
        <w:bottom w:val="none" w:sz="0" w:space="0" w:color="auto"/>
        <w:right w:val="none" w:sz="0" w:space="0" w:color="auto"/>
      </w:divBdr>
    </w:div>
    <w:div w:id="1424767833">
      <w:bodyDiv w:val="1"/>
      <w:marLeft w:val="0"/>
      <w:marRight w:val="0"/>
      <w:marTop w:val="0"/>
      <w:marBottom w:val="0"/>
      <w:divBdr>
        <w:top w:val="none" w:sz="0" w:space="0" w:color="auto"/>
        <w:left w:val="none" w:sz="0" w:space="0" w:color="auto"/>
        <w:bottom w:val="none" w:sz="0" w:space="0" w:color="auto"/>
        <w:right w:val="none" w:sz="0" w:space="0" w:color="auto"/>
      </w:divBdr>
    </w:div>
    <w:div w:id="1425033541">
      <w:bodyDiv w:val="1"/>
      <w:marLeft w:val="0"/>
      <w:marRight w:val="0"/>
      <w:marTop w:val="0"/>
      <w:marBottom w:val="0"/>
      <w:divBdr>
        <w:top w:val="none" w:sz="0" w:space="0" w:color="auto"/>
        <w:left w:val="none" w:sz="0" w:space="0" w:color="auto"/>
        <w:bottom w:val="none" w:sz="0" w:space="0" w:color="auto"/>
        <w:right w:val="none" w:sz="0" w:space="0" w:color="auto"/>
      </w:divBdr>
    </w:div>
    <w:div w:id="1425415926">
      <w:bodyDiv w:val="1"/>
      <w:marLeft w:val="0"/>
      <w:marRight w:val="0"/>
      <w:marTop w:val="0"/>
      <w:marBottom w:val="0"/>
      <w:divBdr>
        <w:top w:val="none" w:sz="0" w:space="0" w:color="auto"/>
        <w:left w:val="none" w:sz="0" w:space="0" w:color="auto"/>
        <w:bottom w:val="none" w:sz="0" w:space="0" w:color="auto"/>
        <w:right w:val="none" w:sz="0" w:space="0" w:color="auto"/>
      </w:divBdr>
    </w:div>
    <w:div w:id="1425417378">
      <w:bodyDiv w:val="1"/>
      <w:marLeft w:val="0"/>
      <w:marRight w:val="0"/>
      <w:marTop w:val="0"/>
      <w:marBottom w:val="0"/>
      <w:divBdr>
        <w:top w:val="none" w:sz="0" w:space="0" w:color="auto"/>
        <w:left w:val="none" w:sz="0" w:space="0" w:color="auto"/>
        <w:bottom w:val="none" w:sz="0" w:space="0" w:color="auto"/>
        <w:right w:val="none" w:sz="0" w:space="0" w:color="auto"/>
      </w:divBdr>
    </w:div>
    <w:div w:id="1425960282">
      <w:bodyDiv w:val="1"/>
      <w:marLeft w:val="0"/>
      <w:marRight w:val="0"/>
      <w:marTop w:val="0"/>
      <w:marBottom w:val="0"/>
      <w:divBdr>
        <w:top w:val="none" w:sz="0" w:space="0" w:color="auto"/>
        <w:left w:val="none" w:sz="0" w:space="0" w:color="auto"/>
        <w:bottom w:val="none" w:sz="0" w:space="0" w:color="auto"/>
        <w:right w:val="none" w:sz="0" w:space="0" w:color="auto"/>
      </w:divBdr>
    </w:div>
    <w:div w:id="1426195408">
      <w:bodyDiv w:val="1"/>
      <w:marLeft w:val="0"/>
      <w:marRight w:val="0"/>
      <w:marTop w:val="0"/>
      <w:marBottom w:val="0"/>
      <w:divBdr>
        <w:top w:val="none" w:sz="0" w:space="0" w:color="auto"/>
        <w:left w:val="none" w:sz="0" w:space="0" w:color="auto"/>
        <w:bottom w:val="none" w:sz="0" w:space="0" w:color="auto"/>
        <w:right w:val="none" w:sz="0" w:space="0" w:color="auto"/>
      </w:divBdr>
    </w:div>
    <w:div w:id="1426220920">
      <w:bodyDiv w:val="1"/>
      <w:marLeft w:val="0"/>
      <w:marRight w:val="0"/>
      <w:marTop w:val="0"/>
      <w:marBottom w:val="0"/>
      <w:divBdr>
        <w:top w:val="none" w:sz="0" w:space="0" w:color="auto"/>
        <w:left w:val="none" w:sz="0" w:space="0" w:color="auto"/>
        <w:bottom w:val="none" w:sz="0" w:space="0" w:color="auto"/>
        <w:right w:val="none" w:sz="0" w:space="0" w:color="auto"/>
      </w:divBdr>
    </w:div>
    <w:div w:id="1426338104">
      <w:bodyDiv w:val="1"/>
      <w:marLeft w:val="0"/>
      <w:marRight w:val="0"/>
      <w:marTop w:val="0"/>
      <w:marBottom w:val="0"/>
      <w:divBdr>
        <w:top w:val="none" w:sz="0" w:space="0" w:color="auto"/>
        <w:left w:val="none" w:sz="0" w:space="0" w:color="auto"/>
        <w:bottom w:val="none" w:sz="0" w:space="0" w:color="auto"/>
        <w:right w:val="none" w:sz="0" w:space="0" w:color="auto"/>
      </w:divBdr>
    </w:div>
    <w:div w:id="1426343627">
      <w:bodyDiv w:val="1"/>
      <w:marLeft w:val="0"/>
      <w:marRight w:val="0"/>
      <w:marTop w:val="0"/>
      <w:marBottom w:val="0"/>
      <w:divBdr>
        <w:top w:val="none" w:sz="0" w:space="0" w:color="auto"/>
        <w:left w:val="none" w:sz="0" w:space="0" w:color="auto"/>
        <w:bottom w:val="none" w:sz="0" w:space="0" w:color="auto"/>
        <w:right w:val="none" w:sz="0" w:space="0" w:color="auto"/>
      </w:divBdr>
    </w:div>
    <w:div w:id="1426609454">
      <w:bodyDiv w:val="1"/>
      <w:marLeft w:val="0"/>
      <w:marRight w:val="0"/>
      <w:marTop w:val="0"/>
      <w:marBottom w:val="0"/>
      <w:divBdr>
        <w:top w:val="none" w:sz="0" w:space="0" w:color="auto"/>
        <w:left w:val="none" w:sz="0" w:space="0" w:color="auto"/>
        <w:bottom w:val="none" w:sz="0" w:space="0" w:color="auto"/>
        <w:right w:val="none" w:sz="0" w:space="0" w:color="auto"/>
      </w:divBdr>
    </w:div>
    <w:div w:id="1426923529">
      <w:bodyDiv w:val="1"/>
      <w:marLeft w:val="0"/>
      <w:marRight w:val="0"/>
      <w:marTop w:val="0"/>
      <w:marBottom w:val="0"/>
      <w:divBdr>
        <w:top w:val="none" w:sz="0" w:space="0" w:color="auto"/>
        <w:left w:val="none" w:sz="0" w:space="0" w:color="auto"/>
        <w:bottom w:val="none" w:sz="0" w:space="0" w:color="auto"/>
        <w:right w:val="none" w:sz="0" w:space="0" w:color="auto"/>
      </w:divBdr>
    </w:div>
    <w:div w:id="1426996517">
      <w:bodyDiv w:val="1"/>
      <w:marLeft w:val="0"/>
      <w:marRight w:val="0"/>
      <w:marTop w:val="0"/>
      <w:marBottom w:val="0"/>
      <w:divBdr>
        <w:top w:val="none" w:sz="0" w:space="0" w:color="auto"/>
        <w:left w:val="none" w:sz="0" w:space="0" w:color="auto"/>
        <w:bottom w:val="none" w:sz="0" w:space="0" w:color="auto"/>
        <w:right w:val="none" w:sz="0" w:space="0" w:color="auto"/>
      </w:divBdr>
    </w:div>
    <w:div w:id="1426998655">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189614">
      <w:bodyDiv w:val="1"/>
      <w:marLeft w:val="0"/>
      <w:marRight w:val="0"/>
      <w:marTop w:val="0"/>
      <w:marBottom w:val="0"/>
      <w:divBdr>
        <w:top w:val="none" w:sz="0" w:space="0" w:color="auto"/>
        <w:left w:val="none" w:sz="0" w:space="0" w:color="auto"/>
        <w:bottom w:val="none" w:sz="0" w:space="0" w:color="auto"/>
        <w:right w:val="none" w:sz="0" w:space="0" w:color="auto"/>
      </w:divBdr>
    </w:div>
    <w:div w:id="1427265121">
      <w:bodyDiv w:val="1"/>
      <w:marLeft w:val="0"/>
      <w:marRight w:val="0"/>
      <w:marTop w:val="0"/>
      <w:marBottom w:val="0"/>
      <w:divBdr>
        <w:top w:val="none" w:sz="0" w:space="0" w:color="auto"/>
        <w:left w:val="none" w:sz="0" w:space="0" w:color="auto"/>
        <w:bottom w:val="none" w:sz="0" w:space="0" w:color="auto"/>
        <w:right w:val="none" w:sz="0" w:space="0" w:color="auto"/>
      </w:divBdr>
    </w:div>
    <w:div w:id="1427311411">
      <w:bodyDiv w:val="1"/>
      <w:marLeft w:val="0"/>
      <w:marRight w:val="0"/>
      <w:marTop w:val="0"/>
      <w:marBottom w:val="0"/>
      <w:divBdr>
        <w:top w:val="none" w:sz="0" w:space="0" w:color="auto"/>
        <w:left w:val="none" w:sz="0" w:space="0" w:color="auto"/>
        <w:bottom w:val="none" w:sz="0" w:space="0" w:color="auto"/>
        <w:right w:val="none" w:sz="0" w:space="0" w:color="auto"/>
      </w:divBdr>
    </w:div>
    <w:div w:id="1427573946">
      <w:bodyDiv w:val="1"/>
      <w:marLeft w:val="0"/>
      <w:marRight w:val="0"/>
      <w:marTop w:val="0"/>
      <w:marBottom w:val="0"/>
      <w:divBdr>
        <w:top w:val="none" w:sz="0" w:space="0" w:color="auto"/>
        <w:left w:val="none" w:sz="0" w:space="0" w:color="auto"/>
        <w:bottom w:val="none" w:sz="0" w:space="0" w:color="auto"/>
        <w:right w:val="none" w:sz="0" w:space="0" w:color="auto"/>
      </w:divBdr>
    </w:div>
    <w:div w:id="1427725206">
      <w:bodyDiv w:val="1"/>
      <w:marLeft w:val="0"/>
      <w:marRight w:val="0"/>
      <w:marTop w:val="0"/>
      <w:marBottom w:val="0"/>
      <w:divBdr>
        <w:top w:val="none" w:sz="0" w:space="0" w:color="auto"/>
        <w:left w:val="none" w:sz="0" w:space="0" w:color="auto"/>
        <w:bottom w:val="none" w:sz="0" w:space="0" w:color="auto"/>
        <w:right w:val="none" w:sz="0" w:space="0" w:color="auto"/>
      </w:divBdr>
    </w:div>
    <w:div w:id="1427845256">
      <w:bodyDiv w:val="1"/>
      <w:marLeft w:val="0"/>
      <w:marRight w:val="0"/>
      <w:marTop w:val="0"/>
      <w:marBottom w:val="0"/>
      <w:divBdr>
        <w:top w:val="none" w:sz="0" w:space="0" w:color="auto"/>
        <w:left w:val="none" w:sz="0" w:space="0" w:color="auto"/>
        <w:bottom w:val="none" w:sz="0" w:space="0" w:color="auto"/>
        <w:right w:val="none" w:sz="0" w:space="0" w:color="auto"/>
      </w:divBdr>
    </w:div>
    <w:div w:id="1428044394">
      <w:bodyDiv w:val="1"/>
      <w:marLeft w:val="0"/>
      <w:marRight w:val="0"/>
      <w:marTop w:val="0"/>
      <w:marBottom w:val="0"/>
      <w:divBdr>
        <w:top w:val="none" w:sz="0" w:space="0" w:color="auto"/>
        <w:left w:val="none" w:sz="0" w:space="0" w:color="auto"/>
        <w:bottom w:val="none" w:sz="0" w:space="0" w:color="auto"/>
        <w:right w:val="none" w:sz="0" w:space="0" w:color="auto"/>
      </w:divBdr>
    </w:div>
    <w:div w:id="1428111481">
      <w:bodyDiv w:val="1"/>
      <w:marLeft w:val="0"/>
      <w:marRight w:val="0"/>
      <w:marTop w:val="0"/>
      <w:marBottom w:val="0"/>
      <w:divBdr>
        <w:top w:val="none" w:sz="0" w:space="0" w:color="auto"/>
        <w:left w:val="none" w:sz="0" w:space="0" w:color="auto"/>
        <w:bottom w:val="none" w:sz="0" w:space="0" w:color="auto"/>
        <w:right w:val="none" w:sz="0" w:space="0" w:color="auto"/>
      </w:divBdr>
    </w:div>
    <w:div w:id="1428386394">
      <w:bodyDiv w:val="1"/>
      <w:marLeft w:val="0"/>
      <w:marRight w:val="0"/>
      <w:marTop w:val="0"/>
      <w:marBottom w:val="0"/>
      <w:divBdr>
        <w:top w:val="none" w:sz="0" w:space="0" w:color="auto"/>
        <w:left w:val="none" w:sz="0" w:space="0" w:color="auto"/>
        <w:bottom w:val="none" w:sz="0" w:space="0" w:color="auto"/>
        <w:right w:val="none" w:sz="0" w:space="0" w:color="auto"/>
      </w:divBdr>
    </w:div>
    <w:div w:id="1428423105">
      <w:bodyDiv w:val="1"/>
      <w:marLeft w:val="0"/>
      <w:marRight w:val="0"/>
      <w:marTop w:val="0"/>
      <w:marBottom w:val="0"/>
      <w:divBdr>
        <w:top w:val="none" w:sz="0" w:space="0" w:color="auto"/>
        <w:left w:val="none" w:sz="0" w:space="0" w:color="auto"/>
        <w:bottom w:val="none" w:sz="0" w:space="0" w:color="auto"/>
        <w:right w:val="none" w:sz="0" w:space="0" w:color="auto"/>
      </w:divBdr>
    </w:div>
    <w:div w:id="1428505503">
      <w:bodyDiv w:val="1"/>
      <w:marLeft w:val="0"/>
      <w:marRight w:val="0"/>
      <w:marTop w:val="0"/>
      <w:marBottom w:val="0"/>
      <w:divBdr>
        <w:top w:val="none" w:sz="0" w:space="0" w:color="auto"/>
        <w:left w:val="none" w:sz="0" w:space="0" w:color="auto"/>
        <w:bottom w:val="none" w:sz="0" w:space="0" w:color="auto"/>
        <w:right w:val="none" w:sz="0" w:space="0" w:color="auto"/>
      </w:divBdr>
    </w:div>
    <w:div w:id="1428572023">
      <w:bodyDiv w:val="1"/>
      <w:marLeft w:val="0"/>
      <w:marRight w:val="0"/>
      <w:marTop w:val="0"/>
      <w:marBottom w:val="0"/>
      <w:divBdr>
        <w:top w:val="none" w:sz="0" w:space="0" w:color="auto"/>
        <w:left w:val="none" w:sz="0" w:space="0" w:color="auto"/>
        <w:bottom w:val="none" w:sz="0" w:space="0" w:color="auto"/>
        <w:right w:val="none" w:sz="0" w:space="0" w:color="auto"/>
      </w:divBdr>
    </w:div>
    <w:div w:id="1428576676">
      <w:bodyDiv w:val="1"/>
      <w:marLeft w:val="0"/>
      <w:marRight w:val="0"/>
      <w:marTop w:val="0"/>
      <w:marBottom w:val="0"/>
      <w:divBdr>
        <w:top w:val="none" w:sz="0" w:space="0" w:color="auto"/>
        <w:left w:val="none" w:sz="0" w:space="0" w:color="auto"/>
        <w:bottom w:val="none" w:sz="0" w:space="0" w:color="auto"/>
        <w:right w:val="none" w:sz="0" w:space="0" w:color="auto"/>
      </w:divBdr>
    </w:div>
    <w:div w:id="1428967798">
      <w:bodyDiv w:val="1"/>
      <w:marLeft w:val="0"/>
      <w:marRight w:val="0"/>
      <w:marTop w:val="0"/>
      <w:marBottom w:val="0"/>
      <w:divBdr>
        <w:top w:val="none" w:sz="0" w:space="0" w:color="auto"/>
        <w:left w:val="none" w:sz="0" w:space="0" w:color="auto"/>
        <w:bottom w:val="none" w:sz="0" w:space="0" w:color="auto"/>
        <w:right w:val="none" w:sz="0" w:space="0" w:color="auto"/>
      </w:divBdr>
    </w:div>
    <w:div w:id="1429041315">
      <w:bodyDiv w:val="1"/>
      <w:marLeft w:val="0"/>
      <w:marRight w:val="0"/>
      <w:marTop w:val="0"/>
      <w:marBottom w:val="0"/>
      <w:divBdr>
        <w:top w:val="none" w:sz="0" w:space="0" w:color="auto"/>
        <w:left w:val="none" w:sz="0" w:space="0" w:color="auto"/>
        <w:bottom w:val="none" w:sz="0" w:space="0" w:color="auto"/>
        <w:right w:val="none" w:sz="0" w:space="0" w:color="auto"/>
      </w:divBdr>
    </w:div>
    <w:div w:id="1429084561">
      <w:bodyDiv w:val="1"/>
      <w:marLeft w:val="0"/>
      <w:marRight w:val="0"/>
      <w:marTop w:val="0"/>
      <w:marBottom w:val="0"/>
      <w:divBdr>
        <w:top w:val="none" w:sz="0" w:space="0" w:color="auto"/>
        <w:left w:val="none" w:sz="0" w:space="0" w:color="auto"/>
        <w:bottom w:val="none" w:sz="0" w:space="0" w:color="auto"/>
        <w:right w:val="none" w:sz="0" w:space="0" w:color="auto"/>
      </w:divBdr>
    </w:div>
    <w:div w:id="1429302909">
      <w:bodyDiv w:val="1"/>
      <w:marLeft w:val="0"/>
      <w:marRight w:val="0"/>
      <w:marTop w:val="0"/>
      <w:marBottom w:val="0"/>
      <w:divBdr>
        <w:top w:val="none" w:sz="0" w:space="0" w:color="auto"/>
        <w:left w:val="none" w:sz="0" w:space="0" w:color="auto"/>
        <w:bottom w:val="none" w:sz="0" w:space="0" w:color="auto"/>
        <w:right w:val="none" w:sz="0" w:space="0" w:color="auto"/>
      </w:divBdr>
    </w:div>
    <w:div w:id="1429353049">
      <w:bodyDiv w:val="1"/>
      <w:marLeft w:val="0"/>
      <w:marRight w:val="0"/>
      <w:marTop w:val="0"/>
      <w:marBottom w:val="0"/>
      <w:divBdr>
        <w:top w:val="none" w:sz="0" w:space="0" w:color="auto"/>
        <w:left w:val="none" w:sz="0" w:space="0" w:color="auto"/>
        <w:bottom w:val="none" w:sz="0" w:space="0" w:color="auto"/>
        <w:right w:val="none" w:sz="0" w:space="0" w:color="auto"/>
      </w:divBdr>
    </w:div>
    <w:div w:id="1429428417">
      <w:bodyDiv w:val="1"/>
      <w:marLeft w:val="0"/>
      <w:marRight w:val="0"/>
      <w:marTop w:val="0"/>
      <w:marBottom w:val="0"/>
      <w:divBdr>
        <w:top w:val="none" w:sz="0" w:space="0" w:color="auto"/>
        <w:left w:val="none" w:sz="0" w:space="0" w:color="auto"/>
        <w:bottom w:val="none" w:sz="0" w:space="0" w:color="auto"/>
        <w:right w:val="none" w:sz="0" w:space="0" w:color="auto"/>
      </w:divBdr>
    </w:div>
    <w:div w:id="1429500468">
      <w:bodyDiv w:val="1"/>
      <w:marLeft w:val="0"/>
      <w:marRight w:val="0"/>
      <w:marTop w:val="0"/>
      <w:marBottom w:val="0"/>
      <w:divBdr>
        <w:top w:val="none" w:sz="0" w:space="0" w:color="auto"/>
        <w:left w:val="none" w:sz="0" w:space="0" w:color="auto"/>
        <w:bottom w:val="none" w:sz="0" w:space="0" w:color="auto"/>
        <w:right w:val="none" w:sz="0" w:space="0" w:color="auto"/>
      </w:divBdr>
    </w:div>
    <w:div w:id="1429690917">
      <w:bodyDiv w:val="1"/>
      <w:marLeft w:val="0"/>
      <w:marRight w:val="0"/>
      <w:marTop w:val="0"/>
      <w:marBottom w:val="0"/>
      <w:divBdr>
        <w:top w:val="none" w:sz="0" w:space="0" w:color="auto"/>
        <w:left w:val="none" w:sz="0" w:space="0" w:color="auto"/>
        <w:bottom w:val="none" w:sz="0" w:space="0" w:color="auto"/>
        <w:right w:val="none" w:sz="0" w:space="0" w:color="auto"/>
      </w:divBdr>
    </w:div>
    <w:div w:id="1430007222">
      <w:bodyDiv w:val="1"/>
      <w:marLeft w:val="0"/>
      <w:marRight w:val="0"/>
      <w:marTop w:val="0"/>
      <w:marBottom w:val="0"/>
      <w:divBdr>
        <w:top w:val="none" w:sz="0" w:space="0" w:color="auto"/>
        <w:left w:val="none" w:sz="0" w:space="0" w:color="auto"/>
        <w:bottom w:val="none" w:sz="0" w:space="0" w:color="auto"/>
        <w:right w:val="none" w:sz="0" w:space="0" w:color="auto"/>
      </w:divBdr>
    </w:div>
    <w:div w:id="1430198801">
      <w:bodyDiv w:val="1"/>
      <w:marLeft w:val="0"/>
      <w:marRight w:val="0"/>
      <w:marTop w:val="0"/>
      <w:marBottom w:val="0"/>
      <w:divBdr>
        <w:top w:val="none" w:sz="0" w:space="0" w:color="auto"/>
        <w:left w:val="none" w:sz="0" w:space="0" w:color="auto"/>
        <w:bottom w:val="none" w:sz="0" w:space="0" w:color="auto"/>
        <w:right w:val="none" w:sz="0" w:space="0" w:color="auto"/>
      </w:divBdr>
    </w:div>
    <w:div w:id="1430278694">
      <w:bodyDiv w:val="1"/>
      <w:marLeft w:val="0"/>
      <w:marRight w:val="0"/>
      <w:marTop w:val="0"/>
      <w:marBottom w:val="0"/>
      <w:divBdr>
        <w:top w:val="none" w:sz="0" w:space="0" w:color="auto"/>
        <w:left w:val="none" w:sz="0" w:space="0" w:color="auto"/>
        <w:bottom w:val="none" w:sz="0" w:space="0" w:color="auto"/>
        <w:right w:val="none" w:sz="0" w:space="0" w:color="auto"/>
      </w:divBdr>
    </w:div>
    <w:div w:id="1430347342">
      <w:bodyDiv w:val="1"/>
      <w:marLeft w:val="0"/>
      <w:marRight w:val="0"/>
      <w:marTop w:val="0"/>
      <w:marBottom w:val="0"/>
      <w:divBdr>
        <w:top w:val="none" w:sz="0" w:space="0" w:color="auto"/>
        <w:left w:val="none" w:sz="0" w:space="0" w:color="auto"/>
        <w:bottom w:val="none" w:sz="0" w:space="0" w:color="auto"/>
        <w:right w:val="none" w:sz="0" w:space="0" w:color="auto"/>
      </w:divBdr>
    </w:div>
    <w:div w:id="1430814636">
      <w:bodyDiv w:val="1"/>
      <w:marLeft w:val="0"/>
      <w:marRight w:val="0"/>
      <w:marTop w:val="0"/>
      <w:marBottom w:val="0"/>
      <w:divBdr>
        <w:top w:val="none" w:sz="0" w:space="0" w:color="auto"/>
        <w:left w:val="none" w:sz="0" w:space="0" w:color="auto"/>
        <w:bottom w:val="none" w:sz="0" w:space="0" w:color="auto"/>
        <w:right w:val="none" w:sz="0" w:space="0" w:color="auto"/>
      </w:divBdr>
    </w:div>
    <w:div w:id="1430849236">
      <w:bodyDiv w:val="1"/>
      <w:marLeft w:val="0"/>
      <w:marRight w:val="0"/>
      <w:marTop w:val="0"/>
      <w:marBottom w:val="0"/>
      <w:divBdr>
        <w:top w:val="none" w:sz="0" w:space="0" w:color="auto"/>
        <w:left w:val="none" w:sz="0" w:space="0" w:color="auto"/>
        <w:bottom w:val="none" w:sz="0" w:space="0" w:color="auto"/>
        <w:right w:val="none" w:sz="0" w:space="0" w:color="auto"/>
      </w:divBdr>
    </w:div>
    <w:div w:id="1430857244">
      <w:bodyDiv w:val="1"/>
      <w:marLeft w:val="0"/>
      <w:marRight w:val="0"/>
      <w:marTop w:val="0"/>
      <w:marBottom w:val="0"/>
      <w:divBdr>
        <w:top w:val="none" w:sz="0" w:space="0" w:color="auto"/>
        <w:left w:val="none" w:sz="0" w:space="0" w:color="auto"/>
        <w:bottom w:val="none" w:sz="0" w:space="0" w:color="auto"/>
        <w:right w:val="none" w:sz="0" w:space="0" w:color="auto"/>
      </w:divBdr>
    </w:div>
    <w:div w:id="1431245313">
      <w:bodyDiv w:val="1"/>
      <w:marLeft w:val="0"/>
      <w:marRight w:val="0"/>
      <w:marTop w:val="0"/>
      <w:marBottom w:val="0"/>
      <w:divBdr>
        <w:top w:val="none" w:sz="0" w:space="0" w:color="auto"/>
        <w:left w:val="none" w:sz="0" w:space="0" w:color="auto"/>
        <w:bottom w:val="none" w:sz="0" w:space="0" w:color="auto"/>
        <w:right w:val="none" w:sz="0" w:space="0" w:color="auto"/>
      </w:divBdr>
    </w:div>
    <w:div w:id="1431272029">
      <w:bodyDiv w:val="1"/>
      <w:marLeft w:val="0"/>
      <w:marRight w:val="0"/>
      <w:marTop w:val="0"/>
      <w:marBottom w:val="0"/>
      <w:divBdr>
        <w:top w:val="none" w:sz="0" w:space="0" w:color="auto"/>
        <w:left w:val="none" w:sz="0" w:space="0" w:color="auto"/>
        <w:bottom w:val="none" w:sz="0" w:space="0" w:color="auto"/>
        <w:right w:val="none" w:sz="0" w:space="0" w:color="auto"/>
      </w:divBdr>
    </w:div>
    <w:div w:id="1431506261">
      <w:bodyDiv w:val="1"/>
      <w:marLeft w:val="0"/>
      <w:marRight w:val="0"/>
      <w:marTop w:val="0"/>
      <w:marBottom w:val="0"/>
      <w:divBdr>
        <w:top w:val="none" w:sz="0" w:space="0" w:color="auto"/>
        <w:left w:val="none" w:sz="0" w:space="0" w:color="auto"/>
        <w:bottom w:val="none" w:sz="0" w:space="0" w:color="auto"/>
        <w:right w:val="none" w:sz="0" w:space="0" w:color="auto"/>
      </w:divBdr>
    </w:div>
    <w:div w:id="1431849500">
      <w:bodyDiv w:val="1"/>
      <w:marLeft w:val="0"/>
      <w:marRight w:val="0"/>
      <w:marTop w:val="0"/>
      <w:marBottom w:val="0"/>
      <w:divBdr>
        <w:top w:val="none" w:sz="0" w:space="0" w:color="auto"/>
        <w:left w:val="none" w:sz="0" w:space="0" w:color="auto"/>
        <w:bottom w:val="none" w:sz="0" w:space="0" w:color="auto"/>
        <w:right w:val="none" w:sz="0" w:space="0" w:color="auto"/>
      </w:divBdr>
    </w:div>
    <w:div w:id="1431850088">
      <w:bodyDiv w:val="1"/>
      <w:marLeft w:val="0"/>
      <w:marRight w:val="0"/>
      <w:marTop w:val="0"/>
      <w:marBottom w:val="0"/>
      <w:divBdr>
        <w:top w:val="none" w:sz="0" w:space="0" w:color="auto"/>
        <w:left w:val="none" w:sz="0" w:space="0" w:color="auto"/>
        <w:bottom w:val="none" w:sz="0" w:space="0" w:color="auto"/>
        <w:right w:val="none" w:sz="0" w:space="0" w:color="auto"/>
      </w:divBdr>
    </w:div>
    <w:div w:id="1432044574">
      <w:bodyDiv w:val="1"/>
      <w:marLeft w:val="0"/>
      <w:marRight w:val="0"/>
      <w:marTop w:val="0"/>
      <w:marBottom w:val="0"/>
      <w:divBdr>
        <w:top w:val="none" w:sz="0" w:space="0" w:color="auto"/>
        <w:left w:val="none" w:sz="0" w:space="0" w:color="auto"/>
        <w:bottom w:val="none" w:sz="0" w:space="0" w:color="auto"/>
        <w:right w:val="none" w:sz="0" w:space="0" w:color="auto"/>
      </w:divBdr>
    </w:div>
    <w:div w:id="1432044893">
      <w:bodyDiv w:val="1"/>
      <w:marLeft w:val="0"/>
      <w:marRight w:val="0"/>
      <w:marTop w:val="0"/>
      <w:marBottom w:val="0"/>
      <w:divBdr>
        <w:top w:val="none" w:sz="0" w:space="0" w:color="auto"/>
        <w:left w:val="none" w:sz="0" w:space="0" w:color="auto"/>
        <w:bottom w:val="none" w:sz="0" w:space="0" w:color="auto"/>
        <w:right w:val="none" w:sz="0" w:space="0" w:color="auto"/>
      </w:divBdr>
    </w:div>
    <w:div w:id="1432240292">
      <w:bodyDiv w:val="1"/>
      <w:marLeft w:val="0"/>
      <w:marRight w:val="0"/>
      <w:marTop w:val="0"/>
      <w:marBottom w:val="0"/>
      <w:divBdr>
        <w:top w:val="none" w:sz="0" w:space="0" w:color="auto"/>
        <w:left w:val="none" w:sz="0" w:space="0" w:color="auto"/>
        <w:bottom w:val="none" w:sz="0" w:space="0" w:color="auto"/>
        <w:right w:val="none" w:sz="0" w:space="0" w:color="auto"/>
      </w:divBdr>
    </w:div>
    <w:div w:id="1432311615">
      <w:bodyDiv w:val="1"/>
      <w:marLeft w:val="0"/>
      <w:marRight w:val="0"/>
      <w:marTop w:val="0"/>
      <w:marBottom w:val="0"/>
      <w:divBdr>
        <w:top w:val="none" w:sz="0" w:space="0" w:color="auto"/>
        <w:left w:val="none" w:sz="0" w:space="0" w:color="auto"/>
        <w:bottom w:val="none" w:sz="0" w:space="0" w:color="auto"/>
        <w:right w:val="none" w:sz="0" w:space="0" w:color="auto"/>
      </w:divBdr>
    </w:div>
    <w:div w:id="1432582921">
      <w:bodyDiv w:val="1"/>
      <w:marLeft w:val="0"/>
      <w:marRight w:val="0"/>
      <w:marTop w:val="0"/>
      <w:marBottom w:val="0"/>
      <w:divBdr>
        <w:top w:val="none" w:sz="0" w:space="0" w:color="auto"/>
        <w:left w:val="none" w:sz="0" w:space="0" w:color="auto"/>
        <w:bottom w:val="none" w:sz="0" w:space="0" w:color="auto"/>
        <w:right w:val="none" w:sz="0" w:space="0" w:color="auto"/>
      </w:divBdr>
    </w:div>
    <w:div w:id="1432702038">
      <w:bodyDiv w:val="1"/>
      <w:marLeft w:val="0"/>
      <w:marRight w:val="0"/>
      <w:marTop w:val="0"/>
      <w:marBottom w:val="0"/>
      <w:divBdr>
        <w:top w:val="none" w:sz="0" w:space="0" w:color="auto"/>
        <w:left w:val="none" w:sz="0" w:space="0" w:color="auto"/>
        <w:bottom w:val="none" w:sz="0" w:space="0" w:color="auto"/>
        <w:right w:val="none" w:sz="0" w:space="0" w:color="auto"/>
      </w:divBdr>
    </w:div>
    <w:div w:id="1432703171">
      <w:bodyDiv w:val="1"/>
      <w:marLeft w:val="0"/>
      <w:marRight w:val="0"/>
      <w:marTop w:val="0"/>
      <w:marBottom w:val="0"/>
      <w:divBdr>
        <w:top w:val="none" w:sz="0" w:space="0" w:color="auto"/>
        <w:left w:val="none" w:sz="0" w:space="0" w:color="auto"/>
        <w:bottom w:val="none" w:sz="0" w:space="0" w:color="auto"/>
        <w:right w:val="none" w:sz="0" w:space="0" w:color="auto"/>
      </w:divBdr>
    </w:div>
    <w:div w:id="1432891962">
      <w:bodyDiv w:val="1"/>
      <w:marLeft w:val="0"/>
      <w:marRight w:val="0"/>
      <w:marTop w:val="0"/>
      <w:marBottom w:val="0"/>
      <w:divBdr>
        <w:top w:val="none" w:sz="0" w:space="0" w:color="auto"/>
        <w:left w:val="none" w:sz="0" w:space="0" w:color="auto"/>
        <w:bottom w:val="none" w:sz="0" w:space="0" w:color="auto"/>
        <w:right w:val="none" w:sz="0" w:space="0" w:color="auto"/>
      </w:divBdr>
    </w:div>
    <w:div w:id="1432892496">
      <w:bodyDiv w:val="1"/>
      <w:marLeft w:val="0"/>
      <w:marRight w:val="0"/>
      <w:marTop w:val="0"/>
      <w:marBottom w:val="0"/>
      <w:divBdr>
        <w:top w:val="none" w:sz="0" w:space="0" w:color="auto"/>
        <w:left w:val="none" w:sz="0" w:space="0" w:color="auto"/>
        <w:bottom w:val="none" w:sz="0" w:space="0" w:color="auto"/>
        <w:right w:val="none" w:sz="0" w:space="0" w:color="auto"/>
      </w:divBdr>
    </w:div>
    <w:div w:id="1432894423">
      <w:bodyDiv w:val="1"/>
      <w:marLeft w:val="0"/>
      <w:marRight w:val="0"/>
      <w:marTop w:val="0"/>
      <w:marBottom w:val="0"/>
      <w:divBdr>
        <w:top w:val="none" w:sz="0" w:space="0" w:color="auto"/>
        <w:left w:val="none" w:sz="0" w:space="0" w:color="auto"/>
        <w:bottom w:val="none" w:sz="0" w:space="0" w:color="auto"/>
        <w:right w:val="none" w:sz="0" w:space="0" w:color="auto"/>
      </w:divBdr>
    </w:div>
    <w:div w:id="1432898091">
      <w:bodyDiv w:val="1"/>
      <w:marLeft w:val="0"/>
      <w:marRight w:val="0"/>
      <w:marTop w:val="0"/>
      <w:marBottom w:val="0"/>
      <w:divBdr>
        <w:top w:val="none" w:sz="0" w:space="0" w:color="auto"/>
        <w:left w:val="none" w:sz="0" w:space="0" w:color="auto"/>
        <w:bottom w:val="none" w:sz="0" w:space="0" w:color="auto"/>
        <w:right w:val="none" w:sz="0" w:space="0" w:color="auto"/>
      </w:divBdr>
    </w:div>
    <w:div w:id="1432972832">
      <w:bodyDiv w:val="1"/>
      <w:marLeft w:val="0"/>
      <w:marRight w:val="0"/>
      <w:marTop w:val="0"/>
      <w:marBottom w:val="0"/>
      <w:divBdr>
        <w:top w:val="none" w:sz="0" w:space="0" w:color="auto"/>
        <w:left w:val="none" w:sz="0" w:space="0" w:color="auto"/>
        <w:bottom w:val="none" w:sz="0" w:space="0" w:color="auto"/>
        <w:right w:val="none" w:sz="0" w:space="0" w:color="auto"/>
      </w:divBdr>
    </w:div>
    <w:div w:id="1433286105">
      <w:bodyDiv w:val="1"/>
      <w:marLeft w:val="0"/>
      <w:marRight w:val="0"/>
      <w:marTop w:val="0"/>
      <w:marBottom w:val="0"/>
      <w:divBdr>
        <w:top w:val="none" w:sz="0" w:space="0" w:color="auto"/>
        <w:left w:val="none" w:sz="0" w:space="0" w:color="auto"/>
        <w:bottom w:val="none" w:sz="0" w:space="0" w:color="auto"/>
        <w:right w:val="none" w:sz="0" w:space="0" w:color="auto"/>
      </w:divBdr>
    </w:div>
    <w:div w:id="1433403475">
      <w:bodyDiv w:val="1"/>
      <w:marLeft w:val="0"/>
      <w:marRight w:val="0"/>
      <w:marTop w:val="0"/>
      <w:marBottom w:val="0"/>
      <w:divBdr>
        <w:top w:val="none" w:sz="0" w:space="0" w:color="auto"/>
        <w:left w:val="none" w:sz="0" w:space="0" w:color="auto"/>
        <w:bottom w:val="none" w:sz="0" w:space="0" w:color="auto"/>
        <w:right w:val="none" w:sz="0" w:space="0" w:color="auto"/>
      </w:divBdr>
    </w:div>
    <w:div w:id="1433626238">
      <w:bodyDiv w:val="1"/>
      <w:marLeft w:val="0"/>
      <w:marRight w:val="0"/>
      <w:marTop w:val="0"/>
      <w:marBottom w:val="0"/>
      <w:divBdr>
        <w:top w:val="none" w:sz="0" w:space="0" w:color="auto"/>
        <w:left w:val="none" w:sz="0" w:space="0" w:color="auto"/>
        <w:bottom w:val="none" w:sz="0" w:space="0" w:color="auto"/>
        <w:right w:val="none" w:sz="0" w:space="0" w:color="auto"/>
      </w:divBdr>
    </w:div>
    <w:div w:id="1433745005">
      <w:bodyDiv w:val="1"/>
      <w:marLeft w:val="0"/>
      <w:marRight w:val="0"/>
      <w:marTop w:val="0"/>
      <w:marBottom w:val="0"/>
      <w:divBdr>
        <w:top w:val="none" w:sz="0" w:space="0" w:color="auto"/>
        <w:left w:val="none" w:sz="0" w:space="0" w:color="auto"/>
        <w:bottom w:val="none" w:sz="0" w:space="0" w:color="auto"/>
        <w:right w:val="none" w:sz="0" w:space="0" w:color="auto"/>
      </w:divBdr>
    </w:div>
    <w:div w:id="1433746315">
      <w:bodyDiv w:val="1"/>
      <w:marLeft w:val="0"/>
      <w:marRight w:val="0"/>
      <w:marTop w:val="0"/>
      <w:marBottom w:val="0"/>
      <w:divBdr>
        <w:top w:val="none" w:sz="0" w:space="0" w:color="auto"/>
        <w:left w:val="none" w:sz="0" w:space="0" w:color="auto"/>
        <w:bottom w:val="none" w:sz="0" w:space="0" w:color="auto"/>
        <w:right w:val="none" w:sz="0" w:space="0" w:color="auto"/>
      </w:divBdr>
    </w:div>
    <w:div w:id="1433823313">
      <w:bodyDiv w:val="1"/>
      <w:marLeft w:val="0"/>
      <w:marRight w:val="0"/>
      <w:marTop w:val="0"/>
      <w:marBottom w:val="0"/>
      <w:divBdr>
        <w:top w:val="none" w:sz="0" w:space="0" w:color="auto"/>
        <w:left w:val="none" w:sz="0" w:space="0" w:color="auto"/>
        <w:bottom w:val="none" w:sz="0" w:space="0" w:color="auto"/>
        <w:right w:val="none" w:sz="0" w:space="0" w:color="auto"/>
      </w:divBdr>
    </w:div>
    <w:div w:id="1434012384">
      <w:bodyDiv w:val="1"/>
      <w:marLeft w:val="0"/>
      <w:marRight w:val="0"/>
      <w:marTop w:val="0"/>
      <w:marBottom w:val="0"/>
      <w:divBdr>
        <w:top w:val="none" w:sz="0" w:space="0" w:color="auto"/>
        <w:left w:val="none" w:sz="0" w:space="0" w:color="auto"/>
        <w:bottom w:val="none" w:sz="0" w:space="0" w:color="auto"/>
        <w:right w:val="none" w:sz="0" w:space="0" w:color="auto"/>
      </w:divBdr>
    </w:div>
    <w:div w:id="1434014823">
      <w:bodyDiv w:val="1"/>
      <w:marLeft w:val="0"/>
      <w:marRight w:val="0"/>
      <w:marTop w:val="0"/>
      <w:marBottom w:val="0"/>
      <w:divBdr>
        <w:top w:val="none" w:sz="0" w:space="0" w:color="auto"/>
        <w:left w:val="none" w:sz="0" w:space="0" w:color="auto"/>
        <w:bottom w:val="none" w:sz="0" w:space="0" w:color="auto"/>
        <w:right w:val="none" w:sz="0" w:space="0" w:color="auto"/>
      </w:divBdr>
    </w:div>
    <w:div w:id="1434327892">
      <w:bodyDiv w:val="1"/>
      <w:marLeft w:val="0"/>
      <w:marRight w:val="0"/>
      <w:marTop w:val="0"/>
      <w:marBottom w:val="0"/>
      <w:divBdr>
        <w:top w:val="none" w:sz="0" w:space="0" w:color="auto"/>
        <w:left w:val="none" w:sz="0" w:space="0" w:color="auto"/>
        <w:bottom w:val="none" w:sz="0" w:space="0" w:color="auto"/>
        <w:right w:val="none" w:sz="0" w:space="0" w:color="auto"/>
      </w:divBdr>
    </w:div>
    <w:div w:id="1434546674">
      <w:bodyDiv w:val="1"/>
      <w:marLeft w:val="0"/>
      <w:marRight w:val="0"/>
      <w:marTop w:val="0"/>
      <w:marBottom w:val="0"/>
      <w:divBdr>
        <w:top w:val="none" w:sz="0" w:space="0" w:color="auto"/>
        <w:left w:val="none" w:sz="0" w:space="0" w:color="auto"/>
        <w:bottom w:val="none" w:sz="0" w:space="0" w:color="auto"/>
        <w:right w:val="none" w:sz="0" w:space="0" w:color="auto"/>
      </w:divBdr>
    </w:div>
    <w:div w:id="1434670540">
      <w:bodyDiv w:val="1"/>
      <w:marLeft w:val="0"/>
      <w:marRight w:val="0"/>
      <w:marTop w:val="0"/>
      <w:marBottom w:val="0"/>
      <w:divBdr>
        <w:top w:val="none" w:sz="0" w:space="0" w:color="auto"/>
        <w:left w:val="none" w:sz="0" w:space="0" w:color="auto"/>
        <w:bottom w:val="none" w:sz="0" w:space="0" w:color="auto"/>
        <w:right w:val="none" w:sz="0" w:space="0" w:color="auto"/>
      </w:divBdr>
    </w:div>
    <w:div w:id="1434671661">
      <w:bodyDiv w:val="1"/>
      <w:marLeft w:val="0"/>
      <w:marRight w:val="0"/>
      <w:marTop w:val="0"/>
      <w:marBottom w:val="0"/>
      <w:divBdr>
        <w:top w:val="none" w:sz="0" w:space="0" w:color="auto"/>
        <w:left w:val="none" w:sz="0" w:space="0" w:color="auto"/>
        <w:bottom w:val="none" w:sz="0" w:space="0" w:color="auto"/>
        <w:right w:val="none" w:sz="0" w:space="0" w:color="auto"/>
      </w:divBdr>
    </w:div>
    <w:div w:id="1435127791">
      <w:bodyDiv w:val="1"/>
      <w:marLeft w:val="0"/>
      <w:marRight w:val="0"/>
      <w:marTop w:val="0"/>
      <w:marBottom w:val="0"/>
      <w:divBdr>
        <w:top w:val="none" w:sz="0" w:space="0" w:color="auto"/>
        <w:left w:val="none" w:sz="0" w:space="0" w:color="auto"/>
        <w:bottom w:val="none" w:sz="0" w:space="0" w:color="auto"/>
        <w:right w:val="none" w:sz="0" w:space="0" w:color="auto"/>
      </w:divBdr>
    </w:div>
    <w:div w:id="1435369509">
      <w:bodyDiv w:val="1"/>
      <w:marLeft w:val="0"/>
      <w:marRight w:val="0"/>
      <w:marTop w:val="0"/>
      <w:marBottom w:val="0"/>
      <w:divBdr>
        <w:top w:val="none" w:sz="0" w:space="0" w:color="auto"/>
        <w:left w:val="none" w:sz="0" w:space="0" w:color="auto"/>
        <w:bottom w:val="none" w:sz="0" w:space="0" w:color="auto"/>
        <w:right w:val="none" w:sz="0" w:space="0" w:color="auto"/>
      </w:divBdr>
    </w:div>
    <w:div w:id="1435398023">
      <w:bodyDiv w:val="1"/>
      <w:marLeft w:val="0"/>
      <w:marRight w:val="0"/>
      <w:marTop w:val="0"/>
      <w:marBottom w:val="0"/>
      <w:divBdr>
        <w:top w:val="none" w:sz="0" w:space="0" w:color="auto"/>
        <w:left w:val="none" w:sz="0" w:space="0" w:color="auto"/>
        <w:bottom w:val="none" w:sz="0" w:space="0" w:color="auto"/>
        <w:right w:val="none" w:sz="0" w:space="0" w:color="auto"/>
      </w:divBdr>
    </w:div>
    <w:div w:id="1435831990">
      <w:bodyDiv w:val="1"/>
      <w:marLeft w:val="0"/>
      <w:marRight w:val="0"/>
      <w:marTop w:val="0"/>
      <w:marBottom w:val="0"/>
      <w:divBdr>
        <w:top w:val="none" w:sz="0" w:space="0" w:color="auto"/>
        <w:left w:val="none" w:sz="0" w:space="0" w:color="auto"/>
        <w:bottom w:val="none" w:sz="0" w:space="0" w:color="auto"/>
        <w:right w:val="none" w:sz="0" w:space="0" w:color="auto"/>
      </w:divBdr>
    </w:div>
    <w:div w:id="1435977027">
      <w:bodyDiv w:val="1"/>
      <w:marLeft w:val="0"/>
      <w:marRight w:val="0"/>
      <w:marTop w:val="0"/>
      <w:marBottom w:val="0"/>
      <w:divBdr>
        <w:top w:val="none" w:sz="0" w:space="0" w:color="auto"/>
        <w:left w:val="none" w:sz="0" w:space="0" w:color="auto"/>
        <w:bottom w:val="none" w:sz="0" w:space="0" w:color="auto"/>
        <w:right w:val="none" w:sz="0" w:space="0" w:color="auto"/>
      </w:divBdr>
    </w:div>
    <w:div w:id="1436246965">
      <w:bodyDiv w:val="1"/>
      <w:marLeft w:val="0"/>
      <w:marRight w:val="0"/>
      <w:marTop w:val="0"/>
      <w:marBottom w:val="0"/>
      <w:divBdr>
        <w:top w:val="none" w:sz="0" w:space="0" w:color="auto"/>
        <w:left w:val="none" w:sz="0" w:space="0" w:color="auto"/>
        <w:bottom w:val="none" w:sz="0" w:space="0" w:color="auto"/>
        <w:right w:val="none" w:sz="0" w:space="0" w:color="auto"/>
      </w:divBdr>
    </w:div>
    <w:div w:id="1436292079">
      <w:bodyDiv w:val="1"/>
      <w:marLeft w:val="0"/>
      <w:marRight w:val="0"/>
      <w:marTop w:val="0"/>
      <w:marBottom w:val="0"/>
      <w:divBdr>
        <w:top w:val="none" w:sz="0" w:space="0" w:color="auto"/>
        <w:left w:val="none" w:sz="0" w:space="0" w:color="auto"/>
        <w:bottom w:val="none" w:sz="0" w:space="0" w:color="auto"/>
        <w:right w:val="none" w:sz="0" w:space="0" w:color="auto"/>
      </w:divBdr>
    </w:div>
    <w:div w:id="1436558950">
      <w:bodyDiv w:val="1"/>
      <w:marLeft w:val="0"/>
      <w:marRight w:val="0"/>
      <w:marTop w:val="0"/>
      <w:marBottom w:val="0"/>
      <w:divBdr>
        <w:top w:val="none" w:sz="0" w:space="0" w:color="auto"/>
        <w:left w:val="none" w:sz="0" w:space="0" w:color="auto"/>
        <w:bottom w:val="none" w:sz="0" w:space="0" w:color="auto"/>
        <w:right w:val="none" w:sz="0" w:space="0" w:color="auto"/>
      </w:divBdr>
    </w:div>
    <w:div w:id="1436898801">
      <w:bodyDiv w:val="1"/>
      <w:marLeft w:val="0"/>
      <w:marRight w:val="0"/>
      <w:marTop w:val="0"/>
      <w:marBottom w:val="0"/>
      <w:divBdr>
        <w:top w:val="none" w:sz="0" w:space="0" w:color="auto"/>
        <w:left w:val="none" w:sz="0" w:space="0" w:color="auto"/>
        <w:bottom w:val="none" w:sz="0" w:space="0" w:color="auto"/>
        <w:right w:val="none" w:sz="0" w:space="0" w:color="auto"/>
      </w:divBdr>
    </w:div>
    <w:div w:id="1437096381">
      <w:bodyDiv w:val="1"/>
      <w:marLeft w:val="0"/>
      <w:marRight w:val="0"/>
      <w:marTop w:val="0"/>
      <w:marBottom w:val="0"/>
      <w:divBdr>
        <w:top w:val="none" w:sz="0" w:space="0" w:color="auto"/>
        <w:left w:val="none" w:sz="0" w:space="0" w:color="auto"/>
        <w:bottom w:val="none" w:sz="0" w:space="0" w:color="auto"/>
        <w:right w:val="none" w:sz="0" w:space="0" w:color="auto"/>
      </w:divBdr>
    </w:div>
    <w:div w:id="1437139131">
      <w:bodyDiv w:val="1"/>
      <w:marLeft w:val="0"/>
      <w:marRight w:val="0"/>
      <w:marTop w:val="0"/>
      <w:marBottom w:val="0"/>
      <w:divBdr>
        <w:top w:val="none" w:sz="0" w:space="0" w:color="auto"/>
        <w:left w:val="none" w:sz="0" w:space="0" w:color="auto"/>
        <w:bottom w:val="none" w:sz="0" w:space="0" w:color="auto"/>
        <w:right w:val="none" w:sz="0" w:space="0" w:color="auto"/>
      </w:divBdr>
    </w:div>
    <w:div w:id="1437674897">
      <w:bodyDiv w:val="1"/>
      <w:marLeft w:val="0"/>
      <w:marRight w:val="0"/>
      <w:marTop w:val="0"/>
      <w:marBottom w:val="0"/>
      <w:divBdr>
        <w:top w:val="none" w:sz="0" w:space="0" w:color="auto"/>
        <w:left w:val="none" w:sz="0" w:space="0" w:color="auto"/>
        <w:bottom w:val="none" w:sz="0" w:space="0" w:color="auto"/>
        <w:right w:val="none" w:sz="0" w:space="0" w:color="auto"/>
      </w:divBdr>
    </w:div>
    <w:div w:id="1437749200">
      <w:bodyDiv w:val="1"/>
      <w:marLeft w:val="0"/>
      <w:marRight w:val="0"/>
      <w:marTop w:val="0"/>
      <w:marBottom w:val="0"/>
      <w:divBdr>
        <w:top w:val="none" w:sz="0" w:space="0" w:color="auto"/>
        <w:left w:val="none" w:sz="0" w:space="0" w:color="auto"/>
        <w:bottom w:val="none" w:sz="0" w:space="0" w:color="auto"/>
        <w:right w:val="none" w:sz="0" w:space="0" w:color="auto"/>
      </w:divBdr>
    </w:div>
    <w:div w:id="1437868861">
      <w:bodyDiv w:val="1"/>
      <w:marLeft w:val="0"/>
      <w:marRight w:val="0"/>
      <w:marTop w:val="0"/>
      <w:marBottom w:val="0"/>
      <w:divBdr>
        <w:top w:val="none" w:sz="0" w:space="0" w:color="auto"/>
        <w:left w:val="none" w:sz="0" w:space="0" w:color="auto"/>
        <w:bottom w:val="none" w:sz="0" w:space="0" w:color="auto"/>
        <w:right w:val="none" w:sz="0" w:space="0" w:color="auto"/>
      </w:divBdr>
    </w:div>
    <w:div w:id="1438015280">
      <w:bodyDiv w:val="1"/>
      <w:marLeft w:val="0"/>
      <w:marRight w:val="0"/>
      <w:marTop w:val="0"/>
      <w:marBottom w:val="0"/>
      <w:divBdr>
        <w:top w:val="none" w:sz="0" w:space="0" w:color="auto"/>
        <w:left w:val="none" w:sz="0" w:space="0" w:color="auto"/>
        <w:bottom w:val="none" w:sz="0" w:space="0" w:color="auto"/>
        <w:right w:val="none" w:sz="0" w:space="0" w:color="auto"/>
      </w:divBdr>
    </w:div>
    <w:div w:id="1438021471">
      <w:bodyDiv w:val="1"/>
      <w:marLeft w:val="0"/>
      <w:marRight w:val="0"/>
      <w:marTop w:val="0"/>
      <w:marBottom w:val="0"/>
      <w:divBdr>
        <w:top w:val="none" w:sz="0" w:space="0" w:color="auto"/>
        <w:left w:val="none" w:sz="0" w:space="0" w:color="auto"/>
        <w:bottom w:val="none" w:sz="0" w:space="0" w:color="auto"/>
        <w:right w:val="none" w:sz="0" w:space="0" w:color="auto"/>
      </w:divBdr>
    </w:div>
    <w:div w:id="1438133506">
      <w:bodyDiv w:val="1"/>
      <w:marLeft w:val="0"/>
      <w:marRight w:val="0"/>
      <w:marTop w:val="0"/>
      <w:marBottom w:val="0"/>
      <w:divBdr>
        <w:top w:val="none" w:sz="0" w:space="0" w:color="auto"/>
        <w:left w:val="none" w:sz="0" w:space="0" w:color="auto"/>
        <w:bottom w:val="none" w:sz="0" w:space="0" w:color="auto"/>
        <w:right w:val="none" w:sz="0" w:space="0" w:color="auto"/>
      </w:divBdr>
    </w:div>
    <w:div w:id="1438329153">
      <w:bodyDiv w:val="1"/>
      <w:marLeft w:val="0"/>
      <w:marRight w:val="0"/>
      <w:marTop w:val="0"/>
      <w:marBottom w:val="0"/>
      <w:divBdr>
        <w:top w:val="none" w:sz="0" w:space="0" w:color="auto"/>
        <w:left w:val="none" w:sz="0" w:space="0" w:color="auto"/>
        <w:bottom w:val="none" w:sz="0" w:space="0" w:color="auto"/>
        <w:right w:val="none" w:sz="0" w:space="0" w:color="auto"/>
      </w:divBdr>
    </w:div>
    <w:div w:id="1438401050">
      <w:bodyDiv w:val="1"/>
      <w:marLeft w:val="0"/>
      <w:marRight w:val="0"/>
      <w:marTop w:val="0"/>
      <w:marBottom w:val="0"/>
      <w:divBdr>
        <w:top w:val="none" w:sz="0" w:space="0" w:color="auto"/>
        <w:left w:val="none" w:sz="0" w:space="0" w:color="auto"/>
        <w:bottom w:val="none" w:sz="0" w:space="0" w:color="auto"/>
        <w:right w:val="none" w:sz="0" w:space="0" w:color="auto"/>
      </w:divBdr>
    </w:div>
    <w:div w:id="1438520720">
      <w:bodyDiv w:val="1"/>
      <w:marLeft w:val="0"/>
      <w:marRight w:val="0"/>
      <w:marTop w:val="0"/>
      <w:marBottom w:val="0"/>
      <w:divBdr>
        <w:top w:val="none" w:sz="0" w:space="0" w:color="auto"/>
        <w:left w:val="none" w:sz="0" w:space="0" w:color="auto"/>
        <w:bottom w:val="none" w:sz="0" w:space="0" w:color="auto"/>
        <w:right w:val="none" w:sz="0" w:space="0" w:color="auto"/>
      </w:divBdr>
    </w:div>
    <w:div w:id="1438914189">
      <w:bodyDiv w:val="1"/>
      <w:marLeft w:val="0"/>
      <w:marRight w:val="0"/>
      <w:marTop w:val="0"/>
      <w:marBottom w:val="0"/>
      <w:divBdr>
        <w:top w:val="none" w:sz="0" w:space="0" w:color="auto"/>
        <w:left w:val="none" w:sz="0" w:space="0" w:color="auto"/>
        <w:bottom w:val="none" w:sz="0" w:space="0" w:color="auto"/>
        <w:right w:val="none" w:sz="0" w:space="0" w:color="auto"/>
      </w:divBdr>
    </w:div>
    <w:div w:id="1439063423">
      <w:bodyDiv w:val="1"/>
      <w:marLeft w:val="0"/>
      <w:marRight w:val="0"/>
      <w:marTop w:val="0"/>
      <w:marBottom w:val="0"/>
      <w:divBdr>
        <w:top w:val="none" w:sz="0" w:space="0" w:color="auto"/>
        <w:left w:val="none" w:sz="0" w:space="0" w:color="auto"/>
        <w:bottom w:val="none" w:sz="0" w:space="0" w:color="auto"/>
        <w:right w:val="none" w:sz="0" w:space="0" w:color="auto"/>
      </w:divBdr>
    </w:div>
    <w:div w:id="1439107123">
      <w:bodyDiv w:val="1"/>
      <w:marLeft w:val="0"/>
      <w:marRight w:val="0"/>
      <w:marTop w:val="0"/>
      <w:marBottom w:val="0"/>
      <w:divBdr>
        <w:top w:val="none" w:sz="0" w:space="0" w:color="auto"/>
        <w:left w:val="none" w:sz="0" w:space="0" w:color="auto"/>
        <w:bottom w:val="none" w:sz="0" w:space="0" w:color="auto"/>
        <w:right w:val="none" w:sz="0" w:space="0" w:color="auto"/>
      </w:divBdr>
    </w:div>
    <w:div w:id="1439178750">
      <w:bodyDiv w:val="1"/>
      <w:marLeft w:val="0"/>
      <w:marRight w:val="0"/>
      <w:marTop w:val="0"/>
      <w:marBottom w:val="0"/>
      <w:divBdr>
        <w:top w:val="none" w:sz="0" w:space="0" w:color="auto"/>
        <w:left w:val="none" w:sz="0" w:space="0" w:color="auto"/>
        <w:bottom w:val="none" w:sz="0" w:space="0" w:color="auto"/>
        <w:right w:val="none" w:sz="0" w:space="0" w:color="auto"/>
      </w:divBdr>
    </w:div>
    <w:div w:id="1439325571">
      <w:bodyDiv w:val="1"/>
      <w:marLeft w:val="0"/>
      <w:marRight w:val="0"/>
      <w:marTop w:val="0"/>
      <w:marBottom w:val="0"/>
      <w:divBdr>
        <w:top w:val="none" w:sz="0" w:space="0" w:color="auto"/>
        <w:left w:val="none" w:sz="0" w:space="0" w:color="auto"/>
        <w:bottom w:val="none" w:sz="0" w:space="0" w:color="auto"/>
        <w:right w:val="none" w:sz="0" w:space="0" w:color="auto"/>
      </w:divBdr>
    </w:div>
    <w:div w:id="1439330132">
      <w:bodyDiv w:val="1"/>
      <w:marLeft w:val="0"/>
      <w:marRight w:val="0"/>
      <w:marTop w:val="0"/>
      <w:marBottom w:val="0"/>
      <w:divBdr>
        <w:top w:val="none" w:sz="0" w:space="0" w:color="auto"/>
        <w:left w:val="none" w:sz="0" w:space="0" w:color="auto"/>
        <w:bottom w:val="none" w:sz="0" w:space="0" w:color="auto"/>
        <w:right w:val="none" w:sz="0" w:space="0" w:color="auto"/>
      </w:divBdr>
    </w:div>
    <w:div w:id="1439644275">
      <w:bodyDiv w:val="1"/>
      <w:marLeft w:val="0"/>
      <w:marRight w:val="0"/>
      <w:marTop w:val="0"/>
      <w:marBottom w:val="0"/>
      <w:divBdr>
        <w:top w:val="none" w:sz="0" w:space="0" w:color="auto"/>
        <w:left w:val="none" w:sz="0" w:space="0" w:color="auto"/>
        <w:bottom w:val="none" w:sz="0" w:space="0" w:color="auto"/>
        <w:right w:val="none" w:sz="0" w:space="0" w:color="auto"/>
      </w:divBdr>
    </w:div>
    <w:div w:id="1439909981">
      <w:bodyDiv w:val="1"/>
      <w:marLeft w:val="0"/>
      <w:marRight w:val="0"/>
      <w:marTop w:val="0"/>
      <w:marBottom w:val="0"/>
      <w:divBdr>
        <w:top w:val="none" w:sz="0" w:space="0" w:color="auto"/>
        <w:left w:val="none" w:sz="0" w:space="0" w:color="auto"/>
        <w:bottom w:val="none" w:sz="0" w:space="0" w:color="auto"/>
        <w:right w:val="none" w:sz="0" w:space="0" w:color="auto"/>
      </w:divBdr>
    </w:div>
    <w:div w:id="1440180710">
      <w:bodyDiv w:val="1"/>
      <w:marLeft w:val="0"/>
      <w:marRight w:val="0"/>
      <w:marTop w:val="0"/>
      <w:marBottom w:val="0"/>
      <w:divBdr>
        <w:top w:val="none" w:sz="0" w:space="0" w:color="auto"/>
        <w:left w:val="none" w:sz="0" w:space="0" w:color="auto"/>
        <w:bottom w:val="none" w:sz="0" w:space="0" w:color="auto"/>
        <w:right w:val="none" w:sz="0" w:space="0" w:color="auto"/>
      </w:divBdr>
    </w:div>
    <w:div w:id="1440298100">
      <w:bodyDiv w:val="1"/>
      <w:marLeft w:val="0"/>
      <w:marRight w:val="0"/>
      <w:marTop w:val="0"/>
      <w:marBottom w:val="0"/>
      <w:divBdr>
        <w:top w:val="none" w:sz="0" w:space="0" w:color="auto"/>
        <w:left w:val="none" w:sz="0" w:space="0" w:color="auto"/>
        <w:bottom w:val="none" w:sz="0" w:space="0" w:color="auto"/>
        <w:right w:val="none" w:sz="0" w:space="0" w:color="auto"/>
      </w:divBdr>
    </w:div>
    <w:div w:id="1440369501">
      <w:bodyDiv w:val="1"/>
      <w:marLeft w:val="0"/>
      <w:marRight w:val="0"/>
      <w:marTop w:val="0"/>
      <w:marBottom w:val="0"/>
      <w:divBdr>
        <w:top w:val="none" w:sz="0" w:space="0" w:color="auto"/>
        <w:left w:val="none" w:sz="0" w:space="0" w:color="auto"/>
        <w:bottom w:val="none" w:sz="0" w:space="0" w:color="auto"/>
        <w:right w:val="none" w:sz="0" w:space="0" w:color="auto"/>
      </w:divBdr>
    </w:div>
    <w:div w:id="1440754900">
      <w:bodyDiv w:val="1"/>
      <w:marLeft w:val="0"/>
      <w:marRight w:val="0"/>
      <w:marTop w:val="0"/>
      <w:marBottom w:val="0"/>
      <w:divBdr>
        <w:top w:val="none" w:sz="0" w:space="0" w:color="auto"/>
        <w:left w:val="none" w:sz="0" w:space="0" w:color="auto"/>
        <w:bottom w:val="none" w:sz="0" w:space="0" w:color="auto"/>
        <w:right w:val="none" w:sz="0" w:space="0" w:color="auto"/>
      </w:divBdr>
    </w:div>
    <w:div w:id="1440905108">
      <w:bodyDiv w:val="1"/>
      <w:marLeft w:val="0"/>
      <w:marRight w:val="0"/>
      <w:marTop w:val="0"/>
      <w:marBottom w:val="0"/>
      <w:divBdr>
        <w:top w:val="none" w:sz="0" w:space="0" w:color="auto"/>
        <w:left w:val="none" w:sz="0" w:space="0" w:color="auto"/>
        <w:bottom w:val="none" w:sz="0" w:space="0" w:color="auto"/>
        <w:right w:val="none" w:sz="0" w:space="0" w:color="auto"/>
      </w:divBdr>
    </w:div>
    <w:div w:id="1441071196">
      <w:bodyDiv w:val="1"/>
      <w:marLeft w:val="0"/>
      <w:marRight w:val="0"/>
      <w:marTop w:val="0"/>
      <w:marBottom w:val="0"/>
      <w:divBdr>
        <w:top w:val="none" w:sz="0" w:space="0" w:color="auto"/>
        <w:left w:val="none" w:sz="0" w:space="0" w:color="auto"/>
        <w:bottom w:val="none" w:sz="0" w:space="0" w:color="auto"/>
        <w:right w:val="none" w:sz="0" w:space="0" w:color="auto"/>
      </w:divBdr>
    </w:div>
    <w:div w:id="1441218173">
      <w:bodyDiv w:val="1"/>
      <w:marLeft w:val="0"/>
      <w:marRight w:val="0"/>
      <w:marTop w:val="0"/>
      <w:marBottom w:val="0"/>
      <w:divBdr>
        <w:top w:val="none" w:sz="0" w:space="0" w:color="auto"/>
        <w:left w:val="none" w:sz="0" w:space="0" w:color="auto"/>
        <w:bottom w:val="none" w:sz="0" w:space="0" w:color="auto"/>
        <w:right w:val="none" w:sz="0" w:space="0" w:color="auto"/>
      </w:divBdr>
    </w:div>
    <w:div w:id="1441299633">
      <w:bodyDiv w:val="1"/>
      <w:marLeft w:val="0"/>
      <w:marRight w:val="0"/>
      <w:marTop w:val="0"/>
      <w:marBottom w:val="0"/>
      <w:divBdr>
        <w:top w:val="none" w:sz="0" w:space="0" w:color="auto"/>
        <w:left w:val="none" w:sz="0" w:space="0" w:color="auto"/>
        <w:bottom w:val="none" w:sz="0" w:space="0" w:color="auto"/>
        <w:right w:val="none" w:sz="0" w:space="0" w:color="auto"/>
      </w:divBdr>
    </w:div>
    <w:div w:id="1441336023">
      <w:bodyDiv w:val="1"/>
      <w:marLeft w:val="0"/>
      <w:marRight w:val="0"/>
      <w:marTop w:val="0"/>
      <w:marBottom w:val="0"/>
      <w:divBdr>
        <w:top w:val="none" w:sz="0" w:space="0" w:color="auto"/>
        <w:left w:val="none" w:sz="0" w:space="0" w:color="auto"/>
        <w:bottom w:val="none" w:sz="0" w:space="0" w:color="auto"/>
        <w:right w:val="none" w:sz="0" w:space="0" w:color="auto"/>
      </w:divBdr>
    </w:div>
    <w:div w:id="1441491221">
      <w:bodyDiv w:val="1"/>
      <w:marLeft w:val="0"/>
      <w:marRight w:val="0"/>
      <w:marTop w:val="0"/>
      <w:marBottom w:val="0"/>
      <w:divBdr>
        <w:top w:val="none" w:sz="0" w:space="0" w:color="auto"/>
        <w:left w:val="none" w:sz="0" w:space="0" w:color="auto"/>
        <w:bottom w:val="none" w:sz="0" w:space="0" w:color="auto"/>
        <w:right w:val="none" w:sz="0" w:space="0" w:color="auto"/>
      </w:divBdr>
    </w:div>
    <w:div w:id="1441529920">
      <w:bodyDiv w:val="1"/>
      <w:marLeft w:val="0"/>
      <w:marRight w:val="0"/>
      <w:marTop w:val="0"/>
      <w:marBottom w:val="0"/>
      <w:divBdr>
        <w:top w:val="none" w:sz="0" w:space="0" w:color="auto"/>
        <w:left w:val="none" w:sz="0" w:space="0" w:color="auto"/>
        <w:bottom w:val="none" w:sz="0" w:space="0" w:color="auto"/>
        <w:right w:val="none" w:sz="0" w:space="0" w:color="auto"/>
      </w:divBdr>
    </w:div>
    <w:div w:id="1441758154">
      <w:bodyDiv w:val="1"/>
      <w:marLeft w:val="0"/>
      <w:marRight w:val="0"/>
      <w:marTop w:val="0"/>
      <w:marBottom w:val="0"/>
      <w:divBdr>
        <w:top w:val="none" w:sz="0" w:space="0" w:color="auto"/>
        <w:left w:val="none" w:sz="0" w:space="0" w:color="auto"/>
        <w:bottom w:val="none" w:sz="0" w:space="0" w:color="auto"/>
        <w:right w:val="none" w:sz="0" w:space="0" w:color="auto"/>
      </w:divBdr>
    </w:div>
    <w:div w:id="1441871044">
      <w:bodyDiv w:val="1"/>
      <w:marLeft w:val="0"/>
      <w:marRight w:val="0"/>
      <w:marTop w:val="0"/>
      <w:marBottom w:val="0"/>
      <w:divBdr>
        <w:top w:val="none" w:sz="0" w:space="0" w:color="auto"/>
        <w:left w:val="none" w:sz="0" w:space="0" w:color="auto"/>
        <w:bottom w:val="none" w:sz="0" w:space="0" w:color="auto"/>
        <w:right w:val="none" w:sz="0" w:space="0" w:color="auto"/>
      </w:divBdr>
    </w:div>
    <w:div w:id="1442147854">
      <w:bodyDiv w:val="1"/>
      <w:marLeft w:val="0"/>
      <w:marRight w:val="0"/>
      <w:marTop w:val="0"/>
      <w:marBottom w:val="0"/>
      <w:divBdr>
        <w:top w:val="none" w:sz="0" w:space="0" w:color="auto"/>
        <w:left w:val="none" w:sz="0" w:space="0" w:color="auto"/>
        <w:bottom w:val="none" w:sz="0" w:space="0" w:color="auto"/>
        <w:right w:val="none" w:sz="0" w:space="0" w:color="auto"/>
      </w:divBdr>
    </w:div>
    <w:div w:id="1442214746">
      <w:bodyDiv w:val="1"/>
      <w:marLeft w:val="0"/>
      <w:marRight w:val="0"/>
      <w:marTop w:val="0"/>
      <w:marBottom w:val="0"/>
      <w:divBdr>
        <w:top w:val="none" w:sz="0" w:space="0" w:color="auto"/>
        <w:left w:val="none" w:sz="0" w:space="0" w:color="auto"/>
        <w:bottom w:val="none" w:sz="0" w:space="0" w:color="auto"/>
        <w:right w:val="none" w:sz="0" w:space="0" w:color="auto"/>
      </w:divBdr>
    </w:div>
    <w:div w:id="1442339933">
      <w:bodyDiv w:val="1"/>
      <w:marLeft w:val="0"/>
      <w:marRight w:val="0"/>
      <w:marTop w:val="0"/>
      <w:marBottom w:val="0"/>
      <w:divBdr>
        <w:top w:val="none" w:sz="0" w:space="0" w:color="auto"/>
        <w:left w:val="none" w:sz="0" w:space="0" w:color="auto"/>
        <w:bottom w:val="none" w:sz="0" w:space="0" w:color="auto"/>
        <w:right w:val="none" w:sz="0" w:space="0" w:color="auto"/>
      </w:divBdr>
    </w:div>
    <w:div w:id="1442458373">
      <w:bodyDiv w:val="1"/>
      <w:marLeft w:val="0"/>
      <w:marRight w:val="0"/>
      <w:marTop w:val="0"/>
      <w:marBottom w:val="0"/>
      <w:divBdr>
        <w:top w:val="none" w:sz="0" w:space="0" w:color="auto"/>
        <w:left w:val="none" w:sz="0" w:space="0" w:color="auto"/>
        <w:bottom w:val="none" w:sz="0" w:space="0" w:color="auto"/>
        <w:right w:val="none" w:sz="0" w:space="0" w:color="auto"/>
      </w:divBdr>
    </w:div>
    <w:div w:id="1442653564">
      <w:bodyDiv w:val="1"/>
      <w:marLeft w:val="0"/>
      <w:marRight w:val="0"/>
      <w:marTop w:val="0"/>
      <w:marBottom w:val="0"/>
      <w:divBdr>
        <w:top w:val="none" w:sz="0" w:space="0" w:color="auto"/>
        <w:left w:val="none" w:sz="0" w:space="0" w:color="auto"/>
        <w:bottom w:val="none" w:sz="0" w:space="0" w:color="auto"/>
        <w:right w:val="none" w:sz="0" w:space="0" w:color="auto"/>
      </w:divBdr>
    </w:div>
    <w:div w:id="1442727782">
      <w:bodyDiv w:val="1"/>
      <w:marLeft w:val="0"/>
      <w:marRight w:val="0"/>
      <w:marTop w:val="0"/>
      <w:marBottom w:val="0"/>
      <w:divBdr>
        <w:top w:val="none" w:sz="0" w:space="0" w:color="auto"/>
        <w:left w:val="none" w:sz="0" w:space="0" w:color="auto"/>
        <w:bottom w:val="none" w:sz="0" w:space="0" w:color="auto"/>
        <w:right w:val="none" w:sz="0" w:space="0" w:color="auto"/>
      </w:divBdr>
    </w:div>
    <w:div w:id="1443106987">
      <w:bodyDiv w:val="1"/>
      <w:marLeft w:val="0"/>
      <w:marRight w:val="0"/>
      <w:marTop w:val="0"/>
      <w:marBottom w:val="0"/>
      <w:divBdr>
        <w:top w:val="none" w:sz="0" w:space="0" w:color="auto"/>
        <w:left w:val="none" w:sz="0" w:space="0" w:color="auto"/>
        <w:bottom w:val="none" w:sz="0" w:space="0" w:color="auto"/>
        <w:right w:val="none" w:sz="0" w:space="0" w:color="auto"/>
      </w:divBdr>
    </w:div>
    <w:div w:id="1443377565">
      <w:bodyDiv w:val="1"/>
      <w:marLeft w:val="0"/>
      <w:marRight w:val="0"/>
      <w:marTop w:val="0"/>
      <w:marBottom w:val="0"/>
      <w:divBdr>
        <w:top w:val="none" w:sz="0" w:space="0" w:color="auto"/>
        <w:left w:val="none" w:sz="0" w:space="0" w:color="auto"/>
        <w:bottom w:val="none" w:sz="0" w:space="0" w:color="auto"/>
        <w:right w:val="none" w:sz="0" w:space="0" w:color="auto"/>
      </w:divBdr>
    </w:div>
    <w:div w:id="1443455087">
      <w:bodyDiv w:val="1"/>
      <w:marLeft w:val="0"/>
      <w:marRight w:val="0"/>
      <w:marTop w:val="0"/>
      <w:marBottom w:val="0"/>
      <w:divBdr>
        <w:top w:val="none" w:sz="0" w:space="0" w:color="auto"/>
        <w:left w:val="none" w:sz="0" w:space="0" w:color="auto"/>
        <w:bottom w:val="none" w:sz="0" w:space="0" w:color="auto"/>
        <w:right w:val="none" w:sz="0" w:space="0" w:color="auto"/>
      </w:divBdr>
    </w:div>
    <w:div w:id="1443764358">
      <w:bodyDiv w:val="1"/>
      <w:marLeft w:val="0"/>
      <w:marRight w:val="0"/>
      <w:marTop w:val="0"/>
      <w:marBottom w:val="0"/>
      <w:divBdr>
        <w:top w:val="none" w:sz="0" w:space="0" w:color="auto"/>
        <w:left w:val="none" w:sz="0" w:space="0" w:color="auto"/>
        <w:bottom w:val="none" w:sz="0" w:space="0" w:color="auto"/>
        <w:right w:val="none" w:sz="0" w:space="0" w:color="auto"/>
      </w:divBdr>
    </w:div>
    <w:div w:id="1443918313">
      <w:bodyDiv w:val="1"/>
      <w:marLeft w:val="0"/>
      <w:marRight w:val="0"/>
      <w:marTop w:val="0"/>
      <w:marBottom w:val="0"/>
      <w:divBdr>
        <w:top w:val="none" w:sz="0" w:space="0" w:color="auto"/>
        <w:left w:val="none" w:sz="0" w:space="0" w:color="auto"/>
        <w:bottom w:val="none" w:sz="0" w:space="0" w:color="auto"/>
        <w:right w:val="none" w:sz="0" w:space="0" w:color="auto"/>
      </w:divBdr>
    </w:div>
    <w:div w:id="1444033266">
      <w:bodyDiv w:val="1"/>
      <w:marLeft w:val="0"/>
      <w:marRight w:val="0"/>
      <w:marTop w:val="0"/>
      <w:marBottom w:val="0"/>
      <w:divBdr>
        <w:top w:val="none" w:sz="0" w:space="0" w:color="auto"/>
        <w:left w:val="none" w:sz="0" w:space="0" w:color="auto"/>
        <w:bottom w:val="none" w:sz="0" w:space="0" w:color="auto"/>
        <w:right w:val="none" w:sz="0" w:space="0" w:color="auto"/>
      </w:divBdr>
    </w:div>
    <w:div w:id="1444226181">
      <w:bodyDiv w:val="1"/>
      <w:marLeft w:val="0"/>
      <w:marRight w:val="0"/>
      <w:marTop w:val="0"/>
      <w:marBottom w:val="0"/>
      <w:divBdr>
        <w:top w:val="none" w:sz="0" w:space="0" w:color="auto"/>
        <w:left w:val="none" w:sz="0" w:space="0" w:color="auto"/>
        <w:bottom w:val="none" w:sz="0" w:space="0" w:color="auto"/>
        <w:right w:val="none" w:sz="0" w:space="0" w:color="auto"/>
      </w:divBdr>
    </w:div>
    <w:div w:id="1444304181">
      <w:bodyDiv w:val="1"/>
      <w:marLeft w:val="0"/>
      <w:marRight w:val="0"/>
      <w:marTop w:val="0"/>
      <w:marBottom w:val="0"/>
      <w:divBdr>
        <w:top w:val="none" w:sz="0" w:space="0" w:color="auto"/>
        <w:left w:val="none" w:sz="0" w:space="0" w:color="auto"/>
        <w:bottom w:val="none" w:sz="0" w:space="0" w:color="auto"/>
        <w:right w:val="none" w:sz="0" w:space="0" w:color="auto"/>
      </w:divBdr>
    </w:div>
    <w:div w:id="1444305862">
      <w:bodyDiv w:val="1"/>
      <w:marLeft w:val="0"/>
      <w:marRight w:val="0"/>
      <w:marTop w:val="0"/>
      <w:marBottom w:val="0"/>
      <w:divBdr>
        <w:top w:val="none" w:sz="0" w:space="0" w:color="auto"/>
        <w:left w:val="none" w:sz="0" w:space="0" w:color="auto"/>
        <w:bottom w:val="none" w:sz="0" w:space="0" w:color="auto"/>
        <w:right w:val="none" w:sz="0" w:space="0" w:color="auto"/>
      </w:divBdr>
    </w:div>
    <w:div w:id="1444810094">
      <w:bodyDiv w:val="1"/>
      <w:marLeft w:val="0"/>
      <w:marRight w:val="0"/>
      <w:marTop w:val="0"/>
      <w:marBottom w:val="0"/>
      <w:divBdr>
        <w:top w:val="none" w:sz="0" w:space="0" w:color="auto"/>
        <w:left w:val="none" w:sz="0" w:space="0" w:color="auto"/>
        <w:bottom w:val="none" w:sz="0" w:space="0" w:color="auto"/>
        <w:right w:val="none" w:sz="0" w:space="0" w:color="auto"/>
      </w:divBdr>
    </w:div>
    <w:div w:id="1444882770">
      <w:bodyDiv w:val="1"/>
      <w:marLeft w:val="0"/>
      <w:marRight w:val="0"/>
      <w:marTop w:val="0"/>
      <w:marBottom w:val="0"/>
      <w:divBdr>
        <w:top w:val="none" w:sz="0" w:space="0" w:color="auto"/>
        <w:left w:val="none" w:sz="0" w:space="0" w:color="auto"/>
        <w:bottom w:val="none" w:sz="0" w:space="0" w:color="auto"/>
        <w:right w:val="none" w:sz="0" w:space="0" w:color="auto"/>
      </w:divBdr>
    </w:div>
    <w:div w:id="1445222947">
      <w:bodyDiv w:val="1"/>
      <w:marLeft w:val="0"/>
      <w:marRight w:val="0"/>
      <w:marTop w:val="0"/>
      <w:marBottom w:val="0"/>
      <w:divBdr>
        <w:top w:val="none" w:sz="0" w:space="0" w:color="auto"/>
        <w:left w:val="none" w:sz="0" w:space="0" w:color="auto"/>
        <w:bottom w:val="none" w:sz="0" w:space="0" w:color="auto"/>
        <w:right w:val="none" w:sz="0" w:space="0" w:color="auto"/>
      </w:divBdr>
    </w:div>
    <w:div w:id="1445537459">
      <w:bodyDiv w:val="1"/>
      <w:marLeft w:val="0"/>
      <w:marRight w:val="0"/>
      <w:marTop w:val="0"/>
      <w:marBottom w:val="0"/>
      <w:divBdr>
        <w:top w:val="none" w:sz="0" w:space="0" w:color="auto"/>
        <w:left w:val="none" w:sz="0" w:space="0" w:color="auto"/>
        <w:bottom w:val="none" w:sz="0" w:space="0" w:color="auto"/>
        <w:right w:val="none" w:sz="0" w:space="0" w:color="auto"/>
      </w:divBdr>
    </w:div>
    <w:div w:id="1445541174">
      <w:bodyDiv w:val="1"/>
      <w:marLeft w:val="0"/>
      <w:marRight w:val="0"/>
      <w:marTop w:val="0"/>
      <w:marBottom w:val="0"/>
      <w:divBdr>
        <w:top w:val="none" w:sz="0" w:space="0" w:color="auto"/>
        <w:left w:val="none" w:sz="0" w:space="0" w:color="auto"/>
        <w:bottom w:val="none" w:sz="0" w:space="0" w:color="auto"/>
        <w:right w:val="none" w:sz="0" w:space="0" w:color="auto"/>
      </w:divBdr>
    </w:div>
    <w:div w:id="1445689564">
      <w:bodyDiv w:val="1"/>
      <w:marLeft w:val="0"/>
      <w:marRight w:val="0"/>
      <w:marTop w:val="0"/>
      <w:marBottom w:val="0"/>
      <w:divBdr>
        <w:top w:val="none" w:sz="0" w:space="0" w:color="auto"/>
        <w:left w:val="none" w:sz="0" w:space="0" w:color="auto"/>
        <w:bottom w:val="none" w:sz="0" w:space="0" w:color="auto"/>
        <w:right w:val="none" w:sz="0" w:space="0" w:color="auto"/>
      </w:divBdr>
    </w:div>
    <w:div w:id="1445690085">
      <w:bodyDiv w:val="1"/>
      <w:marLeft w:val="0"/>
      <w:marRight w:val="0"/>
      <w:marTop w:val="0"/>
      <w:marBottom w:val="0"/>
      <w:divBdr>
        <w:top w:val="none" w:sz="0" w:space="0" w:color="auto"/>
        <w:left w:val="none" w:sz="0" w:space="0" w:color="auto"/>
        <w:bottom w:val="none" w:sz="0" w:space="0" w:color="auto"/>
        <w:right w:val="none" w:sz="0" w:space="0" w:color="auto"/>
      </w:divBdr>
    </w:div>
    <w:div w:id="1445810957">
      <w:bodyDiv w:val="1"/>
      <w:marLeft w:val="0"/>
      <w:marRight w:val="0"/>
      <w:marTop w:val="0"/>
      <w:marBottom w:val="0"/>
      <w:divBdr>
        <w:top w:val="none" w:sz="0" w:space="0" w:color="auto"/>
        <w:left w:val="none" w:sz="0" w:space="0" w:color="auto"/>
        <w:bottom w:val="none" w:sz="0" w:space="0" w:color="auto"/>
        <w:right w:val="none" w:sz="0" w:space="0" w:color="auto"/>
      </w:divBdr>
    </w:div>
    <w:div w:id="1445878659">
      <w:bodyDiv w:val="1"/>
      <w:marLeft w:val="0"/>
      <w:marRight w:val="0"/>
      <w:marTop w:val="0"/>
      <w:marBottom w:val="0"/>
      <w:divBdr>
        <w:top w:val="none" w:sz="0" w:space="0" w:color="auto"/>
        <w:left w:val="none" w:sz="0" w:space="0" w:color="auto"/>
        <w:bottom w:val="none" w:sz="0" w:space="0" w:color="auto"/>
        <w:right w:val="none" w:sz="0" w:space="0" w:color="auto"/>
      </w:divBdr>
    </w:div>
    <w:div w:id="1445881683">
      <w:bodyDiv w:val="1"/>
      <w:marLeft w:val="0"/>
      <w:marRight w:val="0"/>
      <w:marTop w:val="0"/>
      <w:marBottom w:val="0"/>
      <w:divBdr>
        <w:top w:val="none" w:sz="0" w:space="0" w:color="auto"/>
        <w:left w:val="none" w:sz="0" w:space="0" w:color="auto"/>
        <w:bottom w:val="none" w:sz="0" w:space="0" w:color="auto"/>
        <w:right w:val="none" w:sz="0" w:space="0" w:color="auto"/>
      </w:divBdr>
    </w:div>
    <w:div w:id="1445999655">
      <w:bodyDiv w:val="1"/>
      <w:marLeft w:val="0"/>
      <w:marRight w:val="0"/>
      <w:marTop w:val="0"/>
      <w:marBottom w:val="0"/>
      <w:divBdr>
        <w:top w:val="none" w:sz="0" w:space="0" w:color="auto"/>
        <w:left w:val="none" w:sz="0" w:space="0" w:color="auto"/>
        <w:bottom w:val="none" w:sz="0" w:space="0" w:color="auto"/>
        <w:right w:val="none" w:sz="0" w:space="0" w:color="auto"/>
      </w:divBdr>
    </w:div>
    <w:div w:id="1446078128">
      <w:bodyDiv w:val="1"/>
      <w:marLeft w:val="0"/>
      <w:marRight w:val="0"/>
      <w:marTop w:val="0"/>
      <w:marBottom w:val="0"/>
      <w:divBdr>
        <w:top w:val="none" w:sz="0" w:space="0" w:color="auto"/>
        <w:left w:val="none" w:sz="0" w:space="0" w:color="auto"/>
        <w:bottom w:val="none" w:sz="0" w:space="0" w:color="auto"/>
        <w:right w:val="none" w:sz="0" w:space="0" w:color="auto"/>
      </w:divBdr>
    </w:div>
    <w:div w:id="1446195633">
      <w:bodyDiv w:val="1"/>
      <w:marLeft w:val="0"/>
      <w:marRight w:val="0"/>
      <w:marTop w:val="0"/>
      <w:marBottom w:val="0"/>
      <w:divBdr>
        <w:top w:val="none" w:sz="0" w:space="0" w:color="auto"/>
        <w:left w:val="none" w:sz="0" w:space="0" w:color="auto"/>
        <w:bottom w:val="none" w:sz="0" w:space="0" w:color="auto"/>
        <w:right w:val="none" w:sz="0" w:space="0" w:color="auto"/>
      </w:divBdr>
    </w:div>
    <w:div w:id="1446391041">
      <w:bodyDiv w:val="1"/>
      <w:marLeft w:val="0"/>
      <w:marRight w:val="0"/>
      <w:marTop w:val="0"/>
      <w:marBottom w:val="0"/>
      <w:divBdr>
        <w:top w:val="none" w:sz="0" w:space="0" w:color="auto"/>
        <w:left w:val="none" w:sz="0" w:space="0" w:color="auto"/>
        <w:bottom w:val="none" w:sz="0" w:space="0" w:color="auto"/>
        <w:right w:val="none" w:sz="0" w:space="0" w:color="auto"/>
      </w:divBdr>
    </w:div>
    <w:div w:id="1446533474">
      <w:bodyDiv w:val="1"/>
      <w:marLeft w:val="0"/>
      <w:marRight w:val="0"/>
      <w:marTop w:val="0"/>
      <w:marBottom w:val="0"/>
      <w:divBdr>
        <w:top w:val="none" w:sz="0" w:space="0" w:color="auto"/>
        <w:left w:val="none" w:sz="0" w:space="0" w:color="auto"/>
        <w:bottom w:val="none" w:sz="0" w:space="0" w:color="auto"/>
        <w:right w:val="none" w:sz="0" w:space="0" w:color="auto"/>
      </w:divBdr>
    </w:div>
    <w:div w:id="1446656652">
      <w:bodyDiv w:val="1"/>
      <w:marLeft w:val="0"/>
      <w:marRight w:val="0"/>
      <w:marTop w:val="0"/>
      <w:marBottom w:val="0"/>
      <w:divBdr>
        <w:top w:val="none" w:sz="0" w:space="0" w:color="auto"/>
        <w:left w:val="none" w:sz="0" w:space="0" w:color="auto"/>
        <w:bottom w:val="none" w:sz="0" w:space="0" w:color="auto"/>
        <w:right w:val="none" w:sz="0" w:space="0" w:color="auto"/>
      </w:divBdr>
    </w:div>
    <w:div w:id="1446804655">
      <w:bodyDiv w:val="1"/>
      <w:marLeft w:val="0"/>
      <w:marRight w:val="0"/>
      <w:marTop w:val="0"/>
      <w:marBottom w:val="0"/>
      <w:divBdr>
        <w:top w:val="none" w:sz="0" w:space="0" w:color="auto"/>
        <w:left w:val="none" w:sz="0" w:space="0" w:color="auto"/>
        <w:bottom w:val="none" w:sz="0" w:space="0" w:color="auto"/>
        <w:right w:val="none" w:sz="0" w:space="0" w:color="auto"/>
      </w:divBdr>
    </w:div>
    <w:div w:id="1447046321">
      <w:bodyDiv w:val="1"/>
      <w:marLeft w:val="0"/>
      <w:marRight w:val="0"/>
      <w:marTop w:val="0"/>
      <w:marBottom w:val="0"/>
      <w:divBdr>
        <w:top w:val="none" w:sz="0" w:space="0" w:color="auto"/>
        <w:left w:val="none" w:sz="0" w:space="0" w:color="auto"/>
        <w:bottom w:val="none" w:sz="0" w:space="0" w:color="auto"/>
        <w:right w:val="none" w:sz="0" w:space="0" w:color="auto"/>
      </w:divBdr>
    </w:div>
    <w:div w:id="1447313371">
      <w:bodyDiv w:val="1"/>
      <w:marLeft w:val="0"/>
      <w:marRight w:val="0"/>
      <w:marTop w:val="0"/>
      <w:marBottom w:val="0"/>
      <w:divBdr>
        <w:top w:val="none" w:sz="0" w:space="0" w:color="auto"/>
        <w:left w:val="none" w:sz="0" w:space="0" w:color="auto"/>
        <w:bottom w:val="none" w:sz="0" w:space="0" w:color="auto"/>
        <w:right w:val="none" w:sz="0" w:space="0" w:color="auto"/>
      </w:divBdr>
    </w:div>
    <w:div w:id="1447575358">
      <w:bodyDiv w:val="1"/>
      <w:marLeft w:val="0"/>
      <w:marRight w:val="0"/>
      <w:marTop w:val="0"/>
      <w:marBottom w:val="0"/>
      <w:divBdr>
        <w:top w:val="none" w:sz="0" w:space="0" w:color="auto"/>
        <w:left w:val="none" w:sz="0" w:space="0" w:color="auto"/>
        <w:bottom w:val="none" w:sz="0" w:space="0" w:color="auto"/>
        <w:right w:val="none" w:sz="0" w:space="0" w:color="auto"/>
      </w:divBdr>
    </w:div>
    <w:div w:id="1447576378">
      <w:bodyDiv w:val="1"/>
      <w:marLeft w:val="0"/>
      <w:marRight w:val="0"/>
      <w:marTop w:val="0"/>
      <w:marBottom w:val="0"/>
      <w:divBdr>
        <w:top w:val="none" w:sz="0" w:space="0" w:color="auto"/>
        <w:left w:val="none" w:sz="0" w:space="0" w:color="auto"/>
        <w:bottom w:val="none" w:sz="0" w:space="0" w:color="auto"/>
        <w:right w:val="none" w:sz="0" w:space="0" w:color="auto"/>
      </w:divBdr>
    </w:div>
    <w:div w:id="1447770343">
      <w:bodyDiv w:val="1"/>
      <w:marLeft w:val="0"/>
      <w:marRight w:val="0"/>
      <w:marTop w:val="0"/>
      <w:marBottom w:val="0"/>
      <w:divBdr>
        <w:top w:val="none" w:sz="0" w:space="0" w:color="auto"/>
        <w:left w:val="none" w:sz="0" w:space="0" w:color="auto"/>
        <w:bottom w:val="none" w:sz="0" w:space="0" w:color="auto"/>
        <w:right w:val="none" w:sz="0" w:space="0" w:color="auto"/>
      </w:divBdr>
    </w:div>
    <w:div w:id="1447895828">
      <w:bodyDiv w:val="1"/>
      <w:marLeft w:val="0"/>
      <w:marRight w:val="0"/>
      <w:marTop w:val="0"/>
      <w:marBottom w:val="0"/>
      <w:divBdr>
        <w:top w:val="none" w:sz="0" w:space="0" w:color="auto"/>
        <w:left w:val="none" w:sz="0" w:space="0" w:color="auto"/>
        <w:bottom w:val="none" w:sz="0" w:space="0" w:color="auto"/>
        <w:right w:val="none" w:sz="0" w:space="0" w:color="auto"/>
      </w:divBdr>
    </w:div>
    <w:div w:id="1447970441">
      <w:bodyDiv w:val="1"/>
      <w:marLeft w:val="0"/>
      <w:marRight w:val="0"/>
      <w:marTop w:val="0"/>
      <w:marBottom w:val="0"/>
      <w:divBdr>
        <w:top w:val="none" w:sz="0" w:space="0" w:color="auto"/>
        <w:left w:val="none" w:sz="0" w:space="0" w:color="auto"/>
        <w:bottom w:val="none" w:sz="0" w:space="0" w:color="auto"/>
        <w:right w:val="none" w:sz="0" w:space="0" w:color="auto"/>
      </w:divBdr>
    </w:div>
    <w:div w:id="1448157364">
      <w:bodyDiv w:val="1"/>
      <w:marLeft w:val="0"/>
      <w:marRight w:val="0"/>
      <w:marTop w:val="0"/>
      <w:marBottom w:val="0"/>
      <w:divBdr>
        <w:top w:val="none" w:sz="0" w:space="0" w:color="auto"/>
        <w:left w:val="none" w:sz="0" w:space="0" w:color="auto"/>
        <w:bottom w:val="none" w:sz="0" w:space="0" w:color="auto"/>
        <w:right w:val="none" w:sz="0" w:space="0" w:color="auto"/>
      </w:divBdr>
    </w:div>
    <w:div w:id="1448305786">
      <w:bodyDiv w:val="1"/>
      <w:marLeft w:val="0"/>
      <w:marRight w:val="0"/>
      <w:marTop w:val="0"/>
      <w:marBottom w:val="0"/>
      <w:divBdr>
        <w:top w:val="none" w:sz="0" w:space="0" w:color="auto"/>
        <w:left w:val="none" w:sz="0" w:space="0" w:color="auto"/>
        <w:bottom w:val="none" w:sz="0" w:space="0" w:color="auto"/>
        <w:right w:val="none" w:sz="0" w:space="0" w:color="auto"/>
      </w:divBdr>
    </w:div>
    <w:div w:id="1448499594">
      <w:bodyDiv w:val="1"/>
      <w:marLeft w:val="0"/>
      <w:marRight w:val="0"/>
      <w:marTop w:val="0"/>
      <w:marBottom w:val="0"/>
      <w:divBdr>
        <w:top w:val="none" w:sz="0" w:space="0" w:color="auto"/>
        <w:left w:val="none" w:sz="0" w:space="0" w:color="auto"/>
        <w:bottom w:val="none" w:sz="0" w:space="0" w:color="auto"/>
        <w:right w:val="none" w:sz="0" w:space="0" w:color="auto"/>
      </w:divBdr>
    </w:div>
    <w:div w:id="1448503718">
      <w:bodyDiv w:val="1"/>
      <w:marLeft w:val="0"/>
      <w:marRight w:val="0"/>
      <w:marTop w:val="0"/>
      <w:marBottom w:val="0"/>
      <w:divBdr>
        <w:top w:val="none" w:sz="0" w:space="0" w:color="auto"/>
        <w:left w:val="none" w:sz="0" w:space="0" w:color="auto"/>
        <w:bottom w:val="none" w:sz="0" w:space="0" w:color="auto"/>
        <w:right w:val="none" w:sz="0" w:space="0" w:color="auto"/>
      </w:divBdr>
    </w:div>
    <w:div w:id="1448962018">
      <w:bodyDiv w:val="1"/>
      <w:marLeft w:val="0"/>
      <w:marRight w:val="0"/>
      <w:marTop w:val="0"/>
      <w:marBottom w:val="0"/>
      <w:divBdr>
        <w:top w:val="none" w:sz="0" w:space="0" w:color="auto"/>
        <w:left w:val="none" w:sz="0" w:space="0" w:color="auto"/>
        <w:bottom w:val="none" w:sz="0" w:space="0" w:color="auto"/>
        <w:right w:val="none" w:sz="0" w:space="0" w:color="auto"/>
      </w:divBdr>
    </w:div>
    <w:div w:id="1449082358">
      <w:bodyDiv w:val="1"/>
      <w:marLeft w:val="0"/>
      <w:marRight w:val="0"/>
      <w:marTop w:val="0"/>
      <w:marBottom w:val="0"/>
      <w:divBdr>
        <w:top w:val="none" w:sz="0" w:space="0" w:color="auto"/>
        <w:left w:val="none" w:sz="0" w:space="0" w:color="auto"/>
        <w:bottom w:val="none" w:sz="0" w:space="0" w:color="auto"/>
        <w:right w:val="none" w:sz="0" w:space="0" w:color="auto"/>
      </w:divBdr>
    </w:div>
    <w:div w:id="1449087799">
      <w:bodyDiv w:val="1"/>
      <w:marLeft w:val="0"/>
      <w:marRight w:val="0"/>
      <w:marTop w:val="0"/>
      <w:marBottom w:val="0"/>
      <w:divBdr>
        <w:top w:val="none" w:sz="0" w:space="0" w:color="auto"/>
        <w:left w:val="none" w:sz="0" w:space="0" w:color="auto"/>
        <w:bottom w:val="none" w:sz="0" w:space="0" w:color="auto"/>
        <w:right w:val="none" w:sz="0" w:space="0" w:color="auto"/>
      </w:divBdr>
    </w:div>
    <w:div w:id="1449424158">
      <w:bodyDiv w:val="1"/>
      <w:marLeft w:val="0"/>
      <w:marRight w:val="0"/>
      <w:marTop w:val="0"/>
      <w:marBottom w:val="0"/>
      <w:divBdr>
        <w:top w:val="none" w:sz="0" w:space="0" w:color="auto"/>
        <w:left w:val="none" w:sz="0" w:space="0" w:color="auto"/>
        <w:bottom w:val="none" w:sz="0" w:space="0" w:color="auto"/>
        <w:right w:val="none" w:sz="0" w:space="0" w:color="auto"/>
      </w:divBdr>
    </w:div>
    <w:div w:id="1449467776">
      <w:bodyDiv w:val="1"/>
      <w:marLeft w:val="0"/>
      <w:marRight w:val="0"/>
      <w:marTop w:val="0"/>
      <w:marBottom w:val="0"/>
      <w:divBdr>
        <w:top w:val="none" w:sz="0" w:space="0" w:color="auto"/>
        <w:left w:val="none" w:sz="0" w:space="0" w:color="auto"/>
        <w:bottom w:val="none" w:sz="0" w:space="0" w:color="auto"/>
        <w:right w:val="none" w:sz="0" w:space="0" w:color="auto"/>
      </w:divBdr>
    </w:div>
    <w:div w:id="1449659781">
      <w:bodyDiv w:val="1"/>
      <w:marLeft w:val="0"/>
      <w:marRight w:val="0"/>
      <w:marTop w:val="0"/>
      <w:marBottom w:val="0"/>
      <w:divBdr>
        <w:top w:val="none" w:sz="0" w:space="0" w:color="auto"/>
        <w:left w:val="none" w:sz="0" w:space="0" w:color="auto"/>
        <w:bottom w:val="none" w:sz="0" w:space="0" w:color="auto"/>
        <w:right w:val="none" w:sz="0" w:space="0" w:color="auto"/>
      </w:divBdr>
    </w:div>
    <w:div w:id="1449735100">
      <w:bodyDiv w:val="1"/>
      <w:marLeft w:val="0"/>
      <w:marRight w:val="0"/>
      <w:marTop w:val="0"/>
      <w:marBottom w:val="0"/>
      <w:divBdr>
        <w:top w:val="none" w:sz="0" w:space="0" w:color="auto"/>
        <w:left w:val="none" w:sz="0" w:space="0" w:color="auto"/>
        <w:bottom w:val="none" w:sz="0" w:space="0" w:color="auto"/>
        <w:right w:val="none" w:sz="0" w:space="0" w:color="auto"/>
      </w:divBdr>
    </w:div>
    <w:div w:id="1449860439">
      <w:bodyDiv w:val="1"/>
      <w:marLeft w:val="0"/>
      <w:marRight w:val="0"/>
      <w:marTop w:val="0"/>
      <w:marBottom w:val="0"/>
      <w:divBdr>
        <w:top w:val="none" w:sz="0" w:space="0" w:color="auto"/>
        <w:left w:val="none" w:sz="0" w:space="0" w:color="auto"/>
        <w:bottom w:val="none" w:sz="0" w:space="0" w:color="auto"/>
        <w:right w:val="none" w:sz="0" w:space="0" w:color="auto"/>
      </w:divBdr>
    </w:div>
    <w:div w:id="1449861304">
      <w:bodyDiv w:val="1"/>
      <w:marLeft w:val="0"/>
      <w:marRight w:val="0"/>
      <w:marTop w:val="0"/>
      <w:marBottom w:val="0"/>
      <w:divBdr>
        <w:top w:val="none" w:sz="0" w:space="0" w:color="auto"/>
        <w:left w:val="none" w:sz="0" w:space="0" w:color="auto"/>
        <w:bottom w:val="none" w:sz="0" w:space="0" w:color="auto"/>
        <w:right w:val="none" w:sz="0" w:space="0" w:color="auto"/>
      </w:divBdr>
    </w:div>
    <w:div w:id="1449930517">
      <w:bodyDiv w:val="1"/>
      <w:marLeft w:val="0"/>
      <w:marRight w:val="0"/>
      <w:marTop w:val="0"/>
      <w:marBottom w:val="0"/>
      <w:divBdr>
        <w:top w:val="none" w:sz="0" w:space="0" w:color="auto"/>
        <w:left w:val="none" w:sz="0" w:space="0" w:color="auto"/>
        <w:bottom w:val="none" w:sz="0" w:space="0" w:color="auto"/>
        <w:right w:val="none" w:sz="0" w:space="0" w:color="auto"/>
      </w:divBdr>
    </w:div>
    <w:div w:id="1450278356">
      <w:bodyDiv w:val="1"/>
      <w:marLeft w:val="0"/>
      <w:marRight w:val="0"/>
      <w:marTop w:val="0"/>
      <w:marBottom w:val="0"/>
      <w:divBdr>
        <w:top w:val="none" w:sz="0" w:space="0" w:color="auto"/>
        <w:left w:val="none" w:sz="0" w:space="0" w:color="auto"/>
        <w:bottom w:val="none" w:sz="0" w:space="0" w:color="auto"/>
        <w:right w:val="none" w:sz="0" w:space="0" w:color="auto"/>
      </w:divBdr>
    </w:div>
    <w:div w:id="1450323319">
      <w:bodyDiv w:val="1"/>
      <w:marLeft w:val="0"/>
      <w:marRight w:val="0"/>
      <w:marTop w:val="0"/>
      <w:marBottom w:val="0"/>
      <w:divBdr>
        <w:top w:val="none" w:sz="0" w:space="0" w:color="auto"/>
        <w:left w:val="none" w:sz="0" w:space="0" w:color="auto"/>
        <w:bottom w:val="none" w:sz="0" w:space="0" w:color="auto"/>
        <w:right w:val="none" w:sz="0" w:space="0" w:color="auto"/>
      </w:divBdr>
    </w:div>
    <w:div w:id="1450468648">
      <w:bodyDiv w:val="1"/>
      <w:marLeft w:val="0"/>
      <w:marRight w:val="0"/>
      <w:marTop w:val="0"/>
      <w:marBottom w:val="0"/>
      <w:divBdr>
        <w:top w:val="none" w:sz="0" w:space="0" w:color="auto"/>
        <w:left w:val="none" w:sz="0" w:space="0" w:color="auto"/>
        <w:bottom w:val="none" w:sz="0" w:space="0" w:color="auto"/>
        <w:right w:val="none" w:sz="0" w:space="0" w:color="auto"/>
      </w:divBdr>
    </w:div>
    <w:div w:id="1450509993">
      <w:bodyDiv w:val="1"/>
      <w:marLeft w:val="0"/>
      <w:marRight w:val="0"/>
      <w:marTop w:val="0"/>
      <w:marBottom w:val="0"/>
      <w:divBdr>
        <w:top w:val="none" w:sz="0" w:space="0" w:color="auto"/>
        <w:left w:val="none" w:sz="0" w:space="0" w:color="auto"/>
        <w:bottom w:val="none" w:sz="0" w:space="0" w:color="auto"/>
        <w:right w:val="none" w:sz="0" w:space="0" w:color="auto"/>
      </w:divBdr>
    </w:div>
    <w:div w:id="1450586085">
      <w:bodyDiv w:val="1"/>
      <w:marLeft w:val="0"/>
      <w:marRight w:val="0"/>
      <w:marTop w:val="0"/>
      <w:marBottom w:val="0"/>
      <w:divBdr>
        <w:top w:val="none" w:sz="0" w:space="0" w:color="auto"/>
        <w:left w:val="none" w:sz="0" w:space="0" w:color="auto"/>
        <w:bottom w:val="none" w:sz="0" w:space="0" w:color="auto"/>
        <w:right w:val="none" w:sz="0" w:space="0" w:color="auto"/>
      </w:divBdr>
    </w:div>
    <w:div w:id="1450782698">
      <w:bodyDiv w:val="1"/>
      <w:marLeft w:val="0"/>
      <w:marRight w:val="0"/>
      <w:marTop w:val="0"/>
      <w:marBottom w:val="0"/>
      <w:divBdr>
        <w:top w:val="none" w:sz="0" w:space="0" w:color="auto"/>
        <w:left w:val="none" w:sz="0" w:space="0" w:color="auto"/>
        <w:bottom w:val="none" w:sz="0" w:space="0" w:color="auto"/>
        <w:right w:val="none" w:sz="0" w:space="0" w:color="auto"/>
      </w:divBdr>
    </w:div>
    <w:div w:id="1450859592">
      <w:bodyDiv w:val="1"/>
      <w:marLeft w:val="0"/>
      <w:marRight w:val="0"/>
      <w:marTop w:val="0"/>
      <w:marBottom w:val="0"/>
      <w:divBdr>
        <w:top w:val="none" w:sz="0" w:space="0" w:color="auto"/>
        <w:left w:val="none" w:sz="0" w:space="0" w:color="auto"/>
        <w:bottom w:val="none" w:sz="0" w:space="0" w:color="auto"/>
        <w:right w:val="none" w:sz="0" w:space="0" w:color="auto"/>
      </w:divBdr>
    </w:div>
    <w:div w:id="1450931547">
      <w:bodyDiv w:val="1"/>
      <w:marLeft w:val="0"/>
      <w:marRight w:val="0"/>
      <w:marTop w:val="0"/>
      <w:marBottom w:val="0"/>
      <w:divBdr>
        <w:top w:val="none" w:sz="0" w:space="0" w:color="auto"/>
        <w:left w:val="none" w:sz="0" w:space="0" w:color="auto"/>
        <w:bottom w:val="none" w:sz="0" w:space="0" w:color="auto"/>
        <w:right w:val="none" w:sz="0" w:space="0" w:color="auto"/>
      </w:divBdr>
    </w:div>
    <w:div w:id="1451050538">
      <w:bodyDiv w:val="1"/>
      <w:marLeft w:val="0"/>
      <w:marRight w:val="0"/>
      <w:marTop w:val="0"/>
      <w:marBottom w:val="0"/>
      <w:divBdr>
        <w:top w:val="none" w:sz="0" w:space="0" w:color="auto"/>
        <w:left w:val="none" w:sz="0" w:space="0" w:color="auto"/>
        <w:bottom w:val="none" w:sz="0" w:space="0" w:color="auto"/>
        <w:right w:val="none" w:sz="0" w:space="0" w:color="auto"/>
      </w:divBdr>
    </w:div>
    <w:div w:id="1451121248">
      <w:bodyDiv w:val="1"/>
      <w:marLeft w:val="0"/>
      <w:marRight w:val="0"/>
      <w:marTop w:val="0"/>
      <w:marBottom w:val="0"/>
      <w:divBdr>
        <w:top w:val="none" w:sz="0" w:space="0" w:color="auto"/>
        <w:left w:val="none" w:sz="0" w:space="0" w:color="auto"/>
        <w:bottom w:val="none" w:sz="0" w:space="0" w:color="auto"/>
        <w:right w:val="none" w:sz="0" w:space="0" w:color="auto"/>
      </w:divBdr>
    </w:div>
    <w:div w:id="1451318296">
      <w:bodyDiv w:val="1"/>
      <w:marLeft w:val="0"/>
      <w:marRight w:val="0"/>
      <w:marTop w:val="0"/>
      <w:marBottom w:val="0"/>
      <w:divBdr>
        <w:top w:val="none" w:sz="0" w:space="0" w:color="auto"/>
        <w:left w:val="none" w:sz="0" w:space="0" w:color="auto"/>
        <w:bottom w:val="none" w:sz="0" w:space="0" w:color="auto"/>
        <w:right w:val="none" w:sz="0" w:space="0" w:color="auto"/>
      </w:divBdr>
    </w:div>
    <w:div w:id="1451438794">
      <w:bodyDiv w:val="1"/>
      <w:marLeft w:val="0"/>
      <w:marRight w:val="0"/>
      <w:marTop w:val="0"/>
      <w:marBottom w:val="0"/>
      <w:divBdr>
        <w:top w:val="none" w:sz="0" w:space="0" w:color="auto"/>
        <w:left w:val="none" w:sz="0" w:space="0" w:color="auto"/>
        <w:bottom w:val="none" w:sz="0" w:space="0" w:color="auto"/>
        <w:right w:val="none" w:sz="0" w:space="0" w:color="auto"/>
      </w:divBdr>
    </w:div>
    <w:div w:id="1451513384">
      <w:bodyDiv w:val="1"/>
      <w:marLeft w:val="0"/>
      <w:marRight w:val="0"/>
      <w:marTop w:val="0"/>
      <w:marBottom w:val="0"/>
      <w:divBdr>
        <w:top w:val="none" w:sz="0" w:space="0" w:color="auto"/>
        <w:left w:val="none" w:sz="0" w:space="0" w:color="auto"/>
        <w:bottom w:val="none" w:sz="0" w:space="0" w:color="auto"/>
        <w:right w:val="none" w:sz="0" w:space="0" w:color="auto"/>
      </w:divBdr>
    </w:div>
    <w:div w:id="1451708550">
      <w:bodyDiv w:val="1"/>
      <w:marLeft w:val="0"/>
      <w:marRight w:val="0"/>
      <w:marTop w:val="0"/>
      <w:marBottom w:val="0"/>
      <w:divBdr>
        <w:top w:val="none" w:sz="0" w:space="0" w:color="auto"/>
        <w:left w:val="none" w:sz="0" w:space="0" w:color="auto"/>
        <w:bottom w:val="none" w:sz="0" w:space="0" w:color="auto"/>
        <w:right w:val="none" w:sz="0" w:space="0" w:color="auto"/>
      </w:divBdr>
    </w:div>
    <w:div w:id="1451775382">
      <w:bodyDiv w:val="1"/>
      <w:marLeft w:val="0"/>
      <w:marRight w:val="0"/>
      <w:marTop w:val="0"/>
      <w:marBottom w:val="0"/>
      <w:divBdr>
        <w:top w:val="none" w:sz="0" w:space="0" w:color="auto"/>
        <w:left w:val="none" w:sz="0" w:space="0" w:color="auto"/>
        <w:bottom w:val="none" w:sz="0" w:space="0" w:color="auto"/>
        <w:right w:val="none" w:sz="0" w:space="0" w:color="auto"/>
      </w:divBdr>
    </w:div>
    <w:div w:id="1451780027">
      <w:bodyDiv w:val="1"/>
      <w:marLeft w:val="0"/>
      <w:marRight w:val="0"/>
      <w:marTop w:val="0"/>
      <w:marBottom w:val="0"/>
      <w:divBdr>
        <w:top w:val="none" w:sz="0" w:space="0" w:color="auto"/>
        <w:left w:val="none" w:sz="0" w:space="0" w:color="auto"/>
        <w:bottom w:val="none" w:sz="0" w:space="0" w:color="auto"/>
        <w:right w:val="none" w:sz="0" w:space="0" w:color="auto"/>
      </w:divBdr>
    </w:div>
    <w:div w:id="1451898044">
      <w:bodyDiv w:val="1"/>
      <w:marLeft w:val="0"/>
      <w:marRight w:val="0"/>
      <w:marTop w:val="0"/>
      <w:marBottom w:val="0"/>
      <w:divBdr>
        <w:top w:val="none" w:sz="0" w:space="0" w:color="auto"/>
        <w:left w:val="none" w:sz="0" w:space="0" w:color="auto"/>
        <w:bottom w:val="none" w:sz="0" w:space="0" w:color="auto"/>
        <w:right w:val="none" w:sz="0" w:space="0" w:color="auto"/>
      </w:divBdr>
    </w:div>
    <w:div w:id="1452241854">
      <w:bodyDiv w:val="1"/>
      <w:marLeft w:val="0"/>
      <w:marRight w:val="0"/>
      <w:marTop w:val="0"/>
      <w:marBottom w:val="0"/>
      <w:divBdr>
        <w:top w:val="none" w:sz="0" w:space="0" w:color="auto"/>
        <w:left w:val="none" w:sz="0" w:space="0" w:color="auto"/>
        <w:bottom w:val="none" w:sz="0" w:space="0" w:color="auto"/>
        <w:right w:val="none" w:sz="0" w:space="0" w:color="auto"/>
      </w:divBdr>
    </w:div>
    <w:div w:id="1452279882">
      <w:bodyDiv w:val="1"/>
      <w:marLeft w:val="0"/>
      <w:marRight w:val="0"/>
      <w:marTop w:val="0"/>
      <w:marBottom w:val="0"/>
      <w:divBdr>
        <w:top w:val="none" w:sz="0" w:space="0" w:color="auto"/>
        <w:left w:val="none" w:sz="0" w:space="0" w:color="auto"/>
        <w:bottom w:val="none" w:sz="0" w:space="0" w:color="auto"/>
        <w:right w:val="none" w:sz="0" w:space="0" w:color="auto"/>
      </w:divBdr>
    </w:div>
    <w:div w:id="1452430938">
      <w:bodyDiv w:val="1"/>
      <w:marLeft w:val="0"/>
      <w:marRight w:val="0"/>
      <w:marTop w:val="0"/>
      <w:marBottom w:val="0"/>
      <w:divBdr>
        <w:top w:val="none" w:sz="0" w:space="0" w:color="auto"/>
        <w:left w:val="none" w:sz="0" w:space="0" w:color="auto"/>
        <w:bottom w:val="none" w:sz="0" w:space="0" w:color="auto"/>
        <w:right w:val="none" w:sz="0" w:space="0" w:color="auto"/>
      </w:divBdr>
    </w:div>
    <w:div w:id="1452434841">
      <w:bodyDiv w:val="1"/>
      <w:marLeft w:val="0"/>
      <w:marRight w:val="0"/>
      <w:marTop w:val="0"/>
      <w:marBottom w:val="0"/>
      <w:divBdr>
        <w:top w:val="none" w:sz="0" w:space="0" w:color="auto"/>
        <w:left w:val="none" w:sz="0" w:space="0" w:color="auto"/>
        <w:bottom w:val="none" w:sz="0" w:space="0" w:color="auto"/>
        <w:right w:val="none" w:sz="0" w:space="0" w:color="auto"/>
      </w:divBdr>
    </w:div>
    <w:div w:id="1452475071">
      <w:bodyDiv w:val="1"/>
      <w:marLeft w:val="0"/>
      <w:marRight w:val="0"/>
      <w:marTop w:val="0"/>
      <w:marBottom w:val="0"/>
      <w:divBdr>
        <w:top w:val="none" w:sz="0" w:space="0" w:color="auto"/>
        <w:left w:val="none" w:sz="0" w:space="0" w:color="auto"/>
        <w:bottom w:val="none" w:sz="0" w:space="0" w:color="auto"/>
        <w:right w:val="none" w:sz="0" w:space="0" w:color="auto"/>
      </w:divBdr>
    </w:div>
    <w:div w:id="1452674545">
      <w:bodyDiv w:val="1"/>
      <w:marLeft w:val="0"/>
      <w:marRight w:val="0"/>
      <w:marTop w:val="0"/>
      <w:marBottom w:val="0"/>
      <w:divBdr>
        <w:top w:val="none" w:sz="0" w:space="0" w:color="auto"/>
        <w:left w:val="none" w:sz="0" w:space="0" w:color="auto"/>
        <w:bottom w:val="none" w:sz="0" w:space="0" w:color="auto"/>
        <w:right w:val="none" w:sz="0" w:space="0" w:color="auto"/>
      </w:divBdr>
    </w:div>
    <w:div w:id="1452703410">
      <w:bodyDiv w:val="1"/>
      <w:marLeft w:val="0"/>
      <w:marRight w:val="0"/>
      <w:marTop w:val="0"/>
      <w:marBottom w:val="0"/>
      <w:divBdr>
        <w:top w:val="none" w:sz="0" w:space="0" w:color="auto"/>
        <w:left w:val="none" w:sz="0" w:space="0" w:color="auto"/>
        <w:bottom w:val="none" w:sz="0" w:space="0" w:color="auto"/>
        <w:right w:val="none" w:sz="0" w:space="0" w:color="auto"/>
      </w:divBdr>
    </w:div>
    <w:div w:id="1452868599">
      <w:bodyDiv w:val="1"/>
      <w:marLeft w:val="0"/>
      <w:marRight w:val="0"/>
      <w:marTop w:val="0"/>
      <w:marBottom w:val="0"/>
      <w:divBdr>
        <w:top w:val="none" w:sz="0" w:space="0" w:color="auto"/>
        <w:left w:val="none" w:sz="0" w:space="0" w:color="auto"/>
        <w:bottom w:val="none" w:sz="0" w:space="0" w:color="auto"/>
        <w:right w:val="none" w:sz="0" w:space="0" w:color="auto"/>
      </w:divBdr>
    </w:div>
    <w:div w:id="1452939641">
      <w:bodyDiv w:val="1"/>
      <w:marLeft w:val="0"/>
      <w:marRight w:val="0"/>
      <w:marTop w:val="0"/>
      <w:marBottom w:val="0"/>
      <w:divBdr>
        <w:top w:val="none" w:sz="0" w:space="0" w:color="auto"/>
        <w:left w:val="none" w:sz="0" w:space="0" w:color="auto"/>
        <w:bottom w:val="none" w:sz="0" w:space="0" w:color="auto"/>
        <w:right w:val="none" w:sz="0" w:space="0" w:color="auto"/>
      </w:divBdr>
    </w:div>
    <w:div w:id="1452941246">
      <w:bodyDiv w:val="1"/>
      <w:marLeft w:val="0"/>
      <w:marRight w:val="0"/>
      <w:marTop w:val="0"/>
      <w:marBottom w:val="0"/>
      <w:divBdr>
        <w:top w:val="none" w:sz="0" w:space="0" w:color="auto"/>
        <w:left w:val="none" w:sz="0" w:space="0" w:color="auto"/>
        <w:bottom w:val="none" w:sz="0" w:space="0" w:color="auto"/>
        <w:right w:val="none" w:sz="0" w:space="0" w:color="auto"/>
      </w:divBdr>
    </w:div>
    <w:div w:id="1453204183">
      <w:bodyDiv w:val="1"/>
      <w:marLeft w:val="0"/>
      <w:marRight w:val="0"/>
      <w:marTop w:val="0"/>
      <w:marBottom w:val="0"/>
      <w:divBdr>
        <w:top w:val="none" w:sz="0" w:space="0" w:color="auto"/>
        <w:left w:val="none" w:sz="0" w:space="0" w:color="auto"/>
        <w:bottom w:val="none" w:sz="0" w:space="0" w:color="auto"/>
        <w:right w:val="none" w:sz="0" w:space="0" w:color="auto"/>
      </w:divBdr>
    </w:div>
    <w:div w:id="1453326530">
      <w:bodyDiv w:val="1"/>
      <w:marLeft w:val="0"/>
      <w:marRight w:val="0"/>
      <w:marTop w:val="0"/>
      <w:marBottom w:val="0"/>
      <w:divBdr>
        <w:top w:val="none" w:sz="0" w:space="0" w:color="auto"/>
        <w:left w:val="none" w:sz="0" w:space="0" w:color="auto"/>
        <w:bottom w:val="none" w:sz="0" w:space="0" w:color="auto"/>
        <w:right w:val="none" w:sz="0" w:space="0" w:color="auto"/>
      </w:divBdr>
    </w:div>
    <w:div w:id="1453749440">
      <w:bodyDiv w:val="1"/>
      <w:marLeft w:val="0"/>
      <w:marRight w:val="0"/>
      <w:marTop w:val="0"/>
      <w:marBottom w:val="0"/>
      <w:divBdr>
        <w:top w:val="none" w:sz="0" w:space="0" w:color="auto"/>
        <w:left w:val="none" w:sz="0" w:space="0" w:color="auto"/>
        <w:bottom w:val="none" w:sz="0" w:space="0" w:color="auto"/>
        <w:right w:val="none" w:sz="0" w:space="0" w:color="auto"/>
      </w:divBdr>
    </w:div>
    <w:div w:id="1454135922">
      <w:bodyDiv w:val="1"/>
      <w:marLeft w:val="0"/>
      <w:marRight w:val="0"/>
      <w:marTop w:val="0"/>
      <w:marBottom w:val="0"/>
      <w:divBdr>
        <w:top w:val="none" w:sz="0" w:space="0" w:color="auto"/>
        <w:left w:val="none" w:sz="0" w:space="0" w:color="auto"/>
        <w:bottom w:val="none" w:sz="0" w:space="0" w:color="auto"/>
        <w:right w:val="none" w:sz="0" w:space="0" w:color="auto"/>
      </w:divBdr>
    </w:div>
    <w:div w:id="1454209998">
      <w:bodyDiv w:val="1"/>
      <w:marLeft w:val="0"/>
      <w:marRight w:val="0"/>
      <w:marTop w:val="0"/>
      <w:marBottom w:val="0"/>
      <w:divBdr>
        <w:top w:val="none" w:sz="0" w:space="0" w:color="auto"/>
        <w:left w:val="none" w:sz="0" w:space="0" w:color="auto"/>
        <w:bottom w:val="none" w:sz="0" w:space="0" w:color="auto"/>
        <w:right w:val="none" w:sz="0" w:space="0" w:color="auto"/>
      </w:divBdr>
    </w:div>
    <w:div w:id="1454326677">
      <w:bodyDiv w:val="1"/>
      <w:marLeft w:val="0"/>
      <w:marRight w:val="0"/>
      <w:marTop w:val="0"/>
      <w:marBottom w:val="0"/>
      <w:divBdr>
        <w:top w:val="none" w:sz="0" w:space="0" w:color="auto"/>
        <w:left w:val="none" w:sz="0" w:space="0" w:color="auto"/>
        <w:bottom w:val="none" w:sz="0" w:space="0" w:color="auto"/>
        <w:right w:val="none" w:sz="0" w:space="0" w:color="auto"/>
      </w:divBdr>
    </w:div>
    <w:div w:id="1454329890">
      <w:bodyDiv w:val="1"/>
      <w:marLeft w:val="0"/>
      <w:marRight w:val="0"/>
      <w:marTop w:val="0"/>
      <w:marBottom w:val="0"/>
      <w:divBdr>
        <w:top w:val="none" w:sz="0" w:space="0" w:color="auto"/>
        <w:left w:val="none" w:sz="0" w:space="0" w:color="auto"/>
        <w:bottom w:val="none" w:sz="0" w:space="0" w:color="auto"/>
        <w:right w:val="none" w:sz="0" w:space="0" w:color="auto"/>
      </w:divBdr>
    </w:div>
    <w:div w:id="1454446005">
      <w:bodyDiv w:val="1"/>
      <w:marLeft w:val="0"/>
      <w:marRight w:val="0"/>
      <w:marTop w:val="0"/>
      <w:marBottom w:val="0"/>
      <w:divBdr>
        <w:top w:val="none" w:sz="0" w:space="0" w:color="auto"/>
        <w:left w:val="none" w:sz="0" w:space="0" w:color="auto"/>
        <w:bottom w:val="none" w:sz="0" w:space="0" w:color="auto"/>
        <w:right w:val="none" w:sz="0" w:space="0" w:color="auto"/>
      </w:divBdr>
    </w:div>
    <w:div w:id="1454637911">
      <w:bodyDiv w:val="1"/>
      <w:marLeft w:val="0"/>
      <w:marRight w:val="0"/>
      <w:marTop w:val="0"/>
      <w:marBottom w:val="0"/>
      <w:divBdr>
        <w:top w:val="none" w:sz="0" w:space="0" w:color="auto"/>
        <w:left w:val="none" w:sz="0" w:space="0" w:color="auto"/>
        <w:bottom w:val="none" w:sz="0" w:space="0" w:color="auto"/>
        <w:right w:val="none" w:sz="0" w:space="0" w:color="auto"/>
      </w:divBdr>
    </w:div>
    <w:div w:id="1454713978">
      <w:bodyDiv w:val="1"/>
      <w:marLeft w:val="0"/>
      <w:marRight w:val="0"/>
      <w:marTop w:val="0"/>
      <w:marBottom w:val="0"/>
      <w:divBdr>
        <w:top w:val="none" w:sz="0" w:space="0" w:color="auto"/>
        <w:left w:val="none" w:sz="0" w:space="0" w:color="auto"/>
        <w:bottom w:val="none" w:sz="0" w:space="0" w:color="auto"/>
        <w:right w:val="none" w:sz="0" w:space="0" w:color="auto"/>
      </w:divBdr>
    </w:div>
    <w:div w:id="1454976576">
      <w:bodyDiv w:val="1"/>
      <w:marLeft w:val="0"/>
      <w:marRight w:val="0"/>
      <w:marTop w:val="0"/>
      <w:marBottom w:val="0"/>
      <w:divBdr>
        <w:top w:val="none" w:sz="0" w:space="0" w:color="auto"/>
        <w:left w:val="none" w:sz="0" w:space="0" w:color="auto"/>
        <w:bottom w:val="none" w:sz="0" w:space="0" w:color="auto"/>
        <w:right w:val="none" w:sz="0" w:space="0" w:color="auto"/>
      </w:divBdr>
    </w:div>
    <w:div w:id="1455100682">
      <w:bodyDiv w:val="1"/>
      <w:marLeft w:val="0"/>
      <w:marRight w:val="0"/>
      <w:marTop w:val="0"/>
      <w:marBottom w:val="0"/>
      <w:divBdr>
        <w:top w:val="none" w:sz="0" w:space="0" w:color="auto"/>
        <w:left w:val="none" w:sz="0" w:space="0" w:color="auto"/>
        <w:bottom w:val="none" w:sz="0" w:space="0" w:color="auto"/>
        <w:right w:val="none" w:sz="0" w:space="0" w:color="auto"/>
      </w:divBdr>
    </w:div>
    <w:div w:id="1455294122">
      <w:bodyDiv w:val="1"/>
      <w:marLeft w:val="0"/>
      <w:marRight w:val="0"/>
      <w:marTop w:val="0"/>
      <w:marBottom w:val="0"/>
      <w:divBdr>
        <w:top w:val="none" w:sz="0" w:space="0" w:color="auto"/>
        <w:left w:val="none" w:sz="0" w:space="0" w:color="auto"/>
        <w:bottom w:val="none" w:sz="0" w:space="0" w:color="auto"/>
        <w:right w:val="none" w:sz="0" w:space="0" w:color="auto"/>
      </w:divBdr>
    </w:div>
    <w:div w:id="1455323355">
      <w:bodyDiv w:val="1"/>
      <w:marLeft w:val="0"/>
      <w:marRight w:val="0"/>
      <w:marTop w:val="0"/>
      <w:marBottom w:val="0"/>
      <w:divBdr>
        <w:top w:val="none" w:sz="0" w:space="0" w:color="auto"/>
        <w:left w:val="none" w:sz="0" w:space="0" w:color="auto"/>
        <w:bottom w:val="none" w:sz="0" w:space="0" w:color="auto"/>
        <w:right w:val="none" w:sz="0" w:space="0" w:color="auto"/>
      </w:divBdr>
    </w:div>
    <w:div w:id="1455372304">
      <w:bodyDiv w:val="1"/>
      <w:marLeft w:val="0"/>
      <w:marRight w:val="0"/>
      <w:marTop w:val="0"/>
      <w:marBottom w:val="0"/>
      <w:divBdr>
        <w:top w:val="none" w:sz="0" w:space="0" w:color="auto"/>
        <w:left w:val="none" w:sz="0" w:space="0" w:color="auto"/>
        <w:bottom w:val="none" w:sz="0" w:space="0" w:color="auto"/>
        <w:right w:val="none" w:sz="0" w:space="0" w:color="auto"/>
      </w:divBdr>
    </w:div>
    <w:div w:id="1455520919">
      <w:bodyDiv w:val="1"/>
      <w:marLeft w:val="0"/>
      <w:marRight w:val="0"/>
      <w:marTop w:val="0"/>
      <w:marBottom w:val="0"/>
      <w:divBdr>
        <w:top w:val="none" w:sz="0" w:space="0" w:color="auto"/>
        <w:left w:val="none" w:sz="0" w:space="0" w:color="auto"/>
        <w:bottom w:val="none" w:sz="0" w:space="0" w:color="auto"/>
        <w:right w:val="none" w:sz="0" w:space="0" w:color="auto"/>
      </w:divBdr>
    </w:div>
    <w:div w:id="1455557938">
      <w:bodyDiv w:val="1"/>
      <w:marLeft w:val="0"/>
      <w:marRight w:val="0"/>
      <w:marTop w:val="0"/>
      <w:marBottom w:val="0"/>
      <w:divBdr>
        <w:top w:val="none" w:sz="0" w:space="0" w:color="auto"/>
        <w:left w:val="none" w:sz="0" w:space="0" w:color="auto"/>
        <w:bottom w:val="none" w:sz="0" w:space="0" w:color="auto"/>
        <w:right w:val="none" w:sz="0" w:space="0" w:color="auto"/>
      </w:divBdr>
    </w:div>
    <w:div w:id="1455560718">
      <w:bodyDiv w:val="1"/>
      <w:marLeft w:val="0"/>
      <w:marRight w:val="0"/>
      <w:marTop w:val="0"/>
      <w:marBottom w:val="0"/>
      <w:divBdr>
        <w:top w:val="none" w:sz="0" w:space="0" w:color="auto"/>
        <w:left w:val="none" w:sz="0" w:space="0" w:color="auto"/>
        <w:bottom w:val="none" w:sz="0" w:space="0" w:color="auto"/>
        <w:right w:val="none" w:sz="0" w:space="0" w:color="auto"/>
      </w:divBdr>
    </w:div>
    <w:div w:id="1455560765">
      <w:bodyDiv w:val="1"/>
      <w:marLeft w:val="0"/>
      <w:marRight w:val="0"/>
      <w:marTop w:val="0"/>
      <w:marBottom w:val="0"/>
      <w:divBdr>
        <w:top w:val="none" w:sz="0" w:space="0" w:color="auto"/>
        <w:left w:val="none" w:sz="0" w:space="0" w:color="auto"/>
        <w:bottom w:val="none" w:sz="0" w:space="0" w:color="auto"/>
        <w:right w:val="none" w:sz="0" w:space="0" w:color="auto"/>
      </w:divBdr>
    </w:div>
    <w:div w:id="1455753822">
      <w:bodyDiv w:val="1"/>
      <w:marLeft w:val="0"/>
      <w:marRight w:val="0"/>
      <w:marTop w:val="0"/>
      <w:marBottom w:val="0"/>
      <w:divBdr>
        <w:top w:val="none" w:sz="0" w:space="0" w:color="auto"/>
        <w:left w:val="none" w:sz="0" w:space="0" w:color="auto"/>
        <w:bottom w:val="none" w:sz="0" w:space="0" w:color="auto"/>
        <w:right w:val="none" w:sz="0" w:space="0" w:color="auto"/>
      </w:divBdr>
    </w:div>
    <w:div w:id="1455975462">
      <w:bodyDiv w:val="1"/>
      <w:marLeft w:val="0"/>
      <w:marRight w:val="0"/>
      <w:marTop w:val="0"/>
      <w:marBottom w:val="0"/>
      <w:divBdr>
        <w:top w:val="none" w:sz="0" w:space="0" w:color="auto"/>
        <w:left w:val="none" w:sz="0" w:space="0" w:color="auto"/>
        <w:bottom w:val="none" w:sz="0" w:space="0" w:color="auto"/>
        <w:right w:val="none" w:sz="0" w:space="0" w:color="auto"/>
      </w:divBdr>
    </w:div>
    <w:div w:id="1456365871">
      <w:bodyDiv w:val="1"/>
      <w:marLeft w:val="0"/>
      <w:marRight w:val="0"/>
      <w:marTop w:val="0"/>
      <w:marBottom w:val="0"/>
      <w:divBdr>
        <w:top w:val="none" w:sz="0" w:space="0" w:color="auto"/>
        <w:left w:val="none" w:sz="0" w:space="0" w:color="auto"/>
        <w:bottom w:val="none" w:sz="0" w:space="0" w:color="auto"/>
        <w:right w:val="none" w:sz="0" w:space="0" w:color="auto"/>
      </w:divBdr>
    </w:div>
    <w:div w:id="1456409995">
      <w:bodyDiv w:val="1"/>
      <w:marLeft w:val="0"/>
      <w:marRight w:val="0"/>
      <w:marTop w:val="0"/>
      <w:marBottom w:val="0"/>
      <w:divBdr>
        <w:top w:val="none" w:sz="0" w:space="0" w:color="auto"/>
        <w:left w:val="none" w:sz="0" w:space="0" w:color="auto"/>
        <w:bottom w:val="none" w:sz="0" w:space="0" w:color="auto"/>
        <w:right w:val="none" w:sz="0" w:space="0" w:color="auto"/>
      </w:divBdr>
    </w:div>
    <w:div w:id="1456484794">
      <w:bodyDiv w:val="1"/>
      <w:marLeft w:val="0"/>
      <w:marRight w:val="0"/>
      <w:marTop w:val="0"/>
      <w:marBottom w:val="0"/>
      <w:divBdr>
        <w:top w:val="none" w:sz="0" w:space="0" w:color="auto"/>
        <w:left w:val="none" w:sz="0" w:space="0" w:color="auto"/>
        <w:bottom w:val="none" w:sz="0" w:space="0" w:color="auto"/>
        <w:right w:val="none" w:sz="0" w:space="0" w:color="auto"/>
      </w:divBdr>
    </w:div>
    <w:div w:id="1456830090">
      <w:bodyDiv w:val="1"/>
      <w:marLeft w:val="0"/>
      <w:marRight w:val="0"/>
      <w:marTop w:val="0"/>
      <w:marBottom w:val="0"/>
      <w:divBdr>
        <w:top w:val="none" w:sz="0" w:space="0" w:color="auto"/>
        <w:left w:val="none" w:sz="0" w:space="0" w:color="auto"/>
        <w:bottom w:val="none" w:sz="0" w:space="0" w:color="auto"/>
        <w:right w:val="none" w:sz="0" w:space="0" w:color="auto"/>
      </w:divBdr>
    </w:div>
    <w:div w:id="1456867040">
      <w:bodyDiv w:val="1"/>
      <w:marLeft w:val="0"/>
      <w:marRight w:val="0"/>
      <w:marTop w:val="0"/>
      <w:marBottom w:val="0"/>
      <w:divBdr>
        <w:top w:val="none" w:sz="0" w:space="0" w:color="auto"/>
        <w:left w:val="none" w:sz="0" w:space="0" w:color="auto"/>
        <w:bottom w:val="none" w:sz="0" w:space="0" w:color="auto"/>
        <w:right w:val="none" w:sz="0" w:space="0" w:color="auto"/>
      </w:divBdr>
    </w:div>
    <w:div w:id="1456949040">
      <w:bodyDiv w:val="1"/>
      <w:marLeft w:val="0"/>
      <w:marRight w:val="0"/>
      <w:marTop w:val="0"/>
      <w:marBottom w:val="0"/>
      <w:divBdr>
        <w:top w:val="none" w:sz="0" w:space="0" w:color="auto"/>
        <w:left w:val="none" w:sz="0" w:space="0" w:color="auto"/>
        <w:bottom w:val="none" w:sz="0" w:space="0" w:color="auto"/>
        <w:right w:val="none" w:sz="0" w:space="0" w:color="auto"/>
      </w:divBdr>
    </w:div>
    <w:div w:id="1457409586">
      <w:bodyDiv w:val="1"/>
      <w:marLeft w:val="0"/>
      <w:marRight w:val="0"/>
      <w:marTop w:val="0"/>
      <w:marBottom w:val="0"/>
      <w:divBdr>
        <w:top w:val="none" w:sz="0" w:space="0" w:color="auto"/>
        <w:left w:val="none" w:sz="0" w:space="0" w:color="auto"/>
        <w:bottom w:val="none" w:sz="0" w:space="0" w:color="auto"/>
        <w:right w:val="none" w:sz="0" w:space="0" w:color="auto"/>
      </w:divBdr>
    </w:div>
    <w:div w:id="1457678907">
      <w:bodyDiv w:val="1"/>
      <w:marLeft w:val="0"/>
      <w:marRight w:val="0"/>
      <w:marTop w:val="0"/>
      <w:marBottom w:val="0"/>
      <w:divBdr>
        <w:top w:val="none" w:sz="0" w:space="0" w:color="auto"/>
        <w:left w:val="none" w:sz="0" w:space="0" w:color="auto"/>
        <w:bottom w:val="none" w:sz="0" w:space="0" w:color="auto"/>
        <w:right w:val="none" w:sz="0" w:space="0" w:color="auto"/>
      </w:divBdr>
    </w:div>
    <w:div w:id="1457679834">
      <w:bodyDiv w:val="1"/>
      <w:marLeft w:val="0"/>
      <w:marRight w:val="0"/>
      <w:marTop w:val="0"/>
      <w:marBottom w:val="0"/>
      <w:divBdr>
        <w:top w:val="none" w:sz="0" w:space="0" w:color="auto"/>
        <w:left w:val="none" w:sz="0" w:space="0" w:color="auto"/>
        <w:bottom w:val="none" w:sz="0" w:space="0" w:color="auto"/>
        <w:right w:val="none" w:sz="0" w:space="0" w:color="auto"/>
      </w:divBdr>
    </w:div>
    <w:div w:id="1457916778">
      <w:bodyDiv w:val="1"/>
      <w:marLeft w:val="0"/>
      <w:marRight w:val="0"/>
      <w:marTop w:val="0"/>
      <w:marBottom w:val="0"/>
      <w:divBdr>
        <w:top w:val="none" w:sz="0" w:space="0" w:color="auto"/>
        <w:left w:val="none" w:sz="0" w:space="0" w:color="auto"/>
        <w:bottom w:val="none" w:sz="0" w:space="0" w:color="auto"/>
        <w:right w:val="none" w:sz="0" w:space="0" w:color="auto"/>
      </w:divBdr>
    </w:div>
    <w:div w:id="1457944604">
      <w:bodyDiv w:val="1"/>
      <w:marLeft w:val="0"/>
      <w:marRight w:val="0"/>
      <w:marTop w:val="0"/>
      <w:marBottom w:val="0"/>
      <w:divBdr>
        <w:top w:val="none" w:sz="0" w:space="0" w:color="auto"/>
        <w:left w:val="none" w:sz="0" w:space="0" w:color="auto"/>
        <w:bottom w:val="none" w:sz="0" w:space="0" w:color="auto"/>
        <w:right w:val="none" w:sz="0" w:space="0" w:color="auto"/>
      </w:divBdr>
    </w:div>
    <w:div w:id="1458059106">
      <w:bodyDiv w:val="1"/>
      <w:marLeft w:val="0"/>
      <w:marRight w:val="0"/>
      <w:marTop w:val="0"/>
      <w:marBottom w:val="0"/>
      <w:divBdr>
        <w:top w:val="none" w:sz="0" w:space="0" w:color="auto"/>
        <w:left w:val="none" w:sz="0" w:space="0" w:color="auto"/>
        <w:bottom w:val="none" w:sz="0" w:space="0" w:color="auto"/>
        <w:right w:val="none" w:sz="0" w:space="0" w:color="auto"/>
      </w:divBdr>
    </w:div>
    <w:div w:id="1458063393">
      <w:bodyDiv w:val="1"/>
      <w:marLeft w:val="0"/>
      <w:marRight w:val="0"/>
      <w:marTop w:val="0"/>
      <w:marBottom w:val="0"/>
      <w:divBdr>
        <w:top w:val="none" w:sz="0" w:space="0" w:color="auto"/>
        <w:left w:val="none" w:sz="0" w:space="0" w:color="auto"/>
        <w:bottom w:val="none" w:sz="0" w:space="0" w:color="auto"/>
        <w:right w:val="none" w:sz="0" w:space="0" w:color="auto"/>
      </w:divBdr>
    </w:div>
    <w:div w:id="1458259407">
      <w:bodyDiv w:val="1"/>
      <w:marLeft w:val="0"/>
      <w:marRight w:val="0"/>
      <w:marTop w:val="0"/>
      <w:marBottom w:val="0"/>
      <w:divBdr>
        <w:top w:val="none" w:sz="0" w:space="0" w:color="auto"/>
        <w:left w:val="none" w:sz="0" w:space="0" w:color="auto"/>
        <w:bottom w:val="none" w:sz="0" w:space="0" w:color="auto"/>
        <w:right w:val="none" w:sz="0" w:space="0" w:color="auto"/>
      </w:divBdr>
    </w:div>
    <w:div w:id="1458374371">
      <w:bodyDiv w:val="1"/>
      <w:marLeft w:val="0"/>
      <w:marRight w:val="0"/>
      <w:marTop w:val="0"/>
      <w:marBottom w:val="0"/>
      <w:divBdr>
        <w:top w:val="none" w:sz="0" w:space="0" w:color="auto"/>
        <w:left w:val="none" w:sz="0" w:space="0" w:color="auto"/>
        <w:bottom w:val="none" w:sz="0" w:space="0" w:color="auto"/>
        <w:right w:val="none" w:sz="0" w:space="0" w:color="auto"/>
      </w:divBdr>
    </w:div>
    <w:div w:id="1458600589">
      <w:bodyDiv w:val="1"/>
      <w:marLeft w:val="0"/>
      <w:marRight w:val="0"/>
      <w:marTop w:val="0"/>
      <w:marBottom w:val="0"/>
      <w:divBdr>
        <w:top w:val="none" w:sz="0" w:space="0" w:color="auto"/>
        <w:left w:val="none" w:sz="0" w:space="0" w:color="auto"/>
        <w:bottom w:val="none" w:sz="0" w:space="0" w:color="auto"/>
        <w:right w:val="none" w:sz="0" w:space="0" w:color="auto"/>
      </w:divBdr>
    </w:div>
    <w:div w:id="1458639171">
      <w:bodyDiv w:val="1"/>
      <w:marLeft w:val="0"/>
      <w:marRight w:val="0"/>
      <w:marTop w:val="0"/>
      <w:marBottom w:val="0"/>
      <w:divBdr>
        <w:top w:val="none" w:sz="0" w:space="0" w:color="auto"/>
        <w:left w:val="none" w:sz="0" w:space="0" w:color="auto"/>
        <w:bottom w:val="none" w:sz="0" w:space="0" w:color="auto"/>
        <w:right w:val="none" w:sz="0" w:space="0" w:color="auto"/>
      </w:divBdr>
    </w:div>
    <w:div w:id="1458791050">
      <w:bodyDiv w:val="1"/>
      <w:marLeft w:val="0"/>
      <w:marRight w:val="0"/>
      <w:marTop w:val="0"/>
      <w:marBottom w:val="0"/>
      <w:divBdr>
        <w:top w:val="none" w:sz="0" w:space="0" w:color="auto"/>
        <w:left w:val="none" w:sz="0" w:space="0" w:color="auto"/>
        <w:bottom w:val="none" w:sz="0" w:space="0" w:color="auto"/>
        <w:right w:val="none" w:sz="0" w:space="0" w:color="auto"/>
      </w:divBdr>
    </w:div>
    <w:div w:id="1459228180">
      <w:bodyDiv w:val="1"/>
      <w:marLeft w:val="0"/>
      <w:marRight w:val="0"/>
      <w:marTop w:val="0"/>
      <w:marBottom w:val="0"/>
      <w:divBdr>
        <w:top w:val="none" w:sz="0" w:space="0" w:color="auto"/>
        <w:left w:val="none" w:sz="0" w:space="0" w:color="auto"/>
        <w:bottom w:val="none" w:sz="0" w:space="0" w:color="auto"/>
        <w:right w:val="none" w:sz="0" w:space="0" w:color="auto"/>
      </w:divBdr>
    </w:div>
    <w:div w:id="1459372111">
      <w:bodyDiv w:val="1"/>
      <w:marLeft w:val="0"/>
      <w:marRight w:val="0"/>
      <w:marTop w:val="0"/>
      <w:marBottom w:val="0"/>
      <w:divBdr>
        <w:top w:val="none" w:sz="0" w:space="0" w:color="auto"/>
        <w:left w:val="none" w:sz="0" w:space="0" w:color="auto"/>
        <w:bottom w:val="none" w:sz="0" w:space="0" w:color="auto"/>
        <w:right w:val="none" w:sz="0" w:space="0" w:color="auto"/>
      </w:divBdr>
    </w:div>
    <w:div w:id="1460150238">
      <w:bodyDiv w:val="1"/>
      <w:marLeft w:val="0"/>
      <w:marRight w:val="0"/>
      <w:marTop w:val="0"/>
      <w:marBottom w:val="0"/>
      <w:divBdr>
        <w:top w:val="none" w:sz="0" w:space="0" w:color="auto"/>
        <w:left w:val="none" w:sz="0" w:space="0" w:color="auto"/>
        <w:bottom w:val="none" w:sz="0" w:space="0" w:color="auto"/>
        <w:right w:val="none" w:sz="0" w:space="0" w:color="auto"/>
      </w:divBdr>
    </w:div>
    <w:div w:id="1460225824">
      <w:bodyDiv w:val="1"/>
      <w:marLeft w:val="0"/>
      <w:marRight w:val="0"/>
      <w:marTop w:val="0"/>
      <w:marBottom w:val="0"/>
      <w:divBdr>
        <w:top w:val="none" w:sz="0" w:space="0" w:color="auto"/>
        <w:left w:val="none" w:sz="0" w:space="0" w:color="auto"/>
        <w:bottom w:val="none" w:sz="0" w:space="0" w:color="auto"/>
        <w:right w:val="none" w:sz="0" w:space="0" w:color="auto"/>
      </w:divBdr>
    </w:div>
    <w:div w:id="1460299371">
      <w:bodyDiv w:val="1"/>
      <w:marLeft w:val="0"/>
      <w:marRight w:val="0"/>
      <w:marTop w:val="0"/>
      <w:marBottom w:val="0"/>
      <w:divBdr>
        <w:top w:val="none" w:sz="0" w:space="0" w:color="auto"/>
        <w:left w:val="none" w:sz="0" w:space="0" w:color="auto"/>
        <w:bottom w:val="none" w:sz="0" w:space="0" w:color="auto"/>
        <w:right w:val="none" w:sz="0" w:space="0" w:color="auto"/>
      </w:divBdr>
    </w:div>
    <w:div w:id="1460412630">
      <w:bodyDiv w:val="1"/>
      <w:marLeft w:val="0"/>
      <w:marRight w:val="0"/>
      <w:marTop w:val="0"/>
      <w:marBottom w:val="0"/>
      <w:divBdr>
        <w:top w:val="none" w:sz="0" w:space="0" w:color="auto"/>
        <w:left w:val="none" w:sz="0" w:space="0" w:color="auto"/>
        <w:bottom w:val="none" w:sz="0" w:space="0" w:color="auto"/>
        <w:right w:val="none" w:sz="0" w:space="0" w:color="auto"/>
      </w:divBdr>
    </w:div>
    <w:div w:id="1460806612">
      <w:bodyDiv w:val="1"/>
      <w:marLeft w:val="0"/>
      <w:marRight w:val="0"/>
      <w:marTop w:val="0"/>
      <w:marBottom w:val="0"/>
      <w:divBdr>
        <w:top w:val="none" w:sz="0" w:space="0" w:color="auto"/>
        <w:left w:val="none" w:sz="0" w:space="0" w:color="auto"/>
        <w:bottom w:val="none" w:sz="0" w:space="0" w:color="auto"/>
        <w:right w:val="none" w:sz="0" w:space="0" w:color="auto"/>
      </w:divBdr>
    </w:div>
    <w:div w:id="1461069985">
      <w:bodyDiv w:val="1"/>
      <w:marLeft w:val="0"/>
      <w:marRight w:val="0"/>
      <w:marTop w:val="0"/>
      <w:marBottom w:val="0"/>
      <w:divBdr>
        <w:top w:val="none" w:sz="0" w:space="0" w:color="auto"/>
        <w:left w:val="none" w:sz="0" w:space="0" w:color="auto"/>
        <w:bottom w:val="none" w:sz="0" w:space="0" w:color="auto"/>
        <w:right w:val="none" w:sz="0" w:space="0" w:color="auto"/>
      </w:divBdr>
    </w:div>
    <w:div w:id="1461222074">
      <w:bodyDiv w:val="1"/>
      <w:marLeft w:val="0"/>
      <w:marRight w:val="0"/>
      <w:marTop w:val="0"/>
      <w:marBottom w:val="0"/>
      <w:divBdr>
        <w:top w:val="none" w:sz="0" w:space="0" w:color="auto"/>
        <w:left w:val="none" w:sz="0" w:space="0" w:color="auto"/>
        <w:bottom w:val="none" w:sz="0" w:space="0" w:color="auto"/>
        <w:right w:val="none" w:sz="0" w:space="0" w:color="auto"/>
      </w:divBdr>
    </w:div>
    <w:div w:id="1461533856">
      <w:bodyDiv w:val="1"/>
      <w:marLeft w:val="0"/>
      <w:marRight w:val="0"/>
      <w:marTop w:val="0"/>
      <w:marBottom w:val="0"/>
      <w:divBdr>
        <w:top w:val="none" w:sz="0" w:space="0" w:color="auto"/>
        <w:left w:val="none" w:sz="0" w:space="0" w:color="auto"/>
        <w:bottom w:val="none" w:sz="0" w:space="0" w:color="auto"/>
        <w:right w:val="none" w:sz="0" w:space="0" w:color="auto"/>
      </w:divBdr>
    </w:div>
    <w:div w:id="1461725480">
      <w:bodyDiv w:val="1"/>
      <w:marLeft w:val="0"/>
      <w:marRight w:val="0"/>
      <w:marTop w:val="0"/>
      <w:marBottom w:val="0"/>
      <w:divBdr>
        <w:top w:val="none" w:sz="0" w:space="0" w:color="auto"/>
        <w:left w:val="none" w:sz="0" w:space="0" w:color="auto"/>
        <w:bottom w:val="none" w:sz="0" w:space="0" w:color="auto"/>
        <w:right w:val="none" w:sz="0" w:space="0" w:color="auto"/>
      </w:divBdr>
    </w:div>
    <w:div w:id="1461727222">
      <w:bodyDiv w:val="1"/>
      <w:marLeft w:val="0"/>
      <w:marRight w:val="0"/>
      <w:marTop w:val="0"/>
      <w:marBottom w:val="0"/>
      <w:divBdr>
        <w:top w:val="none" w:sz="0" w:space="0" w:color="auto"/>
        <w:left w:val="none" w:sz="0" w:space="0" w:color="auto"/>
        <w:bottom w:val="none" w:sz="0" w:space="0" w:color="auto"/>
        <w:right w:val="none" w:sz="0" w:space="0" w:color="auto"/>
      </w:divBdr>
    </w:div>
    <w:div w:id="1461798990">
      <w:bodyDiv w:val="1"/>
      <w:marLeft w:val="0"/>
      <w:marRight w:val="0"/>
      <w:marTop w:val="0"/>
      <w:marBottom w:val="0"/>
      <w:divBdr>
        <w:top w:val="none" w:sz="0" w:space="0" w:color="auto"/>
        <w:left w:val="none" w:sz="0" w:space="0" w:color="auto"/>
        <w:bottom w:val="none" w:sz="0" w:space="0" w:color="auto"/>
        <w:right w:val="none" w:sz="0" w:space="0" w:color="auto"/>
      </w:divBdr>
    </w:div>
    <w:div w:id="1461998300">
      <w:bodyDiv w:val="1"/>
      <w:marLeft w:val="0"/>
      <w:marRight w:val="0"/>
      <w:marTop w:val="0"/>
      <w:marBottom w:val="0"/>
      <w:divBdr>
        <w:top w:val="none" w:sz="0" w:space="0" w:color="auto"/>
        <w:left w:val="none" w:sz="0" w:space="0" w:color="auto"/>
        <w:bottom w:val="none" w:sz="0" w:space="0" w:color="auto"/>
        <w:right w:val="none" w:sz="0" w:space="0" w:color="auto"/>
      </w:divBdr>
    </w:div>
    <w:div w:id="1462962637">
      <w:bodyDiv w:val="1"/>
      <w:marLeft w:val="0"/>
      <w:marRight w:val="0"/>
      <w:marTop w:val="0"/>
      <w:marBottom w:val="0"/>
      <w:divBdr>
        <w:top w:val="none" w:sz="0" w:space="0" w:color="auto"/>
        <w:left w:val="none" w:sz="0" w:space="0" w:color="auto"/>
        <w:bottom w:val="none" w:sz="0" w:space="0" w:color="auto"/>
        <w:right w:val="none" w:sz="0" w:space="0" w:color="auto"/>
      </w:divBdr>
    </w:div>
    <w:div w:id="1463041261">
      <w:bodyDiv w:val="1"/>
      <w:marLeft w:val="0"/>
      <w:marRight w:val="0"/>
      <w:marTop w:val="0"/>
      <w:marBottom w:val="0"/>
      <w:divBdr>
        <w:top w:val="none" w:sz="0" w:space="0" w:color="auto"/>
        <w:left w:val="none" w:sz="0" w:space="0" w:color="auto"/>
        <w:bottom w:val="none" w:sz="0" w:space="0" w:color="auto"/>
        <w:right w:val="none" w:sz="0" w:space="0" w:color="auto"/>
      </w:divBdr>
    </w:div>
    <w:div w:id="1463117572">
      <w:bodyDiv w:val="1"/>
      <w:marLeft w:val="0"/>
      <w:marRight w:val="0"/>
      <w:marTop w:val="0"/>
      <w:marBottom w:val="0"/>
      <w:divBdr>
        <w:top w:val="none" w:sz="0" w:space="0" w:color="auto"/>
        <w:left w:val="none" w:sz="0" w:space="0" w:color="auto"/>
        <w:bottom w:val="none" w:sz="0" w:space="0" w:color="auto"/>
        <w:right w:val="none" w:sz="0" w:space="0" w:color="auto"/>
      </w:divBdr>
    </w:div>
    <w:div w:id="1463160051">
      <w:bodyDiv w:val="1"/>
      <w:marLeft w:val="0"/>
      <w:marRight w:val="0"/>
      <w:marTop w:val="0"/>
      <w:marBottom w:val="0"/>
      <w:divBdr>
        <w:top w:val="none" w:sz="0" w:space="0" w:color="auto"/>
        <w:left w:val="none" w:sz="0" w:space="0" w:color="auto"/>
        <w:bottom w:val="none" w:sz="0" w:space="0" w:color="auto"/>
        <w:right w:val="none" w:sz="0" w:space="0" w:color="auto"/>
      </w:divBdr>
    </w:div>
    <w:div w:id="1463228435">
      <w:bodyDiv w:val="1"/>
      <w:marLeft w:val="0"/>
      <w:marRight w:val="0"/>
      <w:marTop w:val="0"/>
      <w:marBottom w:val="0"/>
      <w:divBdr>
        <w:top w:val="none" w:sz="0" w:space="0" w:color="auto"/>
        <w:left w:val="none" w:sz="0" w:space="0" w:color="auto"/>
        <w:bottom w:val="none" w:sz="0" w:space="0" w:color="auto"/>
        <w:right w:val="none" w:sz="0" w:space="0" w:color="auto"/>
      </w:divBdr>
    </w:div>
    <w:div w:id="1463302781">
      <w:bodyDiv w:val="1"/>
      <w:marLeft w:val="0"/>
      <w:marRight w:val="0"/>
      <w:marTop w:val="0"/>
      <w:marBottom w:val="0"/>
      <w:divBdr>
        <w:top w:val="none" w:sz="0" w:space="0" w:color="auto"/>
        <w:left w:val="none" w:sz="0" w:space="0" w:color="auto"/>
        <w:bottom w:val="none" w:sz="0" w:space="0" w:color="auto"/>
        <w:right w:val="none" w:sz="0" w:space="0" w:color="auto"/>
      </w:divBdr>
    </w:div>
    <w:div w:id="1463377265">
      <w:bodyDiv w:val="1"/>
      <w:marLeft w:val="0"/>
      <w:marRight w:val="0"/>
      <w:marTop w:val="0"/>
      <w:marBottom w:val="0"/>
      <w:divBdr>
        <w:top w:val="none" w:sz="0" w:space="0" w:color="auto"/>
        <w:left w:val="none" w:sz="0" w:space="0" w:color="auto"/>
        <w:bottom w:val="none" w:sz="0" w:space="0" w:color="auto"/>
        <w:right w:val="none" w:sz="0" w:space="0" w:color="auto"/>
      </w:divBdr>
    </w:div>
    <w:div w:id="1463428203">
      <w:bodyDiv w:val="1"/>
      <w:marLeft w:val="0"/>
      <w:marRight w:val="0"/>
      <w:marTop w:val="0"/>
      <w:marBottom w:val="0"/>
      <w:divBdr>
        <w:top w:val="none" w:sz="0" w:space="0" w:color="auto"/>
        <w:left w:val="none" w:sz="0" w:space="0" w:color="auto"/>
        <w:bottom w:val="none" w:sz="0" w:space="0" w:color="auto"/>
        <w:right w:val="none" w:sz="0" w:space="0" w:color="auto"/>
      </w:divBdr>
    </w:div>
    <w:div w:id="1464153058">
      <w:bodyDiv w:val="1"/>
      <w:marLeft w:val="0"/>
      <w:marRight w:val="0"/>
      <w:marTop w:val="0"/>
      <w:marBottom w:val="0"/>
      <w:divBdr>
        <w:top w:val="none" w:sz="0" w:space="0" w:color="auto"/>
        <w:left w:val="none" w:sz="0" w:space="0" w:color="auto"/>
        <w:bottom w:val="none" w:sz="0" w:space="0" w:color="auto"/>
        <w:right w:val="none" w:sz="0" w:space="0" w:color="auto"/>
      </w:divBdr>
    </w:div>
    <w:div w:id="1464229064">
      <w:bodyDiv w:val="1"/>
      <w:marLeft w:val="0"/>
      <w:marRight w:val="0"/>
      <w:marTop w:val="0"/>
      <w:marBottom w:val="0"/>
      <w:divBdr>
        <w:top w:val="none" w:sz="0" w:space="0" w:color="auto"/>
        <w:left w:val="none" w:sz="0" w:space="0" w:color="auto"/>
        <w:bottom w:val="none" w:sz="0" w:space="0" w:color="auto"/>
        <w:right w:val="none" w:sz="0" w:space="0" w:color="auto"/>
      </w:divBdr>
    </w:div>
    <w:div w:id="1464469522">
      <w:bodyDiv w:val="1"/>
      <w:marLeft w:val="0"/>
      <w:marRight w:val="0"/>
      <w:marTop w:val="0"/>
      <w:marBottom w:val="0"/>
      <w:divBdr>
        <w:top w:val="none" w:sz="0" w:space="0" w:color="auto"/>
        <w:left w:val="none" w:sz="0" w:space="0" w:color="auto"/>
        <w:bottom w:val="none" w:sz="0" w:space="0" w:color="auto"/>
        <w:right w:val="none" w:sz="0" w:space="0" w:color="auto"/>
      </w:divBdr>
    </w:div>
    <w:div w:id="1464695962">
      <w:bodyDiv w:val="1"/>
      <w:marLeft w:val="0"/>
      <w:marRight w:val="0"/>
      <w:marTop w:val="0"/>
      <w:marBottom w:val="0"/>
      <w:divBdr>
        <w:top w:val="none" w:sz="0" w:space="0" w:color="auto"/>
        <w:left w:val="none" w:sz="0" w:space="0" w:color="auto"/>
        <w:bottom w:val="none" w:sz="0" w:space="0" w:color="auto"/>
        <w:right w:val="none" w:sz="0" w:space="0" w:color="auto"/>
      </w:divBdr>
    </w:div>
    <w:div w:id="1465123991">
      <w:bodyDiv w:val="1"/>
      <w:marLeft w:val="0"/>
      <w:marRight w:val="0"/>
      <w:marTop w:val="0"/>
      <w:marBottom w:val="0"/>
      <w:divBdr>
        <w:top w:val="none" w:sz="0" w:space="0" w:color="auto"/>
        <w:left w:val="none" w:sz="0" w:space="0" w:color="auto"/>
        <w:bottom w:val="none" w:sz="0" w:space="0" w:color="auto"/>
        <w:right w:val="none" w:sz="0" w:space="0" w:color="auto"/>
      </w:divBdr>
    </w:div>
    <w:div w:id="1465125278">
      <w:bodyDiv w:val="1"/>
      <w:marLeft w:val="0"/>
      <w:marRight w:val="0"/>
      <w:marTop w:val="0"/>
      <w:marBottom w:val="0"/>
      <w:divBdr>
        <w:top w:val="none" w:sz="0" w:space="0" w:color="auto"/>
        <w:left w:val="none" w:sz="0" w:space="0" w:color="auto"/>
        <w:bottom w:val="none" w:sz="0" w:space="0" w:color="auto"/>
        <w:right w:val="none" w:sz="0" w:space="0" w:color="auto"/>
      </w:divBdr>
    </w:div>
    <w:div w:id="1465199008">
      <w:bodyDiv w:val="1"/>
      <w:marLeft w:val="0"/>
      <w:marRight w:val="0"/>
      <w:marTop w:val="0"/>
      <w:marBottom w:val="0"/>
      <w:divBdr>
        <w:top w:val="none" w:sz="0" w:space="0" w:color="auto"/>
        <w:left w:val="none" w:sz="0" w:space="0" w:color="auto"/>
        <w:bottom w:val="none" w:sz="0" w:space="0" w:color="auto"/>
        <w:right w:val="none" w:sz="0" w:space="0" w:color="auto"/>
      </w:divBdr>
    </w:div>
    <w:div w:id="1465270999">
      <w:bodyDiv w:val="1"/>
      <w:marLeft w:val="0"/>
      <w:marRight w:val="0"/>
      <w:marTop w:val="0"/>
      <w:marBottom w:val="0"/>
      <w:divBdr>
        <w:top w:val="none" w:sz="0" w:space="0" w:color="auto"/>
        <w:left w:val="none" w:sz="0" w:space="0" w:color="auto"/>
        <w:bottom w:val="none" w:sz="0" w:space="0" w:color="auto"/>
        <w:right w:val="none" w:sz="0" w:space="0" w:color="auto"/>
      </w:divBdr>
    </w:div>
    <w:div w:id="1465539746">
      <w:bodyDiv w:val="1"/>
      <w:marLeft w:val="0"/>
      <w:marRight w:val="0"/>
      <w:marTop w:val="0"/>
      <w:marBottom w:val="0"/>
      <w:divBdr>
        <w:top w:val="none" w:sz="0" w:space="0" w:color="auto"/>
        <w:left w:val="none" w:sz="0" w:space="0" w:color="auto"/>
        <w:bottom w:val="none" w:sz="0" w:space="0" w:color="auto"/>
        <w:right w:val="none" w:sz="0" w:space="0" w:color="auto"/>
      </w:divBdr>
    </w:div>
    <w:div w:id="1465658535">
      <w:bodyDiv w:val="1"/>
      <w:marLeft w:val="0"/>
      <w:marRight w:val="0"/>
      <w:marTop w:val="0"/>
      <w:marBottom w:val="0"/>
      <w:divBdr>
        <w:top w:val="none" w:sz="0" w:space="0" w:color="auto"/>
        <w:left w:val="none" w:sz="0" w:space="0" w:color="auto"/>
        <w:bottom w:val="none" w:sz="0" w:space="0" w:color="auto"/>
        <w:right w:val="none" w:sz="0" w:space="0" w:color="auto"/>
      </w:divBdr>
    </w:div>
    <w:div w:id="1465658650">
      <w:bodyDiv w:val="1"/>
      <w:marLeft w:val="0"/>
      <w:marRight w:val="0"/>
      <w:marTop w:val="0"/>
      <w:marBottom w:val="0"/>
      <w:divBdr>
        <w:top w:val="none" w:sz="0" w:space="0" w:color="auto"/>
        <w:left w:val="none" w:sz="0" w:space="0" w:color="auto"/>
        <w:bottom w:val="none" w:sz="0" w:space="0" w:color="auto"/>
        <w:right w:val="none" w:sz="0" w:space="0" w:color="auto"/>
      </w:divBdr>
    </w:div>
    <w:div w:id="1465853268">
      <w:bodyDiv w:val="1"/>
      <w:marLeft w:val="0"/>
      <w:marRight w:val="0"/>
      <w:marTop w:val="0"/>
      <w:marBottom w:val="0"/>
      <w:divBdr>
        <w:top w:val="none" w:sz="0" w:space="0" w:color="auto"/>
        <w:left w:val="none" w:sz="0" w:space="0" w:color="auto"/>
        <w:bottom w:val="none" w:sz="0" w:space="0" w:color="auto"/>
        <w:right w:val="none" w:sz="0" w:space="0" w:color="auto"/>
      </w:divBdr>
    </w:div>
    <w:div w:id="1466192616">
      <w:bodyDiv w:val="1"/>
      <w:marLeft w:val="0"/>
      <w:marRight w:val="0"/>
      <w:marTop w:val="0"/>
      <w:marBottom w:val="0"/>
      <w:divBdr>
        <w:top w:val="none" w:sz="0" w:space="0" w:color="auto"/>
        <w:left w:val="none" w:sz="0" w:space="0" w:color="auto"/>
        <w:bottom w:val="none" w:sz="0" w:space="0" w:color="auto"/>
        <w:right w:val="none" w:sz="0" w:space="0" w:color="auto"/>
      </w:divBdr>
    </w:div>
    <w:div w:id="1466196895">
      <w:bodyDiv w:val="1"/>
      <w:marLeft w:val="0"/>
      <w:marRight w:val="0"/>
      <w:marTop w:val="0"/>
      <w:marBottom w:val="0"/>
      <w:divBdr>
        <w:top w:val="none" w:sz="0" w:space="0" w:color="auto"/>
        <w:left w:val="none" w:sz="0" w:space="0" w:color="auto"/>
        <w:bottom w:val="none" w:sz="0" w:space="0" w:color="auto"/>
        <w:right w:val="none" w:sz="0" w:space="0" w:color="auto"/>
      </w:divBdr>
    </w:div>
    <w:div w:id="1466238735">
      <w:bodyDiv w:val="1"/>
      <w:marLeft w:val="0"/>
      <w:marRight w:val="0"/>
      <w:marTop w:val="0"/>
      <w:marBottom w:val="0"/>
      <w:divBdr>
        <w:top w:val="none" w:sz="0" w:space="0" w:color="auto"/>
        <w:left w:val="none" w:sz="0" w:space="0" w:color="auto"/>
        <w:bottom w:val="none" w:sz="0" w:space="0" w:color="auto"/>
        <w:right w:val="none" w:sz="0" w:space="0" w:color="auto"/>
      </w:divBdr>
    </w:div>
    <w:div w:id="1466312826">
      <w:bodyDiv w:val="1"/>
      <w:marLeft w:val="0"/>
      <w:marRight w:val="0"/>
      <w:marTop w:val="0"/>
      <w:marBottom w:val="0"/>
      <w:divBdr>
        <w:top w:val="none" w:sz="0" w:space="0" w:color="auto"/>
        <w:left w:val="none" w:sz="0" w:space="0" w:color="auto"/>
        <w:bottom w:val="none" w:sz="0" w:space="0" w:color="auto"/>
        <w:right w:val="none" w:sz="0" w:space="0" w:color="auto"/>
      </w:divBdr>
    </w:div>
    <w:div w:id="1466586761">
      <w:bodyDiv w:val="1"/>
      <w:marLeft w:val="0"/>
      <w:marRight w:val="0"/>
      <w:marTop w:val="0"/>
      <w:marBottom w:val="0"/>
      <w:divBdr>
        <w:top w:val="none" w:sz="0" w:space="0" w:color="auto"/>
        <w:left w:val="none" w:sz="0" w:space="0" w:color="auto"/>
        <w:bottom w:val="none" w:sz="0" w:space="0" w:color="auto"/>
        <w:right w:val="none" w:sz="0" w:space="0" w:color="auto"/>
      </w:divBdr>
    </w:div>
    <w:div w:id="1466656442">
      <w:bodyDiv w:val="1"/>
      <w:marLeft w:val="0"/>
      <w:marRight w:val="0"/>
      <w:marTop w:val="0"/>
      <w:marBottom w:val="0"/>
      <w:divBdr>
        <w:top w:val="none" w:sz="0" w:space="0" w:color="auto"/>
        <w:left w:val="none" w:sz="0" w:space="0" w:color="auto"/>
        <w:bottom w:val="none" w:sz="0" w:space="0" w:color="auto"/>
        <w:right w:val="none" w:sz="0" w:space="0" w:color="auto"/>
      </w:divBdr>
    </w:div>
    <w:div w:id="1466893329">
      <w:bodyDiv w:val="1"/>
      <w:marLeft w:val="0"/>
      <w:marRight w:val="0"/>
      <w:marTop w:val="0"/>
      <w:marBottom w:val="0"/>
      <w:divBdr>
        <w:top w:val="none" w:sz="0" w:space="0" w:color="auto"/>
        <w:left w:val="none" w:sz="0" w:space="0" w:color="auto"/>
        <w:bottom w:val="none" w:sz="0" w:space="0" w:color="auto"/>
        <w:right w:val="none" w:sz="0" w:space="0" w:color="auto"/>
      </w:divBdr>
    </w:div>
    <w:div w:id="1467040350">
      <w:bodyDiv w:val="1"/>
      <w:marLeft w:val="0"/>
      <w:marRight w:val="0"/>
      <w:marTop w:val="0"/>
      <w:marBottom w:val="0"/>
      <w:divBdr>
        <w:top w:val="none" w:sz="0" w:space="0" w:color="auto"/>
        <w:left w:val="none" w:sz="0" w:space="0" w:color="auto"/>
        <w:bottom w:val="none" w:sz="0" w:space="0" w:color="auto"/>
        <w:right w:val="none" w:sz="0" w:space="0" w:color="auto"/>
      </w:divBdr>
    </w:div>
    <w:div w:id="1467116258">
      <w:bodyDiv w:val="1"/>
      <w:marLeft w:val="0"/>
      <w:marRight w:val="0"/>
      <w:marTop w:val="0"/>
      <w:marBottom w:val="0"/>
      <w:divBdr>
        <w:top w:val="none" w:sz="0" w:space="0" w:color="auto"/>
        <w:left w:val="none" w:sz="0" w:space="0" w:color="auto"/>
        <w:bottom w:val="none" w:sz="0" w:space="0" w:color="auto"/>
        <w:right w:val="none" w:sz="0" w:space="0" w:color="auto"/>
      </w:divBdr>
    </w:div>
    <w:div w:id="1467234363">
      <w:bodyDiv w:val="1"/>
      <w:marLeft w:val="0"/>
      <w:marRight w:val="0"/>
      <w:marTop w:val="0"/>
      <w:marBottom w:val="0"/>
      <w:divBdr>
        <w:top w:val="none" w:sz="0" w:space="0" w:color="auto"/>
        <w:left w:val="none" w:sz="0" w:space="0" w:color="auto"/>
        <w:bottom w:val="none" w:sz="0" w:space="0" w:color="auto"/>
        <w:right w:val="none" w:sz="0" w:space="0" w:color="auto"/>
      </w:divBdr>
    </w:div>
    <w:div w:id="1467239059">
      <w:bodyDiv w:val="1"/>
      <w:marLeft w:val="0"/>
      <w:marRight w:val="0"/>
      <w:marTop w:val="0"/>
      <w:marBottom w:val="0"/>
      <w:divBdr>
        <w:top w:val="none" w:sz="0" w:space="0" w:color="auto"/>
        <w:left w:val="none" w:sz="0" w:space="0" w:color="auto"/>
        <w:bottom w:val="none" w:sz="0" w:space="0" w:color="auto"/>
        <w:right w:val="none" w:sz="0" w:space="0" w:color="auto"/>
      </w:divBdr>
    </w:div>
    <w:div w:id="1467242545">
      <w:bodyDiv w:val="1"/>
      <w:marLeft w:val="0"/>
      <w:marRight w:val="0"/>
      <w:marTop w:val="0"/>
      <w:marBottom w:val="0"/>
      <w:divBdr>
        <w:top w:val="none" w:sz="0" w:space="0" w:color="auto"/>
        <w:left w:val="none" w:sz="0" w:space="0" w:color="auto"/>
        <w:bottom w:val="none" w:sz="0" w:space="0" w:color="auto"/>
        <w:right w:val="none" w:sz="0" w:space="0" w:color="auto"/>
      </w:divBdr>
    </w:div>
    <w:div w:id="1467503999">
      <w:bodyDiv w:val="1"/>
      <w:marLeft w:val="0"/>
      <w:marRight w:val="0"/>
      <w:marTop w:val="0"/>
      <w:marBottom w:val="0"/>
      <w:divBdr>
        <w:top w:val="none" w:sz="0" w:space="0" w:color="auto"/>
        <w:left w:val="none" w:sz="0" w:space="0" w:color="auto"/>
        <w:bottom w:val="none" w:sz="0" w:space="0" w:color="auto"/>
        <w:right w:val="none" w:sz="0" w:space="0" w:color="auto"/>
      </w:divBdr>
    </w:div>
    <w:div w:id="1467505236">
      <w:bodyDiv w:val="1"/>
      <w:marLeft w:val="0"/>
      <w:marRight w:val="0"/>
      <w:marTop w:val="0"/>
      <w:marBottom w:val="0"/>
      <w:divBdr>
        <w:top w:val="none" w:sz="0" w:space="0" w:color="auto"/>
        <w:left w:val="none" w:sz="0" w:space="0" w:color="auto"/>
        <w:bottom w:val="none" w:sz="0" w:space="0" w:color="auto"/>
        <w:right w:val="none" w:sz="0" w:space="0" w:color="auto"/>
      </w:divBdr>
    </w:div>
    <w:div w:id="1467506014">
      <w:bodyDiv w:val="1"/>
      <w:marLeft w:val="0"/>
      <w:marRight w:val="0"/>
      <w:marTop w:val="0"/>
      <w:marBottom w:val="0"/>
      <w:divBdr>
        <w:top w:val="none" w:sz="0" w:space="0" w:color="auto"/>
        <w:left w:val="none" w:sz="0" w:space="0" w:color="auto"/>
        <w:bottom w:val="none" w:sz="0" w:space="0" w:color="auto"/>
        <w:right w:val="none" w:sz="0" w:space="0" w:color="auto"/>
      </w:divBdr>
    </w:div>
    <w:div w:id="1467509987">
      <w:bodyDiv w:val="1"/>
      <w:marLeft w:val="0"/>
      <w:marRight w:val="0"/>
      <w:marTop w:val="0"/>
      <w:marBottom w:val="0"/>
      <w:divBdr>
        <w:top w:val="none" w:sz="0" w:space="0" w:color="auto"/>
        <w:left w:val="none" w:sz="0" w:space="0" w:color="auto"/>
        <w:bottom w:val="none" w:sz="0" w:space="0" w:color="auto"/>
        <w:right w:val="none" w:sz="0" w:space="0" w:color="auto"/>
      </w:divBdr>
    </w:div>
    <w:div w:id="1467891244">
      <w:bodyDiv w:val="1"/>
      <w:marLeft w:val="0"/>
      <w:marRight w:val="0"/>
      <w:marTop w:val="0"/>
      <w:marBottom w:val="0"/>
      <w:divBdr>
        <w:top w:val="none" w:sz="0" w:space="0" w:color="auto"/>
        <w:left w:val="none" w:sz="0" w:space="0" w:color="auto"/>
        <w:bottom w:val="none" w:sz="0" w:space="0" w:color="auto"/>
        <w:right w:val="none" w:sz="0" w:space="0" w:color="auto"/>
      </w:divBdr>
    </w:div>
    <w:div w:id="1467972478">
      <w:bodyDiv w:val="1"/>
      <w:marLeft w:val="0"/>
      <w:marRight w:val="0"/>
      <w:marTop w:val="0"/>
      <w:marBottom w:val="0"/>
      <w:divBdr>
        <w:top w:val="none" w:sz="0" w:space="0" w:color="auto"/>
        <w:left w:val="none" w:sz="0" w:space="0" w:color="auto"/>
        <w:bottom w:val="none" w:sz="0" w:space="0" w:color="auto"/>
        <w:right w:val="none" w:sz="0" w:space="0" w:color="auto"/>
      </w:divBdr>
    </w:div>
    <w:div w:id="1468084484">
      <w:bodyDiv w:val="1"/>
      <w:marLeft w:val="0"/>
      <w:marRight w:val="0"/>
      <w:marTop w:val="0"/>
      <w:marBottom w:val="0"/>
      <w:divBdr>
        <w:top w:val="none" w:sz="0" w:space="0" w:color="auto"/>
        <w:left w:val="none" w:sz="0" w:space="0" w:color="auto"/>
        <w:bottom w:val="none" w:sz="0" w:space="0" w:color="auto"/>
        <w:right w:val="none" w:sz="0" w:space="0" w:color="auto"/>
      </w:divBdr>
    </w:div>
    <w:div w:id="1468234796">
      <w:bodyDiv w:val="1"/>
      <w:marLeft w:val="0"/>
      <w:marRight w:val="0"/>
      <w:marTop w:val="0"/>
      <w:marBottom w:val="0"/>
      <w:divBdr>
        <w:top w:val="none" w:sz="0" w:space="0" w:color="auto"/>
        <w:left w:val="none" w:sz="0" w:space="0" w:color="auto"/>
        <w:bottom w:val="none" w:sz="0" w:space="0" w:color="auto"/>
        <w:right w:val="none" w:sz="0" w:space="0" w:color="auto"/>
      </w:divBdr>
    </w:div>
    <w:div w:id="1468426953">
      <w:bodyDiv w:val="1"/>
      <w:marLeft w:val="0"/>
      <w:marRight w:val="0"/>
      <w:marTop w:val="0"/>
      <w:marBottom w:val="0"/>
      <w:divBdr>
        <w:top w:val="none" w:sz="0" w:space="0" w:color="auto"/>
        <w:left w:val="none" w:sz="0" w:space="0" w:color="auto"/>
        <w:bottom w:val="none" w:sz="0" w:space="0" w:color="auto"/>
        <w:right w:val="none" w:sz="0" w:space="0" w:color="auto"/>
      </w:divBdr>
    </w:div>
    <w:div w:id="1468548397">
      <w:bodyDiv w:val="1"/>
      <w:marLeft w:val="0"/>
      <w:marRight w:val="0"/>
      <w:marTop w:val="0"/>
      <w:marBottom w:val="0"/>
      <w:divBdr>
        <w:top w:val="none" w:sz="0" w:space="0" w:color="auto"/>
        <w:left w:val="none" w:sz="0" w:space="0" w:color="auto"/>
        <w:bottom w:val="none" w:sz="0" w:space="0" w:color="auto"/>
        <w:right w:val="none" w:sz="0" w:space="0" w:color="auto"/>
      </w:divBdr>
    </w:div>
    <w:div w:id="1468550877">
      <w:bodyDiv w:val="1"/>
      <w:marLeft w:val="0"/>
      <w:marRight w:val="0"/>
      <w:marTop w:val="0"/>
      <w:marBottom w:val="0"/>
      <w:divBdr>
        <w:top w:val="none" w:sz="0" w:space="0" w:color="auto"/>
        <w:left w:val="none" w:sz="0" w:space="0" w:color="auto"/>
        <w:bottom w:val="none" w:sz="0" w:space="0" w:color="auto"/>
        <w:right w:val="none" w:sz="0" w:space="0" w:color="auto"/>
      </w:divBdr>
    </w:div>
    <w:div w:id="1468821063">
      <w:bodyDiv w:val="1"/>
      <w:marLeft w:val="0"/>
      <w:marRight w:val="0"/>
      <w:marTop w:val="0"/>
      <w:marBottom w:val="0"/>
      <w:divBdr>
        <w:top w:val="none" w:sz="0" w:space="0" w:color="auto"/>
        <w:left w:val="none" w:sz="0" w:space="0" w:color="auto"/>
        <w:bottom w:val="none" w:sz="0" w:space="0" w:color="auto"/>
        <w:right w:val="none" w:sz="0" w:space="0" w:color="auto"/>
      </w:divBdr>
    </w:div>
    <w:div w:id="1469009253">
      <w:bodyDiv w:val="1"/>
      <w:marLeft w:val="0"/>
      <w:marRight w:val="0"/>
      <w:marTop w:val="0"/>
      <w:marBottom w:val="0"/>
      <w:divBdr>
        <w:top w:val="none" w:sz="0" w:space="0" w:color="auto"/>
        <w:left w:val="none" w:sz="0" w:space="0" w:color="auto"/>
        <w:bottom w:val="none" w:sz="0" w:space="0" w:color="auto"/>
        <w:right w:val="none" w:sz="0" w:space="0" w:color="auto"/>
      </w:divBdr>
    </w:div>
    <w:div w:id="1469204732">
      <w:bodyDiv w:val="1"/>
      <w:marLeft w:val="0"/>
      <w:marRight w:val="0"/>
      <w:marTop w:val="0"/>
      <w:marBottom w:val="0"/>
      <w:divBdr>
        <w:top w:val="none" w:sz="0" w:space="0" w:color="auto"/>
        <w:left w:val="none" w:sz="0" w:space="0" w:color="auto"/>
        <w:bottom w:val="none" w:sz="0" w:space="0" w:color="auto"/>
        <w:right w:val="none" w:sz="0" w:space="0" w:color="auto"/>
      </w:divBdr>
    </w:div>
    <w:div w:id="1469544756">
      <w:bodyDiv w:val="1"/>
      <w:marLeft w:val="0"/>
      <w:marRight w:val="0"/>
      <w:marTop w:val="0"/>
      <w:marBottom w:val="0"/>
      <w:divBdr>
        <w:top w:val="none" w:sz="0" w:space="0" w:color="auto"/>
        <w:left w:val="none" w:sz="0" w:space="0" w:color="auto"/>
        <w:bottom w:val="none" w:sz="0" w:space="0" w:color="auto"/>
        <w:right w:val="none" w:sz="0" w:space="0" w:color="auto"/>
      </w:divBdr>
    </w:div>
    <w:div w:id="1469855721">
      <w:bodyDiv w:val="1"/>
      <w:marLeft w:val="0"/>
      <w:marRight w:val="0"/>
      <w:marTop w:val="0"/>
      <w:marBottom w:val="0"/>
      <w:divBdr>
        <w:top w:val="none" w:sz="0" w:space="0" w:color="auto"/>
        <w:left w:val="none" w:sz="0" w:space="0" w:color="auto"/>
        <w:bottom w:val="none" w:sz="0" w:space="0" w:color="auto"/>
        <w:right w:val="none" w:sz="0" w:space="0" w:color="auto"/>
      </w:divBdr>
    </w:div>
    <w:div w:id="1469931454">
      <w:bodyDiv w:val="1"/>
      <w:marLeft w:val="0"/>
      <w:marRight w:val="0"/>
      <w:marTop w:val="0"/>
      <w:marBottom w:val="0"/>
      <w:divBdr>
        <w:top w:val="none" w:sz="0" w:space="0" w:color="auto"/>
        <w:left w:val="none" w:sz="0" w:space="0" w:color="auto"/>
        <w:bottom w:val="none" w:sz="0" w:space="0" w:color="auto"/>
        <w:right w:val="none" w:sz="0" w:space="0" w:color="auto"/>
      </w:divBdr>
    </w:div>
    <w:div w:id="1469934258">
      <w:bodyDiv w:val="1"/>
      <w:marLeft w:val="0"/>
      <w:marRight w:val="0"/>
      <w:marTop w:val="0"/>
      <w:marBottom w:val="0"/>
      <w:divBdr>
        <w:top w:val="none" w:sz="0" w:space="0" w:color="auto"/>
        <w:left w:val="none" w:sz="0" w:space="0" w:color="auto"/>
        <w:bottom w:val="none" w:sz="0" w:space="0" w:color="auto"/>
        <w:right w:val="none" w:sz="0" w:space="0" w:color="auto"/>
      </w:divBdr>
    </w:div>
    <w:div w:id="1469978802">
      <w:bodyDiv w:val="1"/>
      <w:marLeft w:val="0"/>
      <w:marRight w:val="0"/>
      <w:marTop w:val="0"/>
      <w:marBottom w:val="0"/>
      <w:divBdr>
        <w:top w:val="none" w:sz="0" w:space="0" w:color="auto"/>
        <w:left w:val="none" w:sz="0" w:space="0" w:color="auto"/>
        <w:bottom w:val="none" w:sz="0" w:space="0" w:color="auto"/>
        <w:right w:val="none" w:sz="0" w:space="0" w:color="auto"/>
      </w:divBdr>
    </w:div>
    <w:div w:id="1470050741">
      <w:bodyDiv w:val="1"/>
      <w:marLeft w:val="0"/>
      <w:marRight w:val="0"/>
      <w:marTop w:val="0"/>
      <w:marBottom w:val="0"/>
      <w:divBdr>
        <w:top w:val="none" w:sz="0" w:space="0" w:color="auto"/>
        <w:left w:val="none" w:sz="0" w:space="0" w:color="auto"/>
        <w:bottom w:val="none" w:sz="0" w:space="0" w:color="auto"/>
        <w:right w:val="none" w:sz="0" w:space="0" w:color="auto"/>
      </w:divBdr>
    </w:div>
    <w:div w:id="1470242863">
      <w:bodyDiv w:val="1"/>
      <w:marLeft w:val="0"/>
      <w:marRight w:val="0"/>
      <w:marTop w:val="0"/>
      <w:marBottom w:val="0"/>
      <w:divBdr>
        <w:top w:val="none" w:sz="0" w:space="0" w:color="auto"/>
        <w:left w:val="none" w:sz="0" w:space="0" w:color="auto"/>
        <w:bottom w:val="none" w:sz="0" w:space="0" w:color="auto"/>
        <w:right w:val="none" w:sz="0" w:space="0" w:color="auto"/>
      </w:divBdr>
    </w:div>
    <w:div w:id="1470442541">
      <w:bodyDiv w:val="1"/>
      <w:marLeft w:val="0"/>
      <w:marRight w:val="0"/>
      <w:marTop w:val="0"/>
      <w:marBottom w:val="0"/>
      <w:divBdr>
        <w:top w:val="none" w:sz="0" w:space="0" w:color="auto"/>
        <w:left w:val="none" w:sz="0" w:space="0" w:color="auto"/>
        <w:bottom w:val="none" w:sz="0" w:space="0" w:color="auto"/>
        <w:right w:val="none" w:sz="0" w:space="0" w:color="auto"/>
      </w:divBdr>
    </w:div>
    <w:div w:id="1470515655">
      <w:bodyDiv w:val="1"/>
      <w:marLeft w:val="0"/>
      <w:marRight w:val="0"/>
      <w:marTop w:val="0"/>
      <w:marBottom w:val="0"/>
      <w:divBdr>
        <w:top w:val="none" w:sz="0" w:space="0" w:color="auto"/>
        <w:left w:val="none" w:sz="0" w:space="0" w:color="auto"/>
        <w:bottom w:val="none" w:sz="0" w:space="0" w:color="auto"/>
        <w:right w:val="none" w:sz="0" w:space="0" w:color="auto"/>
      </w:divBdr>
    </w:div>
    <w:div w:id="1470518418">
      <w:bodyDiv w:val="1"/>
      <w:marLeft w:val="0"/>
      <w:marRight w:val="0"/>
      <w:marTop w:val="0"/>
      <w:marBottom w:val="0"/>
      <w:divBdr>
        <w:top w:val="none" w:sz="0" w:space="0" w:color="auto"/>
        <w:left w:val="none" w:sz="0" w:space="0" w:color="auto"/>
        <w:bottom w:val="none" w:sz="0" w:space="0" w:color="auto"/>
        <w:right w:val="none" w:sz="0" w:space="0" w:color="auto"/>
      </w:divBdr>
    </w:div>
    <w:div w:id="1470705785">
      <w:bodyDiv w:val="1"/>
      <w:marLeft w:val="0"/>
      <w:marRight w:val="0"/>
      <w:marTop w:val="0"/>
      <w:marBottom w:val="0"/>
      <w:divBdr>
        <w:top w:val="none" w:sz="0" w:space="0" w:color="auto"/>
        <w:left w:val="none" w:sz="0" w:space="0" w:color="auto"/>
        <w:bottom w:val="none" w:sz="0" w:space="0" w:color="auto"/>
        <w:right w:val="none" w:sz="0" w:space="0" w:color="auto"/>
      </w:divBdr>
    </w:div>
    <w:div w:id="1470824737">
      <w:bodyDiv w:val="1"/>
      <w:marLeft w:val="0"/>
      <w:marRight w:val="0"/>
      <w:marTop w:val="0"/>
      <w:marBottom w:val="0"/>
      <w:divBdr>
        <w:top w:val="none" w:sz="0" w:space="0" w:color="auto"/>
        <w:left w:val="none" w:sz="0" w:space="0" w:color="auto"/>
        <w:bottom w:val="none" w:sz="0" w:space="0" w:color="auto"/>
        <w:right w:val="none" w:sz="0" w:space="0" w:color="auto"/>
      </w:divBdr>
    </w:div>
    <w:div w:id="1470853335">
      <w:bodyDiv w:val="1"/>
      <w:marLeft w:val="0"/>
      <w:marRight w:val="0"/>
      <w:marTop w:val="0"/>
      <w:marBottom w:val="0"/>
      <w:divBdr>
        <w:top w:val="none" w:sz="0" w:space="0" w:color="auto"/>
        <w:left w:val="none" w:sz="0" w:space="0" w:color="auto"/>
        <w:bottom w:val="none" w:sz="0" w:space="0" w:color="auto"/>
        <w:right w:val="none" w:sz="0" w:space="0" w:color="auto"/>
      </w:divBdr>
    </w:div>
    <w:div w:id="1470854346">
      <w:bodyDiv w:val="1"/>
      <w:marLeft w:val="0"/>
      <w:marRight w:val="0"/>
      <w:marTop w:val="0"/>
      <w:marBottom w:val="0"/>
      <w:divBdr>
        <w:top w:val="none" w:sz="0" w:space="0" w:color="auto"/>
        <w:left w:val="none" w:sz="0" w:space="0" w:color="auto"/>
        <w:bottom w:val="none" w:sz="0" w:space="0" w:color="auto"/>
        <w:right w:val="none" w:sz="0" w:space="0" w:color="auto"/>
      </w:divBdr>
    </w:div>
    <w:div w:id="1470975848">
      <w:bodyDiv w:val="1"/>
      <w:marLeft w:val="0"/>
      <w:marRight w:val="0"/>
      <w:marTop w:val="0"/>
      <w:marBottom w:val="0"/>
      <w:divBdr>
        <w:top w:val="none" w:sz="0" w:space="0" w:color="auto"/>
        <w:left w:val="none" w:sz="0" w:space="0" w:color="auto"/>
        <w:bottom w:val="none" w:sz="0" w:space="0" w:color="auto"/>
        <w:right w:val="none" w:sz="0" w:space="0" w:color="auto"/>
      </w:divBdr>
    </w:div>
    <w:div w:id="1471291624">
      <w:bodyDiv w:val="1"/>
      <w:marLeft w:val="0"/>
      <w:marRight w:val="0"/>
      <w:marTop w:val="0"/>
      <w:marBottom w:val="0"/>
      <w:divBdr>
        <w:top w:val="none" w:sz="0" w:space="0" w:color="auto"/>
        <w:left w:val="none" w:sz="0" w:space="0" w:color="auto"/>
        <w:bottom w:val="none" w:sz="0" w:space="0" w:color="auto"/>
        <w:right w:val="none" w:sz="0" w:space="0" w:color="auto"/>
      </w:divBdr>
    </w:div>
    <w:div w:id="1471626579">
      <w:bodyDiv w:val="1"/>
      <w:marLeft w:val="0"/>
      <w:marRight w:val="0"/>
      <w:marTop w:val="0"/>
      <w:marBottom w:val="0"/>
      <w:divBdr>
        <w:top w:val="none" w:sz="0" w:space="0" w:color="auto"/>
        <w:left w:val="none" w:sz="0" w:space="0" w:color="auto"/>
        <w:bottom w:val="none" w:sz="0" w:space="0" w:color="auto"/>
        <w:right w:val="none" w:sz="0" w:space="0" w:color="auto"/>
      </w:divBdr>
    </w:div>
    <w:div w:id="1471629474">
      <w:bodyDiv w:val="1"/>
      <w:marLeft w:val="0"/>
      <w:marRight w:val="0"/>
      <w:marTop w:val="0"/>
      <w:marBottom w:val="0"/>
      <w:divBdr>
        <w:top w:val="none" w:sz="0" w:space="0" w:color="auto"/>
        <w:left w:val="none" w:sz="0" w:space="0" w:color="auto"/>
        <w:bottom w:val="none" w:sz="0" w:space="0" w:color="auto"/>
        <w:right w:val="none" w:sz="0" w:space="0" w:color="auto"/>
      </w:divBdr>
    </w:div>
    <w:div w:id="1471825632">
      <w:bodyDiv w:val="1"/>
      <w:marLeft w:val="0"/>
      <w:marRight w:val="0"/>
      <w:marTop w:val="0"/>
      <w:marBottom w:val="0"/>
      <w:divBdr>
        <w:top w:val="none" w:sz="0" w:space="0" w:color="auto"/>
        <w:left w:val="none" w:sz="0" w:space="0" w:color="auto"/>
        <w:bottom w:val="none" w:sz="0" w:space="0" w:color="auto"/>
        <w:right w:val="none" w:sz="0" w:space="0" w:color="auto"/>
      </w:divBdr>
    </w:div>
    <w:div w:id="1471896828">
      <w:bodyDiv w:val="1"/>
      <w:marLeft w:val="0"/>
      <w:marRight w:val="0"/>
      <w:marTop w:val="0"/>
      <w:marBottom w:val="0"/>
      <w:divBdr>
        <w:top w:val="none" w:sz="0" w:space="0" w:color="auto"/>
        <w:left w:val="none" w:sz="0" w:space="0" w:color="auto"/>
        <w:bottom w:val="none" w:sz="0" w:space="0" w:color="auto"/>
        <w:right w:val="none" w:sz="0" w:space="0" w:color="auto"/>
      </w:divBdr>
    </w:div>
    <w:div w:id="1471939639">
      <w:bodyDiv w:val="1"/>
      <w:marLeft w:val="0"/>
      <w:marRight w:val="0"/>
      <w:marTop w:val="0"/>
      <w:marBottom w:val="0"/>
      <w:divBdr>
        <w:top w:val="none" w:sz="0" w:space="0" w:color="auto"/>
        <w:left w:val="none" w:sz="0" w:space="0" w:color="auto"/>
        <w:bottom w:val="none" w:sz="0" w:space="0" w:color="auto"/>
        <w:right w:val="none" w:sz="0" w:space="0" w:color="auto"/>
      </w:divBdr>
    </w:div>
    <w:div w:id="1472212652">
      <w:bodyDiv w:val="1"/>
      <w:marLeft w:val="0"/>
      <w:marRight w:val="0"/>
      <w:marTop w:val="0"/>
      <w:marBottom w:val="0"/>
      <w:divBdr>
        <w:top w:val="none" w:sz="0" w:space="0" w:color="auto"/>
        <w:left w:val="none" w:sz="0" w:space="0" w:color="auto"/>
        <w:bottom w:val="none" w:sz="0" w:space="0" w:color="auto"/>
        <w:right w:val="none" w:sz="0" w:space="0" w:color="auto"/>
      </w:divBdr>
    </w:div>
    <w:div w:id="1472283625">
      <w:bodyDiv w:val="1"/>
      <w:marLeft w:val="0"/>
      <w:marRight w:val="0"/>
      <w:marTop w:val="0"/>
      <w:marBottom w:val="0"/>
      <w:divBdr>
        <w:top w:val="none" w:sz="0" w:space="0" w:color="auto"/>
        <w:left w:val="none" w:sz="0" w:space="0" w:color="auto"/>
        <w:bottom w:val="none" w:sz="0" w:space="0" w:color="auto"/>
        <w:right w:val="none" w:sz="0" w:space="0" w:color="auto"/>
      </w:divBdr>
    </w:div>
    <w:div w:id="1472334068">
      <w:bodyDiv w:val="1"/>
      <w:marLeft w:val="0"/>
      <w:marRight w:val="0"/>
      <w:marTop w:val="0"/>
      <w:marBottom w:val="0"/>
      <w:divBdr>
        <w:top w:val="none" w:sz="0" w:space="0" w:color="auto"/>
        <w:left w:val="none" w:sz="0" w:space="0" w:color="auto"/>
        <w:bottom w:val="none" w:sz="0" w:space="0" w:color="auto"/>
        <w:right w:val="none" w:sz="0" w:space="0" w:color="auto"/>
      </w:divBdr>
    </w:div>
    <w:div w:id="1472405972">
      <w:bodyDiv w:val="1"/>
      <w:marLeft w:val="0"/>
      <w:marRight w:val="0"/>
      <w:marTop w:val="0"/>
      <w:marBottom w:val="0"/>
      <w:divBdr>
        <w:top w:val="none" w:sz="0" w:space="0" w:color="auto"/>
        <w:left w:val="none" w:sz="0" w:space="0" w:color="auto"/>
        <w:bottom w:val="none" w:sz="0" w:space="0" w:color="auto"/>
        <w:right w:val="none" w:sz="0" w:space="0" w:color="auto"/>
      </w:divBdr>
    </w:div>
    <w:div w:id="1472674291">
      <w:bodyDiv w:val="1"/>
      <w:marLeft w:val="0"/>
      <w:marRight w:val="0"/>
      <w:marTop w:val="0"/>
      <w:marBottom w:val="0"/>
      <w:divBdr>
        <w:top w:val="none" w:sz="0" w:space="0" w:color="auto"/>
        <w:left w:val="none" w:sz="0" w:space="0" w:color="auto"/>
        <w:bottom w:val="none" w:sz="0" w:space="0" w:color="auto"/>
        <w:right w:val="none" w:sz="0" w:space="0" w:color="auto"/>
      </w:divBdr>
    </w:div>
    <w:div w:id="1472744610">
      <w:bodyDiv w:val="1"/>
      <w:marLeft w:val="0"/>
      <w:marRight w:val="0"/>
      <w:marTop w:val="0"/>
      <w:marBottom w:val="0"/>
      <w:divBdr>
        <w:top w:val="none" w:sz="0" w:space="0" w:color="auto"/>
        <w:left w:val="none" w:sz="0" w:space="0" w:color="auto"/>
        <w:bottom w:val="none" w:sz="0" w:space="0" w:color="auto"/>
        <w:right w:val="none" w:sz="0" w:space="0" w:color="auto"/>
      </w:divBdr>
    </w:div>
    <w:div w:id="1472749286">
      <w:bodyDiv w:val="1"/>
      <w:marLeft w:val="0"/>
      <w:marRight w:val="0"/>
      <w:marTop w:val="0"/>
      <w:marBottom w:val="0"/>
      <w:divBdr>
        <w:top w:val="none" w:sz="0" w:space="0" w:color="auto"/>
        <w:left w:val="none" w:sz="0" w:space="0" w:color="auto"/>
        <w:bottom w:val="none" w:sz="0" w:space="0" w:color="auto"/>
        <w:right w:val="none" w:sz="0" w:space="0" w:color="auto"/>
      </w:divBdr>
    </w:div>
    <w:div w:id="1472865531">
      <w:bodyDiv w:val="1"/>
      <w:marLeft w:val="0"/>
      <w:marRight w:val="0"/>
      <w:marTop w:val="0"/>
      <w:marBottom w:val="0"/>
      <w:divBdr>
        <w:top w:val="none" w:sz="0" w:space="0" w:color="auto"/>
        <w:left w:val="none" w:sz="0" w:space="0" w:color="auto"/>
        <w:bottom w:val="none" w:sz="0" w:space="0" w:color="auto"/>
        <w:right w:val="none" w:sz="0" w:space="0" w:color="auto"/>
      </w:divBdr>
    </w:div>
    <w:div w:id="1472942801">
      <w:bodyDiv w:val="1"/>
      <w:marLeft w:val="0"/>
      <w:marRight w:val="0"/>
      <w:marTop w:val="0"/>
      <w:marBottom w:val="0"/>
      <w:divBdr>
        <w:top w:val="none" w:sz="0" w:space="0" w:color="auto"/>
        <w:left w:val="none" w:sz="0" w:space="0" w:color="auto"/>
        <w:bottom w:val="none" w:sz="0" w:space="0" w:color="auto"/>
        <w:right w:val="none" w:sz="0" w:space="0" w:color="auto"/>
      </w:divBdr>
    </w:div>
    <w:div w:id="1473014845">
      <w:bodyDiv w:val="1"/>
      <w:marLeft w:val="0"/>
      <w:marRight w:val="0"/>
      <w:marTop w:val="0"/>
      <w:marBottom w:val="0"/>
      <w:divBdr>
        <w:top w:val="none" w:sz="0" w:space="0" w:color="auto"/>
        <w:left w:val="none" w:sz="0" w:space="0" w:color="auto"/>
        <w:bottom w:val="none" w:sz="0" w:space="0" w:color="auto"/>
        <w:right w:val="none" w:sz="0" w:space="0" w:color="auto"/>
      </w:divBdr>
    </w:div>
    <w:div w:id="1473058469">
      <w:bodyDiv w:val="1"/>
      <w:marLeft w:val="0"/>
      <w:marRight w:val="0"/>
      <w:marTop w:val="0"/>
      <w:marBottom w:val="0"/>
      <w:divBdr>
        <w:top w:val="none" w:sz="0" w:space="0" w:color="auto"/>
        <w:left w:val="none" w:sz="0" w:space="0" w:color="auto"/>
        <w:bottom w:val="none" w:sz="0" w:space="0" w:color="auto"/>
        <w:right w:val="none" w:sz="0" w:space="0" w:color="auto"/>
      </w:divBdr>
    </w:div>
    <w:div w:id="1473134913">
      <w:bodyDiv w:val="1"/>
      <w:marLeft w:val="0"/>
      <w:marRight w:val="0"/>
      <w:marTop w:val="0"/>
      <w:marBottom w:val="0"/>
      <w:divBdr>
        <w:top w:val="none" w:sz="0" w:space="0" w:color="auto"/>
        <w:left w:val="none" w:sz="0" w:space="0" w:color="auto"/>
        <w:bottom w:val="none" w:sz="0" w:space="0" w:color="auto"/>
        <w:right w:val="none" w:sz="0" w:space="0" w:color="auto"/>
      </w:divBdr>
    </w:div>
    <w:div w:id="1473252591">
      <w:bodyDiv w:val="1"/>
      <w:marLeft w:val="0"/>
      <w:marRight w:val="0"/>
      <w:marTop w:val="0"/>
      <w:marBottom w:val="0"/>
      <w:divBdr>
        <w:top w:val="none" w:sz="0" w:space="0" w:color="auto"/>
        <w:left w:val="none" w:sz="0" w:space="0" w:color="auto"/>
        <w:bottom w:val="none" w:sz="0" w:space="0" w:color="auto"/>
        <w:right w:val="none" w:sz="0" w:space="0" w:color="auto"/>
      </w:divBdr>
    </w:div>
    <w:div w:id="1473326353">
      <w:bodyDiv w:val="1"/>
      <w:marLeft w:val="0"/>
      <w:marRight w:val="0"/>
      <w:marTop w:val="0"/>
      <w:marBottom w:val="0"/>
      <w:divBdr>
        <w:top w:val="none" w:sz="0" w:space="0" w:color="auto"/>
        <w:left w:val="none" w:sz="0" w:space="0" w:color="auto"/>
        <w:bottom w:val="none" w:sz="0" w:space="0" w:color="auto"/>
        <w:right w:val="none" w:sz="0" w:space="0" w:color="auto"/>
      </w:divBdr>
    </w:div>
    <w:div w:id="1473329466">
      <w:bodyDiv w:val="1"/>
      <w:marLeft w:val="0"/>
      <w:marRight w:val="0"/>
      <w:marTop w:val="0"/>
      <w:marBottom w:val="0"/>
      <w:divBdr>
        <w:top w:val="none" w:sz="0" w:space="0" w:color="auto"/>
        <w:left w:val="none" w:sz="0" w:space="0" w:color="auto"/>
        <w:bottom w:val="none" w:sz="0" w:space="0" w:color="auto"/>
        <w:right w:val="none" w:sz="0" w:space="0" w:color="auto"/>
      </w:divBdr>
    </w:div>
    <w:div w:id="1473403304">
      <w:bodyDiv w:val="1"/>
      <w:marLeft w:val="0"/>
      <w:marRight w:val="0"/>
      <w:marTop w:val="0"/>
      <w:marBottom w:val="0"/>
      <w:divBdr>
        <w:top w:val="none" w:sz="0" w:space="0" w:color="auto"/>
        <w:left w:val="none" w:sz="0" w:space="0" w:color="auto"/>
        <w:bottom w:val="none" w:sz="0" w:space="0" w:color="auto"/>
        <w:right w:val="none" w:sz="0" w:space="0" w:color="auto"/>
      </w:divBdr>
    </w:div>
    <w:div w:id="1473522895">
      <w:bodyDiv w:val="1"/>
      <w:marLeft w:val="0"/>
      <w:marRight w:val="0"/>
      <w:marTop w:val="0"/>
      <w:marBottom w:val="0"/>
      <w:divBdr>
        <w:top w:val="none" w:sz="0" w:space="0" w:color="auto"/>
        <w:left w:val="none" w:sz="0" w:space="0" w:color="auto"/>
        <w:bottom w:val="none" w:sz="0" w:space="0" w:color="auto"/>
        <w:right w:val="none" w:sz="0" w:space="0" w:color="auto"/>
      </w:divBdr>
    </w:div>
    <w:div w:id="1473712878">
      <w:bodyDiv w:val="1"/>
      <w:marLeft w:val="0"/>
      <w:marRight w:val="0"/>
      <w:marTop w:val="0"/>
      <w:marBottom w:val="0"/>
      <w:divBdr>
        <w:top w:val="none" w:sz="0" w:space="0" w:color="auto"/>
        <w:left w:val="none" w:sz="0" w:space="0" w:color="auto"/>
        <w:bottom w:val="none" w:sz="0" w:space="0" w:color="auto"/>
        <w:right w:val="none" w:sz="0" w:space="0" w:color="auto"/>
      </w:divBdr>
    </w:div>
    <w:div w:id="1473791338">
      <w:bodyDiv w:val="1"/>
      <w:marLeft w:val="0"/>
      <w:marRight w:val="0"/>
      <w:marTop w:val="0"/>
      <w:marBottom w:val="0"/>
      <w:divBdr>
        <w:top w:val="none" w:sz="0" w:space="0" w:color="auto"/>
        <w:left w:val="none" w:sz="0" w:space="0" w:color="auto"/>
        <w:bottom w:val="none" w:sz="0" w:space="0" w:color="auto"/>
        <w:right w:val="none" w:sz="0" w:space="0" w:color="auto"/>
      </w:divBdr>
    </w:div>
    <w:div w:id="1474130987">
      <w:bodyDiv w:val="1"/>
      <w:marLeft w:val="0"/>
      <w:marRight w:val="0"/>
      <w:marTop w:val="0"/>
      <w:marBottom w:val="0"/>
      <w:divBdr>
        <w:top w:val="none" w:sz="0" w:space="0" w:color="auto"/>
        <w:left w:val="none" w:sz="0" w:space="0" w:color="auto"/>
        <w:bottom w:val="none" w:sz="0" w:space="0" w:color="auto"/>
        <w:right w:val="none" w:sz="0" w:space="0" w:color="auto"/>
      </w:divBdr>
    </w:div>
    <w:div w:id="1474176602">
      <w:bodyDiv w:val="1"/>
      <w:marLeft w:val="0"/>
      <w:marRight w:val="0"/>
      <w:marTop w:val="0"/>
      <w:marBottom w:val="0"/>
      <w:divBdr>
        <w:top w:val="none" w:sz="0" w:space="0" w:color="auto"/>
        <w:left w:val="none" w:sz="0" w:space="0" w:color="auto"/>
        <w:bottom w:val="none" w:sz="0" w:space="0" w:color="auto"/>
        <w:right w:val="none" w:sz="0" w:space="0" w:color="auto"/>
      </w:divBdr>
    </w:div>
    <w:div w:id="1474256569">
      <w:bodyDiv w:val="1"/>
      <w:marLeft w:val="0"/>
      <w:marRight w:val="0"/>
      <w:marTop w:val="0"/>
      <w:marBottom w:val="0"/>
      <w:divBdr>
        <w:top w:val="none" w:sz="0" w:space="0" w:color="auto"/>
        <w:left w:val="none" w:sz="0" w:space="0" w:color="auto"/>
        <w:bottom w:val="none" w:sz="0" w:space="0" w:color="auto"/>
        <w:right w:val="none" w:sz="0" w:space="0" w:color="auto"/>
      </w:divBdr>
    </w:div>
    <w:div w:id="1474524350">
      <w:bodyDiv w:val="1"/>
      <w:marLeft w:val="0"/>
      <w:marRight w:val="0"/>
      <w:marTop w:val="0"/>
      <w:marBottom w:val="0"/>
      <w:divBdr>
        <w:top w:val="none" w:sz="0" w:space="0" w:color="auto"/>
        <w:left w:val="none" w:sz="0" w:space="0" w:color="auto"/>
        <w:bottom w:val="none" w:sz="0" w:space="0" w:color="auto"/>
        <w:right w:val="none" w:sz="0" w:space="0" w:color="auto"/>
      </w:divBdr>
    </w:div>
    <w:div w:id="1474640391">
      <w:bodyDiv w:val="1"/>
      <w:marLeft w:val="0"/>
      <w:marRight w:val="0"/>
      <w:marTop w:val="0"/>
      <w:marBottom w:val="0"/>
      <w:divBdr>
        <w:top w:val="none" w:sz="0" w:space="0" w:color="auto"/>
        <w:left w:val="none" w:sz="0" w:space="0" w:color="auto"/>
        <w:bottom w:val="none" w:sz="0" w:space="0" w:color="auto"/>
        <w:right w:val="none" w:sz="0" w:space="0" w:color="auto"/>
      </w:divBdr>
    </w:div>
    <w:div w:id="1474756729">
      <w:bodyDiv w:val="1"/>
      <w:marLeft w:val="0"/>
      <w:marRight w:val="0"/>
      <w:marTop w:val="0"/>
      <w:marBottom w:val="0"/>
      <w:divBdr>
        <w:top w:val="none" w:sz="0" w:space="0" w:color="auto"/>
        <w:left w:val="none" w:sz="0" w:space="0" w:color="auto"/>
        <w:bottom w:val="none" w:sz="0" w:space="0" w:color="auto"/>
        <w:right w:val="none" w:sz="0" w:space="0" w:color="auto"/>
      </w:divBdr>
    </w:div>
    <w:div w:id="1474758394">
      <w:bodyDiv w:val="1"/>
      <w:marLeft w:val="0"/>
      <w:marRight w:val="0"/>
      <w:marTop w:val="0"/>
      <w:marBottom w:val="0"/>
      <w:divBdr>
        <w:top w:val="none" w:sz="0" w:space="0" w:color="auto"/>
        <w:left w:val="none" w:sz="0" w:space="0" w:color="auto"/>
        <w:bottom w:val="none" w:sz="0" w:space="0" w:color="auto"/>
        <w:right w:val="none" w:sz="0" w:space="0" w:color="auto"/>
      </w:divBdr>
    </w:div>
    <w:div w:id="1474785097">
      <w:bodyDiv w:val="1"/>
      <w:marLeft w:val="0"/>
      <w:marRight w:val="0"/>
      <w:marTop w:val="0"/>
      <w:marBottom w:val="0"/>
      <w:divBdr>
        <w:top w:val="none" w:sz="0" w:space="0" w:color="auto"/>
        <w:left w:val="none" w:sz="0" w:space="0" w:color="auto"/>
        <w:bottom w:val="none" w:sz="0" w:space="0" w:color="auto"/>
        <w:right w:val="none" w:sz="0" w:space="0" w:color="auto"/>
      </w:divBdr>
    </w:div>
    <w:div w:id="1474954870">
      <w:bodyDiv w:val="1"/>
      <w:marLeft w:val="0"/>
      <w:marRight w:val="0"/>
      <w:marTop w:val="0"/>
      <w:marBottom w:val="0"/>
      <w:divBdr>
        <w:top w:val="none" w:sz="0" w:space="0" w:color="auto"/>
        <w:left w:val="none" w:sz="0" w:space="0" w:color="auto"/>
        <w:bottom w:val="none" w:sz="0" w:space="0" w:color="auto"/>
        <w:right w:val="none" w:sz="0" w:space="0" w:color="auto"/>
      </w:divBdr>
    </w:div>
    <w:div w:id="1475024747">
      <w:bodyDiv w:val="1"/>
      <w:marLeft w:val="0"/>
      <w:marRight w:val="0"/>
      <w:marTop w:val="0"/>
      <w:marBottom w:val="0"/>
      <w:divBdr>
        <w:top w:val="none" w:sz="0" w:space="0" w:color="auto"/>
        <w:left w:val="none" w:sz="0" w:space="0" w:color="auto"/>
        <w:bottom w:val="none" w:sz="0" w:space="0" w:color="auto"/>
        <w:right w:val="none" w:sz="0" w:space="0" w:color="auto"/>
      </w:divBdr>
    </w:div>
    <w:div w:id="1475291323">
      <w:bodyDiv w:val="1"/>
      <w:marLeft w:val="0"/>
      <w:marRight w:val="0"/>
      <w:marTop w:val="0"/>
      <w:marBottom w:val="0"/>
      <w:divBdr>
        <w:top w:val="none" w:sz="0" w:space="0" w:color="auto"/>
        <w:left w:val="none" w:sz="0" w:space="0" w:color="auto"/>
        <w:bottom w:val="none" w:sz="0" w:space="0" w:color="auto"/>
        <w:right w:val="none" w:sz="0" w:space="0" w:color="auto"/>
      </w:divBdr>
    </w:div>
    <w:div w:id="1475369120">
      <w:bodyDiv w:val="1"/>
      <w:marLeft w:val="0"/>
      <w:marRight w:val="0"/>
      <w:marTop w:val="0"/>
      <w:marBottom w:val="0"/>
      <w:divBdr>
        <w:top w:val="none" w:sz="0" w:space="0" w:color="auto"/>
        <w:left w:val="none" w:sz="0" w:space="0" w:color="auto"/>
        <w:bottom w:val="none" w:sz="0" w:space="0" w:color="auto"/>
        <w:right w:val="none" w:sz="0" w:space="0" w:color="auto"/>
      </w:divBdr>
    </w:div>
    <w:div w:id="1475485076">
      <w:bodyDiv w:val="1"/>
      <w:marLeft w:val="0"/>
      <w:marRight w:val="0"/>
      <w:marTop w:val="0"/>
      <w:marBottom w:val="0"/>
      <w:divBdr>
        <w:top w:val="none" w:sz="0" w:space="0" w:color="auto"/>
        <w:left w:val="none" w:sz="0" w:space="0" w:color="auto"/>
        <w:bottom w:val="none" w:sz="0" w:space="0" w:color="auto"/>
        <w:right w:val="none" w:sz="0" w:space="0" w:color="auto"/>
      </w:divBdr>
    </w:div>
    <w:div w:id="1475563939">
      <w:bodyDiv w:val="1"/>
      <w:marLeft w:val="0"/>
      <w:marRight w:val="0"/>
      <w:marTop w:val="0"/>
      <w:marBottom w:val="0"/>
      <w:divBdr>
        <w:top w:val="none" w:sz="0" w:space="0" w:color="auto"/>
        <w:left w:val="none" w:sz="0" w:space="0" w:color="auto"/>
        <w:bottom w:val="none" w:sz="0" w:space="0" w:color="auto"/>
        <w:right w:val="none" w:sz="0" w:space="0" w:color="auto"/>
      </w:divBdr>
    </w:div>
    <w:div w:id="1475609474">
      <w:bodyDiv w:val="1"/>
      <w:marLeft w:val="0"/>
      <w:marRight w:val="0"/>
      <w:marTop w:val="0"/>
      <w:marBottom w:val="0"/>
      <w:divBdr>
        <w:top w:val="none" w:sz="0" w:space="0" w:color="auto"/>
        <w:left w:val="none" w:sz="0" w:space="0" w:color="auto"/>
        <w:bottom w:val="none" w:sz="0" w:space="0" w:color="auto"/>
        <w:right w:val="none" w:sz="0" w:space="0" w:color="auto"/>
      </w:divBdr>
    </w:div>
    <w:div w:id="1475760873">
      <w:bodyDiv w:val="1"/>
      <w:marLeft w:val="0"/>
      <w:marRight w:val="0"/>
      <w:marTop w:val="0"/>
      <w:marBottom w:val="0"/>
      <w:divBdr>
        <w:top w:val="none" w:sz="0" w:space="0" w:color="auto"/>
        <w:left w:val="none" w:sz="0" w:space="0" w:color="auto"/>
        <w:bottom w:val="none" w:sz="0" w:space="0" w:color="auto"/>
        <w:right w:val="none" w:sz="0" w:space="0" w:color="auto"/>
      </w:divBdr>
    </w:div>
    <w:div w:id="1475953085">
      <w:bodyDiv w:val="1"/>
      <w:marLeft w:val="0"/>
      <w:marRight w:val="0"/>
      <w:marTop w:val="0"/>
      <w:marBottom w:val="0"/>
      <w:divBdr>
        <w:top w:val="none" w:sz="0" w:space="0" w:color="auto"/>
        <w:left w:val="none" w:sz="0" w:space="0" w:color="auto"/>
        <w:bottom w:val="none" w:sz="0" w:space="0" w:color="auto"/>
        <w:right w:val="none" w:sz="0" w:space="0" w:color="auto"/>
      </w:divBdr>
    </w:div>
    <w:div w:id="1476332004">
      <w:bodyDiv w:val="1"/>
      <w:marLeft w:val="0"/>
      <w:marRight w:val="0"/>
      <w:marTop w:val="0"/>
      <w:marBottom w:val="0"/>
      <w:divBdr>
        <w:top w:val="none" w:sz="0" w:space="0" w:color="auto"/>
        <w:left w:val="none" w:sz="0" w:space="0" w:color="auto"/>
        <w:bottom w:val="none" w:sz="0" w:space="0" w:color="auto"/>
        <w:right w:val="none" w:sz="0" w:space="0" w:color="auto"/>
      </w:divBdr>
    </w:div>
    <w:div w:id="1476606183">
      <w:bodyDiv w:val="1"/>
      <w:marLeft w:val="0"/>
      <w:marRight w:val="0"/>
      <w:marTop w:val="0"/>
      <w:marBottom w:val="0"/>
      <w:divBdr>
        <w:top w:val="none" w:sz="0" w:space="0" w:color="auto"/>
        <w:left w:val="none" w:sz="0" w:space="0" w:color="auto"/>
        <w:bottom w:val="none" w:sz="0" w:space="0" w:color="auto"/>
        <w:right w:val="none" w:sz="0" w:space="0" w:color="auto"/>
      </w:divBdr>
    </w:div>
    <w:div w:id="1476870258">
      <w:bodyDiv w:val="1"/>
      <w:marLeft w:val="0"/>
      <w:marRight w:val="0"/>
      <w:marTop w:val="0"/>
      <w:marBottom w:val="0"/>
      <w:divBdr>
        <w:top w:val="none" w:sz="0" w:space="0" w:color="auto"/>
        <w:left w:val="none" w:sz="0" w:space="0" w:color="auto"/>
        <w:bottom w:val="none" w:sz="0" w:space="0" w:color="auto"/>
        <w:right w:val="none" w:sz="0" w:space="0" w:color="auto"/>
      </w:divBdr>
    </w:div>
    <w:div w:id="1476988316">
      <w:bodyDiv w:val="1"/>
      <w:marLeft w:val="0"/>
      <w:marRight w:val="0"/>
      <w:marTop w:val="0"/>
      <w:marBottom w:val="0"/>
      <w:divBdr>
        <w:top w:val="none" w:sz="0" w:space="0" w:color="auto"/>
        <w:left w:val="none" w:sz="0" w:space="0" w:color="auto"/>
        <w:bottom w:val="none" w:sz="0" w:space="0" w:color="auto"/>
        <w:right w:val="none" w:sz="0" w:space="0" w:color="auto"/>
      </w:divBdr>
    </w:div>
    <w:div w:id="1476988368">
      <w:bodyDiv w:val="1"/>
      <w:marLeft w:val="0"/>
      <w:marRight w:val="0"/>
      <w:marTop w:val="0"/>
      <w:marBottom w:val="0"/>
      <w:divBdr>
        <w:top w:val="none" w:sz="0" w:space="0" w:color="auto"/>
        <w:left w:val="none" w:sz="0" w:space="0" w:color="auto"/>
        <w:bottom w:val="none" w:sz="0" w:space="0" w:color="auto"/>
        <w:right w:val="none" w:sz="0" w:space="0" w:color="auto"/>
      </w:divBdr>
    </w:div>
    <w:div w:id="1477451815">
      <w:bodyDiv w:val="1"/>
      <w:marLeft w:val="0"/>
      <w:marRight w:val="0"/>
      <w:marTop w:val="0"/>
      <w:marBottom w:val="0"/>
      <w:divBdr>
        <w:top w:val="none" w:sz="0" w:space="0" w:color="auto"/>
        <w:left w:val="none" w:sz="0" w:space="0" w:color="auto"/>
        <w:bottom w:val="none" w:sz="0" w:space="0" w:color="auto"/>
        <w:right w:val="none" w:sz="0" w:space="0" w:color="auto"/>
      </w:divBdr>
    </w:div>
    <w:div w:id="1477526355">
      <w:bodyDiv w:val="1"/>
      <w:marLeft w:val="0"/>
      <w:marRight w:val="0"/>
      <w:marTop w:val="0"/>
      <w:marBottom w:val="0"/>
      <w:divBdr>
        <w:top w:val="none" w:sz="0" w:space="0" w:color="auto"/>
        <w:left w:val="none" w:sz="0" w:space="0" w:color="auto"/>
        <w:bottom w:val="none" w:sz="0" w:space="0" w:color="auto"/>
        <w:right w:val="none" w:sz="0" w:space="0" w:color="auto"/>
      </w:divBdr>
    </w:div>
    <w:div w:id="1477721470">
      <w:bodyDiv w:val="1"/>
      <w:marLeft w:val="0"/>
      <w:marRight w:val="0"/>
      <w:marTop w:val="0"/>
      <w:marBottom w:val="0"/>
      <w:divBdr>
        <w:top w:val="none" w:sz="0" w:space="0" w:color="auto"/>
        <w:left w:val="none" w:sz="0" w:space="0" w:color="auto"/>
        <w:bottom w:val="none" w:sz="0" w:space="0" w:color="auto"/>
        <w:right w:val="none" w:sz="0" w:space="0" w:color="auto"/>
      </w:divBdr>
    </w:div>
    <w:div w:id="1477723006">
      <w:bodyDiv w:val="1"/>
      <w:marLeft w:val="0"/>
      <w:marRight w:val="0"/>
      <w:marTop w:val="0"/>
      <w:marBottom w:val="0"/>
      <w:divBdr>
        <w:top w:val="none" w:sz="0" w:space="0" w:color="auto"/>
        <w:left w:val="none" w:sz="0" w:space="0" w:color="auto"/>
        <w:bottom w:val="none" w:sz="0" w:space="0" w:color="auto"/>
        <w:right w:val="none" w:sz="0" w:space="0" w:color="auto"/>
      </w:divBdr>
    </w:div>
    <w:div w:id="1478037913">
      <w:bodyDiv w:val="1"/>
      <w:marLeft w:val="0"/>
      <w:marRight w:val="0"/>
      <w:marTop w:val="0"/>
      <w:marBottom w:val="0"/>
      <w:divBdr>
        <w:top w:val="none" w:sz="0" w:space="0" w:color="auto"/>
        <w:left w:val="none" w:sz="0" w:space="0" w:color="auto"/>
        <w:bottom w:val="none" w:sz="0" w:space="0" w:color="auto"/>
        <w:right w:val="none" w:sz="0" w:space="0" w:color="auto"/>
      </w:divBdr>
    </w:div>
    <w:div w:id="1478061993">
      <w:bodyDiv w:val="1"/>
      <w:marLeft w:val="0"/>
      <w:marRight w:val="0"/>
      <w:marTop w:val="0"/>
      <w:marBottom w:val="0"/>
      <w:divBdr>
        <w:top w:val="none" w:sz="0" w:space="0" w:color="auto"/>
        <w:left w:val="none" w:sz="0" w:space="0" w:color="auto"/>
        <w:bottom w:val="none" w:sz="0" w:space="0" w:color="auto"/>
        <w:right w:val="none" w:sz="0" w:space="0" w:color="auto"/>
      </w:divBdr>
    </w:div>
    <w:div w:id="1478105133">
      <w:bodyDiv w:val="1"/>
      <w:marLeft w:val="0"/>
      <w:marRight w:val="0"/>
      <w:marTop w:val="0"/>
      <w:marBottom w:val="0"/>
      <w:divBdr>
        <w:top w:val="none" w:sz="0" w:space="0" w:color="auto"/>
        <w:left w:val="none" w:sz="0" w:space="0" w:color="auto"/>
        <w:bottom w:val="none" w:sz="0" w:space="0" w:color="auto"/>
        <w:right w:val="none" w:sz="0" w:space="0" w:color="auto"/>
      </w:divBdr>
    </w:div>
    <w:div w:id="1478105815">
      <w:bodyDiv w:val="1"/>
      <w:marLeft w:val="0"/>
      <w:marRight w:val="0"/>
      <w:marTop w:val="0"/>
      <w:marBottom w:val="0"/>
      <w:divBdr>
        <w:top w:val="none" w:sz="0" w:space="0" w:color="auto"/>
        <w:left w:val="none" w:sz="0" w:space="0" w:color="auto"/>
        <w:bottom w:val="none" w:sz="0" w:space="0" w:color="auto"/>
        <w:right w:val="none" w:sz="0" w:space="0" w:color="auto"/>
      </w:divBdr>
    </w:div>
    <w:div w:id="1478110275">
      <w:bodyDiv w:val="1"/>
      <w:marLeft w:val="0"/>
      <w:marRight w:val="0"/>
      <w:marTop w:val="0"/>
      <w:marBottom w:val="0"/>
      <w:divBdr>
        <w:top w:val="none" w:sz="0" w:space="0" w:color="auto"/>
        <w:left w:val="none" w:sz="0" w:space="0" w:color="auto"/>
        <w:bottom w:val="none" w:sz="0" w:space="0" w:color="auto"/>
        <w:right w:val="none" w:sz="0" w:space="0" w:color="auto"/>
      </w:divBdr>
    </w:div>
    <w:div w:id="1478258374">
      <w:bodyDiv w:val="1"/>
      <w:marLeft w:val="0"/>
      <w:marRight w:val="0"/>
      <w:marTop w:val="0"/>
      <w:marBottom w:val="0"/>
      <w:divBdr>
        <w:top w:val="none" w:sz="0" w:space="0" w:color="auto"/>
        <w:left w:val="none" w:sz="0" w:space="0" w:color="auto"/>
        <w:bottom w:val="none" w:sz="0" w:space="0" w:color="auto"/>
        <w:right w:val="none" w:sz="0" w:space="0" w:color="auto"/>
      </w:divBdr>
    </w:div>
    <w:div w:id="1478374160">
      <w:bodyDiv w:val="1"/>
      <w:marLeft w:val="0"/>
      <w:marRight w:val="0"/>
      <w:marTop w:val="0"/>
      <w:marBottom w:val="0"/>
      <w:divBdr>
        <w:top w:val="none" w:sz="0" w:space="0" w:color="auto"/>
        <w:left w:val="none" w:sz="0" w:space="0" w:color="auto"/>
        <w:bottom w:val="none" w:sz="0" w:space="0" w:color="auto"/>
        <w:right w:val="none" w:sz="0" w:space="0" w:color="auto"/>
      </w:divBdr>
    </w:div>
    <w:div w:id="1478493821">
      <w:bodyDiv w:val="1"/>
      <w:marLeft w:val="0"/>
      <w:marRight w:val="0"/>
      <w:marTop w:val="0"/>
      <w:marBottom w:val="0"/>
      <w:divBdr>
        <w:top w:val="none" w:sz="0" w:space="0" w:color="auto"/>
        <w:left w:val="none" w:sz="0" w:space="0" w:color="auto"/>
        <w:bottom w:val="none" w:sz="0" w:space="0" w:color="auto"/>
        <w:right w:val="none" w:sz="0" w:space="0" w:color="auto"/>
      </w:divBdr>
    </w:div>
    <w:div w:id="1478495263">
      <w:bodyDiv w:val="1"/>
      <w:marLeft w:val="0"/>
      <w:marRight w:val="0"/>
      <w:marTop w:val="0"/>
      <w:marBottom w:val="0"/>
      <w:divBdr>
        <w:top w:val="none" w:sz="0" w:space="0" w:color="auto"/>
        <w:left w:val="none" w:sz="0" w:space="0" w:color="auto"/>
        <w:bottom w:val="none" w:sz="0" w:space="0" w:color="auto"/>
        <w:right w:val="none" w:sz="0" w:space="0" w:color="auto"/>
      </w:divBdr>
    </w:div>
    <w:div w:id="1478524223">
      <w:bodyDiv w:val="1"/>
      <w:marLeft w:val="0"/>
      <w:marRight w:val="0"/>
      <w:marTop w:val="0"/>
      <w:marBottom w:val="0"/>
      <w:divBdr>
        <w:top w:val="none" w:sz="0" w:space="0" w:color="auto"/>
        <w:left w:val="none" w:sz="0" w:space="0" w:color="auto"/>
        <w:bottom w:val="none" w:sz="0" w:space="0" w:color="auto"/>
        <w:right w:val="none" w:sz="0" w:space="0" w:color="auto"/>
      </w:divBdr>
    </w:div>
    <w:div w:id="1478567571">
      <w:bodyDiv w:val="1"/>
      <w:marLeft w:val="0"/>
      <w:marRight w:val="0"/>
      <w:marTop w:val="0"/>
      <w:marBottom w:val="0"/>
      <w:divBdr>
        <w:top w:val="none" w:sz="0" w:space="0" w:color="auto"/>
        <w:left w:val="none" w:sz="0" w:space="0" w:color="auto"/>
        <w:bottom w:val="none" w:sz="0" w:space="0" w:color="auto"/>
        <w:right w:val="none" w:sz="0" w:space="0" w:color="auto"/>
      </w:divBdr>
    </w:div>
    <w:div w:id="1478689752">
      <w:bodyDiv w:val="1"/>
      <w:marLeft w:val="0"/>
      <w:marRight w:val="0"/>
      <w:marTop w:val="0"/>
      <w:marBottom w:val="0"/>
      <w:divBdr>
        <w:top w:val="none" w:sz="0" w:space="0" w:color="auto"/>
        <w:left w:val="none" w:sz="0" w:space="0" w:color="auto"/>
        <w:bottom w:val="none" w:sz="0" w:space="0" w:color="auto"/>
        <w:right w:val="none" w:sz="0" w:space="0" w:color="auto"/>
      </w:divBdr>
    </w:div>
    <w:div w:id="1478766641">
      <w:bodyDiv w:val="1"/>
      <w:marLeft w:val="0"/>
      <w:marRight w:val="0"/>
      <w:marTop w:val="0"/>
      <w:marBottom w:val="0"/>
      <w:divBdr>
        <w:top w:val="none" w:sz="0" w:space="0" w:color="auto"/>
        <w:left w:val="none" w:sz="0" w:space="0" w:color="auto"/>
        <w:bottom w:val="none" w:sz="0" w:space="0" w:color="auto"/>
        <w:right w:val="none" w:sz="0" w:space="0" w:color="auto"/>
      </w:divBdr>
    </w:div>
    <w:div w:id="1479027867">
      <w:bodyDiv w:val="1"/>
      <w:marLeft w:val="0"/>
      <w:marRight w:val="0"/>
      <w:marTop w:val="0"/>
      <w:marBottom w:val="0"/>
      <w:divBdr>
        <w:top w:val="none" w:sz="0" w:space="0" w:color="auto"/>
        <w:left w:val="none" w:sz="0" w:space="0" w:color="auto"/>
        <w:bottom w:val="none" w:sz="0" w:space="0" w:color="auto"/>
        <w:right w:val="none" w:sz="0" w:space="0" w:color="auto"/>
      </w:divBdr>
    </w:div>
    <w:div w:id="1479105221">
      <w:bodyDiv w:val="1"/>
      <w:marLeft w:val="0"/>
      <w:marRight w:val="0"/>
      <w:marTop w:val="0"/>
      <w:marBottom w:val="0"/>
      <w:divBdr>
        <w:top w:val="none" w:sz="0" w:space="0" w:color="auto"/>
        <w:left w:val="none" w:sz="0" w:space="0" w:color="auto"/>
        <w:bottom w:val="none" w:sz="0" w:space="0" w:color="auto"/>
        <w:right w:val="none" w:sz="0" w:space="0" w:color="auto"/>
      </w:divBdr>
    </w:div>
    <w:div w:id="1479179479">
      <w:bodyDiv w:val="1"/>
      <w:marLeft w:val="0"/>
      <w:marRight w:val="0"/>
      <w:marTop w:val="0"/>
      <w:marBottom w:val="0"/>
      <w:divBdr>
        <w:top w:val="none" w:sz="0" w:space="0" w:color="auto"/>
        <w:left w:val="none" w:sz="0" w:space="0" w:color="auto"/>
        <w:bottom w:val="none" w:sz="0" w:space="0" w:color="auto"/>
        <w:right w:val="none" w:sz="0" w:space="0" w:color="auto"/>
      </w:divBdr>
    </w:div>
    <w:div w:id="1479347090">
      <w:bodyDiv w:val="1"/>
      <w:marLeft w:val="0"/>
      <w:marRight w:val="0"/>
      <w:marTop w:val="0"/>
      <w:marBottom w:val="0"/>
      <w:divBdr>
        <w:top w:val="none" w:sz="0" w:space="0" w:color="auto"/>
        <w:left w:val="none" w:sz="0" w:space="0" w:color="auto"/>
        <w:bottom w:val="none" w:sz="0" w:space="0" w:color="auto"/>
        <w:right w:val="none" w:sz="0" w:space="0" w:color="auto"/>
      </w:divBdr>
    </w:div>
    <w:div w:id="1479373126">
      <w:bodyDiv w:val="1"/>
      <w:marLeft w:val="0"/>
      <w:marRight w:val="0"/>
      <w:marTop w:val="0"/>
      <w:marBottom w:val="0"/>
      <w:divBdr>
        <w:top w:val="none" w:sz="0" w:space="0" w:color="auto"/>
        <w:left w:val="none" w:sz="0" w:space="0" w:color="auto"/>
        <w:bottom w:val="none" w:sz="0" w:space="0" w:color="auto"/>
        <w:right w:val="none" w:sz="0" w:space="0" w:color="auto"/>
      </w:divBdr>
    </w:div>
    <w:div w:id="1479417288">
      <w:bodyDiv w:val="1"/>
      <w:marLeft w:val="0"/>
      <w:marRight w:val="0"/>
      <w:marTop w:val="0"/>
      <w:marBottom w:val="0"/>
      <w:divBdr>
        <w:top w:val="none" w:sz="0" w:space="0" w:color="auto"/>
        <w:left w:val="none" w:sz="0" w:space="0" w:color="auto"/>
        <w:bottom w:val="none" w:sz="0" w:space="0" w:color="auto"/>
        <w:right w:val="none" w:sz="0" w:space="0" w:color="auto"/>
      </w:divBdr>
    </w:div>
    <w:div w:id="1479540941">
      <w:bodyDiv w:val="1"/>
      <w:marLeft w:val="0"/>
      <w:marRight w:val="0"/>
      <w:marTop w:val="0"/>
      <w:marBottom w:val="0"/>
      <w:divBdr>
        <w:top w:val="none" w:sz="0" w:space="0" w:color="auto"/>
        <w:left w:val="none" w:sz="0" w:space="0" w:color="auto"/>
        <w:bottom w:val="none" w:sz="0" w:space="0" w:color="auto"/>
        <w:right w:val="none" w:sz="0" w:space="0" w:color="auto"/>
      </w:divBdr>
    </w:div>
    <w:div w:id="1479565176">
      <w:bodyDiv w:val="1"/>
      <w:marLeft w:val="0"/>
      <w:marRight w:val="0"/>
      <w:marTop w:val="0"/>
      <w:marBottom w:val="0"/>
      <w:divBdr>
        <w:top w:val="none" w:sz="0" w:space="0" w:color="auto"/>
        <w:left w:val="none" w:sz="0" w:space="0" w:color="auto"/>
        <w:bottom w:val="none" w:sz="0" w:space="0" w:color="auto"/>
        <w:right w:val="none" w:sz="0" w:space="0" w:color="auto"/>
      </w:divBdr>
    </w:div>
    <w:div w:id="1479609585">
      <w:bodyDiv w:val="1"/>
      <w:marLeft w:val="0"/>
      <w:marRight w:val="0"/>
      <w:marTop w:val="0"/>
      <w:marBottom w:val="0"/>
      <w:divBdr>
        <w:top w:val="none" w:sz="0" w:space="0" w:color="auto"/>
        <w:left w:val="none" w:sz="0" w:space="0" w:color="auto"/>
        <w:bottom w:val="none" w:sz="0" w:space="0" w:color="auto"/>
        <w:right w:val="none" w:sz="0" w:space="0" w:color="auto"/>
      </w:divBdr>
    </w:div>
    <w:div w:id="1479807830">
      <w:bodyDiv w:val="1"/>
      <w:marLeft w:val="0"/>
      <w:marRight w:val="0"/>
      <w:marTop w:val="0"/>
      <w:marBottom w:val="0"/>
      <w:divBdr>
        <w:top w:val="none" w:sz="0" w:space="0" w:color="auto"/>
        <w:left w:val="none" w:sz="0" w:space="0" w:color="auto"/>
        <w:bottom w:val="none" w:sz="0" w:space="0" w:color="auto"/>
        <w:right w:val="none" w:sz="0" w:space="0" w:color="auto"/>
      </w:divBdr>
    </w:div>
    <w:div w:id="1480154725">
      <w:bodyDiv w:val="1"/>
      <w:marLeft w:val="0"/>
      <w:marRight w:val="0"/>
      <w:marTop w:val="0"/>
      <w:marBottom w:val="0"/>
      <w:divBdr>
        <w:top w:val="none" w:sz="0" w:space="0" w:color="auto"/>
        <w:left w:val="none" w:sz="0" w:space="0" w:color="auto"/>
        <w:bottom w:val="none" w:sz="0" w:space="0" w:color="auto"/>
        <w:right w:val="none" w:sz="0" w:space="0" w:color="auto"/>
      </w:divBdr>
    </w:div>
    <w:div w:id="1480271392">
      <w:bodyDiv w:val="1"/>
      <w:marLeft w:val="0"/>
      <w:marRight w:val="0"/>
      <w:marTop w:val="0"/>
      <w:marBottom w:val="0"/>
      <w:divBdr>
        <w:top w:val="none" w:sz="0" w:space="0" w:color="auto"/>
        <w:left w:val="none" w:sz="0" w:space="0" w:color="auto"/>
        <w:bottom w:val="none" w:sz="0" w:space="0" w:color="auto"/>
        <w:right w:val="none" w:sz="0" w:space="0" w:color="auto"/>
      </w:divBdr>
    </w:div>
    <w:div w:id="1480271611">
      <w:bodyDiv w:val="1"/>
      <w:marLeft w:val="0"/>
      <w:marRight w:val="0"/>
      <w:marTop w:val="0"/>
      <w:marBottom w:val="0"/>
      <w:divBdr>
        <w:top w:val="none" w:sz="0" w:space="0" w:color="auto"/>
        <w:left w:val="none" w:sz="0" w:space="0" w:color="auto"/>
        <w:bottom w:val="none" w:sz="0" w:space="0" w:color="auto"/>
        <w:right w:val="none" w:sz="0" w:space="0" w:color="auto"/>
      </w:divBdr>
    </w:div>
    <w:div w:id="1480339587">
      <w:bodyDiv w:val="1"/>
      <w:marLeft w:val="0"/>
      <w:marRight w:val="0"/>
      <w:marTop w:val="0"/>
      <w:marBottom w:val="0"/>
      <w:divBdr>
        <w:top w:val="none" w:sz="0" w:space="0" w:color="auto"/>
        <w:left w:val="none" w:sz="0" w:space="0" w:color="auto"/>
        <w:bottom w:val="none" w:sz="0" w:space="0" w:color="auto"/>
        <w:right w:val="none" w:sz="0" w:space="0" w:color="auto"/>
      </w:divBdr>
    </w:div>
    <w:div w:id="1480344516">
      <w:bodyDiv w:val="1"/>
      <w:marLeft w:val="0"/>
      <w:marRight w:val="0"/>
      <w:marTop w:val="0"/>
      <w:marBottom w:val="0"/>
      <w:divBdr>
        <w:top w:val="none" w:sz="0" w:space="0" w:color="auto"/>
        <w:left w:val="none" w:sz="0" w:space="0" w:color="auto"/>
        <w:bottom w:val="none" w:sz="0" w:space="0" w:color="auto"/>
        <w:right w:val="none" w:sz="0" w:space="0" w:color="auto"/>
      </w:divBdr>
    </w:div>
    <w:div w:id="1480532222">
      <w:bodyDiv w:val="1"/>
      <w:marLeft w:val="0"/>
      <w:marRight w:val="0"/>
      <w:marTop w:val="0"/>
      <w:marBottom w:val="0"/>
      <w:divBdr>
        <w:top w:val="none" w:sz="0" w:space="0" w:color="auto"/>
        <w:left w:val="none" w:sz="0" w:space="0" w:color="auto"/>
        <w:bottom w:val="none" w:sz="0" w:space="0" w:color="auto"/>
        <w:right w:val="none" w:sz="0" w:space="0" w:color="auto"/>
      </w:divBdr>
    </w:div>
    <w:div w:id="1480656881">
      <w:bodyDiv w:val="1"/>
      <w:marLeft w:val="0"/>
      <w:marRight w:val="0"/>
      <w:marTop w:val="0"/>
      <w:marBottom w:val="0"/>
      <w:divBdr>
        <w:top w:val="none" w:sz="0" w:space="0" w:color="auto"/>
        <w:left w:val="none" w:sz="0" w:space="0" w:color="auto"/>
        <w:bottom w:val="none" w:sz="0" w:space="0" w:color="auto"/>
        <w:right w:val="none" w:sz="0" w:space="0" w:color="auto"/>
      </w:divBdr>
    </w:div>
    <w:div w:id="1480801748">
      <w:bodyDiv w:val="1"/>
      <w:marLeft w:val="0"/>
      <w:marRight w:val="0"/>
      <w:marTop w:val="0"/>
      <w:marBottom w:val="0"/>
      <w:divBdr>
        <w:top w:val="none" w:sz="0" w:space="0" w:color="auto"/>
        <w:left w:val="none" w:sz="0" w:space="0" w:color="auto"/>
        <w:bottom w:val="none" w:sz="0" w:space="0" w:color="auto"/>
        <w:right w:val="none" w:sz="0" w:space="0" w:color="auto"/>
      </w:divBdr>
    </w:div>
    <w:div w:id="1480875580">
      <w:bodyDiv w:val="1"/>
      <w:marLeft w:val="0"/>
      <w:marRight w:val="0"/>
      <w:marTop w:val="0"/>
      <w:marBottom w:val="0"/>
      <w:divBdr>
        <w:top w:val="none" w:sz="0" w:space="0" w:color="auto"/>
        <w:left w:val="none" w:sz="0" w:space="0" w:color="auto"/>
        <w:bottom w:val="none" w:sz="0" w:space="0" w:color="auto"/>
        <w:right w:val="none" w:sz="0" w:space="0" w:color="auto"/>
      </w:divBdr>
    </w:div>
    <w:div w:id="1481381034">
      <w:bodyDiv w:val="1"/>
      <w:marLeft w:val="0"/>
      <w:marRight w:val="0"/>
      <w:marTop w:val="0"/>
      <w:marBottom w:val="0"/>
      <w:divBdr>
        <w:top w:val="none" w:sz="0" w:space="0" w:color="auto"/>
        <w:left w:val="none" w:sz="0" w:space="0" w:color="auto"/>
        <w:bottom w:val="none" w:sz="0" w:space="0" w:color="auto"/>
        <w:right w:val="none" w:sz="0" w:space="0" w:color="auto"/>
      </w:divBdr>
    </w:div>
    <w:div w:id="1481382201">
      <w:bodyDiv w:val="1"/>
      <w:marLeft w:val="0"/>
      <w:marRight w:val="0"/>
      <w:marTop w:val="0"/>
      <w:marBottom w:val="0"/>
      <w:divBdr>
        <w:top w:val="none" w:sz="0" w:space="0" w:color="auto"/>
        <w:left w:val="none" w:sz="0" w:space="0" w:color="auto"/>
        <w:bottom w:val="none" w:sz="0" w:space="0" w:color="auto"/>
        <w:right w:val="none" w:sz="0" w:space="0" w:color="auto"/>
      </w:divBdr>
    </w:div>
    <w:div w:id="1481534032">
      <w:bodyDiv w:val="1"/>
      <w:marLeft w:val="0"/>
      <w:marRight w:val="0"/>
      <w:marTop w:val="0"/>
      <w:marBottom w:val="0"/>
      <w:divBdr>
        <w:top w:val="none" w:sz="0" w:space="0" w:color="auto"/>
        <w:left w:val="none" w:sz="0" w:space="0" w:color="auto"/>
        <w:bottom w:val="none" w:sz="0" w:space="0" w:color="auto"/>
        <w:right w:val="none" w:sz="0" w:space="0" w:color="auto"/>
      </w:divBdr>
    </w:div>
    <w:div w:id="1481574214">
      <w:bodyDiv w:val="1"/>
      <w:marLeft w:val="0"/>
      <w:marRight w:val="0"/>
      <w:marTop w:val="0"/>
      <w:marBottom w:val="0"/>
      <w:divBdr>
        <w:top w:val="none" w:sz="0" w:space="0" w:color="auto"/>
        <w:left w:val="none" w:sz="0" w:space="0" w:color="auto"/>
        <w:bottom w:val="none" w:sz="0" w:space="0" w:color="auto"/>
        <w:right w:val="none" w:sz="0" w:space="0" w:color="auto"/>
      </w:divBdr>
    </w:div>
    <w:div w:id="1481653177">
      <w:bodyDiv w:val="1"/>
      <w:marLeft w:val="0"/>
      <w:marRight w:val="0"/>
      <w:marTop w:val="0"/>
      <w:marBottom w:val="0"/>
      <w:divBdr>
        <w:top w:val="none" w:sz="0" w:space="0" w:color="auto"/>
        <w:left w:val="none" w:sz="0" w:space="0" w:color="auto"/>
        <w:bottom w:val="none" w:sz="0" w:space="0" w:color="auto"/>
        <w:right w:val="none" w:sz="0" w:space="0" w:color="auto"/>
      </w:divBdr>
    </w:div>
    <w:div w:id="1482038930">
      <w:bodyDiv w:val="1"/>
      <w:marLeft w:val="0"/>
      <w:marRight w:val="0"/>
      <w:marTop w:val="0"/>
      <w:marBottom w:val="0"/>
      <w:divBdr>
        <w:top w:val="none" w:sz="0" w:space="0" w:color="auto"/>
        <w:left w:val="none" w:sz="0" w:space="0" w:color="auto"/>
        <w:bottom w:val="none" w:sz="0" w:space="0" w:color="auto"/>
        <w:right w:val="none" w:sz="0" w:space="0" w:color="auto"/>
      </w:divBdr>
    </w:div>
    <w:div w:id="1482118674">
      <w:bodyDiv w:val="1"/>
      <w:marLeft w:val="0"/>
      <w:marRight w:val="0"/>
      <w:marTop w:val="0"/>
      <w:marBottom w:val="0"/>
      <w:divBdr>
        <w:top w:val="none" w:sz="0" w:space="0" w:color="auto"/>
        <w:left w:val="none" w:sz="0" w:space="0" w:color="auto"/>
        <w:bottom w:val="none" w:sz="0" w:space="0" w:color="auto"/>
        <w:right w:val="none" w:sz="0" w:space="0" w:color="auto"/>
      </w:divBdr>
    </w:div>
    <w:div w:id="1482310969">
      <w:bodyDiv w:val="1"/>
      <w:marLeft w:val="0"/>
      <w:marRight w:val="0"/>
      <w:marTop w:val="0"/>
      <w:marBottom w:val="0"/>
      <w:divBdr>
        <w:top w:val="none" w:sz="0" w:space="0" w:color="auto"/>
        <w:left w:val="none" w:sz="0" w:space="0" w:color="auto"/>
        <w:bottom w:val="none" w:sz="0" w:space="0" w:color="auto"/>
        <w:right w:val="none" w:sz="0" w:space="0" w:color="auto"/>
      </w:divBdr>
    </w:div>
    <w:div w:id="1482499168">
      <w:bodyDiv w:val="1"/>
      <w:marLeft w:val="0"/>
      <w:marRight w:val="0"/>
      <w:marTop w:val="0"/>
      <w:marBottom w:val="0"/>
      <w:divBdr>
        <w:top w:val="none" w:sz="0" w:space="0" w:color="auto"/>
        <w:left w:val="none" w:sz="0" w:space="0" w:color="auto"/>
        <w:bottom w:val="none" w:sz="0" w:space="0" w:color="auto"/>
        <w:right w:val="none" w:sz="0" w:space="0" w:color="auto"/>
      </w:divBdr>
    </w:div>
    <w:div w:id="1482504126">
      <w:bodyDiv w:val="1"/>
      <w:marLeft w:val="0"/>
      <w:marRight w:val="0"/>
      <w:marTop w:val="0"/>
      <w:marBottom w:val="0"/>
      <w:divBdr>
        <w:top w:val="none" w:sz="0" w:space="0" w:color="auto"/>
        <w:left w:val="none" w:sz="0" w:space="0" w:color="auto"/>
        <w:bottom w:val="none" w:sz="0" w:space="0" w:color="auto"/>
        <w:right w:val="none" w:sz="0" w:space="0" w:color="auto"/>
      </w:divBdr>
    </w:div>
    <w:div w:id="1482887717">
      <w:bodyDiv w:val="1"/>
      <w:marLeft w:val="0"/>
      <w:marRight w:val="0"/>
      <w:marTop w:val="0"/>
      <w:marBottom w:val="0"/>
      <w:divBdr>
        <w:top w:val="none" w:sz="0" w:space="0" w:color="auto"/>
        <w:left w:val="none" w:sz="0" w:space="0" w:color="auto"/>
        <w:bottom w:val="none" w:sz="0" w:space="0" w:color="auto"/>
        <w:right w:val="none" w:sz="0" w:space="0" w:color="auto"/>
      </w:divBdr>
    </w:div>
    <w:div w:id="1482888163">
      <w:bodyDiv w:val="1"/>
      <w:marLeft w:val="0"/>
      <w:marRight w:val="0"/>
      <w:marTop w:val="0"/>
      <w:marBottom w:val="0"/>
      <w:divBdr>
        <w:top w:val="none" w:sz="0" w:space="0" w:color="auto"/>
        <w:left w:val="none" w:sz="0" w:space="0" w:color="auto"/>
        <w:bottom w:val="none" w:sz="0" w:space="0" w:color="auto"/>
        <w:right w:val="none" w:sz="0" w:space="0" w:color="auto"/>
      </w:divBdr>
    </w:div>
    <w:div w:id="1482959832">
      <w:bodyDiv w:val="1"/>
      <w:marLeft w:val="0"/>
      <w:marRight w:val="0"/>
      <w:marTop w:val="0"/>
      <w:marBottom w:val="0"/>
      <w:divBdr>
        <w:top w:val="none" w:sz="0" w:space="0" w:color="auto"/>
        <w:left w:val="none" w:sz="0" w:space="0" w:color="auto"/>
        <w:bottom w:val="none" w:sz="0" w:space="0" w:color="auto"/>
        <w:right w:val="none" w:sz="0" w:space="0" w:color="auto"/>
      </w:divBdr>
    </w:div>
    <w:div w:id="1482963123">
      <w:bodyDiv w:val="1"/>
      <w:marLeft w:val="0"/>
      <w:marRight w:val="0"/>
      <w:marTop w:val="0"/>
      <w:marBottom w:val="0"/>
      <w:divBdr>
        <w:top w:val="none" w:sz="0" w:space="0" w:color="auto"/>
        <w:left w:val="none" w:sz="0" w:space="0" w:color="auto"/>
        <w:bottom w:val="none" w:sz="0" w:space="0" w:color="auto"/>
        <w:right w:val="none" w:sz="0" w:space="0" w:color="auto"/>
      </w:divBdr>
    </w:div>
    <w:div w:id="1483156293">
      <w:bodyDiv w:val="1"/>
      <w:marLeft w:val="0"/>
      <w:marRight w:val="0"/>
      <w:marTop w:val="0"/>
      <w:marBottom w:val="0"/>
      <w:divBdr>
        <w:top w:val="none" w:sz="0" w:space="0" w:color="auto"/>
        <w:left w:val="none" w:sz="0" w:space="0" w:color="auto"/>
        <w:bottom w:val="none" w:sz="0" w:space="0" w:color="auto"/>
        <w:right w:val="none" w:sz="0" w:space="0" w:color="auto"/>
      </w:divBdr>
    </w:div>
    <w:div w:id="1483541829">
      <w:bodyDiv w:val="1"/>
      <w:marLeft w:val="0"/>
      <w:marRight w:val="0"/>
      <w:marTop w:val="0"/>
      <w:marBottom w:val="0"/>
      <w:divBdr>
        <w:top w:val="none" w:sz="0" w:space="0" w:color="auto"/>
        <w:left w:val="none" w:sz="0" w:space="0" w:color="auto"/>
        <w:bottom w:val="none" w:sz="0" w:space="0" w:color="auto"/>
        <w:right w:val="none" w:sz="0" w:space="0" w:color="auto"/>
      </w:divBdr>
    </w:div>
    <w:div w:id="1483738640">
      <w:bodyDiv w:val="1"/>
      <w:marLeft w:val="0"/>
      <w:marRight w:val="0"/>
      <w:marTop w:val="0"/>
      <w:marBottom w:val="0"/>
      <w:divBdr>
        <w:top w:val="none" w:sz="0" w:space="0" w:color="auto"/>
        <w:left w:val="none" w:sz="0" w:space="0" w:color="auto"/>
        <w:bottom w:val="none" w:sz="0" w:space="0" w:color="auto"/>
        <w:right w:val="none" w:sz="0" w:space="0" w:color="auto"/>
      </w:divBdr>
    </w:div>
    <w:div w:id="1483808288">
      <w:bodyDiv w:val="1"/>
      <w:marLeft w:val="0"/>
      <w:marRight w:val="0"/>
      <w:marTop w:val="0"/>
      <w:marBottom w:val="0"/>
      <w:divBdr>
        <w:top w:val="none" w:sz="0" w:space="0" w:color="auto"/>
        <w:left w:val="none" w:sz="0" w:space="0" w:color="auto"/>
        <w:bottom w:val="none" w:sz="0" w:space="0" w:color="auto"/>
        <w:right w:val="none" w:sz="0" w:space="0" w:color="auto"/>
      </w:divBdr>
    </w:div>
    <w:div w:id="1483934249">
      <w:bodyDiv w:val="1"/>
      <w:marLeft w:val="0"/>
      <w:marRight w:val="0"/>
      <w:marTop w:val="0"/>
      <w:marBottom w:val="0"/>
      <w:divBdr>
        <w:top w:val="none" w:sz="0" w:space="0" w:color="auto"/>
        <w:left w:val="none" w:sz="0" w:space="0" w:color="auto"/>
        <w:bottom w:val="none" w:sz="0" w:space="0" w:color="auto"/>
        <w:right w:val="none" w:sz="0" w:space="0" w:color="auto"/>
      </w:divBdr>
    </w:div>
    <w:div w:id="1484615167">
      <w:bodyDiv w:val="1"/>
      <w:marLeft w:val="0"/>
      <w:marRight w:val="0"/>
      <w:marTop w:val="0"/>
      <w:marBottom w:val="0"/>
      <w:divBdr>
        <w:top w:val="none" w:sz="0" w:space="0" w:color="auto"/>
        <w:left w:val="none" w:sz="0" w:space="0" w:color="auto"/>
        <w:bottom w:val="none" w:sz="0" w:space="0" w:color="auto"/>
        <w:right w:val="none" w:sz="0" w:space="0" w:color="auto"/>
      </w:divBdr>
    </w:div>
    <w:div w:id="1484658326">
      <w:bodyDiv w:val="1"/>
      <w:marLeft w:val="0"/>
      <w:marRight w:val="0"/>
      <w:marTop w:val="0"/>
      <w:marBottom w:val="0"/>
      <w:divBdr>
        <w:top w:val="none" w:sz="0" w:space="0" w:color="auto"/>
        <w:left w:val="none" w:sz="0" w:space="0" w:color="auto"/>
        <w:bottom w:val="none" w:sz="0" w:space="0" w:color="auto"/>
        <w:right w:val="none" w:sz="0" w:space="0" w:color="auto"/>
      </w:divBdr>
    </w:div>
    <w:div w:id="1484662848">
      <w:bodyDiv w:val="1"/>
      <w:marLeft w:val="0"/>
      <w:marRight w:val="0"/>
      <w:marTop w:val="0"/>
      <w:marBottom w:val="0"/>
      <w:divBdr>
        <w:top w:val="none" w:sz="0" w:space="0" w:color="auto"/>
        <w:left w:val="none" w:sz="0" w:space="0" w:color="auto"/>
        <w:bottom w:val="none" w:sz="0" w:space="0" w:color="auto"/>
        <w:right w:val="none" w:sz="0" w:space="0" w:color="auto"/>
      </w:divBdr>
    </w:div>
    <w:div w:id="1484734047">
      <w:bodyDiv w:val="1"/>
      <w:marLeft w:val="0"/>
      <w:marRight w:val="0"/>
      <w:marTop w:val="0"/>
      <w:marBottom w:val="0"/>
      <w:divBdr>
        <w:top w:val="none" w:sz="0" w:space="0" w:color="auto"/>
        <w:left w:val="none" w:sz="0" w:space="0" w:color="auto"/>
        <w:bottom w:val="none" w:sz="0" w:space="0" w:color="auto"/>
        <w:right w:val="none" w:sz="0" w:space="0" w:color="auto"/>
      </w:divBdr>
    </w:div>
    <w:div w:id="1485047211">
      <w:bodyDiv w:val="1"/>
      <w:marLeft w:val="0"/>
      <w:marRight w:val="0"/>
      <w:marTop w:val="0"/>
      <w:marBottom w:val="0"/>
      <w:divBdr>
        <w:top w:val="none" w:sz="0" w:space="0" w:color="auto"/>
        <w:left w:val="none" w:sz="0" w:space="0" w:color="auto"/>
        <w:bottom w:val="none" w:sz="0" w:space="0" w:color="auto"/>
        <w:right w:val="none" w:sz="0" w:space="0" w:color="auto"/>
      </w:divBdr>
    </w:div>
    <w:div w:id="1485126661">
      <w:bodyDiv w:val="1"/>
      <w:marLeft w:val="0"/>
      <w:marRight w:val="0"/>
      <w:marTop w:val="0"/>
      <w:marBottom w:val="0"/>
      <w:divBdr>
        <w:top w:val="none" w:sz="0" w:space="0" w:color="auto"/>
        <w:left w:val="none" w:sz="0" w:space="0" w:color="auto"/>
        <w:bottom w:val="none" w:sz="0" w:space="0" w:color="auto"/>
        <w:right w:val="none" w:sz="0" w:space="0" w:color="auto"/>
      </w:divBdr>
    </w:div>
    <w:div w:id="1485317517">
      <w:bodyDiv w:val="1"/>
      <w:marLeft w:val="0"/>
      <w:marRight w:val="0"/>
      <w:marTop w:val="0"/>
      <w:marBottom w:val="0"/>
      <w:divBdr>
        <w:top w:val="none" w:sz="0" w:space="0" w:color="auto"/>
        <w:left w:val="none" w:sz="0" w:space="0" w:color="auto"/>
        <w:bottom w:val="none" w:sz="0" w:space="0" w:color="auto"/>
        <w:right w:val="none" w:sz="0" w:space="0" w:color="auto"/>
      </w:divBdr>
    </w:div>
    <w:div w:id="1485511348">
      <w:bodyDiv w:val="1"/>
      <w:marLeft w:val="0"/>
      <w:marRight w:val="0"/>
      <w:marTop w:val="0"/>
      <w:marBottom w:val="0"/>
      <w:divBdr>
        <w:top w:val="none" w:sz="0" w:space="0" w:color="auto"/>
        <w:left w:val="none" w:sz="0" w:space="0" w:color="auto"/>
        <w:bottom w:val="none" w:sz="0" w:space="0" w:color="auto"/>
        <w:right w:val="none" w:sz="0" w:space="0" w:color="auto"/>
      </w:divBdr>
    </w:div>
    <w:div w:id="1485586753">
      <w:bodyDiv w:val="1"/>
      <w:marLeft w:val="0"/>
      <w:marRight w:val="0"/>
      <w:marTop w:val="0"/>
      <w:marBottom w:val="0"/>
      <w:divBdr>
        <w:top w:val="none" w:sz="0" w:space="0" w:color="auto"/>
        <w:left w:val="none" w:sz="0" w:space="0" w:color="auto"/>
        <w:bottom w:val="none" w:sz="0" w:space="0" w:color="auto"/>
        <w:right w:val="none" w:sz="0" w:space="0" w:color="auto"/>
      </w:divBdr>
    </w:div>
    <w:div w:id="1485777826">
      <w:bodyDiv w:val="1"/>
      <w:marLeft w:val="0"/>
      <w:marRight w:val="0"/>
      <w:marTop w:val="0"/>
      <w:marBottom w:val="0"/>
      <w:divBdr>
        <w:top w:val="none" w:sz="0" w:space="0" w:color="auto"/>
        <w:left w:val="none" w:sz="0" w:space="0" w:color="auto"/>
        <w:bottom w:val="none" w:sz="0" w:space="0" w:color="auto"/>
        <w:right w:val="none" w:sz="0" w:space="0" w:color="auto"/>
      </w:divBdr>
    </w:div>
    <w:div w:id="1485856334">
      <w:bodyDiv w:val="1"/>
      <w:marLeft w:val="0"/>
      <w:marRight w:val="0"/>
      <w:marTop w:val="0"/>
      <w:marBottom w:val="0"/>
      <w:divBdr>
        <w:top w:val="none" w:sz="0" w:space="0" w:color="auto"/>
        <w:left w:val="none" w:sz="0" w:space="0" w:color="auto"/>
        <w:bottom w:val="none" w:sz="0" w:space="0" w:color="auto"/>
        <w:right w:val="none" w:sz="0" w:space="0" w:color="auto"/>
      </w:divBdr>
    </w:div>
    <w:div w:id="1485899819">
      <w:bodyDiv w:val="1"/>
      <w:marLeft w:val="0"/>
      <w:marRight w:val="0"/>
      <w:marTop w:val="0"/>
      <w:marBottom w:val="0"/>
      <w:divBdr>
        <w:top w:val="none" w:sz="0" w:space="0" w:color="auto"/>
        <w:left w:val="none" w:sz="0" w:space="0" w:color="auto"/>
        <w:bottom w:val="none" w:sz="0" w:space="0" w:color="auto"/>
        <w:right w:val="none" w:sz="0" w:space="0" w:color="auto"/>
      </w:divBdr>
    </w:div>
    <w:div w:id="1485976676">
      <w:bodyDiv w:val="1"/>
      <w:marLeft w:val="0"/>
      <w:marRight w:val="0"/>
      <w:marTop w:val="0"/>
      <w:marBottom w:val="0"/>
      <w:divBdr>
        <w:top w:val="none" w:sz="0" w:space="0" w:color="auto"/>
        <w:left w:val="none" w:sz="0" w:space="0" w:color="auto"/>
        <w:bottom w:val="none" w:sz="0" w:space="0" w:color="auto"/>
        <w:right w:val="none" w:sz="0" w:space="0" w:color="auto"/>
      </w:divBdr>
    </w:div>
    <w:div w:id="1486388873">
      <w:bodyDiv w:val="1"/>
      <w:marLeft w:val="0"/>
      <w:marRight w:val="0"/>
      <w:marTop w:val="0"/>
      <w:marBottom w:val="0"/>
      <w:divBdr>
        <w:top w:val="none" w:sz="0" w:space="0" w:color="auto"/>
        <w:left w:val="none" w:sz="0" w:space="0" w:color="auto"/>
        <w:bottom w:val="none" w:sz="0" w:space="0" w:color="auto"/>
        <w:right w:val="none" w:sz="0" w:space="0" w:color="auto"/>
      </w:divBdr>
    </w:div>
    <w:div w:id="1486585659">
      <w:bodyDiv w:val="1"/>
      <w:marLeft w:val="0"/>
      <w:marRight w:val="0"/>
      <w:marTop w:val="0"/>
      <w:marBottom w:val="0"/>
      <w:divBdr>
        <w:top w:val="none" w:sz="0" w:space="0" w:color="auto"/>
        <w:left w:val="none" w:sz="0" w:space="0" w:color="auto"/>
        <w:bottom w:val="none" w:sz="0" w:space="0" w:color="auto"/>
        <w:right w:val="none" w:sz="0" w:space="0" w:color="auto"/>
      </w:divBdr>
    </w:div>
    <w:div w:id="1486698469">
      <w:bodyDiv w:val="1"/>
      <w:marLeft w:val="0"/>
      <w:marRight w:val="0"/>
      <w:marTop w:val="0"/>
      <w:marBottom w:val="0"/>
      <w:divBdr>
        <w:top w:val="none" w:sz="0" w:space="0" w:color="auto"/>
        <w:left w:val="none" w:sz="0" w:space="0" w:color="auto"/>
        <w:bottom w:val="none" w:sz="0" w:space="0" w:color="auto"/>
        <w:right w:val="none" w:sz="0" w:space="0" w:color="auto"/>
      </w:divBdr>
    </w:div>
    <w:div w:id="1486701124">
      <w:bodyDiv w:val="1"/>
      <w:marLeft w:val="0"/>
      <w:marRight w:val="0"/>
      <w:marTop w:val="0"/>
      <w:marBottom w:val="0"/>
      <w:divBdr>
        <w:top w:val="none" w:sz="0" w:space="0" w:color="auto"/>
        <w:left w:val="none" w:sz="0" w:space="0" w:color="auto"/>
        <w:bottom w:val="none" w:sz="0" w:space="0" w:color="auto"/>
        <w:right w:val="none" w:sz="0" w:space="0" w:color="auto"/>
      </w:divBdr>
    </w:div>
    <w:div w:id="1486896911">
      <w:bodyDiv w:val="1"/>
      <w:marLeft w:val="0"/>
      <w:marRight w:val="0"/>
      <w:marTop w:val="0"/>
      <w:marBottom w:val="0"/>
      <w:divBdr>
        <w:top w:val="none" w:sz="0" w:space="0" w:color="auto"/>
        <w:left w:val="none" w:sz="0" w:space="0" w:color="auto"/>
        <w:bottom w:val="none" w:sz="0" w:space="0" w:color="auto"/>
        <w:right w:val="none" w:sz="0" w:space="0" w:color="auto"/>
      </w:divBdr>
    </w:div>
    <w:div w:id="1486897645">
      <w:bodyDiv w:val="1"/>
      <w:marLeft w:val="0"/>
      <w:marRight w:val="0"/>
      <w:marTop w:val="0"/>
      <w:marBottom w:val="0"/>
      <w:divBdr>
        <w:top w:val="none" w:sz="0" w:space="0" w:color="auto"/>
        <w:left w:val="none" w:sz="0" w:space="0" w:color="auto"/>
        <w:bottom w:val="none" w:sz="0" w:space="0" w:color="auto"/>
        <w:right w:val="none" w:sz="0" w:space="0" w:color="auto"/>
      </w:divBdr>
    </w:div>
    <w:div w:id="1487017780">
      <w:bodyDiv w:val="1"/>
      <w:marLeft w:val="0"/>
      <w:marRight w:val="0"/>
      <w:marTop w:val="0"/>
      <w:marBottom w:val="0"/>
      <w:divBdr>
        <w:top w:val="none" w:sz="0" w:space="0" w:color="auto"/>
        <w:left w:val="none" w:sz="0" w:space="0" w:color="auto"/>
        <w:bottom w:val="none" w:sz="0" w:space="0" w:color="auto"/>
        <w:right w:val="none" w:sz="0" w:space="0" w:color="auto"/>
      </w:divBdr>
    </w:div>
    <w:div w:id="1487018587">
      <w:bodyDiv w:val="1"/>
      <w:marLeft w:val="0"/>
      <w:marRight w:val="0"/>
      <w:marTop w:val="0"/>
      <w:marBottom w:val="0"/>
      <w:divBdr>
        <w:top w:val="none" w:sz="0" w:space="0" w:color="auto"/>
        <w:left w:val="none" w:sz="0" w:space="0" w:color="auto"/>
        <w:bottom w:val="none" w:sz="0" w:space="0" w:color="auto"/>
        <w:right w:val="none" w:sz="0" w:space="0" w:color="auto"/>
      </w:divBdr>
    </w:div>
    <w:div w:id="1487092386">
      <w:bodyDiv w:val="1"/>
      <w:marLeft w:val="0"/>
      <w:marRight w:val="0"/>
      <w:marTop w:val="0"/>
      <w:marBottom w:val="0"/>
      <w:divBdr>
        <w:top w:val="none" w:sz="0" w:space="0" w:color="auto"/>
        <w:left w:val="none" w:sz="0" w:space="0" w:color="auto"/>
        <w:bottom w:val="none" w:sz="0" w:space="0" w:color="auto"/>
        <w:right w:val="none" w:sz="0" w:space="0" w:color="auto"/>
      </w:divBdr>
    </w:div>
    <w:div w:id="1487282518">
      <w:bodyDiv w:val="1"/>
      <w:marLeft w:val="0"/>
      <w:marRight w:val="0"/>
      <w:marTop w:val="0"/>
      <w:marBottom w:val="0"/>
      <w:divBdr>
        <w:top w:val="none" w:sz="0" w:space="0" w:color="auto"/>
        <w:left w:val="none" w:sz="0" w:space="0" w:color="auto"/>
        <w:bottom w:val="none" w:sz="0" w:space="0" w:color="auto"/>
        <w:right w:val="none" w:sz="0" w:space="0" w:color="auto"/>
      </w:divBdr>
    </w:div>
    <w:div w:id="1487480416">
      <w:bodyDiv w:val="1"/>
      <w:marLeft w:val="0"/>
      <w:marRight w:val="0"/>
      <w:marTop w:val="0"/>
      <w:marBottom w:val="0"/>
      <w:divBdr>
        <w:top w:val="none" w:sz="0" w:space="0" w:color="auto"/>
        <w:left w:val="none" w:sz="0" w:space="0" w:color="auto"/>
        <w:bottom w:val="none" w:sz="0" w:space="0" w:color="auto"/>
        <w:right w:val="none" w:sz="0" w:space="0" w:color="auto"/>
      </w:divBdr>
    </w:div>
    <w:div w:id="1487626541">
      <w:bodyDiv w:val="1"/>
      <w:marLeft w:val="0"/>
      <w:marRight w:val="0"/>
      <w:marTop w:val="0"/>
      <w:marBottom w:val="0"/>
      <w:divBdr>
        <w:top w:val="none" w:sz="0" w:space="0" w:color="auto"/>
        <w:left w:val="none" w:sz="0" w:space="0" w:color="auto"/>
        <w:bottom w:val="none" w:sz="0" w:space="0" w:color="auto"/>
        <w:right w:val="none" w:sz="0" w:space="0" w:color="auto"/>
      </w:divBdr>
    </w:div>
    <w:div w:id="1487741906">
      <w:bodyDiv w:val="1"/>
      <w:marLeft w:val="0"/>
      <w:marRight w:val="0"/>
      <w:marTop w:val="0"/>
      <w:marBottom w:val="0"/>
      <w:divBdr>
        <w:top w:val="none" w:sz="0" w:space="0" w:color="auto"/>
        <w:left w:val="none" w:sz="0" w:space="0" w:color="auto"/>
        <w:bottom w:val="none" w:sz="0" w:space="0" w:color="auto"/>
        <w:right w:val="none" w:sz="0" w:space="0" w:color="auto"/>
      </w:divBdr>
    </w:div>
    <w:div w:id="1488090948">
      <w:bodyDiv w:val="1"/>
      <w:marLeft w:val="0"/>
      <w:marRight w:val="0"/>
      <w:marTop w:val="0"/>
      <w:marBottom w:val="0"/>
      <w:divBdr>
        <w:top w:val="none" w:sz="0" w:space="0" w:color="auto"/>
        <w:left w:val="none" w:sz="0" w:space="0" w:color="auto"/>
        <w:bottom w:val="none" w:sz="0" w:space="0" w:color="auto"/>
        <w:right w:val="none" w:sz="0" w:space="0" w:color="auto"/>
      </w:divBdr>
    </w:div>
    <w:div w:id="1488396285">
      <w:bodyDiv w:val="1"/>
      <w:marLeft w:val="0"/>
      <w:marRight w:val="0"/>
      <w:marTop w:val="0"/>
      <w:marBottom w:val="0"/>
      <w:divBdr>
        <w:top w:val="none" w:sz="0" w:space="0" w:color="auto"/>
        <w:left w:val="none" w:sz="0" w:space="0" w:color="auto"/>
        <w:bottom w:val="none" w:sz="0" w:space="0" w:color="auto"/>
        <w:right w:val="none" w:sz="0" w:space="0" w:color="auto"/>
      </w:divBdr>
    </w:div>
    <w:div w:id="1488472307">
      <w:bodyDiv w:val="1"/>
      <w:marLeft w:val="0"/>
      <w:marRight w:val="0"/>
      <w:marTop w:val="0"/>
      <w:marBottom w:val="0"/>
      <w:divBdr>
        <w:top w:val="none" w:sz="0" w:space="0" w:color="auto"/>
        <w:left w:val="none" w:sz="0" w:space="0" w:color="auto"/>
        <w:bottom w:val="none" w:sz="0" w:space="0" w:color="auto"/>
        <w:right w:val="none" w:sz="0" w:space="0" w:color="auto"/>
      </w:divBdr>
    </w:div>
    <w:div w:id="1488520141">
      <w:bodyDiv w:val="1"/>
      <w:marLeft w:val="0"/>
      <w:marRight w:val="0"/>
      <w:marTop w:val="0"/>
      <w:marBottom w:val="0"/>
      <w:divBdr>
        <w:top w:val="none" w:sz="0" w:space="0" w:color="auto"/>
        <w:left w:val="none" w:sz="0" w:space="0" w:color="auto"/>
        <w:bottom w:val="none" w:sz="0" w:space="0" w:color="auto"/>
        <w:right w:val="none" w:sz="0" w:space="0" w:color="auto"/>
      </w:divBdr>
    </w:div>
    <w:div w:id="1488545629">
      <w:bodyDiv w:val="1"/>
      <w:marLeft w:val="0"/>
      <w:marRight w:val="0"/>
      <w:marTop w:val="0"/>
      <w:marBottom w:val="0"/>
      <w:divBdr>
        <w:top w:val="none" w:sz="0" w:space="0" w:color="auto"/>
        <w:left w:val="none" w:sz="0" w:space="0" w:color="auto"/>
        <w:bottom w:val="none" w:sz="0" w:space="0" w:color="auto"/>
        <w:right w:val="none" w:sz="0" w:space="0" w:color="auto"/>
      </w:divBdr>
    </w:div>
    <w:div w:id="1488548157">
      <w:bodyDiv w:val="1"/>
      <w:marLeft w:val="0"/>
      <w:marRight w:val="0"/>
      <w:marTop w:val="0"/>
      <w:marBottom w:val="0"/>
      <w:divBdr>
        <w:top w:val="none" w:sz="0" w:space="0" w:color="auto"/>
        <w:left w:val="none" w:sz="0" w:space="0" w:color="auto"/>
        <w:bottom w:val="none" w:sz="0" w:space="0" w:color="auto"/>
        <w:right w:val="none" w:sz="0" w:space="0" w:color="auto"/>
      </w:divBdr>
    </w:div>
    <w:div w:id="1488549728">
      <w:bodyDiv w:val="1"/>
      <w:marLeft w:val="0"/>
      <w:marRight w:val="0"/>
      <w:marTop w:val="0"/>
      <w:marBottom w:val="0"/>
      <w:divBdr>
        <w:top w:val="none" w:sz="0" w:space="0" w:color="auto"/>
        <w:left w:val="none" w:sz="0" w:space="0" w:color="auto"/>
        <w:bottom w:val="none" w:sz="0" w:space="0" w:color="auto"/>
        <w:right w:val="none" w:sz="0" w:space="0" w:color="auto"/>
      </w:divBdr>
    </w:div>
    <w:div w:id="1489055971">
      <w:bodyDiv w:val="1"/>
      <w:marLeft w:val="0"/>
      <w:marRight w:val="0"/>
      <w:marTop w:val="0"/>
      <w:marBottom w:val="0"/>
      <w:divBdr>
        <w:top w:val="none" w:sz="0" w:space="0" w:color="auto"/>
        <w:left w:val="none" w:sz="0" w:space="0" w:color="auto"/>
        <w:bottom w:val="none" w:sz="0" w:space="0" w:color="auto"/>
        <w:right w:val="none" w:sz="0" w:space="0" w:color="auto"/>
      </w:divBdr>
    </w:div>
    <w:div w:id="1489131091">
      <w:bodyDiv w:val="1"/>
      <w:marLeft w:val="0"/>
      <w:marRight w:val="0"/>
      <w:marTop w:val="0"/>
      <w:marBottom w:val="0"/>
      <w:divBdr>
        <w:top w:val="none" w:sz="0" w:space="0" w:color="auto"/>
        <w:left w:val="none" w:sz="0" w:space="0" w:color="auto"/>
        <w:bottom w:val="none" w:sz="0" w:space="0" w:color="auto"/>
        <w:right w:val="none" w:sz="0" w:space="0" w:color="auto"/>
      </w:divBdr>
    </w:div>
    <w:div w:id="1489251932">
      <w:bodyDiv w:val="1"/>
      <w:marLeft w:val="0"/>
      <w:marRight w:val="0"/>
      <w:marTop w:val="0"/>
      <w:marBottom w:val="0"/>
      <w:divBdr>
        <w:top w:val="none" w:sz="0" w:space="0" w:color="auto"/>
        <w:left w:val="none" w:sz="0" w:space="0" w:color="auto"/>
        <w:bottom w:val="none" w:sz="0" w:space="0" w:color="auto"/>
        <w:right w:val="none" w:sz="0" w:space="0" w:color="auto"/>
      </w:divBdr>
    </w:div>
    <w:div w:id="1489514628">
      <w:bodyDiv w:val="1"/>
      <w:marLeft w:val="0"/>
      <w:marRight w:val="0"/>
      <w:marTop w:val="0"/>
      <w:marBottom w:val="0"/>
      <w:divBdr>
        <w:top w:val="none" w:sz="0" w:space="0" w:color="auto"/>
        <w:left w:val="none" w:sz="0" w:space="0" w:color="auto"/>
        <w:bottom w:val="none" w:sz="0" w:space="0" w:color="auto"/>
        <w:right w:val="none" w:sz="0" w:space="0" w:color="auto"/>
      </w:divBdr>
    </w:div>
    <w:div w:id="1489591438">
      <w:bodyDiv w:val="1"/>
      <w:marLeft w:val="0"/>
      <w:marRight w:val="0"/>
      <w:marTop w:val="0"/>
      <w:marBottom w:val="0"/>
      <w:divBdr>
        <w:top w:val="none" w:sz="0" w:space="0" w:color="auto"/>
        <w:left w:val="none" w:sz="0" w:space="0" w:color="auto"/>
        <w:bottom w:val="none" w:sz="0" w:space="0" w:color="auto"/>
        <w:right w:val="none" w:sz="0" w:space="0" w:color="auto"/>
      </w:divBdr>
    </w:div>
    <w:div w:id="1489713813">
      <w:bodyDiv w:val="1"/>
      <w:marLeft w:val="0"/>
      <w:marRight w:val="0"/>
      <w:marTop w:val="0"/>
      <w:marBottom w:val="0"/>
      <w:divBdr>
        <w:top w:val="none" w:sz="0" w:space="0" w:color="auto"/>
        <w:left w:val="none" w:sz="0" w:space="0" w:color="auto"/>
        <w:bottom w:val="none" w:sz="0" w:space="0" w:color="auto"/>
        <w:right w:val="none" w:sz="0" w:space="0" w:color="auto"/>
      </w:divBdr>
    </w:div>
    <w:div w:id="1489831821">
      <w:bodyDiv w:val="1"/>
      <w:marLeft w:val="0"/>
      <w:marRight w:val="0"/>
      <w:marTop w:val="0"/>
      <w:marBottom w:val="0"/>
      <w:divBdr>
        <w:top w:val="none" w:sz="0" w:space="0" w:color="auto"/>
        <w:left w:val="none" w:sz="0" w:space="0" w:color="auto"/>
        <w:bottom w:val="none" w:sz="0" w:space="0" w:color="auto"/>
        <w:right w:val="none" w:sz="0" w:space="0" w:color="auto"/>
      </w:divBdr>
    </w:div>
    <w:div w:id="1490052921">
      <w:bodyDiv w:val="1"/>
      <w:marLeft w:val="0"/>
      <w:marRight w:val="0"/>
      <w:marTop w:val="0"/>
      <w:marBottom w:val="0"/>
      <w:divBdr>
        <w:top w:val="none" w:sz="0" w:space="0" w:color="auto"/>
        <w:left w:val="none" w:sz="0" w:space="0" w:color="auto"/>
        <w:bottom w:val="none" w:sz="0" w:space="0" w:color="auto"/>
        <w:right w:val="none" w:sz="0" w:space="0" w:color="auto"/>
      </w:divBdr>
    </w:div>
    <w:div w:id="1490053372">
      <w:bodyDiv w:val="1"/>
      <w:marLeft w:val="0"/>
      <w:marRight w:val="0"/>
      <w:marTop w:val="0"/>
      <w:marBottom w:val="0"/>
      <w:divBdr>
        <w:top w:val="none" w:sz="0" w:space="0" w:color="auto"/>
        <w:left w:val="none" w:sz="0" w:space="0" w:color="auto"/>
        <w:bottom w:val="none" w:sz="0" w:space="0" w:color="auto"/>
        <w:right w:val="none" w:sz="0" w:space="0" w:color="auto"/>
      </w:divBdr>
    </w:div>
    <w:div w:id="1490092043">
      <w:bodyDiv w:val="1"/>
      <w:marLeft w:val="0"/>
      <w:marRight w:val="0"/>
      <w:marTop w:val="0"/>
      <w:marBottom w:val="0"/>
      <w:divBdr>
        <w:top w:val="none" w:sz="0" w:space="0" w:color="auto"/>
        <w:left w:val="none" w:sz="0" w:space="0" w:color="auto"/>
        <w:bottom w:val="none" w:sz="0" w:space="0" w:color="auto"/>
        <w:right w:val="none" w:sz="0" w:space="0" w:color="auto"/>
      </w:divBdr>
    </w:div>
    <w:div w:id="1490100542">
      <w:bodyDiv w:val="1"/>
      <w:marLeft w:val="0"/>
      <w:marRight w:val="0"/>
      <w:marTop w:val="0"/>
      <w:marBottom w:val="0"/>
      <w:divBdr>
        <w:top w:val="none" w:sz="0" w:space="0" w:color="auto"/>
        <w:left w:val="none" w:sz="0" w:space="0" w:color="auto"/>
        <w:bottom w:val="none" w:sz="0" w:space="0" w:color="auto"/>
        <w:right w:val="none" w:sz="0" w:space="0" w:color="auto"/>
      </w:divBdr>
    </w:div>
    <w:div w:id="1490176667">
      <w:bodyDiv w:val="1"/>
      <w:marLeft w:val="0"/>
      <w:marRight w:val="0"/>
      <w:marTop w:val="0"/>
      <w:marBottom w:val="0"/>
      <w:divBdr>
        <w:top w:val="none" w:sz="0" w:space="0" w:color="auto"/>
        <w:left w:val="none" w:sz="0" w:space="0" w:color="auto"/>
        <w:bottom w:val="none" w:sz="0" w:space="0" w:color="auto"/>
        <w:right w:val="none" w:sz="0" w:space="0" w:color="auto"/>
      </w:divBdr>
    </w:div>
    <w:div w:id="1490900694">
      <w:bodyDiv w:val="1"/>
      <w:marLeft w:val="0"/>
      <w:marRight w:val="0"/>
      <w:marTop w:val="0"/>
      <w:marBottom w:val="0"/>
      <w:divBdr>
        <w:top w:val="none" w:sz="0" w:space="0" w:color="auto"/>
        <w:left w:val="none" w:sz="0" w:space="0" w:color="auto"/>
        <w:bottom w:val="none" w:sz="0" w:space="0" w:color="auto"/>
        <w:right w:val="none" w:sz="0" w:space="0" w:color="auto"/>
      </w:divBdr>
    </w:div>
    <w:div w:id="1491021826">
      <w:bodyDiv w:val="1"/>
      <w:marLeft w:val="0"/>
      <w:marRight w:val="0"/>
      <w:marTop w:val="0"/>
      <w:marBottom w:val="0"/>
      <w:divBdr>
        <w:top w:val="none" w:sz="0" w:space="0" w:color="auto"/>
        <w:left w:val="none" w:sz="0" w:space="0" w:color="auto"/>
        <w:bottom w:val="none" w:sz="0" w:space="0" w:color="auto"/>
        <w:right w:val="none" w:sz="0" w:space="0" w:color="auto"/>
      </w:divBdr>
    </w:div>
    <w:div w:id="1491553883">
      <w:bodyDiv w:val="1"/>
      <w:marLeft w:val="0"/>
      <w:marRight w:val="0"/>
      <w:marTop w:val="0"/>
      <w:marBottom w:val="0"/>
      <w:divBdr>
        <w:top w:val="none" w:sz="0" w:space="0" w:color="auto"/>
        <w:left w:val="none" w:sz="0" w:space="0" w:color="auto"/>
        <w:bottom w:val="none" w:sz="0" w:space="0" w:color="auto"/>
        <w:right w:val="none" w:sz="0" w:space="0" w:color="auto"/>
      </w:divBdr>
    </w:div>
    <w:div w:id="1491675488">
      <w:bodyDiv w:val="1"/>
      <w:marLeft w:val="0"/>
      <w:marRight w:val="0"/>
      <w:marTop w:val="0"/>
      <w:marBottom w:val="0"/>
      <w:divBdr>
        <w:top w:val="none" w:sz="0" w:space="0" w:color="auto"/>
        <w:left w:val="none" w:sz="0" w:space="0" w:color="auto"/>
        <w:bottom w:val="none" w:sz="0" w:space="0" w:color="auto"/>
        <w:right w:val="none" w:sz="0" w:space="0" w:color="auto"/>
      </w:divBdr>
    </w:div>
    <w:div w:id="1491871913">
      <w:bodyDiv w:val="1"/>
      <w:marLeft w:val="0"/>
      <w:marRight w:val="0"/>
      <w:marTop w:val="0"/>
      <w:marBottom w:val="0"/>
      <w:divBdr>
        <w:top w:val="none" w:sz="0" w:space="0" w:color="auto"/>
        <w:left w:val="none" w:sz="0" w:space="0" w:color="auto"/>
        <w:bottom w:val="none" w:sz="0" w:space="0" w:color="auto"/>
        <w:right w:val="none" w:sz="0" w:space="0" w:color="auto"/>
      </w:divBdr>
    </w:div>
    <w:div w:id="1492024484">
      <w:bodyDiv w:val="1"/>
      <w:marLeft w:val="0"/>
      <w:marRight w:val="0"/>
      <w:marTop w:val="0"/>
      <w:marBottom w:val="0"/>
      <w:divBdr>
        <w:top w:val="none" w:sz="0" w:space="0" w:color="auto"/>
        <w:left w:val="none" w:sz="0" w:space="0" w:color="auto"/>
        <w:bottom w:val="none" w:sz="0" w:space="0" w:color="auto"/>
        <w:right w:val="none" w:sz="0" w:space="0" w:color="auto"/>
      </w:divBdr>
    </w:div>
    <w:div w:id="1492061387">
      <w:bodyDiv w:val="1"/>
      <w:marLeft w:val="0"/>
      <w:marRight w:val="0"/>
      <w:marTop w:val="0"/>
      <w:marBottom w:val="0"/>
      <w:divBdr>
        <w:top w:val="none" w:sz="0" w:space="0" w:color="auto"/>
        <w:left w:val="none" w:sz="0" w:space="0" w:color="auto"/>
        <w:bottom w:val="none" w:sz="0" w:space="0" w:color="auto"/>
        <w:right w:val="none" w:sz="0" w:space="0" w:color="auto"/>
      </w:divBdr>
    </w:div>
    <w:div w:id="1492061710">
      <w:bodyDiv w:val="1"/>
      <w:marLeft w:val="0"/>
      <w:marRight w:val="0"/>
      <w:marTop w:val="0"/>
      <w:marBottom w:val="0"/>
      <w:divBdr>
        <w:top w:val="none" w:sz="0" w:space="0" w:color="auto"/>
        <w:left w:val="none" w:sz="0" w:space="0" w:color="auto"/>
        <w:bottom w:val="none" w:sz="0" w:space="0" w:color="auto"/>
        <w:right w:val="none" w:sz="0" w:space="0" w:color="auto"/>
      </w:divBdr>
    </w:div>
    <w:div w:id="1492062261">
      <w:bodyDiv w:val="1"/>
      <w:marLeft w:val="0"/>
      <w:marRight w:val="0"/>
      <w:marTop w:val="0"/>
      <w:marBottom w:val="0"/>
      <w:divBdr>
        <w:top w:val="none" w:sz="0" w:space="0" w:color="auto"/>
        <w:left w:val="none" w:sz="0" w:space="0" w:color="auto"/>
        <w:bottom w:val="none" w:sz="0" w:space="0" w:color="auto"/>
        <w:right w:val="none" w:sz="0" w:space="0" w:color="auto"/>
      </w:divBdr>
    </w:div>
    <w:div w:id="1492064381">
      <w:bodyDiv w:val="1"/>
      <w:marLeft w:val="0"/>
      <w:marRight w:val="0"/>
      <w:marTop w:val="0"/>
      <w:marBottom w:val="0"/>
      <w:divBdr>
        <w:top w:val="none" w:sz="0" w:space="0" w:color="auto"/>
        <w:left w:val="none" w:sz="0" w:space="0" w:color="auto"/>
        <w:bottom w:val="none" w:sz="0" w:space="0" w:color="auto"/>
        <w:right w:val="none" w:sz="0" w:space="0" w:color="auto"/>
      </w:divBdr>
    </w:div>
    <w:div w:id="1492260006">
      <w:bodyDiv w:val="1"/>
      <w:marLeft w:val="0"/>
      <w:marRight w:val="0"/>
      <w:marTop w:val="0"/>
      <w:marBottom w:val="0"/>
      <w:divBdr>
        <w:top w:val="none" w:sz="0" w:space="0" w:color="auto"/>
        <w:left w:val="none" w:sz="0" w:space="0" w:color="auto"/>
        <w:bottom w:val="none" w:sz="0" w:space="0" w:color="auto"/>
        <w:right w:val="none" w:sz="0" w:space="0" w:color="auto"/>
      </w:divBdr>
    </w:div>
    <w:div w:id="1492335341">
      <w:bodyDiv w:val="1"/>
      <w:marLeft w:val="0"/>
      <w:marRight w:val="0"/>
      <w:marTop w:val="0"/>
      <w:marBottom w:val="0"/>
      <w:divBdr>
        <w:top w:val="none" w:sz="0" w:space="0" w:color="auto"/>
        <w:left w:val="none" w:sz="0" w:space="0" w:color="auto"/>
        <w:bottom w:val="none" w:sz="0" w:space="0" w:color="auto"/>
        <w:right w:val="none" w:sz="0" w:space="0" w:color="auto"/>
      </w:divBdr>
    </w:div>
    <w:div w:id="1492481062">
      <w:bodyDiv w:val="1"/>
      <w:marLeft w:val="0"/>
      <w:marRight w:val="0"/>
      <w:marTop w:val="0"/>
      <w:marBottom w:val="0"/>
      <w:divBdr>
        <w:top w:val="none" w:sz="0" w:space="0" w:color="auto"/>
        <w:left w:val="none" w:sz="0" w:space="0" w:color="auto"/>
        <w:bottom w:val="none" w:sz="0" w:space="0" w:color="auto"/>
        <w:right w:val="none" w:sz="0" w:space="0" w:color="auto"/>
      </w:divBdr>
    </w:div>
    <w:div w:id="1492520272">
      <w:bodyDiv w:val="1"/>
      <w:marLeft w:val="0"/>
      <w:marRight w:val="0"/>
      <w:marTop w:val="0"/>
      <w:marBottom w:val="0"/>
      <w:divBdr>
        <w:top w:val="none" w:sz="0" w:space="0" w:color="auto"/>
        <w:left w:val="none" w:sz="0" w:space="0" w:color="auto"/>
        <w:bottom w:val="none" w:sz="0" w:space="0" w:color="auto"/>
        <w:right w:val="none" w:sz="0" w:space="0" w:color="auto"/>
      </w:divBdr>
    </w:div>
    <w:div w:id="1492715668">
      <w:bodyDiv w:val="1"/>
      <w:marLeft w:val="0"/>
      <w:marRight w:val="0"/>
      <w:marTop w:val="0"/>
      <w:marBottom w:val="0"/>
      <w:divBdr>
        <w:top w:val="none" w:sz="0" w:space="0" w:color="auto"/>
        <w:left w:val="none" w:sz="0" w:space="0" w:color="auto"/>
        <w:bottom w:val="none" w:sz="0" w:space="0" w:color="auto"/>
        <w:right w:val="none" w:sz="0" w:space="0" w:color="auto"/>
      </w:divBdr>
    </w:div>
    <w:div w:id="1493057889">
      <w:bodyDiv w:val="1"/>
      <w:marLeft w:val="0"/>
      <w:marRight w:val="0"/>
      <w:marTop w:val="0"/>
      <w:marBottom w:val="0"/>
      <w:divBdr>
        <w:top w:val="none" w:sz="0" w:space="0" w:color="auto"/>
        <w:left w:val="none" w:sz="0" w:space="0" w:color="auto"/>
        <w:bottom w:val="none" w:sz="0" w:space="0" w:color="auto"/>
        <w:right w:val="none" w:sz="0" w:space="0" w:color="auto"/>
      </w:divBdr>
    </w:div>
    <w:div w:id="1493137003">
      <w:bodyDiv w:val="1"/>
      <w:marLeft w:val="0"/>
      <w:marRight w:val="0"/>
      <w:marTop w:val="0"/>
      <w:marBottom w:val="0"/>
      <w:divBdr>
        <w:top w:val="none" w:sz="0" w:space="0" w:color="auto"/>
        <w:left w:val="none" w:sz="0" w:space="0" w:color="auto"/>
        <w:bottom w:val="none" w:sz="0" w:space="0" w:color="auto"/>
        <w:right w:val="none" w:sz="0" w:space="0" w:color="auto"/>
      </w:divBdr>
    </w:div>
    <w:div w:id="1493252525">
      <w:bodyDiv w:val="1"/>
      <w:marLeft w:val="0"/>
      <w:marRight w:val="0"/>
      <w:marTop w:val="0"/>
      <w:marBottom w:val="0"/>
      <w:divBdr>
        <w:top w:val="none" w:sz="0" w:space="0" w:color="auto"/>
        <w:left w:val="none" w:sz="0" w:space="0" w:color="auto"/>
        <w:bottom w:val="none" w:sz="0" w:space="0" w:color="auto"/>
        <w:right w:val="none" w:sz="0" w:space="0" w:color="auto"/>
      </w:divBdr>
    </w:div>
    <w:div w:id="1493327358">
      <w:bodyDiv w:val="1"/>
      <w:marLeft w:val="0"/>
      <w:marRight w:val="0"/>
      <w:marTop w:val="0"/>
      <w:marBottom w:val="0"/>
      <w:divBdr>
        <w:top w:val="none" w:sz="0" w:space="0" w:color="auto"/>
        <w:left w:val="none" w:sz="0" w:space="0" w:color="auto"/>
        <w:bottom w:val="none" w:sz="0" w:space="0" w:color="auto"/>
        <w:right w:val="none" w:sz="0" w:space="0" w:color="auto"/>
      </w:divBdr>
    </w:div>
    <w:div w:id="1493445787">
      <w:bodyDiv w:val="1"/>
      <w:marLeft w:val="0"/>
      <w:marRight w:val="0"/>
      <w:marTop w:val="0"/>
      <w:marBottom w:val="0"/>
      <w:divBdr>
        <w:top w:val="none" w:sz="0" w:space="0" w:color="auto"/>
        <w:left w:val="none" w:sz="0" w:space="0" w:color="auto"/>
        <w:bottom w:val="none" w:sz="0" w:space="0" w:color="auto"/>
        <w:right w:val="none" w:sz="0" w:space="0" w:color="auto"/>
      </w:divBdr>
    </w:div>
    <w:div w:id="1493522371">
      <w:bodyDiv w:val="1"/>
      <w:marLeft w:val="0"/>
      <w:marRight w:val="0"/>
      <w:marTop w:val="0"/>
      <w:marBottom w:val="0"/>
      <w:divBdr>
        <w:top w:val="none" w:sz="0" w:space="0" w:color="auto"/>
        <w:left w:val="none" w:sz="0" w:space="0" w:color="auto"/>
        <w:bottom w:val="none" w:sz="0" w:space="0" w:color="auto"/>
        <w:right w:val="none" w:sz="0" w:space="0" w:color="auto"/>
      </w:divBdr>
    </w:div>
    <w:div w:id="1493646526">
      <w:bodyDiv w:val="1"/>
      <w:marLeft w:val="0"/>
      <w:marRight w:val="0"/>
      <w:marTop w:val="0"/>
      <w:marBottom w:val="0"/>
      <w:divBdr>
        <w:top w:val="none" w:sz="0" w:space="0" w:color="auto"/>
        <w:left w:val="none" w:sz="0" w:space="0" w:color="auto"/>
        <w:bottom w:val="none" w:sz="0" w:space="0" w:color="auto"/>
        <w:right w:val="none" w:sz="0" w:space="0" w:color="auto"/>
      </w:divBdr>
    </w:div>
    <w:div w:id="1493721043">
      <w:bodyDiv w:val="1"/>
      <w:marLeft w:val="0"/>
      <w:marRight w:val="0"/>
      <w:marTop w:val="0"/>
      <w:marBottom w:val="0"/>
      <w:divBdr>
        <w:top w:val="none" w:sz="0" w:space="0" w:color="auto"/>
        <w:left w:val="none" w:sz="0" w:space="0" w:color="auto"/>
        <w:bottom w:val="none" w:sz="0" w:space="0" w:color="auto"/>
        <w:right w:val="none" w:sz="0" w:space="0" w:color="auto"/>
      </w:divBdr>
    </w:div>
    <w:div w:id="1494103773">
      <w:bodyDiv w:val="1"/>
      <w:marLeft w:val="0"/>
      <w:marRight w:val="0"/>
      <w:marTop w:val="0"/>
      <w:marBottom w:val="0"/>
      <w:divBdr>
        <w:top w:val="none" w:sz="0" w:space="0" w:color="auto"/>
        <w:left w:val="none" w:sz="0" w:space="0" w:color="auto"/>
        <w:bottom w:val="none" w:sz="0" w:space="0" w:color="auto"/>
        <w:right w:val="none" w:sz="0" w:space="0" w:color="auto"/>
      </w:divBdr>
    </w:div>
    <w:div w:id="1494249897">
      <w:bodyDiv w:val="1"/>
      <w:marLeft w:val="0"/>
      <w:marRight w:val="0"/>
      <w:marTop w:val="0"/>
      <w:marBottom w:val="0"/>
      <w:divBdr>
        <w:top w:val="none" w:sz="0" w:space="0" w:color="auto"/>
        <w:left w:val="none" w:sz="0" w:space="0" w:color="auto"/>
        <w:bottom w:val="none" w:sz="0" w:space="0" w:color="auto"/>
        <w:right w:val="none" w:sz="0" w:space="0" w:color="auto"/>
      </w:divBdr>
    </w:div>
    <w:div w:id="1494375227">
      <w:bodyDiv w:val="1"/>
      <w:marLeft w:val="0"/>
      <w:marRight w:val="0"/>
      <w:marTop w:val="0"/>
      <w:marBottom w:val="0"/>
      <w:divBdr>
        <w:top w:val="none" w:sz="0" w:space="0" w:color="auto"/>
        <w:left w:val="none" w:sz="0" w:space="0" w:color="auto"/>
        <w:bottom w:val="none" w:sz="0" w:space="0" w:color="auto"/>
        <w:right w:val="none" w:sz="0" w:space="0" w:color="auto"/>
      </w:divBdr>
    </w:div>
    <w:div w:id="1494489296">
      <w:bodyDiv w:val="1"/>
      <w:marLeft w:val="0"/>
      <w:marRight w:val="0"/>
      <w:marTop w:val="0"/>
      <w:marBottom w:val="0"/>
      <w:divBdr>
        <w:top w:val="none" w:sz="0" w:space="0" w:color="auto"/>
        <w:left w:val="none" w:sz="0" w:space="0" w:color="auto"/>
        <w:bottom w:val="none" w:sz="0" w:space="0" w:color="auto"/>
        <w:right w:val="none" w:sz="0" w:space="0" w:color="auto"/>
      </w:divBdr>
    </w:div>
    <w:div w:id="1494684350">
      <w:bodyDiv w:val="1"/>
      <w:marLeft w:val="0"/>
      <w:marRight w:val="0"/>
      <w:marTop w:val="0"/>
      <w:marBottom w:val="0"/>
      <w:divBdr>
        <w:top w:val="none" w:sz="0" w:space="0" w:color="auto"/>
        <w:left w:val="none" w:sz="0" w:space="0" w:color="auto"/>
        <w:bottom w:val="none" w:sz="0" w:space="0" w:color="auto"/>
        <w:right w:val="none" w:sz="0" w:space="0" w:color="auto"/>
      </w:divBdr>
    </w:div>
    <w:div w:id="1494684529">
      <w:bodyDiv w:val="1"/>
      <w:marLeft w:val="0"/>
      <w:marRight w:val="0"/>
      <w:marTop w:val="0"/>
      <w:marBottom w:val="0"/>
      <w:divBdr>
        <w:top w:val="none" w:sz="0" w:space="0" w:color="auto"/>
        <w:left w:val="none" w:sz="0" w:space="0" w:color="auto"/>
        <w:bottom w:val="none" w:sz="0" w:space="0" w:color="auto"/>
        <w:right w:val="none" w:sz="0" w:space="0" w:color="auto"/>
      </w:divBdr>
    </w:div>
    <w:div w:id="1494755117">
      <w:bodyDiv w:val="1"/>
      <w:marLeft w:val="0"/>
      <w:marRight w:val="0"/>
      <w:marTop w:val="0"/>
      <w:marBottom w:val="0"/>
      <w:divBdr>
        <w:top w:val="none" w:sz="0" w:space="0" w:color="auto"/>
        <w:left w:val="none" w:sz="0" w:space="0" w:color="auto"/>
        <w:bottom w:val="none" w:sz="0" w:space="0" w:color="auto"/>
        <w:right w:val="none" w:sz="0" w:space="0" w:color="auto"/>
      </w:divBdr>
    </w:div>
    <w:div w:id="1494832850">
      <w:bodyDiv w:val="1"/>
      <w:marLeft w:val="0"/>
      <w:marRight w:val="0"/>
      <w:marTop w:val="0"/>
      <w:marBottom w:val="0"/>
      <w:divBdr>
        <w:top w:val="none" w:sz="0" w:space="0" w:color="auto"/>
        <w:left w:val="none" w:sz="0" w:space="0" w:color="auto"/>
        <w:bottom w:val="none" w:sz="0" w:space="0" w:color="auto"/>
        <w:right w:val="none" w:sz="0" w:space="0" w:color="auto"/>
      </w:divBdr>
    </w:div>
    <w:div w:id="1495992906">
      <w:bodyDiv w:val="1"/>
      <w:marLeft w:val="0"/>
      <w:marRight w:val="0"/>
      <w:marTop w:val="0"/>
      <w:marBottom w:val="0"/>
      <w:divBdr>
        <w:top w:val="none" w:sz="0" w:space="0" w:color="auto"/>
        <w:left w:val="none" w:sz="0" w:space="0" w:color="auto"/>
        <w:bottom w:val="none" w:sz="0" w:space="0" w:color="auto"/>
        <w:right w:val="none" w:sz="0" w:space="0" w:color="auto"/>
      </w:divBdr>
    </w:div>
    <w:div w:id="1496066946">
      <w:bodyDiv w:val="1"/>
      <w:marLeft w:val="0"/>
      <w:marRight w:val="0"/>
      <w:marTop w:val="0"/>
      <w:marBottom w:val="0"/>
      <w:divBdr>
        <w:top w:val="none" w:sz="0" w:space="0" w:color="auto"/>
        <w:left w:val="none" w:sz="0" w:space="0" w:color="auto"/>
        <w:bottom w:val="none" w:sz="0" w:space="0" w:color="auto"/>
        <w:right w:val="none" w:sz="0" w:space="0" w:color="auto"/>
      </w:divBdr>
    </w:div>
    <w:div w:id="1496145941">
      <w:bodyDiv w:val="1"/>
      <w:marLeft w:val="0"/>
      <w:marRight w:val="0"/>
      <w:marTop w:val="0"/>
      <w:marBottom w:val="0"/>
      <w:divBdr>
        <w:top w:val="none" w:sz="0" w:space="0" w:color="auto"/>
        <w:left w:val="none" w:sz="0" w:space="0" w:color="auto"/>
        <w:bottom w:val="none" w:sz="0" w:space="0" w:color="auto"/>
        <w:right w:val="none" w:sz="0" w:space="0" w:color="auto"/>
      </w:divBdr>
    </w:div>
    <w:div w:id="1496335899">
      <w:bodyDiv w:val="1"/>
      <w:marLeft w:val="0"/>
      <w:marRight w:val="0"/>
      <w:marTop w:val="0"/>
      <w:marBottom w:val="0"/>
      <w:divBdr>
        <w:top w:val="none" w:sz="0" w:space="0" w:color="auto"/>
        <w:left w:val="none" w:sz="0" w:space="0" w:color="auto"/>
        <w:bottom w:val="none" w:sz="0" w:space="0" w:color="auto"/>
        <w:right w:val="none" w:sz="0" w:space="0" w:color="auto"/>
      </w:divBdr>
    </w:div>
    <w:div w:id="1496385037">
      <w:bodyDiv w:val="1"/>
      <w:marLeft w:val="0"/>
      <w:marRight w:val="0"/>
      <w:marTop w:val="0"/>
      <w:marBottom w:val="0"/>
      <w:divBdr>
        <w:top w:val="none" w:sz="0" w:space="0" w:color="auto"/>
        <w:left w:val="none" w:sz="0" w:space="0" w:color="auto"/>
        <w:bottom w:val="none" w:sz="0" w:space="0" w:color="auto"/>
        <w:right w:val="none" w:sz="0" w:space="0" w:color="auto"/>
      </w:divBdr>
    </w:div>
    <w:div w:id="1496460170">
      <w:bodyDiv w:val="1"/>
      <w:marLeft w:val="0"/>
      <w:marRight w:val="0"/>
      <w:marTop w:val="0"/>
      <w:marBottom w:val="0"/>
      <w:divBdr>
        <w:top w:val="none" w:sz="0" w:space="0" w:color="auto"/>
        <w:left w:val="none" w:sz="0" w:space="0" w:color="auto"/>
        <w:bottom w:val="none" w:sz="0" w:space="0" w:color="auto"/>
        <w:right w:val="none" w:sz="0" w:space="0" w:color="auto"/>
      </w:divBdr>
    </w:div>
    <w:div w:id="1496528326">
      <w:bodyDiv w:val="1"/>
      <w:marLeft w:val="0"/>
      <w:marRight w:val="0"/>
      <w:marTop w:val="0"/>
      <w:marBottom w:val="0"/>
      <w:divBdr>
        <w:top w:val="none" w:sz="0" w:space="0" w:color="auto"/>
        <w:left w:val="none" w:sz="0" w:space="0" w:color="auto"/>
        <w:bottom w:val="none" w:sz="0" w:space="0" w:color="auto"/>
        <w:right w:val="none" w:sz="0" w:space="0" w:color="auto"/>
      </w:divBdr>
    </w:div>
    <w:div w:id="1496531688">
      <w:bodyDiv w:val="1"/>
      <w:marLeft w:val="0"/>
      <w:marRight w:val="0"/>
      <w:marTop w:val="0"/>
      <w:marBottom w:val="0"/>
      <w:divBdr>
        <w:top w:val="none" w:sz="0" w:space="0" w:color="auto"/>
        <w:left w:val="none" w:sz="0" w:space="0" w:color="auto"/>
        <w:bottom w:val="none" w:sz="0" w:space="0" w:color="auto"/>
        <w:right w:val="none" w:sz="0" w:space="0" w:color="auto"/>
      </w:divBdr>
    </w:div>
    <w:div w:id="1496652508">
      <w:bodyDiv w:val="1"/>
      <w:marLeft w:val="0"/>
      <w:marRight w:val="0"/>
      <w:marTop w:val="0"/>
      <w:marBottom w:val="0"/>
      <w:divBdr>
        <w:top w:val="none" w:sz="0" w:space="0" w:color="auto"/>
        <w:left w:val="none" w:sz="0" w:space="0" w:color="auto"/>
        <w:bottom w:val="none" w:sz="0" w:space="0" w:color="auto"/>
        <w:right w:val="none" w:sz="0" w:space="0" w:color="auto"/>
      </w:divBdr>
    </w:div>
    <w:div w:id="1496725286">
      <w:bodyDiv w:val="1"/>
      <w:marLeft w:val="0"/>
      <w:marRight w:val="0"/>
      <w:marTop w:val="0"/>
      <w:marBottom w:val="0"/>
      <w:divBdr>
        <w:top w:val="none" w:sz="0" w:space="0" w:color="auto"/>
        <w:left w:val="none" w:sz="0" w:space="0" w:color="auto"/>
        <w:bottom w:val="none" w:sz="0" w:space="0" w:color="auto"/>
        <w:right w:val="none" w:sz="0" w:space="0" w:color="auto"/>
      </w:divBdr>
    </w:div>
    <w:div w:id="1496842641">
      <w:bodyDiv w:val="1"/>
      <w:marLeft w:val="0"/>
      <w:marRight w:val="0"/>
      <w:marTop w:val="0"/>
      <w:marBottom w:val="0"/>
      <w:divBdr>
        <w:top w:val="none" w:sz="0" w:space="0" w:color="auto"/>
        <w:left w:val="none" w:sz="0" w:space="0" w:color="auto"/>
        <w:bottom w:val="none" w:sz="0" w:space="0" w:color="auto"/>
        <w:right w:val="none" w:sz="0" w:space="0" w:color="auto"/>
      </w:divBdr>
    </w:div>
    <w:div w:id="1496871703">
      <w:bodyDiv w:val="1"/>
      <w:marLeft w:val="0"/>
      <w:marRight w:val="0"/>
      <w:marTop w:val="0"/>
      <w:marBottom w:val="0"/>
      <w:divBdr>
        <w:top w:val="none" w:sz="0" w:space="0" w:color="auto"/>
        <w:left w:val="none" w:sz="0" w:space="0" w:color="auto"/>
        <w:bottom w:val="none" w:sz="0" w:space="0" w:color="auto"/>
        <w:right w:val="none" w:sz="0" w:space="0" w:color="auto"/>
      </w:divBdr>
    </w:div>
    <w:div w:id="1496872039">
      <w:bodyDiv w:val="1"/>
      <w:marLeft w:val="0"/>
      <w:marRight w:val="0"/>
      <w:marTop w:val="0"/>
      <w:marBottom w:val="0"/>
      <w:divBdr>
        <w:top w:val="none" w:sz="0" w:space="0" w:color="auto"/>
        <w:left w:val="none" w:sz="0" w:space="0" w:color="auto"/>
        <w:bottom w:val="none" w:sz="0" w:space="0" w:color="auto"/>
        <w:right w:val="none" w:sz="0" w:space="0" w:color="auto"/>
      </w:divBdr>
    </w:div>
    <w:div w:id="1496872922">
      <w:bodyDiv w:val="1"/>
      <w:marLeft w:val="0"/>
      <w:marRight w:val="0"/>
      <w:marTop w:val="0"/>
      <w:marBottom w:val="0"/>
      <w:divBdr>
        <w:top w:val="none" w:sz="0" w:space="0" w:color="auto"/>
        <w:left w:val="none" w:sz="0" w:space="0" w:color="auto"/>
        <w:bottom w:val="none" w:sz="0" w:space="0" w:color="auto"/>
        <w:right w:val="none" w:sz="0" w:space="0" w:color="auto"/>
      </w:divBdr>
    </w:div>
    <w:div w:id="1497451421">
      <w:bodyDiv w:val="1"/>
      <w:marLeft w:val="0"/>
      <w:marRight w:val="0"/>
      <w:marTop w:val="0"/>
      <w:marBottom w:val="0"/>
      <w:divBdr>
        <w:top w:val="none" w:sz="0" w:space="0" w:color="auto"/>
        <w:left w:val="none" w:sz="0" w:space="0" w:color="auto"/>
        <w:bottom w:val="none" w:sz="0" w:space="0" w:color="auto"/>
        <w:right w:val="none" w:sz="0" w:space="0" w:color="auto"/>
      </w:divBdr>
    </w:div>
    <w:div w:id="1497452861">
      <w:bodyDiv w:val="1"/>
      <w:marLeft w:val="0"/>
      <w:marRight w:val="0"/>
      <w:marTop w:val="0"/>
      <w:marBottom w:val="0"/>
      <w:divBdr>
        <w:top w:val="none" w:sz="0" w:space="0" w:color="auto"/>
        <w:left w:val="none" w:sz="0" w:space="0" w:color="auto"/>
        <w:bottom w:val="none" w:sz="0" w:space="0" w:color="auto"/>
        <w:right w:val="none" w:sz="0" w:space="0" w:color="auto"/>
      </w:divBdr>
    </w:div>
    <w:div w:id="1497502992">
      <w:bodyDiv w:val="1"/>
      <w:marLeft w:val="0"/>
      <w:marRight w:val="0"/>
      <w:marTop w:val="0"/>
      <w:marBottom w:val="0"/>
      <w:divBdr>
        <w:top w:val="none" w:sz="0" w:space="0" w:color="auto"/>
        <w:left w:val="none" w:sz="0" w:space="0" w:color="auto"/>
        <w:bottom w:val="none" w:sz="0" w:space="0" w:color="auto"/>
        <w:right w:val="none" w:sz="0" w:space="0" w:color="auto"/>
      </w:divBdr>
    </w:div>
    <w:div w:id="1497724222">
      <w:bodyDiv w:val="1"/>
      <w:marLeft w:val="0"/>
      <w:marRight w:val="0"/>
      <w:marTop w:val="0"/>
      <w:marBottom w:val="0"/>
      <w:divBdr>
        <w:top w:val="none" w:sz="0" w:space="0" w:color="auto"/>
        <w:left w:val="none" w:sz="0" w:space="0" w:color="auto"/>
        <w:bottom w:val="none" w:sz="0" w:space="0" w:color="auto"/>
        <w:right w:val="none" w:sz="0" w:space="0" w:color="auto"/>
      </w:divBdr>
    </w:div>
    <w:div w:id="1497726648">
      <w:bodyDiv w:val="1"/>
      <w:marLeft w:val="0"/>
      <w:marRight w:val="0"/>
      <w:marTop w:val="0"/>
      <w:marBottom w:val="0"/>
      <w:divBdr>
        <w:top w:val="none" w:sz="0" w:space="0" w:color="auto"/>
        <w:left w:val="none" w:sz="0" w:space="0" w:color="auto"/>
        <w:bottom w:val="none" w:sz="0" w:space="0" w:color="auto"/>
        <w:right w:val="none" w:sz="0" w:space="0" w:color="auto"/>
      </w:divBdr>
    </w:div>
    <w:div w:id="1498108335">
      <w:bodyDiv w:val="1"/>
      <w:marLeft w:val="0"/>
      <w:marRight w:val="0"/>
      <w:marTop w:val="0"/>
      <w:marBottom w:val="0"/>
      <w:divBdr>
        <w:top w:val="none" w:sz="0" w:space="0" w:color="auto"/>
        <w:left w:val="none" w:sz="0" w:space="0" w:color="auto"/>
        <w:bottom w:val="none" w:sz="0" w:space="0" w:color="auto"/>
        <w:right w:val="none" w:sz="0" w:space="0" w:color="auto"/>
      </w:divBdr>
    </w:div>
    <w:div w:id="1498577559">
      <w:bodyDiv w:val="1"/>
      <w:marLeft w:val="0"/>
      <w:marRight w:val="0"/>
      <w:marTop w:val="0"/>
      <w:marBottom w:val="0"/>
      <w:divBdr>
        <w:top w:val="none" w:sz="0" w:space="0" w:color="auto"/>
        <w:left w:val="none" w:sz="0" w:space="0" w:color="auto"/>
        <w:bottom w:val="none" w:sz="0" w:space="0" w:color="auto"/>
        <w:right w:val="none" w:sz="0" w:space="0" w:color="auto"/>
      </w:divBdr>
    </w:div>
    <w:div w:id="1498687438">
      <w:bodyDiv w:val="1"/>
      <w:marLeft w:val="0"/>
      <w:marRight w:val="0"/>
      <w:marTop w:val="0"/>
      <w:marBottom w:val="0"/>
      <w:divBdr>
        <w:top w:val="none" w:sz="0" w:space="0" w:color="auto"/>
        <w:left w:val="none" w:sz="0" w:space="0" w:color="auto"/>
        <w:bottom w:val="none" w:sz="0" w:space="0" w:color="auto"/>
        <w:right w:val="none" w:sz="0" w:space="0" w:color="auto"/>
      </w:divBdr>
    </w:div>
    <w:div w:id="1498961543">
      <w:bodyDiv w:val="1"/>
      <w:marLeft w:val="0"/>
      <w:marRight w:val="0"/>
      <w:marTop w:val="0"/>
      <w:marBottom w:val="0"/>
      <w:divBdr>
        <w:top w:val="none" w:sz="0" w:space="0" w:color="auto"/>
        <w:left w:val="none" w:sz="0" w:space="0" w:color="auto"/>
        <w:bottom w:val="none" w:sz="0" w:space="0" w:color="auto"/>
        <w:right w:val="none" w:sz="0" w:space="0" w:color="auto"/>
      </w:divBdr>
    </w:div>
    <w:div w:id="1499341179">
      <w:bodyDiv w:val="1"/>
      <w:marLeft w:val="0"/>
      <w:marRight w:val="0"/>
      <w:marTop w:val="0"/>
      <w:marBottom w:val="0"/>
      <w:divBdr>
        <w:top w:val="none" w:sz="0" w:space="0" w:color="auto"/>
        <w:left w:val="none" w:sz="0" w:space="0" w:color="auto"/>
        <w:bottom w:val="none" w:sz="0" w:space="0" w:color="auto"/>
        <w:right w:val="none" w:sz="0" w:space="0" w:color="auto"/>
      </w:divBdr>
    </w:div>
    <w:div w:id="1499534903">
      <w:bodyDiv w:val="1"/>
      <w:marLeft w:val="0"/>
      <w:marRight w:val="0"/>
      <w:marTop w:val="0"/>
      <w:marBottom w:val="0"/>
      <w:divBdr>
        <w:top w:val="none" w:sz="0" w:space="0" w:color="auto"/>
        <w:left w:val="none" w:sz="0" w:space="0" w:color="auto"/>
        <w:bottom w:val="none" w:sz="0" w:space="0" w:color="auto"/>
        <w:right w:val="none" w:sz="0" w:space="0" w:color="auto"/>
      </w:divBdr>
    </w:div>
    <w:div w:id="1499660825">
      <w:bodyDiv w:val="1"/>
      <w:marLeft w:val="0"/>
      <w:marRight w:val="0"/>
      <w:marTop w:val="0"/>
      <w:marBottom w:val="0"/>
      <w:divBdr>
        <w:top w:val="none" w:sz="0" w:space="0" w:color="auto"/>
        <w:left w:val="none" w:sz="0" w:space="0" w:color="auto"/>
        <w:bottom w:val="none" w:sz="0" w:space="0" w:color="auto"/>
        <w:right w:val="none" w:sz="0" w:space="0" w:color="auto"/>
      </w:divBdr>
    </w:div>
    <w:div w:id="1499929720">
      <w:bodyDiv w:val="1"/>
      <w:marLeft w:val="0"/>
      <w:marRight w:val="0"/>
      <w:marTop w:val="0"/>
      <w:marBottom w:val="0"/>
      <w:divBdr>
        <w:top w:val="none" w:sz="0" w:space="0" w:color="auto"/>
        <w:left w:val="none" w:sz="0" w:space="0" w:color="auto"/>
        <w:bottom w:val="none" w:sz="0" w:space="0" w:color="auto"/>
        <w:right w:val="none" w:sz="0" w:space="0" w:color="auto"/>
      </w:divBdr>
    </w:div>
    <w:div w:id="1500004630">
      <w:bodyDiv w:val="1"/>
      <w:marLeft w:val="0"/>
      <w:marRight w:val="0"/>
      <w:marTop w:val="0"/>
      <w:marBottom w:val="0"/>
      <w:divBdr>
        <w:top w:val="none" w:sz="0" w:space="0" w:color="auto"/>
        <w:left w:val="none" w:sz="0" w:space="0" w:color="auto"/>
        <w:bottom w:val="none" w:sz="0" w:space="0" w:color="auto"/>
        <w:right w:val="none" w:sz="0" w:space="0" w:color="auto"/>
      </w:divBdr>
    </w:div>
    <w:div w:id="1500080350">
      <w:bodyDiv w:val="1"/>
      <w:marLeft w:val="0"/>
      <w:marRight w:val="0"/>
      <w:marTop w:val="0"/>
      <w:marBottom w:val="0"/>
      <w:divBdr>
        <w:top w:val="none" w:sz="0" w:space="0" w:color="auto"/>
        <w:left w:val="none" w:sz="0" w:space="0" w:color="auto"/>
        <w:bottom w:val="none" w:sz="0" w:space="0" w:color="auto"/>
        <w:right w:val="none" w:sz="0" w:space="0" w:color="auto"/>
      </w:divBdr>
    </w:div>
    <w:div w:id="1500269461">
      <w:bodyDiv w:val="1"/>
      <w:marLeft w:val="0"/>
      <w:marRight w:val="0"/>
      <w:marTop w:val="0"/>
      <w:marBottom w:val="0"/>
      <w:divBdr>
        <w:top w:val="none" w:sz="0" w:space="0" w:color="auto"/>
        <w:left w:val="none" w:sz="0" w:space="0" w:color="auto"/>
        <w:bottom w:val="none" w:sz="0" w:space="0" w:color="auto"/>
        <w:right w:val="none" w:sz="0" w:space="0" w:color="auto"/>
      </w:divBdr>
    </w:div>
    <w:div w:id="1500389398">
      <w:bodyDiv w:val="1"/>
      <w:marLeft w:val="0"/>
      <w:marRight w:val="0"/>
      <w:marTop w:val="0"/>
      <w:marBottom w:val="0"/>
      <w:divBdr>
        <w:top w:val="none" w:sz="0" w:space="0" w:color="auto"/>
        <w:left w:val="none" w:sz="0" w:space="0" w:color="auto"/>
        <w:bottom w:val="none" w:sz="0" w:space="0" w:color="auto"/>
        <w:right w:val="none" w:sz="0" w:space="0" w:color="auto"/>
      </w:divBdr>
    </w:div>
    <w:div w:id="1500540562">
      <w:bodyDiv w:val="1"/>
      <w:marLeft w:val="0"/>
      <w:marRight w:val="0"/>
      <w:marTop w:val="0"/>
      <w:marBottom w:val="0"/>
      <w:divBdr>
        <w:top w:val="none" w:sz="0" w:space="0" w:color="auto"/>
        <w:left w:val="none" w:sz="0" w:space="0" w:color="auto"/>
        <w:bottom w:val="none" w:sz="0" w:space="0" w:color="auto"/>
        <w:right w:val="none" w:sz="0" w:space="0" w:color="auto"/>
      </w:divBdr>
    </w:div>
    <w:div w:id="1500541181">
      <w:bodyDiv w:val="1"/>
      <w:marLeft w:val="0"/>
      <w:marRight w:val="0"/>
      <w:marTop w:val="0"/>
      <w:marBottom w:val="0"/>
      <w:divBdr>
        <w:top w:val="none" w:sz="0" w:space="0" w:color="auto"/>
        <w:left w:val="none" w:sz="0" w:space="0" w:color="auto"/>
        <w:bottom w:val="none" w:sz="0" w:space="0" w:color="auto"/>
        <w:right w:val="none" w:sz="0" w:space="0" w:color="auto"/>
      </w:divBdr>
    </w:div>
    <w:div w:id="1500582081">
      <w:bodyDiv w:val="1"/>
      <w:marLeft w:val="0"/>
      <w:marRight w:val="0"/>
      <w:marTop w:val="0"/>
      <w:marBottom w:val="0"/>
      <w:divBdr>
        <w:top w:val="none" w:sz="0" w:space="0" w:color="auto"/>
        <w:left w:val="none" w:sz="0" w:space="0" w:color="auto"/>
        <w:bottom w:val="none" w:sz="0" w:space="0" w:color="auto"/>
        <w:right w:val="none" w:sz="0" w:space="0" w:color="auto"/>
      </w:divBdr>
    </w:div>
    <w:div w:id="1500609531">
      <w:bodyDiv w:val="1"/>
      <w:marLeft w:val="0"/>
      <w:marRight w:val="0"/>
      <w:marTop w:val="0"/>
      <w:marBottom w:val="0"/>
      <w:divBdr>
        <w:top w:val="none" w:sz="0" w:space="0" w:color="auto"/>
        <w:left w:val="none" w:sz="0" w:space="0" w:color="auto"/>
        <w:bottom w:val="none" w:sz="0" w:space="0" w:color="auto"/>
        <w:right w:val="none" w:sz="0" w:space="0" w:color="auto"/>
      </w:divBdr>
    </w:div>
    <w:div w:id="1501117675">
      <w:bodyDiv w:val="1"/>
      <w:marLeft w:val="0"/>
      <w:marRight w:val="0"/>
      <w:marTop w:val="0"/>
      <w:marBottom w:val="0"/>
      <w:divBdr>
        <w:top w:val="none" w:sz="0" w:space="0" w:color="auto"/>
        <w:left w:val="none" w:sz="0" w:space="0" w:color="auto"/>
        <w:bottom w:val="none" w:sz="0" w:space="0" w:color="auto"/>
        <w:right w:val="none" w:sz="0" w:space="0" w:color="auto"/>
      </w:divBdr>
    </w:div>
    <w:div w:id="1501702663">
      <w:bodyDiv w:val="1"/>
      <w:marLeft w:val="0"/>
      <w:marRight w:val="0"/>
      <w:marTop w:val="0"/>
      <w:marBottom w:val="0"/>
      <w:divBdr>
        <w:top w:val="none" w:sz="0" w:space="0" w:color="auto"/>
        <w:left w:val="none" w:sz="0" w:space="0" w:color="auto"/>
        <w:bottom w:val="none" w:sz="0" w:space="0" w:color="auto"/>
        <w:right w:val="none" w:sz="0" w:space="0" w:color="auto"/>
      </w:divBdr>
    </w:div>
    <w:div w:id="1501971562">
      <w:bodyDiv w:val="1"/>
      <w:marLeft w:val="0"/>
      <w:marRight w:val="0"/>
      <w:marTop w:val="0"/>
      <w:marBottom w:val="0"/>
      <w:divBdr>
        <w:top w:val="none" w:sz="0" w:space="0" w:color="auto"/>
        <w:left w:val="none" w:sz="0" w:space="0" w:color="auto"/>
        <w:bottom w:val="none" w:sz="0" w:space="0" w:color="auto"/>
        <w:right w:val="none" w:sz="0" w:space="0" w:color="auto"/>
      </w:divBdr>
    </w:div>
    <w:div w:id="1502045988">
      <w:bodyDiv w:val="1"/>
      <w:marLeft w:val="0"/>
      <w:marRight w:val="0"/>
      <w:marTop w:val="0"/>
      <w:marBottom w:val="0"/>
      <w:divBdr>
        <w:top w:val="none" w:sz="0" w:space="0" w:color="auto"/>
        <w:left w:val="none" w:sz="0" w:space="0" w:color="auto"/>
        <w:bottom w:val="none" w:sz="0" w:space="0" w:color="auto"/>
        <w:right w:val="none" w:sz="0" w:space="0" w:color="auto"/>
      </w:divBdr>
    </w:div>
    <w:div w:id="1502156609">
      <w:bodyDiv w:val="1"/>
      <w:marLeft w:val="0"/>
      <w:marRight w:val="0"/>
      <w:marTop w:val="0"/>
      <w:marBottom w:val="0"/>
      <w:divBdr>
        <w:top w:val="none" w:sz="0" w:space="0" w:color="auto"/>
        <w:left w:val="none" w:sz="0" w:space="0" w:color="auto"/>
        <w:bottom w:val="none" w:sz="0" w:space="0" w:color="auto"/>
        <w:right w:val="none" w:sz="0" w:space="0" w:color="auto"/>
      </w:divBdr>
    </w:div>
    <w:div w:id="1502162673">
      <w:bodyDiv w:val="1"/>
      <w:marLeft w:val="0"/>
      <w:marRight w:val="0"/>
      <w:marTop w:val="0"/>
      <w:marBottom w:val="0"/>
      <w:divBdr>
        <w:top w:val="none" w:sz="0" w:space="0" w:color="auto"/>
        <w:left w:val="none" w:sz="0" w:space="0" w:color="auto"/>
        <w:bottom w:val="none" w:sz="0" w:space="0" w:color="auto"/>
        <w:right w:val="none" w:sz="0" w:space="0" w:color="auto"/>
      </w:divBdr>
    </w:div>
    <w:div w:id="1502234513">
      <w:bodyDiv w:val="1"/>
      <w:marLeft w:val="0"/>
      <w:marRight w:val="0"/>
      <w:marTop w:val="0"/>
      <w:marBottom w:val="0"/>
      <w:divBdr>
        <w:top w:val="none" w:sz="0" w:space="0" w:color="auto"/>
        <w:left w:val="none" w:sz="0" w:space="0" w:color="auto"/>
        <w:bottom w:val="none" w:sz="0" w:space="0" w:color="auto"/>
        <w:right w:val="none" w:sz="0" w:space="0" w:color="auto"/>
      </w:divBdr>
    </w:div>
    <w:div w:id="1502309383">
      <w:bodyDiv w:val="1"/>
      <w:marLeft w:val="0"/>
      <w:marRight w:val="0"/>
      <w:marTop w:val="0"/>
      <w:marBottom w:val="0"/>
      <w:divBdr>
        <w:top w:val="none" w:sz="0" w:space="0" w:color="auto"/>
        <w:left w:val="none" w:sz="0" w:space="0" w:color="auto"/>
        <w:bottom w:val="none" w:sz="0" w:space="0" w:color="auto"/>
        <w:right w:val="none" w:sz="0" w:space="0" w:color="auto"/>
      </w:divBdr>
    </w:div>
    <w:div w:id="1502356243">
      <w:bodyDiv w:val="1"/>
      <w:marLeft w:val="0"/>
      <w:marRight w:val="0"/>
      <w:marTop w:val="0"/>
      <w:marBottom w:val="0"/>
      <w:divBdr>
        <w:top w:val="none" w:sz="0" w:space="0" w:color="auto"/>
        <w:left w:val="none" w:sz="0" w:space="0" w:color="auto"/>
        <w:bottom w:val="none" w:sz="0" w:space="0" w:color="auto"/>
        <w:right w:val="none" w:sz="0" w:space="0" w:color="auto"/>
      </w:divBdr>
    </w:div>
    <w:div w:id="1502425093">
      <w:bodyDiv w:val="1"/>
      <w:marLeft w:val="0"/>
      <w:marRight w:val="0"/>
      <w:marTop w:val="0"/>
      <w:marBottom w:val="0"/>
      <w:divBdr>
        <w:top w:val="none" w:sz="0" w:space="0" w:color="auto"/>
        <w:left w:val="none" w:sz="0" w:space="0" w:color="auto"/>
        <w:bottom w:val="none" w:sz="0" w:space="0" w:color="auto"/>
        <w:right w:val="none" w:sz="0" w:space="0" w:color="auto"/>
      </w:divBdr>
    </w:div>
    <w:div w:id="1502622432">
      <w:bodyDiv w:val="1"/>
      <w:marLeft w:val="0"/>
      <w:marRight w:val="0"/>
      <w:marTop w:val="0"/>
      <w:marBottom w:val="0"/>
      <w:divBdr>
        <w:top w:val="none" w:sz="0" w:space="0" w:color="auto"/>
        <w:left w:val="none" w:sz="0" w:space="0" w:color="auto"/>
        <w:bottom w:val="none" w:sz="0" w:space="0" w:color="auto"/>
        <w:right w:val="none" w:sz="0" w:space="0" w:color="auto"/>
      </w:divBdr>
    </w:div>
    <w:div w:id="1502625303">
      <w:bodyDiv w:val="1"/>
      <w:marLeft w:val="0"/>
      <w:marRight w:val="0"/>
      <w:marTop w:val="0"/>
      <w:marBottom w:val="0"/>
      <w:divBdr>
        <w:top w:val="none" w:sz="0" w:space="0" w:color="auto"/>
        <w:left w:val="none" w:sz="0" w:space="0" w:color="auto"/>
        <w:bottom w:val="none" w:sz="0" w:space="0" w:color="auto"/>
        <w:right w:val="none" w:sz="0" w:space="0" w:color="auto"/>
      </w:divBdr>
    </w:div>
    <w:div w:id="1502772368">
      <w:bodyDiv w:val="1"/>
      <w:marLeft w:val="0"/>
      <w:marRight w:val="0"/>
      <w:marTop w:val="0"/>
      <w:marBottom w:val="0"/>
      <w:divBdr>
        <w:top w:val="none" w:sz="0" w:space="0" w:color="auto"/>
        <w:left w:val="none" w:sz="0" w:space="0" w:color="auto"/>
        <w:bottom w:val="none" w:sz="0" w:space="0" w:color="auto"/>
        <w:right w:val="none" w:sz="0" w:space="0" w:color="auto"/>
      </w:divBdr>
    </w:div>
    <w:div w:id="1502892996">
      <w:bodyDiv w:val="1"/>
      <w:marLeft w:val="0"/>
      <w:marRight w:val="0"/>
      <w:marTop w:val="0"/>
      <w:marBottom w:val="0"/>
      <w:divBdr>
        <w:top w:val="none" w:sz="0" w:space="0" w:color="auto"/>
        <w:left w:val="none" w:sz="0" w:space="0" w:color="auto"/>
        <w:bottom w:val="none" w:sz="0" w:space="0" w:color="auto"/>
        <w:right w:val="none" w:sz="0" w:space="0" w:color="auto"/>
      </w:divBdr>
    </w:div>
    <w:div w:id="1503204636">
      <w:bodyDiv w:val="1"/>
      <w:marLeft w:val="0"/>
      <w:marRight w:val="0"/>
      <w:marTop w:val="0"/>
      <w:marBottom w:val="0"/>
      <w:divBdr>
        <w:top w:val="none" w:sz="0" w:space="0" w:color="auto"/>
        <w:left w:val="none" w:sz="0" w:space="0" w:color="auto"/>
        <w:bottom w:val="none" w:sz="0" w:space="0" w:color="auto"/>
        <w:right w:val="none" w:sz="0" w:space="0" w:color="auto"/>
      </w:divBdr>
    </w:div>
    <w:div w:id="1503470564">
      <w:bodyDiv w:val="1"/>
      <w:marLeft w:val="0"/>
      <w:marRight w:val="0"/>
      <w:marTop w:val="0"/>
      <w:marBottom w:val="0"/>
      <w:divBdr>
        <w:top w:val="none" w:sz="0" w:space="0" w:color="auto"/>
        <w:left w:val="none" w:sz="0" w:space="0" w:color="auto"/>
        <w:bottom w:val="none" w:sz="0" w:space="0" w:color="auto"/>
        <w:right w:val="none" w:sz="0" w:space="0" w:color="auto"/>
      </w:divBdr>
    </w:div>
    <w:div w:id="1503544094">
      <w:bodyDiv w:val="1"/>
      <w:marLeft w:val="0"/>
      <w:marRight w:val="0"/>
      <w:marTop w:val="0"/>
      <w:marBottom w:val="0"/>
      <w:divBdr>
        <w:top w:val="none" w:sz="0" w:space="0" w:color="auto"/>
        <w:left w:val="none" w:sz="0" w:space="0" w:color="auto"/>
        <w:bottom w:val="none" w:sz="0" w:space="0" w:color="auto"/>
        <w:right w:val="none" w:sz="0" w:space="0" w:color="auto"/>
      </w:divBdr>
    </w:div>
    <w:div w:id="1503663650">
      <w:bodyDiv w:val="1"/>
      <w:marLeft w:val="0"/>
      <w:marRight w:val="0"/>
      <w:marTop w:val="0"/>
      <w:marBottom w:val="0"/>
      <w:divBdr>
        <w:top w:val="none" w:sz="0" w:space="0" w:color="auto"/>
        <w:left w:val="none" w:sz="0" w:space="0" w:color="auto"/>
        <w:bottom w:val="none" w:sz="0" w:space="0" w:color="auto"/>
        <w:right w:val="none" w:sz="0" w:space="0" w:color="auto"/>
      </w:divBdr>
    </w:div>
    <w:div w:id="1503736948">
      <w:bodyDiv w:val="1"/>
      <w:marLeft w:val="0"/>
      <w:marRight w:val="0"/>
      <w:marTop w:val="0"/>
      <w:marBottom w:val="0"/>
      <w:divBdr>
        <w:top w:val="none" w:sz="0" w:space="0" w:color="auto"/>
        <w:left w:val="none" w:sz="0" w:space="0" w:color="auto"/>
        <w:bottom w:val="none" w:sz="0" w:space="0" w:color="auto"/>
        <w:right w:val="none" w:sz="0" w:space="0" w:color="auto"/>
      </w:divBdr>
    </w:div>
    <w:div w:id="1503813143">
      <w:bodyDiv w:val="1"/>
      <w:marLeft w:val="0"/>
      <w:marRight w:val="0"/>
      <w:marTop w:val="0"/>
      <w:marBottom w:val="0"/>
      <w:divBdr>
        <w:top w:val="none" w:sz="0" w:space="0" w:color="auto"/>
        <w:left w:val="none" w:sz="0" w:space="0" w:color="auto"/>
        <w:bottom w:val="none" w:sz="0" w:space="0" w:color="auto"/>
        <w:right w:val="none" w:sz="0" w:space="0" w:color="auto"/>
      </w:divBdr>
    </w:div>
    <w:div w:id="1504052241">
      <w:bodyDiv w:val="1"/>
      <w:marLeft w:val="0"/>
      <w:marRight w:val="0"/>
      <w:marTop w:val="0"/>
      <w:marBottom w:val="0"/>
      <w:divBdr>
        <w:top w:val="none" w:sz="0" w:space="0" w:color="auto"/>
        <w:left w:val="none" w:sz="0" w:space="0" w:color="auto"/>
        <w:bottom w:val="none" w:sz="0" w:space="0" w:color="auto"/>
        <w:right w:val="none" w:sz="0" w:space="0" w:color="auto"/>
      </w:divBdr>
    </w:div>
    <w:div w:id="1504081708">
      <w:bodyDiv w:val="1"/>
      <w:marLeft w:val="0"/>
      <w:marRight w:val="0"/>
      <w:marTop w:val="0"/>
      <w:marBottom w:val="0"/>
      <w:divBdr>
        <w:top w:val="none" w:sz="0" w:space="0" w:color="auto"/>
        <w:left w:val="none" w:sz="0" w:space="0" w:color="auto"/>
        <w:bottom w:val="none" w:sz="0" w:space="0" w:color="auto"/>
        <w:right w:val="none" w:sz="0" w:space="0" w:color="auto"/>
      </w:divBdr>
    </w:div>
    <w:div w:id="1504200817">
      <w:bodyDiv w:val="1"/>
      <w:marLeft w:val="0"/>
      <w:marRight w:val="0"/>
      <w:marTop w:val="0"/>
      <w:marBottom w:val="0"/>
      <w:divBdr>
        <w:top w:val="none" w:sz="0" w:space="0" w:color="auto"/>
        <w:left w:val="none" w:sz="0" w:space="0" w:color="auto"/>
        <w:bottom w:val="none" w:sz="0" w:space="0" w:color="auto"/>
        <w:right w:val="none" w:sz="0" w:space="0" w:color="auto"/>
      </w:divBdr>
    </w:div>
    <w:div w:id="1504278201">
      <w:bodyDiv w:val="1"/>
      <w:marLeft w:val="0"/>
      <w:marRight w:val="0"/>
      <w:marTop w:val="0"/>
      <w:marBottom w:val="0"/>
      <w:divBdr>
        <w:top w:val="none" w:sz="0" w:space="0" w:color="auto"/>
        <w:left w:val="none" w:sz="0" w:space="0" w:color="auto"/>
        <w:bottom w:val="none" w:sz="0" w:space="0" w:color="auto"/>
        <w:right w:val="none" w:sz="0" w:space="0" w:color="auto"/>
      </w:divBdr>
    </w:div>
    <w:div w:id="1504390271">
      <w:bodyDiv w:val="1"/>
      <w:marLeft w:val="0"/>
      <w:marRight w:val="0"/>
      <w:marTop w:val="0"/>
      <w:marBottom w:val="0"/>
      <w:divBdr>
        <w:top w:val="none" w:sz="0" w:space="0" w:color="auto"/>
        <w:left w:val="none" w:sz="0" w:space="0" w:color="auto"/>
        <w:bottom w:val="none" w:sz="0" w:space="0" w:color="auto"/>
        <w:right w:val="none" w:sz="0" w:space="0" w:color="auto"/>
      </w:divBdr>
    </w:div>
    <w:div w:id="1504398178">
      <w:bodyDiv w:val="1"/>
      <w:marLeft w:val="0"/>
      <w:marRight w:val="0"/>
      <w:marTop w:val="0"/>
      <w:marBottom w:val="0"/>
      <w:divBdr>
        <w:top w:val="none" w:sz="0" w:space="0" w:color="auto"/>
        <w:left w:val="none" w:sz="0" w:space="0" w:color="auto"/>
        <w:bottom w:val="none" w:sz="0" w:space="0" w:color="auto"/>
        <w:right w:val="none" w:sz="0" w:space="0" w:color="auto"/>
      </w:divBdr>
    </w:div>
    <w:div w:id="1504662040">
      <w:bodyDiv w:val="1"/>
      <w:marLeft w:val="0"/>
      <w:marRight w:val="0"/>
      <w:marTop w:val="0"/>
      <w:marBottom w:val="0"/>
      <w:divBdr>
        <w:top w:val="none" w:sz="0" w:space="0" w:color="auto"/>
        <w:left w:val="none" w:sz="0" w:space="0" w:color="auto"/>
        <w:bottom w:val="none" w:sz="0" w:space="0" w:color="auto"/>
        <w:right w:val="none" w:sz="0" w:space="0" w:color="auto"/>
      </w:divBdr>
    </w:div>
    <w:div w:id="1504709214">
      <w:bodyDiv w:val="1"/>
      <w:marLeft w:val="0"/>
      <w:marRight w:val="0"/>
      <w:marTop w:val="0"/>
      <w:marBottom w:val="0"/>
      <w:divBdr>
        <w:top w:val="none" w:sz="0" w:space="0" w:color="auto"/>
        <w:left w:val="none" w:sz="0" w:space="0" w:color="auto"/>
        <w:bottom w:val="none" w:sz="0" w:space="0" w:color="auto"/>
        <w:right w:val="none" w:sz="0" w:space="0" w:color="auto"/>
      </w:divBdr>
    </w:div>
    <w:div w:id="1505046580">
      <w:bodyDiv w:val="1"/>
      <w:marLeft w:val="0"/>
      <w:marRight w:val="0"/>
      <w:marTop w:val="0"/>
      <w:marBottom w:val="0"/>
      <w:divBdr>
        <w:top w:val="none" w:sz="0" w:space="0" w:color="auto"/>
        <w:left w:val="none" w:sz="0" w:space="0" w:color="auto"/>
        <w:bottom w:val="none" w:sz="0" w:space="0" w:color="auto"/>
        <w:right w:val="none" w:sz="0" w:space="0" w:color="auto"/>
      </w:divBdr>
    </w:div>
    <w:div w:id="1505047032">
      <w:bodyDiv w:val="1"/>
      <w:marLeft w:val="0"/>
      <w:marRight w:val="0"/>
      <w:marTop w:val="0"/>
      <w:marBottom w:val="0"/>
      <w:divBdr>
        <w:top w:val="none" w:sz="0" w:space="0" w:color="auto"/>
        <w:left w:val="none" w:sz="0" w:space="0" w:color="auto"/>
        <w:bottom w:val="none" w:sz="0" w:space="0" w:color="auto"/>
        <w:right w:val="none" w:sz="0" w:space="0" w:color="auto"/>
      </w:divBdr>
    </w:div>
    <w:div w:id="1505121149">
      <w:bodyDiv w:val="1"/>
      <w:marLeft w:val="0"/>
      <w:marRight w:val="0"/>
      <w:marTop w:val="0"/>
      <w:marBottom w:val="0"/>
      <w:divBdr>
        <w:top w:val="none" w:sz="0" w:space="0" w:color="auto"/>
        <w:left w:val="none" w:sz="0" w:space="0" w:color="auto"/>
        <w:bottom w:val="none" w:sz="0" w:space="0" w:color="auto"/>
        <w:right w:val="none" w:sz="0" w:space="0" w:color="auto"/>
      </w:divBdr>
    </w:div>
    <w:div w:id="1505170663">
      <w:bodyDiv w:val="1"/>
      <w:marLeft w:val="0"/>
      <w:marRight w:val="0"/>
      <w:marTop w:val="0"/>
      <w:marBottom w:val="0"/>
      <w:divBdr>
        <w:top w:val="none" w:sz="0" w:space="0" w:color="auto"/>
        <w:left w:val="none" w:sz="0" w:space="0" w:color="auto"/>
        <w:bottom w:val="none" w:sz="0" w:space="0" w:color="auto"/>
        <w:right w:val="none" w:sz="0" w:space="0" w:color="auto"/>
      </w:divBdr>
    </w:div>
    <w:div w:id="1505247355">
      <w:bodyDiv w:val="1"/>
      <w:marLeft w:val="0"/>
      <w:marRight w:val="0"/>
      <w:marTop w:val="0"/>
      <w:marBottom w:val="0"/>
      <w:divBdr>
        <w:top w:val="none" w:sz="0" w:space="0" w:color="auto"/>
        <w:left w:val="none" w:sz="0" w:space="0" w:color="auto"/>
        <w:bottom w:val="none" w:sz="0" w:space="0" w:color="auto"/>
        <w:right w:val="none" w:sz="0" w:space="0" w:color="auto"/>
      </w:divBdr>
    </w:div>
    <w:div w:id="1505434512">
      <w:bodyDiv w:val="1"/>
      <w:marLeft w:val="0"/>
      <w:marRight w:val="0"/>
      <w:marTop w:val="0"/>
      <w:marBottom w:val="0"/>
      <w:divBdr>
        <w:top w:val="none" w:sz="0" w:space="0" w:color="auto"/>
        <w:left w:val="none" w:sz="0" w:space="0" w:color="auto"/>
        <w:bottom w:val="none" w:sz="0" w:space="0" w:color="auto"/>
        <w:right w:val="none" w:sz="0" w:space="0" w:color="auto"/>
      </w:divBdr>
    </w:div>
    <w:div w:id="1505632529">
      <w:bodyDiv w:val="1"/>
      <w:marLeft w:val="0"/>
      <w:marRight w:val="0"/>
      <w:marTop w:val="0"/>
      <w:marBottom w:val="0"/>
      <w:divBdr>
        <w:top w:val="none" w:sz="0" w:space="0" w:color="auto"/>
        <w:left w:val="none" w:sz="0" w:space="0" w:color="auto"/>
        <w:bottom w:val="none" w:sz="0" w:space="0" w:color="auto"/>
        <w:right w:val="none" w:sz="0" w:space="0" w:color="auto"/>
      </w:divBdr>
    </w:div>
    <w:div w:id="1505779627">
      <w:bodyDiv w:val="1"/>
      <w:marLeft w:val="0"/>
      <w:marRight w:val="0"/>
      <w:marTop w:val="0"/>
      <w:marBottom w:val="0"/>
      <w:divBdr>
        <w:top w:val="none" w:sz="0" w:space="0" w:color="auto"/>
        <w:left w:val="none" w:sz="0" w:space="0" w:color="auto"/>
        <w:bottom w:val="none" w:sz="0" w:space="0" w:color="auto"/>
        <w:right w:val="none" w:sz="0" w:space="0" w:color="auto"/>
      </w:divBdr>
    </w:div>
    <w:div w:id="1505975695">
      <w:bodyDiv w:val="1"/>
      <w:marLeft w:val="0"/>
      <w:marRight w:val="0"/>
      <w:marTop w:val="0"/>
      <w:marBottom w:val="0"/>
      <w:divBdr>
        <w:top w:val="none" w:sz="0" w:space="0" w:color="auto"/>
        <w:left w:val="none" w:sz="0" w:space="0" w:color="auto"/>
        <w:bottom w:val="none" w:sz="0" w:space="0" w:color="auto"/>
        <w:right w:val="none" w:sz="0" w:space="0" w:color="auto"/>
      </w:divBdr>
    </w:div>
    <w:div w:id="1506433791">
      <w:bodyDiv w:val="1"/>
      <w:marLeft w:val="0"/>
      <w:marRight w:val="0"/>
      <w:marTop w:val="0"/>
      <w:marBottom w:val="0"/>
      <w:divBdr>
        <w:top w:val="none" w:sz="0" w:space="0" w:color="auto"/>
        <w:left w:val="none" w:sz="0" w:space="0" w:color="auto"/>
        <w:bottom w:val="none" w:sz="0" w:space="0" w:color="auto"/>
        <w:right w:val="none" w:sz="0" w:space="0" w:color="auto"/>
      </w:divBdr>
    </w:div>
    <w:div w:id="1506434326">
      <w:bodyDiv w:val="1"/>
      <w:marLeft w:val="0"/>
      <w:marRight w:val="0"/>
      <w:marTop w:val="0"/>
      <w:marBottom w:val="0"/>
      <w:divBdr>
        <w:top w:val="none" w:sz="0" w:space="0" w:color="auto"/>
        <w:left w:val="none" w:sz="0" w:space="0" w:color="auto"/>
        <w:bottom w:val="none" w:sz="0" w:space="0" w:color="auto"/>
        <w:right w:val="none" w:sz="0" w:space="0" w:color="auto"/>
      </w:divBdr>
    </w:div>
    <w:div w:id="1506437252">
      <w:bodyDiv w:val="1"/>
      <w:marLeft w:val="0"/>
      <w:marRight w:val="0"/>
      <w:marTop w:val="0"/>
      <w:marBottom w:val="0"/>
      <w:divBdr>
        <w:top w:val="none" w:sz="0" w:space="0" w:color="auto"/>
        <w:left w:val="none" w:sz="0" w:space="0" w:color="auto"/>
        <w:bottom w:val="none" w:sz="0" w:space="0" w:color="auto"/>
        <w:right w:val="none" w:sz="0" w:space="0" w:color="auto"/>
      </w:divBdr>
    </w:div>
    <w:div w:id="1506439099">
      <w:bodyDiv w:val="1"/>
      <w:marLeft w:val="0"/>
      <w:marRight w:val="0"/>
      <w:marTop w:val="0"/>
      <w:marBottom w:val="0"/>
      <w:divBdr>
        <w:top w:val="none" w:sz="0" w:space="0" w:color="auto"/>
        <w:left w:val="none" w:sz="0" w:space="0" w:color="auto"/>
        <w:bottom w:val="none" w:sz="0" w:space="0" w:color="auto"/>
        <w:right w:val="none" w:sz="0" w:space="0" w:color="auto"/>
      </w:divBdr>
    </w:div>
    <w:div w:id="1506477736">
      <w:bodyDiv w:val="1"/>
      <w:marLeft w:val="0"/>
      <w:marRight w:val="0"/>
      <w:marTop w:val="0"/>
      <w:marBottom w:val="0"/>
      <w:divBdr>
        <w:top w:val="none" w:sz="0" w:space="0" w:color="auto"/>
        <w:left w:val="none" w:sz="0" w:space="0" w:color="auto"/>
        <w:bottom w:val="none" w:sz="0" w:space="0" w:color="auto"/>
        <w:right w:val="none" w:sz="0" w:space="0" w:color="auto"/>
      </w:divBdr>
    </w:div>
    <w:div w:id="1507132349">
      <w:bodyDiv w:val="1"/>
      <w:marLeft w:val="0"/>
      <w:marRight w:val="0"/>
      <w:marTop w:val="0"/>
      <w:marBottom w:val="0"/>
      <w:divBdr>
        <w:top w:val="none" w:sz="0" w:space="0" w:color="auto"/>
        <w:left w:val="none" w:sz="0" w:space="0" w:color="auto"/>
        <w:bottom w:val="none" w:sz="0" w:space="0" w:color="auto"/>
        <w:right w:val="none" w:sz="0" w:space="0" w:color="auto"/>
      </w:divBdr>
    </w:div>
    <w:div w:id="1507163269">
      <w:bodyDiv w:val="1"/>
      <w:marLeft w:val="0"/>
      <w:marRight w:val="0"/>
      <w:marTop w:val="0"/>
      <w:marBottom w:val="0"/>
      <w:divBdr>
        <w:top w:val="none" w:sz="0" w:space="0" w:color="auto"/>
        <w:left w:val="none" w:sz="0" w:space="0" w:color="auto"/>
        <w:bottom w:val="none" w:sz="0" w:space="0" w:color="auto"/>
        <w:right w:val="none" w:sz="0" w:space="0" w:color="auto"/>
      </w:divBdr>
    </w:div>
    <w:div w:id="1507743154">
      <w:bodyDiv w:val="1"/>
      <w:marLeft w:val="0"/>
      <w:marRight w:val="0"/>
      <w:marTop w:val="0"/>
      <w:marBottom w:val="0"/>
      <w:divBdr>
        <w:top w:val="none" w:sz="0" w:space="0" w:color="auto"/>
        <w:left w:val="none" w:sz="0" w:space="0" w:color="auto"/>
        <w:bottom w:val="none" w:sz="0" w:space="0" w:color="auto"/>
        <w:right w:val="none" w:sz="0" w:space="0" w:color="auto"/>
      </w:divBdr>
    </w:div>
    <w:div w:id="1507743495">
      <w:bodyDiv w:val="1"/>
      <w:marLeft w:val="0"/>
      <w:marRight w:val="0"/>
      <w:marTop w:val="0"/>
      <w:marBottom w:val="0"/>
      <w:divBdr>
        <w:top w:val="none" w:sz="0" w:space="0" w:color="auto"/>
        <w:left w:val="none" w:sz="0" w:space="0" w:color="auto"/>
        <w:bottom w:val="none" w:sz="0" w:space="0" w:color="auto"/>
        <w:right w:val="none" w:sz="0" w:space="0" w:color="auto"/>
      </w:divBdr>
    </w:div>
    <w:div w:id="1507940589">
      <w:bodyDiv w:val="1"/>
      <w:marLeft w:val="0"/>
      <w:marRight w:val="0"/>
      <w:marTop w:val="0"/>
      <w:marBottom w:val="0"/>
      <w:divBdr>
        <w:top w:val="none" w:sz="0" w:space="0" w:color="auto"/>
        <w:left w:val="none" w:sz="0" w:space="0" w:color="auto"/>
        <w:bottom w:val="none" w:sz="0" w:space="0" w:color="auto"/>
        <w:right w:val="none" w:sz="0" w:space="0" w:color="auto"/>
      </w:divBdr>
    </w:div>
    <w:div w:id="1508055632">
      <w:bodyDiv w:val="1"/>
      <w:marLeft w:val="0"/>
      <w:marRight w:val="0"/>
      <w:marTop w:val="0"/>
      <w:marBottom w:val="0"/>
      <w:divBdr>
        <w:top w:val="none" w:sz="0" w:space="0" w:color="auto"/>
        <w:left w:val="none" w:sz="0" w:space="0" w:color="auto"/>
        <w:bottom w:val="none" w:sz="0" w:space="0" w:color="auto"/>
        <w:right w:val="none" w:sz="0" w:space="0" w:color="auto"/>
      </w:divBdr>
    </w:div>
    <w:div w:id="1508061629">
      <w:bodyDiv w:val="1"/>
      <w:marLeft w:val="0"/>
      <w:marRight w:val="0"/>
      <w:marTop w:val="0"/>
      <w:marBottom w:val="0"/>
      <w:divBdr>
        <w:top w:val="none" w:sz="0" w:space="0" w:color="auto"/>
        <w:left w:val="none" w:sz="0" w:space="0" w:color="auto"/>
        <w:bottom w:val="none" w:sz="0" w:space="0" w:color="auto"/>
        <w:right w:val="none" w:sz="0" w:space="0" w:color="auto"/>
      </w:divBdr>
    </w:div>
    <w:div w:id="1508211156">
      <w:bodyDiv w:val="1"/>
      <w:marLeft w:val="0"/>
      <w:marRight w:val="0"/>
      <w:marTop w:val="0"/>
      <w:marBottom w:val="0"/>
      <w:divBdr>
        <w:top w:val="none" w:sz="0" w:space="0" w:color="auto"/>
        <w:left w:val="none" w:sz="0" w:space="0" w:color="auto"/>
        <w:bottom w:val="none" w:sz="0" w:space="0" w:color="auto"/>
        <w:right w:val="none" w:sz="0" w:space="0" w:color="auto"/>
      </w:divBdr>
    </w:div>
    <w:div w:id="1508328211">
      <w:bodyDiv w:val="1"/>
      <w:marLeft w:val="0"/>
      <w:marRight w:val="0"/>
      <w:marTop w:val="0"/>
      <w:marBottom w:val="0"/>
      <w:divBdr>
        <w:top w:val="none" w:sz="0" w:space="0" w:color="auto"/>
        <w:left w:val="none" w:sz="0" w:space="0" w:color="auto"/>
        <w:bottom w:val="none" w:sz="0" w:space="0" w:color="auto"/>
        <w:right w:val="none" w:sz="0" w:space="0" w:color="auto"/>
      </w:divBdr>
    </w:div>
    <w:div w:id="1508404780">
      <w:bodyDiv w:val="1"/>
      <w:marLeft w:val="0"/>
      <w:marRight w:val="0"/>
      <w:marTop w:val="0"/>
      <w:marBottom w:val="0"/>
      <w:divBdr>
        <w:top w:val="none" w:sz="0" w:space="0" w:color="auto"/>
        <w:left w:val="none" w:sz="0" w:space="0" w:color="auto"/>
        <w:bottom w:val="none" w:sz="0" w:space="0" w:color="auto"/>
        <w:right w:val="none" w:sz="0" w:space="0" w:color="auto"/>
      </w:divBdr>
    </w:div>
    <w:div w:id="1508442259">
      <w:bodyDiv w:val="1"/>
      <w:marLeft w:val="0"/>
      <w:marRight w:val="0"/>
      <w:marTop w:val="0"/>
      <w:marBottom w:val="0"/>
      <w:divBdr>
        <w:top w:val="none" w:sz="0" w:space="0" w:color="auto"/>
        <w:left w:val="none" w:sz="0" w:space="0" w:color="auto"/>
        <w:bottom w:val="none" w:sz="0" w:space="0" w:color="auto"/>
        <w:right w:val="none" w:sz="0" w:space="0" w:color="auto"/>
      </w:divBdr>
    </w:div>
    <w:div w:id="1508671065">
      <w:bodyDiv w:val="1"/>
      <w:marLeft w:val="0"/>
      <w:marRight w:val="0"/>
      <w:marTop w:val="0"/>
      <w:marBottom w:val="0"/>
      <w:divBdr>
        <w:top w:val="none" w:sz="0" w:space="0" w:color="auto"/>
        <w:left w:val="none" w:sz="0" w:space="0" w:color="auto"/>
        <w:bottom w:val="none" w:sz="0" w:space="0" w:color="auto"/>
        <w:right w:val="none" w:sz="0" w:space="0" w:color="auto"/>
      </w:divBdr>
    </w:div>
    <w:div w:id="1508785896">
      <w:bodyDiv w:val="1"/>
      <w:marLeft w:val="0"/>
      <w:marRight w:val="0"/>
      <w:marTop w:val="0"/>
      <w:marBottom w:val="0"/>
      <w:divBdr>
        <w:top w:val="none" w:sz="0" w:space="0" w:color="auto"/>
        <w:left w:val="none" w:sz="0" w:space="0" w:color="auto"/>
        <w:bottom w:val="none" w:sz="0" w:space="0" w:color="auto"/>
        <w:right w:val="none" w:sz="0" w:space="0" w:color="auto"/>
      </w:divBdr>
    </w:div>
    <w:div w:id="1508983980">
      <w:bodyDiv w:val="1"/>
      <w:marLeft w:val="0"/>
      <w:marRight w:val="0"/>
      <w:marTop w:val="0"/>
      <w:marBottom w:val="0"/>
      <w:divBdr>
        <w:top w:val="none" w:sz="0" w:space="0" w:color="auto"/>
        <w:left w:val="none" w:sz="0" w:space="0" w:color="auto"/>
        <w:bottom w:val="none" w:sz="0" w:space="0" w:color="auto"/>
        <w:right w:val="none" w:sz="0" w:space="0" w:color="auto"/>
      </w:divBdr>
    </w:div>
    <w:div w:id="1509363432">
      <w:bodyDiv w:val="1"/>
      <w:marLeft w:val="0"/>
      <w:marRight w:val="0"/>
      <w:marTop w:val="0"/>
      <w:marBottom w:val="0"/>
      <w:divBdr>
        <w:top w:val="none" w:sz="0" w:space="0" w:color="auto"/>
        <w:left w:val="none" w:sz="0" w:space="0" w:color="auto"/>
        <w:bottom w:val="none" w:sz="0" w:space="0" w:color="auto"/>
        <w:right w:val="none" w:sz="0" w:space="0" w:color="auto"/>
      </w:divBdr>
    </w:div>
    <w:div w:id="1509444036">
      <w:bodyDiv w:val="1"/>
      <w:marLeft w:val="0"/>
      <w:marRight w:val="0"/>
      <w:marTop w:val="0"/>
      <w:marBottom w:val="0"/>
      <w:divBdr>
        <w:top w:val="none" w:sz="0" w:space="0" w:color="auto"/>
        <w:left w:val="none" w:sz="0" w:space="0" w:color="auto"/>
        <w:bottom w:val="none" w:sz="0" w:space="0" w:color="auto"/>
        <w:right w:val="none" w:sz="0" w:space="0" w:color="auto"/>
      </w:divBdr>
    </w:div>
    <w:div w:id="1509561205">
      <w:bodyDiv w:val="1"/>
      <w:marLeft w:val="0"/>
      <w:marRight w:val="0"/>
      <w:marTop w:val="0"/>
      <w:marBottom w:val="0"/>
      <w:divBdr>
        <w:top w:val="none" w:sz="0" w:space="0" w:color="auto"/>
        <w:left w:val="none" w:sz="0" w:space="0" w:color="auto"/>
        <w:bottom w:val="none" w:sz="0" w:space="0" w:color="auto"/>
        <w:right w:val="none" w:sz="0" w:space="0" w:color="auto"/>
      </w:divBdr>
    </w:div>
    <w:div w:id="1509978306">
      <w:bodyDiv w:val="1"/>
      <w:marLeft w:val="0"/>
      <w:marRight w:val="0"/>
      <w:marTop w:val="0"/>
      <w:marBottom w:val="0"/>
      <w:divBdr>
        <w:top w:val="none" w:sz="0" w:space="0" w:color="auto"/>
        <w:left w:val="none" w:sz="0" w:space="0" w:color="auto"/>
        <w:bottom w:val="none" w:sz="0" w:space="0" w:color="auto"/>
        <w:right w:val="none" w:sz="0" w:space="0" w:color="auto"/>
      </w:divBdr>
    </w:div>
    <w:div w:id="1510677461">
      <w:bodyDiv w:val="1"/>
      <w:marLeft w:val="0"/>
      <w:marRight w:val="0"/>
      <w:marTop w:val="0"/>
      <w:marBottom w:val="0"/>
      <w:divBdr>
        <w:top w:val="none" w:sz="0" w:space="0" w:color="auto"/>
        <w:left w:val="none" w:sz="0" w:space="0" w:color="auto"/>
        <w:bottom w:val="none" w:sz="0" w:space="0" w:color="auto"/>
        <w:right w:val="none" w:sz="0" w:space="0" w:color="auto"/>
      </w:divBdr>
    </w:div>
    <w:div w:id="1510869377">
      <w:bodyDiv w:val="1"/>
      <w:marLeft w:val="0"/>
      <w:marRight w:val="0"/>
      <w:marTop w:val="0"/>
      <w:marBottom w:val="0"/>
      <w:divBdr>
        <w:top w:val="none" w:sz="0" w:space="0" w:color="auto"/>
        <w:left w:val="none" w:sz="0" w:space="0" w:color="auto"/>
        <w:bottom w:val="none" w:sz="0" w:space="0" w:color="auto"/>
        <w:right w:val="none" w:sz="0" w:space="0" w:color="auto"/>
      </w:divBdr>
    </w:div>
    <w:div w:id="1510950791">
      <w:bodyDiv w:val="1"/>
      <w:marLeft w:val="0"/>
      <w:marRight w:val="0"/>
      <w:marTop w:val="0"/>
      <w:marBottom w:val="0"/>
      <w:divBdr>
        <w:top w:val="none" w:sz="0" w:space="0" w:color="auto"/>
        <w:left w:val="none" w:sz="0" w:space="0" w:color="auto"/>
        <w:bottom w:val="none" w:sz="0" w:space="0" w:color="auto"/>
        <w:right w:val="none" w:sz="0" w:space="0" w:color="auto"/>
      </w:divBdr>
    </w:div>
    <w:div w:id="1511025672">
      <w:bodyDiv w:val="1"/>
      <w:marLeft w:val="0"/>
      <w:marRight w:val="0"/>
      <w:marTop w:val="0"/>
      <w:marBottom w:val="0"/>
      <w:divBdr>
        <w:top w:val="none" w:sz="0" w:space="0" w:color="auto"/>
        <w:left w:val="none" w:sz="0" w:space="0" w:color="auto"/>
        <w:bottom w:val="none" w:sz="0" w:space="0" w:color="auto"/>
        <w:right w:val="none" w:sz="0" w:space="0" w:color="auto"/>
      </w:divBdr>
    </w:div>
    <w:div w:id="1511064710">
      <w:bodyDiv w:val="1"/>
      <w:marLeft w:val="0"/>
      <w:marRight w:val="0"/>
      <w:marTop w:val="0"/>
      <w:marBottom w:val="0"/>
      <w:divBdr>
        <w:top w:val="none" w:sz="0" w:space="0" w:color="auto"/>
        <w:left w:val="none" w:sz="0" w:space="0" w:color="auto"/>
        <w:bottom w:val="none" w:sz="0" w:space="0" w:color="auto"/>
        <w:right w:val="none" w:sz="0" w:space="0" w:color="auto"/>
      </w:divBdr>
    </w:div>
    <w:div w:id="1511068853">
      <w:bodyDiv w:val="1"/>
      <w:marLeft w:val="0"/>
      <w:marRight w:val="0"/>
      <w:marTop w:val="0"/>
      <w:marBottom w:val="0"/>
      <w:divBdr>
        <w:top w:val="none" w:sz="0" w:space="0" w:color="auto"/>
        <w:left w:val="none" w:sz="0" w:space="0" w:color="auto"/>
        <w:bottom w:val="none" w:sz="0" w:space="0" w:color="auto"/>
        <w:right w:val="none" w:sz="0" w:space="0" w:color="auto"/>
      </w:divBdr>
    </w:div>
    <w:div w:id="1511217079">
      <w:bodyDiv w:val="1"/>
      <w:marLeft w:val="0"/>
      <w:marRight w:val="0"/>
      <w:marTop w:val="0"/>
      <w:marBottom w:val="0"/>
      <w:divBdr>
        <w:top w:val="none" w:sz="0" w:space="0" w:color="auto"/>
        <w:left w:val="none" w:sz="0" w:space="0" w:color="auto"/>
        <w:bottom w:val="none" w:sz="0" w:space="0" w:color="auto"/>
        <w:right w:val="none" w:sz="0" w:space="0" w:color="auto"/>
      </w:divBdr>
    </w:div>
    <w:div w:id="1511333292">
      <w:bodyDiv w:val="1"/>
      <w:marLeft w:val="0"/>
      <w:marRight w:val="0"/>
      <w:marTop w:val="0"/>
      <w:marBottom w:val="0"/>
      <w:divBdr>
        <w:top w:val="none" w:sz="0" w:space="0" w:color="auto"/>
        <w:left w:val="none" w:sz="0" w:space="0" w:color="auto"/>
        <w:bottom w:val="none" w:sz="0" w:space="0" w:color="auto"/>
        <w:right w:val="none" w:sz="0" w:space="0" w:color="auto"/>
      </w:divBdr>
    </w:div>
    <w:div w:id="1511482724">
      <w:bodyDiv w:val="1"/>
      <w:marLeft w:val="0"/>
      <w:marRight w:val="0"/>
      <w:marTop w:val="0"/>
      <w:marBottom w:val="0"/>
      <w:divBdr>
        <w:top w:val="none" w:sz="0" w:space="0" w:color="auto"/>
        <w:left w:val="none" w:sz="0" w:space="0" w:color="auto"/>
        <w:bottom w:val="none" w:sz="0" w:space="0" w:color="auto"/>
        <w:right w:val="none" w:sz="0" w:space="0" w:color="auto"/>
      </w:divBdr>
    </w:div>
    <w:div w:id="1511682905">
      <w:bodyDiv w:val="1"/>
      <w:marLeft w:val="0"/>
      <w:marRight w:val="0"/>
      <w:marTop w:val="0"/>
      <w:marBottom w:val="0"/>
      <w:divBdr>
        <w:top w:val="none" w:sz="0" w:space="0" w:color="auto"/>
        <w:left w:val="none" w:sz="0" w:space="0" w:color="auto"/>
        <w:bottom w:val="none" w:sz="0" w:space="0" w:color="auto"/>
        <w:right w:val="none" w:sz="0" w:space="0" w:color="auto"/>
      </w:divBdr>
    </w:div>
    <w:div w:id="1511723831">
      <w:bodyDiv w:val="1"/>
      <w:marLeft w:val="0"/>
      <w:marRight w:val="0"/>
      <w:marTop w:val="0"/>
      <w:marBottom w:val="0"/>
      <w:divBdr>
        <w:top w:val="none" w:sz="0" w:space="0" w:color="auto"/>
        <w:left w:val="none" w:sz="0" w:space="0" w:color="auto"/>
        <w:bottom w:val="none" w:sz="0" w:space="0" w:color="auto"/>
        <w:right w:val="none" w:sz="0" w:space="0" w:color="auto"/>
      </w:divBdr>
    </w:div>
    <w:div w:id="1511724313">
      <w:bodyDiv w:val="1"/>
      <w:marLeft w:val="0"/>
      <w:marRight w:val="0"/>
      <w:marTop w:val="0"/>
      <w:marBottom w:val="0"/>
      <w:divBdr>
        <w:top w:val="none" w:sz="0" w:space="0" w:color="auto"/>
        <w:left w:val="none" w:sz="0" w:space="0" w:color="auto"/>
        <w:bottom w:val="none" w:sz="0" w:space="0" w:color="auto"/>
        <w:right w:val="none" w:sz="0" w:space="0" w:color="auto"/>
      </w:divBdr>
    </w:div>
    <w:div w:id="1511871943">
      <w:bodyDiv w:val="1"/>
      <w:marLeft w:val="0"/>
      <w:marRight w:val="0"/>
      <w:marTop w:val="0"/>
      <w:marBottom w:val="0"/>
      <w:divBdr>
        <w:top w:val="none" w:sz="0" w:space="0" w:color="auto"/>
        <w:left w:val="none" w:sz="0" w:space="0" w:color="auto"/>
        <w:bottom w:val="none" w:sz="0" w:space="0" w:color="auto"/>
        <w:right w:val="none" w:sz="0" w:space="0" w:color="auto"/>
      </w:divBdr>
    </w:div>
    <w:div w:id="1512183527">
      <w:bodyDiv w:val="1"/>
      <w:marLeft w:val="0"/>
      <w:marRight w:val="0"/>
      <w:marTop w:val="0"/>
      <w:marBottom w:val="0"/>
      <w:divBdr>
        <w:top w:val="none" w:sz="0" w:space="0" w:color="auto"/>
        <w:left w:val="none" w:sz="0" w:space="0" w:color="auto"/>
        <w:bottom w:val="none" w:sz="0" w:space="0" w:color="auto"/>
        <w:right w:val="none" w:sz="0" w:space="0" w:color="auto"/>
      </w:divBdr>
    </w:div>
    <w:div w:id="1512262105">
      <w:bodyDiv w:val="1"/>
      <w:marLeft w:val="0"/>
      <w:marRight w:val="0"/>
      <w:marTop w:val="0"/>
      <w:marBottom w:val="0"/>
      <w:divBdr>
        <w:top w:val="none" w:sz="0" w:space="0" w:color="auto"/>
        <w:left w:val="none" w:sz="0" w:space="0" w:color="auto"/>
        <w:bottom w:val="none" w:sz="0" w:space="0" w:color="auto"/>
        <w:right w:val="none" w:sz="0" w:space="0" w:color="auto"/>
      </w:divBdr>
    </w:div>
    <w:div w:id="1512337231">
      <w:bodyDiv w:val="1"/>
      <w:marLeft w:val="0"/>
      <w:marRight w:val="0"/>
      <w:marTop w:val="0"/>
      <w:marBottom w:val="0"/>
      <w:divBdr>
        <w:top w:val="none" w:sz="0" w:space="0" w:color="auto"/>
        <w:left w:val="none" w:sz="0" w:space="0" w:color="auto"/>
        <w:bottom w:val="none" w:sz="0" w:space="0" w:color="auto"/>
        <w:right w:val="none" w:sz="0" w:space="0" w:color="auto"/>
      </w:divBdr>
    </w:div>
    <w:div w:id="1512455760">
      <w:bodyDiv w:val="1"/>
      <w:marLeft w:val="0"/>
      <w:marRight w:val="0"/>
      <w:marTop w:val="0"/>
      <w:marBottom w:val="0"/>
      <w:divBdr>
        <w:top w:val="none" w:sz="0" w:space="0" w:color="auto"/>
        <w:left w:val="none" w:sz="0" w:space="0" w:color="auto"/>
        <w:bottom w:val="none" w:sz="0" w:space="0" w:color="auto"/>
        <w:right w:val="none" w:sz="0" w:space="0" w:color="auto"/>
      </w:divBdr>
    </w:div>
    <w:div w:id="1512644744">
      <w:bodyDiv w:val="1"/>
      <w:marLeft w:val="0"/>
      <w:marRight w:val="0"/>
      <w:marTop w:val="0"/>
      <w:marBottom w:val="0"/>
      <w:divBdr>
        <w:top w:val="none" w:sz="0" w:space="0" w:color="auto"/>
        <w:left w:val="none" w:sz="0" w:space="0" w:color="auto"/>
        <w:bottom w:val="none" w:sz="0" w:space="0" w:color="auto"/>
        <w:right w:val="none" w:sz="0" w:space="0" w:color="auto"/>
      </w:divBdr>
    </w:div>
    <w:div w:id="1512833132">
      <w:bodyDiv w:val="1"/>
      <w:marLeft w:val="0"/>
      <w:marRight w:val="0"/>
      <w:marTop w:val="0"/>
      <w:marBottom w:val="0"/>
      <w:divBdr>
        <w:top w:val="none" w:sz="0" w:space="0" w:color="auto"/>
        <w:left w:val="none" w:sz="0" w:space="0" w:color="auto"/>
        <w:bottom w:val="none" w:sz="0" w:space="0" w:color="auto"/>
        <w:right w:val="none" w:sz="0" w:space="0" w:color="auto"/>
      </w:divBdr>
    </w:div>
    <w:div w:id="1512833582">
      <w:bodyDiv w:val="1"/>
      <w:marLeft w:val="0"/>
      <w:marRight w:val="0"/>
      <w:marTop w:val="0"/>
      <w:marBottom w:val="0"/>
      <w:divBdr>
        <w:top w:val="none" w:sz="0" w:space="0" w:color="auto"/>
        <w:left w:val="none" w:sz="0" w:space="0" w:color="auto"/>
        <w:bottom w:val="none" w:sz="0" w:space="0" w:color="auto"/>
        <w:right w:val="none" w:sz="0" w:space="0" w:color="auto"/>
      </w:divBdr>
    </w:div>
    <w:div w:id="1512985522">
      <w:bodyDiv w:val="1"/>
      <w:marLeft w:val="0"/>
      <w:marRight w:val="0"/>
      <w:marTop w:val="0"/>
      <w:marBottom w:val="0"/>
      <w:divBdr>
        <w:top w:val="none" w:sz="0" w:space="0" w:color="auto"/>
        <w:left w:val="none" w:sz="0" w:space="0" w:color="auto"/>
        <w:bottom w:val="none" w:sz="0" w:space="0" w:color="auto"/>
        <w:right w:val="none" w:sz="0" w:space="0" w:color="auto"/>
      </w:divBdr>
    </w:div>
    <w:div w:id="1513033076">
      <w:bodyDiv w:val="1"/>
      <w:marLeft w:val="0"/>
      <w:marRight w:val="0"/>
      <w:marTop w:val="0"/>
      <w:marBottom w:val="0"/>
      <w:divBdr>
        <w:top w:val="none" w:sz="0" w:space="0" w:color="auto"/>
        <w:left w:val="none" w:sz="0" w:space="0" w:color="auto"/>
        <w:bottom w:val="none" w:sz="0" w:space="0" w:color="auto"/>
        <w:right w:val="none" w:sz="0" w:space="0" w:color="auto"/>
      </w:divBdr>
    </w:div>
    <w:div w:id="1513105767">
      <w:bodyDiv w:val="1"/>
      <w:marLeft w:val="0"/>
      <w:marRight w:val="0"/>
      <w:marTop w:val="0"/>
      <w:marBottom w:val="0"/>
      <w:divBdr>
        <w:top w:val="none" w:sz="0" w:space="0" w:color="auto"/>
        <w:left w:val="none" w:sz="0" w:space="0" w:color="auto"/>
        <w:bottom w:val="none" w:sz="0" w:space="0" w:color="auto"/>
        <w:right w:val="none" w:sz="0" w:space="0" w:color="auto"/>
      </w:divBdr>
    </w:div>
    <w:div w:id="1513109362">
      <w:bodyDiv w:val="1"/>
      <w:marLeft w:val="0"/>
      <w:marRight w:val="0"/>
      <w:marTop w:val="0"/>
      <w:marBottom w:val="0"/>
      <w:divBdr>
        <w:top w:val="none" w:sz="0" w:space="0" w:color="auto"/>
        <w:left w:val="none" w:sz="0" w:space="0" w:color="auto"/>
        <w:bottom w:val="none" w:sz="0" w:space="0" w:color="auto"/>
        <w:right w:val="none" w:sz="0" w:space="0" w:color="auto"/>
      </w:divBdr>
    </w:div>
    <w:div w:id="1513183993">
      <w:bodyDiv w:val="1"/>
      <w:marLeft w:val="0"/>
      <w:marRight w:val="0"/>
      <w:marTop w:val="0"/>
      <w:marBottom w:val="0"/>
      <w:divBdr>
        <w:top w:val="none" w:sz="0" w:space="0" w:color="auto"/>
        <w:left w:val="none" w:sz="0" w:space="0" w:color="auto"/>
        <w:bottom w:val="none" w:sz="0" w:space="0" w:color="auto"/>
        <w:right w:val="none" w:sz="0" w:space="0" w:color="auto"/>
      </w:divBdr>
    </w:div>
    <w:div w:id="1513299481">
      <w:bodyDiv w:val="1"/>
      <w:marLeft w:val="0"/>
      <w:marRight w:val="0"/>
      <w:marTop w:val="0"/>
      <w:marBottom w:val="0"/>
      <w:divBdr>
        <w:top w:val="none" w:sz="0" w:space="0" w:color="auto"/>
        <w:left w:val="none" w:sz="0" w:space="0" w:color="auto"/>
        <w:bottom w:val="none" w:sz="0" w:space="0" w:color="auto"/>
        <w:right w:val="none" w:sz="0" w:space="0" w:color="auto"/>
      </w:divBdr>
    </w:div>
    <w:div w:id="1513564406">
      <w:bodyDiv w:val="1"/>
      <w:marLeft w:val="0"/>
      <w:marRight w:val="0"/>
      <w:marTop w:val="0"/>
      <w:marBottom w:val="0"/>
      <w:divBdr>
        <w:top w:val="none" w:sz="0" w:space="0" w:color="auto"/>
        <w:left w:val="none" w:sz="0" w:space="0" w:color="auto"/>
        <w:bottom w:val="none" w:sz="0" w:space="0" w:color="auto"/>
        <w:right w:val="none" w:sz="0" w:space="0" w:color="auto"/>
      </w:divBdr>
    </w:div>
    <w:div w:id="1513570142">
      <w:bodyDiv w:val="1"/>
      <w:marLeft w:val="0"/>
      <w:marRight w:val="0"/>
      <w:marTop w:val="0"/>
      <w:marBottom w:val="0"/>
      <w:divBdr>
        <w:top w:val="none" w:sz="0" w:space="0" w:color="auto"/>
        <w:left w:val="none" w:sz="0" w:space="0" w:color="auto"/>
        <w:bottom w:val="none" w:sz="0" w:space="0" w:color="auto"/>
        <w:right w:val="none" w:sz="0" w:space="0" w:color="auto"/>
      </w:divBdr>
    </w:div>
    <w:div w:id="1513645782">
      <w:bodyDiv w:val="1"/>
      <w:marLeft w:val="0"/>
      <w:marRight w:val="0"/>
      <w:marTop w:val="0"/>
      <w:marBottom w:val="0"/>
      <w:divBdr>
        <w:top w:val="none" w:sz="0" w:space="0" w:color="auto"/>
        <w:left w:val="none" w:sz="0" w:space="0" w:color="auto"/>
        <w:bottom w:val="none" w:sz="0" w:space="0" w:color="auto"/>
        <w:right w:val="none" w:sz="0" w:space="0" w:color="auto"/>
      </w:divBdr>
    </w:div>
    <w:div w:id="1513834173">
      <w:bodyDiv w:val="1"/>
      <w:marLeft w:val="0"/>
      <w:marRight w:val="0"/>
      <w:marTop w:val="0"/>
      <w:marBottom w:val="0"/>
      <w:divBdr>
        <w:top w:val="none" w:sz="0" w:space="0" w:color="auto"/>
        <w:left w:val="none" w:sz="0" w:space="0" w:color="auto"/>
        <w:bottom w:val="none" w:sz="0" w:space="0" w:color="auto"/>
        <w:right w:val="none" w:sz="0" w:space="0" w:color="auto"/>
      </w:divBdr>
    </w:div>
    <w:div w:id="1513950289">
      <w:bodyDiv w:val="1"/>
      <w:marLeft w:val="0"/>
      <w:marRight w:val="0"/>
      <w:marTop w:val="0"/>
      <w:marBottom w:val="0"/>
      <w:divBdr>
        <w:top w:val="none" w:sz="0" w:space="0" w:color="auto"/>
        <w:left w:val="none" w:sz="0" w:space="0" w:color="auto"/>
        <w:bottom w:val="none" w:sz="0" w:space="0" w:color="auto"/>
        <w:right w:val="none" w:sz="0" w:space="0" w:color="auto"/>
      </w:divBdr>
    </w:div>
    <w:div w:id="1514035410">
      <w:bodyDiv w:val="1"/>
      <w:marLeft w:val="0"/>
      <w:marRight w:val="0"/>
      <w:marTop w:val="0"/>
      <w:marBottom w:val="0"/>
      <w:divBdr>
        <w:top w:val="none" w:sz="0" w:space="0" w:color="auto"/>
        <w:left w:val="none" w:sz="0" w:space="0" w:color="auto"/>
        <w:bottom w:val="none" w:sz="0" w:space="0" w:color="auto"/>
        <w:right w:val="none" w:sz="0" w:space="0" w:color="auto"/>
      </w:divBdr>
    </w:div>
    <w:div w:id="1514150721">
      <w:bodyDiv w:val="1"/>
      <w:marLeft w:val="0"/>
      <w:marRight w:val="0"/>
      <w:marTop w:val="0"/>
      <w:marBottom w:val="0"/>
      <w:divBdr>
        <w:top w:val="none" w:sz="0" w:space="0" w:color="auto"/>
        <w:left w:val="none" w:sz="0" w:space="0" w:color="auto"/>
        <w:bottom w:val="none" w:sz="0" w:space="0" w:color="auto"/>
        <w:right w:val="none" w:sz="0" w:space="0" w:color="auto"/>
      </w:divBdr>
    </w:div>
    <w:div w:id="1514489106">
      <w:bodyDiv w:val="1"/>
      <w:marLeft w:val="0"/>
      <w:marRight w:val="0"/>
      <w:marTop w:val="0"/>
      <w:marBottom w:val="0"/>
      <w:divBdr>
        <w:top w:val="none" w:sz="0" w:space="0" w:color="auto"/>
        <w:left w:val="none" w:sz="0" w:space="0" w:color="auto"/>
        <w:bottom w:val="none" w:sz="0" w:space="0" w:color="auto"/>
        <w:right w:val="none" w:sz="0" w:space="0" w:color="auto"/>
      </w:divBdr>
    </w:div>
    <w:div w:id="1514566867">
      <w:bodyDiv w:val="1"/>
      <w:marLeft w:val="0"/>
      <w:marRight w:val="0"/>
      <w:marTop w:val="0"/>
      <w:marBottom w:val="0"/>
      <w:divBdr>
        <w:top w:val="none" w:sz="0" w:space="0" w:color="auto"/>
        <w:left w:val="none" w:sz="0" w:space="0" w:color="auto"/>
        <w:bottom w:val="none" w:sz="0" w:space="0" w:color="auto"/>
        <w:right w:val="none" w:sz="0" w:space="0" w:color="auto"/>
      </w:divBdr>
    </w:div>
    <w:div w:id="1514765086">
      <w:bodyDiv w:val="1"/>
      <w:marLeft w:val="0"/>
      <w:marRight w:val="0"/>
      <w:marTop w:val="0"/>
      <w:marBottom w:val="0"/>
      <w:divBdr>
        <w:top w:val="none" w:sz="0" w:space="0" w:color="auto"/>
        <w:left w:val="none" w:sz="0" w:space="0" w:color="auto"/>
        <w:bottom w:val="none" w:sz="0" w:space="0" w:color="auto"/>
        <w:right w:val="none" w:sz="0" w:space="0" w:color="auto"/>
      </w:divBdr>
    </w:div>
    <w:div w:id="1514881017">
      <w:bodyDiv w:val="1"/>
      <w:marLeft w:val="0"/>
      <w:marRight w:val="0"/>
      <w:marTop w:val="0"/>
      <w:marBottom w:val="0"/>
      <w:divBdr>
        <w:top w:val="none" w:sz="0" w:space="0" w:color="auto"/>
        <w:left w:val="none" w:sz="0" w:space="0" w:color="auto"/>
        <w:bottom w:val="none" w:sz="0" w:space="0" w:color="auto"/>
        <w:right w:val="none" w:sz="0" w:space="0" w:color="auto"/>
      </w:divBdr>
    </w:div>
    <w:div w:id="1514995718">
      <w:bodyDiv w:val="1"/>
      <w:marLeft w:val="0"/>
      <w:marRight w:val="0"/>
      <w:marTop w:val="0"/>
      <w:marBottom w:val="0"/>
      <w:divBdr>
        <w:top w:val="none" w:sz="0" w:space="0" w:color="auto"/>
        <w:left w:val="none" w:sz="0" w:space="0" w:color="auto"/>
        <w:bottom w:val="none" w:sz="0" w:space="0" w:color="auto"/>
        <w:right w:val="none" w:sz="0" w:space="0" w:color="auto"/>
      </w:divBdr>
    </w:div>
    <w:div w:id="1514999810">
      <w:bodyDiv w:val="1"/>
      <w:marLeft w:val="0"/>
      <w:marRight w:val="0"/>
      <w:marTop w:val="0"/>
      <w:marBottom w:val="0"/>
      <w:divBdr>
        <w:top w:val="none" w:sz="0" w:space="0" w:color="auto"/>
        <w:left w:val="none" w:sz="0" w:space="0" w:color="auto"/>
        <w:bottom w:val="none" w:sz="0" w:space="0" w:color="auto"/>
        <w:right w:val="none" w:sz="0" w:space="0" w:color="auto"/>
      </w:divBdr>
    </w:div>
    <w:div w:id="1515027355">
      <w:bodyDiv w:val="1"/>
      <w:marLeft w:val="0"/>
      <w:marRight w:val="0"/>
      <w:marTop w:val="0"/>
      <w:marBottom w:val="0"/>
      <w:divBdr>
        <w:top w:val="none" w:sz="0" w:space="0" w:color="auto"/>
        <w:left w:val="none" w:sz="0" w:space="0" w:color="auto"/>
        <w:bottom w:val="none" w:sz="0" w:space="0" w:color="auto"/>
        <w:right w:val="none" w:sz="0" w:space="0" w:color="auto"/>
      </w:divBdr>
    </w:div>
    <w:div w:id="1515534949">
      <w:bodyDiv w:val="1"/>
      <w:marLeft w:val="0"/>
      <w:marRight w:val="0"/>
      <w:marTop w:val="0"/>
      <w:marBottom w:val="0"/>
      <w:divBdr>
        <w:top w:val="none" w:sz="0" w:space="0" w:color="auto"/>
        <w:left w:val="none" w:sz="0" w:space="0" w:color="auto"/>
        <w:bottom w:val="none" w:sz="0" w:space="0" w:color="auto"/>
        <w:right w:val="none" w:sz="0" w:space="0" w:color="auto"/>
      </w:divBdr>
    </w:div>
    <w:div w:id="1515656479">
      <w:bodyDiv w:val="1"/>
      <w:marLeft w:val="0"/>
      <w:marRight w:val="0"/>
      <w:marTop w:val="0"/>
      <w:marBottom w:val="0"/>
      <w:divBdr>
        <w:top w:val="none" w:sz="0" w:space="0" w:color="auto"/>
        <w:left w:val="none" w:sz="0" w:space="0" w:color="auto"/>
        <w:bottom w:val="none" w:sz="0" w:space="0" w:color="auto"/>
        <w:right w:val="none" w:sz="0" w:space="0" w:color="auto"/>
      </w:divBdr>
    </w:div>
    <w:div w:id="1515801760">
      <w:bodyDiv w:val="1"/>
      <w:marLeft w:val="0"/>
      <w:marRight w:val="0"/>
      <w:marTop w:val="0"/>
      <w:marBottom w:val="0"/>
      <w:divBdr>
        <w:top w:val="none" w:sz="0" w:space="0" w:color="auto"/>
        <w:left w:val="none" w:sz="0" w:space="0" w:color="auto"/>
        <w:bottom w:val="none" w:sz="0" w:space="0" w:color="auto"/>
        <w:right w:val="none" w:sz="0" w:space="0" w:color="auto"/>
      </w:divBdr>
    </w:div>
    <w:div w:id="1515873992">
      <w:bodyDiv w:val="1"/>
      <w:marLeft w:val="0"/>
      <w:marRight w:val="0"/>
      <w:marTop w:val="0"/>
      <w:marBottom w:val="0"/>
      <w:divBdr>
        <w:top w:val="none" w:sz="0" w:space="0" w:color="auto"/>
        <w:left w:val="none" w:sz="0" w:space="0" w:color="auto"/>
        <w:bottom w:val="none" w:sz="0" w:space="0" w:color="auto"/>
        <w:right w:val="none" w:sz="0" w:space="0" w:color="auto"/>
      </w:divBdr>
    </w:div>
    <w:div w:id="1516455337">
      <w:bodyDiv w:val="1"/>
      <w:marLeft w:val="0"/>
      <w:marRight w:val="0"/>
      <w:marTop w:val="0"/>
      <w:marBottom w:val="0"/>
      <w:divBdr>
        <w:top w:val="none" w:sz="0" w:space="0" w:color="auto"/>
        <w:left w:val="none" w:sz="0" w:space="0" w:color="auto"/>
        <w:bottom w:val="none" w:sz="0" w:space="0" w:color="auto"/>
        <w:right w:val="none" w:sz="0" w:space="0" w:color="auto"/>
      </w:divBdr>
    </w:div>
    <w:div w:id="1516723736">
      <w:bodyDiv w:val="1"/>
      <w:marLeft w:val="0"/>
      <w:marRight w:val="0"/>
      <w:marTop w:val="0"/>
      <w:marBottom w:val="0"/>
      <w:divBdr>
        <w:top w:val="none" w:sz="0" w:space="0" w:color="auto"/>
        <w:left w:val="none" w:sz="0" w:space="0" w:color="auto"/>
        <w:bottom w:val="none" w:sz="0" w:space="0" w:color="auto"/>
        <w:right w:val="none" w:sz="0" w:space="0" w:color="auto"/>
      </w:divBdr>
    </w:div>
    <w:div w:id="1516730674">
      <w:bodyDiv w:val="1"/>
      <w:marLeft w:val="0"/>
      <w:marRight w:val="0"/>
      <w:marTop w:val="0"/>
      <w:marBottom w:val="0"/>
      <w:divBdr>
        <w:top w:val="none" w:sz="0" w:space="0" w:color="auto"/>
        <w:left w:val="none" w:sz="0" w:space="0" w:color="auto"/>
        <w:bottom w:val="none" w:sz="0" w:space="0" w:color="auto"/>
        <w:right w:val="none" w:sz="0" w:space="0" w:color="auto"/>
      </w:divBdr>
    </w:div>
    <w:div w:id="1517500332">
      <w:bodyDiv w:val="1"/>
      <w:marLeft w:val="0"/>
      <w:marRight w:val="0"/>
      <w:marTop w:val="0"/>
      <w:marBottom w:val="0"/>
      <w:divBdr>
        <w:top w:val="none" w:sz="0" w:space="0" w:color="auto"/>
        <w:left w:val="none" w:sz="0" w:space="0" w:color="auto"/>
        <w:bottom w:val="none" w:sz="0" w:space="0" w:color="auto"/>
        <w:right w:val="none" w:sz="0" w:space="0" w:color="auto"/>
      </w:divBdr>
    </w:div>
    <w:div w:id="1517503166">
      <w:bodyDiv w:val="1"/>
      <w:marLeft w:val="0"/>
      <w:marRight w:val="0"/>
      <w:marTop w:val="0"/>
      <w:marBottom w:val="0"/>
      <w:divBdr>
        <w:top w:val="none" w:sz="0" w:space="0" w:color="auto"/>
        <w:left w:val="none" w:sz="0" w:space="0" w:color="auto"/>
        <w:bottom w:val="none" w:sz="0" w:space="0" w:color="auto"/>
        <w:right w:val="none" w:sz="0" w:space="0" w:color="auto"/>
      </w:divBdr>
    </w:div>
    <w:div w:id="1517619562">
      <w:bodyDiv w:val="1"/>
      <w:marLeft w:val="0"/>
      <w:marRight w:val="0"/>
      <w:marTop w:val="0"/>
      <w:marBottom w:val="0"/>
      <w:divBdr>
        <w:top w:val="none" w:sz="0" w:space="0" w:color="auto"/>
        <w:left w:val="none" w:sz="0" w:space="0" w:color="auto"/>
        <w:bottom w:val="none" w:sz="0" w:space="0" w:color="auto"/>
        <w:right w:val="none" w:sz="0" w:space="0" w:color="auto"/>
      </w:divBdr>
    </w:div>
    <w:div w:id="1517689418">
      <w:bodyDiv w:val="1"/>
      <w:marLeft w:val="0"/>
      <w:marRight w:val="0"/>
      <w:marTop w:val="0"/>
      <w:marBottom w:val="0"/>
      <w:divBdr>
        <w:top w:val="none" w:sz="0" w:space="0" w:color="auto"/>
        <w:left w:val="none" w:sz="0" w:space="0" w:color="auto"/>
        <w:bottom w:val="none" w:sz="0" w:space="0" w:color="auto"/>
        <w:right w:val="none" w:sz="0" w:space="0" w:color="auto"/>
      </w:divBdr>
    </w:div>
    <w:div w:id="1517770234">
      <w:bodyDiv w:val="1"/>
      <w:marLeft w:val="0"/>
      <w:marRight w:val="0"/>
      <w:marTop w:val="0"/>
      <w:marBottom w:val="0"/>
      <w:divBdr>
        <w:top w:val="none" w:sz="0" w:space="0" w:color="auto"/>
        <w:left w:val="none" w:sz="0" w:space="0" w:color="auto"/>
        <w:bottom w:val="none" w:sz="0" w:space="0" w:color="auto"/>
        <w:right w:val="none" w:sz="0" w:space="0" w:color="auto"/>
      </w:divBdr>
    </w:div>
    <w:div w:id="1517965849">
      <w:bodyDiv w:val="1"/>
      <w:marLeft w:val="0"/>
      <w:marRight w:val="0"/>
      <w:marTop w:val="0"/>
      <w:marBottom w:val="0"/>
      <w:divBdr>
        <w:top w:val="none" w:sz="0" w:space="0" w:color="auto"/>
        <w:left w:val="none" w:sz="0" w:space="0" w:color="auto"/>
        <w:bottom w:val="none" w:sz="0" w:space="0" w:color="auto"/>
        <w:right w:val="none" w:sz="0" w:space="0" w:color="auto"/>
      </w:divBdr>
    </w:div>
    <w:div w:id="1518035756">
      <w:bodyDiv w:val="1"/>
      <w:marLeft w:val="0"/>
      <w:marRight w:val="0"/>
      <w:marTop w:val="0"/>
      <w:marBottom w:val="0"/>
      <w:divBdr>
        <w:top w:val="none" w:sz="0" w:space="0" w:color="auto"/>
        <w:left w:val="none" w:sz="0" w:space="0" w:color="auto"/>
        <w:bottom w:val="none" w:sz="0" w:space="0" w:color="auto"/>
        <w:right w:val="none" w:sz="0" w:space="0" w:color="auto"/>
      </w:divBdr>
    </w:div>
    <w:div w:id="1518154743">
      <w:bodyDiv w:val="1"/>
      <w:marLeft w:val="0"/>
      <w:marRight w:val="0"/>
      <w:marTop w:val="0"/>
      <w:marBottom w:val="0"/>
      <w:divBdr>
        <w:top w:val="none" w:sz="0" w:space="0" w:color="auto"/>
        <w:left w:val="none" w:sz="0" w:space="0" w:color="auto"/>
        <w:bottom w:val="none" w:sz="0" w:space="0" w:color="auto"/>
        <w:right w:val="none" w:sz="0" w:space="0" w:color="auto"/>
      </w:divBdr>
    </w:div>
    <w:div w:id="1518343976">
      <w:bodyDiv w:val="1"/>
      <w:marLeft w:val="0"/>
      <w:marRight w:val="0"/>
      <w:marTop w:val="0"/>
      <w:marBottom w:val="0"/>
      <w:divBdr>
        <w:top w:val="none" w:sz="0" w:space="0" w:color="auto"/>
        <w:left w:val="none" w:sz="0" w:space="0" w:color="auto"/>
        <w:bottom w:val="none" w:sz="0" w:space="0" w:color="auto"/>
        <w:right w:val="none" w:sz="0" w:space="0" w:color="auto"/>
      </w:divBdr>
    </w:div>
    <w:div w:id="1518352839">
      <w:bodyDiv w:val="1"/>
      <w:marLeft w:val="0"/>
      <w:marRight w:val="0"/>
      <w:marTop w:val="0"/>
      <w:marBottom w:val="0"/>
      <w:divBdr>
        <w:top w:val="none" w:sz="0" w:space="0" w:color="auto"/>
        <w:left w:val="none" w:sz="0" w:space="0" w:color="auto"/>
        <w:bottom w:val="none" w:sz="0" w:space="0" w:color="auto"/>
        <w:right w:val="none" w:sz="0" w:space="0" w:color="auto"/>
      </w:divBdr>
    </w:div>
    <w:div w:id="1518697043">
      <w:bodyDiv w:val="1"/>
      <w:marLeft w:val="0"/>
      <w:marRight w:val="0"/>
      <w:marTop w:val="0"/>
      <w:marBottom w:val="0"/>
      <w:divBdr>
        <w:top w:val="none" w:sz="0" w:space="0" w:color="auto"/>
        <w:left w:val="none" w:sz="0" w:space="0" w:color="auto"/>
        <w:bottom w:val="none" w:sz="0" w:space="0" w:color="auto"/>
        <w:right w:val="none" w:sz="0" w:space="0" w:color="auto"/>
      </w:divBdr>
    </w:div>
    <w:div w:id="1518809846">
      <w:bodyDiv w:val="1"/>
      <w:marLeft w:val="0"/>
      <w:marRight w:val="0"/>
      <w:marTop w:val="0"/>
      <w:marBottom w:val="0"/>
      <w:divBdr>
        <w:top w:val="none" w:sz="0" w:space="0" w:color="auto"/>
        <w:left w:val="none" w:sz="0" w:space="0" w:color="auto"/>
        <w:bottom w:val="none" w:sz="0" w:space="0" w:color="auto"/>
        <w:right w:val="none" w:sz="0" w:space="0" w:color="auto"/>
      </w:divBdr>
    </w:div>
    <w:div w:id="1518812782">
      <w:bodyDiv w:val="1"/>
      <w:marLeft w:val="0"/>
      <w:marRight w:val="0"/>
      <w:marTop w:val="0"/>
      <w:marBottom w:val="0"/>
      <w:divBdr>
        <w:top w:val="none" w:sz="0" w:space="0" w:color="auto"/>
        <w:left w:val="none" w:sz="0" w:space="0" w:color="auto"/>
        <w:bottom w:val="none" w:sz="0" w:space="0" w:color="auto"/>
        <w:right w:val="none" w:sz="0" w:space="0" w:color="auto"/>
      </w:divBdr>
    </w:div>
    <w:div w:id="1518813490">
      <w:bodyDiv w:val="1"/>
      <w:marLeft w:val="0"/>
      <w:marRight w:val="0"/>
      <w:marTop w:val="0"/>
      <w:marBottom w:val="0"/>
      <w:divBdr>
        <w:top w:val="none" w:sz="0" w:space="0" w:color="auto"/>
        <w:left w:val="none" w:sz="0" w:space="0" w:color="auto"/>
        <w:bottom w:val="none" w:sz="0" w:space="0" w:color="auto"/>
        <w:right w:val="none" w:sz="0" w:space="0" w:color="auto"/>
      </w:divBdr>
    </w:div>
    <w:div w:id="1518885306">
      <w:bodyDiv w:val="1"/>
      <w:marLeft w:val="0"/>
      <w:marRight w:val="0"/>
      <w:marTop w:val="0"/>
      <w:marBottom w:val="0"/>
      <w:divBdr>
        <w:top w:val="none" w:sz="0" w:space="0" w:color="auto"/>
        <w:left w:val="none" w:sz="0" w:space="0" w:color="auto"/>
        <w:bottom w:val="none" w:sz="0" w:space="0" w:color="auto"/>
        <w:right w:val="none" w:sz="0" w:space="0" w:color="auto"/>
      </w:divBdr>
    </w:div>
    <w:div w:id="1519390797">
      <w:bodyDiv w:val="1"/>
      <w:marLeft w:val="0"/>
      <w:marRight w:val="0"/>
      <w:marTop w:val="0"/>
      <w:marBottom w:val="0"/>
      <w:divBdr>
        <w:top w:val="none" w:sz="0" w:space="0" w:color="auto"/>
        <w:left w:val="none" w:sz="0" w:space="0" w:color="auto"/>
        <w:bottom w:val="none" w:sz="0" w:space="0" w:color="auto"/>
        <w:right w:val="none" w:sz="0" w:space="0" w:color="auto"/>
      </w:divBdr>
    </w:div>
    <w:div w:id="1519544368">
      <w:bodyDiv w:val="1"/>
      <w:marLeft w:val="0"/>
      <w:marRight w:val="0"/>
      <w:marTop w:val="0"/>
      <w:marBottom w:val="0"/>
      <w:divBdr>
        <w:top w:val="none" w:sz="0" w:space="0" w:color="auto"/>
        <w:left w:val="none" w:sz="0" w:space="0" w:color="auto"/>
        <w:bottom w:val="none" w:sz="0" w:space="0" w:color="auto"/>
        <w:right w:val="none" w:sz="0" w:space="0" w:color="auto"/>
      </w:divBdr>
    </w:div>
    <w:div w:id="1519612719">
      <w:bodyDiv w:val="1"/>
      <w:marLeft w:val="0"/>
      <w:marRight w:val="0"/>
      <w:marTop w:val="0"/>
      <w:marBottom w:val="0"/>
      <w:divBdr>
        <w:top w:val="none" w:sz="0" w:space="0" w:color="auto"/>
        <w:left w:val="none" w:sz="0" w:space="0" w:color="auto"/>
        <w:bottom w:val="none" w:sz="0" w:space="0" w:color="auto"/>
        <w:right w:val="none" w:sz="0" w:space="0" w:color="auto"/>
      </w:divBdr>
    </w:div>
    <w:div w:id="1519857410">
      <w:bodyDiv w:val="1"/>
      <w:marLeft w:val="0"/>
      <w:marRight w:val="0"/>
      <w:marTop w:val="0"/>
      <w:marBottom w:val="0"/>
      <w:divBdr>
        <w:top w:val="none" w:sz="0" w:space="0" w:color="auto"/>
        <w:left w:val="none" w:sz="0" w:space="0" w:color="auto"/>
        <w:bottom w:val="none" w:sz="0" w:space="0" w:color="auto"/>
        <w:right w:val="none" w:sz="0" w:space="0" w:color="auto"/>
      </w:divBdr>
    </w:div>
    <w:div w:id="1520121570">
      <w:bodyDiv w:val="1"/>
      <w:marLeft w:val="0"/>
      <w:marRight w:val="0"/>
      <w:marTop w:val="0"/>
      <w:marBottom w:val="0"/>
      <w:divBdr>
        <w:top w:val="none" w:sz="0" w:space="0" w:color="auto"/>
        <w:left w:val="none" w:sz="0" w:space="0" w:color="auto"/>
        <w:bottom w:val="none" w:sz="0" w:space="0" w:color="auto"/>
        <w:right w:val="none" w:sz="0" w:space="0" w:color="auto"/>
      </w:divBdr>
    </w:div>
    <w:div w:id="1520504658">
      <w:bodyDiv w:val="1"/>
      <w:marLeft w:val="0"/>
      <w:marRight w:val="0"/>
      <w:marTop w:val="0"/>
      <w:marBottom w:val="0"/>
      <w:divBdr>
        <w:top w:val="none" w:sz="0" w:space="0" w:color="auto"/>
        <w:left w:val="none" w:sz="0" w:space="0" w:color="auto"/>
        <w:bottom w:val="none" w:sz="0" w:space="0" w:color="auto"/>
        <w:right w:val="none" w:sz="0" w:space="0" w:color="auto"/>
      </w:divBdr>
    </w:div>
    <w:div w:id="1520507068">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974667">
      <w:bodyDiv w:val="1"/>
      <w:marLeft w:val="0"/>
      <w:marRight w:val="0"/>
      <w:marTop w:val="0"/>
      <w:marBottom w:val="0"/>
      <w:divBdr>
        <w:top w:val="none" w:sz="0" w:space="0" w:color="auto"/>
        <w:left w:val="none" w:sz="0" w:space="0" w:color="auto"/>
        <w:bottom w:val="none" w:sz="0" w:space="0" w:color="auto"/>
        <w:right w:val="none" w:sz="0" w:space="0" w:color="auto"/>
      </w:divBdr>
    </w:div>
    <w:div w:id="1521042445">
      <w:bodyDiv w:val="1"/>
      <w:marLeft w:val="0"/>
      <w:marRight w:val="0"/>
      <w:marTop w:val="0"/>
      <w:marBottom w:val="0"/>
      <w:divBdr>
        <w:top w:val="none" w:sz="0" w:space="0" w:color="auto"/>
        <w:left w:val="none" w:sz="0" w:space="0" w:color="auto"/>
        <w:bottom w:val="none" w:sz="0" w:space="0" w:color="auto"/>
        <w:right w:val="none" w:sz="0" w:space="0" w:color="auto"/>
      </w:divBdr>
    </w:div>
    <w:div w:id="1521315867">
      <w:bodyDiv w:val="1"/>
      <w:marLeft w:val="0"/>
      <w:marRight w:val="0"/>
      <w:marTop w:val="0"/>
      <w:marBottom w:val="0"/>
      <w:divBdr>
        <w:top w:val="none" w:sz="0" w:space="0" w:color="auto"/>
        <w:left w:val="none" w:sz="0" w:space="0" w:color="auto"/>
        <w:bottom w:val="none" w:sz="0" w:space="0" w:color="auto"/>
        <w:right w:val="none" w:sz="0" w:space="0" w:color="auto"/>
      </w:divBdr>
    </w:div>
    <w:div w:id="1521357492">
      <w:bodyDiv w:val="1"/>
      <w:marLeft w:val="0"/>
      <w:marRight w:val="0"/>
      <w:marTop w:val="0"/>
      <w:marBottom w:val="0"/>
      <w:divBdr>
        <w:top w:val="none" w:sz="0" w:space="0" w:color="auto"/>
        <w:left w:val="none" w:sz="0" w:space="0" w:color="auto"/>
        <w:bottom w:val="none" w:sz="0" w:space="0" w:color="auto"/>
        <w:right w:val="none" w:sz="0" w:space="0" w:color="auto"/>
      </w:divBdr>
    </w:div>
    <w:div w:id="1521773203">
      <w:bodyDiv w:val="1"/>
      <w:marLeft w:val="0"/>
      <w:marRight w:val="0"/>
      <w:marTop w:val="0"/>
      <w:marBottom w:val="0"/>
      <w:divBdr>
        <w:top w:val="none" w:sz="0" w:space="0" w:color="auto"/>
        <w:left w:val="none" w:sz="0" w:space="0" w:color="auto"/>
        <w:bottom w:val="none" w:sz="0" w:space="0" w:color="auto"/>
        <w:right w:val="none" w:sz="0" w:space="0" w:color="auto"/>
      </w:divBdr>
    </w:div>
    <w:div w:id="1522039645">
      <w:bodyDiv w:val="1"/>
      <w:marLeft w:val="0"/>
      <w:marRight w:val="0"/>
      <w:marTop w:val="0"/>
      <w:marBottom w:val="0"/>
      <w:divBdr>
        <w:top w:val="none" w:sz="0" w:space="0" w:color="auto"/>
        <w:left w:val="none" w:sz="0" w:space="0" w:color="auto"/>
        <w:bottom w:val="none" w:sz="0" w:space="0" w:color="auto"/>
        <w:right w:val="none" w:sz="0" w:space="0" w:color="auto"/>
      </w:divBdr>
    </w:div>
    <w:div w:id="1522040159">
      <w:bodyDiv w:val="1"/>
      <w:marLeft w:val="0"/>
      <w:marRight w:val="0"/>
      <w:marTop w:val="0"/>
      <w:marBottom w:val="0"/>
      <w:divBdr>
        <w:top w:val="none" w:sz="0" w:space="0" w:color="auto"/>
        <w:left w:val="none" w:sz="0" w:space="0" w:color="auto"/>
        <w:bottom w:val="none" w:sz="0" w:space="0" w:color="auto"/>
        <w:right w:val="none" w:sz="0" w:space="0" w:color="auto"/>
      </w:divBdr>
    </w:div>
    <w:div w:id="1522085205">
      <w:bodyDiv w:val="1"/>
      <w:marLeft w:val="0"/>
      <w:marRight w:val="0"/>
      <w:marTop w:val="0"/>
      <w:marBottom w:val="0"/>
      <w:divBdr>
        <w:top w:val="none" w:sz="0" w:space="0" w:color="auto"/>
        <w:left w:val="none" w:sz="0" w:space="0" w:color="auto"/>
        <w:bottom w:val="none" w:sz="0" w:space="0" w:color="auto"/>
        <w:right w:val="none" w:sz="0" w:space="0" w:color="auto"/>
      </w:divBdr>
    </w:div>
    <w:div w:id="1522086186">
      <w:bodyDiv w:val="1"/>
      <w:marLeft w:val="0"/>
      <w:marRight w:val="0"/>
      <w:marTop w:val="0"/>
      <w:marBottom w:val="0"/>
      <w:divBdr>
        <w:top w:val="none" w:sz="0" w:space="0" w:color="auto"/>
        <w:left w:val="none" w:sz="0" w:space="0" w:color="auto"/>
        <w:bottom w:val="none" w:sz="0" w:space="0" w:color="auto"/>
        <w:right w:val="none" w:sz="0" w:space="0" w:color="auto"/>
      </w:divBdr>
    </w:div>
    <w:div w:id="1522086191">
      <w:bodyDiv w:val="1"/>
      <w:marLeft w:val="0"/>
      <w:marRight w:val="0"/>
      <w:marTop w:val="0"/>
      <w:marBottom w:val="0"/>
      <w:divBdr>
        <w:top w:val="none" w:sz="0" w:space="0" w:color="auto"/>
        <w:left w:val="none" w:sz="0" w:space="0" w:color="auto"/>
        <w:bottom w:val="none" w:sz="0" w:space="0" w:color="auto"/>
        <w:right w:val="none" w:sz="0" w:space="0" w:color="auto"/>
      </w:divBdr>
    </w:div>
    <w:div w:id="1522090739">
      <w:bodyDiv w:val="1"/>
      <w:marLeft w:val="0"/>
      <w:marRight w:val="0"/>
      <w:marTop w:val="0"/>
      <w:marBottom w:val="0"/>
      <w:divBdr>
        <w:top w:val="none" w:sz="0" w:space="0" w:color="auto"/>
        <w:left w:val="none" w:sz="0" w:space="0" w:color="auto"/>
        <w:bottom w:val="none" w:sz="0" w:space="0" w:color="auto"/>
        <w:right w:val="none" w:sz="0" w:space="0" w:color="auto"/>
      </w:divBdr>
    </w:div>
    <w:div w:id="1522476282">
      <w:bodyDiv w:val="1"/>
      <w:marLeft w:val="0"/>
      <w:marRight w:val="0"/>
      <w:marTop w:val="0"/>
      <w:marBottom w:val="0"/>
      <w:divBdr>
        <w:top w:val="none" w:sz="0" w:space="0" w:color="auto"/>
        <w:left w:val="none" w:sz="0" w:space="0" w:color="auto"/>
        <w:bottom w:val="none" w:sz="0" w:space="0" w:color="auto"/>
        <w:right w:val="none" w:sz="0" w:space="0" w:color="auto"/>
      </w:divBdr>
    </w:div>
    <w:div w:id="1522817544">
      <w:bodyDiv w:val="1"/>
      <w:marLeft w:val="0"/>
      <w:marRight w:val="0"/>
      <w:marTop w:val="0"/>
      <w:marBottom w:val="0"/>
      <w:divBdr>
        <w:top w:val="none" w:sz="0" w:space="0" w:color="auto"/>
        <w:left w:val="none" w:sz="0" w:space="0" w:color="auto"/>
        <w:bottom w:val="none" w:sz="0" w:space="0" w:color="auto"/>
        <w:right w:val="none" w:sz="0" w:space="0" w:color="auto"/>
      </w:divBdr>
    </w:div>
    <w:div w:id="1522819940">
      <w:bodyDiv w:val="1"/>
      <w:marLeft w:val="0"/>
      <w:marRight w:val="0"/>
      <w:marTop w:val="0"/>
      <w:marBottom w:val="0"/>
      <w:divBdr>
        <w:top w:val="none" w:sz="0" w:space="0" w:color="auto"/>
        <w:left w:val="none" w:sz="0" w:space="0" w:color="auto"/>
        <w:bottom w:val="none" w:sz="0" w:space="0" w:color="auto"/>
        <w:right w:val="none" w:sz="0" w:space="0" w:color="auto"/>
      </w:divBdr>
    </w:div>
    <w:div w:id="1523083277">
      <w:bodyDiv w:val="1"/>
      <w:marLeft w:val="0"/>
      <w:marRight w:val="0"/>
      <w:marTop w:val="0"/>
      <w:marBottom w:val="0"/>
      <w:divBdr>
        <w:top w:val="none" w:sz="0" w:space="0" w:color="auto"/>
        <w:left w:val="none" w:sz="0" w:space="0" w:color="auto"/>
        <w:bottom w:val="none" w:sz="0" w:space="0" w:color="auto"/>
        <w:right w:val="none" w:sz="0" w:space="0" w:color="auto"/>
      </w:divBdr>
    </w:div>
    <w:div w:id="1523470098">
      <w:bodyDiv w:val="1"/>
      <w:marLeft w:val="0"/>
      <w:marRight w:val="0"/>
      <w:marTop w:val="0"/>
      <w:marBottom w:val="0"/>
      <w:divBdr>
        <w:top w:val="none" w:sz="0" w:space="0" w:color="auto"/>
        <w:left w:val="none" w:sz="0" w:space="0" w:color="auto"/>
        <w:bottom w:val="none" w:sz="0" w:space="0" w:color="auto"/>
        <w:right w:val="none" w:sz="0" w:space="0" w:color="auto"/>
      </w:divBdr>
    </w:div>
    <w:div w:id="1523473034">
      <w:bodyDiv w:val="1"/>
      <w:marLeft w:val="0"/>
      <w:marRight w:val="0"/>
      <w:marTop w:val="0"/>
      <w:marBottom w:val="0"/>
      <w:divBdr>
        <w:top w:val="none" w:sz="0" w:space="0" w:color="auto"/>
        <w:left w:val="none" w:sz="0" w:space="0" w:color="auto"/>
        <w:bottom w:val="none" w:sz="0" w:space="0" w:color="auto"/>
        <w:right w:val="none" w:sz="0" w:space="0" w:color="auto"/>
      </w:divBdr>
    </w:div>
    <w:div w:id="1523547150">
      <w:bodyDiv w:val="1"/>
      <w:marLeft w:val="0"/>
      <w:marRight w:val="0"/>
      <w:marTop w:val="0"/>
      <w:marBottom w:val="0"/>
      <w:divBdr>
        <w:top w:val="none" w:sz="0" w:space="0" w:color="auto"/>
        <w:left w:val="none" w:sz="0" w:space="0" w:color="auto"/>
        <w:bottom w:val="none" w:sz="0" w:space="0" w:color="auto"/>
        <w:right w:val="none" w:sz="0" w:space="0" w:color="auto"/>
      </w:divBdr>
    </w:div>
    <w:div w:id="1523663872">
      <w:bodyDiv w:val="1"/>
      <w:marLeft w:val="0"/>
      <w:marRight w:val="0"/>
      <w:marTop w:val="0"/>
      <w:marBottom w:val="0"/>
      <w:divBdr>
        <w:top w:val="none" w:sz="0" w:space="0" w:color="auto"/>
        <w:left w:val="none" w:sz="0" w:space="0" w:color="auto"/>
        <w:bottom w:val="none" w:sz="0" w:space="0" w:color="auto"/>
        <w:right w:val="none" w:sz="0" w:space="0" w:color="auto"/>
      </w:divBdr>
    </w:div>
    <w:div w:id="1523713665">
      <w:bodyDiv w:val="1"/>
      <w:marLeft w:val="0"/>
      <w:marRight w:val="0"/>
      <w:marTop w:val="0"/>
      <w:marBottom w:val="0"/>
      <w:divBdr>
        <w:top w:val="none" w:sz="0" w:space="0" w:color="auto"/>
        <w:left w:val="none" w:sz="0" w:space="0" w:color="auto"/>
        <w:bottom w:val="none" w:sz="0" w:space="0" w:color="auto"/>
        <w:right w:val="none" w:sz="0" w:space="0" w:color="auto"/>
      </w:divBdr>
    </w:div>
    <w:div w:id="1523858773">
      <w:bodyDiv w:val="1"/>
      <w:marLeft w:val="0"/>
      <w:marRight w:val="0"/>
      <w:marTop w:val="0"/>
      <w:marBottom w:val="0"/>
      <w:divBdr>
        <w:top w:val="none" w:sz="0" w:space="0" w:color="auto"/>
        <w:left w:val="none" w:sz="0" w:space="0" w:color="auto"/>
        <w:bottom w:val="none" w:sz="0" w:space="0" w:color="auto"/>
        <w:right w:val="none" w:sz="0" w:space="0" w:color="auto"/>
      </w:divBdr>
    </w:div>
    <w:div w:id="1523976462">
      <w:bodyDiv w:val="1"/>
      <w:marLeft w:val="0"/>
      <w:marRight w:val="0"/>
      <w:marTop w:val="0"/>
      <w:marBottom w:val="0"/>
      <w:divBdr>
        <w:top w:val="none" w:sz="0" w:space="0" w:color="auto"/>
        <w:left w:val="none" w:sz="0" w:space="0" w:color="auto"/>
        <w:bottom w:val="none" w:sz="0" w:space="0" w:color="auto"/>
        <w:right w:val="none" w:sz="0" w:space="0" w:color="auto"/>
      </w:divBdr>
    </w:div>
    <w:div w:id="1524054578">
      <w:bodyDiv w:val="1"/>
      <w:marLeft w:val="0"/>
      <w:marRight w:val="0"/>
      <w:marTop w:val="0"/>
      <w:marBottom w:val="0"/>
      <w:divBdr>
        <w:top w:val="none" w:sz="0" w:space="0" w:color="auto"/>
        <w:left w:val="none" w:sz="0" w:space="0" w:color="auto"/>
        <w:bottom w:val="none" w:sz="0" w:space="0" w:color="auto"/>
        <w:right w:val="none" w:sz="0" w:space="0" w:color="auto"/>
      </w:divBdr>
    </w:div>
    <w:div w:id="1524055651">
      <w:bodyDiv w:val="1"/>
      <w:marLeft w:val="0"/>
      <w:marRight w:val="0"/>
      <w:marTop w:val="0"/>
      <w:marBottom w:val="0"/>
      <w:divBdr>
        <w:top w:val="none" w:sz="0" w:space="0" w:color="auto"/>
        <w:left w:val="none" w:sz="0" w:space="0" w:color="auto"/>
        <w:bottom w:val="none" w:sz="0" w:space="0" w:color="auto"/>
        <w:right w:val="none" w:sz="0" w:space="0" w:color="auto"/>
      </w:divBdr>
    </w:div>
    <w:div w:id="1524200473">
      <w:bodyDiv w:val="1"/>
      <w:marLeft w:val="0"/>
      <w:marRight w:val="0"/>
      <w:marTop w:val="0"/>
      <w:marBottom w:val="0"/>
      <w:divBdr>
        <w:top w:val="none" w:sz="0" w:space="0" w:color="auto"/>
        <w:left w:val="none" w:sz="0" w:space="0" w:color="auto"/>
        <w:bottom w:val="none" w:sz="0" w:space="0" w:color="auto"/>
        <w:right w:val="none" w:sz="0" w:space="0" w:color="auto"/>
      </w:divBdr>
    </w:div>
    <w:div w:id="1524249740">
      <w:bodyDiv w:val="1"/>
      <w:marLeft w:val="0"/>
      <w:marRight w:val="0"/>
      <w:marTop w:val="0"/>
      <w:marBottom w:val="0"/>
      <w:divBdr>
        <w:top w:val="none" w:sz="0" w:space="0" w:color="auto"/>
        <w:left w:val="none" w:sz="0" w:space="0" w:color="auto"/>
        <w:bottom w:val="none" w:sz="0" w:space="0" w:color="auto"/>
        <w:right w:val="none" w:sz="0" w:space="0" w:color="auto"/>
      </w:divBdr>
    </w:div>
    <w:div w:id="1524368970">
      <w:bodyDiv w:val="1"/>
      <w:marLeft w:val="0"/>
      <w:marRight w:val="0"/>
      <w:marTop w:val="0"/>
      <w:marBottom w:val="0"/>
      <w:divBdr>
        <w:top w:val="none" w:sz="0" w:space="0" w:color="auto"/>
        <w:left w:val="none" w:sz="0" w:space="0" w:color="auto"/>
        <w:bottom w:val="none" w:sz="0" w:space="0" w:color="auto"/>
        <w:right w:val="none" w:sz="0" w:space="0" w:color="auto"/>
      </w:divBdr>
    </w:div>
    <w:div w:id="1524398071">
      <w:bodyDiv w:val="1"/>
      <w:marLeft w:val="0"/>
      <w:marRight w:val="0"/>
      <w:marTop w:val="0"/>
      <w:marBottom w:val="0"/>
      <w:divBdr>
        <w:top w:val="none" w:sz="0" w:space="0" w:color="auto"/>
        <w:left w:val="none" w:sz="0" w:space="0" w:color="auto"/>
        <w:bottom w:val="none" w:sz="0" w:space="0" w:color="auto"/>
        <w:right w:val="none" w:sz="0" w:space="0" w:color="auto"/>
      </w:divBdr>
    </w:div>
    <w:div w:id="1524710271">
      <w:bodyDiv w:val="1"/>
      <w:marLeft w:val="0"/>
      <w:marRight w:val="0"/>
      <w:marTop w:val="0"/>
      <w:marBottom w:val="0"/>
      <w:divBdr>
        <w:top w:val="none" w:sz="0" w:space="0" w:color="auto"/>
        <w:left w:val="none" w:sz="0" w:space="0" w:color="auto"/>
        <w:bottom w:val="none" w:sz="0" w:space="0" w:color="auto"/>
        <w:right w:val="none" w:sz="0" w:space="0" w:color="auto"/>
      </w:divBdr>
    </w:div>
    <w:div w:id="1524779372">
      <w:bodyDiv w:val="1"/>
      <w:marLeft w:val="0"/>
      <w:marRight w:val="0"/>
      <w:marTop w:val="0"/>
      <w:marBottom w:val="0"/>
      <w:divBdr>
        <w:top w:val="none" w:sz="0" w:space="0" w:color="auto"/>
        <w:left w:val="none" w:sz="0" w:space="0" w:color="auto"/>
        <w:bottom w:val="none" w:sz="0" w:space="0" w:color="auto"/>
        <w:right w:val="none" w:sz="0" w:space="0" w:color="auto"/>
      </w:divBdr>
    </w:div>
    <w:div w:id="1524827636">
      <w:bodyDiv w:val="1"/>
      <w:marLeft w:val="0"/>
      <w:marRight w:val="0"/>
      <w:marTop w:val="0"/>
      <w:marBottom w:val="0"/>
      <w:divBdr>
        <w:top w:val="none" w:sz="0" w:space="0" w:color="auto"/>
        <w:left w:val="none" w:sz="0" w:space="0" w:color="auto"/>
        <w:bottom w:val="none" w:sz="0" w:space="0" w:color="auto"/>
        <w:right w:val="none" w:sz="0" w:space="0" w:color="auto"/>
      </w:divBdr>
    </w:div>
    <w:div w:id="1524828855">
      <w:bodyDiv w:val="1"/>
      <w:marLeft w:val="0"/>
      <w:marRight w:val="0"/>
      <w:marTop w:val="0"/>
      <w:marBottom w:val="0"/>
      <w:divBdr>
        <w:top w:val="none" w:sz="0" w:space="0" w:color="auto"/>
        <w:left w:val="none" w:sz="0" w:space="0" w:color="auto"/>
        <w:bottom w:val="none" w:sz="0" w:space="0" w:color="auto"/>
        <w:right w:val="none" w:sz="0" w:space="0" w:color="auto"/>
      </w:divBdr>
    </w:div>
    <w:div w:id="1525094598">
      <w:bodyDiv w:val="1"/>
      <w:marLeft w:val="0"/>
      <w:marRight w:val="0"/>
      <w:marTop w:val="0"/>
      <w:marBottom w:val="0"/>
      <w:divBdr>
        <w:top w:val="none" w:sz="0" w:space="0" w:color="auto"/>
        <w:left w:val="none" w:sz="0" w:space="0" w:color="auto"/>
        <w:bottom w:val="none" w:sz="0" w:space="0" w:color="auto"/>
        <w:right w:val="none" w:sz="0" w:space="0" w:color="auto"/>
      </w:divBdr>
    </w:div>
    <w:div w:id="1525167311">
      <w:bodyDiv w:val="1"/>
      <w:marLeft w:val="0"/>
      <w:marRight w:val="0"/>
      <w:marTop w:val="0"/>
      <w:marBottom w:val="0"/>
      <w:divBdr>
        <w:top w:val="none" w:sz="0" w:space="0" w:color="auto"/>
        <w:left w:val="none" w:sz="0" w:space="0" w:color="auto"/>
        <w:bottom w:val="none" w:sz="0" w:space="0" w:color="auto"/>
        <w:right w:val="none" w:sz="0" w:space="0" w:color="auto"/>
      </w:divBdr>
    </w:div>
    <w:div w:id="1525173660">
      <w:bodyDiv w:val="1"/>
      <w:marLeft w:val="0"/>
      <w:marRight w:val="0"/>
      <w:marTop w:val="0"/>
      <w:marBottom w:val="0"/>
      <w:divBdr>
        <w:top w:val="none" w:sz="0" w:space="0" w:color="auto"/>
        <w:left w:val="none" w:sz="0" w:space="0" w:color="auto"/>
        <w:bottom w:val="none" w:sz="0" w:space="0" w:color="auto"/>
        <w:right w:val="none" w:sz="0" w:space="0" w:color="auto"/>
      </w:divBdr>
    </w:div>
    <w:div w:id="1525434319">
      <w:bodyDiv w:val="1"/>
      <w:marLeft w:val="0"/>
      <w:marRight w:val="0"/>
      <w:marTop w:val="0"/>
      <w:marBottom w:val="0"/>
      <w:divBdr>
        <w:top w:val="none" w:sz="0" w:space="0" w:color="auto"/>
        <w:left w:val="none" w:sz="0" w:space="0" w:color="auto"/>
        <w:bottom w:val="none" w:sz="0" w:space="0" w:color="auto"/>
        <w:right w:val="none" w:sz="0" w:space="0" w:color="auto"/>
      </w:divBdr>
    </w:div>
    <w:div w:id="1525555468">
      <w:bodyDiv w:val="1"/>
      <w:marLeft w:val="0"/>
      <w:marRight w:val="0"/>
      <w:marTop w:val="0"/>
      <w:marBottom w:val="0"/>
      <w:divBdr>
        <w:top w:val="none" w:sz="0" w:space="0" w:color="auto"/>
        <w:left w:val="none" w:sz="0" w:space="0" w:color="auto"/>
        <w:bottom w:val="none" w:sz="0" w:space="0" w:color="auto"/>
        <w:right w:val="none" w:sz="0" w:space="0" w:color="auto"/>
      </w:divBdr>
    </w:div>
    <w:div w:id="1525678640">
      <w:bodyDiv w:val="1"/>
      <w:marLeft w:val="0"/>
      <w:marRight w:val="0"/>
      <w:marTop w:val="0"/>
      <w:marBottom w:val="0"/>
      <w:divBdr>
        <w:top w:val="none" w:sz="0" w:space="0" w:color="auto"/>
        <w:left w:val="none" w:sz="0" w:space="0" w:color="auto"/>
        <w:bottom w:val="none" w:sz="0" w:space="0" w:color="auto"/>
        <w:right w:val="none" w:sz="0" w:space="0" w:color="auto"/>
      </w:divBdr>
    </w:div>
    <w:div w:id="1525706303">
      <w:bodyDiv w:val="1"/>
      <w:marLeft w:val="0"/>
      <w:marRight w:val="0"/>
      <w:marTop w:val="0"/>
      <w:marBottom w:val="0"/>
      <w:divBdr>
        <w:top w:val="none" w:sz="0" w:space="0" w:color="auto"/>
        <w:left w:val="none" w:sz="0" w:space="0" w:color="auto"/>
        <w:bottom w:val="none" w:sz="0" w:space="0" w:color="auto"/>
        <w:right w:val="none" w:sz="0" w:space="0" w:color="auto"/>
      </w:divBdr>
    </w:div>
    <w:div w:id="1525901540">
      <w:bodyDiv w:val="1"/>
      <w:marLeft w:val="0"/>
      <w:marRight w:val="0"/>
      <w:marTop w:val="0"/>
      <w:marBottom w:val="0"/>
      <w:divBdr>
        <w:top w:val="none" w:sz="0" w:space="0" w:color="auto"/>
        <w:left w:val="none" w:sz="0" w:space="0" w:color="auto"/>
        <w:bottom w:val="none" w:sz="0" w:space="0" w:color="auto"/>
        <w:right w:val="none" w:sz="0" w:space="0" w:color="auto"/>
      </w:divBdr>
    </w:div>
    <w:div w:id="1525944392">
      <w:bodyDiv w:val="1"/>
      <w:marLeft w:val="0"/>
      <w:marRight w:val="0"/>
      <w:marTop w:val="0"/>
      <w:marBottom w:val="0"/>
      <w:divBdr>
        <w:top w:val="none" w:sz="0" w:space="0" w:color="auto"/>
        <w:left w:val="none" w:sz="0" w:space="0" w:color="auto"/>
        <w:bottom w:val="none" w:sz="0" w:space="0" w:color="auto"/>
        <w:right w:val="none" w:sz="0" w:space="0" w:color="auto"/>
      </w:divBdr>
    </w:div>
    <w:div w:id="1526017684">
      <w:bodyDiv w:val="1"/>
      <w:marLeft w:val="0"/>
      <w:marRight w:val="0"/>
      <w:marTop w:val="0"/>
      <w:marBottom w:val="0"/>
      <w:divBdr>
        <w:top w:val="none" w:sz="0" w:space="0" w:color="auto"/>
        <w:left w:val="none" w:sz="0" w:space="0" w:color="auto"/>
        <w:bottom w:val="none" w:sz="0" w:space="0" w:color="auto"/>
        <w:right w:val="none" w:sz="0" w:space="0" w:color="auto"/>
      </w:divBdr>
    </w:div>
    <w:div w:id="1526141179">
      <w:bodyDiv w:val="1"/>
      <w:marLeft w:val="0"/>
      <w:marRight w:val="0"/>
      <w:marTop w:val="0"/>
      <w:marBottom w:val="0"/>
      <w:divBdr>
        <w:top w:val="none" w:sz="0" w:space="0" w:color="auto"/>
        <w:left w:val="none" w:sz="0" w:space="0" w:color="auto"/>
        <w:bottom w:val="none" w:sz="0" w:space="0" w:color="auto"/>
        <w:right w:val="none" w:sz="0" w:space="0" w:color="auto"/>
      </w:divBdr>
    </w:div>
    <w:div w:id="1526409635">
      <w:bodyDiv w:val="1"/>
      <w:marLeft w:val="0"/>
      <w:marRight w:val="0"/>
      <w:marTop w:val="0"/>
      <w:marBottom w:val="0"/>
      <w:divBdr>
        <w:top w:val="none" w:sz="0" w:space="0" w:color="auto"/>
        <w:left w:val="none" w:sz="0" w:space="0" w:color="auto"/>
        <w:bottom w:val="none" w:sz="0" w:space="0" w:color="auto"/>
        <w:right w:val="none" w:sz="0" w:space="0" w:color="auto"/>
      </w:divBdr>
    </w:div>
    <w:div w:id="1526748737">
      <w:bodyDiv w:val="1"/>
      <w:marLeft w:val="0"/>
      <w:marRight w:val="0"/>
      <w:marTop w:val="0"/>
      <w:marBottom w:val="0"/>
      <w:divBdr>
        <w:top w:val="none" w:sz="0" w:space="0" w:color="auto"/>
        <w:left w:val="none" w:sz="0" w:space="0" w:color="auto"/>
        <w:bottom w:val="none" w:sz="0" w:space="0" w:color="auto"/>
        <w:right w:val="none" w:sz="0" w:space="0" w:color="auto"/>
      </w:divBdr>
    </w:div>
    <w:div w:id="1526824163">
      <w:bodyDiv w:val="1"/>
      <w:marLeft w:val="0"/>
      <w:marRight w:val="0"/>
      <w:marTop w:val="0"/>
      <w:marBottom w:val="0"/>
      <w:divBdr>
        <w:top w:val="none" w:sz="0" w:space="0" w:color="auto"/>
        <w:left w:val="none" w:sz="0" w:space="0" w:color="auto"/>
        <w:bottom w:val="none" w:sz="0" w:space="0" w:color="auto"/>
        <w:right w:val="none" w:sz="0" w:space="0" w:color="auto"/>
      </w:divBdr>
    </w:div>
    <w:div w:id="1527451635">
      <w:bodyDiv w:val="1"/>
      <w:marLeft w:val="0"/>
      <w:marRight w:val="0"/>
      <w:marTop w:val="0"/>
      <w:marBottom w:val="0"/>
      <w:divBdr>
        <w:top w:val="none" w:sz="0" w:space="0" w:color="auto"/>
        <w:left w:val="none" w:sz="0" w:space="0" w:color="auto"/>
        <w:bottom w:val="none" w:sz="0" w:space="0" w:color="auto"/>
        <w:right w:val="none" w:sz="0" w:space="0" w:color="auto"/>
      </w:divBdr>
    </w:div>
    <w:div w:id="1527719547">
      <w:bodyDiv w:val="1"/>
      <w:marLeft w:val="0"/>
      <w:marRight w:val="0"/>
      <w:marTop w:val="0"/>
      <w:marBottom w:val="0"/>
      <w:divBdr>
        <w:top w:val="none" w:sz="0" w:space="0" w:color="auto"/>
        <w:left w:val="none" w:sz="0" w:space="0" w:color="auto"/>
        <w:bottom w:val="none" w:sz="0" w:space="0" w:color="auto"/>
        <w:right w:val="none" w:sz="0" w:space="0" w:color="auto"/>
      </w:divBdr>
    </w:div>
    <w:div w:id="1527793940">
      <w:bodyDiv w:val="1"/>
      <w:marLeft w:val="0"/>
      <w:marRight w:val="0"/>
      <w:marTop w:val="0"/>
      <w:marBottom w:val="0"/>
      <w:divBdr>
        <w:top w:val="none" w:sz="0" w:space="0" w:color="auto"/>
        <w:left w:val="none" w:sz="0" w:space="0" w:color="auto"/>
        <w:bottom w:val="none" w:sz="0" w:space="0" w:color="auto"/>
        <w:right w:val="none" w:sz="0" w:space="0" w:color="auto"/>
      </w:divBdr>
    </w:div>
    <w:div w:id="1528059489">
      <w:bodyDiv w:val="1"/>
      <w:marLeft w:val="0"/>
      <w:marRight w:val="0"/>
      <w:marTop w:val="0"/>
      <w:marBottom w:val="0"/>
      <w:divBdr>
        <w:top w:val="none" w:sz="0" w:space="0" w:color="auto"/>
        <w:left w:val="none" w:sz="0" w:space="0" w:color="auto"/>
        <w:bottom w:val="none" w:sz="0" w:space="0" w:color="auto"/>
        <w:right w:val="none" w:sz="0" w:space="0" w:color="auto"/>
      </w:divBdr>
    </w:div>
    <w:div w:id="1528104683">
      <w:bodyDiv w:val="1"/>
      <w:marLeft w:val="0"/>
      <w:marRight w:val="0"/>
      <w:marTop w:val="0"/>
      <w:marBottom w:val="0"/>
      <w:divBdr>
        <w:top w:val="none" w:sz="0" w:space="0" w:color="auto"/>
        <w:left w:val="none" w:sz="0" w:space="0" w:color="auto"/>
        <w:bottom w:val="none" w:sz="0" w:space="0" w:color="auto"/>
        <w:right w:val="none" w:sz="0" w:space="0" w:color="auto"/>
      </w:divBdr>
    </w:div>
    <w:div w:id="1528299530">
      <w:bodyDiv w:val="1"/>
      <w:marLeft w:val="0"/>
      <w:marRight w:val="0"/>
      <w:marTop w:val="0"/>
      <w:marBottom w:val="0"/>
      <w:divBdr>
        <w:top w:val="none" w:sz="0" w:space="0" w:color="auto"/>
        <w:left w:val="none" w:sz="0" w:space="0" w:color="auto"/>
        <w:bottom w:val="none" w:sz="0" w:space="0" w:color="auto"/>
        <w:right w:val="none" w:sz="0" w:space="0" w:color="auto"/>
      </w:divBdr>
    </w:div>
    <w:div w:id="1528520225">
      <w:bodyDiv w:val="1"/>
      <w:marLeft w:val="0"/>
      <w:marRight w:val="0"/>
      <w:marTop w:val="0"/>
      <w:marBottom w:val="0"/>
      <w:divBdr>
        <w:top w:val="none" w:sz="0" w:space="0" w:color="auto"/>
        <w:left w:val="none" w:sz="0" w:space="0" w:color="auto"/>
        <w:bottom w:val="none" w:sz="0" w:space="0" w:color="auto"/>
        <w:right w:val="none" w:sz="0" w:space="0" w:color="auto"/>
      </w:divBdr>
    </w:div>
    <w:div w:id="1528563553">
      <w:bodyDiv w:val="1"/>
      <w:marLeft w:val="0"/>
      <w:marRight w:val="0"/>
      <w:marTop w:val="0"/>
      <w:marBottom w:val="0"/>
      <w:divBdr>
        <w:top w:val="none" w:sz="0" w:space="0" w:color="auto"/>
        <w:left w:val="none" w:sz="0" w:space="0" w:color="auto"/>
        <w:bottom w:val="none" w:sz="0" w:space="0" w:color="auto"/>
        <w:right w:val="none" w:sz="0" w:space="0" w:color="auto"/>
      </w:divBdr>
    </w:div>
    <w:div w:id="1528636640">
      <w:bodyDiv w:val="1"/>
      <w:marLeft w:val="0"/>
      <w:marRight w:val="0"/>
      <w:marTop w:val="0"/>
      <w:marBottom w:val="0"/>
      <w:divBdr>
        <w:top w:val="none" w:sz="0" w:space="0" w:color="auto"/>
        <w:left w:val="none" w:sz="0" w:space="0" w:color="auto"/>
        <w:bottom w:val="none" w:sz="0" w:space="0" w:color="auto"/>
        <w:right w:val="none" w:sz="0" w:space="0" w:color="auto"/>
      </w:divBdr>
    </w:div>
    <w:div w:id="1529025226">
      <w:bodyDiv w:val="1"/>
      <w:marLeft w:val="0"/>
      <w:marRight w:val="0"/>
      <w:marTop w:val="0"/>
      <w:marBottom w:val="0"/>
      <w:divBdr>
        <w:top w:val="none" w:sz="0" w:space="0" w:color="auto"/>
        <w:left w:val="none" w:sz="0" w:space="0" w:color="auto"/>
        <w:bottom w:val="none" w:sz="0" w:space="0" w:color="auto"/>
        <w:right w:val="none" w:sz="0" w:space="0" w:color="auto"/>
      </w:divBdr>
    </w:div>
    <w:div w:id="1529174326">
      <w:bodyDiv w:val="1"/>
      <w:marLeft w:val="0"/>
      <w:marRight w:val="0"/>
      <w:marTop w:val="0"/>
      <w:marBottom w:val="0"/>
      <w:divBdr>
        <w:top w:val="none" w:sz="0" w:space="0" w:color="auto"/>
        <w:left w:val="none" w:sz="0" w:space="0" w:color="auto"/>
        <w:bottom w:val="none" w:sz="0" w:space="0" w:color="auto"/>
        <w:right w:val="none" w:sz="0" w:space="0" w:color="auto"/>
      </w:divBdr>
    </w:div>
    <w:div w:id="1529298285">
      <w:bodyDiv w:val="1"/>
      <w:marLeft w:val="0"/>
      <w:marRight w:val="0"/>
      <w:marTop w:val="0"/>
      <w:marBottom w:val="0"/>
      <w:divBdr>
        <w:top w:val="none" w:sz="0" w:space="0" w:color="auto"/>
        <w:left w:val="none" w:sz="0" w:space="0" w:color="auto"/>
        <w:bottom w:val="none" w:sz="0" w:space="0" w:color="auto"/>
        <w:right w:val="none" w:sz="0" w:space="0" w:color="auto"/>
      </w:divBdr>
    </w:div>
    <w:div w:id="1529445327">
      <w:bodyDiv w:val="1"/>
      <w:marLeft w:val="0"/>
      <w:marRight w:val="0"/>
      <w:marTop w:val="0"/>
      <w:marBottom w:val="0"/>
      <w:divBdr>
        <w:top w:val="none" w:sz="0" w:space="0" w:color="auto"/>
        <w:left w:val="none" w:sz="0" w:space="0" w:color="auto"/>
        <w:bottom w:val="none" w:sz="0" w:space="0" w:color="auto"/>
        <w:right w:val="none" w:sz="0" w:space="0" w:color="auto"/>
      </w:divBdr>
    </w:div>
    <w:div w:id="1529491581">
      <w:bodyDiv w:val="1"/>
      <w:marLeft w:val="0"/>
      <w:marRight w:val="0"/>
      <w:marTop w:val="0"/>
      <w:marBottom w:val="0"/>
      <w:divBdr>
        <w:top w:val="none" w:sz="0" w:space="0" w:color="auto"/>
        <w:left w:val="none" w:sz="0" w:space="0" w:color="auto"/>
        <w:bottom w:val="none" w:sz="0" w:space="0" w:color="auto"/>
        <w:right w:val="none" w:sz="0" w:space="0" w:color="auto"/>
      </w:divBdr>
    </w:div>
    <w:div w:id="1529568295">
      <w:bodyDiv w:val="1"/>
      <w:marLeft w:val="0"/>
      <w:marRight w:val="0"/>
      <w:marTop w:val="0"/>
      <w:marBottom w:val="0"/>
      <w:divBdr>
        <w:top w:val="none" w:sz="0" w:space="0" w:color="auto"/>
        <w:left w:val="none" w:sz="0" w:space="0" w:color="auto"/>
        <w:bottom w:val="none" w:sz="0" w:space="0" w:color="auto"/>
        <w:right w:val="none" w:sz="0" w:space="0" w:color="auto"/>
      </w:divBdr>
    </w:div>
    <w:div w:id="1529756534">
      <w:bodyDiv w:val="1"/>
      <w:marLeft w:val="0"/>
      <w:marRight w:val="0"/>
      <w:marTop w:val="0"/>
      <w:marBottom w:val="0"/>
      <w:divBdr>
        <w:top w:val="none" w:sz="0" w:space="0" w:color="auto"/>
        <w:left w:val="none" w:sz="0" w:space="0" w:color="auto"/>
        <w:bottom w:val="none" w:sz="0" w:space="0" w:color="auto"/>
        <w:right w:val="none" w:sz="0" w:space="0" w:color="auto"/>
      </w:divBdr>
    </w:div>
    <w:div w:id="1529832292">
      <w:bodyDiv w:val="1"/>
      <w:marLeft w:val="0"/>
      <w:marRight w:val="0"/>
      <w:marTop w:val="0"/>
      <w:marBottom w:val="0"/>
      <w:divBdr>
        <w:top w:val="none" w:sz="0" w:space="0" w:color="auto"/>
        <w:left w:val="none" w:sz="0" w:space="0" w:color="auto"/>
        <w:bottom w:val="none" w:sz="0" w:space="0" w:color="auto"/>
        <w:right w:val="none" w:sz="0" w:space="0" w:color="auto"/>
      </w:divBdr>
    </w:div>
    <w:div w:id="1530023104">
      <w:bodyDiv w:val="1"/>
      <w:marLeft w:val="0"/>
      <w:marRight w:val="0"/>
      <w:marTop w:val="0"/>
      <w:marBottom w:val="0"/>
      <w:divBdr>
        <w:top w:val="none" w:sz="0" w:space="0" w:color="auto"/>
        <w:left w:val="none" w:sz="0" w:space="0" w:color="auto"/>
        <w:bottom w:val="none" w:sz="0" w:space="0" w:color="auto"/>
        <w:right w:val="none" w:sz="0" w:space="0" w:color="auto"/>
      </w:divBdr>
    </w:div>
    <w:div w:id="1530219521">
      <w:bodyDiv w:val="1"/>
      <w:marLeft w:val="0"/>
      <w:marRight w:val="0"/>
      <w:marTop w:val="0"/>
      <w:marBottom w:val="0"/>
      <w:divBdr>
        <w:top w:val="none" w:sz="0" w:space="0" w:color="auto"/>
        <w:left w:val="none" w:sz="0" w:space="0" w:color="auto"/>
        <w:bottom w:val="none" w:sz="0" w:space="0" w:color="auto"/>
        <w:right w:val="none" w:sz="0" w:space="0" w:color="auto"/>
      </w:divBdr>
    </w:div>
    <w:div w:id="1530754096">
      <w:bodyDiv w:val="1"/>
      <w:marLeft w:val="0"/>
      <w:marRight w:val="0"/>
      <w:marTop w:val="0"/>
      <w:marBottom w:val="0"/>
      <w:divBdr>
        <w:top w:val="none" w:sz="0" w:space="0" w:color="auto"/>
        <w:left w:val="none" w:sz="0" w:space="0" w:color="auto"/>
        <w:bottom w:val="none" w:sz="0" w:space="0" w:color="auto"/>
        <w:right w:val="none" w:sz="0" w:space="0" w:color="auto"/>
      </w:divBdr>
    </w:div>
    <w:div w:id="1530754254">
      <w:bodyDiv w:val="1"/>
      <w:marLeft w:val="0"/>
      <w:marRight w:val="0"/>
      <w:marTop w:val="0"/>
      <w:marBottom w:val="0"/>
      <w:divBdr>
        <w:top w:val="none" w:sz="0" w:space="0" w:color="auto"/>
        <w:left w:val="none" w:sz="0" w:space="0" w:color="auto"/>
        <w:bottom w:val="none" w:sz="0" w:space="0" w:color="auto"/>
        <w:right w:val="none" w:sz="0" w:space="0" w:color="auto"/>
      </w:divBdr>
    </w:div>
    <w:div w:id="1530795249">
      <w:bodyDiv w:val="1"/>
      <w:marLeft w:val="0"/>
      <w:marRight w:val="0"/>
      <w:marTop w:val="0"/>
      <w:marBottom w:val="0"/>
      <w:divBdr>
        <w:top w:val="none" w:sz="0" w:space="0" w:color="auto"/>
        <w:left w:val="none" w:sz="0" w:space="0" w:color="auto"/>
        <w:bottom w:val="none" w:sz="0" w:space="0" w:color="auto"/>
        <w:right w:val="none" w:sz="0" w:space="0" w:color="auto"/>
      </w:divBdr>
    </w:div>
    <w:div w:id="1530944725">
      <w:bodyDiv w:val="1"/>
      <w:marLeft w:val="0"/>
      <w:marRight w:val="0"/>
      <w:marTop w:val="0"/>
      <w:marBottom w:val="0"/>
      <w:divBdr>
        <w:top w:val="none" w:sz="0" w:space="0" w:color="auto"/>
        <w:left w:val="none" w:sz="0" w:space="0" w:color="auto"/>
        <w:bottom w:val="none" w:sz="0" w:space="0" w:color="auto"/>
        <w:right w:val="none" w:sz="0" w:space="0" w:color="auto"/>
      </w:divBdr>
    </w:div>
    <w:div w:id="1530946795">
      <w:bodyDiv w:val="1"/>
      <w:marLeft w:val="0"/>
      <w:marRight w:val="0"/>
      <w:marTop w:val="0"/>
      <w:marBottom w:val="0"/>
      <w:divBdr>
        <w:top w:val="none" w:sz="0" w:space="0" w:color="auto"/>
        <w:left w:val="none" w:sz="0" w:space="0" w:color="auto"/>
        <w:bottom w:val="none" w:sz="0" w:space="0" w:color="auto"/>
        <w:right w:val="none" w:sz="0" w:space="0" w:color="auto"/>
      </w:divBdr>
    </w:div>
    <w:div w:id="1530993204">
      <w:bodyDiv w:val="1"/>
      <w:marLeft w:val="0"/>
      <w:marRight w:val="0"/>
      <w:marTop w:val="0"/>
      <w:marBottom w:val="0"/>
      <w:divBdr>
        <w:top w:val="none" w:sz="0" w:space="0" w:color="auto"/>
        <w:left w:val="none" w:sz="0" w:space="0" w:color="auto"/>
        <w:bottom w:val="none" w:sz="0" w:space="0" w:color="auto"/>
        <w:right w:val="none" w:sz="0" w:space="0" w:color="auto"/>
      </w:divBdr>
    </w:div>
    <w:div w:id="1530993596">
      <w:bodyDiv w:val="1"/>
      <w:marLeft w:val="0"/>
      <w:marRight w:val="0"/>
      <w:marTop w:val="0"/>
      <w:marBottom w:val="0"/>
      <w:divBdr>
        <w:top w:val="none" w:sz="0" w:space="0" w:color="auto"/>
        <w:left w:val="none" w:sz="0" w:space="0" w:color="auto"/>
        <w:bottom w:val="none" w:sz="0" w:space="0" w:color="auto"/>
        <w:right w:val="none" w:sz="0" w:space="0" w:color="auto"/>
      </w:divBdr>
    </w:div>
    <w:div w:id="1531141501">
      <w:bodyDiv w:val="1"/>
      <w:marLeft w:val="0"/>
      <w:marRight w:val="0"/>
      <w:marTop w:val="0"/>
      <w:marBottom w:val="0"/>
      <w:divBdr>
        <w:top w:val="none" w:sz="0" w:space="0" w:color="auto"/>
        <w:left w:val="none" w:sz="0" w:space="0" w:color="auto"/>
        <w:bottom w:val="none" w:sz="0" w:space="0" w:color="auto"/>
        <w:right w:val="none" w:sz="0" w:space="0" w:color="auto"/>
      </w:divBdr>
    </w:div>
    <w:div w:id="1531383061">
      <w:bodyDiv w:val="1"/>
      <w:marLeft w:val="0"/>
      <w:marRight w:val="0"/>
      <w:marTop w:val="0"/>
      <w:marBottom w:val="0"/>
      <w:divBdr>
        <w:top w:val="none" w:sz="0" w:space="0" w:color="auto"/>
        <w:left w:val="none" w:sz="0" w:space="0" w:color="auto"/>
        <w:bottom w:val="none" w:sz="0" w:space="0" w:color="auto"/>
        <w:right w:val="none" w:sz="0" w:space="0" w:color="auto"/>
      </w:divBdr>
    </w:div>
    <w:div w:id="1531646840">
      <w:bodyDiv w:val="1"/>
      <w:marLeft w:val="0"/>
      <w:marRight w:val="0"/>
      <w:marTop w:val="0"/>
      <w:marBottom w:val="0"/>
      <w:divBdr>
        <w:top w:val="none" w:sz="0" w:space="0" w:color="auto"/>
        <w:left w:val="none" w:sz="0" w:space="0" w:color="auto"/>
        <w:bottom w:val="none" w:sz="0" w:space="0" w:color="auto"/>
        <w:right w:val="none" w:sz="0" w:space="0" w:color="auto"/>
      </w:divBdr>
    </w:div>
    <w:div w:id="1531919645">
      <w:bodyDiv w:val="1"/>
      <w:marLeft w:val="0"/>
      <w:marRight w:val="0"/>
      <w:marTop w:val="0"/>
      <w:marBottom w:val="0"/>
      <w:divBdr>
        <w:top w:val="none" w:sz="0" w:space="0" w:color="auto"/>
        <w:left w:val="none" w:sz="0" w:space="0" w:color="auto"/>
        <w:bottom w:val="none" w:sz="0" w:space="0" w:color="auto"/>
        <w:right w:val="none" w:sz="0" w:space="0" w:color="auto"/>
      </w:divBdr>
    </w:div>
    <w:div w:id="1532105281">
      <w:bodyDiv w:val="1"/>
      <w:marLeft w:val="0"/>
      <w:marRight w:val="0"/>
      <w:marTop w:val="0"/>
      <w:marBottom w:val="0"/>
      <w:divBdr>
        <w:top w:val="none" w:sz="0" w:space="0" w:color="auto"/>
        <w:left w:val="none" w:sz="0" w:space="0" w:color="auto"/>
        <w:bottom w:val="none" w:sz="0" w:space="0" w:color="auto"/>
        <w:right w:val="none" w:sz="0" w:space="0" w:color="auto"/>
      </w:divBdr>
    </w:div>
    <w:div w:id="1532114252">
      <w:bodyDiv w:val="1"/>
      <w:marLeft w:val="0"/>
      <w:marRight w:val="0"/>
      <w:marTop w:val="0"/>
      <w:marBottom w:val="0"/>
      <w:divBdr>
        <w:top w:val="none" w:sz="0" w:space="0" w:color="auto"/>
        <w:left w:val="none" w:sz="0" w:space="0" w:color="auto"/>
        <w:bottom w:val="none" w:sz="0" w:space="0" w:color="auto"/>
        <w:right w:val="none" w:sz="0" w:space="0" w:color="auto"/>
      </w:divBdr>
    </w:div>
    <w:div w:id="1532305530">
      <w:bodyDiv w:val="1"/>
      <w:marLeft w:val="0"/>
      <w:marRight w:val="0"/>
      <w:marTop w:val="0"/>
      <w:marBottom w:val="0"/>
      <w:divBdr>
        <w:top w:val="none" w:sz="0" w:space="0" w:color="auto"/>
        <w:left w:val="none" w:sz="0" w:space="0" w:color="auto"/>
        <w:bottom w:val="none" w:sz="0" w:space="0" w:color="auto"/>
        <w:right w:val="none" w:sz="0" w:space="0" w:color="auto"/>
      </w:divBdr>
    </w:div>
    <w:div w:id="1532377535">
      <w:bodyDiv w:val="1"/>
      <w:marLeft w:val="0"/>
      <w:marRight w:val="0"/>
      <w:marTop w:val="0"/>
      <w:marBottom w:val="0"/>
      <w:divBdr>
        <w:top w:val="none" w:sz="0" w:space="0" w:color="auto"/>
        <w:left w:val="none" w:sz="0" w:space="0" w:color="auto"/>
        <w:bottom w:val="none" w:sz="0" w:space="0" w:color="auto"/>
        <w:right w:val="none" w:sz="0" w:space="0" w:color="auto"/>
      </w:divBdr>
    </w:div>
    <w:div w:id="1532567287">
      <w:bodyDiv w:val="1"/>
      <w:marLeft w:val="0"/>
      <w:marRight w:val="0"/>
      <w:marTop w:val="0"/>
      <w:marBottom w:val="0"/>
      <w:divBdr>
        <w:top w:val="none" w:sz="0" w:space="0" w:color="auto"/>
        <w:left w:val="none" w:sz="0" w:space="0" w:color="auto"/>
        <w:bottom w:val="none" w:sz="0" w:space="0" w:color="auto"/>
        <w:right w:val="none" w:sz="0" w:space="0" w:color="auto"/>
      </w:divBdr>
    </w:div>
    <w:div w:id="1532648243">
      <w:bodyDiv w:val="1"/>
      <w:marLeft w:val="0"/>
      <w:marRight w:val="0"/>
      <w:marTop w:val="0"/>
      <w:marBottom w:val="0"/>
      <w:divBdr>
        <w:top w:val="none" w:sz="0" w:space="0" w:color="auto"/>
        <w:left w:val="none" w:sz="0" w:space="0" w:color="auto"/>
        <w:bottom w:val="none" w:sz="0" w:space="0" w:color="auto"/>
        <w:right w:val="none" w:sz="0" w:space="0" w:color="auto"/>
      </w:divBdr>
    </w:div>
    <w:div w:id="1532836312">
      <w:bodyDiv w:val="1"/>
      <w:marLeft w:val="0"/>
      <w:marRight w:val="0"/>
      <w:marTop w:val="0"/>
      <w:marBottom w:val="0"/>
      <w:divBdr>
        <w:top w:val="none" w:sz="0" w:space="0" w:color="auto"/>
        <w:left w:val="none" w:sz="0" w:space="0" w:color="auto"/>
        <w:bottom w:val="none" w:sz="0" w:space="0" w:color="auto"/>
        <w:right w:val="none" w:sz="0" w:space="0" w:color="auto"/>
      </w:divBdr>
    </w:div>
    <w:div w:id="1532841505">
      <w:bodyDiv w:val="1"/>
      <w:marLeft w:val="0"/>
      <w:marRight w:val="0"/>
      <w:marTop w:val="0"/>
      <w:marBottom w:val="0"/>
      <w:divBdr>
        <w:top w:val="none" w:sz="0" w:space="0" w:color="auto"/>
        <w:left w:val="none" w:sz="0" w:space="0" w:color="auto"/>
        <w:bottom w:val="none" w:sz="0" w:space="0" w:color="auto"/>
        <w:right w:val="none" w:sz="0" w:space="0" w:color="auto"/>
      </w:divBdr>
    </w:div>
    <w:div w:id="1533028758">
      <w:bodyDiv w:val="1"/>
      <w:marLeft w:val="0"/>
      <w:marRight w:val="0"/>
      <w:marTop w:val="0"/>
      <w:marBottom w:val="0"/>
      <w:divBdr>
        <w:top w:val="none" w:sz="0" w:space="0" w:color="auto"/>
        <w:left w:val="none" w:sz="0" w:space="0" w:color="auto"/>
        <w:bottom w:val="none" w:sz="0" w:space="0" w:color="auto"/>
        <w:right w:val="none" w:sz="0" w:space="0" w:color="auto"/>
      </w:divBdr>
    </w:div>
    <w:div w:id="1533030219">
      <w:bodyDiv w:val="1"/>
      <w:marLeft w:val="0"/>
      <w:marRight w:val="0"/>
      <w:marTop w:val="0"/>
      <w:marBottom w:val="0"/>
      <w:divBdr>
        <w:top w:val="none" w:sz="0" w:space="0" w:color="auto"/>
        <w:left w:val="none" w:sz="0" w:space="0" w:color="auto"/>
        <w:bottom w:val="none" w:sz="0" w:space="0" w:color="auto"/>
        <w:right w:val="none" w:sz="0" w:space="0" w:color="auto"/>
      </w:divBdr>
    </w:div>
    <w:div w:id="1533105384">
      <w:bodyDiv w:val="1"/>
      <w:marLeft w:val="0"/>
      <w:marRight w:val="0"/>
      <w:marTop w:val="0"/>
      <w:marBottom w:val="0"/>
      <w:divBdr>
        <w:top w:val="none" w:sz="0" w:space="0" w:color="auto"/>
        <w:left w:val="none" w:sz="0" w:space="0" w:color="auto"/>
        <w:bottom w:val="none" w:sz="0" w:space="0" w:color="auto"/>
        <w:right w:val="none" w:sz="0" w:space="0" w:color="auto"/>
      </w:divBdr>
    </w:div>
    <w:div w:id="1533690821">
      <w:bodyDiv w:val="1"/>
      <w:marLeft w:val="0"/>
      <w:marRight w:val="0"/>
      <w:marTop w:val="0"/>
      <w:marBottom w:val="0"/>
      <w:divBdr>
        <w:top w:val="none" w:sz="0" w:space="0" w:color="auto"/>
        <w:left w:val="none" w:sz="0" w:space="0" w:color="auto"/>
        <w:bottom w:val="none" w:sz="0" w:space="0" w:color="auto"/>
        <w:right w:val="none" w:sz="0" w:space="0" w:color="auto"/>
      </w:divBdr>
    </w:div>
    <w:div w:id="1533953351">
      <w:bodyDiv w:val="1"/>
      <w:marLeft w:val="0"/>
      <w:marRight w:val="0"/>
      <w:marTop w:val="0"/>
      <w:marBottom w:val="0"/>
      <w:divBdr>
        <w:top w:val="none" w:sz="0" w:space="0" w:color="auto"/>
        <w:left w:val="none" w:sz="0" w:space="0" w:color="auto"/>
        <w:bottom w:val="none" w:sz="0" w:space="0" w:color="auto"/>
        <w:right w:val="none" w:sz="0" w:space="0" w:color="auto"/>
      </w:divBdr>
    </w:div>
    <w:div w:id="1534154002">
      <w:bodyDiv w:val="1"/>
      <w:marLeft w:val="0"/>
      <w:marRight w:val="0"/>
      <w:marTop w:val="0"/>
      <w:marBottom w:val="0"/>
      <w:divBdr>
        <w:top w:val="none" w:sz="0" w:space="0" w:color="auto"/>
        <w:left w:val="none" w:sz="0" w:space="0" w:color="auto"/>
        <w:bottom w:val="none" w:sz="0" w:space="0" w:color="auto"/>
        <w:right w:val="none" w:sz="0" w:space="0" w:color="auto"/>
      </w:divBdr>
    </w:div>
    <w:div w:id="1534490211">
      <w:bodyDiv w:val="1"/>
      <w:marLeft w:val="0"/>
      <w:marRight w:val="0"/>
      <w:marTop w:val="0"/>
      <w:marBottom w:val="0"/>
      <w:divBdr>
        <w:top w:val="none" w:sz="0" w:space="0" w:color="auto"/>
        <w:left w:val="none" w:sz="0" w:space="0" w:color="auto"/>
        <w:bottom w:val="none" w:sz="0" w:space="0" w:color="auto"/>
        <w:right w:val="none" w:sz="0" w:space="0" w:color="auto"/>
      </w:divBdr>
    </w:div>
    <w:div w:id="1534541789">
      <w:bodyDiv w:val="1"/>
      <w:marLeft w:val="0"/>
      <w:marRight w:val="0"/>
      <w:marTop w:val="0"/>
      <w:marBottom w:val="0"/>
      <w:divBdr>
        <w:top w:val="none" w:sz="0" w:space="0" w:color="auto"/>
        <w:left w:val="none" w:sz="0" w:space="0" w:color="auto"/>
        <w:bottom w:val="none" w:sz="0" w:space="0" w:color="auto"/>
        <w:right w:val="none" w:sz="0" w:space="0" w:color="auto"/>
      </w:divBdr>
    </w:div>
    <w:div w:id="1534615504">
      <w:bodyDiv w:val="1"/>
      <w:marLeft w:val="0"/>
      <w:marRight w:val="0"/>
      <w:marTop w:val="0"/>
      <w:marBottom w:val="0"/>
      <w:divBdr>
        <w:top w:val="none" w:sz="0" w:space="0" w:color="auto"/>
        <w:left w:val="none" w:sz="0" w:space="0" w:color="auto"/>
        <w:bottom w:val="none" w:sz="0" w:space="0" w:color="auto"/>
        <w:right w:val="none" w:sz="0" w:space="0" w:color="auto"/>
      </w:divBdr>
    </w:div>
    <w:div w:id="1534734365">
      <w:bodyDiv w:val="1"/>
      <w:marLeft w:val="0"/>
      <w:marRight w:val="0"/>
      <w:marTop w:val="0"/>
      <w:marBottom w:val="0"/>
      <w:divBdr>
        <w:top w:val="none" w:sz="0" w:space="0" w:color="auto"/>
        <w:left w:val="none" w:sz="0" w:space="0" w:color="auto"/>
        <w:bottom w:val="none" w:sz="0" w:space="0" w:color="auto"/>
        <w:right w:val="none" w:sz="0" w:space="0" w:color="auto"/>
      </w:divBdr>
    </w:div>
    <w:div w:id="1534882848">
      <w:bodyDiv w:val="1"/>
      <w:marLeft w:val="0"/>
      <w:marRight w:val="0"/>
      <w:marTop w:val="0"/>
      <w:marBottom w:val="0"/>
      <w:divBdr>
        <w:top w:val="none" w:sz="0" w:space="0" w:color="auto"/>
        <w:left w:val="none" w:sz="0" w:space="0" w:color="auto"/>
        <w:bottom w:val="none" w:sz="0" w:space="0" w:color="auto"/>
        <w:right w:val="none" w:sz="0" w:space="0" w:color="auto"/>
      </w:divBdr>
    </w:div>
    <w:div w:id="1534885754">
      <w:bodyDiv w:val="1"/>
      <w:marLeft w:val="0"/>
      <w:marRight w:val="0"/>
      <w:marTop w:val="0"/>
      <w:marBottom w:val="0"/>
      <w:divBdr>
        <w:top w:val="none" w:sz="0" w:space="0" w:color="auto"/>
        <w:left w:val="none" w:sz="0" w:space="0" w:color="auto"/>
        <w:bottom w:val="none" w:sz="0" w:space="0" w:color="auto"/>
        <w:right w:val="none" w:sz="0" w:space="0" w:color="auto"/>
      </w:divBdr>
    </w:div>
    <w:div w:id="1535579923">
      <w:bodyDiv w:val="1"/>
      <w:marLeft w:val="0"/>
      <w:marRight w:val="0"/>
      <w:marTop w:val="0"/>
      <w:marBottom w:val="0"/>
      <w:divBdr>
        <w:top w:val="none" w:sz="0" w:space="0" w:color="auto"/>
        <w:left w:val="none" w:sz="0" w:space="0" w:color="auto"/>
        <w:bottom w:val="none" w:sz="0" w:space="0" w:color="auto"/>
        <w:right w:val="none" w:sz="0" w:space="0" w:color="auto"/>
      </w:divBdr>
    </w:div>
    <w:div w:id="1535732664">
      <w:bodyDiv w:val="1"/>
      <w:marLeft w:val="0"/>
      <w:marRight w:val="0"/>
      <w:marTop w:val="0"/>
      <w:marBottom w:val="0"/>
      <w:divBdr>
        <w:top w:val="none" w:sz="0" w:space="0" w:color="auto"/>
        <w:left w:val="none" w:sz="0" w:space="0" w:color="auto"/>
        <w:bottom w:val="none" w:sz="0" w:space="0" w:color="auto"/>
        <w:right w:val="none" w:sz="0" w:space="0" w:color="auto"/>
      </w:divBdr>
    </w:div>
    <w:div w:id="1535775347">
      <w:bodyDiv w:val="1"/>
      <w:marLeft w:val="0"/>
      <w:marRight w:val="0"/>
      <w:marTop w:val="0"/>
      <w:marBottom w:val="0"/>
      <w:divBdr>
        <w:top w:val="none" w:sz="0" w:space="0" w:color="auto"/>
        <w:left w:val="none" w:sz="0" w:space="0" w:color="auto"/>
        <w:bottom w:val="none" w:sz="0" w:space="0" w:color="auto"/>
        <w:right w:val="none" w:sz="0" w:space="0" w:color="auto"/>
      </w:divBdr>
    </w:div>
    <w:div w:id="1535845778">
      <w:bodyDiv w:val="1"/>
      <w:marLeft w:val="0"/>
      <w:marRight w:val="0"/>
      <w:marTop w:val="0"/>
      <w:marBottom w:val="0"/>
      <w:divBdr>
        <w:top w:val="none" w:sz="0" w:space="0" w:color="auto"/>
        <w:left w:val="none" w:sz="0" w:space="0" w:color="auto"/>
        <w:bottom w:val="none" w:sz="0" w:space="0" w:color="auto"/>
        <w:right w:val="none" w:sz="0" w:space="0" w:color="auto"/>
      </w:divBdr>
    </w:div>
    <w:div w:id="1536038266">
      <w:bodyDiv w:val="1"/>
      <w:marLeft w:val="0"/>
      <w:marRight w:val="0"/>
      <w:marTop w:val="0"/>
      <w:marBottom w:val="0"/>
      <w:divBdr>
        <w:top w:val="none" w:sz="0" w:space="0" w:color="auto"/>
        <w:left w:val="none" w:sz="0" w:space="0" w:color="auto"/>
        <w:bottom w:val="none" w:sz="0" w:space="0" w:color="auto"/>
        <w:right w:val="none" w:sz="0" w:space="0" w:color="auto"/>
      </w:divBdr>
    </w:div>
    <w:div w:id="1536119649">
      <w:bodyDiv w:val="1"/>
      <w:marLeft w:val="0"/>
      <w:marRight w:val="0"/>
      <w:marTop w:val="0"/>
      <w:marBottom w:val="0"/>
      <w:divBdr>
        <w:top w:val="none" w:sz="0" w:space="0" w:color="auto"/>
        <w:left w:val="none" w:sz="0" w:space="0" w:color="auto"/>
        <w:bottom w:val="none" w:sz="0" w:space="0" w:color="auto"/>
        <w:right w:val="none" w:sz="0" w:space="0" w:color="auto"/>
      </w:divBdr>
    </w:div>
    <w:div w:id="1536237382">
      <w:bodyDiv w:val="1"/>
      <w:marLeft w:val="0"/>
      <w:marRight w:val="0"/>
      <w:marTop w:val="0"/>
      <w:marBottom w:val="0"/>
      <w:divBdr>
        <w:top w:val="none" w:sz="0" w:space="0" w:color="auto"/>
        <w:left w:val="none" w:sz="0" w:space="0" w:color="auto"/>
        <w:bottom w:val="none" w:sz="0" w:space="0" w:color="auto"/>
        <w:right w:val="none" w:sz="0" w:space="0" w:color="auto"/>
      </w:divBdr>
    </w:div>
    <w:div w:id="1536311385">
      <w:bodyDiv w:val="1"/>
      <w:marLeft w:val="0"/>
      <w:marRight w:val="0"/>
      <w:marTop w:val="0"/>
      <w:marBottom w:val="0"/>
      <w:divBdr>
        <w:top w:val="none" w:sz="0" w:space="0" w:color="auto"/>
        <w:left w:val="none" w:sz="0" w:space="0" w:color="auto"/>
        <w:bottom w:val="none" w:sz="0" w:space="0" w:color="auto"/>
        <w:right w:val="none" w:sz="0" w:space="0" w:color="auto"/>
      </w:divBdr>
    </w:div>
    <w:div w:id="1536575986">
      <w:bodyDiv w:val="1"/>
      <w:marLeft w:val="0"/>
      <w:marRight w:val="0"/>
      <w:marTop w:val="0"/>
      <w:marBottom w:val="0"/>
      <w:divBdr>
        <w:top w:val="none" w:sz="0" w:space="0" w:color="auto"/>
        <w:left w:val="none" w:sz="0" w:space="0" w:color="auto"/>
        <w:bottom w:val="none" w:sz="0" w:space="0" w:color="auto"/>
        <w:right w:val="none" w:sz="0" w:space="0" w:color="auto"/>
      </w:divBdr>
    </w:div>
    <w:div w:id="1536623657">
      <w:bodyDiv w:val="1"/>
      <w:marLeft w:val="0"/>
      <w:marRight w:val="0"/>
      <w:marTop w:val="0"/>
      <w:marBottom w:val="0"/>
      <w:divBdr>
        <w:top w:val="none" w:sz="0" w:space="0" w:color="auto"/>
        <w:left w:val="none" w:sz="0" w:space="0" w:color="auto"/>
        <w:bottom w:val="none" w:sz="0" w:space="0" w:color="auto"/>
        <w:right w:val="none" w:sz="0" w:space="0" w:color="auto"/>
      </w:divBdr>
    </w:div>
    <w:div w:id="1536651030">
      <w:bodyDiv w:val="1"/>
      <w:marLeft w:val="0"/>
      <w:marRight w:val="0"/>
      <w:marTop w:val="0"/>
      <w:marBottom w:val="0"/>
      <w:divBdr>
        <w:top w:val="none" w:sz="0" w:space="0" w:color="auto"/>
        <w:left w:val="none" w:sz="0" w:space="0" w:color="auto"/>
        <w:bottom w:val="none" w:sz="0" w:space="0" w:color="auto"/>
        <w:right w:val="none" w:sz="0" w:space="0" w:color="auto"/>
      </w:divBdr>
    </w:div>
    <w:div w:id="1536694136">
      <w:bodyDiv w:val="1"/>
      <w:marLeft w:val="0"/>
      <w:marRight w:val="0"/>
      <w:marTop w:val="0"/>
      <w:marBottom w:val="0"/>
      <w:divBdr>
        <w:top w:val="none" w:sz="0" w:space="0" w:color="auto"/>
        <w:left w:val="none" w:sz="0" w:space="0" w:color="auto"/>
        <w:bottom w:val="none" w:sz="0" w:space="0" w:color="auto"/>
        <w:right w:val="none" w:sz="0" w:space="0" w:color="auto"/>
      </w:divBdr>
    </w:div>
    <w:div w:id="1536848227">
      <w:bodyDiv w:val="1"/>
      <w:marLeft w:val="0"/>
      <w:marRight w:val="0"/>
      <w:marTop w:val="0"/>
      <w:marBottom w:val="0"/>
      <w:divBdr>
        <w:top w:val="none" w:sz="0" w:space="0" w:color="auto"/>
        <w:left w:val="none" w:sz="0" w:space="0" w:color="auto"/>
        <w:bottom w:val="none" w:sz="0" w:space="0" w:color="auto"/>
        <w:right w:val="none" w:sz="0" w:space="0" w:color="auto"/>
      </w:divBdr>
    </w:div>
    <w:div w:id="1536848668">
      <w:bodyDiv w:val="1"/>
      <w:marLeft w:val="0"/>
      <w:marRight w:val="0"/>
      <w:marTop w:val="0"/>
      <w:marBottom w:val="0"/>
      <w:divBdr>
        <w:top w:val="none" w:sz="0" w:space="0" w:color="auto"/>
        <w:left w:val="none" w:sz="0" w:space="0" w:color="auto"/>
        <w:bottom w:val="none" w:sz="0" w:space="0" w:color="auto"/>
        <w:right w:val="none" w:sz="0" w:space="0" w:color="auto"/>
      </w:divBdr>
    </w:div>
    <w:div w:id="1536894291">
      <w:bodyDiv w:val="1"/>
      <w:marLeft w:val="0"/>
      <w:marRight w:val="0"/>
      <w:marTop w:val="0"/>
      <w:marBottom w:val="0"/>
      <w:divBdr>
        <w:top w:val="none" w:sz="0" w:space="0" w:color="auto"/>
        <w:left w:val="none" w:sz="0" w:space="0" w:color="auto"/>
        <w:bottom w:val="none" w:sz="0" w:space="0" w:color="auto"/>
        <w:right w:val="none" w:sz="0" w:space="0" w:color="auto"/>
      </w:divBdr>
    </w:div>
    <w:div w:id="1536962452">
      <w:bodyDiv w:val="1"/>
      <w:marLeft w:val="0"/>
      <w:marRight w:val="0"/>
      <w:marTop w:val="0"/>
      <w:marBottom w:val="0"/>
      <w:divBdr>
        <w:top w:val="none" w:sz="0" w:space="0" w:color="auto"/>
        <w:left w:val="none" w:sz="0" w:space="0" w:color="auto"/>
        <w:bottom w:val="none" w:sz="0" w:space="0" w:color="auto"/>
        <w:right w:val="none" w:sz="0" w:space="0" w:color="auto"/>
      </w:divBdr>
    </w:div>
    <w:div w:id="1536967463">
      <w:bodyDiv w:val="1"/>
      <w:marLeft w:val="0"/>
      <w:marRight w:val="0"/>
      <w:marTop w:val="0"/>
      <w:marBottom w:val="0"/>
      <w:divBdr>
        <w:top w:val="none" w:sz="0" w:space="0" w:color="auto"/>
        <w:left w:val="none" w:sz="0" w:space="0" w:color="auto"/>
        <w:bottom w:val="none" w:sz="0" w:space="0" w:color="auto"/>
        <w:right w:val="none" w:sz="0" w:space="0" w:color="auto"/>
      </w:divBdr>
    </w:div>
    <w:div w:id="1537278313">
      <w:bodyDiv w:val="1"/>
      <w:marLeft w:val="0"/>
      <w:marRight w:val="0"/>
      <w:marTop w:val="0"/>
      <w:marBottom w:val="0"/>
      <w:divBdr>
        <w:top w:val="none" w:sz="0" w:space="0" w:color="auto"/>
        <w:left w:val="none" w:sz="0" w:space="0" w:color="auto"/>
        <w:bottom w:val="none" w:sz="0" w:space="0" w:color="auto"/>
        <w:right w:val="none" w:sz="0" w:space="0" w:color="auto"/>
      </w:divBdr>
    </w:div>
    <w:div w:id="1537348357">
      <w:bodyDiv w:val="1"/>
      <w:marLeft w:val="0"/>
      <w:marRight w:val="0"/>
      <w:marTop w:val="0"/>
      <w:marBottom w:val="0"/>
      <w:divBdr>
        <w:top w:val="none" w:sz="0" w:space="0" w:color="auto"/>
        <w:left w:val="none" w:sz="0" w:space="0" w:color="auto"/>
        <w:bottom w:val="none" w:sz="0" w:space="0" w:color="auto"/>
        <w:right w:val="none" w:sz="0" w:space="0" w:color="auto"/>
      </w:divBdr>
    </w:div>
    <w:div w:id="1538085743">
      <w:bodyDiv w:val="1"/>
      <w:marLeft w:val="0"/>
      <w:marRight w:val="0"/>
      <w:marTop w:val="0"/>
      <w:marBottom w:val="0"/>
      <w:divBdr>
        <w:top w:val="none" w:sz="0" w:space="0" w:color="auto"/>
        <w:left w:val="none" w:sz="0" w:space="0" w:color="auto"/>
        <w:bottom w:val="none" w:sz="0" w:space="0" w:color="auto"/>
        <w:right w:val="none" w:sz="0" w:space="0" w:color="auto"/>
      </w:divBdr>
    </w:div>
    <w:div w:id="1538157359">
      <w:bodyDiv w:val="1"/>
      <w:marLeft w:val="0"/>
      <w:marRight w:val="0"/>
      <w:marTop w:val="0"/>
      <w:marBottom w:val="0"/>
      <w:divBdr>
        <w:top w:val="none" w:sz="0" w:space="0" w:color="auto"/>
        <w:left w:val="none" w:sz="0" w:space="0" w:color="auto"/>
        <w:bottom w:val="none" w:sz="0" w:space="0" w:color="auto"/>
        <w:right w:val="none" w:sz="0" w:space="0" w:color="auto"/>
      </w:divBdr>
    </w:div>
    <w:div w:id="1538201467">
      <w:bodyDiv w:val="1"/>
      <w:marLeft w:val="0"/>
      <w:marRight w:val="0"/>
      <w:marTop w:val="0"/>
      <w:marBottom w:val="0"/>
      <w:divBdr>
        <w:top w:val="none" w:sz="0" w:space="0" w:color="auto"/>
        <w:left w:val="none" w:sz="0" w:space="0" w:color="auto"/>
        <w:bottom w:val="none" w:sz="0" w:space="0" w:color="auto"/>
        <w:right w:val="none" w:sz="0" w:space="0" w:color="auto"/>
      </w:divBdr>
    </w:div>
    <w:div w:id="1538617343">
      <w:bodyDiv w:val="1"/>
      <w:marLeft w:val="0"/>
      <w:marRight w:val="0"/>
      <w:marTop w:val="0"/>
      <w:marBottom w:val="0"/>
      <w:divBdr>
        <w:top w:val="none" w:sz="0" w:space="0" w:color="auto"/>
        <w:left w:val="none" w:sz="0" w:space="0" w:color="auto"/>
        <w:bottom w:val="none" w:sz="0" w:space="0" w:color="auto"/>
        <w:right w:val="none" w:sz="0" w:space="0" w:color="auto"/>
      </w:divBdr>
    </w:div>
    <w:div w:id="1538657898">
      <w:bodyDiv w:val="1"/>
      <w:marLeft w:val="0"/>
      <w:marRight w:val="0"/>
      <w:marTop w:val="0"/>
      <w:marBottom w:val="0"/>
      <w:divBdr>
        <w:top w:val="none" w:sz="0" w:space="0" w:color="auto"/>
        <w:left w:val="none" w:sz="0" w:space="0" w:color="auto"/>
        <w:bottom w:val="none" w:sz="0" w:space="0" w:color="auto"/>
        <w:right w:val="none" w:sz="0" w:space="0" w:color="auto"/>
      </w:divBdr>
    </w:div>
    <w:div w:id="1538659542">
      <w:bodyDiv w:val="1"/>
      <w:marLeft w:val="0"/>
      <w:marRight w:val="0"/>
      <w:marTop w:val="0"/>
      <w:marBottom w:val="0"/>
      <w:divBdr>
        <w:top w:val="none" w:sz="0" w:space="0" w:color="auto"/>
        <w:left w:val="none" w:sz="0" w:space="0" w:color="auto"/>
        <w:bottom w:val="none" w:sz="0" w:space="0" w:color="auto"/>
        <w:right w:val="none" w:sz="0" w:space="0" w:color="auto"/>
      </w:divBdr>
    </w:div>
    <w:div w:id="1538663936">
      <w:bodyDiv w:val="1"/>
      <w:marLeft w:val="0"/>
      <w:marRight w:val="0"/>
      <w:marTop w:val="0"/>
      <w:marBottom w:val="0"/>
      <w:divBdr>
        <w:top w:val="none" w:sz="0" w:space="0" w:color="auto"/>
        <w:left w:val="none" w:sz="0" w:space="0" w:color="auto"/>
        <w:bottom w:val="none" w:sz="0" w:space="0" w:color="auto"/>
        <w:right w:val="none" w:sz="0" w:space="0" w:color="auto"/>
      </w:divBdr>
    </w:div>
    <w:div w:id="1538812012">
      <w:bodyDiv w:val="1"/>
      <w:marLeft w:val="0"/>
      <w:marRight w:val="0"/>
      <w:marTop w:val="0"/>
      <w:marBottom w:val="0"/>
      <w:divBdr>
        <w:top w:val="none" w:sz="0" w:space="0" w:color="auto"/>
        <w:left w:val="none" w:sz="0" w:space="0" w:color="auto"/>
        <w:bottom w:val="none" w:sz="0" w:space="0" w:color="auto"/>
        <w:right w:val="none" w:sz="0" w:space="0" w:color="auto"/>
      </w:divBdr>
    </w:div>
    <w:div w:id="1538812712">
      <w:bodyDiv w:val="1"/>
      <w:marLeft w:val="0"/>
      <w:marRight w:val="0"/>
      <w:marTop w:val="0"/>
      <w:marBottom w:val="0"/>
      <w:divBdr>
        <w:top w:val="none" w:sz="0" w:space="0" w:color="auto"/>
        <w:left w:val="none" w:sz="0" w:space="0" w:color="auto"/>
        <w:bottom w:val="none" w:sz="0" w:space="0" w:color="auto"/>
        <w:right w:val="none" w:sz="0" w:space="0" w:color="auto"/>
      </w:divBdr>
    </w:div>
    <w:div w:id="1539270625">
      <w:bodyDiv w:val="1"/>
      <w:marLeft w:val="0"/>
      <w:marRight w:val="0"/>
      <w:marTop w:val="0"/>
      <w:marBottom w:val="0"/>
      <w:divBdr>
        <w:top w:val="none" w:sz="0" w:space="0" w:color="auto"/>
        <w:left w:val="none" w:sz="0" w:space="0" w:color="auto"/>
        <w:bottom w:val="none" w:sz="0" w:space="0" w:color="auto"/>
        <w:right w:val="none" w:sz="0" w:space="0" w:color="auto"/>
      </w:divBdr>
    </w:div>
    <w:div w:id="1539314546">
      <w:bodyDiv w:val="1"/>
      <w:marLeft w:val="0"/>
      <w:marRight w:val="0"/>
      <w:marTop w:val="0"/>
      <w:marBottom w:val="0"/>
      <w:divBdr>
        <w:top w:val="none" w:sz="0" w:space="0" w:color="auto"/>
        <w:left w:val="none" w:sz="0" w:space="0" w:color="auto"/>
        <w:bottom w:val="none" w:sz="0" w:space="0" w:color="auto"/>
        <w:right w:val="none" w:sz="0" w:space="0" w:color="auto"/>
      </w:divBdr>
    </w:div>
    <w:div w:id="1539319362">
      <w:bodyDiv w:val="1"/>
      <w:marLeft w:val="0"/>
      <w:marRight w:val="0"/>
      <w:marTop w:val="0"/>
      <w:marBottom w:val="0"/>
      <w:divBdr>
        <w:top w:val="none" w:sz="0" w:space="0" w:color="auto"/>
        <w:left w:val="none" w:sz="0" w:space="0" w:color="auto"/>
        <w:bottom w:val="none" w:sz="0" w:space="0" w:color="auto"/>
        <w:right w:val="none" w:sz="0" w:space="0" w:color="auto"/>
      </w:divBdr>
    </w:div>
    <w:div w:id="1539393124">
      <w:bodyDiv w:val="1"/>
      <w:marLeft w:val="0"/>
      <w:marRight w:val="0"/>
      <w:marTop w:val="0"/>
      <w:marBottom w:val="0"/>
      <w:divBdr>
        <w:top w:val="none" w:sz="0" w:space="0" w:color="auto"/>
        <w:left w:val="none" w:sz="0" w:space="0" w:color="auto"/>
        <w:bottom w:val="none" w:sz="0" w:space="0" w:color="auto"/>
        <w:right w:val="none" w:sz="0" w:space="0" w:color="auto"/>
      </w:divBdr>
    </w:div>
    <w:div w:id="1539513465">
      <w:bodyDiv w:val="1"/>
      <w:marLeft w:val="0"/>
      <w:marRight w:val="0"/>
      <w:marTop w:val="0"/>
      <w:marBottom w:val="0"/>
      <w:divBdr>
        <w:top w:val="none" w:sz="0" w:space="0" w:color="auto"/>
        <w:left w:val="none" w:sz="0" w:space="0" w:color="auto"/>
        <w:bottom w:val="none" w:sz="0" w:space="0" w:color="auto"/>
        <w:right w:val="none" w:sz="0" w:space="0" w:color="auto"/>
      </w:divBdr>
    </w:div>
    <w:div w:id="1539581863">
      <w:bodyDiv w:val="1"/>
      <w:marLeft w:val="0"/>
      <w:marRight w:val="0"/>
      <w:marTop w:val="0"/>
      <w:marBottom w:val="0"/>
      <w:divBdr>
        <w:top w:val="none" w:sz="0" w:space="0" w:color="auto"/>
        <w:left w:val="none" w:sz="0" w:space="0" w:color="auto"/>
        <w:bottom w:val="none" w:sz="0" w:space="0" w:color="auto"/>
        <w:right w:val="none" w:sz="0" w:space="0" w:color="auto"/>
      </w:divBdr>
    </w:div>
    <w:div w:id="1539657556">
      <w:bodyDiv w:val="1"/>
      <w:marLeft w:val="0"/>
      <w:marRight w:val="0"/>
      <w:marTop w:val="0"/>
      <w:marBottom w:val="0"/>
      <w:divBdr>
        <w:top w:val="none" w:sz="0" w:space="0" w:color="auto"/>
        <w:left w:val="none" w:sz="0" w:space="0" w:color="auto"/>
        <w:bottom w:val="none" w:sz="0" w:space="0" w:color="auto"/>
        <w:right w:val="none" w:sz="0" w:space="0" w:color="auto"/>
      </w:divBdr>
    </w:div>
    <w:div w:id="1539733701">
      <w:bodyDiv w:val="1"/>
      <w:marLeft w:val="0"/>
      <w:marRight w:val="0"/>
      <w:marTop w:val="0"/>
      <w:marBottom w:val="0"/>
      <w:divBdr>
        <w:top w:val="none" w:sz="0" w:space="0" w:color="auto"/>
        <w:left w:val="none" w:sz="0" w:space="0" w:color="auto"/>
        <w:bottom w:val="none" w:sz="0" w:space="0" w:color="auto"/>
        <w:right w:val="none" w:sz="0" w:space="0" w:color="auto"/>
      </w:divBdr>
    </w:div>
    <w:div w:id="1540044921">
      <w:bodyDiv w:val="1"/>
      <w:marLeft w:val="0"/>
      <w:marRight w:val="0"/>
      <w:marTop w:val="0"/>
      <w:marBottom w:val="0"/>
      <w:divBdr>
        <w:top w:val="none" w:sz="0" w:space="0" w:color="auto"/>
        <w:left w:val="none" w:sz="0" w:space="0" w:color="auto"/>
        <w:bottom w:val="none" w:sz="0" w:space="0" w:color="auto"/>
        <w:right w:val="none" w:sz="0" w:space="0" w:color="auto"/>
      </w:divBdr>
    </w:div>
    <w:div w:id="1540194009">
      <w:bodyDiv w:val="1"/>
      <w:marLeft w:val="0"/>
      <w:marRight w:val="0"/>
      <w:marTop w:val="0"/>
      <w:marBottom w:val="0"/>
      <w:divBdr>
        <w:top w:val="none" w:sz="0" w:space="0" w:color="auto"/>
        <w:left w:val="none" w:sz="0" w:space="0" w:color="auto"/>
        <w:bottom w:val="none" w:sz="0" w:space="0" w:color="auto"/>
        <w:right w:val="none" w:sz="0" w:space="0" w:color="auto"/>
      </w:divBdr>
    </w:div>
    <w:div w:id="1540240648">
      <w:bodyDiv w:val="1"/>
      <w:marLeft w:val="0"/>
      <w:marRight w:val="0"/>
      <w:marTop w:val="0"/>
      <w:marBottom w:val="0"/>
      <w:divBdr>
        <w:top w:val="none" w:sz="0" w:space="0" w:color="auto"/>
        <w:left w:val="none" w:sz="0" w:space="0" w:color="auto"/>
        <w:bottom w:val="none" w:sz="0" w:space="0" w:color="auto"/>
        <w:right w:val="none" w:sz="0" w:space="0" w:color="auto"/>
      </w:divBdr>
    </w:div>
    <w:div w:id="1540435569">
      <w:bodyDiv w:val="1"/>
      <w:marLeft w:val="0"/>
      <w:marRight w:val="0"/>
      <w:marTop w:val="0"/>
      <w:marBottom w:val="0"/>
      <w:divBdr>
        <w:top w:val="none" w:sz="0" w:space="0" w:color="auto"/>
        <w:left w:val="none" w:sz="0" w:space="0" w:color="auto"/>
        <w:bottom w:val="none" w:sz="0" w:space="0" w:color="auto"/>
        <w:right w:val="none" w:sz="0" w:space="0" w:color="auto"/>
      </w:divBdr>
    </w:div>
    <w:div w:id="1540438544">
      <w:bodyDiv w:val="1"/>
      <w:marLeft w:val="0"/>
      <w:marRight w:val="0"/>
      <w:marTop w:val="0"/>
      <w:marBottom w:val="0"/>
      <w:divBdr>
        <w:top w:val="none" w:sz="0" w:space="0" w:color="auto"/>
        <w:left w:val="none" w:sz="0" w:space="0" w:color="auto"/>
        <w:bottom w:val="none" w:sz="0" w:space="0" w:color="auto"/>
        <w:right w:val="none" w:sz="0" w:space="0" w:color="auto"/>
      </w:divBdr>
    </w:div>
    <w:div w:id="1540822012">
      <w:bodyDiv w:val="1"/>
      <w:marLeft w:val="0"/>
      <w:marRight w:val="0"/>
      <w:marTop w:val="0"/>
      <w:marBottom w:val="0"/>
      <w:divBdr>
        <w:top w:val="none" w:sz="0" w:space="0" w:color="auto"/>
        <w:left w:val="none" w:sz="0" w:space="0" w:color="auto"/>
        <w:bottom w:val="none" w:sz="0" w:space="0" w:color="auto"/>
        <w:right w:val="none" w:sz="0" w:space="0" w:color="auto"/>
      </w:divBdr>
    </w:div>
    <w:div w:id="1540824351">
      <w:bodyDiv w:val="1"/>
      <w:marLeft w:val="0"/>
      <w:marRight w:val="0"/>
      <w:marTop w:val="0"/>
      <w:marBottom w:val="0"/>
      <w:divBdr>
        <w:top w:val="none" w:sz="0" w:space="0" w:color="auto"/>
        <w:left w:val="none" w:sz="0" w:space="0" w:color="auto"/>
        <w:bottom w:val="none" w:sz="0" w:space="0" w:color="auto"/>
        <w:right w:val="none" w:sz="0" w:space="0" w:color="auto"/>
      </w:divBdr>
    </w:div>
    <w:div w:id="1540970180">
      <w:bodyDiv w:val="1"/>
      <w:marLeft w:val="0"/>
      <w:marRight w:val="0"/>
      <w:marTop w:val="0"/>
      <w:marBottom w:val="0"/>
      <w:divBdr>
        <w:top w:val="none" w:sz="0" w:space="0" w:color="auto"/>
        <w:left w:val="none" w:sz="0" w:space="0" w:color="auto"/>
        <w:bottom w:val="none" w:sz="0" w:space="0" w:color="auto"/>
        <w:right w:val="none" w:sz="0" w:space="0" w:color="auto"/>
      </w:divBdr>
    </w:div>
    <w:div w:id="1540974209">
      <w:bodyDiv w:val="1"/>
      <w:marLeft w:val="0"/>
      <w:marRight w:val="0"/>
      <w:marTop w:val="0"/>
      <w:marBottom w:val="0"/>
      <w:divBdr>
        <w:top w:val="none" w:sz="0" w:space="0" w:color="auto"/>
        <w:left w:val="none" w:sz="0" w:space="0" w:color="auto"/>
        <w:bottom w:val="none" w:sz="0" w:space="0" w:color="auto"/>
        <w:right w:val="none" w:sz="0" w:space="0" w:color="auto"/>
      </w:divBdr>
    </w:div>
    <w:div w:id="1541281177">
      <w:bodyDiv w:val="1"/>
      <w:marLeft w:val="0"/>
      <w:marRight w:val="0"/>
      <w:marTop w:val="0"/>
      <w:marBottom w:val="0"/>
      <w:divBdr>
        <w:top w:val="none" w:sz="0" w:space="0" w:color="auto"/>
        <w:left w:val="none" w:sz="0" w:space="0" w:color="auto"/>
        <w:bottom w:val="none" w:sz="0" w:space="0" w:color="auto"/>
        <w:right w:val="none" w:sz="0" w:space="0" w:color="auto"/>
      </w:divBdr>
    </w:div>
    <w:div w:id="1541472346">
      <w:bodyDiv w:val="1"/>
      <w:marLeft w:val="0"/>
      <w:marRight w:val="0"/>
      <w:marTop w:val="0"/>
      <w:marBottom w:val="0"/>
      <w:divBdr>
        <w:top w:val="none" w:sz="0" w:space="0" w:color="auto"/>
        <w:left w:val="none" w:sz="0" w:space="0" w:color="auto"/>
        <w:bottom w:val="none" w:sz="0" w:space="0" w:color="auto"/>
        <w:right w:val="none" w:sz="0" w:space="0" w:color="auto"/>
      </w:divBdr>
    </w:div>
    <w:div w:id="1541477826">
      <w:bodyDiv w:val="1"/>
      <w:marLeft w:val="0"/>
      <w:marRight w:val="0"/>
      <w:marTop w:val="0"/>
      <w:marBottom w:val="0"/>
      <w:divBdr>
        <w:top w:val="none" w:sz="0" w:space="0" w:color="auto"/>
        <w:left w:val="none" w:sz="0" w:space="0" w:color="auto"/>
        <w:bottom w:val="none" w:sz="0" w:space="0" w:color="auto"/>
        <w:right w:val="none" w:sz="0" w:space="0" w:color="auto"/>
      </w:divBdr>
    </w:div>
    <w:div w:id="1541479874">
      <w:bodyDiv w:val="1"/>
      <w:marLeft w:val="0"/>
      <w:marRight w:val="0"/>
      <w:marTop w:val="0"/>
      <w:marBottom w:val="0"/>
      <w:divBdr>
        <w:top w:val="none" w:sz="0" w:space="0" w:color="auto"/>
        <w:left w:val="none" w:sz="0" w:space="0" w:color="auto"/>
        <w:bottom w:val="none" w:sz="0" w:space="0" w:color="auto"/>
        <w:right w:val="none" w:sz="0" w:space="0" w:color="auto"/>
      </w:divBdr>
    </w:div>
    <w:div w:id="1541546972">
      <w:bodyDiv w:val="1"/>
      <w:marLeft w:val="0"/>
      <w:marRight w:val="0"/>
      <w:marTop w:val="0"/>
      <w:marBottom w:val="0"/>
      <w:divBdr>
        <w:top w:val="none" w:sz="0" w:space="0" w:color="auto"/>
        <w:left w:val="none" w:sz="0" w:space="0" w:color="auto"/>
        <w:bottom w:val="none" w:sz="0" w:space="0" w:color="auto"/>
        <w:right w:val="none" w:sz="0" w:space="0" w:color="auto"/>
      </w:divBdr>
    </w:div>
    <w:div w:id="1541673270">
      <w:bodyDiv w:val="1"/>
      <w:marLeft w:val="0"/>
      <w:marRight w:val="0"/>
      <w:marTop w:val="0"/>
      <w:marBottom w:val="0"/>
      <w:divBdr>
        <w:top w:val="none" w:sz="0" w:space="0" w:color="auto"/>
        <w:left w:val="none" w:sz="0" w:space="0" w:color="auto"/>
        <w:bottom w:val="none" w:sz="0" w:space="0" w:color="auto"/>
        <w:right w:val="none" w:sz="0" w:space="0" w:color="auto"/>
      </w:divBdr>
    </w:div>
    <w:div w:id="1542013537">
      <w:bodyDiv w:val="1"/>
      <w:marLeft w:val="0"/>
      <w:marRight w:val="0"/>
      <w:marTop w:val="0"/>
      <w:marBottom w:val="0"/>
      <w:divBdr>
        <w:top w:val="none" w:sz="0" w:space="0" w:color="auto"/>
        <w:left w:val="none" w:sz="0" w:space="0" w:color="auto"/>
        <w:bottom w:val="none" w:sz="0" w:space="0" w:color="auto"/>
        <w:right w:val="none" w:sz="0" w:space="0" w:color="auto"/>
      </w:divBdr>
    </w:div>
    <w:div w:id="1542087179">
      <w:bodyDiv w:val="1"/>
      <w:marLeft w:val="0"/>
      <w:marRight w:val="0"/>
      <w:marTop w:val="0"/>
      <w:marBottom w:val="0"/>
      <w:divBdr>
        <w:top w:val="none" w:sz="0" w:space="0" w:color="auto"/>
        <w:left w:val="none" w:sz="0" w:space="0" w:color="auto"/>
        <w:bottom w:val="none" w:sz="0" w:space="0" w:color="auto"/>
        <w:right w:val="none" w:sz="0" w:space="0" w:color="auto"/>
      </w:divBdr>
    </w:div>
    <w:div w:id="1542207415">
      <w:bodyDiv w:val="1"/>
      <w:marLeft w:val="0"/>
      <w:marRight w:val="0"/>
      <w:marTop w:val="0"/>
      <w:marBottom w:val="0"/>
      <w:divBdr>
        <w:top w:val="none" w:sz="0" w:space="0" w:color="auto"/>
        <w:left w:val="none" w:sz="0" w:space="0" w:color="auto"/>
        <w:bottom w:val="none" w:sz="0" w:space="0" w:color="auto"/>
        <w:right w:val="none" w:sz="0" w:space="0" w:color="auto"/>
      </w:divBdr>
    </w:div>
    <w:div w:id="1542277926">
      <w:bodyDiv w:val="1"/>
      <w:marLeft w:val="0"/>
      <w:marRight w:val="0"/>
      <w:marTop w:val="0"/>
      <w:marBottom w:val="0"/>
      <w:divBdr>
        <w:top w:val="none" w:sz="0" w:space="0" w:color="auto"/>
        <w:left w:val="none" w:sz="0" w:space="0" w:color="auto"/>
        <w:bottom w:val="none" w:sz="0" w:space="0" w:color="auto"/>
        <w:right w:val="none" w:sz="0" w:space="0" w:color="auto"/>
      </w:divBdr>
    </w:div>
    <w:div w:id="1542670064">
      <w:bodyDiv w:val="1"/>
      <w:marLeft w:val="0"/>
      <w:marRight w:val="0"/>
      <w:marTop w:val="0"/>
      <w:marBottom w:val="0"/>
      <w:divBdr>
        <w:top w:val="none" w:sz="0" w:space="0" w:color="auto"/>
        <w:left w:val="none" w:sz="0" w:space="0" w:color="auto"/>
        <w:bottom w:val="none" w:sz="0" w:space="0" w:color="auto"/>
        <w:right w:val="none" w:sz="0" w:space="0" w:color="auto"/>
      </w:divBdr>
    </w:div>
    <w:div w:id="1542740636">
      <w:bodyDiv w:val="1"/>
      <w:marLeft w:val="0"/>
      <w:marRight w:val="0"/>
      <w:marTop w:val="0"/>
      <w:marBottom w:val="0"/>
      <w:divBdr>
        <w:top w:val="none" w:sz="0" w:space="0" w:color="auto"/>
        <w:left w:val="none" w:sz="0" w:space="0" w:color="auto"/>
        <w:bottom w:val="none" w:sz="0" w:space="0" w:color="auto"/>
        <w:right w:val="none" w:sz="0" w:space="0" w:color="auto"/>
      </w:divBdr>
    </w:div>
    <w:div w:id="1543052268">
      <w:bodyDiv w:val="1"/>
      <w:marLeft w:val="0"/>
      <w:marRight w:val="0"/>
      <w:marTop w:val="0"/>
      <w:marBottom w:val="0"/>
      <w:divBdr>
        <w:top w:val="none" w:sz="0" w:space="0" w:color="auto"/>
        <w:left w:val="none" w:sz="0" w:space="0" w:color="auto"/>
        <w:bottom w:val="none" w:sz="0" w:space="0" w:color="auto"/>
        <w:right w:val="none" w:sz="0" w:space="0" w:color="auto"/>
      </w:divBdr>
    </w:div>
    <w:div w:id="1543203340">
      <w:bodyDiv w:val="1"/>
      <w:marLeft w:val="0"/>
      <w:marRight w:val="0"/>
      <w:marTop w:val="0"/>
      <w:marBottom w:val="0"/>
      <w:divBdr>
        <w:top w:val="none" w:sz="0" w:space="0" w:color="auto"/>
        <w:left w:val="none" w:sz="0" w:space="0" w:color="auto"/>
        <w:bottom w:val="none" w:sz="0" w:space="0" w:color="auto"/>
        <w:right w:val="none" w:sz="0" w:space="0" w:color="auto"/>
      </w:divBdr>
    </w:div>
    <w:div w:id="1543325029">
      <w:bodyDiv w:val="1"/>
      <w:marLeft w:val="0"/>
      <w:marRight w:val="0"/>
      <w:marTop w:val="0"/>
      <w:marBottom w:val="0"/>
      <w:divBdr>
        <w:top w:val="none" w:sz="0" w:space="0" w:color="auto"/>
        <w:left w:val="none" w:sz="0" w:space="0" w:color="auto"/>
        <w:bottom w:val="none" w:sz="0" w:space="0" w:color="auto"/>
        <w:right w:val="none" w:sz="0" w:space="0" w:color="auto"/>
      </w:divBdr>
    </w:div>
    <w:div w:id="1543438730">
      <w:bodyDiv w:val="1"/>
      <w:marLeft w:val="0"/>
      <w:marRight w:val="0"/>
      <w:marTop w:val="0"/>
      <w:marBottom w:val="0"/>
      <w:divBdr>
        <w:top w:val="none" w:sz="0" w:space="0" w:color="auto"/>
        <w:left w:val="none" w:sz="0" w:space="0" w:color="auto"/>
        <w:bottom w:val="none" w:sz="0" w:space="0" w:color="auto"/>
        <w:right w:val="none" w:sz="0" w:space="0" w:color="auto"/>
      </w:divBdr>
    </w:div>
    <w:div w:id="1543863909">
      <w:bodyDiv w:val="1"/>
      <w:marLeft w:val="0"/>
      <w:marRight w:val="0"/>
      <w:marTop w:val="0"/>
      <w:marBottom w:val="0"/>
      <w:divBdr>
        <w:top w:val="none" w:sz="0" w:space="0" w:color="auto"/>
        <w:left w:val="none" w:sz="0" w:space="0" w:color="auto"/>
        <w:bottom w:val="none" w:sz="0" w:space="0" w:color="auto"/>
        <w:right w:val="none" w:sz="0" w:space="0" w:color="auto"/>
      </w:divBdr>
    </w:div>
    <w:div w:id="1544101793">
      <w:bodyDiv w:val="1"/>
      <w:marLeft w:val="0"/>
      <w:marRight w:val="0"/>
      <w:marTop w:val="0"/>
      <w:marBottom w:val="0"/>
      <w:divBdr>
        <w:top w:val="none" w:sz="0" w:space="0" w:color="auto"/>
        <w:left w:val="none" w:sz="0" w:space="0" w:color="auto"/>
        <w:bottom w:val="none" w:sz="0" w:space="0" w:color="auto"/>
        <w:right w:val="none" w:sz="0" w:space="0" w:color="auto"/>
      </w:divBdr>
    </w:div>
    <w:div w:id="1544321291">
      <w:bodyDiv w:val="1"/>
      <w:marLeft w:val="0"/>
      <w:marRight w:val="0"/>
      <w:marTop w:val="0"/>
      <w:marBottom w:val="0"/>
      <w:divBdr>
        <w:top w:val="none" w:sz="0" w:space="0" w:color="auto"/>
        <w:left w:val="none" w:sz="0" w:space="0" w:color="auto"/>
        <w:bottom w:val="none" w:sz="0" w:space="0" w:color="auto"/>
        <w:right w:val="none" w:sz="0" w:space="0" w:color="auto"/>
      </w:divBdr>
    </w:div>
    <w:div w:id="1544443723">
      <w:bodyDiv w:val="1"/>
      <w:marLeft w:val="0"/>
      <w:marRight w:val="0"/>
      <w:marTop w:val="0"/>
      <w:marBottom w:val="0"/>
      <w:divBdr>
        <w:top w:val="none" w:sz="0" w:space="0" w:color="auto"/>
        <w:left w:val="none" w:sz="0" w:space="0" w:color="auto"/>
        <w:bottom w:val="none" w:sz="0" w:space="0" w:color="auto"/>
        <w:right w:val="none" w:sz="0" w:space="0" w:color="auto"/>
      </w:divBdr>
    </w:div>
    <w:div w:id="1544445264">
      <w:bodyDiv w:val="1"/>
      <w:marLeft w:val="0"/>
      <w:marRight w:val="0"/>
      <w:marTop w:val="0"/>
      <w:marBottom w:val="0"/>
      <w:divBdr>
        <w:top w:val="none" w:sz="0" w:space="0" w:color="auto"/>
        <w:left w:val="none" w:sz="0" w:space="0" w:color="auto"/>
        <w:bottom w:val="none" w:sz="0" w:space="0" w:color="auto"/>
        <w:right w:val="none" w:sz="0" w:space="0" w:color="auto"/>
      </w:divBdr>
    </w:div>
    <w:div w:id="1544446268">
      <w:bodyDiv w:val="1"/>
      <w:marLeft w:val="0"/>
      <w:marRight w:val="0"/>
      <w:marTop w:val="0"/>
      <w:marBottom w:val="0"/>
      <w:divBdr>
        <w:top w:val="none" w:sz="0" w:space="0" w:color="auto"/>
        <w:left w:val="none" w:sz="0" w:space="0" w:color="auto"/>
        <w:bottom w:val="none" w:sz="0" w:space="0" w:color="auto"/>
        <w:right w:val="none" w:sz="0" w:space="0" w:color="auto"/>
      </w:divBdr>
    </w:div>
    <w:div w:id="1544900172">
      <w:bodyDiv w:val="1"/>
      <w:marLeft w:val="0"/>
      <w:marRight w:val="0"/>
      <w:marTop w:val="0"/>
      <w:marBottom w:val="0"/>
      <w:divBdr>
        <w:top w:val="none" w:sz="0" w:space="0" w:color="auto"/>
        <w:left w:val="none" w:sz="0" w:space="0" w:color="auto"/>
        <w:bottom w:val="none" w:sz="0" w:space="0" w:color="auto"/>
        <w:right w:val="none" w:sz="0" w:space="0" w:color="auto"/>
      </w:divBdr>
    </w:div>
    <w:div w:id="1545217218">
      <w:bodyDiv w:val="1"/>
      <w:marLeft w:val="0"/>
      <w:marRight w:val="0"/>
      <w:marTop w:val="0"/>
      <w:marBottom w:val="0"/>
      <w:divBdr>
        <w:top w:val="none" w:sz="0" w:space="0" w:color="auto"/>
        <w:left w:val="none" w:sz="0" w:space="0" w:color="auto"/>
        <w:bottom w:val="none" w:sz="0" w:space="0" w:color="auto"/>
        <w:right w:val="none" w:sz="0" w:space="0" w:color="auto"/>
      </w:divBdr>
    </w:div>
    <w:div w:id="1545219616">
      <w:bodyDiv w:val="1"/>
      <w:marLeft w:val="0"/>
      <w:marRight w:val="0"/>
      <w:marTop w:val="0"/>
      <w:marBottom w:val="0"/>
      <w:divBdr>
        <w:top w:val="none" w:sz="0" w:space="0" w:color="auto"/>
        <w:left w:val="none" w:sz="0" w:space="0" w:color="auto"/>
        <w:bottom w:val="none" w:sz="0" w:space="0" w:color="auto"/>
        <w:right w:val="none" w:sz="0" w:space="0" w:color="auto"/>
      </w:divBdr>
    </w:div>
    <w:div w:id="1545681624">
      <w:bodyDiv w:val="1"/>
      <w:marLeft w:val="0"/>
      <w:marRight w:val="0"/>
      <w:marTop w:val="0"/>
      <w:marBottom w:val="0"/>
      <w:divBdr>
        <w:top w:val="none" w:sz="0" w:space="0" w:color="auto"/>
        <w:left w:val="none" w:sz="0" w:space="0" w:color="auto"/>
        <w:bottom w:val="none" w:sz="0" w:space="0" w:color="auto"/>
        <w:right w:val="none" w:sz="0" w:space="0" w:color="auto"/>
      </w:divBdr>
    </w:div>
    <w:div w:id="1546021022">
      <w:bodyDiv w:val="1"/>
      <w:marLeft w:val="0"/>
      <w:marRight w:val="0"/>
      <w:marTop w:val="0"/>
      <w:marBottom w:val="0"/>
      <w:divBdr>
        <w:top w:val="none" w:sz="0" w:space="0" w:color="auto"/>
        <w:left w:val="none" w:sz="0" w:space="0" w:color="auto"/>
        <w:bottom w:val="none" w:sz="0" w:space="0" w:color="auto"/>
        <w:right w:val="none" w:sz="0" w:space="0" w:color="auto"/>
      </w:divBdr>
    </w:div>
    <w:div w:id="1546329441">
      <w:bodyDiv w:val="1"/>
      <w:marLeft w:val="0"/>
      <w:marRight w:val="0"/>
      <w:marTop w:val="0"/>
      <w:marBottom w:val="0"/>
      <w:divBdr>
        <w:top w:val="none" w:sz="0" w:space="0" w:color="auto"/>
        <w:left w:val="none" w:sz="0" w:space="0" w:color="auto"/>
        <w:bottom w:val="none" w:sz="0" w:space="0" w:color="auto"/>
        <w:right w:val="none" w:sz="0" w:space="0" w:color="auto"/>
      </w:divBdr>
    </w:div>
    <w:div w:id="1546404652">
      <w:bodyDiv w:val="1"/>
      <w:marLeft w:val="0"/>
      <w:marRight w:val="0"/>
      <w:marTop w:val="0"/>
      <w:marBottom w:val="0"/>
      <w:divBdr>
        <w:top w:val="none" w:sz="0" w:space="0" w:color="auto"/>
        <w:left w:val="none" w:sz="0" w:space="0" w:color="auto"/>
        <w:bottom w:val="none" w:sz="0" w:space="0" w:color="auto"/>
        <w:right w:val="none" w:sz="0" w:space="0" w:color="auto"/>
      </w:divBdr>
    </w:div>
    <w:div w:id="1546412123">
      <w:bodyDiv w:val="1"/>
      <w:marLeft w:val="0"/>
      <w:marRight w:val="0"/>
      <w:marTop w:val="0"/>
      <w:marBottom w:val="0"/>
      <w:divBdr>
        <w:top w:val="none" w:sz="0" w:space="0" w:color="auto"/>
        <w:left w:val="none" w:sz="0" w:space="0" w:color="auto"/>
        <w:bottom w:val="none" w:sz="0" w:space="0" w:color="auto"/>
        <w:right w:val="none" w:sz="0" w:space="0" w:color="auto"/>
      </w:divBdr>
    </w:div>
    <w:div w:id="1546943215">
      <w:bodyDiv w:val="1"/>
      <w:marLeft w:val="0"/>
      <w:marRight w:val="0"/>
      <w:marTop w:val="0"/>
      <w:marBottom w:val="0"/>
      <w:divBdr>
        <w:top w:val="none" w:sz="0" w:space="0" w:color="auto"/>
        <w:left w:val="none" w:sz="0" w:space="0" w:color="auto"/>
        <w:bottom w:val="none" w:sz="0" w:space="0" w:color="auto"/>
        <w:right w:val="none" w:sz="0" w:space="0" w:color="auto"/>
      </w:divBdr>
    </w:div>
    <w:div w:id="1546988283">
      <w:bodyDiv w:val="1"/>
      <w:marLeft w:val="0"/>
      <w:marRight w:val="0"/>
      <w:marTop w:val="0"/>
      <w:marBottom w:val="0"/>
      <w:divBdr>
        <w:top w:val="none" w:sz="0" w:space="0" w:color="auto"/>
        <w:left w:val="none" w:sz="0" w:space="0" w:color="auto"/>
        <w:bottom w:val="none" w:sz="0" w:space="0" w:color="auto"/>
        <w:right w:val="none" w:sz="0" w:space="0" w:color="auto"/>
      </w:divBdr>
    </w:div>
    <w:div w:id="1547178000">
      <w:bodyDiv w:val="1"/>
      <w:marLeft w:val="0"/>
      <w:marRight w:val="0"/>
      <w:marTop w:val="0"/>
      <w:marBottom w:val="0"/>
      <w:divBdr>
        <w:top w:val="none" w:sz="0" w:space="0" w:color="auto"/>
        <w:left w:val="none" w:sz="0" w:space="0" w:color="auto"/>
        <w:bottom w:val="none" w:sz="0" w:space="0" w:color="auto"/>
        <w:right w:val="none" w:sz="0" w:space="0" w:color="auto"/>
      </w:divBdr>
    </w:div>
    <w:div w:id="1547258137">
      <w:bodyDiv w:val="1"/>
      <w:marLeft w:val="0"/>
      <w:marRight w:val="0"/>
      <w:marTop w:val="0"/>
      <w:marBottom w:val="0"/>
      <w:divBdr>
        <w:top w:val="none" w:sz="0" w:space="0" w:color="auto"/>
        <w:left w:val="none" w:sz="0" w:space="0" w:color="auto"/>
        <w:bottom w:val="none" w:sz="0" w:space="0" w:color="auto"/>
        <w:right w:val="none" w:sz="0" w:space="0" w:color="auto"/>
      </w:divBdr>
    </w:div>
    <w:div w:id="1547330251">
      <w:bodyDiv w:val="1"/>
      <w:marLeft w:val="0"/>
      <w:marRight w:val="0"/>
      <w:marTop w:val="0"/>
      <w:marBottom w:val="0"/>
      <w:divBdr>
        <w:top w:val="none" w:sz="0" w:space="0" w:color="auto"/>
        <w:left w:val="none" w:sz="0" w:space="0" w:color="auto"/>
        <w:bottom w:val="none" w:sz="0" w:space="0" w:color="auto"/>
        <w:right w:val="none" w:sz="0" w:space="0" w:color="auto"/>
      </w:divBdr>
    </w:div>
    <w:div w:id="1547522255">
      <w:bodyDiv w:val="1"/>
      <w:marLeft w:val="0"/>
      <w:marRight w:val="0"/>
      <w:marTop w:val="0"/>
      <w:marBottom w:val="0"/>
      <w:divBdr>
        <w:top w:val="none" w:sz="0" w:space="0" w:color="auto"/>
        <w:left w:val="none" w:sz="0" w:space="0" w:color="auto"/>
        <w:bottom w:val="none" w:sz="0" w:space="0" w:color="auto"/>
        <w:right w:val="none" w:sz="0" w:space="0" w:color="auto"/>
      </w:divBdr>
    </w:div>
    <w:div w:id="1547719841">
      <w:bodyDiv w:val="1"/>
      <w:marLeft w:val="0"/>
      <w:marRight w:val="0"/>
      <w:marTop w:val="0"/>
      <w:marBottom w:val="0"/>
      <w:divBdr>
        <w:top w:val="none" w:sz="0" w:space="0" w:color="auto"/>
        <w:left w:val="none" w:sz="0" w:space="0" w:color="auto"/>
        <w:bottom w:val="none" w:sz="0" w:space="0" w:color="auto"/>
        <w:right w:val="none" w:sz="0" w:space="0" w:color="auto"/>
      </w:divBdr>
    </w:div>
    <w:div w:id="1547833949">
      <w:bodyDiv w:val="1"/>
      <w:marLeft w:val="0"/>
      <w:marRight w:val="0"/>
      <w:marTop w:val="0"/>
      <w:marBottom w:val="0"/>
      <w:divBdr>
        <w:top w:val="none" w:sz="0" w:space="0" w:color="auto"/>
        <w:left w:val="none" w:sz="0" w:space="0" w:color="auto"/>
        <w:bottom w:val="none" w:sz="0" w:space="0" w:color="auto"/>
        <w:right w:val="none" w:sz="0" w:space="0" w:color="auto"/>
      </w:divBdr>
    </w:div>
    <w:div w:id="1547913458">
      <w:bodyDiv w:val="1"/>
      <w:marLeft w:val="0"/>
      <w:marRight w:val="0"/>
      <w:marTop w:val="0"/>
      <w:marBottom w:val="0"/>
      <w:divBdr>
        <w:top w:val="none" w:sz="0" w:space="0" w:color="auto"/>
        <w:left w:val="none" w:sz="0" w:space="0" w:color="auto"/>
        <w:bottom w:val="none" w:sz="0" w:space="0" w:color="auto"/>
        <w:right w:val="none" w:sz="0" w:space="0" w:color="auto"/>
      </w:divBdr>
    </w:div>
    <w:div w:id="1547988916">
      <w:bodyDiv w:val="1"/>
      <w:marLeft w:val="0"/>
      <w:marRight w:val="0"/>
      <w:marTop w:val="0"/>
      <w:marBottom w:val="0"/>
      <w:divBdr>
        <w:top w:val="none" w:sz="0" w:space="0" w:color="auto"/>
        <w:left w:val="none" w:sz="0" w:space="0" w:color="auto"/>
        <w:bottom w:val="none" w:sz="0" w:space="0" w:color="auto"/>
        <w:right w:val="none" w:sz="0" w:space="0" w:color="auto"/>
      </w:divBdr>
    </w:div>
    <w:div w:id="1548030143">
      <w:bodyDiv w:val="1"/>
      <w:marLeft w:val="0"/>
      <w:marRight w:val="0"/>
      <w:marTop w:val="0"/>
      <w:marBottom w:val="0"/>
      <w:divBdr>
        <w:top w:val="none" w:sz="0" w:space="0" w:color="auto"/>
        <w:left w:val="none" w:sz="0" w:space="0" w:color="auto"/>
        <w:bottom w:val="none" w:sz="0" w:space="0" w:color="auto"/>
        <w:right w:val="none" w:sz="0" w:space="0" w:color="auto"/>
      </w:divBdr>
    </w:div>
    <w:div w:id="1548179665">
      <w:bodyDiv w:val="1"/>
      <w:marLeft w:val="0"/>
      <w:marRight w:val="0"/>
      <w:marTop w:val="0"/>
      <w:marBottom w:val="0"/>
      <w:divBdr>
        <w:top w:val="none" w:sz="0" w:space="0" w:color="auto"/>
        <w:left w:val="none" w:sz="0" w:space="0" w:color="auto"/>
        <w:bottom w:val="none" w:sz="0" w:space="0" w:color="auto"/>
        <w:right w:val="none" w:sz="0" w:space="0" w:color="auto"/>
      </w:divBdr>
    </w:div>
    <w:div w:id="1548493066">
      <w:bodyDiv w:val="1"/>
      <w:marLeft w:val="0"/>
      <w:marRight w:val="0"/>
      <w:marTop w:val="0"/>
      <w:marBottom w:val="0"/>
      <w:divBdr>
        <w:top w:val="none" w:sz="0" w:space="0" w:color="auto"/>
        <w:left w:val="none" w:sz="0" w:space="0" w:color="auto"/>
        <w:bottom w:val="none" w:sz="0" w:space="0" w:color="auto"/>
        <w:right w:val="none" w:sz="0" w:space="0" w:color="auto"/>
      </w:divBdr>
    </w:div>
    <w:div w:id="1548682449">
      <w:bodyDiv w:val="1"/>
      <w:marLeft w:val="0"/>
      <w:marRight w:val="0"/>
      <w:marTop w:val="0"/>
      <w:marBottom w:val="0"/>
      <w:divBdr>
        <w:top w:val="none" w:sz="0" w:space="0" w:color="auto"/>
        <w:left w:val="none" w:sz="0" w:space="0" w:color="auto"/>
        <w:bottom w:val="none" w:sz="0" w:space="0" w:color="auto"/>
        <w:right w:val="none" w:sz="0" w:space="0" w:color="auto"/>
      </w:divBdr>
    </w:div>
    <w:div w:id="1548880300">
      <w:bodyDiv w:val="1"/>
      <w:marLeft w:val="0"/>
      <w:marRight w:val="0"/>
      <w:marTop w:val="0"/>
      <w:marBottom w:val="0"/>
      <w:divBdr>
        <w:top w:val="none" w:sz="0" w:space="0" w:color="auto"/>
        <w:left w:val="none" w:sz="0" w:space="0" w:color="auto"/>
        <w:bottom w:val="none" w:sz="0" w:space="0" w:color="auto"/>
        <w:right w:val="none" w:sz="0" w:space="0" w:color="auto"/>
      </w:divBdr>
    </w:div>
    <w:div w:id="1548952051">
      <w:bodyDiv w:val="1"/>
      <w:marLeft w:val="0"/>
      <w:marRight w:val="0"/>
      <w:marTop w:val="0"/>
      <w:marBottom w:val="0"/>
      <w:divBdr>
        <w:top w:val="none" w:sz="0" w:space="0" w:color="auto"/>
        <w:left w:val="none" w:sz="0" w:space="0" w:color="auto"/>
        <w:bottom w:val="none" w:sz="0" w:space="0" w:color="auto"/>
        <w:right w:val="none" w:sz="0" w:space="0" w:color="auto"/>
      </w:divBdr>
    </w:div>
    <w:div w:id="1548955741">
      <w:bodyDiv w:val="1"/>
      <w:marLeft w:val="0"/>
      <w:marRight w:val="0"/>
      <w:marTop w:val="0"/>
      <w:marBottom w:val="0"/>
      <w:divBdr>
        <w:top w:val="none" w:sz="0" w:space="0" w:color="auto"/>
        <w:left w:val="none" w:sz="0" w:space="0" w:color="auto"/>
        <w:bottom w:val="none" w:sz="0" w:space="0" w:color="auto"/>
        <w:right w:val="none" w:sz="0" w:space="0" w:color="auto"/>
      </w:divBdr>
    </w:div>
    <w:div w:id="1549030395">
      <w:bodyDiv w:val="1"/>
      <w:marLeft w:val="0"/>
      <w:marRight w:val="0"/>
      <w:marTop w:val="0"/>
      <w:marBottom w:val="0"/>
      <w:divBdr>
        <w:top w:val="none" w:sz="0" w:space="0" w:color="auto"/>
        <w:left w:val="none" w:sz="0" w:space="0" w:color="auto"/>
        <w:bottom w:val="none" w:sz="0" w:space="0" w:color="auto"/>
        <w:right w:val="none" w:sz="0" w:space="0" w:color="auto"/>
      </w:divBdr>
    </w:div>
    <w:div w:id="1549105693">
      <w:bodyDiv w:val="1"/>
      <w:marLeft w:val="0"/>
      <w:marRight w:val="0"/>
      <w:marTop w:val="0"/>
      <w:marBottom w:val="0"/>
      <w:divBdr>
        <w:top w:val="none" w:sz="0" w:space="0" w:color="auto"/>
        <w:left w:val="none" w:sz="0" w:space="0" w:color="auto"/>
        <w:bottom w:val="none" w:sz="0" w:space="0" w:color="auto"/>
        <w:right w:val="none" w:sz="0" w:space="0" w:color="auto"/>
      </w:divBdr>
    </w:div>
    <w:div w:id="1549143675">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
    <w:div w:id="1549217374">
      <w:bodyDiv w:val="1"/>
      <w:marLeft w:val="0"/>
      <w:marRight w:val="0"/>
      <w:marTop w:val="0"/>
      <w:marBottom w:val="0"/>
      <w:divBdr>
        <w:top w:val="none" w:sz="0" w:space="0" w:color="auto"/>
        <w:left w:val="none" w:sz="0" w:space="0" w:color="auto"/>
        <w:bottom w:val="none" w:sz="0" w:space="0" w:color="auto"/>
        <w:right w:val="none" w:sz="0" w:space="0" w:color="auto"/>
      </w:divBdr>
    </w:div>
    <w:div w:id="1549297348">
      <w:bodyDiv w:val="1"/>
      <w:marLeft w:val="0"/>
      <w:marRight w:val="0"/>
      <w:marTop w:val="0"/>
      <w:marBottom w:val="0"/>
      <w:divBdr>
        <w:top w:val="none" w:sz="0" w:space="0" w:color="auto"/>
        <w:left w:val="none" w:sz="0" w:space="0" w:color="auto"/>
        <w:bottom w:val="none" w:sz="0" w:space="0" w:color="auto"/>
        <w:right w:val="none" w:sz="0" w:space="0" w:color="auto"/>
      </w:divBdr>
    </w:div>
    <w:div w:id="1549411975">
      <w:bodyDiv w:val="1"/>
      <w:marLeft w:val="0"/>
      <w:marRight w:val="0"/>
      <w:marTop w:val="0"/>
      <w:marBottom w:val="0"/>
      <w:divBdr>
        <w:top w:val="none" w:sz="0" w:space="0" w:color="auto"/>
        <w:left w:val="none" w:sz="0" w:space="0" w:color="auto"/>
        <w:bottom w:val="none" w:sz="0" w:space="0" w:color="auto"/>
        <w:right w:val="none" w:sz="0" w:space="0" w:color="auto"/>
      </w:divBdr>
    </w:div>
    <w:div w:id="1549489993">
      <w:bodyDiv w:val="1"/>
      <w:marLeft w:val="0"/>
      <w:marRight w:val="0"/>
      <w:marTop w:val="0"/>
      <w:marBottom w:val="0"/>
      <w:divBdr>
        <w:top w:val="none" w:sz="0" w:space="0" w:color="auto"/>
        <w:left w:val="none" w:sz="0" w:space="0" w:color="auto"/>
        <w:bottom w:val="none" w:sz="0" w:space="0" w:color="auto"/>
        <w:right w:val="none" w:sz="0" w:space="0" w:color="auto"/>
      </w:divBdr>
    </w:div>
    <w:div w:id="1549562003">
      <w:bodyDiv w:val="1"/>
      <w:marLeft w:val="0"/>
      <w:marRight w:val="0"/>
      <w:marTop w:val="0"/>
      <w:marBottom w:val="0"/>
      <w:divBdr>
        <w:top w:val="none" w:sz="0" w:space="0" w:color="auto"/>
        <w:left w:val="none" w:sz="0" w:space="0" w:color="auto"/>
        <w:bottom w:val="none" w:sz="0" w:space="0" w:color="auto"/>
        <w:right w:val="none" w:sz="0" w:space="0" w:color="auto"/>
      </w:divBdr>
    </w:div>
    <w:div w:id="1549684558">
      <w:bodyDiv w:val="1"/>
      <w:marLeft w:val="0"/>
      <w:marRight w:val="0"/>
      <w:marTop w:val="0"/>
      <w:marBottom w:val="0"/>
      <w:divBdr>
        <w:top w:val="none" w:sz="0" w:space="0" w:color="auto"/>
        <w:left w:val="none" w:sz="0" w:space="0" w:color="auto"/>
        <w:bottom w:val="none" w:sz="0" w:space="0" w:color="auto"/>
        <w:right w:val="none" w:sz="0" w:space="0" w:color="auto"/>
      </w:divBdr>
    </w:div>
    <w:div w:id="1549995212">
      <w:bodyDiv w:val="1"/>
      <w:marLeft w:val="0"/>
      <w:marRight w:val="0"/>
      <w:marTop w:val="0"/>
      <w:marBottom w:val="0"/>
      <w:divBdr>
        <w:top w:val="none" w:sz="0" w:space="0" w:color="auto"/>
        <w:left w:val="none" w:sz="0" w:space="0" w:color="auto"/>
        <w:bottom w:val="none" w:sz="0" w:space="0" w:color="auto"/>
        <w:right w:val="none" w:sz="0" w:space="0" w:color="auto"/>
      </w:divBdr>
    </w:div>
    <w:div w:id="1550260391">
      <w:bodyDiv w:val="1"/>
      <w:marLeft w:val="0"/>
      <w:marRight w:val="0"/>
      <w:marTop w:val="0"/>
      <w:marBottom w:val="0"/>
      <w:divBdr>
        <w:top w:val="none" w:sz="0" w:space="0" w:color="auto"/>
        <w:left w:val="none" w:sz="0" w:space="0" w:color="auto"/>
        <w:bottom w:val="none" w:sz="0" w:space="0" w:color="auto"/>
        <w:right w:val="none" w:sz="0" w:space="0" w:color="auto"/>
      </w:divBdr>
    </w:div>
    <w:div w:id="1550262510">
      <w:bodyDiv w:val="1"/>
      <w:marLeft w:val="0"/>
      <w:marRight w:val="0"/>
      <w:marTop w:val="0"/>
      <w:marBottom w:val="0"/>
      <w:divBdr>
        <w:top w:val="none" w:sz="0" w:space="0" w:color="auto"/>
        <w:left w:val="none" w:sz="0" w:space="0" w:color="auto"/>
        <w:bottom w:val="none" w:sz="0" w:space="0" w:color="auto"/>
        <w:right w:val="none" w:sz="0" w:space="0" w:color="auto"/>
      </w:divBdr>
    </w:div>
    <w:div w:id="1550267949">
      <w:bodyDiv w:val="1"/>
      <w:marLeft w:val="0"/>
      <w:marRight w:val="0"/>
      <w:marTop w:val="0"/>
      <w:marBottom w:val="0"/>
      <w:divBdr>
        <w:top w:val="none" w:sz="0" w:space="0" w:color="auto"/>
        <w:left w:val="none" w:sz="0" w:space="0" w:color="auto"/>
        <w:bottom w:val="none" w:sz="0" w:space="0" w:color="auto"/>
        <w:right w:val="none" w:sz="0" w:space="0" w:color="auto"/>
      </w:divBdr>
    </w:div>
    <w:div w:id="1550727106">
      <w:bodyDiv w:val="1"/>
      <w:marLeft w:val="0"/>
      <w:marRight w:val="0"/>
      <w:marTop w:val="0"/>
      <w:marBottom w:val="0"/>
      <w:divBdr>
        <w:top w:val="none" w:sz="0" w:space="0" w:color="auto"/>
        <w:left w:val="none" w:sz="0" w:space="0" w:color="auto"/>
        <w:bottom w:val="none" w:sz="0" w:space="0" w:color="auto"/>
        <w:right w:val="none" w:sz="0" w:space="0" w:color="auto"/>
      </w:divBdr>
    </w:div>
    <w:div w:id="1550917031">
      <w:bodyDiv w:val="1"/>
      <w:marLeft w:val="0"/>
      <w:marRight w:val="0"/>
      <w:marTop w:val="0"/>
      <w:marBottom w:val="0"/>
      <w:divBdr>
        <w:top w:val="none" w:sz="0" w:space="0" w:color="auto"/>
        <w:left w:val="none" w:sz="0" w:space="0" w:color="auto"/>
        <w:bottom w:val="none" w:sz="0" w:space="0" w:color="auto"/>
        <w:right w:val="none" w:sz="0" w:space="0" w:color="auto"/>
      </w:divBdr>
    </w:div>
    <w:div w:id="1550989604">
      <w:bodyDiv w:val="1"/>
      <w:marLeft w:val="0"/>
      <w:marRight w:val="0"/>
      <w:marTop w:val="0"/>
      <w:marBottom w:val="0"/>
      <w:divBdr>
        <w:top w:val="none" w:sz="0" w:space="0" w:color="auto"/>
        <w:left w:val="none" w:sz="0" w:space="0" w:color="auto"/>
        <w:bottom w:val="none" w:sz="0" w:space="0" w:color="auto"/>
        <w:right w:val="none" w:sz="0" w:space="0" w:color="auto"/>
      </w:divBdr>
    </w:div>
    <w:div w:id="1551184351">
      <w:bodyDiv w:val="1"/>
      <w:marLeft w:val="0"/>
      <w:marRight w:val="0"/>
      <w:marTop w:val="0"/>
      <w:marBottom w:val="0"/>
      <w:divBdr>
        <w:top w:val="none" w:sz="0" w:space="0" w:color="auto"/>
        <w:left w:val="none" w:sz="0" w:space="0" w:color="auto"/>
        <w:bottom w:val="none" w:sz="0" w:space="0" w:color="auto"/>
        <w:right w:val="none" w:sz="0" w:space="0" w:color="auto"/>
      </w:divBdr>
    </w:div>
    <w:div w:id="1551307226">
      <w:bodyDiv w:val="1"/>
      <w:marLeft w:val="0"/>
      <w:marRight w:val="0"/>
      <w:marTop w:val="0"/>
      <w:marBottom w:val="0"/>
      <w:divBdr>
        <w:top w:val="none" w:sz="0" w:space="0" w:color="auto"/>
        <w:left w:val="none" w:sz="0" w:space="0" w:color="auto"/>
        <w:bottom w:val="none" w:sz="0" w:space="0" w:color="auto"/>
        <w:right w:val="none" w:sz="0" w:space="0" w:color="auto"/>
      </w:divBdr>
    </w:div>
    <w:div w:id="1551502913">
      <w:bodyDiv w:val="1"/>
      <w:marLeft w:val="0"/>
      <w:marRight w:val="0"/>
      <w:marTop w:val="0"/>
      <w:marBottom w:val="0"/>
      <w:divBdr>
        <w:top w:val="none" w:sz="0" w:space="0" w:color="auto"/>
        <w:left w:val="none" w:sz="0" w:space="0" w:color="auto"/>
        <w:bottom w:val="none" w:sz="0" w:space="0" w:color="auto"/>
        <w:right w:val="none" w:sz="0" w:space="0" w:color="auto"/>
      </w:divBdr>
    </w:div>
    <w:div w:id="1551765421">
      <w:bodyDiv w:val="1"/>
      <w:marLeft w:val="0"/>
      <w:marRight w:val="0"/>
      <w:marTop w:val="0"/>
      <w:marBottom w:val="0"/>
      <w:divBdr>
        <w:top w:val="none" w:sz="0" w:space="0" w:color="auto"/>
        <w:left w:val="none" w:sz="0" w:space="0" w:color="auto"/>
        <w:bottom w:val="none" w:sz="0" w:space="0" w:color="auto"/>
        <w:right w:val="none" w:sz="0" w:space="0" w:color="auto"/>
      </w:divBdr>
    </w:div>
    <w:div w:id="1551768015">
      <w:bodyDiv w:val="1"/>
      <w:marLeft w:val="0"/>
      <w:marRight w:val="0"/>
      <w:marTop w:val="0"/>
      <w:marBottom w:val="0"/>
      <w:divBdr>
        <w:top w:val="none" w:sz="0" w:space="0" w:color="auto"/>
        <w:left w:val="none" w:sz="0" w:space="0" w:color="auto"/>
        <w:bottom w:val="none" w:sz="0" w:space="0" w:color="auto"/>
        <w:right w:val="none" w:sz="0" w:space="0" w:color="auto"/>
      </w:divBdr>
    </w:div>
    <w:div w:id="1551770093">
      <w:bodyDiv w:val="1"/>
      <w:marLeft w:val="0"/>
      <w:marRight w:val="0"/>
      <w:marTop w:val="0"/>
      <w:marBottom w:val="0"/>
      <w:divBdr>
        <w:top w:val="none" w:sz="0" w:space="0" w:color="auto"/>
        <w:left w:val="none" w:sz="0" w:space="0" w:color="auto"/>
        <w:bottom w:val="none" w:sz="0" w:space="0" w:color="auto"/>
        <w:right w:val="none" w:sz="0" w:space="0" w:color="auto"/>
      </w:divBdr>
    </w:div>
    <w:div w:id="1552033177">
      <w:bodyDiv w:val="1"/>
      <w:marLeft w:val="0"/>
      <w:marRight w:val="0"/>
      <w:marTop w:val="0"/>
      <w:marBottom w:val="0"/>
      <w:divBdr>
        <w:top w:val="none" w:sz="0" w:space="0" w:color="auto"/>
        <w:left w:val="none" w:sz="0" w:space="0" w:color="auto"/>
        <w:bottom w:val="none" w:sz="0" w:space="0" w:color="auto"/>
        <w:right w:val="none" w:sz="0" w:space="0" w:color="auto"/>
      </w:divBdr>
    </w:div>
    <w:div w:id="1552426361">
      <w:bodyDiv w:val="1"/>
      <w:marLeft w:val="0"/>
      <w:marRight w:val="0"/>
      <w:marTop w:val="0"/>
      <w:marBottom w:val="0"/>
      <w:divBdr>
        <w:top w:val="none" w:sz="0" w:space="0" w:color="auto"/>
        <w:left w:val="none" w:sz="0" w:space="0" w:color="auto"/>
        <w:bottom w:val="none" w:sz="0" w:space="0" w:color="auto"/>
        <w:right w:val="none" w:sz="0" w:space="0" w:color="auto"/>
      </w:divBdr>
    </w:div>
    <w:div w:id="1552502402">
      <w:bodyDiv w:val="1"/>
      <w:marLeft w:val="0"/>
      <w:marRight w:val="0"/>
      <w:marTop w:val="0"/>
      <w:marBottom w:val="0"/>
      <w:divBdr>
        <w:top w:val="none" w:sz="0" w:space="0" w:color="auto"/>
        <w:left w:val="none" w:sz="0" w:space="0" w:color="auto"/>
        <w:bottom w:val="none" w:sz="0" w:space="0" w:color="auto"/>
        <w:right w:val="none" w:sz="0" w:space="0" w:color="auto"/>
      </w:divBdr>
    </w:div>
    <w:div w:id="1553033833">
      <w:bodyDiv w:val="1"/>
      <w:marLeft w:val="0"/>
      <w:marRight w:val="0"/>
      <w:marTop w:val="0"/>
      <w:marBottom w:val="0"/>
      <w:divBdr>
        <w:top w:val="none" w:sz="0" w:space="0" w:color="auto"/>
        <w:left w:val="none" w:sz="0" w:space="0" w:color="auto"/>
        <w:bottom w:val="none" w:sz="0" w:space="0" w:color="auto"/>
        <w:right w:val="none" w:sz="0" w:space="0" w:color="auto"/>
      </w:divBdr>
    </w:div>
    <w:div w:id="1553073469">
      <w:bodyDiv w:val="1"/>
      <w:marLeft w:val="0"/>
      <w:marRight w:val="0"/>
      <w:marTop w:val="0"/>
      <w:marBottom w:val="0"/>
      <w:divBdr>
        <w:top w:val="none" w:sz="0" w:space="0" w:color="auto"/>
        <w:left w:val="none" w:sz="0" w:space="0" w:color="auto"/>
        <w:bottom w:val="none" w:sz="0" w:space="0" w:color="auto"/>
        <w:right w:val="none" w:sz="0" w:space="0" w:color="auto"/>
      </w:divBdr>
    </w:div>
    <w:div w:id="1553465467">
      <w:bodyDiv w:val="1"/>
      <w:marLeft w:val="0"/>
      <w:marRight w:val="0"/>
      <w:marTop w:val="0"/>
      <w:marBottom w:val="0"/>
      <w:divBdr>
        <w:top w:val="none" w:sz="0" w:space="0" w:color="auto"/>
        <w:left w:val="none" w:sz="0" w:space="0" w:color="auto"/>
        <w:bottom w:val="none" w:sz="0" w:space="0" w:color="auto"/>
        <w:right w:val="none" w:sz="0" w:space="0" w:color="auto"/>
      </w:divBdr>
    </w:div>
    <w:div w:id="1553687967">
      <w:bodyDiv w:val="1"/>
      <w:marLeft w:val="0"/>
      <w:marRight w:val="0"/>
      <w:marTop w:val="0"/>
      <w:marBottom w:val="0"/>
      <w:divBdr>
        <w:top w:val="none" w:sz="0" w:space="0" w:color="auto"/>
        <w:left w:val="none" w:sz="0" w:space="0" w:color="auto"/>
        <w:bottom w:val="none" w:sz="0" w:space="0" w:color="auto"/>
        <w:right w:val="none" w:sz="0" w:space="0" w:color="auto"/>
      </w:divBdr>
    </w:div>
    <w:div w:id="1553806585">
      <w:bodyDiv w:val="1"/>
      <w:marLeft w:val="0"/>
      <w:marRight w:val="0"/>
      <w:marTop w:val="0"/>
      <w:marBottom w:val="0"/>
      <w:divBdr>
        <w:top w:val="none" w:sz="0" w:space="0" w:color="auto"/>
        <w:left w:val="none" w:sz="0" w:space="0" w:color="auto"/>
        <w:bottom w:val="none" w:sz="0" w:space="0" w:color="auto"/>
        <w:right w:val="none" w:sz="0" w:space="0" w:color="auto"/>
      </w:divBdr>
    </w:div>
    <w:div w:id="1554002010">
      <w:bodyDiv w:val="1"/>
      <w:marLeft w:val="0"/>
      <w:marRight w:val="0"/>
      <w:marTop w:val="0"/>
      <w:marBottom w:val="0"/>
      <w:divBdr>
        <w:top w:val="none" w:sz="0" w:space="0" w:color="auto"/>
        <w:left w:val="none" w:sz="0" w:space="0" w:color="auto"/>
        <w:bottom w:val="none" w:sz="0" w:space="0" w:color="auto"/>
        <w:right w:val="none" w:sz="0" w:space="0" w:color="auto"/>
      </w:divBdr>
    </w:div>
    <w:div w:id="1554122816">
      <w:bodyDiv w:val="1"/>
      <w:marLeft w:val="0"/>
      <w:marRight w:val="0"/>
      <w:marTop w:val="0"/>
      <w:marBottom w:val="0"/>
      <w:divBdr>
        <w:top w:val="none" w:sz="0" w:space="0" w:color="auto"/>
        <w:left w:val="none" w:sz="0" w:space="0" w:color="auto"/>
        <w:bottom w:val="none" w:sz="0" w:space="0" w:color="auto"/>
        <w:right w:val="none" w:sz="0" w:space="0" w:color="auto"/>
      </w:divBdr>
    </w:div>
    <w:div w:id="1554197740">
      <w:bodyDiv w:val="1"/>
      <w:marLeft w:val="0"/>
      <w:marRight w:val="0"/>
      <w:marTop w:val="0"/>
      <w:marBottom w:val="0"/>
      <w:divBdr>
        <w:top w:val="none" w:sz="0" w:space="0" w:color="auto"/>
        <w:left w:val="none" w:sz="0" w:space="0" w:color="auto"/>
        <w:bottom w:val="none" w:sz="0" w:space="0" w:color="auto"/>
        <w:right w:val="none" w:sz="0" w:space="0" w:color="auto"/>
      </w:divBdr>
    </w:div>
    <w:div w:id="1554344922">
      <w:bodyDiv w:val="1"/>
      <w:marLeft w:val="0"/>
      <w:marRight w:val="0"/>
      <w:marTop w:val="0"/>
      <w:marBottom w:val="0"/>
      <w:divBdr>
        <w:top w:val="none" w:sz="0" w:space="0" w:color="auto"/>
        <w:left w:val="none" w:sz="0" w:space="0" w:color="auto"/>
        <w:bottom w:val="none" w:sz="0" w:space="0" w:color="auto"/>
        <w:right w:val="none" w:sz="0" w:space="0" w:color="auto"/>
      </w:divBdr>
    </w:div>
    <w:div w:id="1554659774">
      <w:bodyDiv w:val="1"/>
      <w:marLeft w:val="0"/>
      <w:marRight w:val="0"/>
      <w:marTop w:val="0"/>
      <w:marBottom w:val="0"/>
      <w:divBdr>
        <w:top w:val="none" w:sz="0" w:space="0" w:color="auto"/>
        <w:left w:val="none" w:sz="0" w:space="0" w:color="auto"/>
        <w:bottom w:val="none" w:sz="0" w:space="0" w:color="auto"/>
        <w:right w:val="none" w:sz="0" w:space="0" w:color="auto"/>
      </w:divBdr>
    </w:div>
    <w:div w:id="1554808156">
      <w:bodyDiv w:val="1"/>
      <w:marLeft w:val="0"/>
      <w:marRight w:val="0"/>
      <w:marTop w:val="0"/>
      <w:marBottom w:val="0"/>
      <w:divBdr>
        <w:top w:val="none" w:sz="0" w:space="0" w:color="auto"/>
        <w:left w:val="none" w:sz="0" w:space="0" w:color="auto"/>
        <w:bottom w:val="none" w:sz="0" w:space="0" w:color="auto"/>
        <w:right w:val="none" w:sz="0" w:space="0" w:color="auto"/>
      </w:divBdr>
    </w:div>
    <w:div w:id="1555047658">
      <w:bodyDiv w:val="1"/>
      <w:marLeft w:val="0"/>
      <w:marRight w:val="0"/>
      <w:marTop w:val="0"/>
      <w:marBottom w:val="0"/>
      <w:divBdr>
        <w:top w:val="none" w:sz="0" w:space="0" w:color="auto"/>
        <w:left w:val="none" w:sz="0" w:space="0" w:color="auto"/>
        <w:bottom w:val="none" w:sz="0" w:space="0" w:color="auto"/>
        <w:right w:val="none" w:sz="0" w:space="0" w:color="auto"/>
      </w:divBdr>
    </w:div>
    <w:div w:id="1555120316">
      <w:bodyDiv w:val="1"/>
      <w:marLeft w:val="0"/>
      <w:marRight w:val="0"/>
      <w:marTop w:val="0"/>
      <w:marBottom w:val="0"/>
      <w:divBdr>
        <w:top w:val="none" w:sz="0" w:space="0" w:color="auto"/>
        <w:left w:val="none" w:sz="0" w:space="0" w:color="auto"/>
        <w:bottom w:val="none" w:sz="0" w:space="0" w:color="auto"/>
        <w:right w:val="none" w:sz="0" w:space="0" w:color="auto"/>
      </w:divBdr>
    </w:div>
    <w:div w:id="1555313147">
      <w:bodyDiv w:val="1"/>
      <w:marLeft w:val="0"/>
      <w:marRight w:val="0"/>
      <w:marTop w:val="0"/>
      <w:marBottom w:val="0"/>
      <w:divBdr>
        <w:top w:val="none" w:sz="0" w:space="0" w:color="auto"/>
        <w:left w:val="none" w:sz="0" w:space="0" w:color="auto"/>
        <w:bottom w:val="none" w:sz="0" w:space="0" w:color="auto"/>
        <w:right w:val="none" w:sz="0" w:space="0" w:color="auto"/>
      </w:divBdr>
    </w:div>
    <w:div w:id="1555502693">
      <w:bodyDiv w:val="1"/>
      <w:marLeft w:val="0"/>
      <w:marRight w:val="0"/>
      <w:marTop w:val="0"/>
      <w:marBottom w:val="0"/>
      <w:divBdr>
        <w:top w:val="none" w:sz="0" w:space="0" w:color="auto"/>
        <w:left w:val="none" w:sz="0" w:space="0" w:color="auto"/>
        <w:bottom w:val="none" w:sz="0" w:space="0" w:color="auto"/>
        <w:right w:val="none" w:sz="0" w:space="0" w:color="auto"/>
      </w:divBdr>
    </w:div>
    <w:div w:id="1555507526">
      <w:bodyDiv w:val="1"/>
      <w:marLeft w:val="0"/>
      <w:marRight w:val="0"/>
      <w:marTop w:val="0"/>
      <w:marBottom w:val="0"/>
      <w:divBdr>
        <w:top w:val="none" w:sz="0" w:space="0" w:color="auto"/>
        <w:left w:val="none" w:sz="0" w:space="0" w:color="auto"/>
        <w:bottom w:val="none" w:sz="0" w:space="0" w:color="auto"/>
        <w:right w:val="none" w:sz="0" w:space="0" w:color="auto"/>
      </w:divBdr>
    </w:div>
    <w:div w:id="1555582488">
      <w:bodyDiv w:val="1"/>
      <w:marLeft w:val="0"/>
      <w:marRight w:val="0"/>
      <w:marTop w:val="0"/>
      <w:marBottom w:val="0"/>
      <w:divBdr>
        <w:top w:val="none" w:sz="0" w:space="0" w:color="auto"/>
        <w:left w:val="none" w:sz="0" w:space="0" w:color="auto"/>
        <w:bottom w:val="none" w:sz="0" w:space="0" w:color="auto"/>
        <w:right w:val="none" w:sz="0" w:space="0" w:color="auto"/>
      </w:divBdr>
    </w:div>
    <w:div w:id="1555896450">
      <w:bodyDiv w:val="1"/>
      <w:marLeft w:val="0"/>
      <w:marRight w:val="0"/>
      <w:marTop w:val="0"/>
      <w:marBottom w:val="0"/>
      <w:divBdr>
        <w:top w:val="none" w:sz="0" w:space="0" w:color="auto"/>
        <w:left w:val="none" w:sz="0" w:space="0" w:color="auto"/>
        <w:bottom w:val="none" w:sz="0" w:space="0" w:color="auto"/>
        <w:right w:val="none" w:sz="0" w:space="0" w:color="auto"/>
      </w:divBdr>
    </w:div>
    <w:div w:id="1556117260">
      <w:bodyDiv w:val="1"/>
      <w:marLeft w:val="0"/>
      <w:marRight w:val="0"/>
      <w:marTop w:val="0"/>
      <w:marBottom w:val="0"/>
      <w:divBdr>
        <w:top w:val="none" w:sz="0" w:space="0" w:color="auto"/>
        <w:left w:val="none" w:sz="0" w:space="0" w:color="auto"/>
        <w:bottom w:val="none" w:sz="0" w:space="0" w:color="auto"/>
        <w:right w:val="none" w:sz="0" w:space="0" w:color="auto"/>
      </w:divBdr>
    </w:div>
    <w:div w:id="1556165292">
      <w:bodyDiv w:val="1"/>
      <w:marLeft w:val="0"/>
      <w:marRight w:val="0"/>
      <w:marTop w:val="0"/>
      <w:marBottom w:val="0"/>
      <w:divBdr>
        <w:top w:val="none" w:sz="0" w:space="0" w:color="auto"/>
        <w:left w:val="none" w:sz="0" w:space="0" w:color="auto"/>
        <w:bottom w:val="none" w:sz="0" w:space="0" w:color="auto"/>
        <w:right w:val="none" w:sz="0" w:space="0" w:color="auto"/>
      </w:divBdr>
    </w:div>
    <w:div w:id="1556231800">
      <w:bodyDiv w:val="1"/>
      <w:marLeft w:val="0"/>
      <w:marRight w:val="0"/>
      <w:marTop w:val="0"/>
      <w:marBottom w:val="0"/>
      <w:divBdr>
        <w:top w:val="none" w:sz="0" w:space="0" w:color="auto"/>
        <w:left w:val="none" w:sz="0" w:space="0" w:color="auto"/>
        <w:bottom w:val="none" w:sz="0" w:space="0" w:color="auto"/>
        <w:right w:val="none" w:sz="0" w:space="0" w:color="auto"/>
      </w:divBdr>
    </w:div>
    <w:div w:id="1556965876">
      <w:bodyDiv w:val="1"/>
      <w:marLeft w:val="0"/>
      <w:marRight w:val="0"/>
      <w:marTop w:val="0"/>
      <w:marBottom w:val="0"/>
      <w:divBdr>
        <w:top w:val="none" w:sz="0" w:space="0" w:color="auto"/>
        <w:left w:val="none" w:sz="0" w:space="0" w:color="auto"/>
        <w:bottom w:val="none" w:sz="0" w:space="0" w:color="auto"/>
        <w:right w:val="none" w:sz="0" w:space="0" w:color="auto"/>
      </w:divBdr>
    </w:div>
    <w:div w:id="1556970246">
      <w:bodyDiv w:val="1"/>
      <w:marLeft w:val="0"/>
      <w:marRight w:val="0"/>
      <w:marTop w:val="0"/>
      <w:marBottom w:val="0"/>
      <w:divBdr>
        <w:top w:val="none" w:sz="0" w:space="0" w:color="auto"/>
        <w:left w:val="none" w:sz="0" w:space="0" w:color="auto"/>
        <w:bottom w:val="none" w:sz="0" w:space="0" w:color="auto"/>
        <w:right w:val="none" w:sz="0" w:space="0" w:color="auto"/>
      </w:divBdr>
    </w:div>
    <w:div w:id="1557007678">
      <w:bodyDiv w:val="1"/>
      <w:marLeft w:val="0"/>
      <w:marRight w:val="0"/>
      <w:marTop w:val="0"/>
      <w:marBottom w:val="0"/>
      <w:divBdr>
        <w:top w:val="none" w:sz="0" w:space="0" w:color="auto"/>
        <w:left w:val="none" w:sz="0" w:space="0" w:color="auto"/>
        <w:bottom w:val="none" w:sz="0" w:space="0" w:color="auto"/>
        <w:right w:val="none" w:sz="0" w:space="0" w:color="auto"/>
      </w:divBdr>
    </w:div>
    <w:div w:id="1557158500">
      <w:bodyDiv w:val="1"/>
      <w:marLeft w:val="0"/>
      <w:marRight w:val="0"/>
      <w:marTop w:val="0"/>
      <w:marBottom w:val="0"/>
      <w:divBdr>
        <w:top w:val="none" w:sz="0" w:space="0" w:color="auto"/>
        <w:left w:val="none" w:sz="0" w:space="0" w:color="auto"/>
        <w:bottom w:val="none" w:sz="0" w:space="0" w:color="auto"/>
        <w:right w:val="none" w:sz="0" w:space="0" w:color="auto"/>
      </w:divBdr>
    </w:div>
    <w:div w:id="1557159000">
      <w:bodyDiv w:val="1"/>
      <w:marLeft w:val="0"/>
      <w:marRight w:val="0"/>
      <w:marTop w:val="0"/>
      <w:marBottom w:val="0"/>
      <w:divBdr>
        <w:top w:val="none" w:sz="0" w:space="0" w:color="auto"/>
        <w:left w:val="none" w:sz="0" w:space="0" w:color="auto"/>
        <w:bottom w:val="none" w:sz="0" w:space="0" w:color="auto"/>
        <w:right w:val="none" w:sz="0" w:space="0" w:color="auto"/>
      </w:divBdr>
    </w:div>
    <w:div w:id="1557277064">
      <w:bodyDiv w:val="1"/>
      <w:marLeft w:val="0"/>
      <w:marRight w:val="0"/>
      <w:marTop w:val="0"/>
      <w:marBottom w:val="0"/>
      <w:divBdr>
        <w:top w:val="none" w:sz="0" w:space="0" w:color="auto"/>
        <w:left w:val="none" w:sz="0" w:space="0" w:color="auto"/>
        <w:bottom w:val="none" w:sz="0" w:space="0" w:color="auto"/>
        <w:right w:val="none" w:sz="0" w:space="0" w:color="auto"/>
      </w:divBdr>
    </w:div>
    <w:div w:id="1557474702">
      <w:bodyDiv w:val="1"/>
      <w:marLeft w:val="0"/>
      <w:marRight w:val="0"/>
      <w:marTop w:val="0"/>
      <w:marBottom w:val="0"/>
      <w:divBdr>
        <w:top w:val="none" w:sz="0" w:space="0" w:color="auto"/>
        <w:left w:val="none" w:sz="0" w:space="0" w:color="auto"/>
        <w:bottom w:val="none" w:sz="0" w:space="0" w:color="auto"/>
        <w:right w:val="none" w:sz="0" w:space="0" w:color="auto"/>
      </w:divBdr>
    </w:div>
    <w:div w:id="1557858580">
      <w:bodyDiv w:val="1"/>
      <w:marLeft w:val="0"/>
      <w:marRight w:val="0"/>
      <w:marTop w:val="0"/>
      <w:marBottom w:val="0"/>
      <w:divBdr>
        <w:top w:val="none" w:sz="0" w:space="0" w:color="auto"/>
        <w:left w:val="none" w:sz="0" w:space="0" w:color="auto"/>
        <w:bottom w:val="none" w:sz="0" w:space="0" w:color="auto"/>
        <w:right w:val="none" w:sz="0" w:space="0" w:color="auto"/>
      </w:divBdr>
    </w:div>
    <w:div w:id="1558126779">
      <w:bodyDiv w:val="1"/>
      <w:marLeft w:val="0"/>
      <w:marRight w:val="0"/>
      <w:marTop w:val="0"/>
      <w:marBottom w:val="0"/>
      <w:divBdr>
        <w:top w:val="none" w:sz="0" w:space="0" w:color="auto"/>
        <w:left w:val="none" w:sz="0" w:space="0" w:color="auto"/>
        <w:bottom w:val="none" w:sz="0" w:space="0" w:color="auto"/>
        <w:right w:val="none" w:sz="0" w:space="0" w:color="auto"/>
      </w:divBdr>
    </w:div>
    <w:div w:id="1558198219">
      <w:bodyDiv w:val="1"/>
      <w:marLeft w:val="0"/>
      <w:marRight w:val="0"/>
      <w:marTop w:val="0"/>
      <w:marBottom w:val="0"/>
      <w:divBdr>
        <w:top w:val="none" w:sz="0" w:space="0" w:color="auto"/>
        <w:left w:val="none" w:sz="0" w:space="0" w:color="auto"/>
        <w:bottom w:val="none" w:sz="0" w:space="0" w:color="auto"/>
        <w:right w:val="none" w:sz="0" w:space="0" w:color="auto"/>
      </w:divBdr>
    </w:div>
    <w:div w:id="1558203406">
      <w:bodyDiv w:val="1"/>
      <w:marLeft w:val="0"/>
      <w:marRight w:val="0"/>
      <w:marTop w:val="0"/>
      <w:marBottom w:val="0"/>
      <w:divBdr>
        <w:top w:val="none" w:sz="0" w:space="0" w:color="auto"/>
        <w:left w:val="none" w:sz="0" w:space="0" w:color="auto"/>
        <w:bottom w:val="none" w:sz="0" w:space="0" w:color="auto"/>
        <w:right w:val="none" w:sz="0" w:space="0" w:color="auto"/>
      </w:divBdr>
    </w:div>
    <w:div w:id="1558591363">
      <w:bodyDiv w:val="1"/>
      <w:marLeft w:val="0"/>
      <w:marRight w:val="0"/>
      <w:marTop w:val="0"/>
      <w:marBottom w:val="0"/>
      <w:divBdr>
        <w:top w:val="none" w:sz="0" w:space="0" w:color="auto"/>
        <w:left w:val="none" w:sz="0" w:space="0" w:color="auto"/>
        <w:bottom w:val="none" w:sz="0" w:space="0" w:color="auto"/>
        <w:right w:val="none" w:sz="0" w:space="0" w:color="auto"/>
      </w:divBdr>
    </w:div>
    <w:div w:id="1558784049">
      <w:bodyDiv w:val="1"/>
      <w:marLeft w:val="0"/>
      <w:marRight w:val="0"/>
      <w:marTop w:val="0"/>
      <w:marBottom w:val="0"/>
      <w:divBdr>
        <w:top w:val="none" w:sz="0" w:space="0" w:color="auto"/>
        <w:left w:val="none" w:sz="0" w:space="0" w:color="auto"/>
        <w:bottom w:val="none" w:sz="0" w:space="0" w:color="auto"/>
        <w:right w:val="none" w:sz="0" w:space="0" w:color="auto"/>
      </w:divBdr>
    </w:div>
    <w:div w:id="1558786334">
      <w:bodyDiv w:val="1"/>
      <w:marLeft w:val="0"/>
      <w:marRight w:val="0"/>
      <w:marTop w:val="0"/>
      <w:marBottom w:val="0"/>
      <w:divBdr>
        <w:top w:val="none" w:sz="0" w:space="0" w:color="auto"/>
        <w:left w:val="none" w:sz="0" w:space="0" w:color="auto"/>
        <w:bottom w:val="none" w:sz="0" w:space="0" w:color="auto"/>
        <w:right w:val="none" w:sz="0" w:space="0" w:color="auto"/>
      </w:divBdr>
    </w:div>
    <w:div w:id="1558853532">
      <w:bodyDiv w:val="1"/>
      <w:marLeft w:val="0"/>
      <w:marRight w:val="0"/>
      <w:marTop w:val="0"/>
      <w:marBottom w:val="0"/>
      <w:divBdr>
        <w:top w:val="none" w:sz="0" w:space="0" w:color="auto"/>
        <w:left w:val="none" w:sz="0" w:space="0" w:color="auto"/>
        <w:bottom w:val="none" w:sz="0" w:space="0" w:color="auto"/>
        <w:right w:val="none" w:sz="0" w:space="0" w:color="auto"/>
      </w:divBdr>
    </w:div>
    <w:div w:id="1558936805">
      <w:bodyDiv w:val="1"/>
      <w:marLeft w:val="0"/>
      <w:marRight w:val="0"/>
      <w:marTop w:val="0"/>
      <w:marBottom w:val="0"/>
      <w:divBdr>
        <w:top w:val="none" w:sz="0" w:space="0" w:color="auto"/>
        <w:left w:val="none" w:sz="0" w:space="0" w:color="auto"/>
        <w:bottom w:val="none" w:sz="0" w:space="0" w:color="auto"/>
        <w:right w:val="none" w:sz="0" w:space="0" w:color="auto"/>
      </w:divBdr>
    </w:div>
    <w:div w:id="1558979688">
      <w:bodyDiv w:val="1"/>
      <w:marLeft w:val="0"/>
      <w:marRight w:val="0"/>
      <w:marTop w:val="0"/>
      <w:marBottom w:val="0"/>
      <w:divBdr>
        <w:top w:val="none" w:sz="0" w:space="0" w:color="auto"/>
        <w:left w:val="none" w:sz="0" w:space="0" w:color="auto"/>
        <w:bottom w:val="none" w:sz="0" w:space="0" w:color="auto"/>
        <w:right w:val="none" w:sz="0" w:space="0" w:color="auto"/>
      </w:divBdr>
    </w:div>
    <w:div w:id="1559246305">
      <w:bodyDiv w:val="1"/>
      <w:marLeft w:val="0"/>
      <w:marRight w:val="0"/>
      <w:marTop w:val="0"/>
      <w:marBottom w:val="0"/>
      <w:divBdr>
        <w:top w:val="none" w:sz="0" w:space="0" w:color="auto"/>
        <w:left w:val="none" w:sz="0" w:space="0" w:color="auto"/>
        <w:bottom w:val="none" w:sz="0" w:space="0" w:color="auto"/>
        <w:right w:val="none" w:sz="0" w:space="0" w:color="auto"/>
      </w:divBdr>
    </w:div>
    <w:div w:id="1559247360">
      <w:bodyDiv w:val="1"/>
      <w:marLeft w:val="0"/>
      <w:marRight w:val="0"/>
      <w:marTop w:val="0"/>
      <w:marBottom w:val="0"/>
      <w:divBdr>
        <w:top w:val="none" w:sz="0" w:space="0" w:color="auto"/>
        <w:left w:val="none" w:sz="0" w:space="0" w:color="auto"/>
        <w:bottom w:val="none" w:sz="0" w:space="0" w:color="auto"/>
        <w:right w:val="none" w:sz="0" w:space="0" w:color="auto"/>
      </w:divBdr>
    </w:div>
    <w:div w:id="1559364803">
      <w:bodyDiv w:val="1"/>
      <w:marLeft w:val="0"/>
      <w:marRight w:val="0"/>
      <w:marTop w:val="0"/>
      <w:marBottom w:val="0"/>
      <w:divBdr>
        <w:top w:val="none" w:sz="0" w:space="0" w:color="auto"/>
        <w:left w:val="none" w:sz="0" w:space="0" w:color="auto"/>
        <w:bottom w:val="none" w:sz="0" w:space="0" w:color="auto"/>
        <w:right w:val="none" w:sz="0" w:space="0" w:color="auto"/>
      </w:divBdr>
    </w:div>
    <w:div w:id="1559828301">
      <w:bodyDiv w:val="1"/>
      <w:marLeft w:val="0"/>
      <w:marRight w:val="0"/>
      <w:marTop w:val="0"/>
      <w:marBottom w:val="0"/>
      <w:divBdr>
        <w:top w:val="none" w:sz="0" w:space="0" w:color="auto"/>
        <w:left w:val="none" w:sz="0" w:space="0" w:color="auto"/>
        <w:bottom w:val="none" w:sz="0" w:space="0" w:color="auto"/>
        <w:right w:val="none" w:sz="0" w:space="0" w:color="auto"/>
      </w:divBdr>
    </w:div>
    <w:div w:id="1560021021">
      <w:bodyDiv w:val="1"/>
      <w:marLeft w:val="0"/>
      <w:marRight w:val="0"/>
      <w:marTop w:val="0"/>
      <w:marBottom w:val="0"/>
      <w:divBdr>
        <w:top w:val="none" w:sz="0" w:space="0" w:color="auto"/>
        <w:left w:val="none" w:sz="0" w:space="0" w:color="auto"/>
        <w:bottom w:val="none" w:sz="0" w:space="0" w:color="auto"/>
        <w:right w:val="none" w:sz="0" w:space="0" w:color="auto"/>
      </w:divBdr>
    </w:div>
    <w:div w:id="1560171087">
      <w:bodyDiv w:val="1"/>
      <w:marLeft w:val="0"/>
      <w:marRight w:val="0"/>
      <w:marTop w:val="0"/>
      <w:marBottom w:val="0"/>
      <w:divBdr>
        <w:top w:val="none" w:sz="0" w:space="0" w:color="auto"/>
        <w:left w:val="none" w:sz="0" w:space="0" w:color="auto"/>
        <w:bottom w:val="none" w:sz="0" w:space="0" w:color="auto"/>
        <w:right w:val="none" w:sz="0" w:space="0" w:color="auto"/>
      </w:divBdr>
    </w:div>
    <w:div w:id="1560282762">
      <w:bodyDiv w:val="1"/>
      <w:marLeft w:val="0"/>
      <w:marRight w:val="0"/>
      <w:marTop w:val="0"/>
      <w:marBottom w:val="0"/>
      <w:divBdr>
        <w:top w:val="none" w:sz="0" w:space="0" w:color="auto"/>
        <w:left w:val="none" w:sz="0" w:space="0" w:color="auto"/>
        <w:bottom w:val="none" w:sz="0" w:space="0" w:color="auto"/>
        <w:right w:val="none" w:sz="0" w:space="0" w:color="auto"/>
      </w:divBdr>
    </w:div>
    <w:div w:id="1560480414">
      <w:bodyDiv w:val="1"/>
      <w:marLeft w:val="0"/>
      <w:marRight w:val="0"/>
      <w:marTop w:val="0"/>
      <w:marBottom w:val="0"/>
      <w:divBdr>
        <w:top w:val="none" w:sz="0" w:space="0" w:color="auto"/>
        <w:left w:val="none" w:sz="0" w:space="0" w:color="auto"/>
        <w:bottom w:val="none" w:sz="0" w:space="0" w:color="auto"/>
        <w:right w:val="none" w:sz="0" w:space="0" w:color="auto"/>
      </w:divBdr>
    </w:div>
    <w:div w:id="1561014970">
      <w:bodyDiv w:val="1"/>
      <w:marLeft w:val="0"/>
      <w:marRight w:val="0"/>
      <w:marTop w:val="0"/>
      <w:marBottom w:val="0"/>
      <w:divBdr>
        <w:top w:val="none" w:sz="0" w:space="0" w:color="auto"/>
        <w:left w:val="none" w:sz="0" w:space="0" w:color="auto"/>
        <w:bottom w:val="none" w:sz="0" w:space="0" w:color="auto"/>
        <w:right w:val="none" w:sz="0" w:space="0" w:color="auto"/>
      </w:divBdr>
    </w:div>
    <w:div w:id="1561283387">
      <w:bodyDiv w:val="1"/>
      <w:marLeft w:val="0"/>
      <w:marRight w:val="0"/>
      <w:marTop w:val="0"/>
      <w:marBottom w:val="0"/>
      <w:divBdr>
        <w:top w:val="none" w:sz="0" w:space="0" w:color="auto"/>
        <w:left w:val="none" w:sz="0" w:space="0" w:color="auto"/>
        <w:bottom w:val="none" w:sz="0" w:space="0" w:color="auto"/>
        <w:right w:val="none" w:sz="0" w:space="0" w:color="auto"/>
      </w:divBdr>
    </w:div>
    <w:div w:id="1561478645">
      <w:bodyDiv w:val="1"/>
      <w:marLeft w:val="0"/>
      <w:marRight w:val="0"/>
      <w:marTop w:val="0"/>
      <w:marBottom w:val="0"/>
      <w:divBdr>
        <w:top w:val="none" w:sz="0" w:space="0" w:color="auto"/>
        <w:left w:val="none" w:sz="0" w:space="0" w:color="auto"/>
        <w:bottom w:val="none" w:sz="0" w:space="0" w:color="auto"/>
        <w:right w:val="none" w:sz="0" w:space="0" w:color="auto"/>
      </w:divBdr>
    </w:div>
    <w:div w:id="1561480194">
      <w:bodyDiv w:val="1"/>
      <w:marLeft w:val="0"/>
      <w:marRight w:val="0"/>
      <w:marTop w:val="0"/>
      <w:marBottom w:val="0"/>
      <w:divBdr>
        <w:top w:val="none" w:sz="0" w:space="0" w:color="auto"/>
        <w:left w:val="none" w:sz="0" w:space="0" w:color="auto"/>
        <w:bottom w:val="none" w:sz="0" w:space="0" w:color="auto"/>
        <w:right w:val="none" w:sz="0" w:space="0" w:color="auto"/>
      </w:divBdr>
    </w:div>
    <w:div w:id="1561750331">
      <w:bodyDiv w:val="1"/>
      <w:marLeft w:val="0"/>
      <w:marRight w:val="0"/>
      <w:marTop w:val="0"/>
      <w:marBottom w:val="0"/>
      <w:divBdr>
        <w:top w:val="none" w:sz="0" w:space="0" w:color="auto"/>
        <w:left w:val="none" w:sz="0" w:space="0" w:color="auto"/>
        <w:bottom w:val="none" w:sz="0" w:space="0" w:color="auto"/>
        <w:right w:val="none" w:sz="0" w:space="0" w:color="auto"/>
      </w:divBdr>
    </w:div>
    <w:div w:id="1561794679">
      <w:bodyDiv w:val="1"/>
      <w:marLeft w:val="0"/>
      <w:marRight w:val="0"/>
      <w:marTop w:val="0"/>
      <w:marBottom w:val="0"/>
      <w:divBdr>
        <w:top w:val="none" w:sz="0" w:space="0" w:color="auto"/>
        <w:left w:val="none" w:sz="0" w:space="0" w:color="auto"/>
        <w:bottom w:val="none" w:sz="0" w:space="0" w:color="auto"/>
        <w:right w:val="none" w:sz="0" w:space="0" w:color="auto"/>
      </w:divBdr>
    </w:div>
    <w:div w:id="1561942276">
      <w:bodyDiv w:val="1"/>
      <w:marLeft w:val="0"/>
      <w:marRight w:val="0"/>
      <w:marTop w:val="0"/>
      <w:marBottom w:val="0"/>
      <w:divBdr>
        <w:top w:val="none" w:sz="0" w:space="0" w:color="auto"/>
        <w:left w:val="none" w:sz="0" w:space="0" w:color="auto"/>
        <w:bottom w:val="none" w:sz="0" w:space="0" w:color="auto"/>
        <w:right w:val="none" w:sz="0" w:space="0" w:color="auto"/>
      </w:divBdr>
    </w:div>
    <w:div w:id="1561943945">
      <w:bodyDiv w:val="1"/>
      <w:marLeft w:val="0"/>
      <w:marRight w:val="0"/>
      <w:marTop w:val="0"/>
      <w:marBottom w:val="0"/>
      <w:divBdr>
        <w:top w:val="none" w:sz="0" w:space="0" w:color="auto"/>
        <w:left w:val="none" w:sz="0" w:space="0" w:color="auto"/>
        <w:bottom w:val="none" w:sz="0" w:space="0" w:color="auto"/>
        <w:right w:val="none" w:sz="0" w:space="0" w:color="auto"/>
      </w:divBdr>
    </w:div>
    <w:div w:id="1561944150">
      <w:bodyDiv w:val="1"/>
      <w:marLeft w:val="0"/>
      <w:marRight w:val="0"/>
      <w:marTop w:val="0"/>
      <w:marBottom w:val="0"/>
      <w:divBdr>
        <w:top w:val="none" w:sz="0" w:space="0" w:color="auto"/>
        <w:left w:val="none" w:sz="0" w:space="0" w:color="auto"/>
        <w:bottom w:val="none" w:sz="0" w:space="0" w:color="auto"/>
        <w:right w:val="none" w:sz="0" w:space="0" w:color="auto"/>
      </w:divBdr>
    </w:div>
    <w:div w:id="1562132263">
      <w:bodyDiv w:val="1"/>
      <w:marLeft w:val="0"/>
      <w:marRight w:val="0"/>
      <w:marTop w:val="0"/>
      <w:marBottom w:val="0"/>
      <w:divBdr>
        <w:top w:val="none" w:sz="0" w:space="0" w:color="auto"/>
        <w:left w:val="none" w:sz="0" w:space="0" w:color="auto"/>
        <w:bottom w:val="none" w:sz="0" w:space="0" w:color="auto"/>
        <w:right w:val="none" w:sz="0" w:space="0" w:color="auto"/>
      </w:divBdr>
    </w:div>
    <w:div w:id="1562138522">
      <w:bodyDiv w:val="1"/>
      <w:marLeft w:val="0"/>
      <w:marRight w:val="0"/>
      <w:marTop w:val="0"/>
      <w:marBottom w:val="0"/>
      <w:divBdr>
        <w:top w:val="none" w:sz="0" w:space="0" w:color="auto"/>
        <w:left w:val="none" w:sz="0" w:space="0" w:color="auto"/>
        <w:bottom w:val="none" w:sz="0" w:space="0" w:color="auto"/>
        <w:right w:val="none" w:sz="0" w:space="0" w:color="auto"/>
      </w:divBdr>
    </w:div>
    <w:div w:id="1562251246">
      <w:bodyDiv w:val="1"/>
      <w:marLeft w:val="0"/>
      <w:marRight w:val="0"/>
      <w:marTop w:val="0"/>
      <w:marBottom w:val="0"/>
      <w:divBdr>
        <w:top w:val="none" w:sz="0" w:space="0" w:color="auto"/>
        <w:left w:val="none" w:sz="0" w:space="0" w:color="auto"/>
        <w:bottom w:val="none" w:sz="0" w:space="0" w:color="auto"/>
        <w:right w:val="none" w:sz="0" w:space="0" w:color="auto"/>
      </w:divBdr>
    </w:div>
    <w:div w:id="1562593074">
      <w:bodyDiv w:val="1"/>
      <w:marLeft w:val="0"/>
      <w:marRight w:val="0"/>
      <w:marTop w:val="0"/>
      <w:marBottom w:val="0"/>
      <w:divBdr>
        <w:top w:val="none" w:sz="0" w:space="0" w:color="auto"/>
        <w:left w:val="none" w:sz="0" w:space="0" w:color="auto"/>
        <w:bottom w:val="none" w:sz="0" w:space="0" w:color="auto"/>
        <w:right w:val="none" w:sz="0" w:space="0" w:color="auto"/>
      </w:divBdr>
    </w:div>
    <w:div w:id="1562599364">
      <w:bodyDiv w:val="1"/>
      <w:marLeft w:val="0"/>
      <w:marRight w:val="0"/>
      <w:marTop w:val="0"/>
      <w:marBottom w:val="0"/>
      <w:divBdr>
        <w:top w:val="none" w:sz="0" w:space="0" w:color="auto"/>
        <w:left w:val="none" w:sz="0" w:space="0" w:color="auto"/>
        <w:bottom w:val="none" w:sz="0" w:space="0" w:color="auto"/>
        <w:right w:val="none" w:sz="0" w:space="0" w:color="auto"/>
      </w:divBdr>
    </w:div>
    <w:div w:id="1562670799">
      <w:bodyDiv w:val="1"/>
      <w:marLeft w:val="0"/>
      <w:marRight w:val="0"/>
      <w:marTop w:val="0"/>
      <w:marBottom w:val="0"/>
      <w:divBdr>
        <w:top w:val="none" w:sz="0" w:space="0" w:color="auto"/>
        <w:left w:val="none" w:sz="0" w:space="0" w:color="auto"/>
        <w:bottom w:val="none" w:sz="0" w:space="0" w:color="auto"/>
        <w:right w:val="none" w:sz="0" w:space="0" w:color="auto"/>
      </w:divBdr>
    </w:div>
    <w:div w:id="1562713682">
      <w:bodyDiv w:val="1"/>
      <w:marLeft w:val="0"/>
      <w:marRight w:val="0"/>
      <w:marTop w:val="0"/>
      <w:marBottom w:val="0"/>
      <w:divBdr>
        <w:top w:val="none" w:sz="0" w:space="0" w:color="auto"/>
        <w:left w:val="none" w:sz="0" w:space="0" w:color="auto"/>
        <w:bottom w:val="none" w:sz="0" w:space="0" w:color="auto"/>
        <w:right w:val="none" w:sz="0" w:space="0" w:color="auto"/>
      </w:divBdr>
    </w:div>
    <w:div w:id="1562789642">
      <w:bodyDiv w:val="1"/>
      <w:marLeft w:val="0"/>
      <w:marRight w:val="0"/>
      <w:marTop w:val="0"/>
      <w:marBottom w:val="0"/>
      <w:divBdr>
        <w:top w:val="none" w:sz="0" w:space="0" w:color="auto"/>
        <w:left w:val="none" w:sz="0" w:space="0" w:color="auto"/>
        <w:bottom w:val="none" w:sz="0" w:space="0" w:color="auto"/>
        <w:right w:val="none" w:sz="0" w:space="0" w:color="auto"/>
      </w:divBdr>
    </w:div>
    <w:div w:id="1562903581">
      <w:bodyDiv w:val="1"/>
      <w:marLeft w:val="0"/>
      <w:marRight w:val="0"/>
      <w:marTop w:val="0"/>
      <w:marBottom w:val="0"/>
      <w:divBdr>
        <w:top w:val="none" w:sz="0" w:space="0" w:color="auto"/>
        <w:left w:val="none" w:sz="0" w:space="0" w:color="auto"/>
        <w:bottom w:val="none" w:sz="0" w:space="0" w:color="auto"/>
        <w:right w:val="none" w:sz="0" w:space="0" w:color="auto"/>
      </w:divBdr>
    </w:div>
    <w:div w:id="1562910791">
      <w:bodyDiv w:val="1"/>
      <w:marLeft w:val="0"/>
      <w:marRight w:val="0"/>
      <w:marTop w:val="0"/>
      <w:marBottom w:val="0"/>
      <w:divBdr>
        <w:top w:val="none" w:sz="0" w:space="0" w:color="auto"/>
        <w:left w:val="none" w:sz="0" w:space="0" w:color="auto"/>
        <w:bottom w:val="none" w:sz="0" w:space="0" w:color="auto"/>
        <w:right w:val="none" w:sz="0" w:space="0" w:color="auto"/>
      </w:divBdr>
    </w:div>
    <w:div w:id="1563101536">
      <w:bodyDiv w:val="1"/>
      <w:marLeft w:val="0"/>
      <w:marRight w:val="0"/>
      <w:marTop w:val="0"/>
      <w:marBottom w:val="0"/>
      <w:divBdr>
        <w:top w:val="none" w:sz="0" w:space="0" w:color="auto"/>
        <w:left w:val="none" w:sz="0" w:space="0" w:color="auto"/>
        <w:bottom w:val="none" w:sz="0" w:space="0" w:color="auto"/>
        <w:right w:val="none" w:sz="0" w:space="0" w:color="auto"/>
      </w:divBdr>
    </w:div>
    <w:div w:id="1563173088">
      <w:bodyDiv w:val="1"/>
      <w:marLeft w:val="0"/>
      <w:marRight w:val="0"/>
      <w:marTop w:val="0"/>
      <w:marBottom w:val="0"/>
      <w:divBdr>
        <w:top w:val="none" w:sz="0" w:space="0" w:color="auto"/>
        <w:left w:val="none" w:sz="0" w:space="0" w:color="auto"/>
        <w:bottom w:val="none" w:sz="0" w:space="0" w:color="auto"/>
        <w:right w:val="none" w:sz="0" w:space="0" w:color="auto"/>
      </w:divBdr>
    </w:div>
    <w:div w:id="1563251475">
      <w:bodyDiv w:val="1"/>
      <w:marLeft w:val="0"/>
      <w:marRight w:val="0"/>
      <w:marTop w:val="0"/>
      <w:marBottom w:val="0"/>
      <w:divBdr>
        <w:top w:val="none" w:sz="0" w:space="0" w:color="auto"/>
        <w:left w:val="none" w:sz="0" w:space="0" w:color="auto"/>
        <w:bottom w:val="none" w:sz="0" w:space="0" w:color="auto"/>
        <w:right w:val="none" w:sz="0" w:space="0" w:color="auto"/>
      </w:divBdr>
    </w:div>
    <w:div w:id="1563907458">
      <w:bodyDiv w:val="1"/>
      <w:marLeft w:val="0"/>
      <w:marRight w:val="0"/>
      <w:marTop w:val="0"/>
      <w:marBottom w:val="0"/>
      <w:divBdr>
        <w:top w:val="none" w:sz="0" w:space="0" w:color="auto"/>
        <w:left w:val="none" w:sz="0" w:space="0" w:color="auto"/>
        <w:bottom w:val="none" w:sz="0" w:space="0" w:color="auto"/>
        <w:right w:val="none" w:sz="0" w:space="0" w:color="auto"/>
      </w:divBdr>
    </w:div>
    <w:div w:id="1564025988">
      <w:bodyDiv w:val="1"/>
      <w:marLeft w:val="0"/>
      <w:marRight w:val="0"/>
      <w:marTop w:val="0"/>
      <w:marBottom w:val="0"/>
      <w:divBdr>
        <w:top w:val="none" w:sz="0" w:space="0" w:color="auto"/>
        <w:left w:val="none" w:sz="0" w:space="0" w:color="auto"/>
        <w:bottom w:val="none" w:sz="0" w:space="0" w:color="auto"/>
        <w:right w:val="none" w:sz="0" w:space="0" w:color="auto"/>
      </w:divBdr>
    </w:div>
    <w:div w:id="1564172800">
      <w:bodyDiv w:val="1"/>
      <w:marLeft w:val="0"/>
      <w:marRight w:val="0"/>
      <w:marTop w:val="0"/>
      <w:marBottom w:val="0"/>
      <w:divBdr>
        <w:top w:val="none" w:sz="0" w:space="0" w:color="auto"/>
        <w:left w:val="none" w:sz="0" w:space="0" w:color="auto"/>
        <w:bottom w:val="none" w:sz="0" w:space="0" w:color="auto"/>
        <w:right w:val="none" w:sz="0" w:space="0" w:color="auto"/>
      </w:divBdr>
    </w:div>
    <w:div w:id="1564295356">
      <w:bodyDiv w:val="1"/>
      <w:marLeft w:val="0"/>
      <w:marRight w:val="0"/>
      <w:marTop w:val="0"/>
      <w:marBottom w:val="0"/>
      <w:divBdr>
        <w:top w:val="none" w:sz="0" w:space="0" w:color="auto"/>
        <w:left w:val="none" w:sz="0" w:space="0" w:color="auto"/>
        <w:bottom w:val="none" w:sz="0" w:space="0" w:color="auto"/>
        <w:right w:val="none" w:sz="0" w:space="0" w:color="auto"/>
      </w:divBdr>
    </w:div>
    <w:div w:id="1564372131">
      <w:bodyDiv w:val="1"/>
      <w:marLeft w:val="0"/>
      <w:marRight w:val="0"/>
      <w:marTop w:val="0"/>
      <w:marBottom w:val="0"/>
      <w:divBdr>
        <w:top w:val="none" w:sz="0" w:space="0" w:color="auto"/>
        <w:left w:val="none" w:sz="0" w:space="0" w:color="auto"/>
        <w:bottom w:val="none" w:sz="0" w:space="0" w:color="auto"/>
        <w:right w:val="none" w:sz="0" w:space="0" w:color="auto"/>
      </w:divBdr>
    </w:div>
    <w:div w:id="1564683021">
      <w:bodyDiv w:val="1"/>
      <w:marLeft w:val="0"/>
      <w:marRight w:val="0"/>
      <w:marTop w:val="0"/>
      <w:marBottom w:val="0"/>
      <w:divBdr>
        <w:top w:val="none" w:sz="0" w:space="0" w:color="auto"/>
        <w:left w:val="none" w:sz="0" w:space="0" w:color="auto"/>
        <w:bottom w:val="none" w:sz="0" w:space="0" w:color="auto"/>
        <w:right w:val="none" w:sz="0" w:space="0" w:color="auto"/>
      </w:divBdr>
    </w:div>
    <w:div w:id="1564945539">
      <w:bodyDiv w:val="1"/>
      <w:marLeft w:val="0"/>
      <w:marRight w:val="0"/>
      <w:marTop w:val="0"/>
      <w:marBottom w:val="0"/>
      <w:divBdr>
        <w:top w:val="none" w:sz="0" w:space="0" w:color="auto"/>
        <w:left w:val="none" w:sz="0" w:space="0" w:color="auto"/>
        <w:bottom w:val="none" w:sz="0" w:space="0" w:color="auto"/>
        <w:right w:val="none" w:sz="0" w:space="0" w:color="auto"/>
      </w:divBdr>
    </w:div>
    <w:div w:id="1564947699">
      <w:bodyDiv w:val="1"/>
      <w:marLeft w:val="0"/>
      <w:marRight w:val="0"/>
      <w:marTop w:val="0"/>
      <w:marBottom w:val="0"/>
      <w:divBdr>
        <w:top w:val="none" w:sz="0" w:space="0" w:color="auto"/>
        <w:left w:val="none" w:sz="0" w:space="0" w:color="auto"/>
        <w:bottom w:val="none" w:sz="0" w:space="0" w:color="auto"/>
        <w:right w:val="none" w:sz="0" w:space="0" w:color="auto"/>
      </w:divBdr>
    </w:div>
    <w:div w:id="1565021124">
      <w:bodyDiv w:val="1"/>
      <w:marLeft w:val="0"/>
      <w:marRight w:val="0"/>
      <w:marTop w:val="0"/>
      <w:marBottom w:val="0"/>
      <w:divBdr>
        <w:top w:val="none" w:sz="0" w:space="0" w:color="auto"/>
        <w:left w:val="none" w:sz="0" w:space="0" w:color="auto"/>
        <w:bottom w:val="none" w:sz="0" w:space="0" w:color="auto"/>
        <w:right w:val="none" w:sz="0" w:space="0" w:color="auto"/>
      </w:divBdr>
    </w:div>
    <w:div w:id="1565292565">
      <w:bodyDiv w:val="1"/>
      <w:marLeft w:val="0"/>
      <w:marRight w:val="0"/>
      <w:marTop w:val="0"/>
      <w:marBottom w:val="0"/>
      <w:divBdr>
        <w:top w:val="none" w:sz="0" w:space="0" w:color="auto"/>
        <w:left w:val="none" w:sz="0" w:space="0" w:color="auto"/>
        <w:bottom w:val="none" w:sz="0" w:space="0" w:color="auto"/>
        <w:right w:val="none" w:sz="0" w:space="0" w:color="auto"/>
      </w:divBdr>
    </w:div>
    <w:div w:id="1565331481">
      <w:bodyDiv w:val="1"/>
      <w:marLeft w:val="0"/>
      <w:marRight w:val="0"/>
      <w:marTop w:val="0"/>
      <w:marBottom w:val="0"/>
      <w:divBdr>
        <w:top w:val="none" w:sz="0" w:space="0" w:color="auto"/>
        <w:left w:val="none" w:sz="0" w:space="0" w:color="auto"/>
        <w:bottom w:val="none" w:sz="0" w:space="0" w:color="auto"/>
        <w:right w:val="none" w:sz="0" w:space="0" w:color="auto"/>
      </w:divBdr>
    </w:div>
    <w:div w:id="1565489642">
      <w:bodyDiv w:val="1"/>
      <w:marLeft w:val="0"/>
      <w:marRight w:val="0"/>
      <w:marTop w:val="0"/>
      <w:marBottom w:val="0"/>
      <w:divBdr>
        <w:top w:val="none" w:sz="0" w:space="0" w:color="auto"/>
        <w:left w:val="none" w:sz="0" w:space="0" w:color="auto"/>
        <w:bottom w:val="none" w:sz="0" w:space="0" w:color="auto"/>
        <w:right w:val="none" w:sz="0" w:space="0" w:color="auto"/>
      </w:divBdr>
    </w:div>
    <w:div w:id="1565751560">
      <w:bodyDiv w:val="1"/>
      <w:marLeft w:val="0"/>
      <w:marRight w:val="0"/>
      <w:marTop w:val="0"/>
      <w:marBottom w:val="0"/>
      <w:divBdr>
        <w:top w:val="none" w:sz="0" w:space="0" w:color="auto"/>
        <w:left w:val="none" w:sz="0" w:space="0" w:color="auto"/>
        <w:bottom w:val="none" w:sz="0" w:space="0" w:color="auto"/>
        <w:right w:val="none" w:sz="0" w:space="0" w:color="auto"/>
      </w:divBdr>
    </w:div>
    <w:div w:id="1565798957">
      <w:bodyDiv w:val="1"/>
      <w:marLeft w:val="0"/>
      <w:marRight w:val="0"/>
      <w:marTop w:val="0"/>
      <w:marBottom w:val="0"/>
      <w:divBdr>
        <w:top w:val="none" w:sz="0" w:space="0" w:color="auto"/>
        <w:left w:val="none" w:sz="0" w:space="0" w:color="auto"/>
        <w:bottom w:val="none" w:sz="0" w:space="0" w:color="auto"/>
        <w:right w:val="none" w:sz="0" w:space="0" w:color="auto"/>
      </w:divBdr>
    </w:div>
    <w:div w:id="1565943331">
      <w:bodyDiv w:val="1"/>
      <w:marLeft w:val="0"/>
      <w:marRight w:val="0"/>
      <w:marTop w:val="0"/>
      <w:marBottom w:val="0"/>
      <w:divBdr>
        <w:top w:val="none" w:sz="0" w:space="0" w:color="auto"/>
        <w:left w:val="none" w:sz="0" w:space="0" w:color="auto"/>
        <w:bottom w:val="none" w:sz="0" w:space="0" w:color="auto"/>
        <w:right w:val="none" w:sz="0" w:space="0" w:color="auto"/>
      </w:divBdr>
    </w:div>
    <w:div w:id="1565985959">
      <w:bodyDiv w:val="1"/>
      <w:marLeft w:val="0"/>
      <w:marRight w:val="0"/>
      <w:marTop w:val="0"/>
      <w:marBottom w:val="0"/>
      <w:divBdr>
        <w:top w:val="none" w:sz="0" w:space="0" w:color="auto"/>
        <w:left w:val="none" w:sz="0" w:space="0" w:color="auto"/>
        <w:bottom w:val="none" w:sz="0" w:space="0" w:color="auto"/>
        <w:right w:val="none" w:sz="0" w:space="0" w:color="auto"/>
      </w:divBdr>
    </w:div>
    <w:div w:id="1566183605">
      <w:bodyDiv w:val="1"/>
      <w:marLeft w:val="0"/>
      <w:marRight w:val="0"/>
      <w:marTop w:val="0"/>
      <w:marBottom w:val="0"/>
      <w:divBdr>
        <w:top w:val="none" w:sz="0" w:space="0" w:color="auto"/>
        <w:left w:val="none" w:sz="0" w:space="0" w:color="auto"/>
        <w:bottom w:val="none" w:sz="0" w:space="0" w:color="auto"/>
        <w:right w:val="none" w:sz="0" w:space="0" w:color="auto"/>
      </w:divBdr>
    </w:div>
    <w:div w:id="1566379639">
      <w:bodyDiv w:val="1"/>
      <w:marLeft w:val="0"/>
      <w:marRight w:val="0"/>
      <w:marTop w:val="0"/>
      <w:marBottom w:val="0"/>
      <w:divBdr>
        <w:top w:val="none" w:sz="0" w:space="0" w:color="auto"/>
        <w:left w:val="none" w:sz="0" w:space="0" w:color="auto"/>
        <w:bottom w:val="none" w:sz="0" w:space="0" w:color="auto"/>
        <w:right w:val="none" w:sz="0" w:space="0" w:color="auto"/>
      </w:divBdr>
    </w:div>
    <w:div w:id="1566725075">
      <w:bodyDiv w:val="1"/>
      <w:marLeft w:val="0"/>
      <w:marRight w:val="0"/>
      <w:marTop w:val="0"/>
      <w:marBottom w:val="0"/>
      <w:divBdr>
        <w:top w:val="none" w:sz="0" w:space="0" w:color="auto"/>
        <w:left w:val="none" w:sz="0" w:space="0" w:color="auto"/>
        <w:bottom w:val="none" w:sz="0" w:space="0" w:color="auto"/>
        <w:right w:val="none" w:sz="0" w:space="0" w:color="auto"/>
      </w:divBdr>
    </w:div>
    <w:div w:id="1566799841">
      <w:bodyDiv w:val="1"/>
      <w:marLeft w:val="0"/>
      <w:marRight w:val="0"/>
      <w:marTop w:val="0"/>
      <w:marBottom w:val="0"/>
      <w:divBdr>
        <w:top w:val="none" w:sz="0" w:space="0" w:color="auto"/>
        <w:left w:val="none" w:sz="0" w:space="0" w:color="auto"/>
        <w:bottom w:val="none" w:sz="0" w:space="0" w:color="auto"/>
        <w:right w:val="none" w:sz="0" w:space="0" w:color="auto"/>
      </w:divBdr>
    </w:div>
    <w:div w:id="1566837998">
      <w:bodyDiv w:val="1"/>
      <w:marLeft w:val="0"/>
      <w:marRight w:val="0"/>
      <w:marTop w:val="0"/>
      <w:marBottom w:val="0"/>
      <w:divBdr>
        <w:top w:val="none" w:sz="0" w:space="0" w:color="auto"/>
        <w:left w:val="none" w:sz="0" w:space="0" w:color="auto"/>
        <w:bottom w:val="none" w:sz="0" w:space="0" w:color="auto"/>
        <w:right w:val="none" w:sz="0" w:space="0" w:color="auto"/>
      </w:divBdr>
    </w:div>
    <w:div w:id="1566842482">
      <w:bodyDiv w:val="1"/>
      <w:marLeft w:val="0"/>
      <w:marRight w:val="0"/>
      <w:marTop w:val="0"/>
      <w:marBottom w:val="0"/>
      <w:divBdr>
        <w:top w:val="none" w:sz="0" w:space="0" w:color="auto"/>
        <w:left w:val="none" w:sz="0" w:space="0" w:color="auto"/>
        <w:bottom w:val="none" w:sz="0" w:space="0" w:color="auto"/>
        <w:right w:val="none" w:sz="0" w:space="0" w:color="auto"/>
      </w:divBdr>
    </w:div>
    <w:div w:id="1567033431">
      <w:bodyDiv w:val="1"/>
      <w:marLeft w:val="0"/>
      <w:marRight w:val="0"/>
      <w:marTop w:val="0"/>
      <w:marBottom w:val="0"/>
      <w:divBdr>
        <w:top w:val="none" w:sz="0" w:space="0" w:color="auto"/>
        <w:left w:val="none" w:sz="0" w:space="0" w:color="auto"/>
        <w:bottom w:val="none" w:sz="0" w:space="0" w:color="auto"/>
        <w:right w:val="none" w:sz="0" w:space="0" w:color="auto"/>
      </w:divBdr>
    </w:div>
    <w:div w:id="1567061414">
      <w:bodyDiv w:val="1"/>
      <w:marLeft w:val="0"/>
      <w:marRight w:val="0"/>
      <w:marTop w:val="0"/>
      <w:marBottom w:val="0"/>
      <w:divBdr>
        <w:top w:val="none" w:sz="0" w:space="0" w:color="auto"/>
        <w:left w:val="none" w:sz="0" w:space="0" w:color="auto"/>
        <w:bottom w:val="none" w:sz="0" w:space="0" w:color="auto"/>
        <w:right w:val="none" w:sz="0" w:space="0" w:color="auto"/>
      </w:divBdr>
    </w:div>
    <w:div w:id="1567183895">
      <w:bodyDiv w:val="1"/>
      <w:marLeft w:val="0"/>
      <w:marRight w:val="0"/>
      <w:marTop w:val="0"/>
      <w:marBottom w:val="0"/>
      <w:divBdr>
        <w:top w:val="none" w:sz="0" w:space="0" w:color="auto"/>
        <w:left w:val="none" w:sz="0" w:space="0" w:color="auto"/>
        <w:bottom w:val="none" w:sz="0" w:space="0" w:color="auto"/>
        <w:right w:val="none" w:sz="0" w:space="0" w:color="auto"/>
      </w:divBdr>
    </w:div>
    <w:div w:id="1567303602">
      <w:bodyDiv w:val="1"/>
      <w:marLeft w:val="0"/>
      <w:marRight w:val="0"/>
      <w:marTop w:val="0"/>
      <w:marBottom w:val="0"/>
      <w:divBdr>
        <w:top w:val="none" w:sz="0" w:space="0" w:color="auto"/>
        <w:left w:val="none" w:sz="0" w:space="0" w:color="auto"/>
        <w:bottom w:val="none" w:sz="0" w:space="0" w:color="auto"/>
        <w:right w:val="none" w:sz="0" w:space="0" w:color="auto"/>
      </w:divBdr>
    </w:div>
    <w:div w:id="1567567102">
      <w:bodyDiv w:val="1"/>
      <w:marLeft w:val="0"/>
      <w:marRight w:val="0"/>
      <w:marTop w:val="0"/>
      <w:marBottom w:val="0"/>
      <w:divBdr>
        <w:top w:val="none" w:sz="0" w:space="0" w:color="auto"/>
        <w:left w:val="none" w:sz="0" w:space="0" w:color="auto"/>
        <w:bottom w:val="none" w:sz="0" w:space="0" w:color="auto"/>
        <w:right w:val="none" w:sz="0" w:space="0" w:color="auto"/>
      </w:divBdr>
    </w:div>
    <w:div w:id="1567915602">
      <w:bodyDiv w:val="1"/>
      <w:marLeft w:val="0"/>
      <w:marRight w:val="0"/>
      <w:marTop w:val="0"/>
      <w:marBottom w:val="0"/>
      <w:divBdr>
        <w:top w:val="none" w:sz="0" w:space="0" w:color="auto"/>
        <w:left w:val="none" w:sz="0" w:space="0" w:color="auto"/>
        <w:bottom w:val="none" w:sz="0" w:space="0" w:color="auto"/>
        <w:right w:val="none" w:sz="0" w:space="0" w:color="auto"/>
      </w:divBdr>
    </w:div>
    <w:div w:id="1568152893">
      <w:bodyDiv w:val="1"/>
      <w:marLeft w:val="0"/>
      <w:marRight w:val="0"/>
      <w:marTop w:val="0"/>
      <w:marBottom w:val="0"/>
      <w:divBdr>
        <w:top w:val="none" w:sz="0" w:space="0" w:color="auto"/>
        <w:left w:val="none" w:sz="0" w:space="0" w:color="auto"/>
        <w:bottom w:val="none" w:sz="0" w:space="0" w:color="auto"/>
        <w:right w:val="none" w:sz="0" w:space="0" w:color="auto"/>
      </w:divBdr>
    </w:div>
    <w:div w:id="1568154041">
      <w:bodyDiv w:val="1"/>
      <w:marLeft w:val="0"/>
      <w:marRight w:val="0"/>
      <w:marTop w:val="0"/>
      <w:marBottom w:val="0"/>
      <w:divBdr>
        <w:top w:val="none" w:sz="0" w:space="0" w:color="auto"/>
        <w:left w:val="none" w:sz="0" w:space="0" w:color="auto"/>
        <w:bottom w:val="none" w:sz="0" w:space="0" w:color="auto"/>
        <w:right w:val="none" w:sz="0" w:space="0" w:color="auto"/>
      </w:divBdr>
    </w:div>
    <w:div w:id="1568342647">
      <w:bodyDiv w:val="1"/>
      <w:marLeft w:val="0"/>
      <w:marRight w:val="0"/>
      <w:marTop w:val="0"/>
      <w:marBottom w:val="0"/>
      <w:divBdr>
        <w:top w:val="none" w:sz="0" w:space="0" w:color="auto"/>
        <w:left w:val="none" w:sz="0" w:space="0" w:color="auto"/>
        <w:bottom w:val="none" w:sz="0" w:space="0" w:color="auto"/>
        <w:right w:val="none" w:sz="0" w:space="0" w:color="auto"/>
      </w:divBdr>
    </w:div>
    <w:div w:id="1568370600">
      <w:bodyDiv w:val="1"/>
      <w:marLeft w:val="0"/>
      <w:marRight w:val="0"/>
      <w:marTop w:val="0"/>
      <w:marBottom w:val="0"/>
      <w:divBdr>
        <w:top w:val="none" w:sz="0" w:space="0" w:color="auto"/>
        <w:left w:val="none" w:sz="0" w:space="0" w:color="auto"/>
        <w:bottom w:val="none" w:sz="0" w:space="0" w:color="auto"/>
        <w:right w:val="none" w:sz="0" w:space="0" w:color="auto"/>
      </w:divBdr>
    </w:div>
    <w:div w:id="1568564154">
      <w:bodyDiv w:val="1"/>
      <w:marLeft w:val="0"/>
      <w:marRight w:val="0"/>
      <w:marTop w:val="0"/>
      <w:marBottom w:val="0"/>
      <w:divBdr>
        <w:top w:val="none" w:sz="0" w:space="0" w:color="auto"/>
        <w:left w:val="none" w:sz="0" w:space="0" w:color="auto"/>
        <w:bottom w:val="none" w:sz="0" w:space="0" w:color="auto"/>
        <w:right w:val="none" w:sz="0" w:space="0" w:color="auto"/>
      </w:divBdr>
    </w:div>
    <w:div w:id="1568567778">
      <w:bodyDiv w:val="1"/>
      <w:marLeft w:val="0"/>
      <w:marRight w:val="0"/>
      <w:marTop w:val="0"/>
      <w:marBottom w:val="0"/>
      <w:divBdr>
        <w:top w:val="none" w:sz="0" w:space="0" w:color="auto"/>
        <w:left w:val="none" w:sz="0" w:space="0" w:color="auto"/>
        <w:bottom w:val="none" w:sz="0" w:space="0" w:color="auto"/>
        <w:right w:val="none" w:sz="0" w:space="0" w:color="auto"/>
      </w:divBdr>
    </w:div>
    <w:div w:id="1568804483">
      <w:bodyDiv w:val="1"/>
      <w:marLeft w:val="0"/>
      <w:marRight w:val="0"/>
      <w:marTop w:val="0"/>
      <w:marBottom w:val="0"/>
      <w:divBdr>
        <w:top w:val="none" w:sz="0" w:space="0" w:color="auto"/>
        <w:left w:val="none" w:sz="0" w:space="0" w:color="auto"/>
        <w:bottom w:val="none" w:sz="0" w:space="0" w:color="auto"/>
        <w:right w:val="none" w:sz="0" w:space="0" w:color="auto"/>
      </w:divBdr>
    </w:div>
    <w:div w:id="1568953079">
      <w:bodyDiv w:val="1"/>
      <w:marLeft w:val="0"/>
      <w:marRight w:val="0"/>
      <w:marTop w:val="0"/>
      <w:marBottom w:val="0"/>
      <w:divBdr>
        <w:top w:val="none" w:sz="0" w:space="0" w:color="auto"/>
        <w:left w:val="none" w:sz="0" w:space="0" w:color="auto"/>
        <w:bottom w:val="none" w:sz="0" w:space="0" w:color="auto"/>
        <w:right w:val="none" w:sz="0" w:space="0" w:color="auto"/>
      </w:divBdr>
    </w:div>
    <w:div w:id="1569076566">
      <w:bodyDiv w:val="1"/>
      <w:marLeft w:val="0"/>
      <w:marRight w:val="0"/>
      <w:marTop w:val="0"/>
      <w:marBottom w:val="0"/>
      <w:divBdr>
        <w:top w:val="none" w:sz="0" w:space="0" w:color="auto"/>
        <w:left w:val="none" w:sz="0" w:space="0" w:color="auto"/>
        <w:bottom w:val="none" w:sz="0" w:space="0" w:color="auto"/>
        <w:right w:val="none" w:sz="0" w:space="0" w:color="auto"/>
      </w:divBdr>
    </w:div>
    <w:div w:id="1569194464">
      <w:bodyDiv w:val="1"/>
      <w:marLeft w:val="0"/>
      <w:marRight w:val="0"/>
      <w:marTop w:val="0"/>
      <w:marBottom w:val="0"/>
      <w:divBdr>
        <w:top w:val="none" w:sz="0" w:space="0" w:color="auto"/>
        <w:left w:val="none" w:sz="0" w:space="0" w:color="auto"/>
        <w:bottom w:val="none" w:sz="0" w:space="0" w:color="auto"/>
        <w:right w:val="none" w:sz="0" w:space="0" w:color="auto"/>
      </w:divBdr>
    </w:div>
    <w:div w:id="1569223119">
      <w:bodyDiv w:val="1"/>
      <w:marLeft w:val="0"/>
      <w:marRight w:val="0"/>
      <w:marTop w:val="0"/>
      <w:marBottom w:val="0"/>
      <w:divBdr>
        <w:top w:val="none" w:sz="0" w:space="0" w:color="auto"/>
        <w:left w:val="none" w:sz="0" w:space="0" w:color="auto"/>
        <w:bottom w:val="none" w:sz="0" w:space="0" w:color="auto"/>
        <w:right w:val="none" w:sz="0" w:space="0" w:color="auto"/>
      </w:divBdr>
    </w:div>
    <w:div w:id="1569262714">
      <w:bodyDiv w:val="1"/>
      <w:marLeft w:val="0"/>
      <w:marRight w:val="0"/>
      <w:marTop w:val="0"/>
      <w:marBottom w:val="0"/>
      <w:divBdr>
        <w:top w:val="none" w:sz="0" w:space="0" w:color="auto"/>
        <w:left w:val="none" w:sz="0" w:space="0" w:color="auto"/>
        <w:bottom w:val="none" w:sz="0" w:space="0" w:color="auto"/>
        <w:right w:val="none" w:sz="0" w:space="0" w:color="auto"/>
      </w:divBdr>
    </w:div>
    <w:div w:id="1569416836">
      <w:bodyDiv w:val="1"/>
      <w:marLeft w:val="0"/>
      <w:marRight w:val="0"/>
      <w:marTop w:val="0"/>
      <w:marBottom w:val="0"/>
      <w:divBdr>
        <w:top w:val="none" w:sz="0" w:space="0" w:color="auto"/>
        <w:left w:val="none" w:sz="0" w:space="0" w:color="auto"/>
        <w:bottom w:val="none" w:sz="0" w:space="0" w:color="auto"/>
        <w:right w:val="none" w:sz="0" w:space="0" w:color="auto"/>
      </w:divBdr>
    </w:div>
    <w:div w:id="1569487743">
      <w:bodyDiv w:val="1"/>
      <w:marLeft w:val="0"/>
      <w:marRight w:val="0"/>
      <w:marTop w:val="0"/>
      <w:marBottom w:val="0"/>
      <w:divBdr>
        <w:top w:val="none" w:sz="0" w:space="0" w:color="auto"/>
        <w:left w:val="none" w:sz="0" w:space="0" w:color="auto"/>
        <w:bottom w:val="none" w:sz="0" w:space="0" w:color="auto"/>
        <w:right w:val="none" w:sz="0" w:space="0" w:color="auto"/>
      </w:divBdr>
    </w:div>
    <w:div w:id="1569608882">
      <w:bodyDiv w:val="1"/>
      <w:marLeft w:val="0"/>
      <w:marRight w:val="0"/>
      <w:marTop w:val="0"/>
      <w:marBottom w:val="0"/>
      <w:divBdr>
        <w:top w:val="none" w:sz="0" w:space="0" w:color="auto"/>
        <w:left w:val="none" w:sz="0" w:space="0" w:color="auto"/>
        <w:bottom w:val="none" w:sz="0" w:space="0" w:color="auto"/>
        <w:right w:val="none" w:sz="0" w:space="0" w:color="auto"/>
      </w:divBdr>
    </w:div>
    <w:div w:id="1569923508">
      <w:bodyDiv w:val="1"/>
      <w:marLeft w:val="0"/>
      <w:marRight w:val="0"/>
      <w:marTop w:val="0"/>
      <w:marBottom w:val="0"/>
      <w:divBdr>
        <w:top w:val="none" w:sz="0" w:space="0" w:color="auto"/>
        <w:left w:val="none" w:sz="0" w:space="0" w:color="auto"/>
        <w:bottom w:val="none" w:sz="0" w:space="0" w:color="auto"/>
        <w:right w:val="none" w:sz="0" w:space="0" w:color="auto"/>
      </w:divBdr>
    </w:div>
    <w:div w:id="1570340683">
      <w:bodyDiv w:val="1"/>
      <w:marLeft w:val="0"/>
      <w:marRight w:val="0"/>
      <w:marTop w:val="0"/>
      <w:marBottom w:val="0"/>
      <w:divBdr>
        <w:top w:val="none" w:sz="0" w:space="0" w:color="auto"/>
        <w:left w:val="none" w:sz="0" w:space="0" w:color="auto"/>
        <w:bottom w:val="none" w:sz="0" w:space="0" w:color="auto"/>
        <w:right w:val="none" w:sz="0" w:space="0" w:color="auto"/>
      </w:divBdr>
    </w:div>
    <w:div w:id="1570652150">
      <w:bodyDiv w:val="1"/>
      <w:marLeft w:val="0"/>
      <w:marRight w:val="0"/>
      <w:marTop w:val="0"/>
      <w:marBottom w:val="0"/>
      <w:divBdr>
        <w:top w:val="none" w:sz="0" w:space="0" w:color="auto"/>
        <w:left w:val="none" w:sz="0" w:space="0" w:color="auto"/>
        <w:bottom w:val="none" w:sz="0" w:space="0" w:color="auto"/>
        <w:right w:val="none" w:sz="0" w:space="0" w:color="auto"/>
      </w:divBdr>
    </w:div>
    <w:div w:id="1570770470">
      <w:bodyDiv w:val="1"/>
      <w:marLeft w:val="0"/>
      <w:marRight w:val="0"/>
      <w:marTop w:val="0"/>
      <w:marBottom w:val="0"/>
      <w:divBdr>
        <w:top w:val="none" w:sz="0" w:space="0" w:color="auto"/>
        <w:left w:val="none" w:sz="0" w:space="0" w:color="auto"/>
        <w:bottom w:val="none" w:sz="0" w:space="0" w:color="auto"/>
        <w:right w:val="none" w:sz="0" w:space="0" w:color="auto"/>
      </w:divBdr>
    </w:div>
    <w:div w:id="1571038703">
      <w:bodyDiv w:val="1"/>
      <w:marLeft w:val="0"/>
      <w:marRight w:val="0"/>
      <w:marTop w:val="0"/>
      <w:marBottom w:val="0"/>
      <w:divBdr>
        <w:top w:val="none" w:sz="0" w:space="0" w:color="auto"/>
        <w:left w:val="none" w:sz="0" w:space="0" w:color="auto"/>
        <w:bottom w:val="none" w:sz="0" w:space="0" w:color="auto"/>
        <w:right w:val="none" w:sz="0" w:space="0" w:color="auto"/>
      </w:divBdr>
    </w:div>
    <w:div w:id="1571236528">
      <w:bodyDiv w:val="1"/>
      <w:marLeft w:val="0"/>
      <w:marRight w:val="0"/>
      <w:marTop w:val="0"/>
      <w:marBottom w:val="0"/>
      <w:divBdr>
        <w:top w:val="none" w:sz="0" w:space="0" w:color="auto"/>
        <w:left w:val="none" w:sz="0" w:space="0" w:color="auto"/>
        <w:bottom w:val="none" w:sz="0" w:space="0" w:color="auto"/>
        <w:right w:val="none" w:sz="0" w:space="0" w:color="auto"/>
      </w:divBdr>
    </w:div>
    <w:div w:id="1571303010">
      <w:bodyDiv w:val="1"/>
      <w:marLeft w:val="0"/>
      <w:marRight w:val="0"/>
      <w:marTop w:val="0"/>
      <w:marBottom w:val="0"/>
      <w:divBdr>
        <w:top w:val="none" w:sz="0" w:space="0" w:color="auto"/>
        <w:left w:val="none" w:sz="0" w:space="0" w:color="auto"/>
        <w:bottom w:val="none" w:sz="0" w:space="0" w:color="auto"/>
        <w:right w:val="none" w:sz="0" w:space="0" w:color="auto"/>
      </w:divBdr>
    </w:div>
    <w:div w:id="1571426162">
      <w:bodyDiv w:val="1"/>
      <w:marLeft w:val="0"/>
      <w:marRight w:val="0"/>
      <w:marTop w:val="0"/>
      <w:marBottom w:val="0"/>
      <w:divBdr>
        <w:top w:val="none" w:sz="0" w:space="0" w:color="auto"/>
        <w:left w:val="none" w:sz="0" w:space="0" w:color="auto"/>
        <w:bottom w:val="none" w:sz="0" w:space="0" w:color="auto"/>
        <w:right w:val="none" w:sz="0" w:space="0" w:color="auto"/>
      </w:divBdr>
    </w:div>
    <w:div w:id="1571430435">
      <w:bodyDiv w:val="1"/>
      <w:marLeft w:val="0"/>
      <w:marRight w:val="0"/>
      <w:marTop w:val="0"/>
      <w:marBottom w:val="0"/>
      <w:divBdr>
        <w:top w:val="none" w:sz="0" w:space="0" w:color="auto"/>
        <w:left w:val="none" w:sz="0" w:space="0" w:color="auto"/>
        <w:bottom w:val="none" w:sz="0" w:space="0" w:color="auto"/>
        <w:right w:val="none" w:sz="0" w:space="0" w:color="auto"/>
      </w:divBdr>
    </w:div>
    <w:div w:id="1571846204">
      <w:bodyDiv w:val="1"/>
      <w:marLeft w:val="0"/>
      <w:marRight w:val="0"/>
      <w:marTop w:val="0"/>
      <w:marBottom w:val="0"/>
      <w:divBdr>
        <w:top w:val="none" w:sz="0" w:space="0" w:color="auto"/>
        <w:left w:val="none" w:sz="0" w:space="0" w:color="auto"/>
        <w:bottom w:val="none" w:sz="0" w:space="0" w:color="auto"/>
        <w:right w:val="none" w:sz="0" w:space="0" w:color="auto"/>
      </w:divBdr>
    </w:div>
    <w:div w:id="1571958523">
      <w:bodyDiv w:val="1"/>
      <w:marLeft w:val="0"/>
      <w:marRight w:val="0"/>
      <w:marTop w:val="0"/>
      <w:marBottom w:val="0"/>
      <w:divBdr>
        <w:top w:val="none" w:sz="0" w:space="0" w:color="auto"/>
        <w:left w:val="none" w:sz="0" w:space="0" w:color="auto"/>
        <w:bottom w:val="none" w:sz="0" w:space="0" w:color="auto"/>
        <w:right w:val="none" w:sz="0" w:space="0" w:color="auto"/>
      </w:divBdr>
    </w:div>
    <w:div w:id="1571963956">
      <w:bodyDiv w:val="1"/>
      <w:marLeft w:val="0"/>
      <w:marRight w:val="0"/>
      <w:marTop w:val="0"/>
      <w:marBottom w:val="0"/>
      <w:divBdr>
        <w:top w:val="none" w:sz="0" w:space="0" w:color="auto"/>
        <w:left w:val="none" w:sz="0" w:space="0" w:color="auto"/>
        <w:bottom w:val="none" w:sz="0" w:space="0" w:color="auto"/>
        <w:right w:val="none" w:sz="0" w:space="0" w:color="auto"/>
      </w:divBdr>
    </w:div>
    <w:div w:id="1572033763">
      <w:bodyDiv w:val="1"/>
      <w:marLeft w:val="0"/>
      <w:marRight w:val="0"/>
      <w:marTop w:val="0"/>
      <w:marBottom w:val="0"/>
      <w:divBdr>
        <w:top w:val="none" w:sz="0" w:space="0" w:color="auto"/>
        <w:left w:val="none" w:sz="0" w:space="0" w:color="auto"/>
        <w:bottom w:val="none" w:sz="0" w:space="0" w:color="auto"/>
        <w:right w:val="none" w:sz="0" w:space="0" w:color="auto"/>
      </w:divBdr>
    </w:div>
    <w:div w:id="1572036108">
      <w:bodyDiv w:val="1"/>
      <w:marLeft w:val="0"/>
      <w:marRight w:val="0"/>
      <w:marTop w:val="0"/>
      <w:marBottom w:val="0"/>
      <w:divBdr>
        <w:top w:val="none" w:sz="0" w:space="0" w:color="auto"/>
        <w:left w:val="none" w:sz="0" w:space="0" w:color="auto"/>
        <w:bottom w:val="none" w:sz="0" w:space="0" w:color="auto"/>
        <w:right w:val="none" w:sz="0" w:space="0" w:color="auto"/>
      </w:divBdr>
    </w:div>
    <w:div w:id="1572083184">
      <w:bodyDiv w:val="1"/>
      <w:marLeft w:val="0"/>
      <w:marRight w:val="0"/>
      <w:marTop w:val="0"/>
      <w:marBottom w:val="0"/>
      <w:divBdr>
        <w:top w:val="none" w:sz="0" w:space="0" w:color="auto"/>
        <w:left w:val="none" w:sz="0" w:space="0" w:color="auto"/>
        <w:bottom w:val="none" w:sz="0" w:space="0" w:color="auto"/>
        <w:right w:val="none" w:sz="0" w:space="0" w:color="auto"/>
      </w:divBdr>
    </w:div>
    <w:div w:id="1572153212">
      <w:bodyDiv w:val="1"/>
      <w:marLeft w:val="0"/>
      <w:marRight w:val="0"/>
      <w:marTop w:val="0"/>
      <w:marBottom w:val="0"/>
      <w:divBdr>
        <w:top w:val="none" w:sz="0" w:space="0" w:color="auto"/>
        <w:left w:val="none" w:sz="0" w:space="0" w:color="auto"/>
        <w:bottom w:val="none" w:sz="0" w:space="0" w:color="auto"/>
        <w:right w:val="none" w:sz="0" w:space="0" w:color="auto"/>
      </w:divBdr>
    </w:div>
    <w:div w:id="1572305379">
      <w:bodyDiv w:val="1"/>
      <w:marLeft w:val="0"/>
      <w:marRight w:val="0"/>
      <w:marTop w:val="0"/>
      <w:marBottom w:val="0"/>
      <w:divBdr>
        <w:top w:val="none" w:sz="0" w:space="0" w:color="auto"/>
        <w:left w:val="none" w:sz="0" w:space="0" w:color="auto"/>
        <w:bottom w:val="none" w:sz="0" w:space="0" w:color="auto"/>
        <w:right w:val="none" w:sz="0" w:space="0" w:color="auto"/>
      </w:divBdr>
    </w:div>
    <w:div w:id="1572351129">
      <w:bodyDiv w:val="1"/>
      <w:marLeft w:val="0"/>
      <w:marRight w:val="0"/>
      <w:marTop w:val="0"/>
      <w:marBottom w:val="0"/>
      <w:divBdr>
        <w:top w:val="none" w:sz="0" w:space="0" w:color="auto"/>
        <w:left w:val="none" w:sz="0" w:space="0" w:color="auto"/>
        <w:bottom w:val="none" w:sz="0" w:space="0" w:color="auto"/>
        <w:right w:val="none" w:sz="0" w:space="0" w:color="auto"/>
      </w:divBdr>
    </w:div>
    <w:div w:id="1572498716">
      <w:bodyDiv w:val="1"/>
      <w:marLeft w:val="0"/>
      <w:marRight w:val="0"/>
      <w:marTop w:val="0"/>
      <w:marBottom w:val="0"/>
      <w:divBdr>
        <w:top w:val="none" w:sz="0" w:space="0" w:color="auto"/>
        <w:left w:val="none" w:sz="0" w:space="0" w:color="auto"/>
        <w:bottom w:val="none" w:sz="0" w:space="0" w:color="auto"/>
        <w:right w:val="none" w:sz="0" w:space="0" w:color="auto"/>
      </w:divBdr>
    </w:div>
    <w:div w:id="1572502337">
      <w:bodyDiv w:val="1"/>
      <w:marLeft w:val="0"/>
      <w:marRight w:val="0"/>
      <w:marTop w:val="0"/>
      <w:marBottom w:val="0"/>
      <w:divBdr>
        <w:top w:val="none" w:sz="0" w:space="0" w:color="auto"/>
        <w:left w:val="none" w:sz="0" w:space="0" w:color="auto"/>
        <w:bottom w:val="none" w:sz="0" w:space="0" w:color="auto"/>
        <w:right w:val="none" w:sz="0" w:space="0" w:color="auto"/>
      </w:divBdr>
    </w:div>
    <w:div w:id="1572765540">
      <w:bodyDiv w:val="1"/>
      <w:marLeft w:val="0"/>
      <w:marRight w:val="0"/>
      <w:marTop w:val="0"/>
      <w:marBottom w:val="0"/>
      <w:divBdr>
        <w:top w:val="none" w:sz="0" w:space="0" w:color="auto"/>
        <w:left w:val="none" w:sz="0" w:space="0" w:color="auto"/>
        <w:bottom w:val="none" w:sz="0" w:space="0" w:color="auto"/>
        <w:right w:val="none" w:sz="0" w:space="0" w:color="auto"/>
      </w:divBdr>
    </w:div>
    <w:div w:id="1573198335">
      <w:bodyDiv w:val="1"/>
      <w:marLeft w:val="0"/>
      <w:marRight w:val="0"/>
      <w:marTop w:val="0"/>
      <w:marBottom w:val="0"/>
      <w:divBdr>
        <w:top w:val="none" w:sz="0" w:space="0" w:color="auto"/>
        <w:left w:val="none" w:sz="0" w:space="0" w:color="auto"/>
        <w:bottom w:val="none" w:sz="0" w:space="0" w:color="auto"/>
        <w:right w:val="none" w:sz="0" w:space="0" w:color="auto"/>
      </w:divBdr>
    </w:div>
    <w:div w:id="1573541980">
      <w:bodyDiv w:val="1"/>
      <w:marLeft w:val="0"/>
      <w:marRight w:val="0"/>
      <w:marTop w:val="0"/>
      <w:marBottom w:val="0"/>
      <w:divBdr>
        <w:top w:val="none" w:sz="0" w:space="0" w:color="auto"/>
        <w:left w:val="none" w:sz="0" w:space="0" w:color="auto"/>
        <w:bottom w:val="none" w:sz="0" w:space="0" w:color="auto"/>
        <w:right w:val="none" w:sz="0" w:space="0" w:color="auto"/>
      </w:divBdr>
    </w:div>
    <w:div w:id="1573659245">
      <w:bodyDiv w:val="1"/>
      <w:marLeft w:val="0"/>
      <w:marRight w:val="0"/>
      <w:marTop w:val="0"/>
      <w:marBottom w:val="0"/>
      <w:divBdr>
        <w:top w:val="none" w:sz="0" w:space="0" w:color="auto"/>
        <w:left w:val="none" w:sz="0" w:space="0" w:color="auto"/>
        <w:bottom w:val="none" w:sz="0" w:space="0" w:color="auto"/>
        <w:right w:val="none" w:sz="0" w:space="0" w:color="auto"/>
      </w:divBdr>
    </w:div>
    <w:div w:id="1573730741">
      <w:bodyDiv w:val="1"/>
      <w:marLeft w:val="0"/>
      <w:marRight w:val="0"/>
      <w:marTop w:val="0"/>
      <w:marBottom w:val="0"/>
      <w:divBdr>
        <w:top w:val="none" w:sz="0" w:space="0" w:color="auto"/>
        <w:left w:val="none" w:sz="0" w:space="0" w:color="auto"/>
        <w:bottom w:val="none" w:sz="0" w:space="0" w:color="auto"/>
        <w:right w:val="none" w:sz="0" w:space="0" w:color="auto"/>
      </w:divBdr>
    </w:div>
    <w:div w:id="1573806756">
      <w:bodyDiv w:val="1"/>
      <w:marLeft w:val="0"/>
      <w:marRight w:val="0"/>
      <w:marTop w:val="0"/>
      <w:marBottom w:val="0"/>
      <w:divBdr>
        <w:top w:val="none" w:sz="0" w:space="0" w:color="auto"/>
        <w:left w:val="none" w:sz="0" w:space="0" w:color="auto"/>
        <w:bottom w:val="none" w:sz="0" w:space="0" w:color="auto"/>
        <w:right w:val="none" w:sz="0" w:space="0" w:color="auto"/>
      </w:divBdr>
    </w:div>
    <w:div w:id="1573929722">
      <w:bodyDiv w:val="1"/>
      <w:marLeft w:val="0"/>
      <w:marRight w:val="0"/>
      <w:marTop w:val="0"/>
      <w:marBottom w:val="0"/>
      <w:divBdr>
        <w:top w:val="none" w:sz="0" w:space="0" w:color="auto"/>
        <w:left w:val="none" w:sz="0" w:space="0" w:color="auto"/>
        <w:bottom w:val="none" w:sz="0" w:space="0" w:color="auto"/>
        <w:right w:val="none" w:sz="0" w:space="0" w:color="auto"/>
      </w:divBdr>
    </w:div>
    <w:div w:id="1573999844">
      <w:bodyDiv w:val="1"/>
      <w:marLeft w:val="0"/>
      <w:marRight w:val="0"/>
      <w:marTop w:val="0"/>
      <w:marBottom w:val="0"/>
      <w:divBdr>
        <w:top w:val="none" w:sz="0" w:space="0" w:color="auto"/>
        <w:left w:val="none" w:sz="0" w:space="0" w:color="auto"/>
        <w:bottom w:val="none" w:sz="0" w:space="0" w:color="auto"/>
        <w:right w:val="none" w:sz="0" w:space="0" w:color="auto"/>
      </w:divBdr>
    </w:div>
    <w:div w:id="1574192926">
      <w:bodyDiv w:val="1"/>
      <w:marLeft w:val="0"/>
      <w:marRight w:val="0"/>
      <w:marTop w:val="0"/>
      <w:marBottom w:val="0"/>
      <w:divBdr>
        <w:top w:val="none" w:sz="0" w:space="0" w:color="auto"/>
        <w:left w:val="none" w:sz="0" w:space="0" w:color="auto"/>
        <w:bottom w:val="none" w:sz="0" w:space="0" w:color="auto"/>
        <w:right w:val="none" w:sz="0" w:space="0" w:color="auto"/>
      </w:divBdr>
    </w:div>
    <w:div w:id="1574197568">
      <w:bodyDiv w:val="1"/>
      <w:marLeft w:val="0"/>
      <w:marRight w:val="0"/>
      <w:marTop w:val="0"/>
      <w:marBottom w:val="0"/>
      <w:divBdr>
        <w:top w:val="none" w:sz="0" w:space="0" w:color="auto"/>
        <w:left w:val="none" w:sz="0" w:space="0" w:color="auto"/>
        <w:bottom w:val="none" w:sz="0" w:space="0" w:color="auto"/>
        <w:right w:val="none" w:sz="0" w:space="0" w:color="auto"/>
      </w:divBdr>
    </w:div>
    <w:div w:id="1574393454">
      <w:bodyDiv w:val="1"/>
      <w:marLeft w:val="0"/>
      <w:marRight w:val="0"/>
      <w:marTop w:val="0"/>
      <w:marBottom w:val="0"/>
      <w:divBdr>
        <w:top w:val="none" w:sz="0" w:space="0" w:color="auto"/>
        <w:left w:val="none" w:sz="0" w:space="0" w:color="auto"/>
        <w:bottom w:val="none" w:sz="0" w:space="0" w:color="auto"/>
        <w:right w:val="none" w:sz="0" w:space="0" w:color="auto"/>
      </w:divBdr>
    </w:div>
    <w:div w:id="1574975462">
      <w:bodyDiv w:val="1"/>
      <w:marLeft w:val="0"/>
      <w:marRight w:val="0"/>
      <w:marTop w:val="0"/>
      <w:marBottom w:val="0"/>
      <w:divBdr>
        <w:top w:val="none" w:sz="0" w:space="0" w:color="auto"/>
        <w:left w:val="none" w:sz="0" w:space="0" w:color="auto"/>
        <w:bottom w:val="none" w:sz="0" w:space="0" w:color="auto"/>
        <w:right w:val="none" w:sz="0" w:space="0" w:color="auto"/>
      </w:divBdr>
    </w:div>
    <w:div w:id="1575046592">
      <w:bodyDiv w:val="1"/>
      <w:marLeft w:val="0"/>
      <w:marRight w:val="0"/>
      <w:marTop w:val="0"/>
      <w:marBottom w:val="0"/>
      <w:divBdr>
        <w:top w:val="none" w:sz="0" w:space="0" w:color="auto"/>
        <w:left w:val="none" w:sz="0" w:space="0" w:color="auto"/>
        <w:bottom w:val="none" w:sz="0" w:space="0" w:color="auto"/>
        <w:right w:val="none" w:sz="0" w:space="0" w:color="auto"/>
      </w:divBdr>
    </w:div>
    <w:div w:id="1575118260">
      <w:bodyDiv w:val="1"/>
      <w:marLeft w:val="0"/>
      <w:marRight w:val="0"/>
      <w:marTop w:val="0"/>
      <w:marBottom w:val="0"/>
      <w:divBdr>
        <w:top w:val="none" w:sz="0" w:space="0" w:color="auto"/>
        <w:left w:val="none" w:sz="0" w:space="0" w:color="auto"/>
        <w:bottom w:val="none" w:sz="0" w:space="0" w:color="auto"/>
        <w:right w:val="none" w:sz="0" w:space="0" w:color="auto"/>
      </w:divBdr>
    </w:div>
    <w:div w:id="1575355086">
      <w:bodyDiv w:val="1"/>
      <w:marLeft w:val="0"/>
      <w:marRight w:val="0"/>
      <w:marTop w:val="0"/>
      <w:marBottom w:val="0"/>
      <w:divBdr>
        <w:top w:val="none" w:sz="0" w:space="0" w:color="auto"/>
        <w:left w:val="none" w:sz="0" w:space="0" w:color="auto"/>
        <w:bottom w:val="none" w:sz="0" w:space="0" w:color="auto"/>
        <w:right w:val="none" w:sz="0" w:space="0" w:color="auto"/>
      </w:divBdr>
    </w:div>
    <w:div w:id="1575503187">
      <w:bodyDiv w:val="1"/>
      <w:marLeft w:val="0"/>
      <w:marRight w:val="0"/>
      <w:marTop w:val="0"/>
      <w:marBottom w:val="0"/>
      <w:divBdr>
        <w:top w:val="none" w:sz="0" w:space="0" w:color="auto"/>
        <w:left w:val="none" w:sz="0" w:space="0" w:color="auto"/>
        <w:bottom w:val="none" w:sz="0" w:space="0" w:color="auto"/>
        <w:right w:val="none" w:sz="0" w:space="0" w:color="auto"/>
      </w:divBdr>
    </w:div>
    <w:div w:id="1575551680">
      <w:bodyDiv w:val="1"/>
      <w:marLeft w:val="0"/>
      <w:marRight w:val="0"/>
      <w:marTop w:val="0"/>
      <w:marBottom w:val="0"/>
      <w:divBdr>
        <w:top w:val="none" w:sz="0" w:space="0" w:color="auto"/>
        <w:left w:val="none" w:sz="0" w:space="0" w:color="auto"/>
        <w:bottom w:val="none" w:sz="0" w:space="0" w:color="auto"/>
        <w:right w:val="none" w:sz="0" w:space="0" w:color="auto"/>
      </w:divBdr>
    </w:div>
    <w:div w:id="1575700393">
      <w:bodyDiv w:val="1"/>
      <w:marLeft w:val="0"/>
      <w:marRight w:val="0"/>
      <w:marTop w:val="0"/>
      <w:marBottom w:val="0"/>
      <w:divBdr>
        <w:top w:val="none" w:sz="0" w:space="0" w:color="auto"/>
        <w:left w:val="none" w:sz="0" w:space="0" w:color="auto"/>
        <w:bottom w:val="none" w:sz="0" w:space="0" w:color="auto"/>
        <w:right w:val="none" w:sz="0" w:space="0" w:color="auto"/>
      </w:divBdr>
    </w:div>
    <w:div w:id="1575818562">
      <w:bodyDiv w:val="1"/>
      <w:marLeft w:val="0"/>
      <w:marRight w:val="0"/>
      <w:marTop w:val="0"/>
      <w:marBottom w:val="0"/>
      <w:divBdr>
        <w:top w:val="none" w:sz="0" w:space="0" w:color="auto"/>
        <w:left w:val="none" w:sz="0" w:space="0" w:color="auto"/>
        <w:bottom w:val="none" w:sz="0" w:space="0" w:color="auto"/>
        <w:right w:val="none" w:sz="0" w:space="0" w:color="auto"/>
      </w:divBdr>
    </w:div>
    <w:div w:id="1575969129">
      <w:bodyDiv w:val="1"/>
      <w:marLeft w:val="0"/>
      <w:marRight w:val="0"/>
      <w:marTop w:val="0"/>
      <w:marBottom w:val="0"/>
      <w:divBdr>
        <w:top w:val="none" w:sz="0" w:space="0" w:color="auto"/>
        <w:left w:val="none" w:sz="0" w:space="0" w:color="auto"/>
        <w:bottom w:val="none" w:sz="0" w:space="0" w:color="auto"/>
        <w:right w:val="none" w:sz="0" w:space="0" w:color="auto"/>
      </w:divBdr>
    </w:div>
    <w:div w:id="1576167827">
      <w:bodyDiv w:val="1"/>
      <w:marLeft w:val="0"/>
      <w:marRight w:val="0"/>
      <w:marTop w:val="0"/>
      <w:marBottom w:val="0"/>
      <w:divBdr>
        <w:top w:val="none" w:sz="0" w:space="0" w:color="auto"/>
        <w:left w:val="none" w:sz="0" w:space="0" w:color="auto"/>
        <w:bottom w:val="none" w:sz="0" w:space="0" w:color="auto"/>
        <w:right w:val="none" w:sz="0" w:space="0" w:color="auto"/>
      </w:divBdr>
    </w:div>
    <w:div w:id="1576209198">
      <w:bodyDiv w:val="1"/>
      <w:marLeft w:val="0"/>
      <w:marRight w:val="0"/>
      <w:marTop w:val="0"/>
      <w:marBottom w:val="0"/>
      <w:divBdr>
        <w:top w:val="none" w:sz="0" w:space="0" w:color="auto"/>
        <w:left w:val="none" w:sz="0" w:space="0" w:color="auto"/>
        <w:bottom w:val="none" w:sz="0" w:space="0" w:color="auto"/>
        <w:right w:val="none" w:sz="0" w:space="0" w:color="auto"/>
      </w:divBdr>
    </w:div>
    <w:div w:id="1576237743">
      <w:bodyDiv w:val="1"/>
      <w:marLeft w:val="0"/>
      <w:marRight w:val="0"/>
      <w:marTop w:val="0"/>
      <w:marBottom w:val="0"/>
      <w:divBdr>
        <w:top w:val="none" w:sz="0" w:space="0" w:color="auto"/>
        <w:left w:val="none" w:sz="0" w:space="0" w:color="auto"/>
        <w:bottom w:val="none" w:sz="0" w:space="0" w:color="auto"/>
        <w:right w:val="none" w:sz="0" w:space="0" w:color="auto"/>
      </w:divBdr>
    </w:div>
    <w:div w:id="1576474405">
      <w:bodyDiv w:val="1"/>
      <w:marLeft w:val="0"/>
      <w:marRight w:val="0"/>
      <w:marTop w:val="0"/>
      <w:marBottom w:val="0"/>
      <w:divBdr>
        <w:top w:val="none" w:sz="0" w:space="0" w:color="auto"/>
        <w:left w:val="none" w:sz="0" w:space="0" w:color="auto"/>
        <w:bottom w:val="none" w:sz="0" w:space="0" w:color="auto"/>
        <w:right w:val="none" w:sz="0" w:space="0" w:color="auto"/>
      </w:divBdr>
    </w:div>
    <w:div w:id="1576550727">
      <w:bodyDiv w:val="1"/>
      <w:marLeft w:val="0"/>
      <w:marRight w:val="0"/>
      <w:marTop w:val="0"/>
      <w:marBottom w:val="0"/>
      <w:divBdr>
        <w:top w:val="none" w:sz="0" w:space="0" w:color="auto"/>
        <w:left w:val="none" w:sz="0" w:space="0" w:color="auto"/>
        <w:bottom w:val="none" w:sz="0" w:space="0" w:color="auto"/>
        <w:right w:val="none" w:sz="0" w:space="0" w:color="auto"/>
      </w:divBdr>
    </w:div>
    <w:div w:id="1576621323">
      <w:bodyDiv w:val="1"/>
      <w:marLeft w:val="0"/>
      <w:marRight w:val="0"/>
      <w:marTop w:val="0"/>
      <w:marBottom w:val="0"/>
      <w:divBdr>
        <w:top w:val="none" w:sz="0" w:space="0" w:color="auto"/>
        <w:left w:val="none" w:sz="0" w:space="0" w:color="auto"/>
        <w:bottom w:val="none" w:sz="0" w:space="0" w:color="auto"/>
        <w:right w:val="none" w:sz="0" w:space="0" w:color="auto"/>
      </w:divBdr>
    </w:div>
    <w:div w:id="1577277578">
      <w:bodyDiv w:val="1"/>
      <w:marLeft w:val="0"/>
      <w:marRight w:val="0"/>
      <w:marTop w:val="0"/>
      <w:marBottom w:val="0"/>
      <w:divBdr>
        <w:top w:val="none" w:sz="0" w:space="0" w:color="auto"/>
        <w:left w:val="none" w:sz="0" w:space="0" w:color="auto"/>
        <w:bottom w:val="none" w:sz="0" w:space="0" w:color="auto"/>
        <w:right w:val="none" w:sz="0" w:space="0" w:color="auto"/>
      </w:divBdr>
    </w:div>
    <w:div w:id="1577278792">
      <w:bodyDiv w:val="1"/>
      <w:marLeft w:val="0"/>
      <w:marRight w:val="0"/>
      <w:marTop w:val="0"/>
      <w:marBottom w:val="0"/>
      <w:divBdr>
        <w:top w:val="none" w:sz="0" w:space="0" w:color="auto"/>
        <w:left w:val="none" w:sz="0" w:space="0" w:color="auto"/>
        <w:bottom w:val="none" w:sz="0" w:space="0" w:color="auto"/>
        <w:right w:val="none" w:sz="0" w:space="0" w:color="auto"/>
      </w:divBdr>
    </w:div>
    <w:div w:id="1577324390">
      <w:bodyDiv w:val="1"/>
      <w:marLeft w:val="0"/>
      <w:marRight w:val="0"/>
      <w:marTop w:val="0"/>
      <w:marBottom w:val="0"/>
      <w:divBdr>
        <w:top w:val="none" w:sz="0" w:space="0" w:color="auto"/>
        <w:left w:val="none" w:sz="0" w:space="0" w:color="auto"/>
        <w:bottom w:val="none" w:sz="0" w:space="0" w:color="auto"/>
        <w:right w:val="none" w:sz="0" w:space="0" w:color="auto"/>
      </w:divBdr>
    </w:div>
    <w:div w:id="1577470312">
      <w:bodyDiv w:val="1"/>
      <w:marLeft w:val="0"/>
      <w:marRight w:val="0"/>
      <w:marTop w:val="0"/>
      <w:marBottom w:val="0"/>
      <w:divBdr>
        <w:top w:val="none" w:sz="0" w:space="0" w:color="auto"/>
        <w:left w:val="none" w:sz="0" w:space="0" w:color="auto"/>
        <w:bottom w:val="none" w:sz="0" w:space="0" w:color="auto"/>
        <w:right w:val="none" w:sz="0" w:space="0" w:color="auto"/>
      </w:divBdr>
    </w:div>
    <w:div w:id="1577473005">
      <w:bodyDiv w:val="1"/>
      <w:marLeft w:val="0"/>
      <w:marRight w:val="0"/>
      <w:marTop w:val="0"/>
      <w:marBottom w:val="0"/>
      <w:divBdr>
        <w:top w:val="none" w:sz="0" w:space="0" w:color="auto"/>
        <w:left w:val="none" w:sz="0" w:space="0" w:color="auto"/>
        <w:bottom w:val="none" w:sz="0" w:space="0" w:color="auto"/>
        <w:right w:val="none" w:sz="0" w:space="0" w:color="auto"/>
      </w:divBdr>
    </w:div>
    <w:div w:id="1577520751">
      <w:bodyDiv w:val="1"/>
      <w:marLeft w:val="0"/>
      <w:marRight w:val="0"/>
      <w:marTop w:val="0"/>
      <w:marBottom w:val="0"/>
      <w:divBdr>
        <w:top w:val="none" w:sz="0" w:space="0" w:color="auto"/>
        <w:left w:val="none" w:sz="0" w:space="0" w:color="auto"/>
        <w:bottom w:val="none" w:sz="0" w:space="0" w:color="auto"/>
        <w:right w:val="none" w:sz="0" w:space="0" w:color="auto"/>
      </w:divBdr>
    </w:div>
    <w:div w:id="1577591517">
      <w:bodyDiv w:val="1"/>
      <w:marLeft w:val="0"/>
      <w:marRight w:val="0"/>
      <w:marTop w:val="0"/>
      <w:marBottom w:val="0"/>
      <w:divBdr>
        <w:top w:val="none" w:sz="0" w:space="0" w:color="auto"/>
        <w:left w:val="none" w:sz="0" w:space="0" w:color="auto"/>
        <w:bottom w:val="none" w:sz="0" w:space="0" w:color="auto"/>
        <w:right w:val="none" w:sz="0" w:space="0" w:color="auto"/>
      </w:divBdr>
    </w:div>
    <w:div w:id="1577663607">
      <w:bodyDiv w:val="1"/>
      <w:marLeft w:val="0"/>
      <w:marRight w:val="0"/>
      <w:marTop w:val="0"/>
      <w:marBottom w:val="0"/>
      <w:divBdr>
        <w:top w:val="none" w:sz="0" w:space="0" w:color="auto"/>
        <w:left w:val="none" w:sz="0" w:space="0" w:color="auto"/>
        <w:bottom w:val="none" w:sz="0" w:space="0" w:color="auto"/>
        <w:right w:val="none" w:sz="0" w:space="0" w:color="auto"/>
      </w:divBdr>
    </w:div>
    <w:div w:id="1577739050">
      <w:bodyDiv w:val="1"/>
      <w:marLeft w:val="0"/>
      <w:marRight w:val="0"/>
      <w:marTop w:val="0"/>
      <w:marBottom w:val="0"/>
      <w:divBdr>
        <w:top w:val="none" w:sz="0" w:space="0" w:color="auto"/>
        <w:left w:val="none" w:sz="0" w:space="0" w:color="auto"/>
        <w:bottom w:val="none" w:sz="0" w:space="0" w:color="auto"/>
        <w:right w:val="none" w:sz="0" w:space="0" w:color="auto"/>
      </w:divBdr>
    </w:div>
    <w:div w:id="1577781860">
      <w:bodyDiv w:val="1"/>
      <w:marLeft w:val="0"/>
      <w:marRight w:val="0"/>
      <w:marTop w:val="0"/>
      <w:marBottom w:val="0"/>
      <w:divBdr>
        <w:top w:val="none" w:sz="0" w:space="0" w:color="auto"/>
        <w:left w:val="none" w:sz="0" w:space="0" w:color="auto"/>
        <w:bottom w:val="none" w:sz="0" w:space="0" w:color="auto"/>
        <w:right w:val="none" w:sz="0" w:space="0" w:color="auto"/>
      </w:divBdr>
    </w:div>
    <w:div w:id="1577862492">
      <w:bodyDiv w:val="1"/>
      <w:marLeft w:val="0"/>
      <w:marRight w:val="0"/>
      <w:marTop w:val="0"/>
      <w:marBottom w:val="0"/>
      <w:divBdr>
        <w:top w:val="none" w:sz="0" w:space="0" w:color="auto"/>
        <w:left w:val="none" w:sz="0" w:space="0" w:color="auto"/>
        <w:bottom w:val="none" w:sz="0" w:space="0" w:color="auto"/>
        <w:right w:val="none" w:sz="0" w:space="0" w:color="auto"/>
      </w:divBdr>
    </w:div>
    <w:div w:id="1578125841">
      <w:bodyDiv w:val="1"/>
      <w:marLeft w:val="0"/>
      <w:marRight w:val="0"/>
      <w:marTop w:val="0"/>
      <w:marBottom w:val="0"/>
      <w:divBdr>
        <w:top w:val="none" w:sz="0" w:space="0" w:color="auto"/>
        <w:left w:val="none" w:sz="0" w:space="0" w:color="auto"/>
        <w:bottom w:val="none" w:sz="0" w:space="0" w:color="auto"/>
        <w:right w:val="none" w:sz="0" w:space="0" w:color="auto"/>
      </w:divBdr>
    </w:div>
    <w:div w:id="1578243164">
      <w:bodyDiv w:val="1"/>
      <w:marLeft w:val="0"/>
      <w:marRight w:val="0"/>
      <w:marTop w:val="0"/>
      <w:marBottom w:val="0"/>
      <w:divBdr>
        <w:top w:val="none" w:sz="0" w:space="0" w:color="auto"/>
        <w:left w:val="none" w:sz="0" w:space="0" w:color="auto"/>
        <w:bottom w:val="none" w:sz="0" w:space="0" w:color="auto"/>
        <w:right w:val="none" w:sz="0" w:space="0" w:color="auto"/>
      </w:divBdr>
    </w:div>
    <w:div w:id="1578243989">
      <w:bodyDiv w:val="1"/>
      <w:marLeft w:val="0"/>
      <w:marRight w:val="0"/>
      <w:marTop w:val="0"/>
      <w:marBottom w:val="0"/>
      <w:divBdr>
        <w:top w:val="none" w:sz="0" w:space="0" w:color="auto"/>
        <w:left w:val="none" w:sz="0" w:space="0" w:color="auto"/>
        <w:bottom w:val="none" w:sz="0" w:space="0" w:color="auto"/>
        <w:right w:val="none" w:sz="0" w:space="0" w:color="auto"/>
      </w:divBdr>
    </w:div>
    <w:div w:id="1578442191">
      <w:bodyDiv w:val="1"/>
      <w:marLeft w:val="0"/>
      <w:marRight w:val="0"/>
      <w:marTop w:val="0"/>
      <w:marBottom w:val="0"/>
      <w:divBdr>
        <w:top w:val="none" w:sz="0" w:space="0" w:color="auto"/>
        <w:left w:val="none" w:sz="0" w:space="0" w:color="auto"/>
        <w:bottom w:val="none" w:sz="0" w:space="0" w:color="auto"/>
        <w:right w:val="none" w:sz="0" w:space="0" w:color="auto"/>
      </w:divBdr>
    </w:div>
    <w:div w:id="1578595590">
      <w:bodyDiv w:val="1"/>
      <w:marLeft w:val="0"/>
      <w:marRight w:val="0"/>
      <w:marTop w:val="0"/>
      <w:marBottom w:val="0"/>
      <w:divBdr>
        <w:top w:val="none" w:sz="0" w:space="0" w:color="auto"/>
        <w:left w:val="none" w:sz="0" w:space="0" w:color="auto"/>
        <w:bottom w:val="none" w:sz="0" w:space="0" w:color="auto"/>
        <w:right w:val="none" w:sz="0" w:space="0" w:color="auto"/>
      </w:divBdr>
    </w:div>
    <w:div w:id="1578782182">
      <w:bodyDiv w:val="1"/>
      <w:marLeft w:val="0"/>
      <w:marRight w:val="0"/>
      <w:marTop w:val="0"/>
      <w:marBottom w:val="0"/>
      <w:divBdr>
        <w:top w:val="none" w:sz="0" w:space="0" w:color="auto"/>
        <w:left w:val="none" w:sz="0" w:space="0" w:color="auto"/>
        <w:bottom w:val="none" w:sz="0" w:space="0" w:color="auto"/>
        <w:right w:val="none" w:sz="0" w:space="0" w:color="auto"/>
      </w:divBdr>
    </w:div>
    <w:div w:id="1578830369">
      <w:bodyDiv w:val="1"/>
      <w:marLeft w:val="0"/>
      <w:marRight w:val="0"/>
      <w:marTop w:val="0"/>
      <w:marBottom w:val="0"/>
      <w:divBdr>
        <w:top w:val="none" w:sz="0" w:space="0" w:color="auto"/>
        <w:left w:val="none" w:sz="0" w:space="0" w:color="auto"/>
        <w:bottom w:val="none" w:sz="0" w:space="0" w:color="auto"/>
        <w:right w:val="none" w:sz="0" w:space="0" w:color="auto"/>
      </w:divBdr>
    </w:div>
    <w:div w:id="1578860509">
      <w:bodyDiv w:val="1"/>
      <w:marLeft w:val="0"/>
      <w:marRight w:val="0"/>
      <w:marTop w:val="0"/>
      <w:marBottom w:val="0"/>
      <w:divBdr>
        <w:top w:val="none" w:sz="0" w:space="0" w:color="auto"/>
        <w:left w:val="none" w:sz="0" w:space="0" w:color="auto"/>
        <w:bottom w:val="none" w:sz="0" w:space="0" w:color="auto"/>
        <w:right w:val="none" w:sz="0" w:space="0" w:color="auto"/>
      </w:divBdr>
    </w:div>
    <w:div w:id="1578905000">
      <w:bodyDiv w:val="1"/>
      <w:marLeft w:val="0"/>
      <w:marRight w:val="0"/>
      <w:marTop w:val="0"/>
      <w:marBottom w:val="0"/>
      <w:divBdr>
        <w:top w:val="none" w:sz="0" w:space="0" w:color="auto"/>
        <w:left w:val="none" w:sz="0" w:space="0" w:color="auto"/>
        <w:bottom w:val="none" w:sz="0" w:space="0" w:color="auto"/>
        <w:right w:val="none" w:sz="0" w:space="0" w:color="auto"/>
      </w:divBdr>
    </w:div>
    <w:div w:id="1579051305">
      <w:bodyDiv w:val="1"/>
      <w:marLeft w:val="0"/>
      <w:marRight w:val="0"/>
      <w:marTop w:val="0"/>
      <w:marBottom w:val="0"/>
      <w:divBdr>
        <w:top w:val="none" w:sz="0" w:space="0" w:color="auto"/>
        <w:left w:val="none" w:sz="0" w:space="0" w:color="auto"/>
        <w:bottom w:val="none" w:sz="0" w:space="0" w:color="auto"/>
        <w:right w:val="none" w:sz="0" w:space="0" w:color="auto"/>
      </w:divBdr>
    </w:div>
    <w:div w:id="1579099568">
      <w:bodyDiv w:val="1"/>
      <w:marLeft w:val="0"/>
      <w:marRight w:val="0"/>
      <w:marTop w:val="0"/>
      <w:marBottom w:val="0"/>
      <w:divBdr>
        <w:top w:val="none" w:sz="0" w:space="0" w:color="auto"/>
        <w:left w:val="none" w:sz="0" w:space="0" w:color="auto"/>
        <w:bottom w:val="none" w:sz="0" w:space="0" w:color="auto"/>
        <w:right w:val="none" w:sz="0" w:space="0" w:color="auto"/>
      </w:divBdr>
    </w:div>
    <w:div w:id="1579166796">
      <w:bodyDiv w:val="1"/>
      <w:marLeft w:val="0"/>
      <w:marRight w:val="0"/>
      <w:marTop w:val="0"/>
      <w:marBottom w:val="0"/>
      <w:divBdr>
        <w:top w:val="none" w:sz="0" w:space="0" w:color="auto"/>
        <w:left w:val="none" w:sz="0" w:space="0" w:color="auto"/>
        <w:bottom w:val="none" w:sz="0" w:space="0" w:color="auto"/>
        <w:right w:val="none" w:sz="0" w:space="0" w:color="auto"/>
      </w:divBdr>
    </w:div>
    <w:div w:id="1579171740">
      <w:bodyDiv w:val="1"/>
      <w:marLeft w:val="0"/>
      <w:marRight w:val="0"/>
      <w:marTop w:val="0"/>
      <w:marBottom w:val="0"/>
      <w:divBdr>
        <w:top w:val="none" w:sz="0" w:space="0" w:color="auto"/>
        <w:left w:val="none" w:sz="0" w:space="0" w:color="auto"/>
        <w:bottom w:val="none" w:sz="0" w:space="0" w:color="auto"/>
        <w:right w:val="none" w:sz="0" w:space="0" w:color="auto"/>
      </w:divBdr>
    </w:div>
    <w:div w:id="1579634020">
      <w:bodyDiv w:val="1"/>
      <w:marLeft w:val="0"/>
      <w:marRight w:val="0"/>
      <w:marTop w:val="0"/>
      <w:marBottom w:val="0"/>
      <w:divBdr>
        <w:top w:val="none" w:sz="0" w:space="0" w:color="auto"/>
        <w:left w:val="none" w:sz="0" w:space="0" w:color="auto"/>
        <w:bottom w:val="none" w:sz="0" w:space="0" w:color="auto"/>
        <w:right w:val="none" w:sz="0" w:space="0" w:color="auto"/>
      </w:divBdr>
    </w:div>
    <w:div w:id="1579708075">
      <w:bodyDiv w:val="1"/>
      <w:marLeft w:val="0"/>
      <w:marRight w:val="0"/>
      <w:marTop w:val="0"/>
      <w:marBottom w:val="0"/>
      <w:divBdr>
        <w:top w:val="none" w:sz="0" w:space="0" w:color="auto"/>
        <w:left w:val="none" w:sz="0" w:space="0" w:color="auto"/>
        <w:bottom w:val="none" w:sz="0" w:space="0" w:color="auto"/>
        <w:right w:val="none" w:sz="0" w:space="0" w:color="auto"/>
      </w:divBdr>
    </w:div>
    <w:div w:id="1579754300">
      <w:bodyDiv w:val="1"/>
      <w:marLeft w:val="0"/>
      <w:marRight w:val="0"/>
      <w:marTop w:val="0"/>
      <w:marBottom w:val="0"/>
      <w:divBdr>
        <w:top w:val="none" w:sz="0" w:space="0" w:color="auto"/>
        <w:left w:val="none" w:sz="0" w:space="0" w:color="auto"/>
        <w:bottom w:val="none" w:sz="0" w:space="0" w:color="auto"/>
        <w:right w:val="none" w:sz="0" w:space="0" w:color="auto"/>
      </w:divBdr>
    </w:div>
    <w:div w:id="1579947656">
      <w:bodyDiv w:val="1"/>
      <w:marLeft w:val="0"/>
      <w:marRight w:val="0"/>
      <w:marTop w:val="0"/>
      <w:marBottom w:val="0"/>
      <w:divBdr>
        <w:top w:val="none" w:sz="0" w:space="0" w:color="auto"/>
        <w:left w:val="none" w:sz="0" w:space="0" w:color="auto"/>
        <w:bottom w:val="none" w:sz="0" w:space="0" w:color="auto"/>
        <w:right w:val="none" w:sz="0" w:space="0" w:color="auto"/>
      </w:divBdr>
    </w:div>
    <w:div w:id="1580166591">
      <w:bodyDiv w:val="1"/>
      <w:marLeft w:val="0"/>
      <w:marRight w:val="0"/>
      <w:marTop w:val="0"/>
      <w:marBottom w:val="0"/>
      <w:divBdr>
        <w:top w:val="none" w:sz="0" w:space="0" w:color="auto"/>
        <w:left w:val="none" w:sz="0" w:space="0" w:color="auto"/>
        <w:bottom w:val="none" w:sz="0" w:space="0" w:color="auto"/>
        <w:right w:val="none" w:sz="0" w:space="0" w:color="auto"/>
      </w:divBdr>
    </w:div>
    <w:div w:id="1580477102">
      <w:bodyDiv w:val="1"/>
      <w:marLeft w:val="0"/>
      <w:marRight w:val="0"/>
      <w:marTop w:val="0"/>
      <w:marBottom w:val="0"/>
      <w:divBdr>
        <w:top w:val="none" w:sz="0" w:space="0" w:color="auto"/>
        <w:left w:val="none" w:sz="0" w:space="0" w:color="auto"/>
        <w:bottom w:val="none" w:sz="0" w:space="0" w:color="auto"/>
        <w:right w:val="none" w:sz="0" w:space="0" w:color="auto"/>
      </w:divBdr>
    </w:div>
    <w:div w:id="1580598901">
      <w:bodyDiv w:val="1"/>
      <w:marLeft w:val="0"/>
      <w:marRight w:val="0"/>
      <w:marTop w:val="0"/>
      <w:marBottom w:val="0"/>
      <w:divBdr>
        <w:top w:val="none" w:sz="0" w:space="0" w:color="auto"/>
        <w:left w:val="none" w:sz="0" w:space="0" w:color="auto"/>
        <w:bottom w:val="none" w:sz="0" w:space="0" w:color="auto"/>
        <w:right w:val="none" w:sz="0" w:space="0" w:color="auto"/>
      </w:divBdr>
    </w:div>
    <w:div w:id="1580745641">
      <w:bodyDiv w:val="1"/>
      <w:marLeft w:val="0"/>
      <w:marRight w:val="0"/>
      <w:marTop w:val="0"/>
      <w:marBottom w:val="0"/>
      <w:divBdr>
        <w:top w:val="none" w:sz="0" w:space="0" w:color="auto"/>
        <w:left w:val="none" w:sz="0" w:space="0" w:color="auto"/>
        <w:bottom w:val="none" w:sz="0" w:space="0" w:color="auto"/>
        <w:right w:val="none" w:sz="0" w:space="0" w:color="auto"/>
      </w:divBdr>
    </w:div>
    <w:div w:id="1580824357">
      <w:bodyDiv w:val="1"/>
      <w:marLeft w:val="0"/>
      <w:marRight w:val="0"/>
      <w:marTop w:val="0"/>
      <w:marBottom w:val="0"/>
      <w:divBdr>
        <w:top w:val="none" w:sz="0" w:space="0" w:color="auto"/>
        <w:left w:val="none" w:sz="0" w:space="0" w:color="auto"/>
        <w:bottom w:val="none" w:sz="0" w:space="0" w:color="auto"/>
        <w:right w:val="none" w:sz="0" w:space="0" w:color="auto"/>
      </w:divBdr>
    </w:div>
    <w:div w:id="1580826407">
      <w:bodyDiv w:val="1"/>
      <w:marLeft w:val="0"/>
      <w:marRight w:val="0"/>
      <w:marTop w:val="0"/>
      <w:marBottom w:val="0"/>
      <w:divBdr>
        <w:top w:val="none" w:sz="0" w:space="0" w:color="auto"/>
        <w:left w:val="none" w:sz="0" w:space="0" w:color="auto"/>
        <w:bottom w:val="none" w:sz="0" w:space="0" w:color="auto"/>
        <w:right w:val="none" w:sz="0" w:space="0" w:color="auto"/>
      </w:divBdr>
    </w:div>
    <w:div w:id="1581132673">
      <w:bodyDiv w:val="1"/>
      <w:marLeft w:val="0"/>
      <w:marRight w:val="0"/>
      <w:marTop w:val="0"/>
      <w:marBottom w:val="0"/>
      <w:divBdr>
        <w:top w:val="none" w:sz="0" w:space="0" w:color="auto"/>
        <w:left w:val="none" w:sz="0" w:space="0" w:color="auto"/>
        <w:bottom w:val="none" w:sz="0" w:space="0" w:color="auto"/>
        <w:right w:val="none" w:sz="0" w:space="0" w:color="auto"/>
      </w:divBdr>
    </w:div>
    <w:div w:id="1581211624">
      <w:bodyDiv w:val="1"/>
      <w:marLeft w:val="0"/>
      <w:marRight w:val="0"/>
      <w:marTop w:val="0"/>
      <w:marBottom w:val="0"/>
      <w:divBdr>
        <w:top w:val="none" w:sz="0" w:space="0" w:color="auto"/>
        <w:left w:val="none" w:sz="0" w:space="0" w:color="auto"/>
        <w:bottom w:val="none" w:sz="0" w:space="0" w:color="auto"/>
        <w:right w:val="none" w:sz="0" w:space="0" w:color="auto"/>
      </w:divBdr>
    </w:div>
    <w:div w:id="1581403249">
      <w:bodyDiv w:val="1"/>
      <w:marLeft w:val="0"/>
      <w:marRight w:val="0"/>
      <w:marTop w:val="0"/>
      <w:marBottom w:val="0"/>
      <w:divBdr>
        <w:top w:val="none" w:sz="0" w:space="0" w:color="auto"/>
        <w:left w:val="none" w:sz="0" w:space="0" w:color="auto"/>
        <w:bottom w:val="none" w:sz="0" w:space="0" w:color="auto"/>
        <w:right w:val="none" w:sz="0" w:space="0" w:color="auto"/>
      </w:divBdr>
    </w:div>
    <w:div w:id="1581520681">
      <w:bodyDiv w:val="1"/>
      <w:marLeft w:val="0"/>
      <w:marRight w:val="0"/>
      <w:marTop w:val="0"/>
      <w:marBottom w:val="0"/>
      <w:divBdr>
        <w:top w:val="none" w:sz="0" w:space="0" w:color="auto"/>
        <w:left w:val="none" w:sz="0" w:space="0" w:color="auto"/>
        <w:bottom w:val="none" w:sz="0" w:space="0" w:color="auto"/>
        <w:right w:val="none" w:sz="0" w:space="0" w:color="auto"/>
      </w:divBdr>
    </w:div>
    <w:div w:id="1581719486">
      <w:bodyDiv w:val="1"/>
      <w:marLeft w:val="0"/>
      <w:marRight w:val="0"/>
      <w:marTop w:val="0"/>
      <w:marBottom w:val="0"/>
      <w:divBdr>
        <w:top w:val="none" w:sz="0" w:space="0" w:color="auto"/>
        <w:left w:val="none" w:sz="0" w:space="0" w:color="auto"/>
        <w:bottom w:val="none" w:sz="0" w:space="0" w:color="auto"/>
        <w:right w:val="none" w:sz="0" w:space="0" w:color="auto"/>
      </w:divBdr>
    </w:div>
    <w:div w:id="1581720930">
      <w:bodyDiv w:val="1"/>
      <w:marLeft w:val="0"/>
      <w:marRight w:val="0"/>
      <w:marTop w:val="0"/>
      <w:marBottom w:val="0"/>
      <w:divBdr>
        <w:top w:val="none" w:sz="0" w:space="0" w:color="auto"/>
        <w:left w:val="none" w:sz="0" w:space="0" w:color="auto"/>
        <w:bottom w:val="none" w:sz="0" w:space="0" w:color="auto"/>
        <w:right w:val="none" w:sz="0" w:space="0" w:color="auto"/>
      </w:divBdr>
    </w:div>
    <w:div w:id="1581721178">
      <w:bodyDiv w:val="1"/>
      <w:marLeft w:val="0"/>
      <w:marRight w:val="0"/>
      <w:marTop w:val="0"/>
      <w:marBottom w:val="0"/>
      <w:divBdr>
        <w:top w:val="none" w:sz="0" w:space="0" w:color="auto"/>
        <w:left w:val="none" w:sz="0" w:space="0" w:color="auto"/>
        <w:bottom w:val="none" w:sz="0" w:space="0" w:color="auto"/>
        <w:right w:val="none" w:sz="0" w:space="0" w:color="auto"/>
      </w:divBdr>
    </w:div>
    <w:div w:id="1581863281">
      <w:bodyDiv w:val="1"/>
      <w:marLeft w:val="0"/>
      <w:marRight w:val="0"/>
      <w:marTop w:val="0"/>
      <w:marBottom w:val="0"/>
      <w:divBdr>
        <w:top w:val="none" w:sz="0" w:space="0" w:color="auto"/>
        <w:left w:val="none" w:sz="0" w:space="0" w:color="auto"/>
        <w:bottom w:val="none" w:sz="0" w:space="0" w:color="auto"/>
        <w:right w:val="none" w:sz="0" w:space="0" w:color="auto"/>
      </w:divBdr>
    </w:div>
    <w:div w:id="1582060084">
      <w:bodyDiv w:val="1"/>
      <w:marLeft w:val="0"/>
      <w:marRight w:val="0"/>
      <w:marTop w:val="0"/>
      <w:marBottom w:val="0"/>
      <w:divBdr>
        <w:top w:val="none" w:sz="0" w:space="0" w:color="auto"/>
        <w:left w:val="none" w:sz="0" w:space="0" w:color="auto"/>
        <w:bottom w:val="none" w:sz="0" w:space="0" w:color="auto"/>
        <w:right w:val="none" w:sz="0" w:space="0" w:color="auto"/>
      </w:divBdr>
    </w:div>
    <w:div w:id="1582330358">
      <w:bodyDiv w:val="1"/>
      <w:marLeft w:val="0"/>
      <w:marRight w:val="0"/>
      <w:marTop w:val="0"/>
      <w:marBottom w:val="0"/>
      <w:divBdr>
        <w:top w:val="none" w:sz="0" w:space="0" w:color="auto"/>
        <w:left w:val="none" w:sz="0" w:space="0" w:color="auto"/>
        <w:bottom w:val="none" w:sz="0" w:space="0" w:color="auto"/>
        <w:right w:val="none" w:sz="0" w:space="0" w:color="auto"/>
      </w:divBdr>
    </w:div>
    <w:div w:id="1582641802">
      <w:bodyDiv w:val="1"/>
      <w:marLeft w:val="0"/>
      <w:marRight w:val="0"/>
      <w:marTop w:val="0"/>
      <w:marBottom w:val="0"/>
      <w:divBdr>
        <w:top w:val="none" w:sz="0" w:space="0" w:color="auto"/>
        <w:left w:val="none" w:sz="0" w:space="0" w:color="auto"/>
        <w:bottom w:val="none" w:sz="0" w:space="0" w:color="auto"/>
        <w:right w:val="none" w:sz="0" w:space="0" w:color="auto"/>
      </w:divBdr>
    </w:div>
    <w:div w:id="1582829887">
      <w:bodyDiv w:val="1"/>
      <w:marLeft w:val="0"/>
      <w:marRight w:val="0"/>
      <w:marTop w:val="0"/>
      <w:marBottom w:val="0"/>
      <w:divBdr>
        <w:top w:val="none" w:sz="0" w:space="0" w:color="auto"/>
        <w:left w:val="none" w:sz="0" w:space="0" w:color="auto"/>
        <w:bottom w:val="none" w:sz="0" w:space="0" w:color="auto"/>
        <w:right w:val="none" w:sz="0" w:space="0" w:color="auto"/>
      </w:divBdr>
    </w:div>
    <w:div w:id="1582986719">
      <w:bodyDiv w:val="1"/>
      <w:marLeft w:val="0"/>
      <w:marRight w:val="0"/>
      <w:marTop w:val="0"/>
      <w:marBottom w:val="0"/>
      <w:divBdr>
        <w:top w:val="none" w:sz="0" w:space="0" w:color="auto"/>
        <w:left w:val="none" w:sz="0" w:space="0" w:color="auto"/>
        <w:bottom w:val="none" w:sz="0" w:space="0" w:color="auto"/>
        <w:right w:val="none" w:sz="0" w:space="0" w:color="auto"/>
      </w:divBdr>
    </w:div>
    <w:div w:id="1583023076">
      <w:bodyDiv w:val="1"/>
      <w:marLeft w:val="0"/>
      <w:marRight w:val="0"/>
      <w:marTop w:val="0"/>
      <w:marBottom w:val="0"/>
      <w:divBdr>
        <w:top w:val="none" w:sz="0" w:space="0" w:color="auto"/>
        <w:left w:val="none" w:sz="0" w:space="0" w:color="auto"/>
        <w:bottom w:val="none" w:sz="0" w:space="0" w:color="auto"/>
        <w:right w:val="none" w:sz="0" w:space="0" w:color="auto"/>
      </w:divBdr>
    </w:div>
    <w:div w:id="1583178268">
      <w:bodyDiv w:val="1"/>
      <w:marLeft w:val="0"/>
      <w:marRight w:val="0"/>
      <w:marTop w:val="0"/>
      <w:marBottom w:val="0"/>
      <w:divBdr>
        <w:top w:val="none" w:sz="0" w:space="0" w:color="auto"/>
        <w:left w:val="none" w:sz="0" w:space="0" w:color="auto"/>
        <w:bottom w:val="none" w:sz="0" w:space="0" w:color="auto"/>
        <w:right w:val="none" w:sz="0" w:space="0" w:color="auto"/>
      </w:divBdr>
    </w:div>
    <w:div w:id="1583219441">
      <w:bodyDiv w:val="1"/>
      <w:marLeft w:val="0"/>
      <w:marRight w:val="0"/>
      <w:marTop w:val="0"/>
      <w:marBottom w:val="0"/>
      <w:divBdr>
        <w:top w:val="none" w:sz="0" w:space="0" w:color="auto"/>
        <w:left w:val="none" w:sz="0" w:space="0" w:color="auto"/>
        <w:bottom w:val="none" w:sz="0" w:space="0" w:color="auto"/>
        <w:right w:val="none" w:sz="0" w:space="0" w:color="auto"/>
      </w:divBdr>
    </w:div>
    <w:div w:id="1583373649">
      <w:bodyDiv w:val="1"/>
      <w:marLeft w:val="0"/>
      <w:marRight w:val="0"/>
      <w:marTop w:val="0"/>
      <w:marBottom w:val="0"/>
      <w:divBdr>
        <w:top w:val="none" w:sz="0" w:space="0" w:color="auto"/>
        <w:left w:val="none" w:sz="0" w:space="0" w:color="auto"/>
        <w:bottom w:val="none" w:sz="0" w:space="0" w:color="auto"/>
        <w:right w:val="none" w:sz="0" w:space="0" w:color="auto"/>
      </w:divBdr>
    </w:div>
    <w:div w:id="1583373989">
      <w:bodyDiv w:val="1"/>
      <w:marLeft w:val="0"/>
      <w:marRight w:val="0"/>
      <w:marTop w:val="0"/>
      <w:marBottom w:val="0"/>
      <w:divBdr>
        <w:top w:val="none" w:sz="0" w:space="0" w:color="auto"/>
        <w:left w:val="none" w:sz="0" w:space="0" w:color="auto"/>
        <w:bottom w:val="none" w:sz="0" w:space="0" w:color="auto"/>
        <w:right w:val="none" w:sz="0" w:space="0" w:color="auto"/>
      </w:divBdr>
    </w:div>
    <w:div w:id="1583416832">
      <w:bodyDiv w:val="1"/>
      <w:marLeft w:val="0"/>
      <w:marRight w:val="0"/>
      <w:marTop w:val="0"/>
      <w:marBottom w:val="0"/>
      <w:divBdr>
        <w:top w:val="none" w:sz="0" w:space="0" w:color="auto"/>
        <w:left w:val="none" w:sz="0" w:space="0" w:color="auto"/>
        <w:bottom w:val="none" w:sz="0" w:space="0" w:color="auto"/>
        <w:right w:val="none" w:sz="0" w:space="0" w:color="auto"/>
      </w:divBdr>
    </w:div>
    <w:div w:id="1583640435">
      <w:bodyDiv w:val="1"/>
      <w:marLeft w:val="0"/>
      <w:marRight w:val="0"/>
      <w:marTop w:val="0"/>
      <w:marBottom w:val="0"/>
      <w:divBdr>
        <w:top w:val="none" w:sz="0" w:space="0" w:color="auto"/>
        <w:left w:val="none" w:sz="0" w:space="0" w:color="auto"/>
        <w:bottom w:val="none" w:sz="0" w:space="0" w:color="auto"/>
        <w:right w:val="none" w:sz="0" w:space="0" w:color="auto"/>
      </w:divBdr>
    </w:div>
    <w:div w:id="1583683095">
      <w:bodyDiv w:val="1"/>
      <w:marLeft w:val="0"/>
      <w:marRight w:val="0"/>
      <w:marTop w:val="0"/>
      <w:marBottom w:val="0"/>
      <w:divBdr>
        <w:top w:val="none" w:sz="0" w:space="0" w:color="auto"/>
        <w:left w:val="none" w:sz="0" w:space="0" w:color="auto"/>
        <w:bottom w:val="none" w:sz="0" w:space="0" w:color="auto"/>
        <w:right w:val="none" w:sz="0" w:space="0" w:color="auto"/>
      </w:divBdr>
    </w:div>
    <w:div w:id="1583756452">
      <w:bodyDiv w:val="1"/>
      <w:marLeft w:val="0"/>
      <w:marRight w:val="0"/>
      <w:marTop w:val="0"/>
      <w:marBottom w:val="0"/>
      <w:divBdr>
        <w:top w:val="none" w:sz="0" w:space="0" w:color="auto"/>
        <w:left w:val="none" w:sz="0" w:space="0" w:color="auto"/>
        <w:bottom w:val="none" w:sz="0" w:space="0" w:color="auto"/>
        <w:right w:val="none" w:sz="0" w:space="0" w:color="auto"/>
      </w:divBdr>
    </w:div>
    <w:div w:id="1583954356">
      <w:bodyDiv w:val="1"/>
      <w:marLeft w:val="0"/>
      <w:marRight w:val="0"/>
      <w:marTop w:val="0"/>
      <w:marBottom w:val="0"/>
      <w:divBdr>
        <w:top w:val="none" w:sz="0" w:space="0" w:color="auto"/>
        <w:left w:val="none" w:sz="0" w:space="0" w:color="auto"/>
        <w:bottom w:val="none" w:sz="0" w:space="0" w:color="auto"/>
        <w:right w:val="none" w:sz="0" w:space="0" w:color="auto"/>
      </w:divBdr>
    </w:div>
    <w:div w:id="1584291574">
      <w:bodyDiv w:val="1"/>
      <w:marLeft w:val="0"/>
      <w:marRight w:val="0"/>
      <w:marTop w:val="0"/>
      <w:marBottom w:val="0"/>
      <w:divBdr>
        <w:top w:val="none" w:sz="0" w:space="0" w:color="auto"/>
        <w:left w:val="none" w:sz="0" w:space="0" w:color="auto"/>
        <w:bottom w:val="none" w:sz="0" w:space="0" w:color="auto"/>
        <w:right w:val="none" w:sz="0" w:space="0" w:color="auto"/>
      </w:divBdr>
    </w:div>
    <w:div w:id="1584292025">
      <w:bodyDiv w:val="1"/>
      <w:marLeft w:val="0"/>
      <w:marRight w:val="0"/>
      <w:marTop w:val="0"/>
      <w:marBottom w:val="0"/>
      <w:divBdr>
        <w:top w:val="none" w:sz="0" w:space="0" w:color="auto"/>
        <w:left w:val="none" w:sz="0" w:space="0" w:color="auto"/>
        <w:bottom w:val="none" w:sz="0" w:space="0" w:color="auto"/>
        <w:right w:val="none" w:sz="0" w:space="0" w:color="auto"/>
      </w:divBdr>
    </w:div>
    <w:div w:id="1584409374">
      <w:bodyDiv w:val="1"/>
      <w:marLeft w:val="0"/>
      <w:marRight w:val="0"/>
      <w:marTop w:val="0"/>
      <w:marBottom w:val="0"/>
      <w:divBdr>
        <w:top w:val="none" w:sz="0" w:space="0" w:color="auto"/>
        <w:left w:val="none" w:sz="0" w:space="0" w:color="auto"/>
        <w:bottom w:val="none" w:sz="0" w:space="0" w:color="auto"/>
        <w:right w:val="none" w:sz="0" w:space="0" w:color="auto"/>
      </w:divBdr>
    </w:div>
    <w:div w:id="1584491405">
      <w:bodyDiv w:val="1"/>
      <w:marLeft w:val="0"/>
      <w:marRight w:val="0"/>
      <w:marTop w:val="0"/>
      <w:marBottom w:val="0"/>
      <w:divBdr>
        <w:top w:val="none" w:sz="0" w:space="0" w:color="auto"/>
        <w:left w:val="none" w:sz="0" w:space="0" w:color="auto"/>
        <w:bottom w:val="none" w:sz="0" w:space="0" w:color="auto"/>
        <w:right w:val="none" w:sz="0" w:space="0" w:color="auto"/>
      </w:divBdr>
    </w:div>
    <w:div w:id="1584530870">
      <w:bodyDiv w:val="1"/>
      <w:marLeft w:val="0"/>
      <w:marRight w:val="0"/>
      <w:marTop w:val="0"/>
      <w:marBottom w:val="0"/>
      <w:divBdr>
        <w:top w:val="none" w:sz="0" w:space="0" w:color="auto"/>
        <w:left w:val="none" w:sz="0" w:space="0" w:color="auto"/>
        <w:bottom w:val="none" w:sz="0" w:space="0" w:color="auto"/>
        <w:right w:val="none" w:sz="0" w:space="0" w:color="auto"/>
      </w:divBdr>
    </w:div>
    <w:div w:id="1584534442">
      <w:bodyDiv w:val="1"/>
      <w:marLeft w:val="0"/>
      <w:marRight w:val="0"/>
      <w:marTop w:val="0"/>
      <w:marBottom w:val="0"/>
      <w:divBdr>
        <w:top w:val="none" w:sz="0" w:space="0" w:color="auto"/>
        <w:left w:val="none" w:sz="0" w:space="0" w:color="auto"/>
        <w:bottom w:val="none" w:sz="0" w:space="0" w:color="auto"/>
        <w:right w:val="none" w:sz="0" w:space="0" w:color="auto"/>
      </w:divBdr>
    </w:div>
    <w:div w:id="1584758243">
      <w:bodyDiv w:val="1"/>
      <w:marLeft w:val="0"/>
      <w:marRight w:val="0"/>
      <w:marTop w:val="0"/>
      <w:marBottom w:val="0"/>
      <w:divBdr>
        <w:top w:val="none" w:sz="0" w:space="0" w:color="auto"/>
        <w:left w:val="none" w:sz="0" w:space="0" w:color="auto"/>
        <w:bottom w:val="none" w:sz="0" w:space="0" w:color="auto"/>
        <w:right w:val="none" w:sz="0" w:space="0" w:color="auto"/>
      </w:divBdr>
    </w:div>
    <w:div w:id="1584876098">
      <w:bodyDiv w:val="1"/>
      <w:marLeft w:val="0"/>
      <w:marRight w:val="0"/>
      <w:marTop w:val="0"/>
      <w:marBottom w:val="0"/>
      <w:divBdr>
        <w:top w:val="none" w:sz="0" w:space="0" w:color="auto"/>
        <w:left w:val="none" w:sz="0" w:space="0" w:color="auto"/>
        <w:bottom w:val="none" w:sz="0" w:space="0" w:color="auto"/>
        <w:right w:val="none" w:sz="0" w:space="0" w:color="auto"/>
      </w:divBdr>
    </w:div>
    <w:div w:id="1584947483">
      <w:bodyDiv w:val="1"/>
      <w:marLeft w:val="0"/>
      <w:marRight w:val="0"/>
      <w:marTop w:val="0"/>
      <w:marBottom w:val="0"/>
      <w:divBdr>
        <w:top w:val="none" w:sz="0" w:space="0" w:color="auto"/>
        <w:left w:val="none" w:sz="0" w:space="0" w:color="auto"/>
        <w:bottom w:val="none" w:sz="0" w:space="0" w:color="auto"/>
        <w:right w:val="none" w:sz="0" w:space="0" w:color="auto"/>
      </w:divBdr>
    </w:div>
    <w:div w:id="1585144036">
      <w:bodyDiv w:val="1"/>
      <w:marLeft w:val="0"/>
      <w:marRight w:val="0"/>
      <w:marTop w:val="0"/>
      <w:marBottom w:val="0"/>
      <w:divBdr>
        <w:top w:val="none" w:sz="0" w:space="0" w:color="auto"/>
        <w:left w:val="none" w:sz="0" w:space="0" w:color="auto"/>
        <w:bottom w:val="none" w:sz="0" w:space="0" w:color="auto"/>
        <w:right w:val="none" w:sz="0" w:space="0" w:color="auto"/>
      </w:divBdr>
    </w:div>
    <w:div w:id="1585189821">
      <w:bodyDiv w:val="1"/>
      <w:marLeft w:val="0"/>
      <w:marRight w:val="0"/>
      <w:marTop w:val="0"/>
      <w:marBottom w:val="0"/>
      <w:divBdr>
        <w:top w:val="none" w:sz="0" w:space="0" w:color="auto"/>
        <w:left w:val="none" w:sz="0" w:space="0" w:color="auto"/>
        <w:bottom w:val="none" w:sz="0" w:space="0" w:color="auto"/>
        <w:right w:val="none" w:sz="0" w:space="0" w:color="auto"/>
      </w:divBdr>
    </w:div>
    <w:div w:id="1585334718">
      <w:bodyDiv w:val="1"/>
      <w:marLeft w:val="0"/>
      <w:marRight w:val="0"/>
      <w:marTop w:val="0"/>
      <w:marBottom w:val="0"/>
      <w:divBdr>
        <w:top w:val="none" w:sz="0" w:space="0" w:color="auto"/>
        <w:left w:val="none" w:sz="0" w:space="0" w:color="auto"/>
        <w:bottom w:val="none" w:sz="0" w:space="0" w:color="auto"/>
        <w:right w:val="none" w:sz="0" w:space="0" w:color="auto"/>
      </w:divBdr>
    </w:div>
    <w:div w:id="1586259402">
      <w:bodyDiv w:val="1"/>
      <w:marLeft w:val="0"/>
      <w:marRight w:val="0"/>
      <w:marTop w:val="0"/>
      <w:marBottom w:val="0"/>
      <w:divBdr>
        <w:top w:val="none" w:sz="0" w:space="0" w:color="auto"/>
        <w:left w:val="none" w:sz="0" w:space="0" w:color="auto"/>
        <w:bottom w:val="none" w:sz="0" w:space="0" w:color="auto"/>
        <w:right w:val="none" w:sz="0" w:space="0" w:color="auto"/>
      </w:divBdr>
    </w:div>
    <w:div w:id="1586259847">
      <w:bodyDiv w:val="1"/>
      <w:marLeft w:val="0"/>
      <w:marRight w:val="0"/>
      <w:marTop w:val="0"/>
      <w:marBottom w:val="0"/>
      <w:divBdr>
        <w:top w:val="none" w:sz="0" w:space="0" w:color="auto"/>
        <w:left w:val="none" w:sz="0" w:space="0" w:color="auto"/>
        <w:bottom w:val="none" w:sz="0" w:space="0" w:color="auto"/>
        <w:right w:val="none" w:sz="0" w:space="0" w:color="auto"/>
      </w:divBdr>
    </w:div>
    <w:div w:id="1586376926">
      <w:bodyDiv w:val="1"/>
      <w:marLeft w:val="0"/>
      <w:marRight w:val="0"/>
      <w:marTop w:val="0"/>
      <w:marBottom w:val="0"/>
      <w:divBdr>
        <w:top w:val="none" w:sz="0" w:space="0" w:color="auto"/>
        <w:left w:val="none" w:sz="0" w:space="0" w:color="auto"/>
        <w:bottom w:val="none" w:sz="0" w:space="0" w:color="auto"/>
        <w:right w:val="none" w:sz="0" w:space="0" w:color="auto"/>
      </w:divBdr>
    </w:div>
    <w:div w:id="1586762362">
      <w:bodyDiv w:val="1"/>
      <w:marLeft w:val="0"/>
      <w:marRight w:val="0"/>
      <w:marTop w:val="0"/>
      <w:marBottom w:val="0"/>
      <w:divBdr>
        <w:top w:val="none" w:sz="0" w:space="0" w:color="auto"/>
        <w:left w:val="none" w:sz="0" w:space="0" w:color="auto"/>
        <w:bottom w:val="none" w:sz="0" w:space="0" w:color="auto"/>
        <w:right w:val="none" w:sz="0" w:space="0" w:color="auto"/>
      </w:divBdr>
    </w:div>
    <w:div w:id="1587105876">
      <w:bodyDiv w:val="1"/>
      <w:marLeft w:val="0"/>
      <w:marRight w:val="0"/>
      <w:marTop w:val="0"/>
      <w:marBottom w:val="0"/>
      <w:divBdr>
        <w:top w:val="none" w:sz="0" w:space="0" w:color="auto"/>
        <w:left w:val="none" w:sz="0" w:space="0" w:color="auto"/>
        <w:bottom w:val="none" w:sz="0" w:space="0" w:color="auto"/>
        <w:right w:val="none" w:sz="0" w:space="0" w:color="auto"/>
      </w:divBdr>
    </w:div>
    <w:div w:id="1587107947">
      <w:bodyDiv w:val="1"/>
      <w:marLeft w:val="0"/>
      <w:marRight w:val="0"/>
      <w:marTop w:val="0"/>
      <w:marBottom w:val="0"/>
      <w:divBdr>
        <w:top w:val="none" w:sz="0" w:space="0" w:color="auto"/>
        <w:left w:val="none" w:sz="0" w:space="0" w:color="auto"/>
        <w:bottom w:val="none" w:sz="0" w:space="0" w:color="auto"/>
        <w:right w:val="none" w:sz="0" w:space="0" w:color="auto"/>
      </w:divBdr>
    </w:div>
    <w:div w:id="1587230055">
      <w:bodyDiv w:val="1"/>
      <w:marLeft w:val="0"/>
      <w:marRight w:val="0"/>
      <w:marTop w:val="0"/>
      <w:marBottom w:val="0"/>
      <w:divBdr>
        <w:top w:val="none" w:sz="0" w:space="0" w:color="auto"/>
        <w:left w:val="none" w:sz="0" w:space="0" w:color="auto"/>
        <w:bottom w:val="none" w:sz="0" w:space="0" w:color="auto"/>
        <w:right w:val="none" w:sz="0" w:space="0" w:color="auto"/>
      </w:divBdr>
    </w:div>
    <w:div w:id="1587304841">
      <w:bodyDiv w:val="1"/>
      <w:marLeft w:val="0"/>
      <w:marRight w:val="0"/>
      <w:marTop w:val="0"/>
      <w:marBottom w:val="0"/>
      <w:divBdr>
        <w:top w:val="none" w:sz="0" w:space="0" w:color="auto"/>
        <w:left w:val="none" w:sz="0" w:space="0" w:color="auto"/>
        <w:bottom w:val="none" w:sz="0" w:space="0" w:color="auto"/>
        <w:right w:val="none" w:sz="0" w:space="0" w:color="auto"/>
      </w:divBdr>
    </w:div>
    <w:div w:id="1587575116">
      <w:bodyDiv w:val="1"/>
      <w:marLeft w:val="0"/>
      <w:marRight w:val="0"/>
      <w:marTop w:val="0"/>
      <w:marBottom w:val="0"/>
      <w:divBdr>
        <w:top w:val="none" w:sz="0" w:space="0" w:color="auto"/>
        <w:left w:val="none" w:sz="0" w:space="0" w:color="auto"/>
        <w:bottom w:val="none" w:sz="0" w:space="0" w:color="auto"/>
        <w:right w:val="none" w:sz="0" w:space="0" w:color="auto"/>
      </w:divBdr>
    </w:div>
    <w:div w:id="1587614149">
      <w:bodyDiv w:val="1"/>
      <w:marLeft w:val="0"/>
      <w:marRight w:val="0"/>
      <w:marTop w:val="0"/>
      <w:marBottom w:val="0"/>
      <w:divBdr>
        <w:top w:val="none" w:sz="0" w:space="0" w:color="auto"/>
        <w:left w:val="none" w:sz="0" w:space="0" w:color="auto"/>
        <w:bottom w:val="none" w:sz="0" w:space="0" w:color="auto"/>
        <w:right w:val="none" w:sz="0" w:space="0" w:color="auto"/>
      </w:divBdr>
    </w:div>
    <w:div w:id="1587686881">
      <w:bodyDiv w:val="1"/>
      <w:marLeft w:val="0"/>
      <w:marRight w:val="0"/>
      <w:marTop w:val="0"/>
      <w:marBottom w:val="0"/>
      <w:divBdr>
        <w:top w:val="none" w:sz="0" w:space="0" w:color="auto"/>
        <w:left w:val="none" w:sz="0" w:space="0" w:color="auto"/>
        <w:bottom w:val="none" w:sz="0" w:space="0" w:color="auto"/>
        <w:right w:val="none" w:sz="0" w:space="0" w:color="auto"/>
      </w:divBdr>
    </w:div>
    <w:div w:id="1587881123">
      <w:bodyDiv w:val="1"/>
      <w:marLeft w:val="0"/>
      <w:marRight w:val="0"/>
      <w:marTop w:val="0"/>
      <w:marBottom w:val="0"/>
      <w:divBdr>
        <w:top w:val="none" w:sz="0" w:space="0" w:color="auto"/>
        <w:left w:val="none" w:sz="0" w:space="0" w:color="auto"/>
        <w:bottom w:val="none" w:sz="0" w:space="0" w:color="auto"/>
        <w:right w:val="none" w:sz="0" w:space="0" w:color="auto"/>
      </w:divBdr>
    </w:div>
    <w:div w:id="1588154626">
      <w:bodyDiv w:val="1"/>
      <w:marLeft w:val="0"/>
      <w:marRight w:val="0"/>
      <w:marTop w:val="0"/>
      <w:marBottom w:val="0"/>
      <w:divBdr>
        <w:top w:val="none" w:sz="0" w:space="0" w:color="auto"/>
        <w:left w:val="none" w:sz="0" w:space="0" w:color="auto"/>
        <w:bottom w:val="none" w:sz="0" w:space="0" w:color="auto"/>
        <w:right w:val="none" w:sz="0" w:space="0" w:color="auto"/>
      </w:divBdr>
    </w:div>
    <w:div w:id="1588345993">
      <w:bodyDiv w:val="1"/>
      <w:marLeft w:val="0"/>
      <w:marRight w:val="0"/>
      <w:marTop w:val="0"/>
      <w:marBottom w:val="0"/>
      <w:divBdr>
        <w:top w:val="none" w:sz="0" w:space="0" w:color="auto"/>
        <w:left w:val="none" w:sz="0" w:space="0" w:color="auto"/>
        <w:bottom w:val="none" w:sz="0" w:space="0" w:color="auto"/>
        <w:right w:val="none" w:sz="0" w:space="0" w:color="auto"/>
      </w:divBdr>
    </w:div>
    <w:div w:id="1588613856">
      <w:bodyDiv w:val="1"/>
      <w:marLeft w:val="0"/>
      <w:marRight w:val="0"/>
      <w:marTop w:val="0"/>
      <w:marBottom w:val="0"/>
      <w:divBdr>
        <w:top w:val="none" w:sz="0" w:space="0" w:color="auto"/>
        <w:left w:val="none" w:sz="0" w:space="0" w:color="auto"/>
        <w:bottom w:val="none" w:sz="0" w:space="0" w:color="auto"/>
        <w:right w:val="none" w:sz="0" w:space="0" w:color="auto"/>
      </w:divBdr>
    </w:div>
    <w:div w:id="1588614782">
      <w:bodyDiv w:val="1"/>
      <w:marLeft w:val="0"/>
      <w:marRight w:val="0"/>
      <w:marTop w:val="0"/>
      <w:marBottom w:val="0"/>
      <w:divBdr>
        <w:top w:val="none" w:sz="0" w:space="0" w:color="auto"/>
        <w:left w:val="none" w:sz="0" w:space="0" w:color="auto"/>
        <w:bottom w:val="none" w:sz="0" w:space="0" w:color="auto"/>
        <w:right w:val="none" w:sz="0" w:space="0" w:color="auto"/>
      </w:divBdr>
    </w:div>
    <w:div w:id="1588732219">
      <w:bodyDiv w:val="1"/>
      <w:marLeft w:val="0"/>
      <w:marRight w:val="0"/>
      <w:marTop w:val="0"/>
      <w:marBottom w:val="0"/>
      <w:divBdr>
        <w:top w:val="none" w:sz="0" w:space="0" w:color="auto"/>
        <w:left w:val="none" w:sz="0" w:space="0" w:color="auto"/>
        <w:bottom w:val="none" w:sz="0" w:space="0" w:color="auto"/>
        <w:right w:val="none" w:sz="0" w:space="0" w:color="auto"/>
      </w:divBdr>
    </w:div>
    <w:div w:id="1588809417">
      <w:bodyDiv w:val="1"/>
      <w:marLeft w:val="0"/>
      <w:marRight w:val="0"/>
      <w:marTop w:val="0"/>
      <w:marBottom w:val="0"/>
      <w:divBdr>
        <w:top w:val="none" w:sz="0" w:space="0" w:color="auto"/>
        <w:left w:val="none" w:sz="0" w:space="0" w:color="auto"/>
        <w:bottom w:val="none" w:sz="0" w:space="0" w:color="auto"/>
        <w:right w:val="none" w:sz="0" w:space="0" w:color="auto"/>
      </w:divBdr>
    </w:div>
    <w:div w:id="1588997498">
      <w:bodyDiv w:val="1"/>
      <w:marLeft w:val="0"/>
      <w:marRight w:val="0"/>
      <w:marTop w:val="0"/>
      <w:marBottom w:val="0"/>
      <w:divBdr>
        <w:top w:val="none" w:sz="0" w:space="0" w:color="auto"/>
        <w:left w:val="none" w:sz="0" w:space="0" w:color="auto"/>
        <w:bottom w:val="none" w:sz="0" w:space="0" w:color="auto"/>
        <w:right w:val="none" w:sz="0" w:space="0" w:color="auto"/>
      </w:divBdr>
    </w:div>
    <w:div w:id="1589457523">
      <w:bodyDiv w:val="1"/>
      <w:marLeft w:val="0"/>
      <w:marRight w:val="0"/>
      <w:marTop w:val="0"/>
      <w:marBottom w:val="0"/>
      <w:divBdr>
        <w:top w:val="none" w:sz="0" w:space="0" w:color="auto"/>
        <w:left w:val="none" w:sz="0" w:space="0" w:color="auto"/>
        <w:bottom w:val="none" w:sz="0" w:space="0" w:color="auto"/>
        <w:right w:val="none" w:sz="0" w:space="0" w:color="auto"/>
      </w:divBdr>
    </w:div>
    <w:div w:id="1589580455">
      <w:bodyDiv w:val="1"/>
      <w:marLeft w:val="0"/>
      <w:marRight w:val="0"/>
      <w:marTop w:val="0"/>
      <w:marBottom w:val="0"/>
      <w:divBdr>
        <w:top w:val="none" w:sz="0" w:space="0" w:color="auto"/>
        <w:left w:val="none" w:sz="0" w:space="0" w:color="auto"/>
        <w:bottom w:val="none" w:sz="0" w:space="0" w:color="auto"/>
        <w:right w:val="none" w:sz="0" w:space="0" w:color="auto"/>
      </w:divBdr>
    </w:div>
    <w:div w:id="1589582573">
      <w:bodyDiv w:val="1"/>
      <w:marLeft w:val="0"/>
      <w:marRight w:val="0"/>
      <w:marTop w:val="0"/>
      <w:marBottom w:val="0"/>
      <w:divBdr>
        <w:top w:val="none" w:sz="0" w:space="0" w:color="auto"/>
        <w:left w:val="none" w:sz="0" w:space="0" w:color="auto"/>
        <w:bottom w:val="none" w:sz="0" w:space="0" w:color="auto"/>
        <w:right w:val="none" w:sz="0" w:space="0" w:color="auto"/>
      </w:divBdr>
    </w:div>
    <w:div w:id="1589730530">
      <w:bodyDiv w:val="1"/>
      <w:marLeft w:val="0"/>
      <w:marRight w:val="0"/>
      <w:marTop w:val="0"/>
      <w:marBottom w:val="0"/>
      <w:divBdr>
        <w:top w:val="none" w:sz="0" w:space="0" w:color="auto"/>
        <w:left w:val="none" w:sz="0" w:space="0" w:color="auto"/>
        <w:bottom w:val="none" w:sz="0" w:space="0" w:color="auto"/>
        <w:right w:val="none" w:sz="0" w:space="0" w:color="auto"/>
      </w:divBdr>
    </w:div>
    <w:div w:id="1589772975">
      <w:bodyDiv w:val="1"/>
      <w:marLeft w:val="0"/>
      <w:marRight w:val="0"/>
      <w:marTop w:val="0"/>
      <w:marBottom w:val="0"/>
      <w:divBdr>
        <w:top w:val="none" w:sz="0" w:space="0" w:color="auto"/>
        <w:left w:val="none" w:sz="0" w:space="0" w:color="auto"/>
        <w:bottom w:val="none" w:sz="0" w:space="0" w:color="auto"/>
        <w:right w:val="none" w:sz="0" w:space="0" w:color="auto"/>
      </w:divBdr>
    </w:div>
    <w:div w:id="1590308914">
      <w:bodyDiv w:val="1"/>
      <w:marLeft w:val="0"/>
      <w:marRight w:val="0"/>
      <w:marTop w:val="0"/>
      <w:marBottom w:val="0"/>
      <w:divBdr>
        <w:top w:val="none" w:sz="0" w:space="0" w:color="auto"/>
        <w:left w:val="none" w:sz="0" w:space="0" w:color="auto"/>
        <w:bottom w:val="none" w:sz="0" w:space="0" w:color="auto"/>
        <w:right w:val="none" w:sz="0" w:space="0" w:color="auto"/>
      </w:divBdr>
    </w:div>
    <w:div w:id="1590311525">
      <w:bodyDiv w:val="1"/>
      <w:marLeft w:val="0"/>
      <w:marRight w:val="0"/>
      <w:marTop w:val="0"/>
      <w:marBottom w:val="0"/>
      <w:divBdr>
        <w:top w:val="none" w:sz="0" w:space="0" w:color="auto"/>
        <w:left w:val="none" w:sz="0" w:space="0" w:color="auto"/>
        <w:bottom w:val="none" w:sz="0" w:space="0" w:color="auto"/>
        <w:right w:val="none" w:sz="0" w:space="0" w:color="auto"/>
      </w:divBdr>
    </w:div>
    <w:div w:id="1590386269">
      <w:bodyDiv w:val="1"/>
      <w:marLeft w:val="0"/>
      <w:marRight w:val="0"/>
      <w:marTop w:val="0"/>
      <w:marBottom w:val="0"/>
      <w:divBdr>
        <w:top w:val="none" w:sz="0" w:space="0" w:color="auto"/>
        <w:left w:val="none" w:sz="0" w:space="0" w:color="auto"/>
        <w:bottom w:val="none" w:sz="0" w:space="0" w:color="auto"/>
        <w:right w:val="none" w:sz="0" w:space="0" w:color="auto"/>
      </w:divBdr>
    </w:div>
    <w:div w:id="1590576773">
      <w:bodyDiv w:val="1"/>
      <w:marLeft w:val="0"/>
      <w:marRight w:val="0"/>
      <w:marTop w:val="0"/>
      <w:marBottom w:val="0"/>
      <w:divBdr>
        <w:top w:val="none" w:sz="0" w:space="0" w:color="auto"/>
        <w:left w:val="none" w:sz="0" w:space="0" w:color="auto"/>
        <w:bottom w:val="none" w:sz="0" w:space="0" w:color="auto"/>
        <w:right w:val="none" w:sz="0" w:space="0" w:color="auto"/>
      </w:divBdr>
    </w:div>
    <w:div w:id="1590656266">
      <w:bodyDiv w:val="1"/>
      <w:marLeft w:val="0"/>
      <w:marRight w:val="0"/>
      <w:marTop w:val="0"/>
      <w:marBottom w:val="0"/>
      <w:divBdr>
        <w:top w:val="none" w:sz="0" w:space="0" w:color="auto"/>
        <w:left w:val="none" w:sz="0" w:space="0" w:color="auto"/>
        <w:bottom w:val="none" w:sz="0" w:space="0" w:color="auto"/>
        <w:right w:val="none" w:sz="0" w:space="0" w:color="auto"/>
      </w:divBdr>
    </w:div>
    <w:div w:id="1590698915">
      <w:bodyDiv w:val="1"/>
      <w:marLeft w:val="0"/>
      <w:marRight w:val="0"/>
      <w:marTop w:val="0"/>
      <w:marBottom w:val="0"/>
      <w:divBdr>
        <w:top w:val="none" w:sz="0" w:space="0" w:color="auto"/>
        <w:left w:val="none" w:sz="0" w:space="0" w:color="auto"/>
        <w:bottom w:val="none" w:sz="0" w:space="0" w:color="auto"/>
        <w:right w:val="none" w:sz="0" w:space="0" w:color="auto"/>
      </w:divBdr>
    </w:div>
    <w:div w:id="1590892594">
      <w:bodyDiv w:val="1"/>
      <w:marLeft w:val="0"/>
      <w:marRight w:val="0"/>
      <w:marTop w:val="0"/>
      <w:marBottom w:val="0"/>
      <w:divBdr>
        <w:top w:val="none" w:sz="0" w:space="0" w:color="auto"/>
        <w:left w:val="none" w:sz="0" w:space="0" w:color="auto"/>
        <w:bottom w:val="none" w:sz="0" w:space="0" w:color="auto"/>
        <w:right w:val="none" w:sz="0" w:space="0" w:color="auto"/>
      </w:divBdr>
    </w:div>
    <w:div w:id="1590918224">
      <w:bodyDiv w:val="1"/>
      <w:marLeft w:val="0"/>
      <w:marRight w:val="0"/>
      <w:marTop w:val="0"/>
      <w:marBottom w:val="0"/>
      <w:divBdr>
        <w:top w:val="none" w:sz="0" w:space="0" w:color="auto"/>
        <w:left w:val="none" w:sz="0" w:space="0" w:color="auto"/>
        <w:bottom w:val="none" w:sz="0" w:space="0" w:color="auto"/>
        <w:right w:val="none" w:sz="0" w:space="0" w:color="auto"/>
      </w:divBdr>
    </w:div>
    <w:div w:id="1591430098">
      <w:bodyDiv w:val="1"/>
      <w:marLeft w:val="0"/>
      <w:marRight w:val="0"/>
      <w:marTop w:val="0"/>
      <w:marBottom w:val="0"/>
      <w:divBdr>
        <w:top w:val="none" w:sz="0" w:space="0" w:color="auto"/>
        <w:left w:val="none" w:sz="0" w:space="0" w:color="auto"/>
        <w:bottom w:val="none" w:sz="0" w:space="0" w:color="auto"/>
        <w:right w:val="none" w:sz="0" w:space="0" w:color="auto"/>
      </w:divBdr>
    </w:div>
    <w:div w:id="1591740694">
      <w:bodyDiv w:val="1"/>
      <w:marLeft w:val="0"/>
      <w:marRight w:val="0"/>
      <w:marTop w:val="0"/>
      <w:marBottom w:val="0"/>
      <w:divBdr>
        <w:top w:val="none" w:sz="0" w:space="0" w:color="auto"/>
        <w:left w:val="none" w:sz="0" w:space="0" w:color="auto"/>
        <w:bottom w:val="none" w:sz="0" w:space="0" w:color="auto"/>
        <w:right w:val="none" w:sz="0" w:space="0" w:color="auto"/>
      </w:divBdr>
    </w:div>
    <w:div w:id="1592197358">
      <w:bodyDiv w:val="1"/>
      <w:marLeft w:val="0"/>
      <w:marRight w:val="0"/>
      <w:marTop w:val="0"/>
      <w:marBottom w:val="0"/>
      <w:divBdr>
        <w:top w:val="none" w:sz="0" w:space="0" w:color="auto"/>
        <w:left w:val="none" w:sz="0" w:space="0" w:color="auto"/>
        <w:bottom w:val="none" w:sz="0" w:space="0" w:color="auto"/>
        <w:right w:val="none" w:sz="0" w:space="0" w:color="auto"/>
      </w:divBdr>
    </w:div>
    <w:div w:id="1592202080">
      <w:bodyDiv w:val="1"/>
      <w:marLeft w:val="0"/>
      <w:marRight w:val="0"/>
      <w:marTop w:val="0"/>
      <w:marBottom w:val="0"/>
      <w:divBdr>
        <w:top w:val="none" w:sz="0" w:space="0" w:color="auto"/>
        <w:left w:val="none" w:sz="0" w:space="0" w:color="auto"/>
        <w:bottom w:val="none" w:sz="0" w:space="0" w:color="auto"/>
        <w:right w:val="none" w:sz="0" w:space="0" w:color="auto"/>
      </w:divBdr>
    </w:div>
    <w:div w:id="1592467944">
      <w:bodyDiv w:val="1"/>
      <w:marLeft w:val="0"/>
      <w:marRight w:val="0"/>
      <w:marTop w:val="0"/>
      <w:marBottom w:val="0"/>
      <w:divBdr>
        <w:top w:val="none" w:sz="0" w:space="0" w:color="auto"/>
        <w:left w:val="none" w:sz="0" w:space="0" w:color="auto"/>
        <w:bottom w:val="none" w:sz="0" w:space="0" w:color="auto"/>
        <w:right w:val="none" w:sz="0" w:space="0" w:color="auto"/>
      </w:divBdr>
    </w:div>
    <w:div w:id="1592734098">
      <w:bodyDiv w:val="1"/>
      <w:marLeft w:val="0"/>
      <w:marRight w:val="0"/>
      <w:marTop w:val="0"/>
      <w:marBottom w:val="0"/>
      <w:divBdr>
        <w:top w:val="none" w:sz="0" w:space="0" w:color="auto"/>
        <w:left w:val="none" w:sz="0" w:space="0" w:color="auto"/>
        <w:bottom w:val="none" w:sz="0" w:space="0" w:color="auto"/>
        <w:right w:val="none" w:sz="0" w:space="0" w:color="auto"/>
      </w:divBdr>
    </w:div>
    <w:div w:id="1592737893">
      <w:bodyDiv w:val="1"/>
      <w:marLeft w:val="0"/>
      <w:marRight w:val="0"/>
      <w:marTop w:val="0"/>
      <w:marBottom w:val="0"/>
      <w:divBdr>
        <w:top w:val="none" w:sz="0" w:space="0" w:color="auto"/>
        <w:left w:val="none" w:sz="0" w:space="0" w:color="auto"/>
        <w:bottom w:val="none" w:sz="0" w:space="0" w:color="auto"/>
        <w:right w:val="none" w:sz="0" w:space="0" w:color="auto"/>
      </w:divBdr>
    </w:div>
    <w:div w:id="1593007268">
      <w:bodyDiv w:val="1"/>
      <w:marLeft w:val="0"/>
      <w:marRight w:val="0"/>
      <w:marTop w:val="0"/>
      <w:marBottom w:val="0"/>
      <w:divBdr>
        <w:top w:val="none" w:sz="0" w:space="0" w:color="auto"/>
        <w:left w:val="none" w:sz="0" w:space="0" w:color="auto"/>
        <w:bottom w:val="none" w:sz="0" w:space="0" w:color="auto"/>
        <w:right w:val="none" w:sz="0" w:space="0" w:color="auto"/>
      </w:divBdr>
    </w:div>
    <w:div w:id="1593277604">
      <w:bodyDiv w:val="1"/>
      <w:marLeft w:val="0"/>
      <w:marRight w:val="0"/>
      <w:marTop w:val="0"/>
      <w:marBottom w:val="0"/>
      <w:divBdr>
        <w:top w:val="none" w:sz="0" w:space="0" w:color="auto"/>
        <w:left w:val="none" w:sz="0" w:space="0" w:color="auto"/>
        <w:bottom w:val="none" w:sz="0" w:space="0" w:color="auto"/>
        <w:right w:val="none" w:sz="0" w:space="0" w:color="auto"/>
      </w:divBdr>
    </w:div>
    <w:div w:id="1593320301">
      <w:bodyDiv w:val="1"/>
      <w:marLeft w:val="0"/>
      <w:marRight w:val="0"/>
      <w:marTop w:val="0"/>
      <w:marBottom w:val="0"/>
      <w:divBdr>
        <w:top w:val="none" w:sz="0" w:space="0" w:color="auto"/>
        <w:left w:val="none" w:sz="0" w:space="0" w:color="auto"/>
        <w:bottom w:val="none" w:sz="0" w:space="0" w:color="auto"/>
        <w:right w:val="none" w:sz="0" w:space="0" w:color="auto"/>
      </w:divBdr>
    </w:div>
    <w:div w:id="1593467315">
      <w:bodyDiv w:val="1"/>
      <w:marLeft w:val="0"/>
      <w:marRight w:val="0"/>
      <w:marTop w:val="0"/>
      <w:marBottom w:val="0"/>
      <w:divBdr>
        <w:top w:val="none" w:sz="0" w:space="0" w:color="auto"/>
        <w:left w:val="none" w:sz="0" w:space="0" w:color="auto"/>
        <w:bottom w:val="none" w:sz="0" w:space="0" w:color="auto"/>
        <w:right w:val="none" w:sz="0" w:space="0" w:color="auto"/>
      </w:divBdr>
    </w:div>
    <w:div w:id="1593664025">
      <w:bodyDiv w:val="1"/>
      <w:marLeft w:val="0"/>
      <w:marRight w:val="0"/>
      <w:marTop w:val="0"/>
      <w:marBottom w:val="0"/>
      <w:divBdr>
        <w:top w:val="none" w:sz="0" w:space="0" w:color="auto"/>
        <w:left w:val="none" w:sz="0" w:space="0" w:color="auto"/>
        <w:bottom w:val="none" w:sz="0" w:space="0" w:color="auto"/>
        <w:right w:val="none" w:sz="0" w:space="0" w:color="auto"/>
      </w:divBdr>
    </w:div>
    <w:div w:id="1593854974">
      <w:bodyDiv w:val="1"/>
      <w:marLeft w:val="0"/>
      <w:marRight w:val="0"/>
      <w:marTop w:val="0"/>
      <w:marBottom w:val="0"/>
      <w:divBdr>
        <w:top w:val="none" w:sz="0" w:space="0" w:color="auto"/>
        <w:left w:val="none" w:sz="0" w:space="0" w:color="auto"/>
        <w:bottom w:val="none" w:sz="0" w:space="0" w:color="auto"/>
        <w:right w:val="none" w:sz="0" w:space="0" w:color="auto"/>
      </w:divBdr>
    </w:div>
    <w:div w:id="1593858229">
      <w:bodyDiv w:val="1"/>
      <w:marLeft w:val="0"/>
      <w:marRight w:val="0"/>
      <w:marTop w:val="0"/>
      <w:marBottom w:val="0"/>
      <w:divBdr>
        <w:top w:val="none" w:sz="0" w:space="0" w:color="auto"/>
        <w:left w:val="none" w:sz="0" w:space="0" w:color="auto"/>
        <w:bottom w:val="none" w:sz="0" w:space="0" w:color="auto"/>
        <w:right w:val="none" w:sz="0" w:space="0" w:color="auto"/>
      </w:divBdr>
    </w:div>
    <w:div w:id="1593859336">
      <w:bodyDiv w:val="1"/>
      <w:marLeft w:val="0"/>
      <w:marRight w:val="0"/>
      <w:marTop w:val="0"/>
      <w:marBottom w:val="0"/>
      <w:divBdr>
        <w:top w:val="none" w:sz="0" w:space="0" w:color="auto"/>
        <w:left w:val="none" w:sz="0" w:space="0" w:color="auto"/>
        <w:bottom w:val="none" w:sz="0" w:space="0" w:color="auto"/>
        <w:right w:val="none" w:sz="0" w:space="0" w:color="auto"/>
      </w:divBdr>
    </w:div>
    <w:div w:id="1593928156">
      <w:bodyDiv w:val="1"/>
      <w:marLeft w:val="0"/>
      <w:marRight w:val="0"/>
      <w:marTop w:val="0"/>
      <w:marBottom w:val="0"/>
      <w:divBdr>
        <w:top w:val="none" w:sz="0" w:space="0" w:color="auto"/>
        <w:left w:val="none" w:sz="0" w:space="0" w:color="auto"/>
        <w:bottom w:val="none" w:sz="0" w:space="0" w:color="auto"/>
        <w:right w:val="none" w:sz="0" w:space="0" w:color="auto"/>
      </w:divBdr>
    </w:div>
    <w:div w:id="1593929459">
      <w:bodyDiv w:val="1"/>
      <w:marLeft w:val="0"/>
      <w:marRight w:val="0"/>
      <w:marTop w:val="0"/>
      <w:marBottom w:val="0"/>
      <w:divBdr>
        <w:top w:val="none" w:sz="0" w:space="0" w:color="auto"/>
        <w:left w:val="none" w:sz="0" w:space="0" w:color="auto"/>
        <w:bottom w:val="none" w:sz="0" w:space="0" w:color="auto"/>
        <w:right w:val="none" w:sz="0" w:space="0" w:color="auto"/>
      </w:divBdr>
    </w:div>
    <w:div w:id="1594126608">
      <w:bodyDiv w:val="1"/>
      <w:marLeft w:val="0"/>
      <w:marRight w:val="0"/>
      <w:marTop w:val="0"/>
      <w:marBottom w:val="0"/>
      <w:divBdr>
        <w:top w:val="none" w:sz="0" w:space="0" w:color="auto"/>
        <w:left w:val="none" w:sz="0" w:space="0" w:color="auto"/>
        <w:bottom w:val="none" w:sz="0" w:space="0" w:color="auto"/>
        <w:right w:val="none" w:sz="0" w:space="0" w:color="auto"/>
      </w:divBdr>
    </w:div>
    <w:div w:id="1594239357">
      <w:bodyDiv w:val="1"/>
      <w:marLeft w:val="0"/>
      <w:marRight w:val="0"/>
      <w:marTop w:val="0"/>
      <w:marBottom w:val="0"/>
      <w:divBdr>
        <w:top w:val="none" w:sz="0" w:space="0" w:color="auto"/>
        <w:left w:val="none" w:sz="0" w:space="0" w:color="auto"/>
        <w:bottom w:val="none" w:sz="0" w:space="0" w:color="auto"/>
        <w:right w:val="none" w:sz="0" w:space="0" w:color="auto"/>
      </w:divBdr>
    </w:div>
    <w:div w:id="1594514151">
      <w:bodyDiv w:val="1"/>
      <w:marLeft w:val="0"/>
      <w:marRight w:val="0"/>
      <w:marTop w:val="0"/>
      <w:marBottom w:val="0"/>
      <w:divBdr>
        <w:top w:val="none" w:sz="0" w:space="0" w:color="auto"/>
        <w:left w:val="none" w:sz="0" w:space="0" w:color="auto"/>
        <w:bottom w:val="none" w:sz="0" w:space="0" w:color="auto"/>
        <w:right w:val="none" w:sz="0" w:space="0" w:color="auto"/>
      </w:divBdr>
    </w:div>
    <w:div w:id="1594628554">
      <w:bodyDiv w:val="1"/>
      <w:marLeft w:val="0"/>
      <w:marRight w:val="0"/>
      <w:marTop w:val="0"/>
      <w:marBottom w:val="0"/>
      <w:divBdr>
        <w:top w:val="none" w:sz="0" w:space="0" w:color="auto"/>
        <w:left w:val="none" w:sz="0" w:space="0" w:color="auto"/>
        <w:bottom w:val="none" w:sz="0" w:space="0" w:color="auto"/>
        <w:right w:val="none" w:sz="0" w:space="0" w:color="auto"/>
      </w:divBdr>
    </w:div>
    <w:div w:id="1594783179">
      <w:bodyDiv w:val="1"/>
      <w:marLeft w:val="0"/>
      <w:marRight w:val="0"/>
      <w:marTop w:val="0"/>
      <w:marBottom w:val="0"/>
      <w:divBdr>
        <w:top w:val="none" w:sz="0" w:space="0" w:color="auto"/>
        <w:left w:val="none" w:sz="0" w:space="0" w:color="auto"/>
        <w:bottom w:val="none" w:sz="0" w:space="0" w:color="auto"/>
        <w:right w:val="none" w:sz="0" w:space="0" w:color="auto"/>
      </w:divBdr>
    </w:div>
    <w:div w:id="1594893318">
      <w:bodyDiv w:val="1"/>
      <w:marLeft w:val="0"/>
      <w:marRight w:val="0"/>
      <w:marTop w:val="0"/>
      <w:marBottom w:val="0"/>
      <w:divBdr>
        <w:top w:val="none" w:sz="0" w:space="0" w:color="auto"/>
        <w:left w:val="none" w:sz="0" w:space="0" w:color="auto"/>
        <w:bottom w:val="none" w:sz="0" w:space="0" w:color="auto"/>
        <w:right w:val="none" w:sz="0" w:space="0" w:color="auto"/>
      </w:divBdr>
    </w:div>
    <w:div w:id="1595240044">
      <w:bodyDiv w:val="1"/>
      <w:marLeft w:val="0"/>
      <w:marRight w:val="0"/>
      <w:marTop w:val="0"/>
      <w:marBottom w:val="0"/>
      <w:divBdr>
        <w:top w:val="none" w:sz="0" w:space="0" w:color="auto"/>
        <w:left w:val="none" w:sz="0" w:space="0" w:color="auto"/>
        <w:bottom w:val="none" w:sz="0" w:space="0" w:color="auto"/>
        <w:right w:val="none" w:sz="0" w:space="0" w:color="auto"/>
      </w:divBdr>
    </w:div>
    <w:div w:id="1595243015">
      <w:bodyDiv w:val="1"/>
      <w:marLeft w:val="0"/>
      <w:marRight w:val="0"/>
      <w:marTop w:val="0"/>
      <w:marBottom w:val="0"/>
      <w:divBdr>
        <w:top w:val="none" w:sz="0" w:space="0" w:color="auto"/>
        <w:left w:val="none" w:sz="0" w:space="0" w:color="auto"/>
        <w:bottom w:val="none" w:sz="0" w:space="0" w:color="auto"/>
        <w:right w:val="none" w:sz="0" w:space="0" w:color="auto"/>
      </w:divBdr>
    </w:div>
    <w:div w:id="1595361331">
      <w:bodyDiv w:val="1"/>
      <w:marLeft w:val="0"/>
      <w:marRight w:val="0"/>
      <w:marTop w:val="0"/>
      <w:marBottom w:val="0"/>
      <w:divBdr>
        <w:top w:val="none" w:sz="0" w:space="0" w:color="auto"/>
        <w:left w:val="none" w:sz="0" w:space="0" w:color="auto"/>
        <w:bottom w:val="none" w:sz="0" w:space="0" w:color="auto"/>
        <w:right w:val="none" w:sz="0" w:space="0" w:color="auto"/>
      </w:divBdr>
    </w:div>
    <w:div w:id="1595433020">
      <w:bodyDiv w:val="1"/>
      <w:marLeft w:val="0"/>
      <w:marRight w:val="0"/>
      <w:marTop w:val="0"/>
      <w:marBottom w:val="0"/>
      <w:divBdr>
        <w:top w:val="none" w:sz="0" w:space="0" w:color="auto"/>
        <w:left w:val="none" w:sz="0" w:space="0" w:color="auto"/>
        <w:bottom w:val="none" w:sz="0" w:space="0" w:color="auto"/>
        <w:right w:val="none" w:sz="0" w:space="0" w:color="auto"/>
      </w:divBdr>
    </w:div>
    <w:div w:id="1595744196">
      <w:bodyDiv w:val="1"/>
      <w:marLeft w:val="0"/>
      <w:marRight w:val="0"/>
      <w:marTop w:val="0"/>
      <w:marBottom w:val="0"/>
      <w:divBdr>
        <w:top w:val="none" w:sz="0" w:space="0" w:color="auto"/>
        <w:left w:val="none" w:sz="0" w:space="0" w:color="auto"/>
        <w:bottom w:val="none" w:sz="0" w:space="0" w:color="auto"/>
        <w:right w:val="none" w:sz="0" w:space="0" w:color="auto"/>
      </w:divBdr>
    </w:div>
    <w:div w:id="1595935763">
      <w:bodyDiv w:val="1"/>
      <w:marLeft w:val="0"/>
      <w:marRight w:val="0"/>
      <w:marTop w:val="0"/>
      <w:marBottom w:val="0"/>
      <w:divBdr>
        <w:top w:val="none" w:sz="0" w:space="0" w:color="auto"/>
        <w:left w:val="none" w:sz="0" w:space="0" w:color="auto"/>
        <w:bottom w:val="none" w:sz="0" w:space="0" w:color="auto"/>
        <w:right w:val="none" w:sz="0" w:space="0" w:color="auto"/>
      </w:divBdr>
    </w:div>
    <w:div w:id="1595940266">
      <w:bodyDiv w:val="1"/>
      <w:marLeft w:val="0"/>
      <w:marRight w:val="0"/>
      <w:marTop w:val="0"/>
      <w:marBottom w:val="0"/>
      <w:divBdr>
        <w:top w:val="none" w:sz="0" w:space="0" w:color="auto"/>
        <w:left w:val="none" w:sz="0" w:space="0" w:color="auto"/>
        <w:bottom w:val="none" w:sz="0" w:space="0" w:color="auto"/>
        <w:right w:val="none" w:sz="0" w:space="0" w:color="auto"/>
      </w:divBdr>
    </w:div>
    <w:div w:id="1596130128">
      <w:bodyDiv w:val="1"/>
      <w:marLeft w:val="0"/>
      <w:marRight w:val="0"/>
      <w:marTop w:val="0"/>
      <w:marBottom w:val="0"/>
      <w:divBdr>
        <w:top w:val="none" w:sz="0" w:space="0" w:color="auto"/>
        <w:left w:val="none" w:sz="0" w:space="0" w:color="auto"/>
        <w:bottom w:val="none" w:sz="0" w:space="0" w:color="auto"/>
        <w:right w:val="none" w:sz="0" w:space="0" w:color="auto"/>
      </w:divBdr>
    </w:div>
    <w:div w:id="1596134497">
      <w:bodyDiv w:val="1"/>
      <w:marLeft w:val="0"/>
      <w:marRight w:val="0"/>
      <w:marTop w:val="0"/>
      <w:marBottom w:val="0"/>
      <w:divBdr>
        <w:top w:val="none" w:sz="0" w:space="0" w:color="auto"/>
        <w:left w:val="none" w:sz="0" w:space="0" w:color="auto"/>
        <w:bottom w:val="none" w:sz="0" w:space="0" w:color="auto"/>
        <w:right w:val="none" w:sz="0" w:space="0" w:color="auto"/>
      </w:divBdr>
    </w:div>
    <w:div w:id="1596589567">
      <w:bodyDiv w:val="1"/>
      <w:marLeft w:val="0"/>
      <w:marRight w:val="0"/>
      <w:marTop w:val="0"/>
      <w:marBottom w:val="0"/>
      <w:divBdr>
        <w:top w:val="none" w:sz="0" w:space="0" w:color="auto"/>
        <w:left w:val="none" w:sz="0" w:space="0" w:color="auto"/>
        <w:bottom w:val="none" w:sz="0" w:space="0" w:color="auto"/>
        <w:right w:val="none" w:sz="0" w:space="0" w:color="auto"/>
      </w:divBdr>
    </w:div>
    <w:div w:id="1596788210">
      <w:bodyDiv w:val="1"/>
      <w:marLeft w:val="0"/>
      <w:marRight w:val="0"/>
      <w:marTop w:val="0"/>
      <w:marBottom w:val="0"/>
      <w:divBdr>
        <w:top w:val="none" w:sz="0" w:space="0" w:color="auto"/>
        <w:left w:val="none" w:sz="0" w:space="0" w:color="auto"/>
        <w:bottom w:val="none" w:sz="0" w:space="0" w:color="auto"/>
        <w:right w:val="none" w:sz="0" w:space="0" w:color="auto"/>
      </w:divBdr>
    </w:div>
    <w:div w:id="1596982313">
      <w:bodyDiv w:val="1"/>
      <w:marLeft w:val="0"/>
      <w:marRight w:val="0"/>
      <w:marTop w:val="0"/>
      <w:marBottom w:val="0"/>
      <w:divBdr>
        <w:top w:val="none" w:sz="0" w:space="0" w:color="auto"/>
        <w:left w:val="none" w:sz="0" w:space="0" w:color="auto"/>
        <w:bottom w:val="none" w:sz="0" w:space="0" w:color="auto"/>
        <w:right w:val="none" w:sz="0" w:space="0" w:color="auto"/>
      </w:divBdr>
    </w:div>
    <w:div w:id="1597061225">
      <w:bodyDiv w:val="1"/>
      <w:marLeft w:val="0"/>
      <w:marRight w:val="0"/>
      <w:marTop w:val="0"/>
      <w:marBottom w:val="0"/>
      <w:divBdr>
        <w:top w:val="none" w:sz="0" w:space="0" w:color="auto"/>
        <w:left w:val="none" w:sz="0" w:space="0" w:color="auto"/>
        <w:bottom w:val="none" w:sz="0" w:space="0" w:color="auto"/>
        <w:right w:val="none" w:sz="0" w:space="0" w:color="auto"/>
      </w:divBdr>
    </w:div>
    <w:div w:id="1597325448">
      <w:bodyDiv w:val="1"/>
      <w:marLeft w:val="0"/>
      <w:marRight w:val="0"/>
      <w:marTop w:val="0"/>
      <w:marBottom w:val="0"/>
      <w:divBdr>
        <w:top w:val="none" w:sz="0" w:space="0" w:color="auto"/>
        <w:left w:val="none" w:sz="0" w:space="0" w:color="auto"/>
        <w:bottom w:val="none" w:sz="0" w:space="0" w:color="auto"/>
        <w:right w:val="none" w:sz="0" w:space="0" w:color="auto"/>
      </w:divBdr>
    </w:div>
    <w:div w:id="1597329382">
      <w:bodyDiv w:val="1"/>
      <w:marLeft w:val="0"/>
      <w:marRight w:val="0"/>
      <w:marTop w:val="0"/>
      <w:marBottom w:val="0"/>
      <w:divBdr>
        <w:top w:val="none" w:sz="0" w:space="0" w:color="auto"/>
        <w:left w:val="none" w:sz="0" w:space="0" w:color="auto"/>
        <w:bottom w:val="none" w:sz="0" w:space="0" w:color="auto"/>
        <w:right w:val="none" w:sz="0" w:space="0" w:color="auto"/>
      </w:divBdr>
    </w:div>
    <w:div w:id="1597594387">
      <w:bodyDiv w:val="1"/>
      <w:marLeft w:val="0"/>
      <w:marRight w:val="0"/>
      <w:marTop w:val="0"/>
      <w:marBottom w:val="0"/>
      <w:divBdr>
        <w:top w:val="none" w:sz="0" w:space="0" w:color="auto"/>
        <w:left w:val="none" w:sz="0" w:space="0" w:color="auto"/>
        <w:bottom w:val="none" w:sz="0" w:space="0" w:color="auto"/>
        <w:right w:val="none" w:sz="0" w:space="0" w:color="auto"/>
      </w:divBdr>
    </w:div>
    <w:div w:id="1597597114">
      <w:bodyDiv w:val="1"/>
      <w:marLeft w:val="0"/>
      <w:marRight w:val="0"/>
      <w:marTop w:val="0"/>
      <w:marBottom w:val="0"/>
      <w:divBdr>
        <w:top w:val="none" w:sz="0" w:space="0" w:color="auto"/>
        <w:left w:val="none" w:sz="0" w:space="0" w:color="auto"/>
        <w:bottom w:val="none" w:sz="0" w:space="0" w:color="auto"/>
        <w:right w:val="none" w:sz="0" w:space="0" w:color="auto"/>
      </w:divBdr>
    </w:div>
    <w:div w:id="1597639545">
      <w:bodyDiv w:val="1"/>
      <w:marLeft w:val="0"/>
      <w:marRight w:val="0"/>
      <w:marTop w:val="0"/>
      <w:marBottom w:val="0"/>
      <w:divBdr>
        <w:top w:val="none" w:sz="0" w:space="0" w:color="auto"/>
        <w:left w:val="none" w:sz="0" w:space="0" w:color="auto"/>
        <w:bottom w:val="none" w:sz="0" w:space="0" w:color="auto"/>
        <w:right w:val="none" w:sz="0" w:space="0" w:color="auto"/>
      </w:divBdr>
    </w:div>
    <w:div w:id="1597708972">
      <w:bodyDiv w:val="1"/>
      <w:marLeft w:val="0"/>
      <w:marRight w:val="0"/>
      <w:marTop w:val="0"/>
      <w:marBottom w:val="0"/>
      <w:divBdr>
        <w:top w:val="none" w:sz="0" w:space="0" w:color="auto"/>
        <w:left w:val="none" w:sz="0" w:space="0" w:color="auto"/>
        <w:bottom w:val="none" w:sz="0" w:space="0" w:color="auto"/>
        <w:right w:val="none" w:sz="0" w:space="0" w:color="auto"/>
      </w:divBdr>
    </w:div>
    <w:div w:id="1597788276">
      <w:bodyDiv w:val="1"/>
      <w:marLeft w:val="0"/>
      <w:marRight w:val="0"/>
      <w:marTop w:val="0"/>
      <w:marBottom w:val="0"/>
      <w:divBdr>
        <w:top w:val="none" w:sz="0" w:space="0" w:color="auto"/>
        <w:left w:val="none" w:sz="0" w:space="0" w:color="auto"/>
        <w:bottom w:val="none" w:sz="0" w:space="0" w:color="auto"/>
        <w:right w:val="none" w:sz="0" w:space="0" w:color="auto"/>
      </w:divBdr>
    </w:div>
    <w:div w:id="1597788641">
      <w:bodyDiv w:val="1"/>
      <w:marLeft w:val="0"/>
      <w:marRight w:val="0"/>
      <w:marTop w:val="0"/>
      <w:marBottom w:val="0"/>
      <w:divBdr>
        <w:top w:val="none" w:sz="0" w:space="0" w:color="auto"/>
        <w:left w:val="none" w:sz="0" w:space="0" w:color="auto"/>
        <w:bottom w:val="none" w:sz="0" w:space="0" w:color="auto"/>
        <w:right w:val="none" w:sz="0" w:space="0" w:color="auto"/>
      </w:divBdr>
    </w:div>
    <w:div w:id="1597979234">
      <w:bodyDiv w:val="1"/>
      <w:marLeft w:val="0"/>
      <w:marRight w:val="0"/>
      <w:marTop w:val="0"/>
      <w:marBottom w:val="0"/>
      <w:divBdr>
        <w:top w:val="none" w:sz="0" w:space="0" w:color="auto"/>
        <w:left w:val="none" w:sz="0" w:space="0" w:color="auto"/>
        <w:bottom w:val="none" w:sz="0" w:space="0" w:color="auto"/>
        <w:right w:val="none" w:sz="0" w:space="0" w:color="auto"/>
      </w:divBdr>
    </w:div>
    <w:div w:id="1598175766">
      <w:bodyDiv w:val="1"/>
      <w:marLeft w:val="0"/>
      <w:marRight w:val="0"/>
      <w:marTop w:val="0"/>
      <w:marBottom w:val="0"/>
      <w:divBdr>
        <w:top w:val="none" w:sz="0" w:space="0" w:color="auto"/>
        <w:left w:val="none" w:sz="0" w:space="0" w:color="auto"/>
        <w:bottom w:val="none" w:sz="0" w:space="0" w:color="auto"/>
        <w:right w:val="none" w:sz="0" w:space="0" w:color="auto"/>
      </w:divBdr>
    </w:div>
    <w:div w:id="1598488635">
      <w:bodyDiv w:val="1"/>
      <w:marLeft w:val="0"/>
      <w:marRight w:val="0"/>
      <w:marTop w:val="0"/>
      <w:marBottom w:val="0"/>
      <w:divBdr>
        <w:top w:val="none" w:sz="0" w:space="0" w:color="auto"/>
        <w:left w:val="none" w:sz="0" w:space="0" w:color="auto"/>
        <w:bottom w:val="none" w:sz="0" w:space="0" w:color="auto"/>
        <w:right w:val="none" w:sz="0" w:space="0" w:color="auto"/>
      </w:divBdr>
    </w:div>
    <w:div w:id="1598638741">
      <w:bodyDiv w:val="1"/>
      <w:marLeft w:val="0"/>
      <w:marRight w:val="0"/>
      <w:marTop w:val="0"/>
      <w:marBottom w:val="0"/>
      <w:divBdr>
        <w:top w:val="none" w:sz="0" w:space="0" w:color="auto"/>
        <w:left w:val="none" w:sz="0" w:space="0" w:color="auto"/>
        <w:bottom w:val="none" w:sz="0" w:space="0" w:color="auto"/>
        <w:right w:val="none" w:sz="0" w:space="0" w:color="auto"/>
      </w:divBdr>
    </w:div>
    <w:div w:id="1598824383">
      <w:bodyDiv w:val="1"/>
      <w:marLeft w:val="0"/>
      <w:marRight w:val="0"/>
      <w:marTop w:val="0"/>
      <w:marBottom w:val="0"/>
      <w:divBdr>
        <w:top w:val="none" w:sz="0" w:space="0" w:color="auto"/>
        <w:left w:val="none" w:sz="0" w:space="0" w:color="auto"/>
        <w:bottom w:val="none" w:sz="0" w:space="0" w:color="auto"/>
        <w:right w:val="none" w:sz="0" w:space="0" w:color="auto"/>
      </w:divBdr>
    </w:div>
    <w:div w:id="1599171528">
      <w:bodyDiv w:val="1"/>
      <w:marLeft w:val="0"/>
      <w:marRight w:val="0"/>
      <w:marTop w:val="0"/>
      <w:marBottom w:val="0"/>
      <w:divBdr>
        <w:top w:val="none" w:sz="0" w:space="0" w:color="auto"/>
        <w:left w:val="none" w:sz="0" w:space="0" w:color="auto"/>
        <w:bottom w:val="none" w:sz="0" w:space="0" w:color="auto"/>
        <w:right w:val="none" w:sz="0" w:space="0" w:color="auto"/>
      </w:divBdr>
    </w:div>
    <w:div w:id="1599555807">
      <w:bodyDiv w:val="1"/>
      <w:marLeft w:val="0"/>
      <w:marRight w:val="0"/>
      <w:marTop w:val="0"/>
      <w:marBottom w:val="0"/>
      <w:divBdr>
        <w:top w:val="none" w:sz="0" w:space="0" w:color="auto"/>
        <w:left w:val="none" w:sz="0" w:space="0" w:color="auto"/>
        <w:bottom w:val="none" w:sz="0" w:space="0" w:color="auto"/>
        <w:right w:val="none" w:sz="0" w:space="0" w:color="auto"/>
      </w:divBdr>
    </w:div>
    <w:div w:id="1599675457">
      <w:bodyDiv w:val="1"/>
      <w:marLeft w:val="0"/>
      <w:marRight w:val="0"/>
      <w:marTop w:val="0"/>
      <w:marBottom w:val="0"/>
      <w:divBdr>
        <w:top w:val="none" w:sz="0" w:space="0" w:color="auto"/>
        <w:left w:val="none" w:sz="0" w:space="0" w:color="auto"/>
        <w:bottom w:val="none" w:sz="0" w:space="0" w:color="auto"/>
        <w:right w:val="none" w:sz="0" w:space="0" w:color="auto"/>
      </w:divBdr>
    </w:div>
    <w:div w:id="1599676993">
      <w:bodyDiv w:val="1"/>
      <w:marLeft w:val="0"/>
      <w:marRight w:val="0"/>
      <w:marTop w:val="0"/>
      <w:marBottom w:val="0"/>
      <w:divBdr>
        <w:top w:val="none" w:sz="0" w:space="0" w:color="auto"/>
        <w:left w:val="none" w:sz="0" w:space="0" w:color="auto"/>
        <w:bottom w:val="none" w:sz="0" w:space="0" w:color="auto"/>
        <w:right w:val="none" w:sz="0" w:space="0" w:color="auto"/>
      </w:divBdr>
    </w:div>
    <w:div w:id="1599945990">
      <w:bodyDiv w:val="1"/>
      <w:marLeft w:val="0"/>
      <w:marRight w:val="0"/>
      <w:marTop w:val="0"/>
      <w:marBottom w:val="0"/>
      <w:divBdr>
        <w:top w:val="none" w:sz="0" w:space="0" w:color="auto"/>
        <w:left w:val="none" w:sz="0" w:space="0" w:color="auto"/>
        <w:bottom w:val="none" w:sz="0" w:space="0" w:color="auto"/>
        <w:right w:val="none" w:sz="0" w:space="0" w:color="auto"/>
      </w:divBdr>
    </w:div>
    <w:div w:id="1600020331">
      <w:bodyDiv w:val="1"/>
      <w:marLeft w:val="0"/>
      <w:marRight w:val="0"/>
      <w:marTop w:val="0"/>
      <w:marBottom w:val="0"/>
      <w:divBdr>
        <w:top w:val="none" w:sz="0" w:space="0" w:color="auto"/>
        <w:left w:val="none" w:sz="0" w:space="0" w:color="auto"/>
        <w:bottom w:val="none" w:sz="0" w:space="0" w:color="auto"/>
        <w:right w:val="none" w:sz="0" w:space="0" w:color="auto"/>
      </w:divBdr>
    </w:div>
    <w:div w:id="1600066303">
      <w:bodyDiv w:val="1"/>
      <w:marLeft w:val="0"/>
      <w:marRight w:val="0"/>
      <w:marTop w:val="0"/>
      <w:marBottom w:val="0"/>
      <w:divBdr>
        <w:top w:val="none" w:sz="0" w:space="0" w:color="auto"/>
        <w:left w:val="none" w:sz="0" w:space="0" w:color="auto"/>
        <w:bottom w:val="none" w:sz="0" w:space="0" w:color="auto"/>
        <w:right w:val="none" w:sz="0" w:space="0" w:color="auto"/>
      </w:divBdr>
    </w:div>
    <w:div w:id="1600135599">
      <w:bodyDiv w:val="1"/>
      <w:marLeft w:val="0"/>
      <w:marRight w:val="0"/>
      <w:marTop w:val="0"/>
      <w:marBottom w:val="0"/>
      <w:divBdr>
        <w:top w:val="none" w:sz="0" w:space="0" w:color="auto"/>
        <w:left w:val="none" w:sz="0" w:space="0" w:color="auto"/>
        <w:bottom w:val="none" w:sz="0" w:space="0" w:color="auto"/>
        <w:right w:val="none" w:sz="0" w:space="0" w:color="auto"/>
      </w:divBdr>
    </w:div>
    <w:div w:id="1600258086">
      <w:bodyDiv w:val="1"/>
      <w:marLeft w:val="0"/>
      <w:marRight w:val="0"/>
      <w:marTop w:val="0"/>
      <w:marBottom w:val="0"/>
      <w:divBdr>
        <w:top w:val="none" w:sz="0" w:space="0" w:color="auto"/>
        <w:left w:val="none" w:sz="0" w:space="0" w:color="auto"/>
        <w:bottom w:val="none" w:sz="0" w:space="0" w:color="auto"/>
        <w:right w:val="none" w:sz="0" w:space="0" w:color="auto"/>
      </w:divBdr>
    </w:div>
    <w:div w:id="1600331278">
      <w:bodyDiv w:val="1"/>
      <w:marLeft w:val="0"/>
      <w:marRight w:val="0"/>
      <w:marTop w:val="0"/>
      <w:marBottom w:val="0"/>
      <w:divBdr>
        <w:top w:val="none" w:sz="0" w:space="0" w:color="auto"/>
        <w:left w:val="none" w:sz="0" w:space="0" w:color="auto"/>
        <w:bottom w:val="none" w:sz="0" w:space="0" w:color="auto"/>
        <w:right w:val="none" w:sz="0" w:space="0" w:color="auto"/>
      </w:divBdr>
    </w:div>
    <w:div w:id="1600482199">
      <w:bodyDiv w:val="1"/>
      <w:marLeft w:val="0"/>
      <w:marRight w:val="0"/>
      <w:marTop w:val="0"/>
      <w:marBottom w:val="0"/>
      <w:divBdr>
        <w:top w:val="none" w:sz="0" w:space="0" w:color="auto"/>
        <w:left w:val="none" w:sz="0" w:space="0" w:color="auto"/>
        <w:bottom w:val="none" w:sz="0" w:space="0" w:color="auto"/>
        <w:right w:val="none" w:sz="0" w:space="0" w:color="auto"/>
      </w:divBdr>
    </w:div>
    <w:div w:id="1600598211">
      <w:bodyDiv w:val="1"/>
      <w:marLeft w:val="0"/>
      <w:marRight w:val="0"/>
      <w:marTop w:val="0"/>
      <w:marBottom w:val="0"/>
      <w:divBdr>
        <w:top w:val="none" w:sz="0" w:space="0" w:color="auto"/>
        <w:left w:val="none" w:sz="0" w:space="0" w:color="auto"/>
        <w:bottom w:val="none" w:sz="0" w:space="0" w:color="auto"/>
        <w:right w:val="none" w:sz="0" w:space="0" w:color="auto"/>
      </w:divBdr>
    </w:div>
    <w:div w:id="1600674461">
      <w:bodyDiv w:val="1"/>
      <w:marLeft w:val="0"/>
      <w:marRight w:val="0"/>
      <w:marTop w:val="0"/>
      <w:marBottom w:val="0"/>
      <w:divBdr>
        <w:top w:val="none" w:sz="0" w:space="0" w:color="auto"/>
        <w:left w:val="none" w:sz="0" w:space="0" w:color="auto"/>
        <w:bottom w:val="none" w:sz="0" w:space="0" w:color="auto"/>
        <w:right w:val="none" w:sz="0" w:space="0" w:color="auto"/>
      </w:divBdr>
    </w:div>
    <w:div w:id="1600676029">
      <w:bodyDiv w:val="1"/>
      <w:marLeft w:val="0"/>
      <w:marRight w:val="0"/>
      <w:marTop w:val="0"/>
      <w:marBottom w:val="0"/>
      <w:divBdr>
        <w:top w:val="none" w:sz="0" w:space="0" w:color="auto"/>
        <w:left w:val="none" w:sz="0" w:space="0" w:color="auto"/>
        <w:bottom w:val="none" w:sz="0" w:space="0" w:color="auto"/>
        <w:right w:val="none" w:sz="0" w:space="0" w:color="auto"/>
      </w:divBdr>
    </w:div>
    <w:div w:id="1600678422">
      <w:bodyDiv w:val="1"/>
      <w:marLeft w:val="0"/>
      <w:marRight w:val="0"/>
      <w:marTop w:val="0"/>
      <w:marBottom w:val="0"/>
      <w:divBdr>
        <w:top w:val="none" w:sz="0" w:space="0" w:color="auto"/>
        <w:left w:val="none" w:sz="0" w:space="0" w:color="auto"/>
        <w:bottom w:val="none" w:sz="0" w:space="0" w:color="auto"/>
        <w:right w:val="none" w:sz="0" w:space="0" w:color="auto"/>
      </w:divBdr>
    </w:div>
    <w:div w:id="1600866403">
      <w:bodyDiv w:val="1"/>
      <w:marLeft w:val="0"/>
      <w:marRight w:val="0"/>
      <w:marTop w:val="0"/>
      <w:marBottom w:val="0"/>
      <w:divBdr>
        <w:top w:val="none" w:sz="0" w:space="0" w:color="auto"/>
        <w:left w:val="none" w:sz="0" w:space="0" w:color="auto"/>
        <w:bottom w:val="none" w:sz="0" w:space="0" w:color="auto"/>
        <w:right w:val="none" w:sz="0" w:space="0" w:color="auto"/>
      </w:divBdr>
    </w:div>
    <w:div w:id="1600992351">
      <w:bodyDiv w:val="1"/>
      <w:marLeft w:val="0"/>
      <w:marRight w:val="0"/>
      <w:marTop w:val="0"/>
      <w:marBottom w:val="0"/>
      <w:divBdr>
        <w:top w:val="none" w:sz="0" w:space="0" w:color="auto"/>
        <w:left w:val="none" w:sz="0" w:space="0" w:color="auto"/>
        <w:bottom w:val="none" w:sz="0" w:space="0" w:color="auto"/>
        <w:right w:val="none" w:sz="0" w:space="0" w:color="auto"/>
      </w:divBdr>
    </w:div>
    <w:div w:id="1601375476">
      <w:bodyDiv w:val="1"/>
      <w:marLeft w:val="0"/>
      <w:marRight w:val="0"/>
      <w:marTop w:val="0"/>
      <w:marBottom w:val="0"/>
      <w:divBdr>
        <w:top w:val="none" w:sz="0" w:space="0" w:color="auto"/>
        <w:left w:val="none" w:sz="0" w:space="0" w:color="auto"/>
        <w:bottom w:val="none" w:sz="0" w:space="0" w:color="auto"/>
        <w:right w:val="none" w:sz="0" w:space="0" w:color="auto"/>
      </w:divBdr>
    </w:div>
    <w:div w:id="1601448269">
      <w:bodyDiv w:val="1"/>
      <w:marLeft w:val="0"/>
      <w:marRight w:val="0"/>
      <w:marTop w:val="0"/>
      <w:marBottom w:val="0"/>
      <w:divBdr>
        <w:top w:val="none" w:sz="0" w:space="0" w:color="auto"/>
        <w:left w:val="none" w:sz="0" w:space="0" w:color="auto"/>
        <w:bottom w:val="none" w:sz="0" w:space="0" w:color="auto"/>
        <w:right w:val="none" w:sz="0" w:space="0" w:color="auto"/>
      </w:divBdr>
    </w:div>
    <w:div w:id="1601600174">
      <w:bodyDiv w:val="1"/>
      <w:marLeft w:val="0"/>
      <w:marRight w:val="0"/>
      <w:marTop w:val="0"/>
      <w:marBottom w:val="0"/>
      <w:divBdr>
        <w:top w:val="none" w:sz="0" w:space="0" w:color="auto"/>
        <w:left w:val="none" w:sz="0" w:space="0" w:color="auto"/>
        <w:bottom w:val="none" w:sz="0" w:space="0" w:color="auto"/>
        <w:right w:val="none" w:sz="0" w:space="0" w:color="auto"/>
      </w:divBdr>
    </w:div>
    <w:div w:id="1601645593">
      <w:bodyDiv w:val="1"/>
      <w:marLeft w:val="0"/>
      <w:marRight w:val="0"/>
      <w:marTop w:val="0"/>
      <w:marBottom w:val="0"/>
      <w:divBdr>
        <w:top w:val="none" w:sz="0" w:space="0" w:color="auto"/>
        <w:left w:val="none" w:sz="0" w:space="0" w:color="auto"/>
        <w:bottom w:val="none" w:sz="0" w:space="0" w:color="auto"/>
        <w:right w:val="none" w:sz="0" w:space="0" w:color="auto"/>
      </w:divBdr>
    </w:div>
    <w:div w:id="1601834187">
      <w:bodyDiv w:val="1"/>
      <w:marLeft w:val="0"/>
      <w:marRight w:val="0"/>
      <w:marTop w:val="0"/>
      <w:marBottom w:val="0"/>
      <w:divBdr>
        <w:top w:val="none" w:sz="0" w:space="0" w:color="auto"/>
        <w:left w:val="none" w:sz="0" w:space="0" w:color="auto"/>
        <w:bottom w:val="none" w:sz="0" w:space="0" w:color="auto"/>
        <w:right w:val="none" w:sz="0" w:space="0" w:color="auto"/>
      </w:divBdr>
    </w:div>
    <w:div w:id="1602102183">
      <w:bodyDiv w:val="1"/>
      <w:marLeft w:val="0"/>
      <w:marRight w:val="0"/>
      <w:marTop w:val="0"/>
      <w:marBottom w:val="0"/>
      <w:divBdr>
        <w:top w:val="none" w:sz="0" w:space="0" w:color="auto"/>
        <w:left w:val="none" w:sz="0" w:space="0" w:color="auto"/>
        <w:bottom w:val="none" w:sz="0" w:space="0" w:color="auto"/>
        <w:right w:val="none" w:sz="0" w:space="0" w:color="auto"/>
      </w:divBdr>
    </w:div>
    <w:div w:id="1602107730">
      <w:bodyDiv w:val="1"/>
      <w:marLeft w:val="0"/>
      <w:marRight w:val="0"/>
      <w:marTop w:val="0"/>
      <w:marBottom w:val="0"/>
      <w:divBdr>
        <w:top w:val="none" w:sz="0" w:space="0" w:color="auto"/>
        <w:left w:val="none" w:sz="0" w:space="0" w:color="auto"/>
        <w:bottom w:val="none" w:sz="0" w:space="0" w:color="auto"/>
        <w:right w:val="none" w:sz="0" w:space="0" w:color="auto"/>
      </w:divBdr>
    </w:div>
    <w:div w:id="1602183581">
      <w:bodyDiv w:val="1"/>
      <w:marLeft w:val="0"/>
      <w:marRight w:val="0"/>
      <w:marTop w:val="0"/>
      <w:marBottom w:val="0"/>
      <w:divBdr>
        <w:top w:val="none" w:sz="0" w:space="0" w:color="auto"/>
        <w:left w:val="none" w:sz="0" w:space="0" w:color="auto"/>
        <w:bottom w:val="none" w:sz="0" w:space="0" w:color="auto"/>
        <w:right w:val="none" w:sz="0" w:space="0" w:color="auto"/>
      </w:divBdr>
    </w:div>
    <w:div w:id="1602295550">
      <w:bodyDiv w:val="1"/>
      <w:marLeft w:val="0"/>
      <w:marRight w:val="0"/>
      <w:marTop w:val="0"/>
      <w:marBottom w:val="0"/>
      <w:divBdr>
        <w:top w:val="none" w:sz="0" w:space="0" w:color="auto"/>
        <w:left w:val="none" w:sz="0" w:space="0" w:color="auto"/>
        <w:bottom w:val="none" w:sz="0" w:space="0" w:color="auto"/>
        <w:right w:val="none" w:sz="0" w:space="0" w:color="auto"/>
      </w:divBdr>
    </w:div>
    <w:div w:id="1602563650">
      <w:bodyDiv w:val="1"/>
      <w:marLeft w:val="0"/>
      <w:marRight w:val="0"/>
      <w:marTop w:val="0"/>
      <w:marBottom w:val="0"/>
      <w:divBdr>
        <w:top w:val="none" w:sz="0" w:space="0" w:color="auto"/>
        <w:left w:val="none" w:sz="0" w:space="0" w:color="auto"/>
        <w:bottom w:val="none" w:sz="0" w:space="0" w:color="auto"/>
        <w:right w:val="none" w:sz="0" w:space="0" w:color="auto"/>
      </w:divBdr>
    </w:div>
    <w:div w:id="1602687612">
      <w:bodyDiv w:val="1"/>
      <w:marLeft w:val="0"/>
      <w:marRight w:val="0"/>
      <w:marTop w:val="0"/>
      <w:marBottom w:val="0"/>
      <w:divBdr>
        <w:top w:val="none" w:sz="0" w:space="0" w:color="auto"/>
        <w:left w:val="none" w:sz="0" w:space="0" w:color="auto"/>
        <w:bottom w:val="none" w:sz="0" w:space="0" w:color="auto"/>
        <w:right w:val="none" w:sz="0" w:space="0" w:color="auto"/>
      </w:divBdr>
    </w:div>
    <w:div w:id="1602756767">
      <w:bodyDiv w:val="1"/>
      <w:marLeft w:val="0"/>
      <w:marRight w:val="0"/>
      <w:marTop w:val="0"/>
      <w:marBottom w:val="0"/>
      <w:divBdr>
        <w:top w:val="none" w:sz="0" w:space="0" w:color="auto"/>
        <w:left w:val="none" w:sz="0" w:space="0" w:color="auto"/>
        <w:bottom w:val="none" w:sz="0" w:space="0" w:color="auto"/>
        <w:right w:val="none" w:sz="0" w:space="0" w:color="auto"/>
      </w:divBdr>
    </w:div>
    <w:div w:id="1602836759">
      <w:bodyDiv w:val="1"/>
      <w:marLeft w:val="0"/>
      <w:marRight w:val="0"/>
      <w:marTop w:val="0"/>
      <w:marBottom w:val="0"/>
      <w:divBdr>
        <w:top w:val="none" w:sz="0" w:space="0" w:color="auto"/>
        <w:left w:val="none" w:sz="0" w:space="0" w:color="auto"/>
        <w:bottom w:val="none" w:sz="0" w:space="0" w:color="auto"/>
        <w:right w:val="none" w:sz="0" w:space="0" w:color="auto"/>
      </w:divBdr>
    </w:div>
    <w:div w:id="1603104440">
      <w:bodyDiv w:val="1"/>
      <w:marLeft w:val="0"/>
      <w:marRight w:val="0"/>
      <w:marTop w:val="0"/>
      <w:marBottom w:val="0"/>
      <w:divBdr>
        <w:top w:val="none" w:sz="0" w:space="0" w:color="auto"/>
        <w:left w:val="none" w:sz="0" w:space="0" w:color="auto"/>
        <w:bottom w:val="none" w:sz="0" w:space="0" w:color="auto"/>
        <w:right w:val="none" w:sz="0" w:space="0" w:color="auto"/>
      </w:divBdr>
    </w:div>
    <w:div w:id="1603343072">
      <w:bodyDiv w:val="1"/>
      <w:marLeft w:val="0"/>
      <w:marRight w:val="0"/>
      <w:marTop w:val="0"/>
      <w:marBottom w:val="0"/>
      <w:divBdr>
        <w:top w:val="none" w:sz="0" w:space="0" w:color="auto"/>
        <w:left w:val="none" w:sz="0" w:space="0" w:color="auto"/>
        <w:bottom w:val="none" w:sz="0" w:space="0" w:color="auto"/>
        <w:right w:val="none" w:sz="0" w:space="0" w:color="auto"/>
      </w:divBdr>
    </w:div>
    <w:div w:id="1603882483">
      <w:bodyDiv w:val="1"/>
      <w:marLeft w:val="0"/>
      <w:marRight w:val="0"/>
      <w:marTop w:val="0"/>
      <w:marBottom w:val="0"/>
      <w:divBdr>
        <w:top w:val="none" w:sz="0" w:space="0" w:color="auto"/>
        <w:left w:val="none" w:sz="0" w:space="0" w:color="auto"/>
        <w:bottom w:val="none" w:sz="0" w:space="0" w:color="auto"/>
        <w:right w:val="none" w:sz="0" w:space="0" w:color="auto"/>
      </w:divBdr>
    </w:div>
    <w:div w:id="1603950288">
      <w:bodyDiv w:val="1"/>
      <w:marLeft w:val="0"/>
      <w:marRight w:val="0"/>
      <w:marTop w:val="0"/>
      <w:marBottom w:val="0"/>
      <w:divBdr>
        <w:top w:val="none" w:sz="0" w:space="0" w:color="auto"/>
        <w:left w:val="none" w:sz="0" w:space="0" w:color="auto"/>
        <w:bottom w:val="none" w:sz="0" w:space="0" w:color="auto"/>
        <w:right w:val="none" w:sz="0" w:space="0" w:color="auto"/>
      </w:divBdr>
    </w:div>
    <w:div w:id="1604145255">
      <w:bodyDiv w:val="1"/>
      <w:marLeft w:val="0"/>
      <w:marRight w:val="0"/>
      <w:marTop w:val="0"/>
      <w:marBottom w:val="0"/>
      <w:divBdr>
        <w:top w:val="none" w:sz="0" w:space="0" w:color="auto"/>
        <w:left w:val="none" w:sz="0" w:space="0" w:color="auto"/>
        <w:bottom w:val="none" w:sz="0" w:space="0" w:color="auto"/>
        <w:right w:val="none" w:sz="0" w:space="0" w:color="auto"/>
      </w:divBdr>
    </w:div>
    <w:div w:id="1604145470">
      <w:bodyDiv w:val="1"/>
      <w:marLeft w:val="0"/>
      <w:marRight w:val="0"/>
      <w:marTop w:val="0"/>
      <w:marBottom w:val="0"/>
      <w:divBdr>
        <w:top w:val="none" w:sz="0" w:space="0" w:color="auto"/>
        <w:left w:val="none" w:sz="0" w:space="0" w:color="auto"/>
        <w:bottom w:val="none" w:sz="0" w:space="0" w:color="auto"/>
        <w:right w:val="none" w:sz="0" w:space="0" w:color="auto"/>
      </w:divBdr>
    </w:div>
    <w:div w:id="1604416559">
      <w:bodyDiv w:val="1"/>
      <w:marLeft w:val="0"/>
      <w:marRight w:val="0"/>
      <w:marTop w:val="0"/>
      <w:marBottom w:val="0"/>
      <w:divBdr>
        <w:top w:val="none" w:sz="0" w:space="0" w:color="auto"/>
        <w:left w:val="none" w:sz="0" w:space="0" w:color="auto"/>
        <w:bottom w:val="none" w:sz="0" w:space="0" w:color="auto"/>
        <w:right w:val="none" w:sz="0" w:space="0" w:color="auto"/>
      </w:divBdr>
    </w:div>
    <w:div w:id="1604461788">
      <w:bodyDiv w:val="1"/>
      <w:marLeft w:val="0"/>
      <w:marRight w:val="0"/>
      <w:marTop w:val="0"/>
      <w:marBottom w:val="0"/>
      <w:divBdr>
        <w:top w:val="none" w:sz="0" w:space="0" w:color="auto"/>
        <w:left w:val="none" w:sz="0" w:space="0" w:color="auto"/>
        <w:bottom w:val="none" w:sz="0" w:space="0" w:color="auto"/>
        <w:right w:val="none" w:sz="0" w:space="0" w:color="auto"/>
      </w:divBdr>
    </w:div>
    <w:div w:id="1604650865">
      <w:bodyDiv w:val="1"/>
      <w:marLeft w:val="0"/>
      <w:marRight w:val="0"/>
      <w:marTop w:val="0"/>
      <w:marBottom w:val="0"/>
      <w:divBdr>
        <w:top w:val="none" w:sz="0" w:space="0" w:color="auto"/>
        <w:left w:val="none" w:sz="0" w:space="0" w:color="auto"/>
        <w:bottom w:val="none" w:sz="0" w:space="0" w:color="auto"/>
        <w:right w:val="none" w:sz="0" w:space="0" w:color="auto"/>
      </w:divBdr>
    </w:div>
    <w:div w:id="1604873081">
      <w:bodyDiv w:val="1"/>
      <w:marLeft w:val="0"/>
      <w:marRight w:val="0"/>
      <w:marTop w:val="0"/>
      <w:marBottom w:val="0"/>
      <w:divBdr>
        <w:top w:val="none" w:sz="0" w:space="0" w:color="auto"/>
        <w:left w:val="none" w:sz="0" w:space="0" w:color="auto"/>
        <w:bottom w:val="none" w:sz="0" w:space="0" w:color="auto"/>
        <w:right w:val="none" w:sz="0" w:space="0" w:color="auto"/>
      </w:divBdr>
    </w:div>
    <w:div w:id="1604874773">
      <w:bodyDiv w:val="1"/>
      <w:marLeft w:val="0"/>
      <w:marRight w:val="0"/>
      <w:marTop w:val="0"/>
      <w:marBottom w:val="0"/>
      <w:divBdr>
        <w:top w:val="none" w:sz="0" w:space="0" w:color="auto"/>
        <w:left w:val="none" w:sz="0" w:space="0" w:color="auto"/>
        <w:bottom w:val="none" w:sz="0" w:space="0" w:color="auto"/>
        <w:right w:val="none" w:sz="0" w:space="0" w:color="auto"/>
      </w:divBdr>
    </w:div>
    <w:div w:id="1605066651">
      <w:bodyDiv w:val="1"/>
      <w:marLeft w:val="0"/>
      <w:marRight w:val="0"/>
      <w:marTop w:val="0"/>
      <w:marBottom w:val="0"/>
      <w:divBdr>
        <w:top w:val="none" w:sz="0" w:space="0" w:color="auto"/>
        <w:left w:val="none" w:sz="0" w:space="0" w:color="auto"/>
        <w:bottom w:val="none" w:sz="0" w:space="0" w:color="auto"/>
        <w:right w:val="none" w:sz="0" w:space="0" w:color="auto"/>
      </w:divBdr>
    </w:div>
    <w:div w:id="1605456148">
      <w:bodyDiv w:val="1"/>
      <w:marLeft w:val="0"/>
      <w:marRight w:val="0"/>
      <w:marTop w:val="0"/>
      <w:marBottom w:val="0"/>
      <w:divBdr>
        <w:top w:val="none" w:sz="0" w:space="0" w:color="auto"/>
        <w:left w:val="none" w:sz="0" w:space="0" w:color="auto"/>
        <w:bottom w:val="none" w:sz="0" w:space="0" w:color="auto"/>
        <w:right w:val="none" w:sz="0" w:space="0" w:color="auto"/>
      </w:divBdr>
    </w:div>
    <w:div w:id="1605726793">
      <w:bodyDiv w:val="1"/>
      <w:marLeft w:val="0"/>
      <w:marRight w:val="0"/>
      <w:marTop w:val="0"/>
      <w:marBottom w:val="0"/>
      <w:divBdr>
        <w:top w:val="none" w:sz="0" w:space="0" w:color="auto"/>
        <w:left w:val="none" w:sz="0" w:space="0" w:color="auto"/>
        <w:bottom w:val="none" w:sz="0" w:space="0" w:color="auto"/>
        <w:right w:val="none" w:sz="0" w:space="0" w:color="auto"/>
      </w:divBdr>
    </w:div>
    <w:div w:id="1606114307">
      <w:bodyDiv w:val="1"/>
      <w:marLeft w:val="0"/>
      <w:marRight w:val="0"/>
      <w:marTop w:val="0"/>
      <w:marBottom w:val="0"/>
      <w:divBdr>
        <w:top w:val="none" w:sz="0" w:space="0" w:color="auto"/>
        <w:left w:val="none" w:sz="0" w:space="0" w:color="auto"/>
        <w:bottom w:val="none" w:sz="0" w:space="0" w:color="auto"/>
        <w:right w:val="none" w:sz="0" w:space="0" w:color="auto"/>
      </w:divBdr>
    </w:div>
    <w:div w:id="1606158736">
      <w:bodyDiv w:val="1"/>
      <w:marLeft w:val="0"/>
      <w:marRight w:val="0"/>
      <w:marTop w:val="0"/>
      <w:marBottom w:val="0"/>
      <w:divBdr>
        <w:top w:val="none" w:sz="0" w:space="0" w:color="auto"/>
        <w:left w:val="none" w:sz="0" w:space="0" w:color="auto"/>
        <w:bottom w:val="none" w:sz="0" w:space="0" w:color="auto"/>
        <w:right w:val="none" w:sz="0" w:space="0" w:color="auto"/>
      </w:divBdr>
    </w:div>
    <w:div w:id="1606495219">
      <w:bodyDiv w:val="1"/>
      <w:marLeft w:val="0"/>
      <w:marRight w:val="0"/>
      <w:marTop w:val="0"/>
      <w:marBottom w:val="0"/>
      <w:divBdr>
        <w:top w:val="none" w:sz="0" w:space="0" w:color="auto"/>
        <w:left w:val="none" w:sz="0" w:space="0" w:color="auto"/>
        <w:bottom w:val="none" w:sz="0" w:space="0" w:color="auto"/>
        <w:right w:val="none" w:sz="0" w:space="0" w:color="auto"/>
      </w:divBdr>
    </w:div>
    <w:div w:id="1606690412">
      <w:bodyDiv w:val="1"/>
      <w:marLeft w:val="0"/>
      <w:marRight w:val="0"/>
      <w:marTop w:val="0"/>
      <w:marBottom w:val="0"/>
      <w:divBdr>
        <w:top w:val="none" w:sz="0" w:space="0" w:color="auto"/>
        <w:left w:val="none" w:sz="0" w:space="0" w:color="auto"/>
        <w:bottom w:val="none" w:sz="0" w:space="0" w:color="auto"/>
        <w:right w:val="none" w:sz="0" w:space="0" w:color="auto"/>
      </w:divBdr>
    </w:div>
    <w:div w:id="1606881967">
      <w:bodyDiv w:val="1"/>
      <w:marLeft w:val="0"/>
      <w:marRight w:val="0"/>
      <w:marTop w:val="0"/>
      <w:marBottom w:val="0"/>
      <w:divBdr>
        <w:top w:val="none" w:sz="0" w:space="0" w:color="auto"/>
        <w:left w:val="none" w:sz="0" w:space="0" w:color="auto"/>
        <w:bottom w:val="none" w:sz="0" w:space="0" w:color="auto"/>
        <w:right w:val="none" w:sz="0" w:space="0" w:color="auto"/>
      </w:divBdr>
    </w:div>
    <w:div w:id="1607081726">
      <w:bodyDiv w:val="1"/>
      <w:marLeft w:val="0"/>
      <w:marRight w:val="0"/>
      <w:marTop w:val="0"/>
      <w:marBottom w:val="0"/>
      <w:divBdr>
        <w:top w:val="none" w:sz="0" w:space="0" w:color="auto"/>
        <w:left w:val="none" w:sz="0" w:space="0" w:color="auto"/>
        <w:bottom w:val="none" w:sz="0" w:space="0" w:color="auto"/>
        <w:right w:val="none" w:sz="0" w:space="0" w:color="auto"/>
      </w:divBdr>
    </w:div>
    <w:div w:id="1607350844">
      <w:bodyDiv w:val="1"/>
      <w:marLeft w:val="0"/>
      <w:marRight w:val="0"/>
      <w:marTop w:val="0"/>
      <w:marBottom w:val="0"/>
      <w:divBdr>
        <w:top w:val="none" w:sz="0" w:space="0" w:color="auto"/>
        <w:left w:val="none" w:sz="0" w:space="0" w:color="auto"/>
        <w:bottom w:val="none" w:sz="0" w:space="0" w:color="auto"/>
        <w:right w:val="none" w:sz="0" w:space="0" w:color="auto"/>
      </w:divBdr>
    </w:div>
    <w:div w:id="1607419345">
      <w:bodyDiv w:val="1"/>
      <w:marLeft w:val="0"/>
      <w:marRight w:val="0"/>
      <w:marTop w:val="0"/>
      <w:marBottom w:val="0"/>
      <w:divBdr>
        <w:top w:val="none" w:sz="0" w:space="0" w:color="auto"/>
        <w:left w:val="none" w:sz="0" w:space="0" w:color="auto"/>
        <w:bottom w:val="none" w:sz="0" w:space="0" w:color="auto"/>
        <w:right w:val="none" w:sz="0" w:space="0" w:color="auto"/>
      </w:divBdr>
    </w:div>
    <w:div w:id="1607498193">
      <w:bodyDiv w:val="1"/>
      <w:marLeft w:val="0"/>
      <w:marRight w:val="0"/>
      <w:marTop w:val="0"/>
      <w:marBottom w:val="0"/>
      <w:divBdr>
        <w:top w:val="none" w:sz="0" w:space="0" w:color="auto"/>
        <w:left w:val="none" w:sz="0" w:space="0" w:color="auto"/>
        <w:bottom w:val="none" w:sz="0" w:space="0" w:color="auto"/>
        <w:right w:val="none" w:sz="0" w:space="0" w:color="auto"/>
      </w:divBdr>
    </w:div>
    <w:div w:id="1607544710">
      <w:bodyDiv w:val="1"/>
      <w:marLeft w:val="0"/>
      <w:marRight w:val="0"/>
      <w:marTop w:val="0"/>
      <w:marBottom w:val="0"/>
      <w:divBdr>
        <w:top w:val="none" w:sz="0" w:space="0" w:color="auto"/>
        <w:left w:val="none" w:sz="0" w:space="0" w:color="auto"/>
        <w:bottom w:val="none" w:sz="0" w:space="0" w:color="auto"/>
        <w:right w:val="none" w:sz="0" w:space="0" w:color="auto"/>
      </w:divBdr>
    </w:div>
    <w:div w:id="1607738796">
      <w:bodyDiv w:val="1"/>
      <w:marLeft w:val="0"/>
      <w:marRight w:val="0"/>
      <w:marTop w:val="0"/>
      <w:marBottom w:val="0"/>
      <w:divBdr>
        <w:top w:val="none" w:sz="0" w:space="0" w:color="auto"/>
        <w:left w:val="none" w:sz="0" w:space="0" w:color="auto"/>
        <w:bottom w:val="none" w:sz="0" w:space="0" w:color="auto"/>
        <w:right w:val="none" w:sz="0" w:space="0" w:color="auto"/>
      </w:divBdr>
    </w:div>
    <w:div w:id="1608079119">
      <w:bodyDiv w:val="1"/>
      <w:marLeft w:val="0"/>
      <w:marRight w:val="0"/>
      <w:marTop w:val="0"/>
      <w:marBottom w:val="0"/>
      <w:divBdr>
        <w:top w:val="none" w:sz="0" w:space="0" w:color="auto"/>
        <w:left w:val="none" w:sz="0" w:space="0" w:color="auto"/>
        <w:bottom w:val="none" w:sz="0" w:space="0" w:color="auto"/>
        <w:right w:val="none" w:sz="0" w:space="0" w:color="auto"/>
      </w:divBdr>
    </w:div>
    <w:div w:id="1608124545">
      <w:bodyDiv w:val="1"/>
      <w:marLeft w:val="0"/>
      <w:marRight w:val="0"/>
      <w:marTop w:val="0"/>
      <w:marBottom w:val="0"/>
      <w:divBdr>
        <w:top w:val="none" w:sz="0" w:space="0" w:color="auto"/>
        <w:left w:val="none" w:sz="0" w:space="0" w:color="auto"/>
        <w:bottom w:val="none" w:sz="0" w:space="0" w:color="auto"/>
        <w:right w:val="none" w:sz="0" w:space="0" w:color="auto"/>
      </w:divBdr>
    </w:div>
    <w:div w:id="1608388794">
      <w:bodyDiv w:val="1"/>
      <w:marLeft w:val="0"/>
      <w:marRight w:val="0"/>
      <w:marTop w:val="0"/>
      <w:marBottom w:val="0"/>
      <w:divBdr>
        <w:top w:val="none" w:sz="0" w:space="0" w:color="auto"/>
        <w:left w:val="none" w:sz="0" w:space="0" w:color="auto"/>
        <w:bottom w:val="none" w:sz="0" w:space="0" w:color="auto"/>
        <w:right w:val="none" w:sz="0" w:space="0" w:color="auto"/>
      </w:divBdr>
    </w:div>
    <w:div w:id="1609041686">
      <w:bodyDiv w:val="1"/>
      <w:marLeft w:val="0"/>
      <w:marRight w:val="0"/>
      <w:marTop w:val="0"/>
      <w:marBottom w:val="0"/>
      <w:divBdr>
        <w:top w:val="none" w:sz="0" w:space="0" w:color="auto"/>
        <w:left w:val="none" w:sz="0" w:space="0" w:color="auto"/>
        <w:bottom w:val="none" w:sz="0" w:space="0" w:color="auto"/>
        <w:right w:val="none" w:sz="0" w:space="0" w:color="auto"/>
      </w:divBdr>
    </w:div>
    <w:div w:id="1609048215">
      <w:bodyDiv w:val="1"/>
      <w:marLeft w:val="0"/>
      <w:marRight w:val="0"/>
      <w:marTop w:val="0"/>
      <w:marBottom w:val="0"/>
      <w:divBdr>
        <w:top w:val="none" w:sz="0" w:space="0" w:color="auto"/>
        <w:left w:val="none" w:sz="0" w:space="0" w:color="auto"/>
        <w:bottom w:val="none" w:sz="0" w:space="0" w:color="auto"/>
        <w:right w:val="none" w:sz="0" w:space="0" w:color="auto"/>
      </w:divBdr>
    </w:div>
    <w:div w:id="1609115389">
      <w:bodyDiv w:val="1"/>
      <w:marLeft w:val="0"/>
      <w:marRight w:val="0"/>
      <w:marTop w:val="0"/>
      <w:marBottom w:val="0"/>
      <w:divBdr>
        <w:top w:val="none" w:sz="0" w:space="0" w:color="auto"/>
        <w:left w:val="none" w:sz="0" w:space="0" w:color="auto"/>
        <w:bottom w:val="none" w:sz="0" w:space="0" w:color="auto"/>
        <w:right w:val="none" w:sz="0" w:space="0" w:color="auto"/>
      </w:divBdr>
    </w:div>
    <w:div w:id="1609385383">
      <w:bodyDiv w:val="1"/>
      <w:marLeft w:val="0"/>
      <w:marRight w:val="0"/>
      <w:marTop w:val="0"/>
      <w:marBottom w:val="0"/>
      <w:divBdr>
        <w:top w:val="none" w:sz="0" w:space="0" w:color="auto"/>
        <w:left w:val="none" w:sz="0" w:space="0" w:color="auto"/>
        <w:bottom w:val="none" w:sz="0" w:space="0" w:color="auto"/>
        <w:right w:val="none" w:sz="0" w:space="0" w:color="auto"/>
      </w:divBdr>
    </w:div>
    <w:div w:id="1609771559">
      <w:bodyDiv w:val="1"/>
      <w:marLeft w:val="0"/>
      <w:marRight w:val="0"/>
      <w:marTop w:val="0"/>
      <w:marBottom w:val="0"/>
      <w:divBdr>
        <w:top w:val="none" w:sz="0" w:space="0" w:color="auto"/>
        <w:left w:val="none" w:sz="0" w:space="0" w:color="auto"/>
        <w:bottom w:val="none" w:sz="0" w:space="0" w:color="auto"/>
        <w:right w:val="none" w:sz="0" w:space="0" w:color="auto"/>
      </w:divBdr>
    </w:div>
    <w:div w:id="1609966364">
      <w:bodyDiv w:val="1"/>
      <w:marLeft w:val="0"/>
      <w:marRight w:val="0"/>
      <w:marTop w:val="0"/>
      <w:marBottom w:val="0"/>
      <w:divBdr>
        <w:top w:val="none" w:sz="0" w:space="0" w:color="auto"/>
        <w:left w:val="none" w:sz="0" w:space="0" w:color="auto"/>
        <w:bottom w:val="none" w:sz="0" w:space="0" w:color="auto"/>
        <w:right w:val="none" w:sz="0" w:space="0" w:color="auto"/>
      </w:divBdr>
    </w:div>
    <w:div w:id="1609970376">
      <w:bodyDiv w:val="1"/>
      <w:marLeft w:val="0"/>
      <w:marRight w:val="0"/>
      <w:marTop w:val="0"/>
      <w:marBottom w:val="0"/>
      <w:divBdr>
        <w:top w:val="none" w:sz="0" w:space="0" w:color="auto"/>
        <w:left w:val="none" w:sz="0" w:space="0" w:color="auto"/>
        <w:bottom w:val="none" w:sz="0" w:space="0" w:color="auto"/>
        <w:right w:val="none" w:sz="0" w:space="0" w:color="auto"/>
      </w:divBdr>
    </w:div>
    <w:div w:id="1610159457">
      <w:bodyDiv w:val="1"/>
      <w:marLeft w:val="0"/>
      <w:marRight w:val="0"/>
      <w:marTop w:val="0"/>
      <w:marBottom w:val="0"/>
      <w:divBdr>
        <w:top w:val="none" w:sz="0" w:space="0" w:color="auto"/>
        <w:left w:val="none" w:sz="0" w:space="0" w:color="auto"/>
        <w:bottom w:val="none" w:sz="0" w:space="0" w:color="auto"/>
        <w:right w:val="none" w:sz="0" w:space="0" w:color="auto"/>
      </w:divBdr>
    </w:div>
    <w:div w:id="1610159471">
      <w:bodyDiv w:val="1"/>
      <w:marLeft w:val="0"/>
      <w:marRight w:val="0"/>
      <w:marTop w:val="0"/>
      <w:marBottom w:val="0"/>
      <w:divBdr>
        <w:top w:val="none" w:sz="0" w:space="0" w:color="auto"/>
        <w:left w:val="none" w:sz="0" w:space="0" w:color="auto"/>
        <w:bottom w:val="none" w:sz="0" w:space="0" w:color="auto"/>
        <w:right w:val="none" w:sz="0" w:space="0" w:color="auto"/>
      </w:divBdr>
    </w:div>
    <w:div w:id="1610235213">
      <w:bodyDiv w:val="1"/>
      <w:marLeft w:val="0"/>
      <w:marRight w:val="0"/>
      <w:marTop w:val="0"/>
      <w:marBottom w:val="0"/>
      <w:divBdr>
        <w:top w:val="none" w:sz="0" w:space="0" w:color="auto"/>
        <w:left w:val="none" w:sz="0" w:space="0" w:color="auto"/>
        <w:bottom w:val="none" w:sz="0" w:space="0" w:color="auto"/>
        <w:right w:val="none" w:sz="0" w:space="0" w:color="auto"/>
      </w:divBdr>
    </w:div>
    <w:div w:id="1610313236">
      <w:bodyDiv w:val="1"/>
      <w:marLeft w:val="0"/>
      <w:marRight w:val="0"/>
      <w:marTop w:val="0"/>
      <w:marBottom w:val="0"/>
      <w:divBdr>
        <w:top w:val="none" w:sz="0" w:space="0" w:color="auto"/>
        <w:left w:val="none" w:sz="0" w:space="0" w:color="auto"/>
        <w:bottom w:val="none" w:sz="0" w:space="0" w:color="auto"/>
        <w:right w:val="none" w:sz="0" w:space="0" w:color="auto"/>
      </w:divBdr>
    </w:div>
    <w:div w:id="1610426610">
      <w:bodyDiv w:val="1"/>
      <w:marLeft w:val="0"/>
      <w:marRight w:val="0"/>
      <w:marTop w:val="0"/>
      <w:marBottom w:val="0"/>
      <w:divBdr>
        <w:top w:val="none" w:sz="0" w:space="0" w:color="auto"/>
        <w:left w:val="none" w:sz="0" w:space="0" w:color="auto"/>
        <w:bottom w:val="none" w:sz="0" w:space="0" w:color="auto"/>
        <w:right w:val="none" w:sz="0" w:space="0" w:color="auto"/>
      </w:divBdr>
    </w:div>
    <w:div w:id="1610434759">
      <w:bodyDiv w:val="1"/>
      <w:marLeft w:val="0"/>
      <w:marRight w:val="0"/>
      <w:marTop w:val="0"/>
      <w:marBottom w:val="0"/>
      <w:divBdr>
        <w:top w:val="none" w:sz="0" w:space="0" w:color="auto"/>
        <w:left w:val="none" w:sz="0" w:space="0" w:color="auto"/>
        <w:bottom w:val="none" w:sz="0" w:space="0" w:color="auto"/>
        <w:right w:val="none" w:sz="0" w:space="0" w:color="auto"/>
      </w:divBdr>
    </w:div>
    <w:div w:id="1610819269">
      <w:bodyDiv w:val="1"/>
      <w:marLeft w:val="0"/>
      <w:marRight w:val="0"/>
      <w:marTop w:val="0"/>
      <w:marBottom w:val="0"/>
      <w:divBdr>
        <w:top w:val="none" w:sz="0" w:space="0" w:color="auto"/>
        <w:left w:val="none" w:sz="0" w:space="0" w:color="auto"/>
        <w:bottom w:val="none" w:sz="0" w:space="0" w:color="auto"/>
        <w:right w:val="none" w:sz="0" w:space="0" w:color="auto"/>
      </w:divBdr>
    </w:div>
    <w:div w:id="1610896867">
      <w:bodyDiv w:val="1"/>
      <w:marLeft w:val="0"/>
      <w:marRight w:val="0"/>
      <w:marTop w:val="0"/>
      <w:marBottom w:val="0"/>
      <w:divBdr>
        <w:top w:val="none" w:sz="0" w:space="0" w:color="auto"/>
        <w:left w:val="none" w:sz="0" w:space="0" w:color="auto"/>
        <w:bottom w:val="none" w:sz="0" w:space="0" w:color="auto"/>
        <w:right w:val="none" w:sz="0" w:space="0" w:color="auto"/>
      </w:divBdr>
    </w:div>
    <w:div w:id="1610970639">
      <w:bodyDiv w:val="1"/>
      <w:marLeft w:val="0"/>
      <w:marRight w:val="0"/>
      <w:marTop w:val="0"/>
      <w:marBottom w:val="0"/>
      <w:divBdr>
        <w:top w:val="none" w:sz="0" w:space="0" w:color="auto"/>
        <w:left w:val="none" w:sz="0" w:space="0" w:color="auto"/>
        <w:bottom w:val="none" w:sz="0" w:space="0" w:color="auto"/>
        <w:right w:val="none" w:sz="0" w:space="0" w:color="auto"/>
      </w:divBdr>
    </w:div>
    <w:div w:id="1611163203">
      <w:bodyDiv w:val="1"/>
      <w:marLeft w:val="0"/>
      <w:marRight w:val="0"/>
      <w:marTop w:val="0"/>
      <w:marBottom w:val="0"/>
      <w:divBdr>
        <w:top w:val="none" w:sz="0" w:space="0" w:color="auto"/>
        <w:left w:val="none" w:sz="0" w:space="0" w:color="auto"/>
        <w:bottom w:val="none" w:sz="0" w:space="0" w:color="auto"/>
        <w:right w:val="none" w:sz="0" w:space="0" w:color="auto"/>
      </w:divBdr>
    </w:div>
    <w:div w:id="1611283469">
      <w:bodyDiv w:val="1"/>
      <w:marLeft w:val="0"/>
      <w:marRight w:val="0"/>
      <w:marTop w:val="0"/>
      <w:marBottom w:val="0"/>
      <w:divBdr>
        <w:top w:val="none" w:sz="0" w:space="0" w:color="auto"/>
        <w:left w:val="none" w:sz="0" w:space="0" w:color="auto"/>
        <w:bottom w:val="none" w:sz="0" w:space="0" w:color="auto"/>
        <w:right w:val="none" w:sz="0" w:space="0" w:color="auto"/>
      </w:divBdr>
    </w:div>
    <w:div w:id="1611548760">
      <w:bodyDiv w:val="1"/>
      <w:marLeft w:val="0"/>
      <w:marRight w:val="0"/>
      <w:marTop w:val="0"/>
      <w:marBottom w:val="0"/>
      <w:divBdr>
        <w:top w:val="none" w:sz="0" w:space="0" w:color="auto"/>
        <w:left w:val="none" w:sz="0" w:space="0" w:color="auto"/>
        <w:bottom w:val="none" w:sz="0" w:space="0" w:color="auto"/>
        <w:right w:val="none" w:sz="0" w:space="0" w:color="auto"/>
      </w:divBdr>
    </w:div>
    <w:div w:id="1611859252">
      <w:bodyDiv w:val="1"/>
      <w:marLeft w:val="0"/>
      <w:marRight w:val="0"/>
      <w:marTop w:val="0"/>
      <w:marBottom w:val="0"/>
      <w:divBdr>
        <w:top w:val="none" w:sz="0" w:space="0" w:color="auto"/>
        <w:left w:val="none" w:sz="0" w:space="0" w:color="auto"/>
        <w:bottom w:val="none" w:sz="0" w:space="0" w:color="auto"/>
        <w:right w:val="none" w:sz="0" w:space="0" w:color="auto"/>
      </w:divBdr>
    </w:div>
    <w:div w:id="1611931025">
      <w:bodyDiv w:val="1"/>
      <w:marLeft w:val="0"/>
      <w:marRight w:val="0"/>
      <w:marTop w:val="0"/>
      <w:marBottom w:val="0"/>
      <w:divBdr>
        <w:top w:val="none" w:sz="0" w:space="0" w:color="auto"/>
        <w:left w:val="none" w:sz="0" w:space="0" w:color="auto"/>
        <w:bottom w:val="none" w:sz="0" w:space="0" w:color="auto"/>
        <w:right w:val="none" w:sz="0" w:space="0" w:color="auto"/>
      </w:divBdr>
    </w:div>
    <w:div w:id="1612010889">
      <w:bodyDiv w:val="1"/>
      <w:marLeft w:val="0"/>
      <w:marRight w:val="0"/>
      <w:marTop w:val="0"/>
      <w:marBottom w:val="0"/>
      <w:divBdr>
        <w:top w:val="none" w:sz="0" w:space="0" w:color="auto"/>
        <w:left w:val="none" w:sz="0" w:space="0" w:color="auto"/>
        <w:bottom w:val="none" w:sz="0" w:space="0" w:color="auto"/>
        <w:right w:val="none" w:sz="0" w:space="0" w:color="auto"/>
      </w:divBdr>
    </w:div>
    <w:div w:id="1612081539">
      <w:bodyDiv w:val="1"/>
      <w:marLeft w:val="0"/>
      <w:marRight w:val="0"/>
      <w:marTop w:val="0"/>
      <w:marBottom w:val="0"/>
      <w:divBdr>
        <w:top w:val="none" w:sz="0" w:space="0" w:color="auto"/>
        <w:left w:val="none" w:sz="0" w:space="0" w:color="auto"/>
        <w:bottom w:val="none" w:sz="0" w:space="0" w:color="auto"/>
        <w:right w:val="none" w:sz="0" w:space="0" w:color="auto"/>
      </w:divBdr>
    </w:div>
    <w:div w:id="1612123389">
      <w:bodyDiv w:val="1"/>
      <w:marLeft w:val="0"/>
      <w:marRight w:val="0"/>
      <w:marTop w:val="0"/>
      <w:marBottom w:val="0"/>
      <w:divBdr>
        <w:top w:val="none" w:sz="0" w:space="0" w:color="auto"/>
        <w:left w:val="none" w:sz="0" w:space="0" w:color="auto"/>
        <w:bottom w:val="none" w:sz="0" w:space="0" w:color="auto"/>
        <w:right w:val="none" w:sz="0" w:space="0" w:color="auto"/>
      </w:divBdr>
    </w:div>
    <w:div w:id="1612930042">
      <w:bodyDiv w:val="1"/>
      <w:marLeft w:val="0"/>
      <w:marRight w:val="0"/>
      <w:marTop w:val="0"/>
      <w:marBottom w:val="0"/>
      <w:divBdr>
        <w:top w:val="none" w:sz="0" w:space="0" w:color="auto"/>
        <w:left w:val="none" w:sz="0" w:space="0" w:color="auto"/>
        <w:bottom w:val="none" w:sz="0" w:space="0" w:color="auto"/>
        <w:right w:val="none" w:sz="0" w:space="0" w:color="auto"/>
      </w:divBdr>
    </w:div>
    <w:div w:id="1612933656">
      <w:bodyDiv w:val="1"/>
      <w:marLeft w:val="0"/>
      <w:marRight w:val="0"/>
      <w:marTop w:val="0"/>
      <w:marBottom w:val="0"/>
      <w:divBdr>
        <w:top w:val="none" w:sz="0" w:space="0" w:color="auto"/>
        <w:left w:val="none" w:sz="0" w:space="0" w:color="auto"/>
        <w:bottom w:val="none" w:sz="0" w:space="0" w:color="auto"/>
        <w:right w:val="none" w:sz="0" w:space="0" w:color="auto"/>
      </w:divBdr>
    </w:div>
    <w:div w:id="1613052911">
      <w:bodyDiv w:val="1"/>
      <w:marLeft w:val="0"/>
      <w:marRight w:val="0"/>
      <w:marTop w:val="0"/>
      <w:marBottom w:val="0"/>
      <w:divBdr>
        <w:top w:val="none" w:sz="0" w:space="0" w:color="auto"/>
        <w:left w:val="none" w:sz="0" w:space="0" w:color="auto"/>
        <w:bottom w:val="none" w:sz="0" w:space="0" w:color="auto"/>
        <w:right w:val="none" w:sz="0" w:space="0" w:color="auto"/>
      </w:divBdr>
    </w:div>
    <w:div w:id="1613129960">
      <w:bodyDiv w:val="1"/>
      <w:marLeft w:val="0"/>
      <w:marRight w:val="0"/>
      <w:marTop w:val="0"/>
      <w:marBottom w:val="0"/>
      <w:divBdr>
        <w:top w:val="none" w:sz="0" w:space="0" w:color="auto"/>
        <w:left w:val="none" w:sz="0" w:space="0" w:color="auto"/>
        <w:bottom w:val="none" w:sz="0" w:space="0" w:color="auto"/>
        <w:right w:val="none" w:sz="0" w:space="0" w:color="auto"/>
      </w:divBdr>
    </w:div>
    <w:div w:id="1613198729">
      <w:bodyDiv w:val="1"/>
      <w:marLeft w:val="0"/>
      <w:marRight w:val="0"/>
      <w:marTop w:val="0"/>
      <w:marBottom w:val="0"/>
      <w:divBdr>
        <w:top w:val="none" w:sz="0" w:space="0" w:color="auto"/>
        <w:left w:val="none" w:sz="0" w:space="0" w:color="auto"/>
        <w:bottom w:val="none" w:sz="0" w:space="0" w:color="auto"/>
        <w:right w:val="none" w:sz="0" w:space="0" w:color="auto"/>
      </w:divBdr>
    </w:div>
    <w:div w:id="1613199054">
      <w:bodyDiv w:val="1"/>
      <w:marLeft w:val="0"/>
      <w:marRight w:val="0"/>
      <w:marTop w:val="0"/>
      <w:marBottom w:val="0"/>
      <w:divBdr>
        <w:top w:val="none" w:sz="0" w:space="0" w:color="auto"/>
        <w:left w:val="none" w:sz="0" w:space="0" w:color="auto"/>
        <w:bottom w:val="none" w:sz="0" w:space="0" w:color="auto"/>
        <w:right w:val="none" w:sz="0" w:space="0" w:color="auto"/>
      </w:divBdr>
    </w:div>
    <w:div w:id="1613441604">
      <w:bodyDiv w:val="1"/>
      <w:marLeft w:val="0"/>
      <w:marRight w:val="0"/>
      <w:marTop w:val="0"/>
      <w:marBottom w:val="0"/>
      <w:divBdr>
        <w:top w:val="none" w:sz="0" w:space="0" w:color="auto"/>
        <w:left w:val="none" w:sz="0" w:space="0" w:color="auto"/>
        <w:bottom w:val="none" w:sz="0" w:space="0" w:color="auto"/>
        <w:right w:val="none" w:sz="0" w:space="0" w:color="auto"/>
      </w:divBdr>
    </w:div>
    <w:div w:id="1613782931">
      <w:bodyDiv w:val="1"/>
      <w:marLeft w:val="0"/>
      <w:marRight w:val="0"/>
      <w:marTop w:val="0"/>
      <w:marBottom w:val="0"/>
      <w:divBdr>
        <w:top w:val="none" w:sz="0" w:space="0" w:color="auto"/>
        <w:left w:val="none" w:sz="0" w:space="0" w:color="auto"/>
        <w:bottom w:val="none" w:sz="0" w:space="0" w:color="auto"/>
        <w:right w:val="none" w:sz="0" w:space="0" w:color="auto"/>
      </w:divBdr>
    </w:div>
    <w:div w:id="1613854175">
      <w:bodyDiv w:val="1"/>
      <w:marLeft w:val="0"/>
      <w:marRight w:val="0"/>
      <w:marTop w:val="0"/>
      <w:marBottom w:val="0"/>
      <w:divBdr>
        <w:top w:val="none" w:sz="0" w:space="0" w:color="auto"/>
        <w:left w:val="none" w:sz="0" w:space="0" w:color="auto"/>
        <w:bottom w:val="none" w:sz="0" w:space="0" w:color="auto"/>
        <w:right w:val="none" w:sz="0" w:space="0" w:color="auto"/>
      </w:divBdr>
    </w:div>
    <w:div w:id="1613898156">
      <w:bodyDiv w:val="1"/>
      <w:marLeft w:val="0"/>
      <w:marRight w:val="0"/>
      <w:marTop w:val="0"/>
      <w:marBottom w:val="0"/>
      <w:divBdr>
        <w:top w:val="none" w:sz="0" w:space="0" w:color="auto"/>
        <w:left w:val="none" w:sz="0" w:space="0" w:color="auto"/>
        <w:bottom w:val="none" w:sz="0" w:space="0" w:color="auto"/>
        <w:right w:val="none" w:sz="0" w:space="0" w:color="auto"/>
      </w:divBdr>
    </w:div>
    <w:div w:id="1614093475">
      <w:bodyDiv w:val="1"/>
      <w:marLeft w:val="0"/>
      <w:marRight w:val="0"/>
      <w:marTop w:val="0"/>
      <w:marBottom w:val="0"/>
      <w:divBdr>
        <w:top w:val="none" w:sz="0" w:space="0" w:color="auto"/>
        <w:left w:val="none" w:sz="0" w:space="0" w:color="auto"/>
        <w:bottom w:val="none" w:sz="0" w:space="0" w:color="auto"/>
        <w:right w:val="none" w:sz="0" w:space="0" w:color="auto"/>
      </w:divBdr>
    </w:div>
    <w:div w:id="1614248044">
      <w:bodyDiv w:val="1"/>
      <w:marLeft w:val="0"/>
      <w:marRight w:val="0"/>
      <w:marTop w:val="0"/>
      <w:marBottom w:val="0"/>
      <w:divBdr>
        <w:top w:val="none" w:sz="0" w:space="0" w:color="auto"/>
        <w:left w:val="none" w:sz="0" w:space="0" w:color="auto"/>
        <w:bottom w:val="none" w:sz="0" w:space="0" w:color="auto"/>
        <w:right w:val="none" w:sz="0" w:space="0" w:color="auto"/>
      </w:divBdr>
    </w:div>
    <w:div w:id="1614360988">
      <w:bodyDiv w:val="1"/>
      <w:marLeft w:val="0"/>
      <w:marRight w:val="0"/>
      <w:marTop w:val="0"/>
      <w:marBottom w:val="0"/>
      <w:divBdr>
        <w:top w:val="none" w:sz="0" w:space="0" w:color="auto"/>
        <w:left w:val="none" w:sz="0" w:space="0" w:color="auto"/>
        <w:bottom w:val="none" w:sz="0" w:space="0" w:color="auto"/>
        <w:right w:val="none" w:sz="0" w:space="0" w:color="auto"/>
      </w:divBdr>
    </w:div>
    <w:div w:id="1614363770">
      <w:bodyDiv w:val="1"/>
      <w:marLeft w:val="0"/>
      <w:marRight w:val="0"/>
      <w:marTop w:val="0"/>
      <w:marBottom w:val="0"/>
      <w:divBdr>
        <w:top w:val="none" w:sz="0" w:space="0" w:color="auto"/>
        <w:left w:val="none" w:sz="0" w:space="0" w:color="auto"/>
        <w:bottom w:val="none" w:sz="0" w:space="0" w:color="auto"/>
        <w:right w:val="none" w:sz="0" w:space="0" w:color="auto"/>
      </w:divBdr>
    </w:div>
    <w:div w:id="1614438591">
      <w:bodyDiv w:val="1"/>
      <w:marLeft w:val="0"/>
      <w:marRight w:val="0"/>
      <w:marTop w:val="0"/>
      <w:marBottom w:val="0"/>
      <w:divBdr>
        <w:top w:val="none" w:sz="0" w:space="0" w:color="auto"/>
        <w:left w:val="none" w:sz="0" w:space="0" w:color="auto"/>
        <w:bottom w:val="none" w:sz="0" w:space="0" w:color="auto"/>
        <w:right w:val="none" w:sz="0" w:space="0" w:color="auto"/>
      </w:divBdr>
    </w:div>
    <w:div w:id="1614441624">
      <w:bodyDiv w:val="1"/>
      <w:marLeft w:val="0"/>
      <w:marRight w:val="0"/>
      <w:marTop w:val="0"/>
      <w:marBottom w:val="0"/>
      <w:divBdr>
        <w:top w:val="none" w:sz="0" w:space="0" w:color="auto"/>
        <w:left w:val="none" w:sz="0" w:space="0" w:color="auto"/>
        <w:bottom w:val="none" w:sz="0" w:space="0" w:color="auto"/>
        <w:right w:val="none" w:sz="0" w:space="0" w:color="auto"/>
      </w:divBdr>
    </w:div>
    <w:div w:id="1614627982">
      <w:bodyDiv w:val="1"/>
      <w:marLeft w:val="0"/>
      <w:marRight w:val="0"/>
      <w:marTop w:val="0"/>
      <w:marBottom w:val="0"/>
      <w:divBdr>
        <w:top w:val="none" w:sz="0" w:space="0" w:color="auto"/>
        <w:left w:val="none" w:sz="0" w:space="0" w:color="auto"/>
        <w:bottom w:val="none" w:sz="0" w:space="0" w:color="auto"/>
        <w:right w:val="none" w:sz="0" w:space="0" w:color="auto"/>
      </w:divBdr>
    </w:div>
    <w:div w:id="1614745408">
      <w:bodyDiv w:val="1"/>
      <w:marLeft w:val="0"/>
      <w:marRight w:val="0"/>
      <w:marTop w:val="0"/>
      <w:marBottom w:val="0"/>
      <w:divBdr>
        <w:top w:val="none" w:sz="0" w:space="0" w:color="auto"/>
        <w:left w:val="none" w:sz="0" w:space="0" w:color="auto"/>
        <w:bottom w:val="none" w:sz="0" w:space="0" w:color="auto"/>
        <w:right w:val="none" w:sz="0" w:space="0" w:color="auto"/>
      </w:divBdr>
    </w:div>
    <w:div w:id="1614828553">
      <w:bodyDiv w:val="1"/>
      <w:marLeft w:val="0"/>
      <w:marRight w:val="0"/>
      <w:marTop w:val="0"/>
      <w:marBottom w:val="0"/>
      <w:divBdr>
        <w:top w:val="none" w:sz="0" w:space="0" w:color="auto"/>
        <w:left w:val="none" w:sz="0" w:space="0" w:color="auto"/>
        <w:bottom w:val="none" w:sz="0" w:space="0" w:color="auto"/>
        <w:right w:val="none" w:sz="0" w:space="0" w:color="auto"/>
      </w:divBdr>
    </w:div>
    <w:div w:id="1614898375">
      <w:bodyDiv w:val="1"/>
      <w:marLeft w:val="0"/>
      <w:marRight w:val="0"/>
      <w:marTop w:val="0"/>
      <w:marBottom w:val="0"/>
      <w:divBdr>
        <w:top w:val="none" w:sz="0" w:space="0" w:color="auto"/>
        <w:left w:val="none" w:sz="0" w:space="0" w:color="auto"/>
        <w:bottom w:val="none" w:sz="0" w:space="0" w:color="auto"/>
        <w:right w:val="none" w:sz="0" w:space="0" w:color="auto"/>
      </w:divBdr>
    </w:div>
    <w:div w:id="1615089282">
      <w:bodyDiv w:val="1"/>
      <w:marLeft w:val="0"/>
      <w:marRight w:val="0"/>
      <w:marTop w:val="0"/>
      <w:marBottom w:val="0"/>
      <w:divBdr>
        <w:top w:val="none" w:sz="0" w:space="0" w:color="auto"/>
        <w:left w:val="none" w:sz="0" w:space="0" w:color="auto"/>
        <w:bottom w:val="none" w:sz="0" w:space="0" w:color="auto"/>
        <w:right w:val="none" w:sz="0" w:space="0" w:color="auto"/>
      </w:divBdr>
    </w:div>
    <w:div w:id="1615090684">
      <w:bodyDiv w:val="1"/>
      <w:marLeft w:val="0"/>
      <w:marRight w:val="0"/>
      <w:marTop w:val="0"/>
      <w:marBottom w:val="0"/>
      <w:divBdr>
        <w:top w:val="none" w:sz="0" w:space="0" w:color="auto"/>
        <w:left w:val="none" w:sz="0" w:space="0" w:color="auto"/>
        <w:bottom w:val="none" w:sz="0" w:space="0" w:color="auto"/>
        <w:right w:val="none" w:sz="0" w:space="0" w:color="auto"/>
      </w:divBdr>
    </w:div>
    <w:div w:id="1615137614">
      <w:bodyDiv w:val="1"/>
      <w:marLeft w:val="0"/>
      <w:marRight w:val="0"/>
      <w:marTop w:val="0"/>
      <w:marBottom w:val="0"/>
      <w:divBdr>
        <w:top w:val="none" w:sz="0" w:space="0" w:color="auto"/>
        <w:left w:val="none" w:sz="0" w:space="0" w:color="auto"/>
        <w:bottom w:val="none" w:sz="0" w:space="0" w:color="auto"/>
        <w:right w:val="none" w:sz="0" w:space="0" w:color="auto"/>
      </w:divBdr>
    </w:div>
    <w:div w:id="1615209738">
      <w:bodyDiv w:val="1"/>
      <w:marLeft w:val="0"/>
      <w:marRight w:val="0"/>
      <w:marTop w:val="0"/>
      <w:marBottom w:val="0"/>
      <w:divBdr>
        <w:top w:val="none" w:sz="0" w:space="0" w:color="auto"/>
        <w:left w:val="none" w:sz="0" w:space="0" w:color="auto"/>
        <w:bottom w:val="none" w:sz="0" w:space="0" w:color="auto"/>
        <w:right w:val="none" w:sz="0" w:space="0" w:color="auto"/>
      </w:divBdr>
    </w:div>
    <w:div w:id="1615209852">
      <w:bodyDiv w:val="1"/>
      <w:marLeft w:val="0"/>
      <w:marRight w:val="0"/>
      <w:marTop w:val="0"/>
      <w:marBottom w:val="0"/>
      <w:divBdr>
        <w:top w:val="none" w:sz="0" w:space="0" w:color="auto"/>
        <w:left w:val="none" w:sz="0" w:space="0" w:color="auto"/>
        <w:bottom w:val="none" w:sz="0" w:space="0" w:color="auto"/>
        <w:right w:val="none" w:sz="0" w:space="0" w:color="auto"/>
      </w:divBdr>
    </w:div>
    <w:div w:id="1615333193">
      <w:bodyDiv w:val="1"/>
      <w:marLeft w:val="0"/>
      <w:marRight w:val="0"/>
      <w:marTop w:val="0"/>
      <w:marBottom w:val="0"/>
      <w:divBdr>
        <w:top w:val="none" w:sz="0" w:space="0" w:color="auto"/>
        <w:left w:val="none" w:sz="0" w:space="0" w:color="auto"/>
        <w:bottom w:val="none" w:sz="0" w:space="0" w:color="auto"/>
        <w:right w:val="none" w:sz="0" w:space="0" w:color="auto"/>
      </w:divBdr>
    </w:div>
    <w:div w:id="1615360874">
      <w:bodyDiv w:val="1"/>
      <w:marLeft w:val="0"/>
      <w:marRight w:val="0"/>
      <w:marTop w:val="0"/>
      <w:marBottom w:val="0"/>
      <w:divBdr>
        <w:top w:val="none" w:sz="0" w:space="0" w:color="auto"/>
        <w:left w:val="none" w:sz="0" w:space="0" w:color="auto"/>
        <w:bottom w:val="none" w:sz="0" w:space="0" w:color="auto"/>
        <w:right w:val="none" w:sz="0" w:space="0" w:color="auto"/>
      </w:divBdr>
    </w:div>
    <w:div w:id="1615402846">
      <w:bodyDiv w:val="1"/>
      <w:marLeft w:val="0"/>
      <w:marRight w:val="0"/>
      <w:marTop w:val="0"/>
      <w:marBottom w:val="0"/>
      <w:divBdr>
        <w:top w:val="none" w:sz="0" w:space="0" w:color="auto"/>
        <w:left w:val="none" w:sz="0" w:space="0" w:color="auto"/>
        <w:bottom w:val="none" w:sz="0" w:space="0" w:color="auto"/>
        <w:right w:val="none" w:sz="0" w:space="0" w:color="auto"/>
      </w:divBdr>
    </w:div>
    <w:div w:id="1615550194">
      <w:bodyDiv w:val="1"/>
      <w:marLeft w:val="0"/>
      <w:marRight w:val="0"/>
      <w:marTop w:val="0"/>
      <w:marBottom w:val="0"/>
      <w:divBdr>
        <w:top w:val="none" w:sz="0" w:space="0" w:color="auto"/>
        <w:left w:val="none" w:sz="0" w:space="0" w:color="auto"/>
        <w:bottom w:val="none" w:sz="0" w:space="0" w:color="auto"/>
        <w:right w:val="none" w:sz="0" w:space="0" w:color="auto"/>
      </w:divBdr>
    </w:div>
    <w:div w:id="1615594399">
      <w:bodyDiv w:val="1"/>
      <w:marLeft w:val="0"/>
      <w:marRight w:val="0"/>
      <w:marTop w:val="0"/>
      <w:marBottom w:val="0"/>
      <w:divBdr>
        <w:top w:val="none" w:sz="0" w:space="0" w:color="auto"/>
        <w:left w:val="none" w:sz="0" w:space="0" w:color="auto"/>
        <w:bottom w:val="none" w:sz="0" w:space="0" w:color="auto"/>
        <w:right w:val="none" w:sz="0" w:space="0" w:color="auto"/>
      </w:divBdr>
    </w:div>
    <w:div w:id="1615595207">
      <w:bodyDiv w:val="1"/>
      <w:marLeft w:val="0"/>
      <w:marRight w:val="0"/>
      <w:marTop w:val="0"/>
      <w:marBottom w:val="0"/>
      <w:divBdr>
        <w:top w:val="none" w:sz="0" w:space="0" w:color="auto"/>
        <w:left w:val="none" w:sz="0" w:space="0" w:color="auto"/>
        <w:bottom w:val="none" w:sz="0" w:space="0" w:color="auto"/>
        <w:right w:val="none" w:sz="0" w:space="0" w:color="auto"/>
      </w:divBdr>
    </w:div>
    <w:div w:id="1615597104">
      <w:bodyDiv w:val="1"/>
      <w:marLeft w:val="0"/>
      <w:marRight w:val="0"/>
      <w:marTop w:val="0"/>
      <w:marBottom w:val="0"/>
      <w:divBdr>
        <w:top w:val="none" w:sz="0" w:space="0" w:color="auto"/>
        <w:left w:val="none" w:sz="0" w:space="0" w:color="auto"/>
        <w:bottom w:val="none" w:sz="0" w:space="0" w:color="auto"/>
        <w:right w:val="none" w:sz="0" w:space="0" w:color="auto"/>
      </w:divBdr>
    </w:div>
    <w:div w:id="1616251903">
      <w:bodyDiv w:val="1"/>
      <w:marLeft w:val="0"/>
      <w:marRight w:val="0"/>
      <w:marTop w:val="0"/>
      <w:marBottom w:val="0"/>
      <w:divBdr>
        <w:top w:val="none" w:sz="0" w:space="0" w:color="auto"/>
        <w:left w:val="none" w:sz="0" w:space="0" w:color="auto"/>
        <w:bottom w:val="none" w:sz="0" w:space="0" w:color="auto"/>
        <w:right w:val="none" w:sz="0" w:space="0" w:color="auto"/>
      </w:divBdr>
    </w:div>
    <w:div w:id="1616324884">
      <w:bodyDiv w:val="1"/>
      <w:marLeft w:val="0"/>
      <w:marRight w:val="0"/>
      <w:marTop w:val="0"/>
      <w:marBottom w:val="0"/>
      <w:divBdr>
        <w:top w:val="none" w:sz="0" w:space="0" w:color="auto"/>
        <w:left w:val="none" w:sz="0" w:space="0" w:color="auto"/>
        <w:bottom w:val="none" w:sz="0" w:space="0" w:color="auto"/>
        <w:right w:val="none" w:sz="0" w:space="0" w:color="auto"/>
      </w:divBdr>
    </w:div>
    <w:div w:id="1616399408">
      <w:bodyDiv w:val="1"/>
      <w:marLeft w:val="0"/>
      <w:marRight w:val="0"/>
      <w:marTop w:val="0"/>
      <w:marBottom w:val="0"/>
      <w:divBdr>
        <w:top w:val="none" w:sz="0" w:space="0" w:color="auto"/>
        <w:left w:val="none" w:sz="0" w:space="0" w:color="auto"/>
        <w:bottom w:val="none" w:sz="0" w:space="0" w:color="auto"/>
        <w:right w:val="none" w:sz="0" w:space="0" w:color="auto"/>
      </w:divBdr>
    </w:div>
    <w:div w:id="1616400100">
      <w:bodyDiv w:val="1"/>
      <w:marLeft w:val="0"/>
      <w:marRight w:val="0"/>
      <w:marTop w:val="0"/>
      <w:marBottom w:val="0"/>
      <w:divBdr>
        <w:top w:val="none" w:sz="0" w:space="0" w:color="auto"/>
        <w:left w:val="none" w:sz="0" w:space="0" w:color="auto"/>
        <w:bottom w:val="none" w:sz="0" w:space="0" w:color="auto"/>
        <w:right w:val="none" w:sz="0" w:space="0" w:color="auto"/>
      </w:divBdr>
    </w:div>
    <w:div w:id="1616445986">
      <w:bodyDiv w:val="1"/>
      <w:marLeft w:val="0"/>
      <w:marRight w:val="0"/>
      <w:marTop w:val="0"/>
      <w:marBottom w:val="0"/>
      <w:divBdr>
        <w:top w:val="none" w:sz="0" w:space="0" w:color="auto"/>
        <w:left w:val="none" w:sz="0" w:space="0" w:color="auto"/>
        <w:bottom w:val="none" w:sz="0" w:space="0" w:color="auto"/>
        <w:right w:val="none" w:sz="0" w:space="0" w:color="auto"/>
      </w:divBdr>
    </w:div>
    <w:div w:id="1616516754">
      <w:bodyDiv w:val="1"/>
      <w:marLeft w:val="0"/>
      <w:marRight w:val="0"/>
      <w:marTop w:val="0"/>
      <w:marBottom w:val="0"/>
      <w:divBdr>
        <w:top w:val="none" w:sz="0" w:space="0" w:color="auto"/>
        <w:left w:val="none" w:sz="0" w:space="0" w:color="auto"/>
        <w:bottom w:val="none" w:sz="0" w:space="0" w:color="auto"/>
        <w:right w:val="none" w:sz="0" w:space="0" w:color="auto"/>
      </w:divBdr>
    </w:div>
    <w:div w:id="1616714261">
      <w:bodyDiv w:val="1"/>
      <w:marLeft w:val="0"/>
      <w:marRight w:val="0"/>
      <w:marTop w:val="0"/>
      <w:marBottom w:val="0"/>
      <w:divBdr>
        <w:top w:val="none" w:sz="0" w:space="0" w:color="auto"/>
        <w:left w:val="none" w:sz="0" w:space="0" w:color="auto"/>
        <w:bottom w:val="none" w:sz="0" w:space="0" w:color="auto"/>
        <w:right w:val="none" w:sz="0" w:space="0" w:color="auto"/>
      </w:divBdr>
    </w:div>
    <w:div w:id="1616909632">
      <w:bodyDiv w:val="1"/>
      <w:marLeft w:val="0"/>
      <w:marRight w:val="0"/>
      <w:marTop w:val="0"/>
      <w:marBottom w:val="0"/>
      <w:divBdr>
        <w:top w:val="none" w:sz="0" w:space="0" w:color="auto"/>
        <w:left w:val="none" w:sz="0" w:space="0" w:color="auto"/>
        <w:bottom w:val="none" w:sz="0" w:space="0" w:color="auto"/>
        <w:right w:val="none" w:sz="0" w:space="0" w:color="auto"/>
      </w:divBdr>
    </w:div>
    <w:div w:id="1616910634">
      <w:bodyDiv w:val="1"/>
      <w:marLeft w:val="0"/>
      <w:marRight w:val="0"/>
      <w:marTop w:val="0"/>
      <w:marBottom w:val="0"/>
      <w:divBdr>
        <w:top w:val="none" w:sz="0" w:space="0" w:color="auto"/>
        <w:left w:val="none" w:sz="0" w:space="0" w:color="auto"/>
        <w:bottom w:val="none" w:sz="0" w:space="0" w:color="auto"/>
        <w:right w:val="none" w:sz="0" w:space="0" w:color="auto"/>
      </w:divBdr>
    </w:div>
    <w:div w:id="1617105538">
      <w:bodyDiv w:val="1"/>
      <w:marLeft w:val="0"/>
      <w:marRight w:val="0"/>
      <w:marTop w:val="0"/>
      <w:marBottom w:val="0"/>
      <w:divBdr>
        <w:top w:val="none" w:sz="0" w:space="0" w:color="auto"/>
        <w:left w:val="none" w:sz="0" w:space="0" w:color="auto"/>
        <w:bottom w:val="none" w:sz="0" w:space="0" w:color="auto"/>
        <w:right w:val="none" w:sz="0" w:space="0" w:color="auto"/>
      </w:divBdr>
    </w:div>
    <w:div w:id="1617565302">
      <w:bodyDiv w:val="1"/>
      <w:marLeft w:val="0"/>
      <w:marRight w:val="0"/>
      <w:marTop w:val="0"/>
      <w:marBottom w:val="0"/>
      <w:divBdr>
        <w:top w:val="none" w:sz="0" w:space="0" w:color="auto"/>
        <w:left w:val="none" w:sz="0" w:space="0" w:color="auto"/>
        <w:bottom w:val="none" w:sz="0" w:space="0" w:color="auto"/>
        <w:right w:val="none" w:sz="0" w:space="0" w:color="auto"/>
      </w:divBdr>
    </w:div>
    <w:div w:id="1617640229">
      <w:bodyDiv w:val="1"/>
      <w:marLeft w:val="0"/>
      <w:marRight w:val="0"/>
      <w:marTop w:val="0"/>
      <w:marBottom w:val="0"/>
      <w:divBdr>
        <w:top w:val="none" w:sz="0" w:space="0" w:color="auto"/>
        <w:left w:val="none" w:sz="0" w:space="0" w:color="auto"/>
        <w:bottom w:val="none" w:sz="0" w:space="0" w:color="auto"/>
        <w:right w:val="none" w:sz="0" w:space="0" w:color="auto"/>
      </w:divBdr>
    </w:div>
    <w:div w:id="1617714486">
      <w:bodyDiv w:val="1"/>
      <w:marLeft w:val="0"/>
      <w:marRight w:val="0"/>
      <w:marTop w:val="0"/>
      <w:marBottom w:val="0"/>
      <w:divBdr>
        <w:top w:val="none" w:sz="0" w:space="0" w:color="auto"/>
        <w:left w:val="none" w:sz="0" w:space="0" w:color="auto"/>
        <w:bottom w:val="none" w:sz="0" w:space="0" w:color="auto"/>
        <w:right w:val="none" w:sz="0" w:space="0" w:color="auto"/>
      </w:divBdr>
    </w:div>
    <w:div w:id="1617760283">
      <w:bodyDiv w:val="1"/>
      <w:marLeft w:val="0"/>
      <w:marRight w:val="0"/>
      <w:marTop w:val="0"/>
      <w:marBottom w:val="0"/>
      <w:divBdr>
        <w:top w:val="none" w:sz="0" w:space="0" w:color="auto"/>
        <w:left w:val="none" w:sz="0" w:space="0" w:color="auto"/>
        <w:bottom w:val="none" w:sz="0" w:space="0" w:color="auto"/>
        <w:right w:val="none" w:sz="0" w:space="0" w:color="auto"/>
      </w:divBdr>
    </w:div>
    <w:div w:id="1617902906">
      <w:bodyDiv w:val="1"/>
      <w:marLeft w:val="0"/>
      <w:marRight w:val="0"/>
      <w:marTop w:val="0"/>
      <w:marBottom w:val="0"/>
      <w:divBdr>
        <w:top w:val="none" w:sz="0" w:space="0" w:color="auto"/>
        <w:left w:val="none" w:sz="0" w:space="0" w:color="auto"/>
        <w:bottom w:val="none" w:sz="0" w:space="0" w:color="auto"/>
        <w:right w:val="none" w:sz="0" w:space="0" w:color="auto"/>
      </w:divBdr>
    </w:div>
    <w:div w:id="1617909527">
      <w:bodyDiv w:val="1"/>
      <w:marLeft w:val="0"/>
      <w:marRight w:val="0"/>
      <w:marTop w:val="0"/>
      <w:marBottom w:val="0"/>
      <w:divBdr>
        <w:top w:val="none" w:sz="0" w:space="0" w:color="auto"/>
        <w:left w:val="none" w:sz="0" w:space="0" w:color="auto"/>
        <w:bottom w:val="none" w:sz="0" w:space="0" w:color="auto"/>
        <w:right w:val="none" w:sz="0" w:space="0" w:color="auto"/>
      </w:divBdr>
    </w:div>
    <w:div w:id="1618024540">
      <w:bodyDiv w:val="1"/>
      <w:marLeft w:val="0"/>
      <w:marRight w:val="0"/>
      <w:marTop w:val="0"/>
      <w:marBottom w:val="0"/>
      <w:divBdr>
        <w:top w:val="none" w:sz="0" w:space="0" w:color="auto"/>
        <w:left w:val="none" w:sz="0" w:space="0" w:color="auto"/>
        <w:bottom w:val="none" w:sz="0" w:space="0" w:color="auto"/>
        <w:right w:val="none" w:sz="0" w:space="0" w:color="auto"/>
      </w:divBdr>
    </w:div>
    <w:div w:id="1618562894">
      <w:bodyDiv w:val="1"/>
      <w:marLeft w:val="0"/>
      <w:marRight w:val="0"/>
      <w:marTop w:val="0"/>
      <w:marBottom w:val="0"/>
      <w:divBdr>
        <w:top w:val="none" w:sz="0" w:space="0" w:color="auto"/>
        <w:left w:val="none" w:sz="0" w:space="0" w:color="auto"/>
        <w:bottom w:val="none" w:sz="0" w:space="0" w:color="auto"/>
        <w:right w:val="none" w:sz="0" w:space="0" w:color="auto"/>
      </w:divBdr>
    </w:div>
    <w:div w:id="1618563116">
      <w:bodyDiv w:val="1"/>
      <w:marLeft w:val="0"/>
      <w:marRight w:val="0"/>
      <w:marTop w:val="0"/>
      <w:marBottom w:val="0"/>
      <w:divBdr>
        <w:top w:val="none" w:sz="0" w:space="0" w:color="auto"/>
        <w:left w:val="none" w:sz="0" w:space="0" w:color="auto"/>
        <w:bottom w:val="none" w:sz="0" w:space="0" w:color="auto"/>
        <w:right w:val="none" w:sz="0" w:space="0" w:color="auto"/>
      </w:divBdr>
    </w:div>
    <w:div w:id="1618947913">
      <w:bodyDiv w:val="1"/>
      <w:marLeft w:val="0"/>
      <w:marRight w:val="0"/>
      <w:marTop w:val="0"/>
      <w:marBottom w:val="0"/>
      <w:divBdr>
        <w:top w:val="none" w:sz="0" w:space="0" w:color="auto"/>
        <w:left w:val="none" w:sz="0" w:space="0" w:color="auto"/>
        <w:bottom w:val="none" w:sz="0" w:space="0" w:color="auto"/>
        <w:right w:val="none" w:sz="0" w:space="0" w:color="auto"/>
      </w:divBdr>
    </w:div>
    <w:div w:id="1618949584">
      <w:bodyDiv w:val="1"/>
      <w:marLeft w:val="0"/>
      <w:marRight w:val="0"/>
      <w:marTop w:val="0"/>
      <w:marBottom w:val="0"/>
      <w:divBdr>
        <w:top w:val="none" w:sz="0" w:space="0" w:color="auto"/>
        <w:left w:val="none" w:sz="0" w:space="0" w:color="auto"/>
        <w:bottom w:val="none" w:sz="0" w:space="0" w:color="auto"/>
        <w:right w:val="none" w:sz="0" w:space="0" w:color="auto"/>
      </w:divBdr>
    </w:div>
    <w:div w:id="1619099005">
      <w:bodyDiv w:val="1"/>
      <w:marLeft w:val="0"/>
      <w:marRight w:val="0"/>
      <w:marTop w:val="0"/>
      <w:marBottom w:val="0"/>
      <w:divBdr>
        <w:top w:val="none" w:sz="0" w:space="0" w:color="auto"/>
        <w:left w:val="none" w:sz="0" w:space="0" w:color="auto"/>
        <w:bottom w:val="none" w:sz="0" w:space="0" w:color="auto"/>
        <w:right w:val="none" w:sz="0" w:space="0" w:color="auto"/>
      </w:divBdr>
    </w:div>
    <w:div w:id="1619337419">
      <w:bodyDiv w:val="1"/>
      <w:marLeft w:val="0"/>
      <w:marRight w:val="0"/>
      <w:marTop w:val="0"/>
      <w:marBottom w:val="0"/>
      <w:divBdr>
        <w:top w:val="none" w:sz="0" w:space="0" w:color="auto"/>
        <w:left w:val="none" w:sz="0" w:space="0" w:color="auto"/>
        <w:bottom w:val="none" w:sz="0" w:space="0" w:color="auto"/>
        <w:right w:val="none" w:sz="0" w:space="0" w:color="auto"/>
      </w:divBdr>
    </w:div>
    <w:div w:id="1619406219">
      <w:bodyDiv w:val="1"/>
      <w:marLeft w:val="0"/>
      <w:marRight w:val="0"/>
      <w:marTop w:val="0"/>
      <w:marBottom w:val="0"/>
      <w:divBdr>
        <w:top w:val="none" w:sz="0" w:space="0" w:color="auto"/>
        <w:left w:val="none" w:sz="0" w:space="0" w:color="auto"/>
        <w:bottom w:val="none" w:sz="0" w:space="0" w:color="auto"/>
        <w:right w:val="none" w:sz="0" w:space="0" w:color="auto"/>
      </w:divBdr>
    </w:div>
    <w:div w:id="1619415395">
      <w:bodyDiv w:val="1"/>
      <w:marLeft w:val="0"/>
      <w:marRight w:val="0"/>
      <w:marTop w:val="0"/>
      <w:marBottom w:val="0"/>
      <w:divBdr>
        <w:top w:val="none" w:sz="0" w:space="0" w:color="auto"/>
        <w:left w:val="none" w:sz="0" w:space="0" w:color="auto"/>
        <w:bottom w:val="none" w:sz="0" w:space="0" w:color="auto"/>
        <w:right w:val="none" w:sz="0" w:space="0" w:color="auto"/>
      </w:divBdr>
    </w:div>
    <w:div w:id="1619481360">
      <w:bodyDiv w:val="1"/>
      <w:marLeft w:val="0"/>
      <w:marRight w:val="0"/>
      <w:marTop w:val="0"/>
      <w:marBottom w:val="0"/>
      <w:divBdr>
        <w:top w:val="none" w:sz="0" w:space="0" w:color="auto"/>
        <w:left w:val="none" w:sz="0" w:space="0" w:color="auto"/>
        <w:bottom w:val="none" w:sz="0" w:space="0" w:color="auto"/>
        <w:right w:val="none" w:sz="0" w:space="0" w:color="auto"/>
      </w:divBdr>
    </w:div>
    <w:div w:id="1619676571">
      <w:bodyDiv w:val="1"/>
      <w:marLeft w:val="0"/>
      <w:marRight w:val="0"/>
      <w:marTop w:val="0"/>
      <w:marBottom w:val="0"/>
      <w:divBdr>
        <w:top w:val="none" w:sz="0" w:space="0" w:color="auto"/>
        <w:left w:val="none" w:sz="0" w:space="0" w:color="auto"/>
        <w:bottom w:val="none" w:sz="0" w:space="0" w:color="auto"/>
        <w:right w:val="none" w:sz="0" w:space="0" w:color="auto"/>
      </w:divBdr>
    </w:div>
    <w:div w:id="1619678441">
      <w:bodyDiv w:val="1"/>
      <w:marLeft w:val="0"/>
      <w:marRight w:val="0"/>
      <w:marTop w:val="0"/>
      <w:marBottom w:val="0"/>
      <w:divBdr>
        <w:top w:val="none" w:sz="0" w:space="0" w:color="auto"/>
        <w:left w:val="none" w:sz="0" w:space="0" w:color="auto"/>
        <w:bottom w:val="none" w:sz="0" w:space="0" w:color="auto"/>
        <w:right w:val="none" w:sz="0" w:space="0" w:color="auto"/>
      </w:divBdr>
    </w:div>
    <w:div w:id="1619947764">
      <w:bodyDiv w:val="1"/>
      <w:marLeft w:val="0"/>
      <w:marRight w:val="0"/>
      <w:marTop w:val="0"/>
      <w:marBottom w:val="0"/>
      <w:divBdr>
        <w:top w:val="none" w:sz="0" w:space="0" w:color="auto"/>
        <w:left w:val="none" w:sz="0" w:space="0" w:color="auto"/>
        <w:bottom w:val="none" w:sz="0" w:space="0" w:color="auto"/>
        <w:right w:val="none" w:sz="0" w:space="0" w:color="auto"/>
      </w:divBdr>
    </w:div>
    <w:div w:id="1619987907">
      <w:bodyDiv w:val="1"/>
      <w:marLeft w:val="0"/>
      <w:marRight w:val="0"/>
      <w:marTop w:val="0"/>
      <w:marBottom w:val="0"/>
      <w:divBdr>
        <w:top w:val="none" w:sz="0" w:space="0" w:color="auto"/>
        <w:left w:val="none" w:sz="0" w:space="0" w:color="auto"/>
        <w:bottom w:val="none" w:sz="0" w:space="0" w:color="auto"/>
        <w:right w:val="none" w:sz="0" w:space="0" w:color="auto"/>
      </w:divBdr>
    </w:div>
    <w:div w:id="1620069747">
      <w:bodyDiv w:val="1"/>
      <w:marLeft w:val="0"/>
      <w:marRight w:val="0"/>
      <w:marTop w:val="0"/>
      <w:marBottom w:val="0"/>
      <w:divBdr>
        <w:top w:val="none" w:sz="0" w:space="0" w:color="auto"/>
        <w:left w:val="none" w:sz="0" w:space="0" w:color="auto"/>
        <w:bottom w:val="none" w:sz="0" w:space="0" w:color="auto"/>
        <w:right w:val="none" w:sz="0" w:space="0" w:color="auto"/>
      </w:divBdr>
    </w:div>
    <w:div w:id="1620259715">
      <w:bodyDiv w:val="1"/>
      <w:marLeft w:val="0"/>
      <w:marRight w:val="0"/>
      <w:marTop w:val="0"/>
      <w:marBottom w:val="0"/>
      <w:divBdr>
        <w:top w:val="none" w:sz="0" w:space="0" w:color="auto"/>
        <w:left w:val="none" w:sz="0" w:space="0" w:color="auto"/>
        <w:bottom w:val="none" w:sz="0" w:space="0" w:color="auto"/>
        <w:right w:val="none" w:sz="0" w:space="0" w:color="auto"/>
      </w:divBdr>
    </w:div>
    <w:div w:id="1620601309">
      <w:bodyDiv w:val="1"/>
      <w:marLeft w:val="0"/>
      <w:marRight w:val="0"/>
      <w:marTop w:val="0"/>
      <w:marBottom w:val="0"/>
      <w:divBdr>
        <w:top w:val="none" w:sz="0" w:space="0" w:color="auto"/>
        <w:left w:val="none" w:sz="0" w:space="0" w:color="auto"/>
        <w:bottom w:val="none" w:sz="0" w:space="0" w:color="auto"/>
        <w:right w:val="none" w:sz="0" w:space="0" w:color="auto"/>
      </w:divBdr>
    </w:div>
    <w:div w:id="1620605965">
      <w:bodyDiv w:val="1"/>
      <w:marLeft w:val="0"/>
      <w:marRight w:val="0"/>
      <w:marTop w:val="0"/>
      <w:marBottom w:val="0"/>
      <w:divBdr>
        <w:top w:val="none" w:sz="0" w:space="0" w:color="auto"/>
        <w:left w:val="none" w:sz="0" w:space="0" w:color="auto"/>
        <w:bottom w:val="none" w:sz="0" w:space="0" w:color="auto"/>
        <w:right w:val="none" w:sz="0" w:space="0" w:color="auto"/>
      </w:divBdr>
    </w:div>
    <w:div w:id="1620993843">
      <w:bodyDiv w:val="1"/>
      <w:marLeft w:val="0"/>
      <w:marRight w:val="0"/>
      <w:marTop w:val="0"/>
      <w:marBottom w:val="0"/>
      <w:divBdr>
        <w:top w:val="none" w:sz="0" w:space="0" w:color="auto"/>
        <w:left w:val="none" w:sz="0" w:space="0" w:color="auto"/>
        <w:bottom w:val="none" w:sz="0" w:space="0" w:color="auto"/>
        <w:right w:val="none" w:sz="0" w:space="0" w:color="auto"/>
      </w:divBdr>
    </w:div>
    <w:div w:id="1621105431">
      <w:bodyDiv w:val="1"/>
      <w:marLeft w:val="0"/>
      <w:marRight w:val="0"/>
      <w:marTop w:val="0"/>
      <w:marBottom w:val="0"/>
      <w:divBdr>
        <w:top w:val="none" w:sz="0" w:space="0" w:color="auto"/>
        <w:left w:val="none" w:sz="0" w:space="0" w:color="auto"/>
        <w:bottom w:val="none" w:sz="0" w:space="0" w:color="auto"/>
        <w:right w:val="none" w:sz="0" w:space="0" w:color="auto"/>
      </w:divBdr>
    </w:div>
    <w:div w:id="1621261021">
      <w:bodyDiv w:val="1"/>
      <w:marLeft w:val="0"/>
      <w:marRight w:val="0"/>
      <w:marTop w:val="0"/>
      <w:marBottom w:val="0"/>
      <w:divBdr>
        <w:top w:val="none" w:sz="0" w:space="0" w:color="auto"/>
        <w:left w:val="none" w:sz="0" w:space="0" w:color="auto"/>
        <w:bottom w:val="none" w:sz="0" w:space="0" w:color="auto"/>
        <w:right w:val="none" w:sz="0" w:space="0" w:color="auto"/>
      </w:divBdr>
    </w:div>
    <w:div w:id="1621451442">
      <w:bodyDiv w:val="1"/>
      <w:marLeft w:val="0"/>
      <w:marRight w:val="0"/>
      <w:marTop w:val="0"/>
      <w:marBottom w:val="0"/>
      <w:divBdr>
        <w:top w:val="none" w:sz="0" w:space="0" w:color="auto"/>
        <w:left w:val="none" w:sz="0" w:space="0" w:color="auto"/>
        <w:bottom w:val="none" w:sz="0" w:space="0" w:color="auto"/>
        <w:right w:val="none" w:sz="0" w:space="0" w:color="auto"/>
      </w:divBdr>
    </w:div>
    <w:div w:id="1621690546">
      <w:bodyDiv w:val="1"/>
      <w:marLeft w:val="0"/>
      <w:marRight w:val="0"/>
      <w:marTop w:val="0"/>
      <w:marBottom w:val="0"/>
      <w:divBdr>
        <w:top w:val="none" w:sz="0" w:space="0" w:color="auto"/>
        <w:left w:val="none" w:sz="0" w:space="0" w:color="auto"/>
        <w:bottom w:val="none" w:sz="0" w:space="0" w:color="auto"/>
        <w:right w:val="none" w:sz="0" w:space="0" w:color="auto"/>
      </w:divBdr>
    </w:div>
    <w:div w:id="1621718233">
      <w:bodyDiv w:val="1"/>
      <w:marLeft w:val="0"/>
      <w:marRight w:val="0"/>
      <w:marTop w:val="0"/>
      <w:marBottom w:val="0"/>
      <w:divBdr>
        <w:top w:val="none" w:sz="0" w:space="0" w:color="auto"/>
        <w:left w:val="none" w:sz="0" w:space="0" w:color="auto"/>
        <w:bottom w:val="none" w:sz="0" w:space="0" w:color="auto"/>
        <w:right w:val="none" w:sz="0" w:space="0" w:color="auto"/>
      </w:divBdr>
    </w:div>
    <w:div w:id="1621759409">
      <w:bodyDiv w:val="1"/>
      <w:marLeft w:val="0"/>
      <w:marRight w:val="0"/>
      <w:marTop w:val="0"/>
      <w:marBottom w:val="0"/>
      <w:divBdr>
        <w:top w:val="none" w:sz="0" w:space="0" w:color="auto"/>
        <w:left w:val="none" w:sz="0" w:space="0" w:color="auto"/>
        <w:bottom w:val="none" w:sz="0" w:space="0" w:color="auto"/>
        <w:right w:val="none" w:sz="0" w:space="0" w:color="auto"/>
      </w:divBdr>
    </w:div>
    <w:div w:id="1621834667">
      <w:bodyDiv w:val="1"/>
      <w:marLeft w:val="0"/>
      <w:marRight w:val="0"/>
      <w:marTop w:val="0"/>
      <w:marBottom w:val="0"/>
      <w:divBdr>
        <w:top w:val="none" w:sz="0" w:space="0" w:color="auto"/>
        <w:left w:val="none" w:sz="0" w:space="0" w:color="auto"/>
        <w:bottom w:val="none" w:sz="0" w:space="0" w:color="auto"/>
        <w:right w:val="none" w:sz="0" w:space="0" w:color="auto"/>
      </w:divBdr>
    </w:div>
    <w:div w:id="1621843567">
      <w:bodyDiv w:val="1"/>
      <w:marLeft w:val="0"/>
      <w:marRight w:val="0"/>
      <w:marTop w:val="0"/>
      <w:marBottom w:val="0"/>
      <w:divBdr>
        <w:top w:val="none" w:sz="0" w:space="0" w:color="auto"/>
        <w:left w:val="none" w:sz="0" w:space="0" w:color="auto"/>
        <w:bottom w:val="none" w:sz="0" w:space="0" w:color="auto"/>
        <w:right w:val="none" w:sz="0" w:space="0" w:color="auto"/>
      </w:divBdr>
    </w:div>
    <w:div w:id="1622028209">
      <w:bodyDiv w:val="1"/>
      <w:marLeft w:val="0"/>
      <w:marRight w:val="0"/>
      <w:marTop w:val="0"/>
      <w:marBottom w:val="0"/>
      <w:divBdr>
        <w:top w:val="none" w:sz="0" w:space="0" w:color="auto"/>
        <w:left w:val="none" w:sz="0" w:space="0" w:color="auto"/>
        <w:bottom w:val="none" w:sz="0" w:space="0" w:color="auto"/>
        <w:right w:val="none" w:sz="0" w:space="0" w:color="auto"/>
      </w:divBdr>
    </w:div>
    <w:div w:id="1622686112">
      <w:bodyDiv w:val="1"/>
      <w:marLeft w:val="0"/>
      <w:marRight w:val="0"/>
      <w:marTop w:val="0"/>
      <w:marBottom w:val="0"/>
      <w:divBdr>
        <w:top w:val="none" w:sz="0" w:space="0" w:color="auto"/>
        <w:left w:val="none" w:sz="0" w:space="0" w:color="auto"/>
        <w:bottom w:val="none" w:sz="0" w:space="0" w:color="auto"/>
        <w:right w:val="none" w:sz="0" w:space="0" w:color="auto"/>
      </w:divBdr>
    </w:div>
    <w:div w:id="1622881371">
      <w:bodyDiv w:val="1"/>
      <w:marLeft w:val="0"/>
      <w:marRight w:val="0"/>
      <w:marTop w:val="0"/>
      <w:marBottom w:val="0"/>
      <w:divBdr>
        <w:top w:val="none" w:sz="0" w:space="0" w:color="auto"/>
        <w:left w:val="none" w:sz="0" w:space="0" w:color="auto"/>
        <w:bottom w:val="none" w:sz="0" w:space="0" w:color="auto"/>
        <w:right w:val="none" w:sz="0" w:space="0" w:color="auto"/>
      </w:divBdr>
    </w:div>
    <w:div w:id="1622957666">
      <w:bodyDiv w:val="1"/>
      <w:marLeft w:val="0"/>
      <w:marRight w:val="0"/>
      <w:marTop w:val="0"/>
      <w:marBottom w:val="0"/>
      <w:divBdr>
        <w:top w:val="none" w:sz="0" w:space="0" w:color="auto"/>
        <w:left w:val="none" w:sz="0" w:space="0" w:color="auto"/>
        <w:bottom w:val="none" w:sz="0" w:space="0" w:color="auto"/>
        <w:right w:val="none" w:sz="0" w:space="0" w:color="auto"/>
      </w:divBdr>
    </w:div>
    <w:div w:id="1623338831">
      <w:bodyDiv w:val="1"/>
      <w:marLeft w:val="0"/>
      <w:marRight w:val="0"/>
      <w:marTop w:val="0"/>
      <w:marBottom w:val="0"/>
      <w:divBdr>
        <w:top w:val="none" w:sz="0" w:space="0" w:color="auto"/>
        <w:left w:val="none" w:sz="0" w:space="0" w:color="auto"/>
        <w:bottom w:val="none" w:sz="0" w:space="0" w:color="auto"/>
        <w:right w:val="none" w:sz="0" w:space="0" w:color="auto"/>
      </w:divBdr>
    </w:div>
    <w:div w:id="1623490270">
      <w:bodyDiv w:val="1"/>
      <w:marLeft w:val="0"/>
      <w:marRight w:val="0"/>
      <w:marTop w:val="0"/>
      <w:marBottom w:val="0"/>
      <w:divBdr>
        <w:top w:val="none" w:sz="0" w:space="0" w:color="auto"/>
        <w:left w:val="none" w:sz="0" w:space="0" w:color="auto"/>
        <w:bottom w:val="none" w:sz="0" w:space="0" w:color="auto"/>
        <w:right w:val="none" w:sz="0" w:space="0" w:color="auto"/>
      </w:divBdr>
    </w:div>
    <w:div w:id="1623800973">
      <w:bodyDiv w:val="1"/>
      <w:marLeft w:val="0"/>
      <w:marRight w:val="0"/>
      <w:marTop w:val="0"/>
      <w:marBottom w:val="0"/>
      <w:divBdr>
        <w:top w:val="none" w:sz="0" w:space="0" w:color="auto"/>
        <w:left w:val="none" w:sz="0" w:space="0" w:color="auto"/>
        <w:bottom w:val="none" w:sz="0" w:space="0" w:color="auto"/>
        <w:right w:val="none" w:sz="0" w:space="0" w:color="auto"/>
      </w:divBdr>
    </w:div>
    <w:div w:id="1623851540">
      <w:bodyDiv w:val="1"/>
      <w:marLeft w:val="0"/>
      <w:marRight w:val="0"/>
      <w:marTop w:val="0"/>
      <w:marBottom w:val="0"/>
      <w:divBdr>
        <w:top w:val="none" w:sz="0" w:space="0" w:color="auto"/>
        <w:left w:val="none" w:sz="0" w:space="0" w:color="auto"/>
        <w:bottom w:val="none" w:sz="0" w:space="0" w:color="auto"/>
        <w:right w:val="none" w:sz="0" w:space="0" w:color="auto"/>
      </w:divBdr>
    </w:div>
    <w:div w:id="1623996615">
      <w:bodyDiv w:val="1"/>
      <w:marLeft w:val="0"/>
      <w:marRight w:val="0"/>
      <w:marTop w:val="0"/>
      <w:marBottom w:val="0"/>
      <w:divBdr>
        <w:top w:val="none" w:sz="0" w:space="0" w:color="auto"/>
        <w:left w:val="none" w:sz="0" w:space="0" w:color="auto"/>
        <w:bottom w:val="none" w:sz="0" w:space="0" w:color="auto"/>
        <w:right w:val="none" w:sz="0" w:space="0" w:color="auto"/>
      </w:divBdr>
    </w:div>
    <w:div w:id="1624073527">
      <w:bodyDiv w:val="1"/>
      <w:marLeft w:val="0"/>
      <w:marRight w:val="0"/>
      <w:marTop w:val="0"/>
      <w:marBottom w:val="0"/>
      <w:divBdr>
        <w:top w:val="none" w:sz="0" w:space="0" w:color="auto"/>
        <w:left w:val="none" w:sz="0" w:space="0" w:color="auto"/>
        <w:bottom w:val="none" w:sz="0" w:space="0" w:color="auto"/>
        <w:right w:val="none" w:sz="0" w:space="0" w:color="auto"/>
      </w:divBdr>
    </w:div>
    <w:div w:id="1624077645">
      <w:bodyDiv w:val="1"/>
      <w:marLeft w:val="0"/>
      <w:marRight w:val="0"/>
      <w:marTop w:val="0"/>
      <w:marBottom w:val="0"/>
      <w:divBdr>
        <w:top w:val="none" w:sz="0" w:space="0" w:color="auto"/>
        <w:left w:val="none" w:sz="0" w:space="0" w:color="auto"/>
        <w:bottom w:val="none" w:sz="0" w:space="0" w:color="auto"/>
        <w:right w:val="none" w:sz="0" w:space="0" w:color="auto"/>
      </w:divBdr>
    </w:div>
    <w:div w:id="1624533519">
      <w:bodyDiv w:val="1"/>
      <w:marLeft w:val="0"/>
      <w:marRight w:val="0"/>
      <w:marTop w:val="0"/>
      <w:marBottom w:val="0"/>
      <w:divBdr>
        <w:top w:val="none" w:sz="0" w:space="0" w:color="auto"/>
        <w:left w:val="none" w:sz="0" w:space="0" w:color="auto"/>
        <w:bottom w:val="none" w:sz="0" w:space="0" w:color="auto"/>
        <w:right w:val="none" w:sz="0" w:space="0" w:color="auto"/>
      </w:divBdr>
    </w:div>
    <w:div w:id="1624538002">
      <w:bodyDiv w:val="1"/>
      <w:marLeft w:val="0"/>
      <w:marRight w:val="0"/>
      <w:marTop w:val="0"/>
      <w:marBottom w:val="0"/>
      <w:divBdr>
        <w:top w:val="none" w:sz="0" w:space="0" w:color="auto"/>
        <w:left w:val="none" w:sz="0" w:space="0" w:color="auto"/>
        <w:bottom w:val="none" w:sz="0" w:space="0" w:color="auto"/>
        <w:right w:val="none" w:sz="0" w:space="0" w:color="auto"/>
      </w:divBdr>
    </w:div>
    <w:div w:id="1624581033">
      <w:bodyDiv w:val="1"/>
      <w:marLeft w:val="0"/>
      <w:marRight w:val="0"/>
      <w:marTop w:val="0"/>
      <w:marBottom w:val="0"/>
      <w:divBdr>
        <w:top w:val="none" w:sz="0" w:space="0" w:color="auto"/>
        <w:left w:val="none" w:sz="0" w:space="0" w:color="auto"/>
        <w:bottom w:val="none" w:sz="0" w:space="0" w:color="auto"/>
        <w:right w:val="none" w:sz="0" w:space="0" w:color="auto"/>
      </w:divBdr>
    </w:div>
    <w:div w:id="1624723807">
      <w:bodyDiv w:val="1"/>
      <w:marLeft w:val="0"/>
      <w:marRight w:val="0"/>
      <w:marTop w:val="0"/>
      <w:marBottom w:val="0"/>
      <w:divBdr>
        <w:top w:val="none" w:sz="0" w:space="0" w:color="auto"/>
        <w:left w:val="none" w:sz="0" w:space="0" w:color="auto"/>
        <w:bottom w:val="none" w:sz="0" w:space="0" w:color="auto"/>
        <w:right w:val="none" w:sz="0" w:space="0" w:color="auto"/>
      </w:divBdr>
    </w:div>
    <w:div w:id="1624967714">
      <w:bodyDiv w:val="1"/>
      <w:marLeft w:val="0"/>
      <w:marRight w:val="0"/>
      <w:marTop w:val="0"/>
      <w:marBottom w:val="0"/>
      <w:divBdr>
        <w:top w:val="none" w:sz="0" w:space="0" w:color="auto"/>
        <w:left w:val="none" w:sz="0" w:space="0" w:color="auto"/>
        <w:bottom w:val="none" w:sz="0" w:space="0" w:color="auto"/>
        <w:right w:val="none" w:sz="0" w:space="0" w:color="auto"/>
      </w:divBdr>
    </w:div>
    <w:div w:id="1625118079">
      <w:bodyDiv w:val="1"/>
      <w:marLeft w:val="0"/>
      <w:marRight w:val="0"/>
      <w:marTop w:val="0"/>
      <w:marBottom w:val="0"/>
      <w:divBdr>
        <w:top w:val="none" w:sz="0" w:space="0" w:color="auto"/>
        <w:left w:val="none" w:sz="0" w:space="0" w:color="auto"/>
        <w:bottom w:val="none" w:sz="0" w:space="0" w:color="auto"/>
        <w:right w:val="none" w:sz="0" w:space="0" w:color="auto"/>
      </w:divBdr>
    </w:div>
    <w:div w:id="1625185967">
      <w:bodyDiv w:val="1"/>
      <w:marLeft w:val="0"/>
      <w:marRight w:val="0"/>
      <w:marTop w:val="0"/>
      <w:marBottom w:val="0"/>
      <w:divBdr>
        <w:top w:val="none" w:sz="0" w:space="0" w:color="auto"/>
        <w:left w:val="none" w:sz="0" w:space="0" w:color="auto"/>
        <w:bottom w:val="none" w:sz="0" w:space="0" w:color="auto"/>
        <w:right w:val="none" w:sz="0" w:space="0" w:color="auto"/>
      </w:divBdr>
    </w:div>
    <w:div w:id="1625189462">
      <w:bodyDiv w:val="1"/>
      <w:marLeft w:val="0"/>
      <w:marRight w:val="0"/>
      <w:marTop w:val="0"/>
      <w:marBottom w:val="0"/>
      <w:divBdr>
        <w:top w:val="none" w:sz="0" w:space="0" w:color="auto"/>
        <w:left w:val="none" w:sz="0" w:space="0" w:color="auto"/>
        <w:bottom w:val="none" w:sz="0" w:space="0" w:color="auto"/>
        <w:right w:val="none" w:sz="0" w:space="0" w:color="auto"/>
      </w:divBdr>
    </w:div>
    <w:div w:id="1625381104">
      <w:bodyDiv w:val="1"/>
      <w:marLeft w:val="0"/>
      <w:marRight w:val="0"/>
      <w:marTop w:val="0"/>
      <w:marBottom w:val="0"/>
      <w:divBdr>
        <w:top w:val="none" w:sz="0" w:space="0" w:color="auto"/>
        <w:left w:val="none" w:sz="0" w:space="0" w:color="auto"/>
        <w:bottom w:val="none" w:sz="0" w:space="0" w:color="auto"/>
        <w:right w:val="none" w:sz="0" w:space="0" w:color="auto"/>
      </w:divBdr>
    </w:div>
    <w:div w:id="1625770354">
      <w:bodyDiv w:val="1"/>
      <w:marLeft w:val="0"/>
      <w:marRight w:val="0"/>
      <w:marTop w:val="0"/>
      <w:marBottom w:val="0"/>
      <w:divBdr>
        <w:top w:val="none" w:sz="0" w:space="0" w:color="auto"/>
        <w:left w:val="none" w:sz="0" w:space="0" w:color="auto"/>
        <w:bottom w:val="none" w:sz="0" w:space="0" w:color="auto"/>
        <w:right w:val="none" w:sz="0" w:space="0" w:color="auto"/>
      </w:divBdr>
    </w:div>
    <w:div w:id="1625891359">
      <w:bodyDiv w:val="1"/>
      <w:marLeft w:val="0"/>
      <w:marRight w:val="0"/>
      <w:marTop w:val="0"/>
      <w:marBottom w:val="0"/>
      <w:divBdr>
        <w:top w:val="none" w:sz="0" w:space="0" w:color="auto"/>
        <w:left w:val="none" w:sz="0" w:space="0" w:color="auto"/>
        <w:bottom w:val="none" w:sz="0" w:space="0" w:color="auto"/>
        <w:right w:val="none" w:sz="0" w:space="0" w:color="auto"/>
      </w:divBdr>
    </w:div>
    <w:div w:id="1626234088">
      <w:bodyDiv w:val="1"/>
      <w:marLeft w:val="0"/>
      <w:marRight w:val="0"/>
      <w:marTop w:val="0"/>
      <w:marBottom w:val="0"/>
      <w:divBdr>
        <w:top w:val="none" w:sz="0" w:space="0" w:color="auto"/>
        <w:left w:val="none" w:sz="0" w:space="0" w:color="auto"/>
        <w:bottom w:val="none" w:sz="0" w:space="0" w:color="auto"/>
        <w:right w:val="none" w:sz="0" w:space="0" w:color="auto"/>
      </w:divBdr>
    </w:div>
    <w:div w:id="1626814129">
      <w:bodyDiv w:val="1"/>
      <w:marLeft w:val="0"/>
      <w:marRight w:val="0"/>
      <w:marTop w:val="0"/>
      <w:marBottom w:val="0"/>
      <w:divBdr>
        <w:top w:val="none" w:sz="0" w:space="0" w:color="auto"/>
        <w:left w:val="none" w:sz="0" w:space="0" w:color="auto"/>
        <w:bottom w:val="none" w:sz="0" w:space="0" w:color="auto"/>
        <w:right w:val="none" w:sz="0" w:space="0" w:color="auto"/>
      </w:divBdr>
    </w:div>
    <w:div w:id="1627002584">
      <w:bodyDiv w:val="1"/>
      <w:marLeft w:val="0"/>
      <w:marRight w:val="0"/>
      <w:marTop w:val="0"/>
      <w:marBottom w:val="0"/>
      <w:divBdr>
        <w:top w:val="none" w:sz="0" w:space="0" w:color="auto"/>
        <w:left w:val="none" w:sz="0" w:space="0" w:color="auto"/>
        <w:bottom w:val="none" w:sz="0" w:space="0" w:color="auto"/>
        <w:right w:val="none" w:sz="0" w:space="0" w:color="auto"/>
      </w:divBdr>
    </w:div>
    <w:div w:id="1627151859">
      <w:bodyDiv w:val="1"/>
      <w:marLeft w:val="0"/>
      <w:marRight w:val="0"/>
      <w:marTop w:val="0"/>
      <w:marBottom w:val="0"/>
      <w:divBdr>
        <w:top w:val="none" w:sz="0" w:space="0" w:color="auto"/>
        <w:left w:val="none" w:sz="0" w:space="0" w:color="auto"/>
        <w:bottom w:val="none" w:sz="0" w:space="0" w:color="auto"/>
        <w:right w:val="none" w:sz="0" w:space="0" w:color="auto"/>
      </w:divBdr>
    </w:div>
    <w:div w:id="1627160405">
      <w:bodyDiv w:val="1"/>
      <w:marLeft w:val="0"/>
      <w:marRight w:val="0"/>
      <w:marTop w:val="0"/>
      <w:marBottom w:val="0"/>
      <w:divBdr>
        <w:top w:val="none" w:sz="0" w:space="0" w:color="auto"/>
        <w:left w:val="none" w:sz="0" w:space="0" w:color="auto"/>
        <w:bottom w:val="none" w:sz="0" w:space="0" w:color="auto"/>
        <w:right w:val="none" w:sz="0" w:space="0" w:color="auto"/>
      </w:divBdr>
    </w:div>
    <w:div w:id="1627196422">
      <w:bodyDiv w:val="1"/>
      <w:marLeft w:val="0"/>
      <w:marRight w:val="0"/>
      <w:marTop w:val="0"/>
      <w:marBottom w:val="0"/>
      <w:divBdr>
        <w:top w:val="none" w:sz="0" w:space="0" w:color="auto"/>
        <w:left w:val="none" w:sz="0" w:space="0" w:color="auto"/>
        <w:bottom w:val="none" w:sz="0" w:space="0" w:color="auto"/>
        <w:right w:val="none" w:sz="0" w:space="0" w:color="auto"/>
      </w:divBdr>
    </w:div>
    <w:div w:id="1627539405">
      <w:bodyDiv w:val="1"/>
      <w:marLeft w:val="0"/>
      <w:marRight w:val="0"/>
      <w:marTop w:val="0"/>
      <w:marBottom w:val="0"/>
      <w:divBdr>
        <w:top w:val="none" w:sz="0" w:space="0" w:color="auto"/>
        <w:left w:val="none" w:sz="0" w:space="0" w:color="auto"/>
        <w:bottom w:val="none" w:sz="0" w:space="0" w:color="auto"/>
        <w:right w:val="none" w:sz="0" w:space="0" w:color="auto"/>
      </w:divBdr>
    </w:div>
    <w:div w:id="1627543779">
      <w:bodyDiv w:val="1"/>
      <w:marLeft w:val="0"/>
      <w:marRight w:val="0"/>
      <w:marTop w:val="0"/>
      <w:marBottom w:val="0"/>
      <w:divBdr>
        <w:top w:val="none" w:sz="0" w:space="0" w:color="auto"/>
        <w:left w:val="none" w:sz="0" w:space="0" w:color="auto"/>
        <w:bottom w:val="none" w:sz="0" w:space="0" w:color="auto"/>
        <w:right w:val="none" w:sz="0" w:space="0" w:color="auto"/>
      </w:divBdr>
    </w:div>
    <w:div w:id="1627544572">
      <w:bodyDiv w:val="1"/>
      <w:marLeft w:val="0"/>
      <w:marRight w:val="0"/>
      <w:marTop w:val="0"/>
      <w:marBottom w:val="0"/>
      <w:divBdr>
        <w:top w:val="none" w:sz="0" w:space="0" w:color="auto"/>
        <w:left w:val="none" w:sz="0" w:space="0" w:color="auto"/>
        <w:bottom w:val="none" w:sz="0" w:space="0" w:color="auto"/>
        <w:right w:val="none" w:sz="0" w:space="0" w:color="auto"/>
      </w:divBdr>
    </w:div>
    <w:div w:id="1627616765">
      <w:bodyDiv w:val="1"/>
      <w:marLeft w:val="0"/>
      <w:marRight w:val="0"/>
      <w:marTop w:val="0"/>
      <w:marBottom w:val="0"/>
      <w:divBdr>
        <w:top w:val="none" w:sz="0" w:space="0" w:color="auto"/>
        <w:left w:val="none" w:sz="0" w:space="0" w:color="auto"/>
        <w:bottom w:val="none" w:sz="0" w:space="0" w:color="auto"/>
        <w:right w:val="none" w:sz="0" w:space="0" w:color="auto"/>
      </w:divBdr>
    </w:div>
    <w:div w:id="1627809000">
      <w:bodyDiv w:val="1"/>
      <w:marLeft w:val="0"/>
      <w:marRight w:val="0"/>
      <w:marTop w:val="0"/>
      <w:marBottom w:val="0"/>
      <w:divBdr>
        <w:top w:val="none" w:sz="0" w:space="0" w:color="auto"/>
        <w:left w:val="none" w:sz="0" w:space="0" w:color="auto"/>
        <w:bottom w:val="none" w:sz="0" w:space="0" w:color="auto"/>
        <w:right w:val="none" w:sz="0" w:space="0" w:color="auto"/>
      </w:divBdr>
    </w:div>
    <w:div w:id="1627813207">
      <w:bodyDiv w:val="1"/>
      <w:marLeft w:val="0"/>
      <w:marRight w:val="0"/>
      <w:marTop w:val="0"/>
      <w:marBottom w:val="0"/>
      <w:divBdr>
        <w:top w:val="none" w:sz="0" w:space="0" w:color="auto"/>
        <w:left w:val="none" w:sz="0" w:space="0" w:color="auto"/>
        <w:bottom w:val="none" w:sz="0" w:space="0" w:color="auto"/>
        <w:right w:val="none" w:sz="0" w:space="0" w:color="auto"/>
      </w:divBdr>
    </w:div>
    <w:div w:id="1627858750">
      <w:bodyDiv w:val="1"/>
      <w:marLeft w:val="0"/>
      <w:marRight w:val="0"/>
      <w:marTop w:val="0"/>
      <w:marBottom w:val="0"/>
      <w:divBdr>
        <w:top w:val="none" w:sz="0" w:space="0" w:color="auto"/>
        <w:left w:val="none" w:sz="0" w:space="0" w:color="auto"/>
        <w:bottom w:val="none" w:sz="0" w:space="0" w:color="auto"/>
        <w:right w:val="none" w:sz="0" w:space="0" w:color="auto"/>
      </w:divBdr>
    </w:div>
    <w:div w:id="1627925596">
      <w:bodyDiv w:val="1"/>
      <w:marLeft w:val="0"/>
      <w:marRight w:val="0"/>
      <w:marTop w:val="0"/>
      <w:marBottom w:val="0"/>
      <w:divBdr>
        <w:top w:val="none" w:sz="0" w:space="0" w:color="auto"/>
        <w:left w:val="none" w:sz="0" w:space="0" w:color="auto"/>
        <w:bottom w:val="none" w:sz="0" w:space="0" w:color="auto"/>
        <w:right w:val="none" w:sz="0" w:space="0" w:color="auto"/>
      </w:divBdr>
    </w:div>
    <w:div w:id="1627926112">
      <w:bodyDiv w:val="1"/>
      <w:marLeft w:val="0"/>
      <w:marRight w:val="0"/>
      <w:marTop w:val="0"/>
      <w:marBottom w:val="0"/>
      <w:divBdr>
        <w:top w:val="none" w:sz="0" w:space="0" w:color="auto"/>
        <w:left w:val="none" w:sz="0" w:space="0" w:color="auto"/>
        <w:bottom w:val="none" w:sz="0" w:space="0" w:color="auto"/>
        <w:right w:val="none" w:sz="0" w:space="0" w:color="auto"/>
      </w:divBdr>
    </w:div>
    <w:div w:id="1627927937">
      <w:bodyDiv w:val="1"/>
      <w:marLeft w:val="0"/>
      <w:marRight w:val="0"/>
      <w:marTop w:val="0"/>
      <w:marBottom w:val="0"/>
      <w:divBdr>
        <w:top w:val="none" w:sz="0" w:space="0" w:color="auto"/>
        <w:left w:val="none" w:sz="0" w:space="0" w:color="auto"/>
        <w:bottom w:val="none" w:sz="0" w:space="0" w:color="auto"/>
        <w:right w:val="none" w:sz="0" w:space="0" w:color="auto"/>
      </w:divBdr>
    </w:div>
    <w:div w:id="1628315331">
      <w:bodyDiv w:val="1"/>
      <w:marLeft w:val="0"/>
      <w:marRight w:val="0"/>
      <w:marTop w:val="0"/>
      <w:marBottom w:val="0"/>
      <w:divBdr>
        <w:top w:val="none" w:sz="0" w:space="0" w:color="auto"/>
        <w:left w:val="none" w:sz="0" w:space="0" w:color="auto"/>
        <w:bottom w:val="none" w:sz="0" w:space="0" w:color="auto"/>
        <w:right w:val="none" w:sz="0" w:space="0" w:color="auto"/>
      </w:divBdr>
    </w:div>
    <w:div w:id="1628468296">
      <w:bodyDiv w:val="1"/>
      <w:marLeft w:val="0"/>
      <w:marRight w:val="0"/>
      <w:marTop w:val="0"/>
      <w:marBottom w:val="0"/>
      <w:divBdr>
        <w:top w:val="none" w:sz="0" w:space="0" w:color="auto"/>
        <w:left w:val="none" w:sz="0" w:space="0" w:color="auto"/>
        <w:bottom w:val="none" w:sz="0" w:space="0" w:color="auto"/>
        <w:right w:val="none" w:sz="0" w:space="0" w:color="auto"/>
      </w:divBdr>
    </w:div>
    <w:div w:id="1628507210">
      <w:bodyDiv w:val="1"/>
      <w:marLeft w:val="0"/>
      <w:marRight w:val="0"/>
      <w:marTop w:val="0"/>
      <w:marBottom w:val="0"/>
      <w:divBdr>
        <w:top w:val="none" w:sz="0" w:space="0" w:color="auto"/>
        <w:left w:val="none" w:sz="0" w:space="0" w:color="auto"/>
        <w:bottom w:val="none" w:sz="0" w:space="0" w:color="auto"/>
        <w:right w:val="none" w:sz="0" w:space="0" w:color="auto"/>
      </w:divBdr>
    </w:div>
    <w:div w:id="1628585996">
      <w:bodyDiv w:val="1"/>
      <w:marLeft w:val="0"/>
      <w:marRight w:val="0"/>
      <w:marTop w:val="0"/>
      <w:marBottom w:val="0"/>
      <w:divBdr>
        <w:top w:val="none" w:sz="0" w:space="0" w:color="auto"/>
        <w:left w:val="none" w:sz="0" w:space="0" w:color="auto"/>
        <w:bottom w:val="none" w:sz="0" w:space="0" w:color="auto"/>
        <w:right w:val="none" w:sz="0" w:space="0" w:color="auto"/>
      </w:divBdr>
    </w:div>
    <w:div w:id="1629126441">
      <w:bodyDiv w:val="1"/>
      <w:marLeft w:val="0"/>
      <w:marRight w:val="0"/>
      <w:marTop w:val="0"/>
      <w:marBottom w:val="0"/>
      <w:divBdr>
        <w:top w:val="none" w:sz="0" w:space="0" w:color="auto"/>
        <w:left w:val="none" w:sz="0" w:space="0" w:color="auto"/>
        <w:bottom w:val="none" w:sz="0" w:space="0" w:color="auto"/>
        <w:right w:val="none" w:sz="0" w:space="0" w:color="auto"/>
      </w:divBdr>
    </w:div>
    <w:div w:id="1629235156">
      <w:bodyDiv w:val="1"/>
      <w:marLeft w:val="0"/>
      <w:marRight w:val="0"/>
      <w:marTop w:val="0"/>
      <w:marBottom w:val="0"/>
      <w:divBdr>
        <w:top w:val="none" w:sz="0" w:space="0" w:color="auto"/>
        <w:left w:val="none" w:sz="0" w:space="0" w:color="auto"/>
        <w:bottom w:val="none" w:sz="0" w:space="0" w:color="auto"/>
        <w:right w:val="none" w:sz="0" w:space="0" w:color="auto"/>
      </w:divBdr>
    </w:div>
    <w:div w:id="1629242077">
      <w:bodyDiv w:val="1"/>
      <w:marLeft w:val="0"/>
      <w:marRight w:val="0"/>
      <w:marTop w:val="0"/>
      <w:marBottom w:val="0"/>
      <w:divBdr>
        <w:top w:val="none" w:sz="0" w:space="0" w:color="auto"/>
        <w:left w:val="none" w:sz="0" w:space="0" w:color="auto"/>
        <w:bottom w:val="none" w:sz="0" w:space="0" w:color="auto"/>
        <w:right w:val="none" w:sz="0" w:space="0" w:color="auto"/>
      </w:divBdr>
    </w:div>
    <w:div w:id="1629387304">
      <w:bodyDiv w:val="1"/>
      <w:marLeft w:val="0"/>
      <w:marRight w:val="0"/>
      <w:marTop w:val="0"/>
      <w:marBottom w:val="0"/>
      <w:divBdr>
        <w:top w:val="none" w:sz="0" w:space="0" w:color="auto"/>
        <w:left w:val="none" w:sz="0" w:space="0" w:color="auto"/>
        <w:bottom w:val="none" w:sz="0" w:space="0" w:color="auto"/>
        <w:right w:val="none" w:sz="0" w:space="0" w:color="auto"/>
      </w:divBdr>
    </w:div>
    <w:div w:id="1630013882">
      <w:bodyDiv w:val="1"/>
      <w:marLeft w:val="0"/>
      <w:marRight w:val="0"/>
      <w:marTop w:val="0"/>
      <w:marBottom w:val="0"/>
      <w:divBdr>
        <w:top w:val="none" w:sz="0" w:space="0" w:color="auto"/>
        <w:left w:val="none" w:sz="0" w:space="0" w:color="auto"/>
        <w:bottom w:val="none" w:sz="0" w:space="0" w:color="auto"/>
        <w:right w:val="none" w:sz="0" w:space="0" w:color="auto"/>
      </w:divBdr>
    </w:div>
    <w:div w:id="1630043035">
      <w:bodyDiv w:val="1"/>
      <w:marLeft w:val="0"/>
      <w:marRight w:val="0"/>
      <w:marTop w:val="0"/>
      <w:marBottom w:val="0"/>
      <w:divBdr>
        <w:top w:val="none" w:sz="0" w:space="0" w:color="auto"/>
        <w:left w:val="none" w:sz="0" w:space="0" w:color="auto"/>
        <w:bottom w:val="none" w:sz="0" w:space="0" w:color="auto"/>
        <w:right w:val="none" w:sz="0" w:space="0" w:color="auto"/>
      </w:divBdr>
    </w:div>
    <w:div w:id="1630163210">
      <w:bodyDiv w:val="1"/>
      <w:marLeft w:val="0"/>
      <w:marRight w:val="0"/>
      <w:marTop w:val="0"/>
      <w:marBottom w:val="0"/>
      <w:divBdr>
        <w:top w:val="none" w:sz="0" w:space="0" w:color="auto"/>
        <w:left w:val="none" w:sz="0" w:space="0" w:color="auto"/>
        <w:bottom w:val="none" w:sz="0" w:space="0" w:color="auto"/>
        <w:right w:val="none" w:sz="0" w:space="0" w:color="auto"/>
      </w:divBdr>
    </w:div>
    <w:div w:id="1630353346">
      <w:bodyDiv w:val="1"/>
      <w:marLeft w:val="0"/>
      <w:marRight w:val="0"/>
      <w:marTop w:val="0"/>
      <w:marBottom w:val="0"/>
      <w:divBdr>
        <w:top w:val="none" w:sz="0" w:space="0" w:color="auto"/>
        <w:left w:val="none" w:sz="0" w:space="0" w:color="auto"/>
        <w:bottom w:val="none" w:sz="0" w:space="0" w:color="auto"/>
        <w:right w:val="none" w:sz="0" w:space="0" w:color="auto"/>
      </w:divBdr>
    </w:div>
    <w:div w:id="1630429750">
      <w:bodyDiv w:val="1"/>
      <w:marLeft w:val="0"/>
      <w:marRight w:val="0"/>
      <w:marTop w:val="0"/>
      <w:marBottom w:val="0"/>
      <w:divBdr>
        <w:top w:val="none" w:sz="0" w:space="0" w:color="auto"/>
        <w:left w:val="none" w:sz="0" w:space="0" w:color="auto"/>
        <w:bottom w:val="none" w:sz="0" w:space="0" w:color="auto"/>
        <w:right w:val="none" w:sz="0" w:space="0" w:color="auto"/>
      </w:divBdr>
    </w:div>
    <w:div w:id="1630430167">
      <w:bodyDiv w:val="1"/>
      <w:marLeft w:val="0"/>
      <w:marRight w:val="0"/>
      <w:marTop w:val="0"/>
      <w:marBottom w:val="0"/>
      <w:divBdr>
        <w:top w:val="none" w:sz="0" w:space="0" w:color="auto"/>
        <w:left w:val="none" w:sz="0" w:space="0" w:color="auto"/>
        <w:bottom w:val="none" w:sz="0" w:space="0" w:color="auto"/>
        <w:right w:val="none" w:sz="0" w:space="0" w:color="auto"/>
      </w:divBdr>
    </w:div>
    <w:div w:id="1630470374">
      <w:bodyDiv w:val="1"/>
      <w:marLeft w:val="0"/>
      <w:marRight w:val="0"/>
      <w:marTop w:val="0"/>
      <w:marBottom w:val="0"/>
      <w:divBdr>
        <w:top w:val="none" w:sz="0" w:space="0" w:color="auto"/>
        <w:left w:val="none" w:sz="0" w:space="0" w:color="auto"/>
        <w:bottom w:val="none" w:sz="0" w:space="0" w:color="auto"/>
        <w:right w:val="none" w:sz="0" w:space="0" w:color="auto"/>
      </w:divBdr>
    </w:div>
    <w:div w:id="1630673134">
      <w:bodyDiv w:val="1"/>
      <w:marLeft w:val="0"/>
      <w:marRight w:val="0"/>
      <w:marTop w:val="0"/>
      <w:marBottom w:val="0"/>
      <w:divBdr>
        <w:top w:val="none" w:sz="0" w:space="0" w:color="auto"/>
        <w:left w:val="none" w:sz="0" w:space="0" w:color="auto"/>
        <w:bottom w:val="none" w:sz="0" w:space="0" w:color="auto"/>
        <w:right w:val="none" w:sz="0" w:space="0" w:color="auto"/>
      </w:divBdr>
    </w:div>
    <w:div w:id="1631010435">
      <w:bodyDiv w:val="1"/>
      <w:marLeft w:val="0"/>
      <w:marRight w:val="0"/>
      <w:marTop w:val="0"/>
      <w:marBottom w:val="0"/>
      <w:divBdr>
        <w:top w:val="none" w:sz="0" w:space="0" w:color="auto"/>
        <w:left w:val="none" w:sz="0" w:space="0" w:color="auto"/>
        <w:bottom w:val="none" w:sz="0" w:space="0" w:color="auto"/>
        <w:right w:val="none" w:sz="0" w:space="0" w:color="auto"/>
      </w:divBdr>
    </w:div>
    <w:div w:id="1631201875">
      <w:bodyDiv w:val="1"/>
      <w:marLeft w:val="0"/>
      <w:marRight w:val="0"/>
      <w:marTop w:val="0"/>
      <w:marBottom w:val="0"/>
      <w:divBdr>
        <w:top w:val="none" w:sz="0" w:space="0" w:color="auto"/>
        <w:left w:val="none" w:sz="0" w:space="0" w:color="auto"/>
        <w:bottom w:val="none" w:sz="0" w:space="0" w:color="auto"/>
        <w:right w:val="none" w:sz="0" w:space="0" w:color="auto"/>
      </w:divBdr>
    </w:div>
    <w:div w:id="1631278686">
      <w:bodyDiv w:val="1"/>
      <w:marLeft w:val="0"/>
      <w:marRight w:val="0"/>
      <w:marTop w:val="0"/>
      <w:marBottom w:val="0"/>
      <w:divBdr>
        <w:top w:val="none" w:sz="0" w:space="0" w:color="auto"/>
        <w:left w:val="none" w:sz="0" w:space="0" w:color="auto"/>
        <w:bottom w:val="none" w:sz="0" w:space="0" w:color="auto"/>
        <w:right w:val="none" w:sz="0" w:space="0" w:color="auto"/>
      </w:divBdr>
    </w:div>
    <w:div w:id="1631324376">
      <w:bodyDiv w:val="1"/>
      <w:marLeft w:val="0"/>
      <w:marRight w:val="0"/>
      <w:marTop w:val="0"/>
      <w:marBottom w:val="0"/>
      <w:divBdr>
        <w:top w:val="none" w:sz="0" w:space="0" w:color="auto"/>
        <w:left w:val="none" w:sz="0" w:space="0" w:color="auto"/>
        <w:bottom w:val="none" w:sz="0" w:space="0" w:color="auto"/>
        <w:right w:val="none" w:sz="0" w:space="0" w:color="auto"/>
      </w:divBdr>
    </w:div>
    <w:div w:id="1631470491">
      <w:bodyDiv w:val="1"/>
      <w:marLeft w:val="0"/>
      <w:marRight w:val="0"/>
      <w:marTop w:val="0"/>
      <w:marBottom w:val="0"/>
      <w:divBdr>
        <w:top w:val="none" w:sz="0" w:space="0" w:color="auto"/>
        <w:left w:val="none" w:sz="0" w:space="0" w:color="auto"/>
        <w:bottom w:val="none" w:sz="0" w:space="0" w:color="auto"/>
        <w:right w:val="none" w:sz="0" w:space="0" w:color="auto"/>
      </w:divBdr>
    </w:div>
    <w:div w:id="1631473223">
      <w:bodyDiv w:val="1"/>
      <w:marLeft w:val="0"/>
      <w:marRight w:val="0"/>
      <w:marTop w:val="0"/>
      <w:marBottom w:val="0"/>
      <w:divBdr>
        <w:top w:val="none" w:sz="0" w:space="0" w:color="auto"/>
        <w:left w:val="none" w:sz="0" w:space="0" w:color="auto"/>
        <w:bottom w:val="none" w:sz="0" w:space="0" w:color="auto"/>
        <w:right w:val="none" w:sz="0" w:space="0" w:color="auto"/>
      </w:divBdr>
    </w:div>
    <w:div w:id="1631590073">
      <w:bodyDiv w:val="1"/>
      <w:marLeft w:val="0"/>
      <w:marRight w:val="0"/>
      <w:marTop w:val="0"/>
      <w:marBottom w:val="0"/>
      <w:divBdr>
        <w:top w:val="none" w:sz="0" w:space="0" w:color="auto"/>
        <w:left w:val="none" w:sz="0" w:space="0" w:color="auto"/>
        <w:bottom w:val="none" w:sz="0" w:space="0" w:color="auto"/>
        <w:right w:val="none" w:sz="0" w:space="0" w:color="auto"/>
      </w:divBdr>
    </w:div>
    <w:div w:id="1631785700">
      <w:bodyDiv w:val="1"/>
      <w:marLeft w:val="0"/>
      <w:marRight w:val="0"/>
      <w:marTop w:val="0"/>
      <w:marBottom w:val="0"/>
      <w:divBdr>
        <w:top w:val="none" w:sz="0" w:space="0" w:color="auto"/>
        <w:left w:val="none" w:sz="0" w:space="0" w:color="auto"/>
        <w:bottom w:val="none" w:sz="0" w:space="0" w:color="auto"/>
        <w:right w:val="none" w:sz="0" w:space="0" w:color="auto"/>
      </w:divBdr>
    </w:div>
    <w:div w:id="1632055432">
      <w:bodyDiv w:val="1"/>
      <w:marLeft w:val="0"/>
      <w:marRight w:val="0"/>
      <w:marTop w:val="0"/>
      <w:marBottom w:val="0"/>
      <w:divBdr>
        <w:top w:val="none" w:sz="0" w:space="0" w:color="auto"/>
        <w:left w:val="none" w:sz="0" w:space="0" w:color="auto"/>
        <w:bottom w:val="none" w:sz="0" w:space="0" w:color="auto"/>
        <w:right w:val="none" w:sz="0" w:space="0" w:color="auto"/>
      </w:divBdr>
    </w:div>
    <w:div w:id="1632134299">
      <w:bodyDiv w:val="1"/>
      <w:marLeft w:val="0"/>
      <w:marRight w:val="0"/>
      <w:marTop w:val="0"/>
      <w:marBottom w:val="0"/>
      <w:divBdr>
        <w:top w:val="none" w:sz="0" w:space="0" w:color="auto"/>
        <w:left w:val="none" w:sz="0" w:space="0" w:color="auto"/>
        <w:bottom w:val="none" w:sz="0" w:space="0" w:color="auto"/>
        <w:right w:val="none" w:sz="0" w:space="0" w:color="auto"/>
      </w:divBdr>
    </w:div>
    <w:div w:id="1632243875">
      <w:bodyDiv w:val="1"/>
      <w:marLeft w:val="0"/>
      <w:marRight w:val="0"/>
      <w:marTop w:val="0"/>
      <w:marBottom w:val="0"/>
      <w:divBdr>
        <w:top w:val="none" w:sz="0" w:space="0" w:color="auto"/>
        <w:left w:val="none" w:sz="0" w:space="0" w:color="auto"/>
        <w:bottom w:val="none" w:sz="0" w:space="0" w:color="auto"/>
        <w:right w:val="none" w:sz="0" w:space="0" w:color="auto"/>
      </w:divBdr>
    </w:div>
    <w:div w:id="1632248311">
      <w:bodyDiv w:val="1"/>
      <w:marLeft w:val="0"/>
      <w:marRight w:val="0"/>
      <w:marTop w:val="0"/>
      <w:marBottom w:val="0"/>
      <w:divBdr>
        <w:top w:val="none" w:sz="0" w:space="0" w:color="auto"/>
        <w:left w:val="none" w:sz="0" w:space="0" w:color="auto"/>
        <w:bottom w:val="none" w:sz="0" w:space="0" w:color="auto"/>
        <w:right w:val="none" w:sz="0" w:space="0" w:color="auto"/>
      </w:divBdr>
    </w:div>
    <w:div w:id="1632396786">
      <w:bodyDiv w:val="1"/>
      <w:marLeft w:val="0"/>
      <w:marRight w:val="0"/>
      <w:marTop w:val="0"/>
      <w:marBottom w:val="0"/>
      <w:divBdr>
        <w:top w:val="none" w:sz="0" w:space="0" w:color="auto"/>
        <w:left w:val="none" w:sz="0" w:space="0" w:color="auto"/>
        <w:bottom w:val="none" w:sz="0" w:space="0" w:color="auto"/>
        <w:right w:val="none" w:sz="0" w:space="0" w:color="auto"/>
      </w:divBdr>
    </w:div>
    <w:div w:id="1632519637">
      <w:bodyDiv w:val="1"/>
      <w:marLeft w:val="0"/>
      <w:marRight w:val="0"/>
      <w:marTop w:val="0"/>
      <w:marBottom w:val="0"/>
      <w:divBdr>
        <w:top w:val="none" w:sz="0" w:space="0" w:color="auto"/>
        <w:left w:val="none" w:sz="0" w:space="0" w:color="auto"/>
        <w:bottom w:val="none" w:sz="0" w:space="0" w:color="auto"/>
        <w:right w:val="none" w:sz="0" w:space="0" w:color="auto"/>
      </w:divBdr>
    </w:div>
    <w:div w:id="1632590030">
      <w:bodyDiv w:val="1"/>
      <w:marLeft w:val="0"/>
      <w:marRight w:val="0"/>
      <w:marTop w:val="0"/>
      <w:marBottom w:val="0"/>
      <w:divBdr>
        <w:top w:val="none" w:sz="0" w:space="0" w:color="auto"/>
        <w:left w:val="none" w:sz="0" w:space="0" w:color="auto"/>
        <w:bottom w:val="none" w:sz="0" w:space="0" w:color="auto"/>
        <w:right w:val="none" w:sz="0" w:space="0" w:color="auto"/>
      </w:divBdr>
    </w:div>
    <w:div w:id="1633242522">
      <w:bodyDiv w:val="1"/>
      <w:marLeft w:val="0"/>
      <w:marRight w:val="0"/>
      <w:marTop w:val="0"/>
      <w:marBottom w:val="0"/>
      <w:divBdr>
        <w:top w:val="none" w:sz="0" w:space="0" w:color="auto"/>
        <w:left w:val="none" w:sz="0" w:space="0" w:color="auto"/>
        <w:bottom w:val="none" w:sz="0" w:space="0" w:color="auto"/>
        <w:right w:val="none" w:sz="0" w:space="0" w:color="auto"/>
      </w:divBdr>
    </w:div>
    <w:div w:id="1633512820">
      <w:bodyDiv w:val="1"/>
      <w:marLeft w:val="0"/>
      <w:marRight w:val="0"/>
      <w:marTop w:val="0"/>
      <w:marBottom w:val="0"/>
      <w:divBdr>
        <w:top w:val="none" w:sz="0" w:space="0" w:color="auto"/>
        <w:left w:val="none" w:sz="0" w:space="0" w:color="auto"/>
        <w:bottom w:val="none" w:sz="0" w:space="0" w:color="auto"/>
        <w:right w:val="none" w:sz="0" w:space="0" w:color="auto"/>
      </w:divBdr>
    </w:div>
    <w:div w:id="1633713264">
      <w:bodyDiv w:val="1"/>
      <w:marLeft w:val="0"/>
      <w:marRight w:val="0"/>
      <w:marTop w:val="0"/>
      <w:marBottom w:val="0"/>
      <w:divBdr>
        <w:top w:val="none" w:sz="0" w:space="0" w:color="auto"/>
        <w:left w:val="none" w:sz="0" w:space="0" w:color="auto"/>
        <w:bottom w:val="none" w:sz="0" w:space="0" w:color="auto"/>
        <w:right w:val="none" w:sz="0" w:space="0" w:color="auto"/>
      </w:divBdr>
    </w:div>
    <w:div w:id="1634021268">
      <w:bodyDiv w:val="1"/>
      <w:marLeft w:val="0"/>
      <w:marRight w:val="0"/>
      <w:marTop w:val="0"/>
      <w:marBottom w:val="0"/>
      <w:divBdr>
        <w:top w:val="none" w:sz="0" w:space="0" w:color="auto"/>
        <w:left w:val="none" w:sz="0" w:space="0" w:color="auto"/>
        <w:bottom w:val="none" w:sz="0" w:space="0" w:color="auto"/>
        <w:right w:val="none" w:sz="0" w:space="0" w:color="auto"/>
      </w:divBdr>
    </w:div>
    <w:div w:id="1634141029">
      <w:bodyDiv w:val="1"/>
      <w:marLeft w:val="0"/>
      <w:marRight w:val="0"/>
      <w:marTop w:val="0"/>
      <w:marBottom w:val="0"/>
      <w:divBdr>
        <w:top w:val="none" w:sz="0" w:space="0" w:color="auto"/>
        <w:left w:val="none" w:sz="0" w:space="0" w:color="auto"/>
        <w:bottom w:val="none" w:sz="0" w:space="0" w:color="auto"/>
        <w:right w:val="none" w:sz="0" w:space="0" w:color="auto"/>
      </w:divBdr>
    </w:div>
    <w:div w:id="1634367914">
      <w:bodyDiv w:val="1"/>
      <w:marLeft w:val="0"/>
      <w:marRight w:val="0"/>
      <w:marTop w:val="0"/>
      <w:marBottom w:val="0"/>
      <w:divBdr>
        <w:top w:val="none" w:sz="0" w:space="0" w:color="auto"/>
        <w:left w:val="none" w:sz="0" w:space="0" w:color="auto"/>
        <w:bottom w:val="none" w:sz="0" w:space="0" w:color="auto"/>
        <w:right w:val="none" w:sz="0" w:space="0" w:color="auto"/>
      </w:divBdr>
    </w:div>
    <w:div w:id="1634561540">
      <w:bodyDiv w:val="1"/>
      <w:marLeft w:val="0"/>
      <w:marRight w:val="0"/>
      <w:marTop w:val="0"/>
      <w:marBottom w:val="0"/>
      <w:divBdr>
        <w:top w:val="none" w:sz="0" w:space="0" w:color="auto"/>
        <w:left w:val="none" w:sz="0" w:space="0" w:color="auto"/>
        <w:bottom w:val="none" w:sz="0" w:space="0" w:color="auto"/>
        <w:right w:val="none" w:sz="0" w:space="0" w:color="auto"/>
      </w:divBdr>
    </w:div>
    <w:div w:id="1635058516">
      <w:bodyDiv w:val="1"/>
      <w:marLeft w:val="0"/>
      <w:marRight w:val="0"/>
      <w:marTop w:val="0"/>
      <w:marBottom w:val="0"/>
      <w:divBdr>
        <w:top w:val="none" w:sz="0" w:space="0" w:color="auto"/>
        <w:left w:val="none" w:sz="0" w:space="0" w:color="auto"/>
        <w:bottom w:val="none" w:sz="0" w:space="0" w:color="auto"/>
        <w:right w:val="none" w:sz="0" w:space="0" w:color="auto"/>
      </w:divBdr>
    </w:div>
    <w:div w:id="1635135948">
      <w:bodyDiv w:val="1"/>
      <w:marLeft w:val="0"/>
      <w:marRight w:val="0"/>
      <w:marTop w:val="0"/>
      <w:marBottom w:val="0"/>
      <w:divBdr>
        <w:top w:val="none" w:sz="0" w:space="0" w:color="auto"/>
        <w:left w:val="none" w:sz="0" w:space="0" w:color="auto"/>
        <w:bottom w:val="none" w:sz="0" w:space="0" w:color="auto"/>
        <w:right w:val="none" w:sz="0" w:space="0" w:color="auto"/>
      </w:divBdr>
    </w:div>
    <w:div w:id="1635331413">
      <w:bodyDiv w:val="1"/>
      <w:marLeft w:val="0"/>
      <w:marRight w:val="0"/>
      <w:marTop w:val="0"/>
      <w:marBottom w:val="0"/>
      <w:divBdr>
        <w:top w:val="none" w:sz="0" w:space="0" w:color="auto"/>
        <w:left w:val="none" w:sz="0" w:space="0" w:color="auto"/>
        <w:bottom w:val="none" w:sz="0" w:space="0" w:color="auto"/>
        <w:right w:val="none" w:sz="0" w:space="0" w:color="auto"/>
      </w:divBdr>
    </w:div>
    <w:div w:id="1635331604">
      <w:bodyDiv w:val="1"/>
      <w:marLeft w:val="0"/>
      <w:marRight w:val="0"/>
      <w:marTop w:val="0"/>
      <w:marBottom w:val="0"/>
      <w:divBdr>
        <w:top w:val="none" w:sz="0" w:space="0" w:color="auto"/>
        <w:left w:val="none" w:sz="0" w:space="0" w:color="auto"/>
        <w:bottom w:val="none" w:sz="0" w:space="0" w:color="auto"/>
        <w:right w:val="none" w:sz="0" w:space="0" w:color="auto"/>
      </w:divBdr>
    </w:div>
    <w:div w:id="1635716462">
      <w:bodyDiv w:val="1"/>
      <w:marLeft w:val="0"/>
      <w:marRight w:val="0"/>
      <w:marTop w:val="0"/>
      <w:marBottom w:val="0"/>
      <w:divBdr>
        <w:top w:val="none" w:sz="0" w:space="0" w:color="auto"/>
        <w:left w:val="none" w:sz="0" w:space="0" w:color="auto"/>
        <w:bottom w:val="none" w:sz="0" w:space="0" w:color="auto"/>
        <w:right w:val="none" w:sz="0" w:space="0" w:color="auto"/>
      </w:divBdr>
    </w:div>
    <w:div w:id="1635872264">
      <w:bodyDiv w:val="1"/>
      <w:marLeft w:val="0"/>
      <w:marRight w:val="0"/>
      <w:marTop w:val="0"/>
      <w:marBottom w:val="0"/>
      <w:divBdr>
        <w:top w:val="none" w:sz="0" w:space="0" w:color="auto"/>
        <w:left w:val="none" w:sz="0" w:space="0" w:color="auto"/>
        <w:bottom w:val="none" w:sz="0" w:space="0" w:color="auto"/>
        <w:right w:val="none" w:sz="0" w:space="0" w:color="auto"/>
      </w:divBdr>
    </w:div>
    <w:div w:id="1636132373">
      <w:bodyDiv w:val="1"/>
      <w:marLeft w:val="0"/>
      <w:marRight w:val="0"/>
      <w:marTop w:val="0"/>
      <w:marBottom w:val="0"/>
      <w:divBdr>
        <w:top w:val="none" w:sz="0" w:space="0" w:color="auto"/>
        <w:left w:val="none" w:sz="0" w:space="0" w:color="auto"/>
        <w:bottom w:val="none" w:sz="0" w:space="0" w:color="auto"/>
        <w:right w:val="none" w:sz="0" w:space="0" w:color="auto"/>
      </w:divBdr>
    </w:div>
    <w:div w:id="1636174963">
      <w:bodyDiv w:val="1"/>
      <w:marLeft w:val="0"/>
      <w:marRight w:val="0"/>
      <w:marTop w:val="0"/>
      <w:marBottom w:val="0"/>
      <w:divBdr>
        <w:top w:val="none" w:sz="0" w:space="0" w:color="auto"/>
        <w:left w:val="none" w:sz="0" w:space="0" w:color="auto"/>
        <w:bottom w:val="none" w:sz="0" w:space="0" w:color="auto"/>
        <w:right w:val="none" w:sz="0" w:space="0" w:color="auto"/>
      </w:divBdr>
    </w:div>
    <w:div w:id="1636326057">
      <w:bodyDiv w:val="1"/>
      <w:marLeft w:val="0"/>
      <w:marRight w:val="0"/>
      <w:marTop w:val="0"/>
      <w:marBottom w:val="0"/>
      <w:divBdr>
        <w:top w:val="none" w:sz="0" w:space="0" w:color="auto"/>
        <w:left w:val="none" w:sz="0" w:space="0" w:color="auto"/>
        <w:bottom w:val="none" w:sz="0" w:space="0" w:color="auto"/>
        <w:right w:val="none" w:sz="0" w:space="0" w:color="auto"/>
      </w:divBdr>
    </w:div>
    <w:div w:id="1636720804">
      <w:bodyDiv w:val="1"/>
      <w:marLeft w:val="0"/>
      <w:marRight w:val="0"/>
      <w:marTop w:val="0"/>
      <w:marBottom w:val="0"/>
      <w:divBdr>
        <w:top w:val="none" w:sz="0" w:space="0" w:color="auto"/>
        <w:left w:val="none" w:sz="0" w:space="0" w:color="auto"/>
        <w:bottom w:val="none" w:sz="0" w:space="0" w:color="auto"/>
        <w:right w:val="none" w:sz="0" w:space="0" w:color="auto"/>
      </w:divBdr>
    </w:div>
    <w:div w:id="1637107183">
      <w:bodyDiv w:val="1"/>
      <w:marLeft w:val="0"/>
      <w:marRight w:val="0"/>
      <w:marTop w:val="0"/>
      <w:marBottom w:val="0"/>
      <w:divBdr>
        <w:top w:val="none" w:sz="0" w:space="0" w:color="auto"/>
        <w:left w:val="none" w:sz="0" w:space="0" w:color="auto"/>
        <w:bottom w:val="none" w:sz="0" w:space="0" w:color="auto"/>
        <w:right w:val="none" w:sz="0" w:space="0" w:color="auto"/>
      </w:divBdr>
    </w:div>
    <w:div w:id="1637443690">
      <w:bodyDiv w:val="1"/>
      <w:marLeft w:val="0"/>
      <w:marRight w:val="0"/>
      <w:marTop w:val="0"/>
      <w:marBottom w:val="0"/>
      <w:divBdr>
        <w:top w:val="none" w:sz="0" w:space="0" w:color="auto"/>
        <w:left w:val="none" w:sz="0" w:space="0" w:color="auto"/>
        <w:bottom w:val="none" w:sz="0" w:space="0" w:color="auto"/>
        <w:right w:val="none" w:sz="0" w:space="0" w:color="auto"/>
      </w:divBdr>
    </w:div>
    <w:div w:id="1637880149">
      <w:bodyDiv w:val="1"/>
      <w:marLeft w:val="0"/>
      <w:marRight w:val="0"/>
      <w:marTop w:val="0"/>
      <w:marBottom w:val="0"/>
      <w:divBdr>
        <w:top w:val="none" w:sz="0" w:space="0" w:color="auto"/>
        <w:left w:val="none" w:sz="0" w:space="0" w:color="auto"/>
        <w:bottom w:val="none" w:sz="0" w:space="0" w:color="auto"/>
        <w:right w:val="none" w:sz="0" w:space="0" w:color="auto"/>
      </w:divBdr>
    </w:div>
    <w:div w:id="1637907604">
      <w:bodyDiv w:val="1"/>
      <w:marLeft w:val="0"/>
      <w:marRight w:val="0"/>
      <w:marTop w:val="0"/>
      <w:marBottom w:val="0"/>
      <w:divBdr>
        <w:top w:val="none" w:sz="0" w:space="0" w:color="auto"/>
        <w:left w:val="none" w:sz="0" w:space="0" w:color="auto"/>
        <w:bottom w:val="none" w:sz="0" w:space="0" w:color="auto"/>
        <w:right w:val="none" w:sz="0" w:space="0" w:color="auto"/>
      </w:divBdr>
    </w:div>
    <w:div w:id="1638222028">
      <w:bodyDiv w:val="1"/>
      <w:marLeft w:val="0"/>
      <w:marRight w:val="0"/>
      <w:marTop w:val="0"/>
      <w:marBottom w:val="0"/>
      <w:divBdr>
        <w:top w:val="none" w:sz="0" w:space="0" w:color="auto"/>
        <w:left w:val="none" w:sz="0" w:space="0" w:color="auto"/>
        <w:bottom w:val="none" w:sz="0" w:space="0" w:color="auto"/>
        <w:right w:val="none" w:sz="0" w:space="0" w:color="auto"/>
      </w:divBdr>
    </w:div>
    <w:div w:id="1638292846">
      <w:bodyDiv w:val="1"/>
      <w:marLeft w:val="0"/>
      <w:marRight w:val="0"/>
      <w:marTop w:val="0"/>
      <w:marBottom w:val="0"/>
      <w:divBdr>
        <w:top w:val="none" w:sz="0" w:space="0" w:color="auto"/>
        <w:left w:val="none" w:sz="0" w:space="0" w:color="auto"/>
        <w:bottom w:val="none" w:sz="0" w:space="0" w:color="auto"/>
        <w:right w:val="none" w:sz="0" w:space="0" w:color="auto"/>
      </w:divBdr>
    </w:div>
    <w:div w:id="1638410495">
      <w:bodyDiv w:val="1"/>
      <w:marLeft w:val="0"/>
      <w:marRight w:val="0"/>
      <w:marTop w:val="0"/>
      <w:marBottom w:val="0"/>
      <w:divBdr>
        <w:top w:val="none" w:sz="0" w:space="0" w:color="auto"/>
        <w:left w:val="none" w:sz="0" w:space="0" w:color="auto"/>
        <w:bottom w:val="none" w:sz="0" w:space="0" w:color="auto"/>
        <w:right w:val="none" w:sz="0" w:space="0" w:color="auto"/>
      </w:divBdr>
    </w:div>
    <w:div w:id="1638683196">
      <w:bodyDiv w:val="1"/>
      <w:marLeft w:val="0"/>
      <w:marRight w:val="0"/>
      <w:marTop w:val="0"/>
      <w:marBottom w:val="0"/>
      <w:divBdr>
        <w:top w:val="none" w:sz="0" w:space="0" w:color="auto"/>
        <w:left w:val="none" w:sz="0" w:space="0" w:color="auto"/>
        <w:bottom w:val="none" w:sz="0" w:space="0" w:color="auto"/>
        <w:right w:val="none" w:sz="0" w:space="0" w:color="auto"/>
      </w:divBdr>
    </w:div>
    <w:div w:id="1638803134">
      <w:bodyDiv w:val="1"/>
      <w:marLeft w:val="0"/>
      <w:marRight w:val="0"/>
      <w:marTop w:val="0"/>
      <w:marBottom w:val="0"/>
      <w:divBdr>
        <w:top w:val="none" w:sz="0" w:space="0" w:color="auto"/>
        <w:left w:val="none" w:sz="0" w:space="0" w:color="auto"/>
        <w:bottom w:val="none" w:sz="0" w:space="0" w:color="auto"/>
        <w:right w:val="none" w:sz="0" w:space="0" w:color="auto"/>
      </w:divBdr>
    </w:div>
    <w:div w:id="1638804132">
      <w:bodyDiv w:val="1"/>
      <w:marLeft w:val="0"/>
      <w:marRight w:val="0"/>
      <w:marTop w:val="0"/>
      <w:marBottom w:val="0"/>
      <w:divBdr>
        <w:top w:val="none" w:sz="0" w:space="0" w:color="auto"/>
        <w:left w:val="none" w:sz="0" w:space="0" w:color="auto"/>
        <w:bottom w:val="none" w:sz="0" w:space="0" w:color="auto"/>
        <w:right w:val="none" w:sz="0" w:space="0" w:color="auto"/>
      </w:divBdr>
    </w:div>
    <w:div w:id="1638876994">
      <w:bodyDiv w:val="1"/>
      <w:marLeft w:val="0"/>
      <w:marRight w:val="0"/>
      <w:marTop w:val="0"/>
      <w:marBottom w:val="0"/>
      <w:divBdr>
        <w:top w:val="none" w:sz="0" w:space="0" w:color="auto"/>
        <w:left w:val="none" w:sz="0" w:space="0" w:color="auto"/>
        <w:bottom w:val="none" w:sz="0" w:space="0" w:color="auto"/>
        <w:right w:val="none" w:sz="0" w:space="0" w:color="auto"/>
      </w:divBdr>
    </w:div>
    <w:div w:id="1638950255">
      <w:bodyDiv w:val="1"/>
      <w:marLeft w:val="0"/>
      <w:marRight w:val="0"/>
      <w:marTop w:val="0"/>
      <w:marBottom w:val="0"/>
      <w:divBdr>
        <w:top w:val="none" w:sz="0" w:space="0" w:color="auto"/>
        <w:left w:val="none" w:sz="0" w:space="0" w:color="auto"/>
        <w:bottom w:val="none" w:sz="0" w:space="0" w:color="auto"/>
        <w:right w:val="none" w:sz="0" w:space="0" w:color="auto"/>
      </w:divBdr>
    </w:div>
    <w:div w:id="1639070470">
      <w:bodyDiv w:val="1"/>
      <w:marLeft w:val="0"/>
      <w:marRight w:val="0"/>
      <w:marTop w:val="0"/>
      <w:marBottom w:val="0"/>
      <w:divBdr>
        <w:top w:val="none" w:sz="0" w:space="0" w:color="auto"/>
        <w:left w:val="none" w:sz="0" w:space="0" w:color="auto"/>
        <w:bottom w:val="none" w:sz="0" w:space="0" w:color="auto"/>
        <w:right w:val="none" w:sz="0" w:space="0" w:color="auto"/>
      </w:divBdr>
    </w:div>
    <w:div w:id="1639142659">
      <w:bodyDiv w:val="1"/>
      <w:marLeft w:val="0"/>
      <w:marRight w:val="0"/>
      <w:marTop w:val="0"/>
      <w:marBottom w:val="0"/>
      <w:divBdr>
        <w:top w:val="none" w:sz="0" w:space="0" w:color="auto"/>
        <w:left w:val="none" w:sz="0" w:space="0" w:color="auto"/>
        <w:bottom w:val="none" w:sz="0" w:space="0" w:color="auto"/>
        <w:right w:val="none" w:sz="0" w:space="0" w:color="auto"/>
      </w:divBdr>
    </w:div>
    <w:div w:id="1639188765">
      <w:bodyDiv w:val="1"/>
      <w:marLeft w:val="0"/>
      <w:marRight w:val="0"/>
      <w:marTop w:val="0"/>
      <w:marBottom w:val="0"/>
      <w:divBdr>
        <w:top w:val="none" w:sz="0" w:space="0" w:color="auto"/>
        <w:left w:val="none" w:sz="0" w:space="0" w:color="auto"/>
        <w:bottom w:val="none" w:sz="0" w:space="0" w:color="auto"/>
        <w:right w:val="none" w:sz="0" w:space="0" w:color="auto"/>
      </w:divBdr>
    </w:div>
    <w:div w:id="1639338526">
      <w:bodyDiv w:val="1"/>
      <w:marLeft w:val="0"/>
      <w:marRight w:val="0"/>
      <w:marTop w:val="0"/>
      <w:marBottom w:val="0"/>
      <w:divBdr>
        <w:top w:val="none" w:sz="0" w:space="0" w:color="auto"/>
        <w:left w:val="none" w:sz="0" w:space="0" w:color="auto"/>
        <w:bottom w:val="none" w:sz="0" w:space="0" w:color="auto"/>
        <w:right w:val="none" w:sz="0" w:space="0" w:color="auto"/>
      </w:divBdr>
    </w:div>
    <w:div w:id="1639339806">
      <w:bodyDiv w:val="1"/>
      <w:marLeft w:val="0"/>
      <w:marRight w:val="0"/>
      <w:marTop w:val="0"/>
      <w:marBottom w:val="0"/>
      <w:divBdr>
        <w:top w:val="none" w:sz="0" w:space="0" w:color="auto"/>
        <w:left w:val="none" w:sz="0" w:space="0" w:color="auto"/>
        <w:bottom w:val="none" w:sz="0" w:space="0" w:color="auto"/>
        <w:right w:val="none" w:sz="0" w:space="0" w:color="auto"/>
      </w:divBdr>
    </w:div>
    <w:div w:id="1639415276">
      <w:bodyDiv w:val="1"/>
      <w:marLeft w:val="0"/>
      <w:marRight w:val="0"/>
      <w:marTop w:val="0"/>
      <w:marBottom w:val="0"/>
      <w:divBdr>
        <w:top w:val="none" w:sz="0" w:space="0" w:color="auto"/>
        <w:left w:val="none" w:sz="0" w:space="0" w:color="auto"/>
        <w:bottom w:val="none" w:sz="0" w:space="0" w:color="auto"/>
        <w:right w:val="none" w:sz="0" w:space="0" w:color="auto"/>
      </w:divBdr>
    </w:div>
    <w:div w:id="1639457023">
      <w:bodyDiv w:val="1"/>
      <w:marLeft w:val="0"/>
      <w:marRight w:val="0"/>
      <w:marTop w:val="0"/>
      <w:marBottom w:val="0"/>
      <w:divBdr>
        <w:top w:val="none" w:sz="0" w:space="0" w:color="auto"/>
        <w:left w:val="none" w:sz="0" w:space="0" w:color="auto"/>
        <w:bottom w:val="none" w:sz="0" w:space="0" w:color="auto"/>
        <w:right w:val="none" w:sz="0" w:space="0" w:color="auto"/>
      </w:divBdr>
    </w:div>
    <w:div w:id="1639531501">
      <w:bodyDiv w:val="1"/>
      <w:marLeft w:val="0"/>
      <w:marRight w:val="0"/>
      <w:marTop w:val="0"/>
      <w:marBottom w:val="0"/>
      <w:divBdr>
        <w:top w:val="none" w:sz="0" w:space="0" w:color="auto"/>
        <w:left w:val="none" w:sz="0" w:space="0" w:color="auto"/>
        <w:bottom w:val="none" w:sz="0" w:space="0" w:color="auto"/>
        <w:right w:val="none" w:sz="0" w:space="0" w:color="auto"/>
      </w:divBdr>
    </w:div>
    <w:div w:id="1639648553">
      <w:bodyDiv w:val="1"/>
      <w:marLeft w:val="0"/>
      <w:marRight w:val="0"/>
      <w:marTop w:val="0"/>
      <w:marBottom w:val="0"/>
      <w:divBdr>
        <w:top w:val="none" w:sz="0" w:space="0" w:color="auto"/>
        <w:left w:val="none" w:sz="0" w:space="0" w:color="auto"/>
        <w:bottom w:val="none" w:sz="0" w:space="0" w:color="auto"/>
        <w:right w:val="none" w:sz="0" w:space="0" w:color="auto"/>
      </w:divBdr>
    </w:div>
    <w:div w:id="1639651929">
      <w:bodyDiv w:val="1"/>
      <w:marLeft w:val="0"/>
      <w:marRight w:val="0"/>
      <w:marTop w:val="0"/>
      <w:marBottom w:val="0"/>
      <w:divBdr>
        <w:top w:val="none" w:sz="0" w:space="0" w:color="auto"/>
        <w:left w:val="none" w:sz="0" w:space="0" w:color="auto"/>
        <w:bottom w:val="none" w:sz="0" w:space="0" w:color="auto"/>
        <w:right w:val="none" w:sz="0" w:space="0" w:color="auto"/>
      </w:divBdr>
    </w:div>
    <w:div w:id="1639720032">
      <w:bodyDiv w:val="1"/>
      <w:marLeft w:val="0"/>
      <w:marRight w:val="0"/>
      <w:marTop w:val="0"/>
      <w:marBottom w:val="0"/>
      <w:divBdr>
        <w:top w:val="none" w:sz="0" w:space="0" w:color="auto"/>
        <w:left w:val="none" w:sz="0" w:space="0" w:color="auto"/>
        <w:bottom w:val="none" w:sz="0" w:space="0" w:color="auto"/>
        <w:right w:val="none" w:sz="0" w:space="0" w:color="auto"/>
      </w:divBdr>
    </w:div>
    <w:div w:id="1639795978">
      <w:bodyDiv w:val="1"/>
      <w:marLeft w:val="0"/>
      <w:marRight w:val="0"/>
      <w:marTop w:val="0"/>
      <w:marBottom w:val="0"/>
      <w:divBdr>
        <w:top w:val="none" w:sz="0" w:space="0" w:color="auto"/>
        <w:left w:val="none" w:sz="0" w:space="0" w:color="auto"/>
        <w:bottom w:val="none" w:sz="0" w:space="0" w:color="auto"/>
        <w:right w:val="none" w:sz="0" w:space="0" w:color="auto"/>
      </w:divBdr>
    </w:div>
    <w:div w:id="1640262910">
      <w:bodyDiv w:val="1"/>
      <w:marLeft w:val="0"/>
      <w:marRight w:val="0"/>
      <w:marTop w:val="0"/>
      <w:marBottom w:val="0"/>
      <w:divBdr>
        <w:top w:val="none" w:sz="0" w:space="0" w:color="auto"/>
        <w:left w:val="none" w:sz="0" w:space="0" w:color="auto"/>
        <w:bottom w:val="none" w:sz="0" w:space="0" w:color="auto"/>
        <w:right w:val="none" w:sz="0" w:space="0" w:color="auto"/>
      </w:divBdr>
    </w:div>
    <w:div w:id="1640263648">
      <w:bodyDiv w:val="1"/>
      <w:marLeft w:val="0"/>
      <w:marRight w:val="0"/>
      <w:marTop w:val="0"/>
      <w:marBottom w:val="0"/>
      <w:divBdr>
        <w:top w:val="none" w:sz="0" w:space="0" w:color="auto"/>
        <w:left w:val="none" w:sz="0" w:space="0" w:color="auto"/>
        <w:bottom w:val="none" w:sz="0" w:space="0" w:color="auto"/>
        <w:right w:val="none" w:sz="0" w:space="0" w:color="auto"/>
      </w:divBdr>
    </w:div>
    <w:div w:id="1640306266">
      <w:bodyDiv w:val="1"/>
      <w:marLeft w:val="0"/>
      <w:marRight w:val="0"/>
      <w:marTop w:val="0"/>
      <w:marBottom w:val="0"/>
      <w:divBdr>
        <w:top w:val="none" w:sz="0" w:space="0" w:color="auto"/>
        <w:left w:val="none" w:sz="0" w:space="0" w:color="auto"/>
        <w:bottom w:val="none" w:sz="0" w:space="0" w:color="auto"/>
        <w:right w:val="none" w:sz="0" w:space="0" w:color="auto"/>
      </w:divBdr>
    </w:div>
    <w:div w:id="1640378844">
      <w:bodyDiv w:val="1"/>
      <w:marLeft w:val="0"/>
      <w:marRight w:val="0"/>
      <w:marTop w:val="0"/>
      <w:marBottom w:val="0"/>
      <w:divBdr>
        <w:top w:val="none" w:sz="0" w:space="0" w:color="auto"/>
        <w:left w:val="none" w:sz="0" w:space="0" w:color="auto"/>
        <w:bottom w:val="none" w:sz="0" w:space="0" w:color="auto"/>
        <w:right w:val="none" w:sz="0" w:space="0" w:color="auto"/>
      </w:divBdr>
    </w:div>
    <w:div w:id="1640458954">
      <w:bodyDiv w:val="1"/>
      <w:marLeft w:val="0"/>
      <w:marRight w:val="0"/>
      <w:marTop w:val="0"/>
      <w:marBottom w:val="0"/>
      <w:divBdr>
        <w:top w:val="none" w:sz="0" w:space="0" w:color="auto"/>
        <w:left w:val="none" w:sz="0" w:space="0" w:color="auto"/>
        <w:bottom w:val="none" w:sz="0" w:space="0" w:color="auto"/>
        <w:right w:val="none" w:sz="0" w:space="0" w:color="auto"/>
      </w:divBdr>
    </w:div>
    <w:div w:id="1641031921">
      <w:bodyDiv w:val="1"/>
      <w:marLeft w:val="0"/>
      <w:marRight w:val="0"/>
      <w:marTop w:val="0"/>
      <w:marBottom w:val="0"/>
      <w:divBdr>
        <w:top w:val="none" w:sz="0" w:space="0" w:color="auto"/>
        <w:left w:val="none" w:sz="0" w:space="0" w:color="auto"/>
        <w:bottom w:val="none" w:sz="0" w:space="0" w:color="auto"/>
        <w:right w:val="none" w:sz="0" w:space="0" w:color="auto"/>
      </w:divBdr>
    </w:div>
    <w:div w:id="1641495224">
      <w:bodyDiv w:val="1"/>
      <w:marLeft w:val="0"/>
      <w:marRight w:val="0"/>
      <w:marTop w:val="0"/>
      <w:marBottom w:val="0"/>
      <w:divBdr>
        <w:top w:val="none" w:sz="0" w:space="0" w:color="auto"/>
        <w:left w:val="none" w:sz="0" w:space="0" w:color="auto"/>
        <w:bottom w:val="none" w:sz="0" w:space="0" w:color="auto"/>
        <w:right w:val="none" w:sz="0" w:space="0" w:color="auto"/>
      </w:divBdr>
    </w:div>
    <w:div w:id="1641498009">
      <w:bodyDiv w:val="1"/>
      <w:marLeft w:val="0"/>
      <w:marRight w:val="0"/>
      <w:marTop w:val="0"/>
      <w:marBottom w:val="0"/>
      <w:divBdr>
        <w:top w:val="none" w:sz="0" w:space="0" w:color="auto"/>
        <w:left w:val="none" w:sz="0" w:space="0" w:color="auto"/>
        <w:bottom w:val="none" w:sz="0" w:space="0" w:color="auto"/>
        <w:right w:val="none" w:sz="0" w:space="0" w:color="auto"/>
      </w:divBdr>
    </w:div>
    <w:div w:id="1641500619">
      <w:bodyDiv w:val="1"/>
      <w:marLeft w:val="0"/>
      <w:marRight w:val="0"/>
      <w:marTop w:val="0"/>
      <w:marBottom w:val="0"/>
      <w:divBdr>
        <w:top w:val="none" w:sz="0" w:space="0" w:color="auto"/>
        <w:left w:val="none" w:sz="0" w:space="0" w:color="auto"/>
        <w:bottom w:val="none" w:sz="0" w:space="0" w:color="auto"/>
        <w:right w:val="none" w:sz="0" w:space="0" w:color="auto"/>
      </w:divBdr>
    </w:div>
    <w:div w:id="1641761194">
      <w:bodyDiv w:val="1"/>
      <w:marLeft w:val="0"/>
      <w:marRight w:val="0"/>
      <w:marTop w:val="0"/>
      <w:marBottom w:val="0"/>
      <w:divBdr>
        <w:top w:val="none" w:sz="0" w:space="0" w:color="auto"/>
        <w:left w:val="none" w:sz="0" w:space="0" w:color="auto"/>
        <w:bottom w:val="none" w:sz="0" w:space="0" w:color="auto"/>
        <w:right w:val="none" w:sz="0" w:space="0" w:color="auto"/>
      </w:divBdr>
    </w:div>
    <w:div w:id="1642156392">
      <w:bodyDiv w:val="1"/>
      <w:marLeft w:val="0"/>
      <w:marRight w:val="0"/>
      <w:marTop w:val="0"/>
      <w:marBottom w:val="0"/>
      <w:divBdr>
        <w:top w:val="none" w:sz="0" w:space="0" w:color="auto"/>
        <w:left w:val="none" w:sz="0" w:space="0" w:color="auto"/>
        <w:bottom w:val="none" w:sz="0" w:space="0" w:color="auto"/>
        <w:right w:val="none" w:sz="0" w:space="0" w:color="auto"/>
      </w:divBdr>
    </w:div>
    <w:div w:id="1642541870">
      <w:bodyDiv w:val="1"/>
      <w:marLeft w:val="0"/>
      <w:marRight w:val="0"/>
      <w:marTop w:val="0"/>
      <w:marBottom w:val="0"/>
      <w:divBdr>
        <w:top w:val="none" w:sz="0" w:space="0" w:color="auto"/>
        <w:left w:val="none" w:sz="0" w:space="0" w:color="auto"/>
        <w:bottom w:val="none" w:sz="0" w:space="0" w:color="auto"/>
        <w:right w:val="none" w:sz="0" w:space="0" w:color="auto"/>
      </w:divBdr>
    </w:div>
    <w:div w:id="1642926836">
      <w:bodyDiv w:val="1"/>
      <w:marLeft w:val="0"/>
      <w:marRight w:val="0"/>
      <w:marTop w:val="0"/>
      <w:marBottom w:val="0"/>
      <w:divBdr>
        <w:top w:val="none" w:sz="0" w:space="0" w:color="auto"/>
        <w:left w:val="none" w:sz="0" w:space="0" w:color="auto"/>
        <w:bottom w:val="none" w:sz="0" w:space="0" w:color="auto"/>
        <w:right w:val="none" w:sz="0" w:space="0" w:color="auto"/>
      </w:divBdr>
    </w:div>
    <w:div w:id="1643197217">
      <w:bodyDiv w:val="1"/>
      <w:marLeft w:val="0"/>
      <w:marRight w:val="0"/>
      <w:marTop w:val="0"/>
      <w:marBottom w:val="0"/>
      <w:divBdr>
        <w:top w:val="none" w:sz="0" w:space="0" w:color="auto"/>
        <w:left w:val="none" w:sz="0" w:space="0" w:color="auto"/>
        <w:bottom w:val="none" w:sz="0" w:space="0" w:color="auto"/>
        <w:right w:val="none" w:sz="0" w:space="0" w:color="auto"/>
      </w:divBdr>
    </w:div>
    <w:div w:id="1643339869">
      <w:bodyDiv w:val="1"/>
      <w:marLeft w:val="0"/>
      <w:marRight w:val="0"/>
      <w:marTop w:val="0"/>
      <w:marBottom w:val="0"/>
      <w:divBdr>
        <w:top w:val="none" w:sz="0" w:space="0" w:color="auto"/>
        <w:left w:val="none" w:sz="0" w:space="0" w:color="auto"/>
        <w:bottom w:val="none" w:sz="0" w:space="0" w:color="auto"/>
        <w:right w:val="none" w:sz="0" w:space="0" w:color="auto"/>
      </w:divBdr>
    </w:div>
    <w:div w:id="1643342012">
      <w:bodyDiv w:val="1"/>
      <w:marLeft w:val="0"/>
      <w:marRight w:val="0"/>
      <w:marTop w:val="0"/>
      <w:marBottom w:val="0"/>
      <w:divBdr>
        <w:top w:val="none" w:sz="0" w:space="0" w:color="auto"/>
        <w:left w:val="none" w:sz="0" w:space="0" w:color="auto"/>
        <w:bottom w:val="none" w:sz="0" w:space="0" w:color="auto"/>
        <w:right w:val="none" w:sz="0" w:space="0" w:color="auto"/>
      </w:divBdr>
    </w:div>
    <w:div w:id="1643578397">
      <w:bodyDiv w:val="1"/>
      <w:marLeft w:val="0"/>
      <w:marRight w:val="0"/>
      <w:marTop w:val="0"/>
      <w:marBottom w:val="0"/>
      <w:divBdr>
        <w:top w:val="none" w:sz="0" w:space="0" w:color="auto"/>
        <w:left w:val="none" w:sz="0" w:space="0" w:color="auto"/>
        <w:bottom w:val="none" w:sz="0" w:space="0" w:color="auto"/>
        <w:right w:val="none" w:sz="0" w:space="0" w:color="auto"/>
      </w:divBdr>
    </w:div>
    <w:div w:id="1643927844">
      <w:bodyDiv w:val="1"/>
      <w:marLeft w:val="0"/>
      <w:marRight w:val="0"/>
      <w:marTop w:val="0"/>
      <w:marBottom w:val="0"/>
      <w:divBdr>
        <w:top w:val="none" w:sz="0" w:space="0" w:color="auto"/>
        <w:left w:val="none" w:sz="0" w:space="0" w:color="auto"/>
        <w:bottom w:val="none" w:sz="0" w:space="0" w:color="auto"/>
        <w:right w:val="none" w:sz="0" w:space="0" w:color="auto"/>
      </w:divBdr>
    </w:div>
    <w:div w:id="1643995774">
      <w:bodyDiv w:val="1"/>
      <w:marLeft w:val="0"/>
      <w:marRight w:val="0"/>
      <w:marTop w:val="0"/>
      <w:marBottom w:val="0"/>
      <w:divBdr>
        <w:top w:val="none" w:sz="0" w:space="0" w:color="auto"/>
        <w:left w:val="none" w:sz="0" w:space="0" w:color="auto"/>
        <w:bottom w:val="none" w:sz="0" w:space="0" w:color="auto"/>
        <w:right w:val="none" w:sz="0" w:space="0" w:color="auto"/>
      </w:divBdr>
    </w:div>
    <w:div w:id="1643996590">
      <w:bodyDiv w:val="1"/>
      <w:marLeft w:val="0"/>
      <w:marRight w:val="0"/>
      <w:marTop w:val="0"/>
      <w:marBottom w:val="0"/>
      <w:divBdr>
        <w:top w:val="none" w:sz="0" w:space="0" w:color="auto"/>
        <w:left w:val="none" w:sz="0" w:space="0" w:color="auto"/>
        <w:bottom w:val="none" w:sz="0" w:space="0" w:color="auto"/>
        <w:right w:val="none" w:sz="0" w:space="0" w:color="auto"/>
      </w:divBdr>
    </w:div>
    <w:div w:id="1644239675">
      <w:bodyDiv w:val="1"/>
      <w:marLeft w:val="0"/>
      <w:marRight w:val="0"/>
      <w:marTop w:val="0"/>
      <w:marBottom w:val="0"/>
      <w:divBdr>
        <w:top w:val="none" w:sz="0" w:space="0" w:color="auto"/>
        <w:left w:val="none" w:sz="0" w:space="0" w:color="auto"/>
        <w:bottom w:val="none" w:sz="0" w:space="0" w:color="auto"/>
        <w:right w:val="none" w:sz="0" w:space="0" w:color="auto"/>
      </w:divBdr>
    </w:div>
    <w:div w:id="1644501612">
      <w:bodyDiv w:val="1"/>
      <w:marLeft w:val="0"/>
      <w:marRight w:val="0"/>
      <w:marTop w:val="0"/>
      <w:marBottom w:val="0"/>
      <w:divBdr>
        <w:top w:val="none" w:sz="0" w:space="0" w:color="auto"/>
        <w:left w:val="none" w:sz="0" w:space="0" w:color="auto"/>
        <w:bottom w:val="none" w:sz="0" w:space="0" w:color="auto"/>
        <w:right w:val="none" w:sz="0" w:space="0" w:color="auto"/>
      </w:divBdr>
    </w:div>
    <w:div w:id="1644626120">
      <w:bodyDiv w:val="1"/>
      <w:marLeft w:val="0"/>
      <w:marRight w:val="0"/>
      <w:marTop w:val="0"/>
      <w:marBottom w:val="0"/>
      <w:divBdr>
        <w:top w:val="none" w:sz="0" w:space="0" w:color="auto"/>
        <w:left w:val="none" w:sz="0" w:space="0" w:color="auto"/>
        <w:bottom w:val="none" w:sz="0" w:space="0" w:color="auto"/>
        <w:right w:val="none" w:sz="0" w:space="0" w:color="auto"/>
      </w:divBdr>
    </w:div>
    <w:div w:id="1644770503">
      <w:bodyDiv w:val="1"/>
      <w:marLeft w:val="0"/>
      <w:marRight w:val="0"/>
      <w:marTop w:val="0"/>
      <w:marBottom w:val="0"/>
      <w:divBdr>
        <w:top w:val="none" w:sz="0" w:space="0" w:color="auto"/>
        <w:left w:val="none" w:sz="0" w:space="0" w:color="auto"/>
        <w:bottom w:val="none" w:sz="0" w:space="0" w:color="auto"/>
        <w:right w:val="none" w:sz="0" w:space="0" w:color="auto"/>
      </w:divBdr>
    </w:div>
    <w:div w:id="1645037222">
      <w:bodyDiv w:val="1"/>
      <w:marLeft w:val="0"/>
      <w:marRight w:val="0"/>
      <w:marTop w:val="0"/>
      <w:marBottom w:val="0"/>
      <w:divBdr>
        <w:top w:val="none" w:sz="0" w:space="0" w:color="auto"/>
        <w:left w:val="none" w:sz="0" w:space="0" w:color="auto"/>
        <w:bottom w:val="none" w:sz="0" w:space="0" w:color="auto"/>
        <w:right w:val="none" w:sz="0" w:space="0" w:color="auto"/>
      </w:divBdr>
    </w:div>
    <w:div w:id="1645040604">
      <w:bodyDiv w:val="1"/>
      <w:marLeft w:val="0"/>
      <w:marRight w:val="0"/>
      <w:marTop w:val="0"/>
      <w:marBottom w:val="0"/>
      <w:divBdr>
        <w:top w:val="none" w:sz="0" w:space="0" w:color="auto"/>
        <w:left w:val="none" w:sz="0" w:space="0" w:color="auto"/>
        <w:bottom w:val="none" w:sz="0" w:space="0" w:color="auto"/>
        <w:right w:val="none" w:sz="0" w:space="0" w:color="auto"/>
      </w:divBdr>
    </w:div>
    <w:div w:id="1645041544">
      <w:bodyDiv w:val="1"/>
      <w:marLeft w:val="0"/>
      <w:marRight w:val="0"/>
      <w:marTop w:val="0"/>
      <w:marBottom w:val="0"/>
      <w:divBdr>
        <w:top w:val="none" w:sz="0" w:space="0" w:color="auto"/>
        <w:left w:val="none" w:sz="0" w:space="0" w:color="auto"/>
        <w:bottom w:val="none" w:sz="0" w:space="0" w:color="auto"/>
        <w:right w:val="none" w:sz="0" w:space="0" w:color="auto"/>
      </w:divBdr>
    </w:div>
    <w:div w:id="1645046536">
      <w:bodyDiv w:val="1"/>
      <w:marLeft w:val="0"/>
      <w:marRight w:val="0"/>
      <w:marTop w:val="0"/>
      <w:marBottom w:val="0"/>
      <w:divBdr>
        <w:top w:val="none" w:sz="0" w:space="0" w:color="auto"/>
        <w:left w:val="none" w:sz="0" w:space="0" w:color="auto"/>
        <w:bottom w:val="none" w:sz="0" w:space="0" w:color="auto"/>
        <w:right w:val="none" w:sz="0" w:space="0" w:color="auto"/>
      </w:divBdr>
    </w:div>
    <w:div w:id="1645156874">
      <w:bodyDiv w:val="1"/>
      <w:marLeft w:val="0"/>
      <w:marRight w:val="0"/>
      <w:marTop w:val="0"/>
      <w:marBottom w:val="0"/>
      <w:divBdr>
        <w:top w:val="none" w:sz="0" w:space="0" w:color="auto"/>
        <w:left w:val="none" w:sz="0" w:space="0" w:color="auto"/>
        <w:bottom w:val="none" w:sz="0" w:space="0" w:color="auto"/>
        <w:right w:val="none" w:sz="0" w:space="0" w:color="auto"/>
      </w:divBdr>
    </w:div>
    <w:div w:id="1645306677">
      <w:bodyDiv w:val="1"/>
      <w:marLeft w:val="0"/>
      <w:marRight w:val="0"/>
      <w:marTop w:val="0"/>
      <w:marBottom w:val="0"/>
      <w:divBdr>
        <w:top w:val="none" w:sz="0" w:space="0" w:color="auto"/>
        <w:left w:val="none" w:sz="0" w:space="0" w:color="auto"/>
        <w:bottom w:val="none" w:sz="0" w:space="0" w:color="auto"/>
        <w:right w:val="none" w:sz="0" w:space="0" w:color="auto"/>
      </w:divBdr>
    </w:div>
    <w:div w:id="1645309781">
      <w:bodyDiv w:val="1"/>
      <w:marLeft w:val="0"/>
      <w:marRight w:val="0"/>
      <w:marTop w:val="0"/>
      <w:marBottom w:val="0"/>
      <w:divBdr>
        <w:top w:val="none" w:sz="0" w:space="0" w:color="auto"/>
        <w:left w:val="none" w:sz="0" w:space="0" w:color="auto"/>
        <w:bottom w:val="none" w:sz="0" w:space="0" w:color="auto"/>
        <w:right w:val="none" w:sz="0" w:space="0" w:color="auto"/>
      </w:divBdr>
    </w:div>
    <w:div w:id="1645574215">
      <w:bodyDiv w:val="1"/>
      <w:marLeft w:val="0"/>
      <w:marRight w:val="0"/>
      <w:marTop w:val="0"/>
      <w:marBottom w:val="0"/>
      <w:divBdr>
        <w:top w:val="none" w:sz="0" w:space="0" w:color="auto"/>
        <w:left w:val="none" w:sz="0" w:space="0" w:color="auto"/>
        <w:bottom w:val="none" w:sz="0" w:space="0" w:color="auto"/>
        <w:right w:val="none" w:sz="0" w:space="0" w:color="auto"/>
      </w:divBdr>
    </w:div>
    <w:div w:id="1645695412">
      <w:bodyDiv w:val="1"/>
      <w:marLeft w:val="0"/>
      <w:marRight w:val="0"/>
      <w:marTop w:val="0"/>
      <w:marBottom w:val="0"/>
      <w:divBdr>
        <w:top w:val="none" w:sz="0" w:space="0" w:color="auto"/>
        <w:left w:val="none" w:sz="0" w:space="0" w:color="auto"/>
        <w:bottom w:val="none" w:sz="0" w:space="0" w:color="auto"/>
        <w:right w:val="none" w:sz="0" w:space="0" w:color="auto"/>
      </w:divBdr>
    </w:div>
    <w:div w:id="1645817275">
      <w:bodyDiv w:val="1"/>
      <w:marLeft w:val="0"/>
      <w:marRight w:val="0"/>
      <w:marTop w:val="0"/>
      <w:marBottom w:val="0"/>
      <w:divBdr>
        <w:top w:val="none" w:sz="0" w:space="0" w:color="auto"/>
        <w:left w:val="none" w:sz="0" w:space="0" w:color="auto"/>
        <w:bottom w:val="none" w:sz="0" w:space="0" w:color="auto"/>
        <w:right w:val="none" w:sz="0" w:space="0" w:color="auto"/>
      </w:divBdr>
    </w:div>
    <w:div w:id="1646078784">
      <w:bodyDiv w:val="1"/>
      <w:marLeft w:val="0"/>
      <w:marRight w:val="0"/>
      <w:marTop w:val="0"/>
      <w:marBottom w:val="0"/>
      <w:divBdr>
        <w:top w:val="none" w:sz="0" w:space="0" w:color="auto"/>
        <w:left w:val="none" w:sz="0" w:space="0" w:color="auto"/>
        <w:bottom w:val="none" w:sz="0" w:space="0" w:color="auto"/>
        <w:right w:val="none" w:sz="0" w:space="0" w:color="auto"/>
      </w:divBdr>
    </w:div>
    <w:div w:id="1646468245">
      <w:bodyDiv w:val="1"/>
      <w:marLeft w:val="0"/>
      <w:marRight w:val="0"/>
      <w:marTop w:val="0"/>
      <w:marBottom w:val="0"/>
      <w:divBdr>
        <w:top w:val="none" w:sz="0" w:space="0" w:color="auto"/>
        <w:left w:val="none" w:sz="0" w:space="0" w:color="auto"/>
        <w:bottom w:val="none" w:sz="0" w:space="0" w:color="auto"/>
        <w:right w:val="none" w:sz="0" w:space="0" w:color="auto"/>
      </w:divBdr>
    </w:div>
    <w:div w:id="1646545529">
      <w:bodyDiv w:val="1"/>
      <w:marLeft w:val="0"/>
      <w:marRight w:val="0"/>
      <w:marTop w:val="0"/>
      <w:marBottom w:val="0"/>
      <w:divBdr>
        <w:top w:val="none" w:sz="0" w:space="0" w:color="auto"/>
        <w:left w:val="none" w:sz="0" w:space="0" w:color="auto"/>
        <w:bottom w:val="none" w:sz="0" w:space="0" w:color="auto"/>
        <w:right w:val="none" w:sz="0" w:space="0" w:color="auto"/>
      </w:divBdr>
    </w:div>
    <w:div w:id="1646859879">
      <w:bodyDiv w:val="1"/>
      <w:marLeft w:val="0"/>
      <w:marRight w:val="0"/>
      <w:marTop w:val="0"/>
      <w:marBottom w:val="0"/>
      <w:divBdr>
        <w:top w:val="none" w:sz="0" w:space="0" w:color="auto"/>
        <w:left w:val="none" w:sz="0" w:space="0" w:color="auto"/>
        <w:bottom w:val="none" w:sz="0" w:space="0" w:color="auto"/>
        <w:right w:val="none" w:sz="0" w:space="0" w:color="auto"/>
      </w:divBdr>
    </w:div>
    <w:div w:id="1647007198">
      <w:bodyDiv w:val="1"/>
      <w:marLeft w:val="0"/>
      <w:marRight w:val="0"/>
      <w:marTop w:val="0"/>
      <w:marBottom w:val="0"/>
      <w:divBdr>
        <w:top w:val="none" w:sz="0" w:space="0" w:color="auto"/>
        <w:left w:val="none" w:sz="0" w:space="0" w:color="auto"/>
        <w:bottom w:val="none" w:sz="0" w:space="0" w:color="auto"/>
        <w:right w:val="none" w:sz="0" w:space="0" w:color="auto"/>
      </w:divBdr>
    </w:div>
    <w:div w:id="1647051423">
      <w:bodyDiv w:val="1"/>
      <w:marLeft w:val="0"/>
      <w:marRight w:val="0"/>
      <w:marTop w:val="0"/>
      <w:marBottom w:val="0"/>
      <w:divBdr>
        <w:top w:val="none" w:sz="0" w:space="0" w:color="auto"/>
        <w:left w:val="none" w:sz="0" w:space="0" w:color="auto"/>
        <w:bottom w:val="none" w:sz="0" w:space="0" w:color="auto"/>
        <w:right w:val="none" w:sz="0" w:space="0" w:color="auto"/>
      </w:divBdr>
    </w:div>
    <w:div w:id="1647052372">
      <w:bodyDiv w:val="1"/>
      <w:marLeft w:val="0"/>
      <w:marRight w:val="0"/>
      <w:marTop w:val="0"/>
      <w:marBottom w:val="0"/>
      <w:divBdr>
        <w:top w:val="none" w:sz="0" w:space="0" w:color="auto"/>
        <w:left w:val="none" w:sz="0" w:space="0" w:color="auto"/>
        <w:bottom w:val="none" w:sz="0" w:space="0" w:color="auto"/>
        <w:right w:val="none" w:sz="0" w:space="0" w:color="auto"/>
      </w:divBdr>
    </w:div>
    <w:div w:id="1647081914">
      <w:bodyDiv w:val="1"/>
      <w:marLeft w:val="0"/>
      <w:marRight w:val="0"/>
      <w:marTop w:val="0"/>
      <w:marBottom w:val="0"/>
      <w:divBdr>
        <w:top w:val="none" w:sz="0" w:space="0" w:color="auto"/>
        <w:left w:val="none" w:sz="0" w:space="0" w:color="auto"/>
        <w:bottom w:val="none" w:sz="0" w:space="0" w:color="auto"/>
        <w:right w:val="none" w:sz="0" w:space="0" w:color="auto"/>
      </w:divBdr>
    </w:div>
    <w:div w:id="1647276121">
      <w:bodyDiv w:val="1"/>
      <w:marLeft w:val="0"/>
      <w:marRight w:val="0"/>
      <w:marTop w:val="0"/>
      <w:marBottom w:val="0"/>
      <w:divBdr>
        <w:top w:val="none" w:sz="0" w:space="0" w:color="auto"/>
        <w:left w:val="none" w:sz="0" w:space="0" w:color="auto"/>
        <w:bottom w:val="none" w:sz="0" w:space="0" w:color="auto"/>
        <w:right w:val="none" w:sz="0" w:space="0" w:color="auto"/>
      </w:divBdr>
    </w:div>
    <w:div w:id="1647314692">
      <w:bodyDiv w:val="1"/>
      <w:marLeft w:val="0"/>
      <w:marRight w:val="0"/>
      <w:marTop w:val="0"/>
      <w:marBottom w:val="0"/>
      <w:divBdr>
        <w:top w:val="none" w:sz="0" w:space="0" w:color="auto"/>
        <w:left w:val="none" w:sz="0" w:space="0" w:color="auto"/>
        <w:bottom w:val="none" w:sz="0" w:space="0" w:color="auto"/>
        <w:right w:val="none" w:sz="0" w:space="0" w:color="auto"/>
      </w:divBdr>
    </w:div>
    <w:div w:id="1647318834">
      <w:bodyDiv w:val="1"/>
      <w:marLeft w:val="0"/>
      <w:marRight w:val="0"/>
      <w:marTop w:val="0"/>
      <w:marBottom w:val="0"/>
      <w:divBdr>
        <w:top w:val="none" w:sz="0" w:space="0" w:color="auto"/>
        <w:left w:val="none" w:sz="0" w:space="0" w:color="auto"/>
        <w:bottom w:val="none" w:sz="0" w:space="0" w:color="auto"/>
        <w:right w:val="none" w:sz="0" w:space="0" w:color="auto"/>
      </w:divBdr>
    </w:div>
    <w:div w:id="1647389353">
      <w:bodyDiv w:val="1"/>
      <w:marLeft w:val="0"/>
      <w:marRight w:val="0"/>
      <w:marTop w:val="0"/>
      <w:marBottom w:val="0"/>
      <w:divBdr>
        <w:top w:val="none" w:sz="0" w:space="0" w:color="auto"/>
        <w:left w:val="none" w:sz="0" w:space="0" w:color="auto"/>
        <w:bottom w:val="none" w:sz="0" w:space="0" w:color="auto"/>
        <w:right w:val="none" w:sz="0" w:space="0" w:color="auto"/>
      </w:divBdr>
    </w:div>
    <w:div w:id="1647542208">
      <w:bodyDiv w:val="1"/>
      <w:marLeft w:val="0"/>
      <w:marRight w:val="0"/>
      <w:marTop w:val="0"/>
      <w:marBottom w:val="0"/>
      <w:divBdr>
        <w:top w:val="none" w:sz="0" w:space="0" w:color="auto"/>
        <w:left w:val="none" w:sz="0" w:space="0" w:color="auto"/>
        <w:bottom w:val="none" w:sz="0" w:space="0" w:color="auto"/>
        <w:right w:val="none" w:sz="0" w:space="0" w:color="auto"/>
      </w:divBdr>
    </w:div>
    <w:div w:id="1647735340">
      <w:bodyDiv w:val="1"/>
      <w:marLeft w:val="0"/>
      <w:marRight w:val="0"/>
      <w:marTop w:val="0"/>
      <w:marBottom w:val="0"/>
      <w:divBdr>
        <w:top w:val="none" w:sz="0" w:space="0" w:color="auto"/>
        <w:left w:val="none" w:sz="0" w:space="0" w:color="auto"/>
        <w:bottom w:val="none" w:sz="0" w:space="0" w:color="auto"/>
        <w:right w:val="none" w:sz="0" w:space="0" w:color="auto"/>
      </w:divBdr>
    </w:div>
    <w:div w:id="1647860547">
      <w:bodyDiv w:val="1"/>
      <w:marLeft w:val="0"/>
      <w:marRight w:val="0"/>
      <w:marTop w:val="0"/>
      <w:marBottom w:val="0"/>
      <w:divBdr>
        <w:top w:val="none" w:sz="0" w:space="0" w:color="auto"/>
        <w:left w:val="none" w:sz="0" w:space="0" w:color="auto"/>
        <w:bottom w:val="none" w:sz="0" w:space="0" w:color="auto"/>
        <w:right w:val="none" w:sz="0" w:space="0" w:color="auto"/>
      </w:divBdr>
    </w:div>
    <w:div w:id="1647926876">
      <w:bodyDiv w:val="1"/>
      <w:marLeft w:val="0"/>
      <w:marRight w:val="0"/>
      <w:marTop w:val="0"/>
      <w:marBottom w:val="0"/>
      <w:divBdr>
        <w:top w:val="none" w:sz="0" w:space="0" w:color="auto"/>
        <w:left w:val="none" w:sz="0" w:space="0" w:color="auto"/>
        <w:bottom w:val="none" w:sz="0" w:space="0" w:color="auto"/>
        <w:right w:val="none" w:sz="0" w:space="0" w:color="auto"/>
      </w:divBdr>
    </w:div>
    <w:div w:id="1648046721">
      <w:bodyDiv w:val="1"/>
      <w:marLeft w:val="0"/>
      <w:marRight w:val="0"/>
      <w:marTop w:val="0"/>
      <w:marBottom w:val="0"/>
      <w:divBdr>
        <w:top w:val="none" w:sz="0" w:space="0" w:color="auto"/>
        <w:left w:val="none" w:sz="0" w:space="0" w:color="auto"/>
        <w:bottom w:val="none" w:sz="0" w:space="0" w:color="auto"/>
        <w:right w:val="none" w:sz="0" w:space="0" w:color="auto"/>
      </w:divBdr>
    </w:div>
    <w:div w:id="1648123315">
      <w:bodyDiv w:val="1"/>
      <w:marLeft w:val="0"/>
      <w:marRight w:val="0"/>
      <w:marTop w:val="0"/>
      <w:marBottom w:val="0"/>
      <w:divBdr>
        <w:top w:val="none" w:sz="0" w:space="0" w:color="auto"/>
        <w:left w:val="none" w:sz="0" w:space="0" w:color="auto"/>
        <w:bottom w:val="none" w:sz="0" w:space="0" w:color="auto"/>
        <w:right w:val="none" w:sz="0" w:space="0" w:color="auto"/>
      </w:divBdr>
    </w:div>
    <w:div w:id="1648127498">
      <w:bodyDiv w:val="1"/>
      <w:marLeft w:val="0"/>
      <w:marRight w:val="0"/>
      <w:marTop w:val="0"/>
      <w:marBottom w:val="0"/>
      <w:divBdr>
        <w:top w:val="none" w:sz="0" w:space="0" w:color="auto"/>
        <w:left w:val="none" w:sz="0" w:space="0" w:color="auto"/>
        <w:bottom w:val="none" w:sz="0" w:space="0" w:color="auto"/>
        <w:right w:val="none" w:sz="0" w:space="0" w:color="auto"/>
      </w:divBdr>
    </w:div>
    <w:div w:id="1648171293">
      <w:bodyDiv w:val="1"/>
      <w:marLeft w:val="0"/>
      <w:marRight w:val="0"/>
      <w:marTop w:val="0"/>
      <w:marBottom w:val="0"/>
      <w:divBdr>
        <w:top w:val="none" w:sz="0" w:space="0" w:color="auto"/>
        <w:left w:val="none" w:sz="0" w:space="0" w:color="auto"/>
        <w:bottom w:val="none" w:sz="0" w:space="0" w:color="auto"/>
        <w:right w:val="none" w:sz="0" w:space="0" w:color="auto"/>
      </w:divBdr>
    </w:div>
    <w:div w:id="1648317065">
      <w:bodyDiv w:val="1"/>
      <w:marLeft w:val="0"/>
      <w:marRight w:val="0"/>
      <w:marTop w:val="0"/>
      <w:marBottom w:val="0"/>
      <w:divBdr>
        <w:top w:val="none" w:sz="0" w:space="0" w:color="auto"/>
        <w:left w:val="none" w:sz="0" w:space="0" w:color="auto"/>
        <w:bottom w:val="none" w:sz="0" w:space="0" w:color="auto"/>
        <w:right w:val="none" w:sz="0" w:space="0" w:color="auto"/>
      </w:divBdr>
    </w:div>
    <w:div w:id="1648507323">
      <w:bodyDiv w:val="1"/>
      <w:marLeft w:val="0"/>
      <w:marRight w:val="0"/>
      <w:marTop w:val="0"/>
      <w:marBottom w:val="0"/>
      <w:divBdr>
        <w:top w:val="none" w:sz="0" w:space="0" w:color="auto"/>
        <w:left w:val="none" w:sz="0" w:space="0" w:color="auto"/>
        <w:bottom w:val="none" w:sz="0" w:space="0" w:color="auto"/>
        <w:right w:val="none" w:sz="0" w:space="0" w:color="auto"/>
      </w:divBdr>
    </w:div>
    <w:div w:id="1648893574">
      <w:bodyDiv w:val="1"/>
      <w:marLeft w:val="0"/>
      <w:marRight w:val="0"/>
      <w:marTop w:val="0"/>
      <w:marBottom w:val="0"/>
      <w:divBdr>
        <w:top w:val="none" w:sz="0" w:space="0" w:color="auto"/>
        <w:left w:val="none" w:sz="0" w:space="0" w:color="auto"/>
        <w:bottom w:val="none" w:sz="0" w:space="0" w:color="auto"/>
        <w:right w:val="none" w:sz="0" w:space="0" w:color="auto"/>
      </w:divBdr>
    </w:div>
    <w:div w:id="1649018844">
      <w:bodyDiv w:val="1"/>
      <w:marLeft w:val="0"/>
      <w:marRight w:val="0"/>
      <w:marTop w:val="0"/>
      <w:marBottom w:val="0"/>
      <w:divBdr>
        <w:top w:val="none" w:sz="0" w:space="0" w:color="auto"/>
        <w:left w:val="none" w:sz="0" w:space="0" w:color="auto"/>
        <w:bottom w:val="none" w:sz="0" w:space="0" w:color="auto"/>
        <w:right w:val="none" w:sz="0" w:space="0" w:color="auto"/>
      </w:divBdr>
    </w:div>
    <w:div w:id="1649170900">
      <w:bodyDiv w:val="1"/>
      <w:marLeft w:val="0"/>
      <w:marRight w:val="0"/>
      <w:marTop w:val="0"/>
      <w:marBottom w:val="0"/>
      <w:divBdr>
        <w:top w:val="none" w:sz="0" w:space="0" w:color="auto"/>
        <w:left w:val="none" w:sz="0" w:space="0" w:color="auto"/>
        <w:bottom w:val="none" w:sz="0" w:space="0" w:color="auto"/>
        <w:right w:val="none" w:sz="0" w:space="0" w:color="auto"/>
      </w:divBdr>
    </w:div>
    <w:div w:id="1649360157">
      <w:bodyDiv w:val="1"/>
      <w:marLeft w:val="0"/>
      <w:marRight w:val="0"/>
      <w:marTop w:val="0"/>
      <w:marBottom w:val="0"/>
      <w:divBdr>
        <w:top w:val="none" w:sz="0" w:space="0" w:color="auto"/>
        <w:left w:val="none" w:sz="0" w:space="0" w:color="auto"/>
        <w:bottom w:val="none" w:sz="0" w:space="0" w:color="auto"/>
        <w:right w:val="none" w:sz="0" w:space="0" w:color="auto"/>
      </w:divBdr>
    </w:div>
    <w:div w:id="1650011967">
      <w:bodyDiv w:val="1"/>
      <w:marLeft w:val="0"/>
      <w:marRight w:val="0"/>
      <w:marTop w:val="0"/>
      <w:marBottom w:val="0"/>
      <w:divBdr>
        <w:top w:val="none" w:sz="0" w:space="0" w:color="auto"/>
        <w:left w:val="none" w:sz="0" w:space="0" w:color="auto"/>
        <w:bottom w:val="none" w:sz="0" w:space="0" w:color="auto"/>
        <w:right w:val="none" w:sz="0" w:space="0" w:color="auto"/>
      </w:divBdr>
    </w:div>
    <w:div w:id="1650283381">
      <w:bodyDiv w:val="1"/>
      <w:marLeft w:val="0"/>
      <w:marRight w:val="0"/>
      <w:marTop w:val="0"/>
      <w:marBottom w:val="0"/>
      <w:divBdr>
        <w:top w:val="none" w:sz="0" w:space="0" w:color="auto"/>
        <w:left w:val="none" w:sz="0" w:space="0" w:color="auto"/>
        <w:bottom w:val="none" w:sz="0" w:space="0" w:color="auto"/>
        <w:right w:val="none" w:sz="0" w:space="0" w:color="auto"/>
      </w:divBdr>
    </w:div>
    <w:div w:id="1650331242">
      <w:bodyDiv w:val="1"/>
      <w:marLeft w:val="0"/>
      <w:marRight w:val="0"/>
      <w:marTop w:val="0"/>
      <w:marBottom w:val="0"/>
      <w:divBdr>
        <w:top w:val="none" w:sz="0" w:space="0" w:color="auto"/>
        <w:left w:val="none" w:sz="0" w:space="0" w:color="auto"/>
        <w:bottom w:val="none" w:sz="0" w:space="0" w:color="auto"/>
        <w:right w:val="none" w:sz="0" w:space="0" w:color="auto"/>
      </w:divBdr>
    </w:div>
    <w:div w:id="1650400537">
      <w:bodyDiv w:val="1"/>
      <w:marLeft w:val="0"/>
      <w:marRight w:val="0"/>
      <w:marTop w:val="0"/>
      <w:marBottom w:val="0"/>
      <w:divBdr>
        <w:top w:val="none" w:sz="0" w:space="0" w:color="auto"/>
        <w:left w:val="none" w:sz="0" w:space="0" w:color="auto"/>
        <w:bottom w:val="none" w:sz="0" w:space="0" w:color="auto"/>
        <w:right w:val="none" w:sz="0" w:space="0" w:color="auto"/>
      </w:divBdr>
    </w:div>
    <w:div w:id="1650473908">
      <w:bodyDiv w:val="1"/>
      <w:marLeft w:val="0"/>
      <w:marRight w:val="0"/>
      <w:marTop w:val="0"/>
      <w:marBottom w:val="0"/>
      <w:divBdr>
        <w:top w:val="none" w:sz="0" w:space="0" w:color="auto"/>
        <w:left w:val="none" w:sz="0" w:space="0" w:color="auto"/>
        <w:bottom w:val="none" w:sz="0" w:space="0" w:color="auto"/>
        <w:right w:val="none" w:sz="0" w:space="0" w:color="auto"/>
      </w:divBdr>
    </w:div>
    <w:div w:id="1650555212">
      <w:bodyDiv w:val="1"/>
      <w:marLeft w:val="0"/>
      <w:marRight w:val="0"/>
      <w:marTop w:val="0"/>
      <w:marBottom w:val="0"/>
      <w:divBdr>
        <w:top w:val="none" w:sz="0" w:space="0" w:color="auto"/>
        <w:left w:val="none" w:sz="0" w:space="0" w:color="auto"/>
        <w:bottom w:val="none" w:sz="0" w:space="0" w:color="auto"/>
        <w:right w:val="none" w:sz="0" w:space="0" w:color="auto"/>
      </w:divBdr>
    </w:div>
    <w:div w:id="1650596710">
      <w:bodyDiv w:val="1"/>
      <w:marLeft w:val="0"/>
      <w:marRight w:val="0"/>
      <w:marTop w:val="0"/>
      <w:marBottom w:val="0"/>
      <w:divBdr>
        <w:top w:val="none" w:sz="0" w:space="0" w:color="auto"/>
        <w:left w:val="none" w:sz="0" w:space="0" w:color="auto"/>
        <w:bottom w:val="none" w:sz="0" w:space="0" w:color="auto"/>
        <w:right w:val="none" w:sz="0" w:space="0" w:color="auto"/>
      </w:divBdr>
    </w:div>
    <w:div w:id="1650666488">
      <w:bodyDiv w:val="1"/>
      <w:marLeft w:val="0"/>
      <w:marRight w:val="0"/>
      <w:marTop w:val="0"/>
      <w:marBottom w:val="0"/>
      <w:divBdr>
        <w:top w:val="none" w:sz="0" w:space="0" w:color="auto"/>
        <w:left w:val="none" w:sz="0" w:space="0" w:color="auto"/>
        <w:bottom w:val="none" w:sz="0" w:space="0" w:color="auto"/>
        <w:right w:val="none" w:sz="0" w:space="0" w:color="auto"/>
      </w:divBdr>
    </w:div>
    <w:div w:id="1651055778">
      <w:bodyDiv w:val="1"/>
      <w:marLeft w:val="0"/>
      <w:marRight w:val="0"/>
      <w:marTop w:val="0"/>
      <w:marBottom w:val="0"/>
      <w:divBdr>
        <w:top w:val="none" w:sz="0" w:space="0" w:color="auto"/>
        <w:left w:val="none" w:sz="0" w:space="0" w:color="auto"/>
        <w:bottom w:val="none" w:sz="0" w:space="0" w:color="auto"/>
        <w:right w:val="none" w:sz="0" w:space="0" w:color="auto"/>
      </w:divBdr>
    </w:div>
    <w:div w:id="1651520926">
      <w:bodyDiv w:val="1"/>
      <w:marLeft w:val="0"/>
      <w:marRight w:val="0"/>
      <w:marTop w:val="0"/>
      <w:marBottom w:val="0"/>
      <w:divBdr>
        <w:top w:val="none" w:sz="0" w:space="0" w:color="auto"/>
        <w:left w:val="none" w:sz="0" w:space="0" w:color="auto"/>
        <w:bottom w:val="none" w:sz="0" w:space="0" w:color="auto"/>
        <w:right w:val="none" w:sz="0" w:space="0" w:color="auto"/>
      </w:divBdr>
    </w:div>
    <w:div w:id="1651978311">
      <w:bodyDiv w:val="1"/>
      <w:marLeft w:val="0"/>
      <w:marRight w:val="0"/>
      <w:marTop w:val="0"/>
      <w:marBottom w:val="0"/>
      <w:divBdr>
        <w:top w:val="none" w:sz="0" w:space="0" w:color="auto"/>
        <w:left w:val="none" w:sz="0" w:space="0" w:color="auto"/>
        <w:bottom w:val="none" w:sz="0" w:space="0" w:color="auto"/>
        <w:right w:val="none" w:sz="0" w:space="0" w:color="auto"/>
      </w:divBdr>
    </w:div>
    <w:div w:id="1652246220">
      <w:bodyDiv w:val="1"/>
      <w:marLeft w:val="0"/>
      <w:marRight w:val="0"/>
      <w:marTop w:val="0"/>
      <w:marBottom w:val="0"/>
      <w:divBdr>
        <w:top w:val="none" w:sz="0" w:space="0" w:color="auto"/>
        <w:left w:val="none" w:sz="0" w:space="0" w:color="auto"/>
        <w:bottom w:val="none" w:sz="0" w:space="0" w:color="auto"/>
        <w:right w:val="none" w:sz="0" w:space="0" w:color="auto"/>
      </w:divBdr>
    </w:div>
    <w:div w:id="1652326373">
      <w:bodyDiv w:val="1"/>
      <w:marLeft w:val="0"/>
      <w:marRight w:val="0"/>
      <w:marTop w:val="0"/>
      <w:marBottom w:val="0"/>
      <w:divBdr>
        <w:top w:val="none" w:sz="0" w:space="0" w:color="auto"/>
        <w:left w:val="none" w:sz="0" w:space="0" w:color="auto"/>
        <w:bottom w:val="none" w:sz="0" w:space="0" w:color="auto"/>
        <w:right w:val="none" w:sz="0" w:space="0" w:color="auto"/>
      </w:divBdr>
    </w:div>
    <w:div w:id="1652444464">
      <w:bodyDiv w:val="1"/>
      <w:marLeft w:val="0"/>
      <w:marRight w:val="0"/>
      <w:marTop w:val="0"/>
      <w:marBottom w:val="0"/>
      <w:divBdr>
        <w:top w:val="none" w:sz="0" w:space="0" w:color="auto"/>
        <w:left w:val="none" w:sz="0" w:space="0" w:color="auto"/>
        <w:bottom w:val="none" w:sz="0" w:space="0" w:color="auto"/>
        <w:right w:val="none" w:sz="0" w:space="0" w:color="auto"/>
      </w:divBdr>
    </w:div>
    <w:div w:id="1652712325">
      <w:bodyDiv w:val="1"/>
      <w:marLeft w:val="0"/>
      <w:marRight w:val="0"/>
      <w:marTop w:val="0"/>
      <w:marBottom w:val="0"/>
      <w:divBdr>
        <w:top w:val="none" w:sz="0" w:space="0" w:color="auto"/>
        <w:left w:val="none" w:sz="0" w:space="0" w:color="auto"/>
        <w:bottom w:val="none" w:sz="0" w:space="0" w:color="auto"/>
        <w:right w:val="none" w:sz="0" w:space="0" w:color="auto"/>
      </w:divBdr>
    </w:div>
    <w:div w:id="1652832236">
      <w:bodyDiv w:val="1"/>
      <w:marLeft w:val="0"/>
      <w:marRight w:val="0"/>
      <w:marTop w:val="0"/>
      <w:marBottom w:val="0"/>
      <w:divBdr>
        <w:top w:val="none" w:sz="0" w:space="0" w:color="auto"/>
        <w:left w:val="none" w:sz="0" w:space="0" w:color="auto"/>
        <w:bottom w:val="none" w:sz="0" w:space="0" w:color="auto"/>
        <w:right w:val="none" w:sz="0" w:space="0" w:color="auto"/>
      </w:divBdr>
    </w:div>
    <w:div w:id="1652906478">
      <w:bodyDiv w:val="1"/>
      <w:marLeft w:val="0"/>
      <w:marRight w:val="0"/>
      <w:marTop w:val="0"/>
      <w:marBottom w:val="0"/>
      <w:divBdr>
        <w:top w:val="none" w:sz="0" w:space="0" w:color="auto"/>
        <w:left w:val="none" w:sz="0" w:space="0" w:color="auto"/>
        <w:bottom w:val="none" w:sz="0" w:space="0" w:color="auto"/>
        <w:right w:val="none" w:sz="0" w:space="0" w:color="auto"/>
      </w:divBdr>
    </w:div>
    <w:div w:id="1652909233">
      <w:bodyDiv w:val="1"/>
      <w:marLeft w:val="0"/>
      <w:marRight w:val="0"/>
      <w:marTop w:val="0"/>
      <w:marBottom w:val="0"/>
      <w:divBdr>
        <w:top w:val="none" w:sz="0" w:space="0" w:color="auto"/>
        <w:left w:val="none" w:sz="0" w:space="0" w:color="auto"/>
        <w:bottom w:val="none" w:sz="0" w:space="0" w:color="auto"/>
        <w:right w:val="none" w:sz="0" w:space="0" w:color="auto"/>
      </w:divBdr>
    </w:div>
    <w:div w:id="1652949838">
      <w:bodyDiv w:val="1"/>
      <w:marLeft w:val="0"/>
      <w:marRight w:val="0"/>
      <w:marTop w:val="0"/>
      <w:marBottom w:val="0"/>
      <w:divBdr>
        <w:top w:val="none" w:sz="0" w:space="0" w:color="auto"/>
        <w:left w:val="none" w:sz="0" w:space="0" w:color="auto"/>
        <w:bottom w:val="none" w:sz="0" w:space="0" w:color="auto"/>
        <w:right w:val="none" w:sz="0" w:space="0" w:color="auto"/>
      </w:divBdr>
    </w:div>
    <w:div w:id="1652979130">
      <w:bodyDiv w:val="1"/>
      <w:marLeft w:val="0"/>
      <w:marRight w:val="0"/>
      <w:marTop w:val="0"/>
      <w:marBottom w:val="0"/>
      <w:divBdr>
        <w:top w:val="none" w:sz="0" w:space="0" w:color="auto"/>
        <w:left w:val="none" w:sz="0" w:space="0" w:color="auto"/>
        <w:bottom w:val="none" w:sz="0" w:space="0" w:color="auto"/>
        <w:right w:val="none" w:sz="0" w:space="0" w:color="auto"/>
      </w:divBdr>
    </w:div>
    <w:div w:id="1652980725">
      <w:bodyDiv w:val="1"/>
      <w:marLeft w:val="0"/>
      <w:marRight w:val="0"/>
      <w:marTop w:val="0"/>
      <w:marBottom w:val="0"/>
      <w:divBdr>
        <w:top w:val="none" w:sz="0" w:space="0" w:color="auto"/>
        <w:left w:val="none" w:sz="0" w:space="0" w:color="auto"/>
        <w:bottom w:val="none" w:sz="0" w:space="0" w:color="auto"/>
        <w:right w:val="none" w:sz="0" w:space="0" w:color="auto"/>
      </w:divBdr>
    </w:div>
    <w:div w:id="1653100881">
      <w:bodyDiv w:val="1"/>
      <w:marLeft w:val="0"/>
      <w:marRight w:val="0"/>
      <w:marTop w:val="0"/>
      <w:marBottom w:val="0"/>
      <w:divBdr>
        <w:top w:val="none" w:sz="0" w:space="0" w:color="auto"/>
        <w:left w:val="none" w:sz="0" w:space="0" w:color="auto"/>
        <w:bottom w:val="none" w:sz="0" w:space="0" w:color="auto"/>
        <w:right w:val="none" w:sz="0" w:space="0" w:color="auto"/>
      </w:divBdr>
    </w:div>
    <w:div w:id="1653218168">
      <w:bodyDiv w:val="1"/>
      <w:marLeft w:val="0"/>
      <w:marRight w:val="0"/>
      <w:marTop w:val="0"/>
      <w:marBottom w:val="0"/>
      <w:divBdr>
        <w:top w:val="none" w:sz="0" w:space="0" w:color="auto"/>
        <w:left w:val="none" w:sz="0" w:space="0" w:color="auto"/>
        <w:bottom w:val="none" w:sz="0" w:space="0" w:color="auto"/>
        <w:right w:val="none" w:sz="0" w:space="0" w:color="auto"/>
      </w:divBdr>
    </w:div>
    <w:div w:id="1653486454">
      <w:bodyDiv w:val="1"/>
      <w:marLeft w:val="0"/>
      <w:marRight w:val="0"/>
      <w:marTop w:val="0"/>
      <w:marBottom w:val="0"/>
      <w:divBdr>
        <w:top w:val="none" w:sz="0" w:space="0" w:color="auto"/>
        <w:left w:val="none" w:sz="0" w:space="0" w:color="auto"/>
        <w:bottom w:val="none" w:sz="0" w:space="0" w:color="auto"/>
        <w:right w:val="none" w:sz="0" w:space="0" w:color="auto"/>
      </w:divBdr>
    </w:div>
    <w:div w:id="1653564390">
      <w:bodyDiv w:val="1"/>
      <w:marLeft w:val="0"/>
      <w:marRight w:val="0"/>
      <w:marTop w:val="0"/>
      <w:marBottom w:val="0"/>
      <w:divBdr>
        <w:top w:val="none" w:sz="0" w:space="0" w:color="auto"/>
        <w:left w:val="none" w:sz="0" w:space="0" w:color="auto"/>
        <w:bottom w:val="none" w:sz="0" w:space="0" w:color="auto"/>
        <w:right w:val="none" w:sz="0" w:space="0" w:color="auto"/>
      </w:divBdr>
    </w:div>
    <w:div w:id="1653947709">
      <w:bodyDiv w:val="1"/>
      <w:marLeft w:val="0"/>
      <w:marRight w:val="0"/>
      <w:marTop w:val="0"/>
      <w:marBottom w:val="0"/>
      <w:divBdr>
        <w:top w:val="none" w:sz="0" w:space="0" w:color="auto"/>
        <w:left w:val="none" w:sz="0" w:space="0" w:color="auto"/>
        <w:bottom w:val="none" w:sz="0" w:space="0" w:color="auto"/>
        <w:right w:val="none" w:sz="0" w:space="0" w:color="auto"/>
      </w:divBdr>
    </w:div>
    <w:div w:id="1654211696">
      <w:bodyDiv w:val="1"/>
      <w:marLeft w:val="0"/>
      <w:marRight w:val="0"/>
      <w:marTop w:val="0"/>
      <w:marBottom w:val="0"/>
      <w:divBdr>
        <w:top w:val="none" w:sz="0" w:space="0" w:color="auto"/>
        <w:left w:val="none" w:sz="0" w:space="0" w:color="auto"/>
        <w:bottom w:val="none" w:sz="0" w:space="0" w:color="auto"/>
        <w:right w:val="none" w:sz="0" w:space="0" w:color="auto"/>
      </w:divBdr>
    </w:div>
    <w:div w:id="1654480328">
      <w:bodyDiv w:val="1"/>
      <w:marLeft w:val="0"/>
      <w:marRight w:val="0"/>
      <w:marTop w:val="0"/>
      <w:marBottom w:val="0"/>
      <w:divBdr>
        <w:top w:val="none" w:sz="0" w:space="0" w:color="auto"/>
        <w:left w:val="none" w:sz="0" w:space="0" w:color="auto"/>
        <w:bottom w:val="none" w:sz="0" w:space="0" w:color="auto"/>
        <w:right w:val="none" w:sz="0" w:space="0" w:color="auto"/>
      </w:divBdr>
    </w:div>
    <w:div w:id="1654484204">
      <w:bodyDiv w:val="1"/>
      <w:marLeft w:val="0"/>
      <w:marRight w:val="0"/>
      <w:marTop w:val="0"/>
      <w:marBottom w:val="0"/>
      <w:divBdr>
        <w:top w:val="none" w:sz="0" w:space="0" w:color="auto"/>
        <w:left w:val="none" w:sz="0" w:space="0" w:color="auto"/>
        <w:bottom w:val="none" w:sz="0" w:space="0" w:color="auto"/>
        <w:right w:val="none" w:sz="0" w:space="0" w:color="auto"/>
      </w:divBdr>
    </w:div>
    <w:div w:id="1654866372">
      <w:bodyDiv w:val="1"/>
      <w:marLeft w:val="0"/>
      <w:marRight w:val="0"/>
      <w:marTop w:val="0"/>
      <w:marBottom w:val="0"/>
      <w:divBdr>
        <w:top w:val="none" w:sz="0" w:space="0" w:color="auto"/>
        <w:left w:val="none" w:sz="0" w:space="0" w:color="auto"/>
        <w:bottom w:val="none" w:sz="0" w:space="0" w:color="auto"/>
        <w:right w:val="none" w:sz="0" w:space="0" w:color="auto"/>
      </w:divBdr>
    </w:div>
    <w:div w:id="1655068067">
      <w:bodyDiv w:val="1"/>
      <w:marLeft w:val="0"/>
      <w:marRight w:val="0"/>
      <w:marTop w:val="0"/>
      <w:marBottom w:val="0"/>
      <w:divBdr>
        <w:top w:val="none" w:sz="0" w:space="0" w:color="auto"/>
        <w:left w:val="none" w:sz="0" w:space="0" w:color="auto"/>
        <w:bottom w:val="none" w:sz="0" w:space="0" w:color="auto"/>
        <w:right w:val="none" w:sz="0" w:space="0" w:color="auto"/>
      </w:divBdr>
    </w:div>
    <w:div w:id="1655259450">
      <w:bodyDiv w:val="1"/>
      <w:marLeft w:val="0"/>
      <w:marRight w:val="0"/>
      <w:marTop w:val="0"/>
      <w:marBottom w:val="0"/>
      <w:divBdr>
        <w:top w:val="none" w:sz="0" w:space="0" w:color="auto"/>
        <w:left w:val="none" w:sz="0" w:space="0" w:color="auto"/>
        <w:bottom w:val="none" w:sz="0" w:space="0" w:color="auto"/>
        <w:right w:val="none" w:sz="0" w:space="0" w:color="auto"/>
      </w:divBdr>
    </w:div>
    <w:div w:id="1655336990">
      <w:bodyDiv w:val="1"/>
      <w:marLeft w:val="0"/>
      <w:marRight w:val="0"/>
      <w:marTop w:val="0"/>
      <w:marBottom w:val="0"/>
      <w:divBdr>
        <w:top w:val="none" w:sz="0" w:space="0" w:color="auto"/>
        <w:left w:val="none" w:sz="0" w:space="0" w:color="auto"/>
        <w:bottom w:val="none" w:sz="0" w:space="0" w:color="auto"/>
        <w:right w:val="none" w:sz="0" w:space="0" w:color="auto"/>
      </w:divBdr>
    </w:div>
    <w:div w:id="1655374753">
      <w:bodyDiv w:val="1"/>
      <w:marLeft w:val="0"/>
      <w:marRight w:val="0"/>
      <w:marTop w:val="0"/>
      <w:marBottom w:val="0"/>
      <w:divBdr>
        <w:top w:val="none" w:sz="0" w:space="0" w:color="auto"/>
        <w:left w:val="none" w:sz="0" w:space="0" w:color="auto"/>
        <w:bottom w:val="none" w:sz="0" w:space="0" w:color="auto"/>
        <w:right w:val="none" w:sz="0" w:space="0" w:color="auto"/>
      </w:divBdr>
    </w:div>
    <w:div w:id="1655528183">
      <w:bodyDiv w:val="1"/>
      <w:marLeft w:val="0"/>
      <w:marRight w:val="0"/>
      <w:marTop w:val="0"/>
      <w:marBottom w:val="0"/>
      <w:divBdr>
        <w:top w:val="none" w:sz="0" w:space="0" w:color="auto"/>
        <w:left w:val="none" w:sz="0" w:space="0" w:color="auto"/>
        <w:bottom w:val="none" w:sz="0" w:space="0" w:color="auto"/>
        <w:right w:val="none" w:sz="0" w:space="0" w:color="auto"/>
      </w:divBdr>
    </w:div>
    <w:div w:id="1655572382">
      <w:bodyDiv w:val="1"/>
      <w:marLeft w:val="0"/>
      <w:marRight w:val="0"/>
      <w:marTop w:val="0"/>
      <w:marBottom w:val="0"/>
      <w:divBdr>
        <w:top w:val="none" w:sz="0" w:space="0" w:color="auto"/>
        <w:left w:val="none" w:sz="0" w:space="0" w:color="auto"/>
        <w:bottom w:val="none" w:sz="0" w:space="0" w:color="auto"/>
        <w:right w:val="none" w:sz="0" w:space="0" w:color="auto"/>
      </w:divBdr>
    </w:div>
    <w:div w:id="1655645699">
      <w:bodyDiv w:val="1"/>
      <w:marLeft w:val="0"/>
      <w:marRight w:val="0"/>
      <w:marTop w:val="0"/>
      <w:marBottom w:val="0"/>
      <w:divBdr>
        <w:top w:val="none" w:sz="0" w:space="0" w:color="auto"/>
        <w:left w:val="none" w:sz="0" w:space="0" w:color="auto"/>
        <w:bottom w:val="none" w:sz="0" w:space="0" w:color="auto"/>
        <w:right w:val="none" w:sz="0" w:space="0" w:color="auto"/>
      </w:divBdr>
    </w:div>
    <w:div w:id="1655648831">
      <w:bodyDiv w:val="1"/>
      <w:marLeft w:val="0"/>
      <w:marRight w:val="0"/>
      <w:marTop w:val="0"/>
      <w:marBottom w:val="0"/>
      <w:divBdr>
        <w:top w:val="none" w:sz="0" w:space="0" w:color="auto"/>
        <w:left w:val="none" w:sz="0" w:space="0" w:color="auto"/>
        <w:bottom w:val="none" w:sz="0" w:space="0" w:color="auto"/>
        <w:right w:val="none" w:sz="0" w:space="0" w:color="auto"/>
      </w:divBdr>
    </w:div>
    <w:div w:id="1656029292">
      <w:bodyDiv w:val="1"/>
      <w:marLeft w:val="0"/>
      <w:marRight w:val="0"/>
      <w:marTop w:val="0"/>
      <w:marBottom w:val="0"/>
      <w:divBdr>
        <w:top w:val="none" w:sz="0" w:space="0" w:color="auto"/>
        <w:left w:val="none" w:sz="0" w:space="0" w:color="auto"/>
        <w:bottom w:val="none" w:sz="0" w:space="0" w:color="auto"/>
        <w:right w:val="none" w:sz="0" w:space="0" w:color="auto"/>
      </w:divBdr>
    </w:div>
    <w:div w:id="1656105823">
      <w:bodyDiv w:val="1"/>
      <w:marLeft w:val="0"/>
      <w:marRight w:val="0"/>
      <w:marTop w:val="0"/>
      <w:marBottom w:val="0"/>
      <w:divBdr>
        <w:top w:val="none" w:sz="0" w:space="0" w:color="auto"/>
        <w:left w:val="none" w:sz="0" w:space="0" w:color="auto"/>
        <w:bottom w:val="none" w:sz="0" w:space="0" w:color="auto"/>
        <w:right w:val="none" w:sz="0" w:space="0" w:color="auto"/>
      </w:divBdr>
    </w:div>
    <w:div w:id="1656374194">
      <w:bodyDiv w:val="1"/>
      <w:marLeft w:val="0"/>
      <w:marRight w:val="0"/>
      <w:marTop w:val="0"/>
      <w:marBottom w:val="0"/>
      <w:divBdr>
        <w:top w:val="none" w:sz="0" w:space="0" w:color="auto"/>
        <w:left w:val="none" w:sz="0" w:space="0" w:color="auto"/>
        <w:bottom w:val="none" w:sz="0" w:space="0" w:color="auto"/>
        <w:right w:val="none" w:sz="0" w:space="0" w:color="auto"/>
      </w:divBdr>
    </w:div>
    <w:div w:id="1656569035">
      <w:bodyDiv w:val="1"/>
      <w:marLeft w:val="0"/>
      <w:marRight w:val="0"/>
      <w:marTop w:val="0"/>
      <w:marBottom w:val="0"/>
      <w:divBdr>
        <w:top w:val="none" w:sz="0" w:space="0" w:color="auto"/>
        <w:left w:val="none" w:sz="0" w:space="0" w:color="auto"/>
        <w:bottom w:val="none" w:sz="0" w:space="0" w:color="auto"/>
        <w:right w:val="none" w:sz="0" w:space="0" w:color="auto"/>
      </w:divBdr>
    </w:div>
    <w:div w:id="1656644022">
      <w:bodyDiv w:val="1"/>
      <w:marLeft w:val="0"/>
      <w:marRight w:val="0"/>
      <w:marTop w:val="0"/>
      <w:marBottom w:val="0"/>
      <w:divBdr>
        <w:top w:val="none" w:sz="0" w:space="0" w:color="auto"/>
        <w:left w:val="none" w:sz="0" w:space="0" w:color="auto"/>
        <w:bottom w:val="none" w:sz="0" w:space="0" w:color="auto"/>
        <w:right w:val="none" w:sz="0" w:space="0" w:color="auto"/>
      </w:divBdr>
    </w:div>
    <w:div w:id="1656688804">
      <w:bodyDiv w:val="1"/>
      <w:marLeft w:val="0"/>
      <w:marRight w:val="0"/>
      <w:marTop w:val="0"/>
      <w:marBottom w:val="0"/>
      <w:divBdr>
        <w:top w:val="none" w:sz="0" w:space="0" w:color="auto"/>
        <w:left w:val="none" w:sz="0" w:space="0" w:color="auto"/>
        <w:bottom w:val="none" w:sz="0" w:space="0" w:color="auto"/>
        <w:right w:val="none" w:sz="0" w:space="0" w:color="auto"/>
      </w:divBdr>
    </w:div>
    <w:div w:id="1656689776">
      <w:bodyDiv w:val="1"/>
      <w:marLeft w:val="0"/>
      <w:marRight w:val="0"/>
      <w:marTop w:val="0"/>
      <w:marBottom w:val="0"/>
      <w:divBdr>
        <w:top w:val="none" w:sz="0" w:space="0" w:color="auto"/>
        <w:left w:val="none" w:sz="0" w:space="0" w:color="auto"/>
        <w:bottom w:val="none" w:sz="0" w:space="0" w:color="auto"/>
        <w:right w:val="none" w:sz="0" w:space="0" w:color="auto"/>
      </w:divBdr>
    </w:div>
    <w:div w:id="1656762368">
      <w:bodyDiv w:val="1"/>
      <w:marLeft w:val="0"/>
      <w:marRight w:val="0"/>
      <w:marTop w:val="0"/>
      <w:marBottom w:val="0"/>
      <w:divBdr>
        <w:top w:val="none" w:sz="0" w:space="0" w:color="auto"/>
        <w:left w:val="none" w:sz="0" w:space="0" w:color="auto"/>
        <w:bottom w:val="none" w:sz="0" w:space="0" w:color="auto"/>
        <w:right w:val="none" w:sz="0" w:space="0" w:color="auto"/>
      </w:divBdr>
    </w:div>
    <w:div w:id="1656839305">
      <w:bodyDiv w:val="1"/>
      <w:marLeft w:val="0"/>
      <w:marRight w:val="0"/>
      <w:marTop w:val="0"/>
      <w:marBottom w:val="0"/>
      <w:divBdr>
        <w:top w:val="none" w:sz="0" w:space="0" w:color="auto"/>
        <w:left w:val="none" w:sz="0" w:space="0" w:color="auto"/>
        <w:bottom w:val="none" w:sz="0" w:space="0" w:color="auto"/>
        <w:right w:val="none" w:sz="0" w:space="0" w:color="auto"/>
      </w:divBdr>
    </w:div>
    <w:div w:id="1657107179">
      <w:bodyDiv w:val="1"/>
      <w:marLeft w:val="0"/>
      <w:marRight w:val="0"/>
      <w:marTop w:val="0"/>
      <w:marBottom w:val="0"/>
      <w:divBdr>
        <w:top w:val="none" w:sz="0" w:space="0" w:color="auto"/>
        <w:left w:val="none" w:sz="0" w:space="0" w:color="auto"/>
        <w:bottom w:val="none" w:sz="0" w:space="0" w:color="auto"/>
        <w:right w:val="none" w:sz="0" w:space="0" w:color="auto"/>
      </w:divBdr>
    </w:div>
    <w:div w:id="1657294713">
      <w:bodyDiv w:val="1"/>
      <w:marLeft w:val="0"/>
      <w:marRight w:val="0"/>
      <w:marTop w:val="0"/>
      <w:marBottom w:val="0"/>
      <w:divBdr>
        <w:top w:val="none" w:sz="0" w:space="0" w:color="auto"/>
        <w:left w:val="none" w:sz="0" w:space="0" w:color="auto"/>
        <w:bottom w:val="none" w:sz="0" w:space="0" w:color="auto"/>
        <w:right w:val="none" w:sz="0" w:space="0" w:color="auto"/>
      </w:divBdr>
    </w:div>
    <w:div w:id="1657415437">
      <w:bodyDiv w:val="1"/>
      <w:marLeft w:val="0"/>
      <w:marRight w:val="0"/>
      <w:marTop w:val="0"/>
      <w:marBottom w:val="0"/>
      <w:divBdr>
        <w:top w:val="none" w:sz="0" w:space="0" w:color="auto"/>
        <w:left w:val="none" w:sz="0" w:space="0" w:color="auto"/>
        <w:bottom w:val="none" w:sz="0" w:space="0" w:color="auto"/>
        <w:right w:val="none" w:sz="0" w:space="0" w:color="auto"/>
      </w:divBdr>
    </w:div>
    <w:div w:id="1657606301">
      <w:bodyDiv w:val="1"/>
      <w:marLeft w:val="0"/>
      <w:marRight w:val="0"/>
      <w:marTop w:val="0"/>
      <w:marBottom w:val="0"/>
      <w:divBdr>
        <w:top w:val="none" w:sz="0" w:space="0" w:color="auto"/>
        <w:left w:val="none" w:sz="0" w:space="0" w:color="auto"/>
        <w:bottom w:val="none" w:sz="0" w:space="0" w:color="auto"/>
        <w:right w:val="none" w:sz="0" w:space="0" w:color="auto"/>
      </w:divBdr>
    </w:div>
    <w:div w:id="1657611349">
      <w:bodyDiv w:val="1"/>
      <w:marLeft w:val="0"/>
      <w:marRight w:val="0"/>
      <w:marTop w:val="0"/>
      <w:marBottom w:val="0"/>
      <w:divBdr>
        <w:top w:val="none" w:sz="0" w:space="0" w:color="auto"/>
        <w:left w:val="none" w:sz="0" w:space="0" w:color="auto"/>
        <w:bottom w:val="none" w:sz="0" w:space="0" w:color="auto"/>
        <w:right w:val="none" w:sz="0" w:space="0" w:color="auto"/>
      </w:divBdr>
    </w:div>
    <w:div w:id="1657686239">
      <w:bodyDiv w:val="1"/>
      <w:marLeft w:val="0"/>
      <w:marRight w:val="0"/>
      <w:marTop w:val="0"/>
      <w:marBottom w:val="0"/>
      <w:divBdr>
        <w:top w:val="none" w:sz="0" w:space="0" w:color="auto"/>
        <w:left w:val="none" w:sz="0" w:space="0" w:color="auto"/>
        <w:bottom w:val="none" w:sz="0" w:space="0" w:color="auto"/>
        <w:right w:val="none" w:sz="0" w:space="0" w:color="auto"/>
      </w:divBdr>
    </w:div>
    <w:div w:id="1657802535">
      <w:bodyDiv w:val="1"/>
      <w:marLeft w:val="0"/>
      <w:marRight w:val="0"/>
      <w:marTop w:val="0"/>
      <w:marBottom w:val="0"/>
      <w:divBdr>
        <w:top w:val="none" w:sz="0" w:space="0" w:color="auto"/>
        <w:left w:val="none" w:sz="0" w:space="0" w:color="auto"/>
        <w:bottom w:val="none" w:sz="0" w:space="0" w:color="auto"/>
        <w:right w:val="none" w:sz="0" w:space="0" w:color="auto"/>
      </w:divBdr>
    </w:div>
    <w:div w:id="1658069004">
      <w:bodyDiv w:val="1"/>
      <w:marLeft w:val="0"/>
      <w:marRight w:val="0"/>
      <w:marTop w:val="0"/>
      <w:marBottom w:val="0"/>
      <w:divBdr>
        <w:top w:val="none" w:sz="0" w:space="0" w:color="auto"/>
        <w:left w:val="none" w:sz="0" w:space="0" w:color="auto"/>
        <w:bottom w:val="none" w:sz="0" w:space="0" w:color="auto"/>
        <w:right w:val="none" w:sz="0" w:space="0" w:color="auto"/>
      </w:divBdr>
    </w:div>
    <w:div w:id="1658414552">
      <w:bodyDiv w:val="1"/>
      <w:marLeft w:val="0"/>
      <w:marRight w:val="0"/>
      <w:marTop w:val="0"/>
      <w:marBottom w:val="0"/>
      <w:divBdr>
        <w:top w:val="none" w:sz="0" w:space="0" w:color="auto"/>
        <w:left w:val="none" w:sz="0" w:space="0" w:color="auto"/>
        <w:bottom w:val="none" w:sz="0" w:space="0" w:color="auto"/>
        <w:right w:val="none" w:sz="0" w:space="0" w:color="auto"/>
      </w:divBdr>
    </w:div>
    <w:div w:id="1658534443">
      <w:bodyDiv w:val="1"/>
      <w:marLeft w:val="0"/>
      <w:marRight w:val="0"/>
      <w:marTop w:val="0"/>
      <w:marBottom w:val="0"/>
      <w:divBdr>
        <w:top w:val="none" w:sz="0" w:space="0" w:color="auto"/>
        <w:left w:val="none" w:sz="0" w:space="0" w:color="auto"/>
        <w:bottom w:val="none" w:sz="0" w:space="0" w:color="auto"/>
        <w:right w:val="none" w:sz="0" w:space="0" w:color="auto"/>
      </w:divBdr>
    </w:div>
    <w:div w:id="1658612747">
      <w:bodyDiv w:val="1"/>
      <w:marLeft w:val="0"/>
      <w:marRight w:val="0"/>
      <w:marTop w:val="0"/>
      <w:marBottom w:val="0"/>
      <w:divBdr>
        <w:top w:val="none" w:sz="0" w:space="0" w:color="auto"/>
        <w:left w:val="none" w:sz="0" w:space="0" w:color="auto"/>
        <w:bottom w:val="none" w:sz="0" w:space="0" w:color="auto"/>
        <w:right w:val="none" w:sz="0" w:space="0" w:color="auto"/>
      </w:divBdr>
    </w:div>
    <w:div w:id="1659260220">
      <w:bodyDiv w:val="1"/>
      <w:marLeft w:val="0"/>
      <w:marRight w:val="0"/>
      <w:marTop w:val="0"/>
      <w:marBottom w:val="0"/>
      <w:divBdr>
        <w:top w:val="none" w:sz="0" w:space="0" w:color="auto"/>
        <w:left w:val="none" w:sz="0" w:space="0" w:color="auto"/>
        <w:bottom w:val="none" w:sz="0" w:space="0" w:color="auto"/>
        <w:right w:val="none" w:sz="0" w:space="0" w:color="auto"/>
      </w:divBdr>
    </w:div>
    <w:div w:id="1659381744">
      <w:bodyDiv w:val="1"/>
      <w:marLeft w:val="0"/>
      <w:marRight w:val="0"/>
      <w:marTop w:val="0"/>
      <w:marBottom w:val="0"/>
      <w:divBdr>
        <w:top w:val="none" w:sz="0" w:space="0" w:color="auto"/>
        <w:left w:val="none" w:sz="0" w:space="0" w:color="auto"/>
        <w:bottom w:val="none" w:sz="0" w:space="0" w:color="auto"/>
        <w:right w:val="none" w:sz="0" w:space="0" w:color="auto"/>
      </w:divBdr>
    </w:div>
    <w:div w:id="1659458894">
      <w:bodyDiv w:val="1"/>
      <w:marLeft w:val="0"/>
      <w:marRight w:val="0"/>
      <w:marTop w:val="0"/>
      <w:marBottom w:val="0"/>
      <w:divBdr>
        <w:top w:val="none" w:sz="0" w:space="0" w:color="auto"/>
        <w:left w:val="none" w:sz="0" w:space="0" w:color="auto"/>
        <w:bottom w:val="none" w:sz="0" w:space="0" w:color="auto"/>
        <w:right w:val="none" w:sz="0" w:space="0" w:color="auto"/>
      </w:divBdr>
    </w:div>
    <w:div w:id="1659461687">
      <w:bodyDiv w:val="1"/>
      <w:marLeft w:val="0"/>
      <w:marRight w:val="0"/>
      <w:marTop w:val="0"/>
      <w:marBottom w:val="0"/>
      <w:divBdr>
        <w:top w:val="none" w:sz="0" w:space="0" w:color="auto"/>
        <w:left w:val="none" w:sz="0" w:space="0" w:color="auto"/>
        <w:bottom w:val="none" w:sz="0" w:space="0" w:color="auto"/>
        <w:right w:val="none" w:sz="0" w:space="0" w:color="auto"/>
      </w:divBdr>
    </w:div>
    <w:div w:id="1659462158">
      <w:bodyDiv w:val="1"/>
      <w:marLeft w:val="0"/>
      <w:marRight w:val="0"/>
      <w:marTop w:val="0"/>
      <w:marBottom w:val="0"/>
      <w:divBdr>
        <w:top w:val="none" w:sz="0" w:space="0" w:color="auto"/>
        <w:left w:val="none" w:sz="0" w:space="0" w:color="auto"/>
        <w:bottom w:val="none" w:sz="0" w:space="0" w:color="auto"/>
        <w:right w:val="none" w:sz="0" w:space="0" w:color="auto"/>
      </w:divBdr>
    </w:div>
    <w:div w:id="1659530748">
      <w:bodyDiv w:val="1"/>
      <w:marLeft w:val="0"/>
      <w:marRight w:val="0"/>
      <w:marTop w:val="0"/>
      <w:marBottom w:val="0"/>
      <w:divBdr>
        <w:top w:val="none" w:sz="0" w:space="0" w:color="auto"/>
        <w:left w:val="none" w:sz="0" w:space="0" w:color="auto"/>
        <w:bottom w:val="none" w:sz="0" w:space="0" w:color="auto"/>
        <w:right w:val="none" w:sz="0" w:space="0" w:color="auto"/>
      </w:divBdr>
    </w:div>
    <w:div w:id="1659534193">
      <w:bodyDiv w:val="1"/>
      <w:marLeft w:val="0"/>
      <w:marRight w:val="0"/>
      <w:marTop w:val="0"/>
      <w:marBottom w:val="0"/>
      <w:divBdr>
        <w:top w:val="none" w:sz="0" w:space="0" w:color="auto"/>
        <w:left w:val="none" w:sz="0" w:space="0" w:color="auto"/>
        <w:bottom w:val="none" w:sz="0" w:space="0" w:color="auto"/>
        <w:right w:val="none" w:sz="0" w:space="0" w:color="auto"/>
      </w:divBdr>
    </w:div>
    <w:div w:id="1659729125">
      <w:bodyDiv w:val="1"/>
      <w:marLeft w:val="0"/>
      <w:marRight w:val="0"/>
      <w:marTop w:val="0"/>
      <w:marBottom w:val="0"/>
      <w:divBdr>
        <w:top w:val="none" w:sz="0" w:space="0" w:color="auto"/>
        <w:left w:val="none" w:sz="0" w:space="0" w:color="auto"/>
        <w:bottom w:val="none" w:sz="0" w:space="0" w:color="auto"/>
        <w:right w:val="none" w:sz="0" w:space="0" w:color="auto"/>
      </w:divBdr>
    </w:div>
    <w:div w:id="1659965224">
      <w:bodyDiv w:val="1"/>
      <w:marLeft w:val="0"/>
      <w:marRight w:val="0"/>
      <w:marTop w:val="0"/>
      <w:marBottom w:val="0"/>
      <w:divBdr>
        <w:top w:val="none" w:sz="0" w:space="0" w:color="auto"/>
        <w:left w:val="none" w:sz="0" w:space="0" w:color="auto"/>
        <w:bottom w:val="none" w:sz="0" w:space="0" w:color="auto"/>
        <w:right w:val="none" w:sz="0" w:space="0" w:color="auto"/>
      </w:divBdr>
    </w:div>
    <w:div w:id="1659993709">
      <w:bodyDiv w:val="1"/>
      <w:marLeft w:val="0"/>
      <w:marRight w:val="0"/>
      <w:marTop w:val="0"/>
      <w:marBottom w:val="0"/>
      <w:divBdr>
        <w:top w:val="none" w:sz="0" w:space="0" w:color="auto"/>
        <w:left w:val="none" w:sz="0" w:space="0" w:color="auto"/>
        <w:bottom w:val="none" w:sz="0" w:space="0" w:color="auto"/>
        <w:right w:val="none" w:sz="0" w:space="0" w:color="auto"/>
      </w:divBdr>
    </w:div>
    <w:div w:id="1660110250">
      <w:bodyDiv w:val="1"/>
      <w:marLeft w:val="0"/>
      <w:marRight w:val="0"/>
      <w:marTop w:val="0"/>
      <w:marBottom w:val="0"/>
      <w:divBdr>
        <w:top w:val="none" w:sz="0" w:space="0" w:color="auto"/>
        <w:left w:val="none" w:sz="0" w:space="0" w:color="auto"/>
        <w:bottom w:val="none" w:sz="0" w:space="0" w:color="auto"/>
        <w:right w:val="none" w:sz="0" w:space="0" w:color="auto"/>
      </w:divBdr>
    </w:div>
    <w:div w:id="1660114957">
      <w:bodyDiv w:val="1"/>
      <w:marLeft w:val="0"/>
      <w:marRight w:val="0"/>
      <w:marTop w:val="0"/>
      <w:marBottom w:val="0"/>
      <w:divBdr>
        <w:top w:val="none" w:sz="0" w:space="0" w:color="auto"/>
        <w:left w:val="none" w:sz="0" w:space="0" w:color="auto"/>
        <w:bottom w:val="none" w:sz="0" w:space="0" w:color="auto"/>
        <w:right w:val="none" w:sz="0" w:space="0" w:color="auto"/>
      </w:divBdr>
    </w:div>
    <w:div w:id="1660380376">
      <w:bodyDiv w:val="1"/>
      <w:marLeft w:val="0"/>
      <w:marRight w:val="0"/>
      <w:marTop w:val="0"/>
      <w:marBottom w:val="0"/>
      <w:divBdr>
        <w:top w:val="none" w:sz="0" w:space="0" w:color="auto"/>
        <w:left w:val="none" w:sz="0" w:space="0" w:color="auto"/>
        <w:bottom w:val="none" w:sz="0" w:space="0" w:color="auto"/>
        <w:right w:val="none" w:sz="0" w:space="0" w:color="auto"/>
      </w:divBdr>
    </w:div>
    <w:div w:id="1660423222">
      <w:bodyDiv w:val="1"/>
      <w:marLeft w:val="0"/>
      <w:marRight w:val="0"/>
      <w:marTop w:val="0"/>
      <w:marBottom w:val="0"/>
      <w:divBdr>
        <w:top w:val="none" w:sz="0" w:space="0" w:color="auto"/>
        <w:left w:val="none" w:sz="0" w:space="0" w:color="auto"/>
        <w:bottom w:val="none" w:sz="0" w:space="0" w:color="auto"/>
        <w:right w:val="none" w:sz="0" w:space="0" w:color="auto"/>
      </w:divBdr>
    </w:div>
    <w:div w:id="1660423663">
      <w:bodyDiv w:val="1"/>
      <w:marLeft w:val="0"/>
      <w:marRight w:val="0"/>
      <w:marTop w:val="0"/>
      <w:marBottom w:val="0"/>
      <w:divBdr>
        <w:top w:val="none" w:sz="0" w:space="0" w:color="auto"/>
        <w:left w:val="none" w:sz="0" w:space="0" w:color="auto"/>
        <w:bottom w:val="none" w:sz="0" w:space="0" w:color="auto"/>
        <w:right w:val="none" w:sz="0" w:space="0" w:color="auto"/>
      </w:divBdr>
    </w:div>
    <w:div w:id="1660692393">
      <w:bodyDiv w:val="1"/>
      <w:marLeft w:val="0"/>
      <w:marRight w:val="0"/>
      <w:marTop w:val="0"/>
      <w:marBottom w:val="0"/>
      <w:divBdr>
        <w:top w:val="none" w:sz="0" w:space="0" w:color="auto"/>
        <w:left w:val="none" w:sz="0" w:space="0" w:color="auto"/>
        <w:bottom w:val="none" w:sz="0" w:space="0" w:color="auto"/>
        <w:right w:val="none" w:sz="0" w:space="0" w:color="auto"/>
      </w:divBdr>
    </w:div>
    <w:div w:id="1660881452">
      <w:bodyDiv w:val="1"/>
      <w:marLeft w:val="0"/>
      <w:marRight w:val="0"/>
      <w:marTop w:val="0"/>
      <w:marBottom w:val="0"/>
      <w:divBdr>
        <w:top w:val="none" w:sz="0" w:space="0" w:color="auto"/>
        <w:left w:val="none" w:sz="0" w:space="0" w:color="auto"/>
        <w:bottom w:val="none" w:sz="0" w:space="0" w:color="auto"/>
        <w:right w:val="none" w:sz="0" w:space="0" w:color="auto"/>
      </w:divBdr>
    </w:div>
    <w:div w:id="1660963269">
      <w:bodyDiv w:val="1"/>
      <w:marLeft w:val="0"/>
      <w:marRight w:val="0"/>
      <w:marTop w:val="0"/>
      <w:marBottom w:val="0"/>
      <w:divBdr>
        <w:top w:val="none" w:sz="0" w:space="0" w:color="auto"/>
        <w:left w:val="none" w:sz="0" w:space="0" w:color="auto"/>
        <w:bottom w:val="none" w:sz="0" w:space="0" w:color="auto"/>
        <w:right w:val="none" w:sz="0" w:space="0" w:color="auto"/>
      </w:divBdr>
    </w:div>
    <w:div w:id="1661079369">
      <w:bodyDiv w:val="1"/>
      <w:marLeft w:val="0"/>
      <w:marRight w:val="0"/>
      <w:marTop w:val="0"/>
      <w:marBottom w:val="0"/>
      <w:divBdr>
        <w:top w:val="none" w:sz="0" w:space="0" w:color="auto"/>
        <w:left w:val="none" w:sz="0" w:space="0" w:color="auto"/>
        <w:bottom w:val="none" w:sz="0" w:space="0" w:color="auto"/>
        <w:right w:val="none" w:sz="0" w:space="0" w:color="auto"/>
      </w:divBdr>
    </w:div>
    <w:div w:id="1661346827">
      <w:bodyDiv w:val="1"/>
      <w:marLeft w:val="0"/>
      <w:marRight w:val="0"/>
      <w:marTop w:val="0"/>
      <w:marBottom w:val="0"/>
      <w:divBdr>
        <w:top w:val="none" w:sz="0" w:space="0" w:color="auto"/>
        <w:left w:val="none" w:sz="0" w:space="0" w:color="auto"/>
        <w:bottom w:val="none" w:sz="0" w:space="0" w:color="auto"/>
        <w:right w:val="none" w:sz="0" w:space="0" w:color="auto"/>
      </w:divBdr>
    </w:div>
    <w:div w:id="1661882760">
      <w:bodyDiv w:val="1"/>
      <w:marLeft w:val="0"/>
      <w:marRight w:val="0"/>
      <w:marTop w:val="0"/>
      <w:marBottom w:val="0"/>
      <w:divBdr>
        <w:top w:val="none" w:sz="0" w:space="0" w:color="auto"/>
        <w:left w:val="none" w:sz="0" w:space="0" w:color="auto"/>
        <w:bottom w:val="none" w:sz="0" w:space="0" w:color="auto"/>
        <w:right w:val="none" w:sz="0" w:space="0" w:color="auto"/>
      </w:divBdr>
    </w:div>
    <w:div w:id="1662005792">
      <w:bodyDiv w:val="1"/>
      <w:marLeft w:val="0"/>
      <w:marRight w:val="0"/>
      <w:marTop w:val="0"/>
      <w:marBottom w:val="0"/>
      <w:divBdr>
        <w:top w:val="none" w:sz="0" w:space="0" w:color="auto"/>
        <w:left w:val="none" w:sz="0" w:space="0" w:color="auto"/>
        <w:bottom w:val="none" w:sz="0" w:space="0" w:color="auto"/>
        <w:right w:val="none" w:sz="0" w:space="0" w:color="auto"/>
      </w:divBdr>
    </w:div>
    <w:div w:id="1662191971">
      <w:bodyDiv w:val="1"/>
      <w:marLeft w:val="0"/>
      <w:marRight w:val="0"/>
      <w:marTop w:val="0"/>
      <w:marBottom w:val="0"/>
      <w:divBdr>
        <w:top w:val="none" w:sz="0" w:space="0" w:color="auto"/>
        <w:left w:val="none" w:sz="0" w:space="0" w:color="auto"/>
        <w:bottom w:val="none" w:sz="0" w:space="0" w:color="auto"/>
        <w:right w:val="none" w:sz="0" w:space="0" w:color="auto"/>
      </w:divBdr>
    </w:div>
    <w:div w:id="1662387133">
      <w:bodyDiv w:val="1"/>
      <w:marLeft w:val="0"/>
      <w:marRight w:val="0"/>
      <w:marTop w:val="0"/>
      <w:marBottom w:val="0"/>
      <w:divBdr>
        <w:top w:val="none" w:sz="0" w:space="0" w:color="auto"/>
        <w:left w:val="none" w:sz="0" w:space="0" w:color="auto"/>
        <w:bottom w:val="none" w:sz="0" w:space="0" w:color="auto"/>
        <w:right w:val="none" w:sz="0" w:space="0" w:color="auto"/>
      </w:divBdr>
    </w:div>
    <w:div w:id="1662660782">
      <w:bodyDiv w:val="1"/>
      <w:marLeft w:val="0"/>
      <w:marRight w:val="0"/>
      <w:marTop w:val="0"/>
      <w:marBottom w:val="0"/>
      <w:divBdr>
        <w:top w:val="none" w:sz="0" w:space="0" w:color="auto"/>
        <w:left w:val="none" w:sz="0" w:space="0" w:color="auto"/>
        <w:bottom w:val="none" w:sz="0" w:space="0" w:color="auto"/>
        <w:right w:val="none" w:sz="0" w:space="0" w:color="auto"/>
      </w:divBdr>
    </w:div>
    <w:div w:id="1662781132">
      <w:bodyDiv w:val="1"/>
      <w:marLeft w:val="0"/>
      <w:marRight w:val="0"/>
      <w:marTop w:val="0"/>
      <w:marBottom w:val="0"/>
      <w:divBdr>
        <w:top w:val="none" w:sz="0" w:space="0" w:color="auto"/>
        <w:left w:val="none" w:sz="0" w:space="0" w:color="auto"/>
        <w:bottom w:val="none" w:sz="0" w:space="0" w:color="auto"/>
        <w:right w:val="none" w:sz="0" w:space="0" w:color="auto"/>
      </w:divBdr>
    </w:div>
    <w:div w:id="1663268092">
      <w:bodyDiv w:val="1"/>
      <w:marLeft w:val="0"/>
      <w:marRight w:val="0"/>
      <w:marTop w:val="0"/>
      <w:marBottom w:val="0"/>
      <w:divBdr>
        <w:top w:val="none" w:sz="0" w:space="0" w:color="auto"/>
        <w:left w:val="none" w:sz="0" w:space="0" w:color="auto"/>
        <w:bottom w:val="none" w:sz="0" w:space="0" w:color="auto"/>
        <w:right w:val="none" w:sz="0" w:space="0" w:color="auto"/>
      </w:divBdr>
    </w:div>
    <w:div w:id="1663310037">
      <w:bodyDiv w:val="1"/>
      <w:marLeft w:val="0"/>
      <w:marRight w:val="0"/>
      <w:marTop w:val="0"/>
      <w:marBottom w:val="0"/>
      <w:divBdr>
        <w:top w:val="none" w:sz="0" w:space="0" w:color="auto"/>
        <w:left w:val="none" w:sz="0" w:space="0" w:color="auto"/>
        <w:bottom w:val="none" w:sz="0" w:space="0" w:color="auto"/>
        <w:right w:val="none" w:sz="0" w:space="0" w:color="auto"/>
      </w:divBdr>
    </w:div>
    <w:div w:id="1663312054">
      <w:bodyDiv w:val="1"/>
      <w:marLeft w:val="0"/>
      <w:marRight w:val="0"/>
      <w:marTop w:val="0"/>
      <w:marBottom w:val="0"/>
      <w:divBdr>
        <w:top w:val="none" w:sz="0" w:space="0" w:color="auto"/>
        <w:left w:val="none" w:sz="0" w:space="0" w:color="auto"/>
        <w:bottom w:val="none" w:sz="0" w:space="0" w:color="auto"/>
        <w:right w:val="none" w:sz="0" w:space="0" w:color="auto"/>
      </w:divBdr>
    </w:div>
    <w:div w:id="1663505162">
      <w:bodyDiv w:val="1"/>
      <w:marLeft w:val="0"/>
      <w:marRight w:val="0"/>
      <w:marTop w:val="0"/>
      <w:marBottom w:val="0"/>
      <w:divBdr>
        <w:top w:val="none" w:sz="0" w:space="0" w:color="auto"/>
        <w:left w:val="none" w:sz="0" w:space="0" w:color="auto"/>
        <w:bottom w:val="none" w:sz="0" w:space="0" w:color="auto"/>
        <w:right w:val="none" w:sz="0" w:space="0" w:color="auto"/>
      </w:divBdr>
    </w:div>
    <w:div w:id="1663705183">
      <w:bodyDiv w:val="1"/>
      <w:marLeft w:val="0"/>
      <w:marRight w:val="0"/>
      <w:marTop w:val="0"/>
      <w:marBottom w:val="0"/>
      <w:divBdr>
        <w:top w:val="none" w:sz="0" w:space="0" w:color="auto"/>
        <w:left w:val="none" w:sz="0" w:space="0" w:color="auto"/>
        <w:bottom w:val="none" w:sz="0" w:space="0" w:color="auto"/>
        <w:right w:val="none" w:sz="0" w:space="0" w:color="auto"/>
      </w:divBdr>
    </w:div>
    <w:div w:id="1663775799">
      <w:bodyDiv w:val="1"/>
      <w:marLeft w:val="0"/>
      <w:marRight w:val="0"/>
      <w:marTop w:val="0"/>
      <w:marBottom w:val="0"/>
      <w:divBdr>
        <w:top w:val="none" w:sz="0" w:space="0" w:color="auto"/>
        <w:left w:val="none" w:sz="0" w:space="0" w:color="auto"/>
        <w:bottom w:val="none" w:sz="0" w:space="0" w:color="auto"/>
        <w:right w:val="none" w:sz="0" w:space="0" w:color="auto"/>
      </w:divBdr>
    </w:div>
    <w:div w:id="1663848572">
      <w:bodyDiv w:val="1"/>
      <w:marLeft w:val="0"/>
      <w:marRight w:val="0"/>
      <w:marTop w:val="0"/>
      <w:marBottom w:val="0"/>
      <w:divBdr>
        <w:top w:val="none" w:sz="0" w:space="0" w:color="auto"/>
        <w:left w:val="none" w:sz="0" w:space="0" w:color="auto"/>
        <w:bottom w:val="none" w:sz="0" w:space="0" w:color="auto"/>
        <w:right w:val="none" w:sz="0" w:space="0" w:color="auto"/>
      </w:divBdr>
    </w:div>
    <w:div w:id="1663895880">
      <w:bodyDiv w:val="1"/>
      <w:marLeft w:val="0"/>
      <w:marRight w:val="0"/>
      <w:marTop w:val="0"/>
      <w:marBottom w:val="0"/>
      <w:divBdr>
        <w:top w:val="none" w:sz="0" w:space="0" w:color="auto"/>
        <w:left w:val="none" w:sz="0" w:space="0" w:color="auto"/>
        <w:bottom w:val="none" w:sz="0" w:space="0" w:color="auto"/>
        <w:right w:val="none" w:sz="0" w:space="0" w:color="auto"/>
      </w:divBdr>
    </w:div>
    <w:div w:id="1664090274">
      <w:bodyDiv w:val="1"/>
      <w:marLeft w:val="0"/>
      <w:marRight w:val="0"/>
      <w:marTop w:val="0"/>
      <w:marBottom w:val="0"/>
      <w:divBdr>
        <w:top w:val="none" w:sz="0" w:space="0" w:color="auto"/>
        <w:left w:val="none" w:sz="0" w:space="0" w:color="auto"/>
        <w:bottom w:val="none" w:sz="0" w:space="0" w:color="auto"/>
        <w:right w:val="none" w:sz="0" w:space="0" w:color="auto"/>
      </w:divBdr>
    </w:div>
    <w:div w:id="1664162052">
      <w:bodyDiv w:val="1"/>
      <w:marLeft w:val="0"/>
      <w:marRight w:val="0"/>
      <w:marTop w:val="0"/>
      <w:marBottom w:val="0"/>
      <w:divBdr>
        <w:top w:val="none" w:sz="0" w:space="0" w:color="auto"/>
        <w:left w:val="none" w:sz="0" w:space="0" w:color="auto"/>
        <w:bottom w:val="none" w:sz="0" w:space="0" w:color="auto"/>
        <w:right w:val="none" w:sz="0" w:space="0" w:color="auto"/>
      </w:divBdr>
    </w:div>
    <w:div w:id="1664311650">
      <w:bodyDiv w:val="1"/>
      <w:marLeft w:val="0"/>
      <w:marRight w:val="0"/>
      <w:marTop w:val="0"/>
      <w:marBottom w:val="0"/>
      <w:divBdr>
        <w:top w:val="none" w:sz="0" w:space="0" w:color="auto"/>
        <w:left w:val="none" w:sz="0" w:space="0" w:color="auto"/>
        <w:bottom w:val="none" w:sz="0" w:space="0" w:color="auto"/>
        <w:right w:val="none" w:sz="0" w:space="0" w:color="auto"/>
      </w:divBdr>
    </w:div>
    <w:div w:id="1664356660">
      <w:bodyDiv w:val="1"/>
      <w:marLeft w:val="0"/>
      <w:marRight w:val="0"/>
      <w:marTop w:val="0"/>
      <w:marBottom w:val="0"/>
      <w:divBdr>
        <w:top w:val="none" w:sz="0" w:space="0" w:color="auto"/>
        <w:left w:val="none" w:sz="0" w:space="0" w:color="auto"/>
        <w:bottom w:val="none" w:sz="0" w:space="0" w:color="auto"/>
        <w:right w:val="none" w:sz="0" w:space="0" w:color="auto"/>
      </w:divBdr>
    </w:div>
    <w:div w:id="1664504947">
      <w:bodyDiv w:val="1"/>
      <w:marLeft w:val="0"/>
      <w:marRight w:val="0"/>
      <w:marTop w:val="0"/>
      <w:marBottom w:val="0"/>
      <w:divBdr>
        <w:top w:val="none" w:sz="0" w:space="0" w:color="auto"/>
        <w:left w:val="none" w:sz="0" w:space="0" w:color="auto"/>
        <w:bottom w:val="none" w:sz="0" w:space="0" w:color="auto"/>
        <w:right w:val="none" w:sz="0" w:space="0" w:color="auto"/>
      </w:divBdr>
    </w:div>
    <w:div w:id="1664580018">
      <w:bodyDiv w:val="1"/>
      <w:marLeft w:val="0"/>
      <w:marRight w:val="0"/>
      <w:marTop w:val="0"/>
      <w:marBottom w:val="0"/>
      <w:divBdr>
        <w:top w:val="none" w:sz="0" w:space="0" w:color="auto"/>
        <w:left w:val="none" w:sz="0" w:space="0" w:color="auto"/>
        <w:bottom w:val="none" w:sz="0" w:space="0" w:color="auto"/>
        <w:right w:val="none" w:sz="0" w:space="0" w:color="auto"/>
      </w:divBdr>
    </w:div>
    <w:div w:id="1664697703">
      <w:bodyDiv w:val="1"/>
      <w:marLeft w:val="0"/>
      <w:marRight w:val="0"/>
      <w:marTop w:val="0"/>
      <w:marBottom w:val="0"/>
      <w:divBdr>
        <w:top w:val="none" w:sz="0" w:space="0" w:color="auto"/>
        <w:left w:val="none" w:sz="0" w:space="0" w:color="auto"/>
        <w:bottom w:val="none" w:sz="0" w:space="0" w:color="auto"/>
        <w:right w:val="none" w:sz="0" w:space="0" w:color="auto"/>
      </w:divBdr>
    </w:div>
    <w:div w:id="1664703349">
      <w:bodyDiv w:val="1"/>
      <w:marLeft w:val="0"/>
      <w:marRight w:val="0"/>
      <w:marTop w:val="0"/>
      <w:marBottom w:val="0"/>
      <w:divBdr>
        <w:top w:val="none" w:sz="0" w:space="0" w:color="auto"/>
        <w:left w:val="none" w:sz="0" w:space="0" w:color="auto"/>
        <w:bottom w:val="none" w:sz="0" w:space="0" w:color="auto"/>
        <w:right w:val="none" w:sz="0" w:space="0" w:color="auto"/>
      </w:divBdr>
    </w:div>
    <w:div w:id="1664817545">
      <w:bodyDiv w:val="1"/>
      <w:marLeft w:val="0"/>
      <w:marRight w:val="0"/>
      <w:marTop w:val="0"/>
      <w:marBottom w:val="0"/>
      <w:divBdr>
        <w:top w:val="none" w:sz="0" w:space="0" w:color="auto"/>
        <w:left w:val="none" w:sz="0" w:space="0" w:color="auto"/>
        <w:bottom w:val="none" w:sz="0" w:space="0" w:color="auto"/>
        <w:right w:val="none" w:sz="0" w:space="0" w:color="auto"/>
      </w:divBdr>
    </w:div>
    <w:div w:id="1664971575">
      <w:bodyDiv w:val="1"/>
      <w:marLeft w:val="0"/>
      <w:marRight w:val="0"/>
      <w:marTop w:val="0"/>
      <w:marBottom w:val="0"/>
      <w:divBdr>
        <w:top w:val="none" w:sz="0" w:space="0" w:color="auto"/>
        <w:left w:val="none" w:sz="0" w:space="0" w:color="auto"/>
        <w:bottom w:val="none" w:sz="0" w:space="0" w:color="auto"/>
        <w:right w:val="none" w:sz="0" w:space="0" w:color="auto"/>
      </w:divBdr>
    </w:div>
    <w:div w:id="1665040265">
      <w:bodyDiv w:val="1"/>
      <w:marLeft w:val="0"/>
      <w:marRight w:val="0"/>
      <w:marTop w:val="0"/>
      <w:marBottom w:val="0"/>
      <w:divBdr>
        <w:top w:val="none" w:sz="0" w:space="0" w:color="auto"/>
        <w:left w:val="none" w:sz="0" w:space="0" w:color="auto"/>
        <w:bottom w:val="none" w:sz="0" w:space="0" w:color="auto"/>
        <w:right w:val="none" w:sz="0" w:space="0" w:color="auto"/>
      </w:divBdr>
    </w:div>
    <w:div w:id="1665352191">
      <w:bodyDiv w:val="1"/>
      <w:marLeft w:val="0"/>
      <w:marRight w:val="0"/>
      <w:marTop w:val="0"/>
      <w:marBottom w:val="0"/>
      <w:divBdr>
        <w:top w:val="none" w:sz="0" w:space="0" w:color="auto"/>
        <w:left w:val="none" w:sz="0" w:space="0" w:color="auto"/>
        <w:bottom w:val="none" w:sz="0" w:space="0" w:color="auto"/>
        <w:right w:val="none" w:sz="0" w:space="0" w:color="auto"/>
      </w:divBdr>
    </w:div>
    <w:div w:id="1665401059">
      <w:bodyDiv w:val="1"/>
      <w:marLeft w:val="0"/>
      <w:marRight w:val="0"/>
      <w:marTop w:val="0"/>
      <w:marBottom w:val="0"/>
      <w:divBdr>
        <w:top w:val="none" w:sz="0" w:space="0" w:color="auto"/>
        <w:left w:val="none" w:sz="0" w:space="0" w:color="auto"/>
        <w:bottom w:val="none" w:sz="0" w:space="0" w:color="auto"/>
        <w:right w:val="none" w:sz="0" w:space="0" w:color="auto"/>
      </w:divBdr>
    </w:div>
    <w:div w:id="1665426985">
      <w:bodyDiv w:val="1"/>
      <w:marLeft w:val="0"/>
      <w:marRight w:val="0"/>
      <w:marTop w:val="0"/>
      <w:marBottom w:val="0"/>
      <w:divBdr>
        <w:top w:val="none" w:sz="0" w:space="0" w:color="auto"/>
        <w:left w:val="none" w:sz="0" w:space="0" w:color="auto"/>
        <w:bottom w:val="none" w:sz="0" w:space="0" w:color="auto"/>
        <w:right w:val="none" w:sz="0" w:space="0" w:color="auto"/>
      </w:divBdr>
    </w:div>
    <w:div w:id="1665431777">
      <w:bodyDiv w:val="1"/>
      <w:marLeft w:val="0"/>
      <w:marRight w:val="0"/>
      <w:marTop w:val="0"/>
      <w:marBottom w:val="0"/>
      <w:divBdr>
        <w:top w:val="none" w:sz="0" w:space="0" w:color="auto"/>
        <w:left w:val="none" w:sz="0" w:space="0" w:color="auto"/>
        <w:bottom w:val="none" w:sz="0" w:space="0" w:color="auto"/>
        <w:right w:val="none" w:sz="0" w:space="0" w:color="auto"/>
      </w:divBdr>
    </w:div>
    <w:div w:id="1665552757">
      <w:bodyDiv w:val="1"/>
      <w:marLeft w:val="0"/>
      <w:marRight w:val="0"/>
      <w:marTop w:val="0"/>
      <w:marBottom w:val="0"/>
      <w:divBdr>
        <w:top w:val="none" w:sz="0" w:space="0" w:color="auto"/>
        <w:left w:val="none" w:sz="0" w:space="0" w:color="auto"/>
        <w:bottom w:val="none" w:sz="0" w:space="0" w:color="auto"/>
        <w:right w:val="none" w:sz="0" w:space="0" w:color="auto"/>
      </w:divBdr>
    </w:div>
    <w:div w:id="1666056624">
      <w:bodyDiv w:val="1"/>
      <w:marLeft w:val="0"/>
      <w:marRight w:val="0"/>
      <w:marTop w:val="0"/>
      <w:marBottom w:val="0"/>
      <w:divBdr>
        <w:top w:val="none" w:sz="0" w:space="0" w:color="auto"/>
        <w:left w:val="none" w:sz="0" w:space="0" w:color="auto"/>
        <w:bottom w:val="none" w:sz="0" w:space="0" w:color="auto"/>
        <w:right w:val="none" w:sz="0" w:space="0" w:color="auto"/>
      </w:divBdr>
    </w:div>
    <w:div w:id="1666056730">
      <w:bodyDiv w:val="1"/>
      <w:marLeft w:val="0"/>
      <w:marRight w:val="0"/>
      <w:marTop w:val="0"/>
      <w:marBottom w:val="0"/>
      <w:divBdr>
        <w:top w:val="none" w:sz="0" w:space="0" w:color="auto"/>
        <w:left w:val="none" w:sz="0" w:space="0" w:color="auto"/>
        <w:bottom w:val="none" w:sz="0" w:space="0" w:color="auto"/>
        <w:right w:val="none" w:sz="0" w:space="0" w:color="auto"/>
      </w:divBdr>
    </w:div>
    <w:div w:id="1666057458">
      <w:bodyDiv w:val="1"/>
      <w:marLeft w:val="0"/>
      <w:marRight w:val="0"/>
      <w:marTop w:val="0"/>
      <w:marBottom w:val="0"/>
      <w:divBdr>
        <w:top w:val="none" w:sz="0" w:space="0" w:color="auto"/>
        <w:left w:val="none" w:sz="0" w:space="0" w:color="auto"/>
        <w:bottom w:val="none" w:sz="0" w:space="0" w:color="auto"/>
        <w:right w:val="none" w:sz="0" w:space="0" w:color="auto"/>
      </w:divBdr>
    </w:div>
    <w:div w:id="1666320954">
      <w:bodyDiv w:val="1"/>
      <w:marLeft w:val="0"/>
      <w:marRight w:val="0"/>
      <w:marTop w:val="0"/>
      <w:marBottom w:val="0"/>
      <w:divBdr>
        <w:top w:val="none" w:sz="0" w:space="0" w:color="auto"/>
        <w:left w:val="none" w:sz="0" w:space="0" w:color="auto"/>
        <w:bottom w:val="none" w:sz="0" w:space="0" w:color="auto"/>
        <w:right w:val="none" w:sz="0" w:space="0" w:color="auto"/>
      </w:divBdr>
    </w:div>
    <w:div w:id="1666395993">
      <w:bodyDiv w:val="1"/>
      <w:marLeft w:val="0"/>
      <w:marRight w:val="0"/>
      <w:marTop w:val="0"/>
      <w:marBottom w:val="0"/>
      <w:divBdr>
        <w:top w:val="none" w:sz="0" w:space="0" w:color="auto"/>
        <w:left w:val="none" w:sz="0" w:space="0" w:color="auto"/>
        <w:bottom w:val="none" w:sz="0" w:space="0" w:color="auto"/>
        <w:right w:val="none" w:sz="0" w:space="0" w:color="auto"/>
      </w:divBdr>
    </w:div>
    <w:div w:id="1666469297">
      <w:bodyDiv w:val="1"/>
      <w:marLeft w:val="0"/>
      <w:marRight w:val="0"/>
      <w:marTop w:val="0"/>
      <w:marBottom w:val="0"/>
      <w:divBdr>
        <w:top w:val="none" w:sz="0" w:space="0" w:color="auto"/>
        <w:left w:val="none" w:sz="0" w:space="0" w:color="auto"/>
        <w:bottom w:val="none" w:sz="0" w:space="0" w:color="auto"/>
        <w:right w:val="none" w:sz="0" w:space="0" w:color="auto"/>
      </w:divBdr>
    </w:div>
    <w:div w:id="1666469513">
      <w:bodyDiv w:val="1"/>
      <w:marLeft w:val="0"/>
      <w:marRight w:val="0"/>
      <w:marTop w:val="0"/>
      <w:marBottom w:val="0"/>
      <w:divBdr>
        <w:top w:val="none" w:sz="0" w:space="0" w:color="auto"/>
        <w:left w:val="none" w:sz="0" w:space="0" w:color="auto"/>
        <w:bottom w:val="none" w:sz="0" w:space="0" w:color="auto"/>
        <w:right w:val="none" w:sz="0" w:space="0" w:color="auto"/>
      </w:divBdr>
    </w:div>
    <w:div w:id="1666473196">
      <w:bodyDiv w:val="1"/>
      <w:marLeft w:val="0"/>
      <w:marRight w:val="0"/>
      <w:marTop w:val="0"/>
      <w:marBottom w:val="0"/>
      <w:divBdr>
        <w:top w:val="none" w:sz="0" w:space="0" w:color="auto"/>
        <w:left w:val="none" w:sz="0" w:space="0" w:color="auto"/>
        <w:bottom w:val="none" w:sz="0" w:space="0" w:color="auto"/>
        <w:right w:val="none" w:sz="0" w:space="0" w:color="auto"/>
      </w:divBdr>
    </w:div>
    <w:div w:id="1666518378">
      <w:bodyDiv w:val="1"/>
      <w:marLeft w:val="0"/>
      <w:marRight w:val="0"/>
      <w:marTop w:val="0"/>
      <w:marBottom w:val="0"/>
      <w:divBdr>
        <w:top w:val="none" w:sz="0" w:space="0" w:color="auto"/>
        <w:left w:val="none" w:sz="0" w:space="0" w:color="auto"/>
        <w:bottom w:val="none" w:sz="0" w:space="0" w:color="auto"/>
        <w:right w:val="none" w:sz="0" w:space="0" w:color="auto"/>
      </w:divBdr>
    </w:div>
    <w:div w:id="1666547197">
      <w:bodyDiv w:val="1"/>
      <w:marLeft w:val="0"/>
      <w:marRight w:val="0"/>
      <w:marTop w:val="0"/>
      <w:marBottom w:val="0"/>
      <w:divBdr>
        <w:top w:val="none" w:sz="0" w:space="0" w:color="auto"/>
        <w:left w:val="none" w:sz="0" w:space="0" w:color="auto"/>
        <w:bottom w:val="none" w:sz="0" w:space="0" w:color="auto"/>
        <w:right w:val="none" w:sz="0" w:space="0" w:color="auto"/>
      </w:divBdr>
    </w:div>
    <w:div w:id="1666665351">
      <w:bodyDiv w:val="1"/>
      <w:marLeft w:val="0"/>
      <w:marRight w:val="0"/>
      <w:marTop w:val="0"/>
      <w:marBottom w:val="0"/>
      <w:divBdr>
        <w:top w:val="none" w:sz="0" w:space="0" w:color="auto"/>
        <w:left w:val="none" w:sz="0" w:space="0" w:color="auto"/>
        <w:bottom w:val="none" w:sz="0" w:space="0" w:color="auto"/>
        <w:right w:val="none" w:sz="0" w:space="0" w:color="auto"/>
      </w:divBdr>
    </w:div>
    <w:div w:id="1666981480">
      <w:bodyDiv w:val="1"/>
      <w:marLeft w:val="0"/>
      <w:marRight w:val="0"/>
      <w:marTop w:val="0"/>
      <w:marBottom w:val="0"/>
      <w:divBdr>
        <w:top w:val="none" w:sz="0" w:space="0" w:color="auto"/>
        <w:left w:val="none" w:sz="0" w:space="0" w:color="auto"/>
        <w:bottom w:val="none" w:sz="0" w:space="0" w:color="auto"/>
        <w:right w:val="none" w:sz="0" w:space="0" w:color="auto"/>
      </w:divBdr>
    </w:div>
    <w:div w:id="1667050142">
      <w:bodyDiv w:val="1"/>
      <w:marLeft w:val="0"/>
      <w:marRight w:val="0"/>
      <w:marTop w:val="0"/>
      <w:marBottom w:val="0"/>
      <w:divBdr>
        <w:top w:val="none" w:sz="0" w:space="0" w:color="auto"/>
        <w:left w:val="none" w:sz="0" w:space="0" w:color="auto"/>
        <w:bottom w:val="none" w:sz="0" w:space="0" w:color="auto"/>
        <w:right w:val="none" w:sz="0" w:space="0" w:color="auto"/>
      </w:divBdr>
    </w:div>
    <w:div w:id="1667201650">
      <w:bodyDiv w:val="1"/>
      <w:marLeft w:val="0"/>
      <w:marRight w:val="0"/>
      <w:marTop w:val="0"/>
      <w:marBottom w:val="0"/>
      <w:divBdr>
        <w:top w:val="none" w:sz="0" w:space="0" w:color="auto"/>
        <w:left w:val="none" w:sz="0" w:space="0" w:color="auto"/>
        <w:bottom w:val="none" w:sz="0" w:space="0" w:color="auto"/>
        <w:right w:val="none" w:sz="0" w:space="0" w:color="auto"/>
      </w:divBdr>
    </w:div>
    <w:div w:id="1667319687">
      <w:bodyDiv w:val="1"/>
      <w:marLeft w:val="0"/>
      <w:marRight w:val="0"/>
      <w:marTop w:val="0"/>
      <w:marBottom w:val="0"/>
      <w:divBdr>
        <w:top w:val="none" w:sz="0" w:space="0" w:color="auto"/>
        <w:left w:val="none" w:sz="0" w:space="0" w:color="auto"/>
        <w:bottom w:val="none" w:sz="0" w:space="0" w:color="auto"/>
        <w:right w:val="none" w:sz="0" w:space="0" w:color="auto"/>
      </w:divBdr>
    </w:div>
    <w:div w:id="1667591352">
      <w:bodyDiv w:val="1"/>
      <w:marLeft w:val="0"/>
      <w:marRight w:val="0"/>
      <w:marTop w:val="0"/>
      <w:marBottom w:val="0"/>
      <w:divBdr>
        <w:top w:val="none" w:sz="0" w:space="0" w:color="auto"/>
        <w:left w:val="none" w:sz="0" w:space="0" w:color="auto"/>
        <w:bottom w:val="none" w:sz="0" w:space="0" w:color="auto"/>
        <w:right w:val="none" w:sz="0" w:space="0" w:color="auto"/>
      </w:divBdr>
    </w:div>
    <w:div w:id="1668049401">
      <w:bodyDiv w:val="1"/>
      <w:marLeft w:val="0"/>
      <w:marRight w:val="0"/>
      <w:marTop w:val="0"/>
      <w:marBottom w:val="0"/>
      <w:divBdr>
        <w:top w:val="none" w:sz="0" w:space="0" w:color="auto"/>
        <w:left w:val="none" w:sz="0" w:space="0" w:color="auto"/>
        <w:bottom w:val="none" w:sz="0" w:space="0" w:color="auto"/>
        <w:right w:val="none" w:sz="0" w:space="0" w:color="auto"/>
      </w:divBdr>
    </w:div>
    <w:div w:id="1668167874">
      <w:bodyDiv w:val="1"/>
      <w:marLeft w:val="0"/>
      <w:marRight w:val="0"/>
      <w:marTop w:val="0"/>
      <w:marBottom w:val="0"/>
      <w:divBdr>
        <w:top w:val="none" w:sz="0" w:space="0" w:color="auto"/>
        <w:left w:val="none" w:sz="0" w:space="0" w:color="auto"/>
        <w:bottom w:val="none" w:sz="0" w:space="0" w:color="auto"/>
        <w:right w:val="none" w:sz="0" w:space="0" w:color="auto"/>
      </w:divBdr>
    </w:div>
    <w:div w:id="1668245238">
      <w:bodyDiv w:val="1"/>
      <w:marLeft w:val="0"/>
      <w:marRight w:val="0"/>
      <w:marTop w:val="0"/>
      <w:marBottom w:val="0"/>
      <w:divBdr>
        <w:top w:val="none" w:sz="0" w:space="0" w:color="auto"/>
        <w:left w:val="none" w:sz="0" w:space="0" w:color="auto"/>
        <w:bottom w:val="none" w:sz="0" w:space="0" w:color="auto"/>
        <w:right w:val="none" w:sz="0" w:space="0" w:color="auto"/>
      </w:divBdr>
    </w:div>
    <w:div w:id="1668512817">
      <w:bodyDiv w:val="1"/>
      <w:marLeft w:val="0"/>
      <w:marRight w:val="0"/>
      <w:marTop w:val="0"/>
      <w:marBottom w:val="0"/>
      <w:divBdr>
        <w:top w:val="none" w:sz="0" w:space="0" w:color="auto"/>
        <w:left w:val="none" w:sz="0" w:space="0" w:color="auto"/>
        <w:bottom w:val="none" w:sz="0" w:space="0" w:color="auto"/>
        <w:right w:val="none" w:sz="0" w:space="0" w:color="auto"/>
      </w:divBdr>
    </w:div>
    <w:div w:id="1668633086">
      <w:bodyDiv w:val="1"/>
      <w:marLeft w:val="0"/>
      <w:marRight w:val="0"/>
      <w:marTop w:val="0"/>
      <w:marBottom w:val="0"/>
      <w:divBdr>
        <w:top w:val="none" w:sz="0" w:space="0" w:color="auto"/>
        <w:left w:val="none" w:sz="0" w:space="0" w:color="auto"/>
        <w:bottom w:val="none" w:sz="0" w:space="0" w:color="auto"/>
        <w:right w:val="none" w:sz="0" w:space="0" w:color="auto"/>
      </w:divBdr>
    </w:div>
    <w:div w:id="1668745917">
      <w:bodyDiv w:val="1"/>
      <w:marLeft w:val="0"/>
      <w:marRight w:val="0"/>
      <w:marTop w:val="0"/>
      <w:marBottom w:val="0"/>
      <w:divBdr>
        <w:top w:val="none" w:sz="0" w:space="0" w:color="auto"/>
        <w:left w:val="none" w:sz="0" w:space="0" w:color="auto"/>
        <w:bottom w:val="none" w:sz="0" w:space="0" w:color="auto"/>
        <w:right w:val="none" w:sz="0" w:space="0" w:color="auto"/>
      </w:divBdr>
    </w:div>
    <w:div w:id="1668748021">
      <w:bodyDiv w:val="1"/>
      <w:marLeft w:val="0"/>
      <w:marRight w:val="0"/>
      <w:marTop w:val="0"/>
      <w:marBottom w:val="0"/>
      <w:divBdr>
        <w:top w:val="none" w:sz="0" w:space="0" w:color="auto"/>
        <w:left w:val="none" w:sz="0" w:space="0" w:color="auto"/>
        <w:bottom w:val="none" w:sz="0" w:space="0" w:color="auto"/>
        <w:right w:val="none" w:sz="0" w:space="0" w:color="auto"/>
      </w:divBdr>
    </w:div>
    <w:div w:id="1668826134">
      <w:bodyDiv w:val="1"/>
      <w:marLeft w:val="0"/>
      <w:marRight w:val="0"/>
      <w:marTop w:val="0"/>
      <w:marBottom w:val="0"/>
      <w:divBdr>
        <w:top w:val="none" w:sz="0" w:space="0" w:color="auto"/>
        <w:left w:val="none" w:sz="0" w:space="0" w:color="auto"/>
        <w:bottom w:val="none" w:sz="0" w:space="0" w:color="auto"/>
        <w:right w:val="none" w:sz="0" w:space="0" w:color="auto"/>
      </w:divBdr>
    </w:div>
    <w:div w:id="1669015697">
      <w:bodyDiv w:val="1"/>
      <w:marLeft w:val="0"/>
      <w:marRight w:val="0"/>
      <w:marTop w:val="0"/>
      <w:marBottom w:val="0"/>
      <w:divBdr>
        <w:top w:val="none" w:sz="0" w:space="0" w:color="auto"/>
        <w:left w:val="none" w:sz="0" w:space="0" w:color="auto"/>
        <w:bottom w:val="none" w:sz="0" w:space="0" w:color="auto"/>
        <w:right w:val="none" w:sz="0" w:space="0" w:color="auto"/>
      </w:divBdr>
    </w:div>
    <w:div w:id="1669164229">
      <w:bodyDiv w:val="1"/>
      <w:marLeft w:val="0"/>
      <w:marRight w:val="0"/>
      <w:marTop w:val="0"/>
      <w:marBottom w:val="0"/>
      <w:divBdr>
        <w:top w:val="none" w:sz="0" w:space="0" w:color="auto"/>
        <w:left w:val="none" w:sz="0" w:space="0" w:color="auto"/>
        <w:bottom w:val="none" w:sz="0" w:space="0" w:color="auto"/>
        <w:right w:val="none" w:sz="0" w:space="0" w:color="auto"/>
      </w:divBdr>
    </w:div>
    <w:div w:id="1669288294">
      <w:bodyDiv w:val="1"/>
      <w:marLeft w:val="0"/>
      <w:marRight w:val="0"/>
      <w:marTop w:val="0"/>
      <w:marBottom w:val="0"/>
      <w:divBdr>
        <w:top w:val="none" w:sz="0" w:space="0" w:color="auto"/>
        <w:left w:val="none" w:sz="0" w:space="0" w:color="auto"/>
        <w:bottom w:val="none" w:sz="0" w:space="0" w:color="auto"/>
        <w:right w:val="none" w:sz="0" w:space="0" w:color="auto"/>
      </w:divBdr>
    </w:div>
    <w:div w:id="1669481832">
      <w:bodyDiv w:val="1"/>
      <w:marLeft w:val="0"/>
      <w:marRight w:val="0"/>
      <w:marTop w:val="0"/>
      <w:marBottom w:val="0"/>
      <w:divBdr>
        <w:top w:val="none" w:sz="0" w:space="0" w:color="auto"/>
        <w:left w:val="none" w:sz="0" w:space="0" w:color="auto"/>
        <w:bottom w:val="none" w:sz="0" w:space="0" w:color="auto"/>
        <w:right w:val="none" w:sz="0" w:space="0" w:color="auto"/>
      </w:divBdr>
    </w:div>
    <w:div w:id="1669869323">
      <w:bodyDiv w:val="1"/>
      <w:marLeft w:val="0"/>
      <w:marRight w:val="0"/>
      <w:marTop w:val="0"/>
      <w:marBottom w:val="0"/>
      <w:divBdr>
        <w:top w:val="none" w:sz="0" w:space="0" w:color="auto"/>
        <w:left w:val="none" w:sz="0" w:space="0" w:color="auto"/>
        <w:bottom w:val="none" w:sz="0" w:space="0" w:color="auto"/>
        <w:right w:val="none" w:sz="0" w:space="0" w:color="auto"/>
      </w:divBdr>
    </w:div>
    <w:div w:id="1669938753">
      <w:bodyDiv w:val="1"/>
      <w:marLeft w:val="0"/>
      <w:marRight w:val="0"/>
      <w:marTop w:val="0"/>
      <w:marBottom w:val="0"/>
      <w:divBdr>
        <w:top w:val="none" w:sz="0" w:space="0" w:color="auto"/>
        <w:left w:val="none" w:sz="0" w:space="0" w:color="auto"/>
        <w:bottom w:val="none" w:sz="0" w:space="0" w:color="auto"/>
        <w:right w:val="none" w:sz="0" w:space="0" w:color="auto"/>
      </w:divBdr>
    </w:div>
    <w:div w:id="1669942825">
      <w:bodyDiv w:val="1"/>
      <w:marLeft w:val="0"/>
      <w:marRight w:val="0"/>
      <w:marTop w:val="0"/>
      <w:marBottom w:val="0"/>
      <w:divBdr>
        <w:top w:val="none" w:sz="0" w:space="0" w:color="auto"/>
        <w:left w:val="none" w:sz="0" w:space="0" w:color="auto"/>
        <w:bottom w:val="none" w:sz="0" w:space="0" w:color="auto"/>
        <w:right w:val="none" w:sz="0" w:space="0" w:color="auto"/>
      </w:divBdr>
    </w:div>
    <w:div w:id="1670252658">
      <w:bodyDiv w:val="1"/>
      <w:marLeft w:val="0"/>
      <w:marRight w:val="0"/>
      <w:marTop w:val="0"/>
      <w:marBottom w:val="0"/>
      <w:divBdr>
        <w:top w:val="none" w:sz="0" w:space="0" w:color="auto"/>
        <w:left w:val="none" w:sz="0" w:space="0" w:color="auto"/>
        <w:bottom w:val="none" w:sz="0" w:space="0" w:color="auto"/>
        <w:right w:val="none" w:sz="0" w:space="0" w:color="auto"/>
      </w:divBdr>
    </w:div>
    <w:div w:id="1670406078">
      <w:bodyDiv w:val="1"/>
      <w:marLeft w:val="0"/>
      <w:marRight w:val="0"/>
      <w:marTop w:val="0"/>
      <w:marBottom w:val="0"/>
      <w:divBdr>
        <w:top w:val="none" w:sz="0" w:space="0" w:color="auto"/>
        <w:left w:val="none" w:sz="0" w:space="0" w:color="auto"/>
        <w:bottom w:val="none" w:sz="0" w:space="0" w:color="auto"/>
        <w:right w:val="none" w:sz="0" w:space="0" w:color="auto"/>
      </w:divBdr>
    </w:div>
    <w:div w:id="1670643986">
      <w:bodyDiv w:val="1"/>
      <w:marLeft w:val="0"/>
      <w:marRight w:val="0"/>
      <w:marTop w:val="0"/>
      <w:marBottom w:val="0"/>
      <w:divBdr>
        <w:top w:val="none" w:sz="0" w:space="0" w:color="auto"/>
        <w:left w:val="none" w:sz="0" w:space="0" w:color="auto"/>
        <w:bottom w:val="none" w:sz="0" w:space="0" w:color="auto"/>
        <w:right w:val="none" w:sz="0" w:space="0" w:color="auto"/>
      </w:divBdr>
    </w:div>
    <w:div w:id="1670670041">
      <w:bodyDiv w:val="1"/>
      <w:marLeft w:val="0"/>
      <w:marRight w:val="0"/>
      <w:marTop w:val="0"/>
      <w:marBottom w:val="0"/>
      <w:divBdr>
        <w:top w:val="none" w:sz="0" w:space="0" w:color="auto"/>
        <w:left w:val="none" w:sz="0" w:space="0" w:color="auto"/>
        <w:bottom w:val="none" w:sz="0" w:space="0" w:color="auto"/>
        <w:right w:val="none" w:sz="0" w:space="0" w:color="auto"/>
      </w:divBdr>
    </w:div>
    <w:div w:id="1670671903">
      <w:bodyDiv w:val="1"/>
      <w:marLeft w:val="0"/>
      <w:marRight w:val="0"/>
      <w:marTop w:val="0"/>
      <w:marBottom w:val="0"/>
      <w:divBdr>
        <w:top w:val="none" w:sz="0" w:space="0" w:color="auto"/>
        <w:left w:val="none" w:sz="0" w:space="0" w:color="auto"/>
        <w:bottom w:val="none" w:sz="0" w:space="0" w:color="auto"/>
        <w:right w:val="none" w:sz="0" w:space="0" w:color="auto"/>
      </w:divBdr>
    </w:div>
    <w:div w:id="1670713161">
      <w:bodyDiv w:val="1"/>
      <w:marLeft w:val="0"/>
      <w:marRight w:val="0"/>
      <w:marTop w:val="0"/>
      <w:marBottom w:val="0"/>
      <w:divBdr>
        <w:top w:val="none" w:sz="0" w:space="0" w:color="auto"/>
        <w:left w:val="none" w:sz="0" w:space="0" w:color="auto"/>
        <w:bottom w:val="none" w:sz="0" w:space="0" w:color="auto"/>
        <w:right w:val="none" w:sz="0" w:space="0" w:color="auto"/>
      </w:divBdr>
    </w:div>
    <w:div w:id="1670785765">
      <w:bodyDiv w:val="1"/>
      <w:marLeft w:val="0"/>
      <w:marRight w:val="0"/>
      <w:marTop w:val="0"/>
      <w:marBottom w:val="0"/>
      <w:divBdr>
        <w:top w:val="none" w:sz="0" w:space="0" w:color="auto"/>
        <w:left w:val="none" w:sz="0" w:space="0" w:color="auto"/>
        <w:bottom w:val="none" w:sz="0" w:space="0" w:color="auto"/>
        <w:right w:val="none" w:sz="0" w:space="0" w:color="auto"/>
      </w:divBdr>
    </w:div>
    <w:div w:id="1670789774">
      <w:bodyDiv w:val="1"/>
      <w:marLeft w:val="0"/>
      <w:marRight w:val="0"/>
      <w:marTop w:val="0"/>
      <w:marBottom w:val="0"/>
      <w:divBdr>
        <w:top w:val="none" w:sz="0" w:space="0" w:color="auto"/>
        <w:left w:val="none" w:sz="0" w:space="0" w:color="auto"/>
        <w:bottom w:val="none" w:sz="0" w:space="0" w:color="auto"/>
        <w:right w:val="none" w:sz="0" w:space="0" w:color="auto"/>
      </w:divBdr>
    </w:div>
    <w:div w:id="1670867415">
      <w:bodyDiv w:val="1"/>
      <w:marLeft w:val="0"/>
      <w:marRight w:val="0"/>
      <w:marTop w:val="0"/>
      <w:marBottom w:val="0"/>
      <w:divBdr>
        <w:top w:val="none" w:sz="0" w:space="0" w:color="auto"/>
        <w:left w:val="none" w:sz="0" w:space="0" w:color="auto"/>
        <w:bottom w:val="none" w:sz="0" w:space="0" w:color="auto"/>
        <w:right w:val="none" w:sz="0" w:space="0" w:color="auto"/>
      </w:divBdr>
    </w:div>
    <w:div w:id="1670870265">
      <w:bodyDiv w:val="1"/>
      <w:marLeft w:val="0"/>
      <w:marRight w:val="0"/>
      <w:marTop w:val="0"/>
      <w:marBottom w:val="0"/>
      <w:divBdr>
        <w:top w:val="none" w:sz="0" w:space="0" w:color="auto"/>
        <w:left w:val="none" w:sz="0" w:space="0" w:color="auto"/>
        <w:bottom w:val="none" w:sz="0" w:space="0" w:color="auto"/>
        <w:right w:val="none" w:sz="0" w:space="0" w:color="auto"/>
      </w:divBdr>
    </w:div>
    <w:div w:id="1671058016">
      <w:bodyDiv w:val="1"/>
      <w:marLeft w:val="0"/>
      <w:marRight w:val="0"/>
      <w:marTop w:val="0"/>
      <w:marBottom w:val="0"/>
      <w:divBdr>
        <w:top w:val="none" w:sz="0" w:space="0" w:color="auto"/>
        <w:left w:val="none" w:sz="0" w:space="0" w:color="auto"/>
        <w:bottom w:val="none" w:sz="0" w:space="0" w:color="auto"/>
        <w:right w:val="none" w:sz="0" w:space="0" w:color="auto"/>
      </w:divBdr>
    </w:div>
    <w:div w:id="1671105865">
      <w:bodyDiv w:val="1"/>
      <w:marLeft w:val="0"/>
      <w:marRight w:val="0"/>
      <w:marTop w:val="0"/>
      <w:marBottom w:val="0"/>
      <w:divBdr>
        <w:top w:val="none" w:sz="0" w:space="0" w:color="auto"/>
        <w:left w:val="none" w:sz="0" w:space="0" w:color="auto"/>
        <w:bottom w:val="none" w:sz="0" w:space="0" w:color="auto"/>
        <w:right w:val="none" w:sz="0" w:space="0" w:color="auto"/>
      </w:divBdr>
    </w:div>
    <w:div w:id="1671250578">
      <w:bodyDiv w:val="1"/>
      <w:marLeft w:val="0"/>
      <w:marRight w:val="0"/>
      <w:marTop w:val="0"/>
      <w:marBottom w:val="0"/>
      <w:divBdr>
        <w:top w:val="none" w:sz="0" w:space="0" w:color="auto"/>
        <w:left w:val="none" w:sz="0" w:space="0" w:color="auto"/>
        <w:bottom w:val="none" w:sz="0" w:space="0" w:color="auto"/>
        <w:right w:val="none" w:sz="0" w:space="0" w:color="auto"/>
      </w:divBdr>
    </w:div>
    <w:div w:id="1671331333">
      <w:bodyDiv w:val="1"/>
      <w:marLeft w:val="0"/>
      <w:marRight w:val="0"/>
      <w:marTop w:val="0"/>
      <w:marBottom w:val="0"/>
      <w:divBdr>
        <w:top w:val="none" w:sz="0" w:space="0" w:color="auto"/>
        <w:left w:val="none" w:sz="0" w:space="0" w:color="auto"/>
        <w:bottom w:val="none" w:sz="0" w:space="0" w:color="auto"/>
        <w:right w:val="none" w:sz="0" w:space="0" w:color="auto"/>
      </w:divBdr>
    </w:div>
    <w:div w:id="1671711341">
      <w:bodyDiv w:val="1"/>
      <w:marLeft w:val="0"/>
      <w:marRight w:val="0"/>
      <w:marTop w:val="0"/>
      <w:marBottom w:val="0"/>
      <w:divBdr>
        <w:top w:val="none" w:sz="0" w:space="0" w:color="auto"/>
        <w:left w:val="none" w:sz="0" w:space="0" w:color="auto"/>
        <w:bottom w:val="none" w:sz="0" w:space="0" w:color="auto"/>
        <w:right w:val="none" w:sz="0" w:space="0" w:color="auto"/>
      </w:divBdr>
    </w:div>
    <w:div w:id="1671910549">
      <w:bodyDiv w:val="1"/>
      <w:marLeft w:val="0"/>
      <w:marRight w:val="0"/>
      <w:marTop w:val="0"/>
      <w:marBottom w:val="0"/>
      <w:divBdr>
        <w:top w:val="none" w:sz="0" w:space="0" w:color="auto"/>
        <w:left w:val="none" w:sz="0" w:space="0" w:color="auto"/>
        <w:bottom w:val="none" w:sz="0" w:space="0" w:color="auto"/>
        <w:right w:val="none" w:sz="0" w:space="0" w:color="auto"/>
      </w:divBdr>
    </w:div>
    <w:div w:id="1671911293">
      <w:bodyDiv w:val="1"/>
      <w:marLeft w:val="0"/>
      <w:marRight w:val="0"/>
      <w:marTop w:val="0"/>
      <w:marBottom w:val="0"/>
      <w:divBdr>
        <w:top w:val="none" w:sz="0" w:space="0" w:color="auto"/>
        <w:left w:val="none" w:sz="0" w:space="0" w:color="auto"/>
        <w:bottom w:val="none" w:sz="0" w:space="0" w:color="auto"/>
        <w:right w:val="none" w:sz="0" w:space="0" w:color="auto"/>
      </w:divBdr>
    </w:div>
    <w:div w:id="1672246959">
      <w:bodyDiv w:val="1"/>
      <w:marLeft w:val="0"/>
      <w:marRight w:val="0"/>
      <w:marTop w:val="0"/>
      <w:marBottom w:val="0"/>
      <w:divBdr>
        <w:top w:val="none" w:sz="0" w:space="0" w:color="auto"/>
        <w:left w:val="none" w:sz="0" w:space="0" w:color="auto"/>
        <w:bottom w:val="none" w:sz="0" w:space="0" w:color="auto"/>
        <w:right w:val="none" w:sz="0" w:space="0" w:color="auto"/>
      </w:divBdr>
    </w:div>
    <w:div w:id="1672293223">
      <w:bodyDiv w:val="1"/>
      <w:marLeft w:val="0"/>
      <w:marRight w:val="0"/>
      <w:marTop w:val="0"/>
      <w:marBottom w:val="0"/>
      <w:divBdr>
        <w:top w:val="none" w:sz="0" w:space="0" w:color="auto"/>
        <w:left w:val="none" w:sz="0" w:space="0" w:color="auto"/>
        <w:bottom w:val="none" w:sz="0" w:space="0" w:color="auto"/>
        <w:right w:val="none" w:sz="0" w:space="0" w:color="auto"/>
      </w:divBdr>
    </w:div>
    <w:div w:id="1672485565">
      <w:bodyDiv w:val="1"/>
      <w:marLeft w:val="0"/>
      <w:marRight w:val="0"/>
      <w:marTop w:val="0"/>
      <w:marBottom w:val="0"/>
      <w:divBdr>
        <w:top w:val="none" w:sz="0" w:space="0" w:color="auto"/>
        <w:left w:val="none" w:sz="0" w:space="0" w:color="auto"/>
        <w:bottom w:val="none" w:sz="0" w:space="0" w:color="auto"/>
        <w:right w:val="none" w:sz="0" w:space="0" w:color="auto"/>
      </w:divBdr>
    </w:div>
    <w:div w:id="1672490434">
      <w:bodyDiv w:val="1"/>
      <w:marLeft w:val="0"/>
      <w:marRight w:val="0"/>
      <w:marTop w:val="0"/>
      <w:marBottom w:val="0"/>
      <w:divBdr>
        <w:top w:val="none" w:sz="0" w:space="0" w:color="auto"/>
        <w:left w:val="none" w:sz="0" w:space="0" w:color="auto"/>
        <w:bottom w:val="none" w:sz="0" w:space="0" w:color="auto"/>
        <w:right w:val="none" w:sz="0" w:space="0" w:color="auto"/>
      </w:divBdr>
    </w:div>
    <w:div w:id="1672561903">
      <w:bodyDiv w:val="1"/>
      <w:marLeft w:val="0"/>
      <w:marRight w:val="0"/>
      <w:marTop w:val="0"/>
      <w:marBottom w:val="0"/>
      <w:divBdr>
        <w:top w:val="none" w:sz="0" w:space="0" w:color="auto"/>
        <w:left w:val="none" w:sz="0" w:space="0" w:color="auto"/>
        <w:bottom w:val="none" w:sz="0" w:space="0" w:color="auto"/>
        <w:right w:val="none" w:sz="0" w:space="0" w:color="auto"/>
      </w:divBdr>
    </w:div>
    <w:div w:id="1672685904">
      <w:bodyDiv w:val="1"/>
      <w:marLeft w:val="0"/>
      <w:marRight w:val="0"/>
      <w:marTop w:val="0"/>
      <w:marBottom w:val="0"/>
      <w:divBdr>
        <w:top w:val="none" w:sz="0" w:space="0" w:color="auto"/>
        <w:left w:val="none" w:sz="0" w:space="0" w:color="auto"/>
        <w:bottom w:val="none" w:sz="0" w:space="0" w:color="auto"/>
        <w:right w:val="none" w:sz="0" w:space="0" w:color="auto"/>
      </w:divBdr>
    </w:div>
    <w:div w:id="1672753818">
      <w:bodyDiv w:val="1"/>
      <w:marLeft w:val="0"/>
      <w:marRight w:val="0"/>
      <w:marTop w:val="0"/>
      <w:marBottom w:val="0"/>
      <w:divBdr>
        <w:top w:val="none" w:sz="0" w:space="0" w:color="auto"/>
        <w:left w:val="none" w:sz="0" w:space="0" w:color="auto"/>
        <w:bottom w:val="none" w:sz="0" w:space="0" w:color="auto"/>
        <w:right w:val="none" w:sz="0" w:space="0" w:color="auto"/>
      </w:divBdr>
    </w:div>
    <w:div w:id="1672828367">
      <w:bodyDiv w:val="1"/>
      <w:marLeft w:val="0"/>
      <w:marRight w:val="0"/>
      <w:marTop w:val="0"/>
      <w:marBottom w:val="0"/>
      <w:divBdr>
        <w:top w:val="none" w:sz="0" w:space="0" w:color="auto"/>
        <w:left w:val="none" w:sz="0" w:space="0" w:color="auto"/>
        <w:bottom w:val="none" w:sz="0" w:space="0" w:color="auto"/>
        <w:right w:val="none" w:sz="0" w:space="0" w:color="auto"/>
      </w:divBdr>
    </w:div>
    <w:div w:id="1672876933">
      <w:bodyDiv w:val="1"/>
      <w:marLeft w:val="0"/>
      <w:marRight w:val="0"/>
      <w:marTop w:val="0"/>
      <w:marBottom w:val="0"/>
      <w:divBdr>
        <w:top w:val="none" w:sz="0" w:space="0" w:color="auto"/>
        <w:left w:val="none" w:sz="0" w:space="0" w:color="auto"/>
        <w:bottom w:val="none" w:sz="0" w:space="0" w:color="auto"/>
        <w:right w:val="none" w:sz="0" w:space="0" w:color="auto"/>
      </w:divBdr>
    </w:div>
    <w:div w:id="1673139863">
      <w:bodyDiv w:val="1"/>
      <w:marLeft w:val="0"/>
      <w:marRight w:val="0"/>
      <w:marTop w:val="0"/>
      <w:marBottom w:val="0"/>
      <w:divBdr>
        <w:top w:val="none" w:sz="0" w:space="0" w:color="auto"/>
        <w:left w:val="none" w:sz="0" w:space="0" w:color="auto"/>
        <w:bottom w:val="none" w:sz="0" w:space="0" w:color="auto"/>
        <w:right w:val="none" w:sz="0" w:space="0" w:color="auto"/>
      </w:divBdr>
    </w:div>
    <w:div w:id="1673679035">
      <w:bodyDiv w:val="1"/>
      <w:marLeft w:val="0"/>
      <w:marRight w:val="0"/>
      <w:marTop w:val="0"/>
      <w:marBottom w:val="0"/>
      <w:divBdr>
        <w:top w:val="none" w:sz="0" w:space="0" w:color="auto"/>
        <w:left w:val="none" w:sz="0" w:space="0" w:color="auto"/>
        <w:bottom w:val="none" w:sz="0" w:space="0" w:color="auto"/>
        <w:right w:val="none" w:sz="0" w:space="0" w:color="auto"/>
      </w:divBdr>
    </w:div>
    <w:div w:id="1673995795">
      <w:bodyDiv w:val="1"/>
      <w:marLeft w:val="0"/>
      <w:marRight w:val="0"/>
      <w:marTop w:val="0"/>
      <w:marBottom w:val="0"/>
      <w:divBdr>
        <w:top w:val="none" w:sz="0" w:space="0" w:color="auto"/>
        <w:left w:val="none" w:sz="0" w:space="0" w:color="auto"/>
        <w:bottom w:val="none" w:sz="0" w:space="0" w:color="auto"/>
        <w:right w:val="none" w:sz="0" w:space="0" w:color="auto"/>
      </w:divBdr>
    </w:div>
    <w:div w:id="1674066389">
      <w:bodyDiv w:val="1"/>
      <w:marLeft w:val="0"/>
      <w:marRight w:val="0"/>
      <w:marTop w:val="0"/>
      <w:marBottom w:val="0"/>
      <w:divBdr>
        <w:top w:val="none" w:sz="0" w:space="0" w:color="auto"/>
        <w:left w:val="none" w:sz="0" w:space="0" w:color="auto"/>
        <w:bottom w:val="none" w:sz="0" w:space="0" w:color="auto"/>
        <w:right w:val="none" w:sz="0" w:space="0" w:color="auto"/>
      </w:divBdr>
    </w:div>
    <w:div w:id="1674187360">
      <w:bodyDiv w:val="1"/>
      <w:marLeft w:val="0"/>
      <w:marRight w:val="0"/>
      <w:marTop w:val="0"/>
      <w:marBottom w:val="0"/>
      <w:divBdr>
        <w:top w:val="none" w:sz="0" w:space="0" w:color="auto"/>
        <w:left w:val="none" w:sz="0" w:space="0" w:color="auto"/>
        <w:bottom w:val="none" w:sz="0" w:space="0" w:color="auto"/>
        <w:right w:val="none" w:sz="0" w:space="0" w:color="auto"/>
      </w:divBdr>
    </w:div>
    <w:div w:id="1674189234">
      <w:bodyDiv w:val="1"/>
      <w:marLeft w:val="0"/>
      <w:marRight w:val="0"/>
      <w:marTop w:val="0"/>
      <w:marBottom w:val="0"/>
      <w:divBdr>
        <w:top w:val="none" w:sz="0" w:space="0" w:color="auto"/>
        <w:left w:val="none" w:sz="0" w:space="0" w:color="auto"/>
        <w:bottom w:val="none" w:sz="0" w:space="0" w:color="auto"/>
        <w:right w:val="none" w:sz="0" w:space="0" w:color="auto"/>
      </w:divBdr>
    </w:div>
    <w:div w:id="1674189347">
      <w:bodyDiv w:val="1"/>
      <w:marLeft w:val="0"/>
      <w:marRight w:val="0"/>
      <w:marTop w:val="0"/>
      <w:marBottom w:val="0"/>
      <w:divBdr>
        <w:top w:val="none" w:sz="0" w:space="0" w:color="auto"/>
        <w:left w:val="none" w:sz="0" w:space="0" w:color="auto"/>
        <w:bottom w:val="none" w:sz="0" w:space="0" w:color="auto"/>
        <w:right w:val="none" w:sz="0" w:space="0" w:color="auto"/>
      </w:divBdr>
    </w:div>
    <w:div w:id="1674255950">
      <w:bodyDiv w:val="1"/>
      <w:marLeft w:val="0"/>
      <w:marRight w:val="0"/>
      <w:marTop w:val="0"/>
      <w:marBottom w:val="0"/>
      <w:divBdr>
        <w:top w:val="none" w:sz="0" w:space="0" w:color="auto"/>
        <w:left w:val="none" w:sz="0" w:space="0" w:color="auto"/>
        <w:bottom w:val="none" w:sz="0" w:space="0" w:color="auto"/>
        <w:right w:val="none" w:sz="0" w:space="0" w:color="auto"/>
      </w:divBdr>
    </w:div>
    <w:div w:id="1674382990">
      <w:bodyDiv w:val="1"/>
      <w:marLeft w:val="0"/>
      <w:marRight w:val="0"/>
      <w:marTop w:val="0"/>
      <w:marBottom w:val="0"/>
      <w:divBdr>
        <w:top w:val="none" w:sz="0" w:space="0" w:color="auto"/>
        <w:left w:val="none" w:sz="0" w:space="0" w:color="auto"/>
        <w:bottom w:val="none" w:sz="0" w:space="0" w:color="auto"/>
        <w:right w:val="none" w:sz="0" w:space="0" w:color="auto"/>
      </w:divBdr>
    </w:div>
    <w:div w:id="1674607348">
      <w:bodyDiv w:val="1"/>
      <w:marLeft w:val="0"/>
      <w:marRight w:val="0"/>
      <w:marTop w:val="0"/>
      <w:marBottom w:val="0"/>
      <w:divBdr>
        <w:top w:val="none" w:sz="0" w:space="0" w:color="auto"/>
        <w:left w:val="none" w:sz="0" w:space="0" w:color="auto"/>
        <w:bottom w:val="none" w:sz="0" w:space="0" w:color="auto"/>
        <w:right w:val="none" w:sz="0" w:space="0" w:color="auto"/>
      </w:divBdr>
    </w:div>
    <w:div w:id="1674717552">
      <w:bodyDiv w:val="1"/>
      <w:marLeft w:val="0"/>
      <w:marRight w:val="0"/>
      <w:marTop w:val="0"/>
      <w:marBottom w:val="0"/>
      <w:divBdr>
        <w:top w:val="none" w:sz="0" w:space="0" w:color="auto"/>
        <w:left w:val="none" w:sz="0" w:space="0" w:color="auto"/>
        <w:bottom w:val="none" w:sz="0" w:space="0" w:color="auto"/>
        <w:right w:val="none" w:sz="0" w:space="0" w:color="auto"/>
      </w:divBdr>
    </w:div>
    <w:div w:id="1675112294">
      <w:bodyDiv w:val="1"/>
      <w:marLeft w:val="0"/>
      <w:marRight w:val="0"/>
      <w:marTop w:val="0"/>
      <w:marBottom w:val="0"/>
      <w:divBdr>
        <w:top w:val="none" w:sz="0" w:space="0" w:color="auto"/>
        <w:left w:val="none" w:sz="0" w:space="0" w:color="auto"/>
        <w:bottom w:val="none" w:sz="0" w:space="0" w:color="auto"/>
        <w:right w:val="none" w:sz="0" w:space="0" w:color="auto"/>
      </w:divBdr>
    </w:div>
    <w:div w:id="1675183587">
      <w:bodyDiv w:val="1"/>
      <w:marLeft w:val="0"/>
      <w:marRight w:val="0"/>
      <w:marTop w:val="0"/>
      <w:marBottom w:val="0"/>
      <w:divBdr>
        <w:top w:val="none" w:sz="0" w:space="0" w:color="auto"/>
        <w:left w:val="none" w:sz="0" w:space="0" w:color="auto"/>
        <w:bottom w:val="none" w:sz="0" w:space="0" w:color="auto"/>
        <w:right w:val="none" w:sz="0" w:space="0" w:color="auto"/>
      </w:divBdr>
    </w:div>
    <w:div w:id="1675306432">
      <w:bodyDiv w:val="1"/>
      <w:marLeft w:val="0"/>
      <w:marRight w:val="0"/>
      <w:marTop w:val="0"/>
      <w:marBottom w:val="0"/>
      <w:divBdr>
        <w:top w:val="none" w:sz="0" w:space="0" w:color="auto"/>
        <w:left w:val="none" w:sz="0" w:space="0" w:color="auto"/>
        <w:bottom w:val="none" w:sz="0" w:space="0" w:color="auto"/>
        <w:right w:val="none" w:sz="0" w:space="0" w:color="auto"/>
      </w:divBdr>
    </w:div>
    <w:div w:id="1675566293">
      <w:bodyDiv w:val="1"/>
      <w:marLeft w:val="0"/>
      <w:marRight w:val="0"/>
      <w:marTop w:val="0"/>
      <w:marBottom w:val="0"/>
      <w:divBdr>
        <w:top w:val="none" w:sz="0" w:space="0" w:color="auto"/>
        <w:left w:val="none" w:sz="0" w:space="0" w:color="auto"/>
        <w:bottom w:val="none" w:sz="0" w:space="0" w:color="auto"/>
        <w:right w:val="none" w:sz="0" w:space="0" w:color="auto"/>
      </w:divBdr>
    </w:div>
    <w:div w:id="1675762952">
      <w:bodyDiv w:val="1"/>
      <w:marLeft w:val="0"/>
      <w:marRight w:val="0"/>
      <w:marTop w:val="0"/>
      <w:marBottom w:val="0"/>
      <w:divBdr>
        <w:top w:val="none" w:sz="0" w:space="0" w:color="auto"/>
        <w:left w:val="none" w:sz="0" w:space="0" w:color="auto"/>
        <w:bottom w:val="none" w:sz="0" w:space="0" w:color="auto"/>
        <w:right w:val="none" w:sz="0" w:space="0" w:color="auto"/>
      </w:divBdr>
    </w:div>
    <w:div w:id="1676149828">
      <w:bodyDiv w:val="1"/>
      <w:marLeft w:val="0"/>
      <w:marRight w:val="0"/>
      <w:marTop w:val="0"/>
      <w:marBottom w:val="0"/>
      <w:divBdr>
        <w:top w:val="none" w:sz="0" w:space="0" w:color="auto"/>
        <w:left w:val="none" w:sz="0" w:space="0" w:color="auto"/>
        <w:bottom w:val="none" w:sz="0" w:space="0" w:color="auto"/>
        <w:right w:val="none" w:sz="0" w:space="0" w:color="auto"/>
      </w:divBdr>
    </w:div>
    <w:div w:id="1676150360">
      <w:bodyDiv w:val="1"/>
      <w:marLeft w:val="0"/>
      <w:marRight w:val="0"/>
      <w:marTop w:val="0"/>
      <w:marBottom w:val="0"/>
      <w:divBdr>
        <w:top w:val="none" w:sz="0" w:space="0" w:color="auto"/>
        <w:left w:val="none" w:sz="0" w:space="0" w:color="auto"/>
        <w:bottom w:val="none" w:sz="0" w:space="0" w:color="auto"/>
        <w:right w:val="none" w:sz="0" w:space="0" w:color="auto"/>
      </w:divBdr>
    </w:div>
    <w:div w:id="1676153058">
      <w:bodyDiv w:val="1"/>
      <w:marLeft w:val="0"/>
      <w:marRight w:val="0"/>
      <w:marTop w:val="0"/>
      <w:marBottom w:val="0"/>
      <w:divBdr>
        <w:top w:val="none" w:sz="0" w:space="0" w:color="auto"/>
        <w:left w:val="none" w:sz="0" w:space="0" w:color="auto"/>
        <w:bottom w:val="none" w:sz="0" w:space="0" w:color="auto"/>
        <w:right w:val="none" w:sz="0" w:space="0" w:color="auto"/>
      </w:divBdr>
      <w:divsChild>
        <w:div w:id="210463543">
          <w:marLeft w:val="0"/>
          <w:marRight w:val="0"/>
          <w:marTop w:val="0"/>
          <w:marBottom w:val="0"/>
          <w:divBdr>
            <w:top w:val="none" w:sz="0" w:space="0" w:color="auto"/>
            <w:left w:val="none" w:sz="0" w:space="0" w:color="auto"/>
            <w:bottom w:val="none" w:sz="0" w:space="0" w:color="auto"/>
            <w:right w:val="none" w:sz="0" w:space="0" w:color="auto"/>
          </w:divBdr>
        </w:div>
        <w:div w:id="229734434">
          <w:marLeft w:val="0"/>
          <w:marRight w:val="0"/>
          <w:marTop w:val="0"/>
          <w:marBottom w:val="0"/>
          <w:divBdr>
            <w:top w:val="none" w:sz="0" w:space="0" w:color="auto"/>
            <w:left w:val="none" w:sz="0" w:space="0" w:color="auto"/>
            <w:bottom w:val="none" w:sz="0" w:space="0" w:color="auto"/>
            <w:right w:val="none" w:sz="0" w:space="0" w:color="auto"/>
          </w:divBdr>
        </w:div>
        <w:div w:id="253974841">
          <w:marLeft w:val="0"/>
          <w:marRight w:val="0"/>
          <w:marTop w:val="0"/>
          <w:marBottom w:val="0"/>
          <w:divBdr>
            <w:top w:val="none" w:sz="0" w:space="0" w:color="auto"/>
            <w:left w:val="none" w:sz="0" w:space="0" w:color="auto"/>
            <w:bottom w:val="none" w:sz="0" w:space="0" w:color="auto"/>
            <w:right w:val="none" w:sz="0" w:space="0" w:color="auto"/>
          </w:divBdr>
        </w:div>
        <w:div w:id="269820957">
          <w:marLeft w:val="0"/>
          <w:marRight w:val="0"/>
          <w:marTop w:val="0"/>
          <w:marBottom w:val="0"/>
          <w:divBdr>
            <w:top w:val="none" w:sz="0" w:space="0" w:color="auto"/>
            <w:left w:val="none" w:sz="0" w:space="0" w:color="auto"/>
            <w:bottom w:val="none" w:sz="0" w:space="0" w:color="auto"/>
            <w:right w:val="none" w:sz="0" w:space="0" w:color="auto"/>
          </w:divBdr>
        </w:div>
        <w:div w:id="394013553">
          <w:marLeft w:val="0"/>
          <w:marRight w:val="0"/>
          <w:marTop w:val="0"/>
          <w:marBottom w:val="0"/>
          <w:divBdr>
            <w:top w:val="none" w:sz="0" w:space="0" w:color="auto"/>
            <w:left w:val="none" w:sz="0" w:space="0" w:color="auto"/>
            <w:bottom w:val="none" w:sz="0" w:space="0" w:color="auto"/>
            <w:right w:val="none" w:sz="0" w:space="0" w:color="auto"/>
          </w:divBdr>
        </w:div>
        <w:div w:id="615449776">
          <w:marLeft w:val="0"/>
          <w:marRight w:val="0"/>
          <w:marTop w:val="0"/>
          <w:marBottom w:val="0"/>
          <w:divBdr>
            <w:top w:val="none" w:sz="0" w:space="0" w:color="auto"/>
            <w:left w:val="none" w:sz="0" w:space="0" w:color="auto"/>
            <w:bottom w:val="none" w:sz="0" w:space="0" w:color="auto"/>
            <w:right w:val="none" w:sz="0" w:space="0" w:color="auto"/>
          </w:divBdr>
        </w:div>
        <w:div w:id="627324651">
          <w:marLeft w:val="0"/>
          <w:marRight w:val="0"/>
          <w:marTop w:val="0"/>
          <w:marBottom w:val="0"/>
          <w:divBdr>
            <w:top w:val="none" w:sz="0" w:space="0" w:color="auto"/>
            <w:left w:val="none" w:sz="0" w:space="0" w:color="auto"/>
            <w:bottom w:val="none" w:sz="0" w:space="0" w:color="auto"/>
            <w:right w:val="none" w:sz="0" w:space="0" w:color="auto"/>
          </w:divBdr>
        </w:div>
        <w:div w:id="691154399">
          <w:marLeft w:val="0"/>
          <w:marRight w:val="0"/>
          <w:marTop w:val="0"/>
          <w:marBottom w:val="0"/>
          <w:divBdr>
            <w:top w:val="none" w:sz="0" w:space="0" w:color="auto"/>
            <w:left w:val="none" w:sz="0" w:space="0" w:color="auto"/>
            <w:bottom w:val="none" w:sz="0" w:space="0" w:color="auto"/>
            <w:right w:val="none" w:sz="0" w:space="0" w:color="auto"/>
          </w:divBdr>
        </w:div>
        <w:div w:id="741760709">
          <w:marLeft w:val="0"/>
          <w:marRight w:val="0"/>
          <w:marTop w:val="0"/>
          <w:marBottom w:val="0"/>
          <w:divBdr>
            <w:top w:val="none" w:sz="0" w:space="0" w:color="auto"/>
            <w:left w:val="none" w:sz="0" w:space="0" w:color="auto"/>
            <w:bottom w:val="none" w:sz="0" w:space="0" w:color="auto"/>
            <w:right w:val="none" w:sz="0" w:space="0" w:color="auto"/>
          </w:divBdr>
        </w:div>
        <w:div w:id="1110396540">
          <w:marLeft w:val="0"/>
          <w:marRight w:val="0"/>
          <w:marTop w:val="0"/>
          <w:marBottom w:val="0"/>
          <w:divBdr>
            <w:top w:val="none" w:sz="0" w:space="0" w:color="auto"/>
            <w:left w:val="none" w:sz="0" w:space="0" w:color="auto"/>
            <w:bottom w:val="none" w:sz="0" w:space="0" w:color="auto"/>
            <w:right w:val="none" w:sz="0" w:space="0" w:color="auto"/>
          </w:divBdr>
        </w:div>
        <w:div w:id="1187282298">
          <w:marLeft w:val="0"/>
          <w:marRight w:val="0"/>
          <w:marTop w:val="0"/>
          <w:marBottom w:val="0"/>
          <w:divBdr>
            <w:top w:val="none" w:sz="0" w:space="0" w:color="auto"/>
            <w:left w:val="none" w:sz="0" w:space="0" w:color="auto"/>
            <w:bottom w:val="none" w:sz="0" w:space="0" w:color="auto"/>
            <w:right w:val="none" w:sz="0" w:space="0" w:color="auto"/>
          </w:divBdr>
        </w:div>
        <w:div w:id="1223060943">
          <w:marLeft w:val="0"/>
          <w:marRight w:val="0"/>
          <w:marTop w:val="0"/>
          <w:marBottom w:val="0"/>
          <w:divBdr>
            <w:top w:val="none" w:sz="0" w:space="0" w:color="auto"/>
            <w:left w:val="none" w:sz="0" w:space="0" w:color="auto"/>
            <w:bottom w:val="none" w:sz="0" w:space="0" w:color="auto"/>
            <w:right w:val="none" w:sz="0" w:space="0" w:color="auto"/>
          </w:divBdr>
        </w:div>
        <w:div w:id="1228036285">
          <w:marLeft w:val="0"/>
          <w:marRight w:val="0"/>
          <w:marTop w:val="0"/>
          <w:marBottom w:val="0"/>
          <w:divBdr>
            <w:top w:val="none" w:sz="0" w:space="0" w:color="auto"/>
            <w:left w:val="none" w:sz="0" w:space="0" w:color="auto"/>
            <w:bottom w:val="none" w:sz="0" w:space="0" w:color="auto"/>
            <w:right w:val="none" w:sz="0" w:space="0" w:color="auto"/>
          </w:divBdr>
        </w:div>
        <w:div w:id="1243181320">
          <w:marLeft w:val="0"/>
          <w:marRight w:val="0"/>
          <w:marTop w:val="0"/>
          <w:marBottom w:val="0"/>
          <w:divBdr>
            <w:top w:val="none" w:sz="0" w:space="0" w:color="auto"/>
            <w:left w:val="none" w:sz="0" w:space="0" w:color="auto"/>
            <w:bottom w:val="none" w:sz="0" w:space="0" w:color="auto"/>
            <w:right w:val="none" w:sz="0" w:space="0" w:color="auto"/>
          </w:divBdr>
        </w:div>
        <w:div w:id="1304697342">
          <w:marLeft w:val="0"/>
          <w:marRight w:val="0"/>
          <w:marTop w:val="0"/>
          <w:marBottom w:val="0"/>
          <w:divBdr>
            <w:top w:val="none" w:sz="0" w:space="0" w:color="auto"/>
            <w:left w:val="none" w:sz="0" w:space="0" w:color="auto"/>
            <w:bottom w:val="none" w:sz="0" w:space="0" w:color="auto"/>
            <w:right w:val="none" w:sz="0" w:space="0" w:color="auto"/>
          </w:divBdr>
        </w:div>
        <w:div w:id="1369913895">
          <w:marLeft w:val="0"/>
          <w:marRight w:val="0"/>
          <w:marTop w:val="0"/>
          <w:marBottom w:val="0"/>
          <w:divBdr>
            <w:top w:val="none" w:sz="0" w:space="0" w:color="auto"/>
            <w:left w:val="none" w:sz="0" w:space="0" w:color="auto"/>
            <w:bottom w:val="none" w:sz="0" w:space="0" w:color="auto"/>
            <w:right w:val="none" w:sz="0" w:space="0" w:color="auto"/>
          </w:divBdr>
        </w:div>
        <w:div w:id="1418475556">
          <w:marLeft w:val="0"/>
          <w:marRight w:val="0"/>
          <w:marTop w:val="0"/>
          <w:marBottom w:val="0"/>
          <w:divBdr>
            <w:top w:val="none" w:sz="0" w:space="0" w:color="auto"/>
            <w:left w:val="none" w:sz="0" w:space="0" w:color="auto"/>
            <w:bottom w:val="none" w:sz="0" w:space="0" w:color="auto"/>
            <w:right w:val="none" w:sz="0" w:space="0" w:color="auto"/>
          </w:divBdr>
        </w:div>
        <w:div w:id="1496259854">
          <w:marLeft w:val="0"/>
          <w:marRight w:val="0"/>
          <w:marTop w:val="0"/>
          <w:marBottom w:val="0"/>
          <w:divBdr>
            <w:top w:val="none" w:sz="0" w:space="0" w:color="auto"/>
            <w:left w:val="none" w:sz="0" w:space="0" w:color="auto"/>
            <w:bottom w:val="none" w:sz="0" w:space="0" w:color="auto"/>
            <w:right w:val="none" w:sz="0" w:space="0" w:color="auto"/>
          </w:divBdr>
        </w:div>
        <w:div w:id="1538738670">
          <w:marLeft w:val="0"/>
          <w:marRight w:val="0"/>
          <w:marTop w:val="0"/>
          <w:marBottom w:val="0"/>
          <w:divBdr>
            <w:top w:val="none" w:sz="0" w:space="0" w:color="auto"/>
            <w:left w:val="none" w:sz="0" w:space="0" w:color="auto"/>
            <w:bottom w:val="none" w:sz="0" w:space="0" w:color="auto"/>
            <w:right w:val="none" w:sz="0" w:space="0" w:color="auto"/>
          </w:divBdr>
        </w:div>
        <w:div w:id="1555314274">
          <w:marLeft w:val="0"/>
          <w:marRight w:val="0"/>
          <w:marTop w:val="0"/>
          <w:marBottom w:val="0"/>
          <w:divBdr>
            <w:top w:val="none" w:sz="0" w:space="0" w:color="auto"/>
            <w:left w:val="none" w:sz="0" w:space="0" w:color="auto"/>
            <w:bottom w:val="none" w:sz="0" w:space="0" w:color="auto"/>
            <w:right w:val="none" w:sz="0" w:space="0" w:color="auto"/>
          </w:divBdr>
        </w:div>
        <w:div w:id="1623726782">
          <w:marLeft w:val="0"/>
          <w:marRight w:val="0"/>
          <w:marTop w:val="0"/>
          <w:marBottom w:val="0"/>
          <w:divBdr>
            <w:top w:val="none" w:sz="0" w:space="0" w:color="auto"/>
            <w:left w:val="none" w:sz="0" w:space="0" w:color="auto"/>
            <w:bottom w:val="none" w:sz="0" w:space="0" w:color="auto"/>
            <w:right w:val="none" w:sz="0" w:space="0" w:color="auto"/>
          </w:divBdr>
        </w:div>
        <w:div w:id="1624261924">
          <w:marLeft w:val="0"/>
          <w:marRight w:val="0"/>
          <w:marTop w:val="0"/>
          <w:marBottom w:val="0"/>
          <w:divBdr>
            <w:top w:val="none" w:sz="0" w:space="0" w:color="auto"/>
            <w:left w:val="none" w:sz="0" w:space="0" w:color="auto"/>
            <w:bottom w:val="none" w:sz="0" w:space="0" w:color="auto"/>
            <w:right w:val="none" w:sz="0" w:space="0" w:color="auto"/>
          </w:divBdr>
        </w:div>
        <w:div w:id="1641378556">
          <w:marLeft w:val="0"/>
          <w:marRight w:val="0"/>
          <w:marTop w:val="0"/>
          <w:marBottom w:val="0"/>
          <w:divBdr>
            <w:top w:val="none" w:sz="0" w:space="0" w:color="auto"/>
            <w:left w:val="none" w:sz="0" w:space="0" w:color="auto"/>
            <w:bottom w:val="none" w:sz="0" w:space="0" w:color="auto"/>
            <w:right w:val="none" w:sz="0" w:space="0" w:color="auto"/>
          </w:divBdr>
        </w:div>
        <w:div w:id="1685933646">
          <w:marLeft w:val="0"/>
          <w:marRight w:val="0"/>
          <w:marTop w:val="0"/>
          <w:marBottom w:val="0"/>
          <w:divBdr>
            <w:top w:val="none" w:sz="0" w:space="0" w:color="auto"/>
            <w:left w:val="none" w:sz="0" w:space="0" w:color="auto"/>
            <w:bottom w:val="none" w:sz="0" w:space="0" w:color="auto"/>
            <w:right w:val="none" w:sz="0" w:space="0" w:color="auto"/>
          </w:divBdr>
        </w:div>
        <w:div w:id="1718235552">
          <w:marLeft w:val="0"/>
          <w:marRight w:val="0"/>
          <w:marTop w:val="0"/>
          <w:marBottom w:val="0"/>
          <w:divBdr>
            <w:top w:val="none" w:sz="0" w:space="0" w:color="auto"/>
            <w:left w:val="none" w:sz="0" w:space="0" w:color="auto"/>
            <w:bottom w:val="none" w:sz="0" w:space="0" w:color="auto"/>
            <w:right w:val="none" w:sz="0" w:space="0" w:color="auto"/>
          </w:divBdr>
        </w:div>
        <w:div w:id="1769816111">
          <w:marLeft w:val="0"/>
          <w:marRight w:val="0"/>
          <w:marTop w:val="0"/>
          <w:marBottom w:val="0"/>
          <w:divBdr>
            <w:top w:val="none" w:sz="0" w:space="0" w:color="auto"/>
            <w:left w:val="none" w:sz="0" w:space="0" w:color="auto"/>
            <w:bottom w:val="none" w:sz="0" w:space="0" w:color="auto"/>
            <w:right w:val="none" w:sz="0" w:space="0" w:color="auto"/>
          </w:divBdr>
        </w:div>
        <w:div w:id="1843011697">
          <w:marLeft w:val="0"/>
          <w:marRight w:val="0"/>
          <w:marTop w:val="0"/>
          <w:marBottom w:val="0"/>
          <w:divBdr>
            <w:top w:val="none" w:sz="0" w:space="0" w:color="auto"/>
            <w:left w:val="none" w:sz="0" w:space="0" w:color="auto"/>
            <w:bottom w:val="none" w:sz="0" w:space="0" w:color="auto"/>
            <w:right w:val="none" w:sz="0" w:space="0" w:color="auto"/>
          </w:divBdr>
        </w:div>
        <w:div w:id="1848904951">
          <w:marLeft w:val="0"/>
          <w:marRight w:val="0"/>
          <w:marTop w:val="0"/>
          <w:marBottom w:val="0"/>
          <w:divBdr>
            <w:top w:val="none" w:sz="0" w:space="0" w:color="auto"/>
            <w:left w:val="none" w:sz="0" w:space="0" w:color="auto"/>
            <w:bottom w:val="none" w:sz="0" w:space="0" w:color="auto"/>
            <w:right w:val="none" w:sz="0" w:space="0" w:color="auto"/>
          </w:divBdr>
        </w:div>
        <w:div w:id="1886209833">
          <w:marLeft w:val="0"/>
          <w:marRight w:val="0"/>
          <w:marTop w:val="0"/>
          <w:marBottom w:val="0"/>
          <w:divBdr>
            <w:top w:val="none" w:sz="0" w:space="0" w:color="auto"/>
            <w:left w:val="none" w:sz="0" w:space="0" w:color="auto"/>
            <w:bottom w:val="none" w:sz="0" w:space="0" w:color="auto"/>
            <w:right w:val="none" w:sz="0" w:space="0" w:color="auto"/>
          </w:divBdr>
        </w:div>
        <w:div w:id="1888444132">
          <w:marLeft w:val="0"/>
          <w:marRight w:val="0"/>
          <w:marTop w:val="0"/>
          <w:marBottom w:val="0"/>
          <w:divBdr>
            <w:top w:val="none" w:sz="0" w:space="0" w:color="auto"/>
            <w:left w:val="none" w:sz="0" w:space="0" w:color="auto"/>
            <w:bottom w:val="none" w:sz="0" w:space="0" w:color="auto"/>
            <w:right w:val="none" w:sz="0" w:space="0" w:color="auto"/>
          </w:divBdr>
        </w:div>
        <w:div w:id="1908102423">
          <w:marLeft w:val="0"/>
          <w:marRight w:val="0"/>
          <w:marTop w:val="0"/>
          <w:marBottom w:val="0"/>
          <w:divBdr>
            <w:top w:val="none" w:sz="0" w:space="0" w:color="auto"/>
            <w:left w:val="none" w:sz="0" w:space="0" w:color="auto"/>
            <w:bottom w:val="none" w:sz="0" w:space="0" w:color="auto"/>
            <w:right w:val="none" w:sz="0" w:space="0" w:color="auto"/>
          </w:divBdr>
        </w:div>
        <w:div w:id="1979190843">
          <w:marLeft w:val="0"/>
          <w:marRight w:val="0"/>
          <w:marTop w:val="0"/>
          <w:marBottom w:val="0"/>
          <w:divBdr>
            <w:top w:val="none" w:sz="0" w:space="0" w:color="auto"/>
            <w:left w:val="none" w:sz="0" w:space="0" w:color="auto"/>
            <w:bottom w:val="none" w:sz="0" w:space="0" w:color="auto"/>
            <w:right w:val="none" w:sz="0" w:space="0" w:color="auto"/>
          </w:divBdr>
        </w:div>
      </w:divsChild>
    </w:div>
    <w:div w:id="1676230538">
      <w:bodyDiv w:val="1"/>
      <w:marLeft w:val="0"/>
      <w:marRight w:val="0"/>
      <w:marTop w:val="0"/>
      <w:marBottom w:val="0"/>
      <w:divBdr>
        <w:top w:val="none" w:sz="0" w:space="0" w:color="auto"/>
        <w:left w:val="none" w:sz="0" w:space="0" w:color="auto"/>
        <w:bottom w:val="none" w:sz="0" w:space="0" w:color="auto"/>
        <w:right w:val="none" w:sz="0" w:space="0" w:color="auto"/>
      </w:divBdr>
    </w:div>
    <w:div w:id="1676372259">
      <w:bodyDiv w:val="1"/>
      <w:marLeft w:val="0"/>
      <w:marRight w:val="0"/>
      <w:marTop w:val="0"/>
      <w:marBottom w:val="0"/>
      <w:divBdr>
        <w:top w:val="none" w:sz="0" w:space="0" w:color="auto"/>
        <w:left w:val="none" w:sz="0" w:space="0" w:color="auto"/>
        <w:bottom w:val="none" w:sz="0" w:space="0" w:color="auto"/>
        <w:right w:val="none" w:sz="0" w:space="0" w:color="auto"/>
      </w:divBdr>
    </w:div>
    <w:div w:id="1676612261">
      <w:bodyDiv w:val="1"/>
      <w:marLeft w:val="0"/>
      <w:marRight w:val="0"/>
      <w:marTop w:val="0"/>
      <w:marBottom w:val="0"/>
      <w:divBdr>
        <w:top w:val="none" w:sz="0" w:space="0" w:color="auto"/>
        <w:left w:val="none" w:sz="0" w:space="0" w:color="auto"/>
        <w:bottom w:val="none" w:sz="0" w:space="0" w:color="auto"/>
        <w:right w:val="none" w:sz="0" w:space="0" w:color="auto"/>
      </w:divBdr>
    </w:div>
    <w:div w:id="1677003873">
      <w:bodyDiv w:val="1"/>
      <w:marLeft w:val="0"/>
      <w:marRight w:val="0"/>
      <w:marTop w:val="0"/>
      <w:marBottom w:val="0"/>
      <w:divBdr>
        <w:top w:val="none" w:sz="0" w:space="0" w:color="auto"/>
        <w:left w:val="none" w:sz="0" w:space="0" w:color="auto"/>
        <w:bottom w:val="none" w:sz="0" w:space="0" w:color="auto"/>
        <w:right w:val="none" w:sz="0" w:space="0" w:color="auto"/>
      </w:divBdr>
    </w:div>
    <w:div w:id="1677070150">
      <w:bodyDiv w:val="1"/>
      <w:marLeft w:val="0"/>
      <w:marRight w:val="0"/>
      <w:marTop w:val="0"/>
      <w:marBottom w:val="0"/>
      <w:divBdr>
        <w:top w:val="none" w:sz="0" w:space="0" w:color="auto"/>
        <w:left w:val="none" w:sz="0" w:space="0" w:color="auto"/>
        <w:bottom w:val="none" w:sz="0" w:space="0" w:color="auto"/>
        <w:right w:val="none" w:sz="0" w:space="0" w:color="auto"/>
      </w:divBdr>
    </w:div>
    <w:div w:id="1677220423">
      <w:bodyDiv w:val="1"/>
      <w:marLeft w:val="0"/>
      <w:marRight w:val="0"/>
      <w:marTop w:val="0"/>
      <w:marBottom w:val="0"/>
      <w:divBdr>
        <w:top w:val="none" w:sz="0" w:space="0" w:color="auto"/>
        <w:left w:val="none" w:sz="0" w:space="0" w:color="auto"/>
        <w:bottom w:val="none" w:sz="0" w:space="0" w:color="auto"/>
        <w:right w:val="none" w:sz="0" w:space="0" w:color="auto"/>
      </w:divBdr>
    </w:div>
    <w:div w:id="1677536983">
      <w:bodyDiv w:val="1"/>
      <w:marLeft w:val="0"/>
      <w:marRight w:val="0"/>
      <w:marTop w:val="0"/>
      <w:marBottom w:val="0"/>
      <w:divBdr>
        <w:top w:val="none" w:sz="0" w:space="0" w:color="auto"/>
        <w:left w:val="none" w:sz="0" w:space="0" w:color="auto"/>
        <w:bottom w:val="none" w:sz="0" w:space="0" w:color="auto"/>
        <w:right w:val="none" w:sz="0" w:space="0" w:color="auto"/>
      </w:divBdr>
    </w:div>
    <w:div w:id="1677809896">
      <w:bodyDiv w:val="1"/>
      <w:marLeft w:val="0"/>
      <w:marRight w:val="0"/>
      <w:marTop w:val="0"/>
      <w:marBottom w:val="0"/>
      <w:divBdr>
        <w:top w:val="none" w:sz="0" w:space="0" w:color="auto"/>
        <w:left w:val="none" w:sz="0" w:space="0" w:color="auto"/>
        <w:bottom w:val="none" w:sz="0" w:space="0" w:color="auto"/>
        <w:right w:val="none" w:sz="0" w:space="0" w:color="auto"/>
      </w:divBdr>
    </w:div>
    <w:div w:id="1678076222">
      <w:bodyDiv w:val="1"/>
      <w:marLeft w:val="0"/>
      <w:marRight w:val="0"/>
      <w:marTop w:val="0"/>
      <w:marBottom w:val="0"/>
      <w:divBdr>
        <w:top w:val="none" w:sz="0" w:space="0" w:color="auto"/>
        <w:left w:val="none" w:sz="0" w:space="0" w:color="auto"/>
        <w:bottom w:val="none" w:sz="0" w:space="0" w:color="auto"/>
        <w:right w:val="none" w:sz="0" w:space="0" w:color="auto"/>
      </w:divBdr>
    </w:div>
    <w:div w:id="1678146081">
      <w:bodyDiv w:val="1"/>
      <w:marLeft w:val="0"/>
      <w:marRight w:val="0"/>
      <w:marTop w:val="0"/>
      <w:marBottom w:val="0"/>
      <w:divBdr>
        <w:top w:val="none" w:sz="0" w:space="0" w:color="auto"/>
        <w:left w:val="none" w:sz="0" w:space="0" w:color="auto"/>
        <w:bottom w:val="none" w:sz="0" w:space="0" w:color="auto"/>
        <w:right w:val="none" w:sz="0" w:space="0" w:color="auto"/>
      </w:divBdr>
    </w:div>
    <w:div w:id="1678193872">
      <w:bodyDiv w:val="1"/>
      <w:marLeft w:val="0"/>
      <w:marRight w:val="0"/>
      <w:marTop w:val="0"/>
      <w:marBottom w:val="0"/>
      <w:divBdr>
        <w:top w:val="none" w:sz="0" w:space="0" w:color="auto"/>
        <w:left w:val="none" w:sz="0" w:space="0" w:color="auto"/>
        <w:bottom w:val="none" w:sz="0" w:space="0" w:color="auto"/>
        <w:right w:val="none" w:sz="0" w:space="0" w:color="auto"/>
      </w:divBdr>
    </w:div>
    <w:div w:id="1678461890">
      <w:bodyDiv w:val="1"/>
      <w:marLeft w:val="0"/>
      <w:marRight w:val="0"/>
      <w:marTop w:val="0"/>
      <w:marBottom w:val="0"/>
      <w:divBdr>
        <w:top w:val="none" w:sz="0" w:space="0" w:color="auto"/>
        <w:left w:val="none" w:sz="0" w:space="0" w:color="auto"/>
        <w:bottom w:val="none" w:sz="0" w:space="0" w:color="auto"/>
        <w:right w:val="none" w:sz="0" w:space="0" w:color="auto"/>
      </w:divBdr>
    </w:div>
    <w:div w:id="1678539286">
      <w:bodyDiv w:val="1"/>
      <w:marLeft w:val="0"/>
      <w:marRight w:val="0"/>
      <w:marTop w:val="0"/>
      <w:marBottom w:val="0"/>
      <w:divBdr>
        <w:top w:val="none" w:sz="0" w:space="0" w:color="auto"/>
        <w:left w:val="none" w:sz="0" w:space="0" w:color="auto"/>
        <w:bottom w:val="none" w:sz="0" w:space="0" w:color="auto"/>
        <w:right w:val="none" w:sz="0" w:space="0" w:color="auto"/>
      </w:divBdr>
    </w:div>
    <w:div w:id="1678574686">
      <w:bodyDiv w:val="1"/>
      <w:marLeft w:val="0"/>
      <w:marRight w:val="0"/>
      <w:marTop w:val="0"/>
      <w:marBottom w:val="0"/>
      <w:divBdr>
        <w:top w:val="none" w:sz="0" w:space="0" w:color="auto"/>
        <w:left w:val="none" w:sz="0" w:space="0" w:color="auto"/>
        <w:bottom w:val="none" w:sz="0" w:space="0" w:color="auto"/>
        <w:right w:val="none" w:sz="0" w:space="0" w:color="auto"/>
      </w:divBdr>
    </w:div>
    <w:div w:id="1678776308">
      <w:bodyDiv w:val="1"/>
      <w:marLeft w:val="0"/>
      <w:marRight w:val="0"/>
      <w:marTop w:val="0"/>
      <w:marBottom w:val="0"/>
      <w:divBdr>
        <w:top w:val="none" w:sz="0" w:space="0" w:color="auto"/>
        <w:left w:val="none" w:sz="0" w:space="0" w:color="auto"/>
        <w:bottom w:val="none" w:sz="0" w:space="0" w:color="auto"/>
        <w:right w:val="none" w:sz="0" w:space="0" w:color="auto"/>
      </w:divBdr>
    </w:div>
    <w:div w:id="1679505558">
      <w:bodyDiv w:val="1"/>
      <w:marLeft w:val="0"/>
      <w:marRight w:val="0"/>
      <w:marTop w:val="0"/>
      <w:marBottom w:val="0"/>
      <w:divBdr>
        <w:top w:val="none" w:sz="0" w:space="0" w:color="auto"/>
        <w:left w:val="none" w:sz="0" w:space="0" w:color="auto"/>
        <w:bottom w:val="none" w:sz="0" w:space="0" w:color="auto"/>
        <w:right w:val="none" w:sz="0" w:space="0" w:color="auto"/>
      </w:divBdr>
    </w:div>
    <w:div w:id="1679771474">
      <w:bodyDiv w:val="1"/>
      <w:marLeft w:val="0"/>
      <w:marRight w:val="0"/>
      <w:marTop w:val="0"/>
      <w:marBottom w:val="0"/>
      <w:divBdr>
        <w:top w:val="none" w:sz="0" w:space="0" w:color="auto"/>
        <w:left w:val="none" w:sz="0" w:space="0" w:color="auto"/>
        <w:bottom w:val="none" w:sz="0" w:space="0" w:color="auto"/>
        <w:right w:val="none" w:sz="0" w:space="0" w:color="auto"/>
      </w:divBdr>
    </w:div>
    <w:div w:id="1679849081">
      <w:bodyDiv w:val="1"/>
      <w:marLeft w:val="0"/>
      <w:marRight w:val="0"/>
      <w:marTop w:val="0"/>
      <w:marBottom w:val="0"/>
      <w:divBdr>
        <w:top w:val="none" w:sz="0" w:space="0" w:color="auto"/>
        <w:left w:val="none" w:sz="0" w:space="0" w:color="auto"/>
        <w:bottom w:val="none" w:sz="0" w:space="0" w:color="auto"/>
        <w:right w:val="none" w:sz="0" w:space="0" w:color="auto"/>
      </w:divBdr>
    </w:div>
    <w:div w:id="1680160030">
      <w:bodyDiv w:val="1"/>
      <w:marLeft w:val="0"/>
      <w:marRight w:val="0"/>
      <w:marTop w:val="0"/>
      <w:marBottom w:val="0"/>
      <w:divBdr>
        <w:top w:val="none" w:sz="0" w:space="0" w:color="auto"/>
        <w:left w:val="none" w:sz="0" w:space="0" w:color="auto"/>
        <w:bottom w:val="none" w:sz="0" w:space="0" w:color="auto"/>
        <w:right w:val="none" w:sz="0" w:space="0" w:color="auto"/>
      </w:divBdr>
    </w:div>
    <w:div w:id="1680237031">
      <w:bodyDiv w:val="1"/>
      <w:marLeft w:val="0"/>
      <w:marRight w:val="0"/>
      <w:marTop w:val="0"/>
      <w:marBottom w:val="0"/>
      <w:divBdr>
        <w:top w:val="none" w:sz="0" w:space="0" w:color="auto"/>
        <w:left w:val="none" w:sz="0" w:space="0" w:color="auto"/>
        <w:bottom w:val="none" w:sz="0" w:space="0" w:color="auto"/>
        <w:right w:val="none" w:sz="0" w:space="0" w:color="auto"/>
      </w:divBdr>
    </w:div>
    <w:div w:id="1680620280">
      <w:bodyDiv w:val="1"/>
      <w:marLeft w:val="0"/>
      <w:marRight w:val="0"/>
      <w:marTop w:val="0"/>
      <w:marBottom w:val="0"/>
      <w:divBdr>
        <w:top w:val="none" w:sz="0" w:space="0" w:color="auto"/>
        <w:left w:val="none" w:sz="0" w:space="0" w:color="auto"/>
        <w:bottom w:val="none" w:sz="0" w:space="0" w:color="auto"/>
        <w:right w:val="none" w:sz="0" w:space="0" w:color="auto"/>
      </w:divBdr>
    </w:div>
    <w:div w:id="1680699626">
      <w:bodyDiv w:val="1"/>
      <w:marLeft w:val="0"/>
      <w:marRight w:val="0"/>
      <w:marTop w:val="0"/>
      <w:marBottom w:val="0"/>
      <w:divBdr>
        <w:top w:val="none" w:sz="0" w:space="0" w:color="auto"/>
        <w:left w:val="none" w:sz="0" w:space="0" w:color="auto"/>
        <w:bottom w:val="none" w:sz="0" w:space="0" w:color="auto"/>
        <w:right w:val="none" w:sz="0" w:space="0" w:color="auto"/>
      </w:divBdr>
    </w:div>
    <w:div w:id="1680765717">
      <w:bodyDiv w:val="1"/>
      <w:marLeft w:val="0"/>
      <w:marRight w:val="0"/>
      <w:marTop w:val="0"/>
      <w:marBottom w:val="0"/>
      <w:divBdr>
        <w:top w:val="none" w:sz="0" w:space="0" w:color="auto"/>
        <w:left w:val="none" w:sz="0" w:space="0" w:color="auto"/>
        <w:bottom w:val="none" w:sz="0" w:space="0" w:color="auto"/>
        <w:right w:val="none" w:sz="0" w:space="0" w:color="auto"/>
      </w:divBdr>
    </w:div>
    <w:div w:id="1680965550">
      <w:bodyDiv w:val="1"/>
      <w:marLeft w:val="0"/>
      <w:marRight w:val="0"/>
      <w:marTop w:val="0"/>
      <w:marBottom w:val="0"/>
      <w:divBdr>
        <w:top w:val="none" w:sz="0" w:space="0" w:color="auto"/>
        <w:left w:val="none" w:sz="0" w:space="0" w:color="auto"/>
        <w:bottom w:val="none" w:sz="0" w:space="0" w:color="auto"/>
        <w:right w:val="none" w:sz="0" w:space="0" w:color="auto"/>
      </w:divBdr>
    </w:div>
    <w:div w:id="1681004821">
      <w:bodyDiv w:val="1"/>
      <w:marLeft w:val="0"/>
      <w:marRight w:val="0"/>
      <w:marTop w:val="0"/>
      <w:marBottom w:val="0"/>
      <w:divBdr>
        <w:top w:val="none" w:sz="0" w:space="0" w:color="auto"/>
        <w:left w:val="none" w:sz="0" w:space="0" w:color="auto"/>
        <w:bottom w:val="none" w:sz="0" w:space="0" w:color="auto"/>
        <w:right w:val="none" w:sz="0" w:space="0" w:color="auto"/>
      </w:divBdr>
    </w:div>
    <w:div w:id="1681010210">
      <w:bodyDiv w:val="1"/>
      <w:marLeft w:val="0"/>
      <w:marRight w:val="0"/>
      <w:marTop w:val="0"/>
      <w:marBottom w:val="0"/>
      <w:divBdr>
        <w:top w:val="none" w:sz="0" w:space="0" w:color="auto"/>
        <w:left w:val="none" w:sz="0" w:space="0" w:color="auto"/>
        <w:bottom w:val="none" w:sz="0" w:space="0" w:color="auto"/>
        <w:right w:val="none" w:sz="0" w:space="0" w:color="auto"/>
      </w:divBdr>
    </w:div>
    <w:div w:id="1681079585">
      <w:bodyDiv w:val="1"/>
      <w:marLeft w:val="0"/>
      <w:marRight w:val="0"/>
      <w:marTop w:val="0"/>
      <w:marBottom w:val="0"/>
      <w:divBdr>
        <w:top w:val="none" w:sz="0" w:space="0" w:color="auto"/>
        <w:left w:val="none" w:sz="0" w:space="0" w:color="auto"/>
        <w:bottom w:val="none" w:sz="0" w:space="0" w:color="auto"/>
        <w:right w:val="none" w:sz="0" w:space="0" w:color="auto"/>
      </w:divBdr>
    </w:div>
    <w:div w:id="1681276616">
      <w:bodyDiv w:val="1"/>
      <w:marLeft w:val="0"/>
      <w:marRight w:val="0"/>
      <w:marTop w:val="0"/>
      <w:marBottom w:val="0"/>
      <w:divBdr>
        <w:top w:val="none" w:sz="0" w:space="0" w:color="auto"/>
        <w:left w:val="none" w:sz="0" w:space="0" w:color="auto"/>
        <w:bottom w:val="none" w:sz="0" w:space="0" w:color="auto"/>
        <w:right w:val="none" w:sz="0" w:space="0" w:color="auto"/>
      </w:divBdr>
    </w:div>
    <w:div w:id="1681394093">
      <w:bodyDiv w:val="1"/>
      <w:marLeft w:val="0"/>
      <w:marRight w:val="0"/>
      <w:marTop w:val="0"/>
      <w:marBottom w:val="0"/>
      <w:divBdr>
        <w:top w:val="none" w:sz="0" w:space="0" w:color="auto"/>
        <w:left w:val="none" w:sz="0" w:space="0" w:color="auto"/>
        <w:bottom w:val="none" w:sz="0" w:space="0" w:color="auto"/>
        <w:right w:val="none" w:sz="0" w:space="0" w:color="auto"/>
      </w:divBdr>
    </w:div>
    <w:div w:id="1681469279">
      <w:bodyDiv w:val="1"/>
      <w:marLeft w:val="0"/>
      <w:marRight w:val="0"/>
      <w:marTop w:val="0"/>
      <w:marBottom w:val="0"/>
      <w:divBdr>
        <w:top w:val="none" w:sz="0" w:space="0" w:color="auto"/>
        <w:left w:val="none" w:sz="0" w:space="0" w:color="auto"/>
        <w:bottom w:val="none" w:sz="0" w:space="0" w:color="auto"/>
        <w:right w:val="none" w:sz="0" w:space="0" w:color="auto"/>
      </w:divBdr>
    </w:div>
    <w:div w:id="1681545505">
      <w:bodyDiv w:val="1"/>
      <w:marLeft w:val="0"/>
      <w:marRight w:val="0"/>
      <w:marTop w:val="0"/>
      <w:marBottom w:val="0"/>
      <w:divBdr>
        <w:top w:val="none" w:sz="0" w:space="0" w:color="auto"/>
        <w:left w:val="none" w:sz="0" w:space="0" w:color="auto"/>
        <w:bottom w:val="none" w:sz="0" w:space="0" w:color="auto"/>
        <w:right w:val="none" w:sz="0" w:space="0" w:color="auto"/>
      </w:divBdr>
    </w:div>
    <w:div w:id="1681618539">
      <w:bodyDiv w:val="1"/>
      <w:marLeft w:val="0"/>
      <w:marRight w:val="0"/>
      <w:marTop w:val="0"/>
      <w:marBottom w:val="0"/>
      <w:divBdr>
        <w:top w:val="none" w:sz="0" w:space="0" w:color="auto"/>
        <w:left w:val="none" w:sz="0" w:space="0" w:color="auto"/>
        <w:bottom w:val="none" w:sz="0" w:space="0" w:color="auto"/>
        <w:right w:val="none" w:sz="0" w:space="0" w:color="auto"/>
      </w:divBdr>
    </w:div>
    <w:div w:id="1681665411">
      <w:bodyDiv w:val="1"/>
      <w:marLeft w:val="0"/>
      <w:marRight w:val="0"/>
      <w:marTop w:val="0"/>
      <w:marBottom w:val="0"/>
      <w:divBdr>
        <w:top w:val="none" w:sz="0" w:space="0" w:color="auto"/>
        <w:left w:val="none" w:sz="0" w:space="0" w:color="auto"/>
        <w:bottom w:val="none" w:sz="0" w:space="0" w:color="auto"/>
        <w:right w:val="none" w:sz="0" w:space="0" w:color="auto"/>
      </w:divBdr>
    </w:div>
    <w:div w:id="1681928073">
      <w:bodyDiv w:val="1"/>
      <w:marLeft w:val="0"/>
      <w:marRight w:val="0"/>
      <w:marTop w:val="0"/>
      <w:marBottom w:val="0"/>
      <w:divBdr>
        <w:top w:val="none" w:sz="0" w:space="0" w:color="auto"/>
        <w:left w:val="none" w:sz="0" w:space="0" w:color="auto"/>
        <w:bottom w:val="none" w:sz="0" w:space="0" w:color="auto"/>
        <w:right w:val="none" w:sz="0" w:space="0" w:color="auto"/>
      </w:divBdr>
    </w:div>
    <w:div w:id="1681928536">
      <w:bodyDiv w:val="1"/>
      <w:marLeft w:val="0"/>
      <w:marRight w:val="0"/>
      <w:marTop w:val="0"/>
      <w:marBottom w:val="0"/>
      <w:divBdr>
        <w:top w:val="none" w:sz="0" w:space="0" w:color="auto"/>
        <w:left w:val="none" w:sz="0" w:space="0" w:color="auto"/>
        <w:bottom w:val="none" w:sz="0" w:space="0" w:color="auto"/>
        <w:right w:val="none" w:sz="0" w:space="0" w:color="auto"/>
      </w:divBdr>
    </w:div>
    <w:div w:id="1681929240">
      <w:bodyDiv w:val="1"/>
      <w:marLeft w:val="0"/>
      <w:marRight w:val="0"/>
      <w:marTop w:val="0"/>
      <w:marBottom w:val="0"/>
      <w:divBdr>
        <w:top w:val="none" w:sz="0" w:space="0" w:color="auto"/>
        <w:left w:val="none" w:sz="0" w:space="0" w:color="auto"/>
        <w:bottom w:val="none" w:sz="0" w:space="0" w:color="auto"/>
        <w:right w:val="none" w:sz="0" w:space="0" w:color="auto"/>
      </w:divBdr>
    </w:div>
    <w:div w:id="1682052044">
      <w:bodyDiv w:val="1"/>
      <w:marLeft w:val="0"/>
      <w:marRight w:val="0"/>
      <w:marTop w:val="0"/>
      <w:marBottom w:val="0"/>
      <w:divBdr>
        <w:top w:val="none" w:sz="0" w:space="0" w:color="auto"/>
        <w:left w:val="none" w:sz="0" w:space="0" w:color="auto"/>
        <w:bottom w:val="none" w:sz="0" w:space="0" w:color="auto"/>
        <w:right w:val="none" w:sz="0" w:space="0" w:color="auto"/>
      </w:divBdr>
    </w:div>
    <w:div w:id="1682314054">
      <w:bodyDiv w:val="1"/>
      <w:marLeft w:val="0"/>
      <w:marRight w:val="0"/>
      <w:marTop w:val="0"/>
      <w:marBottom w:val="0"/>
      <w:divBdr>
        <w:top w:val="none" w:sz="0" w:space="0" w:color="auto"/>
        <w:left w:val="none" w:sz="0" w:space="0" w:color="auto"/>
        <w:bottom w:val="none" w:sz="0" w:space="0" w:color="auto"/>
        <w:right w:val="none" w:sz="0" w:space="0" w:color="auto"/>
      </w:divBdr>
    </w:div>
    <w:div w:id="1682314153">
      <w:bodyDiv w:val="1"/>
      <w:marLeft w:val="0"/>
      <w:marRight w:val="0"/>
      <w:marTop w:val="0"/>
      <w:marBottom w:val="0"/>
      <w:divBdr>
        <w:top w:val="none" w:sz="0" w:space="0" w:color="auto"/>
        <w:left w:val="none" w:sz="0" w:space="0" w:color="auto"/>
        <w:bottom w:val="none" w:sz="0" w:space="0" w:color="auto"/>
        <w:right w:val="none" w:sz="0" w:space="0" w:color="auto"/>
      </w:divBdr>
    </w:div>
    <w:div w:id="1682925210">
      <w:bodyDiv w:val="1"/>
      <w:marLeft w:val="0"/>
      <w:marRight w:val="0"/>
      <w:marTop w:val="0"/>
      <w:marBottom w:val="0"/>
      <w:divBdr>
        <w:top w:val="none" w:sz="0" w:space="0" w:color="auto"/>
        <w:left w:val="none" w:sz="0" w:space="0" w:color="auto"/>
        <w:bottom w:val="none" w:sz="0" w:space="0" w:color="auto"/>
        <w:right w:val="none" w:sz="0" w:space="0" w:color="auto"/>
      </w:divBdr>
    </w:div>
    <w:div w:id="1682929351">
      <w:bodyDiv w:val="1"/>
      <w:marLeft w:val="0"/>
      <w:marRight w:val="0"/>
      <w:marTop w:val="0"/>
      <w:marBottom w:val="0"/>
      <w:divBdr>
        <w:top w:val="none" w:sz="0" w:space="0" w:color="auto"/>
        <w:left w:val="none" w:sz="0" w:space="0" w:color="auto"/>
        <w:bottom w:val="none" w:sz="0" w:space="0" w:color="auto"/>
        <w:right w:val="none" w:sz="0" w:space="0" w:color="auto"/>
      </w:divBdr>
    </w:div>
    <w:div w:id="1683051347">
      <w:bodyDiv w:val="1"/>
      <w:marLeft w:val="0"/>
      <w:marRight w:val="0"/>
      <w:marTop w:val="0"/>
      <w:marBottom w:val="0"/>
      <w:divBdr>
        <w:top w:val="none" w:sz="0" w:space="0" w:color="auto"/>
        <w:left w:val="none" w:sz="0" w:space="0" w:color="auto"/>
        <w:bottom w:val="none" w:sz="0" w:space="0" w:color="auto"/>
        <w:right w:val="none" w:sz="0" w:space="0" w:color="auto"/>
      </w:divBdr>
    </w:div>
    <w:div w:id="1683434577">
      <w:bodyDiv w:val="1"/>
      <w:marLeft w:val="0"/>
      <w:marRight w:val="0"/>
      <w:marTop w:val="0"/>
      <w:marBottom w:val="0"/>
      <w:divBdr>
        <w:top w:val="none" w:sz="0" w:space="0" w:color="auto"/>
        <w:left w:val="none" w:sz="0" w:space="0" w:color="auto"/>
        <w:bottom w:val="none" w:sz="0" w:space="0" w:color="auto"/>
        <w:right w:val="none" w:sz="0" w:space="0" w:color="auto"/>
      </w:divBdr>
    </w:div>
    <w:div w:id="1683777113">
      <w:bodyDiv w:val="1"/>
      <w:marLeft w:val="0"/>
      <w:marRight w:val="0"/>
      <w:marTop w:val="0"/>
      <w:marBottom w:val="0"/>
      <w:divBdr>
        <w:top w:val="none" w:sz="0" w:space="0" w:color="auto"/>
        <w:left w:val="none" w:sz="0" w:space="0" w:color="auto"/>
        <w:bottom w:val="none" w:sz="0" w:space="0" w:color="auto"/>
        <w:right w:val="none" w:sz="0" w:space="0" w:color="auto"/>
      </w:divBdr>
    </w:div>
    <w:div w:id="1684043193">
      <w:bodyDiv w:val="1"/>
      <w:marLeft w:val="0"/>
      <w:marRight w:val="0"/>
      <w:marTop w:val="0"/>
      <w:marBottom w:val="0"/>
      <w:divBdr>
        <w:top w:val="none" w:sz="0" w:space="0" w:color="auto"/>
        <w:left w:val="none" w:sz="0" w:space="0" w:color="auto"/>
        <w:bottom w:val="none" w:sz="0" w:space="0" w:color="auto"/>
        <w:right w:val="none" w:sz="0" w:space="0" w:color="auto"/>
      </w:divBdr>
    </w:div>
    <w:div w:id="1685087654">
      <w:bodyDiv w:val="1"/>
      <w:marLeft w:val="0"/>
      <w:marRight w:val="0"/>
      <w:marTop w:val="0"/>
      <w:marBottom w:val="0"/>
      <w:divBdr>
        <w:top w:val="none" w:sz="0" w:space="0" w:color="auto"/>
        <w:left w:val="none" w:sz="0" w:space="0" w:color="auto"/>
        <w:bottom w:val="none" w:sz="0" w:space="0" w:color="auto"/>
        <w:right w:val="none" w:sz="0" w:space="0" w:color="auto"/>
      </w:divBdr>
    </w:div>
    <w:div w:id="1685205905">
      <w:bodyDiv w:val="1"/>
      <w:marLeft w:val="0"/>
      <w:marRight w:val="0"/>
      <w:marTop w:val="0"/>
      <w:marBottom w:val="0"/>
      <w:divBdr>
        <w:top w:val="none" w:sz="0" w:space="0" w:color="auto"/>
        <w:left w:val="none" w:sz="0" w:space="0" w:color="auto"/>
        <w:bottom w:val="none" w:sz="0" w:space="0" w:color="auto"/>
        <w:right w:val="none" w:sz="0" w:space="0" w:color="auto"/>
      </w:divBdr>
    </w:div>
    <w:div w:id="1685551795">
      <w:bodyDiv w:val="1"/>
      <w:marLeft w:val="0"/>
      <w:marRight w:val="0"/>
      <w:marTop w:val="0"/>
      <w:marBottom w:val="0"/>
      <w:divBdr>
        <w:top w:val="none" w:sz="0" w:space="0" w:color="auto"/>
        <w:left w:val="none" w:sz="0" w:space="0" w:color="auto"/>
        <w:bottom w:val="none" w:sz="0" w:space="0" w:color="auto"/>
        <w:right w:val="none" w:sz="0" w:space="0" w:color="auto"/>
      </w:divBdr>
    </w:div>
    <w:div w:id="1685783179">
      <w:bodyDiv w:val="1"/>
      <w:marLeft w:val="0"/>
      <w:marRight w:val="0"/>
      <w:marTop w:val="0"/>
      <w:marBottom w:val="0"/>
      <w:divBdr>
        <w:top w:val="none" w:sz="0" w:space="0" w:color="auto"/>
        <w:left w:val="none" w:sz="0" w:space="0" w:color="auto"/>
        <w:bottom w:val="none" w:sz="0" w:space="0" w:color="auto"/>
        <w:right w:val="none" w:sz="0" w:space="0" w:color="auto"/>
      </w:divBdr>
    </w:div>
    <w:div w:id="1686324988">
      <w:bodyDiv w:val="1"/>
      <w:marLeft w:val="0"/>
      <w:marRight w:val="0"/>
      <w:marTop w:val="0"/>
      <w:marBottom w:val="0"/>
      <w:divBdr>
        <w:top w:val="none" w:sz="0" w:space="0" w:color="auto"/>
        <w:left w:val="none" w:sz="0" w:space="0" w:color="auto"/>
        <w:bottom w:val="none" w:sz="0" w:space="0" w:color="auto"/>
        <w:right w:val="none" w:sz="0" w:space="0" w:color="auto"/>
      </w:divBdr>
    </w:div>
    <w:div w:id="1686401312">
      <w:bodyDiv w:val="1"/>
      <w:marLeft w:val="0"/>
      <w:marRight w:val="0"/>
      <w:marTop w:val="0"/>
      <w:marBottom w:val="0"/>
      <w:divBdr>
        <w:top w:val="none" w:sz="0" w:space="0" w:color="auto"/>
        <w:left w:val="none" w:sz="0" w:space="0" w:color="auto"/>
        <w:bottom w:val="none" w:sz="0" w:space="0" w:color="auto"/>
        <w:right w:val="none" w:sz="0" w:space="0" w:color="auto"/>
      </w:divBdr>
    </w:div>
    <w:div w:id="1686442743">
      <w:bodyDiv w:val="1"/>
      <w:marLeft w:val="0"/>
      <w:marRight w:val="0"/>
      <w:marTop w:val="0"/>
      <w:marBottom w:val="0"/>
      <w:divBdr>
        <w:top w:val="none" w:sz="0" w:space="0" w:color="auto"/>
        <w:left w:val="none" w:sz="0" w:space="0" w:color="auto"/>
        <w:bottom w:val="none" w:sz="0" w:space="0" w:color="auto"/>
        <w:right w:val="none" w:sz="0" w:space="0" w:color="auto"/>
      </w:divBdr>
    </w:div>
    <w:div w:id="1686707827">
      <w:bodyDiv w:val="1"/>
      <w:marLeft w:val="0"/>
      <w:marRight w:val="0"/>
      <w:marTop w:val="0"/>
      <w:marBottom w:val="0"/>
      <w:divBdr>
        <w:top w:val="none" w:sz="0" w:space="0" w:color="auto"/>
        <w:left w:val="none" w:sz="0" w:space="0" w:color="auto"/>
        <w:bottom w:val="none" w:sz="0" w:space="0" w:color="auto"/>
        <w:right w:val="none" w:sz="0" w:space="0" w:color="auto"/>
      </w:divBdr>
    </w:div>
    <w:div w:id="1686856423">
      <w:bodyDiv w:val="1"/>
      <w:marLeft w:val="0"/>
      <w:marRight w:val="0"/>
      <w:marTop w:val="0"/>
      <w:marBottom w:val="0"/>
      <w:divBdr>
        <w:top w:val="none" w:sz="0" w:space="0" w:color="auto"/>
        <w:left w:val="none" w:sz="0" w:space="0" w:color="auto"/>
        <w:bottom w:val="none" w:sz="0" w:space="0" w:color="auto"/>
        <w:right w:val="none" w:sz="0" w:space="0" w:color="auto"/>
      </w:divBdr>
    </w:div>
    <w:div w:id="1686900693">
      <w:bodyDiv w:val="1"/>
      <w:marLeft w:val="0"/>
      <w:marRight w:val="0"/>
      <w:marTop w:val="0"/>
      <w:marBottom w:val="0"/>
      <w:divBdr>
        <w:top w:val="none" w:sz="0" w:space="0" w:color="auto"/>
        <w:left w:val="none" w:sz="0" w:space="0" w:color="auto"/>
        <w:bottom w:val="none" w:sz="0" w:space="0" w:color="auto"/>
        <w:right w:val="none" w:sz="0" w:space="0" w:color="auto"/>
      </w:divBdr>
    </w:div>
    <w:div w:id="1686901679">
      <w:bodyDiv w:val="1"/>
      <w:marLeft w:val="0"/>
      <w:marRight w:val="0"/>
      <w:marTop w:val="0"/>
      <w:marBottom w:val="0"/>
      <w:divBdr>
        <w:top w:val="none" w:sz="0" w:space="0" w:color="auto"/>
        <w:left w:val="none" w:sz="0" w:space="0" w:color="auto"/>
        <w:bottom w:val="none" w:sz="0" w:space="0" w:color="auto"/>
        <w:right w:val="none" w:sz="0" w:space="0" w:color="auto"/>
      </w:divBdr>
    </w:div>
    <w:div w:id="1687319682">
      <w:bodyDiv w:val="1"/>
      <w:marLeft w:val="0"/>
      <w:marRight w:val="0"/>
      <w:marTop w:val="0"/>
      <w:marBottom w:val="0"/>
      <w:divBdr>
        <w:top w:val="none" w:sz="0" w:space="0" w:color="auto"/>
        <w:left w:val="none" w:sz="0" w:space="0" w:color="auto"/>
        <w:bottom w:val="none" w:sz="0" w:space="0" w:color="auto"/>
        <w:right w:val="none" w:sz="0" w:space="0" w:color="auto"/>
      </w:divBdr>
    </w:div>
    <w:div w:id="1687365603">
      <w:bodyDiv w:val="1"/>
      <w:marLeft w:val="0"/>
      <w:marRight w:val="0"/>
      <w:marTop w:val="0"/>
      <w:marBottom w:val="0"/>
      <w:divBdr>
        <w:top w:val="none" w:sz="0" w:space="0" w:color="auto"/>
        <w:left w:val="none" w:sz="0" w:space="0" w:color="auto"/>
        <w:bottom w:val="none" w:sz="0" w:space="0" w:color="auto"/>
        <w:right w:val="none" w:sz="0" w:space="0" w:color="auto"/>
      </w:divBdr>
    </w:div>
    <w:div w:id="1687707943">
      <w:bodyDiv w:val="1"/>
      <w:marLeft w:val="0"/>
      <w:marRight w:val="0"/>
      <w:marTop w:val="0"/>
      <w:marBottom w:val="0"/>
      <w:divBdr>
        <w:top w:val="none" w:sz="0" w:space="0" w:color="auto"/>
        <w:left w:val="none" w:sz="0" w:space="0" w:color="auto"/>
        <w:bottom w:val="none" w:sz="0" w:space="0" w:color="auto"/>
        <w:right w:val="none" w:sz="0" w:space="0" w:color="auto"/>
      </w:divBdr>
    </w:div>
    <w:div w:id="1687750293">
      <w:bodyDiv w:val="1"/>
      <w:marLeft w:val="0"/>
      <w:marRight w:val="0"/>
      <w:marTop w:val="0"/>
      <w:marBottom w:val="0"/>
      <w:divBdr>
        <w:top w:val="none" w:sz="0" w:space="0" w:color="auto"/>
        <w:left w:val="none" w:sz="0" w:space="0" w:color="auto"/>
        <w:bottom w:val="none" w:sz="0" w:space="0" w:color="auto"/>
        <w:right w:val="none" w:sz="0" w:space="0" w:color="auto"/>
      </w:divBdr>
    </w:div>
    <w:div w:id="1687752279">
      <w:bodyDiv w:val="1"/>
      <w:marLeft w:val="0"/>
      <w:marRight w:val="0"/>
      <w:marTop w:val="0"/>
      <w:marBottom w:val="0"/>
      <w:divBdr>
        <w:top w:val="none" w:sz="0" w:space="0" w:color="auto"/>
        <w:left w:val="none" w:sz="0" w:space="0" w:color="auto"/>
        <w:bottom w:val="none" w:sz="0" w:space="0" w:color="auto"/>
        <w:right w:val="none" w:sz="0" w:space="0" w:color="auto"/>
      </w:divBdr>
    </w:div>
    <w:div w:id="1688168556">
      <w:bodyDiv w:val="1"/>
      <w:marLeft w:val="0"/>
      <w:marRight w:val="0"/>
      <w:marTop w:val="0"/>
      <w:marBottom w:val="0"/>
      <w:divBdr>
        <w:top w:val="none" w:sz="0" w:space="0" w:color="auto"/>
        <w:left w:val="none" w:sz="0" w:space="0" w:color="auto"/>
        <w:bottom w:val="none" w:sz="0" w:space="0" w:color="auto"/>
        <w:right w:val="none" w:sz="0" w:space="0" w:color="auto"/>
      </w:divBdr>
    </w:div>
    <w:div w:id="1688291426">
      <w:bodyDiv w:val="1"/>
      <w:marLeft w:val="0"/>
      <w:marRight w:val="0"/>
      <w:marTop w:val="0"/>
      <w:marBottom w:val="0"/>
      <w:divBdr>
        <w:top w:val="none" w:sz="0" w:space="0" w:color="auto"/>
        <w:left w:val="none" w:sz="0" w:space="0" w:color="auto"/>
        <w:bottom w:val="none" w:sz="0" w:space="0" w:color="auto"/>
        <w:right w:val="none" w:sz="0" w:space="0" w:color="auto"/>
      </w:divBdr>
    </w:div>
    <w:div w:id="1688292422">
      <w:bodyDiv w:val="1"/>
      <w:marLeft w:val="0"/>
      <w:marRight w:val="0"/>
      <w:marTop w:val="0"/>
      <w:marBottom w:val="0"/>
      <w:divBdr>
        <w:top w:val="none" w:sz="0" w:space="0" w:color="auto"/>
        <w:left w:val="none" w:sz="0" w:space="0" w:color="auto"/>
        <w:bottom w:val="none" w:sz="0" w:space="0" w:color="auto"/>
        <w:right w:val="none" w:sz="0" w:space="0" w:color="auto"/>
      </w:divBdr>
    </w:div>
    <w:div w:id="1689142610">
      <w:bodyDiv w:val="1"/>
      <w:marLeft w:val="0"/>
      <w:marRight w:val="0"/>
      <w:marTop w:val="0"/>
      <w:marBottom w:val="0"/>
      <w:divBdr>
        <w:top w:val="none" w:sz="0" w:space="0" w:color="auto"/>
        <w:left w:val="none" w:sz="0" w:space="0" w:color="auto"/>
        <w:bottom w:val="none" w:sz="0" w:space="0" w:color="auto"/>
        <w:right w:val="none" w:sz="0" w:space="0" w:color="auto"/>
      </w:divBdr>
    </w:div>
    <w:div w:id="1689259905">
      <w:bodyDiv w:val="1"/>
      <w:marLeft w:val="0"/>
      <w:marRight w:val="0"/>
      <w:marTop w:val="0"/>
      <w:marBottom w:val="0"/>
      <w:divBdr>
        <w:top w:val="none" w:sz="0" w:space="0" w:color="auto"/>
        <w:left w:val="none" w:sz="0" w:space="0" w:color="auto"/>
        <w:bottom w:val="none" w:sz="0" w:space="0" w:color="auto"/>
        <w:right w:val="none" w:sz="0" w:space="0" w:color="auto"/>
      </w:divBdr>
    </w:div>
    <w:div w:id="1689329086">
      <w:bodyDiv w:val="1"/>
      <w:marLeft w:val="0"/>
      <w:marRight w:val="0"/>
      <w:marTop w:val="0"/>
      <w:marBottom w:val="0"/>
      <w:divBdr>
        <w:top w:val="none" w:sz="0" w:space="0" w:color="auto"/>
        <w:left w:val="none" w:sz="0" w:space="0" w:color="auto"/>
        <w:bottom w:val="none" w:sz="0" w:space="0" w:color="auto"/>
        <w:right w:val="none" w:sz="0" w:space="0" w:color="auto"/>
      </w:divBdr>
    </w:div>
    <w:div w:id="1689411597">
      <w:bodyDiv w:val="1"/>
      <w:marLeft w:val="0"/>
      <w:marRight w:val="0"/>
      <w:marTop w:val="0"/>
      <w:marBottom w:val="0"/>
      <w:divBdr>
        <w:top w:val="none" w:sz="0" w:space="0" w:color="auto"/>
        <w:left w:val="none" w:sz="0" w:space="0" w:color="auto"/>
        <w:bottom w:val="none" w:sz="0" w:space="0" w:color="auto"/>
        <w:right w:val="none" w:sz="0" w:space="0" w:color="auto"/>
      </w:divBdr>
    </w:div>
    <w:div w:id="1689522521">
      <w:bodyDiv w:val="1"/>
      <w:marLeft w:val="0"/>
      <w:marRight w:val="0"/>
      <w:marTop w:val="0"/>
      <w:marBottom w:val="0"/>
      <w:divBdr>
        <w:top w:val="none" w:sz="0" w:space="0" w:color="auto"/>
        <w:left w:val="none" w:sz="0" w:space="0" w:color="auto"/>
        <w:bottom w:val="none" w:sz="0" w:space="0" w:color="auto"/>
        <w:right w:val="none" w:sz="0" w:space="0" w:color="auto"/>
      </w:divBdr>
    </w:div>
    <w:div w:id="1689867485">
      <w:bodyDiv w:val="1"/>
      <w:marLeft w:val="0"/>
      <w:marRight w:val="0"/>
      <w:marTop w:val="0"/>
      <w:marBottom w:val="0"/>
      <w:divBdr>
        <w:top w:val="none" w:sz="0" w:space="0" w:color="auto"/>
        <w:left w:val="none" w:sz="0" w:space="0" w:color="auto"/>
        <w:bottom w:val="none" w:sz="0" w:space="0" w:color="auto"/>
        <w:right w:val="none" w:sz="0" w:space="0" w:color="auto"/>
      </w:divBdr>
    </w:div>
    <w:div w:id="1690132507">
      <w:bodyDiv w:val="1"/>
      <w:marLeft w:val="0"/>
      <w:marRight w:val="0"/>
      <w:marTop w:val="0"/>
      <w:marBottom w:val="0"/>
      <w:divBdr>
        <w:top w:val="none" w:sz="0" w:space="0" w:color="auto"/>
        <w:left w:val="none" w:sz="0" w:space="0" w:color="auto"/>
        <w:bottom w:val="none" w:sz="0" w:space="0" w:color="auto"/>
        <w:right w:val="none" w:sz="0" w:space="0" w:color="auto"/>
      </w:divBdr>
    </w:div>
    <w:div w:id="1690139154">
      <w:bodyDiv w:val="1"/>
      <w:marLeft w:val="0"/>
      <w:marRight w:val="0"/>
      <w:marTop w:val="0"/>
      <w:marBottom w:val="0"/>
      <w:divBdr>
        <w:top w:val="none" w:sz="0" w:space="0" w:color="auto"/>
        <w:left w:val="none" w:sz="0" w:space="0" w:color="auto"/>
        <w:bottom w:val="none" w:sz="0" w:space="0" w:color="auto"/>
        <w:right w:val="none" w:sz="0" w:space="0" w:color="auto"/>
      </w:divBdr>
    </w:div>
    <w:div w:id="1690327940">
      <w:bodyDiv w:val="1"/>
      <w:marLeft w:val="0"/>
      <w:marRight w:val="0"/>
      <w:marTop w:val="0"/>
      <w:marBottom w:val="0"/>
      <w:divBdr>
        <w:top w:val="none" w:sz="0" w:space="0" w:color="auto"/>
        <w:left w:val="none" w:sz="0" w:space="0" w:color="auto"/>
        <w:bottom w:val="none" w:sz="0" w:space="0" w:color="auto"/>
        <w:right w:val="none" w:sz="0" w:space="0" w:color="auto"/>
      </w:divBdr>
    </w:div>
    <w:div w:id="1690332300">
      <w:bodyDiv w:val="1"/>
      <w:marLeft w:val="0"/>
      <w:marRight w:val="0"/>
      <w:marTop w:val="0"/>
      <w:marBottom w:val="0"/>
      <w:divBdr>
        <w:top w:val="none" w:sz="0" w:space="0" w:color="auto"/>
        <w:left w:val="none" w:sz="0" w:space="0" w:color="auto"/>
        <w:bottom w:val="none" w:sz="0" w:space="0" w:color="auto"/>
        <w:right w:val="none" w:sz="0" w:space="0" w:color="auto"/>
      </w:divBdr>
    </w:div>
    <w:div w:id="1690377766">
      <w:bodyDiv w:val="1"/>
      <w:marLeft w:val="0"/>
      <w:marRight w:val="0"/>
      <w:marTop w:val="0"/>
      <w:marBottom w:val="0"/>
      <w:divBdr>
        <w:top w:val="none" w:sz="0" w:space="0" w:color="auto"/>
        <w:left w:val="none" w:sz="0" w:space="0" w:color="auto"/>
        <w:bottom w:val="none" w:sz="0" w:space="0" w:color="auto"/>
        <w:right w:val="none" w:sz="0" w:space="0" w:color="auto"/>
      </w:divBdr>
    </w:div>
    <w:div w:id="1690795540">
      <w:bodyDiv w:val="1"/>
      <w:marLeft w:val="0"/>
      <w:marRight w:val="0"/>
      <w:marTop w:val="0"/>
      <w:marBottom w:val="0"/>
      <w:divBdr>
        <w:top w:val="none" w:sz="0" w:space="0" w:color="auto"/>
        <w:left w:val="none" w:sz="0" w:space="0" w:color="auto"/>
        <w:bottom w:val="none" w:sz="0" w:space="0" w:color="auto"/>
        <w:right w:val="none" w:sz="0" w:space="0" w:color="auto"/>
      </w:divBdr>
    </w:div>
    <w:div w:id="1690834503">
      <w:bodyDiv w:val="1"/>
      <w:marLeft w:val="0"/>
      <w:marRight w:val="0"/>
      <w:marTop w:val="0"/>
      <w:marBottom w:val="0"/>
      <w:divBdr>
        <w:top w:val="none" w:sz="0" w:space="0" w:color="auto"/>
        <w:left w:val="none" w:sz="0" w:space="0" w:color="auto"/>
        <w:bottom w:val="none" w:sz="0" w:space="0" w:color="auto"/>
        <w:right w:val="none" w:sz="0" w:space="0" w:color="auto"/>
      </w:divBdr>
    </w:div>
    <w:div w:id="1691294095">
      <w:bodyDiv w:val="1"/>
      <w:marLeft w:val="0"/>
      <w:marRight w:val="0"/>
      <w:marTop w:val="0"/>
      <w:marBottom w:val="0"/>
      <w:divBdr>
        <w:top w:val="none" w:sz="0" w:space="0" w:color="auto"/>
        <w:left w:val="none" w:sz="0" w:space="0" w:color="auto"/>
        <w:bottom w:val="none" w:sz="0" w:space="0" w:color="auto"/>
        <w:right w:val="none" w:sz="0" w:space="0" w:color="auto"/>
      </w:divBdr>
    </w:div>
    <w:div w:id="1691561216">
      <w:bodyDiv w:val="1"/>
      <w:marLeft w:val="0"/>
      <w:marRight w:val="0"/>
      <w:marTop w:val="0"/>
      <w:marBottom w:val="0"/>
      <w:divBdr>
        <w:top w:val="none" w:sz="0" w:space="0" w:color="auto"/>
        <w:left w:val="none" w:sz="0" w:space="0" w:color="auto"/>
        <w:bottom w:val="none" w:sz="0" w:space="0" w:color="auto"/>
        <w:right w:val="none" w:sz="0" w:space="0" w:color="auto"/>
      </w:divBdr>
    </w:div>
    <w:div w:id="1691755991">
      <w:bodyDiv w:val="1"/>
      <w:marLeft w:val="0"/>
      <w:marRight w:val="0"/>
      <w:marTop w:val="0"/>
      <w:marBottom w:val="0"/>
      <w:divBdr>
        <w:top w:val="none" w:sz="0" w:space="0" w:color="auto"/>
        <w:left w:val="none" w:sz="0" w:space="0" w:color="auto"/>
        <w:bottom w:val="none" w:sz="0" w:space="0" w:color="auto"/>
        <w:right w:val="none" w:sz="0" w:space="0" w:color="auto"/>
      </w:divBdr>
    </w:div>
    <w:div w:id="1691833696">
      <w:bodyDiv w:val="1"/>
      <w:marLeft w:val="0"/>
      <w:marRight w:val="0"/>
      <w:marTop w:val="0"/>
      <w:marBottom w:val="0"/>
      <w:divBdr>
        <w:top w:val="none" w:sz="0" w:space="0" w:color="auto"/>
        <w:left w:val="none" w:sz="0" w:space="0" w:color="auto"/>
        <w:bottom w:val="none" w:sz="0" w:space="0" w:color="auto"/>
        <w:right w:val="none" w:sz="0" w:space="0" w:color="auto"/>
      </w:divBdr>
    </w:div>
    <w:div w:id="1691877432">
      <w:bodyDiv w:val="1"/>
      <w:marLeft w:val="0"/>
      <w:marRight w:val="0"/>
      <w:marTop w:val="0"/>
      <w:marBottom w:val="0"/>
      <w:divBdr>
        <w:top w:val="none" w:sz="0" w:space="0" w:color="auto"/>
        <w:left w:val="none" w:sz="0" w:space="0" w:color="auto"/>
        <w:bottom w:val="none" w:sz="0" w:space="0" w:color="auto"/>
        <w:right w:val="none" w:sz="0" w:space="0" w:color="auto"/>
      </w:divBdr>
    </w:div>
    <w:div w:id="1692024685">
      <w:bodyDiv w:val="1"/>
      <w:marLeft w:val="0"/>
      <w:marRight w:val="0"/>
      <w:marTop w:val="0"/>
      <w:marBottom w:val="0"/>
      <w:divBdr>
        <w:top w:val="none" w:sz="0" w:space="0" w:color="auto"/>
        <w:left w:val="none" w:sz="0" w:space="0" w:color="auto"/>
        <w:bottom w:val="none" w:sz="0" w:space="0" w:color="auto"/>
        <w:right w:val="none" w:sz="0" w:space="0" w:color="auto"/>
      </w:divBdr>
    </w:div>
    <w:div w:id="1692297997">
      <w:bodyDiv w:val="1"/>
      <w:marLeft w:val="0"/>
      <w:marRight w:val="0"/>
      <w:marTop w:val="0"/>
      <w:marBottom w:val="0"/>
      <w:divBdr>
        <w:top w:val="none" w:sz="0" w:space="0" w:color="auto"/>
        <w:left w:val="none" w:sz="0" w:space="0" w:color="auto"/>
        <w:bottom w:val="none" w:sz="0" w:space="0" w:color="auto"/>
        <w:right w:val="none" w:sz="0" w:space="0" w:color="auto"/>
      </w:divBdr>
    </w:div>
    <w:div w:id="1692300835">
      <w:bodyDiv w:val="1"/>
      <w:marLeft w:val="0"/>
      <w:marRight w:val="0"/>
      <w:marTop w:val="0"/>
      <w:marBottom w:val="0"/>
      <w:divBdr>
        <w:top w:val="none" w:sz="0" w:space="0" w:color="auto"/>
        <w:left w:val="none" w:sz="0" w:space="0" w:color="auto"/>
        <w:bottom w:val="none" w:sz="0" w:space="0" w:color="auto"/>
        <w:right w:val="none" w:sz="0" w:space="0" w:color="auto"/>
      </w:divBdr>
    </w:div>
    <w:div w:id="1692685883">
      <w:bodyDiv w:val="1"/>
      <w:marLeft w:val="0"/>
      <w:marRight w:val="0"/>
      <w:marTop w:val="0"/>
      <w:marBottom w:val="0"/>
      <w:divBdr>
        <w:top w:val="none" w:sz="0" w:space="0" w:color="auto"/>
        <w:left w:val="none" w:sz="0" w:space="0" w:color="auto"/>
        <w:bottom w:val="none" w:sz="0" w:space="0" w:color="auto"/>
        <w:right w:val="none" w:sz="0" w:space="0" w:color="auto"/>
      </w:divBdr>
    </w:div>
    <w:div w:id="1692801996">
      <w:bodyDiv w:val="1"/>
      <w:marLeft w:val="0"/>
      <w:marRight w:val="0"/>
      <w:marTop w:val="0"/>
      <w:marBottom w:val="0"/>
      <w:divBdr>
        <w:top w:val="none" w:sz="0" w:space="0" w:color="auto"/>
        <w:left w:val="none" w:sz="0" w:space="0" w:color="auto"/>
        <w:bottom w:val="none" w:sz="0" w:space="0" w:color="auto"/>
        <w:right w:val="none" w:sz="0" w:space="0" w:color="auto"/>
      </w:divBdr>
    </w:div>
    <w:div w:id="1693456163">
      <w:bodyDiv w:val="1"/>
      <w:marLeft w:val="0"/>
      <w:marRight w:val="0"/>
      <w:marTop w:val="0"/>
      <w:marBottom w:val="0"/>
      <w:divBdr>
        <w:top w:val="none" w:sz="0" w:space="0" w:color="auto"/>
        <w:left w:val="none" w:sz="0" w:space="0" w:color="auto"/>
        <w:bottom w:val="none" w:sz="0" w:space="0" w:color="auto"/>
        <w:right w:val="none" w:sz="0" w:space="0" w:color="auto"/>
      </w:divBdr>
    </w:div>
    <w:div w:id="1693456968">
      <w:bodyDiv w:val="1"/>
      <w:marLeft w:val="0"/>
      <w:marRight w:val="0"/>
      <w:marTop w:val="0"/>
      <w:marBottom w:val="0"/>
      <w:divBdr>
        <w:top w:val="none" w:sz="0" w:space="0" w:color="auto"/>
        <w:left w:val="none" w:sz="0" w:space="0" w:color="auto"/>
        <w:bottom w:val="none" w:sz="0" w:space="0" w:color="auto"/>
        <w:right w:val="none" w:sz="0" w:space="0" w:color="auto"/>
      </w:divBdr>
    </w:div>
    <w:div w:id="1693533159">
      <w:bodyDiv w:val="1"/>
      <w:marLeft w:val="0"/>
      <w:marRight w:val="0"/>
      <w:marTop w:val="0"/>
      <w:marBottom w:val="0"/>
      <w:divBdr>
        <w:top w:val="none" w:sz="0" w:space="0" w:color="auto"/>
        <w:left w:val="none" w:sz="0" w:space="0" w:color="auto"/>
        <w:bottom w:val="none" w:sz="0" w:space="0" w:color="auto"/>
        <w:right w:val="none" w:sz="0" w:space="0" w:color="auto"/>
      </w:divBdr>
    </w:div>
    <w:div w:id="1693534367">
      <w:bodyDiv w:val="1"/>
      <w:marLeft w:val="0"/>
      <w:marRight w:val="0"/>
      <w:marTop w:val="0"/>
      <w:marBottom w:val="0"/>
      <w:divBdr>
        <w:top w:val="none" w:sz="0" w:space="0" w:color="auto"/>
        <w:left w:val="none" w:sz="0" w:space="0" w:color="auto"/>
        <w:bottom w:val="none" w:sz="0" w:space="0" w:color="auto"/>
        <w:right w:val="none" w:sz="0" w:space="0" w:color="auto"/>
      </w:divBdr>
    </w:div>
    <w:div w:id="1693603532">
      <w:bodyDiv w:val="1"/>
      <w:marLeft w:val="0"/>
      <w:marRight w:val="0"/>
      <w:marTop w:val="0"/>
      <w:marBottom w:val="0"/>
      <w:divBdr>
        <w:top w:val="none" w:sz="0" w:space="0" w:color="auto"/>
        <w:left w:val="none" w:sz="0" w:space="0" w:color="auto"/>
        <w:bottom w:val="none" w:sz="0" w:space="0" w:color="auto"/>
        <w:right w:val="none" w:sz="0" w:space="0" w:color="auto"/>
      </w:divBdr>
    </w:div>
    <w:div w:id="1693654013">
      <w:bodyDiv w:val="1"/>
      <w:marLeft w:val="0"/>
      <w:marRight w:val="0"/>
      <w:marTop w:val="0"/>
      <w:marBottom w:val="0"/>
      <w:divBdr>
        <w:top w:val="none" w:sz="0" w:space="0" w:color="auto"/>
        <w:left w:val="none" w:sz="0" w:space="0" w:color="auto"/>
        <w:bottom w:val="none" w:sz="0" w:space="0" w:color="auto"/>
        <w:right w:val="none" w:sz="0" w:space="0" w:color="auto"/>
      </w:divBdr>
    </w:div>
    <w:div w:id="1693803764">
      <w:bodyDiv w:val="1"/>
      <w:marLeft w:val="0"/>
      <w:marRight w:val="0"/>
      <w:marTop w:val="0"/>
      <w:marBottom w:val="0"/>
      <w:divBdr>
        <w:top w:val="none" w:sz="0" w:space="0" w:color="auto"/>
        <w:left w:val="none" w:sz="0" w:space="0" w:color="auto"/>
        <w:bottom w:val="none" w:sz="0" w:space="0" w:color="auto"/>
        <w:right w:val="none" w:sz="0" w:space="0" w:color="auto"/>
      </w:divBdr>
    </w:div>
    <w:div w:id="1694502261">
      <w:bodyDiv w:val="1"/>
      <w:marLeft w:val="0"/>
      <w:marRight w:val="0"/>
      <w:marTop w:val="0"/>
      <w:marBottom w:val="0"/>
      <w:divBdr>
        <w:top w:val="none" w:sz="0" w:space="0" w:color="auto"/>
        <w:left w:val="none" w:sz="0" w:space="0" w:color="auto"/>
        <w:bottom w:val="none" w:sz="0" w:space="0" w:color="auto"/>
        <w:right w:val="none" w:sz="0" w:space="0" w:color="auto"/>
      </w:divBdr>
    </w:div>
    <w:div w:id="1694767998">
      <w:bodyDiv w:val="1"/>
      <w:marLeft w:val="0"/>
      <w:marRight w:val="0"/>
      <w:marTop w:val="0"/>
      <w:marBottom w:val="0"/>
      <w:divBdr>
        <w:top w:val="none" w:sz="0" w:space="0" w:color="auto"/>
        <w:left w:val="none" w:sz="0" w:space="0" w:color="auto"/>
        <w:bottom w:val="none" w:sz="0" w:space="0" w:color="auto"/>
        <w:right w:val="none" w:sz="0" w:space="0" w:color="auto"/>
      </w:divBdr>
    </w:div>
    <w:div w:id="1694840149">
      <w:bodyDiv w:val="1"/>
      <w:marLeft w:val="0"/>
      <w:marRight w:val="0"/>
      <w:marTop w:val="0"/>
      <w:marBottom w:val="0"/>
      <w:divBdr>
        <w:top w:val="none" w:sz="0" w:space="0" w:color="auto"/>
        <w:left w:val="none" w:sz="0" w:space="0" w:color="auto"/>
        <w:bottom w:val="none" w:sz="0" w:space="0" w:color="auto"/>
        <w:right w:val="none" w:sz="0" w:space="0" w:color="auto"/>
      </w:divBdr>
    </w:div>
    <w:div w:id="1695502130">
      <w:bodyDiv w:val="1"/>
      <w:marLeft w:val="0"/>
      <w:marRight w:val="0"/>
      <w:marTop w:val="0"/>
      <w:marBottom w:val="0"/>
      <w:divBdr>
        <w:top w:val="none" w:sz="0" w:space="0" w:color="auto"/>
        <w:left w:val="none" w:sz="0" w:space="0" w:color="auto"/>
        <w:bottom w:val="none" w:sz="0" w:space="0" w:color="auto"/>
        <w:right w:val="none" w:sz="0" w:space="0" w:color="auto"/>
      </w:divBdr>
    </w:div>
    <w:div w:id="1695616843">
      <w:bodyDiv w:val="1"/>
      <w:marLeft w:val="0"/>
      <w:marRight w:val="0"/>
      <w:marTop w:val="0"/>
      <w:marBottom w:val="0"/>
      <w:divBdr>
        <w:top w:val="none" w:sz="0" w:space="0" w:color="auto"/>
        <w:left w:val="none" w:sz="0" w:space="0" w:color="auto"/>
        <w:bottom w:val="none" w:sz="0" w:space="0" w:color="auto"/>
        <w:right w:val="none" w:sz="0" w:space="0" w:color="auto"/>
      </w:divBdr>
    </w:div>
    <w:div w:id="1695619623">
      <w:bodyDiv w:val="1"/>
      <w:marLeft w:val="0"/>
      <w:marRight w:val="0"/>
      <w:marTop w:val="0"/>
      <w:marBottom w:val="0"/>
      <w:divBdr>
        <w:top w:val="none" w:sz="0" w:space="0" w:color="auto"/>
        <w:left w:val="none" w:sz="0" w:space="0" w:color="auto"/>
        <w:bottom w:val="none" w:sz="0" w:space="0" w:color="auto"/>
        <w:right w:val="none" w:sz="0" w:space="0" w:color="auto"/>
      </w:divBdr>
    </w:div>
    <w:div w:id="1695769717">
      <w:bodyDiv w:val="1"/>
      <w:marLeft w:val="0"/>
      <w:marRight w:val="0"/>
      <w:marTop w:val="0"/>
      <w:marBottom w:val="0"/>
      <w:divBdr>
        <w:top w:val="none" w:sz="0" w:space="0" w:color="auto"/>
        <w:left w:val="none" w:sz="0" w:space="0" w:color="auto"/>
        <w:bottom w:val="none" w:sz="0" w:space="0" w:color="auto"/>
        <w:right w:val="none" w:sz="0" w:space="0" w:color="auto"/>
      </w:divBdr>
    </w:div>
    <w:div w:id="1696348950">
      <w:bodyDiv w:val="1"/>
      <w:marLeft w:val="0"/>
      <w:marRight w:val="0"/>
      <w:marTop w:val="0"/>
      <w:marBottom w:val="0"/>
      <w:divBdr>
        <w:top w:val="none" w:sz="0" w:space="0" w:color="auto"/>
        <w:left w:val="none" w:sz="0" w:space="0" w:color="auto"/>
        <w:bottom w:val="none" w:sz="0" w:space="0" w:color="auto"/>
        <w:right w:val="none" w:sz="0" w:space="0" w:color="auto"/>
      </w:divBdr>
    </w:div>
    <w:div w:id="1696420227">
      <w:bodyDiv w:val="1"/>
      <w:marLeft w:val="0"/>
      <w:marRight w:val="0"/>
      <w:marTop w:val="0"/>
      <w:marBottom w:val="0"/>
      <w:divBdr>
        <w:top w:val="none" w:sz="0" w:space="0" w:color="auto"/>
        <w:left w:val="none" w:sz="0" w:space="0" w:color="auto"/>
        <w:bottom w:val="none" w:sz="0" w:space="0" w:color="auto"/>
        <w:right w:val="none" w:sz="0" w:space="0" w:color="auto"/>
      </w:divBdr>
    </w:div>
    <w:div w:id="1696422395">
      <w:bodyDiv w:val="1"/>
      <w:marLeft w:val="0"/>
      <w:marRight w:val="0"/>
      <w:marTop w:val="0"/>
      <w:marBottom w:val="0"/>
      <w:divBdr>
        <w:top w:val="none" w:sz="0" w:space="0" w:color="auto"/>
        <w:left w:val="none" w:sz="0" w:space="0" w:color="auto"/>
        <w:bottom w:val="none" w:sz="0" w:space="0" w:color="auto"/>
        <w:right w:val="none" w:sz="0" w:space="0" w:color="auto"/>
      </w:divBdr>
    </w:div>
    <w:div w:id="1696732665">
      <w:bodyDiv w:val="1"/>
      <w:marLeft w:val="0"/>
      <w:marRight w:val="0"/>
      <w:marTop w:val="0"/>
      <w:marBottom w:val="0"/>
      <w:divBdr>
        <w:top w:val="none" w:sz="0" w:space="0" w:color="auto"/>
        <w:left w:val="none" w:sz="0" w:space="0" w:color="auto"/>
        <w:bottom w:val="none" w:sz="0" w:space="0" w:color="auto"/>
        <w:right w:val="none" w:sz="0" w:space="0" w:color="auto"/>
      </w:divBdr>
    </w:div>
    <w:div w:id="1697148294">
      <w:bodyDiv w:val="1"/>
      <w:marLeft w:val="0"/>
      <w:marRight w:val="0"/>
      <w:marTop w:val="0"/>
      <w:marBottom w:val="0"/>
      <w:divBdr>
        <w:top w:val="none" w:sz="0" w:space="0" w:color="auto"/>
        <w:left w:val="none" w:sz="0" w:space="0" w:color="auto"/>
        <w:bottom w:val="none" w:sz="0" w:space="0" w:color="auto"/>
        <w:right w:val="none" w:sz="0" w:space="0" w:color="auto"/>
      </w:divBdr>
    </w:div>
    <w:div w:id="1697269736">
      <w:bodyDiv w:val="1"/>
      <w:marLeft w:val="0"/>
      <w:marRight w:val="0"/>
      <w:marTop w:val="0"/>
      <w:marBottom w:val="0"/>
      <w:divBdr>
        <w:top w:val="none" w:sz="0" w:space="0" w:color="auto"/>
        <w:left w:val="none" w:sz="0" w:space="0" w:color="auto"/>
        <w:bottom w:val="none" w:sz="0" w:space="0" w:color="auto"/>
        <w:right w:val="none" w:sz="0" w:space="0" w:color="auto"/>
      </w:divBdr>
    </w:div>
    <w:div w:id="1697541003">
      <w:bodyDiv w:val="1"/>
      <w:marLeft w:val="0"/>
      <w:marRight w:val="0"/>
      <w:marTop w:val="0"/>
      <w:marBottom w:val="0"/>
      <w:divBdr>
        <w:top w:val="none" w:sz="0" w:space="0" w:color="auto"/>
        <w:left w:val="none" w:sz="0" w:space="0" w:color="auto"/>
        <w:bottom w:val="none" w:sz="0" w:space="0" w:color="auto"/>
        <w:right w:val="none" w:sz="0" w:space="0" w:color="auto"/>
      </w:divBdr>
    </w:div>
    <w:div w:id="1697730653">
      <w:bodyDiv w:val="1"/>
      <w:marLeft w:val="0"/>
      <w:marRight w:val="0"/>
      <w:marTop w:val="0"/>
      <w:marBottom w:val="0"/>
      <w:divBdr>
        <w:top w:val="none" w:sz="0" w:space="0" w:color="auto"/>
        <w:left w:val="none" w:sz="0" w:space="0" w:color="auto"/>
        <w:bottom w:val="none" w:sz="0" w:space="0" w:color="auto"/>
        <w:right w:val="none" w:sz="0" w:space="0" w:color="auto"/>
      </w:divBdr>
    </w:div>
    <w:div w:id="1697848242">
      <w:bodyDiv w:val="1"/>
      <w:marLeft w:val="0"/>
      <w:marRight w:val="0"/>
      <w:marTop w:val="0"/>
      <w:marBottom w:val="0"/>
      <w:divBdr>
        <w:top w:val="none" w:sz="0" w:space="0" w:color="auto"/>
        <w:left w:val="none" w:sz="0" w:space="0" w:color="auto"/>
        <w:bottom w:val="none" w:sz="0" w:space="0" w:color="auto"/>
        <w:right w:val="none" w:sz="0" w:space="0" w:color="auto"/>
      </w:divBdr>
    </w:div>
    <w:div w:id="1697920828">
      <w:bodyDiv w:val="1"/>
      <w:marLeft w:val="0"/>
      <w:marRight w:val="0"/>
      <w:marTop w:val="0"/>
      <w:marBottom w:val="0"/>
      <w:divBdr>
        <w:top w:val="none" w:sz="0" w:space="0" w:color="auto"/>
        <w:left w:val="none" w:sz="0" w:space="0" w:color="auto"/>
        <w:bottom w:val="none" w:sz="0" w:space="0" w:color="auto"/>
        <w:right w:val="none" w:sz="0" w:space="0" w:color="auto"/>
      </w:divBdr>
    </w:div>
    <w:div w:id="1697924994">
      <w:bodyDiv w:val="1"/>
      <w:marLeft w:val="0"/>
      <w:marRight w:val="0"/>
      <w:marTop w:val="0"/>
      <w:marBottom w:val="0"/>
      <w:divBdr>
        <w:top w:val="none" w:sz="0" w:space="0" w:color="auto"/>
        <w:left w:val="none" w:sz="0" w:space="0" w:color="auto"/>
        <w:bottom w:val="none" w:sz="0" w:space="0" w:color="auto"/>
        <w:right w:val="none" w:sz="0" w:space="0" w:color="auto"/>
      </w:divBdr>
    </w:div>
    <w:div w:id="1697928203">
      <w:bodyDiv w:val="1"/>
      <w:marLeft w:val="0"/>
      <w:marRight w:val="0"/>
      <w:marTop w:val="0"/>
      <w:marBottom w:val="0"/>
      <w:divBdr>
        <w:top w:val="none" w:sz="0" w:space="0" w:color="auto"/>
        <w:left w:val="none" w:sz="0" w:space="0" w:color="auto"/>
        <w:bottom w:val="none" w:sz="0" w:space="0" w:color="auto"/>
        <w:right w:val="none" w:sz="0" w:space="0" w:color="auto"/>
      </w:divBdr>
    </w:div>
    <w:div w:id="1698003118">
      <w:bodyDiv w:val="1"/>
      <w:marLeft w:val="0"/>
      <w:marRight w:val="0"/>
      <w:marTop w:val="0"/>
      <w:marBottom w:val="0"/>
      <w:divBdr>
        <w:top w:val="none" w:sz="0" w:space="0" w:color="auto"/>
        <w:left w:val="none" w:sz="0" w:space="0" w:color="auto"/>
        <w:bottom w:val="none" w:sz="0" w:space="0" w:color="auto"/>
        <w:right w:val="none" w:sz="0" w:space="0" w:color="auto"/>
      </w:divBdr>
    </w:div>
    <w:div w:id="1698042419">
      <w:bodyDiv w:val="1"/>
      <w:marLeft w:val="0"/>
      <w:marRight w:val="0"/>
      <w:marTop w:val="0"/>
      <w:marBottom w:val="0"/>
      <w:divBdr>
        <w:top w:val="none" w:sz="0" w:space="0" w:color="auto"/>
        <w:left w:val="none" w:sz="0" w:space="0" w:color="auto"/>
        <w:bottom w:val="none" w:sz="0" w:space="0" w:color="auto"/>
        <w:right w:val="none" w:sz="0" w:space="0" w:color="auto"/>
      </w:divBdr>
    </w:div>
    <w:div w:id="1698043079">
      <w:bodyDiv w:val="1"/>
      <w:marLeft w:val="0"/>
      <w:marRight w:val="0"/>
      <w:marTop w:val="0"/>
      <w:marBottom w:val="0"/>
      <w:divBdr>
        <w:top w:val="none" w:sz="0" w:space="0" w:color="auto"/>
        <w:left w:val="none" w:sz="0" w:space="0" w:color="auto"/>
        <w:bottom w:val="none" w:sz="0" w:space="0" w:color="auto"/>
        <w:right w:val="none" w:sz="0" w:space="0" w:color="auto"/>
      </w:divBdr>
    </w:div>
    <w:div w:id="1698501283">
      <w:bodyDiv w:val="1"/>
      <w:marLeft w:val="0"/>
      <w:marRight w:val="0"/>
      <w:marTop w:val="0"/>
      <w:marBottom w:val="0"/>
      <w:divBdr>
        <w:top w:val="none" w:sz="0" w:space="0" w:color="auto"/>
        <w:left w:val="none" w:sz="0" w:space="0" w:color="auto"/>
        <w:bottom w:val="none" w:sz="0" w:space="0" w:color="auto"/>
        <w:right w:val="none" w:sz="0" w:space="0" w:color="auto"/>
      </w:divBdr>
    </w:div>
    <w:div w:id="1698504804">
      <w:bodyDiv w:val="1"/>
      <w:marLeft w:val="0"/>
      <w:marRight w:val="0"/>
      <w:marTop w:val="0"/>
      <w:marBottom w:val="0"/>
      <w:divBdr>
        <w:top w:val="none" w:sz="0" w:space="0" w:color="auto"/>
        <w:left w:val="none" w:sz="0" w:space="0" w:color="auto"/>
        <w:bottom w:val="none" w:sz="0" w:space="0" w:color="auto"/>
        <w:right w:val="none" w:sz="0" w:space="0" w:color="auto"/>
      </w:divBdr>
    </w:div>
    <w:div w:id="1698580612">
      <w:bodyDiv w:val="1"/>
      <w:marLeft w:val="0"/>
      <w:marRight w:val="0"/>
      <w:marTop w:val="0"/>
      <w:marBottom w:val="0"/>
      <w:divBdr>
        <w:top w:val="none" w:sz="0" w:space="0" w:color="auto"/>
        <w:left w:val="none" w:sz="0" w:space="0" w:color="auto"/>
        <w:bottom w:val="none" w:sz="0" w:space="0" w:color="auto"/>
        <w:right w:val="none" w:sz="0" w:space="0" w:color="auto"/>
      </w:divBdr>
    </w:div>
    <w:div w:id="1698847783">
      <w:bodyDiv w:val="1"/>
      <w:marLeft w:val="0"/>
      <w:marRight w:val="0"/>
      <w:marTop w:val="0"/>
      <w:marBottom w:val="0"/>
      <w:divBdr>
        <w:top w:val="none" w:sz="0" w:space="0" w:color="auto"/>
        <w:left w:val="none" w:sz="0" w:space="0" w:color="auto"/>
        <w:bottom w:val="none" w:sz="0" w:space="0" w:color="auto"/>
        <w:right w:val="none" w:sz="0" w:space="0" w:color="auto"/>
      </w:divBdr>
    </w:div>
    <w:div w:id="1698853198">
      <w:bodyDiv w:val="1"/>
      <w:marLeft w:val="0"/>
      <w:marRight w:val="0"/>
      <w:marTop w:val="0"/>
      <w:marBottom w:val="0"/>
      <w:divBdr>
        <w:top w:val="none" w:sz="0" w:space="0" w:color="auto"/>
        <w:left w:val="none" w:sz="0" w:space="0" w:color="auto"/>
        <w:bottom w:val="none" w:sz="0" w:space="0" w:color="auto"/>
        <w:right w:val="none" w:sz="0" w:space="0" w:color="auto"/>
      </w:divBdr>
    </w:div>
    <w:div w:id="1699116276">
      <w:bodyDiv w:val="1"/>
      <w:marLeft w:val="0"/>
      <w:marRight w:val="0"/>
      <w:marTop w:val="0"/>
      <w:marBottom w:val="0"/>
      <w:divBdr>
        <w:top w:val="none" w:sz="0" w:space="0" w:color="auto"/>
        <w:left w:val="none" w:sz="0" w:space="0" w:color="auto"/>
        <w:bottom w:val="none" w:sz="0" w:space="0" w:color="auto"/>
        <w:right w:val="none" w:sz="0" w:space="0" w:color="auto"/>
      </w:divBdr>
    </w:div>
    <w:div w:id="1699156252">
      <w:bodyDiv w:val="1"/>
      <w:marLeft w:val="0"/>
      <w:marRight w:val="0"/>
      <w:marTop w:val="0"/>
      <w:marBottom w:val="0"/>
      <w:divBdr>
        <w:top w:val="none" w:sz="0" w:space="0" w:color="auto"/>
        <w:left w:val="none" w:sz="0" w:space="0" w:color="auto"/>
        <w:bottom w:val="none" w:sz="0" w:space="0" w:color="auto"/>
        <w:right w:val="none" w:sz="0" w:space="0" w:color="auto"/>
      </w:divBdr>
    </w:div>
    <w:div w:id="1699432610">
      <w:bodyDiv w:val="1"/>
      <w:marLeft w:val="0"/>
      <w:marRight w:val="0"/>
      <w:marTop w:val="0"/>
      <w:marBottom w:val="0"/>
      <w:divBdr>
        <w:top w:val="none" w:sz="0" w:space="0" w:color="auto"/>
        <w:left w:val="none" w:sz="0" w:space="0" w:color="auto"/>
        <w:bottom w:val="none" w:sz="0" w:space="0" w:color="auto"/>
        <w:right w:val="none" w:sz="0" w:space="0" w:color="auto"/>
      </w:divBdr>
    </w:div>
    <w:div w:id="1699507148">
      <w:bodyDiv w:val="1"/>
      <w:marLeft w:val="0"/>
      <w:marRight w:val="0"/>
      <w:marTop w:val="0"/>
      <w:marBottom w:val="0"/>
      <w:divBdr>
        <w:top w:val="none" w:sz="0" w:space="0" w:color="auto"/>
        <w:left w:val="none" w:sz="0" w:space="0" w:color="auto"/>
        <w:bottom w:val="none" w:sz="0" w:space="0" w:color="auto"/>
        <w:right w:val="none" w:sz="0" w:space="0" w:color="auto"/>
      </w:divBdr>
    </w:div>
    <w:div w:id="1699546227">
      <w:bodyDiv w:val="1"/>
      <w:marLeft w:val="0"/>
      <w:marRight w:val="0"/>
      <w:marTop w:val="0"/>
      <w:marBottom w:val="0"/>
      <w:divBdr>
        <w:top w:val="none" w:sz="0" w:space="0" w:color="auto"/>
        <w:left w:val="none" w:sz="0" w:space="0" w:color="auto"/>
        <w:bottom w:val="none" w:sz="0" w:space="0" w:color="auto"/>
        <w:right w:val="none" w:sz="0" w:space="0" w:color="auto"/>
      </w:divBdr>
    </w:div>
    <w:div w:id="1699576177">
      <w:bodyDiv w:val="1"/>
      <w:marLeft w:val="0"/>
      <w:marRight w:val="0"/>
      <w:marTop w:val="0"/>
      <w:marBottom w:val="0"/>
      <w:divBdr>
        <w:top w:val="none" w:sz="0" w:space="0" w:color="auto"/>
        <w:left w:val="none" w:sz="0" w:space="0" w:color="auto"/>
        <w:bottom w:val="none" w:sz="0" w:space="0" w:color="auto"/>
        <w:right w:val="none" w:sz="0" w:space="0" w:color="auto"/>
      </w:divBdr>
    </w:div>
    <w:div w:id="1699694195">
      <w:bodyDiv w:val="1"/>
      <w:marLeft w:val="0"/>
      <w:marRight w:val="0"/>
      <w:marTop w:val="0"/>
      <w:marBottom w:val="0"/>
      <w:divBdr>
        <w:top w:val="none" w:sz="0" w:space="0" w:color="auto"/>
        <w:left w:val="none" w:sz="0" w:space="0" w:color="auto"/>
        <w:bottom w:val="none" w:sz="0" w:space="0" w:color="auto"/>
        <w:right w:val="none" w:sz="0" w:space="0" w:color="auto"/>
      </w:divBdr>
    </w:div>
    <w:div w:id="1699812786">
      <w:bodyDiv w:val="1"/>
      <w:marLeft w:val="0"/>
      <w:marRight w:val="0"/>
      <w:marTop w:val="0"/>
      <w:marBottom w:val="0"/>
      <w:divBdr>
        <w:top w:val="none" w:sz="0" w:space="0" w:color="auto"/>
        <w:left w:val="none" w:sz="0" w:space="0" w:color="auto"/>
        <w:bottom w:val="none" w:sz="0" w:space="0" w:color="auto"/>
        <w:right w:val="none" w:sz="0" w:space="0" w:color="auto"/>
      </w:divBdr>
    </w:div>
    <w:div w:id="1699815281">
      <w:bodyDiv w:val="1"/>
      <w:marLeft w:val="0"/>
      <w:marRight w:val="0"/>
      <w:marTop w:val="0"/>
      <w:marBottom w:val="0"/>
      <w:divBdr>
        <w:top w:val="none" w:sz="0" w:space="0" w:color="auto"/>
        <w:left w:val="none" w:sz="0" w:space="0" w:color="auto"/>
        <w:bottom w:val="none" w:sz="0" w:space="0" w:color="auto"/>
        <w:right w:val="none" w:sz="0" w:space="0" w:color="auto"/>
      </w:divBdr>
    </w:div>
    <w:div w:id="1699816568">
      <w:bodyDiv w:val="1"/>
      <w:marLeft w:val="0"/>
      <w:marRight w:val="0"/>
      <w:marTop w:val="0"/>
      <w:marBottom w:val="0"/>
      <w:divBdr>
        <w:top w:val="none" w:sz="0" w:space="0" w:color="auto"/>
        <w:left w:val="none" w:sz="0" w:space="0" w:color="auto"/>
        <w:bottom w:val="none" w:sz="0" w:space="0" w:color="auto"/>
        <w:right w:val="none" w:sz="0" w:space="0" w:color="auto"/>
      </w:divBdr>
    </w:div>
    <w:div w:id="1699963131">
      <w:bodyDiv w:val="1"/>
      <w:marLeft w:val="0"/>
      <w:marRight w:val="0"/>
      <w:marTop w:val="0"/>
      <w:marBottom w:val="0"/>
      <w:divBdr>
        <w:top w:val="none" w:sz="0" w:space="0" w:color="auto"/>
        <w:left w:val="none" w:sz="0" w:space="0" w:color="auto"/>
        <w:bottom w:val="none" w:sz="0" w:space="0" w:color="auto"/>
        <w:right w:val="none" w:sz="0" w:space="0" w:color="auto"/>
      </w:divBdr>
    </w:div>
    <w:div w:id="1699965180">
      <w:bodyDiv w:val="1"/>
      <w:marLeft w:val="0"/>
      <w:marRight w:val="0"/>
      <w:marTop w:val="0"/>
      <w:marBottom w:val="0"/>
      <w:divBdr>
        <w:top w:val="none" w:sz="0" w:space="0" w:color="auto"/>
        <w:left w:val="none" w:sz="0" w:space="0" w:color="auto"/>
        <w:bottom w:val="none" w:sz="0" w:space="0" w:color="auto"/>
        <w:right w:val="none" w:sz="0" w:space="0" w:color="auto"/>
      </w:divBdr>
    </w:div>
    <w:div w:id="1700621080">
      <w:bodyDiv w:val="1"/>
      <w:marLeft w:val="0"/>
      <w:marRight w:val="0"/>
      <w:marTop w:val="0"/>
      <w:marBottom w:val="0"/>
      <w:divBdr>
        <w:top w:val="none" w:sz="0" w:space="0" w:color="auto"/>
        <w:left w:val="none" w:sz="0" w:space="0" w:color="auto"/>
        <w:bottom w:val="none" w:sz="0" w:space="0" w:color="auto"/>
        <w:right w:val="none" w:sz="0" w:space="0" w:color="auto"/>
      </w:divBdr>
    </w:div>
    <w:div w:id="1700664879">
      <w:bodyDiv w:val="1"/>
      <w:marLeft w:val="0"/>
      <w:marRight w:val="0"/>
      <w:marTop w:val="0"/>
      <w:marBottom w:val="0"/>
      <w:divBdr>
        <w:top w:val="none" w:sz="0" w:space="0" w:color="auto"/>
        <w:left w:val="none" w:sz="0" w:space="0" w:color="auto"/>
        <w:bottom w:val="none" w:sz="0" w:space="0" w:color="auto"/>
        <w:right w:val="none" w:sz="0" w:space="0" w:color="auto"/>
      </w:divBdr>
    </w:div>
    <w:div w:id="1700669027">
      <w:bodyDiv w:val="1"/>
      <w:marLeft w:val="0"/>
      <w:marRight w:val="0"/>
      <w:marTop w:val="0"/>
      <w:marBottom w:val="0"/>
      <w:divBdr>
        <w:top w:val="none" w:sz="0" w:space="0" w:color="auto"/>
        <w:left w:val="none" w:sz="0" w:space="0" w:color="auto"/>
        <w:bottom w:val="none" w:sz="0" w:space="0" w:color="auto"/>
        <w:right w:val="none" w:sz="0" w:space="0" w:color="auto"/>
      </w:divBdr>
    </w:div>
    <w:div w:id="1700815741">
      <w:bodyDiv w:val="1"/>
      <w:marLeft w:val="0"/>
      <w:marRight w:val="0"/>
      <w:marTop w:val="0"/>
      <w:marBottom w:val="0"/>
      <w:divBdr>
        <w:top w:val="none" w:sz="0" w:space="0" w:color="auto"/>
        <w:left w:val="none" w:sz="0" w:space="0" w:color="auto"/>
        <w:bottom w:val="none" w:sz="0" w:space="0" w:color="auto"/>
        <w:right w:val="none" w:sz="0" w:space="0" w:color="auto"/>
      </w:divBdr>
    </w:div>
    <w:div w:id="1701125128">
      <w:bodyDiv w:val="1"/>
      <w:marLeft w:val="0"/>
      <w:marRight w:val="0"/>
      <w:marTop w:val="0"/>
      <w:marBottom w:val="0"/>
      <w:divBdr>
        <w:top w:val="none" w:sz="0" w:space="0" w:color="auto"/>
        <w:left w:val="none" w:sz="0" w:space="0" w:color="auto"/>
        <w:bottom w:val="none" w:sz="0" w:space="0" w:color="auto"/>
        <w:right w:val="none" w:sz="0" w:space="0" w:color="auto"/>
      </w:divBdr>
    </w:div>
    <w:div w:id="1701513473">
      <w:bodyDiv w:val="1"/>
      <w:marLeft w:val="0"/>
      <w:marRight w:val="0"/>
      <w:marTop w:val="0"/>
      <w:marBottom w:val="0"/>
      <w:divBdr>
        <w:top w:val="none" w:sz="0" w:space="0" w:color="auto"/>
        <w:left w:val="none" w:sz="0" w:space="0" w:color="auto"/>
        <w:bottom w:val="none" w:sz="0" w:space="0" w:color="auto"/>
        <w:right w:val="none" w:sz="0" w:space="0" w:color="auto"/>
      </w:divBdr>
    </w:div>
    <w:div w:id="1701541310">
      <w:bodyDiv w:val="1"/>
      <w:marLeft w:val="0"/>
      <w:marRight w:val="0"/>
      <w:marTop w:val="0"/>
      <w:marBottom w:val="0"/>
      <w:divBdr>
        <w:top w:val="none" w:sz="0" w:space="0" w:color="auto"/>
        <w:left w:val="none" w:sz="0" w:space="0" w:color="auto"/>
        <w:bottom w:val="none" w:sz="0" w:space="0" w:color="auto"/>
        <w:right w:val="none" w:sz="0" w:space="0" w:color="auto"/>
      </w:divBdr>
    </w:div>
    <w:div w:id="1701542802">
      <w:bodyDiv w:val="1"/>
      <w:marLeft w:val="0"/>
      <w:marRight w:val="0"/>
      <w:marTop w:val="0"/>
      <w:marBottom w:val="0"/>
      <w:divBdr>
        <w:top w:val="none" w:sz="0" w:space="0" w:color="auto"/>
        <w:left w:val="none" w:sz="0" w:space="0" w:color="auto"/>
        <w:bottom w:val="none" w:sz="0" w:space="0" w:color="auto"/>
        <w:right w:val="none" w:sz="0" w:space="0" w:color="auto"/>
      </w:divBdr>
    </w:div>
    <w:div w:id="1701584974">
      <w:bodyDiv w:val="1"/>
      <w:marLeft w:val="0"/>
      <w:marRight w:val="0"/>
      <w:marTop w:val="0"/>
      <w:marBottom w:val="0"/>
      <w:divBdr>
        <w:top w:val="none" w:sz="0" w:space="0" w:color="auto"/>
        <w:left w:val="none" w:sz="0" w:space="0" w:color="auto"/>
        <w:bottom w:val="none" w:sz="0" w:space="0" w:color="auto"/>
        <w:right w:val="none" w:sz="0" w:space="0" w:color="auto"/>
      </w:divBdr>
    </w:div>
    <w:div w:id="1701777170">
      <w:bodyDiv w:val="1"/>
      <w:marLeft w:val="0"/>
      <w:marRight w:val="0"/>
      <w:marTop w:val="0"/>
      <w:marBottom w:val="0"/>
      <w:divBdr>
        <w:top w:val="none" w:sz="0" w:space="0" w:color="auto"/>
        <w:left w:val="none" w:sz="0" w:space="0" w:color="auto"/>
        <w:bottom w:val="none" w:sz="0" w:space="0" w:color="auto"/>
        <w:right w:val="none" w:sz="0" w:space="0" w:color="auto"/>
      </w:divBdr>
    </w:div>
    <w:div w:id="1701857421">
      <w:bodyDiv w:val="1"/>
      <w:marLeft w:val="0"/>
      <w:marRight w:val="0"/>
      <w:marTop w:val="0"/>
      <w:marBottom w:val="0"/>
      <w:divBdr>
        <w:top w:val="none" w:sz="0" w:space="0" w:color="auto"/>
        <w:left w:val="none" w:sz="0" w:space="0" w:color="auto"/>
        <w:bottom w:val="none" w:sz="0" w:space="0" w:color="auto"/>
        <w:right w:val="none" w:sz="0" w:space="0" w:color="auto"/>
      </w:divBdr>
    </w:div>
    <w:div w:id="1701931428">
      <w:bodyDiv w:val="1"/>
      <w:marLeft w:val="0"/>
      <w:marRight w:val="0"/>
      <w:marTop w:val="0"/>
      <w:marBottom w:val="0"/>
      <w:divBdr>
        <w:top w:val="none" w:sz="0" w:space="0" w:color="auto"/>
        <w:left w:val="none" w:sz="0" w:space="0" w:color="auto"/>
        <w:bottom w:val="none" w:sz="0" w:space="0" w:color="auto"/>
        <w:right w:val="none" w:sz="0" w:space="0" w:color="auto"/>
      </w:divBdr>
    </w:div>
    <w:div w:id="1702239924">
      <w:bodyDiv w:val="1"/>
      <w:marLeft w:val="0"/>
      <w:marRight w:val="0"/>
      <w:marTop w:val="0"/>
      <w:marBottom w:val="0"/>
      <w:divBdr>
        <w:top w:val="none" w:sz="0" w:space="0" w:color="auto"/>
        <w:left w:val="none" w:sz="0" w:space="0" w:color="auto"/>
        <w:bottom w:val="none" w:sz="0" w:space="0" w:color="auto"/>
        <w:right w:val="none" w:sz="0" w:space="0" w:color="auto"/>
      </w:divBdr>
    </w:div>
    <w:div w:id="1702320725">
      <w:bodyDiv w:val="1"/>
      <w:marLeft w:val="0"/>
      <w:marRight w:val="0"/>
      <w:marTop w:val="0"/>
      <w:marBottom w:val="0"/>
      <w:divBdr>
        <w:top w:val="none" w:sz="0" w:space="0" w:color="auto"/>
        <w:left w:val="none" w:sz="0" w:space="0" w:color="auto"/>
        <w:bottom w:val="none" w:sz="0" w:space="0" w:color="auto"/>
        <w:right w:val="none" w:sz="0" w:space="0" w:color="auto"/>
      </w:divBdr>
    </w:div>
    <w:div w:id="1702441307">
      <w:bodyDiv w:val="1"/>
      <w:marLeft w:val="0"/>
      <w:marRight w:val="0"/>
      <w:marTop w:val="0"/>
      <w:marBottom w:val="0"/>
      <w:divBdr>
        <w:top w:val="none" w:sz="0" w:space="0" w:color="auto"/>
        <w:left w:val="none" w:sz="0" w:space="0" w:color="auto"/>
        <w:bottom w:val="none" w:sz="0" w:space="0" w:color="auto"/>
        <w:right w:val="none" w:sz="0" w:space="0" w:color="auto"/>
      </w:divBdr>
    </w:div>
    <w:div w:id="1702583426">
      <w:bodyDiv w:val="1"/>
      <w:marLeft w:val="0"/>
      <w:marRight w:val="0"/>
      <w:marTop w:val="0"/>
      <w:marBottom w:val="0"/>
      <w:divBdr>
        <w:top w:val="none" w:sz="0" w:space="0" w:color="auto"/>
        <w:left w:val="none" w:sz="0" w:space="0" w:color="auto"/>
        <w:bottom w:val="none" w:sz="0" w:space="0" w:color="auto"/>
        <w:right w:val="none" w:sz="0" w:space="0" w:color="auto"/>
      </w:divBdr>
    </w:div>
    <w:div w:id="1702852605">
      <w:bodyDiv w:val="1"/>
      <w:marLeft w:val="0"/>
      <w:marRight w:val="0"/>
      <w:marTop w:val="0"/>
      <w:marBottom w:val="0"/>
      <w:divBdr>
        <w:top w:val="none" w:sz="0" w:space="0" w:color="auto"/>
        <w:left w:val="none" w:sz="0" w:space="0" w:color="auto"/>
        <w:bottom w:val="none" w:sz="0" w:space="0" w:color="auto"/>
        <w:right w:val="none" w:sz="0" w:space="0" w:color="auto"/>
      </w:divBdr>
    </w:div>
    <w:div w:id="1702899384">
      <w:bodyDiv w:val="1"/>
      <w:marLeft w:val="0"/>
      <w:marRight w:val="0"/>
      <w:marTop w:val="0"/>
      <w:marBottom w:val="0"/>
      <w:divBdr>
        <w:top w:val="none" w:sz="0" w:space="0" w:color="auto"/>
        <w:left w:val="none" w:sz="0" w:space="0" w:color="auto"/>
        <w:bottom w:val="none" w:sz="0" w:space="0" w:color="auto"/>
        <w:right w:val="none" w:sz="0" w:space="0" w:color="auto"/>
      </w:divBdr>
    </w:div>
    <w:div w:id="1703020832">
      <w:bodyDiv w:val="1"/>
      <w:marLeft w:val="0"/>
      <w:marRight w:val="0"/>
      <w:marTop w:val="0"/>
      <w:marBottom w:val="0"/>
      <w:divBdr>
        <w:top w:val="none" w:sz="0" w:space="0" w:color="auto"/>
        <w:left w:val="none" w:sz="0" w:space="0" w:color="auto"/>
        <w:bottom w:val="none" w:sz="0" w:space="0" w:color="auto"/>
        <w:right w:val="none" w:sz="0" w:space="0" w:color="auto"/>
      </w:divBdr>
    </w:div>
    <w:div w:id="1703021511">
      <w:bodyDiv w:val="1"/>
      <w:marLeft w:val="0"/>
      <w:marRight w:val="0"/>
      <w:marTop w:val="0"/>
      <w:marBottom w:val="0"/>
      <w:divBdr>
        <w:top w:val="none" w:sz="0" w:space="0" w:color="auto"/>
        <w:left w:val="none" w:sz="0" w:space="0" w:color="auto"/>
        <w:bottom w:val="none" w:sz="0" w:space="0" w:color="auto"/>
        <w:right w:val="none" w:sz="0" w:space="0" w:color="auto"/>
      </w:divBdr>
    </w:div>
    <w:div w:id="1703246750">
      <w:bodyDiv w:val="1"/>
      <w:marLeft w:val="0"/>
      <w:marRight w:val="0"/>
      <w:marTop w:val="0"/>
      <w:marBottom w:val="0"/>
      <w:divBdr>
        <w:top w:val="none" w:sz="0" w:space="0" w:color="auto"/>
        <w:left w:val="none" w:sz="0" w:space="0" w:color="auto"/>
        <w:bottom w:val="none" w:sz="0" w:space="0" w:color="auto"/>
        <w:right w:val="none" w:sz="0" w:space="0" w:color="auto"/>
      </w:divBdr>
    </w:div>
    <w:div w:id="1703288306">
      <w:bodyDiv w:val="1"/>
      <w:marLeft w:val="0"/>
      <w:marRight w:val="0"/>
      <w:marTop w:val="0"/>
      <w:marBottom w:val="0"/>
      <w:divBdr>
        <w:top w:val="none" w:sz="0" w:space="0" w:color="auto"/>
        <w:left w:val="none" w:sz="0" w:space="0" w:color="auto"/>
        <w:bottom w:val="none" w:sz="0" w:space="0" w:color="auto"/>
        <w:right w:val="none" w:sz="0" w:space="0" w:color="auto"/>
      </w:divBdr>
    </w:div>
    <w:div w:id="1703357723">
      <w:bodyDiv w:val="1"/>
      <w:marLeft w:val="0"/>
      <w:marRight w:val="0"/>
      <w:marTop w:val="0"/>
      <w:marBottom w:val="0"/>
      <w:divBdr>
        <w:top w:val="none" w:sz="0" w:space="0" w:color="auto"/>
        <w:left w:val="none" w:sz="0" w:space="0" w:color="auto"/>
        <w:bottom w:val="none" w:sz="0" w:space="0" w:color="auto"/>
        <w:right w:val="none" w:sz="0" w:space="0" w:color="auto"/>
      </w:divBdr>
    </w:div>
    <w:div w:id="1703359459">
      <w:bodyDiv w:val="1"/>
      <w:marLeft w:val="0"/>
      <w:marRight w:val="0"/>
      <w:marTop w:val="0"/>
      <w:marBottom w:val="0"/>
      <w:divBdr>
        <w:top w:val="none" w:sz="0" w:space="0" w:color="auto"/>
        <w:left w:val="none" w:sz="0" w:space="0" w:color="auto"/>
        <w:bottom w:val="none" w:sz="0" w:space="0" w:color="auto"/>
        <w:right w:val="none" w:sz="0" w:space="0" w:color="auto"/>
      </w:divBdr>
    </w:div>
    <w:div w:id="1703626954">
      <w:bodyDiv w:val="1"/>
      <w:marLeft w:val="0"/>
      <w:marRight w:val="0"/>
      <w:marTop w:val="0"/>
      <w:marBottom w:val="0"/>
      <w:divBdr>
        <w:top w:val="none" w:sz="0" w:space="0" w:color="auto"/>
        <w:left w:val="none" w:sz="0" w:space="0" w:color="auto"/>
        <w:bottom w:val="none" w:sz="0" w:space="0" w:color="auto"/>
        <w:right w:val="none" w:sz="0" w:space="0" w:color="auto"/>
      </w:divBdr>
    </w:div>
    <w:div w:id="1703700152">
      <w:bodyDiv w:val="1"/>
      <w:marLeft w:val="0"/>
      <w:marRight w:val="0"/>
      <w:marTop w:val="0"/>
      <w:marBottom w:val="0"/>
      <w:divBdr>
        <w:top w:val="none" w:sz="0" w:space="0" w:color="auto"/>
        <w:left w:val="none" w:sz="0" w:space="0" w:color="auto"/>
        <w:bottom w:val="none" w:sz="0" w:space="0" w:color="auto"/>
        <w:right w:val="none" w:sz="0" w:space="0" w:color="auto"/>
      </w:divBdr>
    </w:div>
    <w:div w:id="1703751043">
      <w:bodyDiv w:val="1"/>
      <w:marLeft w:val="0"/>
      <w:marRight w:val="0"/>
      <w:marTop w:val="0"/>
      <w:marBottom w:val="0"/>
      <w:divBdr>
        <w:top w:val="none" w:sz="0" w:space="0" w:color="auto"/>
        <w:left w:val="none" w:sz="0" w:space="0" w:color="auto"/>
        <w:bottom w:val="none" w:sz="0" w:space="0" w:color="auto"/>
        <w:right w:val="none" w:sz="0" w:space="0" w:color="auto"/>
      </w:divBdr>
    </w:div>
    <w:div w:id="1703822200">
      <w:bodyDiv w:val="1"/>
      <w:marLeft w:val="0"/>
      <w:marRight w:val="0"/>
      <w:marTop w:val="0"/>
      <w:marBottom w:val="0"/>
      <w:divBdr>
        <w:top w:val="none" w:sz="0" w:space="0" w:color="auto"/>
        <w:left w:val="none" w:sz="0" w:space="0" w:color="auto"/>
        <w:bottom w:val="none" w:sz="0" w:space="0" w:color="auto"/>
        <w:right w:val="none" w:sz="0" w:space="0" w:color="auto"/>
      </w:divBdr>
    </w:div>
    <w:div w:id="1703902309">
      <w:bodyDiv w:val="1"/>
      <w:marLeft w:val="0"/>
      <w:marRight w:val="0"/>
      <w:marTop w:val="0"/>
      <w:marBottom w:val="0"/>
      <w:divBdr>
        <w:top w:val="none" w:sz="0" w:space="0" w:color="auto"/>
        <w:left w:val="none" w:sz="0" w:space="0" w:color="auto"/>
        <w:bottom w:val="none" w:sz="0" w:space="0" w:color="auto"/>
        <w:right w:val="none" w:sz="0" w:space="0" w:color="auto"/>
      </w:divBdr>
    </w:div>
    <w:div w:id="1703938309">
      <w:bodyDiv w:val="1"/>
      <w:marLeft w:val="0"/>
      <w:marRight w:val="0"/>
      <w:marTop w:val="0"/>
      <w:marBottom w:val="0"/>
      <w:divBdr>
        <w:top w:val="none" w:sz="0" w:space="0" w:color="auto"/>
        <w:left w:val="none" w:sz="0" w:space="0" w:color="auto"/>
        <w:bottom w:val="none" w:sz="0" w:space="0" w:color="auto"/>
        <w:right w:val="none" w:sz="0" w:space="0" w:color="auto"/>
      </w:divBdr>
    </w:div>
    <w:div w:id="1703938598">
      <w:bodyDiv w:val="1"/>
      <w:marLeft w:val="0"/>
      <w:marRight w:val="0"/>
      <w:marTop w:val="0"/>
      <w:marBottom w:val="0"/>
      <w:divBdr>
        <w:top w:val="none" w:sz="0" w:space="0" w:color="auto"/>
        <w:left w:val="none" w:sz="0" w:space="0" w:color="auto"/>
        <w:bottom w:val="none" w:sz="0" w:space="0" w:color="auto"/>
        <w:right w:val="none" w:sz="0" w:space="0" w:color="auto"/>
      </w:divBdr>
    </w:div>
    <w:div w:id="1703942179">
      <w:bodyDiv w:val="1"/>
      <w:marLeft w:val="0"/>
      <w:marRight w:val="0"/>
      <w:marTop w:val="0"/>
      <w:marBottom w:val="0"/>
      <w:divBdr>
        <w:top w:val="none" w:sz="0" w:space="0" w:color="auto"/>
        <w:left w:val="none" w:sz="0" w:space="0" w:color="auto"/>
        <w:bottom w:val="none" w:sz="0" w:space="0" w:color="auto"/>
        <w:right w:val="none" w:sz="0" w:space="0" w:color="auto"/>
      </w:divBdr>
    </w:div>
    <w:div w:id="1704020225">
      <w:bodyDiv w:val="1"/>
      <w:marLeft w:val="0"/>
      <w:marRight w:val="0"/>
      <w:marTop w:val="0"/>
      <w:marBottom w:val="0"/>
      <w:divBdr>
        <w:top w:val="none" w:sz="0" w:space="0" w:color="auto"/>
        <w:left w:val="none" w:sz="0" w:space="0" w:color="auto"/>
        <w:bottom w:val="none" w:sz="0" w:space="0" w:color="auto"/>
        <w:right w:val="none" w:sz="0" w:space="0" w:color="auto"/>
      </w:divBdr>
    </w:div>
    <w:div w:id="1704132733">
      <w:bodyDiv w:val="1"/>
      <w:marLeft w:val="0"/>
      <w:marRight w:val="0"/>
      <w:marTop w:val="0"/>
      <w:marBottom w:val="0"/>
      <w:divBdr>
        <w:top w:val="none" w:sz="0" w:space="0" w:color="auto"/>
        <w:left w:val="none" w:sz="0" w:space="0" w:color="auto"/>
        <w:bottom w:val="none" w:sz="0" w:space="0" w:color="auto"/>
        <w:right w:val="none" w:sz="0" w:space="0" w:color="auto"/>
      </w:divBdr>
    </w:div>
    <w:div w:id="1704133199">
      <w:bodyDiv w:val="1"/>
      <w:marLeft w:val="0"/>
      <w:marRight w:val="0"/>
      <w:marTop w:val="0"/>
      <w:marBottom w:val="0"/>
      <w:divBdr>
        <w:top w:val="none" w:sz="0" w:space="0" w:color="auto"/>
        <w:left w:val="none" w:sz="0" w:space="0" w:color="auto"/>
        <w:bottom w:val="none" w:sz="0" w:space="0" w:color="auto"/>
        <w:right w:val="none" w:sz="0" w:space="0" w:color="auto"/>
      </w:divBdr>
    </w:div>
    <w:div w:id="1704136545">
      <w:bodyDiv w:val="1"/>
      <w:marLeft w:val="0"/>
      <w:marRight w:val="0"/>
      <w:marTop w:val="0"/>
      <w:marBottom w:val="0"/>
      <w:divBdr>
        <w:top w:val="none" w:sz="0" w:space="0" w:color="auto"/>
        <w:left w:val="none" w:sz="0" w:space="0" w:color="auto"/>
        <w:bottom w:val="none" w:sz="0" w:space="0" w:color="auto"/>
        <w:right w:val="none" w:sz="0" w:space="0" w:color="auto"/>
      </w:divBdr>
    </w:div>
    <w:div w:id="1704405022">
      <w:bodyDiv w:val="1"/>
      <w:marLeft w:val="0"/>
      <w:marRight w:val="0"/>
      <w:marTop w:val="0"/>
      <w:marBottom w:val="0"/>
      <w:divBdr>
        <w:top w:val="none" w:sz="0" w:space="0" w:color="auto"/>
        <w:left w:val="none" w:sz="0" w:space="0" w:color="auto"/>
        <w:bottom w:val="none" w:sz="0" w:space="0" w:color="auto"/>
        <w:right w:val="none" w:sz="0" w:space="0" w:color="auto"/>
      </w:divBdr>
    </w:div>
    <w:div w:id="1704554113">
      <w:bodyDiv w:val="1"/>
      <w:marLeft w:val="0"/>
      <w:marRight w:val="0"/>
      <w:marTop w:val="0"/>
      <w:marBottom w:val="0"/>
      <w:divBdr>
        <w:top w:val="none" w:sz="0" w:space="0" w:color="auto"/>
        <w:left w:val="none" w:sz="0" w:space="0" w:color="auto"/>
        <w:bottom w:val="none" w:sz="0" w:space="0" w:color="auto"/>
        <w:right w:val="none" w:sz="0" w:space="0" w:color="auto"/>
      </w:divBdr>
    </w:div>
    <w:div w:id="1704600120">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5248927">
      <w:bodyDiv w:val="1"/>
      <w:marLeft w:val="0"/>
      <w:marRight w:val="0"/>
      <w:marTop w:val="0"/>
      <w:marBottom w:val="0"/>
      <w:divBdr>
        <w:top w:val="none" w:sz="0" w:space="0" w:color="auto"/>
        <w:left w:val="none" w:sz="0" w:space="0" w:color="auto"/>
        <w:bottom w:val="none" w:sz="0" w:space="0" w:color="auto"/>
        <w:right w:val="none" w:sz="0" w:space="0" w:color="auto"/>
      </w:divBdr>
    </w:div>
    <w:div w:id="1705326721">
      <w:bodyDiv w:val="1"/>
      <w:marLeft w:val="0"/>
      <w:marRight w:val="0"/>
      <w:marTop w:val="0"/>
      <w:marBottom w:val="0"/>
      <w:divBdr>
        <w:top w:val="none" w:sz="0" w:space="0" w:color="auto"/>
        <w:left w:val="none" w:sz="0" w:space="0" w:color="auto"/>
        <w:bottom w:val="none" w:sz="0" w:space="0" w:color="auto"/>
        <w:right w:val="none" w:sz="0" w:space="0" w:color="auto"/>
      </w:divBdr>
    </w:div>
    <w:div w:id="1706060076">
      <w:bodyDiv w:val="1"/>
      <w:marLeft w:val="0"/>
      <w:marRight w:val="0"/>
      <w:marTop w:val="0"/>
      <w:marBottom w:val="0"/>
      <w:divBdr>
        <w:top w:val="none" w:sz="0" w:space="0" w:color="auto"/>
        <w:left w:val="none" w:sz="0" w:space="0" w:color="auto"/>
        <w:bottom w:val="none" w:sz="0" w:space="0" w:color="auto"/>
        <w:right w:val="none" w:sz="0" w:space="0" w:color="auto"/>
      </w:divBdr>
    </w:div>
    <w:div w:id="1706371635">
      <w:bodyDiv w:val="1"/>
      <w:marLeft w:val="0"/>
      <w:marRight w:val="0"/>
      <w:marTop w:val="0"/>
      <w:marBottom w:val="0"/>
      <w:divBdr>
        <w:top w:val="none" w:sz="0" w:space="0" w:color="auto"/>
        <w:left w:val="none" w:sz="0" w:space="0" w:color="auto"/>
        <w:bottom w:val="none" w:sz="0" w:space="0" w:color="auto"/>
        <w:right w:val="none" w:sz="0" w:space="0" w:color="auto"/>
      </w:divBdr>
    </w:div>
    <w:div w:id="1706519028">
      <w:bodyDiv w:val="1"/>
      <w:marLeft w:val="0"/>
      <w:marRight w:val="0"/>
      <w:marTop w:val="0"/>
      <w:marBottom w:val="0"/>
      <w:divBdr>
        <w:top w:val="none" w:sz="0" w:space="0" w:color="auto"/>
        <w:left w:val="none" w:sz="0" w:space="0" w:color="auto"/>
        <w:bottom w:val="none" w:sz="0" w:space="0" w:color="auto"/>
        <w:right w:val="none" w:sz="0" w:space="0" w:color="auto"/>
      </w:divBdr>
    </w:div>
    <w:div w:id="1706519695">
      <w:bodyDiv w:val="1"/>
      <w:marLeft w:val="0"/>
      <w:marRight w:val="0"/>
      <w:marTop w:val="0"/>
      <w:marBottom w:val="0"/>
      <w:divBdr>
        <w:top w:val="none" w:sz="0" w:space="0" w:color="auto"/>
        <w:left w:val="none" w:sz="0" w:space="0" w:color="auto"/>
        <w:bottom w:val="none" w:sz="0" w:space="0" w:color="auto"/>
        <w:right w:val="none" w:sz="0" w:space="0" w:color="auto"/>
      </w:divBdr>
    </w:div>
    <w:div w:id="1706907094">
      <w:bodyDiv w:val="1"/>
      <w:marLeft w:val="0"/>
      <w:marRight w:val="0"/>
      <w:marTop w:val="0"/>
      <w:marBottom w:val="0"/>
      <w:divBdr>
        <w:top w:val="none" w:sz="0" w:space="0" w:color="auto"/>
        <w:left w:val="none" w:sz="0" w:space="0" w:color="auto"/>
        <w:bottom w:val="none" w:sz="0" w:space="0" w:color="auto"/>
        <w:right w:val="none" w:sz="0" w:space="0" w:color="auto"/>
      </w:divBdr>
    </w:div>
    <w:div w:id="1706978619">
      <w:bodyDiv w:val="1"/>
      <w:marLeft w:val="0"/>
      <w:marRight w:val="0"/>
      <w:marTop w:val="0"/>
      <w:marBottom w:val="0"/>
      <w:divBdr>
        <w:top w:val="none" w:sz="0" w:space="0" w:color="auto"/>
        <w:left w:val="none" w:sz="0" w:space="0" w:color="auto"/>
        <w:bottom w:val="none" w:sz="0" w:space="0" w:color="auto"/>
        <w:right w:val="none" w:sz="0" w:space="0" w:color="auto"/>
      </w:divBdr>
    </w:div>
    <w:div w:id="1706979427">
      <w:bodyDiv w:val="1"/>
      <w:marLeft w:val="0"/>
      <w:marRight w:val="0"/>
      <w:marTop w:val="0"/>
      <w:marBottom w:val="0"/>
      <w:divBdr>
        <w:top w:val="none" w:sz="0" w:space="0" w:color="auto"/>
        <w:left w:val="none" w:sz="0" w:space="0" w:color="auto"/>
        <w:bottom w:val="none" w:sz="0" w:space="0" w:color="auto"/>
        <w:right w:val="none" w:sz="0" w:space="0" w:color="auto"/>
      </w:divBdr>
    </w:div>
    <w:div w:id="1707025889">
      <w:bodyDiv w:val="1"/>
      <w:marLeft w:val="0"/>
      <w:marRight w:val="0"/>
      <w:marTop w:val="0"/>
      <w:marBottom w:val="0"/>
      <w:divBdr>
        <w:top w:val="none" w:sz="0" w:space="0" w:color="auto"/>
        <w:left w:val="none" w:sz="0" w:space="0" w:color="auto"/>
        <w:bottom w:val="none" w:sz="0" w:space="0" w:color="auto"/>
        <w:right w:val="none" w:sz="0" w:space="0" w:color="auto"/>
      </w:divBdr>
    </w:div>
    <w:div w:id="1707369349">
      <w:bodyDiv w:val="1"/>
      <w:marLeft w:val="0"/>
      <w:marRight w:val="0"/>
      <w:marTop w:val="0"/>
      <w:marBottom w:val="0"/>
      <w:divBdr>
        <w:top w:val="none" w:sz="0" w:space="0" w:color="auto"/>
        <w:left w:val="none" w:sz="0" w:space="0" w:color="auto"/>
        <w:bottom w:val="none" w:sz="0" w:space="0" w:color="auto"/>
        <w:right w:val="none" w:sz="0" w:space="0" w:color="auto"/>
      </w:divBdr>
    </w:div>
    <w:div w:id="1707563440">
      <w:bodyDiv w:val="1"/>
      <w:marLeft w:val="0"/>
      <w:marRight w:val="0"/>
      <w:marTop w:val="0"/>
      <w:marBottom w:val="0"/>
      <w:divBdr>
        <w:top w:val="none" w:sz="0" w:space="0" w:color="auto"/>
        <w:left w:val="none" w:sz="0" w:space="0" w:color="auto"/>
        <w:bottom w:val="none" w:sz="0" w:space="0" w:color="auto"/>
        <w:right w:val="none" w:sz="0" w:space="0" w:color="auto"/>
      </w:divBdr>
    </w:div>
    <w:div w:id="1707676598">
      <w:bodyDiv w:val="1"/>
      <w:marLeft w:val="0"/>
      <w:marRight w:val="0"/>
      <w:marTop w:val="0"/>
      <w:marBottom w:val="0"/>
      <w:divBdr>
        <w:top w:val="none" w:sz="0" w:space="0" w:color="auto"/>
        <w:left w:val="none" w:sz="0" w:space="0" w:color="auto"/>
        <w:bottom w:val="none" w:sz="0" w:space="0" w:color="auto"/>
        <w:right w:val="none" w:sz="0" w:space="0" w:color="auto"/>
      </w:divBdr>
    </w:div>
    <w:div w:id="1707831386">
      <w:bodyDiv w:val="1"/>
      <w:marLeft w:val="0"/>
      <w:marRight w:val="0"/>
      <w:marTop w:val="0"/>
      <w:marBottom w:val="0"/>
      <w:divBdr>
        <w:top w:val="none" w:sz="0" w:space="0" w:color="auto"/>
        <w:left w:val="none" w:sz="0" w:space="0" w:color="auto"/>
        <w:bottom w:val="none" w:sz="0" w:space="0" w:color="auto"/>
        <w:right w:val="none" w:sz="0" w:space="0" w:color="auto"/>
      </w:divBdr>
    </w:div>
    <w:div w:id="1707949007">
      <w:bodyDiv w:val="1"/>
      <w:marLeft w:val="0"/>
      <w:marRight w:val="0"/>
      <w:marTop w:val="0"/>
      <w:marBottom w:val="0"/>
      <w:divBdr>
        <w:top w:val="none" w:sz="0" w:space="0" w:color="auto"/>
        <w:left w:val="none" w:sz="0" w:space="0" w:color="auto"/>
        <w:bottom w:val="none" w:sz="0" w:space="0" w:color="auto"/>
        <w:right w:val="none" w:sz="0" w:space="0" w:color="auto"/>
      </w:divBdr>
    </w:div>
    <w:div w:id="1708338977">
      <w:bodyDiv w:val="1"/>
      <w:marLeft w:val="0"/>
      <w:marRight w:val="0"/>
      <w:marTop w:val="0"/>
      <w:marBottom w:val="0"/>
      <w:divBdr>
        <w:top w:val="none" w:sz="0" w:space="0" w:color="auto"/>
        <w:left w:val="none" w:sz="0" w:space="0" w:color="auto"/>
        <w:bottom w:val="none" w:sz="0" w:space="0" w:color="auto"/>
        <w:right w:val="none" w:sz="0" w:space="0" w:color="auto"/>
      </w:divBdr>
    </w:div>
    <w:div w:id="1708488958">
      <w:bodyDiv w:val="1"/>
      <w:marLeft w:val="0"/>
      <w:marRight w:val="0"/>
      <w:marTop w:val="0"/>
      <w:marBottom w:val="0"/>
      <w:divBdr>
        <w:top w:val="none" w:sz="0" w:space="0" w:color="auto"/>
        <w:left w:val="none" w:sz="0" w:space="0" w:color="auto"/>
        <w:bottom w:val="none" w:sz="0" w:space="0" w:color="auto"/>
        <w:right w:val="none" w:sz="0" w:space="0" w:color="auto"/>
      </w:divBdr>
    </w:div>
    <w:div w:id="1708601617">
      <w:bodyDiv w:val="1"/>
      <w:marLeft w:val="0"/>
      <w:marRight w:val="0"/>
      <w:marTop w:val="0"/>
      <w:marBottom w:val="0"/>
      <w:divBdr>
        <w:top w:val="none" w:sz="0" w:space="0" w:color="auto"/>
        <w:left w:val="none" w:sz="0" w:space="0" w:color="auto"/>
        <w:bottom w:val="none" w:sz="0" w:space="0" w:color="auto"/>
        <w:right w:val="none" w:sz="0" w:space="0" w:color="auto"/>
      </w:divBdr>
    </w:div>
    <w:div w:id="1709182296">
      <w:bodyDiv w:val="1"/>
      <w:marLeft w:val="0"/>
      <w:marRight w:val="0"/>
      <w:marTop w:val="0"/>
      <w:marBottom w:val="0"/>
      <w:divBdr>
        <w:top w:val="none" w:sz="0" w:space="0" w:color="auto"/>
        <w:left w:val="none" w:sz="0" w:space="0" w:color="auto"/>
        <w:bottom w:val="none" w:sz="0" w:space="0" w:color="auto"/>
        <w:right w:val="none" w:sz="0" w:space="0" w:color="auto"/>
      </w:divBdr>
    </w:div>
    <w:div w:id="1709254022">
      <w:bodyDiv w:val="1"/>
      <w:marLeft w:val="0"/>
      <w:marRight w:val="0"/>
      <w:marTop w:val="0"/>
      <w:marBottom w:val="0"/>
      <w:divBdr>
        <w:top w:val="none" w:sz="0" w:space="0" w:color="auto"/>
        <w:left w:val="none" w:sz="0" w:space="0" w:color="auto"/>
        <w:bottom w:val="none" w:sz="0" w:space="0" w:color="auto"/>
        <w:right w:val="none" w:sz="0" w:space="0" w:color="auto"/>
      </w:divBdr>
    </w:div>
    <w:div w:id="1709255905">
      <w:bodyDiv w:val="1"/>
      <w:marLeft w:val="0"/>
      <w:marRight w:val="0"/>
      <w:marTop w:val="0"/>
      <w:marBottom w:val="0"/>
      <w:divBdr>
        <w:top w:val="none" w:sz="0" w:space="0" w:color="auto"/>
        <w:left w:val="none" w:sz="0" w:space="0" w:color="auto"/>
        <w:bottom w:val="none" w:sz="0" w:space="0" w:color="auto"/>
        <w:right w:val="none" w:sz="0" w:space="0" w:color="auto"/>
      </w:divBdr>
    </w:div>
    <w:div w:id="1709258675">
      <w:bodyDiv w:val="1"/>
      <w:marLeft w:val="0"/>
      <w:marRight w:val="0"/>
      <w:marTop w:val="0"/>
      <w:marBottom w:val="0"/>
      <w:divBdr>
        <w:top w:val="none" w:sz="0" w:space="0" w:color="auto"/>
        <w:left w:val="none" w:sz="0" w:space="0" w:color="auto"/>
        <w:bottom w:val="none" w:sz="0" w:space="0" w:color="auto"/>
        <w:right w:val="none" w:sz="0" w:space="0" w:color="auto"/>
      </w:divBdr>
    </w:div>
    <w:div w:id="1709258955">
      <w:bodyDiv w:val="1"/>
      <w:marLeft w:val="0"/>
      <w:marRight w:val="0"/>
      <w:marTop w:val="0"/>
      <w:marBottom w:val="0"/>
      <w:divBdr>
        <w:top w:val="none" w:sz="0" w:space="0" w:color="auto"/>
        <w:left w:val="none" w:sz="0" w:space="0" w:color="auto"/>
        <w:bottom w:val="none" w:sz="0" w:space="0" w:color="auto"/>
        <w:right w:val="none" w:sz="0" w:space="0" w:color="auto"/>
      </w:divBdr>
    </w:div>
    <w:div w:id="1709338252">
      <w:bodyDiv w:val="1"/>
      <w:marLeft w:val="0"/>
      <w:marRight w:val="0"/>
      <w:marTop w:val="0"/>
      <w:marBottom w:val="0"/>
      <w:divBdr>
        <w:top w:val="none" w:sz="0" w:space="0" w:color="auto"/>
        <w:left w:val="none" w:sz="0" w:space="0" w:color="auto"/>
        <w:bottom w:val="none" w:sz="0" w:space="0" w:color="auto"/>
        <w:right w:val="none" w:sz="0" w:space="0" w:color="auto"/>
      </w:divBdr>
    </w:div>
    <w:div w:id="1709375641">
      <w:bodyDiv w:val="1"/>
      <w:marLeft w:val="0"/>
      <w:marRight w:val="0"/>
      <w:marTop w:val="0"/>
      <w:marBottom w:val="0"/>
      <w:divBdr>
        <w:top w:val="none" w:sz="0" w:space="0" w:color="auto"/>
        <w:left w:val="none" w:sz="0" w:space="0" w:color="auto"/>
        <w:bottom w:val="none" w:sz="0" w:space="0" w:color="auto"/>
        <w:right w:val="none" w:sz="0" w:space="0" w:color="auto"/>
      </w:divBdr>
    </w:div>
    <w:div w:id="1709715735">
      <w:bodyDiv w:val="1"/>
      <w:marLeft w:val="0"/>
      <w:marRight w:val="0"/>
      <w:marTop w:val="0"/>
      <w:marBottom w:val="0"/>
      <w:divBdr>
        <w:top w:val="none" w:sz="0" w:space="0" w:color="auto"/>
        <w:left w:val="none" w:sz="0" w:space="0" w:color="auto"/>
        <w:bottom w:val="none" w:sz="0" w:space="0" w:color="auto"/>
        <w:right w:val="none" w:sz="0" w:space="0" w:color="auto"/>
      </w:divBdr>
    </w:div>
    <w:div w:id="1709716876">
      <w:bodyDiv w:val="1"/>
      <w:marLeft w:val="0"/>
      <w:marRight w:val="0"/>
      <w:marTop w:val="0"/>
      <w:marBottom w:val="0"/>
      <w:divBdr>
        <w:top w:val="none" w:sz="0" w:space="0" w:color="auto"/>
        <w:left w:val="none" w:sz="0" w:space="0" w:color="auto"/>
        <w:bottom w:val="none" w:sz="0" w:space="0" w:color="auto"/>
        <w:right w:val="none" w:sz="0" w:space="0" w:color="auto"/>
      </w:divBdr>
    </w:div>
    <w:div w:id="1710033210">
      <w:bodyDiv w:val="1"/>
      <w:marLeft w:val="0"/>
      <w:marRight w:val="0"/>
      <w:marTop w:val="0"/>
      <w:marBottom w:val="0"/>
      <w:divBdr>
        <w:top w:val="none" w:sz="0" w:space="0" w:color="auto"/>
        <w:left w:val="none" w:sz="0" w:space="0" w:color="auto"/>
        <w:bottom w:val="none" w:sz="0" w:space="0" w:color="auto"/>
        <w:right w:val="none" w:sz="0" w:space="0" w:color="auto"/>
      </w:divBdr>
    </w:div>
    <w:div w:id="1710109303">
      <w:bodyDiv w:val="1"/>
      <w:marLeft w:val="0"/>
      <w:marRight w:val="0"/>
      <w:marTop w:val="0"/>
      <w:marBottom w:val="0"/>
      <w:divBdr>
        <w:top w:val="none" w:sz="0" w:space="0" w:color="auto"/>
        <w:left w:val="none" w:sz="0" w:space="0" w:color="auto"/>
        <w:bottom w:val="none" w:sz="0" w:space="0" w:color="auto"/>
        <w:right w:val="none" w:sz="0" w:space="0" w:color="auto"/>
      </w:divBdr>
    </w:div>
    <w:div w:id="1710492889">
      <w:bodyDiv w:val="1"/>
      <w:marLeft w:val="0"/>
      <w:marRight w:val="0"/>
      <w:marTop w:val="0"/>
      <w:marBottom w:val="0"/>
      <w:divBdr>
        <w:top w:val="none" w:sz="0" w:space="0" w:color="auto"/>
        <w:left w:val="none" w:sz="0" w:space="0" w:color="auto"/>
        <w:bottom w:val="none" w:sz="0" w:space="0" w:color="auto"/>
        <w:right w:val="none" w:sz="0" w:space="0" w:color="auto"/>
      </w:divBdr>
    </w:div>
    <w:div w:id="1710759868">
      <w:bodyDiv w:val="1"/>
      <w:marLeft w:val="0"/>
      <w:marRight w:val="0"/>
      <w:marTop w:val="0"/>
      <w:marBottom w:val="0"/>
      <w:divBdr>
        <w:top w:val="none" w:sz="0" w:space="0" w:color="auto"/>
        <w:left w:val="none" w:sz="0" w:space="0" w:color="auto"/>
        <w:bottom w:val="none" w:sz="0" w:space="0" w:color="auto"/>
        <w:right w:val="none" w:sz="0" w:space="0" w:color="auto"/>
      </w:divBdr>
    </w:div>
    <w:div w:id="1710841965">
      <w:bodyDiv w:val="1"/>
      <w:marLeft w:val="0"/>
      <w:marRight w:val="0"/>
      <w:marTop w:val="0"/>
      <w:marBottom w:val="0"/>
      <w:divBdr>
        <w:top w:val="none" w:sz="0" w:space="0" w:color="auto"/>
        <w:left w:val="none" w:sz="0" w:space="0" w:color="auto"/>
        <w:bottom w:val="none" w:sz="0" w:space="0" w:color="auto"/>
        <w:right w:val="none" w:sz="0" w:space="0" w:color="auto"/>
      </w:divBdr>
    </w:div>
    <w:div w:id="1711028757">
      <w:bodyDiv w:val="1"/>
      <w:marLeft w:val="0"/>
      <w:marRight w:val="0"/>
      <w:marTop w:val="0"/>
      <w:marBottom w:val="0"/>
      <w:divBdr>
        <w:top w:val="none" w:sz="0" w:space="0" w:color="auto"/>
        <w:left w:val="none" w:sz="0" w:space="0" w:color="auto"/>
        <w:bottom w:val="none" w:sz="0" w:space="0" w:color="auto"/>
        <w:right w:val="none" w:sz="0" w:space="0" w:color="auto"/>
      </w:divBdr>
    </w:div>
    <w:div w:id="1711035205">
      <w:bodyDiv w:val="1"/>
      <w:marLeft w:val="0"/>
      <w:marRight w:val="0"/>
      <w:marTop w:val="0"/>
      <w:marBottom w:val="0"/>
      <w:divBdr>
        <w:top w:val="none" w:sz="0" w:space="0" w:color="auto"/>
        <w:left w:val="none" w:sz="0" w:space="0" w:color="auto"/>
        <w:bottom w:val="none" w:sz="0" w:space="0" w:color="auto"/>
        <w:right w:val="none" w:sz="0" w:space="0" w:color="auto"/>
      </w:divBdr>
    </w:div>
    <w:div w:id="1711035268">
      <w:bodyDiv w:val="1"/>
      <w:marLeft w:val="0"/>
      <w:marRight w:val="0"/>
      <w:marTop w:val="0"/>
      <w:marBottom w:val="0"/>
      <w:divBdr>
        <w:top w:val="none" w:sz="0" w:space="0" w:color="auto"/>
        <w:left w:val="none" w:sz="0" w:space="0" w:color="auto"/>
        <w:bottom w:val="none" w:sz="0" w:space="0" w:color="auto"/>
        <w:right w:val="none" w:sz="0" w:space="0" w:color="auto"/>
      </w:divBdr>
    </w:div>
    <w:div w:id="1711104295">
      <w:bodyDiv w:val="1"/>
      <w:marLeft w:val="0"/>
      <w:marRight w:val="0"/>
      <w:marTop w:val="0"/>
      <w:marBottom w:val="0"/>
      <w:divBdr>
        <w:top w:val="none" w:sz="0" w:space="0" w:color="auto"/>
        <w:left w:val="none" w:sz="0" w:space="0" w:color="auto"/>
        <w:bottom w:val="none" w:sz="0" w:space="0" w:color="auto"/>
        <w:right w:val="none" w:sz="0" w:space="0" w:color="auto"/>
      </w:divBdr>
    </w:div>
    <w:div w:id="1711151314">
      <w:bodyDiv w:val="1"/>
      <w:marLeft w:val="0"/>
      <w:marRight w:val="0"/>
      <w:marTop w:val="0"/>
      <w:marBottom w:val="0"/>
      <w:divBdr>
        <w:top w:val="none" w:sz="0" w:space="0" w:color="auto"/>
        <w:left w:val="none" w:sz="0" w:space="0" w:color="auto"/>
        <w:bottom w:val="none" w:sz="0" w:space="0" w:color="auto"/>
        <w:right w:val="none" w:sz="0" w:space="0" w:color="auto"/>
      </w:divBdr>
    </w:div>
    <w:div w:id="1711492654">
      <w:bodyDiv w:val="1"/>
      <w:marLeft w:val="0"/>
      <w:marRight w:val="0"/>
      <w:marTop w:val="0"/>
      <w:marBottom w:val="0"/>
      <w:divBdr>
        <w:top w:val="none" w:sz="0" w:space="0" w:color="auto"/>
        <w:left w:val="none" w:sz="0" w:space="0" w:color="auto"/>
        <w:bottom w:val="none" w:sz="0" w:space="0" w:color="auto"/>
        <w:right w:val="none" w:sz="0" w:space="0" w:color="auto"/>
      </w:divBdr>
    </w:div>
    <w:div w:id="1711564937">
      <w:bodyDiv w:val="1"/>
      <w:marLeft w:val="0"/>
      <w:marRight w:val="0"/>
      <w:marTop w:val="0"/>
      <w:marBottom w:val="0"/>
      <w:divBdr>
        <w:top w:val="none" w:sz="0" w:space="0" w:color="auto"/>
        <w:left w:val="none" w:sz="0" w:space="0" w:color="auto"/>
        <w:bottom w:val="none" w:sz="0" w:space="0" w:color="auto"/>
        <w:right w:val="none" w:sz="0" w:space="0" w:color="auto"/>
      </w:divBdr>
    </w:div>
    <w:div w:id="1711606761">
      <w:bodyDiv w:val="1"/>
      <w:marLeft w:val="0"/>
      <w:marRight w:val="0"/>
      <w:marTop w:val="0"/>
      <w:marBottom w:val="0"/>
      <w:divBdr>
        <w:top w:val="none" w:sz="0" w:space="0" w:color="auto"/>
        <w:left w:val="none" w:sz="0" w:space="0" w:color="auto"/>
        <w:bottom w:val="none" w:sz="0" w:space="0" w:color="auto"/>
        <w:right w:val="none" w:sz="0" w:space="0" w:color="auto"/>
      </w:divBdr>
    </w:div>
    <w:div w:id="1711685227">
      <w:bodyDiv w:val="1"/>
      <w:marLeft w:val="0"/>
      <w:marRight w:val="0"/>
      <w:marTop w:val="0"/>
      <w:marBottom w:val="0"/>
      <w:divBdr>
        <w:top w:val="none" w:sz="0" w:space="0" w:color="auto"/>
        <w:left w:val="none" w:sz="0" w:space="0" w:color="auto"/>
        <w:bottom w:val="none" w:sz="0" w:space="0" w:color="auto"/>
        <w:right w:val="none" w:sz="0" w:space="0" w:color="auto"/>
      </w:divBdr>
    </w:div>
    <w:div w:id="1711688589">
      <w:bodyDiv w:val="1"/>
      <w:marLeft w:val="0"/>
      <w:marRight w:val="0"/>
      <w:marTop w:val="0"/>
      <w:marBottom w:val="0"/>
      <w:divBdr>
        <w:top w:val="none" w:sz="0" w:space="0" w:color="auto"/>
        <w:left w:val="none" w:sz="0" w:space="0" w:color="auto"/>
        <w:bottom w:val="none" w:sz="0" w:space="0" w:color="auto"/>
        <w:right w:val="none" w:sz="0" w:space="0" w:color="auto"/>
      </w:divBdr>
    </w:div>
    <w:div w:id="1711803595">
      <w:bodyDiv w:val="1"/>
      <w:marLeft w:val="0"/>
      <w:marRight w:val="0"/>
      <w:marTop w:val="0"/>
      <w:marBottom w:val="0"/>
      <w:divBdr>
        <w:top w:val="none" w:sz="0" w:space="0" w:color="auto"/>
        <w:left w:val="none" w:sz="0" w:space="0" w:color="auto"/>
        <w:bottom w:val="none" w:sz="0" w:space="0" w:color="auto"/>
        <w:right w:val="none" w:sz="0" w:space="0" w:color="auto"/>
      </w:divBdr>
    </w:div>
    <w:div w:id="1711876404">
      <w:bodyDiv w:val="1"/>
      <w:marLeft w:val="0"/>
      <w:marRight w:val="0"/>
      <w:marTop w:val="0"/>
      <w:marBottom w:val="0"/>
      <w:divBdr>
        <w:top w:val="none" w:sz="0" w:space="0" w:color="auto"/>
        <w:left w:val="none" w:sz="0" w:space="0" w:color="auto"/>
        <w:bottom w:val="none" w:sz="0" w:space="0" w:color="auto"/>
        <w:right w:val="none" w:sz="0" w:space="0" w:color="auto"/>
      </w:divBdr>
    </w:div>
    <w:div w:id="1712070642">
      <w:bodyDiv w:val="1"/>
      <w:marLeft w:val="0"/>
      <w:marRight w:val="0"/>
      <w:marTop w:val="0"/>
      <w:marBottom w:val="0"/>
      <w:divBdr>
        <w:top w:val="none" w:sz="0" w:space="0" w:color="auto"/>
        <w:left w:val="none" w:sz="0" w:space="0" w:color="auto"/>
        <w:bottom w:val="none" w:sz="0" w:space="0" w:color="auto"/>
        <w:right w:val="none" w:sz="0" w:space="0" w:color="auto"/>
      </w:divBdr>
    </w:div>
    <w:div w:id="1712071815">
      <w:bodyDiv w:val="1"/>
      <w:marLeft w:val="0"/>
      <w:marRight w:val="0"/>
      <w:marTop w:val="0"/>
      <w:marBottom w:val="0"/>
      <w:divBdr>
        <w:top w:val="none" w:sz="0" w:space="0" w:color="auto"/>
        <w:left w:val="none" w:sz="0" w:space="0" w:color="auto"/>
        <w:bottom w:val="none" w:sz="0" w:space="0" w:color="auto"/>
        <w:right w:val="none" w:sz="0" w:space="0" w:color="auto"/>
      </w:divBdr>
    </w:div>
    <w:div w:id="1712221533">
      <w:bodyDiv w:val="1"/>
      <w:marLeft w:val="0"/>
      <w:marRight w:val="0"/>
      <w:marTop w:val="0"/>
      <w:marBottom w:val="0"/>
      <w:divBdr>
        <w:top w:val="none" w:sz="0" w:space="0" w:color="auto"/>
        <w:left w:val="none" w:sz="0" w:space="0" w:color="auto"/>
        <w:bottom w:val="none" w:sz="0" w:space="0" w:color="auto"/>
        <w:right w:val="none" w:sz="0" w:space="0" w:color="auto"/>
      </w:divBdr>
    </w:div>
    <w:div w:id="1712342303">
      <w:bodyDiv w:val="1"/>
      <w:marLeft w:val="0"/>
      <w:marRight w:val="0"/>
      <w:marTop w:val="0"/>
      <w:marBottom w:val="0"/>
      <w:divBdr>
        <w:top w:val="none" w:sz="0" w:space="0" w:color="auto"/>
        <w:left w:val="none" w:sz="0" w:space="0" w:color="auto"/>
        <w:bottom w:val="none" w:sz="0" w:space="0" w:color="auto"/>
        <w:right w:val="none" w:sz="0" w:space="0" w:color="auto"/>
      </w:divBdr>
    </w:div>
    <w:div w:id="1712342631">
      <w:bodyDiv w:val="1"/>
      <w:marLeft w:val="0"/>
      <w:marRight w:val="0"/>
      <w:marTop w:val="0"/>
      <w:marBottom w:val="0"/>
      <w:divBdr>
        <w:top w:val="none" w:sz="0" w:space="0" w:color="auto"/>
        <w:left w:val="none" w:sz="0" w:space="0" w:color="auto"/>
        <w:bottom w:val="none" w:sz="0" w:space="0" w:color="auto"/>
        <w:right w:val="none" w:sz="0" w:space="0" w:color="auto"/>
      </w:divBdr>
    </w:div>
    <w:div w:id="1712413827">
      <w:bodyDiv w:val="1"/>
      <w:marLeft w:val="0"/>
      <w:marRight w:val="0"/>
      <w:marTop w:val="0"/>
      <w:marBottom w:val="0"/>
      <w:divBdr>
        <w:top w:val="none" w:sz="0" w:space="0" w:color="auto"/>
        <w:left w:val="none" w:sz="0" w:space="0" w:color="auto"/>
        <w:bottom w:val="none" w:sz="0" w:space="0" w:color="auto"/>
        <w:right w:val="none" w:sz="0" w:space="0" w:color="auto"/>
      </w:divBdr>
    </w:div>
    <w:div w:id="1712539207">
      <w:bodyDiv w:val="1"/>
      <w:marLeft w:val="0"/>
      <w:marRight w:val="0"/>
      <w:marTop w:val="0"/>
      <w:marBottom w:val="0"/>
      <w:divBdr>
        <w:top w:val="none" w:sz="0" w:space="0" w:color="auto"/>
        <w:left w:val="none" w:sz="0" w:space="0" w:color="auto"/>
        <w:bottom w:val="none" w:sz="0" w:space="0" w:color="auto"/>
        <w:right w:val="none" w:sz="0" w:space="0" w:color="auto"/>
      </w:divBdr>
    </w:div>
    <w:div w:id="1712683650">
      <w:bodyDiv w:val="1"/>
      <w:marLeft w:val="0"/>
      <w:marRight w:val="0"/>
      <w:marTop w:val="0"/>
      <w:marBottom w:val="0"/>
      <w:divBdr>
        <w:top w:val="none" w:sz="0" w:space="0" w:color="auto"/>
        <w:left w:val="none" w:sz="0" w:space="0" w:color="auto"/>
        <w:bottom w:val="none" w:sz="0" w:space="0" w:color="auto"/>
        <w:right w:val="none" w:sz="0" w:space="0" w:color="auto"/>
      </w:divBdr>
    </w:div>
    <w:div w:id="1712995754">
      <w:bodyDiv w:val="1"/>
      <w:marLeft w:val="0"/>
      <w:marRight w:val="0"/>
      <w:marTop w:val="0"/>
      <w:marBottom w:val="0"/>
      <w:divBdr>
        <w:top w:val="none" w:sz="0" w:space="0" w:color="auto"/>
        <w:left w:val="none" w:sz="0" w:space="0" w:color="auto"/>
        <w:bottom w:val="none" w:sz="0" w:space="0" w:color="auto"/>
        <w:right w:val="none" w:sz="0" w:space="0" w:color="auto"/>
      </w:divBdr>
    </w:div>
    <w:div w:id="1712996313">
      <w:bodyDiv w:val="1"/>
      <w:marLeft w:val="0"/>
      <w:marRight w:val="0"/>
      <w:marTop w:val="0"/>
      <w:marBottom w:val="0"/>
      <w:divBdr>
        <w:top w:val="none" w:sz="0" w:space="0" w:color="auto"/>
        <w:left w:val="none" w:sz="0" w:space="0" w:color="auto"/>
        <w:bottom w:val="none" w:sz="0" w:space="0" w:color="auto"/>
        <w:right w:val="none" w:sz="0" w:space="0" w:color="auto"/>
      </w:divBdr>
    </w:div>
    <w:div w:id="1713339321">
      <w:bodyDiv w:val="1"/>
      <w:marLeft w:val="0"/>
      <w:marRight w:val="0"/>
      <w:marTop w:val="0"/>
      <w:marBottom w:val="0"/>
      <w:divBdr>
        <w:top w:val="none" w:sz="0" w:space="0" w:color="auto"/>
        <w:left w:val="none" w:sz="0" w:space="0" w:color="auto"/>
        <w:bottom w:val="none" w:sz="0" w:space="0" w:color="auto"/>
        <w:right w:val="none" w:sz="0" w:space="0" w:color="auto"/>
      </w:divBdr>
    </w:div>
    <w:div w:id="1713576083">
      <w:bodyDiv w:val="1"/>
      <w:marLeft w:val="0"/>
      <w:marRight w:val="0"/>
      <w:marTop w:val="0"/>
      <w:marBottom w:val="0"/>
      <w:divBdr>
        <w:top w:val="none" w:sz="0" w:space="0" w:color="auto"/>
        <w:left w:val="none" w:sz="0" w:space="0" w:color="auto"/>
        <w:bottom w:val="none" w:sz="0" w:space="0" w:color="auto"/>
        <w:right w:val="none" w:sz="0" w:space="0" w:color="auto"/>
      </w:divBdr>
    </w:div>
    <w:div w:id="1713766706">
      <w:bodyDiv w:val="1"/>
      <w:marLeft w:val="0"/>
      <w:marRight w:val="0"/>
      <w:marTop w:val="0"/>
      <w:marBottom w:val="0"/>
      <w:divBdr>
        <w:top w:val="none" w:sz="0" w:space="0" w:color="auto"/>
        <w:left w:val="none" w:sz="0" w:space="0" w:color="auto"/>
        <w:bottom w:val="none" w:sz="0" w:space="0" w:color="auto"/>
        <w:right w:val="none" w:sz="0" w:space="0" w:color="auto"/>
      </w:divBdr>
    </w:div>
    <w:div w:id="1713963673">
      <w:bodyDiv w:val="1"/>
      <w:marLeft w:val="0"/>
      <w:marRight w:val="0"/>
      <w:marTop w:val="0"/>
      <w:marBottom w:val="0"/>
      <w:divBdr>
        <w:top w:val="none" w:sz="0" w:space="0" w:color="auto"/>
        <w:left w:val="none" w:sz="0" w:space="0" w:color="auto"/>
        <w:bottom w:val="none" w:sz="0" w:space="0" w:color="auto"/>
        <w:right w:val="none" w:sz="0" w:space="0" w:color="auto"/>
      </w:divBdr>
    </w:div>
    <w:div w:id="1714041761">
      <w:bodyDiv w:val="1"/>
      <w:marLeft w:val="0"/>
      <w:marRight w:val="0"/>
      <w:marTop w:val="0"/>
      <w:marBottom w:val="0"/>
      <w:divBdr>
        <w:top w:val="none" w:sz="0" w:space="0" w:color="auto"/>
        <w:left w:val="none" w:sz="0" w:space="0" w:color="auto"/>
        <w:bottom w:val="none" w:sz="0" w:space="0" w:color="auto"/>
        <w:right w:val="none" w:sz="0" w:space="0" w:color="auto"/>
      </w:divBdr>
    </w:div>
    <w:div w:id="1714302822">
      <w:bodyDiv w:val="1"/>
      <w:marLeft w:val="0"/>
      <w:marRight w:val="0"/>
      <w:marTop w:val="0"/>
      <w:marBottom w:val="0"/>
      <w:divBdr>
        <w:top w:val="none" w:sz="0" w:space="0" w:color="auto"/>
        <w:left w:val="none" w:sz="0" w:space="0" w:color="auto"/>
        <w:bottom w:val="none" w:sz="0" w:space="0" w:color="auto"/>
        <w:right w:val="none" w:sz="0" w:space="0" w:color="auto"/>
      </w:divBdr>
    </w:div>
    <w:div w:id="1714378969">
      <w:bodyDiv w:val="1"/>
      <w:marLeft w:val="0"/>
      <w:marRight w:val="0"/>
      <w:marTop w:val="0"/>
      <w:marBottom w:val="0"/>
      <w:divBdr>
        <w:top w:val="none" w:sz="0" w:space="0" w:color="auto"/>
        <w:left w:val="none" w:sz="0" w:space="0" w:color="auto"/>
        <w:bottom w:val="none" w:sz="0" w:space="0" w:color="auto"/>
        <w:right w:val="none" w:sz="0" w:space="0" w:color="auto"/>
      </w:divBdr>
    </w:div>
    <w:div w:id="1714385474">
      <w:bodyDiv w:val="1"/>
      <w:marLeft w:val="0"/>
      <w:marRight w:val="0"/>
      <w:marTop w:val="0"/>
      <w:marBottom w:val="0"/>
      <w:divBdr>
        <w:top w:val="none" w:sz="0" w:space="0" w:color="auto"/>
        <w:left w:val="none" w:sz="0" w:space="0" w:color="auto"/>
        <w:bottom w:val="none" w:sz="0" w:space="0" w:color="auto"/>
        <w:right w:val="none" w:sz="0" w:space="0" w:color="auto"/>
      </w:divBdr>
    </w:div>
    <w:div w:id="1714424099">
      <w:bodyDiv w:val="1"/>
      <w:marLeft w:val="0"/>
      <w:marRight w:val="0"/>
      <w:marTop w:val="0"/>
      <w:marBottom w:val="0"/>
      <w:divBdr>
        <w:top w:val="none" w:sz="0" w:space="0" w:color="auto"/>
        <w:left w:val="none" w:sz="0" w:space="0" w:color="auto"/>
        <w:bottom w:val="none" w:sz="0" w:space="0" w:color="auto"/>
        <w:right w:val="none" w:sz="0" w:space="0" w:color="auto"/>
      </w:divBdr>
    </w:div>
    <w:div w:id="1714429402">
      <w:bodyDiv w:val="1"/>
      <w:marLeft w:val="0"/>
      <w:marRight w:val="0"/>
      <w:marTop w:val="0"/>
      <w:marBottom w:val="0"/>
      <w:divBdr>
        <w:top w:val="none" w:sz="0" w:space="0" w:color="auto"/>
        <w:left w:val="none" w:sz="0" w:space="0" w:color="auto"/>
        <w:bottom w:val="none" w:sz="0" w:space="0" w:color="auto"/>
        <w:right w:val="none" w:sz="0" w:space="0" w:color="auto"/>
      </w:divBdr>
    </w:div>
    <w:div w:id="1714842808">
      <w:bodyDiv w:val="1"/>
      <w:marLeft w:val="0"/>
      <w:marRight w:val="0"/>
      <w:marTop w:val="0"/>
      <w:marBottom w:val="0"/>
      <w:divBdr>
        <w:top w:val="none" w:sz="0" w:space="0" w:color="auto"/>
        <w:left w:val="none" w:sz="0" w:space="0" w:color="auto"/>
        <w:bottom w:val="none" w:sz="0" w:space="0" w:color="auto"/>
        <w:right w:val="none" w:sz="0" w:space="0" w:color="auto"/>
      </w:divBdr>
    </w:div>
    <w:div w:id="1714846117">
      <w:bodyDiv w:val="1"/>
      <w:marLeft w:val="0"/>
      <w:marRight w:val="0"/>
      <w:marTop w:val="0"/>
      <w:marBottom w:val="0"/>
      <w:divBdr>
        <w:top w:val="none" w:sz="0" w:space="0" w:color="auto"/>
        <w:left w:val="none" w:sz="0" w:space="0" w:color="auto"/>
        <w:bottom w:val="none" w:sz="0" w:space="0" w:color="auto"/>
        <w:right w:val="none" w:sz="0" w:space="0" w:color="auto"/>
      </w:divBdr>
    </w:div>
    <w:div w:id="1715230155">
      <w:bodyDiv w:val="1"/>
      <w:marLeft w:val="0"/>
      <w:marRight w:val="0"/>
      <w:marTop w:val="0"/>
      <w:marBottom w:val="0"/>
      <w:divBdr>
        <w:top w:val="none" w:sz="0" w:space="0" w:color="auto"/>
        <w:left w:val="none" w:sz="0" w:space="0" w:color="auto"/>
        <w:bottom w:val="none" w:sz="0" w:space="0" w:color="auto"/>
        <w:right w:val="none" w:sz="0" w:space="0" w:color="auto"/>
      </w:divBdr>
    </w:div>
    <w:div w:id="1715304884">
      <w:bodyDiv w:val="1"/>
      <w:marLeft w:val="0"/>
      <w:marRight w:val="0"/>
      <w:marTop w:val="0"/>
      <w:marBottom w:val="0"/>
      <w:divBdr>
        <w:top w:val="none" w:sz="0" w:space="0" w:color="auto"/>
        <w:left w:val="none" w:sz="0" w:space="0" w:color="auto"/>
        <w:bottom w:val="none" w:sz="0" w:space="0" w:color="auto"/>
        <w:right w:val="none" w:sz="0" w:space="0" w:color="auto"/>
      </w:divBdr>
    </w:div>
    <w:div w:id="1715423988">
      <w:bodyDiv w:val="1"/>
      <w:marLeft w:val="0"/>
      <w:marRight w:val="0"/>
      <w:marTop w:val="0"/>
      <w:marBottom w:val="0"/>
      <w:divBdr>
        <w:top w:val="none" w:sz="0" w:space="0" w:color="auto"/>
        <w:left w:val="none" w:sz="0" w:space="0" w:color="auto"/>
        <w:bottom w:val="none" w:sz="0" w:space="0" w:color="auto"/>
        <w:right w:val="none" w:sz="0" w:space="0" w:color="auto"/>
      </w:divBdr>
    </w:div>
    <w:div w:id="1715613500">
      <w:bodyDiv w:val="1"/>
      <w:marLeft w:val="0"/>
      <w:marRight w:val="0"/>
      <w:marTop w:val="0"/>
      <w:marBottom w:val="0"/>
      <w:divBdr>
        <w:top w:val="none" w:sz="0" w:space="0" w:color="auto"/>
        <w:left w:val="none" w:sz="0" w:space="0" w:color="auto"/>
        <w:bottom w:val="none" w:sz="0" w:space="0" w:color="auto"/>
        <w:right w:val="none" w:sz="0" w:space="0" w:color="auto"/>
      </w:divBdr>
    </w:div>
    <w:div w:id="1715693530">
      <w:bodyDiv w:val="1"/>
      <w:marLeft w:val="0"/>
      <w:marRight w:val="0"/>
      <w:marTop w:val="0"/>
      <w:marBottom w:val="0"/>
      <w:divBdr>
        <w:top w:val="none" w:sz="0" w:space="0" w:color="auto"/>
        <w:left w:val="none" w:sz="0" w:space="0" w:color="auto"/>
        <w:bottom w:val="none" w:sz="0" w:space="0" w:color="auto"/>
        <w:right w:val="none" w:sz="0" w:space="0" w:color="auto"/>
      </w:divBdr>
    </w:div>
    <w:div w:id="1715734124">
      <w:bodyDiv w:val="1"/>
      <w:marLeft w:val="0"/>
      <w:marRight w:val="0"/>
      <w:marTop w:val="0"/>
      <w:marBottom w:val="0"/>
      <w:divBdr>
        <w:top w:val="none" w:sz="0" w:space="0" w:color="auto"/>
        <w:left w:val="none" w:sz="0" w:space="0" w:color="auto"/>
        <w:bottom w:val="none" w:sz="0" w:space="0" w:color="auto"/>
        <w:right w:val="none" w:sz="0" w:space="0" w:color="auto"/>
      </w:divBdr>
    </w:div>
    <w:div w:id="1716275370">
      <w:bodyDiv w:val="1"/>
      <w:marLeft w:val="0"/>
      <w:marRight w:val="0"/>
      <w:marTop w:val="0"/>
      <w:marBottom w:val="0"/>
      <w:divBdr>
        <w:top w:val="none" w:sz="0" w:space="0" w:color="auto"/>
        <w:left w:val="none" w:sz="0" w:space="0" w:color="auto"/>
        <w:bottom w:val="none" w:sz="0" w:space="0" w:color="auto"/>
        <w:right w:val="none" w:sz="0" w:space="0" w:color="auto"/>
      </w:divBdr>
    </w:div>
    <w:div w:id="1716350565">
      <w:bodyDiv w:val="1"/>
      <w:marLeft w:val="0"/>
      <w:marRight w:val="0"/>
      <w:marTop w:val="0"/>
      <w:marBottom w:val="0"/>
      <w:divBdr>
        <w:top w:val="none" w:sz="0" w:space="0" w:color="auto"/>
        <w:left w:val="none" w:sz="0" w:space="0" w:color="auto"/>
        <w:bottom w:val="none" w:sz="0" w:space="0" w:color="auto"/>
        <w:right w:val="none" w:sz="0" w:space="0" w:color="auto"/>
      </w:divBdr>
    </w:div>
    <w:div w:id="1716420202">
      <w:bodyDiv w:val="1"/>
      <w:marLeft w:val="0"/>
      <w:marRight w:val="0"/>
      <w:marTop w:val="0"/>
      <w:marBottom w:val="0"/>
      <w:divBdr>
        <w:top w:val="none" w:sz="0" w:space="0" w:color="auto"/>
        <w:left w:val="none" w:sz="0" w:space="0" w:color="auto"/>
        <w:bottom w:val="none" w:sz="0" w:space="0" w:color="auto"/>
        <w:right w:val="none" w:sz="0" w:space="0" w:color="auto"/>
      </w:divBdr>
    </w:div>
    <w:div w:id="1716587504">
      <w:bodyDiv w:val="1"/>
      <w:marLeft w:val="0"/>
      <w:marRight w:val="0"/>
      <w:marTop w:val="0"/>
      <w:marBottom w:val="0"/>
      <w:divBdr>
        <w:top w:val="none" w:sz="0" w:space="0" w:color="auto"/>
        <w:left w:val="none" w:sz="0" w:space="0" w:color="auto"/>
        <w:bottom w:val="none" w:sz="0" w:space="0" w:color="auto"/>
        <w:right w:val="none" w:sz="0" w:space="0" w:color="auto"/>
      </w:divBdr>
    </w:div>
    <w:div w:id="1716658227">
      <w:bodyDiv w:val="1"/>
      <w:marLeft w:val="0"/>
      <w:marRight w:val="0"/>
      <w:marTop w:val="0"/>
      <w:marBottom w:val="0"/>
      <w:divBdr>
        <w:top w:val="none" w:sz="0" w:space="0" w:color="auto"/>
        <w:left w:val="none" w:sz="0" w:space="0" w:color="auto"/>
        <w:bottom w:val="none" w:sz="0" w:space="0" w:color="auto"/>
        <w:right w:val="none" w:sz="0" w:space="0" w:color="auto"/>
      </w:divBdr>
    </w:div>
    <w:div w:id="1716660693">
      <w:bodyDiv w:val="1"/>
      <w:marLeft w:val="0"/>
      <w:marRight w:val="0"/>
      <w:marTop w:val="0"/>
      <w:marBottom w:val="0"/>
      <w:divBdr>
        <w:top w:val="none" w:sz="0" w:space="0" w:color="auto"/>
        <w:left w:val="none" w:sz="0" w:space="0" w:color="auto"/>
        <w:bottom w:val="none" w:sz="0" w:space="0" w:color="auto"/>
        <w:right w:val="none" w:sz="0" w:space="0" w:color="auto"/>
      </w:divBdr>
    </w:div>
    <w:div w:id="1716806303">
      <w:bodyDiv w:val="1"/>
      <w:marLeft w:val="0"/>
      <w:marRight w:val="0"/>
      <w:marTop w:val="0"/>
      <w:marBottom w:val="0"/>
      <w:divBdr>
        <w:top w:val="none" w:sz="0" w:space="0" w:color="auto"/>
        <w:left w:val="none" w:sz="0" w:space="0" w:color="auto"/>
        <w:bottom w:val="none" w:sz="0" w:space="0" w:color="auto"/>
        <w:right w:val="none" w:sz="0" w:space="0" w:color="auto"/>
      </w:divBdr>
    </w:div>
    <w:div w:id="1716807992">
      <w:bodyDiv w:val="1"/>
      <w:marLeft w:val="0"/>
      <w:marRight w:val="0"/>
      <w:marTop w:val="0"/>
      <w:marBottom w:val="0"/>
      <w:divBdr>
        <w:top w:val="none" w:sz="0" w:space="0" w:color="auto"/>
        <w:left w:val="none" w:sz="0" w:space="0" w:color="auto"/>
        <w:bottom w:val="none" w:sz="0" w:space="0" w:color="auto"/>
        <w:right w:val="none" w:sz="0" w:space="0" w:color="auto"/>
      </w:divBdr>
    </w:div>
    <w:div w:id="1717195523">
      <w:bodyDiv w:val="1"/>
      <w:marLeft w:val="0"/>
      <w:marRight w:val="0"/>
      <w:marTop w:val="0"/>
      <w:marBottom w:val="0"/>
      <w:divBdr>
        <w:top w:val="none" w:sz="0" w:space="0" w:color="auto"/>
        <w:left w:val="none" w:sz="0" w:space="0" w:color="auto"/>
        <w:bottom w:val="none" w:sz="0" w:space="0" w:color="auto"/>
        <w:right w:val="none" w:sz="0" w:space="0" w:color="auto"/>
      </w:divBdr>
    </w:div>
    <w:div w:id="1717393533">
      <w:bodyDiv w:val="1"/>
      <w:marLeft w:val="0"/>
      <w:marRight w:val="0"/>
      <w:marTop w:val="0"/>
      <w:marBottom w:val="0"/>
      <w:divBdr>
        <w:top w:val="none" w:sz="0" w:space="0" w:color="auto"/>
        <w:left w:val="none" w:sz="0" w:space="0" w:color="auto"/>
        <w:bottom w:val="none" w:sz="0" w:space="0" w:color="auto"/>
        <w:right w:val="none" w:sz="0" w:space="0" w:color="auto"/>
      </w:divBdr>
    </w:div>
    <w:div w:id="1717461105">
      <w:bodyDiv w:val="1"/>
      <w:marLeft w:val="0"/>
      <w:marRight w:val="0"/>
      <w:marTop w:val="0"/>
      <w:marBottom w:val="0"/>
      <w:divBdr>
        <w:top w:val="none" w:sz="0" w:space="0" w:color="auto"/>
        <w:left w:val="none" w:sz="0" w:space="0" w:color="auto"/>
        <w:bottom w:val="none" w:sz="0" w:space="0" w:color="auto"/>
        <w:right w:val="none" w:sz="0" w:space="0" w:color="auto"/>
      </w:divBdr>
    </w:div>
    <w:div w:id="1718579352">
      <w:bodyDiv w:val="1"/>
      <w:marLeft w:val="0"/>
      <w:marRight w:val="0"/>
      <w:marTop w:val="0"/>
      <w:marBottom w:val="0"/>
      <w:divBdr>
        <w:top w:val="none" w:sz="0" w:space="0" w:color="auto"/>
        <w:left w:val="none" w:sz="0" w:space="0" w:color="auto"/>
        <w:bottom w:val="none" w:sz="0" w:space="0" w:color="auto"/>
        <w:right w:val="none" w:sz="0" w:space="0" w:color="auto"/>
      </w:divBdr>
    </w:div>
    <w:div w:id="1718779085">
      <w:bodyDiv w:val="1"/>
      <w:marLeft w:val="0"/>
      <w:marRight w:val="0"/>
      <w:marTop w:val="0"/>
      <w:marBottom w:val="0"/>
      <w:divBdr>
        <w:top w:val="none" w:sz="0" w:space="0" w:color="auto"/>
        <w:left w:val="none" w:sz="0" w:space="0" w:color="auto"/>
        <w:bottom w:val="none" w:sz="0" w:space="0" w:color="auto"/>
        <w:right w:val="none" w:sz="0" w:space="0" w:color="auto"/>
      </w:divBdr>
    </w:div>
    <w:div w:id="1718898003">
      <w:bodyDiv w:val="1"/>
      <w:marLeft w:val="0"/>
      <w:marRight w:val="0"/>
      <w:marTop w:val="0"/>
      <w:marBottom w:val="0"/>
      <w:divBdr>
        <w:top w:val="none" w:sz="0" w:space="0" w:color="auto"/>
        <w:left w:val="none" w:sz="0" w:space="0" w:color="auto"/>
        <w:bottom w:val="none" w:sz="0" w:space="0" w:color="auto"/>
        <w:right w:val="none" w:sz="0" w:space="0" w:color="auto"/>
      </w:divBdr>
    </w:div>
    <w:div w:id="1719015273">
      <w:bodyDiv w:val="1"/>
      <w:marLeft w:val="0"/>
      <w:marRight w:val="0"/>
      <w:marTop w:val="0"/>
      <w:marBottom w:val="0"/>
      <w:divBdr>
        <w:top w:val="none" w:sz="0" w:space="0" w:color="auto"/>
        <w:left w:val="none" w:sz="0" w:space="0" w:color="auto"/>
        <w:bottom w:val="none" w:sz="0" w:space="0" w:color="auto"/>
        <w:right w:val="none" w:sz="0" w:space="0" w:color="auto"/>
      </w:divBdr>
    </w:div>
    <w:div w:id="1719352989">
      <w:bodyDiv w:val="1"/>
      <w:marLeft w:val="0"/>
      <w:marRight w:val="0"/>
      <w:marTop w:val="0"/>
      <w:marBottom w:val="0"/>
      <w:divBdr>
        <w:top w:val="none" w:sz="0" w:space="0" w:color="auto"/>
        <w:left w:val="none" w:sz="0" w:space="0" w:color="auto"/>
        <w:bottom w:val="none" w:sz="0" w:space="0" w:color="auto"/>
        <w:right w:val="none" w:sz="0" w:space="0" w:color="auto"/>
      </w:divBdr>
    </w:div>
    <w:div w:id="1719359655">
      <w:bodyDiv w:val="1"/>
      <w:marLeft w:val="0"/>
      <w:marRight w:val="0"/>
      <w:marTop w:val="0"/>
      <w:marBottom w:val="0"/>
      <w:divBdr>
        <w:top w:val="none" w:sz="0" w:space="0" w:color="auto"/>
        <w:left w:val="none" w:sz="0" w:space="0" w:color="auto"/>
        <w:bottom w:val="none" w:sz="0" w:space="0" w:color="auto"/>
        <w:right w:val="none" w:sz="0" w:space="0" w:color="auto"/>
      </w:divBdr>
    </w:div>
    <w:div w:id="1719433240">
      <w:bodyDiv w:val="1"/>
      <w:marLeft w:val="0"/>
      <w:marRight w:val="0"/>
      <w:marTop w:val="0"/>
      <w:marBottom w:val="0"/>
      <w:divBdr>
        <w:top w:val="none" w:sz="0" w:space="0" w:color="auto"/>
        <w:left w:val="none" w:sz="0" w:space="0" w:color="auto"/>
        <w:bottom w:val="none" w:sz="0" w:space="0" w:color="auto"/>
        <w:right w:val="none" w:sz="0" w:space="0" w:color="auto"/>
      </w:divBdr>
    </w:div>
    <w:div w:id="1719433552">
      <w:bodyDiv w:val="1"/>
      <w:marLeft w:val="0"/>
      <w:marRight w:val="0"/>
      <w:marTop w:val="0"/>
      <w:marBottom w:val="0"/>
      <w:divBdr>
        <w:top w:val="none" w:sz="0" w:space="0" w:color="auto"/>
        <w:left w:val="none" w:sz="0" w:space="0" w:color="auto"/>
        <w:bottom w:val="none" w:sz="0" w:space="0" w:color="auto"/>
        <w:right w:val="none" w:sz="0" w:space="0" w:color="auto"/>
      </w:divBdr>
    </w:div>
    <w:div w:id="1719473687">
      <w:bodyDiv w:val="1"/>
      <w:marLeft w:val="0"/>
      <w:marRight w:val="0"/>
      <w:marTop w:val="0"/>
      <w:marBottom w:val="0"/>
      <w:divBdr>
        <w:top w:val="none" w:sz="0" w:space="0" w:color="auto"/>
        <w:left w:val="none" w:sz="0" w:space="0" w:color="auto"/>
        <w:bottom w:val="none" w:sz="0" w:space="0" w:color="auto"/>
        <w:right w:val="none" w:sz="0" w:space="0" w:color="auto"/>
      </w:divBdr>
    </w:div>
    <w:div w:id="1719889434">
      <w:bodyDiv w:val="1"/>
      <w:marLeft w:val="0"/>
      <w:marRight w:val="0"/>
      <w:marTop w:val="0"/>
      <w:marBottom w:val="0"/>
      <w:divBdr>
        <w:top w:val="none" w:sz="0" w:space="0" w:color="auto"/>
        <w:left w:val="none" w:sz="0" w:space="0" w:color="auto"/>
        <w:bottom w:val="none" w:sz="0" w:space="0" w:color="auto"/>
        <w:right w:val="none" w:sz="0" w:space="0" w:color="auto"/>
      </w:divBdr>
    </w:div>
    <w:div w:id="1719892853">
      <w:bodyDiv w:val="1"/>
      <w:marLeft w:val="0"/>
      <w:marRight w:val="0"/>
      <w:marTop w:val="0"/>
      <w:marBottom w:val="0"/>
      <w:divBdr>
        <w:top w:val="none" w:sz="0" w:space="0" w:color="auto"/>
        <w:left w:val="none" w:sz="0" w:space="0" w:color="auto"/>
        <w:bottom w:val="none" w:sz="0" w:space="0" w:color="auto"/>
        <w:right w:val="none" w:sz="0" w:space="0" w:color="auto"/>
      </w:divBdr>
    </w:div>
    <w:div w:id="1719935352">
      <w:bodyDiv w:val="1"/>
      <w:marLeft w:val="0"/>
      <w:marRight w:val="0"/>
      <w:marTop w:val="0"/>
      <w:marBottom w:val="0"/>
      <w:divBdr>
        <w:top w:val="none" w:sz="0" w:space="0" w:color="auto"/>
        <w:left w:val="none" w:sz="0" w:space="0" w:color="auto"/>
        <w:bottom w:val="none" w:sz="0" w:space="0" w:color="auto"/>
        <w:right w:val="none" w:sz="0" w:space="0" w:color="auto"/>
      </w:divBdr>
    </w:div>
    <w:div w:id="1720089878">
      <w:bodyDiv w:val="1"/>
      <w:marLeft w:val="0"/>
      <w:marRight w:val="0"/>
      <w:marTop w:val="0"/>
      <w:marBottom w:val="0"/>
      <w:divBdr>
        <w:top w:val="none" w:sz="0" w:space="0" w:color="auto"/>
        <w:left w:val="none" w:sz="0" w:space="0" w:color="auto"/>
        <w:bottom w:val="none" w:sz="0" w:space="0" w:color="auto"/>
        <w:right w:val="none" w:sz="0" w:space="0" w:color="auto"/>
      </w:divBdr>
    </w:div>
    <w:div w:id="1720127152">
      <w:bodyDiv w:val="1"/>
      <w:marLeft w:val="0"/>
      <w:marRight w:val="0"/>
      <w:marTop w:val="0"/>
      <w:marBottom w:val="0"/>
      <w:divBdr>
        <w:top w:val="none" w:sz="0" w:space="0" w:color="auto"/>
        <w:left w:val="none" w:sz="0" w:space="0" w:color="auto"/>
        <w:bottom w:val="none" w:sz="0" w:space="0" w:color="auto"/>
        <w:right w:val="none" w:sz="0" w:space="0" w:color="auto"/>
      </w:divBdr>
    </w:div>
    <w:div w:id="1720132646">
      <w:bodyDiv w:val="1"/>
      <w:marLeft w:val="0"/>
      <w:marRight w:val="0"/>
      <w:marTop w:val="0"/>
      <w:marBottom w:val="0"/>
      <w:divBdr>
        <w:top w:val="none" w:sz="0" w:space="0" w:color="auto"/>
        <w:left w:val="none" w:sz="0" w:space="0" w:color="auto"/>
        <w:bottom w:val="none" w:sz="0" w:space="0" w:color="auto"/>
        <w:right w:val="none" w:sz="0" w:space="0" w:color="auto"/>
      </w:divBdr>
    </w:div>
    <w:div w:id="1720321912">
      <w:bodyDiv w:val="1"/>
      <w:marLeft w:val="0"/>
      <w:marRight w:val="0"/>
      <w:marTop w:val="0"/>
      <w:marBottom w:val="0"/>
      <w:divBdr>
        <w:top w:val="none" w:sz="0" w:space="0" w:color="auto"/>
        <w:left w:val="none" w:sz="0" w:space="0" w:color="auto"/>
        <w:bottom w:val="none" w:sz="0" w:space="0" w:color="auto"/>
        <w:right w:val="none" w:sz="0" w:space="0" w:color="auto"/>
      </w:divBdr>
    </w:div>
    <w:div w:id="1720477685">
      <w:bodyDiv w:val="1"/>
      <w:marLeft w:val="0"/>
      <w:marRight w:val="0"/>
      <w:marTop w:val="0"/>
      <w:marBottom w:val="0"/>
      <w:divBdr>
        <w:top w:val="none" w:sz="0" w:space="0" w:color="auto"/>
        <w:left w:val="none" w:sz="0" w:space="0" w:color="auto"/>
        <w:bottom w:val="none" w:sz="0" w:space="0" w:color="auto"/>
        <w:right w:val="none" w:sz="0" w:space="0" w:color="auto"/>
      </w:divBdr>
    </w:div>
    <w:div w:id="1720548135">
      <w:bodyDiv w:val="1"/>
      <w:marLeft w:val="0"/>
      <w:marRight w:val="0"/>
      <w:marTop w:val="0"/>
      <w:marBottom w:val="0"/>
      <w:divBdr>
        <w:top w:val="none" w:sz="0" w:space="0" w:color="auto"/>
        <w:left w:val="none" w:sz="0" w:space="0" w:color="auto"/>
        <w:bottom w:val="none" w:sz="0" w:space="0" w:color="auto"/>
        <w:right w:val="none" w:sz="0" w:space="0" w:color="auto"/>
      </w:divBdr>
    </w:div>
    <w:div w:id="1720592823">
      <w:bodyDiv w:val="1"/>
      <w:marLeft w:val="0"/>
      <w:marRight w:val="0"/>
      <w:marTop w:val="0"/>
      <w:marBottom w:val="0"/>
      <w:divBdr>
        <w:top w:val="none" w:sz="0" w:space="0" w:color="auto"/>
        <w:left w:val="none" w:sz="0" w:space="0" w:color="auto"/>
        <w:bottom w:val="none" w:sz="0" w:space="0" w:color="auto"/>
        <w:right w:val="none" w:sz="0" w:space="0" w:color="auto"/>
      </w:divBdr>
    </w:div>
    <w:div w:id="1720592826">
      <w:bodyDiv w:val="1"/>
      <w:marLeft w:val="0"/>
      <w:marRight w:val="0"/>
      <w:marTop w:val="0"/>
      <w:marBottom w:val="0"/>
      <w:divBdr>
        <w:top w:val="none" w:sz="0" w:space="0" w:color="auto"/>
        <w:left w:val="none" w:sz="0" w:space="0" w:color="auto"/>
        <w:bottom w:val="none" w:sz="0" w:space="0" w:color="auto"/>
        <w:right w:val="none" w:sz="0" w:space="0" w:color="auto"/>
      </w:divBdr>
    </w:div>
    <w:div w:id="1720594480">
      <w:bodyDiv w:val="1"/>
      <w:marLeft w:val="0"/>
      <w:marRight w:val="0"/>
      <w:marTop w:val="0"/>
      <w:marBottom w:val="0"/>
      <w:divBdr>
        <w:top w:val="none" w:sz="0" w:space="0" w:color="auto"/>
        <w:left w:val="none" w:sz="0" w:space="0" w:color="auto"/>
        <w:bottom w:val="none" w:sz="0" w:space="0" w:color="auto"/>
        <w:right w:val="none" w:sz="0" w:space="0" w:color="auto"/>
      </w:divBdr>
    </w:div>
    <w:div w:id="1720594731">
      <w:bodyDiv w:val="1"/>
      <w:marLeft w:val="0"/>
      <w:marRight w:val="0"/>
      <w:marTop w:val="0"/>
      <w:marBottom w:val="0"/>
      <w:divBdr>
        <w:top w:val="none" w:sz="0" w:space="0" w:color="auto"/>
        <w:left w:val="none" w:sz="0" w:space="0" w:color="auto"/>
        <w:bottom w:val="none" w:sz="0" w:space="0" w:color="auto"/>
        <w:right w:val="none" w:sz="0" w:space="0" w:color="auto"/>
      </w:divBdr>
    </w:div>
    <w:div w:id="1720854962">
      <w:bodyDiv w:val="1"/>
      <w:marLeft w:val="0"/>
      <w:marRight w:val="0"/>
      <w:marTop w:val="0"/>
      <w:marBottom w:val="0"/>
      <w:divBdr>
        <w:top w:val="none" w:sz="0" w:space="0" w:color="auto"/>
        <w:left w:val="none" w:sz="0" w:space="0" w:color="auto"/>
        <w:bottom w:val="none" w:sz="0" w:space="0" w:color="auto"/>
        <w:right w:val="none" w:sz="0" w:space="0" w:color="auto"/>
      </w:divBdr>
    </w:div>
    <w:div w:id="1720934111">
      <w:bodyDiv w:val="1"/>
      <w:marLeft w:val="0"/>
      <w:marRight w:val="0"/>
      <w:marTop w:val="0"/>
      <w:marBottom w:val="0"/>
      <w:divBdr>
        <w:top w:val="none" w:sz="0" w:space="0" w:color="auto"/>
        <w:left w:val="none" w:sz="0" w:space="0" w:color="auto"/>
        <w:bottom w:val="none" w:sz="0" w:space="0" w:color="auto"/>
        <w:right w:val="none" w:sz="0" w:space="0" w:color="auto"/>
      </w:divBdr>
    </w:div>
    <w:div w:id="1721323332">
      <w:bodyDiv w:val="1"/>
      <w:marLeft w:val="0"/>
      <w:marRight w:val="0"/>
      <w:marTop w:val="0"/>
      <w:marBottom w:val="0"/>
      <w:divBdr>
        <w:top w:val="none" w:sz="0" w:space="0" w:color="auto"/>
        <w:left w:val="none" w:sz="0" w:space="0" w:color="auto"/>
        <w:bottom w:val="none" w:sz="0" w:space="0" w:color="auto"/>
        <w:right w:val="none" w:sz="0" w:space="0" w:color="auto"/>
      </w:divBdr>
    </w:div>
    <w:div w:id="1721436505">
      <w:bodyDiv w:val="1"/>
      <w:marLeft w:val="0"/>
      <w:marRight w:val="0"/>
      <w:marTop w:val="0"/>
      <w:marBottom w:val="0"/>
      <w:divBdr>
        <w:top w:val="none" w:sz="0" w:space="0" w:color="auto"/>
        <w:left w:val="none" w:sz="0" w:space="0" w:color="auto"/>
        <w:bottom w:val="none" w:sz="0" w:space="0" w:color="auto"/>
        <w:right w:val="none" w:sz="0" w:space="0" w:color="auto"/>
      </w:divBdr>
    </w:div>
    <w:div w:id="1721439370">
      <w:bodyDiv w:val="1"/>
      <w:marLeft w:val="0"/>
      <w:marRight w:val="0"/>
      <w:marTop w:val="0"/>
      <w:marBottom w:val="0"/>
      <w:divBdr>
        <w:top w:val="none" w:sz="0" w:space="0" w:color="auto"/>
        <w:left w:val="none" w:sz="0" w:space="0" w:color="auto"/>
        <w:bottom w:val="none" w:sz="0" w:space="0" w:color="auto"/>
        <w:right w:val="none" w:sz="0" w:space="0" w:color="auto"/>
      </w:divBdr>
    </w:div>
    <w:div w:id="1721594449">
      <w:bodyDiv w:val="1"/>
      <w:marLeft w:val="0"/>
      <w:marRight w:val="0"/>
      <w:marTop w:val="0"/>
      <w:marBottom w:val="0"/>
      <w:divBdr>
        <w:top w:val="none" w:sz="0" w:space="0" w:color="auto"/>
        <w:left w:val="none" w:sz="0" w:space="0" w:color="auto"/>
        <w:bottom w:val="none" w:sz="0" w:space="0" w:color="auto"/>
        <w:right w:val="none" w:sz="0" w:space="0" w:color="auto"/>
      </w:divBdr>
    </w:div>
    <w:div w:id="1721635423">
      <w:bodyDiv w:val="1"/>
      <w:marLeft w:val="0"/>
      <w:marRight w:val="0"/>
      <w:marTop w:val="0"/>
      <w:marBottom w:val="0"/>
      <w:divBdr>
        <w:top w:val="none" w:sz="0" w:space="0" w:color="auto"/>
        <w:left w:val="none" w:sz="0" w:space="0" w:color="auto"/>
        <w:bottom w:val="none" w:sz="0" w:space="0" w:color="auto"/>
        <w:right w:val="none" w:sz="0" w:space="0" w:color="auto"/>
      </w:divBdr>
    </w:div>
    <w:div w:id="1721662511">
      <w:bodyDiv w:val="1"/>
      <w:marLeft w:val="0"/>
      <w:marRight w:val="0"/>
      <w:marTop w:val="0"/>
      <w:marBottom w:val="0"/>
      <w:divBdr>
        <w:top w:val="none" w:sz="0" w:space="0" w:color="auto"/>
        <w:left w:val="none" w:sz="0" w:space="0" w:color="auto"/>
        <w:bottom w:val="none" w:sz="0" w:space="0" w:color="auto"/>
        <w:right w:val="none" w:sz="0" w:space="0" w:color="auto"/>
      </w:divBdr>
    </w:div>
    <w:div w:id="1721708317">
      <w:bodyDiv w:val="1"/>
      <w:marLeft w:val="0"/>
      <w:marRight w:val="0"/>
      <w:marTop w:val="0"/>
      <w:marBottom w:val="0"/>
      <w:divBdr>
        <w:top w:val="none" w:sz="0" w:space="0" w:color="auto"/>
        <w:left w:val="none" w:sz="0" w:space="0" w:color="auto"/>
        <w:bottom w:val="none" w:sz="0" w:space="0" w:color="auto"/>
        <w:right w:val="none" w:sz="0" w:space="0" w:color="auto"/>
      </w:divBdr>
    </w:div>
    <w:div w:id="1722098469">
      <w:bodyDiv w:val="1"/>
      <w:marLeft w:val="0"/>
      <w:marRight w:val="0"/>
      <w:marTop w:val="0"/>
      <w:marBottom w:val="0"/>
      <w:divBdr>
        <w:top w:val="none" w:sz="0" w:space="0" w:color="auto"/>
        <w:left w:val="none" w:sz="0" w:space="0" w:color="auto"/>
        <w:bottom w:val="none" w:sz="0" w:space="0" w:color="auto"/>
        <w:right w:val="none" w:sz="0" w:space="0" w:color="auto"/>
      </w:divBdr>
    </w:div>
    <w:div w:id="1722247805">
      <w:bodyDiv w:val="1"/>
      <w:marLeft w:val="0"/>
      <w:marRight w:val="0"/>
      <w:marTop w:val="0"/>
      <w:marBottom w:val="0"/>
      <w:divBdr>
        <w:top w:val="none" w:sz="0" w:space="0" w:color="auto"/>
        <w:left w:val="none" w:sz="0" w:space="0" w:color="auto"/>
        <w:bottom w:val="none" w:sz="0" w:space="0" w:color="auto"/>
        <w:right w:val="none" w:sz="0" w:space="0" w:color="auto"/>
      </w:divBdr>
    </w:div>
    <w:div w:id="1722318130">
      <w:bodyDiv w:val="1"/>
      <w:marLeft w:val="0"/>
      <w:marRight w:val="0"/>
      <w:marTop w:val="0"/>
      <w:marBottom w:val="0"/>
      <w:divBdr>
        <w:top w:val="none" w:sz="0" w:space="0" w:color="auto"/>
        <w:left w:val="none" w:sz="0" w:space="0" w:color="auto"/>
        <w:bottom w:val="none" w:sz="0" w:space="0" w:color="auto"/>
        <w:right w:val="none" w:sz="0" w:space="0" w:color="auto"/>
      </w:divBdr>
    </w:div>
    <w:div w:id="1722362223">
      <w:bodyDiv w:val="1"/>
      <w:marLeft w:val="0"/>
      <w:marRight w:val="0"/>
      <w:marTop w:val="0"/>
      <w:marBottom w:val="0"/>
      <w:divBdr>
        <w:top w:val="none" w:sz="0" w:space="0" w:color="auto"/>
        <w:left w:val="none" w:sz="0" w:space="0" w:color="auto"/>
        <w:bottom w:val="none" w:sz="0" w:space="0" w:color="auto"/>
        <w:right w:val="none" w:sz="0" w:space="0" w:color="auto"/>
      </w:divBdr>
    </w:div>
    <w:div w:id="1722366032">
      <w:bodyDiv w:val="1"/>
      <w:marLeft w:val="0"/>
      <w:marRight w:val="0"/>
      <w:marTop w:val="0"/>
      <w:marBottom w:val="0"/>
      <w:divBdr>
        <w:top w:val="none" w:sz="0" w:space="0" w:color="auto"/>
        <w:left w:val="none" w:sz="0" w:space="0" w:color="auto"/>
        <w:bottom w:val="none" w:sz="0" w:space="0" w:color="auto"/>
        <w:right w:val="none" w:sz="0" w:space="0" w:color="auto"/>
      </w:divBdr>
    </w:div>
    <w:div w:id="1722746643">
      <w:bodyDiv w:val="1"/>
      <w:marLeft w:val="0"/>
      <w:marRight w:val="0"/>
      <w:marTop w:val="0"/>
      <w:marBottom w:val="0"/>
      <w:divBdr>
        <w:top w:val="none" w:sz="0" w:space="0" w:color="auto"/>
        <w:left w:val="none" w:sz="0" w:space="0" w:color="auto"/>
        <w:bottom w:val="none" w:sz="0" w:space="0" w:color="auto"/>
        <w:right w:val="none" w:sz="0" w:space="0" w:color="auto"/>
      </w:divBdr>
    </w:div>
    <w:div w:id="1723022323">
      <w:bodyDiv w:val="1"/>
      <w:marLeft w:val="0"/>
      <w:marRight w:val="0"/>
      <w:marTop w:val="0"/>
      <w:marBottom w:val="0"/>
      <w:divBdr>
        <w:top w:val="none" w:sz="0" w:space="0" w:color="auto"/>
        <w:left w:val="none" w:sz="0" w:space="0" w:color="auto"/>
        <w:bottom w:val="none" w:sz="0" w:space="0" w:color="auto"/>
        <w:right w:val="none" w:sz="0" w:space="0" w:color="auto"/>
      </w:divBdr>
    </w:div>
    <w:div w:id="1723405951">
      <w:bodyDiv w:val="1"/>
      <w:marLeft w:val="0"/>
      <w:marRight w:val="0"/>
      <w:marTop w:val="0"/>
      <w:marBottom w:val="0"/>
      <w:divBdr>
        <w:top w:val="none" w:sz="0" w:space="0" w:color="auto"/>
        <w:left w:val="none" w:sz="0" w:space="0" w:color="auto"/>
        <w:bottom w:val="none" w:sz="0" w:space="0" w:color="auto"/>
        <w:right w:val="none" w:sz="0" w:space="0" w:color="auto"/>
      </w:divBdr>
    </w:div>
    <w:div w:id="1723824700">
      <w:bodyDiv w:val="1"/>
      <w:marLeft w:val="0"/>
      <w:marRight w:val="0"/>
      <w:marTop w:val="0"/>
      <w:marBottom w:val="0"/>
      <w:divBdr>
        <w:top w:val="none" w:sz="0" w:space="0" w:color="auto"/>
        <w:left w:val="none" w:sz="0" w:space="0" w:color="auto"/>
        <w:bottom w:val="none" w:sz="0" w:space="0" w:color="auto"/>
        <w:right w:val="none" w:sz="0" w:space="0" w:color="auto"/>
      </w:divBdr>
    </w:div>
    <w:div w:id="1724016174">
      <w:bodyDiv w:val="1"/>
      <w:marLeft w:val="0"/>
      <w:marRight w:val="0"/>
      <w:marTop w:val="0"/>
      <w:marBottom w:val="0"/>
      <w:divBdr>
        <w:top w:val="none" w:sz="0" w:space="0" w:color="auto"/>
        <w:left w:val="none" w:sz="0" w:space="0" w:color="auto"/>
        <w:bottom w:val="none" w:sz="0" w:space="0" w:color="auto"/>
        <w:right w:val="none" w:sz="0" w:space="0" w:color="auto"/>
      </w:divBdr>
    </w:div>
    <w:div w:id="1724133388">
      <w:bodyDiv w:val="1"/>
      <w:marLeft w:val="0"/>
      <w:marRight w:val="0"/>
      <w:marTop w:val="0"/>
      <w:marBottom w:val="0"/>
      <w:divBdr>
        <w:top w:val="none" w:sz="0" w:space="0" w:color="auto"/>
        <w:left w:val="none" w:sz="0" w:space="0" w:color="auto"/>
        <w:bottom w:val="none" w:sz="0" w:space="0" w:color="auto"/>
        <w:right w:val="none" w:sz="0" w:space="0" w:color="auto"/>
      </w:divBdr>
    </w:div>
    <w:div w:id="1724212705">
      <w:bodyDiv w:val="1"/>
      <w:marLeft w:val="0"/>
      <w:marRight w:val="0"/>
      <w:marTop w:val="0"/>
      <w:marBottom w:val="0"/>
      <w:divBdr>
        <w:top w:val="none" w:sz="0" w:space="0" w:color="auto"/>
        <w:left w:val="none" w:sz="0" w:space="0" w:color="auto"/>
        <w:bottom w:val="none" w:sz="0" w:space="0" w:color="auto"/>
        <w:right w:val="none" w:sz="0" w:space="0" w:color="auto"/>
      </w:divBdr>
    </w:div>
    <w:div w:id="1724325766">
      <w:bodyDiv w:val="1"/>
      <w:marLeft w:val="0"/>
      <w:marRight w:val="0"/>
      <w:marTop w:val="0"/>
      <w:marBottom w:val="0"/>
      <w:divBdr>
        <w:top w:val="none" w:sz="0" w:space="0" w:color="auto"/>
        <w:left w:val="none" w:sz="0" w:space="0" w:color="auto"/>
        <w:bottom w:val="none" w:sz="0" w:space="0" w:color="auto"/>
        <w:right w:val="none" w:sz="0" w:space="0" w:color="auto"/>
      </w:divBdr>
    </w:div>
    <w:div w:id="1724668732">
      <w:bodyDiv w:val="1"/>
      <w:marLeft w:val="0"/>
      <w:marRight w:val="0"/>
      <w:marTop w:val="0"/>
      <w:marBottom w:val="0"/>
      <w:divBdr>
        <w:top w:val="none" w:sz="0" w:space="0" w:color="auto"/>
        <w:left w:val="none" w:sz="0" w:space="0" w:color="auto"/>
        <w:bottom w:val="none" w:sz="0" w:space="0" w:color="auto"/>
        <w:right w:val="none" w:sz="0" w:space="0" w:color="auto"/>
      </w:divBdr>
    </w:div>
    <w:div w:id="1724870051">
      <w:bodyDiv w:val="1"/>
      <w:marLeft w:val="0"/>
      <w:marRight w:val="0"/>
      <w:marTop w:val="0"/>
      <w:marBottom w:val="0"/>
      <w:divBdr>
        <w:top w:val="none" w:sz="0" w:space="0" w:color="auto"/>
        <w:left w:val="none" w:sz="0" w:space="0" w:color="auto"/>
        <w:bottom w:val="none" w:sz="0" w:space="0" w:color="auto"/>
        <w:right w:val="none" w:sz="0" w:space="0" w:color="auto"/>
      </w:divBdr>
    </w:div>
    <w:div w:id="1725055395">
      <w:bodyDiv w:val="1"/>
      <w:marLeft w:val="0"/>
      <w:marRight w:val="0"/>
      <w:marTop w:val="0"/>
      <w:marBottom w:val="0"/>
      <w:divBdr>
        <w:top w:val="none" w:sz="0" w:space="0" w:color="auto"/>
        <w:left w:val="none" w:sz="0" w:space="0" w:color="auto"/>
        <w:bottom w:val="none" w:sz="0" w:space="0" w:color="auto"/>
        <w:right w:val="none" w:sz="0" w:space="0" w:color="auto"/>
      </w:divBdr>
    </w:div>
    <w:div w:id="1725133651">
      <w:bodyDiv w:val="1"/>
      <w:marLeft w:val="0"/>
      <w:marRight w:val="0"/>
      <w:marTop w:val="0"/>
      <w:marBottom w:val="0"/>
      <w:divBdr>
        <w:top w:val="none" w:sz="0" w:space="0" w:color="auto"/>
        <w:left w:val="none" w:sz="0" w:space="0" w:color="auto"/>
        <w:bottom w:val="none" w:sz="0" w:space="0" w:color="auto"/>
        <w:right w:val="none" w:sz="0" w:space="0" w:color="auto"/>
      </w:divBdr>
    </w:div>
    <w:div w:id="1725253798">
      <w:bodyDiv w:val="1"/>
      <w:marLeft w:val="0"/>
      <w:marRight w:val="0"/>
      <w:marTop w:val="0"/>
      <w:marBottom w:val="0"/>
      <w:divBdr>
        <w:top w:val="none" w:sz="0" w:space="0" w:color="auto"/>
        <w:left w:val="none" w:sz="0" w:space="0" w:color="auto"/>
        <w:bottom w:val="none" w:sz="0" w:space="0" w:color="auto"/>
        <w:right w:val="none" w:sz="0" w:space="0" w:color="auto"/>
      </w:divBdr>
    </w:div>
    <w:div w:id="1725332483">
      <w:bodyDiv w:val="1"/>
      <w:marLeft w:val="0"/>
      <w:marRight w:val="0"/>
      <w:marTop w:val="0"/>
      <w:marBottom w:val="0"/>
      <w:divBdr>
        <w:top w:val="none" w:sz="0" w:space="0" w:color="auto"/>
        <w:left w:val="none" w:sz="0" w:space="0" w:color="auto"/>
        <w:bottom w:val="none" w:sz="0" w:space="0" w:color="auto"/>
        <w:right w:val="none" w:sz="0" w:space="0" w:color="auto"/>
      </w:divBdr>
    </w:div>
    <w:div w:id="1725367234">
      <w:bodyDiv w:val="1"/>
      <w:marLeft w:val="0"/>
      <w:marRight w:val="0"/>
      <w:marTop w:val="0"/>
      <w:marBottom w:val="0"/>
      <w:divBdr>
        <w:top w:val="none" w:sz="0" w:space="0" w:color="auto"/>
        <w:left w:val="none" w:sz="0" w:space="0" w:color="auto"/>
        <w:bottom w:val="none" w:sz="0" w:space="0" w:color="auto"/>
        <w:right w:val="none" w:sz="0" w:space="0" w:color="auto"/>
      </w:divBdr>
    </w:div>
    <w:div w:id="1725520464">
      <w:bodyDiv w:val="1"/>
      <w:marLeft w:val="0"/>
      <w:marRight w:val="0"/>
      <w:marTop w:val="0"/>
      <w:marBottom w:val="0"/>
      <w:divBdr>
        <w:top w:val="none" w:sz="0" w:space="0" w:color="auto"/>
        <w:left w:val="none" w:sz="0" w:space="0" w:color="auto"/>
        <w:bottom w:val="none" w:sz="0" w:space="0" w:color="auto"/>
        <w:right w:val="none" w:sz="0" w:space="0" w:color="auto"/>
      </w:divBdr>
    </w:div>
    <w:div w:id="1725523247">
      <w:bodyDiv w:val="1"/>
      <w:marLeft w:val="0"/>
      <w:marRight w:val="0"/>
      <w:marTop w:val="0"/>
      <w:marBottom w:val="0"/>
      <w:divBdr>
        <w:top w:val="none" w:sz="0" w:space="0" w:color="auto"/>
        <w:left w:val="none" w:sz="0" w:space="0" w:color="auto"/>
        <w:bottom w:val="none" w:sz="0" w:space="0" w:color="auto"/>
        <w:right w:val="none" w:sz="0" w:space="0" w:color="auto"/>
      </w:divBdr>
    </w:div>
    <w:div w:id="1725524424">
      <w:bodyDiv w:val="1"/>
      <w:marLeft w:val="0"/>
      <w:marRight w:val="0"/>
      <w:marTop w:val="0"/>
      <w:marBottom w:val="0"/>
      <w:divBdr>
        <w:top w:val="none" w:sz="0" w:space="0" w:color="auto"/>
        <w:left w:val="none" w:sz="0" w:space="0" w:color="auto"/>
        <w:bottom w:val="none" w:sz="0" w:space="0" w:color="auto"/>
        <w:right w:val="none" w:sz="0" w:space="0" w:color="auto"/>
      </w:divBdr>
    </w:div>
    <w:div w:id="1725639648">
      <w:bodyDiv w:val="1"/>
      <w:marLeft w:val="0"/>
      <w:marRight w:val="0"/>
      <w:marTop w:val="0"/>
      <w:marBottom w:val="0"/>
      <w:divBdr>
        <w:top w:val="none" w:sz="0" w:space="0" w:color="auto"/>
        <w:left w:val="none" w:sz="0" w:space="0" w:color="auto"/>
        <w:bottom w:val="none" w:sz="0" w:space="0" w:color="auto"/>
        <w:right w:val="none" w:sz="0" w:space="0" w:color="auto"/>
      </w:divBdr>
    </w:div>
    <w:div w:id="1725640903">
      <w:bodyDiv w:val="1"/>
      <w:marLeft w:val="0"/>
      <w:marRight w:val="0"/>
      <w:marTop w:val="0"/>
      <w:marBottom w:val="0"/>
      <w:divBdr>
        <w:top w:val="none" w:sz="0" w:space="0" w:color="auto"/>
        <w:left w:val="none" w:sz="0" w:space="0" w:color="auto"/>
        <w:bottom w:val="none" w:sz="0" w:space="0" w:color="auto"/>
        <w:right w:val="none" w:sz="0" w:space="0" w:color="auto"/>
      </w:divBdr>
    </w:div>
    <w:div w:id="1725786940">
      <w:bodyDiv w:val="1"/>
      <w:marLeft w:val="0"/>
      <w:marRight w:val="0"/>
      <w:marTop w:val="0"/>
      <w:marBottom w:val="0"/>
      <w:divBdr>
        <w:top w:val="none" w:sz="0" w:space="0" w:color="auto"/>
        <w:left w:val="none" w:sz="0" w:space="0" w:color="auto"/>
        <w:bottom w:val="none" w:sz="0" w:space="0" w:color="auto"/>
        <w:right w:val="none" w:sz="0" w:space="0" w:color="auto"/>
      </w:divBdr>
    </w:div>
    <w:div w:id="1725830612">
      <w:bodyDiv w:val="1"/>
      <w:marLeft w:val="0"/>
      <w:marRight w:val="0"/>
      <w:marTop w:val="0"/>
      <w:marBottom w:val="0"/>
      <w:divBdr>
        <w:top w:val="none" w:sz="0" w:space="0" w:color="auto"/>
        <w:left w:val="none" w:sz="0" w:space="0" w:color="auto"/>
        <w:bottom w:val="none" w:sz="0" w:space="0" w:color="auto"/>
        <w:right w:val="none" w:sz="0" w:space="0" w:color="auto"/>
      </w:divBdr>
    </w:div>
    <w:div w:id="1726026156">
      <w:bodyDiv w:val="1"/>
      <w:marLeft w:val="0"/>
      <w:marRight w:val="0"/>
      <w:marTop w:val="0"/>
      <w:marBottom w:val="0"/>
      <w:divBdr>
        <w:top w:val="none" w:sz="0" w:space="0" w:color="auto"/>
        <w:left w:val="none" w:sz="0" w:space="0" w:color="auto"/>
        <w:bottom w:val="none" w:sz="0" w:space="0" w:color="auto"/>
        <w:right w:val="none" w:sz="0" w:space="0" w:color="auto"/>
      </w:divBdr>
    </w:div>
    <w:div w:id="1726097030">
      <w:bodyDiv w:val="1"/>
      <w:marLeft w:val="0"/>
      <w:marRight w:val="0"/>
      <w:marTop w:val="0"/>
      <w:marBottom w:val="0"/>
      <w:divBdr>
        <w:top w:val="none" w:sz="0" w:space="0" w:color="auto"/>
        <w:left w:val="none" w:sz="0" w:space="0" w:color="auto"/>
        <w:bottom w:val="none" w:sz="0" w:space="0" w:color="auto"/>
        <w:right w:val="none" w:sz="0" w:space="0" w:color="auto"/>
      </w:divBdr>
    </w:div>
    <w:div w:id="1726099356">
      <w:bodyDiv w:val="1"/>
      <w:marLeft w:val="0"/>
      <w:marRight w:val="0"/>
      <w:marTop w:val="0"/>
      <w:marBottom w:val="0"/>
      <w:divBdr>
        <w:top w:val="none" w:sz="0" w:space="0" w:color="auto"/>
        <w:left w:val="none" w:sz="0" w:space="0" w:color="auto"/>
        <w:bottom w:val="none" w:sz="0" w:space="0" w:color="auto"/>
        <w:right w:val="none" w:sz="0" w:space="0" w:color="auto"/>
      </w:divBdr>
    </w:div>
    <w:div w:id="1726175556">
      <w:bodyDiv w:val="1"/>
      <w:marLeft w:val="0"/>
      <w:marRight w:val="0"/>
      <w:marTop w:val="0"/>
      <w:marBottom w:val="0"/>
      <w:divBdr>
        <w:top w:val="none" w:sz="0" w:space="0" w:color="auto"/>
        <w:left w:val="none" w:sz="0" w:space="0" w:color="auto"/>
        <w:bottom w:val="none" w:sz="0" w:space="0" w:color="auto"/>
        <w:right w:val="none" w:sz="0" w:space="0" w:color="auto"/>
      </w:divBdr>
    </w:div>
    <w:div w:id="1726176000">
      <w:bodyDiv w:val="1"/>
      <w:marLeft w:val="0"/>
      <w:marRight w:val="0"/>
      <w:marTop w:val="0"/>
      <w:marBottom w:val="0"/>
      <w:divBdr>
        <w:top w:val="none" w:sz="0" w:space="0" w:color="auto"/>
        <w:left w:val="none" w:sz="0" w:space="0" w:color="auto"/>
        <w:bottom w:val="none" w:sz="0" w:space="0" w:color="auto"/>
        <w:right w:val="none" w:sz="0" w:space="0" w:color="auto"/>
      </w:divBdr>
    </w:div>
    <w:div w:id="1726222665">
      <w:bodyDiv w:val="1"/>
      <w:marLeft w:val="0"/>
      <w:marRight w:val="0"/>
      <w:marTop w:val="0"/>
      <w:marBottom w:val="0"/>
      <w:divBdr>
        <w:top w:val="none" w:sz="0" w:space="0" w:color="auto"/>
        <w:left w:val="none" w:sz="0" w:space="0" w:color="auto"/>
        <w:bottom w:val="none" w:sz="0" w:space="0" w:color="auto"/>
        <w:right w:val="none" w:sz="0" w:space="0" w:color="auto"/>
      </w:divBdr>
    </w:div>
    <w:div w:id="1726485712">
      <w:bodyDiv w:val="1"/>
      <w:marLeft w:val="0"/>
      <w:marRight w:val="0"/>
      <w:marTop w:val="0"/>
      <w:marBottom w:val="0"/>
      <w:divBdr>
        <w:top w:val="none" w:sz="0" w:space="0" w:color="auto"/>
        <w:left w:val="none" w:sz="0" w:space="0" w:color="auto"/>
        <w:bottom w:val="none" w:sz="0" w:space="0" w:color="auto"/>
        <w:right w:val="none" w:sz="0" w:space="0" w:color="auto"/>
      </w:divBdr>
    </w:div>
    <w:div w:id="1726828235">
      <w:bodyDiv w:val="1"/>
      <w:marLeft w:val="0"/>
      <w:marRight w:val="0"/>
      <w:marTop w:val="0"/>
      <w:marBottom w:val="0"/>
      <w:divBdr>
        <w:top w:val="none" w:sz="0" w:space="0" w:color="auto"/>
        <w:left w:val="none" w:sz="0" w:space="0" w:color="auto"/>
        <w:bottom w:val="none" w:sz="0" w:space="0" w:color="auto"/>
        <w:right w:val="none" w:sz="0" w:space="0" w:color="auto"/>
      </w:divBdr>
    </w:div>
    <w:div w:id="1726836966">
      <w:bodyDiv w:val="1"/>
      <w:marLeft w:val="0"/>
      <w:marRight w:val="0"/>
      <w:marTop w:val="0"/>
      <w:marBottom w:val="0"/>
      <w:divBdr>
        <w:top w:val="none" w:sz="0" w:space="0" w:color="auto"/>
        <w:left w:val="none" w:sz="0" w:space="0" w:color="auto"/>
        <w:bottom w:val="none" w:sz="0" w:space="0" w:color="auto"/>
        <w:right w:val="none" w:sz="0" w:space="0" w:color="auto"/>
      </w:divBdr>
    </w:div>
    <w:div w:id="1726874742">
      <w:bodyDiv w:val="1"/>
      <w:marLeft w:val="0"/>
      <w:marRight w:val="0"/>
      <w:marTop w:val="0"/>
      <w:marBottom w:val="0"/>
      <w:divBdr>
        <w:top w:val="none" w:sz="0" w:space="0" w:color="auto"/>
        <w:left w:val="none" w:sz="0" w:space="0" w:color="auto"/>
        <w:bottom w:val="none" w:sz="0" w:space="0" w:color="auto"/>
        <w:right w:val="none" w:sz="0" w:space="0" w:color="auto"/>
      </w:divBdr>
    </w:div>
    <w:div w:id="1726946422">
      <w:bodyDiv w:val="1"/>
      <w:marLeft w:val="0"/>
      <w:marRight w:val="0"/>
      <w:marTop w:val="0"/>
      <w:marBottom w:val="0"/>
      <w:divBdr>
        <w:top w:val="none" w:sz="0" w:space="0" w:color="auto"/>
        <w:left w:val="none" w:sz="0" w:space="0" w:color="auto"/>
        <w:bottom w:val="none" w:sz="0" w:space="0" w:color="auto"/>
        <w:right w:val="none" w:sz="0" w:space="0" w:color="auto"/>
      </w:divBdr>
    </w:div>
    <w:div w:id="1727028009">
      <w:bodyDiv w:val="1"/>
      <w:marLeft w:val="0"/>
      <w:marRight w:val="0"/>
      <w:marTop w:val="0"/>
      <w:marBottom w:val="0"/>
      <w:divBdr>
        <w:top w:val="none" w:sz="0" w:space="0" w:color="auto"/>
        <w:left w:val="none" w:sz="0" w:space="0" w:color="auto"/>
        <w:bottom w:val="none" w:sz="0" w:space="0" w:color="auto"/>
        <w:right w:val="none" w:sz="0" w:space="0" w:color="auto"/>
      </w:divBdr>
    </w:div>
    <w:div w:id="1727096871">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7223718">
      <w:bodyDiv w:val="1"/>
      <w:marLeft w:val="0"/>
      <w:marRight w:val="0"/>
      <w:marTop w:val="0"/>
      <w:marBottom w:val="0"/>
      <w:divBdr>
        <w:top w:val="none" w:sz="0" w:space="0" w:color="auto"/>
        <w:left w:val="none" w:sz="0" w:space="0" w:color="auto"/>
        <w:bottom w:val="none" w:sz="0" w:space="0" w:color="auto"/>
        <w:right w:val="none" w:sz="0" w:space="0" w:color="auto"/>
      </w:divBdr>
    </w:div>
    <w:div w:id="1727610352">
      <w:bodyDiv w:val="1"/>
      <w:marLeft w:val="0"/>
      <w:marRight w:val="0"/>
      <w:marTop w:val="0"/>
      <w:marBottom w:val="0"/>
      <w:divBdr>
        <w:top w:val="none" w:sz="0" w:space="0" w:color="auto"/>
        <w:left w:val="none" w:sz="0" w:space="0" w:color="auto"/>
        <w:bottom w:val="none" w:sz="0" w:space="0" w:color="auto"/>
        <w:right w:val="none" w:sz="0" w:space="0" w:color="auto"/>
      </w:divBdr>
    </w:div>
    <w:div w:id="1727874498">
      <w:bodyDiv w:val="1"/>
      <w:marLeft w:val="0"/>
      <w:marRight w:val="0"/>
      <w:marTop w:val="0"/>
      <w:marBottom w:val="0"/>
      <w:divBdr>
        <w:top w:val="none" w:sz="0" w:space="0" w:color="auto"/>
        <w:left w:val="none" w:sz="0" w:space="0" w:color="auto"/>
        <w:bottom w:val="none" w:sz="0" w:space="0" w:color="auto"/>
        <w:right w:val="none" w:sz="0" w:space="0" w:color="auto"/>
      </w:divBdr>
    </w:div>
    <w:div w:id="1727878152">
      <w:bodyDiv w:val="1"/>
      <w:marLeft w:val="0"/>
      <w:marRight w:val="0"/>
      <w:marTop w:val="0"/>
      <w:marBottom w:val="0"/>
      <w:divBdr>
        <w:top w:val="none" w:sz="0" w:space="0" w:color="auto"/>
        <w:left w:val="none" w:sz="0" w:space="0" w:color="auto"/>
        <w:bottom w:val="none" w:sz="0" w:space="0" w:color="auto"/>
        <w:right w:val="none" w:sz="0" w:space="0" w:color="auto"/>
      </w:divBdr>
    </w:div>
    <w:div w:id="1728068211">
      <w:bodyDiv w:val="1"/>
      <w:marLeft w:val="0"/>
      <w:marRight w:val="0"/>
      <w:marTop w:val="0"/>
      <w:marBottom w:val="0"/>
      <w:divBdr>
        <w:top w:val="none" w:sz="0" w:space="0" w:color="auto"/>
        <w:left w:val="none" w:sz="0" w:space="0" w:color="auto"/>
        <w:bottom w:val="none" w:sz="0" w:space="0" w:color="auto"/>
        <w:right w:val="none" w:sz="0" w:space="0" w:color="auto"/>
      </w:divBdr>
    </w:div>
    <w:div w:id="1728335298">
      <w:bodyDiv w:val="1"/>
      <w:marLeft w:val="0"/>
      <w:marRight w:val="0"/>
      <w:marTop w:val="0"/>
      <w:marBottom w:val="0"/>
      <w:divBdr>
        <w:top w:val="none" w:sz="0" w:space="0" w:color="auto"/>
        <w:left w:val="none" w:sz="0" w:space="0" w:color="auto"/>
        <w:bottom w:val="none" w:sz="0" w:space="0" w:color="auto"/>
        <w:right w:val="none" w:sz="0" w:space="0" w:color="auto"/>
      </w:divBdr>
    </w:div>
    <w:div w:id="1728795588">
      <w:bodyDiv w:val="1"/>
      <w:marLeft w:val="0"/>
      <w:marRight w:val="0"/>
      <w:marTop w:val="0"/>
      <w:marBottom w:val="0"/>
      <w:divBdr>
        <w:top w:val="none" w:sz="0" w:space="0" w:color="auto"/>
        <w:left w:val="none" w:sz="0" w:space="0" w:color="auto"/>
        <w:bottom w:val="none" w:sz="0" w:space="0" w:color="auto"/>
        <w:right w:val="none" w:sz="0" w:space="0" w:color="auto"/>
      </w:divBdr>
    </w:div>
    <w:div w:id="1728870424">
      <w:bodyDiv w:val="1"/>
      <w:marLeft w:val="0"/>
      <w:marRight w:val="0"/>
      <w:marTop w:val="0"/>
      <w:marBottom w:val="0"/>
      <w:divBdr>
        <w:top w:val="none" w:sz="0" w:space="0" w:color="auto"/>
        <w:left w:val="none" w:sz="0" w:space="0" w:color="auto"/>
        <w:bottom w:val="none" w:sz="0" w:space="0" w:color="auto"/>
        <w:right w:val="none" w:sz="0" w:space="0" w:color="auto"/>
      </w:divBdr>
    </w:div>
    <w:div w:id="1728920011">
      <w:bodyDiv w:val="1"/>
      <w:marLeft w:val="0"/>
      <w:marRight w:val="0"/>
      <w:marTop w:val="0"/>
      <w:marBottom w:val="0"/>
      <w:divBdr>
        <w:top w:val="none" w:sz="0" w:space="0" w:color="auto"/>
        <w:left w:val="none" w:sz="0" w:space="0" w:color="auto"/>
        <w:bottom w:val="none" w:sz="0" w:space="0" w:color="auto"/>
        <w:right w:val="none" w:sz="0" w:space="0" w:color="auto"/>
      </w:divBdr>
    </w:div>
    <w:div w:id="1729108431">
      <w:bodyDiv w:val="1"/>
      <w:marLeft w:val="0"/>
      <w:marRight w:val="0"/>
      <w:marTop w:val="0"/>
      <w:marBottom w:val="0"/>
      <w:divBdr>
        <w:top w:val="none" w:sz="0" w:space="0" w:color="auto"/>
        <w:left w:val="none" w:sz="0" w:space="0" w:color="auto"/>
        <w:bottom w:val="none" w:sz="0" w:space="0" w:color="auto"/>
        <w:right w:val="none" w:sz="0" w:space="0" w:color="auto"/>
      </w:divBdr>
    </w:div>
    <w:div w:id="1729299086">
      <w:bodyDiv w:val="1"/>
      <w:marLeft w:val="0"/>
      <w:marRight w:val="0"/>
      <w:marTop w:val="0"/>
      <w:marBottom w:val="0"/>
      <w:divBdr>
        <w:top w:val="none" w:sz="0" w:space="0" w:color="auto"/>
        <w:left w:val="none" w:sz="0" w:space="0" w:color="auto"/>
        <w:bottom w:val="none" w:sz="0" w:space="0" w:color="auto"/>
        <w:right w:val="none" w:sz="0" w:space="0" w:color="auto"/>
      </w:divBdr>
    </w:div>
    <w:div w:id="1729305667">
      <w:bodyDiv w:val="1"/>
      <w:marLeft w:val="0"/>
      <w:marRight w:val="0"/>
      <w:marTop w:val="0"/>
      <w:marBottom w:val="0"/>
      <w:divBdr>
        <w:top w:val="none" w:sz="0" w:space="0" w:color="auto"/>
        <w:left w:val="none" w:sz="0" w:space="0" w:color="auto"/>
        <w:bottom w:val="none" w:sz="0" w:space="0" w:color="auto"/>
        <w:right w:val="none" w:sz="0" w:space="0" w:color="auto"/>
      </w:divBdr>
    </w:div>
    <w:div w:id="1729762959">
      <w:bodyDiv w:val="1"/>
      <w:marLeft w:val="0"/>
      <w:marRight w:val="0"/>
      <w:marTop w:val="0"/>
      <w:marBottom w:val="0"/>
      <w:divBdr>
        <w:top w:val="none" w:sz="0" w:space="0" w:color="auto"/>
        <w:left w:val="none" w:sz="0" w:space="0" w:color="auto"/>
        <w:bottom w:val="none" w:sz="0" w:space="0" w:color="auto"/>
        <w:right w:val="none" w:sz="0" w:space="0" w:color="auto"/>
      </w:divBdr>
    </w:div>
    <w:div w:id="1729845008">
      <w:bodyDiv w:val="1"/>
      <w:marLeft w:val="0"/>
      <w:marRight w:val="0"/>
      <w:marTop w:val="0"/>
      <w:marBottom w:val="0"/>
      <w:divBdr>
        <w:top w:val="none" w:sz="0" w:space="0" w:color="auto"/>
        <w:left w:val="none" w:sz="0" w:space="0" w:color="auto"/>
        <w:bottom w:val="none" w:sz="0" w:space="0" w:color="auto"/>
        <w:right w:val="none" w:sz="0" w:space="0" w:color="auto"/>
      </w:divBdr>
    </w:div>
    <w:div w:id="1729913963">
      <w:bodyDiv w:val="1"/>
      <w:marLeft w:val="0"/>
      <w:marRight w:val="0"/>
      <w:marTop w:val="0"/>
      <w:marBottom w:val="0"/>
      <w:divBdr>
        <w:top w:val="none" w:sz="0" w:space="0" w:color="auto"/>
        <w:left w:val="none" w:sz="0" w:space="0" w:color="auto"/>
        <w:bottom w:val="none" w:sz="0" w:space="0" w:color="auto"/>
        <w:right w:val="none" w:sz="0" w:space="0" w:color="auto"/>
      </w:divBdr>
    </w:div>
    <w:div w:id="1729957248">
      <w:bodyDiv w:val="1"/>
      <w:marLeft w:val="0"/>
      <w:marRight w:val="0"/>
      <w:marTop w:val="0"/>
      <w:marBottom w:val="0"/>
      <w:divBdr>
        <w:top w:val="none" w:sz="0" w:space="0" w:color="auto"/>
        <w:left w:val="none" w:sz="0" w:space="0" w:color="auto"/>
        <w:bottom w:val="none" w:sz="0" w:space="0" w:color="auto"/>
        <w:right w:val="none" w:sz="0" w:space="0" w:color="auto"/>
      </w:divBdr>
    </w:div>
    <w:div w:id="1730037421">
      <w:bodyDiv w:val="1"/>
      <w:marLeft w:val="0"/>
      <w:marRight w:val="0"/>
      <w:marTop w:val="0"/>
      <w:marBottom w:val="0"/>
      <w:divBdr>
        <w:top w:val="none" w:sz="0" w:space="0" w:color="auto"/>
        <w:left w:val="none" w:sz="0" w:space="0" w:color="auto"/>
        <w:bottom w:val="none" w:sz="0" w:space="0" w:color="auto"/>
        <w:right w:val="none" w:sz="0" w:space="0" w:color="auto"/>
      </w:divBdr>
    </w:div>
    <w:div w:id="1730037500">
      <w:bodyDiv w:val="1"/>
      <w:marLeft w:val="0"/>
      <w:marRight w:val="0"/>
      <w:marTop w:val="0"/>
      <w:marBottom w:val="0"/>
      <w:divBdr>
        <w:top w:val="none" w:sz="0" w:space="0" w:color="auto"/>
        <w:left w:val="none" w:sz="0" w:space="0" w:color="auto"/>
        <w:bottom w:val="none" w:sz="0" w:space="0" w:color="auto"/>
        <w:right w:val="none" w:sz="0" w:space="0" w:color="auto"/>
      </w:divBdr>
    </w:div>
    <w:div w:id="1730150729">
      <w:bodyDiv w:val="1"/>
      <w:marLeft w:val="0"/>
      <w:marRight w:val="0"/>
      <w:marTop w:val="0"/>
      <w:marBottom w:val="0"/>
      <w:divBdr>
        <w:top w:val="none" w:sz="0" w:space="0" w:color="auto"/>
        <w:left w:val="none" w:sz="0" w:space="0" w:color="auto"/>
        <w:bottom w:val="none" w:sz="0" w:space="0" w:color="auto"/>
        <w:right w:val="none" w:sz="0" w:space="0" w:color="auto"/>
      </w:divBdr>
    </w:div>
    <w:div w:id="1730228712">
      <w:bodyDiv w:val="1"/>
      <w:marLeft w:val="0"/>
      <w:marRight w:val="0"/>
      <w:marTop w:val="0"/>
      <w:marBottom w:val="0"/>
      <w:divBdr>
        <w:top w:val="none" w:sz="0" w:space="0" w:color="auto"/>
        <w:left w:val="none" w:sz="0" w:space="0" w:color="auto"/>
        <w:bottom w:val="none" w:sz="0" w:space="0" w:color="auto"/>
        <w:right w:val="none" w:sz="0" w:space="0" w:color="auto"/>
      </w:divBdr>
    </w:div>
    <w:div w:id="1730567528">
      <w:bodyDiv w:val="1"/>
      <w:marLeft w:val="0"/>
      <w:marRight w:val="0"/>
      <w:marTop w:val="0"/>
      <w:marBottom w:val="0"/>
      <w:divBdr>
        <w:top w:val="none" w:sz="0" w:space="0" w:color="auto"/>
        <w:left w:val="none" w:sz="0" w:space="0" w:color="auto"/>
        <w:bottom w:val="none" w:sz="0" w:space="0" w:color="auto"/>
        <w:right w:val="none" w:sz="0" w:space="0" w:color="auto"/>
      </w:divBdr>
    </w:div>
    <w:div w:id="1730615212">
      <w:bodyDiv w:val="1"/>
      <w:marLeft w:val="0"/>
      <w:marRight w:val="0"/>
      <w:marTop w:val="0"/>
      <w:marBottom w:val="0"/>
      <w:divBdr>
        <w:top w:val="none" w:sz="0" w:space="0" w:color="auto"/>
        <w:left w:val="none" w:sz="0" w:space="0" w:color="auto"/>
        <w:bottom w:val="none" w:sz="0" w:space="0" w:color="auto"/>
        <w:right w:val="none" w:sz="0" w:space="0" w:color="auto"/>
      </w:divBdr>
    </w:div>
    <w:div w:id="1730641901">
      <w:bodyDiv w:val="1"/>
      <w:marLeft w:val="0"/>
      <w:marRight w:val="0"/>
      <w:marTop w:val="0"/>
      <w:marBottom w:val="0"/>
      <w:divBdr>
        <w:top w:val="none" w:sz="0" w:space="0" w:color="auto"/>
        <w:left w:val="none" w:sz="0" w:space="0" w:color="auto"/>
        <w:bottom w:val="none" w:sz="0" w:space="0" w:color="auto"/>
        <w:right w:val="none" w:sz="0" w:space="0" w:color="auto"/>
      </w:divBdr>
    </w:div>
    <w:div w:id="1730766182">
      <w:bodyDiv w:val="1"/>
      <w:marLeft w:val="0"/>
      <w:marRight w:val="0"/>
      <w:marTop w:val="0"/>
      <w:marBottom w:val="0"/>
      <w:divBdr>
        <w:top w:val="none" w:sz="0" w:space="0" w:color="auto"/>
        <w:left w:val="none" w:sz="0" w:space="0" w:color="auto"/>
        <w:bottom w:val="none" w:sz="0" w:space="0" w:color="auto"/>
        <w:right w:val="none" w:sz="0" w:space="0" w:color="auto"/>
      </w:divBdr>
    </w:div>
    <w:div w:id="1731032374">
      <w:bodyDiv w:val="1"/>
      <w:marLeft w:val="0"/>
      <w:marRight w:val="0"/>
      <w:marTop w:val="0"/>
      <w:marBottom w:val="0"/>
      <w:divBdr>
        <w:top w:val="none" w:sz="0" w:space="0" w:color="auto"/>
        <w:left w:val="none" w:sz="0" w:space="0" w:color="auto"/>
        <w:bottom w:val="none" w:sz="0" w:space="0" w:color="auto"/>
        <w:right w:val="none" w:sz="0" w:space="0" w:color="auto"/>
      </w:divBdr>
    </w:div>
    <w:div w:id="1731267776">
      <w:bodyDiv w:val="1"/>
      <w:marLeft w:val="0"/>
      <w:marRight w:val="0"/>
      <w:marTop w:val="0"/>
      <w:marBottom w:val="0"/>
      <w:divBdr>
        <w:top w:val="none" w:sz="0" w:space="0" w:color="auto"/>
        <w:left w:val="none" w:sz="0" w:space="0" w:color="auto"/>
        <w:bottom w:val="none" w:sz="0" w:space="0" w:color="auto"/>
        <w:right w:val="none" w:sz="0" w:space="0" w:color="auto"/>
      </w:divBdr>
    </w:div>
    <w:div w:id="1731344168">
      <w:bodyDiv w:val="1"/>
      <w:marLeft w:val="0"/>
      <w:marRight w:val="0"/>
      <w:marTop w:val="0"/>
      <w:marBottom w:val="0"/>
      <w:divBdr>
        <w:top w:val="none" w:sz="0" w:space="0" w:color="auto"/>
        <w:left w:val="none" w:sz="0" w:space="0" w:color="auto"/>
        <w:bottom w:val="none" w:sz="0" w:space="0" w:color="auto"/>
        <w:right w:val="none" w:sz="0" w:space="0" w:color="auto"/>
      </w:divBdr>
    </w:div>
    <w:div w:id="1731492282">
      <w:bodyDiv w:val="1"/>
      <w:marLeft w:val="0"/>
      <w:marRight w:val="0"/>
      <w:marTop w:val="0"/>
      <w:marBottom w:val="0"/>
      <w:divBdr>
        <w:top w:val="none" w:sz="0" w:space="0" w:color="auto"/>
        <w:left w:val="none" w:sz="0" w:space="0" w:color="auto"/>
        <w:bottom w:val="none" w:sz="0" w:space="0" w:color="auto"/>
        <w:right w:val="none" w:sz="0" w:space="0" w:color="auto"/>
      </w:divBdr>
    </w:div>
    <w:div w:id="1731659168">
      <w:bodyDiv w:val="1"/>
      <w:marLeft w:val="0"/>
      <w:marRight w:val="0"/>
      <w:marTop w:val="0"/>
      <w:marBottom w:val="0"/>
      <w:divBdr>
        <w:top w:val="none" w:sz="0" w:space="0" w:color="auto"/>
        <w:left w:val="none" w:sz="0" w:space="0" w:color="auto"/>
        <w:bottom w:val="none" w:sz="0" w:space="0" w:color="auto"/>
        <w:right w:val="none" w:sz="0" w:space="0" w:color="auto"/>
      </w:divBdr>
    </w:div>
    <w:div w:id="1732004068">
      <w:bodyDiv w:val="1"/>
      <w:marLeft w:val="0"/>
      <w:marRight w:val="0"/>
      <w:marTop w:val="0"/>
      <w:marBottom w:val="0"/>
      <w:divBdr>
        <w:top w:val="none" w:sz="0" w:space="0" w:color="auto"/>
        <w:left w:val="none" w:sz="0" w:space="0" w:color="auto"/>
        <w:bottom w:val="none" w:sz="0" w:space="0" w:color="auto"/>
        <w:right w:val="none" w:sz="0" w:space="0" w:color="auto"/>
      </w:divBdr>
    </w:div>
    <w:div w:id="1732147309">
      <w:bodyDiv w:val="1"/>
      <w:marLeft w:val="0"/>
      <w:marRight w:val="0"/>
      <w:marTop w:val="0"/>
      <w:marBottom w:val="0"/>
      <w:divBdr>
        <w:top w:val="none" w:sz="0" w:space="0" w:color="auto"/>
        <w:left w:val="none" w:sz="0" w:space="0" w:color="auto"/>
        <w:bottom w:val="none" w:sz="0" w:space="0" w:color="auto"/>
        <w:right w:val="none" w:sz="0" w:space="0" w:color="auto"/>
      </w:divBdr>
    </w:div>
    <w:div w:id="1732196661">
      <w:bodyDiv w:val="1"/>
      <w:marLeft w:val="0"/>
      <w:marRight w:val="0"/>
      <w:marTop w:val="0"/>
      <w:marBottom w:val="0"/>
      <w:divBdr>
        <w:top w:val="none" w:sz="0" w:space="0" w:color="auto"/>
        <w:left w:val="none" w:sz="0" w:space="0" w:color="auto"/>
        <w:bottom w:val="none" w:sz="0" w:space="0" w:color="auto"/>
        <w:right w:val="none" w:sz="0" w:space="0" w:color="auto"/>
      </w:divBdr>
    </w:div>
    <w:div w:id="1732263401">
      <w:bodyDiv w:val="1"/>
      <w:marLeft w:val="0"/>
      <w:marRight w:val="0"/>
      <w:marTop w:val="0"/>
      <w:marBottom w:val="0"/>
      <w:divBdr>
        <w:top w:val="none" w:sz="0" w:space="0" w:color="auto"/>
        <w:left w:val="none" w:sz="0" w:space="0" w:color="auto"/>
        <w:bottom w:val="none" w:sz="0" w:space="0" w:color="auto"/>
        <w:right w:val="none" w:sz="0" w:space="0" w:color="auto"/>
      </w:divBdr>
    </w:div>
    <w:div w:id="1732267984">
      <w:bodyDiv w:val="1"/>
      <w:marLeft w:val="0"/>
      <w:marRight w:val="0"/>
      <w:marTop w:val="0"/>
      <w:marBottom w:val="0"/>
      <w:divBdr>
        <w:top w:val="none" w:sz="0" w:space="0" w:color="auto"/>
        <w:left w:val="none" w:sz="0" w:space="0" w:color="auto"/>
        <w:bottom w:val="none" w:sz="0" w:space="0" w:color="auto"/>
        <w:right w:val="none" w:sz="0" w:space="0" w:color="auto"/>
      </w:divBdr>
    </w:div>
    <w:div w:id="1732384999">
      <w:bodyDiv w:val="1"/>
      <w:marLeft w:val="0"/>
      <w:marRight w:val="0"/>
      <w:marTop w:val="0"/>
      <w:marBottom w:val="0"/>
      <w:divBdr>
        <w:top w:val="none" w:sz="0" w:space="0" w:color="auto"/>
        <w:left w:val="none" w:sz="0" w:space="0" w:color="auto"/>
        <w:bottom w:val="none" w:sz="0" w:space="0" w:color="auto"/>
        <w:right w:val="none" w:sz="0" w:space="0" w:color="auto"/>
      </w:divBdr>
    </w:div>
    <w:div w:id="1732534919">
      <w:bodyDiv w:val="1"/>
      <w:marLeft w:val="0"/>
      <w:marRight w:val="0"/>
      <w:marTop w:val="0"/>
      <w:marBottom w:val="0"/>
      <w:divBdr>
        <w:top w:val="none" w:sz="0" w:space="0" w:color="auto"/>
        <w:left w:val="none" w:sz="0" w:space="0" w:color="auto"/>
        <w:bottom w:val="none" w:sz="0" w:space="0" w:color="auto"/>
        <w:right w:val="none" w:sz="0" w:space="0" w:color="auto"/>
      </w:divBdr>
    </w:div>
    <w:div w:id="1732607980">
      <w:bodyDiv w:val="1"/>
      <w:marLeft w:val="0"/>
      <w:marRight w:val="0"/>
      <w:marTop w:val="0"/>
      <w:marBottom w:val="0"/>
      <w:divBdr>
        <w:top w:val="none" w:sz="0" w:space="0" w:color="auto"/>
        <w:left w:val="none" w:sz="0" w:space="0" w:color="auto"/>
        <w:bottom w:val="none" w:sz="0" w:space="0" w:color="auto"/>
        <w:right w:val="none" w:sz="0" w:space="0" w:color="auto"/>
      </w:divBdr>
    </w:div>
    <w:div w:id="1732727901">
      <w:bodyDiv w:val="1"/>
      <w:marLeft w:val="0"/>
      <w:marRight w:val="0"/>
      <w:marTop w:val="0"/>
      <w:marBottom w:val="0"/>
      <w:divBdr>
        <w:top w:val="none" w:sz="0" w:space="0" w:color="auto"/>
        <w:left w:val="none" w:sz="0" w:space="0" w:color="auto"/>
        <w:bottom w:val="none" w:sz="0" w:space="0" w:color="auto"/>
        <w:right w:val="none" w:sz="0" w:space="0" w:color="auto"/>
      </w:divBdr>
    </w:div>
    <w:div w:id="1733043020">
      <w:bodyDiv w:val="1"/>
      <w:marLeft w:val="0"/>
      <w:marRight w:val="0"/>
      <w:marTop w:val="0"/>
      <w:marBottom w:val="0"/>
      <w:divBdr>
        <w:top w:val="none" w:sz="0" w:space="0" w:color="auto"/>
        <w:left w:val="none" w:sz="0" w:space="0" w:color="auto"/>
        <w:bottom w:val="none" w:sz="0" w:space="0" w:color="auto"/>
        <w:right w:val="none" w:sz="0" w:space="0" w:color="auto"/>
      </w:divBdr>
    </w:div>
    <w:div w:id="1733112943">
      <w:bodyDiv w:val="1"/>
      <w:marLeft w:val="0"/>
      <w:marRight w:val="0"/>
      <w:marTop w:val="0"/>
      <w:marBottom w:val="0"/>
      <w:divBdr>
        <w:top w:val="none" w:sz="0" w:space="0" w:color="auto"/>
        <w:left w:val="none" w:sz="0" w:space="0" w:color="auto"/>
        <w:bottom w:val="none" w:sz="0" w:space="0" w:color="auto"/>
        <w:right w:val="none" w:sz="0" w:space="0" w:color="auto"/>
      </w:divBdr>
    </w:div>
    <w:div w:id="1733189626">
      <w:bodyDiv w:val="1"/>
      <w:marLeft w:val="0"/>
      <w:marRight w:val="0"/>
      <w:marTop w:val="0"/>
      <w:marBottom w:val="0"/>
      <w:divBdr>
        <w:top w:val="none" w:sz="0" w:space="0" w:color="auto"/>
        <w:left w:val="none" w:sz="0" w:space="0" w:color="auto"/>
        <w:bottom w:val="none" w:sz="0" w:space="0" w:color="auto"/>
        <w:right w:val="none" w:sz="0" w:space="0" w:color="auto"/>
      </w:divBdr>
    </w:div>
    <w:div w:id="1733388923">
      <w:bodyDiv w:val="1"/>
      <w:marLeft w:val="0"/>
      <w:marRight w:val="0"/>
      <w:marTop w:val="0"/>
      <w:marBottom w:val="0"/>
      <w:divBdr>
        <w:top w:val="none" w:sz="0" w:space="0" w:color="auto"/>
        <w:left w:val="none" w:sz="0" w:space="0" w:color="auto"/>
        <w:bottom w:val="none" w:sz="0" w:space="0" w:color="auto"/>
        <w:right w:val="none" w:sz="0" w:space="0" w:color="auto"/>
      </w:divBdr>
    </w:div>
    <w:div w:id="1733580785">
      <w:bodyDiv w:val="1"/>
      <w:marLeft w:val="0"/>
      <w:marRight w:val="0"/>
      <w:marTop w:val="0"/>
      <w:marBottom w:val="0"/>
      <w:divBdr>
        <w:top w:val="none" w:sz="0" w:space="0" w:color="auto"/>
        <w:left w:val="none" w:sz="0" w:space="0" w:color="auto"/>
        <w:bottom w:val="none" w:sz="0" w:space="0" w:color="auto"/>
        <w:right w:val="none" w:sz="0" w:space="0" w:color="auto"/>
      </w:divBdr>
    </w:div>
    <w:div w:id="1734114097">
      <w:bodyDiv w:val="1"/>
      <w:marLeft w:val="0"/>
      <w:marRight w:val="0"/>
      <w:marTop w:val="0"/>
      <w:marBottom w:val="0"/>
      <w:divBdr>
        <w:top w:val="none" w:sz="0" w:space="0" w:color="auto"/>
        <w:left w:val="none" w:sz="0" w:space="0" w:color="auto"/>
        <w:bottom w:val="none" w:sz="0" w:space="0" w:color="auto"/>
        <w:right w:val="none" w:sz="0" w:space="0" w:color="auto"/>
      </w:divBdr>
    </w:div>
    <w:div w:id="1734431123">
      <w:bodyDiv w:val="1"/>
      <w:marLeft w:val="0"/>
      <w:marRight w:val="0"/>
      <w:marTop w:val="0"/>
      <w:marBottom w:val="0"/>
      <w:divBdr>
        <w:top w:val="none" w:sz="0" w:space="0" w:color="auto"/>
        <w:left w:val="none" w:sz="0" w:space="0" w:color="auto"/>
        <w:bottom w:val="none" w:sz="0" w:space="0" w:color="auto"/>
        <w:right w:val="none" w:sz="0" w:space="0" w:color="auto"/>
      </w:divBdr>
    </w:div>
    <w:div w:id="1734544883">
      <w:bodyDiv w:val="1"/>
      <w:marLeft w:val="0"/>
      <w:marRight w:val="0"/>
      <w:marTop w:val="0"/>
      <w:marBottom w:val="0"/>
      <w:divBdr>
        <w:top w:val="none" w:sz="0" w:space="0" w:color="auto"/>
        <w:left w:val="none" w:sz="0" w:space="0" w:color="auto"/>
        <w:bottom w:val="none" w:sz="0" w:space="0" w:color="auto"/>
        <w:right w:val="none" w:sz="0" w:space="0" w:color="auto"/>
      </w:divBdr>
    </w:div>
    <w:div w:id="1734573345">
      <w:bodyDiv w:val="1"/>
      <w:marLeft w:val="0"/>
      <w:marRight w:val="0"/>
      <w:marTop w:val="0"/>
      <w:marBottom w:val="0"/>
      <w:divBdr>
        <w:top w:val="none" w:sz="0" w:space="0" w:color="auto"/>
        <w:left w:val="none" w:sz="0" w:space="0" w:color="auto"/>
        <w:bottom w:val="none" w:sz="0" w:space="0" w:color="auto"/>
        <w:right w:val="none" w:sz="0" w:space="0" w:color="auto"/>
      </w:divBdr>
    </w:div>
    <w:div w:id="1734739683">
      <w:bodyDiv w:val="1"/>
      <w:marLeft w:val="0"/>
      <w:marRight w:val="0"/>
      <w:marTop w:val="0"/>
      <w:marBottom w:val="0"/>
      <w:divBdr>
        <w:top w:val="none" w:sz="0" w:space="0" w:color="auto"/>
        <w:left w:val="none" w:sz="0" w:space="0" w:color="auto"/>
        <w:bottom w:val="none" w:sz="0" w:space="0" w:color="auto"/>
        <w:right w:val="none" w:sz="0" w:space="0" w:color="auto"/>
      </w:divBdr>
    </w:div>
    <w:div w:id="1734964251">
      <w:bodyDiv w:val="1"/>
      <w:marLeft w:val="0"/>
      <w:marRight w:val="0"/>
      <w:marTop w:val="0"/>
      <w:marBottom w:val="0"/>
      <w:divBdr>
        <w:top w:val="none" w:sz="0" w:space="0" w:color="auto"/>
        <w:left w:val="none" w:sz="0" w:space="0" w:color="auto"/>
        <w:bottom w:val="none" w:sz="0" w:space="0" w:color="auto"/>
        <w:right w:val="none" w:sz="0" w:space="0" w:color="auto"/>
      </w:divBdr>
    </w:div>
    <w:div w:id="1735156945">
      <w:bodyDiv w:val="1"/>
      <w:marLeft w:val="0"/>
      <w:marRight w:val="0"/>
      <w:marTop w:val="0"/>
      <w:marBottom w:val="0"/>
      <w:divBdr>
        <w:top w:val="none" w:sz="0" w:space="0" w:color="auto"/>
        <w:left w:val="none" w:sz="0" w:space="0" w:color="auto"/>
        <w:bottom w:val="none" w:sz="0" w:space="0" w:color="auto"/>
        <w:right w:val="none" w:sz="0" w:space="0" w:color="auto"/>
      </w:divBdr>
    </w:div>
    <w:div w:id="1735203390">
      <w:bodyDiv w:val="1"/>
      <w:marLeft w:val="0"/>
      <w:marRight w:val="0"/>
      <w:marTop w:val="0"/>
      <w:marBottom w:val="0"/>
      <w:divBdr>
        <w:top w:val="none" w:sz="0" w:space="0" w:color="auto"/>
        <w:left w:val="none" w:sz="0" w:space="0" w:color="auto"/>
        <w:bottom w:val="none" w:sz="0" w:space="0" w:color="auto"/>
        <w:right w:val="none" w:sz="0" w:space="0" w:color="auto"/>
      </w:divBdr>
    </w:div>
    <w:div w:id="1735398134">
      <w:bodyDiv w:val="1"/>
      <w:marLeft w:val="0"/>
      <w:marRight w:val="0"/>
      <w:marTop w:val="0"/>
      <w:marBottom w:val="0"/>
      <w:divBdr>
        <w:top w:val="none" w:sz="0" w:space="0" w:color="auto"/>
        <w:left w:val="none" w:sz="0" w:space="0" w:color="auto"/>
        <w:bottom w:val="none" w:sz="0" w:space="0" w:color="auto"/>
        <w:right w:val="none" w:sz="0" w:space="0" w:color="auto"/>
      </w:divBdr>
    </w:div>
    <w:div w:id="1735466395">
      <w:bodyDiv w:val="1"/>
      <w:marLeft w:val="0"/>
      <w:marRight w:val="0"/>
      <w:marTop w:val="0"/>
      <w:marBottom w:val="0"/>
      <w:divBdr>
        <w:top w:val="none" w:sz="0" w:space="0" w:color="auto"/>
        <w:left w:val="none" w:sz="0" w:space="0" w:color="auto"/>
        <w:bottom w:val="none" w:sz="0" w:space="0" w:color="auto"/>
        <w:right w:val="none" w:sz="0" w:space="0" w:color="auto"/>
      </w:divBdr>
    </w:div>
    <w:div w:id="1735547744">
      <w:bodyDiv w:val="1"/>
      <w:marLeft w:val="0"/>
      <w:marRight w:val="0"/>
      <w:marTop w:val="0"/>
      <w:marBottom w:val="0"/>
      <w:divBdr>
        <w:top w:val="none" w:sz="0" w:space="0" w:color="auto"/>
        <w:left w:val="none" w:sz="0" w:space="0" w:color="auto"/>
        <w:bottom w:val="none" w:sz="0" w:space="0" w:color="auto"/>
        <w:right w:val="none" w:sz="0" w:space="0" w:color="auto"/>
      </w:divBdr>
    </w:div>
    <w:div w:id="1736277432">
      <w:bodyDiv w:val="1"/>
      <w:marLeft w:val="0"/>
      <w:marRight w:val="0"/>
      <w:marTop w:val="0"/>
      <w:marBottom w:val="0"/>
      <w:divBdr>
        <w:top w:val="none" w:sz="0" w:space="0" w:color="auto"/>
        <w:left w:val="none" w:sz="0" w:space="0" w:color="auto"/>
        <w:bottom w:val="none" w:sz="0" w:space="0" w:color="auto"/>
        <w:right w:val="none" w:sz="0" w:space="0" w:color="auto"/>
      </w:divBdr>
    </w:div>
    <w:div w:id="1736509027">
      <w:bodyDiv w:val="1"/>
      <w:marLeft w:val="0"/>
      <w:marRight w:val="0"/>
      <w:marTop w:val="0"/>
      <w:marBottom w:val="0"/>
      <w:divBdr>
        <w:top w:val="none" w:sz="0" w:space="0" w:color="auto"/>
        <w:left w:val="none" w:sz="0" w:space="0" w:color="auto"/>
        <w:bottom w:val="none" w:sz="0" w:space="0" w:color="auto"/>
        <w:right w:val="none" w:sz="0" w:space="0" w:color="auto"/>
      </w:divBdr>
    </w:div>
    <w:div w:id="1736586326">
      <w:bodyDiv w:val="1"/>
      <w:marLeft w:val="0"/>
      <w:marRight w:val="0"/>
      <w:marTop w:val="0"/>
      <w:marBottom w:val="0"/>
      <w:divBdr>
        <w:top w:val="none" w:sz="0" w:space="0" w:color="auto"/>
        <w:left w:val="none" w:sz="0" w:space="0" w:color="auto"/>
        <w:bottom w:val="none" w:sz="0" w:space="0" w:color="auto"/>
        <w:right w:val="none" w:sz="0" w:space="0" w:color="auto"/>
      </w:divBdr>
    </w:div>
    <w:div w:id="1736589092">
      <w:bodyDiv w:val="1"/>
      <w:marLeft w:val="0"/>
      <w:marRight w:val="0"/>
      <w:marTop w:val="0"/>
      <w:marBottom w:val="0"/>
      <w:divBdr>
        <w:top w:val="none" w:sz="0" w:space="0" w:color="auto"/>
        <w:left w:val="none" w:sz="0" w:space="0" w:color="auto"/>
        <w:bottom w:val="none" w:sz="0" w:space="0" w:color="auto"/>
        <w:right w:val="none" w:sz="0" w:space="0" w:color="auto"/>
      </w:divBdr>
    </w:div>
    <w:div w:id="1736657429">
      <w:bodyDiv w:val="1"/>
      <w:marLeft w:val="0"/>
      <w:marRight w:val="0"/>
      <w:marTop w:val="0"/>
      <w:marBottom w:val="0"/>
      <w:divBdr>
        <w:top w:val="none" w:sz="0" w:space="0" w:color="auto"/>
        <w:left w:val="none" w:sz="0" w:space="0" w:color="auto"/>
        <w:bottom w:val="none" w:sz="0" w:space="0" w:color="auto"/>
        <w:right w:val="none" w:sz="0" w:space="0" w:color="auto"/>
      </w:divBdr>
    </w:div>
    <w:div w:id="1737044055">
      <w:bodyDiv w:val="1"/>
      <w:marLeft w:val="0"/>
      <w:marRight w:val="0"/>
      <w:marTop w:val="0"/>
      <w:marBottom w:val="0"/>
      <w:divBdr>
        <w:top w:val="none" w:sz="0" w:space="0" w:color="auto"/>
        <w:left w:val="none" w:sz="0" w:space="0" w:color="auto"/>
        <w:bottom w:val="none" w:sz="0" w:space="0" w:color="auto"/>
        <w:right w:val="none" w:sz="0" w:space="0" w:color="auto"/>
      </w:divBdr>
    </w:div>
    <w:div w:id="1737243280">
      <w:bodyDiv w:val="1"/>
      <w:marLeft w:val="0"/>
      <w:marRight w:val="0"/>
      <w:marTop w:val="0"/>
      <w:marBottom w:val="0"/>
      <w:divBdr>
        <w:top w:val="none" w:sz="0" w:space="0" w:color="auto"/>
        <w:left w:val="none" w:sz="0" w:space="0" w:color="auto"/>
        <w:bottom w:val="none" w:sz="0" w:space="0" w:color="auto"/>
        <w:right w:val="none" w:sz="0" w:space="0" w:color="auto"/>
      </w:divBdr>
    </w:div>
    <w:div w:id="1737513701">
      <w:bodyDiv w:val="1"/>
      <w:marLeft w:val="0"/>
      <w:marRight w:val="0"/>
      <w:marTop w:val="0"/>
      <w:marBottom w:val="0"/>
      <w:divBdr>
        <w:top w:val="none" w:sz="0" w:space="0" w:color="auto"/>
        <w:left w:val="none" w:sz="0" w:space="0" w:color="auto"/>
        <w:bottom w:val="none" w:sz="0" w:space="0" w:color="auto"/>
        <w:right w:val="none" w:sz="0" w:space="0" w:color="auto"/>
      </w:divBdr>
    </w:div>
    <w:div w:id="1738163898">
      <w:bodyDiv w:val="1"/>
      <w:marLeft w:val="0"/>
      <w:marRight w:val="0"/>
      <w:marTop w:val="0"/>
      <w:marBottom w:val="0"/>
      <w:divBdr>
        <w:top w:val="none" w:sz="0" w:space="0" w:color="auto"/>
        <w:left w:val="none" w:sz="0" w:space="0" w:color="auto"/>
        <w:bottom w:val="none" w:sz="0" w:space="0" w:color="auto"/>
        <w:right w:val="none" w:sz="0" w:space="0" w:color="auto"/>
      </w:divBdr>
    </w:div>
    <w:div w:id="1738167114">
      <w:bodyDiv w:val="1"/>
      <w:marLeft w:val="0"/>
      <w:marRight w:val="0"/>
      <w:marTop w:val="0"/>
      <w:marBottom w:val="0"/>
      <w:divBdr>
        <w:top w:val="none" w:sz="0" w:space="0" w:color="auto"/>
        <w:left w:val="none" w:sz="0" w:space="0" w:color="auto"/>
        <w:bottom w:val="none" w:sz="0" w:space="0" w:color="auto"/>
        <w:right w:val="none" w:sz="0" w:space="0" w:color="auto"/>
      </w:divBdr>
    </w:div>
    <w:div w:id="1738481240">
      <w:bodyDiv w:val="1"/>
      <w:marLeft w:val="0"/>
      <w:marRight w:val="0"/>
      <w:marTop w:val="0"/>
      <w:marBottom w:val="0"/>
      <w:divBdr>
        <w:top w:val="none" w:sz="0" w:space="0" w:color="auto"/>
        <w:left w:val="none" w:sz="0" w:space="0" w:color="auto"/>
        <w:bottom w:val="none" w:sz="0" w:space="0" w:color="auto"/>
        <w:right w:val="none" w:sz="0" w:space="0" w:color="auto"/>
      </w:divBdr>
    </w:div>
    <w:div w:id="1738623445">
      <w:bodyDiv w:val="1"/>
      <w:marLeft w:val="0"/>
      <w:marRight w:val="0"/>
      <w:marTop w:val="0"/>
      <w:marBottom w:val="0"/>
      <w:divBdr>
        <w:top w:val="none" w:sz="0" w:space="0" w:color="auto"/>
        <w:left w:val="none" w:sz="0" w:space="0" w:color="auto"/>
        <w:bottom w:val="none" w:sz="0" w:space="0" w:color="auto"/>
        <w:right w:val="none" w:sz="0" w:space="0" w:color="auto"/>
      </w:divBdr>
    </w:div>
    <w:div w:id="1739135624">
      <w:bodyDiv w:val="1"/>
      <w:marLeft w:val="0"/>
      <w:marRight w:val="0"/>
      <w:marTop w:val="0"/>
      <w:marBottom w:val="0"/>
      <w:divBdr>
        <w:top w:val="none" w:sz="0" w:space="0" w:color="auto"/>
        <w:left w:val="none" w:sz="0" w:space="0" w:color="auto"/>
        <w:bottom w:val="none" w:sz="0" w:space="0" w:color="auto"/>
        <w:right w:val="none" w:sz="0" w:space="0" w:color="auto"/>
      </w:divBdr>
    </w:div>
    <w:div w:id="1739284277">
      <w:bodyDiv w:val="1"/>
      <w:marLeft w:val="0"/>
      <w:marRight w:val="0"/>
      <w:marTop w:val="0"/>
      <w:marBottom w:val="0"/>
      <w:divBdr>
        <w:top w:val="none" w:sz="0" w:space="0" w:color="auto"/>
        <w:left w:val="none" w:sz="0" w:space="0" w:color="auto"/>
        <w:bottom w:val="none" w:sz="0" w:space="0" w:color="auto"/>
        <w:right w:val="none" w:sz="0" w:space="0" w:color="auto"/>
      </w:divBdr>
    </w:div>
    <w:div w:id="1739395814">
      <w:bodyDiv w:val="1"/>
      <w:marLeft w:val="0"/>
      <w:marRight w:val="0"/>
      <w:marTop w:val="0"/>
      <w:marBottom w:val="0"/>
      <w:divBdr>
        <w:top w:val="none" w:sz="0" w:space="0" w:color="auto"/>
        <w:left w:val="none" w:sz="0" w:space="0" w:color="auto"/>
        <w:bottom w:val="none" w:sz="0" w:space="0" w:color="auto"/>
        <w:right w:val="none" w:sz="0" w:space="0" w:color="auto"/>
      </w:divBdr>
    </w:div>
    <w:div w:id="1739397286">
      <w:bodyDiv w:val="1"/>
      <w:marLeft w:val="0"/>
      <w:marRight w:val="0"/>
      <w:marTop w:val="0"/>
      <w:marBottom w:val="0"/>
      <w:divBdr>
        <w:top w:val="none" w:sz="0" w:space="0" w:color="auto"/>
        <w:left w:val="none" w:sz="0" w:space="0" w:color="auto"/>
        <w:bottom w:val="none" w:sz="0" w:space="0" w:color="auto"/>
        <w:right w:val="none" w:sz="0" w:space="0" w:color="auto"/>
      </w:divBdr>
    </w:div>
    <w:div w:id="1739472901">
      <w:bodyDiv w:val="1"/>
      <w:marLeft w:val="0"/>
      <w:marRight w:val="0"/>
      <w:marTop w:val="0"/>
      <w:marBottom w:val="0"/>
      <w:divBdr>
        <w:top w:val="none" w:sz="0" w:space="0" w:color="auto"/>
        <w:left w:val="none" w:sz="0" w:space="0" w:color="auto"/>
        <w:bottom w:val="none" w:sz="0" w:space="0" w:color="auto"/>
        <w:right w:val="none" w:sz="0" w:space="0" w:color="auto"/>
      </w:divBdr>
    </w:div>
    <w:div w:id="1739788993">
      <w:bodyDiv w:val="1"/>
      <w:marLeft w:val="0"/>
      <w:marRight w:val="0"/>
      <w:marTop w:val="0"/>
      <w:marBottom w:val="0"/>
      <w:divBdr>
        <w:top w:val="none" w:sz="0" w:space="0" w:color="auto"/>
        <w:left w:val="none" w:sz="0" w:space="0" w:color="auto"/>
        <w:bottom w:val="none" w:sz="0" w:space="0" w:color="auto"/>
        <w:right w:val="none" w:sz="0" w:space="0" w:color="auto"/>
      </w:divBdr>
    </w:div>
    <w:div w:id="1739860470">
      <w:bodyDiv w:val="1"/>
      <w:marLeft w:val="0"/>
      <w:marRight w:val="0"/>
      <w:marTop w:val="0"/>
      <w:marBottom w:val="0"/>
      <w:divBdr>
        <w:top w:val="none" w:sz="0" w:space="0" w:color="auto"/>
        <w:left w:val="none" w:sz="0" w:space="0" w:color="auto"/>
        <w:bottom w:val="none" w:sz="0" w:space="0" w:color="auto"/>
        <w:right w:val="none" w:sz="0" w:space="0" w:color="auto"/>
      </w:divBdr>
    </w:div>
    <w:div w:id="1739936108">
      <w:bodyDiv w:val="1"/>
      <w:marLeft w:val="0"/>
      <w:marRight w:val="0"/>
      <w:marTop w:val="0"/>
      <w:marBottom w:val="0"/>
      <w:divBdr>
        <w:top w:val="none" w:sz="0" w:space="0" w:color="auto"/>
        <w:left w:val="none" w:sz="0" w:space="0" w:color="auto"/>
        <w:bottom w:val="none" w:sz="0" w:space="0" w:color="auto"/>
        <w:right w:val="none" w:sz="0" w:space="0" w:color="auto"/>
      </w:divBdr>
    </w:div>
    <w:div w:id="1740244963">
      <w:bodyDiv w:val="1"/>
      <w:marLeft w:val="0"/>
      <w:marRight w:val="0"/>
      <w:marTop w:val="0"/>
      <w:marBottom w:val="0"/>
      <w:divBdr>
        <w:top w:val="none" w:sz="0" w:space="0" w:color="auto"/>
        <w:left w:val="none" w:sz="0" w:space="0" w:color="auto"/>
        <w:bottom w:val="none" w:sz="0" w:space="0" w:color="auto"/>
        <w:right w:val="none" w:sz="0" w:space="0" w:color="auto"/>
      </w:divBdr>
    </w:div>
    <w:div w:id="1740319991">
      <w:bodyDiv w:val="1"/>
      <w:marLeft w:val="0"/>
      <w:marRight w:val="0"/>
      <w:marTop w:val="0"/>
      <w:marBottom w:val="0"/>
      <w:divBdr>
        <w:top w:val="none" w:sz="0" w:space="0" w:color="auto"/>
        <w:left w:val="none" w:sz="0" w:space="0" w:color="auto"/>
        <w:bottom w:val="none" w:sz="0" w:space="0" w:color="auto"/>
        <w:right w:val="none" w:sz="0" w:space="0" w:color="auto"/>
      </w:divBdr>
    </w:div>
    <w:div w:id="1740711470">
      <w:bodyDiv w:val="1"/>
      <w:marLeft w:val="0"/>
      <w:marRight w:val="0"/>
      <w:marTop w:val="0"/>
      <w:marBottom w:val="0"/>
      <w:divBdr>
        <w:top w:val="none" w:sz="0" w:space="0" w:color="auto"/>
        <w:left w:val="none" w:sz="0" w:space="0" w:color="auto"/>
        <w:bottom w:val="none" w:sz="0" w:space="0" w:color="auto"/>
        <w:right w:val="none" w:sz="0" w:space="0" w:color="auto"/>
      </w:divBdr>
    </w:div>
    <w:div w:id="1740857707">
      <w:bodyDiv w:val="1"/>
      <w:marLeft w:val="0"/>
      <w:marRight w:val="0"/>
      <w:marTop w:val="0"/>
      <w:marBottom w:val="0"/>
      <w:divBdr>
        <w:top w:val="none" w:sz="0" w:space="0" w:color="auto"/>
        <w:left w:val="none" w:sz="0" w:space="0" w:color="auto"/>
        <w:bottom w:val="none" w:sz="0" w:space="0" w:color="auto"/>
        <w:right w:val="none" w:sz="0" w:space="0" w:color="auto"/>
      </w:divBdr>
    </w:div>
    <w:div w:id="1740863283">
      <w:bodyDiv w:val="1"/>
      <w:marLeft w:val="0"/>
      <w:marRight w:val="0"/>
      <w:marTop w:val="0"/>
      <w:marBottom w:val="0"/>
      <w:divBdr>
        <w:top w:val="none" w:sz="0" w:space="0" w:color="auto"/>
        <w:left w:val="none" w:sz="0" w:space="0" w:color="auto"/>
        <w:bottom w:val="none" w:sz="0" w:space="0" w:color="auto"/>
        <w:right w:val="none" w:sz="0" w:space="0" w:color="auto"/>
      </w:divBdr>
    </w:div>
    <w:div w:id="1741097611">
      <w:bodyDiv w:val="1"/>
      <w:marLeft w:val="0"/>
      <w:marRight w:val="0"/>
      <w:marTop w:val="0"/>
      <w:marBottom w:val="0"/>
      <w:divBdr>
        <w:top w:val="none" w:sz="0" w:space="0" w:color="auto"/>
        <w:left w:val="none" w:sz="0" w:space="0" w:color="auto"/>
        <w:bottom w:val="none" w:sz="0" w:space="0" w:color="auto"/>
        <w:right w:val="none" w:sz="0" w:space="0" w:color="auto"/>
      </w:divBdr>
    </w:div>
    <w:div w:id="1741174300">
      <w:bodyDiv w:val="1"/>
      <w:marLeft w:val="0"/>
      <w:marRight w:val="0"/>
      <w:marTop w:val="0"/>
      <w:marBottom w:val="0"/>
      <w:divBdr>
        <w:top w:val="none" w:sz="0" w:space="0" w:color="auto"/>
        <w:left w:val="none" w:sz="0" w:space="0" w:color="auto"/>
        <w:bottom w:val="none" w:sz="0" w:space="0" w:color="auto"/>
        <w:right w:val="none" w:sz="0" w:space="0" w:color="auto"/>
      </w:divBdr>
    </w:div>
    <w:div w:id="1741321929">
      <w:bodyDiv w:val="1"/>
      <w:marLeft w:val="0"/>
      <w:marRight w:val="0"/>
      <w:marTop w:val="0"/>
      <w:marBottom w:val="0"/>
      <w:divBdr>
        <w:top w:val="none" w:sz="0" w:space="0" w:color="auto"/>
        <w:left w:val="none" w:sz="0" w:space="0" w:color="auto"/>
        <w:bottom w:val="none" w:sz="0" w:space="0" w:color="auto"/>
        <w:right w:val="none" w:sz="0" w:space="0" w:color="auto"/>
      </w:divBdr>
    </w:div>
    <w:div w:id="1741370128">
      <w:bodyDiv w:val="1"/>
      <w:marLeft w:val="0"/>
      <w:marRight w:val="0"/>
      <w:marTop w:val="0"/>
      <w:marBottom w:val="0"/>
      <w:divBdr>
        <w:top w:val="none" w:sz="0" w:space="0" w:color="auto"/>
        <w:left w:val="none" w:sz="0" w:space="0" w:color="auto"/>
        <w:bottom w:val="none" w:sz="0" w:space="0" w:color="auto"/>
        <w:right w:val="none" w:sz="0" w:space="0" w:color="auto"/>
      </w:divBdr>
    </w:div>
    <w:div w:id="1741512983">
      <w:bodyDiv w:val="1"/>
      <w:marLeft w:val="0"/>
      <w:marRight w:val="0"/>
      <w:marTop w:val="0"/>
      <w:marBottom w:val="0"/>
      <w:divBdr>
        <w:top w:val="none" w:sz="0" w:space="0" w:color="auto"/>
        <w:left w:val="none" w:sz="0" w:space="0" w:color="auto"/>
        <w:bottom w:val="none" w:sz="0" w:space="0" w:color="auto"/>
        <w:right w:val="none" w:sz="0" w:space="0" w:color="auto"/>
      </w:divBdr>
    </w:div>
    <w:div w:id="1741555562">
      <w:bodyDiv w:val="1"/>
      <w:marLeft w:val="0"/>
      <w:marRight w:val="0"/>
      <w:marTop w:val="0"/>
      <w:marBottom w:val="0"/>
      <w:divBdr>
        <w:top w:val="none" w:sz="0" w:space="0" w:color="auto"/>
        <w:left w:val="none" w:sz="0" w:space="0" w:color="auto"/>
        <w:bottom w:val="none" w:sz="0" w:space="0" w:color="auto"/>
        <w:right w:val="none" w:sz="0" w:space="0" w:color="auto"/>
      </w:divBdr>
    </w:div>
    <w:div w:id="1741639791">
      <w:bodyDiv w:val="1"/>
      <w:marLeft w:val="0"/>
      <w:marRight w:val="0"/>
      <w:marTop w:val="0"/>
      <w:marBottom w:val="0"/>
      <w:divBdr>
        <w:top w:val="none" w:sz="0" w:space="0" w:color="auto"/>
        <w:left w:val="none" w:sz="0" w:space="0" w:color="auto"/>
        <w:bottom w:val="none" w:sz="0" w:space="0" w:color="auto"/>
        <w:right w:val="none" w:sz="0" w:space="0" w:color="auto"/>
      </w:divBdr>
    </w:div>
    <w:div w:id="1742094802">
      <w:bodyDiv w:val="1"/>
      <w:marLeft w:val="0"/>
      <w:marRight w:val="0"/>
      <w:marTop w:val="0"/>
      <w:marBottom w:val="0"/>
      <w:divBdr>
        <w:top w:val="none" w:sz="0" w:space="0" w:color="auto"/>
        <w:left w:val="none" w:sz="0" w:space="0" w:color="auto"/>
        <w:bottom w:val="none" w:sz="0" w:space="0" w:color="auto"/>
        <w:right w:val="none" w:sz="0" w:space="0" w:color="auto"/>
      </w:divBdr>
    </w:div>
    <w:div w:id="1742169424">
      <w:bodyDiv w:val="1"/>
      <w:marLeft w:val="0"/>
      <w:marRight w:val="0"/>
      <w:marTop w:val="0"/>
      <w:marBottom w:val="0"/>
      <w:divBdr>
        <w:top w:val="none" w:sz="0" w:space="0" w:color="auto"/>
        <w:left w:val="none" w:sz="0" w:space="0" w:color="auto"/>
        <w:bottom w:val="none" w:sz="0" w:space="0" w:color="auto"/>
        <w:right w:val="none" w:sz="0" w:space="0" w:color="auto"/>
      </w:divBdr>
    </w:div>
    <w:div w:id="1742213313">
      <w:bodyDiv w:val="1"/>
      <w:marLeft w:val="0"/>
      <w:marRight w:val="0"/>
      <w:marTop w:val="0"/>
      <w:marBottom w:val="0"/>
      <w:divBdr>
        <w:top w:val="none" w:sz="0" w:space="0" w:color="auto"/>
        <w:left w:val="none" w:sz="0" w:space="0" w:color="auto"/>
        <w:bottom w:val="none" w:sz="0" w:space="0" w:color="auto"/>
        <w:right w:val="none" w:sz="0" w:space="0" w:color="auto"/>
      </w:divBdr>
    </w:div>
    <w:div w:id="1742633263">
      <w:bodyDiv w:val="1"/>
      <w:marLeft w:val="0"/>
      <w:marRight w:val="0"/>
      <w:marTop w:val="0"/>
      <w:marBottom w:val="0"/>
      <w:divBdr>
        <w:top w:val="none" w:sz="0" w:space="0" w:color="auto"/>
        <w:left w:val="none" w:sz="0" w:space="0" w:color="auto"/>
        <w:bottom w:val="none" w:sz="0" w:space="0" w:color="auto"/>
        <w:right w:val="none" w:sz="0" w:space="0" w:color="auto"/>
      </w:divBdr>
    </w:div>
    <w:div w:id="1742824540">
      <w:bodyDiv w:val="1"/>
      <w:marLeft w:val="0"/>
      <w:marRight w:val="0"/>
      <w:marTop w:val="0"/>
      <w:marBottom w:val="0"/>
      <w:divBdr>
        <w:top w:val="none" w:sz="0" w:space="0" w:color="auto"/>
        <w:left w:val="none" w:sz="0" w:space="0" w:color="auto"/>
        <w:bottom w:val="none" w:sz="0" w:space="0" w:color="auto"/>
        <w:right w:val="none" w:sz="0" w:space="0" w:color="auto"/>
      </w:divBdr>
    </w:div>
    <w:div w:id="1742829436">
      <w:bodyDiv w:val="1"/>
      <w:marLeft w:val="0"/>
      <w:marRight w:val="0"/>
      <w:marTop w:val="0"/>
      <w:marBottom w:val="0"/>
      <w:divBdr>
        <w:top w:val="none" w:sz="0" w:space="0" w:color="auto"/>
        <w:left w:val="none" w:sz="0" w:space="0" w:color="auto"/>
        <w:bottom w:val="none" w:sz="0" w:space="0" w:color="auto"/>
        <w:right w:val="none" w:sz="0" w:space="0" w:color="auto"/>
      </w:divBdr>
    </w:div>
    <w:div w:id="1743067640">
      <w:bodyDiv w:val="1"/>
      <w:marLeft w:val="0"/>
      <w:marRight w:val="0"/>
      <w:marTop w:val="0"/>
      <w:marBottom w:val="0"/>
      <w:divBdr>
        <w:top w:val="none" w:sz="0" w:space="0" w:color="auto"/>
        <w:left w:val="none" w:sz="0" w:space="0" w:color="auto"/>
        <w:bottom w:val="none" w:sz="0" w:space="0" w:color="auto"/>
        <w:right w:val="none" w:sz="0" w:space="0" w:color="auto"/>
      </w:divBdr>
    </w:div>
    <w:div w:id="1743138547">
      <w:bodyDiv w:val="1"/>
      <w:marLeft w:val="0"/>
      <w:marRight w:val="0"/>
      <w:marTop w:val="0"/>
      <w:marBottom w:val="0"/>
      <w:divBdr>
        <w:top w:val="none" w:sz="0" w:space="0" w:color="auto"/>
        <w:left w:val="none" w:sz="0" w:space="0" w:color="auto"/>
        <w:bottom w:val="none" w:sz="0" w:space="0" w:color="auto"/>
        <w:right w:val="none" w:sz="0" w:space="0" w:color="auto"/>
      </w:divBdr>
    </w:div>
    <w:div w:id="1743674859">
      <w:bodyDiv w:val="1"/>
      <w:marLeft w:val="0"/>
      <w:marRight w:val="0"/>
      <w:marTop w:val="0"/>
      <w:marBottom w:val="0"/>
      <w:divBdr>
        <w:top w:val="none" w:sz="0" w:space="0" w:color="auto"/>
        <w:left w:val="none" w:sz="0" w:space="0" w:color="auto"/>
        <w:bottom w:val="none" w:sz="0" w:space="0" w:color="auto"/>
        <w:right w:val="none" w:sz="0" w:space="0" w:color="auto"/>
      </w:divBdr>
    </w:div>
    <w:div w:id="1743873316">
      <w:bodyDiv w:val="1"/>
      <w:marLeft w:val="0"/>
      <w:marRight w:val="0"/>
      <w:marTop w:val="0"/>
      <w:marBottom w:val="0"/>
      <w:divBdr>
        <w:top w:val="none" w:sz="0" w:space="0" w:color="auto"/>
        <w:left w:val="none" w:sz="0" w:space="0" w:color="auto"/>
        <w:bottom w:val="none" w:sz="0" w:space="0" w:color="auto"/>
        <w:right w:val="none" w:sz="0" w:space="0" w:color="auto"/>
      </w:divBdr>
    </w:div>
    <w:div w:id="1743983261">
      <w:bodyDiv w:val="1"/>
      <w:marLeft w:val="0"/>
      <w:marRight w:val="0"/>
      <w:marTop w:val="0"/>
      <w:marBottom w:val="0"/>
      <w:divBdr>
        <w:top w:val="none" w:sz="0" w:space="0" w:color="auto"/>
        <w:left w:val="none" w:sz="0" w:space="0" w:color="auto"/>
        <w:bottom w:val="none" w:sz="0" w:space="0" w:color="auto"/>
        <w:right w:val="none" w:sz="0" w:space="0" w:color="auto"/>
      </w:divBdr>
    </w:div>
    <w:div w:id="1744258079">
      <w:bodyDiv w:val="1"/>
      <w:marLeft w:val="0"/>
      <w:marRight w:val="0"/>
      <w:marTop w:val="0"/>
      <w:marBottom w:val="0"/>
      <w:divBdr>
        <w:top w:val="none" w:sz="0" w:space="0" w:color="auto"/>
        <w:left w:val="none" w:sz="0" w:space="0" w:color="auto"/>
        <w:bottom w:val="none" w:sz="0" w:space="0" w:color="auto"/>
        <w:right w:val="none" w:sz="0" w:space="0" w:color="auto"/>
      </w:divBdr>
    </w:div>
    <w:div w:id="1744330368">
      <w:bodyDiv w:val="1"/>
      <w:marLeft w:val="0"/>
      <w:marRight w:val="0"/>
      <w:marTop w:val="0"/>
      <w:marBottom w:val="0"/>
      <w:divBdr>
        <w:top w:val="none" w:sz="0" w:space="0" w:color="auto"/>
        <w:left w:val="none" w:sz="0" w:space="0" w:color="auto"/>
        <w:bottom w:val="none" w:sz="0" w:space="0" w:color="auto"/>
        <w:right w:val="none" w:sz="0" w:space="0" w:color="auto"/>
      </w:divBdr>
    </w:div>
    <w:div w:id="1744336170">
      <w:bodyDiv w:val="1"/>
      <w:marLeft w:val="0"/>
      <w:marRight w:val="0"/>
      <w:marTop w:val="0"/>
      <w:marBottom w:val="0"/>
      <w:divBdr>
        <w:top w:val="none" w:sz="0" w:space="0" w:color="auto"/>
        <w:left w:val="none" w:sz="0" w:space="0" w:color="auto"/>
        <w:bottom w:val="none" w:sz="0" w:space="0" w:color="auto"/>
        <w:right w:val="none" w:sz="0" w:space="0" w:color="auto"/>
      </w:divBdr>
    </w:div>
    <w:div w:id="1744597683">
      <w:bodyDiv w:val="1"/>
      <w:marLeft w:val="0"/>
      <w:marRight w:val="0"/>
      <w:marTop w:val="0"/>
      <w:marBottom w:val="0"/>
      <w:divBdr>
        <w:top w:val="none" w:sz="0" w:space="0" w:color="auto"/>
        <w:left w:val="none" w:sz="0" w:space="0" w:color="auto"/>
        <w:bottom w:val="none" w:sz="0" w:space="0" w:color="auto"/>
        <w:right w:val="none" w:sz="0" w:space="0" w:color="auto"/>
      </w:divBdr>
    </w:div>
    <w:div w:id="1744831978">
      <w:bodyDiv w:val="1"/>
      <w:marLeft w:val="0"/>
      <w:marRight w:val="0"/>
      <w:marTop w:val="0"/>
      <w:marBottom w:val="0"/>
      <w:divBdr>
        <w:top w:val="none" w:sz="0" w:space="0" w:color="auto"/>
        <w:left w:val="none" w:sz="0" w:space="0" w:color="auto"/>
        <w:bottom w:val="none" w:sz="0" w:space="0" w:color="auto"/>
        <w:right w:val="none" w:sz="0" w:space="0" w:color="auto"/>
      </w:divBdr>
    </w:div>
    <w:div w:id="1744832504">
      <w:bodyDiv w:val="1"/>
      <w:marLeft w:val="0"/>
      <w:marRight w:val="0"/>
      <w:marTop w:val="0"/>
      <w:marBottom w:val="0"/>
      <w:divBdr>
        <w:top w:val="none" w:sz="0" w:space="0" w:color="auto"/>
        <w:left w:val="none" w:sz="0" w:space="0" w:color="auto"/>
        <w:bottom w:val="none" w:sz="0" w:space="0" w:color="auto"/>
        <w:right w:val="none" w:sz="0" w:space="0" w:color="auto"/>
      </w:divBdr>
    </w:div>
    <w:div w:id="1744908790">
      <w:bodyDiv w:val="1"/>
      <w:marLeft w:val="0"/>
      <w:marRight w:val="0"/>
      <w:marTop w:val="0"/>
      <w:marBottom w:val="0"/>
      <w:divBdr>
        <w:top w:val="none" w:sz="0" w:space="0" w:color="auto"/>
        <w:left w:val="none" w:sz="0" w:space="0" w:color="auto"/>
        <w:bottom w:val="none" w:sz="0" w:space="0" w:color="auto"/>
        <w:right w:val="none" w:sz="0" w:space="0" w:color="auto"/>
      </w:divBdr>
    </w:div>
    <w:div w:id="1745103887">
      <w:bodyDiv w:val="1"/>
      <w:marLeft w:val="0"/>
      <w:marRight w:val="0"/>
      <w:marTop w:val="0"/>
      <w:marBottom w:val="0"/>
      <w:divBdr>
        <w:top w:val="none" w:sz="0" w:space="0" w:color="auto"/>
        <w:left w:val="none" w:sz="0" w:space="0" w:color="auto"/>
        <w:bottom w:val="none" w:sz="0" w:space="0" w:color="auto"/>
        <w:right w:val="none" w:sz="0" w:space="0" w:color="auto"/>
      </w:divBdr>
    </w:div>
    <w:div w:id="1745109150">
      <w:bodyDiv w:val="1"/>
      <w:marLeft w:val="0"/>
      <w:marRight w:val="0"/>
      <w:marTop w:val="0"/>
      <w:marBottom w:val="0"/>
      <w:divBdr>
        <w:top w:val="none" w:sz="0" w:space="0" w:color="auto"/>
        <w:left w:val="none" w:sz="0" w:space="0" w:color="auto"/>
        <w:bottom w:val="none" w:sz="0" w:space="0" w:color="auto"/>
        <w:right w:val="none" w:sz="0" w:space="0" w:color="auto"/>
      </w:divBdr>
    </w:div>
    <w:div w:id="1745181537">
      <w:bodyDiv w:val="1"/>
      <w:marLeft w:val="0"/>
      <w:marRight w:val="0"/>
      <w:marTop w:val="0"/>
      <w:marBottom w:val="0"/>
      <w:divBdr>
        <w:top w:val="none" w:sz="0" w:space="0" w:color="auto"/>
        <w:left w:val="none" w:sz="0" w:space="0" w:color="auto"/>
        <w:bottom w:val="none" w:sz="0" w:space="0" w:color="auto"/>
        <w:right w:val="none" w:sz="0" w:space="0" w:color="auto"/>
      </w:divBdr>
    </w:div>
    <w:div w:id="1745224629">
      <w:bodyDiv w:val="1"/>
      <w:marLeft w:val="0"/>
      <w:marRight w:val="0"/>
      <w:marTop w:val="0"/>
      <w:marBottom w:val="0"/>
      <w:divBdr>
        <w:top w:val="none" w:sz="0" w:space="0" w:color="auto"/>
        <w:left w:val="none" w:sz="0" w:space="0" w:color="auto"/>
        <w:bottom w:val="none" w:sz="0" w:space="0" w:color="auto"/>
        <w:right w:val="none" w:sz="0" w:space="0" w:color="auto"/>
      </w:divBdr>
    </w:div>
    <w:div w:id="1745642779">
      <w:bodyDiv w:val="1"/>
      <w:marLeft w:val="0"/>
      <w:marRight w:val="0"/>
      <w:marTop w:val="0"/>
      <w:marBottom w:val="0"/>
      <w:divBdr>
        <w:top w:val="none" w:sz="0" w:space="0" w:color="auto"/>
        <w:left w:val="none" w:sz="0" w:space="0" w:color="auto"/>
        <w:bottom w:val="none" w:sz="0" w:space="0" w:color="auto"/>
        <w:right w:val="none" w:sz="0" w:space="0" w:color="auto"/>
      </w:divBdr>
    </w:div>
    <w:div w:id="1745834008">
      <w:bodyDiv w:val="1"/>
      <w:marLeft w:val="0"/>
      <w:marRight w:val="0"/>
      <w:marTop w:val="0"/>
      <w:marBottom w:val="0"/>
      <w:divBdr>
        <w:top w:val="none" w:sz="0" w:space="0" w:color="auto"/>
        <w:left w:val="none" w:sz="0" w:space="0" w:color="auto"/>
        <w:bottom w:val="none" w:sz="0" w:space="0" w:color="auto"/>
        <w:right w:val="none" w:sz="0" w:space="0" w:color="auto"/>
      </w:divBdr>
    </w:div>
    <w:div w:id="1745908210">
      <w:bodyDiv w:val="1"/>
      <w:marLeft w:val="0"/>
      <w:marRight w:val="0"/>
      <w:marTop w:val="0"/>
      <w:marBottom w:val="0"/>
      <w:divBdr>
        <w:top w:val="none" w:sz="0" w:space="0" w:color="auto"/>
        <w:left w:val="none" w:sz="0" w:space="0" w:color="auto"/>
        <w:bottom w:val="none" w:sz="0" w:space="0" w:color="auto"/>
        <w:right w:val="none" w:sz="0" w:space="0" w:color="auto"/>
      </w:divBdr>
    </w:div>
    <w:div w:id="1745948472">
      <w:bodyDiv w:val="1"/>
      <w:marLeft w:val="0"/>
      <w:marRight w:val="0"/>
      <w:marTop w:val="0"/>
      <w:marBottom w:val="0"/>
      <w:divBdr>
        <w:top w:val="none" w:sz="0" w:space="0" w:color="auto"/>
        <w:left w:val="none" w:sz="0" w:space="0" w:color="auto"/>
        <w:bottom w:val="none" w:sz="0" w:space="0" w:color="auto"/>
        <w:right w:val="none" w:sz="0" w:space="0" w:color="auto"/>
      </w:divBdr>
    </w:div>
    <w:div w:id="1746225383">
      <w:bodyDiv w:val="1"/>
      <w:marLeft w:val="0"/>
      <w:marRight w:val="0"/>
      <w:marTop w:val="0"/>
      <w:marBottom w:val="0"/>
      <w:divBdr>
        <w:top w:val="none" w:sz="0" w:space="0" w:color="auto"/>
        <w:left w:val="none" w:sz="0" w:space="0" w:color="auto"/>
        <w:bottom w:val="none" w:sz="0" w:space="0" w:color="auto"/>
        <w:right w:val="none" w:sz="0" w:space="0" w:color="auto"/>
      </w:divBdr>
    </w:div>
    <w:div w:id="1746338534">
      <w:bodyDiv w:val="1"/>
      <w:marLeft w:val="0"/>
      <w:marRight w:val="0"/>
      <w:marTop w:val="0"/>
      <w:marBottom w:val="0"/>
      <w:divBdr>
        <w:top w:val="none" w:sz="0" w:space="0" w:color="auto"/>
        <w:left w:val="none" w:sz="0" w:space="0" w:color="auto"/>
        <w:bottom w:val="none" w:sz="0" w:space="0" w:color="auto"/>
        <w:right w:val="none" w:sz="0" w:space="0" w:color="auto"/>
      </w:divBdr>
    </w:div>
    <w:div w:id="1746418550">
      <w:bodyDiv w:val="1"/>
      <w:marLeft w:val="0"/>
      <w:marRight w:val="0"/>
      <w:marTop w:val="0"/>
      <w:marBottom w:val="0"/>
      <w:divBdr>
        <w:top w:val="none" w:sz="0" w:space="0" w:color="auto"/>
        <w:left w:val="none" w:sz="0" w:space="0" w:color="auto"/>
        <w:bottom w:val="none" w:sz="0" w:space="0" w:color="auto"/>
        <w:right w:val="none" w:sz="0" w:space="0" w:color="auto"/>
      </w:divBdr>
    </w:div>
    <w:div w:id="1746608187">
      <w:bodyDiv w:val="1"/>
      <w:marLeft w:val="0"/>
      <w:marRight w:val="0"/>
      <w:marTop w:val="0"/>
      <w:marBottom w:val="0"/>
      <w:divBdr>
        <w:top w:val="none" w:sz="0" w:space="0" w:color="auto"/>
        <w:left w:val="none" w:sz="0" w:space="0" w:color="auto"/>
        <w:bottom w:val="none" w:sz="0" w:space="0" w:color="auto"/>
        <w:right w:val="none" w:sz="0" w:space="0" w:color="auto"/>
      </w:divBdr>
    </w:div>
    <w:div w:id="1747068503">
      <w:bodyDiv w:val="1"/>
      <w:marLeft w:val="0"/>
      <w:marRight w:val="0"/>
      <w:marTop w:val="0"/>
      <w:marBottom w:val="0"/>
      <w:divBdr>
        <w:top w:val="none" w:sz="0" w:space="0" w:color="auto"/>
        <w:left w:val="none" w:sz="0" w:space="0" w:color="auto"/>
        <w:bottom w:val="none" w:sz="0" w:space="0" w:color="auto"/>
        <w:right w:val="none" w:sz="0" w:space="0" w:color="auto"/>
      </w:divBdr>
    </w:div>
    <w:div w:id="1747071323">
      <w:bodyDiv w:val="1"/>
      <w:marLeft w:val="0"/>
      <w:marRight w:val="0"/>
      <w:marTop w:val="0"/>
      <w:marBottom w:val="0"/>
      <w:divBdr>
        <w:top w:val="none" w:sz="0" w:space="0" w:color="auto"/>
        <w:left w:val="none" w:sz="0" w:space="0" w:color="auto"/>
        <w:bottom w:val="none" w:sz="0" w:space="0" w:color="auto"/>
        <w:right w:val="none" w:sz="0" w:space="0" w:color="auto"/>
      </w:divBdr>
    </w:div>
    <w:div w:id="1747146588">
      <w:bodyDiv w:val="1"/>
      <w:marLeft w:val="0"/>
      <w:marRight w:val="0"/>
      <w:marTop w:val="0"/>
      <w:marBottom w:val="0"/>
      <w:divBdr>
        <w:top w:val="none" w:sz="0" w:space="0" w:color="auto"/>
        <w:left w:val="none" w:sz="0" w:space="0" w:color="auto"/>
        <w:bottom w:val="none" w:sz="0" w:space="0" w:color="auto"/>
        <w:right w:val="none" w:sz="0" w:space="0" w:color="auto"/>
      </w:divBdr>
    </w:div>
    <w:div w:id="1747343322">
      <w:bodyDiv w:val="1"/>
      <w:marLeft w:val="0"/>
      <w:marRight w:val="0"/>
      <w:marTop w:val="0"/>
      <w:marBottom w:val="0"/>
      <w:divBdr>
        <w:top w:val="none" w:sz="0" w:space="0" w:color="auto"/>
        <w:left w:val="none" w:sz="0" w:space="0" w:color="auto"/>
        <w:bottom w:val="none" w:sz="0" w:space="0" w:color="auto"/>
        <w:right w:val="none" w:sz="0" w:space="0" w:color="auto"/>
      </w:divBdr>
    </w:div>
    <w:div w:id="1747458600">
      <w:bodyDiv w:val="1"/>
      <w:marLeft w:val="0"/>
      <w:marRight w:val="0"/>
      <w:marTop w:val="0"/>
      <w:marBottom w:val="0"/>
      <w:divBdr>
        <w:top w:val="none" w:sz="0" w:space="0" w:color="auto"/>
        <w:left w:val="none" w:sz="0" w:space="0" w:color="auto"/>
        <w:bottom w:val="none" w:sz="0" w:space="0" w:color="auto"/>
        <w:right w:val="none" w:sz="0" w:space="0" w:color="auto"/>
      </w:divBdr>
    </w:div>
    <w:div w:id="1747460634">
      <w:bodyDiv w:val="1"/>
      <w:marLeft w:val="0"/>
      <w:marRight w:val="0"/>
      <w:marTop w:val="0"/>
      <w:marBottom w:val="0"/>
      <w:divBdr>
        <w:top w:val="none" w:sz="0" w:space="0" w:color="auto"/>
        <w:left w:val="none" w:sz="0" w:space="0" w:color="auto"/>
        <w:bottom w:val="none" w:sz="0" w:space="0" w:color="auto"/>
        <w:right w:val="none" w:sz="0" w:space="0" w:color="auto"/>
      </w:divBdr>
    </w:div>
    <w:div w:id="1747530130">
      <w:bodyDiv w:val="1"/>
      <w:marLeft w:val="0"/>
      <w:marRight w:val="0"/>
      <w:marTop w:val="0"/>
      <w:marBottom w:val="0"/>
      <w:divBdr>
        <w:top w:val="none" w:sz="0" w:space="0" w:color="auto"/>
        <w:left w:val="none" w:sz="0" w:space="0" w:color="auto"/>
        <w:bottom w:val="none" w:sz="0" w:space="0" w:color="auto"/>
        <w:right w:val="none" w:sz="0" w:space="0" w:color="auto"/>
      </w:divBdr>
    </w:div>
    <w:div w:id="1747536230">
      <w:bodyDiv w:val="1"/>
      <w:marLeft w:val="0"/>
      <w:marRight w:val="0"/>
      <w:marTop w:val="0"/>
      <w:marBottom w:val="0"/>
      <w:divBdr>
        <w:top w:val="none" w:sz="0" w:space="0" w:color="auto"/>
        <w:left w:val="none" w:sz="0" w:space="0" w:color="auto"/>
        <w:bottom w:val="none" w:sz="0" w:space="0" w:color="auto"/>
        <w:right w:val="none" w:sz="0" w:space="0" w:color="auto"/>
      </w:divBdr>
    </w:div>
    <w:div w:id="1747607943">
      <w:bodyDiv w:val="1"/>
      <w:marLeft w:val="0"/>
      <w:marRight w:val="0"/>
      <w:marTop w:val="0"/>
      <w:marBottom w:val="0"/>
      <w:divBdr>
        <w:top w:val="none" w:sz="0" w:space="0" w:color="auto"/>
        <w:left w:val="none" w:sz="0" w:space="0" w:color="auto"/>
        <w:bottom w:val="none" w:sz="0" w:space="0" w:color="auto"/>
        <w:right w:val="none" w:sz="0" w:space="0" w:color="auto"/>
      </w:divBdr>
    </w:div>
    <w:div w:id="1747611519">
      <w:bodyDiv w:val="1"/>
      <w:marLeft w:val="0"/>
      <w:marRight w:val="0"/>
      <w:marTop w:val="0"/>
      <w:marBottom w:val="0"/>
      <w:divBdr>
        <w:top w:val="none" w:sz="0" w:space="0" w:color="auto"/>
        <w:left w:val="none" w:sz="0" w:space="0" w:color="auto"/>
        <w:bottom w:val="none" w:sz="0" w:space="0" w:color="auto"/>
        <w:right w:val="none" w:sz="0" w:space="0" w:color="auto"/>
      </w:divBdr>
    </w:div>
    <w:div w:id="1748072583">
      <w:bodyDiv w:val="1"/>
      <w:marLeft w:val="0"/>
      <w:marRight w:val="0"/>
      <w:marTop w:val="0"/>
      <w:marBottom w:val="0"/>
      <w:divBdr>
        <w:top w:val="none" w:sz="0" w:space="0" w:color="auto"/>
        <w:left w:val="none" w:sz="0" w:space="0" w:color="auto"/>
        <w:bottom w:val="none" w:sz="0" w:space="0" w:color="auto"/>
        <w:right w:val="none" w:sz="0" w:space="0" w:color="auto"/>
      </w:divBdr>
    </w:div>
    <w:div w:id="1748111034">
      <w:bodyDiv w:val="1"/>
      <w:marLeft w:val="0"/>
      <w:marRight w:val="0"/>
      <w:marTop w:val="0"/>
      <w:marBottom w:val="0"/>
      <w:divBdr>
        <w:top w:val="none" w:sz="0" w:space="0" w:color="auto"/>
        <w:left w:val="none" w:sz="0" w:space="0" w:color="auto"/>
        <w:bottom w:val="none" w:sz="0" w:space="0" w:color="auto"/>
        <w:right w:val="none" w:sz="0" w:space="0" w:color="auto"/>
      </w:divBdr>
    </w:div>
    <w:div w:id="1748183753">
      <w:bodyDiv w:val="1"/>
      <w:marLeft w:val="0"/>
      <w:marRight w:val="0"/>
      <w:marTop w:val="0"/>
      <w:marBottom w:val="0"/>
      <w:divBdr>
        <w:top w:val="none" w:sz="0" w:space="0" w:color="auto"/>
        <w:left w:val="none" w:sz="0" w:space="0" w:color="auto"/>
        <w:bottom w:val="none" w:sz="0" w:space="0" w:color="auto"/>
        <w:right w:val="none" w:sz="0" w:space="0" w:color="auto"/>
      </w:divBdr>
    </w:div>
    <w:div w:id="1748188785">
      <w:bodyDiv w:val="1"/>
      <w:marLeft w:val="0"/>
      <w:marRight w:val="0"/>
      <w:marTop w:val="0"/>
      <w:marBottom w:val="0"/>
      <w:divBdr>
        <w:top w:val="none" w:sz="0" w:space="0" w:color="auto"/>
        <w:left w:val="none" w:sz="0" w:space="0" w:color="auto"/>
        <w:bottom w:val="none" w:sz="0" w:space="0" w:color="auto"/>
        <w:right w:val="none" w:sz="0" w:space="0" w:color="auto"/>
      </w:divBdr>
    </w:div>
    <w:div w:id="1748380116">
      <w:bodyDiv w:val="1"/>
      <w:marLeft w:val="0"/>
      <w:marRight w:val="0"/>
      <w:marTop w:val="0"/>
      <w:marBottom w:val="0"/>
      <w:divBdr>
        <w:top w:val="none" w:sz="0" w:space="0" w:color="auto"/>
        <w:left w:val="none" w:sz="0" w:space="0" w:color="auto"/>
        <w:bottom w:val="none" w:sz="0" w:space="0" w:color="auto"/>
        <w:right w:val="none" w:sz="0" w:space="0" w:color="auto"/>
      </w:divBdr>
    </w:div>
    <w:div w:id="1748846598">
      <w:bodyDiv w:val="1"/>
      <w:marLeft w:val="0"/>
      <w:marRight w:val="0"/>
      <w:marTop w:val="0"/>
      <w:marBottom w:val="0"/>
      <w:divBdr>
        <w:top w:val="none" w:sz="0" w:space="0" w:color="auto"/>
        <w:left w:val="none" w:sz="0" w:space="0" w:color="auto"/>
        <w:bottom w:val="none" w:sz="0" w:space="0" w:color="auto"/>
        <w:right w:val="none" w:sz="0" w:space="0" w:color="auto"/>
      </w:divBdr>
    </w:div>
    <w:div w:id="1748915425">
      <w:bodyDiv w:val="1"/>
      <w:marLeft w:val="0"/>
      <w:marRight w:val="0"/>
      <w:marTop w:val="0"/>
      <w:marBottom w:val="0"/>
      <w:divBdr>
        <w:top w:val="none" w:sz="0" w:space="0" w:color="auto"/>
        <w:left w:val="none" w:sz="0" w:space="0" w:color="auto"/>
        <w:bottom w:val="none" w:sz="0" w:space="0" w:color="auto"/>
        <w:right w:val="none" w:sz="0" w:space="0" w:color="auto"/>
      </w:divBdr>
    </w:div>
    <w:div w:id="1748916061">
      <w:bodyDiv w:val="1"/>
      <w:marLeft w:val="0"/>
      <w:marRight w:val="0"/>
      <w:marTop w:val="0"/>
      <w:marBottom w:val="0"/>
      <w:divBdr>
        <w:top w:val="none" w:sz="0" w:space="0" w:color="auto"/>
        <w:left w:val="none" w:sz="0" w:space="0" w:color="auto"/>
        <w:bottom w:val="none" w:sz="0" w:space="0" w:color="auto"/>
        <w:right w:val="none" w:sz="0" w:space="0" w:color="auto"/>
      </w:divBdr>
    </w:div>
    <w:div w:id="1748991636">
      <w:bodyDiv w:val="1"/>
      <w:marLeft w:val="0"/>
      <w:marRight w:val="0"/>
      <w:marTop w:val="0"/>
      <w:marBottom w:val="0"/>
      <w:divBdr>
        <w:top w:val="none" w:sz="0" w:space="0" w:color="auto"/>
        <w:left w:val="none" w:sz="0" w:space="0" w:color="auto"/>
        <w:bottom w:val="none" w:sz="0" w:space="0" w:color="auto"/>
        <w:right w:val="none" w:sz="0" w:space="0" w:color="auto"/>
      </w:divBdr>
    </w:div>
    <w:div w:id="1749156222">
      <w:bodyDiv w:val="1"/>
      <w:marLeft w:val="0"/>
      <w:marRight w:val="0"/>
      <w:marTop w:val="0"/>
      <w:marBottom w:val="0"/>
      <w:divBdr>
        <w:top w:val="none" w:sz="0" w:space="0" w:color="auto"/>
        <w:left w:val="none" w:sz="0" w:space="0" w:color="auto"/>
        <w:bottom w:val="none" w:sz="0" w:space="0" w:color="auto"/>
        <w:right w:val="none" w:sz="0" w:space="0" w:color="auto"/>
      </w:divBdr>
    </w:div>
    <w:div w:id="1749379052">
      <w:bodyDiv w:val="1"/>
      <w:marLeft w:val="0"/>
      <w:marRight w:val="0"/>
      <w:marTop w:val="0"/>
      <w:marBottom w:val="0"/>
      <w:divBdr>
        <w:top w:val="none" w:sz="0" w:space="0" w:color="auto"/>
        <w:left w:val="none" w:sz="0" w:space="0" w:color="auto"/>
        <w:bottom w:val="none" w:sz="0" w:space="0" w:color="auto"/>
        <w:right w:val="none" w:sz="0" w:space="0" w:color="auto"/>
      </w:divBdr>
    </w:div>
    <w:div w:id="1749575036">
      <w:bodyDiv w:val="1"/>
      <w:marLeft w:val="0"/>
      <w:marRight w:val="0"/>
      <w:marTop w:val="0"/>
      <w:marBottom w:val="0"/>
      <w:divBdr>
        <w:top w:val="none" w:sz="0" w:space="0" w:color="auto"/>
        <w:left w:val="none" w:sz="0" w:space="0" w:color="auto"/>
        <w:bottom w:val="none" w:sz="0" w:space="0" w:color="auto"/>
        <w:right w:val="none" w:sz="0" w:space="0" w:color="auto"/>
      </w:divBdr>
    </w:div>
    <w:div w:id="1749812389">
      <w:bodyDiv w:val="1"/>
      <w:marLeft w:val="0"/>
      <w:marRight w:val="0"/>
      <w:marTop w:val="0"/>
      <w:marBottom w:val="0"/>
      <w:divBdr>
        <w:top w:val="none" w:sz="0" w:space="0" w:color="auto"/>
        <w:left w:val="none" w:sz="0" w:space="0" w:color="auto"/>
        <w:bottom w:val="none" w:sz="0" w:space="0" w:color="auto"/>
        <w:right w:val="none" w:sz="0" w:space="0" w:color="auto"/>
      </w:divBdr>
    </w:div>
    <w:div w:id="1750032415">
      <w:bodyDiv w:val="1"/>
      <w:marLeft w:val="0"/>
      <w:marRight w:val="0"/>
      <w:marTop w:val="0"/>
      <w:marBottom w:val="0"/>
      <w:divBdr>
        <w:top w:val="none" w:sz="0" w:space="0" w:color="auto"/>
        <w:left w:val="none" w:sz="0" w:space="0" w:color="auto"/>
        <w:bottom w:val="none" w:sz="0" w:space="0" w:color="auto"/>
        <w:right w:val="none" w:sz="0" w:space="0" w:color="auto"/>
      </w:divBdr>
    </w:div>
    <w:div w:id="1750074251">
      <w:bodyDiv w:val="1"/>
      <w:marLeft w:val="0"/>
      <w:marRight w:val="0"/>
      <w:marTop w:val="0"/>
      <w:marBottom w:val="0"/>
      <w:divBdr>
        <w:top w:val="none" w:sz="0" w:space="0" w:color="auto"/>
        <w:left w:val="none" w:sz="0" w:space="0" w:color="auto"/>
        <w:bottom w:val="none" w:sz="0" w:space="0" w:color="auto"/>
        <w:right w:val="none" w:sz="0" w:space="0" w:color="auto"/>
      </w:divBdr>
    </w:div>
    <w:div w:id="1750270677">
      <w:bodyDiv w:val="1"/>
      <w:marLeft w:val="0"/>
      <w:marRight w:val="0"/>
      <w:marTop w:val="0"/>
      <w:marBottom w:val="0"/>
      <w:divBdr>
        <w:top w:val="none" w:sz="0" w:space="0" w:color="auto"/>
        <w:left w:val="none" w:sz="0" w:space="0" w:color="auto"/>
        <w:bottom w:val="none" w:sz="0" w:space="0" w:color="auto"/>
        <w:right w:val="none" w:sz="0" w:space="0" w:color="auto"/>
      </w:divBdr>
    </w:div>
    <w:div w:id="1750493038">
      <w:bodyDiv w:val="1"/>
      <w:marLeft w:val="0"/>
      <w:marRight w:val="0"/>
      <w:marTop w:val="0"/>
      <w:marBottom w:val="0"/>
      <w:divBdr>
        <w:top w:val="none" w:sz="0" w:space="0" w:color="auto"/>
        <w:left w:val="none" w:sz="0" w:space="0" w:color="auto"/>
        <w:bottom w:val="none" w:sz="0" w:space="0" w:color="auto"/>
        <w:right w:val="none" w:sz="0" w:space="0" w:color="auto"/>
      </w:divBdr>
    </w:div>
    <w:div w:id="1750495027">
      <w:bodyDiv w:val="1"/>
      <w:marLeft w:val="0"/>
      <w:marRight w:val="0"/>
      <w:marTop w:val="0"/>
      <w:marBottom w:val="0"/>
      <w:divBdr>
        <w:top w:val="none" w:sz="0" w:space="0" w:color="auto"/>
        <w:left w:val="none" w:sz="0" w:space="0" w:color="auto"/>
        <w:bottom w:val="none" w:sz="0" w:space="0" w:color="auto"/>
        <w:right w:val="none" w:sz="0" w:space="0" w:color="auto"/>
      </w:divBdr>
    </w:div>
    <w:div w:id="1750617596">
      <w:bodyDiv w:val="1"/>
      <w:marLeft w:val="0"/>
      <w:marRight w:val="0"/>
      <w:marTop w:val="0"/>
      <w:marBottom w:val="0"/>
      <w:divBdr>
        <w:top w:val="none" w:sz="0" w:space="0" w:color="auto"/>
        <w:left w:val="none" w:sz="0" w:space="0" w:color="auto"/>
        <w:bottom w:val="none" w:sz="0" w:space="0" w:color="auto"/>
        <w:right w:val="none" w:sz="0" w:space="0" w:color="auto"/>
      </w:divBdr>
    </w:div>
    <w:div w:id="1750686469">
      <w:bodyDiv w:val="1"/>
      <w:marLeft w:val="0"/>
      <w:marRight w:val="0"/>
      <w:marTop w:val="0"/>
      <w:marBottom w:val="0"/>
      <w:divBdr>
        <w:top w:val="none" w:sz="0" w:space="0" w:color="auto"/>
        <w:left w:val="none" w:sz="0" w:space="0" w:color="auto"/>
        <w:bottom w:val="none" w:sz="0" w:space="0" w:color="auto"/>
        <w:right w:val="none" w:sz="0" w:space="0" w:color="auto"/>
      </w:divBdr>
    </w:div>
    <w:div w:id="1750930741">
      <w:bodyDiv w:val="1"/>
      <w:marLeft w:val="0"/>
      <w:marRight w:val="0"/>
      <w:marTop w:val="0"/>
      <w:marBottom w:val="0"/>
      <w:divBdr>
        <w:top w:val="none" w:sz="0" w:space="0" w:color="auto"/>
        <w:left w:val="none" w:sz="0" w:space="0" w:color="auto"/>
        <w:bottom w:val="none" w:sz="0" w:space="0" w:color="auto"/>
        <w:right w:val="none" w:sz="0" w:space="0" w:color="auto"/>
      </w:divBdr>
    </w:div>
    <w:div w:id="1750999518">
      <w:bodyDiv w:val="1"/>
      <w:marLeft w:val="0"/>
      <w:marRight w:val="0"/>
      <w:marTop w:val="0"/>
      <w:marBottom w:val="0"/>
      <w:divBdr>
        <w:top w:val="none" w:sz="0" w:space="0" w:color="auto"/>
        <w:left w:val="none" w:sz="0" w:space="0" w:color="auto"/>
        <w:bottom w:val="none" w:sz="0" w:space="0" w:color="auto"/>
        <w:right w:val="none" w:sz="0" w:space="0" w:color="auto"/>
      </w:divBdr>
    </w:div>
    <w:div w:id="1751079912">
      <w:bodyDiv w:val="1"/>
      <w:marLeft w:val="0"/>
      <w:marRight w:val="0"/>
      <w:marTop w:val="0"/>
      <w:marBottom w:val="0"/>
      <w:divBdr>
        <w:top w:val="none" w:sz="0" w:space="0" w:color="auto"/>
        <w:left w:val="none" w:sz="0" w:space="0" w:color="auto"/>
        <w:bottom w:val="none" w:sz="0" w:space="0" w:color="auto"/>
        <w:right w:val="none" w:sz="0" w:space="0" w:color="auto"/>
      </w:divBdr>
    </w:div>
    <w:div w:id="1751343266">
      <w:bodyDiv w:val="1"/>
      <w:marLeft w:val="0"/>
      <w:marRight w:val="0"/>
      <w:marTop w:val="0"/>
      <w:marBottom w:val="0"/>
      <w:divBdr>
        <w:top w:val="none" w:sz="0" w:space="0" w:color="auto"/>
        <w:left w:val="none" w:sz="0" w:space="0" w:color="auto"/>
        <w:bottom w:val="none" w:sz="0" w:space="0" w:color="auto"/>
        <w:right w:val="none" w:sz="0" w:space="0" w:color="auto"/>
      </w:divBdr>
    </w:div>
    <w:div w:id="1751657807">
      <w:bodyDiv w:val="1"/>
      <w:marLeft w:val="0"/>
      <w:marRight w:val="0"/>
      <w:marTop w:val="0"/>
      <w:marBottom w:val="0"/>
      <w:divBdr>
        <w:top w:val="none" w:sz="0" w:space="0" w:color="auto"/>
        <w:left w:val="none" w:sz="0" w:space="0" w:color="auto"/>
        <w:bottom w:val="none" w:sz="0" w:space="0" w:color="auto"/>
        <w:right w:val="none" w:sz="0" w:space="0" w:color="auto"/>
      </w:divBdr>
    </w:div>
    <w:div w:id="1751727803">
      <w:bodyDiv w:val="1"/>
      <w:marLeft w:val="0"/>
      <w:marRight w:val="0"/>
      <w:marTop w:val="0"/>
      <w:marBottom w:val="0"/>
      <w:divBdr>
        <w:top w:val="none" w:sz="0" w:space="0" w:color="auto"/>
        <w:left w:val="none" w:sz="0" w:space="0" w:color="auto"/>
        <w:bottom w:val="none" w:sz="0" w:space="0" w:color="auto"/>
        <w:right w:val="none" w:sz="0" w:space="0" w:color="auto"/>
      </w:divBdr>
    </w:div>
    <w:div w:id="1751803584">
      <w:bodyDiv w:val="1"/>
      <w:marLeft w:val="0"/>
      <w:marRight w:val="0"/>
      <w:marTop w:val="0"/>
      <w:marBottom w:val="0"/>
      <w:divBdr>
        <w:top w:val="none" w:sz="0" w:space="0" w:color="auto"/>
        <w:left w:val="none" w:sz="0" w:space="0" w:color="auto"/>
        <w:bottom w:val="none" w:sz="0" w:space="0" w:color="auto"/>
        <w:right w:val="none" w:sz="0" w:space="0" w:color="auto"/>
      </w:divBdr>
    </w:div>
    <w:div w:id="1751847338">
      <w:bodyDiv w:val="1"/>
      <w:marLeft w:val="0"/>
      <w:marRight w:val="0"/>
      <w:marTop w:val="0"/>
      <w:marBottom w:val="0"/>
      <w:divBdr>
        <w:top w:val="none" w:sz="0" w:space="0" w:color="auto"/>
        <w:left w:val="none" w:sz="0" w:space="0" w:color="auto"/>
        <w:bottom w:val="none" w:sz="0" w:space="0" w:color="auto"/>
        <w:right w:val="none" w:sz="0" w:space="0" w:color="auto"/>
      </w:divBdr>
    </w:div>
    <w:div w:id="1751853222">
      <w:bodyDiv w:val="1"/>
      <w:marLeft w:val="0"/>
      <w:marRight w:val="0"/>
      <w:marTop w:val="0"/>
      <w:marBottom w:val="0"/>
      <w:divBdr>
        <w:top w:val="none" w:sz="0" w:space="0" w:color="auto"/>
        <w:left w:val="none" w:sz="0" w:space="0" w:color="auto"/>
        <w:bottom w:val="none" w:sz="0" w:space="0" w:color="auto"/>
        <w:right w:val="none" w:sz="0" w:space="0" w:color="auto"/>
      </w:divBdr>
    </w:div>
    <w:div w:id="1752002927">
      <w:bodyDiv w:val="1"/>
      <w:marLeft w:val="0"/>
      <w:marRight w:val="0"/>
      <w:marTop w:val="0"/>
      <w:marBottom w:val="0"/>
      <w:divBdr>
        <w:top w:val="none" w:sz="0" w:space="0" w:color="auto"/>
        <w:left w:val="none" w:sz="0" w:space="0" w:color="auto"/>
        <w:bottom w:val="none" w:sz="0" w:space="0" w:color="auto"/>
        <w:right w:val="none" w:sz="0" w:space="0" w:color="auto"/>
      </w:divBdr>
    </w:div>
    <w:div w:id="1752048684">
      <w:bodyDiv w:val="1"/>
      <w:marLeft w:val="0"/>
      <w:marRight w:val="0"/>
      <w:marTop w:val="0"/>
      <w:marBottom w:val="0"/>
      <w:divBdr>
        <w:top w:val="none" w:sz="0" w:space="0" w:color="auto"/>
        <w:left w:val="none" w:sz="0" w:space="0" w:color="auto"/>
        <w:bottom w:val="none" w:sz="0" w:space="0" w:color="auto"/>
        <w:right w:val="none" w:sz="0" w:space="0" w:color="auto"/>
      </w:divBdr>
    </w:div>
    <w:div w:id="1752121778">
      <w:bodyDiv w:val="1"/>
      <w:marLeft w:val="0"/>
      <w:marRight w:val="0"/>
      <w:marTop w:val="0"/>
      <w:marBottom w:val="0"/>
      <w:divBdr>
        <w:top w:val="none" w:sz="0" w:space="0" w:color="auto"/>
        <w:left w:val="none" w:sz="0" w:space="0" w:color="auto"/>
        <w:bottom w:val="none" w:sz="0" w:space="0" w:color="auto"/>
        <w:right w:val="none" w:sz="0" w:space="0" w:color="auto"/>
      </w:divBdr>
    </w:div>
    <w:div w:id="1752585850">
      <w:bodyDiv w:val="1"/>
      <w:marLeft w:val="0"/>
      <w:marRight w:val="0"/>
      <w:marTop w:val="0"/>
      <w:marBottom w:val="0"/>
      <w:divBdr>
        <w:top w:val="none" w:sz="0" w:space="0" w:color="auto"/>
        <w:left w:val="none" w:sz="0" w:space="0" w:color="auto"/>
        <w:bottom w:val="none" w:sz="0" w:space="0" w:color="auto"/>
        <w:right w:val="none" w:sz="0" w:space="0" w:color="auto"/>
      </w:divBdr>
    </w:div>
    <w:div w:id="1752892982">
      <w:bodyDiv w:val="1"/>
      <w:marLeft w:val="0"/>
      <w:marRight w:val="0"/>
      <w:marTop w:val="0"/>
      <w:marBottom w:val="0"/>
      <w:divBdr>
        <w:top w:val="none" w:sz="0" w:space="0" w:color="auto"/>
        <w:left w:val="none" w:sz="0" w:space="0" w:color="auto"/>
        <w:bottom w:val="none" w:sz="0" w:space="0" w:color="auto"/>
        <w:right w:val="none" w:sz="0" w:space="0" w:color="auto"/>
      </w:divBdr>
    </w:div>
    <w:div w:id="1753046382">
      <w:bodyDiv w:val="1"/>
      <w:marLeft w:val="0"/>
      <w:marRight w:val="0"/>
      <w:marTop w:val="0"/>
      <w:marBottom w:val="0"/>
      <w:divBdr>
        <w:top w:val="none" w:sz="0" w:space="0" w:color="auto"/>
        <w:left w:val="none" w:sz="0" w:space="0" w:color="auto"/>
        <w:bottom w:val="none" w:sz="0" w:space="0" w:color="auto"/>
        <w:right w:val="none" w:sz="0" w:space="0" w:color="auto"/>
      </w:divBdr>
    </w:div>
    <w:div w:id="1753313936">
      <w:bodyDiv w:val="1"/>
      <w:marLeft w:val="0"/>
      <w:marRight w:val="0"/>
      <w:marTop w:val="0"/>
      <w:marBottom w:val="0"/>
      <w:divBdr>
        <w:top w:val="none" w:sz="0" w:space="0" w:color="auto"/>
        <w:left w:val="none" w:sz="0" w:space="0" w:color="auto"/>
        <w:bottom w:val="none" w:sz="0" w:space="0" w:color="auto"/>
        <w:right w:val="none" w:sz="0" w:space="0" w:color="auto"/>
      </w:divBdr>
    </w:div>
    <w:div w:id="1753353520">
      <w:bodyDiv w:val="1"/>
      <w:marLeft w:val="0"/>
      <w:marRight w:val="0"/>
      <w:marTop w:val="0"/>
      <w:marBottom w:val="0"/>
      <w:divBdr>
        <w:top w:val="none" w:sz="0" w:space="0" w:color="auto"/>
        <w:left w:val="none" w:sz="0" w:space="0" w:color="auto"/>
        <w:bottom w:val="none" w:sz="0" w:space="0" w:color="auto"/>
        <w:right w:val="none" w:sz="0" w:space="0" w:color="auto"/>
      </w:divBdr>
    </w:div>
    <w:div w:id="1753357988">
      <w:bodyDiv w:val="1"/>
      <w:marLeft w:val="0"/>
      <w:marRight w:val="0"/>
      <w:marTop w:val="0"/>
      <w:marBottom w:val="0"/>
      <w:divBdr>
        <w:top w:val="none" w:sz="0" w:space="0" w:color="auto"/>
        <w:left w:val="none" w:sz="0" w:space="0" w:color="auto"/>
        <w:bottom w:val="none" w:sz="0" w:space="0" w:color="auto"/>
        <w:right w:val="none" w:sz="0" w:space="0" w:color="auto"/>
      </w:divBdr>
    </w:div>
    <w:div w:id="1753430467">
      <w:bodyDiv w:val="1"/>
      <w:marLeft w:val="0"/>
      <w:marRight w:val="0"/>
      <w:marTop w:val="0"/>
      <w:marBottom w:val="0"/>
      <w:divBdr>
        <w:top w:val="none" w:sz="0" w:space="0" w:color="auto"/>
        <w:left w:val="none" w:sz="0" w:space="0" w:color="auto"/>
        <w:bottom w:val="none" w:sz="0" w:space="0" w:color="auto"/>
        <w:right w:val="none" w:sz="0" w:space="0" w:color="auto"/>
      </w:divBdr>
    </w:div>
    <w:div w:id="1753431859">
      <w:bodyDiv w:val="1"/>
      <w:marLeft w:val="0"/>
      <w:marRight w:val="0"/>
      <w:marTop w:val="0"/>
      <w:marBottom w:val="0"/>
      <w:divBdr>
        <w:top w:val="none" w:sz="0" w:space="0" w:color="auto"/>
        <w:left w:val="none" w:sz="0" w:space="0" w:color="auto"/>
        <w:bottom w:val="none" w:sz="0" w:space="0" w:color="auto"/>
        <w:right w:val="none" w:sz="0" w:space="0" w:color="auto"/>
      </w:divBdr>
    </w:div>
    <w:div w:id="1753551669">
      <w:bodyDiv w:val="1"/>
      <w:marLeft w:val="0"/>
      <w:marRight w:val="0"/>
      <w:marTop w:val="0"/>
      <w:marBottom w:val="0"/>
      <w:divBdr>
        <w:top w:val="none" w:sz="0" w:space="0" w:color="auto"/>
        <w:left w:val="none" w:sz="0" w:space="0" w:color="auto"/>
        <w:bottom w:val="none" w:sz="0" w:space="0" w:color="auto"/>
        <w:right w:val="none" w:sz="0" w:space="0" w:color="auto"/>
      </w:divBdr>
    </w:div>
    <w:div w:id="1753888604">
      <w:bodyDiv w:val="1"/>
      <w:marLeft w:val="0"/>
      <w:marRight w:val="0"/>
      <w:marTop w:val="0"/>
      <w:marBottom w:val="0"/>
      <w:divBdr>
        <w:top w:val="none" w:sz="0" w:space="0" w:color="auto"/>
        <w:left w:val="none" w:sz="0" w:space="0" w:color="auto"/>
        <w:bottom w:val="none" w:sz="0" w:space="0" w:color="auto"/>
        <w:right w:val="none" w:sz="0" w:space="0" w:color="auto"/>
      </w:divBdr>
    </w:div>
    <w:div w:id="1754008508">
      <w:bodyDiv w:val="1"/>
      <w:marLeft w:val="0"/>
      <w:marRight w:val="0"/>
      <w:marTop w:val="0"/>
      <w:marBottom w:val="0"/>
      <w:divBdr>
        <w:top w:val="none" w:sz="0" w:space="0" w:color="auto"/>
        <w:left w:val="none" w:sz="0" w:space="0" w:color="auto"/>
        <w:bottom w:val="none" w:sz="0" w:space="0" w:color="auto"/>
        <w:right w:val="none" w:sz="0" w:space="0" w:color="auto"/>
      </w:divBdr>
    </w:div>
    <w:div w:id="1754207921">
      <w:bodyDiv w:val="1"/>
      <w:marLeft w:val="0"/>
      <w:marRight w:val="0"/>
      <w:marTop w:val="0"/>
      <w:marBottom w:val="0"/>
      <w:divBdr>
        <w:top w:val="none" w:sz="0" w:space="0" w:color="auto"/>
        <w:left w:val="none" w:sz="0" w:space="0" w:color="auto"/>
        <w:bottom w:val="none" w:sz="0" w:space="0" w:color="auto"/>
        <w:right w:val="none" w:sz="0" w:space="0" w:color="auto"/>
      </w:divBdr>
    </w:div>
    <w:div w:id="1754278423">
      <w:bodyDiv w:val="1"/>
      <w:marLeft w:val="0"/>
      <w:marRight w:val="0"/>
      <w:marTop w:val="0"/>
      <w:marBottom w:val="0"/>
      <w:divBdr>
        <w:top w:val="none" w:sz="0" w:space="0" w:color="auto"/>
        <w:left w:val="none" w:sz="0" w:space="0" w:color="auto"/>
        <w:bottom w:val="none" w:sz="0" w:space="0" w:color="auto"/>
        <w:right w:val="none" w:sz="0" w:space="0" w:color="auto"/>
      </w:divBdr>
    </w:div>
    <w:div w:id="1754353872">
      <w:bodyDiv w:val="1"/>
      <w:marLeft w:val="0"/>
      <w:marRight w:val="0"/>
      <w:marTop w:val="0"/>
      <w:marBottom w:val="0"/>
      <w:divBdr>
        <w:top w:val="none" w:sz="0" w:space="0" w:color="auto"/>
        <w:left w:val="none" w:sz="0" w:space="0" w:color="auto"/>
        <w:bottom w:val="none" w:sz="0" w:space="0" w:color="auto"/>
        <w:right w:val="none" w:sz="0" w:space="0" w:color="auto"/>
      </w:divBdr>
    </w:div>
    <w:div w:id="1754618847">
      <w:bodyDiv w:val="1"/>
      <w:marLeft w:val="0"/>
      <w:marRight w:val="0"/>
      <w:marTop w:val="0"/>
      <w:marBottom w:val="0"/>
      <w:divBdr>
        <w:top w:val="none" w:sz="0" w:space="0" w:color="auto"/>
        <w:left w:val="none" w:sz="0" w:space="0" w:color="auto"/>
        <w:bottom w:val="none" w:sz="0" w:space="0" w:color="auto"/>
        <w:right w:val="none" w:sz="0" w:space="0" w:color="auto"/>
      </w:divBdr>
    </w:div>
    <w:div w:id="1754624208">
      <w:bodyDiv w:val="1"/>
      <w:marLeft w:val="0"/>
      <w:marRight w:val="0"/>
      <w:marTop w:val="0"/>
      <w:marBottom w:val="0"/>
      <w:divBdr>
        <w:top w:val="none" w:sz="0" w:space="0" w:color="auto"/>
        <w:left w:val="none" w:sz="0" w:space="0" w:color="auto"/>
        <w:bottom w:val="none" w:sz="0" w:space="0" w:color="auto"/>
        <w:right w:val="none" w:sz="0" w:space="0" w:color="auto"/>
      </w:divBdr>
    </w:div>
    <w:div w:id="1754668938">
      <w:bodyDiv w:val="1"/>
      <w:marLeft w:val="0"/>
      <w:marRight w:val="0"/>
      <w:marTop w:val="0"/>
      <w:marBottom w:val="0"/>
      <w:divBdr>
        <w:top w:val="none" w:sz="0" w:space="0" w:color="auto"/>
        <w:left w:val="none" w:sz="0" w:space="0" w:color="auto"/>
        <w:bottom w:val="none" w:sz="0" w:space="0" w:color="auto"/>
        <w:right w:val="none" w:sz="0" w:space="0" w:color="auto"/>
      </w:divBdr>
    </w:div>
    <w:div w:id="1754735458">
      <w:bodyDiv w:val="1"/>
      <w:marLeft w:val="0"/>
      <w:marRight w:val="0"/>
      <w:marTop w:val="0"/>
      <w:marBottom w:val="0"/>
      <w:divBdr>
        <w:top w:val="none" w:sz="0" w:space="0" w:color="auto"/>
        <w:left w:val="none" w:sz="0" w:space="0" w:color="auto"/>
        <w:bottom w:val="none" w:sz="0" w:space="0" w:color="auto"/>
        <w:right w:val="none" w:sz="0" w:space="0" w:color="auto"/>
      </w:divBdr>
    </w:div>
    <w:div w:id="1755127616">
      <w:bodyDiv w:val="1"/>
      <w:marLeft w:val="0"/>
      <w:marRight w:val="0"/>
      <w:marTop w:val="0"/>
      <w:marBottom w:val="0"/>
      <w:divBdr>
        <w:top w:val="none" w:sz="0" w:space="0" w:color="auto"/>
        <w:left w:val="none" w:sz="0" w:space="0" w:color="auto"/>
        <w:bottom w:val="none" w:sz="0" w:space="0" w:color="auto"/>
        <w:right w:val="none" w:sz="0" w:space="0" w:color="auto"/>
      </w:divBdr>
    </w:div>
    <w:div w:id="1755205349">
      <w:bodyDiv w:val="1"/>
      <w:marLeft w:val="0"/>
      <w:marRight w:val="0"/>
      <w:marTop w:val="0"/>
      <w:marBottom w:val="0"/>
      <w:divBdr>
        <w:top w:val="none" w:sz="0" w:space="0" w:color="auto"/>
        <w:left w:val="none" w:sz="0" w:space="0" w:color="auto"/>
        <w:bottom w:val="none" w:sz="0" w:space="0" w:color="auto"/>
        <w:right w:val="none" w:sz="0" w:space="0" w:color="auto"/>
      </w:divBdr>
    </w:div>
    <w:div w:id="1755274164">
      <w:bodyDiv w:val="1"/>
      <w:marLeft w:val="0"/>
      <w:marRight w:val="0"/>
      <w:marTop w:val="0"/>
      <w:marBottom w:val="0"/>
      <w:divBdr>
        <w:top w:val="none" w:sz="0" w:space="0" w:color="auto"/>
        <w:left w:val="none" w:sz="0" w:space="0" w:color="auto"/>
        <w:bottom w:val="none" w:sz="0" w:space="0" w:color="auto"/>
        <w:right w:val="none" w:sz="0" w:space="0" w:color="auto"/>
      </w:divBdr>
    </w:div>
    <w:div w:id="1755348436">
      <w:bodyDiv w:val="1"/>
      <w:marLeft w:val="0"/>
      <w:marRight w:val="0"/>
      <w:marTop w:val="0"/>
      <w:marBottom w:val="0"/>
      <w:divBdr>
        <w:top w:val="none" w:sz="0" w:space="0" w:color="auto"/>
        <w:left w:val="none" w:sz="0" w:space="0" w:color="auto"/>
        <w:bottom w:val="none" w:sz="0" w:space="0" w:color="auto"/>
        <w:right w:val="none" w:sz="0" w:space="0" w:color="auto"/>
      </w:divBdr>
    </w:div>
    <w:div w:id="1755399594">
      <w:bodyDiv w:val="1"/>
      <w:marLeft w:val="0"/>
      <w:marRight w:val="0"/>
      <w:marTop w:val="0"/>
      <w:marBottom w:val="0"/>
      <w:divBdr>
        <w:top w:val="none" w:sz="0" w:space="0" w:color="auto"/>
        <w:left w:val="none" w:sz="0" w:space="0" w:color="auto"/>
        <w:bottom w:val="none" w:sz="0" w:space="0" w:color="auto"/>
        <w:right w:val="none" w:sz="0" w:space="0" w:color="auto"/>
      </w:divBdr>
    </w:div>
    <w:div w:id="1755474247">
      <w:bodyDiv w:val="1"/>
      <w:marLeft w:val="0"/>
      <w:marRight w:val="0"/>
      <w:marTop w:val="0"/>
      <w:marBottom w:val="0"/>
      <w:divBdr>
        <w:top w:val="none" w:sz="0" w:space="0" w:color="auto"/>
        <w:left w:val="none" w:sz="0" w:space="0" w:color="auto"/>
        <w:bottom w:val="none" w:sz="0" w:space="0" w:color="auto"/>
        <w:right w:val="none" w:sz="0" w:space="0" w:color="auto"/>
      </w:divBdr>
    </w:div>
    <w:div w:id="1755738970">
      <w:bodyDiv w:val="1"/>
      <w:marLeft w:val="0"/>
      <w:marRight w:val="0"/>
      <w:marTop w:val="0"/>
      <w:marBottom w:val="0"/>
      <w:divBdr>
        <w:top w:val="none" w:sz="0" w:space="0" w:color="auto"/>
        <w:left w:val="none" w:sz="0" w:space="0" w:color="auto"/>
        <w:bottom w:val="none" w:sz="0" w:space="0" w:color="auto"/>
        <w:right w:val="none" w:sz="0" w:space="0" w:color="auto"/>
      </w:divBdr>
    </w:div>
    <w:div w:id="1755785690">
      <w:bodyDiv w:val="1"/>
      <w:marLeft w:val="0"/>
      <w:marRight w:val="0"/>
      <w:marTop w:val="0"/>
      <w:marBottom w:val="0"/>
      <w:divBdr>
        <w:top w:val="none" w:sz="0" w:space="0" w:color="auto"/>
        <w:left w:val="none" w:sz="0" w:space="0" w:color="auto"/>
        <w:bottom w:val="none" w:sz="0" w:space="0" w:color="auto"/>
        <w:right w:val="none" w:sz="0" w:space="0" w:color="auto"/>
      </w:divBdr>
    </w:div>
    <w:div w:id="1756050584">
      <w:bodyDiv w:val="1"/>
      <w:marLeft w:val="0"/>
      <w:marRight w:val="0"/>
      <w:marTop w:val="0"/>
      <w:marBottom w:val="0"/>
      <w:divBdr>
        <w:top w:val="none" w:sz="0" w:space="0" w:color="auto"/>
        <w:left w:val="none" w:sz="0" w:space="0" w:color="auto"/>
        <w:bottom w:val="none" w:sz="0" w:space="0" w:color="auto"/>
        <w:right w:val="none" w:sz="0" w:space="0" w:color="auto"/>
      </w:divBdr>
    </w:div>
    <w:div w:id="1756053953">
      <w:bodyDiv w:val="1"/>
      <w:marLeft w:val="0"/>
      <w:marRight w:val="0"/>
      <w:marTop w:val="0"/>
      <w:marBottom w:val="0"/>
      <w:divBdr>
        <w:top w:val="none" w:sz="0" w:space="0" w:color="auto"/>
        <w:left w:val="none" w:sz="0" w:space="0" w:color="auto"/>
        <w:bottom w:val="none" w:sz="0" w:space="0" w:color="auto"/>
        <w:right w:val="none" w:sz="0" w:space="0" w:color="auto"/>
      </w:divBdr>
    </w:div>
    <w:div w:id="1756055590">
      <w:bodyDiv w:val="1"/>
      <w:marLeft w:val="0"/>
      <w:marRight w:val="0"/>
      <w:marTop w:val="0"/>
      <w:marBottom w:val="0"/>
      <w:divBdr>
        <w:top w:val="none" w:sz="0" w:space="0" w:color="auto"/>
        <w:left w:val="none" w:sz="0" w:space="0" w:color="auto"/>
        <w:bottom w:val="none" w:sz="0" w:space="0" w:color="auto"/>
        <w:right w:val="none" w:sz="0" w:space="0" w:color="auto"/>
      </w:divBdr>
    </w:div>
    <w:div w:id="1756630304">
      <w:bodyDiv w:val="1"/>
      <w:marLeft w:val="0"/>
      <w:marRight w:val="0"/>
      <w:marTop w:val="0"/>
      <w:marBottom w:val="0"/>
      <w:divBdr>
        <w:top w:val="none" w:sz="0" w:space="0" w:color="auto"/>
        <w:left w:val="none" w:sz="0" w:space="0" w:color="auto"/>
        <w:bottom w:val="none" w:sz="0" w:space="0" w:color="auto"/>
        <w:right w:val="none" w:sz="0" w:space="0" w:color="auto"/>
      </w:divBdr>
    </w:div>
    <w:div w:id="1756632724">
      <w:bodyDiv w:val="1"/>
      <w:marLeft w:val="0"/>
      <w:marRight w:val="0"/>
      <w:marTop w:val="0"/>
      <w:marBottom w:val="0"/>
      <w:divBdr>
        <w:top w:val="none" w:sz="0" w:space="0" w:color="auto"/>
        <w:left w:val="none" w:sz="0" w:space="0" w:color="auto"/>
        <w:bottom w:val="none" w:sz="0" w:space="0" w:color="auto"/>
        <w:right w:val="none" w:sz="0" w:space="0" w:color="auto"/>
      </w:divBdr>
    </w:div>
    <w:div w:id="1756896287">
      <w:bodyDiv w:val="1"/>
      <w:marLeft w:val="0"/>
      <w:marRight w:val="0"/>
      <w:marTop w:val="0"/>
      <w:marBottom w:val="0"/>
      <w:divBdr>
        <w:top w:val="none" w:sz="0" w:space="0" w:color="auto"/>
        <w:left w:val="none" w:sz="0" w:space="0" w:color="auto"/>
        <w:bottom w:val="none" w:sz="0" w:space="0" w:color="auto"/>
        <w:right w:val="none" w:sz="0" w:space="0" w:color="auto"/>
      </w:divBdr>
    </w:div>
    <w:div w:id="1757168857">
      <w:bodyDiv w:val="1"/>
      <w:marLeft w:val="0"/>
      <w:marRight w:val="0"/>
      <w:marTop w:val="0"/>
      <w:marBottom w:val="0"/>
      <w:divBdr>
        <w:top w:val="none" w:sz="0" w:space="0" w:color="auto"/>
        <w:left w:val="none" w:sz="0" w:space="0" w:color="auto"/>
        <w:bottom w:val="none" w:sz="0" w:space="0" w:color="auto"/>
        <w:right w:val="none" w:sz="0" w:space="0" w:color="auto"/>
      </w:divBdr>
    </w:div>
    <w:div w:id="1757169294">
      <w:bodyDiv w:val="1"/>
      <w:marLeft w:val="0"/>
      <w:marRight w:val="0"/>
      <w:marTop w:val="0"/>
      <w:marBottom w:val="0"/>
      <w:divBdr>
        <w:top w:val="none" w:sz="0" w:space="0" w:color="auto"/>
        <w:left w:val="none" w:sz="0" w:space="0" w:color="auto"/>
        <w:bottom w:val="none" w:sz="0" w:space="0" w:color="auto"/>
        <w:right w:val="none" w:sz="0" w:space="0" w:color="auto"/>
      </w:divBdr>
    </w:div>
    <w:div w:id="1757752360">
      <w:bodyDiv w:val="1"/>
      <w:marLeft w:val="0"/>
      <w:marRight w:val="0"/>
      <w:marTop w:val="0"/>
      <w:marBottom w:val="0"/>
      <w:divBdr>
        <w:top w:val="none" w:sz="0" w:space="0" w:color="auto"/>
        <w:left w:val="none" w:sz="0" w:space="0" w:color="auto"/>
        <w:bottom w:val="none" w:sz="0" w:space="0" w:color="auto"/>
        <w:right w:val="none" w:sz="0" w:space="0" w:color="auto"/>
      </w:divBdr>
    </w:div>
    <w:div w:id="1757818712">
      <w:bodyDiv w:val="1"/>
      <w:marLeft w:val="0"/>
      <w:marRight w:val="0"/>
      <w:marTop w:val="0"/>
      <w:marBottom w:val="0"/>
      <w:divBdr>
        <w:top w:val="none" w:sz="0" w:space="0" w:color="auto"/>
        <w:left w:val="none" w:sz="0" w:space="0" w:color="auto"/>
        <w:bottom w:val="none" w:sz="0" w:space="0" w:color="auto"/>
        <w:right w:val="none" w:sz="0" w:space="0" w:color="auto"/>
      </w:divBdr>
    </w:div>
    <w:div w:id="1757900458">
      <w:bodyDiv w:val="1"/>
      <w:marLeft w:val="0"/>
      <w:marRight w:val="0"/>
      <w:marTop w:val="0"/>
      <w:marBottom w:val="0"/>
      <w:divBdr>
        <w:top w:val="none" w:sz="0" w:space="0" w:color="auto"/>
        <w:left w:val="none" w:sz="0" w:space="0" w:color="auto"/>
        <w:bottom w:val="none" w:sz="0" w:space="0" w:color="auto"/>
        <w:right w:val="none" w:sz="0" w:space="0" w:color="auto"/>
      </w:divBdr>
    </w:div>
    <w:div w:id="1758165252">
      <w:bodyDiv w:val="1"/>
      <w:marLeft w:val="0"/>
      <w:marRight w:val="0"/>
      <w:marTop w:val="0"/>
      <w:marBottom w:val="0"/>
      <w:divBdr>
        <w:top w:val="none" w:sz="0" w:space="0" w:color="auto"/>
        <w:left w:val="none" w:sz="0" w:space="0" w:color="auto"/>
        <w:bottom w:val="none" w:sz="0" w:space="0" w:color="auto"/>
        <w:right w:val="none" w:sz="0" w:space="0" w:color="auto"/>
      </w:divBdr>
    </w:div>
    <w:div w:id="1758205093">
      <w:bodyDiv w:val="1"/>
      <w:marLeft w:val="0"/>
      <w:marRight w:val="0"/>
      <w:marTop w:val="0"/>
      <w:marBottom w:val="0"/>
      <w:divBdr>
        <w:top w:val="none" w:sz="0" w:space="0" w:color="auto"/>
        <w:left w:val="none" w:sz="0" w:space="0" w:color="auto"/>
        <w:bottom w:val="none" w:sz="0" w:space="0" w:color="auto"/>
        <w:right w:val="none" w:sz="0" w:space="0" w:color="auto"/>
      </w:divBdr>
    </w:div>
    <w:div w:id="1758593990">
      <w:bodyDiv w:val="1"/>
      <w:marLeft w:val="0"/>
      <w:marRight w:val="0"/>
      <w:marTop w:val="0"/>
      <w:marBottom w:val="0"/>
      <w:divBdr>
        <w:top w:val="none" w:sz="0" w:space="0" w:color="auto"/>
        <w:left w:val="none" w:sz="0" w:space="0" w:color="auto"/>
        <w:bottom w:val="none" w:sz="0" w:space="0" w:color="auto"/>
        <w:right w:val="none" w:sz="0" w:space="0" w:color="auto"/>
      </w:divBdr>
    </w:div>
    <w:div w:id="1758595498">
      <w:bodyDiv w:val="1"/>
      <w:marLeft w:val="0"/>
      <w:marRight w:val="0"/>
      <w:marTop w:val="0"/>
      <w:marBottom w:val="0"/>
      <w:divBdr>
        <w:top w:val="none" w:sz="0" w:space="0" w:color="auto"/>
        <w:left w:val="none" w:sz="0" w:space="0" w:color="auto"/>
        <w:bottom w:val="none" w:sz="0" w:space="0" w:color="auto"/>
        <w:right w:val="none" w:sz="0" w:space="0" w:color="auto"/>
      </w:divBdr>
    </w:div>
    <w:div w:id="1758860780">
      <w:bodyDiv w:val="1"/>
      <w:marLeft w:val="0"/>
      <w:marRight w:val="0"/>
      <w:marTop w:val="0"/>
      <w:marBottom w:val="0"/>
      <w:divBdr>
        <w:top w:val="none" w:sz="0" w:space="0" w:color="auto"/>
        <w:left w:val="none" w:sz="0" w:space="0" w:color="auto"/>
        <w:bottom w:val="none" w:sz="0" w:space="0" w:color="auto"/>
        <w:right w:val="none" w:sz="0" w:space="0" w:color="auto"/>
      </w:divBdr>
    </w:div>
    <w:div w:id="1759208331">
      <w:bodyDiv w:val="1"/>
      <w:marLeft w:val="0"/>
      <w:marRight w:val="0"/>
      <w:marTop w:val="0"/>
      <w:marBottom w:val="0"/>
      <w:divBdr>
        <w:top w:val="none" w:sz="0" w:space="0" w:color="auto"/>
        <w:left w:val="none" w:sz="0" w:space="0" w:color="auto"/>
        <w:bottom w:val="none" w:sz="0" w:space="0" w:color="auto"/>
        <w:right w:val="none" w:sz="0" w:space="0" w:color="auto"/>
      </w:divBdr>
    </w:div>
    <w:div w:id="1759248414">
      <w:bodyDiv w:val="1"/>
      <w:marLeft w:val="0"/>
      <w:marRight w:val="0"/>
      <w:marTop w:val="0"/>
      <w:marBottom w:val="0"/>
      <w:divBdr>
        <w:top w:val="none" w:sz="0" w:space="0" w:color="auto"/>
        <w:left w:val="none" w:sz="0" w:space="0" w:color="auto"/>
        <w:bottom w:val="none" w:sz="0" w:space="0" w:color="auto"/>
        <w:right w:val="none" w:sz="0" w:space="0" w:color="auto"/>
      </w:divBdr>
    </w:div>
    <w:div w:id="1759402708">
      <w:bodyDiv w:val="1"/>
      <w:marLeft w:val="0"/>
      <w:marRight w:val="0"/>
      <w:marTop w:val="0"/>
      <w:marBottom w:val="0"/>
      <w:divBdr>
        <w:top w:val="none" w:sz="0" w:space="0" w:color="auto"/>
        <w:left w:val="none" w:sz="0" w:space="0" w:color="auto"/>
        <w:bottom w:val="none" w:sz="0" w:space="0" w:color="auto"/>
        <w:right w:val="none" w:sz="0" w:space="0" w:color="auto"/>
      </w:divBdr>
    </w:div>
    <w:div w:id="1759404291">
      <w:bodyDiv w:val="1"/>
      <w:marLeft w:val="0"/>
      <w:marRight w:val="0"/>
      <w:marTop w:val="0"/>
      <w:marBottom w:val="0"/>
      <w:divBdr>
        <w:top w:val="none" w:sz="0" w:space="0" w:color="auto"/>
        <w:left w:val="none" w:sz="0" w:space="0" w:color="auto"/>
        <w:bottom w:val="none" w:sz="0" w:space="0" w:color="auto"/>
        <w:right w:val="none" w:sz="0" w:space="0" w:color="auto"/>
      </w:divBdr>
    </w:div>
    <w:div w:id="1759792670">
      <w:bodyDiv w:val="1"/>
      <w:marLeft w:val="0"/>
      <w:marRight w:val="0"/>
      <w:marTop w:val="0"/>
      <w:marBottom w:val="0"/>
      <w:divBdr>
        <w:top w:val="none" w:sz="0" w:space="0" w:color="auto"/>
        <w:left w:val="none" w:sz="0" w:space="0" w:color="auto"/>
        <w:bottom w:val="none" w:sz="0" w:space="0" w:color="auto"/>
        <w:right w:val="none" w:sz="0" w:space="0" w:color="auto"/>
      </w:divBdr>
    </w:div>
    <w:div w:id="1759910276">
      <w:bodyDiv w:val="1"/>
      <w:marLeft w:val="0"/>
      <w:marRight w:val="0"/>
      <w:marTop w:val="0"/>
      <w:marBottom w:val="0"/>
      <w:divBdr>
        <w:top w:val="none" w:sz="0" w:space="0" w:color="auto"/>
        <w:left w:val="none" w:sz="0" w:space="0" w:color="auto"/>
        <w:bottom w:val="none" w:sz="0" w:space="0" w:color="auto"/>
        <w:right w:val="none" w:sz="0" w:space="0" w:color="auto"/>
      </w:divBdr>
    </w:div>
    <w:div w:id="1759936227">
      <w:bodyDiv w:val="1"/>
      <w:marLeft w:val="0"/>
      <w:marRight w:val="0"/>
      <w:marTop w:val="0"/>
      <w:marBottom w:val="0"/>
      <w:divBdr>
        <w:top w:val="none" w:sz="0" w:space="0" w:color="auto"/>
        <w:left w:val="none" w:sz="0" w:space="0" w:color="auto"/>
        <w:bottom w:val="none" w:sz="0" w:space="0" w:color="auto"/>
        <w:right w:val="none" w:sz="0" w:space="0" w:color="auto"/>
      </w:divBdr>
    </w:div>
    <w:div w:id="1760177449">
      <w:bodyDiv w:val="1"/>
      <w:marLeft w:val="0"/>
      <w:marRight w:val="0"/>
      <w:marTop w:val="0"/>
      <w:marBottom w:val="0"/>
      <w:divBdr>
        <w:top w:val="none" w:sz="0" w:space="0" w:color="auto"/>
        <w:left w:val="none" w:sz="0" w:space="0" w:color="auto"/>
        <w:bottom w:val="none" w:sz="0" w:space="0" w:color="auto"/>
        <w:right w:val="none" w:sz="0" w:space="0" w:color="auto"/>
      </w:divBdr>
    </w:div>
    <w:div w:id="1760247618">
      <w:bodyDiv w:val="1"/>
      <w:marLeft w:val="0"/>
      <w:marRight w:val="0"/>
      <w:marTop w:val="0"/>
      <w:marBottom w:val="0"/>
      <w:divBdr>
        <w:top w:val="none" w:sz="0" w:space="0" w:color="auto"/>
        <w:left w:val="none" w:sz="0" w:space="0" w:color="auto"/>
        <w:bottom w:val="none" w:sz="0" w:space="0" w:color="auto"/>
        <w:right w:val="none" w:sz="0" w:space="0" w:color="auto"/>
      </w:divBdr>
    </w:div>
    <w:div w:id="1760329121">
      <w:bodyDiv w:val="1"/>
      <w:marLeft w:val="0"/>
      <w:marRight w:val="0"/>
      <w:marTop w:val="0"/>
      <w:marBottom w:val="0"/>
      <w:divBdr>
        <w:top w:val="none" w:sz="0" w:space="0" w:color="auto"/>
        <w:left w:val="none" w:sz="0" w:space="0" w:color="auto"/>
        <w:bottom w:val="none" w:sz="0" w:space="0" w:color="auto"/>
        <w:right w:val="none" w:sz="0" w:space="0" w:color="auto"/>
      </w:divBdr>
    </w:div>
    <w:div w:id="1760367143">
      <w:bodyDiv w:val="1"/>
      <w:marLeft w:val="0"/>
      <w:marRight w:val="0"/>
      <w:marTop w:val="0"/>
      <w:marBottom w:val="0"/>
      <w:divBdr>
        <w:top w:val="none" w:sz="0" w:space="0" w:color="auto"/>
        <w:left w:val="none" w:sz="0" w:space="0" w:color="auto"/>
        <w:bottom w:val="none" w:sz="0" w:space="0" w:color="auto"/>
        <w:right w:val="none" w:sz="0" w:space="0" w:color="auto"/>
      </w:divBdr>
    </w:div>
    <w:div w:id="1760711154">
      <w:bodyDiv w:val="1"/>
      <w:marLeft w:val="0"/>
      <w:marRight w:val="0"/>
      <w:marTop w:val="0"/>
      <w:marBottom w:val="0"/>
      <w:divBdr>
        <w:top w:val="none" w:sz="0" w:space="0" w:color="auto"/>
        <w:left w:val="none" w:sz="0" w:space="0" w:color="auto"/>
        <w:bottom w:val="none" w:sz="0" w:space="0" w:color="auto"/>
        <w:right w:val="none" w:sz="0" w:space="0" w:color="auto"/>
      </w:divBdr>
    </w:div>
    <w:div w:id="1760711581">
      <w:bodyDiv w:val="1"/>
      <w:marLeft w:val="0"/>
      <w:marRight w:val="0"/>
      <w:marTop w:val="0"/>
      <w:marBottom w:val="0"/>
      <w:divBdr>
        <w:top w:val="none" w:sz="0" w:space="0" w:color="auto"/>
        <w:left w:val="none" w:sz="0" w:space="0" w:color="auto"/>
        <w:bottom w:val="none" w:sz="0" w:space="0" w:color="auto"/>
        <w:right w:val="none" w:sz="0" w:space="0" w:color="auto"/>
      </w:divBdr>
    </w:div>
    <w:div w:id="1760712882">
      <w:bodyDiv w:val="1"/>
      <w:marLeft w:val="0"/>
      <w:marRight w:val="0"/>
      <w:marTop w:val="0"/>
      <w:marBottom w:val="0"/>
      <w:divBdr>
        <w:top w:val="none" w:sz="0" w:space="0" w:color="auto"/>
        <w:left w:val="none" w:sz="0" w:space="0" w:color="auto"/>
        <w:bottom w:val="none" w:sz="0" w:space="0" w:color="auto"/>
        <w:right w:val="none" w:sz="0" w:space="0" w:color="auto"/>
      </w:divBdr>
    </w:div>
    <w:div w:id="1760713902">
      <w:bodyDiv w:val="1"/>
      <w:marLeft w:val="0"/>
      <w:marRight w:val="0"/>
      <w:marTop w:val="0"/>
      <w:marBottom w:val="0"/>
      <w:divBdr>
        <w:top w:val="none" w:sz="0" w:space="0" w:color="auto"/>
        <w:left w:val="none" w:sz="0" w:space="0" w:color="auto"/>
        <w:bottom w:val="none" w:sz="0" w:space="0" w:color="auto"/>
        <w:right w:val="none" w:sz="0" w:space="0" w:color="auto"/>
      </w:divBdr>
    </w:div>
    <w:div w:id="1760952840">
      <w:bodyDiv w:val="1"/>
      <w:marLeft w:val="0"/>
      <w:marRight w:val="0"/>
      <w:marTop w:val="0"/>
      <w:marBottom w:val="0"/>
      <w:divBdr>
        <w:top w:val="none" w:sz="0" w:space="0" w:color="auto"/>
        <w:left w:val="none" w:sz="0" w:space="0" w:color="auto"/>
        <w:bottom w:val="none" w:sz="0" w:space="0" w:color="auto"/>
        <w:right w:val="none" w:sz="0" w:space="0" w:color="auto"/>
      </w:divBdr>
    </w:div>
    <w:div w:id="1761022307">
      <w:bodyDiv w:val="1"/>
      <w:marLeft w:val="0"/>
      <w:marRight w:val="0"/>
      <w:marTop w:val="0"/>
      <w:marBottom w:val="0"/>
      <w:divBdr>
        <w:top w:val="none" w:sz="0" w:space="0" w:color="auto"/>
        <w:left w:val="none" w:sz="0" w:space="0" w:color="auto"/>
        <w:bottom w:val="none" w:sz="0" w:space="0" w:color="auto"/>
        <w:right w:val="none" w:sz="0" w:space="0" w:color="auto"/>
      </w:divBdr>
    </w:div>
    <w:div w:id="1761099944">
      <w:bodyDiv w:val="1"/>
      <w:marLeft w:val="0"/>
      <w:marRight w:val="0"/>
      <w:marTop w:val="0"/>
      <w:marBottom w:val="0"/>
      <w:divBdr>
        <w:top w:val="none" w:sz="0" w:space="0" w:color="auto"/>
        <w:left w:val="none" w:sz="0" w:space="0" w:color="auto"/>
        <w:bottom w:val="none" w:sz="0" w:space="0" w:color="auto"/>
        <w:right w:val="none" w:sz="0" w:space="0" w:color="auto"/>
      </w:divBdr>
    </w:div>
    <w:div w:id="1761100226">
      <w:bodyDiv w:val="1"/>
      <w:marLeft w:val="0"/>
      <w:marRight w:val="0"/>
      <w:marTop w:val="0"/>
      <w:marBottom w:val="0"/>
      <w:divBdr>
        <w:top w:val="none" w:sz="0" w:space="0" w:color="auto"/>
        <w:left w:val="none" w:sz="0" w:space="0" w:color="auto"/>
        <w:bottom w:val="none" w:sz="0" w:space="0" w:color="auto"/>
        <w:right w:val="none" w:sz="0" w:space="0" w:color="auto"/>
      </w:divBdr>
    </w:div>
    <w:div w:id="1761214842">
      <w:bodyDiv w:val="1"/>
      <w:marLeft w:val="0"/>
      <w:marRight w:val="0"/>
      <w:marTop w:val="0"/>
      <w:marBottom w:val="0"/>
      <w:divBdr>
        <w:top w:val="none" w:sz="0" w:space="0" w:color="auto"/>
        <w:left w:val="none" w:sz="0" w:space="0" w:color="auto"/>
        <w:bottom w:val="none" w:sz="0" w:space="0" w:color="auto"/>
        <w:right w:val="none" w:sz="0" w:space="0" w:color="auto"/>
      </w:divBdr>
    </w:div>
    <w:div w:id="1761218137">
      <w:bodyDiv w:val="1"/>
      <w:marLeft w:val="0"/>
      <w:marRight w:val="0"/>
      <w:marTop w:val="0"/>
      <w:marBottom w:val="0"/>
      <w:divBdr>
        <w:top w:val="none" w:sz="0" w:space="0" w:color="auto"/>
        <w:left w:val="none" w:sz="0" w:space="0" w:color="auto"/>
        <w:bottom w:val="none" w:sz="0" w:space="0" w:color="auto"/>
        <w:right w:val="none" w:sz="0" w:space="0" w:color="auto"/>
      </w:divBdr>
    </w:div>
    <w:div w:id="1761371845">
      <w:bodyDiv w:val="1"/>
      <w:marLeft w:val="0"/>
      <w:marRight w:val="0"/>
      <w:marTop w:val="0"/>
      <w:marBottom w:val="0"/>
      <w:divBdr>
        <w:top w:val="none" w:sz="0" w:space="0" w:color="auto"/>
        <w:left w:val="none" w:sz="0" w:space="0" w:color="auto"/>
        <w:bottom w:val="none" w:sz="0" w:space="0" w:color="auto"/>
        <w:right w:val="none" w:sz="0" w:space="0" w:color="auto"/>
      </w:divBdr>
    </w:div>
    <w:div w:id="1761443314">
      <w:bodyDiv w:val="1"/>
      <w:marLeft w:val="0"/>
      <w:marRight w:val="0"/>
      <w:marTop w:val="0"/>
      <w:marBottom w:val="0"/>
      <w:divBdr>
        <w:top w:val="none" w:sz="0" w:space="0" w:color="auto"/>
        <w:left w:val="none" w:sz="0" w:space="0" w:color="auto"/>
        <w:bottom w:val="none" w:sz="0" w:space="0" w:color="auto"/>
        <w:right w:val="none" w:sz="0" w:space="0" w:color="auto"/>
      </w:divBdr>
    </w:div>
    <w:div w:id="1761947508">
      <w:bodyDiv w:val="1"/>
      <w:marLeft w:val="0"/>
      <w:marRight w:val="0"/>
      <w:marTop w:val="0"/>
      <w:marBottom w:val="0"/>
      <w:divBdr>
        <w:top w:val="none" w:sz="0" w:space="0" w:color="auto"/>
        <w:left w:val="none" w:sz="0" w:space="0" w:color="auto"/>
        <w:bottom w:val="none" w:sz="0" w:space="0" w:color="auto"/>
        <w:right w:val="none" w:sz="0" w:space="0" w:color="auto"/>
      </w:divBdr>
    </w:div>
    <w:div w:id="1762144646">
      <w:bodyDiv w:val="1"/>
      <w:marLeft w:val="0"/>
      <w:marRight w:val="0"/>
      <w:marTop w:val="0"/>
      <w:marBottom w:val="0"/>
      <w:divBdr>
        <w:top w:val="none" w:sz="0" w:space="0" w:color="auto"/>
        <w:left w:val="none" w:sz="0" w:space="0" w:color="auto"/>
        <w:bottom w:val="none" w:sz="0" w:space="0" w:color="auto"/>
        <w:right w:val="none" w:sz="0" w:space="0" w:color="auto"/>
      </w:divBdr>
    </w:div>
    <w:div w:id="1762490436">
      <w:bodyDiv w:val="1"/>
      <w:marLeft w:val="0"/>
      <w:marRight w:val="0"/>
      <w:marTop w:val="0"/>
      <w:marBottom w:val="0"/>
      <w:divBdr>
        <w:top w:val="none" w:sz="0" w:space="0" w:color="auto"/>
        <w:left w:val="none" w:sz="0" w:space="0" w:color="auto"/>
        <w:bottom w:val="none" w:sz="0" w:space="0" w:color="auto"/>
        <w:right w:val="none" w:sz="0" w:space="0" w:color="auto"/>
      </w:divBdr>
    </w:div>
    <w:div w:id="1762948789">
      <w:bodyDiv w:val="1"/>
      <w:marLeft w:val="0"/>
      <w:marRight w:val="0"/>
      <w:marTop w:val="0"/>
      <w:marBottom w:val="0"/>
      <w:divBdr>
        <w:top w:val="none" w:sz="0" w:space="0" w:color="auto"/>
        <w:left w:val="none" w:sz="0" w:space="0" w:color="auto"/>
        <w:bottom w:val="none" w:sz="0" w:space="0" w:color="auto"/>
        <w:right w:val="none" w:sz="0" w:space="0" w:color="auto"/>
      </w:divBdr>
    </w:div>
    <w:div w:id="1763336110">
      <w:bodyDiv w:val="1"/>
      <w:marLeft w:val="0"/>
      <w:marRight w:val="0"/>
      <w:marTop w:val="0"/>
      <w:marBottom w:val="0"/>
      <w:divBdr>
        <w:top w:val="none" w:sz="0" w:space="0" w:color="auto"/>
        <w:left w:val="none" w:sz="0" w:space="0" w:color="auto"/>
        <w:bottom w:val="none" w:sz="0" w:space="0" w:color="auto"/>
        <w:right w:val="none" w:sz="0" w:space="0" w:color="auto"/>
      </w:divBdr>
    </w:div>
    <w:div w:id="1763529795">
      <w:bodyDiv w:val="1"/>
      <w:marLeft w:val="0"/>
      <w:marRight w:val="0"/>
      <w:marTop w:val="0"/>
      <w:marBottom w:val="0"/>
      <w:divBdr>
        <w:top w:val="none" w:sz="0" w:space="0" w:color="auto"/>
        <w:left w:val="none" w:sz="0" w:space="0" w:color="auto"/>
        <w:bottom w:val="none" w:sz="0" w:space="0" w:color="auto"/>
        <w:right w:val="none" w:sz="0" w:space="0" w:color="auto"/>
      </w:divBdr>
    </w:div>
    <w:div w:id="1763573786">
      <w:bodyDiv w:val="1"/>
      <w:marLeft w:val="0"/>
      <w:marRight w:val="0"/>
      <w:marTop w:val="0"/>
      <w:marBottom w:val="0"/>
      <w:divBdr>
        <w:top w:val="none" w:sz="0" w:space="0" w:color="auto"/>
        <w:left w:val="none" w:sz="0" w:space="0" w:color="auto"/>
        <w:bottom w:val="none" w:sz="0" w:space="0" w:color="auto"/>
        <w:right w:val="none" w:sz="0" w:space="0" w:color="auto"/>
      </w:divBdr>
    </w:div>
    <w:div w:id="1763574253">
      <w:bodyDiv w:val="1"/>
      <w:marLeft w:val="0"/>
      <w:marRight w:val="0"/>
      <w:marTop w:val="0"/>
      <w:marBottom w:val="0"/>
      <w:divBdr>
        <w:top w:val="none" w:sz="0" w:space="0" w:color="auto"/>
        <w:left w:val="none" w:sz="0" w:space="0" w:color="auto"/>
        <w:bottom w:val="none" w:sz="0" w:space="0" w:color="auto"/>
        <w:right w:val="none" w:sz="0" w:space="0" w:color="auto"/>
      </w:divBdr>
    </w:div>
    <w:div w:id="1763603230">
      <w:bodyDiv w:val="1"/>
      <w:marLeft w:val="0"/>
      <w:marRight w:val="0"/>
      <w:marTop w:val="0"/>
      <w:marBottom w:val="0"/>
      <w:divBdr>
        <w:top w:val="none" w:sz="0" w:space="0" w:color="auto"/>
        <w:left w:val="none" w:sz="0" w:space="0" w:color="auto"/>
        <w:bottom w:val="none" w:sz="0" w:space="0" w:color="auto"/>
        <w:right w:val="none" w:sz="0" w:space="0" w:color="auto"/>
      </w:divBdr>
    </w:div>
    <w:div w:id="1763643321">
      <w:bodyDiv w:val="1"/>
      <w:marLeft w:val="0"/>
      <w:marRight w:val="0"/>
      <w:marTop w:val="0"/>
      <w:marBottom w:val="0"/>
      <w:divBdr>
        <w:top w:val="none" w:sz="0" w:space="0" w:color="auto"/>
        <w:left w:val="none" w:sz="0" w:space="0" w:color="auto"/>
        <w:bottom w:val="none" w:sz="0" w:space="0" w:color="auto"/>
        <w:right w:val="none" w:sz="0" w:space="0" w:color="auto"/>
      </w:divBdr>
    </w:div>
    <w:div w:id="1763793587">
      <w:bodyDiv w:val="1"/>
      <w:marLeft w:val="0"/>
      <w:marRight w:val="0"/>
      <w:marTop w:val="0"/>
      <w:marBottom w:val="0"/>
      <w:divBdr>
        <w:top w:val="none" w:sz="0" w:space="0" w:color="auto"/>
        <w:left w:val="none" w:sz="0" w:space="0" w:color="auto"/>
        <w:bottom w:val="none" w:sz="0" w:space="0" w:color="auto"/>
        <w:right w:val="none" w:sz="0" w:space="0" w:color="auto"/>
      </w:divBdr>
    </w:div>
    <w:div w:id="1763987885">
      <w:bodyDiv w:val="1"/>
      <w:marLeft w:val="0"/>
      <w:marRight w:val="0"/>
      <w:marTop w:val="0"/>
      <w:marBottom w:val="0"/>
      <w:divBdr>
        <w:top w:val="none" w:sz="0" w:space="0" w:color="auto"/>
        <w:left w:val="none" w:sz="0" w:space="0" w:color="auto"/>
        <w:bottom w:val="none" w:sz="0" w:space="0" w:color="auto"/>
        <w:right w:val="none" w:sz="0" w:space="0" w:color="auto"/>
      </w:divBdr>
    </w:div>
    <w:div w:id="1764032887">
      <w:bodyDiv w:val="1"/>
      <w:marLeft w:val="0"/>
      <w:marRight w:val="0"/>
      <w:marTop w:val="0"/>
      <w:marBottom w:val="0"/>
      <w:divBdr>
        <w:top w:val="none" w:sz="0" w:space="0" w:color="auto"/>
        <w:left w:val="none" w:sz="0" w:space="0" w:color="auto"/>
        <w:bottom w:val="none" w:sz="0" w:space="0" w:color="auto"/>
        <w:right w:val="none" w:sz="0" w:space="0" w:color="auto"/>
      </w:divBdr>
    </w:div>
    <w:div w:id="1764257942">
      <w:bodyDiv w:val="1"/>
      <w:marLeft w:val="0"/>
      <w:marRight w:val="0"/>
      <w:marTop w:val="0"/>
      <w:marBottom w:val="0"/>
      <w:divBdr>
        <w:top w:val="none" w:sz="0" w:space="0" w:color="auto"/>
        <w:left w:val="none" w:sz="0" w:space="0" w:color="auto"/>
        <w:bottom w:val="none" w:sz="0" w:space="0" w:color="auto"/>
        <w:right w:val="none" w:sz="0" w:space="0" w:color="auto"/>
      </w:divBdr>
    </w:div>
    <w:div w:id="1764371557">
      <w:bodyDiv w:val="1"/>
      <w:marLeft w:val="0"/>
      <w:marRight w:val="0"/>
      <w:marTop w:val="0"/>
      <w:marBottom w:val="0"/>
      <w:divBdr>
        <w:top w:val="none" w:sz="0" w:space="0" w:color="auto"/>
        <w:left w:val="none" w:sz="0" w:space="0" w:color="auto"/>
        <w:bottom w:val="none" w:sz="0" w:space="0" w:color="auto"/>
        <w:right w:val="none" w:sz="0" w:space="0" w:color="auto"/>
      </w:divBdr>
    </w:div>
    <w:div w:id="1764565468">
      <w:bodyDiv w:val="1"/>
      <w:marLeft w:val="0"/>
      <w:marRight w:val="0"/>
      <w:marTop w:val="0"/>
      <w:marBottom w:val="0"/>
      <w:divBdr>
        <w:top w:val="none" w:sz="0" w:space="0" w:color="auto"/>
        <w:left w:val="none" w:sz="0" w:space="0" w:color="auto"/>
        <w:bottom w:val="none" w:sz="0" w:space="0" w:color="auto"/>
        <w:right w:val="none" w:sz="0" w:space="0" w:color="auto"/>
      </w:divBdr>
    </w:div>
    <w:div w:id="1764573352">
      <w:bodyDiv w:val="1"/>
      <w:marLeft w:val="0"/>
      <w:marRight w:val="0"/>
      <w:marTop w:val="0"/>
      <w:marBottom w:val="0"/>
      <w:divBdr>
        <w:top w:val="none" w:sz="0" w:space="0" w:color="auto"/>
        <w:left w:val="none" w:sz="0" w:space="0" w:color="auto"/>
        <w:bottom w:val="none" w:sz="0" w:space="0" w:color="auto"/>
        <w:right w:val="none" w:sz="0" w:space="0" w:color="auto"/>
      </w:divBdr>
    </w:div>
    <w:div w:id="1764760664">
      <w:bodyDiv w:val="1"/>
      <w:marLeft w:val="0"/>
      <w:marRight w:val="0"/>
      <w:marTop w:val="0"/>
      <w:marBottom w:val="0"/>
      <w:divBdr>
        <w:top w:val="none" w:sz="0" w:space="0" w:color="auto"/>
        <w:left w:val="none" w:sz="0" w:space="0" w:color="auto"/>
        <w:bottom w:val="none" w:sz="0" w:space="0" w:color="auto"/>
        <w:right w:val="none" w:sz="0" w:space="0" w:color="auto"/>
      </w:divBdr>
    </w:div>
    <w:div w:id="1764766738">
      <w:bodyDiv w:val="1"/>
      <w:marLeft w:val="0"/>
      <w:marRight w:val="0"/>
      <w:marTop w:val="0"/>
      <w:marBottom w:val="0"/>
      <w:divBdr>
        <w:top w:val="none" w:sz="0" w:space="0" w:color="auto"/>
        <w:left w:val="none" w:sz="0" w:space="0" w:color="auto"/>
        <w:bottom w:val="none" w:sz="0" w:space="0" w:color="auto"/>
        <w:right w:val="none" w:sz="0" w:space="0" w:color="auto"/>
      </w:divBdr>
    </w:div>
    <w:div w:id="1764908736">
      <w:bodyDiv w:val="1"/>
      <w:marLeft w:val="0"/>
      <w:marRight w:val="0"/>
      <w:marTop w:val="0"/>
      <w:marBottom w:val="0"/>
      <w:divBdr>
        <w:top w:val="none" w:sz="0" w:space="0" w:color="auto"/>
        <w:left w:val="none" w:sz="0" w:space="0" w:color="auto"/>
        <w:bottom w:val="none" w:sz="0" w:space="0" w:color="auto"/>
        <w:right w:val="none" w:sz="0" w:space="0" w:color="auto"/>
      </w:divBdr>
    </w:div>
    <w:div w:id="1764914320">
      <w:bodyDiv w:val="1"/>
      <w:marLeft w:val="0"/>
      <w:marRight w:val="0"/>
      <w:marTop w:val="0"/>
      <w:marBottom w:val="0"/>
      <w:divBdr>
        <w:top w:val="none" w:sz="0" w:space="0" w:color="auto"/>
        <w:left w:val="none" w:sz="0" w:space="0" w:color="auto"/>
        <w:bottom w:val="none" w:sz="0" w:space="0" w:color="auto"/>
        <w:right w:val="none" w:sz="0" w:space="0" w:color="auto"/>
      </w:divBdr>
    </w:div>
    <w:div w:id="1765152316">
      <w:bodyDiv w:val="1"/>
      <w:marLeft w:val="0"/>
      <w:marRight w:val="0"/>
      <w:marTop w:val="0"/>
      <w:marBottom w:val="0"/>
      <w:divBdr>
        <w:top w:val="none" w:sz="0" w:space="0" w:color="auto"/>
        <w:left w:val="none" w:sz="0" w:space="0" w:color="auto"/>
        <w:bottom w:val="none" w:sz="0" w:space="0" w:color="auto"/>
        <w:right w:val="none" w:sz="0" w:space="0" w:color="auto"/>
      </w:divBdr>
    </w:div>
    <w:div w:id="1765177275">
      <w:bodyDiv w:val="1"/>
      <w:marLeft w:val="0"/>
      <w:marRight w:val="0"/>
      <w:marTop w:val="0"/>
      <w:marBottom w:val="0"/>
      <w:divBdr>
        <w:top w:val="none" w:sz="0" w:space="0" w:color="auto"/>
        <w:left w:val="none" w:sz="0" w:space="0" w:color="auto"/>
        <w:bottom w:val="none" w:sz="0" w:space="0" w:color="auto"/>
        <w:right w:val="none" w:sz="0" w:space="0" w:color="auto"/>
      </w:divBdr>
    </w:div>
    <w:div w:id="1765298507">
      <w:bodyDiv w:val="1"/>
      <w:marLeft w:val="0"/>
      <w:marRight w:val="0"/>
      <w:marTop w:val="0"/>
      <w:marBottom w:val="0"/>
      <w:divBdr>
        <w:top w:val="none" w:sz="0" w:space="0" w:color="auto"/>
        <w:left w:val="none" w:sz="0" w:space="0" w:color="auto"/>
        <w:bottom w:val="none" w:sz="0" w:space="0" w:color="auto"/>
        <w:right w:val="none" w:sz="0" w:space="0" w:color="auto"/>
      </w:divBdr>
    </w:div>
    <w:div w:id="1765565248">
      <w:bodyDiv w:val="1"/>
      <w:marLeft w:val="0"/>
      <w:marRight w:val="0"/>
      <w:marTop w:val="0"/>
      <w:marBottom w:val="0"/>
      <w:divBdr>
        <w:top w:val="none" w:sz="0" w:space="0" w:color="auto"/>
        <w:left w:val="none" w:sz="0" w:space="0" w:color="auto"/>
        <w:bottom w:val="none" w:sz="0" w:space="0" w:color="auto"/>
        <w:right w:val="none" w:sz="0" w:space="0" w:color="auto"/>
      </w:divBdr>
    </w:div>
    <w:div w:id="1765761656">
      <w:bodyDiv w:val="1"/>
      <w:marLeft w:val="0"/>
      <w:marRight w:val="0"/>
      <w:marTop w:val="0"/>
      <w:marBottom w:val="0"/>
      <w:divBdr>
        <w:top w:val="none" w:sz="0" w:space="0" w:color="auto"/>
        <w:left w:val="none" w:sz="0" w:space="0" w:color="auto"/>
        <w:bottom w:val="none" w:sz="0" w:space="0" w:color="auto"/>
        <w:right w:val="none" w:sz="0" w:space="0" w:color="auto"/>
      </w:divBdr>
    </w:div>
    <w:div w:id="1765882522">
      <w:bodyDiv w:val="1"/>
      <w:marLeft w:val="0"/>
      <w:marRight w:val="0"/>
      <w:marTop w:val="0"/>
      <w:marBottom w:val="0"/>
      <w:divBdr>
        <w:top w:val="none" w:sz="0" w:space="0" w:color="auto"/>
        <w:left w:val="none" w:sz="0" w:space="0" w:color="auto"/>
        <w:bottom w:val="none" w:sz="0" w:space="0" w:color="auto"/>
        <w:right w:val="none" w:sz="0" w:space="0" w:color="auto"/>
      </w:divBdr>
    </w:div>
    <w:div w:id="1765953324">
      <w:bodyDiv w:val="1"/>
      <w:marLeft w:val="0"/>
      <w:marRight w:val="0"/>
      <w:marTop w:val="0"/>
      <w:marBottom w:val="0"/>
      <w:divBdr>
        <w:top w:val="none" w:sz="0" w:space="0" w:color="auto"/>
        <w:left w:val="none" w:sz="0" w:space="0" w:color="auto"/>
        <w:bottom w:val="none" w:sz="0" w:space="0" w:color="auto"/>
        <w:right w:val="none" w:sz="0" w:space="0" w:color="auto"/>
      </w:divBdr>
    </w:div>
    <w:div w:id="1766268489">
      <w:bodyDiv w:val="1"/>
      <w:marLeft w:val="0"/>
      <w:marRight w:val="0"/>
      <w:marTop w:val="0"/>
      <w:marBottom w:val="0"/>
      <w:divBdr>
        <w:top w:val="none" w:sz="0" w:space="0" w:color="auto"/>
        <w:left w:val="none" w:sz="0" w:space="0" w:color="auto"/>
        <w:bottom w:val="none" w:sz="0" w:space="0" w:color="auto"/>
        <w:right w:val="none" w:sz="0" w:space="0" w:color="auto"/>
      </w:divBdr>
    </w:div>
    <w:div w:id="1766417918">
      <w:bodyDiv w:val="1"/>
      <w:marLeft w:val="0"/>
      <w:marRight w:val="0"/>
      <w:marTop w:val="0"/>
      <w:marBottom w:val="0"/>
      <w:divBdr>
        <w:top w:val="none" w:sz="0" w:space="0" w:color="auto"/>
        <w:left w:val="none" w:sz="0" w:space="0" w:color="auto"/>
        <w:bottom w:val="none" w:sz="0" w:space="0" w:color="auto"/>
        <w:right w:val="none" w:sz="0" w:space="0" w:color="auto"/>
      </w:divBdr>
    </w:div>
    <w:div w:id="1766417940">
      <w:bodyDiv w:val="1"/>
      <w:marLeft w:val="0"/>
      <w:marRight w:val="0"/>
      <w:marTop w:val="0"/>
      <w:marBottom w:val="0"/>
      <w:divBdr>
        <w:top w:val="none" w:sz="0" w:space="0" w:color="auto"/>
        <w:left w:val="none" w:sz="0" w:space="0" w:color="auto"/>
        <w:bottom w:val="none" w:sz="0" w:space="0" w:color="auto"/>
        <w:right w:val="none" w:sz="0" w:space="0" w:color="auto"/>
      </w:divBdr>
    </w:div>
    <w:div w:id="1766806335">
      <w:bodyDiv w:val="1"/>
      <w:marLeft w:val="0"/>
      <w:marRight w:val="0"/>
      <w:marTop w:val="0"/>
      <w:marBottom w:val="0"/>
      <w:divBdr>
        <w:top w:val="none" w:sz="0" w:space="0" w:color="auto"/>
        <w:left w:val="none" w:sz="0" w:space="0" w:color="auto"/>
        <w:bottom w:val="none" w:sz="0" w:space="0" w:color="auto"/>
        <w:right w:val="none" w:sz="0" w:space="0" w:color="auto"/>
      </w:divBdr>
    </w:div>
    <w:div w:id="1767115084">
      <w:bodyDiv w:val="1"/>
      <w:marLeft w:val="0"/>
      <w:marRight w:val="0"/>
      <w:marTop w:val="0"/>
      <w:marBottom w:val="0"/>
      <w:divBdr>
        <w:top w:val="none" w:sz="0" w:space="0" w:color="auto"/>
        <w:left w:val="none" w:sz="0" w:space="0" w:color="auto"/>
        <w:bottom w:val="none" w:sz="0" w:space="0" w:color="auto"/>
        <w:right w:val="none" w:sz="0" w:space="0" w:color="auto"/>
      </w:divBdr>
    </w:div>
    <w:div w:id="1767337269">
      <w:bodyDiv w:val="1"/>
      <w:marLeft w:val="0"/>
      <w:marRight w:val="0"/>
      <w:marTop w:val="0"/>
      <w:marBottom w:val="0"/>
      <w:divBdr>
        <w:top w:val="none" w:sz="0" w:space="0" w:color="auto"/>
        <w:left w:val="none" w:sz="0" w:space="0" w:color="auto"/>
        <w:bottom w:val="none" w:sz="0" w:space="0" w:color="auto"/>
        <w:right w:val="none" w:sz="0" w:space="0" w:color="auto"/>
      </w:divBdr>
    </w:div>
    <w:div w:id="1767580952">
      <w:bodyDiv w:val="1"/>
      <w:marLeft w:val="0"/>
      <w:marRight w:val="0"/>
      <w:marTop w:val="0"/>
      <w:marBottom w:val="0"/>
      <w:divBdr>
        <w:top w:val="none" w:sz="0" w:space="0" w:color="auto"/>
        <w:left w:val="none" w:sz="0" w:space="0" w:color="auto"/>
        <w:bottom w:val="none" w:sz="0" w:space="0" w:color="auto"/>
        <w:right w:val="none" w:sz="0" w:space="0" w:color="auto"/>
      </w:divBdr>
    </w:div>
    <w:div w:id="1767650826">
      <w:bodyDiv w:val="1"/>
      <w:marLeft w:val="0"/>
      <w:marRight w:val="0"/>
      <w:marTop w:val="0"/>
      <w:marBottom w:val="0"/>
      <w:divBdr>
        <w:top w:val="none" w:sz="0" w:space="0" w:color="auto"/>
        <w:left w:val="none" w:sz="0" w:space="0" w:color="auto"/>
        <w:bottom w:val="none" w:sz="0" w:space="0" w:color="auto"/>
        <w:right w:val="none" w:sz="0" w:space="0" w:color="auto"/>
      </w:divBdr>
    </w:div>
    <w:div w:id="1767770101">
      <w:bodyDiv w:val="1"/>
      <w:marLeft w:val="0"/>
      <w:marRight w:val="0"/>
      <w:marTop w:val="0"/>
      <w:marBottom w:val="0"/>
      <w:divBdr>
        <w:top w:val="none" w:sz="0" w:space="0" w:color="auto"/>
        <w:left w:val="none" w:sz="0" w:space="0" w:color="auto"/>
        <w:bottom w:val="none" w:sz="0" w:space="0" w:color="auto"/>
        <w:right w:val="none" w:sz="0" w:space="0" w:color="auto"/>
      </w:divBdr>
    </w:div>
    <w:div w:id="1767845070">
      <w:bodyDiv w:val="1"/>
      <w:marLeft w:val="0"/>
      <w:marRight w:val="0"/>
      <w:marTop w:val="0"/>
      <w:marBottom w:val="0"/>
      <w:divBdr>
        <w:top w:val="none" w:sz="0" w:space="0" w:color="auto"/>
        <w:left w:val="none" w:sz="0" w:space="0" w:color="auto"/>
        <w:bottom w:val="none" w:sz="0" w:space="0" w:color="auto"/>
        <w:right w:val="none" w:sz="0" w:space="0" w:color="auto"/>
      </w:divBdr>
    </w:div>
    <w:div w:id="1767967042">
      <w:bodyDiv w:val="1"/>
      <w:marLeft w:val="0"/>
      <w:marRight w:val="0"/>
      <w:marTop w:val="0"/>
      <w:marBottom w:val="0"/>
      <w:divBdr>
        <w:top w:val="none" w:sz="0" w:space="0" w:color="auto"/>
        <w:left w:val="none" w:sz="0" w:space="0" w:color="auto"/>
        <w:bottom w:val="none" w:sz="0" w:space="0" w:color="auto"/>
        <w:right w:val="none" w:sz="0" w:space="0" w:color="auto"/>
      </w:divBdr>
    </w:div>
    <w:div w:id="1768186971">
      <w:bodyDiv w:val="1"/>
      <w:marLeft w:val="0"/>
      <w:marRight w:val="0"/>
      <w:marTop w:val="0"/>
      <w:marBottom w:val="0"/>
      <w:divBdr>
        <w:top w:val="none" w:sz="0" w:space="0" w:color="auto"/>
        <w:left w:val="none" w:sz="0" w:space="0" w:color="auto"/>
        <w:bottom w:val="none" w:sz="0" w:space="0" w:color="auto"/>
        <w:right w:val="none" w:sz="0" w:space="0" w:color="auto"/>
      </w:divBdr>
    </w:div>
    <w:div w:id="1768499770">
      <w:bodyDiv w:val="1"/>
      <w:marLeft w:val="0"/>
      <w:marRight w:val="0"/>
      <w:marTop w:val="0"/>
      <w:marBottom w:val="0"/>
      <w:divBdr>
        <w:top w:val="none" w:sz="0" w:space="0" w:color="auto"/>
        <w:left w:val="none" w:sz="0" w:space="0" w:color="auto"/>
        <w:bottom w:val="none" w:sz="0" w:space="0" w:color="auto"/>
        <w:right w:val="none" w:sz="0" w:space="0" w:color="auto"/>
      </w:divBdr>
    </w:div>
    <w:div w:id="1768650186">
      <w:bodyDiv w:val="1"/>
      <w:marLeft w:val="0"/>
      <w:marRight w:val="0"/>
      <w:marTop w:val="0"/>
      <w:marBottom w:val="0"/>
      <w:divBdr>
        <w:top w:val="none" w:sz="0" w:space="0" w:color="auto"/>
        <w:left w:val="none" w:sz="0" w:space="0" w:color="auto"/>
        <w:bottom w:val="none" w:sz="0" w:space="0" w:color="auto"/>
        <w:right w:val="none" w:sz="0" w:space="0" w:color="auto"/>
      </w:divBdr>
    </w:div>
    <w:div w:id="1768697555">
      <w:bodyDiv w:val="1"/>
      <w:marLeft w:val="0"/>
      <w:marRight w:val="0"/>
      <w:marTop w:val="0"/>
      <w:marBottom w:val="0"/>
      <w:divBdr>
        <w:top w:val="none" w:sz="0" w:space="0" w:color="auto"/>
        <w:left w:val="none" w:sz="0" w:space="0" w:color="auto"/>
        <w:bottom w:val="none" w:sz="0" w:space="0" w:color="auto"/>
        <w:right w:val="none" w:sz="0" w:space="0" w:color="auto"/>
      </w:divBdr>
    </w:div>
    <w:div w:id="1768840795">
      <w:bodyDiv w:val="1"/>
      <w:marLeft w:val="0"/>
      <w:marRight w:val="0"/>
      <w:marTop w:val="0"/>
      <w:marBottom w:val="0"/>
      <w:divBdr>
        <w:top w:val="none" w:sz="0" w:space="0" w:color="auto"/>
        <w:left w:val="none" w:sz="0" w:space="0" w:color="auto"/>
        <w:bottom w:val="none" w:sz="0" w:space="0" w:color="auto"/>
        <w:right w:val="none" w:sz="0" w:space="0" w:color="auto"/>
      </w:divBdr>
    </w:div>
    <w:div w:id="1768964941">
      <w:bodyDiv w:val="1"/>
      <w:marLeft w:val="0"/>
      <w:marRight w:val="0"/>
      <w:marTop w:val="0"/>
      <w:marBottom w:val="0"/>
      <w:divBdr>
        <w:top w:val="none" w:sz="0" w:space="0" w:color="auto"/>
        <w:left w:val="none" w:sz="0" w:space="0" w:color="auto"/>
        <w:bottom w:val="none" w:sz="0" w:space="0" w:color="auto"/>
        <w:right w:val="none" w:sz="0" w:space="0" w:color="auto"/>
      </w:divBdr>
    </w:div>
    <w:div w:id="1769080279">
      <w:bodyDiv w:val="1"/>
      <w:marLeft w:val="0"/>
      <w:marRight w:val="0"/>
      <w:marTop w:val="0"/>
      <w:marBottom w:val="0"/>
      <w:divBdr>
        <w:top w:val="none" w:sz="0" w:space="0" w:color="auto"/>
        <w:left w:val="none" w:sz="0" w:space="0" w:color="auto"/>
        <w:bottom w:val="none" w:sz="0" w:space="0" w:color="auto"/>
        <w:right w:val="none" w:sz="0" w:space="0" w:color="auto"/>
      </w:divBdr>
    </w:div>
    <w:div w:id="1769109957">
      <w:bodyDiv w:val="1"/>
      <w:marLeft w:val="0"/>
      <w:marRight w:val="0"/>
      <w:marTop w:val="0"/>
      <w:marBottom w:val="0"/>
      <w:divBdr>
        <w:top w:val="none" w:sz="0" w:space="0" w:color="auto"/>
        <w:left w:val="none" w:sz="0" w:space="0" w:color="auto"/>
        <w:bottom w:val="none" w:sz="0" w:space="0" w:color="auto"/>
        <w:right w:val="none" w:sz="0" w:space="0" w:color="auto"/>
      </w:divBdr>
    </w:div>
    <w:div w:id="1769500641">
      <w:bodyDiv w:val="1"/>
      <w:marLeft w:val="0"/>
      <w:marRight w:val="0"/>
      <w:marTop w:val="0"/>
      <w:marBottom w:val="0"/>
      <w:divBdr>
        <w:top w:val="none" w:sz="0" w:space="0" w:color="auto"/>
        <w:left w:val="none" w:sz="0" w:space="0" w:color="auto"/>
        <w:bottom w:val="none" w:sz="0" w:space="0" w:color="auto"/>
        <w:right w:val="none" w:sz="0" w:space="0" w:color="auto"/>
      </w:divBdr>
    </w:div>
    <w:div w:id="1769621930">
      <w:bodyDiv w:val="1"/>
      <w:marLeft w:val="0"/>
      <w:marRight w:val="0"/>
      <w:marTop w:val="0"/>
      <w:marBottom w:val="0"/>
      <w:divBdr>
        <w:top w:val="none" w:sz="0" w:space="0" w:color="auto"/>
        <w:left w:val="none" w:sz="0" w:space="0" w:color="auto"/>
        <w:bottom w:val="none" w:sz="0" w:space="0" w:color="auto"/>
        <w:right w:val="none" w:sz="0" w:space="0" w:color="auto"/>
      </w:divBdr>
    </w:div>
    <w:div w:id="1769689173">
      <w:bodyDiv w:val="1"/>
      <w:marLeft w:val="0"/>
      <w:marRight w:val="0"/>
      <w:marTop w:val="0"/>
      <w:marBottom w:val="0"/>
      <w:divBdr>
        <w:top w:val="none" w:sz="0" w:space="0" w:color="auto"/>
        <w:left w:val="none" w:sz="0" w:space="0" w:color="auto"/>
        <w:bottom w:val="none" w:sz="0" w:space="0" w:color="auto"/>
        <w:right w:val="none" w:sz="0" w:space="0" w:color="auto"/>
      </w:divBdr>
    </w:div>
    <w:div w:id="1769697245">
      <w:bodyDiv w:val="1"/>
      <w:marLeft w:val="0"/>
      <w:marRight w:val="0"/>
      <w:marTop w:val="0"/>
      <w:marBottom w:val="0"/>
      <w:divBdr>
        <w:top w:val="none" w:sz="0" w:space="0" w:color="auto"/>
        <w:left w:val="none" w:sz="0" w:space="0" w:color="auto"/>
        <w:bottom w:val="none" w:sz="0" w:space="0" w:color="auto"/>
        <w:right w:val="none" w:sz="0" w:space="0" w:color="auto"/>
      </w:divBdr>
    </w:div>
    <w:div w:id="1769931628">
      <w:bodyDiv w:val="1"/>
      <w:marLeft w:val="0"/>
      <w:marRight w:val="0"/>
      <w:marTop w:val="0"/>
      <w:marBottom w:val="0"/>
      <w:divBdr>
        <w:top w:val="none" w:sz="0" w:space="0" w:color="auto"/>
        <w:left w:val="none" w:sz="0" w:space="0" w:color="auto"/>
        <w:bottom w:val="none" w:sz="0" w:space="0" w:color="auto"/>
        <w:right w:val="none" w:sz="0" w:space="0" w:color="auto"/>
      </w:divBdr>
    </w:div>
    <w:div w:id="1771119579">
      <w:bodyDiv w:val="1"/>
      <w:marLeft w:val="0"/>
      <w:marRight w:val="0"/>
      <w:marTop w:val="0"/>
      <w:marBottom w:val="0"/>
      <w:divBdr>
        <w:top w:val="none" w:sz="0" w:space="0" w:color="auto"/>
        <w:left w:val="none" w:sz="0" w:space="0" w:color="auto"/>
        <w:bottom w:val="none" w:sz="0" w:space="0" w:color="auto"/>
        <w:right w:val="none" w:sz="0" w:space="0" w:color="auto"/>
      </w:divBdr>
    </w:div>
    <w:div w:id="1771270804">
      <w:bodyDiv w:val="1"/>
      <w:marLeft w:val="0"/>
      <w:marRight w:val="0"/>
      <w:marTop w:val="0"/>
      <w:marBottom w:val="0"/>
      <w:divBdr>
        <w:top w:val="none" w:sz="0" w:space="0" w:color="auto"/>
        <w:left w:val="none" w:sz="0" w:space="0" w:color="auto"/>
        <w:bottom w:val="none" w:sz="0" w:space="0" w:color="auto"/>
        <w:right w:val="none" w:sz="0" w:space="0" w:color="auto"/>
      </w:divBdr>
    </w:div>
    <w:div w:id="1771462455">
      <w:bodyDiv w:val="1"/>
      <w:marLeft w:val="0"/>
      <w:marRight w:val="0"/>
      <w:marTop w:val="0"/>
      <w:marBottom w:val="0"/>
      <w:divBdr>
        <w:top w:val="none" w:sz="0" w:space="0" w:color="auto"/>
        <w:left w:val="none" w:sz="0" w:space="0" w:color="auto"/>
        <w:bottom w:val="none" w:sz="0" w:space="0" w:color="auto"/>
        <w:right w:val="none" w:sz="0" w:space="0" w:color="auto"/>
      </w:divBdr>
    </w:div>
    <w:div w:id="1771587881">
      <w:bodyDiv w:val="1"/>
      <w:marLeft w:val="0"/>
      <w:marRight w:val="0"/>
      <w:marTop w:val="0"/>
      <w:marBottom w:val="0"/>
      <w:divBdr>
        <w:top w:val="none" w:sz="0" w:space="0" w:color="auto"/>
        <w:left w:val="none" w:sz="0" w:space="0" w:color="auto"/>
        <w:bottom w:val="none" w:sz="0" w:space="0" w:color="auto"/>
        <w:right w:val="none" w:sz="0" w:space="0" w:color="auto"/>
      </w:divBdr>
    </w:div>
    <w:div w:id="1771780223">
      <w:bodyDiv w:val="1"/>
      <w:marLeft w:val="0"/>
      <w:marRight w:val="0"/>
      <w:marTop w:val="0"/>
      <w:marBottom w:val="0"/>
      <w:divBdr>
        <w:top w:val="none" w:sz="0" w:space="0" w:color="auto"/>
        <w:left w:val="none" w:sz="0" w:space="0" w:color="auto"/>
        <w:bottom w:val="none" w:sz="0" w:space="0" w:color="auto"/>
        <w:right w:val="none" w:sz="0" w:space="0" w:color="auto"/>
      </w:divBdr>
    </w:div>
    <w:div w:id="1771925718">
      <w:bodyDiv w:val="1"/>
      <w:marLeft w:val="0"/>
      <w:marRight w:val="0"/>
      <w:marTop w:val="0"/>
      <w:marBottom w:val="0"/>
      <w:divBdr>
        <w:top w:val="none" w:sz="0" w:space="0" w:color="auto"/>
        <w:left w:val="none" w:sz="0" w:space="0" w:color="auto"/>
        <w:bottom w:val="none" w:sz="0" w:space="0" w:color="auto"/>
        <w:right w:val="none" w:sz="0" w:space="0" w:color="auto"/>
      </w:divBdr>
    </w:div>
    <w:div w:id="1771929143">
      <w:bodyDiv w:val="1"/>
      <w:marLeft w:val="0"/>
      <w:marRight w:val="0"/>
      <w:marTop w:val="0"/>
      <w:marBottom w:val="0"/>
      <w:divBdr>
        <w:top w:val="none" w:sz="0" w:space="0" w:color="auto"/>
        <w:left w:val="none" w:sz="0" w:space="0" w:color="auto"/>
        <w:bottom w:val="none" w:sz="0" w:space="0" w:color="auto"/>
        <w:right w:val="none" w:sz="0" w:space="0" w:color="auto"/>
      </w:divBdr>
    </w:div>
    <w:div w:id="1772698319">
      <w:bodyDiv w:val="1"/>
      <w:marLeft w:val="0"/>
      <w:marRight w:val="0"/>
      <w:marTop w:val="0"/>
      <w:marBottom w:val="0"/>
      <w:divBdr>
        <w:top w:val="none" w:sz="0" w:space="0" w:color="auto"/>
        <w:left w:val="none" w:sz="0" w:space="0" w:color="auto"/>
        <w:bottom w:val="none" w:sz="0" w:space="0" w:color="auto"/>
        <w:right w:val="none" w:sz="0" w:space="0" w:color="auto"/>
      </w:divBdr>
    </w:div>
    <w:div w:id="1772820776">
      <w:bodyDiv w:val="1"/>
      <w:marLeft w:val="0"/>
      <w:marRight w:val="0"/>
      <w:marTop w:val="0"/>
      <w:marBottom w:val="0"/>
      <w:divBdr>
        <w:top w:val="none" w:sz="0" w:space="0" w:color="auto"/>
        <w:left w:val="none" w:sz="0" w:space="0" w:color="auto"/>
        <w:bottom w:val="none" w:sz="0" w:space="0" w:color="auto"/>
        <w:right w:val="none" w:sz="0" w:space="0" w:color="auto"/>
      </w:divBdr>
    </w:div>
    <w:div w:id="1773208747">
      <w:bodyDiv w:val="1"/>
      <w:marLeft w:val="0"/>
      <w:marRight w:val="0"/>
      <w:marTop w:val="0"/>
      <w:marBottom w:val="0"/>
      <w:divBdr>
        <w:top w:val="none" w:sz="0" w:space="0" w:color="auto"/>
        <w:left w:val="none" w:sz="0" w:space="0" w:color="auto"/>
        <w:bottom w:val="none" w:sz="0" w:space="0" w:color="auto"/>
        <w:right w:val="none" w:sz="0" w:space="0" w:color="auto"/>
      </w:divBdr>
    </w:div>
    <w:div w:id="1773210272">
      <w:bodyDiv w:val="1"/>
      <w:marLeft w:val="0"/>
      <w:marRight w:val="0"/>
      <w:marTop w:val="0"/>
      <w:marBottom w:val="0"/>
      <w:divBdr>
        <w:top w:val="none" w:sz="0" w:space="0" w:color="auto"/>
        <w:left w:val="none" w:sz="0" w:space="0" w:color="auto"/>
        <w:bottom w:val="none" w:sz="0" w:space="0" w:color="auto"/>
        <w:right w:val="none" w:sz="0" w:space="0" w:color="auto"/>
      </w:divBdr>
    </w:div>
    <w:div w:id="1773667075">
      <w:bodyDiv w:val="1"/>
      <w:marLeft w:val="0"/>
      <w:marRight w:val="0"/>
      <w:marTop w:val="0"/>
      <w:marBottom w:val="0"/>
      <w:divBdr>
        <w:top w:val="none" w:sz="0" w:space="0" w:color="auto"/>
        <w:left w:val="none" w:sz="0" w:space="0" w:color="auto"/>
        <w:bottom w:val="none" w:sz="0" w:space="0" w:color="auto"/>
        <w:right w:val="none" w:sz="0" w:space="0" w:color="auto"/>
      </w:divBdr>
    </w:div>
    <w:div w:id="1773931686">
      <w:bodyDiv w:val="1"/>
      <w:marLeft w:val="0"/>
      <w:marRight w:val="0"/>
      <w:marTop w:val="0"/>
      <w:marBottom w:val="0"/>
      <w:divBdr>
        <w:top w:val="none" w:sz="0" w:space="0" w:color="auto"/>
        <w:left w:val="none" w:sz="0" w:space="0" w:color="auto"/>
        <w:bottom w:val="none" w:sz="0" w:space="0" w:color="auto"/>
        <w:right w:val="none" w:sz="0" w:space="0" w:color="auto"/>
      </w:divBdr>
    </w:div>
    <w:div w:id="1773936636">
      <w:bodyDiv w:val="1"/>
      <w:marLeft w:val="0"/>
      <w:marRight w:val="0"/>
      <w:marTop w:val="0"/>
      <w:marBottom w:val="0"/>
      <w:divBdr>
        <w:top w:val="none" w:sz="0" w:space="0" w:color="auto"/>
        <w:left w:val="none" w:sz="0" w:space="0" w:color="auto"/>
        <w:bottom w:val="none" w:sz="0" w:space="0" w:color="auto"/>
        <w:right w:val="none" w:sz="0" w:space="0" w:color="auto"/>
      </w:divBdr>
    </w:div>
    <w:div w:id="1774010715">
      <w:bodyDiv w:val="1"/>
      <w:marLeft w:val="0"/>
      <w:marRight w:val="0"/>
      <w:marTop w:val="0"/>
      <w:marBottom w:val="0"/>
      <w:divBdr>
        <w:top w:val="none" w:sz="0" w:space="0" w:color="auto"/>
        <w:left w:val="none" w:sz="0" w:space="0" w:color="auto"/>
        <w:bottom w:val="none" w:sz="0" w:space="0" w:color="auto"/>
        <w:right w:val="none" w:sz="0" w:space="0" w:color="auto"/>
      </w:divBdr>
    </w:div>
    <w:div w:id="1774401108">
      <w:bodyDiv w:val="1"/>
      <w:marLeft w:val="0"/>
      <w:marRight w:val="0"/>
      <w:marTop w:val="0"/>
      <w:marBottom w:val="0"/>
      <w:divBdr>
        <w:top w:val="none" w:sz="0" w:space="0" w:color="auto"/>
        <w:left w:val="none" w:sz="0" w:space="0" w:color="auto"/>
        <w:bottom w:val="none" w:sz="0" w:space="0" w:color="auto"/>
        <w:right w:val="none" w:sz="0" w:space="0" w:color="auto"/>
      </w:divBdr>
    </w:div>
    <w:div w:id="1774402670">
      <w:bodyDiv w:val="1"/>
      <w:marLeft w:val="0"/>
      <w:marRight w:val="0"/>
      <w:marTop w:val="0"/>
      <w:marBottom w:val="0"/>
      <w:divBdr>
        <w:top w:val="none" w:sz="0" w:space="0" w:color="auto"/>
        <w:left w:val="none" w:sz="0" w:space="0" w:color="auto"/>
        <w:bottom w:val="none" w:sz="0" w:space="0" w:color="auto"/>
        <w:right w:val="none" w:sz="0" w:space="0" w:color="auto"/>
      </w:divBdr>
    </w:div>
    <w:div w:id="1774590266">
      <w:bodyDiv w:val="1"/>
      <w:marLeft w:val="0"/>
      <w:marRight w:val="0"/>
      <w:marTop w:val="0"/>
      <w:marBottom w:val="0"/>
      <w:divBdr>
        <w:top w:val="none" w:sz="0" w:space="0" w:color="auto"/>
        <w:left w:val="none" w:sz="0" w:space="0" w:color="auto"/>
        <w:bottom w:val="none" w:sz="0" w:space="0" w:color="auto"/>
        <w:right w:val="none" w:sz="0" w:space="0" w:color="auto"/>
      </w:divBdr>
    </w:div>
    <w:div w:id="1774594496">
      <w:bodyDiv w:val="1"/>
      <w:marLeft w:val="0"/>
      <w:marRight w:val="0"/>
      <w:marTop w:val="0"/>
      <w:marBottom w:val="0"/>
      <w:divBdr>
        <w:top w:val="none" w:sz="0" w:space="0" w:color="auto"/>
        <w:left w:val="none" w:sz="0" w:space="0" w:color="auto"/>
        <w:bottom w:val="none" w:sz="0" w:space="0" w:color="auto"/>
        <w:right w:val="none" w:sz="0" w:space="0" w:color="auto"/>
      </w:divBdr>
    </w:div>
    <w:div w:id="1774663407">
      <w:bodyDiv w:val="1"/>
      <w:marLeft w:val="0"/>
      <w:marRight w:val="0"/>
      <w:marTop w:val="0"/>
      <w:marBottom w:val="0"/>
      <w:divBdr>
        <w:top w:val="none" w:sz="0" w:space="0" w:color="auto"/>
        <w:left w:val="none" w:sz="0" w:space="0" w:color="auto"/>
        <w:bottom w:val="none" w:sz="0" w:space="0" w:color="auto"/>
        <w:right w:val="none" w:sz="0" w:space="0" w:color="auto"/>
      </w:divBdr>
    </w:div>
    <w:div w:id="1774671156">
      <w:bodyDiv w:val="1"/>
      <w:marLeft w:val="0"/>
      <w:marRight w:val="0"/>
      <w:marTop w:val="0"/>
      <w:marBottom w:val="0"/>
      <w:divBdr>
        <w:top w:val="none" w:sz="0" w:space="0" w:color="auto"/>
        <w:left w:val="none" w:sz="0" w:space="0" w:color="auto"/>
        <w:bottom w:val="none" w:sz="0" w:space="0" w:color="auto"/>
        <w:right w:val="none" w:sz="0" w:space="0" w:color="auto"/>
      </w:divBdr>
    </w:div>
    <w:div w:id="1774738564">
      <w:bodyDiv w:val="1"/>
      <w:marLeft w:val="0"/>
      <w:marRight w:val="0"/>
      <w:marTop w:val="0"/>
      <w:marBottom w:val="0"/>
      <w:divBdr>
        <w:top w:val="none" w:sz="0" w:space="0" w:color="auto"/>
        <w:left w:val="none" w:sz="0" w:space="0" w:color="auto"/>
        <w:bottom w:val="none" w:sz="0" w:space="0" w:color="auto"/>
        <w:right w:val="none" w:sz="0" w:space="0" w:color="auto"/>
      </w:divBdr>
    </w:div>
    <w:div w:id="1774939566">
      <w:bodyDiv w:val="1"/>
      <w:marLeft w:val="0"/>
      <w:marRight w:val="0"/>
      <w:marTop w:val="0"/>
      <w:marBottom w:val="0"/>
      <w:divBdr>
        <w:top w:val="none" w:sz="0" w:space="0" w:color="auto"/>
        <w:left w:val="none" w:sz="0" w:space="0" w:color="auto"/>
        <w:bottom w:val="none" w:sz="0" w:space="0" w:color="auto"/>
        <w:right w:val="none" w:sz="0" w:space="0" w:color="auto"/>
      </w:divBdr>
    </w:div>
    <w:div w:id="1774981903">
      <w:bodyDiv w:val="1"/>
      <w:marLeft w:val="0"/>
      <w:marRight w:val="0"/>
      <w:marTop w:val="0"/>
      <w:marBottom w:val="0"/>
      <w:divBdr>
        <w:top w:val="none" w:sz="0" w:space="0" w:color="auto"/>
        <w:left w:val="none" w:sz="0" w:space="0" w:color="auto"/>
        <w:bottom w:val="none" w:sz="0" w:space="0" w:color="auto"/>
        <w:right w:val="none" w:sz="0" w:space="0" w:color="auto"/>
      </w:divBdr>
    </w:div>
    <w:div w:id="1775125566">
      <w:bodyDiv w:val="1"/>
      <w:marLeft w:val="0"/>
      <w:marRight w:val="0"/>
      <w:marTop w:val="0"/>
      <w:marBottom w:val="0"/>
      <w:divBdr>
        <w:top w:val="none" w:sz="0" w:space="0" w:color="auto"/>
        <w:left w:val="none" w:sz="0" w:space="0" w:color="auto"/>
        <w:bottom w:val="none" w:sz="0" w:space="0" w:color="auto"/>
        <w:right w:val="none" w:sz="0" w:space="0" w:color="auto"/>
      </w:divBdr>
    </w:div>
    <w:div w:id="1775176109">
      <w:bodyDiv w:val="1"/>
      <w:marLeft w:val="0"/>
      <w:marRight w:val="0"/>
      <w:marTop w:val="0"/>
      <w:marBottom w:val="0"/>
      <w:divBdr>
        <w:top w:val="none" w:sz="0" w:space="0" w:color="auto"/>
        <w:left w:val="none" w:sz="0" w:space="0" w:color="auto"/>
        <w:bottom w:val="none" w:sz="0" w:space="0" w:color="auto"/>
        <w:right w:val="none" w:sz="0" w:space="0" w:color="auto"/>
      </w:divBdr>
    </w:div>
    <w:div w:id="1775203269">
      <w:bodyDiv w:val="1"/>
      <w:marLeft w:val="0"/>
      <w:marRight w:val="0"/>
      <w:marTop w:val="0"/>
      <w:marBottom w:val="0"/>
      <w:divBdr>
        <w:top w:val="none" w:sz="0" w:space="0" w:color="auto"/>
        <w:left w:val="none" w:sz="0" w:space="0" w:color="auto"/>
        <w:bottom w:val="none" w:sz="0" w:space="0" w:color="auto"/>
        <w:right w:val="none" w:sz="0" w:space="0" w:color="auto"/>
      </w:divBdr>
    </w:div>
    <w:div w:id="1775319863">
      <w:bodyDiv w:val="1"/>
      <w:marLeft w:val="0"/>
      <w:marRight w:val="0"/>
      <w:marTop w:val="0"/>
      <w:marBottom w:val="0"/>
      <w:divBdr>
        <w:top w:val="none" w:sz="0" w:space="0" w:color="auto"/>
        <w:left w:val="none" w:sz="0" w:space="0" w:color="auto"/>
        <w:bottom w:val="none" w:sz="0" w:space="0" w:color="auto"/>
        <w:right w:val="none" w:sz="0" w:space="0" w:color="auto"/>
      </w:divBdr>
    </w:div>
    <w:div w:id="1775512480">
      <w:bodyDiv w:val="1"/>
      <w:marLeft w:val="0"/>
      <w:marRight w:val="0"/>
      <w:marTop w:val="0"/>
      <w:marBottom w:val="0"/>
      <w:divBdr>
        <w:top w:val="none" w:sz="0" w:space="0" w:color="auto"/>
        <w:left w:val="none" w:sz="0" w:space="0" w:color="auto"/>
        <w:bottom w:val="none" w:sz="0" w:space="0" w:color="auto"/>
        <w:right w:val="none" w:sz="0" w:space="0" w:color="auto"/>
      </w:divBdr>
    </w:div>
    <w:div w:id="1775633012">
      <w:bodyDiv w:val="1"/>
      <w:marLeft w:val="0"/>
      <w:marRight w:val="0"/>
      <w:marTop w:val="0"/>
      <w:marBottom w:val="0"/>
      <w:divBdr>
        <w:top w:val="none" w:sz="0" w:space="0" w:color="auto"/>
        <w:left w:val="none" w:sz="0" w:space="0" w:color="auto"/>
        <w:bottom w:val="none" w:sz="0" w:space="0" w:color="auto"/>
        <w:right w:val="none" w:sz="0" w:space="0" w:color="auto"/>
      </w:divBdr>
    </w:div>
    <w:div w:id="1775974933">
      <w:bodyDiv w:val="1"/>
      <w:marLeft w:val="0"/>
      <w:marRight w:val="0"/>
      <w:marTop w:val="0"/>
      <w:marBottom w:val="0"/>
      <w:divBdr>
        <w:top w:val="none" w:sz="0" w:space="0" w:color="auto"/>
        <w:left w:val="none" w:sz="0" w:space="0" w:color="auto"/>
        <w:bottom w:val="none" w:sz="0" w:space="0" w:color="auto"/>
        <w:right w:val="none" w:sz="0" w:space="0" w:color="auto"/>
      </w:divBdr>
    </w:div>
    <w:div w:id="1775977836">
      <w:bodyDiv w:val="1"/>
      <w:marLeft w:val="0"/>
      <w:marRight w:val="0"/>
      <w:marTop w:val="0"/>
      <w:marBottom w:val="0"/>
      <w:divBdr>
        <w:top w:val="none" w:sz="0" w:space="0" w:color="auto"/>
        <w:left w:val="none" w:sz="0" w:space="0" w:color="auto"/>
        <w:bottom w:val="none" w:sz="0" w:space="0" w:color="auto"/>
        <w:right w:val="none" w:sz="0" w:space="0" w:color="auto"/>
      </w:divBdr>
    </w:div>
    <w:div w:id="1776094536">
      <w:bodyDiv w:val="1"/>
      <w:marLeft w:val="0"/>
      <w:marRight w:val="0"/>
      <w:marTop w:val="0"/>
      <w:marBottom w:val="0"/>
      <w:divBdr>
        <w:top w:val="none" w:sz="0" w:space="0" w:color="auto"/>
        <w:left w:val="none" w:sz="0" w:space="0" w:color="auto"/>
        <w:bottom w:val="none" w:sz="0" w:space="0" w:color="auto"/>
        <w:right w:val="none" w:sz="0" w:space="0" w:color="auto"/>
      </w:divBdr>
    </w:div>
    <w:div w:id="1776175363">
      <w:bodyDiv w:val="1"/>
      <w:marLeft w:val="0"/>
      <w:marRight w:val="0"/>
      <w:marTop w:val="0"/>
      <w:marBottom w:val="0"/>
      <w:divBdr>
        <w:top w:val="none" w:sz="0" w:space="0" w:color="auto"/>
        <w:left w:val="none" w:sz="0" w:space="0" w:color="auto"/>
        <w:bottom w:val="none" w:sz="0" w:space="0" w:color="auto"/>
        <w:right w:val="none" w:sz="0" w:space="0" w:color="auto"/>
      </w:divBdr>
    </w:div>
    <w:div w:id="1776244055">
      <w:bodyDiv w:val="1"/>
      <w:marLeft w:val="0"/>
      <w:marRight w:val="0"/>
      <w:marTop w:val="0"/>
      <w:marBottom w:val="0"/>
      <w:divBdr>
        <w:top w:val="none" w:sz="0" w:space="0" w:color="auto"/>
        <w:left w:val="none" w:sz="0" w:space="0" w:color="auto"/>
        <w:bottom w:val="none" w:sz="0" w:space="0" w:color="auto"/>
        <w:right w:val="none" w:sz="0" w:space="0" w:color="auto"/>
      </w:divBdr>
    </w:div>
    <w:div w:id="1776634936">
      <w:bodyDiv w:val="1"/>
      <w:marLeft w:val="0"/>
      <w:marRight w:val="0"/>
      <w:marTop w:val="0"/>
      <w:marBottom w:val="0"/>
      <w:divBdr>
        <w:top w:val="none" w:sz="0" w:space="0" w:color="auto"/>
        <w:left w:val="none" w:sz="0" w:space="0" w:color="auto"/>
        <w:bottom w:val="none" w:sz="0" w:space="0" w:color="auto"/>
        <w:right w:val="none" w:sz="0" w:space="0" w:color="auto"/>
      </w:divBdr>
    </w:div>
    <w:div w:id="1776825681">
      <w:bodyDiv w:val="1"/>
      <w:marLeft w:val="0"/>
      <w:marRight w:val="0"/>
      <w:marTop w:val="0"/>
      <w:marBottom w:val="0"/>
      <w:divBdr>
        <w:top w:val="none" w:sz="0" w:space="0" w:color="auto"/>
        <w:left w:val="none" w:sz="0" w:space="0" w:color="auto"/>
        <w:bottom w:val="none" w:sz="0" w:space="0" w:color="auto"/>
        <w:right w:val="none" w:sz="0" w:space="0" w:color="auto"/>
      </w:divBdr>
    </w:div>
    <w:div w:id="1777098351">
      <w:bodyDiv w:val="1"/>
      <w:marLeft w:val="0"/>
      <w:marRight w:val="0"/>
      <w:marTop w:val="0"/>
      <w:marBottom w:val="0"/>
      <w:divBdr>
        <w:top w:val="none" w:sz="0" w:space="0" w:color="auto"/>
        <w:left w:val="none" w:sz="0" w:space="0" w:color="auto"/>
        <w:bottom w:val="none" w:sz="0" w:space="0" w:color="auto"/>
        <w:right w:val="none" w:sz="0" w:space="0" w:color="auto"/>
      </w:divBdr>
    </w:div>
    <w:div w:id="1777170576">
      <w:bodyDiv w:val="1"/>
      <w:marLeft w:val="0"/>
      <w:marRight w:val="0"/>
      <w:marTop w:val="0"/>
      <w:marBottom w:val="0"/>
      <w:divBdr>
        <w:top w:val="none" w:sz="0" w:space="0" w:color="auto"/>
        <w:left w:val="none" w:sz="0" w:space="0" w:color="auto"/>
        <w:bottom w:val="none" w:sz="0" w:space="0" w:color="auto"/>
        <w:right w:val="none" w:sz="0" w:space="0" w:color="auto"/>
      </w:divBdr>
    </w:div>
    <w:div w:id="1777359874">
      <w:bodyDiv w:val="1"/>
      <w:marLeft w:val="0"/>
      <w:marRight w:val="0"/>
      <w:marTop w:val="0"/>
      <w:marBottom w:val="0"/>
      <w:divBdr>
        <w:top w:val="none" w:sz="0" w:space="0" w:color="auto"/>
        <w:left w:val="none" w:sz="0" w:space="0" w:color="auto"/>
        <w:bottom w:val="none" w:sz="0" w:space="0" w:color="auto"/>
        <w:right w:val="none" w:sz="0" w:space="0" w:color="auto"/>
      </w:divBdr>
    </w:div>
    <w:div w:id="1777478421">
      <w:bodyDiv w:val="1"/>
      <w:marLeft w:val="0"/>
      <w:marRight w:val="0"/>
      <w:marTop w:val="0"/>
      <w:marBottom w:val="0"/>
      <w:divBdr>
        <w:top w:val="none" w:sz="0" w:space="0" w:color="auto"/>
        <w:left w:val="none" w:sz="0" w:space="0" w:color="auto"/>
        <w:bottom w:val="none" w:sz="0" w:space="0" w:color="auto"/>
        <w:right w:val="none" w:sz="0" w:space="0" w:color="auto"/>
      </w:divBdr>
    </w:div>
    <w:div w:id="1777672971">
      <w:bodyDiv w:val="1"/>
      <w:marLeft w:val="0"/>
      <w:marRight w:val="0"/>
      <w:marTop w:val="0"/>
      <w:marBottom w:val="0"/>
      <w:divBdr>
        <w:top w:val="none" w:sz="0" w:space="0" w:color="auto"/>
        <w:left w:val="none" w:sz="0" w:space="0" w:color="auto"/>
        <w:bottom w:val="none" w:sz="0" w:space="0" w:color="auto"/>
        <w:right w:val="none" w:sz="0" w:space="0" w:color="auto"/>
      </w:divBdr>
    </w:div>
    <w:div w:id="1777870691">
      <w:bodyDiv w:val="1"/>
      <w:marLeft w:val="0"/>
      <w:marRight w:val="0"/>
      <w:marTop w:val="0"/>
      <w:marBottom w:val="0"/>
      <w:divBdr>
        <w:top w:val="none" w:sz="0" w:space="0" w:color="auto"/>
        <w:left w:val="none" w:sz="0" w:space="0" w:color="auto"/>
        <w:bottom w:val="none" w:sz="0" w:space="0" w:color="auto"/>
        <w:right w:val="none" w:sz="0" w:space="0" w:color="auto"/>
      </w:divBdr>
    </w:div>
    <w:div w:id="1778136250">
      <w:bodyDiv w:val="1"/>
      <w:marLeft w:val="0"/>
      <w:marRight w:val="0"/>
      <w:marTop w:val="0"/>
      <w:marBottom w:val="0"/>
      <w:divBdr>
        <w:top w:val="none" w:sz="0" w:space="0" w:color="auto"/>
        <w:left w:val="none" w:sz="0" w:space="0" w:color="auto"/>
        <w:bottom w:val="none" w:sz="0" w:space="0" w:color="auto"/>
        <w:right w:val="none" w:sz="0" w:space="0" w:color="auto"/>
      </w:divBdr>
    </w:div>
    <w:div w:id="1778138048">
      <w:bodyDiv w:val="1"/>
      <w:marLeft w:val="0"/>
      <w:marRight w:val="0"/>
      <w:marTop w:val="0"/>
      <w:marBottom w:val="0"/>
      <w:divBdr>
        <w:top w:val="none" w:sz="0" w:space="0" w:color="auto"/>
        <w:left w:val="none" w:sz="0" w:space="0" w:color="auto"/>
        <w:bottom w:val="none" w:sz="0" w:space="0" w:color="auto"/>
        <w:right w:val="none" w:sz="0" w:space="0" w:color="auto"/>
      </w:divBdr>
    </w:div>
    <w:div w:id="1778209723">
      <w:bodyDiv w:val="1"/>
      <w:marLeft w:val="0"/>
      <w:marRight w:val="0"/>
      <w:marTop w:val="0"/>
      <w:marBottom w:val="0"/>
      <w:divBdr>
        <w:top w:val="none" w:sz="0" w:space="0" w:color="auto"/>
        <w:left w:val="none" w:sz="0" w:space="0" w:color="auto"/>
        <w:bottom w:val="none" w:sz="0" w:space="0" w:color="auto"/>
        <w:right w:val="none" w:sz="0" w:space="0" w:color="auto"/>
      </w:divBdr>
    </w:div>
    <w:div w:id="1778283600">
      <w:bodyDiv w:val="1"/>
      <w:marLeft w:val="0"/>
      <w:marRight w:val="0"/>
      <w:marTop w:val="0"/>
      <w:marBottom w:val="0"/>
      <w:divBdr>
        <w:top w:val="none" w:sz="0" w:space="0" w:color="auto"/>
        <w:left w:val="none" w:sz="0" w:space="0" w:color="auto"/>
        <w:bottom w:val="none" w:sz="0" w:space="0" w:color="auto"/>
        <w:right w:val="none" w:sz="0" w:space="0" w:color="auto"/>
      </w:divBdr>
    </w:div>
    <w:div w:id="1778599126">
      <w:bodyDiv w:val="1"/>
      <w:marLeft w:val="0"/>
      <w:marRight w:val="0"/>
      <w:marTop w:val="0"/>
      <w:marBottom w:val="0"/>
      <w:divBdr>
        <w:top w:val="none" w:sz="0" w:space="0" w:color="auto"/>
        <w:left w:val="none" w:sz="0" w:space="0" w:color="auto"/>
        <w:bottom w:val="none" w:sz="0" w:space="0" w:color="auto"/>
        <w:right w:val="none" w:sz="0" w:space="0" w:color="auto"/>
      </w:divBdr>
    </w:div>
    <w:div w:id="1778673709">
      <w:bodyDiv w:val="1"/>
      <w:marLeft w:val="0"/>
      <w:marRight w:val="0"/>
      <w:marTop w:val="0"/>
      <w:marBottom w:val="0"/>
      <w:divBdr>
        <w:top w:val="none" w:sz="0" w:space="0" w:color="auto"/>
        <w:left w:val="none" w:sz="0" w:space="0" w:color="auto"/>
        <w:bottom w:val="none" w:sz="0" w:space="0" w:color="auto"/>
        <w:right w:val="none" w:sz="0" w:space="0" w:color="auto"/>
      </w:divBdr>
    </w:div>
    <w:div w:id="1778983955">
      <w:bodyDiv w:val="1"/>
      <w:marLeft w:val="0"/>
      <w:marRight w:val="0"/>
      <w:marTop w:val="0"/>
      <w:marBottom w:val="0"/>
      <w:divBdr>
        <w:top w:val="none" w:sz="0" w:space="0" w:color="auto"/>
        <w:left w:val="none" w:sz="0" w:space="0" w:color="auto"/>
        <w:bottom w:val="none" w:sz="0" w:space="0" w:color="auto"/>
        <w:right w:val="none" w:sz="0" w:space="0" w:color="auto"/>
      </w:divBdr>
    </w:div>
    <w:div w:id="1779181774">
      <w:bodyDiv w:val="1"/>
      <w:marLeft w:val="0"/>
      <w:marRight w:val="0"/>
      <w:marTop w:val="0"/>
      <w:marBottom w:val="0"/>
      <w:divBdr>
        <w:top w:val="none" w:sz="0" w:space="0" w:color="auto"/>
        <w:left w:val="none" w:sz="0" w:space="0" w:color="auto"/>
        <w:bottom w:val="none" w:sz="0" w:space="0" w:color="auto"/>
        <w:right w:val="none" w:sz="0" w:space="0" w:color="auto"/>
      </w:divBdr>
    </w:div>
    <w:div w:id="1779368896">
      <w:bodyDiv w:val="1"/>
      <w:marLeft w:val="0"/>
      <w:marRight w:val="0"/>
      <w:marTop w:val="0"/>
      <w:marBottom w:val="0"/>
      <w:divBdr>
        <w:top w:val="none" w:sz="0" w:space="0" w:color="auto"/>
        <w:left w:val="none" w:sz="0" w:space="0" w:color="auto"/>
        <w:bottom w:val="none" w:sz="0" w:space="0" w:color="auto"/>
        <w:right w:val="none" w:sz="0" w:space="0" w:color="auto"/>
      </w:divBdr>
    </w:div>
    <w:div w:id="1779376705">
      <w:bodyDiv w:val="1"/>
      <w:marLeft w:val="0"/>
      <w:marRight w:val="0"/>
      <w:marTop w:val="0"/>
      <w:marBottom w:val="0"/>
      <w:divBdr>
        <w:top w:val="none" w:sz="0" w:space="0" w:color="auto"/>
        <w:left w:val="none" w:sz="0" w:space="0" w:color="auto"/>
        <w:bottom w:val="none" w:sz="0" w:space="0" w:color="auto"/>
        <w:right w:val="none" w:sz="0" w:space="0" w:color="auto"/>
      </w:divBdr>
    </w:div>
    <w:div w:id="1779638592">
      <w:bodyDiv w:val="1"/>
      <w:marLeft w:val="0"/>
      <w:marRight w:val="0"/>
      <w:marTop w:val="0"/>
      <w:marBottom w:val="0"/>
      <w:divBdr>
        <w:top w:val="none" w:sz="0" w:space="0" w:color="auto"/>
        <w:left w:val="none" w:sz="0" w:space="0" w:color="auto"/>
        <w:bottom w:val="none" w:sz="0" w:space="0" w:color="auto"/>
        <w:right w:val="none" w:sz="0" w:space="0" w:color="auto"/>
      </w:divBdr>
    </w:div>
    <w:div w:id="1780024258">
      <w:bodyDiv w:val="1"/>
      <w:marLeft w:val="0"/>
      <w:marRight w:val="0"/>
      <w:marTop w:val="0"/>
      <w:marBottom w:val="0"/>
      <w:divBdr>
        <w:top w:val="none" w:sz="0" w:space="0" w:color="auto"/>
        <w:left w:val="none" w:sz="0" w:space="0" w:color="auto"/>
        <w:bottom w:val="none" w:sz="0" w:space="0" w:color="auto"/>
        <w:right w:val="none" w:sz="0" w:space="0" w:color="auto"/>
      </w:divBdr>
    </w:div>
    <w:div w:id="1780028402">
      <w:bodyDiv w:val="1"/>
      <w:marLeft w:val="0"/>
      <w:marRight w:val="0"/>
      <w:marTop w:val="0"/>
      <w:marBottom w:val="0"/>
      <w:divBdr>
        <w:top w:val="none" w:sz="0" w:space="0" w:color="auto"/>
        <w:left w:val="none" w:sz="0" w:space="0" w:color="auto"/>
        <w:bottom w:val="none" w:sz="0" w:space="0" w:color="auto"/>
        <w:right w:val="none" w:sz="0" w:space="0" w:color="auto"/>
      </w:divBdr>
    </w:div>
    <w:div w:id="1780367268">
      <w:bodyDiv w:val="1"/>
      <w:marLeft w:val="0"/>
      <w:marRight w:val="0"/>
      <w:marTop w:val="0"/>
      <w:marBottom w:val="0"/>
      <w:divBdr>
        <w:top w:val="none" w:sz="0" w:space="0" w:color="auto"/>
        <w:left w:val="none" w:sz="0" w:space="0" w:color="auto"/>
        <w:bottom w:val="none" w:sz="0" w:space="0" w:color="auto"/>
        <w:right w:val="none" w:sz="0" w:space="0" w:color="auto"/>
      </w:divBdr>
    </w:div>
    <w:div w:id="1780559780">
      <w:bodyDiv w:val="1"/>
      <w:marLeft w:val="0"/>
      <w:marRight w:val="0"/>
      <w:marTop w:val="0"/>
      <w:marBottom w:val="0"/>
      <w:divBdr>
        <w:top w:val="none" w:sz="0" w:space="0" w:color="auto"/>
        <w:left w:val="none" w:sz="0" w:space="0" w:color="auto"/>
        <w:bottom w:val="none" w:sz="0" w:space="0" w:color="auto"/>
        <w:right w:val="none" w:sz="0" w:space="0" w:color="auto"/>
      </w:divBdr>
    </w:div>
    <w:div w:id="1780640067">
      <w:bodyDiv w:val="1"/>
      <w:marLeft w:val="0"/>
      <w:marRight w:val="0"/>
      <w:marTop w:val="0"/>
      <w:marBottom w:val="0"/>
      <w:divBdr>
        <w:top w:val="none" w:sz="0" w:space="0" w:color="auto"/>
        <w:left w:val="none" w:sz="0" w:space="0" w:color="auto"/>
        <w:bottom w:val="none" w:sz="0" w:space="0" w:color="auto"/>
        <w:right w:val="none" w:sz="0" w:space="0" w:color="auto"/>
      </w:divBdr>
    </w:div>
    <w:div w:id="1780685679">
      <w:bodyDiv w:val="1"/>
      <w:marLeft w:val="0"/>
      <w:marRight w:val="0"/>
      <w:marTop w:val="0"/>
      <w:marBottom w:val="0"/>
      <w:divBdr>
        <w:top w:val="none" w:sz="0" w:space="0" w:color="auto"/>
        <w:left w:val="none" w:sz="0" w:space="0" w:color="auto"/>
        <w:bottom w:val="none" w:sz="0" w:space="0" w:color="auto"/>
        <w:right w:val="none" w:sz="0" w:space="0" w:color="auto"/>
      </w:divBdr>
    </w:div>
    <w:div w:id="1780758812">
      <w:bodyDiv w:val="1"/>
      <w:marLeft w:val="0"/>
      <w:marRight w:val="0"/>
      <w:marTop w:val="0"/>
      <w:marBottom w:val="0"/>
      <w:divBdr>
        <w:top w:val="none" w:sz="0" w:space="0" w:color="auto"/>
        <w:left w:val="none" w:sz="0" w:space="0" w:color="auto"/>
        <w:bottom w:val="none" w:sz="0" w:space="0" w:color="auto"/>
        <w:right w:val="none" w:sz="0" w:space="0" w:color="auto"/>
      </w:divBdr>
    </w:div>
    <w:div w:id="1780905354">
      <w:bodyDiv w:val="1"/>
      <w:marLeft w:val="0"/>
      <w:marRight w:val="0"/>
      <w:marTop w:val="0"/>
      <w:marBottom w:val="0"/>
      <w:divBdr>
        <w:top w:val="none" w:sz="0" w:space="0" w:color="auto"/>
        <w:left w:val="none" w:sz="0" w:space="0" w:color="auto"/>
        <w:bottom w:val="none" w:sz="0" w:space="0" w:color="auto"/>
        <w:right w:val="none" w:sz="0" w:space="0" w:color="auto"/>
      </w:divBdr>
    </w:div>
    <w:div w:id="1781026716">
      <w:bodyDiv w:val="1"/>
      <w:marLeft w:val="0"/>
      <w:marRight w:val="0"/>
      <w:marTop w:val="0"/>
      <w:marBottom w:val="0"/>
      <w:divBdr>
        <w:top w:val="none" w:sz="0" w:space="0" w:color="auto"/>
        <w:left w:val="none" w:sz="0" w:space="0" w:color="auto"/>
        <w:bottom w:val="none" w:sz="0" w:space="0" w:color="auto"/>
        <w:right w:val="none" w:sz="0" w:space="0" w:color="auto"/>
      </w:divBdr>
    </w:div>
    <w:div w:id="1781099367">
      <w:bodyDiv w:val="1"/>
      <w:marLeft w:val="0"/>
      <w:marRight w:val="0"/>
      <w:marTop w:val="0"/>
      <w:marBottom w:val="0"/>
      <w:divBdr>
        <w:top w:val="none" w:sz="0" w:space="0" w:color="auto"/>
        <w:left w:val="none" w:sz="0" w:space="0" w:color="auto"/>
        <w:bottom w:val="none" w:sz="0" w:space="0" w:color="auto"/>
        <w:right w:val="none" w:sz="0" w:space="0" w:color="auto"/>
      </w:divBdr>
    </w:div>
    <w:div w:id="1781365868">
      <w:bodyDiv w:val="1"/>
      <w:marLeft w:val="0"/>
      <w:marRight w:val="0"/>
      <w:marTop w:val="0"/>
      <w:marBottom w:val="0"/>
      <w:divBdr>
        <w:top w:val="none" w:sz="0" w:space="0" w:color="auto"/>
        <w:left w:val="none" w:sz="0" w:space="0" w:color="auto"/>
        <w:bottom w:val="none" w:sz="0" w:space="0" w:color="auto"/>
        <w:right w:val="none" w:sz="0" w:space="0" w:color="auto"/>
      </w:divBdr>
    </w:div>
    <w:div w:id="1781879667">
      <w:bodyDiv w:val="1"/>
      <w:marLeft w:val="0"/>
      <w:marRight w:val="0"/>
      <w:marTop w:val="0"/>
      <w:marBottom w:val="0"/>
      <w:divBdr>
        <w:top w:val="none" w:sz="0" w:space="0" w:color="auto"/>
        <w:left w:val="none" w:sz="0" w:space="0" w:color="auto"/>
        <w:bottom w:val="none" w:sz="0" w:space="0" w:color="auto"/>
        <w:right w:val="none" w:sz="0" w:space="0" w:color="auto"/>
      </w:divBdr>
    </w:div>
    <w:div w:id="1782262276">
      <w:bodyDiv w:val="1"/>
      <w:marLeft w:val="0"/>
      <w:marRight w:val="0"/>
      <w:marTop w:val="0"/>
      <w:marBottom w:val="0"/>
      <w:divBdr>
        <w:top w:val="none" w:sz="0" w:space="0" w:color="auto"/>
        <w:left w:val="none" w:sz="0" w:space="0" w:color="auto"/>
        <w:bottom w:val="none" w:sz="0" w:space="0" w:color="auto"/>
        <w:right w:val="none" w:sz="0" w:space="0" w:color="auto"/>
      </w:divBdr>
    </w:div>
    <w:div w:id="1782610217">
      <w:bodyDiv w:val="1"/>
      <w:marLeft w:val="0"/>
      <w:marRight w:val="0"/>
      <w:marTop w:val="0"/>
      <w:marBottom w:val="0"/>
      <w:divBdr>
        <w:top w:val="none" w:sz="0" w:space="0" w:color="auto"/>
        <w:left w:val="none" w:sz="0" w:space="0" w:color="auto"/>
        <w:bottom w:val="none" w:sz="0" w:space="0" w:color="auto"/>
        <w:right w:val="none" w:sz="0" w:space="0" w:color="auto"/>
      </w:divBdr>
    </w:div>
    <w:div w:id="1782651563">
      <w:bodyDiv w:val="1"/>
      <w:marLeft w:val="0"/>
      <w:marRight w:val="0"/>
      <w:marTop w:val="0"/>
      <w:marBottom w:val="0"/>
      <w:divBdr>
        <w:top w:val="none" w:sz="0" w:space="0" w:color="auto"/>
        <w:left w:val="none" w:sz="0" w:space="0" w:color="auto"/>
        <w:bottom w:val="none" w:sz="0" w:space="0" w:color="auto"/>
        <w:right w:val="none" w:sz="0" w:space="0" w:color="auto"/>
      </w:divBdr>
    </w:div>
    <w:div w:id="1782723321">
      <w:bodyDiv w:val="1"/>
      <w:marLeft w:val="0"/>
      <w:marRight w:val="0"/>
      <w:marTop w:val="0"/>
      <w:marBottom w:val="0"/>
      <w:divBdr>
        <w:top w:val="none" w:sz="0" w:space="0" w:color="auto"/>
        <w:left w:val="none" w:sz="0" w:space="0" w:color="auto"/>
        <w:bottom w:val="none" w:sz="0" w:space="0" w:color="auto"/>
        <w:right w:val="none" w:sz="0" w:space="0" w:color="auto"/>
      </w:divBdr>
    </w:div>
    <w:div w:id="1783261403">
      <w:bodyDiv w:val="1"/>
      <w:marLeft w:val="0"/>
      <w:marRight w:val="0"/>
      <w:marTop w:val="0"/>
      <w:marBottom w:val="0"/>
      <w:divBdr>
        <w:top w:val="none" w:sz="0" w:space="0" w:color="auto"/>
        <w:left w:val="none" w:sz="0" w:space="0" w:color="auto"/>
        <w:bottom w:val="none" w:sz="0" w:space="0" w:color="auto"/>
        <w:right w:val="none" w:sz="0" w:space="0" w:color="auto"/>
      </w:divBdr>
    </w:div>
    <w:div w:id="1783305633">
      <w:bodyDiv w:val="1"/>
      <w:marLeft w:val="0"/>
      <w:marRight w:val="0"/>
      <w:marTop w:val="0"/>
      <w:marBottom w:val="0"/>
      <w:divBdr>
        <w:top w:val="none" w:sz="0" w:space="0" w:color="auto"/>
        <w:left w:val="none" w:sz="0" w:space="0" w:color="auto"/>
        <w:bottom w:val="none" w:sz="0" w:space="0" w:color="auto"/>
        <w:right w:val="none" w:sz="0" w:space="0" w:color="auto"/>
      </w:divBdr>
    </w:div>
    <w:div w:id="1783454373">
      <w:bodyDiv w:val="1"/>
      <w:marLeft w:val="0"/>
      <w:marRight w:val="0"/>
      <w:marTop w:val="0"/>
      <w:marBottom w:val="0"/>
      <w:divBdr>
        <w:top w:val="none" w:sz="0" w:space="0" w:color="auto"/>
        <w:left w:val="none" w:sz="0" w:space="0" w:color="auto"/>
        <w:bottom w:val="none" w:sz="0" w:space="0" w:color="auto"/>
        <w:right w:val="none" w:sz="0" w:space="0" w:color="auto"/>
      </w:divBdr>
    </w:div>
    <w:div w:id="1783567436">
      <w:bodyDiv w:val="1"/>
      <w:marLeft w:val="0"/>
      <w:marRight w:val="0"/>
      <w:marTop w:val="0"/>
      <w:marBottom w:val="0"/>
      <w:divBdr>
        <w:top w:val="none" w:sz="0" w:space="0" w:color="auto"/>
        <w:left w:val="none" w:sz="0" w:space="0" w:color="auto"/>
        <w:bottom w:val="none" w:sz="0" w:space="0" w:color="auto"/>
        <w:right w:val="none" w:sz="0" w:space="0" w:color="auto"/>
      </w:divBdr>
    </w:div>
    <w:div w:id="1783724927">
      <w:bodyDiv w:val="1"/>
      <w:marLeft w:val="0"/>
      <w:marRight w:val="0"/>
      <w:marTop w:val="0"/>
      <w:marBottom w:val="0"/>
      <w:divBdr>
        <w:top w:val="none" w:sz="0" w:space="0" w:color="auto"/>
        <w:left w:val="none" w:sz="0" w:space="0" w:color="auto"/>
        <w:bottom w:val="none" w:sz="0" w:space="0" w:color="auto"/>
        <w:right w:val="none" w:sz="0" w:space="0" w:color="auto"/>
      </w:divBdr>
    </w:div>
    <w:div w:id="1783911416">
      <w:bodyDiv w:val="1"/>
      <w:marLeft w:val="0"/>
      <w:marRight w:val="0"/>
      <w:marTop w:val="0"/>
      <w:marBottom w:val="0"/>
      <w:divBdr>
        <w:top w:val="none" w:sz="0" w:space="0" w:color="auto"/>
        <w:left w:val="none" w:sz="0" w:space="0" w:color="auto"/>
        <w:bottom w:val="none" w:sz="0" w:space="0" w:color="auto"/>
        <w:right w:val="none" w:sz="0" w:space="0" w:color="auto"/>
      </w:divBdr>
    </w:div>
    <w:div w:id="1784181082">
      <w:bodyDiv w:val="1"/>
      <w:marLeft w:val="0"/>
      <w:marRight w:val="0"/>
      <w:marTop w:val="0"/>
      <w:marBottom w:val="0"/>
      <w:divBdr>
        <w:top w:val="none" w:sz="0" w:space="0" w:color="auto"/>
        <w:left w:val="none" w:sz="0" w:space="0" w:color="auto"/>
        <w:bottom w:val="none" w:sz="0" w:space="0" w:color="auto"/>
        <w:right w:val="none" w:sz="0" w:space="0" w:color="auto"/>
      </w:divBdr>
    </w:div>
    <w:div w:id="1784184053">
      <w:bodyDiv w:val="1"/>
      <w:marLeft w:val="0"/>
      <w:marRight w:val="0"/>
      <w:marTop w:val="0"/>
      <w:marBottom w:val="0"/>
      <w:divBdr>
        <w:top w:val="none" w:sz="0" w:space="0" w:color="auto"/>
        <w:left w:val="none" w:sz="0" w:space="0" w:color="auto"/>
        <w:bottom w:val="none" w:sz="0" w:space="0" w:color="auto"/>
        <w:right w:val="none" w:sz="0" w:space="0" w:color="auto"/>
      </w:divBdr>
    </w:div>
    <w:div w:id="1784375125">
      <w:bodyDiv w:val="1"/>
      <w:marLeft w:val="0"/>
      <w:marRight w:val="0"/>
      <w:marTop w:val="0"/>
      <w:marBottom w:val="0"/>
      <w:divBdr>
        <w:top w:val="none" w:sz="0" w:space="0" w:color="auto"/>
        <w:left w:val="none" w:sz="0" w:space="0" w:color="auto"/>
        <w:bottom w:val="none" w:sz="0" w:space="0" w:color="auto"/>
        <w:right w:val="none" w:sz="0" w:space="0" w:color="auto"/>
      </w:divBdr>
    </w:div>
    <w:div w:id="1784575323">
      <w:bodyDiv w:val="1"/>
      <w:marLeft w:val="0"/>
      <w:marRight w:val="0"/>
      <w:marTop w:val="0"/>
      <w:marBottom w:val="0"/>
      <w:divBdr>
        <w:top w:val="none" w:sz="0" w:space="0" w:color="auto"/>
        <w:left w:val="none" w:sz="0" w:space="0" w:color="auto"/>
        <w:bottom w:val="none" w:sz="0" w:space="0" w:color="auto"/>
        <w:right w:val="none" w:sz="0" w:space="0" w:color="auto"/>
      </w:divBdr>
    </w:div>
    <w:div w:id="1784617055">
      <w:bodyDiv w:val="1"/>
      <w:marLeft w:val="0"/>
      <w:marRight w:val="0"/>
      <w:marTop w:val="0"/>
      <w:marBottom w:val="0"/>
      <w:divBdr>
        <w:top w:val="none" w:sz="0" w:space="0" w:color="auto"/>
        <w:left w:val="none" w:sz="0" w:space="0" w:color="auto"/>
        <w:bottom w:val="none" w:sz="0" w:space="0" w:color="auto"/>
        <w:right w:val="none" w:sz="0" w:space="0" w:color="auto"/>
      </w:divBdr>
    </w:div>
    <w:div w:id="1784886171">
      <w:bodyDiv w:val="1"/>
      <w:marLeft w:val="0"/>
      <w:marRight w:val="0"/>
      <w:marTop w:val="0"/>
      <w:marBottom w:val="0"/>
      <w:divBdr>
        <w:top w:val="none" w:sz="0" w:space="0" w:color="auto"/>
        <w:left w:val="none" w:sz="0" w:space="0" w:color="auto"/>
        <w:bottom w:val="none" w:sz="0" w:space="0" w:color="auto"/>
        <w:right w:val="none" w:sz="0" w:space="0" w:color="auto"/>
      </w:divBdr>
    </w:div>
    <w:div w:id="1785004832">
      <w:bodyDiv w:val="1"/>
      <w:marLeft w:val="0"/>
      <w:marRight w:val="0"/>
      <w:marTop w:val="0"/>
      <w:marBottom w:val="0"/>
      <w:divBdr>
        <w:top w:val="none" w:sz="0" w:space="0" w:color="auto"/>
        <w:left w:val="none" w:sz="0" w:space="0" w:color="auto"/>
        <w:bottom w:val="none" w:sz="0" w:space="0" w:color="auto"/>
        <w:right w:val="none" w:sz="0" w:space="0" w:color="auto"/>
      </w:divBdr>
    </w:div>
    <w:div w:id="1785418477">
      <w:bodyDiv w:val="1"/>
      <w:marLeft w:val="0"/>
      <w:marRight w:val="0"/>
      <w:marTop w:val="0"/>
      <w:marBottom w:val="0"/>
      <w:divBdr>
        <w:top w:val="none" w:sz="0" w:space="0" w:color="auto"/>
        <w:left w:val="none" w:sz="0" w:space="0" w:color="auto"/>
        <w:bottom w:val="none" w:sz="0" w:space="0" w:color="auto"/>
        <w:right w:val="none" w:sz="0" w:space="0" w:color="auto"/>
      </w:divBdr>
    </w:div>
    <w:div w:id="1785886307">
      <w:bodyDiv w:val="1"/>
      <w:marLeft w:val="0"/>
      <w:marRight w:val="0"/>
      <w:marTop w:val="0"/>
      <w:marBottom w:val="0"/>
      <w:divBdr>
        <w:top w:val="none" w:sz="0" w:space="0" w:color="auto"/>
        <w:left w:val="none" w:sz="0" w:space="0" w:color="auto"/>
        <w:bottom w:val="none" w:sz="0" w:space="0" w:color="auto"/>
        <w:right w:val="none" w:sz="0" w:space="0" w:color="auto"/>
      </w:divBdr>
    </w:div>
    <w:div w:id="1786002219">
      <w:bodyDiv w:val="1"/>
      <w:marLeft w:val="0"/>
      <w:marRight w:val="0"/>
      <w:marTop w:val="0"/>
      <w:marBottom w:val="0"/>
      <w:divBdr>
        <w:top w:val="none" w:sz="0" w:space="0" w:color="auto"/>
        <w:left w:val="none" w:sz="0" w:space="0" w:color="auto"/>
        <w:bottom w:val="none" w:sz="0" w:space="0" w:color="auto"/>
        <w:right w:val="none" w:sz="0" w:space="0" w:color="auto"/>
      </w:divBdr>
    </w:div>
    <w:div w:id="1786381985">
      <w:bodyDiv w:val="1"/>
      <w:marLeft w:val="0"/>
      <w:marRight w:val="0"/>
      <w:marTop w:val="0"/>
      <w:marBottom w:val="0"/>
      <w:divBdr>
        <w:top w:val="none" w:sz="0" w:space="0" w:color="auto"/>
        <w:left w:val="none" w:sz="0" w:space="0" w:color="auto"/>
        <w:bottom w:val="none" w:sz="0" w:space="0" w:color="auto"/>
        <w:right w:val="none" w:sz="0" w:space="0" w:color="auto"/>
      </w:divBdr>
    </w:div>
    <w:div w:id="1786540945">
      <w:bodyDiv w:val="1"/>
      <w:marLeft w:val="0"/>
      <w:marRight w:val="0"/>
      <w:marTop w:val="0"/>
      <w:marBottom w:val="0"/>
      <w:divBdr>
        <w:top w:val="none" w:sz="0" w:space="0" w:color="auto"/>
        <w:left w:val="none" w:sz="0" w:space="0" w:color="auto"/>
        <w:bottom w:val="none" w:sz="0" w:space="0" w:color="auto"/>
        <w:right w:val="none" w:sz="0" w:space="0" w:color="auto"/>
      </w:divBdr>
    </w:div>
    <w:div w:id="1786658806">
      <w:bodyDiv w:val="1"/>
      <w:marLeft w:val="0"/>
      <w:marRight w:val="0"/>
      <w:marTop w:val="0"/>
      <w:marBottom w:val="0"/>
      <w:divBdr>
        <w:top w:val="none" w:sz="0" w:space="0" w:color="auto"/>
        <w:left w:val="none" w:sz="0" w:space="0" w:color="auto"/>
        <w:bottom w:val="none" w:sz="0" w:space="0" w:color="auto"/>
        <w:right w:val="none" w:sz="0" w:space="0" w:color="auto"/>
      </w:divBdr>
    </w:div>
    <w:div w:id="1787002604">
      <w:bodyDiv w:val="1"/>
      <w:marLeft w:val="0"/>
      <w:marRight w:val="0"/>
      <w:marTop w:val="0"/>
      <w:marBottom w:val="0"/>
      <w:divBdr>
        <w:top w:val="none" w:sz="0" w:space="0" w:color="auto"/>
        <w:left w:val="none" w:sz="0" w:space="0" w:color="auto"/>
        <w:bottom w:val="none" w:sz="0" w:space="0" w:color="auto"/>
        <w:right w:val="none" w:sz="0" w:space="0" w:color="auto"/>
      </w:divBdr>
    </w:div>
    <w:div w:id="1787113826">
      <w:bodyDiv w:val="1"/>
      <w:marLeft w:val="0"/>
      <w:marRight w:val="0"/>
      <w:marTop w:val="0"/>
      <w:marBottom w:val="0"/>
      <w:divBdr>
        <w:top w:val="none" w:sz="0" w:space="0" w:color="auto"/>
        <w:left w:val="none" w:sz="0" w:space="0" w:color="auto"/>
        <w:bottom w:val="none" w:sz="0" w:space="0" w:color="auto"/>
        <w:right w:val="none" w:sz="0" w:space="0" w:color="auto"/>
      </w:divBdr>
    </w:div>
    <w:div w:id="1787114724">
      <w:bodyDiv w:val="1"/>
      <w:marLeft w:val="0"/>
      <w:marRight w:val="0"/>
      <w:marTop w:val="0"/>
      <w:marBottom w:val="0"/>
      <w:divBdr>
        <w:top w:val="none" w:sz="0" w:space="0" w:color="auto"/>
        <w:left w:val="none" w:sz="0" w:space="0" w:color="auto"/>
        <w:bottom w:val="none" w:sz="0" w:space="0" w:color="auto"/>
        <w:right w:val="none" w:sz="0" w:space="0" w:color="auto"/>
      </w:divBdr>
    </w:div>
    <w:div w:id="1787120627">
      <w:bodyDiv w:val="1"/>
      <w:marLeft w:val="0"/>
      <w:marRight w:val="0"/>
      <w:marTop w:val="0"/>
      <w:marBottom w:val="0"/>
      <w:divBdr>
        <w:top w:val="none" w:sz="0" w:space="0" w:color="auto"/>
        <w:left w:val="none" w:sz="0" w:space="0" w:color="auto"/>
        <w:bottom w:val="none" w:sz="0" w:space="0" w:color="auto"/>
        <w:right w:val="none" w:sz="0" w:space="0" w:color="auto"/>
      </w:divBdr>
    </w:div>
    <w:div w:id="1787193194">
      <w:bodyDiv w:val="1"/>
      <w:marLeft w:val="0"/>
      <w:marRight w:val="0"/>
      <w:marTop w:val="0"/>
      <w:marBottom w:val="0"/>
      <w:divBdr>
        <w:top w:val="none" w:sz="0" w:space="0" w:color="auto"/>
        <w:left w:val="none" w:sz="0" w:space="0" w:color="auto"/>
        <w:bottom w:val="none" w:sz="0" w:space="0" w:color="auto"/>
        <w:right w:val="none" w:sz="0" w:space="0" w:color="auto"/>
      </w:divBdr>
    </w:div>
    <w:div w:id="1787311892">
      <w:bodyDiv w:val="1"/>
      <w:marLeft w:val="0"/>
      <w:marRight w:val="0"/>
      <w:marTop w:val="0"/>
      <w:marBottom w:val="0"/>
      <w:divBdr>
        <w:top w:val="none" w:sz="0" w:space="0" w:color="auto"/>
        <w:left w:val="none" w:sz="0" w:space="0" w:color="auto"/>
        <w:bottom w:val="none" w:sz="0" w:space="0" w:color="auto"/>
        <w:right w:val="none" w:sz="0" w:space="0" w:color="auto"/>
      </w:divBdr>
    </w:div>
    <w:div w:id="1787387045">
      <w:bodyDiv w:val="1"/>
      <w:marLeft w:val="0"/>
      <w:marRight w:val="0"/>
      <w:marTop w:val="0"/>
      <w:marBottom w:val="0"/>
      <w:divBdr>
        <w:top w:val="none" w:sz="0" w:space="0" w:color="auto"/>
        <w:left w:val="none" w:sz="0" w:space="0" w:color="auto"/>
        <w:bottom w:val="none" w:sz="0" w:space="0" w:color="auto"/>
        <w:right w:val="none" w:sz="0" w:space="0" w:color="auto"/>
      </w:divBdr>
    </w:div>
    <w:div w:id="1787387383">
      <w:bodyDiv w:val="1"/>
      <w:marLeft w:val="0"/>
      <w:marRight w:val="0"/>
      <w:marTop w:val="0"/>
      <w:marBottom w:val="0"/>
      <w:divBdr>
        <w:top w:val="none" w:sz="0" w:space="0" w:color="auto"/>
        <w:left w:val="none" w:sz="0" w:space="0" w:color="auto"/>
        <w:bottom w:val="none" w:sz="0" w:space="0" w:color="auto"/>
        <w:right w:val="none" w:sz="0" w:space="0" w:color="auto"/>
      </w:divBdr>
    </w:div>
    <w:div w:id="1787580864">
      <w:bodyDiv w:val="1"/>
      <w:marLeft w:val="0"/>
      <w:marRight w:val="0"/>
      <w:marTop w:val="0"/>
      <w:marBottom w:val="0"/>
      <w:divBdr>
        <w:top w:val="none" w:sz="0" w:space="0" w:color="auto"/>
        <w:left w:val="none" w:sz="0" w:space="0" w:color="auto"/>
        <w:bottom w:val="none" w:sz="0" w:space="0" w:color="auto"/>
        <w:right w:val="none" w:sz="0" w:space="0" w:color="auto"/>
      </w:divBdr>
    </w:div>
    <w:div w:id="1787656941">
      <w:bodyDiv w:val="1"/>
      <w:marLeft w:val="0"/>
      <w:marRight w:val="0"/>
      <w:marTop w:val="0"/>
      <w:marBottom w:val="0"/>
      <w:divBdr>
        <w:top w:val="none" w:sz="0" w:space="0" w:color="auto"/>
        <w:left w:val="none" w:sz="0" w:space="0" w:color="auto"/>
        <w:bottom w:val="none" w:sz="0" w:space="0" w:color="auto"/>
        <w:right w:val="none" w:sz="0" w:space="0" w:color="auto"/>
      </w:divBdr>
    </w:div>
    <w:div w:id="1787694739">
      <w:bodyDiv w:val="1"/>
      <w:marLeft w:val="0"/>
      <w:marRight w:val="0"/>
      <w:marTop w:val="0"/>
      <w:marBottom w:val="0"/>
      <w:divBdr>
        <w:top w:val="none" w:sz="0" w:space="0" w:color="auto"/>
        <w:left w:val="none" w:sz="0" w:space="0" w:color="auto"/>
        <w:bottom w:val="none" w:sz="0" w:space="0" w:color="auto"/>
        <w:right w:val="none" w:sz="0" w:space="0" w:color="auto"/>
      </w:divBdr>
    </w:div>
    <w:div w:id="1787769004">
      <w:bodyDiv w:val="1"/>
      <w:marLeft w:val="0"/>
      <w:marRight w:val="0"/>
      <w:marTop w:val="0"/>
      <w:marBottom w:val="0"/>
      <w:divBdr>
        <w:top w:val="none" w:sz="0" w:space="0" w:color="auto"/>
        <w:left w:val="none" w:sz="0" w:space="0" w:color="auto"/>
        <w:bottom w:val="none" w:sz="0" w:space="0" w:color="auto"/>
        <w:right w:val="none" w:sz="0" w:space="0" w:color="auto"/>
      </w:divBdr>
    </w:div>
    <w:div w:id="1788040654">
      <w:bodyDiv w:val="1"/>
      <w:marLeft w:val="0"/>
      <w:marRight w:val="0"/>
      <w:marTop w:val="0"/>
      <w:marBottom w:val="0"/>
      <w:divBdr>
        <w:top w:val="none" w:sz="0" w:space="0" w:color="auto"/>
        <w:left w:val="none" w:sz="0" w:space="0" w:color="auto"/>
        <w:bottom w:val="none" w:sz="0" w:space="0" w:color="auto"/>
        <w:right w:val="none" w:sz="0" w:space="0" w:color="auto"/>
      </w:divBdr>
    </w:div>
    <w:div w:id="1788154676">
      <w:bodyDiv w:val="1"/>
      <w:marLeft w:val="0"/>
      <w:marRight w:val="0"/>
      <w:marTop w:val="0"/>
      <w:marBottom w:val="0"/>
      <w:divBdr>
        <w:top w:val="none" w:sz="0" w:space="0" w:color="auto"/>
        <w:left w:val="none" w:sz="0" w:space="0" w:color="auto"/>
        <w:bottom w:val="none" w:sz="0" w:space="0" w:color="auto"/>
        <w:right w:val="none" w:sz="0" w:space="0" w:color="auto"/>
      </w:divBdr>
    </w:div>
    <w:div w:id="1788236564">
      <w:bodyDiv w:val="1"/>
      <w:marLeft w:val="0"/>
      <w:marRight w:val="0"/>
      <w:marTop w:val="0"/>
      <w:marBottom w:val="0"/>
      <w:divBdr>
        <w:top w:val="none" w:sz="0" w:space="0" w:color="auto"/>
        <w:left w:val="none" w:sz="0" w:space="0" w:color="auto"/>
        <w:bottom w:val="none" w:sz="0" w:space="0" w:color="auto"/>
        <w:right w:val="none" w:sz="0" w:space="0" w:color="auto"/>
      </w:divBdr>
    </w:div>
    <w:div w:id="1788425191">
      <w:bodyDiv w:val="1"/>
      <w:marLeft w:val="0"/>
      <w:marRight w:val="0"/>
      <w:marTop w:val="0"/>
      <w:marBottom w:val="0"/>
      <w:divBdr>
        <w:top w:val="none" w:sz="0" w:space="0" w:color="auto"/>
        <w:left w:val="none" w:sz="0" w:space="0" w:color="auto"/>
        <w:bottom w:val="none" w:sz="0" w:space="0" w:color="auto"/>
        <w:right w:val="none" w:sz="0" w:space="0" w:color="auto"/>
      </w:divBdr>
    </w:div>
    <w:div w:id="1788425211">
      <w:bodyDiv w:val="1"/>
      <w:marLeft w:val="0"/>
      <w:marRight w:val="0"/>
      <w:marTop w:val="0"/>
      <w:marBottom w:val="0"/>
      <w:divBdr>
        <w:top w:val="none" w:sz="0" w:space="0" w:color="auto"/>
        <w:left w:val="none" w:sz="0" w:space="0" w:color="auto"/>
        <w:bottom w:val="none" w:sz="0" w:space="0" w:color="auto"/>
        <w:right w:val="none" w:sz="0" w:space="0" w:color="auto"/>
      </w:divBdr>
    </w:div>
    <w:div w:id="1788501713">
      <w:bodyDiv w:val="1"/>
      <w:marLeft w:val="0"/>
      <w:marRight w:val="0"/>
      <w:marTop w:val="0"/>
      <w:marBottom w:val="0"/>
      <w:divBdr>
        <w:top w:val="none" w:sz="0" w:space="0" w:color="auto"/>
        <w:left w:val="none" w:sz="0" w:space="0" w:color="auto"/>
        <w:bottom w:val="none" w:sz="0" w:space="0" w:color="auto"/>
        <w:right w:val="none" w:sz="0" w:space="0" w:color="auto"/>
      </w:divBdr>
    </w:div>
    <w:div w:id="1788575468">
      <w:bodyDiv w:val="1"/>
      <w:marLeft w:val="0"/>
      <w:marRight w:val="0"/>
      <w:marTop w:val="0"/>
      <w:marBottom w:val="0"/>
      <w:divBdr>
        <w:top w:val="none" w:sz="0" w:space="0" w:color="auto"/>
        <w:left w:val="none" w:sz="0" w:space="0" w:color="auto"/>
        <w:bottom w:val="none" w:sz="0" w:space="0" w:color="auto"/>
        <w:right w:val="none" w:sz="0" w:space="0" w:color="auto"/>
      </w:divBdr>
    </w:div>
    <w:div w:id="1788619253">
      <w:bodyDiv w:val="1"/>
      <w:marLeft w:val="0"/>
      <w:marRight w:val="0"/>
      <w:marTop w:val="0"/>
      <w:marBottom w:val="0"/>
      <w:divBdr>
        <w:top w:val="none" w:sz="0" w:space="0" w:color="auto"/>
        <w:left w:val="none" w:sz="0" w:space="0" w:color="auto"/>
        <w:bottom w:val="none" w:sz="0" w:space="0" w:color="auto"/>
        <w:right w:val="none" w:sz="0" w:space="0" w:color="auto"/>
      </w:divBdr>
    </w:div>
    <w:div w:id="1789008562">
      <w:bodyDiv w:val="1"/>
      <w:marLeft w:val="0"/>
      <w:marRight w:val="0"/>
      <w:marTop w:val="0"/>
      <w:marBottom w:val="0"/>
      <w:divBdr>
        <w:top w:val="none" w:sz="0" w:space="0" w:color="auto"/>
        <w:left w:val="none" w:sz="0" w:space="0" w:color="auto"/>
        <w:bottom w:val="none" w:sz="0" w:space="0" w:color="auto"/>
        <w:right w:val="none" w:sz="0" w:space="0" w:color="auto"/>
      </w:divBdr>
    </w:div>
    <w:div w:id="1789010780">
      <w:bodyDiv w:val="1"/>
      <w:marLeft w:val="0"/>
      <w:marRight w:val="0"/>
      <w:marTop w:val="0"/>
      <w:marBottom w:val="0"/>
      <w:divBdr>
        <w:top w:val="none" w:sz="0" w:space="0" w:color="auto"/>
        <w:left w:val="none" w:sz="0" w:space="0" w:color="auto"/>
        <w:bottom w:val="none" w:sz="0" w:space="0" w:color="auto"/>
        <w:right w:val="none" w:sz="0" w:space="0" w:color="auto"/>
      </w:divBdr>
    </w:div>
    <w:div w:id="1789010981">
      <w:bodyDiv w:val="1"/>
      <w:marLeft w:val="0"/>
      <w:marRight w:val="0"/>
      <w:marTop w:val="0"/>
      <w:marBottom w:val="0"/>
      <w:divBdr>
        <w:top w:val="none" w:sz="0" w:space="0" w:color="auto"/>
        <w:left w:val="none" w:sz="0" w:space="0" w:color="auto"/>
        <w:bottom w:val="none" w:sz="0" w:space="0" w:color="auto"/>
        <w:right w:val="none" w:sz="0" w:space="0" w:color="auto"/>
      </w:divBdr>
    </w:div>
    <w:div w:id="1789619516">
      <w:bodyDiv w:val="1"/>
      <w:marLeft w:val="0"/>
      <w:marRight w:val="0"/>
      <w:marTop w:val="0"/>
      <w:marBottom w:val="0"/>
      <w:divBdr>
        <w:top w:val="none" w:sz="0" w:space="0" w:color="auto"/>
        <w:left w:val="none" w:sz="0" w:space="0" w:color="auto"/>
        <w:bottom w:val="none" w:sz="0" w:space="0" w:color="auto"/>
        <w:right w:val="none" w:sz="0" w:space="0" w:color="auto"/>
      </w:divBdr>
    </w:div>
    <w:div w:id="1789855042">
      <w:bodyDiv w:val="1"/>
      <w:marLeft w:val="0"/>
      <w:marRight w:val="0"/>
      <w:marTop w:val="0"/>
      <w:marBottom w:val="0"/>
      <w:divBdr>
        <w:top w:val="none" w:sz="0" w:space="0" w:color="auto"/>
        <w:left w:val="none" w:sz="0" w:space="0" w:color="auto"/>
        <w:bottom w:val="none" w:sz="0" w:space="0" w:color="auto"/>
        <w:right w:val="none" w:sz="0" w:space="0" w:color="auto"/>
      </w:divBdr>
    </w:div>
    <w:div w:id="1789927884">
      <w:bodyDiv w:val="1"/>
      <w:marLeft w:val="0"/>
      <w:marRight w:val="0"/>
      <w:marTop w:val="0"/>
      <w:marBottom w:val="0"/>
      <w:divBdr>
        <w:top w:val="none" w:sz="0" w:space="0" w:color="auto"/>
        <w:left w:val="none" w:sz="0" w:space="0" w:color="auto"/>
        <w:bottom w:val="none" w:sz="0" w:space="0" w:color="auto"/>
        <w:right w:val="none" w:sz="0" w:space="0" w:color="auto"/>
      </w:divBdr>
    </w:div>
    <w:div w:id="1790198611">
      <w:bodyDiv w:val="1"/>
      <w:marLeft w:val="0"/>
      <w:marRight w:val="0"/>
      <w:marTop w:val="0"/>
      <w:marBottom w:val="0"/>
      <w:divBdr>
        <w:top w:val="none" w:sz="0" w:space="0" w:color="auto"/>
        <w:left w:val="none" w:sz="0" w:space="0" w:color="auto"/>
        <w:bottom w:val="none" w:sz="0" w:space="0" w:color="auto"/>
        <w:right w:val="none" w:sz="0" w:space="0" w:color="auto"/>
      </w:divBdr>
    </w:div>
    <w:div w:id="1790388989">
      <w:bodyDiv w:val="1"/>
      <w:marLeft w:val="0"/>
      <w:marRight w:val="0"/>
      <w:marTop w:val="0"/>
      <w:marBottom w:val="0"/>
      <w:divBdr>
        <w:top w:val="none" w:sz="0" w:space="0" w:color="auto"/>
        <w:left w:val="none" w:sz="0" w:space="0" w:color="auto"/>
        <w:bottom w:val="none" w:sz="0" w:space="0" w:color="auto"/>
        <w:right w:val="none" w:sz="0" w:space="0" w:color="auto"/>
      </w:divBdr>
    </w:div>
    <w:div w:id="1790397665">
      <w:bodyDiv w:val="1"/>
      <w:marLeft w:val="0"/>
      <w:marRight w:val="0"/>
      <w:marTop w:val="0"/>
      <w:marBottom w:val="0"/>
      <w:divBdr>
        <w:top w:val="none" w:sz="0" w:space="0" w:color="auto"/>
        <w:left w:val="none" w:sz="0" w:space="0" w:color="auto"/>
        <w:bottom w:val="none" w:sz="0" w:space="0" w:color="auto"/>
        <w:right w:val="none" w:sz="0" w:space="0" w:color="auto"/>
      </w:divBdr>
    </w:div>
    <w:div w:id="1790585604">
      <w:bodyDiv w:val="1"/>
      <w:marLeft w:val="0"/>
      <w:marRight w:val="0"/>
      <w:marTop w:val="0"/>
      <w:marBottom w:val="0"/>
      <w:divBdr>
        <w:top w:val="none" w:sz="0" w:space="0" w:color="auto"/>
        <w:left w:val="none" w:sz="0" w:space="0" w:color="auto"/>
        <w:bottom w:val="none" w:sz="0" w:space="0" w:color="auto"/>
        <w:right w:val="none" w:sz="0" w:space="0" w:color="auto"/>
      </w:divBdr>
    </w:div>
    <w:div w:id="1790589365">
      <w:bodyDiv w:val="1"/>
      <w:marLeft w:val="0"/>
      <w:marRight w:val="0"/>
      <w:marTop w:val="0"/>
      <w:marBottom w:val="0"/>
      <w:divBdr>
        <w:top w:val="none" w:sz="0" w:space="0" w:color="auto"/>
        <w:left w:val="none" w:sz="0" w:space="0" w:color="auto"/>
        <w:bottom w:val="none" w:sz="0" w:space="0" w:color="auto"/>
        <w:right w:val="none" w:sz="0" w:space="0" w:color="auto"/>
      </w:divBdr>
    </w:div>
    <w:div w:id="1790660562">
      <w:bodyDiv w:val="1"/>
      <w:marLeft w:val="0"/>
      <w:marRight w:val="0"/>
      <w:marTop w:val="0"/>
      <w:marBottom w:val="0"/>
      <w:divBdr>
        <w:top w:val="none" w:sz="0" w:space="0" w:color="auto"/>
        <w:left w:val="none" w:sz="0" w:space="0" w:color="auto"/>
        <w:bottom w:val="none" w:sz="0" w:space="0" w:color="auto"/>
        <w:right w:val="none" w:sz="0" w:space="0" w:color="auto"/>
      </w:divBdr>
    </w:div>
    <w:div w:id="1790932734">
      <w:bodyDiv w:val="1"/>
      <w:marLeft w:val="0"/>
      <w:marRight w:val="0"/>
      <w:marTop w:val="0"/>
      <w:marBottom w:val="0"/>
      <w:divBdr>
        <w:top w:val="none" w:sz="0" w:space="0" w:color="auto"/>
        <w:left w:val="none" w:sz="0" w:space="0" w:color="auto"/>
        <w:bottom w:val="none" w:sz="0" w:space="0" w:color="auto"/>
        <w:right w:val="none" w:sz="0" w:space="0" w:color="auto"/>
      </w:divBdr>
    </w:div>
    <w:div w:id="1790976420">
      <w:bodyDiv w:val="1"/>
      <w:marLeft w:val="0"/>
      <w:marRight w:val="0"/>
      <w:marTop w:val="0"/>
      <w:marBottom w:val="0"/>
      <w:divBdr>
        <w:top w:val="none" w:sz="0" w:space="0" w:color="auto"/>
        <w:left w:val="none" w:sz="0" w:space="0" w:color="auto"/>
        <w:bottom w:val="none" w:sz="0" w:space="0" w:color="auto"/>
        <w:right w:val="none" w:sz="0" w:space="0" w:color="auto"/>
      </w:divBdr>
    </w:div>
    <w:div w:id="1791045215">
      <w:bodyDiv w:val="1"/>
      <w:marLeft w:val="0"/>
      <w:marRight w:val="0"/>
      <w:marTop w:val="0"/>
      <w:marBottom w:val="0"/>
      <w:divBdr>
        <w:top w:val="none" w:sz="0" w:space="0" w:color="auto"/>
        <w:left w:val="none" w:sz="0" w:space="0" w:color="auto"/>
        <w:bottom w:val="none" w:sz="0" w:space="0" w:color="auto"/>
        <w:right w:val="none" w:sz="0" w:space="0" w:color="auto"/>
      </w:divBdr>
    </w:div>
    <w:div w:id="1791168817">
      <w:bodyDiv w:val="1"/>
      <w:marLeft w:val="0"/>
      <w:marRight w:val="0"/>
      <w:marTop w:val="0"/>
      <w:marBottom w:val="0"/>
      <w:divBdr>
        <w:top w:val="none" w:sz="0" w:space="0" w:color="auto"/>
        <w:left w:val="none" w:sz="0" w:space="0" w:color="auto"/>
        <w:bottom w:val="none" w:sz="0" w:space="0" w:color="auto"/>
        <w:right w:val="none" w:sz="0" w:space="0" w:color="auto"/>
      </w:divBdr>
    </w:div>
    <w:div w:id="1791240812">
      <w:bodyDiv w:val="1"/>
      <w:marLeft w:val="0"/>
      <w:marRight w:val="0"/>
      <w:marTop w:val="0"/>
      <w:marBottom w:val="0"/>
      <w:divBdr>
        <w:top w:val="none" w:sz="0" w:space="0" w:color="auto"/>
        <w:left w:val="none" w:sz="0" w:space="0" w:color="auto"/>
        <w:bottom w:val="none" w:sz="0" w:space="0" w:color="auto"/>
        <w:right w:val="none" w:sz="0" w:space="0" w:color="auto"/>
      </w:divBdr>
    </w:div>
    <w:div w:id="1791319288">
      <w:bodyDiv w:val="1"/>
      <w:marLeft w:val="0"/>
      <w:marRight w:val="0"/>
      <w:marTop w:val="0"/>
      <w:marBottom w:val="0"/>
      <w:divBdr>
        <w:top w:val="none" w:sz="0" w:space="0" w:color="auto"/>
        <w:left w:val="none" w:sz="0" w:space="0" w:color="auto"/>
        <w:bottom w:val="none" w:sz="0" w:space="0" w:color="auto"/>
        <w:right w:val="none" w:sz="0" w:space="0" w:color="auto"/>
      </w:divBdr>
    </w:div>
    <w:div w:id="1791826469">
      <w:bodyDiv w:val="1"/>
      <w:marLeft w:val="0"/>
      <w:marRight w:val="0"/>
      <w:marTop w:val="0"/>
      <w:marBottom w:val="0"/>
      <w:divBdr>
        <w:top w:val="none" w:sz="0" w:space="0" w:color="auto"/>
        <w:left w:val="none" w:sz="0" w:space="0" w:color="auto"/>
        <w:bottom w:val="none" w:sz="0" w:space="0" w:color="auto"/>
        <w:right w:val="none" w:sz="0" w:space="0" w:color="auto"/>
      </w:divBdr>
    </w:div>
    <w:div w:id="1791895623">
      <w:bodyDiv w:val="1"/>
      <w:marLeft w:val="0"/>
      <w:marRight w:val="0"/>
      <w:marTop w:val="0"/>
      <w:marBottom w:val="0"/>
      <w:divBdr>
        <w:top w:val="none" w:sz="0" w:space="0" w:color="auto"/>
        <w:left w:val="none" w:sz="0" w:space="0" w:color="auto"/>
        <w:bottom w:val="none" w:sz="0" w:space="0" w:color="auto"/>
        <w:right w:val="none" w:sz="0" w:space="0" w:color="auto"/>
      </w:divBdr>
    </w:div>
    <w:div w:id="1791972911">
      <w:bodyDiv w:val="1"/>
      <w:marLeft w:val="0"/>
      <w:marRight w:val="0"/>
      <w:marTop w:val="0"/>
      <w:marBottom w:val="0"/>
      <w:divBdr>
        <w:top w:val="none" w:sz="0" w:space="0" w:color="auto"/>
        <w:left w:val="none" w:sz="0" w:space="0" w:color="auto"/>
        <w:bottom w:val="none" w:sz="0" w:space="0" w:color="auto"/>
        <w:right w:val="none" w:sz="0" w:space="0" w:color="auto"/>
      </w:divBdr>
    </w:div>
    <w:div w:id="1791976221">
      <w:bodyDiv w:val="1"/>
      <w:marLeft w:val="0"/>
      <w:marRight w:val="0"/>
      <w:marTop w:val="0"/>
      <w:marBottom w:val="0"/>
      <w:divBdr>
        <w:top w:val="none" w:sz="0" w:space="0" w:color="auto"/>
        <w:left w:val="none" w:sz="0" w:space="0" w:color="auto"/>
        <w:bottom w:val="none" w:sz="0" w:space="0" w:color="auto"/>
        <w:right w:val="none" w:sz="0" w:space="0" w:color="auto"/>
      </w:divBdr>
    </w:div>
    <w:div w:id="1792092967">
      <w:bodyDiv w:val="1"/>
      <w:marLeft w:val="0"/>
      <w:marRight w:val="0"/>
      <w:marTop w:val="0"/>
      <w:marBottom w:val="0"/>
      <w:divBdr>
        <w:top w:val="none" w:sz="0" w:space="0" w:color="auto"/>
        <w:left w:val="none" w:sz="0" w:space="0" w:color="auto"/>
        <w:bottom w:val="none" w:sz="0" w:space="0" w:color="auto"/>
        <w:right w:val="none" w:sz="0" w:space="0" w:color="auto"/>
      </w:divBdr>
    </w:div>
    <w:div w:id="1792166340">
      <w:bodyDiv w:val="1"/>
      <w:marLeft w:val="0"/>
      <w:marRight w:val="0"/>
      <w:marTop w:val="0"/>
      <w:marBottom w:val="0"/>
      <w:divBdr>
        <w:top w:val="none" w:sz="0" w:space="0" w:color="auto"/>
        <w:left w:val="none" w:sz="0" w:space="0" w:color="auto"/>
        <w:bottom w:val="none" w:sz="0" w:space="0" w:color="auto"/>
        <w:right w:val="none" w:sz="0" w:space="0" w:color="auto"/>
      </w:divBdr>
    </w:div>
    <w:div w:id="1792506313">
      <w:bodyDiv w:val="1"/>
      <w:marLeft w:val="0"/>
      <w:marRight w:val="0"/>
      <w:marTop w:val="0"/>
      <w:marBottom w:val="0"/>
      <w:divBdr>
        <w:top w:val="none" w:sz="0" w:space="0" w:color="auto"/>
        <w:left w:val="none" w:sz="0" w:space="0" w:color="auto"/>
        <w:bottom w:val="none" w:sz="0" w:space="0" w:color="auto"/>
        <w:right w:val="none" w:sz="0" w:space="0" w:color="auto"/>
      </w:divBdr>
    </w:div>
    <w:div w:id="1792746359">
      <w:bodyDiv w:val="1"/>
      <w:marLeft w:val="0"/>
      <w:marRight w:val="0"/>
      <w:marTop w:val="0"/>
      <w:marBottom w:val="0"/>
      <w:divBdr>
        <w:top w:val="none" w:sz="0" w:space="0" w:color="auto"/>
        <w:left w:val="none" w:sz="0" w:space="0" w:color="auto"/>
        <w:bottom w:val="none" w:sz="0" w:space="0" w:color="auto"/>
        <w:right w:val="none" w:sz="0" w:space="0" w:color="auto"/>
      </w:divBdr>
    </w:div>
    <w:div w:id="1792816800">
      <w:bodyDiv w:val="1"/>
      <w:marLeft w:val="0"/>
      <w:marRight w:val="0"/>
      <w:marTop w:val="0"/>
      <w:marBottom w:val="0"/>
      <w:divBdr>
        <w:top w:val="none" w:sz="0" w:space="0" w:color="auto"/>
        <w:left w:val="none" w:sz="0" w:space="0" w:color="auto"/>
        <w:bottom w:val="none" w:sz="0" w:space="0" w:color="auto"/>
        <w:right w:val="none" w:sz="0" w:space="0" w:color="auto"/>
      </w:divBdr>
    </w:div>
    <w:div w:id="1792892585">
      <w:bodyDiv w:val="1"/>
      <w:marLeft w:val="0"/>
      <w:marRight w:val="0"/>
      <w:marTop w:val="0"/>
      <w:marBottom w:val="0"/>
      <w:divBdr>
        <w:top w:val="none" w:sz="0" w:space="0" w:color="auto"/>
        <w:left w:val="none" w:sz="0" w:space="0" w:color="auto"/>
        <w:bottom w:val="none" w:sz="0" w:space="0" w:color="auto"/>
        <w:right w:val="none" w:sz="0" w:space="0" w:color="auto"/>
      </w:divBdr>
    </w:div>
    <w:div w:id="1793014175">
      <w:bodyDiv w:val="1"/>
      <w:marLeft w:val="0"/>
      <w:marRight w:val="0"/>
      <w:marTop w:val="0"/>
      <w:marBottom w:val="0"/>
      <w:divBdr>
        <w:top w:val="none" w:sz="0" w:space="0" w:color="auto"/>
        <w:left w:val="none" w:sz="0" w:space="0" w:color="auto"/>
        <w:bottom w:val="none" w:sz="0" w:space="0" w:color="auto"/>
        <w:right w:val="none" w:sz="0" w:space="0" w:color="auto"/>
      </w:divBdr>
    </w:div>
    <w:div w:id="1793014618">
      <w:bodyDiv w:val="1"/>
      <w:marLeft w:val="0"/>
      <w:marRight w:val="0"/>
      <w:marTop w:val="0"/>
      <w:marBottom w:val="0"/>
      <w:divBdr>
        <w:top w:val="none" w:sz="0" w:space="0" w:color="auto"/>
        <w:left w:val="none" w:sz="0" w:space="0" w:color="auto"/>
        <w:bottom w:val="none" w:sz="0" w:space="0" w:color="auto"/>
        <w:right w:val="none" w:sz="0" w:space="0" w:color="auto"/>
      </w:divBdr>
    </w:div>
    <w:div w:id="1793018696">
      <w:bodyDiv w:val="1"/>
      <w:marLeft w:val="0"/>
      <w:marRight w:val="0"/>
      <w:marTop w:val="0"/>
      <w:marBottom w:val="0"/>
      <w:divBdr>
        <w:top w:val="none" w:sz="0" w:space="0" w:color="auto"/>
        <w:left w:val="none" w:sz="0" w:space="0" w:color="auto"/>
        <w:bottom w:val="none" w:sz="0" w:space="0" w:color="auto"/>
        <w:right w:val="none" w:sz="0" w:space="0" w:color="auto"/>
      </w:divBdr>
    </w:div>
    <w:div w:id="1793279048">
      <w:bodyDiv w:val="1"/>
      <w:marLeft w:val="0"/>
      <w:marRight w:val="0"/>
      <w:marTop w:val="0"/>
      <w:marBottom w:val="0"/>
      <w:divBdr>
        <w:top w:val="none" w:sz="0" w:space="0" w:color="auto"/>
        <w:left w:val="none" w:sz="0" w:space="0" w:color="auto"/>
        <w:bottom w:val="none" w:sz="0" w:space="0" w:color="auto"/>
        <w:right w:val="none" w:sz="0" w:space="0" w:color="auto"/>
      </w:divBdr>
    </w:div>
    <w:div w:id="1793280085">
      <w:bodyDiv w:val="1"/>
      <w:marLeft w:val="0"/>
      <w:marRight w:val="0"/>
      <w:marTop w:val="0"/>
      <w:marBottom w:val="0"/>
      <w:divBdr>
        <w:top w:val="none" w:sz="0" w:space="0" w:color="auto"/>
        <w:left w:val="none" w:sz="0" w:space="0" w:color="auto"/>
        <w:bottom w:val="none" w:sz="0" w:space="0" w:color="auto"/>
        <w:right w:val="none" w:sz="0" w:space="0" w:color="auto"/>
      </w:divBdr>
    </w:div>
    <w:div w:id="1793790440">
      <w:bodyDiv w:val="1"/>
      <w:marLeft w:val="0"/>
      <w:marRight w:val="0"/>
      <w:marTop w:val="0"/>
      <w:marBottom w:val="0"/>
      <w:divBdr>
        <w:top w:val="none" w:sz="0" w:space="0" w:color="auto"/>
        <w:left w:val="none" w:sz="0" w:space="0" w:color="auto"/>
        <w:bottom w:val="none" w:sz="0" w:space="0" w:color="auto"/>
        <w:right w:val="none" w:sz="0" w:space="0" w:color="auto"/>
      </w:divBdr>
    </w:div>
    <w:div w:id="1793985170">
      <w:bodyDiv w:val="1"/>
      <w:marLeft w:val="0"/>
      <w:marRight w:val="0"/>
      <w:marTop w:val="0"/>
      <w:marBottom w:val="0"/>
      <w:divBdr>
        <w:top w:val="none" w:sz="0" w:space="0" w:color="auto"/>
        <w:left w:val="none" w:sz="0" w:space="0" w:color="auto"/>
        <w:bottom w:val="none" w:sz="0" w:space="0" w:color="auto"/>
        <w:right w:val="none" w:sz="0" w:space="0" w:color="auto"/>
      </w:divBdr>
    </w:div>
    <w:div w:id="1794058757">
      <w:bodyDiv w:val="1"/>
      <w:marLeft w:val="0"/>
      <w:marRight w:val="0"/>
      <w:marTop w:val="0"/>
      <w:marBottom w:val="0"/>
      <w:divBdr>
        <w:top w:val="none" w:sz="0" w:space="0" w:color="auto"/>
        <w:left w:val="none" w:sz="0" w:space="0" w:color="auto"/>
        <w:bottom w:val="none" w:sz="0" w:space="0" w:color="auto"/>
        <w:right w:val="none" w:sz="0" w:space="0" w:color="auto"/>
      </w:divBdr>
    </w:div>
    <w:div w:id="1794593767">
      <w:bodyDiv w:val="1"/>
      <w:marLeft w:val="0"/>
      <w:marRight w:val="0"/>
      <w:marTop w:val="0"/>
      <w:marBottom w:val="0"/>
      <w:divBdr>
        <w:top w:val="none" w:sz="0" w:space="0" w:color="auto"/>
        <w:left w:val="none" w:sz="0" w:space="0" w:color="auto"/>
        <w:bottom w:val="none" w:sz="0" w:space="0" w:color="auto"/>
        <w:right w:val="none" w:sz="0" w:space="0" w:color="auto"/>
      </w:divBdr>
    </w:div>
    <w:div w:id="1794715591">
      <w:bodyDiv w:val="1"/>
      <w:marLeft w:val="0"/>
      <w:marRight w:val="0"/>
      <w:marTop w:val="0"/>
      <w:marBottom w:val="0"/>
      <w:divBdr>
        <w:top w:val="none" w:sz="0" w:space="0" w:color="auto"/>
        <w:left w:val="none" w:sz="0" w:space="0" w:color="auto"/>
        <w:bottom w:val="none" w:sz="0" w:space="0" w:color="auto"/>
        <w:right w:val="none" w:sz="0" w:space="0" w:color="auto"/>
      </w:divBdr>
    </w:div>
    <w:div w:id="1794975678">
      <w:bodyDiv w:val="1"/>
      <w:marLeft w:val="0"/>
      <w:marRight w:val="0"/>
      <w:marTop w:val="0"/>
      <w:marBottom w:val="0"/>
      <w:divBdr>
        <w:top w:val="none" w:sz="0" w:space="0" w:color="auto"/>
        <w:left w:val="none" w:sz="0" w:space="0" w:color="auto"/>
        <w:bottom w:val="none" w:sz="0" w:space="0" w:color="auto"/>
        <w:right w:val="none" w:sz="0" w:space="0" w:color="auto"/>
      </w:divBdr>
    </w:div>
    <w:div w:id="1795051651">
      <w:bodyDiv w:val="1"/>
      <w:marLeft w:val="0"/>
      <w:marRight w:val="0"/>
      <w:marTop w:val="0"/>
      <w:marBottom w:val="0"/>
      <w:divBdr>
        <w:top w:val="none" w:sz="0" w:space="0" w:color="auto"/>
        <w:left w:val="none" w:sz="0" w:space="0" w:color="auto"/>
        <w:bottom w:val="none" w:sz="0" w:space="0" w:color="auto"/>
        <w:right w:val="none" w:sz="0" w:space="0" w:color="auto"/>
      </w:divBdr>
    </w:div>
    <w:div w:id="1795246202">
      <w:bodyDiv w:val="1"/>
      <w:marLeft w:val="0"/>
      <w:marRight w:val="0"/>
      <w:marTop w:val="0"/>
      <w:marBottom w:val="0"/>
      <w:divBdr>
        <w:top w:val="none" w:sz="0" w:space="0" w:color="auto"/>
        <w:left w:val="none" w:sz="0" w:space="0" w:color="auto"/>
        <w:bottom w:val="none" w:sz="0" w:space="0" w:color="auto"/>
        <w:right w:val="none" w:sz="0" w:space="0" w:color="auto"/>
      </w:divBdr>
    </w:div>
    <w:div w:id="1795249400">
      <w:bodyDiv w:val="1"/>
      <w:marLeft w:val="0"/>
      <w:marRight w:val="0"/>
      <w:marTop w:val="0"/>
      <w:marBottom w:val="0"/>
      <w:divBdr>
        <w:top w:val="none" w:sz="0" w:space="0" w:color="auto"/>
        <w:left w:val="none" w:sz="0" w:space="0" w:color="auto"/>
        <w:bottom w:val="none" w:sz="0" w:space="0" w:color="auto"/>
        <w:right w:val="none" w:sz="0" w:space="0" w:color="auto"/>
      </w:divBdr>
    </w:div>
    <w:div w:id="1795319531">
      <w:bodyDiv w:val="1"/>
      <w:marLeft w:val="0"/>
      <w:marRight w:val="0"/>
      <w:marTop w:val="0"/>
      <w:marBottom w:val="0"/>
      <w:divBdr>
        <w:top w:val="none" w:sz="0" w:space="0" w:color="auto"/>
        <w:left w:val="none" w:sz="0" w:space="0" w:color="auto"/>
        <w:bottom w:val="none" w:sz="0" w:space="0" w:color="auto"/>
        <w:right w:val="none" w:sz="0" w:space="0" w:color="auto"/>
      </w:divBdr>
    </w:div>
    <w:div w:id="1795366357">
      <w:bodyDiv w:val="1"/>
      <w:marLeft w:val="0"/>
      <w:marRight w:val="0"/>
      <w:marTop w:val="0"/>
      <w:marBottom w:val="0"/>
      <w:divBdr>
        <w:top w:val="none" w:sz="0" w:space="0" w:color="auto"/>
        <w:left w:val="none" w:sz="0" w:space="0" w:color="auto"/>
        <w:bottom w:val="none" w:sz="0" w:space="0" w:color="auto"/>
        <w:right w:val="none" w:sz="0" w:space="0" w:color="auto"/>
      </w:divBdr>
    </w:div>
    <w:div w:id="1795447084">
      <w:bodyDiv w:val="1"/>
      <w:marLeft w:val="0"/>
      <w:marRight w:val="0"/>
      <w:marTop w:val="0"/>
      <w:marBottom w:val="0"/>
      <w:divBdr>
        <w:top w:val="none" w:sz="0" w:space="0" w:color="auto"/>
        <w:left w:val="none" w:sz="0" w:space="0" w:color="auto"/>
        <w:bottom w:val="none" w:sz="0" w:space="0" w:color="auto"/>
        <w:right w:val="none" w:sz="0" w:space="0" w:color="auto"/>
      </w:divBdr>
    </w:div>
    <w:div w:id="1795635986">
      <w:bodyDiv w:val="1"/>
      <w:marLeft w:val="0"/>
      <w:marRight w:val="0"/>
      <w:marTop w:val="0"/>
      <w:marBottom w:val="0"/>
      <w:divBdr>
        <w:top w:val="none" w:sz="0" w:space="0" w:color="auto"/>
        <w:left w:val="none" w:sz="0" w:space="0" w:color="auto"/>
        <w:bottom w:val="none" w:sz="0" w:space="0" w:color="auto"/>
        <w:right w:val="none" w:sz="0" w:space="0" w:color="auto"/>
      </w:divBdr>
    </w:div>
    <w:div w:id="1795715896">
      <w:bodyDiv w:val="1"/>
      <w:marLeft w:val="0"/>
      <w:marRight w:val="0"/>
      <w:marTop w:val="0"/>
      <w:marBottom w:val="0"/>
      <w:divBdr>
        <w:top w:val="none" w:sz="0" w:space="0" w:color="auto"/>
        <w:left w:val="none" w:sz="0" w:space="0" w:color="auto"/>
        <w:bottom w:val="none" w:sz="0" w:space="0" w:color="auto"/>
        <w:right w:val="none" w:sz="0" w:space="0" w:color="auto"/>
      </w:divBdr>
    </w:div>
    <w:div w:id="1795824561">
      <w:bodyDiv w:val="1"/>
      <w:marLeft w:val="0"/>
      <w:marRight w:val="0"/>
      <w:marTop w:val="0"/>
      <w:marBottom w:val="0"/>
      <w:divBdr>
        <w:top w:val="none" w:sz="0" w:space="0" w:color="auto"/>
        <w:left w:val="none" w:sz="0" w:space="0" w:color="auto"/>
        <w:bottom w:val="none" w:sz="0" w:space="0" w:color="auto"/>
        <w:right w:val="none" w:sz="0" w:space="0" w:color="auto"/>
      </w:divBdr>
    </w:div>
    <w:div w:id="1795904443">
      <w:bodyDiv w:val="1"/>
      <w:marLeft w:val="0"/>
      <w:marRight w:val="0"/>
      <w:marTop w:val="0"/>
      <w:marBottom w:val="0"/>
      <w:divBdr>
        <w:top w:val="none" w:sz="0" w:space="0" w:color="auto"/>
        <w:left w:val="none" w:sz="0" w:space="0" w:color="auto"/>
        <w:bottom w:val="none" w:sz="0" w:space="0" w:color="auto"/>
        <w:right w:val="none" w:sz="0" w:space="0" w:color="auto"/>
      </w:divBdr>
    </w:div>
    <w:div w:id="1796171066">
      <w:bodyDiv w:val="1"/>
      <w:marLeft w:val="0"/>
      <w:marRight w:val="0"/>
      <w:marTop w:val="0"/>
      <w:marBottom w:val="0"/>
      <w:divBdr>
        <w:top w:val="none" w:sz="0" w:space="0" w:color="auto"/>
        <w:left w:val="none" w:sz="0" w:space="0" w:color="auto"/>
        <w:bottom w:val="none" w:sz="0" w:space="0" w:color="auto"/>
        <w:right w:val="none" w:sz="0" w:space="0" w:color="auto"/>
      </w:divBdr>
    </w:div>
    <w:div w:id="1796175495">
      <w:bodyDiv w:val="1"/>
      <w:marLeft w:val="0"/>
      <w:marRight w:val="0"/>
      <w:marTop w:val="0"/>
      <w:marBottom w:val="0"/>
      <w:divBdr>
        <w:top w:val="none" w:sz="0" w:space="0" w:color="auto"/>
        <w:left w:val="none" w:sz="0" w:space="0" w:color="auto"/>
        <w:bottom w:val="none" w:sz="0" w:space="0" w:color="auto"/>
        <w:right w:val="none" w:sz="0" w:space="0" w:color="auto"/>
      </w:divBdr>
    </w:div>
    <w:div w:id="1796636364">
      <w:bodyDiv w:val="1"/>
      <w:marLeft w:val="0"/>
      <w:marRight w:val="0"/>
      <w:marTop w:val="0"/>
      <w:marBottom w:val="0"/>
      <w:divBdr>
        <w:top w:val="none" w:sz="0" w:space="0" w:color="auto"/>
        <w:left w:val="none" w:sz="0" w:space="0" w:color="auto"/>
        <w:bottom w:val="none" w:sz="0" w:space="0" w:color="auto"/>
        <w:right w:val="none" w:sz="0" w:space="0" w:color="auto"/>
      </w:divBdr>
    </w:div>
    <w:div w:id="1797066635">
      <w:bodyDiv w:val="1"/>
      <w:marLeft w:val="0"/>
      <w:marRight w:val="0"/>
      <w:marTop w:val="0"/>
      <w:marBottom w:val="0"/>
      <w:divBdr>
        <w:top w:val="none" w:sz="0" w:space="0" w:color="auto"/>
        <w:left w:val="none" w:sz="0" w:space="0" w:color="auto"/>
        <w:bottom w:val="none" w:sz="0" w:space="0" w:color="auto"/>
        <w:right w:val="none" w:sz="0" w:space="0" w:color="auto"/>
      </w:divBdr>
    </w:div>
    <w:div w:id="1797215241">
      <w:bodyDiv w:val="1"/>
      <w:marLeft w:val="0"/>
      <w:marRight w:val="0"/>
      <w:marTop w:val="0"/>
      <w:marBottom w:val="0"/>
      <w:divBdr>
        <w:top w:val="none" w:sz="0" w:space="0" w:color="auto"/>
        <w:left w:val="none" w:sz="0" w:space="0" w:color="auto"/>
        <w:bottom w:val="none" w:sz="0" w:space="0" w:color="auto"/>
        <w:right w:val="none" w:sz="0" w:space="0" w:color="auto"/>
      </w:divBdr>
    </w:div>
    <w:div w:id="1797404281">
      <w:bodyDiv w:val="1"/>
      <w:marLeft w:val="0"/>
      <w:marRight w:val="0"/>
      <w:marTop w:val="0"/>
      <w:marBottom w:val="0"/>
      <w:divBdr>
        <w:top w:val="none" w:sz="0" w:space="0" w:color="auto"/>
        <w:left w:val="none" w:sz="0" w:space="0" w:color="auto"/>
        <w:bottom w:val="none" w:sz="0" w:space="0" w:color="auto"/>
        <w:right w:val="none" w:sz="0" w:space="0" w:color="auto"/>
      </w:divBdr>
    </w:div>
    <w:div w:id="1797521871">
      <w:bodyDiv w:val="1"/>
      <w:marLeft w:val="0"/>
      <w:marRight w:val="0"/>
      <w:marTop w:val="0"/>
      <w:marBottom w:val="0"/>
      <w:divBdr>
        <w:top w:val="none" w:sz="0" w:space="0" w:color="auto"/>
        <w:left w:val="none" w:sz="0" w:space="0" w:color="auto"/>
        <w:bottom w:val="none" w:sz="0" w:space="0" w:color="auto"/>
        <w:right w:val="none" w:sz="0" w:space="0" w:color="auto"/>
      </w:divBdr>
    </w:div>
    <w:div w:id="1797790946">
      <w:bodyDiv w:val="1"/>
      <w:marLeft w:val="0"/>
      <w:marRight w:val="0"/>
      <w:marTop w:val="0"/>
      <w:marBottom w:val="0"/>
      <w:divBdr>
        <w:top w:val="none" w:sz="0" w:space="0" w:color="auto"/>
        <w:left w:val="none" w:sz="0" w:space="0" w:color="auto"/>
        <w:bottom w:val="none" w:sz="0" w:space="0" w:color="auto"/>
        <w:right w:val="none" w:sz="0" w:space="0" w:color="auto"/>
      </w:divBdr>
    </w:div>
    <w:div w:id="1797797524">
      <w:bodyDiv w:val="1"/>
      <w:marLeft w:val="0"/>
      <w:marRight w:val="0"/>
      <w:marTop w:val="0"/>
      <w:marBottom w:val="0"/>
      <w:divBdr>
        <w:top w:val="none" w:sz="0" w:space="0" w:color="auto"/>
        <w:left w:val="none" w:sz="0" w:space="0" w:color="auto"/>
        <w:bottom w:val="none" w:sz="0" w:space="0" w:color="auto"/>
        <w:right w:val="none" w:sz="0" w:space="0" w:color="auto"/>
      </w:divBdr>
    </w:div>
    <w:div w:id="1797869303">
      <w:bodyDiv w:val="1"/>
      <w:marLeft w:val="0"/>
      <w:marRight w:val="0"/>
      <w:marTop w:val="0"/>
      <w:marBottom w:val="0"/>
      <w:divBdr>
        <w:top w:val="none" w:sz="0" w:space="0" w:color="auto"/>
        <w:left w:val="none" w:sz="0" w:space="0" w:color="auto"/>
        <w:bottom w:val="none" w:sz="0" w:space="0" w:color="auto"/>
        <w:right w:val="none" w:sz="0" w:space="0" w:color="auto"/>
      </w:divBdr>
    </w:div>
    <w:div w:id="1797990086">
      <w:bodyDiv w:val="1"/>
      <w:marLeft w:val="0"/>
      <w:marRight w:val="0"/>
      <w:marTop w:val="0"/>
      <w:marBottom w:val="0"/>
      <w:divBdr>
        <w:top w:val="none" w:sz="0" w:space="0" w:color="auto"/>
        <w:left w:val="none" w:sz="0" w:space="0" w:color="auto"/>
        <w:bottom w:val="none" w:sz="0" w:space="0" w:color="auto"/>
        <w:right w:val="none" w:sz="0" w:space="0" w:color="auto"/>
      </w:divBdr>
    </w:div>
    <w:div w:id="1798062835">
      <w:bodyDiv w:val="1"/>
      <w:marLeft w:val="0"/>
      <w:marRight w:val="0"/>
      <w:marTop w:val="0"/>
      <w:marBottom w:val="0"/>
      <w:divBdr>
        <w:top w:val="none" w:sz="0" w:space="0" w:color="auto"/>
        <w:left w:val="none" w:sz="0" w:space="0" w:color="auto"/>
        <w:bottom w:val="none" w:sz="0" w:space="0" w:color="auto"/>
        <w:right w:val="none" w:sz="0" w:space="0" w:color="auto"/>
      </w:divBdr>
    </w:div>
    <w:div w:id="1798064607">
      <w:bodyDiv w:val="1"/>
      <w:marLeft w:val="0"/>
      <w:marRight w:val="0"/>
      <w:marTop w:val="0"/>
      <w:marBottom w:val="0"/>
      <w:divBdr>
        <w:top w:val="none" w:sz="0" w:space="0" w:color="auto"/>
        <w:left w:val="none" w:sz="0" w:space="0" w:color="auto"/>
        <w:bottom w:val="none" w:sz="0" w:space="0" w:color="auto"/>
        <w:right w:val="none" w:sz="0" w:space="0" w:color="auto"/>
      </w:divBdr>
    </w:div>
    <w:div w:id="1798141246">
      <w:bodyDiv w:val="1"/>
      <w:marLeft w:val="0"/>
      <w:marRight w:val="0"/>
      <w:marTop w:val="0"/>
      <w:marBottom w:val="0"/>
      <w:divBdr>
        <w:top w:val="none" w:sz="0" w:space="0" w:color="auto"/>
        <w:left w:val="none" w:sz="0" w:space="0" w:color="auto"/>
        <w:bottom w:val="none" w:sz="0" w:space="0" w:color="auto"/>
        <w:right w:val="none" w:sz="0" w:space="0" w:color="auto"/>
      </w:divBdr>
    </w:div>
    <w:div w:id="1798722193">
      <w:bodyDiv w:val="1"/>
      <w:marLeft w:val="0"/>
      <w:marRight w:val="0"/>
      <w:marTop w:val="0"/>
      <w:marBottom w:val="0"/>
      <w:divBdr>
        <w:top w:val="none" w:sz="0" w:space="0" w:color="auto"/>
        <w:left w:val="none" w:sz="0" w:space="0" w:color="auto"/>
        <w:bottom w:val="none" w:sz="0" w:space="0" w:color="auto"/>
        <w:right w:val="none" w:sz="0" w:space="0" w:color="auto"/>
      </w:divBdr>
    </w:div>
    <w:div w:id="1798834220">
      <w:bodyDiv w:val="1"/>
      <w:marLeft w:val="0"/>
      <w:marRight w:val="0"/>
      <w:marTop w:val="0"/>
      <w:marBottom w:val="0"/>
      <w:divBdr>
        <w:top w:val="none" w:sz="0" w:space="0" w:color="auto"/>
        <w:left w:val="none" w:sz="0" w:space="0" w:color="auto"/>
        <w:bottom w:val="none" w:sz="0" w:space="0" w:color="auto"/>
        <w:right w:val="none" w:sz="0" w:space="0" w:color="auto"/>
      </w:divBdr>
    </w:div>
    <w:div w:id="1799444667">
      <w:bodyDiv w:val="1"/>
      <w:marLeft w:val="0"/>
      <w:marRight w:val="0"/>
      <w:marTop w:val="0"/>
      <w:marBottom w:val="0"/>
      <w:divBdr>
        <w:top w:val="none" w:sz="0" w:space="0" w:color="auto"/>
        <w:left w:val="none" w:sz="0" w:space="0" w:color="auto"/>
        <w:bottom w:val="none" w:sz="0" w:space="0" w:color="auto"/>
        <w:right w:val="none" w:sz="0" w:space="0" w:color="auto"/>
      </w:divBdr>
    </w:div>
    <w:div w:id="1799566945">
      <w:bodyDiv w:val="1"/>
      <w:marLeft w:val="0"/>
      <w:marRight w:val="0"/>
      <w:marTop w:val="0"/>
      <w:marBottom w:val="0"/>
      <w:divBdr>
        <w:top w:val="none" w:sz="0" w:space="0" w:color="auto"/>
        <w:left w:val="none" w:sz="0" w:space="0" w:color="auto"/>
        <w:bottom w:val="none" w:sz="0" w:space="0" w:color="auto"/>
        <w:right w:val="none" w:sz="0" w:space="0" w:color="auto"/>
      </w:divBdr>
    </w:div>
    <w:div w:id="1799644467">
      <w:bodyDiv w:val="1"/>
      <w:marLeft w:val="0"/>
      <w:marRight w:val="0"/>
      <w:marTop w:val="0"/>
      <w:marBottom w:val="0"/>
      <w:divBdr>
        <w:top w:val="none" w:sz="0" w:space="0" w:color="auto"/>
        <w:left w:val="none" w:sz="0" w:space="0" w:color="auto"/>
        <w:bottom w:val="none" w:sz="0" w:space="0" w:color="auto"/>
        <w:right w:val="none" w:sz="0" w:space="0" w:color="auto"/>
      </w:divBdr>
    </w:div>
    <w:div w:id="1799758601">
      <w:bodyDiv w:val="1"/>
      <w:marLeft w:val="0"/>
      <w:marRight w:val="0"/>
      <w:marTop w:val="0"/>
      <w:marBottom w:val="0"/>
      <w:divBdr>
        <w:top w:val="none" w:sz="0" w:space="0" w:color="auto"/>
        <w:left w:val="none" w:sz="0" w:space="0" w:color="auto"/>
        <w:bottom w:val="none" w:sz="0" w:space="0" w:color="auto"/>
        <w:right w:val="none" w:sz="0" w:space="0" w:color="auto"/>
      </w:divBdr>
    </w:div>
    <w:div w:id="1799758630">
      <w:bodyDiv w:val="1"/>
      <w:marLeft w:val="0"/>
      <w:marRight w:val="0"/>
      <w:marTop w:val="0"/>
      <w:marBottom w:val="0"/>
      <w:divBdr>
        <w:top w:val="none" w:sz="0" w:space="0" w:color="auto"/>
        <w:left w:val="none" w:sz="0" w:space="0" w:color="auto"/>
        <w:bottom w:val="none" w:sz="0" w:space="0" w:color="auto"/>
        <w:right w:val="none" w:sz="0" w:space="0" w:color="auto"/>
      </w:divBdr>
    </w:div>
    <w:div w:id="1799758984">
      <w:bodyDiv w:val="1"/>
      <w:marLeft w:val="0"/>
      <w:marRight w:val="0"/>
      <w:marTop w:val="0"/>
      <w:marBottom w:val="0"/>
      <w:divBdr>
        <w:top w:val="none" w:sz="0" w:space="0" w:color="auto"/>
        <w:left w:val="none" w:sz="0" w:space="0" w:color="auto"/>
        <w:bottom w:val="none" w:sz="0" w:space="0" w:color="auto"/>
        <w:right w:val="none" w:sz="0" w:space="0" w:color="auto"/>
      </w:divBdr>
    </w:div>
    <w:div w:id="1799911390">
      <w:bodyDiv w:val="1"/>
      <w:marLeft w:val="0"/>
      <w:marRight w:val="0"/>
      <w:marTop w:val="0"/>
      <w:marBottom w:val="0"/>
      <w:divBdr>
        <w:top w:val="none" w:sz="0" w:space="0" w:color="auto"/>
        <w:left w:val="none" w:sz="0" w:space="0" w:color="auto"/>
        <w:bottom w:val="none" w:sz="0" w:space="0" w:color="auto"/>
        <w:right w:val="none" w:sz="0" w:space="0" w:color="auto"/>
      </w:divBdr>
    </w:div>
    <w:div w:id="1799951964">
      <w:bodyDiv w:val="1"/>
      <w:marLeft w:val="0"/>
      <w:marRight w:val="0"/>
      <w:marTop w:val="0"/>
      <w:marBottom w:val="0"/>
      <w:divBdr>
        <w:top w:val="none" w:sz="0" w:space="0" w:color="auto"/>
        <w:left w:val="none" w:sz="0" w:space="0" w:color="auto"/>
        <w:bottom w:val="none" w:sz="0" w:space="0" w:color="auto"/>
        <w:right w:val="none" w:sz="0" w:space="0" w:color="auto"/>
      </w:divBdr>
    </w:div>
    <w:div w:id="1800029521">
      <w:bodyDiv w:val="1"/>
      <w:marLeft w:val="0"/>
      <w:marRight w:val="0"/>
      <w:marTop w:val="0"/>
      <w:marBottom w:val="0"/>
      <w:divBdr>
        <w:top w:val="none" w:sz="0" w:space="0" w:color="auto"/>
        <w:left w:val="none" w:sz="0" w:space="0" w:color="auto"/>
        <w:bottom w:val="none" w:sz="0" w:space="0" w:color="auto"/>
        <w:right w:val="none" w:sz="0" w:space="0" w:color="auto"/>
      </w:divBdr>
    </w:div>
    <w:div w:id="1800102108">
      <w:bodyDiv w:val="1"/>
      <w:marLeft w:val="0"/>
      <w:marRight w:val="0"/>
      <w:marTop w:val="0"/>
      <w:marBottom w:val="0"/>
      <w:divBdr>
        <w:top w:val="none" w:sz="0" w:space="0" w:color="auto"/>
        <w:left w:val="none" w:sz="0" w:space="0" w:color="auto"/>
        <w:bottom w:val="none" w:sz="0" w:space="0" w:color="auto"/>
        <w:right w:val="none" w:sz="0" w:space="0" w:color="auto"/>
      </w:divBdr>
    </w:div>
    <w:div w:id="1800103951">
      <w:bodyDiv w:val="1"/>
      <w:marLeft w:val="0"/>
      <w:marRight w:val="0"/>
      <w:marTop w:val="0"/>
      <w:marBottom w:val="0"/>
      <w:divBdr>
        <w:top w:val="none" w:sz="0" w:space="0" w:color="auto"/>
        <w:left w:val="none" w:sz="0" w:space="0" w:color="auto"/>
        <w:bottom w:val="none" w:sz="0" w:space="0" w:color="auto"/>
        <w:right w:val="none" w:sz="0" w:space="0" w:color="auto"/>
      </w:divBdr>
    </w:div>
    <w:div w:id="1800148056">
      <w:bodyDiv w:val="1"/>
      <w:marLeft w:val="0"/>
      <w:marRight w:val="0"/>
      <w:marTop w:val="0"/>
      <w:marBottom w:val="0"/>
      <w:divBdr>
        <w:top w:val="none" w:sz="0" w:space="0" w:color="auto"/>
        <w:left w:val="none" w:sz="0" w:space="0" w:color="auto"/>
        <w:bottom w:val="none" w:sz="0" w:space="0" w:color="auto"/>
        <w:right w:val="none" w:sz="0" w:space="0" w:color="auto"/>
      </w:divBdr>
    </w:div>
    <w:div w:id="1800151223">
      <w:bodyDiv w:val="1"/>
      <w:marLeft w:val="0"/>
      <w:marRight w:val="0"/>
      <w:marTop w:val="0"/>
      <w:marBottom w:val="0"/>
      <w:divBdr>
        <w:top w:val="none" w:sz="0" w:space="0" w:color="auto"/>
        <w:left w:val="none" w:sz="0" w:space="0" w:color="auto"/>
        <w:bottom w:val="none" w:sz="0" w:space="0" w:color="auto"/>
        <w:right w:val="none" w:sz="0" w:space="0" w:color="auto"/>
      </w:divBdr>
    </w:div>
    <w:div w:id="1800370950">
      <w:bodyDiv w:val="1"/>
      <w:marLeft w:val="0"/>
      <w:marRight w:val="0"/>
      <w:marTop w:val="0"/>
      <w:marBottom w:val="0"/>
      <w:divBdr>
        <w:top w:val="none" w:sz="0" w:space="0" w:color="auto"/>
        <w:left w:val="none" w:sz="0" w:space="0" w:color="auto"/>
        <w:bottom w:val="none" w:sz="0" w:space="0" w:color="auto"/>
        <w:right w:val="none" w:sz="0" w:space="0" w:color="auto"/>
      </w:divBdr>
    </w:div>
    <w:div w:id="1800486584">
      <w:bodyDiv w:val="1"/>
      <w:marLeft w:val="0"/>
      <w:marRight w:val="0"/>
      <w:marTop w:val="0"/>
      <w:marBottom w:val="0"/>
      <w:divBdr>
        <w:top w:val="none" w:sz="0" w:space="0" w:color="auto"/>
        <w:left w:val="none" w:sz="0" w:space="0" w:color="auto"/>
        <w:bottom w:val="none" w:sz="0" w:space="0" w:color="auto"/>
        <w:right w:val="none" w:sz="0" w:space="0" w:color="auto"/>
      </w:divBdr>
    </w:div>
    <w:div w:id="1800567339">
      <w:bodyDiv w:val="1"/>
      <w:marLeft w:val="0"/>
      <w:marRight w:val="0"/>
      <w:marTop w:val="0"/>
      <w:marBottom w:val="0"/>
      <w:divBdr>
        <w:top w:val="none" w:sz="0" w:space="0" w:color="auto"/>
        <w:left w:val="none" w:sz="0" w:space="0" w:color="auto"/>
        <w:bottom w:val="none" w:sz="0" w:space="0" w:color="auto"/>
        <w:right w:val="none" w:sz="0" w:space="0" w:color="auto"/>
      </w:divBdr>
    </w:div>
    <w:div w:id="1800688026">
      <w:bodyDiv w:val="1"/>
      <w:marLeft w:val="0"/>
      <w:marRight w:val="0"/>
      <w:marTop w:val="0"/>
      <w:marBottom w:val="0"/>
      <w:divBdr>
        <w:top w:val="none" w:sz="0" w:space="0" w:color="auto"/>
        <w:left w:val="none" w:sz="0" w:space="0" w:color="auto"/>
        <w:bottom w:val="none" w:sz="0" w:space="0" w:color="auto"/>
        <w:right w:val="none" w:sz="0" w:space="0" w:color="auto"/>
      </w:divBdr>
    </w:div>
    <w:div w:id="1800756546">
      <w:bodyDiv w:val="1"/>
      <w:marLeft w:val="0"/>
      <w:marRight w:val="0"/>
      <w:marTop w:val="0"/>
      <w:marBottom w:val="0"/>
      <w:divBdr>
        <w:top w:val="none" w:sz="0" w:space="0" w:color="auto"/>
        <w:left w:val="none" w:sz="0" w:space="0" w:color="auto"/>
        <w:bottom w:val="none" w:sz="0" w:space="0" w:color="auto"/>
        <w:right w:val="none" w:sz="0" w:space="0" w:color="auto"/>
      </w:divBdr>
    </w:div>
    <w:div w:id="1800758381">
      <w:bodyDiv w:val="1"/>
      <w:marLeft w:val="0"/>
      <w:marRight w:val="0"/>
      <w:marTop w:val="0"/>
      <w:marBottom w:val="0"/>
      <w:divBdr>
        <w:top w:val="none" w:sz="0" w:space="0" w:color="auto"/>
        <w:left w:val="none" w:sz="0" w:space="0" w:color="auto"/>
        <w:bottom w:val="none" w:sz="0" w:space="0" w:color="auto"/>
        <w:right w:val="none" w:sz="0" w:space="0" w:color="auto"/>
      </w:divBdr>
    </w:div>
    <w:div w:id="1800799893">
      <w:bodyDiv w:val="1"/>
      <w:marLeft w:val="0"/>
      <w:marRight w:val="0"/>
      <w:marTop w:val="0"/>
      <w:marBottom w:val="0"/>
      <w:divBdr>
        <w:top w:val="none" w:sz="0" w:space="0" w:color="auto"/>
        <w:left w:val="none" w:sz="0" w:space="0" w:color="auto"/>
        <w:bottom w:val="none" w:sz="0" w:space="0" w:color="auto"/>
        <w:right w:val="none" w:sz="0" w:space="0" w:color="auto"/>
      </w:divBdr>
    </w:div>
    <w:div w:id="1801192832">
      <w:bodyDiv w:val="1"/>
      <w:marLeft w:val="0"/>
      <w:marRight w:val="0"/>
      <w:marTop w:val="0"/>
      <w:marBottom w:val="0"/>
      <w:divBdr>
        <w:top w:val="none" w:sz="0" w:space="0" w:color="auto"/>
        <w:left w:val="none" w:sz="0" w:space="0" w:color="auto"/>
        <w:bottom w:val="none" w:sz="0" w:space="0" w:color="auto"/>
        <w:right w:val="none" w:sz="0" w:space="0" w:color="auto"/>
      </w:divBdr>
    </w:div>
    <w:div w:id="1801335152">
      <w:bodyDiv w:val="1"/>
      <w:marLeft w:val="0"/>
      <w:marRight w:val="0"/>
      <w:marTop w:val="0"/>
      <w:marBottom w:val="0"/>
      <w:divBdr>
        <w:top w:val="none" w:sz="0" w:space="0" w:color="auto"/>
        <w:left w:val="none" w:sz="0" w:space="0" w:color="auto"/>
        <w:bottom w:val="none" w:sz="0" w:space="0" w:color="auto"/>
        <w:right w:val="none" w:sz="0" w:space="0" w:color="auto"/>
      </w:divBdr>
    </w:div>
    <w:div w:id="1801343692">
      <w:bodyDiv w:val="1"/>
      <w:marLeft w:val="0"/>
      <w:marRight w:val="0"/>
      <w:marTop w:val="0"/>
      <w:marBottom w:val="0"/>
      <w:divBdr>
        <w:top w:val="none" w:sz="0" w:space="0" w:color="auto"/>
        <w:left w:val="none" w:sz="0" w:space="0" w:color="auto"/>
        <w:bottom w:val="none" w:sz="0" w:space="0" w:color="auto"/>
        <w:right w:val="none" w:sz="0" w:space="0" w:color="auto"/>
      </w:divBdr>
    </w:div>
    <w:div w:id="1801654632">
      <w:bodyDiv w:val="1"/>
      <w:marLeft w:val="0"/>
      <w:marRight w:val="0"/>
      <w:marTop w:val="0"/>
      <w:marBottom w:val="0"/>
      <w:divBdr>
        <w:top w:val="none" w:sz="0" w:space="0" w:color="auto"/>
        <w:left w:val="none" w:sz="0" w:space="0" w:color="auto"/>
        <w:bottom w:val="none" w:sz="0" w:space="0" w:color="auto"/>
        <w:right w:val="none" w:sz="0" w:space="0" w:color="auto"/>
      </w:divBdr>
    </w:div>
    <w:div w:id="1801723571">
      <w:bodyDiv w:val="1"/>
      <w:marLeft w:val="0"/>
      <w:marRight w:val="0"/>
      <w:marTop w:val="0"/>
      <w:marBottom w:val="0"/>
      <w:divBdr>
        <w:top w:val="none" w:sz="0" w:space="0" w:color="auto"/>
        <w:left w:val="none" w:sz="0" w:space="0" w:color="auto"/>
        <w:bottom w:val="none" w:sz="0" w:space="0" w:color="auto"/>
        <w:right w:val="none" w:sz="0" w:space="0" w:color="auto"/>
      </w:divBdr>
    </w:div>
    <w:div w:id="1801916916">
      <w:bodyDiv w:val="1"/>
      <w:marLeft w:val="0"/>
      <w:marRight w:val="0"/>
      <w:marTop w:val="0"/>
      <w:marBottom w:val="0"/>
      <w:divBdr>
        <w:top w:val="none" w:sz="0" w:space="0" w:color="auto"/>
        <w:left w:val="none" w:sz="0" w:space="0" w:color="auto"/>
        <w:bottom w:val="none" w:sz="0" w:space="0" w:color="auto"/>
        <w:right w:val="none" w:sz="0" w:space="0" w:color="auto"/>
      </w:divBdr>
    </w:div>
    <w:div w:id="1802073941">
      <w:bodyDiv w:val="1"/>
      <w:marLeft w:val="0"/>
      <w:marRight w:val="0"/>
      <w:marTop w:val="0"/>
      <w:marBottom w:val="0"/>
      <w:divBdr>
        <w:top w:val="none" w:sz="0" w:space="0" w:color="auto"/>
        <w:left w:val="none" w:sz="0" w:space="0" w:color="auto"/>
        <w:bottom w:val="none" w:sz="0" w:space="0" w:color="auto"/>
        <w:right w:val="none" w:sz="0" w:space="0" w:color="auto"/>
      </w:divBdr>
    </w:div>
    <w:div w:id="1802113772">
      <w:bodyDiv w:val="1"/>
      <w:marLeft w:val="0"/>
      <w:marRight w:val="0"/>
      <w:marTop w:val="0"/>
      <w:marBottom w:val="0"/>
      <w:divBdr>
        <w:top w:val="none" w:sz="0" w:space="0" w:color="auto"/>
        <w:left w:val="none" w:sz="0" w:space="0" w:color="auto"/>
        <w:bottom w:val="none" w:sz="0" w:space="0" w:color="auto"/>
        <w:right w:val="none" w:sz="0" w:space="0" w:color="auto"/>
      </w:divBdr>
    </w:div>
    <w:div w:id="1802115292">
      <w:bodyDiv w:val="1"/>
      <w:marLeft w:val="0"/>
      <w:marRight w:val="0"/>
      <w:marTop w:val="0"/>
      <w:marBottom w:val="0"/>
      <w:divBdr>
        <w:top w:val="none" w:sz="0" w:space="0" w:color="auto"/>
        <w:left w:val="none" w:sz="0" w:space="0" w:color="auto"/>
        <w:bottom w:val="none" w:sz="0" w:space="0" w:color="auto"/>
        <w:right w:val="none" w:sz="0" w:space="0" w:color="auto"/>
      </w:divBdr>
    </w:div>
    <w:div w:id="1802191123">
      <w:bodyDiv w:val="1"/>
      <w:marLeft w:val="0"/>
      <w:marRight w:val="0"/>
      <w:marTop w:val="0"/>
      <w:marBottom w:val="0"/>
      <w:divBdr>
        <w:top w:val="none" w:sz="0" w:space="0" w:color="auto"/>
        <w:left w:val="none" w:sz="0" w:space="0" w:color="auto"/>
        <w:bottom w:val="none" w:sz="0" w:space="0" w:color="auto"/>
        <w:right w:val="none" w:sz="0" w:space="0" w:color="auto"/>
      </w:divBdr>
    </w:div>
    <w:div w:id="1802193092">
      <w:bodyDiv w:val="1"/>
      <w:marLeft w:val="0"/>
      <w:marRight w:val="0"/>
      <w:marTop w:val="0"/>
      <w:marBottom w:val="0"/>
      <w:divBdr>
        <w:top w:val="none" w:sz="0" w:space="0" w:color="auto"/>
        <w:left w:val="none" w:sz="0" w:space="0" w:color="auto"/>
        <w:bottom w:val="none" w:sz="0" w:space="0" w:color="auto"/>
        <w:right w:val="none" w:sz="0" w:space="0" w:color="auto"/>
      </w:divBdr>
    </w:div>
    <w:div w:id="1802264272">
      <w:bodyDiv w:val="1"/>
      <w:marLeft w:val="0"/>
      <w:marRight w:val="0"/>
      <w:marTop w:val="0"/>
      <w:marBottom w:val="0"/>
      <w:divBdr>
        <w:top w:val="none" w:sz="0" w:space="0" w:color="auto"/>
        <w:left w:val="none" w:sz="0" w:space="0" w:color="auto"/>
        <w:bottom w:val="none" w:sz="0" w:space="0" w:color="auto"/>
        <w:right w:val="none" w:sz="0" w:space="0" w:color="auto"/>
      </w:divBdr>
    </w:div>
    <w:div w:id="1802264432">
      <w:bodyDiv w:val="1"/>
      <w:marLeft w:val="0"/>
      <w:marRight w:val="0"/>
      <w:marTop w:val="0"/>
      <w:marBottom w:val="0"/>
      <w:divBdr>
        <w:top w:val="none" w:sz="0" w:space="0" w:color="auto"/>
        <w:left w:val="none" w:sz="0" w:space="0" w:color="auto"/>
        <w:bottom w:val="none" w:sz="0" w:space="0" w:color="auto"/>
        <w:right w:val="none" w:sz="0" w:space="0" w:color="auto"/>
      </w:divBdr>
    </w:div>
    <w:div w:id="1802267755">
      <w:bodyDiv w:val="1"/>
      <w:marLeft w:val="0"/>
      <w:marRight w:val="0"/>
      <w:marTop w:val="0"/>
      <w:marBottom w:val="0"/>
      <w:divBdr>
        <w:top w:val="none" w:sz="0" w:space="0" w:color="auto"/>
        <w:left w:val="none" w:sz="0" w:space="0" w:color="auto"/>
        <w:bottom w:val="none" w:sz="0" w:space="0" w:color="auto"/>
        <w:right w:val="none" w:sz="0" w:space="0" w:color="auto"/>
      </w:divBdr>
    </w:div>
    <w:div w:id="1802309538">
      <w:bodyDiv w:val="1"/>
      <w:marLeft w:val="0"/>
      <w:marRight w:val="0"/>
      <w:marTop w:val="0"/>
      <w:marBottom w:val="0"/>
      <w:divBdr>
        <w:top w:val="none" w:sz="0" w:space="0" w:color="auto"/>
        <w:left w:val="none" w:sz="0" w:space="0" w:color="auto"/>
        <w:bottom w:val="none" w:sz="0" w:space="0" w:color="auto"/>
        <w:right w:val="none" w:sz="0" w:space="0" w:color="auto"/>
      </w:divBdr>
    </w:div>
    <w:div w:id="1802457125">
      <w:bodyDiv w:val="1"/>
      <w:marLeft w:val="0"/>
      <w:marRight w:val="0"/>
      <w:marTop w:val="0"/>
      <w:marBottom w:val="0"/>
      <w:divBdr>
        <w:top w:val="none" w:sz="0" w:space="0" w:color="auto"/>
        <w:left w:val="none" w:sz="0" w:space="0" w:color="auto"/>
        <w:bottom w:val="none" w:sz="0" w:space="0" w:color="auto"/>
        <w:right w:val="none" w:sz="0" w:space="0" w:color="auto"/>
      </w:divBdr>
    </w:div>
    <w:div w:id="1802532735">
      <w:bodyDiv w:val="1"/>
      <w:marLeft w:val="0"/>
      <w:marRight w:val="0"/>
      <w:marTop w:val="0"/>
      <w:marBottom w:val="0"/>
      <w:divBdr>
        <w:top w:val="none" w:sz="0" w:space="0" w:color="auto"/>
        <w:left w:val="none" w:sz="0" w:space="0" w:color="auto"/>
        <w:bottom w:val="none" w:sz="0" w:space="0" w:color="auto"/>
        <w:right w:val="none" w:sz="0" w:space="0" w:color="auto"/>
      </w:divBdr>
    </w:div>
    <w:div w:id="1802653828">
      <w:bodyDiv w:val="1"/>
      <w:marLeft w:val="0"/>
      <w:marRight w:val="0"/>
      <w:marTop w:val="0"/>
      <w:marBottom w:val="0"/>
      <w:divBdr>
        <w:top w:val="none" w:sz="0" w:space="0" w:color="auto"/>
        <w:left w:val="none" w:sz="0" w:space="0" w:color="auto"/>
        <w:bottom w:val="none" w:sz="0" w:space="0" w:color="auto"/>
        <w:right w:val="none" w:sz="0" w:space="0" w:color="auto"/>
      </w:divBdr>
    </w:div>
    <w:div w:id="1802921144">
      <w:bodyDiv w:val="1"/>
      <w:marLeft w:val="0"/>
      <w:marRight w:val="0"/>
      <w:marTop w:val="0"/>
      <w:marBottom w:val="0"/>
      <w:divBdr>
        <w:top w:val="none" w:sz="0" w:space="0" w:color="auto"/>
        <w:left w:val="none" w:sz="0" w:space="0" w:color="auto"/>
        <w:bottom w:val="none" w:sz="0" w:space="0" w:color="auto"/>
        <w:right w:val="none" w:sz="0" w:space="0" w:color="auto"/>
      </w:divBdr>
    </w:div>
    <w:div w:id="1803226144">
      <w:bodyDiv w:val="1"/>
      <w:marLeft w:val="0"/>
      <w:marRight w:val="0"/>
      <w:marTop w:val="0"/>
      <w:marBottom w:val="0"/>
      <w:divBdr>
        <w:top w:val="none" w:sz="0" w:space="0" w:color="auto"/>
        <w:left w:val="none" w:sz="0" w:space="0" w:color="auto"/>
        <w:bottom w:val="none" w:sz="0" w:space="0" w:color="auto"/>
        <w:right w:val="none" w:sz="0" w:space="0" w:color="auto"/>
      </w:divBdr>
    </w:div>
    <w:div w:id="1803302039">
      <w:bodyDiv w:val="1"/>
      <w:marLeft w:val="0"/>
      <w:marRight w:val="0"/>
      <w:marTop w:val="0"/>
      <w:marBottom w:val="0"/>
      <w:divBdr>
        <w:top w:val="none" w:sz="0" w:space="0" w:color="auto"/>
        <w:left w:val="none" w:sz="0" w:space="0" w:color="auto"/>
        <w:bottom w:val="none" w:sz="0" w:space="0" w:color="auto"/>
        <w:right w:val="none" w:sz="0" w:space="0" w:color="auto"/>
      </w:divBdr>
    </w:div>
    <w:div w:id="1803302444">
      <w:bodyDiv w:val="1"/>
      <w:marLeft w:val="0"/>
      <w:marRight w:val="0"/>
      <w:marTop w:val="0"/>
      <w:marBottom w:val="0"/>
      <w:divBdr>
        <w:top w:val="none" w:sz="0" w:space="0" w:color="auto"/>
        <w:left w:val="none" w:sz="0" w:space="0" w:color="auto"/>
        <w:bottom w:val="none" w:sz="0" w:space="0" w:color="auto"/>
        <w:right w:val="none" w:sz="0" w:space="0" w:color="auto"/>
      </w:divBdr>
    </w:div>
    <w:div w:id="1803427095">
      <w:bodyDiv w:val="1"/>
      <w:marLeft w:val="0"/>
      <w:marRight w:val="0"/>
      <w:marTop w:val="0"/>
      <w:marBottom w:val="0"/>
      <w:divBdr>
        <w:top w:val="none" w:sz="0" w:space="0" w:color="auto"/>
        <w:left w:val="none" w:sz="0" w:space="0" w:color="auto"/>
        <w:bottom w:val="none" w:sz="0" w:space="0" w:color="auto"/>
        <w:right w:val="none" w:sz="0" w:space="0" w:color="auto"/>
      </w:divBdr>
    </w:div>
    <w:div w:id="1803427625">
      <w:bodyDiv w:val="1"/>
      <w:marLeft w:val="0"/>
      <w:marRight w:val="0"/>
      <w:marTop w:val="0"/>
      <w:marBottom w:val="0"/>
      <w:divBdr>
        <w:top w:val="none" w:sz="0" w:space="0" w:color="auto"/>
        <w:left w:val="none" w:sz="0" w:space="0" w:color="auto"/>
        <w:bottom w:val="none" w:sz="0" w:space="0" w:color="auto"/>
        <w:right w:val="none" w:sz="0" w:space="0" w:color="auto"/>
      </w:divBdr>
    </w:div>
    <w:div w:id="1803573718">
      <w:bodyDiv w:val="1"/>
      <w:marLeft w:val="0"/>
      <w:marRight w:val="0"/>
      <w:marTop w:val="0"/>
      <w:marBottom w:val="0"/>
      <w:divBdr>
        <w:top w:val="none" w:sz="0" w:space="0" w:color="auto"/>
        <w:left w:val="none" w:sz="0" w:space="0" w:color="auto"/>
        <w:bottom w:val="none" w:sz="0" w:space="0" w:color="auto"/>
        <w:right w:val="none" w:sz="0" w:space="0" w:color="auto"/>
      </w:divBdr>
    </w:div>
    <w:div w:id="1803769729">
      <w:bodyDiv w:val="1"/>
      <w:marLeft w:val="0"/>
      <w:marRight w:val="0"/>
      <w:marTop w:val="0"/>
      <w:marBottom w:val="0"/>
      <w:divBdr>
        <w:top w:val="none" w:sz="0" w:space="0" w:color="auto"/>
        <w:left w:val="none" w:sz="0" w:space="0" w:color="auto"/>
        <w:bottom w:val="none" w:sz="0" w:space="0" w:color="auto"/>
        <w:right w:val="none" w:sz="0" w:space="0" w:color="auto"/>
      </w:divBdr>
    </w:div>
    <w:div w:id="1803769890">
      <w:bodyDiv w:val="1"/>
      <w:marLeft w:val="0"/>
      <w:marRight w:val="0"/>
      <w:marTop w:val="0"/>
      <w:marBottom w:val="0"/>
      <w:divBdr>
        <w:top w:val="none" w:sz="0" w:space="0" w:color="auto"/>
        <w:left w:val="none" w:sz="0" w:space="0" w:color="auto"/>
        <w:bottom w:val="none" w:sz="0" w:space="0" w:color="auto"/>
        <w:right w:val="none" w:sz="0" w:space="0" w:color="auto"/>
      </w:divBdr>
    </w:div>
    <w:div w:id="1803885766">
      <w:bodyDiv w:val="1"/>
      <w:marLeft w:val="0"/>
      <w:marRight w:val="0"/>
      <w:marTop w:val="0"/>
      <w:marBottom w:val="0"/>
      <w:divBdr>
        <w:top w:val="none" w:sz="0" w:space="0" w:color="auto"/>
        <w:left w:val="none" w:sz="0" w:space="0" w:color="auto"/>
        <w:bottom w:val="none" w:sz="0" w:space="0" w:color="auto"/>
        <w:right w:val="none" w:sz="0" w:space="0" w:color="auto"/>
      </w:divBdr>
    </w:div>
    <w:div w:id="1803964166">
      <w:bodyDiv w:val="1"/>
      <w:marLeft w:val="0"/>
      <w:marRight w:val="0"/>
      <w:marTop w:val="0"/>
      <w:marBottom w:val="0"/>
      <w:divBdr>
        <w:top w:val="none" w:sz="0" w:space="0" w:color="auto"/>
        <w:left w:val="none" w:sz="0" w:space="0" w:color="auto"/>
        <w:bottom w:val="none" w:sz="0" w:space="0" w:color="auto"/>
        <w:right w:val="none" w:sz="0" w:space="0" w:color="auto"/>
      </w:divBdr>
    </w:div>
    <w:div w:id="1804078434">
      <w:bodyDiv w:val="1"/>
      <w:marLeft w:val="0"/>
      <w:marRight w:val="0"/>
      <w:marTop w:val="0"/>
      <w:marBottom w:val="0"/>
      <w:divBdr>
        <w:top w:val="none" w:sz="0" w:space="0" w:color="auto"/>
        <w:left w:val="none" w:sz="0" w:space="0" w:color="auto"/>
        <w:bottom w:val="none" w:sz="0" w:space="0" w:color="auto"/>
        <w:right w:val="none" w:sz="0" w:space="0" w:color="auto"/>
      </w:divBdr>
    </w:div>
    <w:div w:id="1804276004">
      <w:bodyDiv w:val="1"/>
      <w:marLeft w:val="0"/>
      <w:marRight w:val="0"/>
      <w:marTop w:val="0"/>
      <w:marBottom w:val="0"/>
      <w:divBdr>
        <w:top w:val="none" w:sz="0" w:space="0" w:color="auto"/>
        <w:left w:val="none" w:sz="0" w:space="0" w:color="auto"/>
        <w:bottom w:val="none" w:sz="0" w:space="0" w:color="auto"/>
        <w:right w:val="none" w:sz="0" w:space="0" w:color="auto"/>
      </w:divBdr>
    </w:div>
    <w:div w:id="1804497149">
      <w:bodyDiv w:val="1"/>
      <w:marLeft w:val="0"/>
      <w:marRight w:val="0"/>
      <w:marTop w:val="0"/>
      <w:marBottom w:val="0"/>
      <w:divBdr>
        <w:top w:val="none" w:sz="0" w:space="0" w:color="auto"/>
        <w:left w:val="none" w:sz="0" w:space="0" w:color="auto"/>
        <w:bottom w:val="none" w:sz="0" w:space="0" w:color="auto"/>
        <w:right w:val="none" w:sz="0" w:space="0" w:color="auto"/>
      </w:divBdr>
    </w:div>
    <w:div w:id="1804499403">
      <w:bodyDiv w:val="1"/>
      <w:marLeft w:val="0"/>
      <w:marRight w:val="0"/>
      <w:marTop w:val="0"/>
      <w:marBottom w:val="0"/>
      <w:divBdr>
        <w:top w:val="none" w:sz="0" w:space="0" w:color="auto"/>
        <w:left w:val="none" w:sz="0" w:space="0" w:color="auto"/>
        <w:bottom w:val="none" w:sz="0" w:space="0" w:color="auto"/>
        <w:right w:val="none" w:sz="0" w:space="0" w:color="auto"/>
      </w:divBdr>
    </w:div>
    <w:div w:id="1804541889">
      <w:bodyDiv w:val="1"/>
      <w:marLeft w:val="0"/>
      <w:marRight w:val="0"/>
      <w:marTop w:val="0"/>
      <w:marBottom w:val="0"/>
      <w:divBdr>
        <w:top w:val="none" w:sz="0" w:space="0" w:color="auto"/>
        <w:left w:val="none" w:sz="0" w:space="0" w:color="auto"/>
        <w:bottom w:val="none" w:sz="0" w:space="0" w:color="auto"/>
        <w:right w:val="none" w:sz="0" w:space="0" w:color="auto"/>
      </w:divBdr>
    </w:div>
    <w:div w:id="1804687607">
      <w:bodyDiv w:val="1"/>
      <w:marLeft w:val="0"/>
      <w:marRight w:val="0"/>
      <w:marTop w:val="0"/>
      <w:marBottom w:val="0"/>
      <w:divBdr>
        <w:top w:val="none" w:sz="0" w:space="0" w:color="auto"/>
        <w:left w:val="none" w:sz="0" w:space="0" w:color="auto"/>
        <w:bottom w:val="none" w:sz="0" w:space="0" w:color="auto"/>
        <w:right w:val="none" w:sz="0" w:space="0" w:color="auto"/>
      </w:divBdr>
    </w:div>
    <w:div w:id="1804808788">
      <w:bodyDiv w:val="1"/>
      <w:marLeft w:val="0"/>
      <w:marRight w:val="0"/>
      <w:marTop w:val="0"/>
      <w:marBottom w:val="0"/>
      <w:divBdr>
        <w:top w:val="none" w:sz="0" w:space="0" w:color="auto"/>
        <w:left w:val="none" w:sz="0" w:space="0" w:color="auto"/>
        <w:bottom w:val="none" w:sz="0" w:space="0" w:color="auto"/>
        <w:right w:val="none" w:sz="0" w:space="0" w:color="auto"/>
      </w:divBdr>
    </w:div>
    <w:div w:id="1804928597">
      <w:bodyDiv w:val="1"/>
      <w:marLeft w:val="0"/>
      <w:marRight w:val="0"/>
      <w:marTop w:val="0"/>
      <w:marBottom w:val="0"/>
      <w:divBdr>
        <w:top w:val="none" w:sz="0" w:space="0" w:color="auto"/>
        <w:left w:val="none" w:sz="0" w:space="0" w:color="auto"/>
        <w:bottom w:val="none" w:sz="0" w:space="0" w:color="auto"/>
        <w:right w:val="none" w:sz="0" w:space="0" w:color="auto"/>
      </w:divBdr>
    </w:div>
    <w:div w:id="1805148747">
      <w:bodyDiv w:val="1"/>
      <w:marLeft w:val="0"/>
      <w:marRight w:val="0"/>
      <w:marTop w:val="0"/>
      <w:marBottom w:val="0"/>
      <w:divBdr>
        <w:top w:val="none" w:sz="0" w:space="0" w:color="auto"/>
        <w:left w:val="none" w:sz="0" w:space="0" w:color="auto"/>
        <w:bottom w:val="none" w:sz="0" w:space="0" w:color="auto"/>
        <w:right w:val="none" w:sz="0" w:space="0" w:color="auto"/>
      </w:divBdr>
    </w:div>
    <w:div w:id="1805199905">
      <w:bodyDiv w:val="1"/>
      <w:marLeft w:val="0"/>
      <w:marRight w:val="0"/>
      <w:marTop w:val="0"/>
      <w:marBottom w:val="0"/>
      <w:divBdr>
        <w:top w:val="none" w:sz="0" w:space="0" w:color="auto"/>
        <w:left w:val="none" w:sz="0" w:space="0" w:color="auto"/>
        <w:bottom w:val="none" w:sz="0" w:space="0" w:color="auto"/>
        <w:right w:val="none" w:sz="0" w:space="0" w:color="auto"/>
      </w:divBdr>
    </w:div>
    <w:div w:id="1805271946">
      <w:bodyDiv w:val="1"/>
      <w:marLeft w:val="0"/>
      <w:marRight w:val="0"/>
      <w:marTop w:val="0"/>
      <w:marBottom w:val="0"/>
      <w:divBdr>
        <w:top w:val="none" w:sz="0" w:space="0" w:color="auto"/>
        <w:left w:val="none" w:sz="0" w:space="0" w:color="auto"/>
        <w:bottom w:val="none" w:sz="0" w:space="0" w:color="auto"/>
        <w:right w:val="none" w:sz="0" w:space="0" w:color="auto"/>
      </w:divBdr>
    </w:div>
    <w:div w:id="1805350119">
      <w:bodyDiv w:val="1"/>
      <w:marLeft w:val="0"/>
      <w:marRight w:val="0"/>
      <w:marTop w:val="0"/>
      <w:marBottom w:val="0"/>
      <w:divBdr>
        <w:top w:val="none" w:sz="0" w:space="0" w:color="auto"/>
        <w:left w:val="none" w:sz="0" w:space="0" w:color="auto"/>
        <w:bottom w:val="none" w:sz="0" w:space="0" w:color="auto"/>
        <w:right w:val="none" w:sz="0" w:space="0" w:color="auto"/>
      </w:divBdr>
    </w:div>
    <w:div w:id="1805540396">
      <w:bodyDiv w:val="1"/>
      <w:marLeft w:val="0"/>
      <w:marRight w:val="0"/>
      <w:marTop w:val="0"/>
      <w:marBottom w:val="0"/>
      <w:divBdr>
        <w:top w:val="none" w:sz="0" w:space="0" w:color="auto"/>
        <w:left w:val="none" w:sz="0" w:space="0" w:color="auto"/>
        <w:bottom w:val="none" w:sz="0" w:space="0" w:color="auto"/>
        <w:right w:val="none" w:sz="0" w:space="0" w:color="auto"/>
      </w:divBdr>
    </w:div>
    <w:div w:id="1805542950">
      <w:bodyDiv w:val="1"/>
      <w:marLeft w:val="0"/>
      <w:marRight w:val="0"/>
      <w:marTop w:val="0"/>
      <w:marBottom w:val="0"/>
      <w:divBdr>
        <w:top w:val="none" w:sz="0" w:space="0" w:color="auto"/>
        <w:left w:val="none" w:sz="0" w:space="0" w:color="auto"/>
        <w:bottom w:val="none" w:sz="0" w:space="0" w:color="auto"/>
        <w:right w:val="none" w:sz="0" w:space="0" w:color="auto"/>
      </w:divBdr>
    </w:div>
    <w:div w:id="1805584692">
      <w:bodyDiv w:val="1"/>
      <w:marLeft w:val="0"/>
      <w:marRight w:val="0"/>
      <w:marTop w:val="0"/>
      <w:marBottom w:val="0"/>
      <w:divBdr>
        <w:top w:val="none" w:sz="0" w:space="0" w:color="auto"/>
        <w:left w:val="none" w:sz="0" w:space="0" w:color="auto"/>
        <w:bottom w:val="none" w:sz="0" w:space="0" w:color="auto"/>
        <w:right w:val="none" w:sz="0" w:space="0" w:color="auto"/>
      </w:divBdr>
    </w:div>
    <w:div w:id="1805926557">
      <w:bodyDiv w:val="1"/>
      <w:marLeft w:val="0"/>
      <w:marRight w:val="0"/>
      <w:marTop w:val="0"/>
      <w:marBottom w:val="0"/>
      <w:divBdr>
        <w:top w:val="none" w:sz="0" w:space="0" w:color="auto"/>
        <w:left w:val="none" w:sz="0" w:space="0" w:color="auto"/>
        <w:bottom w:val="none" w:sz="0" w:space="0" w:color="auto"/>
        <w:right w:val="none" w:sz="0" w:space="0" w:color="auto"/>
      </w:divBdr>
    </w:div>
    <w:div w:id="1805930484">
      <w:bodyDiv w:val="1"/>
      <w:marLeft w:val="0"/>
      <w:marRight w:val="0"/>
      <w:marTop w:val="0"/>
      <w:marBottom w:val="0"/>
      <w:divBdr>
        <w:top w:val="none" w:sz="0" w:space="0" w:color="auto"/>
        <w:left w:val="none" w:sz="0" w:space="0" w:color="auto"/>
        <w:bottom w:val="none" w:sz="0" w:space="0" w:color="auto"/>
        <w:right w:val="none" w:sz="0" w:space="0" w:color="auto"/>
      </w:divBdr>
    </w:div>
    <w:div w:id="1806192007">
      <w:bodyDiv w:val="1"/>
      <w:marLeft w:val="0"/>
      <w:marRight w:val="0"/>
      <w:marTop w:val="0"/>
      <w:marBottom w:val="0"/>
      <w:divBdr>
        <w:top w:val="none" w:sz="0" w:space="0" w:color="auto"/>
        <w:left w:val="none" w:sz="0" w:space="0" w:color="auto"/>
        <w:bottom w:val="none" w:sz="0" w:space="0" w:color="auto"/>
        <w:right w:val="none" w:sz="0" w:space="0" w:color="auto"/>
      </w:divBdr>
    </w:div>
    <w:div w:id="1806269658">
      <w:bodyDiv w:val="1"/>
      <w:marLeft w:val="0"/>
      <w:marRight w:val="0"/>
      <w:marTop w:val="0"/>
      <w:marBottom w:val="0"/>
      <w:divBdr>
        <w:top w:val="none" w:sz="0" w:space="0" w:color="auto"/>
        <w:left w:val="none" w:sz="0" w:space="0" w:color="auto"/>
        <w:bottom w:val="none" w:sz="0" w:space="0" w:color="auto"/>
        <w:right w:val="none" w:sz="0" w:space="0" w:color="auto"/>
      </w:divBdr>
    </w:div>
    <w:div w:id="1806387217">
      <w:bodyDiv w:val="1"/>
      <w:marLeft w:val="0"/>
      <w:marRight w:val="0"/>
      <w:marTop w:val="0"/>
      <w:marBottom w:val="0"/>
      <w:divBdr>
        <w:top w:val="none" w:sz="0" w:space="0" w:color="auto"/>
        <w:left w:val="none" w:sz="0" w:space="0" w:color="auto"/>
        <w:bottom w:val="none" w:sz="0" w:space="0" w:color="auto"/>
        <w:right w:val="none" w:sz="0" w:space="0" w:color="auto"/>
      </w:divBdr>
    </w:div>
    <w:div w:id="1806503969">
      <w:bodyDiv w:val="1"/>
      <w:marLeft w:val="0"/>
      <w:marRight w:val="0"/>
      <w:marTop w:val="0"/>
      <w:marBottom w:val="0"/>
      <w:divBdr>
        <w:top w:val="none" w:sz="0" w:space="0" w:color="auto"/>
        <w:left w:val="none" w:sz="0" w:space="0" w:color="auto"/>
        <w:bottom w:val="none" w:sz="0" w:space="0" w:color="auto"/>
        <w:right w:val="none" w:sz="0" w:space="0" w:color="auto"/>
      </w:divBdr>
    </w:div>
    <w:div w:id="1806854863">
      <w:bodyDiv w:val="1"/>
      <w:marLeft w:val="0"/>
      <w:marRight w:val="0"/>
      <w:marTop w:val="0"/>
      <w:marBottom w:val="0"/>
      <w:divBdr>
        <w:top w:val="none" w:sz="0" w:space="0" w:color="auto"/>
        <w:left w:val="none" w:sz="0" w:space="0" w:color="auto"/>
        <w:bottom w:val="none" w:sz="0" w:space="0" w:color="auto"/>
        <w:right w:val="none" w:sz="0" w:space="0" w:color="auto"/>
      </w:divBdr>
    </w:div>
    <w:div w:id="1807048153">
      <w:bodyDiv w:val="1"/>
      <w:marLeft w:val="0"/>
      <w:marRight w:val="0"/>
      <w:marTop w:val="0"/>
      <w:marBottom w:val="0"/>
      <w:divBdr>
        <w:top w:val="none" w:sz="0" w:space="0" w:color="auto"/>
        <w:left w:val="none" w:sz="0" w:space="0" w:color="auto"/>
        <w:bottom w:val="none" w:sz="0" w:space="0" w:color="auto"/>
        <w:right w:val="none" w:sz="0" w:space="0" w:color="auto"/>
      </w:divBdr>
    </w:div>
    <w:div w:id="1807158976">
      <w:bodyDiv w:val="1"/>
      <w:marLeft w:val="0"/>
      <w:marRight w:val="0"/>
      <w:marTop w:val="0"/>
      <w:marBottom w:val="0"/>
      <w:divBdr>
        <w:top w:val="none" w:sz="0" w:space="0" w:color="auto"/>
        <w:left w:val="none" w:sz="0" w:space="0" w:color="auto"/>
        <w:bottom w:val="none" w:sz="0" w:space="0" w:color="auto"/>
        <w:right w:val="none" w:sz="0" w:space="0" w:color="auto"/>
      </w:divBdr>
    </w:div>
    <w:div w:id="1807309907">
      <w:bodyDiv w:val="1"/>
      <w:marLeft w:val="0"/>
      <w:marRight w:val="0"/>
      <w:marTop w:val="0"/>
      <w:marBottom w:val="0"/>
      <w:divBdr>
        <w:top w:val="none" w:sz="0" w:space="0" w:color="auto"/>
        <w:left w:val="none" w:sz="0" w:space="0" w:color="auto"/>
        <w:bottom w:val="none" w:sz="0" w:space="0" w:color="auto"/>
        <w:right w:val="none" w:sz="0" w:space="0" w:color="auto"/>
      </w:divBdr>
    </w:div>
    <w:div w:id="1807312668">
      <w:bodyDiv w:val="1"/>
      <w:marLeft w:val="0"/>
      <w:marRight w:val="0"/>
      <w:marTop w:val="0"/>
      <w:marBottom w:val="0"/>
      <w:divBdr>
        <w:top w:val="none" w:sz="0" w:space="0" w:color="auto"/>
        <w:left w:val="none" w:sz="0" w:space="0" w:color="auto"/>
        <w:bottom w:val="none" w:sz="0" w:space="0" w:color="auto"/>
        <w:right w:val="none" w:sz="0" w:space="0" w:color="auto"/>
      </w:divBdr>
    </w:div>
    <w:div w:id="1807358697">
      <w:bodyDiv w:val="1"/>
      <w:marLeft w:val="0"/>
      <w:marRight w:val="0"/>
      <w:marTop w:val="0"/>
      <w:marBottom w:val="0"/>
      <w:divBdr>
        <w:top w:val="none" w:sz="0" w:space="0" w:color="auto"/>
        <w:left w:val="none" w:sz="0" w:space="0" w:color="auto"/>
        <w:bottom w:val="none" w:sz="0" w:space="0" w:color="auto"/>
        <w:right w:val="none" w:sz="0" w:space="0" w:color="auto"/>
      </w:divBdr>
    </w:div>
    <w:div w:id="1807426087">
      <w:bodyDiv w:val="1"/>
      <w:marLeft w:val="0"/>
      <w:marRight w:val="0"/>
      <w:marTop w:val="0"/>
      <w:marBottom w:val="0"/>
      <w:divBdr>
        <w:top w:val="none" w:sz="0" w:space="0" w:color="auto"/>
        <w:left w:val="none" w:sz="0" w:space="0" w:color="auto"/>
        <w:bottom w:val="none" w:sz="0" w:space="0" w:color="auto"/>
        <w:right w:val="none" w:sz="0" w:space="0" w:color="auto"/>
      </w:divBdr>
    </w:div>
    <w:div w:id="1807699890">
      <w:bodyDiv w:val="1"/>
      <w:marLeft w:val="0"/>
      <w:marRight w:val="0"/>
      <w:marTop w:val="0"/>
      <w:marBottom w:val="0"/>
      <w:divBdr>
        <w:top w:val="none" w:sz="0" w:space="0" w:color="auto"/>
        <w:left w:val="none" w:sz="0" w:space="0" w:color="auto"/>
        <w:bottom w:val="none" w:sz="0" w:space="0" w:color="auto"/>
        <w:right w:val="none" w:sz="0" w:space="0" w:color="auto"/>
      </w:divBdr>
    </w:div>
    <w:div w:id="1807819304">
      <w:bodyDiv w:val="1"/>
      <w:marLeft w:val="0"/>
      <w:marRight w:val="0"/>
      <w:marTop w:val="0"/>
      <w:marBottom w:val="0"/>
      <w:divBdr>
        <w:top w:val="none" w:sz="0" w:space="0" w:color="auto"/>
        <w:left w:val="none" w:sz="0" w:space="0" w:color="auto"/>
        <w:bottom w:val="none" w:sz="0" w:space="0" w:color="auto"/>
        <w:right w:val="none" w:sz="0" w:space="0" w:color="auto"/>
      </w:divBdr>
    </w:div>
    <w:div w:id="1807820954">
      <w:bodyDiv w:val="1"/>
      <w:marLeft w:val="0"/>
      <w:marRight w:val="0"/>
      <w:marTop w:val="0"/>
      <w:marBottom w:val="0"/>
      <w:divBdr>
        <w:top w:val="none" w:sz="0" w:space="0" w:color="auto"/>
        <w:left w:val="none" w:sz="0" w:space="0" w:color="auto"/>
        <w:bottom w:val="none" w:sz="0" w:space="0" w:color="auto"/>
        <w:right w:val="none" w:sz="0" w:space="0" w:color="auto"/>
      </w:divBdr>
    </w:div>
    <w:div w:id="1807888934">
      <w:bodyDiv w:val="1"/>
      <w:marLeft w:val="0"/>
      <w:marRight w:val="0"/>
      <w:marTop w:val="0"/>
      <w:marBottom w:val="0"/>
      <w:divBdr>
        <w:top w:val="none" w:sz="0" w:space="0" w:color="auto"/>
        <w:left w:val="none" w:sz="0" w:space="0" w:color="auto"/>
        <w:bottom w:val="none" w:sz="0" w:space="0" w:color="auto"/>
        <w:right w:val="none" w:sz="0" w:space="0" w:color="auto"/>
      </w:divBdr>
    </w:div>
    <w:div w:id="1807894123">
      <w:bodyDiv w:val="1"/>
      <w:marLeft w:val="0"/>
      <w:marRight w:val="0"/>
      <w:marTop w:val="0"/>
      <w:marBottom w:val="0"/>
      <w:divBdr>
        <w:top w:val="none" w:sz="0" w:space="0" w:color="auto"/>
        <w:left w:val="none" w:sz="0" w:space="0" w:color="auto"/>
        <w:bottom w:val="none" w:sz="0" w:space="0" w:color="auto"/>
        <w:right w:val="none" w:sz="0" w:space="0" w:color="auto"/>
      </w:divBdr>
    </w:div>
    <w:div w:id="1808158270">
      <w:bodyDiv w:val="1"/>
      <w:marLeft w:val="0"/>
      <w:marRight w:val="0"/>
      <w:marTop w:val="0"/>
      <w:marBottom w:val="0"/>
      <w:divBdr>
        <w:top w:val="none" w:sz="0" w:space="0" w:color="auto"/>
        <w:left w:val="none" w:sz="0" w:space="0" w:color="auto"/>
        <w:bottom w:val="none" w:sz="0" w:space="0" w:color="auto"/>
        <w:right w:val="none" w:sz="0" w:space="0" w:color="auto"/>
      </w:divBdr>
    </w:div>
    <w:div w:id="1808429107">
      <w:bodyDiv w:val="1"/>
      <w:marLeft w:val="0"/>
      <w:marRight w:val="0"/>
      <w:marTop w:val="0"/>
      <w:marBottom w:val="0"/>
      <w:divBdr>
        <w:top w:val="none" w:sz="0" w:space="0" w:color="auto"/>
        <w:left w:val="none" w:sz="0" w:space="0" w:color="auto"/>
        <w:bottom w:val="none" w:sz="0" w:space="0" w:color="auto"/>
        <w:right w:val="none" w:sz="0" w:space="0" w:color="auto"/>
      </w:divBdr>
    </w:div>
    <w:div w:id="1808626552">
      <w:bodyDiv w:val="1"/>
      <w:marLeft w:val="0"/>
      <w:marRight w:val="0"/>
      <w:marTop w:val="0"/>
      <w:marBottom w:val="0"/>
      <w:divBdr>
        <w:top w:val="none" w:sz="0" w:space="0" w:color="auto"/>
        <w:left w:val="none" w:sz="0" w:space="0" w:color="auto"/>
        <w:bottom w:val="none" w:sz="0" w:space="0" w:color="auto"/>
        <w:right w:val="none" w:sz="0" w:space="0" w:color="auto"/>
      </w:divBdr>
    </w:div>
    <w:div w:id="1808736604">
      <w:bodyDiv w:val="1"/>
      <w:marLeft w:val="0"/>
      <w:marRight w:val="0"/>
      <w:marTop w:val="0"/>
      <w:marBottom w:val="0"/>
      <w:divBdr>
        <w:top w:val="none" w:sz="0" w:space="0" w:color="auto"/>
        <w:left w:val="none" w:sz="0" w:space="0" w:color="auto"/>
        <w:bottom w:val="none" w:sz="0" w:space="0" w:color="auto"/>
        <w:right w:val="none" w:sz="0" w:space="0" w:color="auto"/>
      </w:divBdr>
    </w:div>
    <w:div w:id="1808814511">
      <w:bodyDiv w:val="1"/>
      <w:marLeft w:val="0"/>
      <w:marRight w:val="0"/>
      <w:marTop w:val="0"/>
      <w:marBottom w:val="0"/>
      <w:divBdr>
        <w:top w:val="none" w:sz="0" w:space="0" w:color="auto"/>
        <w:left w:val="none" w:sz="0" w:space="0" w:color="auto"/>
        <w:bottom w:val="none" w:sz="0" w:space="0" w:color="auto"/>
        <w:right w:val="none" w:sz="0" w:space="0" w:color="auto"/>
      </w:divBdr>
    </w:div>
    <w:div w:id="1809087528">
      <w:bodyDiv w:val="1"/>
      <w:marLeft w:val="0"/>
      <w:marRight w:val="0"/>
      <w:marTop w:val="0"/>
      <w:marBottom w:val="0"/>
      <w:divBdr>
        <w:top w:val="none" w:sz="0" w:space="0" w:color="auto"/>
        <w:left w:val="none" w:sz="0" w:space="0" w:color="auto"/>
        <w:bottom w:val="none" w:sz="0" w:space="0" w:color="auto"/>
        <w:right w:val="none" w:sz="0" w:space="0" w:color="auto"/>
      </w:divBdr>
    </w:div>
    <w:div w:id="1809278274">
      <w:bodyDiv w:val="1"/>
      <w:marLeft w:val="0"/>
      <w:marRight w:val="0"/>
      <w:marTop w:val="0"/>
      <w:marBottom w:val="0"/>
      <w:divBdr>
        <w:top w:val="none" w:sz="0" w:space="0" w:color="auto"/>
        <w:left w:val="none" w:sz="0" w:space="0" w:color="auto"/>
        <w:bottom w:val="none" w:sz="0" w:space="0" w:color="auto"/>
        <w:right w:val="none" w:sz="0" w:space="0" w:color="auto"/>
      </w:divBdr>
    </w:div>
    <w:div w:id="1809322977">
      <w:bodyDiv w:val="1"/>
      <w:marLeft w:val="0"/>
      <w:marRight w:val="0"/>
      <w:marTop w:val="0"/>
      <w:marBottom w:val="0"/>
      <w:divBdr>
        <w:top w:val="none" w:sz="0" w:space="0" w:color="auto"/>
        <w:left w:val="none" w:sz="0" w:space="0" w:color="auto"/>
        <w:bottom w:val="none" w:sz="0" w:space="0" w:color="auto"/>
        <w:right w:val="none" w:sz="0" w:space="0" w:color="auto"/>
      </w:divBdr>
    </w:div>
    <w:div w:id="1809474785">
      <w:bodyDiv w:val="1"/>
      <w:marLeft w:val="0"/>
      <w:marRight w:val="0"/>
      <w:marTop w:val="0"/>
      <w:marBottom w:val="0"/>
      <w:divBdr>
        <w:top w:val="none" w:sz="0" w:space="0" w:color="auto"/>
        <w:left w:val="none" w:sz="0" w:space="0" w:color="auto"/>
        <w:bottom w:val="none" w:sz="0" w:space="0" w:color="auto"/>
        <w:right w:val="none" w:sz="0" w:space="0" w:color="auto"/>
      </w:divBdr>
    </w:div>
    <w:div w:id="1810005028">
      <w:bodyDiv w:val="1"/>
      <w:marLeft w:val="0"/>
      <w:marRight w:val="0"/>
      <w:marTop w:val="0"/>
      <w:marBottom w:val="0"/>
      <w:divBdr>
        <w:top w:val="none" w:sz="0" w:space="0" w:color="auto"/>
        <w:left w:val="none" w:sz="0" w:space="0" w:color="auto"/>
        <w:bottom w:val="none" w:sz="0" w:space="0" w:color="auto"/>
        <w:right w:val="none" w:sz="0" w:space="0" w:color="auto"/>
      </w:divBdr>
    </w:div>
    <w:div w:id="1810005106">
      <w:bodyDiv w:val="1"/>
      <w:marLeft w:val="0"/>
      <w:marRight w:val="0"/>
      <w:marTop w:val="0"/>
      <w:marBottom w:val="0"/>
      <w:divBdr>
        <w:top w:val="none" w:sz="0" w:space="0" w:color="auto"/>
        <w:left w:val="none" w:sz="0" w:space="0" w:color="auto"/>
        <w:bottom w:val="none" w:sz="0" w:space="0" w:color="auto"/>
        <w:right w:val="none" w:sz="0" w:space="0" w:color="auto"/>
      </w:divBdr>
    </w:div>
    <w:div w:id="1810125773">
      <w:bodyDiv w:val="1"/>
      <w:marLeft w:val="0"/>
      <w:marRight w:val="0"/>
      <w:marTop w:val="0"/>
      <w:marBottom w:val="0"/>
      <w:divBdr>
        <w:top w:val="none" w:sz="0" w:space="0" w:color="auto"/>
        <w:left w:val="none" w:sz="0" w:space="0" w:color="auto"/>
        <w:bottom w:val="none" w:sz="0" w:space="0" w:color="auto"/>
        <w:right w:val="none" w:sz="0" w:space="0" w:color="auto"/>
      </w:divBdr>
    </w:div>
    <w:div w:id="1810245688">
      <w:bodyDiv w:val="1"/>
      <w:marLeft w:val="0"/>
      <w:marRight w:val="0"/>
      <w:marTop w:val="0"/>
      <w:marBottom w:val="0"/>
      <w:divBdr>
        <w:top w:val="none" w:sz="0" w:space="0" w:color="auto"/>
        <w:left w:val="none" w:sz="0" w:space="0" w:color="auto"/>
        <w:bottom w:val="none" w:sz="0" w:space="0" w:color="auto"/>
        <w:right w:val="none" w:sz="0" w:space="0" w:color="auto"/>
      </w:divBdr>
    </w:div>
    <w:div w:id="1810590215">
      <w:bodyDiv w:val="1"/>
      <w:marLeft w:val="0"/>
      <w:marRight w:val="0"/>
      <w:marTop w:val="0"/>
      <w:marBottom w:val="0"/>
      <w:divBdr>
        <w:top w:val="none" w:sz="0" w:space="0" w:color="auto"/>
        <w:left w:val="none" w:sz="0" w:space="0" w:color="auto"/>
        <w:bottom w:val="none" w:sz="0" w:space="0" w:color="auto"/>
        <w:right w:val="none" w:sz="0" w:space="0" w:color="auto"/>
      </w:divBdr>
    </w:div>
    <w:div w:id="1810784202">
      <w:bodyDiv w:val="1"/>
      <w:marLeft w:val="0"/>
      <w:marRight w:val="0"/>
      <w:marTop w:val="0"/>
      <w:marBottom w:val="0"/>
      <w:divBdr>
        <w:top w:val="none" w:sz="0" w:space="0" w:color="auto"/>
        <w:left w:val="none" w:sz="0" w:space="0" w:color="auto"/>
        <w:bottom w:val="none" w:sz="0" w:space="0" w:color="auto"/>
        <w:right w:val="none" w:sz="0" w:space="0" w:color="auto"/>
      </w:divBdr>
    </w:div>
    <w:div w:id="1811166184">
      <w:bodyDiv w:val="1"/>
      <w:marLeft w:val="0"/>
      <w:marRight w:val="0"/>
      <w:marTop w:val="0"/>
      <w:marBottom w:val="0"/>
      <w:divBdr>
        <w:top w:val="none" w:sz="0" w:space="0" w:color="auto"/>
        <w:left w:val="none" w:sz="0" w:space="0" w:color="auto"/>
        <w:bottom w:val="none" w:sz="0" w:space="0" w:color="auto"/>
        <w:right w:val="none" w:sz="0" w:space="0" w:color="auto"/>
      </w:divBdr>
    </w:div>
    <w:div w:id="1812138677">
      <w:bodyDiv w:val="1"/>
      <w:marLeft w:val="0"/>
      <w:marRight w:val="0"/>
      <w:marTop w:val="0"/>
      <w:marBottom w:val="0"/>
      <w:divBdr>
        <w:top w:val="none" w:sz="0" w:space="0" w:color="auto"/>
        <w:left w:val="none" w:sz="0" w:space="0" w:color="auto"/>
        <w:bottom w:val="none" w:sz="0" w:space="0" w:color="auto"/>
        <w:right w:val="none" w:sz="0" w:space="0" w:color="auto"/>
      </w:divBdr>
    </w:div>
    <w:div w:id="1812206887">
      <w:bodyDiv w:val="1"/>
      <w:marLeft w:val="0"/>
      <w:marRight w:val="0"/>
      <w:marTop w:val="0"/>
      <w:marBottom w:val="0"/>
      <w:divBdr>
        <w:top w:val="none" w:sz="0" w:space="0" w:color="auto"/>
        <w:left w:val="none" w:sz="0" w:space="0" w:color="auto"/>
        <w:bottom w:val="none" w:sz="0" w:space="0" w:color="auto"/>
        <w:right w:val="none" w:sz="0" w:space="0" w:color="auto"/>
      </w:divBdr>
    </w:div>
    <w:div w:id="1812208810">
      <w:bodyDiv w:val="1"/>
      <w:marLeft w:val="0"/>
      <w:marRight w:val="0"/>
      <w:marTop w:val="0"/>
      <w:marBottom w:val="0"/>
      <w:divBdr>
        <w:top w:val="none" w:sz="0" w:space="0" w:color="auto"/>
        <w:left w:val="none" w:sz="0" w:space="0" w:color="auto"/>
        <w:bottom w:val="none" w:sz="0" w:space="0" w:color="auto"/>
        <w:right w:val="none" w:sz="0" w:space="0" w:color="auto"/>
      </w:divBdr>
    </w:div>
    <w:div w:id="1812290142">
      <w:bodyDiv w:val="1"/>
      <w:marLeft w:val="0"/>
      <w:marRight w:val="0"/>
      <w:marTop w:val="0"/>
      <w:marBottom w:val="0"/>
      <w:divBdr>
        <w:top w:val="none" w:sz="0" w:space="0" w:color="auto"/>
        <w:left w:val="none" w:sz="0" w:space="0" w:color="auto"/>
        <w:bottom w:val="none" w:sz="0" w:space="0" w:color="auto"/>
        <w:right w:val="none" w:sz="0" w:space="0" w:color="auto"/>
      </w:divBdr>
    </w:div>
    <w:div w:id="1812359374">
      <w:bodyDiv w:val="1"/>
      <w:marLeft w:val="0"/>
      <w:marRight w:val="0"/>
      <w:marTop w:val="0"/>
      <w:marBottom w:val="0"/>
      <w:divBdr>
        <w:top w:val="none" w:sz="0" w:space="0" w:color="auto"/>
        <w:left w:val="none" w:sz="0" w:space="0" w:color="auto"/>
        <w:bottom w:val="none" w:sz="0" w:space="0" w:color="auto"/>
        <w:right w:val="none" w:sz="0" w:space="0" w:color="auto"/>
      </w:divBdr>
    </w:div>
    <w:div w:id="1812406039">
      <w:bodyDiv w:val="1"/>
      <w:marLeft w:val="0"/>
      <w:marRight w:val="0"/>
      <w:marTop w:val="0"/>
      <w:marBottom w:val="0"/>
      <w:divBdr>
        <w:top w:val="none" w:sz="0" w:space="0" w:color="auto"/>
        <w:left w:val="none" w:sz="0" w:space="0" w:color="auto"/>
        <w:bottom w:val="none" w:sz="0" w:space="0" w:color="auto"/>
        <w:right w:val="none" w:sz="0" w:space="0" w:color="auto"/>
      </w:divBdr>
    </w:div>
    <w:div w:id="1812479916">
      <w:bodyDiv w:val="1"/>
      <w:marLeft w:val="0"/>
      <w:marRight w:val="0"/>
      <w:marTop w:val="0"/>
      <w:marBottom w:val="0"/>
      <w:divBdr>
        <w:top w:val="none" w:sz="0" w:space="0" w:color="auto"/>
        <w:left w:val="none" w:sz="0" w:space="0" w:color="auto"/>
        <w:bottom w:val="none" w:sz="0" w:space="0" w:color="auto"/>
        <w:right w:val="none" w:sz="0" w:space="0" w:color="auto"/>
      </w:divBdr>
    </w:div>
    <w:div w:id="1812600305">
      <w:bodyDiv w:val="1"/>
      <w:marLeft w:val="0"/>
      <w:marRight w:val="0"/>
      <w:marTop w:val="0"/>
      <w:marBottom w:val="0"/>
      <w:divBdr>
        <w:top w:val="none" w:sz="0" w:space="0" w:color="auto"/>
        <w:left w:val="none" w:sz="0" w:space="0" w:color="auto"/>
        <w:bottom w:val="none" w:sz="0" w:space="0" w:color="auto"/>
        <w:right w:val="none" w:sz="0" w:space="0" w:color="auto"/>
      </w:divBdr>
    </w:div>
    <w:div w:id="1812674026">
      <w:bodyDiv w:val="1"/>
      <w:marLeft w:val="0"/>
      <w:marRight w:val="0"/>
      <w:marTop w:val="0"/>
      <w:marBottom w:val="0"/>
      <w:divBdr>
        <w:top w:val="none" w:sz="0" w:space="0" w:color="auto"/>
        <w:left w:val="none" w:sz="0" w:space="0" w:color="auto"/>
        <w:bottom w:val="none" w:sz="0" w:space="0" w:color="auto"/>
        <w:right w:val="none" w:sz="0" w:space="0" w:color="auto"/>
      </w:divBdr>
    </w:div>
    <w:div w:id="1812823741">
      <w:bodyDiv w:val="1"/>
      <w:marLeft w:val="0"/>
      <w:marRight w:val="0"/>
      <w:marTop w:val="0"/>
      <w:marBottom w:val="0"/>
      <w:divBdr>
        <w:top w:val="none" w:sz="0" w:space="0" w:color="auto"/>
        <w:left w:val="none" w:sz="0" w:space="0" w:color="auto"/>
        <w:bottom w:val="none" w:sz="0" w:space="0" w:color="auto"/>
        <w:right w:val="none" w:sz="0" w:space="0" w:color="auto"/>
      </w:divBdr>
    </w:div>
    <w:div w:id="1813012021">
      <w:bodyDiv w:val="1"/>
      <w:marLeft w:val="0"/>
      <w:marRight w:val="0"/>
      <w:marTop w:val="0"/>
      <w:marBottom w:val="0"/>
      <w:divBdr>
        <w:top w:val="none" w:sz="0" w:space="0" w:color="auto"/>
        <w:left w:val="none" w:sz="0" w:space="0" w:color="auto"/>
        <w:bottom w:val="none" w:sz="0" w:space="0" w:color="auto"/>
        <w:right w:val="none" w:sz="0" w:space="0" w:color="auto"/>
      </w:divBdr>
    </w:div>
    <w:div w:id="1813328755">
      <w:bodyDiv w:val="1"/>
      <w:marLeft w:val="0"/>
      <w:marRight w:val="0"/>
      <w:marTop w:val="0"/>
      <w:marBottom w:val="0"/>
      <w:divBdr>
        <w:top w:val="none" w:sz="0" w:space="0" w:color="auto"/>
        <w:left w:val="none" w:sz="0" w:space="0" w:color="auto"/>
        <w:bottom w:val="none" w:sz="0" w:space="0" w:color="auto"/>
        <w:right w:val="none" w:sz="0" w:space="0" w:color="auto"/>
      </w:divBdr>
    </w:div>
    <w:div w:id="1813332697">
      <w:bodyDiv w:val="1"/>
      <w:marLeft w:val="0"/>
      <w:marRight w:val="0"/>
      <w:marTop w:val="0"/>
      <w:marBottom w:val="0"/>
      <w:divBdr>
        <w:top w:val="none" w:sz="0" w:space="0" w:color="auto"/>
        <w:left w:val="none" w:sz="0" w:space="0" w:color="auto"/>
        <w:bottom w:val="none" w:sz="0" w:space="0" w:color="auto"/>
        <w:right w:val="none" w:sz="0" w:space="0" w:color="auto"/>
      </w:divBdr>
    </w:div>
    <w:div w:id="1813599194">
      <w:bodyDiv w:val="1"/>
      <w:marLeft w:val="0"/>
      <w:marRight w:val="0"/>
      <w:marTop w:val="0"/>
      <w:marBottom w:val="0"/>
      <w:divBdr>
        <w:top w:val="none" w:sz="0" w:space="0" w:color="auto"/>
        <w:left w:val="none" w:sz="0" w:space="0" w:color="auto"/>
        <w:bottom w:val="none" w:sz="0" w:space="0" w:color="auto"/>
        <w:right w:val="none" w:sz="0" w:space="0" w:color="auto"/>
      </w:divBdr>
    </w:div>
    <w:div w:id="1813674742">
      <w:bodyDiv w:val="1"/>
      <w:marLeft w:val="0"/>
      <w:marRight w:val="0"/>
      <w:marTop w:val="0"/>
      <w:marBottom w:val="0"/>
      <w:divBdr>
        <w:top w:val="none" w:sz="0" w:space="0" w:color="auto"/>
        <w:left w:val="none" w:sz="0" w:space="0" w:color="auto"/>
        <w:bottom w:val="none" w:sz="0" w:space="0" w:color="auto"/>
        <w:right w:val="none" w:sz="0" w:space="0" w:color="auto"/>
      </w:divBdr>
    </w:div>
    <w:div w:id="1813862483">
      <w:bodyDiv w:val="1"/>
      <w:marLeft w:val="0"/>
      <w:marRight w:val="0"/>
      <w:marTop w:val="0"/>
      <w:marBottom w:val="0"/>
      <w:divBdr>
        <w:top w:val="none" w:sz="0" w:space="0" w:color="auto"/>
        <w:left w:val="none" w:sz="0" w:space="0" w:color="auto"/>
        <w:bottom w:val="none" w:sz="0" w:space="0" w:color="auto"/>
        <w:right w:val="none" w:sz="0" w:space="0" w:color="auto"/>
      </w:divBdr>
    </w:div>
    <w:div w:id="1813866299">
      <w:bodyDiv w:val="1"/>
      <w:marLeft w:val="0"/>
      <w:marRight w:val="0"/>
      <w:marTop w:val="0"/>
      <w:marBottom w:val="0"/>
      <w:divBdr>
        <w:top w:val="none" w:sz="0" w:space="0" w:color="auto"/>
        <w:left w:val="none" w:sz="0" w:space="0" w:color="auto"/>
        <w:bottom w:val="none" w:sz="0" w:space="0" w:color="auto"/>
        <w:right w:val="none" w:sz="0" w:space="0" w:color="auto"/>
      </w:divBdr>
    </w:div>
    <w:div w:id="1814176423">
      <w:bodyDiv w:val="1"/>
      <w:marLeft w:val="0"/>
      <w:marRight w:val="0"/>
      <w:marTop w:val="0"/>
      <w:marBottom w:val="0"/>
      <w:divBdr>
        <w:top w:val="none" w:sz="0" w:space="0" w:color="auto"/>
        <w:left w:val="none" w:sz="0" w:space="0" w:color="auto"/>
        <w:bottom w:val="none" w:sz="0" w:space="0" w:color="auto"/>
        <w:right w:val="none" w:sz="0" w:space="0" w:color="auto"/>
      </w:divBdr>
    </w:div>
    <w:div w:id="1814180084">
      <w:bodyDiv w:val="1"/>
      <w:marLeft w:val="0"/>
      <w:marRight w:val="0"/>
      <w:marTop w:val="0"/>
      <w:marBottom w:val="0"/>
      <w:divBdr>
        <w:top w:val="none" w:sz="0" w:space="0" w:color="auto"/>
        <w:left w:val="none" w:sz="0" w:space="0" w:color="auto"/>
        <w:bottom w:val="none" w:sz="0" w:space="0" w:color="auto"/>
        <w:right w:val="none" w:sz="0" w:space="0" w:color="auto"/>
      </w:divBdr>
    </w:div>
    <w:div w:id="1814327148">
      <w:bodyDiv w:val="1"/>
      <w:marLeft w:val="0"/>
      <w:marRight w:val="0"/>
      <w:marTop w:val="0"/>
      <w:marBottom w:val="0"/>
      <w:divBdr>
        <w:top w:val="none" w:sz="0" w:space="0" w:color="auto"/>
        <w:left w:val="none" w:sz="0" w:space="0" w:color="auto"/>
        <w:bottom w:val="none" w:sz="0" w:space="0" w:color="auto"/>
        <w:right w:val="none" w:sz="0" w:space="0" w:color="auto"/>
      </w:divBdr>
    </w:div>
    <w:div w:id="1814637829">
      <w:bodyDiv w:val="1"/>
      <w:marLeft w:val="0"/>
      <w:marRight w:val="0"/>
      <w:marTop w:val="0"/>
      <w:marBottom w:val="0"/>
      <w:divBdr>
        <w:top w:val="none" w:sz="0" w:space="0" w:color="auto"/>
        <w:left w:val="none" w:sz="0" w:space="0" w:color="auto"/>
        <w:bottom w:val="none" w:sz="0" w:space="0" w:color="auto"/>
        <w:right w:val="none" w:sz="0" w:space="0" w:color="auto"/>
      </w:divBdr>
    </w:div>
    <w:div w:id="1814637946">
      <w:bodyDiv w:val="1"/>
      <w:marLeft w:val="0"/>
      <w:marRight w:val="0"/>
      <w:marTop w:val="0"/>
      <w:marBottom w:val="0"/>
      <w:divBdr>
        <w:top w:val="none" w:sz="0" w:space="0" w:color="auto"/>
        <w:left w:val="none" w:sz="0" w:space="0" w:color="auto"/>
        <w:bottom w:val="none" w:sz="0" w:space="0" w:color="auto"/>
        <w:right w:val="none" w:sz="0" w:space="0" w:color="auto"/>
      </w:divBdr>
    </w:div>
    <w:div w:id="1814715210">
      <w:bodyDiv w:val="1"/>
      <w:marLeft w:val="0"/>
      <w:marRight w:val="0"/>
      <w:marTop w:val="0"/>
      <w:marBottom w:val="0"/>
      <w:divBdr>
        <w:top w:val="none" w:sz="0" w:space="0" w:color="auto"/>
        <w:left w:val="none" w:sz="0" w:space="0" w:color="auto"/>
        <w:bottom w:val="none" w:sz="0" w:space="0" w:color="auto"/>
        <w:right w:val="none" w:sz="0" w:space="0" w:color="auto"/>
      </w:divBdr>
    </w:div>
    <w:div w:id="1814834103">
      <w:bodyDiv w:val="1"/>
      <w:marLeft w:val="0"/>
      <w:marRight w:val="0"/>
      <w:marTop w:val="0"/>
      <w:marBottom w:val="0"/>
      <w:divBdr>
        <w:top w:val="none" w:sz="0" w:space="0" w:color="auto"/>
        <w:left w:val="none" w:sz="0" w:space="0" w:color="auto"/>
        <w:bottom w:val="none" w:sz="0" w:space="0" w:color="auto"/>
        <w:right w:val="none" w:sz="0" w:space="0" w:color="auto"/>
      </w:divBdr>
    </w:div>
    <w:div w:id="1814906387">
      <w:bodyDiv w:val="1"/>
      <w:marLeft w:val="0"/>
      <w:marRight w:val="0"/>
      <w:marTop w:val="0"/>
      <w:marBottom w:val="0"/>
      <w:divBdr>
        <w:top w:val="none" w:sz="0" w:space="0" w:color="auto"/>
        <w:left w:val="none" w:sz="0" w:space="0" w:color="auto"/>
        <w:bottom w:val="none" w:sz="0" w:space="0" w:color="auto"/>
        <w:right w:val="none" w:sz="0" w:space="0" w:color="auto"/>
      </w:divBdr>
    </w:div>
    <w:div w:id="1815097681">
      <w:bodyDiv w:val="1"/>
      <w:marLeft w:val="0"/>
      <w:marRight w:val="0"/>
      <w:marTop w:val="0"/>
      <w:marBottom w:val="0"/>
      <w:divBdr>
        <w:top w:val="none" w:sz="0" w:space="0" w:color="auto"/>
        <w:left w:val="none" w:sz="0" w:space="0" w:color="auto"/>
        <w:bottom w:val="none" w:sz="0" w:space="0" w:color="auto"/>
        <w:right w:val="none" w:sz="0" w:space="0" w:color="auto"/>
      </w:divBdr>
    </w:div>
    <w:div w:id="1815175593">
      <w:bodyDiv w:val="1"/>
      <w:marLeft w:val="0"/>
      <w:marRight w:val="0"/>
      <w:marTop w:val="0"/>
      <w:marBottom w:val="0"/>
      <w:divBdr>
        <w:top w:val="none" w:sz="0" w:space="0" w:color="auto"/>
        <w:left w:val="none" w:sz="0" w:space="0" w:color="auto"/>
        <w:bottom w:val="none" w:sz="0" w:space="0" w:color="auto"/>
        <w:right w:val="none" w:sz="0" w:space="0" w:color="auto"/>
      </w:divBdr>
    </w:div>
    <w:div w:id="1815367816">
      <w:bodyDiv w:val="1"/>
      <w:marLeft w:val="0"/>
      <w:marRight w:val="0"/>
      <w:marTop w:val="0"/>
      <w:marBottom w:val="0"/>
      <w:divBdr>
        <w:top w:val="none" w:sz="0" w:space="0" w:color="auto"/>
        <w:left w:val="none" w:sz="0" w:space="0" w:color="auto"/>
        <w:bottom w:val="none" w:sz="0" w:space="0" w:color="auto"/>
        <w:right w:val="none" w:sz="0" w:space="0" w:color="auto"/>
      </w:divBdr>
    </w:div>
    <w:div w:id="1815483104">
      <w:bodyDiv w:val="1"/>
      <w:marLeft w:val="0"/>
      <w:marRight w:val="0"/>
      <w:marTop w:val="0"/>
      <w:marBottom w:val="0"/>
      <w:divBdr>
        <w:top w:val="none" w:sz="0" w:space="0" w:color="auto"/>
        <w:left w:val="none" w:sz="0" w:space="0" w:color="auto"/>
        <w:bottom w:val="none" w:sz="0" w:space="0" w:color="auto"/>
        <w:right w:val="none" w:sz="0" w:space="0" w:color="auto"/>
      </w:divBdr>
    </w:div>
    <w:div w:id="1815562453">
      <w:bodyDiv w:val="1"/>
      <w:marLeft w:val="0"/>
      <w:marRight w:val="0"/>
      <w:marTop w:val="0"/>
      <w:marBottom w:val="0"/>
      <w:divBdr>
        <w:top w:val="none" w:sz="0" w:space="0" w:color="auto"/>
        <w:left w:val="none" w:sz="0" w:space="0" w:color="auto"/>
        <w:bottom w:val="none" w:sz="0" w:space="0" w:color="auto"/>
        <w:right w:val="none" w:sz="0" w:space="0" w:color="auto"/>
      </w:divBdr>
    </w:div>
    <w:div w:id="1815639644">
      <w:bodyDiv w:val="1"/>
      <w:marLeft w:val="0"/>
      <w:marRight w:val="0"/>
      <w:marTop w:val="0"/>
      <w:marBottom w:val="0"/>
      <w:divBdr>
        <w:top w:val="none" w:sz="0" w:space="0" w:color="auto"/>
        <w:left w:val="none" w:sz="0" w:space="0" w:color="auto"/>
        <w:bottom w:val="none" w:sz="0" w:space="0" w:color="auto"/>
        <w:right w:val="none" w:sz="0" w:space="0" w:color="auto"/>
      </w:divBdr>
    </w:div>
    <w:div w:id="1815945718">
      <w:bodyDiv w:val="1"/>
      <w:marLeft w:val="0"/>
      <w:marRight w:val="0"/>
      <w:marTop w:val="0"/>
      <w:marBottom w:val="0"/>
      <w:divBdr>
        <w:top w:val="none" w:sz="0" w:space="0" w:color="auto"/>
        <w:left w:val="none" w:sz="0" w:space="0" w:color="auto"/>
        <w:bottom w:val="none" w:sz="0" w:space="0" w:color="auto"/>
        <w:right w:val="none" w:sz="0" w:space="0" w:color="auto"/>
      </w:divBdr>
    </w:div>
    <w:div w:id="1816675456">
      <w:bodyDiv w:val="1"/>
      <w:marLeft w:val="0"/>
      <w:marRight w:val="0"/>
      <w:marTop w:val="0"/>
      <w:marBottom w:val="0"/>
      <w:divBdr>
        <w:top w:val="none" w:sz="0" w:space="0" w:color="auto"/>
        <w:left w:val="none" w:sz="0" w:space="0" w:color="auto"/>
        <w:bottom w:val="none" w:sz="0" w:space="0" w:color="auto"/>
        <w:right w:val="none" w:sz="0" w:space="0" w:color="auto"/>
      </w:divBdr>
    </w:div>
    <w:div w:id="1816869853">
      <w:bodyDiv w:val="1"/>
      <w:marLeft w:val="0"/>
      <w:marRight w:val="0"/>
      <w:marTop w:val="0"/>
      <w:marBottom w:val="0"/>
      <w:divBdr>
        <w:top w:val="none" w:sz="0" w:space="0" w:color="auto"/>
        <w:left w:val="none" w:sz="0" w:space="0" w:color="auto"/>
        <w:bottom w:val="none" w:sz="0" w:space="0" w:color="auto"/>
        <w:right w:val="none" w:sz="0" w:space="0" w:color="auto"/>
      </w:divBdr>
    </w:div>
    <w:div w:id="1816988487">
      <w:bodyDiv w:val="1"/>
      <w:marLeft w:val="0"/>
      <w:marRight w:val="0"/>
      <w:marTop w:val="0"/>
      <w:marBottom w:val="0"/>
      <w:divBdr>
        <w:top w:val="none" w:sz="0" w:space="0" w:color="auto"/>
        <w:left w:val="none" w:sz="0" w:space="0" w:color="auto"/>
        <w:bottom w:val="none" w:sz="0" w:space="0" w:color="auto"/>
        <w:right w:val="none" w:sz="0" w:space="0" w:color="auto"/>
      </w:divBdr>
    </w:div>
    <w:div w:id="1816992238">
      <w:bodyDiv w:val="1"/>
      <w:marLeft w:val="0"/>
      <w:marRight w:val="0"/>
      <w:marTop w:val="0"/>
      <w:marBottom w:val="0"/>
      <w:divBdr>
        <w:top w:val="none" w:sz="0" w:space="0" w:color="auto"/>
        <w:left w:val="none" w:sz="0" w:space="0" w:color="auto"/>
        <w:bottom w:val="none" w:sz="0" w:space="0" w:color="auto"/>
        <w:right w:val="none" w:sz="0" w:space="0" w:color="auto"/>
      </w:divBdr>
    </w:div>
    <w:div w:id="1817067949">
      <w:bodyDiv w:val="1"/>
      <w:marLeft w:val="0"/>
      <w:marRight w:val="0"/>
      <w:marTop w:val="0"/>
      <w:marBottom w:val="0"/>
      <w:divBdr>
        <w:top w:val="none" w:sz="0" w:space="0" w:color="auto"/>
        <w:left w:val="none" w:sz="0" w:space="0" w:color="auto"/>
        <w:bottom w:val="none" w:sz="0" w:space="0" w:color="auto"/>
        <w:right w:val="none" w:sz="0" w:space="0" w:color="auto"/>
      </w:divBdr>
    </w:div>
    <w:div w:id="1817146328">
      <w:bodyDiv w:val="1"/>
      <w:marLeft w:val="0"/>
      <w:marRight w:val="0"/>
      <w:marTop w:val="0"/>
      <w:marBottom w:val="0"/>
      <w:divBdr>
        <w:top w:val="none" w:sz="0" w:space="0" w:color="auto"/>
        <w:left w:val="none" w:sz="0" w:space="0" w:color="auto"/>
        <w:bottom w:val="none" w:sz="0" w:space="0" w:color="auto"/>
        <w:right w:val="none" w:sz="0" w:space="0" w:color="auto"/>
      </w:divBdr>
    </w:div>
    <w:div w:id="1817526200">
      <w:bodyDiv w:val="1"/>
      <w:marLeft w:val="0"/>
      <w:marRight w:val="0"/>
      <w:marTop w:val="0"/>
      <w:marBottom w:val="0"/>
      <w:divBdr>
        <w:top w:val="none" w:sz="0" w:space="0" w:color="auto"/>
        <w:left w:val="none" w:sz="0" w:space="0" w:color="auto"/>
        <w:bottom w:val="none" w:sz="0" w:space="0" w:color="auto"/>
        <w:right w:val="none" w:sz="0" w:space="0" w:color="auto"/>
      </w:divBdr>
    </w:div>
    <w:div w:id="1817605655">
      <w:bodyDiv w:val="1"/>
      <w:marLeft w:val="0"/>
      <w:marRight w:val="0"/>
      <w:marTop w:val="0"/>
      <w:marBottom w:val="0"/>
      <w:divBdr>
        <w:top w:val="none" w:sz="0" w:space="0" w:color="auto"/>
        <w:left w:val="none" w:sz="0" w:space="0" w:color="auto"/>
        <w:bottom w:val="none" w:sz="0" w:space="0" w:color="auto"/>
        <w:right w:val="none" w:sz="0" w:space="0" w:color="auto"/>
      </w:divBdr>
    </w:div>
    <w:div w:id="1817646826">
      <w:bodyDiv w:val="1"/>
      <w:marLeft w:val="0"/>
      <w:marRight w:val="0"/>
      <w:marTop w:val="0"/>
      <w:marBottom w:val="0"/>
      <w:divBdr>
        <w:top w:val="none" w:sz="0" w:space="0" w:color="auto"/>
        <w:left w:val="none" w:sz="0" w:space="0" w:color="auto"/>
        <w:bottom w:val="none" w:sz="0" w:space="0" w:color="auto"/>
        <w:right w:val="none" w:sz="0" w:space="0" w:color="auto"/>
      </w:divBdr>
    </w:div>
    <w:div w:id="1817725773">
      <w:bodyDiv w:val="1"/>
      <w:marLeft w:val="0"/>
      <w:marRight w:val="0"/>
      <w:marTop w:val="0"/>
      <w:marBottom w:val="0"/>
      <w:divBdr>
        <w:top w:val="none" w:sz="0" w:space="0" w:color="auto"/>
        <w:left w:val="none" w:sz="0" w:space="0" w:color="auto"/>
        <w:bottom w:val="none" w:sz="0" w:space="0" w:color="auto"/>
        <w:right w:val="none" w:sz="0" w:space="0" w:color="auto"/>
      </w:divBdr>
    </w:div>
    <w:div w:id="1817838737">
      <w:bodyDiv w:val="1"/>
      <w:marLeft w:val="0"/>
      <w:marRight w:val="0"/>
      <w:marTop w:val="0"/>
      <w:marBottom w:val="0"/>
      <w:divBdr>
        <w:top w:val="none" w:sz="0" w:space="0" w:color="auto"/>
        <w:left w:val="none" w:sz="0" w:space="0" w:color="auto"/>
        <w:bottom w:val="none" w:sz="0" w:space="0" w:color="auto"/>
        <w:right w:val="none" w:sz="0" w:space="0" w:color="auto"/>
      </w:divBdr>
    </w:div>
    <w:div w:id="1818104023">
      <w:bodyDiv w:val="1"/>
      <w:marLeft w:val="0"/>
      <w:marRight w:val="0"/>
      <w:marTop w:val="0"/>
      <w:marBottom w:val="0"/>
      <w:divBdr>
        <w:top w:val="none" w:sz="0" w:space="0" w:color="auto"/>
        <w:left w:val="none" w:sz="0" w:space="0" w:color="auto"/>
        <w:bottom w:val="none" w:sz="0" w:space="0" w:color="auto"/>
        <w:right w:val="none" w:sz="0" w:space="0" w:color="auto"/>
      </w:divBdr>
    </w:div>
    <w:div w:id="1818261268">
      <w:bodyDiv w:val="1"/>
      <w:marLeft w:val="0"/>
      <w:marRight w:val="0"/>
      <w:marTop w:val="0"/>
      <w:marBottom w:val="0"/>
      <w:divBdr>
        <w:top w:val="none" w:sz="0" w:space="0" w:color="auto"/>
        <w:left w:val="none" w:sz="0" w:space="0" w:color="auto"/>
        <w:bottom w:val="none" w:sz="0" w:space="0" w:color="auto"/>
        <w:right w:val="none" w:sz="0" w:space="0" w:color="auto"/>
      </w:divBdr>
    </w:div>
    <w:div w:id="1818296942">
      <w:bodyDiv w:val="1"/>
      <w:marLeft w:val="0"/>
      <w:marRight w:val="0"/>
      <w:marTop w:val="0"/>
      <w:marBottom w:val="0"/>
      <w:divBdr>
        <w:top w:val="none" w:sz="0" w:space="0" w:color="auto"/>
        <w:left w:val="none" w:sz="0" w:space="0" w:color="auto"/>
        <w:bottom w:val="none" w:sz="0" w:space="0" w:color="auto"/>
        <w:right w:val="none" w:sz="0" w:space="0" w:color="auto"/>
      </w:divBdr>
    </w:div>
    <w:div w:id="1818297338">
      <w:bodyDiv w:val="1"/>
      <w:marLeft w:val="0"/>
      <w:marRight w:val="0"/>
      <w:marTop w:val="0"/>
      <w:marBottom w:val="0"/>
      <w:divBdr>
        <w:top w:val="none" w:sz="0" w:space="0" w:color="auto"/>
        <w:left w:val="none" w:sz="0" w:space="0" w:color="auto"/>
        <w:bottom w:val="none" w:sz="0" w:space="0" w:color="auto"/>
        <w:right w:val="none" w:sz="0" w:space="0" w:color="auto"/>
      </w:divBdr>
    </w:div>
    <w:div w:id="1818376385">
      <w:bodyDiv w:val="1"/>
      <w:marLeft w:val="0"/>
      <w:marRight w:val="0"/>
      <w:marTop w:val="0"/>
      <w:marBottom w:val="0"/>
      <w:divBdr>
        <w:top w:val="none" w:sz="0" w:space="0" w:color="auto"/>
        <w:left w:val="none" w:sz="0" w:space="0" w:color="auto"/>
        <w:bottom w:val="none" w:sz="0" w:space="0" w:color="auto"/>
        <w:right w:val="none" w:sz="0" w:space="0" w:color="auto"/>
      </w:divBdr>
    </w:div>
    <w:div w:id="1818456750">
      <w:bodyDiv w:val="1"/>
      <w:marLeft w:val="0"/>
      <w:marRight w:val="0"/>
      <w:marTop w:val="0"/>
      <w:marBottom w:val="0"/>
      <w:divBdr>
        <w:top w:val="none" w:sz="0" w:space="0" w:color="auto"/>
        <w:left w:val="none" w:sz="0" w:space="0" w:color="auto"/>
        <w:bottom w:val="none" w:sz="0" w:space="0" w:color="auto"/>
        <w:right w:val="none" w:sz="0" w:space="0" w:color="auto"/>
      </w:divBdr>
    </w:div>
    <w:div w:id="1818641250">
      <w:bodyDiv w:val="1"/>
      <w:marLeft w:val="0"/>
      <w:marRight w:val="0"/>
      <w:marTop w:val="0"/>
      <w:marBottom w:val="0"/>
      <w:divBdr>
        <w:top w:val="none" w:sz="0" w:space="0" w:color="auto"/>
        <w:left w:val="none" w:sz="0" w:space="0" w:color="auto"/>
        <w:bottom w:val="none" w:sz="0" w:space="0" w:color="auto"/>
        <w:right w:val="none" w:sz="0" w:space="0" w:color="auto"/>
      </w:divBdr>
    </w:div>
    <w:div w:id="1818643662">
      <w:bodyDiv w:val="1"/>
      <w:marLeft w:val="0"/>
      <w:marRight w:val="0"/>
      <w:marTop w:val="0"/>
      <w:marBottom w:val="0"/>
      <w:divBdr>
        <w:top w:val="none" w:sz="0" w:space="0" w:color="auto"/>
        <w:left w:val="none" w:sz="0" w:space="0" w:color="auto"/>
        <w:bottom w:val="none" w:sz="0" w:space="0" w:color="auto"/>
        <w:right w:val="none" w:sz="0" w:space="0" w:color="auto"/>
      </w:divBdr>
    </w:div>
    <w:div w:id="1818837896">
      <w:bodyDiv w:val="1"/>
      <w:marLeft w:val="0"/>
      <w:marRight w:val="0"/>
      <w:marTop w:val="0"/>
      <w:marBottom w:val="0"/>
      <w:divBdr>
        <w:top w:val="none" w:sz="0" w:space="0" w:color="auto"/>
        <w:left w:val="none" w:sz="0" w:space="0" w:color="auto"/>
        <w:bottom w:val="none" w:sz="0" w:space="0" w:color="auto"/>
        <w:right w:val="none" w:sz="0" w:space="0" w:color="auto"/>
      </w:divBdr>
    </w:div>
    <w:div w:id="1818910500">
      <w:bodyDiv w:val="1"/>
      <w:marLeft w:val="0"/>
      <w:marRight w:val="0"/>
      <w:marTop w:val="0"/>
      <w:marBottom w:val="0"/>
      <w:divBdr>
        <w:top w:val="none" w:sz="0" w:space="0" w:color="auto"/>
        <w:left w:val="none" w:sz="0" w:space="0" w:color="auto"/>
        <w:bottom w:val="none" w:sz="0" w:space="0" w:color="auto"/>
        <w:right w:val="none" w:sz="0" w:space="0" w:color="auto"/>
      </w:divBdr>
    </w:div>
    <w:div w:id="1819029491">
      <w:bodyDiv w:val="1"/>
      <w:marLeft w:val="0"/>
      <w:marRight w:val="0"/>
      <w:marTop w:val="0"/>
      <w:marBottom w:val="0"/>
      <w:divBdr>
        <w:top w:val="none" w:sz="0" w:space="0" w:color="auto"/>
        <w:left w:val="none" w:sz="0" w:space="0" w:color="auto"/>
        <w:bottom w:val="none" w:sz="0" w:space="0" w:color="auto"/>
        <w:right w:val="none" w:sz="0" w:space="0" w:color="auto"/>
      </w:divBdr>
    </w:div>
    <w:div w:id="1819030809">
      <w:bodyDiv w:val="1"/>
      <w:marLeft w:val="0"/>
      <w:marRight w:val="0"/>
      <w:marTop w:val="0"/>
      <w:marBottom w:val="0"/>
      <w:divBdr>
        <w:top w:val="none" w:sz="0" w:space="0" w:color="auto"/>
        <w:left w:val="none" w:sz="0" w:space="0" w:color="auto"/>
        <w:bottom w:val="none" w:sz="0" w:space="0" w:color="auto"/>
        <w:right w:val="none" w:sz="0" w:space="0" w:color="auto"/>
      </w:divBdr>
    </w:div>
    <w:div w:id="1819180251">
      <w:bodyDiv w:val="1"/>
      <w:marLeft w:val="0"/>
      <w:marRight w:val="0"/>
      <w:marTop w:val="0"/>
      <w:marBottom w:val="0"/>
      <w:divBdr>
        <w:top w:val="none" w:sz="0" w:space="0" w:color="auto"/>
        <w:left w:val="none" w:sz="0" w:space="0" w:color="auto"/>
        <w:bottom w:val="none" w:sz="0" w:space="0" w:color="auto"/>
        <w:right w:val="none" w:sz="0" w:space="0" w:color="auto"/>
      </w:divBdr>
    </w:div>
    <w:div w:id="1819224789">
      <w:bodyDiv w:val="1"/>
      <w:marLeft w:val="0"/>
      <w:marRight w:val="0"/>
      <w:marTop w:val="0"/>
      <w:marBottom w:val="0"/>
      <w:divBdr>
        <w:top w:val="none" w:sz="0" w:space="0" w:color="auto"/>
        <w:left w:val="none" w:sz="0" w:space="0" w:color="auto"/>
        <w:bottom w:val="none" w:sz="0" w:space="0" w:color="auto"/>
        <w:right w:val="none" w:sz="0" w:space="0" w:color="auto"/>
      </w:divBdr>
    </w:div>
    <w:div w:id="1819224835">
      <w:bodyDiv w:val="1"/>
      <w:marLeft w:val="0"/>
      <w:marRight w:val="0"/>
      <w:marTop w:val="0"/>
      <w:marBottom w:val="0"/>
      <w:divBdr>
        <w:top w:val="none" w:sz="0" w:space="0" w:color="auto"/>
        <w:left w:val="none" w:sz="0" w:space="0" w:color="auto"/>
        <w:bottom w:val="none" w:sz="0" w:space="0" w:color="auto"/>
        <w:right w:val="none" w:sz="0" w:space="0" w:color="auto"/>
      </w:divBdr>
    </w:div>
    <w:div w:id="1819229126">
      <w:bodyDiv w:val="1"/>
      <w:marLeft w:val="0"/>
      <w:marRight w:val="0"/>
      <w:marTop w:val="0"/>
      <w:marBottom w:val="0"/>
      <w:divBdr>
        <w:top w:val="none" w:sz="0" w:space="0" w:color="auto"/>
        <w:left w:val="none" w:sz="0" w:space="0" w:color="auto"/>
        <w:bottom w:val="none" w:sz="0" w:space="0" w:color="auto"/>
        <w:right w:val="none" w:sz="0" w:space="0" w:color="auto"/>
      </w:divBdr>
    </w:div>
    <w:div w:id="1819345129">
      <w:bodyDiv w:val="1"/>
      <w:marLeft w:val="0"/>
      <w:marRight w:val="0"/>
      <w:marTop w:val="0"/>
      <w:marBottom w:val="0"/>
      <w:divBdr>
        <w:top w:val="none" w:sz="0" w:space="0" w:color="auto"/>
        <w:left w:val="none" w:sz="0" w:space="0" w:color="auto"/>
        <w:bottom w:val="none" w:sz="0" w:space="0" w:color="auto"/>
        <w:right w:val="none" w:sz="0" w:space="0" w:color="auto"/>
      </w:divBdr>
    </w:div>
    <w:div w:id="1819489823">
      <w:bodyDiv w:val="1"/>
      <w:marLeft w:val="0"/>
      <w:marRight w:val="0"/>
      <w:marTop w:val="0"/>
      <w:marBottom w:val="0"/>
      <w:divBdr>
        <w:top w:val="none" w:sz="0" w:space="0" w:color="auto"/>
        <w:left w:val="none" w:sz="0" w:space="0" w:color="auto"/>
        <w:bottom w:val="none" w:sz="0" w:space="0" w:color="auto"/>
        <w:right w:val="none" w:sz="0" w:space="0" w:color="auto"/>
      </w:divBdr>
    </w:div>
    <w:div w:id="1819497299">
      <w:bodyDiv w:val="1"/>
      <w:marLeft w:val="0"/>
      <w:marRight w:val="0"/>
      <w:marTop w:val="0"/>
      <w:marBottom w:val="0"/>
      <w:divBdr>
        <w:top w:val="none" w:sz="0" w:space="0" w:color="auto"/>
        <w:left w:val="none" w:sz="0" w:space="0" w:color="auto"/>
        <w:bottom w:val="none" w:sz="0" w:space="0" w:color="auto"/>
        <w:right w:val="none" w:sz="0" w:space="0" w:color="auto"/>
      </w:divBdr>
    </w:div>
    <w:div w:id="1819568740">
      <w:bodyDiv w:val="1"/>
      <w:marLeft w:val="0"/>
      <w:marRight w:val="0"/>
      <w:marTop w:val="0"/>
      <w:marBottom w:val="0"/>
      <w:divBdr>
        <w:top w:val="none" w:sz="0" w:space="0" w:color="auto"/>
        <w:left w:val="none" w:sz="0" w:space="0" w:color="auto"/>
        <w:bottom w:val="none" w:sz="0" w:space="0" w:color="auto"/>
        <w:right w:val="none" w:sz="0" w:space="0" w:color="auto"/>
      </w:divBdr>
    </w:div>
    <w:div w:id="1819958317">
      <w:bodyDiv w:val="1"/>
      <w:marLeft w:val="0"/>
      <w:marRight w:val="0"/>
      <w:marTop w:val="0"/>
      <w:marBottom w:val="0"/>
      <w:divBdr>
        <w:top w:val="none" w:sz="0" w:space="0" w:color="auto"/>
        <w:left w:val="none" w:sz="0" w:space="0" w:color="auto"/>
        <w:bottom w:val="none" w:sz="0" w:space="0" w:color="auto"/>
        <w:right w:val="none" w:sz="0" w:space="0" w:color="auto"/>
      </w:divBdr>
    </w:div>
    <w:div w:id="1820070050">
      <w:bodyDiv w:val="1"/>
      <w:marLeft w:val="0"/>
      <w:marRight w:val="0"/>
      <w:marTop w:val="0"/>
      <w:marBottom w:val="0"/>
      <w:divBdr>
        <w:top w:val="none" w:sz="0" w:space="0" w:color="auto"/>
        <w:left w:val="none" w:sz="0" w:space="0" w:color="auto"/>
        <w:bottom w:val="none" w:sz="0" w:space="0" w:color="auto"/>
        <w:right w:val="none" w:sz="0" w:space="0" w:color="auto"/>
      </w:divBdr>
    </w:div>
    <w:div w:id="1820221288">
      <w:bodyDiv w:val="1"/>
      <w:marLeft w:val="0"/>
      <w:marRight w:val="0"/>
      <w:marTop w:val="0"/>
      <w:marBottom w:val="0"/>
      <w:divBdr>
        <w:top w:val="none" w:sz="0" w:space="0" w:color="auto"/>
        <w:left w:val="none" w:sz="0" w:space="0" w:color="auto"/>
        <w:bottom w:val="none" w:sz="0" w:space="0" w:color="auto"/>
        <w:right w:val="none" w:sz="0" w:space="0" w:color="auto"/>
      </w:divBdr>
    </w:div>
    <w:div w:id="1820267565">
      <w:bodyDiv w:val="1"/>
      <w:marLeft w:val="0"/>
      <w:marRight w:val="0"/>
      <w:marTop w:val="0"/>
      <w:marBottom w:val="0"/>
      <w:divBdr>
        <w:top w:val="none" w:sz="0" w:space="0" w:color="auto"/>
        <w:left w:val="none" w:sz="0" w:space="0" w:color="auto"/>
        <w:bottom w:val="none" w:sz="0" w:space="0" w:color="auto"/>
        <w:right w:val="none" w:sz="0" w:space="0" w:color="auto"/>
      </w:divBdr>
    </w:div>
    <w:div w:id="1820340761">
      <w:bodyDiv w:val="1"/>
      <w:marLeft w:val="0"/>
      <w:marRight w:val="0"/>
      <w:marTop w:val="0"/>
      <w:marBottom w:val="0"/>
      <w:divBdr>
        <w:top w:val="none" w:sz="0" w:space="0" w:color="auto"/>
        <w:left w:val="none" w:sz="0" w:space="0" w:color="auto"/>
        <w:bottom w:val="none" w:sz="0" w:space="0" w:color="auto"/>
        <w:right w:val="none" w:sz="0" w:space="0" w:color="auto"/>
      </w:divBdr>
    </w:div>
    <w:div w:id="1820340820">
      <w:bodyDiv w:val="1"/>
      <w:marLeft w:val="0"/>
      <w:marRight w:val="0"/>
      <w:marTop w:val="0"/>
      <w:marBottom w:val="0"/>
      <w:divBdr>
        <w:top w:val="none" w:sz="0" w:space="0" w:color="auto"/>
        <w:left w:val="none" w:sz="0" w:space="0" w:color="auto"/>
        <w:bottom w:val="none" w:sz="0" w:space="0" w:color="auto"/>
        <w:right w:val="none" w:sz="0" w:space="0" w:color="auto"/>
      </w:divBdr>
    </w:div>
    <w:div w:id="1820343073">
      <w:bodyDiv w:val="1"/>
      <w:marLeft w:val="0"/>
      <w:marRight w:val="0"/>
      <w:marTop w:val="0"/>
      <w:marBottom w:val="0"/>
      <w:divBdr>
        <w:top w:val="none" w:sz="0" w:space="0" w:color="auto"/>
        <w:left w:val="none" w:sz="0" w:space="0" w:color="auto"/>
        <w:bottom w:val="none" w:sz="0" w:space="0" w:color="auto"/>
        <w:right w:val="none" w:sz="0" w:space="0" w:color="auto"/>
      </w:divBdr>
    </w:div>
    <w:div w:id="1820537274">
      <w:bodyDiv w:val="1"/>
      <w:marLeft w:val="0"/>
      <w:marRight w:val="0"/>
      <w:marTop w:val="0"/>
      <w:marBottom w:val="0"/>
      <w:divBdr>
        <w:top w:val="none" w:sz="0" w:space="0" w:color="auto"/>
        <w:left w:val="none" w:sz="0" w:space="0" w:color="auto"/>
        <w:bottom w:val="none" w:sz="0" w:space="0" w:color="auto"/>
        <w:right w:val="none" w:sz="0" w:space="0" w:color="auto"/>
      </w:divBdr>
    </w:div>
    <w:div w:id="1820537709">
      <w:bodyDiv w:val="1"/>
      <w:marLeft w:val="0"/>
      <w:marRight w:val="0"/>
      <w:marTop w:val="0"/>
      <w:marBottom w:val="0"/>
      <w:divBdr>
        <w:top w:val="none" w:sz="0" w:space="0" w:color="auto"/>
        <w:left w:val="none" w:sz="0" w:space="0" w:color="auto"/>
        <w:bottom w:val="none" w:sz="0" w:space="0" w:color="auto"/>
        <w:right w:val="none" w:sz="0" w:space="0" w:color="auto"/>
      </w:divBdr>
    </w:div>
    <w:div w:id="1820540361">
      <w:bodyDiv w:val="1"/>
      <w:marLeft w:val="0"/>
      <w:marRight w:val="0"/>
      <w:marTop w:val="0"/>
      <w:marBottom w:val="0"/>
      <w:divBdr>
        <w:top w:val="none" w:sz="0" w:space="0" w:color="auto"/>
        <w:left w:val="none" w:sz="0" w:space="0" w:color="auto"/>
        <w:bottom w:val="none" w:sz="0" w:space="0" w:color="auto"/>
        <w:right w:val="none" w:sz="0" w:space="0" w:color="auto"/>
      </w:divBdr>
    </w:div>
    <w:div w:id="1821311360">
      <w:bodyDiv w:val="1"/>
      <w:marLeft w:val="0"/>
      <w:marRight w:val="0"/>
      <w:marTop w:val="0"/>
      <w:marBottom w:val="0"/>
      <w:divBdr>
        <w:top w:val="none" w:sz="0" w:space="0" w:color="auto"/>
        <w:left w:val="none" w:sz="0" w:space="0" w:color="auto"/>
        <w:bottom w:val="none" w:sz="0" w:space="0" w:color="auto"/>
        <w:right w:val="none" w:sz="0" w:space="0" w:color="auto"/>
      </w:divBdr>
    </w:div>
    <w:div w:id="1821387325">
      <w:bodyDiv w:val="1"/>
      <w:marLeft w:val="0"/>
      <w:marRight w:val="0"/>
      <w:marTop w:val="0"/>
      <w:marBottom w:val="0"/>
      <w:divBdr>
        <w:top w:val="none" w:sz="0" w:space="0" w:color="auto"/>
        <w:left w:val="none" w:sz="0" w:space="0" w:color="auto"/>
        <w:bottom w:val="none" w:sz="0" w:space="0" w:color="auto"/>
        <w:right w:val="none" w:sz="0" w:space="0" w:color="auto"/>
      </w:divBdr>
    </w:div>
    <w:div w:id="1821536489">
      <w:bodyDiv w:val="1"/>
      <w:marLeft w:val="0"/>
      <w:marRight w:val="0"/>
      <w:marTop w:val="0"/>
      <w:marBottom w:val="0"/>
      <w:divBdr>
        <w:top w:val="none" w:sz="0" w:space="0" w:color="auto"/>
        <w:left w:val="none" w:sz="0" w:space="0" w:color="auto"/>
        <w:bottom w:val="none" w:sz="0" w:space="0" w:color="auto"/>
        <w:right w:val="none" w:sz="0" w:space="0" w:color="auto"/>
      </w:divBdr>
    </w:div>
    <w:div w:id="1821650793">
      <w:bodyDiv w:val="1"/>
      <w:marLeft w:val="0"/>
      <w:marRight w:val="0"/>
      <w:marTop w:val="0"/>
      <w:marBottom w:val="0"/>
      <w:divBdr>
        <w:top w:val="none" w:sz="0" w:space="0" w:color="auto"/>
        <w:left w:val="none" w:sz="0" w:space="0" w:color="auto"/>
        <w:bottom w:val="none" w:sz="0" w:space="0" w:color="auto"/>
        <w:right w:val="none" w:sz="0" w:space="0" w:color="auto"/>
      </w:divBdr>
    </w:div>
    <w:div w:id="1821656149">
      <w:bodyDiv w:val="1"/>
      <w:marLeft w:val="0"/>
      <w:marRight w:val="0"/>
      <w:marTop w:val="0"/>
      <w:marBottom w:val="0"/>
      <w:divBdr>
        <w:top w:val="none" w:sz="0" w:space="0" w:color="auto"/>
        <w:left w:val="none" w:sz="0" w:space="0" w:color="auto"/>
        <w:bottom w:val="none" w:sz="0" w:space="0" w:color="auto"/>
        <w:right w:val="none" w:sz="0" w:space="0" w:color="auto"/>
      </w:divBdr>
    </w:div>
    <w:div w:id="1821842606">
      <w:bodyDiv w:val="1"/>
      <w:marLeft w:val="0"/>
      <w:marRight w:val="0"/>
      <w:marTop w:val="0"/>
      <w:marBottom w:val="0"/>
      <w:divBdr>
        <w:top w:val="none" w:sz="0" w:space="0" w:color="auto"/>
        <w:left w:val="none" w:sz="0" w:space="0" w:color="auto"/>
        <w:bottom w:val="none" w:sz="0" w:space="0" w:color="auto"/>
        <w:right w:val="none" w:sz="0" w:space="0" w:color="auto"/>
      </w:divBdr>
    </w:div>
    <w:div w:id="1822039327">
      <w:bodyDiv w:val="1"/>
      <w:marLeft w:val="0"/>
      <w:marRight w:val="0"/>
      <w:marTop w:val="0"/>
      <w:marBottom w:val="0"/>
      <w:divBdr>
        <w:top w:val="none" w:sz="0" w:space="0" w:color="auto"/>
        <w:left w:val="none" w:sz="0" w:space="0" w:color="auto"/>
        <w:bottom w:val="none" w:sz="0" w:space="0" w:color="auto"/>
        <w:right w:val="none" w:sz="0" w:space="0" w:color="auto"/>
      </w:divBdr>
    </w:div>
    <w:div w:id="1822115448">
      <w:bodyDiv w:val="1"/>
      <w:marLeft w:val="0"/>
      <w:marRight w:val="0"/>
      <w:marTop w:val="0"/>
      <w:marBottom w:val="0"/>
      <w:divBdr>
        <w:top w:val="none" w:sz="0" w:space="0" w:color="auto"/>
        <w:left w:val="none" w:sz="0" w:space="0" w:color="auto"/>
        <w:bottom w:val="none" w:sz="0" w:space="0" w:color="auto"/>
        <w:right w:val="none" w:sz="0" w:space="0" w:color="auto"/>
      </w:divBdr>
    </w:div>
    <w:div w:id="1822497397">
      <w:bodyDiv w:val="1"/>
      <w:marLeft w:val="0"/>
      <w:marRight w:val="0"/>
      <w:marTop w:val="0"/>
      <w:marBottom w:val="0"/>
      <w:divBdr>
        <w:top w:val="none" w:sz="0" w:space="0" w:color="auto"/>
        <w:left w:val="none" w:sz="0" w:space="0" w:color="auto"/>
        <w:bottom w:val="none" w:sz="0" w:space="0" w:color="auto"/>
        <w:right w:val="none" w:sz="0" w:space="0" w:color="auto"/>
      </w:divBdr>
    </w:div>
    <w:div w:id="1822699215">
      <w:bodyDiv w:val="1"/>
      <w:marLeft w:val="0"/>
      <w:marRight w:val="0"/>
      <w:marTop w:val="0"/>
      <w:marBottom w:val="0"/>
      <w:divBdr>
        <w:top w:val="none" w:sz="0" w:space="0" w:color="auto"/>
        <w:left w:val="none" w:sz="0" w:space="0" w:color="auto"/>
        <w:bottom w:val="none" w:sz="0" w:space="0" w:color="auto"/>
        <w:right w:val="none" w:sz="0" w:space="0" w:color="auto"/>
      </w:divBdr>
    </w:div>
    <w:div w:id="1823113208">
      <w:bodyDiv w:val="1"/>
      <w:marLeft w:val="0"/>
      <w:marRight w:val="0"/>
      <w:marTop w:val="0"/>
      <w:marBottom w:val="0"/>
      <w:divBdr>
        <w:top w:val="none" w:sz="0" w:space="0" w:color="auto"/>
        <w:left w:val="none" w:sz="0" w:space="0" w:color="auto"/>
        <w:bottom w:val="none" w:sz="0" w:space="0" w:color="auto"/>
        <w:right w:val="none" w:sz="0" w:space="0" w:color="auto"/>
      </w:divBdr>
    </w:div>
    <w:div w:id="1823278929">
      <w:bodyDiv w:val="1"/>
      <w:marLeft w:val="0"/>
      <w:marRight w:val="0"/>
      <w:marTop w:val="0"/>
      <w:marBottom w:val="0"/>
      <w:divBdr>
        <w:top w:val="none" w:sz="0" w:space="0" w:color="auto"/>
        <w:left w:val="none" w:sz="0" w:space="0" w:color="auto"/>
        <w:bottom w:val="none" w:sz="0" w:space="0" w:color="auto"/>
        <w:right w:val="none" w:sz="0" w:space="0" w:color="auto"/>
      </w:divBdr>
    </w:div>
    <w:div w:id="1823308832">
      <w:bodyDiv w:val="1"/>
      <w:marLeft w:val="0"/>
      <w:marRight w:val="0"/>
      <w:marTop w:val="0"/>
      <w:marBottom w:val="0"/>
      <w:divBdr>
        <w:top w:val="none" w:sz="0" w:space="0" w:color="auto"/>
        <w:left w:val="none" w:sz="0" w:space="0" w:color="auto"/>
        <w:bottom w:val="none" w:sz="0" w:space="0" w:color="auto"/>
        <w:right w:val="none" w:sz="0" w:space="0" w:color="auto"/>
      </w:divBdr>
    </w:div>
    <w:div w:id="1823346250">
      <w:bodyDiv w:val="1"/>
      <w:marLeft w:val="0"/>
      <w:marRight w:val="0"/>
      <w:marTop w:val="0"/>
      <w:marBottom w:val="0"/>
      <w:divBdr>
        <w:top w:val="none" w:sz="0" w:space="0" w:color="auto"/>
        <w:left w:val="none" w:sz="0" w:space="0" w:color="auto"/>
        <w:bottom w:val="none" w:sz="0" w:space="0" w:color="auto"/>
        <w:right w:val="none" w:sz="0" w:space="0" w:color="auto"/>
      </w:divBdr>
    </w:div>
    <w:div w:id="1823351916">
      <w:bodyDiv w:val="1"/>
      <w:marLeft w:val="0"/>
      <w:marRight w:val="0"/>
      <w:marTop w:val="0"/>
      <w:marBottom w:val="0"/>
      <w:divBdr>
        <w:top w:val="none" w:sz="0" w:space="0" w:color="auto"/>
        <w:left w:val="none" w:sz="0" w:space="0" w:color="auto"/>
        <w:bottom w:val="none" w:sz="0" w:space="0" w:color="auto"/>
        <w:right w:val="none" w:sz="0" w:space="0" w:color="auto"/>
      </w:divBdr>
    </w:div>
    <w:div w:id="1823427058">
      <w:bodyDiv w:val="1"/>
      <w:marLeft w:val="0"/>
      <w:marRight w:val="0"/>
      <w:marTop w:val="0"/>
      <w:marBottom w:val="0"/>
      <w:divBdr>
        <w:top w:val="none" w:sz="0" w:space="0" w:color="auto"/>
        <w:left w:val="none" w:sz="0" w:space="0" w:color="auto"/>
        <w:bottom w:val="none" w:sz="0" w:space="0" w:color="auto"/>
        <w:right w:val="none" w:sz="0" w:space="0" w:color="auto"/>
      </w:divBdr>
    </w:div>
    <w:div w:id="1823616347">
      <w:bodyDiv w:val="1"/>
      <w:marLeft w:val="0"/>
      <w:marRight w:val="0"/>
      <w:marTop w:val="0"/>
      <w:marBottom w:val="0"/>
      <w:divBdr>
        <w:top w:val="none" w:sz="0" w:space="0" w:color="auto"/>
        <w:left w:val="none" w:sz="0" w:space="0" w:color="auto"/>
        <w:bottom w:val="none" w:sz="0" w:space="0" w:color="auto"/>
        <w:right w:val="none" w:sz="0" w:space="0" w:color="auto"/>
      </w:divBdr>
    </w:div>
    <w:div w:id="1823813137">
      <w:bodyDiv w:val="1"/>
      <w:marLeft w:val="0"/>
      <w:marRight w:val="0"/>
      <w:marTop w:val="0"/>
      <w:marBottom w:val="0"/>
      <w:divBdr>
        <w:top w:val="none" w:sz="0" w:space="0" w:color="auto"/>
        <w:left w:val="none" w:sz="0" w:space="0" w:color="auto"/>
        <w:bottom w:val="none" w:sz="0" w:space="0" w:color="auto"/>
        <w:right w:val="none" w:sz="0" w:space="0" w:color="auto"/>
      </w:divBdr>
    </w:div>
    <w:div w:id="1823814168">
      <w:bodyDiv w:val="1"/>
      <w:marLeft w:val="0"/>
      <w:marRight w:val="0"/>
      <w:marTop w:val="0"/>
      <w:marBottom w:val="0"/>
      <w:divBdr>
        <w:top w:val="none" w:sz="0" w:space="0" w:color="auto"/>
        <w:left w:val="none" w:sz="0" w:space="0" w:color="auto"/>
        <w:bottom w:val="none" w:sz="0" w:space="0" w:color="auto"/>
        <w:right w:val="none" w:sz="0" w:space="0" w:color="auto"/>
      </w:divBdr>
    </w:div>
    <w:div w:id="1823934438">
      <w:bodyDiv w:val="1"/>
      <w:marLeft w:val="0"/>
      <w:marRight w:val="0"/>
      <w:marTop w:val="0"/>
      <w:marBottom w:val="0"/>
      <w:divBdr>
        <w:top w:val="none" w:sz="0" w:space="0" w:color="auto"/>
        <w:left w:val="none" w:sz="0" w:space="0" w:color="auto"/>
        <w:bottom w:val="none" w:sz="0" w:space="0" w:color="auto"/>
        <w:right w:val="none" w:sz="0" w:space="0" w:color="auto"/>
      </w:divBdr>
    </w:div>
    <w:div w:id="1824004487">
      <w:bodyDiv w:val="1"/>
      <w:marLeft w:val="0"/>
      <w:marRight w:val="0"/>
      <w:marTop w:val="0"/>
      <w:marBottom w:val="0"/>
      <w:divBdr>
        <w:top w:val="none" w:sz="0" w:space="0" w:color="auto"/>
        <w:left w:val="none" w:sz="0" w:space="0" w:color="auto"/>
        <w:bottom w:val="none" w:sz="0" w:space="0" w:color="auto"/>
        <w:right w:val="none" w:sz="0" w:space="0" w:color="auto"/>
      </w:divBdr>
    </w:div>
    <w:div w:id="1824082969">
      <w:bodyDiv w:val="1"/>
      <w:marLeft w:val="0"/>
      <w:marRight w:val="0"/>
      <w:marTop w:val="0"/>
      <w:marBottom w:val="0"/>
      <w:divBdr>
        <w:top w:val="none" w:sz="0" w:space="0" w:color="auto"/>
        <w:left w:val="none" w:sz="0" w:space="0" w:color="auto"/>
        <w:bottom w:val="none" w:sz="0" w:space="0" w:color="auto"/>
        <w:right w:val="none" w:sz="0" w:space="0" w:color="auto"/>
      </w:divBdr>
    </w:div>
    <w:div w:id="1824351718">
      <w:bodyDiv w:val="1"/>
      <w:marLeft w:val="0"/>
      <w:marRight w:val="0"/>
      <w:marTop w:val="0"/>
      <w:marBottom w:val="0"/>
      <w:divBdr>
        <w:top w:val="none" w:sz="0" w:space="0" w:color="auto"/>
        <w:left w:val="none" w:sz="0" w:space="0" w:color="auto"/>
        <w:bottom w:val="none" w:sz="0" w:space="0" w:color="auto"/>
        <w:right w:val="none" w:sz="0" w:space="0" w:color="auto"/>
      </w:divBdr>
    </w:div>
    <w:div w:id="1824422345">
      <w:bodyDiv w:val="1"/>
      <w:marLeft w:val="0"/>
      <w:marRight w:val="0"/>
      <w:marTop w:val="0"/>
      <w:marBottom w:val="0"/>
      <w:divBdr>
        <w:top w:val="none" w:sz="0" w:space="0" w:color="auto"/>
        <w:left w:val="none" w:sz="0" w:space="0" w:color="auto"/>
        <w:bottom w:val="none" w:sz="0" w:space="0" w:color="auto"/>
        <w:right w:val="none" w:sz="0" w:space="0" w:color="auto"/>
      </w:divBdr>
    </w:div>
    <w:div w:id="1824543890">
      <w:bodyDiv w:val="1"/>
      <w:marLeft w:val="0"/>
      <w:marRight w:val="0"/>
      <w:marTop w:val="0"/>
      <w:marBottom w:val="0"/>
      <w:divBdr>
        <w:top w:val="none" w:sz="0" w:space="0" w:color="auto"/>
        <w:left w:val="none" w:sz="0" w:space="0" w:color="auto"/>
        <w:bottom w:val="none" w:sz="0" w:space="0" w:color="auto"/>
        <w:right w:val="none" w:sz="0" w:space="0" w:color="auto"/>
      </w:divBdr>
    </w:div>
    <w:div w:id="1824734807">
      <w:bodyDiv w:val="1"/>
      <w:marLeft w:val="0"/>
      <w:marRight w:val="0"/>
      <w:marTop w:val="0"/>
      <w:marBottom w:val="0"/>
      <w:divBdr>
        <w:top w:val="none" w:sz="0" w:space="0" w:color="auto"/>
        <w:left w:val="none" w:sz="0" w:space="0" w:color="auto"/>
        <w:bottom w:val="none" w:sz="0" w:space="0" w:color="auto"/>
        <w:right w:val="none" w:sz="0" w:space="0" w:color="auto"/>
      </w:divBdr>
    </w:div>
    <w:div w:id="1824850304">
      <w:bodyDiv w:val="1"/>
      <w:marLeft w:val="0"/>
      <w:marRight w:val="0"/>
      <w:marTop w:val="0"/>
      <w:marBottom w:val="0"/>
      <w:divBdr>
        <w:top w:val="none" w:sz="0" w:space="0" w:color="auto"/>
        <w:left w:val="none" w:sz="0" w:space="0" w:color="auto"/>
        <w:bottom w:val="none" w:sz="0" w:space="0" w:color="auto"/>
        <w:right w:val="none" w:sz="0" w:space="0" w:color="auto"/>
      </w:divBdr>
    </w:div>
    <w:div w:id="1825006177">
      <w:bodyDiv w:val="1"/>
      <w:marLeft w:val="0"/>
      <w:marRight w:val="0"/>
      <w:marTop w:val="0"/>
      <w:marBottom w:val="0"/>
      <w:divBdr>
        <w:top w:val="none" w:sz="0" w:space="0" w:color="auto"/>
        <w:left w:val="none" w:sz="0" w:space="0" w:color="auto"/>
        <w:bottom w:val="none" w:sz="0" w:space="0" w:color="auto"/>
        <w:right w:val="none" w:sz="0" w:space="0" w:color="auto"/>
      </w:divBdr>
    </w:div>
    <w:div w:id="1825198677">
      <w:bodyDiv w:val="1"/>
      <w:marLeft w:val="0"/>
      <w:marRight w:val="0"/>
      <w:marTop w:val="0"/>
      <w:marBottom w:val="0"/>
      <w:divBdr>
        <w:top w:val="none" w:sz="0" w:space="0" w:color="auto"/>
        <w:left w:val="none" w:sz="0" w:space="0" w:color="auto"/>
        <w:bottom w:val="none" w:sz="0" w:space="0" w:color="auto"/>
        <w:right w:val="none" w:sz="0" w:space="0" w:color="auto"/>
      </w:divBdr>
    </w:div>
    <w:div w:id="1825244088">
      <w:bodyDiv w:val="1"/>
      <w:marLeft w:val="0"/>
      <w:marRight w:val="0"/>
      <w:marTop w:val="0"/>
      <w:marBottom w:val="0"/>
      <w:divBdr>
        <w:top w:val="none" w:sz="0" w:space="0" w:color="auto"/>
        <w:left w:val="none" w:sz="0" w:space="0" w:color="auto"/>
        <w:bottom w:val="none" w:sz="0" w:space="0" w:color="auto"/>
        <w:right w:val="none" w:sz="0" w:space="0" w:color="auto"/>
      </w:divBdr>
    </w:div>
    <w:div w:id="1825275492">
      <w:bodyDiv w:val="1"/>
      <w:marLeft w:val="0"/>
      <w:marRight w:val="0"/>
      <w:marTop w:val="0"/>
      <w:marBottom w:val="0"/>
      <w:divBdr>
        <w:top w:val="none" w:sz="0" w:space="0" w:color="auto"/>
        <w:left w:val="none" w:sz="0" w:space="0" w:color="auto"/>
        <w:bottom w:val="none" w:sz="0" w:space="0" w:color="auto"/>
        <w:right w:val="none" w:sz="0" w:space="0" w:color="auto"/>
      </w:divBdr>
    </w:div>
    <w:div w:id="1825471497">
      <w:bodyDiv w:val="1"/>
      <w:marLeft w:val="0"/>
      <w:marRight w:val="0"/>
      <w:marTop w:val="0"/>
      <w:marBottom w:val="0"/>
      <w:divBdr>
        <w:top w:val="none" w:sz="0" w:space="0" w:color="auto"/>
        <w:left w:val="none" w:sz="0" w:space="0" w:color="auto"/>
        <w:bottom w:val="none" w:sz="0" w:space="0" w:color="auto"/>
        <w:right w:val="none" w:sz="0" w:space="0" w:color="auto"/>
      </w:divBdr>
    </w:div>
    <w:div w:id="1825509445">
      <w:bodyDiv w:val="1"/>
      <w:marLeft w:val="0"/>
      <w:marRight w:val="0"/>
      <w:marTop w:val="0"/>
      <w:marBottom w:val="0"/>
      <w:divBdr>
        <w:top w:val="none" w:sz="0" w:space="0" w:color="auto"/>
        <w:left w:val="none" w:sz="0" w:space="0" w:color="auto"/>
        <w:bottom w:val="none" w:sz="0" w:space="0" w:color="auto"/>
        <w:right w:val="none" w:sz="0" w:space="0" w:color="auto"/>
      </w:divBdr>
    </w:div>
    <w:div w:id="1825509749">
      <w:bodyDiv w:val="1"/>
      <w:marLeft w:val="0"/>
      <w:marRight w:val="0"/>
      <w:marTop w:val="0"/>
      <w:marBottom w:val="0"/>
      <w:divBdr>
        <w:top w:val="none" w:sz="0" w:space="0" w:color="auto"/>
        <w:left w:val="none" w:sz="0" w:space="0" w:color="auto"/>
        <w:bottom w:val="none" w:sz="0" w:space="0" w:color="auto"/>
        <w:right w:val="none" w:sz="0" w:space="0" w:color="auto"/>
      </w:divBdr>
    </w:div>
    <w:div w:id="1825702617">
      <w:bodyDiv w:val="1"/>
      <w:marLeft w:val="0"/>
      <w:marRight w:val="0"/>
      <w:marTop w:val="0"/>
      <w:marBottom w:val="0"/>
      <w:divBdr>
        <w:top w:val="none" w:sz="0" w:space="0" w:color="auto"/>
        <w:left w:val="none" w:sz="0" w:space="0" w:color="auto"/>
        <w:bottom w:val="none" w:sz="0" w:space="0" w:color="auto"/>
        <w:right w:val="none" w:sz="0" w:space="0" w:color="auto"/>
      </w:divBdr>
    </w:div>
    <w:div w:id="1825928574">
      <w:bodyDiv w:val="1"/>
      <w:marLeft w:val="0"/>
      <w:marRight w:val="0"/>
      <w:marTop w:val="0"/>
      <w:marBottom w:val="0"/>
      <w:divBdr>
        <w:top w:val="none" w:sz="0" w:space="0" w:color="auto"/>
        <w:left w:val="none" w:sz="0" w:space="0" w:color="auto"/>
        <w:bottom w:val="none" w:sz="0" w:space="0" w:color="auto"/>
        <w:right w:val="none" w:sz="0" w:space="0" w:color="auto"/>
      </w:divBdr>
    </w:div>
    <w:div w:id="1825968210">
      <w:bodyDiv w:val="1"/>
      <w:marLeft w:val="0"/>
      <w:marRight w:val="0"/>
      <w:marTop w:val="0"/>
      <w:marBottom w:val="0"/>
      <w:divBdr>
        <w:top w:val="none" w:sz="0" w:space="0" w:color="auto"/>
        <w:left w:val="none" w:sz="0" w:space="0" w:color="auto"/>
        <w:bottom w:val="none" w:sz="0" w:space="0" w:color="auto"/>
        <w:right w:val="none" w:sz="0" w:space="0" w:color="auto"/>
      </w:divBdr>
    </w:div>
    <w:div w:id="1826579655">
      <w:bodyDiv w:val="1"/>
      <w:marLeft w:val="0"/>
      <w:marRight w:val="0"/>
      <w:marTop w:val="0"/>
      <w:marBottom w:val="0"/>
      <w:divBdr>
        <w:top w:val="none" w:sz="0" w:space="0" w:color="auto"/>
        <w:left w:val="none" w:sz="0" w:space="0" w:color="auto"/>
        <w:bottom w:val="none" w:sz="0" w:space="0" w:color="auto"/>
        <w:right w:val="none" w:sz="0" w:space="0" w:color="auto"/>
      </w:divBdr>
    </w:div>
    <w:div w:id="1826583626">
      <w:bodyDiv w:val="1"/>
      <w:marLeft w:val="0"/>
      <w:marRight w:val="0"/>
      <w:marTop w:val="0"/>
      <w:marBottom w:val="0"/>
      <w:divBdr>
        <w:top w:val="none" w:sz="0" w:space="0" w:color="auto"/>
        <w:left w:val="none" w:sz="0" w:space="0" w:color="auto"/>
        <w:bottom w:val="none" w:sz="0" w:space="0" w:color="auto"/>
        <w:right w:val="none" w:sz="0" w:space="0" w:color="auto"/>
      </w:divBdr>
    </w:div>
    <w:div w:id="1827016372">
      <w:bodyDiv w:val="1"/>
      <w:marLeft w:val="0"/>
      <w:marRight w:val="0"/>
      <w:marTop w:val="0"/>
      <w:marBottom w:val="0"/>
      <w:divBdr>
        <w:top w:val="none" w:sz="0" w:space="0" w:color="auto"/>
        <w:left w:val="none" w:sz="0" w:space="0" w:color="auto"/>
        <w:bottom w:val="none" w:sz="0" w:space="0" w:color="auto"/>
        <w:right w:val="none" w:sz="0" w:space="0" w:color="auto"/>
      </w:divBdr>
    </w:div>
    <w:div w:id="1827041207">
      <w:bodyDiv w:val="1"/>
      <w:marLeft w:val="0"/>
      <w:marRight w:val="0"/>
      <w:marTop w:val="0"/>
      <w:marBottom w:val="0"/>
      <w:divBdr>
        <w:top w:val="none" w:sz="0" w:space="0" w:color="auto"/>
        <w:left w:val="none" w:sz="0" w:space="0" w:color="auto"/>
        <w:bottom w:val="none" w:sz="0" w:space="0" w:color="auto"/>
        <w:right w:val="none" w:sz="0" w:space="0" w:color="auto"/>
      </w:divBdr>
    </w:div>
    <w:div w:id="1827087263">
      <w:bodyDiv w:val="1"/>
      <w:marLeft w:val="0"/>
      <w:marRight w:val="0"/>
      <w:marTop w:val="0"/>
      <w:marBottom w:val="0"/>
      <w:divBdr>
        <w:top w:val="none" w:sz="0" w:space="0" w:color="auto"/>
        <w:left w:val="none" w:sz="0" w:space="0" w:color="auto"/>
        <w:bottom w:val="none" w:sz="0" w:space="0" w:color="auto"/>
        <w:right w:val="none" w:sz="0" w:space="0" w:color="auto"/>
      </w:divBdr>
    </w:div>
    <w:div w:id="1827235847">
      <w:bodyDiv w:val="1"/>
      <w:marLeft w:val="0"/>
      <w:marRight w:val="0"/>
      <w:marTop w:val="0"/>
      <w:marBottom w:val="0"/>
      <w:divBdr>
        <w:top w:val="none" w:sz="0" w:space="0" w:color="auto"/>
        <w:left w:val="none" w:sz="0" w:space="0" w:color="auto"/>
        <w:bottom w:val="none" w:sz="0" w:space="0" w:color="auto"/>
        <w:right w:val="none" w:sz="0" w:space="0" w:color="auto"/>
      </w:divBdr>
    </w:div>
    <w:div w:id="1827817895">
      <w:bodyDiv w:val="1"/>
      <w:marLeft w:val="0"/>
      <w:marRight w:val="0"/>
      <w:marTop w:val="0"/>
      <w:marBottom w:val="0"/>
      <w:divBdr>
        <w:top w:val="none" w:sz="0" w:space="0" w:color="auto"/>
        <w:left w:val="none" w:sz="0" w:space="0" w:color="auto"/>
        <w:bottom w:val="none" w:sz="0" w:space="0" w:color="auto"/>
        <w:right w:val="none" w:sz="0" w:space="0" w:color="auto"/>
      </w:divBdr>
    </w:div>
    <w:div w:id="1827892481">
      <w:bodyDiv w:val="1"/>
      <w:marLeft w:val="0"/>
      <w:marRight w:val="0"/>
      <w:marTop w:val="0"/>
      <w:marBottom w:val="0"/>
      <w:divBdr>
        <w:top w:val="none" w:sz="0" w:space="0" w:color="auto"/>
        <w:left w:val="none" w:sz="0" w:space="0" w:color="auto"/>
        <w:bottom w:val="none" w:sz="0" w:space="0" w:color="auto"/>
        <w:right w:val="none" w:sz="0" w:space="0" w:color="auto"/>
      </w:divBdr>
    </w:div>
    <w:div w:id="1828399214">
      <w:bodyDiv w:val="1"/>
      <w:marLeft w:val="0"/>
      <w:marRight w:val="0"/>
      <w:marTop w:val="0"/>
      <w:marBottom w:val="0"/>
      <w:divBdr>
        <w:top w:val="none" w:sz="0" w:space="0" w:color="auto"/>
        <w:left w:val="none" w:sz="0" w:space="0" w:color="auto"/>
        <w:bottom w:val="none" w:sz="0" w:space="0" w:color="auto"/>
        <w:right w:val="none" w:sz="0" w:space="0" w:color="auto"/>
      </w:divBdr>
    </w:div>
    <w:div w:id="1828399803">
      <w:bodyDiv w:val="1"/>
      <w:marLeft w:val="0"/>
      <w:marRight w:val="0"/>
      <w:marTop w:val="0"/>
      <w:marBottom w:val="0"/>
      <w:divBdr>
        <w:top w:val="none" w:sz="0" w:space="0" w:color="auto"/>
        <w:left w:val="none" w:sz="0" w:space="0" w:color="auto"/>
        <w:bottom w:val="none" w:sz="0" w:space="0" w:color="auto"/>
        <w:right w:val="none" w:sz="0" w:space="0" w:color="auto"/>
      </w:divBdr>
    </w:div>
    <w:div w:id="1828472349">
      <w:bodyDiv w:val="1"/>
      <w:marLeft w:val="0"/>
      <w:marRight w:val="0"/>
      <w:marTop w:val="0"/>
      <w:marBottom w:val="0"/>
      <w:divBdr>
        <w:top w:val="none" w:sz="0" w:space="0" w:color="auto"/>
        <w:left w:val="none" w:sz="0" w:space="0" w:color="auto"/>
        <w:bottom w:val="none" w:sz="0" w:space="0" w:color="auto"/>
        <w:right w:val="none" w:sz="0" w:space="0" w:color="auto"/>
      </w:divBdr>
    </w:div>
    <w:div w:id="1828476064">
      <w:bodyDiv w:val="1"/>
      <w:marLeft w:val="0"/>
      <w:marRight w:val="0"/>
      <w:marTop w:val="0"/>
      <w:marBottom w:val="0"/>
      <w:divBdr>
        <w:top w:val="none" w:sz="0" w:space="0" w:color="auto"/>
        <w:left w:val="none" w:sz="0" w:space="0" w:color="auto"/>
        <w:bottom w:val="none" w:sz="0" w:space="0" w:color="auto"/>
        <w:right w:val="none" w:sz="0" w:space="0" w:color="auto"/>
      </w:divBdr>
    </w:div>
    <w:div w:id="1828592146">
      <w:bodyDiv w:val="1"/>
      <w:marLeft w:val="0"/>
      <w:marRight w:val="0"/>
      <w:marTop w:val="0"/>
      <w:marBottom w:val="0"/>
      <w:divBdr>
        <w:top w:val="none" w:sz="0" w:space="0" w:color="auto"/>
        <w:left w:val="none" w:sz="0" w:space="0" w:color="auto"/>
        <w:bottom w:val="none" w:sz="0" w:space="0" w:color="auto"/>
        <w:right w:val="none" w:sz="0" w:space="0" w:color="auto"/>
      </w:divBdr>
    </w:div>
    <w:div w:id="1828668742">
      <w:bodyDiv w:val="1"/>
      <w:marLeft w:val="0"/>
      <w:marRight w:val="0"/>
      <w:marTop w:val="0"/>
      <w:marBottom w:val="0"/>
      <w:divBdr>
        <w:top w:val="none" w:sz="0" w:space="0" w:color="auto"/>
        <w:left w:val="none" w:sz="0" w:space="0" w:color="auto"/>
        <w:bottom w:val="none" w:sz="0" w:space="0" w:color="auto"/>
        <w:right w:val="none" w:sz="0" w:space="0" w:color="auto"/>
      </w:divBdr>
    </w:div>
    <w:div w:id="1828743480">
      <w:bodyDiv w:val="1"/>
      <w:marLeft w:val="0"/>
      <w:marRight w:val="0"/>
      <w:marTop w:val="0"/>
      <w:marBottom w:val="0"/>
      <w:divBdr>
        <w:top w:val="none" w:sz="0" w:space="0" w:color="auto"/>
        <w:left w:val="none" w:sz="0" w:space="0" w:color="auto"/>
        <w:bottom w:val="none" w:sz="0" w:space="0" w:color="auto"/>
        <w:right w:val="none" w:sz="0" w:space="0" w:color="auto"/>
      </w:divBdr>
    </w:div>
    <w:div w:id="1828981109">
      <w:bodyDiv w:val="1"/>
      <w:marLeft w:val="0"/>
      <w:marRight w:val="0"/>
      <w:marTop w:val="0"/>
      <w:marBottom w:val="0"/>
      <w:divBdr>
        <w:top w:val="none" w:sz="0" w:space="0" w:color="auto"/>
        <w:left w:val="none" w:sz="0" w:space="0" w:color="auto"/>
        <w:bottom w:val="none" w:sz="0" w:space="0" w:color="auto"/>
        <w:right w:val="none" w:sz="0" w:space="0" w:color="auto"/>
      </w:divBdr>
    </w:div>
    <w:div w:id="1829321851">
      <w:bodyDiv w:val="1"/>
      <w:marLeft w:val="0"/>
      <w:marRight w:val="0"/>
      <w:marTop w:val="0"/>
      <w:marBottom w:val="0"/>
      <w:divBdr>
        <w:top w:val="none" w:sz="0" w:space="0" w:color="auto"/>
        <w:left w:val="none" w:sz="0" w:space="0" w:color="auto"/>
        <w:bottom w:val="none" w:sz="0" w:space="0" w:color="auto"/>
        <w:right w:val="none" w:sz="0" w:space="0" w:color="auto"/>
      </w:divBdr>
    </w:div>
    <w:div w:id="1829396152">
      <w:bodyDiv w:val="1"/>
      <w:marLeft w:val="0"/>
      <w:marRight w:val="0"/>
      <w:marTop w:val="0"/>
      <w:marBottom w:val="0"/>
      <w:divBdr>
        <w:top w:val="none" w:sz="0" w:space="0" w:color="auto"/>
        <w:left w:val="none" w:sz="0" w:space="0" w:color="auto"/>
        <w:bottom w:val="none" w:sz="0" w:space="0" w:color="auto"/>
        <w:right w:val="none" w:sz="0" w:space="0" w:color="auto"/>
      </w:divBdr>
    </w:div>
    <w:div w:id="1829445151">
      <w:bodyDiv w:val="1"/>
      <w:marLeft w:val="0"/>
      <w:marRight w:val="0"/>
      <w:marTop w:val="0"/>
      <w:marBottom w:val="0"/>
      <w:divBdr>
        <w:top w:val="none" w:sz="0" w:space="0" w:color="auto"/>
        <w:left w:val="none" w:sz="0" w:space="0" w:color="auto"/>
        <w:bottom w:val="none" w:sz="0" w:space="0" w:color="auto"/>
        <w:right w:val="none" w:sz="0" w:space="0" w:color="auto"/>
      </w:divBdr>
    </w:div>
    <w:div w:id="1829514079">
      <w:bodyDiv w:val="1"/>
      <w:marLeft w:val="0"/>
      <w:marRight w:val="0"/>
      <w:marTop w:val="0"/>
      <w:marBottom w:val="0"/>
      <w:divBdr>
        <w:top w:val="none" w:sz="0" w:space="0" w:color="auto"/>
        <w:left w:val="none" w:sz="0" w:space="0" w:color="auto"/>
        <w:bottom w:val="none" w:sz="0" w:space="0" w:color="auto"/>
        <w:right w:val="none" w:sz="0" w:space="0" w:color="auto"/>
      </w:divBdr>
    </w:div>
    <w:div w:id="1829592535">
      <w:bodyDiv w:val="1"/>
      <w:marLeft w:val="0"/>
      <w:marRight w:val="0"/>
      <w:marTop w:val="0"/>
      <w:marBottom w:val="0"/>
      <w:divBdr>
        <w:top w:val="none" w:sz="0" w:space="0" w:color="auto"/>
        <w:left w:val="none" w:sz="0" w:space="0" w:color="auto"/>
        <w:bottom w:val="none" w:sz="0" w:space="0" w:color="auto"/>
        <w:right w:val="none" w:sz="0" w:space="0" w:color="auto"/>
      </w:divBdr>
    </w:div>
    <w:div w:id="1829663700">
      <w:bodyDiv w:val="1"/>
      <w:marLeft w:val="0"/>
      <w:marRight w:val="0"/>
      <w:marTop w:val="0"/>
      <w:marBottom w:val="0"/>
      <w:divBdr>
        <w:top w:val="none" w:sz="0" w:space="0" w:color="auto"/>
        <w:left w:val="none" w:sz="0" w:space="0" w:color="auto"/>
        <w:bottom w:val="none" w:sz="0" w:space="0" w:color="auto"/>
        <w:right w:val="none" w:sz="0" w:space="0" w:color="auto"/>
      </w:divBdr>
    </w:div>
    <w:div w:id="1829664344">
      <w:bodyDiv w:val="1"/>
      <w:marLeft w:val="0"/>
      <w:marRight w:val="0"/>
      <w:marTop w:val="0"/>
      <w:marBottom w:val="0"/>
      <w:divBdr>
        <w:top w:val="none" w:sz="0" w:space="0" w:color="auto"/>
        <w:left w:val="none" w:sz="0" w:space="0" w:color="auto"/>
        <w:bottom w:val="none" w:sz="0" w:space="0" w:color="auto"/>
        <w:right w:val="none" w:sz="0" w:space="0" w:color="auto"/>
      </w:divBdr>
    </w:div>
    <w:div w:id="1829713952">
      <w:bodyDiv w:val="1"/>
      <w:marLeft w:val="0"/>
      <w:marRight w:val="0"/>
      <w:marTop w:val="0"/>
      <w:marBottom w:val="0"/>
      <w:divBdr>
        <w:top w:val="none" w:sz="0" w:space="0" w:color="auto"/>
        <w:left w:val="none" w:sz="0" w:space="0" w:color="auto"/>
        <w:bottom w:val="none" w:sz="0" w:space="0" w:color="auto"/>
        <w:right w:val="none" w:sz="0" w:space="0" w:color="auto"/>
      </w:divBdr>
    </w:div>
    <w:div w:id="1829789462">
      <w:bodyDiv w:val="1"/>
      <w:marLeft w:val="0"/>
      <w:marRight w:val="0"/>
      <w:marTop w:val="0"/>
      <w:marBottom w:val="0"/>
      <w:divBdr>
        <w:top w:val="none" w:sz="0" w:space="0" w:color="auto"/>
        <w:left w:val="none" w:sz="0" w:space="0" w:color="auto"/>
        <w:bottom w:val="none" w:sz="0" w:space="0" w:color="auto"/>
        <w:right w:val="none" w:sz="0" w:space="0" w:color="auto"/>
      </w:divBdr>
    </w:div>
    <w:div w:id="1829982451">
      <w:bodyDiv w:val="1"/>
      <w:marLeft w:val="0"/>
      <w:marRight w:val="0"/>
      <w:marTop w:val="0"/>
      <w:marBottom w:val="0"/>
      <w:divBdr>
        <w:top w:val="none" w:sz="0" w:space="0" w:color="auto"/>
        <w:left w:val="none" w:sz="0" w:space="0" w:color="auto"/>
        <w:bottom w:val="none" w:sz="0" w:space="0" w:color="auto"/>
        <w:right w:val="none" w:sz="0" w:space="0" w:color="auto"/>
      </w:divBdr>
    </w:div>
    <w:div w:id="1830363181">
      <w:bodyDiv w:val="1"/>
      <w:marLeft w:val="0"/>
      <w:marRight w:val="0"/>
      <w:marTop w:val="0"/>
      <w:marBottom w:val="0"/>
      <w:divBdr>
        <w:top w:val="none" w:sz="0" w:space="0" w:color="auto"/>
        <w:left w:val="none" w:sz="0" w:space="0" w:color="auto"/>
        <w:bottom w:val="none" w:sz="0" w:space="0" w:color="auto"/>
        <w:right w:val="none" w:sz="0" w:space="0" w:color="auto"/>
      </w:divBdr>
    </w:div>
    <w:div w:id="1830439066">
      <w:bodyDiv w:val="1"/>
      <w:marLeft w:val="0"/>
      <w:marRight w:val="0"/>
      <w:marTop w:val="0"/>
      <w:marBottom w:val="0"/>
      <w:divBdr>
        <w:top w:val="none" w:sz="0" w:space="0" w:color="auto"/>
        <w:left w:val="none" w:sz="0" w:space="0" w:color="auto"/>
        <w:bottom w:val="none" w:sz="0" w:space="0" w:color="auto"/>
        <w:right w:val="none" w:sz="0" w:space="0" w:color="auto"/>
      </w:divBdr>
    </w:div>
    <w:div w:id="1830441050">
      <w:bodyDiv w:val="1"/>
      <w:marLeft w:val="0"/>
      <w:marRight w:val="0"/>
      <w:marTop w:val="0"/>
      <w:marBottom w:val="0"/>
      <w:divBdr>
        <w:top w:val="none" w:sz="0" w:space="0" w:color="auto"/>
        <w:left w:val="none" w:sz="0" w:space="0" w:color="auto"/>
        <w:bottom w:val="none" w:sz="0" w:space="0" w:color="auto"/>
        <w:right w:val="none" w:sz="0" w:space="0" w:color="auto"/>
      </w:divBdr>
    </w:div>
    <w:div w:id="1830634798">
      <w:bodyDiv w:val="1"/>
      <w:marLeft w:val="0"/>
      <w:marRight w:val="0"/>
      <w:marTop w:val="0"/>
      <w:marBottom w:val="0"/>
      <w:divBdr>
        <w:top w:val="none" w:sz="0" w:space="0" w:color="auto"/>
        <w:left w:val="none" w:sz="0" w:space="0" w:color="auto"/>
        <w:bottom w:val="none" w:sz="0" w:space="0" w:color="auto"/>
        <w:right w:val="none" w:sz="0" w:space="0" w:color="auto"/>
      </w:divBdr>
    </w:div>
    <w:div w:id="1830831512">
      <w:bodyDiv w:val="1"/>
      <w:marLeft w:val="0"/>
      <w:marRight w:val="0"/>
      <w:marTop w:val="0"/>
      <w:marBottom w:val="0"/>
      <w:divBdr>
        <w:top w:val="none" w:sz="0" w:space="0" w:color="auto"/>
        <w:left w:val="none" w:sz="0" w:space="0" w:color="auto"/>
        <w:bottom w:val="none" w:sz="0" w:space="0" w:color="auto"/>
        <w:right w:val="none" w:sz="0" w:space="0" w:color="auto"/>
      </w:divBdr>
    </w:div>
    <w:div w:id="1830897538">
      <w:bodyDiv w:val="1"/>
      <w:marLeft w:val="0"/>
      <w:marRight w:val="0"/>
      <w:marTop w:val="0"/>
      <w:marBottom w:val="0"/>
      <w:divBdr>
        <w:top w:val="none" w:sz="0" w:space="0" w:color="auto"/>
        <w:left w:val="none" w:sz="0" w:space="0" w:color="auto"/>
        <w:bottom w:val="none" w:sz="0" w:space="0" w:color="auto"/>
        <w:right w:val="none" w:sz="0" w:space="0" w:color="auto"/>
      </w:divBdr>
    </w:div>
    <w:div w:id="1830949040">
      <w:bodyDiv w:val="1"/>
      <w:marLeft w:val="0"/>
      <w:marRight w:val="0"/>
      <w:marTop w:val="0"/>
      <w:marBottom w:val="0"/>
      <w:divBdr>
        <w:top w:val="none" w:sz="0" w:space="0" w:color="auto"/>
        <w:left w:val="none" w:sz="0" w:space="0" w:color="auto"/>
        <w:bottom w:val="none" w:sz="0" w:space="0" w:color="auto"/>
        <w:right w:val="none" w:sz="0" w:space="0" w:color="auto"/>
      </w:divBdr>
    </w:div>
    <w:div w:id="1830972791">
      <w:bodyDiv w:val="1"/>
      <w:marLeft w:val="0"/>
      <w:marRight w:val="0"/>
      <w:marTop w:val="0"/>
      <w:marBottom w:val="0"/>
      <w:divBdr>
        <w:top w:val="none" w:sz="0" w:space="0" w:color="auto"/>
        <w:left w:val="none" w:sz="0" w:space="0" w:color="auto"/>
        <w:bottom w:val="none" w:sz="0" w:space="0" w:color="auto"/>
        <w:right w:val="none" w:sz="0" w:space="0" w:color="auto"/>
      </w:divBdr>
    </w:div>
    <w:div w:id="1831016753">
      <w:bodyDiv w:val="1"/>
      <w:marLeft w:val="0"/>
      <w:marRight w:val="0"/>
      <w:marTop w:val="0"/>
      <w:marBottom w:val="0"/>
      <w:divBdr>
        <w:top w:val="none" w:sz="0" w:space="0" w:color="auto"/>
        <w:left w:val="none" w:sz="0" w:space="0" w:color="auto"/>
        <w:bottom w:val="none" w:sz="0" w:space="0" w:color="auto"/>
        <w:right w:val="none" w:sz="0" w:space="0" w:color="auto"/>
      </w:divBdr>
    </w:div>
    <w:div w:id="1831024202">
      <w:bodyDiv w:val="1"/>
      <w:marLeft w:val="0"/>
      <w:marRight w:val="0"/>
      <w:marTop w:val="0"/>
      <w:marBottom w:val="0"/>
      <w:divBdr>
        <w:top w:val="none" w:sz="0" w:space="0" w:color="auto"/>
        <w:left w:val="none" w:sz="0" w:space="0" w:color="auto"/>
        <w:bottom w:val="none" w:sz="0" w:space="0" w:color="auto"/>
        <w:right w:val="none" w:sz="0" w:space="0" w:color="auto"/>
      </w:divBdr>
    </w:div>
    <w:div w:id="1831481301">
      <w:bodyDiv w:val="1"/>
      <w:marLeft w:val="0"/>
      <w:marRight w:val="0"/>
      <w:marTop w:val="0"/>
      <w:marBottom w:val="0"/>
      <w:divBdr>
        <w:top w:val="none" w:sz="0" w:space="0" w:color="auto"/>
        <w:left w:val="none" w:sz="0" w:space="0" w:color="auto"/>
        <w:bottom w:val="none" w:sz="0" w:space="0" w:color="auto"/>
        <w:right w:val="none" w:sz="0" w:space="0" w:color="auto"/>
      </w:divBdr>
    </w:div>
    <w:div w:id="1831553618">
      <w:bodyDiv w:val="1"/>
      <w:marLeft w:val="0"/>
      <w:marRight w:val="0"/>
      <w:marTop w:val="0"/>
      <w:marBottom w:val="0"/>
      <w:divBdr>
        <w:top w:val="none" w:sz="0" w:space="0" w:color="auto"/>
        <w:left w:val="none" w:sz="0" w:space="0" w:color="auto"/>
        <w:bottom w:val="none" w:sz="0" w:space="0" w:color="auto"/>
        <w:right w:val="none" w:sz="0" w:space="0" w:color="auto"/>
      </w:divBdr>
    </w:div>
    <w:div w:id="1831603203">
      <w:bodyDiv w:val="1"/>
      <w:marLeft w:val="0"/>
      <w:marRight w:val="0"/>
      <w:marTop w:val="0"/>
      <w:marBottom w:val="0"/>
      <w:divBdr>
        <w:top w:val="none" w:sz="0" w:space="0" w:color="auto"/>
        <w:left w:val="none" w:sz="0" w:space="0" w:color="auto"/>
        <w:bottom w:val="none" w:sz="0" w:space="0" w:color="auto"/>
        <w:right w:val="none" w:sz="0" w:space="0" w:color="auto"/>
      </w:divBdr>
    </w:div>
    <w:div w:id="1831673315">
      <w:bodyDiv w:val="1"/>
      <w:marLeft w:val="0"/>
      <w:marRight w:val="0"/>
      <w:marTop w:val="0"/>
      <w:marBottom w:val="0"/>
      <w:divBdr>
        <w:top w:val="none" w:sz="0" w:space="0" w:color="auto"/>
        <w:left w:val="none" w:sz="0" w:space="0" w:color="auto"/>
        <w:bottom w:val="none" w:sz="0" w:space="0" w:color="auto"/>
        <w:right w:val="none" w:sz="0" w:space="0" w:color="auto"/>
      </w:divBdr>
    </w:div>
    <w:div w:id="1832257681">
      <w:bodyDiv w:val="1"/>
      <w:marLeft w:val="0"/>
      <w:marRight w:val="0"/>
      <w:marTop w:val="0"/>
      <w:marBottom w:val="0"/>
      <w:divBdr>
        <w:top w:val="none" w:sz="0" w:space="0" w:color="auto"/>
        <w:left w:val="none" w:sz="0" w:space="0" w:color="auto"/>
        <w:bottom w:val="none" w:sz="0" w:space="0" w:color="auto"/>
        <w:right w:val="none" w:sz="0" w:space="0" w:color="auto"/>
      </w:divBdr>
    </w:div>
    <w:div w:id="1832452362">
      <w:bodyDiv w:val="1"/>
      <w:marLeft w:val="0"/>
      <w:marRight w:val="0"/>
      <w:marTop w:val="0"/>
      <w:marBottom w:val="0"/>
      <w:divBdr>
        <w:top w:val="none" w:sz="0" w:space="0" w:color="auto"/>
        <w:left w:val="none" w:sz="0" w:space="0" w:color="auto"/>
        <w:bottom w:val="none" w:sz="0" w:space="0" w:color="auto"/>
        <w:right w:val="none" w:sz="0" w:space="0" w:color="auto"/>
      </w:divBdr>
    </w:div>
    <w:div w:id="1832521800">
      <w:bodyDiv w:val="1"/>
      <w:marLeft w:val="0"/>
      <w:marRight w:val="0"/>
      <w:marTop w:val="0"/>
      <w:marBottom w:val="0"/>
      <w:divBdr>
        <w:top w:val="none" w:sz="0" w:space="0" w:color="auto"/>
        <w:left w:val="none" w:sz="0" w:space="0" w:color="auto"/>
        <w:bottom w:val="none" w:sz="0" w:space="0" w:color="auto"/>
        <w:right w:val="none" w:sz="0" w:space="0" w:color="auto"/>
      </w:divBdr>
    </w:div>
    <w:div w:id="1832596527">
      <w:bodyDiv w:val="1"/>
      <w:marLeft w:val="0"/>
      <w:marRight w:val="0"/>
      <w:marTop w:val="0"/>
      <w:marBottom w:val="0"/>
      <w:divBdr>
        <w:top w:val="none" w:sz="0" w:space="0" w:color="auto"/>
        <w:left w:val="none" w:sz="0" w:space="0" w:color="auto"/>
        <w:bottom w:val="none" w:sz="0" w:space="0" w:color="auto"/>
        <w:right w:val="none" w:sz="0" w:space="0" w:color="auto"/>
      </w:divBdr>
    </w:div>
    <w:div w:id="1832672684">
      <w:bodyDiv w:val="1"/>
      <w:marLeft w:val="0"/>
      <w:marRight w:val="0"/>
      <w:marTop w:val="0"/>
      <w:marBottom w:val="0"/>
      <w:divBdr>
        <w:top w:val="none" w:sz="0" w:space="0" w:color="auto"/>
        <w:left w:val="none" w:sz="0" w:space="0" w:color="auto"/>
        <w:bottom w:val="none" w:sz="0" w:space="0" w:color="auto"/>
        <w:right w:val="none" w:sz="0" w:space="0" w:color="auto"/>
      </w:divBdr>
    </w:div>
    <w:div w:id="1832985474">
      <w:bodyDiv w:val="1"/>
      <w:marLeft w:val="0"/>
      <w:marRight w:val="0"/>
      <w:marTop w:val="0"/>
      <w:marBottom w:val="0"/>
      <w:divBdr>
        <w:top w:val="none" w:sz="0" w:space="0" w:color="auto"/>
        <w:left w:val="none" w:sz="0" w:space="0" w:color="auto"/>
        <w:bottom w:val="none" w:sz="0" w:space="0" w:color="auto"/>
        <w:right w:val="none" w:sz="0" w:space="0" w:color="auto"/>
      </w:divBdr>
    </w:div>
    <w:div w:id="1833134661">
      <w:bodyDiv w:val="1"/>
      <w:marLeft w:val="0"/>
      <w:marRight w:val="0"/>
      <w:marTop w:val="0"/>
      <w:marBottom w:val="0"/>
      <w:divBdr>
        <w:top w:val="none" w:sz="0" w:space="0" w:color="auto"/>
        <w:left w:val="none" w:sz="0" w:space="0" w:color="auto"/>
        <w:bottom w:val="none" w:sz="0" w:space="0" w:color="auto"/>
        <w:right w:val="none" w:sz="0" w:space="0" w:color="auto"/>
      </w:divBdr>
    </w:div>
    <w:div w:id="1833371598">
      <w:bodyDiv w:val="1"/>
      <w:marLeft w:val="0"/>
      <w:marRight w:val="0"/>
      <w:marTop w:val="0"/>
      <w:marBottom w:val="0"/>
      <w:divBdr>
        <w:top w:val="none" w:sz="0" w:space="0" w:color="auto"/>
        <w:left w:val="none" w:sz="0" w:space="0" w:color="auto"/>
        <w:bottom w:val="none" w:sz="0" w:space="0" w:color="auto"/>
        <w:right w:val="none" w:sz="0" w:space="0" w:color="auto"/>
      </w:divBdr>
    </w:div>
    <w:div w:id="1833636454">
      <w:bodyDiv w:val="1"/>
      <w:marLeft w:val="0"/>
      <w:marRight w:val="0"/>
      <w:marTop w:val="0"/>
      <w:marBottom w:val="0"/>
      <w:divBdr>
        <w:top w:val="none" w:sz="0" w:space="0" w:color="auto"/>
        <w:left w:val="none" w:sz="0" w:space="0" w:color="auto"/>
        <w:bottom w:val="none" w:sz="0" w:space="0" w:color="auto"/>
        <w:right w:val="none" w:sz="0" w:space="0" w:color="auto"/>
      </w:divBdr>
    </w:div>
    <w:div w:id="1833643201">
      <w:bodyDiv w:val="1"/>
      <w:marLeft w:val="0"/>
      <w:marRight w:val="0"/>
      <w:marTop w:val="0"/>
      <w:marBottom w:val="0"/>
      <w:divBdr>
        <w:top w:val="none" w:sz="0" w:space="0" w:color="auto"/>
        <w:left w:val="none" w:sz="0" w:space="0" w:color="auto"/>
        <w:bottom w:val="none" w:sz="0" w:space="0" w:color="auto"/>
        <w:right w:val="none" w:sz="0" w:space="0" w:color="auto"/>
      </w:divBdr>
    </w:div>
    <w:div w:id="1834221635">
      <w:bodyDiv w:val="1"/>
      <w:marLeft w:val="0"/>
      <w:marRight w:val="0"/>
      <w:marTop w:val="0"/>
      <w:marBottom w:val="0"/>
      <w:divBdr>
        <w:top w:val="none" w:sz="0" w:space="0" w:color="auto"/>
        <w:left w:val="none" w:sz="0" w:space="0" w:color="auto"/>
        <w:bottom w:val="none" w:sz="0" w:space="0" w:color="auto"/>
        <w:right w:val="none" w:sz="0" w:space="0" w:color="auto"/>
      </w:divBdr>
    </w:div>
    <w:div w:id="1834294645">
      <w:bodyDiv w:val="1"/>
      <w:marLeft w:val="0"/>
      <w:marRight w:val="0"/>
      <w:marTop w:val="0"/>
      <w:marBottom w:val="0"/>
      <w:divBdr>
        <w:top w:val="none" w:sz="0" w:space="0" w:color="auto"/>
        <w:left w:val="none" w:sz="0" w:space="0" w:color="auto"/>
        <w:bottom w:val="none" w:sz="0" w:space="0" w:color="auto"/>
        <w:right w:val="none" w:sz="0" w:space="0" w:color="auto"/>
      </w:divBdr>
    </w:div>
    <w:div w:id="1834368939">
      <w:bodyDiv w:val="1"/>
      <w:marLeft w:val="0"/>
      <w:marRight w:val="0"/>
      <w:marTop w:val="0"/>
      <w:marBottom w:val="0"/>
      <w:divBdr>
        <w:top w:val="none" w:sz="0" w:space="0" w:color="auto"/>
        <w:left w:val="none" w:sz="0" w:space="0" w:color="auto"/>
        <w:bottom w:val="none" w:sz="0" w:space="0" w:color="auto"/>
        <w:right w:val="none" w:sz="0" w:space="0" w:color="auto"/>
      </w:divBdr>
    </w:div>
    <w:div w:id="1834442855">
      <w:bodyDiv w:val="1"/>
      <w:marLeft w:val="0"/>
      <w:marRight w:val="0"/>
      <w:marTop w:val="0"/>
      <w:marBottom w:val="0"/>
      <w:divBdr>
        <w:top w:val="none" w:sz="0" w:space="0" w:color="auto"/>
        <w:left w:val="none" w:sz="0" w:space="0" w:color="auto"/>
        <w:bottom w:val="none" w:sz="0" w:space="0" w:color="auto"/>
        <w:right w:val="none" w:sz="0" w:space="0" w:color="auto"/>
      </w:divBdr>
    </w:div>
    <w:div w:id="1834488854">
      <w:bodyDiv w:val="1"/>
      <w:marLeft w:val="0"/>
      <w:marRight w:val="0"/>
      <w:marTop w:val="0"/>
      <w:marBottom w:val="0"/>
      <w:divBdr>
        <w:top w:val="none" w:sz="0" w:space="0" w:color="auto"/>
        <w:left w:val="none" w:sz="0" w:space="0" w:color="auto"/>
        <w:bottom w:val="none" w:sz="0" w:space="0" w:color="auto"/>
        <w:right w:val="none" w:sz="0" w:space="0" w:color="auto"/>
      </w:divBdr>
    </w:div>
    <w:div w:id="1834490253">
      <w:bodyDiv w:val="1"/>
      <w:marLeft w:val="0"/>
      <w:marRight w:val="0"/>
      <w:marTop w:val="0"/>
      <w:marBottom w:val="0"/>
      <w:divBdr>
        <w:top w:val="none" w:sz="0" w:space="0" w:color="auto"/>
        <w:left w:val="none" w:sz="0" w:space="0" w:color="auto"/>
        <w:bottom w:val="none" w:sz="0" w:space="0" w:color="auto"/>
        <w:right w:val="none" w:sz="0" w:space="0" w:color="auto"/>
      </w:divBdr>
    </w:div>
    <w:div w:id="1834683833">
      <w:bodyDiv w:val="1"/>
      <w:marLeft w:val="0"/>
      <w:marRight w:val="0"/>
      <w:marTop w:val="0"/>
      <w:marBottom w:val="0"/>
      <w:divBdr>
        <w:top w:val="none" w:sz="0" w:space="0" w:color="auto"/>
        <w:left w:val="none" w:sz="0" w:space="0" w:color="auto"/>
        <w:bottom w:val="none" w:sz="0" w:space="0" w:color="auto"/>
        <w:right w:val="none" w:sz="0" w:space="0" w:color="auto"/>
      </w:divBdr>
    </w:div>
    <w:div w:id="1834756669">
      <w:bodyDiv w:val="1"/>
      <w:marLeft w:val="0"/>
      <w:marRight w:val="0"/>
      <w:marTop w:val="0"/>
      <w:marBottom w:val="0"/>
      <w:divBdr>
        <w:top w:val="none" w:sz="0" w:space="0" w:color="auto"/>
        <w:left w:val="none" w:sz="0" w:space="0" w:color="auto"/>
        <w:bottom w:val="none" w:sz="0" w:space="0" w:color="auto"/>
        <w:right w:val="none" w:sz="0" w:space="0" w:color="auto"/>
      </w:divBdr>
    </w:div>
    <w:div w:id="1835030553">
      <w:bodyDiv w:val="1"/>
      <w:marLeft w:val="0"/>
      <w:marRight w:val="0"/>
      <w:marTop w:val="0"/>
      <w:marBottom w:val="0"/>
      <w:divBdr>
        <w:top w:val="none" w:sz="0" w:space="0" w:color="auto"/>
        <w:left w:val="none" w:sz="0" w:space="0" w:color="auto"/>
        <w:bottom w:val="none" w:sz="0" w:space="0" w:color="auto"/>
        <w:right w:val="none" w:sz="0" w:space="0" w:color="auto"/>
      </w:divBdr>
    </w:div>
    <w:div w:id="1835148260">
      <w:bodyDiv w:val="1"/>
      <w:marLeft w:val="0"/>
      <w:marRight w:val="0"/>
      <w:marTop w:val="0"/>
      <w:marBottom w:val="0"/>
      <w:divBdr>
        <w:top w:val="none" w:sz="0" w:space="0" w:color="auto"/>
        <w:left w:val="none" w:sz="0" w:space="0" w:color="auto"/>
        <w:bottom w:val="none" w:sz="0" w:space="0" w:color="auto"/>
        <w:right w:val="none" w:sz="0" w:space="0" w:color="auto"/>
      </w:divBdr>
    </w:div>
    <w:div w:id="1835296142">
      <w:bodyDiv w:val="1"/>
      <w:marLeft w:val="0"/>
      <w:marRight w:val="0"/>
      <w:marTop w:val="0"/>
      <w:marBottom w:val="0"/>
      <w:divBdr>
        <w:top w:val="none" w:sz="0" w:space="0" w:color="auto"/>
        <w:left w:val="none" w:sz="0" w:space="0" w:color="auto"/>
        <w:bottom w:val="none" w:sz="0" w:space="0" w:color="auto"/>
        <w:right w:val="none" w:sz="0" w:space="0" w:color="auto"/>
      </w:divBdr>
    </w:div>
    <w:div w:id="1835412587">
      <w:bodyDiv w:val="1"/>
      <w:marLeft w:val="0"/>
      <w:marRight w:val="0"/>
      <w:marTop w:val="0"/>
      <w:marBottom w:val="0"/>
      <w:divBdr>
        <w:top w:val="none" w:sz="0" w:space="0" w:color="auto"/>
        <w:left w:val="none" w:sz="0" w:space="0" w:color="auto"/>
        <w:bottom w:val="none" w:sz="0" w:space="0" w:color="auto"/>
        <w:right w:val="none" w:sz="0" w:space="0" w:color="auto"/>
      </w:divBdr>
    </w:div>
    <w:div w:id="1835563555">
      <w:bodyDiv w:val="1"/>
      <w:marLeft w:val="0"/>
      <w:marRight w:val="0"/>
      <w:marTop w:val="0"/>
      <w:marBottom w:val="0"/>
      <w:divBdr>
        <w:top w:val="none" w:sz="0" w:space="0" w:color="auto"/>
        <w:left w:val="none" w:sz="0" w:space="0" w:color="auto"/>
        <w:bottom w:val="none" w:sz="0" w:space="0" w:color="auto"/>
        <w:right w:val="none" w:sz="0" w:space="0" w:color="auto"/>
      </w:divBdr>
    </w:div>
    <w:div w:id="1835683188">
      <w:bodyDiv w:val="1"/>
      <w:marLeft w:val="0"/>
      <w:marRight w:val="0"/>
      <w:marTop w:val="0"/>
      <w:marBottom w:val="0"/>
      <w:divBdr>
        <w:top w:val="none" w:sz="0" w:space="0" w:color="auto"/>
        <w:left w:val="none" w:sz="0" w:space="0" w:color="auto"/>
        <w:bottom w:val="none" w:sz="0" w:space="0" w:color="auto"/>
        <w:right w:val="none" w:sz="0" w:space="0" w:color="auto"/>
      </w:divBdr>
    </w:div>
    <w:div w:id="1835879275">
      <w:bodyDiv w:val="1"/>
      <w:marLeft w:val="0"/>
      <w:marRight w:val="0"/>
      <w:marTop w:val="0"/>
      <w:marBottom w:val="0"/>
      <w:divBdr>
        <w:top w:val="none" w:sz="0" w:space="0" w:color="auto"/>
        <w:left w:val="none" w:sz="0" w:space="0" w:color="auto"/>
        <w:bottom w:val="none" w:sz="0" w:space="0" w:color="auto"/>
        <w:right w:val="none" w:sz="0" w:space="0" w:color="auto"/>
      </w:divBdr>
    </w:div>
    <w:div w:id="1836067699">
      <w:bodyDiv w:val="1"/>
      <w:marLeft w:val="0"/>
      <w:marRight w:val="0"/>
      <w:marTop w:val="0"/>
      <w:marBottom w:val="0"/>
      <w:divBdr>
        <w:top w:val="none" w:sz="0" w:space="0" w:color="auto"/>
        <w:left w:val="none" w:sz="0" w:space="0" w:color="auto"/>
        <w:bottom w:val="none" w:sz="0" w:space="0" w:color="auto"/>
        <w:right w:val="none" w:sz="0" w:space="0" w:color="auto"/>
      </w:divBdr>
    </w:div>
    <w:div w:id="1836333154">
      <w:bodyDiv w:val="1"/>
      <w:marLeft w:val="0"/>
      <w:marRight w:val="0"/>
      <w:marTop w:val="0"/>
      <w:marBottom w:val="0"/>
      <w:divBdr>
        <w:top w:val="none" w:sz="0" w:space="0" w:color="auto"/>
        <w:left w:val="none" w:sz="0" w:space="0" w:color="auto"/>
        <w:bottom w:val="none" w:sz="0" w:space="0" w:color="auto"/>
        <w:right w:val="none" w:sz="0" w:space="0" w:color="auto"/>
      </w:divBdr>
    </w:div>
    <w:div w:id="1836451692">
      <w:bodyDiv w:val="1"/>
      <w:marLeft w:val="0"/>
      <w:marRight w:val="0"/>
      <w:marTop w:val="0"/>
      <w:marBottom w:val="0"/>
      <w:divBdr>
        <w:top w:val="none" w:sz="0" w:space="0" w:color="auto"/>
        <w:left w:val="none" w:sz="0" w:space="0" w:color="auto"/>
        <w:bottom w:val="none" w:sz="0" w:space="0" w:color="auto"/>
        <w:right w:val="none" w:sz="0" w:space="0" w:color="auto"/>
      </w:divBdr>
    </w:div>
    <w:div w:id="1836608381">
      <w:bodyDiv w:val="1"/>
      <w:marLeft w:val="0"/>
      <w:marRight w:val="0"/>
      <w:marTop w:val="0"/>
      <w:marBottom w:val="0"/>
      <w:divBdr>
        <w:top w:val="none" w:sz="0" w:space="0" w:color="auto"/>
        <w:left w:val="none" w:sz="0" w:space="0" w:color="auto"/>
        <w:bottom w:val="none" w:sz="0" w:space="0" w:color="auto"/>
        <w:right w:val="none" w:sz="0" w:space="0" w:color="auto"/>
      </w:divBdr>
    </w:div>
    <w:div w:id="1836801492">
      <w:bodyDiv w:val="1"/>
      <w:marLeft w:val="0"/>
      <w:marRight w:val="0"/>
      <w:marTop w:val="0"/>
      <w:marBottom w:val="0"/>
      <w:divBdr>
        <w:top w:val="none" w:sz="0" w:space="0" w:color="auto"/>
        <w:left w:val="none" w:sz="0" w:space="0" w:color="auto"/>
        <w:bottom w:val="none" w:sz="0" w:space="0" w:color="auto"/>
        <w:right w:val="none" w:sz="0" w:space="0" w:color="auto"/>
      </w:divBdr>
    </w:div>
    <w:div w:id="1836917530">
      <w:bodyDiv w:val="1"/>
      <w:marLeft w:val="0"/>
      <w:marRight w:val="0"/>
      <w:marTop w:val="0"/>
      <w:marBottom w:val="0"/>
      <w:divBdr>
        <w:top w:val="none" w:sz="0" w:space="0" w:color="auto"/>
        <w:left w:val="none" w:sz="0" w:space="0" w:color="auto"/>
        <w:bottom w:val="none" w:sz="0" w:space="0" w:color="auto"/>
        <w:right w:val="none" w:sz="0" w:space="0" w:color="auto"/>
      </w:divBdr>
    </w:div>
    <w:div w:id="1837065187">
      <w:bodyDiv w:val="1"/>
      <w:marLeft w:val="0"/>
      <w:marRight w:val="0"/>
      <w:marTop w:val="0"/>
      <w:marBottom w:val="0"/>
      <w:divBdr>
        <w:top w:val="none" w:sz="0" w:space="0" w:color="auto"/>
        <w:left w:val="none" w:sz="0" w:space="0" w:color="auto"/>
        <w:bottom w:val="none" w:sz="0" w:space="0" w:color="auto"/>
        <w:right w:val="none" w:sz="0" w:space="0" w:color="auto"/>
      </w:divBdr>
    </w:div>
    <w:div w:id="1837065466">
      <w:bodyDiv w:val="1"/>
      <w:marLeft w:val="0"/>
      <w:marRight w:val="0"/>
      <w:marTop w:val="0"/>
      <w:marBottom w:val="0"/>
      <w:divBdr>
        <w:top w:val="none" w:sz="0" w:space="0" w:color="auto"/>
        <w:left w:val="none" w:sz="0" w:space="0" w:color="auto"/>
        <w:bottom w:val="none" w:sz="0" w:space="0" w:color="auto"/>
        <w:right w:val="none" w:sz="0" w:space="0" w:color="auto"/>
      </w:divBdr>
    </w:div>
    <w:div w:id="1837112799">
      <w:bodyDiv w:val="1"/>
      <w:marLeft w:val="0"/>
      <w:marRight w:val="0"/>
      <w:marTop w:val="0"/>
      <w:marBottom w:val="0"/>
      <w:divBdr>
        <w:top w:val="none" w:sz="0" w:space="0" w:color="auto"/>
        <w:left w:val="none" w:sz="0" w:space="0" w:color="auto"/>
        <w:bottom w:val="none" w:sz="0" w:space="0" w:color="auto"/>
        <w:right w:val="none" w:sz="0" w:space="0" w:color="auto"/>
      </w:divBdr>
    </w:div>
    <w:div w:id="1837183534">
      <w:bodyDiv w:val="1"/>
      <w:marLeft w:val="0"/>
      <w:marRight w:val="0"/>
      <w:marTop w:val="0"/>
      <w:marBottom w:val="0"/>
      <w:divBdr>
        <w:top w:val="none" w:sz="0" w:space="0" w:color="auto"/>
        <w:left w:val="none" w:sz="0" w:space="0" w:color="auto"/>
        <w:bottom w:val="none" w:sz="0" w:space="0" w:color="auto"/>
        <w:right w:val="none" w:sz="0" w:space="0" w:color="auto"/>
      </w:divBdr>
    </w:div>
    <w:div w:id="1837302952">
      <w:bodyDiv w:val="1"/>
      <w:marLeft w:val="0"/>
      <w:marRight w:val="0"/>
      <w:marTop w:val="0"/>
      <w:marBottom w:val="0"/>
      <w:divBdr>
        <w:top w:val="none" w:sz="0" w:space="0" w:color="auto"/>
        <w:left w:val="none" w:sz="0" w:space="0" w:color="auto"/>
        <w:bottom w:val="none" w:sz="0" w:space="0" w:color="auto"/>
        <w:right w:val="none" w:sz="0" w:space="0" w:color="auto"/>
      </w:divBdr>
    </w:div>
    <w:div w:id="1837458217">
      <w:bodyDiv w:val="1"/>
      <w:marLeft w:val="0"/>
      <w:marRight w:val="0"/>
      <w:marTop w:val="0"/>
      <w:marBottom w:val="0"/>
      <w:divBdr>
        <w:top w:val="none" w:sz="0" w:space="0" w:color="auto"/>
        <w:left w:val="none" w:sz="0" w:space="0" w:color="auto"/>
        <w:bottom w:val="none" w:sz="0" w:space="0" w:color="auto"/>
        <w:right w:val="none" w:sz="0" w:space="0" w:color="auto"/>
      </w:divBdr>
    </w:div>
    <w:div w:id="1837569186">
      <w:bodyDiv w:val="1"/>
      <w:marLeft w:val="0"/>
      <w:marRight w:val="0"/>
      <w:marTop w:val="0"/>
      <w:marBottom w:val="0"/>
      <w:divBdr>
        <w:top w:val="none" w:sz="0" w:space="0" w:color="auto"/>
        <w:left w:val="none" w:sz="0" w:space="0" w:color="auto"/>
        <w:bottom w:val="none" w:sz="0" w:space="0" w:color="auto"/>
        <w:right w:val="none" w:sz="0" w:space="0" w:color="auto"/>
      </w:divBdr>
    </w:div>
    <w:div w:id="1837571394">
      <w:bodyDiv w:val="1"/>
      <w:marLeft w:val="0"/>
      <w:marRight w:val="0"/>
      <w:marTop w:val="0"/>
      <w:marBottom w:val="0"/>
      <w:divBdr>
        <w:top w:val="none" w:sz="0" w:space="0" w:color="auto"/>
        <w:left w:val="none" w:sz="0" w:space="0" w:color="auto"/>
        <w:bottom w:val="none" w:sz="0" w:space="0" w:color="auto"/>
        <w:right w:val="none" w:sz="0" w:space="0" w:color="auto"/>
      </w:divBdr>
    </w:div>
    <w:div w:id="1837577377">
      <w:bodyDiv w:val="1"/>
      <w:marLeft w:val="0"/>
      <w:marRight w:val="0"/>
      <w:marTop w:val="0"/>
      <w:marBottom w:val="0"/>
      <w:divBdr>
        <w:top w:val="none" w:sz="0" w:space="0" w:color="auto"/>
        <w:left w:val="none" w:sz="0" w:space="0" w:color="auto"/>
        <w:bottom w:val="none" w:sz="0" w:space="0" w:color="auto"/>
        <w:right w:val="none" w:sz="0" w:space="0" w:color="auto"/>
      </w:divBdr>
    </w:div>
    <w:div w:id="1838033624">
      <w:bodyDiv w:val="1"/>
      <w:marLeft w:val="0"/>
      <w:marRight w:val="0"/>
      <w:marTop w:val="0"/>
      <w:marBottom w:val="0"/>
      <w:divBdr>
        <w:top w:val="none" w:sz="0" w:space="0" w:color="auto"/>
        <w:left w:val="none" w:sz="0" w:space="0" w:color="auto"/>
        <w:bottom w:val="none" w:sz="0" w:space="0" w:color="auto"/>
        <w:right w:val="none" w:sz="0" w:space="0" w:color="auto"/>
      </w:divBdr>
    </w:div>
    <w:div w:id="1838419178">
      <w:bodyDiv w:val="1"/>
      <w:marLeft w:val="0"/>
      <w:marRight w:val="0"/>
      <w:marTop w:val="0"/>
      <w:marBottom w:val="0"/>
      <w:divBdr>
        <w:top w:val="none" w:sz="0" w:space="0" w:color="auto"/>
        <w:left w:val="none" w:sz="0" w:space="0" w:color="auto"/>
        <w:bottom w:val="none" w:sz="0" w:space="0" w:color="auto"/>
        <w:right w:val="none" w:sz="0" w:space="0" w:color="auto"/>
      </w:divBdr>
    </w:div>
    <w:div w:id="1838691543">
      <w:bodyDiv w:val="1"/>
      <w:marLeft w:val="0"/>
      <w:marRight w:val="0"/>
      <w:marTop w:val="0"/>
      <w:marBottom w:val="0"/>
      <w:divBdr>
        <w:top w:val="none" w:sz="0" w:space="0" w:color="auto"/>
        <w:left w:val="none" w:sz="0" w:space="0" w:color="auto"/>
        <w:bottom w:val="none" w:sz="0" w:space="0" w:color="auto"/>
        <w:right w:val="none" w:sz="0" w:space="0" w:color="auto"/>
      </w:divBdr>
    </w:div>
    <w:div w:id="1838840157">
      <w:bodyDiv w:val="1"/>
      <w:marLeft w:val="0"/>
      <w:marRight w:val="0"/>
      <w:marTop w:val="0"/>
      <w:marBottom w:val="0"/>
      <w:divBdr>
        <w:top w:val="none" w:sz="0" w:space="0" w:color="auto"/>
        <w:left w:val="none" w:sz="0" w:space="0" w:color="auto"/>
        <w:bottom w:val="none" w:sz="0" w:space="0" w:color="auto"/>
        <w:right w:val="none" w:sz="0" w:space="0" w:color="auto"/>
      </w:divBdr>
    </w:div>
    <w:div w:id="1838841672">
      <w:bodyDiv w:val="1"/>
      <w:marLeft w:val="0"/>
      <w:marRight w:val="0"/>
      <w:marTop w:val="0"/>
      <w:marBottom w:val="0"/>
      <w:divBdr>
        <w:top w:val="none" w:sz="0" w:space="0" w:color="auto"/>
        <w:left w:val="none" w:sz="0" w:space="0" w:color="auto"/>
        <w:bottom w:val="none" w:sz="0" w:space="0" w:color="auto"/>
        <w:right w:val="none" w:sz="0" w:space="0" w:color="auto"/>
      </w:divBdr>
    </w:div>
    <w:div w:id="1839080802">
      <w:bodyDiv w:val="1"/>
      <w:marLeft w:val="0"/>
      <w:marRight w:val="0"/>
      <w:marTop w:val="0"/>
      <w:marBottom w:val="0"/>
      <w:divBdr>
        <w:top w:val="none" w:sz="0" w:space="0" w:color="auto"/>
        <w:left w:val="none" w:sz="0" w:space="0" w:color="auto"/>
        <w:bottom w:val="none" w:sz="0" w:space="0" w:color="auto"/>
        <w:right w:val="none" w:sz="0" w:space="0" w:color="auto"/>
      </w:divBdr>
    </w:div>
    <w:div w:id="1839271502">
      <w:bodyDiv w:val="1"/>
      <w:marLeft w:val="0"/>
      <w:marRight w:val="0"/>
      <w:marTop w:val="0"/>
      <w:marBottom w:val="0"/>
      <w:divBdr>
        <w:top w:val="none" w:sz="0" w:space="0" w:color="auto"/>
        <w:left w:val="none" w:sz="0" w:space="0" w:color="auto"/>
        <w:bottom w:val="none" w:sz="0" w:space="0" w:color="auto"/>
        <w:right w:val="none" w:sz="0" w:space="0" w:color="auto"/>
      </w:divBdr>
    </w:div>
    <w:div w:id="1839611577">
      <w:bodyDiv w:val="1"/>
      <w:marLeft w:val="0"/>
      <w:marRight w:val="0"/>
      <w:marTop w:val="0"/>
      <w:marBottom w:val="0"/>
      <w:divBdr>
        <w:top w:val="none" w:sz="0" w:space="0" w:color="auto"/>
        <w:left w:val="none" w:sz="0" w:space="0" w:color="auto"/>
        <w:bottom w:val="none" w:sz="0" w:space="0" w:color="auto"/>
        <w:right w:val="none" w:sz="0" w:space="0" w:color="auto"/>
      </w:divBdr>
    </w:div>
    <w:div w:id="1839693322">
      <w:bodyDiv w:val="1"/>
      <w:marLeft w:val="0"/>
      <w:marRight w:val="0"/>
      <w:marTop w:val="0"/>
      <w:marBottom w:val="0"/>
      <w:divBdr>
        <w:top w:val="none" w:sz="0" w:space="0" w:color="auto"/>
        <w:left w:val="none" w:sz="0" w:space="0" w:color="auto"/>
        <w:bottom w:val="none" w:sz="0" w:space="0" w:color="auto"/>
        <w:right w:val="none" w:sz="0" w:space="0" w:color="auto"/>
      </w:divBdr>
    </w:div>
    <w:div w:id="1839730052">
      <w:bodyDiv w:val="1"/>
      <w:marLeft w:val="0"/>
      <w:marRight w:val="0"/>
      <w:marTop w:val="0"/>
      <w:marBottom w:val="0"/>
      <w:divBdr>
        <w:top w:val="none" w:sz="0" w:space="0" w:color="auto"/>
        <w:left w:val="none" w:sz="0" w:space="0" w:color="auto"/>
        <w:bottom w:val="none" w:sz="0" w:space="0" w:color="auto"/>
        <w:right w:val="none" w:sz="0" w:space="0" w:color="auto"/>
      </w:divBdr>
    </w:div>
    <w:div w:id="1839887521">
      <w:bodyDiv w:val="1"/>
      <w:marLeft w:val="0"/>
      <w:marRight w:val="0"/>
      <w:marTop w:val="0"/>
      <w:marBottom w:val="0"/>
      <w:divBdr>
        <w:top w:val="none" w:sz="0" w:space="0" w:color="auto"/>
        <w:left w:val="none" w:sz="0" w:space="0" w:color="auto"/>
        <w:bottom w:val="none" w:sz="0" w:space="0" w:color="auto"/>
        <w:right w:val="none" w:sz="0" w:space="0" w:color="auto"/>
      </w:divBdr>
    </w:div>
    <w:div w:id="1840146920">
      <w:bodyDiv w:val="1"/>
      <w:marLeft w:val="0"/>
      <w:marRight w:val="0"/>
      <w:marTop w:val="0"/>
      <w:marBottom w:val="0"/>
      <w:divBdr>
        <w:top w:val="none" w:sz="0" w:space="0" w:color="auto"/>
        <w:left w:val="none" w:sz="0" w:space="0" w:color="auto"/>
        <w:bottom w:val="none" w:sz="0" w:space="0" w:color="auto"/>
        <w:right w:val="none" w:sz="0" w:space="0" w:color="auto"/>
      </w:divBdr>
    </w:div>
    <w:div w:id="1840197805">
      <w:bodyDiv w:val="1"/>
      <w:marLeft w:val="0"/>
      <w:marRight w:val="0"/>
      <w:marTop w:val="0"/>
      <w:marBottom w:val="0"/>
      <w:divBdr>
        <w:top w:val="none" w:sz="0" w:space="0" w:color="auto"/>
        <w:left w:val="none" w:sz="0" w:space="0" w:color="auto"/>
        <w:bottom w:val="none" w:sz="0" w:space="0" w:color="auto"/>
        <w:right w:val="none" w:sz="0" w:space="0" w:color="auto"/>
      </w:divBdr>
    </w:div>
    <w:div w:id="1840267002">
      <w:bodyDiv w:val="1"/>
      <w:marLeft w:val="0"/>
      <w:marRight w:val="0"/>
      <w:marTop w:val="0"/>
      <w:marBottom w:val="0"/>
      <w:divBdr>
        <w:top w:val="none" w:sz="0" w:space="0" w:color="auto"/>
        <w:left w:val="none" w:sz="0" w:space="0" w:color="auto"/>
        <w:bottom w:val="none" w:sz="0" w:space="0" w:color="auto"/>
        <w:right w:val="none" w:sz="0" w:space="0" w:color="auto"/>
      </w:divBdr>
    </w:div>
    <w:div w:id="1840268903">
      <w:bodyDiv w:val="1"/>
      <w:marLeft w:val="0"/>
      <w:marRight w:val="0"/>
      <w:marTop w:val="0"/>
      <w:marBottom w:val="0"/>
      <w:divBdr>
        <w:top w:val="none" w:sz="0" w:space="0" w:color="auto"/>
        <w:left w:val="none" w:sz="0" w:space="0" w:color="auto"/>
        <w:bottom w:val="none" w:sz="0" w:space="0" w:color="auto"/>
        <w:right w:val="none" w:sz="0" w:space="0" w:color="auto"/>
      </w:divBdr>
    </w:div>
    <w:div w:id="1840271513">
      <w:bodyDiv w:val="1"/>
      <w:marLeft w:val="0"/>
      <w:marRight w:val="0"/>
      <w:marTop w:val="0"/>
      <w:marBottom w:val="0"/>
      <w:divBdr>
        <w:top w:val="none" w:sz="0" w:space="0" w:color="auto"/>
        <w:left w:val="none" w:sz="0" w:space="0" w:color="auto"/>
        <w:bottom w:val="none" w:sz="0" w:space="0" w:color="auto"/>
        <w:right w:val="none" w:sz="0" w:space="0" w:color="auto"/>
      </w:divBdr>
    </w:div>
    <w:div w:id="1840388175">
      <w:bodyDiv w:val="1"/>
      <w:marLeft w:val="0"/>
      <w:marRight w:val="0"/>
      <w:marTop w:val="0"/>
      <w:marBottom w:val="0"/>
      <w:divBdr>
        <w:top w:val="none" w:sz="0" w:space="0" w:color="auto"/>
        <w:left w:val="none" w:sz="0" w:space="0" w:color="auto"/>
        <w:bottom w:val="none" w:sz="0" w:space="0" w:color="auto"/>
        <w:right w:val="none" w:sz="0" w:space="0" w:color="auto"/>
      </w:divBdr>
    </w:div>
    <w:div w:id="1840460162">
      <w:bodyDiv w:val="1"/>
      <w:marLeft w:val="0"/>
      <w:marRight w:val="0"/>
      <w:marTop w:val="0"/>
      <w:marBottom w:val="0"/>
      <w:divBdr>
        <w:top w:val="none" w:sz="0" w:space="0" w:color="auto"/>
        <w:left w:val="none" w:sz="0" w:space="0" w:color="auto"/>
        <w:bottom w:val="none" w:sz="0" w:space="0" w:color="auto"/>
        <w:right w:val="none" w:sz="0" w:space="0" w:color="auto"/>
      </w:divBdr>
    </w:div>
    <w:div w:id="1840467444">
      <w:bodyDiv w:val="1"/>
      <w:marLeft w:val="0"/>
      <w:marRight w:val="0"/>
      <w:marTop w:val="0"/>
      <w:marBottom w:val="0"/>
      <w:divBdr>
        <w:top w:val="none" w:sz="0" w:space="0" w:color="auto"/>
        <w:left w:val="none" w:sz="0" w:space="0" w:color="auto"/>
        <w:bottom w:val="none" w:sz="0" w:space="0" w:color="auto"/>
        <w:right w:val="none" w:sz="0" w:space="0" w:color="auto"/>
      </w:divBdr>
    </w:div>
    <w:div w:id="1840536284">
      <w:bodyDiv w:val="1"/>
      <w:marLeft w:val="0"/>
      <w:marRight w:val="0"/>
      <w:marTop w:val="0"/>
      <w:marBottom w:val="0"/>
      <w:divBdr>
        <w:top w:val="none" w:sz="0" w:space="0" w:color="auto"/>
        <w:left w:val="none" w:sz="0" w:space="0" w:color="auto"/>
        <w:bottom w:val="none" w:sz="0" w:space="0" w:color="auto"/>
        <w:right w:val="none" w:sz="0" w:space="0" w:color="auto"/>
      </w:divBdr>
    </w:div>
    <w:div w:id="1840850824">
      <w:bodyDiv w:val="1"/>
      <w:marLeft w:val="0"/>
      <w:marRight w:val="0"/>
      <w:marTop w:val="0"/>
      <w:marBottom w:val="0"/>
      <w:divBdr>
        <w:top w:val="none" w:sz="0" w:space="0" w:color="auto"/>
        <w:left w:val="none" w:sz="0" w:space="0" w:color="auto"/>
        <w:bottom w:val="none" w:sz="0" w:space="0" w:color="auto"/>
        <w:right w:val="none" w:sz="0" w:space="0" w:color="auto"/>
      </w:divBdr>
    </w:div>
    <w:div w:id="1840926985">
      <w:bodyDiv w:val="1"/>
      <w:marLeft w:val="0"/>
      <w:marRight w:val="0"/>
      <w:marTop w:val="0"/>
      <w:marBottom w:val="0"/>
      <w:divBdr>
        <w:top w:val="none" w:sz="0" w:space="0" w:color="auto"/>
        <w:left w:val="none" w:sz="0" w:space="0" w:color="auto"/>
        <w:bottom w:val="none" w:sz="0" w:space="0" w:color="auto"/>
        <w:right w:val="none" w:sz="0" w:space="0" w:color="auto"/>
      </w:divBdr>
    </w:div>
    <w:div w:id="1840998350">
      <w:bodyDiv w:val="1"/>
      <w:marLeft w:val="0"/>
      <w:marRight w:val="0"/>
      <w:marTop w:val="0"/>
      <w:marBottom w:val="0"/>
      <w:divBdr>
        <w:top w:val="none" w:sz="0" w:space="0" w:color="auto"/>
        <w:left w:val="none" w:sz="0" w:space="0" w:color="auto"/>
        <w:bottom w:val="none" w:sz="0" w:space="0" w:color="auto"/>
        <w:right w:val="none" w:sz="0" w:space="0" w:color="auto"/>
      </w:divBdr>
    </w:div>
    <w:div w:id="1841113388">
      <w:bodyDiv w:val="1"/>
      <w:marLeft w:val="0"/>
      <w:marRight w:val="0"/>
      <w:marTop w:val="0"/>
      <w:marBottom w:val="0"/>
      <w:divBdr>
        <w:top w:val="none" w:sz="0" w:space="0" w:color="auto"/>
        <w:left w:val="none" w:sz="0" w:space="0" w:color="auto"/>
        <w:bottom w:val="none" w:sz="0" w:space="0" w:color="auto"/>
        <w:right w:val="none" w:sz="0" w:space="0" w:color="auto"/>
      </w:divBdr>
    </w:div>
    <w:div w:id="1841656214">
      <w:bodyDiv w:val="1"/>
      <w:marLeft w:val="0"/>
      <w:marRight w:val="0"/>
      <w:marTop w:val="0"/>
      <w:marBottom w:val="0"/>
      <w:divBdr>
        <w:top w:val="none" w:sz="0" w:space="0" w:color="auto"/>
        <w:left w:val="none" w:sz="0" w:space="0" w:color="auto"/>
        <w:bottom w:val="none" w:sz="0" w:space="0" w:color="auto"/>
        <w:right w:val="none" w:sz="0" w:space="0" w:color="auto"/>
      </w:divBdr>
    </w:div>
    <w:div w:id="1841657436">
      <w:bodyDiv w:val="1"/>
      <w:marLeft w:val="0"/>
      <w:marRight w:val="0"/>
      <w:marTop w:val="0"/>
      <w:marBottom w:val="0"/>
      <w:divBdr>
        <w:top w:val="none" w:sz="0" w:space="0" w:color="auto"/>
        <w:left w:val="none" w:sz="0" w:space="0" w:color="auto"/>
        <w:bottom w:val="none" w:sz="0" w:space="0" w:color="auto"/>
        <w:right w:val="none" w:sz="0" w:space="0" w:color="auto"/>
      </w:divBdr>
    </w:div>
    <w:div w:id="1841657681">
      <w:bodyDiv w:val="1"/>
      <w:marLeft w:val="0"/>
      <w:marRight w:val="0"/>
      <w:marTop w:val="0"/>
      <w:marBottom w:val="0"/>
      <w:divBdr>
        <w:top w:val="none" w:sz="0" w:space="0" w:color="auto"/>
        <w:left w:val="none" w:sz="0" w:space="0" w:color="auto"/>
        <w:bottom w:val="none" w:sz="0" w:space="0" w:color="auto"/>
        <w:right w:val="none" w:sz="0" w:space="0" w:color="auto"/>
      </w:divBdr>
    </w:div>
    <w:div w:id="1841694428">
      <w:bodyDiv w:val="1"/>
      <w:marLeft w:val="0"/>
      <w:marRight w:val="0"/>
      <w:marTop w:val="0"/>
      <w:marBottom w:val="0"/>
      <w:divBdr>
        <w:top w:val="none" w:sz="0" w:space="0" w:color="auto"/>
        <w:left w:val="none" w:sz="0" w:space="0" w:color="auto"/>
        <w:bottom w:val="none" w:sz="0" w:space="0" w:color="auto"/>
        <w:right w:val="none" w:sz="0" w:space="0" w:color="auto"/>
      </w:divBdr>
    </w:div>
    <w:div w:id="1841700105">
      <w:bodyDiv w:val="1"/>
      <w:marLeft w:val="0"/>
      <w:marRight w:val="0"/>
      <w:marTop w:val="0"/>
      <w:marBottom w:val="0"/>
      <w:divBdr>
        <w:top w:val="none" w:sz="0" w:space="0" w:color="auto"/>
        <w:left w:val="none" w:sz="0" w:space="0" w:color="auto"/>
        <w:bottom w:val="none" w:sz="0" w:space="0" w:color="auto"/>
        <w:right w:val="none" w:sz="0" w:space="0" w:color="auto"/>
      </w:divBdr>
    </w:div>
    <w:div w:id="1841777067">
      <w:bodyDiv w:val="1"/>
      <w:marLeft w:val="0"/>
      <w:marRight w:val="0"/>
      <w:marTop w:val="0"/>
      <w:marBottom w:val="0"/>
      <w:divBdr>
        <w:top w:val="none" w:sz="0" w:space="0" w:color="auto"/>
        <w:left w:val="none" w:sz="0" w:space="0" w:color="auto"/>
        <w:bottom w:val="none" w:sz="0" w:space="0" w:color="auto"/>
        <w:right w:val="none" w:sz="0" w:space="0" w:color="auto"/>
      </w:divBdr>
    </w:div>
    <w:div w:id="1842046439">
      <w:bodyDiv w:val="1"/>
      <w:marLeft w:val="0"/>
      <w:marRight w:val="0"/>
      <w:marTop w:val="0"/>
      <w:marBottom w:val="0"/>
      <w:divBdr>
        <w:top w:val="none" w:sz="0" w:space="0" w:color="auto"/>
        <w:left w:val="none" w:sz="0" w:space="0" w:color="auto"/>
        <w:bottom w:val="none" w:sz="0" w:space="0" w:color="auto"/>
        <w:right w:val="none" w:sz="0" w:space="0" w:color="auto"/>
      </w:divBdr>
    </w:div>
    <w:div w:id="1842427642">
      <w:bodyDiv w:val="1"/>
      <w:marLeft w:val="0"/>
      <w:marRight w:val="0"/>
      <w:marTop w:val="0"/>
      <w:marBottom w:val="0"/>
      <w:divBdr>
        <w:top w:val="none" w:sz="0" w:space="0" w:color="auto"/>
        <w:left w:val="none" w:sz="0" w:space="0" w:color="auto"/>
        <w:bottom w:val="none" w:sz="0" w:space="0" w:color="auto"/>
        <w:right w:val="none" w:sz="0" w:space="0" w:color="auto"/>
      </w:divBdr>
    </w:div>
    <w:div w:id="1842502087">
      <w:bodyDiv w:val="1"/>
      <w:marLeft w:val="0"/>
      <w:marRight w:val="0"/>
      <w:marTop w:val="0"/>
      <w:marBottom w:val="0"/>
      <w:divBdr>
        <w:top w:val="none" w:sz="0" w:space="0" w:color="auto"/>
        <w:left w:val="none" w:sz="0" w:space="0" w:color="auto"/>
        <w:bottom w:val="none" w:sz="0" w:space="0" w:color="auto"/>
        <w:right w:val="none" w:sz="0" w:space="0" w:color="auto"/>
      </w:divBdr>
    </w:div>
    <w:div w:id="1843230437">
      <w:bodyDiv w:val="1"/>
      <w:marLeft w:val="0"/>
      <w:marRight w:val="0"/>
      <w:marTop w:val="0"/>
      <w:marBottom w:val="0"/>
      <w:divBdr>
        <w:top w:val="none" w:sz="0" w:space="0" w:color="auto"/>
        <w:left w:val="none" w:sz="0" w:space="0" w:color="auto"/>
        <w:bottom w:val="none" w:sz="0" w:space="0" w:color="auto"/>
        <w:right w:val="none" w:sz="0" w:space="0" w:color="auto"/>
      </w:divBdr>
    </w:div>
    <w:div w:id="1843279638">
      <w:bodyDiv w:val="1"/>
      <w:marLeft w:val="0"/>
      <w:marRight w:val="0"/>
      <w:marTop w:val="0"/>
      <w:marBottom w:val="0"/>
      <w:divBdr>
        <w:top w:val="none" w:sz="0" w:space="0" w:color="auto"/>
        <w:left w:val="none" w:sz="0" w:space="0" w:color="auto"/>
        <w:bottom w:val="none" w:sz="0" w:space="0" w:color="auto"/>
        <w:right w:val="none" w:sz="0" w:space="0" w:color="auto"/>
      </w:divBdr>
    </w:div>
    <w:div w:id="1843398645">
      <w:bodyDiv w:val="1"/>
      <w:marLeft w:val="0"/>
      <w:marRight w:val="0"/>
      <w:marTop w:val="0"/>
      <w:marBottom w:val="0"/>
      <w:divBdr>
        <w:top w:val="none" w:sz="0" w:space="0" w:color="auto"/>
        <w:left w:val="none" w:sz="0" w:space="0" w:color="auto"/>
        <w:bottom w:val="none" w:sz="0" w:space="0" w:color="auto"/>
        <w:right w:val="none" w:sz="0" w:space="0" w:color="auto"/>
      </w:divBdr>
    </w:div>
    <w:div w:id="1843620427">
      <w:bodyDiv w:val="1"/>
      <w:marLeft w:val="0"/>
      <w:marRight w:val="0"/>
      <w:marTop w:val="0"/>
      <w:marBottom w:val="0"/>
      <w:divBdr>
        <w:top w:val="none" w:sz="0" w:space="0" w:color="auto"/>
        <w:left w:val="none" w:sz="0" w:space="0" w:color="auto"/>
        <w:bottom w:val="none" w:sz="0" w:space="0" w:color="auto"/>
        <w:right w:val="none" w:sz="0" w:space="0" w:color="auto"/>
      </w:divBdr>
    </w:div>
    <w:div w:id="1843620600">
      <w:bodyDiv w:val="1"/>
      <w:marLeft w:val="0"/>
      <w:marRight w:val="0"/>
      <w:marTop w:val="0"/>
      <w:marBottom w:val="0"/>
      <w:divBdr>
        <w:top w:val="none" w:sz="0" w:space="0" w:color="auto"/>
        <w:left w:val="none" w:sz="0" w:space="0" w:color="auto"/>
        <w:bottom w:val="none" w:sz="0" w:space="0" w:color="auto"/>
        <w:right w:val="none" w:sz="0" w:space="0" w:color="auto"/>
      </w:divBdr>
    </w:div>
    <w:div w:id="1844053353">
      <w:bodyDiv w:val="1"/>
      <w:marLeft w:val="0"/>
      <w:marRight w:val="0"/>
      <w:marTop w:val="0"/>
      <w:marBottom w:val="0"/>
      <w:divBdr>
        <w:top w:val="none" w:sz="0" w:space="0" w:color="auto"/>
        <w:left w:val="none" w:sz="0" w:space="0" w:color="auto"/>
        <w:bottom w:val="none" w:sz="0" w:space="0" w:color="auto"/>
        <w:right w:val="none" w:sz="0" w:space="0" w:color="auto"/>
      </w:divBdr>
    </w:div>
    <w:div w:id="1844080787">
      <w:bodyDiv w:val="1"/>
      <w:marLeft w:val="0"/>
      <w:marRight w:val="0"/>
      <w:marTop w:val="0"/>
      <w:marBottom w:val="0"/>
      <w:divBdr>
        <w:top w:val="none" w:sz="0" w:space="0" w:color="auto"/>
        <w:left w:val="none" w:sz="0" w:space="0" w:color="auto"/>
        <w:bottom w:val="none" w:sz="0" w:space="0" w:color="auto"/>
        <w:right w:val="none" w:sz="0" w:space="0" w:color="auto"/>
      </w:divBdr>
    </w:div>
    <w:div w:id="1844470990">
      <w:bodyDiv w:val="1"/>
      <w:marLeft w:val="0"/>
      <w:marRight w:val="0"/>
      <w:marTop w:val="0"/>
      <w:marBottom w:val="0"/>
      <w:divBdr>
        <w:top w:val="none" w:sz="0" w:space="0" w:color="auto"/>
        <w:left w:val="none" w:sz="0" w:space="0" w:color="auto"/>
        <w:bottom w:val="none" w:sz="0" w:space="0" w:color="auto"/>
        <w:right w:val="none" w:sz="0" w:space="0" w:color="auto"/>
      </w:divBdr>
    </w:div>
    <w:div w:id="1844738140">
      <w:bodyDiv w:val="1"/>
      <w:marLeft w:val="0"/>
      <w:marRight w:val="0"/>
      <w:marTop w:val="0"/>
      <w:marBottom w:val="0"/>
      <w:divBdr>
        <w:top w:val="none" w:sz="0" w:space="0" w:color="auto"/>
        <w:left w:val="none" w:sz="0" w:space="0" w:color="auto"/>
        <w:bottom w:val="none" w:sz="0" w:space="0" w:color="auto"/>
        <w:right w:val="none" w:sz="0" w:space="0" w:color="auto"/>
      </w:divBdr>
    </w:div>
    <w:div w:id="1844933654">
      <w:bodyDiv w:val="1"/>
      <w:marLeft w:val="0"/>
      <w:marRight w:val="0"/>
      <w:marTop w:val="0"/>
      <w:marBottom w:val="0"/>
      <w:divBdr>
        <w:top w:val="none" w:sz="0" w:space="0" w:color="auto"/>
        <w:left w:val="none" w:sz="0" w:space="0" w:color="auto"/>
        <w:bottom w:val="none" w:sz="0" w:space="0" w:color="auto"/>
        <w:right w:val="none" w:sz="0" w:space="0" w:color="auto"/>
      </w:divBdr>
    </w:div>
    <w:div w:id="1845120443">
      <w:bodyDiv w:val="1"/>
      <w:marLeft w:val="0"/>
      <w:marRight w:val="0"/>
      <w:marTop w:val="0"/>
      <w:marBottom w:val="0"/>
      <w:divBdr>
        <w:top w:val="none" w:sz="0" w:space="0" w:color="auto"/>
        <w:left w:val="none" w:sz="0" w:space="0" w:color="auto"/>
        <w:bottom w:val="none" w:sz="0" w:space="0" w:color="auto"/>
        <w:right w:val="none" w:sz="0" w:space="0" w:color="auto"/>
      </w:divBdr>
    </w:div>
    <w:div w:id="1845166375">
      <w:bodyDiv w:val="1"/>
      <w:marLeft w:val="0"/>
      <w:marRight w:val="0"/>
      <w:marTop w:val="0"/>
      <w:marBottom w:val="0"/>
      <w:divBdr>
        <w:top w:val="none" w:sz="0" w:space="0" w:color="auto"/>
        <w:left w:val="none" w:sz="0" w:space="0" w:color="auto"/>
        <w:bottom w:val="none" w:sz="0" w:space="0" w:color="auto"/>
        <w:right w:val="none" w:sz="0" w:space="0" w:color="auto"/>
      </w:divBdr>
    </w:div>
    <w:div w:id="1845198430">
      <w:bodyDiv w:val="1"/>
      <w:marLeft w:val="0"/>
      <w:marRight w:val="0"/>
      <w:marTop w:val="0"/>
      <w:marBottom w:val="0"/>
      <w:divBdr>
        <w:top w:val="none" w:sz="0" w:space="0" w:color="auto"/>
        <w:left w:val="none" w:sz="0" w:space="0" w:color="auto"/>
        <w:bottom w:val="none" w:sz="0" w:space="0" w:color="auto"/>
        <w:right w:val="none" w:sz="0" w:space="0" w:color="auto"/>
      </w:divBdr>
    </w:div>
    <w:div w:id="1845316070">
      <w:bodyDiv w:val="1"/>
      <w:marLeft w:val="0"/>
      <w:marRight w:val="0"/>
      <w:marTop w:val="0"/>
      <w:marBottom w:val="0"/>
      <w:divBdr>
        <w:top w:val="none" w:sz="0" w:space="0" w:color="auto"/>
        <w:left w:val="none" w:sz="0" w:space="0" w:color="auto"/>
        <w:bottom w:val="none" w:sz="0" w:space="0" w:color="auto"/>
        <w:right w:val="none" w:sz="0" w:space="0" w:color="auto"/>
      </w:divBdr>
    </w:div>
    <w:div w:id="1845320372">
      <w:bodyDiv w:val="1"/>
      <w:marLeft w:val="0"/>
      <w:marRight w:val="0"/>
      <w:marTop w:val="0"/>
      <w:marBottom w:val="0"/>
      <w:divBdr>
        <w:top w:val="none" w:sz="0" w:space="0" w:color="auto"/>
        <w:left w:val="none" w:sz="0" w:space="0" w:color="auto"/>
        <w:bottom w:val="none" w:sz="0" w:space="0" w:color="auto"/>
        <w:right w:val="none" w:sz="0" w:space="0" w:color="auto"/>
      </w:divBdr>
    </w:div>
    <w:div w:id="1845321096">
      <w:bodyDiv w:val="1"/>
      <w:marLeft w:val="0"/>
      <w:marRight w:val="0"/>
      <w:marTop w:val="0"/>
      <w:marBottom w:val="0"/>
      <w:divBdr>
        <w:top w:val="none" w:sz="0" w:space="0" w:color="auto"/>
        <w:left w:val="none" w:sz="0" w:space="0" w:color="auto"/>
        <w:bottom w:val="none" w:sz="0" w:space="0" w:color="auto"/>
        <w:right w:val="none" w:sz="0" w:space="0" w:color="auto"/>
      </w:divBdr>
    </w:div>
    <w:div w:id="1845587683">
      <w:bodyDiv w:val="1"/>
      <w:marLeft w:val="0"/>
      <w:marRight w:val="0"/>
      <w:marTop w:val="0"/>
      <w:marBottom w:val="0"/>
      <w:divBdr>
        <w:top w:val="none" w:sz="0" w:space="0" w:color="auto"/>
        <w:left w:val="none" w:sz="0" w:space="0" w:color="auto"/>
        <w:bottom w:val="none" w:sz="0" w:space="0" w:color="auto"/>
        <w:right w:val="none" w:sz="0" w:space="0" w:color="auto"/>
      </w:divBdr>
    </w:div>
    <w:div w:id="1845976480">
      <w:bodyDiv w:val="1"/>
      <w:marLeft w:val="0"/>
      <w:marRight w:val="0"/>
      <w:marTop w:val="0"/>
      <w:marBottom w:val="0"/>
      <w:divBdr>
        <w:top w:val="none" w:sz="0" w:space="0" w:color="auto"/>
        <w:left w:val="none" w:sz="0" w:space="0" w:color="auto"/>
        <w:bottom w:val="none" w:sz="0" w:space="0" w:color="auto"/>
        <w:right w:val="none" w:sz="0" w:space="0" w:color="auto"/>
      </w:divBdr>
    </w:div>
    <w:div w:id="1846364440">
      <w:bodyDiv w:val="1"/>
      <w:marLeft w:val="0"/>
      <w:marRight w:val="0"/>
      <w:marTop w:val="0"/>
      <w:marBottom w:val="0"/>
      <w:divBdr>
        <w:top w:val="none" w:sz="0" w:space="0" w:color="auto"/>
        <w:left w:val="none" w:sz="0" w:space="0" w:color="auto"/>
        <w:bottom w:val="none" w:sz="0" w:space="0" w:color="auto"/>
        <w:right w:val="none" w:sz="0" w:space="0" w:color="auto"/>
      </w:divBdr>
    </w:div>
    <w:div w:id="1846552615">
      <w:bodyDiv w:val="1"/>
      <w:marLeft w:val="0"/>
      <w:marRight w:val="0"/>
      <w:marTop w:val="0"/>
      <w:marBottom w:val="0"/>
      <w:divBdr>
        <w:top w:val="none" w:sz="0" w:space="0" w:color="auto"/>
        <w:left w:val="none" w:sz="0" w:space="0" w:color="auto"/>
        <w:bottom w:val="none" w:sz="0" w:space="0" w:color="auto"/>
        <w:right w:val="none" w:sz="0" w:space="0" w:color="auto"/>
      </w:divBdr>
    </w:div>
    <w:div w:id="1846629632">
      <w:bodyDiv w:val="1"/>
      <w:marLeft w:val="0"/>
      <w:marRight w:val="0"/>
      <w:marTop w:val="0"/>
      <w:marBottom w:val="0"/>
      <w:divBdr>
        <w:top w:val="none" w:sz="0" w:space="0" w:color="auto"/>
        <w:left w:val="none" w:sz="0" w:space="0" w:color="auto"/>
        <w:bottom w:val="none" w:sz="0" w:space="0" w:color="auto"/>
        <w:right w:val="none" w:sz="0" w:space="0" w:color="auto"/>
      </w:divBdr>
    </w:div>
    <w:div w:id="1846896074">
      <w:bodyDiv w:val="1"/>
      <w:marLeft w:val="0"/>
      <w:marRight w:val="0"/>
      <w:marTop w:val="0"/>
      <w:marBottom w:val="0"/>
      <w:divBdr>
        <w:top w:val="none" w:sz="0" w:space="0" w:color="auto"/>
        <w:left w:val="none" w:sz="0" w:space="0" w:color="auto"/>
        <w:bottom w:val="none" w:sz="0" w:space="0" w:color="auto"/>
        <w:right w:val="none" w:sz="0" w:space="0" w:color="auto"/>
      </w:divBdr>
    </w:div>
    <w:div w:id="1847011860">
      <w:bodyDiv w:val="1"/>
      <w:marLeft w:val="0"/>
      <w:marRight w:val="0"/>
      <w:marTop w:val="0"/>
      <w:marBottom w:val="0"/>
      <w:divBdr>
        <w:top w:val="none" w:sz="0" w:space="0" w:color="auto"/>
        <w:left w:val="none" w:sz="0" w:space="0" w:color="auto"/>
        <w:bottom w:val="none" w:sz="0" w:space="0" w:color="auto"/>
        <w:right w:val="none" w:sz="0" w:space="0" w:color="auto"/>
      </w:divBdr>
    </w:div>
    <w:div w:id="1847095119">
      <w:bodyDiv w:val="1"/>
      <w:marLeft w:val="0"/>
      <w:marRight w:val="0"/>
      <w:marTop w:val="0"/>
      <w:marBottom w:val="0"/>
      <w:divBdr>
        <w:top w:val="none" w:sz="0" w:space="0" w:color="auto"/>
        <w:left w:val="none" w:sz="0" w:space="0" w:color="auto"/>
        <w:bottom w:val="none" w:sz="0" w:space="0" w:color="auto"/>
        <w:right w:val="none" w:sz="0" w:space="0" w:color="auto"/>
      </w:divBdr>
    </w:div>
    <w:div w:id="1847136776">
      <w:bodyDiv w:val="1"/>
      <w:marLeft w:val="0"/>
      <w:marRight w:val="0"/>
      <w:marTop w:val="0"/>
      <w:marBottom w:val="0"/>
      <w:divBdr>
        <w:top w:val="none" w:sz="0" w:space="0" w:color="auto"/>
        <w:left w:val="none" w:sz="0" w:space="0" w:color="auto"/>
        <w:bottom w:val="none" w:sz="0" w:space="0" w:color="auto"/>
        <w:right w:val="none" w:sz="0" w:space="0" w:color="auto"/>
      </w:divBdr>
    </w:div>
    <w:div w:id="1847280733">
      <w:bodyDiv w:val="1"/>
      <w:marLeft w:val="0"/>
      <w:marRight w:val="0"/>
      <w:marTop w:val="0"/>
      <w:marBottom w:val="0"/>
      <w:divBdr>
        <w:top w:val="none" w:sz="0" w:space="0" w:color="auto"/>
        <w:left w:val="none" w:sz="0" w:space="0" w:color="auto"/>
        <w:bottom w:val="none" w:sz="0" w:space="0" w:color="auto"/>
        <w:right w:val="none" w:sz="0" w:space="0" w:color="auto"/>
      </w:divBdr>
    </w:div>
    <w:div w:id="1847399125">
      <w:bodyDiv w:val="1"/>
      <w:marLeft w:val="0"/>
      <w:marRight w:val="0"/>
      <w:marTop w:val="0"/>
      <w:marBottom w:val="0"/>
      <w:divBdr>
        <w:top w:val="none" w:sz="0" w:space="0" w:color="auto"/>
        <w:left w:val="none" w:sz="0" w:space="0" w:color="auto"/>
        <w:bottom w:val="none" w:sz="0" w:space="0" w:color="auto"/>
        <w:right w:val="none" w:sz="0" w:space="0" w:color="auto"/>
      </w:divBdr>
    </w:div>
    <w:div w:id="1847473305">
      <w:bodyDiv w:val="1"/>
      <w:marLeft w:val="0"/>
      <w:marRight w:val="0"/>
      <w:marTop w:val="0"/>
      <w:marBottom w:val="0"/>
      <w:divBdr>
        <w:top w:val="none" w:sz="0" w:space="0" w:color="auto"/>
        <w:left w:val="none" w:sz="0" w:space="0" w:color="auto"/>
        <w:bottom w:val="none" w:sz="0" w:space="0" w:color="auto"/>
        <w:right w:val="none" w:sz="0" w:space="0" w:color="auto"/>
      </w:divBdr>
    </w:div>
    <w:div w:id="1847480680">
      <w:bodyDiv w:val="1"/>
      <w:marLeft w:val="0"/>
      <w:marRight w:val="0"/>
      <w:marTop w:val="0"/>
      <w:marBottom w:val="0"/>
      <w:divBdr>
        <w:top w:val="none" w:sz="0" w:space="0" w:color="auto"/>
        <w:left w:val="none" w:sz="0" w:space="0" w:color="auto"/>
        <w:bottom w:val="none" w:sz="0" w:space="0" w:color="auto"/>
        <w:right w:val="none" w:sz="0" w:space="0" w:color="auto"/>
      </w:divBdr>
    </w:div>
    <w:div w:id="1847864662">
      <w:bodyDiv w:val="1"/>
      <w:marLeft w:val="0"/>
      <w:marRight w:val="0"/>
      <w:marTop w:val="0"/>
      <w:marBottom w:val="0"/>
      <w:divBdr>
        <w:top w:val="none" w:sz="0" w:space="0" w:color="auto"/>
        <w:left w:val="none" w:sz="0" w:space="0" w:color="auto"/>
        <w:bottom w:val="none" w:sz="0" w:space="0" w:color="auto"/>
        <w:right w:val="none" w:sz="0" w:space="0" w:color="auto"/>
      </w:divBdr>
    </w:div>
    <w:div w:id="1847865110">
      <w:bodyDiv w:val="1"/>
      <w:marLeft w:val="0"/>
      <w:marRight w:val="0"/>
      <w:marTop w:val="0"/>
      <w:marBottom w:val="0"/>
      <w:divBdr>
        <w:top w:val="none" w:sz="0" w:space="0" w:color="auto"/>
        <w:left w:val="none" w:sz="0" w:space="0" w:color="auto"/>
        <w:bottom w:val="none" w:sz="0" w:space="0" w:color="auto"/>
        <w:right w:val="none" w:sz="0" w:space="0" w:color="auto"/>
      </w:divBdr>
    </w:div>
    <w:div w:id="1847943205">
      <w:bodyDiv w:val="1"/>
      <w:marLeft w:val="0"/>
      <w:marRight w:val="0"/>
      <w:marTop w:val="0"/>
      <w:marBottom w:val="0"/>
      <w:divBdr>
        <w:top w:val="none" w:sz="0" w:space="0" w:color="auto"/>
        <w:left w:val="none" w:sz="0" w:space="0" w:color="auto"/>
        <w:bottom w:val="none" w:sz="0" w:space="0" w:color="auto"/>
        <w:right w:val="none" w:sz="0" w:space="0" w:color="auto"/>
      </w:divBdr>
    </w:div>
    <w:div w:id="1848134044">
      <w:bodyDiv w:val="1"/>
      <w:marLeft w:val="0"/>
      <w:marRight w:val="0"/>
      <w:marTop w:val="0"/>
      <w:marBottom w:val="0"/>
      <w:divBdr>
        <w:top w:val="none" w:sz="0" w:space="0" w:color="auto"/>
        <w:left w:val="none" w:sz="0" w:space="0" w:color="auto"/>
        <w:bottom w:val="none" w:sz="0" w:space="0" w:color="auto"/>
        <w:right w:val="none" w:sz="0" w:space="0" w:color="auto"/>
      </w:divBdr>
    </w:div>
    <w:div w:id="1848203203">
      <w:bodyDiv w:val="1"/>
      <w:marLeft w:val="0"/>
      <w:marRight w:val="0"/>
      <w:marTop w:val="0"/>
      <w:marBottom w:val="0"/>
      <w:divBdr>
        <w:top w:val="none" w:sz="0" w:space="0" w:color="auto"/>
        <w:left w:val="none" w:sz="0" w:space="0" w:color="auto"/>
        <w:bottom w:val="none" w:sz="0" w:space="0" w:color="auto"/>
        <w:right w:val="none" w:sz="0" w:space="0" w:color="auto"/>
      </w:divBdr>
    </w:div>
    <w:div w:id="1848210680">
      <w:bodyDiv w:val="1"/>
      <w:marLeft w:val="0"/>
      <w:marRight w:val="0"/>
      <w:marTop w:val="0"/>
      <w:marBottom w:val="0"/>
      <w:divBdr>
        <w:top w:val="none" w:sz="0" w:space="0" w:color="auto"/>
        <w:left w:val="none" w:sz="0" w:space="0" w:color="auto"/>
        <w:bottom w:val="none" w:sz="0" w:space="0" w:color="auto"/>
        <w:right w:val="none" w:sz="0" w:space="0" w:color="auto"/>
      </w:divBdr>
    </w:div>
    <w:div w:id="1848327948">
      <w:bodyDiv w:val="1"/>
      <w:marLeft w:val="0"/>
      <w:marRight w:val="0"/>
      <w:marTop w:val="0"/>
      <w:marBottom w:val="0"/>
      <w:divBdr>
        <w:top w:val="none" w:sz="0" w:space="0" w:color="auto"/>
        <w:left w:val="none" w:sz="0" w:space="0" w:color="auto"/>
        <w:bottom w:val="none" w:sz="0" w:space="0" w:color="auto"/>
        <w:right w:val="none" w:sz="0" w:space="0" w:color="auto"/>
      </w:divBdr>
    </w:div>
    <w:div w:id="1848402851">
      <w:bodyDiv w:val="1"/>
      <w:marLeft w:val="0"/>
      <w:marRight w:val="0"/>
      <w:marTop w:val="0"/>
      <w:marBottom w:val="0"/>
      <w:divBdr>
        <w:top w:val="none" w:sz="0" w:space="0" w:color="auto"/>
        <w:left w:val="none" w:sz="0" w:space="0" w:color="auto"/>
        <w:bottom w:val="none" w:sz="0" w:space="0" w:color="auto"/>
        <w:right w:val="none" w:sz="0" w:space="0" w:color="auto"/>
      </w:divBdr>
    </w:div>
    <w:div w:id="1848709095">
      <w:bodyDiv w:val="1"/>
      <w:marLeft w:val="0"/>
      <w:marRight w:val="0"/>
      <w:marTop w:val="0"/>
      <w:marBottom w:val="0"/>
      <w:divBdr>
        <w:top w:val="none" w:sz="0" w:space="0" w:color="auto"/>
        <w:left w:val="none" w:sz="0" w:space="0" w:color="auto"/>
        <w:bottom w:val="none" w:sz="0" w:space="0" w:color="auto"/>
        <w:right w:val="none" w:sz="0" w:space="0" w:color="auto"/>
      </w:divBdr>
    </w:div>
    <w:div w:id="1848788343">
      <w:bodyDiv w:val="1"/>
      <w:marLeft w:val="0"/>
      <w:marRight w:val="0"/>
      <w:marTop w:val="0"/>
      <w:marBottom w:val="0"/>
      <w:divBdr>
        <w:top w:val="none" w:sz="0" w:space="0" w:color="auto"/>
        <w:left w:val="none" w:sz="0" w:space="0" w:color="auto"/>
        <w:bottom w:val="none" w:sz="0" w:space="0" w:color="auto"/>
        <w:right w:val="none" w:sz="0" w:space="0" w:color="auto"/>
      </w:divBdr>
    </w:div>
    <w:div w:id="1848985684">
      <w:bodyDiv w:val="1"/>
      <w:marLeft w:val="0"/>
      <w:marRight w:val="0"/>
      <w:marTop w:val="0"/>
      <w:marBottom w:val="0"/>
      <w:divBdr>
        <w:top w:val="none" w:sz="0" w:space="0" w:color="auto"/>
        <w:left w:val="none" w:sz="0" w:space="0" w:color="auto"/>
        <w:bottom w:val="none" w:sz="0" w:space="0" w:color="auto"/>
        <w:right w:val="none" w:sz="0" w:space="0" w:color="auto"/>
      </w:divBdr>
    </w:div>
    <w:div w:id="1849102002">
      <w:bodyDiv w:val="1"/>
      <w:marLeft w:val="0"/>
      <w:marRight w:val="0"/>
      <w:marTop w:val="0"/>
      <w:marBottom w:val="0"/>
      <w:divBdr>
        <w:top w:val="none" w:sz="0" w:space="0" w:color="auto"/>
        <w:left w:val="none" w:sz="0" w:space="0" w:color="auto"/>
        <w:bottom w:val="none" w:sz="0" w:space="0" w:color="auto"/>
        <w:right w:val="none" w:sz="0" w:space="0" w:color="auto"/>
      </w:divBdr>
    </w:div>
    <w:div w:id="1849172080">
      <w:bodyDiv w:val="1"/>
      <w:marLeft w:val="0"/>
      <w:marRight w:val="0"/>
      <w:marTop w:val="0"/>
      <w:marBottom w:val="0"/>
      <w:divBdr>
        <w:top w:val="none" w:sz="0" w:space="0" w:color="auto"/>
        <w:left w:val="none" w:sz="0" w:space="0" w:color="auto"/>
        <w:bottom w:val="none" w:sz="0" w:space="0" w:color="auto"/>
        <w:right w:val="none" w:sz="0" w:space="0" w:color="auto"/>
      </w:divBdr>
    </w:div>
    <w:div w:id="1850025330">
      <w:bodyDiv w:val="1"/>
      <w:marLeft w:val="0"/>
      <w:marRight w:val="0"/>
      <w:marTop w:val="0"/>
      <w:marBottom w:val="0"/>
      <w:divBdr>
        <w:top w:val="none" w:sz="0" w:space="0" w:color="auto"/>
        <w:left w:val="none" w:sz="0" w:space="0" w:color="auto"/>
        <w:bottom w:val="none" w:sz="0" w:space="0" w:color="auto"/>
        <w:right w:val="none" w:sz="0" w:space="0" w:color="auto"/>
      </w:divBdr>
    </w:div>
    <w:div w:id="1850094322">
      <w:bodyDiv w:val="1"/>
      <w:marLeft w:val="0"/>
      <w:marRight w:val="0"/>
      <w:marTop w:val="0"/>
      <w:marBottom w:val="0"/>
      <w:divBdr>
        <w:top w:val="none" w:sz="0" w:space="0" w:color="auto"/>
        <w:left w:val="none" w:sz="0" w:space="0" w:color="auto"/>
        <w:bottom w:val="none" w:sz="0" w:space="0" w:color="auto"/>
        <w:right w:val="none" w:sz="0" w:space="0" w:color="auto"/>
      </w:divBdr>
    </w:div>
    <w:div w:id="1850290286">
      <w:bodyDiv w:val="1"/>
      <w:marLeft w:val="0"/>
      <w:marRight w:val="0"/>
      <w:marTop w:val="0"/>
      <w:marBottom w:val="0"/>
      <w:divBdr>
        <w:top w:val="none" w:sz="0" w:space="0" w:color="auto"/>
        <w:left w:val="none" w:sz="0" w:space="0" w:color="auto"/>
        <w:bottom w:val="none" w:sz="0" w:space="0" w:color="auto"/>
        <w:right w:val="none" w:sz="0" w:space="0" w:color="auto"/>
      </w:divBdr>
    </w:div>
    <w:div w:id="1850290438">
      <w:bodyDiv w:val="1"/>
      <w:marLeft w:val="0"/>
      <w:marRight w:val="0"/>
      <w:marTop w:val="0"/>
      <w:marBottom w:val="0"/>
      <w:divBdr>
        <w:top w:val="none" w:sz="0" w:space="0" w:color="auto"/>
        <w:left w:val="none" w:sz="0" w:space="0" w:color="auto"/>
        <w:bottom w:val="none" w:sz="0" w:space="0" w:color="auto"/>
        <w:right w:val="none" w:sz="0" w:space="0" w:color="auto"/>
      </w:divBdr>
    </w:div>
    <w:div w:id="1850411540">
      <w:bodyDiv w:val="1"/>
      <w:marLeft w:val="0"/>
      <w:marRight w:val="0"/>
      <w:marTop w:val="0"/>
      <w:marBottom w:val="0"/>
      <w:divBdr>
        <w:top w:val="none" w:sz="0" w:space="0" w:color="auto"/>
        <w:left w:val="none" w:sz="0" w:space="0" w:color="auto"/>
        <w:bottom w:val="none" w:sz="0" w:space="0" w:color="auto"/>
        <w:right w:val="none" w:sz="0" w:space="0" w:color="auto"/>
      </w:divBdr>
    </w:div>
    <w:div w:id="1850632464">
      <w:bodyDiv w:val="1"/>
      <w:marLeft w:val="0"/>
      <w:marRight w:val="0"/>
      <w:marTop w:val="0"/>
      <w:marBottom w:val="0"/>
      <w:divBdr>
        <w:top w:val="none" w:sz="0" w:space="0" w:color="auto"/>
        <w:left w:val="none" w:sz="0" w:space="0" w:color="auto"/>
        <w:bottom w:val="none" w:sz="0" w:space="0" w:color="auto"/>
        <w:right w:val="none" w:sz="0" w:space="0" w:color="auto"/>
      </w:divBdr>
    </w:div>
    <w:div w:id="1850756599">
      <w:bodyDiv w:val="1"/>
      <w:marLeft w:val="0"/>
      <w:marRight w:val="0"/>
      <w:marTop w:val="0"/>
      <w:marBottom w:val="0"/>
      <w:divBdr>
        <w:top w:val="none" w:sz="0" w:space="0" w:color="auto"/>
        <w:left w:val="none" w:sz="0" w:space="0" w:color="auto"/>
        <w:bottom w:val="none" w:sz="0" w:space="0" w:color="auto"/>
        <w:right w:val="none" w:sz="0" w:space="0" w:color="auto"/>
      </w:divBdr>
    </w:div>
    <w:div w:id="1851141871">
      <w:bodyDiv w:val="1"/>
      <w:marLeft w:val="0"/>
      <w:marRight w:val="0"/>
      <w:marTop w:val="0"/>
      <w:marBottom w:val="0"/>
      <w:divBdr>
        <w:top w:val="none" w:sz="0" w:space="0" w:color="auto"/>
        <w:left w:val="none" w:sz="0" w:space="0" w:color="auto"/>
        <w:bottom w:val="none" w:sz="0" w:space="0" w:color="auto"/>
        <w:right w:val="none" w:sz="0" w:space="0" w:color="auto"/>
      </w:divBdr>
    </w:div>
    <w:div w:id="1851263043">
      <w:bodyDiv w:val="1"/>
      <w:marLeft w:val="0"/>
      <w:marRight w:val="0"/>
      <w:marTop w:val="0"/>
      <w:marBottom w:val="0"/>
      <w:divBdr>
        <w:top w:val="none" w:sz="0" w:space="0" w:color="auto"/>
        <w:left w:val="none" w:sz="0" w:space="0" w:color="auto"/>
        <w:bottom w:val="none" w:sz="0" w:space="0" w:color="auto"/>
        <w:right w:val="none" w:sz="0" w:space="0" w:color="auto"/>
      </w:divBdr>
    </w:div>
    <w:div w:id="1851293002">
      <w:bodyDiv w:val="1"/>
      <w:marLeft w:val="0"/>
      <w:marRight w:val="0"/>
      <w:marTop w:val="0"/>
      <w:marBottom w:val="0"/>
      <w:divBdr>
        <w:top w:val="none" w:sz="0" w:space="0" w:color="auto"/>
        <w:left w:val="none" w:sz="0" w:space="0" w:color="auto"/>
        <w:bottom w:val="none" w:sz="0" w:space="0" w:color="auto"/>
        <w:right w:val="none" w:sz="0" w:space="0" w:color="auto"/>
      </w:divBdr>
    </w:div>
    <w:div w:id="1851484692">
      <w:bodyDiv w:val="1"/>
      <w:marLeft w:val="0"/>
      <w:marRight w:val="0"/>
      <w:marTop w:val="0"/>
      <w:marBottom w:val="0"/>
      <w:divBdr>
        <w:top w:val="none" w:sz="0" w:space="0" w:color="auto"/>
        <w:left w:val="none" w:sz="0" w:space="0" w:color="auto"/>
        <w:bottom w:val="none" w:sz="0" w:space="0" w:color="auto"/>
        <w:right w:val="none" w:sz="0" w:space="0" w:color="auto"/>
      </w:divBdr>
    </w:div>
    <w:div w:id="1851528605">
      <w:bodyDiv w:val="1"/>
      <w:marLeft w:val="0"/>
      <w:marRight w:val="0"/>
      <w:marTop w:val="0"/>
      <w:marBottom w:val="0"/>
      <w:divBdr>
        <w:top w:val="none" w:sz="0" w:space="0" w:color="auto"/>
        <w:left w:val="none" w:sz="0" w:space="0" w:color="auto"/>
        <w:bottom w:val="none" w:sz="0" w:space="0" w:color="auto"/>
        <w:right w:val="none" w:sz="0" w:space="0" w:color="auto"/>
      </w:divBdr>
    </w:div>
    <w:div w:id="1851791934">
      <w:bodyDiv w:val="1"/>
      <w:marLeft w:val="0"/>
      <w:marRight w:val="0"/>
      <w:marTop w:val="0"/>
      <w:marBottom w:val="0"/>
      <w:divBdr>
        <w:top w:val="none" w:sz="0" w:space="0" w:color="auto"/>
        <w:left w:val="none" w:sz="0" w:space="0" w:color="auto"/>
        <w:bottom w:val="none" w:sz="0" w:space="0" w:color="auto"/>
        <w:right w:val="none" w:sz="0" w:space="0" w:color="auto"/>
      </w:divBdr>
    </w:div>
    <w:div w:id="1851797377">
      <w:bodyDiv w:val="1"/>
      <w:marLeft w:val="0"/>
      <w:marRight w:val="0"/>
      <w:marTop w:val="0"/>
      <w:marBottom w:val="0"/>
      <w:divBdr>
        <w:top w:val="none" w:sz="0" w:space="0" w:color="auto"/>
        <w:left w:val="none" w:sz="0" w:space="0" w:color="auto"/>
        <w:bottom w:val="none" w:sz="0" w:space="0" w:color="auto"/>
        <w:right w:val="none" w:sz="0" w:space="0" w:color="auto"/>
      </w:divBdr>
    </w:div>
    <w:div w:id="1851799823">
      <w:bodyDiv w:val="1"/>
      <w:marLeft w:val="0"/>
      <w:marRight w:val="0"/>
      <w:marTop w:val="0"/>
      <w:marBottom w:val="0"/>
      <w:divBdr>
        <w:top w:val="none" w:sz="0" w:space="0" w:color="auto"/>
        <w:left w:val="none" w:sz="0" w:space="0" w:color="auto"/>
        <w:bottom w:val="none" w:sz="0" w:space="0" w:color="auto"/>
        <w:right w:val="none" w:sz="0" w:space="0" w:color="auto"/>
      </w:divBdr>
    </w:div>
    <w:div w:id="1851873252">
      <w:bodyDiv w:val="1"/>
      <w:marLeft w:val="0"/>
      <w:marRight w:val="0"/>
      <w:marTop w:val="0"/>
      <w:marBottom w:val="0"/>
      <w:divBdr>
        <w:top w:val="none" w:sz="0" w:space="0" w:color="auto"/>
        <w:left w:val="none" w:sz="0" w:space="0" w:color="auto"/>
        <w:bottom w:val="none" w:sz="0" w:space="0" w:color="auto"/>
        <w:right w:val="none" w:sz="0" w:space="0" w:color="auto"/>
      </w:divBdr>
    </w:div>
    <w:div w:id="1851989080">
      <w:bodyDiv w:val="1"/>
      <w:marLeft w:val="0"/>
      <w:marRight w:val="0"/>
      <w:marTop w:val="0"/>
      <w:marBottom w:val="0"/>
      <w:divBdr>
        <w:top w:val="none" w:sz="0" w:space="0" w:color="auto"/>
        <w:left w:val="none" w:sz="0" w:space="0" w:color="auto"/>
        <w:bottom w:val="none" w:sz="0" w:space="0" w:color="auto"/>
        <w:right w:val="none" w:sz="0" w:space="0" w:color="auto"/>
      </w:divBdr>
    </w:div>
    <w:div w:id="1852256710">
      <w:bodyDiv w:val="1"/>
      <w:marLeft w:val="0"/>
      <w:marRight w:val="0"/>
      <w:marTop w:val="0"/>
      <w:marBottom w:val="0"/>
      <w:divBdr>
        <w:top w:val="none" w:sz="0" w:space="0" w:color="auto"/>
        <w:left w:val="none" w:sz="0" w:space="0" w:color="auto"/>
        <w:bottom w:val="none" w:sz="0" w:space="0" w:color="auto"/>
        <w:right w:val="none" w:sz="0" w:space="0" w:color="auto"/>
      </w:divBdr>
    </w:div>
    <w:div w:id="1852330482">
      <w:bodyDiv w:val="1"/>
      <w:marLeft w:val="0"/>
      <w:marRight w:val="0"/>
      <w:marTop w:val="0"/>
      <w:marBottom w:val="0"/>
      <w:divBdr>
        <w:top w:val="none" w:sz="0" w:space="0" w:color="auto"/>
        <w:left w:val="none" w:sz="0" w:space="0" w:color="auto"/>
        <w:bottom w:val="none" w:sz="0" w:space="0" w:color="auto"/>
        <w:right w:val="none" w:sz="0" w:space="0" w:color="auto"/>
      </w:divBdr>
    </w:div>
    <w:div w:id="1852642977">
      <w:bodyDiv w:val="1"/>
      <w:marLeft w:val="0"/>
      <w:marRight w:val="0"/>
      <w:marTop w:val="0"/>
      <w:marBottom w:val="0"/>
      <w:divBdr>
        <w:top w:val="none" w:sz="0" w:space="0" w:color="auto"/>
        <w:left w:val="none" w:sz="0" w:space="0" w:color="auto"/>
        <w:bottom w:val="none" w:sz="0" w:space="0" w:color="auto"/>
        <w:right w:val="none" w:sz="0" w:space="0" w:color="auto"/>
      </w:divBdr>
    </w:div>
    <w:div w:id="1852838079">
      <w:bodyDiv w:val="1"/>
      <w:marLeft w:val="0"/>
      <w:marRight w:val="0"/>
      <w:marTop w:val="0"/>
      <w:marBottom w:val="0"/>
      <w:divBdr>
        <w:top w:val="none" w:sz="0" w:space="0" w:color="auto"/>
        <w:left w:val="none" w:sz="0" w:space="0" w:color="auto"/>
        <w:bottom w:val="none" w:sz="0" w:space="0" w:color="auto"/>
        <w:right w:val="none" w:sz="0" w:space="0" w:color="auto"/>
      </w:divBdr>
    </w:div>
    <w:div w:id="1852912604">
      <w:bodyDiv w:val="1"/>
      <w:marLeft w:val="0"/>
      <w:marRight w:val="0"/>
      <w:marTop w:val="0"/>
      <w:marBottom w:val="0"/>
      <w:divBdr>
        <w:top w:val="none" w:sz="0" w:space="0" w:color="auto"/>
        <w:left w:val="none" w:sz="0" w:space="0" w:color="auto"/>
        <w:bottom w:val="none" w:sz="0" w:space="0" w:color="auto"/>
        <w:right w:val="none" w:sz="0" w:space="0" w:color="auto"/>
      </w:divBdr>
    </w:div>
    <w:div w:id="1853031124">
      <w:bodyDiv w:val="1"/>
      <w:marLeft w:val="0"/>
      <w:marRight w:val="0"/>
      <w:marTop w:val="0"/>
      <w:marBottom w:val="0"/>
      <w:divBdr>
        <w:top w:val="none" w:sz="0" w:space="0" w:color="auto"/>
        <w:left w:val="none" w:sz="0" w:space="0" w:color="auto"/>
        <w:bottom w:val="none" w:sz="0" w:space="0" w:color="auto"/>
        <w:right w:val="none" w:sz="0" w:space="0" w:color="auto"/>
      </w:divBdr>
    </w:div>
    <w:div w:id="1853251858">
      <w:bodyDiv w:val="1"/>
      <w:marLeft w:val="0"/>
      <w:marRight w:val="0"/>
      <w:marTop w:val="0"/>
      <w:marBottom w:val="0"/>
      <w:divBdr>
        <w:top w:val="none" w:sz="0" w:space="0" w:color="auto"/>
        <w:left w:val="none" w:sz="0" w:space="0" w:color="auto"/>
        <w:bottom w:val="none" w:sz="0" w:space="0" w:color="auto"/>
        <w:right w:val="none" w:sz="0" w:space="0" w:color="auto"/>
      </w:divBdr>
    </w:div>
    <w:div w:id="1853256805">
      <w:bodyDiv w:val="1"/>
      <w:marLeft w:val="0"/>
      <w:marRight w:val="0"/>
      <w:marTop w:val="0"/>
      <w:marBottom w:val="0"/>
      <w:divBdr>
        <w:top w:val="none" w:sz="0" w:space="0" w:color="auto"/>
        <w:left w:val="none" w:sz="0" w:space="0" w:color="auto"/>
        <w:bottom w:val="none" w:sz="0" w:space="0" w:color="auto"/>
        <w:right w:val="none" w:sz="0" w:space="0" w:color="auto"/>
      </w:divBdr>
    </w:div>
    <w:div w:id="1853370451">
      <w:bodyDiv w:val="1"/>
      <w:marLeft w:val="0"/>
      <w:marRight w:val="0"/>
      <w:marTop w:val="0"/>
      <w:marBottom w:val="0"/>
      <w:divBdr>
        <w:top w:val="none" w:sz="0" w:space="0" w:color="auto"/>
        <w:left w:val="none" w:sz="0" w:space="0" w:color="auto"/>
        <w:bottom w:val="none" w:sz="0" w:space="0" w:color="auto"/>
        <w:right w:val="none" w:sz="0" w:space="0" w:color="auto"/>
      </w:divBdr>
    </w:div>
    <w:div w:id="1853685948">
      <w:bodyDiv w:val="1"/>
      <w:marLeft w:val="0"/>
      <w:marRight w:val="0"/>
      <w:marTop w:val="0"/>
      <w:marBottom w:val="0"/>
      <w:divBdr>
        <w:top w:val="none" w:sz="0" w:space="0" w:color="auto"/>
        <w:left w:val="none" w:sz="0" w:space="0" w:color="auto"/>
        <w:bottom w:val="none" w:sz="0" w:space="0" w:color="auto"/>
        <w:right w:val="none" w:sz="0" w:space="0" w:color="auto"/>
      </w:divBdr>
    </w:div>
    <w:div w:id="1853689045">
      <w:bodyDiv w:val="1"/>
      <w:marLeft w:val="0"/>
      <w:marRight w:val="0"/>
      <w:marTop w:val="0"/>
      <w:marBottom w:val="0"/>
      <w:divBdr>
        <w:top w:val="none" w:sz="0" w:space="0" w:color="auto"/>
        <w:left w:val="none" w:sz="0" w:space="0" w:color="auto"/>
        <w:bottom w:val="none" w:sz="0" w:space="0" w:color="auto"/>
        <w:right w:val="none" w:sz="0" w:space="0" w:color="auto"/>
      </w:divBdr>
    </w:div>
    <w:div w:id="1853836551">
      <w:bodyDiv w:val="1"/>
      <w:marLeft w:val="0"/>
      <w:marRight w:val="0"/>
      <w:marTop w:val="0"/>
      <w:marBottom w:val="0"/>
      <w:divBdr>
        <w:top w:val="none" w:sz="0" w:space="0" w:color="auto"/>
        <w:left w:val="none" w:sz="0" w:space="0" w:color="auto"/>
        <w:bottom w:val="none" w:sz="0" w:space="0" w:color="auto"/>
        <w:right w:val="none" w:sz="0" w:space="0" w:color="auto"/>
      </w:divBdr>
    </w:div>
    <w:div w:id="1854101074">
      <w:bodyDiv w:val="1"/>
      <w:marLeft w:val="0"/>
      <w:marRight w:val="0"/>
      <w:marTop w:val="0"/>
      <w:marBottom w:val="0"/>
      <w:divBdr>
        <w:top w:val="none" w:sz="0" w:space="0" w:color="auto"/>
        <w:left w:val="none" w:sz="0" w:space="0" w:color="auto"/>
        <w:bottom w:val="none" w:sz="0" w:space="0" w:color="auto"/>
        <w:right w:val="none" w:sz="0" w:space="0" w:color="auto"/>
      </w:divBdr>
    </w:div>
    <w:div w:id="1854109988">
      <w:bodyDiv w:val="1"/>
      <w:marLeft w:val="0"/>
      <w:marRight w:val="0"/>
      <w:marTop w:val="0"/>
      <w:marBottom w:val="0"/>
      <w:divBdr>
        <w:top w:val="none" w:sz="0" w:space="0" w:color="auto"/>
        <w:left w:val="none" w:sz="0" w:space="0" w:color="auto"/>
        <w:bottom w:val="none" w:sz="0" w:space="0" w:color="auto"/>
        <w:right w:val="none" w:sz="0" w:space="0" w:color="auto"/>
      </w:divBdr>
    </w:div>
    <w:div w:id="1854345364">
      <w:bodyDiv w:val="1"/>
      <w:marLeft w:val="0"/>
      <w:marRight w:val="0"/>
      <w:marTop w:val="0"/>
      <w:marBottom w:val="0"/>
      <w:divBdr>
        <w:top w:val="none" w:sz="0" w:space="0" w:color="auto"/>
        <w:left w:val="none" w:sz="0" w:space="0" w:color="auto"/>
        <w:bottom w:val="none" w:sz="0" w:space="0" w:color="auto"/>
        <w:right w:val="none" w:sz="0" w:space="0" w:color="auto"/>
      </w:divBdr>
    </w:div>
    <w:div w:id="1854370151">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81431">
      <w:bodyDiv w:val="1"/>
      <w:marLeft w:val="0"/>
      <w:marRight w:val="0"/>
      <w:marTop w:val="0"/>
      <w:marBottom w:val="0"/>
      <w:divBdr>
        <w:top w:val="none" w:sz="0" w:space="0" w:color="auto"/>
        <w:left w:val="none" w:sz="0" w:space="0" w:color="auto"/>
        <w:bottom w:val="none" w:sz="0" w:space="0" w:color="auto"/>
        <w:right w:val="none" w:sz="0" w:space="0" w:color="auto"/>
      </w:divBdr>
    </w:div>
    <w:div w:id="1854761436">
      <w:bodyDiv w:val="1"/>
      <w:marLeft w:val="0"/>
      <w:marRight w:val="0"/>
      <w:marTop w:val="0"/>
      <w:marBottom w:val="0"/>
      <w:divBdr>
        <w:top w:val="none" w:sz="0" w:space="0" w:color="auto"/>
        <w:left w:val="none" w:sz="0" w:space="0" w:color="auto"/>
        <w:bottom w:val="none" w:sz="0" w:space="0" w:color="auto"/>
        <w:right w:val="none" w:sz="0" w:space="0" w:color="auto"/>
      </w:divBdr>
    </w:div>
    <w:div w:id="1854953671">
      <w:bodyDiv w:val="1"/>
      <w:marLeft w:val="0"/>
      <w:marRight w:val="0"/>
      <w:marTop w:val="0"/>
      <w:marBottom w:val="0"/>
      <w:divBdr>
        <w:top w:val="none" w:sz="0" w:space="0" w:color="auto"/>
        <w:left w:val="none" w:sz="0" w:space="0" w:color="auto"/>
        <w:bottom w:val="none" w:sz="0" w:space="0" w:color="auto"/>
        <w:right w:val="none" w:sz="0" w:space="0" w:color="auto"/>
      </w:divBdr>
    </w:div>
    <w:div w:id="1855028301">
      <w:bodyDiv w:val="1"/>
      <w:marLeft w:val="0"/>
      <w:marRight w:val="0"/>
      <w:marTop w:val="0"/>
      <w:marBottom w:val="0"/>
      <w:divBdr>
        <w:top w:val="none" w:sz="0" w:space="0" w:color="auto"/>
        <w:left w:val="none" w:sz="0" w:space="0" w:color="auto"/>
        <w:bottom w:val="none" w:sz="0" w:space="0" w:color="auto"/>
        <w:right w:val="none" w:sz="0" w:space="0" w:color="auto"/>
      </w:divBdr>
    </w:div>
    <w:div w:id="1855074530">
      <w:bodyDiv w:val="1"/>
      <w:marLeft w:val="0"/>
      <w:marRight w:val="0"/>
      <w:marTop w:val="0"/>
      <w:marBottom w:val="0"/>
      <w:divBdr>
        <w:top w:val="none" w:sz="0" w:space="0" w:color="auto"/>
        <w:left w:val="none" w:sz="0" w:space="0" w:color="auto"/>
        <w:bottom w:val="none" w:sz="0" w:space="0" w:color="auto"/>
        <w:right w:val="none" w:sz="0" w:space="0" w:color="auto"/>
      </w:divBdr>
    </w:div>
    <w:div w:id="1855150460">
      <w:bodyDiv w:val="1"/>
      <w:marLeft w:val="0"/>
      <w:marRight w:val="0"/>
      <w:marTop w:val="0"/>
      <w:marBottom w:val="0"/>
      <w:divBdr>
        <w:top w:val="none" w:sz="0" w:space="0" w:color="auto"/>
        <w:left w:val="none" w:sz="0" w:space="0" w:color="auto"/>
        <w:bottom w:val="none" w:sz="0" w:space="0" w:color="auto"/>
        <w:right w:val="none" w:sz="0" w:space="0" w:color="auto"/>
      </w:divBdr>
    </w:div>
    <w:div w:id="1855225533">
      <w:bodyDiv w:val="1"/>
      <w:marLeft w:val="0"/>
      <w:marRight w:val="0"/>
      <w:marTop w:val="0"/>
      <w:marBottom w:val="0"/>
      <w:divBdr>
        <w:top w:val="none" w:sz="0" w:space="0" w:color="auto"/>
        <w:left w:val="none" w:sz="0" w:space="0" w:color="auto"/>
        <w:bottom w:val="none" w:sz="0" w:space="0" w:color="auto"/>
        <w:right w:val="none" w:sz="0" w:space="0" w:color="auto"/>
      </w:divBdr>
    </w:div>
    <w:div w:id="1855455295">
      <w:bodyDiv w:val="1"/>
      <w:marLeft w:val="0"/>
      <w:marRight w:val="0"/>
      <w:marTop w:val="0"/>
      <w:marBottom w:val="0"/>
      <w:divBdr>
        <w:top w:val="none" w:sz="0" w:space="0" w:color="auto"/>
        <w:left w:val="none" w:sz="0" w:space="0" w:color="auto"/>
        <w:bottom w:val="none" w:sz="0" w:space="0" w:color="auto"/>
        <w:right w:val="none" w:sz="0" w:space="0" w:color="auto"/>
      </w:divBdr>
    </w:div>
    <w:div w:id="1855461919">
      <w:bodyDiv w:val="1"/>
      <w:marLeft w:val="0"/>
      <w:marRight w:val="0"/>
      <w:marTop w:val="0"/>
      <w:marBottom w:val="0"/>
      <w:divBdr>
        <w:top w:val="none" w:sz="0" w:space="0" w:color="auto"/>
        <w:left w:val="none" w:sz="0" w:space="0" w:color="auto"/>
        <w:bottom w:val="none" w:sz="0" w:space="0" w:color="auto"/>
        <w:right w:val="none" w:sz="0" w:space="0" w:color="auto"/>
      </w:divBdr>
    </w:div>
    <w:div w:id="1855487815">
      <w:bodyDiv w:val="1"/>
      <w:marLeft w:val="0"/>
      <w:marRight w:val="0"/>
      <w:marTop w:val="0"/>
      <w:marBottom w:val="0"/>
      <w:divBdr>
        <w:top w:val="none" w:sz="0" w:space="0" w:color="auto"/>
        <w:left w:val="none" w:sz="0" w:space="0" w:color="auto"/>
        <w:bottom w:val="none" w:sz="0" w:space="0" w:color="auto"/>
        <w:right w:val="none" w:sz="0" w:space="0" w:color="auto"/>
      </w:divBdr>
    </w:div>
    <w:div w:id="1855806916">
      <w:bodyDiv w:val="1"/>
      <w:marLeft w:val="0"/>
      <w:marRight w:val="0"/>
      <w:marTop w:val="0"/>
      <w:marBottom w:val="0"/>
      <w:divBdr>
        <w:top w:val="none" w:sz="0" w:space="0" w:color="auto"/>
        <w:left w:val="none" w:sz="0" w:space="0" w:color="auto"/>
        <w:bottom w:val="none" w:sz="0" w:space="0" w:color="auto"/>
        <w:right w:val="none" w:sz="0" w:space="0" w:color="auto"/>
      </w:divBdr>
    </w:div>
    <w:div w:id="1856114891">
      <w:bodyDiv w:val="1"/>
      <w:marLeft w:val="0"/>
      <w:marRight w:val="0"/>
      <w:marTop w:val="0"/>
      <w:marBottom w:val="0"/>
      <w:divBdr>
        <w:top w:val="none" w:sz="0" w:space="0" w:color="auto"/>
        <w:left w:val="none" w:sz="0" w:space="0" w:color="auto"/>
        <w:bottom w:val="none" w:sz="0" w:space="0" w:color="auto"/>
        <w:right w:val="none" w:sz="0" w:space="0" w:color="auto"/>
      </w:divBdr>
    </w:div>
    <w:div w:id="1856187461">
      <w:bodyDiv w:val="1"/>
      <w:marLeft w:val="0"/>
      <w:marRight w:val="0"/>
      <w:marTop w:val="0"/>
      <w:marBottom w:val="0"/>
      <w:divBdr>
        <w:top w:val="none" w:sz="0" w:space="0" w:color="auto"/>
        <w:left w:val="none" w:sz="0" w:space="0" w:color="auto"/>
        <w:bottom w:val="none" w:sz="0" w:space="0" w:color="auto"/>
        <w:right w:val="none" w:sz="0" w:space="0" w:color="auto"/>
      </w:divBdr>
    </w:div>
    <w:div w:id="1856191010">
      <w:bodyDiv w:val="1"/>
      <w:marLeft w:val="0"/>
      <w:marRight w:val="0"/>
      <w:marTop w:val="0"/>
      <w:marBottom w:val="0"/>
      <w:divBdr>
        <w:top w:val="none" w:sz="0" w:space="0" w:color="auto"/>
        <w:left w:val="none" w:sz="0" w:space="0" w:color="auto"/>
        <w:bottom w:val="none" w:sz="0" w:space="0" w:color="auto"/>
        <w:right w:val="none" w:sz="0" w:space="0" w:color="auto"/>
      </w:divBdr>
    </w:div>
    <w:div w:id="1856268132">
      <w:bodyDiv w:val="1"/>
      <w:marLeft w:val="0"/>
      <w:marRight w:val="0"/>
      <w:marTop w:val="0"/>
      <w:marBottom w:val="0"/>
      <w:divBdr>
        <w:top w:val="none" w:sz="0" w:space="0" w:color="auto"/>
        <w:left w:val="none" w:sz="0" w:space="0" w:color="auto"/>
        <w:bottom w:val="none" w:sz="0" w:space="0" w:color="auto"/>
        <w:right w:val="none" w:sz="0" w:space="0" w:color="auto"/>
      </w:divBdr>
    </w:div>
    <w:div w:id="1856337469">
      <w:bodyDiv w:val="1"/>
      <w:marLeft w:val="0"/>
      <w:marRight w:val="0"/>
      <w:marTop w:val="0"/>
      <w:marBottom w:val="0"/>
      <w:divBdr>
        <w:top w:val="none" w:sz="0" w:space="0" w:color="auto"/>
        <w:left w:val="none" w:sz="0" w:space="0" w:color="auto"/>
        <w:bottom w:val="none" w:sz="0" w:space="0" w:color="auto"/>
        <w:right w:val="none" w:sz="0" w:space="0" w:color="auto"/>
      </w:divBdr>
    </w:div>
    <w:div w:id="1856724689">
      <w:bodyDiv w:val="1"/>
      <w:marLeft w:val="0"/>
      <w:marRight w:val="0"/>
      <w:marTop w:val="0"/>
      <w:marBottom w:val="0"/>
      <w:divBdr>
        <w:top w:val="none" w:sz="0" w:space="0" w:color="auto"/>
        <w:left w:val="none" w:sz="0" w:space="0" w:color="auto"/>
        <w:bottom w:val="none" w:sz="0" w:space="0" w:color="auto"/>
        <w:right w:val="none" w:sz="0" w:space="0" w:color="auto"/>
      </w:divBdr>
    </w:div>
    <w:div w:id="1856847622">
      <w:bodyDiv w:val="1"/>
      <w:marLeft w:val="0"/>
      <w:marRight w:val="0"/>
      <w:marTop w:val="0"/>
      <w:marBottom w:val="0"/>
      <w:divBdr>
        <w:top w:val="none" w:sz="0" w:space="0" w:color="auto"/>
        <w:left w:val="none" w:sz="0" w:space="0" w:color="auto"/>
        <w:bottom w:val="none" w:sz="0" w:space="0" w:color="auto"/>
        <w:right w:val="none" w:sz="0" w:space="0" w:color="auto"/>
      </w:divBdr>
    </w:div>
    <w:div w:id="1857033083">
      <w:bodyDiv w:val="1"/>
      <w:marLeft w:val="0"/>
      <w:marRight w:val="0"/>
      <w:marTop w:val="0"/>
      <w:marBottom w:val="0"/>
      <w:divBdr>
        <w:top w:val="none" w:sz="0" w:space="0" w:color="auto"/>
        <w:left w:val="none" w:sz="0" w:space="0" w:color="auto"/>
        <w:bottom w:val="none" w:sz="0" w:space="0" w:color="auto"/>
        <w:right w:val="none" w:sz="0" w:space="0" w:color="auto"/>
      </w:divBdr>
    </w:div>
    <w:div w:id="1857034571">
      <w:bodyDiv w:val="1"/>
      <w:marLeft w:val="0"/>
      <w:marRight w:val="0"/>
      <w:marTop w:val="0"/>
      <w:marBottom w:val="0"/>
      <w:divBdr>
        <w:top w:val="none" w:sz="0" w:space="0" w:color="auto"/>
        <w:left w:val="none" w:sz="0" w:space="0" w:color="auto"/>
        <w:bottom w:val="none" w:sz="0" w:space="0" w:color="auto"/>
        <w:right w:val="none" w:sz="0" w:space="0" w:color="auto"/>
      </w:divBdr>
    </w:div>
    <w:div w:id="1857040497">
      <w:bodyDiv w:val="1"/>
      <w:marLeft w:val="0"/>
      <w:marRight w:val="0"/>
      <w:marTop w:val="0"/>
      <w:marBottom w:val="0"/>
      <w:divBdr>
        <w:top w:val="none" w:sz="0" w:space="0" w:color="auto"/>
        <w:left w:val="none" w:sz="0" w:space="0" w:color="auto"/>
        <w:bottom w:val="none" w:sz="0" w:space="0" w:color="auto"/>
        <w:right w:val="none" w:sz="0" w:space="0" w:color="auto"/>
      </w:divBdr>
    </w:div>
    <w:div w:id="1857110937">
      <w:bodyDiv w:val="1"/>
      <w:marLeft w:val="0"/>
      <w:marRight w:val="0"/>
      <w:marTop w:val="0"/>
      <w:marBottom w:val="0"/>
      <w:divBdr>
        <w:top w:val="none" w:sz="0" w:space="0" w:color="auto"/>
        <w:left w:val="none" w:sz="0" w:space="0" w:color="auto"/>
        <w:bottom w:val="none" w:sz="0" w:space="0" w:color="auto"/>
        <w:right w:val="none" w:sz="0" w:space="0" w:color="auto"/>
      </w:divBdr>
    </w:div>
    <w:div w:id="1857186633">
      <w:bodyDiv w:val="1"/>
      <w:marLeft w:val="0"/>
      <w:marRight w:val="0"/>
      <w:marTop w:val="0"/>
      <w:marBottom w:val="0"/>
      <w:divBdr>
        <w:top w:val="none" w:sz="0" w:space="0" w:color="auto"/>
        <w:left w:val="none" w:sz="0" w:space="0" w:color="auto"/>
        <w:bottom w:val="none" w:sz="0" w:space="0" w:color="auto"/>
        <w:right w:val="none" w:sz="0" w:space="0" w:color="auto"/>
      </w:divBdr>
    </w:div>
    <w:div w:id="1857305403">
      <w:bodyDiv w:val="1"/>
      <w:marLeft w:val="0"/>
      <w:marRight w:val="0"/>
      <w:marTop w:val="0"/>
      <w:marBottom w:val="0"/>
      <w:divBdr>
        <w:top w:val="none" w:sz="0" w:space="0" w:color="auto"/>
        <w:left w:val="none" w:sz="0" w:space="0" w:color="auto"/>
        <w:bottom w:val="none" w:sz="0" w:space="0" w:color="auto"/>
        <w:right w:val="none" w:sz="0" w:space="0" w:color="auto"/>
      </w:divBdr>
    </w:div>
    <w:div w:id="1857310210">
      <w:bodyDiv w:val="1"/>
      <w:marLeft w:val="0"/>
      <w:marRight w:val="0"/>
      <w:marTop w:val="0"/>
      <w:marBottom w:val="0"/>
      <w:divBdr>
        <w:top w:val="none" w:sz="0" w:space="0" w:color="auto"/>
        <w:left w:val="none" w:sz="0" w:space="0" w:color="auto"/>
        <w:bottom w:val="none" w:sz="0" w:space="0" w:color="auto"/>
        <w:right w:val="none" w:sz="0" w:space="0" w:color="auto"/>
      </w:divBdr>
    </w:div>
    <w:div w:id="1857310240">
      <w:bodyDiv w:val="1"/>
      <w:marLeft w:val="0"/>
      <w:marRight w:val="0"/>
      <w:marTop w:val="0"/>
      <w:marBottom w:val="0"/>
      <w:divBdr>
        <w:top w:val="none" w:sz="0" w:space="0" w:color="auto"/>
        <w:left w:val="none" w:sz="0" w:space="0" w:color="auto"/>
        <w:bottom w:val="none" w:sz="0" w:space="0" w:color="auto"/>
        <w:right w:val="none" w:sz="0" w:space="0" w:color="auto"/>
      </w:divBdr>
    </w:div>
    <w:div w:id="1857694581">
      <w:bodyDiv w:val="1"/>
      <w:marLeft w:val="0"/>
      <w:marRight w:val="0"/>
      <w:marTop w:val="0"/>
      <w:marBottom w:val="0"/>
      <w:divBdr>
        <w:top w:val="none" w:sz="0" w:space="0" w:color="auto"/>
        <w:left w:val="none" w:sz="0" w:space="0" w:color="auto"/>
        <w:bottom w:val="none" w:sz="0" w:space="0" w:color="auto"/>
        <w:right w:val="none" w:sz="0" w:space="0" w:color="auto"/>
      </w:divBdr>
    </w:div>
    <w:div w:id="1857695684">
      <w:bodyDiv w:val="1"/>
      <w:marLeft w:val="0"/>
      <w:marRight w:val="0"/>
      <w:marTop w:val="0"/>
      <w:marBottom w:val="0"/>
      <w:divBdr>
        <w:top w:val="none" w:sz="0" w:space="0" w:color="auto"/>
        <w:left w:val="none" w:sz="0" w:space="0" w:color="auto"/>
        <w:bottom w:val="none" w:sz="0" w:space="0" w:color="auto"/>
        <w:right w:val="none" w:sz="0" w:space="0" w:color="auto"/>
      </w:divBdr>
    </w:div>
    <w:div w:id="1857886060">
      <w:bodyDiv w:val="1"/>
      <w:marLeft w:val="0"/>
      <w:marRight w:val="0"/>
      <w:marTop w:val="0"/>
      <w:marBottom w:val="0"/>
      <w:divBdr>
        <w:top w:val="none" w:sz="0" w:space="0" w:color="auto"/>
        <w:left w:val="none" w:sz="0" w:space="0" w:color="auto"/>
        <w:bottom w:val="none" w:sz="0" w:space="0" w:color="auto"/>
        <w:right w:val="none" w:sz="0" w:space="0" w:color="auto"/>
      </w:divBdr>
    </w:div>
    <w:div w:id="1858154034">
      <w:bodyDiv w:val="1"/>
      <w:marLeft w:val="0"/>
      <w:marRight w:val="0"/>
      <w:marTop w:val="0"/>
      <w:marBottom w:val="0"/>
      <w:divBdr>
        <w:top w:val="none" w:sz="0" w:space="0" w:color="auto"/>
        <w:left w:val="none" w:sz="0" w:space="0" w:color="auto"/>
        <w:bottom w:val="none" w:sz="0" w:space="0" w:color="auto"/>
        <w:right w:val="none" w:sz="0" w:space="0" w:color="auto"/>
      </w:divBdr>
    </w:div>
    <w:div w:id="1858158963">
      <w:bodyDiv w:val="1"/>
      <w:marLeft w:val="0"/>
      <w:marRight w:val="0"/>
      <w:marTop w:val="0"/>
      <w:marBottom w:val="0"/>
      <w:divBdr>
        <w:top w:val="none" w:sz="0" w:space="0" w:color="auto"/>
        <w:left w:val="none" w:sz="0" w:space="0" w:color="auto"/>
        <w:bottom w:val="none" w:sz="0" w:space="0" w:color="auto"/>
        <w:right w:val="none" w:sz="0" w:space="0" w:color="auto"/>
      </w:divBdr>
    </w:div>
    <w:div w:id="1858229817">
      <w:bodyDiv w:val="1"/>
      <w:marLeft w:val="0"/>
      <w:marRight w:val="0"/>
      <w:marTop w:val="0"/>
      <w:marBottom w:val="0"/>
      <w:divBdr>
        <w:top w:val="none" w:sz="0" w:space="0" w:color="auto"/>
        <w:left w:val="none" w:sz="0" w:space="0" w:color="auto"/>
        <w:bottom w:val="none" w:sz="0" w:space="0" w:color="auto"/>
        <w:right w:val="none" w:sz="0" w:space="0" w:color="auto"/>
      </w:divBdr>
    </w:div>
    <w:div w:id="1858234297">
      <w:bodyDiv w:val="1"/>
      <w:marLeft w:val="0"/>
      <w:marRight w:val="0"/>
      <w:marTop w:val="0"/>
      <w:marBottom w:val="0"/>
      <w:divBdr>
        <w:top w:val="none" w:sz="0" w:space="0" w:color="auto"/>
        <w:left w:val="none" w:sz="0" w:space="0" w:color="auto"/>
        <w:bottom w:val="none" w:sz="0" w:space="0" w:color="auto"/>
        <w:right w:val="none" w:sz="0" w:space="0" w:color="auto"/>
      </w:divBdr>
    </w:div>
    <w:div w:id="1858613180">
      <w:bodyDiv w:val="1"/>
      <w:marLeft w:val="0"/>
      <w:marRight w:val="0"/>
      <w:marTop w:val="0"/>
      <w:marBottom w:val="0"/>
      <w:divBdr>
        <w:top w:val="none" w:sz="0" w:space="0" w:color="auto"/>
        <w:left w:val="none" w:sz="0" w:space="0" w:color="auto"/>
        <w:bottom w:val="none" w:sz="0" w:space="0" w:color="auto"/>
        <w:right w:val="none" w:sz="0" w:space="0" w:color="auto"/>
      </w:divBdr>
    </w:div>
    <w:div w:id="1858618850">
      <w:bodyDiv w:val="1"/>
      <w:marLeft w:val="0"/>
      <w:marRight w:val="0"/>
      <w:marTop w:val="0"/>
      <w:marBottom w:val="0"/>
      <w:divBdr>
        <w:top w:val="none" w:sz="0" w:space="0" w:color="auto"/>
        <w:left w:val="none" w:sz="0" w:space="0" w:color="auto"/>
        <w:bottom w:val="none" w:sz="0" w:space="0" w:color="auto"/>
        <w:right w:val="none" w:sz="0" w:space="0" w:color="auto"/>
      </w:divBdr>
    </w:div>
    <w:div w:id="1859350148">
      <w:bodyDiv w:val="1"/>
      <w:marLeft w:val="0"/>
      <w:marRight w:val="0"/>
      <w:marTop w:val="0"/>
      <w:marBottom w:val="0"/>
      <w:divBdr>
        <w:top w:val="none" w:sz="0" w:space="0" w:color="auto"/>
        <w:left w:val="none" w:sz="0" w:space="0" w:color="auto"/>
        <w:bottom w:val="none" w:sz="0" w:space="0" w:color="auto"/>
        <w:right w:val="none" w:sz="0" w:space="0" w:color="auto"/>
      </w:divBdr>
    </w:div>
    <w:div w:id="1859420008">
      <w:bodyDiv w:val="1"/>
      <w:marLeft w:val="0"/>
      <w:marRight w:val="0"/>
      <w:marTop w:val="0"/>
      <w:marBottom w:val="0"/>
      <w:divBdr>
        <w:top w:val="none" w:sz="0" w:space="0" w:color="auto"/>
        <w:left w:val="none" w:sz="0" w:space="0" w:color="auto"/>
        <w:bottom w:val="none" w:sz="0" w:space="0" w:color="auto"/>
        <w:right w:val="none" w:sz="0" w:space="0" w:color="auto"/>
      </w:divBdr>
    </w:div>
    <w:div w:id="1859463030">
      <w:bodyDiv w:val="1"/>
      <w:marLeft w:val="0"/>
      <w:marRight w:val="0"/>
      <w:marTop w:val="0"/>
      <w:marBottom w:val="0"/>
      <w:divBdr>
        <w:top w:val="none" w:sz="0" w:space="0" w:color="auto"/>
        <w:left w:val="none" w:sz="0" w:space="0" w:color="auto"/>
        <w:bottom w:val="none" w:sz="0" w:space="0" w:color="auto"/>
        <w:right w:val="none" w:sz="0" w:space="0" w:color="auto"/>
      </w:divBdr>
    </w:div>
    <w:div w:id="1859466006">
      <w:bodyDiv w:val="1"/>
      <w:marLeft w:val="0"/>
      <w:marRight w:val="0"/>
      <w:marTop w:val="0"/>
      <w:marBottom w:val="0"/>
      <w:divBdr>
        <w:top w:val="none" w:sz="0" w:space="0" w:color="auto"/>
        <w:left w:val="none" w:sz="0" w:space="0" w:color="auto"/>
        <w:bottom w:val="none" w:sz="0" w:space="0" w:color="auto"/>
        <w:right w:val="none" w:sz="0" w:space="0" w:color="auto"/>
      </w:divBdr>
    </w:div>
    <w:div w:id="1859542761">
      <w:bodyDiv w:val="1"/>
      <w:marLeft w:val="0"/>
      <w:marRight w:val="0"/>
      <w:marTop w:val="0"/>
      <w:marBottom w:val="0"/>
      <w:divBdr>
        <w:top w:val="none" w:sz="0" w:space="0" w:color="auto"/>
        <w:left w:val="none" w:sz="0" w:space="0" w:color="auto"/>
        <w:bottom w:val="none" w:sz="0" w:space="0" w:color="auto"/>
        <w:right w:val="none" w:sz="0" w:space="0" w:color="auto"/>
      </w:divBdr>
    </w:div>
    <w:div w:id="1859656622">
      <w:bodyDiv w:val="1"/>
      <w:marLeft w:val="0"/>
      <w:marRight w:val="0"/>
      <w:marTop w:val="0"/>
      <w:marBottom w:val="0"/>
      <w:divBdr>
        <w:top w:val="none" w:sz="0" w:space="0" w:color="auto"/>
        <w:left w:val="none" w:sz="0" w:space="0" w:color="auto"/>
        <w:bottom w:val="none" w:sz="0" w:space="0" w:color="auto"/>
        <w:right w:val="none" w:sz="0" w:space="0" w:color="auto"/>
      </w:divBdr>
    </w:div>
    <w:div w:id="1859811839">
      <w:bodyDiv w:val="1"/>
      <w:marLeft w:val="0"/>
      <w:marRight w:val="0"/>
      <w:marTop w:val="0"/>
      <w:marBottom w:val="0"/>
      <w:divBdr>
        <w:top w:val="none" w:sz="0" w:space="0" w:color="auto"/>
        <w:left w:val="none" w:sz="0" w:space="0" w:color="auto"/>
        <w:bottom w:val="none" w:sz="0" w:space="0" w:color="auto"/>
        <w:right w:val="none" w:sz="0" w:space="0" w:color="auto"/>
      </w:divBdr>
    </w:div>
    <w:div w:id="1860075131">
      <w:bodyDiv w:val="1"/>
      <w:marLeft w:val="0"/>
      <w:marRight w:val="0"/>
      <w:marTop w:val="0"/>
      <w:marBottom w:val="0"/>
      <w:divBdr>
        <w:top w:val="none" w:sz="0" w:space="0" w:color="auto"/>
        <w:left w:val="none" w:sz="0" w:space="0" w:color="auto"/>
        <w:bottom w:val="none" w:sz="0" w:space="0" w:color="auto"/>
        <w:right w:val="none" w:sz="0" w:space="0" w:color="auto"/>
      </w:divBdr>
    </w:div>
    <w:div w:id="1860125531">
      <w:bodyDiv w:val="1"/>
      <w:marLeft w:val="0"/>
      <w:marRight w:val="0"/>
      <w:marTop w:val="0"/>
      <w:marBottom w:val="0"/>
      <w:divBdr>
        <w:top w:val="none" w:sz="0" w:space="0" w:color="auto"/>
        <w:left w:val="none" w:sz="0" w:space="0" w:color="auto"/>
        <w:bottom w:val="none" w:sz="0" w:space="0" w:color="auto"/>
        <w:right w:val="none" w:sz="0" w:space="0" w:color="auto"/>
      </w:divBdr>
    </w:div>
    <w:div w:id="1860385567">
      <w:bodyDiv w:val="1"/>
      <w:marLeft w:val="0"/>
      <w:marRight w:val="0"/>
      <w:marTop w:val="0"/>
      <w:marBottom w:val="0"/>
      <w:divBdr>
        <w:top w:val="none" w:sz="0" w:space="0" w:color="auto"/>
        <w:left w:val="none" w:sz="0" w:space="0" w:color="auto"/>
        <w:bottom w:val="none" w:sz="0" w:space="0" w:color="auto"/>
        <w:right w:val="none" w:sz="0" w:space="0" w:color="auto"/>
      </w:divBdr>
    </w:div>
    <w:div w:id="1860460120">
      <w:bodyDiv w:val="1"/>
      <w:marLeft w:val="0"/>
      <w:marRight w:val="0"/>
      <w:marTop w:val="0"/>
      <w:marBottom w:val="0"/>
      <w:divBdr>
        <w:top w:val="none" w:sz="0" w:space="0" w:color="auto"/>
        <w:left w:val="none" w:sz="0" w:space="0" w:color="auto"/>
        <w:bottom w:val="none" w:sz="0" w:space="0" w:color="auto"/>
        <w:right w:val="none" w:sz="0" w:space="0" w:color="auto"/>
      </w:divBdr>
    </w:div>
    <w:div w:id="1860582088">
      <w:bodyDiv w:val="1"/>
      <w:marLeft w:val="0"/>
      <w:marRight w:val="0"/>
      <w:marTop w:val="0"/>
      <w:marBottom w:val="0"/>
      <w:divBdr>
        <w:top w:val="none" w:sz="0" w:space="0" w:color="auto"/>
        <w:left w:val="none" w:sz="0" w:space="0" w:color="auto"/>
        <w:bottom w:val="none" w:sz="0" w:space="0" w:color="auto"/>
        <w:right w:val="none" w:sz="0" w:space="0" w:color="auto"/>
      </w:divBdr>
    </w:div>
    <w:div w:id="1860852825">
      <w:bodyDiv w:val="1"/>
      <w:marLeft w:val="0"/>
      <w:marRight w:val="0"/>
      <w:marTop w:val="0"/>
      <w:marBottom w:val="0"/>
      <w:divBdr>
        <w:top w:val="none" w:sz="0" w:space="0" w:color="auto"/>
        <w:left w:val="none" w:sz="0" w:space="0" w:color="auto"/>
        <w:bottom w:val="none" w:sz="0" w:space="0" w:color="auto"/>
        <w:right w:val="none" w:sz="0" w:space="0" w:color="auto"/>
      </w:divBdr>
    </w:div>
    <w:div w:id="1861118996">
      <w:bodyDiv w:val="1"/>
      <w:marLeft w:val="0"/>
      <w:marRight w:val="0"/>
      <w:marTop w:val="0"/>
      <w:marBottom w:val="0"/>
      <w:divBdr>
        <w:top w:val="none" w:sz="0" w:space="0" w:color="auto"/>
        <w:left w:val="none" w:sz="0" w:space="0" w:color="auto"/>
        <w:bottom w:val="none" w:sz="0" w:space="0" w:color="auto"/>
        <w:right w:val="none" w:sz="0" w:space="0" w:color="auto"/>
      </w:divBdr>
    </w:div>
    <w:div w:id="1861163332">
      <w:bodyDiv w:val="1"/>
      <w:marLeft w:val="0"/>
      <w:marRight w:val="0"/>
      <w:marTop w:val="0"/>
      <w:marBottom w:val="0"/>
      <w:divBdr>
        <w:top w:val="none" w:sz="0" w:space="0" w:color="auto"/>
        <w:left w:val="none" w:sz="0" w:space="0" w:color="auto"/>
        <w:bottom w:val="none" w:sz="0" w:space="0" w:color="auto"/>
        <w:right w:val="none" w:sz="0" w:space="0" w:color="auto"/>
      </w:divBdr>
    </w:div>
    <w:div w:id="1861239333">
      <w:bodyDiv w:val="1"/>
      <w:marLeft w:val="0"/>
      <w:marRight w:val="0"/>
      <w:marTop w:val="0"/>
      <w:marBottom w:val="0"/>
      <w:divBdr>
        <w:top w:val="none" w:sz="0" w:space="0" w:color="auto"/>
        <w:left w:val="none" w:sz="0" w:space="0" w:color="auto"/>
        <w:bottom w:val="none" w:sz="0" w:space="0" w:color="auto"/>
        <w:right w:val="none" w:sz="0" w:space="0" w:color="auto"/>
      </w:divBdr>
    </w:div>
    <w:div w:id="1861357761">
      <w:bodyDiv w:val="1"/>
      <w:marLeft w:val="0"/>
      <w:marRight w:val="0"/>
      <w:marTop w:val="0"/>
      <w:marBottom w:val="0"/>
      <w:divBdr>
        <w:top w:val="none" w:sz="0" w:space="0" w:color="auto"/>
        <w:left w:val="none" w:sz="0" w:space="0" w:color="auto"/>
        <w:bottom w:val="none" w:sz="0" w:space="0" w:color="auto"/>
        <w:right w:val="none" w:sz="0" w:space="0" w:color="auto"/>
      </w:divBdr>
    </w:div>
    <w:div w:id="1861432123">
      <w:bodyDiv w:val="1"/>
      <w:marLeft w:val="0"/>
      <w:marRight w:val="0"/>
      <w:marTop w:val="0"/>
      <w:marBottom w:val="0"/>
      <w:divBdr>
        <w:top w:val="none" w:sz="0" w:space="0" w:color="auto"/>
        <w:left w:val="none" w:sz="0" w:space="0" w:color="auto"/>
        <w:bottom w:val="none" w:sz="0" w:space="0" w:color="auto"/>
        <w:right w:val="none" w:sz="0" w:space="0" w:color="auto"/>
      </w:divBdr>
    </w:div>
    <w:div w:id="1861436086">
      <w:bodyDiv w:val="1"/>
      <w:marLeft w:val="0"/>
      <w:marRight w:val="0"/>
      <w:marTop w:val="0"/>
      <w:marBottom w:val="0"/>
      <w:divBdr>
        <w:top w:val="none" w:sz="0" w:space="0" w:color="auto"/>
        <w:left w:val="none" w:sz="0" w:space="0" w:color="auto"/>
        <w:bottom w:val="none" w:sz="0" w:space="0" w:color="auto"/>
        <w:right w:val="none" w:sz="0" w:space="0" w:color="auto"/>
      </w:divBdr>
    </w:div>
    <w:div w:id="1861552037">
      <w:bodyDiv w:val="1"/>
      <w:marLeft w:val="0"/>
      <w:marRight w:val="0"/>
      <w:marTop w:val="0"/>
      <w:marBottom w:val="0"/>
      <w:divBdr>
        <w:top w:val="none" w:sz="0" w:space="0" w:color="auto"/>
        <w:left w:val="none" w:sz="0" w:space="0" w:color="auto"/>
        <w:bottom w:val="none" w:sz="0" w:space="0" w:color="auto"/>
        <w:right w:val="none" w:sz="0" w:space="0" w:color="auto"/>
      </w:divBdr>
    </w:div>
    <w:div w:id="1861775816">
      <w:bodyDiv w:val="1"/>
      <w:marLeft w:val="0"/>
      <w:marRight w:val="0"/>
      <w:marTop w:val="0"/>
      <w:marBottom w:val="0"/>
      <w:divBdr>
        <w:top w:val="none" w:sz="0" w:space="0" w:color="auto"/>
        <w:left w:val="none" w:sz="0" w:space="0" w:color="auto"/>
        <w:bottom w:val="none" w:sz="0" w:space="0" w:color="auto"/>
        <w:right w:val="none" w:sz="0" w:space="0" w:color="auto"/>
      </w:divBdr>
    </w:div>
    <w:div w:id="1861892060">
      <w:bodyDiv w:val="1"/>
      <w:marLeft w:val="0"/>
      <w:marRight w:val="0"/>
      <w:marTop w:val="0"/>
      <w:marBottom w:val="0"/>
      <w:divBdr>
        <w:top w:val="none" w:sz="0" w:space="0" w:color="auto"/>
        <w:left w:val="none" w:sz="0" w:space="0" w:color="auto"/>
        <w:bottom w:val="none" w:sz="0" w:space="0" w:color="auto"/>
        <w:right w:val="none" w:sz="0" w:space="0" w:color="auto"/>
      </w:divBdr>
    </w:div>
    <w:div w:id="1862010376">
      <w:bodyDiv w:val="1"/>
      <w:marLeft w:val="0"/>
      <w:marRight w:val="0"/>
      <w:marTop w:val="0"/>
      <w:marBottom w:val="0"/>
      <w:divBdr>
        <w:top w:val="none" w:sz="0" w:space="0" w:color="auto"/>
        <w:left w:val="none" w:sz="0" w:space="0" w:color="auto"/>
        <w:bottom w:val="none" w:sz="0" w:space="0" w:color="auto"/>
        <w:right w:val="none" w:sz="0" w:space="0" w:color="auto"/>
      </w:divBdr>
    </w:div>
    <w:div w:id="1863277077">
      <w:bodyDiv w:val="1"/>
      <w:marLeft w:val="0"/>
      <w:marRight w:val="0"/>
      <w:marTop w:val="0"/>
      <w:marBottom w:val="0"/>
      <w:divBdr>
        <w:top w:val="none" w:sz="0" w:space="0" w:color="auto"/>
        <w:left w:val="none" w:sz="0" w:space="0" w:color="auto"/>
        <w:bottom w:val="none" w:sz="0" w:space="0" w:color="auto"/>
        <w:right w:val="none" w:sz="0" w:space="0" w:color="auto"/>
      </w:divBdr>
    </w:div>
    <w:div w:id="1863392451">
      <w:bodyDiv w:val="1"/>
      <w:marLeft w:val="0"/>
      <w:marRight w:val="0"/>
      <w:marTop w:val="0"/>
      <w:marBottom w:val="0"/>
      <w:divBdr>
        <w:top w:val="none" w:sz="0" w:space="0" w:color="auto"/>
        <w:left w:val="none" w:sz="0" w:space="0" w:color="auto"/>
        <w:bottom w:val="none" w:sz="0" w:space="0" w:color="auto"/>
        <w:right w:val="none" w:sz="0" w:space="0" w:color="auto"/>
      </w:divBdr>
    </w:div>
    <w:div w:id="1863467529">
      <w:bodyDiv w:val="1"/>
      <w:marLeft w:val="0"/>
      <w:marRight w:val="0"/>
      <w:marTop w:val="0"/>
      <w:marBottom w:val="0"/>
      <w:divBdr>
        <w:top w:val="none" w:sz="0" w:space="0" w:color="auto"/>
        <w:left w:val="none" w:sz="0" w:space="0" w:color="auto"/>
        <w:bottom w:val="none" w:sz="0" w:space="0" w:color="auto"/>
        <w:right w:val="none" w:sz="0" w:space="0" w:color="auto"/>
      </w:divBdr>
    </w:div>
    <w:div w:id="1863472862">
      <w:bodyDiv w:val="1"/>
      <w:marLeft w:val="0"/>
      <w:marRight w:val="0"/>
      <w:marTop w:val="0"/>
      <w:marBottom w:val="0"/>
      <w:divBdr>
        <w:top w:val="none" w:sz="0" w:space="0" w:color="auto"/>
        <w:left w:val="none" w:sz="0" w:space="0" w:color="auto"/>
        <w:bottom w:val="none" w:sz="0" w:space="0" w:color="auto"/>
        <w:right w:val="none" w:sz="0" w:space="0" w:color="auto"/>
      </w:divBdr>
    </w:div>
    <w:div w:id="1863473561">
      <w:bodyDiv w:val="1"/>
      <w:marLeft w:val="0"/>
      <w:marRight w:val="0"/>
      <w:marTop w:val="0"/>
      <w:marBottom w:val="0"/>
      <w:divBdr>
        <w:top w:val="none" w:sz="0" w:space="0" w:color="auto"/>
        <w:left w:val="none" w:sz="0" w:space="0" w:color="auto"/>
        <w:bottom w:val="none" w:sz="0" w:space="0" w:color="auto"/>
        <w:right w:val="none" w:sz="0" w:space="0" w:color="auto"/>
      </w:divBdr>
    </w:div>
    <w:div w:id="1863669601">
      <w:bodyDiv w:val="1"/>
      <w:marLeft w:val="0"/>
      <w:marRight w:val="0"/>
      <w:marTop w:val="0"/>
      <w:marBottom w:val="0"/>
      <w:divBdr>
        <w:top w:val="none" w:sz="0" w:space="0" w:color="auto"/>
        <w:left w:val="none" w:sz="0" w:space="0" w:color="auto"/>
        <w:bottom w:val="none" w:sz="0" w:space="0" w:color="auto"/>
        <w:right w:val="none" w:sz="0" w:space="0" w:color="auto"/>
      </w:divBdr>
    </w:div>
    <w:div w:id="1863736607">
      <w:bodyDiv w:val="1"/>
      <w:marLeft w:val="0"/>
      <w:marRight w:val="0"/>
      <w:marTop w:val="0"/>
      <w:marBottom w:val="0"/>
      <w:divBdr>
        <w:top w:val="none" w:sz="0" w:space="0" w:color="auto"/>
        <w:left w:val="none" w:sz="0" w:space="0" w:color="auto"/>
        <w:bottom w:val="none" w:sz="0" w:space="0" w:color="auto"/>
        <w:right w:val="none" w:sz="0" w:space="0" w:color="auto"/>
      </w:divBdr>
    </w:div>
    <w:div w:id="1863744301">
      <w:bodyDiv w:val="1"/>
      <w:marLeft w:val="0"/>
      <w:marRight w:val="0"/>
      <w:marTop w:val="0"/>
      <w:marBottom w:val="0"/>
      <w:divBdr>
        <w:top w:val="none" w:sz="0" w:space="0" w:color="auto"/>
        <w:left w:val="none" w:sz="0" w:space="0" w:color="auto"/>
        <w:bottom w:val="none" w:sz="0" w:space="0" w:color="auto"/>
        <w:right w:val="none" w:sz="0" w:space="0" w:color="auto"/>
      </w:divBdr>
    </w:div>
    <w:div w:id="1864320480">
      <w:bodyDiv w:val="1"/>
      <w:marLeft w:val="0"/>
      <w:marRight w:val="0"/>
      <w:marTop w:val="0"/>
      <w:marBottom w:val="0"/>
      <w:divBdr>
        <w:top w:val="none" w:sz="0" w:space="0" w:color="auto"/>
        <w:left w:val="none" w:sz="0" w:space="0" w:color="auto"/>
        <w:bottom w:val="none" w:sz="0" w:space="0" w:color="auto"/>
        <w:right w:val="none" w:sz="0" w:space="0" w:color="auto"/>
      </w:divBdr>
    </w:div>
    <w:div w:id="1864439224">
      <w:bodyDiv w:val="1"/>
      <w:marLeft w:val="0"/>
      <w:marRight w:val="0"/>
      <w:marTop w:val="0"/>
      <w:marBottom w:val="0"/>
      <w:divBdr>
        <w:top w:val="none" w:sz="0" w:space="0" w:color="auto"/>
        <w:left w:val="none" w:sz="0" w:space="0" w:color="auto"/>
        <w:bottom w:val="none" w:sz="0" w:space="0" w:color="auto"/>
        <w:right w:val="none" w:sz="0" w:space="0" w:color="auto"/>
      </w:divBdr>
    </w:div>
    <w:div w:id="1864443242">
      <w:bodyDiv w:val="1"/>
      <w:marLeft w:val="0"/>
      <w:marRight w:val="0"/>
      <w:marTop w:val="0"/>
      <w:marBottom w:val="0"/>
      <w:divBdr>
        <w:top w:val="none" w:sz="0" w:space="0" w:color="auto"/>
        <w:left w:val="none" w:sz="0" w:space="0" w:color="auto"/>
        <w:bottom w:val="none" w:sz="0" w:space="0" w:color="auto"/>
        <w:right w:val="none" w:sz="0" w:space="0" w:color="auto"/>
      </w:divBdr>
    </w:div>
    <w:div w:id="1864516633">
      <w:bodyDiv w:val="1"/>
      <w:marLeft w:val="0"/>
      <w:marRight w:val="0"/>
      <w:marTop w:val="0"/>
      <w:marBottom w:val="0"/>
      <w:divBdr>
        <w:top w:val="none" w:sz="0" w:space="0" w:color="auto"/>
        <w:left w:val="none" w:sz="0" w:space="0" w:color="auto"/>
        <w:bottom w:val="none" w:sz="0" w:space="0" w:color="auto"/>
        <w:right w:val="none" w:sz="0" w:space="0" w:color="auto"/>
      </w:divBdr>
    </w:div>
    <w:div w:id="1864518687">
      <w:bodyDiv w:val="1"/>
      <w:marLeft w:val="0"/>
      <w:marRight w:val="0"/>
      <w:marTop w:val="0"/>
      <w:marBottom w:val="0"/>
      <w:divBdr>
        <w:top w:val="none" w:sz="0" w:space="0" w:color="auto"/>
        <w:left w:val="none" w:sz="0" w:space="0" w:color="auto"/>
        <w:bottom w:val="none" w:sz="0" w:space="0" w:color="auto"/>
        <w:right w:val="none" w:sz="0" w:space="0" w:color="auto"/>
      </w:divBdr>
    </w:div>
    <w:div w:id="1864586143">
      <w:bodyDiv w:val="1"/>
      <w:marLeft w:val="0"/>
      <w:marRight w:val="0"/>
      <w:marTop w:val="0"/>
      <w:marBottom w:val="0"/>
      <w:divBdr>
        <w:top w:val="none" w:sz="0" w:space="0" w:color="auto"/>
        <w:left w:val="none" w:sz="0" w:space="0" w:color="auto"/>
        <w:bottom w:val="none" w:sz="0" w:space="0" w:color="auto"/>
        <w:right w:val="none" w:sz="0" w:space="0" w:color="auto"/>
      </w:divBdr>
    </w:div>
    <w:div w:id="1864896264">
      <w:bodyDiv w:val="1"/>
      <w:marLeft w:val="0"/>
      <w:marRight w:val="0"/>
      <w:marTop w:val="0"/>
      <w:marBottom w:val="0"/>
      <w:divBdr>
        <w:top w:val="none" w:sz="0" w:space="0" w:color="auto"/>
        <w:left w:val="none" w:sz="0" w:space="0" w:color="auto"/>
        <w:bottom w:val="none" w:sz="0" w:space="0" w:color="auto"/>
        <w:right w:val="none" w:sz="0" w:space="0" w:color="auto"/>
      </w:divBdr>
    </w:div>
    <w:div w:id="1864904972">
      <w:bodyDiv w:val="1"/>
      <w:marLeft w:val="0"/>
      <w:marRight w:val="0"/>
      <w:marTop w:val="0"/>
      <w:marBottom w:val="0"/>
      <w:divBdr>
        <w:top w:val="none" w:sz="0" w:space="0" w:color="auto"/>
        <w:left w:val="none" w:sz="0" w:space="0" w:color="auto"/>
        <w:bottom w:val="none" w:sz="0" w:space="0" w:color="auto"/>
        <w:right w:val="none" w:sz="0" w:space="0" w:color="auto"/>
      </w:divBdr>
    </w:div>
    <w:div w:id="1865049926">
      <w:bodyDiv w:val="1"/>
      <w:marLeft w:val="0"/>
      <w:marRight w:val="0"/>
      <w:marTop w:val="0"/>
      <w:marBottom w:val="0"/>
      <w:divBdr>
        <w:top w:val="none" w:sz="0" w:space="0" w:color="auto"/>
        <w:left w:val="none" w:sz="0" w:space="0" w:color="auto"/>
        <w:bottom w:val="none" w:sz="0" w:space="0" w:color="auto"/>
        <w:right w:val="none" w:sz="0" w:space="0" w:color="auto"/>
      </w:divBdr>
    </w:div>
    <w:div w:id="1865089963">
      <w:bodyDiv w:val="1"/>
      <w:marLeft w:val="0"/>
      <w:marRight w:val="0"/>
      <w:marTop w:val="0"/>
      <w:marBottom w:val="0"/>
      <w:divBdr>
        <w:top w:val="none" w:sz="0" w:space="0" w:color="auto"/>
        <w:left w:val="none" w:sz="0" w:space="0" w:color="auto"/>
        <w:bottom w:val="none" w:sz="0" w:space="0" w:color="auto"/>
        <w:right w:val="none" w:sz="0" w:space="0" w:color="auto"/>
      </w:divBdr>
    </w:div>
    <w:div w:id="1865091559">
      <w:bodyDiv w:val="1"/>
      <w:marLeft w:val="0"/>
      <w:marRight w:val="0"/>
      <w:marTop w:val="0"/>
      <w:marBottom w:val="0"/>
      <w:divBdr>
        <w:top w:val="none" w:sz="0" w:space="0" w:color="auto"/>
        <w:left w:val="none" w:sz="0" w:space="0" w:color="auto"/>
        <w:bottom w:val="none" w:sz="0" w:space="0" w:color="auto"/>
        <w:right w:val="none" w:sz="0" w:space="0" w:color="auto"/>
      </w:divBdr>
    </w:div>
    <w:div w:id="1865248677">
      <w:bodyDiv w:val="1"/>
      <w:marLeft w:val="0"/>
      <w:marRight w:val="0"/>
      <w:marTop w:val="0"/>
      <w:marBottom w:val="0"/>
      <w:divBdr>
        <w:top w:val="none" w:sz="0" w:space="0" w:color="auto"/>
        <w:left w:val="none" w:sz="0" w:space="0" w:color="auto"/>
        <w:bottom w:val="none" w:sz="0" w:space="0" w:color="auto"/>
        <w:right w:val="none" w:sz="0" w:space="0" w:color="auto"/>
      </w:divBdr>
    </w:div>
    <w:div w:id="1865442857">
      <w:bodyDiv w:val="1"/>
      <w:marLeft w:val="0"/>
      <w:marRight w:val="0"/>
      <w:marTop w:val="0"/>
      <w:marBottom w:val="0"/>
      <w:divBdr>
        <w:top w:val="none" w:sz="0" w:space="0" w:color="auto"/>
        <w:left w:val="none" w:sz="0" w:space="0" w:color="auto"/>
        <w:bottom w:val="none" w:sz="0" w:space="0" w:color="auto"/>
        <w:right w:val="none" w:sz="0" w:space="0" w:color="auto"/>
      </w:divBdr>
    </w:div>
    <w:div w:id="1865821679">
      <w:bodyDiv w:val="1"/>
      <w:marLeft w:val="0"/>
      <w:marRight w:val="0"/>
      <w:marTop w:val="0"/>
      <w:marBottom w:val="0"/>
      <w:divBdr>
        <w:top w:val="none" w:sz="0" w:space="0" w:color="auto"/>
        <w:left w:val="none" w:sz="0" w:space="0" w:color="auto"/>
        <w:bottom w:val="none" w:sz="0" w:space="0" w:color="auto"/>
        <w:right w:val="none" w:sz="0" w:space="0" w:color="auto"/>
      </w:divBdr>
    </w:div>
    <w:div w:id="1865945305">
      <w:bodyDiv w:val="1"/>
      <w:marLeft w:val="0"/>
      <w:marRight w:val="0"/>
      <w:marTop w:val="0"/>
      <w:marBottom w:val="0"/>
      <w:divBdr>
        <w:top w:val="none" w:sz="0" w:space="0" w:color="auto"/>
        <w:left w:val="none" w:sz="0" w:space="0" w:color="auto"/>
        <w:bottom w:val="none" w:sz="0" w:space="0" w:color="auto"/>
        <w:right w:val="none" w:sz="0" w:space="0" w:color="auto"/>
      </w:divBdr>
    </w:div>
    <w:div w:id="1865972961">
      <w:bodyDiv w:val="1"/>
      <w:marLeft w:val="0"/>
      <w:marRight w:val="0"/>
      <w:marTop w:val="0"/>
      <w:marBottom w:val="0"/>
      <w:divBdr>
        <w:top w:val="none" w:sz="0" w:space="0" w:color="auto"/>
        <w:left w:val="none" w:sz="0" w:space="0" w:color="auto"/>
        <w:bottom w:val="none" w:sz="0" w:space="0" w:color="auto"/>
        <w:right w:val="none" w:sz="0" w:space="0" w:color="auto"/>
      </w:divBdr>
    </w:div>
    <w:div w:id="1866139284">
      <w:bodyDiv w:val="1"/>
      <w:marLeft w:val="0"/>
      <w:marRight w:val="0"/>
      <w:marTop w:val="0"/>
      <w:marBottom w:val="0"/>
      <w:divBdr>
        <w:top w:val="none" w:sz="0" w:space="0" w:color="auto"/>
        <w:left w:val="none" w:sz="0" w:space="0" w:color="auto"/>
        <w:bottom w:val="none" w:sz="0" w:space="0" w:color="auto"/>
        <w:right w:val="none" w:sz="0" w:space="0" w:color="auto"/>
      </w:divBdr>
    </w:div>
    <w:div w:id="1866405495">
      <w:bodyDiv w:val="1"/>
      <w:marLeft w:val="0"/>
      <w:marRight w:val="0"/>
      <w:marTop w:val="0"/>
      <w:marBottom w:val="0"/>
      <w:divBdr>
        <w:top w:val="none" w:sz="0" w:space="0" w:color="auto"/>
        <w:left w:val="none" w:sz="0" w:space="0" w:color="auto"/>
        <w:bottom w:val="none" w:sz="0" w:space="0" w:color="auto"/>
        <w:right w:val="none" w:sz="0" w:space="0" w:color="auto"/>
      </w:divBdr>
    </w:div>
    <w:div w:id="1866559137">
      <w:bodyDiv w:val="1"/>
      <w:marLeft w:val="0"/>
      <w:marRight w:val="0"/>
      <w:marTop w:val="0"/>
      <w:marBottom w:val="0"/>
      <w:divBdr>
        <w:top w:val="none" w:sz="0" w:space="0" w:color="auto"/>
        <w:left w:val="none" w:sz="0" w:space="0" w:color="auto"/>
        <w:bottom w:val="none" w:sz="0" w:space="0" w:color="auto"/>
        <w:right w:val="none" w:sz="0" w:space="0" w:color="auto"/>
      </w:divBdr>
    </w:div>
    <w:div w:id="1866746040">
      <w:bodyDiv w:val="1"/>
      <w:marLeft w:val="0"/>
      <w:marRight w:val="0"/>
      <w:marTop w:val="0"/>
      <w:marBottom w:val="0"/>
      <w:divBdr>
        <w:top w:val="none" w:sz="0" w:space="0" w:color="auto"/>
        <w:left w:val="none" w:sz="0" w:space="0" w:color="auto"/>
        <w:bottom w:val="none" w:sz="0" w:space="0" w:color="auto"/>
        <w:right w:val="none" w:sz="0" w:space="0" w:color="auto"/>
      </w:divBdr>
    </w:div>
    <w:div w:id="1866747412">
      <w:bodyDiv w:val="1"/>
      <w:marLeft w:val="0"/>
      <w:marRight w:val="0"/>
      <w:marTop w:val="0"/>
      <w:marBottom w:val="0"/>
      <w:divBdr>
        <w:top w:val="none" w:sz="0" w:space="0" w:color="auto"/>
        <w:left w:val="none" w:sz="0" w:space="0" w:color="auto"/>
        <w:bottom w:val="none" w:sz="0" w:space="0" w:color="auto"/>
        <w:right w:val="none" w:sz="0" w:space="0" w:color="auto"/>
      </w:divBdr>
    </w:div>
    <w:div w:id="1866820282">
      <w:bodyDiv w:val="1"/>
      <w:marLeft w:val="0"/>
      <w:marRight w:val="0"/>
      <w:marTop w:val="0"/>
      <w:marBottom w:val="0"/>
      <w:divBdr>
        <w:top w:val="none" w:sz="0" w:space="0" w:color="auto"/>
        <w:left w:val="none" w:sz="0" w:space="0" w:color="auto"/>
        <w:bottom w:val="none" w:sz="0" w:space="0" w:color="auto"/>
        <w:right w:val="none" w:sz="0" w:space="0" w:color="auto"/>
      </w:divBdr>
    </w:div>
    <w:div w:id="1866867196">
      <w:bodyDiv w:val="1"/>
      <w:marLeft w:val="0"/>
      <w:marRight w:val="0"/>
      <w:marTop w:val="0"/>
      <w:marBottom w:val="0"/>
      <w:divBdr>
        <w:top w:val="none" w:sz="0" w:space="0" w:color="auto"/>
        <w:left w:val="none" w:sz="0" w:space="0" w:color="auto"/>
        <w:bottom w:val="none" w:sz="0" w:space="0" w:color="auto"/>
        <w:right w:val="none" w:sz="0" w:space="0" w:color="auto"/>
      </w:divBdr>
    </w:div>
    <w:div w:id="1866867552">
      <w:bodyDiv w:val="1"/>
      <w:marLeft w:val="0"/>
      <w:marRight w:val="0"/>
      <w:marTop w:val="0"/>
      <w:marBottom w:val="0"/>
      <w:divBdr>
        <w:top w:val="none" w:sz="0" w:space="0" w:color="auto"/>
        <w:left w:val="none" w:sz="0" w:space="0" w:color="auto"/>
        <w:bottom w:val="none" w:sz="0" w:space="0" w:color="auto"/>
        <w:right w:val="none" w:sz="0" w:space="0" w:color="auto"/>
      </w:divBdr>
    </w:div>
    <w:div w:id="1867138167">
      <w:bodyDiv w:val="1"/>
      <w:marLeft w:val="0"/>
      <w:marRight w:val="0"/>
      <w:marTop w:val="0"/>
      <w:marBottom w:val="0"/>
      <w:divBdr>
        <w:top w:val="none" w:sz="0" w:space="0" w:color="auto"/>
        <w:left w:val="none" w:sz="0" w:space="0" w:color="auto"/>
        <w:bottom w:val="none" w:sz="0" w:space="0" w:color="auto"/>
        <w:right w:val="none" w:sz="0" w:space="0" w:color="auto"/>
      </w:divBdr>
    </w:div>
    <w:div w:id="1867213452">
      <w:bodyDiv w:val="1"/>
      <w:marLeft w:val="0"/>
      <w:marRight w:val="0"/>
      <w:marTop w:val="0"/>
      <w:marBottom w:val="0"/>
      <w:divBdr>
        <w:top w:val="none" w:sz="0" w:space="0" w:color="auto"/>
        <w:left w:val="none" w:sz="0" w:space="0" w:color="auto"/>
        <w:bottom w:val="none" w:sz="0" w:space="0" w:color="auto"/>
        <w:right w:val="none" w:sz="0" w:space="0" w:color="auto"/>
      </w:divBdr>
    </w:div>
    <w:div w:id="1867215100">
      <w:bodyDiv w:val="1"/>
      <w:marLeft w:val="0"/>
      <w:marRight w:val="0"/>
      <w:marTop w:val="0"/>
      <w:marBottom w:val="0"/>
      <w:divBdr>
        <w:top w:val="none" w:sz="0" w:space="0" w:color="auto"/>
        <w:left w:val="none" w:sz="0" w:space="0" w:color="auto"/>
        <w:bottom w:val="none" w:sz="0" w:space="0" w:color="auto"/>
        <w:right w:val="none" w:sz="0" w:space="0" w:color="auto"/>
      </w:divBdr>
    </w:div>
    <w:div w:id="1867255071">
      <w:bodyDiv w:val="1"/>
      <w:marLeft w:val="0"/>
      <w:marRight w:val="0"/>
      <w:marTop w:val="0"/>
      <w:marBottom w:val="0"/>
      <w:divBdr>
        <w:top w:val="none" w:sz="0" w:space="0" w:color="auto"/>
        <w:left w:val="none" w:sz="0" w:space="0" w:color="auto"/>
        <w:bottom w:val="none" w:sz="0" w:space="0" w:color="auto"/>
        <w:right w:val="none" w:sz="0" w:space="0" w:color="auto"/>
      </w:divBdr>
    </w:div>
    <w:div w:id="1867448455">
      <w:bodyDiv w:val="1"/>
      <w:marLeft w:val="0"/>
      <w:marRight w:val="0"/>
      <w:marTop w:val="0"/>
      <w:marBottom w:val="0"/>
      <w:divBdr>
        <w:top w:val="none" w:sz="0" w:space="0" w:color="auto"/>
        <w:left w:val="none" w:sz="0" w:space="0" w:color="auto"/>
        <w:bottom w:val="none" w:sz="0" w:space="0" w:color="auto"/>
        <w:right w:val="none" w:sz="0" w:space="0" w:color="auto"/>
      </w:divBdr>
    </w:div>
    <w:div w:id="1867479134">
      <w:bodyDiv w:val="1"/>
      <w:marLeft w:val="0"/>
      <w:marRight w:val="0"/>
      <w:marTop w:val="0"/>
      <w:marBottom w:val="0"/>
      <w:divBdr>
        <w:top w:val="none" w:sz="0" w:space="0" w:color="auto"/>
        <w:left w:val="none" w:sz="0" w:space="0" w:color="auto"/>
        <w:bottom w:val="none" w:sz="0" w:space="0" w:color="auto"/>
        <w:right w:val="none" w:sz="0" w:space="0" w:color="auto"/>
      </w:divBdr>
    </w:div>
    <w:div w:id="1867713131">
      <w:bodyDiv w:val="1"/>
      <w:marLeft w:val="0"/>
      <w:marRight w:val="0"/>
      <w:marTop w:val="0"/>
      <w:marBottom w:val="0"/>
      <w:divBdr>
        <w:top w:val="none" w:sz="0" w:space="0" w:color="auto"/>
        <w:left w:val="none" w:sz="0" w:space="0" w:color="auto"/>
        <w:bottom w:val="none" w:sz="0" w:space="0" w:color="auto"/>
        <w:right w:val="none" w:sz="0" w:space="0" w:color="auto"/>
      </w:divBdr>
    </w:div>
    <w:div w:id="1867862726">
      <w:bodyDiv w:val="1"/>
      <w:marLeft w:val="0"/>
      <w:marRight w:val="0"/>
      <w:marTop w:val="0"/>
      <w:marBottom w:val="0"/>
      <w:divBdr>
        <w:top w:val="none" w:sz="0" w:space="0" w:color="auto"/>
        <w:left w:val="none" w:sz="0" w:space="0" w:color="auto"/>
        <w:bottom w:val="none" w:sz="0" w:space="0" w:color="auto"/>
        <w:right w:val="none" w:sz="0" w:space="0" w:color="auto"/>
      </w:divBdr>
    </w:div>
    <w:div w:id="1867987697">
      <w:bodyDiv w:val="1"/>
      <w:marLeft w:val="0"/>
      <w:marRight w:val="0"/>
      <w:marTop w:val="0"/>
      <w:marBottom w:val="0"/>
      <w:divBdr>
        <w:top w:val="none" w:sz="0" w:space="0" w:color="auto"/>
        <w:left w:val="none" w:sz="0" w:space="0" w:color="auto"/>
        <w:bottom w:val="none" w:sz="0" w:space="0" w:color="auto"/>
        <w:right w:val="none" w:sz="0" w:space="0" w:color="auto"/>
      </w:divBdr>
    </w:div>
    <w:div w:id="1867987873">
      <w:bodyDiv w:val="1"/>
      <w:marLeft w:val="0"/>
      <w:marRight w:val="0"/>
      <w:marTop w:val="0"/>
      <w:marBottom w:val="0"/>
      <w:divBdr>
        <w:top w:val="none" w:sz="0" w:space="0" w:color="auto"/>
        <w:left w:val="none" w:sz="0" w:space="0" w:color="auto"/>
        <w:bottom w:val="none" w:sz="0" w:space="0" w:color="auto"/>
        <w:right w:val="none" w:sz="0" w:space="0" w:color="auto"/>
      </w:divBdr>
    </w:div>
    <w:div w:id="1868056048">
      <w:bodyDiv w:val="1"/>
      <w:marLeft w:val="0"/>
      <w:marRight w:val="0"/>
      <w:marTop w:val="0"/>
      <w:marBottom w:val="0"/>
      <w:divBdr>
        <w:top w:val="none" w:sz="0" w:space="0" w:color="auto"/>
        <w:left w:val="none" w:sz="0" w:space="0" w:color="auto"/>
        <w:bottom w:val="none" w:sz="0" w:space="0" w:color="auto"/>
        <w:right w:val="none" w:sz="0" w:space="0" w:color="auto"/>
      </w:divBdr>
    </w:div>
    <w:div w:id="1868328992">
      <w:bodyDiv w:val="1"/>
      <w:marLeft w:val="0"/>
      <w:marRight w:val="0"/>
      <w:marTop w:val="0"/>
      <w:marBottom w:val="0"/>
      <w:divBdr>
        <w:top w:val="none" w:sz="0" w:space="0" w:color="auto"/>
        <w:left w:val="none" w:sz="0" w:space="0" w:color="auto"/>
        <w:bottom w:val="none" w:sz="0" w:space="0" w:color="auto"/>
        <w:right w:val="none" w:sz="0" w:space="0" w:color="auto"/>
      </w:divBdr>
    </w:div>
    <w:div w:id="1868375442">
      <w:bodyDiv w:val="1"/>
      <w:marLeft w:val="0"/>
      <w:marRight w:val="0"/>
      <w:marTop w:val="0"/>
      <w:marBottom w:val="0"/>
      <w:divBdr>
        <w:top w:val="none" w:sz="0" w:space="0" w:color="auto"/>
        <w:left w:val="none" w:sz="0" w:space="0" w:color="auto"/>
        <w:bottom w:val="none" w:sz="0" w:space="0" w:color="auto"/>
        <w:right w:val="none" w:sz="0" w:space="0" w:color="auto"/>
      </w:divBdr>
    </w:div>
    <w:div w:id="1868522332">
      <w:bodyDiv w:val="1"/>
      <w:marLeft w:val="0"/>
      <w:marRight w:val="0"/>
      <w:marTop w:val="0"/>
      <w:marBottom w:val="0"/>
      <w:divBdr>
        <w:top w:val="none" w:sz="0" w:space="0" w:color="auto"/>
        <w:left w:val="none" w:sz="0" w:space="0" w:color="auto"/>
        <w:bottom w:val="none" w:sz="0" w:space="0" w:color="auto"/>
        <w:right w:val="none" w:sz="0" w:space="0" w:color="auto"/>
      </w:divBdr>
    </w:div>
    <w:div w:id="1868524997">
      <w:bodyDiv w:val="1"/>
      <w:marLeft w:val="0"/>
      <w:marRight w:val="0"/>
      <w:marTop w:val="0"/>
      <w:marBottom w:val="0"/>
      <w:divBdr>
        <w:top w:val="none" w:sz="0" w:space="0" w:color="auto"/>
        <w:left w:val="none" w:sz="0" w:space="0" w:color="auto"/>
        <w:bottom w:val="none" w:sz="0" w:space="0" w:color="auto"/>
        <w:right w:val="none" w:sz="0" w:space="0" w:color="auto"/>
      </w:divBdr>
    </w:div>
    <w:div w:id="1868716559">
      <w:bodyDiv w:val="1"/>
      <w:marLeft w:val="0"/>
      <w:marRight w:val="0"/>
      <w:marTop w:val="0"/>
      <w:marBottom w:val="0"/>
      <w:divBdr>
        <w:top w:val="none" w:sz="0" w:space="0" w:color="auto"/>
        <w:left w:val="none" w:sz="0" w:space="0" w:color="auto"/>
        <w:bottom w:val="none" w:sz="0" w:space="0" w:color="auto"/>
        <w:right w:val="none" w:sz="0" w:space="0" w:color="auto"/>
      </w:divBdr>
    </w:div>
    <w:div w:id="1868788973">
      <w:bodyDiv w:val="1"/>
      <w:marLeft w:val="0"/>
      <w:marRight w:val="0"/>
      <w:marTop w:val="0"/>
      <w:marBottom w:val="0"/>
      <w:divBdr>
        <w:top w:val="none" w:sz="0" w:space="0" w:color="auto"/>
        <w:left w:val="none" w:sz="0" w:space="0" w:color="auto"/>
        <w:bottom w:val="none" w:sz="0" w:space="0" w:color="auto"/>
        <w:right w:val="none" w:sz="0" w:space="0" w:color="auto"/>
      </w:divBdr>
    </w:div>
    <w:div w:id="1868903815">
      <w:bodyDiv w:val="1"/>
      <w:marLeft w:val="0"/>
      <w:marRight w:val="0"/>
      <w:marTop w:val="0"/>
      <w:marBottom w:val="0"/>
      <w:divBdr>
        <w:top w:val="none" w:sz="0" w:space="0" w:color="auto"/>
        <w:left w:val="none" w:sz="0" w:space="0" w:color="auto"/>
        <w:bottom w:val="none" w:sz="0" w:space="0" w:color="auto"/>
        <w:right w:val="none" w:sz="0" w:space="0" w:color="auto"/>
      </w:divBdr>
    </w:div>
    <w:div w:id="1868982046">
      <w:bodyDiv w:val="1"/>
      <w:marLeft w:val="0"/>
      <w:marRight w:val="0"/>
      <w:marTop w:val="0"/>
      <w:marBottom w:val="0"/>
      <w:divBdr>
        <w:top w:val="none" w:sz="0" w:space="0" w:color="auto"/>
        <w:left w:val="none" w:sz="0" w:space="0" w:color="auto"/>
        <w:bottom w:val="none" w:sz="0" w:space="0" w:color="auto"/>
        <w:right w:val="none" w:sz="0" w:space="0" w:color="auto"/>
      </w:divBdr>
    </w:div>
    <w:div w:id="1869096890">
      <w:bodyDiv w:val="1"/>
      <w:marLeft w:val="0"/>
      <w:marRight w:val="0"/>
      <w:marTop w:val="0"/>
      <w:marBottom w:val="0"/>
      <w:divBdr>
        <w:top w:val="none" w:sz="0" w:space="0" w:color="auto"/>
        <w:left w:val="none" w:sz="0" w:space="0" w:color="auto"/>
        <w:bottom w:val="none" w:sz="0" w:space="0" w:color="auto"/>
        <w:right w:val="none" w:sz="0" w:space="0" w:color="auto"/>
      </w:divBdr>
    </w:div>
    <w:div w:id="1869101724">
      <w:bodyDiv w:val="1"/>
      <w:marLeft w:val="0"/>
      <w:marRight w:val="0"/>
      <w:marTop w:val="0"/>
      <w:marBottom w:val="0"/>
      <w:divBdr>
        <w:top w:val="none" w:sz="0" w:space="0" w:color="auto"/>
        <w:left w:val="none" w:sz="0" w:space="0" w:color="auto"/>
        <w:bottom w:val="none" w:sz="0" w:space="0" w:color="auto"/>
        <w:right w:val="none" w:sz="0" w:space="0" w:color="auto"/>
      </w:divBdr>
    </w:div>
    <w:div w:id="1869177599">
      <w:bodyDiv w:val="1"/>
      <w:marLeft w:val="0"/>
      <w:marRight w:val="0"/>
      <w:marTop w:val="0"/>
      <w:marBottom w:val="0"/>
      <w:divBdr>
        <w:top w:val="none" w:sz="0" w:space="0" w:color="auto"/>
        <w:left w:val="none" w:sz="0" w:space="0" w:color="auto"/>
        <w:bottom w:val="none" w:sz="0" w:space="0" w:color="auto"/>
        <w:right w:val="none" w:sz="0" w:space="0" w:color="auto"/>
      </w:divBdr>
    </w:div>
    <w:div w:id="1869177709">
      <w:bodyDiv w:val="1"/>
      <w:marLeft w:val="0"/>
      <w:marRight w:val="0"/>
      <w:marTop w:val="0"/>
      <w:marBottom w:val="0"/>
      <w:divBdr>
        <w:top w:val="none" w:sz="0" w:space="0" w:color="auto"/>
        <w:left w:val="none" w:sz="0" w:space="0" w:color="auto"/>
        <w:bottom w:val="none" w:sz="0" w:space="0" w:color="auto"/>
        <w:right w:val="none" w:sz="0" w:space="0" w:color="auto"/>
      </w:divBdr>
    </w:div>
    <w:div w:id="1869248711">
      <w:bodyDiv w:val="1"/>
      <w:marLeft w:val="0"/>
      <w:marRight w:val="0"/>
      <w:marTop w:val="0"/>
      <w:marBottom w:val="0"/>
      <w:divBdr>
        <w:top w:val="none" w:sz="0" w:space="0" w:color="auto"/>
        <w:left w:val="none" w:sz="0" w:space="0" w:color="auto"/>
        <w:bottom w:val="none" w:sz="0" w:space="0" w:color="auto"/>
        <w:right w:val="none" w:sz="0" w:space="0" w:color="auto"/>
      </w:divBdr>
    </w:div>
    <w:div w:id="1869371396">
      <w:bodyDiv w:val="1"/>
      <w:marLeft w:val="0"/>
      <w:marRight w:val="0"/>
      <w:marTop w:val="0"/>
      <w:marBottom w:val="0"/>
      <w:divBdr>
        <w:top w:val="none" w:sz="0" w:space="0" w:color="auto"/>
        <w:left w:val="none" w:sz="0" w:space="0" w:color="auto"/>
        <w:bottom w:val="none" w:sz="0" w:space="0" w:color="auto"/>
        <w:right w:val="none" w:sz="0" w:space="0" w:color="auto"/>
      </w:divBdr>
    </w:div>
    <w:div w:id="1869443961">
      <w:bodyDiv w:val="1"/>
      <w:marLeft w:val="0"/>
      <w:marRight w:val="0"/>
      <w:marTop w:val="0"/>
      <w:marBottom w:val="0"/>
      <w:divBdr>
        <w:top w:val="none" w:sz="0" w:space="0" w:color="auto"/>
        <w:left w:val="none" w:sz="0" w:space="0" w:color="auto"/>
        <w:bottom w:val="none" w:sz="0" w:space="0" w:color="auto"/>
        <w:right w:val="none" w:sz="0" w:space="0" w:color="auto"/>
      </w:divBdr>
    </w:div>
    <w:div w:id="1869566217">
      <w:bodyDiv w:val="1"/>
      <w:marLeft w:val="0"/>
      <w:marRight w:val="0"/>
      <w:marTop w:val="0"/>
      <w:marBottom w:val="0"/>
      <w:divBdr>
        <w:top w:val="none" w:sz="0" w:space="0" w:color="auto"/>
        <w:left w:val="none" w:sz="0" w:space="0" w:color="auto"/>
        <w:bottom w:val="none" w:sz="0" w:space="0" w:color="auto"/>
        <w:right w:val="none" w:sz="0" w:space="0" w:color="auto"/>
      </w:divBdr>
    </w:div>
    <w:div w:id="1869685838">
      <w:bodyDiv w:val="1"/>
      <w:marLeft w:val="0"/>
      <w:marRight w:val="0"/>
      <w:marTop w:val="0"/>
      <w:marBottom w:val="0"/>
      <w:divBdr>
        <w:top w:val="none" w:sz="0" w:space="0" w:color="auto"/>
        <w:left w:val="none" w:sz="0" w:space="0" w:color="auto"/>
        <w:bottom w:val="none" w:sz="0" w:space="0" w:color="auto"/>
        <w:right w:val="none" w:sz="0" w:space="0" w:color="auto"/>
      </w:divBdr>
    </w:div>
    <w:div w:id="1869830658">
      <w:bodyDiv w:val="1"/>
      <w:marLeft w:val="0"/>
      <w:marRight w:val="0"/>
      <w:marTop w:val="0"/>
      <w:marBottom w:val="0"/>
      <w:divBdr>
        <w:top w:val="none" w:sz="0" w:space="0" w:color="auto"/>
        <w:left w:val="none" w:sz="0" w:space="0" w:color="auto"/>
        <w:bottom w:val="none" w:sz="0" w:space="0" w:color="auto"/>
        <w:right w:val="none" w:sz="0" w:space="0" w:color="auto"/>
      </w:divBdr>
    </w:div>
    <w:div w:id="1869902993">
      <w:bodyDiv w:val="1"/>
      <w:marLeft w:val="0"/>
      <w:marRight w:val="0"/>
      <w:marTop w:val="0"/>
      <w:marBottom w:val="0"/>
      <w:divBdr>
        <w:top w:val="none" w:sz="0" w:space="0" w:color="auto"/>
        <w:left w:val="none" w:sz="0" w:space="0" w:color="auto"/>
        <w:bottom w:val="none" w:sz="0" w:space="0" w:color="auto"/>
        <w:right w:val="none" w:sz="0" w:space="0" w:color="auto"/>
      </w:divBdr>
    </w:div>
    <w:div w:id="1869951569">
      <w:bodyDiv w:val="1"/>
      <w:marLeft w:val="0"/>
      <w:marRight w:val="0"/>
      <w:marTop w:val="0"/>
      <w:marBottom w:val="0"/>
      <w:divBdr>
        <w:top w:val="none" w:sz="0" w:space="0" w:color="auto"/>
        <w:left w:val="none" w:sz="0" w:space="0" w:color="auto"/>
        <w:bottom w:val="none" w:sz="0" w:space="0" w:color="auto"/>
        <w:right w:val="none" w:sz="0" w:space="0" w:color="auto"/>
      </w:divBdr>
    </w:div>
    <w:div w:id="1870100044">
      <w:bodyDiv w:val="1"/>
      <w:marLeft w:val="0"/>
      <w:marRight w:val="0"/>
      <w:marTop w:val="0"/>
      <w:marBottom w:val="0"/>
      <w:divBdr>
        <w:top w:val="none" w:sz="0" w:space="0" w:color="auto"/>
        <w:left w:val="none" w:sz="0" w:space="0" w:color="auto"/>
        <w:bottom w:val="none" w:sz="0" w:space="0" w:color="auto"/>
        <w:right w:val="none" w:sz="0" w:space="0" w:color="auto"/>
      </w:divBdr>
    </w:div>
    <w:div w:id="1870413391">
      <w:bodyDiv w:val="1"/>
      <w:marLeft w:val="0"/>
      <w:marRight w:val="0"/>
      <w:marTop w:val="0"/>
      <w:marBottom w:val="0"/>
      <w:divBdr>
        <w:top w:val="none" w:sz="0" w:space="0" w:color="auto"/>
        <w:left w:val="none" w:sz="0" w:space="0" w:color="auto"/>
        <w:bottom w:val="none" w:sz="0" w:space="0" w:color="auto"/>
        <w:right w:val="none" w:sz="0" w:space="0" w:color="auto"/>
      </w:divBdr>
    </w:div>
    <w:div w:id="1870682456">
      <w:bodyDiv w:val="1"/>
      <w:marLeft w:val="0"/>
      <w:marRight w:val="0"/>
      <w:marTop w:val="0"/>
      <w:marBottom w:val="0"/>
      <w:divBdr>
        <w:top w:val="none" w:sz="0" w:space="0" w:color="auto"/>
        <w:left w:val="none" w:sz="0" w:space="0" w:color="auto"/>
        <w:bottom w:val="none" w:sz="0" w:space="0" w:color="auto"/>
        <w:right w:val="none" w:sz="0" w:space="0" w:color="auto"/>
      </w:divBdr>
    </w:div>
    <w:div w:id="1871062706">
      <w:bodyDiv w:val="1"/>
      <w:marLeft w:val="0"/>
      <w:marRight w:val="0"/>
      <w:marTop w:val="0"/>
      <w:marBottom w:val="0"/>
      <w:divBdr>
        <w:top w:val="none" w:sz="0" w:space="0" w:color="auto"/>
        <w:left w:val="none" w:sz="0" w:space="0" w:color="auto"/>
        <w:bottom w:val="none" w:sz="0" w:space="0" w:color="auto"/>
        <w:right w:val="none" w:sz="0" w:space="0" w:color="auto"/>
      </w:divBdr>
    </w:div>
    <w:div w:id="1871188479">
      <w:bodyDiv w:val="1"/>
      <w:marLeft w:val="0"/>
      <w:marRight w:val="0"/>
      <w:marTop w:val="0"/>
      <w:marBottom w:val="0"/>
      <w:divBdr>
        <w:top w:val="none" w:sz="0" w:space="0" w:color="auto"/>
        <w:left w:val="none" w:sz="0" w:space="0" w:color="auto"/>
        <w:bottom w:val="none" w:sz="0" w:space="0" w:color="auto"/>
        <w:right w:val="none" w:sz="0" w:space="0" w:color="auto"/>
      </w:divBdr>
    </w:div>
    <w:div w:id="1871331541">
      <w:bodyDiv w:val="1"/>
      <w:marLeft w:val="0"/>
      <w:marRight w:val="0"/>
      <w:marTop w:val="0"/>
      <w:marBottom w:val="0"/>
      <w:divBdr>
        <w:top w:val="none" w:sz="0" w:space="0" w:color="auto"/>
        <w:left w:val="none" w:sz="0" w:space="0" w:color="auto"/>
        <w:bottom w:val="none" w:sz="0" w:space="0" w:color="auto"/>
        <w:right w:val="none" w:sz="0" w:space="0" w:color="auto"/>
      </w:divBdr>
    </w:div>
    <w:div w:id="1871334692">
      <w:bodyDiv w:val="1"/>
      <w:marLeft w:val="0"/>
      <w:marRight w:val="0"/>
      <w:marTop w:val="0"/>
      <w:marBottom w:val="0"/>
      <w:divBdr>
        <w:top w:val="none" w:sz="0" w:space="0" w:color="auto"/>
        <w:left w:val="none" w:sz="0" w:space="0" w:color="auto"/>
        <w:bottom w:val="none" w:sz="0" w:space="0" w:color="auto"/>
        <w:right w:val="none" w:sz="0" w:space="0" w:color="auto"/>
      </w:divBdr>
    </w:div>
    <w:div w:id="1871528099">
      <w:bodyDiv w:val="1"/>
      <w:marLeft w:val="0"/>
      <w:marRight w:val="0"/>
      <w:marTop w:val="0"/>
      <w:marBottom w:val="0"/>
      <w:divBdr>
        <w:top w:val="none" w:sz="0" w:space="0" w:color="auto"/>
        <w:left w:val="none" w:sz="0" w:space="0" w:color="auto"/>
        <w:bottom w:val="none" w:sz="0" w:space="0" w:color="auto"/>
        <w:right w:val="none" w:sz="0" w:space="0" w:color="auto"/>
      </w:divBdr>
    </w:div>
    <w:div w:id="1871720597">
      <w:bodyDiv w:val="1"/>
      <w:marLeft w:val="0"/>
      <w:marRight w:val="0"/>
      <w:marTop w:val="0"/>
      <w:marBottom w:val="0"/>
      <w:divBdr>
        <w:top w:val="none" w:sz="0" w:space="0" w:color="auto"/>
        <w:left w:val="none" w:sz="0" w:space="0" w:color="auto"/>
        <w:bottom w:val="none" w:sz="0" w:space="0" w:color="auto"/>
        <w:right w:val="none" w:sz="0" w:space="0" w:color="auto"/>
      </w:divBdr>
    </w:div>
    <w:div w:id="1872382059">
      <w:bodyDiv w:val="1"/>
      <w:marLeft w:val="0"/>
      <w:marRight w:val="0"/>
      <w:marTop w:val="0"/>
      <w:marBottom w:val="0"/>
      <w:divBdr>
        <w:top w:val="none" w:sz="0" w:space="0" w:color="auto"/>
        <w:left w:val="none" w:sz="0" w:space="0" w:color="auto"/>
        <w:bottom w:val="none" w:sz="0" w:space="0" w:color="auto"/>
        <w:right w:val="none" w:sz="0" w:space="0" w:color="auto"/>
      </w:divBdr>
    </w:div>
    <w:div w:id="1872495631">
      <w:bodyDiv w:val="1"/>
      <w:marLeft w:val="0"/>
      <w:marRight w:val="0"/>
      <w:marTop w:val="0"/>
      <w:marBottom w:val="0"/>
      <w:divBdr>
        <w:top w:val="none" w:sz="0" w:space="0" w:color="auto"/>
        <w:left w:val="none" w:sz="0" w:space="0" w:color="auto"/>
        <w:bottom w:val="none" w:sz="0" w:space="0" w:color="auto"/>
        <w:right w:val="none" w:sz="0" w:space="0" w:color="auto"/>
      </w:divBdr>
    </w:div>
    <w:div w:id="1872641994">
      <w:bodyDiv w:val="1"/>
      <w:marLeft w:val="0"/>
      <w:marRight w:val="0"/>
      <w:marTop w:val="0"/>
      <w:marBottom w:val="0"/>
      <w:divBdr>
        <w:top w:val="none" w:sz="0" w:space="0" w:color="auto"/>
        <w:left w:val="none" w:sz="0" w:space="0" w:color="auto"/>
        <w:bottom w:val="none" w:sz="0" w:space="0" w:color="auto"/>
        <w:right w:val="none" w:sz="0" w:space="0" w:color="auto"/>
      </w:divBdr>
    </w:div>
    <w:div w:id="1872718800">
      <w:bodyDiv w:val="1"/>
      <w:marLeft w:val="0"/>
      <w:marRight w:val="0"/>
      <w:marTop w:val="0"/>
      <w:marBottom w:val="0"/>
      <w:divBdr>
        <w:top w:val="none" w:sz="0" w:space="0" w:color="auto"/>
        <w:left w:val="none" w:sz="0" w:space="0" w:color="auto"/>
        <w:bottom w:val="none" w:sz="0" w:space="0" w:color="auto"/>
        <w:right w:val="none" w:sz="0" w:space="0" w:color="auto"/>
      </w:divBdr>
    </w:div>
    <w:div w:id="1873223713">
      <w:bodyDiv w:val="1"/>
      <w:marLeft w:val="0"/>
      <w:marRight w:val="0"/>
      <w:marTop w:val="0"/>
      <w:marBottom w:val="0"/>
      <w:divBdr>
        <w:top w:val="none" w:sz="0" w:space="0" w:color="auto"/>
        <w:left w:val="none" w:sz="0" w:space="0" w:color="auto"/>
        <w:bottom w:val="none" w:sz="0" w:space="0" w:color="auto"/>
        <w:right w:val="none" w:sz="0" w:space="0" w:color="auto"/>
      </w:divBdr>
    </w:div>
    <w:div w:id="1873230333">
      <w:bodyDiv w:val="1"/>
      <w:marLeft w:val="0"/>
      <w:marRight w:val="0"/>
      <w:marTop w:val="0"/>
      <w:marBottom w:val="0"/>
      <w:divBdr>
        <w:top w:val="none" w:sz="0" w:space="0" w:color="auto"/>
        <w:left w:val="none" w:sz="0" w:space="0" w:color="auto"/>
        <w:bottom w:val="none" w:sz="0" w:space="0" w:color="auto"/>
        <w:right w:val="none" w:sz="0" w:space="0" w:color="auto"/>
      </w:divBdr>
    </w:div>
    <w:div w:id="1873424160">
      <w:bodyDiv w:val="1"/>
      <w:marLeft w:val="0"/>
      <w:marRight w:val="0"/>
      <w:marTop w:val="0"/>
      <w:marBottom w:val="0"/>
      <w:divBdr>
        <w:top w:val="none" w:sz="0" w:space="0" w:color="auto"/>
        <w:left w:val="none" w:sz="0" w:space="0" w:color="auto"/>
        <w:bottom w:val="none" w:sz="0" w:space="0" w:color="auto"/>
        <w:right w:val="none" w:sz="0" w:space="0" w:color="auto"/>
      </w:divBdr>
    </w:div>
    <w:div w:id="1873499589">
      <w:bodyDiv w:val="1"/>
      <w:marLeft w:val="0"/>
      <w:marRight w:val="0"/>
      <w:marTop w:val="0"/>
      <w:marBottom w:val="0"/>
      <w:divBdr>
        <w:top w:val="none" w:sz="0" w:space="0" w:color="auto"/>
        <w:left w:val="none" w:sz="0" w:space="0" w:color="auto"/>
        <w:bottom w:val="none" w:sz="0" w:space="0" w:color="auto"/>
        <w:right w:val="none" w:sz="0" w:space="0" w:color="auto"/>
      </w:divBdr>
    </w:div>
    <w:div w:id="1874073737">
      <w:bodyDiv w:val="1"/>
      <w:marLeft w:val="0"/>
      <w:marRight w:val="0"/>
      <w:marTop w:val="0"/>
      <w:marBottom w:val="0"/>
      <w:divBdr>
        <w:top w:val="none" w:sz="0" w:space="0" w:color="auto"/>
        <w:left w:val="none" w:sz="0" w:space="0" w:color="auto"/>
        <w:bottom w:val="none" w:sz="0" w:space="0" w:color="auto"/>
        <w:right w:val="none" w:sz="0" w:space="0" w:color="auto"/>
      </w:divBdr>
    </w:div>
    <w:div w:id="1874267311">
      <w:bodyDiv w:val="1"/>
      <w:marLeft w:val="0"/>
      <w:marRight w:val="0"/>
      <w:marTop w:val="0"/>
      <w:marBottom w:val="0"/>
      <w:divBdr>
        <w:top w:val="none" w:sz="0" w:space="0" w:color="auto"/>
        <w:left w:val="none" w:sz="0" w:space="0" w:color="auto"/>
        <w:bottom w:val="none" w:sz="0" w:space="0" w:color="auto"/>
        <w:right w:val="none" w:sz="0" w:space="0" w:color="auto"/>
      </w:divBdr>
    </w:div>
    <w:div w:id="1874685101">
      <w:bodyDiv w:val="1"/>
      <w:marLeft w:val="0"/>
      <w:marRight w:val="0"/>
      <w:marTop w:val="0"/>
      <w:marBottom w:val="0"/>
      <w:divBdr>
        <w:top w:val="none" w:sz="0" w:space="0" w:color="auto"/>
        <w:left w:val="none" w:sz="0" w:space="0" w:color="auto"/>
        <w:bottom w:val="none" w:sz="0" w:space="0" w:color="auto"/>
        <w:right w:val="none" w:sz="0" w:space="0" w:color="auto"/>
      </w:divBdr>
    </w:div>
    <w:div w:id="1874725881">
      <w:bodyDiv w:val="1"/>
      <w:marLeft w:val="0"/>
      <w:marRight w:val="0"/>
      <w:marTop w:val="0"/>
      <w:marBottom w:val="0"/>
      <w:divBdr>
        <w:top w:val="none" w:sz="0" w:space="0" w:color="auto"/>
        <w:left w:val="none" w:sz="0" w:space="0" w:color="auto"/>
        <w:bottom w:val="none" w:sz="0" w:space="0" w:color="auto"/>
        <w:right w:val="none" w:sz="0" w:space="0" w:color="auto"/>
      </w:divBdr>
    </w:div>
    <w:div w:id="1874809467">
      <w:bodyDiv w:val="1"/>
      <w:marLeft w:val="0"/>
      <w:marRight w:val="0"/>
      <w:marTop w:val="0"/>
      <w:marBottom w:val="0"/>
      <w:divBdr>
        <w:top w:val="none" w:sz="0" w:space="0" w:color="auto"/>
        <w:left w:val="none" w:sz="0" w:space="0" w:color="auto"/>
        <w:bottom w:val="none" w:sz="0" w:space="0" w:color="auto"/>
        <w:right w:val="none" w:sz="0" w:space="0" w:color="auto"/>
      </w:divBdr>
    </w:div>
    <w:div w:id="1874924086">
      <w:bodyDiv w:val="1"/>
      <w:marLeft w:val="0"/>
      <w:marRight w:val="0"/>
      <w:marTop w:val="0"/>
      <w:marBottom w:val="0"/>
      <w:divBdr>
        <w:top w:val="none" w:sz="0" w:space="0" w:color="auto"/>
        <w:left w:val="none" w:sz="0" w:space="0" w:color="auto"/>
        <w:bottom w:val="none" w:sz="0" w:space="0" w:color="auto"/>
        <w:right w:val="none" w:sz="0" w:space="0" w:color="auto"/>
      </w:divBdr>
    </w:div>
    <w:div w:id="1875002318">
      <w:bodyDiv w:val="1"/>
      <w:marLeft w:val="0"/>
      <w:marRight w:val="0"/>
      <w:marTop w:val="0"/>
      <w:marBottom w:val="0"/>
      <w:divBdr>
        <w:top w:val="none" w:sz="0" w:space="0" w:color="auto"/>
        <w:left w:val="none" w:sz="0" w:space="0" w:color="auto"/>
        <w:bottom w:val="none" w:sz="0" w:space="0" w:color="auto"/>
        <w:right w:val="none" w:sz="0" w:space="0" w:color="auto"/>
      </w:divBdr>
    </w:div>
    <w:div w:id="1875072626">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265776">
      <w:bodyDiv w:val="1"/>
      <w:marLeft w:val="0"/>
      <w:marRight w:val="0"/>
      <w:marTop w:val="0"/>
      <w:marBottom w:val="0"/>
      <w:divBdr>
        <w:top w:val="none" w:sz="0" w:space="0" w:color="auto"/>
        <w:left w:val="none" w:sz="0" w:space="0" w:color="auto"/>
        <w:bottom w:val="none" w:sz="0" w:space="0" w:color="auto"/>
        <w:right w:val="none" w:sz="0" w:space="0" w:color="auto"/>
      </w:divBdr>
    </w:div>
    <w:div w:id="1875266531">
      <w:bodyDiv w:val="1"/>
      <w:marLeft w:val="0"/>
      <w:marRight w:val="0"/>
      <w:marTop w:val="0"/>
      <w:marBottom w:val="0"/>
      <w:divBdr>
        <w:top w:val="none" w:sz="0" w:space="0" w:color="auto"/>
        <w:left w:val="none" w:sz="0" w:space="0" w:color="auto"/>
        <w:bottom w:val="none" w:sz="0" w:space="0" w:color="auto"/>
        <w:right w:val="none" w:sz="0" w:space="0" w:color="auto"/>
      </w:divBdr>
    </w:div>
    <w:div w:id="1875267760">
      <w:bodyDiv w:val="1"/>
      <w:marLeft w:val="0"/>
      <w:marRight w:val="0"/>
      <w:marTop w:val="0"/>
      <w:marBottom w:val="0"/>
      <w:divBdr>
        <w:top w:val="none" w:sz="0" w:space="0" w:color="auto"/>
        <w:left w:val="none" w:sz="0" w:space="0" w:color="auto"/>
        <w:bottom w:val="none" w:sz="0" w:space="0" w:color="auto"/>
        <w:right w:val="none" w:sz="0" w:space="0" w:color="auto"/>
      </w:divBdr>
    </w:div>
    <w:div w:id="1875773020">
      <w:bodyDiv w:val="1"/>
      <w:marLeft w:val="0"/>
      <w:marRight w:val="0"/>
      <w:marTop w:val="0"/>
      <w:marBottom w:val="0"/>
      <w:divBdr>
        <w:top w:val="none" w:sz="0" w:space="0" w:color="auto"/>
        <w:left w:val="none" w:sz="0" w:space="0" w:color="auto"/>
        <w:bottom w:val="none" w:sz="0" w:space="0" w:color="auto"/>
        <w:right w:val="none" w:sz="0" w:space="0" w:color="auto"/>
      </w:divBdr>
    </w:div>
    <w:div w:id="1875775993">
      <w:bodyDiv w:val="1"/>
      <w:marLeft w:val="0"/>
      <w:marRight w:val="0"/>
      <w:marTop w:val="0"/>
      <w:marBottom w:val="0"/>
      <w:divBdr>
        <w:top w:val="none" w:sz="0" w:space="0" w:color="auto"/>
        <w:left w:val="none" w:sz="0" w:space="0" w:color="auto"/>
        <w:bottom w:val="none" w:sz="0" w:space="0" w:color="auto"/>
        <w:right w:val="none" w:sz="0" w:space="0" w:color="auto"/>
      </w:divBdr>
    </w:div>
    <w:div w:id="1875918111">
      <w:bodyDiv w:val="1"/>
      <w:marLeft w:val="0"/>
      <w:marRight w:val="0"/>
      <w:marTop w:val="0"/>
      <w:marBottom w:val="0"/>
      <w:divBdr>
        <w:top w:val="none" w:sz="0" w:space="0" w:color="auto"/>
        <w:left w:val="none" w:sz="0" w:space="0" w:color="auto"/>
        <w:bottom w:val="none" w:sz="0" w:space="0" w:color="auto"/>
        <w:right w:val="none" w:sz="0" w:space="0" w:color="auto"/>
      </w:divBdr>
    </w:div>
    <w:div w:id="1875921438">
      <w:bodyDiv w:val="1"/>
      <w:marLeft w:val="0"/>
      <w:marRight w:val="0"/>
      <w:marTop w:val="0"/>
      <w:marBottom w:val="0"/>
      <w:divBdr>
        <w:top w:val="none" w:sz="0" w:space="0" w:color="auto"/>
        <w:left w:val="none" w:sz="0" w:space="0" w:color="auto"/>
        <w:bottom w:val="none" w:sz="0" w:space="0" w:color="auto"/>
        <w:right w:val="none" w:sz="0" w:space="0" w:color="auto"/>
      </w:divBdr>
    </w:div>
    <w:div w:id="1876035688">
      <w:bodyDiv w:val="1"/>
      <w:marLeft w:val="0"/>
      <w:marRight w:val="0"/>
      <w:marTop w:val="0"/>
      <w:marBottom w:val="0"/>
      <w:divBdr>
        <w:top w:val="none" w:sz="0" w:space="0" w:color="auto"/>
        <w:left w:val="none" w:sz="0" w:space="0" w:color="auto"/>
        <w:bottom w:val="none" w:sz="0" w:space="0" w:color="auto"/>
        <w:right w:val="none" w:sz="0" w:space="0" w:color="auto"/>
      </w:divBdr>
    </w:div>
    <w:div w:id="1876194319">
      <w:bodyDiv w:val="1"/>
      <w:marLeft w:val="0"/>
      <w:marRight w:val="0"/>
      <w:marTop w:val="0"/>
      <w:marBottom w:val="0"/>
      <w:divBdr>
        <w:top w:val="none" w:sz="0" w:space="0" w:color="auto"/>
        <w:left w:val="none" w:sz="0" w:space="0" w:color="auto"/>
        <w:bottom w:val="none" w:sz="0" w:space="0" w:color="auto"/>
        <w:right w:val="none" w:sz="0" w:space="0" w:color="auto"/>
      </w:divBdr>
    </w:div>
    <w:div w:id="1876307332">
      <w:bodyDiv w:val="1"/>
      <w:marLeft w:val="0"/>
      <w:marRight w:val="0"/>
      <w:marTop w:val="0"/>
      <w:marBottom w:val="0"/>
      <w:divBdr>
        <w:top w:val="none" w:sz="0" w:space="0" w:color="auto"/>
        <w:left w:val="none" w:sz="0" w:space="0" w:color="auto"/>
        <w:bottom w:val="none" w:sz="0" w:space="0" w:color="auto"/>
        <w:right w:val="none" w:sz="0" w:space="0" w:color="auto"/>
      </w:divBdr>
    </w:div>
    <w:div w:id="1876428690">
      <w:bodyDiv w:val="1"/>
      <w:marLeft w:val="0"/>
      <w:marRight w:val="0"/>
      <w:marTop w:val="0"/>
      <w:marBottom w:val="0"/>
      <w:divBdr>
        <w:top w:val="none" w:sz="0" w:space="0" w:color="auto"/>
        <w:left w:val="none" w:sz="0" w:space="0" w:color="auto"/>
        <w:bottom w:val="none" w:sz="0" w:space="0" w:color="auto"/>
        <w:right w:val="none" w:sz="0" w:space="0" w:color="auto"/>
      </w:divBdr>
    </w:div>
    <w:div w:id="1876456834">
      <w:bodyDiv w:val="1"/>
      <w:marLeft w:val="0"/>
      <w:marRight w:val="0"/>
      <w:marTop w:val="0"/>
      <w:marBottom w:val="0"/>
      <w:divBdr>
        <w:top w:val="none" w:sz="0" w:space="0" w:color="auto"/>
        <w:left w:val="none" w:sz="0" w:space="0" w:color="auto"/>
        <w:bottom w:val="none" w:sz="0" w:space="0" w:color="auto"/>
        <w:right w:val="none" w:sz="0" w:space="0" w:color="auto"/>
      </w:divBdr>
    </w:div>
    <w:div w:id="1876500444">
      <w:bodyDiv w:val="1"/>
      <w:marLeft w:val="0"/>
      <w:marRight w:val="0"/>
      <w:marTop w:val="0"/>
      <w:marBottom w:val="0"/>
      <w:divBdr>
        <w:top w:val="none" w:sz="0" w:space="0" w:color="auto"/>
        <w:left w:val="none" w:sz="0" w:space="0" w:color="auto"/>
        <w:bottom w:val="none" w:sz="0" w:space="0" w:color="auto"/>
        <w:right w:val="none" w:sz="0" w:space="0" w:color="auto"/>
      </w:divBdr>
    </w:div>
    <w:div w:id="1876505732">
      <w:bodyDiv w:val="1"/>
      <w:marLeft w:val="0"/>
      <w:marRight w:val="0"/>
      <w:marTop w:val="0"/>
      <w:marBottom w:val="0"/>
      <w:divBdr>
        <w:top w:val="none" w:sz="0" w:space="0" w:color="auto"/>
        <w:left w:val="none" w:sz="0" w:space="0" w:color="auto"/>
        <w:bottom w:val="none" w:sz="0" w:space="0" w:color="auto"/>
        <w:right w:val="none" w:sz="0" w:space="0" w:color="auto"/>
      </w:divBdr>
    </w:div>
    <w:div w:id="1876573678">
      <w:bodyDiv w:val="1"/>
      <w:marLeft w:val="0"/>
      <w:marRight w:val="0"/>
      <w:marTop w:val="0"/>
      <w:marBottom w:val="0"/>
      <w:divBdr>
        <w:top w:val="none" w:sz="0" w:space="0" w:color="auto"/>
        <w:left w:val="none" w:sz="0" w:space="0" w:color="auto"/>
        <w:bottom w:val="none" w:sz="0" w:space="0" w:color="auto"/>
        <w:right w:val="none" w:sz="0" w:space="0" w:color="auto"/>
      </w:divBdr>
    </w:div>
    <w:div w:id="1876577712">
      <w:bodyDiv w:val="1"/>
      <w:marLeft w:val="0"/>
      <w:marRight w:val="0"/>
      <w:marTop w:val="0"/>
      <w:marBottom w:val="0"/>
      <w:divBdr>
        <w:top w:val="none" w:sz="0" w:space="0" w:color="auto"/>
        <w:left w:val="none" w:sz="0" w:space="0" w:color="auto"/>
        <w:bottom w:val="none" w:sz="0" w:space="0" w:color="auto"/>
        <w:right w:val="none" w:sz="0" w:space="0" w:color="auto"/>
      </w:divBdr>
    </w:div>
    <w:div w:id="1876692037">
      <w:bodyDiv w:val="1"/>
      <w:marLeft w:val="0"/>
      <w:marRight w:val="0"/>
      <w:marTop w:val="0"/>
      <w:marBottom w:val="0"/>
      <w:divBdr>
        <w:top w:val="none" w:sz="0" w:space="0" w:color="auto"/>
        <w:left w:val="none" w:sz="0" w:space="0" w:color="auto"/>
        <w:bottom w:val="none" w:sz="0" w:space="0" w:color="auto"/>
        <w:right w:val="none" w:sz="0" w:space="0" w:color="auto"/>
      </w:divBdr>
    </w:div>
    <w:div w:id="1876692658">
      <w:bodyDiv w:val="1"/>
      <w:marLeft w:val="0"/>
      <w:marRight w:val="0"/>
      <w:marTop w:val="0"/>
      <w:marBottom w:val="0"/>
      <w:divBdr>
        <w:top w:val="none" w:sz="0" w:space="0" w:color="auto"/>
        <w:left w:val="none" w:sz="0" w:space="0" w:color="auto"/>
        <w:bottom w:val="none" w:sz="0" w:space="0" w:color="auto"/>
        <w:right w:val="none" w:sz="0" w:space="0" w:color="auto"/>
      </w:divBdr>
    </w:div>
    <w:div w:id="1876768151">
      <w:bodyDiv w:val="1"/>
      <w:marLeft w:val="0"/>
      <w:marRight w:val="0"/>
      <w:marTop w:val="0"/>
      <w:marBottom w:val="0"/>
      <w:divBdr>
        <w:top w:val="none" w:sz="0" w:space="0" w:color="auto"/>
        <w:left w:val="none" w:sz="0" w:space="0" w:color="auto"/>
        <w:bottom w:val="none" w:sz="0" w:space="0" w:color="auto"/>
        <w:right w:val="none" w:sz="0" w:space="0" w:color="auto"/>
      </w:divBdr>
    </w:div>
    <w:div w:id="1876849278">
      <w:bodyDiv w:val="1"/>
      <w:marLeft w:val="0"/>
      <w:marRight w:val="0"/>
      <w:marTop w:val="0"/>
      <w:marBottom w:val="0"/>
      <w:divBdr>
        <w:top w:val="none" w:sz="0" w:space="0" w:color="auto"/>
        <w:left w:val="none" w:sz="0" w:space="0" w:color="auto"/>
        <w:bottom w:val="none" w:sz="0" w:space="0" w:color="auto"/>
        <w:right w:val="none" w:sz="0" w:space="0" w:color="auto"/>
      </w:divBdr>
    </w:div>
    <w:div w:id="1877161898">
      <w:bodyDiv w:val="1"/>
      <w:marLeft w:val="0"/>
      <w:marRight w:val="0"/>
      <w:marTop w:val="0"/>
      <w:marBottom w:val="0"/>
      <w:divBdr>
        <w:top w:val="none" w:sz="0" w:space="0" w:color="auto"/>
        <w:left w:val="none" w:sz="0" w:space="0" w:color="auto"/>
        <w:bottom w:val="none" w:sz="0" w:space="0" w:color="auto"/>
        <w:right w:val="none" w:sz="0" w:space="0" w:color="auto"/>
      </w:divBdr>
    </w:div>
    <w:div w:id="1877235360">
      <w:bodyDiv w:val="1"/>
      <w:marLeft w:val="0"/>
      <w:marRight w:val="0"/>
      <w:marTop w:val="0"/>
      <w:marBottom w:val="0"/>
      <w:divBdr>
        <w:top w:val="none" w:sz="0" w:space="0" w:color="auto"/>
        <w:left w:val="none" w:sz="0" w:space="0" w:color="auto"/>
        <w:bottom w:val="none" w:sz="0" w:space="0" w:color="auto"/>
        <w:right w:val="none" w:sz="0" w:space="0" w:color="auto"/>
      </w:divBdr>
    </w:div>
    <w:div w:id="1877237386">
      <w:bodyDiv w:val="1"/>
      <w:marLeft w:val="0"/>
      <w:marRight w:val="0"/>
      <w:marTop w:val="0"/>
      <w:marBottom w:val="0"/>
      <w:divBdr>
        <w:top w:val="none" w:sz="0" w:space="0" w:color="auto"/>
        <w:left w:val="none" w:sz="0" w:space="0" w:color="auto"/>
        <w:bottom w:val="none" w:sz="0" w:space="0" w:color="auto"/>
        <w:right w:val="none" w:sz="0" w:space="0" w:color="auto"/>
      </w:divBdr>
    </w:div>
    <w:div w:id="1877425175">
      <w:bodyDiv w:val="1"/>
      <w:marLeft w:val="0"/>
      <w:marRight w:val="0"/>
      <w:marTop w:val="0"/>
      <w:marBottom w:val="0"/>
      <w:divBdr>
        <w:top w:val="none" w:sz="0" w:space="0" w:color="auto"/>
        <w:left w:val="none" w:sz="0" w:space="0" w:color="auto"/>
        <w:bottom w:val="none" w:sz="0" w:space="0" w:color="auto"/>
        <w:right w:val="none" w:sz="0" w:space="0" w:color="auto"/>
      </w:divBdr>
    </w:div>
    <w:div w:id="1877623084">
      <w:bodyDiv w:val="1"/>
      <w:marLeft w:val="0"/>
      <w:marRight w:val="0"/>
      <w:marTop w:val="0"/>
      <w:marBottom w:val="0"/>
      <w:divBdr>
        <w:top w:val="none" w:sz="0" w:space="0" w:color="auto"/>
        <w:left w:val="none" w:sz="0" w:space="0" w:color="auto"/>
        <w:bottom w:val="none" w:sz="0" w:space="0" w:color="auto"/>
        <w:right w:val="none" w:sz="0" w:space="0" w:color="auto"/>
      </w:divBdr>
    </w:div>
    <w:div w:id="1877766172">
      <w:bodyDiv w:val="1"/>
      <w:marLeft w:val="0"/>
      <w:marRight w:val="0"/>
      <w:marTop w:val="0"/>
      <w:marBottom w:val="0"/>
      <w:divBdr>
        <w:top w:val="none" w:sz="0" w:space="0" w:color="auto"/>
        <w:left w:val="none" w:sz="0" w:space="0" w:color="auto"/>
        <w:bottom w:val="none" w:sz="0" w:space="0" w:color="auto"/>
        <w:right w:val="none" w:sz="0" w:space="0" w:color="auto"/>
      </w:divBdr>
    </w:div>
    <w:div w:id="1877812377">
      <w:bodyDiv w:val="1"/>
      <w:marLeft w:val="0"/>
      <w:marRight w:val="0"/>
      <w:marTop w:val="0"/>
      <w:marBottom w:val="0"/>
      <w:divBdr>
        <w:top w:val="none" w:sz="0" w:space="0" w:color="auto"/>
        <w:left w:val="none" w:sz="0" w:space="0" w:color="auto"/>
        <w:bottom w:val="none" w:sz="0" w:space="0" w:color="auto"/>
        <w:right w:val="none" w:sz="0" w:space="0" w:color="auto"/>
      </w:divBdr>
    </w:div>
    <w:div w:id="1877814423">
      <w:bodyDiv w:val="1"/>
      <w:marLeft w:val="0"/>
      <w:marRight w:val="0"/>
      <w:marTop w:val="0"/>
      <w:marBottom w:val="0"/>
      <w:divBdr>
        <w:top w:val="none" w:sz="0" w:space="0" w:color="auto"/>
        <w:left w:val="none" w:sz="0" w:space="0" w:color="auto"/>
        <w:bottom w:val="none" w:sz="0" w:space="0" w:color="auto"/>
        <w:right w:val="none" w:sz="0" w:space="0" w:color="auto"/>
      </w:divBdr>
    </w:div>
    <w:div w:id="1877815341">
      <w:bodyDiv w:val="1"/>
      <w:marLeft w:val="0"/>
      <w:marRight w:val="0"/>
      <w:marTop w:val="0"/>
      <w:marBottom w:val="0"/>
      <w:divBdr>
        <w:top w:val="none" w:sz="0" w:space="0" w:color="auto"/>
        <w:left w:val="none" w:sz="0" w:space="0" w:color="auto"/>
        <w:bottom w:val="none" w:sz="0" w:space="0" w:color="auto"/>
        <w:right w:val="none" w:sz="0" w:space="0" w:color="auto"/>
      </w:divBdr>
    </w:div>
    <w:div w:id="1877815890">
      <w:bodyDiv w:val="1"/>
      <w:marLeft w:val="0"/>
      <w:marRight w:val="0"/>
      <w:marTop w:val="0"/>
      <w:marBottom w:val="0"/>
      <w:divBdr>
        <w:top w:val="none" w:sz="0" w:space="0" w:color="auto"/>
        <w:left w:val="none" w:sz="0" w:space="0" w:color="auto"/>
        <w:bottom w:val="none" w:sz="0" w:space="0" w:color="auto"/>
        <w:right w:val="none" w:sz="0" w:space="0" w:color="auto"/>
      </w:divBdr>
    </w:div>
    <w:div w:id="1878006783">
      <w:bodyDiv w:val="1"/>
      <w:marLeft w:val="0"/>
      <w:marRight w:val="0"/>
      <w:marTop w:val="0"/>
      <w:marBottom w:val="0"/>
      <w:divBdr>
        <w:top w:val="none" w:sz="0" w:space="0" w:color="auto"/>
        <w:left w:val="none" w:sz="0" w:space="0" w:color="auto"/>
        <w:bottom w:val="none" w:sz="0" w:space="0" w:color="auto"/>
        <w:right w:val="none" w:sz="0" w:space="0" w:color="auto"/>
      </w:divBdr>
    </w:div>
    <w:div w:id="1878156477">
      <w:bodyDiv w:val="1"/>
      <w:marLeft w:val="0"/>
      <w:marRight w:val="0"/>
      <w:marTop w:val="0"/>
      <w:marBottom w:val="0"/>
      <w:divBdr>
        <w:top w:val="none" w:sz="0" w:space="0" w:color="auto"/>
        <w:left w:val="none" w:sz="0" w:space="0" w:color="auto"/>
        <w:bottom w:val="none" w:sz="0" w:space="0" w:color="auto"/>
        <w:right w:val="none" w:sz="0" w:space="0" w:color="auto"/>
      </w:divBdr>
    </w:div>
    <w:div w:id="1878159895">
      <w:bodyDiv w:val="1"/>
      <w:marLeft w:val="0"/>
      <w:marRight w:val="0"/>
      <w:marTop w:val="0"/>
      <w:marBottom w:val="0"/>
      <w:divBdr>
        <w:top w:val="none" w:sz="0" w:space="0" w:color="auto"/>
        <w:left w:val="none" w:sz="0" w:space="0" w:color="auto"/>
        <w:bottom w:val="none" w:sz="0" w:space="0" w:color="auto"/>
        <w:right w:val="none" w:sz="0" w:space="0" w:color="auto"/>
      </w:divBdr>
    </w:div>
    <w:div w:id="1878348211">
      <w:bodyDiv w:val="1"/>
      <w:marLeft w:val="0"/>
      <w:marRight w:val="0"/>
      <w:marTop w:val="0"/>
      <w:marBottom w:val="0"/>
      <w:divBdr>
        <w:top w:val="none" w:sz="0" w:space="0" w:color="auto"/>
        <w:left w:val="none" w:sz="0" w:space="0" w:color="auto"/>
        <w:bottom w:val="none" w:sz="0" w:space="0" w:color="auto"/>
        <w:right w:val="none" w:sz="0" w:space="0" w:color="auto"/>
      </w:divBdr>
    </w:div>
    <w:div w:id="1878351715">
      <w:bodyDiv w:val="1"/>
      <w:marLeft w:val="0"/>
      <w:marRight w:val="0"/>
      <w:marTop w:val="0"/>
      <w:marBottom w:val="0"/>
      <w:divBdr>
        <w:top w:val="none" w:sz="0" w:space="0" w:color="auto"/>
        <w:left w:val="none" w:sz="0" w:space="0" w:color="auto"/>
        <w:bottom w:val="none" w:sz="0" w:space="0" w:color="auto"/>
        <w:right w:val="none" w:sz="0" w:space="0" w:color="auto"/>
      </w:divBdr>
    </w:div>
    <w:div w:id="1878421638">
      <w:bodyDiv w:val="1"/>
      <w:marLeft w:val="0"/>
      <w:marRight w:val="0"/>
      <w:marTop w:val="0"/>
      <w:marBottom w:val="0"/>
      <w:divBdr>
        <w:top w:val="none" w:sz="0" w:space="0" w:color="auto"/>
        <w:left w:val="none" w:sz="0" w:space="0" w:color="auto"/>
        <w:bottom w:val="none" w:sz="0" w:space="0" w:color="auto"/>
        <w:right w:val="none" w:sz="0" w:space="0" w:color="auto"/>
      </w:divBdr>
    </w:div>
    <w:div w:id="1878539808">
      <w:bodyDiv w:val="1"/>
      <w:marLeft w:val="0"/>
      <w:marRight w:val="0"/>
      <w:marTop w:val="0"/>
      <w:marBottom w:val="0"/>
      <w:divBdr>
        <w:top w:val="none" w:sz="0" w:space="0" w:color="auto"/>
        <w:left w:val="none" w:sz="0" w:space="0" w:color="auto"/>
        <w:bottom w:val="none" w:sz="0" w:space="0" w:color="auto"/>
        <w:right w:val="none" w:sz="0" w:space="0" w:color="auto"/>
      </w:divBdr>
    </w:div>
    <w:div w:id="1878616902">
      <w:bodyDiv w:val="1"/>
      <w:marLeft w:val="0"/>
      <w:marRight w:val="0"/>
      <w:marTop w:val="0"/>
      <w:marBottom w:val="0"/>
      <w:divBdr>
        <w:top w:val="none" w:sz="0" w:space="0" w:color="auto"/>
        <w:left w:val="none" w:sz="0" w:space="0" w:color="auto"/>
        <w:bottom w:val="none" w:sz="0" w:space="0" w:color="auto"/>
        <w:right w:val="none" w:sz="0" w:space="0" w:color="auto"/>
      </w:divBdr>
    </w:div>
    <w:div w:id="1878732213">
      <w:bodyDiv w:val="1"/>
      <w:marLeft w:val="0"/>
      <w:marRight w:val="0"/>
      <w:marTop w:val="0"/>
      <w:marBottom w:val="0"/>
      <w:divBdr>
        <w:top w:val="none" w:sz="0" w:space="0" w:color="auto"/>
        <w:left w:val="none" w:sz="0" w:space="0" w:color="auto"/>
        <w:bottom w:val="none" w:sz="0" w:space="0" w:color="auto"/>
        <w:right w:val="none" w:sz="0" w:space="0" w:color="auto"/>
      </w:divBdr>
    </w:div>
    <w:div w:id="1878883057">
      <w:bodyDiv w:val="1"/>
      <w:marLeft w:val="0"/>
      <w:marRight w:val="0"/>
      <w:marTop w:val="0"/>
      <w:marBottom w:val="0"/>
      <w:divBdr>
        <w:top w:val="none" w:sz="0" w:space="0" w:color="auto"/>
        <w:left w:val="none" w:sz="0" w:space="0" w:color="auto"/>
        <w:bottom w:val="none" w:sz="0" w:space="0" w:color="auto"/>
        <w:right w:val="none" w:sz="0" w:space="0" w:color="auto"/>
      </w:divBdr>
    </w:div>
    <w:div w:id="1879004947">
      <w:bodyDiv w:val="1"/>
      <w:marLeft w:val="0"/>
      <w:marRight w:val="0"/>
      <w:marTop w:val="0"/>
      <w:marBottom w:val="0"/>
      <w:divBdr>
        <w:top w:val="none" w:sz="0" w:space="0" w:color="auto"/>
        <w:left w:val="none" w:sz="0" w:space="0" w:color="auto"/>
        <w:bottom w:val="none" w:sz="0" w:space="0" w:color="auto"/>
        <w:right w:val="none" w:sz="0" w:space="0" w:color="auto"/>
      </w:divBdr>
    </w:div>
    <w:div w:id="1879076019">
      <w:bodyDiv w:val="1"/>
      <w:marLeft w:val="0"/>
      <w:marRight w:val="0"/>
      <w:marTop w:val="0"/>
      <w:marBottom w:val="0"/>
      <w:divBdr>
        <w:top w:val="none" w:sz="0" w:space="0" w:color="auto"/>
        <w:left w:val="none" w:sz="0" w:space="0" w:color="auto"/>
        <w:bottom w:val="none" w:sz="0" w:space="0" w:color="auto"/>
        <w:right w:val="none" w:sz="0" w:space="0" w:color="auto"/>
      </w:divBdr>
    </w:div>
    <w:div w:id="1879511136">
      <w:bodyDiv w:val="1"/>
      <w:marLeft w:val="0"/>
      <w:marRight w:val="0"/>
      <w:marTop w:val="0"/>
      <w:marBottom w:val="0"/>
      <w:divBdr>
        <w:top w:val="none" w:sz="0" w:space="0" w:color="auto"/>
        <w:left w:val="none" w:sz="0" w:space="0" w:color="auto"/>
        <w:bottom w:val="none" w:sz="0" w:space="0" w:color="auto"/>
        <w:right w:val="none" w:sz="0" w:space="0" w:color="auto"/>
      </w:divBdr>
    </w:div>
    <w:div w:id="1879583188">
      <w:bodyDiv w:val="1"/>
      <w:marLeft w:val="0"/>
      <w:marRight w:val="0"/>
      <w:marTop w:val="0"/>
      <w:marBottom w:val="0"/>
      <w:divBdr>
        <w:top w:val="none" w:sz="0" w:space="0" w:color="auto"/>
        <w:left w:val="none" w:sz="0" w:space="0" w:color="auto"/>
        <w:bottom w:val="none" w:sz="0" w:space="0" w:color="auto"/>
        <w:right w:val="none" w:sz="0" w:space="0" w:color="auto"/>
      </w:divBdr>
    </w:div>
    <w:div w:id="1879972903">
      <w:bodyDiv w:val="1"/>
      <w:marLeft w:val="0"/>
      <w:marRight w:val="0"/>
      <w:marTop w:val="0"/>
      <w:marBottom w:val="0"/>
      <w:divBdr>
        <w:top w:val="none" w:sz="0" w:space="0" w:color="auto"/>
        <w:left w:val="none" w:sz="0" w:space="0" w:color="auto"/>
        <w:bottom w:val="none" w:sz="0" w:space="0" w:color="auto"/>
        <w:right w:val="none" w:sz="0" w:space="0" w:color="auto"/>
      </w:divBdr>
    </w:div>
    <w:div w:id="1880314383">
      <w:bodyDiv w:val="1"/>
      <w:marLeft w:val="0"/>
      <w:marRight w:val="0"/>
      <w:marTop w:val="0"/>
      <w:marBottom w:val="0"/>
      <w:divBdr>
        <w:top w:val="none" w:sz="0" w:space="0" w:color="auto"/>
        <w:left w:val="none" w:sz="0" w:space="0" w:color="auto"/>
        <w:bottom w:val="none" w:sz="0" w:space="0" w:color="auto"/>
        <w:right w:val="none" w:sz="0" w:space="0" w:color="auto"/>
      </w:divBdr>
    </w:div>
    <w:div w:id="1880774218">
      <w:bodyDiv w:val="1"/>
      <w:marLeft w:val="0"/>
      <w:marRight w:val="0"/>
      <w:marTop w:val="0"/>
      <w:marBottom w:val="0"/>
      <w:divBdr>
        <w:top w:val="none" w:sz="0" w:space="0" w:color="auto"/>
        <w:left w:val="none" w:sz="0" w:space="0" w:color="auto"/>
        <w:bottom w:val="none" w:sz="0" w:space="0" w:color="auto"/>
        <w:right w:val="none" w:sz="0" w:space="0" w:color="auto"/>
      </w:divBdr>
    </w:div>
    <w:div w:id="1880849077">
      <w:bodyDiv w:val="1"/>
      <w:marLeft w:val="0"/>
      <w:marRight w:val="0"/>
      <w:marTop w:val="0"/>
      <w:marBottom w:val="0"/>
      <w:divBdr>
        <w:top w:val="none" w:sz="0" w:space="0" w:color="auto"/>
        <w:left w:val="none" w:sz="0" w:space="0" w:color="auto"/>
        <w:bottom w:val="none" w:sz="0" w:space="0" w:color="auto"/>
        <w:right w:val="none" w:sz="0" w:space="0" w:color="auto"/>
      </w:divBdr>
    </w:div>
    <w:div w:id="1881044074">
      <w:bodyDiv w:val="1"/>
      <w:marLeft w:val="0"/>
      <w:marRight w:val="0"/>
      <w:marTop w:val="0"/>
      <w:marBottom w:val="0"/>
      <w:divBdr>
        <w:top w:val="none" w:sz="0" w:space="0" w:color="auto"/>
        <w:left w:val="none" w:sz="0" w:space="0" w:color="auto"/>
        <w:bottom w:val="none" w:sz="0" w:space="0" w:color="auto"/>
        <w:right w:val="none" w:sz="0" w:space="0" w:color="auto"/>
      </w:divBdr>
    </w:div>
    <w:div w:id="1881164242">
      <w:bodyDiv w:val="1"/>
      <w:marLeft w:val="0"/>
      <w:marRight w:val="0"/>
      <w:marTop w:val="0"/>
      <w:marBottom w:val="0"/>
      <w:divBdr>
        <w:top w:val="none" w:sz="0" w:space="0" w:color="auto"/>
        <w:left w:val="none" w:sz="0" w:space="0" w:color="auto"/>
        <w:bottom w:val="none" w:sz="0" w:space="0" w:color="auto"/>
        <w:right w:val="none" w:sz="0" w:space="0" w:color="auto"/>
      </w:divBdr>
    </w:div>
    <w:div w:id="1881167654">
      <w:bodyDiv w:val="1"/>
      <w:marLeft w:val="0"/>
      <w:marRight w:val="0"/>
      <w:marTop w:val="0"/>
      <w:marBottom w:val="0"/>
      <w:divBdr>
        <w:top w:val="none" w:sz="0" w:space="0" w:color="auto"/>
        <w:left w:val="none" w:sz="0" w:space="0" w:color="auto"/>
        <w:bottom w:val="none" w:sz="0" w:space="0" w:color="auto"/>
        <w:right w:val="none" w:sz="0" w:space="0" w:color="auto"/>
      </w:divBdr>
    </w:div>
    <w:div w:id="1881241856">
      <w:bodyDiv w:val="1"/>
      <w:marLeft w:val="0"/>
      <w:marRight w:val="0"/>
      <w:marTop w:val="0"/>
      <w:marBottom w:val="0"/>
      <w:divBdr>
        <w:top w:val="none" w:sz="0" w:space="0" w:color="auto"/>
        <w:left w:val="none" w:sz="0" w:space="0" w:color="auto"/>
        <w:bottom w:val="none" w:sz="0" w:space="0" w:color="auto"/>
        <w:right w:val="none" w:sz="0" w:space="0" w:color="auto"/>
      </w:divBdr>
    </w:div>
    <w:div w:id="1881360903">
      <w:bodyDiv w:val="1"/>
      <w:marLeft w:val="0"/>
      <w:marRight w:val="0"/>
      <w:marTop w:val="0"/>
      <w:marBottom w:val="0"/>
      <w:divBdr>
        <w:top w:val="none" w:sz="0" w:space="0" w:color="auto"/>
        <w:left w:val="none" w:sz="0" w:space="0" w:color="auto"/>
        <w:bottom w:val="none" w:sz="0" w:space="0" w:color="auto"/>
        <w:right w:val="none" w:sz="0" w:space="0" w:color="auto"/>
      </w:divBdr>
    </w:div>
    <w:div w:id="1881361808">
      <w:bodyDiv w:val="1"/>
      <w:marLeft w:val="0"/>
      <w:marRight w:val="0"/>
      <w:marTop w:val="0"/>
      <w:marBottom w:val="0"/>
      <w:divBdr>
        <w:top w:val="none" w:sz="0" w:space="0" w:color="auto"/>
        <w:left w:val="none" w:sz="0" w:space="0" w:color="auto"/>
        <w:bottom w:val="none" w:sz="0" w:space="0" w:color="auto"/>
        <w:right w:val="none" w:sz="0" w:space="0" w:color="auto"/>
      </w:divBdr>
    </w:div>
    <w:div w:id="1881547470">
      <w:bodyDiv w:val="1"/>
      <w:marLeft w:val="0"/>
      <w:marRight w:val="0"/>
      <w:marTop w:val="0"/>
      <w:marBottom w:val="0"/>
      <w:divBdr>
        <w:top w:val="none" w:sz="0" w:space="0" w:color="auto"/>
        <w:left w:val="none" w:sz="0" w:space="0" w:color="auto"/>
        <w:bottom w:val="none" w:sz="0" w:space="0" w:color="auto"/>
        <w:right w:val="none" w:sz="0" w:space="0" w:color="auto"/>
      </w:divBdr>
    </w:div>
    <w:div w:id="1881623977">
      <w:bodyDiv w:val="1"/>
      <w:marLeft w:val="0"/>
      <w:marRight w:val="0"/>
      <w:marTop w:val="0"/>
      <w:marBottom w:val="0"/>
      <w:divBdr>
        <w:top w:val="none" w:sz="0" w:space="0" w:color="auto"/>
        <w:left w:val="none" w:sz="0" w:space="0" w:color="auto"/>
        <w:bottom w:val="none" w:sz="0" w:space="0" w:color="auto"/>
        <w:right w:val="none" w:sz="0" w:space="0" w:color="auto"/>
      </w:divBdr>
    </w:div>
    <w:div w:id="1881627775">
      <w:bodyDiv w:val="1"/>
      <w:marLeft w:val="0"/>
      <w:marRight w:val="0"/>
      <w:marTop w:val="0"/>
      <w:marBottom w:val="0"/>
      <w:divBdr>
        <w:top w:val="none" w:sz="0" w:space="0" w:color="auto"/>
        <w:left w:val="none" w:sz="0" w:space="0" w:color="auto"/>
        <w:bottom w:val="none" w:sz="0" w:space="0" w:color="auto"/>
        <w:right w:val="none" w:sz="0" w:space="0" w:color="auto"/>
      </w:divBdr>
    </w:div>
    <w:div w:id="1881941607">
      <w:bodyDiv w:val="1"/>
      <w:marLeft w:val="0"/>
      <w:marRight w:val="0"/>
      <w:marTop w:val="0"/>
      <w:marBottom w:val="0"/>
      <w:divBdr>
        <w:top w:val="none" w:sz="0" w:space="0" w:color="auto"/>
        <w:left w:val="none" w:sz="0" w:space="0" w:color="auto"/>
        <w:bottom w:val="none" w:sz="0" w:space="0" w:color="auto"/>
        <w:right w:val="none" w:sz="0" w:space="0" w:color="auto"/>
      </w:divBdr>
    </w:div>
    <w:div w:id="1882354025">
      <w:bodyDiv w:val="1"/>
      <w:marLeft w:val="0"/>
      <w:marRight w:val="0"/>
      <w:marTop w:val="0"/>
      <w:marBottom w:val="0"/>
      <w:divBdr>
        <w:top w:val="none" w:sz="0" w:space="0" w:color="auto"/>
        <w:left w:val="none" w:sz="0" w:space="0" w:color="auto"/>
        <w:bottom w:val="none" w:sz="0" w:space="0" w:color="auto"/>
        <w:right w:val="none" w:sz="0" w:space="0" w:color="auto"/>
      </w:divBdr>
    </w:div>
    <w:div w:id="1882356602">
      <w:bodyDiv w:val="1"/>
      <w:marLeft w:val="0"/>
      <w:marRight w:val="0"/>
      <w:marTop w:val="0"/>
      <w:marBottom w:val="0"/>
      <w:divBdr>
        <w:top w:val="none" w:sz="0" w:space="0" w:color="auto"/>
        <w:left w:val="none" w:sz="0" w:space="0" w:color="auto"/>
        <w:bottom w:val="none" w:sz="0" w:space="0" w:color="auto"/>
        <w:right w:val="none" w:sz="0" w:space="0" w:color="auto"/>
      </w:divBdr>
    </w:div>
    <w:div w:id="1882401784">
      <w:bodyDiv w:val="1"/>
      <w:marLeft w:val="0"/>
      <w:marRight w:val="0"/>
      <w:marTop w:val="0"/>
      <w:marBottom w:val="0"/>
      <w:divBdr>
        <w:top w:val="none" w:sz="0" w:space="0" w:color="auto"/>
        <w:left w:val="none" w:sz="0" w:space="0" w:color="auto"/>
        <w:bottom w:val="none" w:sz="0" w:space="0" w:color="auto"/>
        <w:right w:val="none" w:sz="0" w:space="0" w:color="auto"/>
      </w:divBdr>
    </w:div>
    <w:div w:id="1882472771">
      <w:bodyDiv w:val="1"/>
      <w:marLeft w:val="0"/>
      <w:marRight w:val="0"/>
      <w:marTop w:val="0"/>
      <w:marBottom w:val="0"/>
      <w:divBdr>
        <w:top w:val="none" w:sz="0" w:space="0" w:color="auto"/>
        <w:left w:val="none" w:sz="0" w:space="0" w:color="auto"/>
        <w:bottom w:val="none" w:sz="0" w:space="0" w:color="auto"/>
        <w:right w:val="none" w:sz="0" w:space="0" w:color="auto"/>
      </w:divBdr>
    </w:div>
    <w:div w:id="1882477713">
      <w:bodyDiv w:val="1"/>
      <w:marLeft w:val="0"/>
      <w:marRight w:val="0"/>
      <w:marTop w:val="0"/>
      <w:marBottom w:val="0"/>
      <w:divBdr>
        <w:top w:val="none" w:sz="0" w:space="0" w:color="auto"/>
        <w:left w:val="none" w:sz="0" w:space="0" w:color="auto"/>
        <w:bottom w:val="none" w:sz="0" w:space="0" w:color="auto"/>
        <w:right w:val="none" w:sz="0" w:space="0" w:color="auto"/>
      </w:divBdr>
    </w:div>
    <w:div w:id="1882591434">
      <w:bodyDiv w:val="1"/>
      <w:marLeft w:val="0"/>
      <w:marRight w:val="0"/>
      <w:marTop w:val="0"/>
      <w:marBottom w:val="0"/>
      <w:divBdr>
        <w:top w:val="none" w:sz="0" w:space="0" w:color="auto"/>
        <w:left w:val="none" w:sz="0" w:space="0" w:color="auto"/>
        <w:bottom w:val="none" w:sz="0" w:space="0" w:color="auto"/>
        <w:right w:val="none" w:sz="0" w:space="0" w:color="auto"/>
      </w:divBdr>
    </w:div>
    <w:div w:id="1882935687">
      <w:bodyDiv w:val="1"/>
      <w:marLeft w:val="0"/>
      <w:marRight w:val="0"/>
      <w:marTop w:val="0"/>
      <w:marBottom w:val="0"/>
      <w:divBdr>
        <w:top w:val="none" w:sz="0" w:space="0" w:color="auto"/>
        <w:left w:val="none" w:sz="0" w:space="0" w:color="auto"/>
        <w:bottom w:val="none" w:sz="0" w:space="0" w:color="auto"/>
        <w:right w:val="none" w:sz="0" w:space="0" w:color="auto"/>
      </w:divBdr>
    </w:div>
    <w:div w:id="1882941860">
      <w:bodyDiv w:val="1"/>
      <w:marLeft w:val="0"/>
      <w:marRight w:val="0"/>
      <w:marTop w:val="0"/>
      <w:marBottom w:val="0"/>
      <w:divBdr>
        <w:top w:val="none" w:sz="0" w:space="0" w:color="auto"/>
        <w:left w:val="none" w:sz="0" w:space="0" w:color="auto"/>
        <w:bottom w:val="none" w:sz="0" w:space="0" w:color="auto"/>
        <w:right w:val="none" w:sz="0" w:space="0" w:color="auto"/>
      </w:divBdr>
    </w:div>
    <w:div w:id="1883319320">
      <w:bodyDiv w:val="1"/>
      <w:marLeft w:val="0"/>
      <w:marRight w:val="0"/>
      <w:marTop w:val="0"/>
      <w:marBottom w:val="0"/>
      <w:divBdr>
        <w:top w:val="none" w:sz="0" w:space="0" w:color="auto"/>
        <w:left w:val="none" w:sz="0" w:space="0" w:color="auto"/>
        <w:bottom w:val="none" w:sz="0" w:space="0" w:color="auto"/>
        <w:right w:val="none" w:sz="0" w:space="0" w:color="auto"/>
      </w:divBdr>
    </w:div>
    <w:div w:id="1883326309">
      <w:bodyDiv w:val="1"/>
      <w:marLeft w:val="0"/>
      <w:marRight w:val="0"/>
      <w:marTop w:val="0"/>
      <w:marBottom w:val="0"/>
      <w:divBdr>
        <w:top w:val="none" w:sz="0" w:space="0" w:color="auto"/>
        <w:left w:val="none" w:sz="0" w:space="0" w:color="auto"/>
        <w:bottom w:val="none" w:sz="0" w:space="0" w:color="auto"/>
        <w:right w:val="none" w:sz="0" w:space="0" w:color="auto"/>
      </w:divBdr>
    </w:div>
    <w:div w:id="1883665911">
      <w:bodyDiv w:val="1"/>
      <w:marLeft w:val="0"/>
      <w:marRight w:val="0"/>
      <w:marTop w:val="0"/>
      <w:marBottom w:val="0"/>
      <w:divBdr>
        <w:top w:val="none" w:sz="0" w:space="0" w:color="auto"/>
        <w:left w:val="none" w:sz="0" w:space="0" w:color="auto"/>
        <w:bottom w:val="none" w:sz="0" w:space="0" w:color="auto"/>
        <w:right w:val="none" w:sz="0" w:space="0" w:color="auto"/>
      </w:divBdr>
    </w:div>
    <w:div w:id="1883975659">
      <w:bodyDiv w:val="1"/>
      <w:marLeft w:val="0"/>
      <w:marRight w:val="0"/>
      <w:marTop w:val="0"/>
      <w:marBottom w:val="0"/>
      <w:divBdr>
        <w:top w:val="none" w:sz="0" w:space="0" w:color="auto"/>
        <w:left w:val="none" w:sz="0" w:space="0" w:color="auto"/>
        <w:bottom w:val="none" w:sz="0" w:space="0" w:color="auto"/>
        <w:right w:val="none" w:sz="0" w:space="0" w:color="auto"/>
      </w:divBdr>
    </w:div>
    <w:div w:id="1884511846">
      <w:bodyDiv w:val="1"/>
      <w:marLeft w:val="0"/>
      <w:marRight w:val="0"/>
      <w:marTop w:val="0"/>
      <w:marBottom w:val="0"/>
      <w:divBdr>
        <w:top w:val="none" w:sz="0" w:space="0" w:color="auto"/>
        <w:left w:val="none" w:sz="0" w:space="0" w:color="auto"/>
        <w:bottom w:val="none" w:sz="0" w:space="0" w:color="auto"/>
        <w:right w:val="none" w:sz="0" w:space="0" w:color="auto"/>
      </w:divBdr>
    </w:div>
    <w:div w:id="1884518240">
      <w:bodyDiv w:val="1"/>
      <w:marLeft w:val="0"/>
      <w:marRight w:val="0"/>
      <w:marTop w:val="0"/>
      <w:marBottom w:val="0"/>
      <w:divBdr>
        <w:top w:val="none" w:sz="0" w:space="0" w:color="auto"/>
        <w:left w:val="none" w:sz="0" w:space="0" w:color="auto"/>
        <w:bottom w:val="none" w:sz="0" w:space="0" w:color="auto"/>
        <w:right w:val="none" w:sz="0" w:space="0" w:color="auto"/>
      </w:divBdr>
    </w:div>
    <w:div w:id="1884562175">
      <w:bodyDiv w:val="1"/>
      <w:marLeft w:val="0"/>
      <w:marRight w:val="0"/>
      <w:marTop w:val="0"/>
      <w:marBottom w:val="0"/>
      <w:divBdr>
        <w:top w:val="none" w:sz="0" w:space="0" w:color="auto"/>
        <w:left w:val="none" w:sz="0" w:space="0" w:color="auto"/>
        <w:bottom w:val="none" w:sz="0" w:space="0" w:color="auto"/>
        <w:right w:val="none" w:sz="0" w:space="0" w:color="auto"/>
      </w:divBdr>
    </w:div>
    <w:div w:id="1884780168">
      <w:bodyDiv w:val="1"/>
      <w:marLeft w:val="0"/>
      <w:marRight w:val="0"/>
      <w:marTop w:val="0"/>
      <w:marBottom w:val="0"/>
      <w:divBdr>
        <w:top w:val="none" w:sz="0" w:space="0" w:color="auto"/>
        <w:left w:val="none" w:sz="0" w:space="0" w:color="auto"/>
        <w:bottom w:val="none" w:sz="0" w:space="0" w:color="auto"/>
        <w:right w:val="none" w:sz="0" w:space="0" w:color="auto"/>
      </w:divBdr>
    </w:div>
    <w:div w:id="1884899462">
      <w:bodyDiv w:val="1"/>
      <w:marLeft w:val="0"/>
      <w:marRight w:val="0"/>
      <w:marTop w:val="0"/>
      <w:marBottom w:val="0"/>
      <w:divBdr>
        <w:top w:val="none" w:sz="0" w:space="0" w:color="auto"/>
        <w:left w:val="none" w:sz="0" w:space="0" w:color="auto"/>
        <w:bottom w:val="none" w:sz="0" w:space="0" w:color="auto"/>
        <w:right w:val="none" w:sz="0" w:space="0" w:color="auto"/>
      </w:divBdr>
    </w:div>
    <w:div w:id="1884907880">
      <w:bodyDiv w:val="1"/>
      <w:marLeft w:val="0"/>
      <w:marRight w:val="0"/>
      <w:marTop w:val="0"/>
      <w:marBottom w:val="0"/>
      <w:divBdr>
        <w:top w:val="none" w:sz="0" w:space="0" w:color="auto"/>
        <w:left w:val="none" w:sz="0" w:space="0" w:color="auto"/>
        <w:bottom w:val="none" w:sz="0" w:space="0" w:color="auto"/>
        <w:right w:val="none" w:sz="0" w:space="0" w:color="auto"/>
      </w:divBdr>
    </w:div>
    <w:div w:id="1885024856">
      <w:bodyDiv w:val="1"/>
      <w:marLeft w:val="0"/>
      <w:marRight w:val="0"/>
      <w:marTop w:val="0"/>
      <w:marBottom w:val="0"/>
      <w:divBdr>
        <w:top w:val="none" w:sz="0" w:space="0" w:color="auto"/>
        <w:left w:val="none" w:sz="0" w:space="0" w:color="auto"/>
        <w:bottom w:val="none" w:sz="0" w:space="0" w:color="auto"/>
        <w:right w:val="none" w:sz="0" w:space="0" w:color="auto"/>
      </w:divBdr>
    </w:div>
    <w:div w:id="1885101151">
      <w:bodyDiv w:val="1"/>
      <w:marLeft w:val="0"/>
      <w:marRight w:val="0"/>
      <w:marTop w:val="0"/>
      <w:marBottom w:val="0"/>
      <w:divBdr>
        <w:top w:val="none" w:sz="0" w:space="0" w:color="auto"/>
        <w:left w:val="none" w:sz="0" w:space="0" w:color="auto"/>
        <w:bottom w:val="none" w:sz="0" w:space="0" w:color="auto"/>
        <w:right w:val="none" w:sz="0" w:space="0" w:color="auto"/>
      </w:divBdr>
    </w:div>
    <w:div w:id="1885172163">
      <w:bodyDiv w:val="1"/>
      <w:marLeft w:val="0"/>
      <w:marRight w:val="0"/>
      <w:marTop w:val="0"/>
      <w:marBottom w:val="0"/>
      <w:divBdr>
        <w:top w:val="none" w:sz="0" w:space="0" w:color="auto"/>
        <w:left w:val="none" w:sz="0" w:space="0" w:color="auto"/>
        <w:bottom w:val="none" w:sz="0" w:space="0" w:color="auto"/>
        <w:right w:val="none" w:sz="0" w:space="0" w:color="auto"/>
      </w:divBdr>
    </w:div>
    <w:div w:id="1885409999">
      <w:bodyDiv w:val="1"/>
      <w:marLeft w:val="0"/>
      <w:marRight w:val="0"/>
      <w:marTop w:val="0"/>
      <w:marBottom w:val="0"/>
      <w:divBdr>
        <w:top w:val="none" w:sz="0" w:space="0" w:color="auto"/>
        <w:left w:val="none" w:sz="0" w:space="0" w:color="auto"/>
        <w:bottom w:val="none" w:sz="0" w:space="0" w:color="auto"/>
        <w:right w:val="none" w:sz="0" w:space="0" w:color="auto"/>
      </w:divBdr>
    </w:div>
    <w:div w:id="1885673791">
      <w:bodyDiv w:val="1"/>
      <w:marLeft w:val="0"/>
      <w:marRight w:val="0"/>
      <w:marTop w:val="0"/>
      <w:marBottom w:val="0"/>
      <w:divBdr>
        <w:top w:val="none" w:sz="0" w:space="0" w:color="auto"/>
        <w:left w:val="none" w:sz="0" w:space="0" w:color="auto"/>
        <w:bottom w:val="none" w:sz="0" w:space="0" w:color="auto"/>
        <w:right w:val="none" w:sz="0" w:space="0" w:color="auto"/>
      </w:divBdr>
    </w:div>
    <w:div w:id="1886717501">
      <w:bodyDiv w:val="1"/>
      <w:marLeft w:val="0"/>
      <w:marRight w:val="0"/>
      <w:marTop w:val="0"/>
      <w:marBottom w:val="0"/>
      <w:divBdr>
        <w:top w:val="none" w:sz="0" w:space="0" w:color="auto"/>
        <w:left w:val="none" w:sz="0" w:space="0" w:color="auto"/>
        <w:bottom w:val="none" w:sz="0" w:space="0" w:color="auto"/>
        <w:right w:val="none" w:sz="0" w:space="0" w:color="auto"/>
      </w:divBdr>
    </w:div>
    <w:div w:id="1886747927">
      <w:bodyDiv w:val="1"/>
      <w:marLeft w:val="0"/>
      <w:marRight w:val="0"/>
      <w:marTop w:val="0"/>
      <w:marBottom w:val="0"/>
      <w:divBdr>
        <w:top w:val="none" w:sz="0" w:space="0" w:color="auto"/>
        <w:left w:val="none" w:sz="0" w:space="0" w:color="auto"/>
        <w:bottom w:val="none" w:sz="0" w:space="0" w:color="auto"/>
        <w:right w:val="none" w:sz="0" w:space="0" w:color="auto"/>
      </w:divBdr>
    </w:div>
    <w:div w:id="1887063943">
      <w:bodyDiv w:val="1"/>
      <w:marLeft w:val="0"/>
      <w:marRight w:val="0"/>
      <w:marTop w:val="0"/>
      <w:marBottom w:val="0"/>
      <w:divBdr>
        <w:top w:val="none" w:sz="0" w:space="0" w:color="auto"/>
        <w:left w:val="none" w:sz="0" w:space="0" w:color="auto"/>
        <w:bottom w:val="none" w:sz="0" w:space="0" w:color="auto"/>
        <w:right w:val="none" w:sz="0" w:space="0" w:color="auto"/>
      </w:divBdr>
    </w:div>
    <w:div w:id="1887176028">
      <w:bodyDiv w:val="1"/>
      <w:marLeft w:val="0"/>
      <w:marRight w:val="0"/>
      <w:marTop w:val="0"/>
      <w:marBottom w:val="0"/>
      <w:divBdr>
        <w:top w:val="none" w:sz="0" w:space="0" w:color="auto"/>
        <w:left w:val="none" w:sz="0" w:space="0" w:color="auto"/>
        <w:bottom w:val="none" w:sz="0" w:space="0" w:color="auto"/>
        <w:right w:val="none" w:sz="0" w:space="0" w:color="auto"/>
      </w:divBdr>
    </w:div>
    <w:div w:id="1887325861">
      <w:bodyDiv w:val="1"/>
      <w:marLeft w:val="0"/>
      <w:marRight w:val="0"/>
      <w:marTop w:val="0"/>
      <w:marBottom w:val="0"/>
      <w:divBdr>
        <w:top w:val="none" w:sz="0" w:space="0" w:color="auto"/>
        <w:left w:val="none" w:sz="0" w:space="0" w:color="auto"/>
        <w:bottom w:val="none" w:sz="0" w:space="0" w:color="auto"/>
        <w:right w:val="none" w:sz="0" w:space="0" w:color="auto"/>
      </w:divBdr>
    </w:div>
    <w:div w:id="1887525154">
      <w:bodyDiv w:val="1"/>
      <w:marLeft w:val="0"/>
      <w:marRight w:val="0"/>
      <w:marTop w:val="0"/>
      <w:marBottom w:val="0"/>
      <w:divBdr>
        <w:top w:val="none" w:sz="0" w:space="0" w:color="auto"/>
        <w:left w:val="none" w:sz="0" w:space="0" w:color="auto"/>
        <w:bottom w:val="none" w:sz="0" w:space="0" w:color="auto"/>
        <w:right w:val="none" w:sz="0" w:space="0" w:color="auto"/>
      </w:divBdr>
    </w:div>
    <w:div w:id="1887839721">
      <w:bodyDiv w:val="1"/>
      <w:marLeft w:val="0"/>
      <w:marRight w:val="0"/>
      <w:marTop w:val="0"/>
      <w:marBottom w:val="0"/>
      <w:divBdr>
        <w:top w:val="none" w:sz="0" w:space="0" w:color="auto"/>
        <w:left w:val="none" w:sz="0" w:space="0" w:color="auto"/>
        <w:bottom w:val="none" w:sz="0" w:space="0" w:color="auto"/>
        <w:right w:val="none" w:sz="0" w:space="0" w:color="auto"/>
      </w:divBdr>
    </w:div>
    <w:div w:id="1887840020">
      <w:bodyDiv w:val="1"/>
      <w:marLeft w:val="0"/>
      <w:marRight w:val="0"/>
      <w:marTop w:val="0"/>
      <w:marBottom w:val="0"/>
      <w:divBdr>
        <w:top w:val="none" w:sz="0" w:space="0" w:color="auto"/>
        <w:left w:val="none" w:sz="0" w:space="0" w:color="auto"/>
        <w:bottom w:val="none" w:sz="0" w:space="0" w:color="auto"/>
        <w:right w:val="none" w:sz="0" w:space="0" w:color="auto"/>
      </w:divBdr>
    </w:div>
    <w:div w:id="1888294189">
      <w:bodyDiv w:val="1"/>
      <w:marLeft w:val="0"/>
      <w:marRight w:val="0"/>
      <w:marTop w:val="0"/>
      <w:marBottom w:val="0"/>
      <w:divBdr>
        <w:top w:val="none" w:sz="0" w:space="0" w:color="auto"/>
        <w:left w:val="none" w:sz="0" w:space="0" w:color="auto"/>
        <w:bottom w:val="none" w:sz="0" w:space="0" w:color="auto"/>
        <w:right w:val="none" w:sz="0" w:space="0" w:color="auto"/>
      </w:divBdr>
    </w:div>
    <w:div w:id="1888296547">
      <w:bodyDiv w:val="1"/>
      <w:marLeft w:val="0"/>
      <w:marRight w:val="0"/>
      <w:marTop w:val="0"/>
      <w:marBottom w:val="0"/>
      <w:divBdr>
        <w:top w:val="none" w:sz="0" w:space="0" w:color="auto"/>
        <w:left w:val="none" w:sz="0" w:space="0" w:color="auto"/>
        <w:bottom w:val="none" w:sz="0" w:space="0" w:color="auto"/>
        <w:right w:val="none" w:sz="0" w:space="0" w:color="auto"/>
      </w:divBdr>
    </w:div>
    <w:div w:id="1888493784">
      <w:bodyDiv w:val="1"/>
      <w:marLeft w:val="0"/>
      <w:marRight w:val="0"/>
      <w:marTop w:val="0"/>
      <w:marBottom w:val="0"/>
      <w:divBdr>
        <w:top w:val="none" w:sz="0" w:space="0" w:color="auto"/>
        <w:left w:val="none" w:sz="0" w:space="0" w:color="auto"/>
        <w:bottom w:val="none" w:sz="0" w:space="0" w:color="auto"/>
        <w:right w:val="none" w:sz="0" w:space="0" w:color="auto"/>
      </w:divBdr>
    </w:div>
    <w:div w:id="1888564061">
      <w:bodyDiv w:val="1"/>
      <w:marLeft w:val="0"/>
      <w:marRight w:val="0"/>
      <w:marTop w:val="0"/>
      <w:marBottom w:val="0"/>
      <w:divBdr>
        <w:top w:val="none" w:sz="0" w:space="0" w:color="auto"/>
        <w:left w:val="none" w:sz="0" w:space="0" w:color="auto"/>
        <w:bottom w:val="none" w:sz="0" w:space="0" w:color="auto"/>
        <w:right w:val="none" w:sz="0" w:space="0" w:color="auto"/>
      </w:divBdr>
    </w:div>
    <w:div w:id="1888878961">
      <w:bodyDiv w:val="1"/>
      <w:marLeft w:val="0"/>
      <w:marRight w:val="0"/>
      <w:marTop w:val="0"/>
      <w:marBottom w:val="0"/>
      <w:divBdr>
        <w:top w:val="none" w:sz="0" w:space="0" w:color="auto"/>
        <w:left w:val="none" w:sz="0" w:space="0" w:color="auto"/>
        <w:bottom w:val="none" w:sz="0" w:space="0" w:color="auto"/>
        <w:right w:val="none" w:sz="0" w:space="0" w:color="auto"/>
      </w:divBdr>
    </w:div>
    <w:div w:id="1889223230">
      <w:bodyDiv w:val="1"/>
      <w:marLeft w:val="0"/>
      <w:marRight w:val="0"/>
      <w:marTop w:val="0"/>
      <w:marBottom w:val="0"/>
      <w:divBdr>
        <w:top w:val="none" w:sz="0" w:space="0" w:color="auto"/>
        <w:left w:val="none" w:sz="0" w:space="0" w:color="auto"/>
        <w:bottom w:val="none" w:sz="0" w:space="0" w:color="auto"/>
        <w:right w:val="none" w:sz="0" w:space="0" w:color="auto"/>
      </w:divBdr>
    </w:div>
    <w:div w:id="1889225926">
      <w:bodyDiv w:val="1"/>
      <w:marLeft w:val="0"/>
      <w:marRight w:val="0"/>
      <w:marTop w:val="0"/>
      <w:marBottom w:val="0"/>
      <w:divBdr>
        <w:top w:val="none" w:sz="0" w:space="0" w:color="auto"/>
        <w:left w:val="none" w:sz="0" w:space="0" w:color="auto"/>
        <w:bottom w:val="none" w:sz="0" w:space="0" w:color="auto"/>
        <w:right w:val="none" w:sz="0" w:space="0" w:color="auto"/>
      </w:divBdr>
    </w:div>
    <w:div w:id="1889301136">
      <w:bodyDiv w:val="1"/>
      <w:marLeft w:val="0"/>
      <w:marRight w:val="0"/>
      <w:marTop w:val="0"/>
      <w:marBottom w:val="0"/>
      <w:divBdr>
        <w:top w:val="none" w:sz="0" w:space="0" w:color="auto"/>
        <w:left w:val="none" w:sz="0" w:space="0" w:color="auto"/>
        <w:bottom w:val="none" w:sz="0" w:space="0" w:color="auto"/>
        <w:right w:val="none" w:sz="0" w:space="0" w:color="auto"/>
      </w:divBdr>
    </w:div>
    <w:div w:id="1889410074">
      <w:bodyDiv w:val="1"/>
      <w:marLeft w:val="0"/>
      <w:marRight w:val="0"/>
      <w:marTop w:val="0"/>
      <w:marBottom w:val="0"/>
      <w:divBdr>
        <w:top w:val="none" w:sz="0" w:space="0" w:color="auto"/>
        <w:left w:val="none" w:sz="0" w:space="0" w:color="auto"/>
        <w:bottom w:val="none" w:sz="0" w:space="0" w:color="auto"/>
        <w:right w:val="none" w:sz="0" w:space="0" w:color="auto"/>
      </w:divBdr>
    </w:div>
    <w:div w:id="1889415998">
      <w:bodyDiv w:val="1"/>
      <w:marLeft w:val="0"/>
      <w:marRight w:val="0"/>
      <w:marTop w:val="0"/>
      <w:marBottom w:val="0"/>
      <w:divBdr>
        <w:top w:val="none" w:sz="0" w:space="0" w:color="auto"/>
        <w:left w:val="none" w:sz="0" w:space="0" w:color="auto"/>
        <w:bottom w:val="none" w:sz="0" w:space="0" w:color="auto"/>
        <w:right w:val="none" w:sz="0" w:space="0" w:color="auto"/>
      </w:divBdr>
    </w:div>
    <w:div w:id="1889493930">
      <w:bodyDiv w:val="1"/>
      <w:marLeft w:val="0"/>
      <w:marRight w:val="0"/>
      <w:marTop w:val="0"/>
      <w:marBottom w:val="0"/>
      <w:divBdr>
        <w:top w:val="none" w:sz="0" w:space="0" w:color="auto"/>
        <w:left w:val="none" w:sz="0" w:space="0" w:color="auto"/>
        <w:bottom w:val="none" w:sz="0" w:space="0" w:color="auto"/>
        <w:right w:val="none" w:sz="0" w:space="0" w:color="auto"/>
      </w:divBdr>
    </w:div>
    <w:div w:id="1889604265">
      <w:bodyDiv w:val="1"/>
      <w:marLeft w:val="0"/>
      <w:marRight w:val="0"/>
      <w:marTop w:val="0"/>
      <w:marBottom w:val="0"/>
      <w:divBdr>
        <w:top w:val="none" w:sz="0" w:space="0" w:color="auto"/>
        <w:left w:val="none" w:sz="0" w:space="0" w:color="auto"/>
        <w:bottom w:val="none" w:sz="0" w:space="0" w:color="auto"/>
        <w:right w:val="none" w:sz="0" w:space="0" w:color="auto"/>
      </w:divBdr>
    </w:div>
    <w:div w:id="1889759360">
      <w:bodyDiv w:val="1"/>
      <w:marLeft w:val="0"/>
      <w:marRight w:val="0"/>
      <w:marTop w:val="0"/>
      <w:marBottom w:val="0"/>
      <w:divBdr>
        <w:top w:val="none" w:sz="0" w:space="0" w:color="auto"/>
        <w:left w:val="none" w:sz="0" w:space="0" w:color="auto"/>
        <w:bottom w:val="none" w:sz="0" w:space="0" w:color="auto"/>
        <w:right w:val="none" w:sz="0" w:space="0" w:color="auto"/>
      </w:divBdr>
    </w:div>
    <w:div w:id="1889993870">
      <w:bodyDiv w:val="1"/>
      <w:marLeft w:val="0"/>
      <w:marRight w:val="0"/>
      <w:marTop w:val="0"/>
      <w:marBottom w:val="0"/>
      <w:divBdr>
        <w:top w:val="none" w:sz="0" w:space="0" w:color="auto"/>
        <w:left w:val="none" w:sz="0" w:space="0" w:color="auto"/>
        <w:bottom w:val="none" w:sz="0" w:space="0" w:color="auto"/>
        <w:right w:val="none" w:sz="0" w:space="0" w:color="auto"/>
      </w:divBdr>
    </w:div>
    <w:div w:id="1890143467">
      <w:bodyDiv w:val="1"/>
      <w:marLeft w:val="0"/>
      <w:marRight w:val="0"/>
      <w:marTop w:val="0"/>
      <w:marBottom w:val="0"/>
      <w:divBdr>
        <w:top w:val="none" w:sz="0" w:space="0" w:color="auto"/>
        <w:left w:val="none" w:sz="0" w:space="0" w:color="auto"/>
        <w:bottom w:val="none" w:sz="0" w:space="0" w:color="auto"/>
        <w:right w:val="none" w:sz="0" w:space="0" w:color="auto"/>
      </w:divBdr>
    </w:div>
    <w:div w:id="1890144458">
      <w:bodyDiv w:val="1"/>
      <w:marLeft w:val="0"/>
      <w:marRight w:val="0"/>
      <w:marTop w:val="0"/>
      <w:marBottom w:val="0"/>
      <w:divBdr>
        <w:top w:val="none" w:sz="0" w:space="0" w:color="auto"/>
        <w:left w:val="none" w:sz="0" w:space="0" w:color="auto"/>
        <w:bottom w:val="none" w:sz="0" w:space="0" w:color="auto"/>
        <w:right w:val="none" w:sz="0" w:space="0" w:color="auto"/>
      </w:divBdr>
    </w:div>
    <w:div w:id="1890191241">
      <w:bodyDiv w:val="1"/>
      <w:marLeft w:val="0"/>
      <w:marRight w:val="0"/>
      <w:marTop w:val="0"/>
      <w:marBottom w:val="0"/>
      <w:divBdr>
        <w:top w:val="none" w:sz="0" w:space="0" w:color="auto"/>
        <w:left w:val="none" w:sz="0" w:space="0" w:color="auto"/>
        <w:bottom w:val="none" w:sz="0" w:space="0" w:color="auto"/>
        <w:right w:val="none" w:sz="0" w:space="0" w:color="auto"/>
      </w:divBdr>
    </w:div>
    <w:div w:id="1890267735">
      <w:bodyDiv w:val="1"/>
      <w:marLeft w:val="0"/>
      <w:marRight w:val="0"/>
      <w:marTop w:val="0"/>
      <w:marBottom w:val="0"/>
      <w:divBdr>
        <w:top w:val="none" w:sz="0" w:space="0" w:color="auto"/>
        <w:left w:val="none" w:sz="0" w:space="0" w:color="auto"/>
        <w:bottom w:val="none" w:sz="0" w:space="0" w:color="auto"/>
        <w:right w:val="none" w:sz="0" w:space="0" w:color="auto"/>
      </w:divBdr>
    </w:div>
    <w:div w:id="1890339243">
      <w:bodyDiv w:val="1"/>
      <w:marLeft w:val="0"/>
      <w:marRight w:val="0"/>
      <w:marTop w:val="0"/>
      <w:marBottom w:val="0"/>
      <w:divBdr>
        <w:top w:val="none" w:sz="0" w:space="0" w:color="auto"/>
        <w:left w:val="none" w:sz="0" w:space="0" w:color="auto"/>
        <w:bottom w:val="none" w:sz="0" w:space="0" w:color="auto"/>
        <w:right w:val="none" w:sz="0" w:space="0" w:color="auto"/>
      </w:divBdr>
    </w:div>
    <w:div w:id="1890611782">
      <w:bodyDiv w:val="1"/>
      <w:marLeft w:val="0"/>
      <w:marRight w:val="0"/>
      <w:marTop w:val="0"/>
      <w:marBottom w:val="0"/>
      <w:divBdr>
        <w:top w:val="none" w:sz="0" w:space="0" w:color="auto"/>
        <w:left w:val="none" w:sz="0" w:space="0" w:color="auto"/>
        <w:bottom w:val="none" w:sz="0" w:space="0" w:color="auto"/>
        <w:right w:val="none" w:sz="0" w:space="0" w:color="auto"/>
      </w:divBdr>
    </w:div>
    <w:div w:id="1890875150">
      <w:bodyDiv w:val="1"/>
      <w:marLeft w:val="0"/>
      <w:marRight w:val="0"/>
      <w:marTop w:val="0"/>
      <w:marBottom w:val="0"/>
      <w:divBdr>
        <w:top w:val="none" w:sz="0" w:space="0" w:color="auto"/>
        <w:left w:val="none" w:sz="0" w:space="0" w:color="auto"/>
        <w:bottom w:val="none" w:sz="0" w:space="0" w:color="auto"/>
        <w:right w:val="none" w:sz="0" w:space="0" w:color="auto"/>
      </w:divBdr>
    </w:div>
    <w:div w:id="1890917538">
      <w:bodyDiv w:val="1"/>
      <w:marLeft w:val="0"/>
      <w:marRight w:val="0"/>
      <w:marTop w:val="0"/>
      <w:marBottom w:val="0"/>
      <w:divBdr>
        <w:top w:val="none" w:sz="0" w:space="0" w:color="auto"/>
        <w:left w:val="none" w:sz="0" w:space="0" w:color="auto"/>
        <w:bottom w:val="none" w:sz="0" w:space="0" w:color="auto"/>
        <w:right w:val="none" w:sz="0" w:space="0" w:color="auto"/>
      </w:divBdr>
    </w:div>
    <w:div w:id="1890997954">
      <w:bodyDiv w:val="1"/>
      <w:marLeft w:val="0"/>
      <w:marRight w:val="0"/>
      <w:marTop w:val="0"/>
      <w:marBottom w:val="0"/>
      <w:divBdr>
        <w:top w:val="none" w:sz="0" w:space="0" w:color="auto"/>
        <w:left w:val="none" w:sz="0" w:space="0" w:color="auto"/>
        <w:bottom w:val="none" w:sz="0" w:space="0" w:color="auto"/>
        <w:right w:val="none" w:sz="0" w:space="0" w:color="auto"/>
      </w:divBdr>
    </w:div>
    <w:div w:id="1891109331">
      <w:bodyDiv w:val="1"/>
      <w:marLeft w:val="0"/>
      <w:marRight w:val="0"/>
      <w:marTop w:val="0"/>
      <w:marBottom w:val="0"/>
      <w:divBdr>
        <w:top w:val="none" w:sz="0" w:space="0" w:color="auto"/>
        <w:left w:val="none" w:sz="0" w:space="0" w:color="auto"/>
        <w:bottom w:val="none" w:sz="0" w:space="0" w:color="auto"/>
        <w:right w:val="none" w:sz="0" w:space="0" w:color="auto"/>
      </w:divBdr>
    </w:div>
    <w:div w:id="1891115333">
      <w:bodyDiv w:val="1"/>
      <w:marLeft w:val="0"/>
      <w:marRight w:val="0"/>
      <w:marTop w:val="0"/>
      <w:marBottom w:val="0"/>
      <w:divBdr>
        <w:top w:val="none" w:sz="0" w:space="0" w:color="auto"/>
        <w:left w:val="none" w:sz="0" w:space="0" w:color="auto"/>
        <w:bottom w:val="none" w:sz="0" w:space="0" w:color="auto"/>
        <w:right w:val="none" w:sz="0" w:space="0" w:color="auto"/>
      </w:divBdr>
    </w:div>
    <w:div w:id="1891182311">
      <w:bodyDiv w:val="1"/>
      <w:marLeft w:val="0"/>
      <w:marRight w:val="0"/>
      <w:marTop w:val="0"/>
      <w:marBottom w:val="0"/>
      <w:divBdr>
        <w:top w:val="none" w:sz="0" w:space="0" w:color="auto"/>
        <w:left w:val="none" w:sz="0" w:space="0" w:color="auto"/>
        <w:bottom w:val="none" w:sz="0" w:space="0" w:color="auto"/>
        <w:right w:val="none" w:sz="0" w:space="0" w:color="auto"/>
      </w:divBdr>
    </w:div>
    <w:div w:id="1891378873">
      <w:bodyDiv w:val="1"/>
      <w:marLeft w:val="0"/>
      <w:marRight w:val="0"/>
      <w:marTop w:val="0"/>
      <w:marBottom w:val="0"/>
      <w:divBdr>
        <w:top w:val="none" w:sz="0" w:space="0" w:color="auto"/>
        <w:left w:val="none" w:sz="0" w:space="0" w:color="auto"/>
        <w:bottom w:val="none" w:sz="0" w:space="0" w:color="auto"/>
        <w:right w:val="none" w:sz="0" w:space="0" w:color="auto"/>
      </w:divBdr>
    </w:div>
    <w:div w:id="1891913830">
      <w:bodyDiv w:val="1"/>
      <w:marLeft w:val="0"/>
      <w:marRight w:val="0"/>
      <w:marTop w:val="0"/>
      <w:marBottom w:val="0"/>
      <w:divBdr>
        <w:top w:val="none" w:sz="0" w:space="0" w:color="auto"/>
        <w:left w:val="none" w:sz="0" w:space="0" w:color="auto"/>
        <w:bottom w:val="none" w:sz="0" w:space="0" w:color="auto"/>
        <w:right w:val="none" w:sz="0" w:space="0" w:color="auto"/>
      </w:divBdr>
    </w:div>
    <w:div w:id="1892033573">
      <w:bodyDiv w:val="1"/>
      <w:marLeft w:val="0"/>
      <w:marRight w:val="0"/>
      <w:marTop w:val="0"/>
      <w:marBottom w:val="0"/>
      <w:divBdr>
        <w:top w:val="none" w:sz="0" w:space="0" w:color="auto"/>
        <w:left w:val="none" w:sz="0" w:space="0" w:color="auto"/>
        <w:bottom w:val="none" w:sz="0" w:space="0" w:color="auto"/>
        <w:right w:val="none" w:sz="0" w:space="0" w:color="auto"/>
      </w:divBdr>
    </w:div>
    <w:div w:id="1892112611">
      <w:bodyDiv w:val="1"/>
      <w:marLeft w:val="0"/>
      <w:marRight w:val="0"/>
      <w:marTop w:val="0"/>
      <w:marBottom w:val="0"/>
      <w:divBdr>
        <w:top w:val="none" w:sz="0" w:space="0" w:color="auto"/>
        <w:left w:val="none" w:sz="0" w:space="0" w:color="auto"/>
        <w:bottom w:val="none" w:sz="0" w:space="0" w:color="auto"/>
        <w:right w:val="none" w:sz="0" w:space="0" w:color="auto"/>
      </w:divBdr>
    </w:div>
    <w:div w:id="1892300773">
      <w:bodyDiv w:val="1"/>
      <w:marLeft w:val="0"/>
      <w:marRight w:val="0"/>
      <w:marTop w:val="0"/>
      <w:marBottom w:val="0"/>
      <w:divBdr>
        <w:top w:val="none" w:sz="0" w:space="0" w:color="auto"/>
        <w:left w:val="none" w:sz="0" w:space="0" w:color="auto"/>
        <w:bottom w:val="none" w:sz="0" w:space="0" w:color="auto"/>
        <w:right w:val="none" w:sz="0" w:space="0" w:color="auto"/>
      </w:divBdr>
    </w:div>
    <w:div w:id="1892569363">
      <w:bodyDiv w:val="1"/>
      <w:marLeft w:val="0"/>
      <w:marRight w:val="0"/>
      <w:marTop w:val="0"/>
      <w:marBottom w:val="0"/>
      <w:divBdr>
        <w:top w:val="none" w:sz="0" w:space="0" w:color="auto"/>
        <w:left w:val="none" w:sz="0" w:space="0" w:color="auto"/>
        <w:bottom w:val="none" w:sz="0" w:space="0" w:color="auto"/>
        <w:right w:val="none" w:sz="0" w:space="0" w:color="auto"/>
      </w:divBdr>
    </w:div>
    <w:div w:id="1892957354">
      <w:bodyDiv w:val="1"/>
      <w:marLeft w:val="0"/>
      <w:marRight w:val="0"/>
      <w:marTop w:val="0"/>
      <w:marBottom w:val="0"/>
      <w:divBdr>
        <w:top w:val="none" w:sz="0" w:space="0" w:color="auto"/>
        <w:left w:val="none" w:sz="0" w:space="0" w:color="auto"/>
        <w:bottom w:val="none" w:sz="0" w:space="0" w:color="auto"/>
        <w:right w:val="none" w:sz="0" w:space="0" w:color="auto"/>
      </w:divBdr>
    </w:div>
    <w:div w:id="1893037403">
      <w:bodyDiv w:val="1"/>
      <w:marLeft w:val="0"/>
      <w:marRight w:val="0"/>
      <w:marTop w:val="0"/>
      <w:marBottom w:val="0"/>
      <w:divBdr>
        <w:top w:val="none" w:sz="0" w:space="0" w:color="auto"/>
        <w:left w:val="none" w:sz="0" w:space="0" w:color="auto"/>
        <w:bottom w:val="none" w:sz="0" w:space="0" w:color="auto"/>
        <w:right w:val="none" w:sz="0" w:space="0" w:color="auto"/>
      </w:divBdr>
    </w:div>
    <w:div w:id="1893076433">
      <w:bodyDiv w:val="1"/>
      <w:marLeft w:val="0"/>
      <w:marRight w:val="0"/>
      <w:marTop w:val="0"/>
      <w:marBottom w:val="0"/>
      <w:divBdr>
        <w:top w:val="none" w:sz="0" w:space="0" w:color="auto"/>
        <w:left w:val="none" w:sz="0" w:space="0" w:color="auto"/>
        <w:bottom w:val="none" w:sz="0" w:space="0" w:color="auto"/>
        <w:right w:val="none" w:sz="0" w:space="0" w:color="auto"/>
      </w:divBdr>
    </w:div>
    <w:div w:id="1893154750">
      <w:bodyDiv w:val="1"/>
      <w:marLeft w:val="0"/>
      <w:marRight w:val="0"/>
      <w:marTop w:val="0"/>
      <w:marBottom w:val="0"/>
      <w:divBdr>
        <w:top w:val="none" w:sz="0" w:space="0" w:color="auto"/>
        <w:left w:val="none" w:sz="0" w:space="0" w:color="auto"/>
        <w:bottom w:val="none" w:sz="0" w:space="0" w:color="auto"/>
        <w:right w:val="none" w:sz="0" w:space="0" w:color="auto"/>
      </w:divBdr>
    </w:div>
    <w:div w:id="1893495879">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893543724">
      <w:bodyDiv w:val="1"/>
      <w:marLeft w:val="0"/>
      <w:marRight w:val="0"/>
      <w:marTop w:val="0"/>
      <w:marBottom w:val="0"/>
      <w:divBdr>
        <w:top w:val="none" w:sz="0" w:space="0" w:color="auto"/>
        <w:left w:val="none" w:sz="0" w:space="0" w:color="auto"/>
        <w:bottom w:val="none" w:sz="0" w:space="0" w:color="auto"/>
        <w:right w:val="none" w:sz="0" w:space="0" w:color="auto"/>
      </w:divBdr>
    </w:div>
    <w:div w:id="1893611447">
      <w:bodyDiv w:val="1"/>
      <w:marLeft w:val="0"/>
      <w:marRight w:val="0"/>
      <w:marTop w:val="0"/>
      <w:marBottom w:val="0"/>
      <w:divBdr>
        <w:top w:val="none" w:sz="0" w:space="0" w:color="auto"/>
        <w:left w:val="none" w:sz="0" w:space="0" w:color="auto"/>
        <w:bottom w:val="none" w:sz="0" w:space="0" w:color="auto"/>
        <w:right w:val="none" w:sz="0" w:space="0" w:color="auto"/>
      </w:divBdr>
    </w:div>
    <w:div w:id="1893880927">
      <w:bodyDiv w:val="1"/>
      <w:marLeft w:val="0"/>
      <w:marRight w:val="0"/>
      <w:marTop w:val="0"/>
      <w:marBottom w:val="0"/>
      <w:divBdr>
        <w:top w:val="none" w:sz="0" w:space="0" w:color="auto"/>
        <w:left w:val="none" w:sz="0" w:space="0" w:color="auto"/>
        <w:bottom w:val="none" w:sz="0" w:space="0" w:color="auto"/>
        <w:right w:val="none" w:sz="0" w:space="0" w:color="auto"/>
      </w:divBdr>
    </w:div>
    <w:div w:id="1893881772">
      <w:bodyDiv w:val="1"/>
      <w:marLeft w:val="0"/>
      <w:marRight w:val="0"/>
      <w:marTop w:val="0"/>
      <w:marBottom w:val="0"/>
      <w:divBdr>
        <w:top w:val="none" w:sz="0" w:space="0" w:color="auto"/>
        <w:left w:val="none" w:sz="0" w:space="0" w:color="auto"/>
        <w:bottom w:val="none" w:sz="0" w:space="0" w:color="auto"/>
        <w:right w:val="none" w:sz="0" w:space="0" w:color="auto"/>
      </w:divBdr>
    </w:div>
    <w:div w:id="1894006080">
      <w:bodyDiv w:val="1"/>
      <w:marLeft w:val="0"/>
      <w:marRight w:val="0"/>
      <w:marTop w:val="0"/>
      <w:marBottom w:val="0"/>
      <w:divBdr>
        <w:top w:val="none" w:sz="0" w:space="0" w:color="auto"/>
        <w:left w:val="none" w:sz="0" w:space="0" w:color="auto"/>
        <w:bottom w:val="none" w:sz="0" w:space="0" w:color="auto"/>
        <w:right w:val="none" w:sz="0" w:space="0" w:color="auto"/>
      </w:divBdr>
    </w:div>
    <w:div w:id="1894273211">
      <w:bodyDiv w:val="1"/>
      <w:marLeft w:val="0"/>
      <w:marRight w:val="0"/>
      <w:marTop w:val="0"/>
      <w:marBottom w:val="0"/>
      <w:divBdr>
        <w:top w:val="none" w:sz="0" w:space="0" w:color="auto"/>
        <w:left w:val="none" w:sz="0" w:space="0" w:color="auto"/>
        <w:bottom w:val="none" w:sz="0" w:space="0" w:color="auto"/>
        <w:right w:val="none" w:sz="0" w:space="0" w:color="auto"/>
      </w:divBdr>
    </w:div>
    <w:div w:id="1894652472">
      <w:bodyDiv w:val="1"/>
      <w:marLeft w:val="0"/>
      <w:marRight w:val="0"/>
      <w:marTop w:val="0"/>
      <w:marBottom w:val="0"/>
      <w:divBdr>
        <w:top w:val="none" w:sz="0" w:space="0" w:color="auto"/>
        <w:left w:val="none" w:sz="0" w:space="0" w:color="auto"/>
        <w:bottom w:val="none" w:sz="0" w:space="0" w:color="auto"/>
        <w:right w:val="none" w:sz="0" w:space="0" w:color="auto"/>
      </w:divBdr>
    </w:div>
    <w:div w:id="1894729950">
      <w:bodyDiv w:val="1"/>
      <w:marLeft w:val="0"/>
      <w:marRight w:val="0"/>
      <w:marTop w:val="0"/>
      <w:marBottom w:val="0"/>
      <w:divBdr>
        <w:top w:val="none" w:sz="0" w:space="0" w:color="auto"/>
        <w:left w:val="none" w:sz="0" w:space="0" w:color="auto"/>
        <w:bottom w:val="none" w:sz="0" w:space="0" w:color="auto"/>
        <w:right w:val="none" w:sz="0" w:space="0" w:color="auto"/>
      </w:divBdr>
    </w:div>
    <w:div w:id="1895071548">
      <w:bodyDiv w:val="1"/>
      <w:marLeft w:val="0"/>
      <w:marRight w:val="0"/>
      <w:marTop w:val="0"/>
      <w:marBottom w:val="0"/>
      <w:divBdr>
        <w:top w:val="none" w:sz="0" w:space="0" w:color="auto"/>
        <w:left w:val="none" w:sz="0" w:space="0" w:color="auto"/>
        <w:bottom w:val="none" w:sz="0" w:space="0" w:color="auto"/>
        <w:right w:val="none" w:sz="0" w:space="0" w:color="auto"/>
      </w:divBdr>
    </w:div>
    <w:div w:id="1895197985">
      <w:bodyDiv w:val="1"/>
      <w:marLeft w:val="0"/>
      <w:marRight w:val="0"/>
      <w:marTop w:val="0"/>
      <w:marBottom w:val="0"/>
      <w:divBdr>
        <w:top w:val="none" w:sz="0" w:space="0" w:color="auto"/>
        <w:left w:val="none" w:sz="0" w:space="0" w:color="auto"/>
        <w:bottom w:val="none" w:sz="0" w:space="0" w:color="auto"/>
        <w:right w:val="none" w:sz="0" w:space="0" w:color="auto"/>
      </w:divBdr>
    </w:div>
    <w:div w:id="1895313114">
      <w:bodyDiv w:val="1"/>
      <w:marLeft w:val="0"/>
      <w:marRight w:val="0"/>
      <w:marTop w:val="0"/>
      <w:marBottom w:val="0"/>
      <w:divBdr>
        <w:top w:val="none" w:sz="0" w:space="0" w:color="auto"/>
        <w:left w:val="none" w:sz="0" w:space="0" w:color="auto"/>
        <w:bottom w:val="none" w:sz="0" w:space="0" w:color="auto"/>
        <w:right w:val="none" w:sz="0" w:space="0" w:color="auto"/>
      </w:divBdr>
    </w:div>
    <w:div w:id="1895433168">
      <w:bodyDiv w:val="1"/>
      <w:marLeft w:val="0"/>
      <w:marRight w:val="0"/>
      <w:marTop w:val="0"/>
      <w:marBottom w:val="0"/>
      <w:divBdr>
        <w:top w:val="none" w:sz="0" w:space="0" w:color="auto"/>
        <w:left w:val="none" w:sz="0" w:space="0" w:color="auto"/>
        <w:bottom w:val="none" w:sz="0" w:space="0" w:color="auto"/>
        <w:right w:val="none" w:sz="0" w:space="0" w:color="auto"/>
      </w:divBdr>
    </w:div>
    <w:div w:id="1895507598">
      <w:bodyDiv w:val="1"/>
      <w:marLeft w:val="0"/>
      <w:marRight w:val="0"/>
      <w:marTop w:val="0"/>
      <w:marBottom w:val="0"/>
      <w:divBdr>
        <w:top w:val="none" w:sz="0" w:space="0" w:color="auto"/>
        <w:left w:val="none" w:sz="0" w:space="0" w:color="auto"/>
        <w:bottom w:val="none" w:sz="0" w:space="0" w:color="auto"/>
        <w:right w:val="none" w:sz="0" w:space="0" w:color="auto"/>
      </w:divBdr>
    </w:div>
    <w:div w:id="1895771079">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896038748">
      <w:bodyDiv w:val="1"/>
      <w:marLeft w:val="0"/>
      <w:marRight w:val="0"/>
      <w:marTop w:val="0"/>
      <w:marBottom w:val="0"/>
      <w:divBdr>
        <w:top w:val="none" w:sz="0" w:space="0" w:color="auto"/>
        <w:left w:val="none" w:sz="0" w:space="0" w:color="auto"/>
        <w:bottom w:val="none" w:sz="0" w:space="0" w:color="auto"/>
        <w:right w:val="none" w:sz="0" w:space="0" w:color="auto"/>
      </w:divBdr>
    </w:div>
    <w:div w:id="1896356840">
      <w:bodyDiv w:val="1"/>
      <w:marLeft w:val="0"/>
      <w:marRight w:val="0"/>
      <w:marTop w:val="0"/>
      <w:marBottom w:val="0"/>
      <w:divBdr>
        <w:top w:val="none" w:sz="0" w:space="0" w:color="auto"/>
        <w:left w:val="none" w:sz="0" w:space="0" w:color="auto"/>
        <w:bottom w:val="none" w:sz="0" w:space="0" w:color="auto"/>
        <w:right w:val="none" w:sz="0" w:space="0" w:color="auto"/>
      </w:divBdr>
    </w:div>
    <w:div w:id="1896504083">
      <w:bodyDiv w:val="1"/>
      <w:marLeft w:val="0"/>
      <w:marRight w:val="0"/>
      <w:marTop w:val="0"/>
      <w:marBottom w:val="0"/>
      <w:divBdr>
        <w:top w:val="none" w:sz="0" w:space="0" w:color="auto"/>
        <w:left w:val="none" w:sz="0" w:space="0" w:color="auto"/>
        <w:bottom w:val="none" w:sz="0" w:space="0" w:color="auto"/>
        <w:right w:val="none" w:sz="0" w:space="0" w:color="auto"/>
      </w:divBdr>
    </w:div>
    <w:div w:id="1896694294">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896771981">
      <w:bodyDiv w:val="1"/>
      <w:marLeft w:val="0"/>
      <w:marRight w:val="0"/>
      <w:marTop w:val="0"/>
      <w:marBottom w:val="0"/>
      <w:divBdr>
        <w:top w:val="none" w:sz="0" w:space="0" w:color="auto"/>
        <w:left w:val="none" w:sz="0" w:space="0" w:color="auto"/>
        <w:bottom w:val="none" w:sz="0" w:space="0" w:color="auto"/>
        <w:right w:val="none" w:sz="0" w:space="0" w:color="auto"/>
      </w:divBdr>
    </w:div>
    <w:div w:id="1896773229">
      <w:bodyDiv w:val="1"/>
      <w:marLeft w:val="0"/>
      <w:marRight w:val="0"/>
      <w:marTop w:val="0"/>
      <w:marBottom w:val="0"/>
      <w:divBdr>
        <w:top w:val="none" w:sz="0" w:space="0" w:color="auto"/>
        <w:left w:val="none" w:sz="0" w:space="0" w:color="auto"/>
        <w:bottom w:val="none" w:sz="0" w:space="0" w:color="auto"/>
        <w:right w:val="none" w:sz="0" w:space="0" w:color="auto"/>
      </w:divBdr>
    </w:div>
    <w:div w:id="1896965712">
      <w:bodyDiv w:val="1"/>
      <w:marLeft w:val="0"/>
      <w:marRight w:val="0"/>
      <w:marTop w:val="0"/>
      <w:marBottom w:val="0"/>
      <w:divBdr>
        <w:top w:val="none" w:sz="0" w:space="0" w:color="auto"/>
        <w:left w:val="none" w:sz="0" w:space="0" w:color="auto"/>
        <w:bottom w:val="none" w:sz="0" w:space="0" w:color="auto"/>
        <w:right w:val="none" w:sz="0" w:space="0" w:color="auto"/>
      </w:divBdr>
    </w:div>
    <w:div w:id="1897009814">
      <w:bodyDiv w:val="1"/>
      <w:marLeft w:val="0"/>
      <w:marRight w:val="0"/>
      <w:marTop w:val="0"/>
      <w:marBottom w:val="0"/>
      <w:divBdr>
        <w:top w:val="none" w:sz="0" w:space="0" w:color="auto"/>
        <w:left w:val="none" w:sz="0" w:space="0" w:color="auto"/>
        <w:bottom w:val="none" w:sz="0" w:space="0" w:color="auto"/>
        <w:right w:val="none" w:sz="0" w:space="0" w:color="auto"/>
      </w:divBdr>
    </w:div>
    <w:div w:id="1897082575">
      <w:bodyDiv w:val="1"/>
      <w:marLeft w:val="0"/>
      <w:marRight w:val="0"/>
      <w:marTop w:val="0"/>
      <w:marBottom w:val="0"/>
      <w:divBdr>
        <w:top w:val="none" w:sz="0" w:space="0" w:color="auto"/>
        <w:left w:val="none" w:sz="0" w:space="0" w:color="auto"/>
        <w:bottom w:val="none" w:sz="0" w:space="0" w:color="auto"/>
        <w:right w:val="none" w:sz="0" w:space="0" w:color="auto"/>
      </w:divBdr>
    </w:div>
    <w:div w:id="1897084314">
      <w:bodyDiv w:val="1"/>
      <w:marLeft w:val="0"/>
      <w:marRight w:val="0"/>
      <w:marTop w:val="0"/>
      <w:marBottom w:val="0"/>
      <w:divBdr>
        <w:top w:val="none" w:sz="0" w:space="0" w:color="auto"/>
        <w:left w:val="none" w:sz="0" w:space="0" w:color="auto"/>
        <w:bottom w:val="none" w:sz="0" w:space="0" w:color="auto"/>
        <w:right w:val="none" w:sz="0" w:space="0" w:color="auto"/>
      </w:divBdr>
    </w:div>
    <w:div w:id="1897274052">
      <w:bodyDiv w:val="1"/>
      <w:marLeft w:val="0"/>
      <w:marRight w:val="0"/>
      <w:marTop w:val="0"/>
      <w:marBottom w:val="0"/>
      <w:divBdr>
        <w:top w:val="none" w:sz="0" w:space="0" w:color="auto"/>
        <w:left w:val="none" w:sz="0" w:space="0" w:color="auto"/>
        <w:bottom w:val="none" w:sz="0" w:space="0" w:color="auto"/>
        <w:right w:val="none" w:sz="0" w:space="0" w:color="auto"/>
      </w:divBdr>
    </w:div>
    <w:div w:id="1897398425">
      <w:bodyDiv w:val="1"/>
      <w:marLeft w:val="0"/>
      <w:marRight w:val="0"/>
      <w:marTop w:val="0"/>
      <w:marBottom w:val="0"/>
      <w:divBdr>
        <w:top w:val="none" w:sz="0" w:space="0" w:color="auto"/>
        <w:left w:val="none" w:sz="0" w:space="0" w:color="auto"/>
        <w:bottom w:val="none" w:sz="0" w:space="0" w:color="auto"/>
        <w:right w:val="none" w:sz="0" w:space="0" w:color="auto"/>
      </w:divBdr>
    </w:div>
    <w:div w:id="1897625357">
      <w:bodyDiv w:val="1"/>
      <w:marLeft w:val="0"/>
      <w:marRight w:val="0"/>
      <w:marTop w:val="0"/>
      <w:marBottom w:val="0"/>
      <w:divBdr>
        <w:top w:val="none" w:sz="0" w:space="0" w:color="auto"/>
        <w:left w:val="none" w:sz="0" w:space="0" w:color="auto"/>
        <w:bottom w:val="none" w:sz="0" w:space="0" w:color="auto"/>
        <w:right w:val="none" w:sz="0" w:space="0" w:color="auto"/>
      </w:divBdr>
    </w:div>
    <w:div w:id="1897666710">
      <w:bodyDiv w:val="1"/>
      <w:marLeft w:val="0"/>
      <w:marRight w:val="0"/>
      <w:marTop w:val="0"/>
      <w:marBottom w:val="0"/>
      <w:divBdr>
        <w:top w:val="none" w:sz="0" w:space="0" w:color="auto"/>
        <w:left w:val="none" w:sz="0" w:space="0" w:color="auto"/>
        <w:bottom w:val="none" w:sz="0" w:space="0" w:color="auto"/>
        <w:right w:val="none" w:sz="0" w:space="0" w:color="auto"/>
      </w:divBdr>
    </w:div>
    <w:div w:id="1897667396">
      <w:bodyDiv w:val="1"/>
      <w:marLeft w:val="0"/>
      <w:marRight w:val="0"/>
      <w:marTop w:val="0"/>
      <w:marBottom w:val="0"/>
      <w:divBdr>
        <w:top w:val="none" w:sz="0" w:space="0" w:color="auto"/>
        <w:left w:val="none" w:sz="0" w:space="0" w:color="auto"/>
        <w:bottom w:val="none" w:sz="0" w:space="0" w:color="auto"/>
        <w:right w:val="none" w:sz="0" w:space="0" w:color="auto"/>
      </w:divBdr>
    </w:div>
    <w:div w:id="1897735171">
      <w:bodyDiv w:val="1"/>
      <w:marLeft w:val="0"/>
      <w:marRight w:val="0"/>
      <w:marTop w:val="0"/>
      <w:marBottom w:val="0"/>
      <w:divBdr>
        <w:top w:val="none" w:sz="0" w:space="0" w:color="auto"/>
        <w:left w:val="none" w:sz="0" w:space="0" w:color="auto"/>
        <w:bottom w:val="none" w:sz="0" w:space="0" w:color="auto"/>
        <w:right w:val="none" w:sz="0" w:space="0" w:color="auto"/>
      </w:divBdr>
    </w:div>
    <w:div w:id="1897817538">
      <w:bodyDiv w:val="1"/>
      <w:marLeft w:val="0"/>
      <w:marRight w:val="0"/>
      <w:marTop w:val="0"/>
      <w:marBottom w:val="0"/>
      <w:divBdr>
        <w:top w:val="none" w:sz="0" w:space="0" w:color="auto"/>
        <w:left w:val="none" w:sz="0" w:space="0" w:color="auto"/>
        <w:bottom w:val="none" w:sz="0" w:space="0" w:color="auto"/>
        <w:right w:val="none" w:sz="0" w:space="0" w:color="auto"/>
      </w:divBdr>
    </w:div>
    <w:div w:id="1897857602">
      <w:bodyDiv w:val="1"/>
      <w:marLeft w:val="0"/>
      <w:marRight w:val="0"/>
      <w:marTop w:val="0"/>
      <w:marBottom w:val="0"/>
      <w:divBdr>
        <w:top w:val="none" w:sz="0" w:space="0" w:color="auto"/>
        <w:left w:val="none" w:sz="0" w:space="0" w:color="auto"/>
        <w:bottom w:val="none" w:sz="0" w:space="0" w:color="auto"/>
        <w:right w:val="none" w:sz="0" w:space="0" w:color="auto"/>
      </w:divBdr>
    </w:div>
    <w:div w:id="1897886456">
      <w:bodyDiv w:val="1"/>
      <w:marLeft w:val="0"/>
      <w:marRight w:val="0"/>
      <w:marTop w:val="0"/>
      <w:marBottom w:val="0"/>
      <w:divBdr>
        <w:top w:val="none" w:sz="0" w:space="0" w:color="auto"/>
        <w:left w:val="none" w:sz="0" w:space="0" w:color="auto"/>
        <w:bottom w:val="none" w:sz="0" w:space="0" w:color="auto"/>
        <w:right w:val="none" w:sz="0" w:space="0" w:color="auto"/>
      </w:divBdr>
    </w:div>
    <w:div w:id="1897889527">
      <w:bodyDiv w:val="1"/>
      <w:marLeft w:val="0"/>
      <w:marRight w:val="0"/>
      <w:marTop w:val="0"/>
      <w:marBottom w:val="0"/>
      <w:divBdr>
        <w:top w:val="none" w:sz="0" w:space="0" w:color="auto"/>
        <w:left w:val="none" w:sz="0" w:space="0" w:color="auto"/>
        <w:bottom w:val="none" w:sz="0" w:space="0" w:color="auto"/>
        <w:right w:val="none" w:sz="0" w:space="0" w:color="auto"/>
      </w:divBdr>
    </w:div>
    <w:div w:id="1898003951">
      <w:bodyDiv w:val="1"/>
      <w:marLeft w:val="0"/>
      <w:marRight w:val="0"/>
      <w:marTop w:val="0"/>
      <w:marBottom w:val="0"/>
      <w:divBdr>
        <w:top w:val="none" w:sz="0" w:space="0" w:color="auto"/>
        <w:left w:val="none" w:sz="0" w:space="0" w:color="auto"/>
        <w:bottom w:val="none" w:sz="0" w:space="0" w:color="auto"/>
        <w:right w:val="none" w:sz="0" w:space="0" w:color="auto"/>
      </w:divBdr>
    </w:div>
    <w:div w:id="1898012192">
      <w:bodyDiv w:val="1"/>
      <w:marLeft w:val="0"/>
      <w:marRight w:val="0"/>
      <w:marTop w:val="0"/>
      <w:marBottom w:val="0"/>
      <w:divBdr>
        <w:top w:val="none" w:sz="0" w:space="0" w:color="auto"/>
        <w:left w:val="none" w:sz="0" w:space="0" w:color="auto"/>
        <w:bottom w:val="none" w:sz="0" w:space="0" w:color="auto"/>
        <w:right w:val="none" w:sz="0" w:space="0" w:color="auto"/>
      </w:divBdr>
    </w:div>
    <w:div w:id="1898079149">
      <w:bodyDiv w:val="1"/>
      <w:marLeft w:val="0"/>
      <w:marRight w:val="0"/>
      <w:marTop w:val="0"/>
      <w:marBottom w:val="0"/>
      <w:divBdr>
        <w:top w:val="none" w:sz="0" w:space="0" w:color="auto"/>
        <w:left w:val="none" w:sz="0" w:space="0" w:color="auto"/>
        <w:bottom w:val="none" w:sz="0" w:space="0" w:color="auto"/>
        <w:right w:val="none" w:sz="0" w:space="0" w:color="auto"/>
      </w:divBdr>
    </w:div>
    <w:div w:id="1898121399">
      <w:bodyDiv w:val="1"/>
      <w:marLeft w:val="0"/>
      <w:marRight w:val="0"/>
      <w:marTop w:val="0"/>
      <w:marBottom w:val="0"/>
      <w:divBdr>
        <w:top w:val="none" w:sz="0" w:space="0" w:color="auto"/>
        <w:left w:val="none" w:sz="0" w:space="0" w:color="auto"/>
        <w:bottom w:val="none" w:sz="0" w:space="0" w:color="auto"/>
        <w:right w:val="none" w:sz="0" w:space="0" w:color="auto"/>
      </w:divBdr>
    </w:div>
    <w:div w:id="1898205079">
      <w:bodyDiv w:val="1"/>
      <w:marLeft w:val="0"/>
      <w:marRight w:val="0"/>
      <w:marTop w:val="0"/>
      <w:marBottom w:val="0"/>
      <w:divBdr>
        <w:top w:val="none" w:sz="0" w:space="0" w:color="auto"/>
        <w:left w:val="none" w:sz="0" w:space="0" w:color="auto"/>
        <w:bottom w:val="none" w:sz="0" w:space="0" w:color="auto"/>
        <w:right w:val="none" w:sz="0" w:space="0" w:color="auto"/>
      </w:divBdr>
    </w:div>
    <w:div w:id="1898281070">
      <w:bodyDiv w:val="1"/>
      <w:marLeft w:val="0"/>
      <w:marRight w:val="0"/>
      <w:marTop w:val="0"/>
      <w:marBottom w:val="0"/>
      <w:divBdr>
        <w:top w:val="none" w:sz="0" w:space="0" w:color="auto"/>
        <w:left w:val="none" w:sz="0" w:space="0" w:color="auto"/>
        <w:bottom w:val="none" w:sz="0" w:space="0" w:color="auto"/>
        <w:right w:val="none" w:sz="0" w:space="0" w:color="auto"/>
      </w:divBdr>
    </w:div>
    <w:div w:id="1898316319">
      <w:bodyDiv w:val="1"/>
      <w:marLeft w:val="0"/>
      <w:marRight w:val="0"/>
      <w:marTop w:val="0"/>
      <w:marBottom w:val="0"/>
      <w:divBdr>
        <w:top w:val="none" w:sz="0" w:space="0" w:color="auto"/>
        <w:left w:val="none" w:sz="0" w:space="0" w:color="auto"/>
        <w:bottom w:val="none" w:sz="0" w:space="0" w:color="auto"/>
        <w:right w:val="none" w:sz="0" w:space="0" w:color="auto"/>
      </w:divBdr>
    </w:div>
    <w:div w:id="1898466110">
      <w:bodyDiv w:val="1"/>
      <w:marLeft w:val="0"/>
      <w:marRight w:val="0"/>
      <w:marTop w:val="0"/>
      <w:marBottom w:val="0"/>
      <w:divBdr>
        <w:top w:val="none" w:sz="0" w:space="0" w:color="auto"/>
        <w:left w:val="none" w:sz="0" w:space="0" w:color="auto"/>
        <w:bottom w:val="none" w:sz="0" w:space="0" w:color="auto"/>
        <w:right w:val="none" w:sz="0" w:space="0" w:color="auto"/>
      </w:divBdr>
    </w:div>
    <w:div w:id="1898588839">
      <w:bodyDiv w:val="1"/>
      <w:marLeft w:val="0"/>
      <w:marRight w:val="0"/>
      <w:marTop w:val="0"/>
      <w:marBottom w:val="0"/>
      <w:divBdr>
        <w:top w:val="none" w:sz="0" w:space="0" w:color="auto"/>
        <w:left w:val="none" w:sz="0" w:space="0" w:color="auto"/>
        <w:bottom w:val="none" w:sz="0" w:space="0" w:color="auto"/>
        <w:right w:val="none" w:sz="0" w:space="0" w:color="auto"/>
      </w:divBdr>
    </w:div>
    <w:div w:id="1898667891">
      <w:bodyDiv w:val="1"/>
      <w:marLeft w:val="0"/>
      <w:marRight w:val="0"/>
      <w:marTop w:val="0"/>
      <w:marBottom w:val="0"/>
      <w:divBdr>
        <w:top w:val="none" w:sz="0" w:space="0" w:color="auto"/>
        <w:left w:val="none" w:sz="0" w:space="0" w:color="auto"/>
        <w:bottom w:val="none" w:sz="0" w:space="0" w:color="auto"/>
        <w:right w:val="none" w:sz="0" w:space="0" w:color="auto"/>
      </w:divBdr>
    </w:div>
    <w:div w:id="1898777927">
      <w:bodyDiv w:val="1"/>
      <w:marLeft w:val="0"/>
      <w:marRight w:val="0"/>
      <w:marTop w:val="0"/>
      <w:marBottom w:val="0"/>
      <w:divBdr>
        <w:top w:val="none" w:sz="0" w:space="0" w:color="auto"/>
        <w:left w:val="none" w:sz="0" w:space="0" w:color="auto"/>
        <w:bottom w:val="none" w:sz="0" w:space="0" w:color="auto"/>
        <w:right w:val="none" w:sz="0" w:space="0" w:color="auto"/>
      </w:divBdr>
    </w:div>
    <w:div w:id="1898785830">
      <w:bodyDiv w:val="1"/>
      <w:marLeft w:val="0"/>
      <w:marRight w:val="0"/>
      <w:marTop w:val="0"/>
      <w:marBottom w:val="0"/>
      <w:divBdr>
        <w:top w:val="none" w:sz="0" w:space="0" w:color="auto"/>
        <w:left w:val="none" w:sz="0" w:space="0" w:color="auto"/>
        <w:bottom w:val="none" w:sz="0" w:space="0" w:color="auto"/>
        <w:right w:val="none" w:sz="0" w:space="0" w:color="auto"/>
      </w:divBdr>
    </w:div>
    <w:div w:id="1898858523">
      <w:bodyDiv w:val="1"/>
      <w:marLeft w:val="0"/>
      <w:marRight w:val="0"/>
      <w:marTop w:val="0"/>
      <w:marBottom w:val="0"/>
      <w:divBdr>
        <w:top w:val="none" w:sz="0" w:space="0" w:color="auto"/>
        <w:left w:val="none" w:sz="0" w:space="0" w:color="auto"/>
        <w:bottom w:val="none" w:sz="0" w:space="0" w:color="auto"/>
        <w:right w:val="none" w:sz="0" w:space="0" w:color="auto"/>
      </w:divBdr>
    </w:div>
    <w:div w:id="1899196242">
      <w:bodyDiv w:val="1"/>
      <w:marLeft w:val="0"/>
      <w:marRight w:val="0"/>
      <w:marTop w:val="0"/>
      <w:marBottom w:val="0"/>
      <w:divBdr>
        <w:top w:val="none" w:sz="0" w:space="0" w:color="auto"/>
        <w:left w:val="none" w:sz="0" w:space="0" w:color="auto"/>
        <w:bottom w:val="none" w:sz="0" w:space="0" w:color="auto"/>
        <w:right w:val="none" w:sz="0" w:space="0" w:color="auto"/>
      </w:divBdr>
    </w:div>
    <w:div w:id="1899317354">
      <w:bodyDiv w:val="1"/>
      <w:marLeft w:val="0"/>
      <w:marRight w:val="0"/>
      <w:marTop w:val="0"/>
      <w:marBottom w:val="0"/>
      <w:divBdr>
        <w:top w:val="none" w:sz="0" w:space="0" w:color="auto"/>
        <w:left w:val="none" w:sz="0" w:space="0" w:color="auto"/>
        <w:bottom w:val="none" w:sz="0" w:space="0" w:color="auto"/>
        <w:right w:val="none" w:sz="0" w:space="0" w:color="auto"/>
      </w:divBdr>
    </w:div>
    <w:div w:id="1899393171">
      <w:bodyDiv w:val="1"/>
      <w:marLeft w:val="0"/>
      <w:marRight w:val="0"/>
      <w:marTop w:val="0"/>
      <w:marBottom w:val="0"/>
      <w:divBdr>
        <w:top w:val="none" w:sz="0" w:space="0" w:color="auto"/>
        <w:left w:val="none" w:sz="0" w:space="0" w:color="auto"/>
        <w:bottom w:val="none" w:sz="0" w:space="0" w:color="auto"/>
        <w:right w:val="none" w:sz="0" w:space="0" w:color="auto"/>
      </w:divBdr>
    </w:div>
    <w:div w:id="1899514722">
      <w:bodyDiv w:val="1"/>
      <w:marLeft w:val="0"/>
      <w:marRight w:val="0"/>
      <w:marTop w:val="0"/>
      <w:marBottom w:val="0"/>
      <w:divBdr>
        <w:top w:val="none" w:sz="0" w:space="0" w:color="auto"/>
        <w:left w:val="none" w:sz="0" w:space="0" w:color="auto"/>
        <w:bottom w:val="none" w:sz="0" w:space="0" w:color="auto"/>
        <w:right w:val="none" w:sz="0" w:space="0" w:color="auto"/>
      </w:divBdr>
    </w:div>
    <w:div w:id="1899584802">
      <w:bodyDiv w:val="1"/>
      <w:marLeft w:val="0"/>
      <w:marRight w:val="0"/>
      <w:marTop w:val="0"/>
      <w:marBottom w:val="0"/>
      <w:divBdr>
        <w:top w:val="none" w:sz="0" w:space="0" w:color="auto"/>
        <w:left w:val="none" w:sz="0" w:space="0" w:color="auto"/>
        <w:bottom w:val="none" w:sz="0" w:space="0" w:color="auto"/>
        <w:right w:val="none" w:sz="0" w:space="0" w:color="auto"/>
      </w:divBdr>
    </w:div>
    <w:div w:id="1899779731">
      <w:bodyDiv w:val="1"/>
      <w:marLeft w:val="0"/>
      <w:marRight w:val="0"/>
      <w:marTop w:val="0"/>
      <w:marBottom w:val="0"/>
      <w:divBdr>
        <w:top w:val="none" w:sz="0" w:space="0" w:color="auto"/>
        <w:left w:val="none" w:sz="0" w:space="0" w:color="auto"/>
        <w:bottom w:val="none" w:sz="0" w:space="0" w:color="auto"/>
        <w:right w:val="none" w:sz="0" w:space="0" w:color="auto"/>
      </w:divBdr>
    </w:div>
    <w:div w:id="1900094194">
      <w:bodyDiv w:val="1"/>
      <w:marLeft w:val="0"/>
      <w:marRight w:val="0"/>
      <w:marTop w:val="0"/>
      <w:marBottom w:val="0"/>
      <w:divBdr>
        <w:top w:val="none" w:sz="0" w:space="0" w:color="auto"/>
        <w:left w:val="none" w:sz="0" w:space="0" w:color="auto"/>
        <w:bottom w:val="none" w:sz="0" w:space="0" w:color="auto"/>
        <w:right w:val="none" w:sz="0" w:space="0" w:color="auto"/>
      </w:divBdr>
    </w:div>
    <w:div w:id="1900095655">
      <w:bodyDiv w:val="1"/>
      <w:marLeft w:val="0"/>
      <w:marRight w:val="0"/>
      <w:marTop w:val="0"/>
      <w:marBottom w:val="0"/>
      <w:divBdr>
        <w:top w:val="none" w:sz="0" w:space="0" w:color="auto"/>
        <w:left w:val="none" w:sz="0" w:space="0" w:color="auto"/>
        <w:bottom w:val="none" w:sz="0" w:space="0" w:color="auto"/>
        <w:right w:val="none" w:sz="0" w:space="0" w:color="auto"/>
      </w:divBdr>
    </w:div>
    <w:div w:id="1900438396">
      <w:bodyDiv w:val="1"/>
      <w:marLeft w:val="0"/>
      <w:marRight w:val="0"/>
      <w:marTop w:val="0"/>
      <w:marBottom w:val="0"/>
      <w:divBdr>
        <w:top w:val="none" w:sz="0" w:space="0" w:color="auto"/>
        <w:left w:val="none" w:sz="0" w:space="0" w:color="auto"/>
        <w:bottom w:val="none" w:sz="0" w:space="0" w:color="auto"/>
        <w:right w:val="none" w:sz="0" w:space="0" w:color="auto"/>
      </w:divBdr>
    </w:div>
    <w:div w:id="1900507541">
      <w:bodyDiv w:val="1"/>
      <w:marLeft w:val="0"/>
      <w:marRight w:val="0"/>
      <w:marTop w:val="0"/>
      <w:marBottom w:val="0"/>
      <w:divBdr>
        <w:top w:val="none" w:sz="0" w:space="0" w:color="auto"/>
        <w:left w:val="none" w:sz="0" w:space="0" w:color="auto"/>
        <w:bottom w:val="none" w:sz="0" w:space="0" w:color="auto"/>
        <w:right w:val="none" w:sz="0" w:space="0" w:color="auto"/>
      </w:divBdr>
    </w:div>
    <w:div w:id="1900557778">
      <w:bodyDiv w:val="1"/>
      <w:marLeft w:val="0"/>
      <w:marRight w:val="0"/>
      <w:marTop w:val="0"/>
      <w:marBottom w:val="0"/>
      <w:divBdr>
        <w:top w:val="none" w:sz="0" w:space="0" w:color="auto"/>
        <w:left w:val="none" w:sz="0" w:space="0" w:color="auto"/>
        <w:bottom w:val="none" w:sz="0" w:space="0" w:color="auto"/>
        <w:right w:val="none" w:sz="0" w:space="0" w:color="auto"/>
      </w:divBdr>
    </w:div>
    <w:div w:id="1900822000">
      <w:bodyDiv w:val="1"/>
      <w:marLeft w:val="0"/>
      <w:marRight w:val="0"/>
      <w:marTop w:val="0"/>
      <w:marBottom w:val="0"/>
      <w:divBdr>
        <w:top w:val="none" w:sz="0" w:space="0" w:color="auto"/>
        <w:left w:val="none" w:sz="0" w:space="0" w:color="auto"/>
        <w:bottom w:val="none" w:sz="0" w:space="0" w:color="auto"/>
        <w:right w:val="none" w:sz="0" w:space="0" w:color="auto"/>
      </w:divBdr>
    </w:div>
    <w:div w:id="1901205727">
      <w:bodyDiv w:val="1"/>
      <w:marLeft w:val="0"/>
      <w:marRight w:val="0"/>
      <w:marTop w:val="0"/>
      <w:marBottom w:val="0"/>
      <w:divBdr>
        <w:top w:val="none" w:sz="0" w:space="0" w:color="auto"/>
        <w:left w:val="none" w:sz="0" w:space="0" w:color="auto"/>
        <w:bottom w:val="none" w:sz="0" w:space="0" w:color="auto"/>
        <w:right w:val="none" w:sz="0" w:space="0" w:color="auto"/>
      </w:divBdr>
    </w:div>
    <w:div w:id="1901358580">
      <w:bodyDiv w:val="1"/>
      <w:marLeft w:val="0"/>
      <w:marRight w:val="0"/>
      <w:marTop w:val="0"/>
      <w:marBottom w:val="0"/>
      <w:divBdr>
        <w:top w:val="none" w:sz="0" w:space="0" w:color="auto"/>
        <w:left w:val="none" w:sz="0" w:space="0" w:color="auto"/>
        <w:bottom w:val="none" w:sz="0" w:space="0" w:color="auto"/>
        <w:right w:val="none" w:sz="0" w:space="0" w:color="auto"/>
      </w:divBdr>
    </w:div>
    <w:div w:id="1901363139">
      <w:bodyDiv w:val="1"/>
      <w:marLeft w:val="0"/>
      <w:marRight w:val="0"/>
      <w:marTop w:val="0"/>
      <w:marBottom w:val="0"/>
      <w:divBdr>
        <w:top w:val="none" w:sz="0" w:space="0" w:color="auto"/>
        <w:left w:val="none" w:sz="0" w:space="0" w:color="auto"/>
        <w:bottom w:val="none" w:sz="0" w:space="0" w:color="auto"/>
        <w:right w:val="none" w:sz="0" w:space="0" w:color="auto"/>
      </w:divBdr>
    </w:div>
    <w:div w:id="1901404556">
      <w:bodyDiv w:val="1"/>
      <w:marLeft w:val="0"/>
      <w:marRight w:val="0"/>
      <w:marTop w:val="0"/>
      <w:marBottom w:val="0"/>
      <w:divBdr>
        <w:top w:val="none" w:sz="0" w:space="0" w:color="auto"/>
        <w:left w:val="none" w:sz="0" w:space="0" w:color="auto"/>
        <w:bottom w:val="none" w:sz="0" w:space="0" w:color="auto"/>
        <w:right w:val="none" w:sz="0" w:space="0" w:color="auto"/>
      </w:divBdr>
    </w:div>
    <w:div w:id="1901666641">
      <w:bodyDiv w:val="1"/>
      <w:marLeft w:val="0"/>
      <w:marRight w:val="0"/>
      <w:marTop w:val="0"/>
      <w:marBottom w:val="0"/>
      <w:divBdr>
        <w:top w:val="none" w:sz="0" w:space="0" w:color="auto"/>
        <w:left w:val="none" w:sz="0" w:space="0" w:color="auto"/>
        <w:bottom w:val="none" w:sz="0" w:space="0" w:color="auto"/>
        <w:right w:val="none" w:sz="0" w:space="0" w:color="auto"/>
      </w:divBdr>
    </w:div>
    <w:div w:id="1901673137">
      <w:bodyDiv w:val="1"/>
      <w:marLeft w:val="0"/>
      <w:marRight w:val="0"/>
      <w:marTop w:val="0"/>
      <w:marBottom w:val="0"/>
      <w:divBdr>
        <w:top w:val="none" w:sz="0" w:space="0" w:color="auto"/>
        <w:left w:val="none" w:sz="0" w:space="0" w:color="auto"/>
        <w:bottom w:val="none" w:sz="0" w:space="0" w:color="auto"/>
        <w:right w:val="none" w:sz="0" w:space="0" w:color="auto"/>
      </w:divBdr>
    </w:div>
    <w:div w:id="1901867370">
      <w:bodyDiv w:val="1"/>
      <w:marLeft w:val="0"/>
      <w:marRight w:val="0"/>
      <w:marTop w:val="0"/>
      <w:marBottom w:val="0"/>
      <w:divBdr>
        <w:top w:val="none" w:sz="0" w:space="0" w:color="auto"/>
        <w:left w:val="none" w:sz="0" w:space="0" w:color="auto"/>
        <w:bottom w:val="none" w:sz="0" w:space="0" w:color="auto"/>
        <w:right w:val="none" w:sz="0" w:space="0" w:color="auto"/>
      </w:divBdr>
    </w:div>
    <w:div w:id="1902015625">
      <w:bodyDiv w:val="1"/>
      <w:marLeft w:val="0"/>
      <w:marRight w:val="0"/>
      <w:marTop w:val="0"/>
      <w:marBottom w:val="0"/>
      <w:divBdr>
        <w:top w:val="none" w:sz="0" w:space="0" w:color="auto"/>
        <w:left w:val="none" w:sz="0" w:space="0" w:color="auto"/>
        <w:bottom w:val="none" w:sz="0" w:space="0" w:color="auto"/>
        <w:right w:val="none" w:sz="0" w:space="0" w:color="auto"/>
      </w:divBdr>
    </w:div>
    <w:div w:id="1902208418">
      <w:bodyDiv w:val="1"/>
      <w:marLeft w:val="0"/>
      <w:marRight w:val="0"/>
      <w:marTop w:val="0"/>
      <w:marBottom w:val="0"/>
      <w:divBdr>
        <w:top w:val="none" w:sz="0" w:space="0" w:color="auto"/>
        <w:left w:val="none" w:sz="0" w:space="0" w:color="auto"/>
        <w:bottom w:val="none" w:sz="0" w:space="0" w:color="auto"/>
        <w:right w:val="none" w:sz="0" w:space="0" w:color="auto"/>
      </w:divBdr>
    </w:div>
    <w:div w:id="1902524729">
      <w:bodyDiv w:val="1"/>
      <w:marLeft w:val="0"/>
      <w:marRight w:val="0"/>
      <w:marTop w:val="0"/>
      <w:marBottom w:val="0"/>
      <w:divBdr>
        <w:top w:val="none" w:sz="0" w:space="0" w:color="auto"/>
        <w:left w:val="none" w:sz="0" w:space="0" w:color="auto"/>
        <w:bottom w:val="none" w:sz="0" w:space="0" w:color="auto"/>
        <w:right w:val="none" w:sz="0" w:space="0" w:color="auto"/>
      </w:divBdr>
    </w:div>
    <w:div w:id="1902667190">
      <w:bodyDiv w:val="1"/>
      <w:marLeft w:val="0"/>
      <w:marRight w:val="0"/>
      <w:marTop w:val="0"/>
      <w:marBottom w:val="0"/>
      <w:divBdr>
        <w:top w:val="none" w:sz="0" w:space="0" w:color="auto"/>
        <w:left w:val="none" w:sz="0" w:space="0" w:color="auto"/>
        <w:bottom w:val="none" w:sz="0" w:space="0" w:color="auto"/>
        <w:right w:val="none" w:sz="0" w:space="0" w:color="auto"/>
      </w:divBdr>
    </w:div>
    <w:div w:id="1902709259">
      <w:bodyDiv w:val="1"/>
      <w:marLeft w:val="0"/>
      <w:marRight w:val="0"/>
      <w:marTop w:val="0"/>
      <w:marBottom w:val="0"/>
      <w:divBdr>
        <w:top w:val="none" w:sz="0" w:space="0" w:color="auto"/>
        <w:left w:val="none" w:sz="0" w:space="0" w:color="auto"/>
        <w:bottom w:val="none" w:sz="0" w:space="0" w:color="auto"/>
        <w:right w:val="none" w:sz="0" w:space="0" w:color="auto"/>
      </w:divBdr>
    </w:div>
    <w:div w:id="1902910368">
      <w:bodyDiv w:val="1"/>
      <w:marLeft w:val="0"/>
      <w:marRight w:val="0"/>
      <w:marTop w:val="0"/>
      <w:marBottom w:val="0"/>
      <w:divBdr>
        <w:top w:val="none" w:sz="0" w:space="0" w:color="auto"/>
        <w:left w:val="none" w:sz="0" w:space="0" w:color="auto"/>
        <w:bottom w:val="none" w:sz="0" w:space="0" w:color="auto"/>
        <w:right w:val="none" w:sz="0" w:space="0" w:color="auto"/>
      </w:divBdr>
    </w:div>
    <w:div w:id="1903053425">
      <w:bodyDiv w:val="1"/>
      <w:marLeft w:val="0"/>
      <w:marRight w:val="0"/>
      <w:marTop w:val="0"/>
      <w:marBottom w:val="0"/>
      <w:divBdr>
        <w:top w:val="none" w:sz="0" w:space="0" w:color="auto"/>
        <w:left w:val="none" w:sz="0" w:space="0" w:color="auto"/>
        <w:bottom w:val="none" w:sz="0" w:space="0" w:color="auto"/>
        <w:right w:val="none" w:sz="0" w:space="0" w:color="auto"/>
      </w:divBdr>
    </w:div>
    <w:div w:id="1903297154">
      <w:bodyDiv w:val="1"/>
      <w:marLeft w:val="0"/>
      <w:marRight w:val="0"/>
      <w:marTop w:val="0"/>
      <w:marBottom w:val="0"/>
      <w:divBdr>
        <w:top w:val="none" w:sz="0" w:space="0" w:color="auto"/>
        <w:left w:val="none" w:sz="0" w:space="0" w:color="auto"/>
        <w:bottom w:val="none" w:sz="0" w:space="0" w:color="auto"/>
        <w:right w:val="none" w:sz="0" w:space="0" w:color="auto"/>
      </w:divBdr>
    </w:div>
    <w:div w:id="1903323128">
      <w:bodyDiv w:val="1"/>
      <w:marLeft w:val="0"/>
      <w:marRight w:val="0"/>
      <w:marTop w:val="0"/>
      <w:marBottom w:val="0"/>
      <w:divBdr>
        <w:top w:val="none" w:sz="0" w:space="0" w:color="auto"/>
        <w:left w:val="none" w:sz="0" w:space="0" w:color="auto"/>
        <w:bottom w:val="none" w:sz="0" w:space="0" w:color="auto"/>
        <w:right w:val="none" w:sz="0" w:space="0" w:color="auto"/>
      </w:divBdr>
    </w:div>
    <w:div w:id="1903372410">
      <w:bodyDiv w:val="1"/>
      <w:marLeft w:val="0"/>
      <w:marRight w:val="0"/>
      <w:marTop w:val="0"/>
      <w:marBottom w:val="0"/>
      <w:divBdr>
        <w:top w:val="none" w:sz="0" w:space="0" w:color="auto"/>
        <w:left w:val="none" w:sz="0" w:space="0" w:color="auto"/>
        <w:bottom w:val="none" w:sz="0" w:space="0" w:color="auto"/>
        <w:right w:val="none" w:sz="0" w:space="0" w:color="auto"/>
      </w:divBdr>
    </w:div>
    <w:div w:id="1904098431">
      <w:bodyDiv w:val="1"/>
      <w:marLeft w:val="0"/>
      <w:marRight w:val="0"/>
      <w:marTop w:val="0"/>
      <w:marBottom w:val="0"/>
      <w:divBdr>
        <w:top w:val="none" w:sz="0" w:space="0" w:color="auto"/>
        <w:left w:val="none" w:sz="0" w:space="0" w:color="auto"/>
        <w:bottom w:val="none" w:sz="0" w:space="0" w:color="auto"/>
        <w:right w:val="none" w:sz="0" w:space="0" w:color="auto"/>
      </w:divBdr>
    </w:div>
    <w:div w:id="1904173315">
      <w:bodyDiv w:val="1"/>
      <w:marLeft w:val="0"/>
      <w:marRight w:val="0"/>
      <w:marTop w:val="0"/>
      <w:marBottom w:val="0"/>
      <w:divBdr>
        <w:top w:val="none" w:sz="0" w:space="0" w:color="auto"/>
        <w:left w:val="none" w:sz="0" w:space="0" w:color="auto"/>
        <w:bottom w:val="none" w:sz="0" w:space="0" w:color="auto"/>
        <w:right w:val="none" w:sz="0" w:space="0" w:color="auto"/>
      </w:divBdr>
    </w:div>
    <w:div w:id="1904481603">
      <w:bodyDiv w:val="1"/>
      <w:marLeft w:val="0"/>
      <w:marRight w:val="0"/>
      <w:marTop w:val="0"/>
      <w:marBottom w:val="0"/>
      <w:divBdr>
        <w:top w:val="none" w:sz="0" w:space="0" w:color="auto"/>
        <w:left w:val="none" w:sz="0" w:space="0" w:color="auto"/>
        <w:bottom w:val="none" w:sz="0" w:space="0" w:color="auto"/>
        <w:right w:val="none" w:sz="0" w:space="0" w:color="auto"/>
      </w:divBdr>
    </w:div>
    <w:div w:id="1904560231">
      <w:bodyDiv w:val="1"/>
      <w:marLeft w:val="0"/>
      <w:marRight w:val="0"/>
      <w:marTop w:val="0"/>
      <w:marBottom w:val="0"/>
      <w:divBdr>
        <w:top w:val="none" w:sz="0" w:space="0" w:color="auto"/>
        <w:left w:val="none" w:sz="0" w:space="0" w:color="auto"/>
        <w:bottom w:val="none" w:sz="0" w:space="0" w:color="auto"/>
        <w:right w:val="none" w:sz="0" w:space="0" w:color="auto"/>
      </w:divBdr>
    </w:div>
    <w:div w:id="1904634821">
      <w:bodyDiv w:val="1"/>
      <w:marLeft w:val="0"/>
      <w:marRight w:val="0"/>
      <w:marTop w:val="0"/>
      <w:marBottom w:val="0"/>
      <w:divBdr>
        <w:top w:val="none" w:sz="0" w:space="0" w:color="auto"/>
        <w:left w:val="none" w:sz="0" w:space="0" w:color="auto"/>
        <w:bottom w:val="none" w:sz="0" w:space="0" w:color="auto"/>
        <w:right w:val="none" w:sz="0" w:space="0" w:color="auto"/>
      </w:divBdr>
    </w:div>
    <w:div w:id="1904827082">
      <w:bodyDiv w:val="1"/>
      <w:marLeft w:val="0"/>
      <w:marRight w:val="0"/>
      <w:marTop w:val="0"/>
      <w:marBottom w:val="0"/>
      <w:divBdr>
        <w:top w:val="none" w:sz="0" w:space="0" w:color="auto"/>
        <w:left w:val="none" w:sz="0" w:space="0" w:color="auto"/>
        <w:bottom w:val="none" w:sz="0" w:space="0" w:color="auto"/>
        <w:right w:val="none" w:sz="0" w:space="0" w:color="auto"/>
      </w:divBdr>
    </w:div>
    <w:div w:id="1904828187">
      <w:bodyDiv w:val="1"/>
      <w:marLeft w:val="0"/>
      <w:marRight w:val="0"/>
      <w:marTop w:val="0"/>
      <w:marBottom w:val="0"/>
      <w:divBdr>
        <w:top w:val="none" w:sz="0" w:space="0" w:color="auto"/>
        <w:left w:val="none" w:sz="0" w:space="0" w:color="auto"/>
        <w:bottom w:val="none" w:sz="0" w:space="0" w:color="auto"/>
        <w:right w:val="none" w:sz="0" w:space="0" w:color="auto"/>
      </w:divBdr>
    </w:div>
    <w:div w:id="1905137385">
      <w:bodyDiv w:val="1"/>
      <w:marLeft w:val="0"/>
      <w:marRight w:val="0"/>
      <w:marTop w:val="0"/>
      <w:marBottom w:val="0"/>
      <w:divBdr>
        <w:top w:val="none" w:sz="0" w:space="0" w:color="auto"/>
        <w:left w:val="none" w:sz="0" w:space="0" w:color="auto"/>
        <w:bottom w:val="none" w:sz="0" w:space="0" w:color="auto"/>
        <w:right w:val="none" w:sz="0" w:space="0" w:color="auto"/>
      </w:divBdr>
    </w:div>
    <w:div w:id="1905291432">
      <w:bodyDiv w:val="1"/>
      <w:marLeft w:val="0"/>
      <w:marRight w:val="0"/>
      <w:marTop w:val="0"/>
      <w:marBottom w:val="0"/>
      <w:divBdr>
        <w:top w:val="none" w:sz="0" w:space="0" w:color="auto"/>
        <w:left w:val="none" w:sz="0" w:space="0" w:color="auto"/>
        <w:bottom w:val="none" w:sz="0" w:space="0" w:color="auto"/>
        <w:right w:val="none" w:sz="0" w:space="0" w:color="auto"/>
      </w:divBdr>
    </w:div>
    <w:div w:id="1905409931">
      <w:bodyDiv w:val="1"/>
      <w:marLeft w:val="0"/>
      <w:marRight w:val="0"/>
      <w:marTop w:val="0"/>
      <w:marBottom w:val="0"/>
      <w:divBdr>
        <w:top w:val="none" w:sz="0" w:space="0" w:color="auto"/>
        <w:left w:val="none" w:sz="0" w:space="0" w:color="auto"/>
        <w:bottom w:val="none" w:sz="0" w:space="0" w:color="auto"/>
        <w:right w:val="none" w:sz="0" w:space="0" w:color="auto"/>
      </w:divBdr>
    </w:div>
    <w:div w:id="1905602119">
      <w:bodyDiv w:val="1"/>
      <w:marLeft w:val="0"/>
      <w:marRight w:val="0"/>
      <w:marTop w:val="0"/>
      <w:marBottom w:val="0"/>
      <w:divBdr>
        <w:top w:val="none" w:sz="0" w:space="0" w:color="auto"/>
        <w:left w:val="none" w:sz="0" w:space="0" w:color="auto"/>
        <w:bottom w:val="none" w:sz="0" w:space="0" w:color="auto"/>
        <w:right w:val="none" w:sz="0" w:space="0" w:color="auto"/>
      </w:divBdr>
    </w:div>
    <w:div w:id="1905792872">
      <w:bodyDiv w:val="1"/>
      <w:marLeft w:val="0"/>
      <w:marRight w:val="0"/>
      <w:marTop w:val="0"/>
      <w:marBottom w:val="0"/>
      <w:divBdr>
        <w:top w:val="none" w:sz="0" w:space="0" w:color="auto"/>
        <w:left w:val="none" w:sz="0" w:space="0" w:color="auto"/>
        <w:bottom w:val="none" w:sz="0" w:space="0" w:color="auto"/>
        <w:right w:val="none" w:sz="0" w:space="0" w:color="auto"/>
      </w:divBdr>
    </w:div>
    <w:div w:id="1905796713">
      <w:bodyDiv w:val="1"/>
      <w:marLeft w:val="0"/>
      <w:marRight w:val="0"/>
      <w:marTop w:val="0"/>
      <w:marBottom w:val="0"/>
      <w:divBdr>
        <w:top w:val="none" w:sz="0" w:space="0" w:color="auto"/>
        <w:left w:val="none" w:sz="0" w:space="0" w:color="auto"/>
        <w:bottom w:val="none" w:sz="0" w:space="0" w:color="auto"/>
        <w:right w:val="none" w:sz="0" w:space="0" w:color="auto"/>
      </w:divBdr>
    </w:div>
    <w:div w:id="1905798865">
      <w:bodyDiv w:val="1"/>
      <w:marLeft w:val="0"/>
      <w:marRight w:val="0"/>
      <w:marTop w:val="0"/>
      <w:marBottom w:val="0"/>
      <w:divBdr>
        <w:top w:val="none" w:sz="0" w:space="0" w:color="auto"/>
        <w:left w:val="none" w:sz="0" w:space="0" w:color="auto"/>
        <w:bottom w:val="none" w:sz="0" w:space="0" w:color="auto"/>
        <w:right w:val="none" w:sz="0" w:space="0" w:color="auto"/>
      </w:divBdr>
    </w:div>
    <w:div w:id="1905868277">
      <w:bodyDiv w:val="1"/>
      <w:marLeft w:val="0"/>
      <w:marRight w:val="0"/>
      <w:marTop w:val="0"/>
      <w:marBottom w:val="0"/>
      <w:divBdr>
        <w:top w:val="none" w:sz="0" w:space="0" w:color="auto"/>
        <w:left w:val="none" w:sz="0" w:space="0" w:color="auto"/>
        <w:bottom w:val="none" w:sz="0" w:space="0" w:color="auto"/>
        <w:right w:val="none" w:sz="0" w:space="0" w:color="auto"/>
      </w:divBdr>
    </w:div>
    <w:div w:id="1905991731">
      <w:bodyDiv w:val="1"/>
      <w:marLeft w:val="0"/>
      <w:marRight w:val="0"/>
      <w:marTop w:val="0"/>
      <w:marBottom w:val="0"/>
      <w:divBdr>
        <w:top w:val="none" w:sz="0" w:space="0" w:color="auto"/>
        <w:left w:val="none" w:sz="0" w:space="0" w:color="auto"/>
        <w:bottom w:val="none" w:sz="0" w:space="0" w:color="auto"/>
        <w:right w:val="none" w:sz="0" w:space="0" w:color="auto"/>
      </w:divBdr>
    </w:div>
    <w:div w:id="1906068266">
      <w:bodyDiv w:val="1"/>
      <w:marLeft w:val="0"/>
      <w:marRight w:val="0"/>
      <w:marTop w:val="0"/>
      <w:marBottom w:val="0"/>
      <w:divBdr>
        <w:top w:val="none" w:sz="0" w:space="0" w:color="auto"/>
        <w:left w:val="none" w:sz="0" w:space="0" w:color="auto"/>
        <w:bottom w:val="none" w:sz="0" w:space="0" w:color="auto"/>
        <w:right w:val="none" w:sz="0" w:space="0" w:color="auto"/>
      </w:divBdr>
    </w:div>
    <w:div w:id="1906136576">
      <w:bodyDiv w:val="1"/>
      <w:marLeft w:val="0"/>
      <w:marRight w:val="0"/>
      <w:marTop w:val="0"/>
      <w:marBottom w:val="0"/>
      <w:divBdr>
        <w:top w:val="none" w:sz="0" w:space="0" w:color="auto"/>
        <w:left w:val="none" w:sz="0" w:space="0" w:color="auto"/>
        <w:bottom w:val="none" w:sz="0" w:space="0" w:color="auto"/>
        <w:right w:val="none" w:sz="0" w:space="0" w:color="auto"/>
      </w:divBdr>
    </w:div>
    <w:div w:id="1906253966">
      <w:bodyDiv w:val="1"/>
      <w:marLeft w:val="0"/>
      <w:marRight w:val="0"/>
      <w:marTop w:val="0"/>
      <w:marBottom w:val="0"/>
      <w:divBdr>
        <w:top w:val="none" w:sz="0" w:space="0" w:color="auto"/>
        <w:left w:val="none" w:sz="0" w:space="0" w:color="auto"/>
        <w:bottom w:val="none" w:sz="0" w:space="0" w:color="auto"/>
        <w:right w:val="none" w:sz="0" w:space="0" w:color="auto"/>
      </w:divBdr>
    </w:div>
    <w:div w:id="1906337788">
      <w:bodyDiv w:val="1"/>
      <w:marLeft w:val="0"/>
      <w:marRight w:val="0"/>
      <w:marTop w:val="0"/>
      <w:marBottom w:val="0"/>
      <w:divBdr>
        <w:top w:val="none" w:sz="0" w:space="0" w:color="auto"/>
        <w:left w:val="none" w:sz="0" w:space="0" w:color="auto"/>
        <w:bottom w:val="none" w:sz="0" w:space="0" w:color="auto"/>
        <w:right w:val="none" w:sz="0" w:space="0" w:color="auto"/>
      </w:divBdr>
    </w:div>
    <w:div w:id="1906377940">
      <w:bodyDiv w:val="1"/>
      <w:marLeft w:val="0"/>
      <w:marRight w:val="0"/>
      <w:marTop w:val="0"/>
      <w:marBottom w:val="0"/>
      <w:divBdr>
        <w:top w:val="none" w:sz="0" w:space="0" w:color="auto"/>
        <w:left w:val="none" w:sz="0" w:space="0" w:color="auto"/>
        <w:bottom w:val="none" w:sz="0" w:space="0" w:color="auto"/>
        <w:right w:val="none" w:sz="0" w:space="0" w:color="auto"/>
      </w:divBdr>
    </w:div>
    <w:div w:id="1906722768">
      <w:bodyDiv w:val="1"/>
      <w:marLeft w:val="0"/>
      <w:marRight w:val="0"/>
      <w:marTop w:val="0"/>
      <w:marBottom w:val="0"/>
      <w:divBdr>
        <w:top w:val="none" w:sz="0" w:space="0" w:color="auto"/>
        <w:left w:val="none" w:sz="0" w:space="0" w:color="auto"/>
        <w:bottom w:val="none" w:sz="0" w:space="0" w:color="auto"/>
        <w:right w:val="none" w:sz="0" w:space="0" w:color="auto"/>
      </w:divBdr>
    </w:div>
    <w:div w:id="1906911483">
      <w:bodyDiv w:val="1"/>
      <w:marLeft w:val="0"/>
      <w:marRight w:val="0"/>
      <w:marTop w:val="0"/>
      <w:marBottom w:val="0"/>
      <w:divBdr>
        <w:top w:val="none" w:sz="0" w:space="0" w:color="auto"/>
        <w:left w:val="none" w:sz="0" w:space="0" w:color="auto"/>
        <w:bottom w:val="none" w:sz="0" w:space="0" w:color="auto"/>
        <w:right w:val="none" w:sz="0" w:space="0" w:color="auto"/>
      </w:divBdr>
    </w:div>
    <w:div w:id="1906912160">
      <w:bodyDiv w:val="1"/>
      <w:marLeft w:val="0"/>
      <w:marRight w:val="0"/>
      <w:marTop w:val="0"/>
      <w:marBottom w:val="0"/>
      <w:divBdr>
        <w:top w:val="none" w:sz="0" w:space="0" w:color="auto"/>
        <w:left w:val="none" w:sz="0" w:space="0" w:color="auto"/>
        <w:bottom w:val="none" w:sz="0" w:space="0" w:color="auto"/>
        <w:right w:val="none" w:sz="0" w:space="0" w:color="auto"/>
      </w:divBdr>
    </w:div>
    <w:div w:id="1907060334">
      <w:bodyDiv w:val="1"/>
      <w:marLeft w:val="0"/>
      <w:marRight w:val="0"/>
      <w:marTop w:val="0"/>
      <w:marBottom w:val="0"/>
      <w:divBdr>
        <w:top w:val="none" w:sz="0" w:space="0" w:color="auto"/>
        <w:left w:val="none" w:sz="0" w:space="0" w:color="auto"/>
        <w:bottom w:val="none" w:sz="0" w:space="0" w:color="auto"/>
        <w:right w:val="none" w:sz="0" w:space="0" w:color="auto"/>
      </w:divBdr>
    </w:div>
    <w:div w:id="1907181855">
      <w:bodyDiv w:val="1"/>
      <w:marLeft w:val="0"/>
      <w:marRight w:val="0"/>
      <w:marTop w:val="0"/>
      <w:marBottom w:val="0"/>
      <w:divBdr>
        <w:top w:val="none" w:sz="0" w:space="0" w:color="auto"/>
        <w:left w:val="none" w:sz="0" w:space="0" w:color="auto"/>
        <w:bottom w:val="none" w:sz="0" w:space="0" w:color="auto"/>
        <w:right w:val="none" w:sz="0" w:space="0" w:color="auto"/>
      </w:divBdr>
    </w:div>
    <w:div w:id="1907182386">
      <w:bodyDiv w:val="1"/>
      <w:marLeft w:val="0"/>
      <w:marRight w:val="0"/>
      <w:marTop w:val="0"/>
      <w:marBottom w:val="0"/>
      <w:divBdr>
        <w:top w:val="none" w:sz="0" w:space="0" w:color="auto"/>
        <w:left w:val="none" w:sz="0" w:space="0" w:color="auto"/>
        <w:bottom w:val="none" w:sz="0" w:space="0" w:color="auto"/>
        <w:right w:val="none" w:sz="0" w:space="0" w:color="auto"/>
      </w:divBdr>
    </w:div>
    <w:div w:id="1907377033">
      <w:bodyDiv w:val="1"/>
      <w:marLeft w:val="0"/>
      <w:marRight w:val="0"/>
      <w:marTop w:val="0"/>
      <w:marBottom w:val="0"/>
      <w:divBdr>
        <w:top w:val="none" w:sz="0" w:space="0" w:color="auto"/>
        <w:left w:val="none" w:sz="0" w:space="0" w:color="auto"/>
        <w:bottom w:val="none" w:sz="0" w:space="0" w:color="auto"/>
        <w:right w:val="none" w:sz="0" w:space="0" w:color="auto"/>
      </w:divBdr>
    </w:div>
    <w:div w:id="1907717976">
      <w:bodyDiv w:val="1"/>
      <w:marLeft w:val="0"/>
      <w:marRight w:val="0"/>
      <w:marTop w:val="0"/>
      <w:marBottom w:val="0"/>
      <w:divBdr>
        <w:top w:val="none" w:sz="0" w:space="0" w:color="auto"/>
        <w:left w:val="none" w:sz="0" w:space="0" w:color="auto"/>
        <w:bottom w:val="none" w:sz="0" w:space="0" w:color="auto"/>
        <w:right w:val="none" w:sz="0" w:space="0" w:color="auto"/>
      </w:divBdr>
    </w:div>
    <w:div w:id="1907757899">
      <w:bodyDiv w:val="1"/>
      <w:marLeft w:val="0"/>
      <w:marRight w:val="0"/>
      <w:marTop w:val="0"/>
      <w:marBottom w:val="0"/>
      <w:divBdr>
        <w:top w:val="none" w:sz="0" w:space="0" w:color="auto"/>
        <w:left w:val="none" w:sz="0" w:space="0" w:color="auto"/>
        <w:bottom w:val="none" w:sz="0" w:space="0" w:color="auto"/>
        <w:right w:val="none" w:sz="0" w:space="0" w:color="auto"/>
      </w:divBdr>
    </w:div>
    <w:div w:id="1907832626">
      <w:bodyDiv w:val="1"/>
      <w:marLeft w:val="0"/>
      <w:marRight w:val="0"/>
      <w:marTop w:val="0"/>
      <w:marBottom w:val="0"/>
      <w:divBdr>
        <w:top w:val="none" w:sz="0" w:space="0" w:color="auto"/>
        <w:left w:val="none" w:sz="0" w:space="0" w:color="auto"/>
        <w:bottom w:val="none" w:sz="0" w:space="0" w:color="auto"/>
        <w:right w:val="none" w:sz="0" w:space="0" w:color="auto"/>
      </w:divBdr>
    </w:div>
    <w:div w:id="1907958479">
      <w:bodyDiv w:val="1"/>
      <w:marLeft w:val="0"/>
      <w:marRight w:val="0"/>
      <w:marTop w:val="0"/>
      <w:marBottom w:val="0"/>
      <w:divBdr>
        <w:top w:val="none" w:sz="0" w:space="0" w:color="auto"/>
        <w:left w:val="none" w:sz="0" w:space="0" w:color="auto"/>
        <w:bottom w:val="none" w:sz="0" w:space="0" w:color="auto"/>
        <w:right w:val="none" w:sz="0" w:space="0" w:color="auto"/>
      </w:divBdr>
    </w:div>
    <w:div w:id="1908372374">
      <w:bodyDiv w:val="1"/>
      <w:marLeft w:val="0"/>
      <w:marRight w:val="0"/>
      <w:marTop w:val="0"/>
      <w:marBottom w:val="0"/>
      <w:divBdr>
        <w:top w:val="none" w:sz="0" w:space="0" w:color="auto"/>
        <w:left w:val="none" w:sz="0" w:space="0" w:color="auto"/>
        <w:bottom w:val="none" w:sz="0" w:space="0" w:color="auto"/>
        <w:right w:val="none" w:sz="0" w:space="0" w:color="auto"/>
      </w:divBdr>
    </w:div>
    <w:div w:id="1908372899">
      <w:bodyDiv w:val="1"/>
      <w:marLeft w:val="0"/>
      <w:marRight w:val="0"/>
      <w:marTop w:val="0"/>
      <w:marBottom w:val="0"/>
      <w:divBdr>
        <w:top w:val="none" w:sz="0" w:space="0" w:color="auto"/>
        <w:left w:val="none" w:sz="0" w:space="0" w:color="auto"/>
        <w:bottom w:val="none" w:sz="0" w:space="0" w:color="auto"/>
        <w:right w:val="none" w:sz="0" w:space="0" w:color="auto"/>
      </w:divBdr>
    </w:div>
    <w:div w:id="1908757889">
      <w:bodyDiv w:val="1"/>
      <w:marLeft w:val="0"/>
      <w:marRight w:val="0"/>
      <w:marTop w:val="0"/>
      <w:marBottom w:val="0"/>
      <w:divBdr>
        <w:top w:val="none" w:sz="0" w:space="0" w:color="auto"/>
        <w:left w:val="none" w:sz="0" w:space="0" w:color="auto"/>
        <w:bottom w:val="none" w:sz="0" w:space="0" w:color="auto"/>
        <w:right w:val="none" w:sz="0" w:space="0" w:color="auto"/>
      </w:divBdr>
    </w:div>
    <w:div w:id="1908807312">
      <w:bodyDiv w:val="1"/>
      <w:marLeft w:val="0"/>
      <w:marRight w:val="0"/>
      <w:marTop w:val="0"/>
      <w:marBottom w:val="0"/>
      <w:divBdr>
        <w:top w:val="none" w:sz="0" w:space="0" w:color="auto"/>
        <w:left w:val="none" w:sz="0" w:space="0" w:color="auto"/>
        <w:bottom w:val="none" w:sz="0" w:space="0" w:color="auto"/>
        <w:right w:val="none" w:sz="0" w:space="0" w:color="auto"/>
      </w:divBdr>
    </w:div>
    <w:div w:id="1908998633">
      <w:bodyDiv w:val="1"/>
      <w:marLeft w:val="0"/>
      <w:marRight w:val="0"/>
      <w:marTop w:val="0"/>
      <w:marBottom w:val="0"/>
      <w:divBdr>
        <w:top w:val="none" w:sz="0" w:space="0" w:color="auto"/>
        <w:left w:val="none" w:sz="0" w:space="0" w:color="auto"/>
        <w:bottom w:val="none" w:sz="0" w:space="0" w:color="auto"/>
        <w:right w:val="none" w:sz="0" w:space="0" w:color="auto"/>
      </w:divBdr>
    </w:div>
    <w:div w:id="1909001099">
      <w:bodyDiv w:val="1"/>
      <w:marLeft w:val="0"/>
      <w:marRight w:val="0"/>
      <w:marTop w:val="0"/>
      <w:marBottom w:val="0"/>
      <w:divBdr>
        <w:top w:val="none" w:sz="0" w:space="0" w:color="auto"/>
        <w:left w:val="none" w:sz="0" w:space="0" w:color="auto"/>
        <w:bottom w:val="none" w:sz="0" w:space="0" w:color="auto"/>
        <w:right w:val="none" w:sz="0" w:space="0" w:color="auto"/>
      </w:divBdr>
    </w:div>
    <w:div w:id="1909068364">
      <w:bodyDiv w:val="1"/>
      <w:marLeft w:val="0"/>
      <w:marRight w:val="0"/>
      <w:marTop w:val="0"/>
      <w:marBottom w:val="0"/>
      <w:divBdr>
        <w:top w:val="none" w:sz="0" w:space="0" w:color="auto"/>
        <w:left w:val="none" w:sz="0" w:space="0" w:color="auto"/>
        <w:bottom w:val="none" w:sz="0" w:space="0" w:color="auto"/>
        <w:right w:val="none" w:sz="0" w:space="0" w:color="auto"/>
      </w:divBdr>
    </w:div>
    <w:div w:id="1909195380">
      <w:bodyDiv w:val="1"/>
      <w:marLeft w:val="0"/>
      <w:marRight w:val="0"/>
      <w:marTop w:val="0"/>
      <w:marBottom w:val="0"/>
      <w:divBdr>
        <w:top w:val="none" w:sz="0" w:space="0" w:color="auto"/>
        <w:left w:val="none" w:sz="0" w:space="0" w:color="auto"/>
        <w:bottom w:val="none" w:sz="0" w:space="0" w:color="auto"/>
        <w:right w:val="none" w:sz="0" w:space="0" w:color="auto"/>
      </w:divBdr>
    </w:div>
    <w:div w:id="1909656135">
      <w:bodyDiv w:val="1"/>
      <w:marLeft w:val="0"/>
      <w:marRight w:val="0"/>
      <w:marTop w:val="0"/>
      <w:marBottom w:val="0"/>
      <w:divBdr>
        <w:top w:val="none" w:sz="0" w:space="0" w:color="auto"/>
        <w:left w:val="none" w:sz="0" w:space="0" w:color="auto"/>
        <w:bottom w:val="none" w:sz="0" w:space="0" w:color="auto"/>
        <w:right w:val="none" w:sz="0" w:space="0" w:color="auto"/>
      </w:divBdr>
    </w:div>
    <w:div w:id="1909724664">
      <w:bodyDiv w:val="1"/>
      <w:marLeft w:val="0"/>
      <w:marRight w:val="0"/>
      <w:marTop w:val="0"/>
      <w:marBottom w:val="0"/>
      <w:divBdr>
        <w:top w:val="none" w:sz="0" w:space="0" w:color="auto"/>
        <w:left w:val="none" w:sz="0" w:space="0" w:color="auto"/>
        <w:bottom w:val="none" w:sz="0" w:space="0" w:color="auto"/>
        <w:right w:val="none" w:sz="0" w:space="0" w:color="auto"/>
      </w:divBdr>
    </w:div>
    <w:div w:id="1909875349">
      <w:bodyDiv w:val="1"/>
      <w:marLeft w:val="0"/>
      <w:marRight w:val="0"/>
      <w:marTop w:val="0"/>
      <w:marBottom w:val="0"/>
      <w:divBdr>
        <w:top w:val="none" w:sz="0" w:space="0" w:color="auto"/>
        <w:left w:val="none" w:sz="0" w:space="0" w:color="auto"/>
        <w:bottom w:val="none" w:sz="0" w:space="0" w:color="auto"/>
        <w:right w:val="none" w:sz="0" w:space="0" w:color="auto"/>
      </w:divBdr>
    </w:div>
    <w:div w:id="1910117768">
      <w:bodyDiv w:val="1"/>
      <w:marLeft w:val="0"/>
      <w:marRight w:val="0"/>
      <w:marTop w:val="0"/>
      <w:marBottom w:val="0"/>
      <w:divBdr>
        <w:top w:val="none" w:sz="0" w:space="0" w:color="auto"/>
        <w:left w:val="none" w:sz="0" w:space="0" w:color="auto"/>
        <w:bottom w:val="none" w:sz="0" w:space="0" w:color="auto"/>
        <w:right w:val="none" w:sz="0" w:space="0" w:color="auto"/>
      </w:divBdr>
    </w:div>
    <w:div w:id="1910119178">
      <w:bodyDiv w:val="1"/>
      <w:marLeft w:val="0"/>
      <w:marRight w:val="0"/>
      <w:marTop w:val="0"/>
      <w:marBottom w:val="0"/>
      <w:divBdr>
        <w:top w:val="none" w:sz="0" w:space="0" w:color="auto"/>
        <w:left w:val="none" w:sz="0" w:space="0" w:color="auto"/>
        <w:bottom w:val="none" w:sz="0" w:space="0" w:color="auto"/>
        <w:right w:val="none" w:sz="0" w:space="0" w:color="auto"/>
      </w:divBdr>
    </w:div>
    <w:div w:id="1910263047">
      <w:bodyDiv w:val="1"/>
      <w:marLeft w:val="0"/>
      <w:marRight w:val="0"/>
      <w:marTop w:val="0"/>
      <w:marBottom w:val="0"/>
      <w:divBdr>
        <w:top w:val="none" w:sz="0" w:space="0" w:color="auto"/>
        <w:left w:val="none" w:sz="0" w:space="0" w:color="auto"/>
        <w:bottom w:val="none" w:sz="0" w:space="0" w:color="auto"/>
        <w:right w:val="none" w:sz="0" w:space="0" w:color="auto"/>
      </w:divBdr>
    </w:div>
    <w:div w:id="1910312025">
      <w:bodyDiv w:val="1"/>
      <w:marLeft w:val="0"/>
      <w:marRight w:val="0"/>
      <w:marTop w:val="0"/>
      <w:marBottom w:val="0"/>
      <w:divBdr>
        <w:top w:val="none" w:sz="0" w:space="0" w:color="auto"/>
        <w:left w:val="none" w:sz="0" w:space="0" w:color="auto"/>
        <w:bottom w:val="none" w:sz="0" w:space="0" w:color="auto"/>
        <w:right w:val="none" w:sz="0" w:space="0" w:color="auto"/>
      </w:divBdr>
    </w:div>
    <w:div w:id="1910378941">
      <w:bodyDiv w:val="1"/>
      <w:marLeft w:val="0"/>
      <w:marRight w:val="0"/>
      <w:marTop w:val="0"/>
      <w:marBottom w:val="0"/>
      <w:divBdr>
        <w:top w:val="none" w:sz="0" w:space="0" w:color="auto"/>
        <w:left w:val="none" w:sz="0" w:space="0" w:color="auto"/>
        <w:bottom w:val="none" w:sz="0" w:space="0" w:color="auto"/>
        <w:right w:val="none" w:sz="0" w:space="0" w:color="auto"/>
      </w:divBdr>
    </w:div>
    <w:div w:id="1910380719">
      <w:bodyDiv w:val="1"/>
      <w:marLeft w:val="0"/>
      <w:marRight w:val="0"/>
      <w:marTop w:val="0"/>
      <w:marBottom w:val="0"/>
      <w:divBdr>
        <w:top w:val="none" w:sz="0" w:space="0" w:color="auto"/>
        <w:left w:val="none" w:sz="0" w:space="0" w:color="auto"/>
        <w:bottom w:val="none" w:sz="0" w:space="0" w:color="auto"/>
        <w:right w:val="none" w:sz="0" w:space="0" w:color="auto"/>
      </w:divBdr>
    </w:div>
    <w:div w:id="1910571567">
      <w:bodyDiv w:val="1"/>
      <w:marLeft w:val="0"/>
      <w:marRight w:val="0"/>
      <w:marTop w:val="0"/>
      <w:marBottom w:val="0"/>
      <w:divBdr>
        <w:top w:val="none" w:sz="0" w:space="0" w:color="auto"/>
        <w:left w:val="none" w:sz="0" w:space="0" w:color="auto"/>
        <w:bottom w:val="none" w:sz="0" w:space="0" w:color="auto"/>
        <w:right w:val="none" w:sz="0" w:space="0" w:color="auto"/>
      </w:divBdr>
    </w:div>
    <w:div w:id="1910773827">
      <w:bodyDiv w:val="1"/>
      <w:marLeft w:val="0"/>
      <w:marRight w:val="0"/>
      <w:marTop w:val="0"/>
      <w:marBottom w:val="0"/>
      <w:divBdr>
        <w:top w:val="none" w:sz="0" w:space="0" w:color="auto"/>
        <w:left w:val="none" w:sz="0" w:space="0" w:color="auto"/>
        <w:bottom w:val="none" w:sz="0" w:space="0" w:color="auto"/>
        <w:right w:val="none" w:sz="0" w:space="0" w:color="auto"/>
      </w:divBdr>
    </w:div>
    <w:div w:id="1910797801">
      <w:bodyDiv w:val="1"/>
      <w:marLeft w:val="0"/>
      <w:marRight w:val="0"/>
      <w:marTop w:val="0"/>
      <w:marBottom w:val="0"/>
      <w:divBdr>
        <w:top w:val="none" w:sz="0" w:space="0" w:color="auto"/>
        <w:left w:val="none" w:sz="0" w:space="0" w:color="auto"/>
        <w:bottom w:val="none" w:sz="0" w:space="0" w:color="auto"/>
        <w:right w:val="none" w:sz="0" w:space="0" w:color="auto"/>
      </w:divBdr>
    </w:div>
    <w:div w:id="1910844283">
      <w:bodyDiv w:val="1"/>
      <w:marLeft w:val="0"/>
      <w:marRight w:val="0"/>
      <w:marTop w:val="0"/>
      <w:marBottom w:val="0"/>
      <w:divBdr>
        <w:top w:val="none" w:sz="0" w:space="0" w:color="auto"/>
        <w:left w:val="none" w:sz="0" w:space="0" w:color="auto"/>
        <w:bottom w:val="none" w:sz="0" w:space="0" w:color="auto"/>
        <w:right w:val="none" w:sz="0" w:space="0" w:color="auto"/>
      </w:divBdr>
    </w:div>
    <w:div w:id="1910916677">
      <w:bodyDiv w:val="1"/>
      <w:marLeft w:val="0"/>
      <w:marRight w:val="0"/>
      <w:marTop w:val="0"/>
      <w:marBottom w:val="0"/>
      <w:divBdr>
        <w:top w:val="none" w:sz="0" w:space="0" w:color="auto"/>
        <w:left w:val="none" w:sz="0" w:space="0" w:color="auto"/>
        <w:bottom w:val="none" w:sz="0" w:space="0" w:color="auto"/>
        <w:right w:val="none" w:sz="0" w:space="0" w:color="auto"/>
      </w:divBdr>
    </w:div>
    <w:div w:id="1911109723">
      <w:bodyDiv w:val="1"/>
      <w:marLeft w:val="0"/>
      <w:marRight w:val="0"/>
      <w:marTop w:val="0"/>
      <w:marBottom w:val="0"/>
      <w:divBdr>
        <w:top w:val="none" w:sz="0" w:space="0" w:color="auto"/>
        <w:left w:val="none" w:sz="0" w:space="0" w:color="auto"/>
        <w:bottom w:val="none" w:sz="0" w:space="0" w:color="auto"/>
        <w:right w:val="none" w:sz="0" w:space="0" w:color="auto"/>
      </w:divBdr>
    </w:div>
    <w:div w:id="1911118195">
      <w:bodyDiv w:val="1"/>
      <w:marLeft w:val="0"/>
      <w:marRight w:val="0"/>
      <w:marTop w:val="0"/>
      <w:marBottom w:val="0"/>
      <w:divBdr>
        <w:top w:val="none" w:sz="0" w:space="0" w:color="auto"/>
        <w:left w:val="none" w:sz="0" w:space="0" w:color="auto"/>
        <w:bottom w:val="none" w:sz="0" w:space="0" w:color="auto"/>
        <w:right w:val="none" w:sz="0" w:space="0" w:color="auto"/>
      </w:divBdr>
    </w:div>
    <w:div w:id="1911188692">
      <w:bodyDiv w:val="1"/>
      <w:marLeft w:val="0"/>
      <w:marRight w:val="0"/>
      <w:marTop w:val="0"/>
      <w:marBottom w:val="0"/>
      <w:divBdr>
        <w:top w:val="none" w:sz="0" w:space="0" w:color="auto"/>
        <w:left w:val="none" w:sz="0" w:space="0" w:color="auto"/>
        <w:bottom w:val="none" w:sz="0" w:space="0" w:color="auto"/>
        <w:right w:val="none" w:sz="0" w:space="0" w:color="auto"/>
      </w:divBdr>
    </w:div>
    <w:div w:id="1911303870">
      <w:bodyDiv w:val="1"/>
      <w:marLeft w:val="0"/>
      <w:marRight w:val="0"/>
      <w:marTop w:val="0"/>
      <w:marBottom w:val="0"/>
      <w:divBdr>
        <w:top w:val="none" w:sz="0" w:space="0" w:color="auto"/>
        <w:left w:val="none" w:sz="0" w:space="0" w:color="auto"/>
        <w:bottom w:val="none" w:sz="0" w:space="0" w:color="auto"/>
        <w:right w:val="none" w:sz="0" w:space="0" w:color="auto"/>
      </w:divBdr>
    </w:div>
    <w:div w:id="1911770662">
      <w:bodyDiv w:val="1"/>
      <w:marLeft w:val="0"/>
      <w:marRight w:val="0"/>
      <w:marTop w:val="0"/>
      <w:marBottom w:val="0"/>
      <w:divBdr>
        <w:top w:val="none" w:sz="0" w:space="0" w:color="auto"/>
        <w:left w:val="none" w:sz="0" w:space="0" w:color="auto"/>
        <w:bottom w:val="none" w:sz="0" w:space="0" w:color="auto"/>
        <w:right w:val="none" w:sz="0" w:space="0" w:color="auto"/>
      </w:divBdr>
    </w:div>
    <w:div w:id="1912037069">
      <w:bodyDiv w:val="1"/>
      <w:marLeft w:val="0"/>
      <w:marRight w:val="0"/>
      <w:marTop w:val="0"/>
      <w:marBottom w:val="0"/>
      <w:divBdr>
        <w:top w:val="none" w:sz="0" w:space="0" w:color="auto"/>
        <w:left w:val="none" w:sz="0" w:space="0" w:color="auto"/>
        <w:bottom w:val="none" w:sz="0" w:space="0" w:color="auto"/>
        <w:right w:val="none" w:sz="0" w:space="0" w:color="auto"/>
      </w:divBdr>
    </w:div>
    <w:div w:id="1912081073">
      <w:bodyDiv w:val="1"/>
      <w:marLeft w:val="0"/>
      <w:marRight w:val="0"/>
      <w:marTop w:val="0"/>
      <w:marBottom w:val="0"/>
      <w:divBdr>
        <w:top w:val="none" w:sz="0" w:space="0" w:color="auto"/>
        <w:left w:val="none" w:sz="0" w:space="0" w:color="auto"/>
        <w:bottom w:val="none" w:sz="0" w:space="0" w:color="auto"/>
        <w:right w:val="none" w:sz="0" w:space="0" w:color="auto"/>
      </w:divBdr>
    </w:div>
    <w:div w:id="1912152324">
      <w:bodyDiv w:val="1"/>
      <w:marLeft w:val="0"/>
      <w:marRight w:val="0"/>
      <w:marTop w:val="0"/>
      <w:marBottom w:val="0"/>
      <w:divBdr>
        <w:top w:val="none" w:sz="0" w:space="0" w:color="auto"/>
        <w:left w:val="none" w:sz="0" w:space="0" w:color="auto"/>
        <w:bottom w:val="none" w:sz="0" w:space="0" w:color="auto"/>
        <w:right w:val="none" w:sz="0" w:space="0" w:color="auto"/>
      </w:divBdr>
    </w:div>
    <w:div w:id="1912228546">
      <w:bodyDiv w:val="1"/>
      <w:marLeft w:val="0"/>
      <w:marRight w:val="0"/>
      <w:marTop w:val="0"/>
      <w:marBottom w:val="0"/>
      <w:divBdr>
        <w:top w:val="none" w:sz="0" w:space="0" w:color="auto"/>
        <w:left w:val="none" w:sz="0" w:space="0" w:color="auto"/>
        <w:bottom w:val="none" w:sz="0" w:space="0" w:color="auto"/>
        <w:right w:val="none" w:sz="0" w:space="0" w:color="auto"/>
      </w:divBdr>
    </w:div>
    <w:div w:id="1912304956">
      <w:bodyDiv w:val="1"/>
      <w:marLeft w:val="0"/>
      <w:marRight w:val="0"/>
      <w:marTop w:val="0"/>
      <w:marBottom w:val="0"/>
      <w:divBdr>
        <w:top w:val="none" w:sz="0" w:space="0" w:color="auto"/>
        <w:left w:val="none" w:sz="0" w:space="0" w:color="auto"/>
        <w:bottom w:val="none" w:sz="0" w:space="0" w:color="auto"/>
        <w:right w:val="none" w:sz="0" w:space="0" w:color="auto"/>
      </w:divBdr>
    </w:div>
    <w:div w:id="1912346527">
      <w:bodyDiv w:val="1"/>
      <w:marLeft w:val="0"/>
      <w:marRight w:val="0"/>
      <w:marTop w:val="0"/>
      <w:marBottom w:val="0"/>
      <w:divBdr>
        <w:top w:val="none" w:sz="0" w:space="0" w:color="auto"/>
        <w:left w:val="none" w:sz="0" w:space="0" w:color="auto"/>
        <w:bottom w:val="none" w:sz="0" w:space="0" w:color="auto"/>
        <w:right w:val="none" w:sz="0" w:space="0" w:color="auto"/>
      </w:divBdr>
    </w:div>
    <w:div w:id="1912500559">
      <w:bodyDiv w:val="1"/>
      <w:marLeft w:val="0"/>
      <w:marRight w:val="0"/>
      <w:marTop w:val="0"/>
      <w:marBottom w:val="0"/>
      <w:divBdr>
        <w:top w:val="none" w:sz="0" w:space="0" w:color="auto"/>
        <w:left w:val="none" w:sz="0" w:space="0" w:color="auto"/>
        <w:bottom w:val="none" w:sz="0" w:space="0" w:color="auto"/>
        <w:right w:val="none" w:sz="0" w:space="0" w:color="auto"/>
      </w:divBdr>
    </w:div>
    <w:div w:id="1912501197">
      <w:bodyDiv w:val="1"/>
      <w:marLeft w:val="0"/>
      <w:marRight w:val="0"/>
      <w:marTop w:val="0"/>
      <w:marBottom w:val="0"/>
      <w:divBdr>
        <w:top w:val="none" w:sz="0" w:space="0" w:color="auto"/>
        <w:left w:val="none" w:sz="0" w:space="0" w:color="auto"/>
        <w:bottom w:val="none" w:sz="0" w:space="0" w:color="auto"/>
        <w:right w:val="none" w:sz="0" w:space="0" w:color="auto"/>
      </w:divBdr>
    </w:div>
    <w:div w:id="1912619644">
      <w:bodyDiv w:val="1"/>
      <w:marLeft w:val="0"/>
      <w:marRight w:val="0"/>
      <w:marTop w:val="0"/>
      <w:marBottom w:val="0"/>
      <w:divBdr>
        <w:top w:val="none" w:sz="0" w:space="0" w:color="auto"/>
        <w:left w:val="none" w:sz="0" w:space="0" w:color="auto"/>
        <w:bottom w:val="none" w:sz="0" w:space="0" w:color="auto"/>
        <w:right w:val="none" w:sz="0" w:space="0" w:color="auto"/>
      </w:divBdr>
    </w:div>
    <w:div w:id="1912814926">
      <w:bodyDiv w:val="1"/>
      <w:marLeft w:val="0"/>
      <w:marRight w:val="0"/>
      <w:marTop w:val="0"/>
      <w:marBottom w:val="0"/>
      <w:divBdr>
        <w:top w:val="none" w:sz="0" w:space="0" w:color="auto"/>
        <w:left w:val="none" w:sz="0" w:space="0" w:color="auto"/>
        <w:bottom w:val="none" w:sz="0" w:space="0" w:color="auto"/>
        <w:right w:val="none" w:sz="0" w:space="0" w:color="auto"/>
      </w:divBdr>
    </w:div>
    <w:div w:id="1912931070">
      <w:bodyDiv w:val="1"/>
      <w:marLeft w:val="0"/>
      <w:marRight w:val="0"/>
      <w:marTop w:val="0"/>
      <w:marBottom w:val="0"/>
      <w:divBdr>
        <w:top w:val="none" w:sz="0" w:space="0" w:color="auto"/>
        <w:left w:val="none" w:sz="0" w:space="0" w:color="auto"/>
        <w:bottom w:val="none" w:sz="0" w:space="0" w:color="auto"/>
        <w:right w:val="none" w:sz="0" w:space="0" w:color="auto"/>
      </w:divBdr>
    </w:div>
    <w:div w:id="1913080728">
      <w:bodyDiv w:val="1"/>
      <w:marLeft w:val="0"/>
      <w:marRight w:val="0"/>
      <w:marTop w:val="0"/>
      <w:marBottom w:val="0"/>
      <w:divBdr>
        <w:top w:val="none" w:sz="0" w:space="0" w:color="auto"/>
        <w:left w:val="none" w:sz="0" w:space="0" w:color="auto"/>
        <w:bottom w:val="none" w:sz="0" w:space="0" w:color="auto"/>
        <w:right w:val="none" w:sz="0" w:space="0" w:color="auto"/>
      </w:divBdr>
    </w:div>
    <w:div w:id="1913157428">
      <w:bodyDiv w:val="1"/>
      <w:marLeft w:val="0"/>
      <w:marRight w:val="0"/>
      <w:marTop w:val="0"/>
      <w:marBottom w:val="0"/>
      <w:divBdr>
        <w:top w:val="none" w:sz="0" w:space="0" w:color="auto"/>
        <w:left w:val="none" w:sz="0" w:space="0" w:color="auto"/>
        <w:bottom w:val="none" w:sz="0" w:space="0" w:color="auto"/>
        <w:right w:val="none" w:sz="0" w:space="0" w:color="auto"/>
      </w:divBdr>
    </w:div>
    <w:div w:id="1913270266">
      <w:bodyDiv w:val="1"/>
      <w:marLeft w:val="0"/>
      <w:marRight w:val="0"/>
      <w:marTop w:val="0"/>
      <w:marBottom w:val="0"/>
      <w:divBdr>
        <w:top w:val="none" w:sz="0" w:space="0" w:color="auto"/>
        <w:left w:val="none" w:sz="0" w:space="0" w:color="auto"/>
        <w:bottom w:val="none" w:sz="0" w:space="0" w:color="auto"/>
        <w:right w:val="none" w:sz="0" w:space="0" w:color="auto"/>
      </w:divBdr>
    </w:div>
    <w:div w:id="1913537631">
      <w:bodyDiv w:val="1"/>
      <w:marLeft w:val="0"/>
      <w:marRight w:val="0"/>
      <w:marTop w:val="0"/>
      <w:marBottom w:val="0"/>
      <w:divBdr>
        <w:top w:val="none" w:sz="0" w:space="0" w:color="auto"/>
        <w:left w:val="none" w:sz="0" w:space="0" w:color="auto"/>
        <w:bottom w:val="none" w:sz="0" w:space="0" w:color="auto"/>
        <w:right w:val="none" w:sz="0" w:space="0" w:color="auto"/>
      </w:divBdr>
    </w:div>
    <w:div w:id="1913538750">
      <w:bodyDiv w:val="1"/>
      <w:marLeft w:val="0"/>
      <w:marRight w:val="0"/>
      <w:marTop w:val="0"/>
      <w:marBottom w:val="0"/>
      <w:divBdr>
        <w:top w:val="none" w:sz="0" w:space="0" w:color="auto"/>
        <w:left w:val="none" w:sz="0" w:space="0" w:color="auto"/>
        <w:bottom w:val="none" w:sz="0" w:space="0" w:color="auto"/>
        <w:right w:val="none" w:sz="0" w:space="0" w:color="auto"/>
      </w:divBdr>
    </w:div>
    <w:div w:id="1913736946">
      <w:bodyDiv w:val="1"/>
      <w:marLeft w:val="0"/>
      <w:marRight w:val="0"/>
      <w:marTop w:val="0"/>
      <w:marBottom w:val="0"/>
      <w:divBdr>
        <w:top w:val="none" w:sz="0" w:space="0" w:color="auto"/>
        <w:left w:val="none" w:sz="0" w:space="0" w:color="auto"/>
        <w:bottom w:val="none" w:sz="0" w:space="0" w:color="auto"/>
        <w:right w:val="none" w:sz="0" w:space="0" w:color="auto"/>
      </w:divBdr>
    </w:div>
    <w:div w:id="1913806677">
      <w:bodyDiv w:val="1"/>
      <w:marLeft w:val="0"/>
      <w:marRight w:val="0"/>
      <w:marTop w:val="0"/>
      <w:marBottom w:val="0"/>
      <w:divBdr>
        <w:top w:val="none" w:sz="0" w:space="0" w:color="auto"/>
        <w:left w:val="none" w:sz="0" w:space="0" w:color="auto"/>
        <w:bottom w:val="none" w:sz="0" w:space="0" w:color="auto"/>
        <w:right w:val="none" w:sz="0" w:space="0" w:color="auto"/>
      </w:divBdr>
    </w:div>
    <w:div w:id="1914076358">
      <w:bodyDiv w:val="1"/>
      <w:marLeft w:val="0"/>
      <w:marRight w:val="0"/>
      <w:marTop w:val="0"/>
      <w:marBottom w:val="0"/>
      <w:divBdr>
        <w:top w:val="none" w:sz="0" w:space="0" w:color="auto"/>
        <w:left w:val="none" w:sz="0" w:space="0" w:color="auto"/>
        <w:bottom w:val="none" w:sz="0" w:space="0" w:color="auto"/>
        <w:right w:val="none" w:sz="0" w:space="0" w:color="auto"/>
      </w:divBdr>
    </w:div>
    <w:div w:id="1914272161">
      <w:bodyDiv w:val="1"/>
      <w:marLeft w:val="0"/>
      <w:marRight w:val="0"/>
      <w:marTop w:val="0"/>
      <w:marBottom w:val="0"/>
      <w:divBdr>
        <w:top w:val="none" w:sz="0" w:space="0" w:color="auto"/>
        <w:left w:val="none" w:sz="0" w:space="0" w:color="auto"/>
        <w:bottom w:val="none" w:sz="0" w:space="0" w:color="auto"/>
        <w:right w:val="none" w:sz="0" w:space="0" w:color="auto"/>
      </w:divBdr>
    </w:div>
    <w:div w:id="1914508790">
      <w:bodyDiv w:val="1"/>
      <w:marLeft w:val="0"/>
      <w:marRight w:val="0"/>
      <w:marTop w:val="0"/>
      <w:marBottom w:val="0"/>
      <w:divBdr>
        <w:top w:val="none" w:sz="0" w:space="0" w:color="auto"/>
        <w:left w:val="none" w:sz="0" w:space="0" w:color="auto"/>
        <w:bottom w:val="none" w:sz="0" w:space="0" w:color="auto"/>
        <w:right w:val="none" w:sz="0" w:space="0" w:color="auto"/>
      </w:divBdr>
    </w:div>
    <w:div w:id="1914510854">
      <w:bodyDiv w:val="1"/>
      <w:marLeft w:val="0"/>
      <w:marRight w:val="0"/>
      <w:marTop w:val="0"/>
      <w:marBottom w:val="0"/>
      <w:divBdr>
        <w:top w:val="none" w:sz="0" w:space="0" w:color="auto"/>
        <w:left w:val="none" w:sz="0" w:space="0" w:color="auto"/>
        <w:bottom w:val="none" w:sz="0" w:space="0" w:color="auto"/>
        <w:right w:val="none" w:sz="0" w:space="0" w:color="auto"/>
      </w:divBdr>
    </w:div>
    <w:div w:id="1914702239">
      <w:bodyDiv w:val="1"/>
      <w:marLeft w:val="0"/>
      <w:marRight w:val="0"/>
      <w:marTop w:val="0"/>
      <w:marBottom w:val="0"/>
      <w:divBdr>
        <w:top w:val="none" w:sz="0" w:space="0" w:color="auto"/>
        <w:left w:val="none" w:sz="0" w:space="0" w:color="auto"/>
        <w:bottom w:val="none" w:sz="0" w:space="0" w:color="auto"/>
        <w:right w:val="none" w:sz="0" w:space="0" w:color="auto"/>
      </w:divBdr>
    </w:div>
    <w:div w:id="1914848118">
      <w:bodyDiv w:val="1"/>
      <w:marLeft w:val="0"/>
      <w:marRight w:val="0"/>
      <w:marTop w:val="0"/>
      <w:marBottom w:val="0"/>
      <w:divBdr>
        <w:top w:val="none" w:sz="0" w:space="0" w:color="auto"/>
        <w:left w:val="none" w:sz="0" w:space="0" w:color="auto"/>
        <w:bottom w:val="none" w:sz="0" w:space="0" w:color="auto"/>
        <w:right w:val="none" w:sz="0" w:space="0" w:color="auto"/>
      </w:divBdr>
    </w:div>
    <w:div w:id="1914924311">
      <w:bodyDiv w:val="1"/>
      <w:marLeft w:val="0"/>
      <w:marRight w:val="0"/>
      <w:marTop w:val="0"/>
      <w:marBottom w:val="0"/>
      <w:divBdr>
        <w:top w:val="none" w:sz="0" w:space="0" w:color="auto"/>
        <w:left w:val="none" w:sz="0" w:space="0" w:color="auto"/>
        <w:bottom w:val="none" w:sz="0" w:space="0" w:color="auto"/>
        <w:right w:val="none" w:sz="0" w:space="0" w:color="auto"/>
      </w:divBdr>
    </w:div>
    <w:div w:id="1914970604">
      <w:bodyDiv w:val="1"/>
      <w:marLeft w:val="0"/>
      <w:marRight w:val="0"/>
      <w:marTop w:val="0"/>
      <w:marBottom w:val="0"/>
      <w:divBdr>
        <w:top w:val="none" w:sz="0" w:space="0" w:color="auto"/>
        <w:left w:val="none" w:sz="0" w:space="0" w:color="auto"/>
        <w:bottom w:val="none" w:sz="0" w:space="0" w:color="auto"/>
        <w:right w:val="none" w:sz="0" w:space="0" w:color="auto"/>
      </w:divBdr>
    </w:div>
    <w:div w:id="1915043304">
      <w:bodyDiv w:val="1"/>
      <w:marLeft w:val="0"/>
      <w:marRight w:val="0"/>
      <w:marTop w:val="0"/>
      <w:marBottom w:val="0"/>
      <w:divBdr>
        <w:top w:val="none" w:sz="0" w:space="0" w:color="auto"/>
        <w:left w:val="none" w:sz="0" w:space="0" w:color="auto"/>
        <w:bottom w:val="none" w:sz="0" w:space="0" w:color="auto"/>
        <w:right w:val="none" w:sz="0" w:space="0" w:color="auto"/>
      </w:divBdr>
    </w:div>
    <w:div w:id="1915121542">
      <w:bodyDiv w:val="1"/>
      <w:marLeft w:val="0"/>
      <w:marRight w:val="0"/>
      <w:marTop w:val="0"/>
      <w:marBottom w:val="0"/>
      <w:divBdr>
        <w:top w:val="none" w:sz="0" w:space="0" w:color="auto"/>
        <w:left w:val="none" w:sz="0" w:space="0" w:color="auto"/>
        <w:bottom w:val="none" w:sz="0" w:space="0" w:color="auto"/>
        <w:right w:val="none" w:sz="0" w:space="0" w:color="auto"/>
      </w:divBdr>
    </w:div>
    <w:div w:id="1915234858">
      <w:bodyDiv w:val="1"/>
      <w:marLeft w:val="0"/>
      <w:marRight w:val="0"/>
      <w:marTop w:val="0"/>
      <w:marBottom w:val="0"/>
      <w:divBdr>
        <w:top w:val="none" w:sz="0" w:space="0" w:color="auto"/>
        <w:left w:val="none" w:sz="0" w:space="0" w:color="auto"/>
        <w:bottom w:val="none" w:sz="0" w:space="0" w:color="auto"/>
        <w:right w:val="none" w:sz="0" w:space="0" w:color="auto"/>
      </w:divBdr>
    </w:div>
    <w:div w:id="1915310993">
      <w:bodyDiv w:val="1"/>
      <w:marLeft w:val="0"/>
      <w:marRight w:val="0"/>
      <w:marTop w:val="0"/>
      <w:marBottom w:val="0"/>
      <w:divBdr>
        <w:top w:val="none" w:sz="0" w:space="0" w:color="auto"/>
        <w:left w:val="none" w:sz="0" w:space="0" w:color="auto"/>
        <w:bottom w:val="none" w:sz="0" w:space="0" w:color="auto"/>
        <w:right w:val="none" w:sz="0" w:space="0" w:color="auto"/>
      </w:divBdr>
    </w:div>
    <w:div w:id="1915502725">
      <w:bodyDiv w:val="1"/>
      <w:marLeft w:val="0"/>
      <w:marRight w:val="0"/>
      <w:marTop w:val="0"/>
      <w:marBottom w:val="0"/>
      <w:divBdr>
        <w:top w:val="none" w:sz="0" w:space="0" w:color="auto"/>
        <w:left w:val="none" w:sz="0" w:space="0" w:color="auto"/>
        <w:bottom w:val="none" w:sz="0" w:space="0" w:color="auto"/>
        <w:right w:val="none" w:sz="0" w:space="0" w:color="auto"/>
      </w:divBdr>
    </w:div>
    <w:div w:id="1915624143">
      <w:bodyDiv w:val="1"/>
      <w:marLeft w:val="0"/>
      <w:marRight w:val="0"/>
      <w:marTop w:val="0"/>
      <w:marBottom w:val="0"/>
      <w:divBdr>
        <w:top w:val="none" w:sz="0" w:space="0" w:color="auto"/>
        <w:left w:val="none" w:sz="0" w:space="0" w:color="auto"/>
        <w:bottom w:val="none" w:sz="0" w:space="0" w:color="auto"/>
        <w:right w:val="none" w:sz="0" w:space="0" w:color="auto"/>
      </w:divBdr>
    </w:div>
    <w:div w:id="1915699326">
      <w:bodyDiv w:val="1"/>
      <w:marLeft w:val="0"/>
      <w:marRight w:val="0"/>
      <w:marTop w:val="0"/>
      <w:marBottom w:val="0"/>
      <w:divBdr>
        <w:top w:val="none" w:sz="0" w:space="0" w:color="auto"/>
        <w:left w:val="none" w:sz="0" w:space="0" w:color="auto"/>
        <w:bottom w:val="none" w:sz="0" w:space="0" w:color="auto"/>
        <w:right w:val="none" w:sz="0" w:space="0" w:color="auto"/>
      </w:divBdr>
    </w:div>
    <w:div w:id="1915893256">
      <w:bodyDiv w:val="1"/>
      <w:marLeft w:val="0"/>
      <w:marRight w:val="0"/>
      <w:marTop w:val="0"/>
      <w:marBottom w:val="0"/>
      <w:divBdr>
        <w:top w:val="none" w:sz="0" w:space="0" w:color="auto"/>
        <w:left w:val="none" w:sz="0" w:space="0" w:color="auto"/>
        <w:bottom w:val="none" w:sz="0" w:space="0" w:color="auto"/>
        <w:right w:val="none" w:sz="0" w:space="0" w:color="auto"/>
      </w:divBdr>
    </w:div>
    <w:div w:id="1916090747">
      <w:bodyDiv w:val="1"/>
      <w:marLeft w:val="0"/>
      <w:marRight w:val="0"/>
      <w:marTop w:val="0"/>
      <w:marBottom w:val="0"/>
      <w:divBdr>
        <w:top w:val="none" w:sz="0" w:space="0" w:color="auto"/>
        <w:left w:val="none" w:sz="0" w:space="0" w:color="auto"/>
        <w:bottom w:val="none" w:sz="0" w:space="0" w:color="auto"/>
        <w:right w:val="none" w:sz="0" w:space="0" w:color="auto"/>
      </w:divBdr>
    </w:div>
    <w:div w:id="1916279489">
      <w:bodyDiv w:val="1"/>
      <w:marLeft w:val="0"/>
      <w:marRight w:val="0"/>
      <w:marTop w:val="0"/>
      <w:marBottom w:val="0"/>
      <w:divBdr>
        <w:top w:val="none" w:sz="0" w:space="0" w:color="auto"/>
        <w:left w:val="none" w:sz="0" w:space="0" w:color="auto"/>
        <w:bottom w:val="none" w:sz="0" w:space="0" w:color="auto"/>
        <w:right w:val="none" w:sz="0" w:space="0" w:color="auto"/>
      </w:divBdr>
    </w:div>
    <w:div w:id="1916428324">
      <w:bodyDiv w:val="1"/>
      <w:marLeft w:val="0"/>
      <w:marRight w:val="0"/>
      <w:marTop w:val="0"/>
      <w:marBottom w:val="0"/>
      <w:divBdr>
        <w:top w:val="none" w:sz="0" w:space="0" w:color="auto"/>
        <w:left w:val="none" w:sz="0" w:space="0" w:color="auto"/>
        <w:bottom w:val="none" w:sz="0" w:space="0" w:color="auto"/>
        <w:right w:val="none" w:sz="0" w:space="0" w:color="auto"/>
      </w:divBdr>
    </w:div>
    <w:div w:id="1916934903">
      <w:bodyDiv w:val="1"/>
      <w:marLeft w:val="0"/>
      <w:marRight w:val="0"/>
      <w:marTop w:val="0"/>
      <w:marBottom w:val="0"/>
      <w:divBdr>
        <w:top w:val="none" w:sz="0" w:space="0" w:color="auto"/>
        <w:left w:val="none" w:sz="0" w:space="0" w:color="auto"/>
        <w:bottom w:val="none" w:sz="0" w:space="0" w:color="auto"/>
        <w:right w:val="none" w:sz="0" w:space="0" w:color="auto"/>
      </w:divBdr>
    </w:div>
    <w:div w:id="1917015410">
      <w:bodyDiv w:val="1"/>
      <w:marLeft w:val="0"/>
      <w:marRight w:val="0"/>
      <w:marTop w:val="0"/>
      <w:marBottom w:val="0"/>
      <w:divBdr>
        <w:top w:val="none" w:sz="0" w:space="0" w:color="auto"/>
        <w:left w:val="none" w:sz="0" w:space="0" w:color="auto"/>
        <w:bottom w:val="none" w:sz="0" w:space="0" w:color="auto"/>
        <w:right w:val="none" w:sz="0" w:space="0" w:color="auto"/>
      </w:divBdr>
    </w:div>
    <w:div w:id="1917127414">
      <w:bodyDiv w:val="1"/>
      <w:marLeft w:val="0"/>
      <w:marRight w:val="0"/>
      <w:marTop w:val="0"/>
      <w:marBottom w:val="0"/>
      <w:divBdr>
        <w:top w:val="none" w:sz="0" w:space="0" w:color="auto"/>
        <w:left w:val="none" w:sz="0" w:space="0" w:color="auto"/>
        <w:bottom w:val="none" w:sz="0" w:space="0" w:color="auto"/>
        <w:right w:val="none" w:sz="0" w:space="0" w:color="auto"/>
      </w:divBdr>
    </w:div>
    <w:div w:id="1917209252">
      <w:bodyDiv w:val="1"/>
      <w:marLeft w:val="0"/>
      <w:marRight w:val="0"/>
      <w:marTop w:val="0"/>
      <w:marBottom w:val="0"/>
      <w:divBdr>
        <w:top w:val="none" w:sz="0" w:space="0" w:color="auto"/>
        <w:left w:val="none" w:sz="0" w:space="0" w:color="auto"/>
        <w:bottom w:val="none" w:sz="0" w:space="0" w:color="auto"/>
        <w:right w:val="none" w:sz="0" w:space="0" w:color="auto"/>
      </w:divBdr>
    </w:div>
    <w:div w:id="1917746090">
      <w:bodyDiv w:val="1"/>
      <w:marLeft w:val="0"/>
      <w:marRight w:val="0"/>
      <w:marTop w:val="0"/>
      <w:marBottom w:val="0"/>
      <w:divBdr>
        <w:top w:val="none" w:sz="0" w:space="0" w:color="auto"/>
        <w:left w:val="none" w:sz="0" w:space="0" w:color="auto"/>
        <w:bottom w:val="none" w:sz="0" w:space="0" w:color="auto"/>
        <w:right w:val="none" w:sz="0" w:space="0" w:color="auto"/>
      </w:divBdr>
    </w:div>
    <w:div w:id="1917788083">
      <w:bodyDiv w:val="1"/>
      <w:marLeft w:val="0"/>
      <w:marRight w:val="0"/>
      <w:marTop w:val="0"/>
      <w:marBottom w:val="0"/>
      <w:divBdr>
        <w:top w:val="none" w:sz="0" w:space="0" w:color="auto"/>
        <w:left w:val="none" w:sz="0" w:space="0" w:color="auto"/>
        <w:bottom w:val="none" w:sz="0" w:space="0" w:color="auto"/>
        <w:right w:val="none" w:sz="0" w:space="0" w:color="auto"/>
      </w:divBdr>
    </w:div>
    <w:div w:id="1917938115">
      <w:bodyDiv w:val="1"/>
      <w:marLeft w:val="0"/>
      <w:marRight w:val="0"/>
      <w:marTop w:val="0"/>
      <w:marBottom w:val="0"/>
      <w:divBdr>
        <w:top w:val="none" w:sz="0" w:space="0" w:color="auto"/>
        <w:left w:val="none" w:sz="0" w:space="0" w:color="auto"/>
        <w:bottom w:val="none" w:sz="0" w:space="0" w:color="auto"/>
        <w:right w:val="none" w:sz="0" w:space="0" w:color="auto"/>
      </w:divBdr>
    </w:div>
    <w:div w:id="1918175613">
      <w:bodyDiv w:val="1"/>
      <w:marLeft w:val="0"/>
      <w:marRight w:val="0"/>
      <w:marTop w:val="0"/>
      <w:marBottom w:val="0"/>
      <w:divBdr>
        <w:top w:val="none" w:sz="0" w:space="0" w:color="auto"/>
        <w:left w:val="none" w:sz="0" w:space="0" w:color="auto"/>
        <w:bottom w:val="none" w:sz="0" w:space="0" w:color="auto"/>
        <w:right w:val="none" w:sz="0" w:space="0" w:color="auto"/>
      </w:divBdr>
    </w:div>
    <w:div w:id="1918661009">
      <w:bodyDiv w:val="1"/>
      <w:marLeft w:val="0"/>
      <w:marRight w:val="0"/>
      <w:marTop w:val="0"/>
      <w:marBottom w:val="0"/>
      <w:divBdr>
        <w:top w:val="none" w:sz="0" w:space="0" w:color="auto"/>
        <w:left w:val="none" w:sz="0" w:space="0" w:color="auto"/>
        <w:bottom w:val="none" w:sz="0" w:space="0" w:color="auto"/>
        <w:right w:val="none" w:sz="0" w:space="0" w:color="auto"/>
      </w:divBdr>
    </w:div>
    <w:div w:id="1918781964">
      <w:bodyDiv w:val="1"/>
      <w:marLeft w:val="0"/>
      <w:marRight w:val="0"/>
      <w:marTop w:val="0"/>
      <w:marBottom w:val="0"/>
      <w:divBdr>
        <w:top w:val="none" w:sz="0" w:space="0" w:color="auto"/>
        <w:left w:val="none" w:sz="0" w:space="0" w:color="auto"/>
        <w:bottom w:val="none" w:sz="0" w:space="0" w:color="auto"/>
        <w:right w:val="none" w:sz="0" w:space="0" w:color="auto"/>
      </w:divBdr>
    </w:div>
    <w:div w:id="1918900722">
      <w:bodyDiv w:val="1"/>
      <w:marLeft w:val="0"/>
      <w:marRight w:val="0"/>
      <w:marTop w:val="0"/>
      <w:marBottom w:val="0"/>
      <w:divBdr>
        <w:top w:val="none" w:sz="0" w:space="0" w:color="auto"/>
        <w:left w:val="none" w:sz="0" w:space="0" w:color="auto"/>
        <w:bottom w:val="none" w:sz="0" w:space="0" w:color="auto"/>
        <w:right w:val="none" w:sz="0" w:space="0" w:color="auto"/>
      </w:divBdr>
    </w:div>
    <w:div w:id="1919090751">
      <w:bodyDiv w:val="1"/>
      <w:marLeft w:val="0"/>
      <w:marRight w:val="0"/>
      <w:marTop w:val="0"/>
      <w:marBottom w:val="0"/>
      <w:divBdr>
        <w:top w:val="none" w:sz="0" w:space="0" w:color="auto"/>
        <w:left w:val="none" w:sz="0" w:space="0" w:color="auto"/>
        <w:bottom w:val="none" w:sz="0" w:space="0" w:color="auto"/>
        <w:right w:val="none" w:sz="0" w:space="0" w:color="auto"/>
      </w:divBdr>
    </w:div>
    <w:div w:id="1919245850">
      <w:bodyDiv w:val="1"/>
      <w:marLeft w:val="0"/>
      <w:marRight w:val="0"/>
      <w:marTop w:val="0"/>
      <w:marBottom w:val="0"/>
      <w:divBdr>
        <w:top w:val="none" w:sz="0" w:space="0" w:color="auto"/>
        <w:left w:val="none" w:sz="0" w:space="0" w:color="auto"/>
        <w:bottom w:val="none" w:sz="0" w:space="0" w:color="auto"/>
        <w:right w:val="none" w:sz="0" w:space="0" w:color="auto"/>
      </w:divBdr>
    </w:div>
    <w:div w:id="1919636813">
      <w:bodyDiv w:val="1"/>
      <w:marLeft w:val="0"/>
      <w:marRight w:val="0"/>
      <w:marTop w:val="0"/>
      <w:marBottom w:val="0"/>
      <w:divBdr>
        <w:top w:val="none" w:sz="0" w:space="0" w:color="auto"/>
        <w:left w:val="none" w:sz="0" w:space="0" w:color="auto"/>
        <w:bottom w:val="none" w:sz="0" w:space="0" w:color="auto"/>
        <w:right w:val="none" w:sz="0" w:space="0" w:color="auto"/>
      </w:divBdr>
    </w:div>
    <w:div w:id="1919828412">
      <w:bodyDiv w:val="1"/>
      <w:marLeft w:val="0"/>
      <w:marRight w:val="0"/>
      <w:marTop w:val="0"/>
      <w:marBottom w:val="0"/>
      <w:divBdr>
        <w:top w:val="none" w:sz="0" w:space="0" w:color="auto"/>
        <w:left w:val="none" w:sz="0" w:space="0" w:color="auto"/>
        <w:bottom w:val="none" w:sz="0" w:space="0" w:color="auto"/>
        <w:right w:val="none" w:sz="0" w:space="0" w:color="auto"/>
      </w:divBdr>
    </w:div>
    <w:div w:id="1919896610">
      <w:bodyDiv w:val="1"/>
      <w:marLeft w:val="0"/>
      <w:marRight w:val="0"/>
      <w:marTop w:val="0"/>
      <w:marBottom w:val="0"/>
      <w:divBdr>
        <w:top w:val="none" w:sz="0" w:space="0" w:color="auto"/>
        <w:left w:val="none" w:sz="0" w:space="0" w:color="auto"/>
        <w:bottom w:val="none" w:sz="0" w:space="0" w:color="auto"/>
        <w:right w:val="none" w:sz="0" w:space="0" w:color="auto"/>
      </w:divBdr>
    </w:div>
    <w:div w:id="1919897758">
      <w:bodyDiv w:val="1"/>
      <w:marLeft w:val="0"/>
      <w:marRight w:val="0"/>
      <w:marTop w:val="0"/>
      <w:marBottom w:val="0"/>
      <w:divBdr>
        <w:top w:val="none" w:sz="0" w:space="0" w:color="auto"/>
        <w:left w:val="none" w:sz="0" w:space="0" w:color="auto"/>
        <w:bottom w:val="none" w:sz="0" w:space="0" w:color="auto"/>
        <w:right w:val="none" w:sz="0" w:space="0" w:color="auto"/>
      </w:divBdr>
    </w:div>
    <w:div w:id="1920164930">
      <w:bodyDiv w:val="1"/>
      <w:marLeft w:val="0"/>
      <w:marRight w:val="0"/>
      <w:marTop w:val="0"/>
      <w:marBottom w:val="0"/>
      <w:divBdr>
        <w:top w:val="none" w:sz="0" w:space="0" w:color="auto"/>
        <w:left w:val="none" w:sz="0" w:space="0" w:color="auto"/>
        <w:bottom w:val="none" w:sz="0" w:space="0" w:color="auto"/>
        <w:right w:val="none" w:sz="0" w:space="0" w:color="auto"/>
      </w:divBdr>
    </w:div>
    <w:div w:id="1920291169">
      <w:bodyDiv w:val="1"/>
      <w:marLeft w:val="0"/>
      <w:marRight w:val="0"/>
      <w:marTop w:val="0"/>
      <w:marBottom w:val="0"/>
      <w:divBdr>
        <w:top w:val="none" w:sz="0" w:space="0" w:color="auto"/>
        <w:left w:val="none" w:sz="0" w:space="0" w:color="auto"/>
        <w:bottom w:val="none" w:sz="0" w:space="0" w:color="auto"/>
        <w:right w:val="none" w:sz="0" w:space="0" w:color="auto"/>
      </w:divBdr>
    </w:div>
    <w:div w:id="1920405544">
      <w:bodyDiv w:val="1"/>
      <w:marLeft w:val="0"/>
      <w:marRight w:val="0"/>
      <w:marTop w:val="0"/>
      <w:marBottom w:val="0"/>
      <w:divBdr>
        <w:top w:val="none" w:sz="0" w:space="0" w:color="auto"/>
        <w:left w:val="none" w:sz="0" w:space="0" w:color="auto"/>
        <w:bottom w:val="none" w:sz="0" w:space="0" w:color="auto"/>
        <w:right w:val="none" w:sz="0" w:space="0" w:color="auto"/>
      </w:divBdr>
    </w:div>
    <w:div w:id="1921332952">
      <w:bodyDiv w:val="1"/>
      <w:marLeft w:val="0"/>
      <w:marRight w:val="0"/>
      <w:marTop w:val="0"/>
      <w:marBottom w:val="0"/>
      <w:divBdr>
        <w:top w:val="none" w:sz="0" w:space="0" w:color="auto"/>
        <w:left w:val="none" w:sz="0" w:space="0" w:color="auto"/>
        <w:bottom w:val="none" w:sz="0" w:space="0" w:color="auto"/>
        <w:right w:val="none" w:sz="0" w:space="0" w:color="auto"/>
      </w:divBdr>
    </w:div>
    <w:div w:id="1921601409">
      <w:bodyDiv w:val="1"/>
      <w:marLeft w:val="0"/>
      <w:marRight w:val="0"/>
      <w:marTop w:val="0"/>
      <w:marBottom w:val="0"/>
      <w:divBdr>
        <w:top w:val="none" w:sz="0" w:space="0" w:color="auto"/>
        <w:left w:val="none" w:sz="0" w:space="0" w:color="auto"/>
        <w:bottom w:val="none" w:sz="0" w:space="0" w:color="auto"/>
        <w:right w:val="none" w:sz="0" w:space="0" w:color="auto"/>
      </w:divBdr>
    </w:div>
    <w:div w:id="1921983594">
      <w:bodyDiv w:val="1"/>
      <w:marLeft w:val="0"/>
      <w:marRight w:val="0"/>
      <w:marTop w:val="0"/>
      <w:marBottom w:val="0"/>
      <w:divBdr>
        <w:top w:val="none" w:sz="0" w:space="0" w:color="auto"/>
        <w:left w:val="none" w:sz="0" w:space="0" w:color="auto"/>
        <w:bottom w:val="none" w:sz="0" w:space="0" w:color="auto"/>
        <w:right w:val="none" w:sz="0" w:space="0" w:color="auto"/>
      </w:divBdr>
    </w:div>
    <w:div w:id="1922250139">
      <w:bodyDiv w:val="1"/>
      <w:marLeft w:val="0"/>
      <w:marRight w:val="0"/>
      <w:marTop w:val="0"/>
      <w:marBottom w:val="0"/>
      <w:divBdr>
        <w:top w:val="none" w:sz="0" w:space="0" w:color="auto"/>
        <w:left w:val="none" w:sz="0" w:space="0" w:color="auto"/>
        <w:bottom w:val="none" w:sz="0" w:space="0" w:color="auto"/>
        <w:right w:val="none" w:sz="0" w:space="0" w:color="auto"/>
      </w:divBdr>
    </w:div>
    <w:div w:id="1922256454">
      <w:bodyDiv w:val="1"/>
      <w:marLeft w:val="0"/>
      <w:marRight w:val="0"/>
      <w:marTop w:val="0"/>
      <w:marBottom w:val="0"/>
      <w:divBdr>
        <w:top w:val="none" w:sz="0" w:space="0" w:color="auto"/>
        <w:left w:val="none" w:sz="0" w:space="0" w:color="auto"/>
        <w:bottom w:val="none" w:sz="0" w:space="0" w:color="auto"/>
        <w:right w:val="none" w:sz="0" w:space="0" w:color="auto"/>
      </w:divBdr>
    </w:div>
    <w:div w:id="1922449379">
      <w:bodyDiv w:val="1"/>
      <w:marLeft w:val="0"/>
      <w:marRight w:val="0"/>
      <w:marTop w:val="0"/>
      <w:marBottom w:val="0"/>
      <w:divBdr>
        <w:top w:val="none" w:sz="0" w:space="0" w:color="auto"/>
        <w:left w:val="none" w:sz="0" w:space="0" w:color="auto"/>
        <w:bottom w:val="none" w:sz="0" w:space="0" w:color="auto"/>
        <w:right w:val="none" w:sz="0" w:space="0" w:color="auto"/>
      </w:divBdr>
    </w:div>
    <w:div w:id="1922565368">
      <w:bodyDiv w:val="1"/>
      <w:marLeft w:val="0"/>
      <w:marRight w:val="0"/>
      <w:marTop w:val="0"/>
      <w:marBottom w:val="0"/>
      <w:divBdr>
        <w:top w:val="none" w:sz="0" w:space="0" w:color="auto"/>
        <w:left w:val="none" w:sz="0" w:space="0" w:color="auto"/>
        <w:bottom w:val="none" w:sz="0" w:space="0" w:color="auto"/>
        <w:right w:val="none" w:sz="0" w:space="0" w:color="auto"/>
      </w:divBdr>
    </w:div>
    <w:div w:id="1923029270">
      <w:bodyDiv w:val="1"/>
      <w:marLeft w:val="0"/>
      <w:marRight w:val="0"/>
      <w:marTop w:val="0"/>
      <w:marBottom w:val="0"/>
      <w:divBdr>
        <w:top w:val="none" w:sz="0" w:space="0" w:color="auto"/>
        <w:left w:val="none" w:sz="0" w:space="0" w:color="auto"/>
        <w:bottom w:val="none" w:sz="0" w:space="0" w:color="auto"/>
        <w:right w:val="none" w:sz="0" w:space="0" w:color="auto"/>
      </w:divBdr>
    </w:div>
    <w:div w:id="1923098863">
      <w:bodyDiv w:val="1"/>
      <w:marLeft w:val="0"/>
      <w:marRight w:val="0"/>
      <w:marTop w:val="0"/>
      <w:marBottom w:val="0"/>
      <w:divBdr>
        <w:top w:val="none" w:sz="0" w:space="0" w:color="auto"/>
        <w:left w:val="none" w:sz="0" w:space="0" w:color="auto"/>
        <w:bottom w:val="none" w:sz="0" w:space="0" w:color="auto"/>
        <w:right w:val="none" w:sz="0" w:space="0" w:color="auto"/>
      </w:divBdr>
    </w:div>
    <w:div w:id="1923177031">
      <w:bodyDiv w:val="1"/>
      <w:marLeft w:val="0"/>
      <w:marRight w:val="0"/>
      <w:marTop w:val="0"/>
      <w:marBottom w:val="0"/>
      <w:divBdr>
        <w:top w:val="none" w:sz="0" w:space="0" w:color="auto"/>
        <w:left w:val="none" w:sz="0" w:space="0" w:color="auto"/>
        <w:bottom w:val="none" w:sz="0" w:space="0" w:color="auto"/>
        <w:right w:val="none" w:sz="0" w:space="0" w:color="auto"/>
      </w:divBdr>
    </w:div>
    <w:div w:id="1923180561">
      <w:bodyDiv w:val="1"/>
      <w:marLeft w:val="0"/>
      <w:marRight w:val="0"/>
      <w:marTop w:val="0"/>
      <w:marBottom w:val="0"/>
      <w:divBdr>
        <w:top w:val="none" w:sz="0" w:space="0" w:color="auto"/>
        <w:left w:val="none" w:sz="0" w:space="0" w:color="auto"/>
        <w:bottom w:val="none" w:sz="0" w:space="0" w:color="auto"/>
        <w:right w:val="none" w:sz="0" w:space="0" w:color="auto"/>
      </w:divBdr>
    </w:div>
    <w:div w:id="1923372568">
      <w:bodyDiv w:val="1"/>
      <w:marLeft w:val="0"/>
      <w:marRight w:val="0"/>
      <w:marTop w:val="0"/>
      <w:marBottom w:val="0"/>
      <w:divBdr>
        <w:top w:val="none" w:sz="0" w:space="0" w:color="auto"/>
        <w:left w:val="none" w:sz="0" w:space="0" w:color="auto"/>
        <w:bottom w:val="none" w:sz="0" w:space="0" w:color="auto"/>
        <w:right w:val="none" w:sz="0" w:space="0" w:color="auto"/>
      </w:divBdr>
    </w:div>
    <w:div w:id="1923442518">
      <w:bodyDiv w:val="1"/>
      <w:marLeft w:val="0"/>
      <w:marRight w:val="0"/>
      <w:marTop w:val="0"/>
      <w:marBottom w:val="0"/>
      <w:divBdr>
        <w:top w:val="none" w:sz="0" w:space="0" w:color="auto"/>
        <w:left w:val="none" w:sz="0" w:space="0" w:color="auto"/>
        <w:bottom w:val="none" w:sz="0" w:space="0" w:color="auto"/>
        <w:right w:val="none" w:sz="0" w:space="0" w:color="auto"/>
      </w:divBdr>
    </w:div>
    <w:div w:id="1923446623">
      <w:bodyDiv w:val="1"/>
      <w:marLeft w:val="0"/>
      <w:marRight w:val="0"/>
      <w:marTop w:val="0"/>
      <w:marBottom w:val="0"/>
      <w:divBdr>
        <w:top w:val="none" w:sz="0" w:space="0" w:color="auto"/>
        <w:left w:val="none" w:sz="0" w:space="0" w:color="auto"/>
        <w:bottom w:val="none" w:sz="0" w:space="0" w:color="auto"/>
        <w:right w:val="none" w:sz="0" w:space="0" w:color="auto"/>
      </w:divBdr>
    </w:div>
    <w:div w:id="1923678643">
      <w:bodyDiv w:val="1"/>
      <w:marLeft w:val="0"/>
      <w:marRight w:val="0"/>
      <w:marTop w:val="0"/>
      <w:marBottom w:val="0"/>
      <w:divBdr>
        <w:top w:val="none" w:sz="0" w:space="0" w:color="auto"/>
        <w:left w:val="none" w:sz="0" w:space="0" w:color="auto"/>
        <w:bottom w:val="none" w:sz="0" w:space="0" w:color="auto"/>
        <w:right w:val="none" w:sz="0" w:space="0" w:color="auto"/>
      </w:divBdr>
    </w:div>
    <w:div w:id="1923680207">
      <w:bodyDiv w:val="1"/>
      <w:marLeft w:val="0"/>
      <w:marRight w:val="0"/>
      <w:marTop w:val="0"/>
      <w:marBottom w:val="0"/>
      <w:divBdr>
        <w:top w:val="none" w:sz="0" w:space="0" w:color="auto"/>
        <w:left w:val="none" w:sz="0" w:space="0" w:color="auto"/>
        <w:bottom w:val="none" w:sz="0" w:space="0" w:color="auto"/>
        <w:right w:val="none" w:sz="0" w:space="0" w:color="auto"/>
      </w:divBdr>
    </w:div>
    <w:div w:id="1923947504">
      <w:bodyDiv w:val="1"/>
      <w:marLeft w:val="0"/>
      <w:marRight w:val="0"/>
      <w:marTop w:val="0"/>
      <w:marBottom w:val="0"/>
      <w:divBdr>
        <w:top w:val="none" w:sz="0" w:space="0" w:color="auto"/>
        <w:left w:val="none" w:sz="0" w:space="0" w:color="auto"/>
        <w:bottom w:val="none" w:sz="0" w:space="0" w:color="auto"/>
        <w:right w:val="none" w:sz="0" w:space="0" w:color="auto"/>
      </w:divBdr>
    </w:div>
    <w:div w:id="1924103912">
      <w:bodyDiv w:val="1"/>
      <w:marLeft w:val="0"/>
      <w:marRight w:val="0"/>
      <w:marTop w:val="0"/>
      <w:marBottom w:val="0"/>
      <w:divBdr>
        <w:top w:val="none" w:sz="0" w:space="0" w:color="auto"/>
        <w:left w:val="none" w:sz="0" w:space="0" w:color="auto"/>
        <w:bottom w:val="none" w:sz="0" w:space="0" w:color="auto"/>
        <w:right w:val="none" w:sz="0" w:space="0" w:color="auto"/>
      </w:divBdr>
    </w:div>
    <w:div w:id="1924292046">
      <w:bodyDiv w:val="1"/>
      <w:marLeft w:val="0"/>
      <w:marRight w:val="0"/>
      <w:marTop w:val="0"/>
      <w:marBottom w:val="0"/>
      <w:divBdr>
        <w:top w:val="none" w:sz="0" w:space="0" w:color="auto"/>
        <w:left w:val="none" w:sz="0" w:space="0" w:color="auto"/>
        <w:bottom w:val="none" w:sz="0" w:space="0" w:color="auto"/>
        <w:right w:val="none" w:sz="0" w:space="0" w:color="auto"/>
      </w:divBdr>
    </w:div>
    <w:div w:id="1924337467">
      <w:bodyDiv w:val="1"/>
      <w:marLeft w:val="0"/>
      <w:marRight w:val="0"/>
      <w:marTop w:val="0"/>
      <w:marBottom w:val="0"/>
      <w:divBdr>
        <w:top w:val="none" w:sz="0" w:space="0" w:color="auto"/>
        <w:left w:val="none" w:sz="0" w:space="0" w:color="auto"/>
        <w:bottom w:val="none" w:sz="0" w:space="0" w:color="auto"/>
        <w:right w:val="none" w:sz="0" w:space="0" w:color="auto"/>
      </w:divBdr>
    </w:div>
    <w:div w:id="1924488815">
      <w:bodyDiv w:val="1"/>
      <w:marLeft w:val="0"/>
      <w:marRight w:val="0"/>
      <w:marTop w:val="0"/>
      <w:marBottom w:val="0"/>
      <w:divBdr>
        <w:top w:val="none" w:sz="0" w:space="0" w:color="auto"/>
        <w:left w:val="none" w:sz="0" w:space="0" w:color="auto"/>
        <w:bottom w:val="none" w:sz="0" w:space="0" w:color="auto"/>
        <w:right w:val="none" w:sz="0" w:space="0" w:color="auto"/>
      </w:divBdr>
    </w:div>
    <w:div w:id="1924492133">
      <w:bodyDiv w:val="1"/>
      <w:marLeft w:val="0"/>
      <w:marRight w:val="0"/>
      <w:marTop w:val="0"/>
      <w:marBottom w:val="0"/>
      <w:divBdr>
        <w:top w:val="none" w:sz="0" w:space="0" w:color="auto"/>
        <w:left w:val="none" w:sz="0" w:space="0" w:color="auto"/>
        <w:bottom w:val="none" w:sz="0" w:space="0" w:color="auto"/>
        <w:right w:val="none" w:sz="0" w:space="0" w:color="auto"/>
      </w:divBdr>
    </w:div>
    <w:div w:id="1924492249">
      <w:bodyDiv w:val="1"/>
      <w:marLeft w:val="0"/>
      <w:marRight w:val="0"/>
      <w:marTop w:val="0"/>
      <w:marBottom w:val="0"/>
      <w:divBdr>
        <w:top w:val="none" w:sz="0" w:space="0" w:color="auto"/>
        <w:left w:val="none" w:sz="0" w:space="0" w:color="auto"/>
        <w:bottom w:val="none" w:sz="0" w:space="0" w:color="auto"/>
        <w:right w:val="none" w:sz="0" w:space="0" w:color="auto"/>
      </w:divBdr>
    </w:div>
    <w:div w:id="1924531547">
      <w:bodyDiv w:val="1"/>
      <w:marLeft w:val="0"/>
      <w:marRight w:val="0"/>
      <w:marTop w:val="0"/>
      <w:marBottom w:val="0"/>
      <w:divBdr>
        <w:top w:val="none" w:sz="0" w:space="0" w:color="auto"/>
        <w:left w:val="none" w:sz="0" w:space="0" w:color="auto"/>
        <w:bottom w:val="none" w:sz="0" w:space="0" w:color="auto"/>
        <w:right w:val="none" w:sz="0" w:space="0" w:color="auto"/>
      </w:divBdr>
    </w:div>
    <w:div w:id="1924877309">
      <w:bodyDiv w:val="1"/>
      <w:marLeft w:val="0"/>
      <w:marRight w:val="0"/>
      <w:marTop w:val="0"/>
      <w:marBottom w:val="0"/>
      <w:divBdr>
        <w:top w:val="none" w:sz="0" w:space="0" w:color="auto"/>
        <w:left w:val="none" w:sz="0" w:space="0" w:color="auto"/>
        <w:bottom w:val="none" w:sz="0" w:space="0" w:color="auto"/>
        <w:right w:val="none" w:sz="0" w:space="0" w:color="auto"/>
      </w:divBdr>
    </w:div>
    <w:div w:id="1925021671">
      <w:bodyDiv w:val="1"/>
      <w:marLeft w:val="0"/>
      <w:marRight w:val="0"/>
      <w:marTop w:val="0"/>
      <w:marBottom w:val="0"/>
      <w:divBdr>
        <w:top w:val="none" w:sz="0" w:space="0" w:color="auto"/>
        <w:left w:val="none" w:sz="0" w:space="0" w:color="auto"/>
        <w:bottom w:val="none" w:sz="0" w:space="0" w:color="auto"/>
        <w:right w:val="none" w:sz="0" w:space="0" w:color="auto"/>
      </w:divBdr>
    </w:div>
    <w:div w:id="1925609511">
      <w:bodyDiv w:val="1"/>
      <w:marLeft w:val="0"/>
      <w:marRight w:val="0"/>
      <w:marTop w:val="0"/>
      <w:marBottom w:val="0"/>
      <w:divBdr>
        <w:top w:val="none" w:sz="0" w:space="0" w:color="auto"/>
        <w:left w:val="none" w:sz="0" w:space="0" w:color="auto"/>
        <w:bottom w:val="none" w:sz="0" w:space="0" w:color="auto"/>
        <w:right w:val="none" w:sz="0" w:space="0" w:color="auto"/>
      </w:divBdr>
    </w:div>
    <w:div w:id="1925646926">
      <w:bodyDiv w:val="1"/>
      <w:marLeft w:val="0"/>
      <w:marRight w:val="0"/>
      <w:marTop w:val="0"/>
      <w:marBottom w:val="0"/>
      <w:divBdr>
        <w:top w:val="none" w:sz="0" w:space="0" w:color="auto"/>
        <w:left w:val="none" w:sz="0" w:space="0" w:color="auto"/>
        <w:bottom w:val="none" w:sz="0" w:space="0" w:color="auto"/>
        <w:right w:val="none" w:sz="0" w:space="0" w:color="auto"/>
      </w:divBdr>
    </w:div>
    <w:div w:id="1925914633">
      <w:bodyDiv w:val="1"/>
      <w:marLeft w:val="0"/>
      <w:marRight w:val="0"/>
      <w:marTop w:val="0"/>
      <w:marBottom w:val="0"/>
      <w:divBdr>
        <w:top w:val="none" w:sz="0" w:space="0" w:color="auto"/>
        <w:left w:val="none" w:sz="0" w:space="0" w:color="auto"/>
        <w:bottom w:val="none" w:sz="0" w:space="0" w:color="auto"/>
        <w:right w:val="none" w:sz="0" w:space="0" w:color="auto"/>
      </w:divBdr>
    </w:div>
    <w:div w:id="1925918989">
      <w:bodyDiv w:val="1"/>
      <w:marLeft w:val="0"/>
      <w:marRight w:val="0"/>
      <w:marTop w:val="0"/>
      <w:marBottom w:val="0"/>
      <w:divBdr>
        <w:top w:val="none" w:sz="0" w:space="0" w:color="auto"/>
        <w:left w:val="none" w:sz="0" w:space="0" w:color="auto"/>
        <w:bottom w:val="none" w:sz="0" w:space="0" w:color="auto"/>
        <w:right w:val="none" w:sz="0" w:space="0" w:color="auto"/>
      </w:divBdr>
    </w:div>
    <w:div w:id="1926498294">
      <w:bodyDiv w:val="1"/>
      <w:marLeft w:val="0"/>
      <w:marRight w:val="0"/>
      <w:marTop w:val="0"/>
      <w:marBottom w:val="0"/>
      <w:divBdr>
        <w:top w:val="none" w:sz="0" w:space="0" w:color="auto"/>
        <w:left w:val="none" w:sz="0" w:space="0" w:color="auto"/>
        <w:bottom w:val="none" w:sz="0" w:space="0" w:color="auto"/>
        <w:right w:val="none" w:sz="0" w:space="0" w:color="auto"/>
      </w:divBdr>
    </w:div>
    <w:div w:id="1926766120">
      <w:bodyDiv w:val="1"/>
      <w:marLeft w:val="0"/>
      <w:marRight w:val="0"/>
      <w:marTop w:val="0"/>
      <w:marBottom w:val="0"/>
      <w:divBdr>
        <w:top w:val="none" w:sz="0" w:space="0" w:color="auto"/>
        <w:left w:val="none" w:sz="0" w:space="0" w:color="auto"/>
        <w:bottom w:val="none" w:sz="0" w:space="0" w:color="auto"/>
        <w:right w:val="none" w:sz="0" w:space="0" w:color="auto"/>
      </w:divBdr>
    </w:div>
    <w:div w:id="1926956900">
      <w:bodyDiv w:val="1"/>
      <w:marLeft w:val="0"/>
      <w:marRight w:val="0"/>
      <w:marTop w:val="0"/>
      <w:marBottom w:val="0"/>
      <w:divBdr>
        <w:top w:val="none" w:sz="0" w:space="0" w:color="auto"/>
        <w:left w:val="none" w:sz="0" w:space="0" w:color="auto"/>
        <w:bottom w:val="none" w:sz="0" w:space="0" w:color="auto"/>
        <w:right w:val="none" w:sz="0" w:space="0" w:color="auto"/>
      </w:divBdr>
    </w:div>
    <w:div w:id="1927111110">
      <w:bodyDiv w:val="1"/>
      <w:marLeft w:val="0"/>
      <w:marRight w:val="0"/>
      <w:marTop w:val="0"/>
      <w:marBottom w:val="0"/>
      <w:divBdr>
        <w:top w:val="none" w:sz="0" w:space="0" w:color="auto"/>
        <w:left w:val="none" w:sz="0" w:space="0" w:color="auto"/>
        <w:bottom w:val="none" w:sz="0" w:space="0" w:color="auto"/>
        <w:right w:val="none" w:sz="0" w:space="0" w:color="auto"/>
      </w:divBdr>
    </w:div>
    <w:div w:id="1927304590">
      <w:bodyDiv w:val="1"/>
      <w:marLeft w:val="0"/>
      <w:marRight w:val="0"/>
      <w:marTop w:val="0"/>
      <w:marBottom w:val="0"/>
      <w:divBdr>
        <w:top w:val="none" w:sz="0" w:space="0" w:color="auto"/>
        <w:left w:val="none" w:sz="0" w:space="0" w:color="auto"/>
        <w:bottom w:val="none" w:sz="0" w:space="0" w:color="auto"/>
        <w:right w:val="none" w:sz="0" w:space="0" w:color="auto"/>
      </w:divBdr>
    </w:div>
    <w:div w:id="1927616270">
      <w:bodyDiv w:val="1"/>
      <w:marLeft w:val="0"/>
      <w:marRight w:val="0"/>
      <w:marTop w:val="0"/>
      <w:marBottom w:val="0"/>
      <w:divBdr>
        <w:top w:val="none" w:sz="0" w:space="0" w:color="auto"/>
        <w:left w:val="none" w:sz="0" w:space="0" w:color="auto"/>
        <w:bottom w:val="none" w:sz="0" w:space="0" w:color="auto"/>
        <w:right w:val="none" w:sz="0" w:space="0" w:color="auto"/>
      </w:divBdr>
    </w:div>
    <w:div w:id="1927953409">
      <w:bodyDiv w:val="1"/>
      <w:marLeft w:val="0"/>
      <w:marRight w:val="0"/>
      <w:marTop w:val="0"/>
      <w:marBottom w:val="0"/>
      <w:divBdr>
        <w:top w:val="none" w:sz="0" w:space="0" w:color="auto"/>
        <w:left w:val="none" w:sz="0" w:space="0" w:color="auto"/>
        <w:bottom w:val="none" w:sz="0" w:space="0" w:color="auto"/>
        <w:right w:val="none" w:sz="0" w:space="0" w:color="auto"/>
      </w:divBdr>
    </w:div>
    <w:div w:id="1928148220">
      <w:bodyDiv w:val="1"/>
      <w:marLeft w:val="0"/>
      <w:marRight w:val="0"/>
      <w:marTop w:val="0"/>
      <w:marBottom w:val="0"/>
      <w:divBdr>
        <w:top w:val="none" w:sz="0" w:space="0" w:color="auto"/>
        <w:left w:val="none" w:sz="0" w:space="0" w:color="auto"/>
        <w:bottom w:val="none" w:sz="0" w:space="0" w:color="auto"/>
        <w:right w:val="none" w:sz="0" w:space="0" w:color="auto"/>
      </w:divBdr>
    </w:div>
    <w:div w:id="1928229592">
      <w:bodyDiv w:val="1"/>
      <w:marLeft w:val="0"/>
      <w:marRight w:val="0"/>
      <w:marTop w:val="0"/>
      <w:marBottom w:val="0"/>
      <w:divBdr>
        <w:top w:val="none" w:sz="0" w:space="0" w:color="auto"/>
        <w:left w:val="none" w:sz="0" w:space="0" w:color="auto"/>
        <w:bottom w:val="none" w:sz="0" w:space="0" w:color="auto"/>
        <w:right w:val="none" w:sz="0" w:space="0" w:color="auto"/>
      </w:divBdr>
    </w:div>
    <w:div w:id="1928267793">
      <w:bodyDiv w:val="1"/>
      <w:marLeft w:val="0"/>
      <w:marRight w:val="0"/>
      <w:marTop w:val="0"/>
      <w:marBottom w:val="0"/>
      <w:divBdr>
        <w:top w:val="none" w:sz="0" w:space="0" w:color="auto"/>
        <w:left w:val="none" w:sz="0" w:space="0" w:color="auto"/>
        <w:bottom w:val="none" w:sz="0" w:space="0" w:color="auto"/>
        <w:right w:val="none" w:sz="0" w:space="0" w:color="auto"/>
      </w:divBdr>
    </w:div>
    <w:div w:id="1928269746">
      <w:bodyDiv w:val="1"/>
      <w:marLeft w:val="0"/>
      <w:marRight w:val="0"/>
      <w:marTop w:val="0"/>
      <w:marBottom w:val="0"/>
      <w:divBdr>
        <w:top w:val="none" w:sz="0" w:space="0" w:color="auto"/>
        <w:left w:val="none" w:sz="0" w:space="0" w:color="auto"/>
        <w:bottom w:val="none" w:sz="0" w:space="0" w:color="auto"/>
        <w:right w:val="none" w:sz="0" w:space="0" w:color="auto"/>
      </w:divBdr>
    </w:div>
    <w:div w:id="1928270420">
      <w:bodyDiv w:val="1"/>
      <w:marLeft w:val="0"/>
      <w:marRight w:val="0"/>
      <w:marTop w:val="0"/>
      <w:marBottom w:val="0"/>
      <w:divBdr>
        <w:top w:val="none" w:sz="0" w:space="0" w:color="auto"/>
        <w:left w:val="none" w:sz="0" w:space="0" w:color="auto"/>
        <w:bottom w:val="none" w:sz="0" w:space="0" w:color="auto"/>
        <w:right w:val="none" w:sz="0" w:space="0" w:color="auto"/>
      </w:divBdr>
    </w:div>
    <w:div w:id="1928612507">
      <w:bodyDiv w:val="1"/>
      <w:marLeft w:val="0"/>
      <w:marRight w:val="0"/>
      <w:marTop w:val="0"/>
      <w:marBottom w:val="0"/>
      <w:divBdr>
        <w:top w:val="none" w:sz="0" w:space="0" w:color="auto"/>
        <w:left w:val="none" w:sz="0" w:space="0" w:color="auto"/>
        <w:bottom w:val="none" w:sz="0" w:space="0" w:color="auto"/>
        <w:right w:val="none" w:sz="0" w:space="0" w:color="auto"/>
      </w:divBdr>
    </w:div>
    <w:div w:id="1928690058">
      <w:bodyDiv w:val="1"/>
      <w:marLeft w:val="0"/>
      <w:marRight w:val="0"/>
      <w:marTop w:val="0"/>
      <w:marBottom w:val="0"/>
      <w:divBdr>
        <w:top w:val="none" w:sz="0" w:space="0" w:color="auto"/>
        <w:left w:val="none" w:sz="0" w:space="0" w:color="auto"/>
        <w:bottom w:val="none" w:sz="0" w:space="0" w:color="auto"/>
        <w:right w:val="none" w:sz="0" w:space="0" w:color="auto"/>
      </w:divBdr>
    </w:div>
    <w:div w:id="1928730010">
      <w:bodyDiv w:val="1"/>
      <w:marLeft w:val="0"/>
      <w:marRight w:val="0"/>
      <w:marTop w:val="0"/>
      <w:marBottom w:val="0"/>
      <w:divBdr>
        <w:top w:val="none" w:sz="0" w:space="0" w:color="auto"/>
        <w:left w:val="none" w:sz="0" w:space="0" w:color="auto"/>
        <w:bottom w:val="none" w:sz="0" w:space="0" w:color="auto"/>
        <w:right w:val="none" w:sz="0" w:space="0" w:color="auto"/>
      </w:divBdr>
    </w:div>
    <w:div w:id="1928806834">
      <w:bodyDiv w:val="1"/>
      <w:marLeft w:val="0"/>
      <w:marRight w:val="0"/>
      <w:marTop w:val="0"/>
      <w:marBottom w:val="0"/>
      <w:divBdr>
        <w:top w:val="none" w:sz="0" w:space="0" w:color="auto"/>
        <w:left w:val="none" w:sz="0" w:space="0" w:color="auto"/>
        <w:bottom w:val="none" w:sz="0" w:space="0" w:color="auto"/>
        <w:right w:val="none" w:sz="0" w:space="0" w:color="auto"/>
      </w:divBdr>
    </w:div>
    <w:div w:id="1929074012">
      <w:bodyDiv w:val="1"/>
      <w:marLeft w:val="0"/>
      <w:marRight w:val="0"/>
      <w:marTop w:val="0"/>
      <w:marBottom w:val="0"/>
      <w:divBdr>
        <w:top w:val="none" w:sz="0" w:space="0" w:color="auto"/>
        <w:left w:val="none" w:sz="0" w:space="0" w:color="auto"/>
        <w:bottom w:val="none" w:sz="0" w:space="0" w:color="auto"/>
        <w:right w:val="none" w:sz="0" w:space="0" w:color="auto"/>
      </w:divBdr>
    </w:div>
    <w:div w:id="1929188986">
      <w:bodyDiv w:val="1"/>
      <w:marLeft w:val="0"/>
      <w:marRight w:val="0"/>
      <w:marTop w:val="0"/>
      <w:marBottom w:val="0"/>
      <w:divBdr>
        <w:top w:val="none" w:sz="0" w:space="0" w:color="auto"/>
        <w:left w:val="none" w:sz="0" w:space="0" w:color="auto"/>
        <w:bottom w:val="none" w:sz="0" w:space="0" w:color="auto"/>
        <w:right w:val="none" w:sz="0" w:space="0" w:color="auto"/>
      </w:divBdr>
    </w:div>
    <w:div w:id="1929266478">
      <w:bodyDiv w:val="1"/>
      <w:marLeft w:val="0"/>
      <w:marRight w:val="0"/>
      <w:marTop w:val="0"/>
      <w:marBottom w:val="0"/>
      <w:divBdr>
        <w:top w:val="none" w:sz="0" w:space="0" w:color="auto"/>
        <w:left w:val="none" w:sz="0" w:space="0" w:color="auto"/>
        <w:bottom w:val="none" w:sz="0" w:space="0" w:color="auto"/>
        <w:right w:val="none" w:sz="0" w:space="0" w:color="auto"/>
      </w:divBdr>
    </w:div>
    <w:div w:id="1929536064">
      <w:bodyDiv w:val="1"/>
      <w:marLeft w:val="0"/>
      <w:marRight w:val="0"/>
      <w:marTop w:val="0"/>
      <w:marBottom w:val="0"/>
      <w:divBdr>
        <w:top w:val="none" w:sz="0" w:space="0" w:color="auto"/>
        <w:left w:val="none" w:sz="0" w:space="0" w:color="auto"/>
        <w:bottom w:val="none" w:sz="0" w:space="0" w:color="auto"/>
        <w:right w:val="none" w:sz="0" w:space="0" w:color="auto"/>
      </w:divBdr>
    </w:div>
    <w:div w:id="1929849383">
      <w:bodyDiv w:val="1"/>
      <w:marLeft w:val="0"/>
      <w:marRight w:val="0"/>
      <w:marTop w:val="0"/>
      <w:marBottom w:val="0"/>
      <w:divBdr>
        <w:top w:val="none" w:sz="0" w:space="0" w:color="auto"/>
        <w:left w:val="none" w:sz="0" w:space="0" w:color="auto"/>
        <w:bottom w:val="none" w:sz="0" w:space="0" w:color="auto"/>
        <w:right w:val="none" w:sz="0" w:space="0" w:color="auto"/>
      </w:divBdr>
    </w:div>
    <w:div w:id="1930036338">
      <w:bodyDiv w:val="1"/>
      <w:marLeft w:val="0"/>
      <w:marRight w:val="0"/>
      <w:marTop w:val="0"/>
      <w:marBottom w:val="0"/>
      <w:divBdr>
        <w:top w:val="none" w:sz="0" w:space="0" w:color="auto"/>
        <w:left w:val="none" w:sz="0" w:space="0" w:color="auto"/>
        <w:bottom w:val="none" w:sz="0" w:space="0" w:color="auto"/>
        <w:right w:val="none" w:sz="0" w:space="0" w:color="auto"/>
      </w:divBdr>
    </w:div>
    <w:div w:id="1930115524">
      <w:bodyDiv w:val="1"/>
      <w:marLeft w:val="0"/>
      <w:marRight w:val="0"/>
      <w:marTop w:val="0"/>
      <w:marBottom w:val="0"/>
      <w:divBdr>
        <w:top w:val="none" w:sz="0" w:space="0" w:color="auto"/>
        <w:left w:val="none" w:sz="0" w:space="0" w:color="auto"/>
        <w:bottom w:val="none" w:sz="0" w:space="0" w:color="auto"/>
        <w:right w:val="none" w:sz="0" w:space="0" w:color="auto"/>
      </w:divBdr>
    </w:div>
    <w:div w:id="1930306747">
      <w:bodyDiv w:val="1"/>
      <w:marLeft w:val="0"/>
      <w:marRight w:val="0"/>
      <w:marTop w:val="0"/>
      <w:marBottom w:val="0"/>
      <w:divBdr>
        <w:top w:val="none" w:sz="0" w:space="0" w:color="auto"/>
        <w:left w:val="none" w:sz="0" w:space="0" w:color="auto"/>
        <w:bottom w:val="none" w:sz="0" w:space="0" w:color="auto"/>
        <w:right w:val="none" w:sz="0" w:space="0" w:color="auto"/>
      </w:divBdr>
    </w:div>
    <w:div w:id="1930383708">
      <w:bodyDiv w:val="1"/>
      <w:marLeft w:val="0"/>
      <w:marRight w:val="0"/>
      <w:marTop w:val="0"/>
      <w:marBottom w:val="0"/>
      <w:divBdr>
        <w:top w:val="none" w:sz="0" w:space="0" w:color="auto"/>
        <w:left w:val="none" w:sz="0" w:space="0" w:color="auto"/>
        <w:bottom w:val="none" w:sz="0" w:space="0" w:color="auto"/>
        <w:right w:val="none" w:sz="0" w:space="0" w:color="auto"/>
      </w:divBdr>
    </w:div>
    <w:div w:id="1930431187">
      <w:bodyDiv w:val="1"/>
      <w:marLeft w:val="0"/>
      <w:marRight w:val="0"/>
      <w:marTop w:val="0"/>
      <w:marBottom w:val="0"/>
      <w:divBdr>
        <w:top w:val="none" w:sz="0" w:space="0" w:color="auto"/>
        <w:left w:val="none" w:sz="0" w:space="0" w:color="auto"/>
        <w:bottom w:val="none" w:sz="0" w:space="0" w:color="auto"/>
        <w:right w:val="none" w:sz="0" w:space="0" w:color="auto"/>
      </w:divBdr>
    </w:div>
    <w:div w:id="1930501257">
      <w:bodyDiv w:val="1"/>
      <w:marLeft w:val="0"/>
      <w:marRight w:val="0"/>
      <w:marTop w:val="0"/>
      <w:marBottom w:val="0"/>
      <w:divBdr>
        <w:top w:val="none" w:sz="0" w:space="0" w:color="auto"/>
        <w:left w:val="none" w:sz="0" w:space="0" w:color="auto"/>
        <w:bottom w:val="none" w:sz="0" w:space="0" w:color="auto"/>
        <w:right w:val="none" w:sz="0" w:space="0" w:color="auto"/>
      </w:divBdr>
    </w:div>
    <w:div w:id="1930505109">
      <w:bodyDiv w:val="1"/>
      <w:marLeft w:val="0"/>
      <w:marRight w:val="0"/>
      <w:marTop w:val="0"/>
      <w:marBottom w:val="0"/>
      <w:divBdr>
        <w:top w:val="none" w:sz="0" w:space="0" w:color="auto"/>
        <w:left w:val="none" w:sz="0" w:space="0" w:color="auto"/>
        <w:bottom w:val="none" w:sz="0" w:space="0" w:color="auto"/>
        <w:right w:val="none" w:sz="0" w:space="0" w:color="auto"/>
      </w:divBdr>
    </w:div>
    <w:div w:id="1930648963">
      <w:bodyDiv w:val="1"/>
      <w:marLeft w:val="0"/>
      <w:marRight w:val="0"/>
      <w:marTop w:val="0"/>
      <w:marBottom w:val="0"/>
      <w:divBdr>
        <w:top w:val="none" w:sz="0" w:space="0" w:color="auto"/>
        <w:left w:val="none" w:sz="0" w:space="0" w:color="auto"/>
        <w:bottom w:val="none" w:sz="0" w:space="0" w:color="auto"/>
        <w:right w:val="none" w:sz="0" w:space="0" w:color="auto"/>
      </w:divBdr>
    </w:div>
    <w:div w:id="1930652851">
      <w:bodyDiv w:val="1"/>
      <w:marLeft w:val="0"/>
      <w:marRight w:val="0"/>
      <w:marTop w:val="0"/>
      <w:marBottom w:val="0"/>
      <w:divBdr>
        <w:top w:val="none" w:sz="0" w:space="0" w:color="auto"/>
        <w:left w:val="none" w:sz="0" w:space="0" w:color="auto"/>
        <w:bottom w:val="none" w:sz="0" w:space="0" w:color="auto"/>
        <w:right w:val="none" w:sz="0" w:space="0" w:color="auto"/>
      </w:divBdr>
    </w:div>
    <w:div w:id="1930697588">
      <w:bodyDiv w:val="1"/>
      <w:marLeft w:val="0"/>
      <w:marRight w:val="0"/>
      <w:marTop w:val="0"/>
      <w:marBottom w:val="0"/>
      <w:divBdr>
        <w:top w:val="none" w:sz="0" w:space="0" w:color="auto"/>
        <w:left w:val="none" w:sz="0" w:space="0" w:color="auto"/>
        <w:bottom w:val="none" w:sz="0" w:space="0" w:color="auto"/>
        <w:right w:val="none" w:sz="0" w:space="0" w:color="auto"/>
      </w:divBdr>
    </w:div>
    <w:div w:id="1930968313">
      <w:bodyDiv w:val="1"/>
      <w:marLeft w:val="0"/>
      <w:marRight w:val="0"/>
      <w:marTop w:val="0"/>
      <w:marBottom w:val="0"/>
      <w:divBdr>
        <w:top w:val="none" w:sz="0" w:space="0" w:color="auto"/>
        <w:left w:val="none" w:sz="0" w:space="0" w:color="auto"/>
        <w:bottom w:val="none" w:sz="0" w:space="0" w:color="auto"/>
        <w:right w:val="none" w:sz="0" w:space="0" w:color="auto"/>
      </w:divBdr>
    </w:div>
    <w:div w:id="1931236480">
      <w:bodyDiv w:val="1"/>
      <w:marLeft w:val="0"/>
      <w:marRight w:val="0"/>
      <w:marTop w:val="0"/>
      <w:marBottom w:val="0"/>
      <w:divBdr>
        <w:top w:val="none" w:sz="0" w:space="0" w:color="auto"/>
        <w:left w:val="none" w:sz="0" w:space="0" w:color="auto"/>
        <w:bottom w:val="none" w:sz="0" w:space="0" w:color="auto"/>
        <w:right w:val="none" w:sz="0" w:space="0" w:color="auto"/>
      </w:divBdr>
    </w:div>
    <w:div w:id="1931424295">
      <w:bodyDiv w:val="1"/>
      <w:marLeft w:val="0"/>
      <w:marRight w:val="0"/>
      <w:marTop w:val="0"/>
      <w:marBottom w:val="0"/>
      <w:divBdr>
        <w:top w:val="none" w:sz="0" w:space="0" w:color="auto"/>
        <w:left w:val="none" w:sz="0" w:space="0" w:color="auto"/>
        <w:bottom w:val="none" w:sz="0" w:space="0" w:color="auto"/>
        <w:right w:val="none" w:sz="0" w:space="0" w:color="auto"/>
      </w:divBdr>
    </w:div>
    <w:div w:id="1931618051">
      <w:bodyDiv w:val="1"/>
      <w:marLeft w:val="0"/>
      <w:marRight w:val="0"/>
      <w:marTop w:val="0"/>
      <w:marBottom w:val="0"/>
      <w:divBdr>
        <w:top w:val="none" w:sz="0" w:space="0" w:color="auto"/>
        <w:left w:val="none" w:sz="0" w:space="0" w:color="auto"/>
        <w:bottom w:val="none" w:sz="0" w:space="0" w:color="auto"/>
        <w:right w:val="none" w:sz="0" w:space="0" w:color="auto"/>
      </w:divBdr>
    </w:div>
    <w:div w:id="1931622211">
      <w:bodyDiv w:val="1"/>
      <w:marLeft w:val="0"/>
      <w:marRight w:val="0"/>
      <w:marTop w:val="0"/>
      <w:marBottom w:val="0"/>
      <w:divBdr>
        <w:top w:val="none" w:sz="0" w:space="0" w:color="auto"/>
        <w:left w:val="none" w:sz="0" w:space="0" w:color="auto"/>
        <w:bottom w:val="none" w:sz="0" w:space="0" w:color="auto"/>
        <w:right w:val="none" w:sz="0" w:space="0" w:color="auto"/>
      </w:divBdr>
    </w:div>
    <w:div w:id="1931624757">
      <w:bodyDiv w:val="1"/>
      <w:marLeft w:val="0"/>
      <w:marRight w:val="0"/>
      <w:marTop w:val="0"/>
      <w:marBottom w:val="0"/>
      <w:divBdr>
        <w:top w:val="none" w:sz="0" w:space="0" w:color="auto"/>
        <w:left w:val="none" w:sz="0" w:space="0" w:color="auto"/>
        <w:bottom w:val="none" w:sz="0" w:space="0" w:color="auto"/>
        <w:right w:val="none" w:sz="0" w:space="0" w:color="auto"/>
      </w:divBdr>
    </w:div>
    <w:div w:id="1932199051">
      <w:bodyDiv w:val="1"/>
      <w:marLeft w:val="0"/>
      <w:marRight w:val="0"/>
      <w:marTop w:val="0"/>
      <w:marBottom w:val="0"/>
      <w:divBdr>
        <w:top w:val="none" w:sz="0" w:space="0" w:color="auto"/>
        <w:left w:val="none" w:sz="0" w:space="0" w:color="auto"/>
        <w:bottom w:val="none" w:sz="0" w:space="0" w:color="auto"/>
        <w:right w:val="none" w:sz="0" w:space="0" w:color="auto"/>
      </w:divBdr>
    </w:div>
    <w:div w:id="1932277566">
      <w:bodyDiv w:val="1"/>
      <w:marLeft w:val="0"/>
      <w:marRight w:val="0"/>
      <w:marTop w:val="0"/>
      <w:marBottom w:val="0"/>
      <w:divBdr>
        <w:top w:val="none" w:sz="0" w:space="0" w:color="auto"/>
        <w:left w:val="none" w:sz="0" w:space="0" w:color="auto"/>
        <w:bottom w:val="none" w:sz="0" w:space="0" w:color="auto"/>
        <w:right w:val="none" w:sz="0" w:space="0" w:color="auto"/>
      </w:divBdr>
    </w:div>
    <w:div w:id="1932280004">
      <w:bodyDiv w:val="1"/>
      <w:marLeft w:val="0"/>
      <w:marRight w:val="0"/>
      <w:marTop w:val="0"/>
      <w:marBottom w:val="0"/>
      <w:divBdr>
        <w:top w:val="none" w:sz="0" w:space="0" w:color="auto"/>
        <w:left w:val="none" w:sz="0" w:space="0" w:color="auto"/>
        <w:bottom w:val="none" w:sz="0" w:space="0" w:color="auto"/>
        <w:right w:val="none" w:sz="0" w:space="0" w:color="auto"/>
      </w:divBdr>
    </w:div>
    <w:div w:id="1932739283">
      <w:bodyDiv w:val="1"/>
      <w:marLeft w:val="0"/>
      <w:marRight w:val="0"/>
      <w:marTop w:val="0"/>
      <w:marBottom w:val="0"/>
      <w:divBdr>
        <w:top w:val="none" w:sz="0" w:space="0" w:color="auto"/>
        <w:left w:val="none" w:sz="0" w:space="0" w:color="auto"/>
        <w:bottom w:val="none" w:sz="0" w:space="0" w:color="auto"/>
        <w:right w:val="none" w:sz="0" w:space="0" w:color="auto"/>
      </w:divBdr>
    </w:div>
    <w:div w:id="1932740960">
      <w:bodyDiv w:val="1"/>
      <w:marLeft w:val="0"/>
      <w:marRight w:val="0"/>
      <w:marTop w:val="0"/>
      <w:marBottom w:val="0"/>
      <w:divBdr>
        <w:top w:val="none" w:sz="0" w:space="0" w:color="auto"/>
        <w:left w:val="none" w:sz="0" w:space="0" w:color="auto"/>
        <w:bottom w:val="none" w:sz="0" w:space="0" w:color="auto"/>
        <w:right w:val="none" w:sz="0" w:space="0" w:color="auto"/>
      </w:divBdr>
    </w:div>
    <w:div w:id="1932809468">
      <w:bodyDiv w:val="1"/>
      <w:marLeft w:val="0"/>
      <w:marRight w:val="0"/>
      <w:marTop w:val="0"/>
      <w:marBottom w:val="0"/>
      <w:divBdr>
        <w:top w:val="none" w:sz="0" w:space="0" w:color="auto"/>
        <w:left w:val="none" w:sz="0" w:space="0" w:color="auto"/>
        <w:bottom w:val="none" w:sz="0" w:space="0" w:color="auto"/>
        <w:right w:val="none" w:sz="0" w:space="0" w:color="auto"/>
      </w:divBdr>
    </w:div>
    <w:div w:id="1932931810">
      <w:bodyDiv w:val="1"/>
      <w:marLeft w:val="0"/>
      <w:marRight w:val="0"/>
      <w:marTop w:val="0"/>
      <w:marBottom w:val="0"/>
      <w:divBdr>
        <w:top w:val="none" w:sz="0" w:space="0" w:color="auto"/>
        <w:left w:val="none" w:sz="0" w:space="0" w:color="auto"/>
        <w:bottom w:val="none" w:sz="0" w:space="0" w:color="auto"/>
        <w:right w:val="none" w:sz="0" w:space="0" w:color="auto"/>
      </w:divBdr>
    </w:div>
    <w:div w:id="1933080921">
      <w:bodyDiv w:val="1"/>
      <w:marLeft w:val="0"/>
      <w:marRight w:val="0"/>
      <w:marTop w:val="0"/>
      <w:marBottom w:val="0"/>
      <w:divBdr>
        <w:top w:val="none" w:sz="0" w:space="0" w:color="auto"/>
        <w:left w:val="none" w:sz="0" w:space="0" w:color="auto"/>
        <w:bottom w:val="none" w:sz="0" w:space="0" w:color="auto"/>
        <w:right w:val="none" w:sz="0" w:space="0" w:color="auto"/>
      </w:divBdr>
    </w:div>
    <w:div w:id="1933389122">
      <w:bodyDiv w:val="1"/>
      <w:marLeft w:val="0"/>
      <w:marRight w:val="0"/>
      <w:marTop w:val="0"/>
      <w:marBottom w:val="0"/>
      <w:divBdr>
        <w:top w:val="none" w:sz="0" w:space="0" w:color="auto"/>
        <w:left w:val="none" w:sz="0" w:space="0" w:color="auto"/>
        <w:bottom w:val="none" w:sz="0" w:space="0" w:color="auto"/>
        <w:right w:val="none" w:sz="0" w:space="0" w:color="auto"/>
      </w:divBdr>
    </w:div>
    <w:div w:id="1933467386">
      <w:bodyDiv w:val="1"/>
      <w:marLeft w:val="0"/>
      <w:marRight w:val="0"/>
      <w:marTop w:val="0"/>
      <w:marBottom w:val="0"/>
      <w:divBdr>
        <w:top w:val="none" w:sz="0" w:space="0" w:color="auto"/>
        <w:left w:val="none" w:sz="0" w:space="0" w:color="auto"/>
        <w:bottom w:val="none" w:sz="0" w:space="0" w:color="auto"/>
        <w:right w:val="none" w:sz="0" w:space="0" w:color="auto"/>
      </w:divBdr>
    </w:div>
    <w:div w:id="1933665246">
      <w:bodyDiv w:val="1"/>
      <w:marLeft w:val="0"/>
      <w:marRight w:val="0"/>
      <w:marTop w:val="0"/>
      <w:marBottom w:val="0"/>
      <w:divBdr>
        <w:top w:val="none" w:sz="0" w:space="0" w:color="auto"/>
        <w:left w:val="none" w:sz="0" w:space="0" w:color="auto"/>
        <w:bottom w:val="none" w:sz="0" w:space="0" w:color="auto"/>
        <w:right w:val="none" w:sz="0" w:space="0" w:color="auto"/>
      </w:divBdr>
    </w:div>
    <w:div w:id="1933732735">
      <w:bodyDiv w:val="1"/>
      <w:marLeft w:val="0"/>
      <w:marRight w:val="0"/>
      <w:marTop w:val="0"/>
      <w:marBottom w:val="0"/>
      <w:divBdr>
        <w:top w:val="none" w:sz="0" w:space="0" w:color="auto"/>
        <w:left w:val="none" w:sz="0" w:space="0" w:color="auto"/>
        <w:bottom w:val="none" w:sz="0" w:space="0" w:color="auto"/>
        <w:right w:val="none" w:sz="0" w:space="0" w:color="auto"/>
      </w:divBdr>
    </w:div>
    <w:div w:id="1933780236">
      <w:bodyDiv w:val="1"/>
      <w:marLeft w:val="0"/>
      <w:marRight w:val="0"/>
      <w:marTop w:val="0"/>
      <w:marBottom w:val="0"/>
      <w:divBdr>
        <w:top w:val="none" w:sz="0" w:space="0" w:color="auto"/>
        <w:left w:val="none" w:sz="0" w:space="0" w:color="auto"/>
        <w:bottom w:val="none" w:sz="0" w:space="0" w:color="auto"/>
        <w:right w:val="none" w:sz="0" w:space="0" w:color="auto"/>
      </w:divBdr>
    </w:div>
    <w:div w:id="1933784157">
      <w:bodyDiv w:val="1"/>
      <w:marLeft w:val="0"/>
      <w:marRight w:val="0"/>
      <w:marTop w:val="0"/>
      <w:marBottom w:val="0"/>
      <w:divBdr>
        <w:top w:val="none" w:sz="0" w:space="0" w:color="auto"/>
        <w:left w:val="none" w:sz="0" w:space="0" w:color="auto"/>
        <w:bottom w:val="none" w:sz="0" w:space="0" w:color="auto"/>
        <w:right w:val="none" w:sz="0" w:space="0" w:color="auto"/>
      </w:divBdr>
    </w:div>
    <w:div w:id="1934051346">
      <w:bodyDiv w:val="1"/>
      <w:marLeft w:val="0"/>
      <w:marRight w:val="0"/>
      <w:marTop w:val="0"/>
      <w:marBottom w:val="0"/>
      <w:divBdr>
        <w:top w:val="none" w:sz="0" w:space="0" w:color="auto"/>
        <w:left w:val="none" w:sz="0" w:space="0" w:color="auto"/>
        <w:bottom w:val="none" w:sz="0" w:space="0" w:color="auto"/>
        <w:right w:val="none" w:sz="0" w:space="0" w:color="auto"/>
      </w:divBdr>
    </w:div>
    <w:div w:id="1934127258">
      <w:bodyDiv w:val="1"/>
      <w:marLeft w:val="0"/>
      <w:marRight w:val="0"/>
      <w:marTop w:val="0"/>
      <w:marBottom w:val="0"/>
      <w:divBdr>
        <w:top w:val="none" w:sz="0" w:space="0" w:color="auto"/>
        <w:left w:val="none" w:sz="0" w:space="0" w:color="auto"/>
        <w:bottom w:val="none" w:sz="0" w:space="0" w:color="auto"/>
        <w:right w:val="none" w:sz="0" w:space="0" w:color="auto"/>
      </w:divBdr>
    </w:div>
    <w:div w:id="1934511549">
      <w:bodyDiv w:val="1"/>
      <w:marLeft w:val="0"/>
      <w:marRight w:val="0"/>
      <w:marTop w:val="0"/>
      <w:marBottom w:val="0"/>
      <w:divBdr>
        <w:top w:val="none" w:sz="0" w:space="0" w:color="auto"/>
        <w:left w:val="none" w:sz="0" w:space="0" w:color="auto"/>
        <w:bottom w:val="none" w:sz="0" w:space="0" w:color="auto"/>
        <w:right w:val="none" w:sz="0" w:space="0" w:color="auto"/>
      </w:divBdr>
    </w:div>
    <w:div w:id="1934512085">
      <w:bodyDiv w:val="1"/>
      <w:marLeft w:val="0"/>
      <w:marRight w:val="0"/>
      <w:marTop w:val="0"/>
      <w:marBottom w:val="0"/>
      <w:divBdr>
        <w:top w:val="none" w:sz="0" w:space="0" w:color="auto"/>
        <w:left w:val="none" w:sz="0" w:space="0" w:color="auto"/>
        <w:bottom w:val="none" w:sz="0" w:space="0" w:color="auto"/>
        <w:right w:val="none" w:sz="0" w:space="0" w:color="auto"/>
      </w:divBdr>
    </w:div>
    <w:div w:id="1934632869">
      <w:bodyDiv w:val="1"/>
      <w:marLeft w:val="0"/>
      <w:marRight w:val="0"/>
      <w:marTop w:val="0"/>
      <w:marBottom w:val="0"/>
      <w:divBdr>
        <w:top w:val="none" w:sz="0" w:space="0" w:color="auto"/>
        <w:left w:val="none" w:sz="0" w:space="0" w:color="auto"/>
        <w:bottom w:val="none" w:sz="0" w:space="0" w:color="auto"/>
        <w:right w:val="none" w:sz="0" w:space="0" w:color="auto"/>
      </w:divBdr>
    </w:div>
    <w:div w:id="1934820432">
      <w:bodyDiv w:val="1"/>
      <w:marLeft w:val="0"/>
      <w:marRight w:val="0"/>
      <w:marTop w:val="0"/>
      <w:marBottom w:val="0"/>
      <w:divBdr>
        <w:top w:val="none" w:sz="0" w:space="0" w:color="auto"/>
        <w:left w:val="none" w:sz="0" w:space="0" w:color="auto"/>
        <w:bottom w:val="none" w:sz="0" w:space="0" w:color="auto"/>
        <w:right w:val="none" w:sz="0" w:space="0" w:color="auto"/>
      </w:divBdr>
    </w:div>
    <w:div w:id="1934821702">
      <w:bodyDiv w:val="1"/>
      <w:marLeft w:val="0"/>
      <w:marRight w:val="0"/>
      <w:marTop w:val="0"/>
      <w:marBottom w:val="0"/>
      <w:divBdr>
        <w:top w:val="none" w:sz="0" w:space="0" w:color="auto"/>
        <w:left w:val="none" w:sz="0" w:space="0" w:color="auto"/>
        <w:bottom w:val="none" w:sz="0" w:space="0" w:color="auto"/>
        <w:right w:val="none" w:sz="0" w:space="0" w:color="auto"/>
      </w:divBdr>
    </w:div>
    <w:div w:id="1934972790">
      <w:bodyDiv w:val="1"/>
      <w:marLeft w:val="0"/>
      <w:marRight w:val="0"/>
      <w:marTop w:val="0"/>
      <w:marBottom w:val="0"/>
      <w:divBdr>
        <w:top w:val="none" w:sz="0" w:space="0" w:color="auto"/>
        <w:left w:val="none" w:sz="0" w:space="0" w:color="auto"/>
        <w:bottom w:val="none" w:sz="0" w:space="0" w:color="auto"/>
        <w:right w:val="none" w:sz="0" w:space="0" w:color="auto"/>
      </w:divBdr>
    </w:div>
    <w:div w:id="1935161660">
      <w:bodyDiv w:val="1"/>
      <w:marLeft w:val="0"/>
      <w:marRight w:val="0"/>
      <w:marTop w:val="0"/>
      <w:marBottom w:val="0"/>
      <w:divBdr>
        <w:top w:val="none" w:sz="0" w:space="0" w:color="auto"/>
        <w:left w:val="none" w:sz="0" w:space="0" w:color="auto"/>
        <w:bottom w:val="none" w:sz="0" w:space="0" w:color="auto"/>
        <w:right w:val="none" w:sz="0" w:space="0" w:color="auto"/>
      </w:divBdr>
    </w:div>
    <w:div w:id="1935236168">
      <w:bodyDiv w:val="1"/>
      <w:marLeft w:val="0"/>
      <w:marRight w:val="0"/>
      <w:marTop w:val="0"/>
      <w:marBottom w:val="0"/>
      <w:divBdr>
        <w:top w:val="none" w:sz="0" w:space="0" w:color="auto"/>
        <w:left w:val="none" w:sz="0" w:space="0" w:color="auto"/>
        <w:bottom w:val="none" w:sz="0" w:space="0" w:color="auto"/>
        <w:right w:val="none" w:sz="0" w:space="0" w:color="auto"/>
      </w:divBdr>
    </w:div>
    <w:div w:id="1935548437">
      <w:bodyDiv w:val="1"/>
      <w:marLeft w:val="0"/>
      <w:marRight w:val="0"/>
      <w:marTop w:val="0"/>
      <w:marBottom w:val="0"/>
      <w:divBdr>
        <w:top w:val="none" w:sz="0" w:space="0" w:color="auto"/>
        <w:left w:val="none" w:sz="0" w:space="0" w:color="auto"/>
        <w:bottom w:val="none" w:sz="0" w:space="0" w:color="auto"/>
        <w:right w:val="none" w:sz="0" w:space="0" w:color="auto"/>
      </w:divBdr>
    </w:div>
    <w:div w:id="1935626661">
      <w:bodyDiv w:val="1"/>
      <w:marLeft w:val="0"/>
      <w:marRight w:val="0"/>
      <w:marTop w:val="0"/>
      <w:marBottom w:val="0"/>
      <w:divBdr>
        <w:top w:val="none" w:sz="0" w:space="0" w:color="auto"/>
        <w:left w:val="none" w:sz="0" w:space="0" w:color="auto"/>
        <w:bottom w:val="none" w:sz="0" w:space="0" w:color="auto"/>
        <w:right w:val="none" w:sz="0" w:space="0" w:color="auto"/>
      </w:divBdr>
    </w:div>
    <w:div w:id="1935698314">
      <w:bodyDiv w:val="1"/>
      <w:marLeft w:val="0"/>
      <w:marRight w:val="0"/>
      <w:marTop w:val="0"/>
      <w:marBottom w:val="0"/>
      <w:divBdr>
        <w:top w:val="none" w:sz="0" w:space="0" w:color="auto"/>
        <w:left w:val="none" w:sz="0" w:space="0" w:color="auto"/>
        <w:bottom w:val="none" w:sz="0" w:space="0" w:color="auto"/>
        <w:right w:val="none" w:sz="0" w:space="0" w:color="auto"/>
      </w:divBdr>
    </w:div>
    <w:div w:id="1935745751">
      <w:bodyDiv w:val="1"/>
      <w:marLeft w:val="0"/>
      <w:marRight w:val="0"/>
      <w:marTop w:val="0"/>
      <w:marBottom w:val="0"/>
      <w:divBdr>
        <w:top w:val="none" w:sz="0" w:space="0" w:color="auto"/>
        <w:left w:val="none" w:sz="0" w:space="0" w:color="auto"/>
        <w:bottom w:val="none" w:sz="0" w:space="0" w:color="auto"/>
        <w:right w:val="none" w:sz="0" w:space="0" w:color="auto"/>
      </w:divBdr>
    </w:div>
    <w:div w:id="1935821798">
      <w:bodyDiv w:val="1"/>
      <w:marLeft w:val="0"/>
      <w:marRight w:val="0"/>
      <w:marTop w:val="0"/>
      <w:marBottom w:val="0"/>
      <w:divBdr>
        <w:top w:val="none" w:sz="0" w:space="0" w:color="auto"/>
        <w:left w:val="none" w:sz="0" w:space="0" w:color="auto"/>
        <w:bottom w:val="none" w:sz="0" w:space="0" w:color="auto"/>
        <w:right w:val="none" w:sz="0" w:space="0" w:color="auto"/>
      </w:divBdr>
    </w:div>
    <w:div w:id="1936009423">
      <w:bodyDiv w:val="1"/>
      <w:marLeft w:val="0"/>
      <w:marRight w:val="0"/>
      <w:marTop w:val="0"/>
      <w:marBottom w:val="0"/>
      <w:divBdr>
        <w:top w:val="none" w:sz="0" w:space="0" w:color="auto"/>
        <w:left w:val="none" w:sz="0" w:space="0" w:color="auto"/>
        <w:bottom w:val="none" w:sz="0" w:space="0" w:color="auto"/>
        <w:right w:val="none" w:sz="0" w:space="0" w:color="auto"/>
      </w:divBdr>
    </w:div>
    <w:div w:id="1936203415">
      <w:bodyDiv w:val="1"/>
      <w:marLeft w:val="0"/>
      <w:marRight w:val="0"/>
      <w:marTop w:val="0"/>
      <w:marBottom w:val="0"/>
      <w:divBdr>
        <w:top w:val="none" w:sz="0" w:space="0" w:color="auto"/>
        <w:left w:val="none" w:sz="0" w:space="0" w:color="auto"/>
        <w:bottom w:val="none" w:sz="0" w:space="0" w:color="auto"/>
        <w:right w:val="none" w:sz="0" w:space="0" w:color="auto"/>
      </w:divBdr>
    </w:div>
    <w:div w:id="1936211330">
      <w:bodyDiv w:val="1"/>
      <w:marLeft w:val="0"/>
      <w:marRight w:val="0"/>
      <w:marTop w:val="0"/>
      <w:marBottom w:val="0"/>
      <w:divBdr>
        <w:top w:val="none" w:sz="0" w:space="0" w:color="auto"/>
        <w:left w:val="none" w:sz="0" w:space="0" w:color="auto"/>
        <w:bottom w:val="none" w:sz="0" w:space="0" w:color="auto"/>
        <w:right w:val="none" w:sz="0" w:space="0" w:color="auto"/>
      </w:divBdr>
    </w:div>
    <w:div w:id="1936282401">
      <w:bodyDiv w:val="1"/>
      <w:marLeft w:val="0"/>
      <w:marRight w:val="0"/>
      <w:marTop w:val="0"/>
      <w:marBottom w:val="0"/>
      <w:divBdr>
        <w:top w:val="none" w:sz="0" w:space="0" w:color="auto"/>
        <w:left w:val="none" w:sz="0" w:space="0" w:color="auto"/>
        <w:bottom w:val="none" w:sz="0" w:space="0" w:color="auto"/>
        <w:right w:val="none" w:sz="0" w:space="0" w:color="auto"/>
      </w:divBdr>
    </w:div>
    <w:div w:id="1936591923">
      <w:bodyDiv w:val="1"/>
      <w:marLeft w:val="0"/>
      <w:marRight w:val="0"/>
      <w:marTop w:val="0"/>
      <w:marBottom w:val="0"/>
      <w:divBdr>
        <w:top w:val="none" w:sz="0" w:space="0" w:color="auto"/>
        <w:left w:val="none" w:sz="0" w:space="0" w:color="auto"/>
        <w:bottom w:val="none" w:sz="0" w:space="0" w:color="auto"/>
        <w:right w:val="none" w:sz="0" w:space="0" w:color="auto"/>
      </w:divBdr>
    </w:div>
    <w:div w:id="1936592368">
      <w:bodyDiv w:val="1"/>
      <w:marLeft w:val="0"/>
      <w:marRight w:val="0"/>
      <w:marTop w:val="0"/>
      <w:marBottom w:val="0"/>
      <w:divBdr>
        <w:top w:val="none" w:sz="0" w:space="0" w:color="auto"/>
        <w:left w:val="none" w:sz="0" w:space="0" w:color="auto"/>
        <w:bottom w:val="none" w:sz="0" w:space="0" w:color="auto"/>
        <w:right w:val="none" w:sz="0" w:space="0" w:color="auto"/>
      </w:divBdr>
    </w:div>
    <w:div w:id="1936594563">
      <w:bodyDiv w:val="1"/>
      <w:marLeft w:val="0"/>
      <w:marRight w:val="0"/>
      <w:marTop w:val="0"/>
      <w:marBottom w:val="0"/>
      <w:divBdr>
        <w:top w:val="none" w:sz="0" w:space="0" w:color="auto"/>
        <w:left w:val="none" w:sz="0" w:space="0" w:color="auto"/>
        <w:bottom w:val="none" w:sz="0" w:space="0" w:color="auto"/>
        <w:right w:val="none" w:sz="0" w:space="0" w:color="auto"/>
      </w:divBdr>
    </w:div>
    <w:div w:id="1936984827">
      <w:bodyDiv w:val="1"/>
      <w:marLeft w:val="0"/>
      <w:marRight w:val="0"/>
      <w:marTop w:val="0"/>
      <w:marBottom w:val="0"/>
      <w:divBdr>
        <w:top w:val="none" w:sz="0" w:space="0" w:color="auto"/>
        <w:left w:val="none" w:sz="0" w:space="0" w:color="auto"/>
        <w:bottom w:val="none" w:sz="0" w:space="0" w:color="auto"/>
        <w:right w:val="none" w:sz="0" w:space="0" w:color="auto"/>
      </w:divBdr>
    </w:div>
    <w:div w:id="1937202960">
      <w:bodyDiv w:val="1"/>
      <w:marLeft w:val="0"/>
      <w:marRight w:val="0"/>
      <w:marTop w:val="0"/>
      <w:marBottom w:val="0"/>
      <w:divBdr>
        <w:top w:val="none" w:sz="0" w:space="0" w:color="auto"/>
        <w:left w:val="none" w:sz="0" w:space="0" w:color="auto"/>
        <w:bottom w:val="none" w:sz="0" w:space="0" w:color="auto"/>
        <w:right w:val="none" w:sz="0" w:space="0" w:color="auto"/>
      </w:divBdr>
    </w:div>
    <w:div w:id="1937400202">
      <w:bodyDiv w:val="1"/>
      <w:marLeft w:val="0"/>
      <w:marRight w:val="0"/>
      <w:marTop w:val="0"/>
      <w:marBottom w:val="0"/>
      <w:divBdr>
        <w:top w:val="none" w:sz="0" w:space="0" w:color="auto"/>
        <w:left w:val="none" w:sz="0" w:space="0" w:color="auto"/>
        <w:bottom w:val="none" w:sz="0" w:space="0" w:color="auto"/>
        <w:right w:val="none" w:sz="0" w:space="0" w:color="auto"/>
      </w:divBdr>
    </w:div>
    <w:div w:id="1937709342">
      <w:bodyDiv w:val="1"/>
      <w:marLeft w:val="0"/>
      <w:marRight w:val="0"/>
      <w:marTop w:val="0"/>
      <w:marBottom w:val="0"/>
      <w:divBdr>
        <w:top w:val="none" w:sz="0" w:space="0" w:color="auto"/>
        <w:left w:val="none" w:sz="0" w:space="0" w:color="auto"/>
        <w:bottom w:val="none" w:sz="0" w:space="0" w:color="auto"/>
        <w:right w:val="none" w:sz="0" w:space="0" w:color="auto"/>
      </w:divBdr>
    </w:div>
    <w:div w:id="1937711062">
      <w:bodyDiv w:val="1"/>
      <w:marLeft w:val="0"/>
      <w:marRight w:val="0"/>
      <w:marTop w:val="0"/>
      <w:marBottom w:val="0"/>
      <w:divBdr>
        <w:top w:val="none" w:sz="0" w:space="0" w:color="auto"/>
        <w:left w:val="none" w:sz="0" w:space="0" w:color="auto"/>
        <w:bottom w:val="none" w:sz="0" w:space="0" w:color="auto"/>
        <w:right w:val="none" w:sz="0" w:space="0" w:color="auto"/>
      </w:divBdr>
    </w:div>
    <w:div w:id="1937784031">
      <w:bodyDiv w:val="1"/>
      <w:marLeft w:val="0"/>
      <w:marRight w:val="0"/>
      <w:marTop w:val="0"/>
      <w:marBottom w:val="0"/>
      <w:divBdr>
        <w:top w:val="none" w:sz="0" w:space="0" w:color="auto"/>
        <w:left w:val="none" w:sz="0" w:space="0" w:color="auto"/>
        <w:bottom w:val="none" w:sz="0" w:space="0" w:color="auto"/>
        <w:right w:val="none" w:sz="0" w:space="0" w:color="auto"/>
      </w:divBdr>
    </w:div>
    <w:div w:id="1937784840">
      <w:bodyDiv w:val="1"/>
      <w:marLeft w:val="0"/>
      <w:marRight w:val="0"/>
      <w:marTop w:val="0"/>
      <w:marBottom w:val="0"/>
      <w:divBdr>
        <w:top w:val="none" w:sz="0" w:space="0" w:color="auto"/>
        <w:left w:val="none" w:sz="0" w:space="0" w:color="auto"/>
        <w:bottom w:val="none" w:sz="0" w:space="0" w:color="auto"/>
        <w:right w:val="none" w:sz="0" w:space="0" w:color="auto"/>
      </w:divBdr>
    </w:div>
    <w:div w:id="1938368452">
      <w:bodyDiv w:val="1"/>
      <w:marLeft w:val="0"/>
      <w:marRight w:val="0"/>
      <w:marTop w:val="0"/>
      <w:marBottom w:val="0"/>
      <w:divBdr>
        <w:top w:val="none" w:sz="0" w:space="0" w:color="auto"/>
        <w:left w:val="none" w:sz="0" w:space="0" w:color="auto"/>
        <w:bottom w:val="none" w:sz="0" w:space="0" w:color="auto"/>
        <w:right w:val="none" w:sz="0" w:space="0" w:color="auto"/>
      </w:divBdr>
    </w:div>
    <w:div w:id="1938369114">
      <w:bodyDiv w:val="1"/>
      <w:marLeft w:val="0"/>
      <w:marRight w:val="0"/>
      <w:marTop w:val="0"/>
      <w:marBottom w:val="0"/>
      <w:divBdr>
        <w:top w:val="none" w:sz="0" w:space="0" w:color="auto"/>
        <w:left w:val="none" w:sz="0" w:space="0" w:color="auto"/>
        <w:bottom w:val="none" w:sz="0" w:space="0" w:color="auto"/>
        <w:right w:val="none" w:sz="0" w:space="0" w:color="auto"/>
      </w:divBdr>
    </w:div>
    <w:div w:id="1938436973">
      <w:bodyDiv w:val="1"/>
      <w:marLeft w:val="0"/>
      <w:marRight w:val="0"/>
      <w:marTop w:val="0"/>
      <w:marBottom w:val="0"/>
      <w:divBdr>
        <w:top w:val="none" w:sz="0" w:space="0" w:color="auto"/>
        <w:left w:val="none" w:sz="0" w:space="0" w:color="auto"/>
        <w:bottom w:val="none" w:sz="0" w:space="0" w:color="auto"/>
        <w:right w:val="none" w:sz="0" w:space="0" w:color="auto"/>
      </w:divBdr>
    </w:div>
    <w:div w:id="1938437990">
      <w:bodyDiv w:val="1"/>
      <w:marLeft w:val="0"/>
      <w:marRight w:val="0"/>
      <w:marTop w:val="0"/>
      <w:marBottom w:val="0"/>
      <w:divBdr>
        <w:top w:val="none" w:sz="0" w:space="0" w:color="auto"/>
        <w:left w:val="none" w:sz="0" w:space="0" w:color="auto"/>
        <w:bottom w:val="none" w:sz="0" w:space="0" w:color="auto"/>
        <w:right w:val="none" w:sz="0" w:space="0" w:color="auto"/>
      </w:divBdr>
    </w:div>
    <w:div w:id="1938515800">
      <w:bodyDiv w:val="1"/>
      <w:marLeft w:val="0"/>
      <w:marRight w:val="0"/>
      <w:marTop w:val="0"/>
      <w:marBottom w:val="0"/>
      <w:divBdr>
        <w:top w:val="none" w:sz="0" w:space="0" w:color="auto"/>
        <w:left w:val="none" w:sz="0" w:space="0" w:color="auto"/>
        <w:bottom w:val="none" w:sz="0" w:space="0" w:color="auto"/>
        <w:right w:val="none" w:sz="0" w:space="0" w:color="auto"/>
      </w:divBdr>
    </w:div>
    <w:div w:id="1938521638">
      <w:bodyDiv w:val="1"/>
      <w:marLeft w:val="0"/>
      <w:marRight w:val="0"/>
      <w:marTop w:val="0"/>
      <w:marBottom w:val="0"/>
      <w:divBdr>
        <w:top w:val="none" w:sz="0" w:space="0" w:color="auto"/>
        <w:left w:val="none" w:sz="0" w:space="0" w:color="auto"/>
        <w:bottom w:val="none" w:sz="0" w:space="0" w:color="auto"/>
        <w:right w:val="none" w:sz="0" w:space="0" w:color="auto"/>
      </w:divBdr>
    </w:div>
    <w:div w:id="1938636756">
      <w:bodyDiv w:val="1"/>
      <w:marLeft w:val="0"/>
      <w:marRight w:val="0"/>
      <w:marTop w:val="0"/>
      <w:marBottom w:val="0"/>
      <w:divBdr>
        <w:top w:val="none" w:sz="0" w:space="0" w:color="auto"/>
        <w:left w:val="none" w:sz="0" w:space="0" w:color="auto"/>
        <w:bottom w:val="none" w:sz="0" w:space="0" w:color="auto"/>
        <w:right w:val="none" w:sz="0" w:space="0" w:color="auto"/>
      </w:divBdr>
    </w:div>
    <w:div w:id="1938824393">
      <w:bodyDiv w:val="1"/>
      <w:marLeft w:val="0"/>
      <w:marRight w:val="0"/>
      <w:marTop w:val="0"/>
      <w:marBottom w:val="0"/>
      <w:divBdr>
        <w:top w:val="none" w:sz="0" w:space="0" w:color="auto"/>
        <w:left w:val="none" w:sz="0" w:space="0" w:color="auto"/>
        <w:bottom w:val="none" w:sz="0" w:space="0" w:color="auto"/>
        <w:right w:val="none" w:sz="0" w:space="0" w:color="auto"/>
      </w:divBdr>
    </w:div>
    <w:div w:id="1939023633">
      <w:bodyDiv w:val="1"/>
      <w:marLeft w:val="0"/>
      <w:marRight w:val="0"/>
      <w:marTop w:val="0"/>
      <w:marBottom w:val="0"/>
      <w:divBdr>
        <w:top w:val="none" w:sz="0" w:space="0" w:color="auto"/>
        <w:left w:val="none" w:sz="0" w:space="0" w:color="auto"/>
        <w:bottom w:val="none" w:sz="0" w:space="0" w:color="auto"/>
        <w:right w:val="none" w:sz="0" w:space="0" w:color="auto"/>
      </w:divBdr>
    </w:div>
    <w:div w:id="1939167664">
      <w:bodyDiv w:val="1"/>
      <w:marLeft w:val="0"/>
      <w:marRight w:val="0"/>
      <w:marTop w:val="0"/>
      <w:marBottom w:val="0"/>
      <w:divBdr>
        <w:top w:val="none" w:sz="0" w:space="0" w:color="auto"/>
        <w:left w:val="none" w:sz="0" w:space="0" w:color="auto"/>
        <w:bottom w:val="none" w:sz="0" w:space="0" w:color="auto"/>
        <w:right w:val="none" w:sz="0" w:space="0" w:color="auto"/>
      </w:divBdr>
    </w:div>
    <w:div w:id="1939211823">
      <w:bodyDiv w:val="1"/>
      <w:marLeft w:val="0"/>
      <w:marRight w:val="0"/>
      <w:marTop w:val="0"/>
      <w:marBottom w:val="0"/>
      <w:divBdr>
        <w:top w:val="none" w:sz="0" w:space="0" w:color="auto"/>
        <w:left w:val="none" w:sz="0" w:space="0" w:color="auto"/>
        <w:bottom w:val="none" w:sz="0" w:space="0" w:color="auto"/>
        <w:right w:val="none" w:sz="0" w:space="0" w:color="auto"/>
      </w:divBdr>
    </w:div>
    <w:div w:id="1939481117">
      <w:bodyDiv w:val="1"/>
      <w:marLeft w:val="0"/>
      <w:marRight w:val="0"/>
      <w:marTop w:val="0"/>
      <w:marBottom w:val="0"/>
      <w:divBdr>
        <w:top w:val="none" w:sz="0" w:space="0" w:color="auto"/>
        <w:left w:val="none" w:sz="0" w:space="0" w:color="auto"/>
        <w:bottom w:val="none" w:sz="0" w:space="0" w:color="auto"/>
        <w:right w:val="none" w:sz="0" w:space="0" w:color="auto"/>
      </w:divBdr>
    </w:div>
    <w:div w:id="1939673457">
      <w:bodyDiv w:val="1"/>
      <w:marLeft w:val="0"/>
      <w:marRight w:val="0"/>
      <w:marTop w:val="0"/>
      <w:marBottom w:val="0"/>
      <w:divBdr>
        <w:top w:val="none" w:sz="0" w:space="0" w:color="auto"/>
        <w:left w:val="none" w:sz="0" w:space="0" w:color="auto"/>
        <w:bottom w:val="none" w:sz="0" w:space="0" w:color="auto"/>
        <w:right w:val="none" w:sz="0" w:space="0" w:color="auto"/>
      </w:divBdr>
    </w:div>
    <w:div w:id="1939945310">
      <w:bodyDiv w:val="1"/>
      <w:marLeft w:val="0"/>
      <w:marRight w:val="0"/>
      <w:marTop w:val="0"/>
      <w:marBottom w:val="0"/>
      <w:divBdr>
        <w:top w:val="none" w:sz="0" w:space="0" w:color="auto"/>
        <w:left w:val="none" w:sz="0" w:space="0" w:color="auto"/>
        <w:bottom w:val="none" w:sz="0" w:space="0" w:color="auto"/>
        <w:right w:val="none" w:sz="0" w:space="0" w:color="auto"/>
      </w:divBdr>
    </w:div>
    <w:div w:id="1940209529">
      <w:bodyDiv w:val="1"/>
      <w:marLeft w:val="0"/>
      <w:marRight w:val="0"/>
      <w:marTop w:val="0"/>
      <w:marBottom w:val="0"/>
      <w:divBdr>
        <w:top w:val="none" w:sz="0" w:space="0" w:color="auto"/>
        <w:left w:val="none" w:sz="0" w:space="0" w:color="auto"/>
        <w:bottom w:val="none" w:sz="0" w:space="0" w:color="auto"/>
        <w:right w:val="none" w:sz="0" w:space="0" w:color="auto"/>
      </w:divBdr>
    </w:div>
    <w:div w:id="1940403841">
      <w:bodyDiv w:val="1"/>
      <w:marLeft w:val="0"/>
      <w:marRight w:val="0"/>
      <w:marTop w:val="0"/>
      <w:marBottom w:val="0"/>
      <w:divBdr>
        <w:top w:val="none" w:sz="0" w:space="0" w:color="auto"/>
        <w:left w:val="none" w:sz="0" w:space="0" w:color="auto"/>
        <w:bottom w:val="none" w:sz="0" w:space="0" w:color="auto"/>
        <w:right w:val="none" w:sz="0" w:space="0" w:color="auto"/>
      </w:divBdr>
    </w:div>
    <w:div w:id="1940484546">
      <w:bodyDiv w:val="1"/>
      <w:marLeft w:val="0"/>
      <w:marRight w:val="0"/>
      <w:marTop w:val="0"/>
      <w:marBottom w:val="0"/>
      <w:divBdr>
        <w:top w:val="none" w:sz="0" w:space="0" w:color="auto"/>
        <w:left w:val="none" w:sz="0" w:space="0" w:color="auto"/>
        <w:bottom w:val="none" w:sz="0" w:space="0" w:color="auto"/>
        <w:right w:val="none" w:sz="0" w:space="0" w:color="auto"/>
      </w:divBdr>
    </w:div>
    <w:div w:id="1940529645">
      <w:bodyDiv w:val="1"/>
      <w:marLeft w:val="0"/>
      <w:marRight w:val="0"/>
      <w:marTop w:val="0"/>
      <w:marBottom w:val="0"/>
      <w:divBdr>
        <w:top w:val="none" w:sz="0" w:space="0" w:color="auto"/>
        <w:left w:val="none" w:sz="0" w:space="0" w:color="auto"/>
        <w:bottom w:val="none" w:sz="0" w:space="0" w:color="auto"/>
        <w:right w:val="none" w:sz="0" w:space="0" w:color="auto"/>
      </w:divBdr>
    </w:div>
    <w:div w:id="1940869126">
      <w:bodyDiv w:val="1"/>
      <w:marLeft w:val="0"/>
      <w:marRight w:val="0"/>
      <w:marTop w:val="0"/>
      <w:marBottom w:val="0"/>
      <w:divBdr>
        <w:top w:val="none" w:sz="0" w:space="0" w:color="auto"/>
        <w:left w:val="none" w:sz="0" w:space="0" w:color="auto"/>
        <w:bottom w:val="none" w:sz="0" w:space="0" w:color="auto"/>
        <w:right w:val="none" w:sz="0" w:space="0" w:color="auto"/>
      </w:divBdr>
    </w:div>
    <w:div w:id="1940940996">
      <w:bodyDiv w:val="1"/>
      <w:marLeft w:val="0"/>
      <w:marRight w:val="0"/>
      <w:marTop w:val="0"/>
      <w:marBottom w:val="0"/>
      <w:divBdr>
        <w:top w:val="none" w:sz="0" w:space="0" w:color="auto"/>
        <w:left w:val="none" w:sz="0" w:space="0" w:color="auto"/>
        <w:bottom w:val="none" w:sz="0" w:space="0" w:color="auto"/>
        <w:right w:val="none" w:sz="0" w:space="0" w:color="auto"/>
      </w:divBdr>
    </w:div>
    <w:div w:id="1940942418">
      <w:bodyDiv w:val="1"/>
      <w:marLeft w:val="0"/>
      <w:marRight w:val="0"/>
      <w:marTop w:val="0"/>
      <w:marBottom w:val="0"/>
      <w:divBdr>
        <w:top w:val="none" w:sz="0" w:space="0" w:color="auto"/>
        <w:left w:val="none" w:sz="0" w:space="0" w:color="auto"/>
        <w:bottom w:val="none" w:sz="0" w:space="0" w:color="auto"/>
        <w:right w:val="none" w:sz="0" w:space="0" w:color="auto"/>
      </w:divBdr>
    </w:div>
    <w:div w:id="1941181898">
      <w:bodyDiv w:val="1"/>
      <w:marLeft w:val="0"/>
      <w:marRight w:val="0"/>
      <w:marTop w:val="0"/>
      <w:marBottom w:val="0"/>
      <w:divBdr>
        <w:top w:val="none" w:sz="0" w:space="0" w:color="auto"/>
        <w:left w:val="none" w:sz="0" w:space="0" w:color="auto"/>
        <w:bottom w:val="none" w:sz="0" w:space="0" w:color="auto"/>
        <w:right w:val="none" w:sz="0" w:space="0" w:color="auto"/>
      </w:divBdr>
    </w:div>
    <w:div w:id="1941375512">
      <w:bodyDiv w:val="1"/>
      <w:marLeft w:val="0"/>
      <w:marRight w:val="0"/>
      <w:marTop w:val="0"/>
      <w:marBottom w:val="0"/>
      <w:divBdr>
        <w:top w:val="none" w:sz="0" w:space="0" w:color="auto"/>
        <w:left w:val="none" w:sz="0" w:space="0" w:color="auto"/>
        <w:bottom w:val="none" w:sz="0" w:space="0" w:color="auto"/>
        <w:right w:val="none" w:sz="0" w:space="0" w:color="auto"/>
      </w:divBdr>
    </w:div>
    <w:div w:id="1941522873">
      <w:bodyDiv w:val="1"/>
      <w:marLeft w:val="0"/>
      <w:marRight w:val="0"/>
      <w:marTop w:val="0"/>
      <w:marBottom w:val="0"/>
      <w:divBdr>
        <w:top w:val="none" w:sz="0" w:space="0" w:color="auto"/>
        <w:left w:val="none" w:sz="0" w:space="0" w:color="auto"/>
        <w:bottom w:val="none" w:sz="0" w:space="0" w:color="auto"/>
        <w:right w:val="none" w:sz="0" w:space="0" w:color="auto"/>
      </w:divBdr>
    </w:div>
    <w:div w:id="1941569964">
      <w:bodyDiv w:val="1"/>
      <w:marLeft w:val="0"/>
      <w:marRight w:val="0"/>
      <w:marTop w:val="0"/>
      <w:marBottom w:val="0"/>
      <w:divBdr>
        <w:top w:val="none" w:sz="0" w:space="0" w:color="auto"/>
        <w:left w:val="none" w:sz="0" w:space="0" w:color="auto"/>
        <w:bottom w:val="none" w:sz="0" w:space="0" w:color="auto"/>
        <w:right w:val="none" w:sz="0" w:space="0" w:color="auto"/>
      </w:divBdr>
    </w:div>
    <w:div w:id="1941598204">
      <w:bodyDiv w:val="1"/>
      <w:marLeft w:val="0"/>
      <w:marRight w:val="0"/>
      <w:marTop w:val="0"/>
      <w:marBottom w:val="0"/>
      <w:divBdr>
        <w:top w:val="none" w:sz="0" w:space="0" w:color="auto"/>
        <w:left w:val="none" w:sz="0" w:space="0" w:color="auto"/>
        <w:bottom w:val="none" w:sz="0" w:space="0" w:color="auto"/>
        <w:right w:val="none" w:sz="0" w:space="0" w:color="auto"/>
      </w:divBdr>
    </w:div>
    <w:div w:id="1941646715">
      <w:bodyDiv w:val="1"/>
      <w:marLeft w:val="0"/>
      <w:marRight w:val="0"/>
      <w:marTop w:val="0"/>
      <w:marBottom w:val="0"/>
      <w:divBdr>
        <w:top w:val="none" w:sz="0" w:space="0" w:color="auto"/>
        <w:left w:val="none" w:sz="0" w:space="0" w:color="auto"/>
        <w:bottom w:val="none" w:sz="0" w:space="0" w:color="auto"/>
        <w:right w:val="none" w:sz="0" w:space="0" w:color="auto"/>
      </w:divBdr>
    </w:div>
    <w:div w:id="1941713919">
      <w:bodyDiv w:val="1"/>
      <w:marLeft w:val="0"/>
      <w:marRight w:val="0"/>
      <w:marTop w:val="0"/>
      <w:marBottom w:val="0"/>
      <w:divBdr>
        <w:top w:val="none" w:sz="0" w:space="0" w:color="auto"/>
        <w:left w:val="none" w:sz="0" w:space="0" w:color="auto"/>
        <w:bottom w:val="none" w:sz="0" w:space="0" w:color="auto"/>
        <w:right w:val="none" w:sz="0" w:space="0" w:color="auto"/>
      </w:divBdr>
    </w:div>
    <w:div w:id="1941714493">
      <w:bodyDiv w:val="1"/>
      <w:marLeft w:val="0"/>
      <w:marRight w:val="0"/>
      <w:marTop w:val="0"/>
      <w:marBottom w:val="0"/>
      <w:divBdr>
        <w:top w:val="none" w:sz="0" w:space="0" w:color="auto"/>
        <w:left w:val="none" w:sz="0" w:space="0" w:color="auto"/>
        <w:bottom w:val="none" w:sz="0" w:space="0" w:color="auto"/>
        <w:right w:val="none" w:sz="0" w:space="0" w:color="auto"/>
      </w:divBdr>
    </w:div>
    <w:div w:id="1941716094">
      <w:bodyDiv w:val="1"/>
      <w:marLeft w:val="0"/>
      <w:marRight w:val="0"/>
      <w:marTop w:val="0"/>
      <w:marBottom w:val="0"/>
      <w:divBdr>
        <w:top w:val="none" w:sz="0" w:space="0" w:color="auto"/>
        <w:left w:val="none" w:sz="0" w:space="0" w:color="auto"/>
        <w:bottom w:val="none" w:sz="0" w:space="0" w:color="auto"/>
        <w:right w:val="none" w:sz="0" w:space="0" w:color="auto"/>
      </w:divBdr>
    </w:div>
    <w:div w:id="1941990008">
      <w:bodyDiv w:val="1"/>
      <w:marLeft w:val="0"/>
      <w:marRight w:val="0"/>
      <w:marTop w:val="0"/>
      <w:marBottom w:val="0"/>
      <w:divBdr>
        <w:top w:val="none" w:sz="0" w:space="0" w:color="auto"/>
        <w:left w:val="none" w:sz="0" w:space="0" w:color="auto"/>
        <w:bottom w:val="none" w:sz="0" w:space="0" w:color="auto"/>
        <w:right w:val="none" w:sz="0" w:space="0" w:color="auto"/>
      </w:divBdr>
    </w:div>
    <w:div w:id="1942060476">
      <w:bodyDiv w:val="1"/>
      <w:marLeft w:val="0"/>
      <w:marRight w:val="0"/>
      <w:marTop w:val="0"/>
      <w:marBottom w:val="0"/>
      <w:divBdr>
        <w:top w:val="none" w:sz="0" w:space="0" w:color="auto"/>
        <w:left w:val="none" w:sz="0" w:space="0" w:color="auto"/>
        <w:bottom w:val="none" w:sz="0" w:space="0" w:color="auto"/>
        <w:right w:val="none" w:sz="0" w:space="0" w:color="auto"/>
      </w:divBdr>
    </w:div>
    <w:div w:id="1942378207">
      <w:bodyDiv w:val="1"/>
      <w:marLeft w:val="0"/>
      <w:marRight w:val="0"/>
      <w:marTop w:val="0"/>
      <w:marBottom w:val="0"/>
      <w:divBdr>
        <w:top w:val="none" w:sz="0" w:space="0" w:color="auto"/>
        <w:left w:val="none" w:sz="0" w:space="0" w:color="auto"/>
        <w:bottom w:val="none" w:sz="0" w:space="0" w:color="auto"/>
        <w:right w:val="none" w:sz="0" w:space="0" w:color="auto"/>
      </w:divBdr>
    </w:div>
    <w:div w:id="1942488079">
      <w:bodyDiv w:val="1"/>
      <w:marLeft w:val="0"/>
      <w:marRight w:val="0"/>
      <w:marTop w:val="0"/>
      <w:marBottom w:val="0"/>
      <w:divBdr>
        <w:top w:val="none" w:sz="0" w:space="0" w:color="auto"/>
        <w:left w:val="none" w:sz="0" w:space="0" w:color="auto"/>
        <w:bottom w:val="none" w:sz="0" w:space="0" w:color="auto"/>
        <w:right w:val="none" w:sz="0" w:space="0" w:color="auto"/>
      </w:divBdr>
    </w:div>
    <w:div w:id="1942688477">
      <w:bodyDiv w:val="1"/>
      <w:marLeft w:val="0"/>
      <w:marRight w:val="0"/>
      <w:marTop w:val="0"/>
      <w:marBottom w:val="0"/>
      <w:divBdr>
        <w:top w:val="none" w:sz="0" w:space="0" w:color="auto"/>
        <w:left w:val="none" w:sz="0" w:space="0" w:color="auto"/>
        <w:bottom w:val="none" w:sz="0" w:space="0" w:color="auto"/>
        <w:right w:val="none" w:sz="0" w:space="0" w:color="auto"/>
      </w:divBdr>
    </w:div>
    <w:div w:id="1942880655">
      <w:bodyDiv w:val="1"/>
      <w:marLeft w:val="0"/>
      <w:marRight w:val="0"/>
      <w:marTop w:val="0"/>
      <w:marBottom w:val="0"/>
      <w:divBdr>
        <w:top w:val="none" w:sz="0" w:space="0" w:color="auto"/>
        <w:left w:val="none" w:sz="0" w:space="0" w:color="auto"/>
        <w:bottom w:val="none" w:sz="0" w:space="0" w:color="auto"/>
        <w:right w:val="none" w:sz="0" w:space="0" w:color="auto"/>
      </w:divBdr>
    </w:div>
    <w:div w:id="1943142983">
      <w:bodyDiv w:val="1"/>
      <w:marLeft w:val="0"/>
      <w:marRight w:val="0"/>
      <w:marTop w:val="0"/>
      <w:marBottom w:val="0"/>
      <w:divBdr>
        <w:top w:val="none" w:sz="0" w:space="0" w:color="auto"/>
        <w:left w:val="none" w:sz="0" w:space="0" w:color="auto"/>
        <w:bottom w:val="none" w:sz="0" w:space="0" w:color="auto"/>
        <w:right w:val="none" w:sz="0" w:space="0" w:color="auto"/>
      </w:divBdr>
    </w:div>
    <w:div w:id="1943146364">
      <w:bodyDiv w:val="1"/>
      <w:marLeft w:val="0"/>
      <w:marRight w:val="0"/>
      <w:marTop w:val="0"/>
      <w:marBottom w:val="0"/>
      <w:divBdr>
        <w:top w:val="none" w:sz="0" w:space="0" w:color="auto"/>
        <w:left w:val="none" w:sz="0" w:space="0" w:color="auto"/>
        <w:bottom w:val="none" w:sz="0" w:space="0" w:color="auto"/>
        <w:right w:val="none" w:sz="0" w:space="0" w:color="auto"/>
      </w:divBdr>
    </w:div>
    <w:div w:id="1943218391">
      <w:bodyDiv w:val="1"/>
      <w:marLeft w:val="0"/>
      <w:marRight w:val="0"/>
      <w:marTop w:val="0"/>
      <w:marBottom w:val="0"/>
      <w:divBdr>
        <w:top w:val="none" w:sz="0" w:space="0" w:color="auto"/>
        <w:left w:val="none" w:sz="0" w:space="0" w:color="auto"/>
        <w:bottom w:val="none" w:sz="0" w:space="0" w:color="auto"/>
        <w:right w:val="none" w:sz="0" w:space="0" w:color="auto"/>
      </w:divBdr>
    </w:div>
    <w:div w:id="1943369276">
      <w:bodyDiv w:val="1"/>
      <w:marLeft w:val="0"/>
      <w:marRight w:val="0"/>
      <w:marTop w:val="0"/>
      <w:marBottom w:val="0"/>
      <w:divBdr>
        <w:top w:val="none" w:sz="0" w:space="0" w:color="auto"/>
        <w:left w:val="none" w:sz="0" w:space="0" w:color="auto"/>
        <w:bottom w:val="none" w:sz="0" w:space="0" w:color="auto"/>
        <w:right w:val="none" w:sz="0" w:space="0" w:color="auto"/>
      </w:divBdr>
    </w:div>
    <w:div w:id="1943684447">
      <w:bodyDiv w:val="1"/>
      <w:marLeft w:val="0"/>
      <w:marRight w:val="0"/>
      <w:marTop w:val="0"/>
      <w:marBottom w:val="0"/>
      <w:divBdr>
        <w:top w:val="none" w:sz="0" w:space="0" w:color="auto"/>
        <w:left w:val="none" w:sz="0" w:space="0" w:color="auto"/>
        <w:bottom w:val="none" w:sz="0" w:space="0" w:color="auto"/>
        <w:right w:val="none" w:sz="0" w:space="0" w:color="auto"/>
      </w:divBdr>
    </w:div>
    <w:div w:id="1943687350">
      <w:bodyDiv w:val="1"/>
      <w:marLeft w:val="0"/>
      <w:marRight w:val="0"/>
      <w:marTop w:val="0"/>
      <w:marBottom w:val="0"/>
      <w:divBdr>
        <w:top w:val="none" w:sz="0" w:space="0" w:color="auto"/>
        <w:left w:val="none" w:sz="0" w:space="0" w:color="auto"/>
        <w:bottom w:val="none" w:sz="0" w:space="0" w:color="auto"/>
        <w:right w:val="none" w:sz="0" w:space="0" w:color="auto"/>
      </w:divBdr>
    </w:div>
    <w:div w:id="1943757714">
      <w:bodyDiv w:val="1"/>
      <w:marLeft w:val="0"/>
      <w:marRight w:val="0"/>
      <w:marTop w:val="0"/>
      <w:marBottom w:val="0"/>
      <w:divBdr>
        <w:top w:val="none" w:sz="0" w:space="0" w:color="auto"/>
        <w:left w:val="none" w:sz="0" w:space="0" w:color="auto"/>
        <w:bottom w:val="none" w:sz="0" w:space="0" w:color="auto"/>
        <w:right w:val="none" w:sz="0" w:space="0" w:color="auto"/>
      </w:divBdr>
    </w:div>
    <w:div w:id="1944073382">
      <w:bodyDiv w:val="1"/>
      <w:marLeft w:val="0"/>
      <w:marRight w:val="0"/>
      <w:marTop w:val="0"/>
      <w:marBottom w:val="0"/>
      <w:divBdr>
        <w:top w:val="none" w:sz="0" w:space="0" w:color="auto"/>
        <w:left w:val="none" w:sz="0" w:space="0" w:color="auto"/>
        <w:bottom w:val="none" w:sz="0" w:space="0" w:color="auto"/>
        <w:right w:val="none" w:sz="0" w:space="0" w:color="auto"/>
      </w:divBdr>
    </w:div>
    <w:div w:id="1944148429">
      <w:bodyDiv w:val="1"/>
      <w:marLeft w:val="0"/>
      <w:marRight w:val="0"/>
      <w:marTop w:val="0"/>
      <w:marBottom w:val="0"/>
      <w:divBdr>
        <w:top w:val="none" w:sz="0" w:space="0" w:color="auto"/>
        <w:left w:val="none" w:sz="0" w:space="0" w:color="auto"/>
        <w:bottom w:val="none" w:sz="0" w:space="0" w:color="auto"/>
        <w:right w:val="none" w:sz="0" w:space="0" w:color="auto"/>
      </w:divBdr>
    </w:div>
    <w:div w:id="1944260385">
      <w:bodyDiv w:val="1"/>
      <w:marLeft w:val="0"/>
      <w:marRight w:val="0"/>
      <w:marTop w:val="0"/>
      <w:marBottom w:val="0"/>
      <w:divBdr>
        <w:top w:val="none" w:sz="0" w:space="0" w:color="auto"/>
        <w:left w:val="none" w:sz="0" w:space="0" w:color="auto"/>
        <w:bottom w:val="none" w:sz="0" w:space="0" w:color="auto"/>
        <w:right w:val="none" w:sz="0" w:space="0" w:color="auto"/>
      </w:divBdr>
    </w:div>
    <w:div w:id="1944260420">
      <w:bodyDiv w:val="1"/>
      <w:marLeft w:val="0"/>
      <w:marRight w:val="0"/>
      <w:marTop w:val="0"/>
      <w:marBottom w:val="0"/>
      <w:divBdr>
        <w:top w:val="none" w:sz="0" w:space="0" w:color="auto"/>
        <w:left w:val="none" w:sz="0" w:space="0" w:color="auto"/>
        <w:bottom w:val="none" w:sz="0" w:space="0" w:color="auto"/>
        <w:right w:val="none" w:sz="0" w:space="0" w:color="auto"/>
      </w:divBdr>
    </w:div>
    <w:div w:id="1944264752">
      <w:bodyDiv w:val="1"/>
      <w:marLeft w:val="0"/>
      <w:marRight w:val="0"/>
      <w:marTop w:val="0"/>
      <w:marBottom w:val="0"/>
      <w:divBdr>
        <w:top w:val="none" w:sz="0" w:space="0" w:color="auto"/>
        <w:left w:val="none" w:sz="0" w:space="0" w:color="auto"/>
        <w:bottom w:val="none" w:sz="0" w:space="0" w:color="auto"/>
        <w:right w:val="none" w:sz="0" w:space="0" w:color="auto"/>
      </w:divBdr>
    </w:div>
    <w:div w:id="1944338645">
      <w:bodyDiv w:val="1"/>
      <w:marLeft w:val="0"/>
      <w:marRight w:val="0"/>
      <w:marTop w:val="0"/>
      <w:marBottom w:val="0"/>
      <w:divBdr>
        <w:top w:val="none" w:sz="0" w:space="0" w:color="auto"/>
        <w:left w:val="none" w:sz="0" w:space="0" w:color="auto"/>
        <w:bottom w:val="none" w:sz="0" w:space="0" w:color="auto"/>
        <w:right w:val="none" w:sz="0" w:space="0" w:color="auto"/>
      </w:divBdr>
    </w:div>
    <w:div w:id="1944413639">
      <w:bodyDiv w:val="1"/>
      <w:marLeft w:val="0"/>
      <w:marRight w:val="0"/>
      <w:marTop w:val="0"/>
      <w:marBottom w:val="0"/>
      <w:divBdr>
        <w:top w:val="none" w:sz="0" w:space="0" w:color="auto"/>
        <w:left w:val="none" w:sz="0" w:space="0" w:color="auto"/>
        <w:bottom w:val="none" w:sz="0" w:space="0" w:color="auto"/>
        <w:right w:val="none" w:sz="0" w:space="0" w:color="auto"/>
      </w:divBdr>
    </w:div>
    <w:div w:id="1944461911">
      <w:bodyDiv w:val="1"/>
      <w:marLeft w:val="0"/>
      <w:marRight w:val="0"/>
      <w:marTop w:val="0"/>
      <w:marBottom w:val="0"/>
      <w:divBdr>
        <w:top w:val="none" w:sz="0" w:space="0" w:color="auto"/>
        <w:left w:val="none" w:sz="0" w:space="0" w:color="auto"/>
        <w:bottom w:val="none" w:sz="0" w:space="0" w:color="auto"/>
        <w:right w:val="none" w:sz="0" w:space="0" w:color="auto"/>
      </w:divBdr>
    </w:div>
    <w:div w:id="1944528695">
      <w:bodyDiv w:val="1"/>
      <w:marLeft w:val="0"/>
      <w:marRight w:val="0"/>
      <w:marTop w:val="0"/>
      <w:marBottom w:val="0"/>
      <w:divBdr>
        <w:top w:val="none" w:sz="0" w:space="0" w:color="auto"/>
        <w:left w:val="none" w:sz="0" w:space="0" w:color="auto"/>
        <w:bottom w:val="none" w:sz="0" w:space="0" w:color="auto"/>
        <w:right w:val="none" w:sz="0" w:space="0" w:color="auto"/>
      </w:divBdr>
    </w:div>
    <w:div w:id="1944603113">
      <w:bodyDiv w:val="1"/>
      <w:marLeft w:val="0"/>
      <w:marRight w:val="0"/>
      <w:marTop w:val="0"/>
      <w:marBottom w:val="0"/>
      <w:divBdr>
        <w:top w:val="none" w:sz="0" w:space="0" w:color="auto"/>
        <w:left w:val="none" w:sz="0" w:space="0" w:color="auto"/>
        <w:bottom w:val="none" w:sz="0" w:space="0" w:color="auto"/>
        <w:right w:val="none" w:sz="0" w:space="0" w:color="auto"/>
      </w:divBdr>
    </w:div>
    <w:div w:id="1945310005">
      <w:bodyDiv w:val="1"/>
      <w:marLeft w:val="0"/>
      <w:marRight w:val="0"/>
      <w:marTop w:val="0"/>
      <w:marBottom w:val="0"/>
      <w:divBdr>
        <w:top w:val="none" w:sz="0" w:space="0" w:color="auto"/>
        <w:left w:val="none" w:sz="0" w:space="0" w:color="auto"/>
        <w:bottom w:val="none" w:sz="0" w:space="0" w:color="auto"/>
        <w:right w:val="none" w:sz="0" w:space="0" w:color="auto"/>
      </w:divBdr>
    </w:div>
    <w:div w:id="1945843844">
      <w:bodyDiv w:val="1"/>
      <w:marLeft w:val="0"/>
      <w:marRight w:val="0"/>
      <w:marTop w:val="0"/>
      <w:marBottom w:val="0"/>
      <w:divBdr>
        <w:top w:val="none" w:sz="0" w:space="0" w:color="auto"/>
        <w:left w:val="none" w:sz="0" w:space="0" w:color="auto"/>
        <w:bottom w:val="none" w:sz="0" w:space="0" w:color="auto"/>
        <w:right w:val="none" w:sz="0" w:space="0" w:color="auto"/>
      </w:divBdr>
    </w:div>
    <w:div w:id="1945914799">
      <w:bodyDiv w:val="1"/>
      <w:marLeft w:val="0"/>
      <w:marRight w:val="0"/>
      <w:marTop w:val="0"/>
      <w:marBottom w:val="0"/>
      <w:divBdr>
        <w:top w:val="none" w:sz="0" w:space="0" w:color="auto"/>
        <w:left w:val="none" w:sz="0" w:space="0" w:color="auto"/>
        <w:bottom w:val="none" w:sz="0" w:space="0" w:color="auto"/>
        <w:right w:val="none" w:sz="0" w:space="0" w:color="auto"/>
      </w:divBdr>
    </w:div>
    <w:div w:id="1945920359">
      <w:bodyDiv w:val="1"/>
      <w:marLeft w:val="0"/>
      <w:marRight w:val="0"/>
      <w:marTop w:val="0"/>
      <w:marBottom w:val="0"/>
      <w:divBdr>
        <w:top w:val="none" w:sz="0" w:space="0" w:color="auto"/>
        <w:left w:val="none" w:sz="0" w:space="0" w:color="auto"/>
        <w:bottom w:val="none" w:sz="0" w:space="0" w:color="auto"/>
        <w:right w:val="none" w:sz="0" w:space="0" w:color="auto"/>
      </w:divBdr>
    </w:div>
    <w:div w:id="1945961847">
      <w:bodyDiv w:val="1"/>
      <w:marLeft w:val="0"/>
      <w:marRight w:val="0"/>
      <w:marTop w:val="0"/>
      <w:marBottom w:val="0"/>
      <w:divBdr>
        <w:top w:val="none" w:sz="0" w:space="0" w:color="auto"/>
        <w:left w:val="none" w:sz="0" w:space="0" w:color="auto"/>
        <w:bottom w:val="none" w:sz="0" w:space="0" w:color="auto"/>
        <w:right w:val="none" w:sz="0" w:space="0" w:color="auto"/>
      </w:divBdr>
    </w:div>
    <w:div w:id="1946110293">
      <w:bodyDiv w:val="1"/>
      <w:marLeft w:val="0"/>
      <w:marRight w:val="0"/>
      <w:marTop w:val="0"/>
      <w:marBottom w:val="0"/>
      <w:divBdr>
        <w:top w:val="none" w:sz="0" w:space="0" w:color="auto"/>
        <w:left w:val="none" w:sz="0" w:space="0" w:color="auto"/>
        <w:bottom w:val="none" w:sz="0" w:space="0" w:color="auto"/>
        <w:right w:val="none" w:sz="0" w:space="0" w:color="auto"/>
      </w:divBdr>
    </w:div>
    <w:div w:id="1946110404">
      <w:bodyDiv w:val="1"/>
      <w:marLeft w:val="0"/>
      <w:marRight w:val="0"/>
      <w:marTop w:val="0"/>
      <w:marBottom w:val="0"/>
      <w:divBdr>
        <w:top w:val="none" w:sz="0" w:space="0" w:color="auto"/>
        <w:left w:val="none" w:sz="0" w:space="0" w:color="auto"/>
        <w:bottom w:val="none" w:sz="0" w:space="0" w:color="auto"/>
        <w:right w:val="none" w:sz="0" w:space="0" w:color="auto"/>
      </w:divBdr>
    </w:div>
    <w:div w:id="1946183113">
      <w:bodyDiv w:val="1"/>
      <w:marLeft w:val="0"/>
      <w:marRight w:val="0"/>
      <w:marTop w:val="0"/>
      <w:marBottom w:val="0"/>
      <w:divBdr>
        <w:top w:val="none" w:sz="0" w:space="0" w:color="auto"/>
        <w:left w:val="none" w:sz="0" w:space="0" w:color="auto"/>
        <w:bottom w:val="none" w:sz="0" w:space="0" w:color="auto"/>
        <w:right w:val="none" w:sz="0" w:space="0" w:color="auto"/>
      </w:divBdr>
    </w:div>
    <w:div w:id="1946426717">
      <w:bodyDiv w:val="1"/>
      <w:marLeft w:val="0"/>
      <w:marRight w:val="0"/>
      <w:marTop w:val="0"/>
      <w:marBottom w:val="0"/>
      <w:divBdr>
        <w:top w:val="none" w:sz="0" w:space="0" w:color="auto"/>
        <w:left w:val="none" w:sz="0" w:space="0" w:color="auto"/>
        <w:bottom w:val="none" w:sz="0" w:space="0" w:color="auto"/>
        <w:right w:val="none" w:sz="0" w:space="0" w:color="auto"/>
      </w:divBdr>
    </w:div>
    <w:div w:id="1946569069">
      <w:bodyDiv w:val="1"/>
      <w:marLeft w:val="0"/>
      <w:marRight w:val="0"/>
      <w:marTop w:val="0"/>
      <w:marBottom w:val="0"/>
      <w:divBdr>
        <w:top w:val="none" w:sz="0" w:space="0" w:color="auto"/>
        <w:left w:val="none" w:sz="0" w:space="0" w:color="auto"/>
        <w:bottom w:val="none" w:sz="0" w:space="0" w:color="auto"/>
        <w:right w:val="none" w:sz="0" w:space="0" w:color="auto"/>
      </w:divBdr>
    </w:div>
    <w:div w:id="1946769739">
      <w:bodyDiv w:val="1"/>
      <w:marLeft w:val="0"/>
      <w:marRight w:val="0"/>
      <w:marTop w:val="0"/>
      <w:marBottom w:val="0"/>
      <w:divBdr>
        <w:top w:val="none" w:sz="0" w:space="0" w:color="auto"/>
        <w:left w:val="none" w:sz="0" w:space="0" w:color="auto"/>
        <w:bottom w:val="none" w:sz="0" w:space="0" w:color="auto"/>
        <w:right w:val="none" w:sz="0" w:space="0" w:color="auto"/>
      </w:divBdr>
    </w:div>
    <w:div w:id="1946771772">
      <w:bodyDiv w:val="1"/>
      <w:marLeft w:val="0"/>
      <w:marRight w:val="0"/>
      <w:marTop w:val="0"/>
      <w:marBottom w:val="0"/>
      <w:divBdr>
        <w:top w:val="none" w:sz="0" w:space="0" w:color="auto"/>
        <w:left w:val="none" w:sz="0" w:space="0" w:color="auto"/>
        <w:bottom w:val="none" w:sz="0" w:space="0" w:color="auto"/>
        <w:right w:val="none" w:sz="0" w:space="0" w:color="auto"/>
      </w:divBdr>
    </w:div>
    <w:div w:id="1946884786">
      <w:bodyDiv w:val="1"/>
      <w:marLeft w:val="0"/>
      <w:marRight w:val="0"/>
      <w:marTop w:val="0"/>
      <w:marBottom w:val="0"/>
      <w:divBdr>
        <w:top w:val="none" w:sz="0" w:space="0" w:color="auto"/>
        <w:left w:val="none" w:sz="0" w:space="0" w:color="auto"/>
        <w:bottom w:val="none" w:sz="0" w:space="0" w:color="auto"/>
        <w:right w:val="none" w:sz="0" w:space="0" w:color="auto"/>
      </w:divBdr>
    </w:div>
    <w:div w:id="1947075010">
      <w:bodyDiv w:val="1"/>
      <w:marLeft w:val="0"/>
      <w:marRight w:val="0"/>
      <w:marTop w:val="0"/>
      <w:marBottom w:val="0"/>
      <w:divBdr>
        <w:top w:val="none" w:sz="0" w:space="0" w:color="auto"/>
        <w:left w:val="none" w:sz="0" w:space="0" w:color="auto"/>
        <w:bottom w:val="none" w:sz="0" w:space="0" w:color="auto"/>
        <w:right w:val="none" w:sz="0" w:space="0" w:color="auto"/>
      </w:divBdr>
    </w:div>
    <w:div w:id="1947081702">
      <w:bodyDiv w:val="1"/>
      <w:marLeft w:val="0"/>
      <w:marRight w:val="0"/>
      <w:marTop w:val="0"/>
      <w:marBottom w:val="0"/>
      <w:divBdr>
        <w:top w:val="none" w:sz="0" w:space="0" w:color="auto"/>
        <w:left w:val="none" w:sz="0" w:space="0" w:color="auto"/>
        <w:bottom w:val="none" w:sz="0" w:space="0" w:color="auto"/>
        <w:right w:val="none" w:sz="0" w:space="0" w:color="auto"/>
      </w:divBdr>
    </w:div>
    <w:div w:id="1947150533">
      <w:bodyDiv w:val="1"/>
      <w:marLeft w:val="0"/>
      <w:marRight w:val="0"/>
      <w:marTop w:val="0"/>
      <w:marBottom w:val="0"/>
      <w:divBdr>
        <w:top w:val="none" w:sz="0" w:space="0" w:color="auto"/>
        <w:left w:val="none" w:sz="0" w:space="0" w:color="auto"/>
        <w:bottom w:val="none" w:sz="0" w:space="0" w:color="auto"/>
        <w:right w:val="none" w:sz="0" w:space="0" w:color="auto"/>
      </w:divBdr>
    </w:div>
    <w:div w:id="1947275899">
      <w:bodyDiv w:val="1"/>
      <w:marLeft w:val="0"/>
      <w:marRight w:val="0"/>
      <w:marTop w:val="0"/>
      <w:marBottom w:val="0"/>
      <w:divBdr>
        <w:top w:val="none" w:sz="0" w:space="0" w:color="auto"/>
        <w:left w:val="none" w:sz="0" w:space="0" w:color="auto"/>
        <w:bottom w:val="none" w:sz="0" w:space="0" w:color="auto"/>
        <w:right w:val="none" w:sz="0" w:space="0" w:color="auto"/>
      </w:divBdr>
    </w:div>
    <w:div w:id="1947425761">
      <w:bodyDiv w:val="1"/>
      <w:marLeft w:val="0"/>
      <w:marRight w:val="0"/>
      <w:marTop w:val="0"/>
      <w:marBottom w:val="0"/>
      <w:divBdr>
        <w:top w:val="none" w:sz="0" w:space="0" w:color="auto"/>
        <w:left w:val="none" w:sz="0" w:space="0" w:color="auto"/>
        <w:bottom w:val="none" w:sz="0" w:space="0" w:color="auto"/>
        <w:right w:val="none" w:sz="0" w:space="0" w:color="auto"/>
      </w:divBdr>
    </w:div>
    <w:div w:id="1947695174">
      <w:bodyDiv w:val="1"/>
      <w:marLeft w:val="0"/>
      <w:marRight w:val="0"/>
      <w:marTop w:val="0"/>
      <w:marBottom w:val="0"/>
      <w:divBdr>
        <w:top w:val="none" w:sz="0" w:space="0" w:color="auto"/>
        <w:left w:val="none" w:sz="0" w:space="0" w:color="auto"/>
        <w:bottom w:val="none" w:sz="0" w:space="0" w:color="auto"/>
        <w:right w:val="none" w:sz="0" w:space="0" w:color="auto"/>
      </w:divBdr>
    </w:div>
    <w:div w:id="1948193205">
      <w:bodyDiv w:val="1"/>
      <w:marLeft w:val="0"/>
      <w:marRight w:val="0"/>
      <w:marTop w:val="0"/>
      <w:marBottom w:val="0"/>
      <w:divBdr>
        <w:top w:val="none" w:sz="0" w:space="0" w:color="auto"/>
        <w:left w:val="none" w:sz="0" w:space="0" w:color="auto"/>
        <w:bottom w:val="none" w:sz="0" w:space="0" w:color="auto"/>
        <w:right w:val="none" w:sz="0" w:space="0" w:color="auto"/>
      </w:divBdr>
    </w:div>
    <w:div w:id="1948198467">
      <w:bodyDiv w:val="1"/>
      <w:marLeft w:val="0"/>
      <w:marRight w:val="0"/>
      <w:marTop w:val="0"/>
      <w:marBottom w:val="0"/>
      <w:divBdr>
        <w:top w:val="none" w:sz="0" w:space="0" w:color="auto"/>
        <w:left w:val="none" w:sz="0" w:space="0" w:color="auto"/>
        <w:bottom w:val="none" w:sz="0" w:space="0" w:color="auto"/>
        <w:right w:val="none" w:sz="0" w:space="0" w:color="auto"/>
      </w:divBdr>
    </w:div>
    <w:div w:id="1948341315">
      <w:bodyDiv w:val="1"/>
      <w:marLeft w:val="0"/>
      <w:marRight w:val="0"/>
      <w:marTop w:val="0"/>
      <w:marBottom w:val="0"/>
      <w:divBdr>
        <w:top w:val="none" w:sz="0" w:space="0" w:color="auto"/>
        <w:left w:val="none" w:sz="0" w:space="0" w:color="auto"/>
        <w:bottom w:val="none" w:sz="0" w:space="0" w:color="auto"/>
        <w:right w:val="none" w:sz="0" w:space="0" w:color="auto"/>
      </w:divBdr>
    </w:div>
    <w:div w:id="1948385445">
      <w:bodyDiv w:val="1"/>
      <w:marLeft w:val="0"/>
      <w:marRight w:val="0"/>
      <w:marTop w:val="0"/>
      <w:marBottom w:val="0"/>
      <w:divBdr>
        <w:top w:val="none" w:sz="0" w:space="0" w:color="auto"/>
        <w:left w:val="none" w:sz="0" w:space="0" w:color="auto"/>
        <w:bottom w:val="none" w:sz="0" w:space="0" w:color="auto"/>
        <w:right w:val="none" w:sz="0" w:space="0" w:color="auto"/>
      </w:divBdr>
    </w:div>
    <w:div w:id="1948468567">
      <w:bodyDiv w:val="1"/>
      <w:marLeft w:val="0"/>
      <w:marRight w:val="0"/>
      <w:marTop w:val="0"/>
      <w:marBottom w:val="0"/>
      <w:divBdr>
        <w:top w:val="none" w:sz="0" w:space="0" w:color="auto"/>
        <w:left w:val="none" w:sz="0" w:space="0" w:color="auto"/>
        <w:bottom w:val="none" w:sz="0" w:space="0" w:color="auto"/>
        <w:right w:val="none" w:sz="0" w:space="0" w:color="auto"/>
      </w:divBdr>
    </w:div>
    <w:div w:id="1948582329">
      <w:bodyDiv w:val="1"/>
      <w:marLeft w:val="0"/>
      <w:marRight w:val="0"/>
      <w:marTop w:val="0"/>
      <w:marBottom w:val="0"/>
      <w:divBdr>
        <w:top w:val="none" w:sz="0" w:space="0" w:color="auto"/>
        <w:left w:val="none" w:sz="0" w:space="0" w:color="auto"/>
        <w:bottom w:val="none" w:sz="0" w:space="0" w:color="auto"/>
        <w:right w:val="none" w:sz="0" w:space="0" w:color="auto"/>
      </w:divBdr>
    </w:div>
    <w:div w:id="1948610169">
      <w:bodyDiv w:val="1"/>
      <w:marLeft w:val="0"/>
      <w:marRight w:val="0"/>
      <w:marTop w:val="0"/>
      <w:marBottom w:val="0"/>
      <w:divBdr>
        <w:top w:val="none" w:sz="0" w:space="0" w:color="auto"/>
        <w:left w:val="none" w:sz="0" w:space="0" w:color="auto"/>
        <w:bottom w:val="none" w:sz="0" w:space="0" w:color="auto"/>
        <w:right w:val="none" w:sz="0" w:space="0" w:color="auto"/>
      </w:divBdr>
    </w:div>
    <w:div w:id="1948611398">
      <w:bodyDiv w:val="1"/>
      <w:marLeft w:val="0"/>
      <w:marRight w:val="0"/>
      <w:marTop w:val="0"/>
      <w:marBottom w:val="0"/>
      <w:divBdr>
        <w:top w:val="none" w:sz="0" w:space="0" w:color="auto"/>
        <w:left w:val="none" w:sz="0" w:space="0" w:color="auto"/>
        <w:bottom w:val="none" w:sz="0" w:space="0" w:color="auto"/>
        <w:right w:val="none" w:sz="0" w:space="0" w:color="auto"/>
      </w:divBdr>
    </w:div>
    <w:div w:id="1948662049">
      <w:bodyDiv w:val="1"/>
      <w:marLeft w:val="0"/>
      <w:marRight w:val="0"/>
      <w:marTop w:val="0"/>
      <w:marBottom w:val="0"/>
      <w:divBdr>
        <w:top w:val="none" w:sz="0" w:space="0" w:color="auto"/>
        <w:left w:val="none" w:sz="0" w:space="0" w:color="auto"/>
        <w:bottom w:val="none" w:sz="0" w:space="0" w:color="auto"/>
        <w:right w:val="none" w:sz="0" w:space="0" w:color="auto"/>
      </w:divBdr>
    </w:div>
    <w:div w:id="1948736450">
      <w:bodyDiv w:val="1"/>
      <w:marLeft w:val="0"/>
      <w:marRight w:val="0"/>
      <w:marTop w:val="0"/>
      <w:marBottom w:val="0"/>
      <w:divBdr>
        <w:top w:val="none" w:sz="0" w:space="0" w:color="auto"/>
        <w:left w:val="none" w:sz="0" w:space="0" w:color="auto"/>
        <w:bottom w:val="none" w:sz="0" w:space="0" w:color="auto"/>
        <w:right w:val="none" w:sz="0" w:space="0" w:color="auto"/>
      </w:divBdr>
    </w:div>
    <w:div w:id="1948804580">
      <w:bodyDiv w:val="1"/>
      <w:marLeft w:val="0"/>
      <w:marRight w:val="0"/>
      <w:marTop w:val="0"/>
      <w:marBottom w:val="0"/>
      <w:divBdr>
        <w:top w:val="none" w:sz="0" w:space="0" w:color="auto"/>
        <w:left w:val="none" w:sz="0" w:space="0" w:color="auto"/>
        <w:bottom w:val="none" w:sz="0" w:space="0" w:color="auto"/>
        <w:right w:val="none" w:sz="0" w:space="0" w:color="auto"/>
      </w:divBdr>
    </w:div>
    <w:div w:id="1948805781">
      <w:bodyDiv w:val="1"/>
      <w:marLeft w:val="0"/>
      <w:marRight w:val="0"/>
      <w:marTop w:val="0"/>
      <w:marBottom w:val="0"/>
      <w:divBdr>
        <w:top w:val="none" w:sz="0" w:space="0" w:color="auto"/>
        <w:left w:val="none" w:sz="0" w:space="0" w:color="auto"/>
        <w:bottom w:val="none" w:sz="0" w:space="0" w:color="auto"/>
        <w:right w:val="none" w:sz="0" w:space="0" w:color="auto"/>
      </w:divBdr>
    </w:div>
    <w:div w:id="1949197282">
      <w:bodyDiv w:val="1"/>
      <w:marLeft w:val="0"/>
      <w:marRight w:val="0"/>
      <w:marTop w:val="0"/>
      <w:marBottom w:val="0"/>
      <w:divBdr>
        <w:top w:val="none" w:sz="0" w:space="0" w:color="auto"/>
        <w:left w:val="none" w:sz="0" w:space="0" w:color="auto"/>
        <w:bottom w:val="none" w:sz="0" w:space="0" w:color="auto"/>
        <w:right w:val="none" w:sz="0" w:space="0" w:color="auto"/>
      </w:divBdr>
    </w:div>
    <w:div w:id="1949458966">
      <w:bodyDiv w:val="1"/>
      <w:marLeft w:val="0"/>
      <w:marRight w:val="0"/>
      <w:marTop w:val="0"/>
      <w:marBottom w:val="0"/>
      <w:divBdr>
        <w:top w:val="none" w:sz="0" w:space="0" w:color="auto"/>
        <w:left w:val="none" w:sz="0" w:space="0" w:color="auto"/>
        <w:bottom w:val="none" w:sz="0" w:space="0" w:color="auto"/>
        <w:right w:val="none" w:sz="0" w:space="0" w:color="auto"/>
      </w:divBdr>
    </w:div>
    <w:div w:id="1949505309">
      <w:bodyDiv w:val="1"/>
      <w:marLeft w:val="0"/>
      <w:marRight w:val="0"/>
      <w:marTop w:val="0"/>
      <w:marBottom w:val="0"/>
      <w:divBdr>
        <w:top w:val="none" w:sz="0" w:space="0" w:color="auto"/>
        <w:left w:val="none" w:sz="0" w:space="0" w:color="auto"/>
        <w:bottom w:val="none" w:sz="0" w:space="0" w:color="auto"/>
        <w:right w:val="none" w:sz="0" w:space="0" w:color="auto"/>
      </w:divBdr>
    </w:div>
    <w:div w:id="1950116819">
      <w:bodyDiv w:val="1"/>
      <w:marLeft w:val="0"/>
      <w:marRight w:val="0"/>
      <w:marTop w:val="0"/>
      <w:marBottom w:val="0"/>
      <w:divBdr>
        <w:top w:val="none" w:sz="0" w:space="0" w:color="auto"/>
        <w:left w:val="none" w:sz="0" w:space="0" w:color="auto"/>
        <w:bottom w:val="none" w:sz="0" w:space="0" w:color="auto"/>
        <w:right w:val="none" w:sz="0" w:space="0" w:color="auto"/>
      </w:divBdr>
    </w:div>
    <w:div w:id="1950162087">
      <w:bodyDiv w:val="1"/>
      <w:marLeft w:val="0"/>
      <w:marRight w:val="0"/>
      <w:marTop w:val="0"/>
      <w:marBottom w:val="0"/>
      <w:divBdr>
        <w:top w:val="none" w:sz="0" w:space="0" w:color="auto"/>
        <w:left w:val="none" w:sz="0" w:space="0" w:color="auto"/>
        <w:bottom w:val="none" w:sz="0" w:space="0" w:color="auto"/>
        <w:right w:val="none" w:sz="0" w:space="0" w:color="auto"/>
      </w:divBdr>
    </w:div>
    <w:div w:id="1950576980">
      <w:bodyDiv w:val="1"/>
      <w:marLeft w:val="0"/>
      <w:marRight w:val="0"/>
      <w:marTop w:val="0"/>
      <w:marBottom w:val="0"/>
      <w:divBdr>
        <w:top w:val="none" w:sz="0" w:space="0" w:color="auto"/>
        <w:left w:val="none" w:sz="0" w:space="0" w:color="auto"/>
        <w:bottom w:val="none" w:sz="0" w:space="0" w:color="auto"/>
        <w:right w:val="none" w:sz="0" w:space="0" w:color="auto"/>
      </w:divBdr>
    </w:div>
    <w:div w:id="1950816622">
      <w:bodyDiv w:val="1"/>
      <w:marLeft w:val="0"/>
      <w:marRight w:val="0"/>
      <w:marTop w:val="0"/>
      <w:marBottom w:val="0"/>
      <w:divBdr>
        <w:top w:val="none" w:sz="0" w:space="0" w:color="auto"/>
        <w:left w:val="none" w:sz="0" w:space="0" w:color="auto"/>
        <w:bottom w:val="none" w:sz="0" w:space="0" w:color="auto"/>
        <w:right w:val="none" w:sz="0" w:space="0" w:color="auto"/>
      </w:divBdr>
    </w:div>
    <w:div w:id="1950893616">
      <w:bodyDiv w:val="1"/>
      <w:marLeft w:val="0"/>
      <w:marRight w:val="0"/>
      <w:marTop w:val="0"/>
      <w:marBottom w:val="0"/>
      <w:divBdr>
        <w:top w:val="none" w:sz="0" w:space="0" w:color="auto"/>
        <w:left w:val="none" w:sz="0" w:space="0" w:color="auto"/>
        <w:bottom w:val="none" w:sz="0" w:space="0" w:color="auto"/>
        <w:right w:val="none" w:sz="0" w:space="0" w:color="auto"/>
      </w:divBdr>
    </w:div>
    <w:div w:id="1950894186">
      <w:bodyDiv w:val="1"/>
      <w:marLeft w:val="0"/>
      <w:marRight w:val="0"/>
      <w:marTop w:val="0"/>
      <w:marBottom w:val="0"/>
      <w:divBdr>
        <w:top w:val="none" w:sz="0" w:space="0" w:color="auto"/>
        <w:left w:val="none" w:sz="0" w:space="0" w:color="auto"/>
        <w:bottom w:val="none" w:sz="0" w:space="0" w:color="auto"/>
        <w:right w:val="none" w:sz="0" w:space="0" w:color="auto"/>
      </w:divBdr>
    </w:div>
    <w:div w:id="1950967051">
      <w:bodyDiv w:val="1"/>
      <w:marLeft w:val="0"/>
      <w:marRight w:val="0"/>
      <w:marTop w:val="0"/>
      <w:marBottom w:val="0"/>
      <w:divBdr>
        <w:top w:val="none" w:sz="0" w:space="0" w:color="auto"/>
        <w:left w:val="none" w:sz="0" w:space="0" w:color="auto"/>
        <w:bottom w:val="none" w:sz="0" w:space="0" w:color="auto"/>
        <w:right w:val="none" w:sz="0" w:space="0" w:color="auto"/>
      </w:divBdr>
    </w:div>
    <w:div w:id="1951038414">
      <w:bodyDiv w:val="1"/>
      <w:marLeft w:val="0"/>
      <w:marRight w:val="0"/>
      <w:marTop w:val="0"/>
      <w:marBottom w:val="0"/>
      <w:divBdr>
        <w:top w:val="none" w:sz="0" w:space="0" w:color="auto"/>
        <w:left w:val="none" w:sz="0" w:space="0" w:color="auto"/>
        <w:bottom w:val="none" w:sz="0" w:space="0" w:color="auto"/>
        <w:right w:val="none" w:sz="0" w:space="0" w:color="auto"/>
      </w:divBdr>
    </w:div>
    <w:div w:id="1951083027">
      <w:bodyDiv w:val="1"/>
      <w:marLeft w:val="0"/>
      <w:marRight w:val="0"/>
      <w:marTop w:val="0"/>
      <w:marBottom w:val="0"/>
      <w:divBdr>
        <w:top w:val="none" w:sz="0" w:space="0" w:color="auto"/>
        <w:left w:val="none" w:sz="0" w:space="0" w:color="auto"/>
        <w:bottom w:val="none" w:sz="0" w:space="0" w:color="auto"/>
        <w:right w:val="none" w:sz="0" w:space="0" w:color="auto"/>
      </w:divBdr>
    </w:div>
    <w:div w:id="1951206966">
      <w:bodyDiv w:val="1"/>
      <w:marLeft w:val="0"/>
      <w:marRight w:val="0"/>
      <w:marTop w:val="0"/>
      <w:marBottom w:val="0"/>
      <w:divBdr>
        <w:top w:val="none" w:sz="0" w:space="0" w:color="auto"/>
        <w:left w:val="none" w:sz="0" w:space="0" w:color="auto"/>
        <w:bottom w:val="none" w:sz="0" w:space="0" w:color="auto"/>
        <w:right w:val="none" w:sz="0" w:space="0" w:color="auto"/>
      </w:divBdr>
    </w:div>
    <w:div w:id="1951665145">
      <w:bodyDiv w:val="1"/>
      <w:marLeft w:val="0"/>
      <w:marRight w:val="0"/>
      <w:marTop w:val="0"/>
      <w:marBottom w:val="0"/>
      <w:divBdr>
        <w:top w:val="none" w:sz="0" w:space="0" w:color="auto"/>
        <w:left w:val="none" w:sz="0" w:space="0" w:color="auto"/>
        <w:bottom w:val="none" w:sz="0" w:space="0" w:color="auto"/>
        <w:right w:val="none" w:sz="0" w:space="0" w:color="auto"/>
      </w:divBdr>
    </w:div>
    <w:div w:id="1951666729">
      <w:bodyDiv w:val="1"/>
      <w:marLeft w:val="0"/>
      <w:marRight w:val="0"/>
      <w:marTop w:val="0"/>
      <w:marBottom w:val="0"/>
      <w:divBdr>
        <w:top w:val="none" w:sz="0" w:space="0" w:color="auto"/>
        <w:left w:val="none" w:sz="0" w:space="0" w:color="auto"/>
        <w:bottom w:val="none" w:sz="0" w:space="0" w:color="auto"/>
        <w:right w:val="none" w:sz="0" w:space="0" w:color="auto"/>
      </w:divBdr>
    </w:div>
    <w:div w:id="1951740943">
      <w:bodyDiv w:val="1"/>
      <w:marLeft w:val="0"/>
      <w:marRight w:val="0"/>
      <w:marTop w:val="0"/>
      <w:marBottom w:val="0"/>
      <w:divBdr>
        <w:top w:val="none" w:sz="0" w:space="0" w:color="auto"/>
        <w:left w:val="none" w:sz="0" w:space="0" w:color="auto"/>
        <w:bottom w:val="none" w:sz="0" w:space="0" w:color="auto"/>
        <w:right w:val="none" w:sz="0" w:space="0" w:color="auto"/>
      </w:divBdr>
    </w:div>
    <w:div w:id="1951813922">
      <w:bodyDiv w:val="1"/>
      <w:marLeft w:val="0"/>
      <w:marRight w:val="0"/>
      <w:marTop w:val="0"/>
      <w:marBottom w:val="0"/>
      <w:divBdr>
        <w:top w:val="none" w:sz="0" w:space="0" w:color="auto"/>
        <w:left w:val="none" w:sz="0" w:space="0" w:color="auto"/>
        <w:bottom w:val="none" w:sz="0" w:space="0" w:color="auto"/>
        <w:right w:val="none" w:sz="0" w:space="0" w:color="auto"/>
      </w:divBdr>
    </w:div>
    <w:div w:id="1951890262">
      <w:bodyDiv w:val="1"/>
      <w:marLeft w:val="0"/>
      <w:marRight w:val="0"/>
      <w:marTop w:val="0"/>
      <w:marBottom w:val="0"/>
      <w:divBdr>
        <w:top w:val="none" w:sz="0" w:space="0" w:color="auto"/>
        <w:left w:val="none" w:sz="0" w:space="0" w:color="auto"/>
        <w:bottom w:val="none" w:sz="0" w:space="0" w:color="auto"/>
        <w:right w:val="none" w:sz="0" w:space="0" w:color="auto"/>
      </w:divBdr>
    </w:div>
    <w:div w:id="1951931835">
      <w:bodyDiv w:val="1"/>
      <w:marLeft w:val="0"/>
      <w:marRight w:val="0"/>
      <w:marTop w:val="0"/>
      <w:marBottom w:val="0"/>
      <w:divBdr>
        <w:top w:val="none" w:sz="0" w:space="0" w:color="auto"/>
        <w:left w:val="none" w:sz="0" w:space="0" w:color="auto"/>
        <w:bottom w:val="none" w:sz="0" w:space="0" w:color="auto"/>
        <w:right w:val="none" w:sz="0" w:space="0" w:color="auto"/>
      </w:divBdr>
    </w:div>
    <w:div w:id="1952011373">
      <w:bodyDiv w:val="1"/>
      <w:marLeft w:val="0"/>
      <w:marRight w:val="0"/>
      <w:marTop w:val="0"/>
      <w:marBottom w:val="0"/>
      <w:divBdr>
        <w:top w:val="none" w:sz="0" w:space="0" w:color="auto"/>
        <w:left w:val="none" w:sz="0" w:space="0" w:color="auto"/>
        <w:bottom w:val="none" w:sz="0" w:space="0" w:color="auto"/>
        <w:right w:val="none" w:sz="0" w:space="0" w:color="auto"/>
      </w:divBdr>
    </w:div>
    <w:div w:id="1952126415">
      <w:bodyDiv w:val="1"/>
      <w:marLeft w:val="0"/>
      <w:marRight w:val="0"/>
      <w:marTop w:val="0"/>
      <w:marBottom w:val="0"/>
      <w:divBdr>
        <w:top w:val="none" w:sz="0" w:space="0" w:color="auto"/>
        <w:left w:val="none" w:sz="0" w:space="0" w:color="auto"/>
        <w:bottom w:val="none" w:sz="0" w:space="0" w:color="auto"/>
        <w:right w:val="none" w:sz="0" w:space="0" w:color="auto"/>
      </w:divBdr>
    </w:div>
    <w:div w:id="1952198243">
      <w:bodyDiv w:val="1"/>
      <w:marLeft w:val="0"/>
      <w:marRight w:val="0"/>
      <w:marTop w:val="0"/>
      <w:marBottom w:val="0"/>
      <w:divBdr>
        <w:top w:val="none" w:sz="0" w:space="0" w:color="auto"/>
        <w:left w:val="none" w:sz="0" w:space="0" w:color="auto"/>
        <w:bottom w:val="none" w:sz="0" w:space="0" w:color="auto"/>
        <w:right w:val="none" w:sz="0" w:space="0" w:color="auto"/>
      </w:divBdr>
    </w:div>
    <w:div w:id="1952318621">
      <w:bodyDiv w:val="1"/>
      <w:marLeft w:val="0"/>
      <w:marRight w:val="0"/>
      <w:marTop w:val="0"/>
      <w:marBottom w:val="0"/>
      <w:divBdr>
        <w:top w:val="none" w:sz="0" w:space="0" w:color="auto"/>
        <w:left w:val="none" w:sz="0" w:space="0" w:color="auto"/>
        <w:bottom w:val="none" w:sz="0" w:space="0" w:color="auto"/>
        <w:right w:val="none" w:sz="0" w:space="0" w:color="auto"/>
      </w:divBdr>
    </w:div>
    <w:div w:id="1952516128">
      <w:bodyDiv w:val="1"/>
      <w:marLeft w:val="0"/>
      <w:marRight w:val="0"/>
      <w:marTop w:val="0"/>
      <w:marBottom w:val="0"/>
      <w:divBdr>
        <w:top w:val="none" w:sz="0" w:space="0" w:color="auto"/>
        <w:left w:val="none" w:sz="0" w:space="0" w:color="auto"/>
        <w:bottom w:val="none" w:sz="0" w:space="0" w:color="auto"/>
        <w:right w:val="none" w:sz="0" w:space="0" w:color="auto"/>
      </w:divBdr>
    </w:div>
    <w:div w:id="1952666476">
      <w:bodyDiv w:val="1"/>
      <w:marLeft w:val="0"/>
      <w:marRight w:val="0"/>
      <w:marTop w:val="0"/>
      <w:marBottom w:val="0"/>
      <w:divBdr>
        <w:top w:val="none" w:sz="0" w:space="0" w:color="auto"/>
        <w:left w:val="none" w:sz="0" w:space="0" w:color="auto"/>
        <w:bottom w:val="none" w:sz="0" w:space="0" w:color="auto"/>
        <w:right w:val="none" w:sz="0" w:space="0" w:color="auto"/>
      </w:divBdr>
    </w:div>
    <w:div w:id="1952853722">
      <w:bodyDiv w:val="1"/>
      <w:marLeft w:val="0"/>
      <w:marRight w:val="0"/>
      <w:marTop w:val="0"/>
      <w:marBottom w:val="0"/>
      <w:divBdr>
        <w:top w:val="none" w:sz="0" w:space="0" w:color="auto"/>
        <w:left w:val="none" w:sz="0" w:space="0" w:color="auto"/>
        <w:bottom w:val="none" w:sz="0" w:space="0" w:color="auto"/>
        <w:right w:val="none" w:sz="0" w:space="0" w:color="auto"/>
      </w:divBdr>
    </w:div>
    <w:div w:id="1952977531">
      <w:bodyDiv w:val="1"/>
      <w:marLeft w:val="0"/>
      <w:marRight w:val="0"/>
      <w:marTop w:val="0"/>
      <w:marBottom w:val="0"/>
      <w:divBdr>
        <w:top w:val="none" w:sz="0" w:space="0" w:color="auto"/>
        <w:left w:val="none" w:sz="0" w:space="0" w:color="auto"/>
        <w:bottom w:val="none" w:sz="0" w:space="0" w:color="auto"/>
        <w:right w:val="none" w:sz="0" w:space="0" w:color="auto"/>
      </w:divBdr>
    </w:div>
    <w:div w:id="1953046677">
      <w:bodyDiv w:val="1"/>
      <w:marLeft w:val="0"/>
      <w:marRight w:val="0"/>
      <w:marTop w:val="0"/>
      <w:marBottom w:val="0"/>
      <w:divBdr>
        <w:top w:val="none" w:sz="0" w:space="0" w:color="auto"/>
        <w:left w:val="none" w:sz="0" w:space="0" w:color="auto"/>
        <w:bottom w:val="none" w:sz="0" w:space="0" w:color="auto"/>
        <w:right w:val="none" w:sz="0" w:space="0" w:color="auto"/>
      </w:divBdr>
    </w:div>
    <w:div w:id="1953245751">
      <w:bodyDiv w:val="1"/>
      <w:marLeft w:val="0"/>
      <w:marRight w:val="0"/>
      <w:marTop w:val="0"/>
      <w:marBottom w:val="0"/>
      <w:divBdr>
        <w:top w:val="none" w:sz="0" w:space="0" w:color="auto"/>
        <w:left w:val="none" w:sz="0" w:space="0" w:color="auto"/>
        <w:bottom w:val="none" w:sz="0" w:space="0" w:color="auto"/>
        <w:right w:val="none" w:sz="0" w:space="0" w:color="auto"/>
      </w:divBdr>
    </w:div>
    <w:div w:id="1953441342">
      <w:bodyDiv w:val="1"/>
      <w:marLeft w:val="0"/>
      <w:marRight w:val="0"/>
      <w:marTop w:val="0"/>
      <w:marBottom w:val="0"/>
      <w:divBdr>
        <w:top w:val="none" w:sz="0" w:space="0" w:color="auto"/>
        <w:left w:val="none" w:sz="0" w:space="0" w:color="auto"/>
        <w:bottom w:val="none" w:sz="0" w:space="0" w:color="auto"/>
        <w:right w:val="none" w:sz="0" w:space="0" w:color="auto"/>
      </w:divBdr>
    </w:div>
    <w:div w:id="1953975731">
      <w:bodyDiv w:val="1"/>
      <w:marLeft w:val="0"/>
      <w:marRight w:val="0"/>
      <w:marTop w:val="0"/>
      <w:marBottom w:val="0"/>
      <w:divBdr>
        <w:top w:val="none" w:sz="0" w:space="0" w:color="auto"/>
        <w:left w:val="none" w:sz="0" w:space="0" w:color="auto"/>
        <w:bottom w:val="none" w:sz="0" w:space="0" w:color="auto"/>
        <w:right w:val="none" w:sz="0" w:space="0" w:color="auto"/>
      </w:divBdr>
    </w:div>
    <w:div w:id="1954092027">
      <w:bodyDiv w:val="1"/>
      <w:marLeft w:val="0"/>
      <w:marRight w:val="0"/>
      <w:marTop w:val="0"/>
      <w:marBottom w:val="0"/>
      <w:divBdr>
        <w:top w:val="none" w:sz="0" w:space="0" w:color="auto"/>
        <w:left w:val="none" w:sz="0" w:space="0" w:color="auto"/>
        <w:bottom w:val="none" w:sz="0" w:space="0" w:color="auto"/>
        <w:right w:val="none" w:sz="0" w:space="0" w:color="auto"/>
      </w:divBdr>
    </w:div>
    <w:div w:id="1954284989">
      <w:bodyDiv w:val="1"/>
      <w:marLeft w:val="0"/>
      <w:marRight w:val="0"/>
      <w:marTop w:val="0"/>
      <w:marBottom w:val="0"/>
      <w:divBdr>
        <w:top w:val="none" w:sz="0" w:space="0" w:color="auto"/>
        <w:left w:val="none" w:sz="0" w:space="0" w:color="auto"/>
        <w:bottom w:val="none" w:sz="0" w:space="0" w:color="auto"/>
        <w:right w:val="none" w:sz="0" w:space="0" w:color="auto"/>
      </w:divBdr>
    </w:div>
    <w:div w:id="1954745565">
      <w:bodyDiv w:val="1"/>
      <w:marLeft w:val="0"/>
      <w:marRight w:val="0"/>
      <w:marTop w:val="0"/>
      <w:marBottom w:val="0"/>
      <w:divBdr>
        <w:top w:val="none" w:sz="0" w:space="0" w:color="auto"/>
        <w:left w:val="none" w:sz="0" w:space="0" w:color="auto"/>
        <w:bottom w:val="none" w:sz="0" w:space="0" w:color="auto"/>
        <w:right w:val="none" w:sz="0" w:space="0" w:color="auto"/>
      </w:divBdr>
    </w:div>
    <w:div w:id="1954903539">
      <w:bodyDiv w:val="1"/>
      <w:marLeft w:val="0"/>
      <w:marRight w:val="0"/>
      <w:marTop w:val="0"/>
      <w:marBottom w:val="0"/>
      <w:divBdr>
        <w:top w:val="none" w:sz="0" w:space="0" w:color="auto"/>
        <w:left w:val="none" w:sz="0" w:space="0" w:color="auto"/>
        <w:bottom w:val="none" w:sz="0" w:space="0" w:color="auto"/>
        <w:right w:val="none" w:sz="0" w:space="0" w:color="auto"/>
      </w:divBdr>
    </w:div>
    <w:div w:id="1955088794">
      <w:bodyDiv w:val="1"/>
      <w:marLeft w:val="0"/>
      <w:marRight w:val="0"/>
      <w:marTop w:val="0"/>
      <w:marBottom w:val="0"/>
      <w:divBdr>
        <w:top w:val="none" w:sz="0" w:space="0" w:color="auto"/>
        <w:left w:val="none" w:sz="0" w:space="0" w:color="auto"/>
        <w:bottom w:val="none" w:sz="0" w:space="0" w:color="auto"/>
        <w:right w:val="none" w:sz="0" w:space="0" w:color="auto"/>
      </w:divBdr>
    </w:div>
    <w:div w:id="1955095087">
      <w:bodyDiv w:val="1"/>
      <w:marLeft w:val="0"/>
      <w:marRight w:val="0"/>
      <w:marTop w:val="0"/>
      <w:marBottom w:val="0"/>
      <w:divBdr>
        <w:top w:val="none" w:sz="0" w:space="0" w:color="auto"/>
        <w:left w:val="none" w:sz="0" w:space="0" w:color="auto"/>
        <w:bottom w:val="none" w:sz="0" w:space="0" w:color="auto"/>
        <w:right w:val="none" w:sz="0" w:space="0" w:color="auto"/>
      </w:divBdr>
    </w:div>
    <w:div w:id="1955282272">
      <w:bodyDiv w:val="1"/>
      <w:marLeft w:val="0"/>
      <w:marRight w:val="0"/>
      <w:marTop w:val="0"/>
      <w:marBottom w:val="0"/>
      <w:divBdr>
        <w:top w:val="none" w:sz="0" w:space="0" w:color="auto"/>
        <w:left w:val="none" w:sz="0" w:space="0" w:color="auto"/>
        <w:bottom w:val="none" w:sz="0" w:space="0" w:color="auto"/>
        <w:right w:val="none" w:sz="0" w:space="0" w:color="auto"/>
      </w:divBdr>
    </w:div>
    <w:div w:id="1955284870">
      <w:bodyDiv w:val="1"/>
      <w:marLeft w:val="0"/>
      <w:marRight w:val="0"/>
      <w:marTop w:val="0"/>
      <w:marBottom w:val="0"/>
      <w:divBdr>
        <w:top w:val="none" w:sz="0" w:space="0" w:color="auto"/>
        <w:left w:val="none" w:sz="0" w:space="0" w:color="auto"/>
        <w:bottom w:val="none" w:sz="0" w:space="0" w:color="auto"/>
        <w:right w:val="none" w:sz="0" w:space="0" w:color="auto"/>
      </w:divBdr>
    </w:div>
    <w:div w:id="1955357160">
      <w:bodyDiv w:val="1"/>
      <w:marLeft w:val="0"/>
      <w:marRight w:val="0"/>
      <w:marTop w:val="0"/>
      <w:marBottom w:val="0"/>
      <w:divBdr>
        <w:top w:val="none" w:sz="0" w:space="0" w:color="auto"/>
        <w:left w:val="none" w:sz="0" w:space="0" w:color="auto"/>
        <w:bottom w:val="none" w:sz="0" w:space="0" w:color="auto"/>
        <w:right w:val="none" w:sz="0" w:space="0" w:color="auto"/>
      </w:divBdr>
    </w:div>
    <w:div w:id="1955362066">
      <w:bodyDiv w:val="1"/>
      <w:marLeft w:val="0"/>
      <w:marRight w:val="0"/>
      <w:marTop w:val="0"/>
      <w:marBottom w:val="0"/>
      <w:divBdr>
        <w:top w:val="none" w:sz="0" w:space="0" w:color="auto"/>
        <w:left w:val="none" w:sz="0" w:space="0" w:color="auto"/>
        <w:bottom w:val="none" w:sz="0" w:space="0" w:color="auto"/>
        <w:right w:val="none" w:sz="0" w:space="0" w:color="auto"/>
      </w:divBdr>
    </w:div>
    <w:div w:id="1955479947">
      <w:bodyDiv w:val="1"/>
      <w:marLeft w:val="0"/>
      <w:marRight w:val="0"/>
      <w:marTop w:val="0"/>
      <w:marBottom w:val="0"/>
      <w:divBdr>
        <w:top w:val="none" w:sz="0" w:space="0" w:color="auto"/>
        <w:left w:val="none" w:sz="0" w:space="0" w:color="auto"/>
        <w:bottom w:val="none" w:sz="0" w:space="0" w:color="auto"/>
        <w:right w:val="none" w:sz="0" w:space="0" w:color="auto"/>
      </w:divBdr>
    </w:div>
    <w:div w:id="1955751719">
      <w:bodyDiv w:val="1"/>
      <w:marLeft w:val="0"/>
      <w:marRight w:val="0"/>
      <w:marTop w:val="0"/>
      <w:marBottom w:val="0"/>
      <w:divBdr>
        <w:top w:val="none" w:sz="0" w:space="0" w:color="auto"/>
        <w:left w:val="none" w:sz="0" w:space="0" w:color="auto"/>
        <w:bottom w:val="none" w:sz="0" w:space="0" w:color="auto"/>
        <w:right w:val="none" w:sz="0" w:space="0" w:color="auto"/>
      </w:divBdr>
    </w:div>
    <w:div w:id="1956014709">
      <w:bodyDiv w:val="1"/>
      <w:marLeft w:val="0"/>
      <w:marRight w:val="0"/>
      <w:marTop w:val="0"/>
      <w:marBottom w:val="0"/>
      <w:divBdr>
        <w:top w:val="none" w:sz="0" w:space="0" w:color="auto"/>
        <w:left w:val="none" w:sz="0" w:space="0" w:color="auto"/>
        <w:bottom w:val="none" w:sz="0" w:space="0" w:color="auto"/>
        <w:right w:val="none" w:sz="0" w:space="0" w:color="auto"/>
      </w:divBdr>
    </w:div>
    <w:div w:id="1956255089">
      <w:bodyDiv w:val="1"/>
      <w:marLeft w:val="0"/>
      <w:marRight w:val="0"/>
      <w:marTop w:val="0"/>
      <w:marBottom w:val="0"/>
      <w:divBdr>
        <w:top w:val="none" w:sz="0" w:space="0" w:color="auto"/>
        <w:left w:val="none" w:sz="0" w:space="0" w:color="auto"/>
        <w:bottom w:val="none" w:sz="0" w:space="0" w:color="auto"/>
        <w:right w:val="none" w:sz="0" w:space="0" w:color="auto"/>
      </w:divBdr>
    </w:div>
    <w:div w:id="1956405337">
      <w:bodyDiv w:val="1"/>
      <w:marLeft w:val="0"/>
      <w:marRight w:val="0"/>
      <w:marTop w:val="0"/>
      <w:marBottom w:val="0"/>
      <w:divBdr>
        <w:top w:val="none" w:sz="0" w:space="0" w:color="auto"/>
        <w:left w:val="none" w:sz="0" w:space="0" w:color="auto"/>
        <w:bottom w:val="none" w:sz="0" w:space="0" w:color="auto"/>
        <w:right w:val="none" w:sz="0" w:space="0" w:color="auto"/>
      </w:divBdr>
    </w:div>
    <w:div w:id="1956478863">
      <w:bodyDiv w:val="1"/>
      <w:marLeft w:val="0"/>
      <w:marRight w:val="0"/>
      <w:marTop w:val="0"/>
      <w:marBottom w:val="0"/>
      <w:divBdr>
        <w:top w:val="none" w:sz="0" w:space="0" w:color="auto"/>
        <w:left w:val="none" w:sz="0" w:space="0" w:color="auto"/>
        <w:bottom w:val="none" w:sz="0" w:space="0" w:color="auto"/>
        <w:right w:val="none" w:sz="0" w:space="0" w:color="auto"/>
      </w:divBdr>
    </w:div>
    <w:div w:id="1956787903">
      <w:bodyDiv w:val="1"/>
      <w:marLeft w:val="0"/>
      <w:marRight w:val="0"/>
      <w:marTop w:val="0"/>
      <w:marBottom w:val="0"/>
      <w:divBdr>
        <w:top w:val="none" w:sz="0" w:space="0" w:color="auto"/>
        <w:left w:val="none" w:sz="0" w:space="0" w:color="auto"/>
        <w:bottom w:val="none" w:sz="0" w:space="0" w:color="auto"/>
        <w:right w:val="none" w:sz="0" w:space="0" w:color="auto"/>
      </w:divBdr>
    </w:div>
    <w:div w:id="1957517311">
      <w:bodyDiv w:val="1"/>
      <w:marLeft w:val="0"/>
      <w:marRight w:val="0"/>
      <w:marTop w:val="0"/>
      <w:marBottom w:val="0"/>
      <w:divBdr>
        <w:top w:val="none" w:sz="0" w:space="0" w:color="auto"/>
        <w:left w:val="none" w:sz="0" w:space="0" w:color="auto"/>
        <w:bottom w:val="none" w:sz="0" w:space="0" w:color="auto"/>
        <w:right w:val="none" w:sz="0" w:space="0" w:color="auto"/>
      </w:divBdr>
    </w:div>
    <w:div w:id="1957592157">
      <w:bodyDiv w:val="1"/>
      <w:marLeft w:val="0"/>
      <w:marRight w:val="0"/>
      <w:marTop w:val="0"/>
      <w:marBottom w:val="0"/>
      <w:divBdr>
        <w:top w:val="none" w:sz="0" w:space="0" w:color="auto"/>
        <w:left w:val="none" w:sz="0" w:space="0" w:color="auto"/>
        <w:bottom w:val="none" w:sz="0" w:space="0" w:color="auto"/>
        <w:right w:val="none" w:sz="0" w:space="0" w:color="auto"/>
      </w:divBdr>
    </w:div>
    <w:div w:id="1957907668">
      <w:bodyDiv w:val="1"/>
      <w:marLeft w:val="0"/>
      <w:marRight w:val="0"/>
      <w:marTop w:val="0"/>
      <w:marBottom w:val="0"/>
      <w:divBdr>
        <w:top w:val="none" w:sz="0" w:space="0" w:color="auto"/>
        <w:left w:val="none" w:sz="0" w:space="0" w:color="auto"/>
        <w:bottom w:val="none" w:sz="0" w:space="0" w:color="auto"/>
        <w:right w:val="none" w:sz="0" w:space="0" w:color="auto"/>
      </w:divBdr>
    </w:div>
    <w:div w:id="1958175502">
      <w:bodyDiv w:val="1"/>
      <w:marLeft w:val="0"/>
      <w:marRight w:val="0"/>
      <w:marTop w:val="0"/>
      <w:marBottom w:val="0"/>
      <w:divBdr>
        <w:top w:val="none" w:sz="0" w:space="0" w:color="auto"/>
        <w:left w:val="none" w:sz="0" w:space="0" w:color="auto"/>
        <w:bottom w:val="none" w:sz="0" w:space="0" w:color="auto"/>
        <w:right w:val="none" w:sz="0" w:space="0" w:color="auto"/>
      </w:divBdr>
    </w:div>
    <w:div w:id="1958178026">
      <w:bodyDiv w:val="1"/>
      <w:marLeft w:val="0"/>
      <w:marRight w:val="0"/>
      <w:marTop w:val="0"/>
      <w:marBottom w:val="0"/>
      <w:divBdr>
        <w:top w:val="none" w:sz="0" w:space="0" w:color="auto"/>
        <w:left w:val="none" w:sz="0" w:space="0" w:color="auto"/>
        <w:bottom w:val="none" w:sz="0" w:space="0" w:color="auto"/>
        <w:right w:val="none" w:sz="0" w:space="0" w:color="auto"/>
      </w:divBdr>
    </w:div>
    <w:div w:id="1958558440">
      <w:bodyDiv w:val="1"/>
      <w:marLeft w:val="0"/>
      <w:marRight w:val="0"/>
      <w:marTop w:val="0"/>
      <w:marBottom w:val="0"/>
      <w:divBdr>
        <w:top w:val="none" w:sz="0" w:space="0" w:color="auto"/>
        <w:left w:val="none" w:sz="0" w:space="0" w:color="auto"/>
        <w:bottom w:val="none" w:sz="0" w:space="0" w:color="auto"/>
        <w:right w:val="none" w:sz="0" w:space="0" w:color="auto"/>
      </w:divBdr>
    </w:div>
    <w:div w:id="1958755979">
      <w:bodyDiv w:val="1"/>
      <w:marLeft w:val="0"/>
      <w:marRight w:val="0"/>
      <w:marTop w:val="0"/>
      <w:marBottom w:val="0"/>
      <w:divBdr>
        <w:top w:val="none" w:sz="0" w:space="0" w:color="auto"/>
        <w:left w:val="none" w:sz="0" w:space="0" w:color="auto"/>
        <w:bottom w:val="none" w:sz="0" w:space="0" w:color="auto"/>
        <w:right w:val="none" w:sz="0" w:space="0" w:color="auto"/>
      </w:divBdr>
    </w:div>
    <w:div w:id="1958871690">
      <w:bodyDiv w:val="1"/>
      <w:marLeft w:val="0"/>
      <w:marRight w:val="0"/>
      <w:marTop w:val="0"/>
      <w:marBottom w:val="0"/>
      <w:divBdr>
        <w:top w:val="none" w:sz="0" w:space="0" w:color="auto"/>
        <w:left w:val="none" w:sz="0" w:space="0" w:color="auto"/>
        <w:bottom w:val="none" w:sz="0" w:space="0" w:color="auto"/>
        <w:right w:val="none" w:sz="0" w:space="0" w:color="auto"/>
      </w:divBdr>
    </w:div>
    <w:div w:id="1958876192">
      <w:bodyDiv w:val="1"/>
      <w:marLeft w:val="0"/>
      <w:marRight w:val="0"/>
      <w:marTop w:val="0"/>
      <w:marBottom w:val="0"/>
      <w:divBdr>
        <w:top w:val="none" w:sz="0" w:space="0" w:color="auto"/>
        <w:left w:val="none" w:sz="0" w:space="0" w:color="auto"/>
        <w:bottom w:val="none" w:sz="0" w:space="0" w:color="auto"/>
        <w:right w:val="none" w:sz="0" w:space="0" w:color="auto"/>
      </w:divBdr>
    </w:div>
    <w:div w:id="1958944121">
      <w:bodyDiv w:val="1"/>
      <w:marLeft w:val="0"/>
      <w:marRight w:val="0"/>
      <w:marTop w:val="0"/>
      <w:marBottom w:val="0"/>
      <w:divBdr>
        <w:top w:val="none" w:sz="0" w:space="0" w:color="auto"/>
        <w:left w:val="none" w:sz="0" w:space="0" w:color="auto"/>
        <w:bottom w:val="none" w:sz="0" w:space="0" w:color="auto"/>
        <w:right w:val="none" w:sz="0" w:space="0" w:color="auto"/>
      </w:divBdr>
    </w:div>
    <w:div w:id="1959332341">
      <w:bodyDiv w:val="1"/>
      <w:marLeft w:val="0"/>
      <w:marRight w:val="0"/>
      <w:marTop w:val="0"/>
      <w:marBottom w:val="0"/>
      <w:divBdr>
        <w:top w:val="none" w:sz="0" w:space="0" w:color="auto"/>
        <w:left w:val="none" w:sz="0" w:space="0" w:color="auto"/>
        <w:bottom w:val="none" w:sz="0" w:space="0" w:color="auto"/>
        <w:right w:val="none" w:sz="0" w:space="0" w:color="auto"/>
      </w:divBdr>
    </w:div>
    <w:div w:id="1959410986">
      <w:bodyDiv w:val="1"/>
      <w:marLeft w:val="0"/>
      <w:marRight w:val="0"/>
      <w:marTop w:val="0"/>
      <w:marBottom w:val="0"/>
      <w:divBdr>
        <w:top w:val="none" w:sz="0" w:space="0" w:color="auto"/>
        <w:left w:val="none" w:sz="0" w:space="0" w:color="auto"/>
        <w:bottom w:val="none" w:sz="0" w:space="0" w:color="auto"/>
        <w:right w:val="none" w:sz="0" w:space="0" w:color="auto"/>
      </w:divBdr>
    </w:div>
    <w:div w:id="1959414001">
      <w:bodyDiv w:val="1"/>
      <w:marLeft w:val="0"/>
      <w:marRight w:val="0"/>
      <w:marTop w:val="0"/>
      <w:marBottom w:val="0"/>
      <w:divBdr>
        <w:top w:val="none" w:sz="0" w:space="0" w:color="auto"/>
        <w:left w:val="none" w:sz="0" w:space="0" w:color="auto"/>
        <w:bottom w:val="none" w:sz="0" w:space="0" w:color="auto"/>
        <w:right w:val="none" w:sz="0" w:space="0" w:color="auto"/>
      </w:divBdr>
    </w:div>
    <w:div w:id="1959876638">
      <w:bodyDiv w:val="1"/>
      <w:marLeft w:val="0"/>
      <w:marRight w:val="0"/>
      <w:marTop w:val="0"/>
      <w:marBottom w:val="0"/>
      <w:divBdr>
        <w:top w:val="none" w:sz="0" w:space="0" w:color="auto"/>
        <w:left w:val="none" w:sz="0" w:space="0" w:color="auto"/>
        <w:bottom w:val="none" w:sz="0" w:space="0" w:color="auto"/>
        <w:right w:val="none" w:sz="0" w:space="0" w:color="auto"/>
      </w:divBdr>
    </w:div>
    <w:div w:id="1959946444">
      <w:bodyDiv w:val="1"/>
      <w:marLeft w:val="0"/>
      <w:marRight w:val="0"/>
      <w:marTop w:val="0"/>
      <w:marBottom w:val="0"/>
      <w:divBdr>
        <w:top w:val="none" w:sz="0" w:space="0" w:color="auto"/>
        <w:left w:val="none" w:sz="0" w:space="0" w:color="auto"/>
        <w:bottom w:val="none" w:sz="0" w:space="0" w:color="auto"/>
        <w:right w:val="none" w:sz="0" w:space="0" w:color="auto"/>
      </w:divBdr>
    </w:div>
    <w:div w:id="1960062509">
      <w:bodyDiv w:val="1"/>
      <w:marLeft w:val="0"/>
      <w:marRight w:val="0"/>
      <w:marTop w:val="0"/>
      <w:marBottom w:val="0"/>
      <w:divBdr>
        <w:top w:val="none" w:sz="0" w:space="0" w:color="auto"/>
        <w:left w:val="none" w:sz="0" w:space="0" w:color="auto"/>
        <w:bottom w:val="none" w:sz="0" w:space="0" w:color="auto"/>
        <w:right w:val="none" w:sz="0" w:space="0" w:color="auto"/>
      </w:divBdr>
    </w:div>
    <w:div w:id="1960065388">
      <w:bodyDiv w:val="1"/>
      <w:marLeft w:val="0"/>
      <w:marRight w:val="0"/>
      <w:marTop w:val="0"/>
      <w:marBottom w:val="0"/>
      <w:divBdr>
        <w:top w:val="none" w:sz="0" w:space="0" w:color="auto"/>
        <w:left w:val="none" w:sz="0" w:space="0" w:color="auto"/>
        <w:bottom w:val="none" w:sz="0" w:space="0" w:color="auto"/>
        <w:right w:val="none" w:sz="0" w:space="0" w:color="auto"/>
      </w:divBdr>
    </w:div>
    <w:div w:id="1960141085">
      <w:bodyDiv w:val="1"/>
      <w:marLeft w:val="0"/>
      <w:marRight w:val="0"/>
      <w:marTop w:val="0"/>
      <w:marBottom w:val="0"/>
      <w:divBdr>
        <w:top w:val="none" w:sz="0" w:space="0" w:color="auto"/>
        <w:left w:val="none" w:sz="0" w:space="0" w:color="auto"/>
        <w:bottom w:val="none" w:sz="0" w:space="0" w:color="auto"/>
        <w:right w:val="none" w:sz="0" w:space="0" w:color="auto"/>
      </w:divBdr>
    </w:div>
    <w:div w:id="1960214309">
      <w:bodyDiv w:val="1"/>
      <w:marLeft w:val="0"/>
      <w:marRight w:val="0"/>
      <w:marTop w:val="0"/>
      <w:marBottom w:val="0"/>
      <w:divBdr>
        <w:top w:val="none" w:sz="0" w:space="0" w:color="auto"/>
        <w:left w:val="none" w:sz="0" w:space="0" w:color="auto"/>
        <w:bottom w:val="none" w:sz="0" w:space="0" w:color="auto"/>
        <w:right w:val="none" w:sz="0" w:space="0" w:color="auto"/>
      </w:divBdr>
    </w:div>
    <w:div w:id="1960380832">
      <w:bodyDiv w:val="1"/>
      <w:marLeft w:val="0"/>
      <w:marRight w:val="0"/>
      <w:marTop w:val="0"/>
      <w:marBottom w:val="0"/>
      <w:divBdr>
        <w:top w:val="none" w:sz="0" w:space="0" w:color="auto"/>
        <w:left w:val="none" w:sz="0" w:space="0" w:color="auto"/>
        <w:bottom w:val="none" w:sz="0" w:space="0" w:color="auto"/>
        <w:right w:val="none" w:sz="0" w:space="0" w:color="auto"/>
      </w:divBdr>
    </w:div>
    <w:div w:id="1960447561">
      <w:bodyDiv w:val="1"/>
      <w:marLeft w:val="0"/>
      <w:marRight w:val="0"/>
      <w:marTop w:val="0"/>
      <w:marBottom w:val="0"/>
      <w:divBdr>
        <w:top w:val="none" w:sz="0" w:space="0" w:color="auto"/>
        <w:left w:val="none" w:sz="0" w:space="0" w:color="auto"/>
        <w:bottom w:val="none" w:sz="0" w:space="0" w:color="auto"/>
        <w:right w:val="none" w:sz="0" w:space="0" w:color="auto"/>
      </w:divBdr>
    </w:div>
    <w:div w:id="1960647385">
      <w:bodyDiv w:val="1"/>
      <w:marLeft w:val="0"/>
      <w:marRight w:val="0"/>
      <w:marTop w:val="0"/>
      <w:marBottom w:val="0"/>
      <w:divBdr>
        <w:top w:val="none" w:sz="0" w:space="0" w:color="auto"/>
        <w:left w:val="none" w:sz="0" w:space="0" w:color="auto"/>
        <w:bottom w:val="none" w:sz="0" w:space="0" w:color="auto"/>
        <w:right w:val="none" w:sz="0" w:space="0" w:color="auto"/>
      </w:divBdr>
    </w:div>
    <w:div w:id="1960993696">
      <w:bodyDiv w:val="1"/>
      <w:marLeft w:val="0"/>
      <w:marRight w:val="0"/>
      <w:marTop w:val="0"/>
      <w:marBottom w:val="0"/>
      <w:divBdr>
        <w:top w:val="none" w:sz="0" w:space="0" w:color="auto"/>
        <w:left w:val="none" w:sz="0" w:space="0" w:color="auto"/>
        <w:bottom w:val="none" w:sz="0" w:space="0" w:color="auto"/>
        <w:right w:val="none" w:sz="0" w:space="0" w:color="auto"/>
      </w:divBdr>
    </w:div>
    <w:div w:id="1961375680">
      <w:bodyDiv w:val="1"/>
      <w:marLeft w:val="0"/>
      <w:marRight w:val="0"/>
      <w:marTop w:val="0"/>
      <w:marBottom w:val="0"/>
      <w:divBdr>
        <w:top w:val="none" w:sz="0" w:space="0" w:color="auto"/>
        <w:left w:val="none" w:sz="0" w:space="0" w:color="auto"/>
        <w:bottom w:val="none" w:sz="0" w:space="0" w:color="auto"/>
        <w:right w:val="none" w:sz="0" w:space="0" w:color="auto"/>
      </w:divBdr>
    </w:div>
    <w:div w:id="1961571306">
      <w:bodyDiv w:val="1"/>
      <w:marLeft w:val="0"/>
      <w:marRight w:val="0"/>
      <w:marTop w:val="0"/>
      <w:marBottom w:val="0"/>
      <w:divBdr>
        <w:top w:val="none" w:sz="0" w:space="0" w:color="auto"/>
        <w:left w:val="none" w:sz="0" w:space="0" w:color="auto"/>
        <w:bottom w:val="none" w:sz="0" w:space="0" w:color="auto"/>
        <w:right w:val="none" w:sz="0" w:space="0" w:color="auto"/>
      </w:divBdr>
    </w:div>
    <w:div w:id="1961643425">
      <w:bodyDiv w:val="1"/>
      <w:marLeft w:val="0"/>
      <w:marRight w:val="0"/>
      <w:marTop w:val="0"/>
      <w:marBottom w:val="0"/>
      <w:divBdr>
        <w:top w:val="none" w:sz="0" w:space="0" w:color="auto"/>
        <w:left w:val="none" w:sz="0" w:space="0" w:color="auto"/>
        <w:bottom w:val="none" w:sz="0" w:space="0" w:color="auto"/>
        <w:right w:val="none" w:sz="0" w:space="0" w:color="auto"/>
      </w:divBdr>
    </w:div>
    <w:div w:id="1961716114">
      <w:bodyDiv w:val="1"/>
      <w:marLeft w:val="0"/>
      <w:marRight w:val="0"/>
      <w:marTop w:val="0"/>
      <w:marBottom w:val="0"/>
      <w:divBdr>
        <w:top w:val="none" w:sz="0" w:space="0" w:color="auto"/>
        <w:left w:val="none" w:sz="0" w:space="0" w:color="auto"/>
        <w:bottom w:val="none" w:sz="0" w:space="0" w:color="auto"/>
        <w:right w:val="none" w:sz="0" w:space="0" w:color="auto"/>
      </w:divBdr>
    </w:div>
    <w:div w:id="1961718695">
      <w:bodyDiv w:val="1"/>
      <w:marLeft w:val="0"/>
      <w:marRight w:val="0"/>
      <w:marTop w:val="0"/>
      <w:marBottom w:val="0"/>
      <w:divBdr>
        <w:top w:val="none" w:sz="0" w:space="0" w:color="auto"/>
        <w:left w:val="none" w:sz="0" w:space="0" w:color="auto"/>
        <w:bottom w:val="none" w:sz="0" w:space="0" w:color="auto"/>
        <w:right w:val="none" w:sz="0" w:space="0" w:color="auto"/>
      </w:divBdr>
    </w:div>
    <w:div w:id="1961841594">
      <w:bodyDiv w:val="1"/>
      <w:marLeft w:val="0"/>
      <w:marRight w:val="0"/>
      <w:marTop w:val="0"/>
      <w:marBottom w:val="0"/>
      <w:divBdr>
        <w:top w:val="none" w:sz="0" w:space="0" w:color="auto"/>
        <w:left w:val="none" w:sz="0" w:space="0" w:color="auto"/>
        <w:bottom w:val="none" w:sz="0" w:space="0" w:color="auto"/>
        <w:right w:val="none" w:sz="0" w:space="0" w:color="auto"/>
      </w:divBdr>
    </w:div>
    <w:div w:id="1961955761">
      <w:bodyDiv w:val="1"/>
      <w:marLeft w:val="0"/>
      <w:marRight w:val="0"/>
      <w:marTop w:val="0"/>
      <w:marBottom w:val="0"/>
      <w:divBdr>
        <w:top w:val="none" w:sz="0" w:space="0" w:color="auto"/>
        <w:left w:val="none" w:sz="0" w:space="0" w:color="auto"/>
        <w:bottom w:val="none" w:sz="0" w:space="0" w:color="auto"/>
        <w:right w:val="none" w:sz="0" w:space="0" w:color="auto"/>
      </w:divBdr>
    </w:div>
    <w:div w:id="1962148502">
      <w:bodyDiv w:val="1"/>
      <w:marLeft w:val="0"/>
      <w:marRight w:val="0"/>
      <w:marTop w:val="0"/>
      <w:marBottom w:val="0"/>
      <w:divBdr>
        <w:top w:val="none" w:sz="0" w:space="0" w:color="auto"/>
        <w:left w:val="none" w:sz="0" w:space="0" w:color="auto"/>
        <w:bottom w:val="none" w:sz="0" w:space="0" w:color="auto"/>
        <w:right w:val="none" w:sz="0" w:space="0" w:color="auto"/>
      </w:divBdr>
    </w:div>
    <w:div w:id="1962226280">
      <w:bodyDiv w:val="1"/>
      <w:marLeft w:val="0"/>
      <w:marRight w:val="0"/>
      <w:marTop w:val="0"/>
      <w:marBottom w:val="0"/>
      <w:divBdr>
        <w:top w:val="none" w:sz="0" w:space="0" w:color="auto"/>
        <w:left w:val="none" w:sz="0" w:space="0" w:color="auto"/>
        <w:bottom w:val="none" w:sz="0" w:space="0" w:color="auto"/>
        <w:right w:val="none" w:sz="0" w:space="0" w:color="auto"/>
      </w:divBdr>
    </w:div>
    <w:div w:id="1962415479">
      <w:bodyDiv w:val="1"/>
      <w:marLeft w:val="0"/>
      <w:marRight w:val="0"/>
      <w:marTop w:val="0"/>
      <w:marBottom w:val="0"/>
      <w:divBdr>
        <w:top w:val="none" w:sz="0" w:space="0" w:color="auto"/>
        <w:left w:val="none" w:sz="0" w:space="0" w:color="auto"/>
        <w:bottom w:val="none" w:sz="0" w:space="0" w:color="auto"/>
        <w:right w:val="none" w:sz="0" w:space="0" w:color="auto"/>
      </w:divBdr>
    </w:div>
    <w:div w:id="1962573294">
      <w:bodyDiv w:val="1"/>
      <w:marLeft w:val="0"/>
      <w:marRight w:val="0"/>
      <w:marTop w:val="0"/>
      <w:marBottom w:val="0"/>
      <w:divBdr>
        <w:top w:val="none" w:sz="0" w:space="0" w:color="auto"/>
        <w:left w:val="none" w:sz="0" w:space="0" w:color="auto"/>
        <w:bottom w:val="none" w:sz="0" w:space="0" w:color="auto"/>
        <w:right w:val="none" w:sz="0" w:space="0" w:color="auto"/>
      </w:divBdr>
    </w:div>
    <w:div w:id="1962757677">
      <w:bodyDiv w:val="1"/>
      <w:marLeft w:val="0"/>
      <w:marRight w:val="0"/>
      <w:marTop w:val="0"/>
      <w:marBottom w:val="0"/>
      <w:divBdr>
        <w:top w:val="none" w:sz="0" w:space="0" w:color="auto"/>
        <w:left w:val="none" w:sz="0" w:space="0" w:color="auto"/>
        <w:bottom w:val="none" w:sz="0" w:space="0" w:color="auto"/>
        <w:right w:val="none" w:sz="0" w:space="0" w:color="auto"/>
      </w:divBdr>
    </w:div>
    <w:div w:id="1962875260">
      <w:bodyDiv w:val="1"/>
      <w:marLeft w:val="0"/>
      <w:marRight w:val="0"/>
      <w:marTop w:val="0"/>
      <w:marBottom w:val="0"/>
      <w:divBdr>
        <w:top w:val="none" w:sz="0" w:space="0" w:color="auto"/>
        <w:left w:val="none" w:sz="0" w:space="0" w:color="auto"/>
        <w:bottom w:val="none" w:sz="0" w:space="0" w:color="auto"/>
        <w:right w:val="none" w:sz="0" w:space="0" w:color="auto"/>
      </w:divBdr>
    </w:div>
    <w:div w:id="1962950551">
      <w:bodyDiv w:val="1"/>
      <w:marLeft w:val="0"/>
      <w:marRight w:val="0"/>
      <w:marTop w:val="0"/>
      <w:marBottom w:val="0"/>
      <w:divBdr>
        <w:top w:val="none" w:sz="0" w:space="0" w:color="auto"/>
        <w:left w:val="none" w:sz="0" w:space="0" w:color="auto"/>
        <w:bottom w:val="none" w:sz="0" w:space="0" w:color="auto"/>
        <w:right w:val="none" w:sz="0" w:space="0" w:color="auto"/>
      </w:divBdr>
    </w:div>
    <w:div w:id="1963002704">
      <w:bodyDiv w:val="1"/>
      <w:marLeft w:val="0"/>
      <w:marRight w:val="0"/>
      <w:marTop w:val="0"/>
      <w:marBottom w:val="0"/>
      <w:divBdr>
        <w:top w:val="none" w:sz="0" w:space="0" w:color="auto"/>
        <w:left w:val="none" w:sz="0" w:space="0" w:color="auto"/>
        <w:bottom w:val="none" w:sz="0" w:space="0" w:color="auto"/>
        <w:right w:val="none" w:sz="0" w:space="0" w:color="auto"/>
      </w:divBdr>
    </w:div>
    <w:div w:id="1963026986">
      <w:bodyDiv w:val="1"/>
      <w:marLeft w:val="0"/>
      <w:marRight w:val="0"/>
      <w:marTop w:val="0"/>
      <w:marBottom w:val="0"/>
      <w:divBdr>
        <w:top w:val="none" w:sz="0" w:space="0" w:color="auto"/>
        <w:left w:val="none" w:sz="0" w:space="0" w:color="auto"/>
        <w:bottom w:val="none" w:sz="0" w:space="0" w:color="auto"/>
        <w:right w:val="none" w:sz="0" w:space="0" w:color="auto"/>
      </w:divBdr>
    </w:div>
    <w:div w:id="1963262600">
      <w:bodyDiv w:val="1"/>
      <w:marLeft w:val="0"/>
      <w:marRight w:val="0"/>
      <w:marTop w:val="0"/>
      <w:marBottom w:val="0"/>
      <w:divBdr>
        <w:top w:val="none" w:sz="0" w:space="0" w:color="auto"/>
        <w:left w:val="none" w:sz="0" w:space="0" w:color="auto"/>
        <w:bottom w:val="none" w:sz="0" w:space="0" w:color="auto"/>
        <w:right w:val="none" w:sz="0" w:space="0" w:color="auto"/>
      </w:divBdr>
    </w:div>
    <w:div w:id="1963343244">
      <w:bodyDiv w:val="1"/>
      <w:marLeft w:val="0"/>
      <w:marRight w:val="0"/>
      <w:marTop w:val="0"/>
      <w:marBottom w:val="0"/>
      <w:divBdr>
        <w:top w:val="none" w:sz="0" w:space="0" w:color="auto"/>
        <w:left w:val="none" w:sz="0" w:space="0" w:color="auto"/>
        <w:bottom w:val="none" w:sz="0" w:space="0" w:color="auto"/>
        <w:right w:val="none" w:sz="0" w:space="0" w:color="auto"/>
      </w:divBdr>
    </w:div>
    <w:div w:id="1963532323">
      <w:bodyDiv w:val="1"/>
      <w:marLeft w:val="0"/>
      <w:marRight w:val="0"/>
      <w:marTop w:val="0"/>
      <w:marBottom w:val="0"/>
      <w:divBdr>
        <w:top w:val="none" w:sz="0" w:space="0" w:color="auto"/>
        <w:left w:val="none" w:sz="0" w:space="0" w:color="auto"/>
        <w:bottom w:val="none" w:sz="0" w:space="0" w:color="auto"/>
        <w:right w:val="none" w:sz="0" w:space="0" w:color="auto"/>
      </w:divBdr>
    </w:div>
    <w:div w:id="1963611365">
      <w:bodyDiv w:val="1"/>
      <w:marLeft w:val="0"/>
      <w:marRight w:val="0"/>
      <w:marTop w:val="0"/>
      <w:marBottom w:val="0"/>
      <w:divBdr>
        <w:top w:val="none" w:sz="0" w:space="0" w:color="auto"/>
        <w:left w:val="none" w:sz="0" w:space="0" w:color="auto"/>
        <w:bottom w:val="none" w:sz="0" w:space="0" w:color="auto"/>
        <w:right w:val="none" w:sz="0" w:space="0" w:color="auto"/>
      </w:divBdr>
    </w:div>
    <w:div w:id="1963656013">
      <w:bodyDiv w:val="1"/>
      <w:marLeft w:val="0"/>
      <w:marRight w:val="0"/>
      <w:marTop w:val="0"/>
      <w:marBottom w:val="0"/>
      <w:divBdr>
        <w:top w:val="none" w:sz="0" w:space="0" w:color="auto"/>
        <w:left w:val="none" w:sz="0" w:space="0" w:color="auto"/>
        <w:bottom w:val="none" w:sz="0" w:space="0" w:color="auto"/>
        <w:right w:val="none" w:sz="0" w:space="0" w:color="auto"/>
      </w:divBdr>
    </w:div>
    <w:div w:id="1963923709">
      <w:bodyDiv w:val="1"/>
      <w:marLeft w:val="0"/>
      <w:marRight w:val="0"/>
      <w:marTop w:val="0"/>
      <w:marBottom w:val="0"/>
      <w:divBdr>
        <w:top w:val="none" w:sz="0" w:space="0" w:color="auto"/>
        <w:left w:val="none" w:sz="0" w:space="0" w:color="auto"/>
        <w:bottom w:val="none" w:sz="0" w:space="0" w:color="auto"/>
        <w:right w:val="none" w:sz="0" w:space="0" w:color="auto"/>
      </w:divBdr>
    </w:div>
    <w:div w:id="1964388366">
      <w:bodyDiv w:val="1"/>
      <w:marLeft w:val="0"/>
      <w:marRight w:val="0"/>
      <w:marTop w:val="0"/>
      <w:marBottom w:val="0"/>
      <w:divBdr>
        <w:top w:val="none" w:sz="0" w:space="0" w:color="auto"/>
        <w:left w:val="none" w:sz="0" w:space="0" w:color="auto"/>
        <w:bottom w:val="none" w:sz="0" w:space="0" w:color="auto"/>
        <w:right w:val="none" w:sz="0" w:space="0" w:color="auto"/>
      </w:divBdr>
    </w:div>
    <w:div w:id="1964726212">
      <w:bodyDiv w:val="1"/>
      <w:marLeft w:val="0"/>
      <w:marRight w:val="0"/>
      <w:marTop w:val="0"/>
      <w:marBottom w:val="0"/>
      <w:divBdr>
        <w:top w:val="none" w:sz="0" w:space="0" w:color="auto"/>
        <w:left w:val="none" w:sz="0" w:space="0" w:color="auto"/>
        <w:bottom w:val="none" w:sz="0" w:space="0" w:color="auto"/>
        <w:right w:val="none" w:sz="0" w:space="0" w:color="auto"/>
      </w:divBdr>
    </w:div>
    <w:div w:id="1964771890">
      <w:bodyDiv w:val="1"/>
      <w:marLeft w:val="0"/>
      <w:marRight w:val="0"/>
      <w:marTop w:val="0"/>
      <w:marBottom w:val="0"/>
      <w:divBdr>
        <w:top w:val="none" w:sz="0" w:space="0" w:color="auto"/>
        <w:left w:val="none" w:sz="0" w:space="0" w:color="auto"/>
        <w:bottom w:val="none" w:sz="0" w:space="0" w:color="auto"/>
        <w:right w:val="none" w:sz="0" w:space="0" w:color="auto"/>
      </w:divBdr>
    </w:div>
    <w:div w:id="1964841953">
      <w:bodyDiv w:val="1"/>
      <w:marLeft w:val="0"/>
      <w:marRight w:val="0"/>
      <w:marTop w:val="0"/>
      <w:marBottom w:val="0"/>
      <w:divBdr>
        <w:top w:val="none" w:sz="0" w:space="0" w:color="auto"/>
        <w:left w:val="none" w:sz="0" w:space="0" w:color="auto"/>
        <w:bottom w:val="none" w:sz="0" w:space="0" w:color="auto"/>
        <w:right w:val="none" w:sz="0" w:space="0" w:color="auto"/>
      </w:divBdr>
    </w:div>
    <w:div w:id="1964921834">
      <w:bodyDiv w:val="1"/>
      <w:marLeft w:val="0"/>
      <w:marRight w:val="0"/>
      <w:marTop w:val="0"/>
      <w:marBottom w:val="0"/>
      <w:divBdr>
        <w:top w:val="none" w:sz="0" w:space="0" w:color="auto"/>
        <w:left w:val="none" w:sz="0" w:space="0" w:color="auto"/>
        <w:bottom w:val="none" w:sz="0" w:space="0" w:color="auto"/>
        <w:right w:val="none" w:sz="0" w:space="0" w:color="auto"/>
      </w:divBdr>
    </w:div>
    <w:div w:id="1964923666">
      <w:bodyDiv w:val="1"/>
      <w:marLeft w:val="0"/>
      <w:marRight w:val="0"/>
      <w:marTop w:val="0"/>
      <w:marBottom w:val="0"/>
      <w:divBdr>
        <w:top w:val="none" w:sz="0" w:space="0" w:color="auto"/>
        <w:left w:val="none" w:sz="0" w:space="0" w:color="auto"/>
        <w:bottom w:val="none" w:sz="0" w:space="0" w:color="auto"/>
        <w:right w:val="none" w:sz="0" w:space="0" w:color="auto"/>
      </w:divBdr>
    </w:div>
    <w:div w:id="1965035698">
      <w:bodyDiv w:val="1"/>
      <w:marLeft w:val="0"/>
      <w:marRight w:val="0"/>
      <w:marTop w:val="0"/>
      <w:marBottom w:val="0"/>
      <w:divBdr>
        <w:top w:val="none" w:sz="0" w:space="0" w:color="auto"/>
        <w:left w:val="none" w:sz="0" w:space="0" w:color="auto"/>
        <w:bottom w:val="none" w:sz="0" w:space="0" w:color="auto"/>
        <w:right w:val="none" w:sz="0" w:space="0" w:color="auto"/>
      </w:divBdr>
    </w:div>
    <w:div w:id="1965185243">
      <w:bodyDiv w:val="1"/>
      <w:marLeft w:val="0"/>
      <w:marRight w:val="0"/>
      <w:marTop w:val="0"/>
      <w:marBottom w:val="0"/>
      <w:divBdr>
        <w:top w:val="none" w:sz="0" w:space="0" w:color="auto"/>
        <w:left w:val="none" w:sz="0" w:space="0" w:color="auto"/>
        <w:bottom w:val="none" w:sz="0" w:space="0" w:color="auto"/>
        <w:right w:val="none" w:sz="0" w:space="0" w:color="auto"/>
      </w:divBdr>
    </w:div>
    <w:div w:id="1965193103">
      <w:bodyDiv w:val="1"/>
      <w:marLeft w:val="0"/>
      <w:marRight w:val="0"/>
      <w:marTop w:val="0"/>
      <w:marBottom w:val="0"/>
      <w:divBdr>
        <w:top w:val="none" w:sz="0" w:space="0" w:color="auto"/>
        <w:left w:val="none" w:sz="0" w:space="0" w:color="auto"/>
        <w:bottom w:val="none" w:sz="0" w:space="0" w:color="auto"/>
        <w:right w:val="none" w:sz="0" w:space="0" w:color="auto"/>
      </w:divBdr>
    </w:div>
    <w:div w:id="1965230322">
      <w:bodyDiv w:val="1"/>
      <w:marLeft w:val="0"/>
      <w:marRight w:val="0"/>
      <w:marTop w:val="0"/>
      <w:marBottom w:val="0"/>
      <w:divBdr>
        <w:top w:val="none" w:sz="0" w:space="0" w:color="auto"/>
        <w:left w:val="none" w:sz="0" w:space="0" w:color="auto"/>
        <w:bottom w:val="none" w:sz="0" w:space="0" w:color="auto"/>
        <w:right w:val="none" w:sz="0" w:space="0" w:color="auto"/>
      </w:divBdr>
    </w:div>
    <w:div w:id="1965306934">
      <w:bodyDiv w:val="1"/>
      <w:marLeft w:val="0"/>
      <w:marRight w:val="0"/>
      <w:marTop w:val="0"/>
      <w:marBottom w:val="0"/>
      <w:divBdr>
        <w:top w:val="none" w:sz="0" w:space="0" w:color="auto"/>
        <w:left w:val="none" w:sz="0" w:space="0" w:color="auto"/>
        <w:bottom w:val="none" w:sz="0" w:space="0" w:color="auto"/>
        <w:right w:val="none" w:sz="0" w:space="0" w:color="auto"/>
      </w:divBdr>
    </w:div>
    <w:div w:id="1965309478">
      <w:bodyDiv w:val="1"/>
      <w:marLeft w:val="0"/>
      <w:marRight w:val="0"/>
      <w:marTop w:val="0"/>
      <w:marBottom w:val="0"/>
      <w:divBdr>
        <w:top w:val="none" w:sz="0" w:space="0" w:color="auto"/>
        <w:left w:val="none" w:sz="0" w:space="0" w:color="auto"/>
        <w:bottom w:val="none" w:sz="0" w:space="0" w:color="auto"/>
        <w:right w:val="none" w:sz="0" w:space="0" w:color="auto"/>
      </w:divBdr>
    </w:div>
    <w:div w:id="1965456488">
      <w:bodyDiv w:val="1"/>
      <w:marLeft w:val="0"/>
      <w:marRight w:val="0"/>
      <w:marTop w:val="0"/>
      <w:marBottom w:val="0"/>
      <w:divBdr>
        <w:top w:val="none" w:sz="0" w:space="0" w:color="auto"/>
        <w:left w:val="none" w:sz="0" w:space="0" w:color="auto"/>
        <w:bottom w:val="none" w:sz="0" w:space="0" w:color="auto"/>
        <w:right w:val="none" w:sz="0" w:space="0" w:color="auto"/>
      </w:divBdr>
    </w:div>
    <w:div w:id="1965574490">
      <w:bodyDiv w:val="1"/>
      <w:marLeft w:val="0"/>
      <w:marRight w:val="0"/>
      <w:marTop w:val="0"/>
      <w:marBottom w:val="0"/>
      <w:divBdr>
        <w:top w:val="none" w:sz="0" w:space="0" w:color="auto"/>
        <w:left w:val="none" w:sz="0" w:space="0" w:color="auto"/>
        <w:bottom w:val="none" w:sz="0" w:space="0" w:color="auto"/>
        <w:right w:val="none" w:sz="0" w:space="0" w:color="auto"/>
      </w:divBdr>
    </w:div>
    <w:div w:id="1965651231">
      <w:bodyDiv w:val="1"/>
      <w:marLeft w:val="0"/>
      <w:marRight w:val="0"/>
      <w:marTop w:val="0"/>
      <w:marBottom w:val="0"/>
      <w:divBdr>
        <w:top w:val="none" w:sz="0" w:space="0" w:color="auto"/>
        <w:left w:val="none" w:sz="0" w:space="0" w:color="auto"/>
        <w:bottom w:val="none" w:sz="0" w:space="0" w:color="auto"/>
        <w:right w:val="none" w:sz="0" w:space="0" w:color="auto"/>
      </w:divBdr>
    </w:div>
    <w:div w:id="1965696350">
      <w:bodyDiv w:val="1"/>
      <w:marLeft w:val="0"/>
      <w:marRight w:val="0"/>
      <w:marTop w:val="0"/>
      <w:marBottom w:val="0"/>
      <w:divBdr>
        <w:top w:val="none" w:sz="0" w:space="0" w:color="auto"/>
        <w:left w:val="none" w:sz="0" w:space="0" w:color="auto"/>
        <w:bottom w:val="none" w:sz="0" w:space="0" w:color="auto"/>
        <w:right w:val="none" w:sz="0" w:space="0" w:color="auto"/>
      </w:divBdr>
    </w:div>
    <w:div w:id="1965844692">
      <w:bodyDiv w:val="1"/>
      <w:marLeft w:val="0"/>
      <w:marRight w:val="0"/>
      <w:marTop w:val="0"/>
      <w:marBottom w:val="0"/>
      <w:divBdr>
        <w:top w:val="none" w:sz="0" w:space="0" w:color="auto"/>
        <w:left w:val="none" w:sz="0" w:space="0" w:color="auto"/>
        <w:bottom w:val="none" w:sz="0" w:space="0" w:color="auto"/>
        <w:right w:val="none" w:sz="0" w:space="0" w:color="auto"/>
      </w:divBdr>
    </w:div>
    <w:div w:id="1965848883">
      <w:bodyDiv w:val="1"/>
      <w:marLeft w:val="0"/>
      <w:marRight w:val="0"/>
      <w:marTop w:val="0"/>
      <w:marBottom w:val="0"/>
      <w:divBdr>
        <w:top w:val="none" w:sz="0" w:space="0" w:color="auto"/>
        <w:left w:val="none" w:sz="0" w:space="0" w:color="auto"/>
        <w:bottom w:val="none" w:sz="0" w:space="0" w:color="auto"/>
        <w:right w:val="none" w:sz="0" w:space="0" w:color="auto"/>
      </w:divBdr>
    </w:div>
    <w:div w:id="1965963427">
      <w:bodyDiv w:val="1"/>
      <w:marLeft w:val="0"/>
      <w:marRight w:val="0"/>
      <w:marTop w:val="0"/>
      <w:marBottom w:val="0"/>
      <w:divBdr>
        <w:top w:val="none" w:sz="0" w:space="0" w:color="auto"/>
        <w:left w:val="none" w:sz="0" w:space="0" w:color="auto"/>
        <w:bottom w:val="none" w:sz="0" w:space="0" w:color="auto"/>
        <w:right w:val="none" w:sz="0" w:space="0" w:color="auto"/>
      </w:divBdr>
    </w:div>
    <w:div w:id="1966085541">
      <w:bodyDiv w:val="1"/>
      <w:marLeft w:val="0"/>
      <w:marRight w:val="0"/>
      <w:marTop w:val="0"/>
      <w:marBottom w:val="0"/>
      <w:divBdr>
        <w:top w:val="none" w:sz="0" w:space="0" w:color="auto"/>
        <w:left w:val="none" w:sz="0" w:space="0" w:color="auto"/>
        <w:bottom w:val="none" w:sz="0" w:space="0" w:color="auto"/>
        <w:right w:val="none" w:sz="0" w:space="0" w:color="auto"/>
      </w:divBdr>
    </w:div>
    <w:div w:id="1966227674">
      <w:bodyDiv w:val="1"/>
      <w:marLeft w:val="0"/>
      <w:marRight w:val="0"/>
      <w:marTop w:val="0"/>
      <w:marBottom w:val="0"/>
      <w:divBdr>
        <w:top w:val="none" w:sz="0" w:space="0" w:color="auto"/>
        <w:left w:val="none" w:sz="0" w:space="0" w:color="auto"/>
        <w:bottom w:val="none" w:sz="0" w:space="0" w:color="auto"/>
        <w:right w:val="none" w:sz="0" w:space="0" w:color="auto"/>
      </w:divBdr>
    </w:div>
    <w:div w:id="1966495924">
      <w:bodyDiv w:val="1"/>
      <w:marLeft w:val="0"/>
      <w:marRight w:val="0"/>
      <w:marTop w:val="0"/>
      <w:marBottom w:val="0"/>
      <w:divBdr>
        <w:top w:val="none" w:sz="0" w:space="0" w:color="auto"/>
        <w:left w:val="none" w:sz="0" w:space="0" w:color="auto"/>
        <w:bottom w:val="none" w:sz="0" w:space="0" w:color="auto"/>
        <w:right w:val="none" w:sz="0" w:space="0" w:color="auto"/>
      </w:divBdr>
    </w:div>
    <w:div w:id="1966737398">
      <w:bodyDiv w:val="1"/>
      <w:marLeft w:val="0"/>
      <w:marRight w:val="0"/>
      <w:marTop w:val="0"/>
      <w:marBottom w:val="0"/>
      <w:divBdr>
        <w:top w:val="none" w:sz="0" w:space="0" w:color="auto"/>
        <w:left w:val="none" w:sz="0" w:space="0" w:color="auto"/>
        <w:bottom w:val="none" w:sz="0" w:space="0" w:color="auto"/>
        <w:right w:val="none" w:sz="0" w:space="0" w:color="auto"/>
      </w:divBdr>
    </w:div>
    <w:div w:id="1966809150">
      <w:bodyDiv w:val="1"/>
      <w:marLeft w:val="0"/>
      <w:marRight w:val="0"/>
      <w:marTop w:val="0"/>
      <w:marBottom w:val="0"/>
      <w:divBdr>
        <w:top w:val="none" w:sz="0" w:space="0" w:color="auto"/>
        <w:left w:val="none" w:sz="0" w:space="0" w:color="auto"/>
        <w:bottom w:val="none" w:sz="0" w:space="0" w:color="auto"/>
        <w:right w:val="none" w:sz="0" w:space="0" w:color="auto"/>
      </w:divBdr>
    </w:div>
    <w:div w:id="1967004222">
      <w:bodyDiv w:val="1"/>
      <w:marLeft w:val="0"/>
      <w:marRight w:val="0"/>
      <w:marTop w:val="0"/>
      <w:marBottom w:val="0"/>
      <w:divBdr>
        <w:top w:val="none" w:sz="0" w:space="0" w:color="auto"/>
        <w:left w:val="none" w:sz="0" w:space="0" w:color="auto"/>
        <w:bottom w:val="none" w:sz="0" w:space="0" w:color="auto"/>
        <w:right w:val="none" w:sz="0" w:space="0" w:color="auto"/>
      </w:divBdr>
    </w:div>
    <w:div w:id="1967545654">
      <w:bodyDiv w:val="1"/>
      <w:marLeft w:val="0"/>
      <w:marRight w:val="0"/>
      <w:marTop w:val="0"/>
      <w:marBottom w:val="0"/>
      <w:divBdr>
        <w:top w:val="none" w:sz="0" w:space="0" w:color="auto"/>
        <w:left w:val="none" w:sz="0" w:space="0" w:color="auto"/>
        <w:bottom w:val="none" w:sz="0" w:space="0" w:color="auto"/>
        <w:right w:val="none" w:sz="0" w:space="0" w:color="auto"/>
      </w:divBdr>
    </w:div>
    <w:div w:id="1968118649">
      <w:bodyDiv w:val="1"/>
      <w:marLeft w:val="0"/>
      <w:marRight w:val="0"/>
      <w:marTop w:val="0"/>
      <w:marBottom w:val="0"/>
      <w:divBdr>
        <w:top w:val="none" w:sz="0" w:space="0" w:color="auto"/>
        <w:left w:val="none" w:sz="0" w:space="0" w:color="auto"/>
        <w:bottom w:val="none" w:sz="0" w:space="0" w:color="auto"/>
        <w:right w:val="none" w:sz="0" w:space="0" w:color="auto"/>
      </w:divBdr>
    </w:div>
    <w:div w:id="1968272068">
      <w:bodyDiv w:val="1"/>
      <w:marLeft w:val="0"/>
      <w:marRight w:val="0"/>
      <w:marTop w:val="0"/>
      <w:marBottom w:val="0"/>
      <w:divBdr>
        <w:top w:val="none" w:sz="0" w:space="0" w:color="auto"/>
        <w:left w:val="none" w:sz="0" w:space="0" w:color="auto"/>
        <w:bottom w:val="none" w:sz="0" w:space="0" w:color="auto"/>
        <w:right w:val="none" w:sz="0" w:space="0" w:color="auto"/>
      </w:divBdr>
    </w:div>
    <w:div w:id="1968390986">
      <w:bodyDiv w:val="1"/>
      <w:marLeft w:val="0"/>
      <w:marRight w:val="0"/>
      <w:marTop w:val="0"/>
      <w:marBottom w:val="0"/>
      <w:divBdr>
        <w:top w:val="none" w:sz="0" w:space="0" w:color="auto"/>
        <w:left w:val="none" w:sz="0" w:space="0" w:color="auto"/>
        <w:bottom w:val="none" w:sz="0" w:space="0" w:color="auto"/>
        <w:right w:val="none" w:sz="0" w:space="0" w:color="auto"/>
      </w:divBdr>
    </w:div>
    <w:div w:id="1968462746">
      <w:bodyDiv w:val="1"/>
      <w:marLeft w:val="0"/>
      <w:marRight w:val="0"/>
      <w:marTop w:val="0"/>
      <w:marBottom w:val="0"/>
      <w:divBdr>
        <w:top w:val="none" w:sz="0" w:space="0" w:color="auto"/>
        <w:left w:val="none" w:sz="0" w:space="0" w:color="auto"/>
        <w:bottom w:val="none" w:sz="0" w:space="0" w:color="auto"/>
        <w:right w:val="none" w:sz="0" w:space="0" w:color="auto"/>
      </w:divBdr>
    </w:div>
    <w:div w:id="1968470014">
      <w:bodyDiv w:val="1"/>
      <w:marLeft w:val="0"/>
      <w:marRight w:val="0"/>
      <w:marTop w:val="0"/>
      <w:marBottom w:val="0"/>
      <w:divBdr>
        <w:top w:val="none" w:sz="0" w:space="0" w:color="auto"/>
        <w:left w:val="none" w:sz="0" w:space="0" w:color="auto"/>
        <w:bottom w:val="none" w:sz="0" w:space="0" w:color="auto"/>
        <w:right w:val="none" w:sz="0" w:space="0" w:color="auto"/>
      </w:divBdr>
    </w:div>
    <w:div w:id="1968703462">
      <w:bodyDiv w:val="1"/>
      <w:marLeft w:val="0"/>
      <w:marRight w:val="0"/>
      <w:marTop w:val="0"/>
      <w:marBottom w:val="0"/>
      <w:divBdr>
        <w:top w:val="none" w:sz="0" w:space="0" w:color="auto"/>
        <w:left w:val="none" w:sz="0" w:space="0" w:color="auto"/>
        <w:bottom w:val="none" w:sz="0" w:space="0" w:color="auto"/>
        <w:right w:val="none" w:sz="0" w:space="0" w:color="auto"/>
      </w:divBdr>
    </w:div>
    <w:div w:id="1968706375">
      <w:bodyDiv w:val="1"/>
      <w:marLeft w:val="0"/>
      <w:marRight w:val="0"/>
      <w:marTop w:val="0"/>
      <w:marBottom w:val="0"/>
      <w:divBdr>
        <w:top w:val="none" w:sz="0" w:space="0" w:color="auto"/>
        <w:left w:val="none" w:sz="0" w:space="0" w:color="auto"/>
        <w:bottom w:val="none" w:sz="0" w:space="0" w:color="auto"/>
        <w:right w:val="none" w:sz="0" w:space="0" w:color="auto"/>
      </w:divBdr>
    </w:div>
    <w:div w:id="1968851558">
      <w:bodyDiv w:val="1"/>
      <w:marLeft w:val="0"/>
      <w:marRight w:val="0"/>
      <w:marTop w:val="0"/>
      <w:marBottom w:val="0"/>
      <w:divBdr>
        <w:top w:val="none" w:sz="0" w:space="0" w:color="auto"/>
        <w:left w:val="none" w:sz="0" w:space="0" w:color="auto"/>
        <w:bottom w:val="none" w:sz="0" w:space="0" w:color="auto"/>
        <w:right w:val="none" w:sz="0" w:space="0" w:color="auto"/>
      </w:divBdr>
    </w:div>
    <w:div w:id="1968854033">
      <w:bodyDiv w:val="1"/>
      <w:marLeft w:val="0"/>
      <w:marRight w:val="0"/>
      <w:marTop w:val="0"/>
      <w:marBottom w:val="0"/>
      <w:divBdr>
        <w:top w:val="none" w:sz="0" w:space="0" w:color="auto"/>
        <w:left w:val="none" w:sz="0" w:space="0" w:color="auto"/>
        <w:bottom w:val="none" w:sz="0" w:space="0" w:color="auto"/>
        <w:right w:val="none" w:sz="0" w:space="0" w:color="auto"/>
      </w:divBdr>
    </w:div>
    <w:div w:id="1968974622">
      <w:bodyDiv w:val="1"/>
      <w:marLeft w:val="0"/>
      <w:marRight w:val="0"/>
      <w:marTop w:val="0"/>
      <w:marBottom w:val="0"/>
      <w:divBdr>
        <w:top w:val="none" w:sz="0" w:space="0" w:color="auto"/>
        <w:left w:val="none" w:sz="0" w:space="0" w:color="auto"/>
        <w:bottom w:val="none" w:sz="0" w:space="0" w:color="auto"/>
        <w:right w:val="none" w:sz="0" w:space="0" w:color="auto"/>
      </w:divBdr>
    </w:div>
    <w:div w:id="1969050561">
      <w:bodyDiv w:val="1"/>
      <w:marLeft w:val="0"/>
      <w:marRight w:val="0"/>
      <w:marTop w:val="0"/>
      <w:marBottom w:val="0"/>
      <w:divBdr>
        <w:top w:val="none" w:sz="0" w:space="0" w:color="auto"/>
        <w:left w:val="none" w:sz="0" w:space="0" w:color="auto"/>
        <w:bottom w:val="none" w:sz="0" w:space="0" w:color="auto"/>
        <w:right w:val="none" w:sz="0" w:space="0" w:color="auto"/>
      </w:divBdr>
    </w:div>
    <w:div w:id="1969119528">
      <w:bodyDiv w:val="1"/>
      <w:marLeft w:val="0"/>
      <w:marRight w:val="0"/>
      <w:marTop w:val="0"/>
      <w:marBottom w:val="0"/>
      <w:divBdr>
        <w:top w:val="none" w:sz="0" w:space="0" w:color="auto"/>
        <w:left w:val="none" w:sz="0" w:space="0" w:color="auto"/>
        <w:bottom w:val="none" w:sz="0" w:space="0" w:color="auto"/>
        <w:right w:val="none" w:sz="0" w:space="0" w:color="auto"/>
      </w:divBdr>
    </w:div>
    <w:div w:id="1969237029">
      <w:bodyDiv w:val="1"/>
      <w:marLeft w:val="0"/>
      <w:marRight w:val="0"/>
      <w:marTop w:val="0"/>
      <w:marBottom w:val="0"/>
      <w:divBdr>
        <w:top w:val="none" w:sz="0" w:space="0" w:color="auto"/>
        <w:left w:val="none" w:sz="0" w:space="0" w:color="auto"/>
        <w:bottom w:val="none" w:sz="0" w:space="0" w:color="auto"/>
        <w:right w:val="none" w:sz="0" w:space="0" w:color="auto"/>
      </w:divBdr>
    </w:div>
    <w:div w:id="1969238664">
      <w:bodyDiv w:val="1"/>
      <w:marLeft w:val="0"/>
      <w:marRight w:val="0"/>
      <w:marTop w:val="0"/>
      <w:marBottom w:val="0"/>
      <w:divBdr>
        <w:top w:val="none" w:sz="0" w:space="0" w:color="auto"/>
        <w:left w:val="none" w:sz="0" w:space="0" w:color="auto"/>
        <w:bottom w:val="none" w:sz="0" w:space="0" w:color="auto"/>
        <w:right w:val="none" w:sz="0" w:space="0" w:color="auto"/>
      </w:divBdr>
    </w:div>
    <w:div w:id="1969385892">
      <w:bodyDiv w:val="1"/>
      <w:marLeft w:val="0"/>
      <w:marRight w:val="0"/>
      <w:marTop w:val="0"/>
      <w:marBottom w:val="0"/>
      <w:divBdr>
        <w:top w:val="none" w:sz="0" w:space="0" w:color="auto"/>
        <w:left w:val="none" w:sz="0" w:space="0" w:color="auto"/>
        <w:bottom w:val="none" w:sz="0" w:space="0" w:color="auto"/>
        <w:right w:val="none" w:sz="0" w:space="0" w:color="auto"/>
      </w:divBdr>
    </w:div>
    <w:div w:id="1969386961">
      <w:bodyDiv w:val="1"/>
      <w:marLeft w:val="0"/>
      <w:marRight w:val="0"/>
      <w:marTop w:val="0"/>
      <w:marBottom w:val="0"/>
      <w:divBdr>
        <w:top w:val="none" w:sz="0" w:space="0" w:color="auto"/>
        <w:left w:val="none" w:sz="0" w:space="0" w:color="auto"/>
        <w:bottom w:val="none" w:sz="0" w:space="0" w:color="auto"/>
        <w:right w:val="none" w:sz="0" w:space="0" w:color="auto"/>
      </w:divBdr>
    </w:div>
    <w:div w:id="1969437069">
      <w:bodyDiv w:val="1"/>
      <w:marLeft w:val="0"/>
      <w:marRight w:val="0"/>
      <w:marTop w:val="0"/>
      <w:marBottom w:val="0"/>
      <w:divBdr>
        <w:top w:val="none" w:sz="0" w:space="0" w:color="auto"/>
        <w:left w:val="none" w:sz="0" w:space="0" w:color="auto"/>
        <w:bottom w:val="none" w:sz="0" w:space="0" w:color="auto"/>
        <w:right w:val="none" w:sz="0" w:space="0" w:color="auto"/>
      </w:divBdr>
    </w:div>
    <w:div w:id="1969584356">
      <w:bodyDiv w:val="1"/>
      <w:marLeft w:val="0"/>
      <w:marRight w:val="0"/>
      <w:marTop w:val="0"/>
      <w:marBottom w:val="0"/>
      <w:divBdr>
        <w:top w:val="none" w:sz="0" w:space="0" w:color="auto"/>
        <w:left w:val="none" w:sz="0" w:space="0" w:color="auto"/>
        <w:bottom w:val="none" w:sz="0" w:space="0" w:color="auto"/>
        <w:right w:val="none" w:sz="0" w:space="0" w:color="auto"/>
      </w:divBdr>
    </w:div>
    <w:div w:id="1969626162">
      <w:bodyDiv w:val="1"/>
      <w:marLeft w:val="0"/>
      <w:marRight w:val="0"/>
      <w:marTop w:val="0"/>
      <w:marBottom w:val="0"/>
      <w:divBdr>
        <w:top w:val="none" w:sz="0" w:space="0" w:color="auto"/>
        <w:left w:val="none" w:sz="0" w:space="0" w:color="auto"/>
        <w:bottom w:val="none" w:sz="0" w:space="0" w:color="auto"/>
        <w:right w:val="none" w:sz="0" w:space="0" w:color="auto"/>
      </w:divBdr>
    </w:div>
    <w:div w:id="1969897146">
      <w:bodyDiv w:val="1"/>
      <w:marLeft w:val="0"/>
      <w:marRight w:val="0"/>
      <w:marTop w:val="0"/>
      <w:marBottom w:val="0"/>
      <w:divBdr>
        <w:top w:val="none" w:sz="0" w:space="0" w:color="auto"/>
        <w:left w:val="none" w:sz="0" w:space="0" w:color="auto"/>
        <w:bottom w:val="none" w:sz="0" w:space="0" w:color="auto"/>
        <w:right w:val="none" w:sz="0" w:space="0" w:color="auto"/>
      </w:divBdr>
    </w:div>
    <w:div w:id="1969972291">
      <w:bodyDiv w:val="1"/>
      <w:marLeft w:val="0"/>
      <w:marRight w:val="0"/>
      <w:marTop w:val="0"/>
      <w:marBottom w:val="0"/>
      <w:divBdr>
        <w:top w:val="none" w:sz="0" w:space="0" w:color="auto"/>
        <w:left w:val="none" w:sz="0" w:space="0" w:color="auto"/>
        <w:bottom w:val="none" w:sz="0" w:space="0" w:color="auto"/>
        <w:right w:val="none" w:sz="0" w:space="0" w:color="auto"/>
      </w:divBdr>
    </w:div>
    <w:div w:id="1970161384">
      <w:bodyDiv w:val="1"/>
      <w:marLeft w:val="0"/>
      <w:marRight w:val="0"/>
      <w:marTop w:val="0"/>
      <w:marBottom w:val="0"/>
      <w:divBdr>
        <w:top w:val="none" w:sz="0" w:space="0" w:color="auto"/>
        <w:left w:val="none" w:sz="0" w:space="0" w:color="auto"/>
        <w:bottom w:val="none" w:sz="0" w:space="0" w:color="auto"/>
        <w:right w:val="none" w:sz="0" w:space="0" w:color="auto"/>
      </w:divBdr>
    </w:div>
    <w:div w:id="1970626681">
      <w:bodyDiv w:val="1"/>
      <w:marLeft w:val="0"/>
      <w:marRight w:val="0"/>
      <w:marTop w:val="0"/>
      <w:marBottom w:val="0"/>
      <w:divBdr>
        <w:top w:val="none" w:sz="0" w:space="0" w:color="auto"/>
        <w:left w:val="none" w:sz="0" w:space="0" w:color="auto"/>
        <w:bottom w:val="none" w:sz="0" w:space="0" w:color="auto"/>
        <w:right w:val="none" w:sz="0" w:space="0" w:color="auto"/>
      </w:divBdr>
    </w:div>
    <w:div w:id="1971086459">
      <w:bodyDiv w:val="1"/>
      <w:marLeft w:val="0"/>
      <w:marRight w:val="0"/>
      <w:marTop w:val="0"/>
      <w:marBottom w:val="0"/>
      <w:divBdr>
        <w:top w:val="none" w:sz="0" w:space="0" w:color="auto"/>
        <w:left w:val="none" w:sz="0" w:space="0" w:color="auto"/>
        <w:bottom w:val="none" w:sz="0" w:space="0" w:color="auto"/>
        <w:right w:val="none" w:sz="0" w:space="0" w:color="auto"/>
      </w:divBdr>
    </w:div>
    <w:div w:id="1971204061">
      <w:bodyDiv w:val="1"/>
      <w:marLeft w:val="0"/>
      <w:marRight w:val="0"/>
      <w:marTop w:val="0"/>
      <w:marBottom w:val="0"/>
      <w:divBdr>
        <w:top w:val="none" w:sz="0" w:space="0" w:color="auto"/>
        <w:left w:val="none" w:sz="0" w:space="0" w:color="auto"/>
        <w:bottom w:val="none" w:sz="0" w:space="0" w:color="auto"/>
        <w:right w:val="none" w:sz="0" w:space="0" w:color="auto"/>
      </w:divBdr>
    </w:div>
    <w:div w:id="1971980313">
      <w:bodyDiv w:val="1"/>
      <w:marLeft w:val="0"/>
      <w:marRight w:val="0"/>
      <w:marTop w:val="0"/>
      <w:marBottom w:val="0"/>
      <w:divBdr>
        <w:top w:val="none" w:sz="0" w:space="0" w:color="auto"/>
        <w:left w:val="none" w:sz="0" w:space="0" w:color="auto"/>
        <w:bottom w:val="none" w:sz="0" w:space="0" w:color="auto"/>
        <w:right w:val="none" w:sz="0" w:space="0" w:color="auto"/>
      </w:divBdr>
    </w:div>
    <w:div w:id="1971982752">
      <w:bodyDiv w:val="1"/>
      <w:marLeft w:val="0"/>
      <w:marRight w:val="0"/>
      <w:marTop w:val="0"/>
      <w:marBottom w:val="0"/>
      <w:divBdr>
        <w:top w:val="none" w:sz="0" w:space="0" w:color="auto"/>
        <w:left w:val="none" w:sz="0" w:space="0" w:color="auto"/>
        <w:bottom w:val="none" w:sz="0" w:space="0" w:color="auto"/>
        <w:right w:val="none" w:sz="0" w:space="0" w:color="auto"/>
      </w:divBdr>
    </w:div>
    <w:div w:id="1972009142">
      <w:bodyDiv w:val="1"/>
      <w:marLeft w:val="0"/>
      <w:marRight w:val="0"/>
      <w:marTop w:val="0"/>
      <w:marBottom w:val="0"/>
      <w:divBdr>
        <w:top w:val="none" w:sz="0" w:space="0" w:color="auto"/>
        <w:left w:val="none" w:sz="0" w:space="0" w:color="auto"/>
        <w:bottom w:val="none" w:sz="0" w:space="0" w:color="auto"/>
        <w:right w:val="none" w:sz="0" w:space="0" w:color="auto"/>
      </w:divBdr>
    </w:div>
    <w:div w:id="1972441722">
      <w:bodyDiv w:val="1"/>
      <w:marLeft w:val="0"/>
      <w:marRight w:val="0"/>
      <w:marTop w:val="0"/>
      <w:marBottom w:val="0"/>
      <w:divBdr>
        <w:top w:val="none" w:sz="0" w:space="0" w:color="auto"/>
        <w:left w:val="none" w:sz="0" w:space="0" w:color="auto"/>
        <w:bottom w:val="none" w:sz="0" w:space="0" w:color="auto"/>
        <w:right w:val="none" w:sz="0" w:space="0" w:color="auto"/>
      </w:divBdr>
    </w:div>
    <w:div w:id="1972469485">
      <w:bodyDiv w:val="1"/>
      <w:marLeft w:val="0"/>
      <w:marRight w:val="0"/>
      <w:marTop w:val="0"/>
      <w:marBottom w:val="0"/>
      <w:divBdr>
        <w:top w:val="none" w:sz="0" w:space="0" w:color="auto"/>
        <w:left w:val="none" w:sz="0" w:space="0" w:color="auto"/>
        <w:bottom w:val="none" w:sz="0" w:space="0" w:color="auto"/>
        <w:right w:val="none" w:sz="0" w:space="0" w:color="auto"/>
      </w:divBdr>
    </w:div>
    <w:div w:id="1972636258">
      <w:bodyDiv w:val="1"/>
      <w:marLeft w:val="0"/>
      <w:marRight w:val="0"/>
      <w:marTop w:val="0"/>
      <w:marBottom w:val="0"/>
      <w:divBdr>
        <w:top w:val="none" w:sz="0" w:space="0" w:color="auto"/>
        <w:left w:val="none" w:sz="0" w:space="0" w:color="auto"/>
        <w:bottom w:val="none" w:sz="0" w:space="0" w:color="auto"/>
        <w:right w:val="none" w:sz="0" w:space="0" w:color="auto"/>
      </w:divBdr>
    </w:div>
    <w:div w:id="1972898181">
      <w:bodyDiv w:val="1"/>
      <w:marLeft w:val="0"/>
      <w:marRight w:val="0"/>
      <w:marTop w:val="0"/>
      <w:marBottom w:val="0"/>
      <w:divBdr>
        <w:top w:val="none" w:sz="0" w:space="0" w:color="auto"/>
        <w:left w:val="none" w:sz="0" w:space="0" w:color="auto"/>
        <w:bottom w:val="none" w:sz="0" w:space="0" w:color="auto"/>
        <w:right w:val="none" w:sz="0" w:space="0" w:color="auto"/>
      </w:divBdr>
    </w:div>
    <w:div w:id="1973241702">
      <w:bodyDiv w:val="1"/>
      <w:marLeft w:val="0"/>
      <w:marRight w:val="0"/>
      <w:marTop w:val="0"/>
      <w:marBottom w:val="0"/>
      <w:divBdr>
        <w:top w:val="none" w:sz="0" w:space="0" w:color="auto"/>
        <w:left w:val="none" w:sz="0" w:space="0" w:color="auto"/>
        <w:bottom w:val="none" w:sz="0" w:space="0" w:color="auto"/>
        <w:right w:val="none" w:sz="0" w:space="0" w:color="auto"/>
      </w:divBdr>
    </w:div>
    <w:div w:id="1973292661">
      <w:bodyDiv w:val="1"/>
      <w:marLeft w:val="0"/>
      <w:marRight w:val="0"/>
      <w:marTop w:val="0"/>
      <w:marBottom w:val="0"/>
      <w:divBdr>
        <w:top w:val="none" w:sz="0" w:space="0" w:color="auto"/>
        <w:left w:val="none" w:sz="0" w:space="0" w:color="auto"/>
        <w:bottom w:val="none" w:sz="0" w:space="0" w:color="auto"/>
        <w:right w:val="none" w:sz="0" w:space="0" w:color="auto"/>
      </w:divBdr>
    </w:div>
    <w:div w:id="1973318208">
      <w:bodyDiv w:val="1"/>
      <w:marLeft w:val="0"/>
      <w:marRight w:val="0"/>
      <w:marTop w:val="0"/>
      <w:marBottom w:val="0"/>
      <w:divBdr>
        <w:top w:val="none" w:sz="0" w:space="0" w:color="auto"/>
        <w:left w:val="none" w:sz="0" w:space="0" w:color="auto"/>
        <w:bottom w:val="none" w:sz="0" w:space="0" w:color="auto"/>
        <w:right w:val="none" w:sz="0" w:space="0" w:color="auto"/>
      </w:divBdr>
    </w:div>
    <w:div w:id="1973441014">
      <w:bodyDiv w:val="1"/>
      <w:marLeft w:val="0"/>
      <w:marRight w:val="0"/>
      <w:marTop w:val="0"/>
      <w:marBottom w:val="0"/>
      <w:divBdr>
        <w:top w:val="none" w:sz="0" w:space="0" w:color="auto"/>
        <w:left w:val="none" w:sz="0" w:space="0" w:color="auto"/>
        <w:bottom w:val="none" w:sz="0" w:space="0" w:color="auto"/>
        <w:right w:val="none" w:sz="0" w:space="0" w:color="auto"/>
      </w:divBdr>
    </w:div>
    <w:div w:id="1973441225">
      <w:bodyDiv w:val="1"/>
      <w:marLeft w:val="0"/>
      <w:marRight w:val="0"/>
      <w:marTop w:val="0"/>
      <w:marBottom w:val="0"/>
      <w:divBdr>
        <w:top w:val="none" w:sz="0" w:space="0" w:color="auto"/>
        <w:left w:val="none" w:sz="0" w:space="0" w:color="auto"/>
        <w:bottom w:val="none" w:sz="0" w:space="0" w:color="auto"/>
        <w:right w:val="none" w:sz="0" w:space="0" w:color="auto"/>
      </w:divBdr>
    </w:div>
    <w:div w:id="1973516688">
      <w:bodyDiv w:val="1"/>
      <w:marLeft w:val="0"/>
      <w:marRight w:val="0"/>
      <w:marTop w:val="0"/>
      <w:marBottom w:val="0"/>
      <w:divBdr>
        <w:top w:val="none" w:sz="0" w:space="0" w:color="auto"/>
        <w:left w:val="none" w:sz="0" w:space="0" w:color="auto"/>
        <w:bottom w:val="none" w:sz="0" w:space="0" w:color="auto"/>
        <w:right w:val="none" w:sz="0" w:space="0" w:color="auto"/>
      </w:divBdr>
    </w:div>
    <w:div w:id="1973632080">
      <w:bodyDiv w:val="1"/>
      <w:marLeft w:val="0"/>
      <w:marRight w:val="0"/>
      <w:marTop w:val="0"/>
      <w:marBottom w:val="0"/>
      <w:divBdr>
        <w:top w:val="none" w:sz="0" w:space="0" w:color="auto"/>
        <w:left w:val="none" w:sz="0" w:space="0" w:color="auto"/>
        <w:bottom w:val="none" w:sz="0" w:space="0" w:color="auto"/>
        <w:right w:val="none" w:sz="0" w:space="0" w:color="auto"/>
      </w:divBdr>
    </w:div>
    <w:div w:id="1973707007">
      <w:bodyDiv w:val="1"/>
      <w:marLeft w:val="0"/>
      <w:marRight w:val="0"/>
      <w:marTop w:val="0"/>
      <w:marBottom w:val="0"/>
      <w:divBdr>
        <w:top w:val="none" w:sz="0" w:space="0" w:color="auto"/>
        <w:left w:val="none" w:sz="0" w:space="0" w:color="auto"/>
        <w:bottom w:val="none" w:sz="0" w:space="0" w:color="auto"/>
        <w:right w:val="none" w:sz="0" w:space="0" w:color="auto"/>
      </w:divBdr>
    </w:div>
    <w:div w:id="1973824409">
      <w:bodyDiv w:val="1"/>
      <w:marLeft w:val="0"/>
      <w:marRight w:val="0"/>
      <w:marTop w:val="0"/>
      <w:marBottom w:val="0"/>
      <w:divBdr>
        <w:top w:val="none" w:sz="0" w:space="0" w:color="auto"/>
        <w:left w:val="none" w:sz="0" w:space="0" w:color="auto"/>
        <w:bottom w:val="none" w:sz="0" w:space="0" w:color="auto"/>
        <w:right w:val="none" w:sz="0" w:space="0" w:color="auto"/>
      </w:divBdr>
    </w:div>
    <w:div w:id="1974016359">
      <w:bodyDiv w:val="1"/>
      <w:marLeft w:val="0"/>
      <w:marRight w:val="0"/>
      <w:marTop w:val="0"/>
      <w:marBottom w:val="0"/>
      <w:divBdr>
        <w:top w:val="none" w:sz="0" w:space="0" w:color="auto"/>
        <w:left w:val="none" w:sz="0" w:space="0" w:color="auto"/>
        <w:bottom w:val="none" w:sz="0" w:space="0" w:color="auto"/>
        <w:right w:val="none" w:sz="0" w:space="0" w:color="auto"/>
      </w:divBdr>
    </w:div>
    <w:div w:id="1974021324">
      <w:bodyDiv w:val="1"/>
      <w:marLeft w:val="0"/>
      <w:marRight w:val="0"/>
      <w:marTop w:val="0"/>
      <w:marBottom w:val="0"/>
      <w:divBdr>
        <w:top w:val="none" w:sz="0" w:space="0" w:color="auto"/>
        <w:left w:val="none" w:sz="0" w:space="0" w:color="auto"/>
        <w:bottom w:val="none" w:sz="0" w:space="0" w:color="auto"/>
        <w:right w:val="none" w:sz="0" w:space="0" w:color="auto"/>
      </w:divBdr>
    </w:div>
    <w:div w:id="1974208975">
      <w:bodyDiv w:val="1"/>
      <w:marLeft w:val="0"/>
      <w:marRight w:val="0"/>
      <w:marTop w:val="0"/>
      <w:marBottom w:val="0"/>
      <w:divBdr>
        <w:top w:val="none" w:sz="0" w:space="0" w:color="auto"/>
        <w:left w:val="none" w:sz="0" w:space="0" w:color="auto"/>
        <w:bottom w:val="none" w:sz="0" w:space="0" w:color="auto"/>
        <w:right w:val="none" w:sz="0" w:space="0" w:color="auto"/>
      </w:divBdr>
    </w:div>
    <w:div w:id="1974435193">
      <w:bodyDiv w:val="1"/>
      <w:marLeft w:val="0"/>
      <w:marRight w:val="0"/>
      <w:marTop w:val="0"/>
      <w:marBottom w:val="0"/>
      <w:divBdr>
        <w:top w:val="none" w:sz="0" w:space="0" w:color="auto"/>
        <w:left w:val="none" w:sz="0" w:space="0" w:color="auto"/>
        <w:bottom w:val="none" w:sz="0" w:space="0" w:color="auto"/>
        <w:right w:val="none" w:sz="0" w:space="0" w:color="auto"/>
      </w:divBdr>
    </w:div>
    <w:div w:id="1974603590">
      <w:bodyDiv w:val="1"/>
      <w:marLeft w:val="0"/>
      <w:marRight w:val="0"/>
      <w:marTop w:val="0"/>
      <w:marBottom w:val="0"/>
      <w:divBdr>
        <w:top w:val="none" w:sz="0" w:space="0" w:color="auto"/>
        <w:left w:val="none" w:sz="0" w:space="0" w:color="auto"/>
        <w:bottom w:val="none" w:sz="0" w:space="0" w:color="auto"/>
        <w:right w:val="none" w:sz="0" w:space="0" w:color="auto"/>
      </w:divBdr>
    </w:div>
    <w:div w:id="1974823171">
      <w:bodyDiv w:val="1"/>
      <w:marLeft w:val="0"/>
      <w:marRight w:val="0"/>
      <w:marTop w:val="0"/>
      <w:marBottom w:val="0"/>
      <w:divBdr>
        <w:top w:val="none" w:sz="0" w:space="0" w:color="auto"/>
        <w:left w:val="none" w:sz="0" w:space="0" w:color="auto"/>
        <w:bottom w:val="none" w:sz="0" w:space="0" w:color="auto"/>
        <w:right w:val="none" w:sz="0" w:space="0" w:color="auto"/>
      </w:divBdr>
    </w:div>
    <w:div w:id="1974863802">
      <w:bodyDiv w:val="1"/>
      <w:marLeft w:val="0"/>
      <w:marRight w:val="0"/>
      <w:marTop w:val="0"/>
      <w:marBottom w:val="0"/>
      <w:divBdr>
        <w:top w:val="none" w:sz="0" w:space="0" w:color="auto"/>
        <w:left w:val="none" w:sz="0" w:space="0" w:color="auto"/>
        <w:bottom w:val="none" w:sz="0" w:space="0" w:color="auto"/>
        <w:right w:val="none" w:sz="0" w:space="0" w:color="auto"/>
      </w:divBdr>
    </w:div>
    <w:div w:id="1975021840">
      <w:bodyDiv w:val="1"/>
      <w:marLeft w:val="0"/>
      <w:marRight w:val="0"/>
      <w:marTop w:val="0"/>
      <w:marBottom w:val="0"/>
      <w:divBdr>
        <w:top w:val="none" w:sz="0" w:space="0" w:color="auto"/>
        <w:left w:val="none" w:sz="0" w:space="0" w:color="auto"/>
        <w:bottom w:val="none" w:sz="0" w:space="0" w:color="auto"/>
        <w:right w:val="none" w:sz="0" w:space="0" w:color="auto"/>
      </w:divBdr>
    </w:div>
    <w:div w:id="1975255887">
      <w:bodyDiv w:val="1"/>
      <w:marLeft w:val="0"/>
      <w:marRight w:val="0"/>
      <w:marTop w:val="0"/>
      <w:marBottom w:val="0"/>
      <w:divBdr>
        <w:top w:val="none" w:sz="0" w:space="0" w:color="auto"/>
        <w:left w:val="none" w:sz="0" w:space="0" w:color="auto"/>
        <w:bottom w:val="none" w:sz="0" w:space="0" w:color="auto"/>
        <w:right w:val="none" w:sz="0" w:space="0" w:color="auto"/>
      </w:divBdr>
    </w:div>
    <w:div w:id="1975595452">
      <w:bodyDiv w:val="1"/>
      <w:marLeft w:val="0"/>
      <w:marRight w:val="0"/>
      <w:marTop w:val="0"/>
      <w:marBottom w:val="0"/>
      <w:divBdr>
        <w:top w:val="none" w:sz="0" w:space="0" w:color="auto"/>
        <w:left w:val="none" w:sz="0" w:space="0" w:color="auto"/>
        <w:bottom w:val="none" w:sz="0" w:space="0" w:color="auto"/>
        <w:right w:val="none" w:sz="0" w:space="0" w:color="auto"/>
      </w:divBdr>
    </w:div>
    <w:div w:id="1975673241">
      <w:bodyDiv w:val="1"/>
      <w:marLeft w:val="0"/>
      <w:marRight w:val="0"/>
      <w:marTop w:val="0"/>
      <w:marBottom w:val="0"/>
      <w:divBdr>
        <w:top w:val="none" w:sz="0" w:space="0" w:color="auto"/>
        <w:left w:val="none" w:sz="0" w:space="0" w:color="auto"/>
        <w:bottom w:val="none" w:sz="0" w:space="0" w:color="auto"/>
        <w:right w:val="none" w:sz="0" w:space="0" w:color="auto"/>
      </w:divBdr>
    </w:div>
    <w:div w:id="1975714658">
      <w:bodyDiv w:val="1"/>
      <w:marLeft w:val="0"/>
      <w:marRight w:val="0"/>
      <w:marTop w:val="0"/>
      <w:marBottom w:val="0"/>
      <w:divBdr>
        <w:top w:val="none" w:sz="0" w:space="0" w:color="auto"/>
        <w:left w:val="none" w:sz="0" w:space="0" w:color="auto"/>
        <w:bottom w:val="none" w:sz="0" w:space="0" w:color="auto"/>
        <w:right w:val="none" w:sz="0" w:space="0" w:color="auto"/>
      </w:divBdr>
    </w:div>
    <w:div w:id="1975984437">
      <w:bodyDiv w:val="1"/>
      <w:marLeft w:val="0"/>
      <w:marRight w:val="0"/>
      <w:marTop w:val="0"/>
      <w:marBottom w:val="0"/>
      <w:divBdr>
        <w:top w:val="none" w:sz="0" w:space="0" w:color="auto"/>
        <w:left w:val="none" w:sz="0" w:space="0" w:color="auto"/>
        <w:bottom w:val="none" w:sz="0" w:space="0" w:color="auto"/>
        <w:right w:val="none" w:sz="0" w:space="0" w:color="auto"/>
      </w:divBdr>
    </w:div>
    <w:div w:id="1976061434">
      <w:bodyDiv w:val="1"/>
      <w:marLeft w:val="0"/>
      <w:marRight w:val="0"/>
      <w:marTop w:val="0"/>
      <w:marBottom w:val="0"/>
      <w:divBdr>
        <w:top w:val="none" w:sz="0" w:space="0" w:color="auto"/>
        <w:left w:val="none" w:sz="0" w:space="0" w:color="auto"/>
        <w:bottom w:val="none" w:sz="0" w:space="0" w:color="auto"/>
        <w:right w:val="none" w:sz="0" w:space="0" w:color="auto"/>
      </w:divBdr>
    </w:div>
    <w:div w:id="1976176115">
      <w:bodyDiv w:val="1"/>
      <w:marLeft w:val="0"/>
      <w:marRight w:val="0"/>
      <w:marTop w:val="0"/>
      <w:marBottom w:val="0"/>
      <w:divBdr>
        <w:top w:val="none" w:sz="0" w:space="0" w:color="auto"/>
        <w:left w:val="none" w:sz="0" w:space="0" w:color="auto"/>
        <w:bottom w:val="none" w:sz="0" w:space="0" w:color="auto"/>
        <w:right w:val="none" w:sz="0" w:space="0" w:color="auto"/>
      </w:divBdr>
    </w:div>
    <w:div w:id="1976181411">
      <w:bodyDiv w:val="1"/>
      <w:marLeft w:val="0"/>
      <w:marRight w:val="0"/>
      <w:marTop w:val="0"/>
      <w:marBottom w:val="0"/>
      <w:divBdr>
        <w:top w:val="none" w:sz="0" w:space="0" w:color="auto"/>
        <w:left w:val="none" w:sz="0" w:space="0" w:color="auto"/>
        <w:bottom w:val="none" w:sz="0" w:space="0" w:color="auto"/>
        <w:right w:val="none" w:sz="0" w:space="0" w:color="auto"/>
      </w:divBdr>
    </w:div>
    <w:div w:id="1976720763">
      <w:bodyDiv w:val="1"/>
      <w:marLeft w:val="0"/>
      <w:marRight w:val="0"/>
      <w:marTop w:val="0"/>
      <w:marBottom w:val="0"/>
      <w:divBdr>
        <w:top w:val="none" w:sz="0" w:space="0" w:color="auto"/>
        <w:left w:val="none" w:sz="0" w:space="0" w:color="auto"/>
        <w:bottom w:val="none" w:sz="0" w:space="0" w:color="auto"/>
        <w:right w:val="none" w:sz="0" w:space="0" w:color="auto"/>
      </w:divBdr>
    </w:div>
    <w:div w:id="1976986950">
      <w:bodyDiv w:val="1"/>
      <w:marLeft w:val="0"/>
      <w:marRight w:val="0"/>
      <w:marTop w:val="0"/>
      <w:marBottom w:val="0"/>
      <w:divBdr>
        <w:top w:val="none" w:sz="0" w:space="0" w:color="auto"/>
        <w:left w:val="none" w:sz="0" w:space="0" w:color="auto"/>
        <w:bottom w:val="none" w:sz="0" w:space="0" w:color="auto"/>
        <w:right w:val="none" w:sz="0" w:space="0" w:color="auto"/>
      </w:divBdr>
    </w:div>
    <w:div w:id="1976988317">
      <w:bodyDiv w:val="1"/>
      <w:marLeft w:val="0"/>
      <w:marRight w:val="0"/>
      <w:marTop w:val="0"/>
      <w:marBottom w:val="0"/>
      <w:divBdr>
        <w:top w:val="none" w:sz="0" w:space="0" w:color="auto"/>
        <w:left w:val="none" w:sz="0" w:space="0" w:color="auto"/>
        <w:bottom w:val="none" w:sz="0" w:space="0" w:color="auto"/>
        <w:right w:val="none" w:sz="0" w:space="0" w:color="auto"/>
      </w:divBdr>
    </w:div>
    <w:div w:id="1977106767">
      <w:bodyDiv w:val="1"/>
      <w:marLeft w:val="0"/>
      <w:marRight w:val="0"/>
      <w:marTop w:val="0"/>
      <w:marBottom w:val="0"/>
      <w:divBdr>
        <w:top w:val="none" w:sz="0" w:space="0" w:color="auto"/>
        <w:left w:val="none" w:sz="0" w:space="0" w:color="auto"/>
        <w:bottom w:val="none" w:sz="0" w:space="0" w:color="auto"/>
        <w:right w:val="none" w:sz="0" w:space="0" w:color="auto"/>
      </w:divBdr>
    </w:div>
    <w:div w:id="1977181350">
      <w:bodyDiv w:val="1"/>
      <w:marLeft w:val="0"/>
      <w:marRight w:val="0"/>
      <w:marTop w:val="0"/>
      <w:marBottom w:val="0"/>
      <w:divBdr>
        <w:top w:val="none" w:sz="0" w:space="0" w:color="auto"/>
        <w:left w:val="none" w:sz="0" w:space="0" w:color="auto"/>
        <w:bottom w:val="none" w:sz="0" w:space="0" w:color="auto"/>
        <w:right w:val="none" w:sz="0" w:space="0" w:color="auto"/>
      </w:divBdr>
    </w:div>
    <w:div w:id="1977442506">
      <w:bodyDiv w:val="1"/>
      <w:marLeft w:val="0"/>
      <w:marRight w:val="0"/>
      <w:marTop w:val="0"/>
      <w:marBottom w:val="0"/>
      <w:divBdr>
        <w:top w:val="none" w:sz="0" w:space="0" w:color="auto"/>
        <w:left w:val="none" w:sz="0" w:space="0" w:color="auto"/>
        <w:bottom w:val="none" w:sz="0" w:space="0" w:color="auto"/>
        <w:right w:val="none" w:sz="0" w:space="0" w:color="auto"/>
      </w:divBdr>
    </w:div>
    <w:div w:id="1977679999">
      <w:bodyDiv w:val="1"/>
      <w:marLeft w:val="0"/>
      <w:marRight w:val="0"/>
      <w:marTop w:val="0"/>
      <w:marBottom w:val="0"/>
      <w:divBdr>
        <w:top w:val="none" w:sz="0" w:space="0" w:color="auto"/>
        <w:left w:val="none" w:sz="0" w:space="0" w:color="auto"/>
        <w:bottom w:val="none" w:sz="0" w:space="0" w:color="auto"/>
        <w:right w:val="none" w:sz="0" w:space="0" w:color="auto"/>
      </w:divBdr>
    </w:div>
    <w:div w:id="1977685403">
      <w:bodyDiv w:val="1"/>
      <w:marLeft w:val="0"/>
      <w:marRight w:val="0"/>
      <w:marTop w:val="0"/>
      <w:marBottom w:val="0"/>
      <w:divBdr>
        <w:top w:val="none" w:sz="0" w:space="0" w:color="auto"/>
        <w:left w:val="none" w:sz="0" w:space="0" w:color="auto"/>
        <w:bottom w:val="none" w:sz="0" w:space="0" w:color="auto"/>
        <w:right w:val="none" w:sz="0" w:space="0" w:color="auto"/>
      </w:divBdr>
    </w:div>
    <w:div w:id="1977836496">
      <w:bodyDiv w:val="1"/>
      <w:marLeft w:val="0"/>
      <w:marRight w:val="0"/>
      <w:marTop w:val="0"/>
      <w:marBottom w:val="0"/>
      <w:divBdr>
        <w:top w:val="none" w:sz="0" w:space="0" w:color="auto"/>
        <w:left w:val="none" w:sz="0" w:space="0" w:color="auto"/>
        <w:bottom w:val="none" w:sz="0" w:space="0" w:color="auto"/>
        <w:right w:val="none" w:sz="0" w:space="0" w:color="auto"/>
      </w:divBdr>
    </w:div>
    <w:div w:id="1977878108">
      <w:bodyDiv w:val="1"/>
      <w:marLeft w:val="0"/>
      <w:marRight w:val="0"/>
      <w:marTop w:val="0"/>
      <w:marBottom w:val="0"/>
      <w:divBdr>
        <w:top w:val="none" w:sz="0" w:space="0" w:color="auto"/>
        <w:left w:val="none" w:sz="0" w:space="0" w:color="auto"/>
        <w:bottom w:val="none" w:sz="0" w:space="0" w:color="auto"/>
        <w:right w:val="none" w:sz="0" w:space="0" w:color="auto"/>
      </w:divBdr>
    </w:div>
    <w:div w:id="1978221732">
      <w:bodyDiv w:val="1"/>
      <w:marLeft w:val="0"/>
      <w:marRight w:val="0"/>
      <w:marTop w:val="0"/>
      <w:marBottom w:val="0"/>
      <w:divBdr>
        <w:top w:val="none" w:sz="0" w:space="0" w:color="auto"/>
        <w:left w:val="none" w:sz="0" w:space="0" w:color="auto"/>
        <w:bottom w:val="none" w:sz="0" w:space="0" w:color="auto"/>
        <w:right w:val="none" w:sz="0" w:space="0" w:color="auto"/>
      </w:divBdr>
    </w:div>
    <w:div w:id="1978297904">
      <w:bodyDiv w:val="1"/>
      <w:marLeft w:val="0"/>
      <w:marRight w:val="0"/>
      <w:marTop w:val="0"/>
      <w:marBottom w:val="0"/>
      <w:divBdr>
        <w:top w:val="none" w:sz="0" w:space="0" w:color="auto"/>
        <w:left w:val="none" w:sz="0" w:space="0" w:color="auto"/>
        <w:bottom w:val="none" w:sz="0" w:space="0" w:color="auto"/>
        <w:right w:val="none" w:sz="0" w:space="0" w:color="auto"/>
      </w:divBdr>
    </w:div>
    <w:div w:id="1978335498">
      <w:bodyDiv w:val="1"/>
      <w:marLeft w:val="0"/>
      <w:marRight w:val="0"/>
      <w:marTop w:val="0"/>
      <w:marBottom w:val="0"/>
      <w:divBdr>
        <w:top w:val="none" w:sz="0" w:space="0" w:color="auto"/>
        <w:left w:val="none" w:sz="0" w:space="0" w:color="auto"/>
        <w:bottom w:val="none" w:sz="0" w:space="0" w:color="auto"/>
        <w:right w:val="none" w:sz="0" w:space="0" w:color="auto"/>
      </w:divBdr>
    </w:div>
    <w:div w:id="1978411887">
      <w:bodyDiv w:val="1"/>
      <w:marLeft w:val="0"/>
      <w:marRight w:val="0"/>
      <w:marTop w:val="0"/>
      <w:marBottom w:val="0"/>
      <w:divBdr>
        <w:top w:val="none" w:sz="0" w:space="0" w:color="auto"/>
        <w:left w:val="none" w:sz="0" w:space="0" w:color="auto"/>
        <w:bottom w:val="none" w:sz="0" w:space="0" w:color="auto"/>
        <w:right w:val="none" w:sz="0" w:space="0" w:color="auto"/>
      </w:divBdr>
    </w:div>
    <w:div w:id="1978686228">
      <w:bodyDiv w:val="1"/>
      <w:marLeft w:val="0"/>
      <w:marRight w:val="0"/>
      <w:marTop w:val="0"/>
      <w:marBottom w:val="0"/>
      <w:divBdr>
        <w:top w:val="none" w:sz="0" w:space="0" w:color="auto"/>
        <w:left w:val="none" w:sz="0" w:space="0" w:color="auto"/>
        <w:bottom w:val="none" w:sz="0" w:space="0" w:color="auto"/>
        <w:right w:val="none" w:sz="0" w:space="0" w:color="auto"/>
      </w:divBdr>
    </w:div>
    <w:div w:id="1978878245">
      <w:bodyDiv w:val="1"/>
      <w:marLeft w:val="0"/>
      <w:marRight w:val="0"/>
      <w:marTop w:val="0"/>
      <w:marBottom w:val="0"/>
      <w:divBdr>
        <w:top w:val="none" w:sz="0" w:space="0" w:color="auto"/>
        <w:left w:val="none" w:sz="0" w:space="0" w:color="auto"/>
        <w:bottom w:val="none" w:sz="0" w:space="0" w:color="auto"/>
        <w:right w:val="none" w:sz="0" w:space="0" w:color="auto"/>
      </w:divBdr>
    </w:div>
    <w:div w:id="1978947415">
      <w:bodyDiv w:val="1"/>
      <w:marLeft w:val="0"/>
      <w:marRight w:val="0"/>
      <w:marTop w:val="0"/>
      <w:marBottom w:val="0"/>
      <w:divBdr>
        <w:top w:val="none" w:sz="0" w:space="0" w:color="auto"/>
        <w:left w:val="none" w:sz="0" w:space="0" w:color="auto"/>
        <w:bottom w:val="none" w:sz="0" w:space="0" w:color="auto"/>
        <w:right w:val="none" w:sz="0" w:space="0" w:color="auto"/>
      </w:divBdr>
    </w:div>
    <w:div w:id="1978950883">
      <w:bodyDiv w:val="1"/>
      <w:marLeft w:val="0"/>
      <w:marRight w:val="0"/>
      <w:marTop w:val="0"/>
      <w:marBottom w:val="0"/>
      <w:divBdr>
        <w:top w:val="none" w:sz="0" w:space="0" w:color="auto"/>
        <w:left w:val="none" w:sz="0" w:space="0" w:color="auto"/>
        <w:bottom w:val="none" w:sz="0" w:space="0" w:color="auto"/>
        <w:right w:val="none" w:sz="0" w:space="0" w:color="auto"/>
      </w:divBdr>
    </w:div>
    <w:div w:id="1979139558">
      <w:bodyDiv w:val="1"/>
      <w:marLeft w:val="0"/>
      <w:marRight w:val="0"/>
      <w:marTop w:val="0"/>
      <w:marBottom w:val="0"/>
      <w:divBdr>
        <w:top w:val="none" w:sz="0" w:space="0" w:color="auto"/>
        <w:left w:val="none" w:sz="0" w:space="0" w:color="auto"/>
        <w:bottom w:val="none" w:sz="0" w:space="0" w:color="auto"/>
        <w:right w:val="none" w:sz="0" w:space="0" w:color="auto"/>
      </w:divBdr>
    </w:div>
    <w:div w:id="1979188108">
      <w:bodyDiv w:val="1"/>
      <w:marLeft w:val="0"/>
      <w:marRight w:val="0"/>
      <w:marTop w:val="0"/>
      <w:marBottom w:val="0"/>
      <w:divBdr>
        <w:top w:val="none" w:sz="0" w:space="0" w:color="auto"/>
        <w:left w:val="none" w:sz="0" w:space="0" w:color="auto"/>
        <w:bottom w:val="none" w:sz="0" w:space="0" w:color="auto"/>
        <w:right w:val="none" w:sz="0" w:space="0" w:color="auto"/>
      </w:divBdr>
    </w:div>
    <w:div w:id="1979340097">
      <w:bodyDiv w:val="1"/>
      <w:marLeft w:val="0"/>
      <w:marRight w:val="0"/>
      <w:marTop w:val="0"/>
      <w:marBottom w:val="0"/>
      <w:divBdr>
        <w:top w:val="none" w:sz="0" w:space="0" w:color="auto"/>
        <w:left w:val="none" w:sz="0" w:space="0" w:color="auto"/>
        <w:bottom w:val="none" w:sz="0" w:space="0" w:color="auto"/>
        <w:right w:val="none" w:sz="0" w:space="0" w:color="auto"/>
      </w:divBdr>
    </w:div>
    <w:div w:id="1979408704">
      <w:bodyDiv w:val="1"/>
      <w:marLeft w:val="0"/>
      <w:marRight w:val="0"/>
      <w:marTop w:val="0"/>
      <w:marBottom w:val="0"/>
      <w:divBdr>
        <w:top w:val="none" w:sz="0" w:space="0" w:color="auto"/>
        <w:left w:val="none" w:sz="0" w:space="0" w:color="auto"/>
        <w:bottom w:val="none" w:sz="0" w:space="0" w:color="auto"/>
        <w:right w:val="none" w:sz="0" w:space="0" w:color="auto"/>
      </w:divBdr>
    </w:div>
    <w:div w:id="1979409164">
      <w:bodyDiv w:val="1"/>
      <w:marLeft w:val="0"/>
      <w:marRight w:val="0"/>
      <w:marTop w:val="0"/>
      <w:marBottom w:val="0"/>
      <w:divBdr>
        <w:top w:val="none" w:sz="0" w:space="0" w:color="auto"/>
        <w:left w:val="none" w:sz="0" w:space="0" w:color="auto"/>
        <w:bottom w:val="none" w:sz="0" w:space="0" w:color="auto"/>
        <w:right w:val="none" w:sz="0" w:space="0" w:color="auto"/>
      </w:divBdr>
    </w:div>
    <w:div w:id="1979455034">
      <w:bodyDiv w:val="1"/>
      <w:marLeft w:val="0"/>
      <w:marRight w:val="0"/>
      <w:marTop w:val="0"/>
      <w:marBottom w:val="0"/>
      <w:divBdr>
        <w:top w:val="none" w:sz="0" w:space="0" w:color="auto"/>
        <w:left w:val="none" w:sz="0" w:space="0" w:color="auto"/>
        <w:bottom w:val="none" w:sz="0" w:space="0" w:color="auto"/>
        <w:right w:val="none" w:sz="0" w:space="0" w:color="auto"/>
      </w:divBdr>
    </w:div>
    <w:div w:id="1979724919">
      <w:bodyDiv w:val="1"/>
      <w:marLeft w:val="0"/>
      <w:marRight w:val="0"/>
      <w:marTop w:val="0"/>
      <w:marBottom w:val="0"/>
      <w:divBdr>
        <w:top w:val="none" w:sz="0" w:space="0" w:color="auto"/>
        <w:left w:val="none" w:sz="0" w:space="0" w:color="auto"/>
        <w:bottom w:val="none" w:sz="0" w:space="0" w:color="auto"/>
        <w:right w:val="none" w:sz="0" w:space="0" w:color="auto"/>
      </w:divBdr>
    </w:div>
    <w:div w:id="1979727901">
      <w:bodyDiv w:val="1"/>
      <w:marLeft w:val="0"/>
      <w:marRight w:val="0"/>
      <w:marTop w:val="0"/>
      <w:marBottom w:val="0"/>
      <w:divBdr>
        <w:top w:val="none" w:sz="0" w:space="0" w:color="auto"/>
        <w:left w:val="none" w:sz="0" w:space="0" w:color="auto"/>
        <w:bottom w:val="none" w:sz="0" w:space="0" w:color="auto"/>
        <w:right w:val="none" w:sz="0" w:space="0" w:color="auto"/>
      </w:divBdr>
    </w:div>
    <w:div w:id="1979843549">
      <w:bodyDiv w:val="1"/>
      <w:marLeft w:val="0"/>
      <w:marRight w:val="0"/>
      <w:marTop w:val="0"/>
      <w:marBottom w:val="0"/>
      <w:divBdr>
        <w:top w:val="none" w:sz="0" w:space="0" w:color="auto"/>
        <w:left w:val="none" w:sz="0" w:space="0" w:color="auto"/>
        <w:bottom w:val="none" w:sz="0" w:space="0" w:color="auto"/>
        <w:right w:val="none" w:sz="0" w:space="0" w:color="auto"/>
      </w:divBdr>
    </w:div>
    <w:div w:id="1979844599">
      <w:bodyDiv w:val="1"/>
      <w:marLeft w:val="0"/>
      <w:marRight w:val="0"/>
      <w:marTop w:val="0"/>
      <w:marBottom w:val="0"/>
      <w:divBdr>
        <w:top w:val="none" w:sz="0" w:space="0" w:color="auto"/>
        <w:left w:val="none" w:sz="0" w:space="0" w:color="auto"/>
        <w:bottom w:val="none" w:sz="0" w:space="0" w:color="auto"/>
        <w:right w:val="none" w:sz="0" w:space="0" w:color="auto"/>
      </w:divBdr>
    </w:div>
    <w:div w:id="1979845120">
      <w:bodyDiv w:val="1"/>
      <w:marLeft w:val="0"/>
      <w:marRight w:val="0"/>
      <w:marTop w:val="0"/>
      <w:marBottom w:val="0"/>
      <w:divBdr>
        <w:top w:val="none" w:sz="0" w:space="0" w:color="auto"/>
        <w:left w:val="none" w:sz="0" w:space="0" w:color="auto"/>
        <w:bottom w:val="none" w:sz="0" w:space="0" w:color="auto"/>
        <w:right w:val="none" w:sz="0" w:space="0" w:color="auto"/>
      </w:divBdr>
    </w:div>
    <w:div w:id="1979913503">
      <w:bodyDiv w:val="1"/>
      <w:marLeft w:val="0"/>
      <w:marRight w:val="0"/>
      <w:marTop w:val="0"/>
      <w:marBottom w:val="0"/>
      <w:divBdr>
        <w:top w:val="none" w:sz="0" w:space="0" w:color="auto"/>
        <w:left w:val="none" w:sz="0" w:space="0" w:color="auto"/>
        <w:bottom w:val="none" w:sz="0" w:space="0" w:color="auto"/>
        <w:right w:val="none" w:sz="0" w:space="0" w:color="auto"/>
      </w:divBdr>
    </w:div>
    <w:div w:id="1979921654">
      <w:bodyDiv w:val="1"/>
      <w:marLeft w:val="0"/>
      <w:marRight w:val="0"/>
      <w:marTop w:val="0"/>
      <w:marBottom w:val="0"/>
      <w:divBdr>
        <w:top w:val="none" w:sz="0" w:space="0" w:color="auto"/>
        <w:left w:val="none" w:sz="0" w:space="0" w:color="auto"/>
        <w:bottom w:val="none" w:sz="0" w:space="0" w:color="auto"/>
        <w:right w:val="none" w:sz="0" w:space="0" w:color="auto"/>
      </w:divBdr>
    </w:div>
    <w:div w:id="1979991051">
      <w:bodyDiv w:val="1"/>
      <w:marLeft w:val="0"/>
      <w:marRight w:val="0"/>
      <w:marTop w:val="0"/>
      <w:marBottom w:val="0"/>
      <w:divBdr>
        <w:top w:val="none" w:sz="0" w:space="0" w:color="auto"/>
        <w:left w:val="none" w:sz="0" w:space="0" w:color="auto"/>
        <w:bottom w:val="none" w:sz="0" w:space="0" w:color="auto"/>
        <w:right w:val="none" w:sz="0" w:space="0" w:color="auto"/>
      </w:divBdr>
    </w:div>
    <w:div w:id="1980380104">
      <w:bodyDiv w:val="1"/>
      <w:marLeft w:val="0"/>
      <w:marRight w:val="0"/>
      <w:marTop w:val="0"/>
      <w:marBottom w:val="0"/>
      <w:divBdr>
        <w:top w:val="none" w:sz="0" w:space="0" w:color="auto"/>
        <w:left w:val="none" w:sz="0" w:space="0" w:color="auto"/>
        <w:bottom w:val="none" w:sz="0" w:space="0" w:color="auto"/>
        <w:right w:val="none" w:sz="0" w:space="0" w:color="auto"/>
      </w:divBdr>
    </w:div>
    <w:div w:id="1980381669">
      <w:bodyDiv w:val="1"/>
      <w:marLeft w:val="0"/>
      <w:marRight w:val="0"/>
      <w:marTop w:val="0"/>
      <w:marBottom w:val="0"/>
      <w:divBdr>
        <w:top w:val="none" w:sz="0" w:space="0" w:color="auto"/>
        <w:left w:val="none" w:sz="0" w:space="0" w:color="auto"/>
        <w:bottom w:val="none" w:sz="0" w:space="0" w:color="auto"/>
        <w:right w:val="none" w:sz="0" w:space="0" w:color="auto"/>
      </w:divBdr>
    </w:div>
    <w:div w:id="1980501186">
      <w:bodyDiv w:val="1"/>
      <w:marLeft w:val="0"/>
      <w:marRight w:val="0"/>
      <w:marTop w:val="0"/>
      <w:marBottom w:val="0"/>
      <w:divBdr>
        <w:top w:val="none" w:sz="0" w:space="0" w:color="auto"/>
        <w:left w:val="none" w:sz="0" w:space="0" w:color="auto"/>
        <w:bottom w:val="none" w:sz="0" w:space="0" w:color="auto"/>
        <w:right w:val="none" w:sz="0" w:space="0" w:color="auto"/>
      </w:divBdr>
    </w:div>
    <w:div w:id="1980647226">
      <w:bodyDiv w:val="1"/>
      <w:marLeft w:val="0"/>
      <w:marRight w:val="0"/>
      <w:marTop w:val="0"/>
      <w:marBottom w:val="0"/>
      <w:divBdr>
        <w:top w:val="none" w:sz="0" w:space="0" w:color="auto"/>
        <w:left w:val="none" w:sz="0" w:space="0" w:color="auto"/>
        <w:bottom w:val="none" w:sz="0" w:space="0" w:color="auto"/>
        <w:right w:val="none" w:sz="0" w:space="0" w:color="auto"/>
      </w:divBdr>
    </w:div>
    <w:div w:id="1980843507">
      <w:bodyDiv w:val="1"/>
      <w:marLeft w:val="0"/>
      <w:marRight w:val="0"/>
      <w:marTop w:val="0"/>
      <w:marBottom w:val="0"/>
      <w:divBdr>
        <w:top w:val="none" w:sz="0" w:space="0" w:color="auto"/>
        <w:left w:val="none" w:sz="0" w:space="0" w:color="auto"/>
        <w:bottom w:val="none" w:sz="0" w:space="0" w:color="auto"/>
        <w:right w:val="none" w:sz="0" w:space="0" w:color="auto"/>
      </w:divBdr>
    </w:div>
    <w:div w:id="1980844230">
      <w:bodyDiv w:val="1"/>
      <w:marLeft w:val="0"/>
      <w:marRight w:val="0"/>
      <w:marTop w:val="0"/>
      <w:marBottom w:val="0"/>
      <w:divBdr>
        <w:top w:val="none" w:sz="0" w:space="0" w:color="auto"/>
        <w:left w:val="none" w:sz="0" w:space="0" w:color="auto"/>
        <w:bottom w:val="none" w:sz="0" w:space="0" w:color="auto"/>
        <w:right w:val="none" w:sz="0" w:space="0" w:color="auto"/>
      </w:divBdr>
    </w:div>
    <w:div w:id="1980845189">
      <w:bodyDiv w:val="1"/>
      <w:marLeft w:val="0"/>
      <w:marRight w:val="0"/>
      <w:marTop w:val="0"/>
      <w:marBottom w:val="0"/>
      <w:divBdr>
        <w:top w:val="none" w:sz="0" w:space="0" w:color="auto"/>
        <w:left w:val="none" w:sz="0" w:space="0" w:color="auto"/>
        <w:bottom w:val="none" w:sz="0" w:space="0" w:color="auto"/>
        <w:right w:val="none" w:sz="0" w:space="0" w:color="auto"/>
      </w:divBdr>
    </w:div>
    <w:div w:id="1981574232">
      <w:bodyDiv w:val="1"/>
      <w:marLeft w:val="0"/>
      <w:marRight w:val="0"/>
      <w:marTop w:val="0"/>
      <w:marBottom w:val="0"/>
      <w:divBdr>
        <w:top w:val="none" w:sz="0" w:space="0" w:color="auto"/>
        <w:left w:val="none" w:sz="0" w:space="0" w:color="auto"/>
        <w:bottom w:val="none" w:sz="0" w:space="0" w:color="auto"/>
        <w:right w:val="none" w:sz="0" w:space="0" w:color="auto"/>
      </w:divBdr>
    </w:div>
    <w:div w:id="1981617974">
      <w:bodyDiv w:val="1"/>
      <w:marLeft w:val="0"/>
      <w:marRight w:val="0"/>
      <w:marTop w:val="0"/>
      <w:marBottom w:val="0"/>
      <w:divBdr>
        <w:top w:val="none" w:sz="0" w:space="0" w:color="auto"/>
        <w:left w:val="none" w:sz="0" w:space="0" w:color="auto"/>
        <w:bottom w:val="none" w:sz="0" w:space="0" w:color="auto"/>
        <w:right w:val="none" w:sz="0" w:space="0" w:color="auto"/>
      </w:divBdr>
    </w:div>
    <w:div w:id="1981685731">
      <w:bodyDiv w:val="1"/>
      <w:marLeft w:val="0"/>
      <w:marRight w:val="0"/>
      <w:marTop w:val="0"/>
      <w:marBottom w:val="0"/>
      <w:divBdr>
        <w:top w:val="none" w:sz="0" w:space="0" w:color="auto"/>
        <w:left w:val="none" w:sz="0" w:space="0" w:color="auto"/>
        <w:bottom w:val="none" w:sz="0" w:space="0" w:color="auto"/>
        <w:right w:val="none" w:sz="0" w:space="0" w:color="auto"/>
      </w:divBdr>
    </w:div>
    <w:div w:id="1981836034">
      <w:bodyDiv w:val="1"/>
      <w:marLeft w:val="0"/>
      <w:marRight w:val="0"/>
      <w:marTop w:val="0"/>
      <w:marBottom w:val="0"/>
      <w:divBdr>
        <w:top w:val="none" w:sz="0" w:space="0" w:color="auto"/>
        <w:left w:val="none" w:sz="0" w:space="0" w:color="auto"/>
        <w:bottom w:val="none" w:sz="0" w:space="0" w:color="auto"/>
        <w:right w:val="none" w:sz="0" w:space="0" w:color="auto"/>
      </w:divBdr>
    </w:div>
    <w:div w:id="1982076470">
      <w:bodyDiv w:val="1"/>
      <w:marLeft w:val="0"/>
      <w:marRight w:val="0"/>
      <w:marTop w:val="0"/>
      <w:marBottom w:val="0"/>
      <w:divBdr>
        <w:top w:val="none" w:sz="0" w:space="0" w:color="auto"/>
        <w:left w:val="none" w:sz="0" w:space="0" w:color="auto"/>
        <w:bottom w:val="none" w:sz="0" w:space="0" w:color="auto"/>
        <w:right w:val="none" w:sz="0" w:space="0" w:color="auto"/>
      </w:divBdr>
    </w:div>
    <w:div w:id="1982080987">
      <w:bodyDiv w:val="1"/>
      <w:marLeft w:val="0"/>
      <w:marRight w:val="0"/>
      <w:marTop w:val="0"/>
      <w:marBottom w:val="0"/>
      <w:divBdr>
        <w:top w:val="none" w:sz="0" w:space="0" w:color="auto"/>
        <w:left w:val="none" w:sz="0" w:space="0" w:color="auto"/>
        <w:bottom w:val="none" w:sz="0" w:space="0" w:color="auto"/>
        <w:right w:val="none" w:sz="0" w:space="0" w:color="auto"/>
      </w:divBdr>
    </w:div>
    <w:div w:id="1982224518">
      <w:bodyDiv w:val="1"/>
      <w:marLeft w:val="0"/>
      <w:marRight w:val="0"/>
      <w:marTop w:val="0"/>
      <w:marBottom w:val="0"/>
      <w:divBdr>
        <w:top w:val="none" w:sz="0" w:space="0" w:color="auto"/>
        <w:left w:val="none" w:sz="0" w:space="0" w:color="auto"/>
        <w:bottom w:val="none" w:sz="0" w:space="0" w:color="auto"/>
        <w:right w:val="none" w:sz="0" w:space="0" w:color="auto"/>
      </w:divBdr>
    </w:div>
    <w:div w:id="1982268176">
      <w:bodyDiv w:val="1"/>
      <w:marLeft w:val="0"/>
      <w:marRight w:val="0"/>
      <w:marTop w:val="0"/>
      <w:marBottom w:val="0"/>
      <w:divBdr>
        <w:top w:val="none" w:sz="0" w:space="0" w:color="auto"/>
        <w:left w:val="none" w:sz="0" w:space="0" w:color="auto"/>
        <w:bottom w:val="none" w:sz="0" w:space="0" w:color="auto"/>
        <w:right w:val="none" w:sz="0" w:space="0" w:color="auto"/>
      </w:divBdr>
    </w:div>
    <w:div w:id="1982340225">
      <w:bodyDiv w:val="1"/>
      <w:marLeft w:val="0"/>
      <w:marRight w:val="0"/>
      <w:marTop w:val="0"/>
      <w:marBottom w:val="0"/>
      <w:divBdr>
        <w:top w:val="none" w:sz="0" w:space="0" w:color="auto"/>
        <w:left w:val="none" w:sz="0" w:space="0" w:color="auto"/>
        <w:bottom w:val="none" w:sz="0" w:space="0" w:color="auto"/>
        <w:right w:val="none" w:sz="0" w:space="0" w:color="auto"/>
      </w:divBdr>
    </w:div>
    <w:div w:id="1982418788">
      <w:bodyDiv w:val="1"/>
      <w:marLeft w:val="0"/>
      <w:marRight w:val="0"/>
      <w:marTop w:val="0"/>
      <w:marBottom w:val="0"/>
      <w:divBdr>
        <w:top w:val="none" w:sz="0" w:space="0" w:color="auto"/>
        <w:left w:val="none" w:sz="0" w:space="0" w:color="auto"/>
        <w:bottom w:val="none" w:sz="0" w:space="0" w:color="auto"/>
        <w:right w:val="none" w:sz="0" w:space="0" w:color="auto"/>
      </w:divBdr>
    </w:div>
    <w:div w:id="1982424486">
      <w:bodyDiv w:val="1"/>
      <w:marLeft w:val="0"/>
      <w:marRight w:val="0"/>
      <w:marTop w:val="0"/>
      <w:marBottom w:val="0"/>
      <w:divBdr>
        <w:top w:val="none" w:sz="0" w:space="0" w:color="auto"/>
        <w:left w:val="none" w:sz="0" w:space="0" w:color="auto"/>
        <w:bottom w:val="none" w:sz="0" w:space="0" w:color="auto"/>
        <w:right w:val="none" w:sz="0" w:space="0" w:color="auto"/>
      </w:divBdr>
    </w:div>
    <w:div w:id="1982922986">
      <w:bodyDiv w:val="1"/>
      <w:marLeft w:val="0"/>
      <w:marRight w:val="0"/>
      <w:marTop w:val="0"/>
      <w:marBottom w:val="0"/>
      <w:divBdr>
        <w:top w:val="none" w:sz="0" w:space="0" w:color="auto"/>
        <w:left w:val="none" w:sz="0" w:space="0" w:color="auto"/>
        <w:bottom w:val="none" w:sz="0" w:space="0" w:color="auto"/>
        <w:right w:val="none" w:sz="0" w:space="0" w:color="auto"/>
      </w:divBdr>
    </w:div>
    <w:div w:id="1983344965">
      <w:bodyDiv w:val="1"/>
      <w:marLeft w:val="0"/>
      <w:marRight w:val="0"/>
      <w:marTop w:val="0"/>
      <w:marBottom w:val="0"/>
      <w:divBdr>
        <w:top w:val="none" w:sz="0" w:space="0" w:color="auto"/>
        <w:left w:val="none" w:sz="0" w:space="0" w:color="auto"/>
        <w:bottom w:val="none" w:sz="0" w:space="0" w:color="auto"/>
        <w:right w:val="none" w:sz="0" w:space="0" w:color="auto"/>
      </w:divBdr>
    </w:div>
    <w:div w:id="1983382565">
      <w:bodyDiv w:val="1"/>
      <w:marLeft w:val="0"/>
      <w:marRight w:val="0"/>
      <w:marTop w:val="0"/>
      <w:marBottom w:val="0"/>
      <w:divBdr>
        <w:top w:val="none" w:sz="0" w:space="0" w:color="auto"/>
        <w:left w:val="none" w:sz="0" w:space="0" w:color="auto"/>
        <w:bottom w:val="none" w:sz="0" w:space="0" w:color="auto"/>
        <w:right w:val="none" w:sz="0" w:space="0" w:color="auto"/>
      </w:divBdr>
    </w:div>
    <w:div w:id="1983462457">
      <w:bodyDiv w:val="1"/>
      <w:marLeft w:val="0"/>
      <w:marRight w:val="0"/>
      <w:marTop w:val="0"/>
      <w:marBottom w:val="0"/>
      <w:divBdr>
        <w:top w:val="none" w:sz="0" w:space="0" w:color="auto"/>
        <w:left w:val="none" w:sz="0" w:space="0" w:color="auto"/>
        <w:bottom w:val="none" w:sz="0" w:space="0" w:color="auto"/>
        <w:right w:val="none" w:sz="0" w:space="0" w:color="auto"/>
      </w:divBdr>
    </w:div>
    <w:div w:id="1983656188">
      <w:bodyDiv w:val="1"/>
      <w:marLeft w:val="0"/>
      <w:marRight w:val="0"/>
      <w:marTop w:val="0"/>
      <w:marBottom w:val="0"/>
      <w:divBdr>
        <w:top w:val="none" w:sz="0" w:space="0" w:color="auto"/>
        <w:left w:val="none" w:sz="0" w:space="0" w:color="auto"/>
        <w:bottom w:val="none" w:sz="0" w:space="0" w:color="auto"/>
        <w:right w:val="none" w:sz="0" w:space="0" w:color="auto"/>
      </w:divBdr>
    </w:div>
    <w:div w:id="1983658836">
      <w:bodyDiv w:val="1"/>
      <w:marLeft w:val="0"/>
      <w:marRight w:val="0"/>
      <w:marTop w:val="0"/>
      <w:marBottom w:val="0"/>
      <w:divBdr>
        <w:top w:val="none" w:sz="0" w:space="0" w:color="auto"/>
        <w:left w:val="none" w:sz="0" w:space="0" w:color="auto"/>
        <w:bottom w:val="none" w:sz="0" w:space="0" w:color="auto"/>
        <w:right w:val="none" w:sz="0" w:space="0" w:color="auto"/>
      </w:divBdr>
    </w:div>
    <w:div w:id="1983731309">
      <w:bodyDiv w:val="1"/>
      <w:marLeft w:val="0"/>
      <w:marRight w:val="0"/>
      <w:marTop w:val="0"/>
      <w:marBottom w:val="0"/>
      <w:divBdr>
        <w:top w:val="none" w:sz="0" w:space="0" w:color="auto"/>
        <w:left w:val="none" w:sz="0" w:space="0" w:color="auto"/>
        <w:bottom w:val="none" w:sz="0" w:space="0" w:color="auto"/>
        <w:right w:val="none" w:sz="0" w:space="0" w:color="auto"/>
      </w:divBdr>
    </w:div>
    <w:div w:id="1983847160">
      <w:bodyDiv w:val="1"/>
      <w:marLeft w:val="0"/>
      <w:marRight w:val="0"/>
      <w:marTop w:val="0"/>
      <w:marBottom w:val="0"/>
      <w:divBdr>
        <w:top w:val="none" w:sz="0" w:space="0" w:color="auto"/>
        <w:left w:val="none" w:sz="0" w:space="0" w:color="auto"/>
        <w:bottom w:val="none" w:sz="0" w:space="0" w:color="auto"/>
        <w:right w:val="none" w:sz="0" w:space="0" w:color="auto"/>
      </w:divBdr>
    </w:div>
    <w:div w:id="1983850814">
      <w:bodyDiv w:val="1"/>
      <w:marLeft w:val="0"/>
      <w:marRight w:val="0"/>
      <w:marTop w:val="0"/>
      <w:marBottom w:val="0"/>
      <w:divBdr>
        <w:top w:val="none" w:sz="0" w:space="0" w:color="auto"/>
        <w:left w:val="none" w:sz="0" w:space="0" w:color="auto"/>
        <w:bottom w:val="none" w:sz="0" w:space="0" w:color="auto"/>
        <w:right w:val="none" w:sz="0" w:space="0" w:color="auto"/>
      </w:divBdr>
    </w:div>
    <w:div w:id="1983919908">
      <w:bodyDiv w:val="1"/>
      <w:marLeft w:val="0"/>
      <w:marRight w:val="0"/>
      <w:marTop w:val="0"/>
      <w:marBottom w:val="0"/>
      <w:divBdr>
        <w:top w:val="none" w:sz="0" w:space="0" w:color="auto"/>
        <w:left w:val="none" w:sz="0" w:space="0" w:color="auto"/>
        <w:bottom w:val="none" w:sz="0" w:space="0" w:color="auto"/>
        <w:right w:val="none" w:sz="0" w:space="0" w:color="auto"/>
      </w:divBdr>
    </w:div>
    <w:div w:id="1984113259">
      <w:bodyDiv w:val="1"/>
      <w:marLeft w:val="0"/>
      <w:marRight w:val="0"/>
      <w:marTop w:val="0"/>
      <w:marBottom w:val="0"/>
      <w:divBdr>
        <w:top w:val="none" w:sz="0" w:space="0" w:color="auto"/>
        <w:left w:val="none" w:sz="0" w:space="0" w:color="auto"/>
        <w:bottom w:val="none" w:sz="0" w:space="0" w:color="auto"/>
        <w:right w:val="none" w:sz="0" w:space="0" w:color="auto"/>
      </w:divBdr>
    </w:div>
    <w:div w:id="1984195379">
      <w:bodyDiv w:val="1"/>
      <w:marLeft w:val="0"/>
      <w:marRight w:val="0"/>
      <w:marTop w:val="0"/>
      <w:marBottom w:val="0"/>
      <w:divBdr>
        <w:top w:val="none" w:sz="0" w:space="0" w:color="auto"/>
        <w:left w:val="none" w:sz="0" w:space="0" w:color="auto"/>
        <w:bottom w:val="none" w:sz="0" w:space="0" w:color="auto"/>
        <w:right w:val="none" w:sz="0" w:space="0" w:color="auto"/>
      </w:divBdr>
    </w:div>
    <w:div w:id="1984196702">
      <w:bodyDiv w:val="1"/>
      <w:marLeft w:val="0"/>
      <w:marRight w:val="0"/>
      <w:marTop w:val="0"/>
      <w:marBottom w:val="0"/>
      <w:divBdr>
        <w:top w:val="none" w:sz="0" w:space="0" w:color="auto"/>
        <w:left w:val="none" w:sz="0" w:space="0" w:color="auto"/>
        <w:bottom w:val="none" w:sz="0" w:space="0" w:color="auto"/>
        <w:right w:val="none" w:sz="0" w:space="0" w:color="auto"/>
      </w:divBdr>
    </w:div>
    <w:div w:id="1984265076">
      <w:bodyDiv w:val="1"/>
      <w:marLeft w:val="0"/>
      <w:marRight w:val="0"/>
      <w:marTop w:val="0"/>
      <w:marBottom w:val="0"/>
      <w:divBdr>
        <w:top w:val="none" w:sz="0" w:space="0" w:color="auto"/>
        <w:left w:val="none" w:sz="0" w:space="0" w:color="auto"/>
        <w:bottom w:val="none" w:sz="0" w:space="0" w:color="auto"/>
        <w:right w:val="none" w:sz="0" w:space="0" w:color="auto"/>
      </w:divBdr>
    </w:div>
    <w:div w:id="1984576623">
      <w:bodyDiv w:val="1"/>
      <w:marLeft w:val="0"/>
      <w:marRight w:val="0"/>
      <w:marTop w:val="0"/>
      <w:marBottom w:val="0"/>
      <w:divBdr>
        <w:top w:val="none" w:sz="0" w:space="0" w:color="auto"/>
        <w:left w:val="none" w:sz="0" w:space="0" w:color="auto"/>
        <w:bottom w:val="none" w:sz="0" w:space="0" w:color="auto"/>
        <w:right w:val="none" w:sz="0" w:space="0" w:color="auto"/>
      </w:divBdr>
    </w:div>
    <w:div w:id="1985163135">
      <w:bodyDiv w:val="1"/>
      <w:marLeft w:val="0"/>
      <w:marRight w:val="0"/>
      <w:marTop w:val="0"/>
      <w:marBottom w:val="0"/>
      <w:divBdr>
        <w:top w:val="none" w:sz="0" w:space="0" w:color="auto"/>
        <w:left w:val="none" w:sz="0" w:space="0" w:color="auto"/>
        <w:bottom w:val="none" w:sz="0" w:space="0" w:color="auto"/>
        <w:right w:val="none" w:sz="0" w:space="0" w:color="auto"/>
      </w:divBdr>
    </w:div>
    <w:div w:id="1985231577">
      <w:bodyDiv w:val="1"/>
      <w:marLeft w:val="0"/>
      <w:marRight w:val="0"/>
      <w:marTop w:val="0"/>
      <w:marBottom w:val="0"/>
      <w:divBdr>
        <w:top w:val="none" w:sz="0" w:space="0" w:color="auto"/>
        <w:left w:val="none" w:sz="0" w:space="0" w:color="auto"/>
        <w:bottom w:val="none" w:sz="0" w:space="0" w:color="auto"/>
        <w:right w:val="none" w:sz="0" w:space="0" w:color="auto"/>
      </w:divBdr>
    </w:div>
    <w:div w:id="1985431241">
      <w:bodyDiv w:val="1"/>
      <w:marLeft w:val="0"/>
      <w:marRight w:val="0"/>
      <w:marTop w:val="0"/>
      <w:marBottom w:val="0"/>
      <w:divBdr>
        <w:top w:val="none" w:sz="0" w:space="0" w:color="auto"/>
        <w:left w:val="none" w:sz="0" w:space="0" w:color="auto"/>
        <w:bottom w:val="none" w:sz="0" w:space="0" w:color="auto"/>
        <w:right w:val="none" w:sz="0" w:space="0" w:color="auto"/>
      </w:divBdr>
    </w:div>
    <w:div w:id="1985545296">
      <w:bodyDiv w:val="1"/>
      <w:marLeft w:val="0"/>
      <w:marRight w:val="0"/>
      <w:marTop w:val="0"/>
      <w:marBottom w:val="0"/>
      <w:divBdr>
        <w:top w:val="none" w:sz="0" w:space="0" w:color="auto"/>
        <w:left w:val="none" w:sz="0" w:space="0" w:color="auto"/>
        <w:bottom w:val="none" w:sz="0" w:space="0" w:color="auto"/>
        <w:right w:val="none" w:sz="0" w:space="0" w:color="auto"/>
      </w:divBdr>
    </w:div>
    <w:div w:id="1985962665">
      <w:bodyDiv w:val="1"/>
      <w:marLeft w:val="0"/>
      <w:marRight w:val="0"/>
      <w:marTop w:val="0"/>
      <w:marBottom w:val="0"/>
      <w:divBdr>
        <w:top w:val="none" w:sz="0" w:space="0" w:color="auto"/>
        <w:left w:val="none" w:sz="0" w:space="0" w:color="auto"/>
        <w:bottom w:val="none" w:sz="0" w:space="0" w:color="auto"/>
        <w:right w:val="none" w:sz="0" w:space="0" w:color="auto"/>
      </w:divBdr>
    </w:div>
    <w:div w:id="1986084151">
      <w:bodyDiv w:val="1"/>
      <w:marLeft w:val="0"/>
      <w:marRight w:val="0"/>
      <w:marTop w:val="0"/>
      <w:marBottom w:val="0"/>
      <w:divBdr>
        <w:top w:val="none" w:sz="0" w:space="0" w:color="auto"/>
        <w:left w:val="none" w:sz="0" w:space="0" w:color="auto"/>
        <w:bottom w:val="none" w:sz="0" w:space="0" w:color="auto"/>
        <w:right w:val="none" w:sz="0" w:space="0" w:color="auto"/>
      </w:divBdr>
    </w:div>
    <w:div w:id="1986161951">
      <w:bodyDiv w:val="1"/>
      <w:marLeft w:val="0"/>
      <w:marRight w:val="0"/>
      <w:marTop w:val="0"/>
      <w:marBottom w:val="0"/>
      <w:divBdr>
        <w:top w:val="none" w:sz="0" w:space="0" w:color="auto"/>
        <w:left w:val="none" w:sz="0" w:space="0" w:color="auto"/>
        <w:bottom w:val="none" w:sz="0" w:space="0" w:color="auto"/>
        <w:right w:val="none" w:sz="0" w:space="0" w:color="auto"/>
      </w:divBdr>
    </w:div>
    <w:div w:id="1986201297">
      <w:bodyDiv w:val="1"/>
      <w:marLeft w:val="0"/>
      <w:marRight w:val="0"/>
      <w:marTop w:val="0"/>
      <w:marBottom w:val="0"/>
      <w:divBdr>
        <w:top w:val="none" w:sz="0" w:space="0" w:color="auto"/>
        <w:left w:val="none" w:sz="0" w:space="0" w:color="auto"/>
        <w:bottom w:val="none" w:sz="0" w:space="0" w:color="auto"/>
        <w:right w:val="none" w:sz="0" w:space="0" w:color="auto"/>
      </w:divBdr>
    </w:div>
    <w:div w:id="1986473296">
      <w:bodyDiv w:val="1"/>
      <w:marLeft w:val="0"/>
      <w:marRight w:val="0"/>
      <w:marTop w:val="0"/>
      <w:marBottom w:val="0"/>
      <w:divBdr>
        <w:top w:val="none" w:sz="0" w:space="0" w:color="auto"/>
        <w:left w:val="none" w:sz="0" w:space="0" w:color="auto"/>
        <w:bottom w:val="none" w:sz="0" w:space="0" w:color="auto"/>
        <w:right w:val="none" w:sz="0" w:space="0" w:color="auto"/>
      </w:divBdr>
    </w:div>
    <w:div w:id="1986617458">
      <w:bodyDiv w:val="1"/>
      <w:marLeft w:val="0"/>
      <w:marRight w:val="0"/>
      <w:marTop w:val="0"/>
      <w:marBottom w:val="0"/>
      <w:divBdr>
        <w:top w:val="none" w:sz="0" w:space="0" w:color="auto"/>
        <w:left w:val="none" w:sz="0" w:space="0" w:color="auto"/>
        <w:bottom w:val="none" w:sz="0" w:space="0" w:color="auto"/>
        <w:right w:val="none" w:sz="0" w:space="0" w:color="auto"/>
      </w:divBdr>
    </w:div>
    <w:div w:id="1986624962">
      <w:bodyDiv w:val="1"/>
      <w:marLeft w:val="0"/>
      <w:marRight w:val="0"/>
      <w:marTop w:val="0"/>
      <w:marBottom w:val="0"/>
      <w:divBdr>
        <w:top w:val="none" w:sz="0" w:space="0" w:color="auto"/>
        <w:left w:val="none" w:sz="0" w:space="0" w:color="auto"/>
        <w:bottom w:val="none" w:sz="0" w:space="0" w:color="auto"/>
        <w:right w:val="none" w:sz="0" w:space="0" w:color="auto"/>
      </w:divBdr>
    </w:div>
    <w:div w:id="1986624996">
      <w:bodyDiv w:val="1"/>
      <w:marLeft w:val="0"/>
      <w:marRight w:val="0"/>
      <w:marTop w:val="0"/>
      <w:marBottom w:val="0"/>
      <w:divBdr>
        <w:top w:val="none" w:sz="0" w:space="0" w:color="auto"/>
        <w:left w:val="none" w:sz="0" w:space="0" w:color="auto"/>
        <w:bottom w:val="none" w:sz="0" w:space="0" w:color="auto"/>
        <w:right w:val="none" w:sz="0" w:space="0" w:color="auto"/>
      </w:divBdr>
    </w:div>
    <w:div w:id="1986659971">
      <w:bodyDiv w:val="1"/>
      <w:marLeft w:val="0"/>
      <w:marRight w:val="0"/>
      <w:marTop w:val="0"/>
      <w:marBottom w:val="0"/>
      <w:divBdr>
        <w:top w:val="none" w:sz="0" w:space="0" w:color="auto"/>
        <w:left w:val="none" w:sz="0" w:space="0" w:color="auto"/>
        <w:bottom w:val="none" w:sz="0" w:space="0" w:color="auto"/>
        <w:right w:val="none" w:sz="0" w:space="0" w:color="auto"/>
      </w:divBdr>
    </w:div>
    <w:div w:id="1986663610">
      <w:bodyDiv w:val="1"/>
      <w:marLeft w:val="0"/>
      <w:marRight w:val="0"/>
      <w:marTop w:val="0"/>
      <w:marBottom w:val="0"/>
      <w:divBdr>
        <w:top w:val="none" w:sz="0" w:space="0" w:color="auto"/>
        <w:left w:val="none" w:sz="0" w:space="0" w:color="auto"/>
        <w:bottom w:val="none" w:sz="0" w:space="0" w:color="auto"/>
        <w:right w:val="none" w:sz="0" w:space="0" w:color="auto"/>
      </w:divBdr>
    </w:div>
    <w:div w:id="1986855047">
      <w:bodyDiv w:val="1"/>
      <w:marLeft w:val="0"/>
      <w:marRight w:val="0"/>
      <w:marTop w:val="0"/>
      <w:marBottom w:val="0"/>
      <w:divBdr>
        <w:top w:val="none" w:sz="0" w:space="0" w:color="auto"/>
        <w:left w:val="none" w:sz="0" w:space="0" w:color="auto"/>
        <w:bottom w:val="none" w:sz="0" w:space="0" w:color="auto"/>
        <w:right w:val="none" w:sz="0" w:space="0" w:color="auto"/>
      </w:divBdr>
    </w:div>
    <w:div w:id="1987007442">
      <w:bodyDiv w:val="1"/>
      <w:marLeft w:val="0"/>
      <w:marRight w:val="0"/>
      <w:marTop w:val="0"/>
      <w:marBottom w:val="0"/>
      <w:divBdr>
        <w:top w:val="none" w:sz="0" w:space="0" w:color="auto"/>
        <w:left w:val="none" w:sz="0" w:space="0" w:color="auto"/>
        <w:bottom w:val="none" w:sz="0" w:space="0" w:color="auto"/>
        <w:right w:val="none" w:sz="0" w:space="0" w:color="auto"/>
      </w:divBdr>
    </w:div>
    <w:div w:id="1987010510">
      <w:bodyDiv w:val="1"/>
      <w:marLeft w:val="0"/>
      <w:marRight w:val="0"/>
      <w:marTop w:val="0"/>
      <w:marBottom w:val="0"/>
      <w:divBdr>
        <w:top w:val="none" w:sz="0" w:space="0" w:color="auto"/>
        <w:left w:val="none" w:sz="0" w:space="0" w:color="auto"/>
        <w:bottom w:val="none" w:sz="0" w:space="0" w:color="auto"/>
        <w:right w:val="none" w:sz="0" w:space="0" w:color="auto"/>
      </w:divBdr>
    </w:div>
    <w:div w:id="1987082014">
      <w:bodyDiv w:val="1"/>
      <w:marLeft w:val="0"/>
      <w:marRight w:val="0"/>
      <w:marTop w:val="0"/>
      <w:marBottom w:val="0"/>
      <w:divBdr>
        <w:top w:val="none" w:sz="0" w:space="0" w:color="auto"/>
        <w:left w:val="none" w:sz="0" w:space="0" w:color="auto"/>
        <w:bottom w:val="none" w:sz="0" w:space="0" w:color="auto"/>
        <w:right w:val="none" w:sz="0" w:space="0" w:color="auto"/>
      </w:divBdr>
    </w:div>
    <w:div w:id="1987200776">
      <w:bodyDiv w:val="1"/>
      <w:marLeft w:val="0"/>
      <w:marRight w:val="0"/>
      <w:marTop w:val="0"/>
      <w:marBottom w:val="0"/>
      <w:divBdr>
        <w:top w:val="none" w:sz="0" w:space="0" w:color="auto"/>
        <w:left w:val="none" w:sz="0" w:space="0" w:color="auto"/>
        <w:bottom w:val="none" w:sz="0" w:space="0" w:color="auto"/>
        <w:right w:val="none" w:sz="0" w:space="0" w:color="auto"/>
      </w:divBdr>
    </w:div>
    <w:div w:id="1988048933">
      <w:bodyDiv w:val="1"/>
      <w:marLeft w:val="0"/>
      <w:marRight w:val="0"/>
      <w:marTop w:val="0"/>
      <w:marBottom w:val="0"/>
      <w:divBdr>
        <w:top w:val="none" w:sz="0" w:space="0" w:color="auto"/>
        <w:left w:val="none" w:sz="0" w:space="0" w:color="auto"/>
        <w:bottom w:val="none" w:sz="0" w:space="0" w:color="auto"/>
        <w:right w:val="none" w:sz="0" w:space="0" w:color="auto"/>
      </w:divBdr>
    </w:div>
    <w:div w:id="1988238507">
      <w:bodyDiv w:val="1"/>
      <w:marLeft w:val="0"/>
      <w:marRight w:val="0"/>
      <w:marTop w:val="0"/>
      <w:marBottom w:val="0"/>
      <w:divBdr>
        <w:top w:val="none" w:sz="0" w:space="0" w:color="auto"/>
        <w:left w:val="none" w:sz="0" w:space="0" w:color="auto"/>
        <w:bottom w:val="none" w:sz="0" w:space="0" w:color="auto"/>
        <w:right w:val="none" w:sz="0" w:space="0" w:color="auto"/>
      </w:divBdr>
    </w:div>
    <w:div w:id="1988239691">
      <w:bodyDiv w:val="1"/>
      <w:marLeft w:val="0"/>
      <w:marRight w:val="0"/>
      <w:marTop w:val="0"/>
      <w:marBottom w:val="0"/>
      <w:divBdr>
        <w:top w:val="none" w:sz="0" w:space="0" w:color="auto"/>
        <w:left w:val="none" w:sz="0" w:space="0" w:color="auto"/>
        <w:bottom w:val="none" w:sz="0" w:space="0" w:color="auto"/>
        <w:right w:val="none" w:sz="0" w:space="0" w:color="auto"/>
      </w:divBdr>
    </w:div>
    <w:div w:id="1988247005">
      <w:bodyDiv w:val="1"/>
      <w:marLeft w:val="0"/>
      <w:marRight w:val="0"/>
      <w:marTop w:val="0"/>
      <w:marBottom w:val="0"/>
      <w:divBdr>
        <w:top w:val="none" w:sz="0" w:space="0" w:color="auto"/>
        <w:left w:val="none" w:sz="0" w:space="0" w:color="auto"/>
        <w:bottom w:val="none" w:sz="0" w:space="0" w:color="auto"/>
        <w:right w:val="none" w:sz="0" w:space="0" w:color="auto"/>
      </w:divBdr>
    </w:div>
    <w:div w:id="1988391887">
      <w:bodyDiv w:val="1"/>
      <w:marLeft w:val="0"/>
      <w:marRight w:val="0"/>
      <w:marTop w:val="0"/>
      <w:marBottom w:val="0"/>
      <w:divBdr>
        <w:top w:val="none" w:sz="0" w:space="0" w:color="auto"/>
        <w:left w:val="none" w:sz="0" w:space="0" w:color="auto"/>
        <w:bottom w:val="none" w:sz="0" w:space="0" w:color="auto"/>
        <w:right w:val="none" w:sz="0" w:space="0" w:color="auto"/>
      </w:divBdr>
    </w:div>
    <w:div w:id="1988583564">
      <w:bodyDiv w:val="1"/>
      <w:marLeft w:val="0"/>
      <w:marRight w:val="0"/>
      <w:marTop w:val="0"/>
      <w:marBottom w:val="0"/>
      <w:divBdr>
        <w:top w:val="none" w:sz="0" w:space="0" w:color="auto"/>
        <w:left w:val="none" w:sz="0" w:space="0" w:color="auto"/>
        <w:bottom w:val="none" w:sz="0" w:space="0" w:color="auto"/>
        <w:right w:val="none" w:sz="0" w:space="0" w:color="auto"/>
      </w:divBdr>
    </w:div>
    <w:div w:id="1988587285">
      <w:bodyDiv w:val="1"/>
      <w:marLeft w:val="0"/>
      <w:marRight w:val="0"/>
      <w:marTop w:val="0"/>
      <w:marBottom w:val="0"/>
      <w:divBdr>
        <w:top w:val="none" w:sz="0" w:space="0" w:color="auto"/>
        <w:left w:val="none" w:sz="0" w:space="0" w:color="auto"/>
        <w:bottom w:val="none" w:sz="0" w:space="0" w:color="auto"/>
        <w:right w:val="none" w:sz="0" w:space="0" w:color="auto"/>
      </w:divBdr>
    </w:div>
    <w:div w:id="1988590448">
      <w:bodyDiv w:val="1"/>
      <w:marLeft w:val="0"/>
      <w:marRight w:val="0"/>
      <w:marTop w:val="0"/>
      <w:marBottom w:val="0"/>
      <w:divBdr>
        <w:top w:val="none" w:sz="0" w:space="0" w:color="auto"/>
        <w:left w:val="none" w:sz="0" w:space="0" w:color="auto"/>
        <w:bottom w:val="none" w:sz="0" w:space="0" w:color="auto"/>
        <w:right w:val="none" w:sz="0" w:space="0" w:color="auto"/>
      </w:divBdr>
    </w:div>
    <w:div w:id="1989161587">
      <w:bodyDiv w:val="1"/>
      <w:marLeft w:val="0"/>
      <w:marRight w:val="0"/>
      <w:marTop w:val="0"/>
      <w:marBottom w:val="0"/>
      <w:divBdr>
        <w:top w:val="none" w:sz="0" w:space="0" w:color="auto"/>
        <w:left w:val="none" w:sz="0" w:space="0" w:color="auto"/>
        <w:bottom w:val="none" w:sz="0" w:space="0" w:color="auto"/>
        <w:right w:val="none" w:sz="0" w:space="0" w:color="auto"/>
      </w:divBdr>
    </w:div>
    <w:div w:id="1989431838">
      <w:bodyDiv w:val="1"/>
      <w:marLeft w:val="0"/>
      <w:marRight w:val="0"/>
      <w:marTop w:val="0"/>
      <w:marBottom w:val="0"/>
      <w:divBdr>
        <w:top w:val="none" w:sz="0" w:space="0" w:color="auto"/>
        <w:left w:val="none" w:sz="0" w:space="0" w:color="auto"/>
        <w:bottom w:val="none" w:sz="0" w:space="0" w:color="auto"/>
        <w:right w:val="none" w:sz="0" w:space="0" w:color="auto"/>
      </w:divBdr>
    </w:div>
    <w:div w:id="1989627645">
      <w:bodyDiv w:val="1"/>
      <w:marLeft w:val="0"/>
      <w:marRight w:val="0"/>
      <w:marTop w:val="0"/>
      <w:marBottom w:val="0"/>
      <w:divBdr>
        <w:top w:val="none" w:sz="0" w:space="0" w:color="auto"/>
        <w:left w:val="none" w:sz="0" w:space="0" w:color="auto"/>
        <w:bottom w:val="none" w:sz="0" w:space="0" w:color="auto"/>
        <w:right w:val="none" w:sz="0" w:space="0" w:color="auto"/>
      </w:divBdr>
    </w:div>
    <w:div w:id="1990013694">
      <w:bodyDiv w:val="1"/>
      <w:marLeft w:val="0"/>
      <w:marRight w:val="0"/>
      <w:marTop w:val="0"/>
      <w:marBottom w:val="0"/>
      <w:divBdr>
        <w:top w:val="none" w:sz="0" w:space="0" w:color="auto"/>
        <w:left w:val="none" w:sz="0" w:space="0" w:color="auto"/>
        <w:bottom w:val="none" w:sz="0" w:space="0" w:color="auto"/>
        <w:right w:val="none" w:sz="0" w:space="0" w:color="auto"/>
      </w:divBdr>
    </w:div>
    <w:div w:id="1990088465">
      <w:bodyDiv w:val="1"/>
      <w:marLeft w:val="0"/>
      <w:marRight w:val="0"/>
      <w:marTop w:val="0"/>
      <w:marBottom w:val="0"/>
      <w:divBdr>
        <w:top w:val="none" w:sz="0" w:space="0" w:color="auto"/>
        <w:left w:val="none" w:sz="0" w:space="0" w:color="auto"/>
        <w:bottom w:val="none" w:sz="0" w:space="0" w:color="auto"/>
        <w:right w:val="none" w:sz="0" w:space="0" w:color="auto"/>
      </w:divBdr>
    </w:div>
    <w:div w:id="1990094457">
      <w:bodyDiv w:val="1"/>
      <w:marLeft w:val="0"/>
      <w:marRight w:val="0"/>
      <w:marTop w:val="0"/>
      <w:marBottom w:val="0"/>
      <w:divBdr>
        <w:top w:val="none" w:sz="0" w:space="0" w:color="auto"/>
        <w:left w:val="none" w:sz="0" w:space="0" w:color="auto"/>
        <w:bottom w:val="none" w:sz="0" w:space="0" w:color="auto"/>
        <w:right w:val="none" w:sz="0" w:space="0" w:color="auto"/>
      </w:divBdr>
    </w:div>
    <w:div w:id="1990474836">
      <w:bodyDiv w:val="1"/>
      <w:marLeft w:val="0"/>
      <w:marRight w:val="0"/>
      <w:marTop w:val="0"/>
      <w:marBottom w:val="0"/>
      <w:divBdr>
        <w:top w:val="none" w:sz="0" w:space="0" w:color="auto"/>
        <w:left w:val="none" w:sz="0" w:space="0" w:color="auto"/>
        <w:bottom w:val="none" w:sz="0" w:space="0" w:color="auto"/>
        <w:right w:val="none" w:sz="0" w:space="0" w:color="auto"/>
      </w:divBdr>
    </w:div>
    <w:div w:id="1990671442">
      <w:bodyDiv w:val="1"/>
      <w:marLeft w:val="0"/>
      <w:marRight w:val="0"/>
      <w:marTop w:val="0"/>
      <w:marBottom w:val="0"/>
      <w:divBdr>
        <w:top w:val="none" w:sz="0" w:space="0" w:color="auto"/>
        <w:left w:val="none" w:sz="0" w:space="0" w:color="auto"/>
        <w:bottom w:val="none" w:sz="0" w:space="0" w:color="auto"/>
        <w:right w:val="none" w:sz="0" w:space="0" w:color="auto"/>
      </w:divBdr>
    </w:div>
    <w:div w:id="1990742017">
      <w:bodyDiv w:val="1"/>
      <w:marLeft w:val="0"/>
      <w:marRight w:val="0"/>
      <w:marTop w:val="0"/>
      <w:marBottom w:val="0"/>
      <w:divBdr>
        <w:top w:val="none" w:sz="0" w:space="0" w:color="auto"/>
        <w:left w:val="none" w:sz="0" w:space="0" w:color="auto"/>
        <w:bottom w:val="none" w:sz="0" w:space="0" w:color="auto"/>
        <w:right w:val="none" w:sz="0" w:space="0" w:color="auto"/>
      </w:divBdr>
    </w:div>
    <w:div w:id="1990817898">
      <w:bodyDiv w:val="1"/>
      <w:marLeft w:val="0"/>
      <w:marRight w:val="0"/>
      <w:marTop w:val="0"/>
      <w:marBottom w:val="0"/>
      <w:divBdr>
        <w:top w:val="none" w:sz="0" w:space="0" w:color="auto"/>
        <w:left w:val="none" w:sz="0" w:space="0" w:color="auto"/>
        <w:bottom w:val="none" w:sz="0" w:space="0" w:color="auto"/>
        <w:right w:val="none" w:sz="0" w:space="0" w:color="auto"/>
      </w:divBdr>
    </w:div>
    <w:div w:id="1990862483">
      <w:bodyDiv w:val="1"/>
      <w:marLeft w:val="0"/>
      <w:marRight w:val="0"/>
      <w:marTop w:val="0"/>
      <w:marBottom w:val="0"/>
      <w:divBdr>
        <w:top w:val="none" w:sz="0" w:space="0" w:color="auto"/>
        <w:left w:val="none" w:sz="0" w:space="0" w:color="auto"/>
        <w:bottom w:val="none" w:sz="0" w:space="0" w:color="auto"/>
        <w:right w:val="none" w:sz="0" w:space="0" w:color="auto"/>
      </w:divBdr>
    </w:div>
    <w:div w:id="1990864890">
      <w:bodyDiv w:val="1"/>
      <w:marLeft w:val="0"/>
      <w:marRight w:val="0"/>
      <w:marTop w:val="0"/>
      <w:marBottom w:val="0"/>
      <w:divBdr>
        <w:top w:val="none" w:sz="0" w:space="0" w:color="auto"/>
        <w:left w:val="none" w:sz="0" w:space="0" w:color="auto"/>
        <w:bottom w:val="none" w:sz="0" w:space="0" w:color="auto"/>
        <w:right w:val="none" w:sz="0" w:space="0" w:color="auto"/>
      </w:divBdr>
    </w:div>
    <w:div w:id="1991250588">
      <w:bodyDiv w:val="1"/>
      <w:marLeft w:val="0"/>
      <w:marRight w:val="0"/>
      <w:marTop w:val="0"/>
      <w:marBottom w:val="0"/>
      <w:divBdr>
        <w:top w:val="none" w:sz="0" w:space="0" w:color="auto"/>
        <w:left w:val="none" w:sz="0" w:space="0" w:color="auto"/>
        <w:bottom w:val="none" w:sz="0" w:space="0" w:color="auto"/>
        <w:right w:val="none" w:sz="0" w:space="0" w:color="auto"/>
      </w:divBdr>
    </w:div>
    <w:div w:id="1991398091">
      <w:bodyDiv w:val="1"/>
      <w:marLeft w:val="0"/>
      <w:marRight w:val="0"/>
      <w:marTop w:val="0"/>
      <w:marBottom w:val="0"/>
      <w:divBdr>
        <w:top w:val="none" w:sz="0" w:space="0" w:color="auto"/>
        <w:left w:val="none" w:sz="0" w:space="0" w:color="auto"/>
        <w:bottom w:val="none" w:sz="0" w:space="0" w:color="auto"/>
        <w:right w:val="none" w:sz="0" w:space="0" w:color="auto"/>
      </w:divBdr>
    </w:div>
    <w:div w:id="1991590568">
      <w:bodyDiv w:val="1"/>
      <w:marLeft w:val="0"/>
      <w:marRight w:val="0"/>
      <w:marTop w:val="0"/>
      <w:marBottom w:val="0"/>
      <w:divBdr>
        <w:top w:val="none" w:sz="0" w:space="0" w:color="auto"/>
        <w:left w:val="none" w:sz="0" w:space="0" w:color="auto"/>
        <w:bottom w:val="none" w:sz="0" w:space="0" w:color="auto"/>
        <w:right w:val="none" w:sz="0" w:space="0" w:color="auto"/>
      </w:divBdr>
    </w:div>
    <w:div w:id="1992326526">
      <w:bodyDiv w:val="1"/>
      <w:marLeft w:val="0"/>
      <w:marRight w:val="0"/>
      <w:marTop w:val="0"/>
      <w:marBottom w:val="0"/>
      <w:divBdr>
        <w:top w:val="none" w:sz="0" w:space="0" w:color="auto"/>
        <w:left w:val="none" w:sz="0" w:space="0" w:color="auto"/>
        <w:bottom w:val="none" w:sz="0" w:space="0" w:color="auto"/>
        <w:right w:val="none" w:sz="0" w:space="0" w:color="auto"/>
      </w:divBdr>
    </w:div>
    <w:div w:id="1992715369">
      <w:bodyDiv w:val="1"/>
      <w:marLeft w:val="0"/>
      <w:marRight w:val="0"/>
      <w:marTop w:val="0"/>
      <w:marBottom w:val="0"/>
      <w:divBdr>
        <w:top w:val="none" w:sz="0" w:space="0" w:color="auto"/>
        <w:left w:val="none" w:sz="0" w:space="0" w:color="auto"/>
        <w:bottom w:val="none" w:sz="0" w:space="0" w:color="auto"/>
        <w:right w:val="none" w:sz="0" w:space="0" w:color="auto"/>
      </w:divBdr>
    </w:div>
    <w:div w:id="1992715740">
      <w:bodyDiv w:val="1"/>
      <w:marLeft w:val="0"/>
      <w:marRight w:val="0"/>
      <w:marTop w:val="0"/>
      <w:marBottom w:val="0"/>
      <w:divBdr>
        <w:top w:val="none" w:sz="0" w:space="0" w:color="auto"/>
        <w:left w:val="none" w:sz="0" w:space="0" w:color="auto"/>
        <w:bottom w:val="none" w:sz="0" w:space="0" w:color="auto"/>
        <w:right w:val="none" w:sz="0" w:space="0" w:color="auto"/>
      </w:divBdr>
    </w:div>
    <w:div w:id="1992829588">
      <w:bodyDiv w:val="1"/>
      <w:marLeft w:val="0"/>
      <w:marRight w:val="0"/>
      <w:marTop w:val="0"/>
      <w:marBottom w:val="0"/>
      <w:divBdr>
        <w:top w:val="none" w:sz="0" w:space="0" w:color="auto"/>
        <w:left w:val="none" w:sz="0" w:space="0" w:color="auto"/>
        <w:bottom w:val="none" w:sz="0" w:space="0" w:color="auto"/>
        <w:right w:val="none" w:sz="0" w:space="0" w:color="auto"/>
      </w:divBdr>
    </w:div>
    <w:div w:id="1993215568">
      <w:bodyDiv w:val="1"/>
      <w:marLeft w:val="0"/>
      <w:marRight w:val="0"/>
      <w:marTop w:val="0"/>
      <w:marBottom w:val="0"/>
      <w:divBdr>
        <w:top w:val="none" w:sz="0" w:space="0" w:color="auto"/>
        <w:left w:val="none" w:sz="0" w:space="0" w:color="auto"/>
        <w:bottom w:val="none" w:sz="0" w:space="0" w:color="auto"/>
        <w:right w:val="none" w:sz="0" w:space="0" w:color="auto"/>
      </w:divBdr>
    </w:div>
    <w:div w:id="1993243741">
      <w:bodyDiv w:val="1"/>
      <w:marLeft w:val="0"/>
      <w:marRight w:val="0"/>
      <w:marTop w:val="0"/>
      <w:marBottom w:val="0"/>
      <w:divBdr>
        <w:top w:val="none" w:sz="0" w:space="0" w:color="auto"/>
        <w:left w:val="none" w:sz="0" w:space="0" w:color="auto"/>
        <w:bottom w:val="none" w:sz="0" w:space="0" w:color="auto"/>
        <w:right w:val="none" w:sz="0" w:space="0" w:color="auto"/>
      </w:divBdr>
    </w:div>
    <w:div w:id="1993364618">
      <w:bodyDiv w:val="1"/>
      <w:marLeft w:val="0"/>
      <w:marRight w:val="0"/>
      <w:marTop w:val="0"/>
      <w:marBottom w:val="0"/>
      <w:divBdr>
        <w:top w:val="none" w:sz="0" w:space="0" w:color="auto"/>
        <w:left w:val="none" w:sz="0" w:space="0" w:color="auto"/>
        <w:bottom w:val="none" w:sz="0" w:space="0" w:color="auto"/>
        <w:right w:val="none" w:sz="0" w:space="0" w:color="auto"/>
      </w:divBdr>
    </w:div>
    <w:div w:id="1993484970">
      <w:bodyDiv w:val="1"/>
      <w:marLeft w:val="0"/>
      <w:marRight w:val="0"/>
      <w:marTop w:val="0"/>
      <w:marBottom w:val="0"/>
      <w:divBdr>
        <w:top w:val="none" w:sz="0" w:space="0" w:color="auto"/>
        <w:left w:val="none" w:sz="0" w:space="0" w:color="auto"/>
        <w:bottom w:val="none" w:sz="0" w:space="0" w:color="auto"/>
        <w:right w:val="none" w:sz="0" w:space="0" w:color="auto"/>
      </w:divBdr>
    </w:div>
    <w:div w:id="1993751948">
      <w:bodyDiv w:val="1"/>
      <w:marLeft w:val="0"/>
      <w:marRight w:val="0"/>
      <w:marTop w:val="0"/>
      <w:marBottom w:val="0"/>
      <w:divBdr>
        <w:top w:val="none" w:sz="0" w:space="0" w:color="auto"/>
        <w:left w:val="none" w:sz="0" w:space="0" w:color="auto"/>
        <w:bottom w:val="none" w:sz="0" w:space="0" w:color="auto"/>
        <w:right w:val="none" w:sz="0" w:space="0" w:color="auto"/>
      </w:divBdr>
    </w:div>
    <w:div w:id="1993832766">
      <w:bodyDiv w:val="1"/>
      <w:marLeft w:val="0"/>
      <w:marRight w:val="0"/>
      <w:marTop w:val="0"/>
      <w:marBottom w:val="0"/>
      <w:divBdr>
        <w:top w:val="none" w:sz="0" w:space="0" w:color="auto"/>
        <w:left w:val="none" w:sz="0" w:space="0" w:color="auto"/>
        <w:bottom w:val="none" w:sz="0" w:space="0" w:color="auto"/>
        <w:right w:val="none" w:sz="0" w:space="0" w:color="auto"/>
      </w:divBdr>
    </w:div>
    <w:div w:id="1993874582">
      <w:bodyDiv w:val="1"/>
      <w:marLeft w:val="0"/>
      <w:marRight w:val="0"/>
      <w:marTop w:val="0"/>
      <w:marBottom w:val="0"/>
      <w:divBdr>
        <w:top w:val="none" w:sz="0" w:space="0" w:color="auto"/>
        <w:left w:val="none" w:sz="0" w:space="0" w:color="auto"/>
        <w:bottom w:val="none" w:sz="0" w:space="0" w:color="auto"/>
        <w:right w:val="none" w:sz="0" w:space="0" w:color="auto"/>
      </w:divBdr>
    </w:div>
    <w:div w:id="1994095981">
      <w:bodyDiv w:val="1"/>
      <w:marLeft w:val="0"/>
      <w:marRight w:val="0"/>
      <w:marTop w:val="0"/>
      <w:marBottom w:val="0"/>
      <w:divBdr>
        <w:top w:val="none" w:sz="0" w:space="0" w:color="auto"/>
        <w:left w:val="none" w:sz="0" w:space="0" w:color="auto"/>
        <w:bottom w:val="none" w:sz="0" w:space="0" w:color="auto"/>
        <w:right w:val="none" w:sz="0" w:space="0" w:color="auto"/>
      </w:divBdr>
    </w:div>
    <w:div w:id="1994219064">
      <w:bodyDiv w:val="1"/>
      <w:marLeft w:val="0"/>
      <w:marRight w:val="0"/>
      <w:marTop w:val="0"/>
      <w:marBottom w:val="0"/>
      <w:divBdr>
        <w:top w:val="none" w:sz="0" w:space="0" w:color="auto"/>
        <w:left w:val="none" w:sz="0" w:space="0" w:color="auto"/>
        <w:bottom w:val="none" w:sz="0" w:space="0" w:color="auto"/>
        <w:right w:val="none" w:sz="0" w:space="0" w:color="auto"/>
      </w:divBdr>
    </w:div>
    <w:div w:id="1994291485">
      <w:bodyDiv w:val="1"/>
      <w:marLeft w:val="0"/>
      <w:marRight w:val="0"/>
      <w:marTop w:val="0"/>
      <w:marBottom w:val="0"/>
      <w:divBdr>
        <w:top w:val="none" w:sz="0" w:space="0" w:color="auto"/>
        <w:left w:val="none" w:sz="0" w:space="0" w:color="auto"/>
        <w:bottom w:val="none" w:sz="0" w:space="0" w:color="auto"/>
        <w:right w:val="none" w:sz="0" w:space="0" w:color="auto"/>
      </w:divBdr>
    </w:div>
    <w:div w:id="1994328458">
      <w:bodyDiv w:val="1"/>
      <w:marLeft w:val="0"/>
      <w:marRight w:val="0"/>
      <w:marTop w:val="0"/>
      <w:marBottom w:val="0"/>
      <w:divBdr>
        <w:top w:val="none" w:sz="0" w:space="0" w:color="auto"/>
        <w:left w:val="none" w:sz="0" w:space="0" w:color="auto"/>
        <w:bottom w:val="none" w:sz="0" w:space="0" w:color="auto"/>
        <w:right w:val="none" w:sz="0" w:space="0" w:color="auto"/>
      </w:divBdr>
    </w:div>
    <w:div w:id="1994406829">
      <w:bodyDiv w:val="1"/>
      <w:marLeft w:val="0"/>
      <w:marRight w:val="0"/>
      <w:marTop w:val="0"/>
      <w:marBottom w:val="0"/>
      <w:divBdr>
        <w:top w:val="none" w:sz="0" w:space="0" w:color="auto"/>
        <w:left w:val="none" w:sz="0" w:space="0" w:color="auto"/>
        <w:bottom w:val="none" w:sz="0" w:space="0" w:color="auto"/>
        <w:right w:val="none" w:sz="0" w:space="0" w:color="auto"/>
      </w:divBdr>
    </w:div>
    <w:div w:id="1994408748">
      <w:bodyDiv w:val="1"/>
      <w:marLeft w:val="0"/>
      <w:marRight w:val="0"/>
      <w:marTop w:val="0"/>
      <w:marBottom w:val="0"/>
      <w:divBdr>
        <w:top w:val="none" w:sz="0" w:space="0" w:color="auto"/>
        <w:left w:val="none" w:sz="0" w:space="0" w:color="auto"/>
        <w:bottom w:val="none" w:sz="0" w:space="0" w:color="auto"/>
        <w:right w:val="none" w:sz="0" w:space="0" w:color="auto"/>
      </w:divBdr>
    </w:div>
    <w:div w:id="1994605095">
      <w:bodyDiv w:val="1"/>
      <w:marLeft w:val="0"/>
      <w:marRight w:val="0"/>
      <w:marTop w:val="0"/>
      <w:marBottom w:val="0"/>
      <w:divBdr>
        <w:top w:val="none" w:sz="0" w:space="0" w:color="auto"/>
        <w:left w:val="none" w:sz="0" w:space="0" w:color="auto"/>
        <w:bottom w:val="none" w:sz="0" w:space="0" w:color="auto"/>
        <w:right w:val="none" w:sz="0" w:space="0" w:color="auto"/>
      </w:divBdr>
    </w:div>
    <w:div w:id="1995066326">
      <w:bodyDiv w:val="1"/>
      <w:marLeft w:val="0"/>
      <w:marRight w:val="0"/>
      <w:marTop w:val="0"/>
      <w:marBottom w:val="0"/>
      <w:divBdr>
        <w:top w:val="none" w:sz="0" w:space="0" w:color="auto"/>
        <w:left w:val="none" w:sz="0" w:space="0" w:color="auto"/>
        <w:bottom w:val="none" w:sz="0" w:space="0" w:color="auto"/>
        <w:right w:val="none" w:sz="0" w:space="0" w:color="auto"/>
      </w:divBdr>
    </w:div>
    <w:div w:id="1995134602">
      <w:bodyDiv w:val="1"/>
      <w:marLeft w:val="0"/>
      <w:marRight w:val="0"/>
      <w:marTop w:val="0"/>
      <w:marBottom w:val="0"/>
      <w:divBdr>
        <w:top w:val="none" w:sz="0" w:space="0" w:color="auto"/>
        <w:left w:val="none" w:sz="0" w:space="0" w:color="auto"/>
        <w:bottom w:val="none" w:sz="0" w:space="0" w:color="auto"/>
        <w:right w:val="none" w:sz="0" w:space="0" w:color="auto"/>
      </w:divBdr>
    </w:div>
    <w:div w:id="1995446602">
      <w:bodyDiv w:val="1"/>
      <w:marLeft w:val="0"/>
      <w:marRight w:val="0"/>
      <w:marTop w:val="0"/>
      <w:marBottom w:val="0"/>
      <w:divBdr>
        <w:top w:val="none" w:sz="0" w:space="0" w:color="auto"/>
        <w:left w:val="none" w:sz="0" w:space="0" w:color="auto"/>
        <w:bottom w:val="none" w:sz="0" w:space="0" w:color="auto"/>
        <w:right w:val="none" w:sz="0" w:space="0" w:color="auto"/>
      </w:divBdr>
    </w:div>
    <w:div w:id="1995525832">
      <w:bodyDiv w:val="1"/>
      <w:marLeft w:val="0"/>
      <w:marRight w:val="0"/>
      <w:marTop w:val="0"/>
      <w:marBottom w:val="0"/>
      <w:divBdr>
        <w:top w:val="none" w:sz="0" w:space="0" w:color="auto"/>
        <w:left w:val="none" w:sz="0" w:space="0" w:color="auto"/>
        <w:bottom w:val="none" w:sz="0" w:space="0" w:color="auto"/>
        <w:right w:val="none" w:sz="0" w:space="0" w:color="auto"/>
      </w:divBdr>
    </w:div>
    <w:div w:id="1995907948">
      <w:bodyDiv w:val="1"/>
      <w:marLeft w:val="0"/>
      <w:marRight w:val="0"/>
      <w:marTop w:val="0"/>
      <w:marBottom w:val="0"/>
      <w:divBdr>
        <w:top w:val="none" w:sz="0" w:space="0" w:color="auto"/>
        <w:left w:val="none" w:sz="0" w:space="0" w:color="auto"/>
        <w:bottom w:val="none" w:sz="0" w:space="0" w:color="auto"/>
        <w:right w:val="none" w:sz="0" w:space="0" w:color="auto"/>
      </w:divBdr>
    </w:div>
    <w:div w:id="1996033842">
      <w:bodyDiv w:val="1"/>
      <w:marLeft w:val="0"/>
      <w:marRight w:val="0"/>
      <w:marTop w:val="0"/>
      <w:marBottom w:val="0"/>
      <w:divBdr>
        <w:top w:val="none" w:sz="0" w:space="0" w:color="auto"/>
        <w:left w:val="none" w:sz="0" w:space="0" w:color="auto"/>
        <w:bottom w:val="none" w:sz="0" w:space="0" w:color="auto"/>
        <w:right w:val="none" w:sz="0" w:space="0" w:color="auto"/>
      </w:divBdr>
    </w:div>
    <w:div w:id="1996255103">
      <w:bodyDiv w:val="1"/>
      <w:marLeft w:val="0"/>
      <w:marRight w:val="0"/>
      <w:marTop w:val="0"/>
      <w:marBottom w:val="0"/>
      <w:divBdr>
        <w:top w:val="none" w:sz="0" w:space="0" w:color="auto"/>
        <w:left w:val="none" w:sz="0" w:space="0" w:color="auto"/>
        <w:bottom w:val="none" w:sz="0" w:space="0" w:color="auto"/>
        <w:right w:val="none" w:sz="0" w:space="0" w:color="auto"/>
      </w:divBdr>
    </w:div>
    <w:div w:id="1996255308">
      <w:bodyDiv w:val="1"/>
      <w:marLeft w:val="0"/>
      <w:marRight w:val="0"/>
      <w:marTop w:val="0"/>
      <w:marBottom w:val="0"/>
      <w:divBdr>
        <w:top w:val="none" w:sz="0" w:space="0" w:color="auto"/>
        <w:left w:val="none" w:sz="0" w:space="0" w:color="auto"/>
        <w:bottom w:val="none" w:sz="0" w:space="0" w:color="auto"/>
        <w:right w:val="none" w:sz="0" w:space="0" w:color="auto"/>
      </w:divBdr>
    </w:div>
    <w:div w:id="1996645755">
      <w:bodyDiv w:val="1"/>
      <w:marLeft w:val="0"/>
      <w:marRight w:val="0"/>
      <w:marTop w:val="0"/>
      <w:marBottom w:val="0"/>
      <w:divBdr>
        <w:top w:val="none" w:sz="0" w:space="0" w:color="auto"/>
        <w:left w:val="none" w:sz="0" w:space="0" w:color="auto"/>
        <w:bottom w:val="none" w:sz="0" w:space="0" w:color="auto"/>
        <w:right w:val="none" w:sz="0" w:space="0" w:color="auto"/>
      </w:divBdr>
    </w:div>
    <w:div w:id="1996832278">
      <w:bodyDiv w:val="1"/>
      <w:marLeft w:val="0"/>
      <w:marRight w:val="0"/>
      <w:marTop w:val="0"/>
      <w:marBottom w:val="0"/>
      <w:divBdr>
        <w:top w:val="none" w:sz="0" w:space="0" w:color="auto"/>
        <w:left w:val="none" w:sz="0" w:space="0" w:color="auto"/>
        <w:bottom w:val="none" w:sz="0" w:space="0" w:color="auto"/>
        <w:right w:val="none" w:sz="0" w:space="0" w:color="auto"/>
      </w:divBdr>
    </w:div>
    <w:div w:id="1996835539">
      <w:bodyDiv w:val="1"/>
      <w:marLeft w:val="0"/>
      <w:marRight w:val="0"/>
      <w:marTop w:val="0"/>
      <w:marBottom w:val="0"/>
      <w:divBdr>
        <w:top w:val="none" w:sz="0" w:space="0" w:color="auto"/>
        <w:left w:val="none" w:sz="0" w:space="0" w:color="auto"/>
        <w:bottom w:val="none" w:sz="0" w:space="0" w:color="auto"/>
        <w:right w:val="none" w:sz="0" w:space="0" w:color="auto"/>
      </w:divBdr>
    </w:div>
    <w:div w:id="1996907530">
      <w:bodyDiv w:val="1"/>
      <w:marLeft w:val="0"/>
      <w:marRight w:val="0"/>
      <w:marTop w:val="0"/>
      <w:marBottom w:val="0"/>
      <w:divBdr>
        <w:top w:val="none" w:sz="0" w:space="0" w:color="auto"/>
        <w:left w:val="none" w:sz="0" w:space="0" w:color="auto"/>
        <w:bottom w:val="none" w:sz="0" w:space="0" w:color="auto"/>
        <w:right w:val="none" w:sz="0" w:space="0" w:color="auto"/>
      </w:divBdr>
    </w:div>
    <w:div w:id="1996912902">
      <w:bodyDiv w:val="1"/>
      <w:marLeft w:val="0"/>
      <w:marRight w:val="0"/>
      <w:marTop w:val="0"/>
      <w:marBottom w:val="0"/>
      <w:divBdr>
        <w:top w:val="none" w:sz="0" w:space="0" w:color="auto"/>
        <w:left w:val="none" w:sz="0" w:space="0" w:color="auto"/>
        <w:bottom w:val="none" w:sz="0" w:space="0" w:color="auto"/>
        <w:right w:val="none" w:sz="0" w:space="0" w:color="auto"/>
      </w:divBdr>
    </w:div>
    <w:div w:id="1996949934">
      <w:bodyDiv w:val="1"/>
      <w:marLeft w:val="0"/>
      <w:marRight w:val="0"/>
      <w:marTop w:val="0"/>
      <w:marBottom w:val="0"/>
      <w:divBdr>
        <w:top w:val="none" w:sz="0" w:space="0" w:color="auto"/>
        <w:left w:val="none" w:sz="0" w:space="0" w:color="auto"/>
        <w:bottom w:val="none" w:sz="0" w:space="0" w:color="auto"/>
        <w:right w:val="none" w:sz="0" w:space="0" w:color="auto"/>
      </w:divBdr>
    </w:div>
    <w:div w:id="1997029067">
      <w:bodyDiv w:val="1"/>
      <w:marLeft w:val="0"/>
      <w:marRight w:val="0"/>
      <w:marTop w:val="0"/>
      <w:marBottom w:val="0"/>
      <w:divBdr>
        <w:top w:val="none" w:sz="0" w:space="0" w:color="auto"/>
        <w:left w:val="none" w:sz="0" w:space="0" w:color="auto"/>
        <w:bottom w:val="none" w:sz="0" w:space="0" w:color="auto"/>
        <w:right w:val="none" w:sz="0" w:space="0" w:color="auto"/>
      </w:divBdr>
    </w:div>
    <w:div w:id="1997419144">
      <w:bodyDiv w:val="1"/>
      <w:marLeft w:val="0"/>
      <w:marRight w:val="0"/>
      <w:marTop w:val="0"/>
      <w:marBottom w:val="0"/>
      <w:divBdr>
        <w:top w:val="none" w:sz="0" w:space="0" w:color="auto"/>
        <w:left w:val="none" w:sz="0" w:space="0" w:color="auto"/>
        <w:bottom w:val="none" w:sz="0" w:space="0" w:color="auto"/>
        <w:right w:val="none" w:sz="0" w:space="0" w:color="auto"/>
      </w:divBdr>
    </w:div>
    <w:div w:id="1997562110">
      <w:bodyDiv w:val="1"/>
      <w:marLeft w:val="0"/>
      <w:marRight w:val="0"/>
      <w:marTop w:val="0"/>
      <w:marBottom w:val="0"/>
      <w:divBdr>
        <w:top w:val="none" w:sz="0" w:space="0" w:color="auto"/>
        <w:left w:val="none" w:sz="0" w:space="0" w:color="auto"/>
        <w:bottom w:val="none" w:sz="0" w:space="0" w:color="auto"/>
        <w:right w:val="none" w:sz="0" w:space="0" w:color="auto"/>
      </w:divBdr>
    </w:div>
    <w:div w:id="1997803458">
      <w:bodyDiv w:val="1"/>
      <w:marLeft w:val="0"/>
      <w:marRight w:val="0"/>
      <w:marTop w:val="0"/>
      <w:marBottom w:val="0"/>
      <w:divBdr>
        <w:top w:val="none" w:sz="0" w:space="0" w:color="auto"/>
        <w:left w:val="none" w:sz="0" w:space="0" w:color="auto"/>
        <w:bottom w:val="none" w:sz="0" w:space="0" w:color="auto"/>
        <w:right w:val="none" w:sz="0" w:space="0" w:color="auto"/>
      </w:divBdr>
    </w:div>
    <w:div w:id="1997831066">
      <w:bodyDiv w:val="1"/>
      <w:marLeft w:val="0"/>
      <w:marRight w:val="0"/>
      <w:marTop w:val="0"/>
      <w:marBottom w:val="0"/>
      <w:divBdr>
        <w:top w:val="none" w:sz="0" w:space="0" w:color="auto"/>
        <w:left w:val="none" w:sz="0" w:space="0" w:color="auto"/>
        <w:bottom w:val="none" w:sz="0" w:space="0" w:color="auto"/>
        <w:right w:val="none" w:sz="0" w:space="0" w:color="auto"/>
      </w:divBdr>
    </w:div>
    <w:div w:id="1998147923">
      <w:bodyDiv w:val="1"/>
      <w:marLeft w:val="0"/>
      <w:marRight w:val="0"/>
      <w:marTop w:val="0"/>
      <w:marBottom w:val="0"/>
      <w:divBdr>
        <w:top w:val="none" w:sz="0" w:space="0" w:color="auto"/>
        <w:left w:val="none" w:sz="0" w:space="0" w:color="auto"/>
        <w:bottom w:val="none" w:sz="0" w:space="0" w:color="auto"/>
        <w:right w:val="none" w:sz="0" w:space="0" w:color="auto"/>
      </w:divBdr>
    </w:div>
    <w:div w:id="1998150591">
      <w:bodyDiv w:val="1"/>
      <w:marLeft w:val="0"/>
      <w:marRight w:val="0"/>
      <w:marTop w:val="0"/>
      <w:marBottom w:val="0"/>
      <w:divBdr>
        <w:top w:val="none" w:sz="0" w:space="0" w:color="auto"/>
        <w:left w:val="none" w:sz="0" w:space="0" w:color="auto"/>
        <w:bottom w:val="none" w:sz="0" w:space="0" w:color="auto"/>
        <w:right w:val="none" w:sz="0" w:space="0" w:color="auto"/>
      </w:divBdr>
    </w:div>
    <w:div w:id="1998266953">
      <w:bodyDiv w:val="1"/>
      <w:marLeft w:val="0"/>
      <w:marRight w:val="0"/>
      <w:marTop w:val="0"/>
      <w:marBottom w:val="0"/>
      <w:divBdr>
        <w:top w:val="none" w:sz="0" w:space="0" w:color="auto"/>
        <w:left w:val="none" w:sz="0" w:space="0" w:color="auto"/>
        <w:bottom w:val="none" w:sz="0" w:space="0" w:color="auto"/>
        <w:right w:val="none" w:sz="0" w:space="0" w:color="auto"/>
      </w:divBdr>
    </w:div>
    <w:div w:id="1998340082">
      <w:bodyDiv w:val="1"/>
      <w:marLeft w:val="0"/>
      <w:marRight w:val="0"/>
      <w:marTop w:val="0"/>
      <w:marBottom w:val="0"/>
      <w:divBdr>
        <w:top w:val="none" w:sz="0" w:space="0" w:color="auto"/>
        <w:left w:val="none" w:sz="0" w:space="0" w:color="auto"/>
        <w:bottom w:val="none" w:sz="0" w:space="0" w:color="auto"/>
        <w:right w:val="none" w:sz="0" w:space="0" w:color="auto"/>
      </w:divBdr>
    </w:div>
    <w:div w:id="1998411579">
      <w:bodyDiv w:val="1"/>
      <w:marLeft w:val="0"/>
      <w:marRight w:val="0"/>
      <w:marTop w:val="0"/>
      <w:marBottom w:val="0"/>
      <w:divBdr>
        <w:top w:val="none" w:sz="0" w:space="0" w:color="auto"/>
        <w:left w:val="none" w:sz="0" w:space="0" w:color="auto"/>
        <w:bottom w:val="none" w:sz="0" w:space="0" w:color="auto"/>
        <w:right w:val="none" w:sz="0" w:space="0" w:color="auto"/>
      </w:divBdr>
    </w:div>
    <w:div w:id="1998485752">
      <w:bodyDiv w:val="1"/>
      <w:marLeft w:val="0"/>
      <w:marRight w:val="0"/>
      <w:marTop w:val="0"/>
      <w:marBottom w:val="0"/>
      <w:divBdr>
        <w:top w:val="none" w:sz="0" w:space="0" w:color="auto"/>
        <w:left w:val="none" w:sz="0" w:space="0" w:color="auto"/>
        <w:bottom w:val="none" w:sz="0" w:space="0" w:color="auto"/>
        <w:right w:val="none" w:sz="0" w:space="0" w:color="auto"/>
      </w:divBdr>
    </w:div>
    <w:div w:id="1998530272">
      <w:bodyDiv w:val="1"/>
      <w:marLeft w:val="0"/>
      <w:marRight w:val="0"/>
      <w:marTop w:val="0"/>
      <w:marBottom w:val="0"/>
      <w:divBdr>
        <w:top w:val="none" w:sz="0" w:space="0" w:color="auto"/>
        <w:left w:val="none" w:sz="0" w:space="0" w:color="auto"/>
        <w:bottom w:val="none" w:sz="0" w:space="0" w:color="auto"/>
        <w:right w:val="none" w:sz="0" w:space="0" w:color="auto"/>
      </w:divBdr>
    </w:div>
    <w:div w:id="1998533400">
      <w:bodyDiv w:val="1"/>
      <w:marLeft w:val="0"/>
      <w:marRight w:val="0"/>
      <w:marTop w:val="0"/>
      <w:marBottom w:val="0"/>
      <w:divBdr>
        <w:top w:val="none" w:sz="0" w:space="0" w:color="auto"/>
        <w:left w:val="none" w:sz="0" w:space="0" w:color="auto"/>
        <w:bottom w:val="none" w:sz="0" w:space="0" w:color="auto"/>
        <w:right w:val="none" w:sz="0" w:space="0" w:color="auto"/>
      </w:divBdr>
    </w:div>
    <w:div w:id="1998726328">
      <w:bodyDiv w:val="1"/>
      <w:marLeft w:val="0"/>
      <w:marRight w:val="0"/>
      <w:marTop w:val="0"/>
      <w:marBottom w:val="0"/>
      <w:divBdr>
        <w:top w:val="none" w:sz="0" w:space="0" w:color="auto"/>
        <w:left w:val="none" w:sz="0" w:space="0" w:color="auto"/>
        <w:bottom w:val="none" w:sz="0" w:space="0" w:color="auto"/>
        <w:right w:val="none" w:sz="0" w:space="0" w:color="auto"/>
      </w:divBdr>
    </w:div>
    <w:div w:id="1998726359">
      <w:bodyDiv w:val="1"/>
      <w:marLeft w:val="0"/>
      <w:marRight w:val="0"/>
      <w:marTop w:val="0"/>
      <w:marBottom w:val="0"/>
      <w:divBdr>
        <w:top w:val="none" w:sz="0" w:space="0" w:color="auto"/>
        <w:left w:val="none" w:sz="0" w:space="0" w:color="auto"/>
        <w:bottom w:val="none" w:sz="0" w:space="0" w:color="auto"/>
        <w:right w:val="none" w:sz="0" w:space="0" w:color="auto"/>
      </w:divBdr>
    </w:div>
    <w:div w:id="1998731139">
      <w:bodyDiv w:val="1"/>
      <w:marLeft w:val="0"/>
      <w:marRight w:val="0"/>
      <w:marTop w:val="0"/>
      <w:marBottom w:val="0"/>
      <w:divBdr>
        <w:top w:val="none" w:sz="0" w:space="0" w:color="auto"/>
        <w:left w:val="none" w:sz="0" w:space="0" w:color="auto"/>
        <w:bottom w:val="none" w:sz="0" w:space="0" w:color="auto"/>
        <w:right w:val="none" w:sz="0" w:space="0" w:color="auto"/>
      </w:divBdr>
    </w:div>
    <w:div w:id="1999065987">
      <w:bodyDiv w:val="1"/>
      <w:marLeft w:val="0"/>
      <w:marRight w:val="0"/>
      <w:marTop w:val="0"/>
      <w:marBottom w:val="0"/>
      <w:divBdr>
        <w:top w:val="none" w:sz="0" w:space="0" w:color="auto"/>
        <w:left w:val="none" w:sz="0" w:space="0" w:color="auto"/>
        <w:bottom w:val="none" w:sz="0" w:space="0" w:color="auto"/>
        <w:right w:val="none" w:sz="0" w:space="0" w:color="auto"/>
      </w:divBdr>
    </w:div>
    <w:div w:id="1999184400">
      <w:bodyDiv w:val="1"/>
      <w:marLeft w:val="0"/>
      <w:marRight w:val="0"/>
      <w:marTop w:val="0"/>
      <w:marBottom w:val="0"/>
      <w:divBdr>
        <w:top w:val="none" w:sz="0" w:space="0" w:color="auto"/>
        <w:left w:val="none" w:sz="0" w:space="0" w:color="auto"/>
        <w:bottom w:val="none" w:sz="0" w:space="0" w:color="auto"/>
        <w:right w:val="none" w:sz="0" w:space="0" w:color="auto"/>
      </w:divBdr>
    </w:div>
    <w:div w:id="1999264244">
      <w:bodyDiv w:val="1"/>
      <w:marLeft w:val="0"/>
      <w:marRight w:val="0"/>
      <w:marTop w:val="0"/>
      <w:marBottom w:val="0"/>
      <w:divBdr>
        <w:top w:val="none" w:sz="0" w:space="0" w:color="auto"/>
        <w:left w:val="none" w:sz="0" w:space="0" w:color="auto"/>
        <w:bottom w:val="none" w:sz="0" w:space="0" w:color="auto"/>
        <w:right w:val="none" w:sz="0" w:space="0" w:color="auto"/>
      </w:divBdr>
    </w:div>
    <w:div w:id="1999338685">
      <w:bodyDiv w:val="1"/>
      <w:marLeft w:val="0"/>
      <w:marRight w:val="0"/>
      <w:marTop w:val="0"/>
      <w:marBottom w:val="0"/>
      <w:divBdr>
        <w:top w:val="none" w:sz="0" w:space="0" w:color="auto"/>
        <w:left w:val="none" w:sz="0" w:space="0" w:color="auto"/>
        <w:bottom w:val="none" w:sz="0" w:space="0" w:color="auto"/>
        <w:right w:val="none" w:sz="0" w:space="0" w:color="auto"/>
      </w:divBdr>
    </w:div>
    <w:div w:id="1999338966">
      <w:bodyDiv w:val="1"/>
      <w:marLeft w:val="0"/>
      <w:marRight w:val="0"/>
      <w:marTop w:val="0"/>
      <w:marBottom w:val="0"/>
      <w:divBdr>
        <w:top w:val="none" w:sz="0" w:space="0" w:color="auto"/>
        <w:left w:val="none" w:sz="0" w:space="0" w:color="auto"/>
        <w:bottom w:val="none" w:sz="0" w:space="0" w:color="auto"/>
        <w:right w:val="none" w:sz="0" w:space="0" w:color="auto"/>
      </w:divBdr>
    </w:div>
    <w:div w:id="1999379564">
      <w:bodyDiv w:val="1"/>
      <w:marLeft w:val="0"/>
      <w:marRight w:val="0"/>
      <w:marTop w:val="0"/>
      <w:marBottom w:val="0"/>
      <w:divBdr>
        <w:top w:val="none" w:sz="0" w:space="0" w:color="auto"/>
        <w:left w:val="none" w:sz="0" w:space="0" w:color="auto"/>
        <w:bottom w:val="none" w:sz="0" w:space="0" w:color="auto"/>
        <w:right w:val="none" w:sz="0" w:space="0" w:color="auto"/>
      </w:divBdr>
    </w:div>
    <w:div w:id="1999385739">
      <w:bodyDiv w:val="1"/>
      <w:marLeft w:val="0"/>
      <w:marRight w:val="0"/>
      <w:marTop w:val="0"/>
      <w:marBottom w:val="0"/>
      <w:divBdr>
        <w:top w:val="none" w:sz="0" w:space="0" w:color="auto"/>
        <w:left w:val="none" w:sz="0" w:space="0" w:color="auto"/>
        <w:bottom w:val="none" w:sz="0" w:space="0" w:color="auto"/>
        <w:right w:val="none" w:sz="0" w:space="0" w:color="auto"/>
      </w:divBdr>
    </w:div>
    <w:div w:id="1999458463">
      <w:bodyDiv w:val="1"/>
      <w:marLeft w:val="0"/>
      <w:marRight w:val="0"/>
      <w:marTop w:val="0"/>
      <w:marBottom w:val="0"/>
      <w:divBdr>
        <w:top w:val="none" w:sz="0" w:space="0" w:color="auto"/>
        <w:left w:val="none" w:sz="0" w:space="0" w:color="auto"/>
        <w:bottom w:val="none" w:sz="0" w:space="0" w:color="auto"/>
        <w:right w:val="none" w:sz="0" w:space="0" w:color="auto"/>
      </w:divBdr>
    </w:div>
    <w:div w:id="1999576611">
      <w:bodyDiv w:val="1"/>
      <w:marLeft w:val="0"/>
      <w:marRight w:val="0"/>
      <w:marTop w:val="0"/>
      <w:marBottom w:val="0"/>
      <w:divBdr>
        <w:top w:val="none" w:sz="0" w:space="0" w:color="auto"/>
        <w:left w:val="none" w:sz="0" w:space="0" w:color="auto"/>
        <w:bottom w:val="none" w:sz="0" w:space="0" w:color="auto"/>
        <w:right w:val="none" w:sz="0" w:space="0" w:color="auto"/>
      </w:divBdr>
    </w:div>
    <w:div w:id="1999728010">
      <w:bodyDiv w:val="1"/>
      <w:marLeft w:val="0"/>
      <w:marRight w:val="0"/>
      <w:marTop w:val="0"/>
      <w:marBottom w:val="0"/>
      <w:divBdr>
        <w:top w:val="none" w:sz="0" w:space="0" w:color="auto"/>
        <w:left w:val="none" w:sz="0" w:space="0" w:color="auto"/>
        <w:bottom w:val="none" w:sz="0" w:space="0" w:color="auto"/>
        <w:right w:val="none" w:sz="0" w:space="0" w:color="auto"/>
      </w:divBdr>
    </w:div>
    <w:div w:id="1999964670">
      <w:bodyDiv w:val="1"/>
      <w:marLeft w:val="0"/>
      <w:marRight w:val="0"/>
      <w:marTop w:val="0"/>
      <w:marBottom w:val="0"/>
      <w:divBdr>
        <w:top w:val="none" w:sz="0" w:space="0" w:color="auto"/>
        <w:left w:val="none" w:sz="0" w:space="0" w:color="auto"/>
        <w:bottom w:val="none" w:sz="0" w:space="0" w:color="auto"/>
        <w:right w:val="none" w:sz="0" w:space="0" w:color="auto"/>
      </w:divBdr>
    </w:div>
    <w:div w:id="1999994542">
      <w:bodyDiv w:val="1"/>
      <w:marLeft w:val="0"/>
      <w:marRight w:val="0"/>
      <w:marTop w:val="0"/>
      <w:marBottom w:val="0"/>
      <w:divBdr>
        <w:top w:val="none" w:sz="0" w:space="0" w:color="auto"/>
        <w:left w:val="none" w:sz="0" w:space="0" w:color="auto"/>
        <w:bottom w:val="none" w:sz="0" w:space="0" w:color="auto"/>
        <w:right w:val="none" w:sz="0" w:space="0" w:color="auto"/>
      </w:divBdr>
    </w:div>
    <w:div w:id="2000185196">
      <w:bodyDiv w:val="1"/>
      <w:marLeft w:val="0"/>
      <w:marRight w:val="0"/>
      <w:marTop w:val="0"/>
      <w:marBottom w:val="0"/>
      <w:divBdr>
        <w:top w:val="none" w:sz="0" w:space="0" w:color="auto"/>
        <w:left w:val="none" w:sz="0" w:space="0" w:color="auto"/>
        <w:bottom w:val="none" w:sz="0" w:space="0" w:color="auto"/>
        <w:right w:val="none" w:sz="0" w:space="0" w:color="auto"/>
      </w:divBdr>
    </w:div>
    <w:div w:id="2000189866">
      <w:bodyDiv w:val="1"/>
      <w:marLeft w:val="0"/>
      <w:marRight w:val="0"/>
      <w:marTop w:val="0"/>
      <w:marBottom w:val="0"/>
      <w:divBdr>
        <w:top w:val="none" w:sz="0" w:space="0" w:color="auto"/>
        <w:left w:val="none" w:sz="0" w:space="0" w:color="auto"/>
        <w:bottom w:val="none" w:sz="0" w:space="0" w:color="auto"/>
        <w:right w:val="none" w:sz="0" w:space="0" w:color="auto"/>
      </w:divBdr>
    </w:div>
    <w:div w:id="2000306197">
      <w:bodyDiv w:val="1"/>
      <w:marLeft w:val="0"/>
      <w:marRight w:val="0"/>
      <w:marTop w:val="0"/>
      <w:marBottom w:val="0"/>
      <w:divBdr>
        <w:top w:val="none" w:sz="0" w:space="0" w:color="auto"/>
        <w:left w:val="none" w:sz="0" w:space="0" w:color="auto"/>
        <w:bottom w:val="none" w:sz="0" w:space="0" w:color="auto"/>
        <w:right w:val="none" w:sz="0" w:space="0" w:color="auto"/>
      </w:divBdr>
    </w:div>
    <w:div w:id="2000422738">
      <w:bodyDiv w:val="1"/>
      <w:marLeft w:val="0"/>
      <w:marRight w:val="0"/>
      <w:marTop w:val="0"/>
      <w:marBottom w:val="0"/>
      <w:divBdr>
        <w:top w:val="none" w:sz="0" w:space="0" w:color="auto"/>
        <w:left w:val="none" w:sz="0" w:space="0" w:color="auto"/>
        <w:bottom w:val="none" w:sz="0" w:space="0" w:color="auto"/>
        <w:right w:val="none" w:sz="0" w:space="0" w:color="auto"/>
      </w:divBdr>
    </w:div>
    <w:div w:id="2000881173">
      <w:bodyDiv w:val="1"/>
      <w:marLeft w:val="0"/>
      <w:marRight w:val="0"/>
      <w:marTop w:val="0"/>
      <w:marBottom w:val="0"/>
      <w:divBdr>
        <w:top w:val="none" w:sz="0" w:space="0" w:color="auto"/>
        <w:left w:val="none" w:sz="0" w:space="0" w:color="auto"/>
        <w:bottom w:val="none" w:sz="0" w:space="0" w:color="auto"/>
        <w:right w:val="none" w:sz="0" w:space="0" w:color="auto"/>
      </w:divBdr>
    </w:div>
    <w:div w:id="2000884780">
      <w:bodyDiv w:val="1"/>
      <w:marLeft w:val="0"/>
      <w:marRight w:val="0"/>
      <w:marTop w:val="0"/>
      <w:marBottom w:val="0"/>
      <w:divBdr>
        <w:top w:val="none" w:sz="0" w:space="0" w:color="auto"/>
        <w:left w:val="none" w:sz="0" w:space="0" w:color="auto"/>
        <w:bottom w:val="none" w:sz="0" w:space="0" w:color="auto"/>
        <w:right w:val="none" w:sz="0" w:space="0" w:color="auto"/>
      </w:divBdr>
    </w:div>
    <w:div w:id="2001352423">
      <w:bodyDiv w:val="1"/>
      <w:marLeft w:val="0"/>
      <w:marRight w:val="0"/>
      <w:marTop w:val="0"/>
      <w:marBottom w:val="0"/>
      <w:divBdr>
        <w:top w:val="none" w:sz="0" w:space="0" w:color="auto"/>
        <w:left w:val="none" w:sz="0" w:space="0" w:color="auto"/>
        <w:bottom w:val="none" w:sz="0" w:space="0" w:color="auto"/>
        <w:right w:val="none" w:sz="0" w:space="0" w:color="auto"/>
      </w:divBdr>
    </w:div>
    <w:div w:id="2001881586">
      <w:bodyDiv w:val="1"/>
      <w:marLeft w:val="0"/>
      <w:marRight w:val="0"/>
      <w:marTop w:val="0"/>
      <w:marBottom w:val="0"/>
      <w:divBdr>
        <w:top w:val="none" w:sz="0" w:space="0" w:color="auto"/>
        <w:left w:val="none" w:sz="0" w:space="0" w:color="auto"/>
        <w:bottom w:val="none" w:sz="0" w:space="0" w:color="auto"/>
        <w:right w:val="none" w:sz="0" w:space="0" w:color="auto"/>
      </w:divBdr>
    </w:div>
    <w:div w:id="2001889319">
      <w:bodyDiv w:val="1"/>
      <w:marLeft w:val="0"/>
      <w:marRight w:val="0"/>
      <w:marTop w:val="0"/>
      <w:marBottom w:val="0"/>
      <w:divBdr>
        <w:top w:val="none" w:sz="0" w:space="0" w:color="auto"/>
        <w:left w:val="none" w:sz="0" w:space="0" w:color="auto"/>
        <w:bottom w:val="none" w:sz="0" w:space="0" w:color="auto"/>
        <w:right w:val="none" w:sz="0" w:space="0" w:color="auto"/>
      </w:divBdr>
    </w:div>
    <w:div w:id="2002151905">
      <w:bodyDiv w:val="1"/>
      <w:marLeft w:val="0"/>
      <w:marRight w:val="0"/>
      <w:marTop w:val="0"/>
      <w:marBottom w:val="0"/>
      <w:divBdr>
        <w:top w:val="none" w:sz="0" w:space="0" w:color="auto"/>
        <w:left w:val="none" w:sz="0" w:space="0" w:color="auto"/>
        <w:bottom w:val="none" w:sz="0" w:space="0" w:color="auto"/>
        <w:right w:val="none" w:sz="0" w:space="0" w:color="auto"/>
      </w:divBdr>
    </w:div>
    <w:div w:id="2002156477">
      <w:bodyDiv w:val="1"/>
      <w:marLeft w:val="0"/>
      <w:marRight w:val="0"/>
      <w:marTop w:val="0"/>
      <w:marBottom w:val="0"/>
      <w:divBdr>
        <w:top w:val="none" w:sz="0" w:space="0" w:color="auto"/>
        <w:left w:val="none" w:sz="0" w:space="0" w:color="auto"/>
        <w:bottom w:val="none" w:sz="0" w:space="0" w:color="auto"/>
        <w:right w:val="none" w:sz="0" w:space="0" w:color="auto"/>
      </w:divBdr>
    </w:div>
    <w:div w:id="2002270858">
      <w:bodyDiv w:val="1"/>
      <w:marLeft w:val="0"/>
      <w:marRight w:val="0"/>
      <w:marTop w:val="0"/>
      <w:marBottom w:val="0"/>
      <w:divBdr>
        <w:top w:val="none" w:sz="0" w:space="0" w:color="auto"/>
        <w:left w:val="none" w:sz="0" w:space="0" w:color="auto"/>
        <w:bottom w:val="none" w:sz="0" w:space="0" w:color="auto"/>
        <w:right w:val="none" w:sz="0" w:space="0" w:color="auto"/>
      </w:divBdr>
    </w:div>
    <w:div w:id="2002273028">
      <w:bodyDiv w:val="1"/>
      <w:marLeft w:val="0"/>
      <w:marRight w:val="0"/>
      <w:marTop w:val="0"/>
      <w:marBottom w:val="0"/>
      <w:divBdr>
        <w:top w:val="none" w:sz="0" w:space="0" w:color="auto"/>
        <w:left w:val="none" w:sz="0" w:space="0" w:color="auto"/>
        <w:bottom w:val="none" w:sz="0" w:space="0" w:color="auto"/>
        <w:right w:val="none" w:sz="0" w:space="0" w:color="auto"/>
      </w:divBdr>
    </w:div>
    <w:div w:id="2002344851">
      <w:bodyDiv w:val="1"/>
      <w:marLeft w:val="0"/>
      <w:marRight w:val="0"/>
      <w:marTop w:val="0"/>
      <w:marBottom w:val="0"/>
      <w:divBdr>
        <w:top w:val="none" w:sz="0" w:space="0" w:color="auto"/>
        <w:left w:val="none" w:sz="0" w:space="0" w:color="auto"/>
        <w:bottom w:val="none" w:sz="0" w:space="0" w:color="auto"/>
        <w:right w:val="none" w:sz="0" w:space="0" w:color="auto"/>
      </w:divBdr>
    </w:div>
    <w:div w:id="2002464523">
      <w:bodyDiv w:val="1"/>
      <w:marLeft w:val="0"/>
      <w:marRight w:val="0"/>
      <w:marTop w:val="0"/>
      <w:marBottom w:val="0"/>
      <w:divBdr>
        <w:top w:val="none" w:sz="0" w:space="0" w:color="auto"/>
        <w:left w:val="none" w:sz="0" w:space="0" w:color="auto"/>
        <w:bottom w:val="none" w:sz="0" w:space="0" w:color="auto"/>
        <w:right w:val="none" w:sz="0" w:space="0" w:color="auto"/>
      </w:divBdr>
    </w:div>
    <w:div w:id="2002654628">
      <w:bodyDiv w:val="1"/>
      <w:marLeft w:val="0"/>
      <w:marRight w:val="0"/>
      <w:marTop w:val="0"/>
      <w:marBottom w:val="0"/>
      <w:divBdr>
        <w:top w:val="none" w:sz="0" w:space="0" w:color="auto"/>
        <w:left w:val="none" w:sz="0" w:space="0" w:color="auto"/>
        <w:bottom w:val="none" w:sz="0" w:space="0" w:color="auto"/>
        <w:right w:val="none" w:sz="0" w:space="0" w:color="auto"/>
      </w:divBdr>
    </w:div>
    <w:div w:id="2002655147">
      <w:bodyDiv w:val="1"/>
      <w:marLeft w:val="0"/>
      <w:marRight w:val="0"/>
      <w:marTop w:val="0"/>
      <w:marBottom w:val="0"/>
      <w:divBdr>
        <w:top w:val="none" w:sz="0" w:space="0" w:color="auto"/>
        <w:left w:val="none" w:sz="0" w:space="0" w:color="auto"/>
        <w:bottom w:val="none" w:sz="0" w:space="0" w:color="auto"/>
        <w:right w:val="none" w:sz="0" w:space="0" w:color="auto"/>
      </w:divBdr>
    </w:div>
    <w:div w:id="2002735108">
      <w:bodyDiv w:val="1"/>
      <w:marLeft w:val="0"/>
      <w:marRight w:val="0"/>
      <w:marTop w:val="0"/>
      <w:marBottom w:val="0"/>
      <w:divBdr>
        <w:top w:val="none" w:sz="0" w:space="0" w:color="auto"/>
        <w:left w:val="none" w:sz="0" w:space="0" w:color="auto"/>
        <w:bottom w:val="none" w:sz="0" w:space="0" w:color="auto"/>
        <w:right w:val="none" w:sz="0" w:space="0" w:color="auto"/>
      </w:divBdr>
    </w:div>
    <w:div w:id="2002805439">
      <w:bodyDiv w:val="1"/>
      <w:marLeft w:val="0"/>
      <w:marRight w:val="0"/>
      <w:marTop w:val="0"/>
      <w:marBottom w:val="0"/>
      <w:divBdr>
        <w:top w:val="none" w:sz="0" w:space="0" w:color="auto"/>
        <w:left w:val="none" w:sz="0" w:space="0" w:color="auto"/>
        <w:bottom w:val="none" w:sz="0" w:space="0" w:color="auto"/>
        <w:right w:val="none" w:sz="0" w:space="0" w:color="auto"/>
      </w:divBdr>
    </w:div>
    <w:div w:id="2002925300">
      <w:bodyDiv w:val="1"/>
      <w:marLeft w:val="0"/>
      <w:marRight w:val="0"/>
      <w:marTop w:val="0"/>
      <w:marBottom w:val="0"/>
      <w:divBdr>
        <w:top w:val="none" w:sz="0" w:space="0" w:color="auto"/>
        <w:left w:val="none" w:sz="0" w:space="0" w:color="auto"/>
        <w:bottom w:val="none" w:sz="0" w:space="0" w:color="auto"/>
        <w:right w:val="none" w:sz="0" w:space="0" w:color="auto"/>
      </w:divBdr>
    </w:div>
    <w:div w:id="2002929514">
      <w:bodyDiv w:val="1"/>
      <w:marLeft w:val="0"/>
      <w:marRight w:val="0"/>
      <w:marTop w:val="0"/>
      <w:marBottom w:val="0"/>
      <w:divBdr>
        <w:top w:val="none" w:sz="0" w:space="0" w:color="auto"/>
        <w:left w:val="none" w:sz="0" w:space="0" w:color="auto"/>
        <w:bottom w:val="none" w:sz="0" w:space="0" w:color="auto"/>
        <w:right w:val="none" w:sz="0" w:space="0" w:color="auto"/>
      </w:divBdr>
    </w:div>
    <w:div w:id="2003578834">
      <w:bodyDiv w:val="1"/>
      <w:marLeft w:val="0"/>
      <w:marRight w:val="0"/>
      <w:marTop w:val="0"/>
      <w:marBottom w:val="0"/>
      <w:divBdr>
        <w:top w:val="none" w:sz="0" w:space="0" w:color="auto"/>
        <w:left w:val="none" w:sz="0" w:space="0" w:color="auto"/>
        <w:bottom w:val="none" w:sz="0" w:space="0" w:color="auto"/>
        <w:right w:val="none" w:sz="0" w:space="0" w:color="auto"/>
      </w:divBdr>
    </w:div>
    <w:div w:id="2003656004">
      <w:bodyDiv w:val="1"/>
      <w:marLeft w:val="0"/>
      <w:marRight w:val="0"/>
      <w:marTop w:val="0"/>
      <w:marBottom w:val="0"/>
      <w:divBdr>
        <w:top w:val="none" w:sz="0" w:space="0" w:color="auto"/>
        <w:left w:val="none" w:sz="0" w:space="0" w:color="auto"/>
        <w:bottom w:val="none" w:sz="0" w:space="0" w:color="auto"/>
        <w:right w:val="none" w:sz="0" w:space="0" w:color="auto"/>
      </w:divBdr>
    </w:div>
    <w:div w:id="2003658087">
      <w:bodyDiv w:val="1"/>
      <w:marLeft w:val="0"/>
      <w:marRight w:val="0"/>
      <w:marTop w:val="0"/>
      <w:marBottom w:val="0"/>
      <w:divBdr>
        <w:top w:val="none" w:sz="0" w:space="0" w:color="auto"/>
        <w:left w:val="none" w:sz="0" w:space="0" w:color="auto"/>
        <w:bottom w:val="none" w:sz="0" w:space="0" w:color="auto"/>
        <w:right w:val="none" w:sz="0" w:space="0" w:color="auto"/>
      </w:divBdr>
    </w:div>
    <w:div w:id="2003729652">
      <w:bodyDiv w:val="1"/>
      <w:marLeft w:val="0"/>
      <w:marRight w:val="0"/>
      <w:marTop w:val="0"/>
      <w:marBottom w:val="0"/>
      <w:divBdr>
        <w:top w:val="none" w:sz="0" w:space="0" w:color="auto"/>
        <w:left w:val="none" w:sz="0" w:space="0" w:color="auto"/>
        <w:bottom w:val="none" w:sz="0" w:space="0" w:color="auto"/>
        <w:right w:val="none" w:sz="0" w:space="0" w:color="auto"/>
      </w:divBdr>
    </w:div>
    <w:div w:id="2003772038">
      <w:bodyDiv w:val="1"/>
      <w:marLeft w:val="0"/>
      <w:marRight w:val="0"/>
      <w:marTop w:val="0"/>
      <w:marBottom w:val="0"/>
      <w:divBdr>
        <w:top w:val="none" w:sz="0" w:space="0" w:color="auto"/>
        <w:left w:val="none" w:sz="0" w:space="0" w:color="auto"/>
        <w:bottom w:val="none" w:sz="0" w:space="0" w:color="auto"/>
        <w:right w:val="none" w:sz="0" w:space="0" w:color="auto"/>
      </w:divBdr>
    </w:div>
    <w:div w:id="2003778133">
      <w:bodyDiv w:val="1"/>
      <w:marLeft w:val="0"/>
      <w:marRight w:val="0"/>
      <w:marTop w:val="0"/>
      <w:marBottom w:val="0"/>
      <w:divBdr>
        <w:top w:val="none" w:sz="0" w:space="0" w:color="auto"/>
        <w:left w:val="none" w:sz="0" w:space="0" w:color="auto"/>
        <w:bottom w:val="none" w:sz="0" w:space="0" w:color="auto"/>
        <w:right w:val="none" w:sz="0" w:space="0" w:color="auto"/>
      </w:divBdr>
    </w:div>
    <w:div w:id="2004118737">
      <w:bodyDiv w:val="1"/>
      <w:marLeft w:val="0"/>
      <w:marRight w:val="0"/>
      <w:marTop w:val="0"/>
      <w:marBottom w:val="0"/>
      <w:divBdr>
        <w:top w:val="none" w:sz="0" w:space="0" w:color="auto"/>
        <w:left w:val="none" w:sz="0" w:space="0" w:color="auto"/>
        <w:bottom w:val="none" w:sz="0" w:space="0" w:color="auto"/>
        <w:right w:val="none" w:sz="0" w:space="0" w:color="auto"/>
      </w:divBdr>
    </w:div>
    <w:div w:id="2004313801">
      <w:bodyDiv w:val="1"/>
      <w:marLeft w:val="0"/>
      <w:marRight w:val="0"/>
      <w:marTop w:val="0"/>
      <w:marBottom w:val="0"/>
      <w:divBdr>
        <w:top w:val="none" w:sz="0" w:space="0" w:color="auto"/>
        <w:left w:val="none" w:sz="0" w:space="0" w:color="auto"/>
        <w:bottom w:val="none" w:sz="0" w:space="0" w:color="auto"/>
        <w:right w:val="none" w:sz="0" w:space="0" w:color="auto"/>
      </w:divBdr>
    </w:div>
    <w:div w:id="2004501689">
      <w:bodyDiv w:val="1"/>
      <w:marLeft w:val="0"/>
      <w:marRight w:val="0"/>
      <w:marTop w:val="0"/>
      <w:marBottom w:val="0"/>
      <w:divBdr>
        <w:top w:val="none" w:sz="0" w:space="0" w:color="auto"/>
        <w:left w:val="none" w:sz="0" w:space="0" w:color="auto"/>
        <w:bottom w:val="none" w:sz="0" w:space="0" w:color="auto"/>
        <w:right w:val="none" w:sz="0" w:space="0" w:color="auto"/>
      </w:divBdr>
    </w:div>
    <w:div w:id="2004503562">
      <w:bodyDiv w:val="1"/>
      <w:marLeft w:val="0"/>
      <w:marRight w:val="0"/>
      <w:marTop w:val="0"/>
      <w:marBottom w:val="0"/>
      <w:divBdr>
        <w:top w:val="none" w:sz="0" w:space="0" w:color="auto"/>
        <w:left w:val="none" w:sz="0" w:space="0" w:color="auto"/>
        <w:bottom w:val="none" w:sz="0" w:space="0" w:color="auto"/>
        <w:right w:val="none" w:sz="0" w:space="0" w:color="auto"/>
      </w:divBdr>
    </w:div>
    <w:div w:id="2004505094">
      <w:bodyDiv w:val="1"/>
      <w:marLeft w:val="0"/>
      <w:marRight w:val="0"/>
      <w:marTop w:val="0"/>
      <w:marBottom w:val="0"/>
      <w:divBdr>
        <w:top w:val="none" w:sz="0" w:space="0" w:color="auto"/>
        <w:left w:val="none" w:sz="0" w:space="0" w:color="auto"/>
        <w:bottom w:val="none" w:sz="0" w:space="0" w:color="auto"/>
        <w:right w:val="none" w:sz="0" w:space="0" w:color="auto"/>
      </w:divBdr>
    </w:div>
    <w:div w:id="2004622611">
      <w:bodyDiv w:val="1"/>
      <w:marLeft w:val="0"/>
      <w:marRight w:val="0"/>
      <w:marTop w:val="0"/>
      <w:marBottom w:val="0"/>
      <w:divBdr>
        <w:top w:val="none" w:sz="0" w:space="0" w:color="auto"/>
        <w:left w:val="none" w:sz="0" w:space="0" w:color="auto"/>
        <w:bottom w:val="none" w:sz="0" w:space="0" w:color="auto"/>
        <w:right w:val="none" w:sz="0" w:space="0" w:color="auto"/>
      </w:divBdr>
    </w:div>
    <w:div w:id="2004819748">
      <w:bodyDiv w:val="1"/>
      <w:marLeft w:val="0"/>
      <w:marRight w:val="0"/>
      <w:marTop w:val="0"/>
      <w:marBottom w:val="0"/>
      <w:divBdr>
        <w:top w:val="none" w:sz="0" w:space="0" w:color="auto"/>
        <w:left w:val="none" w:sz="0" w:space="0" w:color="auto"/>
        <w:bottom w:val="none" w:sz="0" w:space="0" w:color="auto"/>
        <w:right w:val="none" w:sz="0" w:space="0" w:color="auto"/>
      </w:divBdr>
    </w:div>
    <w:div w:id="2004820823">
      <w:bodyDiv w:val="1"/>
      <w:marLeft w:val="0"/>
      <w:marRight w:val="0"/>
      <w:marTop w:val="0"/>
      <w:marBottom w:val="0"/>
      <w:divBdr>
        <w:top w:val="none" w:sz="0" w:space="0" w:color="auto"/>
        <w:left w:val="none" w:sz="0" w:space="0" w:color="auto"/>
        <w:bottom w:val="none" w:sz="0" w:space="0" w:color="auto"/>
        <w:right w:val="none" w:sz="0" w:space="0" w:color="auto"/>
      </w:divBdr>
    </w:div>
    <w:div w:id="2004821008">
      <w:bodyDiv w:val="1"/>
      <w:marLeft w:val="0"/>
      <w:marRight w:val="0"/>
      <w:marTop w:val="0"/>
      <w:marBottom w:val="0"/>
      <w:divBdr>
        <w:top w:val="none" w:sz="0" w:space="0" w:color="auto"/>
        <w:left w:val="none" w:sz="0" w:space="0" w:color="auto"/>
        <w:bottom w:val="none" w:sz="0" w:space="0" w:color="auto"/>
        <w:right w:val="none" w:sz="0" w:space="0" w:color="auto"/>
      </w:divBdr>
    </w:div>
    <w:div w:id="2005469274">
      <w:bodyDiv w:val="1"/>
      <w:marLeft w:val="0"/>
      <w:marRight w:val="0"/>
      <w:marTop w:val="0"/>
      <w:marBottom w:val="0"/>
      <w:divBdr>
        <w:top w:val="none" w:sz="0" w:space="0" w:color="auto"/>
        <w:left w:val="none" w:sz="0" w:space="0" w:color="auto"/>
        <w:bottom w:val="none" w:sz="0" w:space="0" w:color="auto"/>
        <w:right w:val="none" w:sz="0" w:space="0" w:color="auto"/>
      </w:divBdr>
    </w:div>
    <w:div w:id="2005542998">
      <w:bodyDiv w:val="1"/>
      <w:marLeft w:val="0"/>
      <w:marRight w:val="0"/>
      <w:marTop w:val="0"/>
      <w:marBottom w:val="0"/>
      <w:divBdr>
        <w:top w:val="none" w:sz="0" w:space="0" w:color="auto"/>
        <w:left w:val="none" w:sz="0" w:space="0" w:color="auto"/>
        <w:bottom w:val="none" w:sz="0" w:space="0" w:color="auto"/>
        <w:right w:val="none" w:sz="0" w:space="0" w:color="auto"/>
      </w:divBdr>
    </w:div>
    <w:div w:id="2005811625">
      <w:bodyDiv w:val="1"/>
      <w:marLeft w:val="0"/>
      <w:marRight w:val="0"/>
      <w:marTop w:val="0"/>
      <w:marBottom w:val="0"/>
      <w:divBdr>
        <w:top w:val="none" w:sz="0" w:space="0" w:color="auto"/>
        <w:left w:val="none" w:sz="0" w:space="0" w:color="auto"/>
        <w:bottom w:val="none" w:sz="0" w:space="0" w:color="auto"/>
        <w:right w:val="none" w:sz="0" w:space="0" w:color="auto"/>
      </w:divBdr>
    </w:div>
    <w:div w:id="2006661274">
      <w:bodyDiv w:val="1"/>
      <w:marLeft w:val="0"/>
      <w:marRight w:val="0"/>
      <w:marTop w:val="0"/>
      <w:marBottom w:val="0"/>
      <w:divBdr>
        <w:top w:val="none" w:sz="0" w:space="0" w:color="auto"/>
        <w:left w:val="none" w:sz="0" w:space="0" w:color="auto"/>
        <w:bottom w:val="none" w:sz="0" w:space="0" w:color="auto"/>
        <w:right w:val="none" w:sz="0" w:space="0" w:color="auto"/>
      </w:divBdr>
    </w:div>
    <w:div w:id="2006735811">
      <w:bodyDiv w:val="1"/>
      <w:marLeft w:val="0"/>
      <w:marRight w:val="0"/>
      <w:marTop w:val="0"/>
      <w:marBottom w:val="0"/>
      <w:divBdr>
        <w:top w:val="none" w:sz="0" w:space="0" w:color="auto"/>
        <w:left w:val="none" w:sz="0" w:space="0" w:color="auto"/>
        <w:bottom w:val="none" w:sz="0" w:space="0" w:color="auto"/>
        <w:right w:val="none" w:sz="0" w:space="0" w:color="auto"/>
      </w:divBdr>
    </w:div>
    <w:div w:id="2006934704">
      <w:bodyDiv w:val="1"/>
      <w:marLeft w:val="0"/>
      <w:marRight w:val="0"/>
      <w:marTop w:val="0"/>
      <w:marBottom w:val="0"/>
      <w:divBdr>
        <w:top w:val="none" w:sz="0" w:space="0" w:color="auto"/>
        <w:left w:val="none" w:sz="0" w:space="0" w:color="auto"/>
        <w:bottom w:val="none" w:sz="0" w:space="0" w:color="auto"/>
        <w:right w:val="none" w:sz="0" w:space="0" w:color="auto"/>
      </w:divBdr>
    </w:div>
    <w:div w:id="2006936929">
      <w:bodyDiv w:val="1"/>
      <w:marLeft w:val="0"/>
      <w:marRight w:val="0"/>
      <w:marTop w:val="0"/>
      <w:marBottom w:val="0"/>
      <w:divBdr>
        <w:top w:val="none" w:sz="0" w:space="0" w:color="auto"/>
        <w:left w:val="none" w:sz="0" w:space="0" w:color="auto"/>
        <w:bottom w:val="none" w:sz="0" w:space="0" w:color="auto"/>
        <w:right w:val="none" w:sz="0" w:space="0" w:color="auto"/>
      </w:divBdr>
    </w:div>
    <w:div w:id="2007050564">
      <w:bodyDiv w:val="1"/>
      <w:marLeft w:val="0"/>
      <w:marRight w:val="0"/>
      <w:marTop w:val="0"/>
      <w:marBottom w:val="0"/>
      <w:divBdr>
        <w:top w:val="none" w:sz="0" w:space="0" w:color="auto"/>
        <w:left w:val="none" w:sz="0" w:space="0" w:color="auto"/>
        <w:bottom w:val="none" w:sz="0" w:space="0" w:color="auto"/>
        <w:right w:val="none" w:sz="0" w:space="0" w:color="auto"/>
      </w:divBdr>
    </w:div>
    <w:div w:id="2007054021">
      <w:bodyDiv w:val="1"/>
      <w:marLeft w:val="0"/>
      <w:marRight w:val="0"/>
      <w:marTop w:val="0"/>
      <w:marBottom w:val="0"/>
      <w:divBdr>
        <w:top w:val="none" w:sz="0" w:space="0" w:color="auto"/>
        <w:left w:val="none" w:sz="0" w:space="0" w:color="auto"/>
        <w:bottom w:val="none" w:sz="0" w:space="0" w:color="auto"/>
        <w:right w:val="none" w:sz="0" w:space="0" w:color="auto"/>
      </w:divBdr>
    </w:div>
    <w:div w:id="2007127264">
      <w:bodyDiv w:val="1"/>
      <w:marLeft w:val="0"/>
      <w:marRight w:val="0"/>
      <w:marTop w:val="0"/>
      <w:marBottom w:val="0"/>
      <w:divBdr>
        <w:top w:val="none" w:sz="0" w:space="0" w:color="auto"/>
        <w:left w:val="none" w:sz="0" w:space="0" w:color="auto"/>
        <w:bottom w:val="none" w:sz="0" w:space="0" w:color="auto"/>
        <w:right w:val="none" w:sz="0" w:space="0" w:color="auto"/>
      </w:divBdr>
    </w:div>
    <w:div w:id="2007127873">
      <w:bodyDiv w:val="1"/>
      <w:marLeft w:val="0"/>
      <w:marRight w:val="0"/>
      <w:marTop w:val="0"/>
      <w:marBottom w:val="0"/>
      <w:divBdr>
        <w:top w:val="none" w:sz="0" w:space="0" w:color="auto"/>
        <w:left w:val="none" w:sz="0" w:space="0" w:color="auto"/>
        <w:bottom w:val="none" w:sz="0" w:space="0" w:color="auto"/>
        <w:right w:val="none" w:sz="0" w:space="0" w:color="auto"/>
      </w:divBdr>
    </w:div>
    <w:div w:id="2007243080">
      <w:bodyDiv w:val="1"/>
      <w:marLeft w:val="0"/>
      <w:marRight w:val="0"/>
      <w:marTop w:val="0"/>
      <w:marBottom w:val="0"/>
      <w:divBdr>
        <w:top w:val="none" w:sz="0" w:space="0" w:color="auto"/>
        <w:left w:val="none" w:sz="0" w:space="0" w:color="auto"/>
        <w:bottom w:val="none" w:sz="0" w:space="0" w:color="auto"/>
        <w:right w:val="none" w:sz="0" w:space="0" w:color="auto"/>
      </w:divBdr>
    </w:div>
    <w:div w:id="2007511489">
      <w:bodyDiv w:val="1"/>
      <w:marLeft w:val="0"/>
      <w:marRight w:val="0"/>
      <w:marTop w:val="0"/>
      <w:marBottom w:val="0"/>
      <w:divBdr>
        <w:top w:val="none" w:sz="0" w:space="0" w:color="auto"/>
        <w:left w:val="none" w:sz="0" w:space="0" w:color="auto"/>
        <w:bottom w:val="none" w:sz="0" w:space="0" w:color="auto"/>
        <w:right w:val="none" w:sz="0" w:space="0" w:color="auto"/>
      </w:divBdr>
    </w:div>
    <w:div w:id="2007660550">
      <w:bodyDiv w:val="1"/>
      <w:marLeft w:val="0"/>
      <w:marRight w:val="0"/>
      <w:marTop w:val="0"/>
      <w:marBottom w:val="0"/>
      <w:divBdr>
        <w:top w:val="none" w:sz="0" w:space="0" w:color="auto"/>
        <w:left w:val="none" w:sz="0" w:space="0" w:color="auto"/>
        <w:bottom w:val="none" w:sz="0" w:space="0" w:color="auto"/>
        <w:right w:val="none" w:sz="0" w:space="0" w:color="auto"/>
      </w:divBdr>
    </w:div>
    <w:div w:id="2007902501">
      <w:bodyDiv w:val="1"/>
      <w:marLeft w:val="0"/>
      <w:marRight w:val="0"/>
      <w:marTop w:val="0"/>
      <w:marBottom w:val="0"/>
      <w:divBdr>
        <w:top w:val="none" w:sz="0" w:space="0" w:color="auto"/>
        <w:left w:val="none" w:sz="0" w:space="0" w:color="auto"/>
        <w:bottom w:val="none" w:sz="0" w:space="0" w:color="auto"/>
        <w:right w:val="none" w:sz="0" w:space="0" w:color="auto"/>
      </w:divBdr>
    </w:div>
    <w:div w:id="2007973424">
      <w:bodyDiv w:val="1"/>
      <w:marLeft w:val="0"/>
      <w:marRight w:val="0"/>
      <w:marTop w:val="0"/>
      <w:marBottom w:val="0"/>
      <w:divBdr>
        <w:top w:val="none" w:sz="0" w:space="0" w:color="auto"/>
        <w:left w:val="none" w:sz="0" w:space="0" w:color="auto"/>
        <w:bottom w:val="none" w:sz="0" w:space="0" w:color="auto"/>
        <w:right w:val="none" w:sz="0" w:space="0" w:color="auto"/>
      </w:divBdr>
    </w:div>
    <w:div w:id="2008093975">
      <w:bodyDiv w:val="1"/>
      <w:marLeft w:val="0"/>
      <w:marRight w:val="0"/>
      <w:marTop w:val="0"/>
      <w:marBottom w:val="0"/>
      <w:divBdr>
        <w:top w:val="none" w:sz="0" w:space="0" w:color="auto"/>
        <w:left w:val="none" w:sz="0" w:space="0" w:color="auto"/>
        <w:bottom w:val="none" w:sz="0" w:space="0" w:color="auto"/>
        <w:right w:val="none" w:sz="0" w:space="0" w:color="auto"/>
      </w:divBdr>
    </w:div>
    <w:div w:id="2008315263">
      <w:bodyDiv w:val="1"/>
      <w:marLeft w:val="0"/>
      <w:marRight w:val="0"/>
      <w:marTop w:val="0"/>
      <w:marBottom w:val="0"/>
      <w:divBdr>
        <w:top w:val="none" w:sz="0" w:space="0" w:color="auto"/>
        <w:left w:val="none" w:sz="0" w:space="0" w:color="auto"/>
        <w:bottom w:val="none" w:sz="0" w:space="0" w:color="auto"/>
        <w:right w:val="none" w:sz="0" w:space="0" w:color="auto"/>
      </w:divBdr>
    </w:div>
    <w:div w:id="2008483752">
      <w:bodyDiv w:val="1"/>
      <w:marLeft w:val="0"/>
      <w:marRight w:val="0"/>
      <w:marTop w:val="0"/>
      <w:marBottom w:val="0"/>
      <w:divBdr>
        <w:top w:val="none" w:sz="0" w:space="0" w:color="auto"/>
        <w:left w:val="none" w:sz="0" w:space="0" w:color="auto"/>
        <w:bottom w:val="none" w:sz="0" w:space="0" w:color="auto"/>
        <w:right w:val="none" w:sz="0" w:space="0" w:color="auto"/>
      </w:divBdr>
    </w:div>
    <w:div w:id="2008941990">
      <w:bodyDiv w:val="1"/>
      <w:marLeft w:val="0"/>
      <w:marRight w:val="0"/>
      <w:marTop w:val="0"/>
      <w:marBottom w:val="0"/>
      <w:divBdr>
        <w:top w:val="none" w:sz="0" w:space="0" w:color="auto"/>
        <w:left w:val="none" w:sz="0" w:space="0" w:color="auto"/>
        <w:bottom w:val="none" w:sz="0" w:space="0" w:color="auto"/>
        <w:right w:val="none" w:sz="0" w:space="0" w:color="auto"/>
      </w:divBdr>
    </w:div>
    <w:div w:id="2008942539">
      <w:bodyDiv w:val="1"/>
      <w:marLeft w:val="0"/>
      <w:marRight w:val="0"/>
      <w:marTop w:val="0"/>
      <w:marBottom w:val="0"/>
      <w:divBdr>
        <w:top w:val="none" w:sz="0" w:space="0" w:color="auto"/>
        <w:left w:val="none" w:sz="0" w:space="0" w:color="auto"/>
        <w:bottom w:val="none" w:sz="0" w:space="0" w:color="auto"/>
        <w:right w:val="none" w:sz="0" w:space="0" w:color="auto"/>
      </w:divBdr>
    </w:div>
    <w:div w:id="2008972893">
      <w:bodyDiv w:val="1"/>
      <w:marLeft w:val="0"/>
      <w:marRight w:val="0"/>
      <w:marTop w:val="0"/>
      <w:marBottom w:val="0"/>
      <w:divBdr>
        <w:top w:val="none" w:sz="0" w:space="0" w:color="auto"/>
        <w:left w:val="none" w:sz="0" w:space="0" w:color="auto"/>
        <w:bottom w:val="none" w:sz="0" w:space="0" w:color="auto"/>
        <w:right w:val="none" w:sz="0" w:space="0" w:color="auto"/>
      </w:divBdr>
    </w:div>
    <w:div w:id="2009012989">
      <w:bodyDiv w:val="1"/>
      <w:marLeft w:val="0"/>
      <w:marRight w:val="0"/>
      <w:marTop w:val="0"/>
      <w:marBottom w:val="0"/>
      <w:divBdr>
        <w:top w:val="none" w:sz="0" w:space="0" w:color="auto"/>
        <w:left w:val="none" w:sz="0" w:space="0" w:color="auto"/>
        <w:bottom w:val="none" w:sz="0" w:space="0" w:color="auto"/>
        <w:right w:val="none" w:sz="0" w:space="0" w:color="auto"/>
      </w:divBdr>
    </w:div>
    <w:div w:id="2009016857">
      <w:bodyDiv w:val="1"/>
      <w:marLeft w:val="0"/>
      <w:marRight w:val="0"/>
      <w:marTop w:val="0"/>
      <w:marBottom w:val="0"/>
      <w:divBdr>
        <w:top w:val="none" w:sz="0" w:space="0" w:color="auto"/>
        <w:left w:val="none" w:sz="0" w:space="0" w:color="auto"/>
        <w:bottom w:val="none" w:sz="0" w:space="0" w:color="auto"/>
        <w:right w:val="none" w:sz="0" w:space="0" w:color="auto"/>
      </w:divBdr>
    </w:div>
    <w:div w:id="2009281705">
      <w:bodyDiv w:val="1"/>
      <w:marLeft w:val="0"/>
      <w:marRight w:val="0"/>
      <w:marTop w:val="0"/>
      <w:marBottom w:val="0"/>
      <w:divBdr>
        <w:top w:val="none" w:sz="0" w:space="0" w:color="auto"/>
        <w:left w:val="none" w:sz="0" w:space="0" w:color="auto"/>
        <w:bottom w:val="none" w:sz="0" w:space="0" w:color="auto"/>
        <w:right w:val="none" w:sz="0" w:space="0" w:color="auto"/>
      </w:divBdr>
    </w:div>
    <w:div w:id="2009282610">
      <w:bodyDiv w:val="1"/>
      <w:marLeft w:val="0"/>
      <w:marRight w:val="0"/>
      <w:marTop w:val="0"/>
      <w:marBottom w:val="0"/>
      <w:divBdr>
        <w:top w:val="none" w:sz="0" w:space="0" w:color="auto"/>
        <w:left w:val="none" w:sz="0" w:space="0" w:color="auto"/>
        <w:bottom w:val="none" w:sz="0" w:space="0" w:color="auto"/>
        <w:right w:val="none" w:sz="0" w:space="0" w:color="auto"/>
      </w:divBdr>
    </w:div>
    <w:div w:id="2009286801">
      <w:bodyDiv w:val="1"/>
      <w:marLeft w:val="0"/>
      <w:marRight w:val="0"/>
      <w:marTop w:val="0"/>
      <w:marBottom w:val="0"/>
      <w:divBdr>
        <w:top w:val="none" w:sz="0" w:space="0" w:color="auto"/>
        <w:left w:val="none" w:sz="0" w:space="0" w:color="auto"/>
        <w:bottom w:val="none" w:sz="0" w:space="0" w:color="auto"/>
        <w:right w:val="none" w:sz="0" w:space="0" w:color="auto"/>
      </w:divBdr>
    </w:div>
    <w:div w:id="2009598149">
      <w:bodyDiv w:val="1"/>
      <w:marLeft w:val="0"/>
      <w:marRight w:val="0"/>
      <w:marTop w:val="0"/>
      <w:marBottom w:val="0"/>
      <w:divBdr>
        <w:top w:val="none" w:sz="0" w:space="0" w:color="auto"/>
        <w:left w:val="none" w:sz="0" w:space="0" w:color="auto"/>
        <w:bottom w:val="none" w:sz="0" w:space="0" w:color="auto"/>
        <w:right w:val="none" w:sz="0" w:space="0" w:color="auto"/>
      </w:divBdr>
    </w:div>
    <w:div w:id="2009861746">
      <w:bodyDiv w:val="1"/>
      <w:marLeft w:val="0"/>
      <w:marRight w:val="0"/>
      <w:marTop w:val="0"/>
      <w:marBottom w:val="0"/>
      <w:divBdr>
        <w:top w:val="none" w:sz="0" w:space="0" w:color="auto"/>
        <w:left w:val="none" w:sz="0" w:space="0" w:color="auto"/>
        <w:bottom w:val="none" w:sz="0" w:space="0" w:color="auto"/>
        <w:right w:val="none" w:sz="0" w:space="0" w:color="auto"/>
      </w:divBdr>
    </w:div>
    <w:div w:id="2010058501">
      <w:bodyDiv w:val="1"/>
      <w:marLeft w:val="0"/>
      <w:marRight w:val="0"/>
      <w:marTop w:val="0"/>
      <w:marBottom w:val="0"/>
      <w:divBdr>
        <w:top w:val="none" w:sz="0" w:space="0" w:color="auto"/>
        <w:left w:val="none" w:sz="0" w:space="0" w:color="auto"/>
        <w:bottom w:val="none" w:sz="0" w:space="0" w:color="auto"/>
        <w:right w:val="none" w:sz="0" w:space="0" w:color="auto"/>
      </w:divBdr>
    </w:div>
    <w:div w:id="2010208534">
      <w:bodyDiv w:val="1"/>
      <w:marLeft w:val="0"/>
      <w:marRight w:val="0"/>
      <w:marTop w:val="0"/>
      <w:marBottom w:val="0"/>
      <w:divBdr>
        <w:top w:val="none" w:sz="0" w:space="0" w:color="auto"/>
        <w:left w:val="none" w:sz="0" w:space="0" w:color="auto"/>
        <w:bottom w:val="none" w:sz="0" w:space="0" w:color="auto"/>
        <w:right w:val="none" w:sz="0" w:space="0" w:color="auto"/>
      </w:divBdr>
    </w:div>
    <w:div w:id="2010210984">
      <w:bodyDiv w:val="1"/>
      <w:marLeft w:val="0"/>
      <w:marRight w:val="0"/>
      <w:marTop w:val="0"/>
      <w:marBottom w:val="0"/>
      <w:divBdr>
        <w:top w:val="none" w:sz="0" w:space="0" w:color="auto"/>
        <w:left w:val="none" w:sz="0" w:space="0" w:color="auto"/>
        <w:bottom w:val="none" w:sz="0" w:space="0" w:color="auto"/>
        <w:right w:val="none" w:sz="0" w:space="0" w:color="auto"/>
      </w:divBdr>
    </w:div>
    <w:div w:id="2010211045">
      <w:bodyDiv w:val="1"/>
      <w:marLeft w:val="0"/>
      <w:marRight w:val="0"/>
      <w:marTop w:val="0"/>
      <w:marBottom w:val="0"/>
      <w:divBdr>
        <w:top w:val="none" w:sz="0" w:space="0" w:color="auto"/>
        <w:left w:val="none" w:sz="0" w:space="0" w:color="auto"/>
        <w:bottom w:val="none" w:sz="0" w:space="0" w:color="auto"/>
        <w:right w:val="none" w:sz="0" w:space="0" w:color="auto"/>
      </w:divBdr>
    </w:div>
    <w:div w:id="2010213264">
      <w:bodyDiv w:val="1"/>
      <w:marLeft w:val="0"/>
      <w:marRight w:val="0"/>
      <w:marTop w:val="0"/>
      <w:marBottom w:val="0"/>
      <w:divBdr>
        <w:top w:val="none" w:sz="0" w:space="0" w:color="auto"/>
        <w:left w:val="none" w:sz="0" w:space="0" w:color="auto"/>
        <w:bottom w:val="none" w:sz="0" w:space="0" w:color="auto"/>
        <w:right w:val="none" w:sz="0" w:space="0" w:color="auto"/>
      </w:divBdr>
    </w:div>
    <w:div w:id="2010254066">
      <w:bodyDiv w:val="1"/>
      <w:marLeft w:val="0"/>
      <w:marRight w:val="0"/>
      <w:marTop w:val="0"/>
      <w:marBottom w:val="0"/>
      <w:divBdr>
        <w:top w:val="none" w:sz="0" w:space="0" w:color="auto"/>
        <w:left w:val="none" w:sz="0" w:space="0" w:color="auto"/>
        <w:bottom w:val="none" w:sz="0" w:space="0" w:color="auto"/>
        <w:right w:val="none" w:sz="0" w:space="0" w:color="auto"/>
      </w:divBdr>
    </w:div>
    <w:div w:id="2010332627">
      <w:bodyDiv w:val="1"/>
      <w:marLeft w:val="0"/>
      <w:marRight w:val="0"/>
      <w:marTop w:val="0"/>
      <w:marBottom w:val="0"/>
      <w:divBdr>
        <w:top w:val="none" w:sz="0" w:space="0" w:color="auto"/>
        <w:left w:val="none" w:sz="0" w:space="0" w:color="auto"/>
        <w:bottom w:val="none" w:sz="0" w:space="0" w:color="auto"/>
        <w:right w:val="none" w:sz="0" w:space="0" w:color="auto"/>
      </w:divBdr>
    </w:div>
    <w:div w:id="2010519578">
      <w:bodyDiv w:val="1"/>
      <w:marLeft w:val="0"/>
      <w:marRight w:val="0"/>
      <w:marTop w:val="0"/>
      <w:marBottom w:val="0"/>
      <w:divBdr>
        <w:top w:val="none" w:sz="0" w:space="0" w:color="auto"/>
        <w:left w:val="none" w:sz="0" w:space="0" w:color="auto"/>
        <w:bottom w:val="none" w:sz="0" w:space="0" w:color="auto"/>
        <w:right w:val="none" w:sz="0" w:space="0" w:color="auto"/>
      </w:divBdr>
    </w:div>
    <w:div w:id="2010594347">
      <w:bodyDiv w:val="1"/>
      <w:marLeft w:val="0"/>
      <w:marRight w:val="0"/>
      <w:marTop w:val="0"/>
      <w:marBottom w:val="0"/>
      <w:divBdr>
        <w:top w:val="none" w:sz="0" w:space="0" w:color="auto"/>
        <w:left w:val="none" w:sz="0" w:space="0" w:color="auto"/>
        <w:bottom w:val="none" w:sz="0" w:space="0" w:color="auto"/>
        <w:right w:val="none" w:sz="0" w:space="0" w:color="auto"/>
      </w:divBdr>
    </w:div>
    <w:div w:id="2010669846">
      <w:bodyDiv w:val="1"/>
      <w:marLeft w:val="0"/>
      <w:marRight w:val="0"/>
      <w:marTop w:val="0"/>
      <w:marBottom w:val="0"/>
      <w:divBdr>
        <w:top w:val="none" w:sz="0" w:space="0" w:color="auto"/>
        <w:left w:val="none" w:sz="0" w:space="0" w:color="auto"/>
        <w:bottom w:val="none" w:sz="0" w:space="0" w:color="auto"/>
        <w:right w:val="none" w:sz="0" w:space="0" w:color="auto"/>
      </w:divBdr>
    </w:div>
    <w:div w:id="2010670468">
      <w:bodyDiv w:val="1"/>
      <w:marLeft w:val="0"/>
      <w:marRight w:val="0"/>
      <w:marTop w:val="0"/>
      <w:marBottom w:val="0"/>
      <w:divBdr>
        <w:top w:val="none" w:sz="0" w:space="0" w:color="auto"/>
        <w:left w:val="none" w:sz="0" w:space="0" w:color="auto"/>
        <w:bottom w:val="none" w:sz="0" w:space="0" w:color="auto"/>
        <w:right w:val="none" w:sz="0" w:space="0" w:color="auto"/>
      </w:divBdr>
    </w:div>
    <w:div w:id="2010712644">
      <w:bodyDiv w:val="1"/>
      <w:marLeft w:val="0"/>
      <w:marRight w:val="0"/>
      <w:marTop w:val="0"/>
      <w:marBottom w:val="0"/>
      <w:divBdr>
        <w:top w:val="none" w:sz="0" w:space="0" w:color="auto"/>
        <w:left w:val="none" w:sz="0" w:space="0" w:color="auto"/>
        <w:bottom w:val="none" w:sz="0" w:space="0" w:color="auto"/>
        <w:right w:val="none" w:sz="0" w:space="0" w:color="auto"/>
      </w:divBdr>
    </w:div>
    <w:div w:id="2010787636">
      <w:bodyDiv w:val="1"/>
      <w:marLeft w:val="0"/>
      <w:marRight w:val="0"/>
      <w:marTop w:val="0"/>
      <w:marBottom w:val="0"/>
      <w:divBdr>
        <w:top w:val="none" w:sz="0" w:space="0" w:color="auto"/>
        <w:left w:val="none" w:sz="0" w:space="0" w:color="auto"/>
        <w:bottom w:val="none" w:sz="0" w:space="0" w:color="auto"/>
        <w:right w:val="none" w:sz="0" w:space="0" w:color="auto"/>
      </w:divBdr>
    </w:div>
    <w:div w:id="2010861422">
      <w:bodyDiv w:val="1"/>
      <w:marLeft w:val="0"/>
      <w:marRight w:val="0"/>
      <w:marTop w:val="0"/>
      <w:marBottom w:val="0"/>
      <w:divBdr>
        <w:top w:val="none" w:sz="0" w:space="0" w:color="auto"/>
        <w:left w:val="none" w:sz="0" w:space="0" w:color="auto"/>
        <w:bottom w:val="none" w:sz="0" w:space="0" w:color="auto"/>
        <w:right w:val="none" w:sz="0" w:space="0" w:color="auto"/>
      </w:divBdr>
    </w:div>
    <w:div w:id="2011057783">
      <w:bodyDiv w:val="1"/>
      <w:marLeft w:val="0"/>
      <w:marRight w:val="0"/>
      <w:marTop w:val="0"/>
      <w:marBottom w:val="0"/>
      <w:divBdr>
        <w:top w:val="none" w:sz="0" w:space="0" w:color="auto"/>
        <w:left w:val="none" w:sz="0" w:space="0" w:color="auto"/>
        <w:bottom w:val="none" w:sz="0" w:space="0" w:color="auto"/>
        <w:right w:val="none" w:sz="0" w:space="0" w:color="auto"/>
      </w:divBdr>
    </w:div>
    <w:div w:id="2011714014">
      <w:bodyDiv w:val="1"/>
      <w:marLeft w:val="0"/>
      <w:marRight w:val="0"/>
      <w:marTop w:val="0"/>
      <w:marBottom w:val="0"/>
      <w:divBdr>
        <w:top w:val="none" w:sz="0" w:space="0" w:color="auto"/>
        <w:left w:val="none" w:sz="0" w:space="0" w:color="auto"/>
        <w:bottom w:val="none" w:sz="0" w:space="0" w:color="auto"/>
        <w:right w:val="none" w:sz="0" w:space="0" w:color="auto"/>
      </w:divBdr>
    </w:div>
    <w:div w:id="2011836743">
      <w:bodyDiv w:val="1"/>
      <w:marLeft w:val="0"/>
      <w:marRight w:val="0"/>
      <w:marTop w:val="0"/>
      <w:marBottom w:val="0"/>
      <w:divBdr>
        <w:top w:val="none" w:sz="0" w:space="0" w:color="auto"/>
        <w:left w:val="none" w:sz="0" w:space="0" w:color="auto"/>
        <w:bottom w:val="none" w:sz="0" w:space="0" w:color="auto"/>
        <w:right w:val="none" w:sz="0" w:space="0" w:color="auto"/>
      </w:divBdr>
    </w:div>
    <w:div w:id="2011980921">
      <w:bodyDiv w:val="1"/>
      <w:marLeft w:val="0"/>
      <w:marRight w:val="0"/>
      <w:marTop w:val="0"/>
      <w:marBottom w:val="0"/>
      <w:divBdr>
        <w:top w:val="none" w:sz="0" w:space="0" w:color="auto"/>
        <w:left w:val="none" w:sz="0" w:space="0" w:color="auto"/>
        <w:bottom w:val="none" w:sz="0" w:space="0" w:color="auto"/>
        <w:right w:val="none" w:sz="0" w:space="0" w:color="auto"/>
      </w:divBdr>
    </w:div>
    <w:div w:id="2011986157">
      <w:bodyDiv w:val="1"/>
      <w:marLeft w:val="0"/>
      <w:marRight w:val="0"/>
      <w:marTop w:val="0"/>
      <w:marBottom w:val="0"/>
      <w:divBdr>
        <w:top w:val="none" w:sz="0" w:space="0" w:color="auto"/>
        <w:left w:val="none" w:sz="0" w:space="0" w:color="auto"/>
        <w:bottom w:val="none" w:sz="0" w:space="0" w:color="auto"/>
        <w:right w:val="none" w:sz="0" w:space="0" w:color="auto"/>
      </w:divBdr>
    </w:div>
    <w:div w:id="2012178195">
      <w:bodyDiv w:val="1"/>
      <w:marLeft w:val="0"/>
      <w:marRight w:val="0"/>
      <w:marTop w:val="0"/>
      <w:marBottom w:val="0"/>
      <w:divBdr>
        <w:top w:val="none" w:sz="0" w:space="0" w:color="auto"/>
        <w:left w:val="none" w:sz="0" w:space="0" w:color="auto"/>
        <w:bottom w:val="none" w:sz="0" w:space="0" w:color="auto"/>
        <w:right w:val="none" w:sz="0" w:space="0" w:color="auto"/>
      </w:divBdr>
    </w:div>
    <w:div w:id="2012295612">
      <w:bodyDiv w:val="1"/>
      <w:marLeft w:val="0"/>
      <w:marRight w:val="0"/>
      <w:marTop w:val="0"/>
      <w:marBottom w:val="0"/>
      <w:divBdr>
        <w:top w:val="none" w:sz="0" w:space="0" w:color="auto"/>
        <w:left w:val="none" w:sz="0" w:space="0" w:color="auto"/>
        <w:bottom w:val="none" w:sz="0" w:space="0" w:color="auto"/>
        <w:right w:val="none" w:sz="0" w:space="0" w:color="auto"/>
      </w:divBdr>
    </w:div>
    <w:div w:id="2012638271">
      <w:bodyDiv w:val="1"/>
      <w:marLeft w:val="0"/>
      <w:marRight w:val="0"/>
      <w:marTop w:val="0"/>
      <w:marBottom w:val="0"/>
      <w:divBdr>
        <w:top w:val="none" w:sz="0" w:space="0" w:color="auto"/>
        <w:left w:val="none" w:sz="0" w:space="0" w:color="auto"/>
        <w:bottom w:val="none" w:sz="0" w:space="0" w:color="auto"/>
        <w:right w:val="none" w:sz="0" w:space="0" w:color="auto"/>
      </w:divBdr>
    </w:div>
    <w:div w:id="2012951480">
      <w:bodyDiv w:val="1"/>
      <w:marLeft w:val="0"/>
      <w:marRight w:val="0"/>
      <w:marTop w:val="0"/>
      <w:marBottom w:val="0"/>
      <w:divBdr>
        <w:top w:val="none" w:sz="0" w:space="0" w:color="auto"/>
        <w:left w:val="none" w:sz="0" w:space="0" w:color="auto"/>
        <w:bottom w:val="none" w:sz="0" w:space="0" w:color="auto"/>
        <w:right w:val="none" w:sz="0" w:space="0" w:color="auto"/>
      </w:divBdr>
    </w:div>
    <w:div w:id="2013071696">
      <w:bodyDiv w:val="1"/>
      <w:marLeft w:val="0"/>
      <w:marRight w:val="0"/>
      <w:marTop w:val="0"/>
      <w:marBottom w:val="0"/>
      <w:divBdr>
        <w:top w:val="none" w:sz="0" w:space="0" w:color="auto"/>
        <w:left w:val="none" w:sz="0" w:space="0" w:color="auto"/>
        <w:bottom w:val="none" w:sz="0" w:space="0" w:color="auto"/>
        <w:right w:val="none" w:sz="0" w:space="0" w:color="auto"/>
      </w:divBdr>
    </w:div>
    <w:div w:id="2013409337">
      <w:bodyDiv w:val="1"/>
      <w:marLeft w:val="0"/>
      <w:marRight w:val="0"/>
      <w:marTop w:val="0"/>
      <w:marBottom w:val="0"/>
      <w:divBdr>
        <w:top w:val="none" w:sz="0" w:space="0" w:color="auto"/>
        <w:left w:val="none" w:sz="0" w:space="0" w:color="auto"/>
        <w:bottom w:val="none" w:sz="0" w:space="0" w:color="auto"/>
        <w:right w:val="none" w:sz="0" w:space="0" w:color="auto"/>
      </w:divBdr>
    </w:div>
    <w:div w:id="2013793138">
      <w:bodyDiv w:val="1"/>
      <w:marLeft w:val="0"/>
      <w:marRight w:val="0"/>
      <w:marTop w:val="0"/>
      <w:marBottom w:val="0"/>
      <w:divBdr>
        <w:top w:val="none" w:sz="0" w:space="0" w:color="auto"/>
        <w:left w:val="none" w:sz="0" w:space="0" w:color="auto"/>
        <w:bottom w:val="none" w:sz="0" w:space="0" w:color="auto"/>
        <w:right w:val="none" w:sz="0" w:space="0" w:color="auto"/>
      </w:divBdr>
    </w:div>
    <w:div w:id="2013945497">
      <w:bodyDiv w:val="1"/>
      <w:marLeft w:val="0"/>
      <w:marRight w:val="0"/>
      <w:marTop w:val="0"/>
      <w:marBottom w:val="0"/>
      <w:divBdr>
        <w:top w:val="none" w:sz="0" w:space="0" w:color="auto"/>
        <w:left w:val="none" w:sz="0" w:space="0" w:color="auto"/>
        <w:bottom w:val="none" w:sz="0" w:space="0" w:color="auto"/>
        <w:right w:val="none" w:sz="0" w:space="0" w:color="auto"/>
      </w:divBdr>
    </w:div>
    <w:div w:id="2014407585">
      <w:bodyDiv w:val="1"/>
      <w:marLeft w:val="0"/>
      <w:marRight w:val="0"/>
      <w:marTop w:val="0"/>
      <w:marBottom w:val="0"/>
      <w:divBdr>
        <w:top w:val="none" w:sz="0" w:space="0" w:color="auto"/>
        <w:left w:val="none" w:sz="0" w:space="0" w:color="auto"/>
        <w:bottom w:val="none" w:sz="0" w:space="0" w:color="auto"/>
        <w:right w:val="none" w:sz="0" w:space="0" w:color="auto"/>
      </w:divBdr>
    </w:div>
    <w:div w:id="2014525436">
      <w:bodyDiv w:val="1"/>
      <w:marLeft w:val="0"/>
      <w:marRight w:val="0"/>
      <w:marTop w:val="0"/>
      <w:marBottom w:val="0"/>
      <w:divBdr>
        <w:top w:val="none" w:sz="0" w:space="0" w:color="auto"/>
        <w:left w:val="none" w:sz="0" w:space="0" w:color="auto"/>
        <w:bottom w:val="none" w:sz="0" w:space="0" w:color="auto"/>
        <w:right w:val="none" w:sz="0" w:space="0" w:color="auto"/>
      </w:divBdr>
    </w:div>
    <w:div w:id="2014603172">
      <w:bodyDiv w:val="1"/>
      <w:marLeft w:val="0"/>
      <w:marRight w:val="0"/>
      <w:marTop w:val="0"/>
      <w:marBottom w:val="0"/>
      <w:divBdr>
        <w:top w:val="none" w:sz="0" w:space="0" w:color="auto"/>
        <w:left w:val="none" w:sz="0" w:space="0" w:color="auto"/>
        <w:bottom w:val="none" w:sz="0" w:space="0" w:color="auto"/>
        <w:right w:val="none" w:sz="0" w:space="0" w:color="auto"/>
      </w:divBdr>
    </w:div>
    <w:div w:id="2014987156">
      <w:bodyDiv w:val="1"/>
      <w:marLeft w:val="0"/>
      <w:marRight w:val="0"/>
      <w:marTop w:val="0"/>
      <w:marBottom w:val="0"/>
      <w:divBdr>
        <w:top w:val="none" w:sz="0" w:space="0" w:color="auto"/>
        <w:left w:val="none" w:sz="0" w:space="0" w:color="auto"/>
        <w:bottom w:val="none" w:sz="0" w:space="0" w:color="auto"/>
        <w:right w:val="none" w:sz="0" w:space="0" w:color="auto"/>
      </w:divBdr>
    </w:div>
    <w:div w:id="2015067132">
      <w:bodyDiv w:val="1"/>
      <w:marLeft w:val="0"/>
      <w:marRight w:val="0"/>
      <w:marTop w:val="0"/>
      <w:marBottom w:val="0"/>
      <w:divBdr>
        <w:top w:val="none" w:sz="0" w:space="0" w:color="auto"/>
        <w:left w:val="none" w:sz="0" w:space="0" w:color="auto"/>
        <w:bottom w:val="none" w:sz="0" w:space="0" w:color="auto"/>
        <w:right w:val="none" w:sz="0" w:space="0" w:color="auto"/>
      </w:divBdr>
    </w:div>
    <w:div w:id="2015258507">
      <w:bodyDiv w:val="1"/>
      <w:marLeft w:val="0"/>
      <w:marRight w:val="0"/>
      <w:marTop w:val="0"/>
      <w:marBottom w:val="0"/>
      <w:divBdr>
        <w:top w:val="none" w:sz="0" w:space="0" w:color="auto"/>
        <w:left w:val="none" w:sz="0" w:space="0" w:color="auto"/>
        <w:bottom w:val="none" w:sz="0" w:space="0" w:color="auto"/>
        <w:right w:val="none" w:sz="0" w:space="0" w:color="auto"/>
      </w:divBdr>
    </w:div>
    <w:div w:id="2015298469">
      <w:bodyDiv w:val="1"/>
      <w:marLeft w:val="0"/>
      <w:marRight w:val="0"/>
      <w:marTop w:val="0"/>
      <w:marBottom w:val="0"/>
      <w:divBdr>
        <w:top w:val="none" w:sz="0" w:space="0" w:color="auto"/>
        <w:left w:val="none" w:sz="0" w:space="0" w:color="auto"/>
        <w:bottom w:val="none" w:sz="0" w:space="0" w:color="auto"/>
        <w:right w:val="none" w:sz="0" w:space="0" w:color="auto"/>
      </w:divBdr>
    </w:div>
    <w:div w:id="2015722909">
      <w:bodyDiv w:val="1"/>
      <w:marLeft w:val="0"/>
      <w:marRight w:val="0"/>
      <w:marTop w:val="0"/>
      <w:marBottom w:val="0"/>
      <w:divBdr>
        <w:top w:val="none" w:sz="0" w:space="0" w:color="auto"/>
        <w:left w:val="none" w:sz="0" w:space="0" w:color="auto"/>
        <w:bottom w:val="none" w:sz="0" w:space="0" w:color="auto"/>
        <w:right w:val="none" w:sz="0" w:space="0" w:color="auto"/>
      </w:divBdr>
    </w:div>
    <w:div w:id="2015758873">
      <w:bodyDiv w:val="1"/>
      <w:marLeft w:val="0"/>
      <w:marRight w:val="0"/>
      <w:marTop w:val="0"/>
      <w:marBottom w:val="0"/>
      <w:divBdr>
        <w:top w:val="none" w:sz="0" w:space="0" w:color="auto"/>
        <w:left w:val="none" w:sz="0" w:space="0" w:color="auto"/>
        <w:bottom w:val="none" w:sz="0" w:space="0" w:color="auto"/>
        <w:right w:val="none" w:sz="0" w:space="0" w:color="auto"/>
      </w:divBdr>
    </w:div>
    <w:div w:id="2015913593">
      <w:bodyDiv w:val="1"/>
      <w:marLeft w:val="0"/>
      <w:marRight w:val="0"/>
      <w:marTop w:val="0"/>
      <w:marBottom w:val="0"/>
      <w:divBdr>
        <w:top w:val="none" w:sz="0" w:space="0" w:color="auto"/>
        <w:left w:val="none" w:sz="0" w:space="0" w:color="auto"/>
        <w:bottom w:val="none" w:sz="0" w:space="0" w:color="auto"/>
        <w:right w:val="none" w:sz="0" w:space="0" w:color="auto"/>
      </w:divBdr>
    </w:div>
    <w:div w:id="2016422891">
      <w:bodyDiv w:val="1"/>
      <w:marLeft w:val="0"/>
      <w:marRight w:val="0"/>
      <w:marTop w:val="0"/>
      <w:marBottom w:val="0"/>
      <w:divBdr>
        <w:top w:val="none" w:sz="0" w:space="0" w:color="auto"/>
        <w:left w:val="none" w:sz="0" w:space="0" w:color="auto"/>
        <w:bottom w:val="none" w:sz="0" w:space="0" w:color="auto"/>
        <w:right w:val="none" w:sz="0" w:space="0" w:color="auto"/>
      </w:divBdr>
    </w:div>
    <w:div w:id="2016568810">
      <w:bodyDiv w:val="1"/>
      <w:marLeft w:val="0"/>
      <w:marRight w:val="0"/>
      <w:marTop w:val="0"/>
      <w:marBottom w:val="0"/>
      <w:divBdr>
        <w:top w:val="none" w:sz="0" w:space="0" w:color="auto"/>
        <w:left w:val="none" w:sz="0" w:space="0" w:color="auto"/>
        <w:bottom w:val="none" w:sz="0" w:space="0" w:color="auto"/>
        <w:right w:val="none" w:sz="0" w:space="0" w:color="auto"/>
      </w:divBdr>
    </w:div>
    <w:div w:id="2016689966">
      <w:bodyDiv w:val="1"/>
      <w:marLeft w:val="0"/>
      <w:marRight w:val="0"/>
      <w:marTop w:val="0"/>
      <w:marBottom w:val="0"/>
      <w:divBdr>
        <w:top w:val="none" w:sz="0" w:space="0" w:color="auto"/>
        <w:left w:val="none" w:sz="0" w:space="0" w:color="auto"/>
        <w:bottom w:val="none" w:sz="0" w:space="0" w:color="auto"/>
        <w:right w:val="none" w:sz="0" w:space="0" w:color="auto"/>
      </w:divBdr>
    </w:div>
    <w:div w:id="2016761803">
      <w:bodyDiv w:val="1"/>
      <w:marLeft w:val="0"/>
      <w:marRight w:val="0"/>
      <w:marTop w:val="0"/>
      <w:marBottom w:val="0"/>
      <w:divBdr>
        <w:top w:val="none" w:sz="0" w:space="0" w:color="auto"/>
        <w:left w:val="none" w:sz="0" w:space="0" w:color="auto"/>
        <w:bottom w:val="none" w:sz="0" w:space="0" w:color="auto"/>
        <w:right w:val="none" w:sz="0" w:space="0" w:color="auto"/>
      </w:divBdr>
    </w:div>
    <w:div w:id="2017074500">
      <w:bodyDiv w:val="1"/>
      <w:marLeft w:val="0"/>
      <w:marRight w:val="0"/>
      <w:marTop w:val="0"/>
      <w:marBottom w:val="0"/>
      <w:divBdr>
        <w:top w:val="none" w:sz="0" w:space="0" w:color="auto"/>
        <w:left w:val="none" w:sz="0" w:space="0" w:color="auto"/>
        <w:bottom w:val="none" w:sz="0" w:space="0" w:color="auto"/>
        <w:right w:val="none" w:sz="0" w:space="0" w:color="auto"/>
      </w:divBdr>
    </w:div>
    <w:div w:id="2017612987">
      <w:bodyDiv w:val="1"/>
      <w:marLeft w:val="0"/>
      <w:marRight w:val="0"/>
      <w:marTop w:val="0"/>
      <w:marBottom w:val="0"/>
      <w:divBdr>
        <w:top w:val="none" w:sz="0" w:space="0" w:color="auto"/>
        <w:left w:val="none" w:sz="0" w:space="0" w:color="auto"/>
        <w:bottom w:val="none" w:sz="0" w:space="0" w:color="auto"/>
        <w:right w:val="none" w:sz="0" w:space="0" w:color="auto"/>
      </w:divBdr>
    </w:div>
    <w:div w:id="2017613605">
      <w:bodyDiv w:val="1"/>
      <w:marLeft w:val="0"/>
      <w:marRight w:val="0"/>
      <w:marTop w:val="0"/>
      <w:marBottom w:val="0"/>
      <w:divBdr>
        <w:top w:val="none" w:sz="0" w:space="0" w:color="auto"/>
        <w:left w:val="none" w:sz="0" w:space="0" w:color="auto"/>
        <w:bottom w:val="none" w:sz="0" w:space="0" w:color="auto"/>
        <w:right w:val="none" w:sz="0" w:space="0" w:color="auto"/>
      </w:divBdr>
    </w:div>
    <w:div w:id="2017613929">
      <w:bodyDiv w:val="1"/>
      <w:marLeft w:val="0"/>
      <w:marRight w:val="0"/>
      <w:marTop w:val="0"/>
      <w:marBottom w:val="0"/>
      <w:divBdr>
        <w:top w:val="none" w:sz="0" w:space="0" w:color="auto"/>
        <w:left w:val="none" w:sz="0" w:space="0" w:color="auto"/>
        <w:bottom w:val="none" w:sz="0" w:space="0" w:color="auto"/>
        <w:right w:val="none" w:sz="0" w:space="0" w:color="auto"/>
      </w:divBdr>
    </w:div>
    <w:div w:id="2017689149">
      <w:bodyDiv w:val="1"/>
      <w:marLeft w:val="0"/>
      <w:marRight w:val="0"/>
      <w:marTop w:val="0"/>
      <w:marBottom w:val="0"/>
      <w:divBdr>
        <w:top w:val="none" w:sz="0" w:space="0" w:color="auto"/>
        <w:left w:val="none" w:sz="0" w:space="0" w:color="auto"/>
        <w:bottom w:val="none" w:sz="0" w:space="0" w:color="auto"/>
        <w:right w:val="none" w:sz="0" w:space="0" w:color="auto"/>
      </w:divBdr>
    </w:div>
    <w:div w:id="2017733833">
      <w:bodyDiv w:val="1"/>
      <w:marLeft w:val="0"/>
      <w:marRight w:val="0"/>
      <w:marTop w:val="0"/>
      <w:marBottom w:val="0"/>
      <w:divBdr>
        <w:top w:val="none" w:sz="0" w:space="0" w:color="auto"/>
        <w:left w:val="none" w:sz="0" w:space="0" w:color="auto"/>
        <w:bottom w:val="none" w:sz="0" w:space="0" w:color="auto"/>
        <w:right w:val="none" w:sz="0" w:space="0" w:color="auto"/>
      </w:divBdr>
    </w:div>
    <w:div w:id="2017808964">
      <w:bodyDiv w:val="1"/>
      <w:marLeft w:val="0"/>
      <w:marRight w:val="0"/>
      <w:marTop w:val="0"/>
      <w:marBottom w:val="0"/>
      <w:divBdr>
        <w:top w:val="none" w:sz="0" w:space="0" w:color="auto"/>
        <w:left w:val="none" w:sz="0" w:space="0" w:color="auto"/>
        <w:bottom w:val="none" w:sz="0" w:space="0" w:color="auto"/>
        <w:right w:val="none" w:sz="0" w:space="0" w:color="auto"/>
      </w:divBdr>
    </w:div>
    <w:div w:id="2017925366">
      <w:bodyDiv w:val="1"/>
      <w:marLeft w:val="0"/>
      <w:marRight w:val="0"/>
      <w:marTop w:val="0"/>
      <w:marBottom w:val="0"/>
      <w:divBdr>
        <w:top w:val="none" w:sz="0" w:space="0" w:color="auto"/>
        <w:left w:val="none" w:sz="0" w:space="0" w:color="auto"/>
        <w:bottom w:val="none" w:sz="0" w:space="0" w:color="auto"/>
        <w:right w:val="none" w:sz="0" w:space="0" w:color="auto"/>
      </w:divBdr>
    </w:div>
    <w:div w:id="2018532049">
      <w:bodyDiv w:val="1"/>
      <w:marLeft w:val="0"/>
      <w:marRight w:val="0"/>
      <w:marTop w:val="0"/>
      <w:marBottom w:val="0"/>
      <w:divBdr>
        <w:top w:val="none" w:sz="0" w:space="0" w:color="auto"/>
        <w:left w:val="none" w:sz="0" w:space="0" w:color="auto"/>
        <w:bottom w:val="none" w:sz="0" w:space="0" w:color="auto"/>
        <w:right w:val="none" w:sz="0" w:space="0" w:color="auto"/>
      </w:divBdr>
    </w:div>
    <w:div w:id="2018848309">
      <w:bodyDiv w:val="1"/>
      <w:marLeft w:val="0"/>
      <w:marRight w:val="0"/>
      <w:marTop w:val="0"/>
      <w:marBottom w:val="0"/>
      <w:divBdr>
        <w:top w:val="none" w:sz="0" w:space="0" w:color="auto"/>
        <w:left w:val="none" w:sz="0" w:space="0" w:color="auto"/>
        <w:bottom w:val="none" w:sz="0" w:space="0" w:color="auto"/>
        <w:right w:val="none" w:sz="0" w:space="0" w:color="auto"/>
      </w:divBdr>
    </w:div>
    <w:div w:id="2019111124">
      <w:bodyDiv w:val="1"/>
      <w:marLeft w:val="0"/>
      <w:marRight w:val="0"/>
      <w:marTop w:val="0"/>
      <w:marBottom w:val="0"/>
      <w:divBdr>
        <w:top w:val="none" w:sz="0" w:space="0" w:color="auto"/>
        <w:left w:val="none" w:sz="0" w:space="0" w:color="auto"/>
        <w:bottom w:val="none" w:sz="0" w:space="0" w:color="auto"/>
        <w:right w:val="none" w:sz="0" w:space="0" w:color="auto"/>
      </w:divBdr>
    </w:div>
    <w:div w:id="2019119540">
      <w:bodyDiv w:val="1"/>
      <w:marLeft w:val="0"/>
      <w:marRight w:val="0"/>
      <w:marTop w:val="0"/>
      <w:marBottom w:val="0"/>
      <w:divBdr>
        <w:top w:val="none" w:sz="0" w:space="0" w:color="auto"/>
        <w:left w:val="none" w:sz="0" w:space="0" w:color="auto"/>
        <w:bottom w:val="none" w:sz="0" w:space="0" w:color="auto"/>
        <w:right w:val="none" w:sz="0" w:space="0" w:color="auto"/>
      </w:divBdr>
    </w:div>
    <w:div w:id="2019307493">
      <w:bodyDiv w:val="1"/>
      <w:marLeft w:val="0"/>
      <w:marRight w:val="0"/>
      <w:marTop w:val="0"/>
      <w:marBottom w:val="0"/>
      <w:divBdr>
        <w:top w:val="none" w:sz="0" w:space="0" w:color="auto"/>
        <w:left w:val="none" w:sz="0" w:space="0" w:color="auto"/>
        <w:bottom w:val="none" w:sz="0" w:space="0" w:color="auto"/>
        <w:right w:val="none" w:sz="0" w:space="0" w:color="auto"/>
      </w:divBdr>
    </w:div>
    <w:div w:id="2019503193">
      <w:bodyDiv w:val="1"/>
      <w:marLeft w:val="0"/>
      <w:marRight w:val="0"/>
      <w:marTop w:val="0"/>
      <w:marBottom w:val="0"/>
      <w:divBdr>
        <w:top w:val="none" w:sz="0" w:space="0" w:color="auto"/>
        <w:left w:val="none" w:sz="0" w:space="0" w:color="auto"/>
        <w:bottom w:val="none" w:sz="0" w:space="0" w:color="auto"/>
        <w:right w:val="none" w:sz="0" w:space="0" w:color="auto"/>
      </w:divBdr>
    </w:div>
    <w:div w:id="2020111055">
      <w:bodyDiv w:val="1"/>
      <w:marLeft w:val="0"/>
      <w:marRight w:val="0"/>
      <w:marTop w:val="0"/>
      <w:marBottom w:val="0"/>
      <w:divBdr>
        <w:top w:val="none" w:sz="0" w:space="0" w:color="auto"/>
        <w:left w:val="none" w:sz="0" w:space="0" w:color="auto"/>
        <w:bottom w:val="none" w:sz="0" w:space="0" w:color="auto"/>
        <w:right w:val="none" w:sz="0" w:space="0" w:color="auto"/>
      </w:divBdr>
    </w:div>
    <w:div w:id="2020154869">
      <w:bodyDiv w:val="1"/>
      <w:marLeft w:val="0"/>
      <w:marRight w:val="0"/>
      <w:marTop w:val="0"/>
      <w:marBottom w:val="0"/>
      <w:divBdr>
        <w:top w:val="none" w:sz="0" w:space="0" w:color="auto"/>
        <w:left w:val="none" w:sz="0" w:space="0" w:color="auto"/>
        <w:bottom w:val="none" w:sz="0" w:space="0" w:color="auto"/>
        <w:right w:val="none" w:sz="0" w:space="0" w:color="auto"/>
      </w:divBdr>
    </w:div>
    <w:div w:id="2020158366">
      <w:bodyDiv w:val="1"/>
      <w:marLeft w:val="0"/>
      <w:marRight w:val="0"/>
      <w:marTop w:val="0"/>
      <w:marBottom w:val="0"/>
      <w:divBdr>
        <w:top w:val="none" w:sz="0" w:space="0" w:color="auto"/>
        <w:left w:val="none" w:sz="0" w:space="0" w:color="auto"/>
        <w:bottom w:val="none" w:sz="0" w:space="0" w:color="auto"/>
        <w:right w:val="none" w:sz="0" w:space="0" w:color="auto"/>
      </w:divBdr>
    </w:div>
    <w:div w:id="2020421804">
      <w:bodyDiv w:val="1"/>
      <w:marLeft w:val="0"/>
      <w:marRight w:val="0"/>
      <w:marTop w:val="0"/>
      <w:marBottom w:val="0"/>
      <w:divBdr>
        <w:top w:val="none" w:sz="0" w:space="0" w:color="auto"/>
        <w:left w:val="none" w:sz="0" w:space="0" w:color="auto"/>
        <w:bottom w:val="none" w:sz="0" w:space="0" w:color="auto"/>
        <w:right w:val="none" w:sz="0" w:space="0" w:color="auto"/>
      </w:divBdr>
    </w:div>
    <w:div w:id="2020814231">
      <w:bodyDiv w:val="1"/>
      <w:marLeft w:val="0"/>
      <w:marRight w:val="0"/>
      <w:marTop w:val="0"/>
      <w:marBottom w:val="0"/>
      <w:divBdr>
        <w:top w:val="none" w:sz="0" w:space="0" w:color="auto"/>
        <w:left w:val="none" w:sz="0" w:space="0" w:color="auto"/>
        <w:bottom w:val="none" w:sz="0" w:space="0" w:color="auto"/>
        <w:right w:val="none" w:sz="0" w:space="0" w:color="auto"/>
      </w:divBdr>
    </w:div>
    <w:div w:id="2020891509">
      <w:bodyDiv w:val="1"/>
      <w:marLeft w:val="0"/>
      <w:marRight w:val="0"/>
      <w:marTop w:val="0"/>
      <w:marBottom w:val="0"/>
      <w:divBdr>
        <w:top w:val="none" w:sz="0" w:space="0" w:color="auto"/>
        <w:left w:val="none" w:sz="0" w:space="0" w:color="auto"/>
        <w:bottom w:val="none" w:sz="0" w:space="0" w:color="auto"/>
        <w:right w:val="none" w:sz="0" w:space="0" w:color="auto"/>
      </w:divBdr>
    </w:div>
    <w:div w:id="2021076077">
      <w:bodyDiv w:val="1"/>
      <w:marLeft w:val="0"/>
      <w:marRight w:val="0"/>
      <w:marTop w:val="0"/>
      <w:marBottom w:val="0"/>
      <w:divBdr>
        <w:top w:val="none" w:sz="0" w:space="0" w:color="auto"/>
        <w:left w:val="none" w:sz="0" w:space="0" w:color="auto"/>
        <w:bottom w:val="none" w:sz="0" w:space="0" w:color="auto"/>
        <w:right w:val="none" w:sz="0" w:space="0" w:color="auto"/>
      </w:divBdr>
    </w:div>
    <w:div w:id="2021347956">
      <w:bodyDiv w:val="1"/>
      <w:marLeft w:val="0"/>
      <w:marRight w:val="0"/>
      <w:marTop w:val="0"/>
      <w:marBottom w:val="0"/>
      <w:divBdr>
        <w:top w:val="none" w:sz="0" w:space="0" w:color="auto"/>
        <w:left w:val="none" w:sz="0" w:space="0" w:color="auto"/>
        <w:bottom w:val="none" w:sz="0" w:space="0" w:color="auto"/>
        <w:right w:val="none" w:sz="0" w:space="0" w:color="auto"/>
      </w:divBdr>
    </w:div>
    <w:div w:id="2021466951">
      <w:bodyDiv w:val="1"/>
      <w:marLeft w:val="0"/>
      <w:marRight w:val="0"/>
      <w:marTop w:val="0"/>
      <w:marBottom w:val="0"/>
      <w:divBdr>
        <w:top w:val="none" w:sz="0" w:space="0" w:color="auto"/>
        <w:left w:val="none" w:sz="0" w:space="0" w:color="auto"/>
        <w:bottom w:val="none" w:sz="0" w:space="0" w:color="auto"/>
        <w:right w:val="none" w:sz="0" w:space="0" w:color="auto"/>
      </w:divBdr>
    </w:div>
    <w:div w:id="2021927933">
      <w:bodyDiv w:val="1"/>
      <w:marLeft w:val="0"/>
      <w:marRight w:val="0"/>
      <w:marTop w:val="0"/>
      <w:marBottom w:val="0"/>
      <w:divBdr>
        <w:top w:val="none" w:sz="0" w:space="0" w:color="auto"/>
        <w:left w:val="none" w:sz="0" w:space="0" w:color="auto"/>
        <w:bottom w:val="none" w:sz="0" w:space="0" w:color="auto"/>
        <w:right w:val="none" w:sz="0" w:space="0" w:color="auto"/>
      </w:divBdr>
    </w:div>
    <w:div w:id="2021933515">
      <w:bodyDiv w:val="1"/>
      <w:marLeft w:val="0"/>
      <w:marRight w:val="0"/>
      <w:marTop w:val="0"/>
      <w:marBottom w:val="0"/>
      <w:divBdr>
        <w:top w:val="none" w:sz="0" w:space="0" w:color="auto"/>
        <w:left w:val="none" w:sz="0" w:space="0" w:color="auto"/>
        <w:bottom w:val="none" w:sz="0" w:space="0" w:color="auto"/>
        <w:right w:val="none" w:sz="0" w:space="0" w:color="auto"/>
      </w:divBdr>
    </w:div>
    <w:div w:id="2022001147">
      <w:bodyDiv w:val="1"/>
      <w:marLeft w:val="0"/>
      <w:marRight w:val="0"/>
      <w:marTop w:val="0"/>
      <w:marBottom w:val="0"/>
      <w:divBdr>
        <w:top w:val="none" w:sz="0" w:space="0" w:color="auto"/>
        <w:left w:val="none" w:sz="0" w:space="0" w:color="auto"/>
        <w:bottom w:val="none" w:sz="0" w:space="0" w:color="auto"/>
        <w:right w:val="none" w:sz="0" w:space="0" w:color="auto"/>
      </w:divBdr>
    </w:div>
    <w:div w:id="2022127451">
      <w:bodyDiv w:val="1"/>
      <w:marLeft w:val="0"/>
      <w:marRight w:val="0"/>
      <w:marTop w:val="0"/>
      <w:marBottom w:val="0"/>
      <w:divBdr>
        <w:top w:val="none" w:sz="0" w:space="0" w:color="auto"/>
        <w:left w:val="none" w:sz="0" w:space="0" w:color="auto"/>
        <w:bottom w:val="none" w:sz="0" w:space="0" w:color="auto"/>
        <w:right w:val="none" w:sz="0" w:space="0" w:color="auto"/>
      </w:divBdr>
    </w:div>
    <w:div w:id="2022311771">
      <w:bodyDiv w:val="1"/>
      <w:marLeft w:val="0"/>
      <w:marRight w:val="0"/>
      <w:marTop w:val="0"/>
      <w:marBottom w:val="0"/>
      <w:divBdr>
        <w:top w:val="none" w:sz="0" w:space="0" w:color="auto"/>
        <w:left w:val="none" w:sz="0" w:space="0" w:color="auto"/>
        <w:bottom w:val="none" w:sz="0" w:space="0" w:color="auto"/>
        <w:right w:val="none" w:sz="0" w:space="0" w:color="auto"/>
      </w:divBdr>
    </w:div>
    <w:div w:id="2022387953">
      <w:bodyDiv w:val="1"/>
      <w:marLeft w:val="0"/>
      <w:marRight w:val="0"/>
      <w:marTop w:val="0"/>
      <w:marBottom w:val="0"/>
      <w:divBdr>
        <w:top w:val="none" w:sz="0" w:space="0" w:color="auto"/>
        <w:left w:val="none" w:sz="0" w:space="0" w:color="auto"/>
        <w:bottom w:val="none" w:sz="0" w:space="0" w:color="auto"/>
        <w:right w:val="none" w:sz="0" w:space="0" w:color="auto"/>
      </w:divBdr>
    </w:div>
    <w:div w:id="2022391151">
      <w:bodyDiv w:val="1"/>
      <w:marLeft w:val="0"/>
      <w:marRight w:val="0"/>
      <w:marTop w:val="0"/>
      <w:marBottom w:val="0"/>
      <w:divBdr>
        <w:top w:val="none" w:sz="0" w:space="0" w:color="auto"/>
        <w:left w:val="none" w:sz="0" w:space="0" w:color="auto"/>
        <w:bottom w:val="none" w:sz="0" w:space="0" w:color="auto"/>
        <w:right w:val="none" w:sz="0" w:space="0" w:color="auto"/>
      </w:divBdr>
    </w:div>
    <w:div w:id="2022509219">
      <w:bodyDiv w:val="1"/>
      <w:marLeft w:val="0"/>
      <w:marRight w:val="0"/>
      <w:marTop w:val="0"/>
      <w:marBottom w:val="0"/>
      <w:divBdr>
        <w:top w:val="none" w:sz="0" w:space="0" w:color="auto"/>
        <w:left w:val="none" w:sz="0" w:space="0" w:color="auto"/>
        <w:bottom w:val="none" w:sz="0" w:space="0" w:color="auto"/>
        <w:right w:val="none" w:sz="0" w:space="0" w:color="auto"/>
      </w:divBdr>
    </w:div>
    <w:div w:id="2022537966">
      <w:bodyDiv w:val="1"/>
      <w:marLeft w:val="0"/>
      <w:marRight w:val="0"/>
      <w:marTop w:val="0"/>
      <w:marBottom w:val="0"/>
      <w:divBdr>
        <w:top w:val="none" w:sz="0" w:space="0" w:color="auto"/>
        <w:left w:val="none" w:sz="0" w:space="0" w:color="auto"/>
        <w:bottom w:val="none" w:sz="0" w:space="0" w:color="auto"/>
        <w:right w:val="none" w:sz="0" w:space="0" w:color="auto"/>
      </w:divBdr>
    </w:div>
    <w:div w:id="2022732751">
      <w:bodyDiv w:val="1"/>
      <w:marLeft w:val="0"/>
      <w:marRight w:val="0"/>
      <w:marTop w:val="0"/>
      <w:marBottom w:val="0"/>
      <w:divBdr>
        <w:top w:val="none" w:sz="0" w:space="0" w:color="auto"/>
        <w:left w:val="none" w:sz="0" w:space="0" w:color="auto"/>
        <w:bottom w:val="none" w:sz="0" w:space="0" w:color="auto"/>
        <w:right w:val="none" w:sz="0" w:space="0" w:color="auto"/>
      </w:divBdr>
    </w:div>
    <w:div w:id="2022858294">
      <w:bodyDiv w:val="1"/>
      <w:marLeft w:val="0"/>
      <w:marRight w:val="0"/>
      <w:marTop w:val="0"/>
      <w:marBottom w:val="0"/>
      <w:divBdr>
        <w:top w:val="none" w:sz="0" w:space="0" w:color="auto"/>
        <w:left w:val="none" w:sz="0" w:space="0" w:color="auto"/>
        <w:bottom w:val="none" w:sz="0" w:space="0" w:color="auto"/>
        <w:right w:val="none" w:sz="0" w:space="0" w:color="auto"/>
      </w:divBdr>
    </w:div>
    <w:div w:id="2023193089">
      <w:bodyDiv w:val="1"/>
      <w:marLeft w:val="0"/>
      <w:marRight w:val="0"/>
      <w:marTop w:val="0"/>
      <w:marBottom w:val="0"/>
      <w:divBdr>
        <w:top w:val="none" w:sz="0" w:space="0" w:color="auto"/>
        <w:left w:val="none" w:sz="0" w:space="0" w:color="auto"/>
        <w:bottom w:val="none" w:sz="0" w:space="0" w:color="auto"/>
        <w:right w:val="none" w:sz="0" w:space="0" w:color="auto"/>
      </w:divBdr>
    </w:div>
    <w:div w:id="2023386182">
      <w:bodyDiv w:val="1"/>
      <w:marLeft w:val="0"/>
      <w:marRight w:val="0"/>
      <w:marTop w:val="0"/>
      <w:marBottom w:val="0"/>
      <w:divBdr>
        <w:top w:val="none" w:sz="0" w:space="0" w:color="auto"/>
        <w:left w:val="none" w:sz="0" w:space="0" w:color="auto"/>
        <w:bottom w:val="none" w:sz="0" w:space="0" w:color="auto"/>
        <w:right w:val="none" w:sz="0" w:space="0" w:color="auto"/>
      </w:divBdr>
    </w:div>
    <w:div w:id="2023388559">
      <w:bodyDiv w:val="1"/>
      <w:marLeft w:val="0"/>
      <w:marRight w:val="0"/>
      <w:marTop w:val="0"/>
      <w:marBottom w:val="0"/>
      <w:divBdr>
        <w:top w:val="none" w:sz="0" w:space="0" w:color="auto"/>
        <w:left w:val="none" w:sz="0" w:space="0" w:color="auto"/>
        <w:bottom w:val="none" w:sz="0" w:space="0" w:color="auto"/>
        <w:right w:val="none" w:sz="0" w:space="0" w:color="auto"/>
      </w:divBdr>
    </w:div>
    <w:div w:id="2023389642">
      <w:bodyDiv w:val="1"/>
      <w:marLeft w:val="0"/>
      <w:marRight w:val="0"/>
      <w:marTop w:val="0"/>
      <w:marBottom w:val="0"/>
      <w:divBdr>
        <w:top w:val="none" w:sz="0" w:space="0" w:color="auto"/>
        <w:left w:val="none" w:sz="0" w:space="0" w:color="auto"/>
        <w:bottom w:val="none" w:sz="0" w:space="0" w:color="auto"/>
        <w:right w:val="none" w:sz="0" w:space="0" w:color="auto"/>
      </w:divBdr>
    </w:div>
    <w:div w:id="2023390279">
      <w:bodyDiv w:val="1"/>
      <w:marLeft w:val="0"/>
      <w:marRight w:val="0"/>
      <w:marTop w:val="0"/>
      <w:marBottom w:val="0"/>
      <w:divBdr>
        <w:top w:val="none" w:sz="0" w:space="0" w:color="auto"/>
        <w:left w:val="none" w:sz="0" w:space="0" w:color="auto"/>
        <w:bottom w:val="none" w:sz="0" w:space="0" w:color="auto"/>
        <w:right w:val="none" w:sz="0" w:space="0" w:color="auto"/>
      </w:divBdr>
    </w:div>
    <w:div w:id="2023428679">
      <w:bodyDiv w:val="1"/>
      <w:marLeft w:val="0"/>
      <w:marRight w:val="0"/>
      <w:marTop w:val="0"/>
      <w:marBottom w:val="0"/>
      <w:divBdr>
        <w:top w:val="none" w:sz="0" w:space="0" w:color="auto"/>
        <w:left w:val="none" w:sz="0" w:space="0" w:color="auto"/>
        <w:bottom w:val="none" w:sz="0" w:space="0" w:color="auto"/>
        <w:right w:val="none" w:sz="0" w:space="0" w:color="auto"/>
      </w:divBdr>
    </w:div>
    <w:div w:id="2023511892">
      <w:bodyDiv w:val="1"/>
      <w:marLeft w:val="0"/>
      <w:marRight w:val="0"/>
      <w:marTop w:val="0"/>
      <w:marBottom w:val="0"/>
      <w:divBdr>
        <w:top w:val="none" w:sz="0" w:space="0" w:color="auto"/>
        <w:left w:val="none" w:sz="0" w:space="0" w:color="auto"/>
        <w:bottom w:val="none" w:sz="0" w:space="0" w:color="auto"/>
        <w:right w:val="none" w:sz="0" w:space="0" w:color="auto"/>
      </w:divBdr>
    </w:div>
    <w:div w:id="2023624012">
      <w:bodyDiv w:val="1"/>
      <w:marLeft w:val="0"/>
      <w:marRight w:val="0"/>
      <w:marTop w:val="0"/>
      <w:marBottom w:val="0"/>
      <w:divBdr>
        <w:top w:val="none" w:sz="0" w:space="0" w:color="auto"/>
        <w:left w:val="none" w:sz="0" w:space="0" w:color="auto"/>
        <w:bottom w:val="none" w:sz="0" w:space="0" w:color="auto"/>
        <w:right w:val="none" w:sz="0" w:space="0" w:color="auto"/>
      </w:divBdr>
    </w:div>
    <w:div w:id="2024044940">
      <w:bodyDiv w:val="1"/>
      <w:marLeft w:val="0"/>
      <w:marRight w:val="0"/>
      <w:marTop w:val="0"/>
      <w:marBottom w:val="0"/>
      <w:divBdr>
        <w:top w:val="none" w:sz="0" w:space="0" w:color="auto"/>
        <w:left w:val="none" w:sz="0" w:space="0" w:color="auto"/>
        <w:bottom w:val="none" w:sz="0" w:space="0" w:color="auto"/>
        <w:right w:val="none" w:sz="0" w:space="0" w:color="auto"/>
      </w:divBdr>
    </w:div>
    <w:div w:id="2024046113">
      <w:bodyDiv w:val="1"/>
      <w:marLeft w:val="0"/>
      <w:marRight w:val="0"/>
      <w:marTop w:val="0"/>
      <w:marBottom w:val="0"/>
      <w:divBdr>
        <w:top w:val="none" w:sz="0" w:space="0" w:color="auto"/>
        <w:left w:val="none" w:sz="0" w:space="0" w:color="auto"/>
        <w:bottom w:val="none" w:sz="0" w:space="0" w:color="auto"/>
        <w:right w:val="none" w:sz="0" w:space="0" w:color="auto"/>
      </w:divBdr>
    </w:div>
    <w:div w:id="2024162292">
      <w:bodyDiv w:val="1"/>
      <w:marLeft w:val="0"/>
      <w:marRight w:val="0"/>
      <w:marTop w:val="0"/>
      <w:marBottom w:val="0"/>
      <w:divBdr>
        <w:top w:val="none" w:sz="0" w:space="0" w:color="auto"/>
        <w:left w:val="none" w:sz="0" w:space="0" w:color="auto"/>
        <w:bottom w:val="none" w:sz="0" w:space="0" w:color="auto"/>
        <w:right w:val="none" w:sz="0" w:space="0" w:color="auto"/>
      </w:divBdr>
    </w:div>
    <w:div w:id="2024163590">
      <w:bodyDiv w:val="1"/>
      <w:marLeft w:val="0"/>
      <w:marRight w:val="0"/>
      <w:marTop w:val="0"/>
      <w:marBottom w:val="0"/>
      <w:divBdr>
        <w:top w:val="none" w:sz="0" w:space="0" w:color="auto"/>
        <w:left w:val="none" w:sz="0" w:space="0" w:color="auto"/>
        <w:bottom w:val="none" w:sz="0" w:space="0" w:color="auto"/>
        <w:right w:val="none" w:sz="0" w:space="0" w:color="auto"/>
      </w:divBdr>
    </w:div>
    <w:div w:id="2024238130">
      <w:bodyDiv w:val="1"/>
      <w:marLeft w:val="0"/>
      <w:marRight w:val="0"/>
      <w:marTop w:val="0"/>
      <w:marBottom w:val="0"/>
      <w:divBdr>
        <w:top w:val="none" w:sz="0" w:space="0" w:color="auto"/>
        <w:left w:val="none" w:sz="0" w:space="0" w:color="auto"/>
        <w:bottom w:val="none" w:sz="0" w:space="0" w:color="auto"/>
        <w:right w:val="none" w:sz="0" w:space="0" w:color="auto"/>
      </w:divBdr>
    </w:div>
    <w:div w:id="2024278544">
      <w:bodyDiv w:val="1"/>
      <w:marLeft w:val="0"/>
      <w:marRight w:val="0"/>
      <w:marTop w:val="0"/>
      <w:marBottom w:val="0"/>
      <w:divBdr>
        <w:top w:val="none" w:sz="0" w:space="0" w:color="auto"/>
        <w:left w:val="none" w:sz="0" w:space="0" w:color="auto"/>
        <w:bottom w:val="none" w:sz="0" w:space="0" w:color="auto"/>
        <w:right w:val="none" w:sz="0" w:space="0" w:color="auto"/>
      </w:divBdr>
    </w:div>
    <w:div w:id="2024431469">
      <w:bodyDiv w:val="1"/>
      <w:marLeft w:val="0"/>
      <w:marRight w:val="0"/>
      <w:marTop w:val="0"/>
      <w:marBottom w:val="0"/>
      <w:divBdr>
        <w:top w:val="none" w:sz="0" w:space="0" w:color="auto"/>
        <w:left w:val="none" w:sz="0" w:space="0" w:color="auto"/>
        <w:bottom w:val="none" w:sz="0" w:space="0" w:color="auto"/>
        <w:right w:val="none" w:sz="0" w:space="0" w:color="auto"/>
      </w:divBdr>
    </w:div>
    <w:div w:id="2024626160">
      <w:bodyDiv w:val="1"/>
      <w:marLeft w:val="0"/>
      <w:marRight w:val="0"/>
      <w:marTop w:val="0"/>
      <w:marBottom w:val="0"/>
      <w:divBdr>
        <w:top w:val="none" w:sz="0" w:space="0" w:color="auto"/>
        <w:left w:val="none" w:sz="0" w:space="0" w:color="auto"/>
        <w:bottom w:val="none" w:sz="0" w:space="0" w:color="auto"/>
        <w:right w:val="none" w:sz="0" w:space="0" w:color="auto"/>
      </w:divBdr>
    </w:div>
    <w:div w:id="2024937835">
      <w:bodyDiv w:val="1"/>
      <w:marLeft w:val="0"/>
      <w:marRight w:val="0"/>
      <w:marTop w:val="0"/>
      <w:marBottom w:val="0"/>
      <w:divBdr>
        <w:top w:val="none" w:sz="0" w:space="0" w:color="auto"/>
        <w:left w:val="none" w:sz="0" w:space="0" w:color="auto"/>
        <w:bottom w:val="none" w:sz="0" w:space="0" w:color="auto"/>
        <w:right w:val="none" w:sz="0" w:space="0" w:color="auto"/>
      </w:divBdr>
    </w:div>
    <w:div w:id="2024938986">
      <w:bodyDiv w:val="1"/>
      <w:marLeft w:val="0"/>
      <w:marRight w:val="0"/>
      <w:marTop w:val="0"/>
      <w:marBottom w:val="0"/>
      <w:divBdr>
        <w:top w:val="none" w:sz="0" w:space="0" w:color="auto"/>
        <w:left w:val="none" w:sz="0" w:space="0" w:color="auto"/>
        <w:bottom w:val="none" w:sz="0" w:space="0" w:color="auto"/>
        <w:right w:val="none" w:sz="0" w:space="0" w:color="auto"/>
      </w:divBdr>
    </w:div>
    <w:div w:id="2025285100">
      <w:bodyDiv w:val="1"/>
      <w:marLeft w:val="0"/>
      <w:marRight w:val="0"/>
      <w:marTop w:val="0"/>
      <w:marBottom w:val="0"/>
      <w:divBdr>
        <w:top w:val="none" w:sz="0" w:space="0" w:color="auto"/>
        <w:left w:val="none" w:sz="0" w:space="0" w:color="auto"/>
        <w:bottom w:val="none" w:sz="0" w:space="0" w:color="auto"/>
        <w:right w:val="none" w:sz="0" w:space="0" w:color="auto"/>
      </w:divBdr>
    </w:div>
    <w:div w:id="2025742727">
      <w:bodyDiv w:val="1"/>
      <w:marLeft w:val="0"/>
      <w:marRight w:val="0"/>
      <w:marTop w:val="0"/>
      <w:marBottom w:val="0"/>
      <w:divBdr>
        <w:top w:val="none" w:sz="0" w:space="0" w:color="auto"/>
        <w:left w:val="none" w:sz="0" w:space="0" w:color="auto"/>
        <w:bottom w:val="none" w:sz="0" w:space="0" w:color="auto"/>
        <w:right w:val="none" w:sz="0" w:space="0" w:color="auto"/>
      </w:divBdr>
    </w:div>
    <w:div w:id="2025788717">
      <w:bodyDiv w:val="1"/>
      <w:marLeft w:val="0"/>
      <w:marRight w:val="0"/>
      <w:marTop w:val="0"/>
      <w:marBottom w:val="0"/>
      <w:divBdr>
        <w:top w:val="none" w:sz="0" w:space="0" w:color="auto"/>
        <w:left w:val="none" w:sz="0" w:space="0" w:color="auto"/>
        <w:bottom w:val="none" w:sz="0" w:space="0" w:color="auto"/>
        <w:right w:val="none" w:sz="0" w:space="0" w:color="auto"/>
      </w:divBdr>
    </w:div>
    <w:div w:id="2026318257">
      <w:bodyDiv w:val="1"/>
      <w:marLeft w:val="0"/>
      <w:marRight w:val="0"/>
      <w:marTop w:val="0"/>
      <w:marBottom w:val="0"/>
      <w:divBdr>
        <w:top w:val="none" w:sz="0" w:space="0" w:color="auto"/>
        <w:left w:val="none" w:sz="0" w:space="0" w:color="auto"/>
        <w:bottom w:val="none" w:sz="0" w:space="0" w:color="auto"/>
        <w:right w:val="none" w:sz="0" w:space="0" w:color="auto"/>
      </w:divBdr>
    </w:div>
    <w:div w:id="2026395332">
      <w:bodyDiv w:val="1"/>
      <w:marLeft w:val="0"/>
      <w:marRight w:val="0"/>
      <w:marTop w:val="0"/>
      <w:marBottom w:val="0"/>
      <w:divBdr>
        <w:top w:val="none" w:sz="0" w:space="0" w:color="auto"/>
        <w:left w:val="none" w:sz="0" w:space="0" w:color="auto"/>
        <w:bottom w:val="none" w:sz="0" w:space="0" w:color="auto"/>
        <w:right w:val="none" w:sz="0" w:space="0" w:color="auto"/>
      </w:divBdr>
    </w:div>
    <w:div w:id="2026513926">
      <w:bodyDiv w:val="1"/>
      <w:marLeft w:val="0"/>
      <w:marRight w:val="0"/>
      <w:marTop w:val="0"/>
      <w:marBottom w:val="0"/>
      <w:divBdr>
        <w:top w:val="none" w:sz="0" w:space="0" w:color="auto"/>
        <w:left w:val="none" w:sz="0" w:space="0" w:color="auto"/>
        <w:bottom w:val="none" w:sz="0" w:space="0" w:color="auto"/>
        <w:right w:val="none" w:sz="0" w:space="0" w:color="auto"/>
      </w:divBdr>
    </w:div>
    <w:div w:id="2026517556">
      <w:bodyDiv w:val="1"/>
      <w:marLeft w:val="0"/>
      <w:marRight w:val="0"/>
      <w:marTop w:val="0"/>
      <w:marBottom w:val="0"/>
      <w:divBdr>
        <w:top w:val="none" w:sz="0" w:space="0" w:color="auto"/>
        <w:left w:val="none" w:sz="0" w:space="0" w:color="auto"/>
        <w:bottom w:val="none" w:sz="0" w:space="0" w:color="auto"/>
        <w:right w:val="none" w:sz="0" w:space="0" w:color="auto"/>
      </w:divBdr>
    </w:div>
    <w:div w:id="2026590742">
      <w:bodyDiv w:val="1"/>
      <w:marLeft w:val="0"/>
      <w:marRight w:val="0"/>
      <w:marTop w:val="0"/>
      <w:marBottom w:val="0"/>
      <w:divBdr>
        <w:top w:val="none" w:sz="0" w:space="0" w:color="auto"/>
        <w:left w:val="none" w:sz="0" w:space="0" w:color="auto"/>
        <w:bottom w:val="none" w:sz="0" w:space="0" w:color="auto"/>
        <w:right w:val="none" w:sz="0" w:space="0" w:color="auto"/>
      </w:divBdr>
    </w:div>
    <w:div w:id="2027361895">
      <w:bodyDiv w:val="1"/>
      <w:marLeft w:val="0"/>
      <w:marRight w:val="0"/>
      <w:marTop w:val="0"/>
      <w:marBottom w:val="0"/>
      <w:divBdr>
        <w:top w:val="none" w:sz="0" w:space="0" w:color="auto"/>
        <w:left w:val="none" w:sz="0" w:space="0" w:color="auto"/>
        <w:bottom w:val="none" w:sz="0" w:space="0" w:color="auto"/>
        <w:right w:val="none" w:sz="0" w:space="0" w:color="auto"/>
      </w:divBdr>
    </w:div>
    <w:div w:id="2027437741">
      <w:bodyDiv w:val="1"/>
      <w:marLeft w:val="0"/>
      <w:marRight w:val="0"/>
      <w:marTop w:val="0"/>
      <w:marBottom w:val="0"/>
      <w:divBdr>
        <w:top w:val="none" w:sz="0" w:space="0" w:color="auto"/>
        <w:left w:val="none" w:sz="0" w:space="0" w:color="auto"/>
        <w:bottom w:val="none" w:sz="0" w:space="0" w:color="auto"/>
        <w:right w:val="none" w:sz="0" w:space="0" w:color="auto"/>
      </w:divBdr>
    </w:div>
    <w:div w:id="2027558012">
      <w:bodyDiv w:val="1"/>
      <w:marLeft w:val="0"/>
      <w:marRight w:val="0"/>
      <w:marTop w:val="0"/>
      <w:marBottom w:val="0"/>
      <w:divBdr>
        <w:top w:val="none" w:sz="0" w:space="0" w:color="auto"/>
        <w:left w:val="none" w:sz="0" w:space="0" w:color="auto"/>
        <w:bottom w:val="none" w:sz="0" w:space="0" w:color="auto"/>
        <w:right w:val="none" w:sz="0" w:space="0" w:color="auto"/>
      </w:divBdr>
    </w:div>
    <w:div w:id="2027558295">
      <w:bodyDiv w:val="1"/>
      <w:marLeft w:val="0"/>
      <w:marRight w:val="0"/>
      <w:marTop w:val="0"/>
      <w:marBottom w:val="0"/>
      <w:divBdr>
        <w:top w:val="none" w:sz="0" w:space="0" w:color="auto"/>
        <w:left w:val="none" w:sz="0" w:space="0" w:color="auto"/>
        <w:bottom w:val="none" w:sz="0" w:space="0" w:color="auto"/>
        <w:right w:val="none" w:sz="0" w:space="0" w:color="auto"/>
      </w:divBdr>
    </w:div>
    <w:div w:id="2027561165">
      <w:bodyDiv w:val="1"/>
      <w:marLeft w:val="0"/>
      <w:marRight w:val="0"/>
      <w:marTop w:val="0"/>
      <w:marBottom w:val="0"/>
      <w:divBdr>
        <w:top w:val="none" w:sz="0" w:space="0" w:color="auto"/>
        <w:left w:val="none" w:sz="0" w:space="0" w:color="auto"/>
        <w:bottom w:val="none" w:sz="0" w:space="0" w:color="auto"/>
        <w:right w:val="none" w:sz="0" w:space="0" w:color="auto"/>
      </w:divBdr>
    </w:div>
    <w:div w:id="2027829065">
      <w:bodyDiv w:val="1"/>
      <w:marLeft w:val="0"/>
      <w:marRight w:val="0"/>
      <w:marTop w:val="0"/>
      <w:marBottom w:val="0"/>
      <w:divBdr>
        <w:top w:val="none" w:sz="0" w:space="0" w:color="auto"/>
        <w:left w:val="none" w:sz="0" w:space="0" w:color="auto"/>
        <w:bottom w:val="none" w:sz="0" w:space="0" w:color="auto"/>
        <w:right w:val="none" w:sz="0" w:space="0" w:color="auto"/>
      </w:divBdr>
    </w:div>
    <w:div w:id="2027946707">
      <w:bodyDiv w:val="1"/>
      <w:marLeft w:val="0"/>
      <w:marRight w:val="0"/>
      <w:marTop w:val="0"/>
      <w:marBottom w:val="0"/>
      <w:divBdr>
        <w:top w:val="none" w:sz="0" w:space="0" w:color="auto"/>
        <w:left w:val="none" w:sz="0" w:space="0" w:color="auto"/>
        <w:bottom w:val="none" w:sz="0" w:space="0" w:color="auto"/>
        <w:right w:val="none" w:sz="0" w:space="0" w:color="auto"/>
      </w:divBdr>
    </w:div>
    <w:div w:id="2028142608">
      <w:bodyDiv w:val="1"/>
      <w:marLeft w:val="0"/>
      <w:marRight w:val="0"/>
      <w:marTop w:val="0"/>
      <w:marBottom w:val="0"/>
      <w:divBdr>
        <w:top w:val="none" w:sz="0" w:space="0" w:color="auto"/>
        <w:left w:val="none" w:sz="0" w:space="0" w:color="auto"/>
        <w:bottom w:val="none" w:sz="0" w:space="0" w:color="auto"/>
        <w:right w:val="none" w:sz="0" w:space="0" w:color="auto"/>
      </w:divBdr>
    </w:div>
    <w:div w:id="2028209551">
      <w:bodyDiv w:val="1"/>
      <w:marLeft w:val="0"/>
      <w:marRight w:val="0"/>
      <w:marTop w:val="0"/>
      <w:marBottom w:val="0"/>
      <w:divBdr>
        <w:top w:val="none" w:sz="0" w:space="0" w:color="auto"/>
        <w:left w:val="none" w:sz="0" w:space="0" w:color="auto"/>
        <w:bottom w:val="none" w:sz="0" w:space="0" w:color="auto"/>
        <w:right w:val="none" w:sz="0" w:space="0" w:color="auto"/>
      </w:divBdr>
    </w:div>
    <w:div w:id="2028286751">
      <w:bodyDiv w:val="1"/>
      <w:marLeft w:val="0"/>
      <w:marRight w:val="0"/>
      <w:marTop w:val="0"/>
      <w:marBottom w:val="0"/>
      <w:divBdr>
        <w:top w:val="none" w:sz="0" w:space="0" w:color="auto"/>
        <w:left w:val="none" w:sz="0" w:space="0" w:color="auto"/>
        <w:bottom w:val="none" w:sz="0" w:space="0" w:color="auto"/>
        <w:right w:val="none" w:sz="0" w:space="0" w:color="auto"/>
      </w:divBdr>
    </w:div>
    <w:div w:id="2028368495">
      <w:bodyDiv w:val="1"/>
      <w:marLeft w:val="0"/>
      <w:marRight w:val="0"/>
      <w:marTop w:val="0"/>
      <w:marBottom w:val="0"/>
      <w:divBdr>
        <w:top w:val="none" w:sz="0" w:space="0" w:color="auto"/>
        <w:left w:val="none" w:sz="0" w:space="0" w:color="auto"/>
        <w:bottom w:val="none" w:sz="0" w:space="0" w:color="auto"/>
        <w:right w:val="none" w:sz="0" w:space="0" w:color="auto"/>
      </w:divBdr>
    </w:div>
    <w:div w:id="2028410627">
      <w:bodyDiv w:val="1"/>
      <w:marLeft w:val="0"/>
      <w:marRight w:val="0"/>
      <w:marTop w:val="0"/>
      <w:marBottom w:val="0"/>
      <w:divBdr>
        <w:top w:val="none" w:sz="0" w:space="0" w:color="auto"/>
        <w:left w:val="none" w:sz="0" w:space="0" w:color="auto"/>
        <w:bottom w:val="none" w:sz="0" w:space="0" w:color="auto"/>
        <w:right w:val="none" w:sz="0" w:space="0" w:color="auto"/>
      </w:divBdr>
    </w:div>
    <w:div w:id="2028864238">
      <w:bodyDiv w:val="1"/>
      <w:marLeft w:val="0"/>
      <w:marRight w:val="0"/>
      <w:marTop w:val="0"/>
      <w:marBottom w:val="0"/>
      <w:divBdr>
        <w:top w:val="none" w:sz="0" w:space="0" w:color="auto"/>
        <w:left w:val="none" w:sz="0" w:space="0" w:color="auto"/>
        <w:bottom w:val="none" w:sz="0" w:space="0" w:color="auto"/>
        <w:right w:val="none" w:sz="0" w:space="0" w:color="auto"/>
      </w:divBdr>
    </w:div>
    <w:div w:id="2028940946">
      <w:bodyDiv w:val="1"/>
      <w:marLeft w:val="0"/>
      <w:marRight w:val="0"/>
      <w:marTop w:val="0"/>
      <w:marBottom w:val="0"/>
      <w:divBdr>
        <w:top w:val="none" w:sz="0" w:space="0" w:color="auto"/>
        <w:left w:val="none" w:sz="0" w:space="0" w:color="auto"/>
        <w:bottom w:val="none" w:sz="0" w:space="0" w:color="auto"/>
        <w:right w:val="none" w:sz="0" w:space="0" w:color="auto"/>
      </w:divBdr>
    </w:div>
    <w:div w:id="2028945862">
      <w:bodyDiv w:val="1"/>
      <w:marLeft w:val="0"/>
      <w:marRight w:val="0"/>
      <w:marTop w:val="0"/>
      <w:marBottom w:val="0"/>
      <w:divBdr>
        <w:top w:val="none" w:sz="0" w:space="0" w:color="auto"/>
        <w:left w:val="none" w:sz="0" w:space="0" w:color="auto"/>
        <w:bottom w:val="none" w:sz="0" w:space="0" w:color="auto"/>
        <w:right w:val="none" w:sz="0" w:space="0" w:color="auto"/>
      </w:divBdr>
    </w:div>
    <w:div w:id="2029062235">
      <w:bodyDiv w:val="1"/>
      <w:marLeft w:val="0"/>
      <w:marRight w:val="0"/>
      <w:marTop w:val="0"/>
      <w:marBottom w:val="0"/>
      <w:divBdr>
        <w:top w:val="none" w:sz="0" w:space="0" w:color="auto"/>
        <w:left w:val="none" w:sz="0" w:space="0" w:color="auto"/>
        <w:bottom w:val="none" w:sz="0" w:space="0" w:color="auto"/>
        <w:right w:val="none" w:sz="0" w:space="0" w:color="auto"/>
      </w:divBdr>
    </w:div>
    <w:div w:id="2029064707">
      <w:bodyDiv w:val="1"/>
      <w:marLeft w:val="0"/>
      <w:marRight w:val="0"/>
      <w:marTop w:val="0"/>
      <w:marBottom w:val="0"/>
      <w:divBdr>
        <w:top w:val="none" w:sz="0" w:space="0" w:color="auto"/>
        <w:left w:val="none" w:sz="0" w:space="0" w:color="auto"/>
        <w:bottom w:val="none" w:sz="0" w:space="0" w:color="auto"/>
        <w:right w:val="none" w:sz="0" w:space="0" w:color="auto"/>
      </w:divBdr>
    </w:div>
    <w:div w:id="2029289123">
      <w:bodyDiv w:val="1"/>
      <w:marLeft w:val="0"/>
      <w:marRight w:val="0"/>
      <w:marTop w:val="0"/>
      <w:marBottom w:val="0"/>
      <w:divBdr>
        <w:top w:val="none" w:sz="0" w:space="0" w:color="auto"/>
        <w:left w:val="none" w:sz="0" w:space="0" w:color="auto"/>
        <w:bottom w:val="none" w:sz="0" w:space="0" w:color="auto"/>
        <w:right w:val="none" w:sz="0" w:space="0" w:color="auto"/>
      </w:divBdr>
    </w:div>
    <w:div w:id="2029407569">
      <w:bodyDiv w:val="1"/>
      <w:marLeft w:val="0"/>
      <w:marRight w:val="0"/>
      <w:marTop w:val="0"/>
      <w:marBottom w:val="0"/>
      <w:divBdr>
        <w:top w:val="none" w:sz="0" w:space="0" w:color="auto"/>
        <w:left w:val="none" w:sz="0" w:space="0" w:color="auto"/>
        <w:bottom w:val="none" w:sz="0" w:space="0" w:color="auto"/>
        <w:right w:val="none" w:sz="0" w:space="0" w:color="auto"/>
      </w:divBdr>
    </w:div>
    <w:div w:id="2029477511">
      <w:bodyDiv w:val="1"/>
      <w:marLeft w:val="0"/>
      <w:marRight w:val="0"/>
      <w:marTop w:val="0"/>
      <w:marBottom w:val="0"/>
      <w:divBdr>
        <w:top w:val="none" w:sz="0" w:space="0" w:color="auto"/>
        <w:left w:val="none" w:sz="0" w:space="0" w:color="auto"/>
        <w:bottom w:val="none" w:sz="0" w:space="0" w:color="auto"/>
        <w:right w:val="none" w:sz="0" w:space="0" w:color="auto"/>
      </w:divBdr>
    </w:div>
    <w:div w:id="2029598264">
      <w:bodyDiv w:val="1"/>
      <w:marLeft w:val="0"/>
      <w:marRight w:val="0"/>
      <w:marTop w:val="0"/>
      <w:marBottom w:val="0"/>
      <w:divBdr>
        <w:top w:val="none" w:sz="0" w:space="0" w:color="auto"/>
        <w:left w:val="none" w:sz="0" w:space="0" w:color="auto"/>
        <w:bottom w:val="none" w:sz="0" w:space="0" w:color="auto"/>
        <w:right w:val="none" w:sz="0" w:space="0" w:color="auto"/>
      </w:divBdr>
    </w:div>
    <w:div w:id="2029670413">
      <w:bodyDiv w:val="1"/>
      <w:marLeft w:val="0"/>
      <w:marRight w:val="0"/>
      <w:marTop w:val="0"/>
      <w:marBottom w:val="0"/>
      <w:divBdr>
        <w:top w:val="none" w:sz="0" w:space="0" w:color="auto"/>
        <w:left w:val="none" w:sz="0" w:space="0" w:color="auto"/>
        <w:bottom w:val="none" w:sz="0" w:space="0" w:color="auto"/>
        <w:right w:val="none" w:sz="0" w:space="0" w:color="auto"/>
      </w:divBdr>
    </w:div>
    <w:div w:id="2029716920">
      <w:bodyDiv w:val="1"/>
      <w:marLeft w:val="0"/>
      <w:marRight w:val="0"/>
      <w:marTop w:val="0"/>
      <w:marBottom w:val="0"/>
      <w:divBdr>
        <w:top w:val="none" w:sz="0" w:space="0" w:color="auto"/>
        <w:left w:val="none" w:sz="0" w:space="0" w:color="auto"/>
        <w:bottom w:val="none" w:sz="0" w:space="0" w:color="auto"/>
        <w:right w:val="none" w:sz="0" w:space="0" w:color="auto"/>
      </w:divBdr>
    </w:div>
    <w:div w:id="2029721681">
      <w:bodyDiv w:val="1"/>
      <w:marLeft w:val="0"/>
      <w:marRight w:val="0"/>
      <w:marTop w:val="0"/>
      <w:marBottom w:val="0"/>
      <w:divBdr>
        <w:top w:val="none" w:sz="0" w:space="0" w:color="auto"/>
        <w:left w:val="none" w:sz="0" w:space="0" w:color="auto"/>
        <w:bottom w:val="none" w:sz="0" w:space="0" w:color="auto"/>
        <w:right w:val="none" w:sz="0" w:space="0" w:color="auto"/>
      </w:divBdr>
    </w:div>
    <w:div w:id="2029941430">
      <w:bodyDiv w:val="1"/>
      <w:marLeft w:val="0"/>
      <w:marRight w:val="0"/>
      <w:marTop w:val="0"/>
      <w:marBottom w:val="0"/>
      <w:divBdr>
        <w:top w:val="none" w:sz="0" w:space="0" w:color="auto"/>
        <w:left w:val="none" w:sz="0" w:space="0" w:color="auto"/>
        <w:bottom w:val="none" w:sz="0" w:space="0" w:color="auto"/>
        <w:right w:val="none" w:sz="0" w:space="0" w:color="auto"/>
      </w:divBdr>
    </w:div>
    <w:div w:id="2030065999">
      <w:bodyDiv w:val="1"/>
      <w:marLeft w:val="0"/>
      <w:marRight w:val="0"/>
      <w:marTop w:val="0"/>
      <w:marBottom w:val="0"/>
      <w:divBdr>
        <w:top w:val="none" w:sz="0" w:space="0" w:color="auto"/>
        <w:left w:val="none" w:sz="0" w:space="0" w:color="auto"/>
        <w:bottom w:val="none" w:sz="0" w:space="0" w:color="auto"/>
        <w:right w:val="none" w:sz="0" w:space="0" w:color="auto"/>
      </w:divBdr>
    </w:div>
    <w:div w:id="2030132264">
      <w:bodyDiv w:val="1"/>
      <w:marLeft w:val="0"/>
      <w:marRight w:val="0"/>
      <w:marTop w:val="0"/>
      <w:marBottom w:val="0"/>
      <w:divBdr>
        <w:top w:val="none" w:sz="0" w:space="0" w:color="auto"/>
        <w:left w:val="none" w:sz="0" w:space="0" w:color="auto"/>
        <w:bottom w:val="none" w:sz="0" w:space="0" w:color="auto"/>
        <w:right w:val="none" w:sz="0" w:space="0" w:color="auto"/>
      </w:divBdr>
    </w:div>
    <w:div w:id="2030252407">
      <w:bodyDiv w:val="1"/>
      <w:marLeft w:val="0"/>
      <w:marRight w:val="0"/>
      <w:marTop w:val="0"/>
      <w:marBottom w:val="0"/>
      <w:divBdr>
        <w:top w:val="none" w:sz="0" w:space="0" w:color="auto"/>
        <w:left w:val="none" w:sz="0" w:space="0" w:color="auto"/>
        <w:bottom w:val="none" w:sz="0" w:space="0" w:color="auto"/>
        <w:right w:val="none" w:sz="0" w:space="0" w:color="auto"/>
      </w:divBdr>
    </w:div>
    <w:div w:id="2030451519">
      <w:bodyDiv w:val="1"/>
      <w:marLeft w:val="0"/>
      <w:marRight w:val="0"/>
      <w:marTop w:val="0"/>
      <w:marBottom w:val="0"/>
      <w:divBdr>
        <w:top w:val="none" w:sz="0" w:space="0" w:color="auto"/>
        <w:left w:val="none" w:sz="0" w:space="0" w:color="auto"/>
        <w:bottom w:val="none" w:sz="0" w:space="0" w:color="auto"/>
        <w:right w:val="none" w:sz="0" w:space="0" w:color="auto"/>
      </w:divBdr>
    </w:div>
    <w:div w:id="2030595558">
      <w:bodyDiv w:val="1"/>
      <w:marLeft w:val="0"/>
      <w:marRight w:val="0"/>
      <w:marTop w:val="0"/>
      <w:marBottom w:val="0"/>
      <w:divBdr>
        <w:top w:val="none" w:sz="0" w:space="0" w:color="auto"/>
        <w:left w:val="none" w:sz="0" w:space="0" w:color="auto"/>
        <w:bottom w:val="none" w:sz="0" w:space="0" w:color="auto"/>
        <w:right w:val="none" w:sz="0" w:space="0" w:color="auto"/>
      </w:divBdr>
    </w:div>
    <w:div w:id="2030639122">
      <w:bodyDiv w:val="1"/>
      <w:marLeft w:val="0"/>
      <w:marRight w:val="0"/>
      <w:marTop w:val="0"/>
      <w:marBottom w:val="0"/>
      <w:divBdr>
        <w:top w:val="none" w:sz="0" w:space="0" w:color="auto"/>
        <w:left w:val="none" w:sz="0" w:space="0" w:color="auto"/>
        <w:bottom w:val="none" w:sz="0" w:space="0" w:color="auto"/>
        <w:right w:val="none" w:sz="0" w:space="0" w:color="auto"/>
      </w:divBdr>
    </w:div>
    <w:div w:id="2030987180">
      <w:bodyDiv w:val="1"/>
      <w:marLeft w:val="0"/>
      <w:marRight w:val="0"/>
      <w:marTop w:val="0"/>
      <w:marBottom w:val="0"/>
      <w:divBdr>
        <w:top w:val="none" w:sz="0" w:space="0" w:color="auto"/>
        <w:left w:val="none" w:sz="0" w:space="0" w:color="auto"/>
        <w:bottom w:val="none" w:sz="0" w:space="0" w:color="auto"/>
        <w:right w:val="none" w:sz="0" w:space="0" w:color="auto"/>
      </w:divBdr>
    </w:div>
    <w:div w:id="2031107025">
      <w:bodyDiv w:val="1"/>
      <w:marLeft w:val="0"/>
      <w:marRight w:val="0"/>
      <w:marTop w:val="0"/>
      <w:marBottom w:val="0"/>
      <w:divBdr>
        <w:top w:val="none" w:sz="0" w:space="0" w:color="auto"/>
        <w:left w:val="none" w:sz="0" w:space="0" w:color="auto"/>
        <w:bottom w:val="none" w:sz="0" w:space="0" w:color="auto"/>
        <w:right w:val="none" w:sz="0" w:space="0" w:color="auto"/>
      </w:divBdr>
    </w:div>
    <w:div w:id="2031447548">
      <w:bodyDiv w:val="1"/>
      <w:marLeft w:val="0"/>
      <w:marRight w:val="0"/>
      <w:marTop w:val="0"/>
      <w:marBottom w:val="0"/>
      <w:divBdr>
        <w:top w:val="none" w:sz="0" w:space="0" w:color="auto"/>
        <w:left w:val="none" w:sz="0" w:space="0" w:color="auto"/>
        <w:bottom w:val="none" w:sz="0" w:space="0" w:color="auto"/>
        <w:right w:val="none" w:sz="0" w:space="0" w:color="auto"/>
      </w:divBdr>
    </w:div>
    <w:div w:id="2031834627">
      <w:bodyDiv w:val="1"/>
      <w:marLeft w:val="0"/>
      <w:marRight w:val="0"/>
      <w:marTop w:val="0"/>
      <w:marBottom w:val="0"/>
      <w:divBdr>
        <w:top w:val="none" w:sz="0" w:space="0" w:color="auto"/>
        <w:left w:val="none" w:sz="0" w:space="0" w:color="auto"/>
        <w:bottom w:val="none" w:sz="0" w:space="0" w:color="auto"/>
        <w:right w:val="none" w:sz="0" w:space="0" w:color="auto"/>
      </w:divBdr>
    </w:div>
    <w:div w:id="2031880498">
      <w:bodyDiv w:val="1"/>
      <w:marLeft w:val="0"/>
      <w:marRight w:val="0"/>
      <w:marTop w:val="0"/>
      <w:marBottom w:val="0"/>
      <w:divBdr>
        <w:top w:val="none" w:sz="0" w:space="0" w:color="auto"/>
        <w:left w:val="none" w:sz="0" w:space="0" w:color="auto"/>
        <w:bottom w:val="none" w:sz="0" w:space="0" w:color="auto"/>
        <w:right w:val="none" w:sz="0" w:space="0" w:color="auto"/>
      </w:divBdr>
    </w:div>
    <w:div w:id="2031954605">
      <w:bodyDiv w:val="1"/>
      <w:marLeft w:val="0"/>
      <w:marRight w:val="0"/>
      <w:marTop w:val="0"/>
      <w:marBottom w:val="0"/>
      <w:divBdr>
        <w:top w:val="none" w:sz="0" w:space="0" w:color="auto"/>
        <w:left w:val="none" w:sz="0" w:space="0" w:color="auto"/>
        <w:bottom w:val="none" w:sz="0" w:space="0" w:color="auto"/>
        <w:right w:val="none" w:sz="0" w:space="0" w:color="auto"/>
      </w:divBdr>
    </w:div>
    <w:div w:id="2032099298">
      <w:bodyDiv w:val="1"/>
      <w:marLeft w:val="0"/>
      <w:marRight w:val="0"/>
      <w:marTop w:val="0"/>
      <w:marBottom w:val="0"/>
      <w:divBdr>
        <w:top w:val="none" w:sz="0" w:space="0" w:color="auto"/>
        <w:left w:val="none" w:sz="0" w:space="0" w:color="auto"/>
        <w:bottom w:val="none" w:sz="0" w:space="0" w:color="auto"/>
        <w:right w:val="none" w:sz="0" w:space="0" w:color="auto"/>
      </w:divBdr>
    </w:div>
    <w:div w:id="2032146747">
      <w:bodyDiv w:val="1"/>
      <w:marLeft w:val="0"/>
      <w:marRight w:val="0"/>
      <w:marTop w:val="0"/>
      <w:marBottom w:val="0"/>
      <w:divBdr>
        <w:top w:val="none" w:sz="0" w:space="0" w:color="auto"/>
        <w:left w:val="none" w:sz="0" w:space="0" w:color="auto"/>
        <w:bottom w:val="none" w:sz="0" w:space="0" w:color="auto"/>
        <w:right w:val="none" w:sz="0" w:space="0" w:color="auto"/>
      </w:divBdr>
    </w:div>
    <w:div w:id="2032219244">
      <w:bodyDiv w:val="1"/>
      <w:marLeft w:val="0"/>
      <w:marRight w:val="0"/>
      <w:marTop w:val="0"/>
      <w:marBottom w:val="0"/>
      <w:divBdr>
        <w:top w:val="none" w:sz="0" w:space="0" w:color="auto"/>
        <w:left w:val="none" w:sz="0" w:space="0" w:color="auto"/>
        <w:bottom w:val="none" w:sz="0" w:space="0" w:color="auto"/>
        <w:right w:val="none" w:sz="0" w:space="0" w:color="auto"/>
      </w:divBdr>
    </w:div>
    <w:div w:id="2032563365">
      <w:bodyDiv w:val="1"/>
      <w:marLeft w:val="0"/>
      <w:marRight w:val="0"/>
      <w:marTop w:val="0"/>
      <w:marBottom w:val="0"/>
      <w:divBdr>
        <w:top w:val="none" w:sz="0" w:space="0" w:color="auto"/>
        <w:left w:val="none" w:sz="0" w:space="0" w:color="auto"/>
        <w:bottom w:val="none" w:sz="0" w:space="0" w:color="auto"/>
        <w:right w:val="none" w:sz="0" w:space="0" w:color="auto"/>
      </w:divBdr>
    </w:div>
    <w:div w:id="2032609904">
      <w:bodyDiv w:val="1"/>
      <w:marLeft w:val="0"/>
      <w:marRight w:val="0"/>
      <w:marTop w:val="0"/>
      <w:marBottom w:val="0"/>
      <w:divBdr>
        <w:top w:val="none" w:sz="0" w:space="0" w:color="auto"/>
        <w:left w:val="none" w:sz="0" w:space="0" w:color="auto"/>
        <w:bottom w:val="none" w:sz="0" w:space="0" w:color="auto"/>
        <w:right w:val="none" w:sz="0" w:space="0" w:color="auto"/>
      </w:divBdr>
    </w:div>
    <w:div w:id="2032762375">
      <w:bodyDiv w:val="1"/>
      <w:marLeft w:val="0"/>
      <w:marRight w:val="0"/>
      <w:marTop w:val="0"/>
      <w:marBottom w:val="0"/>
      <w:divBdr>
        <w:top w:val="none" w:sz="0" w:space="0" w:color="auto"/>
        <w:left w:val="none" w:sz="0" w:space="0" w:color="auto"/>
        <w:bottom w:val="none" w:sz="0" w:space="0" w:color="auto"/>
        <w:right w:val="none" w:sz="0" w:space="0" w:color="auto"/>
      </w:divBdr>
    </w:div>
    <w:div w:id="2032798486">
      <w:bodyDiv w:val="1"/>
      <w:marLeft w:val="0"/>
      <w:marRight w:val="0"/>
      <w:marTop w:val="0"/>
      <w:marBottom w:val="0"/>
      <w:divBdr>
        <w:top w:val="none" w:sz="0" w:space="0" w:color="auto"/>
        <w:left w:val="none" w:sz="0" w:space="0" w:color="auto"/>
        <w:bottom w:val="none" w:sz="0" w:space="0" w:color="auto"/>
        <w:right w:val="none" w:sz="0" w:space="0" w:color="auto"/>
      </w:divBdr>
    </w:div>
    <w:div w:id="2033142058">
      <w:bodyDiv w:val="1"/>
      <w:marLeft w:val="0"/>
      <w:marRight w:val="0"/>
      <w:marTop w:val="0"/>
      <w:marBottom w:val="0"/>
      <w:divBdr>
        <w:top w:val="none" w:sz="0" w:space="0" w:color="auto"/>
        <w:left w:val="none" w:sz="0" w:space="0" w:color="auto"/>
        <w:bottom w:val="none" w:sz="0" w:space="0" w:color="auto"/>
        <w:right w:val="none" w:sz="0" w:space="0" w:color="auto"/>
      </w:divBdr>
    </w:div>
    <w:div w:id="2033190162">
      <w:bodyDiv w:val="1"/>
      <w:marLeft w:val="0"/>
      <w:marRight w:val="0"/>
      <w:marTop w:val="0"/>
      <w:marBottom w:val="0"/>
      <w:divBdr>
        <w:top w:val="none" w:sz="0" w:space="0" w:color="auto"/>
        <w:left w:val="none" w:sz="0" w:space="0" w:color="auto"/>
        <w:bottom w:val="none" w:sz="0" w:space="0" w:color="auto"/>
        <w:right w:val="none" w:sz="0" w:space="0" w:color="auto"/>
      </w:divBdr>
    </w:div>
    <w:div w:id="2033220878">
      <w:bodyDiv w:val="1"/>
      <w:marLeft w:val="0"/>
      <w:marRight w:val="0"/>
      <w:marTop w:val="0"/>
      <w:marBottom w:val="0"/>
      <w:divBdr>
        <w:top w:val="none" w:sz="0" w:space="0" w:color="auto"/>
        <w:left w:val="none" w:sz="0" w:space="0" w:color="auto"/>
        <w:bottom w:val="none" w:sz="0" w:space="0" w:color="auto"/>
        <w:right w:val="none" w:sz="0" w:space="0" w:color="auto"/>
      </w:divBdr>
    </w:div>
    <w:div w:id="2033259928">
      <w:bodyDiv w:val="1"/>
      <w:marLeft w:val="0"/>
      <w:marRight w:val="0"/>
      <w:marTop w:val="0"/>
      <w:marBottom w:val="0"/>
      <w:divBdr>
        <w:top w:val="none" w:sz="0" w:space="0" w:color="auto"/>
        <w:left w:val="none" w:sz="0" w:space="0" w:color="auto"/>
        <w:bottom w:val="none" w:sz="0" w:space="0" w:color="auto"/>
        <w:right w:val="none" w:sz="0" w:space="0" w:color="auto"/>
      </w:divBdr>
    </w:div>
    <w:div w:id="2033265310">
      <w:bodyDiv w:val="1"/>
      <w:marLeft w:val="0"/>
      <w:marRight w:val="0"/>
      <w:marTop w:val="0"/>
      <w:marBottom w:val="0"/>
      <w:divBdr>
        <w:top w:val="none" w:sz="0" w:space="0" w:color="auto"/>
        <w:left w:val="none" w:sz="0" w:space="0" w:color="auto"/>
        <w:bottom w:val="none" w:sz="0" w:space="0" w:color="auto"/>
        <w:right w:val="none" w:sz="0" w:space="0" w:color="auto"/>
      </w:divBdr>
    </w:div>
    <w:div w:id="2033334608">
      <w:bodyDiv w:val="1"/>
      <w:marLeft w:val="0"/>
      <w:marRight w:val="0"/>
      <w:marTop w:val="0"/>
      <w:marBottom w:val="0"/>
      <w:divBdr>
        <w:top w:val="none" w:sz="0" w:space="0" w:color="auto"/>
        <w:left w:val="none" w:sz="0" w:space="0" w:color="auto"/>
        <w:bottom w:val="none" w:sz="0" w:space="0" w:color="auto"/>
        <w:right w:val="none" w:sz="0" w:space="0" w:color="auto"/>
      </w:divBdr>
    </w:div>
    <w:div w:id="2033341704">
      <w:bodyDiv w:val="1"/>
      <w:marLeft w:val="0"/>
      <w:marRight w:val="0"/>
      <w:marTop w:val="0"/>
      <w:marBottom w:val="0"/>
      <w:divBdr>
        <w:top w:val="none" w:sz="0" w:space="0" w:color="auto"/>
        <w:left w:val="none" w:sz="0" w:space="0" w:color="auto"/>
        <w:bottom w:val="none" w:sz="0" w:space="0" w:color="auto"/>
        <w:right w:val="none" w:sz="0" w:space="0" w:color="auto"/>
      </w:divBdr>
    </w:div>
    <w:div w:id="2033458217">
      <w:bodyDiv w:val="1"/>
      <w:marLeft w:val="0"/>
      <w:marRight w:val="0"/>
      <w:marTop w:val="0"/>
      <w:marBottom w:val="0"/>
      <w:divBdr>
        <w:top w:val="none" w:sz="0" w:space="0" w:color="auto"/>
        <w:left w:val="none" w:sz="0" w:space="0" w:color="auto"/>
        <w:bottom w:val="none" w:sz="0" w:space="0" w:color="auto"/>
        <w:right w:val="none" w:sz="0" w:space="0" w:color="auto"/>
      </w:divBdr>
    </w:div>
    <w:div w:id="2033650453">
      <w:bodyDiv w:val="1"/>
      <w:marLeft w:val="0"/>
      <w:marRight w:val="0"/>
      <w:marTop w:val="0"/>
      <w:marBottom w:val="0"/>
      <w:divBdr>
        <w:top w:val="none" w:sz="0" w:space="0" w:color="auto"/>
        <w:left w:val="none" w:sz="0" w:space="0" w:color="auto"/>
        <w:bottom w:val="none" w:sz="0" w:space="0" w:color="auto"/>
        <w:right w:val="none" w:sz="0" w:space="0" w:color="auto"/>
      </w:divBdr>
    </w:div>
    <w:div w:id="2033678444">
      <w:bodyDiv w:val="1"/>
      <w:marLeft w:val="0"/>
      <w:marRight w:val="0"/>
      <w:marTop w:val="0"/>
      <w:marBottom w:val="0"/>
      <w:divBdr>
        <w:top w:val="none" w:sz="0" w:space="0" w:color="auto"/>
        <w:left w:val="none" w:sz="0" w:space="0" w:color="auto"/>
        <w:bottom w:val="none" w:sz="0" w:space="0" w:color="auto"/>
        <w:right w:val="none" w:sz="0" w:space="0" w:color="auto"/>
      </w:divBdr>
    </w:div>
    <w:div w:id="2033802919">
      <w:bodyDiv w:val="1"/>
      <w:marLeft w:val="0"/>
      <w:marRight w:val="0"/>
      <w:marTop w:val="0"/>
      <w:marBottom w:val="0"/>
      <w:divBdr>
        <w:top w:val="none" w:sz="0" w:space="0" w:color="auto"/>
        <w:left w:val="none" w:sz="0" w:space="0" w:color="auto"/>
        <w:bottom w:val="none" w:sz="0" w:space="0" w:color="auto"/>
        <w:right w:val="none" w:sz="0" w:space="0" w:color="auto"/>
      </w:divBdr>
    </w:div>
    <w:div w:id="2033845474">
      <w:bodyDiv w:val="1"/>
      <w:marLeft w:val="0"/>
      <w:marRight w:val="0"/>
      <w:marTop w:val="0"/>
      <w:marBottom w:val="0"/>
      <w:divBdr>
        <w:top w:val="none" w:sz="0" w:space="0" w:color="auto"/>
        <w:left w:val="none" w:sz="0" w:space="0" w:color="auto"/>
        <w:bottom w:val="none" w:sz="0" w:space="0" w:color="auto"/>
        <w:right w:val="none" w:sz="0" w:space="0" w:color="auto"/>
      </w:divBdr>
    </w:div>
    <w:div w:id="2033996832">
      <w:bodyDiv w:val="1"/>
      <w:marLeft w:val="0"/>
      <w:marRight w:val="0"/>
      <w:marTop w:val="0"/>
      <w:marBottom w:val="0"/>
      <w:divBdr>
        <w:top w:val="none" w:sz="0" w:space="0" w:color="auto"/>
        <w:left w:val="none" w:sz="0" w:space="0" w:color="auto"/>
        <w:bottom w:val="none" w:sz="0" w:space="0" w:color="auto"/>
        <w:right w:val="none" w:sz="0" w:space="0" w:color="auto"/>
      </w:divBdr>
    </w:div>
    <w:div w:id="2034306411">
      <w:bodyDiv w:val="1"/>
      <w:marLeft w:val="0"/>
      <w:marRight w:val="0"/>
      <w:marTop w:val="0"/>
      <w:marBottom w:val="0"/>
      <w:divBdr>
        <w:top w:val="none" w:sz="0" w:space="0" w:color="auto"/>
        <w:left w:val="none" w:sz="0" w:space="0" w:color="auto"/>
        <w:bottom w:val="none" w:sz="0" w:space="0" w:color="auto"/>
        <w:right w:val="none" w:sz="0" w:space="0" w:color="auto"/>
      </w:divBdr>
    </w:div>
    <w:div w:id="2034502015">
      <w:bodyDiv w:val="1"/>
      <w:marLeft w:val="0"/>
      <w:marRight w:val="0"/>
      <w:marTop w:val="0"/>
      <w:marBottom w:val="0"/>
      <w:divBdr>
        <w:top w:val="none" w:sz="0" w:space="0" w:color="auto"/>
        <w:left w:val="none" w:sz="0" w:space="0" w:color="auto"/>
        <w:bottom w:val="none" w:sz="0" w:space="0" w:color="auto"/>
        <w:right w:val="none" w:sz="0" w:space="0" w:color="auto"/>
      </w:divBdr>
    </w:div>
    <w:div w:id="2034529412">
      <w:bodyDiv w:val="1"/>
      <w:marLeft w:val="0"/>
      <w:marRight w:val="0"/>
      <w:marTop w:val="0"/>
      <w:marBottom w:val="0"/>
      <w:divBdr>
        <w:top w:val="none" w:sz="0" w:space="0" w:color="auto"/>
        <w:left w:val="none" w:sz="0" w:space="0" w:color="auto"/>
        <w:bottom w:val="none" w:sz="0" w:space="0" w:color="auto"/>
        <w:right w:val="none" w:sz="0" w:space="0" w:color="auto"/>
      </w:divBdr>
    </w:div>
    <w:div w:id="2034719344">
      <w:bodyDiv w:val="1"/>
      <w:marLeft w:val="0"/>
      <w:marRight w:val="0"/>
      <w:marTop w:val="0"/>
      <w:marBottom w:val="0"/>
      <w:divBdr>
        <w:top w:val="none" w:sz="0" w:space="0" w:color="auto"/>
        <w:left w:val="none" w:sz="0" w:space="0" w:color="auto"/>
        <w:bottom w:val="none" w:sz="0" w:space="0" w:color="auto"/>
        <w:right w:val="none" w:sz="0" w:space="0" w:color="auto"/>
      </w:divBdr>
    </w:div>
    <w:div w:id="2034917210">
      <w:bodyDiv w:val="1"/>
      <w:marLeft w:val="0"/>
      <w:marRight w:val="0"/>
      <w:marTop w:val="0"/>
      <w:marBottom w:val="0"/>
      <w:divBdr>
        <w:top w:val="none" w:sz="0" w:space="0" w:color="auto"/>
        <w:left w:val="none" w:sz="0" w:space="0" w:color="auto"/>
        <w:bottom w:val="none" w:sz="0" w:space="0" w:color="auto"/>
        <w:right w:val="none" w:sz="0" w:space="0" w:color="auto"/>
      </w:divBdr>
    </w:div>
    <w:div w:id="2035036381">
      <w:bodyDiv w:val="1"/>
      <w:marLeft w:val="0"/>
      <w:marRight w:val="0"/>
      <w:marTop w:val="0"/>
      <w:marBottom w:val="0"/>
      <w:divBdr>
        <w:top w:val="none" w:sz="0" w:space="0" w:color="auto"/>
        <w:left w:val="none" w:sz="0" w:space="0" w:color="auto"/>
        <w:bottom w:val="none" w:sz="0" w:space="0" w:color="auto"/>
        <w:right w:val="none" w:sz="0" w:space="0" w:color="auto"/>
      </w:divBdr>
    </w:div>
    <w:div w:id="2035229798">
      <w:bodyDiv w:val="1"/>
      <w:marLeft w:val="0"/>
      <w:marRight w:val="0"/>
      <w:marTop w:val="0"/>
      <w:marBottom w:val="0"/>
      <w:divBdr>
        <w:top w:val="none" w:sz="0" w:space="0" w:color="auto"/>
        <w:left w:val="none" w:sz="0" w:space="0" w:color="auto"/>
        <w:bottom w:val="none" w:sz="0" w:space="0" w:color="auto"/>
        <w:right w:val="none" w:sz="0" w:space="0" w:color="auto"/>
      </w:divBdr>
    </w:div>
    <w:div w:id="2035376364">
      <w:bodyDiv w:val="1"/>
      <w:marLeft w:val="0"/>
      <w:marRight w:val="0"/>
      <w:marTop w:val="0"/>
      <w:marBottom w:val="0"/>
      <w:divBdr>
        <w:top w:val="none" w:sz="0" w:space="0" w:color="auto"/>
        <w:left w:val="none" w:sz="0" w:space="0" w:color="auto"/>
        <w:bottom w:val="none" w:sz="0" w:space="0" w:color="auto"/>
        <w:right w:val="none" w:sz="0" w:space="0" w:color="auto"/>
      </w:divBdr>
    </w:div>
    <w:div w:id="2035613970">
      <w:bodyDiv w:val="1"/>
      <w:marLeft w:val="0"/>
      <w:marRight w:val="0"/>
      <w:marTop w:val="0"/>
      <w:marBottom w:val="0"/>
      <w:divBdr>
        <w:top w:val="none" w:sz="0" w:space="0" w:color="auto"/>
        <w:left w:val="none" w:sz="0" w:space="0" w:color="auto"/>
        <w:bottom w:val="none" w:sz="0" w:space="0" w:color="auto"/>
        <w:right w:val="none" w:sz="0" w:space="0" w:color="auto"/>
      </w:divBdr>
    </w:div>
    <w:div w:id="2035764369">
      <w:bodyDiv w:val="1"/>
      <w:marLeft w:val="0"/>
      <w:marRight w:val="0"/>
      <w:marTop w:val="0"/>
      <w:marBottom w:val="0"/>
      <w:divBdr>
        <w:top w:val="none" w:sz="0" w:space="0" w:color="auto"/>
        <w:left w:val="none" w:sz="0" w:space="0" w:color="auto"/>
        <w:bottom w:val="none" w:sz="0" w:space="0" w:color="auto"/>
        <w:right w:val="none" w:sz="0" w:space="0" w:color="auto"/>
      </w:divBdr>
    </w:div>
    <w:div w:id="2036419769">
      <w:bodyDiv w:val="1"/>
      <w:marLeft w:val="0"/>
      <w:marRight w:val="0"/>
      <w:marTop w:val="0"/>
      <w:marBottom w:val="0"/>
      <w:divBdr>
        <w:top w:val="none" w:sz="0" w:space="0" w:color="auto"/>
        <w:left w:val="none" w:sz="0" w:space="0" w:color="auto"/>
        <w:bottom w:val="none" w:sz="0" w:space="0" w:color="auto"/>
        <w:right w:val="none" w:sz="0" w:space="0" w:color="auto"/>
      </w:divBdr>
    </w:div>
    <w:div w:id="2036421066">
      <w:bodyDiv w:val="1"/>
      <w:marLeft w:val="0"/>
      <w:marRight w:val="0"/>
      <w:marTop w:val="0"/>
      <w:marBottom w:val="0"/>
      <w:divBdr>
        <w:top w:val="none" w:sz="0" w:space="0" w:color="auto"/>
        <w:left w:val="none" w:sz="0" w:space="0" w:color="auto"/>
        <w:bottom w:val="none" w:sz="0" w:space="0" w:color="auto"/>
        <w:right w:val="none" w:sz="0" w:space="0" w:color="auto"/>
      </w:divBdr>
    </w:div>
    <w:div w:id="2036494759">
      <w:bodyDiv w:val="1"/>
      <w:marLeft w:val="0"/>
      <w:marRight w:val="0"/>
      <w:marTop w:val="0"/>
      <w:marBottom w:val="0"/>
      <w:divBdr>
        <w:top w:val="none" w:sz="0" w:space="0" w:color="auto"/>
        <w:left w:val="none" w:sz="0" w:space="0" w:color="auto"/>
        <w:bottom w:val="none" w:sz="0" w:space="0" w:color="auto"/>
        <w:right w:val="none" w:sz="0" w:space="0" w:color="auto"/>
      </w:divBdr>
    </w:div>
    <w:div w:id="2036615480">
      <w:bodyDiv w:val="1"/>
      <w:marLeft w:val="0"/>
      <w:marRight w:val="0"/>
      <w:marTop w:val="0"/>
      <w:marBottom w:val="0"/>
      <w:divBdr>
        <w:top w:val="none" w:sz="0" w:space="0" w:color="auto"/>
        <w:left w:val="none" w:sz="0" w:space="0" w:color="auto"/>
        <w:bottom w:val="none" w:sz="0" w:space="0" w:color="auto"/>
        <w:right w:val="none" w:sz="0" w:space="0" w:color="auto"/>
      </w:divBdr>
    </w:div>
    <w:div w:id="2036686228">
      <w:bodyDiv w:val="1"/>
      <w:marLeft w:val="0"/>
      <w:marRight w:val="0"/>
      <w:marTop w:val="0"/>
      <w:marBottom w:val="0"/>
      <w:divBdr>
        <w:top w:val="none" w:sz="0" w:space="0" w:color="auto"/>
        <w:left w:val="none" w:sz="0" w:space="0" w:color="auto"/>
        <w:bottom w:val="none" w:sz="0" w:space="0" w:color="auto"/>
        <w:right w:val="none" w:sz="0" w:space="0" w:color="auto"/>
      </w:divBdr>
    </w:div>
    <w:div w:id="2036692444">
      <w:bodyDiv w:val="1"/>
      <w:marLeft w:val="0"/>
      <w:marRight w:val="0"/>
      <w:marTop w:val="0"/>
      <w:marBottom w:val="0"/>
      <w:divBdr>
        <w:top w:val="none" w:sz="0" w:space="0" w:color="auto"/>
        <w:left w:val="none" w:sz="0" w:space="0" w:color="auto"/>
        <w:bottom w:val="none" w:sz="0" w:space="0" w:color="auto"/>
        <w:right w:val="none" w:sz="0" w:space="0" w:color="auto"/>
      </w:divBdr>
    </w:div>
    <w:div w:id="2037197171">
      <w:bodyDiv w:val="1"/>
      <w:marLeft w:val="0"/>
      <w:marRight w:val="0"/>
      <w:marTop w:val="0"/>
      <w:marBottom w:val="0"/>
      <w:divBdr>
        <w:top w:val="none" w:sz="0" w:space="0" w:color="auto"/>
        <w:left w:val="none" w:sz="0" w:space="0" w:color="auto"/>
        <w:bottom w:val="none" w:sz="0" w:space="0" w:color="auto"/>
        <w:right w:val="none" w:sz="0" w:space="0" w:color="auto"/>
      </w:divBdr>
    </w:div>
    <w:div w:id="2037349453">
      <w:bodyDiv w:val="1"/>
      <w:marLeft w:val="0"/>
      <w:marRight w:val="0"/>
      <w:marTop w:val="0"/>
      <w:marBottom w:val="0"/>
      <w:divBdr>
        <w:top w:val="none" w:sz="0" w:space="0" w:color="auto"/>
        <w:left w:val="none" w:sz="0" w:space="0" w:color="auto"/>
        <w:bottom w:val="none" w:sz="0" w:space="0" w:color="auto"/>
        <w:right w:val="none" w:sz="0" w:space="0" w:color="auto"/>
      </w:divBdr>
    </w:div>
    <w:div w:id="2037392232">
      <w:bodyDiv w:val="1"/>
      <w:marLeft w:val="0"/>
      <w:marRight w:val="0"/>
      <w:marTop w:val="0"/>
      <w:marBottom w:val="0"/>
      <w:divBdr>
        <w:top w:val="none" w:sz="0" w:space="0" w:color="auto"/>
        <w:left w:val="none" w:sz="0" w:space="0" w:color="auto"/>
        <w:bottom w:val="none" w:sz="0" w:space="0" w:color="auto"/>
        <w:right w:val="none" w:sz="0" w:space="0" w:color="auto"/>
      </w:divBdr>
    </w:div>
    <w:div w:id="2037541240">
      <w:bodyDiv w:val="1"/>
      <w:marLeft w:val="0"/>
      <w:marRight w:val="0"/>
      <w:marTop w:val="0"/>
      <w:marBottom w:val="0"/>
      <w:divBdr>
        <w:top w:val="none" w:sz="0" w:space="0" w:color="auto"/>
        <w:left w:val="none" w:sz="0" w:space="0" w:color="auto"/>
        <w:bottom w:val="none" w:sz="0" w:space="0" w:color="auto"/>
        <w:right w:val="none" w:sz="0" w:space="0" w:color="auto"/>
      </w:divBdr>
    </w:div>
    <w:div w:id="2037654549">
      <w:bodyDiv w:val="1"/>
      <w:marLeft w:val="0"/>
      <w:marRight w:val="0"/>
      <w:marTop w:val="0"/>
      <w:marBottom w:val="0"/>
      <w:divBdr>
        <w:top w:val="none" w:sz="0" w:space="0" w:color="auto"/>
        <w:left w:val="none" w:sz="0" w:space="0" w:color="auto"/>
        <w:bottom w:val="none" w:sz="0" w:space="0" w:color="auto"/>
        <w:right w:val="none" w:sz="0" w:space="0" w:color="auto"/>
      </w:divBdr>
    </w:div>
    <w:div w:id="2038041160">
      <w:bodyDiv w:val="1"/>
      <w:marLeft w:val="0"/>
      <w:marRight w:val="0"/>
      <w:marTop w:val="0"/>
      <w:marBottom w:val="0"/>
      <w:divBdr>
        <w:top w:val="none" w:sz="0" w:space="0" w:color="auto"/>
        <w:left w:val="none" w:sz="0" w:space="0" w:color="auto"/>
        <w:bottom w:val="none" w:sz="0" w:space="0" w:color="auto"/>
        <w:right w:val="none" w:sz="0" w:space="0" w:color="auto"/>
      </w:divBdr>
    </w:div>
    <w:div w:id="2038195722">
      <w:bodyDiv w:val="1"/>
      <w:marLeft w:val="0"/>
      <w:marRight w:val="0"/>
      <w:marTop w:val="0"/>
      <w:marBottom w:val="0"/>
      <w:divBdr>
        <w:top w:val="none" w:sz="0" w:space="0" w:color="auto"/>
        <w:left w:val="none" w:sz="0" w:space="0" w:color="auto"/>
        <w:bottom w:val="none" w:sz="0" w:space="0" w:color="auto"/>
        <w:right w:val="none" w:sz="0" w:space="0" w:color="auto"/>
      </w:divBdr>
    </w:div>
    <w:div w:id="2038196025">
      <w:bodyDiv w:val="1"/>
      <w:marLeft w:val="0"/>
      <w:marRight w:val="0"/>
      <w:marTop w:val="0"/>
      <w:marBottom w:val="0"/>
      <w:divBdr>
        <w:top w:val="none" w:sz="0" w:space="0" w:color="auto"/>
        <w:left w:val="none" w:sz="0" w:space="0" w:color="auto"/>
        <w:bottom w:val="none" w:sz="0" w:space="0" w:color="auto"/>
        <w:right w:val="none" w:sz="0" w:space="0" w:color="auto"/>
      </w:divBdr>
    </w:div>
    <w:div w:id="2038237490">
      <w:bodyDiv w:val="1"/>
      <w:marLeft w:val="0"/>
      <w:marRight w:val="0"/>
      <w:marTop w:val="0"/>
      <w:marBottom w:val="0"/>
      <w:divBdr>
        <w:top w:val="none" w:sz="0" w:space="0" w:color="auto"/>
        <w:left w:val="none" w:sz="0" w:space="0" w:color="auto"/>
        <w:bottom w:val="none" w:sz="0" w:space="0" w:color="auto"/>
        <w:right w:val="none" w:sz="0" w:space="0" w:color="auto"/>
      </w:divBdr>
    </w:div>
    <w:div w:id="2038314542">
      <w:bodyDiv w:val="1"/>
      <w:marLeft w:val="0"/>
      <w:marRight w:val="0"/>
      <w:marTop w:val="0"/>
      <w:marBottom w:val="0"/>
      <w:divBdr>
        <w:top w:val="none" w:sz="0" w:space="0" w:color="auto"/>
        <w:left w:val="none" w:sz="0" w:space="0" w:color="auto"/>
        <w:bottom w:val="none" w:sz="0" w:space="0" w:color="auto"/>
        <w:right w:val="none" w:sz="0" w:space="0" w:color="auto"/>
      </w:divBdr>
    </w:div>
    <w:div w:id="2038389313">
      <w:bodyDiv w:val="1"/>
      <w:marLeft w:val="0"/>
      <w:marRight w:val="0"/>
      <w:marTop w:val="0"/>
      <w:marBottom w:val="0"/>
      <w:divBdr>
        <w:top w:val="none" w:sz="0" w:space="0" w:color="auto"/>
        <w:left w:val="none" w:sz="0" w:space="0" w:color="auto"/>
        <w:bottom w:val="none" w:sz="0" w:space="0" w:color="auto"/>
        <w:right w:val="none" w:sz="0" w:space="0" w:color="auto"/>
      </w:divBdr>
    </w:div>
    <w:div w:id="2038458244">
      <w:bodyDiv w:val="1"/>
      <w:marLeft w:val="0"/>
      <w:marRight w:val="0"/>
      <w:marTop w:val="0"/>
      <w:marBottom w:val="0"/>
      <w:divBdr>
        <w:top w:val="none" w:sz="0" w:space="0" w:color="auto"/>
        <w:left w:val="none" w:sz="0" w:space="0" w:color="auto"/>
        <w:bottom w:val="none" w:sz="0" w:space="0" w:color="auto"/>
        <w:right w:val="none" w:sz="0" w:space="0" w:color="auto"/>
      </w:divBdr>
    </w:div>
    <w:div w:id="2038653250">
      <w:bodyDiv w:val="1"/>
      <w:marLeft w:val="0"/>
      <w:marRight w:val="0"/>
      <w:marTop w:val="0"/>
      <w:marBottom w:val="0"/>
      <w:divBdr>
        <w:top w:val="none" w:sz="0" w:space="0" w:color="auto"/>
        <w:left w:val="none" w:sz="0" w:space="0" w:color="auto"/>
        <w:bottom w:val="none" w:sz="0" w:space="0" w:color="auto"/>
        <w:right w:val="none" w:sz="0" w:space="0" w:color="auto"/>
      </w:divBdr>
    </w:div>
    <w:div w:id="2038657572">
      <w:bodyDiv w:val="1"/>
      <w:marLeft w:val="0"/>
      <w:marRight w:val="0"/>
      <w:marTop w:val="0"/>
      <w:marBottom w:val="0"/>
      <w:divBdr>
        <w:top w:val="none" w:sz="0" w:space="0" w:color="auto"/>
        <w:left w:val="none" w:sz="0" w:space="0" w:color="auto"/>
        <w:bottom w:val="none" w:sz="0" w:space="0" w:color="auto"/>
        <w:right w:val="none" w:sz="0" w:space="0" w:color="auto"/>
      </w:divBdr>
    </w:div>
    <w:div w:id="2038697280">
      <w:bodyDiv w:val="1"/>
      <w:marLeft w:val="0"/>
      <w:marRight w:val="0"/>
      <w:marTop w:val="0"/>
      <w:marBottom w:val="0"/>
      <w:divBdr>
        <w:top w:val="none" w:sz="0" w:space="0" w:color="auto"/>
        <w:left w:val="none" w:sz="0" w:space="0" w:color="auto"/>
        <w:bottom w:val="none" w:sz="0" w:space="0" w:color="auto"/>
        <w:right w:val="none" w:sz="0" w:space="0" w:color="auto"/>
      </w:divBdr>
    </w:div>
    <w:div w:id="2038776208">
      <w:bodyDiv w:val="1"/>
      <w:marLeft w:val="0"/>
      <w:marRight w:val="0"/>
      <w:marTop w:val="0"/>
      <w:marBottom w:val="0"/>
      <w:divBdr>
        <w:top w:val="none" w:sz="0" w:space="0" w:color="auto"/>
        <w:left w:val="none" w:sz="0" w:space="0" w:color="auto"/>
        <w:bottom w:val="none" w:sz="0" w:space="0" w:color="auto"/>
        <w:right w:val="none" w:sz="0" w:space="0" w:color="auto"/>
      </w:divBdr>
    </w:div>
    <w:div w:id="2038971313">
      <w:bodyDiv w:val="1"/>
      <w:marLeft w:val="0"/>
      <w:marRight w:val="0"/>
      <w:marTop w:val="0"/>
      <w:marBottom w:val="0"/>
      <w:divBdr>
        <w:top w:val="none" w:sz="0" w:space="0" w:color="auto"/>
        <w:left w:val="none" w:sz="0" w:space="0" w:color="auto"/>
        <w:bottom w:val="none" w:sz="0" w:space="0" w:color="auto"/>
        <w:right w:val="none" w:sz="0" w:space="0" w:color="auto"/>
      </w:divBdr>
    </w:div>
    <w:div w:id="2039115277">
      <w:bodyDiv w:val="1"/>
      <w:marLeft w:val="0"/>
      <w:marRight w:val="0"/>
      <w:marTop w:val="0"/>
      <w:marBottom w:val="0"/>
      <w:divBdr>
        <w:top w:val="none" w:sz="0" w:space="0" w:color="auto"/>
        <w:left w:val="none" w:sz="0" w:space="0" w:color="auto"/>
        <w:bottom w:val="none" w:sz="0" w:space="0" w:color="auto"/>
        <w:right w:val="none" w:sz="0" w:space="0" w:color="auto"/>
      </w:divBdr>
    </w:div>
    <w:div w:id="2039508080">
      <w:bodyDiv w:val="1"/>
      <w:marLeft w:val="0"/>
      <w:marRight w:val="0"/>
      <w:marTop w:val="0"/>
      <w:marBottom w:val="0"/>
      <w:divBdr>
        <w:top w:val="none" w:sz="0" w:space="0" w:color="auto"/>
        <w:left w:val="none" w:sz="0" w:space="0" w:color="auto"/>
        <w:bottom w:val="none" w:sz="0" w:space="0" w:color="auto"/>
        <w:right w:val="none" w:sz="0" w:space="0" w:color="auto"/>
      </w:divBdr>
    </w:div>
    <w:div w:id="2039817555">
      <w:bodyDiv w:val="1"/>
      <w:marLeft w:val="0"/>
      <w:marRight w:val="0"/>
      <w:marTop w:val="0"/>
      <w:marBottom w:val="0"/>
      <w:divBdr>
        <w:top w:val="none" w:sz="0" w:space="0" w:color="auto"/>
        <w:left w:val="none" w:sz="0" w:space="0" w:color="auto"/>
        <w:bottom w:val="none" w:sz="0" w:space="0" w:color="auto"/>
        <w:right w:val="none" w:sz="0" w:space="0" w:color="auto"/>
      </w:divBdr>
    </w:div>
    <w:div w:id="2039889407">
      <w:bodyDiv w:val="1"/>
      <w:marLeft w:val="0"/>
      <w:marRight w:val="0"/>
      <w:marTop w:val="0"/>
      <w:marBottom w:val="0"/>
      <w:divBdr>
        <w:top w:val="none" w:sz="0" w:space="0" w:color="auto"/>
        <w:left w:val="none" w:sz="0" w:space="0" w:color="auto"/>
        <w:bottom w:val="none" w:sz="0" w:space="0" w:color="auto"/>
        <w:right w:val="none" w:sz="0" w:space="0" w:color="auto"/>
      </w:divBdr>
    </w:div>
    <w:div w:id="2039963219">
      <w:bodyDiv w:val="1"/>
      <w:marLeft w:val="0"/>
      <w:marRight w:val="0"/>
      <w:marTop w:val="0"/>
      <w:marBottom w:val="0"/>
      <w:divBdr>
        <w:top w:val="none" w:sz="0" w:space="0" w:color="auto"/>
        <w:left w:val="none" w:sz="0" w:space="0" w:color="auto"/>
        <w:bottom w:val="none" w:sz="0" w:space="0" w:color="auto"/>
        <w:right w:val="none" w:sz="0" w:space="0" w:color="auto"/>
      </w:divBdr>
    </w:div>
    <w:div w:id="2040012934">
      <w:bodyDiv w:val="1"/>
      <w:marLeft w:val="0"/>
      <w:marRight w:val="0"/>
      <w:marTop w:val="0"/>
      <w:marBottom w:val="0"/>
      <w:divBdr>
        <w:top w:val="none" w:sz="0" w:space="0" w:color="auto"/>
        <w:left w:val="none" w:sz="0" w:space="0" w:color="auto"/>
        <w:bottom w:val="none" w:sz="0" w:space="0" w:color="auto"/>
        <w:right w:val="none" w:sz="0" w:space="0" w:color="auto"/>
      </w:divBdr>
    </w:div>
    <w:div w:id="2040355073">
      <w:bodyDiv w:val="1"/>
      <w:marLeft w:val="0"/>
      <w:marRight w:val="0"/>
      <w:marTop w:val="0"/>
      <w:marBottom w:val="0"/>
      <w:divBdr>
        <w:top w:val="none" w:sz="0" w:space="0" w:color="auto"/>
        <w:left w:val="none" w:sz="0" w:space="0" w:color="auto"/>
        <w:bottom w:val="none" w:sz="0" w:space="0" w:color="auto"/>
        <w:right w:val="none" w:sz="0" w:space="0" w:color="auto"/>
      </w:divBdr>
    </w:div>
    <w:div w:id="2040355451">
      <w:bodyDiv w:val="1"/>
      <w:marLeft w:val="0"/>
      <w:marRight w:val="0"/>
      <w:marTop w:val="0"/>
      <w:marBottom w:val="0"/>
      <w:divBdr>
        <w:top w:val="none" w:sz="0" w:space="0" w:color="auto"/>
        <w:left w:val="none" w:sz="0" w:space="0" w:color="auto"/>
        <w:bottom w:val="none" w:sz="0" w:space="0" w:color="auto"/>
        <w:right w:val="none" w:sz="0" w:space="0" w:color="auto"/>
      </w:divBdr>
    </w:div>
    <w:div w:id="2040426689">
      <w:bodyDiv w:val="1"/>
      <w:marLeft w:val="0"/>
      <w:marRight w:val="0"/>
      <w:marTop w:val="0"/>
      <w:marBottom w:val="0"/>
      <w:divBdr>
        <w:top w:val="none" w:sz="0" w:space="0" w:color="auto"/>
        <w:left w:val="none" w:sz="0" w:space="0" w:color="auto"/>
        <w:bottom w:val="none" w:sz="0" w:space="0" w:color="auto"/>
        <w:right w:val="none" w:sz="0" w:space="0" w:color="auto"/>
      </w:divBdr>
    </w:div>
    <w:div w:id="2040469984">
      <w:bodyDiv w:val="1"/>
      <w:marLeft w:val="0"/>
      <w:marRight w:val="0"/>
      <w:marTop w:val="0"/>
      <w:marBottom w:val="0"/>
      <w:divBdr>
        <w:top w:val="none" w:sz="0" w:space="0" w:color="auto"/>
        <w:left w:val="none" w:sz="0" w:space="0" w:color="auto"/>
        <w:bottom w:val="none" w:sz="0" w:space="0" w:color="auto"/>
        <w:right w:val="none" w:sz="0" w:space="0" w:color="auto"/>
      </w:divBdr>
    </w:div>
    <w:div w:id="2040473516">
      <w:bodyDiv w:val="1"/>
      <w:marLeft w:val="0"/>
      <w:marRight w:val="0"/>
      <w:marTop w:val="0"/>
      <w:marBottom w:val="0"/>
      <w:divBdr>
        <w:top w:val="none" w:sz="0" w:space="0" w:color="auto"/>
        <w:left w:val="none" w:sz="0" w:space="0" w:color="auto"/>
        <w:bottom w:val="none" w:sz="0" w:space="0" w:color="auto"/>
        <w:right w:val="none" w:sz="0" w:space="0" w:color="auto"/>
      </w:divBdr>
    </w:div>
    <w:div w:id="2040474123">
      <w:bodyDiv w:val="1"/>
      <w:marLeft w:val="0"/>
      <w:marRight w:val="0"/>
      <w:marTop w:val="0"/>
      <w:marBottom w:val="0"/>
      <w:divBdr>
        <w:top w:val="none" w:sz="0" w:space="0" w:color="auto"/>
        <w:left w:val="none" w:sz="0" w:space="0" w:color="auto"/>
        <w:bottom w:val="none" w:sz="0" w:space="0" w:color="auto"/>
        <w:right w:val="none" w:sz="0" w:space="0" w:color="auto"/>
      </w:divBdr>
    </w:div>
    <w:div w:id="2040817049">
      <w:bodyDiv w:val="1"/>
      <w:marLeft w:val="0"/>
      <w:marRight w:val="0"/>
      <w:marTop w:val="0"/>
      <w:marBottom w:val="0"/>
      <w:divBdr>
        <w:top w:val="none" w:sz="0" w:space="0" w:color="auto"/>
        <w:left w:val="none" w:sz="0" w:space="0" w:color="auto"/>
        <w:bottom w:val="none" w:sz="0" w:space="0" w:color="auto"/>
        <w:right w:val="none" w:sz="0" w:space="0" w:color="auto"/>
      </w:divBdr>
    </w:div>
    <w:div w:id="2041011728">
      <w:bodyDiv w:val="1"/>
      <w:marLeft w:val="0"/>
      <w:marRight w:val="0"/>
      <w:marTop w:val="0"/>
      <w:marBottom w:val="0"/>
      <w:divBdr>
        <w:top w:val="none" w:sz="0" w:space="0" w:color="auto"/>
        <w:left w:val="none" w:sz="0" w:space="0" w:color="auto"/>
        <w:bottom w:val="none" w:sz="0" w:space="0" w:color="auto"/>
        <w:right w:val="none" w:sz="0" w:space="0" w:color="auto"/>
      </w:divBdr>
    </w:div>
    <w:div w:id="2041079250">
      <w:bodyDiv w:val="1"/>
      <w:marLeft w:val="0"/>
      <w:marRight w:val="0"/>
      <w:marTop w:val="0"/>
      <w:marBottom w:val="0"/>
      <w:divBdr>
        <w:top w:val="none" w:sz="0" w:space="0" w:color="auto"/>
        <w:left w:val="none" w:sz="0" w:space="0" w:color="auto"/>
        <w:bottom w:val="none" w:sz="0" w:space="0" w:color="auto"/>
        <w:right w:val="none" w:sz="0" w:space="0" w:color="auto"/>
      </w:divBdr>
    </w:div>
    <w:div w:id="2041201604">
      <w:bodyDiv w:val="1"/>
      <w:marLeft w:val="0"/>
      <w:marRight w:val="0"/>
      <w:marTop w:val="0"/>
      <w:marBottom w:val="0"/>
      <w:divBdr>
        <w:top w:val="none" w:sz="0" w:space="0" w:color="auto"/>
        <w:left w:val="none" w:sz="0" w:space="0" w:color="auto"/>
        <w:bottom w:val="none" w:sz="0" w:space="0" w:color="auto"/>
        <w:right w:val="none" w:sz="0" w:space="0" w:color="auto"/>
      </w:divBdr>
    </w:div>
    <w:div w:id="2041473287">
      <w:bodyDiv w:val="1"/>
      <w:marLeft w:val="0"/>
      <w:marRight w:val="0"/>
      <w:marTop w:val="0"/>
      <w:marBottom w:val="0"/>
      <w:divBdr>
        <w:top w:val="none" w:sz="0" w:space="0" w:color="auto"/>
        <w:left w:val="none" w:sz="0" w:space="0" w:color="auto"/>
        <w:bottom w:val="none" w:sz="0" w:space="0" w:color="auto"/>
        <w:right w:val="none" w:sz="0" w:space="0" w:color="auto"/>
      </w:divBdr>
    </w:div>
    <w:div w:id="2042120447">
      <w:bodyDiv w:val="1"/>
      <w:marLeft w:val="0"/>
      <w:marRight w:val="0"/>
      <w:marTop w:val="0"/>
      <w:marBottom w:val="0"/>
      <w:divBdr>
        <w:top w:val="none" w:sz="0" w:space="0" w:color="auto"/>
        <w:left w:val="none" w:sz="0" w:space="0" w:color="auto"/>
        <w:bottom w:val="none" w:sz="0" w:space="0" w:color="auto"/>
        <w:right w:val="none" w:sz="0" w:space="0" w:color="auto"/>
      </w:divBdr>
    </w:div>
    <w:div w:id="2042167939">
      <w:bodyDiv w:val="1"/>
      <w:marLeft w:val="0"/>
      <w:marRight w:val="0"/>
      <w:marTop w:val="0"/>
      <w:marBottom w:val="0"/>
      <w:divBdr>
        <w:top w:val="none" w:sz="0" w:space="0" w:color="auto"/>
        <w:left w:val="none" w:sz="0" w:space="0" w:color="auto"/>
        <w:bottom w:val="none" w:sz="0" w:space="0" w:color="auto"/>
        <w:right w:val="none" w:sz="0" w:space="0" w:color="auto"/>
      </w:divBdr>
    </w:div>
    <w:div w:id="2042242311">
      <w:bodyDiv w:val="1"/>
      <w:marLeft w:val="0"/>
      <w:marRight w:val="0"/>
      <w:marTop w:val="0"/>
      <w:marBottom w:val="0"/>
      <w:divBdr>
        <w:top w:val="none" w:sz="0" w:space="0" w:color="auto"/>
        <w:left w:val="none" w:sz="0" w:space="0" w:color="auto"/>
        <w:bottom w:val="none" w:sz="0" w:space="0" w:color="auto"/>
        <w:right w:val="none" w:sz="0" w:space="0" w:color="auto"/>
      </w:divBdr>
    </w:div>
    <w:div w:id="2042322656">
      <w:bodyDiv w:val="1"/>
      <w:marLeft w:val="0"/>
      <w:marRight w:val="0"/>
      <w:marTop w:val="0"/>
      <w:marBottom w:val="0"/>
      <w:divBdr>
        <w:top w:val="none" w:sz="0" w:space="0" w:color="auto"/>
        <w:left w:val="none" w:sz="0" w:space="0" w:color="auto"/>
        <w:bottom w:val="none" w:sz="0" w:space="0" w:color="auto"/>
        <w:right w:val="none" w:sz="0" w:space="0" w:color="auto"/>
      </w:divBdr>
    </w:div>
    <w:div w:id="2042701474">
      <w:bodyDiv w:val="1"/>
      <w:marLeft w:val="0"/>
      <w:marRight w:val="0"/>
      <w:marTop w:val="0"/>
      <w:marBottom w:val="0"/>
      <w:divBdr>
        <w:top w:val="none" w:sz="0" w:space="0" w:color="auto"/>
        <w:left w:val="none" w:sz="0" w:space="0" w:color="auto"/>
        <w:bottom w:val="none" w:sz="0" w:space="0" w:color="auto"/>
        <w:right w:val="none" w:sz="0" w:space="0" w:color="auto"/>
      </w:divBdr>
    </w:div>
    <w:div w:id="2042897272">
      <w:bodyDiv w:val="1"/>
      <w:marLeft w:val="0"/>
      <w:marRight w:val="0"/>
      <w:marTop w:val="0"/>
      <w:marBottom w:val="0"/>
      <w:divBdr>
        <w:top w:val="none" w:sz="0" w:space="0" w:color="auto"/>
        <w:left w:val="none" w:sz="0" w:space="0" w:color="auto"/>
        <w:bottom w:val="none" w:sz="0" w:space="0" w:color="auto"/>
        <w:right w:val="none" w:sz="0" w:space="0" w:color="auto"/>
      </w:divBdr>
    </w:div>
    <w:div w:id="2043170390">
      <w:bodyDiv w:val="1"/>
      <w:marLeft w:val="0"/>
      <w:marRight w:val="0"/>
      <w:marTop w:val="0"/>
      <w:marBottom w:val="0"/>
      <w:divBdr>
        <w:top w:val="none" w:sz="0" w:space="0" w:color="auto"/>
        <w:left w:val="none" w:sz="0" w:space="0" w:color="auto"/>
        <w:bottom w:val="none" w:sz="0" w:space="0" w:color="auto"/>
        <w:right w:val="none" w:sz="0" w:space="0" w:color="auto"/>
      </w:divBdr>
    </w:div>
    <w:div w:id="2043439978">
      <w:bodyDiv w:val="1"/>
      <w:marLeft w:val="0"/>
      <w:marRight w:val="0"/>
      <w:marTop w:val="0"/>
      <w:marBottom w:val="0"/>
      <w:divBdr>
        <w:top w:val="none" w:sz="0" w:space="0" w:color="auto"/>
        <w:left w:val="none" w:sz="0" w:space="0" w:color="auto"/>
        <w:bottom w:val="none" w:sz="0" w:space="0" w:color="auto"/>
        <w:right w:val="none" w:sz="0" w:space="0" w:color="auto"/>
      </w:divBdr>
    </w:div>
    <w:div w:id="2043553898">
      <w:bodyDiv w:val="1"/>
      <w:marLeft w:val="0"/>
      <w:marRight w:val="0"/>
      <w:marTop w:val="0"/>
      <w:marBottom w:val="0"/>
      <w:divBdr>
        <w:top w:val="none" w:sz="0" w:space="0" w:color="auto"/>
        <w:left w:val="none" w:sz="0" w:space="0" w:color="auto"/>
        <w:bottom w:val="none" w:sz="0" w:space="0" w:color="auto"/>
        <w:right w:val="none" w:sz="0" w:space="0" w:color="auto"/>
      </w:divBdr>
    </w:div>
    <w:div w:id="2043556080">
      <w:bodyDiv w:val="1"/>
      <w:marLeft w:val="0"/>
      <w:marRight w:val="0"/>
      <w:marTop w:val="0"/>
      <w:marBottom w:val="0"/>
      <w:divBdr>
        <w:top w:val="none" w:sz="0" w:space="0" w:color="auto"/>
        <w:left w:val="none" w:sz="0" w:space="0" w:color="auto"/>
        <w:bottom w:val="none" w:sz="0" w:space="0" w:color="auto"/>
        <w:right w:val="none" w:sz="0" w:space="0" w:color="auto"/>
      </w:divBdr>
    </w:div>
    <w:div w:id="2043556544">
      <w:bodyDiv w:val="1"/>
      <w:marLeft w:val="0"/>
      <w:marRight w:val="0"/>
      <w:marTop w:val="0"/>
      <w:marBottom w:val="0"/>
      <w:divBdr>
        <w:top w:val="none" w:sz="0" w:space="0" w:color="auto"/>
        <w:left w:val="none" w:sz="0" w:space="0" w:color="auto"/>
        <w:bottom w:val="none" w:sz="0" w:space="0" w:color="auto"/>
        <w:right w:val="none" w:sz="0" w:space="0" w:color="auto"/>
      </w:divBdr>
    </w:div>
    <w:div w:id="2043625512">
      <w:bodyDiv w:val="1"/>
      <w:marLeft w:val="0"/>
      <w:marRight w:val="0"/>
      <w:marTop w:val="0"/>
      <w:marBottom w:val="0"/>
      <w:divBdr>
        <w:top w:val="none" w:sz="0" w:space="0" w:color="auto"/>
        <w:left w:val="none" w:sz="0" w:space="0" w:color="auto"/>
        <w:bottom w:val="none" w:sz="0" w:space="0" w:color="auto"/>
        <w:right w:val="none" w:sz="0" w:space="0" w:color="auto"/>
      </w:divBdr>
    </w:div>
    <w:div w:id="2043676193">
      <w:bodyDiv w:val="1"/>
      <w:marLeft w:val="0"/>
      <w:marRight w:val="0"/>
      <w:marTop w:val="0"/>
      <w:marBottom w:val="0"/>
      <w:divBdr>
        <w:top w:val="none" w:sz="0" w:space="0" w:color="auto"/>
        <w:left w:val="none" w:sz="0" w:space="0" w:color="auto"/>
        <w:bottom w:val="none" w:sz="0" w:space="0" w:color="auto"/>
        <w:right w:val="none" w:sz="0" w:space="0" w:color="auto"/>
      </w:divBdr>
    </w:div>
    <w:div w:id="2043706722">
      <w:bodyDiv w:val="1"/>
      <w:marLeft w:val="0"/>
      <w:marRight w:val="0"/>
      <w:marTop w:val="0"/>
      <w:marBottom w:val="0"/>
      <w:divBdr>
        <w:top w:val="none" w:sz="0" w:space="0" w:color="auto"/>
        <w:left w:val="none" w:sz="0" w:space="0" w:color="auto"/>
        <w:bottom w:val="none" w:sz="0" w:space="0" w:color="auto"/>
        <w:right w:val="none" w:sz="0" w:space="0" w:color="auto"/>
      </w:divBdr>
    </w:div>
    <w:div w:id="2043747303">
      <w:bodyDiv w:val="1"/>
      <w:marLeft w:val="0"/>
      <w:marRight w:val="0"/>
      <w:marTop w:val="0"/>
      <w:marBottom w:val="0"/>
      <w:divBdr>
        <w:top w:val="none" w:sz="0" w:space="0" w:color="auto"/>
        <w:left w:val="none" w:sz="0" w:space="0" w:color="auto"/>
        <w:bottom w:val="none" w:sz="0" w:space="0" w:color="auto"/>
        <w:right w:val="none" w:sz="0" w:space="0" w:color="auto"/>
      </w:divBdr>
    </w:div>
    <w:div w:id="2044280806">
      <w:bodyDiv w:val="1"/>
      <w:marLeft w:val="0"/>
      <w:marRight w:val="0"/>
      <w:marTop w:val="0"/>
      <w:marBottom w:val="0"/>
      <w:divBdr>
        <w:top w:val="none" w:sz="0" w:space="0" w:color="auto"/>
        <w:left w:val="none" w:sz="0" w:space="0" w:color="auto"/>
        <w:bottom w:val="none" w:sz="0" w:space="0" w:color="auto"/>
        <w:right w:val="none" w:sz="0" w:space="0" w:color="auto"/>
      </w:divBdr>
    </w:div>
    <w:div w:id="2044551403">
      <w:bodyDiv w:val="1"/>
      <w:marLeft w:val="0"/>
      <w:marRight w:val="0"/>
      <w:marTop w:val="0"/>
      <w:marBottom w:val="0"/>
      <w:divBdr>
        <w:top w:val="none" w:sz="0" w:space="0" w:color="auto"/>
        <w:left w:val="none" w:sz="0" w:space="0" w:color="auto"/>
        <w:bottom w:val="none" w:sz="0" w:space="0" w:color="auto"/>
        <w:right w:val="none" w:sz="0" w:space="0" w:color="auto"/>
      </w:divBdr>
    </w:div>
    <w:div w:id="2044744004">
      <w:bodyDiv w:val="1"/>
      <w:marLeft w:val="0"/>
      <w:marRight w:val="0"/>
      <w:marTop w:val="0"/>
      <w:marBottom w:val="0"/>
      <w:divBdr>
        <w:top w:val="none" w:sz="0" w:space="0" w:color="auto"/>
        <w:left w:val="none" w:sz="0" w:space="0" w:color="auto"/>
        <w:bottom w:val="none" w:sz="0" w:space="0" w:color="auto"/>
        <w:right w:val="none" w:sz="0" w:space="0" w:color="auto"/>
      </w:divBdr>
    </w:div>
    <w:div w:id="2044867044">
      <w:bodyDiv w:val="1"/>
      <w:marLeft w:val="0"/>
      <w:marRight w:val="0"/>
      <w:marTop w:val="0"/>
      <w:marBottom w:val="0"/>
      <w:divBdr>
        <w:top w:val="none" w:sz="0" w:space="0" w:color="auto"/>
        <w:left w:val="none" w:sz="0" w:space="0" w:color="auto"/>
        <w:bottom w:val="none" w:sz="0" w:space="0" w:color="auto"/>
        <w:right w:val="none" w:sz="0" w:space="0" w:color="auto"/>
      </w:divBdr>
    </w:div>
    <w:div w:id="2044867289">
      <w:bodyDiv w:val="1"/>
      <w:marLeft w:val="0"/>
      <w:marRight w:val="0"/>
      <w:marTop w:val="0"/>
      <w:marBottom w:val="0"/>
      <w:divBdr>
        <w:top w:val="none" w:sz="0" w:space="0" w:color="auto"/>
        <w:left w:val="none" w:sz="0" w:space="0" w:color="auto"/>
        <w:bottom w:val="none" w:sz="0" w:space="0" w:color="auto"/>
        <w:right w:val="none" w:sz="0" w:space="0" w:color="auto"/>
      </w:divBdr>
    </w:div>
    <w:div w:id="2045056018">
      <w:bodyDiv w:val="1"/>
      <w:marLeft w:val="0"/>
      <w:marRight w:val="0"/>
      <w:marTop w:val="0"/>
      <w:marBottom w:val="0"/>
      <w:divBdr>
        <w:top w:val="none" w:sz="0" w:space="0" w:color="auto"/>
        <w:left w:val="none" w:sz="0" w:space="0" w:color="auto"/>
        <w:bottom w:val="none" w:sz="0" w:space="0" w:color="auto"/>
        <w:right w:val="none" w:sz="0" w:space="0" w:color="auto"/>
      </w:divBdr>
    </w:div>
    <w:div w:id="2045061815">
      <w:bodyDiv w:val="1"/>
      <w:marLeft w:val="0"/>
      <w:marRight w:val="0"/>
      <w:marTop w:val="0"/>
      <w:marBottom w:val="0"/>
      <w:divBdr>
        <w:top w:val="none" w:sz="0" w:space="0" w:color="auto"/>
        <w:left w:val="none" w:sz="0" w:space="0" w:color="auto"/>
        <w:bottom w:val="none" w:sz="0" w:space="0" w:color="auto"/>
        <w:right w:val="none" w:sz="0" w:space="0" w:color="auto"/>
      </w:divBdr>
    </w:div>
    <w:div w:id="2045133138">
      <w:bodyDiv w:val="1"/>
      <w:marLeft w:val="0"/>
      <w:marRight w:val="0"/>
      <w:marTop w:val="0"/>
      <w:marBottom w:val="0"/>
      <w:divBdr>
        <w:top w:val="none" w:sz="0" w:space="0" w:color="auto"/>
        <w:left w:val="none" w:sz="0" w:space="0" w:color="auto"/>
        <w:bottom w:val="none" w:sz="0" w:space="0" w:color="auto"/>
        <w:right w:val="none" w:sz="0" w:space="0" w:color="auto"/>
      </w:divBdr>
    </w:div>
    <w:div w:id="2045134273">
      <w:bodyDiv w:val="1"/>
      <w:marLeft w:val="0"/>
      <w:marRight w:val="0"/>
      <w:marTop w:val="0"/>
      <w:marBottom w:val="0"/>
      <w:divBdr>
        <w:top w:val="none" w:sz="0" w:space="0" w:color="auto"/>
        <w:left w:val="none" w:sz="0" w:space="0" w:color="auto"/>
        <w:bottom w:val="none" w:sz="0" w:space="0" w:color="auto"/>
        <w:right w:val="none" w:sz="0" w:space="0" w:color="auto"/>
      </w:divBdr>
    </w:div>
    <w:div w:id="2045209610">
      <w:bodyDiv w:val="1"/>
      <w:marLeft w:val="0"/>
      <w:marRight w:val="0"/>
      <w:marTop w:val="0"/>
      <w:marBottom w:val="0"/>
      <w:divBdr>
        <w:top w:val="none" w:sz="0" w:space="0" w:color="auto"/>
        <w:left w:val="none" w:sz="0" w:space="0" w:color="auto"/>
        <w:bottom w:val="none" w:sz="0" w:space="0" w:color="auto"/>
        <w:right w:val="none" w:sz="0" w:space="0" w:color="auto"/>
      </w:divBdr>
    </w:div>
    <w:div w:id="2045212550">
      <w:bodyDiv w:val="1"/>
      <w:marLeft w:val="0"/>
      <w:marRight w:val="0"/>
      <w:marTop w:val="0"/>
      <w:marBottom w:val="0"/>
      <w:divBdr>
        <w:top w:val="none" w:sz="0" w:space="0" w:color="auto"/>
        <w:left w:val="none" w:sz="0" w:space="0" w:color="auto"/>
        <w:bottom w:val="none" w:sz="0" w:space="0" w:color="auto"/>
        <w:right w:val="none" w:sz="0" w:space="0" w:color="auto"/>
      </w:divBdr>
    </w:div>
    <w:div w:id="2045444398">
      <w:bodyDiv w:val="1"/>
      <w:marLeft w:val="0"/>
      <w:marRight w:val="0"/>
      <w:marTop w:val="0"/>
      <w:marBottom w:val="0"/>
      <w:divBdr>
        <w:top w:val="none" w:sz="0" w:space="0" w:color="auto"/>
        <w:left w:val="none" w:sz="0" w:space="0" w:color="auto"/>
        <w:bottom w:val="none" w:sz="0" w:space="0" w:color="auto"/>
        <w:right w:val="none" w:sz="0" w:space="0" w:color="auto"/>
      </w:divBdr>
    </w:div>
    <w:div w:id="2045520808">
      <w:bodyDiv w:val="1"/>
      <w:marLeft w:val="0"/>
      <w:marRight w:val="0"/>
      <w:marTop w:val="0"/>
      <w:marBottom w:val="0"/>
      <w:divBdr>
        <w:top w:val="none" w:sz="0" w:space="0" w:color="auto"/>
        <w:left w:val="none" w:sz="0" w:space="0" w:color="auto"/>
        <w:bottom w:val="none" w:sz="0" w:space="0" w:color="auto"/>
        <w:right w:val="none" w:sz="0" w:space="0" w:color="auto"/>
      </w:divBdr>
    </w:div>
    <w:div w:id="2045712816">
      <w:bodyDiv w:val="1"/>
      <w:marLeft w:val="0"/>
      <w:marRight w:val="0"/>
      <w:marTop w:val="0"/>
      <w:marBottom w:val="0"/>
      <w:divBdr>
        <w:top w:val="none" w:sz="0" w:space="0" w:color="auto"/>
        <w:left w:val="none" w:sz="0" w:space="0" w:color="auto"/>
        <w:bottom w:val="none" w:sz="0" w:space="0" w:color="auto"/>
        <w:right w:val="none" w:sz="0" w:space="0" w:color="auto"/>
      </w:divBdr>
    </w:div>
    <w:div w:id="2046128979">
      <w:bodyDiv w:val="1"/>
      <w:marLeft w:val="0"/>
      <w:marRight w:val="0"/>
      <w:marTop w:val="0"/>
      <w:marBottom w:val="0"/>
      <w:divBdr>
        <w:top w:val="none" w:sz="0" w:space="0" w:color="auto"/>
        <w:left w:val="none" w:sz="0" w:space="0" w:color="auto"/>
        <w:bottom w:val="none" w:sz="0" w:space="0" w:color="auto"/>
        <w:right w:val="none" w:sz="0" w:space="0" w:color="auto"/>
      </w:divBdr>
    </w:div>
    <w:div w:id="2046169832">
      <w:bodyDiv w:val="1"/>
      <w:marLeft w:val="0"/>
      <w:marRight w:val="0"/>
      <w:marTop w:val="0"/>
      <w:marBottom w:val="0"/>
      <w:divBdr>
        <w:top w:val="none" w:sz="0" w:space="0" w:color="auto"/>
        <w:left w:val="none" w:sz="0" w:space="0" w:color="auto"/>
        <w:bottom w:val="none" w:sz="0" w:space="0" w:color="auto"/>
        <w:right w:val="none" w:sz="0" w:space="0" w:color="auto"/>
      </w:divBdr>
    </w:div>
    <w:div w:id="2046366315">
      <w:bodyDiv w:val="1"/>
      <w:marLeft w:val="0"/>
      <w:marRight w:val="0"/>
      <w:marTop w:val="0"/>
      <w:marBottom w:val="0"/>
      <w:divBdr>
        <w:top w:val="none" w:sz="0" w:space="0" w:color="auto"/>
        <w:left w:val="none" w:sz="0" w:space="0" w:color="auto"/>
        <w:bottom w:val="none" w:sz="0" w:space="0" w:color="auto"/>
        <w:right w:val="none" w:sz="0" w:space="0" w:color="auto"/>
      </w:divBdr>
    </w:div>
    <w:div w:id="2046368982">
      <w:bodyDiv w:val="1"/>
      <w:marLeft w:val="0"/>
      <w:marRight w:val="0"/>
      <w:marTop w:val="0"/>
      <w:marBottom w:val="0"/>
      <w:divBdr>
        <w:top w:val="none" w:sz="0" w:space="0" w:color="auto"/>
        <w:left w:val="none" w:sz="0" w:space="0" w:color="auto"/>
        <w:bottom w:val="none" w:sz="0" w:space="0" w:color="auto"/>
        <w:right w:val="none" w:sz="0" w:space="0" w:color="auto"/>
      </w:divBdr>
    </w:div>
    <w:div w:id="2046369424">
      <w:bodyDiv w:val="1"/>
      <w:marLeft w:val="0"/>
      <w:marRight w:val="0"/>
      <w:marTop w:val="0"/>
      <w:marBottom w:val="0"/>
      <w:divBdr>
        <w:top w:val="none" w:sz="0" w:space="0" w:color="auto"/>
        <w:left w:val="none" w:sz="0" w:space="0" w:color="auto"/>
        <w:bottom w:val="none" w:sz="0" w:space="0" w:color="auto"/>
        <w:right w:val="none" w:sz="0" w:space="0" w:color="auto"/>
      </w:divBdr>
    </w:div>
    <w:div w:id="2046371501">
      <w:bodyDiv w:val="1"/>
      <w:marLeft w:val="0"/>
      <w:marRight w:val="0"/>
      <w:marTop w:val="0"/>
      <w:marBottom w:val="0"/>
      <w:divBdr>
        <w:top w:val="none" w:sz="0" w:space="0" w:color="auto"/>
        <w:left w:val="none" w:sz="0" w:space="0" w:color="auto"/>
        <w:bottom w:val="none" w:sz="0" w:space="0" w:color="auto"/>
        <w:right w:val="none" w:sz="0" w:space="0" w:color="auto"/>
      </w:divBdr>
    </w:div>
    <w:div w:id="2046634815">
      <w:bodyDiv w:val="1"/>
      <w:marLeft w:val="0"/>
      <w:marRight w:val="0"/>
      <w:marTop w:val="0"/>
      <w:marBottom w:val="0"/>
      <w:divBdr>
        <w:top w:val="none" w:sz="0" w:space="0" w:color="auto"/>
        <w:left w:val="none" w:sz="0" w:space="0" w:color="auto"/>
        <w:bottom w:val="none" w:sz="0" w:space="0" w:color="auto"/>
        <w:right w:val="none" w:sz="0" w:space="0" w:color="auto"/>
      </w:divBdr>
    </w:div>
    <w:div w:id="2046713534">
      <w:bodyDiv w:val="1"/>
      <w:marLeft w:val="0"/>
      <w:marRight w:val="0"/>
      <w:marTop w:val="0"/>
      <w:marBottom w:val="0"/>
      <w:divBdr>
        <w:top w:val="none" w:sz="0" w:space="0" w:color="auto"/>
        <w:left w:val="none" w:sz="0" w:space="0" w:color="auto"/>
        <w:bottom w:val="none" w:sz="0" w:space="0" w:color="auto"/>
        <w:right w:val="none" w:sz="0" w:space="0" w:color="auto"/>
      </w:divBdr>
    </w:div>
    <w:div w:id="2046757671">
      <w:bodyDiv w:val="1"/>
      <w:marLeft w:val="0"/>
      <w:marRight w:val="0"/>
      <w:marTop w:val="0"/>
      <w:marBottom w:val="0"/>
      <w:divBdr>
        <w:top w:val="none" w:sz="0" w:space="0" w:color="auto"/>
        <w:left w:val="none" w:sz="0" w:space="0" w:color="auto"/>
        <w:bottom w:val="none" w:sz="0" w:space="0" w:color="auto"/>
        <w:right w:val="none" w:sz="0" w:space="0" w:color="auto"/>
      </w:divBdr>
    </w:div>
    <w:div w:id="2046783090">
      <w:bodyDiv w:val="1"/>
      <w:marLeft w:val="0"/>
      <w:marRight w:val="0"/>
      <w:marTop w:val="0"/>
      <w:marBottom w:val="0"/>
      <w:divBdr>
        <w:top w:val="none" w:sz="0" w:space="0" w:color="auto"/>
        <w:left w:val="none" w:sz="0" w:space="0" w:color="auto"/>
        <w:bottom w:val="none" w:sz="0" w:space="0" w:color="auto"/>
        <w:right w:val="none" w:sz="0" w:space="0" w:color="auto"/>
      </w:divBdr>
    </w:div>
    <w:div w:id="2047025519">
      <w:bodyDiv w:val="1"/>
      <w:marLeft w:val="0"/>
      <w:marRight w:val="0"/>
      <w:marTop w:val="0"/>
      <w:marBottom w:val="0"/>
      <w:divBdr>
        <w:top w:val="none" w:sz="0" w:space="0" w:color="auto"/>
        <w:left w:val="none" w:sz="0" w:space="0" w:color="auto"/>
        <w:bottom w:val="none" w:sz="0" w:space="0" w:color="auto"/>
        <w:right w:val="none" w:sz="0" w:space="0" w:color="auto"/>
      </w:divBdr>
    </w:div>
    <w:div w:id="2047290239">
      <w:bodyDiv w:val="1"/>
      <w:marLeft w:val="0"/>
      <w:marRight w:val="0"/>
      <w:marTop w:val="0"/>
      <w:marBottom w:val="0"/>
      <w:divBdr>
        <w:top w:val="none" w:sz="0" w:space="0" w:color="auto"/>
        <w:left w:val="none" w:sz="0" w:space="0" w:color="auto"/>
        <w:bottom w:val="none" w:sz="0" w:space="0" w:color="auto"/>
        <w:right w:val="none" w:sz="0" w:space="0" w:color="auto"/>
      </w:divBdr>
    </w:div>
    <w:div w:id="2047292864">
      <w:bodyDiv w:val="1"/>
      <w:marLeft w:val="0"/>
      <w:marRight w:val="0"/>
      <w:marTop w:val="0"/>
      <w:marBottom w:val="0"/>
      <w:divBdr>
        <w:top w:val="none" w:sz="0" w:space="0" w:color="auto"/>
        <w:left w:val="none" w:sz="0" w:space="0" w:color="auto"/>
        <w:bottom w:val="none" w:sz="0" w:space="0" w:color="auto"/>
        <w:right w:val="none" w:sz="0" w:space="0" w:color="auto"/>
      </w:divBdr>
    </w:div>
    <w:div w:id="2047370842">
      <w:bodyDiv w:val="1"/>
      <w:marLeft w:val="0"/>
      <w:marRight w:val="0"/>
      <w:marTop w:val="0"/>
      <w:marBottom w:val="0"/>
      <w:divBdr>
        <w:top w:val="none" w:sz="0" w:space="0" w:color="auto"/>
        <w:left w:val="none" w:sz="0" w:space="0" w:color="auto"/>
        <w:bottom w:val="none" w:sz="0" w:space="0" w:color="auto"/>
        <w:right w:val="none" w:sz="0" w:space="0" w:color="auto"/>
      </w:divBdr>
    </w:div>
    <w:div w:id="2047438803">
      <w:bodyDiv w:val="1"/>
      <w:marLeft w:val="0"/>
      <w:marRight w:val="0"/>
      <w:marTop w:val="0"/>
      <w:marBottom w:val="0"/>
      <w:divBdr>
        <w:top w:val="none" w:sz="0" w:space="0" w:color="auto"/>
        <w:left w:val="none" w:sz="0" w:space="0" w:color="auto"/>
        <w:bottom w:val="none" w:sz="0" w:space="0" w:color="auto"/>
        <w:right w:val="none" w:sz="0" w:space="0" w:color="auto"/>
      </w:divBdr>
    </w:div>
    <w:div w:id="2047676166">
      <w:bodyDiv w:val="1"/>
      <w:marLeft w:val="0"/>
      <w:marRight w:val="0"/>
      <w:marTop w:val="0"/>
      <w:marBottom w:val="0"/>
      <w:divBdr>
        <w:top w:val="none" w:sz="0" w:space="0" w:color="auto"/>
        <w:left w:val="none" w:sz="0" w:space="0" w:color="auto"/>
        <w:bottom w:val="none" w:sz="0" w:space="0" w:color="auto"/>
        <w:right w:val="none" w:sz="0" w:space="0" w:color="auto"/>
      </w:divBdr>
    </w:div>
    <w:div w:id="2047951554">
      <w:bodyDiv w:val="1"/>
      <w:marLeft w:val="0"/>
      <w:marRight w:val="0"/>
      <w:marTop w:val="0"/>
      <w:marBottom w:val="0"/>
      <w:divBdr>
        <w:top w:val="none" w:sz="0" w:space="0" w:color="auto"/>
        <w:left w:val="none" w:sz="0" w:space="0" w:color="auto"/>
        <w:bottom w:val="none" w:sz="0" w:space="0" w:color="auto"/>
        <w:right w:val="none" w:sz="0" w:space="0" w:color="auto"/>
      </w:divBdr>
    </w:div>
    <w:div w:id="2048017991">
      <w:bodyDiv w:val="1"/>
      <w:marLeft w:val="0"/>
      <w:marRight w:val="0"/>
      <w:marTop w:val="0"/>
      <w:marBottom w:val="0"/>
      <w:divBdr>
        <w:top w:val="none" w:sz="0" w:space="0" w:color="auto"/>
        <w:left w:val="none" w:sz="0" w:space="0" w:color="auto"/>
        <w:bottom w:val="none" w:sz="0" w:space="0" w:color="auto"/>
        <w:right w:val="none" w:sz="0" w:space="0" w:color="auto"/>
      </w:divBdr>
    </w:div>
    <w:div w:id="2048066426">
      <w:bodyDiv w:val="1"/>
      <w:marLeft w:val="0"/>
      <w:marRight w:val="0"/>
      <w:marTop w:val="0"/>
      <w:marBottom w:val="0"/>
      <w:divBdr>
        <w:top w:val="none" w:sz="0" w:space="0" w:color="auto"/>
        <w:left w:val="none" w:sz="0" w:space="0" w:color="auto"/>
        <w:bottom w:val="none" w:sz="0" w:space="0" w:color="auto"/>
        <w:right w:val="none" w:sz="0" w:space="0" w:color="auto"/>
      </w:divBdr>
    </w:div>
    <w:div w:id="2048293857">
      <w:bodyDiv w:val="1"/>
      <w:marLeft w:val="0"/>
      <w:marRight w:val="0"/>
      <w:marTop w:val="0"/>
      <w:marBottom w:val="0"/>
      <w:divBdr>
        <w:top w:val="none" w:sz="0" w:space="0" w:color="auto"/>
        <w:left w:val="none" w:sz="0" w:space="0" w:color="auto"/>
        <w:bottom w:val="none" w:sz="0" w:space="0" w:color="auto"/>
        <w:right w:val="none" w:sz="0" w:space="0" w:color="auto"/>
      </w:divBdr>
    </w:div>
    <w:div w:id="2048488996">
      <w:bodyDiv w:val="1"/>
      <w:marLeft w:val="0"/>
      <w:marRight w:val="0"/>
      <w:marTop w:val="0"/>
      <w:marBottom w:val="0"/>
      <w:divBdr>
        <w:top w:val="none" w:sz="0" w:space="0" w:color="auto"/>
        <w:left w:val="none" w:sz="0" w:space="0" w:color="auto"/>
        <w:bottom w:val="none" w:sz="0" w:space="0" w:color="auto"/>
        <w:right w:val="none" w:sz="0" w:space="0" w:color="auto"/>
      </w:divBdr>
    </w:div>
    <w:div w:id="2048601370">
      <w:bodyDiv w:val="1"/>
      <w:marLeft w:val="0"/>
      <w:marRight w:val="0"/>
      <w:marTop w:val="0"/>
      <w:marBottom w:val="0"/>
      <w:divBdr>
        <w:top w:val="none" w:sz="0" w:space="0" w:color="auto"/>
        <w:left w:val="none" w:sz="0" w:space="0" w:color="auto"/>
        <w:bottom w:val="none" w:sz="0" w:space="0" w:color="auto"/>
        <w:right w:val="none" w:sz="0" w:space="0" w:color="auto"/>
      </w:divBdr>
    </w:div>
    <w:div w:id="2048682205">
      <w:bodyDiv w:val="1"/>
      <w:marLeft w:val="0"/>
      <w:marRight w:val="0"/>
      <w:marTop w:val="0"/>
      <w:marBottom w:val="0"/>
      <w:divBdr>
        <w:top w:val="none" w:sz="0" w:space="0" w:color="auto"/>
        <w:left w:val="none" w:sz="0" w:space="0" w:color="auto"/>
        <w:bottom w:val="none" w:sz="0" w:space="0" w:color="auto"/>
        <w:right w:val="none" w:sz="0" w:space="0" w:color="auto"/>
      </w:divBdr>
    </w:div>
    <w:div w:id="2048751793">
      <w:bodyDiv w:val="1"/>
      <w:marLeft w:val="0"/>
      <w:marRight w:val="0"/>
      <w:marTop w:val="0"/>
      <w:marBottom w:val="0"/>
      <w:divBdr>
        <w:top w:val="none" w:sz="0" w:space="0" w:color="auto"/>
        <w:left w:val="none" w:sz="0" w:space="0" w:color="auto"/>
        <w:bottom w:val="none" w:sz="0" w:space="0" w:color="auto"/>
        <w:right w:val="none" w:sz="0" w:space="0" w:color="auto"/>
      </w:divBdr>
    </w:div>
    <w:div w:id="2048870236">
      <w:bodyDiv w:val="1"/>
      <w:marLeft w:val="0"/>
      <w:marRight w:val="0"/>
      <w:marTop w:val="0"/>
      <w:marBottom w:val="0"/>
      <w:divBdr>
        <w:top w:val="none" w:sz="0" w:space="0" w:color="auto"/>
        <w:left w:val="none" w:sz="0" w:space="0" w:color="auto"/>
        <w:bottom w:val="none" w:sz="0" w:space="0" w:color="auto"/>
        <w:right w:val="none" w:sz="0" w:space="0" w:color="auto"/>
      </w:divBdr>
    </w:div>
    <w:div w:id="2048943613">
      <w:bodyDiv w:val="1"/>
      <w:marLeft w:val="0"/>
      <w:marRight w:val="0"/>
      <w:marTop w:val="0"/>
      <w:marBottom w:val="0"/>
      <w:divBdr>
        <w:top w:val="none" w:sz="0" w:space="0" w:color="auto"/>
        <w:left w:val="none" w:sz="0" w:space="0" w:color="auto"/>
        <w:bottom w:val="none" w:sz="0" w:space="0" w:color="auto"/>
        <w:right w:val="none" w:sz="0" w:space="0" w:color="auto"/>
      </w:divBdr>
    </w:div>
    <w:div w:id="2049060233">
      <w:bodyDiv w:val="1"/>
      <w:marLeft w:val="0"/>
      <w:marRight w:val="0"/>
      <w:marTop w:val="0"/>
      <w:marBottom w:val="0"/>
      <w:divBdr>
        <w:top w:val="none" w:sz="0" w:space="0" w:color="auto"/>
        <w:left w:val="none" w:sz="0" w:space="0" w:color="auto"/>
        <w:bottom w:val="none" w:sz="0" w:space="0" w:color="auto"/>
        <w:right w:val="none" w:sz="0" w:space="0" w:color="auto"/>
      </w:divBdr>
    </w:div>
    <w:div w:id="2049793476">
      <w:bodyDiv w:val="1"/>
      <w:marLeft w:val="0"/>
      <w:marRight w:val="0"/>
      <w:marTop w:val="0"/>
      <w:marBottom w:val="0"/>
      <w:divBdr>
        <w:top w:val="none" w:sz="0" w:space="0" w:color="auto"/>
        <w:left w:val="none" w:sz="0" w:space="0" w:color="auto"/>
        <w:bottom w:val="none" w:sz="0" w:space="0" w:color="auto"/>
        <w:right w:val="none" w:sz="0" w:space="0" w:color="auto"/>
      </w:divBdr>
    </w:div>
    <w:div w:id="2049795178">
      <w:bodyDiv w:val="1"/>
      <w:marLeft w:val="0"/>
      <w:marRight w:val="0"/>
      <w:marTop w:val="0"/>
      <w:marBottom w:val="0"/>
      <w:divBdr>
        <w:top w:val="none" w:sz="0" w:space="0" w:color="auto"/>
        <w:left w:val="none" w:sz="0" w:space="0" w:color="auto"/>
        <w:bottom w:val="none" w:sz="0" w:space="0" w:color="auto"/>
        <w:right w:val="none" w:sz="0" w:space="0" w:color="auto"/>
      </w:divBdr>
    </w:div>
    <w:div w:id="2049911051">
      <w:bodyDiv w:val="1"/>
      <w:marLeft w:val="0"/>
      <w:marRight w:val="0"/>
      <w:marTop w:val="0"/>
      <w:marBottom w:val="0"/>
      <w:divBdr>
        <w:top w:val="none" w:sz="0" w:space="0" w:color="auto"/>
        <w:left w:val="none" w:sz="0" w:space="0" w:color="auto"/>
        <w:bottom w:val="none" w:sz="0" w:space="0" w:color="auto"/>
        <w:right w:val="none" w:sz="0" w:space="0" w:color="auto"/>
      </w:divBdr>
    </w:div>
    <w:div w:id="2049987663">
      <w:bodyDiv w:val="1"/>
      <w:marLeft w:val="0"/>
      <w:marRight w:val="0"/>
      <w:marTop w:val="0"/>
      <w:marBottom w:val="0"/>
      <w:divBdr>
        <w:top w:val="none" w:sz="0" w:space="0" w:color="auto"/>
        <w:left w:val="none" w:sz="0" w:space="0" w:color="auto"/>
        <w:bottom w:val="none" w:sz="0" w:space="0" w:color="auto"/>
        <w:right w:val="none" w:sz="0" w:space="0" w:color="auto"/>
      </w:divBdr>
    </w:div>
    <w:div w:id="2050060918">
      <w:bodyDiv w:val="1"/>
      <w:marLeft w:val="0"/>
      <w:marRight w:val="0"/>
      <w:marTop w:val="0"/>
      <w:marBottom w:val="0"/>
      <w:divBdr>
        <w:top w:val="none" w:sz="0" w:space="0" w:color="auto"/>
        <w:left w:val="none" w:sz="0" w:space="0" w:color="auto"/>
        <w:bottom w:val="none" w:sz="0" w:space="0" w:color="auto"/>
        <w:right w:val="none" w:sz="0" w:space="0" w:color="auto"/>
      </w:divBdr>
    </w:div>
    <w:div w:id="2050184148">
      <w:bodyDiv w:val="1"/>
      <w:marLeft w:val="0"/>
      <w:marRight w:val="0"/>
      <w:marTop w:val="0"/>
      <w:marBottom w:val="0"/>
      <w:divBdr>
        <w:top w:val="none" w:sz="0" w:space="0" w:color="auto"/>
        <w:left w:val="none" w:sz="0" w:space="0" w:color="auto"/>
        <w:bottom w:val="none" w:sz="0" w:space="0" w:color="auto"/>
        <w:right w:val="none" w:sz="0" w:space="0" w:color="auto"/>
      </w:divBdr>
    </w:div>
    <w:div w:id="2050304064">
      <w:bodyDiv w:val="1"/>
      <w:marLeft w:val="0"/>
      <w:marRight w:val="0"/>
      <w:marTop w:val="0"/>
      <w:marBottom w:val="0"/>
      <w:divBdr>
        <w:top w:val="none" w:sz="0" w:space="0" w:color="auto"/>
        <w:left w:val="none" w:sz="0" w:space="0" w:color="auto"/>
        <w:bottom w:val="none" w:sz="0" w:space="0" w:color="auto"/>
        <w:right w:val="none" w:sz="0" w:space="0" w:color="auto"/>
      </w:divBdr>
    </w:div>
    <w:div w:id="2050374434">
      <w:bodyDiv w:val="1"/>
      <w:marLeft w:val="0"/>
      <w:marRight w:val="0"/>
      <w:marTop w:val="0"/>
      <w:marBottom w:val="0"/>
      <w:divBdr>
        <w:top w:val="none" w:sz="0" w:space="0" w:color="auto"/>
        <w:left w:val="none" w:sz="0" w:space="0" w:color="auto"/>
        <w:bottom w:val="none" w:sz="0" w:space="0" w:color="auto"/>
        <w:right w:val="none" w:sz="0" w:space="0" w:color="auto"/>
      </w:divBdr>
    </w:div>
    <w:div w:id="2050760857">
      <w:bodyDiv w:val="1"/>
      <w:marLeft w:val="0"/>
      <w:marRight w:val="0"/>
      <w:marTop w:val="0"/>
      <w:marBottom w:val="0"/>
      <w:divBdr>
        <w:top w:val="none" w:sz="0" w:space="0" w:color="auto"/>
        <w:left w:val="none" w:sz="0" w:space="0" w:color="auto"/>
        <w:bottom w:val="none" w:sz="0" w:space="0" w:color="auto"/>
        <w:right w:val="none" w:sz="0" w:space="0" w:color="auto"/>
      </w:divBdr>
    </w:div>
    <w:div w:id="2050839849">
      <w:bodyDiv w:val="1"/>
      <w:marLeft w:val="0"/>
      <w:marRight w:val="0"/>
      <w:marTop w:val="0"/>
      <w:marBottom w:val="0"/>
      <w:divBdr>
        <w:top w:val="none" w:sz="0" w:space="0" w:color="auto"/>
        <w:left w:val="none" w:sz="0" w:space="0" w:color="auto"/>
        <w:bottom w:val="none" w:sz="0" w:space="0" w:color="auto"/>
        <w:right w:val="none" w:sz="0" w:space="0" w:color="auto"/>
      </w:divBdr>
    </w:div>
    <w:div w:id="2051025613">
      <w:bodyDiv w:val="1"/>
      <w:marLeft w:val="0"/>
      <w:marRight w:val="0"/>
      <w:marTop w:val="0"/>
      <w:marBottom w:val="0"/>
      <w:divBdr>
        <w:top w:val="none" w:sz="0" w:space="0" w:color="auto"/>
        <w:left w:val="none" w:sz="0" w:space="0" w:color="auto"/>
        <w:bottom w:val="none" w:sz="0" w:space="0" w:color="auto"/>
        <w:right w:val="none" w:sz="0" w:space="0" w:color="auto"/>
      </w:divBdr>
    </w:div>
    <w:div w:id="2051833365">
      <w:bodyDiv w:val="1"/>
      <w:marLeft w:val="0"/>
      <w:marRight w:val="0"/>
      <w:marTop w:val="0"/>
      <w:marBottom w:val="0"/>
      <w:divBdr>
        <w:top w:val="none" w:sz="0" w:space="0" w:color="auto"/>
        <w:left w:val="none" w:sz="0" w:space="0" w:color="auto"/>
        <w:bottom w:val="none" w:sz="0" w:space="0" w:color="auto"/>
        <w:right w:val="none" w:sz="0" w:space="0" w:color="auto"/>
      </w:divBdr>
    </w:div>
    <w:div w:id="2052024524">
      <w:bodyDiv w:val="1"/>
      <w:marLeft w:val="0"/>
      <w:marRight w:val="0"/>
      <w:marTop w:val="0"/>
      <w:marBottom w:val="0"/>
      <w:divBdr>
        <w:top w:val="none" w:sz="0" w:space="0" w:color="auto"/>
        <w:left w:val="none" w:sz="0" w:space="0" w:color="auto"/>
        <w:bottom w:val="none" w:sz="0" w:space="0" w:color="auto"/>
        <w:right w:val="none" w:sz="0" w:space="0" w:color="auto"/>
      </w:divBdr>
    </w:div>
    <w:div w:id="2052029299">
      <w:bodyDiv w:val="1"/>
      <w:marLeft w:val="0"/>
      <w:marRight w:val="0"/>
      <w:marTop w:val="0"/>
      <w:marBottom w:val="0"/>
      <w:divBdr>
        <w:top w:val="none" w:sz="0" w:space="0" w:color="auto"/>
        <w:left w:val="none" w:sz="0" w:space="0" w:color="auto"/>
        <w:bottom w:val="none" w:sz="0" w:space="0" w:color="auto"/>
        <w:right w:val="none" w:sz="0" w:space="0" w:color="auto"/>
      </w:divBdr>
    </w:div>
    <w:div w:id="2052070477">
      <w:bodyDiv w:val="1"/>
      <w:marLeft w:val="0"/>
      <w:marRight w:val="0"/>
      <w:marTop w:val="0"/>
      <w:marBottom w:val="0"/>
      <w:divBdr>
        <w:top w:val="none" w:sz="0" w:space="0" w:color="auto"/>
        <w:left w:val="none" w:sz="0" w:space="0" w:color="auto"/>
        <w:bottom w:val="none" w:sz="0" w:space="0" w:color="auto"/>
        <w:right w:val="none" w:sz="0" w:space="0" w:color="auto"/>
      </w:divBdr>
    </w:div>
    <w:div w:id="2052224213">
      <w:bodyDiv w:val="1"/>
      <w:marLeft w:val="0"/>
      <w:marRight w:val="0"/>
      <w:marTop w:val="0"/>
      <w:marBottom w:val="0"/>
      <w:divBdr>
        <w:top w:val="none" w:sz="0" w:space="0" w:color="auto"/>
        <w:left w:val="none" w:sz="0" w:space="0" w:color="auto"/>
        <w:bottom w:val="none" w:sz="0" w:space="0" w:color="auto"/>
        <w:right w:val="none" w:sz="0" w:space="0" w:color="auto"/>
      </w:divBdr>
    </w:div>
    <w:div w:id="2052458416">
      <w:bodyDiv w:val="1"/>
      <w:marLeft w:val="0"/>
      <w:marRight w:val="0"/>
      <w:marTop w:val="0"/>
      <w:marBottom w:val="0"/>
      <w:divBdr>
        <w:top w:val="none" w:sz="0" w:space="0" w:color="auto"/>
        <w:left w:val="none" w:sz="0" w:space="0" w:color="auto"/>
        <w:bottom w:val="none" w:sz="0" w:space="0" w:color="auto"/>
        <w:right w:val="none" w:sz="0" w:space="0" w:color="auto"/>
      </w:divBdr>
    </w:div>
    <w:div w:id="2052611455">
      <w:bodyDiv w:val="1"/>
      <w:marLeft w:val="0"/>
      <w:marRight w:val="0"/>
      <w:marTop w:val="0"/>
      <w:marBottom w:val="0"/>
      <w:divBdr>
        <w:top w:val="none" w:sz="0" w:space="0" w:color="auto"/>
        <w:left w:val="none" w:sz="0" w:space="0" w:color="auto"/>
        <w:bottom w:val="none" w:sz="0" w:space="0" w:color="auto"/>
        <w:right w:val="none" w:sz="0" w:space="0" w:color="auto"/>
      </w:divBdr>
    </w:div>
    <w:div w:id="2052798616">
      <w:bodyDiv w:val="1"/>
      <w:marLeft w:val="0"/>
      <w:marRight w:val="0"/>
      <w:marTop w:val="0"/>
      <w:marBottom w:val="0"/>
      <w:divBdr>
        <w:top w:val="none" w:sz="0" w:space="0" w:color="auto"/>
        <w:left w:val="none" w:sz="0" w:space="0" w:color="auto"/>
        <w:bottom w:val="none" w:sz="0" w:space="0" w:color="auto"/>
        <w:right w:val="none" w:sz="0" w:space="0" w:color="auto"/>
      </w:divBdr>
    </w:div>
    <w:div w:id="2052993852">
      <w:bodyDiv w:val="1"/>
      <w:marLeft w:val="0"/>
      <w:marRight w:val="0"/>
      <w:marTop w:val="0"/>
      <w:marBottom w:val="0"/>
      <w:divBdr>
        <w:top w:val="none" w:sz="0" w:space="0" w:color="auto"/>
        <w:left w:val="none" w:sz="0" w:space="0" w:color="auto"/>
        <w:bottom w:val="none" w:sz="0" w:space="0" w:color="auto"/>
        <w:right w:val="none" w:sz="0" w:space="0" w:color="auto"/>
      </w:divBdr>
    </w:div>
    <w:div w:id="2053112779">
      <w:bodyDiv w:val="1"/>
      <w:marLeft w:val="0"/>
      <w:marRight w:val="0"/>
      <w:marTop w:val="0"/>
      <w:marBottom w:val="0"/>
      <w:divBdr>
        <w:top w:val="none" w:sz="0" w:space="0" w:color="auto"/>
        <w:left w:val="none" w:sz="0" w:space="0" w:color="auto"/>
        <w:bottom w:val="none" w:sz="0" w:space="0" w:color="auto"/>
        <w:right w:val="none" w:sz="0" w:space="0" w:color="auto"/>
      </w:divBdr>
    </w:div>
    <w:div w:id="2053309476">
      <w:bodyDiv w:val="1"/>
      <w:marLeft w:val="0"/>
      <w:marRight w:val="0"/>
      <w:marTop w:val="0"/>
      <w:marBottom w:val="0"/>
      <w:divBdr>
        <w:top w:val="none" w:sz="0" w:space="0" w:color="auto"/>
        <w:left w:val="none" w:sz="0" w:space="0" w:color="auto"/>
        <w:bottom w:val="none" w:sz="0" w:space="0" w:color="auto"/>
        <w:right w:val="none" w:sz="0" w:space="0" w:color="auto"/>
      </w:divBdr>
    </w:div>
    <w:div w:id="2053311512">
      <w:bodyDiv w:val="1"/>
      <w:marLeft w:val="0"/>
      <w:marRight w:val="0"/>
      <w:marTop w:val="0"/>
      <w:marBottom w:val="0"/>
      <w:divBdr>
        <w:top w:val="none" w:sz="0" w:space="0" w:color="auto"/>
        <w:left w:val="none" w:sz="0" w:space="0" w:color="auto"/>
        <w:bottom w:val="none" w:sz="0" w:space="0" w:color="auto"/>
        <w:right w:val="none" w:sz="0" w:space="0" w:color="auto"/>
      </w:divBdr>
    </w:div>
    <w:div w:id="2053379775">
      <w:bodyDiv w:val="1"/>
      <w:marLeft w:val="0"/>
      <w:marRight w:val="0"/>
      <w:marTop w:val="0"/>
      <w:marBottom w:val="0"/>
      <w:divBdr>
        <w:top w:val="none" w:sz="0" w:space="0" w:color="auto"/>
        <w:left w:val="none" w:sz="0" w:space="0" w:color="auto"/>
        <w:bottom w:val="none" w:sz="0" w:space="0" w:color="auto"/>
        <w:right w:val="none" w:sz="0" w:space="0" w:color="auto"/>
      </w:divBdr>
    </w:div>
    <w:div w:id="2053386731">
      <w:bodyDiv w:val="1"/>
      <w:marLeft w:val="0"/>
      <w:marRight w:val="0"/>
      <w:marTop w:val="0"/>
      <w:marBottom w:val="0"/>
      <w:divBdr>
        <w:top w:val="none" w:sz="0" w:space="0" w:color="auto"/>
        <w:left w:val="none" w:sz="0" w:space="0" w:color="auto"/>
        <w:bottom w:val="none" w:sz="0" w:space="0" w:color="auto"/>
        <w:right w:val="none" w:sz="0" w:space="0" w:color="auto"/>
      </w:divBdr>
    </w:div>
    <w:div w:id="2053457262">
      <w:bodyDiv w:val="1"/>
      <w:marLeft w:val="0"/>
      <w:marRight w:val="0"/>
      <w:marTop w:val="0"/>
      <w:marBottom w:val="0"/>
      <w:divBdr>
        <w:top w:val="none" w:sz="0" w:space="0" w:color="auto"/>
        <w:left w:val="none" w:sz="0" w:space="0" w:color="auto"/>
        <w:bottom w:val="none" w:sz="0" w:space="0" w:color="auto"/>
        <w:right w:val="none" w:sz="0" w:space="0" w:color="auto"/>
      </w:divBdr>
    </w:div>
    <w:div w:id="2053577955">
      <w:bodyDiv w:val="1"/>
      <w:marLeft w:val="0"/>
      <w:marRight w:val="0"/>
      <w:marTop w:val="0"/>
      <w:marBottom w:val="0"/>
      <w:divBdr>
        <w:top w:val="none" w:sz="0" w:space="0" w:color="auto"/>
        <w:left w:val="none" w:sz="0" w:space="0" w:color="auto"/>
        <w:bottom w:val="none" w:sz="0" w:space="0" w:color="auto"/>
        <w:right w:val="none" w:sz="0" w:space="0" w:color="auto"/>
      </w:divBdr>
    </w:div>
    <w:div w:id="2053723487">
      <w:bodyDiv w:val="1"/>
      <w:marLeft w:val="0"/>
      <w:marRight w:val="0"/>
      <w:marTop w:val="0"/>
      <w:marBottom w:val="0"/>
      <w:divBdr>
        <w:top w:val="none" w:sz="0" w:space="0" w:color="auto"/>
        <w:left w:val="none" w:sz="0" w:space="0" w:color="auto"/>
        <w:bottom w:val="none" w:sz="0" w:space="0" w:color="auto"/>
        <w:right w:val="none" w:sz="0" w:space="0" w:color="auto"/>
      </w:divBdr>
    </w:div>
    <w:div w:id="2053848379">
      <w:bodyDiv w:val="1"/>
      <w:marLeft w:val="0"/>
      <w:marRight w:val="0"/>
      <w:marTop w:val="0"/>
      <w:marBottom w:val="0"/>
      <w:divBdr>
        <w:top w:val="none" w:sz="0" w:space="0" w:color="auto"/>
        <w:left w:val="none" w:sz="0" w:space="0" w:color="auto"/>
        <w:bottom w:val="none" w:sz="0" w:space="0" w:color="auto"/>
        <w:right w:val="none" w:sz="0" w:space="0" w:color="auto"/>
      </w:divBdr>
    </w:div>
    <w:div w:id="2053990477">
      <w:bodyDiv w:val="1"/>
      <w:marLeft w:val="0"/>
      <w:marRight w:val="0"/>
      <w:marTop w:val="0"/>
      <w:marBottom w:val="0"/>
      <w:divBdr>
        <w:top w:val="none" w:sz="0" w:space="0" w:color="auto"/>
        <w:left w:val="none" w:sz="0" w:space="0" w:color="auto"/>
        <w:bottom w:val="none" w:sz="0" w:space="0" w:color="auto"/>
        <w:right w:val="none" w:sz="0" w:space="0" w:color="auto"/>
      </w:divBdr>
    </w:div>
    <w:div w:id="2053991069">
      <w:bodyDiv w:val="1"/>
      <w:marLeft w:val="0"/>
      <w:marRight w:val="0"/>
      <w:marTop w:val="0"/>
      <w:marBottom w:val="0"/>
      <w:divBdr>
        <w:top w:val="none" w:sz="0" w:space="0" w:color="auto"/>
        <w:left w:val="none" w:sz="0" w:space="0" w:color="auto"/>
        <w:bottom w:val="none" w:sz="0" w:space="0" w:color="auto"/>
        <w:right w:val="none" w:sz="0" w:space="0" w:color="auto"/>
      </w:divBdr>
    </w:div>
    <w:div w:id="2054109787">
      <w:bodyDiv w:val="1"/>
      <w:marLeft w:val="0"/>
      <w:marRight w:val="0"/>
      <w:marTop w:val="0"/>
      <w:marBottom w:val="0"/>
      <w:divBdr>
        <w:top w:val="none" w:sz="0" w:space="0" w:color="auto"/>
        <w:left w:val="none" w:sz="0" w:space="0" w:color="auto"/>
        <w:bottom w:val="none" w:sz="0" w:space="0" w:color="auto"/>
        <w:right w:val="none" w:sz="0" w:space="0" w:color="auto"/>
      </w:divBdr>
    </w:div>
    <w:div w:id="2054116974">
      <w:bodyDiv w:val="1"/>
      <w:marLeft w:val="0"/>
      <w:marRight w:val="0"/>
      <w:marTop w:val="0"/>
      <w:marBottom w:val="0"/>
      <w:divBdr>
        <w:top w:val="none" w:sz="0" w:space="0" w:color="auto"/>
        <w:left w:val="none" w:sz="0" w:space="0" w:color="auto"/>
        <w:bottom w:val="none" w:sz="0" w:space="0" w:color="auto"/>
        <w:right w:val="none" w:sz="0" w:space="0" w:color="auto"/>
      </w:divBdr>
    </w:div>
    <w:div w:id="2054226501">
      <w:bodyDiv w:val="1"/>
      <w:marLeft w:val="0"/>
      <w:marRight w:val="0"/>
      <w:marTop w:val="0"/>
      <w:marBottom w:val="0"/>
      <w:divBdr>
        <w:top w:val="none" w:sz="0" w:space="0" w:color="auto"/>
        <w:left w:val="none" w:sz="0" w:space="0" w:color="auto"/>
        <w:bottom w:val="none" w:sz="0" w:space="0" w:color="auto"/>
        <w:right w:val="none" w:sz="0" w:space="0" w:color="auto"/>
      </w:divBdr>
    </w:div>
    <w:div w:id="2054453475">
      <w:bodyDiv w:val="1"/>
      <w:marLeft w:val="0"/>
      <w:marRight w:val="0"/>
      <w:marTop w:val="0"/>
      <w:marBottom w:val="0"/>
      <w:divBdr>
        <w:top w:val="none" w:sz="0" w:space="0" w:color="auto"/>
        <w:left w:val="none" w:sz="0" w:space="0" w:color="auto"/>
        <w:bottom w:val="none" w:sz="0" w:space="0" w:color="auto"/>
        <w:right w:val="none" w:sz="0" w:space="0" w:color="auto"/>
      </w:divBdr>
    </w:div>
    <w:div w:id="2054772122">
      <w:bodyDiv w:val="1"/>
      <w:marLeft w:val="0"/>
      <w:marRight w:val="0"/>
      <w:marTop w:val="0"/>
      <w:marBottom w:val="0"/>
      <w:divBdr>
        <w:top w:val="none" w:sz="0" w:space="0" w:color="auto"/>
        <w:left w:val="none" w:sz="0" w:space="0" w:color="auto"/>
        <w:bottom w:val="none" w:sz="0" w:space="0" w:color="auto"/>
        <w:right w:val="none" w:sz="0" w:space="0" w:color="auto"/>
      </w:divBdr>
    </w:div>
    <w:div w:id="2054884643">
      <w:bodyDiv w:val="1"/>
      <w:marLeft w:val="0"/>
      <w:marRight w:val="0"/>
      <w:marTop w:val="0"/>
      <w:marBottom w:val="0"/>
      <w:divBdr>
        <w:top w:val="none" w:sz="0" w:space="0" w:color="auto"/>
        <w:left w:val="none" w:sz="0" w:space="0" w:color="auto"/>
        <w:bottom w:val="none" w:sz="0" w:space="0" w:color="auto"/>
        <w:right w:val="none" w:sz="0" w:space="0" w:color="auto"/>
      </w:divBdr>
    </w:div>
    <w:div w:id="2055231172">
      <w:bodyDiv w:val="1"/>
      <w:marLeft w:val="0"/>
      <w:marRight w:val="0"/>
      <w:marTop w:val="0"/>
      <w:marBottom w:val="0"/>
      <w:divBdr>
        <w:top w:val="none" w:sz="0" w:space="0" w:color="auto"/>
        <w:left w:val="none" w:sz="0" w:space="0" w:color="auto"/>
        <w:bottom w:val="none" w:sz="0" w:space="0" w:color="auto"/>
        <w:right w:val="none" w:sz="0" w:space="0" w:color="auto"/>
      </w:divBdr>
    </w:div>
    <w:div w:id="2055344177">
      <w:bodyDiv w:val="1"/>
      <w:marLeft w:val="0"/>
      <w:marRight w:val="0"/>
      <w:marTop w:val="0"/>
      <w:marBottom w:val="0"/>
      <w:divBdr>
        <w:top w:val="none" w:sz="0" w:space="0" w:color="auto"/>
        <w:left w:val="none" w:sz="0" w:space="0" w:color="auto"/>
        <w:bottom w:val="none" w:sz="0" w:space="0" w:color="auto"/>
        <w:right w:val="none" w:sz="0" w:space="0" w:color="auto"/>
      </w:divBdr>
    </w:div>
    <w:div w:id="2055537506">
      <w:bodyDiv w:val="1"/>
      <w:marLeft w:val="0"/>
      <w:marRight w:val="0"/>
      <w:marTop w:val="0"/>
      <w:marBottom w:val="0"/>
      <w:divBdr>
        <w:top w:val="none" w:sz="0" w:space="0" w:color="auto"/>
        <w:left w:val="none" w:sz="0" w:space="0" w:color="auto"/>
        <w:bottom w:val="none" w:sz="0" w:space="0" w:color="auto"/>
        <w:right w:val="none" w:sz="0" w:space="0" w:color="auto"/>
      </w:divBdr>
    </w:div>
    <w:div w:id="2055539006">
      <w:bodyDiv w:val="1"/>
      <w:marLeft w:val="0"/>
      <w:marRight w:val="0"/>
      <w:marTop w:val="0"/>
      <w:marBottom w:val="0"/>
      <w:divBdr>
        <w:top w:val="none" w:sz="0" w:space="0" w:color="auto"/>
        <w:left w:val="none" w:sz="0" w:space="0" w:color="auto"/>
        <w:bottom w:val="none" w:sz="0" w:space="0" w:color="auto"/>
        <w:right w:val="none" w:sz="0" w:space="0" w:color="auto"/>
      </w:divBdr>
    </w:div>
    <w:div w:id="2055696797">
      <w:bodyDiv w:val="1"/>
      <w:marLeft w:val="0"/>
      <w:marRight w:val="0"/>
      <w:marTop w:val="0"/>
      <w:marBottom w:val="0"/>
      <w:divBdr>
        <w:top w:val="none" w:sz="0" w:space="0" w:color="auto"/>
        <w:left w:val="none" w:sz="0" w:space="0" w:color="auto"/>
        <w:bottom w:val="none" w:sz="0" w:space="0" w:color="auto"/>
        <w:right w:val="none" w:sz="0" w:space="0" w:color="auto"/>
      </w:divBdr>
    </w:div>
    <w:div w:id="2056002706">
      <w:bodyDiv w:val="1"/>
      <w:marLeft w:val="0"/>
      <w:marRight w:val="0"/>
      <w:marTop w:val="0"/>
      <w:marBottom w:val="0"/>
      <w:divBdr>
        <w:top w:val="none" w:sz="0" w:space="0" w:color="auto"/>
        <w:left w:val="none" w:sz="0" w:space="0" w:color="auto"/>
        <w:bottom w:val="none" w:sz="0" w:space="0" w:color="auto"/>
        <w:right w:val="none" w:sz="0" w:space="0" w:color="auto"/>
      </w:divBdr>
    </w:div>
    <w:div w:id="2056154803">
      <w:bodyDiv w:val="1"/>
      <w:marLeft w:val="0"/>
      <w:marRight w:val="0"/>
      <w:marTop w:val="0"/>
      <w:marBottom w:val="0"/>
      <w:divBdr>
        <w:top w:val="none" w:sz="0" w:space="0" w:color="auto"/>
        <w:left w:val="none" w:sz="0" w:space="0" w:color="auto"/>
        <w:bottom w:val="none" w:sz="0" w:space="0" w:color="auto"/>
        <w:right w:val="none" w:sz="0" w:space="0" w:color="auto"/>
      </w:divBdr>
    </w:div>
    <w:div w:id="2056193102">
      <w:bodyDiv w:val="1"/>
      <w:marLeft w:val="0"/>
      <w:marRight w:val="0"/>
      <w:marTop w:val="0"/>
      <w:marBottom w:val="0"/>
      <w:divBdr>
        <w:top w:val="none" w:sz="0" w:space="0" w:color="auto"/>
        <w:left w:val="none" w:sz="0" w:space="0" w:color="auto"/>
        <w:bottom w:val="none" w:sz="0" w:space="0" w:color="auto"/>
        <w:right w:val="none" w:sz="0" w:space="0" w:color="auto"/>
      </w:divBdr>
    </w:div>
    <w:div w:id="2056193260">
      <w:bodyDiv w:val="1"/>
      <w:marLeft w:val="0"/>
      <w:marRight w:val="0"/>
      <w:marTop w:val="0"/>
      <w:marBottom w:val="0"/>
      <w:divBdr>
        <w:top w:val="none" w:sz="0" w:space="0" w:color="auto"/>
        <w:left w:val="none" w:sz="0" w:space="0" w:color="auto"/>
        <w:bottom w:val="none" w:sz="0" w:space="0" w:color="auto"/>
        <w:right w:val="none" w:sz="0" w:space="0" w:color="auto"/>
      </w:divBdr>
    </w:div>
    <w:div w:id="2056467733">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6656814">
      <w:bodyDiv w:val="1"/>
      <w:marLeft w:val="0"/>
      <w:marRight w:val="0"/>
      <w:marTop w:val="0"/>
      <w:marBottom w:val="0"/>
      <w:divBdr>
        <w:top w:val="none" w:sz="0" w:space="0" w:color="auto"/>
        <w:left w:val="none" w:sz="0" w:space="0" w:color="auto"/>
        <w:bottom w:val="none" w:sz="0" w:space="0" w:color="auto"/>
        <w:right w:val="none" w:sz="0" w:space="0" w:color="auto"/>
      </w:divBdr>
    </w:div>
    <w:div w:id="2056661385">
      <w:bodyDiv w:val="1"/>
      <w:marLeft w:val="0"/>
      <w:marRight w:val="0"/>
      <w:marTop w:val="0"/>
      <w:marBottom w:val="0"/>
      <w:divBdr>
        <w:top w:val="none" w:sz="0" w:space="0" w:color="auto"/>
        <w:left w:val="none" w:sz="0" w:space="0" w:color="auto"/>
        <w:bottom w:val="none" w:sz="0" w:space="0" w:color="auto"/>
        <w:right w:val="none" w:sz="0" w:space="0" w:color="auto"/>
      </w:divBdr>
    </w:div>
    <w:div w:id="2056730279">
      <w:bodyDiv w:val="1"/>
      <w:marLeft w:val="0"/>
      <w:marRight w:val="0"/>
      <w:marTop w:val="0"/>
      <w:marBottom w:val="0"/>
      <w:divBdr>
        <w:top w:val="none" w:sz="0" w:space="0" w:color="auto"/>
        <w:left w:val="none" w:sz="0" w:space="0" w:color="auto"/>
        <w:bottom w:val="none" w:sz="0" w:space="0" w:color="auto"/>
        <w:right w:val="none" w:sz="0" w:space="0" w:color="auto"/>
      </w:divBdr>
    </w:div>
    <w:div w:id="2056804773">
      <w:bodyDiv w:val="1"/>
      <w:marLeft w:val="0"/>
      <w:marRight w:val="0"/>
      <w:marTop w:val="0"/>
      <w:marBottom w:val="0"/>
      <w:divBdr>
        <w:top w:val="none" w:sz="0" w:space="0" w:color="auto"/>
        <w:left w:val="none" w:sz="0" w:space="0" w:color="auto"/>
        <w:bottom w:val="none" w:sz="0" w:space="0" w:color="auto"/>
        <w:right w:val="none" w:sz="0" w:space="0" w:color="auto"/>
      </w:divBdr>
    </w:div>
    <w:div w:id="2057007606">
      <w:bodyDiv w:val="1"/>
      <w:marLeft w:val="0"/>
      <w:marRight w:val="0"/>
      <w:marTop w:val="0"/>
      <w:marBottom w:val="0"/>
      <w:divBdr>
        <w:top w:val="none" w:sz="0" w:space="0" w:color="auto"/>
        <w:left w:val="none" w:sz="0" w:space="0" w:color="auto"/>
        <w:bottom w:val="none" w:sz="0" w:space="0" w:color="auto"/>
        <w:right w:val="none" w:sz="0" w:space="0" w:color="auto"/>
      </w:divBdr>
    </w:div>
    <w:div w:id="2057195276">
      <w:bodyDiv w:val="1"/>
      <w:marLeft w:val="0"/>
      <w:marRight w:val="0"/>
      <w:marTop w:val="0"/>
      <w:marBottom w:val="0"/>
      <w:divBdr>
        <w:top w:val="none" w:sz="0" w:space="0" w:color="auto"/>
        <w:left w:val="none" w:sz="0" w:space="0" w:color="auto"/>
        <w:bottom w:val="none" w:sz="0" w:space="0" w:color="auto"/>
        <w:right w:val="none" w:sz="0" w:space="0" w:color="auto"/>
      </w:divBdr>
    </w:div>
    <w:div w:id="2057506568">
      <w:bodyDiv w:val="1"/>
      <w:marLeft w:val="0"/>
      <w:marRight w:val="0"/>
      <w:marTop w:val="0"/>
      <w:marBottom w:val="0"/>
      <w:divBdr>
        <w:top w:val="none" w:sz="0" w:space="0" w:color="auto"/>
        <w:left w:val="none" w:sz="0" w:space="0" w:color="auto"/>
        <w:bottom w:val="none" w:sz="0" w:space="0" w:color="auto"/>
        <w:right w:val="none" w:sz="0" w:space="0" w:color="auto"/>
      </w:divBdr>
    </w:div>
    <w:div w:id="2057510744">
      <w:bodyDiv w:val="1"/>
      <w:marLeft w:val="0"/>
      <w:marRight w:val="0"/>
      <w:marTop w:val="0"/>
      <w:marBottom w:val="0"/>
      <w:divBdr>
        <w:top w:val="none" w:sz="0" w:space="0" w:color="auto"/>
        <w:left w:val="none" w:sz="0" w:space="0" w:color="auto"/>
        <w:bottom w:val="none" w:sz="0" w:space="0" w:color="auto"/>
        <w:right w:val="none" w:sz="0" w:space="0" w:color="auto"/>
      </w:divBdr>
    </w:div>
    <w:div w:id="2057581745">
      <w:bodyDiv w:val="1"/>
      <w:marLeft w:val="0"/>
      <w:marRight w:val="0"/>
      <w:marTop w:val="0"/>
      <w:marBottom w:val="0"/>
      <w:divBdr>
        <w:top w:val="none" w:sz="0" w:space="0" w:color="auto"/>
        <w:left w:val="none" w:sz="0" w:space="0" w:color="auto"/>
        <w:bottom w:val="none" w:sz="0" w:space="0" w:color="auto"/>
        <w:right w:val="none" w:sz="0" w:space="0" w:color="auto"/>
      </w:divBdr>
    </w:div>
    <w:div w:id="2057583838">
      <w:bodyDiv w:val="1"/>
      <w:marLeft w:val="0"/>
      <w:marRight w:val="0"/>
      <w:marTop w:val="0"/>
      <w:marBottom w:val="0"/>
      <w:divBdr>
        <w:top w:val="none" w:sz="0" w:space="0" w:color="auto"/>
        <w:left w:val="none" w:sz="0" w:space="0" w:color="auto"/>
        <w:bottom w:val="none" w:sz="0" w:space="0" w:color="auto"/>
        <w:right w:val="none" w:sz="0" w:space="0" w:color="auto"/>
      </w:divBdr>
    </w:div>
    <w:div w:id="2058163899">
      <w:bodyDiv w:val="1"/>
      <w:marLeft w:val="0"/>
      <w:marRight w:val="0"/>
      <w:marTop w:val="0"/>
      <w:marBottom w:val="0"/>
      <w:divBdr>
        <w:top w:val="none" w:sz="0" w:space="0" w:color="auto"/>
        <w:left w:val="none" w:sz="0" w:space="0" w:color="auto"/>
        <w:bottom w:val="none" w:sz="0" w:space="0" w:color="auto"/>
        <w:right w:val="none" w:sz="0" w:space="0" w:color="auto"/>
      </w:divBdr>
    </w:div>
    <w:div w:id="2058164626">
      <w:bodyDiv w:val="1"/>
      <w:marLeft w:val="0"/>
      <w:marRight w:val="0"/>
      <w:marTop w:val="0"/>
      <w:marBottom w:val="0"/>
      <w:divBdr>
        <w:top w:val="none" w:sz="0" w:space="0" w:color="auto"/>
        <w:left w:val="none" w:sz="0" w:space="0" w:color="auto"/>
        <w:bottom w:val="none" w:sz="0" w:space="0" w:color="auto"/>
        <w:right w:val="none" w:sz="0" w:space="0" w:color="auto"/>
      </w:divBdr>
    </w:div>
    <w:div w:id="2058166007">
      <w:bodyDiv w:val="1"/>
      <w:marLeft w:val="0"/>
      <w:marRight w:val="0"/>
      <w:marTop w:val="0"/>
      <w:marBottom w:val="0"/>
      <w:divBdr>
        <w:top w:val="none" w:sz="0" w:space="0" w:color="auto"/>
        <w:left w:val="none" w:sz="0" w:space="0" w:color="auto"/>
        <w:bottom w:val="none" w:sz="0" w:space="0" w:color="auto"/>
        <w:right w:val="none" w:sz="0" w:space="0" w:color="auto"/>
      </w:divBdr>
    </w:div>
    <w:div w:id="2058310236">
      <w:bodyDiv w:val="1"/>
      <w:marLeft w:val="0"/>
      <w:marRight w:val="0"/>
      <w:marTop w:val="0"/>
      <w:marBottom w:val="0"/>
      <w:divBdr>
        <w:top w:val="none" w:sz="0" w:space="0" w:color="auto"/>
        <w:left w:val="none" w:sz="0" w:space="0" w:color="auto"/>
        <w:bottom w:val="none" w:sz="0" w:space="0" w:color="auto"/>
        <w:right w:val="none" w:sz="0" w:space="0" w:color="auto"/>
      </w:divBdr>
    </w:div>
    <w:div w:id="2058624103">
      <w:bodyDiv w:val="1"/>
      <w:marLeft w:val="0"/>
      <w:marRight w:val="0"/>
      <w:marTop w:val="0"/>
      <w:marBottom w:val="0"/>
      <w:divBdr>
        <w:top w:val="none" w:sz="0" w:space="0" w:color="auto"/>
        <w:left w:val="none" w:sz="0" w:space="0" w:color="auto"/>
        <w:bottom w:val="none" w:sz="0" w:space="0" w:color="auto"/>
        <w:right w:val="none" w:sz="0" w:space="0" w:color="auto"/>
      </w:divBdr>
    </w:div>
    <w:div w:id="2058629070">
      <w:bodyDiv w:val="1"/>
      <w:marLeft w:val="0"/>
      <w:marRight w:val="0"/>
      <w:marTop w:val="0"/>
      <w:marBottom w:val="0"/>
      <w:divBdr>
        <w:top w:val="none" w:sz="0" w:space="0" w:color="auto"/>
        <w:left w:val="none" w:sz="0" w:space="0" w:color="auto"/>
        <w:bottom w:val="none" w:sz="0" w:space="0" w:color="auto"/>
        <w:right w:val="none" w:sz="0" w:space="0" w:color="auto"/>
      </w:divBdr>
    </w:div>
    <w:div w:id="2058696817">
      <w:bodyDiv w:val="1"/>
      <w:marLeft w:val="0"/>
      <w:marRight w:val="0"/>
      <w:marTop w:val="0"/>
      <w:marBottom w:val="0"/>
      <w:divBdr>
        <w:top w:val="none" w:sz="0" w:space="0" w:color="auto"/>
        <w:left w:val="none" w:sz="0" w:space="0" w:color="auto"/>
        <w:bottom w:val="none" w:sz="0" w:space="0" w:color="auto"/>
        <w:right w:val="none" w:sz="0" w:space="0" w:color="auto"/>
      </w:divBdr>
    </w:div>
    <w:div w:id="2058891817">
      <w:bodyDiv w:val="1"/>
      <w:marLeft w:val="0"/>
      <w:marRight w:val="0"/>
      <w:marTop w:val="0"/>
      <w:marBottom w:val="0"/>
      <w:divBdr>
        <w:top w:val="none" w:sz="0" w:space="0" w:color="auto"/>
        <w:left w:val="none" w:sz="0" w:space="0" w:color="auto"/>
        <w:bottom w:val="none" w:sz="0" w:space="0" w:color="auto"/>
        <w:right w:val="none" w:sz="0" w:space="0" w:color="auto"/>
      </w:divBdr>
    </w:div>
    <w:div w:id="2059087911">
      <w:bodyDiv w:val="1"/>
      <w:marLeft w:val="0"/>
      <w:marRight w:val="0"/>
      <w:marTop w:val="0"/>
      <w:marBottom w:val="0"/>
      <w:divBdr>
        <w:top w:val="none" w:sz="0" w:space="0" w:color="auto"/>
        <w:left w:val="none" w:sz="0" w:space="0" w:color="auto"/>
        <w:bottom w:val="none" w:sz="0" w:space="0" w:color="auto"/>
        <w:right w:val="none" w:sz="0" w:space="0" w:color="auto"/>
      </w:divBdr>
    </w:div>
    <w:div w:id="2059234813">
      <w:bodyDiv w:val="1"/>
      <w:marLeft w:val="0"/>
      <w:marRight w:val="0"/>
      <w:marTop w:val="0"/>
      <w:marBottom w:val="0"/>
      <w:divBdr>
        <w:top w:val="none" w:sz="0" w:space="0" w:color="auto"/>
        <w:left w:val="none" w:sz="0" w:space="0" w:color="auto"/>
        <w:bottom w:val="none" w:sz="0" w:space="0" w:color="auto"/>
        <w:right w:val="none" w:sz="0" w:space="0" w:color="auto"/>
      </w:divBdr>
    </w:div>
    <w:div w:id="2059236714">
      <w:bodyDiv w:val="1"/>
      <w:marLeft w:val="0"/>
      <w:marRight w:val="0"/>
      <w:marTop w:val="0"/>
      <w:marBottom w:val="0"/>
      <w:divBdr>
        <w:top w:val="none" w:sz="0" w:space="0" w:color="auto"/>
        <w:left w:val="none" w:sz="0" w:space="0" w:color="auto"/>
        <w:bottom w:val="none" w:sz="0" w:space="0" w:color="auto"/>
        <w:right w:val="none" w:sz="0" w:space="0" w:color="auto"/>
      </w:divBdr>
    </w:div>
    <w:div w:id="2059276459">
      <w:bodyDiv w:val="1"/>
      <w:marLeft w:val="0"/>
      <w:marRight w:val="0"/>
      <w:marTop w:val="0"/>
      <w:marBottom w:val="0"/>
      <w:divBdr>
        <w:top w:val="none" w:sz="0" w:space="0" w:color="auto"/>
        <w:left w:val="none" w:sz="0" w:space="0" w:color="auto"/>
        <w:bottom w:val="none" w:sz="0" w:space="0" w:color="auto"/>
        <w:right w:val="none" w:sz="0" w:space="0" w:color="auto"/>
      </w:divBdr>
    </w:div>
    <w:div w:id="2059432709">
      <w:bodyDiv w:val="1"/>
      <w:marLeft w:val="0"/>
      <w:marRight w:val="0"/>
      <w:marTop w:val="0"/>
      <w:marBottom w:val="0"/>
      <w:divBdr>
        <w:top w:val="none" w:sz="0" w:space="0" w:color="auto"/>
        <w:left w:val="none" w:sz="0" w:space="0" w:color="auto"/>
        <w:bottom w:val="none" w:sz="0" w:space="0" w:color="auto"/>
        <w:right w:val="none" w:sz="0" w:space="0" w:color="auto"/>
      </w:divBdr>
    </w:div>
    <w:div w:id="2059546399">
      <w:bodyDiv w:val="1"/>
      <w:marLeft w:val="0"/>
      <w:marRight w:val="0"/>
      <w:marTop w:val="0"/>
      <w:marBottom w:val="0"/>
      <w:divBdr>
        <w:top w:val="none" w:sz="0" w:space="0" w:color="auto"/>
        <w:left w:val="none" w:sz="0" w:space="0" w:color="auto"/>
        <w:bottom w:val="none" w:sz="0" w:space="0" w:color="auto"/>
        <w:right w:val="none" w:sz="0" w:space="0" w:color="auto"/>
      </w:divBdr>
    </w:div>
    <w:div w:id="2059548388">
      <w:bodyDiv w:val="1"/>
      <w:marLeft w:val="0"/>
      <w:marRight w:val="0"/>
      <w:marTop w:val="0"/>
      <w:marBottom w:val="0"/>
      <w:divBdr>
        <w:top w:val="none" w:sz="0" w:space="0" w:color="auto"/>
        <w:left w:val="none" w:sz="0" w:space="0" w:color="auto"/>
        <w:bottom w:val="none" w:sz="0" w:space="0" w:color="auto"/>
        <w:right w:val="none" w:sz="0" w:space="0" w:color="auto"/>
      </w:divBdr>
    </w:div>
    <w:div w:id="2059622977">
      <w:bodyDiv w:val="1"/>
      <w:marLeft w:val="0"/>
      <w:marRight w:val="0"/>
      <w:marTop w:val="0"/>
      <w:marBottom w:val="0"/>
      <w:divBdr>
        <w:top w:val="none" w:sz="0" w:space="0" w:color="auto"/>
        <w:left w:val="none" w:sz="0" w:space="0" w:color="auto"/>
        <w:bottom w:val="none" w:sz="0" w:space="0" w:color="auto"/>
        <w:right w:val="none" w:sz="0" w:space="0" w:color="auto"/>
      </w:divBdr>
    </w:div>
    <w:div w:id="2059695472">
      <w:bodyDiv w:val="1"/>
      <w:marLeft w:val="0"/>
      <w:marRight w:val="0"/>
      <w:marTop w:val="0"/>
      <w:marBottom w:val="0"/>
      <w:divBdr>
        <w:top w:val="none" w:sz="0" w:space="0" w:color="auto"/>
        <w:left w:val="none" w:sz="0" w:space="0" w:color="auto"/>
        <w:bottom w:val="none" w:sz="0" w:space="0" w:color="auto"/>
        <w:right w:val="none" w:sz="0" w:space="0" w:color="auto"/>
      </w:divBdr>
    </w:div>
    <w:div w:id="2059818445">
      <w:bodyDiv w:val="1"/>
      <w:marLeft w:val="0"/>
      <w:marRight w:val="0"/>
      <w:marTop w:val="0"/>
      <w:marBottom w:val="0"/>
      <w:divBdr>
        <w:top w:val="none" w:sz="0" w:space="0" w:color="auto"/>
        <w:left w:val="none" w:sz="0" w:space="0" w:color="auto"/>
        <w:bottom w:val="none" w:sz="0" w:space="0" w:color="auto"/>
        <w:right w:val="none" w:sz="0" w:space="0" w:color="auto"/>
      </w:divBdr>
    </w:div>
    <w:div w:id="2059934537">
      <w:bodyDiv w:val="1"/>
      <w:marLeft w:val="0"/>
      <w:marRight w:val="0"/>
      <w:marTop w:val="0"/>
      <w:marBottom w:val="0"/>
      <w:divBdr>
        <w:top w:val="none" w:sz="0" w:space="0" w:color="auto"/>
        <w:left w:val="none" w:sz="0" w:space="0" w:color="auto"/>
        <w:bottom w:val="none" w:sz="0" w:space="0" w:color="auto"/>
        <w:right w:val="none" w:sz="0" w:space="0" w:color="auto"/>
      </w:divBdr>
    </w:div>
    <w:div w:id="2060124845">
      <w:bodyDiv w:val="1"/>
      <w:marLeft w:val="0"/>
      <w:marRight w:val="0"/>
      <w:marTop w:val="0"/>
      <w:marBottom w:val="0"/>
      <w:divBdr>
        <w:top w:val="none" w:sz="0" w:space="0" w:color="auto"/>
        <w:left w:val="none" w:sz="0" w:space="0" w:color="auto"/>
        <w:bottom w:val="none" w:sz="0" w:space="0" w:color="auto"/>
        <w:right w:val="none" w:sz="0" w:space="0" w:color="auto"/>
      </w:divBdr>
    </w:div>
    <w:div w:id="2060205807">
      <w:bodyDiv w:val="1"/>
      <w:marLeft w:val="0"/>
      <w:marRight w:val="0"/>
      <w:marTop w:val="0"/>
      <w:marBottom w:val="0"/>
      <w:divBdr>
        <w:top w:val="none" w:sz="0" w:space="0" w:color="auto"/>
        <w:left w:val="none" w:sz="0" w:space="0" w:color="auto"/>
        <w:bottom w:val="none" w:sz="0" w:space="0" w:color="auto"/>
        <w:right w:val="none" w:sz="0" w:space="0" w:color="auto"/>
      </w:divBdr>
    </w:div>
    <w:div w:id="2060661154">
      <w:bodyDiv w:val="1"/>
      <w:marLeft w:val="0"/>
      <w:marRight w:val="0"/>
      <w:marTop w:val="0"/>
      <w:marBottom w:val="0"/>
      <w:divBdr>
        <w:top w:val="none" w:sz="0" w:space="0" w:color="auto"/>
        <w:left w:val="none" w:sz="0" w:space="0" w:color="auto"/>
        <w:bottom w:val="none" w:sz="0" w:space="0" w:color="auto"/>
        <w:right w:val="none" w:sz="0" w:space="0" w:color="auto"/>
      </w:divBdr>
    </w:div>
    <w:div w:id="2060977146">
      <w:bodyDiv w:val="1"/>
      <w:marLeft w:val="0"/>
      <w:marRight w:val="0"/>
      <w:marTop w:val="0"/>
      <w:marBottom w:val="0"/>
      <w:divBdr>
        <w:top w:val="none" w:sz="0" w:space="0" w:color="auto"/>
        <w:left w:val="none" w:sz="0" w:space="0" w:color="auto"/>
        <w:bottom w:val="none" w:sz="0" w:space="0" w:color="auto"/>
        <w:right w:val="none" w:sz="0" w:space="0" w:color="auto"/>
      </w:divBdr>
    </w:div>
    <w:div w:id="2061053591">
      <w:bodyDiv w:val="1"/>
      <w:marLeft w:val="0"/>
      <w:marRight w:val="0"/>
      <w:marTop w:val="0"/>
      <w:marBottom w:val="0"/>
      <w:divBdr>
        <w:top w:val="none" w:sz="0" w:space="0" w:color="auto"/>
        <w:left w:val="none" w:sz="0" w:space="0" w:color="auto"/>
        <w:bottom w:val="none" w:sz="0" w:space="0" w:color="auto"/>
        <w:right w:val="none" w:sz="0" w:space="0" w:color="auto"/>
      </w:divBdr>
    </w:div>
    <w:div w:id="2061126594">
      <w:bodyDiv w:val="1"/>
      <w:marLeft w:val="0"/>
      <w:marRight w:val="0"/>
      <w:marTop w:val="0"/>
      <w:marBottom w:val="0"/>
      <w:divBdr>
        <w:top w:val="none" w:sz="0" w:space="0" w:color="auto"/>
        <w:left w:val="none" w:sz="0" w:space="0" w:color="auto"/>
        <w:bottom w:val="none" w:sz="0" w:space="0" w:color="auto"/>
        <w:right w:val="none" w:sz="0" w:space="0" w:color="auto"/>
      </w:divBdr>
    </w:div>
    <w:div w:id="2061512018">
      <w:bodyDiv w:val="1"/>
      <w:marLeft w:val="0"/>
      <w:marRight w:val="0"/>
      <w:marTop w:val="0"/>
      <w:marBottom w:val="0"/>
      <w:divBdr>
        <w:top w:val="none" w:sz="0" w:space="0" w:color="auto"/>
        <w:left w:val="none" w:sz="0" w:space="0" w:color="auto"/>
        <w:bottom w:val="none" w:sz="0" w:space="0" w:color="auto"/>
        <w:right w:val="none" w:sz="0" w:space="0" w:color="auto"/>
      </w:divBdr>
    </w:div>
    <w:div w:id="2061592848">
      <w:bodyDiv w:val="1"/>
      <w:marLeft w:val="0"/>
      <w:marRight w:val="0"/>
      <w:marTop w:val="0"/>
      <w:marBottom w:val="0"/>
      <w:divBdr>
        <w:top w:val="none" w:sz="0" w:space="0" w:color="auto"/>
        <w:left w:val="none" w:sz="0" w:space="0" w:color="auto"/>
        <w:bottom w:val="none" w:sz="0" w:space="0" w:color="auto"/>
        <w:right w:val="none" w:sz="0" w:space="0" w:color="auto"/>
      </w:divBdr>
    </w:div>
    <w:div w:id="2061631533">
      <w:bodyDiv w:val="1"/>
      <w:marLeft w:val="0"/>
      <w:marRight w:val="0"/>
      <w:marTop w:val="0"/>
      <w:marBottom w:val="0"/>
      <w:divBdr>
        <w:top w:val="none" w:sz="0" w:space="0" w:color="auto"/>
        <w:left w:val="none" w:sz="0" w:space="0" w:color="auto"/>
        <w:bottom w:val="none" w:sz="0" w:space="0" w:color="auto"/>
        <w:right w:val="none" w:sz="0" w:space="0" w:color="auto"/>
      </w:divBdr>
    </w:div>
    <w:div w:id="2061901130">
      <w:bodyDiv w:val="1"/>
      <w:marLeft w:val="0"/>
      <w:marRight w:val="0"/>
      <w:marTop w:val="0"/>
      <w:marBottom w:val="0"/>
      <w:divBdr>
        <w:top w:val="none" w:sz="0" w:space="0" w:color="auto"/>
        <w:left w:val="none" w:sz="0" w:space="0" w:color="auto"/>
        <w:bottom w:val="none" w:sz="0" w:space="0" w:color="auto"/>
        <w:right w:val="none" w:sz="0" w:space="0" w:color="auto"/>
      </w:divBdr>
    </w:div>
    <w:div w:id="2062054957">
      <w:bodyDiv w:val="1"/>
      <w:marLeft w:val="0"/>
      <w:marRight w:val="0"/>
      <w:marTop w:val="0"/>
      <w:marBottom w:val="0"/>
      <w:divBdr>
        <w:top w:val="none" w:sz="0" w:space="0" w:color="auto"/>
        <w:left w:val="none" w:sz="0" w:space="0" w:color="auto"/>
        <w:bottom w:val="none" w:sz="0" w:space="0" w:color="auto"/>
        <w:right w:val="none" w:sz="0" w:space="0" w:color="auto"/>
      </w:divBdr>
    </w:div>
    <w:div w:id="2062097441">
      <w:bodyDiv w:val="1"/>
      <w:marLeft w:val="0"/>
      <w:marRight w:val="0"/>
      <w:marTop w:val="0"/>
      <w:marBottom w:val="0"/>
      <w:divBdr>
        <w:top w:val="none" w:sz="0" w:space="0" w:color="auto"/>
        <w:left w:val="none" w:sz="0" w:space="0" w:color="auto"/>
        <w:bottom w:val="none" w:sz="0" w:space="0" w:color="auto"/>
        <w:right w:val="none" w:sz="0" w:space="0" w:color="auto"/>
      </w:divBdr>
    </w:div>
    <w:div w:id="2062168013">
      <w:bodyDiv w:val="1"/>
      <w:marLeft w:val="0"/>
      <w:marRight w:val="0"/>
      <w:marTop w:val="0"/>
      <w:marBottom w:val="0"/>
      <w:divBdr>
        <w:top w:val="none" w:sz="0" w:space="0" w:color="auto"/>
        <w:left w:val="none" w:sz="0" w:space="0" w:color="auto"/>
        <w:bottom w:val="none" w:sz="0" w:space="0" w:color="auto"/>
        <w:right w:val="none" w:sz="0" w:space="0" w:color="auto"/>
      </w:divBdr>
    </w:div>
    <w:div w:id="2062170495">
      <w:bodyDiv w:val="1"/>
      <w:marLeft w:val="0"/>
      <w:marRight w:val="0"/>
      <w:marTop w:val="0"/>
      <w:marBottom w:val="0"/>
      <w:divBdr>
        <w:top w:val="none" w:sz="0" w:space="0" w:color="auto"/>
        <w:left w:val="none" w:sz="0" w:space="0" w:color="auto"/>
        <w:bottom w:val="none" w:sz="0" w:space="0" w:color="auto"/>
        <w:right w:val="none" w:sz="0" w:space="0" w:color="auto"/>
      </w:divBdr>
    </w:div>
    <w:div w:id="2062241141">
      <w:bodyDiv w:val="1"/>
      <w:marLeft w:val="0"/>
      <w:marRight w:val="0"/>
      <w:marTop w:val="0"/>
      <w:marBottom w:val="0"/>
      <w:divBdr>
        <w:top w:val="none" w:sz="0" w:space="0" w:color="auto"/>
        <w:left w:val="none" w:sz="0" w:space="0" w:color="auto"/>
        <w:bottom w:val="none" w:sz="0" w:space="0" w:color="auto"/>
        <w:right w:val="none" w:sz="0" w:space="0" w:color="auto"/>
      </w:divBdr>
    </w:div>
    <w:div w:id="2062249000">
      <w:bodyDiv w:val="1"/>
      <w:marLeft w:val="0"/>
      <w:marRight w:val="0"/>
      <w:marTop w:val="0"/>
      <w:marBottom w:val="0"/>
      <w:divBdr>
        <w:top w:val="none" w:sz="0" w:space="0" w:color="auto"/>
        <w:left w:val="none" w:sz="0" w:space="0" w:color="auto"/>
        <w:bottom w:val="none" w:sz="0" w:space="0" w:color="auto"/>
        <w:right w:val="none" w:sz="0" w:space="0" w:color="auto"/>
      </w:divBdr>
    </w:div>
    <w:div w:id="2062440394">
      <w:bodyDiv w:val="1"/>
      <w:marLeft w:val="0"/>
      <w:marRight w:val="0"/>
      <w:marTop w:val="0"/>
      <w:marBottom w:val="0"/>
      <w:divBdr>
        <w:top w:val="none" w:sz="0" w:space="0" w:color="auto"/>
        <w:left w:val="none" w:sz="0" w:space="0" w:color="auto"/>
        <w:bottom w:val="none" w:sz="0" w:space="0" w:color="auto"/>
        <w:right w:val="none" w:sz="0" w:space="0" w:color="auto"/>
      </w:divBdr>
    </w:div>
    <w:div w:id="2062710366">
      <w:bodyDiv w:val="1"/>
      <w:marLeft w:val="0"/>
      <w:marRight w:val="0"/>
      <w:marTop w:val="0"/>
      <w:marBottom w:val="0"/>
      <w:divBdr>
        <w:top w:val="none" w:sz="0" w:space="0" w:color="auto"/>
        <w:left w:val="none" w:sz="0" w:space="0" w:color="auto"/>
        <w:bottom w:val="none" w:sz="0" w:space="0" w:color="auto"/>
        <w:right w:val="none" w:sz="0" w:space="0" w:color="auto"/>
      </w:divBdr>
    </w:div>
    <w:div w:id="2062747983">
      <w:bodyDiv w:val="1"/>
      <w:marLeft w:val="0"/>
      <w:marRight w:val="0"/>
      <w:marTop w:val="0"/>
      <w:marBottom w:val="0"/>
      <w:divBdr>
        <w:top w:val="none" w:sz="0" w:space="0" w:color="auto"/>
        <w:left w:val="none" w:sz="0" w:space="0" w:color="auto"/>
        <w:bottom w:val="none" w:sz="0" w:space="0" w:color="auto"/>
        <w:right w:val="none" w:sz="0" w:space="0" w:color="auto"/>
      </w:divBdr>
    </w:div>
    <w:div w:id="2062748100">
      <w:bodyDiv w:val="1"/>
      <w:marLeft w:val="0"/>
      <w:marRight w:val="0"/>
      <w:marTop w:val="0"/>
      <w:marBottom w:val="0"/>
      <w:divBdr>
        <w:top w:val="none" w:sz="0" w:space="0" w:color="auto"/>
        <w:left w:val="none" w:sz="0" w:space="0" w:color="auto"/>
        <w:bottom w:val="none" w:sz="0" w:space="0" w:color="auto"/>
        <w:right w:val="none" w:sz="0" w:space="0" w:color="auto"/>
      </w:divBdr>
    </w:div>
    <w:div w:id="2063748782">
      <w:bodyDiv w:val="1"/>
      <w:marLeft w:val="0"/>
      <w:marRight w:val="0"/>
      <w:marTop w:val="0"/>
      <w:marBottom w:val="0"/>
      <w:divBdr>
        <w:top w:val="none" w:sz="0" w:space="0" w:color="auto"/>
        <w:left w:val="none" w:sz="0" w:space="0" w:color="auto"/>
        <w:bottom w:val="none" w:sz="0" w:space="0" w:color="auto"/>
        <w:right w:val="none" w:sz="0" w:space="0" w:color="auto"/>
      </w:divBdr>
    </w:div>
    <w:div w:id="2063946792">
      <w:bodyDiv w:val="1"/>
      <w:marLeft w:val="0"/>
      <w:marRight w:val="0"/>
      <w:marTop w:val="0"/>
      <w:marBottom w:val="0"/>
      <w:divBdr>
        <w:top w:val="none" w:sz="0" w:space="0" w:color="auto"/>
        <w:left w:val="none" w:sz="0" w:space="0" w:color="auto"/>
        <w:bottom w:val="none" w:sz="0" w:space="0" w:color="auto"/>
        <w:right w:val="none" w:sz="0" w:space="0" w:color="auto"/>
      </w:divBdr>
    </w:div>
    <w:div w:id="2064061394">
      <w:bodyDiv w:val="1"/>
      <w:marLeft w:val="0"/>
      <w:marRight w:val="0"/>
      <w:marTop w:val="0"/>
      <w:marBottom w:val="0"/>
      <w:divBdr>
        <w:top w:val="none" w:sz="0" w:space="0" w:color="auto"/>
        <w:left w:val="none" w:sz="0" w:space="0" w:color="auto"/>
        <w:bottom w:val="none" w:sz="0" w:space="0" w:color="auto"/>
        <w:right w:val="none" w:sz="0" w:space="0" w:color="auto"/>
      </w:divBdr>
    </w:div>
    <w:div w:id="2064214030">
      <w:bodyDiv w:val="1"/>
      <w:marLeft w:val="0"/>
      <w:marRight w:val="0"/>
      <w:marTop w:val="0"/>
      <w:marBottom w:val="0"/>
      <w:divBdr>
        <w:top w:val="none" w:sz="0" w:space="0" w:color="auto"/>
        <w:left w:val="none" w:sz="0" w:space="0" w:color="auto"/>
        <w:bottom w:val="none" w:sz="0" w:space="0" w:color="auto"/>
        <w:right w:val="none" w:sz="0" w:space="0" w:color="auto"/>
      </w:divBdr>
    </w:div>
    <w:div w:id="2064253624">
      <w:bodyDiv w:val="1"/>
      <w:marLeft w:val="0"/>
      <w:marRight w:val="0"/>
      <w:marTop w:val="0"/>
      <w:marBottom w:val="0"/>
      <w:divBdr>
        <w:top w:val="none" w:sz="0" w:space="0" w:color="auto"/>
        <w:left w:val="none" w:sz="0" w:space="0" w:color="auto"/>
        <w:bottom w:val="none" w:sz="0" w:space="0" w:color="auto"/>
        <w:right w:val="none" w:sz="0" w:space="0" w:color="auto"/>
      </w:divBdr>
    </w:div>
    <w:div w:id="2064324405">
      <w:bodyDiv w:val="1"/>
      <w:marLeft w:val="0"/>
      <w:marRight w:val="0"/>
      <w:marTop w:val="0"/>
      <w:marBottom w:val="0"/>
      <w:divBdr>
        <w:top w:val="none" w:sz="0" w:space="0" w:color="auto"/>
        <w:left w:val="none" w:sz="0" w:space="0" w:color="auto"/>
        <w:bottom w:val="none" w:sz="0" w:space="0" w:color="auto"/>
        <w:right w:val="none" w:sz="0" w:space="0" w:color="auto"/>
      </w:divBdr>
    </w:div>
    <w:div w:id="2064451490">
      <w:bodyDiv w:val="1"/>
      <w:marLeft w:val="0"/>
      <w:marRight w:val="0"/>
      <w:marTop w:val="0"/>
      <w:marBottom w:val="0"/>
      <w:divBdr>
        <w:top w:val="none" w:sz="0" w:space="0" w:color="auto"/>
        <w:left w:val="none" w:sz="0" w:space="0" w:color="auto"/>
        <w:bottom w:val="none" w:sz="0" w:space="0" w:color="auto"/>
        <w:right w:val="none" w:sz="0" w:space="0" w:color="auto"/>
      </w:divBdr>
    </w:div>
    <w:div w:id="2064671575">
      <w:bodyDiv w:val="1"/>
      <w:marLeft w:val="0"/>
      <w:marRight w:val="0"/>
      <w:marTop w:val="0"/>
      <w:marBottom w:val="0"/>
      <w:divBdr>
        <w:top w:val="none" w:sz="0" w:space="0" w:color="auto"/>
        <w:left w:val="none" w:sz="0" w:space="0" w:color="auto"/>
        <w:bottom w:val="none" w:sz="0" w:space="0" w:color="auto"/>
        <w:right w:val="none" w:sz="0" w:space="0" w:color="auto"/>
      </w:divBdr>
    </w:div>
    <w:div w:id="2065330243">
      <w:bodyDiv w:val="1"/>
      <w:marLeft w:val="0"/>
      <w:marRight w:val="0"/>
      <w:marTop w:val="0"/>
      <w:marBottom w:val="0"/>
      <w:divBdr>
        <w:top w:val="none" w:sz="0" w:space="0" w:color="auto"/>
        <w:left w:val="none" w:sz="0" w:space="0" w:color="auto"/>
        <w:bottom w:val="none" w:sz="0" w:space="0" w:color="auto"/>
        <w:right w:val="none" w:sz="0" w:space="0" w:color="auto"/>
      </w:divBdr>
    </w:div>
    <w:div w:id="2065372500">
      <w:bodyDiv w:val="1"/>
      <w:marLeft w:val="0"/>
      <w:marRight w:val="0"/>
      <w:marTop w:val="0"/>
      <w:marBottom w:val="0"/>
      <w:divBdr>
        <w:top w:val="none" w:sz="0" w:space="0" w:color="auto"/>
        <w:left w:val="none" w:sz="0" w:space="0" w:color="auto"/>
        <w:bottom w:val="none" w:sz="0" w:space="0" w:color="auto"/>
        <w:right w:val="none" w:sz="0" w:space="0" w:color="auto"/>
      </w:divBdr>
    </w:div>
    <w:div w:id="2065444420">
      <w:bodyDiv w:val="1"/>
      <w:marLeft w:val="0"/>
      <w:marRight w:val="0"/>
      <w:marTop w:val="0"/>
      <w:marBottom w:val="0"/>
      <w:divBdr>
        <w:top w:val="none" w:sz="0" w:space="0" w:color="auto"/>
        <w:left w:val="none" w:sz="0" w:space="0" w:color="auto"/>
        <w:bottom w:val="none" w:sz="0" w:space="0" w:color="auto"/>
        <w:right w:val="none" w:sz="0" w:space="0" w:color="auto"/>
      </w:divBdr>
    </w:div>
    <w:div w:id="2065445960">
      <w:bodyDiv w:val="1"/>
      <w:marLeft w:val="0"/>
      <w:marRight w:val="0"/>
      <w:marTop w:val="0"/>
      <w:marBottom w:val="0"/>
      <w:divBdr>
        <w:top w:val="none" w:sz="0" w:space="0" w:color="auto"/>
        <w:left w:val="none" w:sz="0" w:space="0" w:color="auto"/>
        <w:bottom w:val="none" w:sz="0" w:space="0" w:color="auto"/>
        <w:right w:val="none" w:sz="0" w:space="0" w:color="auto"/>
      </w:divBdr>
    </w:div>
    <w:div w:id="2065565365">
      <w:bodyDiv w:val="1"/>
      <w:marLeft w:val="0"/>
      <w:marRight w:val="0"/>
      <w:marTop w:val="0"/>
      <w:marBottom w:val="0"/>
      <w:divBdr>
        <w:top w:val="none" w:sz="0" w:space="0" w:color="auto"/>
        <w:left w:val="none" w:sz="0" w:space="0" w:color="auto"/>
        <w:bottom w:val="none" w:sz="0" w:space="0" w:color="auto"/>
        <w:right w:val="none" w:sz="0" w:space="0" w:color="auto"/>
      </w:divBdr>
    </w:div>
    <w:div w:id="2065760729">
      <w:bodyDiv w:val="1"/>
      <w:marLeft w:val="0"/>
      <w:marRight w:val="0"/>
      <w:marTop w:val="0"/>
      <w:marBottom w:val="0"/>
      <w:divBdr>
        <w:top w:val="none" w:sz="0" w:space="0" w:color="auto"/>
        <w:left w:val="none" w:sz="0" w:space="0" w:color="auto"/>
        <w:bottom w:val="none" w:sz="0" w:space="0" w:color="auto"/>
        <w:right w:val="none" w:sz="0" w:space="0" w:color="auto"/>
      </w:divBdr>
    </w:div>
    <w:div w:id="2065789561">
      <w:bodyDiv w:val="1"/>
      <w:marLeft w:val="0"/>
      <w:marRight w:val="0"/>
      <w:marTop w:val="0"/>
      <w:marBottom w:val="0"/>
      <w:divBdr>
        <w:top w:val="none" w:sz="0" w:space="0" w:color="auto"/>
        <w:left w:val="none" w:sz="0" w:space="0" w:color="auto"/>
        <w:bottom w:val="none" w:sz="0" w:space="0" w:color="auto"/>
        <w:right w:val="none" w:sz="0" w:space="0" w:color="auto"/>
      </w:divBdr>
    </w:div>
    <w:div w:id="2065831314">
      <w:bodyDiv w:val="1"/>
      <w:marLeft w:val="0"/>
      <w:marRight w:val="0"/>
      <w:marTop w:val="0"/>
      <w:marBottom w:val="0"/>
      <w:divBdr>
        <w:top w:val="none" w:sz="0" w:space="0" w:color="auto"/>
        <w:left w:val="none" w:sz="0" w:space="0" w:color="auto"/>
        <w:bottom w:val="none" w:sz="0" w:space="0" w:color="auto"/>
        <w:right w:val="none" w:sz="0" w:space="0" w:color="auto"/>
      </w:divBdr>
    </w:div>
    <w:div w:id="2066097595">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66176990">
      <w:bodyDiv w:val="1"/>
      <w:marLeft w:val="0"/>
      <w:marRight w:val="0"/>
      <w:marTop w:val="0"/>
      <w:marBottom w:val="0"/>
      <w:divBdr>
        <w:top w:val="none" w:sz="0" w:space="0" w:color="auto"/>
        <w:left w:val="none" w:sz="0" w:space="0" w:color="auto"/>
        <w:bottom w:val="none" w:sz="0" w:space="0" w:color="auto"/>
        <w:right w:val="none" w:sz="0" w:space="0" w:color="auto"/>
      </w:divBdr>
    </w:div>
    <w:div w:id="2066485600">
      <w:bodyDiv w:val="1"/>
      <w:marLeft w:val="0"/>
      <w:marRight w:val="0"/>
      <w:marTop w:val="0"/>
      <w:marBottom w:val="0"/>
      <w:divBdr>
        <w:top w:val="none" w:sz="0" w:space="0" w:color="auto"/>
        <w:left w:val="none" w:sz="0" w:space="0" w:color="auto"/>
        <w:bottom w:val="none" w:sz="0" w:space="0" w:color="auto"/>
        <w:right w:val="none" w:sz="0" w:space="0" w:color="auto"/>
      </w:divBdr>
    </w:div>
    <w:div w:id="2066563045">
      <w:bodyDiv w:val="1"/>
      <w:marLeft w:val="0"/>
      <w:marRight w:val="0"/>
      <w:marTop w:val="0"/>
      <w:marBottom w:val="0"/>
      <w:divBdr>
        <w:top w:val="none" w:sz="0" w:space="0" w:color="auto"/>
        <w:left w:val="none" w:sz="0" w:space="0" w:color="auto"/>
        <w:bottom w:val="none" w:sz="0" w:space="0" w:color="auto"/>
        <w:right w:val="none" w:sz="0" w:space="0" w:color="auto"/>
      </w:divBdr>
    </w:div>
    <w:div w:id="2066639603">
      <w:bodyDiv w:val="1"/>
      <w:marLeft w:val="0"/>
      <w:marRight w:val="0"/>
      <w:marTop w:val="0"/>
      <w:marBottom w:val="0"/>
      <w:divBdr>
        <w:top w:val="none" w:sz="0" w:space="0" w:color="auto"/>
        <w:left w:val="none" w:sz="0" w:space="0" w:color="auto"/>
        <w:bottom w:val="none" w:sz="0" w:space="0" w:color="auto"/>
        <w:right w:val="none" w:sz="0" w:space="0" w:color="auto"/>
      </w:divBdr>
    </w:div>
    <w:div w:id="2066641151">
      <w:bodyDiv w:val="1"/>
      <w:marLeft w:val="0"/>
      <w:marRight w:val="0"/>
      <w:marTop w:val="0"/>
      <w:marBottom w:val="0"/>
      <w:divBdr>
        <w:top w:val="none" w:sz="0" w:space="0" w:color="auto"/>
        <w:left w:val="none" w:sz="0" w:space="0" w:color="auto"/>
        <w:bottom w:val="none" w:sz="0" w:space="0" w:color="auto"/>
        <w:right w:val="none" w:sz="0" w:space="0" w:color="auto"/>
      </w:divBdr>
    </w:div>
    <w:div w:id="2066752908">
      <w:bodyDiv w:val="1"/>
      <w:marLeft w:val="0"/>
      <w:marRight w:val="0"/>
      <w:marTop w:val="0"/>
      <w:marBottom w:val="0"/>
      <w:divBdr>
        <w:top w:val="none" w:sz="0" w:space="0" w:color="auto"/>
        <w:left w:val="none" w:sz="0" w:space="0" w:color="auto"/>
        <w:bottom w:val="none" w:sz="0" w:space="0" w:color="auto"/>
        <w:right w:val="none" w:sz="0" w:space="0" w:color="auto"/>
      </w:divBdr>
    </w:div>
    <w:div w:id="2066833875">
      <w:bodyDiv w:val="1"/>
      <w:marLeft w:val="0"/>
      <w:marRight w:val="0"/>
      <w:marTop w:val="0"/>
      <w:marBottom w:val="0"/>
      <w:divBdr>
        <w:top w:val="none" w:sz="0" w:space="0" w:color="auto"/>
        <w:left w:val="none" w:sz="0" w:space="0" w:color="auto"/>
        <w:bottom w:val="none" w:sz="0" w:space="0" w:color="auto"/>
        <w:right w:val="none" w:sz="0" w:space="0" w:color="auto"/>
      </w:divBdr>
    </w:div>
    <w:div w:id="2066878747">
      <w:bodyDiv w:val="1"/>
      <w:marLeft w:val="0"/>
      <w:marRight w:val="0"/>
      <w:marTop w:val="0"/>
      <w:marBottom w:val="0"/>
      <w:divBdr>
        <w:top w:val="none" w:sz="0" w:space="0" w:color="auto"/>
        <w:left w:val="none" w:sz="0" w:space="0" w:color="auto"/>
        <w:bottom w:val="none" w:sz="0" w:space="0" w:color="auto"/>
        <w:right w:val="none" w:sz="0" w:space="0" w:color="auto"/>
      </w:divBdr>
    </w:div>
    <w:div w:id="2067028404">
      <w:bodyDiv w:val="1"/>
      <w:marLeft w:val="0"/>
      <w:marRight w:val="0"/>
      <w:marTop w:val="0"/>
      <w:marBottom w:val="0"/>
      <w:divBdr>
        <w:top w:val="none" w:sz="0" w:space="0" w:color="auto"/>
        <w:left w:val="none" w:sz="0" w:space="0" w:color="auto"/>
        <w:bottom w:val="none" w:sz="0" w:space="0" w:color="auto"/>
        <w:right w:val="none" w:sz="0" w:space="0" w:color="auto"/>
      </w:divBdr>
    </w:div>
    <w:div w:id="2067101428">
      <w:bodyDiv w:val="1"/>
      <w:marLeft w:val="0"/>
      <w:marRight w:val="0"/>
      <w:marTop w:val="0"/>
      <w:marBottom w:val="0"/>
      <w:divBdr>
        <w:top w:val="none" w:sz="0" w:space="0" w:color="auto"/>
        <w:left w:val="none" w:sz="0" w:space="0" w:color="auto"/>
        <w:bottom w:val="none" w:sz="0" w:space="0" w:color="auto"/>
        <w:right w:val="none" w:sz="0" w:space="0" w:color="auto"/>
      </w:divBdr>
    </w:div>
    <w:div w:id="2067213935">
      <w:bodyDiv w:val="1"/>
      <w:marLeft w:val="0"/>
      <w:marRight w:val="0"/>
      <w:marTop w:val="0"/>
      <w:marBottom w:val="0"/>
      <w:divBdr>
        <w:top w:val="none" w:sz="0" w:space="0" w:color="auto"/>
        <w:left w:val="none" w:sz="0" w:space="0" w:color="auto"/>
        <w:bottom w:val="none" w:sz="0" w:space="0" w:color="auto"/>
        <w:right w:val="none" w:sz="0" w:space="0" w:color="auto"/>
      </w:divBdr>
    </w:div>
    <w:div w:id="2067491635">
      <w:bodyDiv w:val="1"/>
      <w:marLeft w:val="0"/>
      <w:marRight w:val="0"/>
      <w:marTop w:val="0"/>
      <w:marBottom w:val="0"/>
      <w:divBdr>
        <w:top w:val="none" w:sz="0" w:space="0" w:color="auto"/>
        <w:left w:val="none" w:sz="0" w:space="0" w:color="auto"/>
        <w:bottom w:val="none" w:sz="0" w:space="0" w:color="auto"/>
        <w:right w:val="none" w:sz="0" w:space="0" w:color="auto"/>
      </w:divBdr>
    </w:div>
    <w:div w:id="2067873255">
      <w:bodyDiv w:val="1"/>
      <w:marLeft w:val="0"/>
      <w:marRight w:val="0"/>
      <w:marTop w:val="0"/>
      <w:marBottom w:val="0"/>
      <w:divBdr>
        <w:top w:val="none" w:sz="0" w:space="0" w:color="auto"/>
        <w:left w:val="none" w:sz="0" w:space="0" w:color="auto"/>
        <w:bottom w:val="none" w:sz="0" w:space="0" w:color="auto"/>
        <w:right w:val="none" w:sz="0" w:space="0" w:color="auto"/>
      </w:divBdr>
    </w:div>
    <w:div w:id="2068188776">
      <w:bodyDiv w:val="1"/>
      <w:marLeft w:val="0"/>
      <w:marRight w:val="0"/>
      <w:marTop w:val="0"/>
      <w:marBottom w:val="0"/>
      <w:divBdr>
        <w:top w:val="none" w:sz="0" w:space="0" w:color="auto"/>
        <w:left w:val="none" w:sz="0" w:space="0" w:color="auto"/>
        <w:bottom w:val="none" w:sz="0" w:space="0" w:color="auto"/>
        <w:right w:val="none" w:sz="0" w:space="0" w:color="auto"/>
      </w:divBdr>
    </w:div>
    <w:div w:id="2068256291">
      <w:bodyDiv w:val="1"/>
      <w:marLeft w:val="0"/>
      <w:marRight w:val="0"/>
      <w:marTop w:val="0"/>
      <w:marBottom w:val="0"/>
      <w:divBdr>
        <w:top w:val="none" w:sz="0" w:space="0" w:color="auto"/>
        <w:left w:val="none" w:sz="0" w:space="0" w:color="auto"/>
        <w:bottom w:val="none" w:sz="0" w:space="0" w:color="auto"/>
        <w:right w:val="none" w:sz="0" w:space="0" w:color="auto"/>
      </w:divBdr>
    </w:div>
    <w:div w:id="2068257567">
      <w:bodyDiv w:val="1"/>
      <w:marLeft w:val="0"/>
      <w:marRight w:val="0"/>
      <w:marTop w:val="0"/>
      <w:marBottom w:val="0"/>
      <w:divBdr>
        <w:top w:val="none" w:sz="0" w:space="0" w:color="auto"/>
        <w:left w:val="none" w:sz="0" w:space="0" w:color="auto"/>
        <w:bottom w:val="none" w:sz="0" w:space="0" w:color="auto"/>
        <w:right w:val="none" w:sz="0" w:space="0" w:color="auto"/>
      </w:divBdr>
    </w:div>
    <w:div w:id="2068264977">
      <w:bodyDiv w:val="1"/>
      <w:marLeft w:val="0"/>
      <w:marRight w:val="0"/>
      <w:marTop w:val="0"/>
      <w:marBottom w:val="0"/>
      <w:divBdr>
        <w:top w:val="none" w:sz="0" w:space="0" w:color="auto"/>
        <w:left w:val="none" w:sz="0" w:space="0" w:color="auto"/>
        <w:bottom w:val="none" w:sz="0" w:space="0" w:color="auto"/>
        <w:right w:val="none" w:sz="0" w:space="0" w:color="auto"/>
      </w:divBdr>
    </w:div>
    <w:div w:id="2068336447">
      <w:bodyDiv w:val="1"/>
      <w:marLeft w:val="0"/>
      <w:marRight w:val="0"/>
      <w:marTop w:val="0"/>
      <w:marBottom w:val="0"/>
      <w:divBdr>
        <w:top w:val="none" w:sz="0" w:space="0" w:color="auto"/>
        <w:left w:val="none" w:sz="0" w:space="0" w:color="auto"/>
        <w:bottom w:val="none" w:sz="0" w:space="0" w:color="auto"/>
        <w:right w:val="none" w:sz="0" w:space="0" w:color="auto"/>
      </w:divBdr>
    </w:div>
    <w:div w:id="2068381958">
      <w:bodyDiv w:val="1"/>
      <w:marLeft w:val="0"/>
      <w:marRight w:val="0"/>
      <w:marTop w:val="0"/>
      <w:marBottom w:val="0"/>
      <w:divBdr>
        <w:top w:val="none" w:sz="0" w:space="0" w:color="auto"/>
        <w:left w:val="none" w:sz="0" w:space="0" w:color="auto"/>
        <w:bottom w:val="none" w:sz="0" w:space="0" w:color="auto"/>
        <w:right w:val="none" w:sz="0" w:space="0" w:color="auto"/>
      </w:divBdr>
    </w:div>
    <w:div w:id="2068407862">
      <w:bodyDiv w:val="1"/>
      <w:marLeft w:val="0"/>
      <w:marRight w:val="0"/>
      <w:marTop w:val="0"/>
      <w:marBottom w:val="0"/>
      <w:divBdr>
        <w:top w:val="none" w:sz="0" w:space="0" w:color="auto"/>
        <w:left w:val="none" w:sz="0" w:space="0" w:color="auto"/>
        <w:bottom w:val="none" w:sz="0" w:space="0" w:color="auto"/>
        <w:right w:val="none" w:sz="0" w:space="0" w:color="auto"/>
      </w:divBdr>
    </w:div>
    <w:div w:id="2068643901">
      <w:bodyDiv w:val="1"/>
      <w:marLeft w:val="0"/>
      <w:marRight w:val="0"/>
      <w:marTop w:val="0"/>
      <w:marBottom w:val="0"/>
      <w:divBdr>
        <w:top w:val="none" w:sz="0" w:space="0" w:color="auto"/>
        <w:left w:val="none" w:sz="0" w:space="0" w:color="auto"/>
        <w:bottom w:val="none" w:sz="0" w:space="0" w:color="auto"/>
        <w:right w:val="none" w:sz="0" w:space="0" w:color="auto"/>
      </w:divBdr>
    </w:div>
    <w:div w:id="2068646325">
      <w:bodyDiv w:val="1"/>
      <w:marLeft w:val="0"/>
      <w:marRight w:val="0"/>
      <w:marTop w:val="0"/>
      <w:marBottom w:val="0"/>
      <w:divBdr>
        <w:top w:val="none" w:sz="0" w:space="0" w:color="auto"/>
        <w:left w:val="none" w:sz="0" w:space="0" w:color="auto"/>
        <w:bottom w:val="none" w:sz="0" w:space="0" w:color="auto"/>
        <w:right w:val="none" w:sz="0" w:space="0" w:color="auto"/>
      </w:divBdr>
    </w:div>
    <w:div w:id="2068675518">
      <w:bodyDiv w:val="1"/>
      <w:marLeft w:val="0"/>
      <w:marRight w:val="0"/>
      <w:marTop w:val="0"/>
      <w:marBottom w:val="0"/>
      <w:divBdr>
        <w:top w:val="none" w:sz="0" w:space="0" w:color="auto"/>
        <w:left w:val="none" w:sz="0" w:space="0" w:color="auto"/>
        <w:bottom w:val="none" w:sz="0" w:space="0" w:color="auto"/>
        <w:right w:val="none" w:sz="0" w:space="0" w:color="auto"/>
      </w:divBdr>
    </w:div>
    <w:div w:id="2069526614">
      <w:bodyDiv w:val="1"/>
      <w:marLeft w:val="0"/>
      <w:marRight w:val="0"/>
      <w:marTop w:val="0"/>
      <w:marBottom w:val="0"/>
      <w:divBdr>
        <w:top w:val="none" w:sz="0" w:space="0" w:color="auto"/>
        <w:left w:val="none" w:sz="0" w:space="0" w:color="auto"/>
        <w:bottom w:val="none" w:sz="0" w:space="0" w:color="auto"/>
        <w:right w:val="none" w:sz="0" w:space="0" w:color="auto"/>
      </w:divBdr>
    </w:div>
    <w:div w:id="2069718997">
      <w:bodyDiv w:val="1"/>
      <w:marLeft w:val="0"/>
      <w:marRight w:val="0"/>
      <w:marTop w:val="0"/>
      <w:marBottom w:val="0"/>
      <w:divBdr>
        <w:top w:val="none" w:sz="0" w:space="0" w:color="auto"/>
        <w:left w:val="none" w:sz="0" w:space="0" w:color="auto"/>
        <w:bottom w:val="none" w:sz="0" w:space="0" w:color="auto"/>
        <w:right w:val="none" w:sz="0" w:space="0" w:color="auto"/>
      </w:divBdr>
    </w:div>
    <w:div w:id="2069960883">
      <w:bodyDiv w:val="1"/>
      <w:marLeft w:val="0"/>
      <w:marRight w:val="0"/>
      <w:marTop w:val="0"/>
      <w:marBottom w:val="0"/>
      <w:divBdr>
        <w:top w:val="none" w:sz="0" w:space="0" w:color="auto"/>
        <w:left w:val="none" w:sz="0" w:space="0" w:color="auto"/>
        <w:bottom w:val="none" w:sz="0" w:space="0" w:color="auto"/>
        <w:right w:val="none" w:sz="0" w:space="0" w:color="auto"/>
      </w:divBdr>
    </w:div>
    <w:div w:id="2070036094">
      <w:bodyDiv w:val="1"/>
      <w:marLeft w:val="0"/>
      <w:marRight w:val="0"/>
      <w:marTop w:val="0"/>
      <w:marBottom w:val="0"/>
      <w:divBdr>
        <w:top w:val="none" w:sz="0" w:space="0" w:color="auto"/>
        <w:left w:val="none" w:sz="0" w:space="0" w:color="auto"/>
        <w:bottom w:val="none" w:sz="0" w:space="0" w:color="auto"/>
        <w:right w:val="none" w:sz="0" w:space="0" w:color="auto"/>
      </w:divBdr>
    </w:div>
    <w:div w:id="2070152386">
      <w:bodyDiv w:val="1"/>
      <w:marLeft w:val="0"/>
      <w:marRight w:val="0"/>
      <w:marTop w:val="0"/>
      <w:marBottom w:val="0"/>
      <w:divBdr>
        <w:top w:val="none" w:sz="0" w:space="0" w:color="auto"/>
        <w:left w:val="none" w:sz="0" w:space="0" w:color="auto"/>
        <w:bottom w:val="none" w:sz="0" w:space="0" w:color="auto"/>
        <w:right w:val="none" w:sz="0" w:space="0" w:color="auto"/>
      </w:divBdr>
    </w:div>
    <w:div w:id="2070227140">
      <w:bodyDiv w:val="1"/>
      <w:marLeft w:val="0"/>
      <w:marRight w:val="0"/>
      <w:marTop w:val="0"/>
      <w:marBottom w:val="0"/>
      <w:divBdr>
        <w:top w:val="none" w:sz="0" w:space="0" w:color="auto"/>
        <w:left w:val="none" w:sz="0" w:space="0" w:color="auto"/>
        <w:bottom w:val="none" w:sz="0" w:space="0" w:color="auto"/>
        <w:right w:val="none" w:sz="0" w:space="0" w:color="auto"/>
      </w:divBdr>
    </w:div>
    <w:div w:id="2070229982">
      <w:bodyDiv w:val="1"/>
      <w:marLeft w:val="0"/>
      <w:marRight w:val="0"/>
      <w:marTop w:val="0"/>
      <w:marBottom w:val="0"/>
      <w:divBdr>
        <w:top w:val="none" w:sz="0" w:space="0" w:color="auto"/>
        <w:left w:val="none" w:sz="0" w:space="0" w:color="auto"/>
        <w:bottom w:val="none" w:sz="0" w:space="0" w:color="auto"/>
        <w:right w:val="none" w:sz="0" w:space="0" w:color="auto"/>
      </w:divBdr>
    </w:div>
    <w:div w:id="2070493904">
      <w:bodyDiv w:val="1"/>
      <w:marLeft w:val="0"/>
      <w:marRight w:val="0"/>
      <w:marTop w:val="0"/>
      <w:marBottom w:val="0"/>
      <w:divBdr>
        <w:top w:val="none" w:sz="0" w:space="0" w:color="auto"/>
        <w:left w:val="none" w:sz="0" w:space="0" w:color="auto"/>
        <w:bottom w:val="none" w:sz="0" w:space="0" w:color="auto"/>
        <w:right w:val="none" w:sz="0" w:space="0" w:color="auto"/>
      </w:divBdr>
    </w:div>
    <w:div w:id="2070498236">
      <w:bodyDiv w:val="1"/>
      <w:marLeft w:val="0"/>
      <w:marRight w:val="0"/>
      <w:marTop w:val="0"/>
      <w:marBottom w:val="0"/>
      <w:divBdr>
        <w:top w:val="none" w:sz="0" w:space="0" w:color="auto"/>
        <w:left w:val="none" w:sz="0" w:space="0" w:color="auto"/>
        <w:bottom w:val="none" w:sz="0" w:space="0" w:color="auto"/>
        <w:right w:val="none" w:sz="0" w:space="0" w:color="auto"/>
      </w:divBdr>
    </w:div>
    <w:div w:id="2071268605">
      <w:bodyDiv w:val="1"/>
      <w:marLeft w:val="0"/>
      <w:marRight w:val="0"/>
      <w:marTop w:val="0"/>
      <w:marBottom w:val="0"/>
      <w:divBdr>
        <w:top w:val="none" w:sz="0" w:space="0" w:color="auto"/>
        <w:left w:val="none" w:sz="0" w:space="0" w:color="auto"/>
        <w:bottom w:val="none" w:sz="0" w:space="0" w:color="auto"/>
        <w:right w:val="none" w:sz="0" w:space="0" w:color="auto"/>
      </w:divBdr>
    </w:div>
    <w:div w:id="2071494214">
      <w:bodyDiv w:val="1"/>
      <w:marLeft w:val="0"/>
      <w:marRight w:val="0"/>
      <w:marTop w:val="0"/>
      <w:marBottom w:val="0"/>
      <w:divBdr>
        <w:top w:val="none" w:sz="0" w:space="0" w:color="auto"/>
        <w:left w:val="none" w:sz="0" w:space="0" w:color="auto"/>
        <w:bottom w:val="none" w:sz="0" w:space="0" w:color="auto"/>
        <w:right w:val="none" w:sz="0" w:space="0" w:color="auto"/>
      </w:divBdr>
    </w:div>
    <w:div w:id="2071687099">
      <w:bodyDiv w:val="1"/>
      <w:marLeft w:val="0"/>
      <w:marRight w:val="0"/>
      <w:marTop w:val="0"/>
      <w:marBottom w:val="0"/>
      <w:divBdr>
        <w:top w:val="none" w:sz="0" w:space="0" w:color="auto"/>
        <w:left w:val="none" w:sz="0" w:space="0" w:color="auto"/>
        <w:bottom w:val="none" w:sz="0" w:space="0" w:color="auto"/>
        <w:right w:val="none" w:sz="0" w:space="0" w:color="auto"/>
      </w:divBdr>
    </w:div>
    <w:div w:id="2071732573">
      <w:bodyDiv w:val="1"/>
      <w:marLeft w:val="0"/>
      <w:marRight w:val="0"/>
      <w:marTop w:val="0"/>
      <w:marBottom w:val="0"/>
      <w:divBdr>
        <w:top w:val="none" w:sz="0" w:space="0" w:color="auto"/>
        <w:left w:val="none" w:sz="0" w:space="0" w:color="auto"/>
        <w:bottom w:val="none" w:sz="0" w:space="0" w:color="auto"/>
        <w:right w:val="none" w:sz="0" w:space="0" w:color="auto"/>
      </w:divBdr>
    </w:div>
    <w:div w:id="2071806531">
      <w:bodyDiv w:val="1"/>
      <w:marLeft w:val="0"/>
      <w:marRight w:val="0"/>
      <w:marTop w:val="0"/>
      <w:marBottom w:val="0"/>
      <w:divBdr>
        <w:top w:val="none" w:sz="0" w:space="0" w:color="auto"/>
        <w:left w:val="none" w:sz="0" w:space="0" w:color="auto"/>
        <w:bottom w:val="none" w:sz="0" w:space="0" w:color="auto"/>
        <w:right w:val="none" w:sz="0" w:space="0" w:color="auto"/>
      </w:divBdr>
    </w:div>
    <w:div w:id="2071923805">
      <w:bodyDiv w:val="1"/>
      <w:marLeft w:val="0"/>
      <w:marRight w:val="0"/>
      <w:marTop w:val="0"/>
      <w:marBottom w:val="0"/>
      <w:divBdr>
        <w:top w:val="none" w:sz="0" w:space="0" w:color="auto"/>
        <w:left w:val="none" w:sz="0" w:space="0" w:color="auto"/>
        <w:bottom w:val="none" w:sz="0" w:space="0" w:color="auto"/>
        <w:right w:val="none" w:sz="0" w:space="0" w:color="auto"/>
      </w:divBdr>
    </w:div>
    <w:div w:id="2072072359">
      <w:bodyDiv w:val="1"/>
      <w:marLeft w:val="0"/>
      <w:marRight w:val="0"/>
      <w:marTop w:val="0"/>
      <w:marBottom w:val="0"/>
      <w:divBdr>
        <w:top w:val="none" w:sz="0" w:space="0" w:color="auto"/>
        <w:left w:val="none" w:sz="0" w:space="0" w:color="auto"/>
        <w:bottom w:val="none" w:sz="0" w:space="0" w:color="auto"/>
        <w:right w:val="none" w:sz="0" w:space="0" w:color="auto"/>
      </w:divBdr>
    </w:div>
    <w:div w:id="2072147867">
      <w:bodyDiv w:val="1"/>
      <w:marLeft w:val="0"/>
      <w:marRight w:val="0"/>
      <w:marTop w:val="0"/>
      <w:marBottom w:val="0"/>
      <w:divBdr>
        <w:top w:val="none" w:sz="0" w:space="0" w:color="auto"/>
        <w:left w:val="none" w:sz="0" w:space="0" w:color="auto"/>
        <w:bottom w:val="none" w:sz="0" w:space="0" w:color="auto"/>
        <w:right w:val="none" w:sz="0" w:space="0" w:color="auto"/>
      </w:divBdr>
    </w:div>
    <w:div w:id="2072191564">
      <w:bodyDiv w:val="1"/>
      <w:marLeft w:val="0"/>
      <w:marRight w:val="0"/>
      <w:marTop w:val="0"/>
      <w:marBottom w:val="0"/>
      <w:divBdr>
        <w:top w:val="none" w:sz="0" w:space="0" w:color="auto"/>
        <w:left w:val="none" w:sz="0" w:space="0" w:color="auto"/>
        <w:bottom w:val="none" w:sz="0" w:space="0" w:color="auto"/>
        <w:right w:val="none" w:sz="0" w:space="0" w:color="auto"/>
      </w:divBdr>
    </w:div>
    <w:div w:id="2072266575">
      <w:bodyDiv w:val="1"/>
      <w:marLeft w:val="0"/>
      <w:marRight w:val="0"/>
      <w:marTop w:val="0"/>
      <w:marBottom w:val="0"/>
      <w:divBdr>
        <w:top w:val="none" w:sz="0" w:space="0" w:color="auto"/>
        <w:left w:val="none" w:sz="0" w:space="0" w:color="auto"/>
        <w:bottom w:val="none" w:sz="0" w:space="0" w:color="auto"/>
        <w:right w:val="none" w:sz="0" w:space="0" w:color="auto"/>
      </w:divBdr>
    </w:div>
    <w:div w:id="2072388396">
      <w:bodyDiv w:val="1"/>
      <w:marLeft w:val="0"/>
      <w:marRight w:val="0"/>
      <w:marTop w:val="0"/>
      <w:marBottom w:val="0"/>
      <w:divBdr>
        <w:top w:val="none" w:sz="0" w:space="0" w:color="auto"/>
        <w:left w:val="none" w:sz="0" w:space="0" w:color="auto"/>
        <w:bottom w:val="none" w:sz="0" w:space="0" w:color="auto"/>
        <w:right w:val="none" w:sz="0" w:space="0" w:color="auto"/>
      </w:divBdr>
    </w:div>
    <w:div w:id="2072533033">
      <w:bodyDiv w:val="1"/>
      <w:marLeft w:val="0"/>
      <w:marRight w:val="0"/>
      <w:marTop w:val="0"/>
      <w:marBottom w:val="0"/>
      <w:divBdr>
        <w:top w:val="none" w:sz="0" w:space="0" w:color="auto"/>
        <w:left w:val="none" w:sz="0" w:space="0" w:color="auto"/>
        <w:bottom w:val="none" w:sz="0" w:space="0" w:color="auto"/>
        <w:right w:val="none" w:sz="0" w:space="0" w:color="auto"/>
      </w:divBdr>
    </w:div>
    <w:div w:id="2072579329">
      <w:bodyDiv w:val="1"/>
      <w:marLeft w:val="0"/>
      <w:marRight w:val="0"/>
      <w:marTop w:val="0"/>
      <w:marBottom w:val="0"/>
      <w:divBdr>
        <w:top w:val="none" w:sz="0" w:space="0" w:color="auto"/>
        <w:left w:val="none" w:sz="0" w:space="0" w:color="auto"/>
        <w:bottom w:val="none" w:sz="0" w:space="0" w:color="auto"/>
        <w:right w:val="none" w:sz="0" w:space="0" w:color="auto"/>
      </w:divBdr>
    </w:div>
    <w:div w:id="2072732678">
      <w:bodyDiv w:val="1"/>
      <w:marLeft w:val="0"/>
      <w:marRight w:val="0"/>
      <w:marTop w:val="0"/>
      <w:marBottom w:val="0"/>
      <w:divBdr>
        <w:top w:val="none" w:sz="0" w:space="0" w:color="auto"/>
        <w:left w:val="none" w:sz="0" w:space="0" w:color="auto"/>
        <w:bottom w:val="none" w:sz="0" w:space="0" w:color="auto"/>
        <w:right w:val="none" w:sz="0" w:space="0" w:color="auto"/>
      </w:divBdr>
    </w:div>
    <w:div w:id="2073111689">
      <w:bodyDiv w:val="1"/>
      <w:marLeft w:val="0"/>
      <w:marRight w:val="0"/>
      <w:marTop w:val="0"/>
      <w:marBottom w:val="0"/>
      <w:divBdr>
        <w:top w:val="none" w:sz="0" w:space="0" w:color="auto"/>
        <w:left w:val="none" w:sz="0" w:space="0" w:color="auto"/>
        <w:bottom w:val="none" w:sz="0" w:space="0" w:color="auto"/>
        <w:right w:val="none" w:sz="0" w:space="0" w:color="auto"/>
      </w:divBdr>
    </w:div>
    <w:div w:id="2073236082">
      <w:bodyDiv w:val="1"/>
      <w:marLeft w:val="0"/>
      <w:marRight w:val="0"/>
      <w:marTop w:val="0"/>
      <w:marBottom w:val="0"/>
      <w:divBdr>
        <w:top w:val="none" w:sz="0" w:space="0" w:color="auto"/>
        <w:left w:val="none" w:sz="0" w:space="0" w:color="auto"/>
        <w:bottom w:val="none" w:sz="0" w:space="0" w:color="auto"/>
        <w:right w:val="none" w:sz="0" w:space="0" w:color="auto"/>
      </w:divBdr>
    </w:div>
    <w:div w:id="2073648633">
      <w:bodyDiv w:val="1"/>
      <w:marLeft w:val="0"/>
      <w:marRight w:val="0"/>
      <w:marTop w:val="0"/>
      <w:marBottom w:val="0"/>
      <w:divBdr>
        <w:top w:val="none" w:sz="0" w:space="0" w:color="auto"/>
        <w:left w:val="none" w:sz="0" w:space="0" w:color="auto"/>
        <w:bottom w:val="none" w:sz="0" w:space="0" w:color="auto"/>
        <w:right w:val="none" w:sz="0" w:space="0" w:color="auto"/>
      </w:divBdr>
    </w:div>
    <w:div w:id="2073770818">
      <w:bodyDiv w:val="1"/>
      <w:marLeft w:val="0"/>
      <w:marRight w:val="0"/>
      <w:marTop w:val="0"/>
      <w:marBottom w:val="0"/>
      <w:divBdr>
        <w:top w:val="none" w:sz="0" w:space="0" w:color="auto"/>
        <w:left w:val="none" w:sz="0" w:space="0" w:color="auto"/>
        <w:bottom w:val="none" w:sz="0" w:space="0" w:color="auto"/>
        <w:right w:val="none" w:sz="0" w:space="0" w:color="auto"/>
      </w:divBdr>
    </w:div>
    <w:div w:id="2073887148">
      <w:bodyDiv w:val="1"/>
      <w:marLeft w:val="0"/>
      <w:marRight w:val="0"/>
      <w:marTop w:val="0"/>
      <w:marBottom w:val="0"/>
      <w:divBdr>
        <w:top w:val="none" w:sz="0" w:space="0" w:color="auto"/>
        <w:left w:val="none" w:sz="0" w:space="0" w:color="auto"/>
        <w:bottom w:val="none" w:sz="0" w:space="0" w:color="auto"/>
        <w:right w:val="none" w:sz="0" w:space="0" w:color="auto"/>
      </w:divBdr>
    </w:div>
    <w:div w:id="2073962419">
      <w:bodyDiv w:val="1"/>
      <w:marLeft w:val="0"/>
      <w:marRight w:val="0"/>
      <w:marTop w:val="0"/>
      <w:marBottom w:val="0"/>
      <w:divBdr>
        <w:top w:val="none" w:sz="0" w:space="0" w:color="auto"/>
        <w:left w:val="none" w:sz="0" w:space="0" w:color="auto"/>
        <w:bottom w:val="none" w:sz="0" w:space="0" w:color="auto"/>
        <w:right w:val="none" w:sz="0" w:space="0" w:color="auto"/>
      </w:divBdr>
    </w:div>
    <w:div w:id="2073962458">
      <w:bodyDiv w:val="1"/>
      <w:marLeft w:val="0"/>
      <w:marRight w:val="0"/>
      <w:marTop w:val="0"/>
      <w:marBottom w:val="0"/>
      <w:divBdr>
        <w:top w:val="none" w:sz="0" w:space="0" w:color="auto"/>
        <w:left w:val="none" w:sz="0" w:space="0" w:color="auto"/>
        <w:bottom w:val="none" w:sz="0" w:space="0" w:color="auto"/>
        <w:right w:val="none" w:sz="0" w:space="0" w:color="auto"/>
      </w:divBdr>
    </w:div>
    <w:div w:id="2074229496">
      <w:bodyDiv w:val="1"/>
      <w:marLeft w:val="0"/>
      <w:marRight w:val="0"/>
      <w:marTop w:val="0"/>
      <w:marBottom w:val="0"/>
      <w:divBdr>
        <w:top w:val="none" w:sz="0" w:space="0" w:color="auto"/>
        <w:left w:val="none" w:sz="0" w:space="0" w:color="auto"/>
        <w:bottom w:val="none" w:sz="0" w:space="0" w:color="auto"/>
        <w:right w:val="none" w:sz="0" w:space="0" w:color="auto"/>
      </w:divBdr>
    </w:div>
    <w:div w:id="2074354105">
      <w:bodyDiv w:val="1"/>
      <w:marLeft w:val="0"/>
      <w:marRight w:val="0"/>
      <w:marTop w:val="0"/>
      <w:marBottom w:val="0"/>
      <w:divBdr>
        <w:top w:val="none" w:sz="0" w:space="0" w:color="auto"/>
        <w:left w:val="none" w:sz="0" w:space="0" w:color="auto"/>
        <w:bottom w:val="none" w:sz="0" w:space="0" w:color="auto"/>
        <w:right w:val="none" w:sz="0" w:space="0" w:color="auto"/>
      </w:divBdr>
    </w:div>
    <w:div w:id="2074426477">
      <w:bodyDiv w:val="1"/>
      <w:marLeft w:val="0"/>
      <w:marRight w:val="0"/>
      <w:marTop w:val="0"/>
      <w:marBottom w:val="0"/>
      <w:divBdr>
        <w:top w:val="none" w:sz="0" w:space="0" w:color="auto"/>
        <w:left w:val="none" w:sz="0" w:space="0" w:color="auto"/>
        <w:bottom w:val="none" w:sz="0" w:space="0" w:color="auto"/>
        <w:right w:val="none" w:sz="0" w:space="0" w:color="auto"/>
      </w:divBdr>
    </w:div>
    <w:div w:id="2074543973">
      <w:bodyDiv w:val="1"/>
      <w:marLeft w:val="0"/>
      <w:marRight w:val="0"/>
      <w:marTop w:val="0"/>
      <w:marBottom w:val="0"/>
      <w:divBdr>
        <w:top w:val="none" w:sz="0" w:space="0" w:color="auto"/>
        <w:left w:val="none" w:sz="0" w:space="0" w:color="auto"/>
        <w:bottom w:val="none" w:sz="0" w:space="0" w:color="auto"/>
        <w:right w:val="none" w:sz="0" w:space="0" w:color="auto"/>
      </w:divBdr>
    </w:div>
    <w:div w:id="2074572283">
      <w:bodyDiv w:val="1"/>
      <w:marLeft w:val="0"/>
      <w:marRight w:val="0"/>
      <w:marTop w:val="0"/>
      <w:marBottom w:val="0"/>
      <w:divBdr>
        <w:top w:val="none" w:sz="0" w:space="0" w:color="auto"/>
        <w:left w:val="none" w:sz="0" w:space="0" w:color="auto"/>
        <w:bottom w:val="none" w:sz="0" w:space="0" w:color="auto"/>
        <w:right w:val="none" w:sz="0" w:space="0" w:color="auto"/>
      </w:divBdr>
    </w:div>
    <w:div w:id="2074615129">
      <w:bodyDiv w:val="1"/>
      <w:marLeft w:val="0"/>
      <w:marRight w:val="0"/>
      <w:marTop w:val="0"/>
      <w:marBottom w:val="0"/>
      <w:divBdr>
        <w:top w:val="none" w:sz="0" w:space="0" w:color="auto"/>
        <w:left w:val="none" w:sz="0" w:space="0" w:color="auto"/>
        <w:bottom w:val="none" w:sz="0" w:space="0" w:color="auto"/>
        <w:right w:val="none" w:sz="0" w:space="0" w:color="auto"/>
      </w:divBdr>
    </w:div>
    <w:div w:id="2074617247">
      <w:bodyDiv w:val="1"/>
      <w:marLeft w:val="0"/>
      <w:marRight w:val="0"/>
      <w:marTop w:val="0"/>
      <w:marBottom w:val="0"/>
      <w:divBdr>
        <w:top w:val="none" w:sz="0" w:space="0" w:color="auto"/>
        <w:left w:val="none" w:sz="0" w:space="0" w:color="auto"/>
        <w:bottom w:val="none" w:sz="0" w:space="0" w:color="auto"/>
        <w:right w:val="none" w:sz="0" w:space="0" w:color="auto"/>
      </w:divBdr>
    </w:div>
    <w:div w:id="2074692877">
      <w:bodyDiv w:val="1"/>
      <w:marLeft w:val="0"/>
      <w:marRight w:val="0"/>
      <w:marTop w:val="0"/>
      <w:marBottom w:val="0"/>
      <w:divBdr>
        <w:top w:val="none" w:sz="0" w:space="0" w:color="auto"/>
        <w:left w:val="none" w:sz="0" w:space="0" w:color="auto"/>
        <w:bottom w:val="none" w:sz="0" w:space="0" w:color="auto"/>
        <w:right w:val="none" w:sz="0" w:space="0" w:color="auto"/>
      </w:divBdr>
    </w:div>
    <w:div w:id="2074811728">
      <w:bodyDiv w:val="1"/>
      <w:marLeft w:val="0"/>
      <w:marRight w:val="0"/>
      <w:marTop w:val="0"/>
      <w:marBottom w:val="0"/>
      <w:divBdr>
        <w:top w:val="none" w:sz="0" w:space="0" w:color="auto"/>
        <w:left w:val="none" w:sz="0" w:space="0" w:color="auto"/>
        <w:bottom w:val="none" w:sz="0" w:space="0" w:color="auto"/>
        <w:right w:val="none" w:sz="0" w:space="0" w:color="auto"/>
      </w:divBdr>
    </w:div>
    <w:div w:id="2075199855">
      <w:bodyDiv w:val="1"/>
      <w:marLeft w:val="0"/>
      <w:marRight w:val="0"/>
      <w:marTop w:val="0"/>
      <w:marBottom w:val="0"/>
      <w:divBdr>
        <w:top w:val="none" w:sz="0" w:space="0" w:color="auto"/>
        <w:left w:val="none" w:sz="0" w:space="0" w:color="auto"/>
        <w:bottom w:val="none" w:sz="0" w:space="0" w:color="auto"/>
        <w:right w:val="none" w:sz="0" w:space="0" w:color="auto"/>
      </w:divBdr>
    </w:div>
    <w:div w:id="2075467110">
      <w:bodyDiv w:val="1"/>
      <w:marLeft w:val="0"/>
      <w:marRight w:val="0"/>
      <w:marTop w:val="0"/>
      <w:marBottom w:val="0"/>
      <w:divBdr>
        <w:top w:val="none" w:sz="0" w:space="0" w:color="auto"/>
        <w:left w:val="none" w:sz="0" w:space="0" w:color="auto"/>
        <w:bottom w:val="none" w:sz="0" w:space="0" w:color="auto"/>
        <w:right w:val="none" w:sz="0" w:space="0" w:color="auto"/>
      </w:divBdr>
    </w:div>
    <w:div w:id="2075620355">
      <w:bodyDiv w:val="1"/>
      <w:marLeft w:val="0"/>
      <w:marRight w:val="0"/>
      <w:marTop w:val="0"/>
      <w:marBottom w:val="0"/>
      <w:divBdr>
        <w:top w:val="none" w:sz="0" w:space="0" w:color="auto"/>
        <w:left w:val="none" w:sz="0" w:space="0" w:color="auto"/>
        <w:bottom w:val="none" w:sz="0" w:space="0" w:color="auto"/>
        <w:right w:val="none" w:sz="0" w:space="0" w:color="auto"/>
      </w:divBdr>
    </w:div>
    <w:div w:id="2075658023">
      <w:bodyDiv w:val="1"/>
      <w:marLeft w:val="0"/>
      <w:marRight w:val="0"/>
      <w:marTop w:val="0"/>
      <w:marBottom w:val="0"/>
      <w:divBdr>
        <w:top w:val="none" w:sz="0" w:space="0" w:color="auto"/>
        <w:left w:val="none" w:sz="0" w:space="0" w:color="auto"/>
        <w:bottom w:val="none" w:sz="0" w:space="0" w:color="auto"/>
        <w:right w:val="none" w:sz="0" w:space="0" w:color="auto"/>
      </w:divBdr>
    </w:div>
    <w:div w:id="2075664846">
      <w:bodyDiv w:val="1"/>
      <w:marLeft w:val="0"/>
      <w:marRight w:val="0"/>
      <w:marTop w:val="0"/>
      <w:marBottom w:val="0"/>
      <w:divBdr>
        <w:top w:val="none" w:sz="0" w:space="0" w:color="auto"/>
        <w:left w:val="none" w:sz="0" w:space="0" w:color="auto"/>
        <w:bottom w:val="none" w:sz="0" w:space="0" w:color="auto"/>
        <w:right w:val="none" w:sz="0" w:space="0" w:color="auto"/>
      </w:divBdr>
    </w:div>
    <w:div w:id="2075734663">
      <w:bodyDiv w:val="1"/>
      <w:marLeft w:val="0"/>
      <w:marRight w:val="0"/>
      <w:marTop w:val="0"/>
      <w:marBottom w:val="0"/>
      <w:divBdr>
        <w:top w:val="none" w:sz="0" w:space="0" w:color="auto"/>
        <w:left w:val="none" w:sz="0" w:space="0" w:color="auto"/>
        <w:bottom w:val="none" w:sz="0" w:space="0" w:color="auto"/>
        <w:right w:val="none" w:sz="0" w:space="0" w:color="auto"/>
      </w:divBdr>
    </w:div>
    <w:div w:id="2075737218">
      <w:bodyDiv w:val="1"/>
      <w:marLeft w:val="0"/>
      <w:marRight w:val="0"/>
      <w:marTop w:val="0"/>
      <w:marBottom w:val="0"/>
      <w:divBdr>
        <w:top w:val="none" w:sz="0" w:space="0" w:color="auto"/>
        <w:left w:val="none" w:sz="0" w:space="0" w:color="auto"/>
        <w:bottom w:val="none" w:sz="0" w:space="0" w:color="auto"/>
        <w:right w:val="none" w:sz="0" w:space="0" w:color="auto"/>
      </w:divBdr>
    </w:div>
    <w:div w:id="2075808102">
      <w:bodyDiv w:val="1"/>
      <w:marLeft w:val="0"/>
      <w:marRight w:val="0"/>
      <w:marTop w:val="0"/>
      <w:marBottom w:val="0"/>
      <w:divBdr>
        <w:top w:val="none" w:sz="0" w:space="0" w:color="auto"/>
        <w:left w:val="none" w:sz="0" w:space="0" w:color="auto"/>
        <w:bottom w:val="none" w:sz="0" w:space="0" w:color="auto"/>
        <w:right w:val="none" w:sz="0" w:space="0" w:color="auto"/>
      </w:divBdr>
    </w:div>
    <w:div w:id="2075812485">
      <w:bodyDiv w:val="1"/>
      <w:marLeft w:val="0"/>
      <w:marRight w:val="0"/>
      <w:marTop w:val="0"/>
      <w:marBottom w:val="0"/>
      <w:divBdr>
        <w:top w:val="none" w:sz="0" w:space="0" w:color="auto"/>
        <w:left w:val="none" w:sz="0" w:space="0" w:color="auto"/>
        <w:bottom w:val="none" w:sz="0" w:space="0" w:color="auto"/>
        <w:right w:val="none" w:sz="0" w:space="0" w:color="auto"/>
      </w:divBdr>
    </w:div>
    <w:div w:id="2075815778">
      <w:bodyDiv w:val="1"/>
      <w:marLeft w:val="0"/>
      <w:marRight w:val="0"/>
      <w:marTop w:val="0"/>
      <w:marBottom w:val="0"/>
      <w:divBdr>
        <w:top w:val="none" w:sz="0" w:space="0" w:color="auto"/>
        <w:left w:val="none" w:sz="0" w:space="0" w:color="auto"/>
        <w:bottom w:val="none" w:sz="0" w:space="0" w:color="auto"/>
        <w:right w:val="none" w:sz="0" w:space="0" w:color="auto"/>
      </w:divBdr>
    </w:div>
    <w:div w:id="2076195329">
      <w:bodyDiv w:val="1"/>
      <w:marLeft w:val="0"/>
      <w:marRight w:val="0"/>
      <w:marTop w:val="0"/>
      <w:marBottom w:val="0"/>
      <w:divBdr>
        <w:top w:val="none" w:sz="0" w:space="0" w:color="auto"/>
        <w:left w:val="none" w:sz="0" w:space="0" w:color="auto"/>
        <w:bottom w:val="none" w:sz="0" w:space="0" w:color="auto"/>
        <w:right w:val="none" w:sz="0" w:space="0" w:color="auto"/>
      </w:divBdr>
    </w:div>
    <w:div w:id="2076467252">
      <w:bodyDiv w:val="1"/>
      <w:marLeft w:val="0"/>
      <w:marRight w:val="0"/>
      <w:marTop w:val="0"/>
      <w:marBottom w:val="0"/>
      <w:divBdr>
        <w:top w:val="none" w:sz="0" w:space="0" w:color="auto"/>
        <w:left w:val="none" w:sz="0" w:space="0" w:color="auto"/>
        <w:bottom w:val="none" w:sz="0" w:space="0" w:color="auto"/>
        <w:right w:val="none" w:sz="0" w:space="0" w:color="auto"/>
      </w:divBdr>
    </w:div>
    <w:div w:id="2076776638">
      <w:bodyDiv w:val="1"/>
      <w:marLeft w:val="0"/>
      <w:marRight w:val="0"/>
      <w:marTop w:val="0"/>
      <w:marBottom w:val="0"/>
      <w:divBdr>
        <w:top w:val="none" w:sz="0" w:space="0" w:color="auto"/>
        <w:left w:val="none" w:sz="0" w:space="0" w:color="auto"/>
        <w:bottom w:val="none" w:sz="0" w:space="0" w:color="auto"/>
        <w:right w:val="none" w:sz="0" w:space="0" w:color="auto"/>
      </w:divBdr>
    </w:div>
    <w:div w:id="2076929193">
      <w:bodyDiv w:val="1"/>
      <w:marLeft w:val="0"/>
      <w:marRight w:val="0"/>
      <w:marTop w:val="0"/>
      <w:marBottom w:val="0"/>
      <w:divBdr>
        <w:top w:val="none" w:sz="0" w:space="0" w:color="auto"/>
        <w:left w:val="none" w:sz="0" w:space="0" w:color="auto"/>
        <w:bottom w:val="none" w:sz="0" w:space="0" w:color="auto"/>
        <w:right w:val="none" w:sz="0" w:space="0" w:color="auto"/>
      </w:divBdr>
    </w:div>
    <w:div w:id="2076931291">
      <w:bodyDiv w:val="1"/>
      <w:marLeft w:val="0"/>
      <w:marRight w:val="0"/>
      <w:marTop w:val="0"/>
      <w:marBottom w:val="0"/>
      <w:divBdr>
        <w:top w:val="none" w:sz="0" w:space="0" w:color="auto"/>
        <w:left w:val="none" w:sz="0" w:space="0" w:color="auto"/>
        <w:bottom w:val="none" w:sz="0" w:space="0" w:color="auto"/>
        <w:right w:val="none" w:sz="0" w:space="0" w:color="auto"/>
      </w:divBdr>
    </w:div>
    <w:div w:id="2076931352">
      <w:bodyDiv w:val="1"/>
      <w:marLeft w:val="0"/>
      <w:marRight w:val="0"/>
      <w:marTop w:val="0"/>
      <w:marBottom w:val="0"/>
      <w:divBdr>
        <w:top w:val="none" w:sz="0" w:space="0" w:color="auto"/>
        <w:left w:val="none" w:sz="0" w:space="0" w:color="auto"/>
        <w:bottom w:val="none" w:sz="0" w:space="0" w:color="auto"/>
        <w:right w:val="none" w:sz="0" w:space="0" w:color="auto"/>
      </w:divBdr>
    </w:div>
    <w:div w:id="2077124529">
      <w:bodyDiv w:val="1"/>
      <w:marLeft w:val="0"/>
      <w:marRight w:val="0"/>
      <w:marTop w:val="0"/>
      <w:marBottom w:val="0"/>
      <w:divBdr>
        <w:top w:val="none" w:sz="0" w:space="0" w:color="auto"/>
        <w:left w:val="none" w:sz="0" w:space="0" w:color="auto"/>
        <w:bottom w:val="none" w:sz="0" w:space="0" w:color="auto"/>
        <w:right w:val="none" w:sz="0" w:space="0" w:color="auto"/>
      </w:divBdr>
    </w:div>
    <w:div w:id="2077388950">
      <w:bodyDiv w:val="1"/>
      <w:marLeft w:val="0"/>
      <w:marRight w:val="0"/>
      <w:marTop w:val="0"/>
      <w:marBottom w:val="0"/>
      <w:divBdr>
        <w:top w:val="none" w:sz="0" w:space="0" w:color="auto"/>
        <w:left w:val="none" w:sz="0" w:space="0" w:color="auto"/>
        <w:bottom w:val="none" w:sz="0" w:space="0" w:color="auto"/>
        <w:right w:val="none" w:sz="0" w:space="0" w:color="auto"/>
      </w:divBdr>
    </w:div>
    <w:div w:id="2077513807">
      <w:bodyDiv w:val="1"/>
      <w:marLeft w:val="0"/>
      <w:marRight w:val="0"/>
      <w:marTop w:val="0"/>
      <w:marBottom w:val="0"/>
      <w:divBdr>
        <w:top w:val="none" w:sz="0" w:space="0" w:color="auto"/>
        <w:left w:val="none" w:sz="0" w:space="0" w:color="auto"/>
        <w:bottom w:val="none" w:sz="0" w:space="0" w:color="auto"/>
        <w:right w:val="none" w:sz="0" w:space="0" w:color="auto"/>
      </w:divBdr>
    </w:div>
    <w:div w:id="2077778445">
      <w:bodyDiv w:val="1"/>
      <w:marLeft w:val="0"/>
      <w:marRight w:val="0"/>
      <w:marTop w:val="0"/>
      <w:marBottom w:val="0"/>
      <w:divBdr>
        <w:top w:val="none" w:sz="0" w:space="0" w:color="auto"/>
        <w:left w:val="none" w:sz="0" w:space="0" w:color="auto"/>
        <w:bottom w:val="none" w:sz="0" w:space="0" w:color="auto"/>
        <w:right w:val="none" w:sz="0" w:space="0" w:color="auto"/>
      </w:divBdr>
    </w:div>
    <w:div w:id="2077823328">
      <w:bodyDiv w:val="1"/>
      <w:marLeft w:val="0"/>
      <w:marRight w:val="0"/>
      <w:marTop w:val="0"/>
      <w:marBottom w:val="0"/>
      <w:divBdr>
        <w:top w:val="none" w:sz="0" w:space="0" w:color="auto"/>
        <w:left w:val="none" w:sz="0" w:space="0" w:color="auto"/>
        <w:bottom w:val="none" w:sz="0" w:space="0" w:color="auto"/>
        <w:right w:val="none" w:sz="0" w:space="0" w:color="auto"/>
      </w:divBdr>
    </w:div>
    <w:div w:id="2077969078">
      <w:bodyDiv w:val="1"/>
      <w:marLeft w:val="0"/>
      <w:marRight w:val="0"/>
      <w:marTop w:val="0"/>
      <w:marBottom w:val="0"/>
      <w:divBdr>
        <w:top w:val="none" w:sz="0" w:space="0" w:color="auto"/>
        <w:left w:val="none" w:sz="0" w:space="0" w:color="auto"/>
        <w:bottom w:val="none" w:sz="0" w:space="0" w:color="auto"/>
        <w:right w:val="none" w:sz="0" w:space="0" w:color="auto"/>
      </w:divBdr>
    </w:div>
    <w:div w:id="2078475397">
      <w:bodyDiv w:val="1"/>
      <w:marLeft w:val="0"/>
      <w:marRight w:val="0"/>
      <w:marTop w:val="0"/>
      <w:marBottom w:val="0"/>
      <w:divBdr>
        <w:top w:val="none" w:sz="0" w:space="0" w:color="auto"/>
        <w:left w:val="none" w:sz="0" w:space="0" w:color="auto"/>
        <w:bottom w:val="none" w:sz="0" w:space="0" w:color="auto"/>
        <w:right w:val="none" w:sz="0" w:space="0" w:color="auto"/>
      </w:divBdr>
    </w:div>
    <w:div w:id="2078740640">
      <w:bodyDiv w:val="1"/>
      <w:marLeft w:val="0"/>
      <w:marRight w:val="0"/>
      <w:marTop w:val="0"/>
      <w:marBottom w:val="0"/>
      <w:divBdr>
        <w:top w:val="none" w:sz="0" w:space="0" w:color="auto"/>
        <w:left w:val="none" w:sz="0" w:space="0" w:color="auto"/>
        <w:bottom w:val="none" w:sz="0" w:space="0" w:color="auto"/>
        <w:right w:val="none" w:sz="0" w:space="0" w:color="auto"/>
      </w:divBdr>
    </w:div>
    <w:div w:id="2078748435">
      <w:bodyDiv w:val="1"/>
      <w:marLeft w:val="0"/>
      <w:marRight w:val="0"/>
      <w:marTop w:val="0"/>
      <w:marBottom w:val="0"/>
      <w:divBdr>
        <w:top w:val="none" w:sz="0" w:space="0" w:color="auto"/>
        <w:left w:val="none" w:sz="0" w:space="0" w:color="auto"/>
        <w:bottom w:val="none" w:sz="0" w:space="0" w:color="auto"/>
        <w:right w:val="none" w:sz="0" w:space="0" w:color="auto"/>
      </w:divBdr>
    </w:div>
    <w:div w:id="2079012707">
      <w:bodyDiv w:val="1"/>
      <w:marLeft w:val="0"/>
      <w:marRight w:val="0"/>
      <w:marTop w:val="0"/>
      <w:marBottom w:val="0"/>
      <w:divBdr>
        <w:top w:val="none" w:sz="0" w:space="0" w:color="auto"/>
        <w:left w:val="none" w:sz="0" w:space="0" w:color="auto"/>
        <w:bottom w:val="none" w:sz="0" w:space="0" w:color="auto"/>
        <w:right w:val="none" w:sz="0" w:space="0" w:color="auto"/>
      </w:divBdr>
    </w:div>
    <w:div w:id="2079016010">
      <w:bodyDiv w:val="1"/>
      <w:marLeft w:val="0"/>
      <w:marRight w:val="0"/>
      <w:marTop w:val="0"/>
      <w:marBottom w:val="0"/>
      <w:divBdr>
        <w:top w:val="none" w:sz="0" w:space="0" w:color="auto"/>
        <w:left w:val="none" w:sz="0" w:space="0" w:color="auto"/>
        <w:bottom w:val="none" w:sz="0" w:space="0" w:color="auto"/>
        <w:right w:val="none" w:sz="0" w:space="0" w:color="auto"/>
      </w:divBdr>
    </w:div>
    <w:div w:id="2079086752">
      <w:bodyDiv w:val="1"/>
      <w:marLeft w:val="0"/>
      <w:marRight w:val="0"/>
      <w:marTop w:val="0"/>
      <w:marBottom w:val="0"/>
      <w:divBdr>
        <w:top w:val="none" w:sz="0" w:space="0" w:color="auto"/>
        <w:left w:val="none" w:sz="0" w:space="0" w:color="auto"/>
        <w:bottom w:val="none" w:sz="0" w:space="0" w:color="auto"/>
        <w:right w:val="none" w:sz="0" w:space="0" w:color="auto"/>
      </w:divBdr>
    </w:div>
    <w:div w:id="2079161949">
      <w:bodyDiv w:val="1"/>
      <w:marLeft w:val="0"/>
      <w:marRight w:val="0"/>
      <w:marTop w:val="0"/>
      <w:marBottom w:val="0"/>
      <w:divBdr>
        <w:top w:val="none" w:sz="0" w:space="0" w:color="auto"/>
        <w:left w:val="none" w:sz="0" w:space="0" w:color="auto"/>
        <w:bottom w:val="none" w:sz="0" w:space="0" w:color="auto"/>
        <w:right w:val="none" w:sz="0" w:space="0" w:color="auto"/>
      </w:divBdr>
    </w:div>
    <w:div w:id="2079326466">
      <w:bodyDiv w:val="1"/>
      <w:marLeft w:val="0"/>
      <w:marRight w:val="0"/>
      <w:marTop w:val="0"/>
      <w:marBottom w:val="0"/>
      <w:divBdr>
        <w:top w:val="none" w:sz="0" w:space="0" w:color="auto"/>
        <w:left w:val="none" w:sz="0" w:space="0" w:color="auto"/>
        <w:bottom w:val="none" w:sz="0" w:space="0" w:color="auto"/>
        <w:right w:val="none" w:sz="0" w:space="0" w:color="auto"/>
      </w:divBdr>
    </w:div>
    <w:div w:id="2079402124">
      <w:bodyDiv w:val="1"/>
      <w:marLeft w:val="0"/>
      <w:marRight w:val="0"/>
      <w:marTop w:val="0"/>
      <w:marBottom w:val="0"/>
      <w:divBdr>
        <w:top w:val="none" w:sz="0" w:space="0" w:color="auto"/>
        <w:left w:val="none" w:sz="0" w:space="0" w:color="auto"/>
        <w:bottom w:val="none" w:sz="0" w:space="0" w:color="auto"/>
        <w:right w:val="none" w:sz="0" w:space="0" w:color="auto"/>
      </w:divBdr>
    </w:div>
    <w:div w:id="2079477489">
      <w:bodyDiv w:val="1"/>
      <w:marLeft w:val="0"/>
      <w:marRight w:val="0"/>
      <w:marTop w:val="0"/>
      <w:marBottom w:val="0"/>
      <w:divBdr>
        <w:top w:val="none" w:sz="0" w:space="0" w:color="auto"/>
        <w:left w:val="none" w:sz="0" w:space="0" w:color="auto"/>
        <w:bottom w:val="none" w:sz="0" w:space="0" w:color="auto"/>
        <w:right w:val="none" w:sz="0" w:space="0" w:color="auto"/>
      </w:divBdr>
    </w:div>
    <w:div w:id="2080327628">
      <w:bodyDiv w:val="1"/>
      <w:marLeft w:val="0"/>
      <w:marRight w:val="0"/>
      <w:marTop w:val="0"/>
      <w:marBottom w:val="0"/>
      <w:divBdr>
        <w:top w:val="none" w:sz="0" w:space="0" w:color="auto"/>
        <w:left w:val="none" w:sz="0" w:space="0" w:color="auto"/>
        <w:bottom w:val="none" w:sz="0" w:space="0" w:color="auto"/>
        <w:right w:val="none" w:sz="0" w:space="0" w:color="auto"/>
      </w:divBdr>
    </w:div>
    <w:div w:id="2080517977">
      <w:bodyDiv w:val="1"/>
      <w:marLeft w:val="0"/>
      <w:marRight w:val="0"/>
      <w:marTop w:val="0"/>
      <w:marBottom w:val="0"/>
      <w:divBdr>
        <w:top w:val="none" w:sz="0" w:space="0" w:color="auto"/>
        <w:left w:val="none" w:sz="0" w:space="0" w:color="auto"/>
        <w:bottom w:val="none" w:sz="0" w:space="0" w:color="auto"/>
        <w:right w:val="none" w:sz="0" w:space="0" w:color="auto"/>
      </w:divBdr>
    </w:div>
    <w:div w:id="2080592173">
      <w:bodyDiv w:val="1"/>
      <w:marLeft w:val="0"/>
      <w:marRight w:val="0"/>
      <w:marTop w:val="0"/>
      <w:marBottom w:val="0"/>
      <w:divBdr>
        <w:top w:val="none" w:sz="0" w:space="0" w:color="auto"/>
        <w:left w:val="none" w:sz="0" w:space="0" w:color="auto"/>
        <w:bottom w:val="none" w:sz="0" w:space="0" w:color="auto"/>
        <w:right w:val="none" w:sz="0" w:space="0" w:color="auto"/>
      </w:divBdr>
    </w:div>
    <w:div w:id="2080706473">
      <w:bodyDiv w:val="1"/>
      <w:marLeft w:val="0"/>
      <w:marRight w:val="0"/>
      <w:marTop w:val="0"/>
      <w:marBottom w:val="0"/>
      <w:divBdr>
        <w:top w:val="none" w:sz="0" w:space="0" w:color="auto"/>
        <w:left w:val="none" w:sz="0" w:space="0" w:color="auto"/>
        <w:bottom w:val="none" w:sz="0" w:space="0" w:color="auto"/>
        <w:right w:val="none" w:sz="0" w:space="0" w:color="auto"/>
      </w:divBdr>
    </w:div>
    <w:div w:id="2081293287">
      <w:bodyDiv w:val="1"/>
      <w:marLeft w:val="0"/>
      <w:marRight w:val="0"/>
      <w:marTop w:val="0"/>
      <w:marBottom w:val="0"/>
      <w:divBdr>
        <w:top w:val="none" w:sz="0" w:space="0" w:color="auto"/>
        <w:left w:val="none" w:sz="0" w:space="0" w:color="auto"/>
        <w:bottom w:val="none" w:sz="0" w:space="0" w:color="auto"/>
        <w:right w:val="none" w:sz="0" w:space="0" w:color="auto"/>
      </w:divBdr>
    </w:div>
    <w:div w:id="2081293289">
      <w:bodyDiv w:val="1"/>
      <w:marLeft w:val="0"/>
      <w:marRight w:val="0"/>
      <w:marTop w:val="0"/>
      <w:marBottom w:val="0"/>
      <w:divBdr>
        <w:top w:val="none" w:sz="0" w:space="0" w:color="auto"/>
        <w:left w:val="none" w:sz="0" w:space="0" w:color="auto"/>
        <w:bottom w:val="none" w:sz="0" w:space="0" w:color="auto"/>
        <w:right w:val="none" w:sz="0" w:space="0" w:color="auto"/>
      </w:divBdr>
    </w:div>
    <w:div w:id="2081367090">
      <w:bodyDiv w:val="1"/>
      <w:marLeft w:val="0"/>
      <w:marRight w:val="0"/>
      <w:marTop w:val="0"/>
      <w:marBottom w:val="0"/>
      <w:divBdr>
        <w:top w:val="none" w:sz="0" w:space="0" w:color="auto"/>
        <w:left w:val="none" w:sz="0" w:space="0" w:color="auto"/>
        <w:bottom w:val="none" w:sz="0" w:space="0" w:color="auto"/>
        <w:right w:val="none" w:sz="0" w:space="0" w:color="auto"/>
      </w:divBdr>
    </w:div>
    <w:div w:id="2081443449">
      <w:bodyDiv w:val="1"/>
      <w:marLeft w:val="0"/>
      <w:marRight w:val="0"/>
      <w:marTop w:val="0"/>
      <w:marBottom w:val="0"/>
      <w:divBdr>
        <w:top w:val="none" w:sz="0" w:space="0" w:color="auto"/>
        <w:left w:val="none" w:sz="0" w:space="0" w:color="auto"/>
        <w:bottom w:val="none" w:sz="0" w:space="0" w:color="auto"/>
        <w:right w:val="none" w:sz="0" w:space="0" w:color="auto"/>
      </w:divBdr>
    </w:div>
    <w:div w:id="2081751890">
      <w:bodyDiv w:val="1"/>
      <w:marLeft w:val="0"/>
      <w:marRight w:val="0"/>
      <w:marTop w:val="0"/>
      <w:marBottom w:val="0"/>
      <w:divBdr>
        <w:top w:val="none" w:sz="0" w:space="0" w:color="auto"/>
        <w:left w:val="none" w:sz="0" w:space="0" w:color="auto"/>
        <w:bottom w:val="none" w:sz="0" w:space="0" w:color="auto"/>
        <w:right w:val="none" w:sz="0" w:space="0" w:color="auto"/>
      </w:divBdr>
    </w:div>
    <w:div w:id="2082286756">
      <w:bodyDiv w:val="1"/>
      <w:marLeft w:val="0"/>
      <w:marRight w:val="0"/>
      <w:marTop w:val="0"/>
      <w:marBottom w:val="0"/>
      <w:divBdr>
        <w:top w:val="none" w:sz="0" w:space="0" w:color="auto"/>
        <w:left w:val="none" w:sz="0" w:space="0" w:color="auto"/>
        <w:bottom w:val="none" w:sz="0" w:space="0" w:color="auto"/>
        <w:right w:val="none" w:sz="0" w:space="0" w:color="auto"/>
      </w:divBdr>
    </w:div>
    <w:div w:id="2082292194">
      <w:bodyDiv w:val="1"/>
      <w:marLeft w:val="0"/>
      <w:marRight w:val="0"/>
      <w:marTop w:val="0"/>
      <w:marBottom w:val="0"/>
      <w:divBdr>
        <w:top w:val="none" w:sz="0" w:space="0" w:color="auto"/>
        <w:left w:val="none" w:sz="0" w:space="0" w:color="auto"/>
        <w:bottom w:val="none" w:sz="0" w:space="0" w:color="auto"/>
        <w:right w:val="none" w:sz="0" w:space="0" w:color="auto"/>
      </w:divBdr>
    </w:div>
    <w:div w:id="2082407080">
      <w:bodyDiv w:val="1"/>
      <w:marLeft w:val="0"/>
      <w:marRight w:val="0"/>
      <w:marTop w:val="0"/>
      <w:marBottom w:val="0"/>
      <w:divBdr>
        <w:top w:val="none" w:sz="0" w:space="0" w:color="auto"/>
        <w:left w:val="none" w:sz="0" w:space="0" w:color="auto"/>
        <w:bottom w:val="none" w:sz="0" w:space="0" w:color="auto"/>
        <w:right w:val="none" w:sz="0" w:space="0" w:color="auto"/>
      </w:divBdr>
    </w:div>
    <w:div w:id="2082439044">
      <w:bodyDiv w:val="1"/>
      <w:marLeft w:val="0"/>
      <w:marRight w:val="0"/>
      <w:marTop w:val="0"/>
      <w:marBottom w:val="0"/>
      <w:divBdr>
        <w:top w:val="none" w:sz="0" w:space="0" w:color="auto"/>
        <w:left w:val="none" w:sz="0" w:space="0" w:color="auto"/>
        <w:bottom w:val="none" w:sz="0" w:space="0" w:color="auto"/>
        <w:right w:val="none" w:sz="0" w:space="0" w:color="auto"/>
      </w:divBdr>
    </w:div>
    <w:div w:id="2082480604">
      <w:bodyDiv w:val="1"/>
      <w:marLeft w:val="0"/>
      <w:marRight w:val="0"/>
      <w:marTop w:val="0"/>
      <w:marBottom w:val="0"/>
      <w:divBdr>
        <w:top w:val="none" w:sz="0" w:space="0" w:color="auto"/>
        <w:left w:val="none" w:sz="0" w:space="0" w:color="auto"/>
        <w:bottom w:val="none" w:sz="0" w:space="0" w:color="auto"/>
        <w:right w:val="none" w:sz="0" w:space="0" w:color="auto"/>
      </w:divBdr>
    </w:div>
    <w:div w:id="2082603623">
      <w:bodyDiv w:val="1"/>
      <w:marLeft w:val="0"/>
      <w:marRight w:val="0"/>
      <w:marTop w:val="0"/>
      <w:marBottom w:val="0"/>
      <w:divBdr>
        <w:top w:val="none" w:sz="0" w:space="0" w:color="auto"/>
        <w:left w:val="none" w:sz="0" w:space="0" w:color="auto"/>
        <w:bottom w:val="none" w:sz="0" w:space="0" w:color="auto"/>
        <w:right w:val="none" w:sz="0" w:space="0" w:color="auto"/>
      </w:divBdr>
    </w:div>
    <w:div w:id="2082631440">
      <w:bodyDiv w:val="1"/>
      <w:marLeft w:val="0"/>
      <w:marRight w:val="0"/>
      <w:marTop w:val="0"/>
      <w:marBottom w:val="0"/>
      <w:divBdr>
        <w:top w:val="none" w:sz="0" w:space="0" w:color="auto"/>
        <w:left w:val="none" w:sz="0" w:space="0" w:color="auto"/>
        <w:bottom w:val="none" w:sz="0" w:space="0" w:color="auto"/>
        <w:right w:val="none" w:sz="0" w:space="0" w:color="auto"/>
      </w:divBdr>
    </w:div>
    <w:div w:id="2082747601">
      <w:bodyDiv w:val="1"/>
      <w:marLeft w:val="0"/>
      <w:marRight w:val="0"/>
      <w:marTop w:val="0"/>
      <w:marBottom w:val="0"/>
      <w:divBdr>
        <w:top w:val="none" w:sz="0" w:space="0" w:color="auto"/>
        <w:left w:val="none" w:sz="0" w:space="0" w:color="auto"/>
        <w:bottom w:val="none" w:sz="0" w:space="0" w:color="auto"/>
        <w:right w:val="none" w:sz="0" w:space="0" w:color="auto"/>
      </w:divBdr>
    </w:div>
    <w:div w:id="2083138274">
      <w:bodyDiv w:val="1"/>
      <w:marLeft w:val="0"/>
      <w:marRight w:val="0"/>
      <w:marTop w:val="0"/>
      <w:marBottom w:val="0"/>
      <w:divBdr>
        <w:top w:val="none" w:sz="0" w:space="0" w:color="auto"/>
        <w:left w:val="none" w:sz="0" w:space="0" w:color="auto"/>
        <w:bottom w:val="none" w:sz="0" w:space="0" w:color="auto"/>
        <w:right w:val="none" w:sz="0" w:space="0" w:color="auto"/>
      </w:divBdr>
    </w:div>
    <w:div w:id="2083522484">
      <w:bodyDiv w:val="1"/>
      <w:marLeft w:val="0"/>
      <w:marRight w:val="0"/>
      <w:marTop w:val="0"/>
      <w:marBottom w:val="0"/>
      <w:divBdr>
        <w:top w:val="none" w:sz="0" w:space="0" w:color="auto"/>
        <w:left w:val="none" w:sz="0" w:space="0" w:color="auto"/>
        <w:bottom w:val="none" w:sz="0" w:space="0" w:color="auto"/>
        <w:right w:val="none" w:sz="0" w:space="0" w:color="auto"/>
      </w:divBdr>
    </w:div>
    <w:div w:id="2083597877">
      <w:bodyDiv w:val="1"/>
      <w:marLeft w:val="0"/>
      <w:marRight w:val="0"/>
      <w:marTop w:val="0"/>
      <w:marBottom w:val="0"/>
      <w:divBdr>
        <w:top w:val="none" w:sz="0" w:space="0" w:color="auto"/>
        <w:left w:val="none" w:sz="0" w:space="0" w:color="auto"/>
        <w:bottom w:val="none" w:sz="0" w:space="0" w:color="auto"/>
        <w:right w:val="none" w:sz="0" w:space="0" w:color="auto"/>
      </w:divBdr>
    </w:div>
    <w:div w:id="2083599415">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3945868">
      <w:bodyDiv w:val="1"/>
      <w:marLeft w:val="0"/>
      <w:marRight w:val="0"/>
      <w:marTop w:val="0"/>
      <w:marBottom w:val="0"/>
      <w:divBdr>
        <w:top w:val="none" w:sz="0" w:space="0" w:color="auto"/>
        <w:left w:val="none" w:sz="0" w:space="0" w:color="auto"/>
        <w:bottom w:val="none" w:sz="0" w:space="0" w:color="auto"/>
        <w:right w:val="none" w:sz="0" w:space="0" w:color="auto"/>
      </w:divBdr>
    </w:div>
    <w:div w:id="2084328489">
      <w:bodyDiv w:val="1"/>
      <w:marLeft w:val="0"/>
      <w:marRight w:val="0"/>
      <w:marTop w:val="0"/>
      <w:marBottom w:val="0"/>
      <w:divBdr>
        <w:top w:val="none" w:sz="0" w:space="0" w:color="auto"/>
        <w:left w:val="none" w:sz="0" w:space="0" w:color="auto"/>
        <w:bottom w:val="none" w:sz="0" w:space="0" w:color="auto"/>
        <w:right w:val="none" w:sz="0" w:space="0" w:color="auto"/>
      </w:divBdr>
    </w:div>
    <w:div w:id="2084448795">
      <w:bodyDiv w:val="1"/>
      <w:marLeft w:val="0"/>
      <w:marRight w:val="0"/>
      <w:marTop w:val="0"/>
      <w:marBottom w:val="0"/>
      <w:divBdr>
        <w:top w:val="none" w:sz="0" w:space="0" w:color="auto"/>
        <w:left w:val="none" w:sz="0" w:space="0" w:color="auto"/>
        <w:bottom w:val="none" w:sz="0" w:space="0" w:color="auto"/>
        <w:right w:val="none" w:sz="0" w:space="0" w:color="auto"/>
      </w:divBdr>
    </w:div>
    <w:div w:id="2084834877">
      <w:bodyDiv w:val="1"/>
      <w:marLeft w:val="0"/>
      <w:marRight w:val="0"/>
      <w:marTop w:val="0"/>
      <w:marBottom w:val="0"/>
      <w:divBdr>
        <w:top w:val="none" w:sz="0" w:space="0" w:color="auto"/>
        <w:left w:val="none" w:sz="0" w:space="0" w:color="auto"/>
        <w:bottom w:val="none" w:sz="0" w:space="0" w:color="auto"/>
        <w:right w:val="none" w:sz="0" w:space="0" w:color="auto"/>
      </w:divBdr>
    </w:div>
    <w:div w:id="2084837395">
      <w:bodyDiv w:val="1"/>
      <w:marLeft w:val="0"/>
      <w:marRight w:val="0"/>
      <w:marTop w:val="0"/>
      <w:marBottom w:val="0"/>
      <w:divBdr>
        <w:top w:val="none" w:sz="0" w:space="0" w:color="auto"/>
        <w:left w:val="none" w:sz="0" w:space="0" w:color="auto"/>
        <w:bottom w:val="none" w:sz="0" w:space="0" w:color="auto"/>
        <w:right w:val="none" w:sz="0" w:space="0" w:color="auto"/>
      </w:divBdr>
    </w:div>
    <w:div w:id="2085032214">
      <w:bodyDiv w:val="1"/>
      <w:marLeft w:val="0"/>
      <w:marRight w:val="0"/>
      <w:marTop w:val="0"/>
      <w:marBottom w:val="0"/>
      <w:divBdr>
        <w:top w:val="none" w:sz="0" w:space="0" w:color="auto"/>
        <w:left w:val="none" w:sz="0" w:space="0" w:color="auto"/>
        <w:bottom w:val="none" w:sz="0" w:space="0" w:color="auto"/>
        <w:right w:val="none" w:sz="0" w:space="0" w:color="auto"/>
      </w:divBdr>
    </w:div>
    <w:div w:id="2085181839">
      <w:bodyDiv w:val="1"/>
      <w:marLeft w:val="0"/>
      <w:marRight w:val="0"/>
      <w:marTop w:val="0"/>
      <w:marBottom w:val="0"/>
      <w:divBdr>
        <w:top w:val="none" w:sz="0" w:space="0" w:color="auto"/>
        <w:left w:val="none" w:sz="0" w:space="0" w:color="auto"/>
        <w:bottom w:val="none" w:sz="0" w:space="0" w:color="auto"/>
        <w:right w:val="none" w:sz="0" w:space="0" w:color="auto"/>
      </w:divBdr>
    </w:div>
    <w:div w:id="2085297271">
      <w:bodyDiv w:val="1"/>
      <w:marLeft w:val="0"/>
      <w:marRight w:val="0"/>
      <w:marTop w:val="0"/>
      <w:marBottom w:val="0"/>
      <w:divBdr>
        <w:top w:val="none" w:sz="0" w:space="0" w:color="auto"/>
        <w:left w:val="none" w:sz="0" w:space="0" w:color="auto"/>
        <w:bottom w:val="none" w:sz="0" w:space="0" w:color="auto"/>
        <w:right w:val="none" w:sz="0" w:space="0" w:color="auto"/>
      </w:divBdr>
    </w:div>
    <w:div w:id="2085376093">
      <w:bodyDiv w:val="1"/>
      <w:marLeft w:val="0"/>
      <w:marRight w:val="0"/>
      <w:marTop w:val="0"/>
      <w:marBottom w:val="0"/>
      <w:divBdr>
        <w:top w:val="none" w:sz="0" w:space="0" w:color="auto"/>
        <w:left w:val="none" w:sz="0" w:space="0" w:color="auto"/>
        <w:bottom w:val="none" w:sz="0" w:space="0" w:color="auto"/>
        <w:right w:val="none" w:sz="0" w:space="0" w:color="auto"/>
      </w:divBdr>
    </w:div>
    <w:div w:id="2085565620">
      <w:bodyDiv w:val="1"/>
      <w:marLeft w:val="0"/>
      <w:marRight w:val="0"/>
      <w:marTop w:val="0"/>
      <w:marBottom w:val="0"/>
      <w:divBdr>
        <w:top w:val="none" w:sz="0" w:space="0" w:color="auto"/>
        <w:left w:val="none" w:sz="0" w:space="0" w:color="auto"/>
        <w:bottom w:val="none" w:sz="0" w:space="0" w:color="auto"/>
        <w:right w:val="none" w:sz="0" w:space="0" w:color="auto"/>
      </w:divBdr>
    </w:div>
    <w:div w:id="2085636635">
      <w:bodyDiv w:val="1"/>
      <w:marLeft w:val="0"/>
      <w:marRight w:val="0"/>
      <w:marTop w:val="0"/>
      <w:marBottom w:val="0"/>
      <w:divBdr>
        <w:top w:val="none" w:sz="0" w:space="0" w:color="auto"/>
        <w:left w:val="none" w:sz="0" w:space="0" w:color="auto"/>
        <w:bottom w:val="none" w:sz="0" w:space="0" w:color="auto"/>
        <w:right w:val="none" w:sz="0" w:space="0" w:color="auto"/>
      </w:divBdr>
    </w:div>
    <w:div w:id="2085639165">
      <w:bodyDiv w:val="1"/>
      <w:marLeft w:val="0"/>
      <w:marRight w:val="0"/>
      <w:marTop w:val="0"/>
      <w:marBottom w:val="0"/>
      <w:divBdr>
        <w:top w:val="none" w:sz="0" w:space="0" w:color="auto"/>
        <w:left w:val="none" w:sz="0" w:space="0" w:color="auto"/>
        <w:bottom w:val="none" w:sz="0" w:space="0" w:color="auto"/>
        <w:right w:val="none" w:sz="0" w:space="0" w:color="auto"/>
      </w:divBdr>
    </w:div>
    <w:div w:id="2086217825">
      <w:bodyDiv w:val="1"/>
      <w:marLeft w:val="0"/>
      <w:marRight w:val="0"/>
      <w:marTop w:val="0"/>
      <w:marBottom w:val="0"/>
      <w:divBdr>
        <w:top w:val="none" w:sz="0" w:space="0" w:color="auto"/>
        <w:left w:val="none" w:sz="0" w:space="0" w:color="auto"/>
        <w:bottom w:val="none" w:sz="0" w:space="0" w:color="auto"/>
        <w:right w:val="none" w:sz="0" w:space="0" w:color="auto"/>
      </w:divBdr>
    </w:div>
    <w:div w:id="2086221585">
      <w:bodyDiv w:val="1"/>
      <w:marLeft w:val="0"/>
      <w:marRight w:val="0"/>
      <w:marTop w:val="0"/>
      <w:marBottom w:val="0"/>
      <w:divBdr>
        <w:top w:val="none" w:sz="0" w:space="0" w:color="auto"/>
        <w:left w:val="none" w:sz="0" w:space="0" w:color="auto"/>
        <w:bottom w:val="none" w:sz="0" w:space="0" w:color="auto"/>
        <w:right w:val="none" w:sz="0" w:space="0" w:color="auto"/>
      </w:divBdr>
    </w:div>
    <w:div w:id="2086225786">
      <w:bodyDiv w:val="1"/>
      <w:marLeft w:val="0"/>
      <w:marRight w:val="0"/>
      <w:marTop w:val="0"/>
      <w:marBottom w:val="0"/>
      <w:divBdr>
        <w:top w:val="none" w:sz="0" w:space="0" w:color="auto"/>
        <w:left w:val="none" w:sz="0" w:space="0" w:color="auto"/>
        <w:bottom w:val="none" w:sz="0" w:space="0" w:color="auto"/>
        <w:right w:val="none" w:sz="0" w:space="0" w:color="auto"/>
      </w:divBdr>
    </w:div>
    <w:div w:id="2086341586">
      <w:bodyDiv w:val="1"/>
      <w:marLeft w:val="0"/>
      <w:marRight w:val="0"/>
      <w:marTop w:val="0"/>
      <w:marBottom w:val="0"/>
      <w:divBdr>
        <w:top w:val="none" w:sz="0" w:space="0" w:color="auto"/>
        <w:left w:val="none" w:sz="0" w:space="0" w:color="auto"/>
        <w:bottom w:val="none" w:sz="0" w:space="0" w:color="auto"/>
        <w:right w:val="none" w:sz="0" w:space="0" w:color="auto"/>
      </w:divBdr>
    </w:div>
    <w:div w:id="2086409956">
      <w:bodyDiv w:val="1"/>
      <w:marLeft w:val="0"/>
      <w:marRight w:val="0"/>
      <w:marTop w:val="0"/>
      <w:marBottom w:val="0"/>
      <w:divBdr>
        <w:top w:val="none" w:sz="0" w:space="0" w:color="auto"/>
        <w:left w:val="none" w:sz="0" w:space="0" w:color="auto"/>
        <w:bottom w:val="none" w:sz="0" w:space="0" w:color="auto"/>
        <w:right w:val="none" w:sz="0" w:space="0" w:color="auto"/>
      </w:divBdr>
    </w:div>
    <w:div w:id="2086684095">
      <w:bodyDiv w:val="1"/>
      <w:marLeft w:val="0"/>
      <w:marRight w:val="0"/>
      <w:marTop w:val="0"/>
      <w:marBottom w:val="0"/>
      <w:divBdr>
        <w:top w:val="none" w:sz="0" w:space="0" w:color="auto"/>
        <w:left w:val="none" w:sz="0" w:space="0" w:color="auto"/>
        <w:bottom w:val="none" w:sz="0" w:space="0" w:color="auto"/>
        <w:right w:val="none" w:sz="0" w:space="0" w:color="auto"/>
      </w:divBdr>
    </w:div>
    <w:div w:id="2087219706">
      <w:bodyDiv w:val="1"/>
      <w:marLeft w:val="0"/>
      <w:marRight w:val="0"/>
      <w:marTop w:val="0"/>
      <w:marBottom w:val="0"/>
      <w:divBdr>
        <w:top w:val="none" w:sz="0" w:space="0" w:color="auto"/>
        <w:left w:val="none" w:sz="0" w:space="0" w:color="auto"/>
        <w:bottom w:val="none" w:sz="0" w:space="0" w:color="auto"/>
        <w:right w:val="none" w:sz="0" w:space="0" w:color="auto"/>
      </w:divBdr>
    </w:div>
    <w:div w:id="2087338740">
      <w:bodyDiv w:val="1"/>
      <w:marLeft w:val="0"/>
      <w:marRight w:val="0"/>
      <w:marTop w:val="0"/>
      <w:marBottom w:val="0"/>
      <w:divBdr>
        <w:top w:val="none" w:sz="0" w:space="0" w:color="auto"/>
        <w:left w:val="none" w:sz="0" w:space="0" w:color="auto"/>
        <w:bottom w:val="none" w:sz="0" w:space="0" w:color="auto"/>
        <w:right w:val="none" w:sz="0" w:space="0" w:color="auto"/>
      </w:divBdr>
    </w:div>
    <w:div w:id="2087453933">
      <w:bodyDiv w:val="1"/>
      <w:marLeft w:val="0"/>
      <w:marRight w:val="0"/>
      <w:marTop w:val="0"/>
      <w:marBottom w:val="0"/>
      <w:divBdr>
        <w:top w:val="none" w:sz="0" w:space="0" w:color="auto"/>
        <w:left w:val="none" w:sz="0" w:space="0" w:color="auto"/>
        <w:bottom w:val="none" w:sz="0" w:space="0" w:color="auto"/>
        <w:right w:val="none" w:sz="0" w:space="0" w:color="auto"/>
      </w:divBdr>
    </w:div>
    <w:div w:id="2087535062">
      <w:bodyDiv w:val="1"/>
      <w:marLeft w:val="0"/>
      <w:marRight w:val="0"/>
      <w:marTop w:val="0"/>
      <w:marBottom w:val="0"/>
      <w:divBdr>
        <w:top w:val="none" w:sz="0" w:space="0" w:color="auto"/>
        <w:left w:val="none" w:sz="0" w:space="0" w:color="auto"/>
        <w:bottom w:val="none" w:sz="0" w:space="0" w:color="auto"/>
        <w:right w:val="none" w:sz="0" w:space="0" w:color="auto"/>
      </w:divBdr>
    </w:div>
    <w:div w:id="2087605214">
      <w:bodyDiv w:val="1"/>
      <w:marLeft w:val="0"/>
      <w:marRight w:val="0"/>
      <w:marTop w:val="0"/>
      <w:marBottom w:val="0"/>
      <w:divBdr>
        <w:top w:val="none" w:sz="0" w:space="0" w:color="auto"/>
        <w:left w:val="none" w:sz="0" w:space="0" w:color="auto"/>
        <w:bottom w:val="none" w:sz="0" w:space="0" w:color="auto"/>
        <w:right w:val="none" w:sz="0" w:space="0" w:color="auto"/>
      </w:divBdr>
    </w:div>
    <w:div w:id="2087606976">
      <w:bodyDiv w:val="1"/>
      <w:marLeft w:val="0"/>
      <w:marRight w:val="0"/>
      <w:marTop w:val="0"/>
      <w:marBottom w:val="0"/>
      <w:divBdr>
        <w:top w:val="none" w:sz="0" w:space="0" w:color="auto"/>
        <w:left w:val="none" w:sz="0" w:space="0" w:color="auto"/>
        <w:bottom w:val="none" w:sz="0" w:space="0" w:color="auto"/>
        <w:right w:val="none" w:sz="0" w:space="0" w:color="auto"/>
      </w:divBdr>
    </w:div>
    <w:div w:id="2087988872">
      <w:bodyDiv w:val="1"/>
      <w:marLeft w:val="0"/>
      <w:marRight w:val="0"/>
      <w:marTop w:val="0"/>
      <w:marBottom w:val="0"/>
      <w:divBdr>
        <w:top w:val="none" w:sz="0" w:space="0" w:color="auto"/>
        <w:left w:val="none" w:sz="0" w:space="0" w:color="auto"/>
        <w:bottom w:val="none" w:sz="0" w:space="0" w:color="auto"/>
        <w:right w:val="none" w:sz="0" w:space="0" w:color="auto"/>
      </w:divBdr>
    </w:div>
    <w:div w:id="2088182614">
      <w:bodyDiv w:val="1"/>
      <w:marLeft w:val="0"/>
      <w:marRight w:val="0"/>
      <w:marTop w:val="0"/>
      <w:marBottom w:val="0"/>
      <w:divBdr>
        <w:top w:val="none" w:sz="0" w:space="0" w:color="auto"/>
        <w:left w:val="none" w:sz="0" w:space="0" w:color="auto"/>
        <w:bottom w:val="none" w:sz="0" w:space="0" w:color="auto"/>
        <w:right w:val="none" w:sz="0" w:space="0" w:color="auto"/>
      </w:divBdr>
    </w:div>
    <w:div w:id="2088308245">
      <w:bodyDiv w:val="1"/>
      <w:marLeft w:val="0"/>
      <w:marRight w:val="0"/>
      <w:marTop w:val="0"/>
      <w:marBottom w:val="0"/>
      <w:divBdr>
        <w:top w:val="none" w:sz="0" w:space="0" w:color="auto"/>
        <w:left w:val="none" w:sz="0" w:space="0" w:color="auto"/>
        <w:bottom w:val="none" w:sz="0" w:space="0" w:color="auto"/>
        <w:right w:val="none" w:sz="0" w:space="0" w:color="auto"/>
      </w:divBdr>
    </w:div>
    <w:div w:id="2088377177">
      <w:bodyDiv w:val="1"/>
      <w:marLeft w:val="0"/>
      <w:marRight w:val="0"/>
      <w:marTop w:val="0"/>
      <w:marBottom w:val="0"/>
      <w:divBdr>
        <w:top w:val="none" w:sz="0" w:space="0" w:color="auto"/>
        <w:left w:val="none" w:sz="0" w:space="0" w:color="auto"/>
        <w:bottom w:val="none" w:sz="0" w:space="0" w:color="auto"/>
        <w:right w:val="none" w:sz="0" w:space="0" w:color="auto"/>
      </w:divBdr>
    </w:div>
    <w:div w:id="2088532024">
      <w:bodyDiv w:val="1"/>
      <w:marLeft w:val="0"/>
      <w:marRight w:val="0"/>
      <w:marTop w:val="0"/>
      <w:marBottom w:val="0"/>
      <w:divBdr>
        <w:top w:val="none" w:sz="0" w:space="0" w:color="auto"/>
        <w:left w:val="none" w:sz="0" w:space="0" w:color="auto"/>
        <w:bottom w:val="none" w:sz="0" w:space="0" w:color="auto"/>
        <w:right w:val="none" w:sz="0" w:space="0" w:color="auto"/>
      </w:divBdr>
    </w:div>
    <w:div w:id="2088652150">
      <w:bodyDiv w:val="1"/>
      <w:marLeft w:val="0"/>
      <w:marRight w:val="0"/>
      <w:marTop w:val="0"/>
      <w:marBottom w:val="0"/>
      <w:divBdr>
        <w:top w:val="none" w:sz="0" w:space="0" w:color="auto"/>
        <w:left w:val="none" w:sz="0" w:space="0" w:color="auto"/>
        <w:bottom w:val="none" w:sz="0" w:space="0" w:color="auto"/>
        <w:right w:val="none" w:sz="0" w:space="0" w:color="auto"/>
      </w:divBdr>
    </w:div>
    <w:div w:id="2088769753">
      <w:bodyDiv w:val="1"/>
      <w:marLeft w:val="0"/>
      <w:marRight w:val="0"/>
      <w:marTop w:val="0"/>
      <w:marBottom w:val="0"/>
      <w:divBdr>
        <w:top w:val="none" w:sz="0" w:space="0" w:color="auto"/>
        <w:left w:val="none" w:sz="0" w:space="0" w:color="auto"/>
        <w:bottom w:val="none" w:sz="0" w:space="0" w:color="auto"/>
        <w:right w:val="none" w:sz="0" w:space="0" w:color="auto"/>
      </w:divBdr>
    </w:div>
    <w:div w:id="2088838833">
      <w:bodyDiv w:val="1"/>
      <w:marLeft w:val="0"/>
      <w:marRight w:val="0"/>
      <w:marTop w:val="0"/>
      <w:marBottom w:val="0"/>
      <w:divBdr>
        <w:top w:val="none" w:sz="0" w:space="0" w:color="auto"/>
        <w:left w:val="none" w:sz="0" w:space="0" w:color="auto"/>
        <w:bottom w:val="none" w:sz="0" w:space="0" w:color="auto"/>
        <w:right w:val="none" w:sz="0" w:space="0" w:color="auto"/>
      </w:divBdr>
    </w:div>
    <w:div w:id="2088916009">
      <w:bodyDiv w:val="1"/>
      <w:marLeft w:val="0"/>
      <w:marRight w:val="0"/>
      <w:marTop w:val="0"/>
      <w:marBottom w:val="0"/>
      <w:divBdr>
        <w:top w:val="none" w:sz="0" w:space="0" w:color="auto"/>
        <w:left w:val="none" w:sz="0" w:space="0" w:color="auto"/>
        <w:bottom w:val="none" w:sz="0" w:space="0" w:color="auto"/>
        <w:right w:val="none" w:sz="0" w:space="0" w:color="auto"/>
      </w:divBdr>
    </w:div>
    <w:div w:id="2088920181">
      <w:bodyDiv w:val="1"/>
      <w:marLeft w:val="0"/>
      <w:marRight w:val="0"/>
      <w:marTop w:val="0"/>
      <w:marBottom w:val="0"/>
      <w:divBdr>
        <w:top w:val="none" w:sz="0" w:space="0" w:color="auto"/>
        <w:left w:val="none" w:sz="0" w:space="0" w:color="auto"/>
        <w:bottom w:val="none" w:sz="0" w:space="0" w:color="auto"/>
        <w:right w:val="none" w:sz="0" w:space="0" w:color="auto"/>
      </w:divBdr>
    </w:div>
    <w:div w:id="2089301727">
      <w:bodyDiv w:val="1"/>
      <w:marLeft w:val="0"/>
      <w:marRight w:val="0"/>
      <w:marTop w:val="0"/>
      <w:marBottom w:val="0"/>
      <w:divBdr>
        <w:top w:val="none" w:sz="0" w:space="0" w:color="auto"/>
        <w:left w:val="none" w:sz="0" w:space="0" w:color="auto"/>
        <w:bottom w:val="none" w:sz="0" w:space="0" w:color="auto"/>
        <w:right w:val="none" w:sz="0" w:space="0" w:color="auto"/>
      </w:divBdr>
    </w:div>
    <w:div w:id="2089956904">
      <w:bodyDiv w:val="1"/>
      <w:marLeft w:val="0"/>
      <w:marRight w:val="0"/>
      <w:marTop w:val="0"/>
      <w:marBottom w:val="0"/>
      <w:divBdr>
        <w:top w:val="none" w:sz="0" w:space="0" w:color="auto"/>
        <w:left w:val="none" w:sz="0" w:space="0" w:color="auto"/>
        <w:bottom w:val="none" w:sz="0" w:space="0" w:color="auto"/>
        <w:right w:val="none" w:sz="0" w:space="0" w:color="auto"/>
      </w:divBdr>
    </w:div>
    <w:div w:id="2090033846">
      <w:bodyDiv w:val="1"/>
      <w:marLeft w:val="0"/>
      <w:marRight w:val="0"/>
      <w:marTop w:val="0"/>
      <w:marBottom w:val="0"/>
      <w:divBdr>
        <w:top w:val="none" w:sz="0" w:space="0" w:color="auto"/>
        <w:left w:val="none" w:sz="0" w:space="0" w:color="auto"/>
        <w:bottom w:val="none" w:sz="0" w:space="0" w:color="auto"/>
        <w:right w:val="none" w:sz="0" w:space="0" w:color="auto"/>
      </w:divBdr>
    </w:div>
    <w:div w:id="2090152038">
      <w:bodyDiv w:val="1"/>
      <w:marLeft w:val="0"/>
      <w:marRight w:val="0"/>
      <w:marTop w:val="0"/>
      <w:marBottom w:val="0"/>
      <w:divBdr>
        <w:top w:val="none" w:sz="0" w:space="0" w:color="auto"/>
        <w:left w:val="none" w:sz="0" w:space="0" w:color="auto"/>
        <w:bottom w:val="none" w:sz="0" w:space="0" w:color="auto"/>
        <w:right w:val="none" w:sz="0" w:space="0" w:color="auto"/>
      </w:divBdr>
    </w:div>
    <w:div w:id="2090230307">
      <w:bodyDiv w:val="1"/>
      <w:marLeft w:val="0"/>
      <w:marRight w:val="0"/>
      <w:marTop w:val="0"/>
      <w:marBottom w:val="0"/>
      <w:divBdr>
        <w:top w:val="none" w:sz="0" w:space="0" w:color="auto"/>
        <w:left w:val="none" w:sz="0" w:space="0" w:color="auto"/>
        <w:bottom w:val="none" w:sz="0" w:space="0" w:color="auto"/>
        <w:right w:val="none" w:sz="0" w:space="0" w:color="auto"/>
      </w:divBdr>
    </w:div>
    <w:div w:id="2090274095">
      <w:bodyDiv w:val="1"/>
      <w:marLeft w:val="0"/>
      <w:marRight w:val="0"/>
      <w:marTop w:val="0"/>
      <w:marBottom w:val="0"/>
      <w:divBdr>
        <w:top w:val="none" w:sz="0" w:space="0" w:color="auto"/>
        <w:left w:val="none" w:sz="0" w:space="0" w:color="auto"/>
        <w:bottom w:val="none" w:sz="0" w:space="0" w:color="auto"/>
        <w:right w:val="none" w:sz="0" w:space="0" w:color="auto"/>
      </w:divBdr>
    </w:div>
    <w:div w:id="2090342288">
      <w:bodyDiv w:val="1"/>
      <w:marLeft w:val="0"/>
      <w:marRight w:val="0"/>
      <w:marTop w:val="0"/>
      <w:marBottom w:val="0"/>
      <w:divBdr>
        <w:top w:val="none" w:sz="0" w:space="0" w:color="auto"/>
        <w:left w:val="none" w:sz="0" w:space="0" w:color="auto"/>
        <w:bottom w:val="none" w:sz="0" w:space="0" w:color="auto"/>
        <w:right w:val="none" w:sz="0" w:space="0" w:color="auto"/>
      </w:divBdr>
    </w:div>
    <w:div w:id="2090342486">
      <w:bodyDiv w:val="1"/>
      <w:marLeft w:val="0"/>
      <w:marRight w:val="0"/>
      <w:marTop w:val="0"/>
      <w:marBottom w:val="0"/>
      <w:divBdr>
        <w:top w:val="none" w:sz="0" w:space="0" w:color="auto"/>
        <w:left w:val="none" w:sz="0" w:space="0" w:color="auto"/>
        <w:bottom w:val="none" w:sz="0" w:space="0" w:color="auto"/>
        <w:right w:val="none" w:sz="0" w:space="0" w:color="auto"/>
      </w:divBdr>
    </w:div>
    <w:div w:id="2090420408">
      <w:bodyDiv w:val="1"/>
      <w:marLeft w:val="0"/>
      <w:marRight w:val="0"/>
      <w:marTop w:val="0"/>
      <w:marBottom w:val="0"/>
      <w:divBdr>
        <w:top w:val="none" w:sz="0" w:space="0" w:color="auto"/>
        <w:left w:val="none" w:sz="0" w:space="0" w:color="auto"/>
        <w:bottom w:val="none" w:sz="0" w:space="0" w:color="auto"/>
        <w:right w:val="none" w:sz="0" w:space="0" w:color="auto"/>
      </w:divBdr>
    </w:div>
    <w:div w:id="2090421897">
      <w:bodyDiv w:val="1"/>
      <w:marLeft w:val="0"/>
      <w:marRight w:val="0"/>
      <w:marTop w:val="0"/>
      <w:marBottom w:val="0"/>
      <w:divBdr>
        <w:top w:val="none" w:sz="0" w:space="0" w:color="auto"/>
        <w:left w:val="none" w:sz="0" w:space="0" w:color="auto"/>
        <w:bottom w:val="none" w:sz="0" w:space="0" w:color="auto"/>
        <w:right w:val="none" w:sz="0" w:space="0" w:color="auto"/>
      </w:divBdr>
    </w:div>
    <w:div w:id="2090468780">
      <w:bodyDiv w:val="1"/>
      <w:marLeft w:val="0"/>
      <w:marRight w:val="0"/>
      <w:marTop w:val="0"/>
      <w:marBottom w:val="0"/>
      <w:divBdr>
        <w:top w:val="none" w:sz="0" w:space="0" w:color="auto"/>
        <w:left w:val="none" w:sz="0" w:space="0" w:color="auto"/>
        <w:bottom w:val="none" w:sz="0" w:space="0" w:color="auto"/>
        <w:right w:val="none" w:sz="0" w:space="0" w:color="auto"/>
      </w:divBdr>
    </w:div>
    <w:div w:id="2090686519">
      <w:bodyDiv w:val="1"/>
      <w:marLeft w:val="0"/>
      <w:marRight w:val="0"/>
      <w:marTop w:val="0"/>
      <w:marBottom w:val="0"/>
      <w:divBdr>
        <w:top w:val="none" w:sz="0" w:space="0" w:color="auto"/>
        <w:left w:val="none" w:sz="0" w:space="0" w:color="auto"/>
        <w:bottom w:val="none" w:sz="0" w:space="0" w:color="auto"/>
        <w:right w:val="none" w:sz="0" w:space="0" w:color="auto"/>
      </w:divBdr>
    </w:div>
    <w:div w:id="2090733158">
      <w:bodyDiv w:val="1"/>
      <w:marLeft w:val="0"/>
      <w:marRight w:val="0"/>
      <w:marTop w:val="0"/>
      <w:marBottom w:val="0"/>
      <w:divBdr>
        <w:top w:val="none" w:sz="0" w:space="0" w:color="auto"/>
        <w:left w:val="none" w:sz="0" w:space="0" w:color="auto"/>
        <w:bottom w:val="none" w:sz="0" w:space="0" w:color="auto"/>
        <w:right w:val="none" w:sz="0" w:space="0" w:color="auto"/>
      </w:divBdr>
    </w:div>
    <w:div w:id="2090809883">
      <w:bodyDiv w:val="1"/>
      <w:marLeft w:val="0"/>
      <w:marRight w:val="0"/>
      <w:marTop w:val="0"/>
      <w:marBottom w:val="0"/>
      <w:divBdr>
        <w:top w:val="none" w:sz="0" w:space="0" w:color="auto"/>
        <w:left w:val="none" w:sz="0" w:space="0" w:color="auto"/>
        <w:bottom w:val="none" w:sz="0" w:space="0" w:color="auto"/>
        <w:right w:val="none" w:sz="0" w:space="0" w:color="auto"/>
      </w:divBdr>
    </w:div>
    <w:div w:id="2090957842">
      <w:bodyDiv w:val="1"/>
      <w:marLeft w:val="0"/>
      <w:marRight w:val="0"/>
      <w:marTop w:val="0"/>
      <w:marBottom w:val="0"/>
      <w:divBdr>
        <w:top w:val="none" w:sz="0" w:space="0" w:color="auto"/>
        <w:left w:val="none" w:sz="0" w:space="0" w:color="auto"/>
        <w:bottom w:val="none" w:sz="0" w:space="0" w:color="auto"/>
        <w:right w:val="none" w:sz="0" w:space="0" w:color="auto"/>
      </w:divBdr>
    </w:div>
    <w:div w:id="2091076420">
      <w:bodyDiv w:val="1"/>
      <w:marLeft w:val="0"/>
      <w:marRight w:val="0"/>
      <w:marTop w:val="0"/>
      <w:marBottom w:val="0"/>
      <w:divBdr>
        <w:top w:val="none" w:sz="0" w:space="0" w:color="auto"/>
        <w:left w:val="none" w:sz="0" w:space="0" w:color="auto"/>
        <w:bottom w:val="none" w:sz="0" w:space="0" w:color="auto"/>
        <w:right w:val="none" w:sz="0" w:space="0" w:color="auto"/>
      </w:divBdr>
    </w:div>
    <w:div w:id="2091270467">
      <w:bodyDiv w:val="1"/>
      <w:marLeft w:val="0"/>
      <w:marRight w:val="0"/>
      <w:marTop w:val="0"/>
      <w:marBottom w:val="0"/>
      <w:divBdr>
        <w:top w:val="none" w:sz="0" w:space="0" w:color="auto"/>
        <w:left w:val="none" w:sz="0" w:space="0" w:color="auto"/>
        <w:bottom w:val="none" w:sz="0" w:space="0" w:color="auto"/>
        <w:right w:val="none" w:sz="0" w:space="0" w:color="auto"/>
      </w:divBdr>
    </w:div>
    <w:div w:id="2091272983">
      <w:bodyDiv w:val="1"/>
      <w:marLeft w:val="0"/>
      <w:marRight w:val="0"/>
      <w:marTop w:val="0"/>
      <w:marBottom w:val="0"/>
      <w:divBdr>
        <w:top w:val="none" w:sz="0" w:space="0" w:color="auto"/>
        <w:left w:val="none" w:sz="0" w:space="0" w:color="auto"/>
        <w:bottom w:val="none" w:sz="0" w:space="0" w:color="auto"/>
        <w:right w:val="none" w:sz="0" w:space="0" w:color="auto"/>
      </w:divBdr>
    </w:div>
    <w:div w:id="2091539123">
      <w:bodyDiv w:val="1"/>
      <w:marLeft w:val="0"/>
      <w:marRight w:val="0"/>
      <w:marTop w:val="0"/>
      <w:marBottom w:val="0"/>
      <w:divBdr>
        <w:top w:val="none" w:sz="0" w:space="0" w:color="auto"/>
        <w:left w:val="none" w:sz="0" w:space="0" w:color="auto"/>
        <w:bottom w:val="none" w:sz="0" w:space="0" w:color="auto"/>
        <w:right w:val="none" w:sz="0" w:space="0" w:color="auto"/>
      </w:divBdr>
    </w:div>
    <w:div w:id="2091658230">
      <w:bodyDiv w:val="1"/>
      <w:marLeft w:val="0"/>
      <w:marRight w:val="0"/>
      <w:marTop w:val="0"/>
      <w:marBottom w:val="0"/>
      <w:divBdr>
        <w:top w:val="none" w:sz="0" w:space="0" w:color="auto"/>
        <w:left w:val="none" w:sz="0" w:space="0" w:color="auto"/>
        <w:bottom w:val="none" w:sz="0" w:space="0" w:color="auto"/>
        <w:right w:val="none" w:sz="0" w:space="0" w:color="auto"/>
      </w:divBdr>
    </w:div>
    <w:div w:id="2091736248">
      <w:bodyDiv w:val="1"/>
      <w:marLeft w:val="0"/>
      <w:marRight w:val="0"/>
      <w:marTop w:val="0"/>
      <w:marBottom w:val="0"/>
      <w:divBdr>
        <w:top w:val="none" w:sz="0" w:space="0" w:color="auto"/>
        <w:left w:val="none" w:sz="0" w:space="0" w:color="auto"/>
        <w:bottom w:val="none" w:sz="0" w:space="0" w:color="auto"/>
        <w:right w:val="none" w:sz="0" w:space="0" w:color="auto"/>
      </w:divBdr>
    </w:div>
    <w:div w:id="2091846453">
      <w:bodyDiv w:val="1"/>
      <w:marLeft w:val="0"/>
      <w:marRight w:val="0"/>
      <w:marTop w:val="0"/>
      <w:marBottom w:val="0"/>
      <w:divBdr>
        <w:top w:val="none" w:sz="0" w:space="0" w:color="auto"/>
        <w:left w:val="none" w:sz="0" w:space="0" w:color="auto"/>
        <w:bottom w:val="none" w:sz="0" w:space="0" w:color="auto"/>
        <w:right w:val="none" w:sz="0" w:space="0" w:color="auto"/>
      </w:divBdr>
    </w:div>
    <w:div w:id="2092004378">
      <w:bodyDiv w:val="1"/>
      <w:marLeft w:val="0"/>
      <w:marRight w:val="0"/>
      <w:marTop w:val="0"/>
      <w:marBottom w:val="0"/>
      <w:divBdr>
        <w:top w:val="none" w:sz="0" w:space="0" w:color="auto"/>
        <w:left w:val="none" w:sz="0" w:space="0" w:color="auto"/>
        <w:bottom w:val="none" w:sz="0" w:space="0" w:color="auto"/>
        <w:right w:val="none" w:sz="0" w:space="0" w:color="auto"/>
      </w:divBdr>
    </w:div>
    <w:div w:id="2092048186">
      <w:bodyDiv w:val="1"/>
      <w:marLeft w:val="0"/>
      <w:marRight w:val="0"/>
      <w:marTop w:val="0"/>
      <w:marBottom w:val="0"/>
      <w:divBdr>
        <w:top w:val="none" w:sz="0" w:space="0" w:color="auto"/>
        <w:left w:val="none" w:sz="0" w:space="0" w:color="auto"/>
        <w:bottom w:val="none" w:sz="0" w:space="0" w:color="auto"/>
        <w:right w:val="none" w:sz="0" w:space="0" w:color="auto"/>
      </w:divBdr>
    </w:div>
    <w:div w:id="2092117259">
      <w:bodyDiv w:val="1"/>
      <w:marLeft w:val="0"/>
      <w:marRight w:val="0"/>
      <w:marTop w:val="0"/>
      <w:marBottom w:val="0"/>
      <w:divBdr>
        <w:top w:val="none" w:sz="0" w:space="0" w:color="auto"/>
        <w:left w:val="none" w:sz="0" w:space="0" w:color="auto"/>
        <w:bottom w:val="none" w:sz="0" w:space="0" w:color="auto"/>
        <w:right w:val="none" w:sz="0" w:space="0" w:color="auto"/>
      </w:divBdr>
    </w:div>
    <w:div w:id="2092198446">
      <w:bodyDiv w:val="1"/>
      <w:marLeft w:val="0"/>
      <w:marRight w:val="0"/>
      <w:marTop w:val="0"/>
      <w:marBottom w:val="0"/>
      <w:divBdr>
        <w:top w:val="none" w:sz="0" w:space="0" w:color="auto"/>
        <w:left w:val="none" w:sz="0" w:space="0" w:color="auto"/>
        <w:bottom w:val="none" w:sz="0" w:space="0" w:color="auto"/>
        <w:right w:val="none" w:sz="0" w:space="0" w:color="auto"/>
      </w:divBdr>
    </w:div>
    <w:div w:id="2092464823">
      <w:bodyDiv w:val="1"/>
      <w:marLeft w:val="0"/>
      <w:marRight w:val="0"/>
      <w:marTop w:val="0"/>
      <w:marBottom w:val="0"/>
      <w:divBdr>
        <w:top w:val="none" w:sz="0" w:space="0" w:color="auto"/>
        <w:left w:val="none" w:sz="0" w:space="0" w:color="auto"/>
        <w:bottom w:val="none" w:sz="0" w:space="0" w:color="auto"/>
        <w:right w:val="none" w:sz="0" w:space="0" w:color="auto"/>
      </w:divBdr>
    </w:div>
    <w:div w:id="2092772960">
      <w:bodyDiv w:val="1"/>
      <w:marLeft w:val="0"/>
      <w:marRight w:val="0"/>
      <w:marTop w:val="0"/>
      <w:marBottom w:val="0"/>
      <w:divBdr>
        <w:top w:val="none" w:sz="0" w:space="0" w:color="auto"/>
        <w:left w:val="none" w:sz="0" w:space="0" w:color="auto"/>
        <w:bottom w:val="none" w:sz="0" w:space="0" w:color="auto"/>
        <w:right w:val="none" w:sz="0" w:space="0" w:color="auto"/>
      </w:divBdr>
    </w:div>
    <w:div w:id="2092847418">
      <w:bodyDiv w:val="1"/>
      <w:marLeft w:val="0"/>
      <w:marRight w:val="0"/>
      <w:marTop w:val="0"/>
      <w:marBottom w:val="0"/>
      <w:divBdr>
        <w:top w:val="none" w:sz="0" w:space="0" w:color="auto"/>
        <w:left w:val="none" w:sz="0" w:space="0" w:color="auto"/>
        <w:bottom w:val="none" w:sz="0" w:space="0" w:color="auto"/>
        <w:right w:val="none" w:sz="0" w:space="0" w:color="auto"/>
      </w:divBdr>
    </w:div>
    <w:div w:id="2093045412">
      <w:bodyDiv w:val="1"/>
      <w:marLeft w:val="0"/>
      <w:marRight w:val="0"/>
      <w:marTop w:val="0"/>
      <w:marBottom w:val="0"/>
      <w:divBdr>
        <w:top w:val="none" w:sz="0" w:space="0" w:color="auto"/>
        <w:left w:val="none" w:sz="0" w:space="0" w:color="auto"/>
        <w:bottom w:val="none" w:sz="0" w:space="0" w:color="auto"/>
        <w:right w:val="none" w:sz="0" w:space="0" w:color="auto"/>
      </w:divBdr>
    </w:div>
    <w:div w:id="2093115517">
      <w:bodyDiv w:val="1"/>
      <w:marLeft w:val="0"/>
      <w:marRight w:val="0"/>
      <w:marTop w:val="0"/>
      <w:marBottom w:val="0"/>
      <w:divBdr>
        <w:top w:val="none" w:sz="0" w:space="0" w:color="auto"/>
        <w:left w:val="none" w:sz="0" w:space="0" w:color="auto"/>
        <w:bottom w:val="none" w:sz="0" w:space="0" w:color="auto"/>
        <w:right w:val="none" w:sz="0" w:space="0" w:color="auto"/>
      </w:divBdr>
    </w:div>
    <w:div w:id="2093236351">
      <w:bodyDiv w:val="1"/>
      <w:marLeft w:val="0"/>
      <w:marRight w:val="0"/>
      <w:marTop w:val="0"/>
      <w:marBottom w:val="0"/>
      <w:divBdr>
        <w:top w:val="none" w:sz="0" w:space="0" w:color="auto"/>
        <w:left w:val="none" w:sz="0" w:space="0" w:color="auto"/>
        <w:bottom w:val="none" w:sz="0" w:space="0" w:color="auto"/>
        <w:right w:val="none" w:sz="0" w:space="0" w:color="auto"/>
      </w:divBdr>
    </w:div>
    <w:div w:id="2093886803">
      <w:bodyDiv w:val="1"/>
      <w:marLeft w:val="0"/>
      <w:marRight w:val="0"/>
      <w:marTop w:val="0"/>
      <w:marBottom w:val="0"/>
      <w:divBdr>
        <w:top w:val="none" w:sz="0" w:space="0" w:color="auto"/>
        <w:left w:val="none" w:sz="0" w:space="0" w:color="auto"/>
        <w:bottom w:val="none" w:sz="0" w:space="0" w:color="auto"/>
        <w:right w:val="none" w:sz="0" w:space="0" w:color="auto"/>
      </w:divBdr>
    </w:div>
    <w:div w:id="2093970060">
      <w:bodyDiv w:val="1"/>
      <w:marLeft w:val="0"/>
      <w:marRight w:val="0"/>
      <w:marTop w:val="0"/>
      <w:marBottom w:val="0"/>
      <w:divBdr>
        <w:top w:val="none" w:sz="0" w:space="0" w:color="auto"/>
        <w:left w:val="none" w:sz="0" w:space="0" w:color="auto"/>
        <w:bottom w:val="none" w:sz="0" w:space="0" w:color="auto"/>
        <w:right w:val="none" w:sz="0" w:space="0" w:color="auto"/>
      </w:divBdr>
    </w:div>
    <w:div w:id="2094426536">
      <w:bodyDiv w:val="1"/>
      <w:marLeft w:val="0"/>
      <w:marRight w:val="0"/>
      <w:marTop w:val="0"/>
      <w:marBottom w:val="0"/>
      <w:divBdr>
        <w:top w:val="none" w:sz="0" w:space="0" w:color="auto"/>
        <w:left w:val="none" w:sz="0" w:space="0" w:color="auto"/>
        <w:bottom w:val="none" w:sz="0" w:space="0" w:color="auto"/>
        <w:right w:val="none" w:sz="0" w:space="0" w:color="auto"/>
      </w:divBdr>
    </w:div>
    <w:div w:id="2094467205">
      <w:bodyDiv w:val="1"/>
      <w:marLeft w:val="0"/>
      <w:marRight w:val="0"/>
      <w:marTop w:val="0"/>
      <w:marBottom w:val="0"/>
      <w:divBdr>
        <w:top w:val="none" w:sz="0" w:space="0" w:color="auto"/>
        <w:left w:val="none" w:sz="0" w:space="0" w:color="auto"/>
        <w:bottom w:val="none" w:sz="0" w:space="0" w:color="auto"/>
        <w:right w:val="none" w:sz="0" w:space="0" w:color="auto"/>
      </w:divBdr>
    </w:div>
    <w:div w:id="2094618372">
      <w:bodyDiv w:val="1"/>
      <w:marLeft w:val="0"/>
      <w:marRight w:val="0"/>
      <w:marTop w:val="0"/>
      <w:marBottom w:val="0"/>
      <w:divBdr>
        <w:top w:val="none" w:sz="0" w:space="0" w:color="auto"/>
        <w:left w:val="none" w:sz="0" w:space="0" w:color="auto"/>
        <w:bottom w:val="none" w:sz="0" w:space="0" w:color="auto"/>
        <w:right w:val="none" w:sz="0" w:space="0" w:color="auto"/>
      </w:divBdr>
    </w:div>
    <w:div w:id="2094667403">
      <w:bodyDiv w:val="1"/>
      <w:marLeft w:val="0"/>
      <w:marRight w:val="0"/>
      <w:marTop w:val="0"/>
      <w:marBottom w:val="0"/>
      <w:divBdr>
        <w:top w:val="none" w:sz="0" w:space="0" w:color="auto"/>
        <w:left w:val="none" w:sz="0" w:space="0" w:color="auto"/>
        <w:bottom w:val="none" w:sz="0" w:space="0" w:color="auto"/>
        <w:right w:val="none" w:sz="0" w:space="0" w:color="auto"/>
      </w:divBdr>
    </w:div>
    <w:div w:id="2094744037">
      <w:bodyDiv w:val="1"/>
      <w:marLeft w:val="0"/>
      <w:marRight w:val="0"/>
      <w:marTop w:val="0"/>
      <w:marBottom w:val="0"/>
      <w:divBdr>
        <w:top w:val="none" w:sz="0" w:space="0" w:color="auto"/>
        <w:left w:val="none" w:sz="0" w:space="0" w:color="auto"/>
        <w:bottom w:val="none" w:sz="0" w:space="0" w:color="auto"/>
        <w:right w:val="none" w:sz="0" w:space="0" w:color="auto"/>
      </w:divBdr>
    </w:div>
    <w:div w:id="2094816844">
      <w:bodyDiv w:val="1"/>
      <w:marLeft w:val="0"/>
      <w:marRight w:val="0"/>
      <w:marTop w:val="0"/>
      <w:marBottom w:val="0"/>
      <w:divBdr>
        <w:top w:val="none" w:sz="0" w:space="0" w:color="auto"/>
        <w:left w:val="none" w:sz="0" w:space="0" w:color="auto"/>
        <w:bottom w:val="none" w:sz="0" w:space="0" w:color="auto"/>
        <w:right w:val="none" w:sz="0" w:space="0" w:color="auto"/>
      </w:divBdr>
    </w:div>
    <w:div w:id="2094929359">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473228">
      <w:bodyDiv w:val="1"/>
      <w:marLeft w:val="0"/>
      <w:marRight w:val="0"/>
      <w:marTop w:val="0"/>
      <w:marBottom w:val="0"/>
      <w:divBdr>
        <w:top w:val="none" w:sz="0" w:space="0" w:color="auto"/>
        <w:left w:val="none" w:sz="0" w:space="0" w:color="auto"/>
        <w:bottom w:val="none" w:sz="0" w:space="0" w:color="auto"/>
        <w:right w:val="none" w:sz="0" w:space="0" w:color="auto"/>
      </w:divBdr>
    </w:div>
    <w:div w:id="2095542726">
      <w:bodyDiv w:val="1"/>
      <w:marLeft w:val="0"/>
      <w:marRight w:val="0"/>
      <w:marTop w:val="0"/>
      <w:marBottom w:val="0"/>
      <w:divBdr>
        <w:top w:val="none" w:sz="0" w:space="0" w:color="auto"/>
        <w:left w:val="none" w:sz="0" w:space="0" w:color="auto"/>
        <w:bottom w:val="none" w:sz="0" w:space="0" w:color="auto"/>
        <w:right w:val="none" w:sz="0" w:space="0" w:color="auto"/>
      </w:divBdr>
    </w:div>
    <w:div w:id="2095584630">
      <w:bodyDiv w:val="1"/>
      <w:marLeft w:val="0"/>
      <w:marRight w:val="0"/>
      <w:marTop w:val="0"/>
      <w:marBottom w:val="0"/>
      <w:divBdr>
        <w:top w:val="none" w:sz="0" w:space="0" w:color="auto"/>
        <w:left w:val="none" w:sz="0" w:space="0" w:color="auto"/>
        <w:bottom w:val="none" w:sz="0" w:space="0" w:color="auto"/>
        <w:right w:val="none" w:sz="0" w:space="0" w:color="auto"/>
      </w:divBdr>
    </w:div>
    <w:div w:id="2095588749">
      <w:bodyDiv w:val="1"/>
      <w:marLeft w:val="0"/>
      <w:marRight w:val="0"/>
      <w:marTop w:val="0"/>
      <w:marBottom w:val="0"/>
      <w:divBdr>
        <w:top w:val="none" w:sz="0" w:space="0" w:color="auto"/>
        <w:left w:val="none" w:sz="0" w:space="0" w:color="auto"/>
        <w:bottom w:val="none" w:sz="0" w:space="0" w:color="auto"/>
        <w:right w:val="none" w:sz="0" w:space="0" w:color="auto"/>
      </w:divBdr>
    </w:div>
    <w:div w:id="2095666450">
      <w:bodyDiv w:val="1"/>
      <w:marLeft w:val="0"/>
      <w:marRight w:val="0"/>
      <w:marTop w:val="0"/>
      <w:marBottom w:val="0"/>
      <w:divBdr>
        <w:top w:val="none" w:sz="0" w:space="0" w:color="auto"/>
        <w:left w:val="none" w:sz="0" w:space="0" w:color="auto"/>
        <w:bottom w:val="none" w:sz="0" w:space="0" w:color="auto"/>
        <w:right w:val="none" w:sz="0" w:space="0" w:color="auto"/>
      </w:divBdr>
    </w:div>
    <w:div w:id="2095740596">
      <w:bodyDiv w:val="1"/>
      <w:marLeft w:val="0"/>
      <w:marRight w:val="0"/>
      <w:marTop w:val="0"/>
      <w:marBottom w:val="0"/>
      <w:divBdr>
        <w:top w:val="none" w:sz="0" w:space="0" w:color="auto"/>
        <w:left w:val="none" w:sz="0" w:space="0" w:color="auto"/>
        <w:bottom w:val="none" w:sz="0" w:space="0" w:color="auto"/>
        <w:right w:val="none" w:sz="0" w:space="0" w:color="auto"/>
      </w:divBdr>
    </w:div>
    <w:div w:id="2095742805">
      <w:bodyDiv w:val="1"/>
      <w:marLeft w:val="0"/>
      <w:marRight w:val="0"/>
      <w:marTop w:val="0"/>
      <w:marBottom w:val="0"/>
      <w:divBdr>
        <w:top w:val="none" w:sz="0" w:space="0" w:color="auto"/>
        <w:left w:val="none" w:sz="0" w:space="0" w:color="auto"/>
        <w:bottom w:val="none" w:sz="0" w:space="0" w:color="auto"/>
        <w:right w:val="none" w:sz="0" w:space="0" w:color="auto"/>
      </w:divBdr>
    </w:div>
    <w:div w:id="2095855851">
      <w:bodyDiv w:val="1"/>
      <w:marLeft w:val="0"/>
      <w:marRight w:val="0"/>
      <w:marTop w:val="0"/>
      <w:marBottom w:val="0"/>
      <w:divBdr>
        <w:top w:val="none" w:sz="0" w:space="0" w:color="auto"/>
        <w:left w:val="none" w:sz="0" w:space="0" w:color="auto"/>
        <w:bottom w:val="none" w:sz="0" w:space="0" w:color="auto"/>
        <w:right w:val="none" w:sz="0" w:space="0" w:color="auto"/>
      </w:divBdr>
    </w:div>
    <w:div w:id="2095927969">
      <w:bodyDiv w:val="1"/>
      <w:marLeft w:val="0"/>
      <w:marRight w:val="0"/>
      <w:marTop w:val="0"/>
      <w:marBottom w:val="0"/>
      <w:divBdr>
        <w:top w:val="none" w:sz="0" w:space="0" w:color="auto"/>
        <w:left w:val="none" w:sz="0" w:space="0" w:color="auto"/>
        <w:bottom w:val="none" w:sz="0" w:space="0" w:color="auto"/>
        <w:right w:val="none" w:sz="0" w:space="0" w:color="auto"/>
      </w:divBdr>
    </w:div>
    <w:div w:id="2095979119">
      <w:bodyDiv w:val="1"/>
      <w:marLeft w:val="0"/>
      <w:marRight w:val="0"/>
      <w:marTop w:val="0"/>
      <w:marBottom w:val="0"/>
      <w:divBdr>
        <w:top w:val="none" w:sz="0" w:space="0" w:color="auto"/>
        <w:left w:val="none" w:sz="0" w:space="0" w:color="auto"/>
        <w:bottom w:val="none" w:sz="0" w:space="0" w:color="auto"/>
        <w:right w:val="none" w:sz="0" w:space="0" w:color="auto"/>
      </w:divBdr>
    </w:div>
    <w:div w:id="2096122920">
      <w:bodyDiv w:val="1"/>
      <w:marLeft w:val="0"/>
      <w:marRight w:val="0"/>
      <w:marTop w:val="0"/>
      <w:marBottom w:val="0"/>
      <w:divBdr>
        <w:top w:val="none" w:sz="0" w:space="0" w:color="auto"/>
        <w:left w:val="none" w:sz="0" w:space="0" w:color="auto"/>
        <w:bottom w:val="none" w:sz="0" w:space="0" w:color="auto"/>
        <w:right w:val="none" w:sz="0" w:space="0" w:color="auto"/>
      </w:divBdr>
    </w:div>
    <w:div w:id="2096433894">
      <w:bodyDiv w:val="1"/>
      <w:marLeft w:val="0"/>
      <w:marRight w:val="0"/>
      <w:marTop w:val="0"/>
      <w:marBottom w:val="0"/>
      <w:divBdr>
        <w:top w:val="none" w:sz="0" w:space="0" w:color="auto"/>
        <w:left w:val="none" w:sz="0" w:space="0" w:color="auto"/>
        <w:bottom w:val="none" w:sz="0" w:space="0" w:color="auto"/>
        <w:right w:val="none" w:sz="0" w:space="0" w:color="auto"/>
      </w:divBdr>
    </w:div>
    <w:div w:id="2096590982">
      <w:bodyDiv w:val="1"/>
      <w:marLeft w:val="0"/>
      <w:marRight w:val="0"/>
      <w:marTop w:val="0"/>
      <w:marBottom w:val="0"/>
      <w:divBdr>
        <w:top w:val="none" w:sz="0" w:space="0" w:color="auto"/>
        <w:left w:val="none" w:sz="0" w:space="0" w:color="auto"/>
        <w:bottom w:val="none" w:sz="0" w:space="0" w:color="auto"/>
        <w:right w:val="none" w:sz="0" w:space="0" w:color="auto"/>
      </w:divBdr>
    </w:div>
    <w:div w:id="2096659177">
      <w:bodyDiv w:val="1"/>
      <w:marLeft w:val="0"/>
      <w:marRight w:val="0"/>
      <w:marTop w:val="0"/>
      <w:marBottom w:val="0"/>
      <w:divBdr>
        <w:top w:val="none" w:sz="0" w:space="0" w:color="auto"/>
        <w:left w:val="none" w:sz="0" w:space="0" w:color="auto"/>
        <w:bottom w:val="none" w:sz="0" w:space="0" w:color="auto"/>
        <w:right w:val="none" w:sz="0" w:space="0" w:color="auto"/>
      </w:divBdr>
    </w:div>
    <w:div w:id="2096976765">
      <w:bodyDiv w:val="1"/>
      <w:marLeft w:val="0"/>
      <w:marRight w:val="0"/>
      <w:marTop w:val="0"/>
      <w:marBottom w:val="0"/>
      <w:divBdr>
        <w:top w:val="none" w:sz="0" w:space="0" w:color="auto"/>
        <w:left w:val="none" w:sz="0" w:space="0" w:color="auto"/>
        <w:bottom w:val="none" w:sz="0" w:space="0" w:color="auto"/>
        <w:right w:val="none" w:sz="0" w:space="0" w:color="auto"/>
      </w:divBdr>
    </w:div>
    <w:div w:id="2097626338">
      <w:bodyDiv w:val="1"/>
      <w:marLeft w:val="0"/>
      <w:marRight w:val="0"/>
      <w:marTop w:val="0"/>
      <w:marBottom w:val="0"/>
      <w:divBdr>
        <w:top w:val="none" w:sz="0" w:space="0" w:color="auto"/>
        <w:left w:val="none" w:sz="0" w:space="0" w:color="auto"/>
        <w:bottom w:val="none" w:sz="0" w:space="0" w:color="auto"/>
        <w:right w:val="none" w:sz="0" w:space="0" w:color="auto"/>
      </w:divBdr>
    </w:div>
    <w:div w:id="2097896789">
      <w:bodyDiv w:val="1"/>
      <w:marLeft w:val="0"/>
      <w:marRight w:val="0"/>
      <w:marTop w:val="0"/>
      <w:marBottom w:val="0"/>
      <w:divBdr>
        <w:top w:val="none" w:sz="0" w:space="0" w:color="auto"/>
        <w:left w:val="none" w:sz="0" w:space="0" w:color="auto"/>
        <w:bottom w:val="none" w:sz="0" w:space="0" w:color="auto"/>
        <w:right w:val="none" w:sz="0" w:space="0" w:color="auto"/>
      </w:divBdr>
    </w:div>
    <w:div w:id="2097897763">
      <w:bodyDiv w:val="1"/>
      <w:marLeft w:val="0"/>
      <w:marRight w:val="0"/>
      <w:marTop w:val="0"/>
      <w:marBottom w:val="0"/>
      <w:divBdr>
        <w:top w:val="none" w:sz="0" w:space="0" w:color="auto"/>
        <w:left w:val="none" w:sz="0" w:space="0" w:color="auto"/>
        <w:bottom w:val="none" w:sz="0" w:space="0" w:color="auto"/>
        <w:right w:val="none" w:sz="0" w:space="0" w:color="auto"/>
      </w:divBdr>
    </w:div>
    <w:div w:id="2097943735">
      <w:bodyDiv w:val="1"/>
      <w:marLeft w:val="0"/>
      <w:marRight w:val="0"/>
      <w:marTop w:val="0"/>
      <w:marBottom w:val="0"/>
      <w:divBdr>
        <w:top w:val="none" w:sz="0" w:space="0" w:color="auto"/>
        <w:left w:val="none" w:sz="0" w:space="0" w:color="auto"/>
        <w:bottom w:val="none" w:sz="0" w:space="0" w:color="auto"/>
        <w:right w:val="none" w:sz="0" w:space="0" w:color="auto"/>
      </w:divBdr>
    </w:div>
    <w:div w:id="2098015079">
      <w:bodyDiv w:val="1"/>
      <w:marLeft w:val="0"/>
      <w:marRight w:val="0"/>
      <w:marTop w:val="0"/>
      <w:marBottom w:val="0"/>
      <w:divBdr>
        <w:top w:val="none" w:sz="0" w:space="0" w:color="auto"/>
        <w:left w:val="none" w:sz="0" w:space="0" w:color="auto"/>
        <w:bottom w:val="none" w:sz="0" w:space="0" w:color="auto"/>
        <w:right w:val="none" w:sz="0" w:space="0" w:color="auto"/>
      </w:divBdr>
    </w:div>
    <w:div w:id="2098207539">
      <w:bodyDiv w:val="1"/>
      <w:marLeft w:val="0"/>
      <w:marRight w:val="0"/>
      <w:marTop w:val="0"/>
      <w:marBottom w:val="0"/>
      <w:divBdr>
        <w:top w:val="none" w:sz="0" w:space="0" w:color="auto"/>
        <w:left w:val="none" w:sz="0" w:space="0" w:color="auto"/>
        <w:bottom w:val="none" w:sz="0" w:space="0" w:color="auto"/>
        <w:right w:val="none" w:sz="0" w:space="0" w:color="auto"/>
      </w:divBdr>
    </w:div>
    <w:div w:id="2098282371">
      <w:bodyDiv w:val="1"/>
      <w:marLeft w:val="0"/>
      <w:marRight w:val="0"/>
      <w:marTop w:val="0"/>
      <w:marBottom w:val="0"/>
      <w:divBdr>
        <w:top w:val="none" w:sz="0" w:space="0" w:color="auto"/>
        <w:left w:val="none" w:sz="0" w:space="0" w:color="auto"/>
        <w:bottom w:val="none" w:sz="0" w:space="0" w:color="auto"/>
        <w:right w:val="none" w:sz="0" w:space="0" w:color="auto"/>
      </w:divBdr>
    </w:div>
    <w:div w:id="2098554995">
      <w:bodyDiv w:val="1"/>
      <w:marLeft w:val="0"/>
      <w:marRight w:val="0"/>
      <w:marTop w:val="0"/>
      <w:marBottom w:val="0"/>
      <w:divBdr>
        <w:top w:val="none" w:sz="0" w:space="0" w:color="auto"/>
        <w:left w:val="none" w:sz="0" w:space="0" w:color="auto"/>
        <w:bottom w:val="none" w:sz="0" w:space="0" w:color="auto"/>
        <w:right w:val="none" w:sz="0" w:space="0" w:color="auto"/>
      </w:divBdr>
    </w:div>
    <w:div w:id="2098625967">
      <w:bodyDiv w:val="1"/>
      <w:marLeft w:val="0"/>
      <w:marRight w:val="0"/>
      <w:marTop w:val="0"/>
      <w:marBottom w:val="0"/>
      <w:divBdr>
        <w:top w:val="none" w:sz="0" w:space="0" w:color="auto"/>
        <w:left w:val="none" w:sz="0" w:space="0" w:color="auto"/>
        <w:bottom w:val="none" w:sz="0" w:space="0" w:color="auto"/>
        <w:right w:val="none" w:sz="0" w:space="0" w:color="auto"/>
      </w:divBdr>
    </w:div>
    <w:div w:id="2098792618">
      <w:bodyDiv w:val="1"/>
      <w:marLeft w:val="0"/>
      <w:marRight w:val="0"/>
      <w:marTop w:val="0"/>
      <w:marBottom w:val="0"/>
      <w:divBdr>
        <w:top w:val="none" w:sz="0" w:space="0" w:color="auto"/>
        <w:left w:val="none" w:sz="0" w:space="0" w:color="auto"/>
        <w:bottom w:val="none" w:sz="0" w:space="0" w:color="auto"/>
        <w:right w:val="none" w:sz="0" w:space="0" w:color="auto"/>
      </w:divBdr>
    </w:div>
    <w:div w:id="2098868757">
      <w:bodyDiv w:val="1"/>
      <w:marLeft w:val="0"/>
      <w:marRight w:val="0"/>
      <w:marTop w:val="0"/>
      <w:marBottom w:val="0"/>
      <w:divBdr>
        <w:top w:val="none" w:sz="0" w:space="0" w:color="auto"/>
        <w:left w:val="none" w:sz="0" w:space="0" w:color="auto"/>
        <w:bottom w:val="none" w:sz="0" w:space="0" w:color="auto"/>
        <w:right w:val="none" w:sz="0" w:space="0" w:color="auto"/>
      </w:divBdr>
    </w:div>
    <w:div w:id="2099133222">
      <w:bodyDiv w:val="1"/>
      <w:marLeft w:val="0"/>
      <w:marRight w:val="0"/>
      <w:marTop w:val="0"/>
      <w:marBottom w:val="0"/>
      <w:divBdr>
        <w:top w:val="none" w:sz="0" w:space="0" w:color="auto"/>
        <w:left w:val="none" w:sz="0" w:space="0" w:color="auto"/>
        <w:bottom w:val="none" w:sz="0" w:space="0" w:color="auto"/>
        <w:right w:val="none" w:sz="0" w:space="0" w:color="auto"/>
      </w:divBdr>
    </w:div>
    <w:div w:id="2099209899">
      <w:bodyDiv w:val="1"/>
      <w:marLeft w:val="0"/>
      <w:marRight w:val="0"/>
      <w:marTop w:val="0"/>
      <w:marBottom w:val="0"/>
      <w:divBdr>
        <w:top w:val="none" w:sz="0" w:space="0" w:color="auto"/>
        <w:left w:val="none" w:sz="0" w:space="0" w:color="auto"/>
        <w:bottom w:val="none" w:sz="0" w:space="0" w:color="auto"/>
        <w:right w:val="none" w:sz="0" w:space="0" w:color="auto"/>
      </w:divBdr>
    </w:div>
    <w:div w:id="2099210592">
      <w:bodyDiv w:val="1"/>
      <w:marLeft w:val="0"/>
      <w:marRight w:val="0"/>
      <w:marTop w:val="0"/>
      <w:marBottom w:val="0"/>
      <w:divBdr>
        <w:top w:val="none" w:sz="0" w:space="0" w:color="auto"/>
        <w:left w:val="none" w:sz="0" w:space="0" w:color="auto"/>
        <w:bottom w:val="none" w:sz="0" w:space="0" w:color="auto"/>
        <w:right w:val="none" w:sz="0" w:space="0" w:color="auto"/>
      </w:divBdr>
    </w:div>
    <w:div w:id="2099253216">
      <w:bodyDiv w:val="1"/>
      <w:marLeft w:val="0"/>
      <w:marRight w:val="0"/>
      <w:marTop w:val="0"/>
      <w:marBottom w:val="0"/>
      <w:divBdr>
        <w:top w:val="none" w:sz="0" w:space="0" w:color="auto"/>
        <w:left w:val="none" w:sz="0" w:space="0" w:color="auto"/>
        <w:bottom w:val="none" w:sz="0" w:space="0" w:color="auto"/>
        <w:right w:val="none" w:sz="0" w:space="0" w:color="auto"/>
      </w:divBdr>
    </w:div>
    <w:div w:id="2099717594">
      <w:bodyDiv w:val="1"/>
      <w:marLeft w:val="0"/>
      <w:marRight w:val="0"/>
      <w:marTop w:val="0"/>
      <w:marBottom w:val="0"/>
      <w:divBdr>
        <w:top w:val="none" w:sz="0" w:space="0" w:color="auto"/>
        <w:left w:val="none" w:sz="0" w:space="0" w:color="auto"/>
        <w:bottom w:val="none" w:sz="0" w:space="0" w:color="auto"/>
        <w:right w:val="none" w:sz="0" w:space="0" w:color="auto"/>
      </w:divBdr>
    </w:div>
    <w:div w:id="2100055191">
      <w:bodyDiv w:val="1"/>
      <w:marLeft w:val="0"/>
      <w:marRight w:val="0"/>
      <w:marTop w:val="0"/>
      <w:marBottom w:val="0"/>
      <w:divBdr>
        <w:top w:val="none" w:sz="0" w:space="0" w:color="auto"/>
        <w:left w:val="none" w:sz="0" w:space="0" w:color="auto"/>
        <w:bottom w:val="none" w:sz="0" w:space="0" w:color="auto"/>
        <w:right w:val="none" w:sz="0" w:space="0" w:color="auto"/>
      </w:divBdr>
    </w:div>
    <w:div w:id="2100172281">
      <w:bodyDiv w:val="1"/>
      <w:marLeft w:val="0"/>
      <w:marRight w:val="0"/>
      <w:marTop w:val="0"/>
      <w:marBottom w:val="0"/>
      <w:divBdr>
        <w:top w:val="none" w:sz="0" w:space="0" w:color="auto"/>
        <w:left w:val="none" w:sz="0" w:space="0" w:color="auto"/>
        <w:bottom w:val="none" w:sz="0" w:space="0" w:color="auto"/>
        <w:right w:val="none" w:sz="0" w:space="0" w:color="auto"/>
      </w:divBdr>
    </w:div>
    <w:div w:id="2100326103">
      <w:bodyDiv w:val="1"/>
      <w:marLeft w:val="0"/>
      <w:marRight w:val="0"/>
      <w:marTop w:val="0"/>
      <w:marBottom w:val="0"/>
      <w:divBdr>
        <w:top w:val="none" w:sz="0" w:space="0" w:color="auto"/>
        <w:left w:val="none" w:sz="0" w:space="0" w:color="auto"/>
        <w:bottom w:val="none" w:sz="0" w:space="0" w:color="auto"/>
        <w:right w:val="none" w:sz="0" w:space="0" w:color="auto"/>
      </w:divBdr>
    </w:div>
    <w:div w:id="2100514705">
      <w:bodyDiv w:val="1"/>
      <w:marLeft w:val="0"/>
      <w:marRight w:val="0"/>
      <w:marTop w:val="0"/>
      <w:marBottom w:val="0"/>
      <w:divBdr>
        <w:top w:val="none" w:sz="0" w:space="0" w:color="auto"/>
        <w:left w:val="none" w:sz="0" w:space="0" w:color="auto"/>
        <w:bottom w:val="none" w:sz="0" w:space="0" w:color="auto"/>
        <w:right w:val="none" w:sz="0" w:space="0" w:color="auto"/>
      </w:divBdr>
    </w:div>
    <w:div w:id="2100716781">
      <w:bodyDiv w:val="1"/>
      <w:marLeft w:val="0"/>
      <w:marRight w:val="0"/>
      <w:marTop w:val="0"/>
      <w:marBottom w:val="0"/>
      <w:divBdr>
        <w:top w:val="none" w:sz="0" w:space="0" w:color="auto"/>
        <w:left w:val="none" w:sz="0" w:space="0" w:color="auto"/>
        <w:bottom w:val="none" w:sz="0" w:space="0" w:color="auto"/>
        <w:right w:val="none" w:sz="0" w:space="0" w:color="auto"/>
      </w:divBdr>
    </w:div>
    <w:div w:id="2100756855">
      <w:bodyDiv w:val="1"/>
      <w:marLeft w:val="0"/>
      <w:marRight w:val="0"/>
      <w:marTop w:val="0"/>
      <w:marBottom w:val="0"/>
      <w:divBdr>
        <w:top w:val="none" w:sz="0" w:space="0" w:color="auto"/>
        <w:left w:val="none" w:sz="0" w:space="0" w:color="auto"/>
        <w:bottom w:val="none" w:sz="0" w:space="0" w:color="auto"/>
        <w:right w:val="none" w:sz="0" w:space="0" w:color="auto"/>
      </w:divBdr>
    </w:div>
    <w:div w:id="2100826546">
      <w:bodyDiv w:val="1"/>
      <w:marLeft w:val="0"/>
      <w:marRight w:val="0"/>
      <w:marTop w:val="0"/>
      <w:marBottom w:val="0"/>
      <w:divBdr>
        <w:top w:val="none" w:sz="0" w:space="0" w:color="auto"/>
        <w:left w:val="none" w:sz="0" w:space="0" w:color="auto"/>
        <w:bottom w:val="none" w:sz="0" w:space="0" w:color="auto"/>
        <w:right w:val="none" w:sz="0" w:space="0" w:color="auto"/>
      </w:divBdr>
    </w:div>
    <w:div w:id="2100900944">
      <w:bodyDiv w:val="1"/>
      <w:marLeft w:val="0"/>
      <w:marRight w:val="0"/>
      <w:marTop w:val="0"/>
      <w:marBottom w:val="0"/>
      <w:divBdr>
        <w:top w:val="none" w:sz="0" w:space="0" w:color="auto"/>
        <w:left w:val="none" w:sz="0" w:space="0" w:color="auto"/>
        <w:bottom w:val="none" w:sz="0" w:space="0" w:color="auto"/>
        <w:right w:val="none" w:sz="0" w:space="0" w:color="auto"/>
      </w:divBdr>
    </w:div>
    <w:div w:id="2101169952">
      <w:bodyDiv w:val="1"/>
      <w:marLeft w:val="0"/>
      <w:marRight w:val="0"/>
      <w:marTop w:val="0"/>
      <w:marBottom w:val="0"/>
      <w:divBdr>
        <w:top w:val="none" w:sz="0" w:space="0" w:color="auto"/>
        <w:left w:val="none" w:sz="0" w:space="0" w:color="auto"/>
        <w:bottom w:val="none" w:sz="0" w:space="0" w:color="auto"/>
        <w:right w:val="none" w:sz="0" w:space="0" w:color="auto"/>
      </w:divBdr>
    </w:div>
    <w:div w:id="2101177684">
      <w:bodyDiv w:val="1"/>
      <w:marLeft w:val="0"/>
      <w:marRight w:val="0"/>
      <w:marTop w:val="0"/>
      <w:marBottom w:val="0"/>
      <w:divBdr>
        <w:top w:val="none" w:sz="0" w:space="0" w:color="auto"/>
        <w:left w:val="none" w:sz="0" w:space="0" w:color="auto"/>
        <w:bottom w:val="none" w:sz="0" w:space="0" w:color="auto"/>
        <w:right w:val="none" w:sz="0" w:space="0" w:color="auto"/>
      </w:divBdr>
    </w:div>
    <w:div w:id="2101439229">
      <w:bodyDiv w:val="1"/>
      <w:marLeft w:val="0"/>
      <w:marRight w:val="0"/>
      <w:marTop w:val="0"/>
      <w:marBottom w:val="0"/>
      <w:divBdr>
        <w:top w:val="none" w:sz="0" w:space="0" w:color="auto"/>
        <w:left w:val="none" w:sz="0" w:space="0" w:color="auto"/>
        <w:bottom w:val="none" w:sz="0" w:space="0" w:color="auto"/>
        <w:right w:val="none" w:sz="0" w:space="0" w:color="auto"/>
      </w:divBdr>
    </w:div>
    <w:div w:id="2101441798">
      <w:bodyDiv w:val="1"/>
      <w:marLeft w:val="0"/>
      <w:marRight w:val="0"/>
      <w:marTop w:val="0"/>
      <w:marBottom w:val="0"/>
      <w:divBdr>
        <w:top w:val="none" w:sz="0" w:space="0" w:color="auto"/>
        <w:left w:val="none" w:sz="0" w:space="0" w:color="auto"/>
        <w:bottom w:val="none" w:sz="0" w:space="0" w:color="auto"/>
        <w:right w:val="none" w:sz="0" w:space="0" w:color="auto"/>
      </w:divBdr>
    </w:div>
    <w:div w:id="2101443127">
      <w:bodyDiv w:val="1"/>
      <w:marLeft w:val="0"/>
      <w:marRight w:val="0"/>
      <w:marTop w:val="0"/>
      <w:marBottom w:val="0"/>
      <w:divBdr>
        <w:top w:val="none" w:sz="0" w:space="0" w:color="auto"/>
        <w:left w:val="none" w:sz="0" w:space="0" w:color="auto"/>
        <w:bottom w:val="none" w:sz="0" w:space="0" w:color="auto"/>
        <w:right w:val="none" w:sz="0" w:space="0" w:color="auto"/>
      </w:divBdr>
    </w:div>
    <w:div w:id="2101565411">
      <w:bodyDiv w:val="1"/>
      <w:marLeft w:val="0"/>
      <w:marRight w:val="0"/>
      <w:marTop w:val="0"/>
      <w:marBottom w:val="0"/>
      <w:divBdr>
        <w:top w:val="none" w:sz="0" w:space="0" w:color="auto"/>
        <w:left w:val="none" w:sz="0" w:space="0" w:color="auto"/>
        <w:bottom w:val="none" w:sz="0" w:space="0" w:color="auto"/>
        <w:right w:val="none" w:sz="0" w:space="0" w:color="auto"/>
      </w:divBdr>
    </w:div>
    <w:div w:id="2101640380">
      <w:bodyDiv w:val="1"/>
      <w:marLeft w:val="0"/>
      <w:marRight w:val="0"/>
      <w:marTop w:val="0"/>
      <w:marBottom w:val="0"/>
      <w:divBdr>
        <w:top w:val="none" w:sz="0" w:space="0" w:color="auto"/>
        <w:left w:val="none" w:sz="0" w:space="0" w:color="auto"/>
        <w:bottom w:val="none" w:sz="0" w:space="0" w:color="auto"/>
        <w:right w:val="none" w:sz="0" w:space="0" w:color="auto"/>
      </w:divBdr>
    </w:div>
    <w:div w:id="2101943258">
      <w:bodyDiv w:val="1"/>
      <w:marLeft w:val="0"/>
      <w:marRight w:val="0"/>
      <w:marTop w:val="0"/>
      <w:marBottom w:val="0"/>
      <w:divBdr>
        <w:top w:val="none" w:sz="0" w:space="0" w:color="auto"/>
        <w:left w:val="none" w:sz="0" w:space="0" w:color="auto"/>
        <w:bottom w:val="none" w:sz="0" w:space="0" w:color="auto"/>
        <w:right w:val="none" w:sz="0" w:space="0" w:color="auto"/>
      </w:divBdr>
    </w:div>
    <w:div w:id="2101944172">
      <w:bodyDiv w:val="1"/>
      <w:marLeft w:val="0"/>
      <w:marRight w:val="0"/>
      <w:marTop w:val="0"/>
      <w:marBottom w:val="0"/>
      <w:divBdr>
        <w:top w:val="none" w:sz="0" w:space="0" w:color="auto"/>
        <w:left w:val="none" w:sz="0" w:space="0" w:color="auto"/>
        <w:bottom w:val="none" w:sz="0" w:space="0" w:color="auto"/>
        <w:right w:val="none" w:sz="0" w:space="0" w:color="auto"/>
      </w:divBdr>
    </w:div>
    <w:div w:id="2102070509">
      <w:bodyDiv w:val="1"/>
      <w:marLeft w:val="0"/>
      <w:marRight w:val="0"/>
      <w:marTop w:val="0"/>
      <w:marBottom w:val="0"/>
      <w:divBdr>
        <w:top w:val="none" w:sz="0" w:space="0" w:color="auto"/>
        <w:left w:val="none" w:sz="0" w:space="0" w:color="auto"/>
        <w:bottom w:val="none" w:sz="0" w:space="0" w:color="auto"/>
        <w:right w:val="none" w:sz="0" w:space="0" w:color="auto"/>
      </w:divBdr>
    </w:div>
    <w:div w:id="2102141049">
      <w:bodyDiv w:val="1"/>
      <w:marLeft w:val="0"/>
      <w:marRight w:val="0"/>
      <w:marTop w:val="0"/>
      <w:marBottom w:val="0"/>
      <w:divBdr>
        <w:top w:val="none" w:sz="0" w:space="0" w:color="auto"/>
        <w:left w:val="none" w:sz="0" w:space="0" w:color="auto"/>
        <w:bottom w:val="none" w:sz="0" w:space="0" w:color="auto"/>
        <w:right w:val="none" w:sz="0" w:space="0" w:color="auto"/>
      </w:divBdr>
    </w:div>
    <w:div w:id="2102214248">
      <w:bodyDiv w:val="1"/>
      <w:marLeft w:val="0"/>
      <w:marRight w:val="0"/>
      <w:marTop w:val="0"/>
      <w:marBottom w:val="0"/>
      <w:divBdr>
        <w:top w:val="none" w:sz="0" w:space="0" w:color="auto"/>
        <w:left w:val="none" w:sz="0" w:space="0" w:color="auto"/>
        <w:bottom w:val="none" w:sz="0" w:space="0" w:color="auto"/>
        <w:right w:val="none" w:sz="0" w:space="0" w:color="auto"/>
      </w:divBdr>
    </w:div>
    <w:div w:id="2102528101">
      <w:bodyDiv w:val="1"/>
      <w:marLeft w:val="0"/>
      <w:marRight w:val="0"/>
      <w:marTop w:val="0"/>
      <w:marBottom w:val="0"/>
      <w:divBdr>
        <w:top w:val="none" w:sz="0" w:space="0" w:color="auto"/>
        <w:left w:val="none" w:sz="0" w:space="0" w:color="auto"/>
        <w:bottom w:val="none" w:sz="0" w:space="0" w:color="auto"/>
        <w:right w:val="none" w:sz="0" w:space="0" w:color="auto"/>
      </w:divBdr>
    </w:div>
    <w:div w:id="2102722989">
      <w:bodyDiv w:val="1"/>
      <w:marLeft w:val="0"/>
      <w:marRight w:val="0"/>
      <w:marTop w:val="0"/>
      <w:marBottom w:val="0"/>
      <w:divBdr>
        <w:top w:val="none" w:sz="0" w:space="0" w:color="auto"/>
        <w:left w:val="none" w:sz="0" w:space="0" w:color="auto"/>
        <w:bottom w:val="none" w:sz="0" w:space="0" w:color="auto"/>
        <w:right w:val="none" w:sz="0" w:space="0" w:color="auto"/>
      </w:divBdr>
    </w:div>
    <w:div w:id="2102749248">
      <w:bodyDiv w:val="1"/>
      <w:marLeft w:val="0"/>
      <w:marRight w:val="0"/>
      <w:marTop w:val="0"/>
      <w:marBottom w:val="0"/>
      <w:divBdr>
        <w:top w:val="none" w:sz="0" w:space="0" w:color="auto"/>
        <w:left w:val="none" w:sz="0" w:space="0" w:color="auto"/>
        <w:bottom w:val="none" w:sz="0" w:space="0" w:color="auto"/>
        <w:right w:val="none" w:sz="0" w:space="0" w:color="auto"/>
      </w:divBdr>
    </w:div>
    <w:div w:id="2102942349">
      <w:bodyDiv w:val="1"/>
      <w:marLeft w:val="0"/>
      <w:marRight w:val="0"/>
      <w:marTop w:val="0"/>
      <w:marBottom w:val="0"/>
      <w:divBdr>
        <w:top w:val="none" w:sz="0" w:space="0" w:color="auto"/>
        <w:left w:val="none" w:sz="0" w:space="0" w:color="auto"/>
        <w:bottom w:val="none" w:sz="0" w:space="0" w:color="auto"/>
        <w:right w:val="none" w:sz="0" w:space="0" w:color="auto"/>
      </w:divBdr>
    </w:div>
    <w:div w:id="2102988823">
      <w:bodyDiv w:val="1"/>
      <w:marLeft w:val="0"/>
      <w:marRight w:val="0"/>
      <w:marTop w:val="0"/>
      <w:marBottom w:val="0"/>
      <w:divBdr>
        <w:top w:val="none" w:sz="0" w:space="0" w:color="auto"/>
        <w:left w:val="none" w:sz="0" w:space="0" w:color="auto"/>
        <w:bottom w:val="none" w:sz="0" w:space="0" w:color="auto"/>
        <w:right w:val="none" w:sz="0" w:space="0" w:color="auto"/>
      </w:divBdr>
    </w:div>
    <w:div w:id="2103258253">
      <w:bodyDiv w:val="1"/>
      <w:marLeft w:val="0"/>
      <w:marRight w:val="0"/>
      <w:marTop w:val="0"/>
      <w:marBottom w:val="0"/>
      <w:divBdr>
        <w:top w:val="none" w:sz="0" w:space="0" w:color="auto"/>
        <w:left w:val="none" w:sz="0" w:space="0" w:color="auto"/>
        <w:bottom w:val="none" w:sz="0" w:space="0" w:color="auto"/>
        <w:right w:val="none" w:sz="0" w:space="0" w:color="auto"/>
      </w:divBdr>
    </w:div>
    <w:div w:id="2103529485">
      <w:bodyDiv w:val="1"/>
      <w:marLeft w:val="0"/>
      <w:marRight w:val="0"/>
      <w:marTop w:val="0"/>
      <w:marBottom w:val="0"/>
      <w:divBdr>
        <w:top w:val="none" w:sz="0" w:space="0" w:color="auto"/>
        <w:left w:val="none" w:sz="0" w:space="0" w:color="auto"/>
        <w:bottom w:val="none" w:sz="0" w:space="0" w:color="auto"/>
        <w:right w:val="none" w:sz="0" w:space="0" w:color="auto"/>
      </w:divBdr>
    </w:div>
    <w:div w:id="2103604893">
      <w:bodyDiv w:val="1"/>
      <w:marLeft w:val="0"/>
      <w:marRight w:val="0"/>
      <w:marTop w:val="0"/>
      <w:marBottom w:val="0"/>
      <w:divBdr>
        <w:top w:val="none" w:sz="0" w:space="0" w:color="auto"/>
        <w:left w:val="none" w:sz="0" w:space="0" w:color="auto"/>
        <w:bottom w:val="none" w:sz="0" w:space="0" w:color="auto"/>
        <w:right w:val="none" w:sz="0" w:space="0" w:color="auto"/>
      </w:divBdr>
    </w:div>
    <w:div w:id="2103649220">
      <w:bodyDiv w:val="1"/>
      <w:marLeft w:val="0"/>
      <w:marRight w:val="0"/>
      <w:marTop w:val="0"/>
      <w:marBottom w:val="0"/>
      <w:divBdr>
        <w:top w:val="none" w:sz="0" w:space="0" w:color="auto"/>
        <w:left w:val="none" w:sz="0" w:space="0" w:color="auto"/>
        <w:bottom w:val="none" w:sz="0" w:space="0" w:color="auto"/>
        <w:right w:val="none" w:sz="0" w:space="0" w:color="auto"/>
      </w:divBdr>
    </w:div>
    <w:div w:id="2103649722">
      <w:bodyDiv w:val="1"/>
      <w:marLeft w:val="0"/>
      <w:marRight w:val="0"/>
      <w:marTop w:val="0"/>
      <w:marBottom w:val="0"/>
      <w:divBdr>
        <w:top w:val="none" w:sz="0" w:space="0" w:color="auto"/>
        <w:left w:val="none" w:sz="0" w:space="0" w:color="auto"/>
        <w:bottom w:val="none" w:sz="0" w:space="0" w:color="auto"/>
        <w:right w:val="none" w:sz="0" w:space="0" w:color="auto"/>
      </w:divBdr>
    </w:div>
    <w:div w:id="2104107965">
      <w:bodyDiv w:val="1"/>
      <w:marLeft w:val="0"/>
      <w:marRight w:val="0"/>
      <w:marTop w:val="0"/>
      <w:marBottom w:val="0"/>
      <w:divBdr>
        <w:top w:val="none" w:sz="0" w:space="0" w:color="auto"/>
        <w:left w:val="none" w:sz="0" w:space="0" w:color="auto"/>
        <w:bottom w:val="none" w:sz="0" w:space="0" w:color="auto"/>
        <w:right w:val="none" w:sz="0" w:space="0" w:color="auto"/>
      </w:divBdr>
    </w:div>
    <w:div w:id="2104524318">
      <w:bodyDiv w:val="1"/>
      <w:marLeft w:val="0"/>
      <w:marRight w:val="0"/>
      <w:marTop w:val="0"/>
      <w:marBottom w:val="0"/>
      <w:divBdr>
        <w:top w:val="none" w:sz="0" w:space="0" w:color="auto"/>
        <w:left w:val="none" w:sz="0" w:space="0" w:color="auto"/>
        <w:bottom w:val="none" w:sz="0" w:space="0" w:color="auto"/>
        <w:right w:val="none" w:sz="0" w:space="0" w:color="auto"/>
      </w:divBdr>
    </w:div>
    <w:div w:id="2104568554">
      <w:bodyDiv w:val="1"/>
      <w:marLeft w:val="0"/>
      <w:marRight w:val="0"/>
      <w:marTop w:val="0"/>
      <w:marBottom w:val="0"/>
      <w:divBdr>
        <w:top w:val="none" w:sz="0" w:space="0" w:color="auto"/>
        <w:left w:val="none" w:sz="0" w:space="0" w:color="auto"/>
        <w:bottom w:val="none" w:sz="0" w:space="0" w:color="auto"/>
        <w:right w:val="none" w:sz="0" w:space="0" w:color="auto"/>
      </w:divBdr>
    </w:div>
    <w:div w:id="2104719802">
      <w:bodyDiv w:val="1"/>
      <w:marLeft w:val="0"/>
      <w:marRight w:val="0"/>
      <w:marTop w:val="0"/>
      <w:marBottom w:val="0"/>
      <w:divBdr>
        <w:top w:val="none" w:sz="0" w:space="0" w:color="auto"/>
        <w:left w:val="none" w:sz="0" w:space="0" w:color="auto"/>
        <w:bottom w:val="none" w:sz="0" w:space="0" w:color="auto"/>
        <w:right w:val="none" w:sz="0" w:space="0" w:color="auto"/>
      </w:divBdr>
    </w:div>
    <w:div w:id="2104766500">
      <w:bodyDiv w:val="1"/>
      <w:marLeft w:val="0"/>
      <w:marRight w:val="0"/>
      <w:marTop w:val="0"/>
      <w:marBottom w:val="0"/>
      <w:divBdr>
        <w:top w:val="none" w:sz="0" w:space="0" w:color="auto"/>
        <w:left w:val="none" w:sz="0" w:space="0" w:color="auto"/>
        <w:bottom w:val="none" w:sz="0" w:space="0" w:color="auto"/>
        <w:right w:val="none" w:sz="0" w:space="0" w:color="auto"/>
      </w:divBdr>
    </w:div>
    <w:div w:id="2104912337">
      <w:bodyDiv w:val="1"/>
      <w:marLeft w:val="0"/>
      <w:marRight w:val="0"/>
      <w:marTop w:val="0"/>
      <w:marBottom w:val="0"/>
      <w:divBdr>
        <w:top w:val="none" w:sz="0" w:space="0" w:color="auto"/>
        <w:left w:val="none" w:sz="0" w:space="0" w:color="auto"/>
        <w:bottom w:val="none" w:sz="0" w:space="0" w:color="auto"/>
        <w:right w:val="none" w:sz="0" w:space="0" w:color="auto"/>
      </w:divBdr>
    </w:div>
    <w:div w:id="2104913775">
      <w:bodyDiv w:val="1"/>
      <w:marLeft w:val="0"/>
      <w:marRight w:val="0"/>
      <w:marTop w:val="0"/>
      <w:marBottom w:val="0"/>
      <w:divBdr>
        <w:top w:val="none" w:sz="0" w:space="0" w:color="auto"/>
        <w:left w:val="none" w:sz="0" w:space="0" w:color="auto"/>
        <w:bottom w:val="none" w:sz="0" w:space="0" w:color="auto"/>
        <w:right w:val="none" w:sz="0" w:space="0" w:color="auto"/>
      </w:divBdr>
    </w:div>
    <w:div w:id="2104914241">
      <w:bodyDiv w:val="1"/>
      <w:marLeft w:val="0"/>
      <w:marRight w:val="0"/>
      <w:marTop w:val="0"/>
      <w:marBottom w:val="0"/>
      <w:divBdr>
        <w:top w:val="none" w:sz="0" w:space="0" w:color="auto"/>
        <w:left w:val="none" w:sz="0" w:space="0" w:color="auto"/>
        <w:bottom w:val="none" w:sz="0" w:space="0" w:color="auto"/>
        <w:right w:val="none" w:sz="0" w:space="0" w:color="auto"/>
      </w:divBdr>
    </w:div>
    <w:div w:id="2105029329">
      <w:bodyDiv w:val="1"/>
      <w:marLeft w:val="0"/>
      <w:marRight w:val="0"/>
      <w:marTop w:val="0"/>
      <w:marBottom w:val="0"/>
      <w:divBdr>
        <w:top w:val="none" w:sz="0" w:space="0" w:color="auto"/>
        <w:left w:val="none" w:sz="0" w:space="0" w:color="auto"/>
        <w:bottom w:val="none" w:sz="0" w:space="0" w:color="auto"/>
        <w:right w:val="none" w:sz="0" w:space="0" w:color="auto"/>
      </w:divBdr>
    </w:div>
    <w:div w:id="2105034284">
      <w:bodyDiv w:val="1"/>
      <w:marLeft w:val="0"/>
      <w:marRight w:val="0"/>
      <w:marTop w:val="0"/>
      <w:marBottom w:val="0"/>
      <w:divBdr>
        <w:top w:val="none" w:sz="0" w:space="0" w:color="auto"/>
        <w:left w:val="none" w:sz="0" w:space="0" w:color="auto"/>
        <w:bottom w:val="none" w:sz="0" w:space="0" w:color="auto"/>
        <w:right w:val="none" w:sz="0" w:space="0" w:color="auto"/>
      </w:divBdr>
    </w:div>
    <w:div w:id="2105034728">
      <w:bodyDiv w:val="1"/>
      <w:marLeft w:val="0"/>
      <w:marRight w:val="0"/>
      <w:marTop w:val="0"/>
      <w:marBottom w:val="0"/>
      <w:divBdr>
        <w:top w:val="none" w:sz="0" w:space="0" w:color="auto"/>
        <w:left w:val="none" w:sz="0" w:space="0" w:color="auto"/>
        <w:bottom w:val="none" w:sz="0" w:space="0" w:color="auto"/>
        <w:right w:val="none" w:sz="0" w:space="0" w:color="auto"/>
      </w:divBdr>
    </w:div>
    <w:div w:id="2105153000">
      <w:bodyDiv w:val="1"/>
      <w:marLeft w:val="0"/>
      <w:marRight w:val="0"/>
      <w:marTop w:val="0"/>
      <w:marBottom w:val="0"/>
      <w:divBdr>
        <w:top w:val="none" w:sz="0" w:space="0" w:color="auto"/>
        <w:left w:val="none" w:sz="0" w:space="0" w:color="auto"/>
        <w:bottom w:val="none" w:sz="0" w:space="0" w:color="auto"/>
        <w:right w:val="none" w:sz="0" w:space="0" w:color="auto"/>
      </w:divBdr>
    </w:div>
    <w:div w:id="2105300012">
      <w:bodyDiv w:val="1"/>
      <w:marLeft w:val="0"/>
      <w:marRight w:val="0"/>
      <w:marTop w:val="0"/>
      <w:marBottom w:val="0"/>
      <w:divBdr>
        <w:top w:val="none" w:sz="0" w:space="0" w:color="auto"/>
        <w:left w:val="none" w:sz="0" w:space="0" w:color="auto"/>
        <w:bottom w:val="none" w:sz="0" w:space="0" w:color="auto"/>
        <w:right w:val="none" w:sz="0" w:space="0" w:color="auto"/>
      </w:divBdr>
    </w:div>
    <w:div w:id="2105375970">
      <w:bodyDiv w:val="1"/>
      <w:marLeft w:val="0"/>
      <w:marRight w:val="0"/>
      <w:marTop w:val="0"/>
      <w:marBottom w:val="0"/>
      <w:divBdr>
        <w:top w:val="none" w:sz="0" w:space="0" w:color="auto"/>
        <w:left w:val="none" w:sz="0" w:space="0" w:color="auto"/>
        <w:bottom w:val="none" w:sz="0" w:space="0" w:color="auto"/>
        <w:right w:val="none" w:sz="0" w:space="0" w:color="auto"/>
      </w:divBdr>
    </w:div>
    <w:div w:id="2105807799">
      <w:bodyDiv w:val="1"/>
      <w:marLeft w:val="0"/>
      <w:marRight w:val="0"/>
      <w:marTop w:val="0"/>
      <w:marBottom w:val="0"/>
      <w:divBdr>
        <w:top w:val="none" w:sz="0" w:space="0" w:color="auto"/>
        <w:left w:val="none" w:sz="0" w:space="0" w:color="auto"/>
        <w:bottom w:val="none" w:sz="0" w:space="0" w:color="auto"/>
        <w:right w:val="none" w:sz="0" w:space="0" w:color="auto"/>
      </w:divBdr>
    </w:div>
    <w:div w:id="2106032125">
      <w:bodyDiv w:val="1"/>
      <w:marLeft w:val="0"/>
      <w:marRight w:val="0"/>
      <w:marTop w:val="0"/>
      <w:marBottom w:val="0"/>
      <w:divBdr>
        <w:top w:val="none" w:sz="0" w:space="0" w:color="auto"/>
        <w:left w:val="none" w:sz="0" w:space="0" w:color="auto"/>
        <w:bottom w:val="none" w:sz="0" w:space="0" w:color="auto"/>
        <w:right w:val="none" w:sz="0" w:space="0" w:color="auto"/>
      </w:divBdr>
    </w:div>
    <w:div w:id="2106226046">
      <w:bodyDiv w:val="1"/>
      <w:marLeft w:val="0"/>
      <w:marRight w:val="0"/>
      <w:marTop w:val="0"/>
      <w:marBottom w:val="0"/>
      <w:divBdr>
        <w:top w:val="none" w:sz="0" w:space="0" w:color="auto"/>
        <w:left w:val="none" w:sz="0" w:space="0" w:color="auto"/>
        <w:bottom w:val="none" w:sz="0" w:space="0" w:color="auto"/>
        <w:right w:val="none" w:sz="0" w:space="0" w:color="auto"/>
      </w:divBdr>
    </w:div>
    <w:div w:id="2106460145">
      <w:bodyDiv w:val="1"/>
      <w:marLeft w:val="0"/>
      <w:marRight w:val="0"/>
      <w:marTop w:val="0"/>
      <w:marBottom w:val="0"/>
      <w:divBdr>
        <w:top w:val="none" w:sz="0" w:space="0" w:color="auto"/>
        <w:left w:val="none" w:sz="0" w:space="0" w:color="auto"/>
        <w:bottom w:val="none" w:sz="0" w:space="0" w:color="auto"/>
        <w:right w:val="none" w:sz="0" w:space="0" w:color="auto"/>
      </w:divBdr>
    </w:div>
    <w:div w:id="2106730459">
      <w:bodyDiv w:val="1"/>
      <w:marLeft w:val="0"/>
      <w:marRight w:val="0"/>
      <w:marTop w:val="0"/>
      <w:marBottom w:val="0"/>
      <w:divBdr>
        <w:top w:val="none" w:sz="0" w:space="0" w:color="auto"/>
        <w:left w:val="none" w:sz="0" w:space="0" w:color="auto"/>
        <w:bottom w:val="none" w:sz="0" w:space="0" w:color="auto"/>
        <w:right w:val="none" w:sz="0" w:space="0" w:color="auto"/>
      </w:divBdr>
    </w:div>
    <w:div w:id="2106879695">
      <w:bodyDiv w:val="1"/>
      <w:marLeft w:val="0"/>
      <w:marRight w:val="0"/>
      <w:marTop w:val="0"/>
      <w:marBottom w:val="0"/>
      <w:divBdr>
        <w:top w:val="none" w:sz="0" w:space="0" w:color="auto"/>
        <w:left w:val="none" w:sz="0" w:space="0" w:color="auto"/>
        <w:bottom w:val="none" w:sz="0" w:space="0" w:color="auto"/>
        <w:right w:val="none" w:sz="0" w:space="0" w:color="auto"/>
      </w:divBdr>
    </w:div>
    <w:div w:id="2107001300">
      <w:bodyDiv w:val="1"/>
      <w:marLeft w:val="0"/>
      <w:marRight w:val="0"/>
      <w:marTop w:val="0"/>
      <w:marBottom w:val="0"/>
      <w:divBdr>
        <w:top w:val="none" w:sz="0" w:space="0" w:color="auto"/>
        <w:left w:val="none" w:sz="0" w:space="0" w:color="auto"/>
        <w:bottom w:val="none" w:sz="0" w:space="0" w:color="auto"/>
        <w:right w:val="none" w:sz="0" w:space="0" w:color="auto"/>
      </w:divBdr>
    </w:div>
    <w:div w:id="2107536455">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7647518">
      <w:bodyDiv w:val="1"/>
      <w:marLeft w:val="0"/>
      <w:marRight w:val="0"/>
      <w:marTop w:val="0"/>
      <w:marBottom w:val="0"/>
      <w:divBdr>
        <w:top w:val="none" w:sz="0" w:space="0" w:color="auto"/>
        <w:left w:val="none" w:sz="0" w:space="0" w:color="auto"/>
        <w:bottom w:val="none" w:sz="0" w:space="0" w:color="auto"/>
        <w:right w:val="none" w:sz="0" w:space="0" w:color="auto"/>
      </w:divBdr>
    </w:div>
    <w:div w:id="2107731912">
      <w:bodyDiv w:val="1"/>
      <w:marLeft w:val="0"/>
      <w:marRight w:val="0"/>
      <w:marTop w:val="0"/>
      <w:marBottom w:val="0"/>
      <w:divBdr>
        <w:top w:val="none" w:sz="0" w:space="0" w:color="auto"/>
        <w:left w:val="none" w:sz="0" w:space="0" w:color="auto"/>
        <w:bottom w:val="none" w:sz="0" w:space="0" w:color="auto"/>
        <w:right w:val="none" w:sz="0" w:space="0" w:color="auto"/>
      </w:divBdr>
    </w:div>
    <w:div w:id="2108038892">
      <w:bodyDiv w:val="1"/>
      <w:marLeft w:val="0"/>
      <w:marRight w:val="0"/>
      <w:marTop w:val="0"/>
      <w:marBottom w:val="0"/>
      <w:divBdr>
        <w:top w:val="none" w:sz="0" w:space="0" w:color="auto"/>
        <w:left w:val="none" w:sz="0" w:space="0" w:color="auto"/>
        <w:bottom w:val="none" w:sz="0" w:space="0" w:color="auto"/>
        <w:right w:val="none" w:sz="0" w:space="0" w:color="auto"/>
      </w:divBdr>
    </w:div>
    <w:div w:id="2108502165">
      <w:bodyDiv w:val="1"/>
      <w:marLeft w:val="0"/>
      <w:marRight w:val="0"/>
      <w:marTop w:val="0"/>
      <w:marBottom w:val="0"/>
      <w:divBdr>
        <w:top w:val="none" w:sz="0" w:space="0" w:color="auto"/>
        <w:left w:val="none" w:sz="0" w:space="0" w:color="auto"/>
        <w:bottom w:val="none" w:sz="0" w:space="0" w:color="auto"/>
        <w:right w:val="none" w:sz="0" w:space="0" w:color="auto"/>
      </w:divBdr>
    </w:div>
    <w:div w:id="2108773195">
      <w:bodyDiv w:val="1"/>
      <w:marLeft w:val="0"/>
      <w:marRight w:val="0"/>
      <w:marTop w:val="0"/>
      <w:marBottom w:val="0"/>
      <w:divBdr>
        <w:top w:val="none" w:sz="0" w:space="0" w:color="auto"/>
        <w:left w:val="none" w:sz="0" w:space="0" w:color="auto"/>
        <w:bottom w:val="none" w:sz="0" w:space="0" w:color="auto"/>
        <w:right w:val="none" w:sz="0" w:space="0" w:color="auto"/>
      </w:divBdr>
    </w:div>
    <w:div w:id="2108961509">
      <w:bodyDiv w:val="1"/>
      <w:marLeft w:val="0"/>
      <w:marRight w:val="0"/>
      <w:marTop w:val="0"/>
      <w:marBottom w:val="0"/>
      <w:divBdr>
        <w:top w:val="none" w:sz="0" w:space="0" w:color="auto"/>
        <w:left w:val="none" w:sz="0" w:space="0" w:color="auto"/>
        <w:bottom w:val="none" w:sz="0" w:space="0" w:color="auto"/>
        <w:right w:val="none" w:sz="0" w:space="0" w:color="auto"/>
      </w:divBdr>
    </w:div>
    <w:div w:id="2109041751">
      <w:bodyDiv w:val="1"/>
      <w:marLeft w:val="0"/>
      <w:marRight w:val="0"/>
      <w:marTop w:val="0"/>
      <w:marBottom w:val="0"/>
      <w:divBdr>
        <w:top w:val="none" w:sz="0" w:space="0" w:color="auto"/>
        <w:left w:val="none" w:sz="0" w:space="0" w:color="auto"/>
        <w:bottom w:val="none" w:sz="0" w:space="0" w:color="auto"/>
        <w:right w:val="none" w:sz="0" w:space="0" w:color="auto"/>
      </w:divBdr>
    </w:div>
    <w:div w:id="2109082450">
      <w:bodyDiv w:val="1"/>
      <w:marLeft w:val="0"/>
      <w:marRight w:val="0"/>
      <w:marTop w:val="0"/>
      <w:marBottom w:val="0"/>
      <w:divBdr>
        <w:top w:val="none" w:sz="0" w:space="0" w:color="auto"/>
        <w:left w:val="none" w:sz="0" w:space="0" w:color="auto"/>
        <w:bottom w:val="none" w:sz="0" w:space="0" w:color="auto"/>
        <w:right w:val="none" w:sz="0" w:space="0" w:color="auto"/>
      </w:divBdr>
    </w:div>
    <w:div w:id="2109110356">
      <w:bodyDiv w:val="1"/>
      <w:marLeft w:val="0"/>
      <w:marRight w:val="0"/>
      <w:marTop w:val="0"/>
      <w:marBottom w:val="0"/>
      <w:divBdr>
        <w:top w:val="none" w:sz="0" w:space="0" w:color="auto"/>
        <w:left w:val="none" w:sz="0" w:space="0" w:color="auto"/>
        <w:bottom w:val="none" w:sz="0" w:space="0" w:color="auto"/>
        <w:right w:val="none" w:sz="0" w:space="0" w:color="auto"/>
      </w:divBdr>
    </w:div>
    <w:div w:id="2109349467">
      <w:bodyDiv w:val="1"/>
      <w:marLeft w:val="0"/>
      <w:marRight w:val="0"/>
      <w:marTop w:val="0"/>
      <w:marBottom w:val="0"/>
      <w:divBdr>
        <w:top w:val="none" w:sz="0" w:space="0" w:color="auto"/>
        <w:left w:val="none" w:sz="0" w:space="0" w:color="auto"/>
        <w:bottom w:val="none" w:sz="0" w:space="0" w:color="auto"/>
        <w:right w:val="none" w:sz="0" w:space="0" w:color="auto"/>
      </w:divBdr>
    </w:div>
    <w:div w:id="2109352930">
      <w:bodyDiv w:val="1"/>
      <w:marLeft w:val="0"/>
      <w:marRight w:val="0"/>
      <w:marTop w:val="0"/>
      <w:marBottom w:val="0"/>
      <w:divBdr>
        <w:top w:val="none" w:sz="0" w:space="0" w:color="auto"/>
        <w:left w:val="none" w:sz="0" w:space="0" w:color="auto"/>
        <w:bottom w:val="none" w:sz="0" w:space="0" w:color="auto"/>
        <w:right w:val="none" w:sz="0" w:space="0" w:color="auto"/>
      </w:divBdr>
    </w:div>
    <w:div w:id="2109543061">
      <w:bodyDiv w:val="1"/>
      <w:marLeft w:val="0"/>
      <w:marRight w:val="0"/>
      <w:marTop w:val="0"/>
      <w:marBottom w:val="0"/>
      <w:divBdr>
        <w:top w:val="none" w:sz="0" w:space="0" w:color="auto"/>
        <w:left w:val="none" w:sz="0" w:space="0" w:color="auto"/>
        <w:bottom w:val="none" w:sz="0" w:space="0" w:color="auto"/>
        <w:right w:val="none" w:sz="0" w:space="0" w:color="auto"/>
      </w:divBdr>
    </w:div>
    <w:div w:id="2109617203">
      <w:bodyDiv w:val="1"/>
      <w:marLeft w:val="0"/>
      <w:marRight w:val="0"/>
      <w:marTop w:val="0"/>
      <w:marBottom w:val="0"/>
      <w:divBdr>
        <w:top w:val="none" w:sz="0" w:space="0" w:color="auto"/>
        <w:left w:val="none" w:sz="0" w:space="0" w:color="auto"/>
        <w:bottom w:val="none" w:sz="0" w:space="0" w:color="auto"/>
        <w:right w:val="none" w:sz="0" w:space="0" w:color="auto"/>
      </w:divBdr>
    </w:div>
    <w:div w:id="2109884989">
      <w:bodyDiv w:val="1"/>
      <w:marLeft w:val="0"/>
      <w:marRight w:val="0"/>
      <w:marTop w:val="0"/>
      <w:marBottom w:val="0"/>
      <w:divBdr>
        <w:top w:val="none" w:sz="0" w:space="0" w:color="auto"/>
        <w:left w:val="none" w:sz="0" w:space="0" w:color="auto"/>
        <w:bottom w:val="none" w:sz="0" w:space="0" w:color="auto"/>
        <w:right w:val="none" w:sz="0" w:space="0" w:color="auto"/>
      </w:divBdr>
    </w:div>
    <w:div w:id="2110081888">
      <w:bodyDiv w:val="1"/>
      <w:marLeft w:val="0"/>
      <w:marRight w:val="0"/>
      <w:marTop w:val="0"/>
      <w:marBottom w:val="0"/>
      <w:divBdr>
        <w:top w:val="none" w:sz="0" w:space="0" w:color="auto"/>
        <w:left w:val="none" w:sz="0" w:space="0" w:color="auto"/>
        <w:bottom w:val="none" w:sz="0" w:space="0" w:color="auto"/>
        <w:right w:val="none" w:sz="0" w:space="0" w:color="auto"/>
      </w:divBdr>
    </w:div>
    <w:div w:id="2110157532">
      <w:bodyDiv w:val="1"/>
      <w:marLeft w:val="0"/>
      <w:marRight w:val="0"/>
      <w:marTop w:val="0"/>
      <w:marBottom w:val="0"/>
      <w:divBdr>
        <w:top w:val="none" w:sz="0" w:space="0" w:color="auto"/>
        <w:left w:val="none" w:sz="0" w:space="0" w:color="auto"/>
        <w:bottom w:val="none" w:sz="0" w:space="0" w:color="auto"/>
        <w:right w:val="none" w:sz="0" w:space="0" w:color="auto"/>
      </w:divBdr>
    </w:div>
    <w:div w:id="2110348885">
      <w:bodyDiv w:val="1"/>
      <w:marLeft w:val="0"/>
      <w:marRight w:val="0"/>
      <w:marTop w:val="0"/>
      <w:marBottom w:val="0"/>
      <w:divBdr>
        <w:top w:val="none" w:sz="0" w:space="0" w:color="auto"/>
        <w:left w:val="none" w:sz="0" w:space="0" w:color="auto"/>
        <w:bottom w:val="none" w:sz="0" w:space="0" w:color="auto"/>
        <w:right w:val="none" w:sz="0" w:space="0" w:color="auto"/>
      </w:divBdr>
    </w:div>
    <w:div w:id="2110464540">
      <w:bodyDiv w:val="1"/>
      <w:marLeft w:val="0"/>
      <w:marRight w:val="0"/>
      <w:marTop w:val="0"/>
      <w:marBottom w:val="0"/>
      <w:divBdr>
        <w:top w:val="none" w:sz="0" w:space="0" w:color="auto"/>
        <w:left w:val="none" w:sz="0" w:space="0" w:color="auto"/>
        <w:bottom w:val="none" w:sz="0" w:space="0" w:color="auto"/>
        <w:right w:val="none" w:sz="0" w:space="0" w:color="auto"/>
      </w:divBdr>
    </w:div>
    <w:div w:id="2110738691">
      <w:bodyDiv w:val="1"/>
      <w:marLeft w:val="0"/>
      <w:marRight w:val="0"/>
      <w:marTop w:val="0"/>
      <w:marBottom w:val="0"/>
      <w:divBdr>
        <w:top w:val="none" w:sz="0" w:space="0" w:color="auto"/>
        <w:left w:val="none" w:sz="0" w:space="0" w:color="auto"/>
        <w:bottom w:val="none" w:sz="0" w:space="0" w:color="auto"/>
        <w:right w:val="none" w:sz="0" w:space="0" w:color="auto"/>
      </w:divBdr>
    </w:div>
    <w:div w:id="2110810671">
      <w:bodyDiv w:val="1"/>
      <w:marLeft w:val="0"/>
      <w:marRight w:val="0"/>
      <w:marTop w:val="0"/>
      <w:marBottom w:val="0"/>
      <w:divBdr>
        <w:top w:val="none" w:sz="0" w:space="0" w:color="auto"/>
        <w:left w:val="none" w:sz="0" w:space="0" w:color="auto"/>
        <w:bottom w:val="none" w:sz="0" w:space="0" w:color="auto"/>
        <w:right w:val="none" w:sz="0" w:space="0" w:color="auto"/>
      </w:divBdr>
    </w:div>
    <w:div w:id="2110932657">
      <w:bodyDiv w:val="1"/>
      <w:marLeft w:val="0"/>
      <w:marRight w:val="0"/>
      <w:marTop w:val="0"/>
      <w:marBottom w:val="0"/>
      <w:divBdr>
        <w:top w:val="none" w:sz="0" w:space="0" w:color="auto"/>
        <w:left w:val="none" w:sz="0" w:space="0" w:color="auto"/>
        <w:bottom w:val="none" w:sz="0" w:space="0" w:color="auto"/>
        <w:right w:val="none" w:sz="0" w:space="0" w:color="auto"/>
      </w:divBdr>
    </w:div>
    <w:div w:id="2111268208">
      <w:bodyDiv w:val="1"/>
      <w:marLeft w:val="0"/>
      <w:marRight w:val="0"/>
      <w:marTop w:val="0"/>
      <w:marBottom w:val="0"/>
      <w:divBdr>
        <w:top w:val="none" w:sz="0" w:space="0" w:color="auto"/>
        <w:left w:val="none" w:sz="0" w:space="0" w:color="auto"/>
        <w:bottom w:val="none" w:sz="0" w:space="0" w:color="auto"/>
        <w:right w:val="none" w:sz="0" w:space="0" w:color="auto"/>
      </w:divBdr>
    </w:div>
    <w:div w:id="2111391195">
      <w:bodyDiv w:val="1"/>
      <w:marLeft w:val="0"/>
      <w:marRight w:val="0"/>
      <w:marTop w:val="0"/>
      <w:marBottom w:val="0"/>
      <w:divBdr>
        <w:top w:val="none" w:sz="0" w:space="0" w:color="auto"/>
        <w:left w:val="none" w:sz="0" w:space="0" w:color="auto"/>
        <w:bottom w:val="none" w:sz="0" w:space="0" w:color="auto"/>
        <w:right w:val="none" w:sz="0" w:space="0" w:color="auto"/>
      </w:divBdr>
    </w:div>
    <w:div w:id="2111468290">
      <w:bodyDiv w:val="1"/>
      <w:marLeft w:val="0"/>
      <w:marRight w:val="0"/>
      <w:marTop w:val="0"/>
      <w:marBottom w:val="0"/>
      <w:divBdr>
        <w:top w:val="none" w:sz="0" w:space="0" w:color="auto"/>
        <w:left w:val="none" w:sz="0" w:space="0" w:color="auto"/>
        <w:bottom w:val="none" w:sz="0" w:space="0" w:color="auto"/>
        <w:right w:val="none" w:sz="0" w:space="0" w:color="auto"/>
      </w:divBdr>
    </w:div>
    <w:div w:id="2111509943">
      <w:bodyDiv w:val="1"/>
      <w:marLeft w:val="0"/>
      <w:marRight w:val="0"/>
      <w:marTop w:val="0"/>
      <w:marBottom w:val="0"/>
      <w:divBdr>
        <w:top w:val="none" w:sz="0" w:space="0" w:color="auto"/>
        <w:left w:val="none" w:sz="0" w:space="0" w:color="auto"/>
        <w:bottom w:val="none" w:sz="0" w:space="0" w:color="auto"/>
        <w:right w:val="none" w:sz="0" w:space="0" w:color="auto"/>
      </w:divBdr>
    </w:div>
    <w:div w:id="2111579635">
      <w:bodyDiv w:val="1"/>
      <w:marLeft w:val="0"/>
      <w:marRight w:val="0"/>
      <w:marTop w:val="0"/>
      <w:marBottom w:val="0"/>
      <w:divBdr>
        <w:top w:val="none" w:sz="0" w:space="0" w:color="auto"/>
        <w:left w:val="none" w:sz="0" w:space="0" w:color="auto"/>
        <w:bottom w:val="none" w:sz="0" w:space="0" w:color="auto"/>
        <w:right w:val="none" w:sz="0" w:space="0" w:color="auto"/>
      </w:divBdr>
    </w:div>
    <w:div w:id="2111856879">
      <w:bodyDiv w:val="1"/>
      <w:marLeft w:val="0"/>
      <w:marRight w:val="0"/>
      <w:marTop w:val="0"/>
      <w:marBottom w:val="0"/>
      <w:divBdr>
        <w:top w:val="none" w:sz="0" w:space="0" w:color="auto"/>
        <w:left w:val="none" w:sz="0" w:space="0" w:color="auto"/>
        <w:bottom w:val="none" w:sz="0" w:space="0" w:color="auto"/>
        <w:right w:val="none" w:sz="0" w:space="0" w:color="auto"/>
      </w:divBdr>
    </w:div>
    <w:div w:id="2111898557">
      <w:bodyDiv w:val="1"/>
      <w:marLeft w:val="0"/>
      <w:marRight w:val="0"/>
      <w:marTop w:val="0"/>
      <w:marBottom w:val="0"/>
      <w:divBdr>
        <w:top w:val="none" w:sz="0" w:space="0" w:color="auto"/>
        <w:left w:val="none" w:sz="0" w:space="0" w:color="auto"/>
        <w:bottom w:val="none" w:sz="0" w:space="0" w:color="auto"/>
        <w:right w:val="none" w:sz="0" w:space="0" w:color="auto"/>
      </w:divBdr>
    </w:div>
    <w:div w:id="2112120294">
      <w:bodyDiv w:val="1"/>
      <w:marLeft w:val="0"/>
      <w:marRight w:val="0"/>
      <w:marTop w:val="0"/>
      <w:marBottom w:val="0"/>
      <w:divBdr>
        <w:top w:val="none" w:sz="0" w:space="0" w:color="auto"/>
        <w:left w:val="none" w:sz="0" w:space="0" w:color="auto"/>
        <w:bottom w:val="none" w:sz="0" w:space="0" w:color="auto"/>
        <w:right w:val="none" w:sz="0" w:space="0" w:color="auto"/>
      </w:divBdr>
    </w:div>
    <w:div w:id="2112160389">
      <w:bodyDiv w:val="1"/>
      <w:marLeft w:val="0"/>
      <w:marRight w:val="0"/>
      <w:marTop w:val="0"/>
      <w:marBottom w:val="0"/>
      <w:divBdr>
        <w:top w:val="none" w:sz="0" w:space="0" w:color="auto"/>
        <w:left w:val="none" w:sz="0" w:space="0" w:color="auto"/>
        <w:bottom w:val="none" w:sz="0" w:space="0" w:color="auto"/>
        <w:right w:val="none" w:sz="0" w:space="0" w:color="auto"/>
      </w:divBdr>
    </w:div>
    <w:div w:id="2112166264">
      <w:bodyDiv w:val="1"/>
      <w:marLeft w:val="0"/>
      <w:marRight w:val="0"/>
      <w:marTop w:val="0"/>
      <w:marBottom w:val="0"/>
      <w:divBdr>
        <w:top w:val="none" w:sz="0" w:space="0" w:color="auto"/>
        <w:left w:val="none" w:sz="0" w:space="0" w:color="auto"/>
        <w:bottom w:val="none" w:sz="0" w:space="0" w:color="auto"/>
        <w:right w:val="none" w:sz="0" w:space="0" w:color="auto"/>
      </w:divBdr>
    </w:div>
    <w:div w:id="2112428504">
      <w:bodyDiv w:val="1"/>
      <w:marLeft w:val="0"/>
      <w:marRight w:val="0"/>
      <w:marTop w:val="0"/>
      <w:marBottom w:val="0"/>
      <w:divBdr>
        <w:top w:val="none" w:sz="0" w:space="0" w:color="auto"/>
        <w:left w:val="none" w:sz="0" w:space="0" w:color="auto"/>
        <w:bottom w:val="none" w:sz="0" w:space="0" w:color="auto"/>
        <w:right w:val="none" w:sz="0" w:space="0" w:color="auto"/>
      </w:divBdr>
    </w:div>
    <w:div w:id="2112510582">
      <w:bodyDiv w:val="1"/>
      <w:marLeft w:val="0"/>
      <w:marRight w:val="0"/>
      <w:marTop w:val="0"/>
      <w:marBottom w:val="0"/>
      <w:divBdr>
        <w:top w:val="none" w:sz="0" w:space="0" w:color="auto"/>
        <w:left w:val="none" w:sz="0" w:space="0" w:color="auto"/>
        <w:bottom w:val="none" w:sz="0" w:space="0" w:color="auto"/>
        <w:right w:val="none" w:sz="0" w:space="0" w:color="auto"/>
      </w:divBdr>
    </w:div>
    <w:div w:id="2113161951">
      <w:bodyDiv w:val="1"/>
      <w:marLeft w:val="0"/>
      <w:marRight w:val="0"/>
      <w:marTop w:val="0"/>
      <w:marBottom w:val="0"/>
      <w:divBdr>
        <w:top w:val="none" w:sz="0" w:space="0" w:color="auto"/>
        <w:left w:val="none" w:sz="0" w:space="0" w:color="auto"/>
        <w:bottom w:val="none" w:sz="0" w:space="0" w:color="auto"/>
        <w:right w:val="none" w:sz="0" w:space="0" w:color="auto"/>
      </w:divBdr>
    </w:div>
    <w:div w:id="2113164886">
      <w:bodyDiv w:val="1"/>
      <w:marLeft w:val="0"/>
      <w:marRight w:val="0"/>
      <w:marTop w:val="0"/>
      <w:marBottom w:val="0"/>
      <w:divBdr>
        <w:top w:val="none" w:sz="0" w:space="0" w:color="auto"/>
        <w:left w:val="none" w:sz="0" w:space="0" w:color="auto"/>
        <w:bottom w:val="none" w:sz="0" w:space="0" w:color="auto"/>
        <w:right w:val="none" w:sz="0" w:space="0" w:color="auto"/>
      </w:divBdr>
    </w:div>
    <w:div w:id="2113233877">
      <w:bodyDiv w:val="1"/>
      <w:marLeft w:val="0"/>
      <w:marRight w:val="0"/>
      <w:marTop w:val="0"/>
      <w:marBottom w:val="0"/>
      <w:divBdr>
        <w:top w:val="none" w:sz="0" w:space="0" w:color="auto"/>
        <w:left w:val="none" w:sz="0" w:space="0" w:color="auto"/>
        <w:bottom w:val="none" w:sz="0" w:space="0" w:color="auto"/>
        <w:right w:val="none" w:sz="0" w:space="0" w:color="auto"/>
      </w:divBdr>
    </w:div>
    <w:div w:id="2113433380">
      <w:bodyDiv w:val="1"/>
      <w:marLeft w:val="0"/>
      <w:marRight w:val="0"/>
      <w:marTop w:val="0"/>
      <w:marBottom w:val="0"/>
      <w:divBdr>
        <w:top w:val="none" w:sz="0" w:space="0" w:color="auto"/>
        <w:left w:val="none" w:sz="0" w:space="0" w:color="auto"/>
        <w:bottom w:val="none" w:sz="0" w:space="0" w:color="auto"/>
        <w:right w:val="none" w:sz="0" w:space="0" w:color="auto"/>
      </w:divBdr>
    </w:div>
    <w:div w:id="2113476511">
      <w:bodyDiv w:val="1"/>
      <w:marLeft w:val="0"/>
      <w:marRight w:val="0"/>
      <w:marTop w:val="0"/>
      <w:marBottom w:val="0"/>
      <w:divBdr>
        <w:top w:val="none" w:sz="0" w:space="0" w:color="auto"/>
        <w:left w:val="none" w:sz="0" w:space="0" w:color="auto"/>
        <w:bottom w:val="none" w:sz="0" w:space="0" w:color="auto"/>
        <w:right w:val="none" w:sz="0" w:space="0" w:color="auto"/>
      </w:divBdr>
    </w:div>
    <w:div w:id="2113622195">
      <w:bodyDiv w:val="1"/>
      <w:marLeft w:val="0"/>
      <w:marRight w:val="0"/>
      <w:marTop w:val="0"/>
      <w:marBottom w:val="0"/>
      <w:divBdr>
        <w:top w:val="none" w:sz="0" w:space="0" w:color="auto"/>
        <w:left w:val="none" w:sz="0" w:space="0" w:color="auto"/>
        <w:bottom w:val="none" w:sz="0" w:space="0" w:color="auto"/>
        <w:right w:val="none" w:sz="0" w:space="0" w:color="auto"/>
      </w:divBdr>
    </w:div>
    <w:div w:id="2113932493">
      <w:bodyDiv w:val="1"/>
      <w:marLeft w:val="0"/>
      <w:marRight w:val="0"/>
      <w:marTop w:val="0"/>
      <w:marBottom w:val="0"/>
      <w:divBdr>
        <w:top w:val="none" w:sz="0" w:space="0" w:color="auto"/>
        <w:left w:val="none" w:sz="0" w:space="0" w:color="auto"/>
        <w:bottom w:val="none" w:sz="0" w:space="0" w:color="auto"/>
        <w:right w:val="none" w:sz="0" w:space="0" w:color="auto"/>
      </w:divBdr>
    </w:div>
    <w:div w:id="2114006580">
      <w:bodyDiv w:val="1"/>
      <w:marLeft w:val="0"/>
      <w:marRight w:val="0"/>
      <w:marTop w:val="0"/>
      <w:marBottom w:val="0"/>
      <w:divBdr>
        <w:top w:val="none" w:sz="0" w:space="0" w:color="auto"/>
        <w:left w:val="none" w:sz="0" w:space="0" w:color="auto"/>
        <w:bottom w:val="none" w:sz="0" w:space="0" w:color="auto"/>
        <w:right w:val="none" w:sz="0" w:space="0" w:color="auto"/>
      </w:divBdr>
    </w:div>
    <w:div w:id="2114129545">
      <w:bodyDiv w:val="1"/>
      <w:marLeft w:val="0"/>
      <w:marRight w:val="0"/>
      <w:marTop w:val="0"/>
      <w:marBottom w:val="0"/>
      <w:divBdr>
        <w:top w:val="none" w:sz="0" w:space="0" w:color="auto"/>
        <w:left w:val="none" w:sz="0" w:space="0" w:color="auto"/>
        <w:bottom w:val="none" w:sz="0" w:space="0" w:color="auto"/>
        <w:right w:val="none" w:sz="0" w:space="0" w:color="auto"/>
      </w:divBdr>
    </w:div>
    <w:div w:id="2114283024">
      <w:bodyDiv w:val="1"/>
      <w:marLeft w:val="0"/>
      <w:marRight w:val="0"/>
      <w:marTop w:val="0"/>
      <w:marBottom w:val="0"/>
      <w:divBdr>
        <w:top w:val="none" w:sz="0" w:space="0" w:color="auto"/>
        <w:left w:val="none" w:sz="0" w:space="0" w:color="auto"/>
        <w:bottom w:val="none" w:sz="0" w:space="0" w:color="auto"/>
        <w:right w:val="none" w:sz="0" w:space="0" w:color="auto"/>
      </w:divBdr>
    </w:div>
    <w:div w:id="2114593001">
      <w:bodyDiv w:val="1"/>
      <w:marLeft w:val="0"/>
      <w:marRight w:val="0"/>
      <w:marTop w:val="0"/>
      <w:marBottom w:val="0"/>
      <w:divBdr>
        <w:top w:val="none" w:sz="0" w:space="0" w:color="auto"/>
        <w:left w:val="none" w:sz="0" w:space="0" w:color="auto"/>
        <w:bottom w:val="none" w:sz="0" w:space="0" w:color="auto"/>
        <w:right w:val="none" w:sz="0" w:space="0" w:color="auto"/>
      </w:divBdr>
    </w:div>
    <w:div w:id="2114737457">
      <w:bodyDiv w:val="1"/>
      <w:marLeft w:val="0"/>
      <w:marRight w:val="0"/>
      <w:marTop w:val="0"/>
      <w:marBottom w:val="0"/>
      <w:divBdr>
        <w:top w:val="none" w:sz="0" w:space="0" w:color="auto"/>
        <w:left w:val="none" w:sz="0" w:space="0" w:color="auto"/>
        <w:bottom w:val="none" w:sz="0" w:space="0" w:color="auto"/>
        <w:right w:val="none" w:sz="0" w:space="0" w:color="auto"/>
      </w:divBdr>
    </w:div>
    <w:div w:id="2114737877">
      <w:bodyDiv w:val="1"/>
      <w:marLeft w:val="0"/>
      <w:marRight w:val="0"/>
      <w:marTop w:val="0"/>
      <w:marBottom w:val="0"/>
      <w:divBdr>
        <w:top w:val="none" w:sz="0" w:space="0" w:color="auto"/>
        <w:left w:val="none" w:sz="0" w:space="0" w:color="auto"/>
        <w:bottom w:val="none" w:sz="0" w:space="0" w:color="auto"/>
        <w:right w:val="none" w:sz="0" w:space="0" w:color="auto"/>
      </w:divBdr>
    </w:div>
    <w:div w:id="2114745192">
      <w:bodyDiv w:val="1"/>
      <w:marLeft w:val="0"/>
      <w:marRight w:val="0"/>
      <w:marTop w:val="0"/>
      <w:marBottom w:val="0"/>
      <w:divBdr>
        <w:top w:val="none" w:sz="0" w:space="0" w:color="auto"/>
        <w:left w:val="none" w:sz="0" w:space="0" w:color="auto"/>
        <w:bottom w:val="none" w:sz="0" w:space="0" w:color="auto"/>
        <w:right w:val="none" w:sz="0" w:space="0" w:color="auto"/>
      </w:divBdr>
    </w:div>
    <w:div w:id="2114785026">
      <w:bodyDiv w:val="1"/>
      <w:marLeft w:val="0"/>
      <w:marRight w:val="0"/>
      <w:marTop w:val="0"/>
      <w:marBottom w:val="0"/>
      <w:divBdr>
        <w:top w:val="none" w:sz="0" w:space="0" w:color="auto"/>
        <w:left w:val="none" w:sz="0" w:space="0" w:color="auto"/>
        <w:bottom w:val="none" w:sz="0" w:space="0" w:color="auto"/>
        <w:right w:val="none" w:sz="0" w:space="0" w:color="auto"/>
      </w:divBdr>
    </w:div>
    <w:div w:id="2114785790">
      <w:bodyDiv w:val="1"/>
      <w:marLeft w:val="0"/>
      <w:marRight w:val="0"/>
      <w:marTop w:val="0"/>
      <w:marBottom w:val="0"/>
      <w:divBdr>
        <w:top w:val="none" w:sz="0" w:space="0" w:color="auto"/>
        <w:left w:val="none" w:sz="0" w:space="0" w:color="auto"/>
        <w:bottom w:val="none" w:sz="0" w:space="0" w:color="auto"/>
        <w:right w:val="none" w:sz="0" w:space="0" w:color="auto"/>
      </w:divBdr>
    </w:div>
    <w:div w:id="2114978945">
      <w:bodyDiv w:val="1"/>
      <w:marLeft w:val="0"/>
      <w:marRight w:val="0"/>
      <w:marTop w:val="0"/>
      <w:marBottom w:val="0"/>
      <w:divBdr>
        <w:top w:val="none" w:sz="0" w:space="0" w:color="auto"/>
        <w:left w:val="none" w:sz="0" w:space="0" w:color="auto"/>
        <w:bottom w:val="none" w:sz="0" w:space="0" w:color="auto"/>
        <w:right w:val="none" w:sz="0" w:space="0" w:color="auto"/>
      </w:divBdr>
    </w:div>
    <w:div w:id="2115008931">
      <w:bodyDiv w:val="1"/>
      <w:marLeft w:val="0"/>
      <w:marRight w:val="0"/>
      <w:marTop w:val="0"/>
      <w:marBottom w:val="0"/>
      <w:divBdr>
        <w:top w:val="none" w:sz="0" w:space="0" w:color="auto"/>
        <w:left w:val="none" w:sz="0" w:space="0" w:color="auto"/>
        <w:bottom w:val="none" w:sz="0" w:space="0" w:color="auto"/>
        <w:right w:val="none" w:sz="0" w:space="0" w:color="auto"/>
      </w:divBdr>
    </w:div>
    <w:div w:id="2115130850">
      <w:bodyDiv w:val="1"/>
      <w:marLeft w:val="0"/>
      <w:marRight w:val="0"/>
      <w:marTop w:val="0"/>
      <w:marBottom w:val="0"/>
      <w:divBdr>
        <w:top w:val="none" w:sz="0" w:space="0" w:color="auto"/>
        <w:left w:val="none" w:sz="0" w:space="0" w:color="auto"/>
        <w:bottom w:val="none" w:sz="0" w:space="0" w:color="auto"/>
        <w:right w:val="none" w:sz="0" w:space="0" w:color="auto"/>
      </w:divBdr>
    </w:div>
    <w:div w:id="2115174468">
      <w:bodyDiv w:val="1"/>
      <w:marLeft w:val="0"/>
      <w:marRight w:val="0"/>
      <w:marTop w:val="0"/>
      <w:marBottom w:val="0"/>
      <w:divBdr>
        <w:top w:val="none" w:sz="0" w:space="0" w:color="auto"/>
        <w:left w:val="none" w:sz="0" w:space="0" w:color="auto"/>
        <w:bottom w:val="none" w:sz="0" w:space="0" w:color="auto"/>
        <w:right w:val="none" w:sz="0" w:space="0" w:color="auto"/>
      </w:divBdr>
    </w:div>
    <w:div w:id="2115247204">
      <w:bodyDiv w:val="1"/>
      <w:marLeft w:val="0"/>
      <w:marRight w:val="0"/>
      <w:marTop w:val="0"/>
      <w:marBottom w:val="0"/>
      <w:divBdr>
        <w:top w:val="none" w:sz="0" w:space="0" w:color="auto"/>
        <w:left w:val="none" w:sz="0" w:space="0" w:color="auto"/>
        <w:bottom w:val="none" w:sz="0" w:space="0" w:color="auto"/>
        <w:right w:val="none" w:sz="0" w:space="0" w:color="auto"/>
      </w:divBdr>
    </w:div>
    <w:div w:id="2115401286">
      <w:bodyDiv w:val="1"/>
      <w:marLeft w:val="0"/>
      <w:marRight w:val="0"/>
      <w:marTop w:val="0"/>
      <w:marBottom w:val="0"/>
      <w:divBdr>
        <w:top w:val="none" w:sz="0" w:space="0" w:color="auto"/>
        <w:left w:val="none" w:sz="0" w:space="0" w:color="auto"/>
        <w:bottom w:val="none" w:sz="0" w:space="0" w:color="auto"/>
        <w:right w:val="none" w:sz="0" w:space="0" w:color="auto"/>
      </w:divBdr>
    </w:div>
    <w:div w:id="2115637532">
      <w:bodyDiv w:val="1"/>
      <w:marLeft w:val="0"/>
      <w:marRight w:val="0"/>
      <w:marTop w:val="0"/>
      <w:marBottom w:val="0"/>
      <w:divBdr>
        <w:top w:val="none" w:sz="0" w:space="0" w:color="auto"/>
        <w:left w:val="none" w:sz="0" w:space="0" w:color="auto"/>
        <w:bottom w:val="none" w:sz="0" w:space="0" w:color="auto"/>
        <w:right w:val="none" w:sz="0" w:space="0" w:color="auto"/>
      </w:divBdr>
    </w:div>
    <w:div w:id="2115856556">
      <w:bodyDiv w:val="1"/>
      <w:marLeft w:val="0"/>
      <w:marRight w:val="0"/>
      <w:marTop w:val="0"/>
      <w:marBottom w:val="0"/>
      <w:divBdr>
        <w:top w:val="none" w:sz="0" w:space="0" w:color="auto"/>
        <w:left w:val="none" w:sz="0" w:space="0" w:color="auto"/>
        <w:bottom w:val="none" w:sz="0" w:space="0" w:color="auto"/>
        <w:right w:val="none" w:sz="0" w:space="0" w:color="auto"/>
      </w:divBdr>
    </w:div>
    <w:div w:id="2115974967">
      <w:bodyDiv w:val="1"/>
      <w:marLeft w:val="0"/>
      <w:marRight w:val="0"/>
      <w:marTop w:val="0"/>
      <w:marBottom w:val="0"/>
      <w:divBdr>
        <w:top w:val="none" w:sz="0" w:space="0" w:color="auto"/>
        <w:left w:val="none" w:sz="0" w:space="0" w:color="auto"/>
        <w:bottom w:val="none" w:sz="0" w:space="0" w:color="auto"/>
        <w:right w:val="none" w:sz="0" w:space="0" w:color="auto"/>
      </w:divBdr>
    </w:div>
    <w:div w:id="2116165869">
      <w:bodyDiv w:val="1"/>
      <w:marLeft w:val="0"/>
      <w:marRight w:val="0"/>
      <w:marTop w:val="0"/>
      <w:marBottom w:val="0"/>
      <w:divBdr>
        <w:top w:val="none" w:sz="0" w:space="0" w:color="auto"/>
        <w:left w:val="none" w:sz="0" w:space="0" w:color="auto"/>
        <w:bottom w:val="none" w:sz="0" w:space="0" w:color="auto"/>
        <w:right w:val="none" w:sz="0" w:space="0" w:color="auto"/>
      </w:divBdr>
    </w:div>
    <w:div w:id="2116241389">
      <w:bodyDiv w:val="1"/>
      <w:marLeft w:val="0"/>
      <w:marRight w:val="0"/>
      <w:marTop w:val="0"/>
      <w:marBottom w:val="0"/>
      <w:divBdr>
        <w:top w:val="none" w:sz="0" w:space="0" w:color="auto"/>
        <w:left w:val="none" w:sz="0" w:space="0" w:color="auto"/>
        <w:bottom w:val="none" w:sz="0" w:space="0" w:color="auto"/>
        <w:right w:val="none" w:sz="0" w:space="0" w:color="auto"/>
      </w:divBdr>
    </w:div>
    <w:div w:id="2116292717">
      <w:bodyDiv w:val="1"/>
      <w:marLeft w:val="0"/>
      <w:marRight w:val="0"/>
      <w:marTop w:val="0"/>
      <w:marBottom w:val="0"/>
      <w:divBdr>
        <w:top w:val="none" w:sz="0" w:space="0" w:color="auto"/>
        <w:left w:val="none" w:sz="0" w:space="0" w:color="auto"/>
        <w:bottom w:val="none" w:sz="0" w:space="0" w:color="auto"/>
        <w:right w:val="none" w:sz="0" w:space="0" w:color="auto"/>
      </w:divBdr>
    </w:div>
    <w:div w:id="2116515067">
      <w:bodyDiv w:val="1"/>
      <w:marLeft w:val="0"/>
      <w:marRight w:val="0"/>
      <w:marTop w:val="0"/>
      <w:marBottom w:val="0"/>
      <w:divBdr>
        <w:top w:val="none" w:sz="0" w:space="0" w:color="auto"/>
        <w:left w:val="none" w:sz="0" w:space="0" w:color="auto"/>
        <w:bottom w:val="none" w:sz="0" w:space="0" w:color="auto"/>
        <w:right w:val="none" w:sz="0" w:space="0" w:color="auto"/>
      </w:divBdr>
    </w:div>
    <w:div w:id="2116633636">
      <w:bodyDiv w:val="1"/>
      <w:marLeft w:val="0"/>
      <w:marRight w:val="0"/>
      <w:marTop w:val="0"/>
      <w:marBottom w:val="0"/>
      <w:divBdr>
        <w:top w:val="none" w:sz="0" w:space="0" w:color="auto"/>
        <w:left w:val="none" w:sz="0" w:space="0" w:color="auto"/>
        <w:bottom w:val="none" w:sz="0" w:space="0" w:color="auto"/>
        <w:right w:val="none" w:sz="0" w:space="0" w:color="auto"/>
      </w:divBdr>
    </w:div>
    <w:div w:id="2116778202">
      <w:bodyDiv w:val="1"/>
      <w:marLeft w:val="0"/>
      <w:marRight w:val="0"/>
      <w:marTop w:val="0"/>
      <w:marBottom w:val="0"/>
      <w:divBdr>
        <w:top w:val="none" w:sz="0" w:space="0" w:color="auto"/>
        <w:left w:val="none" w:sz="0" w:space="0" w:color="auto"/>
        <w:bottom w:val="none" w:sz="0" w:space="0" w:color="auto"/>
        <w:right w:val="none" w:sz="0" w:space="0" w:color="auto"/>
      </w:divBdr>
    </w:div>
    <w:div w:id="2117286066">
      <w:bodyDiv w:val="1"/>
      <w:marLeft w:val="0"/>
      <w:marRight w:val="0"/>
      <w:marTop w:val="0"/>
      <w:marBottom w:val="0"/>
      <w:divBdr>
        <w:top w:val="none" w:sz="0" w:space="0" w:color="auto"/>
        <w:left w:val="none" w:sz="0" w:space="0" w:color="auto"/>
        <w:bottom w:val="none" w:sz="0" w:space="0" w:color="auto"/>
        <w:right w:val="none" w:sz="0" w:space="0" w:color="auto"/>
      </w:divBdr>
    </w:div>
    <w:div w:id="2117360907">
      <w:bodyDiv w:val="1"/>
      <w:marLeft w:val="0"/>
      <w:marRight w:val="0"/>
      <w:marTop w:val="0"/>
      <w:marBottom w:val="0"/>
      <w:divBdr>
        <w:top w:val="none" w:sz="0" w:space="0" w:color="auto"/>
        <w:left w:val="none" w:sz="0" w:space="0" w:color="auto"/>
        <w:bottom w:val="none" w:sz="0" w:space="0" w:color="auto"/>
        <w:right w:val="none" w:sz="0" w:space="0" w:color="auto"/>
      </w:divBdr>
    </w:div>
    <w:div w:id="2117361614">
      <w:bodyDiv w:val="1"/>
      <w:marLeft w:val="0"/>
      <w:marRight w:val="0"/>
      <w:marTop w:val="0"/>
      <w:marBottom w:val="0"/>
      <w:divBdr>
        <w:top w:val="none" w:sz="0" w:space="0" w:color="auto"/>
        <w:left w:val="none" w:sz="0" w:space="0" w:color="auto"/>
        <w:bottom w:val="none" w:sz="0" w:space="0" w:color="auto"/>
        <w:right w:val="none" w:sz="0" w:space="0" w:color="auto"/>
      </w:divBdr>
    </w:div>
    <w:div w:id="2117557384">
      <w:bodyDiv w:val="1"/>
      <w:marLeft w:val="0"/>
      <w:marRight w:val="0"/>
      <w:marTop w:val="0"/>
      <w:marBottom w:val="0"/>
      <w:divBdr>
        <w:top w:val="none" w:sz="0" w:space="0" w:color="auto"/>
        <w:left w:val="none" w:sz="0" w:space="0" w:color="auto"/>
        <w:bottom w:val="none" w:sz="0" w:space="0" w:color="auto"/>
        <w:right w:val="none" w:sz="0" w:space="0" w:color="auto"/>
      </w:divBdr>
    </w:div>
    <w:div w:id="2117627942">
      <w:bodyDiv w:val="1"/>
      <w:marLeft w:val="0"/>
      <w:marRight w:val="0"/>
      <w:marTop w:val="0"/>
      <w:marBottom w:val="0"/>
      <w:divBdr>
        <w:top w:val="none" w:sz="0" w:space="0" w:color="auto"/>
        <w:left w:val="none" w:sz="0" w:space="0" w:color="auto"/>
        <w:bottom w:val="none" w:sz="0" w:space="0" w:color="auto"/>
        <w:right w:val="none" w:sz="0" w:space="0" w:color="auto"/>
      </w:divBdr>
    </w:div>
    <w:div w:id="2117824853">
      <w:bodyDiv w:val="1"/>
      <w:marLeft w:val="0"/>
      <w:marRight w:val="0"/>
      <w:marTop w:val="0"/>
      <w:marBottom w:val="0"/>
      <w:divBdr>
        <w:top w:val="none" w:sz="0" w:space="0" w:color="auto"/>
        <w:left w:val="none" w:sz="0" w:space="0" w:color="auto"/>
        <w:bottom w:val="none" w:sz="0" w:space="0" w:color="auto"/>
        <w:right w:val="none" w:sz="0" w:space="0" w:color="auto"/>
      </w:divBdr>
    </w:div>
    <w:div w:id="2117872255">
      <w:bodyDiv w:val="1"/>
      <w:marLeft w:val="0"/>
      <w:marRight w:val="0"/>
      <w:marTop w:val="0"/>
      <w:marBottom w:val="0"/>
      <w:divBdr>
        <w:top w:val="none" w:sz="0" w:space="0" w:color="auto"/>
        <w:left w:val="none" w:sz="0" w:space="0" w:color="auto"/>
        <w:bottom w:val="none" w:sz="0" w:space="0" w:color="auto"/>
        <w:right w:val="none" w:sz="0" w:space="0" w:color="auto"/>
      </w:divBdr>
    </w:div>
    <w:div w:id="2117944722">
      <w:bodyDiv w:val="1"/>
      <w:marLeft w:val="0"/>
      <w:marRight w:val="0"/>
      <w:marTop w:val="0"/>
      <w:marBottom w:val="0"/>
      <w:divBdr>
        <w:top w:val="none" w:sz="0" w:space="0" w:color="auto"/>
        <w:left w:val="none" w:sz="0" w:space="0" w:color="auto"/>
        <w:bottom w:val="none" w:sz="0" w:space="0" w:color="auto"/>
        <w:right w:val="none" w:sz="0" w:space="0" w:color="auto"/>
      </w:divBdr>
    </w:div>
    <w:div w:id="2118016444">
      <w:bodyDiv w:val="1"/>
      <w:marLeft w:val="0"/>
      <w:marRight w:val="0"/>
      <w:marTop w:val="0"/>
      <w:marBottom w:val="0"/>
      <w:divBdr>
        <w:top w:val="none" w:sz="0" w:space="0" w:color="auto"/>
        <w:left w:val="none" w:sz="0" w:space="0" w:color="auto"/>
        <w:bottom w:val="none" w:sz="0" w:space="0" w:color="auto"/>
        <w:right w:val="none" w:sz="0" w:space="0" w:color="auto"/>
      </w:divBdr>
    </w:div>
    <w:div w:id="2118210604">
      <w:bodyDiv w:val="1"/>
      <w:marLeft w:val="0"/>
      <w:marRight w:val="0"/>
      <w:marTop w:val="0"/>
      <w:marBottom w:val="0"/>
      <w:divBdr>
        <w:top w:val="none" w:sz="0" w:space="0" w:color="auto"/>
        <w:left w:val="none" w:sz="0" w:space="0" w:color="auto"/>
        <w:bottom w:val="none" w:sz="0" w:space="0" w:color="auto"/>
        <w:right w:val="none" w:sz="0" w:space="0" w:color="auto"/>
      </w:divBdr>
    </w:div>
    <w:div w:id="2118285530">
      <w:bodyDiv w:val="1"/>
      <w:marLeft w:val="0"/>
      <w:marRight w:val="0"/>
      <w:marTop w:val="0"/>
      <w:marBottom w:val="0"/>
      <w:divBdr>
        <w:top w:val="none" w:sz="0" w:space="0" w:color="auto"/>
        <w:left w:val="none" w:sz="0" w:space="0" w:color="auto"/>
        <w:bottom w:val="none" w:sz="0" w:space="0" w:color="auto"/>
        <w:right w:val="none" w:sz="0" w:space="0" w:color="auto"/>
      </w:divBdr>
    </w:div>
    <w:div w:id="2118669923">
      <w:bodyDiv w:val="1"/>
      <w:marLeft w:val="0"/>
      <w:marRight w:val="0"/>
      <w:marTop w:val="0"/>
      <w:marBottom w:val="0"/>
      <w:divBdr>
        <w:top w:val="none" w:sz="0" w:space="0" w:color="auto"/>
        <w:left w:val="none" w:sz="0" w:space="0" w:color="auto"/>
        <w:bottom w:val="none" w:sz="0" w:space="0" w:color="auto"/>
        <w:right w:val="none" w:sz="0" w:space="0" w:color="auto"/>
      </w:divBdr>
    </w:div>
    <w:div w:id="2118672681">
      <w:bodyDiv w:val="1"/>
      <w:marLeft w:val="0"/>
      <w:marRight w:val="0"/>
      <w:marTop w:val="0"/>
      <w:marBottom w:val="0"/>
      <w:divBdr>
        <w:top w:val="none" w:sz="0" w:space="0" w:color="auto"/>
        <w:left w:val="none" w:sz="0" w:space="0" w:color="auto"/>
        <w:bottom w:val="none" w:sz="0" w:space="0" w:color="auto"/>
        <w:right w:val="none" w:sz="0" w:space="0" w:color="auto"/>
      </w:divBdr>
    </w:div>
    <w:div w:id="2118673810">
      <w:bodyDiv w:val="1"/>
      <w:marLeft w:val="0"/>
      <w:marRight w:val="0"/>
      <w:marTop w:val="0"/>
      <w:marBottom w:val="0"/>
      <w:divBdr>
        <w:top w:val="none" w:sz="0" w:space="0" w:color="auto"/>
        <w:left w:val="none" w:sz="0" w:space="0" w:color="auto"/>
        <w:bottom w:val="none" w:sz="0" w:space="0" w:color="auto"/>
        <w:right w:val="none" w:sz="0" w:space="0" w:color="auto"/>
      </w:divBdr>
    </w:div>
    <w:div w:id="2118914003">
      <w:bodyDiv w:val="1"/>
      <w:marLeft w:val="0"/>
      <w:marRight w:val="0"/>
      <w:marTop w:val="0"/>
      <w:marBottom w:val="0"/>
      <w:divBdr>
        <w:top w:val="none" w:sz="0" w:space="0" w:color="auto"/>
        <w:left w:val="none" w:sz="0" w:space="0" w:color="auto"/>
        <w:bottom w:val="none" w:sz="0" w:space="0" w:color="auto"/>
        <w:right w:val="none" w:sz="0" w:space="0" w:color="auto"/>
      </w:divBdr>
    </w:div>
    <w:div w:id="2118985749">
      <w:bodyDiv w:val="1"/>
      <w:marLeft w:val="0"/>
      <w:marRight w:val="0"/>
      <w:marTop w:val="0"/>
      <w:marBottom w:val="0"/>
      <w:divBdr>
        <w:top w:val="none" w:sz="0" w:space="0" w:color="auto"/>
        <w:left w:val="none" w:sz="0" w:space="0" w:color="auto"/>
        <w:bottom w:val="none" w:sz="0" w:space="0" w:color="auto"/>
        <w:right w:val="none" w:sz="0" w:space="0" w:color="auto"/>
      </w:divBdr>
    </w:div>
    <w:div w:id="2119058928">
      <w:bodyDiv w:val="1"/>
      <w:marLeft w:val="0"/>
      <w:marRight w:val="0"/>
      <w:marTop w:val="0"/>
      <w:marBottom w:val="0"/>
      <w:divBdr>
        <w:top w:val="none" w:sz="0" w:space="0" w:color="auto"/>
        <w:left w:val="none" w:sz="0" w:space="0" w:color="auto"/>
        <w:bottom w:val="none" w:sz="0" w:space="0" w:color="auto"/>
        <w:right w:val="none" w:sz="0" w:space="0" w:color="auto"/>
      </w:divBdr>
    </w:div>
    <w:div w:id="2119256326">
      <w:bodyDiv w:val="1"/>
      <w:marLeft w:val="0"/>
      <w:marRight w:val="0"/>
      <w:marTop w:val="0"/>
      <w:marBottom w:val="0"/>
      <w:divBdr>
        <w:top w:val="none" w:sz="0" w:space="0" w:color="auto"/>
        <w:left w:val="none" w:sz="0" w:space="0" w:color="auto"/>
        <w:bottom w:val="none" w:sz="0" w:space="0" w:color="auto"/>
        <w:right w:val="none" w:sz="0" w:space="0" w:color="auto"/>
      </w:divBdr>
    </w:div>
    <w:div w:id="2119330131">
      <w:bodyDiv w:val="1"/>
      <w:marLeft w:val="0"/>
      <w:marRight w:val="0"/>
      <w:marTop w:val="0"/>
      <w:marBottom w:val="0"/>
      <w:divBdr>
        <w:top w:val="none" w:sz="0" w:space="0" w:color="auto"/>
        <w:left w:val="none" w:sz="0" w:space="0" w:color="auto"/>
        <w:bottom w:val="none" w:sz="0" w:space="0" w:color="auto"/>
        <w:right w:val="none" w:sz="0" w:space="0" w:color="auto"/>
      </w:divBdr>
    </w:div>
    <w:div w:id="2119714422">
      <w:bodyDiv w:val="1"/>
      <w:marLeft w:val="0"/>
      <w:marRight w:val="0"/>
      <w:marTop w:val="0"/>
      <w:marBottom w:val="0"/>
      <w:divBdr>
        <w:top w:val="none" w:sz="0" w:space="0" w:color="auto"/>
        <w:left w:val="none" w:sz="0" w:space="0" w:color="auto"/>
        <w:bottom w:val="none" w:sz="0" w:space="0" w:color="auto"/>
        <w:right w:val="none" w:sz="0" w:space="0" w:color="auto"/>
      </w:divBdr>
    </w:div>
    <w:div w:id="2119717928">
      <w:bodyDiv w:val="1"/>
      <w:marLeft w:val="0"/>
      <w:marRight w:val="0"/>
      <w:marTop w:val="0"/>
      <w:marBottom w:val="0"/>
      <w:divBdr>
        <w:top w:val="none" w:sz="0" w:space="0" w:color="auto"/>
        <w:left w:val="none" w:sz="0" w:space="0" w:color="auto"/>
        <w:bottom w:val="none" w:sz="0" w:space="0" w:color="auto"/>
        <w:right w:val="none" w:sz="0" w:space="0" w:color="auto"/>
      </w:divBdr>
    </w:div>
    <w:div w:id="2119719102">
      <w:bodyDiv w:val="1"/>
      <w:marLeft w:val="0"/>
      <w:marRight w:val="0"/>
      <w:marTop w:val="0"/>
      <w:marBottom w:val="0"/>
      <w:divBdr>
        <w:top w:val="none" w:sz="0" w:space="0" w:color="auto"/>
        <w:left w:val="none" w:sz="0" w:space="0" w:color="auto"/>
        <w:bottom w:val="none" w:sz="0" w:space="0" w:color="auto"/>
        <w:right w:val="none" w:sz="0" w:space="0" w:color="auto"/>
      </w:divBdr>
    </w:div>
    <w:div w:id="2119786970">
      <w:bodyDiv w:val="1"/>
      <w:marLeft w:val="0"/>
      <w:marRight w:val="0"/>
      <w:marTop w:val="0"/>
      <w:marBottom w:val="0"/>
      <w:divBdr>
        <w:top w:val="none" w:sz="0" w:space="0" w:color="auto"/>
        <w:left w:val="none" w:sz="0" w:space="0" w:color="auto"/>
        <w:bottom w:val="none" w:sz="0" w:space="0" w:color="auto"/>
        <w:right w:val="none" w:sz="0" w:space="0" w:color="auto"/>
      </w:divBdr>
    </w:div>
    <w:div w:id="2120709944">
      <w:bodyDiv w:val="1"/>
      <w:marLeft w:val="0"/>
      <w:marRight w:val="0"/>
      <w:marTop w:val="0"/>
      <w:marBottom w:val="0"/>
      <w:divBdr>
        <w:top w:val="none" w:sz="0" w:space="0" w:color="auto"/>
        <w:left w:val="none" w:sz="0" w:space="0" w:color="auto"/>
        <w:bottom w:val="none" w:sz="0" w:space="0" w:color="auto"/>
        <w:right w:val="none" w:sz="0" w:space="0" w:color="auto"/>
      </w:divBdr>
    </w:div>
    <w:div w:id="2121105373">
      <w:bodyDiv w:val="1"/>
      <w:marLeft w:val="0"/>
      <w:marRight w:val="0"/>
      <w:marTop w:val="0"/>
      <w:marBottom w:val="0"/>
      <w:divBdr>
        <w:top w:val="none" w:sz="0" w:space="0" w:color="auto"/>
        <w:left w:val="none" w:sz="0" w:space="0" w:color="auto"/>
        <w:bottom w:val="none" w:sz="0" w:space="0" w:color="auto"/>
        <w:right w:val="none" w:sz="0" w:space="0" w:color="auto"/>
      </w:divBdr>
    </w:div>
    <w:div w:id="2121139767">
      <w:bodyDiv w:val="1"/>
      <w:marLeft w:val="0"/>
      <w:marRight w:val="0"/>
      <w:marTop w:val="0"/>
      <w:marBottom w:val="0"/>
      <w:divBdr>
        <w:top w:val="none" w:sz="0" w:space="0" w:color="auto"/>
        <w:left w:val="none" w:sz="0" w:space="0" w:color="auto"/>
        <w:bottom w:val="none" w:sz="0" w:space="0" w:color="auto"/>
        <w:right w:val="none" w:sz="0" w:space="0" w:color="auto"/>
      </w:divBdr>
    </w:div>
    <w:div w:id="2121215464">
      <w:bodyDiv w:val="1"/>
      <w:marLeft w:val="0"/>
      <w:marRight w:val="0"/>
      <w:marTop w:val="0"/>
      <w:marBottom w:val="0"/>
      <w:divBdr>
        <w:top w:val="none" w:sz="0" w:space="0" w:color="auto"/>
        <w:left w:val="none" w:sz="0" w:space="0" w:color="auto"/>
        <w:bottom w:val="none" w:sz="0" w:space="0" w:color="auto"/>
        <w:right w:val="none" w:sz="0" w:space="0" w:color="auto"/>
      </w:divBdr>
    </w:div>
    <w:div w:id="2121563913">
      <w:bodyDiv w:val="1"/>
      <w:marLeft w:val="0"/>
      <w:marRight w:val="0"/>
      <w:marTop w:val="0"/>
      <w:marBottom w:val="0"/>
      <w:divBdr>
        <w:top w:val="none" w:sz="0" w:space="0" w:color="auto"/>
        <w:left w:val="none" w:sz="0" w:space="0" w:color="auto"/>
        <w:bottom w:val="none" w:sz="0" w:space="0" w:color="auto"/>
        <w:right w:val="none" w:sz="0" w:space="0" w:color="auto"/>
      </w:divBdr>
    </w:div>
    <w:div w:id="2121682398">
      <w:bodyDiv w:val="1"/>
      <w:marLeft w:val="0"/>
      <w:marRight w:val="0"/>
      <w:marTop w:val="0"/>
      <w:marBottom w:val="0"/>
      <w:divBdr>
        <w:top w:val="none" w:sz="0" w:space="0" w:color="auto"/>
        <w:left w:val="none" w:sz="0" w:space="0" w:color="auto"/>
        <w:bottom w:val="none" w:sz="0" w:space="0" w:color="auto"/>
        <w:right w:val="none" w:sz="0" w:space="0" w:color="auto"/>
      </w:divBdr>
    </w:div>
    <w:div w:id="2121797658">
      <w:bodyDiv w:val="1"/>
      <w:marLeft w:val="0"/>
      <w:marRight w:val="0"/>
      <w:marTop w:val="0"/>
      <w:marBottom w:val="0"/>
      <w:divBdr>
        <w:top w:val="none" w:sz="0" w:space="0" w:color="auto"/>
        <w:left w:val="none" w:sz="0" w:space="0" w:color="auto"/>
        <w:bottom w:val="none" w:sz="0" w:space="0" w:color="auto"/>
        <w:right w:val="none" w:sz="0" w:space="0" w:color="auto"/>
      </w:divBdr>
    </w:div>
    <w:div w:id="2121946217">
      <w:bodyDiv w:val="1"/>
      <w:marLeft w:val="0"/>
      <w:marRight w:val="0"/>
      <w:marTop w:val="0"/>
      <w:marBottom w:val="0"/>
      <w:divBdr>
        <w:top w:val="none" w:sz="0" w:space="0" w:color="auto"/>
        <w:left w:val="none" w:sz="0" w:space="0" w:color="auto"/>
        <w:bottom w:val="none" w:sz="0" w:space="0" w:color="auto"/>
        <w:right w:val="none" w:sz="0" w:space="0" w:color="auto"/>
      </w:divBdr>
    </w:div>
    <w:div w:id="2121946599">
      <w:bodyDiv w:val="1"/>
      <w:marLeft w:val="0"/>
      <w:marRight w:val="0"/>
      <w:marTop w:val="0"/>
      <w:marBottom w:val="0"/>
      <w:divBdr>
        <w:top w:val="none" w:sz="0" w:space="0" w:color="auto"/>
        <w:left w:val="none" w:sz="0" w:space="0" w:color="auto"/>
        <w:bottom w:val="none" w:sz="0" w:space="0" w:color="auto"/>
        <w:right w:val="none" w:sz="0" w:space="0" w:color="auto"/>
      </w:divBdr>
    </w:div>
    <w:div w:id="2122415366">
      <w:bodyDiv w:val="1"/>
      <w:marLeft w:val="0"/>
      <w:marRight w:val="0"/>
      <w:marTop w:val="0"/>
      <w:marBottom w:val="0"/>
      <w:divBdr>
        <w:top w:val="none" w:sz="0" w:space="0" w:color="auto"/>
        <w:left w:val="none" w:sz="0" w:space="0" w:color="auto"/>
        <w:bottom w:val="none" w:sz="0" w:space="0" w:color="auto"/>
        <w:right w:val="none" w:sz="0" w:space="0" w:color="auto"/>
      </w:divBdr>
    </w:div>
    <w:div w:id="2122450756">
      <w:bodyDiv w:val="1"/>
      <w:marLeft w:val="0"/>
      <w:marRight w:val="0"/>
      <w:marTop w:val="0"/>
      <w:marBottom w:val="0"/>
      <w:divBdr>
        <w:top w:val="none" w:sz="0" w:space="0" w:color="auto"/>
        <w:left w:val="none" w:sz="0" w:space="0" w:color="auto"/>
        <w:bottom w:val="none" w:sz="0" w:space="0" w:color="auto"/>
        <w:right w:val="none" w:sz="0" w:space="0" w:color="auto"/>
      </w:divBdr>
    </w:div>
    <w:div w:id="2122453634">
      <w:bodyDiv w:val="1"/>
      <w:marLeft w:val="0"/>
      <w:marRight w:val="0"/>
      <w:marTop w:val="0"/>
      <w:marBottom w:val="0"/>
      <w:divBdr>
        <w:top w:val="none" w:sz="0" w:space="0" w:color="auto"/>
        <w:left w:val="none" w:sz="0" w:space="0" w:color="auto"/>
        <w:bottom w:val="none" w:sz="0" w:space="0" w:color="auto"/>
        <w:right w:val="none" w:sz="0" w:space="0" w:color="auto"/>
      </w:divBdr>
    </w:div>
    <w:div w:id="2122797202">
      <w:bodyDiv w:val="1"/>
      <w:marLeft w:val="0"/>
      <w:marRight w:val="0"/>
      <w:marTop w:val="0"/>
      <w:marBottom w:val="0"/>
      <w:divBdr>
        <w:top w:val="none" w:sz="0" w:space="0" w:color="auto"/>
        <w:left w:val="none" w:sz="0" w:space="0" w:color="auto"/>
        <w:bottom w:val="none" w:sz="0" w:space="0" w:color="auto"/>
        <w:right w:val="none" w:sz="0" w:space="0" w:color="auto"/>
      </w:divBdr>
    </w:div>
    <w:div w:id="2122871198">
      <w:bodyDiv w:val="1"/>
      <w:marLeft w:val="0"/>
      <w:marRight w:val="0"/>
      <w:marTop w:val="0"/>
      <w:marBottom w:val="0"/>
      <w:divBdr>
        <w:top w:val="none" w:sz="0" w:space="0" w:color="auto"/>
        <w:left w:val="none" w:sz="0" w:space="0" w:color="auto"/>
        <w:bottom w:val="none" w:sz="0" w:space="0" w:color="auto"/>
        <w:right w:val="none" w:sz="0" w:space="0" w:color="auto"/>
      </w:divBdr>
    </w:div>
    <w:div w:id="2123301286">
      <w:bodyDiv w:val="1"/>
      <w:marLeft w:val="0"/>
      <w:marRight w:val="0"/>
      <w:marTop w:val="0"/>
      <w:marBottom w:val="0"/>
      <w:divBdr>
        <w:top w:val="none" w:sz="0" w:space="0" w:color="auto"/>
        <w:left w:val="none" w:sz="0" w:space="0" w:color="auto"/>
        <w:bottom w:val="none" w:sz="0" w:space="0" w:color="auto"/>
        <w:right w:val="none" w:sz="0" w:space="0" w:color="auto"/>
      </w:divBdr>
    </w:div>
    <w:div w:id="2123570596">
      <w:bodyDiv w:val="1"/>
      <w:marLeft w:val="0"/>
      <w:marRight w:val="0"/>
      <w:marTop w:val="0"/>
      <w:marBottom w:val="0"/>
      <w:divBdr>
        <w:top w:val="none" w:sz="0" w:space="0" w:color="auto"/>
        <w:left w:val="none" w:sz="0" w:space="0" w:color="auto"/>
        <w:bottom w:val="none" w:sz="0" w:space="0" w:color="auto"/>
        <w:right w:val="none" w:sz="0" w:space="0" w:color="auto"/>
      </w:divBdr>
    </w:div>
    <w:div w:id="2123572403">
      <w:bodyDiv w:val="1"/>
      <w:marLeft w:val="0"/>
      <w:marRight w:val="0"/>
      <w:marTop w:val="0"/>
      <w:marBottom w:val="0"/>
      <w:divBdr>
        <w:top w:val="none" w:sz="0" w:space="0" w:color="auto"/>
        <w:left w:val="none" w:sz="0" w:space="0" w:color="auto"/>
        <w:bottom w:val="none" w:sz="0" w:space="0" w:color="auto"/>
        <w:right w:val="none" w:sz="0" w:space="0" w:color="auto"/>
      </w:divBdr>
    </w:div>
    <w:div w:id="2123766163">
      <w:bodyDiv w:val="1"/>
      <w:marLeft w:val="0"/>
      <w:marRight w:val="0"/>
      <w:marTop w:val="0"/>
      <w:marBottom w:val="0"/>
      <w:divBdr>
        <w:top w:val="none" w:sz="0" w:space="0" w:color="auto"/>
        <w:left w:val="none" w:sz="0" w:space="0" w:color="auto"/>
        <w:bottom w:val="none" w:sz="0" w:space="0" w:color="auto"/>
        <w:right w:val="none" w:sz="0" w:space="0" w:color="auto"/>
      </w:divBdr>
    </w:div>
    <w:div w:id="2123913421">
      <w:bodyDiv w:val="1"/>
      <w:marLeft w:val="0"/>
      <w:marRight w:val="0"/>
      <w:marTop w:val="0"/>
      <w:marBottom w:val="0"/>
      <w:divBdr>
        <w:top w:val="none" w:sz="0" w:space="0" w:color="auto"/>
        <w:left w:val="none" w:sz="0" w:space="0" w:color="auto"/>
        <w:bottom w:val="none" w:sz="0" w:space="0" w:color="auto"/>
        <w:right w:val="none" w:sz="0" w:space="0" w:color="auto"/>
      </w:divBdr>
    </w:div>
    <w:div w:id="2123988340">
      <w:bodyDiv w:val="1"/>
      <w:marLeft w:val="0"/>
      <w:marRight w:val="0"/>
      <w:marTop w:val="0"/>
      <w:marBottom w:val="0"/>
      <w:divBdr>
        <w:top w:val="none" w:sz="0" w:space="0" w:color="auto"/>
        <w:left w:val="none" w:sz="0" w:space="0" w:color="auto"/>
        <w:bottom w:val="none" w:sz="0" w:space="0" w:color="auto"/>
        <w:right w:val="none" w:sz="0" w:space="0" w:color="auto"/>
      </w:divBdr>
    </w:div>
    <w:div w:id="2124037495">
      <w:bodyDiv w:val="1"/>
      <w:marLeft w:val="0"/>
      <w:marRight w:val="0"/>
      <w:marTop w:val="0"/>
      <w:marBottom w:val="0"/>
      <w:divBdr>
        <w:top w:val="none" w:sz="0" w:space="0" w:color="auto"/>
        <w:left w:val="none" w:sz="0" w:space="0" w:color="auto"/>
        <w:bottom w:val="none" w:sz="0" w:space="0" w:color="auto"/>
        <w:right w:val="none" w:sz="0" w:space="0" w:color="auto"/>
      </w:divBdr>
    </w:div>
    <w:div w:id="2124183272">
      <w:bodyDiv w:val="1"/>
      <w:marLeft w:val="0"/>
      <w:marRight w:val="0"/>
      <w:marTop w:val="0"/>
      <w:marBottom w:val="0"/>
      <w:divBdr>
        <w:top w:val="none" w:sz="0" w:space="0" w:color="auto"/>
        <w:left w:val="none" w:sz="0" w:space="0" w:color="auto"/>
        <w:bottom w:val="none" w:sz="0" w:space="0" w:color="auto"/>
        <w:right w:val="none" w:sz="0" w:space="0" w:color="auto"/>
      </w:divBdr>
    </w:div>
    <w:div w:id="2124415770">
      <w:bodyDiv w:val="1"/>
      <w:marLeft w:val="0"/>
      <w:marRight w:val="0"/>
      <w:marTop w:val="0"/>
      <w:marBottom w:val="0"/>
      <w:divBdr>
        <w:top w:val="none" w:sz="0" w:space="0" w:color="auto"/>
        <w:left w:val="none" w:sz="0" w:space="0" w:color="auto"/>
        <w:bottom w:val="none" w:sz="0" w:space="0" w:color="auto"/>
        <w:right w:val="none" w:sz="0" w:space="0" w:color="auto"/>
      </w:divBdr>
    </w:div>
    <w:div w:id="2124572066">
      <w:bodyDiv w:val="1"/>
      <w:marLeft w:val="0"/>
      <w:marRight w:val="0"/>
      <w:marTop w:val="0"/>
      <w:marBottom w:val="0"/>
      <w:divBdr>
        <w:top w:val="none" w:sz="0" w:space="0" w:color="auto"/>
        <w:left w:val="none" w:sz="0" w:space="0" w:color="auto"/>
        <w:bottom w:val="none" w:sz="0" w:space="0" w:color="auto"/>
        <w:right w:val="none" w:sz="0" w:space="0" w:color="auto"/>
      </w:divBdr>
    </w:div>
    <w:div w:id="2125536471">
      <w:bodyDiv w:val="1"/>
      <w:marLeft w:val="0"/>
      <w:marRight w:val="0"/>
      <w:marTop w:val="0"/>
      <w:marBottom w:val="0"/>
      <w:divBdr>
        <w:top w:val="none" w:sz="0" w:space="0" w:color="auto"/>
        <w:left w:val="none" w:sz="0" w:space="0" w:color="auto"/>
        <w:bottom w:val="none" w:sz="0" w:space="0" w:color="auto"/>
        <w:right w:val="none" w:sz="0" w:space="0" w:color="auto"/>
      </w:divBdr>
    </w:div>
    <w:div w:id="2125927318">
      <w:bodyDiv w:val="1"/>
      <w:marLeft w:val="0"/>
      <w:marRight w:val="0"/>
      <w:marTop w:val="0"/>
      <w:marBottom w:val="0"/>
      <w:divBdr>
        <w:top w:val="none" w:sz="0" w:space="0" w:color="auto"/>
        <w:left w:val="none" w:sz="0" w:space="0" w:color="auto"/>
        <w:bottom w:val="none" w:sz="0" w:space="0" w:color="auto"/>
        <w:right w:val="none" w:sz="0" w:space="0" w:color="auto"/>
      </w:divBdr>
    </w:div>
    <w:div w:id="2126004078">
      <w:bodyDiv w:val="1"/>
      <w:marLeft w:val="0"/>
      <w:marRight w:val="0"/>
      <w:marTop w:val="0"/>
      <w:marBottom w:val="0"/>
      <w:divBdr>
        <w:top w:val="none" w:sz="0" w:space="0" w:color="auto"/>
        <w:left w:val="none" w:sz="0" w:space="0" w:color="auto"/>
        <w:bottom w:val="none" w:sz="0" w:space="0" w:color="auto"/>
        <w:right w:val="none" w:sz="0" w:space="0" w:color="auto"/>
      </w:divBdr>
    </w:div>
    <w:div w:id="2126266486">
      <w:bodyDiv w:val="1"/>
      <w:marLeft w:val="0"/>
      <w:marRight w:val="0"/>
      <w:marTop w:val="0"/>
      <w:marBottom w:val="0"/>
      <w:divBdr>
        <w:top w:val="none" w:sz="0" w:space="0" w:color="auto"/>
        <w:left w:val="none" w:sz="0" w:space="0" w:color="auto"/>
        <w:bottom w:val="none" w:sz="0" w:space="0" w:color="auto"/>
        <w:right w:val="none" w:sz="0" w:space="0" w:color="auto"/>
      </w:divBdr>
    </w:div>
    <w:div w:id="2126346427">
      <w:bodyDiv w:val="1"/>
      <w:marLeft w:val="0"/>
      <w:marRight w:val="0"/>
      <w:marTop w:val="0"/>
      <w:marBottom w:val="0"/>
      <w:divBdr>
        <w:top w:val="none" w:sz="0" w:space="0" w:color="auto"/>
        <w:left w:val="none" w:sz="0" w:space="0" w:color="auto"/>
        <w:bottom w:val="none" w:sz="0" w:space="0" w:color="auto"/>
        <w:right w:val="none" w:sz="0" w:space="0" w:color="auto"/>
      </w:divBdr>
    </w:div>
    <w:div w:id="2126535565">
      <w:bodyDiv w:val="1"/>
      <w:marLeft w:val="0"/>
      <w:marRight w:val="0"/>
      <w:marTop w:val="0"/>
      <w:marBottom w:val="0"/>
      <w:divBdr>
        <w:top w:val="none" w:sz="0" w:space="0" w:color="auto"/>
        <w:left w:val="none" w:sz="0" w:space="0" w:color="auto"/>
        <w:bottom w:val="none" w:sz="0" w:space="0" w:color="auto"/>
        <w:right w:val="none" w:sz="0" w:space="0" w:color="auto"/>
      </w:divBdr>
    </w:div>
    <w:div w:id="2126730915">
      <w:bodyDiv w:val="1"/>
      <w:marLeft w:val="0"/>
      <w:marRight w:val="0"/>
      <w:marTop w:val="0"/>
      <w:marBottom w:val="0"/>
      <w:divBdr>
        <w:top w:val="none" w:sz="0" w:space="0" w:color="auto"/>
        <w:left w:val="none" w:sz="0" w:space="0" w:color="auto"/>
        <w:bottom w:val="none" w:sz="0" w:space="0" w:color="auto"/>
        <w:right w:val="none" w:sz="0" w:space="0" w:color="auto"/>
      </w:divBdr>
    </w:div>
    <w:div w:id="2126733881">
      <w:bodyDiv w:val="1"/>
      <w:marLeft w:val="0"/>
      <w:marRight w:val="0"/>
      <w:marTop w:val="0"/>
      <w:marBottom w:val="0"/>
      <w:divBdr>
        <w:top w:val="none" w:sz="0" w:space="0" w:color="auto"/>
        <w:left w:val="none" w:sz="0" w:space="0" w:color="auto"/>
        <w:bottom w:val="none" w:sz="0" w:space="0" w:color="auto"/>
        <w:right w:val="none" w:sz="0" w:space="0" w:color="auto"/>
      </w:divBdr>
    </w:div>
    <w:div w:id="2126805717">
      <w:bodyDiv w:val="1"/>
      <w:marLeft w:val="0"/>
      <w:marRight w:val="0"/>
      <w:marTop w:val="0"/>
      <w:marBottom w:val="0"/>
      <w:divBdr>
        <w:top w:val="none" w:sz="0" w:space="0" w:color="auto"/>
        <w:left w:val="none" w:sz="0" w:space="0" w:color="auto"/>
        <w:bottom w:val="none" w:sz="0" w:space="0" w:color="auto"/>
        <w:right w:val="none" w:sz="0" w:space="0" w:color="auto"/>
      </w:divBdr>
    </w:div>
    <w:div w:id="2126918843">
      <w:bodyDiv w:val="1"/>
      <w:marLeft w:val="0"/>
      <w:marRight w:val="0"/>
      <w:marTop w:val="0"/>
      <w:marBottom w:val="0"/>
      <w:divBdr>
        <w:top w:val="none" w:sz="0" w:space="0" w:color="auto"/>
        <w:left w:val="none" w:sz="0" w:space="0" w:color="auto"/>
        <w:bottom w:val="none" w:sz="0" w:space="0" w:color="auto"/>
        <w:right w:val="none" w:sz="0" w:space="0" w:color="auto"/>
      </w:divBdr>
    </w:div>
    <w:div w:id="2126919549">
      <w:bodyDiv w:val="1"/>
      <w:marLeft w:val="0"/>
      <w:marRight w:val="0"/>
      <w:marTop w:val="0"/>
      <w:marBottom w:val="0"/>
      <w:divBdr>
        <w:top w:val="none" w:sz="0" w:space="0" w:color="auto"/>
        <w:left w:val="none" w:sz="0" w:space="0" w:color="auto"/>
        <w:bottom w:val="none" w:sz="0" w:space="0" w:color="auto"/>
        <w:right w:val="none" w:sz="0" w:space="0" w:color="auto"/>
      </w:divBdr>
    </w:div>
    <w:div w:id="2127193646">
      <w:bodyDiv w:val="1"/>
      <w:marLeft w:val="0"/>
      <w:marRight w:val="0"/>
      <w:marTop w:val="0"/>
      <w:marBottom w:val="0"/>
      <w:divBdr>
        <w:top w:val="none" w:sz="0" w:space="0" w:color="auto"/>
        <w:left w:val="none" w:sz="0" w:space="0" w:color="auto"/>
        <w:bottom w:val="none" w:sz="0" w:space="0" w:color="auto"/>
        <w:right w:val="none" w:sz="0" w:space="0" w:color="auto"/>
      </w:divBdr>
    </w:div>
    <w:div w:id="2127305269">
      <w:bodyDiv w:val="1"/>
      <w:marLeft w:val="0"/>
      <w:marRight w:val="0"/>
      <w:marTop w:val="0"/>
      <w:marBottom w:val="0"/>
      <w:divBdr>
        <w:top w:val="none" w:sz="0" w:space="0" w:color="auto"/>
        <w:left w:val="none" w:sz="0" w:space="0" w:color="auto"/>
        <w:bottom w:val="none" w:sz="0" w:space="0" w:color="auto"/>
        <w:right w:val="none" w:sz="0" w:space="0" w:color="auto"/>
      </w:divBdr>
    </w:div>
    <w:div w:id="2127385366">
      <w:bodyDiv w:val="1"/>
      <w:marLeft w:val="0"/>
      <w:marRight w:val="0"/>
      <w:marTop w:val="0"/>
      <w:marBottom w:val="0"/>
      <w:divBdr>
        <w:top w:val="none" w:sz="0" w:space="0" w:color="auto"/>
        <w:left w:val="none" w:sz="0" w:space="0" w:color="auto"/>
        <w:bottom w:val="none" w:sz="0" w:space="0" w:color="auto"/>
        <w:right w:val="none" w:sz="0" w:space="0" w:color="auto"/>
      </w:divBdr>
    </w:div>
    <w:div w:id="2127389067">
      <w:bodyDiv w:val="1"/>
      <w:marLeft w:val="0"/>
      <w:marRight w:val="0"/>
      <w:marTop w:val="0"/>
      <w:marBottom w:val="0"/>
      <w:divBdr>
        <w:top w:val="none" w:sz="0" w:space="0" w:color="auto"/>
        <w:left w:val="none" w:sz="0" w:space="0" w:color="auto"/>
        <w:bottom w:val="none" w:sz="0" w:space="0" w:color="auto"/>
        <w:right w:val="none" w:sz="0" w:space="0" w:color="auto"/>
      </w:divBdr>
    </w:div>
    <w:div w:id="2127498879">
      <w:bodyDiv w:val="1"/>
      <w:marLeft w:val="0"/>
      <w:marRight w:val="0"/>
      <w:marTop w:val="0"/>
      <w:marBottom w:val="0"/>
      <w:divBdr>
        <w:top w:val="none" w:sz="0" w:space="0" w:color="auto"/>
        <w:left w:val="none" w:sz="0" w:space="0" w:color="auto"/>
        <w:bottom w:val="none" w:sz="0" w:space="0" w:color="auto"/>
        <w:right w:val="none" w:sz="0" w:space="0" w:color="auto"/>
      </w:divBdr>
    </w:div>
    <w:div w:id="2127500721">
      <w:bodyDiv w:val="1"/>
      <w:marLeft w:val="0"/>
      <w:marRight w:val="0"/>
      <w:marTop w:val="0"/>
      <w:marBottom w:val="0"/>
      <w:divBdr>
        <w:top w:val="none" w:sz="0" w:space="0" w:color="auto"/>
        <w:left w:val="none" w:sz="0" w:space="0" w:color="auto"/>
        <w:bottom w:val="none" w:sz="0" w:space="0" w:color="auto"/>
        <w:right w:val="none" w:sz="0" w:space="0" w:color="auto"/>
      </w:divBdr>
    </w:div>
    <w:div w:id="2127772166">
      <w:bodyDiv w:val="1"/>
      <w:marLeft w:val="0"/>
      <w:marRight w:val="0"/>
      <w:marTop w:val="0"/>
      <w:marBottom w:val="0"/>
      <w:divBdr>
        <w:top w:val="none" w:sz="0" w:space="0" w:color="auto"/>
        <w:left w:val="none" w:sz="0" w:space="0" w:color="auto"/>
        <w:bottom w:val="none" w:sz="0" w:space="0" w:color="auto"/>
        <w:right w:val="none" w:sz="0" w:space="0" w:color="auto"/>
      </w:divBdr>
    </w:div>
    <w:div w:id="2127850118">
      <w:bodyDiv w:val="1"/>
      <w:marLeft w:val="0"/>
      <w:marRight w:val="0"/>
      <w:marTop w:val="0"/>
      <w:marBottom w:val="0"/>
      <w:divBdr>
        <w:top w:val="none" w:sz="0" w:space="0" w:color="auto"/>
        <w:left w:val="none" w:sz="0" w:space="0" w:color="auto"/>
        <w:bottom w:val="none" w:sz="0" w:space="0" w:color="auto"/>
        <w:right w:val="none" w:sz="0" w:space="0" w:color="auto"/>
      </w:divBdr>
    </w:div>
    <w:div w:id="2128154787">
      <w:bodyDiv w:val="1"/>
      <w:marLeft w:val="0"/>
      <w:marRight w:val="0"/>
      <w:marTop w:val="0"/>
      <w:marBottom w:val="0"/>
      <w:divBdr>
        <w:top w:val="none" w:sz="0" w:space="0" w:color="auto"/>
        <w:left w:val="none" w:sz="0" w:space="0" w:color="auto"/>
        <w:bottom w:val="none" w:sz="0" w:space="0" w:color="auto"/>
        <w:right w:val="none" w:sz="0" w:space="0" w:color="auto"/>
      </w:divBdr>
    </w:div>
    <w:div w:id="2128230230">
      <w:bodyDiv w:val="1"/>
      <w:marLeft w:val="0"/>
      <w:marRight w:val="0"/>
      <w:marTop w:val="0"/>
      <w:marBottom w:val="0"/>
      <w:divBdr>
        <w:top w:val="none" w:sz="0" w:space="0" w:color="auto"/>
        <w:left w:val="none" w:sz="0" w:space="0" w:color="auto"/>
        <w:bottom w:val="none" w:sz="0" w:space="0" w:color="auto"/>
        <w:right w:val="none" w:sz="0" w:space="0" w:color="auto"/>
      </w:divBdr>
    </w:div>
    <w:div w:id="2128232376">
      <w:bodyDiv w:val="1"/>
      <w:marLeft w:val="0"/>
      <w:marRight w:val="0"/>
      <w:marTop w:val="0"/>
      <w:marBottom w:val="0"/>
      <w:divBdr>
        <w:top w:val="none" w:sz="0" w:space="0" w:color="auto"/>
        <w:left w:val="none" w:sz="0" w:space="0" w:color="auto"/>
        <w:bottom w:val="none" w:sz="0" w:space="0" w:color="auto"/>
        <w:right w:val="none" w:sz="0" w:space="0" w:color="auto"/>
      </w:divBdr>
    </w:div>
    <w:div w:id="2128236341">
      <w:bodyDiv w:val="1"/>
      <w:marLeft w:val="0"/>
      <w:marRight w:val="0"/>
      <w:marTop w:val="0"/>
      <w:marBottom w:val="0"/>
      <w:divBdr>
        <w:top w:val="none" w:sz="0" w:space="0" w:color="auto"/>
        <w:left w:val="none" w:sz="0" w:space="0" w:color="auto"/>
        <w:bottom w:val="none" w:sz="0" w:space="0" w:color="auto"/>
        <w:right w:val="none" w:sz="0" w:space="0" w:color="auto"/>
      </w:divBdr>
    </w:div>
    <w:div w:id="2128307524">
      <w:bodyDiv w:val="1"/>
      <w:marLeft w:val="0"/>
      <w:marRight w:val="0"/>
      <w:marTop w:val="0"/>
      <w:marBottom w:val="0"/>
      <w:divBdr>
        <w:top w:val="none" w:sz="0" w:space="0" w:color="auto"/>
        <w:left w:val="none" w:sz="0" w:space="0" w:color="auto"/>
        <w:bottom w:val="none" w:sz="0" w:space="0" w:color="auto"/>
        <w:right w:val="none" w:sz="0" w:space="0" w:color="auto"/>
      </w:divBdr>
    </w:div>
    <w:div w:id="2128351889">
      <w:bodyDiv w:val="1"/>
      <w:marLeft w:val="0"/>
      <w:marRight w:val="0"/>
      <w:marTop w:val="0"/>
      <w:marBottom w:val="0"/>
      <w:divBdr>
        <w:top w:val="none" w:sz="0" w:space="0" w:color="auto"/>
        <w:left w:val="none" w:sz="0" w:space="0" w:color="auto"/>
        <w:bottom w:val="none" w:sz="0" w:space="0" w:color="auto"/>
        <w:right w:val="none" w:sz="0" w:space="0" w:color="auto"/>
      </w:divBdr>
    </w:div>
    <w:div w:id="2128545195">
      <w:bodyDiv w:val="1"/>
      <w:marLeft w:val="0"/>
      <w:marRight w:val="0"/>
      <w:marTop w:val="0"/>
      <w:marBottom w:val="0"/>
      <w:divBdr>
        <w:top w:val="none" w:sz="0" w:space="0" w:color="auto"/>
        <w:left w:val="none" w:sz="0" w:space="0" w:color="auto"/>
        <w:bottom w:val="none" w:sz="0" w:space="0" w:color="auto"/>
        <w:right w:val="none" w:sz="0" w:space="0" w:color="auto"/>
      </w:divBdr>
    </w:div>
    <w:div w:id="2128616003">
      <w:bodyDiv w:val="1"/>
      <w:marLeft w:val="0"/>
      <w:marRight w:val="0"/>
      <w:marTop w:val="0"/>
      <w:marBottom w:val="0"/>
      <w:divBdr>
        <w:top w:val="none" w:sz="0" w:space="0" w:color="auto"/>
        <w:left w:val="none" w:sz="0" w:space="0" w:color="auto"/>
        <w:bottom w:val="none" w:sz="0" w:space="0" w:color="auto"/>
        <w:right w:val="none" w:sz="0" w:space="0" w:color="auto"/>
      </w:divBdr>
    </w:div>
    <w:div w:id="2128693322">
      <w:bodyDiv w:val="1"/>
      <w:marLeft w:val="0"/>
      <w:marRight w:val="0"/>
      <w:marTop w:val="0"/>
      <w:marBottom w:val="0"/>
      <w:divBdr>
        <w:top w:val="none" w:sz="0" w:space="0" w:color="auto"/>
        <w:left w:val="none" w:sz="0" w:space="0" w:color="auto"/>
        <w:bottom w:val="none" w:sz="0" w:space="0" w:color="auto"/>
        <w:right w:val="none" w:sz="0" w:space="0" w:color="auto"/>
      </w:divBdr>
    </w:div>
    <w:div w:id="2128697491">
      <w:bodyDiv w:val="1"/>
      <w:marLeft w:val="0"/>
      <w:marRight w:val="0"/>
      <w:marTop w:val="0"/>
      <w:marBottom w:val="0"/>
      <w:divBdr>
        <w:top w:val="none" w:sz="0" w:space="0" w:color="auto"/>
        <w:left w:val="none" w:sz="0" w:space="0" w:color="auto"/>
        <w:bottom w:val="none" w:sz="0" w:space="0" w:color="auto"/>
        <w:right w:val="none" w:sz="0" w:space="0" w:color="auto"/>
      </w:divBdr>
    </w:div>
    <w:div w:id="2128811969">
      <w:bodyDiv w:val="1"/>
      <w:marLeft w:val="0"/>
      <w:marRight w:val="0"/>
      <w:marTop w:val="0"/>
      <w:marBottom w:val="0"/>
      <w:divBdr>
        <w:top w:val="none" w:sz="0" w:space="0" w:color="auto"/>
        <w:left w:val="none" w:sz="0" w:space="0" w:color="auto"/>
        <w:bottom w:val="none" w:sz="0" w:space="0" w:color="auto"/>
        <w:right w:val="none" w:sz="0" w:space="0" w:color="auto"/>
      </w:divBdr>
    </w:div>
    <w:div w:id="2128884321">
      <w:bodyDiv w:val="1"/>
      <w:marLeft w:val="0"/>
      <w:marRight w:val="0"/>
      <w:marTop w:val="0"/>
      <w:marBottom w:val="0"/>
      <w:divBdr>
        <w:top w:val="none" w:sz="0" w:space="0" w:color="auto"/>
        <w:left w:val="none" w:sz="0" w:space="0" w:color="auto"/>
        <w:bottom w:val="none" w:sz="0" w:space="0" w:color="auto"/>
        <w:right w:val="none" w:sz="0" w:space="0" w:color="auto"/>
      </w:divBdr>
    </w:div>
    <w:div w:id="2129158462">
      <w:bodyDiv w:val="1"/>
      <w:marLeft w:val="0"/>
      <w:marRight w:val="0"/>
      <w:marTop w:val="0"/>
      <w:marBottom w:val="0"/>
      <w:divBdr>
        <w:top w:val="none" w:sz="0" w:space="0" w:color="auto"/>
        <w:left w:val="none" w:sz="0" w:space="0" w:color="auto"/>
        <w:bottom w:val="none" w:sz="0" w:space="0" w:color="auto"/>
        <w:right w:val="none" w:sz="0" w:space="0" w:color="auto"/>
      </w:divBdr>
    </w:div>
    <w:div w:id="2129272003">
      <w:bodyDiv w:val="1"/>
      <w:marLeft w:val="0"/>
      <w:marRight w:val="0"/>
      <w:marTop w:val="0"/>
      <w:marBottom w:val="0"/>
      <w:divBdr>
        <w:top w:val="none" w:sz="0" w:space="0" w:color="auto"/>
        <w:left w:val="none" w:sz="0" w:space="0" w:color="auto"/>
        <w:bottom w:val="none" w:sz="0" w:space="0" w:color="auto"/>
        <w:right w:val="none" w:sz="0" w:space="0" w:color="auto"/>
      </w:divBdr>
    </w:div>
    <w:div w:id="2129467073">
      <w:bodyDiv w:val="1"/>
      <w:marLeft w:val="0"/>
      <w:marRight w:val="0"/>
      <w:marTop w:val="0"/>
      <w:marBottom w:val="0"/>
      <w:divBdr>
        <w:top w:val="none" w:sz="0" w:space="0" w:color="auto"/>
        <w:left w:val="none" w:sz="0" w:space="0" w:color="auto"/>
        <w:bottom w:val="none" w:sz="0" w:space="0" w:color="auto"/>
        <w:right w:val="none" w:sz="0" w:space="0" w:color="auto"/>
      </w:divBdr>
    </w:div>
    <w:div w:id="2129470941">
      <w:bodyDiv w:val="1"/>
      <w:marLeft w:val="0"/>
      <w:marRight w:val="0"/>
      <w:marTop w:val="0"/>
      <w:marBottom w:val="0"/>
      <w:divBdr>
        <w:top w:val="none" w:sz="0" w:space="0" w:color="auto"/>
        <w:left w:val="none" w:sz="0" w:space="0" w:color="auto"/>
        <w:bottom w:val="none" w:sz="0" w:space="0" w:color="auto"/>
        <w:right w:val="none" w:sz="0" w:space="0" w:color="auto"/>
      </w:divBdr>
    </w:div>
    <w:div w:id="2129473756">
      <w:bodyDiv w:val="1"/>
      <w:marLeft w:val="0"/>
      <w:marRight w:val="0"/>
      <w:marTop w:val="0"/>
      <w:marBottom w:val="0"/>
      <w:divBdr>
        <w:top w:val="none" w:sz="0" w:space="0" w:color="auto"/>
        <w:left w:val="none" w:sz="0" w:space="0" w:color="auto"/>
        <w:bottom w:val="none" w:sz="0" w:space="0" w:color="auto"/>
        <w:right w:val="none" w:sz="0" w:space="0" w:color="auto"/>
      </w:divBdr>
    </w:div>
    <w:div w:id="2129690444">
      <w:bodyDiv w:val="1"/>
      <w:marLeft w:val="0"/>
      <w:marRight w:val="0"/>
      <w:marTop w:val="0"/>
      <w:marBottom w:val="0"/>
      <w:divBdr>
        <w:top w:val="none" w:sz="0" w:space="0" w:color="auto"/>
        <w:left w:val="none" w:sz="0" w:space="0" w:color="auto"/>
        <w:bottom w:val="none" w:sz="0" w:space="0" w:color="auto"/>
        <w:right w:val="none" w:sz="0" w:space="0" w:color="auto"/>
      </w:divBdr>
    </w:div>
    <w:div w:id="2129740631">
      <w:bodyDiv w:val="1"/>
      <w:marLeft w:val="0"/>
      <w:marRight w:val="0"/>
      <w:marTop w:val="0"/>
      <w:marBottom w:val="0"/>
      <w:divBdr>
        <w:top w:val="none" w:sz="0" w:space="0" w:color="auto"/>
        <w:left w:val="none" w:sz="0" w:space="0" w:color="auto"/>
        <w:bottom w:val="none" w:sz="0" w:space="0" w:color="auto"/>
        <w:right w:val="none" w:sz="0" w:space="0" w:color="auto"/>
      </w:divBdr>
    </w:div>
    <w:div w:id="2129857572">
      <w:bodyDiv w:val="1"/>
      <w:marLeft w:val="0"/>
      <w:marRight w:val="0"/>
      <w:marTop w:val="0"/>
      <w:marBottom w:val="0"/>
      <w:divBdr>
        <w:top w:val="none" w:sz="0" w:space="0" w:color="auto"/>
        <w:left w:val="none" w:sz="0" w:space="0" w:color="auto"/>
        <w:bottom w:val="none" w:sz="0" w:space="0" w:color="auto"/>
        <w:right w:val="none" w:sz="0" w:space="0" w:color="auto"/>
      </w:divBdr>
    </w:div>
    <w:div w:id="2130010029">
      <w:bodyDiv w:val="1"/>
      <w:marLeft w:val="0"/>
      <w:marRight w:val="0"/>
      <w:marTop w:val="0"/>
      <w:marBottom w:val="0"/>
      <w:divBdr>
        <w:top w:val="none" w:sz="0" w:space="0" w:color="auto"/>
        <w:left w:val="none" w:sz="0" w:space="0" w:color="auto"/>
        <w:bottom w:val="none" w:sz="0" w:space="0" w:color="auto"/>
        <w:right w:val="none" w:sz="0" w:space="0" w:color="auto"/>
      </w:divBdr>
    </w:div>
    <w:div w:id="2130315995">
      <w:bodyDiv w:val="1"/>
      <w:marLeft w:val="0"/>
      <w:marRight w:val="0"/>
      <w:marTop w:val="0"/>
      <w:marBottom w:val="0"/>
      <w:divBdr>
        <w:top w:val="none" w:sz="0" w:space="0" w:color="auto"/>
        <w:left w:val="none" w:sz="0" w:space="0" w:color="auto"/>
        <w:bottom w:val="none" w:sz="0" w:space="0" w:color="auto"/>
        <w:right w:val="none" w:sz="0" w:space="0" w:color="auto"/>
      </w:divBdr>
    </w:div>
    <w:div w:id="2130582118">
      <w:bodyDiv w:val="1"/>
      <w:marLeft w:val="0"/>
      <w:marRight w:val="0"/>
      <w:marTop w:val="0"/>
      <w:marBottom w:val="0"/>
      <w:divBdr>
        <w:top w:val="none" w:sz="0" w:space="0" w:color="auto"/>
        <w:left w:val="none" w:sz="0" w:space="0" w:color="auto"/>
        <w:bottom w:val="none" w:sz="0" w:space="0" w:color="auto"/>
        <w:right w:val="none" w:sz="0" w:space="0" w:color="auto"/>
      </w:divBdr>
    </w:div>
    <w:div w:id="2130707992">
      <w:bodyDiv w:val="1"/>
      <w:marLeft w:val="0"/>
      <w:marRight w:val="0"/>
      <w:marTop w:val="0"/>
      <w:marBottom w:val="0"/>
      <w:divBdr>
        <w:top w:val="none" w:sz="0" w:space="0" w:color="auto"/>
        <w:left w:val="none" w:sz="0" w:space="0" w:color="auto"/>
        <w:bottom w:val="none" w:sz="0" w:space="0" w:color="auto"/>
        <w:right w:val="none" w:sz="0" w:space="0" w:color="auto"/>
      </w:divBdr>
    </w:div>
    <w:div w:id="2130733360">
      <w:bodyDiv w:val="1"/>
      <w:marLeft w:val="0"/>
      <w:marRight w:val="0"/>
      <w:marTop w:val="0"/>
      <w:marBottom w:val="0"/>
      <w:divBdr>
        <w:top w:val="none" w:sz="0" w:space="0" w:color="auto"/>
        <w:left w:val="none" w:sz="0" w:space="0" w:color="auto"/>
        <w:bottom w:val="none" w:sz="0" w:space="0" w:color="auto"/>
        <w:right w:val="none" w:sz="0" w:space="0" w:color="auto"/>
      </w:divBdr>
    </w:div>
    <w:div w:id="2130733538">
      <w:bodyDiv w:val="1"/>
      <w:marLeft w:val="0"/>
      <w:marRight w:val="0"/>
      <w:marTop w:val="0"/>
      <w:marBottom w:val="0"/>
      <w:divBdr>
        <w:top w:val="none" w:sz="0" w:space="0" w:color="auto"/>
        <w:left w:val="none" w:sz="0" w:space="0" w:color="auto"/>
        <w:bottom w:val="none" w:sz="0" w:space="0" w:color="auto"/>
        <w:right w:val="none" w:sz="0" w:space="0" w:color="auto"/>
      </w:divBdr>
    </w:div>
    <w:div w:id="2130934544">
      <w:bodyDiv w:val="1"/>
      <w:marLeft w:val="0"/>
      <w:marRight w:val="0"/>
      <w:marTop w:val="0"/>
      <w:marBottom w:val="0"/>
      <w:divBdr>
        <w:top w:val="none" w:sz="0" w:space="0" w:color="auto"/>
        <w:left w:val="none" w:sz="0" w:space="0" w:color="auto"/>
        <w:bottom w:val="none" w:sz="0" w:space="0" w:color="auto"/>
        <w:right w:val="none" w:sz="0" w:space="0" w:color="auto"/>
      </w:divBdr>
    </w:div>
    <w:div w:id="2130974992">
      <w:bodyDiv w:val="1"/>
      <w:marLeft w:val="0"/>
      <w:marRight w:val="0"/>
      <w:marTop w:val="0"/>
      <w:marBottom w:val="0"/>
      <w:divBdr>
        <w:top w:val="none" w:sz="0" w:space="0" w:color="auto"/>
        <w:left w:val="none" w:sz="0" w:space="0" w:color="auto"/>
        <w:bottom w:val="none" w:sz="0" w:space="0" w:color="auto"/>
        <w:right w:val="none" w:sz="0" w:space="0" w:color="auto"/>
      </w:divBdr>
    </w:div>
    <w:div w:id="2131050402">
      <w:bodyDiv w:val="1"/>
      <w:marLeft w:val="0"/>
      <w:marRight w:val="0"/>
      <w:marTop w:val="0"/>
      <w:marBottom w:val="0"/>
      <w:divBdr>
        <w:top w:val="none" w:sz="0" w:space="0" w:color="auto"/>
        <w:left w:val="none" w:sz="0" w:space="0" w:color="auto"/>
        <w:bottom w:val="none" w:sz="0" w:space="0" w:color="auto"/>
        <w:right w:val="none" w:sz="0" w:space="0" w:color="auto"/>
      </w:divBdr>
    </w:div>
    <w:div w:id="2131050525">
      <w:bodyDiv w:val="1"/>
      <w:marLeft w:val="0"/>
      <w:marRight w:val="0"/>
      <w:marTop w:val="0"/>
      <w:marBottom w:val="0"/>
      <w:divBdr>
        <w:top w:val="none" w:sz="0" w:space="0" w:color="auto"/>
        <w:left w:val="none" w:sz="0" w:space="0" w:color="auto"/>
        <w:bottom w:val="none" w:sz="0" w:space="0" w:color="auto"/>
        <w:right w:val="none" w:sz="0" w:space="0" w:color="auto"/>
      </w:divBdr>
    </w:div>
    <w:div w:id="2131168678">
      <w:bodyDiv w:val="1"/>
      <w:marLeft w:val="0"/>
      <w:marRight w:val="0"/>
      <w:marTop w:val="0"/>
      <w:marBottom w:val="0"/>
      <w:divBdr>
        <w:top w:val="none" w:sz="0" w:space="0" w:color="auto"/>
        <w:left w:val="none" w:sz="0" w:space="0" w:color="auto"/>
        <w:bottom w:val="none" w:sz="0" w:space="0" w:color="auto"/>
        <w:right w:val="none" w:sz="0" w:space="0" w:color="auto"/>
      </w:divBdr>
    </w:div>
    <w:div w:id="2131241970">
      <w:bodyDiv w:val="1"/>
      <w:marLeft w:val="0"/>
      <w:marRight w:val="0"/>
      <w:marTop w:val="0"/>
      <w:marBottom w:val="0"/>
      <w:divBdr>
        <w:top w:val="none" w:sz="0" w:space="0" w:color="auto"/>
        <w:left w:val="none" w:sz="0" w:space="0" w:color="auto"/>
        <w:bottom w:val="none" w:sz="0" w:space="0" w:color="auto"/>
        <w:right w:val="none" w:sz="0" w:space="0" w:color="auto"/>
      </w:divBdr>
    </w:div>
    <w:div w:id="2131706837">
      <w:bodyDiv w:val="1"/>
      <w:marLeft w:val="0"/>
      <w:marRight w:val="0"/>
      <w:marTop w:val="0"/>
      <w:marBottom w:val="0"/>
      <w:divBdr>
        <w:top w:val="none" w:sz="0" w:space="0" w:color="auto"/>
        <w:left w:val="none" w:sz="0" w:space="0" w:color="auto"/>
        <w:bottom w:val="none" w:sz="0" w:space="0" w:color="auto"/>
        <w:right w:val="none" w:sz="0" w:space="0" w:color="auto"/>
      </w:divBdr>
    </w:div>
    <w:div w:id="2131781744">
      <w:bodyDiv w:val="1"/>
      <w:marLeft w:val="0"/>
      <w:marRight w:val="0"/>
      <w:marTop w:val="0"/>
      <w:marBottom w:val="0"/>
      <w:divBdr>
        <w:top w:val="none" w:sz="0" w:space="0" w:color="auto"/>
        <w:left w:val="none" w:sz="0" w:space="0" w:color="auto"/>
        <w:bottom w:val="none" w:sz="0" w:space="0" w:color="auto"/>
        <w:right w:val="none" w:sz="0" w:space="0" w:color="auto"/>
      </w:divBdr>
    </w:div>
    <w:div w:id="2131824590">
      <w:bodyDiv w:val="1"/>
      <w:marLeft w:val="0"/>
      <w:marRight w:val="0"/>
      <w:marTop w:val="0"/>
      <w:marBottom w:val="0"/>
      <w:divBdr>
        <w:top w:val="none" w:sz="0" w:space="0" w:color="auto"/>
        <w:left w:val="none" w:sz="0" w:space="0" w:color="auto"/>
        <w:bottom w:val="none" w:sz="0" w:space="0" w:color="auto"/>
        <w:right w:val="none" w:sz="0" w:space="0" w:color="auto"/>
      </w:divBdr>
    </w:div>
    <w:div w:id="2131897527">
      <w:bodyDiv w:val="1"/>
      <w:marLeft w:val="0"/>
      <w:marRight w:val="0"/>
      <w:marTop w:val="0"/>
      <w:marBottom w:val="0"/>
      <w:divBdr>
        <w:top w:val="none" w:sz="0" w:space="0" w:color="auto"/>
        <w:left w:val="none" w:sz="0" w:space="0" w:color="auto"/>
        <w:bottom w:val="none" w:sz="0" w:space="0" w:color="auto"/>
        <w:right w:val="none" w:sz="0" w:space="0" w:color="auto"/>
      </w:divBdr>
    </w:div>
    <w:div w:id="2131975427">
      <w:bodyDiv w:val="1"/>
      <w:marLeft w:val="0"/>
      <w:marRight w:val="0"/>
      <w:marTop w:val="0"/>
      <w:marBottom w:val="0"/>
      <w:divBdr>
        <w:top w:val="none" w:sz="0" w:space="0" w:color="auto"/>
        <w:left w:val="none" w:sz="0" w:space="0" w:color="auto"/>
        <w:bottom w:val="none" w:sz="0" w:space="0" w:color="auto"/>
        <w:right w:val="none" w:sz="0" w:space="0" w:color="auto"/>
      </w:divBdr>
    </w:div>
    <w:div w:id="2132243105">
      <w:bodyDiv w:val="1"/>
      <w:marLeft w:val="0"/>
      <w:marRight w:val="0"/>
      <w:marTop w:val="0"/>
      <w:marBottom w:val="0"/>
      <w:divBdr>
        <w:top w:val="none" w:sz="0" w:space="0" w:color="auto"/>
        <w:left w:val="none" w:sz="0" w:space="0" w:color="auto"/>
        <w:bottom w:val="none" w:sz="0" w:space="0" w:color="auto"/>
        <w:right w:val="none" w:sz="0" w:space="0" w:color="auto"/>
      </w:divBdr>
    </w:div>
    <w:div w:id="2132311495">
      <w:bodyDiv w:val="1"/>
      <w:marLeft w:val="0"/>
      <w:marRight w:val="0"/>
      <w:marTop w:val="0"/>
      <w:marBottom w:val="0"/>
      <w:divBdr>
        <w:top w:val="none" w:sz="0" w:space="0" w:color="auto"/>
        <w:left w:val="none" w:sz="0" w:space="0" w:color="auto"/>
        <w:bottom w:val="none" w:sz="0" w:space="0" w:color="auto"/>
        <w:right w:val="none" w:sz="0" w:space="0" w:color="auto"/>
      </w:divBdr>
    </w:div>
    <w:div w:id="2132362222">
      <w:bodyDiv w:val="1"/>
      <w:marLeft w:val="0"/>
      <w:marRight w:val="0"/>
      <w:marTop w:val="0"/>
      <w:marBottom w:val="0"/>
      <w:divBdr>
        <w:top w:val="none" w:sz="0" w:space="0" w:color="auto"/>
        <w:left w:val="none" w:sz="0" w:space="0" w:color="auto"/>
        <w:bottom w:val="none" w:sz="0" w:space="0" w:color="auto"/>
        <w:right w:val="none" w:sz="0" w:space="0" w:color="auto"/>
      </w:divBdr>
    </w:div>
    <w:div w:id="2132363314">
      <w:bodyDiv w:val="1"/>
      <w:marLeft w:val="0"/>
      <w:marRight w:val="0"/>
      <w:marTop w:val="0"/>
      <w:marBottom w:val="0"/>
      <w:divBdr>
        <w:top w:val="none" w:sz="0" w:space="0" w:color="auto"/>
        <w:left w:val="none" w:sz="0" w:space="0" w:color="auto"/>
        <w:bottom w:val="none" w:sz="0" w:space="0" w:color="auto"/>
        <w:right w:val="none" w:sz="0" w:space="0" w:color="auto"/>
      </w:divBdr>
    </w:div>
    <w:div w:id="2132551467">
      <w:bodyDiv w:val="1"/>
      <w:marLeft w:val="0"/>
      <w:marRight w:val="0"/>
      <w:marTop w:val="0"/>
      <w:marBottom w:val="0"/>
      <w:divBdr>
        <w:top w:val="none" w:sz="0" w:space="0" w:color="auto"/>
        <w:left w:val="none" w:sz="0" w:space="0" w:color="auto"/>
        <w:bottom w:val="none" w:sz="0" w:space="0" w:color="auto"/>
        <w:right w:val="none" w:sz="0" w:space="0" w:color="auto"/>
      </w:divBdr>
    </w:div>
    <w:div w:id="2132622999">
      <w:bodyDiv w:val="1"/>
      <w:marLeft w:val="0"/>
      <w:marRight w:val="0"/>
      <w:marTop w:val="0"/>
      <w:marBottom w:val="0"/>
      <w:divBdr>
        <w:top w:val="none" w:sz="0" w:space="0" w:color="auto"/>
        <w:left w:val="none" w:sz="0" w:space="0" w:color="auto"/>
        <w:bottom w:val="none" w:sz="0" w:space="0" w:color="auto"/>
        <w:right w:val="none" w:sz="0" w:space="0" w:color="auto"/>
      </w:divBdr>
    </w:div>
    <w:div w:id="2132626034">
      <w:bodyDiv w:val="1"/>
      <w:marLeft w:val="0"/>
      <w:marRight w:val="0"/>
      <w:marTop w:val="0"/>
      <w:marBottom w:val="0"/>
      <w:divBdr>
        <w:top w:val="none" w:sz="0" w:space="0" w:color="auto"/>
        <w:left w:val="none" w:sz="0" w:space="0" w:color="auto"/>
        <w:bottom w:val="none" w:sz="0" w:space="0" w:color="auto"/>
        <w:right w:val="none" w:sz="0" w:space="0" w:color="auto"/>
      </w:divBdr>
    </w:div>
    <w:div w:id="2132627139">
      <w:bodyDiv w:val="1"/>
      <w:marLeft w:val="0"/>
      <w:marRight w:val="0"/>
      <w:marTop w:val="0"/>
      <w:marBottom w:val="0"/>
      <w:divBdr>
        <w:top w:val="none" w:sz="0" w:space="0" w:color="auto"/>
        <w:left w:val="none" w:sz="0" w:space="0" w:color="auto"/>
        <w:bottom w:val="none" w:sz="0" w:space="0" w:color="auto"/>
        <w:right w:val="none" w:sz="0" w:space="0" w:color="auto"/>
      </w:divBdr>
    </w:div>
    <w:div w:id="2132892377">
      <w:bodyDiv w:val="1"/>
      <w:marLeft w:val="0"/>
      <w:marRight w:val="0"/>
      <w:marTop w:val="0"/>
      <w:marBottom w:val="0"/>
      <w:divBdr>
        <w:top w:val="none" w:sz="0" w:space="0" w:color="auto"/>
        <w:left w:val="none" w:sz="0" w:space="0" w:color="auto"/>
        <w:bottom w:val="none" w:sz="0" w:space="0" w:color="auto"/>
        <w:right w:val="none" w:sz="0" w:space="0" w:color="auto"/>
      </w:divBdr>
    </w:div>
    <w:div w:id="2132894554">
      <w:bodyDiv w:val="1"/>
      <w:marLeft w:val="0"/>
      <w:marRight w:val="0"/>
      <w:marTop w:val="0"/>
      <w:marBottom w:val="0"/>
      <w:divBdr>
        <w:top w:val="none" w:sz="0" w:space="0" w:color="auto"/>
        <w:left w:val="none" w:sz="0" w:space="0" w:color="auto"/>
        <w:bottom w:val="none" w:sz="0" w:space="0" w:color="auto"/>
        <w:right w:val="none" w:sz="0" w:space="0" w:color="auto"/>
      </w:divBdr>
    </w:div>
    <w:div w:id="2133087180">
      <w:bodyDiv w:val="1"/>
      <w:marLeft w:val="0"/>
      <w:marRight w:val="0"/>
      <w:marTop w:val="0"/>
      <w:marBottom w:val="0"/>
      <w:divBdr>
        <w:top w:val="none" w:sz="0" w:space="0" w:color="auto"/>
        <w:left w:val="none" w:sz="0" w:space="0" w:color="auto"/>
        <w:bottom w:val="none" w:sz="0" w:space="0" w:color="auto"/>
        <w:right w:val="none" w:sz="0" w:space="0" w:color="auto"/>
      </w:divBdr>
    </w:div>
    <w:div w:id="2133405426">
      <w:bodyDiv w:val="1"/>
      <w:marLeft w:val="0"/>
      <w:marRight w:val="0"/>
      <w:marTop w:val="0"/>
      <w:marBottom w:val="0"/>
      <w:divBdr>
        <w:top w:val="none" w:sz="0" w:space="0" w:color="auto"/>
        <w:left w:val="none" w:sz="0" w:space="0" w:color="auto"/>
        <w:bottom w:val="none" w:sz="0" w:space="0" w:color="auto"/>
        <w:right w:val="none" w:sz="0" w:space="0" w:color="auto"/>
      </w:divBdr>
    </w:div>
    <w:div w:id="2133934819">
      <w:bodyDiv w:val="1"/>
      <w:marLeft w:val="0"/>
      <w:marRight w:val="0"/>
      <w:marTop w:val="0"/>
      <w:marBottom w:val="0"/>
      <w:divBdr>
        <w:top w:val="none" w:sz="0" w:space="0" w:color="auto"/>
        <w:left w:val="none" w:sz="0" w:space="0" w:color="auto"/>
        <w:bottom w:val="none" w:sz="0" w:space="0" w:color="auto"/>
        <w:right w:val="none" w:sz="0" w:space="0" w:color="auto"/>
      </w:divBdr>
    </w:div>
    <w:div w:id="2134059577">
      <w:bodyDiv w:val="1"/>
      <w:marLeft w:val="0"/>
      <w:marRight w:val="0"/>
      <w:marTop w:val="0"/>
      <w:marBottom w:val="0"/>
      <w:divBdr>
        <w:top w:val="none" w:sz="0" w:space="0" w:color="auto"/>
        <w:left w:val="none" w:sz="0" w:space="0" w:color="auto"/>
        <w:bottom w:val="none" w:sz="0" w:space="0" w:color="auto"/>
        <w:right w:val="none" w:sz="0" w:space="0" w:color="auto"/>
      </w:divBdr>
    </w:div>
    <w:div w:id="2134518824">
      <w:bodyDiv w:val="1"/>
      <w:marLeft w:val="0"/>
      <w:marRight w:val="0"/>
      <w:marTop w:val="0"/>
      <w:marBottom w:val="0"/>
      <w:divBdr>
        <w:top w:val="none" w:sz="0" w:space="0" w:color="auto"/>
        <w:left w:val="none" w:sz="0" w:space="0" w:color="auto"/>
        <w:bottom w:val="none" w:sz="0" w:space="0" w:color="auto"/>
        <w:right w:val="none" w:sz="0" w:space="0" w:color="auto"/>
      </w:divBdr>
    </w:div>
    <w:div w:id="2134522621">
      <w:bodyDiv w:val="1"/>
      <w:marLeft w:val="0"/>
      <w:marRight w:val="0"/>
      <w:marTop w:val="0"/>
      <w:marBottom w:val="0"/>
      <w:divBdr>
        <w:top w:val="none" w:sz="0" w:space="0" w:color="auto"/>
        <w:left w:val="none" w:sz="0" w:space="0" w:color="auto"/>
        <w:bottom w:val="none" w:sz="0" w:space="0" w:color="auto"/>
        <w:right w:val="none" w:sz="0" w:space="0" w:color="auto"/>
      </w:divBdr>
    </w:div>
    <w:div w:id="2134783832">
      <w:bodyDiv w:val="1"/>
      <w:marLeft w:val="0"/>
      <w:marRight w:val="0"/>
      <w:marTop w:val="0"/>
      <w:marBottom w:val="0"/>
      <w:divBdr>
        <w:top w:val="none" w:sz="0" w:space="0" w:color="auto"/>
        <w:left w:val="none" w:sz="0" w:space="0" w:color="auto"/>
        <w:bottom w:val="none" w:sz="0" w:space="0" w:color="auto"/>
        <w:right w:val="none" w:sz="0" w:space="0" w:color="auto"/>
      </w:divBdr>
    </w:div>
    <w:div w:id="2134859966">
      <w:bodyDiv w:val="1"/>
      <w:marLeft w:val="0"/>
      <w:marRight w:val="0"/>
      <w:marTop w:val="0"/>
      <w:marBottom w:val="0"/>
      <w:divBdr>
        <w:top w:val="none" w:sz="0" w:space="0" w:color="auto"/>
        <w:left w:val="none" w:sz="0" w:space="0" w:color="auto"/>
        <w:bottom w:val="none" w:sz="0" w:space="0" w:color="auto"/>
        <w:right w:val="none" w:sz="0" w:space="0" w:color="auto"/>
      </w:divBdr>
    </w:div>
    <w:div w:id="2135053381">
      <w:bodyDiv w:val="1"/>
      <w:marLeft w:val="0"/>
      <w:marRight w:val="0"/>
      <w:marTop w:val="0"/>
      <w:marBottom w:val="0"/>
      <w:divBdr>
        <w:top w:val="none" w:sz="0" w:space="0" w:color="auto"/>
        <w:left w:val="none" w:sz="0" w:space="0" w:color="auto"/>
        <w:bottom w:val="none" w:sz="0" w:space="0" w:color="auto"/>
        <w:right w:val="none" w:sz="0" w:space="0" w:color="auto"/>
      </w:divBdr>
    </w:div>
    <w:div w:id="2135056620">
      <w:bodyDiv w:val="1"/>
      <w:marLeft w:val="0"/>
      <w:marRight w:val="0"/>
      <w:marTop w:val="0"/>
      <w:marBottom w:val="0"/>
      <w:divBdr>
        <w:top w:val="none" w:sz="0" w:space="0" w:color="auto"/>
        <w:left w:val="none" w:sz="0" w:space="0" w:color="auto"/>
        <w:bottom w:val="none" w:sz="0" w:space="0" w:color="auto"/>
        <w:right w:val="none" w:sz="0" w:space="0" w:color="auto"/>
      </w:divBdr>
    </w:div>
    <w:div w:id="2135059247">
      <w:bodyDiv w:val="1"/>
      <w:marLeft w:val="0"/>
      <w:marRight w:val="0"/>
      <w:marTop w:val="0"/>
      <w:marBottom w:val="0"/>
      <w:divBdr>
        <w:top w:val="none" w:sz="0" w:space="0" w:color="auto"/>
        <w:left w:val="none" w:sz="0" w:space="0" w:color="auto"/>
        <w:bottom w:val="none" w:sz="0" w:space="0" w:color="auto"/>
        <w:right w:val="none" w:sz="0" w:space="0" w:color="auto"/>
      </w:divBdr>
    </w:div>
    <w:div w:id="2135295017">
      <w:bodyDiv w:val="1"/>
      <w:marLeft w:val="0"/>
      <w:marRight w:val="0"/>
      <w:marTop w:val="0"/>
      <w:marBottom w:val="0"/>
      <w:divBdr>
        <w:top w:val="none" w:sz="0" w:space="0" w:color="auto"/>
        <w:left w:val="none" w:sz="0" w:space="0" w:color="auto"/>
        <w:bottom w:val="none" w:sz="0" w:space="0" w:color="auto"/>
        <w:right w:val="none" w:sz="0" w:space="0" w:color="auto"/>
      </w:divBdr>
    </w:div>
    <w:div w:id="2135830714">
      <w:bodyDiv w:val="1"/>
      <w:marLeft w:val="0"/>
      <w:marRight w:val="0"/>
      <w:marTop w:val="0"/>
      <w:marBottom w:val="0"/>
      <w:divBdr>
        <w:top w:val="none" w:sz="0" w:space="0" w:color="auto"/>
        <w:left w:val="none" w:sz="0" w:space="0" w:color="auto"/>
        <w:bottom w:val="none" w:sz="0" w:space="0" w:color="auto"/>
        <w:right w:val="none" w:sz="0" w:space="0" w:color="auto"/>
      </w:divBdr>
    </w:div>
    <w:div w:id="2136096102">
      <w:bodyDiv w:val="1"/>
      <w:marLeft w:val="0"/>
      <w:marRight w:val="0"/>
      <w:marTop w:val="0"/>
      <w:marBottom w:val="0"/>
      <w:divBdr>
        <w:top w:val="none" w:sz="0" w:space="0" w:color="auto"/>
        <w:left w:val="none" w:sz="0" w:space="0" w:color="auto"/>
        <w:bottom w:val="none" w:sz="0" w:space="0" w:color="auto"/>
        <w:right w:val="none" w:sz="0" w:space="0" w:color="auto"/>
      </w:divBdr>
    </w:div>
    <w:div w:id="2136096965">
      <w:bodyDiv w:val="1"/>
      <w:marLeft w:val="0"/>
      <w:marRight w:val="0"/>
      <w:marTop w:val="0"/>
      <w:marBottom w:val="0"/>
      <w:divBdr>
        <w:top w:val="none" w:sz="0" w:space="0" w:color="auto"/>
        <w:left w:val="none" w:sz="0" w:space="0" w:color="auto"/>
        <w:bottom w:val="none" w:sz="0" w:space="0" w:color="auto"/>
        <w:right w:val="none" w:sz="0" w:space="0" w:color="auto"/>
      </w:divBdr>
    </w:div>
    <w:div w:id="2136172442">
      <w:bodyDiv w:val="1"/>
      <w:marLeft w:val="0"/>
      <w:marRight w:val="0"/>
      <w:marTop w:val="0"/>
      <w:marBottom w:val="0"/>
      <w:divBdr>
        <w:top w:val="none" w:sz="0" w:space="0" w:color="auto"/>
        <w:left w:val="none" w:sz="0" w:space="0" w:color="auto"/>
        <w:bottom w:val="none" w:sz="0" w:space="0" w:color="auto"/>
        <w:right w:val="none" w:sz="0" w:space="0" w:color="auto"/>
      </w:divBdr>
    </w:div>
    <w:div w:id="2136212365">
      <w:bodyDiv w:val="1"/>
      <w:marLeft w:val="0"/>
      <w:marRight w:val="0"/>
      <w:marTop w:val="0"/>
      <w:marBottom w:val="0"/>
      <w:divBdr>
        <w:top w:val="none" w:sz="0" w:space="0" w:color="auto"/>
        <w:left w:val="none" w:sz="0" w:space="0" w:color="auto"/>
        <w:bottom w:val="none" w:sz="0" w:space="0" w:color="auto"/>
        <w:right w:val="none" w:sz="0" w:space="0" w:color="auto"/>
      </w:divBdr>
    </w:div>
    <w:div w:id="2136289110">
      <w:bodyDiv w:val="1"/>
      <w:marLeft w:val="0"/>
      <w:marRight w:val="0"/>
      <w:marTop w:val="0"/>
      <w:marBottom w:val="0"/>
      <w:divBdr>
        <w:top w:val="none" w:sz="0" w:space="0" w:color="auto"/>
        <w:left w:val="none" w:sz="0" w:space="0" w:color="auto"/>
        <w:bottom w:val="none" w:sz="0" w:space="0" w:color="auto"/>
        <w:right w:val="none" w:sz="0" w:space="0" w:color="auto"/>
      </w:divBdr>
    </w:div>
    <w:div w:id="2136362087">
      <w:bodyDiv w:val="1"/>
      <w:marLeft w:val="0"/>
      <w:marRight w:val="0"/>
      <w:marTop w:val="0"/>
      <w:marBottom w:val="0"/>
      <w:divBdr>
        <w:top w:val="none" w:sz="0" w:space="0" w:color="auto"/>
        <w:left w:val="none" w:sz="0" w:space="0" w:color="auto"/>
        <w:bottom w:val="none" w:sz="0" w:space="0" w:color="auto"/>
        <w:right w:val="none" w:sz="0" w:space="0" w:color="auto"/>
      </w:divBdr>
    </w:div>
    <w:div w:id="2136484630">
      <w:bodyDiv w:val="1"/>
      <w:marLeft w:val="0"/>
      <w:marRight w:val="0"/>
      <w:marTop w:val="0"/>
      <w:marBottom w:val="0"/>
      <w:divBdr>
        <w:top w:val="none" w:sz="0" w:space="0" w:color="auto"/>
        <w:left w:val="none" w:sz="0" w:space="0" w:color="auto"/>
        <w:bottom w:val="none" w:sz="0" w:space="0" w:color="auto"/>
        <w:right w:val="none" w:sz="0" w:space="0" w:color="auto"/>
      </w:divBdr>
    </w:div>
    <w:div w:id="2136756770">
      <w:bodyDiv w:val="1"/>
      <w:marLeft w:val="0"/>
      <w:marRight w:val="0"/>
      <w:marTop w:val="0"/>
      <w:marBottom w:val="0"/>
      <w:divBdr>
        <w:top w:val="none" w:sz="0" w:space="0" w:color="auto"/>
        <w:left w:val="none" w:sz="0" w:space="0" w:color="auto"/>
        <w:bottom w:val="none" w:sz="0" w:space="0" w:color="auto"/>
        <w:right w:val="none" w:sz="0" w:space="0" w:color="auto"/>
      </w:divBdr>
    </w:div>
    <w:div w:id="2136873140">
      <w:bodyDiv w:val="1"/>
      <w:marLeft w:val="0"/>
      <w:marRight w:val="0"/>
      <w:marTop w:val="0"/>
      <w:marBottom w:val="0"/>
      <w:divBdr>
        <w:top w:val="none" w:sz="0" w:space="0" w:color="auto"/>
        <w:left w:val="none" w:sz="0" w:space="0" w:color="auto"/>
        <w:bottom w:val="none" w:sz="0" w:space="0" w:color="auto"/>
        <w:right w:val="none" w:sz="0" w:space="0" w:color="auto"/>
      </w:divBdr>
    </w:div>
    <w:div w:id="2137290988">
      <w:bodyDiv w:val="1"/>
      <w:marLeft w:val="0"/>
      <w:marRight w:val="0"/>
      <w:marTop w:val="0"/>
      <w:marBottom w:val="0"/>
      <w:divBdr>
        <w:top w:val="none" w:sz="0" w:space="0" w:color="auto"/>
        <w:left w:val="none" w:sz="0" w:space="0" w:color="auto"/>
        <w:bottom w:val="none" w:sz="0" w:space="0" w:color="auto"/>
        <w:right w:val="none" w:sz="0" w:space="0" w:color="auto"/>
      </w:divBdr>
    </w:div>
    <w:div w:id="2137484438">
      <w:bodyDiv w:val="1"/>
      <w:marLeft w:val="0"/>
      <w:marRight w:val="0"/>
      <w:marTop w:val="0"/>
      <w:marBottom w:val="0"/>
      <w:divBdr>
        <w:top w:val="none" w:sz="0" w:space="0" w:color="auto"/>
        <w:left w:val="none" w:sz="0" w:space="0" w:color="auto"/>
        <w:bottom w:val="none" w:sz="0" w:space="0" w:color="auto"/>
        <w:right w:val="none" w:sz="0" w:space="0" w:color="auto"/>
      </w:divBdr>
    </w:div>
    <w:div w:id="2137485134">
      <w:bodyDiv w:val="1"/>
      <w:marLeft w:val="0"/>
      <w:marRight w:val="0"/>
      <w:marTop w:val="0"/>
      <w:marBottom w:val="0"/>
      <w:divBdr>
        <w:top w:val="none" w:sz="0" w:space="0" w:color="auto"/>
        <w:left w:val="none" w:sz="0" w:space="0" w:color="auto"/>
        <w:bottom w:val="none" w:sz="0" w:space="0" w:color="auto"/>
        <w:right w:val="none" w:sz="0" w:space="0" w:color="auto"/>
      </w:divBdr>
    </w:div>
    <w:div w:id="2137720410">
      <w:bodyDiv w:val="1"/>
      <w:marLeft w:val="0"/>
      <w:marRight w:val="0"/>
      <w:marTop w:val="0"/>
      <w:marBottom w:val="0"/>
      <w:divBdr>
        <w:top w:val="none" w:sz="0" w:space="0" w:color="auto"/>
        <w:left w:val="none" w:sz="0" w:space="0" w:color="auto"/>
        <w:bottom w:val="none" w:sz="0" w:space="0" w:color="auto"/>
        <w:right w:val="none" w:sz="0" w:space="0" w:color="auto"/>
      </w:divBdr>
    </w:div>
    <w:div w:id="2137866491">
      <w:bodyDiv w:val="1"/>
      <w:marLeft w:val="0"/>
      <w:marRight w:val="0"/>
      <w:marTop w:val="0"/>
      <w:marBottom w:val="0"/>
      <w:divBdr>
        <w:top w:val="none" w:sz="0" w:space="0" w:color="auto"/>
        <w:left w:val="none" w:sz="0" w:space="0" w:color="auto"/>
        <w:bottom w:val="none" w:sz="0" w:space="0" w:color="auto"/>
        <w:right w:val="none" w:sz="0" w:space="0" w:color="auto"/>
      </w:divBdr>
    </w:div>
    <w:div w:id="2137985846">
      <w:bodyDiv w:val="1"/>
      <w:marLeft w:val="0"/>
      <w:marRight w:val="0"/>
      <w:marTop w:val="0"/>
      <w:marBottom w:val="0"/>
      <w:divBdr>
        <w:top w:val="none" w:sz="0" w:space="0" w:color="auto"/>
        <w:left w:val="none" w:sz="0" w:space="0" w:color="auto"/>
        <w:bottom w:val="none" w:sz="0" w:space="0" w:color="auto"/>
        <w:right w:val="none" w:sz="0" w:space="0" w:color="auto"/>
      </w:divBdr>
    </w:div>
    <w:div w:id="2138065054">
      <w:bodyDiv w:val="1"/>
      <w:marLeft w:val="0"/>
      <w:marRight w:val="0"/>
      <w:marTop w:val="0"/>
      <w:marBottom w:val="0"/>
      <w:divBdr>
        <w:top w:val="none" w:sz="0" w:space="0" w:color="auto"/>
        <w:left w:val="none" w:sz="0" w:space="0" w:color="auto"/>
        <w:bottom w:val="none" w:sz="0" w:space="0" w:color="auto"/>
        <w:right w:val="none" w:sz="0" w:space="0" w:color="auto"/>
      </w:divBdr>
    </w:div>
    <w:div w:id="2138066917">
      <w:bodyDiv w:val="1"/>
      <w:marLeft w:val="0"/>
      <w:marRight w:val="0"/>
      <w:marTop w:val="0"/>
      <w:marBottom w:val="0"/>
      <w:divBdr>
        <w:top w:val="none" w:sz="0" w:space="0" w:color="auto"/>
        <w:left w:val="none" w:sz="0" w:space="0" w:color="auto"/>
        <w:bottom w:val="none" w:sz="0" w:space="0" w:color="auto"/>
        <w:right w:val="none" w:sz="0" w:space="0" w:color="auto"/>
      </w:divBdr>
    </w:div>
    <w:div w:id="2138333901">
      <w:bodyDiv w:val="1"/>
      <w:marLeft w:val="0"/>
      <w:marRight w:val="0"/>
      <w:marTop w:val="0"/>
      <w:marBottom w:val="0"/>
      <w:divBdr>
        <w:top w:val="none" w:sz="0" w:space="0" w:color="auto"/>
        <w:left w:val="none" w:sz="0" w:space="0" w:color="auto"/>
        <w:bottom w:val="none" w:sz="0" w:space="0" w:color="auto"/>
        <w:right w:val="none" w:sz="0" w:space="0" w:color="auto"/>
      </w:divBdr>
    </w:div>
    <w:div w:id="2138444806">
      <w:bodyDiv w:val="1"/>
      <w:marLeft w:val="0"/>
      <w:marRight w:val="0"/>
      <w:marTop w:val="0"/>
      <w:marBottom w:val="0"/>
      <w:divBdr>
        <w:top w:val="none" w:sz="0" w:space="0" w:color="auto"/>
        <w:left w:val="none" w:sz="0" w:space="0" w:color="auto"/>
        <w:bottom w:val="none" w:sz="0" w:space="0" w:color="auto"/>
        <w:right w:val="none" w:sz="0" w:space="0" w:color="auto"/>
      </w:divBdr>
    </w:div>
    <w:div w:id="2138529557">
      <w:bodyDiv w:val="1"/>
      <w:marLeft w:val="0"/>
      <w:marRight w:val="0"/>
      <w:marTop w:val="0"/>
      <w:marBottom w:val="0"/>
      <w:divBdr>
        <w:top w:val="none" w:sz="0" w:space="0" w:color="auto"/>
        <w:left w:val="none" w:sz="0" w:space="0" w:color="auto"/>
        <w:bottom w:val="none" w:sz="0" w:space="0" w:color="auto"/>
        <w:right w:val="none" w:sz="0" w:space="0" w:color="auto"/>
      </w:divBdr>
    </w:div>
    <w:div w:id="2138599453">
      <w:bodyDiv w:val="1"/>
      <w:marLeft w:val="0"/>
      <w:marRight w:val="0"/>
      <w:marTop w:val="0"/>
      <w:marBottom w:val="0"/>
      <w:divBdr>
        <w:top w:val="none" w:sz="0" w:space="0" w:color="auto"/>
        <w:left w:val="none" w:sz="0" w:space="0" w:color="auto"/>
        <w:bottom w:val="none" w:sz="0" w:space="0" w:color="auto"/>
        <w:right w:val="none" w:sz="0" w:space="0" w:color="auto"/>
      </w:divBdr>
    </w:div>
    <w:div w:id="2138793551">
      <w:bodyDiv w:val="1"/>
      <w:marLeft w:val="0"/>
      <w:marRight w:val="0"/>
      <w:marTop w:val="0"/>
      <w:marBottom w:val="0"/>
      <w:divBdr>
        <w:top w:val="none" w:sz="0" w:space="0" w:color="auto"/>
        <w:left w:val="none" w:sz="0" w:space="0" w:color="auto"/>
        <w:bottom w:val="none" w:sz="0" w:space="0" w:color="auto"/>
        <w:right w:val="none" w:sz="0" w:space="0" w:color="auto"/>
      </w:divBdr>
    </w:div>
    <w:div w:id="2139108578">
      <w:bodyDiv w:val="1"/>
      <w:marLeft w:val="0"/>
      <w:marRight w:val="0"/>
      <w:marTop w:val="0"/>
      <w:marBottom w:val="0"/>
      <w:divBdr>
        <w:top w:val="none" w:sz="0" w:space="0" w:color="auto"/>
        <w:left w:val="none" w:sz="0" w:space="0" w:color="auto"/>
        <w:bottom w:val="none" w:sz="0" w:space="0" w:color="auto"/>
        <w:right w:val="none" w:sz="0" w:space="0" w:color="auto"/>
      </w:divBdr>
    </w:div>
    <w:div w:id="2139176593">
      <w:bodyDiv w:val="1"/>
      <w:marLeft w:val="0"/>
      <w:marRight w:val="0"/>
      <w:marTop w:val="0"/>
      <w:marBottom w:val="0"/>
      <w:divBdr>
        <w:top w:val="none" w:sz="0" w:space="0" w:color="auto"/>
        <w:left w:val="none" w:sz="0" w:space="0" w:color="auto"/>
        <w:bottom w:val="none" w:sz="0" w:space="0" w:color="auto"/>
        <w:right w:val="none" w:sz="0" w:space="0" w:color="auto"/>
      </w:divBdr>
    </w:div>
    <w:div w:id="2139255823">
      <w:bodyDiv w:val="1"/>
      <w:marLeft w:val="0"/>
      <w:marRight w:val="0"/>
      <w:marTop w:val="0"/>
      <w:marBottom w:val="0"/>
      <w:divBdr>
        <w:top w:val="none" w:sz="0" w:space="0" w:color="auto"/>
        <w:left w:val="none" w:sz="0" w:space="0" w:color="auto"/>
        <w:bottom w:val="none" w:sz="0" w:space="0" w:color="auto"/>
        <w:right w:val="none" w:sz="0" w:space="0" w:color="auto"/>
      </w:divBdr>
    </w:div>
    <w:div w:id="2139370378">
      <w:bodyDiv w:val="1"/>
      <w:marLeft w:val="0"/>
      <w:marRight w:val="0"/>
      <w:marTop w:val="0"/>
      <w:marBottom w:val="0"/>
      <w:divBdr>
        <w:top w:val="none" w:sz="0" w:space="0" w:color="auto"/>
        <w:left w:val="none" w:sz="0" w:space="0" w:color="auto"/>
        <w:bottom w:val="none" w:sz="0" w:space="0" w:color="auto"/>
        <w:right w:val="none" w:sz="0" w:space="0" w:color="auto"/>
      </w:divBdr>
    </w:div>
    <w:div w:id="2139686742">
      <w:bodyDiv w:val="1"/>
      <w:marLeft w:val="0"/>
      <w:marRight w:val="0"/>
      <w:marTop w:val="0"/>
      <w:marBottom w:val="0"/>
      <w:divBdr>
        <w:top w:val="none" w:sz="0" w:space="0" w:color="auto"/>
        <w:left w:val="none" w:sz="0" w:space="0" w:color="auto"/>
        <w:bottom w:val="none" w:sz="0" w:space="0" w:color="auto"/>
        <w:right w:val="none" w:sz="0" w:space="0" w:color="auto"/>
      </w:divBdr>
    </w:div>
    <w:div w:id="2139714300">
      <w:bodyDiv w:val="1"/>
      <w:marLeft w:val="0"/>
      <w:marRight w:val="0"/>
      <w:marTop w:val="0"/>
      <w:marBottom w:val="0"/>
      <w:divBdr>
        <w:top w:val="none" w:sz="0" w:space="0" w:color="auto"/>
        <w:left w:val="none" w:sz="0" w:space="0" w:color="auto"/>
        <w:bottom w:val="none" w:sz="0" w:space="0" w:color="auto"/>
        <w:right w:val="none" w:sz="0" w:space="0" w:color="auto"/>
      </w:divBdr>
    </w:div>
    <w:div w:id="2140299496">
      <w:bodyDiv w:val="1"/>
      <w:marLeft w:val="0"/>
      <w:marRight w:val="0"/>
      <w:marTop w:val="0"/>
      <w:marBottom w:val="0"/>
      <w:divBdr>
        <w:top w:val="none" w:sz="0" w:space="0" w:color="auto"/>
        <w:left w:val="none" w:sz="0" w:space="0" w:color="auto"/>
        <w:bottom w:val="none" w:sz="0" w:space="0" w:color="auto"/>
        <w:right w:val="none" w:sz="0" w:space="0" w:color="auto"/>
      </w:divBdr>
    </w:div>
    <w:div w:id="2140372131">
      <w:bodyDiv w:val="1"/>
      <w:marLeft w:val="0"/>
      <w:marRight w:val="0"/>
      <w:marTop w:val="0"/>
      <w:marBottom w:val="0"/>
      <w:divBdr>
        <w:top w:val="none" w:sz="0" w:space="0" w:color="auto"/>
        <w:left w:val="none" w:sz="0" w:space="0" w:color="auto"/>
        <w:bottom w:val="none" w:sz="0" w:space="0" w:color="auto"/>
        <w:right w:val="none" w:sz="0" w:space="0" w:color="auto"/>
      </w:divBdr>
    </w:div>
    <w:div w:id="2140609286">
      <w:bodyDiv w:val="1"/>
      <w:marLeft w:val="0"/>
      <w:marRight w:val="0"/>
      <w:marTop w:val="0"/>
      <w:marBottom w:val="0"/>
      <w:divBdr>
        <w:top w:val="none" w:sz="0" w:space="0" w:color="auto"/>
        <w:left w:val="none" w:sz="0" w:space="0" w:color="auto"/>
        <w:bottom w:val="none" w:sz="0" w:space="0" w:color="auto"/>
        <w:right w:val="none" w:sz="0" w:space="0" w:color="auto"/>
      </w:divBdr>
    </w:div>
    <w:div w:id="2140609599">
      <w:bodyDiv w:val="1"/>
      <w:marLeft w:val="0"/>
      <w:marRight w:val="0"/>
      <w:marTop w:val="0"/>
      <w:marBottom w:val="0"/>
      <w:divBdr>
        <w:top w:val="none" w:sz="0" w:space="0" w:color="auto"/>
        <w:left w:val="none" w:sz="0" w:space="0" w:color="auto"/>
        <w:bottom w:val="none" w:sz="0" w:space="0" w:color="auto"/>
        <w:right w:val="none" w:sz="0" w:space="0" w:color="auto"/>
      </w:divBdr>
    </w:div>
    <w:div w:id="2140755937">
      <w:bodyDiv w:val="1"/>
      <w:marLeft w:val="0"/>
      <w:marRight w:val="0"/>
      <w:marTop w:val="0"/>
      <w:marBottom w:val="0"/>
      <w:divBdr>
        <w:top w:val="none" w:sz="0" w:space="0" w:color="auto"/>
        <w:left w:val="none" w:sz="0" w:space="0" w:color="auto"/>
        <w:bottom w:val="none" w:sz="0" w:space="0" w:color="auto"/>
        <w:right w:val="none" w:sz="0" w:space="0" w:color="auto"/>
      </w:divBdr>
    </w:div>
    <w:div w:id="2140877949">
      <w:bodyDiv w:val="1"/>
      <w:marLeft w:val="0"/>
      <w:marRight w:val="0"/>
      <w:marTop w:val="0"/>
      <w:marBottom w:val="0"/>
      <w:divBdr>
        <w:top w:val="none" w:sz="0" w:space="0" w:color="auto"/>
        <w:left w:val="none" w:sz="0" w:space="0" w:color="auto"/>
        <w:bottom w:val="none" w:sz="0" w:space="0" w:color="auto"/>
        <w:right w:val="none" w:sz="0" w:space="0" w:color="auto"/>
      </w:divBdr>
    </w:div>
    <w:div w:id="2140999947">
      <w:bodyDiv w:val="1"/>
      <w:marLeft w:val="0"/>
      <w:marRight w:val="0"/>
      <w:marTop w:val="0"/>
      <w:marBottom w:val="0"/>
      <w:divBdr>
        <w:top w:val="none" w:sz="0" w:space="0" w:color="auto"/>
        <w:left w:val="none" w:sz="0" w:space="0" w:color="auto"/>
        <w:bottom w:val="none" w:sz="0" w:space="0" w:color="auto"/>
        <w:right w:val="none" w:sz="0" w:space="0" w:color="auto"/>
      </w:divBdr>
    </w:div>
    <w:div w:id="2141074816">
      <w:bodyDiv w:val="1"/>
      <w:marLeft w:val="0"/>
      <w:marRight w:val="0"/>
      <w:marTop w:val="0"/>
      <w:marBottom w:val="0"/>
      <w:divBdr>
        <w:top w:val="none" w:sz="0" w:space="0" w:color="auto"/>
        <w:left w:val="none" w:sz="0" w:space="0" w:color="auto"/>
        <w:bottom w:val="none" w:sz="0" w:space="0" w:color="auto"/>
        <w:right w:val="none" w:sz="0" w:space="0" w:color="auto"/>
      </w:divBdr>
    </w:div>
    <w:div w:id="2141258988">
      <w:bodyDiv w:val="1"/>
      <w:marLeft w:val="0"/>
      <w:marRight w:val="0"/>
      <w:marTop w:val="0"/>
      <w:marBottom w:val="0"/>
      <w:divBdr>
        <w:top w:val="none" w:sz="0" w:space="0" w:color="auto"/>
        <w:left w:val="none" w:sz="0" w:space="0" w:color="auto"/>
        <w:bottom w:val="none" w:sz="0" w:space="0" w:color="auto"/>
        <w:right w:val="none" w:sz="0" w:space="0" w:color="auto"/>
      </w:divBdr>
    </w:div>
    <w:div w:id="2141264072">
      <w:bodyDiv w:val="1"/>
      <w:marLeft w:val="0"/>
      <w:marRight w:val="0"/>
      <w:marTop w:val="0"/>
      <w:marBottom w:val="0"/>
      <w:divBdr>
        <w:top w:val="none" w:sz="0" w:space="0" w:color="auto"/>
        <w:left w:val="none" w:sz="0" w:space="0" w:color="auto"/>
        <w:bottom w:val="none" w:sz="0" w:space="0" w:color="auto"/>
        <w:right w:val="none" w:sz="0" w:space="0" w:color="auto"/>
      </w:divBdr>
    </w:div>
    <w:div w:id="2141343675">
      <w:bodyDiv w:val="1"/>
      <w:marLeft w:val="0"/>
      <w:marRight w:val="0"/>
      <w:marTop w:val="0"/>
      <w:marBottom w:val="0"/>
      <w:divBdr>
        <w:top w:val="none" w:sz="0" w:space="0" w:color="auto"/>
        <w:left w:val="none" w:sz="0" w:space="0" w:color="auto"/>
        <w:bottom w:val="none" w:sz="0" w:space="0" w:color="auto"/>
        <w:right w:val="none" w:sz="0" w:space="0" w:color="auto"/>
      </w:divBdr>
    </w:div>
    <w:div w:id="2141722197">
      <w:bodyDiv w:val="1"/>
      <w:marLeft w:val="0"/>
      <w:marRight w:val="0"/>
      <w:marTop w:val="0"/>
      <w:marBottom w:val="0"/>
      <w:divBdr>
        <w:top w:val="none" w:sz="0" w:space="0" w:color="auto"/>
        <w:left w:val="none" w:sz="0" w:space="0" w:color="auto"/>
        <w:bottom w:val="none" w:sz="0" w:space="0" w:color="auto"/>
        <w:right w:val="none" w:sz="0" w:space="0" w:color="auto"/>
      </w:divBdr>
    </w:div>
    <w:div w:id="2141730224">
      <w:bodyDiv w:val="1"/>
      <w:marLeft w:val="0"/>
      <w:marRight w:val="0"/>
      <w:marTop w:val="0"/>
      <w:marBottom w:val="0"/>
      <w:divBdr>
        <w:top w:val="none" w:sz="0" w:space="0" w:color="auto"/>
        <w:left w:val="none" w:sz="0" w:space="0" w:color="auto"/>
        <w:bottom w:val="none" w:sz="0" w:space="0" w:color="auto"/>
        <w:right w:val="none" w:sz="0" w:space="0" w:color="auto"/>
      </w:divBdr>
    </w:div>
    <w:div w:id="2142066673">
      <w:bodyDiv w:val="1"/>
      <w:marLeft w:val="0"/>
      <w:marRight w:val="0"/>
      <w:marTop w:val="0"/>
      <w:marBottom w:val="0"/>
      <w:divBdr>
        <w:top w:val="none" w:sz="0" w:space="0" w:color="auto"/>
        <w:left w:val="none" w:sz="0" w:space="0" w:color="auto"/>
        <w:bottom w:val="none" w:sz="0" w:space="0" w:color="auto"/>
        <w:right w:val="none" w:sz="0" w:space="0" w:color="auto"/>
      </w:divBdr>
    </w:div>
    <w:div w:id="2142111475">
      <w:bodyDiv w:val="1"/>
      <w:marLeft w:val="0"/>
      <w:marRight w:val="0"/>
      <w:marTop w:val="0"/>
      <w:marBottom w:val="0"/>
      <w:divBdr>
        <w:top w:val="none" w:sz="0" w:space="0" w:color="auto"/>
        <w:left w:val="none" w:sz="0" w:space="0" w:color="auto"/>
        <w:bottom w:val="none" w:sz="0" w:space="0" w:color="auto"/>
        <w:right w:val="none" w:sz="0" w:space="0" w:color="auto"/>
      </w:divBdr>
    </w:div>
    <w:div w:id="2142259775">
      <w:bodyDiv w:val="1"/>
      <w:marLeft w:val="0"/>
      <w:marRight w:val="0"/>
      <w:marTop w:val="0"/>
      <w:marBottom w:val="0"/>
      <w:divBdr>
        <w:top w:val="none" w:sz="0" w:space="0" w:color="auto"/>
        <w:left w:val="none" w:sz="0" w:space="0" w:color="auto"/>
        <w:bottom w:val="none" w:sz="0" w:space="0" w:color="auto"/>
        <w:right w:val="none" w:sz="0" w:space="0" w:color="auto"/>
      </w:divBdr>
    </w:div>
    <w:div w:id="2142266479">
      <w:bodyDiv w:val="1"/>
      <w:marLeft w:val="0"/>
      <w:marRight w:val="0"/>
      <w:marTop w:val="0"/>
      <w:marBottom w:val="0"/>
      <w:divBdr>
        <w:top w:val="none" w:sz="0" w:space="0" w:color="auto"/>
        <w:left w:val="none" w:sz="0" w:space="0" w:color="auto"/>
        <w:bottom w:val="none" w:sz="0" w:space="0" w:color="auto"/>
        <w:right w:val="none" w:sz="0" w:space="0" w:color="auto"/>
      </w:divBdr>
    </w:div>
    <w:div w:id="2142451753">
      <w:bodyDiv w:val="1"/>
      <w:marLeft w:val="0"/>
      <w:marRight w:val="0"/>
      <w:marTop w:val="0"/>
      <w:marBottom w:val="0"/>
      <w:divBdr>
        <w:top w:val="none" w:sz="0" w:space="0" w:color="auto"/>
        <w:left w:val="none" w:sz="0" w:space="0" w:color="auto"/>
        <w:bottom w:val="none" w:sz="0" w:space="0" w:color="auto"/>
        <w:right w:val="none" w:sz="0" w:space="0" w:color="auto"/>
      </w:divBdr>
    </w:div>
    <w:div w:id="2142648429">
      <w:bodyDiv w:val="1"/>
      <w:marLeft w:val="0"/>
      <w:marRight w:val="0"/>
      <w:marTop w:val="0"/>
      <w:marBottom w:val="0"/>
      <w:divBdr>
        <w:top w:val="none" w:sz="0" w:space="0" w:color="auto"/>
        <w:left w:val="none" w:sz="0" w:space="0" w:color="auto"/>
        <w:bottom w:val="none" w:sz="0" w:space="0" w:color="auto"/>
        <w:right w:val="none" w:sz="0" w:space="0" w:color="auto"/>
      </w:divBdr>
    </w:div>
    <w:div w:id="2142650053">
      <w:bodyDiv w:val="1"/>
      <w:marLeft w:val="0"/>
      <w:marRight w:val="0"/>
      <w:marTop w:val="0"/>
      <w:marBottom w:val="0"/>
      <w:divBdr>
        <w:top w:val="none" w:sz="0" w:space="0" w:color="auto"/>
        <w:left w:val="none" w:sz="0" w:space="0" w:color="auto"/>
        <w:bottom w:val="none" w:sz="0" w:space="0" w:color="auto"/>
        <w:right w:val="none" w:sz="0" w:space="0" w:color="auto"/>
      </w:divBdr>
    </w:div>
    <w:div w:id="2142843307">
      <w:bodyDiv w:val="1"/>
      <w:marLeft w:val="0"/>
      <w:marRight w:val="0"/>
      <w:marTop w:val="0"/>
      <w:marBottom w:val="0"/>
      <w:divBdr>
        <w:top w:val="none" w:sz="0" w:space="0" w:color="auto"/>
        <w:left w:val="none" w:sz="0" w:space="0" w:color="auto"/>
        <w:bottom w:val="none" w:sz="0" w:space="0" w:color="auto"/>
        <w:right w:val="none" w:sz="0" w:space="0" w:color="auto"/>
      </w:divBdr>
    </w:div>
    <w:div w:id="2142963917">
      <w:bodyDiv w:val="1"/>
      <w:marLeft w:val="0"/>
      <w:marRight w:val="0"/>
      <w:marTop w:val="0"/>
      <w:marBottom w:val="0"/>
      <w:divBdr>
        <w:top w:val="none" w:sz="0" w:space="0" w:color="auto"/>
        <w:left w:val="none" w:sz="0" w:space="0" w:color="auto"/>
        <w:bottom w:val="none" w:sz="0" w:space="0" w:color="auto"/>
        <w:right w:val="none" w:sz="0" w:space="0" w:color="auto"/>
      </w:divBdr>
    </w:div>
    <w:div w:id="2142991186">
      <w:bodyDiv w:val="1"/>
      <w:marLeft w:val="0"/>
      <w:marRight w:val="0"/>
      <w:marTop w:val="0"/>
      <w:marBottom w:val="0"/>
      <w:divBdr>
        <w:top w:val="none" w:sz="0" w:space="0" w:color="auto"/>
        <w:left w:val="none" w:sz="0" w:space="0" w:color="auto"/>
        <w:bottom w:val="none" w:sz="0" w:space="0" w:color="auto"/>
        <w:right w:val="none" w:sz="0" w:space="0" w:color="auto"/>
      </w:divBdr>
    </w:div>
    <w:div w:id="2143033016">
      <w:bodyDiv w:val="1"/>
      <w:marLeft w:val="0"/>
      <w:marRight w:val="0"/>
      <w:marTop w:val="0"/>
      <w:marBottom w:val="0"/>
      <w:divBdr>
        <w:top w:val="none" w:sz="0" w:space="0" w:color="auto"/>
        <w:left w:val="none" w:sz="0" w:space="0" w:color="auto"/>
        <w:bottom w:val="none" w:sz="0" w:space="0" w:color="auto"/>
        <w:right w:val="none" w:sz="0" w:space="0" w:color="auto"/>
      </w:divBdr>
    </w:div>
    <w:div w:id="2143381138">
      <w:bodyDiv w:val="1"/>
      <w:marLeft w:val="0"/>
      <w:marRight w:val="0"/>
      <w:marTop w:val="0"/>
      <w:marBottom w:val="0"/>
      <w:divBdr>
        <w:top w:val="none" w:sz="0" w:space="0" w:color="auto"/>
        <w:left w:val="none" w:sz="0" w:space="0" w:color="auto"/>
        <w:bottom w:val="none" w:sz="0" w:space="0" w:color="auto"/>
        <w:right w:val="none" w:sz="0" w:space="0" w:color="auto"/>
      </w:divBdr>
    </w:div>
    <w:div w:id="2143427363">
      <w:bodyDiv w:val="1"/>
      <w:marLeft w:val="0"/>
      <w:marRight w:val="0"/>
      <w:marTop w:val="0"/>
      <w:marBottom w:val="0"/>
      <w:divBdr>
        <w:top w:val="none" w:sz="0" w:space="0" w:color="auto"/>
        <w:left w:val="none" w:sz="0" w:space="0" w:color="auto"/>
        <w:bottom w:val="none" w:sz="0" w:space="0" w:color="auto"/>
        <w:right w:val="none" w:sz="0" w:space="0" w:color="auto"/>
      </w:divBdr>
    </w:div>
    <w:div w:id="2143496688">
      <w:bodyDiv w:val="1"/>
      <w:marLeft w:val="0"/>
      <w:marRight w:val="0"/>
      <w:marTop w:val="0"/>
      <w:marBottom w:val="0"/>
      <w:divBdr>
        <w:top w:val="none" w:sz="0" w:space="0" w:color="auto"/>
        <w:left w:val="none" w:sz="0" w:space="0" w:color="auto"/>
        <w:bottom w:val="none" w:sz="0" w:space="0" w:color="auto"/>
        <w:right w:val="none" w:sz="0" w:space="0" w:color="auto"/>
      </w:divBdr>
    </w:div>
    <w:div w:id="2143964174">
      <w:bodyDiv w:val="1"/>
      <w:marLeft w:val="0"/>
      <w:marRight w:val="0"/>
      <w:marTop w:val="0"/>
      <w:marBottom w:val="0"/>
      <w:divBdr>
        <w:top w:val="none" w:sz="0" w:space="0" w:color="auto"/>
        <w:left w:val="none" w:sz="0" w:space="0" w:color="auto"/>
        <w:bottom w:val="none" w:sz="0" w:space="0" w:color="auto"/>
        <w:right w:val="none" w:sz="0" w:space="0" w:color="auto"/>
      </w:divBdr>
    </w:div>
    <w:div w:id="2144037063">
      <w:bodyDiv w:val="1"/>
      <w:marLeft w:val="0"/>
      <w:marRight w:val="0"/>
      <w:marTop w:val="0"/>
      <w:marBottom w:val="0"/>
      <w:divBdr>
        <w:top w:val="none" w:sz="0" w:space="0" w:color="auto"/>
        <w:left w:val="none" w:sz="0" w:space="0" w:color="auto"/>
        <w:bottom w:val="none" w:sz="0" w:space="0" w:color="auto"/>
        <w:right w:val="none" w:sz="0" w:space="0" w:color="auto"/>
      </w:divBdr>
    </w:div>
    <w:div w:id="2144078262">
      <w:bodyDiv w:val="1"/>
      <w:marLeft w:val="0"/>
      <w:marRight w:val="0"/>
      <w:marTop w:val="0"/>
      <w:marBottom w:val="0"/>
      <w:divBdr>
        <w:top w:val="none" w:sz="0" w:space="0" w:color="auto"/>
        <w:left w:val="none" w:sz="0" w:space="0" w:color="auto"/>
        <w:bottom w:val="none" w:sz="0" w:space="0" w:color="auto"/>
        <w:right w:val="none" w:sz="0" w:space="0" w:color="auto"/>
      </w:divBdr>
    </w:div>
    <w:div w:id="2144275674">
      <w:bodyDiv w:val="1"/>
      <w:marLeft w:val="0"/>
      <w:marRight w:val="0"/>
      <w:marTop w:val="0"/>
      <w:marBottom w:val="0"/>
      <w:divBdr>
        <w:top w:val="none" w:sz="0" w:space="0" w:color="auto"/>
        <w:left w:val="none" w:sz="0" w:space="0" w:color="auto"/>
        <w:bottom w:val="none" w:sz="0" w:space="0" w:color="auto"/>
        <w:right w:val="none" w:sz="0" w:space="0" w:color="auto"/>
      </w:divBdr>
    </w:div>
    <w:div w:id="2144495021">
      <w:bodyDiv w:val="1"/>
      <w:marLeft w:val="0"/>
      <w:marRight w:val="0"/>
      <w:marTop w:val="0"/>
      <w:marBottom w:val="0"/>
      <w:divBdr>
        <w:top w:val="none" w:sz="0" w:space="0" w:color="auto"/>
        <w:left w:val="none" w:sz="0" w:space="0" w:color="auto"/>
        <w:bottom w:val="none" w:sz="0" w:space="0" w:color="auto"/>
        <w:right w:val="none" w:sz="0" w:space="0" w:color="auto"/>
      </w:divBdr>
    </w:div>
    <w:div w:id="2144542328">
      <w:bodyDiv w:val="1"/>
      <w:marLeft w:val="0"/>
      <w:marRight w:val="0"/>
      <w:marTop w:val="0"/>
      <w:marBottom w:val="0"/>
      <w:divBdr>
        <w:top w:val="none" w:sz="0" w:space="0" w:color="auto"/>
        <w:left w:val="none" w:sz="0" w:space="0" w:color="auto"/>
        <w:bottom w:val="none" w:sz="0" w:space="0" w:color="auto"/>
        <w:right w:val="none" w:sz="0" w:space="0" w:color="auto"/>
      </w:divBdr>
    </w:div>
    <w:div w:id="2144689397">
      <w:bodyDiv w:val="1"/>
      <w:marLeft w:val="0"/>
      <w:marRight w:val="0"/>
      <w:marTop w:val="0"/>
      <w:marBottom w:val="0"/>
      <w:divBdr>
        <w:top w:val="none" w:sz="0" w:space="0" w:color="auto"/>
        <w:left w:val="none" w:sz="0" w:space="0" w:color="auto"/>
        <w:bottom w:val="none" w:sz="0" w:space="0" w:color="auto"/>
        <w:right w:val="none" w:sz="0" w:space="0" w:color="auto"/>
      </w:divBdr>
    </w:div>
    <w:div w:id="2144690808">
      <w:bodyDiv w:val="1"/>
      <w:marLeft w:val="0"/>
      <w:marRight w:val="0"/>
      <w:marTop w:val="0"/>
      <w:marBottom w:val="0"/>
      <w:divBdr>
        <w:top w:val="none" w:sz="0" w:space="0" w:color="auto"/>
        <w:left w:val="none" w:sz="0" w:space="0" w:color="auto"/>
        <w:bottom w:val="none" w:sz="0" w:space="0" w:color="auto"/>
        <w:right w:val="none" w:sz="0" w:space="0" w:color="auto"/>
      </w:divBdr>
    </w:div>
    <w:div w:id="2144693182">
      <w:bodyDiv w:val="1"/>
      <w:marLeft w:val="0"/>
      <w:marRight w:val="0"/>
      <w:marTop w:val="0"/>
      <w:marBottom w:val="0"/>
      <w:divBdr>
        <w:top w:val="none" w:sz="0" w:space="0" w:color="auto"/>
        <w:left w:val="none" w:sz="0" w:space="0" w:color="auto"/>
        <w:bottom w:val="none" w:sz="0" w:space="0" w:color="auto"/>
        <w:right w:val="none" w:sz="0" w:space="0" w:color="auto"/>
      </w:divBdr>
    </w:div>
    <w:div w:id="2145149262">
      <w:bodyDiv w:val="1"/>
      <w:marLeft w:val="0"/>
      <w:marRight w:val="0"/>
      <w:marTop w:val="0"/>
      <w:marBottom w:val="0"/>
      <w:divBdr>
        <w:top w:val="none" w:sz="0" w:space="0" w:color="auto"/>
        <w:left w:val="none" w:sz="0" w:space="0" w:color="auto"/>
        <w:bottom w:val="none" w:sz="0" w:space="0" w:color="auto"/>
        <w:right w:val="none" w:sz="0" w:space="0" w:color="auto"/>
      </w:divBdr>
    </w:div>
    <w:div w:id="2145199461">
      <w:bodyDiv w:val="1"/>
      <w:marLeft w:val="0"/>
      <w:marRight w:val="0"/>
      <w:marTop w:val="0"/>
      <w:marBottom w:val="0"/>
      <w:divBdr>
        <w:top w:val="none" w:sz="0" w:space="0" w:color="auto"/>
        <w:left w:val="none" w:sz="0" w:space="0" w:color="auto"/>
        <w:bottom w:val="none" w:sz="0" w:space="0" w:color="auto"/>
        <w:right w:val="none" w:sz="0" w:space="0" w:color="auto"/>
      </w:divBdr>
    </w:div>
    <w:div w:id="2145392325">
      <w:bodyDiv w:val="1"/>
      <w:marLeft w:val="0"/>
      <w:marRight w:val="0"/>
      <w:marTop w:val="0"/>
      <w:marBottom w:val="0"/>
      <w:divBdr>
        <w:top w:val="none" w:sz="0" w:space="0" w:color="auto"/>
        <w:left w:val="none" w:sz="0" w:space="0" w:color="auto"/>
        <w:bottom w:val="none" w:sz="0" w:space="0" w:color="auto"/>
        <w:right w:val="none" w:sz="0" w:space="0" w:color="auto"/>
      </w:divBdr>
    </w:div>
    <w:div w:id="2145466301">
      <w:bodyDiv w:val="1"/>
      <w:marLeft w:val="0"/>
      <w:marRight w:val="0"/>
      <w:marTop w:val="0"/>
      <w:marBottom w:val="0"/>
      <w:divBdr>
        <w:top w:val="none" w:sz="0" w:space="0" w:color="auto"/>
        <w:left w:val="none" w:sz="0" w:space="0" w:color="auto"/>
        <w:bottom w:val="none" w:sz="0" w:space="0" w:color="auto"/>
        <w:right w:val="none" w:sz="0" w:space="0" w:color="auto"/>
      </w:divBdr>
    </w:div>
    <w:div w:id="2145654494">
      <w:bodyDiv w:val="1"/>
      <w:marLeft w:val="0"/>
      <w:marRight w:val="0"/>
      <w:marTop w:val="0"/>
      <w:marBottom w:val="0"/>
      <w:divBdr>
        <w:top w:val="none" w:sz="0" w:space="0" w:color="auto"/>
        <w:left w:val="none" w:sz="0" w:space="0" w:color="auto"/>
        <w:bottom w:val="none" w:sz="0" w:space="0" w:color="auto"/>
        <w:right w:val="none" w:sz="0" w:space="0" w:color="auto"/>
      </w:divBdr>
    </w:div>
    <w:div w:id="2145730340">
      <w:bodyDiv w:val="1"/>
      <w:marLeft w:val="0"/>
      <w:marRight w:val="0"/>
      <w:marTop w:val="0"/>
      <w:marBottom w:val="0"/>
      <w:divBdr>
        <w:top w:val="none" w:sz="0" w:space="0" w:color="auto"/>
        <w:left w:val="none" w:sz="0" w:space="0" w:color="auto"/>
        <w:bottom w:val="none" w:sz="0" w:space="0" w:color="auto"/>
        <w:right w:val="none" w:sz="0" w:space="0" w:color="auto"/>
      </w:divBdr>
    </w:div>
    <w:div w:id="2145733158">
      <w:bodyDiv w:val="1"/>
      <w:marLeft w:val="0"/>
      <w:marRight w:val="0"/>
      <w:marTop w:val="0"/>
      <w:marBottom w:val="0"/>
      <w:divBdr>
        <w:top w:val="none" w:sz="0" w:space="0" w:color="auto"/>
        <w:left w:val="none" w:sz="0" w:space="0" w:color="auto"/>
        <w:bottom w:val="none" w:sz="0" w:space="0" w:color="auto"/>
        <w:right w:val="none" w:sz="0" w:space="0" w:color="auto"/>
      </w:divBdr>
    </w:div>
    <w:div w:id="2146071988">
      <w:bodyDiv w:val="1"/>
      <w:marLeft w:val="0"/>
      <w:marRight w:val="0"/>
      <w:marTop w:val="0"/>
      <w:marBottom w:val="0"/>
      <w:divBdr>
        <w:top w:val="none" w:sz="0" w:space="0" w:color="auto"/>
        <w:left w:val="none" w:sz="0" w:space="0" w:color="auto"/>
        <w:bottom w:val="none" w:sz="0" w:space="0" w:color="auto"/>
        <w:right w:val="none" w:sz="0" w:space="0" w:color="auto"/>
      </w:divBdr>
    </w:div>
    <w:div w:id="2146120312">
      <w:bodyDiv w:val="1"/>
      <w:marLeft w:val="0"/>
      <w:marRight w:val="0"/>
      <w:marTop w:val="0"/>
      <w:marBottom w:val="0"/>
      <w:divBdr>
        <w:top w:val="none" w:sz="0" w:space="0" w:color="auto"/>
        <w:left w:val="none" w:sz="0" w:space="0" w:color="auto"/>
        <w:bottom w:val="none" w:sz="0" w:space="0" w:color="auto"/>
        <w:right w:val="none" w:sz="0" w:space="0" w:color="auto"/>
      </w:divBdr>
    </w:div>
    <w:div w:id="2146122955">
      <w:bodyDiv w:val="1"/>
      <w:marLeft w:val="0"/>
      <w:marRight w:val="0"/>
      <w:marTop w:val="0"/>
      <w:marBottom w:val="0"/>
      <w:divBdr>
        <w:top w:val="none" w:sz="0" w:space="0" w:color="auto"/>
        <w:left w:val="none" w:sz="0" w:space="0" w:color="auto"/>
        <w:bottom w:val="none" w:sz="0" w:space="0" w:color="auto"/>
        <w:right w:val="none" w:sz="0" w:space="0" w:color="auto"/>
      </w:divBdr>
    </w:div>
    <w:div w:id="2146580169">
      <w:bodyDiv w:val="1"/>
      <w:marLeft w:val="0"/>
      <w:marRight w:val="0"/>
      <w:marTop w:val="0"/>
      <w:marBottom w:val="0"/>
      <w:divBdr>
        <w:top w:val="none" w:sz="0" w:space="0" w:color="auto"/>
        <w:left w:val="none" w:sz="0" w:space="0" w:color="auto"/>
        <w:bottom w:val="none" w:sz="0" w:space="0" w:color="auto"/>
        <w:right w:val="none" w:sz="0" w:space="0" w:color="auto"/>
      </w:divBdr>
    </w:div>
    <w:div w:id="2146653953">
      <w:bodyDiv w:val="1"/>
      <w:marLeft w:val="0"/>
      <w:marRight w:val="0"/>
      <w:marTop w:val="0"/>
      <w:marBottom w:val="0"/>
      <w:divBdr>
        <w:top w:val="none" w:sz="0" w:space="0" w:color="auto"/>
        <w:left w:val="none" w:sz="0" w:space="0" w:color="auto"/>
        <w:bottom w:val="none" w:sz="0" w:space="0" w:color="auto"/>
        <w:right w:val="none" w:sz="0" w:space="0" w:color="auto"/>
      </w:divBdr>
    </w:div>
    <w:div w:id="2146699123">
      <w:bodyDiv w:val="1"/>
      <w:marLeft w:val="0"/>
      <w:marRight w:val="0"/>
      <w:marTop w:val="0"/>
      <w:marBottom w:val="0"/>
      <w:divBdr>
        <w:top w:val="none" w:sz="0" w:space="0" w:color="auto"/>
        <w:left w:val="none" w:sz="0" w:space="0" w:color="auto"/>
        <w:bottom w:val="none" w:sz="0" w:space="0" w:color="auto"/>
        <w:right w:val="none" w:sz="0" w:space="0" w:color="auto"/>
      </w:divBdr>
    </w:div>
    <w:div w:id="2146729485">
      <w:bodyDiv w:val="1"/>
      <w:marLeft w:val="0"/>
      <w:marRight w:val="0"/>
      <w:marTop w:val="0"/>
      <w:marBottom w:val="0"/>
      <w:divBdr>
        <w:top w:val="none" w:sz="0" w:space="0" w:color="auto"/>
        <w:left w:val="none" w:sz="0" w:space="0" w:color="auto"/>
        <w:bottom w:val="none" w:sz="0" w:space="0" w:color="auto"/>
        <w:right w:val="none" w:sz="0" w:space="0" w:color="auto"/>
      </w:divBdr>
    </w:div>
    <w:div w:id="2146897448">
      <w:bodyDiv w:val="1"/>
      <w:marLeft w:val="0"/>
      <w:marRight w:val="0"/>
      <w:marTop w:val="0"/>
      <w:marBottom w:val="0"/>
      <w:divBdr>
        <w:top w:val="none" w:sz="0" w:space="0" w:color="auto"/>
        <w:left w:val="none" w:sz="0" w:space="0" w:color="auto"/>
        <w:bottom w:val="none" w:sz="0" w:space="0" w:color="auto"/>
        <w:right w:val="none" w:sz="0" w:space="0" w:color="auto"/>
      </w:divBdr>
    </w:div>
    <w:div w:id="2147040202">
      <w:bodyDiv w:val="1"/>
      <w:marLeft w:val="0"/>
      <w:marRight w:val="0"/>
      <w:marTop w:val="0"/>
      <w:marBottom w:val="0"/>
      <w:divBdr>
        <w:top w:val="none" w:sz="0" w:space="0" w:color="auto"/>
        <w:left w:val="none" w:sz="0" w:space="0" w:color="auto"/>
        <w:bottom w:val="none" w:sz="0" w:space="0" w:color="auto"/>
        <w:right w:val="none" w:sz="0" w:space="0" w:color="auto"/>
      </w:divBdr>
    </w:div>
    <w:div w:id="2147046768">
      <w:bodyDiv w:val="1"/>
      <w:marLeft w:val="0"/>
      <w:marRight w:val="0"/>
      <w:marTop w:val="0"/>
      <w:marBottom w:val="0"/>
      <w:divBdr>
        <w:top w:val="none" w:sz="0" w:space="0" w:color="auto"/>
        <w:left w:val="none" w:sz="0" w:space="0" w:color="auto"/>
        <w:bottom w:val="none" w:sz="0" w:space="0" w:color="auto"/>
        <w:right w:val="none" w:sz="0" w:space="0" w:color="auto"/>
      </w:divBdr>
    </w:div>
    <w:div w:id="2147161176">
      <w:bodyDiv w:val="1"/>
      <w:marLeft w:val="0"/>
      <w:marRight w:val="0"/>
      <w:marTop w:val="0"/>
      <w:marBottom w:val="0"/>
      <w:divBdr>
        <w:top w:val="none" w:sz="0" w:space="0" w:color="auto"/>
        <w:left w:val="none" w:sz="0" w:space="0" w:color="auto"/>
        <w:bottom w:val="none" w:sz="0" w:space="0" w:color="auto"/>
        <w:right w:val="none" w:sz="0" w:space="0" w:color="auto"/>
      </w:divBdr>
    </w:div>
    <w:div w:id="2147164336">
      <w:bodyDiv w:val="1"/>
      <w:marLeft w:val="0"/>
      <w:marRight w:val="0"/>
      <w:marTop w:val="0"/>
      <w:marBottom w:val="0"/>
      <w:divBdr>
        <w:top w:val="none" w:sz="0" w:space="0" w:color="auto"/>
        <w:left w:val="none" w:sz="0" w:space="0" w:color="auto"/>
        <w:bottom w:val="none" w:sz="0" w:space="0" w:color="auto"/>
        <w:right w:val="none" w:sz="0" w:space="0" w:color="auto"/>
      </w:divBdr>
    </w:div>
    <w:div w:id="214735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safety-topic/managing-health-and-safety/exposure-standards-airborne-contaminants/workplace-exposure-standards-review" TargetMode="External"/><Relationship Id="rId21" Type="http://schemas.openxmlformats.org/officeDocument/2006/relationships/hyperlink" Target="https://www.safeworkaustralia.gov.au/doc/decision-regulation-impact-statement-workplace-exposure-standards-framework-under-model-work-health-and-safety-laws" TargetMode="External"/><Relationship Id="rId42" Type="http://schemas.openxmlformats.org/officeDocument/2006/relationships/hyperlink" Target="https://storage.googleapis.com/files-au-swa/safework/p/prj06da3bdf2c1cf9737efab/page/draft_evaluation_report_wes_copper_fumes_dusts_and_mists_as_Cu_pdf.pdf" TargetMode="External"/><Relationship Id="rId47" Type="http://schemas.openxmlformats.org/officeDocument/2006/relationships/hyperlink" Target="https://www.safeworkaustralia.gov.au/doc/guidance-interpretation-workplace-exposure-standards-airborne-contaminants" TargetMode="External"/><Relationship Id="rId63" Type="http://schemas.openxmlformats.org/officeDocument/2006/relationships/image" Target="media/image7.png"/><Relationship Id="rId6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federation.gov.au/about/agreements/intergovernmental-agreement-regulatory-and-operational-reform-occupational-health" TargetMode="External"/><Relationship Id="rId11" Type="http://schemas.openxmlformats.org/officeDocument/2006/relationships/footer" Target="footer2.xml"/><Relationship Id="rId24" Type="http://schemas.openxmlformats.org/officeDocument/2006/relationships/hyperlink" Target="https://www.safeworkaustralia.gov.au/doc/workplace-exposure-standards-airborne-contaminants-2024" TargetMode="External"/><Relationship Id="rId32" Type="http://schemas.openxmlformats.org/officeDocument/2006/relationships/hyperlink" Target="https://www.safeworkaustralia.gov.au/doc/decision-regulation-impact-statement-workplace-exposure-standards-framework-under-model-work-health-and-safety-laws" TargetMode="External"/><Relationship Id="rId37" Type="http://schemas.openxmlformats.org/officeDocument/2006/relationships/hyperlink" Target="https://app.converlens.com/safework/wel-consultation/ris-survey/list" TargetMode="External"/><Relationship Id="rId40" Type="http://schemas.openxmlformats.org/officeDocument/2006/relationships/hyperlink" Target="https://storage.googleapis.com/files-au-swa/safework/p/prj28f3a307cfe6ee51abbd3/page/draft_evaluation_report_wes_benzene_pdf.pdf" TargetMode="External"/><Relationship Id="rId45" Type="http://schemas.openxmlformats.org/officeDocument/2006/relationships/hyperlink" Target="https://storage.googleapis.com/files-au-swa/safework/p/prj0ae13e590bf0d888ca147/page/draft_evaluation_report_wes_hydrogen_cyanide_pdf.pdf" TargetMode="External"/><Relationship Id="rId53" Type="http://schemas.openxmlformats.org/officeDocument/2006/relationships/hyperlink" Target="https://academic.oup.com/annweh/article/68/8/859/7727644" TargetMode="External"/><Relationship Id="rId58" Type="http://schemas.openxmlformats.org/officeDocument/2006/relationships/image" Target="media/image4.png"/><Relationship Id="rId66" Type="http://schemas.openxmlformats.org/officeDocument/2006/relationships/hyperlink" Target="https://www.safeworkaustralia.gov.au/system/files/documents/1911/decision_ris_for_the_workplace_exposure_standards_framework.pdf"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yperlink" Target="https://www.safeworkaustralia.gov.au/doc/workplace-exposure-standards-airborne-contaminants-2024" TargetMode="External"/><Relationship Id="rId27" Type="http://schemas.openxmlformats.org/officeDocument/2006/relationships/hyperlink" Target="https://www.safeworkaustralia.gov.au/doc/workplace-exposure-limits-airborne-contaminants" TargetMode="External"/><Relationship Id="rId30" Type="http://schemas.openxmlformats.org/officeDocument/2006/relationships/image" Target="media/image3.png"/><Relationship Id="rId35" Type="http://schemas.openxmlformats.org/officeDocument/2006/relationships/header" Target="header10.xml"/><Relationship Id="rId43" Type="http://schemas.openxmlformats.org/officeDocument/2006/relationships/hyperlink" Target="https://storage.googleapis.com/files-au-swa/safework/p/prj06da3bdf2c1cf9737efab/page/draft_evaluation_report_wes_copper_fumes_dusts_and_mists_as_Cu_pdf.pdf" TargetMode="External"/><Relationship Id="rId48" Type="http://schemas.openxmlformats.org/officeDocument/2006/relationships/hyperlink" Target="https://storage.googleapis.com/files-au-swa/safework/p/prj345078c28dff3c94a3e5a/page/draft_evaluation_report_wes_nitrogen_dioxide_pdf.pdf" TargetMode="External"/><Relationship Id="rId56" Type="http://schemas.openxmlformats.org/officeDocument/2006/relationships/hyperlink" Target="https://www.safeworkaustralia.gov.au/doc/wes-review-criteria-selection-sources-workplace-exposure-standards-notations-and-supporting-data" TargetMode="External"/><Relationship Id="rId64" Type="http://schemas.openxmlformats.org/officeDocument/2006/relationships/hyperlink" Target="https://www.safeworkaustralia.gov.au/system/files/documents/1911/decision_ris_for_the_workplace_exposure_standards_framework.pdf" TargetMode="External"/><Relationship Id="rId69" Type="http://schemas.openxmlformats.org/officeDocument/2006/relationships/header" Target="header13.xml"/><Relationship Id="rId8" Type="http://schemas.openxmlformats.org/officeDocument/2006/relationships/header" Target="header1.xml"/><Relationship Id="rId51" Type="http://schemas.openxmlformats.org/officeDocument/2006/relationships/hyperlink" Target="https://www.safeworkaustralia.gov.au/doc/report-measuring-respirable-crystalline-silica"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footer" Target="footer3.xml"/><Relationship Id="rId25" Type="http://schemas.openxmlformats.org/officeDocument/2006/relationships/hyperlink" Target="https://www.safeworkaustralia.gov.au/doc/decision-regulation-impact-statement-workplace-exposure-standards-framework-under-model-work-health-and-safety-laws" TargetMode="External"/><Relationship Id="rId33" Type="http://schemas.openxmlformats.org/officeDocument/2006/relationships/hyperlink" Target="https://storage.googleapis.com/files-au-swa/safework/p/prj2f92adb65796294e37a91/page/Consultation_Paper_Impacts_of_the_proposed_workplace_exposure_limits_for_9_chemicals.pdf" TargetMode="External"/><Relationship Id="rId38" Type="http://schemas.openxmlformats.org/officeDocument/2006/relationships/hyperlink" Target="https://www.safeworkaustralia.gov.au/doc/consultation-regulation-impact-statement-workplace-exposure-standards" TargetMode="External"/><Relationship Id="rId46" Type="http://schemas.openxmlformats.org/officeDocument/2006/relationships/hyperlink" Target="https://storage.googleapis.com/files-au-swa/safework/p/prj0ae13e590bf0d888ca147/page/draft_evaluation_report_wes_hydrogen_sulfide_pdf.pdf" TargetMode="External"/><Relationship Id="rId59" Type="http://schemas.openxmlformats.org/officeDocument/2006/relationships/hyperlink" Target="https://www.safeworkaustralia.gov.au/doc/decision-regulation-impact-statement-managing-risks-respirable-crystalline-silica-work" TargetMode="External"/><Relationship Id="rId67" Type="http://schemas.openxmlformats.org/officeDocument/2006/relationships/hyperlink" Target="https://www.safeworkaustralia.gov.au/system/files/documents/1911/decision_ris_for_the_workplace_exposure_standards_framework.pdf" TargetMode="External"/><Relationship Id="rId20" Type="http://schemas.openxmlformats.org/officeDocument/2006/relationships/header" Target="header8.xml"/><Relationship Id="rId41" Type="http://schemas.openxmlformats.org/officeDocument/2006/relationships/hyperlink" Target="https://storage.googleapis.com/files-au-swa/safework/p/prj06da3bdf2c1cf9737efab/page/draft_evaluation_report_wes_chlorine_pdf.pdf" TargetMode="External"/><Relationship Id="rId54" Type="http://schemas.openxmlformats.org/officeDocument/2006/relationships/hyperlink" Target="https://www.safeworkaustralia.gov.au/safety-topic/managing-health-and-safety/identify-assess-and-control-hazards/managing-risks" TargetMode="External"/><Relationship Id="rId62" Type="http://schemas.openxmlformats.org/officeDocument/2006/relationships/image" Target="media/image6.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safeworkaustralia.gov.au/doc/workplace-exposure-limits-airborne-contaminants" TargetMode="External"/><Relationship Id="rId28" Type="http://schemas.openxmlformats.org/officeDocument/2006/relationships/hyperlink" Target="https://www.safeworkaustralia.gov.au/safety-topic/managing-health-and-safety/identify-assess-and-control-hazards/managing-risks" TargetMode="External"/><Relationship Id="rId36" Type="http://schemas.openxmlformats.org/officeDocument/2006/relationships/header" Target="header11.xml"/><Relationship Id="rId49" Type="http://schemas.openxmlformats.org/officeDocument/2006/relationships/hyperlink" Target="https://storage.googleapis.com/files-au-swa/safework/p/prj385d41c05dad942cee621/page/Respirable_Crystalline_Silica_Evaluation_Report_2019_F.docx" TargetMode="External"/><Relationship Id="rId57" Type="http://schemas.openxmlformats.org/officeDocument/2006/relationships/hyperlink" Target="https://www.safeworkaustralia.gov.au/doc/wes-review-selection-sources-exposure-standards-notations-and-supporting-data" TargetMode="External"/><Relationship Id="rId10" Type="http://schemas.openxmlformats.org/officeDocument/2006/relationships/header" Target="header2.xml"/><Relationship Id="rId31" Type="http://schemas.openxmlformats.org/officeDocument/2006/relationships/hyperlink" Target="https://www.safeworkaustralia.gov.au/sites/default/files/2022-08/model_code_of_practice_-_managing_psychosocial_hazards_at_work_25082022_0.pdf" TargetMode="External"/><Relationship Id="rId44" Type="http://schemas.openxmlformats.org/officeDocument/2006/relationships/hyperlink" Target="https://storage.googleapis.com/files-au-swa/safework/p/prj642e68d6133ea3a631d25/page/draft_evaluation_report_wes_formaldehyde_pdf.pdf" TargetMode="External"/><Relationship Id="rId52" Type="http://schemas.openxmlformats.org/officeDocument/2006/relationships/hyperlink" Target="https://academic.oup.com/annweh/article/66/5/632/6414240" TargetMode="External"/><Relationship Id="rId60" Type="http://schemas.openxmlformats.org/officeDocument/2006/relationships/hyperlink" Target="https://www.safeworkaustralia.gov.au/doc/decision-regulation-impact-statement-prohibition-use-engineered-stone" TargetMode="External"/><Relationship Id="rId65" Type="http://schemas.openxmlformats.org/officeDocument/2006/relationships/hyperlink" Target="https://www.safeworkaustralia.gov.au/system/files/documents/1911/decision_ris_for_the_workplace_exposure_standards_framework.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wa.gov.au" TargetMode="External"/><Relationship Id="rId18" Type="http://schemas.openxmlformats.org/officeDocument/2006/relationships/header" Target="header6.xml"/><Relationship Id="rId39" Type="http://schemas.openxmlformats.org/officeDocument/2006/relationships/hyperlink" Target="https://www.safeworkaustralia.gov.au/awhs-strategy_23-33" TargetMode="External"/><Relationship Id="rId34" Type="http://schemas.openxmlformats.org/officeDocument/2006/relationships/header" Target="header9.xml"/><Relationship Id="rId50" Type="http://schemas.openxmlformats.org/officeDocument/2006/relationships/hyperlink" Target="https://www.safeworkaustralia.gov.au/safety-topic/hazards/silica/whs-duties-silica/research-lower-workplace-exposure-standard-and-short-term-exposure-limit-respirable-crystalline-silica" TargetMode="External"/><Relationship Id="rId55" Type="http://schemas.openxmlformats.org/officeDocument/2006/relationships/hyperlink" Target="https://www.safeworkaustralia.gov.au/doc/guidance-interpretation-workplace-exposure-standards-airborne-contaminants" TargetMode="External"/><Relationship Id="rId7" Type="http://schemas.openxmlformats.org/officeDocument/2006/relationships/endnotes" Target="endnotes.xml"/><Relationship Id="rId71" Type="http://schemas.openxmlformats.org/officeDocument/2006/relationships/header" Target="header14.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17" Type="http://schemas.openxmlformats.org/officeDocument/2006/relationships/hyperlink" Target="https://app.converlens.com/safework/wel-consultation/ris-survey/view/87" TargetMode="External"/><Relationship Id="rId299" Type="http://schemas.openxmlformats.org/officeDocument/2006/relationships/hyperlink" Target="https://app.converlens.com/safework/wel-consultation/ris-survey/view/85" TargetMode="External"/><Relationship Id="rId21" Type="http://schemas.openxmlformats.org/officeDocument/2006/relationships/hyperlink" Target="https://app.converlens.com/safework/wel-consultation/ris-survey/view/18" TargetMode="External"/><Relationship Id="rId63" Type="http://schemas.openxmlformats.org/officeDocument/2006/relationships/hyperlink" Target="https://app.converlens.com/safework/wel-consultation/ris-survey/view/76" TargetMode="External"/><Relationship Id="rId159" Type="http://schemas.openxmlformats.org/officeDocument/2006/relationships/hyperlink" Target="https://app.converlens.com/safework/wel-consultation/ris-survey/view/43" TargetMode="External"/><Relationship Id="rId324" Type="http://schemas.openxmlformats.org/officeDocument/2006/relationships/hyperlink" Target="https://app.converlens.com/safework/wel-consultation/ris-survey/view/88" TargetMode="External"/><Relationship Id="rId366" Type="http://schemas.openxmlformats.org/officeDocument/2006/relationships/hyperlink" Target="https://app.converlens.com/safework/wel-consultation/ris-survey/view/88" TargetMode="External"/><Relationship Id="rId170" Type="http://schemas.openxmlformats.org/officeDocument/2006/relationships/hyperlink" Target="https://app.converlens.com/safework/wel-consultation/ris-survey/view/36" TargetMode="External"/><Relationship Id="rId226" Type="http://schemas.openxmlformats.org/officeDocument/2006/relationships/hyperlink" Target="https://app.converlens.com/safework/wel-consultation/ris-survey/view/75" TargetMode="External"/><Relationship Id="rId433" Type="http://schemas.openxmlformats.org/officeDocument/2006/relationships/hyperlink" Target="https://app.converlens.com/safework/wel-consultation/ris-survey/view/74" TargetMode="External"/><Relationship Id="rId268" Type="http://schemas.openxmlformats.org/officeDocument/2006/relationships/hyperlink" Target="https://app.converlens.com/safework/wel-consultation/ris-survey/view/76" TargetMode="External"/><Relationship Id="rId32" Type="http://schemas.openxmlformats.org/officeDocument/2006/relationships/hyperlink" Target="https://app.converlens.com/safework/wel-consultation/ris-survey/view/84" TargetMode="External"/><Relationship Id="rId74" Type="http://schemas.openxmlformats.org/officeDocument/2006/relationships/hyperlink" Target="https://app.converlens.com/safework/wel-consultation/ris-survey/view/88" TargetMode="External"/><Relationship Id="rId128" Type="http://schemas.openxmlformats.org/officeDocument/2006/relationships/hyperlink" Target="https://app.converlens.com/safework/wel-consultation/ris-survey/view/43" TargetMode="External"/><Relationship Id="rId335" Type="http://schemas.openxmlformats.org/officeDocument/2006/relationships/hyperlink" Target="https://app.converlens.com/safework/wel-consultation/ris-survey/view/79" TargetMode="External"/><Relationship Id="rId377" Type="http://schemas.openxmlformats.org/officeDocument/2006/relationships/hyperlink" Target="https://app.converlens.com/safework/wel-consultation/ris-survey/view/62" TargetMode="External"/><Relationship Id="rId5" Type="http://schemas.openxmlformats.org/officeDocument/2006/relationships/hyperlink" Target="https://app.converlens.com/safework/wel-consultation/ris-survey/view/79" TargetMode="External"/><Relationship Id="rId181" Type="http://schemas.openxmlformats.org/officeDocument/2006/relationships/hyperlink" Target="https://app.converlens.com/safework/wel-consultation/ris-survey/view/38" TargetMode="External"/><Relationship Id="rId237" Type="http://schemas.openxmlformats.org/officeDocument/2006/relationships/hyperlink" Target="https://app.converlens.com/safework/wel-consultation/ris-survey/view/34" TargetMode="External"/><Relationship Id="rId402" Type="http://schemas.openxmlformats.org/officeDocument/2006/relationships/hyperlink" Target="https://app.converlens.com/safework/wel-consultation/ris-survey/view/62" TargetMode="External"/><Relationship Id="rId279" Type="http://schemas.openxmlformats.org/officeDocument/2006/relationships/hyperlink" Target="https://app.converlens.com/safework/wel-consultation/ris-survey/view/85" TargetMode="External"/><Relationship Id="rId43" Type="http://schemas.openxmlformats.org/officeDocument/2006/relationships/hyperlink" Target="https://storage.googleapis.com/files-au-swa/safework/p/prj06da3bdf2c1cf9737efab/page/draft_evaluation_report_wes_chlorine_pdf.pdf" TargetMode="External"/><Relationship Id="rId139" Type="http://schemas.openxmlformats.org/officeDocument/2006/relationships/hyperlink" Target="https://app.converlens.com/safework/wel-consultation/ris-survey/view/46" TargetMode="External"/><Relationship Id="rId290" Type="http://schemas.openxmlformats.org/officeDocument/2006/relationships/hyperlink" Target="https://app.converlens.com/safework/wel-consultation/ris-survey/view/82" TargetMode="External"/><Relationship Id="rId304" Type="http://schemas.openxmlformats.org/officeDocument/2006/relationships/hyperlink" Target="https://app.converlens.com/safework/wel-consultation/ris-survey/view/81" TargetMode="External"/><Relationship Id="rId346" Type="http://schemas.openxmlformats.org/officeDocument/2006/relationships/hyperlink" Target="https://app.converlens.com/safework/wel-consultation/ris-survey/view/46" TargetMode="External"/><Relationship Id="rId388" Type="http://schemas.openxmlformats.org/officeDocument/2006/relationships/hyperlink" Target="https://app.converlens.com/safework/wel-consultation/ris-survey/view/88" TargetMode="External"/><Relationship Id="rId85" Type="http://schemas.openxmlformats.org/officeDocument/2006/relationships/hyperlink" Target="https://app.converlens.com/safework/wel-consultation/ris-survey/view/76" TargetMode="External"/><Relationship Id="rId150" Type="http://schemas.openxmlformats.org/officeDocument/2006/relationships/hyperlink" Target="https://app.converlens.com/safework/wel-consultation/ris-survey/view/50" TargetMode="External"/><Relationship Id="rId192" Type="http://schemas.openxmlformats.org/officeDocument/2006/relationships/hyperlink" Target="https://app.converlens.com/safework/wel-consultation/ris-survey/view/49" TargetMode="External"/><Relationship Id="rId206" Type="http://schemas.openxmlformats.org/officeDocument/2006/relationships/hyperlink" Target="https://app.converlens.com/safework/wel-consultation/ris-survey/view/38" TargetMode="External"/><Relationship Id="rId413" Type="http://schemas.openxmlformats.org/officeDocument/2006/relationships/hyperlink" Target="https://storage.googleapis.com/files-au-swa/safework/p/prjea9c46238e814e3fac152/page/draft_evaluation_report_wes_titanium_dioxide_pdf.pdf" TargetMode="External"/><Relationship Id="rId248" Type="http://schemas.openxmlformats.org/officeDocument/2006/relationships/hyperlink" Target="https://app.converlens.com/safework/wel-consultation/ris-survey/view/87" TargetMode="External"/><Relationship Id="rId12" Type="http://schemas.openxmlformats.org/officeDocument/2006/relationships/hyperlink" Target="https://app.converlens.com/safework/wel-consultation/ris-survey/view/12" TargetMode="External"/><Relationship Id="rId108" Type="http://schemas.openxmlformats.org/officeDocument/2006/relationships/hyperlink" Target="https://app.converlens.com/safework/wel-consultation/ris-survey/view/84" TargetMode="External"/><Relationship Id="rId315" Type="http://schemas.openxmlformats.org/officeDocument/2006/relationships/hyperlink" Target="https://app.converlens.com/safework/wel-consultation/ris-survey/view/84" TargetMode="External"/><Relationship Id="rId357" Type="http://schemas.openxmlformats.org/officeDocument/2006/relationships/hyperlink" Target="https://app.converlens.com/safework/wel-consultation/ris-survey/view/10" TargetMode="External"/><Relationship Id="rId54" Type="http://schemas.openxmlformats.org/officeDocument/2006/relationships/hyperlink" Target="https://app.converlens.com/safework/wel-consultation/ris-survey/view/84" TargetMode="External"/><Relationship Id="rId96" Type="http://schemas.openxmlformats.org/officeDocument/2006/relationships/hyperlink" Target="https://app.converlens.com/safework/wel-consultation/ris-survey/view/37" TargetMode="External"/><Relationship Id="rId161" Type="http://schemas.openxmlformats.org/officeDocument/2006/relationships/hyperlink" Target="https://app.converlens.com/safework/wel-consultation/ris-survey/view/79" TargetMode="External"/><Relationship Id="rId217" Type="http://schemas.openxmlformats.org/officeDocument/2006/relationships/hyperlink" Target="https://app.converlens.com/safework/wel-consultation/ris-survey/view/53" TargetMode="External"/><Relationship Id="rId399" Type="http://schemas.openxmlformats.org/officeDocument/2006/relationships/hyperlink" Target="https://app.converlens.com/safework/wel-consultation/ris-survey/view/62" TargetMode="External"/><Relationship Id="rId259" Type="http://schemas.openxmlformats.org/officeDocument/2006/relationships/hyperlink" Target="https://app.converlens.com/safework/wel-consultation/ris-survey/view/46" TargetMode="External"/><Relationship Id="rId424" Type="http://schemas.openxmlformats.org/officeDocument/2006/relationships/hyperlink" Target="https://app.converlens.com/safework/wel-consultation/ris-survey/view/46" TargetMode="External"/><Relationship Id="rId23" Type="http://schemas.openxmlformats.org/officeDocument/2006/relationships/hyperlink" Target="https://app.converlens.com/safework/wel-consultation/ris-survey/view/46" TargetMode="External"/><Relationship Id="rId119" Type="http://schemas.openxmlformats.org/officeDocument/2006/relationships/hyperlink" Target="https://app.converlens.com/safework/wel-consultation/ris-survey/view/84" TargetMode="External"/><Relationship Id="rId270" Type="http://schemas.openxmlformats.org/officeDocument/2006/relationships/hyperlink" Target="https://app.converlens.com/safework/wel-consultation/ris-survey/view/21" TargetMode="External"/><Relationship Id="rId326" Type="http://schemas.openxmlformats.org/officeDocument/2006/relationships/hyperlink" Target="https://app.converlens.com/safework/wel-consultation/ris-survey/view/85" TargetMode="External"/><Relationship Id="rId65" Type="http://schemas.openxmlformats.org/officeDocument/2006/relationships/hyperlink" Target="https://app.converlens.com/safework/wel-consultation/ris-survey/view/76" TargetMode="External"/><Relationship Id="rId130" Type="http://schemas.openxmlformats.org/officeDocument/2006/relationships/hyperlink" Target="https://app.converlens.com/safework/wel-consultation/ris-survey/view/12" TargetMode="External"/><Relationship Id="rId368" Type="http://schemas.openxmlformats.org/officeDocument/2006/relationships/hyperlink" Target="https://app.converlens.com/safework/wel-consultation/ris-survey/view/18" TargetMode="External"/><Relationship Id="rId172" Type="http://schemas.openxmlformats.org/officeDocument/2006/relationships/hyperlink" Target="https://app.converlens.com/safework/wel-consultation/ris-survey/view/43" TargetMode="External"/><Relationship Id="rId228" Type="http://schemas.openxmlformats.org/officeDocument/2006/relationships/hyperlink" Target="https://app.converlens.com/safework/wel-consultation/ris-survey/view/16" TargetMode="External"/><Relationship Id="rId435" Type="http://schemas.openxmlformats.org/officeDocument/2006/relationships/hyperlink" Target="https://app.converlens.com/safework/wel-consultation/ris-survey/view/7" TargetMode="External"/><Relationship Id="rId281" Type="http://schemas.openxmlformats.org/officeDocument/2006/relationships/hyperlink" Target="https://app.converlens.com/safework/wel-consultation/ris-survey/view/85" TargetMode="External"/><Relationship Id="rId337" Type="http://schemas.openxmlformats.org/officeDocument/2006/relationships/hyperlink" Target="https://app.converlens.com/safework/wel-consultation/ris-survey/view/34" TargetMode="External"/><Relationship Id="rId34" Type="http://schemas.openxmlformats.org/officeDocument/2006/relationships/hyperlink" Target="https://app.converlens.com/safework/wel-consultation/ris-survey/view/16" TargetMode="External"/><Relationship Id="rId76" Type="http://schemas.openxmlformats.org/officeDocument/2006/relationships/hyperlink" Target="https://app.converlens.com/safework/wel-consultation/ris-survey/view/82" TargetMode="External"/><Relationship Id="rId141" Type="http://schemas.openxmlformats.org/officeDocument/2006/relationships/hyperlink" Target="https://app.converlens.com/safework/wel-consultation/ris-survey/view/67" TargetMode="External"/><Relationship Id="rId379" Type="http://schemas.openxmlformats.org/officeDocument/2006/relationships/hyperlink" Target="https://app.converlens.com/safework/wel-consultation/ris-survey/view/84" TargetMode="External"/><Relationship Id="rId7" Type="http://schemas.openxmlformats.org/officeDocument/2006/relationships/hyperlink" Target="https://app.converlens.com/safework/wel-consultation/ris-survey/view/89" TargetMode="External"/><Relationship Id="rId183" Type="http://schemas.openxmlformats.org/officeDocument/2006/relationships/hyperlink" Target="https://app.converlens.com/safework/wel-consultation/ris-survey/view/53" TargetMode="External"/><Relationship Id="rId239" Type="http://schemas.openxmlformats.org/officeDocument/2006/relationships/hyperlink" Target="https://app.converlens.com/safework/wel-consultation/ris-survey/view/90" TargetMode="External"/><Relationship Id="rId390" Type="http://schemas.openxmlformats.org/officeDocument/2006/relationships/hyperlink" Target="https://app.converlens.com/safework/wel-consultation/ris-survey/view/55" TargetMode="External"/><Relationship Id="rId404" Type="http://schemas.openxmlformats.org/officeDocument/2006/relationships/hyperlink" Target="https://app.converlens.com/safework/wel-consultation/ris-survey/view/71" TargetMode="External"/><Relationship Id="rId250" Type="http://schemas.openxmlformats.org/officeDocument/2006/relationships/hyperlink" Target="https://app.converlens.com/safework/wel-consultation/ris-survey/view/85" TargetMode="External"/><Relationship Id="rId292" Type="http://schemas.openxmlformats.org/officeDocument/2006/relationships/hyperlink" Target="https://app.converlens.com/safework/wel-consultation/ris-survey/view/87" TargetMode="External"/><Relationship Id="rId306" Type="http://schemas.openxmlformats.org/officeDocument/2006/relationships/hyperlink" Target="https://app.converlens.com/safework/wel-consultation/ris-survey/view/34" TargetMode="External"/><Relationship Id="rId45" Type="http://schemas.openxmlformats.org/officeDocument/2006/relationships/hyperlink" Target="https://app.converlens.com/safework/wel-consultation/ris-survey/view/52" TargetMode="External"/><Relationship Id="rId87" Type="http://schemas.openxmlformats.org/officeDocument/2006/relationships/hyperlink" Target="https://app.converlens.com/safework/wel-consultation/ris-survey/view/82" TargetMode="External"/><Relationship Id="rId110" Type="http://schemas.openxmlformats.org/officeDocument/2006/relationships/hyperlink" Target="https://app.converlens.com/safework/wel-consultation/ris-survey/view/84" TargetMode="External"/><Relationship Id="rId348" Type="http://schemas.openxmlformats.org/officeDocument/2006/relationships/hyperlink" Target="https://app.converlens.com/safework/wel-consultation/ris-survey/view/71" TargetMode="External"/><Relationship Id="rId152" Type="http://schemas.openxmlformats.org/officeDocument/2006/relationships/hyperlink" Target="https://app.converlens.com/safework/wel-consultation/ris-survey/view/42" TargetMode="External"/><Relationship Id="rId194" Type="http://schemas.openxmlformats.org/officeDocument/2006/relationships/hyperlink" Target="https://app.converlens.com/safework/wel-consultation/ris-survey/view/16" TargetMode="External"/><Relationship Id="rId208" Type="http://schemas.openxmlformats.org/officeDocument/2006/relationships/hyperlink" Target="https://app.converlens.com/safework/wel-consultation/ris-survey/view/18" TargetMode="External"/><Relationship Id="rId415" Type="http://schemas.openxmlformats.org/officeDocument/2006/relationships/hyperlink" Target="https://app.converlens.com/safework/wel-consultation/ris-survey/view/12" TargetMode="External"/><Relationship Id="rId261" Type="http://schemas.openxmlformats.org/officeDocument/2006/relationships/hyperlink" Target="https://app.converlens.com/safework/wel-consultation/ris-survey/view/37" TargetMode="External"/><Relationship Id="rId14" Type="http://schemas.openxmlformats.org/officeDocument/2006/relationships/hyperlink" Target="https://app.converlens.com/safework/wel-consultation/ris-survey/view/16" TargetMode="External"/><Relationship Id="rId56" Type="http://schemas.openxmlformats.org/officeDocument/2006/relationships/hyperlink" Target="https://app.converlens.com/safework/wel-consultation/ris-survey/view/18" TargetMode="External"/><Relationship Id="rId317" Type="http://schemas.openxmlformats.org/officeDocument/2006/relationships/hyperlink" Target="https://app.converlens.com/safework/wel-consultation/ris-survey/view/70" TargetMode="External"/><Relationship Id="rId359" Type="http://schemas.openxmlformats.org/officeDocument/2006/relationships/hyperlink" Target="https://app.converlens.com/safework/wel-consultation/ris-survey/view/18" TargetMode="External"/><Relationship Id="rId98" Type="http://schemas.openxmlformats.org/officeDocument/2006/relationships/hyperlink" Target="https://app.converlens.com/safework/wel-consultation/ris-survey/view/87" TargetMode="External"/><Relationship Id="rId121" Type="http://schemas.openxmlformats.org/officeDocument/2006/relationships/hyperlink" Target="https://app.converlens.com/safework/wel-consultation/ris-survey/view/85" TargetMode="External"/><Relationship Id="rId163" Type="http://schemas.openxmlformats.org/officeDocument/2006/relationships/hyperlink" Target="https://app.converlens.com/safework/wel-consultation/ris-survey/view/81" TargetMode="External"/><Relationship Id="rId219" Type="http://schemas.openxmlformats.org/officeDocument/2006/relationships/hyperlink" Target="https://app.converlens.com/safework/wel-consultation/ris-survey/view/75" TargetMode="External"/><Relationship Id="rId370" Type="http://schemas.openxmlformats.org/officeDocument/2006/relationships/hyperlink" Target="https://app.converlens.com/safework/wel-consultation/ris-survey/view/88" TargetMode="External"/><Relationship Id="rId426" Type="http://schemas.openxmlformats.org/officeDocument/2006/relationships/hyperlink" Target="https://app.converlens.com/safework/wel-consultation/ris-survey/view/87" TargetMode="External"/><Relationship Id="rId230" Type="http://schemas.openxmlformats.org/officeDocument/2006/relationships/hyperlink" Target="https://app.converlens.com/safework/wel-consultation/ris-survey/view/36" TargetMode="External"/><Relationship Id="rId25" Type="http://schemas.openxmlformats.org/officeDocument/2006/relationships/hyperlink" Target="https://app.converlens.com/safework/wel-consultation/ris-survey/view/5" TargetMode="External"/><Relationship Id="rId67" Type="http://schemas.openxmlformats.org/officeDocument/2006/relationships/hyperlink" Target="https://app.converlens.com/safework/wel-consultation/ris-survey/view/84" TargetMode="External"/><Relationship Id="rId272" Type="http://schemas.openxmlformats.org/officeDocument/2006/relationships/hyperlink" Target="https://app.converlens.com/safework/wel-consultation/ris-survey/view/21" TargetMode="External"/><Relationship Id="rId328" Type="http://schemas.openxmlformats.org/officeDocument/2006/relationships/hyperlink" Target="https://app.converlens.com/safework/wel-consultation/ris-survey/view/85" TargetMode="External"/><Relationship Id="rId132" Type="http://schemas.openxmlformats.org/officeDocument/2006/relationships/hyperlink" Target="https://app.converlens.com/safework/wel-consultation/ris-survey/view/16" TargetMode="External"/><Relationship Id="rId174" Type="http://schemas.openxmlformats.org/officeDocument/2006/relationships/hyperlink" Target="https://app.converlens.com/safework/wel-consultation/ris-survey/view/81" TargetMode="External"/><Relationship Id="rId381" Type="http://schemas.openxmlformats.org/officeDocument/2006/relationships/hyperlink" Target="https://app.converlens.com/safework/wel-consultation/ris-survey/view/89" TargetMode="External"/><Relationship Id="rId241" Type="http://schemas.openxmlformats.org/officeDocument/2006/relationships/hyperlink" Target="https://app.converlens.com/safework/wel-consultation/ris-survey/view/81" TargetMode="External"/><Relationship Id="rId36" Type="http://schemas.openxmlformats.org/officeDocument/2006/relationships/hyperlink" Target="https://app.converlens.com/safework/wel-consultation/ris-survey/view/84" TargetMode="External"/><Relationship Id="rId283" Type="http://schemas.openxmlformats.org/officeDocument/2006/relationships/hyperlink" Target="https://app.converlens.com/safework/wel-consultation/ris-survey/view/60" TargetMode="External"/><Relationship Id="rId339" Type="http://schemas.openxmlformats.org/officeDocument/2006/relationships/hyperlink" Target="https://app.converlens.com/safework/wel-consultation/ris-survey/view/51" TargetMode="External"/><Relationship Id="rId78" Type="http://schemas.openxmlformats.org/officeDocument/2006/relationships/hyperlink" Target="https://app.converlens.com/safework/wel-consultation/ris-survey/view/87" TargetMode="External"/><Relationship Id="rId101" Type="http://schemas.openxmlformats.org/officeDocument/2006/relationships/hyperlink" Target="https://app.converlens.com/safework/wel-consultation/ris-survey/view/85" TargetMode="External"/><Relationship Id="rId143" Type="http://schemas.openxmlformats.org/officeDocument/2006/relationships/hyperlink" Target="https://app.converlens.com/safework/wel-consultation/ris-survey/view/42" TargetMode="External"/><Relationship Id="rId185" Type="http://schemas.openxmlformats.org/officeDocument/2006/relationships/hyperlink" Target="https://app.converlens.com/safework/wel-consultation/ris-survey/view/75" TargetMode="External"/><Relationship Id="rId350" Type="http://schemas.openxmlformats.org/officeDocument/2006/relationships/hyperlink" Target="https://app.converlens.com/safework/wel-consultation/ris-survey/view/85" TargetMode="External"/><Relationship Id="rId406" Type="http://schemas.openxmlformats.org/officeDocument/2006/relationships/hyperlink" Target="https://app.converlens.com/safework/wel-consultation/ris-survey/view/85" TargetMode="External"/><Relationship Id="rId9" Type="http://schemas.openxmlformats.org/officeDocument/2006/relationships/hyperlink" Target="https://storage.googleapis.com/files-au-swa/safework/p/prj28f3a307cfe6ee51abbd3/page/draft_evaluation_report_wes_benzene_pdf.pdf" TargetMode="External"/><Relationship Id="rId210" Type="http://schemas.openxmlformats.org/officeDocument/2006/relationships/hyperlink" Target="https://app.converlens.com/safework/wel-consultation/ris-survey/view/91" TargetMode="External"/><Relationship Id="rId392" Type="http://schemas.openxmlformats.org/officeDocument/2006/relationships/hyperlink" Target="https://app.converlens.com/safework/wel-consultation/ris-survey/view/84" TargetMode="External"/><Relationship Id="rId252" Type="http://schemas.openxmlformats.org/officeDocument/2006/relationships/hyperlink" Target="https://app.converlens.com/safework/wel-consultation/ris-survey/view/87" TargetMode="External"/><Relationship Id="rId294" Type="http://schemas.openxmlformats.org/officeDocument/2006/relationships/hyperlink" Target="https://app.converlens.com/safework/wel-consultation/ris-survey/view/52" TargetMode="External"/><Relationship Id="rId308" Type="http://schemas.openxmlformats.org/officeDocument/2006/relationships/hyperlink" Target="https://app.converlens.com/safework/wel-consultation/ris-survey/view/84" TargetMode="External"/><Relationship Id="rId47" Type="http://schemas.openxmlformats.org/officeDocument/2006/relationships/hyperlink" Target="https://app.converlens.com/safework/wel-consultation/ris-survey/view/90" TargetMode="External"/><Relationship Id="rId89" Type="http://schemas.openxmlformats.org/officeDocument/2006/relationships/hyperlink" Target="https://app.converlens.com/safework/wel-consultation/ris-survey/view/34" TargetMode="External"/><Relationship Id="rId112" Type="http://schemas.openxmlformats.org/officeDocument/2006/relationships/hyperlink" Target="https://app.converlens.com/safework/wel-consultation/ris-survey/view/14" TargetMode="External"/><Relationship Id="rId154" Type="http://schemas.openxmlformats.org/officeDocument/2006/relationships/hyperlink" Target="https://app.converlens.com/safework/wel-consultation/ris-survey/view/50" TargetMode="External"/><Relationship Id="rId361" Type="http://schemas.openxmlformats.org/officeDocument/2006/relationships/hyperlink" Target="https://app.converlens.com/safework/wel-consultation/ris-survey/view/62" TargetMode="External"/><Relationship Id="rId196" Type="http://schemas.openxmlformats.org/officeDocument/2006/relationships/hyperlink" Target="https://app.converlens.com/safework/wel-consultation/ris-survey/view/53" TargetMode="External"/><Relationship Id="rId417" Type="http://schemas.openxmlformats.org/officeDocument/2006/relationships/hyperlink" Target="https://app.converlens.com/safework/wel-consultation/ris-survey/view/74" TargetMode="External"/><Relationship Id="rId16" Type="http://schemas.openxmlformats.org/officeDocument/2006/relationships/hyperlink" Target="https://app.converlens.com/safework/wel-consultation/ris-survey/view/5" TargetMode="External"/><Relationship Id="rId221" Type="http://schemas.openxmlformats.org/officeDocument/2006/relationships/hyperlink" Target="https://app.converlens.com/safework/wel-consultation/ris-survey/view/12" TargetMode="External"/><Relationship Id="rId263" Type="http://schemas.openxmlformats.org/officeDocument/2006/relationships/hyperlink" Target="https://app.converlens.com/safework/wel-consultation/ris-survey/view/84" TargetMode="External"/><Relationship Id="rId319" Type="http://schemas.openxmlformats.org/officeDocument/2006/relationships/hyperlink" Target="https://app.converlens.com/safework/wel-consultation/ris-survey/view/52" TargetMode="External"/><Relationship Id="rId58" Type="http://schemas.openxmlformats.org/officeDocument/2006/relationships/hyperlink" Target="https://app.converlens.com/safework/wel-consultation/ris-survey/view/38" TargetMode="External"/><Relationship Id="rId123" Type="http://schemas.openxmlformats.org/officeDocument/2006/relationships/hyperlink" Target="https://app.converlens.com/safework/wel-consultation/ris-survey/view/12" TargetMode="External"/><Relationship Id="rId330" Type="http://schemas.openxmlformats.org/officeDocument/2006/relationships/hyperlink" Target="https://app.converlens.com/safework/wel-consultation/ris-survey/view/87" TargetMode="External"/><Relationship Id="rId165" Type="http://schemas.openxmlformats.org/officeDocument/2006/relationships/hyperlink" Target="https://app.converlens.com/safework/wel-consultation/ris-survey/view/42" TargetMode="External"/><Relationship Id="rId372" Type="http://schemas.openxmlformats.org/officeDocument/2006/relationships/hyperlink" Target="https://app.converlens.com/safework/wel-consultation/ris-survey/view/29" TargetMode="External"/><Relationship Id="rId428" Type="http://schemas.openxmlformats.org/officeDocument/2006/relationships/hyperlink" Target="https://app.converlens.com/safework/wel-consultation/ris-survey/view/87" TargetMode="External"/><Relationship Id="rId232" Type="http://schemas.openxmlformats.org/officeDocument/2006/relationships/hyperlink" Target="https://app.converlens.com/safework/wel-consultation/ris-survey/view/42" TargetMode="External"/><Relationship Id="rId274" Type="http://schemas.openxmlformats.org/officeDocument/2006/relationships/hyperlink" Target="https://app.converlens.com/safework/wel-consultation/ris-survey/view/87" TargetMode="External"/><Relationship Id="rId27" Type="http://schemas.openxmlformats.org/officeDocument/2006/relationships/hyperlink" Target="https://app.converlens.com/safework/wel-consultation/ris-survey/view/37" TargetMode="External"/><Relationship Id="rId69" Type="http://schemas.openxmlformats.org/officeDocument/2006/relationships/hyperlink" Target="https://app.converlens.com/safework/wel-consultation/ris-survey/view/84" TargetMode="External"/><Relationship Id="rId134" Type="http://schemas.openxmlformats.org/officeDocument/2006/relationships/hyperlink" Target="https://app.converlens.com/safework/wel-consultation/ris-survey/view/43" TargetMode="External"/><Relationship Id="rId80" Type="http://schemas.openxmlformats.org/officeDocument/2006/relationships/hyperlink" Target="https://app.converlens.com/safework/wel-consultation/ris-survey/view/18" TargetMode="External"/><Relationship Id="rId176" Type="http://schemas.openxmlformats.org/officeDocument/2006/relationships/hyperlink" Target="https://app.converlens.com/safework/wel-consultation/ris-survey/view/53" TargetMode="External"/><Relationship Id="rId341" Type="http://schemas.openxmlformats.org/officeDocument/2006/relationships/hyperlink" Target="https://app.converlens.com/safework/wel-consultation/ris-survey/view/79" TargetMode="External"/><Relationship Id="rId383" Type="http://schemas.openxmlformats.org/officeDocument/2006/relationships/hyperlink" Target="https://app.converlens.com/safework/wel-consultation/ris-survey/view/54" TargetMode="External"/><Relationship Id="rId201" Type="http://schemas.openxmlformats.org/officeDocument/2006/relationships/hyperlink" Target="https://app.converlens.com/safework/wel-consultation/ris-survey/view/79" TargetMode="External"/><Relationship Id="rId243" Type="http://schemas.openxmlformats.org/officeDocument/2006/relationships/hyperlink" Target="https://app.converlens.com/safework/wel-consultation/ris-survey/view/18" TargetMode="External"/><Relationship Id="rId285" Type="http://schemas.openxmlformats.org/officeDocument/2006/relationships/hyperlink" Target="https://app.converlens.com/safework/wel-consultation/ris-survey/view/82" TargetMode="External"/><Relationship Id="rId38" Type="http://schemas.openxmlformats.org/officeDocument/2006/relationships/hyperlink" Target="https://app.converlens.com/safework/wel-consultation/ris-survey/view/18" TargetMode="External"/><Relationship Id="rId103" Type="http://schemas.openxmlformats.org/officeDocument/2006/relationships/hyperlink" Target="https://app.converlens.com/safework/wel-consultation/ris-survey/view/88" TargetMode="External"/><Relationship Id="rId310" Type="http://schemas.openxmlformats.org/officeDocument/2006/relationships/hyperlink" Target="https://app.converlens.com/safework/wel-consultation/ris-survey/view/18" TargetMode="External"/><Relationship Id="rId91" Type="http://schemas.openxmlformats.org/officeDocument/2006/relationships/hyperlink" Target="https://app.converlens.com/safework/wel-consultation/ris-survey/view/81" TargetMode="External"/><Relationship Id="rId145" Type="http://schemas.openxmlformats.org/officeDocument/2006/relationships/hyperlink" Target="https://app.converlens.com/safework/wel-consultation/ris-survey/view/50" TargetMode="External"/><Relationship Id="rId187" Type="http://schemas.openxmlformats.org/officeDocument/2006/relationships/hyperlink" Target="https://app.converlens.com/safework/wel-consultation/ris-survey/view/87" TargetMode="External"/><Relationship Id="rId352" Type="http://schemas.openxmlformats.org/officeDocument/2006/relationships/hyperlink" Target="https://app.converlens.com/safework/wel-consultation/ris-survey/view/18" TargetMode="External"/><Relationship Id="rId394" Type="http://schemas.openxmlformats.org/officeDocument/2006/relationships/hyperlink" Target="https://app.converlens.com/safework/wel-consultation/ris-survey/view/88" TargetMode="External"/><Relationship Id="rId408" Type="http://schemas.openxmlformats.org/officeDocument/2006/relationships/hyperlink" Target="https://app.converlens.com/safework/wel-consultation/ris-survey/view/10" TargetMode="External"/><Relationship Id="rId212" Type="http://schemas.openxmlformats.org/officeDocument/2006/relationships/hyperlink" Target="https://app.converlens.com/safework/wel-consultation/ris-survey/view/91" TargetMode="External"/><Relationship Id="rId254" Type="http://schemas.openxmlformats.org/officeDocument/2006/relationships/hyperlink" Target="https://storage.googleapis.com/files-au-swa/safework/p/prj0ae13e590bf0d888ca147/page/draft_evaluation_report_wes_hydrogen_sulfide_pdf.pdf" TargetMode="External"/><Relationship Id="rId28" Type="http://schemas.openxmlformats.org/officeDocument/2006/relationships/hyperlink" Target="https://app.converlens.com/safework/wel-consultation/ris-survey/view/84" TargetMode="External"/><Relationship Id="rId49" Type="http://schemas.openxmlformats.org/officeDocument/2006/relationships/hyperlink" Target="https://app.converlens.com/safework/wel-consultation/ris-survey/view/18" TargetMode="External"/><Relationship Id="rId114" Type="http://schemas.openxmlformats.org/officeDocument/2006/relationships/hyperlink" Target="https://app.converlens.com/safework/wel-consultation/ris-survey/view/85" TargetMode="External"/><Relationship Id="rId275" Type="http://schemas.openxmlformats.org/officeDocument/2006/relationships/hyperlink" Target="https://app.converlens.com/safework/wel-consultation/ris-survey/view/84" TargetMode="External"/><Relationship Id="rId296" Type="http://schemas.openxmlformats.org/officeDocument/2006/relationships/hyperlink" Target="https://app.converlens.com/safework/wel-consultation/ris-survey/view/82" TargetMode="External"/><Relationship Id="rId300" Type="http://schemas.openxmlformats.org/officeDocument/2006/relationships/hyperlink" Target="https://app.converlens.com/safework/wel-consultation/ris-survey/view/85" TargetMode="External"/><Relationship Id="rId60" Type="http://schemas.openxmlformats.org/officeDocument/2006/relationships/hyperlink" Target="https://app.converlens.com/safework/wel-consultation/ris-survey/view/82" TargetMode="External"/><Relationship Id="rId81" Type="http://schemas.openxmlformats.org/officeDocument/2006/relationships/hyperlink" Target="https://app.converlens.com/safework/wel-consultation/ris-survey/view/85" TargetMode="External"/><Relationship Id="rId135" Type="http://schemas.openxmlformats.org/officeDocument/2006/relationships/hyperlink" Target="https://app.converlens.com/safework/wel-consultation/ris-survey/view/16" TargetMode="External"/><Relationship Id="rId156" Type="http://schemas.openxmlformats.org/officeDocument/2006/relationships/hyperlink" Target="https://app.converlens.com/safework/wel-consultation/ris-survey/view/12" TargetMode="External"/><Relationship Id="rId177" Type="http://schemas.openxmlformats.org/officeDocument/2006/relationships/hyperlink" Target="https://app.converlens.com/safework/wel-consultation/ris-survey/view/64" TargetMode="External"/><Relationship Id="rId198" Type="http://schemas.openxmlformats.org/officeDocument/2006/relationships/hyperlink" Target="https://app.converlens.com/safework/wel-consultation/ris-survey/view/75" TargetMode="External"/><Relationship Id="rId321" Type="http://schemas.openxmlformats.org/officeDocument/2006/relationships/hyperlink" Target="https://app.converlens.com/safework/wel-consultation/ris-survey/view/70" TargetMode="External"/><Relationship Id="rId342" Type="http://schemas.openxmlformats.org/officeDocument/2006/relationships/hyperlink" Target="https://app.converlens.com/safework/wel-consultation/ris-survey/view/81" TargetMode="External"/><Relationship Id="rId363" Type="http://schemas.openxmlformats.org/officeDocument/2006/relationships/hyperlink" Target="https://app.converlens.com/safework/wel-consultation/ris-survey/view/84" TargetMode="External"/><Relationship Id="rId384" Type="http://schemas.openxmlformats.org/officeDocument/2006/relationships/hyperlink" Target="https://app.converlens.com/safework/wel-consultation/ris-survey/view/18" TargetMode="External"/><Relationship Id="rId419" Type="http://schemas.openxmlformats.org/officeDocument/2006/relationships/hyperlink" Target="https://app.converlens.com/safework/wel-consultation/ris-survey/view/34" TargetMode="External"/><Relationship Id="rId202" Type="http://schemas.openxmlformats.org/officeDocument/2006/relationships/hyperlink" Target="https://app.converlens.com/safework/wel-consultation/ris-survey/view/64" TargetMode="External"/><Relationship Id="rId223" Type="http://schemas.openxmlformats.org/officeDocument/2006/relationships/hyperlink" Target="https://app.converlens.com/safework/wel-consultation/ris-survey/view/64" TargetMode="External"/><Relationship Id="rId244" Type="http://schemas.openxmlformats.org/officeDocument/2006/relationships/hyperlink" Target="https://app.converlens.com/safework/wel-consultation/ris-survey/view/37" TargetMode="External"/><Relationship Id="rId430" Type="http://schemas.openxmlformats.org/officeDocument/2006/relationships/hyperlink" Target="https://app.converlens.com/safework/wel-consultation/ris-survey/view/74" TargetMode="External"/><Relationship Id="rId18" Type="http://schemas.openxmlformats.org/officeDocument/2006/relationships/hyperlink" Target="https://app.converlens.com/safework/wel-consultation/ris-survey/view/18" TargetMode="External"/><Relationship Id="rId39" Type="http://schemas.openxmlformats.org/officeDocument/2006/relationships/hyperlink" Target="https://app.converlens.com/safework/wel-consultation/ris-survey/view/16" TargetMode="External"/><Relationship Id="rId265" Type="http://schemas.openxmlformats.org/officeDocument/2006/relationships/hyperlink" Target="https://app.converlens.com/safework/wel-consultation/ris-survey/view/87" TargetMode="External"/><Relationship Id="rId286" Type="http://schemas.openxmlformats.org/officeDocument/2006/relationships/hyperlink" Target="https://app.converlens.com/safework/wel-consultation/ris-survey/view/70" TargetMode="External"/><Relationship Id="rId50" Type="http://schemas.openxmlformats.org/officeDocument/2006/relationships/hyperlink" Target="https://app.converlens.com/safework/wel-consultation/ris-survey/view/37" TargetMode="External"/><Relationship Id="rId104" Type="http://schemas.openxmlformats.org/officeDocument/2006/relationships/hyperlink" Target="https://app.converlens.com/safework/wel-consultation/ris-survey/view/18" TargetMode="External"/><Relationship Id="rId125" Type="http://schemas.openxmlformats.org/officeDocument/2006/relationships/hyperlink" Target="https://app.converlens.com/safework/wel-consultation/ris-survey/view/52" TargetMode="External"/><Relationship Id="rId146" Type="http://schemas.openxmlformats.org/officeDocument/2006/relationships/hyperlink" Target="https://app.converlens.com/safework/wel-consultation/ris-survey/view/36" TargetMode="External"/><Relationship Id="rId167" Type="http://schemas.openxmlformats.org/officeDocument/2006/relationships/hyperlink" Target="https://app.converlens.com/safework/wel-consultation/ris-survey/view/46" TargetMode="External"/><Relationship Id="rId188" Type="http://schemas.openxmlformats.org/officeDocument/2006/relationships/hyperlink" Target="https://app.converlens.com/safework/wel-consultation/ris-survey/view/84" TargetMode="External"/><Relationship Id="rId311" Type="http://schemas.openxmlformats.org/officeDocument/2006/relationships/hyperlink" Target="https://app.converlens.com/safework/wel-consultation/ris-survey/view/87" TargetMode="External"/><Relationship Id="rId332" Type="http://schemas.openxmlformats.org/officeDocument/2006/relationships/hyperlink" Target="https://storage.googleapis.com/files-au-swa/safework/p/prj385d41c05dad942cee621/page/Respirable_Crystalline_Silica_Evaluation_Report_2019_F.docx" TargetMode="External"/><Relationship Id="rId353" Type="http://schemas.openxmlformats.org/officeDocument/2006/relationships/hyperlink" Target="https://app.converlens.com/safework/wel-consultation/ris-survey/view/55" TargetMode="External"/><Relationship Id="rId374" Type="http://schemas.openxmlformats.org/officeDocument/2006/relationships/hyperlink" Target="https://app.converlens.com/safework/wel-consultation/ris-survey/view/84" TargetMode="External"/><Relationship Id="rId395" Type="http://schemas.openxmlformats.org/officeDocument/2006/relationships/hyperlink" Target="https://app.converlens.com/safework/wel-consultation/ris-survey/view/71" TargetMode="External"/><Relationship Id="rId409" Type="http://schemas.openxmlformats.org/officeDocument/2006/relationships/hyperlink" Target="https://app.converlens.com/safework/wel-consultation/ris-survey/view/31" TargetMode="External"/><Relationship Id="rId71" Type="http://schemas.openxmlformats.org/officeDocument/2006/relationships/hyperlink" Target="https://app.converlens.com/safework/wel-consultation/ris-survey/view/85" TargetMode="External"/><Relationship Id="rId92" Type="http://schemas.openxmlformats.org/officeDocument/2006/relationships/hyperlink" Target="https://app.converlens.com/safework/wel-consultation/ris-survey/view/90" TargetMode="External"/><Relationship Id="rId213" Type="http://schemas.openxmlformats.org/officeDocument/2006/relationships/hyperlink" Target="https://app.converlens.com/safework/wel-consultation/ris-survey/view/91" TargetMode="External"/><Relationship Id="rId234" Type="http://schemas.openxmlformats.org/officeDocument/2006/relationships/hyperlink" Target="https://app.converlens.com/safework/wel-consultation/ris-survey/view/80" TargetMode="External"/><Relationship Id="rId420" Type="http://schemas.openxmlformats.org/officeDocument/2006/relationships/hyperlink" Target="https://app.converlens.com/safework/wel-consultation/ris-survey/view/81" TargetMode="External"/><Relationship Id="rId2" Type="http://schemas.openxmlformats.org/officeDocument/2006/relationships/hyperlink" Target="https://consult.swa.gov.au/wel-consultation" TargetMode="External"/><Relationship Id="rId29" Type="http://schemas.openxmlformats.org/officeDocument/2006/relationships/hyperlink" Target="https://app.converlens.com/safework/wel-consultation/ris-survey/view/87" TargetMode="External"/><Relationship Id="rId255" Type="http://schemas.openxmlformats.org/officeDocument/2006/relationships/hyperlink" Target="https://app.converlens.com/safework/wel-consultation/ris-survey/view/34" TargetMode="External"/><Relationship Id="rId276" Type="http://schemas.openxmlformats.org/officeDocument/2006/relationships/hyperlink" Target="https://app.converlens.com/safework/wel-consultation/ris-survey/view/87" TargetMode="External"/><Relationship Id="rId297" Type="http://schemas.openxmlformats.org/officeDocument/2006/relationships/hyperlink" Target="https://storage.googleapis.com/files-au-swa/safework/p/prj345078c28dff3c94a3e5a/page/draft_evaluation_report_wes_nitrogen_dioxide_pdf.pdf" TargetMode="External"/><Relationship Id="rId40" Type="http://schemas.openxmlformats.org/officeDocument/2006/relationships/hyperlink" Target="https://app.converlens.com/safework/wel-consultation/ris-survey/view/12" TargetMode="External"/><Relationship Id="rId115" Type="http://schemas.openxmlformats.org/officeDocument/2006/relationships/hyperlink" Target="https://app.converlens.com/safework/wel-consultation/ris-survey/view/88" TargetMode="External"/><Relationship Id="rId136" Type="http://schemas.openxmlformats.org/officeDocument/2006/relationships/hyperlink" Target="https://app.converlens.com/safework/wel-consultation/ris-survey/view/12" TargetMode="External"/><Relationship Id="rId157" Type="http://schemas.openxmlformats.org/officeDocument/2006/relationships/hyperlink" Target="https://app.converlens.com/safework/wel-consultation/ris-survey/view/34" TargetMode="External"/><Relationship Id="rId178" Type="http://schemas.openxmlformats.org/officeDocument/2006/relationships/hyperlink" Target="https://app.converlens.com/safework/wel-consultation/ris-survey/view/75" TargetMode="External"/><Relationship Id="rId301" Type="http://schemas.openxmlformats.org/officeDocument/2006/relationships/hyperlink" Target="https://app.converlens.com/safework/wel-consultation/ris-survey/view/88" TargetMode="External"/><Relationship Id="rId322" Type="http://schemas.openxmlformats.org/officeDocument/2006/relationships/hyperlink" Target="https://app.converlens.com/safework/wel-consultation/ris-survey/view/84" TargetMode="External"/><Relationship Id="rId343" Type="http://schemas.openxmlformats.org/officeDocument/2006/relationships/hyperlink" Target="https://app.converlens.com/safework/wel-consultation/ris-survey/view/90" TargetMode="External"/><Relationship Id="rId364" Type="http://schemas.openxmlformats.org/officeDocument/2006/relationships/hyperlink" Target="https://app.converlens.com/safework/wel-consultation/ris-survey/view/85" TargetMode="External"/><Relationship Id="rId61" Type="http://schemas.openxmlformats.org/officeDocument/2006/relationships/hyperlink" Target="https://app.converlens.com/safework/wel-consultation/ris-survey/view/84" TargetMode="External"/><Relationship Id="rId82" Type="http://schemas.openxmlformats.org/officeDocument/2006/relationships/hyperlink" Target="https://app.converlens.com/safework/wel-consultation/ris-survey/view/18" TargetMode="External"/><Relationship Id="rId199" Type="http://schemas.openxmlformats.org/officeDocument/2006/relationships/hyperlink" Target="https://app.converlens.com/safework/wel-consultation/ris-survey/view/84" TargetMode="External"/><Relationship Id="rId203" Type="http://schemas.openxmlformats.org/officeDocument/2006/relationships/hyperlink" Target="https://app.converlens.com/safework/wel-consultation/ris-survey/view/53" TargetMode="External"/><Relationship Id="rId385" Type="http://schemas.openxmlformats.org/officeDocument/2006/relationships/hyperlink" Target="https://app.converlens.com/safework/wel-consultation/ris-survey/view/71" TargetMode="External"/><Relationship Id="rId19" Type="http://schemas.openxmlformats.org/officeDocument/2006/relationships/hyperlink" Target="https://app.converlens.com/safework/wel-consultation/ris-survey/view/81" TargetMode="External"/><Relationship Id="rId224" Type="http://schemas.openxmlformats.org/officeDocument/2006/relationships/hyperlink" Target="https://app.converlens.com/safework/wel-consultation/ris-survey/view/47" TargetMode="External"/><Relationship Id="rId245" Type="http://schemas.openxmlformats.org/officeDocument/2006/relationships/hyperlink" Target="https://app.converlens.com/safework/wel-consultation/ris-survey/view/84" TargetMode="External"/><Relationship Id="rId266" Type="http://schemas.openxmlformats.org/officeDocument/2006/relationships/hyperlink" Target="https://app.converlens.com/safework/wel-consultation/ris-survey/view/76" TargetMode="External"/><Relationship Id="rId287" Type="http://schemas.openxmlformats.org/officeDocument/2006/relationships/hyperlink" Target="https://app.converlens.com/safework/wel-consultation/ris-survey/view/82" TargetMode="External"/><Relationship Id="rId410" Type="http://schemas.openxmlformats.org/officeDocument/2006/relationships/hyperlink" Target="https://app.converlens.com/safework/wel-consultation/ris-survey/view/51" TargetMode="External"/><Relationship Id="rId431" Type="http://schemas.openxmlformats.org/officeDocument/2006/relationships/hyperlink" Target="https://app.converlens.com/safework/wel-consultation/ris-survey/view/38" TargetMode="External"/><Relationship Id="rId30" Type="http://schemas.openxmlformats.org/officeDocument/2006/relationships/hyperlink" Target="https://app.converlens.com/safework/wel-consultation/ris-survey/view/84" TargetMode="External"/><Relationship Id="rId105" Type="http://schemas.openxmlformats.org/officeDocument/2006/relationships/hyperlink" Target="https://app.converlens.com/safework/wel-consultation/ris-survey/view/84" TargetMode="External"/><Relationship Id="rId126" Type="http://schemas.openxmlformats.org/officeDocument/2006/relationships/hyperlink" Target="https://storage.googleapis.com/files-au-swa/safework/p/prj642e68d6133ea3a631d25/page/draft_evaluation_report_wes_formaldehyde_pdf.pdf" TargetMode="External"/><Relationship Id="rId147" Type="http://schemas.openxmlformats.org/officeDocument/2006/relationships/hyperlink" Target="https://app.converlens.com/safework/wel-consultation/ris-survey/view/50" TargetMode="External"/><Relationship Id="rId168" Type="http://schemas.openxmlformats.org/officeDocument/2006/relationships/hyperlink" Target="https://app.converlens.com/safework/wel-consultation/ris-survey/view/79" TargetMode="External"/><Relationship Id="rId312" Type="http://schemas.openxmlformats.org/officeDocument/2006/relationships/hyperlink" Target="https://app.converlens.com/safework/wel-consultation/ris-survey/view/84" TargetMode="External"/><Relationship Id="rId333" Type="http://schemas.openxmlformats.org/officeDocument/2006/relationships/hyperlink" Target="https://app.converlens.com/safework/wel-consultation/ris-survey/view/31" TargetMode="External"/><Relationship Id="rId354" Type="http://schemas.openxmlformats.org/officeDocument/2006/relationships/hyperlink" Target="https://app.converlens.com/safework/wel-consultation/ris-survey/view/29" TargetMode="External"/><Relationship Id="rId51" Type="http://schemas.openxmlformats.org/officeDocument/2006/relationships/hyperlink" Target="https://app.converlens.com/safework/wel-consultation/ris-survey/view/38" TargetMode="External"/><Relationship Id="rId72" Type="http://schemas.openxmlformats.org/officeDocument/2006/relationships/hyperlink" Target="https://app.converlens.com/safework/wel-consultation/ris-survey/view/88" TargetMode="External"/><Relationship Id="rId93" Type="http://schemas.openxmlformats.org/officeDocument/2006/relationships/hyperlink" Target="https://app.converlens.com/safework/wel-consultation/ris-survey/view/46" TargetMode="External"/><Relationship Id="rId189" Type="http://schemas.openxmlformats.org/officeDocument/2006/relationships/hyperlink" Target="https://app.converlens.com/safework/wel-consultation/ris-survey/view/87" TargetMode="External"/><Relationship Id="rId375" Type="http://schemas.openxmlformats.org/officeDocument/2006/relationships/hyperlink" Target="https://app.converlens.com/safework/wel-consultation/ris-survey/view/87" TargetMode="External"/><Relationship Id="rId396" Type="http://schemas.openxmlformats.org/officeDocument/2006/relationships/hyperlink" Target="https://app.converlens.com/safework/wel-consultation/ris-survey/view/70" TargetMode="External"/><Relationship Id="rId3" Type="http://schemas.openxmlformats.org/officeDocument/2006/relationships/hyperlink" Target="https://consult.swa.gov.au/wel-consultation" TargetMode="External"/><Relationship Id="rId214" Type="http://schemas.openxmlformats.org/officeDocument/2006/relationships/hyperlink" Target="https://app.converlens.com/safework/wel-consultation/ris-survey/view/53" TargetMode="External"/><Relationship Id="rId235" Type="http://schemas.openxmlformats.org/officeDocument/2006/relationships/hyperlink" Target="https://app.converlens.com/safework/wel-consultation/ris-survey/view/79" TargetMode="External"/><Relationship Id="rId256" Type="http://schemas.openxmlformats.org/officeDocument/2006/relationships/hyperlink" Target="https://app.converlens.com/safework/wel-consultation/ris-survey/view/52" TargetMode="External"/><Relationship Id="rId277" Type="http://schemas.openxmlformats.org/officeDocument/2006/relationships/hyperlink" Target="https://app.converlens.com/safework/wel-consultation/ris-survey/view/18" TargetMode="External"/><Relationship Id="rId298" Type="http://schemas.openxmlformats.org/officeDocument/2006/relationships/hyperlink" Target="https://app.converlens.com/safework/wel-consultation/ris-survey/view/52" TargetMode="External"/><Relationship Id="rId400" Type="http://schemas.openxmlformats.org/officeDocument/2006/relationships/hyperlink" Target="https://app.converlens.com/safework/wel-consultation/ris-survey/view/88" TargetMode="External"/><Relationship Id="rId421" Type="http://schemas.openxmlformats.org/officeDocument/2006/relationships/hyperlink" Target="https://app.converlens.com/safework/wel-consultation/ris-survey/view/90" TargetMode="External"/><Relationship Id="rId116" Type="http://schemas.openxmlformats.org/officeDocument/2006/relationships/hyperlink" Target="https://app.converlens.com/safework/wel-consultation/ris-survey/view/84" TargetMode="External"/><Relationship Id="rId137" Type="http://schemas.openxmlformats.org/officeDocument/2006/relationships/hyperlink" Target="https://app.converlens.com/safework/wel-consultation/ris-survey/view/42" TargetMode="External"/><Relationship Id="rId158" Type="http://schemas.openxmlformats.org/officeDocument/2006/relationships/hyperlink" Target="https://app.converlens.com/safework/wel-consultation/ris-survey/view/42" TargetMode="External"/><Relationship Id="rId302" Type="http://schemas.openxmlformats.org/officeDocument/2006/relationships/hyperlink" Target="https://app.converlens.com/safework/wel-consultation/ris-survey/view/46" TargetMode="External"/><Relationship Id="rId323" Type="http://schemas.openxmlformats.org/officeDocument/2006/relationships/hyperlink" Target="https://app.converlens.com/safework/wel-consultation/ris-survey/view/88" TargetMode="External"/><Relationship Id="rId344" Type="http://schemas.openxmlformats.org/officeDocument/2006/relationships/hyperlink" Target="https://app.converlens.com/safework/wel-consultation/ris-survey/view/52" TargetMode="External"/><Relationship Id="rId20" Type="http://schemas.openxmlformats.org/officeDocument/2006/relationships/hyperlink" Target="https://app.converlens.com/safework/wel-consultation/ris-survey/view/88" TargetMode="External"/><Relationship Id="rId41" Type="http://schemas.openxmlformats.org/officeDocument/2006/relationships/hyperlink" Target="https://app.converlens.com/safework/wel-consultation/ris-survey/view/79" TargetMode="External"/><Relationship Id="rId62" Type="http://schemas.openxmlformats.org/officeDocument/2006/relationships/hyperlink" Target="https://app.converlens.com/safework/wel-consultation/ris-survey/view/87" TargetMode="External"/><Relationship Id="rId83" Type="http://schemas.openxmlformats.org/officeDocument/2006/relationships/hyperlink" Target="https://app.converlens.com/safework/wel-consultation/ris-survey/view/18" TargetMode="External"/><Relationship Id="rId179" Type="http://schemas.openxmlformats.org/officeDocument/2006/relationships/hyperlink" Target="https://app.converlens.com/safework/wel-consultation/ris-survey/view/84" TargetMode="External"/><Relationship Id="rId365" Type="http://schemas.openxmlformats.org/officeDocument/2006/relationships/hyperlink" Target="https://app.converlens.com/safework/wel-consultation/ris-survey/view/87" TargetMode="External"/><Relationship Id="rId386" Type="http://schemas.openxmlformats.org/officeDocument/2006/relationships/hyperlink" Target="https://app.converlens.com/safework/wel-consultation/ris-survey/view/62" TargetMode="External"/><Relationship Id="rId190" Type="http://schemas.openxmlformats.org/officeDocument/2006/relationships/hyperlink" Target="https://app.converlens.com/safework/wel-consultation/ris-survey/view/91" TargetMode="External"/><Relationship Id="rId204" Type="http://schemas.openxmlformats.org/officeDocument/2006/relationships/hyperlink" Target="https://app.converlens.com/safework/wel-consultation/ris-survey/view/64" TargetMode="External"/><Relationship Id="rId225" Type="http://schemas.openxmlformats.org/officeDocument/2006/relationships/hyperlink" Target="https://app.converlens.com/safework/wel-consultation/ris-survey/view/67" TargetMode="External"/><Relationship Id="rId246" Type="http://schemas.openxmlformats.org/officeDocument/2006/relationships/hyperlink" Target="https://app.converlens.com/safework/wel-consultation/ris-survey/view/87" TargetMode="External"/><Relationship Id="rId267" Type="http://schemas.openxmlformats.org/officeDocument/2006/relationships/hyperlink" Target="https://app.converlens.com/safework/wel-consultation/ris-survey/view/82" TargetMode="External"/><Relationship Id="rId288" Type="http://schemas.openxmlformats.org/officeDocument/2006/relationships/hyperlink" Target="https://app.converlens.com/safework/wel-consultation/ris-survey/view/18" TargetMode="External"/><Relationship Id="rId411" Type="http://schemas.openxmlformats.org/officeDocument/2006/relationships/hyperlink" Target="https://app.converlens.com/safework/wel-consultation/ris-survey/view/79" TargetMode="External"/><Relationship Id="rId432" Type="http://schemas.openxmlformats.org/officeDocument/2006/relationships/hyperlink" Target="https://app.converlens.com/safework/wel-consultation/ris-survey/view/87" TargetMode="External"/><Relationship Id="rId106" Type="http://schemas.openxmlformats.org/officeDocument/2006/relationships/hyperlink" Target="https://app.converlens.com/safework/wel-consultation/ris-survey/view/87" TargetMode="External"/><Relationship Id="rId127" Type="http://schemas.openxmlformats.org/officeDocument/2006/relationships/hyperlink" Target="https://app.converlens.com/safework/wel-consultation/ris-survey/view/36" TargetMode="External"/><Relationship Id="rId313" Type="http://schemas.openxmlformats.org/officeDocument/2006/relationships/hyperlink" Target="https://app.converlens.com/safework/wel-consultation/ris-survey/view/87" TargetMode="External"/><Relationship Id="rId10" Type="http://schemas.openxmlformats.org/officeDocument/2006/relationships/hyperlink" Target="https://app.converlens.com/safework/wel-consultation/ris-survey/view/79" TargetMode="External"/><Relationship Id="rId31" Type="http://schemas.openxmlformats.org/officeDocument/2006/relationships/hyperlink" Target="https://app.converlens.com/safework/wel-consultation/ris-survey/view/87" TargetMode="External"/><Relationship Id="rId52" Type="http://schemas.openxmlformats.org/officeDocument/2006/relationships/hyperlink" Target="https://app.converlens.com/safework/wel-consultation/ris-survey/view/76" TargetMode="External"/><Relationship Id="rId73" Type="http://schemas.openxmlformats.org/officeDocument/2006/relationships/hyperlink" Target="https://app.converlens.com/safework/wel-consultation/ris-survey/view/84" TargetMode="External"/><Relationship Id="rId94" Type="http://schemas.openxmlformats.org/officeDocument/2006/relationships/hyperlink" Target="https://app.converlens.com/safework/wel-consultation/ris-survey/view/12" TargetMode="External"/><Relationship Id="rId148" Type="http://schemas.openxmlformats.org/officeDocument/2006/relationships/hyperlink" Target="https://app.converlens.com/safework/wel-consultation/ris-survey/view/50" TargetMode="External"/><Relationship Id="rId169" Type="http://schemas.openxmlformats.org/officeDocument/2006/relationships/hyperlink" Target="https://app.converlens.com/safework/wel-consultation/ris-survey/view/80" TargetMode="External"/><Relationship Id="rId334" Type="http://schemas.openxmlformats.org/officeDocument/2006/relationships/hyperlink" Target="https://app.converlens.com/safework/wel-consultation/ris-survey/view/31" TargetMode="External"/><Relationship Id="rId355" Type="http://schemas.openxmlformats.org/officeDocument/2006/relationships/hyperlink" Target="https://app.converlens.com/safework/wel-consultation/ris-survey/view/48" TargetMode="External"/><Relationship Id="rId376" Type="http://schemas.openxmlformats.org/officeDocument/2006/relationships/hyperlink" Target="https://app.converlens.com/safework/wel-consultation/ris-survey/view/88" TargetMode="External"/><Relationship Id="rId397" Type="http://schemas.openxmlformats.org/officeDocument/2006/relationships/hyperlink" Target="https://app.converlens.com/safework/wel-consultation/ris-survey/view/18" TargetMode="External"/><Relationship Id="rId4" Type="http://schemas.openxmlformats.org/officeDocument/2006/relationships/hyperlink" Target="https://www.safeworkaustralia.gov.au/doc/changes-workplace-exposure-limits-may-2025" TargetMode="External"/><Relationship Id="rId180" Type="http://schemas.openxmlformats.org/officeDocument/2006/relationships/hyperlink" Target="https://app.converlens.com/safework/wel-consultation/ris-survey/view/87" TargetMode="External"/><Relationship Id="rId215" Type="http://schemas.openxmlformats.org/officeDocument/2006/relationships/hyperlink" Target="https://app.converlens.com/safework/wel-consultation/ris-survey/view/64" TargetMode="External"/><Relationship Id="rId236" Type="http://schemas.openxmlformats.org/officeDocument/2006/relationships/hyperlink" Target="https://storage.googleapis.com/files-au-swa/safework/p/prj0ae13e590bf0d888ca147/page/draft_evaluation_report_wes_hydrogen_cyanide_pdf.pdf" TargetMode="External"/><Relationship Id="rId257" Type="http://schemas.openxmlformats.org/officeDocument/2006/relationships/hyperlink" Target="https://app.converlens.com/safework/wel-consultation/ris-survey/view/81" TargetMode="External"/><Relationship Id="rId278" Type="http://schemas.openxmlformats.org/officeDocument/2006/relationships/hyperlink" Target="https://app.converlens.com/safework/wel-consultation/ris-survey/view/70" TargetMode="External"/><Relationship Id="rId401" Type="http://schemas.openxmlformats.org/officeDocument/2006/relationships/hyperlink" Target="https://app.converlens.com/safework/wel-consultation/ris-survey/view/18" TargetMode="External"/><Relationship Id="rId422" Type="http://schemas.openxmlformats.org/officeDocument/2006/relationships/hyperlink" Target="https://app.converlens.com/safework/wel-consultation/ris-survey/view/74" TargetMode="External"/><Relationship Id="rId303" Type="http://schemas.openxmlformats.org/officeDocument/2006/relationships/hyperlink" Target="https://app.converlens.com/safework/wel-consultation/ris-survey/view/90" TargetMode="External"/><Relationship Id="rId42" Type="http://schemas.openxmlformats.org/officeDocument/2006/relationships/hyperlink" Target="https://app.converlens.com/safework/wel-consultation/ris-survey/view/5" TargetMode="External"/><Relationship Id="rId84" Type="http://schemas.openxmlformats.org/officeDocument/2006/relationships/hyperlink" Target="https://app.converlens.com/safework/wel-consultation/ris-survey/view/18" TargetMode="External"/><Relationship Id="rId138" Type="http://schemas.openxmlformats.org/officeDocument/2006/relationships/hyperlink" Target="https://app.converlens.com/safework/wel-consultation/ris-survey/view/43" TargetMode="External"/><Relationship Id="rId345" Type="http://schemas.openxmlformats.org/officeDocument/2006/relationships/hyperlink" Target="https://app.converlens.com/safework/wel-consultation/ris-survey/view/79" TargetMode="External"/><Relationship Id="rId387" Type="http://schemas.openxmlformats.org/officeDocument/2006/relationships/hyperlink" Target="https://app.converlens.com/safework/wel-consultation/ris-survey/view/70" TargetMode="External"/><Relationship Id="rId191" Type="http://schemas.openxmlformats.org/officeDocument/2006/relationships/hyperlink" Target="https://app.converlens.com/safework/wel-consultation/ris-survey/view/18" TargetMode="External"/><Relationship Id="rId205" Type="http://schemas.openxmlformats.org/officeDocument/2006/relationships/hyperlink" Target="https://app.converlens.com/safework/wel-consultation/ris-survey/view/75" TargetMode="External"/><Relationship Id="rId247" Type="http://schemas.openxmlformats.org/officeDocument/2006/relationships/hyperlink" Target="https://app.converlens.com/safework/wel-consultation/ris-survey/view/84" TargetMode="External"/><Relationship Id="rId412" Type="http://schemas.openxmlformats.org/officeDocument/2006/relationships/hyperlink" Target="https://app.converlens.com/safework/wel-consultation/ris-survey/view/7" TargetMode="External"/><Relationship Id="rId107" Type="http://schemas.openxmlformats.org/officeDocument/2006/relationships/hyperlink" Target="https://app.converlens.com/safework/wel-consultation/ris-survey/view/12" TargetMode="External"/><Relationship Id="rId289" Type="http://schemas.openxmlformats.org/officeDocument/2006/relationships/hyperlink" Target="https://app.converlens.com/safework/wel-consultation/ris-survey/view/18" TargetMode="External"/><Relationship Id="rId11" Type="http://schemas.openxmlformats.org/officeDocument/2006/relationships/hyperlink" Target="https://app.converlens.com/safework/wel-consultation/ris-survey/view/12" TargetMode="External"/><Relationship Id="rId53" Type="http://schemas.openxmlformats.org/officeDocument/2006/relationships/hyperlink" Target="https://app.converlens.com/safework/wel-consultation/ris-survey/view/82" TargetMode="External"/><Relationship Id="rId149" Type="http://schemas.openxmlformats.org/officeDocument/2006/relationships/hyperlink" Target="https://app.converlens.com/safework/wel-consultation/ris-survey/view/36" TargetMode="External"/><Relationship Id="rId314" Type="http://schemas.openxmlformats.org/officeDocument/2006/relationships/hyperlink" Target="https://app.converlens.com/safework/wel-consultation/ris-survey/view/18" TargetMode="External"/><Relationship Id="rId356" Type="http://schemas.openxmlformats.org/officeDocument/2006/relationships/hyperlink" Target="https://app.converlens.com/safework/wel-consultation/ris-survey/view/55" TargetMode="External"/><Relationship Id="rId398" Type="http://schemas.openxmlformats.org/officeDocument/2006/relationships/hyperlink" Target="https://app.converlens.com/safework/wel-consultation/ris-survey/view/71" TargetMode="External"/><Relationship Id="rId95" Type="http://schemas.openxmlformats.org/officeDocument/2006/relationships/hyperlink" Target="https://app.converlens.com/safework/wel-consultation/ris-survey/view/14" TargetMode="External"/><Relationship Id="rId160" Type="http://schemas.openxmlformats.org/officeDocument/2006/relationships/hyperlink" Target="https://app.converlens.com/safework/wel-consultation/ris-survey/view/50" TargetMode="External"/><Relationship Id="rId216" Type="http://schemas.openxmlformats.org/officeDocument/2006/relationships/hyperlink" Target="https://app.converlens.com/safework/wel-consultation/ris-survey/view/75" TargetMode="External"/><Relationship Id="rId423" Type="http://schemas.openxmlformats.org/officeDocument/2006/relationships/hyperlink" Target="https://app.converlens.com/safework/wel-consultation/ris-survey/view/18" TargetMode="External"/><Relationship Id="rId258" Type="http://schemas.openxmlformats.org/officeDocument/2006/relationships/hyperlink" Target="https://app.converlens.com/safework/wel-consultation/ris-survey/view/90" TargetMode="External"/><Relationship Id="rId22" Type="http://schemas.openxmlformats.org/officeDocument/2006/relationships/hyperlink" Target="https://app.converlens.com/safework/wel-consultation/ris-survey/view/12" TargetMode="External"/><Relationship Id="rId64" Type="http://schemas.openxmlformats.org/officeDocument/2006/relationships/hyperlink" Target="https://app.converlens.com/safework/wel-consultation/ris-survey/view/82" TargetMode="External"/><Relationship Id="rId118" Type="http://schemas.openxmlformats.org/officeDocument/2006/relationships/hyperlink" Target="https://app.converlens.com/safework/wel-consultation/ris-survey/view/85" TargetMode="External"/><Relationship Id="rId325" Type="http://schemas.openxmlformats.org/officeDocument/2006/relationships/hyperlink" Target="https://app.converlens.com/safework/wel-consultation/ris-survey/view/85" TargetMode="External"/><Relationship Id="rId367" Type="http://schemas.openxmlformats.org/officeDocument/2006/relationships/hyperlink" Target="https://app.converlens.com/safework/wel-consultation/ris-survey/view/89" TargetMode="External"/><Relationship Id="rId171" Type="http://schemas.openxmlformats.org/officeDocument/2006/relationships/hyperlink" Target="https://app.converlens.com/safework/wel-consultation/ris-survey/view/42" TargetMode="External"/><Relationship Id="rId227" Type="http://schemas.openxmlformats.org/officeDocument/2006/relationships/hyperlink" Target="https://app.converlens.com/safework/wel-consultation/ris-survey/view/46" TargetMode="External"/><Relationship Id="rId269" Type="http://schemas.openxmlformats.org/officeDocument/2006/relationships/hyperlink" Target="https://app.converlens.com/safework/wel-consultation/ris-survey/view/82" TargetMode="External"/><Relationship Id="rId434" Type="http://schemas.openxmlformats.org/officeDocument/2006/relationships/hyperlink" Target="https://app.converlens.com/safework/wel-consultation/ris-survey/view/12" TargetMode="External"/><Relationship Id="rId33" Type="http://schemas.openxmlformats.org/officeDocument/2006/relationships/hyperlink" Target="https://app.converlens.com/safework/wel-consultation/ris-survey/view/87" TargetMode="External"/><Relationship Id="rId129" Type="http://schemas.openxmlformats.org/officeDocument/2006/relationships/hyperlink" Target="https://app.converlens.com/safework/wel-consultation/ris-survey/view/36" TargetMode="External"/><Relationship Id="rId280" Type="http://schemas.openxmlformats.org/officeDocument/2006/relationships/hyperlink" Target="https://app.converlens.com/safework/wel-consultation/ris-survey/view/82" TargetMode="External"/><Relationship Id="rId336" Type="http://schemas.openxmlformats.org/officeDocument/2006/relationships/hyperlink" Target="https://app.converlens.com/safework/wel-consultation/ris-survey/view/31" TargetMode="External"/><Relationship Id="rId75" Type="http://schemas.openxmlformats.org/officeDocument/2006/relationships/hyperlink" Target="https://app.converlens.com/safework/wel-consultation/ris-survey/view/85" TargetMode="External"/><Relationship Id="rId140" Type="http://schemas.openxmlformats.org/officeDocument/2006/relationships/hyperlink" Target="https://app.converlens.com/safework/wel-consultation/ris-survey/view/50" TargetMode="External"/><Relationship Id="rId182" Type="http://schemas.openxmlformats.org/officeDocument/2006/relationships/hyperlink" Target="https://app.converlens.com/safework/wel-consultation/ris-survey/view/91" TargetMode="External"/><Relationship Id="rId378" Type="http://schemas.openxmlformats.org/officeDocument/2006/relationships/hyperlink" Target="https://app.converlens.com/safework/wel-consultation/ris-survey/view/71" TargetMode="External"/><Relationship Id="rId403" Type="http://schemas.openxmlformats.org/officeDocument/2006/relationships/hyperlink" Target="https://app.converlens.com/safework/wel-consultation/ris-survey/view/88" TargetMode="External"/><Relationship Id="rId6" Type="http://schemas.openxmlformats.org/officeDocument/2006/relationships/hyperlink" Target="https://app.converlens.com/safework/wel-consultation/ris-survey/view/81" TargetMode="External"/><Relationship Id="rId238" Type="http://schemas.openxmlformats.org/officeDocument/2006/relationships/hyperlink" Target="https://app.converlens.com/safework/wel-consultation/ris-survey/view/81" TargetMode="External"/><Relationship Id="rId291" Type="http://schemas.openxmlformats.org/officeDocument/2006/relationships/hyperlink" Target="https://app.converlens.com/safework/wel-consultation/ris-survey/view/82" TargetMode="External"/><Relationship Id="rId305" Type="http://schemas.openxmlformats.org/officeDocument/2006/relationships/hyperlink" Target="https://app.converlens.com/safework/wel-consultation/ris-survey/view/52" TargetMode="External"/><Relationship Id="rId347" Type="http://schemas.openxmlformats.org/officeDocument/2006/relationships/hyperlink" Target="https://app.converlens.com/safework/wel-consultation/ris-survey/view/38" TargetMode="External"/><Relationship Id="rId44" Type="http://schemas.openxmlformats.org/officeDocument/2006/relationships/hyperlink" Target="https://app.converlens.com/safework/wel-consultation/ris-survey/view/34" TargetMode="External"/><Relationship Id="rId86" Type="http://schemas.openxmlformats.org/officeDocument/2006/relationships/hyperlink" Target="https://app.converlens.com/safework/wel-consultation/ris-survey/view/52" TargetMode="External"/><Relationship Id="rId151" Type="http://schemas.openxmlformats.org/officeDocument/2006/relationships/hyperlink" Target="https://app.converlens.com/safework/wel-consultation/ris-survey/view/85" TargetMode="External"/><Relationship Id="rId389" Type="http://schemas.openxmlformats.org/officeDocument/2006/relationships/hyperlink" Target="https://app.converlens.com/safework/wel-consultation/ris-survey/view/62" TargetMode="External"/><Relationship Id="rId193" Type="http://schemas.openxmlformats.org/officeDocument/2006/relationships/hyperlink" Target="https://app.converlens.com/safework/wel-consultation/ris-survey/view/88" TargetMode="External"/><Relationship Id="rId207" Type="http://schemas.openxmlformats.org/officeDocument/2006/relationships/hyperlink" Target="https://app.converlens.com/safework/wel-consultation/ris-survey/view/75" TargetMode="External"/><Relationship Id="rId249" Type="http://schemas.openxmlformats.org/officeDocument/2006/relationships/hyperlink" Target="https://app.converlens.com/safework/wel-consultation/ris-survey/view/88" TargetMode="External"/><Relationship Id="rId414" Type="http://schemas.openxmlformats.org/officeDocument/2006/relationships/hyperlink" Target="https://app.converlens.com/safework/wel-consultation/ris-survey/view/12" TargetMode="External"/><Relationship Id="rId13" Type="http://schemas.openxmlformats.org/officeDocument/2006/relationships/hyperlink" Target="https://app.converlens.com/safework/wel-consultation/ris-survey/view/46" TargetMode="External"/><Relationship Id="rId109" Type="http://schemas.openxmlformats.org/officeDocument/2006/relationships/hyperlink" Target="https://app.converlens.com/safework/wel-consultation/ris-survey/view/87" TargetMode="External"/><Relationship Id="rId260" Type="http://schemas.openxmlformats.org/officeDocument/2006/relationships/hyperlink" Target="https://app.converlens.com/safework/wel-consultation/ris-survey/view/21" TargetMode="External"/><Relationship Id="rId316" Type="http://schemas.openxmlformats.org/officeDocument/2006/relationships/hyperlink" Target="https://app.converlens.com/safework/wel-consultation/ris-survey/view/87" TargetMode="External"/><Relationship Id="rId55" Type="http://schemas.openxmlformats.org/officeDocument/2006/relationships/hyperlink" Target="https://app.converlens.com/safework/wel-consultation/ris-survey/view/87" TargetMode="External"/><Relationship Id="rId97" Type="http://schemas.openxmlformats.org/officeDocument/2006/relationships/hyperlink" Target="https://app.converlens.com/safework/wel-consultation/ris-survey/view/84" TargetMode="External"/><Relationship Id="rId120" Type="http://schemas.openxmlformats.org/officeDocument/2006/relationships/hyperlink" Target="https://app.converlens.com/safework/wel-consultation/ris-survey/view/18" TargetMode="External"/><Relationship Id="rId358" Type="http://schemas.openxmlformats.org/officeDocument/2006/relationships/hyperlink" Target="https://app.converlens.com/safework/wel-consultation/ris-survey/view/54" TargetMode="External"/><Relationship Id="rId162" Type="http://schemas.openxmlformats.org/officeDocument/2006/relationships/hyperlink" Target="https://app.converlens.com/safework/wel-consultation/ris-survey/view/80" TargetMode="External"/><Relationship Id="rId218" Type="http://schemas.openxmlformats.org/officeDocument/2006/relationships/hyperlink" Target="https://app.converlens.com/safework/wel-consultation/ris-survey/view/64" TargetMode="External"/><Relationship Id="rId425" Type="http://schemas.openxmlformats.org/officeDocument/2006/relationships/hyperlink" Target="https://app.converlens.com/safework/wel-consultation/ris-survey/view/84" TargetMode="External"/><Relationship Id="rId271" Type="http://schemas.openxmlformats.org/officeDocument/2006/relationships/hyperlink" Target="https://app.converlens.com/safework/wel-consultation/ris-survey/view/87" TargetMode="External"/><Relationship Id="rId24" Type="http://schemas.openxmlformats.org/officeDocument/2006/relationships/hyperlink" Target="https://app.converlens.com/safework/wel-consultation/ris-survey/view/90" TargetMode="External"/><Relationship Id="rId66" Type="http://schemas.openxmlformats.org/officeDocument/2006/relationships/hyperlink" Target="https://app.converlens.com/safework/wel-consultation/ris-survey/view/82" TargetMode="External"/><Relationship Id="rId131" Type="http://schemas.openxmlformats.org/officeDocument/2006/relationships/hyperlink" Target="https://app.converlens.com/safework/wel-consultation/ris-survey/view/36" TargetMode="External"/><Relationship Id="rId327" Type="http://schemas.openxmlformats.org/officeDocument/2006/relationships/hyperlink" Target="https://app.converlens.com/safework/wel-consultation/ris-survey/view/87" TargetMode="External"/><Relationship Id="rId369" Type="http://schemas.openxmlformats.org/officeDocument/2006/relationships/hyperlink" Target="https://app.converlens.com/safework/wel-consultation/ris-survey/view/71" TargetMode="External"/><Relationship Id="rId173" Type="http://schemas.openxmlformats.org/officeDocument/2006/relationships/hyperlink" Target="https://app.converlens.com/safework/wel-consultation/ris-survey/view/79" TargetMode="External"/><Relationship Id="rId229" Type="http://schemas.openxmlformats.org/officeDocument/2006/relationships/hyperlink" Target="https://app.converlens.com/safework/wel-consultation/ris-survey/view/49" TargetMode="External"/><Relationship Id="rId380" Type="http://schemas.openxmlformats.org/officeDocument/2006/relationships/hyperlink" Target="https://app.converlens.com/safework/wel-consultation/ris-survey/view/87" TargetMode="External"/><Relationship Id="rId436" Type="http://schemas.openxmlformats.org/officeDocument/2006/relationships/hyperlink" Target="https://www.safeworkaustralia.gov.au/system/files/documents/1806/wes_methodology_recommending_health-based_workplace_exposure_standards_and_notations.pdf" TargetMode="External"/><Relationship Id="rId240" Type="http://schemas.openxmlformats.org/officeDocument/2006/relationships/hyperlink" Target="https://app.converlens.com/safework/wel-consultation/ris-survey/view/46" TargetMode="External"/><Relationship Id="rId35" Type="http://schemas.openxmlformats.org/officeDocument/2006/relationships/hyperlink" Target="https://app.converlens.com/safework/wel-consultation/ris-survey/view/46" TargetMode="External"/><Relationship Id="rId77" Type="http://schemas.openxmlformats.org/officeDocument/2006/relationships/hyperlink" Target="https://app.converlens.com/safework/wel-consultation/ris-survey/view/85" TargetMode="External"/><Relationship Id="rId100" Type="http://schemas.openxmlformats.org/officeDocument/2006/relationships/hyperlink" Target="https://app.converlens.com/safework/wel-consultation/ris-survey/view/84" TargetMode="External"/><Relationship Id="rId282" Type="http://schemas.openxmlformats.org/officeDocument/2006/relationships/hyperlink" Target="https://app.converlens.com/safework/wel-consultation/ris-survey/view/70" TargetMode="External"/><Relationship Id="rId338" Type="http://schemas.openxmlformats.org/officeDocument/2006/relationships/hyperlink" Target="https://app.converlens.com/safework/wel-consultation/ris-survey/view/31" TargetMode="External"/><Relationship Id="rId8" Type="http://schemas.openxmlformats.org/officeDocument/2006/relationships/hyperlink" Target="https://app.converlens.com/safework/wel-consultation/ris-survey/view/82" TargetMode="External"/><Relationship Id="rId142" Type="http://schemas.openxmlformats.org/officeDocument/2006/relationships/hyperlink" Target="https://app.converlens.com/safework/wel-consultation/ris-survey/view/12" TargetMode="External"/><Relationship Id="rId184" Type="http://schemas.openxmlformats.org/officeDocument/2006/relationships/hyperlink" Target="https://app.converlens.com/safework/wel-consultation/ris-survey/view/64" TargetMode="External"/><Relationship Id="rId391" Type="http://schemas.openxmlformats.org/officeDocument/2006/relationships/hyperlink" Target="https://app.converlens.com/safework/wel-consultation/ris-survey/view/71" TargetMode="External"/><Relationship Id="rId405" Type="http://schemas.openxmlformats.org/officeDocument/2006/relationships/hyperlink" Target="https://app.converlens.com/safework/wel-consultation/ris-survey/view/70" TargetMode="External"/><Relationship Id="rId251" Type="http://schemas.openxmlformats.org/officeDocument/2006/relationships/hyperlink" Target="https://app.converlens.com/safework/wel-consultation/ris-survey/view/18" TargetMode="External"/><Relationship Id="rId46" Type="http://schemas.openxmlformats.org/officeDocument/2006/relationships/hyperlink" Target="https://app.converlens.com/safework/wel-consultation/ris-survey/view/81" TargetMode="External"/><Relationship Id="rId293" Type="http://schemas.openxmlformats.org/officeDocument/2006/relationships/hyperlink" Target="https://app.converlens.com/safework/wel-consultation/ris-survey/view/21" TargetMode="External"/><Relationship Id="rId307" Type="http://schemas.openxmlformats.org/officeDocument/2006/relationships/hyperlink" Target="https://app.converlens.com/safework/wel-consultation/ris-survey/view/46" TargetMode="External"/><Relationship Id="rId349" Type="http://schemas.openxmlformats.org/officeDocument/2006/relationships/hyperlink" Target="https://app.converlens.com/safework/wel-consultation/ris-survey/view/84" TargetMode="External"/><Relationship Id="rId88" Type="http://schemas.openxmlformats.org/officeDocument/2006/relationships/hyperlink" Target="https://storage.googleapis.com/files-au-swa/safework/p/prj06da3bdf2c1cf9737efab/page/draft_evaluation_report_wes_copper_fumes_dusts_and_mists_as_Cu_pdf.pdf" TargetMode="External"/><Relationship Id="rId111" Type="http://schemas.openxmlformats.org/officeDocument/2006/relationships/hyperlink" Target="https://app.converlens.com/safework/wel-consultation/ris-survey/view/87" TargetMode="External"/><Relationship Id="rId153" Type="http://schemas.openxmlformats.org/officeDocument/2006/relationships/hyperlink" Target="https://app.converlens.com/safework/wel-consultation/ris-survey/view/43" TargetMode="External"/><Relationship Id="rId195" Type="http://schemas.openxmlformats.org/officeDocument/2006/relationships/hyperlink" Target="https://app.converlens.com/safework/wel-consultation/ris-survey/view/46" TargetMode="External"/><Relationship Id="rId209" Type="http://schemas.openxmlformats.org/officeDocument/2006/relationships/hyperlink" Target="https://app.converlens.com/safework/wel-consultation/ris-survey/view/87" TargetMode="External"/><Relationship Id="rId360" Type="http://schemas.openxmlformats.org/officeDocument/2006/relationships/hyperlink" Target="https://app.converlens.com/safework/wel-consultation/ris-survey/view/54" TargetMode="External"/><Relationship Id="rId416" Type="http://schemas.openxmlformats.org/officeDocument/2006/relationships/hyperlink" Target="https://app.converlens.com/safework/wel-consultation/ris-survey/view/18" TargetMode="External"/><Relationship Id="rId220" Type="http://schemas.openxmlformats.org/officeDocument/2006/relationships/hyperlink" Target="https://app.converlens.com/safework/wel-consultation/ris-survey/view/87" TargetMode="External"/><Relationship Id="rId15" Type="http://schemas.openxmlformats.org/officeDocument/2006/relationships/hyperlink" Target="https://app.converlens.com/safework/wel-consultation/ris-survey/view/12" TargetMode="External"/><Relationship Id="rId57" Type="http://schemas.openxmlformats.org/officeDocument/2006/relationships/hyperlink" Target="https://app.converlens.com/safework/wel-consultation/ris-survey/view/37" TargetMode="External"/><Relationship Id="rId262" Type="http://schemas.openxmlformats.org/officeDocument/2006/relationships/hyperlink" Target="https://app.converlens.com/safework/wel-consultation/ris-survey/view/82" TargetMode="External"/><Relationship Id="rId318" Type="http://schemas.openxmlformats.org/officeDocument/2006/relationships/hyperlink" Target="https://app.converlens.com/safework/wel-consultation/ris-survey/view/88" TargetMode="External"/><Relationship Id="rId99" Type="http://schemas.openxmlformats.org/officeDocument/2006/relationships/hyperlink" Target="https://app.converlens.com/safework/wel-consultation/ris-survey/view/12" TargetMode="External"/><Relationship Id="rId122" Type="http://schemas.openxmlformats.org/officeDocument/2006/relationships/hyperlink" Target="https://app.converlens.com/safework/wel-consultation/ris-survey/view/85" TargetMode="External"/><Relationship Id="rId164" Type="http://schemas.openxmlformats.org/officeDocument/2006/relationships/hyperlink" Target="https://app.converlens.com/safework/wel-consultation/ris-survey/view/90" TargetMode="External"/><Relationship Id="rId371" Type="http://schemas.openxmlformats.org/officeDocument/2006/relationships/hyperlink" Target="https://app.converlens.com/safework/wel-consultation/ris-survey/view/54" TargetMode="External"/><Relationship Id="rId427" Type="http://schemas.openxmlformats.org/officeDocument/2006/relationships/hyperlink" Target="https://app.converlens.com/safework/wel-consultation/ris-survey/view/84" TargetMode="External"/><Relationship Id="rId26" Type="http://schemas.openxmlformats.org/officeDocument/2006/relationships/hyperlink" Target="https://app.converlens.com/safework/wel-consultation/ris-survey/view/79" TargetMode="External"/><Relationship Id="rId231" Type="http://schemas.openxmlformats.org/officeDocument/2006/relationships/hyperlink" Target="https://app.converlens.com/safework/wel-consultation/ris-survey/view/50" TargetMode="External"/><Relationship Id="rId273" Type="http://schemas.openxmlformats.org/officeDocument/2006/relationships/hyperlink" Target="https://app.converlens.com/safework/wel-consultation/ris-survey/view/84" TargetMode="External"/><Relationship Id="rId329" Type="http://schemas.openxmlformats.org/officeDocument/2006/relationships/hyperlink" Target="https://app.converlens.com/safework/wel-consultation/ris-survey/view/88" TargetMode="External"/><Relationship Id="rId68" Type="http://schemas.openxmlformats.org/officeDocument/2006/relationships/hyperlink" Target="https://app.converlens.com/safework/wel-consultation/ris-survey/view/87" TargetMode="External"/><Relationship Id="rId133" Type="http://schemas.openxmlformats.org/officeDocument/2006/relationships/hyperlink" Target="https://app.converlens.com/safework/wel-consultation/ris-survey/view/42" TargetMode="External"/><Relationship Id="rId175" Type="http://schemas.openxmlformats.org/officeDocument/2006/relationships/hyperlink" Target="https://app.converlens.com/safework/wel-consultation/ris-survey/view/37" TargetMode="External"/><Relationship Id="rId340" Type="http://schemas.openxmlformats.org/officeDocument/2006/relationships/hyperlink" Target="https://app.converlens.com/safework/wel-consultation/ris-survey/view/52" TargetMode="External"/><Relationship Id="rId200" Type="http://schemas.openxmlformats.org/officeDocument/2006/relationships/hyperlink" Target="https://app.converlens.com/safework/wel-consultation/ris-survey/view/87" TargetMode="External"/><Relationship Id="rId382" Type="http://schemas.openxmlformats.org/officeDocument/2006/relationships/hyperlink" Target="https://app.converlens.com/safework/wel-consultation/ris-survey/view/70" TargetMode="External"/><Relationship Id="rId242" Type="http://schemas.openxmlformats.org/officeDocument/2006/relationships/hyperlink" Target="https://app.converlens.com/safework/wel-consultation/ris-survey/view/52" TargetMode="External"/><Relationship Id="rId284" Type="http://schemas.openxmlformats.org/officeDocument/2006/relationships/hyperlink" Target="https://app.converlens.com/safework/wel-consultation/ris-survey/view/82" TargetMode="External"/><Relationship Id="rId37" Type="http://schemas.openxmlformats.org/officeDocument/2006/relationships/hyperlink" Target="https://app.converlens.com/safework/wel-consultation/ris-survey/view/5" TargetMode="External"/><Relationship Id="rId79" Type="http://schemas.openxmlformats.org/officeDocument/2006/relationships/hyperlink" Target="https://app.converlens.com/safework/wel-consultation/ris-survey/view/37" TargetMode="External"/><Relationship Id="rId102" Type="http://schemas.openxmlformats.org/officeDocument/2006/relationships/hyperlink" Target="https://app.converlens.com/safework/wel-consultation/ris-survey/view/87" TargetMode="External"/><Relationship Id="rId144" Type="http://schemas.openxmlformats.org/officeDocument/2006/relationships/hyperlink" Target="https://app.converlens.com/safework/wel-consultation/ris-survey/view/43" TargetMode="External"/><Relationship Id="rId90" Type="http://schemas.openxmlformats.org/officeDocument/2006/relationships/hyperlink" Target="https://app.converlens.com/safework/wel-consultation/ris-survey/view/52" TargetMode="External"/><Relationship Id="rId186" Type="http://schemas.openxmlformats.org/officeDocument/2006/relationships/hyperlink" Target="https://app.converlens.com/safework/wel-consultation/ris-survey/view/84" TargetMode="External"/><Relationship Id="rId351" Type="http://schemas.openxmlformats.org/officeDocument/2006/relationships/hyperlink" Target="https://app.converlens.com/safework/wel-consultation/ris-survey/view/87" TargetMode="External"/><Relationship Id="rId393" Type="http://schemas.openxmlformats.org/officeDocument/2006/relationships/hyperlink" Target="https://app.converlens.com/safework/wel-consultation/ris-survey/view/87" TargetMode="External"/><Relationship Id="rId407" Type="http://schemas.openxmlformats.org/officeDocument/2006/relationships/hyperlink" Target="https://app.converlens.com/safework/wel-consultation/ris-survey/view/52" TargetMode="External"/><Relationship Id="rId211" Type="http://schemas.openxmlformats.org/officeDocument/2006/relationships/hyperlink" Target="https://app.converlens.com/safework/wel-consultation/ris-survey/view/18" TargetMode="External"/><Relationship Id="rId253" Type="http://schemas.openxmlformats.org/officeDocument/2006/relationships/hyperlink" Target="https://app.converlens.com/safework/wel-consultation/ris-survey/view/52" TargetMode="External"/><Relationship Id="rId295" Type="http://schemas.openxmlformats.org/officeDocument/2006/relationships/hyperlink" Target="https://app.converlens.com/safework/wel-consultation/ris-survey/view/7" TargetMode="External"/><Relationship Id="rId309" Type="http://schemas.openxmlformats.org/officeDocument/2006/relationships/hyperlink" Target="https://app.converlens.com/safework/wel-consultation/ris-survey/view/87" TargetMode="External"/><Relationship Id="rId48" Type="http://schemas.openxmlformats.org/officeDocument/2006/relationships/hyperlink" Target="https://app.converlens.com/safework/wel-consultation/ris-survey/view/46" TargetMode="External"/><Relationship Id="rId113" Type="http://schemas.openxmlformats.org/officeDocument/2006/relationships/hyperlink" Target="https://app.converlens.com/safework/wel-consultation/ris-survey/view/12" TargetMode="External"/><Relationship Id="rId320" Type="http://schemas.openxmlformats.org/officeDocument/2006/relationships/hyperlink" Target="https://app.converlens.com/safework/wel-consultation/ris-survey/view/88" TargetMode="External"/><Relationship Id="rId155" Type="http://schemas.openxmlformats.org/officeDocument/2006/relationships/hyperlink" Target="https://app.converlens.com/safework/wel-consultation/ris-survey/view/67" TargetMode="External"/><Relationship Id="rId197" Type="http://schemas.openxmlformats.org/officeDocument/2006/relationships/hyperlink" Target="https://app.converlens.com/safework/wel-consultation/ris-survey/view/64" TargetMode="External"/><Relationship Id="rId362" Type="http://schemas.openxmlformats.org/officeDocument/2006/relationships/hyperlink" Target="https://app.converlens.com/safework/wel-consultation/ris-survey/view/71" TargetMode="External"/><Relationship Id="rId418" Type="http://schemas.openxmlformats.org/officeDocument/2006/relationships/hyperlink" Target="https://app.converlens.com/safework/wel-consultation/ris-survey/view/12" TargetMode="External"/><Relationship Id="rId222" Type="http://schemas.openxmlformats.org/officeDocument/2006/relationships/hyperlink" Target="https://app.converlens.com/safework/wel-consultation/ris-survey/view/53" TargetMode="External"/><Relationship Id="rId264" Type="http://schemas.openxmlformats.org/officeDocument/2006/relationships/hyperlink" Target="https://app.converlens.com/safework/wel-consultation/ris-survey/view/84" TargetMode="External"/><Relationship Id="rId17" Type="http://schemas.openxmlformats.org/officeDocument/2006/relationships/hyperlink" Target="https://app.converlens.com/safework/wel-consultation/ris-survey/view/5" TargetMode="External"/><Relationship Id="rId59" Type="http://schemas.openxmlformats.org/officeDocument/2006/relationships/hyperlink" Target="https://app.converlens.com/safework/wel-consultation/ris-survey/view/76" TargetMode="External"/><Relationship Id="rId124" Type="http://schemas.openxmlformats.org/officeDocument/2006/relationships/hyperlink" Target="https://app.converlens.com/safework/wel-consultation/ris-survey/view/87" TargetMode="External"/><Relationship Id="rId70" Type="http://schemas.openxmlformats.org/officeDocument/2006/relationships/hyperlink" Target="https://app.converlens.com/safework/wel-consultation/ris-survey/view/87" TargetMode="External"/><Relationship Id="rId166" Type="http://schemas.openxmlformats.org/officeDocument/2006/relationships/hyperlink" Target="https://app.converlens.com/safework/wel-consultation/ris-survey/view/43" TargetMode="External"/><Relationship Id="rId331" Type="http://schemas.openxmlformats.org/officeDocument/2006/relationships/hyperlink" Target="https://app.converlens.com/safework/wel-consultation/ris-survey/view/46" TargetMode="External"/><Relationship Id="rId373" Type="http://schemas.openxmlformats.org/officeDocument/2006/relationships/hyperlink" Target="https://app.converlens.com/safework/wel-consultation/ris-survey/view/48" TargetMode="External"/><Relationship Id="rId429" Type="http://schemas.openxmlformats.org/officeDocument/2006/relationships/hyperlink" Target="https://app.converlens.com/safework/wel-consultation/ris-survey/view/18" TargetMode="External"/><Relationship Id="rId1" Type="http://schemas.openxmlformats.org/officeDocument/2006/relationships/hyperlink" Target="https://www.safeworkaustralia.gov.au/system/files/documents/1806/wes_methodology_recommending_health-based_workplace_exposure_standards_and_notations.pdf" TargetMode="External"/><Relationship Id="rId233" Type="http://schemas.openxmlformats.org/officeDocument/2006/relationships/hyperlink" Target="https://app.converlens.com/safework/wel-consultation/ris-survey/view/43" TargetMode="External"/></Relationship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Int21</b:Tag>
    <b:SourceType>DocumentFromInternetSite</b:SourceType>
    <b:Guid>{1390A1C2-025F-4D9A-AA92-2D07477FD3E9}</b:Guid>
    <b:Author>
      <b:Author>
        <b:Corporate>International Labour Organization</b:Corporate>
      </b:Author>
    </b:Author>
    <b:Title>Exposure to hazardous chemicals at work and resulting health impacts: A global review</b:Title>
    <b:InternetSiteTitle>International Labour Organization</b:InternetSiteTitle>
    <b:Year>2021</b:Year>
    <b:Month>May</b:Month>
    <b:Day>7</b:Day>
    <b:URL>https://www.ilo.org/publications/exposure-hazardous-chemicals-work-and-resulting-health-impacts-global</b:URL>
    <b:RefOrder>113</b:RefOrder>
  </b:Source>
  <b:Source>
    <b:Tag>Int23</b:Tag>
    <b:SourceType>DocumentFromInternetSite</b:SourceType>
    <b:Guid>{71677A43-334E-42D6-A6CE-891093EFBF01}</b:Guid>
    <b:Author>
      <b:Author>
        <b:Corporate>International Labour Organization</b:Corporate>
      </b:Author>
    </b:Author>
    <b:Title>A call for safer and healthier working environments</b:Title>
    <b:InternetSiteTitle>International Labour Organization</b:InternetSiteTitle>
    <b:Year>2023</b:Year>
    <b:Month>November</b:Month>
    <b:Day>26</b:Day>
    <b:URL>https://www.ilo.org/publications/call-safer-and-healthier-working-environments</b:URL>
    <b:RefOrder>114</b:RefOrder>
  </b:Source>
  <b:Source>
    <b:Tag>Saf19</b:Tag>
    <b:SourceType>DocumentFromInternetSite</b:SourceType>
    <b:Guid>{4EDA67BF-A02B-4E85-BFF1-16D1B3CD5180}</b:Guid>
    <b:Author>
      <b:Author>
        <b:Corporate>Safe Work Australia</b:Corporate>
      </b:Author>
    </b:Author>
    <b:Title>Decision regulation impact statement: Workplace exposure standards framework under the model Work Health and Safety laws</b:Title>
    <b:InternetSiteTitle>Safe Work Australia</b:InternetSiteTitle>
    <b:Year>2019</b:Year>
    <b:Month>November</b:Month>
    <b:Day>11</b:Day>
    <b:URL>https://www.safeworkaustralia.gov.au/doc/decision-regulation-impact-statement-workplace-exposure-standards-framework-under-model-work-health-and-safety-laws</b:URL>
    <b:RefOrder>1</b:RefOrder>
  </b:Source>
  <b:Source>
    <b:Tag>Saf18</b:Tag>
    <b:SourceType>DocumentFromInternetSite</b:SourceType>
    <b:Guid>{BB0D86CD-B875-4C16-AC62-41376E8A4CEA}</b:Guid>
    <b:Author>
      <b:Author>
        <b:Corporate>Safe Work Australia</b:Corporate>
      </b:Author>
    </b:Author>
    <b:Title>WES review - Recommending health-based workplace exposure standards and notations</b:Title>
    <b:InternetSiteTitle>Safe Work Australia</b:InternetSiteTitle>
    <b:Year>2018</b:Year>
    <b:Month>June</b:Month>
    <b:Day>14</b:Day>
    <b:URL>https://www.safeworkaustralia.gov.au/doc/wes-review-recommending-health-based-workplace-exposure-standards-and-notations</b:URL>
    <b:RefOrder>67</b:RefOrder>
  </b:Source>
  <b:Source>
    <b:Tag>Saf23</b:Tag>
    <b:SourceType>DocumentFromInternetSite</b:SourceType>
    <b:Guid>{6901ED13-78CA-4560-9F34-ABFEAFA679B8}</b:Guid>
    <b:Author>
      <b:Author>
        <b:Corporate>Safe Work Australia</b:Corporate>
      </b:Author>
    </b:Author>
    <b:Title>Decision Regulation Impact Statement: Managing the risks of respirable crystalline silica at work</b:Title>
    <b:InternetSiteTitle>Safe Work Australia</b:InternetSiteTitle>
    <b:Year>2023</b:Year>
    <b:Month>February</b:Month>
    <b:Day>28</b:Day>
    <b:URL>https://www.safeworkaustralia.gov.au/doc/decision-regulation-impact-statement-managing-risks-respirable-crystalline-silica-work</b:URL>
    <b:RefOrder>104</b:RefOrder>
  </b:Source>
  <b:Source>
    <b:Tag>Saf231</b:Tag>
    <b:SourceType>DocumentFromInternetSite</b:SourceType>
    <b:Guid>{A27F7E7C-3251-4607-AC4F-A4BA0D939217}</b:Guid>
    <b:Author>
      <b:Author>
        <b:Corporate>Safe Work Australia</b:Corporate>
      </b:Author>
    </b:Author>
    <b:Title>Decision Regulation Impact Statement: Prohibition on the use of engineered stone</b:Title>
    <b:InternetSiteTitle>Safe Work Australia</b:InternetSiteTitle>
    <b:Year>2023</b:Year>
    <b:Month>October</b:Month>
    <b:Day>27</b:Day>
    <b:URL>https://www.safeworkaustralia.gov.au/doc/decision-regulation-impact-statement-prohibition-use-engineered-stone</b:URL>
    <b:RefOrder>101</b:RefOrder>
  </b:Source>
  <b:Source>
    <b:Tag>Saf25</b:Tag>
    <b:SourceType>InternetSite</b:SourceType>
    <b:Guid>{793C678D-827B-4C39-BA88-572B795C0A9C}</b:Guid>
    <b:Title>Workers' Compensation</b:Title>
    <b:InternetSiteTitle>Safe Work Australia</b:InternetSiteTitle>
    <b:URL>https://www.safeworkaustralia.gov.au/workers-compensation</b:URL>
    <b:Author>
      <b:Author>
        <b:Corporate>Safe Work Australia</b:Corporate>
      </b:Author>
    </b:Author>
    <b:RefOrder>115</b:RefOrder>
  </b:Source>
  <b:Source>
    <b:Tag>Saf22</b:Tag>
    <b:SourceType>DocumentFromInternetSite</b:SourceType>
    <b:Guid>{1F8B6E73-9C9B-4859-8F1B-6B3F0E257687}</b:Guid>
    <b:Author>
      <b:Author>
        <b:Corporate>Safe Work Australia</b:Corporate>
      </b:Author>
    </b:Author>
    <b:Title>Safer, healthier, wealthier: The economic value of reducing work-related injuries and illnesses – summary report</b:Title>
    <b:InternetSiteTitle>Safe Work Australia</b:InternetSiteTitle>
    <b:Year>2022</b:Year>
    <b:Month>October</b:Month>
    <b:Day>24</b:Day>
    <b:URL>https://www.safeworkaustralia.gov.au/doc/safer-healthier-wealthier-economic-value-reducing-work-related-injuries-and-illnesses-summary-report</b:URL>
    <b:RefOrder>26</b:RefOrder>
  </b:Source>
  <b:Source>
    <b:Tag>Int13</b:Tag>
    <b:SourceType>DocumentFromInternetSite</b:SourceType>
    <b:Guid>{352ACFD4-9201-49BF-B631-477AB2046775}</b:Guid>
    <b:Author>
      <b:Author>
        <b:Corporate>International Labour Organization</b:Corporate>
      </b:Author>
    </b:Author>
    <b:Title>The Prevention of Occupational Diseases</b:Title>
    <b:InternetSiteTitle>International Labour Organization</b:InternetSiteTitle>
    <b:Year>2013</b:Year>
    <b:Month>March</b:Month>
    <b:Day>25</b:Day>
    <b:URL>https://www.ilo.org/publications/prevention-occupational-diseases</b:URL>
    <b:RefOrder>34</b:RefOrder>
  </b:Source>
  <b:Source>
    <b:Tag>Saf</b:Tag>
    <b:SourceType>DocumentFromInternetSite</b:SourceType>
    <b:Guid>{A5B8E264-3504-4C9A-BF6F-F2A7A9C0E1BF}</b:Guid>
    <b:Author>
      <b:Author>
        <b:Corporate>Safe Work Australia</b:Corporate>
      </b:Author>
    </b:Author>
    <b:Title>List of deemed diseases in Australia</b:Title>
    <b:InternetSiteTitle>Safe Work Australia</b:InternetSiteTitle>
    <b:URL>https://www.safeworkaustralia.gov.au/workers-compensation/list-deemed-diseases-australia</b:URL>
    <b:Year>n.d.</b:Year>
    <b:RefOrder>36</b:RefOrder>
  </b:Source>
  <b:Source>
    <b:Tag>Saf24</b:Tag>
    <b:SourceType>DocumentFromInternetSite</b:SourceType>
    <b:Guid>{970860DE-1700-40A3-8A5A-72DB29544FB0}</b:Guid>
    <b:Author>
      <b:Author>
        <b:Corporate>Safe Work Australia</b:Corporate>
      </b:Author>
    </b:Author>
    <b:Title>List of Deemed Diseases in Australia</b:Title>
    <b:InternetSiteTitle>Safe Work Australia</b:InternetSiteTitle>
    <b:Year>2024</b:Year>
    <b:Month>April</b:Month>
    <b:Day>29</b:Day>
    <b:URL>https://www.safeworkaustralia.gov.au/doc/list-deemed-diseases-australia</b:URL>
    <b:RefOrder>35</b:RefOrder>
  </b:Source>
  <b:Source>
    <b:Tag>Saf221</b:Tag>
    <b:SourceType>DocumentFromInternetSite</b:SourceType>
    <b:Guid>{75565420-D6C4-4C83-BF2F-F96B2EDEF0E7}</b:Guid>
    <b:Author>
      <b:Author>
        <b:Corporate>Safe Work Australia</b:Corporate>
      </b:Author>
    </b:Author>
    <b:Title>Model Code of Practice: Managing psychosocial hazards at work</b:Title>
    <b:InternetSiteTitle>Safe Work Australia</b:InternetSiteTitle>
    <b:Year>2022</b:Year>
    <b:Month>August</b:Month>
    <b:Day>1</b:Day>
    <b:URL>https://www.safeworkaustralia.gov.au/doc/model-code-practice-managing-psychosocial-hazards-work</b:URL>
    <b:RefOrder>38</b:RefOrder>
  </b:Source>
  <b:Source>
    <b:Tag>ElH24</b:Tag>
    <b:SourceType>InternetSite</b:SourceType>
    <b:Guid>{3C43129F-E829-48F0-88C3-C4A28D0022DC}</b:Guid>
    <b:Title>Artificial Intelligence and Occupational Health and Safety, Benefits and Drawbacks</b:Title>
    <b:InternetSiteTitle>National Libray of Medicine</b:InternetSiteTitle>
    <b:Year>2024</b:Year>
    <b:Month>April</b:Month>
    <b:Day>24</b:Day>
    <b:URL>https://pmc.ncbi.nlm.nih.gov/articles/PMC11181216/</b:URL>
    <b:Author>
      <b:Author>
        <b:NameList>
          <b:Person>
            <b:Last>El-Helaly</b:Last>
            <b:First>Mohamed</b:First>
          </b:Person>
        </b:NameList>
      </b:Author>
    </b:Author>
    <b:RefOrder>116</b:RefOrder>
  </b:Source>
  <b:Source>
    <b:Tag>Aus241</b:Tag>
    <b:SourceType>InternetSite</b:SourceType>
    <b:Guid>{3E337F07-142B-4C99-952D-A17A09A2B147}</b:Guid>
    <b:Author>
      <b:Author>
        <b:Corporate>Australian Bureau of Statistics</b:Corporate>
      </b:Author>
    </b:Author>
    <b:Title>Disability, Ageing and Carers, Australia: Summary of Findings</b:Title>
    <b:InternetSiteTitle>Australian Bureau of Statistics</b:InternetSiteTitle>
    <b:Year>2024</b:Year>
    <b:Month>July</b:Month>
    <b:Day>4</b:Day>
    <b:URL>https://www.abs.gov.au/statistics/health/disability/disability-ageing-and-carers-australia-summary-findings/2022</b:URL>
    <b:RefOrder>39</b:RefOrder>
  </b:Source>
  <b:Source>
    <b:Tag>Sav24</b:Tag>
    <b:SourceType>JournalArticle</b:SourceType>
    <b:Guid>{18DC62A4-2FE7-4E64-81E8-E1EBEDC1EB0A}</b:Guid>
    <b:Title>The impact of caring on caregivers' mental health: a review of the literature</b:Title>
    <b:Year>2004</b:Year>
    <b:Author>
      <b:Author>
        <b:NameList>
          <b:Person>
            <b:Last>Savage</b:Last>
            <b:First>Sally</b:First>
          </b:Person>
          <b:Person>
            <b:Last>Bailey</b:Last>
            <b:First>Susan</b:First>
          </b:Person>
        </b:NameList>
      </b:Author>
    </b:Author>
    <b:JournalName>Australian Health Review</b:JournalName>
    <b:Pages>103-109</b:Pages>
    <b:Volume>27</b:Volume>
    <b:Issue>1</b:Issue>
    <b:RefOrder>40</b:RefOrder>
  </b:Source>
  <b:Source>
    <b:Tag>Myl24</b:Tag>
    <b:SourceType>DocumentFromInternetSite</b:SourceType>
    <b:Guid>{CC3AC907-C5EF-4EAC-81C1-0345816D5FA5}</b:Guid>
    <b:Title>Caring for others &amp; yourself: Carer Wellbeing Survey 2024 Report</b:Title>
    <b:Year>2024</b:Year>
    <b:InternetSiteTitle>Carers Australia</b:InternetSiteTitle>
    <b:Month>October</b:Month>
    <b:URL>https://www.carersaustralia.com.au/wp-content/uploads/2024/10/Final-CWS-2024-Report-compressed.pdf</b:URL>
    <b:Author>
      <b:Author>
        <b:NameList>
          <b:Person>
            <b:Last>Mylek</b:Last>
            <b:First>Melinda</b:First>
          </b:Person>
          <b:Person>
            <b:Last>Schirmer</b:Last>
            <b:First>Jacki</b:First>
          </b:Person>
        </b:NameList>
      </b:Author>
    </b:Author>
    <b:RefOrder>41</b:RefOrder>
  </b:Source>
  <b:Source>
    <b:Tag>Saf191</b:Tag>
    <b:SourceType>DocumentFromInternetSite</b:SourceType>
    <b:Guid>{CC2F7E22-8596-40ED-91BA-FD89F6DFA448}</b:Guid>
    <b:Author>
      <b:Author>
        <b:Corporate>Safe Work Australia</b:Corporate>
      </b:Author>
    </b:Author>
    <b:Title>Evaluation Report: Benzene</b:Title>
    <b:InternetSiteTitle>Safe Work Australia Consultation Hub</b:InternetSiteTitle>
    <b:Year>2019</b:Year>
    <b:Month>August</b:Month>
    <b:Day>30</b:Day>
    <b:URL>https://storage.googleapis.com/files-au-swa/safework/p/prj28f3a307cfe6ee51abbd3/page/draft_evaluation_report_wes_benzene_pdf.pdf</b:URL>
    <b:RefOrder>3</b:RefOrder>
  </b:Source>
  <b:Source>
    <b:Tag>Hea14</b:Tag>
    <b:SourceType>DocumentFromInternetSite</b:SourceType>
    <b:Guid>{08CD7658-4691-494E-B410-4EF410BCB638}</b:Guid>
    <b:Author>
      <b:Author>
        <b:Corporate>Health Council of the Netherlands</b:Corporate>
      </b:Author>
    </b:Author>
    <b:Title>Benzene - Health-based recommended occupational exposure limit</b:Title>
    <b:InternetSiteTitle>Health Council of the Netherlands</b:InternetSiteTitle>
    <b:Year>2014</b:Year>
    <b:Month>February</b:Month>
    <b:Day>21</b:Day>
    <b:URL>https://www.healthcouncil.nl/documents/advisory-reports/2014/02/21/benzene-health-based-recommended-occupational-exposure-limit</b:URL>
    <b:RefOrder>16</b:RefOrder>
  </b:Source>
  <b:Source>
    <b:Tag>Saf181</b:Tag>
    <b:SourceType>DocumentFromInternetSite</b:SourceType>
    <b:Guid>{C69C048F-021F-4D9F-A9EE-09DC022C4F5B}</b:Guid>
    <b:Author>
      <b:Author>
        <b:Corporate>Safe Work Australia</b:Corporate>
      </b:Author>
    </b:Author>
    <b:Title>WES review - Selection of sources for exposure standards, notations and supporting data</b:Title>
    <b:InternetSiteTitle>Safe Work Australia</b:InternetSiteTitle>
    <b:Year>2018</b:Year>
    <b:Month>June</b:Month>
    <b:Day>14</b:Day>
    <b:URL>https://www.safeworkaustralia.gov.au/doc/wes-review-selection-sources-exposure-standards-notations-and-supporting-data</b:URL>
    <b:RefOrder>43</b:RefOrder>
  </b:Source>
  <b:Source>
    <b:Tag>Ins24</b:Tag>
    <b:SourceType>DocumentFromInternetSite</b:SourceType>
    <b:Guid>{41D6D1BF-FEA5-41E6-962A-F474F6B26498}</b:Guid>
    <b:Author>
      <b:Author>
        <b:Corporate>Institute For Health Metrics and Evaluation</b:Corporate>
      </b:Author>
    </b:Author>
    <b:Title>Global Burden of Disease 2021: Findings from the GBD 2021 Study</b:Title>
    <b:InternetSiteTitle>Institute For Health Metrics and Evaluation</b:InternetSiteTitle>
    <b:Year>2024</b:Year>
    <b:Month>May</b:Month>
    <b:Day>16</b:Day>
    <b:URL>https://www.healthdata.org/research-analysis/library/global-burden-disease-2021-findings-gbd-2021-study</b:URL>
    <b:RefOrder>33</b:RefOrder>
  </b:Source>
  <b:Source>
    <b:Tag>How15</b:Tag>
    <b:SourceType>DocumentFromInternetSite</b:SourceType>
    <b:Guid>{33842BE2-9210-42B2-B1B0-12B3359C37B2}</b:Guid>
    <b:Title>Minimum Latency &amp; Types or Categories of Cancer</b:Title>
    <b:InternetSiteTitle>Centers for Disease Control and Prevention</b:InternetSiteTitle>
    <b:Year>2015</b:Year>
    <b:Month>January</b:Month>
    <b:Day>6</b:Day>
    <b:URL>https://www.cdc.gov/wtc/pdfs/policies/wtchp-minimum-cancer-latency-pp-01062015-508.pdf</b:URL>
    <b:Author>
      <b:Author>
        <b:NameList>
          <b:Person>
            <b:Last>Howard</b:Last>
            <b:First>John</b:First>
          </b:Person>
        </b:NameList>
      </b:Author>
    </b:Author>
    <b:RefOrder>49</b:RefOrder>
  </b:Source>
  <b:Source>
    <b:Tag>Tri10</b:Tag>
    <b:SourceType>JournalArticle</b:SourceType>
    <b:Guid>{20462F8F-F3CD-49AE-9D4B-C0712D4D1B68}</b:Guid>
    <b:Title>Implications of latency period between benzene exposure and development of leukemia--a synopsis of literature</b:Title>
    <b:Year>2010</b:Year>
    <b:Month>March</b:Month>
    <b:Day>19</b:Day>
    <b:JournalName>Chemico-biological interactions</b:JournalName>
    <b:Pages>26-29</b:Pages>
    <b:Author>
      <b:Author>
        <b:NameList>
          <b:Person>
            <b:Last>Triebig</b:Last>
            <b:First>Gerhard</b:First>
          </b:Person>
        </b:NameList>
      </b:Author>
    </b:Author>
    <b:Volume>184</b:Volume>
    <b:Issue>1-2</b:Issue>
    <b:RefOrder>50</b:RefOrder>
  </b:Source>
  <b:Source>
    <b:Tag>Par21</b:Tag>
    <b:SourceType>JournalArticle</b:SourceType>
    <b:Guid>{E38EE3E1-A59B-4644-B583-EF902785CCB9}</b:Guid>
    <b:Title>Estimating the Productivity Impact of Acute Myeloid Leukemia in Australia Between 2020 and 2029, Using a Novel Work Utility Measure: The Productivity-Adjusted Life Year (PALY)</b:Title>
    <b:JournalName>JCO Oncology Practice</b:JournalName>
    <b:Year>2021</b:Year>
    <b:Pages>e1803-e1810</b:Pages>
    <b:Author>
      <b:Author>
        <b:NameList>
          <b:Person>
            <b:Last>Parker</b:Last>
            <b:First>Catriona</b:First>
          </b:Person>
          <b:Person>
            <b:Last>Liew</b:Last>
            <b:First>Danny</b:First>
          </b:Person>
          <b:Person>
            <b:Last>Ademi</b:Last>
            <b:First>Zanfina</b:First>
          </b:Person>
          <b:Person>
            <b:Last>Owen</b:Last>
            <b:Middle>J</b:Middle>
            <b:First>Alice</b:First>
          </b:Person>
          <b:Person>
            <b:Last>Ayton</b:Last>
            <b:First>Darshini</b:First>
          </b:Person>
          <b:Person>
            <b:Last>Wei</b:Last>
            <b:First>Andrew</b:First>
          </b:Person>
          <b:Person>
            <b:Last>Zomer</b:Last>
            <b:First>Ella</b:First>
          </b:Person>
        </b:NameList>
      </b:Author>
    </b:Author>
    <b:Volume>17</b:Volume>
    <b:Issue>11</b:Issue>
    <b:RefOrder>51</b:RefOrder>
  </b:Source>
  <b:Source>
    <b:Tag>Fal16</b:Tag>
    <b:SourceType>JournalArticle</b:SourceType>
    <b:Guid>{A8B4FD57-8DF3-4BA4-95BF-21EA91BFEE7F}</b:Guid>
    <b:Title>Occupational exposure to carcinogens: Benzene, pesticides and fibers</b:Title>
    <b:JournalName>Molecular Medicine Reports</b:JournalName>
    <b:Year>2016</b:Year>
    <b:Pages>4467-4474</b:Pages>
    <b:Author>
      <b:Author>
        <b:NameList>
          <b:Person>
            <b:Last>Falzone</b:Last>
            <b:First>Luca</b:First>
          </b:Person>
          <b:Person>
            <b:Last>Marconi</b:Last>
            <b:First>Andrea</b:First>
          </b:Person>
          <b:Person>
            <b:Last>Loreto</b:Last>
            <b:First>Carla</b:First>
          </b:Person>
          <b:Person>
            <b:Last>Franco</b:Last>
            <b:First>Sabrina</b:First>
          </b:Person>
          <b:Person>
            <b:Last>Spandidos</b:Last>
            <b:Middle>A</b:Middle>
            <b:First>Demetrios</b:First>
          </b:Person>
          <b:Person>
            <b:Last>Libra</b:Last>
            <b:First>Massimo</b:First>
          </b:Person>
        </b:NameList>
      </b:Author>
    </b:Author>
    <b:Month>October</b:Month>
    <b:Day>3</b:Day>
    <b:Volume>14</b:Volume>
    <b:Issue>5</b:Issue>
    <b:RefOrder>117</b:RefOrder>
  </b:Source>
  <b:Source>
    <b:Tag>Int18</b:Tag>
    <b:SourceType>DocumentFromInternetSite</b:SourceType>
    <b:Guid>{4EBFFF10-049D-4969-A154-AF9C8228EE3B}</b:Guid>
    <b:Author>
      <b:Author>
        <b:Corporate>International Agency for Research on Cancer</b:Corporate>
      </b:Author>
    </b:Author>
    <b:Title>Benzene - IARC Monographs on the Evaluation of Carcinogenic Risks to Humans Volume 120</b:Title>
    <b:Year>2018</b:Year>
    <b:InternetSiteTitle>Interational Agency for Research on Cancer</b:InternetSiteTitle>
    <b:URL>https://publications.iarc.fr/Book-And-Report-Series/Iarc-Monographs-On-The-Identification-Of-Carcinogenic-Hazards-To-Humans/Benzene-2018</b:URL>
    <b:RefOrder>2</b:RefOrder>
  </b:Source>
  <b:Source>
    <b:Tag>Ame24</b:Tag>
    <b:SourceType>InternetSite</b:SourceType>
    <b:Guid>{155C5F2C-7D3B-43E2-A853-C8CE422AD343}</b:Guid>
    <b:Author>
      <b:Author>
        <b:Corporate>American Conference of Governmental Industrial Hygiensts</b:Corporate>
      </b:Author>
    </b:Author>
    <b:Title>Benzene</b:Title>
    <b:InternetSiteTitle>American Conference of Governmental Industrial Hygiensts</b:InternetSiteTitle>
    <b:Year>2024</b:Year>
    <b:URL>https://www.acgih.org/benzene-2/</b:URL>
    <b:RefOrder>118</b:RefOrder>
  </b:Source>
  <b:Source>
    <b:Tag>Heand</b:Tag>
    <b:SourceType>InternetSite</b:SourceType>
    <b:Guid>{FDCBFD2C-00B1-43B9-8FE9-C7DF2D2C8691}</b:Guid>
    <b:Author>
      <b:Author>
        <b:Corporate>Health and Safety Executive</b:Corporate>
      </b:Author>
    </b:Author>
    <b:Title>Costs to Great Britain of workplace injuries and new cases of work-related Ill Health – 2022/23</b:Title>
    <b:InternetSiteTitle>Health and Safety Executive</b:InternetSiteTitle>
    <b:Year>n.d.</b:Year>
    <b:URL>https://www.hse.gov.uk/statistics/cost.htm</b:URL>
    <b:RefOrder>119</b:RefOrder>
  </b:Source>
  <b:Source>
    <b:Tag>Cha24</b:Tag>
    <b:SourceType>JournalArticle</b:SourceType>
    <b:Guid>{E0043132-2532-4480-AAEB-F4230891193D}</b:Guid>
    <b:Title>The impact of leukemia on quality of life and mental health: Insights from a case study examining physical, social, and cultural implications</b:Title>
    <b:Year>2024</b:Year>
    <b:JournalName>International Journal of Science and Research Archive</b:JournalName>
    <b:Pages>1469-1477</b:Pages>
    <b:Author>
      <b:Author>
        <b:NameList>
          <b:Person>
            <b:Last>Charalambous</b:Last>
            <b:First>Georgia</b:First>
          </b:Person>
          <b:Person>
            <b:Last>Argyriadi</b:Last>
            <b:First>Agathi</b:First>
          </b:Person>
          <b:Person>
            <b:Last>Patelarou</b:Last>
            <b:First>Athina</b:First>
          </b:Person>
          <b:Person>
            <b:Last>Paoullis</b:Last>
            <b:First>Panagiotis</b:First>
          </b:Person>
          <b:Person>
            <b:Last>Laliotis</b:Last>
            <b:First>Angelos</b:First>
          </b:Person>
          <b:Person>
            <b:Last>Patelarou</b:Last>
            <b:First>Evridiki</b:First>
          </b:Person>
          <b:Person>
            <b:Last>Katsarou</b:Last>
            <b:First>Dimitra</b:First>
          </b:Person>
          <b:Person>
            <b:Last>Kotrotsiou</b:Last>
            <b:First>Styliani</b:First>
          </b:Person>
          <b:Person>
            <b:Last>Dimitrakopoulos</b:Last>
            <b:First>Ioannis</b:First>
          </b:Person>
          <b:Person>
            <b:Last>Argyriadis</b:Last>
            <b:First>Alexandros</b:First>
          </b:Person>
        </b:NameList>
      </b:Author>
    </b:Author>
    <b:Volume>11</b:Volume>
    <b:Issue>01</b:Issue>
    <b:RefOrder>28</b:RefOrder>
  </b:Source>
  <b:Source>
    <b:Tag>Lia23</b:Tag>
    <b:SourceType>JournalArticle</b:SourceType>
    <b:Guid>{1B386429-DF20-455D-855D-3A0983F1CCEB}</b:Guid>
    <b:Title>Social determinants of an occupational lung disease: Workers’ narratives on silicosis</b:Title>
    <b:JournalName>SSM - Qualitative Research in Health</b:JournalName>
    <b:Year>2023</b:Year>
    <b:Author>
      <b:Author>
        <b:NameList>
          <b:Person>
            <b:Last>Liang</b:Last>
            <b:First>Yanni</b:First>
          </b:Person>
          <b:Person>
            <b:Last>McCoy</b:Last>
            <b:Middle>E.</b:Middle>
            <b:First>Katherine</b:First>
          </b:Person>
          <b:Person>
            <b:Last>Tomasallo</b:Last>
            <b:Middle>D.</b:Middle>
            <b:First>Carrie</b:First>
          </b:Person>
          <b:Person>
            <b:Last>Meiman</b:Last>
            <b:Middle>G.</b:Middle>
            <b:First>Jonathan</b:First>
          </b:Person>
        </b:NameList>
      </b:Author>
    </b:Author>
    <b:Volume>3</b:Volume>
    <b:RefOrder>120</b:RefOrder>
  </b:Source>
  <b:Source>
    <b:Tag>Rus17</b:Tag>
    <b:SourceType>JournalArticle</b:SourceType>
    <b:Guid>{DD2B8525-BDD7-4A64-8F02-FB57CC22A8BE}</b:Guid>
    <b:Title>The Global Burden of Occupational Disease</b:Title>
    <b:JournalName>Current Environmental Health Reports</b:JournalName>
    <b:Year>2017</b:Year>
    <b:Pages>340-348</b:Pages>
    <b:Author>
      <b:Author>
        <b:NameList>
          <b:Person>
            <b:Last>Rushton</b:Last>
            <b:First>Lesley</b:First>
          </b:Person>
        </b:NameList>
      </b:Author>
    </b:Author>
    <b:Volume>4</b:Volume>
    <b:URL>https://link.springer.com/article/10.1007/s40572-017-0151-2</b:URL>
    <b:RefOrder>121</b:RefOrder>
  </b:Source>
  <b:Source>
    <b:Tag>Saf192</b:Tag>
    <b:SourceType>DocumentFromInternetSite</b:SourceType>
    <b:Guid>{15FC8834-8BD6-45C9-802E-0A763E0CC793}</b:Guid>
    <b:Title>Evaluation report: Formaldehyde</b:Title>
    <b:Year>2019</b:Year>
    <b:Author>
      <b:Author>
        <b:Corporate>Safe Work Australia</b:Corporate>
      </b:Author>
    </b:Author>
    <b:InternetSiteTitle>Safe Work Australia's Consultation Hub</b:InternetSiteTitle>
    <b:Month>December</b:Month>
    <b:Day>6</b:Day>
    <b:URL>https://storage.googleapis.com/files-au-swa/safework/p/prj642e68d6133ea3a631d25/page/draft_evaluation_report_wes_formaldehyde_pdf.pdf</b:URL>
    <b:RefOrder>8</b:RefOrder>
  </b:Source>
  <b:Source>
    <b:Tag>Saf193</b:Tag>
    <b:SourceType>DocumentFromInternetSite</b:SourceType>
    <b:Guid>{4F51D654-1002-457C-8094-56BCAE51A962}</b:Guid>
    <b:Author>
      <b:Author>
        <b:Corporate>Safe Work Australia</b:Corporate>
      </b:Author>
    </b:Author>
    <b:Title>Safe Work Australia's Consultation Hub</b:Title>
    <b:InternetSiteTitle>Chlorine: Evaluation Report</b:InternetSiteTitle>
    <b:Year>2019</b:Year>
    <b:Month>October</b:Month>
    <b:Day>11</b:Day>
    <b:URL>https://storage.googleapis.com/files-au-swa/safework/p/prj06da3bdf2c1cf9737efab/page/draft_evaluation_report_wes_chlorine_pdf.pdf</b:URL>
    <b:RefOrder>53</b:RefOrder>
  </b:Source>
  <b:Source>
    <b:Tag>Aus16</b:Tag>
    <b:SourceType>DocumentFromInternetSite</b:SourceType>
    <b:Guid>{F2A549EE-F242-47DC-92AB-AA8D231AAACE}</b:Guid>
    <b:Author>
      <b:Author>
        <b:Corporate>Australian Industrial Chemicals Introduction Scheme</b:Corporate>
      </b:Author>
    </b:Author>
    <b:Title>Chlorine: Human health tier II assessment</b:Title>
    <b:InternetSiteTitle>Australian Industrial Chemicals Introduction Scheme</b:InternetSiteTitle>
    <b:Year>2016</b:Year>
    <b:Month>April</b:Month>
    <b:Day>21</b:Day>
    <b:URL>https://cdnservices.industrialchemicals.gov.au/statements/IMAP_1937%20-%20IMAP%20Assessment%20-%2021%20April%202016.pdf</b:URL>
    <b:RefOrder>5</b:RefOrder>
  </b:Source>
  <b:Source>
    <b:Tag>Mor23</b:Tag>
    <b:SourceType>DocumentFromInternetSite</b:SourceType>
    <b:Guid>{85EBABE2-A069-4BAC-8F0B-9EB525BF1F2B}</b:Guid>
    <b:Title>Chlorine Gas Toxicity</b:Title>
    <b:InternetSiteTitle>StatPearls</b:InternetSiteTitle>
    <b:Year>2023</b:Year>
    <b:Month>June</b:Month>
    <b:Day>26</b:Day>
    <b:URL>https://www.ncbi.nlm.nih.gov/books/NBK537213/</b:URL>
    <b:Author>
      <b:Author>
        <b:NameList>
          <b:Person>
            <b:Last>Morim</b:Last>
            <b:First>Ashkan</b:First>
          </b:Person>
          <b:Person>
            <b:Last>Guldner</b:Last>
            <b:Middle>T.</b:Middle>
            <b:First>Gregory</b:First>
          </b:Person>
        </b:NameList>
      </b:Author>
    </b:Author>
    <b:RefOrder>55</b:RefOrder>
  </b:Source>
  <b:Source>
    <b:Tag>Yam09</b:Tag>
    <b:SourceType>JournalArticle</b:SourceType>
    <b:Guid>{ED3F53E2-B09D-46E2-BB54-991B0E75560A}</b:Guid>
    <b:Title>Two cases of delayed-onset acute lung injury after chlorine gas exposure</b:Title>
    <b:Year>2009</b:Year>
    <b:URL>https://www.jstage.jst.go.jp/article/jjaam/20/7/20_7_390/_article/-char/en</b:URL>
    <b:Author>
      <b:Author>
        <b:NameList>
          <b:Person>
            <b:Last>Yamamoto</b:Last>
            <b:First>Ryo</b:First>
          </b:Person>
          <b:Person>
            <b:Last>Fuijishima</b:Last>
            <b:First>Seitaro</b:First>
          </b:Person>
          <b:Person>
            <b:Last>Ueno</b:Last>
            <b:First>Koichi</b:First>
          </b:Person>
          <b:Person>
            <b:Last>Miyaki</b:Last>
            <b:First>Masaru</b:First>
          </b:Person>
          <b:Person>
            <b:Last>Kurihara</b:Last>
            <b:First>Tomohiro</b:First>
          </b:Person>
          <b:Person>
            <b:Last>Hori</b:Last>
            <b:First>Shingo</b:First>
          </b:Person>
          <b:Person>
            <b:Last>Aikawa</b:Last>
            <b:First>Naoki</b:First>
          </b:Person>
        </b:NameList>
      </b:Author>
    </b:Author>
    <b:JournalName>Nihon Kyukyu Igakukai Zasshi</b:JournalName>
    <b:Pages>390-396</b:Pages>
    <b:Volume>20</b:Volume>
    <b:Issue>7</b:Issue>
    <b:RefOrder>56</b:RefOrder>
  </b:Source>
  <b:Source>
    <b:Tag>Can25</b:Tag>
    <b:SourceType>InternetSite</b:SourceType>
    <b:Guid>{753194BA-7BA0-4657-A612-DDAC8FE57B23}</b:Guid>
    <b:Author>
      <b:Author>
        <b:Corporate>Canadian Centre of Occupational Health and Safety</b:Corporate>
      </b:Author>
    </b:Author>
    <b:Title>Asthma, Work-related</b:Title>
    <b:Year>2025</b:Year>
    <b:InternetSiteTitle>Canadian Centre for Occupational Health and Safety</b:InternetSiteTitle>
    <b:Month>February</b:Month>
    <b:Day>27</b:Day>
    <b:URL>https://www.ccohs.ca/oshanswers/diseases/asthma.html</b:URL>
    <b:RefOrder>4</b:RefOrder>
  </b:Source>
  <b:Source>
    <b:Tag>Wyo04</b:Tag>
    <b:SourceType>JournalArticle</b:SourceType>
    <b:Guid>{9D3313E4-80E3-42D5-8BB9-008C2F89ED5F}</b:Guid>
    <b:Title>The effects of indoor air quality on performance and productivity</b:Title>
    <b:Year>2004</b:Year>
    <b:JournalName>Indoor Air</b:JournalName>
    <b:Pages>92-101</b:Pages>
    <b:Author>
      <b:Author>
        <b:NameList>
          <b:Person>
            <b:Last>Wyon</b:Last>
            <b:Middle>P.</b:Middle>
            <b:First>David</b:First>
          </b:Person>
        </b:NameList>
      </b:Author>
    </b:Author>
    <b:Volume>14</b:Volume>
    <b:RefOrder>57</b:RefOrder>
  </b:Source>
  <b:Source>
    <b:Tag>AlA19</b:Tag>
    <b:SourceType>JournalArticle</b:SourceType>
    <b:Guid>{A09491B5-DFE4-42A3-A642-7A0ACFEF23E2}</b:Guid>
    <b:Title>Chlorination disadvantages and alternative routes for biofouling control in reverse osmosis desalination</b:Title>
    <b:Year>2019</b:Year>
    <b:JournalName>npj Clean Water</b:JournalName>
    <b:Author>
      <b:Author>
        <b:NameList>
          <b:Person>
            <b:Last>Al-Abri</b:Last>
            <b:First>Mohammed</b:First>
          </b:Person>
          <b:Person>
            <b:Last>Al-Ghafri</b:Last>
            <b:First>Buthayna</b:First>
          </b:Person>
          <b:Person>
            <b:Last>Bora</b:Last>
            <b:First>Tanujjal</b:First>
          </b:Person>
          <b:Person>
            <b:Last>Dobrestov</b:Last>
            <b:First>Sergey</b:First>
          </b:Person>
          <b:Person>
            <b:Last>Dutta</b:Last>
            <b:First>Joydeep</b:First>
          </b:Person>
          <b:Person>
            <b:Last>Castelletto</b:Last>
            <b:First>Stefania</b:First>
          </b:Person>
          <b:Person>
            <b:Last>Rosa</b:Last>
            <b:First>Lorenzo</b:First>
          </b:Person>
          <b:Person>
            <b:Last>Boretti</b:Last>
            <b:First>Albert</b:First>
          </b:Person>
        </b:NameList>
      </b:Author>
    </b:Author>
    <b:Volume>2</b:Volume>
    <b:RefOrder>61</b:RefOrder>
  </b:Source>
  <b:Source>
    <b:Tag>Uni25</b:Tag>
    <b:SourceType>InternetSite</b:SourceType>
    <b:Guid>{B0BA7DD2-3DBD-4F84-A8F5-C69F2ED620E7}</b:Guid>
    <b:Title>Alternative Wastewater Disinfectant Research</b:Title>
    <b:Year>2025</b:Year>
    <b:Author>
      <b:Author>
        <b:Corporate>United States Environmental Protection Agency</b:Corporate>
      </b:Author>
    </b:Author>
    <b:InternetSiteTitle>United States Environmental Protection Agency</b:InternetSiteTitle>
    <b:Month>March</b:Month>
    <b:Day>6</b:Day>
    <b:URL>https://www.epa.gov/water-research/alternative-wastewater-disinfectant-research</b:URL>
    <b:RefOrder>62</b:RefOrder>
  </b:Source>
  <b:Source>
    <b:Tag>Pap20</b:Tag>
    <b:SourceType>JournalArticle</b:SourceType>
    <b:Guid>{1C422053-1269-44E4-8BFC-DA8F0452042A}</b:Guid>
    <b:Title>Chemical risk and safety awareness, perception, and practices among research laboratories workers in Italy</b:Title>
    <b:Year>2020</b:Year>
    <b:URL>https://occup-med.biomedcentral.com/articles/10.1186/s12995-020-00268-x</b:URL>
    <b:JournalName>Journal of Occupational Medicine and Toxicity</b:JournalName>
    <b:Author>
      <b:Author>
        <b:NameList>
          <b:Person>
            <b:Last>Papadopoli</b:Last>
            <b:First>Rosa</b:First>
          </b:Person>
          <b:Person>
            <b:Last>Nobile</b:Last>
            <b:Middle>Giuseppe Angelo</b:Middle>
            <b:First>Carmelo</b:First>
          </b:Person>
          <b:Person>
            <b:Last>Trovato</b:Last>
            <b:First>Alessandro</b:First>
          </b:Person>
          <b:Person>
            <b:Last>Pileggi</b:Last>
            <b:First>Claudia</b:First>
          </b:Person>
          <b:Person>
            <b:Last>Pavia</b:Last>
            <b:First>Maria</b:First>
          </b:Person>
        </b:NameList>
      </b:Author>
    </b:Author>
    <b:Volume>15</b:Volume>
    <b:RefOrder>122</b:RefOrder>
  </b:Source>
  <b:Source>
    <b:Tag>Bud14</b:Tag>
    <b:SourceType>JournalArticle</b:SourceType>
    <b:Guid>{F31AD857-2C1C-4E46-B173-97EB7D9A78D0}</b:Guid>
    <b:Title>Awareness of occupational hazards and use of safety measures among welders: a cross-sectional study from eastern Nepal</b:Title>
    <b:JournalName>BMJ Open</b:JournalName>
    <b:Year>2014</b:Year>
    <b:Author>
      <b:Author>
        <b:NameList>
          <b:Person>
            <b:Last>Budhathoki</b:Last>
            <b:Middle>Sundar</b:Middle>
            <b:First>Shyam</b:First>
          </b:Person>
          <b:Person>
            <b:Last>Singh</b:Last>
            <b:Middle>Bahadur</b:Middle>
            <b:First>Suman</b:First>
          </b:Person>
          <b:Person>
            <b:Last>Sagtani</b:Last>
            <b:Middle>Agrawal</b:Middle>
            <b:First>Reshu</b:First>
          </b:Person>
          <b:Person>
            <b:Last>Niraula</b:Last>
            <b:Middle>Raj</b:Middle>
            <b:First>Surya</b:First>
          </b:Person>
          <b:Person>
            <b:Last>Pokharel</b:Last>
            <b:Middle>Kumar</b:Middle>
            <b:First>Paras</b:First>
          </b:Person>
        </b:NameList>
      </b:Author>
    </b:Author>
    <b:Volume>4</b:Volume>
    <b:URL>https://bmjopen.bmj.com/content/4/6/e004646.info</b:URL>
    <b:RefOrder>123</b:RefOrder>
  </b:Source>
  <b:Source>
    <b:Tag>Int06</b:Tag>
    <b:SourceType>DocumentFromInternetSite</b:SourceType>
    <b:Guid>{78BC9B36-3503-4FEB-90C9-65A217CB5957}</b:Guid>
    <b:Author>
      <b:Author>
        <b:Corporate>International Agency for Research on Cancer</b:Corporate>
      </b:Author>
    </b:Author>
    <b:Title>Formaldehyde, 2-Butoxyethanol and 1-tert-Butoxypropan-2-ol - IARC Monographs on the Evaluation of Carcinogenic Risks to Humans Volume 88</b:Title>
    <b:InternetSiteTitle>International Agency For Research on Cancer</b:InternetSiteTitle>
    <b:Year>2006</b:Year>
    <b:URL>https://publications.iarc.fr/106</b:URL>
    <b:RefOrder>9</b:RefOrder>
  </b:Source>
  <b:Source>
    <b:Tag>Dir16</b:Tag>
    <b:SourceType>DocumentFromInternetSite</b:SourceType>
    <b:Guid>{66A89989-99A0-4FE3-91BF-05057304602D}</b:Guid>
    <b:Author>
      <b:Author>
        <b:Corporate>Directorate-General for Employment, Social Affairs and Inclusion (European Commission)</b:Corporate>
      </b:Author>
    </b:Author>
    <b:Title>SCOEL/REC/125 formaldehyde: Recommendation from the Scientific Committee on Occupational Exposure Limits</b:Title>
    <b:InternetSiteTitle>Publications Office of the European Union</b:InternetSiteTitle>
    <b:Year>2016</b:Year>
    <b:URL>https://op.europa.eu/en/publication-detail/-/publication/7a7ae0c9-c03d-11e6-a6db-01aa75ed71a1</b:URL>
    <b:RefOrder>10</b:RefOrder>
  </b:Source>
  <b:Source>
    <b:Tag>Nat191</b:Tag>
    <b:SourceType>InternetSite</b:SourceType>
    <b:Guid>{90CCF3D0-EA8C-4857-92B1-4FD6321D2050}</b:Guid>
    <b:Author>
      <b:Author>
        <b:Corporate>National Institute of Occupational Safety and Health</b:Corporate>
      </b:Author>
    </b:Author>
    <b:Title>Formalin (as formaldehyde)</b:Title>
    <b:InternetSiteTitle>NIOSH Pocket Guide to Chemical Hazards</b:InternetSiteTitle>
    <b:Year>2019</b:Year>
    <b:URL>https://www.cdc.gov/niosh/npg/npgd0294.html</b:URL>
    <b:RefOrder>124</b:RefOrder>
  </b:Source>
  <b:Source>
    <b:Tag>Mac15</b:Tag>
    <b:SourceType>JournalArticle</b:SourceType>
    <b:Guid>{454B1087-89FD-4745-A834-504F840C5445}</b:Guid>
    <b:Title>Economic, Environmental and Health Implications of Enhanced Ventilation in Office Buildings</b:Title>
    <b:Year>2015</b:Year>
    <b:JournalName>Int. J. Environ. Res. Public Health</b:JournalName>
    <b:Pages>14709-14722</b:Pages>
    <b:Author>
      <b:Author>
        <b:NameList>
          <b:Person>
            <b:Last>MacNaughton</b:Last>
            <b:First>Piers</b:First>
          </b:Person>
          <b:Person>
            <b:Last>Pegues</b:Last>
            <b:First>James</b:First>
          </b:Person>
          <b:Person>
            <b:Last>Satish</b:Last>
            <b:First>Usha</b:First>
          </b:Person>
          <b:Person>
            <b:Last>Santanam</b:Last>
            <b:First>Suresh</b:First>
          </b:Person>
          <b:Person>
            <b:Last>Spengler</b:Last>
            <b:First>John</b:First>
          </b:Person>
          <b:Person>
            <b:Last>Allen</b:Last>
            <b:First>Joseph</b:First>
          </b:Person>
        </b:NameList>
      </b:Author>
    </b:Author>
    <b:Volume>12</b:Volume>
    <b:Issue>11</b:Issue>
    <b:URL>https://www.mdpi.com/1660-4601/12/11/14709</b:URL>
    <b:RefOrder>71</b:RefOrder>
  </b:Source>
  <b:Source>
    <b:Tag>Sar20</b:Tag>
    <b:SourceType>JournalArticle</b:SourceType>
    <b:Guid>{D6423C3F-8DE1-4D7E-9A07-A780DD8FCCAF}</b:Guid>
    <b:Title>Bio-Based Alternatives to Phenol and Formaldehyde for the Production of Resins</b:Title>
    <b:JournalName>Polymers</b:JournalName>
    <b:Year>2020</b:Year>
    <b:Pages>2237</b:Pages>
    <b:Author>
      <b:Author>
        <b:NameList>
          <b:Person>
            <b:Last>Sarika</b:Last>
            <b:Middle>R</b:Middle>
            <b:First>P</b:First>
          </b:Person>
          <b:Person>
            <b:Last>Nancarrow</b:Last>
            <b:First>Paul</b:First>
          </b:Person>
          <b:Person>
            <b:Last>Khansaheb</b:Last>
            <b:First>Abdulrahman</b:First>
          </b:Person>
          <b:Person>
            <b:Last>Ibrahim</b:Last>
            <b:First>Taleb</b:First>
          </b:Person>
        </b:NameList>
      </b:Author>
    </b:Author>
    <b:Volume>12</b:Volume>
    <b:Issue>10</b:Issue>
    <b:URL>https://pmc.ncbi.nlm.nih.gov/articles/PMC7599631/</b:URL>
    <b:RefOrder>72</b:RefOrder>
  </b:Source>
  <b:Source>
    <b:Tag>Saf194</b:Tag>
    <b:SourceType>DocumentFromInternetSite</b:SourceType>
    <b:Guid>{7FF49A4F-F3CC-49A3-98C5-238692B6E38A}</b:Guid>
    <b:Author>
      <b:Author>
        <b:Corporate>Safe Work Australia</b:Corporate>
      </b:Author>
    </b:Author>
    <b:Title>Copper Fume, Dust and Mist (as Cu): Evaluation Report</b:Title>
    <b:Year>2019</b:Year>
    <b:InternetSiteTitle>Safe Work Australia's Consultation Hub</b:InternetSiteTitle>
    <b:URL>https://storage.googleapis.com/files-au-swa/safework/p/prj06da3bdf2c1cf9737efab/page/draft_evaluation_report_wes_copper_fumes_dusts_and_mists_as_Cu_pdf.pdf</b:URL>
    <b:RefOrder>6</b:RefOrder>
  </b:Source>
  <b:Source>
    <b:Tag>Deu15</b:Tag>
    <b:SourceType>Misc</b:SourceType>
    <b:Guid>{FAEDAA74-0B6C-4FD7-8CA1-9CC8C5AC727D}</b:Guid>
    <b:Author>
      <b:Author>
        <b:Corporate>Deutsche Forschungsgemeinschaft</b:Corporate>
      </b:Author>
    </b:Author>
    <b:Title>Copper and its inorganic compounds – MAK value</b:Title>
    <b:Year>2015</b:Year>
    <b:RefOrder>125</b:RefOrder>
  </b:Source>
  <b:Source>
    <b:Tag>Dir14</b:Tag>
    <b:SourceType>DocumentFromInternetSite</b:SourceType>
    <b:Guid>{D66F6A17-AF07-4535-9683-BEAB1899B7E2}</b:Guid>
    <b:Author>
      <b:Author>
        <b:Corporate>Directorate-General for Employment, Social Affairs &amp; Inclusion</b:Corporate>
      </b:Author>
    </b:Author>
    <b:Title>Recommendation from the Scientific Committee on Occupational Exposure Limits for Copper and its inorganic compounds (SCOEL/SUM/171)</b:Title>
    <b:Year>2014</b:Year>
    <b:InternetSiteTitle>European Chemicals Agency (ECHA)</b:InternetSiteTitle>
    <b:URL>https://echa.europa.eu/documents/10162/35144386/174_copper_compounds_oel_en.pdf/e10fab3f-7618-eaeb-ab44-b05503acf07e?t=1691407205856</b:URL>
    <b:RefOrder>7</b:RefOrder>
  </b:Source>
  <b:Source>
    <b:Tag>Saf20</b:Tag>
    <b:SourceType>DocumentFromInternetSite</b:SourceType>
    <b:Guid>{77D62B44-1824-47E1-BB8F-87E8A18F29F0}</b:Guid>
    <b:Author>
      <b:Author>
        <b:Corporate>Safe Work Australia</b:Corporate>
      </b:Author>
    </b:Author>
    <b:Title>Hydrogen cyanide: Evaluation report</b:Title>
    <b:InternetSiteTitle>Safe Work Australia's Consultation Hub</b:InternetSiteTitle>
    <b:Year>2020</b:Year>
    <b:URL>https://storage.googleapis.com/files-au-swa/safework/p/prj0ae13e590bf0d888ca147/page/draft_evaluation_report_wes_hydrogen_cyanide_pdf.pdf</b:URL>
    <b:RefOrder>11</b:RefOrder>
  </b:Source>
  <b:Source>
    <b:Tag>Fornd</b:Tag>
    <b:SourceType>InternetSite</b:SourceType>
    <b:Guid>{E245B9ED-819A-4360-AB03-614B07EFF7BF}</b:Guid>
    <b:Title>GESTIS - International limit values</b:Title>
    <b:Year>n.d.</b:Year>
    <b:URL>https://ilv.ifa.dguv.de/substances</b:URL>
    <b:Author>
      <b:Author>
        <b:Corporate>Institute for Occupational Safety and Health of the German Social Accident Insurance</b:Corporate>
      </b:Author>
    </b:Author>
    <b:InternetSiteTitle>Institut für Arbeitsschutz der Deutschen Gesetzlichen Unfallversicherung</b:InternetSiteTitle>
    <b:RefOrder>63</b:RefOrder>
  </b:Source>
  <b:Source>
    <b:Tag>Hug12</b:Tag>
    <b:SourceType>JournalArticle</b:SourceType>
    <b:Guid>{C839D075-314B-432F-8C23-B288CF64F960}</b:Guid>
    <b:Title>Goitre Causes, investigation and management</b:Title>
    <b:InternetSiteTitle>Royal Australian College of General Practitioners - Australian Family Physican</b:InternetSiteTitle>
    <b:Year>2012</b:Year>
    <b:URL>https://www.racgp.org.au/afp/2012/august/goitre</b:URL>
    <b:Author>
      <b:Author>
        <b:NameList>
          <b:Person>
            <b:Last>Hughes</b:Last>
            <b:First>Kieran</b:First>
          </b:Person>
          <b:Person>
            <b:Last>Eastman</b:Last>
            <b:First>Creswell</b:First>
          </b:Person>
        </b:NameList>
      </b:Author>
    </b:Author>
    <b:Pages>572-576</b:Pages>
    <b:Volume>41</b:Volume>
    <b:Issue>8</b:Issue>
    <b:RefOrder>73</b:RefOrder>
  </b:Source>
  <b:Source>
    <b:Tag>The191</b:Tag>
    <b:SourceType>InternetSite</b:SourceType>
    <b:Guid>{73FCEB13-3F25-4A4C-916C-DCCD5713E17E}</b:Guid>
    <b:Title>Hydrogen Cyanide</b:Title>
    <b:InternetSiteTitle>NIOSH Pocket Guide to Chemcial Hazards</b:InternetSiteTitle>
    <b:Year>2019</b:Year>
    <b:URL>https://www.cdc.gov/niosh/npg/npgd0333.html</b:URL>
    <b:Author>
      <b:Author>
        <b:Corporate>The National Institute for Occupational Safety and Health (NIOSH)</b:Corporate>
      </b:Author>
    </b:Author>
    <b:RefOrder>74</b:RefOrder>
  </b:Source>
  <b:Source>
    <b:Tag>Saf201</b:Tag>
    <b:SourceType>DocumentFromInternetSite</b:SourceType>
    <b:Guid>{00250283-2218-4E9A-B3B1-76C9A9B5FFAC}</b:Guid>
    <b:Author>
      <b:Author>
        <b:Corporate>Safe Work Australia</b:Corporate>
      </b:Author>
    </b:Author>
    <b:Title>Hydrogen sulfide: Evaluation report</b:Title>
    <b:InternetSiteTitle>Safe Work Australia's Consultation Hub</b:InternetSiteTitle>
    <b:Year>2020</b:Year>
    <b:URL>https://storage.googleapis.com/files-au-swa/safework/p/prj0ae13e590bf0d888ca147/page/draft_evaluation_report_wes_hydrogen_sulfide_pdf.pdf</b:URL>
    <b:RefOrder>14</b:RefOrder>
  </b:Source>
  <b:Source>
    <b:Tag>Amend</b:Tag>
    <b:SourceType>InternetSite</b:SourceType>
    <b:Guid>{B41EB5B0-2281-42DA-BC49-A2EA5EA9E877}</b:Guid>
    <b:Author>
      <b:Author>
        <b:Corporate>American Conference of Government Industrial Hygiensts</b:Corporate>
      </b:Author>
    </b:Author>
    <b:Title>Hydrogen sulfide</b:Title>
    <b:InternetSiteTitle>American Conference of Government Industrial Hygiensts</b:InternetSiteTitle>
    <b:Year>n.d.</b:Year>
    <b:URL>https://www.acgih.org/hydrogen-sulfide/</b:URL>
    <b:RefOrder>75</b:RefOrder>
  </b:Source>
  <b:Source>
    <b:Tag>Dir07</b:Tag>
    <b:SourceType>InternetSite</b:SourceType>
    <b:Guid>{49C31454-0251-486E-84F8-B29CD6F5EFAC}</b:Guid>
    <b:Author>
      <b:Author>
        <b:Corporate>Directorate-General for Employment, Social Affairs and Inclusion</b:Corporate>
      </b:Author>
    </b:Author>
    <b:Title>Recommendation from the Scientific Committee on Occupational Exposure Limits for Hydrogen Sulfide</b:Title>
    <b:InternetSiteTitle>European Chemical Agency</b:InternetSiteTitle>
    <b:Year>2007</b:Year>
    <b:URL>https://echa.europa.eu/documents/10162/35144386/094_hydrogen_sulphide_oel_en.pdf/e80bba7d-1c50-9d24-4d3d-1bd791f8e7a4?t=1691407245769</b:URL>
    <b:RefOrder>15</b:RefOrder>
  </b:Source>
  <b:Source>
    <b:Tag>Hea06</b:Tag>
    <b:SourceType>InternetSite</b:SourceType>
    <b:Guid>{32A10181-B1BC-4DB5-82C7-8D3CE645DE7B}</b:Guid>
    <b:Author>
      <b:Author>
        <b:Corporate>Health Council of The Netherlands</b:Corporate>
      </b:Author>
    </b:Author>
    <b:Title>Hydrogen sulphide; Health-based recommended occupatioanl exposure limit</b:Title>
    <b:InternetSiteTitle>Health Council of The Netherlands</b:InternetSiteTitle>
    <b:Year>2006</b:Year>
    <b:URL>https://www.healthcouncil.nl/documents/advisory-reports/2006/07/13/hydrogen-sulphide</b:URL>
    <b:RefOrder>76</b:RefOrder>
  </b:Source>
  <b:Source>
    <b:Tag>Saf202</b:Tag>
    <b:SourceType>DocumentFromInternetSite</b:SourceType>
    <b:Guid>{1501A3E0-51A2-4B31-92CC-AB3E65D6F308}</b:Guid>
    <b:Author>
      <b:Author>
        <b:Corporate>Safe Work Australia</b:Corporate>
      </b:Author>
    </b:Author>
    <b:Title>Nitrogen dioxide: Evaluation report</b:Title>
    <b:InternetSiteTitle>Safe Work Australia's Consultation Hub</b:InternetSiteTitle>
    <b:Year>2020</b:Year>
    <b:URL>https://storage.googleapis.com/files-au-swa/safework/p/prj345078c28dff3c94a3e5a/page/draft_evaluation_report_wes_nitrogen_dioxide_pdf.pdf</b:URL>
    <b:RefOrder>17</b:RefOrder>
  </b:Source>
  <b:Source>
    <b:Tag>Hea04</b:Tag>
    <b:SourceType>DocumentFromInternetSite</b:SourceType>
    <b:Guid>{13AFBBFC-6E18-4FE8-811B-864328232B76}</b:Guid>
    <b:Author>
      <b:Author>
        <b:Corporate>Health Council of The Netherlands</b:Corporate>
      </b:Author>
    </b:Author>
    <b:Title>Nitrogen dioxide; health-based recommended occupational exposure limit</b:Title>
    <b:InternetSiteTitle>Health Council of the Netherlands</b:InternetSiteTitle>
    <b:Year>2004</b:Year>
    <b:URL>https://www.healthcouncil.nl/documents/advisory-reports/2004/02/05/nitrogen-dioxide</b:URL>
    <b:RefOrder>18</b:RefOrder>
  </b:Source>
  <b:Source>
    <b:Tag>Sel25</b:Tag>
    <b:SourceType>JournalArticle</b:SourceType>
    <b:Guid>{D9C02C8B-1EB2-4E68-A2E3-E7B1E29B1A0C}</b:Guid>
    <b:Title>Environmental burden of disease resulting from long-term nitrogen dioxide exposure in Germany</b:Title>
    <b:JournalName>BMC Public Health</b:JournalName>
    <b:Year>2025</b:Year>
    <b:Pages>79</b:Pages>
    <b:Author>
      <b:Author>
        <b:NameList>
          <b:Person>
            <b:Last>Sell</b:Last>
            <b:First>Paulina</b:First>
          </b:Person>
          <b:Person>
            <b:Last>Plass</b:Last>
            <b:First>Dietrich</b:First>
          </b:Person>
          <b:Person>
            <b:Last>Kienzler</b:Last>
            <b:First>Sarah</b:First>
          </b:Person>
          <b:Person>
            <b:Last>Zeeb</b:Last>
            <b:First>Hajo</b:First>
          </b:Person>
        </b:NameList>
      </b:Author>
    </b:Author>
    <b:RefOrder>19</b:RefOrder>
  </b:Source>
  <b:Source>
    <b:Tag>Ker15</b:Tag>
    <b:SourceType>JournalArticle</b:SourceType>
    <b:Guid>{B99F7E3C-540E-45D1-8FDD-DD76F55FEDD7}</b:Guid>
    <b:Title>Pathology, toxicology, and latency of irritant gases known to cause bronchiolitis obliterans disease: Does diacetyl fit the pattern?</b:Title>
    <b:JournalName>Toxicology Reports</b:JournalName>
    <b:Year>2015</b:Year>
    <b:Pages>1463-1472</b:Pages>
    <b:Author>
      <b:Author>
        <b:NameList>
          <b:Person>
            <b:Last>Kerger</b:Last>
            <b:First>Brent D.</b:First>
          </b:Person>
          <b:Person>
            <b:Last>Fedoruk</b:Last>
            <b:First>M Joseph</b:First>
          </b:Person>
        </b:NameList>
      </b:Author>
    </b:Author>
    <b:RefOrder>79</b:RefOrder>
  </b:Source>
  <b:Source>
    <b:Tag>Int12</b:Tag>
    <b:SourceType>InternetSite</b:SourceType>
    <b:Guid>{6BE05F40-A800-4A0F-8FB2-DE01C0BB5B59}</b:Guid>
    <b:Title>IARC: Diesel engines exhaust carcinogenic</b:Title>
    <b:Year>2012</b:Year>
    <b:Author>
      <b:Author>
        <b:Corporate>International Agency for Research on Cancer</b:Corporate>
      </b:Author>
    </b:Author>
    <b:InternetSiteTitle>International Agency for Research on Canceer</b:InternetSiteTitle>
    <b:URL>https://www.iarc.who.int/wp-content/uploads/2018/07/pr213_E.pdf</b:URL>
    <b:RefOrder>81</b:RefOrder>
  </b:Source>
  <b:Source>
    <b:Tag>Lou15</b:Tag>
    <b:SourceType>JournalArticle</b:SourceType>
    <b:Guid>{2A9E225C-C467-4CC9-8A0C-780DF335F4D8}</b:Guid>
    <b:Title>Analysis of alternative pathways for reducing nitrogen oxide emissions</b:Title>
    <b:Year>2015</b:Year>
    <b:URL>https://www.tandfonline.com/doi/10.1080/10962247.2015.1062440?url_ver=Z39.88-2003&amp;rfr_id=ori:rid:crossref.org&amp;rfr_dat=cr_pub%20%200pubmed#d1e206</b:URL>
    <b:JournalName>Journal of the Air &amp; Waste Management Association</b:JournalName>
    <b:Pages>1083-1093</b:Pages>
    <b:Author>
      <b:Author>
        <b:NameList>
          <b:Person>
            <b:Last>Loughlin</b:Last>
            <b:Middle>H</b:Middle>
            <b:First>Daniel</b:First>
          </b:Person>
          <b:Person>
            <b:Last>Kaufman</b:Last>
            <b:Middle>R</b:Middle>
            <b:First>Katherine</b:First>
          </b:Person>
          <b:Person>
            <b:Last>Lenox</b:Last>
            <b:Middle>S</b:Middle>
            <b:First>Carol</b:First>
          </b:Person>
          <b:Person>
            <b:Last>Hubbell</b:Last>
            <b:Middle>J</b:Middle>
            <b:First>Byran</b:First>
          </b:Person>
        </b:NameList>
      </b:Author>
    </b:Author>
    <b:Volume>65</b:Volume>
    <b:Issue>9</b:Issue>
    <b:RefOrder>80</b:RefOrder>
  </b:Source>
  <b:Source>
    <b:Tag>Amend1</b:Tag>
    <b:SourceType>InternetSite</b:SourceType>
    <b:Guid>{6B62CFEC-1744-44C5-A1F8-54C558C21F5D}</b:Guid>
    <b:Title>SILICA, CRYSTALLINE — α-QUARTZ AND CRISTOBALITE</b:Title>
    <b:Year>n.d.</b:Year>
    <b:Author>
      <b:Author>
        <b:Corporate>American Conference of Governmental Industrial Hygiensts</b:Corporate>
      </b:Author>
    </b:Author>
    <b:InternetSiteTitle>American Conference of Governmental Industrial Hygiensts</b:InternetSiteTitle>
    <b:URL>https://www.acgih.org/silica-crystalline-a-quartz-and-cristobalite/</b:URL>
    <b:RefOrder>84</b:RefOrder>
  </b:Source>
  <b:Source>
    <b:Tag>Occnd</b:Tag>
    <b:SourceType>InternetSite</b:SourceType>
    <b:Guid>{01D98EEE-6F31-4328-8C5B-981639C43EDC}</b:Guid>
    <b:Author>
      <b:Author>
        <b:Corporate>Occupational Safety and Health Adminstration</b:Corporate>
      </b:Author>
    </b:Author>
    <b:Title>Silica, Crystalline - Health effects</b:Title>
    <b:InternetSiteTitle>Occupational Safety and Health Adminstration</b:InternetSiteTitle>
    <b:Year>n.d.</b:Year>
    <b:URL>https://www.osha.gov/silica-crystalline/health-effects#healthinfo</b:URL>
    <b:RefOrder>23</b:RefOrder>
  </b:Source>
  <b:Source>
    <b:Tag>Lunnd</b:Tag>
    <b:SourceType>InternetSite</b:SourceType>
    <b:Guid>{E1AF2DD0-3732-4E09-B5F9-68D360F60E7C}</b:Guid>
    <b:Author>
      <b:Author>
        <b:Corporate>Lung Foundation Australia</b:Corporate>
      </b:Author>
    </b:Author>
    <b:Title>Overview - Chronic Obstructive Pulmonary Disease</b:Title>
    <b:InternetSiteTitle>Lung Foundation Australia</b:InternetSiteTitle>
    <b:Year>n.d.</b:Year>
    <b:URL>https://lungfoundation.com.au/patients-carers/living-with-a-lung-disease/copd/overview/</b:URL>
    <b:RefOrder>22</b:RefOrder>
  </b:Source>
  <b:Source>
    <b:Tag>Saf241</b:Tag>
    <b:SourceType>InternetSite</b:SourceType>
    <b:Guid>{14A8ABF6-4DD2-405B-9F56-D428951876BE}</b:Guid>
    <b:Author>
      <b:Author>
        <b:Corporate>Safe Work Australia</b:Corporate>
      </b:Author>
    </b:Author>
    <b:Title>Working with crystalline silica substances: Guidance for PCBUs</b:Title>
    <b:InternetSiteTitle>Safe Work Australia</b:InternetSiteTitle>
    <b:Year>2024</b:Year>
    <b:URL>https://www.safeworkaustralia.gov.au/doc/working-crystalline-silica-substances-guidance-pcbus</b:URL>
    <b:RefOrder>21</b:RefOrder>
  </b:Source>
  <b:Source>
    <b:Tag>Saf232</b:Tag>
    <b:SourceType>DocumentFromInternetSite</b:SourceType>
    <b:Guid>{05D992D9-BB4F-4967-A3EA-57A4047D451B}</b:Guid>
    <b:Author>
      <b:Author>
        <b:Corporate>Safe Work Australia</b:Corporate>
      </b:Author>
    </b:Author>
    <b:Title>Model Code of Practice: Managing risks of hazardous chemicals in the workplace</b:Title>
    <b:InternetSiteTitle>Safe Work Australia</b:InternetSiteTitle>
    <b:Year>2023</b:Year>
    <b:URL>https://www.safeworkaustralia.gov.au/doc/model-code-practice-managing-risks-hazardous-chemicals-workplace</b:URL>
    <b:RefOrder>126</b:RefOrder>
  </b:Source>
  <b:Source>
    <b:Tag>Saf242</b:Tag>
    <b:SourceType>DocumentFromInternetSite</b:SourceType>
    <b:Guid>{4EE4A1E7-388F-4BAA-86B2-A4A89361C7FB}</b:Guid>
    <b:Author>
      <b:Author>
        <b:Corporate>Safe Work Australia</b:Corporate>
      </b:Author>
    </b:Author>
    <b:Title>Working with crystalline silica substances: Guidance for PCBUs</b:Title>
    <b:InternetSiteTitle>Safe Work Australia</b:InternetSiteTitle>
    <b:Year>2024</b:Year>
    <b:URL>https://www.safeworkaustralia.gov.au/doc/working-crystalline-silica-substances-guidance-pcbus</b:URL>
    <b:RefOrder>89</b:RefOrder>
  </b:Source>
  <b:Source>
    <b:Tag>Saf195</b:Tag>
    <b:SourceType>DocumentFromInternetSite</b:SourceType>
    <b:Guid>{2A524962-F3B7-480B-9FB5-FA8727CC5CCA}</b:Guid>
    <b:Author>
      <b:Author>
        <b:Corporate>Safe Work Australia</b:Corporate>
      </b:Author>
    </b:Author>
    <b:Title>Silica; Crystalline (Respirable Dust): Evaluation report</b:Title>
    <b:InternetSiteTitle>Safe Work Australia</b:InternetSiteTitle>
    <b:Year>2019</b:Year>
    <b:RefOrder>20</b:RefOrder>
  </b:Source>
  <b:Source>
    <b:Tag>Nat11</b:Tag>
    <b:SourceType>DocumentFromInternetSite</b:SourceType>
    <b:Guid>{14AFBF71-D9CB-42A9-9311-A39CD8CE69D6}</b:Guid>
    <b:Author>
      <b:Author>
        <b:Corporate>National Insitute of Occupational Safety and Health</b:Corporate>
      </b:Author>
    </b:Author>
    <b:Title>Current Intelligence Bulletin 63: Occupational Exposure to Titanium Dioxide</b:Title>
    <b:InternetSiteTitle>National Insitute of Occupational Safety and Health</b:InternetSiteTitle>
    <b:Year>2011</b:Year>
    <b:URL>https://www.cdc.gov/niosh/docs/2011-160/default.html</b:URL>
    <b:RefOrder>25</b:RefOrder>
  </b:Source>
  <b:Source>
    <b:Tag>Nat20</b:Tag>
    <b:SourceType>DocumentFromInternetSite</b:SourceType>
    <b:Guid>{584DA57C-C2D3-4F35-A355-8B69E259F111}</b:Guid>
    <b:Author>
      <b:Author>
        <b:Corporate>National Industrial Chemicals Notification and Assessment Scheme</b:Corporate>
      </b:Author>
    </b:Author>
    <b:Title>Titanium dioxide: Human health tier II assessment</b:Title>
    <b:InternetSiteTitle>Australian Industrial Chemicals Introduction Scheme</b:InternetSiteTitle>
    <b:Year>2020</b:Year>
    <b:URL>https://www.industrialchemicals.gov.au/sites/default/files/Titanium%20dioxide_Human%20health%20tier%20II%20assessment.pdf</b:URL>
    <b:RefOrder>90</b:RefOrder>
  </b:Source>
  <b:Source>
    <b:Tag>Saf21</b:Tag>
    <b:SourceType>DocumentFromInternetSite</b:SourceType>
    <b:Guid>{2A7A4B45-C341-448F-8F01-8CA96429CEF2}</b:Guid>
    <b:Author>
      <b:Author>
        <b:Corporate>Safe Work Australia</b:Corporate>
      </b:Author>
    </b:Author>
    <b:Title>Titanium dioxide: Evaluation report</b:Title>
    <b:InternetSiteTitle>Safe Work Australia</b:InternetSiteTitle>
    <b:Year>2021</b:Year>
    <b:URL>https://storage.googleapis.com/files-au-swa/safework/p/prjea9c46238e814e3fac152/page/draft_evaluation_report_wes_titanium_dioxide_pdf.pdf</b:URL>
    <b:RefOrder>24</b:RefOrder>
  </b:Source>
  <b:Source>
    <b:Tag>Bat18</b:Tag>
    <b:SourceType>JournalArticle</b:SourceType>
    <b:Guid>{63F69850-D815-4A9D-BA06-677093953F87}</b:Guid>
    <b:Title>Labour force participation and the cost of lost productivity due to cancer in Australia</b:Title>
    <b:Year>2018</b:Year>
    <b:Author>
      <b:Author>
        <b:NameList>
          <b:Person>
            <b:Last>Bates</b:Last>
            <b:First>Nicole</b:First>
          </b:Person>
          <b:Person>
            <b:Last>Callandar</b:Last>
            <b:First>Emily</b:First>
          </b:Person>
          <b:Person>
            <b:Last>Lindsay</b:Last>
            <b:First>Daniel</b:First>
          </b:Person>
          <b:Person>
            <b:Last>Watt</b:Last>
            <b:First>Kerrianne</b:First>
          </b:Person>
        </b:NameList>
      </b:Author>
    </b:Author>
    <b:JournalName>BMC Public Health</b:JournalName>
    <b:Pages>375</b:Pages>
    <b:RefOrder>127</b:RefOrder>
  </b:Source>
  <b:Source>
    <b:Tag>Saf233</b:Tag>
    <b:SourceType>ElectronicSource</b:SourceType>
    <b:Guid>{5F94CA65-5DD4-4EE7-A38C-04DEF343E8C4}</b:Guid>
    <b:Author>
      <b:Author>
        <b:Corporate>Safe Work Australia</b:Corporate>
      </b:Author>
    </b:Author>
    <b:Title>National Dataset for Compensation-based Statistics</b:Title>
    <b:Year>2023</b:Year>
    <b:RefOrder>30</b:RefOrder>
  </b:Source>
  <b:Source>
    <b:Tag>Dir18</b:Tag>
    <b:SourceType>DocumentFromInternetSite</b:SourceType>
    <b:Guid>{8D31D4D6-DFD4-4487-ACD2-81BA75D7223D}</b:Guid>
    <b:Author>
      <b:Author>
        <b:Corporate>Directorate-General for Employment, Social Affairs and Inclusion (European Commission)</b:Corporate>
      </b:Author>
    </b:Author>
    <b:Title>Methodology for derivation of occupational exposure limits of chemical agents</b:Title>
    <b:InternetSiteTitle>Publications Office of the European Union</b:InternetSiteTitle>
    <b:Year>2018</b:Year>
    <b:URL>https://op.europa.eu/en/publication-detail/-/publication/3c8ef3e0-48fc-11e8-be1d-01aa75ed71a1</b:URL>
    <b:RefOrder>83</b:RefOrder>
  </b:Source>
  <b:Source>
    <b:Tag>Alg19</b:Tag>
    <b:SourceType>JournalArticle</b:SourceType>
    <b:Guid>{F8D1375C-0DDE-4C47-8C2A-A64D3748B8E0}</b:Guid>
    <b:Title>Costs of Workplace Productivity Loss in Patients With Fibrotic Interstitial Lung Disease</b:Title>
    <b:Year>2019</b:Year>
    <b:URL>https://www.sciencedirect.com/science/article/pii/S0012369219308852</b:URL>
    <b:Author>
      <b:Author>
        <b:NameList>
          <b:Person>
            <b:Last>Algamdi</b:Last>
            <b:First>Mohmmed</b:First>
          </b:Person>
          <b:Person>
            <b:Last>Sadatsafavi</b:Last>
            <b:First>Mohsen</b:First>
          </b:Person>
          <b:Person>
            <b:Last>Fisher</b:Last>
            <b:Middle>H</b:Middle>
            <b:First>Jolene</b:First>
          </b:Person>
          <b:Person>
            <b:Last>Morisset</b:Last>
            <b:First>Julie</b:First>
          </b:Person>
          <b:Person>
            <b:Last>Johannson</b:Last>
            <b:Middle>A.</b:Middle>
            <b:First>Kerri</b:First>
          </b:Person>
          <b:Person>
            <b:Last>Fell</b:Last>
            <b:Middle>D.</b:Middle>
            <b:First>Charlene</b:First>
          </b:Person>
          <b:Person>
            <b:Last>Kolb</b:Last>
            <b:First>Martin</b:First>
          </b:Person>
          <b:Person>
            <b:Last>Manganas</b:Last>
            <b:First>Hélène</b:First>
          </b:Person>
          <b:Person>
            <b:Last>Cox</b:Last>
            <b:First>Gerard</b:First>
          </b:Person>
          <b:Person>
            <b:Last>Gershon</b:Last>
            <b:Middle>S.</b:Middle>
            <b:First>Andrea</b:First>
          </b:Person>
          <b:Person>
            <b:Last>Halayko</b:Last>
            <b:Middle>J</b:Middle>
            <b:First>Andrew</b:First>
          </b:Person>
          <b:Person>
            <b:Last>Hambly</b:Last>
            <b:First>Nathan</b:First>
          </b:Person>
          <b:Person>
            <b:Last>Khalil</b:Last>
            <b:First>Nasreen</b:First>
          </b:Person>
          <b:Person>
            <b:Last>Shapera</b:Last>
            <b:First>Shane</b:First>
          </b:Person>
          <b:Person>
            <b:Last>To</b:Last>
            <b:First>Theresa</b:First>
          </b:Person>
          <b:Person>
            <b:Last>Wilcox</b:Last>
            <b:Middle>G.</b:Middle>
            <b:First>Pearce</b:First>
          </b:Person>
          <b:Person>
            <b:Last>Guler</b:Last>
            <b:First>Sabina</b:First>
          </b:Person>
          <b:Person>
            <b:Last>Ryerson</b:Last>
            <b:Middle>J</b:Middle>
            <b:First>Christopher</b:First>
          </b:Person>
        </b:NameList>
      </b:Author>
    </b:Author>
    <b:JournalName>Chest</b:JournalName>
    <b:Pages>887-895</b:Pages>
    <b:Volume>156</b:Volume>
    <b:Issue>5</b:Issue>
    <b:RefOrder>87</b:RefOrder>
  </b:Source>
  <b:Source>
    <b:Tag>Fai24</b:Tag>
    <b:SourceType>InternetSite</b:SourceType>
    <b:Guid>{F54A7EF6-BCC2-4A8E-A9F1-7E4EA3B10BD1}</b:Guid>
    <b:Title>Workers compensation</b:Title>
    <b:Year>2024</b:Year>
    <b:Author>
      <b:Author>
        <b:Corporate>Fair Work Ombudsman</b:Corporate>
      </b:Author>
    </b:Author>
    <b:InternetSiteTitle>Fair Work Ombudsman</b:InternetSiteTitle>
    <b:URL>https://www.fairwork.gov.au/employment-conditions/workers-compensation</b:URL>
    <b:RefOrder>29</b:RefOrder>
  </b:Source>
  <b:Source>
    <b:Tag>Aus23</b:Tag>
    <b:SourceType>InternetSite</b:SourceType>
    <b:Guid>{40987185-7C4B-40A7-AD5C-4B3D7F5143E2}</b:Guid>
    <b:Author>
      <b:Author>
        <b:Corporate>Australian Bureau of Statistics</b:Corporate>
      </b:Author>
    </b:Author>
    <b:Title>Work-related injuries, 2021-22</b:Title>
    <b:InternetSiteTitle>Australian Bureau of Statistics</b:InternetSiteTitle>
    <b:Year>2023</b:Year>
    <b:URL>https://www.abs.gov.au/statistics/labour/earnings-and-working-conditions/work-related-injuries/latest-release</b:URL>
    <b:RefOrder>31</b:RefOrder>
  </b:Source>
  <b:Source>
    <b:Tag>Aus18</b:Tag>
    <b:SourceType>InternetSite</b:SourceType>
    <b:Guid>{264A84F6-BBED-435A-B17A-42884E1AA9C9}</b:Guid>
    <b:Author>
      <b:Author>
        <b:Corporate>Australian Bureau of Statistics</b:Corporate>
      </b:Author>
    </b:Author>
    <b:Title>8155.0 - Australian Industry, 2016-17</b:Title>
    <b:InternetSiteTitle>Australian Bureau of Statistics</b:InternetSiteTitle>
    <b:Year>2018</b:Year>
    <b:URL>https://www.abs.gov.au/ausstats/abs@.nsf/Previousproducts/8155.0Main%20Features42016-17?opendocument&amp;tabname=Summary&amp;prodno=8155.0&amp;issue=2016-17&amp;num=&amp;view=</b:URL>
    <b:RefOrder>42</b:RefOrder>
  </b:Source>
  <b:Source>
    <b:Tag>Saf16</b:Tag>
    <b:SourceType>InternetSite</b:SourceType>
    <b:Guid>{6CD65C8E-A351-4C0C-BA6D-5384661D0EAF}</b:Guid>
    <b:Author>
      <b:Author>
        <b:Corporate>Safe Work Australia</b:Corporate>
      </b:Author>
    </b:Author>
    <b:Title>Benzene</b:Title>
    <b:InternetSiteTitle>Hazadous Chemial Information System (HCIS)</b:InternetSiteTitle>
    <b:Year>2016</b:Year>
    <b:URL>https://hcis.safeworkaustralia.gov.au/HazardousChemical/Details?chemicalID=359</b:URL>
    <b:RefOrder>47</b:RefOrder>
  </b:Source>
  <b:Source>
    <b:Tag>Hea</b:Tag>
    <b:SourceType>DocumentFromInternetSite</b:SourceType>
    <b:Guid>{2B187569-B55C-42DE-87A8-938D84464763}</b:Guid>
    <b:Author>
      <b:Author>
        <b:Corporate>Health Council of the Netherlands</b:Corporate>
      </b:Author>
    </b:Author>
    <b:Title>Hydrogencyanide, sodiumcyanate, and potassiumcyanate - Health-based recommended occupational exposure limits</b:Title>
    <b:InternetSiteTitle>Health Council of the Netherlands</b:InternetSiteTitle>
    <b:Year>2002</b:Year>
    <b:URL>https://www.healthcouncil.nl/documents/advisory-reports/2002/10/29/hydrogencyanide-sodiumcyanate-and-potassiumcyanate</b:URL>
    <b:RefOrder>13</b:RefOrder>
  </b:Source>
  <b:Source>
    <b:Tag>Eur191</b:Tag>
    <b:SourceType>DocumentFromInternetSite</b:SourceType>
    <b:Guid>{506443BA-6618-4769-BEFE-1C1BE14BA1D1}</b:Guid>
    <b:Author>
      <b:Author>
        <b:Corporate>European Union</b:Corporate>
      </b:Author>
    </b:Author>
    <b:Title>Directive (EU) 2019/983 of the European Parliament and of the Council of 5 June 2019 amending Directive 2004/37/EC on the protection of workers from the risks related to exposure to carcinogens or mutagens at work </b:Title>
    <b:InternetSiteTitle>EUR-Lex</b:InternetSiteTitle>
    <b:Year>2019</b:Year>
    <b:Month>June</b:Month>
    <b:Day>05</b:Day>
    <b:URL>https://eur-lex.europa.eu/legal-content/EN/TXT/?qid=1562069170036&amp;uri=CELEX:32019L0983</b:URL>
    <b:RefOrder>69</b:RefOrder>
  </b:Source>
  <b:Source>
    <b:Tag>Eur18</b:Tag>
    <b:SourceType>DocumentFromInternetSite</b:SourceType>
    <b:Guid>{1550F366-1F0B-463C-9279-FB08D4A48FC7}</b:Guid>
    <b:Author>
      <b:Author>
        <b:Corporate>European Commission</b:Corporate>
      </b:Author>
    </b:Author>
    <b:Title>Commission Staff Working Document Impact Assessment - Proposal for a Directive of the European Parliament and of the Council amending Directive 2004/37 on the protection of workers from the risk related to exposure to carcinogens or mutagens at work</b:Title>
    <b:InternetSiteTitle>EUR-Lex</b:InternetSiteTitle>
    <b:Year>2018</b:Year>
    <b:Month>April</b:Month>
    <b:Day>05</b:Day>
    <b:URL>https://eur-lex.europa.eu/legal-content/EN/TXT/?uri=CELEX%3A52018SC0088&amp;qid=1751324419539</b:URL>
    <b:RefOrder>70</b:RefOrder>
  </b:Source>
  <b:Source>
    <b:Tag>Saf203</b:Tag>
    <b:SourceType>DocumentFromInternetSite</b:SourceType>
    <b:Guid>{F9D141FD-582B-4B92-9293-72CBEE6409B2}</b:Guid>
    <b:Author>
      <b:Author>
        <b:Corporate>Safe Work Australia</b:Corporate>
      </b:Author>
    </b:Author>
    <b:Title>Benzene - Exposure standard documentation</b:Title>
    <b:InternetSiteTitle>Hazardous Chemical Information System</b:InternetSiteTitle>
    <b:Year>2020</b:Year>
    <b:URL>https://hcis.safeworkaustralia.gov.au/ExposureStandards/Document?exposureStandardID=1065</b:URL>
    <b:RefOrder>128</b:RefOrder>
  </b:Source>
  <b:Source>
    <b:Tag>Dep08</b:Tag>
    <b:SourceType>DocumentFromInternetSite</b:SourceType>
    <b:Guid>{FBD4FF16-04C2-4976-B652-D7ADACEBDE4E}</b:Guid>
    <b:Author>
      <b:Author>
        <b:Corporate>Department of the Prime Minister and Cabinet</b:Corporate>
      </b:Author>
    </b:Author>
    <b:Title>Intergovernmental Agreement for Regulatory and Operational Reform in Occupational Health and Safety</b:Title>
    <b:InternetSiteTitle>federation.gov.au</b:InternetSiteTitle>
    <b:Year>2008</b:Year>
    <b:Month>July</b:Month>
    <b:Day>03</b:Day>
    <b:URL>https://federation.gov.au/about/agreements/intergovernmental-agreement-regulatory-and-operational-reform-occupational-health</b:URL>
    <b:RefOrder>32</b:RefOrder>
  </b:Source>
  <b:Source>
    <b:Tag>Eur20</b:Tag>
    <b:SourceType>DocumentFromInternetSite</b:SourceType>
    <b:Guid>{F189695E-973F-401E-BB14-63D428118A71}</b:Guid>
    <b:Author>
      <b:Author>
        <b:Corporate>European Commission</b:Corporate>
      </b:Author>
    </b:Author>
    <b:Title>Proposal for a DIRECTIVE OF THE EUROPEAN PARLIAMENT AND OF THE COUNCIL amending Directive 2004/37/EC on the protection of workers from the risks related to exposure to carcinogens or mutagens at work.</b:Title>
    <b:InternetSiteTitle>EUR-Lex</b:InternetSiteTitle>
    <b:Year>2020</b:Year>
    <b:Month>09</b:Month>
    <b:Day>22</b:Day>
    <b:URL>https://eur-lex.europa.eu/legal-content/EN/TXT/HTML/?uri=CELEX:52020PC0571</b:URL>
    <b:RefOrder>46</b:RefOrder>
  </b:Source>
  <b:Source>
    <b:Tag>Eur22</b:Tag>
    <b:SourceType>InternetSite</b:SourceType>
    <b:Guid>{D4258FC4-B097-4117-BAB5-B419CF6F9691}</b:Guid>
    <b:Author>
      <b:Author>
        <b:Corporate>European Commission</b:Corporate>
      </b:Author>
    </b:Author>
    <b:InternetSiteTitle>EUR-Lex</b:InternetSiteTitle>
    <b:Year>2022</b:Year>
    <b:Month>April</b:Month>
    <b:Day>05</b:Day>
    <b:URL>https://eur-lex.europa.eu/legal-content/EN/TXT/?uri=CELEX%3A02004L0037-20240408&amp;qid=1751348880752</b:URL>
    <b:RefOrder>45</b:RefOrder>
  </b:Source>
  <b:Source>
    <b:Tag>Off23</b:Tag>
    <b:SourceType>InternetSite</b:SourceType>
    <b:Guid>{52ECAAD6-B6FB-4344-88E3-4C5E30EE1FF8}</b:Guid>
    <b:Author>
      <b:Author>
        <b:Corporate>Office of Impact Analysis</b:Corporate>
      </b:Author>
    </b:Author>
    <b:Title>Cost Benefit Analysis</b:Title>
    <b:InternetSiteTitle>Australian Government Department of Prime Minister and Cabinet</b:InternetSiteTitle>
    <b:Year>2023</b:Year>
    <b:URL>https://oia.pmc.gov.au/resources/guidance-assessing-impacts/cost-benefit-analysis</b:URL>
    <b:RefOrder>93</b:RefOrder>
  </b:Source>
  <b:Source>
    <b:Tag>The24</b:Tag>
    <b:SourceType>InternetSite</b:SourceType>
    <b:Guid>{1D53C398-9E05-4D10-886F-0EE8D7C95DA7}</b:Guid>
    <b:Author>
      <b:Author>
        <b:Corporate>Office of Impact Analysis</b:Corporate>
      </b:Author>
    </b:Author>
    <b:Title>Regulatory Burden Measurement Framework</b:Title>
    <b:InternetSiteTitle>Australian Government Department of the Prime Minister and Cabinet</b:InternetSiteTitle>
    <b:Year>2024</b:Year>
    <b:URL>https://oia.pmc.gov.au/resources/guidance-assessing-impacts/regulatory-burden-measurement-framework</b:URL>
    <b:RefOrder>92</b:RefOrder>
  </b:Source>
  <b:Source>
    <b:Tag>Abe07</b:Tag>
    <b:SourceType>InternetSite</b:SourceType>
    <b:Guid>{CC4B8585-4903-49FE-8A76-17AD96E83E8C}</b:Guid>
    <b:Title>Working Paper - Establishing a monetary value for lives saved</b:Title>
    <b:InternetSiteTitle>Office of Impact Analysis</b:InternetSiteTitle>
    <b:Year>2007</b:Year>
    <b:URL>https://oia.pmc.gov.au/resources/research-and-other-resources/working-paper-establishing-monetary-value-lives-saved</b:URL>
    <b:Author>
      <b:Author>
        <b:NameList>
          <b:Person>
            <b:Last>Abelson</b:Last>
            <b:First>Peter</b:First>
          </b:Person>
        </b:NameList>
      </b:Author>
    </b:Author>
    <b:RefOrder>129</b:RefOrder>
  </b:Source>
  <b:Source>
    <b:Tag>Aus243</b:Tag>
    <b:SourceType>InternetSite</b:SourceType>
    <b:Guid>{F203485A-4BAC-44D7-9D89-609D57A8BB8F}</b:Guid>
    <b:Author>
      <b:Author>
        <b:Corporate>Australian Bureau of Statistics</b:Corporate>
      </b:Author>
    </b:Author>
    <b:Title>Wage Price Index, Australia</b:Title>
    <b:InternetSiteTitle>Australian Bureau of Statistics</b:InternetSiteTitle>
    <b:Year>2024</b:Year>
    <b:URL>https://www.abs.gov.au/statistics/economy/price-indexes-and-inflation/wage-price-index-australia/jun-2024/634505a.xlsx</b:URL>
    <b:RefOrder>95</b:RefOrder>
  </b:Source>
  <b:Source>
    <b:Tag>Aus181</b:Tag>
    <b:SourceType>InternetSite</b:SourceType>
    <b:Guid>{F4A1CA1C-4C0E-4B09-A059-D9905C79AFF2}</b:Guid>
    <b:Author>
      <b:Author>
        <b:Corporate>Australian Bureau of Statistics</b:Corporate>
      </b:Author>
    </b:Author>
    <b:Title>8155.0 - Australian Industry, 2016-17</b:Title>
    <b:InternetSiteTitle>Australian Bureau of Statistics</b:InternetSiteTitle>
    <b:Year>2018</b:Year>
    <b:URL>https://www.abs.gov.au/ausstats/abs@.nsf/Previousproducts/8155.0Main%20Features42016-17?opendocument&amp;tabname=Summary&amp;prodno=8155.0&amp;issue=2016-17&amp;num=&amp;view=</b:URL>
    <b:RefOrder>96</b:RefOrder>
  </b:Source>
  <b:Source>
    <b:Tag>Aus06</b:Tag>
    <b:SourceType>InternetSite</b:SourceType>
    <b:Guid>{A56D7AE7-F147-4C18-9254-C32C96FA0070}</b:Guid>
    <b:Author>
      <b:Author>
        <b:Corporate>Australian Bureau of Statistics</b:Corporate>
      </b:Author>
    </b:Author>
    <b:Title>Numbering system and titles - Australian and New Zealand Standard Industrial Classification (ANZSIC)</b:Title>
    <b:InternetSiteTitle>Australian Bureau of Statistics</b:InternetSiteTitle>
    <b:Year>2006</b:Year>
    <b:URL>https://www.abs.gov.au/statistics/classifications/australian-and-new-zealand-standard-industrial-classification-anzsic/2006-revision-2-0/numbering-system-and-titles</b:URL>
    <b:RefOrder>97</b:RefOrder>
  </b:Source>
  <b:Source>
    <b:Tag>Aus</b:Tag>
    <b:SourceType>InternetSite</b:SourceType>
    <b:Guid>{991F0AA0-2E15-46B2-A639-27F8EBAE0C1E}</b:Guid>
    <b:Author>
      <b:Author>
        <b:Corporate>Australian Govenrment Department of Climate Change, Energy, the Environment and Water</b:Corporate>
      </b:Author>
    </b:Author>
    <b:Title>National Pollutant Inventory</b:Title>
    <b:InternetSiteTitle>Australian Governmet | data.gov.au</b:InternetSiteTitle>
    <b:URL>https://data.gov.au/data/dataset/npi</b:URL>
    <b:Year>2024</b:Year>
    <b:RefOrder>99</b:RefOrder>
  </b:Source>
  <b:Source>
    <b:Tag>Aus244</b:Tag>
    <b:SourceType>InternetSite</b:SourceType>
    <b:Guid>{69120153-A5B6-4A43-849E-9F739A23D2C4}</b:Guid>
    <b:Author>
      <b:Author>
        <b:Corporate>Australian Bureau of Statistics</b:Corporate>
      </b:Author>
    </b:Author>
    <b:Title>Counts of Australian Businesses, including Entries and Exits</b:Title>
    <b:InternetSiteTitle>Australian Bureau of Statistics</b:InternetSiteTitle>
    <b:Year>2023</b:Year>
    <b:URL>https://www.abs.gov.au/statistics/economy/business-indicators/counts-australian-businesses-including-entries-and-exits/jul2019-jun2023</b:URL>
    <b:RefOrder>98</b:RefOrder>
  </b:Source>
  <b:Source>
    <b:Tag>Saf234</b:Tag>
    <b:SourceType>InternetSite</b:SourceType>
    <b:Guid>{E116BD3B-4F62-417B-8DBD-96C4F5C48E1D}</b:Guid>
    <b:Author>
      <b:Author>
        <b:Corporate>Safe Work Australia</b:Corporate>
      </b:Author>
    </b:Author>
    <b:Title>Decision Regulation Impact Statement: Managing the risks of respirable crystalline silica at work</b:Title>
    <b:InternetSiteTitle>Safe Work Australia</b:InternetSiteTitle>
    <b:Year>2023</b:Year>
    <b:URL>https://www.safeworkaustralia.gov.au/doc/decision-regulation-impact-statement-managing-risks-respirable-crystalline-silica-work</b:URL>
    <b:RefOrder>100</b:RefOrder>
  </b:Source>
  <b:Source>
    <b:Tag>Aus245</b:Tag>
    <b:SourceType>InternetSite</b:SourceType>
    <b:Guid>{F711CEAC-6CEF-4A02-896F-1C51A4D3B0F8}</b:Guid>
    <b:Author>
      <b:Author>
        <b:Corporate>Australian Bureau of Statistics</b:Corporate>
      </b:Author>
    </b:Author>
    <b:Title>Labour Force, Australia, Detailed</b:Title>
    <b:InternetSiteTitle>Australian Bureau of Statistics</b:InternetSiteTitle>
    <b:Year>2024</b:Year>
    <b:URL>https://www.abs.gov.au/statistics/labour/employment-and-unemployment/labour-force-australia-detailed/jun-2024</b:URL>
    <b:RefOrder>130</b:RefOrder>
  </b:Source>
  <b:Source>
    <b:Tag>Aus246</b:Tag>
    <b:SourceType>InternetSite</b:SourceType>
    <b:Guid>{4DB9231D-7007-48F0-9649-43E25B3AA69F}</b:Guid>
    <b:Author>
      <b:Author>
        <b:Corporate>Australian Bureau of Statistics</b:Corporate>
      </b:Author>
    </b:Author>
    <b:Title>Labour Force, Australia, Detailed</b:Title>
    <b:InternetSiteTitle>Australian Bureau of Statistics</b:InternetSiteTitle>
    <b:Year>2024</b:Year>
    <b:URL>https://www.abs.gov.au/statistics/labour/employment-and-unemployment/labour-force-australia-detailed/may-2024</b:URL>
    <b:RefOrder>102</b:RefOrder>
  </b:Source>
  <b:Source>
    <b:Tag>Aus21</b:Tag>
    <b:SourceType>InternetSite</b:SourceType>
    <b:Guid>{0389F703-E083-4636-9A4E-34C41496413B}</b:Guid>
    <b:Author>
      <b:Author>
        <b:Corporate>Australian Bureau of Statistics</b:Corporate>
      </b:Author>
    </b:Author>
    <b:Title>TableBuilder</b:Title>
    <b:InternetSiteTitle>Australian Bureau of Statistics</b:InternetSiteTitle>
    <b:Year>2021</b:Year>
    <b:URL>https://www.abs.gov.au/statistics/microdata-tablebuilder/tablebuilder</b:URL>
    <b:RefOrder>103</b:RefOrder>
  </b:Source>
  <b:Source>
    <b:Tag>Saf243</b:Tag>
    <b:SourceType>InternetSite</b:SourceType>
    <b:Guid>{4944AE1E-62C9-4478-8FF9-651D955A899B}</b:Guid>
    <b:Author>
      <b:Author>
        <b:Corporate>Safe Work Australia</b:Corporate>
      </b:Author>
    </b:Author>
    <b:Title>Exposure standards - airborne contaminants</b:Title>
    <b:InternetSiteTitle>Safe Work Australia</b:InternetSiteTitle>
    <b:Year>2024</b:Year>
    <b:URL>https://www.safeworkaustralia.gov.au/safety-topic/managing-health-and-safety/exposure-standards-airborne-contaminants</b:URL>
    <b:RefOrder>105</b:RefOrder>
  </b:Source>
  <b:Source>
    <b:Tag>Saf204</b:Tag>
    <b:SourceType>InternetSite</b:SourceType>
    <b:Guid>{85FEC08E-EE36-492A-A950-13BDDDC3CAB6}</b:Guid>
    <b:Author>
      <b:Author>
        <b:Corporate>Safe Work Australia</b:Corporate>
      </b:Author>
    </b:Author>
    <b:Title>National dataset for compensation-based statistics 3rd edition (Revision 1)</b:Title>
    <b:InternetSiteTitle>Safe Work Australia</b:InternetSiteTitle>
    <b:Year>2020</b:Year>
    <b:URL>https://www.safeworkaustralia.gov.au/doc/national-dataset-compensation-based-statistics-3rd-edition-revision-1</b:URL>
    <b:RefOrder>106</b:RefOrder>
  </b:Source>
  <b:Source>
    <b:Tag>Aus231</b:Tag>
    <b:SourceType>InternetSite</b:SourceType>
    <b:Guid>{059D9E5F-57F3-40CD-A755-1B957CF1180A}</b:Guid>
    <b:Author>
      <b:Author>
        <b:Corporate>Australian Bureau of Statistics</b:Corporate>
      </b:Author>
    </b:Author>
    <b:Title>Table 9. Workers' compensation by characteristics of injury, 2021-22</b:Title>
    <b:InternetSiteTitle>Work-related injuries</b:InternetSiteTitle>
    <b:Year>2023</b:Year>
    <b:URL>https://www.abs.gov.au/statistics/labour/earnings-and-working-conditions/work-related-injuries/2021-22/63240_Table_09.xlsx</b:URL>
    <b:RefOrder>107</b:RefOrder>
  </b:Source>
  <b:Source>
    <b:Tag>Aus1</b:Tag>
    <b:SourceType>InternetSite</b:SourceType>
    <b:Guid>{DD2BE2B9-41F4-48BD-81B9-F8AE987FCB78}</b:Guid>
    <b:Author>
      <b:Author>
        <b:Corporate>Australian Bureau of Statistics</b:Corporate>
      </b:Author>
    </b:Author>
    <b:Title>Table 11. Main reason did not apply for workers' compensation, 2021-22</b:Title>
    <b:InternetSiteTitle>Work-related injuries</b:InternetSiteTitle>
    <b:URL>https://www.abs.gov.au/statistics/labour/earnings-and-working-conditions/work-related-injuries/2021-22/63240_Table_11.xlsx</b:URL>
    <b:Year>2023</b:Year>
    <b:RefOrder>108</b:RefOrder>
  </b:Source>
  <b:Source>
    <b:Tag>Aus232</b:Tag>
    <b:SourceType>InternetSite</b:SourceType>
    <b:Guid>{9AEA9B3E-4AA0-489A-A328-D991C5984519}</b:Guid>
    <b:Author>
      <b:Author>
        <b:Corporate>Australian Institute of Health and Welfare</b:Corporate>
      </b:Author>
    </b:Author>
    <b:Title>Australian Burden of Disease Study 2023</b:Title>
    <b:InternetSiteTitle>Australian Institute of Health and Welfare</b:InternetSiteTitle>
    <b:Year>2023</b:Year>
    <b:URL>https://www.aihw.gov.au/reports/burden-of-disease/australian-burden-of-disease-study-2023/contents/technical-notes</b:URL>
    <b:RefOrder>66</b:RefOrder>
  </b:Source>
  <b:Source>
    <b:Tag>San13</b:Tag>
    <b:SourceType>InternetSite</b:SourceType>
    <b:Guid>{6DEE4C3C-FE76-4595-9851-0D67ABFE2923}</b:Guid>
    <b:Title>Presenteeism - Implications and health risks</b:Title>
    <b:InternetSiteTitle>Australian Family Physician</b:InternetSiteTitle>
    <b:Year>2013</b:Year>
    <b:URL>https://www.racgp.org.au/getattachment/90c82662-8859-45cc-9ff2-1fb46ac1110d/Presenteeism.aspx</b:URL>
    <b:Author>
      <b:Author>
        <b:NameList>
          <b:Person>
            <b:Last>Sanderson</b:Last>
            <b:First>Kristy</b:First>
          </b:Person>
          <b:Person>
            <b:Last>Cocker</b:Last>
            <b:First>Fiona</b:First>
          </b:Person>
        </b:NameList>
      </b:Author>
    </b:Author>
    <b:RefOrder>27</b:RefOrder>
  </b:Source>
  <b:Source>
    <b:Tag>Saf205</b:Tag>
    <b:SourceType>InternetSite</b:SourceType>
    <b:Guid>{2FAE3639-A1FA-4413-9C82-5718AD0CDF16}</b:Guid>
    <b:Author>
      <b:Author>
        <b:Corporate>Safe Work Australia</b:Corporate>
      </b:Author>
    </b:Author>
    <b:Title>Hazardous chemcials requiring health monitoring</b:Title>
    <b:InternetSiteTitle>Safe Work Australia</b:InternetSiteTitle>
    <b:Year>2020</b:Year>
    <b:URL>https://www.safeworkaustralia.gov.au/doc/hazardous-chemicals-requiring-health-monitoring</b:URL>
    <b:RefOrder>109</b:RefOrder>
  </b:Source>
  <b:Source>
    <b:Tag>Aus25</b:Tag>
    <b:SourceType>InternetSite</b:SourceType>
    <b:Guid>{743627F9-CF0D-4D26-8010-15BC7FC95223}</b:Guid>
    <b:Author>
      <b:Author>
        <b:Corporate>Australian Bureau of Statistics</b:Corporate>
      </b:Author>
    </b:Author>
    <b:Title>Price indexes and inflation</b:Title>
    <b:InternetSiteTitle>Australian Bureau of Statistics</b:InternetSiteTitle>
    <b:Year>2024</b:Year>
    <b:URL>https://www.abs.gov.au/statistics/economy/price-indexes-and-inflation</b:URL>
    <b:RefOrder>91</b:RefOrder>
  </b:Source>
  <b:Source>
    <b:Tag>ABS246</b:Tag>
    <b:SourceType>InternetSite</b:SourceType>
    <b:Guid>{78F21CD6-F63E-4AE8-A012-0805D7FEBBE7}</b:Guid>
    <b:Author>
      <b:Author>
        <b:Corporate>Australian Bureau of Statistics</b:Corporate>
      </b:Author>
    </b:Author>
    <b:Title>Consumer Price Index, Australia</b:Title>
    <b:InternetSiteTitle>Australian Bureau of Statistics</b:InternetSiteTitle>
    <b:Year>2024</b:Year>
    <b:URL>https://www.abs.gov.au/statistics/economy/price-indexes-and-inflation/consumer-price-index-australia/jun-quarter-2024</b:URL>
    <b:RefOrder>110</b:RefOrder>
  </b:Source>
  <b:Source>
    <b:Tag>ABSPPI246</b:Tag>
    <b:SourceType>InternetSite</b:SourceType>
    <b:Guid>{12A519AA-21A7-4EAC-8262-B0C5150FC48F}</b:Guid>
    <b:Author>
      <b:Author>
        <b:Corporate>Australian Bureau of Statistics</b:Corporate>
      </b:Author>
    </b:Author>
    <b:Title>Producer Price Index</b:Title>
    <b:InternetSiteTitle>Australian Bureau of Statistics</b:InternetSiteTitle>
    <b:Year>2024</b:Year>
    <b:URL>https://www.abs.gov.au/statistics/economy/price-indexes-and-inflation/producer-price-indexes-australia/jun-quarter-2024</b:URL>
    <b:RefOrder>111</b:RefOrder>
  </b:Source>
  <b:Source>
    <b:Tag>ABSAWE246</b:Tag>
    <b:SourceType>InternetSite</b:SourceType>
    <b:Guid>{CD6E57DD-C8E1-4B69-A3A0-F69B3CB53008}</b:Guid>
    <b:Author>
      <b:Author>
        <b:Corporate>Australian Bureau of Statistics</b:Corporate>
      </b:Author>
    </b:Author>
    <b:Title>Average Weekly Earnings, Australia, May 2024</b:Title>
    <b:InternetSiteTitle>Australian Bureau of Statistics</b:InternetSiteTitle>
    <b:Year>2024</b:Year>
    <b:URL>https://www.abs.gov.au/statistics/labour/earnings-and-working-conditions/average-weekly-earnings-australia/may-2024</b:URL>
    <b:RefOrder>112</b:RefOrder>
  </b:Source>
  <b:Source>
    <b:Tag>Off24</b:Tag>
    <b:SourceType>InternetSite</b:SourceType>
    <b:Guid>{5D1D225E-3457-417D-BDD7-2CA27F061310}</b:Guid>
    <b:Author>
      <b:Author>
        <b:Corporate>Office of Impact Analysis</b:Corporate>
      </b:Author>
    </b:Author>
    <b:Title>Value of a statistical life</b:Title>
    <b:InternetSiteTitle>Australian Government Department of the Prime Ministers and Cabinet</b:InternetSiteTitle>
    <b:Year>2023</b:Year>
    <b:URL>https://oia.pmc.gov.au/resources/guidance-assessing-impacts/value-statistical-life</b:URL>
    <b:RefOrder>94</b:RefOrder>
  </b:Source>
  <b:Source>
    <b:Tag>Wor06</b:Tag>
    <b:SourceType>InternetSite</b:SourceType>
    <b:Guid>{B933AD24-67EC-4499-B44B-2C8AAE1535D0}</b:Guid>
    <b:Author>
      <b:Author>
        <b:Corporate>WorkSafe BC</b:Corporate>
      </b:Author>
    </b:Author>
    <b:Title>Silica, Crystalline - alpha-quartz and Cristobalite, Respirable</b:Title>
    <b:InternetSiteTitle>E-Limit</b:InternetSiteTitle>
    <b:Year>2006</b:Year>
    <b:URL>https://elimit.online.worksafebc.com/substance/silica-crystalline-alpha-quartz-and-cristobalite-respirable/</b:URL>
    <b:RefOrder>85</b:RefOrder>
  </b:Source>
  <b:Source>
    <b:Tag>Gov25</b:Tag>
    <b:SourceType>InternetSite</b:SourceType>
    <b:Guid>{E0EBF944-A307-4F45-8664-90338390E814}</b:Guid>
    <b:Author>
      <b:Author>
        <b:Corporate>Government of Alberta</b:Corporate>
      </b:Author>
    </b:Author>
    <b:Title>Occupational Health and Safety Code, Alta Reg 191/2021</b:Title>
    <b:InternetSiteTitle>Canadian Legal Information Institute (CanLII) </b:InternetSiteTitle>
    <b:Year>2025</b:Year>
    <b:URL>https://www.canlii.org/en/ab/laws/regu/alta-reg-191-2021/latest/alta-reg-191-2021.html</b:URL>
    <b:RefOrder>86</b:RefOrder>
  </b:Source>
  <b:Source>
    <b:Tag>Saf222</b:Tag>
    <b:SourceType>InternetSite</b:SourceType>
    <b:Guid>{50BBD539-A181-4202-AEF6-C9CB639F7E82}</b:Guid>
    <b:Author>
      <b:Author>
        <b:Corporate>Safe Work Australia</b:Corporate>
      </b:Author>
    </b:Author>
    <b:Title>Report: Short Term Exposure Limit for Respirable Crystalline Silica</b:Title>
    <b:InternetSiteTitle>Safe Work Australia</b:InternetSiteTitle>
    <b:Year>2022</b:Year>
    <b:URL>https://www.safeworkaustralia.gov.au/doc/report-short-term-exposure-limit-respirable-crystalline-silica</b:URL>
    <b:RefOrder>88</b:RefOrder>
  </b:Source>
  <b:Source>
    <b:Tag>Ame88</b:Tag>
    <b:SourceType>InternetSite</b:SourceType>
    <b:Guid>{6A906635-A122-4303-86D6-A9ADC0DB4F62}</b:Guid>
    <b:Author>
      <b:Author>
        <b:Corporate>ACGIH</b:Corporate>
      </b:Author>
    </b:Author>
    <b:Title>TLV/BEI Policy Statement</b:Title>
    <b:InternetSiteTitle>ACGIH</b:InternetSiteTitle>
    <b:Year>1988</b:Year>
    <b:URL>https://www.acgih.org/science/tlv-bei-guidelines/policies-procedures-presentations/tlv-bei-policy-statement/</b:URL>
    <b:RefOrder>54</b:RefOrder>
  </b:Source>
  <b:Source>
    <b:Tag>Ger25</b:Tag>
    <b:SourceType>InternetSite</b:SourceType>
    <b:Guid>{60A7BC3A-C867-42F5-B838-9058C3096BBE}</b:Guid>
    <b:Author>
      <b:Author>
        <b:Corporate>German Research Foundation</b:Corporate>
      </b:Author>
    </b:Author>
    <b:Title>List of MAK and BAT Values</b:Title>
    <b:InternetSiteTitle>PUBLISSO</b:InternetSiteTitle>
    <b:Year>2025</b:Year>
    <b:URL>https://series.publisso.de/en/pgseries/overview/mak/lmbv/curIssue</b:URL>
    <b:RefOrder>64</b:RefOrder>
  </b:Source>
  <b:Source>
    <b:Tag>Eur</b:Tag>
    <b:SourceType>InternetSite</b:SourceType>
    <b:Guid>{E8628266-2798-467D-846C-AD420ABF002E}</b:Guid>
    <b:Author>
      <b:Author>
        <b:Corporate>European Chemical Agency (ECHA)</b:Corporate>
      </b:Author>
    </b:Author>
    <b:Title>OEL process</b:Title>
    <b:InternetSiteTitle>ECHA</b:InternetSiteTitle>
    <b:URL>https://echa.europa.eu/oel-process</b:URL>
    <b:RefOrder>65</b:RefOrder>
  </b:Source>
  <b:Source>
    <b:Tag>Hea21</b:Tag>
    <b:SourceType>InternetSite</b:SourceType>
    <b:Guid>{BE247A0D-0B01-486D-839C-688425F0FB07}</b:Guid>
    <b:Author>
      <b:Author>
        <b:Corporate>Health Council of the Netherlands</b:Corporate>
      </b:Author>
    </b:Author>
    <b:Title>Guidance for recommending classifications and health based occupational exposure limits</b:Title>
    <b:InternetSiteTitle>Health Council of the Netherlands</b:InternetSiteTitle>
    <b:Year>2021</b:Year>
    <b:URL>https://www.healthcouncil.nl/documents/2021/12/21/guidance-for-recommending-classifications-and-health-based-occupational-exposure-limits</b:URL>
    <b:RefOrder>44</b:RefOrder>
  </b:Source>
  <b:Source xmlns:b="http://schemas.openxmlformats.org/officeDocument/2006/bibliography">
    <b:Tag>Dir141</b:Tag>
    <b:SourceType>DocumentFromInternetSite</b:SourceType>
    <b:Guid>{704F19B8-8F43-4374-9E00-F51F6BDC5C38}</b:Guid>
    <b:Title>Recommendation from the Scientific Commitee on Occupational Exposure Limits for Nitrogen Dioxide (SCOEL/SUM/53)</b:Title>
    <b:Year>2014</b:Year>
    <b:Author>
      <b:Author>
        <b:Corporate>Directorate-General for Employment, Social Affairs and Inclusion (Euorpean Commission)</b:Corporate>
      </b:Author>
    </b:Author>
    <b:InternetSiteTitle>European Chemical Agency</b:InternetSiteTitle>
    <b:URL>https://echa.europa.eu/documents/10162/35144386/046_nitrogen_dioxide_oel_en.pdf/cc6a3a75-49ae-0749-c08e-90d513ad8e90?t=1691407227472</b:URL>
    <b:RefOrder>82</b:RefOrder>
  </b:Source>
  <b:Source>
    <b:Tag>Nat25</b:Tag>
    <b:SourceType>InternetSite</b:SourceType>
    <b:Guid>{97733F12-EC83-49BC-B51E-A84976DAEF9C}</b:Guid>
    <b:Author>
      <b:Author>
        <b:Corporate>National Health and Medical Research Council</b:Corporate>
      </b:Author>
    </b:Author>
    <b:Title>Australian Drinking Water Guidelines</b:Title>
    <b:InternetSiteTitle>National Health and Medical Research Council</b:InternetSiteTitle>
    <b:Year>2025</b:Year>
    <b:URL>https://www.nhmrc.gov.au/about-us/publications/australian-drinking-water-guidelines#block-views-block-file-attachments-content-block-1</b:URL>
    <b:RefOrder>60</b:RefOrder>
  </b:Source>
  <b:Source>
    <b:Tag>Dir09</b:Tag>
    <b:SourceType>DocumentFromInternetSite</b:SourceType>
    <b:Guid>{9D2DAE48-56FC-48BD-A2A0-86A22CF986F2}</b:Guid>
    <b:Title>Recommendation from the Scientific Committee on Occupational Exposure Limits for Cyanide (HCN, KCN, NaCN)</b:Title>
    <b:InternetSiteTitle>European Chemicals Agency</b:InternetSiteTitle>
    <b:Year>2009</b:Year>
    <b:URL>https://echa.europa.eu/documents/10162/35144386/166_cyanides_oel_en.pdf/12ee1c63-b624-dc3d-21d7-e90b9b9d65fd?t=1691407201873</b:URL>
    <b:Author>
      <b:Author>
        <b:Corporate>European Commission Directorate-General of Department of Employment, Social Affairs and Inclusion</b:Corporate>
      </b:Author>
    </b:Author>
    <b:RefOrder>12</b:RefOrder>
  </b:Source>
  <b:Source>
    <b:Tag>Nat06</b:Tag>
    <b:SourceType>InternetSite</b:SourceType>
    <b:Guid>{B31E3216-804C-4262-881F-1A0E1374FC4F}</b:Guid>
    <b:Author>
      <b:Author>
        <b:Corporate>National Industrial Chemicals Notification and Assessment Scheme</b:Corporate>
      </b:Author>
    </b:Author>
    <b:Title>Formaldehyde</b:Title>
    <b:InternetSiteTitle>Australian Industrial Chemicals Introduction Scheme</b:InternetSiteTitle>
    <b:Year>2006</b:Year>
    <b:URL>https://cdnservices.industrialchemicals.gov.au/statements/PEC_28%20-%20PEC_SN_Other%20Assessment%20-%2001%20November%202006.pdf</b:URL>
    <b:RefOrder>68</b:RefOrder>
  </b:Source>
  <b:Source>
    <b:Tag>Dir161</b:Tag>
    <b:SourceType>InternetSite</b:SourceType>
    <b:Guid>{949879BF-C41E-452A-B3FD-C01AED034E80}</b:Guid>
    <b:Author>
      <b:Author>
        <b:Corporate>Directorate-General for Employment, Social Affairs and Inclusion (European Commission)</b:Corporate>
      </b:Author>
    </b:Author>
    <b:Title>SCOEL/REC/125 Formaldehyde - Recommendation from the Scientific Committee on Occupational Exposure Limits</b:Title>
    <b:InternetSiteTitle>ECHA</b:InternetSiteTitle>
    <b:Year>2016</b:Year>
    <b:URL>https://echa.europa.eu/documents/10162/35144386/095_formaldehyde_oel_en.pdf/4d8862d5-1092-1e49-90fd-8fb8fdba8f17?t=1691407246311</b:URL>
    <b:RefOrder>131</b:RefOrder>
  </b:Source>
  <b:Source>
    <b:Tag>Amend2</b:Tag>
    <b:SourceType>InternetSite</b:SourceType>
    <b:Guid>{36520C11-11AC-4CBF-9D93-DD9BCBFEB5F3}</b:Guid>
    <b:Author>
      <b:Author>
        <b:Corporate>American Conference of Govermental Industrial Hygienists (ACGIH)</b:Corporate>
      </b:Author>
    </b:Author>
    <b:Title>Nitrogen Dioxide</b:Title>
    <b:InternetSiteTitle>ACGIH</b:InternetSiteTitle>
    <b:Year>n.d.</b:Year>
    <b:URL>https://www.acgih.org/nitrogen-dioxide/</b:URL>
    <b:RefOrder>77</b:RefOrder>
  </b:Source>
  <b:Source>
    <b:Tag>Hea041</b:Tag>
    <b:SourceType>InternetSite</b:SourceType>
    <b:Guid>{E7E2A03B-8501-4FAC-9286-9F5D9D7F83B4}</b:Guid>
    <b:Author>
      <b:Author>
        <b:Corporate>Health Council of the Netherlands (HCOTN)</b:Corporate>
      </b:Author>
    </b:Author>
    <b:Title>Nitrogen dioxide; health-based recommended occupational exposure limit</b:Title>
    <b:InternetSiteTitle>HCOTN</b:InternetSiteTitle>
    <b:Year>2004</b:Year>
    <b:URL>https://www.healthcouncil.nl/documents/2004/02/05/nitrogen-dioxide</b:URL>
    <b:RefOrder>78</b:RefOrder>
  </b:Source>
  <b:Source>
    <b:Tag>The19</b:Tag>
    <b:SourceType>InternetSite</b:SourceType>
    <b:Guid>{8B47DECC-3654-42FE-AE21-009BAAAF894D}</b:Guid>
    <b:Author>
      <b:Author>
        <b:Corporate>National Institute for Occupational Safety and Health</b:Corporate>
      </b:Author>
    </b:Author>
    <b:Title>Copper (dusts and mists, as Cu)</b:Title>
    <b:InternetSiteTitle>NIOSH Pocket Guide to Chemical Hazards</b:InternetSiteTitle>
    <b:Year>2019</b:Year>
    <b:URL>https://www.cdc.gov/niosh/npg/npgd0150.html</b:URL>
    <b:RefOrder>48</b:RefOrder>
  </b:Source>
  <b:Source>
    <b:Tag>Aus242</b:Tag>
    <b:SourceType>InternetSite</b:SourceType>
    <b:Guid>{23321E88-3B96-4177-8D28-9C6E8CD0614D}</b:Guid>
    <b:Title>Health system spending on disease and injury in Australia 2023–24</b:Title>
    <b:Year>2025</b:Year>
    <b:Author>
      <b:Author>
        <b:Corporate>Australian Institute of Health and Welfare</b:Corporate>
      </b:Author>
    </b:Author>
    <b:InternetSiteTitle>Australian Institute of Health and Welfare</b:InternetSiteTitle>
    <b:Month>October</b:Month>
    <b:Day>29</b:Day>
    <b:URL>https://www.aihw.gov.au/reports/health-welfare-expenditure/health-system-spending-disease-injury-aus-2023-24/contents/spending-on-disease-by-abod-groups</b:URL>
    <b:RefOrder>58</b:RefOrder>
  </b:Source>
  <b:Source>
    <b:Tag>Aus24</b:Tag>
    <b:SourceType>DocumentFromInternetSite</b:SourceType>
    <b:Guid>{0F58277D-9595-444F-A2B6-5D851DEEFF3D}</b:Guid>
    <b:Author>
      <b:Author>
        <b:Corporate>Australian Institute of Health and Welfare</b:Corporate>
      </b:Author>
    </b:Author>
    <b:Title>Health system spending on disease and injury in Australia 2023-24</b:Title>
    <b:InternetSiteTitle>Australian Institute of Health and Welfare</b:InternetSiteTitle>
    <b:Year>2025</b:Year>
    <b:URL>https://www.aihw.gov.au/reports/health-welfare-expenditure/health-system-spending-disease-injury-aus-2023-24/contents/spending-on-disease-by-abod-conditions</b:URL>
    <b:RefOrder>37</b:RefOrder>
  </b:Source>
  <b:Source>
    <b:Tag>ABOD246</b:Tag>
    <b:SourceType>InternetSite</b:SourceType>
    <b:Guid>{FE601DBC-10A4-4D7D-B80D-7C038A2CD872}</b:Guid>
    <b:Author>
      <b:Author>
        <b:Corporate>Australian Insitute of Health and Welfare</b:Corporate>
      </b:Author>
    </b:Author>
    <b:Title>Australian Burden of Disease Study, 2024</b:Title>
    <b:InternetSiteTitle>Australian Institute of Health and Welfare</b:InternetSiteTitle>
    <b:Year>2024</b:Year>
    <b:URL>https://www.aihw.gov.au/reports/burden-of-disease/australian-burden-of-disease-study-2024/contents/interactive-data-on-risk-factor-burden/diseases-and-associated-risk-factors</b:URL>
    <b:RefOrder>52</b:RefOrder>
  </b:Source>
  <b:Source>
    <b:Tag>Aus251</b:Tag>
    <b:SourceType>InternetSite</b:SourceType>
    <b:Guid>{C0028A6B-93F1-4F28-97B3-9FEEDD976E6D}</b:Guid>
    <b:Author>
      <b:Author>
        <b:Corporate>Australian Institute of Health and Welfare</b:Corporate>
      </b:Author>
    </b:Author>
    <b:Title>Health system spending on disease and injury in Australia 2023–24</b:Title>
    <b:InternetSiteTitle>Australian Institute of Health and Welfare</b:InternetSiteTitle>
    <b:Year>2025</b:Year>
    <b:URL>https://www.aihw.gov.au/reports/health-welfare-expenditure/health-system-spending-disease-injury-aus-2023-24/contents/spending-on-disease-by-abod-groups</b:URL>
    <b:RefOrder>59</b:RefOrder>
  </b:Source>
</b:Sources>
</file>

<file path=customXml/itemProps1.xml><?xml version="1.0" encoding="utf-8"?>
<ds:datastoreItem xmlns:ds="http://schemas.openxmlformats.org/officeDocument/2006/customXml" ds:itemID="{E33C908A-BAAD-45A6-AAF9-0DAA6D4E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247</Pages>
  <Words>93298</Words>
  <Characters>531802</Characters>
  <Application>Microsoft Office Word</Application>
  <DocSecurity>0</DocSecurity>
  <Lines>4431</Lines>
  <Paragraphs>1247</Paragraphs>
  <ScaleCrop>false</ScaleCrop>
  <Company/>
  <LinksUpToDate>false</LinksUpToDate>
  <CharactersWithSpaces>623853</CharactersWithSpaces>
  <SharedDoc>false</SharedDoc>
  <HLinks>
    <vt:vector size="3762" baseType="variant">
      <vt:variant>
        <vt:i4>3407875</vt:i4>
      </vt:variant>
      <vt:variant>
        <vt:i4>2700</vt:i4>
      </vt:variant>
      <vt:variant>
        <vt:i4>0</vt:i4>
      </vt:variant>
      <vt:variant>
        <vt:i4>5</vt:i4>
      </vt:variant>
      <vt:variant>
        <vt:lpwstr/>
      </vt:variant>
      <vt:variant>
        <vt:lpwstr>AppendixC_Methodology</vt:lpwstr>
      </vt:variant>
      <vt:variant>
        <vt:i4>7798877</vt:i4>
      </vt:variant>
      <vt:variant>
        <vt:i4>2697</vt:i4>
      </vt:variant>
      <vt:variant>
        <vt:i4>0</vt:i4>
      </vt:variant>
      <vt:variant>
        <vt:i4>5</vt:i4>
      </vt:variant>
      <vt:variant>
        <vt:lpwstr/>
      </vt:variant>
      <vt:variant>
        <vt:lpwstr>AppendixC_Methodology_Benefits_DFB</vt:lpwstr>
      </vt:variant>
      <vt:variant>
        <vt:i4>3407875</vt:i4>
      </vt:variant>
      <vt:variant>
        <vt:i4>2679</vt:i4>
      </vt:variant>
      <vt:variant>
        <vt:i4>0</vt:i4>
      </vt:variant>
      <vt:variant>
        <vt:i4>5</vt:i4>
      </vt:variant>
      <vt:variant>
        <vt:lpwstr/>
      </vt:variant>
      <vt:variant>
        <vt:lpwstr>AppendixC_Methodology</vt:lpwstr>
      </vt:variant>
      <vt:variant>
        <vt:i4>7798877</vt:i4>
      </vt:variant>
      <vt:variant>
        <vt:i4>2676</vt:i4>
      </vt:variant>
      <vt:variant>
        <vt:i4>0</vt:i4>
      </vt:variant>
      <vt:variant>
        <vt:i4>5</vt:i4>
      </vt:variant>
      <vt:variant>
        <vt:lpwstr/>
      </vt:variant>
      <vt:variant>
        <vt:lpwstr>AppendixC_Methodology_Benefits_DFB</vt:lpwstr>
      </vt:variant>
      <vt:variant>
        <vt:i4>7798877</vt:i4>
      </vt:variant>
      <vt:variant>
        <vt:i4>2496</vt:i4>
      </vt:variant>
      <vt:variant>
        <vt:i4>0</vt:i4>
      </vt:variant>
      <vt:variant>
        <vt:i4>5</vt:i4>
      </vt:variant>
      <vt:variant>
        <vt:lpwstr/>
      </vt:variant>
      <vt:variant>
        <vt:lpwstr>AppendixC_Methodology_Benefits_DFB</vt:lpwstr>
      </vt:variant>
      <vt:variant>
        <vt:i4>2949127</vt:i4>
      </vt:variant>
      <vt:variant>
        <vt:i4>2451</vt:i4>
      </vt:variant>
      <vt:variant>
        <vt:i4>0</vt:i4>
      </vt:variant>
      <vt:variant>
        <vt:i4>5</vt:i4>
      </vt:variant>
      <vt:variant>
        <vt:lpwstr/>
      </vt:variant>
      <vt:variant>
        <vt:lpwstr>AppendixI_StandardisedCostInputTables</vt:lpwstr>
      </vt:variant>
      <vt:variant>
        <vt:i4>851988</vt:i4>
      </vt:variant>
      <vt:variant>
        <vt:i4>2448</vt:i4>
      </vt:variant>
      <vt:variant>
        <vt:i4>0</vt:i4>
      </vt:variant>
      <vt:variant>
        <vt:i4>5</vt:i4>
      </vt:variant>
      <vt:variant>
        <vt:lpwstr/>
      </vt:variant>
      <vt:variant>
        <vt:lpwstr>AppendixC_Methodology_Limitations</vt:lpwstr>
      </vt:variant>
      <vt:variant>
        <vt:i4>4128774</vt:i4>
      </vt:variant>
      <vt:variant>
        <vt:i4>2430</vt:i4>
      </vt:variant>
      <vt:variant>
        <vt:i4>0</vt:i4>
      </vt:variant>
      <vt:variant>
        <vt:i4>5</vt:i4>
      </vt:variant>
      <vt:variant>
        <vt:lpwstr>https://www.safeworkaustralia.gov.au/system/files/documents/1911/decision_ris_for_the_workplace_exposure_standards_framework.pdf</vt:lpwstr>
      </vt:variant>
      <vt:variant>
        <vt:lpwstr/>
      </vt:variant>
      <vt:variant>
        <vt:i4>4128774</vt:i4>
      </vt:variant>
      <vt:variant>
        <vt:i4>2424</vt:i4>
      </vt:variant>
      <vt:variant>
        <vt:i4>0</vt:i4>
      </vt:variant>
      <vt:variant>
        <vt:i4>5</vt:i4>
      </vt:variant>
      <vt:variant>
        <vt:lpwstr>https://www.safeworkaustralia.gov.au/system/files/documents/1911/decision_ris_for_the_workplace_exposure_standards_framework.pdf</vt:lpwstr>
      </vt:variant>
      <vt:variant>
        <vt:lpwstr/>
      </vt:variant>
      <vt:variant>
        <vt:i4>851988</vt:i4>
      </vt:variant>
      <vt:variant>
        <vt:i4>2421</vt:i4>
      </vt:variant>
      <vt:variant>
        <vt:i4>0</vt:i4>
      </vt:variant>
      <vt:variant>
        <vt:i4>5</vt:i4>
      </vt:variant>
      <vt:variant>
        <vt:lpwstr/>
      </vt:variant>
      <vt:variant>
        <vt:lpwstr>AppendixC_Methodology_Limitations</vt:lpwstr>
      </vt:variant>
      <vt:variant>
        <vt:i4>4128774</vt:i4>
      </vt:variant>
      <vt:variant>
        <vt:i4>2415</vt:i4>
      </vt:variant>
      <vt:variant>
        <vt:i4>0</vt:i4>
      </vt:variant>
      <vt:variant>
        <vt:i4>5</vt:i4>
      </vt:variant>
      <vt:variant>
        <vt:lpwstr>https://www.safeworkaustralia.gov.au/system/files/documents/1911/decision_ris_for_the_workplace_exposure_standards_framework.pdf</vt:lpwstr>
      </vt:variant>
      <vt:variant>
        <vt:lpwstr/>
      </vt:variant>
      <vt:variant>
        <vt:i4>4128774</vt:i4>
      </vt:variant>
      <vt:variant>
        <vt:i4>2409</vt:i4>
      </vt:variant>
      <vt:variant>
        <vt:i4>0</vt:i4>
      </vt:variant>
      <vt:variant>
        <vt:i4>5</vt:i4>
      </vt:variant>
      <vt:variant>
        <vt:lpwstr>https://www.safeworkaustralia.gov.au/system/files/documents/1911/decision_ris_for_the_workplace_exposure_standards_framework.pdf</vt:lpwstr>
      </vt:variant>
      <vt:variant>
        <vt:lpwstr/>
      </vt:variant>
      <vt:variant>
        <vt:i4>2883592</vt:i4>
      </vt:variant>
      <vt:variant>
        <vt:i4>2403</vt:i4>
      </vt:variant>
      <vt:variant>
        <vt:i4>0</vt:i4>
      </vt:variant>
      <vt:variant>
        <vt:i4>5</vt:i4>
      </vt:variant>
      <vt:variant>
        <vt:lpwstr/>
      </vt:variant>
      <vt:variant>
        <vt:lpwstr>AppendixH_BenefitInputTables</vt:lpwstr>
      </vt:variant>
      <vt:variant>
        <vt:i4>3670109</vt:i4>
      </vt:variant>
      <vt:variant>
        <vt:i4>2223</vt:i4>
      </vt:variant>
      <vt:variant>
        <vt:i4>0</vt:i4>
      </vt:variant>
      <vt:variant>
        <vt:i4>5</vt:i4>
      </vt:variant>
      <vt:variant>
        <vt:lpwstr/>
      </vt:variant>
      <vt:variant>
        <vt:lpwstr>AppendixH2_DirectBenefitInputs</vt:lpwstr>
      </vt:variant>
      <vt:variant>
        <vt:i4>3932160</vt:i4>
      </vt:variant>
      <vt:variant>
        <vt:i4>2187</vt:i4>
      </vt:variant>
      <vt:variant>
        <vt:i4>0</vt:i4>
      </vt:variant>
      <vt:variant>
        <vt:i4>5</vt:i4>
      </vt:variant>
      <vt:variant>
        <vt:lpwstr/>
      </vt:variant>
      <vt:variant>
        <vt:lpwstr>AppendixF_AffectedBusinssesandWorkers</vt:lpwstr>
      </vt:variant>
      <vt:variant>
        <vt:i4>3932160</vt:i4>
      </vt:variant>
      <vt:variant>
        <vt:i4>2172</vt:i4>
      </vt:variant>
      <vt:variant>
        <vt:i4>0</vt:i4>
      </vt:variant>
      <vt:variant>
        <vt:i4>5</vt:i4>
      </vt:variant>
      <vt:variant>
        <vt:lpwstr/>
      </vt:variant>
      <vt:variant>
        <vt:lpwstr>AppendixF_AffectedBusinssesandWorkers</vt:lpwstr>
      </vt:variant>
      <vt:variant>
        <vt:i4>7864363</vt:i4>
      </vt:variant>
      <vt:variant>
        <vt:i4>2148</vt:i4>
      </vt:variant>
      <vt:variant>
        <vt:i4>0</vt:i4>
      </vt:variant>
      <vt:variant>
        <vt:i4>5</vt:i4>
      </vt:variant>
      <vt:variant>
        <vt:lpwstr>https://www.safeworkaustralia.gov.au/doc/decision-regulation-impact-statement-prohibition-use-engineered-stone</vt:lpwstr>
      </vt:variant>
      <vt:variant>
        <vt:lpwstr/>
      </vt:variant>
      <vt:variant>
        <vt:i4>7995424</vt:i4>
      </vt:variant>
      <vt:variant>
        <vt:i4>2142</vt:i4>
      </vt:variant>
      <vt:variant>
        <vt:i4>0</vt:i4>
      </vt:variant>
      <vt:variant>
        <vt:i4>5</vt:i4>
      </vt:variant>
      <vt:variant>
        <vt:lpwstr>https://www.safeworkaustralia.gov.au/doc/decision-regulation-impact-statement-managing-risks-respirable-crystalline-silica-work</vt:lpwstr>
      </vt:variant>
      <vt:variant>
        <vt:lpwstr/>
      </vt:variant>
      <vt:variant>
        <vt:i4>3932160</vt:i4>
      </vt:variant>
      <vt:variant>
        <vt:i4>2130</vt:i4>
      </vt:variant>
      <vt:variant>
        <vt:i4>0</vt:i4>
      </vt:variant>
      <vt:variant>
        <vt:i4>5</vt:i4>
      </vt:variant>
      <vt:variant>
        <vt:lpwstr/>
      </vt:variant>
      <vt:variant>
        <vt:lpwstr>AppendixF_AffectedBusinssesandWorkers</vt:lpwstr>
      </vt:variant>
      <vt:variant>
        <vt:i4>3932160</vt:i4>
      </vt:variant>
      <vt:variant>
        <vt:i4>2118</vt:i4>
      </vt:variant>
      <vt:variant>
        <vt:i4>0</vt:i4>
      </vt:variant>
      <vt:variant>
        <vt:i4>5</vt:i4>
      </vt:variant>
      <vt:variant>
        <vt:lpwstr/>
      </vt:variant>
      <vt:variant>
        <vt:lpwstr>AppendixF_AffectedBusinssesandWorkers</vt:lpwstr>
      </vt:variant>
      <vt:variant>
        <vt:i4>2818169</vt:i4>
      </vt:variant>
      <vt:variant>
        <vt:i4>2050</vt:i4>
      </vt:variant>
      <vt:variant>
        <vt:i4>0</vt:i4>
      </vt:variant>
      <vt:variant>
        <vt:i4>5</vt:i4>
      </vt:variant>
      <vt:variant>
        <vt:lpwstr>https://www.safeworkaustralia.gov.au/doc/wes-review-selection-sources-exposure-standards-notations-and-supporting-data</vt:lpwstr>
      </vt:variant>
      <vt:variant>
        <vt:lpwstr/>
      </vt:variant>
      <vt:variant>
        <vt:i4>1572930</vt:i4>
      </vt:variant>
      <vt:variant>
        <vt:i4>2047</vt:i4>
      </vt:variant>
      <vt:variant>
        <vt:i4>0</vt:i4>
      </vt:variant>
      <vt:variant>
        <vt:i4>5</vt:i4>
      </vt:variant>
      <vt:variant>
        <vt:lpwstr>https://www.safeworkaustralia.gov.au/doc/wes-review-criteria-selection-sources-workplace-exposure-standards-notations-and-supporting-data</vt:lpwstr>
      </vt:variant>
      <vt:variant>
        <vt:lpwstr/>
      </vt:variant>
      <vt:variant>
        <vt:i4>2490382</vt:i4>
      </vt:variant>
      <vt:variant>
        <vt:i4>2035</vt:i4>
      </vt:variant>
      <vt:variant>
        <vt:i4>0</vt:i4>
      </vt:variant>
      <vt:variant>
        <vt:i4>5</vt:i4>
      </vt:variant>
      <vt:variant>
        <vt:lpwstr/>
      </vt:variant>
      <vt:variant>
        <vt:lpwstr>AppendixD_SensitivityAnalysis</vt:lpwstr>
      </vt:variant>
      <vt:variant>
        <vt:i4>2490382</vt:i4>
      </vt:variant>
      <vt:variant>
        <vt:i4>2032</vt:i4>
      </vt:variant>
      <vt:variant>
        <vt:i4>0</vt:i4>
      </vt:variant>
      <vt:variant>
        <vt:i4>5</vt:i4>
      </vt:variant>
      <vt:variant>
        <vt:lpwstr/>
      </vt:variant>
      <vt:variant>
        <vt:lpwstr>AppendixD_SensitivityAnalysis</vt:lpwstr>
      </vt:variant>
      <vt:variant>
        <vt:i4>7536760</vt:i4>
      </vt:variant>
      <vt:variant>
        <vt:i4>2006</vt:i4>
      </vt:variant>
      <vt:variant>
        <vt:i4>0</vt:i4>
      </vt:variant>
      <vt:variant>
        <vt:i4>5</vt:i4>
      </vt:variant>
      <vt:variant>
        <vt:lpwstr>https://www.safeworkaustralia.gov.au/doc/guidance-interpretation-workplace-exposure-standards-airborne-contaminants</vt:lpwstr>
      </vt:variant>
      <vt:variant>
        <vt:lpwstr/>
      </vt:variant>
      <vt:variant>
        <vt:i4>2490382</vt:i4>
      </vt:variant>
      <vt:variant>
        <vt:i4>1964</vt:i4>
      </vt:variant>
      <vt:variant>
        <vt:i4>0</vt:i4>
      </vt:variant>
      <vt:variant>
        <vt:i4>5</vt:i4>
      </vt:variant>
      <vt:variant>
        <vt:lpwstr/>
      </vt:variant>
      <vt:variant>
        <vt:lpwstr>AppendixD_SensitivityAnalysis</vt:lpwstr>
      </vt:variant>
      <vt:variant>
        <vt:i4>2490382</vt:i4>
      </vt:variant>
      <vt:variant>
        <vt:i4>1961</vt:i4>
      </vt:variant>
      <vt:variant>
        <vt:i4>0</vt:i4>
      </vt:variant>
      <vt:variant>
        <vt:i4>5</vt:i4>
      </vt:variant>
      <vt:variant>
        <vt:lpwstr/>
      </vt:variant>
      <vt:variant>
        <vt:lpwstr>AppendixD_SensitivityAnalysis</vt:lpwstr>
      </vt:variant>
      <vt:variant>
        <vt:i4>2490382</vt:i4>
      </vt:variant>
      <vt:variant>
        <vt:i4>1958</vt:i4>
      </vt:variant>
      <vt:variant>
        <vt:i4>0</vt:i4>
      </vt:variant>
      <vt:variant>
        <vt:i4>5</vt:i4>
      </vt:variant>
      <vt:variant>
        <vt:lpwstr/>
      </vt:variant>
      <vt:variant>
        <vt:lpwstr>AppendixD_SensitivityAnalysis</vt:lpwstr>
      </vt:variant>
      <vt:variant>
        <vt:i4>2490382</vt:i4>
      </vt:variant>
      <vt:variant>
        <vt:i4>1955</vt:i4>
      </vt:variant>
      <vt:variant>
        <vt:i4>0</vt:i4>
      </vt:variant>
      <vt:variant>
        <vt:i4>5</vt:i4>
      </vt:variant>
      <vt:variant>
        <vt:lpwstr/>
      </vt:variant>
      <vt:variant>
        <vt:lpwstr>AppendixD_SensitivityAnalysis</vt:lpwstr>
      </vt:variant>
      <vt:variant>
        <vt:i4>2621565</vt:i4>
      </vt:variant>
      <vt:variant>
        <vt:i4>1925</vt:i4>
      </vt:variant>
      <vt:variant>
        <vt:i4>0</vt:i4>
      </vt:variant>
      <vt:variant>
        <vt:i4>5</vt:i4>
      </vt:variant>
      <vt:variant>
        <vt:lpwstr>https://www.safeworkaustralia.gov.au/safety-topic/managing-health-and-safety/identify-assess-and-control-hazards/managing-risks</vt:lpwstr>
      </vt:variant>
      <vt:variant>
        <vt:lpwstr/>
      </vt:variant>
      <vt:variant>
        <vt:i4>1441797</vt:i4>
      </vt:variant>
      <vt:variant>
        <vt:i4>1922</vt:i4>
      </vt:variant>
      <vt:variant>
        <vt:i4>0</vt:i4>
      </vt:variant>
      <vt:variant>
        <vt:i4>5</vt:i4>
      </vt:variant>
      <vt:variant>
        <vt:lpwstr>https://academic.oup.com/annweh/article/66/5/632/6414240</vt:lpwstr>
      </vt:variant>
      <vt:variant>
        <vt:lpwstr/>
      </vt:variant>
      <vt:variant>
        <vt:i4>5373979</vt:i4>
      </vt:variant>
      <vt:variant>
        <vt:i4>1919</vt:i4>
      </vt:variant>
      <vt:variant>
        <vt:i4>0</vt:i4>
      </vt:variant>
      <vt:variant>
        <vt:i4>5</vt:i4>
      </vt:variant>
      <vt:variant>
        <vt:lpwstr>https://academic.oup.com/annweh/article-abstract/68/8/859/7727644?redirectedFrom=fulltext</vt:lpwstr>
      </vt:variant>
      <vt:variant>
        <vt:lpwstr/>
      </vt:variant>
      <vt:variant>
        <vt:i4>3407916</vt:i4>
      </vt:variant>
      <vt:variant>
        <vt:i4>1916</vt:i4>
      </vt:variant>
      <vt:variant>
        <vt:i4>0</vt:i4>
      </vt:variant>
      <vt:variant>
        <vt:i4>5</vt:i4>
      </vt:variant>
      <vt:variant>
        <vt:lpwstr>https://www.safeworkaustralia.gov.au/doc/report-measuring-respirable-crystalline-silica</vt:lpwstr>
      </vt:variant>
      <vt:variant>
        <vt:lpwstr/>
      </vt:variant>
      <vt:variant>
        <vt:i4>5374038</vt:i4>
      </vt:variant>
      <vt:variant>
        <vt:i4>1910</vt:i4>
      </vt:variant>
      <vt:variant>
        <vt:i4>0</vt:i4>
      </vt:variant>
      <vt:variant>
        <vt:i4>5</vt:i4>
      </vt:variant>
      <vt:variant>
        <vt:lpwstr>https://www.safeworkaustralia.gov.au/safety-topic/hazards/silica/whs-duties-silica/research-lower-workplace-exposure-standard-and-short-term-exposure-limit-respirable-crystalline-silica</vt:lpwstr>
      </vt:variant>
      <vt:variant>
        <vt:lpwstr/>
      </vt:variant>
      <vt:variant>
        <vt:i4>458844</vt:i4>
      </vt:variant>
      <vt:variant>
        <vt:i4>1716</vt:i4>
      </vt:variant>
      <vt:variant>
        <vt:i4>0</vt:i4>
      </vt:variant>
      <vt:variant>
        <vt:i4>5</vt:i4>
      </vt:variant>
      <vt:variant>
        <vt:lpwstr>https://storage.googleapis.com/files-au-swa/safework/p/prj385d41c05dad942cee621/page/Respirable_Crystalline_Silica_Evaluation_Report_2019_F.docx</vt:lpwstr>
      </vt:variant>
      <vt:variant>
        <vt:lpwstr/>
      </vt:variant>
      <vt:variant>
        <vt:i4>2490382</vt:i4>
      </vt:variant>
      <vt:variant>
        <vt:i4>1707</vt:i4>
      </vt:variant>
      <vt:variant>
        <vt:i4>0</vt:i4>
      </vt:variant>
      <vt:variant>
        <vt:i4>5</vt:i4>
      </vt:variant>
      <vt:variant>
        <vt:lpwstr/>
      </vt:variant>
      <vt:variant>
        <vt:lpwstr>AppendixD_SensitivityAnalysis</vt:lpwstr>
      </vt:variant>
      <vt:variant>
        <vt:i4>2490382</vt:i4>
      </vt:variant>
      <vt:variant>
        <vt:i4>1704</vt:i4>
      </vt:variant>
      <vt:variant>
        <vt:i4>0</vt:i4>
      </vt:variant>
      <vt:variant>
        <vt:i4>5</vt:i4>
      </vt:variant>
      <vt:variant>
        <vt:lpwstr/>
      </vt:variant>
      <vt:variant>
        <vt:lpwstr>AppendixD_SensitivityAnalysis</vt:lpwstr>
      </vt:variant>
      <vt:variant>
        <vt:i4>3801204</vt:i4>
      </vt:variant>
      <vt:variant>
        <vt:i4>1614</vt:i4>
      </vt:variant>
      <vt:variant>
        <vt:i4>0</vt:i4>
      </vt:variant>
      <vt:variant>
        <vt:i4>5</vt:i4>
      </vt:variant>
      <vt:variant>
        <vt:lpwstr>https://storage.googleapis.com/files-au-swa/safework/p/prj345078c28dff3c94a3e5a/page/draft_evaluation_report_wes_nitrogen_dioxide_pdf.pdf</vt:lpwstr>
      </vt:variant>
      <vt:variant>
        <vt:lpwstr/>
      </vt:variant>
      <vt:variant>
        <vt:i4>2490382</vt:i4>
      </vt:variant>
      <vt:variant>
        <vt:i4>1602</vt:i4>
      </vt:variant>
      <vt:variant>
        <vt:i4>0</vt:i4>
      </vt:variant>
      <vt:variant>
        <vt:i4>5</vt:i4>
      </vt:variant>
      <vt:variant>
        <vt:lpwstr/>
      </vt:variant>
      <vt:variant>
        <vt:lpwstr>AppendixD_SensitivityAnalysis</vt:lpwstr>
      </vt:variant>
      <vt:variant>
        <vt:i4>2490382</vt:i4>
      </vt:variant>
      <vt:variant>
        <vt:i4>1599</vt:i4>
      </vt:variant>
      <vt:variant>
        <vt:i4>0</vt:i4>
      </vt:variant>
      <vt:variant>
        <vt:i4>5</vt:i4>
      </vt:variant>
      <vt:variant>
        <vt:lpwstr/>
      </vt:variant>
      <vt:variant>
        <vt:lpwstr>AppendixD_SensitivityAnalysis</vt:lpwstr>
      </vt:variant>
      <vt:variant>
        <vt:i4>7536760</vt:i4>
      </vt:variant>
      <vt:variant>
        <vt:i4>1587</vt:i4>
      </vt:variant>
      <vt:variant>
        <vt:i4>0</vt:i4>
      </vt:variant>
      <vt:variant>
        <vt:i4>5</vt:i4>
      </vt:variant>
      <vt:variant>
        <vt:lpwstr>https://www.safeworkaustralia.gov.au/doc/guidance-interpretation-workplace-exposure-standards-airborne-contaminants</vt:lpwstr>
      </vt:variant>
      <vt:variant>
        <vt:lpwstr/>
      </vt:variant>
      <vt:variant>
        <vt:i4>7864367</vt:i4>
      </vt:variant>
      <vt:variant>
        <vt:i4>1512</vt:i4>
      </vt:variant>
      <vt:variant>
        <vt:i4>0</vt:i4>
      </vt:variant>
      <vt:variant>
        <vt:i4>5</vt:i4>
      </vt:variant>
      <vt:variant>
        <vt:lpwstr>https://storage.googleapis.com/files-au-swa/safework/p/prj0ae13e590bf0d888ca147/page/draft_evaluation_report_wes_hydrogen_sulfide_pdf.pdf</vt:lpwstr>
      </vt:variant>
      <vt:variant>
        <vt:lpwstr/>
      </vt:variant>
      <vt:variant>
        <vt:i4>2490382</vt:i4>
      </vt:variant>
      <vt:variant>
        <vt:i4>1500</vt:i4>
      </vt:variant>
      <vt:variant>
        <vt:i4>0</vt:i4>
      </vt:variant>
      <vt:variant>
        <vt:i4>5</vt:i4>
      </vt:variant>
      <vt:variant>
        <vt:lpwstr/>
      </vt:variant>
      <vt:variant>
        <vt:lpwstr>AppendixD_SensitivityAnalysis</vt:lpwstr>
      </vt:variant>
      <vt:variant>
        <vt:i4>2490382</vt:i4>
      </vt:variant>
      <vt:variant>
        <vt:i4>1497</vt:i4>
      </vt:variant>
      <vt:variant>
        <vt:i4>0</vt:i4>
      </vt:variant>
      <vt:variant>
        <vt:i4>5</vt:i4>
      </vt:variant>
      <vt:variant>
        <vt:lpwstr/>
      </vt:variant>
      <vt:variant>
        <vt:lpwstr>AppendixD_SensitivityAnalysis</vt:lpwstr>
      </vt:variant>
      <vt:variant>
        <vt:i4>8126514</vt:i4>
      </vt:variant>
      <vt:variant>
        <vt:i4>1425</vt:i4>
      </vt:variant>
      <vt:variant>
        <vt:i4>0</vt:i4>
      </vt:variant>
      <vt:variant>
        <vt:i4>5</vt:i4>
      </vt:variant>
      <vt:variant>
        <vt:lpwstr>https://storage.googleapis.com/files-au-swa/safework/p/prj0ae13e590bf0d888ca147/page/draft_evaluation_report_wes_hydrogen_cyanide_pdf.pdf</vt:lpwstr>
      </vt:variant>
      <vt:variant>
        <vt:lpwstr/>
      </vt:variant>
      <vt:variant>
        <vt:i4>2490382</vt:i4>
      </vt:variant>
      <vt:variant>
        <vt:i4>1416</vt:i4>
      </vt:variant>
      <vt:variant>
        <vt:i4>0</vt:i4>
      </vt:variant>
      <vt:variant>
        <vt:i4>5</vt:i4>
      </vt:variant>
      <vt:variant>
        <vt:lpwstr/>
      </vt:variant>
      <vt:variant>
        <vt:lpwstr>AppendixD_SensitivityAnalysis</vt:lpwstr>
      </vt:variant>
      <vt:variant>
        <vt:i4>2490382</vt:i4>
      </vt:variant>
      <vt:variant>
        <vt:i4>1413</vt:i4>
      </vt:variant>
      <vt:variant>
        <vt:i4>0</vt:i4>
      </vt:variant>
      <vt:variant>
        <vt:i4>5</vt:i4>
      </vt:variant>
      <vt:variant>
        <vt:lpwstr/>
      </vt:variant>
      <vt:variant>
        <vt:lpwstr>AppendixD_SensitivityAnalysis</vt:lpwstr>
      </vt:variant>
      <vt:variant>
        <vt:i4>5177379</vt:i4>
      </vt:variant>
      <vt:variant>
        <vt:i4>1320</vt:i4>
      </vt:variant>
      <vt:variant>
        <vt:i4>0</vt:i4>
      </vt:variant>
      <vt:variant>
        <vt:i4>5</vt:i4>
      </vt:variant>
      <vt:variant>
        <vt:lpwstr>https://storage.googleapis.com/files-au-swa/safework/p/prj642e68d6133ea3a631d25/page/draft_evaluation_report_wes_formaldehyde_pdf.pdf</vt:lpwstr>
      </vt:variant>
      <vt:variant>
        <vt:lpwstr/>
      </vt:variant>
      <vt:variant>
        <vt:i4>2490382</vt:i4>
      </vt:variant>
      <vt:variant>
        <vt:i4>1311</vt:i4>
      </vt:variant>
      <vt:variant>
        <vt:i4>0</vt:i4>
      </vt:variant>
      <vt:variant>
        <vt:i4>5</vt:i4>
      </vt:variant>
      <vt:variant>
        <vt:lpwstr/>
      </vt:variant>
      <vt:variant>
        <vt:lpwstr>AppendixD_SensitivityAnalysis</vt:lpwstr>
      </vt:variant>
      <vt:variant>
        <vt:i4>2490382</vt:i4>
      </vt:variant>
      <vt:variant>
        <vt:i4>1308</vt:i4>
      </vt:variant>
      <vt:variant>
        <vt:i4>0</vt:i4>
      </vt:variant>
      <vt:variant>
        <vt:i4>5</vt:i4>
      </vt:variant>
      <vt:variant>
        <vt:lpwstr/>
      </vt:variant>
      <vt:variant>
        <vt:lpwstr>AppendixD_SensitivityAnalysis</vt:lpwstr>
      </vt:variant>
      <vt:variant>
        <vt:i4>5963826</vt:i4>
      </vt:variant>
      <vt:variant>
        <vt:i4>1290</vt:i4>
      </vt:variant>
      <vt:variant>
        <vt:i4>0</vt:i4>
      </vt:variant>
      <vt:variant>
        <vt:i4>5</vt:i4>
      </vt:variant>
      <vt:variant>
        <vt:lpwstr>https://storage.googleapis.com/files-au-swa/safework/p/prj06da3bdf2c1cf9737efab/page/draft_evaluation_report_wes_copper_fumes_dusts_and_mists_as_Cu_pdf.pdf</vt:lpwstr>
      </vt:variant>
      <vt:variant>
        <vt:lpwstr/>
      </vt:variant>
      <vt:variant>
        <vt:i4>5963826</vt:i4>
      </vt:variant>
      <vt:variant>
        <vt:i4>1221</vt:i4>
      </vt:variant>
      <vt:variant>
        <vt:i4>0</vt:i4>
      </vt:variant>
      <vt:variant>
        <vt:i4>5</vt:i4>
      </vt:variant>
      <vt:variant>
        <vt:lpwstr>https://storage.googleapis.com/files-au-swa/safework/p/prj06da3bdf2c1cf9737efab/page/draft_evaluation_report_wes_copper_fumes_dusts_and_mists_as_Cu_pdf.pdf</vt:lpwstr>
      </vt:variant>
      <vt:variant>
        <vt:lpwstr/>
      </vt:variant>
      <vt:variant>
        <vt:i4>2490382</vt:i4>
      </vt:variant>
      <vt:variant>
        <vt:i4>1209</vt:i4>
      </vt:variant>
      <vt:variant>
        <vt:i4>0</vt:i4>
      </vt:variant>
      <vt:variant>
        <vt:i4>5</vt:i4>
      </vt:variant>
      <vt:variant>
        <vt:lpwstr/>
      </vt:variant>
      <vt:variant>
        <vt:lpwstr>AppendixD_SensitivityAnalysis</vt:lpwstr>
      </vt:variant>
      <vt:variant>
        <vt:i4>2490382</vt:i4>
      </vt:variant>
      <vt:variant>
        <vt:i4>1206</vt:i4>
      </vt:variant>
      <vt:variant>
        <vt:i4>0</vt:i4>
      </vt:variant>
      <vt:variant>
        <vt:i4>5</vt:i4>
      </vt:variant>
      <vt:variant>
        <vt:lpwstr/>
      </vt:variant>
      <vt:variant>
        <vt:lpwstr>AppendixD_SensitivityAnalysis</vt:lpwstr>
      </vt:variant>
      <vt:variant>
        <vt:i4>1245291</vt:i4>
      </vt:variant>
      <vt:variant>
        <vt:i4>1098</vt:i4>
      </vt:variant>
      <vt:variant>
        <vt:i4>0</vt:i4>
      </vt:variant>
      <vt:variant>
        <vt:i4>5</vt:i4>
      </vt:variant>
      <vt:variant>
        <vt:lpwstr>https://storage.googleapis.com/files-au-swa/safework/p/prj06da3bdf2c1cf9737efab/page/draft_evaluation_report_wes_chlorine_pdf.pdf</vt:lpwstr>
      </vt:variant>
      <vt:variant>
        <vt:lpwstr/>
      </vt:variant>
      <vt:variant>
        <vt:i4>2490382</vt:i4>
      </vt:variant>
      <vt:variant>
        <vt:i4>1086</vt:i4>
      </vt:variant>
      <vt:variant>
        <vt:i4>0</vt:i4>
      </vt:variant>
      <vt:variant>
        <vt:i4>5</vt:i4>
      </vt:variant>
      <vt:variant>
        <vt:lpwstr/>
      </vt:variant>
      <vt:variant>
        <vt:lpwstr>AppendixD_SensitivityAnalysis</vt:lpwstr>
      </vt:variant>
      <vt:variant>
        <vt:i4>2490382</vt:i4>
      </vt:variant>
      <vt:variant>
        <vt:i4>1083</vt:i4>
      </vt:variant>
      <vt:variant>
        <vt:i4>0</vt:i4>
      </vt:variant>
      <vt:variant>
        <vt:i4>5</vt:i4>
      </vt:variant>
      <vt:variant>
        <vt:lpwstr/>
      </vt:variant>
      <vt:variant>
        <vt:lpwstr>AppendixD_SensitivityAnalysis</vt:lpwstr>
      </vt:variant>
      <vt:variant>
        <vt:i4>2949127</vt:i4>
      </vt:variant>
      <vt:variant>
        <vt:i4>933</vt:i4>
      </vt:variant>
      <vt:variant>
        <vt:i4>0</vt:i4>
      </vt:variant>
      <vt:variant>
        <vt:i4>5</vt:i4>
      </vt:variant>
      <vt:variant>
        <vt:lpwstr>https://storage.googleapis.com/files-au-swa/safework/p/prj28f3a307cfe6ee51abbd3/page/draft_evaluation_report_wes_benzene_pdf.pdf</vt:lpwstr>
      </vt:variant>
      <vt:variant>
        <vt:lpwstr/>
      </vt:variant>
      <vt:variant>
        <vt:i4>5898283</vt:i4>
      </vt:variant>
      <vt:variant>
        <vt:i4>927</vt:i4>
      </vt:variant>
      <vt:variant>
        <vt:i4>0</vt:i4>
      </vt:variant>
      <vt:variant>
        <vt:i4>5</vt:i4>
      </vt:variant>
      <vt:variant>
        <vt:lpwstr>https://www.safeworkaustralia.gov.au/awhs-strategy_23-33</vt:lpwstr>
      </vt:variant>
      <vt:variant>
        <vt:lpwstr/>
      </vt:variant>
      <vt:variant>
        <vt:i4>4128818</vt:i4>
      </vt:variant>
      <vt:variant>
        <vt:i4>921</vt:i4>
      </vt:variant>
      <vt:variant>
        <vt:i4>0</vt:i4>
      </vt:variant>
      <vt:variant>
        <vt:i4>5</vt:i4>
      </vt:variant>
      <vt:variant>
        <vt:lpwstr>https://www.safeworkaustralia.gov.au/doc/consultation-regulation-impact-statement-workplace-exposure-standards</vt:lpwstr>
      </vt:variant>
      <vt:variant>
        <vt:lpwstr/>
      </vt:variant>
      <vt:variant>
        <vt:i4>655447</vt:i4>
      </vt:variant>
      <vt:variant>
        <vt:i4>912</vt:i4>
      </vt:variant>
      <vt:variant>
        <vt:i4>0</vt:i4>
      </vt:variant>
      <vt:variant>
        <vt:i4>5</vt:i4>
      </vt:variant>
      <vt:variant>
        <vt:lpwstr>https://app.converlens.com/safework/wel-consultation/ris-survey/list</vt:lpwstr>
      </vt:variant>
      <vt:variant>
        <vt:lpwstr/>
      </vt:variant>
      <vt:variant>
        <vt:i4>1572913</vt:i4>
      </vt:variant>
      <vt:variant>
        <vt:i4>909</vt:i4>
      </vt:variant>
      <vt:variant>
        <vt:i4>0</vt:i4>
      </vt:variant>
      <vt:variant>
        <vt:i4>5</vt:i4>
      </vt:variant>
      <vt:variant>
        <vt:lpwstr>https://storage.googleapis.com/files-au-swa/safework/p/prj2f92adb65796294e37a91/page/Consultation_Paper_Impacts_of_the_proposed_workplace_exposure_limits_for_9_chemicals.pdf</vt:lpwstr>
      </vt:variant>
      <vt:variant>
        <vt:lpwstr/>
      </vt:variant>
      <vt:variant>
        <vt:i4>5898353</vt:i4>
      </vt:variant>
      <vt:variant>
        <vt:i4>906</vt:i4>
      </vt:variant>
      <vt:variant>
        <vt:i4>0</vt:i4>
      </vt:variant>
      <vt:variant>
        <vt:i4>5</vt:i4>
      </vt:variant>
      <vt:variant>
        <vt:lpwstr/>
      </vt:variant>
      <vt:variant>
        <vt:lpwstr>AppendixF_StakeholdersQuestions</vt:lpwstr>
      </vt:variant>
      <vt:variant>
        <vt:i4>3407875</vt:i4>
      </vt:variant>
      <vt:variant>
        <vt:i4>894</vt:i4>
      </vt:variant>
      <vt:variant>
        <vt:i4>0</vt:i4>
      </vt:variant>
      <vt:variant>
        <vt:i4>5</vt:i4>
      </vt:variant>
      <vt:variant>
        <vt:lpwstr/>
      </vt:variant>
      <vt:variant>
        <vt:lpwstr>AppendixC_Methodology</vt:lpwstr>
      </vt:variant>
      <vt:variant>
        <vt:i4>4259909</vt:i4>
      </vt:variant>
      <vt:variant>
        <vt:i4>882</vt:i4>
      </vt:variant>
      <vt:variant>
        <vt:i4>0</vt:i4>
      </vt:variant>
      <vt:variant>
        <vt:i4>5</vt:i4>
      </vt:variant>
      <vt:variant>
        <vt:lpwstr>https://www.safeworkaustralia.gov.au/doc/decision-regulation-impact-statement-workplace-exposure-standards-framework-under-model-work-health-and-safety-laws</vt:lpwstr>
      </vt:variant>
      <vt:variant>
        <vt:lpwstr/>
      </vt:variant>
      <vt:variant>
        <vt:i4>6291481</vt:i4>
      </vt:variant>
      <vt:variant>
        <vt:i4>861</vt:i4>
      </vt:variant>
      <vt:variant>
        <vt:i4>0</vt:i4>
      </vt:variant>
      <vt:variant>
        <vt:i4>5</vt:i4>
      </vt:variant>
      <vt:variant>
        <vt:lpwstr>https://www.safeworkaustralia.gov.au/sites/default/files/2022-08/model_code_of_practice_-_managing_psychosocial_hazards_at_work_25082022_0.pdf</vt:lpwstr>
      </vt:variant>
      <vt:variant>
        <vt:lpwstr/>
      </vt:variant>
      <vt:variant>
        <vt:i4>3407875</vt:i4>
      </vt:variant>
      <vt:variant>
        <vt:i4>813</vt:i4>
      </vt:variant>
      <vt:variant>
        <vt:i4>0</vt:i4>
      </vt:variant>
      <vt:variant>
        <vt:i4>5</vt:i4>
      </vt:variant>
      <vt:variant>
        <vt:lpwstr/>
      </vt:variant>
      <vt:variant>
        <vt:lpwstr>AppendixC_Methodology</vt:lpwstr>
      </vt:variant>
      <vt:variant>
        <vt:i4>3407875</vt:i4>
      </vt:variant>
      <vt:variant>
        <vt:i4>807</vt:i4>
      </vt:variant>
      <vt:variant>
        <vt:i4>0</vt:i4>
      </vt:variant>
      <vt:variant>
        <vt:i4>5</vt:i4>
      </vt:variant>
      <vt:variant>
        <vt:lpwstr/>
      </vt:variant>
      <vt:variant>
        <vt:lpwstr>AppendixC_Methodology</vt:lpwstr>
      </vt:variant>
      <vt:variant>
        <vt:i4>4718695</vt:i4>
      </vt:variant>
      <vt:variant>
        <vt:i4>783</vt:i4>
      </vt:variant>
      <vt:variant>
        <vt:i4>0</vt:i4>
      </vt:variant>
      <vt:variant>
        <vt:i4>5</vt:i4>
      </vt:variant>
      <vt:variant>
        <vt:lpwstr/>
      </vt:variant>
      <vt:variant>
        <vt:lpwstr>AppendixB_AgreedSources</vt:lpwstr>
      </vt:variant>
      <vt:variant>
        <vt:i4>1704000</vt:i4>
      </vt:variant>
      <vt:variant>
        <vt:i4>777</vt:i4>
      </vt:variant>
      <vt:variant>
        <vt:i4>0</vt:i4>
      </vt:variant>
      <vt:variant>
        <vt:i4>5</vt:i4>
      </vt:variant>
      <vt:variant>
        <vt:lpwstr>https://federation.gov.au/about/agreements/intergovernmental-agreement-regulatory-and-operational-reform-occupational-health</vt:lpwstr>
      </vt:variant>
      <vt:variant>
        <vt:lpwstr/>
      </vt:variant>
      <vt:variant>
        <vt:i4>2621565</vt:i4>
      </vt:variant>
      <vt:variant>
        <vt:i4>774</vt:i4>
      </vt:variant>
      <vt:variant>
        <vt:i4>0</vt:i4>
      </vt:variant>
      <vt:variant>
        <vt:i4>5</vt:i4>
      </vt:variant>
      <vt:variant>
        <vt:lpwstr>https://www.safeworkaustralia.gov.au/safety-topic/managing-health-and-safety/identify-assess-and-control-hazards/managing-risks</vt:lpwstr>
      </vt:variant>
      <vt:variant>
        <vt:lpwstr/>
      </vt:variant>
      <vt:variant>
        <vt:i4>6094935</vt:i4>
      </vt:variant>
      <vt:variant>
        <vt:i4>663</vt:i4>
      </vt:variant>
      <vt:variant>
        <vt:i4>0</vt:i4>
      </vt:variant>
      <vt:variant>
        <vt:i4>5</vt:i4>
      </vt:variant>
      <vt:variant>
        <vt:lpwstr>https://www.safeworkaustralia.gov.au/doc/workplace-exposure-limits-airborne-contaminants</vt:lpwstr>
      </vt:variant>
      <vt:variant>
        <vt:lpwstr/>
      </vt:variant>
      <vt:variant>
        <vt:i4>4718695</vt:i4>
      </vt:variant>
      <vt:variant>
        <vt:i4>660</vt:i4>
      </vt:variant>
      <vt:variant>
        <vt:i4>0</vt:i4>
      </vt:variant>
      <vt:variant>
        <vt:i4>5</vt:i4>
      </vt:variant>
      <vt:variant>
        <vt:lpwstr/>
      </vt:variant>
      <vt:variant>
        <vt:lpwstr>AppendixB_AgreedSources</vt:lpwstr>
      </vt:variant>
      <vt:variant>
        <vt:i4>4259913</vt:i4>
      </vt:variant>
      <vt:variant>
        <vt:i4>657</vt:i4>
      </vt:variant>
      <vt:variant>
        <vt:i4>0</vt:i4>
      </vt:variant>
      <vt:variant>
        <vt:i4>5</vt:i4>
      </vt:variant>
      <vt:variant>
        <vt:lpwstr>https://www.safeworkaustralia.gov.au/safety-topic/managing-health-and-safety/exposure-standards-airborne-contaminants/workplace-exposure-standards-review</vt:lpwstr>
      </vt:variant>
      <vt:variant>
        <vt:lpwstr/>
      </vt:variant>
      <vt:variant>
        <vt:i4>4259909</vt:i4>
      </vt:variant>
      <vt:variant>
        <vt:i4>654</vt:i4>
      </vt:variant>
      <vt:variant>
        <vt:i4>0</vt:i4>
      </vt:variant>
      <vt:variant>
        <vt:i4>5</vt:i4>
      </vt:variant>
      <vt:variant>
        <vt:lpwstr>https://www.safeworkaustralia.gov.au/doc/decision-regulation-impact-statement-workplace-exposure-standards-framework-under-model-work-health-and-safety-laws</vt:lpwstr>
      </vt:variant>
      <vt:variant>
        <vt:lpwstr/>
      </vt:variant>
      <vt:variant>
        <vt:i4>196686</vt:i4>
      </vt:variant>
      <vt:variant>
        <vt:i4>648</vt:i4>
      </vt:variant>
      <vt:variant>
        <vt:i4>0</vt:i4>
      </vt:variant>
      <vt:variant>
        <vt:i4>5</vt:i4>
      </vt:variant>
      <vt:variant>
        <vt:lpwstr>https://www.safeworkaustralia.gov.au/doc/workplace-exposure-standards-airborne-contaminants-2024</vt:lpwstr>
      </vt:variant>
      <vt:variant>
        <vt:lpwstr/>
      </vt:variant>
      <vt:variant>
        <vt:i4>6094935</vt:i4>
      </vt:variant>
      <vt:variant>
        <vt:i4>645</vt:i4>
      </vt:variant>
      <vt:variant>
        <vt:i4>0</vt:i4>
      </vt:variant>
      <vt:variant>
        <vt:i4>5</vt:i4>
      </vt:variant>
      <vt:variant>
        <vt:lpwstr>https://www.safeworkaustralia.gov.au/doc/workplace-exposure-limits-airborne-contaminants</vt:lpwstr>
      </vt:variant>
      <vt:variant>
        <vt:lpwstr/>
      </vt:variant>
      <vt:variant>
        <vt:i4>196686</vt:i4>
      </vt:variant>
      <vt:variant>
        <vt:i4>642</vt:i4>
      </vt:variant>
      <vt:variant>
        <vt:i4>0</vt:i4>
      </vt:variant>
      <vt:variant>
        <vt:i4>5</vt:i4>
      </vt:variant>
      <vt:variant>
        <vt:lpwstr>https://www.safeworkaustralia.gov.au/doc/workplace-exposure-standards-airborne-contaminants-2024</vt:lpwstr>
      </vt:variant>
      <vt:variant>
        <vt:lpwstr/>
      </vt:variant>
      <vt:variant>
        <vt:i4>4259909</vt:i4>
      </vt:variant>
      <vt:variant>
        <vt:i4>639</vt:i4>
      </vt:variant>
      <vt:variant>
        <vt:i4>0</vt:i4>
      </vt:variant>
      <vt:variant>
        <vt:i4>5</vt:i4>
      </vt:variant>
      <vt:variant>
        <vt:lpwstr>https://www.safeworkaustralia.gov.au/doc/decision-regulation-impact-statement-workplace-exposure-standards-framework-under-model-work-health-and-safety-laws</vt:lpwstr>
      </vt:variant>
      <vt:variant>
        <vt:lpwstr/>
      </vt:variant>
      <vt:variant>
        <vt:i4>1245242</vt:i4>
      </vt:variant>
      <vt:variant>
        <vt:i4>632</vt:i4>
      </vt:variant>
      <vt:variant>
        <vt:i4>0</vt:i4>
      </vt:variant>
      <vt:variant>
        <vt:i4>5</vt:i4>
      </vt:variant>
      <vt:variant>
        <vt:lpwstr/>
      </vt:variant>
      <vt:variant>
        <vt:lpwstr>_Toc216172962</vt:lpwstr>
      </vt:variant>
      <vt:variant>
        <vt:i4>1245242</vt:i4>
      </vt:variant>
      <vt:variant>
        <vt:i4>626</vt:i4>
      </vt:variant>
      <vt:variant>
        <vt:i4>0</vt:i4>
      </vt:variant>
      <vt:variant>
        <vt:i4>5</vt:i4>
      </vt:variant>
      <vt:variant>
        <vt:lpwstr/>
      </vt:variant>
      <vt:variant>
        <vt:lpwstr>_Toc216172961</vt:lpwstr>
      </vt:variant>
      <vt:variant>
        <vt:i4>1245242</vt:i4>
      </vt:variant>
      <vt:variant>
        <vt:i4>620</vt:i4>
      </vt:variant>
      <vt:variant>
        <vt:i4>0</vt:i4>
      </vt:variant>
      <vt:variant>
        <vt:i4>5</vt:i4>
      </vt:variant>
      <vt:variant>
        <vt:lpwstr/>
      </vt:variant>
      <vt:variant>
        <vt:lpwstr>_Toc216172960</vt:lpwstr>
      </vt:variant>
      <vt:variant>
        <vt:i4>1048634</vt:i4>
      </vt:variant>
      <vt:variant>
        <vt:i4>614</vt:i4>
      </vt:variant>
      <vt:variant>
        <vt:i4>0</vt:i4>
      </vt:variant>
      <vt:variant>
        <vt:i4>5</vt:i4>
      </vt:variant>
      <vt:variant>
        <vt:lpwstr/>
      </vt:variant>
      <vt:variant>
        <vt:lpwstr>_Toc216172959</vt:lpwstr>
      </vt:variant>
      <vt:variant>
        <vt:i4>1048634</vt:i4>
      </vt:variant>
      <vt:variant>
        <vt:i4>608</vt:i4>
      </vt:variant>
      <vt:variant>
        <vt:i4>0</vt:i4>
      </vt:variant>
      <vt:variant>
        <vt:i4>5</vt:i4>
      </vt:variant>
      <vt:variant>
        <vt:lpwstr/>
      </vt:variant>
      <vt:variant>
        <vt:lpwstr>_Toc216172958</vt:lpwstr>
      </vt:variant>
      <vt:variant>
        <vt:i4>1048634</vt:i4>
      </vt:variant>
      <vt:variant>
        <vt:i4>602</vt:i4>
      </vt:variant>
      <vt:variant>
        <vt:i4>0</vt:i4>
      </vt:variant>
      <vt:variant>
        <vt:i4>5</vt:i4>
      </vt:variant>
      <vt:variant>
        <vt:lpwstr/>
      </vt:variant>
      <vt:variant>
        <vt:lpwstr>_Toc216172957</vt:lpwstr>
      </vt:variant>
      <vt:variant>
        <vt:i4>1048634</vt:i4>
      </vt:variant>
      <vt:variant>
        <vt:i4>596</vt:i4>
      </vt:variant>
      <vt:variant>
        <vt:i4>0</vt:i4>
      </vt:variant>
      <vt:variant>
        <vt:i4>5</vt:i4>
      </vt:variant>
      <vt:variant>
        <vt:lpwstr/>
      </vt:variant>
      <vt:variant>
        <vt:lpwstr>_Toc216172956</vt:lpwstr>
      </vt:variant>
      <vt:variant>
        <vt:i4>1048634</vt:i4>
      </vt:variant>
      <vt:variant>
        <vt:i4>590</vt:i4>
      </vt:variant>
      <vt:variant>
        <vt:i4>0</vt:i4>
      </vt:variant>
      <vt:variant>
        <vt:i4>5</vt:i4>
      </vt:variant>
      <vt:variant>
        <vt:lpwstr/>
      </vt:variant>
      <vt:variant>
        <vt:lpwstr>_Toc216172955</vt:lpwstr>
      </vt:variant>
      <vt:variant>
        <vt:i4>1048634</vt:i4>
      </vt:variant>
      <vt:variant>
        <vt:i4>584</vt:i4>
      </vt:variant>
      <vt:variant>
        <vt:i4>0</vt:i4>
      </vt:variant>
      <vt:variant>
        <vt:i4>5</vt:i4>
      </vt:variant>
      <vt:variant>
        <vt:lpwstr/>
      </vt:variant>
      <vt:variant>
        <vt:lpwstr>_Toc216172954</vt:lpwstr>
      </vt:variant>
      <vt:variant>
        <vt:i4>1048634</vt:i4>
      </vt:variant>
      <vt:variant>
        <vt:i4>578</vt:i4>
      </vt:variant>
      <vt:variant>
        <vt:i4>0</vt:i4>
      </vt:variant>
      <vt:variant>
        <vt:i4>5</vt:i4>
      </vt:variant>
      <vt:variant>
        <vt:lpwstr/>
      </vt:variant>
      <vt:variant>
        <vt:lpwstr>_Toc216172953</vt:lpwstr>
      </vt:variant>
      <vt:variant>
        <vt:i4>1048634</vt:i4>
      </vt:variant>
      <vt:variant>
        <vt:i4>572</vt:i4>
      </vt:variant>
      <vt:variant>
        <vt:i4>0</vt:i4>
      </vt:variant>
      <vt:variant>
        <vt:i4>5</vt:i4>
      </vt:variant>
      <vt:variant>
        <vt:lpwstr/>
      </vt:variant>
      <vt:variant>
        <vt:lpwstr>_Toc216172952</vt:lpwstr>
      </vt:variant>
      <vt:variant>
        <vt:i4>1048634</vt:i4>
      </vt:variant>
      <vt:variant>
        <vt:i4>566</vt:i4>
      </vt:variant>
      <vt:variant>
        <vt:i4>0</vt:i4>
      </vt:variant>
      <vt:variant>
        <vt:i4>5</vt:i4>
      </vt:variant>
      <vt:variant>
        <vt:lpwstr/>
      </vt:variant>
      <vt:variant>
        <vt:lpwstr>_Toc216172951</vt:lpwstr>
      </vt:variant>
      <vt:variant>
        <vt:i4>1048634</vt:i4>
      </vt:variant>
      <vt:variant>
        <vt:i4>560</vt:i4>
      </vt:variant>
      <vt:variant>
        <vt:i4>0</vt:i4>
      </vt:variant>
      <vt:variant>
        <vt:i4>5</vt:i4>
      </vt:variant>
      <vt:variant>
        <vt:lpwstr/>
      </vt:variant>
      <vt:variant>
        <vt:lpwstr>_Toc216172950</vt:lpwstr>
      </vt:variant>
      <vt:variant>
        <vt:i4>1114170</vt:i4>
      </vt:variant>
      <vt:variant>
        <vt:i4>554</vt:i4>
      </vt:variant>
      <vt:variant>
        <vt:i4>0</vt:i4>
      </vt:variant>
      <vt:variant>
        <vt:i4>5</vt:i4>
      </vt:variant>
      <vt:variant>
        <vt:lpwstr/>
      </vt:variant>
      <vt:variant>
        <vt:lpwstr>_Toc216172949</vt:lpwstr>
      </vt:variant>
      <vt:variant>
        <vt:i4>1114170</vt:i4>
      </vt:variant>
      <vt:variant>
        <vt:i4>548</vt:i4>
      </vt:variant>
      <vt:variant>
        <vt:i4>0</vt:i4>
      </vt:variant>
      <vt:variant>
        <vt:i4>5</vt:i4>
      </vt:variant>
      <vt:variant>
        <vt:lpwstr/>
      </vt:variant>
      <vt:variant>
        <vt:lpwstr>_Toc216172948</vt:lpwstr>
      </vt:variant>
      <vt:variant>
        <vt:i4>1114170</vt:i4>
      </vt:variant>
      <vt:variant>
        <vt:i4>542</vt:i4>
      </vt:variant>
      <vt:variant>
        <vt:i4>0</vt:i4>
      </vt:variant>
      <vt:variant>
        <vt:i4>5</vt:i4>
      </vt:variant>
      <vt:variant>
        <vt:lpwstr/>
      </vt:variant>
      <vt:variant>
        <vt:lpwstr>_Toc216172947</vt:lpwstr>
      </vt:variant>
      <vt:variant>
        <vt:i4>1114170</vt:i4>
      </vt:variant>
      <vt:variant>
        <vt:i4>536</vt:i4>
      </vt:variant>
      <vt:variant>
        <vt:i4>0</vt:i4>
      </vt:variant>
      <vt:variant>
        <vt:i4>5</vt:i4>
      </vt:variant>
      <vt:variant>
        <vt:lpwstr/>
      </vt:variant>
      <vt:variant>
        <vt:lpwstr>_Toc216172946</vt:lpwstr>
      </vt:variant>
      <vt:variant>
        <vt:i4>1114170</vt:i4>
      </vt:variant>
      <vt:variant>
        <vt:i4>530</vt:i4>
      </vt:variant>
      <vt:variant>
        <vt:i4>0</vt:i4>
      </vt:variant>
      <vt:variant>
        <vt:i4>5</vt:i4>
      </vt:variant>
      <vt:variant>
        <vt:lpwstr/>
      </vt:variant>
      <vt:variant>
        <vt:lpwstr>_Toc216172945</vt:lpwstr>
      </vt:variant>
      <vt:variant>
        <vt:i4>1114170</vt:i4>
      </vt:variant>
      <vt:variant>
        <vt:i4>524</vt:i4>
      </vt:variant>
      <vt:variant>
        <vt:i4>0</vt:i4>
      </vt:variant>
      <vt:variant>
        <vt:i4>5</vt:i4>
      </vt:variant>
      <vt:variant>
        <vt:lpwstr/>
      </vt:variant>
      <vt:variant>
        <vt:lpwstr>_Toc216172944</vt:lpwstr>
      </vt:variant>
      <vt:variant>
        <vt:i4>1114170</vt:i4>
      </vt:variant>
      <vt:variant>
        <vt:i4>518</vt:i4>
      </vt:variant>
      <vt:variant>
        <vt:i4>0</vt:i4>
      </vt:variant>
      <vt:variant>
        <vt:i4>5</vt:i4>
      </vt:variant>
      <vt:variant>
        <vt:lpwstr/>
      </vt:variant>
      <vt:variant>
        <vt:lpwstr>_Toc216172943</vt:lpwstr>
      </vt:variant>
      <vt:variant>
        <vt:i4>1114170</vt:i4>
      </vt:variant>
      <vt:variant>
        <vt:i4>512</vt:i4>
      </vt:variant>
      <vt:variant>
        <vt:i4>0</vt:i4>
      </vt:variant>
      <vt:variant>
        <vt:i4>5</vt:i4>
      </vt:variant>
      <vt:variant>
        <vt:lpwstr/>
      </vt:variant>
      <vt:variant>
        <vt:lpwstr>_Toc216172942</vt:lpwstr>
      </vt:variant>
      <vt:variant>
        <vt:i4>1114170</vt:i4>
      </vt:variant>
      <vt:variant>
        <vt:i4>506</vt:i4>
      </vt:variant>
      <vt:variant>
        <vt:i4>0</vt:i4>
      </vt:variant>
      <vt:variant>
        <vt:i4>5</vt:i4>
      </vt:variant>
      <vt:variant>
        <vt:lpwstr/>
      </vt:variant>
      <vt:variant>
        <vt:lpwstr>_Toc216172941</vt:lpwstr>
      </vt:variant>
      <vt:variant>
        <vt:i4>1114170</vt:i4>
      </vt:variant>
      <vt:variant>
        <vt:i4>500</vt:i4>
      </vt:variant>
      <vt:variant>
        <vt:i4>0</vt:i4>
      </vt:variant>
      <vt:variant>
        <vt:i4>5</vt:i4>
      </vt:variant>
      <vt:variant>
        <vt:lpwstr/>
      </vt:variant>
      <vt:variant>
        <vt:lpwstr>_Toc216172940</vt:lpwstr>
      </vt:variant>
      <vt:variant>
        <vt:i4>1441850</vt:i4>
      </vt:variant>
      <vt:variant>
        <vt:i4>494</vt:i4>
      </vt:variant>
      <vt:variant>
        <vt:i4>0</vt:i4>
      </vt:variant>
      <vt:variant>
        <vt:i4>5</vt:i4>
      </vt:variant>
      <vt:variant>
        <vt:lpwstr/>
      </vt:variant>
      <vt:variant>
        <vt:lpwstr>_Toc216172939</vt:lpwstr>
      </vt:variant>
      <vt:variant>
        <vt:i4>1441850</vt:i4>
      </vt:variant>
      <vt:variant>
        <vt:i4>488</vt:i4>
      </vt:variant>
      <vt:variant>
        <vt:i4>0</vt:i4>
      </vt:variant>
      <vt:variant>
        <vt:i4>5</vt:i4>
      </vt:variant>
      <vt:variant>
        <vt:lpwstr/>
      </vt:variant>
      <vt:variant>
        <vt:lpwstr>_Toc216172938</vt:lpwstr>
      </vt:variant>
      <vt:variant>
        <vt:i4>1441850</vt:i4>
      </vt:variant>
      <vt:variant>
        <vt:i4>482</vt:i4>
      </vt:variant>
      <vt:variant>
        <vt:i4>0</vt:i4>
      </vt:variant>
      <vt:variant>
        <vt:i4>5</vt:i4>
      </vt:variant>
      <vt:variant>
        <vt:lpwstr/>
      </vt:variant>
      <vt:variant>
        <vt:lpwstr>_Toc216172937</vt:lpwstr>
      </vt:variant>
      <vt:variant>
        <vt:i4>1441850</vt:i4>
      </vt:variant>
      <vt:variant>
        <vt:i4>476</vt:i4>
      </vt:variant>
      <vt:variant>
        <vt:i4>0</vt:i4>
      </vt:variant>
      <vt:variant>
        <vt:i4>5</vt:i4>
      </vt:variant>
      <vt:variant>
        <vt:lpwstr/>
      </vt:variant>
      <vt:variant>
        <vt:lpwstr>_Toc216172936</vt:lpwstr>
      </vt:variant>
      <vt:variant>
        <vt:i4>1441850</vt:i4>
      </vt:variant>
      <vt:variant>
        <vt:i4>470</vt:i4>
      </vt:variant>
      <vt:variant>
        <vt:i4>0</vt:i4>
      </vt:variant>
      <vt:variant>
        <vt:i4>5</vt:i4>
      </vt:variant>
      <vt:variant>
        <vt:lpwstr/>
      </vt:variant>
      <vt:variant>
        <vt:lpwstr>_Toc216172935</vt:lpwstr>
      </vt:variant>
      <vt:variant>
        <vt:i4>1441850</vt:i4>
      </vt:variant>
      <vt:variant>
        <vt:i4>464</vt:i4>
      </vt:variant>
      <vt:variant>
        <vt:i4>0</vt:i4>
      </vt:variant>
      <vt:variant>
        <vt:i4>5</vt:i4>
      </vt:variant>
      <vt:variant>
        <vt:lpwstr/>
      </vt:variant>
      <vt:variant>
        <vt:lpwstr>_Toc216172934</vt:lpwstr>
      </vt:variant>
      <vt:variant>
        <vt:i4>1441850</vt:i4>
      </vt:variant>
      <vt:variant>
        <vt:i4>458</vt:i4>
      </vt:variant>
      <vt:variant>
        <vt:i4>0</vt:i4>
      </vt:variant>
      <vt:variant>
        <vt:i4>5</vt:i4>
      </vt:variant>
      <vt:variant>
        <vt:lpwstr/>
      </vt:variant>
      <vt:variant>
        <vt:lpwstr>_Toc216172933</vt:lpwstr>
      </vt:variant>
      <vt:variant>
        <vt:i4>1441850</vt:i4>
      </vt:variant>
      <vt:variant>
        <vt:i4>452</vt:i4>
      </vt:variant>
      <vt:variant>
        <vt:i4>0</vt:i4>
      </vt:variant>
      <vt:variant>
        <vt:i4>5</vt:i4>
      </vt:variant>
      <vt:variant>
        <vt:lpwstr/>
      </vt:variant>
      <vt:variant>
        <vt:lpwstr>_Toc216172932</vt:lpwstr>
      </vt:variant>
      <vt:variant>
        <vt:i4>1441850</vt:i4>
      </vt:variant>
      <vt:variant>
        <vt:i4>446</vt:i4>
      </vt:variant>
      <vt:variant>
        <vt:i4>0</vt:i4>
      </vt:variant>
      <vt:variant>
        <vt:i4>5</vt:i4>
      </vt:variant>
      <vt:variant>
        <vt:lpwstr/>
      </vt:variant>
      <vt:variant>
        <vt:lpwstr>_Toc216172931</vt:lpwstr>
      </vt:variant>
      <vt:variant>
        <vt:i4>1441850</vt:i4>
      </vt:variant>
      <vt:variant>
        <vt:i4>440</vt:i4>
      </vt:variant>
      <vt:variant>
        <vt:i4>0</vt:i4>
      </vt:variant>
      <vt:variant>
        <vt:i4>5</vt:i4>
      </vt:variant>
      <vt:variant>
        <vt:lpwstr/>
      </vt:variant>
      <vt:variant>
        <vt:lpwstr>_Toc216172930</vt:lpwstr>
      </vt:variant>
      <vt:variant>
        <vt:i4>1507386</vt:i4>
      </vt:variant>
      <vt:variant>
        <vt:i4>434</vt:i4>
      </vt:variant>
      <vt:variant>
        <vt:i4>0</vt:i4>
      </vt:variant>
      <vt:variant>
        <vt:i4>5</vt:i4>
      </vt:variant>
      <vt:variant>
        <vt:lpwstr/>
      </vt:variant>
      <vt:variant>
        <vt:lpwstr>_Toc216172929</vt:lpwstr>
      </vt:variant>
      <vt:variant>
        <vt:i4>1507386</vt:i4>
      </vt:variant>
      <vt:variant>
        <vt:i4>428</vt:i4>
      </vt:variant>
      <vt:variant>
        <vt:i4>0</vt:i4>
      </vt:variant>
      <vt:variant>
        <vt:i4>5</vt:i4>
      </vt:variant>
      <vt:variant>
        <vt:lpwstr/>
      </vt:variant>
      <vt:variant>
        <vt:lpwstr>_Toc216172928</vt:lpwstr>
      </vt:variant>
      <vt:variant>
        <vt:i4>1507386</vt:i4>
      </vt:variant>
      <vt:variant>
        <vt:i4>422</vt:i4>
      </vt:variant>
      <vt:variant>
        <vt:i4>0</vt:i4>
      </vt:variant>
      <vt:variant>
        <vt:i4>5</vt:i4>
      </vt:variant>
      <vt:variant>
        <vt:lpwstr/>
      </vt:variant>
      <vt:variant>
        <vt:lpwstr>_Toc216172927</vt:lpwstr>
      </vt:variant>
      <vt:variant>
        <vt:i4>1507386</vt:i4>
      </vt:variant>
      <vt:variant>
        <vt:i4>416</vt:i4>
      </vt:variant>
      <vt:variant>
        <vt:i4>0</vt:i4>
      </vt:variant>
      <vt:variant>
        <vt:i4>5</vt:i4>
      </vt:variant>
      <vt:variant>
        <vt:lpwstr/>
      </vt:variant>
      <vt:variant>
        <vt:lpwstr>_Toc216172926</vt:lpwstr>
      </vt:variant>
      <vt:variant>
        <vt:i4>1507386</vt:i4>
      </vt:variant>
      <vt:variant>
        <vt:i4>410</vt:i4>
      </vt:variant>
      <vt:variant>
        <vt:i4>0</vt:i4>
      </vt:variant>
      <vt:variant>
        <vt:i4>5</vt:i4>
      </vt:variant>
      <vt:variant>
        <vt:lpwstr/>
      </vt:variant>
      <vt:variant>
        <vt:lpwstr>_Toc216172925</vt:lpwstr>
      </vt:variant>
      <vt:variant>
        <vt:i4>1507386</vt:i4>
      </vt:variant>
      <vt:variant>
        <vt:i4>404</vt:i4>
      </vt:variant>
      <vt:variant>
        <vt:i4>0</vt:i4>
      </vt:variant>
      <vt:variant>
        <vt:i4>5</vt:i4>
      </vt:variant>
      <vt:variant>
        <vt:lpwstr/>
      </vt:variant>
      <vt:variant>
        <vt:lpwstr>_Toc216172924</vt:lpwstr>
      </vt:variant>
      <vt:variant>
        <vt:i4>1507386</vt:i4>
      </vt:variant>
      <vt:variant>
        <vt:i4>398</vt:i4>
      </vt:variant>
      <vt:variant>
        <vt:i4>0</vt:i4>
      </vt:variant>
      <vt:variant>
        <vt:i4>5</vt:i4>
      </vt:variant>
      <vt:variant>
        <vt:lpwstr/>
      </vt:variant>
      <vt:variant>
        <vt:lpwstr>_Toc216172923</vt:lpwstr>
      </vt:variant>
      <vt:variant>
        <vt:i4>1507386</vt:i4>
      </vt:variant>
      <vt:variant>
        <vt:i4>392</vt:i4>
      </vt:variant>
      <vt:variant>
        <vt:i4>0</vt:i4>
      </vt:variant>
      <vt:variant>
        <vt:i4>5</vt:i4>
      </vt:variant>
      <vt:variant>
        <vt:lpwstr/>
      </vt:variant>
      <vt:variant>
        <vt:lpwstr>_Toc216172922</vt:lpwstr>
      </vt:variant>
      <vt:variant>
        <vt:i4>1507386</vt:i4>
      </vt:variant>
      <vt:variant>
        <vt:i4>386</vt:i4>
      </vt:variant>
      <vt:variant>
        <vt:i4>0</vt:i4>
      </vt:variant>
      <vt:variant>
        <vt:i4>5</vt:i4>
      </vt:variant>
      <vt:variant>
        <vt:lpwstr/>
      </vt:variant>
      <vt:variant>
        <vt:lpwstr>_Toc216172921</vt:lpwstr>
      </vt:variant>
      <vt:variant>
        <vt:i4>1507386</vt:i4>
      </vt:variant>
      <vt:variant>
        <vt:i4>380</vt:i4>
      </vt:variant>
      <vt:variant>
        <vt:i4>0</vt:i4>
      </vt:variant>
      <vt:variant>
        <vt:i4>5</vt:i4>
      </vt:variant>
      <vt:variant>
        <vt:lpwstr/>
      </vt:variant>
      <vt:variant>
        <vt:lpwstr>_Toc216172920</vt:lpwstr>
      </vt:variant>
      <vt:variant>
        <vt:i4>1310778</vt:i4>
      </vt:variant>
      <vt:variant>
        <vt:i4>374</vt:i4>
      </vt:variant>
      <vt:variant>
        <vt:i4>0</vt:i4>
      </vt:variant>
      <vt:variant>
        <vt:i4>5</vt:i4>
      </vt:variant>
      <vt:variant>
        <vt:lpwstr/>
      </vt:variant>
      <vt:variant>
        <vt:lpwstr>_Toc216172919</vt:lpwstr>
      </vt:variant>
      <vt:variant>
        <vt:i4>1310778</vt:i4>
      </vt:variant>
      <vt:variant>
        <vt:i4>368</vt:i4>
      </vt:variant>
      <vt:variant>
        <vt:i4>0</vt:i4>
      </vt:variant>
      <vt:variant>
        <vt:i4>5</vt:i4>
      </vt:variant>
      <vt:variant>
        <vt:lpwstr/>
      </vt:variant>
      <vt:variant>
        <vt:lpwstr>_Toc216172918</vt:lpwstr>
      </vt:variant>
      <vt:variant>
        <vt:i4>1310778</vt:i4>
      </vt:variant>
      <vt:variant>
        <vt:i4>362</vt:i4>
      </vt:variant>
      <vt:variant>
        <vt:i4>0</vt:i4>
      </vt:variant>
      <vt:variant>
        <vt:i4>5</vt:i4>
      </vt:variant>
      <vt:variant>
        <vt:lpwstr/>
      </vt:variant>
      <vt:variant>
        <vt:lpwstr>_Toc216172917</vt:lpwstr>
      </vt:variant>
      <vt:variant>
        <vt:i4>1310778</vt:i4>
      </vt:variant>
      <vt:variant>
        <vt:i4>356</vt:i4>
      </vt:variant>
      <vt:variant>
        <vt:i4>0</vt:i4>
      </vt:variant>
      <vt:variant>
        <vt:i4>5</vt:i4>
      </vt:variant>
      <vt:variant>
        <vt:lpwstr/>
      </vt:variant>
      <vt:variant>
        <vt:lpwstr>_Toc216172916</vt:lpwstr>
      </vt:variant>
      <vt:variant>
        <vt:i4>1310778</vt:i4>
      </vt:variant>
      <vt:variant>
        <vt:i4>350</vt:i4>
      </vt:variant>
      <vt:variant>
        <vt:i4>0</vt:i4>
      </vt:variant>
      <vt:variant>
        <vt:i4>5</vt:i4>
      </vt:variant>
      <vt:variant>
        <vt:lpwstr/>
      </vt:variant>
      <vt:variant>
        <vt:lpwstr>_Toc216172915</vt:lpwstr>
      </vt:variant>
      <vt:variant>
        <vt:i4>1310778</vt:i4>
      </vt:variant>
      <vt:variant>
        <vt:i4>344</vt:i4>
      </vt:variant>
      <vt:variant>
        <vt:i4>0</vt:i4>
      </vt:variant>
      <vt:variant>
        <vt:i4>5</vt:i4>
      </vt:variant>
      <vt:variant>
        <vt:lpwstr/>
      </vt:variant>
      <vt:variant>
        <vt:lpwstr>_Toc216172914</vt:lpwstr>
      </vt:variant>
      <vt:variant>
        <vt:i4>1310778</vt:i4>
      </vt:variant>
      <vt:variant>
        <vt:i4>338</vt:i4>
      </vt:variant>
      <vt:variant>
        <vt:i4>0</vt:i4>
      </vt:variant>
      <vt:variant>
        <vt:i4>5</vt:i4>
      </vt:variant>
      <vt:variant>
        <vt:lpwstr/>
      </vt:variant>
      <vt:variant>
        <vt:lpwstr>_Toc216172913</vt:lpwstr>
      </vt:variant>
      <vt:variant>
        <vt:i4>1310778</vt:i4>
      </vt:variant>
      <vt:variant>
        <vt:i4>332</vt:i4>
      </vt:variant>
      <vt:variant>
        <vt:i4>0</vt:i4>
      </vt:variant>
      <vt:variant>
        <vt:i4>5</vt:i4>
      </vt:variant>
      <vt:variant>
        <vt:lpwstr/>
      </vt:variant>
      <vt:variant>
        <vt:lpwstr>_Toc216172912</vt:lpwstr>
      </vt:variant>
      <vt:variant>
        <vt:i4>1310778</vt:i4>
      </vt:variant>
      <vt:variant>
        <vt:i4>326</vt:i4>
      </vt:variant>
      <vt:variant>
        <vt:i4>0</vt:i4>
      </vt:variant>
      <vt:variant>
        <vt:i4>5</vt:i4>
      </vt:variant>
      <vt:variant>
        <vt:lpwstr/>
      </vt:variant>
      <vt:variant>
        <vt:lpwstr>_Toc216172911</vt:lpwstr>
      </vt:variant>
      <vt:variant>
        <vt:i4>1310778</vt:i4>
      </vt:variant>
      <vt:variant>
        <vt:i4>320</vt:i4>
      </vt:variant>
      <vt:variant>
        <vt:i4>0</vt:i4>
      </vt:variant>
      <vt:variant>
        <vt:i4>5</vt:i4>
      </vt:variant>
      <vt:variant>
        <vt:lpwstr/>
      </vt:variant>
      <vt:variant>
        <vt:lpwstr>_Toc216172910</vt:lpwstr>
      </vt:variant>
      <vt:variant>
        <vt:i4>1376314</vt:i4>
      </vt:variant>
      <vt:variant>
        <vt:i4>314</vt:i4>
      </vt:variant>
      <vt:variant>
        <vt:i4>0</vt:i4>
      </vt:variant>
      <vt:variant>
        <vt:i4>5</vt:i4>
      </vt:variant>
      <vt:variant>
        <vt:lpwstr/>
      </vt:variant>
      <vt:variant>
        <vt:lpwstr>_Toc216172909</vt:lpwstr>
      </vt:variant>
      <vt:variant>
        <vt:i4>1376314</vt:i4>
      </vt:variant>
      <vt:variant>
        <vt:i4>308</vt:i4>
      </vt:variant>
      <vt:variant>
        <vt:i4>0</vt:i4>
      </vt:variant>
      <vt:variant>
        <vt:i4>5</vt:i4>
      </vt:variant>
      <vt:variant>
        <vt:lpwstr/>
      </vt:variant>
      <vt:variant>
        <vt:lpwstr>_Toc216172908</vt:lpwstr>
      </vt:variant>
      <vt:variant>
        <vt:i4>1376314</vt:i4>
      </vt:variant>
      <vt:variant>
        <vt:i4>302</vt:i4>
      </vt:variant>
      <vt:variant>
        <vt:i4>0</vt:i4>
      </vt:variant>
      <vt:variant>
        <vt:i4>5</vt:i4>
      </vt:variant>
      <vt:variant>
        <vt:lpwstr/>
      </vt:variant>
      <vt:variant>
        <vt:lpwstr>_Toc216172907</vt:lpwstr>
      </vt:variant>
      <vt:variant>
        <vt:i4>1376314</vt:i4>
      </vt:variant>
      <vt:variant>
        <vt:i4>296</vt:i4>
      </vt:variant>
      <vt:variant>
        <vt:i4>0</vt:i4>
      </vt:variant>
      <vt:variant>
        <vt:i4>5</vt:i4>
      </vt:variant>
      <vt:variant>
        <vt:lpwstr/>
      </vt:variant>
      <vt:variant>
        <vt:lpwstr>_Toc216172906</vt:lpwstr>
      </vt:variant>
      <vt:variant>
        <vt:i4>1376314</vt:i4>
      </vt:variant>
      <vt:variant>
        <vt:i4>290</vt:i4>
      </vt:variant>
      <vt:variant>
        <vt:i4>0</vt:i4>
      </vt:variant>
      <vt:variant>
        <vt:i4>5</vt:i4>
      </vt:variant>
      <vt:variant>
        <vt:lpwstr/>
      </vt:variant>
      <vt:variant>
        <vt:lpwstr>_Toc216172905</vt:lpwstr>
      </vt:variant>
      <vt:variant>
        <vt:i4>1376314</vt:i4>
      </vt:variant>
      <vt:variant>
        <vt:i4>284</vt:i4>
      </vt:variant>
      <vt:variant>
        <vt:i4>0</vt:i4>
      </vt:variant>
      <vt:variant>
        <vt:i4>5</vt:i4>
      </vt:variant>
      <vt:variant>
        <vt:lpwstr/>
      </vt:variant>
      <vt:variant>
        <vt:lpwstr>_Toc216172904</vt:lpwstr>
      </vt:variant>
      <vt:variant>
        <vt:i4>1376314</vt:i4>
      </vt:variant>
      <vt:variant>
        <vt:i4>278</vt:i4>
      </vt:variant>
      <vt:variant>
        <vt:i4>0</vt:i4>
      </vt:variant>
      <vt:variant>
        <vt:i4>5</vt:i4>
      </vt:variant>
      <vt:variant>
        <vt:lpwstr/>
      </vt:variant>
      <vt:variant>
        <vt:lpwstr>_Toc216172903</vt:lpwstr>
      </vt:variant>
      <vt:variant>
        <vt:i4>1376314</vt:i4>
      </vt:variant>
      <vt:variant>
        <vt:i4>272</vt:i4>
      </vt:variant>
      <vt:variant>
        <vt:i4>0</vt:i4>
      </vt:variant>
      <vt:variant>
        <vt:i4>5</vt:i4>
      </vt:variant>
      <vt:variant>
        <vt:lpwstr/>
      </vt:variant>
      <vt:variant>
        <vt:lpwstr>_Toc216172902</vt:lpwstr>
      </vt:variant>
      <vt:variant>
        <vt:i4>1376314</vt:i4>
      </vt:variant>
      <vt:variant>
        <vt:i4>266</vt:i4>
      </vt:variant>
      <vt:variant>
        <vt:i4>0</vt:i4>
      </vt:variant>
      <vt:variant>
        <vt:i4>5</vt:i4>
      </vt:variant>
      <vt:variant>
        <vt:lpwstr/>
      </vt:variant>
      <vt:variant>
        <vt:lpwstr>_Toc216172901</vt:lpwstr>
      </vt:variant>
      <vt:variant>
        <vt:i4>1376314</vt:i4>
      </vt:variant>
      <vt:variant>
        <vt:i4>260</vt:i4>
      </vt:variant>
      <vt:variant>
        <vt:i4>0</vt:i4>
      </vt:variant>
      <vt:variant>
        <vt:i4>5</vt:i4>
      </vt:variant>
      <vt:variant>
        <vt:lpwstr/>
      </vt:variant>
      <vt:variant>
        <vt:lpwstr>_Toc216172900</vt:lpwstr>
      </vt:variant>
      <vt:variant>
        <vt:i4>1835067</vt:i4>
      </vt:variant>
      <vt:variant>
        <vt:i4>254</vt:i4>
      </vt:variant>
      <vt:variant>
        <vt:i4>0</vt:i4>
      </vt:variant>
      <vt:variant>
        <vt:i4>5</vt:i4>
      </vt:variant>
      <vt:variant>
        <vt:lpwstr/>
      </vt:variant>
      <vt:variant>
        <vt:lpwstr>_Toc216172899</vt:lpwstr>
      </vt:variant>
      <vt:variant>
        <vt:i4>1835067</vt:i4>
      </vt:variant>
      <vt:variant>
        <vt:i4>248</vt:i4>
      </vt:variant>
      <vt:variant>
        <vt:i4>0</vt:i4>
      </vt:variant>
      <vt:variant>
        <vt:i4>5</vt:i4>
      </vt:variant>
      <vt:variant>
        <vt:lpwstr/>
      </vt:variant>
      <vt:variant>
        <vt:lpwstr>_Toc216172898</vt:lpwstr>
      </vt:variant>
      <vt:variant>
        <vt:i4>1835067</vt:i4>
      </vt:variant>
      <vt:variant>
        <vt:i4>242</vt:i4>
      </vt:variant>
      <vt:variant>
        <vt:i4>0</vt:i4>
      </vt:variant>
      <vt:variant>
        <vt:i4>5</vt:i4>
      </vt:variant>
      <vt:variant>
        <vt:lpwstr/>
      </vt:variant>
      <vt:variant>
        <vt:lpwstr>_Toc216172897</vt:lpwstr>
      </vt:variant>
      <vt:variant>
        <vt:i4>1835067</vt:i4>
      </vt:variant>
      <vt:variant>
        <vt:i4>236</vt:i4>
      </vt:variant>
      <vt:variant>
        <vt:i4>0</vt:i4>
      </vt:variant>
      <vt:variant>
        <vt:i4>5</vt:i4>
      </vt:variant>
      <vt:variant>
        <vt:lpwstr/>
      </vt:variant>
      <vt:variant>
        <vt:lpwstr>_Toc216172896</vt:lpwstr>
      </vt:variant>
      <vt:variant>
        <vt:i4>1835067</vt:i4>
      </vt:variant>
      <vt:variant>
        <vt:i4>230</vt:i4>
      </vt:variant>
      <vt:variant>
        <vt:i4>0</vt:i4>
      </vt:variant>
      <vt:variant>
        <vt:i4>5</vt:i4>
      </vt:variant>
      <vt:variant>
        <vt:lpwstr/>
      </vt:variant>
      <vt:variant>
        <vt:lpwstr>_Toc216172895</vt:lpwstr>
      </vt:variant>
      <vt:variant>
        <vt:i4>1835067</vt:i4>
      </vt:variant>
      <vt:variant>
        <vt:i4>224</vt:i4>
      </vt:variant>
      <vt:variant>
        <vt:i4>0</vt:i4>
      </vt:variant>
      <vt:variant>
        <vt:i4>5</vt:i4>
      </vt:variant>
      <vt:variant>
        <vt:lpwstr/>
      </vt:variant>
      <vt:variant>
        <vt:lpwstr>_Toc216172894</vt:lpwstr>
      </vt:variant>
      <vt:variant>
        <vt:i4>1835067</vt:i4>
      </vt:variant>
      <vt:variant>
        <vt:i4>218</vt:i4>
      </vt:variant>
      <vt:variant>
        <vt:i4>0</vt:i4>
      </vt:variant>
      <vt:variant>
        <vt:i4>5</vt:i4>
      </vt:variant>
      <vt:variant>
        <vt:lpwstr/>
      </vt:variant>
      <vt:variant>
        <vt:lpwstr>_Toc216172893</vt:lpwstr>
      </vt:variant>
      <vt:variant>
        <vt:i4>1835067</vt:i4>
      </vt:variant>
      <vt:variant>
        <vt:i4>212</vt:i4>
      </vt:variant>
      <vt:variant>
        <vt:i4>0</vt:i4>
      </vt:variant>
      <vt:variant>
        <vt:i4>5</vt:i4>
      </vt:variant>
      <vt:variant>
        <vt:lpwstr/>
      </vt:variant>
      <vt:variant>
        <vt:lpwstr>_Toc216172892</vt:lpwstr>
      </vt:variant>
      <vt:variant>
        <vt:i4>1835067</vt:i4>
      </vt:variant>
      <vt:variant>
        <vt:i4>206</vt:i4>
      </vt:variant>
      <vt:variant>
        <vt:i4>0</vt:i4>
      </vt:variant>
      <vt:variant>
        <vt:i4>5</vt:i4>
      </vt:variant>
      <vt:variant>
        <vt:lpwstr/>
      </vt:variant>
      <vt:variant>
        <vt:lpwstr>_Toc216172891</vt:lpwstr>
      </vt:variant>
      <vt:variant>
        <vt:i4>1835067</vt:i4>
      </vt:variant>
      <vt:variant>
        <vt:i4>200</vt:i4>
      </vt:variant>
      <vt:variant>
        <vt:i4>0</vt:i4>
      </vt:variant>
      <vt:variant>
        <vt:i4>5</vt:i4>
      </vt:variant>
      <vt:variant>
        <vt:lpwstr/>
      </vt:variant>
      <vt:variant>
        <vt:lpwstr>_Toc216172890</vt:lpwstr>
      </vt:variant>
      <vt:variant>
        <vt:i4>1900603</vt:i4>
      </vt:variant>
      <vt:variant>
        <vt:i4>194</vt:i4>
      </vt:variant>
      <vt:variant>
        <vt:i4>0</vt:i4>
      </vt:variant>
      <vt:variant>
        <vt:i4>5</vt:i4>
      </vt:variant>
      <vt:variant>
        <vt:lpwstr/>
      </vt:variant>
      <vt:variant>
        <vt:lpwstr>_Toc216172889</vt:lpwstr>
      </vt:variant>
      <vt:variant>
        <vt:i4>1900603</vt:i4>
      </vt:variant>
      <vt:variant>
        <vt:i4>188</vt:i4>
      </vt:variant>
      <vt:variant>
        <vt:i4>0</vt:i4>
      </vt:variant>
      <vt:variant>
        <vt:i4>5</vt:i4>
      </vt:variant>
      <vt:variant>
        <vt:lpwstr/>
      </vt:variant>
      <vt:variant>
        <vt:lpwstr>_Toc216172888</vt:lpwstr>
      </vt:variant>
      <vt:variant>
        <vt:i4>1900603</vt:i4>
      </vt:variant>
      <vt:variant>
        <vt:i4>182</vt:i4>
      </vt:variant>
      <vt:variant>
        <vt:i4>0</vt:i4>
      </vt:variant>
      <vt:variant>
        <vt:i4>5</vt:i4>
      </vt:variant>
      <vt:variant>
        <vt:lpwstr/>
      </vt:variant>
      <vt:variant>
        <vt:lpwstr>_Toc216172887</vt:lpwstr>
      </vt:variant>
      <vt:variant>
        <vt:i4>1900603</vt:i4>
      </vt:variant>
      <vt:variant>
        <vt:i4>176</vt:i4>
      </vt:variant>
      <vt:variant>
        <vt:i4>0</vt:i4>
      </vt:variant>
      <vt:variant>
        <vt:i4>5</vt:i4>
      </vt:variant>
      <vt:variant>
        <vt:lpwstr/>
      </vt:variant>
      <vt:variant>
        <vt:lpwstr>_Toc216172886</vt:lpwstr>
      </vt:variant>
      <vt:variant>
        <vt:i4>1900603</vt:i4>
      </vt:variant>
      <vt:variant>
        <vt:i4>170</vt:i4>
      </vt:variant>
      <vt:variant>
        <vt:i4>0</vt:i4>
      </vt:variant>
      <vt:variant>
        <vt:i4>5</vt:i4>
      </vt:variant>
      <vt:variant>
        <vt:lpwstr/>
      </vt:variant>
      <vt:variant>
        <vt:lpwstr>_Toc216172885</vt:lpwstr>
      </vt:variant>
      <vt:variant>
        <vt:i4>1900603</vt:i4>
      </vt:variant>
      <vt:variant>
        <vt:i4>164</vt:i4>
      </vt:variant>
      <vt:variant>
        <vt:i4>0</vt:i4>
      </vt:variant>
      <vt:variant>
        <vt:i4>5</vt:i4>
      </vt:variant>
      <vt:variant>
        <vt:lpwstr/>
      </vt:variant>
      <vt:variant>
        <vt:lpwstr>_Toc216172884</vt:lpwstr>
      </vt:variant>
      <vt:variant>
        <vt:i4>1900603</vt:i4>
      </vt:variant>
      <vt:variant>
        <vt:i4>158</vt:i4>
      </vt:variant>
      <vt:variant>
        <vt:i4>0</vt:i4>
      </vt:variant>
      <vt:variant>
        <vt:i4>5</vt:i4>
      </vt:variant>
      <vt:variant>
        <vt:lpwstr/>
      </vt:variant>
      <vt:variant>
        <vt:lpwstr>_Toc216172883</vt:lpwstr>
      </vt:variant>
      <vt:variant>
        <vt:i4>1900603</vt:i4>
      </vt:variant>
      <vt:variant>
        <vt:i4>152</vt:i4>
      </vt:variant>
      <vt:variant>
        <vt:i4>0</vt:i4>
      </vt:variant>
      <vt:variant>
        <vt:i4>5</vt:i4>
      </vt:variant>
      <vt:variant>
        <vt:lpwstr/>
      </vt:variant>
      <vt:variant>
        <vt:lpwstr>_Toc216172882</vt:lpwstr>
      </vt:variant>
      <vt:variant>
        <vt:i4>1900603</vt:i4>
      </vt:variant>
      <vt:variant>
        <vt:i4>146</vt:i4>
      </vt:variant>
      <vt:variant>
        <vt:i4>0</vt:i4>
      </vt:variant>
      <vt:variant>
        <vt:i4>5</vt:i4>
      </vt:variant>
      <vt:variant>
        <vt:lpwstr/>
      </vt:variant>
      <vt:variant>
        <vt:lpwstr>_Toc216172881</vt:lpwstr>
      </vt:variant>
      <vt:variant>
        <vt:i4>1900603</vt:i4>
      </vt:variant>
      <vt:variant>
        <vt:i4>140</vt:i4>
      </vt:variant>
      <vt:variant>
        <vt:i4>0</vt:i4>
      </vt:variant>
      <vt:variant>
        <vt:i4>5</vt:i4>
      </vt:variant>
      <vt:variant>
        <vt:lpwstr/>
      </vt:variant>
      <vt:variant>
        <vt:lpwstr>_Toc216172880</vt:lpwstr>
      </vt:variant>
      <vt:variant>
        <vt:i4>1179707</vt:i4>
      </vt:variant>
      <vt:variant>
        <vt:i4>134</vt:i4>
      </vt:variant>
      <vt:variant>
        <vt:i4>0</vt:i4>
      </vt:variant>
      <vt:variant>
        <vt:i4>5</vt:i4>
      </vt:variant>
      <vt:variant>
        <vt:lpwstr/>
      </vt:variant>
      <vt:variant>
        <vt:lpwstr>_Toc216172879</vt:lpwstr>
      </vt:variant>
      <vt:variant>
        <vt:i4>1179707</vt:i4>
      </vt:variant>
      <vt:variant>
        <vt:i4>128</vt:i4>
      </vt:variant>
      <vt:variant>
        <vt:i4>0</vt:i4>
      </vt:variant>
      <vt:variant>
        <vt:i4>5</vt:i4>
      </vt:variant>
      <vt:variant>
        <vt:lpwstr/>
      </vt:variant>
      <vt:variant>
        <vt:lpwstr>_Toc216172878</vt:lpwstr>
      </vt:variant>
      <vt:variant>
        <vt:i4>1179707</vt:i4>
      </vt:variant>
      <vt:variant>
        <vt:i4>122</vt:i4>
      </vt:variant>
      <vt:variant>
        <vt:i4>0</vt:i4>
      </vt:variant>
      <vt:variant>
        <vt:i4>5</vt:i4>
      </vt:variant>
      <vt:variant>
        <vt:lpwstr/>
      </vt:variant>
      <vt:variant>
        <vt:lpwstr>_Toc216172877</vt:lpwstr>
      </vt:variant>
      <vt:variant>
        <vt:i4>1179707</vt:i4>
      </vt:variant>
      <vt:variant>
        <vt:i4>116</vt:i4>
      </vt:variant>
      <vt:variant>
        <vt:i4>0</vt:i4>
      </vt:variant>
      <vt:variant>
        <vt:i4>5</vt:i4>
      </vt:variant>
      <vt:variant>
        <vt:lpwstr/>
      </vt:variant>
      <vt:variant>
        <vt:lpwstr>_Toc216172876</vt:lpwstr>
      </vt:variant>
      <vt:variant>
        <vt:i4>1179707</vt:i4>
      </vt:variant>
      <vt:variant>
        <vt:i4>110</vt:i4>
      </vt:variant>
      <vt:variant>
        <vt:i4>0</vt:i4>
      </vt:variant>
      <vt:variant>
        <vt:i4>5</vt:i4>
      </vt:variant>
      <vt:variant>
        <vt:lpwstr/>
      </vt:variant>
      <vt:variant>
        <vt:lpwstr>_Toc216172875</vt:lpwstr>
      </vt:variant>
      <vt:variant>
        <vt:i4>1179707</vt:i4>
      </vt:variant>
      <vt:variant>
        <vt:i4>104</vt:i4>
      </vt:variant>
      <vt:variant>
        <vt:i4>0</vt:i4>
      </vt:variant>
      <vt:variant>
        <vt:i4>5</vt:i4>
      </vt:variant>
      <vt:variant>
        <vt:lpwstr/>
      </vt:variant>
      <vt:variant>
        <vt:lpwstr>_Toc216172874</vt:lpwstr>
      </vt:variant>
      <vt:variant>
        <vt:i4>1179707</vt:i4>
      </vt:variant>
      <vt:variant>
        <vt:i4>98</vt:i4>
      </vt:variant>
      <vt:variant>
        <vt:i4>0</vt:i4>
      </vt:variant>
      <vt:variant>
        <vt:i4>5</vt:i4>
      </vt:variant>
      <vt:variant>
        <vt:lpwstr/>
      </vt:variant>
      <vt:variant>
        <vt:lpwstr>_Toc216172873</vt:lpwstr>
      </vt:variant>
      <vt:variant>
        <vt:i4>1179707</vt:i4>
      </vt:variant>
      <vt:variant>
        <vt:i4>92</vt:i4>
      </vt:variant>
      <vt:variant>
        <vt:i4>0</vt:i4>
      </vt:variant>
      <vt:variant>
        <vt:i4>5</vt:i4>
      </vt:variant>
      <vt:variant>
        <vt:lpwstr/>
      </vt:variant>
      <vt:variant>
        <vt:lpwstr>_Toc216172872</vt:lpwstr>
      </vt:variant>
      <vt:variant>
        <vt:i4>1179707</vt:i4>
      </vt:variant>
      <vt:variant>
        <vt:i4>86</vt:i4>
      </vt:variant>
      <vt:variant>
        <vt:i4>0</vt:i4>
      </vt:variant>
      <vt:variant>
        <vt:i4>5</vt:i4>
      </vt:variant>
      <vt:variant>
        <vt:lpwstr/>
      </vt:variant>
      <vt:variant>
        <vt:lpwstr>_Toc216172871</vt:lpwstr>
      </vt:variant>
      <vt:variant>
        <vt:i4>1179707</vt:i4>
      </vt:variant>
      <vt:variant>
        <vt:i4>80</vt:i4>
      </vt:variant>
      <vt:variant>
        <vt:i4>0</vt:i4>
      </vt:variant>
      <vt:variant>
        <vt:i4>5</vt:i4>
      </vt:variant>
      <vt:variant>
        <vt:lpwstr/>
      </vt:variant>
      <vt:variant>
        <vt:lpwstr>_Toc216172870</vt:lpwstr>
      </vt:variant>
      <vt:variant>
        <vt:i4>1245243</vt:i4>
      </vt:variant>
      <vt:variant>
        <vt:i4>74</vt:i4>
      </vt:variant>
      <vt:variant>
        <vt:i4>0</vt:i4>
      </vt:variant>
      <vt:variant>
        <vt:i4>5</vt:i4>
      </vt:variant>
      <vt:variant>
        <vt:lpwstr/>
      </vt:variant>
      <vt:variant>
        <vt:lpwstr>_Toc216172869</vt:lpwstr>
      </vt:variant>
      <vt:variant>
        <vt:i4>1245243</vt:i4>
      </vt:variant>
      <vt:variant>
        <vt:i4>68</vt:i4>
      </vt:variant>
      <vt:variant>
        <vt:i4>0</vt:i4>
      </vt:variant>
      <vt:variant>
        <vt:i4>5</vt:i4>
      </vt:variant>
      <vt:variant>
        <vt:lpwstr/>
      </vt:variant>
      <vt:variant>
        <vt:lpwstr>_Toc216172868</vt:lpwstr>
      </vt:variant>
      <vt:variant>
        <vt:i4>1245243</vt:i4>
      </vt:variant>
      <vt:variant>
        <vt:i4>62</vt:i4>
      </vt:variant>
      <vt:variant>
        <vt:i4>0</vt:i4>
      </vt:variant>
      <vt:variant>
        <vt:i4>5</vt:i4>
      </vt:variant>
      <vt:variant>
        <vt:lpwstr/>
      </vt:variant>
      <vt:variant>
        <vt:lpwstr>_Toc216172867</vt:lpwstr>
      </vt:variant>
      <vt:variant>
        <vt:i4>1245243</vt:i4>
      </vt:variant>
      <vt:variant>
        <vt:i4>56</vt:i4>
      </vt:variant>
      <vt:variant>
        <vt:i4>0</vt:i4>
      </vt:variant>
      <vt:variant>
        <vt:i4>5</vt:i4>
      </vt:variant>
      <vt:variant>
        <vt:lpwstr/>
      </vt:variant>
      <vt:variant>
        <vt:lpwstr>_Toc216172866</vt:lpwstr>
      </vt:variant>
      <vt:variant>
        <vt:i4>1245243</vt:i4>
      </vt:variant>
      <vt:variant>
        <vt:i4>50</vt:i4>
      </vt:variant>
      <vt:variant>
        <vt:i4>0</vt:i4>
      </vt:variant>
      <vt:variant>
        <vt:i4>5</vt:i4>
      </vt:variant>
      <vt:variant>
        <vt:lpwstr/>
      </vt:variant>
      <vt:variant>
        <vt:lpwstr>_Toc216172865</vt:lpwstr>
      </vt:variant>
      <vt:variant>
        <vt:i4>1245243</vt:i4>
      </vt:variant>
      <vt:variant>
        <vt:i4>44</vt:i4>
      </vt:variant>
      <vt:variant>
        <vt:i4>0</vt:i4>
      </vt:variant>
      <vt:variant>
        <vt:i4>5</vt:i4>
      </vt:variant>
      <vt:variant>
        <vt:lpwstr/>
      </vt:variant>
      <vt:variant>
        <vt:lpwstr>_Toc216172864</vt:lpwstr>
      </vt:variant>
      <vt:variant>
        <vt:i4>1245243</vt:i4>
      </vt:variant>
      <vt:variant>
        <vt:i4>38</vt:i4>
      </vt:variant>
      <vt:variant>
        <vt:i4>0</vt:i4>
      </vt:variant>
      <vt:variant>
        <vt:i4>5</vt:i4>
      </vt:variant>
      <vt:variant>
        <vt:lpwstr/>
      </vt:variant>
      <vt:variant>
        <vt:lpwstr>_Toc216172863</vt:lpwstr>
      </vt:variant>
      <vt:variant>
        <vt:i4>1245243</vt:i4>
      </vt:variant>
      <vt:variant>
        <vt:i4>32</vt:i4>
      </vt:variant>
      <vt:variant>
        <vt:i4>0</vt:i4>
      </vt:variant>
      <vt:variant>
        <vt:i4>5</vt:i4>
      </vt:variant>
      <vt:variant>
        <vt:lpwstr/>
      </vt:variant>
      <vt:variant>
        <vt:lpwstr>_Toc216172862</vt:lpwstr>
      </vt:variant>
      <vt:variant>
        <vt:i4>1245243</vt:i4>
      </vt:variant>
      <vt:variant>
        <vt:i4>26</vt:i4>
      </vt:variant>
      <vt:variant>
        <vt:i4>0</vt:i4>
      </vt:variant>
      <vt:variant>
        <vt:i4>5</vt:i4>
      </vt:variant>
      <vt:variant>
        <vt:lpwstr/>
      </vt:variant>
      <vt:variant>
        <vt:lpwstr>_Toc216172861</vt:lpwstr>
      </vt:variant>
      <vt:variant>
        <vt:i4>1245243</vt:i4>
      </vt:variant>
      <vt:variant>
        <vt:i4>20</vt:i4>
      </vt:variant>
      <vt:variant>
        <vt:i4>0</vt:i4>
      </vt:variant>
      <vt:variant>
        <vt:i4>5</vt:i4>
      </vt:variant>
      <vt:variant>
        <vt:lpwstr/>
      </vt:variant>
      <vt:variant>
        <vt:lpwstr>_Toc216172860</vt:lpwstr>
      </vt:variant>
      <vt:variant>
        <vt:i4>1048635</vt:i4>
      </vt:variant>
      <vt:variant>
        <vt:i4>14</vt:i4>
      </vt:variant>
      <vt:variant>
        <vt:i4>0</vt:i4>
      </vt:variant>
      <vt:variant>
        <vt:i4>5</vt:i4>
      </vt:variant>
      <vt:variant>
        <vt:lpwstr/>
      </vt:variant>
      <vt:variant>
        <vt:lpwstr>_Toc216172859</vt:lpwstr>
      </vt:variant>
      <vt:variant>
        <vt:i4>1048635</vt:i4>
      </vt:variant>
      <vt:variant>
        <vt:i4>8</vt:i4>
      </vt:variant>
      <vt:variant>
        <vt:i4>0</vt:i4>
      </vt:variant>
      <vt:variant>
        <vt:i4>5</vt:i4>
      </vt:variant>
      <vt:variant>
        <vt:lpwstr/>
      </vt:variant>
      <vt:variant>
        <vt:lpwstr>_Toc216172858</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4390922</vt:i4>
      </vt:variant>
      <vt:variant>
        <vt:i4>1332</vt:i4>
      </vt:variant>
      <vt:variant>
        <vt:i4>0</vt:i4>
      </vt:variant>
      <vt:variant>
        <vt:i4>5</vt:i4>
      </vt:variant>
      <vt:variant>
        <vt:lpwstr>https://www.safeworkaustralia.gov.au/system/files/documents/1806/wes_methodology_recommending_health-based_workplace_exposure_standards_and_notations.pdf</vt:lpwstr>
      </vt:variant>
      <vt:variant>
        <vt:lpwstr/>
      </vt:variant>
      <vt:variant>
        <vt:i4>4063348</vt:i4>
      </vt:variant>
      <vt:variant>
        <vt:i4>1329</vt:i4>
      </vt:variant>
      <vt:variant>
        <vt:i4>0</vt:i4>
      </vt:variant>
      <vt:variant>
        <vt:i4>5</vt:i4>
      </vt:variant>
      <vt:variant>
        <vt:lpwstr>https://app.converlens.com/safework/wel-consultation/ris-survey/view/7</vt:lpwstr>
      </vt:variant>
      <vt:variant>
        <vt:lpwstr/>
      </vt:variant>
      <vt:variant>
        <vt:i4>3670132</vt:i4>
      </vt:variant>
      <vt:variant>
        <vt:i4>1326</vt:i4>
      </vt:variant>
      <vt:variant>
        <vt:i4>0</vt:i4>
      </vt:variant>
      <vt:variant>
        <vt:i4>5</vt:i4>
      </vt:variant>
      <vt:variant>
        <vt:lpwstr>https://app.converlens.com/safework/wel-consultation/ris-survey/view/12</vt:lpwstr>
      </vt:variant>
      <vt:variant>
        <vt:lpwstr/>
      </vt:variant>
      <vt:variant>
        <vt:i4>4063348</vt:i4>
      </vt:variant>
      <vt:variant>
        <vt:i4>1323</vt:i4>
      </vt:variant>
      <vt:variant>
        <vt:i4>0</vt:i4>
      </vt:variant>
      <vt:variant>
        <vt:i4>5</vt:i4>
      </vt:variant>
      <vt:variant>
        <vt:lpwstr>https://app.converlens.com/safework/wel-consultation/ris-survey/view/74</vt:lpwstr>
      </vt:variant>
      <vt:variant>
        <vt:lpwstr/>
      </vt:variant>
      <vt:variant>
        <vt:i4>3211380</vt:i4>
      </vt:variant>
      <vt:variant>
        <vt:i4>1320</vt:i4>
      </vt:variant>
      <vt:variant>
        <vt:i4>0</vt:i4>
      </vt:variant>
      <vt:variant>
        <vt:i4>5</vt:i4>
      </vt:variant>
      <vt:variant>
        <vt:lpwstr>https://app.converlens.com/safework/wel-consultation/ris-survey/view/87</vt:lpwstr>
      </vt:variant>
      <vt:variant>
        <vt:lpwstr/>
      </vt:variant>
      <vt:variant>
        <vt:i4>3801204</vt:i4>
      </vt:variant>
      <vt:variant>
        <vt:i4>1317</vt:i4>
      </vt:variant>
      <vt:variant>
        <vt:i4>0</vt:i4>
      </vt:variant>
      <vt:variant>
        <vt:i4>5</vt:i4>
      </vt:variant>
      <vt:variant>
        <vt:lpwstr>https://app.converlens.com/safework/wel-consultation/ris-survey/view/38</vt:lpwstr>
      </vt:variant>
      <vt:variant>
        <vt:lpwstr/>
      </vt:variant>
      <vt:variant>
        <vt:i4>4063348</vt:i4>
      </vt:variant>
      <vt:variant>
        <vt:i4>1314</vt:i4>
      </vt:variant>
      <vt:variant>
        <vt:i4>0</vt:i4>
      </vt:variant>
      <vt:variant>
        <vt:i4>5</vt:i4>
      </vt:variant>
      <vt:variant>
        <vt:lpwstr>https://app.converlens.com/safework/wel-consultation/ris-survey/view/74</vt:lpwstr>
      </vt:variant>
      <vt:variant>
        <vt:lpwstr/>
      </vt:variant>
      <vt:variant>
        <vt:i4>3670132</vt:i4>
      </vt:variant>
      <vt:variant>
        <vt:i4>1311</vt:i4>
      </vt:variant>
      <vt:variant>
        <vt:i4>0</vt:i4>
      </vt:variant>
      <vt:variant>
        <vt:i4>5</vt:i4>
      </vt:variant>
      <vt:variant>
        <vt:lpwstr>https://app.converlens.com/safework/wel-consultation/ris-survey/view/18</vt:lpwstr>
      </vt:variant>
      <vt:variant>
        <vt:lpwstr/>
      </vt:variant>
      <vt:variant>
        <vt:i4>3211380</vt:i4>
      </vt:variant>
      <vt:variant>
        <vt:i4>1308</vt:i4>
      </vt:variant>
      <vt:variant>
        <vt:i4>0</vt:i4>
      </vt:variant>
      <vt:variant>
        <vt:i4>5</vt:i4>
      </vt:variant>
      <vt:variant>
        <vt:lpwstr>https://app.converlens.com/safework/wel-consultation/ris-survey/view/87</vt:lpwstr>
      </vt:variant>
      <vt:variant>
        <vt:lpwstr/>
      </vt:variant>
      <vt:variant>
        <vt:i4>3211380</vt:i4>
      </vt:variant>
      <vt:variant>
        <vt:i4>1305</vt:i4>
      </vt:variant>
      <vt:variant>
        <vt:i4>0</vt:i4>
      </vt:variant>
      <vt:variant>
        <vt:i4>5</vt:i4>
      </vt:variant>
      <vt:variant>
        <vt:lpwstr>https://app.converlens.com/safework/wel-consultation/ris-survey/view/84</vt:lpwstr>
      </vt:variant>
      <vt:variant>
        <vt:lpwstr/>
      </vt:variant>
      <vt:variant>
        <vt:i4>3211380</vt:i4>
      </vt:variant>
      <vt:variant>
        <vt:i4>1302</vt:i4>
      </vt:variant>
      <vt:variant>
        <vt:i4>0</vt:i4>
      </vt:variant>
      <vt:variant>
        <vt:i4>5</vt:i4>
      </vt:variant>
      <vt:variant>
        <vt:lpwstr>https://app.converlens.com/safework/wel-consultation/ris-survey/view/87</vt:lpwstr>
      </vt:variant>
      <vt:variant>
        <vt:lpwstr/>
      </vt:variant>
      <vt:variant>
        <vt:i4>3211380</vt:i4>
      </vt:variant>
      <vt:variant>
        <vt:i4>1299</vt:i4>
      </vt:variant>
      <vt:variant>
        <vt:i4>0</vt:i4>
      </vt:variant>
      <vt:variant>
        <vt:i4>5</vt:i4>
      </vt:variant>
      <vt:variant>
        <vt:lpwstr>https://app.converlens.com/safework/wel-consultation/ris-survey/view/84</vt:lpwstr>
      </vt:variant>
      <vt:variant>
        <vt:lpwstr/>
      </vt:variant>
      <vt:variant>
        <vt:i4>3997812</vt:i4>
      </vt:variant>
      <vt:variant>
        <vt:i4>1296</vt:i4>
      </vt:variant>
      <vt:variant>
        <vt:i4>0</vt:i4>
      </vt:variant>
      <vt:variant>
        <vt:i4>5</vt:i4>
      </vt:variant>
      <vt:variant>
        <vt:lpwstr>https://app.converlens.com/safework/wel-consultation/ris-survey/view/46</vt:lpwstr>
      </vt:variant>
      <vt:variant>
        <vt:lpwstr/>
      </vt:variant>
      <vt:variant>
        <vt:i4>3670132</vt:i4>
      </vt:variant>
      <vt:variant>
        <vt:i4>1293</vt:i4>
      </vt:variant>
      <vt:variant>
        <vt:i4>0</vt:i4>
      </vt:variant>
      <vt:variant>
        <vt:i4>5</vt:i4>
      </vt:variant>
      <vt:variant>
        <vt:lpwstr>https://app.converlens.com/safework/wel-consultation/ris-survey/view/18</vt:lpwstr>
      </vt:variant>
      <vt:variant>
        <vt:lpwstr/>
      </vt:variant>
      <vt:variant>
        <vt:i4>4063348</vt:i4>
      </vt:variant>
      <vt:variant>
        <vt:i4>1290</vt:i4>
      </vt:variant>
      <vt:variant>
        <vt:i4>0</vt:i4>
      </vt:variant>
      <vt:variant>
        <vt:i4>5</vt:i4>
      </vt:variant>
      <vt:variant>
        <vt:lpwstr>https://app.converlens.com/safework/wel-consultation/ris-survey/view/74</vt:lpwstr>
      </vt:variant>
      <vt:variant>
        <vt:lpwstr/>
      </vt:variant>
      <vt:variant>
        <vt:i4>3145844</vt:i4>
      </vt:variant>
      <vt:variant>
        <vt:i4>1287</vt:i4>
      </vt:variant>
      <vt:variant>
        <vt:i4>0</vt:i4>
      </vt:variant>
      <vt:variant>
        <vt:i4>5</vt:i4>
      </vt:variant>
      <vt:variant>
        <vt:lpwstr>https://app.converlens.com/safework/wel-consultation/ris-survey/view/90</vt:lpwstr>
      </vt:variant>
      <vt:variant>
        <vt:lpwstr/>
      </vt:variant>
      <vt:variant>
        <vt:i4>3211380</vt:i4>
      </vt:variant>
      <vt:variant>
        <vt:i4>1284</vt:i4>
      </vt:variant>
      <vt:variant>
        <vt:i4>0</vt:i4>
      </vt:variant>
      <vt:variant>
        <vt:i4>5</vt:i4>
      </vt:variant>
      <vt:variant>
        <vt:lpwstr>https://app.converlens.com/safework/wel-consultation/ris-survey/view/81</vt:lpwstr>
      </vt:variant>
      <vt:variant>
        <vt:lpwstr/>
      </vt:variant>
      <vt:variant>
        <vt:i4>3801204</vt:i4>
      </vt:variant>
      <vt:variant>
        <vt:i4>1281</vt:i4>
      </vt:variant>
      <vt:variant>
        <vt:i4>0</vt:i4>
      </vt:variant>
      <vt:variant>
        <vt:i4>5</vt:i4>
      </vt:variant>
      <vt:variant>
        <vt:lpwstr>https://app.converlens.com/safework/wel-consultation/ris-survey/view/34</vt:lpwstr>
      </vt:variant>
      <vt:variant>
        <vt:lpwstr/>
      </vt:variant>
      <vt:variant>
        <vt:i4>3670132</vt:i4>
      </vt:variant>
      <vt:variant>
        <vt:i4>1278</vt:i4>
      </vt:variant>
      <vt:variant>
        <vt:i4>0</vt:i4>
      </vt:variant>
      <vt:variant>
        <vt:i4>5</vt:i4>
      </vt:variant>
      <vt:variant>
        <vt:lpwstr>https://app.converlens.com/safework/wel-consultation/ris-survey/view/12</vt:lpwstr>
      </vt:variant>
      <vt:variant>
        <vt:lpwstr/>
      </vt:variant>
      <vt:variant>
        <vt:i4>4063348</vt:i4>
      </vt:variant>
      <vt:variant>
        <vt:i4>1275</vt:i4>
      </vt:variant>
      <vt:variant>
        <vt:i4>0</vt:i4>
      </vt:variant>
      <vt:variant>
        <vt:i4>5</vt:i4>
      </vt:variant>
      <vt:variant>
        <vt:lpwstr>https://app.converlens.com/safework/wel-consultation/ris-survey/view/74</vt:lpwstr>
      </vt:variant>
      <vt:variant>
        <vt:lpwstr/>
      </vt:variant>
      <vt:variant>
        <vt:i4>3670132</vt:i4>
      </vt:variant>
      <vt:variant>
        <vt:i4>1272</vt:i4>
      </vt:variant>
      <vt:variant>
        <vt:i4>0</vt:i4>
      </vt:variant>
      <vt:variant>
        <vt:i4>5</vt:i4>
      </vt:variant>
      <vt:variant>
        <vt:lpwstr>https://app.converlens.com/safework/wel-consultation/ris-survey/view/18</vt:lpwstr>
      </vt:variant>
      <vt:variant>
        <vt:lpwstr/>
      </vt:variant>
      <vt:variant>
        <vt:i4>3670132</vt:i4>
      </vt:variant>
      <vt:variant>
        <vt:i4>1269</vt:i4>
      </vt:variant>
      <vt:variant>
        <vt:i4>0</vt:i4>
      </vt:variant>
      <vt:variant>
        <vt:i4>5</vt:i4>
      </vt:variant>
      <vt:variant>
        <vt:lpwstr>https://app.converlens.com/safework/wel-consultation/ris-survey/view/12</vt:lpwstr>
      </vt:variant>
      <vt:variant>
        <vt:lpwstr/>
      </vt:variant>
      <vt:variant>
        <vt:i4>3670132</vt:i4>
      </vt:variant>
      <vt:variant>
        <vt:i4>1266</vt:i4>
      </vt:variant>
      <vt:variant>
        <vt:i4>0</vt:i4>
      </vt:variant>
      <vt:variant>
        <vt:i4>5</vt:i4>
      </vt:variant>
      <vt:variant>
        <vt:lpwstr>https://app.converlens.com/safework/wel-consultation/ris-survey/view/12</vt:lpwstr>
      </vt:variant>
      <vt:variant>
        <vt:lpwstr/>
      </vt:variant>
      <vt:variant>
        <vt:i4>6946870</vt:i4>
      </vt:variant>
      <vt:variant>
        <vt:i4>1263</vt:i4>
      </vt:variant>
      <vt:variant>
        <vt:i4>0</vt:i4>
      </vt:variant>
      <vt:variant>
        <vt:i4>5</vt:i4>
      </vt:variant>
      <vt:variant>
        <vt:lpwstr>https://storage.googleapis.com/files-au-swa/safework/p/prjea9c46238e814e3fac152/page/draft_evaluation_report_wes_titanium_dioxide_pdf.pdf</vt:lpwstr>
      </vt:variant>
      <vt:variant>
        <vt:lpwstr/>
      </vt:variant>
      <vt:variant>
        <vt:i4>4063348</vt:i4>
      </vt:variant>
      <vt:variant>
        <vt:i4>1260</vt:i4>
      </vt:variant>
      <vt:variant>
        <vt:i4>0</vt:i4>
      </vt:variant>
      <vt:variant>
        <vt:i4>5</vt:i4>
      </vt:variant>
      <vt:variant>
        <vt:lpwstr>https://app.converlens.com/safework/wel-consultation/ris-survey/view/7</vt:lpwstr>
      </vt:variant>
      <vt:variant>
        <vt:lpwstr/>
      </vt:variant>
      <vt:variant>
        <vt:i4>4063348</vt:i4>
      </vt:variant>
      <vt:variant>
        <vt:i4>1257</vt:i4>
      </vt:variant>
      <vt:variant>
        <vt:i4>0</vt:i4>
      </vt:variant>
      <vt:variant>
        <vt:i4>5</vt:i4>
      </vt:variant>
      <vt:variant>
        <vt:lpwstr>https://app.converlens.com/safework/wel-consultation/ris-survey/view/79</vt:lpwstr>
      </vt:variant>
      <vt:variant>
        <vt:lpwstr/>
      </vt:variant>
      <vt:variant>
        <vt:i4>3932276</vt:i4>
      </vt:variant>
      <vt:variant>
        <vt:i4>1254</vt:i4>
      </vt:variant>
      <vt:variant>
        <vt:i4>0</vt:i4>
      </vt:variant>
      <vt:variant>
        <vt:i4>5</vt:i4>
      </vt:variant>
      <vt:variant>
        <vt:lpwstr>https://app.converlens.com/safework/wel-consultation/ris-survey/view/51</vt:lpwstr>
      </vt:variant>
      <vt:variant>
        <vt:lpwstr/>
      </vt:variant>
      <vt:variant>
        <vt:i4>3801204</vt:i4>
      </vt:variant>
      <vt:variant>
        <vt:i4>1251</vt:i4>
      </vt:variant>
      <vt:variant>
        <vt:i4>0</vt:i4>
      </vt:variant>
      <vt:variant>
        <vt:i4>5</vt:i4>
      </vt:variant>
      <vt:variant>
        <vt:lpwstr>https://app.converlens.com/safework/wel-consultation/ris-survey/view/31</vt:lpwstr>
      </vt:variant>
      <vt:variant>
        <vt:lpwstr/>
      </vt:variant>
      <vt:variant>
        <vt:i4>3670132</vt:i4>
      </vt:variant>
      <vt:variant>
        <vt:i4>1248</vt:i4>
      </vt:variant>
      <vt:variant>
        <vt:i4>0</vt:i4>
      </vt:variant>
      <vt:variant>
        <vt:i4>5</vt:i4>
      </vt:variant>
      <vt:variant>
        <vt:lpwstr>https://app.converlens.com/safework/wel-consultation/ris-survey/view/10</vt:lpwstr>
      </vt:variant>
      <vt:variant>
        <vt:lpwstr/>
      </vt:variant>
      <vt:variant>
        <vt:i4>3932276</vt:i4>
      </vt:variant>
      <vt:variant>
        <vt:i4>1245</vt:i4>
      </vt:variant>
      <vt:variant>
        <vt:i4>0</vt:i4>
      </vt:variant>
      <vt:variant>
        <vt:i4>5</vt:i4>
      </vt:variant>
      <vt:variant>
        <vt:lpwstr>https://app.converlens.com/safework/wel-consultation/ris-survey/view/52</vt:lpwstr>
      </vt:variant>
      <vt:variant>
        <vt:lpwstr/>
      </vt:variant>
      <vt:variant>
        <vt:i4>3211380</vt:i4>
      </vt:variant>
      <vt:variant>
        <vt:i4>1242</vt:i4>
      </vt:variant>
      <vt:variant>
        <vt:i4>0</vt:i4>
      </vt:variant>
      <vt:variant>
        <vt:i4>5</vt:i4>
      </vt:variant>
      <vt:variant>
        <vt:lpwstr>https://app.converlens.com/safework/wel-consultation/ris-survey/view/85</vt:lpwstr>
      </vt:variant>
      <vt:variant>
        <vt:lpwstr/>
      </vt:variant>
      <vt:variant>
        <vt:i4>4063348</vt:i4>
      </vt:variant>
      <vt:variant>
        <vt:i4>1239</vt:i4>
      </vt:variant>
      <vt:variant>
        <vt:i4>0</vt:i4>
      </vt:variant>
      <vt:variant>
        <vt:i4>5</vt:i4>
      </vt:variant>
      <vt:variant>
        <vt:lpwstr>https://app.converlens.com/safework/wel-consultation/ris-survey/view/70</vt:lpwstr>
      </vt:variant>
      <vt:variant>
        <vt:lpwstr/>
      </vt:variant>
      <vt:variant>
        <vt:i4>4063348</vt:i4>
      </vt:variant>
      <vt:variant>
        <vt:i4>1236</vt:i4>
      </vt:variant>
      <vt:variant>
        <vt:i4>0</vt:i4>
      </vt:variant>
      <vt:variant>
        <vt:i4>5</vt:i4>
      </vt:variant>
      <vt:variant>
        <vt:lpwstr>https://app.converlens.com/safework/wel-consultation/ris-survey/view/71</vt:lpwstr>
      </vt:variant>
      <vt:variant>
        <vt:lpwstr/>
      </vt:variant>
      <vt:variant>
        <vt:i4>3211380</vt:i4>
      </vt:variant>
      <vt:variant>
        <vt:i4>1233</vt:i4>
      </vt:variant>
      <vt:variant>
        <vt:i4>0</vt:i4>
      </vt:variant>
      <vt:variant>
        <vt:i4>5</vt:i4>
      </vt:variant>
      <vt:variant>
        <vt:lpwstr>https://app.converlens.com/safework/wel-consultation/ris-survey/view/88</vt:lpwstr>
      </vt:variant>
      <vt:variant>
        <vt:lpwstr/>
      </vt:variant>
      <vt:variant>
        <vt:i4>4128884</vt:i4>
      </vt:variant>
      <vt:variant>
        <vt:i4>1230</vt:i4>
      </vt:variant>
      <vt:variant>
        <vt:i4>0</vt:i4>
      </vt:variant>
      <vt:variant>
        <vt:i4>5</vt:i4>
      </vt:variant>
      <vt:variant>
        <vt:lpwstr>https://app.converlens.com/safework/wel-consultation/ris-survey/view/62</vt:lpwstr>
      </vt:variant>
      <vt:variant>
        <vt:lpwstr/>
      </vt:variant>
      <vt:variant>
        <vt:i4>3670132</vt:i4>
      </vt:variant>
      <vt:variant>
        <vt:i4>1227</vt:i4>
      </vt:variant>
      <vt:variant>
        <vt:i4>0</vt:i4>
      </vt:variant>
      <vt:variant>
        <vt:i4>5</vt:i4>
      </vt:variant>
      <vt:variant>
        <vt:lpwstr>https://app.converlens.com/safework/wel-consultation/ris-survey/view/18</vt:lpwstr>
      </vt:variant>
      <vt:variant>
        <vt:lpwstr/>
      </vt:variant>
      <vt:variant>
        <vt:i4>3211380</vt:i4>
      </vt:variant>
      <vt:variant>
        <vt:i4>1224</vt:i4>
      </vt:variant>
      <vt:variant>
        <vt:i4>0</vt:i4>
      </vt:variant>
      <vt:variant>
        <vt:i4>5</vt:i4>
      </vt:variant>
      <vt:variant>
        <vt:lpwstr>https://app.converlens.com/safework/wel-consultation/ris-survey/view/88</vt:lpwstr>
      </vt:variant>
      <vt:variant>
        <vt:lpwstr/>
      </vt:variant>
      <vt:variant>
        <vt:i4>4128884</vt:i4>
      </vt:variant>
      <vt:variant>
        <vt:i4>1221</vt:i4>
      </vt:variant>
      <vt:variant>
        <vt:i4>0</vt:i4>
      </vt:variant>
      <vt:variant>
        <vt:i4>5</vt:i4>
      </vt:variant>
      <vt:variant>
        <vt:lpwstr>https://app.converlens.com/safework/wel-consultation/ris-survey/view/62</vt:lpwstr>
      </vt:variant>
      <vt:variant>
        <vt:lpwstr/>
      </vt:variant>
      <vt:variant>
        <vt:i4>4063348</vt:i4>
      </vt:variant>
      <vt:variant>
        <vt:i4>1218</vt:i4>
      </vt:variant>
      <vt:variant>
        <vt:i4>0</vt:i4>
      </vt:variant>
      <vt:variant>
        <vt:i4>5</vt:i4>
      </vt:variant>
      <vt:variant>
        <vt:lpwstr>https://app.converlens.com/safework/wel-consultation/ris-survey/view/71</vt:lpwstr>
      </vt:variant>
      <vt:variant>
        <vt:lpwstr/>
      </vt:variant>
      <vt:variant>
        <vt:i4>3670132</vt:i4>
      </vt:variant>
      <vt:variant>
        <vt:i4>1215</vt:i4>
      </vt:variant>
      <vt:variant>
        <vt:i4>0</vt:i4>
      </vt:variant>
      <vt:variant>
        <vt:i4>5</vt:i4>
      </vt:variant>
      <vt:variant>
        <vt:lpwstr>https://app.converlens.com/safework/wel-consultation/ris-survey/view/18</vt:lpwstr>
      </vt:variant>
      <vt:variant>
        <vt:lpwstr/>
      </vt:variant>
      <vt:variant>
        <vt:i4>4063348</vt:i4>
      </vt:variant>
      <vt:variant>
        <vt:i4>1212</vt:i4>
      </vt:variant>
      <vt:variant>
        <vt:i4>0</vt:i4>
      </vt:variant>
      <vt:variant>
        <vt:i4>5</vt:i4>
      </vt:variant>
      <vt:variant>
        <vt:lpwstr>https://app.converlens.com/safework/wel-consultation/ris-survey/view/70</vt:lpwstr>
      </vt:variant>
      <vt:variant>
        <vt:lpwstr/>
      </vt:variant>
      <vt:variant>
        <vt:i4>4063348</vt:i4>
      </vt:variant>
      <vt:variant>
        <vt:i4>1209</vt:i4>
      </vt:variant>
      <vt:variant>
        <vt:i4>0</vt:i4>
      </vt:variant>
      <vt:variant>
        <vt:i4>5</vt:i4>
      </vt:variant>
      <vt:variant>
        <vt:lpwstr>https://app.converlens.com/safework/wel-consultation/ris-survey/view/71</vt:lpwstr>
      </vt:variant>
      <vt:variant>
        <vt:lpwstr/>
      </vt:variant>
      <vt:variant>
        <vt:i4>3211380</vt:i4>
      </vt:variant>
      <vt:variant>
        <vt:i4>1206</vt:i4>
      </vt:variant>
      <vt:variant>
        <vt:i4>0</vt:i4>
      </vt:variant>
      <vt:variant>
        <vt:i4>5</vt:i4>
      </vt:variant>
      <vt:variant>
        <vt:lpwstr>https://app.converlens.com/safework/wel-consultation/ris-survey/view/88</vt:lpwstr>
      </vt:variant>
      <vt:variant>
        <vt:lpwstr/>
      </vt:variant>
      <vt:variant>
        <vt:i4>3211380</vt:i4>
      </vt:variant>
      <vt:variant>
        <vt:i4>1203</vt:i4>
      </vt:variant>
      <vt:variant>
        <vt:i4>0</vt:i4>
      </vt:variant>
      <vt:variant>
        <vt:i4>5</vt:i4>
      </vt:variant>
      <vt:variant>
        <vt:lpwstr>https://app.converlens.com/safework/wel-consultation/ris-survey/view/87</vt:lpwstr>
      </vt:variant>
      <vt:variant>
        <vt:lpwstr/>
      </vt:variant>
      <vt:variant>
        <vt:i4>3211380</vt:i4>
      </vt:variant>
      <vt:variant>
        <vt:i4>1200</vt:i4>
      </vt:variant>
      <vt:variant>
        <vt:i4>0</vt:i4>
      </vt:variant>
      <vt:variant>
        <vt:i4>5</vt:i4>
      </vt:variant>
      <vt:variant>
        <vt:lpwstr>https://app.converlens.com/safework/wel-consultation/ris-survey/view/84</vt:lpwstr>
      </vt:variant>
      <vt:variant>
        <vt:lpwstr/>
      </vt:variant>
      <vt:variant>
        <vt:i4>4063348</vt:i4>
      </vt:variant>
      <vt:variant>
        <vt:i4>1197</vt:i4>
      </vt:variant>
      <vt:variant>
        <vt:i4>0</vt:i4>
      </vt:variant>
      <vt:variant>
        <vt:i4>5</vt:i4>
      </vt:variant>
      <vt:variant>
        <vt:lpwstr>https://app.converlens.com/safework/wel-consultation/ris-survey/view/71</vt:lpwstr>
      </vt:variant>
      <vt:variant>
        <vt:lpwstr/>
      </vt:variant>
      <vt:variant>
        <vt:i4>3932276</vt:i4>
      </vt:variant>
      <vt:variant>
        <vt:i4>1194</vt:i4>
      </vt:variant>
      <vt:variant>
        <vt:i4>0</vt:i4>
      </vt:variant>
      <vt:variant>
        <vt:i4>5</vt:i4>
      </vt:variant>
      <vt:variant>
        <vt:lpwstr>https://app.converlens.com/safework/wel-consultation/ris-survey/view/55</vt:lpwstr>
      </vt:variant>
      <vt:variant>
        <vt:lpwstr/>
      </vt:variant>
      <vt:variant>
        <vt:i4>4128884</vt:i4>
      </vt:variant>
      <vt:variant>
        <vt:i4>1191</vt:i4>
      </vt:variant>
      <vt:variant>
        <vt:i4>0</vt:i4>
      </vt:variant>
      <vt:variant>
        <vt:i4>5</vt:i4>
      </vt:variant>
      <vt:variant>
        <vt:lpwstr>https://app.converlens.com/safework/wel-consultation/ris-survey/view/62</vt:lpwstr>
      </vt:variant>
      <vt:variant>
        <vt:lpwstr/>
      </vt:variant>
      <vt:variant>
        <vt:i4>3211380</vt:i4>
      </vt:variant>
      <vt:variant>
        <vt:i4>1188</vt:i4>
      </vt:variant>
      <vt:variant>
        <vt:i4>0</vt:i4>
      </vt:variant>
      <vt:variant>
        <vt:i4>5</vt:i4>
      </vt:variant>
      <vt:variant>
        <vt:lpwstr>https://app.converlens.com/safework/wel-consultation/ris-survey/view/88</vt:lpwstr>
      </vt:variant>
      <vt:variant>
        <vt:lpwstr/>
      </vt:variant>
      <vt:variant>
        <vt:i4>4063348</vt:i4>
      </vt:variant>
      <vt:variant>
        <vt:i4>1185</vt:i4>
      </vt:variant>
      <vt:variant>
        <vt:i4>0</vt:i4>
      </vt:variant>
      <vt:variant>
        <vt:i4>5</vt:i4>
      </vt:variant>
      <vt:variant>
        <vt:lpwstr>https://app.converlens.com/safework/wel-consultation/ris-survey/view/70</vt:lpwstr>
      </vt:variant>
      <vt:variant>
        <vt:lpwstr/>
      </vt:variant>
      <vt:variant>
        <vt:i4>4128884</vt:i4>
      </vt:variant>
      <vt:variant>
        <vt:i4>1182</vt:i4>
      </vt:variant>
      <vt:variant>
        <vt:i4>0</vt:i4>
      </vt:variant>
      <vt:variant>
        <vt:i4>5</vt:i4>
      </vt:variant>
      <vt:variant>
        <vt:lpwstr>https://app.converlens.com/safework/wel-consultation/ris-survey/view/62</vt:lpwstr>
      </vt:variant>
      <vt:variant>
        <vt:lpwstr/>
      </vt:variant>
      <vt:variant>
        <vt:i4>4063348</vt:i4>
      </vt:variant>
      <vt:variant>
        <vt:i4>1179</vt:i4>
      </vt:variant>
      <vt:variant>
        <vt:i4>0</vt:i4>
      </vt:variant>
      <vt:variant>
        <vt:i4>5</vt:i4>
      </vt:variant>
      <vt:variant>
        <vt:lpwstr>https://app.converlens.com/safework/wel-consultation/ris-survey/view/71</vt:lpwstr>
      </vt:variant>
      <vt:variant>
        <vt:lpwstr/>
      </vt:variant>
      <vt:variant>
        <vt:i4>3670132</vt:i4>
      </vt:variant>
      <vt:variant>
        <vt:i4>1176</vt:i4>
      </vt:variant>
      <vt:variant>
        <vt:i4>0</vt:i4>
      </vt:variant>
      <vt:variant>
        <vt:i4>5</vt:i4>
      </vt:variant>
      <vt:variant>
        <vt:lpwstr>https://app.converlens.com/safework/wel-consultation/ris-survey/view/18</vt:lpwstr>
      </vt:variant>
      <vt:variant>
        <vt:lpwstr/>
      </vt:variant>
      <vt:variant>
        <vt:i4>3932276</vt:i4>
      </vt:variant>
      <vt:variant>
        <vt:i4>1173</vt:i4>
      </vt:variant>
      <vt:variant>
        <vt:i4>0</vt:i4>
      </vt:variant>
      <vt:variant>
        <vt:i4>5</vt:i4>
      </vt:variant>
      <vt:variant>
        <vt:lpwstr>https://app.converlens.com/safework/wel-consultation/ris-survey/view/54</vt:lpwstr>
      </vt:variant>
      <vt:variant>
        <vt:lpwstr/>
      </vt:variant>
      <vt:variant>
        <vt:i4>4063348</vt:i4>
      </vt:variant>
      <vt:variant>
        <vt:i4>1170</vt:i4>
      </vt:variant>
      <vt:variant>
        <vt:i4>0</vt:i4>
      </vt:variant>
      <vt:variant>
        <vt:i4>5</vt:i4>
      </vt:variant>
      <vt:variant>
        <vt:lpwstr>https://app.converlens.com/safework/wel-consultation/ris-survey/view/70</vt:lpwstr>
      </vt:variant>
      <vt:variant>
        <vt:lpwstr/>
      </vt:variant>
      <vt:variant>
        <vt:i4>3211380</vt:i4>
      </vt:variant>
      <vt:variant>
        <vt:i4>1167</vt:i4>
      </vt:variant>
      <vt:variant>
        <vt:i4>0</vt:i4>
      </vt:variant>
      <vt:variant>
        <vt:i4>5</vt:i4>
      </vt:variant>
      <vt:variant>
        <vt:lpwstr>https://app.converlens.com/safework/wel-consultation/ris-survey/view/89</vt:lpwstr>
      </vt:variant>
      <vt:variant>
        <vt:lpwstr/>
      </vt:variant>
      <vt:variant>
        <vt:i4>3211380</vt:i4>
      </vt:variant>
      <vt:variant>
        <vt:i4>1164</vt:i4>
      </vt:variant>
      <vt:variant>
        <vt:i4>0</vt:i4>
      </vt:variant>
      <vt:variant>
        <vt:i4>5</vt:i4>
      </vt:variant>
      <vt:variant>
        <vt:lpwstr>https://app.converlens.com/safework/wel-consultation/ris-survey/view/87</vt:lpwstr>
      </vt:variant>
      <vt:variant>
        <vt:lpwstr/>
      </vt:variant>
      <vt:variant>
        <vt:i4>3211380</vt:i4>
      </vt:variant>
      <vt:variant>
        <vt:i4>1161</vt:i4>
      </vt:variant>
      <vt:variant>
        <vt:i4>0</vt:i4>
      </vt:variant>
      <vt:variant>
        <vt:i4>5</vt:i4>
      </vt:variant>
      <vt:variant>
        <vt:lpwstr>https://app.converlens.com/safework/wel-consultation/ris-survey/view/84</vt:lpwstr>
      </vt:variant>
      <vt:variant>
        <vt:lpwstr/>
      </vt:variant>
      <vt:variant>
        <vt:i4>4063348</vt:i4>
      </vt:variant>
      <vt:variant>
        <vt:i4>1158</vt:i4>
      </vt:variant>
      <vt:variant>
        <vt:i4>0</vt:i4>
      </vt:variant>
      <vt:variant>
        <vt:i4>5</vt:i4>
      </vt:variant>
      <vt:variant>
        <vt:lpwstr>https://app.converlens.com/safework/wel-consultation/ris-survey/view/71</vt:lpwstr>
      </vt:variant>
      <vt:variant>
        <vt:lpwstr/>
      </vt:variant>
      <vt:variant>
        <vt:i4>4128884</vt:i4>
      </vt:variant>
      <vt:variant>
        <vt:i4>1155</vt:i4>
      </vt:variant>
      <vt:variant>
        <vt:i4>0</vt:i4>
      </vt:variant>
      <vt:variant>
        <vt:i4>5</vt:i4>
      </vt:variant>
      <vt:variant>
        <vt:lpwstr>https://app.converlens.com/safework/wel-consultation/ris-survey/view/62</vt:lpwstr>
      </vt:variant>
      <vt:variant>
        <vt:lpwstr/>
      </vt:variant>
      <vt:variant>
        <vt:i4>3211380</vt:i4>
      </vt:variant>
      <vt:variant>
        <vt:i4>1152</vt:i4>
      </vt:variant>
      <vt:variant>
        <vt:i4>0</vt:i4>
      </vt:variant>
      <vt:variant>
        <vt:i4>5</vt:i4>
      </vt:variant>
      <vt:variant>
        <vt:lpwstr>https://app.converlens.com/safework/wel-consultation/ris-survey/view/88</vt:lpwstr>
      </vt:variant>
      <vt:variant>
        <vt:lpwstr/>
      </vt:variant>
      <vt:variant>
        <vt:i4>3211380</vt:i4>
      </vt:variant>
      <vt:variant>
        <vt:i4>1149</vt:i4>
      </vt:variant>
      <vt:variant>
        <vt:i4>0</vt:i4>
      </vt:variant>
      <vt:variant>
        <vt:i4>5</vt:i4>
      </vt:variant>
      <vt:variant>
        <vt:lpwstr>https://app.converlens.com/safework/wel-consultation/ris-survey/view/87</vt:lpwstr>
      </vt:variant>
      <vt:variant>
        <vt:lpwstr/>
      </vt:variant>
      <vt:variant>
        <vt:i4>3211380</vt:i4>
      </vt:variant>
      <vt:variant>
        <vt:i4>1146</vt:i4>
      </vt:variant>
      <vt:variant>
        <vt:i4>0</vt:i4>
      </vt:variant>
      <vt:variant>
        <vt:i4>5</vt:i4>
      </vt:variant>
      <vt:variant>
        <vt:lpwstr>https://app.converlens.com/safework/wel-consultation/ris-survey/view/84</vt:lpwstr>
      </vt:variant>
      <vt:variant>
        <vt:lpwstr/>
      </vt:variant>
      <vt:variant>
        <vt:i4>3997812</vt:i4>
      </vt:variant>
      <vt:variant>
        <vt:i4>1143</vt:i4>
      </vt:variant>
      <vt:variant>
        <vt:i4>0</vt:i4>
      </vt:variant>
      <vt:variant>
        <vt:i4>5</vt:i4>
      </vt:variant>
      <vt:variant>
        <vt:lpwstr>https://app.converlens.com/safework/wel-consultation/ris-survey/view/48</vt:lpwstr>
      </vt:variant>
      <vt:variant>
        <vt:lpwstr/>
      </vt:variant>
      <vt:variant>
        <vt:i4>3866740</vt:i4>
      </vt:variant>
      <vt:variant>
        <vt:i4>1140</vt:i4>
      </vt:variant>
      <vt:variant>
        <vt:i4>0</vt:i4>
      </vt:variant>
      <vt:variant>
        <vt:i4>5</vt:i4>
      </vt:variant>
      <vt:variant>
        <vt:lpwstr>https://app.converlens.com/safework/wel-consultation/ris-survey/view/29</vt:lpwstr>
      </vt:variant>
      <vt:variant>
        <vt:lpwstr/>
      </vt:variant>
      <vt:variant>
        <vt:i4>3932276</vt:i4>
      </vt:variant>
      <vt:variant>
        <vt:i4>1137</vt:i4>
      </vt:variant>
      <vt:variant>
        <vt:i4>0</vt:i4>
      </vt:variant>
      <vt:variant>
        <vt:i4>5</vt:i4>
      </vt:variant>
      <vt:variant>
        <vt:lpwstr>https://app.converlens.com/safework/wel-consultation/ris-survey/view/54</vt:lpwstr>
      </vt:variant>
      <vt:variant>
        <vt:lpwstr/>
      </vt:variant>
      <vt:variant>
        <vt:i4>3211380</vt:i4>
      </vt:variant>
      <vt:variant>
        <vt:i4>1134</vt:i4>
      </vt:variant>
      <vt:variant>
        <vt:i4>0</vt:i4>
      </vt:variant>
      <vt:variant>
        <vt:i4>5</vt:i4>
      </vt:variant>
      <vt:variant>
        <vt:lpwstr>https://app.converlens.com/safework/wel-consultation/ris-survey/view/88</vt:lpwstr>
      </vt:variant>
      <vt:variant>
        <vt:lpwstr/>
      </vt:variant>
      <vt:variant>
        <vt:i4>4063348</vt:i4>
      </vt:variant>
      <vt:variant>
        <vt:i4>1131</vt:i4>
      </vt:variant>
      <vt:variant>
        <vt:i4>0</vt:i4>
      </vt:variant>
      <vt:variant>
        <vt:i4>5</vt:i4>
      </vt:variant>
      <vt:variant>
        <vt:lpwstr>https://app.converlens.com/safework/wel-consultation/ris-survey/view/71</vt:lpwstr>
      </vt:variant>
      <vt:variant>
        <vt:lpwstr/>
      </vt:variant>
      <vt:variant>
        <vt:i4>3670132</vt:i4>
      </vt:variant>
      <vt:variant>
        <vt:i4>1128</vt:i4>
      </vt:variant>
      <vt:variant>
        <vt:i4>0</vt:i4>
      </vt:variant>
      <vt:variant>
        <vt:i4>5</vt:i4>
      </vt:variant>
      <vt:variant>
        <vt:lpwstr>https://app.converlens.com/safework/wel-consultation/ris-survey/view/18</vt:lpwstr>
      </vt:variant>
      <vt:variant>
        <vt:lpwstr/>
      </vt:variant>
      <vt:variant>
        <vt:i4>3211380</vt:i4>
      </vt:variant>
      <vt:variant>
        <vt:i4>1125</vt:i4>
      </vt:variant>
      <vt:variant>
        <vt:i4>0</vt:i4>
      </vt:variant>
      <vt:variant>
        <vt:i4>5</vt:i4>
      </vt:variant>
      <vt:variant>
        <vt:lpwstr>https://app.converlens.com/safework/wel-consultation/ris-survey/view/89</vt:lpwstr>
      </vt:variant>
      <vt:variant>
        <vt:lpwstr/>
      </vt:variant>
      <vt:variant>
        <vt:i4>3211380</vt:i4>
      </vt:variant>
      <vt:variant>
        <vt:i4>1122</vt:i4>
      </vt:variant>
      <vt:variant>
        <vt:i4>0</vt:i4>
      </vt:variant>
      <vt:variant>
        <vt:i4>5</vt:i4>
      </vt:variant>
      <vt:variant>
        <vt:lpwstr>https://app.converlens.com/safework/wel-consultation/ris-survey/view/88</vt:lpwstr>
      </vt:variant>
      <vt:variant>
        <vt:lpwstr/>
      </vt:variant>
      <vt:variant>
        <vt:i4>3211380</vt:i4>
      </vt:variant>
      <vt:variant>
        <vt:i4>1119</vt:i4>
      </vt:variant>
      <vt:variant>
        <vt:i4>0</vt:i4>
      </vt:variant>
      <vt:variant>
        <vt:i4>5</vt:i4>
      </vt:variant>
      <vt:variant>
        <vt:lpwstr>https://app.converlens.com/safework/wel-consultation/ris-survey/view/87</vt:lpwstr>
      </vt:variant>
      <vt:variant>
        <vt:lpwstr/>
      </vt:variant>
      <vt:variant>
        <vt:i4>3211380</vt:i4>
      </vt:variant>
      <vt:variant>
        <vt:i4>1116</vt:i4>
      </vt:variant>
      <vt:variant>
        <vt:i4>0</vt:i4>
      </vt:variant>
      <vt:variant>
        <vt:i4>5</vt:i4>
      </vt:variant>
      <vt:variant>
        <vt:lpwstr>https://app.converlens.com/safework/wel-consultation/ris-survey/view/85</vt:lpwstr>
      </vt:variant>
      <vt:variant>
        <vt:lpwstr/>
      </vt:variant>
      <vt:variant>
        <vt:i4>3211380</vt:i4>
      </vt:variant>
      <vt:variant>
        <vt:i4>1113</vt:i4>
      </vt:variant>
      <vt:variant>
        <vt:i4>0</vt:i4>
      </vt:variant>
      <vt:variant>
        <vt:i4>5</vt:i4>
      </vt:variant>
      <vt:variant>
        <vt:lpwstr>https://app.converlens.com/safework/wel-consultation/ris-survey/view/84</vt:lpwstr>
      </vt:variant>
      <vt:variant>
        <vt:lpwstr/>
      </vt:variant>
      <vt:variant>
        <vt:i4>4063348</vt:i4>
      </vt:variant>
      <vt:variant>
        <vt:i4>1110</vt:i4>
      </vt:variant>
      <vt:variant>
        <vt:i4>0</vt:i4>
      </vt:variant>
      <vt:variant>
        <vt:i4>5</vt:i4>
      </vt:variant>
      <vt:variant>
        <vt:lpwstr>https://app.converlens.com/safework/wel-consultation/ris-survey/view/71</vt:lpwstr>
      </vt:variant>
      <vt:variant>
        <vt:lpwstr/>
      </vt:variant>
      <vt:variant>
        <vt:i4>4128884</vt:i4>
      </vt:variant>
      <vt:variant>
        <vt:i4>1107</vt:i4>
      </vt:variant>
      <vt:variant>
        <vt:i4>0</vt:i4>
      </vt:variant>
      <vt:variant>
        <vt:i4>5</vt:i4>
      </vt:variant>
      <vt:variant>
        <vt:lpwstr>https://app.converlens.com/safework/wel-consultation/ris-survey/view/62</vt:lpwstr>
      </vt:variant>
      <vt:variant>
        <vt:lpwstr/>
      </vt:variant>
      <vt:variant>
        <vt:i4>3932276</vt:i4>
      </vt:variant>
      <vt:variant>
        <vt:i4>1104</vt:i4>
      </vt:variant>
      <vt:variant>
        <vt:i4>0</vt:i4>
      </vt:variant>
      <vt:variant>
        <vt:i4>5</vt:i4>
      </vt:variant>
      <vt:variant>
        <vt:lpwstr>https://app.converlens.com/safework/wel-consultation/ris-survey/view/54</vt:lpwstr>
      </vt:variant>
      <vt:variant>
        <vt:lpwstr/>
      </vt:variant>
      <vt:variant>
        <vt:i4>3670132</vt:i4>
      </vt:variant>
      <vt:variant>
        <vt:i4>1101</vt:i4>
      </vt:variant>
      <vt:variant>
        <vt:i4>0</vt:i4>
      </vt:variant>
      <vt:variant>
        <vt:i4>5</vt:i4>
      </vt:variant>
      <vt:variant>
        <vt:lpwstr>https://app.converlens.com/safework/wel-consultation/ris-survey/view/18</vt:lpwstr>
      </vt:variant>
      <vt:variant>
        <vt:lpwstr/>
      </vt:variant>
      <vt:variant>
        <vt:i4>3932276</vt:i4>
      </vt:variant>
      <vt:variant>
        <vt:i4>1098</vt:i4>
      </vt:variant>
      <vt:variant>
        <vt:i4>0</vt:i4>
      </vt:variant>
      <vt:variant>
        <vt:i4>5</vt:i4>
      </vt:variant>
      <vt:variant>
        <vt:lpwstr>https://app.converlens.com/safework/wel-consultation/ris-survey/view/54</vt:lpwstr>
      </vt:variant>
      <vt:variant>
        <vt:lpwstr/>
      </vt:variant>
      <vt:variant>
        <vt:i4>3670132</vt:i4>
      </vt:variant>
      <vt:variant>
        <vt:i4>1095</vt:i4>
      </vt:variant>
      <vt:variant>
        <vt:i4>0</vt:i4>
      </vt:variant>
      <vt:variant>
        <vt:i4>5</vt:i4>
      </vt:variant>
      <vt:variant>
        <vt:lpwstr>https://app.converlens.com/safework/wel-consultation/ris-survey/view/10</vt:lpwstr>
      </vt:variant>
      <vt:variant>
        <vt:lpwstr/>
      </vt:variant>
      <vt:variant>
        <vt:i4>3932276</vt:i4>
      </vt:variant>
      <vt:variant>
        <vt:i4>1092</vt:i4>
      </vt:variant>
      <vt:variant>
        <vt:i4>0</vt:i4>
      </vt:variant>
      <vt:variant>
        <vt:i4>5</vt:i4>
      </vt:variant>
      <vt:variant>
        <vt:lpwstr>https://app.converlens.com/safework/wel-consultation/ris-survey/view/55</vt:lpwstr>
      </vt:variant>
      <vt:variant>
        <vt:lpwstr/>
      </vt:variant>
      <vt:variant>
        <vt:i4>3997812</vt:i4>
      </vt:variant>
      <vt:variant>
        <vt:i4>1089</vt:i4>
      </vt:variant>
      <vt:variant>
        <vt:i4>0</vt:i4>
      </vt:variant>
      <vt:variant>
        <vt:i4>5</vt:i4>
      </vt:variant>
      <vt:variant>
        <vt:lpwstr>https://app.converlens.com/safework/wel-consultation/ris-survey/view/48</vt:lpwstr>
      </vt:variant>
      <vt:variant>
        <vt:lpwstr/>
      </vt:variant>
      <vt:variant>
        <vt:i4>3866740</vt:i4>
      </vt:variant>
      <vt:variant>
        <vt:i4>1086</vt:i4>
      </vt:variant>
      <vt:variant>
        <vt:i4>0</vt:i4>
      </vt:variant>
      <vt:variant>
        <vt:i4>5</vt:i4>
      </vt:variant>
      <vt:variant>
        <vt:lpwstr>https://app.converlens.com/safework/wel-consultation/ris-survey/view/29</vt:lpwstr>
      </vt:variant>
      <vt:variant>
        <vt:lpwstr/>
      </vt:variant>
      <vt:variant>
        <vt:i4>3932276</vt:i4>
      </vt:variant>
      <vt:variant>
        <vt:i4>1083</vt:i4>
      </vt:variant>
      <vt:variant>
        <vt:i4>0</vt:i4>
      </vt:variant>
      <vt:variant>
        <vt:i4>5</vt:i4>
      </vt:variant>
      <vt:variant>
        <vt:lpwstr>https://app.converlens.com/safework/wel-consultation/ris-survey/view/55</vt:lpwstr>
      </vt:variant>
      <vt:variant>
        <vt:lpwstr/>
      </vt:variant>
      <vt:variant>
        <vt:i4>3670132</vt:i4>
      </vt:variant>
      <vt:variant>
        <vt:i4>1080</vt:i4>
      </vt:variant>
      <vt:variant>
        <vt:i4>0</vt:i4>
      </vt:variant>
      <vt:variant>
        <vt:i4>5</vt:i4>
      </vt:variant>
      <vt:variant>
        <vt:lpwstr>https://app.converlens.com/safework/wel-consultation/ris-survey/view/18</vt:lpwstr>
      </vt:variant>
      <vt:variant>
        <vt:lpwstr/>
      </vt:variant>
      <vt:variant>
        <vt:i4>3211380</vt:i4>
      </vt:variant>
      <vt:variant>
        <vt:i4>1077</vt:i4>
      </vt:variant>
      <vt:variant>
        <vt:i4>0</vt:i4>
      </vt:variant>
      <vt:variant>
        <vt:i4>5</vt:i4>
      </vt:variant>
      <vt:variant>
        <vt:lpwstr>https://app.converlens.com/safework/wel-consultation/ris-survey/view/87</vt:lpwstr>
      </vt:variant>
      <vt:variant>
        <vt:lpwstr/>
      </vt:variant>
      <vt:variant>
        <vt:i4>3211380</vt:i4>
      </vt:variant>
      <vt:variant>
        <vt:i4>1074</vt:i4>
      </vt:variant>
      <vt:variant>
        <vt:i4>0</vt:i4>
      </vt:variant>
      <vt:variant>
        <vt:i4>5</vt:i4>
      </vt:variant>
      <vt:variant>
        <vt:lpwstr>https://app.converlens.com/safework/wel-consultation/ris-survey/view/85</vt:lpwstr>
      </vt:variant>
      <vt:variant>
        <vt:lpwstr/>
      </vt:variant>
      <vt:variant>
        <vt:i4>3211380</vt:i4>
      </vt:variant>
      <vt:variant>
        <vt:i4>1071</vt:i4>
      </vt:variant>
      <vt:variant>
        <vt:i4>0</vt:i4>
      </vt:variant>
      <vt:variant>
        <vt:i4>5</vt:i4>
      </vt:variant>
      <vt:variant>
        <vt:lpwstr>https://app.converlens.com/safework/wel-consultation/ris-survey/view/84</vt:lpwstr>
      </vt:variant>
      <vt:variant>
        <vt:lpwstr/>
      </vt:variant>
      <vt:variant>
        <vt:i4>4063348</vt:i4>
      </vt:variant>
      <vt:variant>
        <vt:i4>1068</vt:i4>
      </vt:variant>
      <vt:variant>
        <vt:i4>0</vt:i4>
      </vt:variant>
      <vt:variant>
        <vt:i4>5</vt:i4>
      </vt:variant>
      <vt:variant>
        <vt:lpwstr>https://app.converlens.com/safework/wel-consultation/ris-survey/view/71</vt:lpwstr>
      </vt:variant>
      <vt:variant>
        <vt:lpwstr/>
      </vt:variant>
      <vt:variant>
        <vt:i4>3801204</vt:i4>
      </vt:variant>
      <vt:variant>
        <vt:i4>1065</vt:i4>
      </vt:variant>
      <vt:variant>
        <vt:i4>0</vt:i4>
      </vt:variant>
      <vt:variant>
        <vt:i4>5</vt:i4>
      </vt:variant>
      <vt:variant>
        <vt:lpwstr>https://app.converlens.com/safework/wel-consultation/ris-survey/view/38</vt:lpwstr>
      </vt:variant>
      <vt:variant>
        <vt:lpwstr/>
      </vt:variant>
      <vt:variant>
        <vt:i4>3997812</vt:i4>
      </vt:variant>
      <vt:variant>
        <vt:i4>1062</vt:i4>
      </vt:variant>
      <vt:variant>
        <vt:i4>0</vt:i4>
      </vt:variant>
      <vt:variant>
        <vt:i4>5</vt:i4>
      </vt:variant>
      <vt:variant>
        <vt:lpwstr>https://app.converlens.com/safework/wel-consultation/ris-survey/view/46</vt:lpwstr>
      </vt:variant>
      <vt:variant>
        <vt:lpwstr/>
      </vt:variant>
      <vt:variant>
        <vt:i4>4063348</vt:i4>
      </vt:variant>
      <vt:variant>
        <vt:i4>1059</vt:i4>
      </vt:variant>
      <vt:variant>
        <vt:i4>0</vt:i4>
      </vt:variant>
      <vt:variant>
        <vt:i4>5</vt:i4>
      </vt:variant>
      <vt:variant>
        <vt:lpwstr>https://app.converlens.com/safework/wel-consultation/ris-survey/view/79</vt:lpwstr>
      </vt:variant>
      <vt:variant>
        <vt:lpwstr/>
      </vt:variant>
      <vt:variant>
        <vt:i4>3932276</vt:i4>
      </vt:variant>
      <vt:variant>
        <vt:i4>1056</vt:i4>
      </vt:variant>
      <vt:variant>
        <vt:i4>0</vt:i4>
      </vt:variant>
      <vt:variant>
        <vt:i4>5</vt:i4>
      </vt:variant>
      <vt:variant>
        <vt:lpwstr>https://app.converlens.com/safework/wel-consultation/ris-survey/view/52</vt:lpwstr>
      </vt:variant>
      <vt:variant>
        <vt:lpwstr/>
      </vt:variant>
      <vt:variant>
        <vt:i4>3145844</vt:i4>
      </vt:variant>
      <vt:variant>
        <vt:i4>1053</vt:i4>
      </vt:variant>
      <vt:variant>
        <vt:i4>0</vt:i4>
      </vt:variant>
      <vt:variant>
        <vt:i4>5</vt:i4>
      </vt:variant>
      <vt:variant>
        <vt:lpwstr>https://app.converlens.com/safework/wel-consultation/ris-survey/view/90</vt:lpwstr>
      </vt:variant>
      <vt:variant>
        <vt:lpwstr/>
      </vt:variant>
      <vt:variant>
        <vt:i4>3211380</vt:i4>
      </vt:variant>
      <vt:variant>
        <vt:i4>1050</vt:i4>
      </vt:variant>
      <vt:variant>
        <vt:i4>0</vt:i4>
      </vt:variant>
      <vt:variant>
        <vt:i4>5</vt:i4>
      </vt:variant>
      <vt:variant>
        <vt:lpwstr>https://app.converlens.com/safework/wel-consultation/ris-survey/view/81</vt:lpwstr>
      </vt:variant>
      <vt:variant>
        <vt:lpwstr/>
      </vt:variant>
      <vt:variant>
        <vt:i4>4063348</vt:i4>
      </vt:variant>
      <vt:variant>
        <vt:i4>1047</vt:i4>
      </vt:variant>
      <vt:variant>
        <vt:i4>0</vt:i4>
      </vt:variant>
      <vt:variant>
        <vt:i4>5</vt:i4>
      </vt:variant>
      <vt:variant>
        <vt:lpwstr>https://app.converlens.com/safework/wel-consultation/ris-survey/view/79</vt:lpwstr>
      </vt:variant>
      <vt:variant>
        <vt:lpwstr/>
      </vt:variant>
      <vt:variant>
        <vt:i4>3932276</vt:i4>
      </vt:variant>
      <vt:variant>
        <vt:i4>1044</vt:i4>
      </vt:variant>
      <vt:variant>
        <vt:i4>0</vt:i4>
      </vt:variant>
      <vt:variant>
        <vt:i4>5</vt:i4>
      </vt:variant>
      <vt:variant>
        <vt:lpwstr>https://app.converlens.com/safework/wel-consultation/ris-survey/view/52</vt:lpwstr>
      </vt:variant>
      <vt:variant>
        <vt:lpwstr/>
      </vt:variant>
      <vt:variant>
        <vt:i4>3932276</vt:i4>
      </vt:variant>
      <vt:variant>
        <vt:i4>1041</vt:i4>
      </vt:variant>
      <vt:variant>
        <vt:i4>0</vt:i4>
      </vt:variant>
      <vt:variant>
        <vt:i4>5</vt:i4>
      </vt:variant>
      <vt:variant>
        <vt:lpwstr>https://app.converlens.com/safework/wel-consultation/ris-survey/view/51</vt:lpwstr>
      </vt:variant>
      <vt:variant>
        <vt:lpwstr/>
      </vt:variant>
      <vt:variant>
        <vt:i4>3801204</vt:i4>
      </vt:variant>
      <vt:variant>
        <vt:i4>1038</vt:i4>
      </vt:variant>
      <vt:variant>
        <vt:i4>0</vt:i4>
      </vt:variant>
      <vt:variant>
        <vt:i4>5</vt:i4>
      </vt:variant>
      <vt:variant>
        <vt:lpwstr>https://app.converlens.com/safework/wel-consultation/ris-survey/view/31</vt:lpwstr>
      </vt:variant>
      <vt:variant>
        <vt:lpwstr/>
      </vt:variant>
      <vt:variant>
        <vt:i4>3801204</vt:i4>
      </vt:variant>
      <vt:variant>
        <vt:i4>1035</vt:i4>
      </vt:variant>
      <vt:variant>
        <vt:i4>0</vt:i4>
      </vt:variant>
      <vt:variant>
        <vt:i4>5</vt:i4>
      </vt:variant>
      <vt:variant>
        <vt:lpwstr>https://app.converlens.com/safework/wel-consultation/ris-survey/view/34</vt:lpwstr>
      </vt:variant>
      <vt:variant>
        <vt:lpwstr/>
      </vt:variant>
      <vt:variant>
        <vt:i4>3801204</vt:i4>
      </vt:variant>
      <vt:variant>
        <vt:i4>1032</vt:i4>
      </vt:variant>
      <vt:variant>
        <vt:i4>0</vt:i4>
      </vt:variant>
      <vt:variant>
        <vt:i4>5</vt:i4>
      </vt:variant>
      <vt:variant>
        <vt:lpwstr>https://app.converlens.com/safework/wel-consultation/ris-survey/view/31</vt:lpwstr>
      </vt:variant>
      <vt:variant>
        <vt:lpwstr/>
      </vt:variant>
      <vt:variant>
        <vt:i4>4063348</vt:i4>
      </vt:variant>
      <vt:variant>
        <vt:i4>1026</vt:i4>
      </vt:variant>
      <vt:variant>
        <vt:i4>0</vt:i4>
      </vt:variant>
      <vt:variant>
        <vt:i4>5</vt:i4>
      </vt:variant>
      <vt:variant>
        <vt:lpwstr>https://app.converlens.com/safework/wel-consultation/ris-survey/view/79</vt:lpwstr>
      </vt:variant>
      <vt:variant>
        <vt:lpwstr/>
      </vt:variant>
      <vt:variant>
        <vt:i4>3801204</vt:i4>
      </vt:variant>
      <vt:variant>
        <vt:i4>1020</vt:i4>
      </vt:variant>
      <vt:variant>
        <vt:i4>0</vt:i4>
      </vt:variant>
      <vt:variant>
        <vt:i4>5</vt:i4>
      </vt:variant>
      <vt:variant>
        <vt:lpwstr>https://app.converlens.com/safework/wel-consultation/ris-survey/view/31</vt:lpwstr>
      </vt:variant>
      <vt:variant>
        <vt:lpwstr/>
      </vt:variant>
      <vt:variant>
        <vt:i4>3801204</vt:i4>
      </vt:variant>
      <vt:variant>
        <vt:i4>1017</vt:i4>
      </vt:variant>
      <vt:variant>
        <vt:i4>0</vt:i4>
      </vt:variant>
      <vt:variant>
        <vt:i4>5</vt:i4>
      </vt:variant>
      <vt:variant>
        <vt:lpwstr>https://app.converlens.com/safework/wel-consultation/ris-survey/view/31</vt:lpwstr>
      </vt:variant>
      <vt:variant>
        <vt:lpwstr/>
      </vt:variant>
      <vt:variant>
        <vt:i4>458844</vt:i4>
      </vt:variant>
      <vt:variant>
        <vt:i4>1014</vt:i4>
      </vt:variant>
      <vt:variant>
        <vt:i4>0</vt:i4>
      </vt:variant>
      <vt:variant>
        <vt:i4>5</vt:i4>
      </vt:variant>
      <vt:variant>
        <vt:lpwstr>https://storage.googleapis.com/files-au-swa/safework/p/prj385d41c05dad942cee621/page/Respirable_Crystalline_Silica_Evaluation_Report_2019_F.docx</vt:lpwstr>
      </vt:variant>
      <vt:variant>
        <vt:lpwstr/>
      </vt:variant>
      <vt:variant>
        <vt:i4>3997812</vt:i4>
      </vt:variant>
      <vt:variant>
        <vt:i4>1011</vt:i4>
      </vt:variant>
      <vt:variant>
        <vt:i4>0</vt:i4>
      </vt:variant>
      <vt:variant>
        <vt:i4>5</vt:i4>
      </vt:variant>
      <vt:variant>
        <vt:lpwstr>https://app.converlens.com/safework/wel-consultation/ris-survey/view/46</vt:lpwstr>
      </vt:variant>
      <vt:variant>
        <vt:lpwstr/>
      </vt:variant>
      <vt:variant>
        <vt:i4>3211380</vt:i4>
      </vt:variant>
      <vt:variant>
        <vt:i4>1008</vt:i4>
      </vt:variant>
      <vt:variant>
        <vt:i4>0</vt:i4>
      </vt:variant>
      <vt:variant>
        <vt:i4>5</vt:i4>
      </vt:variant>
      <vt:variant>
        <vt:lpwstr>https://app.converlens.com/safework/wel-consultation/ris-survey/view/87</vt:lpwstr>
      </vt:variant>
      <vt:variant>
        <vt:lpwstr/>
      </vt:variant>
      <vt:variant>
        <vt:i4>3211380</vt:i4>
      </vt:variant>
      <vt:variant>
        <vt:i4>1005</vt:i4>
      </vt:variant>
      <vt:variant>
        <vt:i4>0</vt:i4>
      </vt:variant>
      <vt:variant>
        <vt:i4>5</vt:i4>
      </vt:variant>
      <vt:variant>
        <vt:lpwstr>https://app.converlens.com/safework/wel-consultation/ris-survey/view/88</vt:lpwstr>
      </vt:variant>
      <vt:variant>
        <vt:lpwstr/>
      </vt:variant>
      <vt:variant>
        <vt:i4>3211380</vt:i4>
      </vt:variant>
      <vt:variant>
        <vt:i4>1002</vt:i4>
      </vt:variant>
      <vt:variant>
        <vt:i4>0</vt:i4>
      </vt:variant>
      <vt:variant>
        <vt:i4>5</vt:i4>
      </vt:variant>
      <vt:variant>
        <vt:lpwstr>https://app.converlens.com/safework/wel-consultation/ris-survey/view/85</vt:lpwstr>
      </vt:variant>
      <vt:variant>
        <vt:lpwstr/>
      </vt:variant>
      <vt:variant>
        <vt:i4>3211380</vt:i4>
      </vt:variant>
      <vt:variant>
        <vt:i4>999</vt:i4>
      </vt:variant>
      <vt:variant>
        <vt:i4>0</vt:i4>
      </vt:variant>
      <vt:variant>
        <vt:i4>5</vt:i4>
      </vt:variant>
      <vt:variant>
        <vt:lpwstr>https://app.converlens.com/safework/wel-consultation/ris-survey/view/87</vt:lpwstr>
      </vt:variant>
      <vt:variant>
        <vt:lpwstr/>
      </vt:variant>
      <vt:variant>
        <vt:i4>3211380</vt:i4>
      </vt:variant>
      <vt:variant>
        <vt:i4>996</vt:i4>
      </vt:variant>
      <vt:variant>
        <vt:i4>0</vt:i4>
      </vt:variant>
      <vt:variant>
        <vt:i4>5</vt:i4>
      </vt:variant>
      <vt:variant>
        <vt:lpwstr>https://app.converlens.com/safework/wel-consultation/ris-survey/view/85</vt:lpwstr>
      </vt:variant>
      <vt:variant>
        <vt:lpwstr/>
      </vt:variant>
      <vt:variant>
        <vt:i4>3211380</vt:i4>
      </vt:variant>
      <vt:variant>
        <vt:i4>993</vt:i4>
      </vt:variant>
      <vt:variant>
        <vt:i4>0</vt:i4>
      </vt:variant>
      <vt:variant>
        <vt:i4>5</vt:i4>
      </vt:variant>
      <vt:variant>
        <vt:lpwstr>https://app.converlens.com/safework/wel-consultation/ris-survey/view/85</vt:lpwstr>
      </vt:variant>
      <vt:variant>
        <vt:lpwstr/>
      </vt:variant>
      <vt:variant>
        <vt:i4>3211380</vt:i4>
      </vt:variant>
      <vt:variant>
        <vt:i4>990</vt:i4>
      </vt:variant>
      <vt:variant>
        <vt:i4>0</vt:i4>
      </vt:variant>
      <vt:variant>
        <vt:i4>5</vt:i4>
      </vt:variant>
      <vt:variant>
        <vt:lpwstr>https://app.converlens.com/safework/wel-consultation/ris-survey/view/88</vt:lpwstr>
      </vt:variant>
      <vt:variant>
        <vt:lpwstr/>
      </vt:variant>
      <vt:variant>
        <vt:i4>3211380</vt:i4>
      </vt:variant>
      <vt:variant>
        <vt:i4>987</vt:i4>
      </vt:variant>
      <vt:variant>
        <vt:i4>0</vt:i4>
      </vt:variant>
      <vt:variant>
        <vt:i4>5</vt:i4>
      </vt:variant>
      <vt:variant>
        <vt:lpwstr>https://app.converlens.com/safework/wel-consultation/ris-survey/view/88</vt:lpwstr>
      </vt:variant>
      <vt:variant>
        <vt:lpwstr/>
      </vt:variant>
      <vt:variant>
        <vt:i4>3211380</vt:i4>
      </vt:variant>
      <vt:variant>
        <vt:i4>984</vt:i4>
      </vt:variant>
      <vt:variant>
        <vt:i4>0</vt:i4>
      </vt:variant>
      <vt:variant>
        <vt:i4>5</vt:i4>
      </vt:variant>
      <vt:variant>
        <vt:lpwstr>https://app.converlens.com/safework/wel-consultation/ris-survey/view/84</vt:lpwstr>
      </vt:variant>
      <vt:variant>
        <vt:lpwstr/>
      </vt:variant>
      <vt:variant>
        <vt:i4>4063348</vt:i4>
      </vt:variant>
      <vt:variant>
        <vt:i4>981</vt:i4>
      </vt:variant>
      <vt:variant>
        <vt:i4>0</vt:i4>
      </vt:variant>
      <vt:variant>
        <vt:i4>5</vt:i4>
      </vt:variant>
      <vt:variant>
        <vt:lpwstr>https://app.converlens.com/safework/wel-consultation/ris-survey/view/70</vt:lpwstr>
      </vt:variant>
      <vt:variant>
        <vt:lpwstr/>
      </vt:variant>
      <vt:variant>
        <vt:i4>3211380</vt:i4>
      </vt:variant>
      <vt:variant>
        <vt:i4>978</vt:i4>
      </vt:variant>
      <vt:variant>
        <vt:i4>0</vt:i4>
      </vt:variant>
      <vt:variant>
        <vt:i4>5</vt:i4>
      </vt:variant>
      <vt:variant>
        <vt:lpwstr>https://app.converlens.com/safework/wel-consultation/ris-survey/view/88</vt:lpwstr>
      </vt:variant>
      <vt:variant>
        <vt:lpwstr/>
      </vt:variant>
      <vt:variant>
        <vt:i4>3932276</vt:i4>
      </vt:variant>
      <vt:variant>
        <vt:i4>975</vt:i4>
      </vt:variant>
      <vt:variant>
        <vt:i4>0</vt:i4>
      </vt:variant>
      <vt:variant>
        <vt:i4>5</vt:i4>
      </vt:variant>
      <vt:variant>
        <vt:lpwstr>https://app.converlens.com/safework/wel-consultation/ris-survey/view/52</vt:lpwstr>
      </vt:variant>
      <vt:variant>
        <vt:lpwstr/>
      </vt:variant>
      <vt:variant>
        <vt:i4>3211380</vt:i4>
      </vt:variant>
      <vt:variant>
        <vt:i4>972</vt:i4>
      </vt:variant>
      <vt:variant>
        <vt:i4>0</vt:i4>
      </vt:variant>
      <vt:variant>
        <vt:i4>5</vt:i4>
      </vt:variant>
      <vt:variant>
        <vt:lpwstr>https://app.converlens.com/safework/wel-consultation/ris-survey/view/88</vt:lpwstr>
      </vt:variant>
      <vt:variant>
        <vt:lpwstr/>
      </vt:variant>
      <vt:variant>
        <vt:i4>4063348</vt:i4>
      </vt:variant>
      <vt:variant>
        <vt:i4>969</vt:i4>
      </vt:variant>
      <vt:variant>
        <vt:i4>0</vt:i4>
      </vt:variant>
      <vt:variant>
        <vt:i4>5</vt:i4>
      </vt:variant>
      <vt:variant>
        <vt:lpwstr>https://app.converlens.com/safework/wel-consultation/ris-survey/view/70</vt:lpwstr>
      </vt:variant>
      <vt:variant>
        <vt:lpwstr/>
      </vt:variant>
      <vt:variant>
        <vt:i4>3211380</vt:i4>
      </vt:variant>
      <vt:variant>
        <vt:i4>966</vt:i4>
      </vt:variant>
      <vt:variant>
        <vt:i4>0</vt:i4>
      </vt:variant>
      <vt:variant>
        <vt:i4>5</vt:i4>
      </vt:variant>
      <vt:variant>
        <vt:lpwstr>https://app.converlens.com/safework/wel-consultation/ris-survey/view/87</vt:lpwstr>
      </vt:variant>
      <vt:variant>
        <vt:lpwstr/>
      </vt:variant>
      <vt:variant>
        <vt:i4>3211380</vt:i4>
      </vt:variant>
      <vt:variant>
        <vt:i4>963</vt:i4>
      </vt:variant>
      <vt:variant>
        <vt:i4>0</vt:i4>
      </vt:variant>
      <vt:variant>
        <vt:i4>5</vt:i4>
      </vt:variant>
      <vt:variant>
        <vt:lpwstr>https://app.converlens.com/safework/wel-consultation/ris-survey/view/84</vt:lpwstr>
      </vt:variant>
      <vt:variant>
        <vt:lpwstr/>
      </vt:variant>
      <vt:variant>
        <vt:i4>3670132</vt:i4>
      </vt:variant>
      <vt:variant>
        <vt:i4>960</vt:i4>
      </vt:variant>
      <vt:variant>
        <vt:i4>0</vt:i4>
      </vt:variant>
      <vt:variant>
        <vt:i4>5</vt:i4>
      </vt:variant>
      <vt:variant>
        <vt:lpwstr>https://app.converlens.com/safework/wel-consultation/ris-survey/view/18</vt:lpwstr>
      </vt:variant>
      <vt:variant>
        <vt:lpwstr/>
      </vt:variant>
      <vt:variant>
        <vt:i4>3211380</vt:i4>
      </vt:variant>
      <vt:variant>
        <vt:i4>957</vt:i4>
      </vt:variant>
      <vt:variant>
        <vt:i4>0</vt:i4>
      </vt:variant>
      <vt:variant>
        <vt:i4>5</vt:i4>
      </vt:variant>
      <vt:variant>
        <vt:lpwstr>https://app.converlens.com/safework/wel-consultation/ris-survey/view/87</vt:lpwstr>
      </vt:variant>
      <vt:variant>
        <vt:lpwstr/>
      </vt:variant>
      <vt:variant>
        <vt:i4>3211380</vt:i4>
      </vt:variant>
      <vt:variant>
        <vt:i4>954</vt:i4>
      </vt:variant>
      <vt:variant>
        <vt:i4>0</vt:i4>
      </vt:variant>
      <vt:variant>
        <vt:i4>5</vt:i4>
      </vt:variant>
      <vt:variant>
        <vt:lpwstr>https://app.converlens.com/safework/wel-consultation/ris-survey/view/84</vt:lpwstr>
      </vt:variant>
      <vt:variant>
        <vt:lpwstr/>
      </vt:variant>
      <vt:variant>
        <vt:i4>3211380</vt:i4>
      </vt:variant>
      <vt:variant>
        <vt:i4>951</vt:i4>
      </vt:variant>
      <vt:variant>
        <vt:i4>0</vt:i4>
      </vt:variant>
      <vt:variant>
        <vt:i4>5</vt:i4>
      </vt:variant>
      <vt:variant>
        <vt:lpwstr>https://app.converlens.com/safework/wel-consultation/ris-survey/view/87</vt:lpwstr>
      </vt:variant>
      <vt:variant>
        <vt:lpwstr/>
      </vt:variant>
      <vt:variant>
        <vt:i4>3670132</vt:i4>
      </vt:variant>
      <vt:variant>
        <vt:i4>948</vt:i4>
      </vt:variant>
      <vt:variant>
        <vt:i4>0</vt:i4>
      </vt:variant>
      <vt:variant>
        <vt:i4>5</vt:i4>
      </vt:variant>
      <vt:variant>
        <vt:lpwstr>https://app.converlens.com/safework/wel-consultation/ris-survey/view/18</vt:lpwstr>
      </vt:variant>
      <vt:variant>
        <vt:lpwstr/>
      </vt:variant>
      <vt:variant>
        <vt:i4>3211380</vt:i4>
      </vt:variant>
      <vt:variant>
        <vt:i4>945</vt:i4>
      </vt:variant>
      <vt:variant>
        <vt:i4>0</vt:i4>
      </vt:variant>
      <vt:variant>
        <vt:i4>5</vt:i4>
      </vt:variant>
      <vt:variant>
        <vt:lpwstr>https://app.converlens.com/safework/wel-consultation/ris-survey/view/87</vt:lpwstr>
      </vt:variant>
      <vt:variant>
        <vt:lpwstr/>
      </vt:variant>
      <vt:variant>
        <vt:i4>3211380</vt:i4>
      </vt:variant>
      <vt:variant>
        <vt:i4>942</vt:i4>
      </vt:variant>
      <vt:variant>
        <vt:i4>0</vt:i4>
      </vt:variant>
      <vt:variant>
        <vt:i4>5</vt:i4>
      </vt:variant>
      <vt:variant>
        <vt:lpwstr>https://app.converlens.com/safework/wel-consultation/ris-survey/view/84</vt:lpwstr>
      </vt:variant>
      <vt:variant>
        <vt:lpwstr/>
      </vt:variant>
      <vt:variant>
        <vt:i4>3997812</vt:i4>
      </vt:variant>
      <vt:variant>
        <vt:i4>939</vt:i4>
      </vt:variant>
      <vt:variant>
        <vt:i4>0</vt:i4>
      </vt:variant>
      <vt:variant>
        <vt:i4>5</vt:i4>
      </vt:variant>
      <vt:variant>
        <vt:lpwstr>https://app.converlens.com/safework/wel-consultation/ris-survey/view/46</vt:lpwstr>
      </vt:variant>
      <vt:variant>
        <vt:lpwstr/>
      </vt:variant>
      <vt:variant>
        <vt:i4>3801204</vt:i4>
      </vt:variant>
      <vt:variant>
        <vt:i4>936</vt:i4>
      </vt:variant>
      <vt:variant>
        <vt:i4>0</vt:i4>
      </vt:variant>
      <vt:variant>
        <vt:i4>5</vt:i4>
      </vt:variant>
      <vt:variant>
        <vt:lpwstr>https://app.converlens.com/safework/wel-consultation/ris-survey/view/34</vt:lpwstr>
      </vt:variant>
      <vt:variant>
        <vt:lpwstr/>
      </vt:variant>
      <vt:variant>
        <vt:i4>3932276</vt:i4>
      </vt:variant>
      <vt:variant>
        <vt:i4>933</vt:i4>
      </vt:variant>
      <vt:variant>
        <vt:i4>0</vt:i4>
      </vt:variant>
      <vt:variant>
        <vt:i4>5</vt:i4>
      </vt:variant>
      <vt:variant>
        <vt:lpwstr>https://app.converlens.com/safework/wel-consultation/ris-survey/view/52</vt:lpwstr>
      </vt:variant>
      <vt:variant>
        <vt:lpwstr/>
      </vt:variant>
      <vt:variant>
        <vt:i4>3211380</vt:i4>
      </vt:variant>
      <vt:variant>
        <vt:i4>930</vt:i4>
      </vt:variant>
      <vt:variant>
        <vt:i4>0</vt:i4>
      </vt:variant>
      <vt:variant>
        <vt:i4>5</vt:i4>
      </vt:variant>
      <vt:variant>
        <vt:lpwstr>https://app.converlens.com/safework/wel-consultation/ris-survey/view/81</vt:lpwstr>
      </vt:variant>
      <vt:variant>
        <vt:lpwstr/>
      </vt:variant>
      <vt:variant>
        <vt:i4>3145844</vt:i4>
      </vt:variant>
      <vt:variant>
        <vt:i4>927</vt:i4>
      </vt:variant>
      <vt:variant>
        <vt:i4>0</vt:i4>
      </vt:variant>
      <vt:variant>
        <vt:i4>5</vt:i4>
      </vt:variant>
      <vt:variant>
        <vt:lpwstr>https://app.converlens.com/safework/wel-consultation/ris-survey/view/90</vt:lpwstr>
      </vt:variant>
      <vt:variant>
        <vt:lpwstr/>
      </vt:variant>
      <vt:variant>
        <vt:i4>3997812</vt:i4>
      </vt:variant>
      <vt:variant>
        <vt:i4>924</vt:i4>
      </vt:variant>
      <vt:variant>
        <vt:i4>0</vt:i4>
      </vt:variant>
      <vt:variant>
        <vt:i4>5</vt:i4>
      </vt:variant>
      <vt:variant>
        <vt:lpwstr>https://app.converlens.com/safework/wel-consultation/ris-survey/view/46</vt:lpwstr>
      </vt:variant>
      <vt:variant>
        <vt:lpwstr/>
      </vt:variant>
      <vt:variant>
        <vt:i4>3211380</vt:i4>
      </vt:variant>
      <vt:variant>
        <vt:i4>921</vt:i4>
      </vt:variant>
      <vt:variant>
        <vt:i4>0</vt:i4>
      </vt:variant>
      <vt:variant>
        <vt:i4>5</vt:i4>
      </vt:variant>
      <vt:variant>
        <vt:lpwstr>https://app.converlens.com/safework/wel-consultation/ris-survey/view/88</vt:lpwstr>
      </vt:variant>
      <vt:variant>
        <vt:lpwstr/>
      </vt:variant>
      <vt:variant>
        <vt:i4>3211380</vt:i4>
      </vt:variant>
      <vt:variant>
        <vt:i4>918</vt:i4>
      </vt:variant>
      <vt:variant>
        <vt:i4>0</vt:i4>
      </vt:variant>
      <vt:variant>
        <vt:i4>5</vt:i4>
      </vt:variant>
      <vt:variant>
        <vt:lpwstr>https://app.converlens.com/safework/wel-consultation/ris-survey/view/85</vt:lpwstr>
      </vt:variant>
      <vt:variant>
        <vt:lpwstr/>
      </vt:variant>
      <vt:variant>
        <vt:i4>3211380</vt:i4>
      </vt:variant>
      <vt:variant>
        <vt:i4>915</vt:i4>
      </vt:variant>
      <vt:variant>
        <vt:i4>0</vt:i4>
      </vt:variant>
      <vt:variant>
        <vt:i4>5</vt:i4>
      </vt:variant>
      <vt:variant>
        <vt:lpwstr>https://app.converlens.com/safework/wel-consultation/ris-survey/view/85</vt:lpwstr>
      </vt:variant>
      <vt:variant>
        <vt:lpwstr/>
      </vt:variant>
      <vt:variant>
        <vt:i4>3932276</vt:i4>
      </vt:variant>
      <vt:variant>
        <vt:i4>912</vt:i4>
      </vt:variant>
      <vt:variant>
        <vt:i4>0</vt:i4>
      </vt:variant>
      <vt:variant>
        <vt:i4>5</vt:i4>
      </vt:variant>
      <vt:variant>
        <vt:lpwstr>https://app.converlens.com/safework/wel-consultation/ris-survey/view/52</vt:lpwstr>
      </vt:variant>
      <vt:variant>
        <vt:lpwstr/>
      </vt:variant>
      <vt:variant>
        <vt:i4>3801204</vt:i4>
      </vt:variant>
      <vt:variant>
        <vt:i4>909</vt:i4>
      </vt:variant>
      <vt:variant>
        <vt:i4>0</vt:i4>
      </vt:variant>
      <vt:variant>
        <vt:i4>5</vt:i4>
      </vt:variant>
      <vt:variant>
        <vt:lpwstr>https://storage.googleapis.com/files-au-swa/safework/p/prj345078c28dff3c94a3e5a/page/draft_evaluation_report_wes_nitrogen_dioxide_pdf.pdf</vt:lpwstr>
      </vt:variant>
      <vt:variant>
        <vt:lpwstr/>
      </vt:variant>
      <vt:variant>
        <vt:i4>3211380</vt:i4>
      </vt:variant>
      <vt:variant>
        <vt:i4>906</vt:i4>
      </vt:variant>
      <vt:variant>
        <vt:i4>0</vt:i4>
      </vt:variant>
      <vt:variant>
        <vt:i4>5</vt:i4>
      </vt:variant>
      <vt:variant>
        <vt:lpwstr>https://app.converlens.com/safework/wel-consultation/ris-survey/view/82</vt:lpwstr>
      </vt:variant>
      <vt:variant>
        <vt:lpwstr/>
      </vt:variant>
      <vt:variant>
        <vt:i4>4063348</vt:i4>
      </vt:variant>
      <vt:variant>
        <vt:i4>903</vt:i4>
      </vt:variant>
      <vt:variant>
        <vt:i4>0</vt:i4>
      </vt:variant>
      <vt:variant>
        <vt:i4>5</vt:i4>
      </vt:variant>
      <vt:variant>
        <vt:lpwstr>https://app.converlens.com/safework/wel-consultation/ris-survey/view/7</vt:lpwstr>
      </vt:variant>
      <vt:variant>
        <vt:lpwstr/>
      </vt:variant>
      <vt:variant>
        <vt:i4>3932276</vt:i4>
      </vt:variant>
      <vt:variant>
        <vt:i4>900</vt:i4>
      </vt:variant>
      <vt:variant>
        <vt:i4>0</vt:i4>
      </vt:variant>
      <vt:variant>
        <vt:i4>5</vt:i4>
      </vt:variant>
      <vt:variant>
        <vt:lpwstr>https://app.converlens.com/safework/wel-consultation/ris-survey/view/52</vt:lpwstr>
      </vt:variant>
      <vt:variant>
        <vt:lpwstr/>
      </vt:variant>
      <vt:variant>
        <vt:i4>3866740</vt:i4>
      </vt:variant>
      <vt:variant>
        <vt:i4>897</vt:i4>
      </vt:variant>
      <vt:variant>
        <vt:i4>0</vt:i4>
      </vt:variant>
      <vt:variant>
        <vt:i4>5</vt:i4>
      </vt:variant>
      <vt:variant>
        <vt:lpwstr>https://app.converlens.com/safework/wel-consultation/ris-survey/view/21</vt:lpwstr>
      </vt:variant>
      <vt:variant>
        <vt:lpwstr/>
      </vt:variant>
      <vt:variant>
        <vt:i4>3211380</vt:i4>
      </vt:variant>
      <vt:variant>
        <vt:i4>894</vt:i4>
      </vt:variant>
      <vt:variant>
        <vt:i4>0</vt:i4>
      </vt:variant>
      <vt:variant>
        <vt:i4>5</vt:i4>
      </vt:variant>
      <vt:variant>
        <vt:lpwstr>https://app.converlens.com/safework/wel-consultation/ris-survey/view/87</vt:lpwstr>
      </vt:variant>
      <vt:variant>
        <vt:lpwstr/>
      </vt:variant>
      <vt:variant>
        <vt:i4>3211380</vt:i4>
      </vt:variant>
      <vt:variant>
        <vt:i4>891</vt:i4>
      </vt:variant>
      <vt:variant>
        <vt:i4>0</vt:i4>
      </vt:variant>
      <vt:variant>
        <vt:i4>5</vt:i4>
      </vt:variant>
      <vt:variant>
        <vt:lpwstr>https://app.converlens.com/safework/wel-consultation/ris-survey/view/82</vt:lpwstr>
      </vt:variant>
      <vt:variant>
        <vt:lpwstr/>
      </vt:variant>
      <vt:variant>
        <vt:i4>3211380</vt:i4>
      </vt:variant>
      <vt:variant>
        <vt:i4>888</vt:i4>
      </vt:variant>
      <vt:variant>
        <vt:i4>0</vt:i4>
      </vt:variant>
      <vt:variant>
        <vt:i4>5</vt:i4>
      </vt:variant>
      <vt:variant>
        <vt:lpwstr>https://app.converlens.com/safework/wel-consultation/ris-survey/view/82</vt:lpwstr>
      </vt:variant>
      <vt:variant>
        <vt:lpwstr/>
      </vt:variant>
      <vt:variant>
        <vt:i4>3670132</vt:i4>
      </vt:variant>
      <vt:variant>
        <vt:i4>885</vt:i4>
      </vt:variant>
      <vt:variant>
        <vt:i4>0</vt:i4>
      </vt:variant>
      <vt:variant>
        <vt:i4>5</vt:i4>
      </vt:variant>
      <vt:variant>
        <vt:lpwstr>https://app.converlens.com/safework/wel-consultation/ris-survey/view/18</vt:lpwstr>
      </vt:variant>
      <vt:variant>
        <vt:lpwstr/>
      </vt:variant>
      <vt:variant>
        <vt:i4>3670132</vt:i4>
      </vt:variant>
      <vt:variant>
        <vt:i4>882</vt:i4>
      </vt:variant>
      <vt:variant>
        <vt:i4>0</vt:i4>
      </vt:variant>
      <vt:variant>
        <vt:i4>5</vt:i4>
      </vt:variant>
      <vt:variant>
        <vt:lpwstr>https://app.converlens.com/safework/wel-consultation/ris-survey/view/18</vt:lpwstr>
      </vt:variant>
      <vt:variant>
        <vt:lpwstr/>
      </vt:variant>
      <vt:variant>
        <vt:i4>3211380</vt:i4>
      </vt:variant>
      <vt:variant>
        <vt:i4>879</vt:i4>
      </vt:variant>
      <vt:variant>
        <vt:i4>0</vt:i4>
      </vt:variant>
      <vt:variant>
        <vt:i4>5</vt:i4>
      </vt:variant>
      <vt:variant>
        <vt:lpwstr>https://app.converlens.com/safework/wel-consultation/ris-survey/view/82</vt:lpwstr>
      </vt:variant>
      <vt:variant>
        <vt:lpwstr/>
      </vt:variant>
      <vt:variant>
        <vt:i4>4063348</vt:i4>
      </vt:variant>
      <vt:variant>
        <vt:i4>876</vt:i4>
      </vt:variant>
      <vt:variant>
        <vt:i4>0</vt:i4>
      </vt:variant>
      <vt:variant>
        <vt:i4>5</vt:i4>
      </vt:variant>
      <vt:variant>
        <vt:lpwstr>https://app.converlens.com/safework/wel-consultation/ris-survey/view/70</vt:lpwstr>
      </vt:variant>
      <vt:variant>
        <vt:lpwstr/>
      </vt:variant>
      <vt:variant>
        <vt:i4>3211380</vt:i4>
      </vt:variant>
      <vt:variant>
        <vt:i4>873</vt:i4>
      </vt:variant>
      <vt:variant>
        <vt:i4>0</vt:i4>
      </vt:variant>
      <vt:variant>
        <vt:i4>5</vt:i4>
      </vt:variant>
      <vt:variant>
        <vt:lpwstr>https://app.converlens.com/safework/wel-consultation/ris-survey/view/82</vt:lpwstr>
      </vt:variant>
      <vt:variant>
        <vt:lpwstr/>
      </vt:variant>
      <vt:variant>
        <vt:i4>3211380</vt:i4>
      </vt:variant>
      <vt:variant>
        <vt:i4>870</vt:i4>
      </vt:variant>
      <vt:variant>
        <vt:i4>0</vt:i4>
      </vt:variant>
      <vt:variant>
        <vt:i4>5</vt:i4>
      </vt:variant>
      <vt:variant>
        <vt:lpwstr>https://app.converlens.com/safework/wel-consultation/ris-survey/view/82</vt:lpwstr>
      </vt:variant>
      <vt:variant>
        <vt:lpwstr/>
      </vt:variant>
      <vt:variant>
        <vt:i4>4128884</vt:i4>
      </vt:variant>
      <vt:variant>
        <vt:i4>867</vt:i4>
      </vt:variant>
      <vt:variant>
        <vt:i4>0</vt:i4>
      </vt:variant>
      <vt:variant>
        <vt:i4>5</vt:i4>
      </vt:variant>
      <vt:variant>
        <vt:lpwstr>https://app.converlens.com/safework/wel-consultation/ris-survey/view/60</vt:lpwstr>
      </vt:variant>
      <vt:variant>
        <vt:lpwstr/>
      </vt:variant>
      <vt:variant>
        <vt:i4>4063348</vt:i4>
      </vt:variant>
      <vt:variant>
        <vt:i4>864</vt:i4>
      </vt:variant>
      <vt:variant>
        <vt:i4>0</vt:i4>
      </vt:variant>
      <vt:variant>
        <vt:i4>5</vt:i4>
      </vt:variant>
      <vt:variant>
        <vt:lpwstr>https://app.converlens.com/safework/wel-consultation/ris-survey/view/70</vt:lpwstr>
      </vt:variant>
      <vt:variant>
        <vt:lpwstr/>
      </vt:variant>
      <vt:variant>
        <vt:i4>3211380</vt:i4>
      </vt:variant>
      <vt:variant>
        <vt:i4>861</vt:i4>
      </vt:variant>
      <vt:variant>
        <vt:i4>0</vt:i4>
      </vt:variant>
      <vt:variant>
        <vt:i4>5</vt:i4>
      </vt:variant>
      <vt:variant>
        <vt:lpwstr>https://app.converlens.com/safework/wel-consultation/ris-survey/view/85</vt:lpwstr>
      </vt:variant>
      <vt:variant>
        <vt:lpwstr/>
      </vt:variant>
      <vt:variant>
        <vt:i4>3211380</vt:i4>
      </vt:variant>
      <vt:variant>
        <vt:i4>858</vt:i4>
      </vt:variant>
      <vt:variant>
        <vt:i4>0</vt:i4>
      </vt:variant>
      <vt:variant>
        <vt:i4>5</vt:i4>
      </vt:variant>
      <vt:variant>
        <vt:lpwstr>https://app.converlens.com/safework/wel-consultation/ris-survey/view/82</vt:lpwstr>
      </vt:variant>
      <vt:variant>
        <vt:lpwstr/>
      </vt:variant>
      <vt:variant>
        <vt:i4>3211380</vt:i4>
      </vt:variant>
      <vt:variant>
        <vt:i4>855</vt:i4>
      </vt:variant>
      <vt:variant>
        <vt:i4>0</vt:i4>
      </vt:variant>
      <vt:variant>
        <vt:i4>5</vt:i4>
      </vt:variant>
      <vt:variant>
        <vt:lpwstr>https://app.converlens.com/safework/wel-consultation/ris-survey/view/85</vt:lpwstr>
      </vt:variant>
      <vt:variant>
        <vt:lpwstr/>
      </vt:variant>
      <vt:variant>
        <vt:i4>4063348</vt:i4>
      </vt:variant>
      <vt:variant>
        <vt:i4>852</vt:i4>
      </vt:variant>
      <vt:variant>
        <vt:i4>0</vt:i4>
      </vt:variant>
      <vt:variant>
        <vt:i4>5</vt:i4>
      </vt:variant>
      <vt:variant>
        <vt:lpwstr>https://app.converlens.com/safework/wel-consultation/ris-survey/view/70</vt:lpwstr>
      </vt:variant>
      <vt:variant>
        <vt:lpwstr/>
      </vt:variant>
      <vt:variant>
        <vt:i4>3670132</vt:i4>
      </vt:variant>
      <vt:variant>
        <vt:i4>849</vt:i4>
      </vt:variant>
      <vt:variant>
        <vt:i4>0</vt:i4>
      </vt:variant>
      <vt:variant>
        <vt:i4>5</vt:i4>
      </vt:variant>
      <vt:variant>
        <vt:lpwstr>https://app.converlens.com/safework/wel-consultation/ris-survey/view/18</vt:lpwstr>
      </vt:variant>
      <vt:variant>
        <vt:lpwstr/>
      </vt:variant>
      <vt:variant>
        <vt:i4>3211380</vt:i4>
      </vt:variant>
      <vt:variant>
        <vt:i4>846</vt:i4>
      </vt:variant>
      <vt:variant>
        <vt:i4>0</vt:i4>
      </vt:variant>
      <vt:variant>
        <vt:i4>5</vt:i4>
      </vt:variant>
      <vt:variant>
        <vt:lpwstr>https://app.converlens.com/safework/wel-consultation/ris-survey/view/87</vt:lpwstr>
      </vt:variant>
      <vt:variant>
        <vt:lpwstr/>
      </vt:variant>
      <vt:variant>
        <vt:i4>3211380</vt:i4>
      </vt:variant>
      <vt:variant>
        <vt:i4>843</vt:i4>
      </vt:variant>
      <vt:variant>
        <vt:i4>0</vt:i4>
      </vt:variant>
      <vt:variant>
        <vt:i4>5</vt:i4>
      </vt:variant>
      <vt:variant>
        <vt:lpwstr>https://app.converlens.com/safework/wel-consultation/ris-survey/view/84</vt:lpwstr>
      </vt:variant>
      <vt:variant>
        <vt:lpwstr/>
      </vt:variant>
      <vt:variant>
        <vt:i4>3211380</vt:i4>
      </vt:variant>
      <vt:variant>
        <vt:i4>840</vt:i4>
      </vt:variant>
      <vt:variant>
        <vt:i4>0</vt:i4>
      </vt:variant>
      <vt:variant>
        <vt:i4>5</vt:i4>
      </vt:variant>
      <vt:variant>
        <vt:lpwstr>https://app.converlens.com/safework/wel-consultation/ris-survey/view/87</vt:lpwstr>
      </vt:variant>
      <vt:variant>
        <vt:lpwstr/>
      </vt:variant>
      <vt:variant>
        <vt:i4>3211380</vt:i4>
      </vt:variant>
      <vt:variant>
        <vt:i4>837</vt:i4>
      </vt:variant>
      <vt:variant>
        <vt:i4>0</vt:i4>
      </vt:variant>
      <vt:variant>
        <vt:i4>5</vt:i4>
      </vt:variant>
      <vt:variant>
        <vt:lpwstr>https://app.converlens.com/safework/wel-consultation/ris-survey/view/84</vt:lpwstr>
      </vt:variant>
      <vt:variant>
        <vt:lpwstr/>
      </vt:variant>
      <vt:variant>
        <vt:i4>3866740</vt:i4>
      </vt:variant>
      <vt:variant>
        <vt:i4>834</vt:i4>
      </vt:variant>
      <vt:variant>
        <vt:i4>0</vt:i4>
      </vt:variant>
      <vt:variant>
        <vt:i4>5</vt:i4>
      </vt:variant>
      <vt:variant>
        <vt:lpwstr>https://app.converlens.com/safework/wel-consultation/ris-survey/view/21</vt:lpwstr>
      </vt:variant>
      <vt:variant>
        <vt:lpwstr/>
      </vt:variant>
      <vt:variant>
        <vt:i4>3211380</vt:i4>
      </vt:variant>
      <vt:variant>
        <vt:i4>831</vt:i4>
      </vt:variant>
      <vt:variant>
        <vt:i4>0</vt:i4>
      </vt:variant>
      <vt:variant>
        <vt:i4>5</vt:i4>
      </vt:variant>
      <vt:variant>
        <vt:lpwstr>https://app.converlens.com/safework/wel-consultation/ris-survey/view/87</vt:lpwstr>
      </vt:variant>
      <vt:variant>
        <vt:lpwstr/>
      </vt:variant>
      <vt:variant>
        <vt:i4>3866740</vt:i4>
      </vt:variant>
      <vt:variant>
        <vt:i4>828</vt:i4>
      </vt:variant>
      <vt:variant>
        <vt:i4>0</vt:i4>
      </vt:variant>
      <vt:variant>
        <vt:i4>5</vt:i4>
      </vt:variant>
      <vt:variant>
        <vt:lpwstr>https://app.converlens.com/safework/wel-consultation/ris-survey/view/21</vt:lpwstr>
      </vt:variant>
      <vt:variant>
        <vt:lpwstr/>
      </vt:variant>
      <vt:variant>
        <vt:i4>3211380</vt:i4>
      </vt:variant>
      <vt:variant>
        <vt:i4>825</vt:i4>
      </vt:variant>
      <vt:variant>
        <vt:i4>0</vt:i4>
      </vt:variant>
      <vt:variant>
        <vt:i4>5</vt:i4>
      </vt:variant>
      <vt:variant>
        <vt:lpwstr>https://app.converlens.com/safework/wel-consultation/ris-survey/view/82</vt:lpwstr>
      </vt:variant>
      <vt:variant>
        <vt:lpwstr/>
      </vt:variant>
      <vt:variant>
        <vt:i4>4063348</vt:i4>
      </vt:variant>
      <vt:variant>
        <vt:i4>822</vt:i4>
      </vt:variant>
      <vt:variant>
        <vt:i4>0</vt:i4>
      </vt:variant>
      <vt:variant>
        <vt:i4>5</vt:i4>
      </vt:variant>
      <vt:variant>
        <vt:lpwstr>https://app.converlens.com/safework/wel-consultation/ris-survey/view/76</vt:lpwstr>
      </vt:variant>
      <vt:variant>
        <vt:lpwstr/>
      </vt:variant>
      <vt:variant>
        <vt:i4>3211380</vt:i4>
      </vt:variant>
      <vt:variant>
        <vt:i4>819</vt:i4>
      </vt:variant>
      <vt:variant>
        <vt:i4>0</vt:i4>
      </vt:variant>
      <vt:variant>
        <vt:i4>5</vt:i4>
      </vt:variant>
      <vt:variant>
        <vt:lpwstr>https://app.converlens.com/safework/wel-consultation/ris-survey/view/82</vt:lpwstr>
      </vt:variant>
      <vt:variant>
        <vt:lpwstr/>
      </vt:variant>
      <vt:variant>
        <vt:i4>4063348</vt:i4>
      </vt:variant>
      <vt:variant>
        <vt:i4>816</vt:i4>
      </vt:variant>
      <vt:variant>
        <vt:i4>0</vt:i4>
      </vt:variant>
      <vt:variant>
        <vt:i4>5</vt:i4>
      </vt:variant>
      <vt:variant>
        <vt:lpwstr>https://app.converlens.com/safework/wel-consultation/ris-survey/view/76</vt:lpwstr>
      </vt:variant>
      <vt:variant>
        <vt:lpwstr/>
      </vt:variant>
      <vt:variant>
        <vt:i4>3211380</vt:i4>
      </vt:variant>
      <vt:variant>
        <vt:i4>813</vt:i4>
      </vt:variant>
      <vt:variant>
        <vt:i4>0</vt:i4>
      </vt:variant>
      <vt:variant>
        <vt:i4>5</vt:i4>
      </vt:variant>
      <vt:variant>
        <vt:lpwstr>https://app.converlens.com/safework/wel-consultation/ris-survey/view/87</vt:lpwstr>
      </vt:variant>
      <vt:variant>
        <vt:lpwstr/>
      </vt:variant>
      <vt:variant>
        <vt:i4>3211380</vt:i4>
      </vt:variant>
      <vt:variant>
        <vt:i4>810</vt:i4>
      </vt:variant>
      <vt:variant>
        <vt:i4>0</vt:i4>
      </vt:variant>
      <vt:variant>
        <vt:i4>5</vt:i4>
      </vt:variant>
      <vt:variant>
        <vt:lpwstr>https://app.converlens.com/safework/wel-consultation/ris-survey/view/84</vt:lpwstr>
      </vt:variant>
      <vt:variant>
        <vt:lpwstr/>
      </vt:variant>
      <vt:variant>
        <vt:i4>3211380</vt:i4>
      </vt:variant>
      <vt:variant>
        <vt:i4>807</vt:i4>
      </vt:variant>
      <vt:variant>
        <vt:i4>0</vt:i4>
      </vt:variant>
      <vt:variant>
        <vt:i4>5</vt:i4>
      </vt:variant>
      <vt:variant>
        <vt:lpwstr>https://app.converlens.com/safework/wel-consultation/ris-survey/view/84</vt:lpwstr>
      </vt:variant>
      <vt:variant>
        <vt:lpwstr/>
      </vt:variant>
      <vt:variant>
        <vt:i4>3211380</vt:i4>
      </vt:variant>
      <vt:variant>
        <vt:i4>804</vt:i4>
      </vt:variant>
      <vt:variant>
        <vt:i4>0</vt:i4>
      </vt:variant>
      <vt:variant>
        <vt:i4>5</vt:i4>
      </vt:variant>
      <vt:variant>
        <vt:lpwstr>https://app.converlens.com/safework/wel-consultation/ris-survey/view/82</vt:lpwstr>
      </vt:variant>
      <vt:variant>
        <vt:lpwstr/>
      </vt:variant>
      <vt:variant>
        <vt:i4>3801204</vt:i4>
      </vt:variant>
      <vt:variant>
        <vt:i4>801</vt:i4>
      </vt:variant>
      <vt:variant>
        <vt:i4>0</vt:i4>
      </vt:variant>
      <vt:variant>
        <vt:i4>5</vt:i4>
      </vt:variant>
      <vt:variant>
        <vt:lpwstr>https://app.converlens.com/safework/wel-consultation/ris-survey/view/37</vt:lpwstr>
      </vt:variant>
      <vt:variant>
        <vt:lpwstr/>
      </vt:variant>
      <vt:variant>
        <vt:i4>3866740</vt:i4>
      </vt:variant>
      <vt:variant>
        <vt:i4>798</vt:i4>
      </vt:variant>
      <vt:variant>
        <vt:i4>0</vt:i4>
      </vt:variant>
      <vt:variant>
        <vt:i4>5</vt:i4>
      </vt:variant>
      <vt:variant>
        <vt:lpwstr>https://app.converlens.com/safework/wel-consultation/ris-survey/view/21</vt:lpwstr>
      </vt:variant>
      <vt:variant>
        <vt:lpwstr/>
      </vt:variant>
      <vt:variant>
        <vt:i4>3997812</vt:i4>
      </vt:variant>
      <vt:variant>
        <vt:i4>795</vt:i4>
      </vt:variant>
      <vt:variant>
        <vt:i4>0</vt:i4>
      </vt:variant>
      <vt:variant>
        <vt:i4>5</vt:i4>
      </vt:variant>
      <vt:variant>
        <vt:lpwstr>https://app.converlens.com/safework/wel-consultation/ris-survey/view/46</vt:lpwstr>
      </vt:variant>
      <vt:variant>
        <vt:lpwstr/>
      </vt:variant>
      <vt:variant>
        <vt:i4>3145844</vt:i4>
      </vt:variant>
      <vt:variant>
        <vt:i4>792</vt:i4>
      </vt:variant>
      <vt:variant>
        <vt:i4>0</vt:i4>
      </vt:variant>
      <vt:variant>
        <vt:i4>5</vt:i4>
      </vt:variant>
      <vt:variant>
        <vt:lpwstr>https://app.converlens.com/safework/wel-consultation/ris-survey/view/90</vt:lpwstr>
      </vt:variant>
      <vt:variant>
        <vt:lpwstr/>
      </vt:variant>
      <vt:variant>
        <vt:i4>3211380</vt:i4>
      </vt:variant>
      <vt:variant>
        <vt:i4>789</vt:i4>
      </vt:variant>
      <vt:variant>
        <vt:i4>0</vt:i4>
      </vt:variant>
      <vt:variant>
        <vt:i4>5</vt:i4>
      </vt:variant>
      <vt:variant>
        <vt:lpwstr>https://app.converlens.com/safework/wel-consultation/ris-survey/view/81</vt:lpwstr>
      </vt:variant>
      <vt:variant>
        <vt:lpwstr/>
      </vt:variant>
      <vt:variant>
        <vt:i4>3932276</vt:i4>
      </vt:variant>
      <vt:variant>
        <vt:i4>786</vt:i4>
      </vt:variant>
      <vt:variant>
        <vt:i4>0</vt:i4>
      </vt:variant>
      <vt:variant>
        <vt:i4>5</vt:i4>
      </vt:variant>
      <vt:variant>
        <vt:lpwstr>https://app.converlens.com/safework/wel-consultation/ris-survey/view/52</vt:lpwstr>
      </vt:variant>
      <vt:variant>
        <vt:lpwstr/>
      </vt:variant>
      <vt:variant>
        <vt:i4>3801204</vt:i4>
      </vt:variant>
      <vt:variant>
        <vt:i4>783</vt:i4>
      </vt:variant>
      <vt:variant>
        <vt:i4>0</vt:i4>
      </vt:variant>
      <vt:variant>
        <vt:i4>5</vt:i4>
      </vt:variant>
      <vt:variant>
        <vt:lpwstr>https://app.converlens.com/safework/wel-consultation/ris-survey/view/34</vt:lpwstr>
      </vt:variant>
      <vt:variant>
        <vt:lpwstr/>
      </vt:variant>
      <vt:variant>
        <vt:i4>7864367</vt:i4>
      </vt:variant>
      <vt:variant>
        <vt:i4>780</vt:i4>
      </vt:variant>
      <vt:variant>
        <vt:i4>0</vt:i4>
      </vt:variant>
      <vt:variant>
        <vt:i4>5</vt:i4>
      </vt:variant>
      <vt:variant>
        <vt:lpwstr>https://storage.googleapis.com/files-au-swa/safework/p/prj0ae13e590bf0d888ca147/page/draft_evaluation_report_wes_hydrogen_sulfide_pdf.pdf</vt:lpwstr>
      </vt:variant>
      <vt:variant>
        <vt:lpwstr/>
      </vt:variant>
      <vt:variant>
        <vt:i4>3932276</vt:i4>
      </vt:variant>
      <vt:variant>
        <vt:i4>777</vt:i4>
      </vt:variant>
      <vt:variant>
        <vt:i4>0</vt:i4>
      </vt:variant>
      <vt:variant>
        <vt:i4>5</vt:i4>
      </vt:variant>
      <vt:variant>
        <vt:lpwstr>https://app.converlens.com/safework/wel-consultation/ris-survey/view/52</vt:lpwstr>
      </vt:variant>
      <vt:variant>
        <vt:lpwstr/>
      </vt:variant>
      <vt:variant>
        <vt:i4>3211380</vt:i4>
      </vt:variant>
      <vt:variant>
        <vt:i4>774</vt:i4>
      </vt:variant>
      <vt:variant>
        <vt:i4>0</vt:i4>
      </vt:variant>
      <vt:variant>
        <vt:i4>5</vt:i4>
      </vt:variant>
      <vt:variant>
        <vt:lpwstr>https://app.converlens.com/safework/wel-consultation/ris-survey/view/87</vt:lpwstr>
      </vt:variant>
      <vt:variant>
        <vt:lpwstr/>
      </vt:variant>
      <vt:variant>
        <vt:i4>3670132</vt:i4>
      </vt:variant>
      <vt:variant>
        <vt:i4>771</vt:i4>
      </vt:variant>
      <vt:variant>
        <vt:i4>0</vt:i4>
      </vt:variant>
      <vt:variant>
        <vt:i4>5</vt:i4>
      </vt:variant>
      <vt:variant>
        <vt:lpwstr>https://app.converlens.com/safework/wel-consultation/ris-survey/view/18</vt:lpwstr>
      </vt:variant>
      <vt:variant>
        <vt:lpwstr/>
      </vt:variant>
      <vt:variant>
        <vt:i4>3211380</vt:i4>
      </vt:variant>
      <vt:variant>
        <vt:i4>768</vt:i4>
      </vt:variant>
      <vt:variant>
        <vt:i4>0</vt:i4>
      </vt:variant>
      <vt:variant>
        <vt:i4>5</vt:i4>
      </vt:variant>
      <vt:variant>
        <vt:lpwstr>https://app.converlens.com/safework/wel-consultation/ris-survey/view/85</vt:lpwstr>
      </vt:variant>
      <vt:variant>
        <vt:lpwstr/>
      </vt:variant>
      <vt:variant>
        <vt:i4>3211380</vt:i4>
      </vt:variant>
      <vt:variant>
        <vt:i4>765</vt:i4>
      </vt:variant>
      <vt:variant>
        <vt:i4>0</vt:i4>
      </vt:variant>
      <vt:variant>
        <vt:i4>5</vt:i4>
      </vt:variant>
      <vt:variant>
        <vt:lpwstr>https://app.converlens.com/safework/wel-consultation/ris-survey/view/88</vt:lpwstr>
      </vt:variant>
      <vt:variant>
        <vt:lpwstr/>
      </vt:variant>
      <vt:variant>
        <vt:i4>3211380</vt:i4>
      </vt:variant>
      <vt:variant>
        <vt:i4>762</vt:i4>
      </vt:variant>
      <vt:variant>
        <vt:i4>0</vt:i4>
      </vt:variant>
      <vt:variant>
        <vt:i4>5</vt:i4>
      </vt:variant>
      <vt:variant>
        <vt:lpwstr>https://app.converlens.com/safework/wel-consultation/ris-survey/view/87</vt:lpwstr>
      </vt:variant>
      <vt:variant>
        <vt:lpwstr/>
      </vt:variant>
      <vt:variant>
        <vt:i4>3211380</vt:i4>
      </vt:variant>
      <vt:variant>
        <vt:i4>759</vt:i4>
      </vt:variant>
      <vt:variant>
        <vt:i4>0</vt:i4>
      </vt:variant>
      <vt:variant>
        <vt:i4>5</vt:i4>
      </vt:variant>
      <vt:variant>
        <vt:lpwstr>https://app.converlens.com/safework/wel-consultation/ris-survey/view/84</vt:lpwstr>
      </vt:variant>
      <vt:variant>
        <vt:lpwstr/>
      </vt:variant>
      <vt:variant>
        <vt:i4>3211380</vt:i4>
      </vt:variant>
      <vt:variant>
        <vt:i4>756</vt:i4>
      </vt:variant>
      <vt:variant>
        <vt:i4>0</vt:i4>
      </vt:variant>
      <vt:variant>
        <vt:i4>5</vt:i4>
      </vt:variant>
      <vt:variant>
        <vt:lpwstr>https://app.converlens.com/safework/wel-consultation/ris-survey/view/87</vt:lpwstr>
      </vt:variant>
      <vt:variant>
        <vt:lpwstr/>
      </vt:variant>
      <vt:variant>
        <vt:i4>3211380</vt:i4>
      </vt:variant>
      <vt:variant>
        <vt:i4>753</vt:i4>
      </vt:variant>
      <vt:variant>
        <vt:i4>0</vt:i4>
      </vt:variant>
      <vt:variant>
        <vt:i4>5</vt:i4>
      </vt:variant>
      <vt:variant>
        <vt:lpwstr>https://app.converlens.com/safework/wel-consultation/ris-survey/view/84</vt:lpwstr>
      </vt:variant>
      <vt:variant>
        <vt:lpwstr/>
      </vt:variant>
      <vt:variant>
        <vt:i4>3801204</vt:i4>
      </vt:variant>
      <vt:variant>
        <vt:i4>750</vt:i4>
      </vt:variant>
      <vt:variant>
        <vt:i4>0</vt:i4>
      </vt:variant>
      <vt:variant>
        <vt:i4>5</vt:i4>
      </vt:variant>
      <vt:variant>
        <vt:lpwstr>https://app.converlens.com/safework/wel-consultation/ris-survey/view/37</vt:lpwstr>
      </vt:variant>
      <vt:variant>
        <vt:lpwstr/>
      </vt:variant>
      <vt:variant>
        <vt:i4>3670132</vt:i4>
      </vt:variant>
      <vt:variant>
        <vt:i4>747</vt:i4>
      </vt:variant>
      <vt:variant>
        <vt:i4>0</vt:i4>
      </vt:variant>
      <vt:variant>
        <vt:i4>5</vt:i4>
      </vt:variant>
      <vt:variant>
        <vt:lpwstr>https://app.converlens.com/safework/wel-consultation/ris-survey/view/18</vt:lpwstr>
      </vt:variant>
      <vt:variant>
        <vt:lpwstr/>
      </vt:variant>
      <vt:variant>
        <vt:i4>3932276</vt:i4>
      </vt:variant>
      <vt:variant>
        <vt:i4>744</vt:i4>
      </vt:variant>
      <vt:variant>
        <vt:i4>0</vt:i4>
      </vt:variant>
      <vt:variant>
        <vt:i4>5</vt:i4>
      </vt:variant>
      <vt:variant>
        <vt:lpwstr>https://app.converlens.com/safework/wel-consultation/ris-survey/view/52</vt:lpwstr>
      </vt:variant>
      <vt:variant>
        <vt:lpwstr/>
      </vt:variant>
      <vt:variant>
        <vt:i4>3211380</vt:i4>
      </vt:variant>
      <vt:variant>
        <vt:i4>741</vt:i4>
      </vt:variant>
      <vt:variant>
        <vt:i4>0</vt:i4>
      </vt:variant>
      <vt:variant>
        <vt:i4>5</vt:i4>
      </vt:variant>
      <vt:variant>
        <vt:lpwstr>https://app.converlens.com/safework/wel-consultation/ris-survey/view/81</vt:lpwstr>
      </vt:variant>
      <vt:variant>
        <vt:lpwstr/>
      </vt:variant>
      <vt:variant>
        <vt:i4>3997812</vt:i4>
      </vt:variant>
      <vt:variant>
        <vt:i4>738</vt:i4>
      </vt:variant>
      <vt:variant>
        <vt:i4>0</vt:i4>
      </vt:variant>
      <vt:variant>
        <vt:i4>5</vt:i4>
      </vt:variant>
      <vt:variant>
        <vt:lpwstr>https://app.converlens.com/safework/wel-consultation/ris-survey/view/46</vt:lpwstr>
      </vt:variant>
      <vt:variant>
        <vt:lpwstr/>
      </vt:variant>
      <vt:variant>
        <vt:i4>3145844</vt:i4>
      </vt:variant>
      <vt:variant>
        <vt:i4>735</vt:i4>
      </vt:variant>
      <vt:variant>
        <vt:i4>0</vt:i4>
      </vt:variant>
      <vt:variant>
        <vt:i4>5</vt:i4>
      </vt:variant>
      <vt:variant>
        <vt:lpwstr>https://app.converlens.com/safework/wel-consultation/ris-survey/view/90</vt:lpwstr>
      </vt:variant>
      <vt:variant>
        <vt:lpwstr/>
      </vt:variant>
      <vt:variant>
        <vt:i4>3211380</vt:i4>
      </vt:variant>
      <vt:variant>
        <vt:i4>732</vt:i4>
      </vt:variant>
      <vt:variant>
        <vt:i4>0</vt:i4>
      </vt:variant>
      <vt:variant>
        <vt:i4>5</vt:i4>
      </vt:variant>
      <vt:variant>
        <vt:lpwstr>https://app.converlens.com/safework/wel-consultation/ris-survey/view/81</vt:lpwstr>
      </vt:variant>
      <vt:variant>
        <vt:lpwstr/>
      </vt:variant>
      <vt:variant>
        <vt:i4>3801204</vt:i4>
      </vt:variant>
      <vt:variant>
        <vt:i4>729</vt:i4>
      </vt:variant>
      <vt:variant>
        <vt:i4>0</vt:i4>
      </vt:variant>
      <vt:variant>
        <vt:i4>5</vt:i4>
      </vt:variant>
      <vt:variant>
        <vt:lpwstr>https://app.converlens.com/safework/wel-consultation/ris-survey/view/34</vt:lpwstr>
      </vt:variant>
      <vt:variant>
        <vt:lpwstr/>
      </vt:variant>
      <vt:variant>
        <vt:i4>8126514</vt:i4>
      </vt:variant>
      <vt:variant>
        <vt:i4>726</vt:i4>
      </vt:variant>
      <vt:variant>
        <vt:i4>0</vt:i4>
      </vt:variant>
      <vt:variant>
        <vt:i4>5</vt:i4>
      </vt:variant>
      <vt:variant>
        <vt:lpwstr>https://storage.googleapis.com/files-au-swa/safework/p/prj0ae13e590bf0d888ca147/page/draft_evaluation_report_wes_hydrogen_cyanide_pdf.pdf</vt:lpwstr>
      </vt:variant>
      <vt:variant>
        <vt:lpwstr/>
      </vt:variant>
      <vt:variant>
        <vt:i4>4063348</vt:i4>
      </vt:variant>
      <vt:variant>
        <vt:i4>723</vt:i4>
      </vt:variant>
      <vt:variant>
        <vt:i4>0</vt:i4>
      </vt:variant>
      <vt:variant>
        <vt:i4>5</vt:i4>
      </vt:variant>
      <vt:variant>
        <vt:lpwstr>https://app.converlens.com/safework/wel-consultation/ris-survey/view/79</vt:lpwstr>
      </vt:variant>
      <vt:variant>
        <vt:lpwstr/>
      </vt:variant>
      <vt:variant>
        <vt:i4>3211380</vt:i4>
      </vt:variant>
      <vt:variant>
        <vt:i4>720</vt:i4>
      </vt:variant>
      <vt:variant>
        <vt:i4>0</vt:i4>
      </vt:variant>
      <vt:variant>
        <vt:i4>5</vt:i4>
      </vt:variant>
      <vt:variant>
        <vt:lpwstr>https://app.converlens.com/safework/wel-consultation/ris-survey/view/80</vt:lpwstr>
      </vt:variant>
      <vt:variant>
        <vt:lpwstr/>
      </vt:variant>
      <vt:variant>
        <vt:i4>3997812</vt:i4>
      </vt:variant>
      <vt:variant>
        <vt:i4>717</vt:i4>
      </vt:variant>
      <vt:variant>
        <vt:i4>0</vt:i4>
      </vt:variant>
      <vt:variant>
        <vt:i4>5</vt:i4>
      </vt:variant>
      <vt:variant>
        <vt:lpwstr>https://app.converlens.com/safework/wel-consultation/ris-survey/view/43</vt:lpwstr>
      </vt:variant>
      <vt:variant>
        <vt:lpwstr/>
      </vt:variant>
      <vt:variant>
        <vt:i4>3997812</vt:i4>
      </vt:variant>
      <vt:variant>
        <vt:i4>714</vt:i4>
      </vt:variant>
      <vt:variant>
        <vt:i4>0</vt:i4>
      </vt:variant>
      <vt:variant>
        <vt:i4>5</vt:i4>
      </vt:variant>
      <vt:variant>
        <vt:lpwstr>https://app.converlens.com/safework/wel-consultation/ris-survey/view/42</vt:lpwstr>
      </vt:variant>
      <vt:variant>
        <vt:lpwstr/>
      </vt:variant>
      <vt:variant>
        <vt:i4>3932276</vt:i4>
      </vt:variant>
      <vt:variant>
        <vt:i4>711</vt:i4>
      </vt:variant>
      <vt:variant>
        <vt:i4>0</vt:i4>
      </vt:variant>
      <vt:variant>
        <vt:i4>5</vt:i4>
      </vt:variant>
      <vt:variant>
        <vt:lpwstr>https://app.converlens.com/safework/wel-consultation/ris-survey/view/50</vt:lpwstr>
      </vt:variant>
      <vt:variant>
        <vt:lpwstr/>
      </vt:variant>
      <vt:variant>
        <vt:i4>3801204</vt:i4>
      </vt:variant>
      <vt:variant>
        <vt:i4>708</vt:i4>
      </vt:variant>
      <vt:variant>
        <vt:i4>0</vt:i4>
      </vt:variant>
      <vt:variant>
        <vt:i4>5</vt:i4>
      </vt:variant>
      <vt:variant>
        <vt:lpwstr>https://app.converlens.com/safework/wel-consultation/ris-survey/view/36</vt:lpwstr>
      </vt:variant>
      <vt:variant>
        <vt:lpwstr/>
      </vt:variant>
      <vt:variant>
        <vt:i4>3997812</vt:i4>
      </vt:variant>
      <vt:variant>
        <vt:i4>705</vt:i4>
      </vt:variant>
      <vt:variant>
        <vt:i4>0</vt:i4>
      </vt:variant>
      <vt:variant>
        <vt:i4>5</vt:i4>
      </vt:variant>
      <vt:variant>
        <vt:lpwstr>https://app.converlens.com/safework/wel-consultation/ris-survey/view/49</vt:lpwstr>
      </vt:variant>
      <vt:variant>
        <vt:lpwstr/>
      </vt:variant>
      <vt:variant>
        <vt:i4>3670132</vt:i4>
      </vt:variant>
      <vt:variant>
        <vt:i4>702</vt:i4>
      </vt:variant>
      <vt:variant>
        <vt:i4>0</vt:i4>
      </vt:variant>
      <vt:variant>
        <vt:i4>5</vt:i4>
      </vt:variant>
      <vt:variant>
        <vt:lpwstr>https://app.converlens.com/safework/wel-consultation/ris-survey/view/16</vt:lpwstr>
      </vt:variant>
      <vt:variant>
        <vt:lpwstr/>
      </vt:variant>
      <vt:variant>
        <vt:i4>3997812</vt:i4>
      </vt:variant>
      <vt:variant>
        <vt:i4>699</vt:i4>
      </vt:variant>
      <vt:variant>
        <vt:i4>0</vt:i4>
      </vt:variant>
      <vt:variant>
        <vt:i4>5</vt:i4>
      </vt:variant>
      <vt:variant>
        <vt:lpwstr>https://app.converlens.com/safework/wel-consultation/ris-survey/view/46</vt:lpwstr>
      </vt:variant>
      <vt:variant>
        <vt:lpwstr/>
      </vt:variant>
      <vt:variant>
        <vt:i4>4063348</vt:i4>
      </vt:variant>
      <vt:variant>
        <vt:i4>696</vt:i4>
      </vt:variant>
      <vt:variant>
        <vt:i4>0</vt:i4>
      </vt:variant>
      <vt:variant>
        <vt:i4>5</vt:i4>
      </vt:variant>
      <vt:variant>
        <vt:lpwstr>https://app.converlens.com/safework/wel-consultation/ris-survey/view/75</vt:lpwstr>
      </vt:variant>
      <vt:variant>
        <vt:lpwstr/>
      </vt:variant>
      <vt:variant>
        <vt:i4>4128884</vt:i4>
      </vt:variant>
      <vt:variant>
        <vt:i4>693</vt:i4>
      </vt:variant>
      <vt:variant>
        <vt:i4>0</vt:i4>
      </vt:variant>
      <vt:variant>
        <vt:i4>5</vt:i4>
      </vt:variant>
      <vt:variant>
        <vt:lpwstr>https://app.converlens.com/safework/wel-consultation/ris-survey/view/67</vt:lpwstr>
      </vt:variant>
      <vt:variant>
        <vt:lpwstr/>
      </vt:variant>
      <vt:variant>
        <vt:i4>3997812</vt:i4>
      </vt:variant>
      <vt:variant>
        <vt:i4>690</vt:i4>
      </vt:variant>
      <vt:variant>
        <vt:i4>0</vt:i4>
      </vt:variant>
      <vt:variant>
        <vt:i4>5</vt:i4>
      </vt:variant>
      <vt:variant>
        <vt:lpwstr>https://app.converlens.com/safework/wel-consultation/ris-survey/view/47</vt:lpwstr>
      </vt:variant>
      <vt:variant>
        <vt:lpwstr/>
      </vt:variant>
      <vt:variant>
        <vt:i4>4128884</vt:i4>
      </vt:variant>
      <vt:variant>
        <vt:i4>687</vt:i4>
      </vt:variant>
      <vt:variant>
        <vt:i4>0</vt:i4>
      </vt:variant>
      <vt:variant>
        <vt:i4>5</vt:i4>
      </vt:variant>
      <vt:variant>
        <vt:lpwstr>https://app.converlens.com/safework/wel-consultation/ris-survey/view/64</vt:lpwstr>
      </vt:variant>
      <vt:variant>
        <vt:lpwstr/>
      </vt:variant>
      <vt:variant>
        <vt:i4>3932276</vt:i4>
      </vt:variant>
      <vt:variant>
        <vt:i4>684</vt:i4>
      </vt:variant>
      <vt:variant>
        <vt:i4>0</vt:i4>
      </vt:variant>
      <vt:variant>
        <vt:i4>5</vt:i4>
      </vt:variant>
      <vt:variant>
        <vt:lpwstr>https://app.converlens.com/safework/wel-consultation/ris-survey/view/53</vt:lpwstr>
      </vt:variant>
      <vt:variant>
        <vt:lpwstr/>
      </vt:variant>
      <vt:variant>
        <vt:i4>3670132</vt:i4>
      </vt:variant>
      <vt:variant>
        <vt:i4>681</vt:i4>
      </vt:variant>
      <vt:variant>
        <vt:i4>0</vt:i4>
      </vt:variant>
      <vt:variant>
        <vt:i4>5</vt:i4>
      </vt:variant>
      <vt:variant>
        <vt:lpwstr>https://app.converlens.com/safework/wel-consultation/ris-survey/view/12</vt:lpwstr>
      </vt:variant>
      <vt:variant>
        <vt:lpwstr/>
      </vt:variant>
      <vt:variant>
        <vt:i4>3211380</vt:i4>
      </vt:variant>
      <vt:variant>
        <vt:i4>678</vt:i4>
      </vt:variant>
      <vt:variant>
        <vt:i4>0</vt:i4>
      </vt:variant>
      <vt:variant>
        <vt:i4>5</vt:i4>
      </vt:variant>
      <vt:variant>
        <vt:lpwstr>https://app.converlens.com/safework/wel-consultation/ris-survey/view/87</vt:lpwstr>
      </vt:variant>
      <vt:variant>
        <vt:lpwstr/>
      </vt:variant>
      <vt:variant>
        <vt:i4>4063348</vt:i4>
      </vt:variant>
      <vt:variant>
        <vt:i4>675</vt:i4>
      </vt:variant>
      <vt:variant>
        <vt:i4>0</vt:i4>
      </vt:variant>
      <vt:variant>
        <vt:i4>5</vt:i4>
      </vt:variant>
      <vt:variant>
        <vt:lpwstr>https://app.converlens.com/safework/wel-consultation/ris-survey/view/75</vt:lpwstr>
      </vt:variant>
      <vt:variant>
        <vt:lpwstr/>
      </vt:variant>
      <vt:variant>
        <vt:i4>4128884</vt:i4>
      </vt:variant>
      <vt:variant>
        <vt:i4>672</vt:i4>
      </vt:variant>
      <vt:variant>
        <vt:i4>0</vt:i4>
      </vt:variant>
      <vt:variant>
        <vt:i4>5</vt:i4>
      </vt:variant>
      <vt:variant>
        <vt:lpwstr>https://app.converlens.com/safework/wel-consultation/ris-survey/view/64</vt:lpwstr>
      </vt:variant>
      <vt:variant>
        <vt:lpwstr/>
      </vt:variant>
      <vt:variant>
        <vt:i4>3932276</vt:i4>
      </vt:variant>
      <vt:variant>
        <vt:i4>669</vt:i4>
      </vt:variant>
      <vt:variant>
        <vt:i4>0</vt:i4>
      </vt:variant>
      <vt:variant>
        <vt:i4>5</vt:i4>
      </vt:variant>
      <vt:variant>
        <vt:lpwstr>https://app.converlens.com/safework/wel-consultation/ris-survey/view/53</vt:lpwstr>
      </vt:variant>
      <vt:variant>
        <vt:lpwstr/>
      </vt:variant>
      <vt:variant>
        <vt:i4>4063348</vt:i4>
      </vt:variant>
      <vt:variant>
        <vt:i4>666</vt:i4>
      </vt:variant>
      <vt:variant>
        <vt:i4>0</vt:i4>
      </vt:variant>
      <vt:variant>
        <vt:i4>5</vt:i4>
      </vt:variant>
      <vt:variant>
        <vt:lpwstr>https://app.converlens.com/safework/wel-consultation/ris-survey/view/75</vt:lpwstr>
      </vt:variant>
      <vt:variant>
        <vt:lpwstr/>
      </vt:variant>
      <vt:variant>
        <vt:i4>4128884</vt:i4>
      </vt:variant>
      <vt:variant>
        <vt:i4>663</vt:i4>
      </vt:variant>
      <vt:variant>
        <vt:i4>0</vt:i4>
      </vt:variant>
      <vt:variant>
        <vt:i4>5</vt:i4>
      </vt:variant>
      <vt:variant>
        <vt:lpwstr>https://app.converlens.com/safework/wel-consultation/ris-survey/view/64</vt:lpwstr>
      </vt:variant>
      <vt:variant>
        <vt:lpwstr/>
      </vt:variant>
      <vt:variant>
        <vt:i4>3932276</vt:i4>
      </vt:variant>
      <vt:variant>
        <vt:i4>660</vt:i4>
      </vt:variant>
      <vt:variant>
        <vt:i4>0</vt:i4>
      </vt:variant>
      <vt:variant>
        <vt:i4>5</vt:i4>
      </vt:variant>
      <vt:variant>
        <vt:lpwstr>https://app.converlens.com/safework/wel-consultation/ris-survey/view/53</vt:lpwstr>
      </vt:variant>
      <vt:variant>
        <vt:lpwstr/>
      </vt:variant>
      <vt:variant>
        <vt:i4>3145844</vt:i4>
      </vt:variant>
      <vt:variant>
        <vt:i4>657</vt:i4>
      </vt:variant>
      <vt:variant>
        <vt:i4>0</vt:i4>
      </vt:variant>
      <vt:variant>
        <vt:i4>5</vt:i4>
      </vt:variant>
      <vt:variant>
        <vt:lpwstr>https://app.converlens.com/safework/wel-consultation/ris-survey/view/91</vt:lpwstr>
      </vt:variant>
      <vt:variant>
        <vt:lpwstr/>
      </vt:variant>
      <vt:variant>
        <vt:i4>3145844</vt:i4>
      </vt:variant>
      <vt:variant>
        <vt:i4>654</vt:i4>
      </vt:variant>
      <vt:variant>
        <vt:i4>0</vt:i4>
      </vt:variant>
      <vt:variant>
        <vt:i4>5</vt:i4>
      </vt:variant>
      <vt:variant>
        <vt:lpwstr>https://app.converlens.com/safework/wel-consultation/ris-survey/view/91</vt:lpwstr>
      </vt:variant>
      <vt:variant>
        <vt:lpwstr/>
      </vt:variant>
      <vt:variant>
        <vt:i4>3670132</vt:i4>
      </vt:variant>
      <vt:variant>
        <vt:i4>651</vt:i4>
      </vt:variant>
      <vt:variant>
        <vt:i4>0</vt:i4>
      </vt:variant>
      <vt:variant>
        <vt:i4>5</vt:i4>
      </vt:variant>
      <vt:variant>
        <vt:lpwstr>https://app.converlens.com/safework/wel-consultation/ris-survey/view/18</vt:lpwstr>
      </vt:variant>
      <vt:variant>
        <vt:lpwstr/>
      </vt:variant>
      <vt:variant>
        <vt:i4>3145844</vt:i4>
      </vt:variant>
      <vt:variant>
        <vt:i4>648</vt:i4>
      </vt:variant>
      <vt:variant>
        <vt:i4>0</vt:i4>
      </vt:variant>
      <vt:variant>
        <vt:i4>5</vt:i4>
      </vt:variant>
      <vt:variant>
        <vt:lpwstr>https://app.converlens.com/safework/wel-consultation/ris-survey/view/91</vt:lpwstr>
      </vt:variant>
      <vt:variant>
        <vt:lpwstr/>
      </vt:variant>
      <vt:variant>
        <vt:i4>3211380</vt:i4>
      </vt:variant>
      <vt:variant>
        <vt:i4>645</vt:i4>
      </vt:variant>
      <vt:variant>
        <vt:i4>0</vt:i4>
      </vt:variant>
      <vt:variant>
        <vt:i4>5</vt:i4>
      </vt:variant>
      <vt:variant>
        <vt:lpwstr>https://app.converlens.com/safework/wel-consultation/ris-survey/view/87</vt:lpwstr>
      </vt:variant>
      <vt:variant>
        <vt:lpwstr/>
      </vt:variant>
      <vt:variant>
        <vt:i4>3670132</vt:i4>
      </vt:variant>
      <vt:variant>
        <vt:i4>642</vt:i4>
      </vt:variant>
      <vt:variant>
        <vt:i4>0</vt:i4>
      </vt:variant>
      <vt:variant>
        <vt:i4>5</vt:i4>
      </vt:variant>
      <vt:variant>
        <vt:lpwstr>https://app.converlens.com/safework/wel-consultation/ris-survey/view/18</vt:lpwstr>
      </vt:variant>
      <vt:variant>
        <vt:lpwstr/>
      </vt:variant>
      <vt:variant>
        <vt:i4>4063348</vt:i4>
      </vt:variant>
      <vt:variant>
        <vt:i4>639</vt:i4>
      </vt:variant>
      <vt:variant>
        <vt:i4>0</vt:i4>
      </vt:variant>
      <vt:variant>
        <vt:i4>5</vt:i4>
      </vt:variant>
      <vt:variant>
        <vt:lpwstr>https://app.converlens.com/safework/wel-consultation/ris-survey/view/75</vt:lpwstr>
      </vt:variant>
      <vt:variant>
        <vt:lpwstr/>
      </vt:variant>
      <vt:variant>
        <vt:i4>3801204</vt:i4>
      </vt:variant>
      <vt:variant>
        <vt:i4>636</vt:i4>
      </vt:variant>
      <vt:variant>
        <vt:i4>0</vt:i4>
      </vt:variant>
      <vt:variant>
        <vt:i4>5</vt:i4>
      </vt:variant>
      <vt:variant>
        <vt:lpwstr>https://app.converlens.com/safework/wel-consultation/ris-survey/view/38</vt:lpwstr>
      </vt:variant>
      <vt:variant>
        <vt:lpwstr/>
      </vt:variant>
      <vt:variant>
        <vt:i4>4063348</vt:i4>
      </vt:variant>
      <vt:variant>
        <vt:i4>633</vt:i4>
      </vt:variant>
      <vt:variant>
        <vt:i4>0</vt:i4>
      </vt:variant>
      <vt:variant>
        <vt:i4>5</vt:i4>
      </vt:variant>
      <vt:variant>
        <vt:lpwstr>https://app.converlens.com/safework/wel-consultation/ris-survey/view/75</vt:lpwstr>
      </vt:variant>
      <vt:variant>
        <vt:lpwstr/>
      </vt:variant>
      <vt:variant>
        <vt:i4>4128884</vt:i4>
      </vt:variant>
      <vt:variant>
        <vt:i4>630</vt:i4>
      </vt:variant>
      <vt:variant>
        <vt:i4>0</vt:i4>
      </vt:variant>
      <vt:variant>
        <vt:i4>5</vt:i4>
      </vt:variant>
      <vt:variant>
        <vt:lpwstr>https://app.converlens.com/safework/wel-consultation/ris-survey/view/64</vt:lpwstr>
      </vt:variant>
      <vt:variant>
        <vt:lpwstr/>
      </vt:variant>
      <vt:variant>
        <vt:i4>3932276</vt:i4>
      </vt:variant>
      <vt:variant>
        <vt:i4>627</vt:i4>
      </vt:variant>
      <vt:variant>
        <vt:i4>0</vt:i4>
      </vt:variant>
      <vt:variant>
        <vt:i4>5</vt:i4>
      </vt:variant>
      <vt:variant>
        <vt:lpwstr>https://app.converlens.com/safework/wel-consultation/ris-survey/view/53</vt:lpwstr>
      </vt:variant>
      <vt:variant>
        <vt:lpwstr/>
      </vt:variant>
      <vt:variant>
        <vt:i4>4128884</vt:i4>
      </vt:variant>
      <vt:variant>
        <vt:i4>624</vt:i4>
      </vt:variant>
      <vt:variant>
        <vt:i4>0</vt:i4>
      </vt:variant>
      <vt:variant>
        <vt:i4>5</vt:i4>
      </vt:variant>
      <vt:variant>
        <vt:lpwstr>https://app.converlens.com/safework/wel-consultation/ris-survey/view/64</vt:lpwstr>
      </vt:variant>
      <vt:variant>
        <vt:lpwstr/>
      </vt:variant>
      <vt:variant>
        <vt:i4>4063348</vt:i4>
      </vt:variant>
      <vt:variant>
        <vt:i4>621</vt:i4>
      </vt:variant>
      <vt:variant>
        <vt:i4>0</vt:i4>
      </vt:variant>
      <vt:variant>
        <vt:i4>5</vt:i4>
      </vt:variant>
      <vt:variant>
        <vt:lpwstr>https://app.converlens.com/safework/wel-consultation/ris-survey/view/79</vt:lpwstr>
      </vt:variant>
      <vt:variant>
        <vt:lpwstr/>
      </vt:variant>
      <vt:variant>
        <vt:i4>3211380</vt:i4>
      </vt:variant>
      <vt:variant>
        <vt:i4>618</vt:i4>
      </vt:variant>
      <vt:variant>
        <vt:i4>0</vt:i4>
      </vt:variant>
      <vt:variant>
        <vt:i4>5</vt:i4>
      </vt:variant>
      <vt:variant>
        <vt:lpwstr>https://app.converlens.com/safework/wel-consultation/ris-survey/view/87</vt:lpwstr>
      </vt:variant>
      <vt:variant>
        <vt:lpwstr/>
      </vt:variant>
      <vt:variant>
        <vt:i4>3211380</vt:i4>
      </vt:variant>
      <vt:variant>
        <vt:i4>615</vt:i4>
      </vt:variant>
      <vt:variant>
        <vt:i4>0</vt:i4>
      </vt:variant>
      <vt:variant>
        <vt:i4>5</vt:i4>
      </vt:variant>
      <vt:variant>
        <vt:lpwstr>https://app.converlens.com/safework/wel-consultation/ris-survey/view/84</vt:lpwstr>
      </vt:variant>
      <vt:variant>
        <vt:lpwstr/>
      </vt:variant>
      <vt:variant>
        <vt:i4>4063348</vt:i4>
      </vt:variant>
      <vt:variant>
        <vt:i4>612</vt:i4>
      </vt:variant>
      <vt:variant>
        <vt:i4>0</vt:i4>
      </vt:variant>
      <vt:variant>
        <vt:i4>5</vt:i4>
      </vt:variant>
      <vt:variant>
        <vt:lpwstr>https://app.converlens.com/safework/wel-consultation/ris-survey/view/75</vt:lpwstr>
      </vt:variant>
      <vt:variant>
        <vt:lpwstr/>
      </vt:variant>
      <vt:variant>
        <vt:i4>4128884</vt:i4>
      </vt:variant>
      <vt:variant>
        <vt:i4>609</vt:i4>
      </vt:variant>
      <vt:variant>
        <vt:i4>0</vt:i4>
      </vt:variant>
      <vt:variant>
        <vt:i4>5</vt:i4>
      </vt:variant>
      <vt:variant>
        <vt:lpwstr>https://app.converlens.com/safework/wel-consultation/ris-survey/view/64</vt:lpwstr>
      </vt:variant>
      <vt:variant>
        <vt:lpwstr/>
      </vt:variant>
      <vt:variant>
        <vt:i4>3932276</vt:i4>
      </vt:variant>
      <vt:variant>
        <vt:i4>606</vt:i4>
      </vt:variant>
      <vt:variant>
        <vt:i4>0</vt:i4>
      </vt:variant>
      <vt:variant>
        <vt:i4>5</vt:i4>
      </vt:variant>
      <vt:variant>
        <vt:lpwstr>https://app.converlens.com/safework/wel-consultation/ris-survey/view/53</vt:lpwstr>
      </vt:variant>
      <vt:variant>
        <vt:lpwstr/>
      </vt:variant>
      <vt:variant>
        <vt:i4>3997812</vt:i4>
      </vt:variant>
      <vt:variant>
        <vt:i4>603</vt:i4>
      </vt:variant>
      <vt:variant>
        <vt:i4>0</vt:i4>
      </vt:variant>
      <vt:variant>
        <vt:i4>5</vt:i4>
      </vt:variant>
      <vt:variant>
        <vt:lpwstr>https://app.converlens.com/safework/wel-consultation/ris-survey/view/46</vt:lpwstr>
      </vt:variant>
      <vt:variant>
        <vt:lpwstr/>
      </vt:variant>
      <vt:variant>
        <vt:i4>3670132</vt:i4>
      </vt:variant>
      <vt:variant>
        <vt:i4>600</vt:i4>
      </vt:variant>
      <vt:variant>
        <vt:i4>0</vt:i4>
      </vt:variant>
      <vt:variant>
        <vt:i4>5</vt:i4>
      </vt:variant>
      <vt:variant>
        <vt:lpwstr>https://app.converlens.com/safework/wel-consultation/ris-survey/view/16</vt:lpwstr>
      </vt:variant>
      <vt:variant>
        <vt:lpwstr/>
      </vt:variant>
      <vt:variant>
        <vt:i4>3211380</vt:i4>
      </vt:variant>
      <vt:variant>
        <vt:i4>597</vt:i4>
      </vt:variant>
      <vt:variant>
        <vt:i4>0</vt:i4>
      </vt:variant>
      <vt:variant>
        <vt:i4>5</vt:i4>
      </vt:variant>
      <vt:variant>
        <vt:lpwstr>https://app.converlens.com/safework/wel-consultation/ris-survey/view/88</vt:lpwstr>
      </vt:variant>
      <vt:variant>
        <vt:lpwstr/>
      </vt:variant>
      <vt:variant>
        <vt:i4>3997812</vt:i4>
      </vt:variant>
      <vt:variant>
        <vt:i4>594</vt:i4>
      </vt:variant>
      <vt:variant>
        <vt:i4>0</vt:i4>
      </vt:variant>
      <vt:variant>
        <vt:i4>5</vt:i4>
      </vt:variant>
      <vt:variant>
        <vt:lpwstr>https://app.converlens.com/safework/wel-consultation/ris-survey/view/49</vt:lpwstr>
      </vt:variant>
      <vt:variant>
        <vt:lpwstr/>
      </vt:variant>
      <vt:variant>
        <vt:i4>3670132</vt:i4>
      </vt:variant>
      <vt:variant>
        <vt:i4>591</vt:i4>
      </vt:variant>
      <vt:variant>
        <vt:i4>0</vt:i4>
      </vt:variant>
      <vt:variant>
        <vt:i4>5</vt:i4>
      </vt:variant>
      <vt:variant>
        <vt:lpwstr>https://app.converlens.com/safework/wel-consultation/ris-survey/view/18</vt:lpwstr>
      </vt:variant>
      <vt:variant>
        <vt:lpwstr/>
      </vt:variant>
      <vt:variant>
        <vt:i4>3145844</vt:i4>
      </vt:variant>
      <vt:variant>
        <vt:i4>588</vt:i4>
      </vt:variant>
      <vt:variant>
        <vt:i4>0</vt:i4>
      </vt:variant>
      <vt:variant>
        <vt:i4>5</vt:i4>
      </vt:variant>
      <vt:variant>
        <vt:lpwstr>https://app.converlens.com/safework/wel-consultation/ris-survey/view/91</vt:lpwstr>
      </vt:variant>
      <vt:variant>
        <vt:lpwstr/>
      </vt:variant>
      <vt:variant>
        <vt:i4>3211380</vt:i4>
      </vt:variant>
      <vt:variant>
        <vt:i4>585</vt:i4>
      </vt:variant>
      <vt:variant>
        <vt:i4>0</vt:i4>
      </vt:variant>
      <vt:variant>
        <vt:i4>5</vt:i4>
      </vt:variant>
      <vt:variant>
        <vt:lpwstr>https://app.converlens.com/safework/wel-consultation/ris-survey/view/87</vt:lpwstr>
      </vt:variant>
      <vt:variant>
        <vt:lpwstr/>
      </vt:variant>
      <vt:variant>
        <vt:i4>3211380</vt:i4>
      </vt:variant>
      <vt:variant>
        <vt:i4>582</vt:i4>
      </vt:variant>
      <vt:variant>
        <vt:i4>0</vt:i4>
      </vt:variant>
      <vt:variant>
        <vt:i4>5</vt:i4>
      </vt:variant>
      <vt:variant>
        <vt:lpwstr>https://app.converlens.com/safework/wel-consultation/ris-survey/view/84</vt:lpwstr>
      </vt:variant>
      <vt:variant>
        <vt:lpwstr/>
      </vt:variant>
      <vt:variant>
        <vt:i4>3211380</vt:i4>
      </vt:variant>
      <vt:variant>
        <vt:i4>579</vt:i4>
      </vt:variant>
      <vt:variant>
        <vt:i4>0</vt:i4>
      </vt:variant>
      <vt:variant>
        <vt:i4>5</vt:i4>
      </vt:variant>
      <vt:variant>
        <vt:lpwstr>https://app.converlens.com/safework/wel-consultation/ris-survey/view/87</vt:lpwstr>
      </vt:variant>
      <vt:variant>
        <vt:lpwstr/>
      </vt:variant>
      <vt:variant>
        <vt:i4>3211380</vt:i4>
      </vt:variant>
      <vt:variant>
        <vt:i4>576</vt:i4>
      </vt:variant>
      <vt:variant>
        <vt:i4>0</vt:i4>
      </vt:variant>
      <vt:variant>
        <vt:i4>5</vt:i4>
      </vt:variant>
      <vt:variant>
        <vt:lpwstr>https://app.converlens.com/safework/wel-consultation/ris-survey/view/84</vt:lpwstr>
      </vt:variant>
      <vt:variant>
        <vt:lpwstr/>
      </vt:variant>
      <vt:variant>
        <vt:i4>4063348</vt:i4>
      </vt:variant>
      <vt:variant>
        <vt:i4>573</vt:i4>
      </vt:variant>
      <vt:variant>
        <vt:i4>0</vt:i4>
      </vt:variant>
      <vt:variant>
        <vt:i4>5</vt:i4>
      </vt:variant>
      <vt:variant>
        <vt:lpwstr>https://app.converlens.com/safework/wel-consultation/ris-survey/view/75</vt:lpwstr>
      </vt:variant>
      <vt:variant>
        <vt:lpwstr/>
      </vt:variant>
      <vt:variant>
        <vt:i4>4128884</vt:i4>
      </vt:variant>
      <vt:variant>
        <vt:i4>570</vt:i4>
      </vt:variant>
      <vt:variant>
        <vt:i4>0</vt:i4>
      </vt:variant>
      <vt:variant>
        <vt:i4>5</vt:i4>
      </vt:variant>
      <vt:variant>
        <vt:lpwstr>https://app.converlens.com/safework/wel-consultation/ris-survey/view/64</vt:lpwstr>
      </vt:variant>
      <vt:variant>
        <vt:lpwstr/>
      </vt:variant>
      <vt:variant>
        <vt:i4>3932276</vt:i4>
      </vt:variant>
      <vt:variant>
        <vt:i4>567</vt:i4>
      </vt:variant>
      <vt:variant>
        <vt:i4>0</vt:i4>
      </vt:variant>
      <vt:variant>
        <vt:i4>5</vt:i4>
      </vt:variant>
      <vt:variant>
        <vt:lpwstr>https://app.converlens.com/safework/wel-consultation/ris-survey/view/53</vt:lpwstr>
      </vt:variant>
      <vt:variant>
        <vt:lpwstr/>
      </vt:variant>
      <vt:variant>
        <vt:i4>3145844</vt:i4>
      </vt:variant>
      <vt:variant>
        <vt:i4>564</vt:i4>
      </vt:variant>
      <vt:variant>
        <vt:i4>0</vt:i4>
      </vt:variant>
      <vt:variant>
        <vt:i4>5</vt:i4>
      </vt:variant>
      <vt:variant>
        <vt:lpwstr>https://app.converlens.com/safework/wel-consultation/ris-survey/view/91</vt:lpwstr>
      </vt:variant>
      <vt:variant>
        <vt:lpwstr/>
      </vt:variant>
      <vt:variant>
        <vt:i4>3801204</vt:i4>
      </vt:variant>
      <vt:variant>
        <vt:i4>561</vt:i4>
      </vt:variant>
      <vt:variant>
        <vt:i4>0</vt:i4>
      </vt:variant>
      <vt:variant>
        <vt:i4>5</vt:i4>
      </vt:variant>
      <vt:variant>
        <vt:lpwstr>https://app.converlens.com/safework/wel-consultation/ris-survey/view/38</vt:lpwstr>
      </vt:variant>
      <vt:variant>
        <vt:lpwstr/>
      </vt:variant>
      <vt:variant>
        <vt:i4>3211380</vt:i4>
      </vt:variant>
      <vt:variant>
        <vt:i4>558</vt:i4>
      </vt:variant>
      <vt:variant>
        <vt:i4>0</vt:i4>
      </vt:variant>
      <vt:variant>
        <vt:i4>5</vt:i4>
      </vt:variant>
      <vt:variant>
        <vt:lpwstr>https://app.converlens.com/safework/wel-consultation/ris-survey/view/87</vt:lpwstr>
      </vt:variant>
      <vt:variant>
        <vt:lpwstr/>
      </vt:variant>
      <vt:variant>
        <vt:i4>3211380</vt:i4>
      </vt:variant>
      <vt:variant>
        <vt:i4>555</vt:i4>
      </vt:variant>
      <vt:variant>
        <vt:i4>0</vt:i4>
      </vt:variant>
      <vt:variant>
        <vt:i4>5</vt:i4>
      </vt:variant>
      <vt:variant>
        <vt:lpwstr>https://app.converlens.com/safework/wel-consultation/ris-survey/view/84</vt:lpwstr>
      </vt:variant>
      <vt:variant>
        <vt:lpwstr/>
      </vt:variant>
      <vt:variant>
        <vt:i4>4063348</vt:i4>
      </vt:variant>
      <vt:variant>
        <vt:i4>552</vt:i4>
      </vt:variant>
      <vt:variant>
        <vt:i4>0</vt:i4>
      </vt:variant>
      <vt:variant>
        <vt:i4>5</vt:i4>
      </vt:variant>
      <vt:variant>
        <vt:lpwstr>https://app.converlens.com/safework/wel-consultation/ris-survey/view/75</vt:lpwstr>
      </vt:variant>
      <vt:variant>
        <vt:lpwstr/>
      </vt:variant>
      <vt:variant>
        <vt:i4>4128884</vt:i4>
      </vt:variant>
      <vt:variant>
        <vt:i4>549</vt:i4>
      </vt:variant>
      <vt:variant>
        <vt:i4>0</vt:i4>
      </vt:variant>
      <vt:variant>
        <vt:i4>5</vt:i4>
      </vt:variant>
      <vt:variant>
        <vt:lpwstr>https://app.converlens.com/safework/wel-consultation/ris-survey/view/64</vt:lpwstr>
      </vt:variant>
      <vt:variant>
        <vt:lpwstr/>
      </vt:variant>
      <vt:variant>
        <vt:i4>3932276</vt:i4>
      </vt:variant>
      <vt:variant>
        <vt:i4>546</vt:i4>
      </vt:variant>
      <vt:variant>
        <vt:i4>0</vt:i4>
      </vt:variant>
      <vt:variant>
        <vt:i4>5</vt:i4>
      </vt:variant>
      <vt:variant>
        <vt:lpwstr>https://app.converlens.com/safework/wel-consultation/ris-survey/view/53</vt:lpwstr>
      </vt:variant>
      <vt:variant>
        <vt:lpwstr/>
      </vt:variant>
      <vt:variant>
        <vt:i4>3801204</vt:i4>
      </vt:variant>
      <vt:variant>
        <vt:i4>543</vt:i4>
      </vt:variant>
      <vt:variant>
        <vt:i4>0</vt:i4>
      </vt:variant>
      <vt:variant>
        <vt:i4>5</vt:i4>
      </vt:variant>
      <vt:variant>
        <vt:lpwstr>https://app.converlens.com/safework/wel-consultation/ris-survey/view/37</vt:lpwstr>
      </vt:variant>
      <vt:variant>
        <vt:lpwstr/>
      </vt:variant>
      <vt:variant>
        <vt:i4>3211380</vt:i4>
      </vt:variant>
      <vt:variant>
        <vt:i4>540</vt:i4>
      </vt:variant>
      <vt:variant>
        <vt:i4>0</vt:i4>
      </vt:variant>
      <vt:variant>
        <vt:i4>5</vt:i4>
      </vt:variant>
      <vt:variant>
        <vt:lpwstr>https://app.converlens.com/safework/wel-consultation/ris-survey/view/81</vt:lpwstr>
      </vt:variant>
      <vt:variant>
        <vt:lpwstr/>
      </vt:variant>
      <vt:variant>
        <vt:i4>4063348</vt:i4>
      </vt:variant>
      <vt:variant>
        <vt:i4>537</vt:i4>
      </vt:variant>
      <vt:variant>
        <vt:i4>0</vt:i4>
      </vt:variant>
      <vt:variant>
        <vt:i4>5</vt:i4>
      </vt:variant>
      <vt:variant>
        <vt:lpwstr>https://app.converlens.com/safework/wel-consultation/ris-survey/view/79</vt:lpwstr>
      </vt:variant>
      <vt:variant>
        <vt:lpwstr/>
      </vt:variant>
      <vt:variant>
        <vt:i4>3997812</vt:i4>
      </vt:variant>
      <vt:variant>
        <vt:i4>534</vt:i4>
      </vt:variant>
      <vt:variant>
        <vt:i4>0</vt:i4>
      </vt:variant>
      <vt:variant>
        <vt:i4>5</vt:i4>
      </vt:variant>
      <vt:variant>
        <vt:lpwstr>https://app.converlens.com/safework/wel-consultation/ris-survey/view/43</vt:lpwstr>
      </vt:variant>
      <vt:variant>
        <vt:lpwstr/>
      </vt:variant>
      <vt:variant>
        <vt:i4>3997812</vt:i4>
      </vt:variant>
      <vt:variant>
        <vt:i4>531</vt:i4>
      </vt:variant>
      <vt:variant>
        <vt:i4>0</vt:i4>
      </vt:variant>
      <vt:variant>
        <vt:i4>5</vt:i4>
      </vt:variant>
      <vt:variant>
        <vt:lpwstr>https://app.converlens.com/safework/wel-consultation/ris-survey/view/42</vt:lpwstr>
      </vt:variant>
      <vt:variant>
        <vt:lpwstr/>
      </vt:variant>
      <vt:variant>
        <vt:i4>3801204</vt:i4>
      </vt:variant>
      <vt:variant>
        <vt:i4>528</vt:i4>
      </vt:variant>
      <vt:variant>
        <vt:i4>0</vt:i4>
      </vt:variant>
      <vt:variant>
        <vt:i4>5</vt:i4>
      </vt:variant>
      <vt:variant>
        <vt:lpwstr>https://app.converlens.com/safework/wel-consultation/ris-survey/view/36</vt:lpwstr>
      </vt:variant>
      <vt:variant>
        <vt:lpwstr/>
      </vt:variant>
      <vt:variant>
        <vt:i4>3211380</vt:i4>
      </vt:variant>
      <vt:variant>
        <vt:i4>525</vt:i4>
      </vt:variant>
      <vt:variant>
        <vt:i4>0</vt:i4>
      </vt:variant>
      <vt:variant>
        <vt:i4>5</vt:i4>
      </vt:variant>
      <vt:variant>
        <vt:lpwstr>https://app.converlens.com/safework/wel-consultation/ris-survey/view/80</vt:lpwstr>
      </vt:variant>
      <vt:variant>
        <vt:lpwstr/>
      </vt:variant>
      <vt:variant>
        <vt:i4>4063348</vt:i4>
      </vt:variant>
      <vt:variant>
        <vt:i4>522</vt:i4>
      </vt:variant>
      <vt:variant>
        <vt:i4>0</vt:i4>
      </vt:variant>
      <vt:variant>
        <vt:i4>5</vt:i4>
      </vt:variant>
      <vt:variant>
        <vt:lpwstr>https://app.converlens.com/safework/wel-consultation/ris-survey/view/79</vt:lpwstr>
      </vt:variant>
      <vt:variant>
        <vt:lpwstr/>
      </vt:variant>
      <vt:variant>
        <vt:i4>3997812</vt:i4>
      </vt:variant>
      <vt:variant>
        <vt:i4>519</vt:i4>
      </vt:variant>
      <vt:variant>
        <vt:i4>0</vt:i4>
      </vt:variant>
      <vt:variant>
        <vt:i4>5</vt:i4>
      </vt:variant>
      <vt:variant>
        <vt:lpwstr>https://app.converlens.com/safework/wel-consultation/ris-survey/view/46</vt:lpwstr>
      </vt:variant>
      <vt:variant>
        <vt:lpwstr/>
      </vt:variant>
      <vt:variant>
        <vt:i4>3997812</vt:i4>
      </vt:variant>
      <vt:variant>
        <vt:i4>516</vt:i4>
      </vt:variant>
      <vt:variant>
        <vt:i4>0</vt:i4>
      </vt:variant>
      <vt:variant>
        <vt:i4>5</vt:i4>
      </vt:variant>
      <vt:variant>
        <vt:lpwstr>https://app.converlens.com/safework/wel-consultation/ris-survey/view/43</vt:lpwstr>
      </vt:variant>
      <vt:variant>
        <vt:lpwstr/>
      </vt:variant>
      <vt:variant>
        <vt:i4>3997812</vt:i4>
      </vt:variant>
      <vt:variant>
        <vt:i4>513</vt:i4>
      </vt:variant>
      <vt:variant>
        <vt:i4>0</vt:i4>
      </vt:variant>
      <vt:variant>
        <vt:i4>5</vt:i4>
      </vt:variant>
      <vt:variant>
        <vt:lpwstr>https://app.converlens.com/safework/wel-consultation/ris-survey/view/42</vt:lpwstr>
      </vt:variant>
      <vt:variant>
        <vt:lpwstr/>
      </vt:variant>
      <vt:variant>
        <vt:i4>3145844</vt:i4>
      </vt:variant>
      <vt:variant>
        <vt:i4>510</vt:i4>
      </vt:variant>
      <vt:variant>
        <vt:i4>0</vt:i4>
      </vt:variant>
      <vt:variant>
        <vt:i4>5</vt:i4>
      </vt:variant>
      <vt:variant>
        <vt:lpwstr>https://app.converlens.com/safework/wel-consultation/ris-survey/view/90</vt:lpwstr>
      </vt:variant>
      <vt:variant>
        <vt:lpwstr/>
      </vt:variant>
      <vt:variant>
        <vt:i4>3211380</vt:i4>
      </vt:variant>
      <vt:variant>
        <vt:i4>507</vt:i4>
      </vt:variant>
      <vt:variant>
        <vt:i4>0</vt:i4>
      </vt:variant>
      <vt:variant>
        <vt:i4>5</vt:i4>
      </vt:variant>
      <vt:variant>
        <vt:lpwstr>https://app.converlens.com/safework/wel-consultation/ris-survey/view/81</vt:lpwstr>
      </vt:variant>
      <vt:variant>
        <vt:lpwstr/>
      </vt:variant>
      <vt:variant>
        <vt:i4>3211380</vt:i4>
      </vt:variant>
      <vt:variant>
        <vt:i4>504</vt:i4>
      </vt:variant>
      <vt:variant>
        <vt:i4>0</vt:i4>
      </vt:variant>
      <vt:variant>
        <vt:i4>5</vt:i4>
      </vt:variant>
      <vt:variant>
        <vt:lpwstr>https://app.converlens.com/safework/wel-consultation/ris-survey/view/80</vt:lpwstr>
      </vt:variant>
      <vt:variant>
        <vt:lpwstr/>
      </vt:variant>
      <vt:variant>
        <vt:i4>4063348</vt:i4>
      </vt:variant>
      <vt:variant>
        <vt:i4>501</vt:i4>
      </vt:variant>
      <vt:variant>
        <vt:i4>0</vt:i4>
      </vt:variant>
      <vt:variant>
        <vt:i4>5</vt:i4>
      </vt:variant>
      <vt:variant>
        <vt:lpwstr>https://app.converlens.com/safework/wel-consultation/ris-survey/view/79</vt:lpwstr>
      </vt:variant>
      <vt:variant>
        <vt:lpwstr/>
      </vt:variant>
      <vt:variant>
        <vt:i4>3932276</vt:i4>
      </vt:variant>
      <vt:variant>
        <vt:i4>498</vt:i4>
      </vt:variant>
      <vt:variant>
        <vt:i4>0</vt:i4>
      </vt:variant>
      <vt:variant>
        <vt:i4>5</vt:i4>
      </vt:variant>
      <vt:variant>
        <vt:lpwstr>https://app.converlens.com/safework/wel-consultation/ris-survey/view/50</vt:lpwstr>
      </vt:variant>
      <vt:variant>
        <vt:lpwstr/>
      </vt:variant>
      <vt:variant>
        <vt:i4>3997812</vt:i4>
      </vt:variant>
      <vt:variant>
        <vt:i4>495</vt:i4>
      </vt:variant>
      <vt:variant>
        <vt:i4>0</vt:i4>
      </vt:variant>
      <vt:variant>
        <vt:i4>5</vt:i4>
      </vt:variant>
      <vt:variant>
        <vt:lpwstr>https://app.converlens.com/safework/wel-consultation/ris-survey/view/43</vt:lpwstr>
      </vt:variant>
      <vt:variant>
        <vt:lpwstr/>
      </vt:variant>
      <vt:variant>
        <vt:i4>3997812</vt:i4>
      </vt:variant>
      <vt:variant>
        <vt:i4>492</vt:i4>
      </vt:variant>
      <vt:variant>
        <vt:i4>0</vt:i4>
      </vt:variant>
      <vt:variant>
        <vt:i4>5</vt:i4>
      </vt:variant>
      <vt:variant>
        <vt:lpwstr>https://app.converlens.com/safework/wel-consultation/ris-survey/view/42</vt:lpwstr>
      </vt:variant>
      <vt:variant>
        <vt:lpwstr/>
      </vt:variant>
      <vt:variant>
        <vt:i4>3801204</vt:i4>
      </vt:variant>
      <vt:variant>
        <vt:i4>489</vt:i4>
      </vt:variant>
      <vt:variant>
        <vt:i4>0</vt:i4>
      </vt:variant>
      <vt:variant>
        <vt:i4>5</vt:i4>
      </vt:variant>
      <vt:variant>
        <vt:lpwstr>https://app.converlens.com/safework/wel-consultation/ris-survey/view/34</vt:lpwstr>
      </vt:variant>
      <vt:variant>
        <vt:lpwstr/>
      </vt:variant>
      <vt:variant>
        <vt:i4>3670132</vt:i4>
      </vt:variant>
      <vt:variant>
        <vt:i4>486</vt:i4>
      </vt:variant>
      <vt:variant>
        <vt:i4>0</vt:i4>
      </vt:variant>
      <vt:variant>
        <vt:i4>5</vt:i4>
      </vt:variant>
      <vt:variant>
        <vt:lpwstr>https://app.converlens.com/safework/wel-consultation/ris-survey/view/12</vt:lpwstr>
      </vt:variant>
      <vt:variant>
        <vt:lpwstr/>
      </vt:variant>
      <vt:variant>
        <vt:i4>4128884</vt:i4>
      </vt:variant>
      <vt:variant>
        <vt:i4>483</vt:i4>
      </vt:variant>
      <vt:variant>
        <vt:i4>0</vt:i4>
      </vt:variant>
      <vt:variant>
        <vt:i4>5</vt:i4>
      </vt:variant>
      <vt:variant>
        <vt:lpwstr>https://app.converlens.com/safework/wel-consultation/ris-survey/view/67</vt:lpwstr>
      </vt:variant>
      <vt:variant>
        <vt:lpwstr/>
      </vt:variant>
      <vt:variant>
        <vt:i4>3932276</vt:i4>
      </vt:variant>
      <vt:variant>
        <vt:i4>480</vt:i4>
      </vt:variant>
      <vt:variant>
        <vt:i4>0</vt:i4>
      </vt:variant>
      <vt:variant>
        <vt:i4>5</vt:i4>
      </vt:variant>
      <vt:variant>
        <vt:lpwstr>https://app.converlens.com/safework/wel-consultation/ris-survey/view/50</vt:lpwstr>
      </vt:variant>
      <vt:variant>
        <vt:lpwstr/>
      </vt:variant>
      <vt:variant>
        <vt:i4>3997812</vt:i4>
      </vt:variant>
      <vt:variant>
        <vt:i4>477</vt:i4>
      </vt:variant>
      <vt:variant>
        <vt:i4>0</vt:i4>
      </vt:variant>
      <vt:variant>
        <vt:i4>5</vt:i4>
      </vt:variant>
      <vt:variant>
        <vt:lpwstr>https://app.converlens.com/safework/wel-consultation/ris-survey/view/43</vt:lpwstr>
      </vt:variant>
      <vt:variant>
        <vt:lpwstr/>
      </vt:variant>
      <vt:variant>
        <vt:i4>3997812</vt:i4>
      </vt:variant>
      <vt:variant>
        <vt:i4>474</vt:i4>
      </vt:variant>
      <vt:variant>
        <vt:i4>0</vt:i4>
      </vt:variant>
      <vt:variant>
        <vt:i4>5</vt:i4>
      </vt:variant>
      <vt:variant>
        <vt:lpwstr>https://app.converlens.com/safework/wel-consultation/ris-survey/view/42</vt:lpwstr>
      </vt:variant>
      <vt:variant>
        <vt:lpwstr/>
      </vt:variant>
      <vt:variant>
        <vt:i4>3211380</vt:i4>
      </vt:variant>
      <vt:variant>
        <vt:i4>471</vt:i4>
      </vt:variant>
      <vt:variant>
        <vt:i4>0</vt:i4>
      </vt:variant>
      <vt:variant>
        <vt:i4>5</vt:i4>
      </vt:variant>
      <vt:variant>
        <vt:lpwstr>https://app.converlens.com/safework/wel-consultation/ris-survey/view/85</vt:lpwstr>
      </vt:variant>
      <vt:variant>
        <vt:lpwstr/>
      </vt:variant>
      <vt:variant>
        <vt:i4>3932276</vt:i4>
      </vt:variant>
      <vt:variant>
        <vt:i4>468</vt:i4>
      </vt:variant>
      <vt:variant>
        <vt:i4>0</vt:i4>
      </vt:variant>
      <vt:variant>
        <vt:i4>5</vt:i4>
      </vt:variant>
      <vt:variant>
        <vt:lpwstr>https://app.converlens.com/safework/wel-consultation/ris-survey/view/50</vt:lpwstr>
      </vt:variant>
      <vt:variant>
        <vt:lpwstr/>
      </vt:variant>
      <vt:variant>
        <vt:i4>3801204</vt:i4>
      </vt:variant>
      <vt:variant>
        <vt:i4>465</vt:i4>
      </vt:variant>
      <vt:variant>
        <vt:i4>0</vt:i4>
      </vt:variant>
      <vt:variant>
        <vt:i4>5</vt:i4>
      </vt:variant>
      <vt:variant>
        <vt:lpwstr>https://app.converlens.com/safework/wel-consultation/ris-survey/view/36</vt:lpwstr>
      </vt:variant>
      <vt:variant>
        <vt:lpwstr/>
      </vt:variant>
      <vt:variant>
        <vt:i4>3932276</vt:i4>
      </vt:variant>
      <vt:variant>
        <vt:i4>462</vt:i4>
      </vt:variant>
      <vt:variant>
        <vt:i4>0</vt:i4>
      </vt:variant>
      <vt:variant>
        <vt:i4>5</vt:i4>
      </vt:variant>
      <vt:variant>
        <vt:lpwstr>https://app.converlens.com/safework/wel-consultation/ris-survey/view/50</vt:lpwstr>
      </vt:variant>
      <vt:variant>
        <vt:lpwstr/>
      </vt:variant>
      <vt:variant>
        <vt:i4>3932276</vt:i4>
      </vt:variant>
      <vt:variant>
        <vt:i4>459</vt:i4>
      </vt:variant>
      <vt:variant>
        <vt:i4>0</vt:i4>
      </vt:variant>
      <vt:variant>
        <vt:i4>5</vt:i4>
      </vt:variant>
      <vt:variant>
        <vt:lpwstr>https://app.converlens.com/safework/wel-consultation/ris-survey/view/50</vt:lpwstr>
      </vt:variant>
      <vt:variant>
        <vt:lpwstr/>
      </vt:variant>
      <vt:variant>
        <vt:i4>3801204</vt:i4>
      </vt:variant>
      <vt:variant>
        <vt:i4>456</vt:i4>
      </vt:variant>
      <vt:variant>
        <vt:i4>0</vt:i4>
      </vt:variant>
      <vt:variant>
        <vt:i4>5</vt:i4>
      </vt:variant>
      <vt:variant>
        <vt:lpwstr>https://app.converlens.com/safework/wel-consultation/ris-survey/view/36</vt:lpwstr>
      </vt:variant>
      <vt:variant>
        <vt:lpwstr/>
      </vt:variant>
      <vt:variant>
        <vt:i4>3932276</vt:i4>
      </vt:variant>
      <vt:variant>
        <vt:i4>453</vt:i4>
      </vt:variant>
      <vt:variant>
        <vt:i4>0</vt:i4>
      </vt:variant>
      <vt:variant>
        <vt:i4>5</vt:i4>
      </vt:variant>
      <vt:variant>
        <vt:lpwstr>https://app.converlens.com/safework/wel-consultation/ris-survey/view/50</vt:lpwstr>
      </vt:variant>
      <vt:variant>
        <vt:lpwstr/>
      </vt:variant>
      <vt:variant>
        <vt:i4>3997812</vt:i4>
      </vt:variant>
      <vt:variant>
        <vt:i4>450</vt:i4>
      </vt:variant>
      <vt:variant>
        <vt:i4>0</vt:i4>
      </vt:variant>
      <vt:variant>
        <vt:i4>5</vt:i4>
      </vt:variant>
      <vt:variant>
        <vt:lpwstr>https://app.converlens.com/safework/wel-consultation/ris-survey/view/43</vt:lpwstr>
      </vt:variant>
      <vt:variant>
        <vt:lpwstr/>
      </vt:variant>
      <vt:variant>
        <vt:i4>3997812</vt:i4>
      </vt:variant>
      <vt:variant>
        <vt:i4>447</vt:i4>
      </vt:variant>
      <vt:variant>
        <vt:i4>0</vt:i4>
      </vt:variant>
      <vt:variant>
        <vt:i4>5</vt:i4>
      </vt:variant>
      <vt:variant>
        <vt:lpwstr>https://app.converlens.com/safework/wel-consultation/ris-survey/view/42</vt:lpwstr>
      </vt:variant>
      <vt:variant>
        <vt:lpwstr/>
      </vt:variant>
      <vt:variant>
        <vt:i4>3801204</vt:i4>
      </vt:variant>
      <vt:variant>
        <vt:i4>444</vt:i4>
      </vt:variant>
      <vt:variant>
        <vt:i4>0</vt:i4>
      </vt:variant>
      <vt:variant>
        <vt:i4>5</vt:i4>
      </vt:variant>
      <vt:variant>
        <vt:lpwstr>https://app.converlens.com/safework/wel-consultation/ris-survey/view/36</vt:lpwstr>
      </vt:variant>
      <vt:variant>
        <vt:lpwstr/>
      </vt:variant>
      <vt:variant>
        <vt:i4>3670132</vt:i4>
      </vt:variant>
      <vt:variant>
        <vt:i4>441</vt:i4>
      </vt:variant>
      <vt:variant>
        <vt:i4>0</vt:i4>
      </vt:variant>
      <vt:variant>
        <vt:i4>5</vt:i4>
      </vt:variant>
      <vt:variant>
        <vt:lpwstr>https://app.converlens.com/safework/wel-consultation/ris-survey/view/12</vt:lpwstr>
      </vt:variant>
      <vt:variant>
        <vt:lpwstr/>
      </vt:variant>
      <vt:variant>
        <vt:i4>4128884</vt:i4>
      </vt:variant>
      <vt:variant>
        <vt:i4>438</vt:i4>
      </vt:variant>
      <vt:variant>
        <vt:i4>0</vt:i4>
      </vt:variant>
      <vt:variant>
        <vt:i4>5</vt:i4>
      </vt:variant>
      <vt:variant>
        <vt:lpwstr>https://app.converlens.com/safework/wel-consultation/ris-survey/view/67</vt:lpwstr>
      </vt:variant>
      <vt:variant>
        <vt:lpwstr/>
      </vt:variant>
      <vt:variant>
        <vt:i4>3932276</vt:i4>
      </vt:variant>
      <vt:variant>
        <vt:i4>435</vt:i4>
      </vt:variant>
      <vt:variant>
        <vt:i4>0</vt:i4>
      </vt:variant>
      <vt:variant>
        <vt:i4>5</vt:i4>
      </vt:variant>
      <vt:variant>
        <vt:lpwstr>https://app.converlens.com/safework/wel-consultation/ris-survey/view/50</vt:lpwstr>
      </vt:variant>
      <vt:variant>
        <vt:lpwstr/>
      </vt:variant>
      <vt:variant>
        <vt:i4>3997812</vt:i4>
      </vt:variant>
      <vt:variant>
        <vt:i4>432</vt:i4>
      </vt:variant>
      <vt:variant>
        <vt:i4>0</vt:i4>
      </vt:variant>
      <vt:variant>
        <vt:i4>5</vt:i4>
      </vt:variant>
      <vt:variant>
        <vt:lpwstr>https://app.converlens.com/safework/wel-consultation/ris-survey/view/46</vt:lpwstr>
      </vt:variant>
      <vt:variant>
        <vt:lpwstr/>
      </vt:variant>
      <vt:variant>
        <vt:i4>3997812</vt:i4>
      </vt:variant>
      <vt:variant>
        <vt:i4>429</vt:i4>
      </vt:variant>
      <vt:variant>
        <vt:i4>0</vt:i4>
      </vt:variant>
      <vt:variant>
        <vt:i4>5</vt:i4>
      </vt:variant>
      <vt:variant>
        <vt:lpwstr>https://app.converlens.com/safework/wel-consultation/ris-survey/view/43</vt:lpwstr>
      </vt:variant>
      <vt:variant>
        <vt:lpwstr/>
      </vt:variant>
      <vt:variant>
        <vt:i4>3997812</vt:i4>
      </vt:variant>
      <vt:variant>
        <vt:i4>426</vt:i4>
      </vt:variant>
      <vt:variant>
        <vt:i4>0</vt:i4>
      </vt:variant>
      <vt:variant>
        <vt:i4>5</vt:i4>
      </vt:variant>
      <vt:variant>
        <vt:lpwstr>https://app.converlens.com/safework/wel-consultation/ris-survey/view/42</vt:lpwstr>
      </vt:variant>
      <vt:variant>
        <vt:lpwstr/>
      </vt:variant>
      <vt:variant>
        <vt:i4>3670132</vt:i4>
      </vt:variant>
      <vt:variant>
        <vt:i4>423</vt:i4>
      </vt:variant>
      <vt:variant>
        <vt:i4>0</vt:i4>
      </vt:variant>
      <vt:variant>
        <vt:i4>5</vt:i4>
      </vt:variant>
      <vt:variant>
        <vt:lpwstr>https://app.converlens.com/safework/wel-consultation/ris-survey/view/12</vt:lpwstr>
      </vt:variant>
      <vt:variant>
        <vt:lpwstr/>
      </vt:variant>
      <vt:variant>
        <vt:i4>3670132</vt:i4>
      </vt:variant>
      <vt:variant>
        <vt:i4>420</vt:i4>
      </vt:variant>
      <vt:variant>
        <vt:i4>0</vt:i4>
      </vt:variant>
      <vt:variant>
        <vt:i4>5</vt:i4>
      </vt:variant>
      <vt:variant>
        <vt:lpwstr>https://app.converlens.com/safework/wel-consultation/ris-survey/view/16</vt:lpwstr>
      </vt:variant>
      <vt:variant>
        <vt:lpwstr/>
      </vt:variant>
      <vt:variant>
        <vt:i4>3997812</vt:i4>
      </vt:variant>
      <vt:variant>
        <vt:i4>417</vt:i4>
      </vt:variant>
      <vt:variant>
        <vt:i4>0</vt:i4>
      </vt:variant>
      <vt:variant>
        <vt:i4>5</vt:i4>
      </vt:variant>
      <vt:variant>
        <vt:lpwstr>https://app.converlens.com/safework/wel-consultation/ris-survey/view/43</vt:lpwstr>
      </vt:variant>
      <vt:variant>
        <vt:lpwstr/>
      </vt:variant>
      <vt:variant>
        <vt:i4>3997812</vt:i4>
      </vt:variant>
      <vt:variant>
        <vt:i4>414</vt:i4>
      </vt:variant>
      <vt:variant>
        <vt:i4>0</vt:i4>
      </vt:variant>
      <vt:variant>
        <vt:i4>5</vt:i4>
      </vt:variant>
      <vt:variant>
        <vt:lpwstr>https://app.converlens.com/safework/wel-consultation/ris-survey/view/42</vt:lpwstr>
      </vt:variant>
      <vt:variant>
        <vt:lpwstr/>
      </vt:variant>
      <vt:variant>
        <vt:i4>3670132</vt:i4>
      </vt:variant>
      <vt:variant>
        <vt:i4>411</vt:i4>
      </vt:variant>
      <vt:variant>
        <vt:i4>0</vt:i4>
      </vt:variant>
      <vt:variant>
        <vt:i4>5</vt:i4>
      </vt:variant>
      <vt:variant>
        <vt:lpwstr>https://app.converlens.com/safework/wel-consultation/ris-survey/view/16</vt:lpwstr>
      </vt:variant>
      <vt:variant>
        <vt:lpwstr/>
      </vt:variant>
      <vt:variant>
        <vt:i4>3801204</vt:i4>
      </vt:variant>
      <vt:variant>
        <vt:i4>408</vt:i4>
      </vt:variant>
      <vt:variant>
        <vt:i4>0</vt:i4>
      </vt:variant>
      <vt:variant>
        <vt:i4>5</vt:i4>
      </vt:variant>
      <vt:variant>
        <vt:lpwstr>https://app.converlens.com/safework/wel-consultation/ris-survey/view/36</vt:lpwstr>
      </vt:variant>
      <vt:variant>
        <vt:lpwstr/>
      </vt:variant>
      <vt:variant>
        <vt:i4>3670132</vt:i4>
      </vt:variant>
      <vt:variant>
        <vt:i4>405</vt:i4>
      </vt:variant>
      <vt:variant>
        <vt:i4>0</vt:i4>
      </vt:variant>
      <vt:variant>
        <vt:i4>5</vt:i4>
      </vt:variant>
      <vt:variant>
        <vt:lpwstr>https://app.converlens.com/safework/wel-consultation/ris-survey/view/12</vt:lpwstr>
      </vt:variant>
      <vt:variant>
        <vt:lpwstr/>
      </vt:variant>
      <vt:variant>
        <vt:i4>3801204</vt:i4>
      </vt:variant>
      <vt:variant>
        <vt:i4>402</vt:i4>
      </vt:variant>
      <vt:variant>
        <vt:i4>0</vt:i4>
      </vt:variant>
      <vt:variant>
        <vt:i4>5</vt:i4>
      </vt:variant>
      <vt:variant>
        <vt:lpwstr>https://app.converlens.com/safework/wel-consultation/ris-survey/view/36</vt:lpwstr>
      </vt:variant>
      <vt:variant>
        <vt:lpwstr/>
      </vt:variant>
      <vt:variant>
        <vt:i4>3997812</vt:i4>
      </vt:variant>
      <vt:variant>
        <vt:i4>399</vt:i4>
      </vt:variant>
      <vt:variant>
        <vt:i4>0</vt:i4>
      </vt:variant>
      <vt:variant>
        <vt:i4>5</vt:i4>
      </vt:variant>
      <vt:variant>
        <vt:lpwstr>https://app.converlens.com/safework/wel-consultation/ris-survey/view/43</vt:lpwstr>
      </vt:variant>
      <vt:variant>
        <vt:lpwstr/>
      </vt:variant>
      <vt:variant>
        <vt:i4>3997812</vt:i4>
      </vt:variant>
      <vt:variant>
        <vt:i4>396</vt:i4>
      </vt:variant>
      <vt:variant>
        <vt:i4>0</vt:i4>
      </vt:variant>
      <vt:variant>
        <vt:i4>5</vt:i4>
      </vt:variant>
      <vt:variant>
        <vt:lpwstr>https://app.converlens.com/safework/wel-consultation/ris-survey/view/42</vt:lpwstr>
      </vt:variant>
      <vt:variant>
        <vt:lpwstr/>
      </vt:variant>
      <vt:variant>
        <vt:i4>3801204</vt:i4>
      </vt:variant>
      <vt:variant>
        <vt:i4>393</vt:i4>
      </vt:variant>
      <vt:variant>
        <vt:i4>0</vt:i4>
      </vt:variant>
      <vt:variant>
        <vt:i4>5</vt:i4>
      </vt:variant>
      <vt:variant>
        <vt:lpwstr>https://app.converlens.com/safework/wel-consultation/ris-survey/view/36</vt:lpwstr>
      </vt:variant>
      <vt:variant>
        <vt:lpwstr/>
      </vt:variant>
      <vt:variant>
        <vt:i4>5177379</vt:i4>
      </vt:variant>
      <vt:variant>
        <vt:i4>390</vt:i4>
      </vt:variant>
      <vt:variant>
        <vt:i4>0</vt:i4>
      </vt:variant>
      <vt:variant>
        <vt:i4>5</vt:i4>
      </vt:variant>
      <vt:variant>
        <vt:lpwstr>https://storage.googleapis.com/files-au-swa/safework/p/prj642e68d6133ea3a631d25/page/draft_evaluation_report_wes_formaldehyde_pdf.pdf</vt:lpwstr>
      </vt:variant>
      <vt:variant>
        <vt:lpwstr/>
      </vt:variant>
      <vt:variant>
        <vt:i4>3932276</vt:i4>
      </vt:variant>
      <vt:variant>
        <vt:i4>387</vt:i4>
      </vt:variant>
      <vt:variant>
        <vt:i4>0</vt:i4>
      </vt:variant>
      <vt:variant>
        <vt:i4>5</vt:i4>
      </vt:variant>
      <vt:variant>
        <vt:lpwstr>https://app.converlens.com/safework/wel-consultation/ris-survey/view/52</vt:lpwstr>
      </vt:variant>
      <vt:variant>
        <vt:lpwstr/>
      </vt:variant>
      <vt:variant>
        <vt:i4>3211380</vt:i4>
      </vt:variant>
      <vt:variant>
        <vt:i4>384</vt:i4>
      </vt:variant>
      <vt:variant>
        <vt:i4>0</vt:i4>
      </vt:variant>
      <vt:variant>
        <vt:i4>5</vt:i4>
      </vt:variant>
      <vt:variant>
        <vt:lpwstr>https://app.converlens.com/safework/wel-consultation/ris-survey/view/87</vt:lpwstr>
      </vt:variant>
      <vt:variant>
        <vt:lpwstr/>
      </vt:variant>
      <vt:variant>
        <vt:i4>3670132</vt:i4>
      </vt:variant>
      <vt:variant>
        <vt:i4>381</vt:i4>
      </vt:variant>
      <vt:variant>
        <vt:i4>0</vt:i4>
      </vt:variant>
      <vt:variant>
        <vt:i4>5</vt:i4>
      </vt:variant>
      <vt:variant>
        <vt:lpwstr>https://app.converlens.com/safework/wel-consultation/ris-survey/view/12</vt:lpwstr>
      </vt:variant>
      <vt:variant>
        <vt:lpwstr/>
      </vt:variant>
      <vt:variant>
        <vt:i4>3211380</vt:i4>
      </vt:variant>
      <vt:variant>
        <vt:i4>378</vt:i4>
      </vt:variant>
      <vt:variant>
        <vt:i4>0</vt:i4>
      </vt:variant>
      <vt:variant>
        <vt:i4>5</vt:i4>
      </vt:variant>
      <vt:variant>
        <vt:lpwstr>https://app.converlens.com/safework/wel-consultation/ris-survey/view/85</vt:lpwstr>
      </vt:variant>
      <vt:variant>
        <vt:lpwstr/>
      </vt:variant>
      <vt:variant>
        <vt:i4>3211380</vt:i4>
      </vt:variant>
      <vt:variant>
        <vt:i4>375</vt:i4>
      </vt:variant>
      <vt:variant>
        <vt:i4>0</vt:i4>
      </vt:variant>
      <vt:variant>
        <vt:i4>5</vt:i4>
      </vt:variant>
      <vt:variant>
        <vt:lpwstr>https://app.converlens.com/safework/wel-consultation/ris-survey/view/85</vt:lpwstr>
      </vt:variant>
      <vt:variant>
        <vt:lpwstr/>
      </vt:variant>
      <vt:variant>
        <vt:i4>3670132</vt:i4>
      </vt:variant>
      <vt:variant>
        <vt:i4>372</vt:i4>
      </vt:variant>
      <vt:variant>
        <vt:i4>0</vt:i4>
      </vt:variant>
      <vt:variant>
        <vt:i4>5</vt:i4>
      </vt:variant>
      <vt:variant>
        <vt:lpwstr>https://app.converlens.com/safework/wel-consultation/ris-survey/view/18</vt:lpwstr>
      </vt:variant>
      <vt:variant>
        <vt:lpwstr/>
      </vt:variant>
      <vt:variant>
        <vt:i4>3211380</vt:i4>
      </vt:variant>
      <vt:variant>
        <vt:i4>369</vt:i4>
      </vt:variant>
      <vt:variant>
        <vt:i4>0</vt:i4>
      </vt:variant>
      <vt:variant>
        <vt:i4>5</vt:i4>
      </vt:variant>
      <vt:variant>
        <vt:lpwstr>https://app.converlens.com/safework/wel-consultation/ris-survey/view/85</vt:lpwstr>
      </vt:variant>
      <vt:variant>
        <vt:lpwstr/>
      </vt:variant>
      <vt:variant>
        <vt:i4>3211380</vt:i4>
      </vt:variant>
      <vt:variant>
        <vt:i4>366</vt:i4>
      </vt:variant>
      <vt:variant>
        <vt:i4>0</vt:i4>
      </vt:variant>
      <vt:variant>
        <vt:i4>5</vt:i4>
      </vt:variant>
      <vt:variant>
        <vt:lpwstr>https://app.converlens.com/safework/wel-consultation/ris-survey/view/84</vt:lpwstr>
      </vt:variant>
      <vt:variant>
        <vt:lpwstr/>
      </vt:variant>
      <vt:variant>
        <vt:i4>3211380</vt:i4>
      </vt:variant>
      <vt:variant>
        <vt:i4>363</vt:i4>
      </vt:variant>
      <vt:variant>
        <vt:i4>0</vt:i4>
      </vt:variant>
      <vt:variant>
        <vt:i4>5</vt:i4>
      </vt:variant>
      <vt:variant>
        <vt:lpwstr>https://app.converlens.com/safework/wel-consultation/ris-survey/view/85</vt:lpwstr>
      </vt:variant>
      <vt:variant>
        <vt:lpwstr/>
      </vt:variant>
      <vt:variant>
        <vt:i4>3211380</vt:i4>
      </vt:variant>
      <vt:variant>
        <vt:i4>360</vt:i4>
      </vt:variant>
      <vt:variant>
        <vt:i4>0</vt:i4>
      </vt:variant>
      <vt:variant>
        <vt:i4>5</vt:i4>
      </vt:variant>
      <vt:variant>
        <vt:lpwstr>https://app.converlens.com/safework/wel-consultation/ris-survey/view/87</vt:lpwstr>
      </vt:variant>
      <vt:variant>
        <vt:lpwstr/>
      </vt:variant>
      <vt:variant>
        <vt:i4>3211380</vt:i4>
      </vt:variant>
      <vt:variant>
        <vt:i4>357</vt:i4>
      </vt:variant>
      <vt:variant>
        <vt:i4>0</vt:i4>
      </vt:variant>
      <vt:variant>
        <vt:i4>5</vt:i4>
      </vt:variant>
      <vt:variant>
        <vt:lpwstr>https://app.converlens.com/safework/wel-consultation/ris-survey/view/84</vt:lpwstr>
      </vt:variant>
      <vt:variant>
        <vt:lpwstr/>
      </vt:variant>
      <vt:variant>
        <vt:i4>3211380</vt:i4>
      </vt:variant>
      <vt:variant>
        <vt:i4>354</vt:i4>
      </vt:variant>
      <vt:variant>
        <vt:i4>0</vt:i4>
      </vt:variant>
      <vt:variant>
        <vt:i4>5</vt:i4>
      </vt:variant>
      <vt:variant>
        <vt:lpwstr>https://app.converlens.com/safework/wel-consultation/ris-survey/view/88</vt:lpwstr>
      </vt:variant>
      <vt:variant>
        <vt:lpwstr/>
      </vt:variant>
      <vt:variant>
        <vt:i4>3211380</vt:i4>
      </vt:variant>
      <vt:variant>
        <vt:i4>351</vt:i4>
      </vt:variant>
      <vt:variant>
        <vt:i4>0</vt:i4>
      </vt:variant>
      <vt:variant>
        <vt:i4>5</vt:i4>
      </vt:variant>
      <vt:variant>
        <vt:lpwstr>https://app.converlens.com/safework/wel-consultation/ris-survey/view/85</vt:lpwstr>
      </vt:variant>
      <vt:variant>
        <vt:lpwstr/>
      </vt:variant>
      <vt:variant>
        <vt:i4>3670132</vt:i4>
      </vt:variant>
      <vt:variant>
        <vt:i4>348</vt:i4>
      </vt:variant>
      <vt:variant>
        <vt:i4>0</vt:i4>
      </vt:variant>
      <vt:variant>
        <vt:i4>5</vt:i4>
      </vt:variant>
      <vt:variant>
        <vt:lpwstr>https://app.converlens.com/safework/wel-consultation/ris-survey/view/12</vt:lpwstr>
      </vt:variant>
      <vt:variant>
        <vt:lpwstr/>
      </vt:variant>
      <vt:variant>
        <vt:i4>3670132</vt:i4>
      </vt:variant>
      <vt:variant>
        <vt:i4>345</vt:i4>
      </vt:variant>
      <vt:variant>
        <vt:i4>0</vt:i4>
      </vt:variant>
      <vt:variant>
        <vt:i4>5</vt:i4>
      </vt:variant>
      <vt:variant>
        <vt:lpwstr>https://app.converlens.com/safework/wel-consultation/ris-survey/view/14</vt:lpwstr>
      </vt:variant>
      <vt:variant>
        <vt:lpwstr/>
      </vt:variant>
      <vt:variant>
        <vt:i4>3211380</vt:i4>
      </vt:variant>
      <vt:variant>
        <vt:i4>342</vt:i4>
      </vt:variant>
      <vt:variant>
        <vt:i4>0</vt:i4>
      </vt:variant>
      <vt:variant>
        <vt:i4>5</vt:i4>
      </vt:variant>
      <vt:variant>
        <vt:lpwstr>https://app.converlens.com/safework/wel-consultation/ris-survey/view/87</vt:lpwstr>
      </vt:variant>
      <vt:variant>
        <vt:lpwstr/>
      </vt:variant>
      <vt:variant>
        <vt:i4>3211380</vt:i4>
      </vt:variant>
      <vt:variant>
        <vt:i4>339</vt:i4>
      </vt:variant>
      <vt:variant>
        <vt:i4>0</vt:i4>
      </vt:variant>
      <vt:variant>
        <vt:i4>5</vt:i4>
      </vt:variant>
      <vt:variant>
        <vt:lpwstr>https://app.converlens.com/safework/wel-consultation/ris-survey/view/84</vt:lpwstr>
      </vt:variant>
      <vt:variant>
        <vt:lpwstr/>
      </vt:variant>
      <vt:variant>
        <vt:i4>3211380</vt:i4>
      </vt:variant>
      <vt:variant>
        <vt:i4>336</vt:i4>
      </vt:variant>
      <vt:variant>
        <vt:i4>0</vt:i4>
      </vt:variant>
      <vt:variant>
        <vt:i4>5</vt:i4>
      </vt:variant>
      <vt:variant>
        <vt:lpwstr>https://app.converlens.com/safework/wel-consultation/ris-survey/view/87</vt:lpwstr>
      </vt:variant>
      <vt:variant>
        <vt:lpwstr/>
      </vt:variant>
      <vt:variant>
        <vt:i4>3211380</vt:i4>
      </vt:variant>
      <vt:variant>
        <vt:i4>333</vt:i4>
      </vt:variant>
      <vt:variant>
        <vt:i4>0</vt:i4>
      </vt:variant>
      <vt:variant>
        <vt:i4>5</vt:i4>
      </vt:variant>
      <vt:variant>
        <vt:lpwstr>https://app.converlens.com/safework/wel-consultation/ris-survey/view/84</vt:lpwstr>
      </vt:variant>
      <vt:variant>
        <vt:lpwstr/>
      </vt:variant>
      <vt:variant>
        <vt:i4>3670132</vt:i4>
      </vt:variant>
      <vt:variant>
        <vt:i4>330</vt:i4>
      </vt:variant>
      <vt:variant>
        <vt:i4>0</vt:i4>
      </vt:variant>
      <vt:variant>
        <vt:i4>5</vt:i4>
      </vt:variant>
      <vt:variant>
        <vt:lpwstr>https://app.converlens.com/safework/wel-consultation/ris-survey/view/12</vt:lpwstr>
      </vt:variant>
      <vt:variant>
        <vt:lpwstr/>
      </vt:variant>
      <vt:variant>
        <vt:i4>3211380</vt:i4>
      </vt:variant>
      <vt:variant>
        <vt:i4>327</vt:i4>
      </vt:variant>
      <vt:variant>
        <vt:i4>0</vt:i4>
      </vt:variant>
      <vt:variant>
        <vt:i4>5</vt:i4>
      </vt:variant>
      <vt:variant>
        <vt:lpwstr>https://app.converlens.com/safework/wel-consultation/ris-survey/view/87</vt:lpwstr>
      </vt:variant>
      <vt:variant>
        <vt:lpwstr/>
      </vt:variant>
      <vt:variant>
        <vt:i4>3211380</vt:i4>
      </vt:variant>
      <vt:variant>
        <vt:i4>324</vt:i4>
      </vt:variant>
      <vt:variant>
        <vt:i4>0</vt:i4>
      </vt:variant>
      <vt:variant>
        <vt:i4>5</vt:i4>
      </vt:variant>
      <vt:variant>
        <vt:lpwstr>https://app.converlens.com/safework/wel-consultation/ris-survey/view/84</vt:lpwstr>
      </vt:variant>
      <vt:variant>
        <vt:lpwstr/>
      </vt:variant>
      <vt:variant>
        <vt:i4>3670132</vt:i4>
      </vt:variant>
      <vt:variant>
        <vt:i4>321</vt:i4>
      </vt:variant>
      <vt:variant>
        <vt:i4>0</vt:i4>
      </vt:variant>
      <vt:variant>
        <vt:i4>5</vt:i4>
      </vt:variant>
      <vt:variant>
        <vt:lpwstr>https://app.converlens.com/safework/wel-consultation/ris-survey/view/18</vt:lpwstr>
      </vt:variant>
      <vt:variant>
        <vt:lpwstr/>
      </vt:variant>
      <vt:variant>
        <vt:i4>3211380</vt:i4>
      </vt:variant>
      <vt:variant>
        <vt:i4>318</vt:i4>
      </vt:variant>
      <vt:variant>
        <vt:i4>0</vt:i4>
      </vt:variant>
      <vt:variant>
        <vt:i4>5</vt:i4>
      </vt:variant>
      <vt:variant>
        <vt:lpwstr>https://app.converlens.com/safework/wel-consultation/ris-survey/view/88</vt:lpwstr>
      </vt:variant>
      <vt:variant>
        <vt:lpwstr/>
      </vt:variant>
      <vt:variant>
        <vt:i4>3211380</vt:i4>
      </vt:variant>
      <vt:variant>
        <vt:i4>315</vt:i4>
      </vt:variant>
      <vt:variant>
        <vt:i4>0</vt:i4>
      </vt:variant>
      <vt:variant>
        <vt:i4>5</vt:i4>
      </vt:variant>
      <vt:variant>
        <vt:lpwstr>https://app.converlens.com/safework/wel-consultation/ris-survey/view/87</vt:lpwstr>
      </vt:variant>
      <vt:variant>
        <vt:lpwstr/>
      </vt:variant>
      <vt:variant>
        <vt:i4>3211380</vt:i4>
      </vt:variant>
      <vt:variant>
        <vt:i4>312</vt:i4>
      </vt:variant>
      <vt:variant>
        <vt:i4>0</vt:i4>
      </vt:variant>
      <vt:variant>
        <vt:i4>5</vt:i4>
      </vt:variant>
      <vt:variant>
        <vt:lpwstr>https://app.converlens.com/safework/wel-consultation/ris-survey/view/85</vt:lpwstr>
      </vt:variant>
      <vt:variant>
        <vt:lpwstr/>
      </vt:variant>
      <vt:variant>
        <vt:i4>3211380</vt:i4>
      </vt:variant>
      <vt:variant>
        <vt:i4>309</vt:i4>
      </vt:variant>
      <vt:variant>
        <vt:i4>0</vt:i4>
      </vt:variant>
      <vt:variant>
        <vt:i4>5</vt:i4>
      </vt:variant>
      <vt:variant>
        <vt:lpwstr>https://app.converlens.com/safework/wel-consultation/ris-survey/view/84</vt:lpwstr>
      </vt:variant>
      <vt:variant>
        <vt:lpwstr/>
      </vt:variant>
      <vt:variant>
        <vt:i4>3670132</vt:i4>
      </vt:variant>
      <vt:variant>
        <vt:i4>306</vt:i4>
      </vt:variant>
      <vt:variant>
        <vt:i4>0</vt:i4>
      </vt:variant>
      <vt:variant>
        <vt:i4>5</vt:i4>
      </vt:variant>
      <vt:variant>
        <vt:lpwstr>https://app.converlens.com/safework/wel-consultation/ris-survey/view/12</vt:lpwstr>
      </vt:variant>
      <vt:variant>
        <vt:lpwstr/>
      </vt:variant>
      <vt:variant>
        <vt:i4>3211380</vt:i4>
      </vt:variant>
      <vt:variant>
        <vt:i4>303</vt:i4>
      </vt:variant>
      <vt:variant>
        <vt:i4>0</vt:i4>
      </vt:variant>
      <vt:variant>
        <vt:i4>5</vt:i4>
      </vt:variant>
      <vt:variant>
        <vt:lpwstr>https://app.converlens.com/safework/wel-consultation/ris-survey/view/87</vt:lpwstr>
      </vt:variant>
      <vt:variant>
        <vt:lpwstr/>
      </vt:variant>
      <vt:variant>
        <vt:i4>3211380</vt:i4>
      </vt:variant>
      <vt:variant>
        <vt:i4>300</vt:i4>
      </vt:variant>
      <vt:variant>
        <vt:i4>0</vt:i4>
      </vt:variant>
      <vt:variant>
        <vt:i4>5</vt:i4>
      </vt:variant>
      <vt:variant>
        <vt:lpwstr>https://app.converlens.com/safework/wel-consultation/ris-survey/view/84</vt:lpwstr>
      </vt:variant>
      <vt:variant>
        <vt:lpwstr/>
      </vt:variant>
      <vt:variant>
        <vt:i4>3801204</vt:i4>
      </vt:variant>
      <vt:variant>
        <vt:i4>297</vt:i4>
      </vt:variant>
      <vt:variant>
        <vt:i4>0</vt:i4>
      </vt:variant>
      <vt:variant>
        <vt:i4>5</vt:i4>
      </vt:variant>
      <vt:variant>
        <vt:lpwstr>https://app.converlens.com/safework/wel-consultation/ris-survey/view/37</vt:lpwstr>
      </vt:variant>
      <vt:variant>
        <vt:lpwstr/>
      </vt:variant>
      <vt:variant>
        <vt:i4>3670132</vt:i4>
      </vt:variant>
      <vt:variant>
        <vt:i4>294</vt:i4>
      </vt:variant>
      <vt:variant>
        <vt:i4>0</vt:i4>
      </vt:variant>
      <vt:variant>
        <vt:i4>5</vt:i4>
      </vt:variant>
      <vt:variant>
        <vt:lpwstr>https://app.converlens.com/safework/wel-consultation/ris-survey/view/14</vt:lpwstr>
      </vt:variant>
      <vt:variant>
        <vt:lpwstr/>
      </vt:variant>
      <vt:variant>
        <vt:i4>3670132</vt:i4>
      </vt:variant>
      <vt:variant>
        <vt:i4>291</vt:i4>
      </vt:variant>
      <vt:variant>
        <vt:i4>0</vt:i4>
      </vt:variant>
      <vt:variant>
        <vt:i4>5</vt:i4>
      </vt:variant>
      <vt:variant>
        <vt:lpwstr>https://app.converlens.com/safework/wel-consultation/ris-survey/view/12</vt:lpwstr>
      </vt:variant>
      <vt:variant>
        <vt:lpwstr/>
      </vt:variant>
      <vt:variant>
        <vt:i4>3997812</vt:i4>
      </vt:variant>
      <vt:variant>
        <vt:i4>288</vt:i4>
      </vt:variant>
      <vt:variant>
        <vt:i4>0</vt:i4>
      </vt:variant>
      <vt:variant>
        <vt:i4>5</vt:i4>
      </vt:variant>
      <vt:variant>
        <vt:lpwstr>https://app.converlens.com/safework/wel-consultation/ris-survey/view/46</vt:lpwstr>
      </vt:variant>
      <vt:variant>
        <vt:lpwstr/>
      </vt:variant>
      <vt:variant>
        <vt:i4>3145844</vt:i4>
      </vt:variant>
      <vt:variant>
        <vt:i4>285</vt:i4>
      </vt:variant>
      <vt:variant>
        <vt:i4>0</vt:i4>
      </vt:variant>
      <vt:variant>
        <vt:i4>5</vt:i4>
      </vt:variant>
      <vt:variant>
        <vt:lpwstr>https://app.converlens.com/safework/wel-consultation/ris-survey/view/90</vt:lpwstr>
      </vt:variant>
      <vt:variant>
        <vt:lpwstr/>
      </vt:variant>
      <vt:variant>
        <vt:i4>3211380</vt:i4>
      </vt:variant>
      <vt:variant>
        <vt:i4>282</vt:i4>
      </vt:variant>
      <vt:variant>
        <vt:i4>0</vt:i4>
      </vt:variant>
      <vt:variant>
        <vt:i4>5</vt:i4>
      </vt:variant>
      <vt:variant>
        <vt:lpwstr>https://app.converlens.com/safework/wel-consultation/ris-survey/view/81</vt:lpwstr>
      </vt:variant>
      <vt:variant>
        <vt:lpwstr/>
      </vt:variant>
      <vt:variant>
        <vt:i4>3932276</vt:i4>
      </vt:variant>
      <vt:variant>
        <vt:i4>279</vt:i4>
      </vt:variant>
      <vt:variant>
        <vt:i4>0</vt:i4>
      </vt:variant>
      <vt:variant>
        <vt:i4>5</vt:i4>
      </vt:variant>
      <vt:variant>
        <vt:lpwstr>https://app.converlens.com/safework/wel-consultation/ris-survey/view/52</vt:lpwstr>
      </vt:variant>
      <vt:variant>
        <vt:lpwstr/>
      </vt:variant>
      <vt:variant>
        <vt:i4>3801204</vt:i4>
      </vt:variant>
      <vt:variant>
        <vt:i4>276</vt:i4>
      </vt:variant>
      <vt:variant>
        <vt:i4>0</vt:i4>
      </vt:variant>
      <vt:variant>
        <vt:i4>5</vt:i4>
      </vt:variant>
      <vt:variant>
        <vt:lpwstr>https://app.converlens.com/safework/wel-consultation/ris-survey/view/34</vt:lpwstr>
      </vt:variant>
      <vt:variant>
        <vt:lpwstr/>
      </vt:variant>
      <vt:variant>
        <vt:i4>5963826</vt:i4>
      </vt:variant>
      <vt:variant>
        <vt:i4>270</vt:i4>
      </vt:variant>
      <vt:variant>
        <vt:i4>0</vt:i4>
      </vt:variant>
      <vt:variant>
        <vt:i4>5</vt:i4>
      </vt:variant>
      <vt:variant>
        <vt:lpwstr>https://storage.googleapis.com/files-au-swa/safework/p/prj06da3bdf2c1cf9737efab/page/draft_evaluation_report_wes_copper_fumes_dusts_and_mists_as_Cu_pdf.pdf</vt:lpwstr>
      </vt:variant>
      <vt:variant>
        <vt:lpwstr/>
      </vt:variant>
      <vt:variant>
        <vt:i4>3211380</vt:i4>
      </vt:variant>
      <vt:variant>
        <vt:i4>267</vt:i4>
      </vt:variant>
      <vt:variant>
        <vt:i4>0</vt:i4>
      </vt:variant>
      <vt:variant>
        <vt:i4>5</vt:i4>
      </vt:variant>
      <vt:variant>
        <vt:lpwstr>https://app.converlens.com/safework/wel-consultation/ris-survey/view/82</vt:lpwstr>
      </vt:variant>
      <vt:variant>
        <vt:lpwstr/>
      </vt:variant>
      <vt:variant>
        <vt:i4>3932276</vt:i4>
      </vt:variant>
      <vt:variant>
        <vt:i4>264</vt:i4>
      </vt:variant>
      <vt:variant>
        <vt:i4>0</vt:i4>
      </vt:variant>
      <vt:variant>
        <vt:i4>5</vt:i4>
      </vt:variant>
      <vt:variant>
        <vt:lpwstr>https://app.converlens.com/safework/wel-consultation/ris-survey/view/52</vt:lpwstr>
      </vt:variant>
      <vt:variant>
        <vt:lpwstr/>
      </vt:variant>
      <vt:variant>
        <vt:i4>4063348</vt:i4>
      </vt:variant>
      <vt:variant>
        <vt:i4>261</vt:i4>
      </vt:variant>
      <vt:variant>
        <vt:i4>0</vt:i4>
      </vt:variant>
      <vt:variant>
        <vt:i4>5</vt:i4>
      </vt:variant>
      <vt:variant>
        <vt:lpwstr>https://app.converlens.com/safework/wel-consultation/ris-survey/view/76</vt:lpwstr>
      </vt:variant>
      <vt:variant>
        <vt:lpwstr/>
      </vt:variant>
      <vt:variant>
        <vt:i4>3670132</vt:i4>
      </vt:variant>
      <vt:variant>
        <vt:i4>258</vt:i4>
      </vt:variant>
      <vt:variant>
        <vt:i4>0</vt:i4>
      </vt:variant>
      <vt:variant>
        <vt:i4>5</vt:i4>
      </vt:variant>
      <vt:variant>
        <vt:lpwstr>https://app.converlens.com/safework/wel-consultation/ris-survey/view/18</vt:lpwstr>
      </vt:variant>
      <vt:variant>
        <vt:lpwstr/>
      </vt:variant>
      <vt:variant>
        <vt:i4>3670132</vt:i4>
      </vt:variant>
      <vt:variant>
        <vt:i4>255</vt:i4>
      </vt:variant>
      <vt:variant>
        <vt:i4>0</vt:i4>
      </vt:variant>
      <vt:variant>
        <vt:i4>5</vt:i4>
      </vt:variant>
      <vt:variant>
        <vt:lpwstr>https://app.converlens.com/safework/wel-consultation/ris-survey/view/18</vt:lpwstr>
      </vt:variant>
      <vt:variant>
        <vt:lpwstr/>
      </vt:variant>
      <vt:variant>
        <vt:i4>3670132</vt:i4>
      </vt:variant>
      <vt:variant>
        <vt:i4>252</vt:i4>
      </vt:variant>
      <vt:variant>
        <vt:i4>0</vt:i4>
      </vt:variant>
      <vt:variant>
        <vt:i4>5</vt:i4>
      </vt:variant>
      <vt:variant>
        <vt:lpwstr>https://app.converlens.com/safework/wel-consultation/ris-survey/view/18</vt:lpwstr>
      </vt:variant>
      <vt:variant>
        <vt:lpwstr/>
      </vt:variant>
      <vt:variant>
        <vt:i4>3211380</vt:i4>
      </vt:variant>
      <vt:variant>
        <vt:i4>249</vt:i4>
      </vt:variant>
      <vt:variant>
        <vt:i4>0</vt:i4>
      </vt:variant>
      <vt:variant>
        <vt:i4>5</vt:i4>
      </vt:variant>
      <vt:variant>
        <vt:lpwstr>https://app.converlens.com/safework/wel-consultation/ris-survey/view/85</vt:lpwstr>
      </vt:variant>
      <vt:variant>
        <vt:lpwstr/>
      </vt:variant>
      <vt:variant>
        <vt:i4>3670132</vt:i4>
      </vt:variant>
      <vt:variant>
        <vt:i4>246</vt:i4>
      </vt:variant>
      <vt:variant>
        <vt:i4>0</vt:i4>
      </vt:variant>
      <vt:variant>
        <vt:i4>5</vt:i4>
      </vt:variant>
      <vt:variant>
        <vt:lpwstr>https://app.converlens.com/safework/wel-consultation/ris-survey/view/18</vt:lpwstr>
      </vt:variant>
      <vt:variant>
        <vt:lpwstr/>
      </vt:variant>
      <vt:variant>
        <vt:i4>3801204</vt:i4>
      </vt:variant>
      <vt:variant>
        <vt:i4>243</vt:i4>
      </vt:variant>
      <vt:variant>
        <vt:i4>0</vt:i4>
      </vt:variant>
      <vt:variant>
        <vt:i4>5</vt:i4>
      </vt:variant>
      <vt:variant>
        <vt:lpwstr>https://app.converlens.com/safework/wel-consultation/ris-survey/view/37</vt:lpwstr>
      </vt:variant>
      <vt:variant>
        <vt:lpwstr/>
      </vt:variant>
      <vt:variant>
        <vt:i4>3211380</vt:i4>
      </vt:variant>
      <vt:variant>
        <vt:i4>240</vt:i4>
      </vt:variant>
      <vt:variant>
        <vt:i4>0</vt:i4>
      </vt:variant>
      <vt:variant>
        <vt:i4>5</vt:i4>
      </vt:variant>
      <vt:variant>
        <vt:lpwstr>https://app.converlens.com/safework/wel-consultation/ris-survey/view/87</vt:lpwstr>
      </vt:variant>
      <vt:variant>
        <vt:lpwstr/>
      </vt:variant>
      <vt:variant>
        <vt:i4>3211380</vt:i4>
      </vt:variant>
      <vt:variant>
        <vt:i4>237</vt:i4>
      </vt:variant>
      <vt:variant>
        <vt:i4>0</vt:i4>
      </vt:variant>
      <vt:variant>
        <vt:i4>5</vt:i4>
      </vt:variant>
      <vt:variant>
        <vt:lpwstr>https://app.converlens.com/safework/wel-consultation/ris-survey/view/85</vt:lpwstr>
      </vt:variant>
      <vt:variant>
        <vt:lpwstr/>
      </vt:variant>
      <vt:variant>
        <vt:i4>3211380</vt:i4>
      </vt:variant>
      <vt:variant>
        <vt:i4>234</vt:i4>
      </vt:variant>
      <vt:variant>
        <vt:i4>0</vt:i4>
      </vt:variant>
      <vt:variant>
        <vt:i4>5</vt:i4>
      </vt:variant>
      <vt:variant>
        <vt:lpwstr>https://app.converlens.com/safework/wel-consultation/ris-survey/view/82</vt:lpwstr>
      </vt:variant>
      <vt:variant>
        <vt:lpwstr/>
      </vt:variant>
      <vt:variant>
        <vt:i4>3211380</vt:i4>
      </vt:variant>
      <vt:variant>
        <vt:i4>231</vt:i4>
      </vt:variant>
      <vt:variant>
        <vt:i4>0</vt:i4>
      </vt:variant>
      <vt:variant>
        <vt:i4>5</vt:i4>
      </vt:variant>
      <vt:variant>
        <vt:lpwstr>https://app.converlens.com/safework/wel-consultation/ris-survey/view/85</vt:lpwstr>
      </vt:variant>
      <vt:variant>
        <vt:lpwstr/>
      </vt:variant>
      <vt:variant>
        <vt:i4>3211380</vt:i4>
      </vt:variant>
      <vt:variant>
        <vt:i4>228</vt:i4>
      </vt:variant>
      <vt:variant>
        <vt:i4>0</vt:i4>
      </vt:variant>
      <vt:variant>
        <vt:i4>5</vt:i4>
      </vt:variant>
      <vt:variant>
        <vt:lpwstr>https://app.converlens.com/safework/wel-consultation/ris-survey/view/88</vt:lpwstr>
      </vt:variant>
      <vt:variant>
        <vt:lpwstr/>
      </vt:variant>
      <vt:variant>
        <vt:i4>3211380</vt:i4>
      </vt:variant>
      <vt:variant>
        <vt:i4>225</vt:i4>
      </vt:variant>
      <vt:variant>
        <vt:i4>0</vt:i4>
      </vt:variant>
      <vt:variant>
        <vt:i4>5</vt:i4>
      </vt:variant>
      <vt:variant>
        <vt:lpwstr>https://app.converlens.com/safework/wel-consultation/ris-survey/view/84</vt:lpwstr>
      </vt:variant>
      <vt:variant>
        <vt:lpwstr/>
      </vt:variant>
      <vt:variant>
        <vt:i4>3211380</vt:i4>
      </vt:variant>
      <vt:variant>
        <vt:i4>222</vt:i4>
      </vt:variant>
      <vt:variant>
        <vt:i4>0</vt:i4>
      </vt:variant>
      <vt:variant>
        <vt:i4>5</vt:i4>
      </vt:variant>
      <vt:variant>
        <vt:lpwstr>https://app.converlens.com/safework/wel-consultation/ris-survey/view/88</vt:lpwstr>
      </vt:variant>
      <vt:variant>
        <vt:lpwstr/>
      </vt:variant>
      <vt:variant>
        <vt:i4>3211380</vt:i4>
      </vt:variant>
      <vt:variant>
        <vt:i4>219</vt:i4>
      </vt:variant>
      <vt:variant>
        <vt:i4>0</vt:i4>
      </vt:variant>
      <vt:variant>
        <vt:i4>5</vt:i4>
      </vt:variant>
      <vt:variant>
        <vt:lpwstr>https://app.converlens.com/safework/wel-consultation/ris-survey/view/85</vt:lpwstr>
      </vt:variant>
      <vt:variant>
        <vt:lpwstr/>
      </vt:variant>
      <vt:variant>
        <vt:i4>3211380</vt:i4>
      </vt:variant>
      <vt:variant>
        <vt:i4>216</vt:i4>
      </vt:variant>
      <vt:variant>
        <vt:i4>0</vt:i4>
      </vt:variant>
      <vt:variant>
        <vt:i4>5</vt:i4>
      </vt:variant>
      <vt:variant>
        <vt:lpwstr>https://app.converlens.com/safework/wel-consultation/ris-survey/view/87</vt:lpwstr>
      </vt:variant>
      <vt:variant>
        <vt:lpwstr/>
      </vt:variant>
      <vt:variant>
        <vt:i4>3211380</vt:i4>
      </vt:variant>
      <vt:variant>
        <vt:i4>213</vt:i4>
      </vt:variant>
      <vt:variant>
        <vt:i4>0</vt:i4>
      </vt:variant>
      <vt:variant>
        <vt:i4>5</vt:i4>
      </vt:variant>
      <vt:variant>
        <vt:lpwstr>https://app.converlens.com/safework/wel-consultation/ris-survey/view/84</vt:lpwstr>
      </vt:variant>
      <vt:variant>
        <vt:lpwstr/>
      </vt:variant>
      <vt:variant>
        <vt:i4>3211380</vt:i4>
      </vt:variant>
      <vt:variant>
        <vt:i4>210</vt:i4>
      </vt:variant>
      <vt:variant>
        <vt:i4>0</vt:i4>
      </vt:variant>
      <vt:variant>
        <vt:i4>5</vt:i4>
      </vt:variant>
      <vt:variant>
        <vt:lpwstr>https://app.converlens.com/safework/wel-consultation/ris-survey/view/87</vt:lpwstr>
      </vt:variant>
      <vt:variant>
        <vt:lpwstr/>
      </vt:variant>
      <vt:variant>
        <vt:i4>3211380</vt:i4>
      </vt:variant>
      <vt:variant>
        <vt:i4>207</vt:i4>
      </vt:variant>
      <vt:variant>
        <vt:i4>0</vt:i4>
      </vt:variant>
      <vt:variant>
        <vt:i4>5</vt:i4>
      </vt:variant>
      <vt:variant>
        <vt:lpwstr>https://app.converlens.com/safework/wel-consultation/ris-survey/view/84</vt:lpwstr>
      </vt:variant>
      <vt:variant>
        <vt:lpwstr/>
      </vt:variant>
      <vt:variant>
        <vt:i4>3211380</vt:i4>
      </vt:variant>
      <vt:variant>
        <vt:i4>204</vt:i4>
      </vt:variant>
      <vt:variant>
        <vt:i4>0</vt:i4>
      </vt:variant>
      <vt:variant>
        <vt:i4>5</vt:i4>
      </vt:variant>
      <vt:variant>
        <vt:lpwstr>https://app.converlens.com/safework/wel-consultation/ris-survey/view/82</vt:lpwstr>
      </vt:variant>
      <vt:variant>
        <vt:lpwstr/>
      </vt:variant>
      <vt:variant>
        <vt:i4>4063348</vt:i4>
      </vt:variant>
      <vt:variant>
        <vt:i4>201</vt:i4>
      </vt:variant>
      <vt:variant>
        <vt:i4>0</vt:i4>
      </vt:variant>
      <vt:variant>
        <vt:i4>5</vt:i4>
      </vt:variant>
      <vt:variant>
        <vt:lpwstr>https://app.converlens.com/safework/wel-consultation/ris-survey/view/76</vt:lpwstr>
      </vt:variant>
      <vt:variant>
        <vt:lpwstr/>
      </vt:variant>
      <vt:variant>
        <vt:i4>3211380</vt:i4>
      </vt:variant>
      <vt:variant>
        <vt:i4>198</vt:i4>
      </vt:variant>
      <vt:variant>
        <vt:i4>0</vt:i4>
      </vt:variant>
      <vt:variant>
        <vt:i4>5</vt:i4>
      </vt:variant>
      <vt:variant>
        <vt:lpwstr>https://app.converlens.com/safework/wel-consultation/ris-survey/view/82</vt:lpwstr>
      </vt:variant>
      <vt:variant>
        <vt:lpwstr/>
      </vt:variant>
      <vt:variant>
        <vt:i4>4063348</vt:i4>
      </vt:variant>
      <vt:variant>
        <vt:i4>195</vt:i4>
      </vt:variant>
      <vt:variant>
        <vt:i4>0</vt:i4>
      </vt:variant>
      <vt:variant>
        <vt:i4>5</vt:i4>
      </vt:variant>
      <vt:variant>
        <vt:lpwstr>https://app.converlens.com/safework/wel-consultation/ris-survey/view/76</vt:lpwstr>
      </vt:variant>
      <vt:variant>
        <vt:lpwstr/>
      </vt:variant>
      <vt:variant>
        <vt:i4>3211380</vt:i4>
      </vt:variant>
      <vt:variant>
        <vt:i4>192</vt:i4>
      </vt:variant>
      <vt:variant>
        <vt:i4>0</vt:i4>
      </vt:variant>
      <vt:variant>
        <vt:i4>5</vt:i4>
      </vt:variant>
      <vt:variant>
        <vt:lpwstr>https://app.converlens.com/safework/wel-consultation/ris-survey/view/87</vt:lpwstr>
      </vt:variant>
      <vt:variant>
        <vt:lpwstr/>
      </vt:variant>
      <vt:variant>
        <vt:i4>3211380</vt:i4>
      </vt:variant>
      <vt:variant>
        <vt:i4>189</vt:i4>
      </vt:variant>
      <vt:variant>
        <vt:i4>0</vt:i4>
      </vt:variant>
      <vt:variant>
        <vt:i4>5</vt:i4>
      </vt:variant>
      <vt:variant>
        <vt:lpwstr>https://app.converlens.com/safework/wel-consultation/ris-survey/view/84</vt:lpwstr>
      </vt:variant>
      <vt:variant>
        <vt:lpwstr/>
      </vt:variant>
      <vt:variant>
        <vt:i4>3211380</vt:i4>
      </vt:variant>
      <vt:variant>
        <vt:i4>186</vt:i4>
      </vt:variant>
      <vt:variant>
        <vt:i4>0</vt:i4>
      </vt:variant>
      <vt:variant>
        <vt:i4>5</vt:i4>
      </vt:variant>
      <vt:variant>
        <vt:lpwstr>https://app.converlens.com/safework/wel-consultation/ris-survey/view/82</vt:lpwstr>
      </vt:variant>
      <vt:variant>
        <vt:lpwstr/>
      </vt:variant>
      <vt:variant>
        <vt:i4>4063348</vt:i4>
      </vt:variant>
      <vt:variant>
        <vt:i4>183</vt:i4>
      </vt:variant>
      <vt:variant>
        <vt:i4>0</vt:i4>
      </vt:variant>
      <vt:variant>
        <vt:i4>5</vt:i4>
      </vt:variant>
      <vt:variant>
        <vt:lpwstr>https://app.converlens.com/safework/wel-consultation/ris-survey/view/76</vt:lpwstr>
      </vt:variant>
      <vt:variant>
        <vt:lpwstr/>
      </vt:variant>
      <vt:variant>
        <vt:i4>3801204</vt:i4>
      </vt:variant>
      <vt:variant>
        <vt:i4>180</vt:i4>
      </vt:variant>
      <vt:variant>
        <vt:i4>0</vt:i4>
      </vt:variant>
      <vt:variant>
        <vt:i4>5</vt:i4>
      </vt:variant>
      <vt:variant>
        <vt:lpwstr>https://app.converlens.com/safework/wel-consultation/ris-survey/view/38</vt:lpwstr>
      </vt:variant>
      <vt:variant>
        <vt:lpwstr/>
      </vt:variant>
      <vt:variant>
        <vt:i4>3801204</vt:i4>
      </vt:variant>
      <vt:variant>
        <vt:i4>177</vt:i4>
      </vt:variant>
      <vt:variant>
        <vt:i4>0</vt:i4>
      </vt:variant>
      <vt:variant>
        <vt:i4>5</vt:i4>
      </vt:variant>
      <vt:variant>
        <vt:lpwstr>https://app.converlens.com/safework/wel-consultation/ris-survey/view/37</vt:lpwstr>
      </vt:variant>
      <vt:variant>
        <vt:lpwstr/>
      </vt:variant>
      <vt:variant>
        <vt:i4>3670132</vt:i4>
      </vt:variant>
      <vt:variant>
        <vt:i4>174</vt:i4>
      </vt:variant>
      <vt:variant>
        <vt:i4>0</vt:i4>
      </vt:variant>
      <vt:variant>
        <vt:i4>5</vt:i4>
      </vt:variant>
      <vt:variant>
        <vt:lpwstr>https://app.converlens.com/safework/wel-consultation/ris-survey/view/18</vt:lpwstr>
      </vt:variant>
      <vt:variant>
        <vt:lpwstr/>
      </vt:variant>
      <vt:variant>
        <vt:i4>3211380</vt:i4>
      </vt:variant>
      <vt:variant>
        <vt:i4>171</vt:i4>
      </vt:variant>
      <vt:variant>
        <vt:i4>0</vt:i4>
      </vt:variant>
      <vt:variant>
        <vt:i4>5</vt:i4>
      </vt:variant>
      <vt:variant>
        <vt:lpwstr>https://app.converlens.com/safework/wel-consultation/ris-survey/view/87</vt:lpwstr>
      </vt:variant>
      <vt:variant>
        <vt:lpwstr/>
      </vt:variant>
      <vt:variant>
        <vt:i4>3211380</vt:i4>
      </vt:variant>
      <vt:variant>
        <vt:i4>168</vt:i4>
      </vt:variant>
      <vt:variant>
        <vt:i4>0</vt:i4>
      </vt:variant>
      <vt:variant>
        <vt:i4>5</vt:i4>
      </vt:variant>
      <vt:variant>
        <vt:lpwstr>https://app.converlens.com/safework/wel-consultation/ris-survey/view/84</vt:lpwstr>
      </vt:variant>
      <vt:variant>
        <vt:lpwstr/>
      </vt:variant>
      <vt:variant>
        <vt:i4>3211380</vt:i4>
      </vt:variant>
      <vt:variant>
        <vt:i4>165</vt:i4>
      </vt:variant>
      <vt:variant>
        <vt:i4>0</vt:i4>
      </vt:variant>
      <vt:variant>
        <vt:i4>5</vt:i4>
      </vt:variant>
      <vt:variant>
        <vt:lpwstr>https://app.converlens.com/safework/wel-consultation/ris-survey/view/82</vt:lpwstr>
      </vt:variant>
      <vt:variant>
        <vt:lpwstr/>
      </vt:variant>
      <vt:variant>
        <vt:i4>4063348</vt:i4>
      </vt:variant>
      <vt:variant>
        <vt:i4>162</vt:i4>
      </vt:variant>
      <vt:variant>
        <vt:i4>0</vt:i4>
      </vt:variant>
      <vt:variant>
        <vt:i4>5</vt:i4>
      </vt:variant>
      <vt:variant>
        <vt:lpwstr>https://app.converlens.com/safework/wel-consultation/ris-survey/view/76</vt:lpwstr>
      </vt:variant>
      <vt:variant>
        <vt:lpwstr/>
      </vt:variant>
      <vt:variant>
        <vt:i4>3801204</vt:i4>
      </vt:variant>
      <vt:variant>
        <vt:i4>159</vt:i4>
      </vt:variant>
      <vt:variant>
        <vt:i4>0</vt:i4>
      </vt:variant>
      <vt:variant>
        <vt:i4>5</vt:i4>
      </vt:variant>
      <vt:variant>
        <vt:lpwstr>https://app.converlens.com/safework/wel-consultation/ris-survey/view/38</vt:lpwstr>
      </vt:variant>
      <vt:variant>
        <vt:lpwstr/>
      </vt:variant>
      <vt:variant>
        <vt:i4>3801204</vt:i4>
      </vt:variant>
      <vt:variant>
        <vt:i4>156</vt:i4>
      </vt:variant>
      <vt:variant>
        <vt:i4>0</vt:i4>
      </vt:variant>
      <vt:variant>
        <vt:i4>5</vt:i4>
      </vt:variant>
      <vt:variant>
        <vt:lpwstr>https://app.converlens.com/safework/wel-consultation/ris-survey/view/37</vt:lpwstr>
      </vt:variant>
      <vt:variant>
        <vt:lpwstr/>
      </vt:variant>
      <vt:variant>
        <vt:i4>3670132</vt:i4>
      </vt:variant>
      <vt:variant>
        <vt:i4>153</vt:i4>
      </vt:variant>
      <vt:variant>
        <vt:i4>0</vt:i4>
      </vt:variant>
      <vt:variant>
        <vt:i4>5</vt:i4>
      </vt:variant>
      <vt:variant>
        <vt:lpwstr>https://app.converlens.com/safework/wel-consultation/ris-survey/view/18</vt:lpwstr>
      </vt:variant>
      <vt:variant>
        <vt:lpwstr/>
      </vt:variant>
      <vt:variant>
        <vt:i4>3997812</vt:i4>
      </vt:variant>
      <vt:variant>
        <vt:i4>150</vt:i4>
      </vt:variant>
      <vt:variant>
        <vt:i4>0</vt:i4>
      </vt:variant>
      <vt:variant>
        <vt:i4>5</vt:i4>
      </vt:variant>
      <vt:variant>
        <vt:lpwstr>https://app.converlens.com/safework/wel-consultation/ris-survey/view/46</vt:lpwstr>
      </vt:variant>
      <vt:variant>
        <vt:lpwstr/>
      </vt:variant>
      <vt:variant>
        <vt:i4>3145844</vt:i4>
      </vt:variant>
      <vt:variant>
        <vt:i4>147</vt:i4>
      </vt:variant>
      <vt:variant>
        <vt:i4>0</vt:i4>
      </vt:variant>
      <vt:variant>
        <vt:i4>5</vt:i4>
      </vt:variant>
      <vt:variant>
        <vt:lpwstr>https://app.converlens.com/safework/wel-consultation/ris-survey/view/90</vt:lpwstr>
      </vt:variant>
      <vt:variant>
        <vt:lpwstr/>
      </vt:variant>
      <vt:variant>
        <vt:i4>3211380</vt:i4>
      </vt:variant>
      <vt:variant>
        <vt:i4>144</vt:i4>
      </vt:variant>
      <vt:variant>
        <vt:i4>0</vt:i4>
      </vt:variant>
      <vt:variant>
        <vt:i4>5</vt:i4>
      </vt:variant>
      <vt:variant>
        <vt:lpwstr>https://app.converlens.com/safework/wel-consultation/ris-survey/view/81</vt:lpwstr>
      </vt:variant>
      <vt:variant>
        <vt:lpwstr/>
      </vt:variant>
      <vt:variant>
        <vt:i4>3932276</vt:i4>
      </vt:variant>
      <vt:variant>
        <vt:i4>141</vt:i4>
      </vt:variant>
      <vt:variant>
        <vt:i4>0</vt:i4>
      </vt:variant>
      <vt:variant>
        <vt:i4>5</vt:i4>
      </vt:variant>
      <vt:variant>
        <vt:lpwstr>https://app.converlens.com/safework/wel-consultation/ris-survey/view/52</vt:lpwstr>
      </vt:variant>
      <vt:variant>
        <vt:lpwstr/>
      </vt:variant>
      <vt:variant>
        <vt:i4>3801204</vt:i4>
      </vt:variant>
      <vt:variant>
        <vt:i4>138</vt:i4>
      </vt:variant>
      <vt:variant>
        <vt:i4>0</vt:i4>
      </vt:variant>
      <vt:variant>
        <vt:i4>5</vt:i4>
      </vt:variant>
      <vt:variant>
        <vt:lpwstr>https://app.converlens.com/safework/wel-consultation/ris-survey/view/34</vt:lpwstr>
      </vt:variant>
      <vt:variant>
        <vt:lpwstr/>
      </vt:variant>
      <vt:variant>
        <vt:i4>1245291</vt:i4>
      </vt:variant>
      <vt:variant>
        <vt:i4>135</vt:i4>
      </vt:variant>
      <vt:variant>
        <vt:i4>0</vt:i4>
      </vt:variant>
      <vt:variant>
        <vt:i4>5</vt:i4>
      </vt:variant>
      <vt:variant>
        <vt:lpwstr>https://storage.googleapis.com/files-au-swa/safework/p/prj06da3bdf2c1cf9737efab/page/draft_evaluation_report_wes_chlorine_pdf.pdf</vt:lpwstr>
      </vt:variant>
      <vt:variant>
        <vt:lpwstr/>
      </vt:variant>
      <vt:variant>
        <vt:i4>3932276</vt:i4>
      </vt:variant>
      <vt:variant>
        <vt:i4>132</vt:i4>
      </vt:variant>
      <vt:variant>
        <vt:i4>0</vt:i4>
      </vt:variant>
      <vt:variant>
        <vt:i4>5</vt:i4>
      </vt:variant>
      <vt:variant>
        <vt:lpwstr>https://app.converlens.com/safework/wel-consultation/ris-survey/view/5</vt:lpwstr>
      </vt:variant>
      <vt:variant>
        <vt:lpwstr/>
      </vt:variant>
      <vt:variant>
        <vt:i4>4063348</vt:i4>
      </vt:variant>
      <vt:variant>
        <vt:i4>129</vt:i4>
      </vt:variant>
      <vt:variant>
        <vt:i4>0</vt:i4>
      </vt:variant>
      <vt:variant>
        <vt:i4>5</vt:i4>
      </vt:variant>
      <vt:variant>
        <vt:lpwstr>https://app.converlens.com/safework/wel-consultation/ris-survey/view/79</vt:lpwstr>
      </vt:variant>
      <vt:variant>
        <vt:lpwstr/>
      </vt:variant>
      <vt:variant>
        <vt:i4>3670132</vt:i4>
      </vt:variant>
      <vt:variant>
        <vt:i4>126</vt:i4>
      </vt:variant>
      <vt:variant>
        <vt:i4>0</vt:i4>
      </vt:variant>
      <vt:variant>
        <vt:i4>5</vt:i4>
      </vt:variant>
      <vt:variant>
        <vt:lpwstr>https://app.converlens.com/safework/wel-consultation/ris-survey/view/12</vt:lpwstr>
      </vt:variant>
      <vt:variant>
        <vt:lpwstr/>
      </vt:variant>
      <vt:variant>
        <vt:i4>3670132</vt:i4>
      </vt:variant>
      <vt:variant>
        <vt:i4>123</vt:i4>
      </vt:variant>
      <vt:variant>
        <vt:i4>0</vt:i4>
      </vt:variant>
      <vt:variant>
        <vt:i4>5</vt:i4>
      </vt:variant>
      <vt:variant>
        <vt:lpwstr>https://app.converlens.com/safework/wel-consultation/ris-survey/view/16</vt:lpwstr>
      </vt:variant>
      <vt:variant>
        <vt:lpwstr/>
      </vt:variant>
      <vt:variant>
        <vt:i4>3670132</vt:i4>
      </vt:variant>
      <vt:variant>
        <vt:i4>120</vt:i4>
      </vt:variant>
      <vt:variant>
        <vt:i4>0</vt:i4>
      </vt:variant>
      <vt:variant>
        <vt:i4>5</vt:i4>
      </vt:variant>
      <vt:variant>
        <vt:lpwstr>https://app.converlens.com/safework/wel-consultation/ris-survey/view/18</vt:lpwstr>
      </vt:variant>
      <vt:variant>
        <vt:lpwstr/>
      </vt:variant>
      <vt:variant>
        <vt:i4>3932276</vt:i4>
      </vt:variant>
      <vt:variant>
        <vt:i4>117</vt:i4>
      </vt:variant>
      <vt:variant>
        <vt:i4>0</vt:i4>
      </vt:variant>
      <vt:variant>
        <vt:i4>5</vt:i4>
      </vt:variant>
      <vt:variant>
        <vt:lpwstr>https://app.converlens.com/safework/wel-consultation/ris-survey/view/5</vt:lpwstr>
      </vt:variant>
      <vt:variant>
        <vt:lpwstr/>
      </vt:variant>
      <vt:variant>
        <vt:i4>3211380</vt:i4>
      </vt:variant>
      <vt:variant>
        <vt:i4>114</vt:i4>
      </vt:variant>
      <vt:variant>
        <vt:i4>0</vt:i4>
      </vt:variant>
      <vt:variant>
        <vt:i4>5</vt:i4>
      </vt:variant>
      <vt:variant>
        <vt:lpwstr>https://app.converlens.com/safework/wel-consultation/ris-survey/view/84</vt:lpwstr>
      </vt:variant>
      <vt:variant>
        <vt:lpwstr/>
      </vt:variant>
      <vt:variant>
        <vt:i4>3997812</vt:i4>
      </vt:variant>
      <vt:variant>
        <vt:i4>111</vt:i4>
      </vt:variant>
      <vt:variant>
        <vt:i4>0</vt:i4>
      </vt:variant>
      <vt:variant>
        <vt:i4>5</vt:i4>
      </vt:variant>
      <vt:variant>
        <vt:lpwstr>https://app.converlens.com/safework/wel-consultation/ris-survey/view/46</vt:lpwstr>
      </vt:variant>
      <vt:variant>
        <vt:lpwstr/>
      </vt:variant>
      <vt:variant>
        <vt:i4>3670132</vt:i4>
      </vt:variant>
      <vt:variant>
        <vt:i4>108</vt:i4>
      </vt:variant>
      <vt:variant>
        <vt:i4>0</vt:i4>
      </vt:variant>
      <vt:variant>
        <vt:i4>5</vt:i4>
      </vt:variant>
      <vt:variant>
        <vt:lpwstr>https://app.converlens.com/safework/wel-consultation/ris-survey/view/16</vt:lpwstr>
      </vt:variant>
      <vt:variant>
        <vt:lpwstr/>
      </vt:variant>
      <vt:variant>
        <vt:i4>3211380</vt:i4>
      </vt:variant>
      <vt:variant>
        <vt:i4>105</vt:i4>
      </vt:variant>
      <vt:variant>
        <vt:i4>0</vt:i4>
      </vt:variant>
      <vt:variant>
        <vt:i4>5</vt:i4>
      </vt:variant>
      <vt:variant>
        <vt:lpwstr>https://app.converlens.com/safework/wel-consultation/ris-survey/view/87</vt:lpwstr>
      </vt:variant>
      <vt:variant>
        <vt:lpwstr/>
      </vt:variant>
      <vt:variant>
        <vt:i4>3211380</vt:i4>
      </vt:variant>
      <vt:variant>
        <vt:i4>102</vt:i4>
      </vt:variant>
      <vt:variant>
        <vt:i4>0</vt:i4>
      </vt:variant>
      <vt:variant>
        <vt:i4>5</vt:i4>
      </vt:variant>
      <vt:variant>
        <vt:lpwstr>https://app.converlens.com/safework/wel-consultation/ris-survey/view/84</vt:lpwstr>
      </vt:variant>
      <vt:variant>
        <vt:lpwstr/>
      </vt:variant>
      <vt:variant>
        <vt:i4>3211380</vt:i4>
      </vt:variant>
      <vt:variant>
        <vt:i4>99</vt:i4>
      </vt:variant>
      <vt:variant>
        <vt:i4>0</vt:i4>
      </vt:variant>
      <vt:variant>
        <vt:i4>5</vt:i4>
      </vt:variant>
      <vt:variant>
        <vt:lpwstr>https://app.converlens.com/safework/wel-consultation/ris-survey/view/87</vt:lpwstr>
      </vt:variant>
      <vt:variant>
        <vt:lpwstr/>
      </vt:variant>
      <vt:variant>
        <vt:i4>3211380</vt:i4>
      </vt:variant>
      <vt:variant>
        <vt:i4>96</vt:i4>
      </vt:variant>
      <vt:variant>
        <vt:i4>0</vt:i4>
      </vt:variant>
      <vt:variant>
        <vt:i4>5</vt:i4>
      </vt:variant>
      <vt:variant>
        <vt:lpwstr>https://app.converlens.com/safework/wel-consultation/ris-survey/view/84</vt:lpwstr>
      </vt:variant>
      <vt:variant>
        <vt:lpwstr/>
      </vt:variant>
      <vt:variant>
        <vt:i4>3211380</vt:i4>
      </vt:variant>
      <vt:variant>
        <vt:i4>93</vt:i4>
      </vt:variant>
      <vt:variant>
        <vt:i4>0</vt:i4>
      </vt:variant>
      <vt:variant>
        <vt:i4>5</vt:i4>
      </vt:variant>
      <vt:variant>
        <vt:lpwstr>https://app.converlens.com/safework/wel-consultation/ris-survey/view/87</vt:lpwstr>
      </vt:variant>
      <vt:variant>
        <vt:lpwstr/>
      </vt:variant>
      <vt:variant>
        <vt:i4>3211380</vt:i4>
      </vt:variant>
      <vt:variant>
        <vt:i4>90</vt:i4>
      </vt:variant>
      <vt:variant>
        <vt:i4>0</vt:i4>
      </vt:variant>
      <vt:variant>
        <vt:i4>5</vt:i4>
      </vt:variant>
      <vt:variant>
        <vt:lpwstr>https://app.converlens.com/safework/wel-consultation/ris-survey/view/84</vt:lpwstr>
      </vt:variant>
      <vt:variant>
        <vt:lpwstr/>
      </vt:variant>
      <vt:variant>
        <vt:i4>3801204</vt:i4>
      </vt:variant>
      <vt:variant>
        <vt:i4>87</vt:i4>
      </vt:variant>
      <vt:variant>
        <vt:i4>0</vt:i4>
      </vt:variant>
      <vt:variant>
        <vt:i4>5</vt:i4>
      </vt:variant>
      <vt:variant>
        <vt:lpwstr>https://app.converlens.com/safework/wel-consultation/ris-survey/view/37</vt:lpwstr>
      </vt:variant>
      <vt:variant>
        <vt:lpwstr/>
      </vt:variant>
      <vt:variant>
        <vt:i4>4063348</vt:i4>
      </vt:variant>
      <vt:variant>
        <vt:i4>84</vt:i4>
      </vt:variant>
      <vt:variant>
        <vt:i4>0</vt:i4>
      </vt:variant>
      <vt:variant>
        <vt:i4>5</vt:i4>
      </vt:variant>
      <vt:variant>
        <vt:lpwstr>https://app.converlens.com/safework/wel-consultation/ris-survey/view/79</vt:lpwstr>
      </vt:variant>
      <vt:variant>
        <vt:lpwstr/>
      </vt:variant>
      <vt:variant>
        <vt:i4>3932276</vt:i4>
      </vt:variant>
      <vt:variant>
        <vt:i4>81</vt:i4>
      </vt:variant>
      <vt:variant>
        <vt:i4>0</vt:i4>
      </vt:variant>
      <vt:variant>
        <vt:i4>5</vt:i4>
      </vt:variant>
      <vt:variant>
        <vt:lpwstr>https://app.converlens.com/safework/wel-consultation/ris-survey/view/5</vt:lpwstr>
      </vt:variant>
      <vt:variant>
        <vt:lpwstr/>
      </vt:variant>
      <vt:variant>
        <vt:i4>3145844</vt:i4>
      </vt:variant>
      <vt:variant>
        <vt:i4>78</vt:i4>
      </vt:variant>
      <vt:variant>
        <vt:i4>0</vt:i4>
      </vt:variant>
      <vt:variant>
        <vt:i4>5</vt:i4>
      </vt:variant>
      <vt:variant>
        <vt:lpwstr>https://app.converlens.com/safework/wel-consultation/ris-survey/view/90</vt:lpwstr>
      </vt:variant>
      <vt:variant>
        <vt:lpwstr/>
      </vt:variant>
      <vt:variant>
        <vt:i4>3997812</vt:i4>
      </vt:variant>
      <vt:variant>
        <vt:i4>75</vt:i4>
      </vt:variant>
      <vt:variant>
        <vt:i4>0</vt:i4>
      </vt:variant>
      <vt:variant>
        <vt:i4>5</vt:i4>
      </vt:variant>
      <vt:variant>
        <vt:lpwstr>https://app.converlens.com/safework/wel-consultation/ris-survey/view/46</vt:lpwstr>
      </vt:variant>
      <vt:variant>
        <vt:lpwstr/>
      </vt:variant>
      <vt:variant>
        <vt:i4>3670132</vt:i4>
      </vt:variant>
      <vt:variant>
        <vt:i4>72</vt:i4>
      </vt:variant>
      <vt:variant>
        <vt:i4>0</vt:i4>
      </vt:variant>
      <vt:variant>
        <vt:i4>5</vt:i4>
      </vt:variant>
      <vt:variant>
        <vt:lpwstr>https://app.converlens.com/safework/wel-consultation/ris-survey/view/12</vt:lpwstr>
      </vt:variant>
      <vt:variant>
        <vt:lpwstr/>
      </vt:variant>
      <vt:variant>
        <vt:i4>3670132</vt:i4>
      </vt:variant>
      <vt:variant>
        <vt:i4>69</vt:i4>
      </vt:variant>
      <vt:variant>
        <vt:i4>0</vt:i4>
      </vt:variant>
      <vt:variant>
        <vt:i4>5</vt:i4>
      </vt:variant>
      <vt:variant>
        <vt:lpwstr>https://app.converlens.com/safework/wel-consultation/ris-survey/view/18</vt:lpwstr>
      </vt:variant>
      <vt:variant>
        <vt:lpwstr/>
      </vt:variant>
      <vt:variant>
        <vt:i4>3211380</vt:i4>
      </vt:variant>
      <vt:variant>
        <vt:i4>66</vt:i4>
      </vt:variant>
      <vt:variant>
        <vt:i4>0</vt:i4>
      </vt:variant>
      <vt:variant>
        <vt:i4>5</vt:i4>
      </vt:variant>
      <vt:variant>
        <vt:lpwstr>https://app.converlens.com/safework/wel-consultation/ris-survey/view/88</vt:lpwstr>
      </vt:variant>
      <vt:variant>
        <vt:lpwstr/>
      </vt:variant>
      <vt:variant>
        <vt:i4>3211380</vt:i4>
      </vt:variant>
      <vt:variant>
        <vt:i4>63</vt:i4>
      </vt:variant>
      <vt:variant>
        <vt:i4>0</vt:i4>
      </vt:variant>
      <vt:variant>
        <vt:i4>5</vt:i4>
      </vt:variant>
      <vt:variant>
        <vt:lpwstr>https://app.converlens.com/safework/wel-consultation/ris-survey/view/81</vt:lpwstr>
      </vt:variant>
      <vt:variant>
        <vt:lpwstr/>
      </vt:variant>
      <vt:variant>
        <vt:i4>3670132</vt:i4>
      </vt:variant>
      <vt:variant>
        <vt:i4>60</vt:i4>
      </vt:variant>
      <vt:variant>
        <vt:i4>0</vt:i4>
      </vt:variant>
      <vt:variant>
        <vt:i4>5</vt:i4>
      </vt:variant>
      <vt:variant>
        <vt:lpwstr>https://app.converlens.com/safework/wel-consultation/ris-survey/view/18</vt:lpwstr>
      </vt:variant>
      <vt:variant>
        <vt:lpwstr/>
      </vt:variant>
      <vt:variant>
        <vt:i4>3932276</vt:i4>
      </vt:variant>
      <vt:variant>
        <vt:i4>57</vt:i4>
      </vt:variant>
      <vt:variant>
        <vt:i4>0</vt:i4>
      </vt:variant>
      <vt:variant>
        <vt:i4>5</vt:i4>
      </vt:variant>
      <vt:variant>
        <vt:lpwstr>https://app.converlens.com/safework/wel-consultation/ris-survey/view/5</vt:lpwstr>
      </vt:variant>
      <vt:variant>
        <vt:lpwstr/>
      </vt:variant>
      <vt:variant>
        <vt:i4>3932276</vt:i4>
      </vt:variant>
      <vt:variant>
        <vt:i4>54</vt:i4>
      </vt:variant>
      <vt:variant>
        <vt:i4>0</vt:i4>
      </vt:variant>
      <vt:variant>
        <vt:i4>5</vt:i4>
      </vt:variant>
      <vt:variant>
        <vt:lpwstr>https://app.converlens.com/safework/wel-consultation/ris-survey/view/5</vt:lpwstr>
      </vt:variant>
      <vt:variant>
        <vt:lpwstr/>
      </vt:variant>
      <vt:variant>
        <vt:i4>3670132</vt:i4>
      </vt:variant>
      <vt:variant>
        <vt:i4>51</vt:i4>
      </vt:variant>
      <vt:variant>
        <vt:i4>0</vt:i4>
      </vt:variant>
      <vt:variant>
        <vt:i4>5</vt:i4>
      </vt:variant>
      <vt:variant>
        <vt:lpwstr>https://app.converlens.com/safework/wel-consultation/ris-survey/view/12</vt:lpwstr>
      </vt:variant>
      <vt:variant>
        <vt:lpwstr/>
      </vt:variant>
      <vt:variant>
        <vt:i4>3670132</vt:i4>
      </vt:variant>
      <vt:variant>
        <vt:i4>45</vt:i4>
      </vt:variant>
      <vt:variant>
        <vt:i4>0</vt:i4>
      </vt:variant>
      <vt:variant>
        <vt:i4>5</vt:i4>
      </vt:variant>
      <vt:variant>
        <vt:lpwstr>https://app.converlens.com/safework/wel-consultation/ris-survey/view/16</vt:lpwstr>
      </vt:variant>
      <vt:variant>
        <vt:lpwstr/>
      </vt:variant>
      <vt:variant>
        <vt:i4>3997812</vt:i4>
      </vt:variant>
      <vt:variant>
        <vt:i4>36</vt:i4>
      </vt:variant>
      <vt:variant>
        <vt:i4>0</vt:i4>
      </vt:variant>
      <vt:variant>
        <vt:i4>5</vt:i4>
      </vt:variant>
      <vt:variant>
        <vt:lpwstr>https://app.converlens.com/safework/wel-consultation/ris-survey/view/46</vt:lpwstr>
      </vt:variant>
      <vt:variant>
        <vt:lpwstr/>
      </vt:variant>
      <vt:variant>
        <vt:i4>3670132</vt:i4>
      </vt:variant>
      <vt:variant>
        <vt:i4>33</vt:i4>
      </vt:variant>
      <vt:variant>
        <vt:i4>0</vt:i4>
      </vt:variant>
      <vt:variant>
        <vt:i4>5</vt:i4>
      </vt:variant>
      <vt:variant>
        <vt:lpwstr>https://app.converlens.com/safework/wel-consultation/ris-survey/view/12</vt:lpwstr>
      </vt:variant>
      <vt:variant>
        <vt:lpwstr/>
      </vt:variant>
      <vt:variant>
        <vt:i4>3670132</vt:i4>
      </vt:variant>
      <vt:variant>
        <vt:i4>30</vt:i4>
      </vt:variant>
      <vt:variant>
        <vt:i4>0</vt:i4>
      </vt:variant>
      <vt:variant>
        <vt:i4>5</vt:i4>
      </vt:variant>
      <vt:variant>
        <vt:lpwstr>https://app.converlens.com/safework/wel-consultation/ris-survey/view/12</vt:lpwstr>
      </vt:variant>
      <vt:variant>
        <vt:lpwstr/>
      </vt:variant>
      <vt:variant>
        <vt:i4>4063348</vt:i4>
      </vt:variant>
      <vt:variant>
        <vt:i4>27</vt:i4>
      </vt:variant>
      <vt:variant>
        <vt:i4>0</vt:i4>
      </vt:variant>
      <vt:variant>
        <vt:i4>5</vt:i4>
      </vt:variant>
      <vt:variant>
        <vt:lpwstr>https://app.converlens.com/safework/wel-consultation/ris-survey/view/79</vt:lpwstr>
      </vt:variant>
      <vt:variant>
        <vt:lpwstr/>
      </vt:variant>
      <vt:variant>
        <vt:i4>2949127</vt:i4>
      </vt:variant>
      <vt:variant>
        <vt:i4>24</vt:i4>
      </vt:variant>
      <vt:variant>
        <vt:i4>0</vt:i4>
      </vt:variant>
      <vt:variant>
        <vt:i4>5</vt:i4>
      </vt:variant>
      <vt:variant>
        <vt:lpwstr>https://storage.googleapis.com/files-au-swa/safework/p/prj28f3a307cfe6ee51abbd3/page/draft_evaluation_report_wes_benzene_pdf.pdf</vt:lpwstr>
      </vt:variant>
      <vt:variant>
        <vt:lpwstr/>
      </vt:variant>
      <vt:variant>
        <vt:i4>3211380</vt:i4>
      </vt:variant>
      <vt:variant>
        <vt:i4>21</vt:i4>
      </vt:variant>
      <vt:variant>
        <vt:i4>0</vt:i4>
      </vt:variant>
      <vt:variant>
        <vt:i4>5</vt:i4>
      </vt:variant>
      <vt:variant>
        <vt:lpwstr>https://app.converlens.com/safework/wel-consultation/ris-survey/view/82</vt:lpwstr>
      </vt:variant>
      <vt:variant>
        <vt:lpwstr/>
      </vt:variant>
      <vt:variant>
        <vt:i4>3211380</vt:i4>
      </vt:variant>
      <vt:variant>
        <vt:i4>18</vt:i4>
      </vt:variant>
      <vt:variant>
        <vt:i4>0</vt:i4>
      </vt:variant>
      <vt:variant>
        <vt:i4>5</vt:i4>
      </vt:variant>
      <vt:variant>
        <vt:lpwstr>https://app.converlens.com/safework/wel-consultation/ris-survey/view/89</vt:lpwstr>
      </vt:variant>
      <vt:variant>
        <vt:lpwstr/>
      </vt:variant>
      <vt:variant>
        <vt:i4>3211380</vt:i4>
      </vt:variant>
      <vt:variant>
        <vt:i4>15</vt:i4>
      </vt:variant>
      <vt:variant>
        <vt:i4>0</vt:i4>
      </vt:variant>
      <vt:variant>
        <vt:i4>5</vt:i4>
      </vt:variant>
      <vt:variant>
        <vt:lpwstr>https://app.converlens.com/safework/wel-consultation/ris-survey/view/81</vt:lpwstr>
      </vt:variant>
      <vt:variant>
        <vt:lpwstr/>
      </vt:variant>
      <vt:variant>
        <vt:i4>4063348</vt:i4>
      </vt:variant>
      <vt:variant>
        <vt:i4>12</vt:i4>
      </vt:variant>
      <vt:variant>
        <vt:i4>0</vt:i4>
      </vt:variant>
      <vt:variant>
        <vt:i4>5</vt:i4>
      </vt:variant>
      <vt:variant>
        <vt:lpwstr>https://app.converlens.com/safework/wel-consultation/ris-survey/view/79</vt:lpwstr>
      </vt:variant>
      <vt:variant>
        <vt:lpwstr/>
      </vt:variant>
      <vt:variant>
        <vt:i4>6619241</vt:i4>
      </vt:variant>
      <vt:variant>
        <vt:i4>9</vt:i4>
      </vt:variant>
      <vt:variant>
        <vt:i4>0</vt:i4>
      </vt:variant>
      <vt:variant>
        <vt:i4>5</vt:i4>
      </vt:variant>
      <vt:variant>
        <vt:lpwstr>https://www.safeworkaustralia.gov.au/doc/changes-workplace-exposure-limits-may-2025</vt:lpwstr>
      </vt:variant>
      <vt:variant>
        <vt:lpwstr/>
      </vt:variant>
      <vt:variant>
        <vt:i4>3014705</vt:i4>
      </vt:variant>
      <vt:variant>
        <vt:i4>6</vt:i4>
      </vt:variant>
      <vt:variant>
        <vt:i4>0</vt:i4>
      </vt:variant>
      <vt:variant>
        <vt:i4>5</vt:i4>
      </vt:variant>
      <vt:variant>
        <vt:lpwstr>https://consult.swa.gov.au/wel-consultation</vt:lpwstr>
      </vt:variant>
      <vt:variant>
        <vt:lpwstr/>
      </vt:variant>
      <vt:variant>
        <vt:i4>3014705</vt:i4>
      </vt:variant>
      <vt:variant>
        <vt:i4>3</vt:i4>
      </vt:variant>
      <vt:variant>
        <vt:i4>0</vt:i4>
      </vt:variant>
      <vt:variant>
        <vt:i4>5</vt:i4>
      </vt:variant>
      <vt:variant>
        <vt:lpwstr>https://consult.swa.gov.au/wel-consultation</vt:lpwstr>
      </vt:variant>
      <vt:variant>
        <vt:lpwstr/>
      </vt:variant>
      <vt:variant>
        <vt:i4>4390922</vt:i4>
      </vt:variant>
      <vt:variant>
        <vt:i4>0</vt:i4>
      </vt:variant>
      <vt:variant>
        <vt:i4>0</vt:i4>
      </vt:variant>
      <vt:variant>
        <vt:i4>5</vt:i4>
      </vt:variant>
      <vt:variant>
        <vt:lpwstr>https://www.safeworkaustralia.gov.au/system/files/documents/1806/wes_methodology_recommending_health-based_workplace_exposure_standards_and_notations.pdf</vt:lpwstr>
      </vt:variant>
      <vt:variant>
        <vt:lpwstr/>
      </vt:variant>
      <vt:variant>
        <vt:i4>1310812</vt:i4>
      </vt:variant>
      <vt:variant>
        <vt:i4>3</vt:i4>
      </vt:variant>
      <vt:variant>
        <vt:i4>0</vt:i4>
      </vt:variant>
      <vt:variant>
        <vt:i4>5</vt:i4>
      </vt:variant>
      <vt:variant>
        <vt:lpwstr>https://www.aihw.gov.au/reports/health-welfare-expenditure/health-system-spending-disease-injury-aus-2023-24/contents/spending-on-disease-by-abod-conditions</vt:lpwstr>
      </vt:variant>
      <vt:variant>
        <vt:lpwstr/>
      </vt:variant>
      <vt:variant>
        <vt:i4>1310812</vt:i4>
      </vt:variant>
      <vt:variant>
        <vt:i4>0</vt:i4>
      </vt:variant>
      <vt:variant>
        <vt:i4>0</vt:i4>
      </vt:variant>
      <vt:variant>
        <vt:i4>5</vt:i4>
      </vt:variant>
      <vt:variant>
        <vt:lpwstr>https://www.aihw.gov.au/reports/health-welfare-expenditure/health-system-spending-disease-injury-aus-2023-24/contents/spending-on-disease-by-abod-conditions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DRIS WEL for 9 Chemicals</dc:title>
  <dc:subject/>
  <dc:creator/>
  <cp:keywords/>
  <dc:description/>
  <cp:lastModifiedBy/>
  <cp:revision>1</cp:revision>
  <dcterms:created xsi:type="dcterms:W3CDTF">2026-06-23T08:14:00Z</dcterms:created>
  <dcterms:modified xsi:type="dcterms:W3CDTF">2026-06-23T08:14:00Z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2026-06-23T08:14:32Z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e414c3ae-9257-411d-96f7-0b1e6fde500b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